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0D2A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bookmarkStart w:id="0" w:name="_Hlk90050900"/>
      <w:r w:rsidRPr="008127F8">
        <w:rPr>
          <w:rFonts w:ascii="Times New Roman" w:hAnsi="Times New Roman"/>
          <w:i/>
          <w:iCs/>
          <w:color w:val="000000" w:themeColor="text1"/>
          <w:sz w:val="16"/>
          <w:szCs w:val="16"/>
        </w:rPr>
        <w:t>Авиапромышленность:</w:t>
      </w:r>
    </w:p>
    <w:p w14:paraId="3E1B60D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5F562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мая 1942 на 381-м заводе был построен один экземпляр Ил-2 М-82ИР (первый полет планировался 7 мая), но в одноместном варианте вместо двухместного. Почему был осуществлен переход на одноместный вариант, неизвестно. На этой машине емкость бензобаков была доведена до 980 литров и, кроме этого, снизу мотора на капоте были установлены броневые накладки. Заводские испытания одноместный Ил-2 М82ИР успешно прошел к середине августа 1942 года (отчет по испытаниям утвержден 18.08.42 г.), однако на государственные испытания штурмовик не передавался и в дальнейшем все работы по нему были прекращены (22673).</w:t>
      </w:r>
    </w:p>
    <w:bookmarkEnd w:id="0"/>
    <w:p w14:paraId="5377D5A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48FAD94" w14:textId="77777777" w:rsidR="00EA70F7" w:rsidRPr="008A2E5A" w:rsidRDefault="00EA70F7" w:rsidP="00EA70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началу мая 1942 г. на заводе № 81 все 400 «Харрикейнов» были перевооружены, а заводу дали заказ на переделку еще 400 истреби</w:t>
      </w:r>
      <w:r w:rsidRPr="008A2E5A">
        <w:rPr>
          <w:rFonts w:ascii="Times New Roman" w:hAnsi="Times New Roman"/>
          <w:color w:val="0070C0"/>
          <w:sz w:val="16"/>
          <w:szCs w:val="16"/>
        </w:rPr>
        <w:softHyphen/>
        <w:t>телей, затем — дополнительных 200. Дорабатывались как вновь поступившие от англичан самолеты, так и уже побы</w:t>
      </w:r>
      <w:r w:rsidRPr="008A2E5A">
        <w:rPr>
          <w:rFonts w:ascii="Times New Roman" w:hAnsi="Times New Roman"/>
          <w:color w:val="0070C0"/>
          <w:sz w:val="16"/>
          <w:szCs w:val="16"/>
        </w:rPr>
        <w:softHyphen/>
        <w:t>вавшие на фронте. Бригады с завода № 81 производили эту операцию и на подмо</w:t>
      </w:r>
      <w:r w:rsidRPr="008A2E5A">
        <w:rPr>
          <w:rFonts w:ascii="Times New Roman" w:hAnsi="Times New Roman"/>
          <w:color w:val="0070C0"/>
          <w:sz w:val="16"/>
          <w:szCs w:val="16"/>
        </w:rPr>
        <w:softHyphen/>
        <w:t>сковных аэродромах в Кубинке, Химках, Монине и Егорьевске. На этих базах 6-го иак ПВО перевооружались машины, ко</w:t>
      </w:r>
      <w:r w:rsidRPr="008A2E5A">
        <w:rPr>
          <w:rFonts w:ascii="Times New Roman" w:hAnsi="Times New Roman"/>
          <w:color w:val="0070C0"/>
          <w:sz w:val="16"/>
          <w:szCs w:val="16"/>
        </w:rPr>
        <w:softHyphen/>
        <w:t>торые нельзя было перегнать на завод из-за различных неисправностей. К концу 1942 г. выпустили 925 «Харрикейнов» с со</w:t>
      </w:r>
      <w:r w:rsidRPr="008A2E5A">
        <w:rPr>
          <w:rFonts w:ascii="Times New Roman" w:hAnsi="Times New Roman"/>
          <w:color w:val="0070C0"/>
          <w:sz w:val="16"/>
          <w:szCs w:val="16"/>
        </w:rPr>
        <w:softHyphen/>
        <w:t>ветскими пушками и пулеметами. Каждая машина обошлась примерно в 13000 ру</w:t>
      </w:r>
      <w:r w:rsidRPr="008A2E5A">
        <w:rPr>
          <w:rFonts w:ascii="Times New Roman" w:hAnsi="Times New Roman"/>
          <w:color w:val="0070C0"/>
          <w:sz w:val="16"/>
          <w:szCs w:val="16"/>
        </w:rPr>
        <w:softHyphen/>
        <w:t>блей. Зато новое мощное вооружение расширило возможности самолета как в воздушном бою, так и при действиях по наземным целям. Правда, некоторое изме</w:t>
      </w:r>
      <w:r w:rsidRPr="008A2E5A">
        <w:rPr>
          <w:rFonts w:ascii="Times New Roman" w:hAnsi="Times New Roman"/>
          <w:color w:val="0070C0"/>
          <w:sz w:val="16"/>
          <w:szCs w:val="16"/>
        </w:rPr>
        <w:softHyphen/>
        <w:t>нение центровки при этом привело к запа</w:t>
      </w:r>
      <w:r w:rsidRPr="008A2E5A">
        <w:rPr>
          <w:rFonts w:ascii="Times New Roman" w:hAnsi="Times New Roman"/>
          <w:color w:val="0070C0"/>
          <w:sz w:val="16"/>
          <w:szCs w:val="16"/>
        </w:rPr>
        <w:softHyphen/>
        <w:t>здыванию выхода истребителя из штопора и переходу штопора в плоский, но это не носило столь уж опасного характера (23513).</w:t>
      </w:r>
    </w:p>
    <w:p w14:paraId="6702B5D2" w14:textId="77777777" w:rsidR="00EA70F7" w:rsidRPr="008A2E5A" w:rsidRDefault="00EA70F7" w:rsidP="00EA70F7">
      <w:pPr>
        <w:spacing w:after="0" w:line="240" w:lineRule="auto"/>
        <w:jc w:val="both"/>
        <w:rPr>
          <w:rFonts w:ascii="Times New Roman" w:hAnsi="Times New Roman"/>
          <w:color w:val="0070C0"/>
          <w:sz w:val="16"/>
          <w:szCs w:val="16"/>
        </w:rPr>
      </w:pPr>
    </w:p>
    <w:p w14:paraId="5DA8E455" w14:textId="15BE06B2" w:rsidR="00EA70F7" w:rsidRDefault="00EA70F7" w:rsidP="007C5583">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Другие оборонные отрасли:</w:t>
      </w:r>
    </w:p>
    <w:p w14:paraId="17DA4D2C" w14:textId="77777777" w:rsidR="00EA70F7" w:rsidRDefault="00EA70F7" w:rsidP="007C558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2CCF41EA" w14:textId="77777777" w:rsidR="00EA70F7" w:rsidRPr="008A2E5A" w:rsidRDefault="00EA70F7" w:rsidP="00EA70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началу мая 1942 проект глубокой модернизации Т-60, которая и получила индекс Т-45 и была разработана отделом "22", был готов, а к 8 числу уже изготовили опытный образец. Корпус менялся не сильно: толщину верхнего лобового листа увеличили до 25 мм, также переделывался люк механика-водителя. Его сделали сдвигающимся вбок, поскольку вылезать через него оказалось затруднительно. Сильнее всего изменилась башня. За основу взяли штатную башню Т-60, которая получила кормовую нишу и вытянутую вперед орудийную установку. Внутрь поставили 45-мм пушку, сдвинутую максимально вправо. По центру разместили телескопический прицел ТМФП, а справа - спаренный пулемет ДТ. Толщина башни выросла до 35 мм, а общая масса танка - до 6800 кг. Именно до такой массы нагрузили переделанный Т-60 (23347).</w:t>
      </w:r>
    </w:p>
    <w:p w14:paraId="262078F0" w14:textId="77777777" w:rsidR="00EA70F7" w:rsidRPr="008A2E5A" w:rsidRDefault="00EA70F7" w:rsidP="00EA70F7">
      <w:pPr>
        <w:spacing w:after="0" w:line="240" w:lineRule="auto"/>
        <w:jc w:val="both"/>
        <w:rPr>
          <w:rFonts w:ascii="Times New Roman" w:hAnsi="Times New Roman"/>
          <w:color w:val="0070C0"/>
          <w:sz w:val="16"/>
          <w:szCs w:val="16"/>
        </w:rPr>
      </w:pPr>
    </w:p>
    <w:p w14:paraId="374D35B3" w14:textId="334C7968"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2811E4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74FF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маю 1942 ДА предъявило промышленности Ил-4 с двумя подвесными бензобаками емкостью по 325 л и двумя дополнительными маслобаками по 70 л и по этому образцу заводские бригады и техсостав к маю 1942 переоборудовали несколько сот Ил-4, а промышленность начала серию. Дальность выросла на 450-480 км (556,193).</w:t>
      </w:r>
    </w:p>
    <w:p w14:paraId="107F17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C6D76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маю 1942 г. была выпущена опытная серия из пяти самолетов Як-1 с двумя синхронными ШКАС, замененными на 2 синхронных УБ (№№ 3752, 3852, 4252, 4352, 4452) на которых были устранены замечания, полученные на полигонных испытаниях. Четыре машины этой серии с 12 мая по 2 июня 1942 г. прошли войсковые испытания в 182 иап (командир полка Герой Советского Союза майор Нога) 105 над ПВО г.Ростова с хорошим результатом. Распространения этот вариант Як-1 не получил. Его полетный вес возрос, а компенсировать связанное с этим ухудшение летных данных было нечем. На фронте же все шире стала применяться новая модификация Мессершмитта - Bf. 109F, которой уступал в скорости и вертикальном маневре даже Як-1 с обычным вооружением (12048).</w:t>
      </w:r>
    </w:p>
    <w:p w14:paraId="4541D2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33456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маю 1942 г. к полетам был подготовлен пятый летающий И-185М-71 (так называемый «об</w:t>
      </w:r>
      <w:r w:rsidRPr="008127F8">
        <w:rPr>
          <w:rFonts w:ascii="Times New Roman" w:hAnsi="Times New Roman"/>
          <w:color w:val="000000" w:themeColor="text1"/>
          <w:sz w:val="16"/>
          <w:szCs w:val="16"/>
        </w:rPr>
        <w:softHyphen/>
        <w:t>разцовый»), построенный на заводе №51. Этот самолет был изготовлен по чертежам, подготов</w:t>
      </w:r>
      <w:r w:rsidRPr="008127F8">
        <w:rPr>
          <w:rFonts w:ascii="Times New Roman" w:hAnsi="Times New Roman"/>
          <w:color w:val="000000" w:themeColor="text1"/>
          <w:sz w:val="16"/>
          <w:szCs w:val="16"/>
        </w:rPr>
        <w:softHyphen/>
        <w:t>ленным для серийного производства на основе опыта постройки предыдущих однотипных ма</w:t>
      </w:r>
      <w:r w:rsidRPr="008127F8">
        <w:rPr>
          <w:rFonts w:ascii="Times New Roman" w:hAnsi="Times New Roman"/>
          <w:color w:val="000000" w:themeColor="text1"/>
          <w:sz w:val="16"/>
          <w:szCs w:val="16"/>
        </w:rPr>
        <w:softHyphen/>
        <w:t>шин. В «образцовом» И-185 М-71 были учтены все замеченные ранее дефекты и недостатки, его со</w:t>
      </w:r>
      <w:r w:rsidRPr="008127F8">
        <w:rPr>
          <w:rFonts w:ascii="Times New Roman" w:hAnsi="Times New Roman"/>
          <w:color w:val="000000" w:themeColor="text1"/>
          <w:sz w:val="16"/>
          <w:szCs w:val="16"/>
        </w:rPr>
        <w:softHyphen/>
        <w:t>вершенство заметно возросло за счет улучшения внешней и внутренней аэродинамики капота дви</w:t>
      </w:r>
      <w:r w:rsidRPr="008127F8">
        <w:rPr>
          <w:rFonts w:ascii="Times New Roman" w:hAnsi="Times New Roman"/>
          <w:color w:val="000000" w:themeColor="text1"/>
          <w:sz w:val="16"/>
          <w:szCs w:val="16"/>
        </w:rPr>
        <w:softHyphen/>
        <w:t>гателя. За время заводских испытаний в период с 28 мая по 12 октября 1942 г. самолет совершил 21 полет с общим налетом 10 часов 35 минут. Была достигнута максимальная скорость 577 км/ч с форсажем у земли и 667 км/ч на вы</w:t>
      </w:r>
      <w:r w:rsidRPr="008127F8">
        <w:rPr>
          <w:rFonts w:ascii="Times New Roman" w:hAnsi="Times New Roman"/>
          <w:color w:val="000000" w:themeColor="text1"/>
          <w:sz w:val="16"/>
          <w:szCs w:val="16"/>
        </w:rPr>
        <w:softHyphen/>
        <w:t>соте 6100 м (9979).</w:t>
      </w:r>
    </w:p>
    <w:p w14:paraId="0EF9EF5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5F803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маю 1942 г. Заместитель наркома авиационной промышленнос</w:t>
      </w:r>
      <w:r w:rsidRPr="008127F8">
        <w:rPr>
          <w:rFonts w:ascii="Times New Roman" w:hAnsi="Times New Roman"/>
          <w:color w:val="000000" w:themeColor="text1"/>
          <w:sz w:val="16"/>
          <w:szCs w:val="16"/>
        </w:rPr>
        <w:softHyphen/>
        <w:t>ти СССР А.С.Яковлев анализируя боевые действия пришел к выводу: для завоевания господства в воздухе на локальном участке фронта необходимо иметь авиа</w:t>
      </w:r>
      <w:r w:rsidRPr="008127F8">
        <w:rPr>
          <w:rFonts w:ascii="Times New Roman" w:hAnsi="Times New Roman"/>
          <w:color w:val="000000" w:themeColor="text1"/>
          <w:sz w:val="16"/>
          <w:szCs w:val="16"/>
        </w:rPr>
        <w:softHyphen/>
        <w:t>ционные группировки типа появившихся впоследствии полков и дивизий резерва Ставки Верховного главноко</w:t>
      </w:r>
      <w:r w:rsidRPr="008127F8">
        <w:rPr>
          <w:rFonts w:ascii="Times New Roman" w:hAnsi="Times New Roman"/>
          <w:color w:val="000000" w:themeColor="text1"/>
          <w:sz w:val="16"/>
          <w:szCs w:val="16"/>
        </w:rPr>
        <w:softHyphen/>
        <w:t>мандования, способные решать стратегические задачи (10667).</w:t>
      </w:r>
    </w:p>
    <w:p w14:paraId="5BC5E2B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977D8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маю 1942 г. ОКБ-483 смогло представить в ЛИИ НКАП, находящийся в это время в Казани, последний вариант ОКО-6 -Та-3бис 2М-89.</w:t>
      </w:r>
    </w:p>
    <w:p w14:paraId="3BB809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опытного Та-3 новый “бис” отличался главным образом новыми консолями, которые стали иметь большую площадь и были выполнены целиком из электрона.</w:t>
      </w:r>
    </w:p>
    <w:p w14:paraId="1E3F08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Поперечное V консолей было увеличено, им была придана небольшая отрицательная стреловидность.</w:t>
      </w:r>
    </w:p>
    <w:p w14:paraId="733A5C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Проведенные доработки позволили увеличить запас топлива до 1300 кг. Полетный вес самолета возрос до 6626 кг, изменилась центровка, резко ухудшились взлетно-посадочные характеристики.</w:t>
      </w:r>
    </w:p>
    <w:p w14:paraId="20F309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Та-3бис у земли не превышала 452 км/ч, а на высоте 7050 м - 565 км/ч. Потолок уменьшился до 9200 м. Дальность полета достигла 2060 км (9649).</w:t>
      </w:r>
    </w:p>
    <w:p w14:paraId="26C246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17AC5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маю 1942 г. на заводе № 387 НКАП был разработан и испытан простейший бортовой визир, устанавливавшийся на все выпускавшиеся этим авиазаводом самолеты У-2.</w:t>
      </w:r>
    </w:p>
    <w:p w14:paraId="553C3C0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самого начала переоборудования У-2 в боевые машины летный и технический состав ВВС столкнулся с проблемой обеспечения эффективного прицеливания при бомбометании с У-2. Бомбовых прицелов для У-2, обеспечивающих требуемые точности бомбометания днем и, самое главное, ночью, на вооружении ВВС РККА не было. Поэтому в качестве бомбового прицела на У-2 применялись различные устройства, в основном самодельного характера. На некоторых самолетах на правом борту устанавливались механические визиры НВ-5. Однако, ввиду небольших скоростей полета У-2, углы прицеливания были невелики и находились как раз в «мертвой зоне» обзора нижней передней полусферы (из-за нижнего крыла). Так что прицельно бомбардировать было весьма затруднительно. Только после того, как в нижнем крыле самолета сделали прорезь, условия прицеливания при бомбометании вошли в норму. Несмотря на найденное решение, нужда в специальном бомбовом прицеле для самолета У-2 не отпала. Однако и этот визир не в полной мере удовлетворял требованиям боевого применения У-2, так как был рассчитан на бомбометание только с горизонтального полета в плоскости ветра при высоте полета не более 1000 м. Поэтому в июне 1942 г. Главное Управление ВВС дало задание заводу № 217 на разработку более совершенного прицела для самолетов У-2 и Р-5. Новый прицел должен был обеспечивать прицеливание при бомбометании, как с горизонтального полета, так и с планирования (до 30) днем и, главным образом, ночью и иметь простейший построитель углов прицеливания и шкалы углов визирования и сноса. Созданный в соответствии с этим заданием прицел в период с 28 сентября по 2 октября 1942 г. прошел войсковые испытания в 989-м нбап и показал хорошие результаты. Однако на вооружение был принят пока все-таки бортовой визир завода № 387 как показавший при сравнительных полигонных испытаниях лучшие результаты. Прицел завода №217 после испытаний, проведенных в НИИ АВ ВВС РККА в мае 1943 г., был утвержден Главным инженером ВВС РККА генералом А. И. Репиным для установки на У-2 лишь через год, в июне 1944 г., после завершения доводочных работ, с присвоением ему шифра НП-У-2 (НКПБ-8). НКПБ-8 обеспечивал бомбардирование с горизонтального полета на скоростях 30-200 км/ч в диапазоне углов прицеливания от +85° до 0°. При этом угол прицеливания определялся для высот от 50 до 500 м (15142).</w:t>
      </w:r>
    </w:p>
    <w:p w14:paraId="02D7ED5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0B9657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маю 1942 г. заводы № 22, 31, 39, 84 достигли доэвакуационного уровня выпуска самолетов (18305).</w:t>
      </w:r>
    </w:p>
    <w:p w14:paraId="53777DC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9CAA9F0" w14:textId="77777777" w:rsidR="00EA70F7" w:rsidRPr="008A2E5A" w:rsidRDefault="00EA70F7" w:rsidP="00EA70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маю 1942 г. заводы № 22, 31, 39, 84 достигли доэвакуационного уровня выпуска самолетов (23472).</w:t>
      </w:r>
    </w:p>
    <w:p w14:paraId="5EE62A1D" w14:textId="77777777" w:rsidR="00EA70F7" w:rsidRPr="008A2E5A" w:rsidRDefault="00EA70F7" w:rsidP="00EA70F7">
      <w:pPr>
        <w:spacing w:after="0" w:line="240" w:lineRule="auto"/>
        <w:jc w:val="both"/>
        <w:rPr>
          <w:rFonts w:ascii="Times New Roman" w:hAnsi="Times New Roman"/>
          <w:color w:val="0070C0"/>
          <w:sz w:val="16"/>
          <w:szCs w:val="16"/>
        </w:rPr>
      </w:pPr>
    </w:p>
    <w:p w14:paraId="2A20EE19"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К маю месяцу 1942 на заводе № 296 собрали и отрегулировали 5 насосов НВ для испытаний на М-82 (15813).</w:t>
      </w:r>
    </w:p>
    <w:p w14:paraId="4C5AEE67"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p>
    <w:p w14:paraId="5E926FED" w14:textId="77777777" w:rsidR="00EA70F7" w:rsidRPr="008A2E5A" w:rsidRDefault="00EA70F7" w:rsidP="00EA70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мая 1942 г. моторы М-82 не находили себе применения, а единственными типами боевых самолетов, планы по се</w:t>
      </w:r>
      <w:r w:rsidRPr="008A2E5A">
        <w:rPr>
          <w:rFonts w:ascii="Times New Roman" w:hAnsi="Times New Roman"/>
          <w:color w:val="0070C0"/>
          <w:sz w:val="16"/>
          <w:szCs w:val="16"/>
        </w:rPr>
        <w:softHyphen/>
        <w:t>рийному выпуску которых с мотором М-82 прослежива</w:t>
      </w:r>
      <w:r w:rsidRPr="008A2E5A">
        <w:rPr>
          <w:rFonts w:ascii="Times New Roman" w:hAnsi="Times New Roman"/>
          <w:color w:val="0070C0"/>
          <w:sz w:val="16"/>
          <w:szCs w:val="16"/>
        </w:rPr>
        <w:softHyphen/>
        <w:t>ются по постановлениям ГКО, являлись Су-2, Ил-2 и Ту-2 (производство Су-2 М-82 закончилось 51 самолетом, а машины Ил-2 М-82 и Ту-2 М-82 появились в планах НКАП только с января 1942г.). История не знает сослагательно</w:t>
      </w:r>
      <w:r w:rsidRPr="008A2E5A">
        <w:rPr>
          <w:rFonts w:ascii="Times New Roman" w:hAnsi="Times New Roman"/>
          <w:color w:val="0070C0"/>
          <w:sz w:val="16"/>
          <w:szCs w:val="16"/>
        </w:rPr>
        <w:softHyphen/>
        <w:t>го наклонения, но факт есть факт: весь 1941 г. и половину 1942 г. завод № 19, находившийся в глубине территории СССР, в основном работал по обслуживанию авиапарка боевых и учебных самолетов старых типов (число кото</w:t>
      </w:r>
      <w:r w:rsidRPr="008A2E5A">
        <w:rPr>
          <w:rFonts w:ascii="Times New Roman" w:hAnsi="Times New Roman"/>
          <w:color w:val="0070C0"/>
          <w:sz w:val="16"/>
          <w:szCs w:val="16"/>
        </w:rPr>
        <w:softHyphen/>
        <w:t>рых в ВВС КА стремительно сокращалось) и транспорт</w:t>
      </w:r>
      <w:r w:rsidRPr="008A2E5A">
        <w:rPr>
          <w:rFonts w:ascii="Times New Roman" w:hAnsi="Times New Roman"/>
          <w:color w:val="0070C0"/>
          <w:sz w:val="16"/>
          <w:szCs w:val="16"/>
        </w:rPr>
        <w:softHyphen/>
        <w:t>ной авиации, а также поставлял литье для авиамоторных заводов №24 и №45 НКАП и выпускал запчасти для трак</w:t>
      </w:r>
      <w:r w:rsidRPr="008A2E5A">
        <w:rPr>
          <w:rFonts w:ascii="Times New Roman" w:hAnsi="Times New Roman"/>
          <w:color w:val="0070C0"/>
          <w:sz w:val="16"/>
          <w:szCs w:val="16"/>
        </w:rPr>
        <w:softHyphen/>
        <w:t>торов.</w:t>
      </w:r>
    </w:p>
    <w:p w14:paraId="32DCB9C8" w14:textId="77777777" w:rsidR="00EA70F7" w:rsidRPr="008A2E5A" w:rsidRDefault="00EA70F7" w:rsidP="00EA70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 истребителей с моторами М-82 расчетные скорости ожидались: у И-185 Н.Н. Поликарпова - 626 км/ч на вы</w:t>
      </w:r>
      <w:r w:rsidRPr="008A2E5A">
        <w:rPr>
          <w:rFonts w:ascii="Times New Roman" w:hAnsi="Times New Roman"/>
          <w:color w:val="0070C0"/>
          <w:sz w:val="16"/>
          <w:szCs w:val="16"/>
        </w:rPr>
        <w:softHyphen/>
        <w:t xml:space="preserve">соте 6550 м, у МиГ-9 А.И. Микояна - 630 км/ч на высоте 6500 м, у Гу-82 М.И. Гудкова - 620 км/ч на высоте 6400 м, а у ЛаГ с М-82 С.А. Лавочкина - 605 км/ч на высоте 6500 м. Ни одной из этих опытных машин (несмотря </w:t>
      </w:r>
      <w:r w:rsidRPr="008A2E5A">
        <w:rPr>
          <w:rFonts w:ascii="Times New Roman" w:hAnsi="Times New Roman"/>
          <w:color w:val="0070C0"/>
          <w:sz w:val="16"/>
          <w:szCs w:val="16"/>
        </w:rPr>
        <w:lastRenderedPageBreak/>
        <w:t>на прове</w:t>
      </w:r>
      <w:r w:rsidRPr="008A2E5A">
        <w:rPr>
          <w:rFonts w:ascii="Times New Roman" w:hAnsi="Times New Roman"/>
          <w:color w:val="0070C0"/>
          <w:sz w:val="16"/>
          <w:szCs w:val="16"/>
        </w:rPr>
        <w:softHyphen/>
        <w:t>денные ЦАГИ исследования по отработке винтомоторной группы (ВМГ) с мотором М-82, включая с натурные про</w:t>
      </w:r>
      <w:r w:rsidRPr="008A2E5A">
        <w:rPr>
          <w:rFonts w:ascii="Times New Roman" w:hAnsi="Times New Roman"/>
          <w:color w:val="0070C0"/>
          <w:sz w:val="16"/>
          <w:szCs w:val="16"/>
        </w:rPr>
        <w:softHyphen/>
        <w:t>дувки капота ЦАГИ с работающим и не работающим мо</w:t>
      </w:r>
      <w:r w:rsidRPr="008A2E5A">
        <w:rPr>
          <w:rFonts w:ascii="Times New Roman" w:hAnsi="Times New Roman"/>
          <w:color w:val="0070C0"/>
          <w:sz w:val="16"/>
          <w:szCs w:val="16"/>
        </w:rPr>
        <w:softHyphen/>
        <w:t>тором в аэродинамической трубе Т-104, и выданные ре</w:t>
      </w:r>
      <w:r w:rsidRPr="008A2E5A">
        <w:rPr>
          <w:rFonts w:ascii="Times New Roman" w:hAnsi="Times New Roman"/>
          <w:color w:val="0070C0"/>
          <w:sz w:val="16"/>
          <w:szCs w:val="16"/>
        </w:rPr>
        <w:softHyphen/>
        <w:t>комендации) не удалось подтвердить расчетные скоро</w:t>
      </w:r>
      <w:r w:rsidRPr="008A2E5A">
        <w:rPr>
          <w:rFonts w:ascii="Times New Roman" w:hAnsi="Times New Roman"/>
          <w:color w:val="0070C0"/>
          <w:sz w:val="16"/>
          <w:szCs w:val="16"/>
        </w:rPr>
        <w:softHyphen/>
        <w:t>сти (таблица 17)</w:t>
      </w:r>
    </w:p>
    <w:p w14:paraId="58CFE999" w14:textId="77777777" w:rsidR="00EA70F7" w:rsidRPr="008A2E5A" w:rsidRDefault="00EA70F7" w:rsidP="00EA70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Таблица №17. Сравнительные характеристики летных данных опытных истребителей с мотором М-82</w:t>
      </w:r>
    </w:p>
    <w:tbl>
      <w:tblPr>
        <w:tblOverlap w:val="never"/>
        <w:tblW w:w="0" w:type="auto"/>
        <w:tblLayout w:type="fixed"/>
        <w:tblCellMar>
          <w:left w:w="10" w:type="dxa"/>
          <w:right w:w="10" w:type="dxa"/>
        </w:tblCellMar>
        <w:tblLook w:val="04A0" w:firstRow="1" w:lastRow="0" w:firstColumn="1" w:lastColumn="0" w:noHBand="0" w:noVBand="1"/>
      </w:tblPr>
      <w:tblGrid>
        <w:gridCol w:w="3802"/>
        <w:gridCol w:w="974"/>
        <w:gridCol w:w="979"/>
        <w:gridCol w:w="984"/>
        <w:gridCol w:w="979"/>
        <w:gridCol w:w="979"/>
        <w:gridCol w:w="989"/>
      </w:tblGrid>
      <w:tr w:rsidR="00EA70F7" w:rsidRPr="008A2E5A" w14:paraId="528F79F6" w14:textId="77777777" w:rsidTr="004C5D62">
        <w:trPr>
          <w:trHeight w:val="442"/>
        </w:trPr>
        <w:tc>
          <w:tcPr>
            <w:tcW w:w="3802" w:type="dxa"/>
            <w:tcBorders>
              <w:top w:val="single" w:sz="4" w:space="0" w:color="auto"/>
              <w:left w:val="single" w:sz="4" w:space="0" w:color="auto"/>
            </w:tcBorders>
            <w:shd w:val="clear" w:color="auto" w:fill="auto"/>
            <w:vAlign w:val="center"/>
          </w:tcPr>
          <w:p w14:paraId="3B417869"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Тип самолета</w:t>
            </w:r>
          </w:p>
        </w:tc>
        <w:tc>
          <w:tcPr>
            <w:tcW w:w="974" w:type="dxa"/>
            <w:tcBorders>
              <w:top w:val="single" w:sz="4" w:space="0" w:color="auto"/>
              <w:left w:val="single" w:sz="4" w:space="0" w:color="auto"/>
            </w:tcBorders>
            <w:shd w:val="clear" w:color="auto" w:fill="auto"/>
            <w:vAlign w:val="center"/>
          </w:tcPr>
          <w:p w14:paraId="59B52836"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МиГ-9</w:t>
            </w:r>
          </w:p>
        </w:tc>
        <w:tc>
          <w:tcPr>
            <w:tcW w:w="979" w:type="dxa"/>
            <w:tcBorders>
              <w:top w:val="single" w:sz="4" w:space="0" w:color="auto"/>
              <w:left w:val="single" w:sz="4" w:space="0" w:color="auto"/>
            </w:tcBorders>
            <w:shd w:val="clear" w:color="auto" w:fill="auto"/>
            <w:vAlign w:val="center"/>
          </w:tcPr>
          <w:p w14:paraId="15D4982E"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И-185</w:t>
            </w:r>
          </w:p>
        </w:tc>
        <w:tc>
          <w:tcPr>
            <w:tcW w:w="984" w:type="dxa"/>
            <w:tcBorders>
              <w:top w:val="single" w:sz="4" w:space="0" w:color="auto"/>
              <w:left w:val="single" w:sz="4" w:space="0" w:color="auto"/>
            </w:tcBorders>
            <w:shd w:val="clear" w:color="auto" w:fill="auto"/>
            <w:vAlign w:val="center"/>
          </w:tcPr>
          <w:p w14:paraId="17DEDA28"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Гу-82</w:t>
            </w:r>
          </w:p>
        </w:tc>
        <w:tc>
          <w:tcPr>
            <w:tcW w:w="979" w:type="dxa"/>
            <w:tcBorders>
              <w:top w:val="single" w:sz="4" w:space="0" w:color="auto"/>
              <w:left w:val="single" w:sz="4" w:space="0" w:color="auto"/>
            </w:tcBorders>
            <w:shd w:val="clear" w:color="auto" w:fill="auto"/>
            <w:vAlign w:val="center"/>
          </w:tcPr>
          <w:p w14:paraId="5B63E1E8"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w:t>
            </w:r>
          </w:p>
        </w:tc>
        <w:tc>
          <w:tcPr>
            <w:tcW w:w="979" w:type="dxa"/>
            <w:tcBorders>
              <w:top w:val="single" w:sz="4" w:space="0" w:color="auto"/>
              <w:left w:val="single" w:sz="4" w:space="0" w:color="auto"/>
            </w:tcBorders>
            <w:shd w:val="clear" w:color="auto" w:fill="auto"/>
            <w:vAlign w:val="center"/>
          </w:tcPr>
          <w:p w14:paraId="21DE7606"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ЛаГГ-3</w:t>
            </w:r>
          </w:p>
        </w:tc>
        <w:tc>
          <w:tcPr>
            <w:tcW w:w="989" w:type="dxa"/>
            <w:tcBorders>
              <w:top w:val="single" w:sz="4" w:space="0" w:color="auto"/>
              <w:left w:val="single" w:sz="4" w:space="0" w:color="auto"/>
              <w:right w:val="single" w:sz="4" w:space="0" w:color="auto"/>
            </w:tcBorders>
            <w:shd w:val="clear" w:color="auto" w:fill="auto"/>
          </w:tcPr>
          <w:p w14:paraId="6E627781"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Hawker Hurricane**</w:t>
            </w:r>
          </w:p>
        </w:tc>
      </w:tr>
      <w:tr w:rsidR="00EA70F7" w:rsidRPr="008A2E5A" w14:paraId="0DBEE8D6" w14:textId="77777777" w:rsidTr="004C5D62">
        <w:trPr>
          <w:trHeight w:val="250"/>
        </w:trPr>
        <w:tc>
          <w:tcPr>
            <w:tcW w:w="3802" w:type="dxa"/>
            <w:tcBorders>
              <w:top w:val="single" w:sz="4" w:space="0" w:color="auto"/>
              <w:left w:val="single" w:sz="4" w:space="0" w:color="auto"/>
            </w:tcBorders>
            <w:shd w:val="clear" w:color="auto" w:fill="auto"/>
            <w:vAlign w:val="bottom"/>
          </w:tcPr>
          <w:p w14:paraId="6546B3FF"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Дата первого полета</w:t>
            </w:r>
          </w:p>
        </w:tc>
        <w:tc>
          <w:tcPr>
            <w:tcW w:w="974" w:type="dxa"/>
            <w:tcBorders>
              <w:top w:val="single" w:sz="4" w:space="0" w:color="auto"/>
              <w:left w:val="single" w:sz="4" w:space="0" w:color="auto"/>
            </w:tcBorders>
            <w:shd w:val="clear" w:color="auto" w:fill="auto"/>
            <w:vAlign w:val="bottom"/>
          </w:tcPr>
          <w:p w14:paraId="64743179"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21.7.41 г.</w:t>
            </w:r>
          </w:p>
        </w:tc>
        <w:tc>
          <w:tcPr>
            <w:tcW w:w="979" w:type="dxa"/>
            <w:tcBorders>
              <w:top w:val="single" w:sz="4" w:space="0" w:color="auto"/>
              <w:left w:val="single" w:sz="4" w:space="0" w:color="auto"/>
            </w:tcBorders>
            <w:shd w:val="clear" w:color="auto" w:fill="auto"/>
            <w:vAlign w:val="bottom"/>
          </w:tcPr>
          <w:p w14:paraId="589AE81D"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23.7.41 г.</w:t>
            </w:r>
          </w:p>
        </w:tc>
        <w:tc>
          <w:tcPr>
            <w:tcW w:w="984" w:type="dxa"/>
            <w:tcBorders>
              <w:top w:val="single" w:sz="4" w:space="0" w:color="auto"/>
              <w:left w:val="single" w:sz="4" w:space="0" w:color="auto"/>
            </w:tcBorders>
            <w:shd w:val="clear" w:color="auto" w:fill="auto"/>
            <w:vAlign w:val="bottom"/>
          </w:tcPr>
          <w:p w14:paraId="49C795B9"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11.9.41 г.</w:t>
            </w:r>
          </w:p>
        </w:tc>
        <w:tc>
          <w:tcPr>
            <w:tcW w:w="979" w:type="dxa"/>
            <w:tcBorders>
              <w:top w:val="single" w:sz="4" w:space="0" w:color="auto"/>
              <w:left w:val="single" w:sz="4" w:space="0" w:color="auto"/>
            </w:tcBorders>
            <w:shd w:val="clear" w:color="auto" w:fill="auto"/>
            <w:vAlign w:val="bottom"/>
          </w:tcPr>
          <w:p w14:paraId="08C7B759"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28.2.42 г.</w:t>
            </w:r>
          </w:p>
        </w:tc>
        <w:tc>
          <w:tcPr>
            <w:tcW w:w="979" w:type="dxa"/>
            <w:tcBorders>
              <w:top w:val="single" w:sz="4" w:space="0" w:color="auto"/>
              <w:left w:val="single" w:sz="4" w:space="0" w:color="auto"/>
            </w:tcBorders>
            <w:shd w:val="clear" w:color="auto" w:fill="auto"/>
            <w:vAlign w:val="bottom"/>
          </w:tcPr>
          <w:p w14:paraId="70D17C57"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21.3.42 г.</w:t>
            </w:r>
          </w:p>
        </w:tc>
        <w:tc>
          <w:tcPr>
            <w:tcW w:w="989" w:type="dxa"/>
            <w:tcBorders>
              <w:top w:val="single" w:sz="4" w:space="0" w:color="auto"/>
              <w:left w:val="single" w:sz="4" w:space="0" w:color="auto"/>
              <w:right w:val="single" w:sz="4" w:space="0" w:color="auto"/>
            </w:tcBorders>
            <w:shd w:val="clear" w:color="auto" w:fill="auto"/>
            <w:vAlign w:val="bottom"/>
          </w:tcPr>
          <w:p w14:paraId="2F9BF97C"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5.5.42 г.</w:t>
            </w:r>
          </w:p>
        </w:tc>
      </w:tr>
      <w:tr w:rsidR="00EA70F7" w:rsidRPr="008A2E5A" w14:paraId="7144F71E" w14:textId="77777777" w:rsidTr="004C5D62">
        <w:trPr>
          <w:trHeight w:val="250"/>
        </w:trPr>
        <w:tc>
          <w:tcPr>
            <w:tcW w:w="3802" w:type="dxa"/>
            <w:tcBorders>
              <w:top w:val="single" w:sz="4" w:space="0" w:color="auto"/>
              <w:left w:val="single" w:sz="4" w:space="0" w:color="auto"/>
            </w:tcBorders>
            <w:shd w:val="clear" w:color="auto" w:fill="auto"/>
            <w:vAlign w:val="bottom"/>
          </w:tcPr>
          <w:p w14:paraId="6FF70499"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Полетный вес, кг</w:t>
            </w:r>
          </w:p>
        </w:tc>
        <w:tc>
          <w:tcPr>
            <w:tcW w:w="974" w:type="dxa"/>
            <w:tcBorders>
              <w:top w:val="single" w:sz="4" w:space="0" w:color="auto"/>
              <w:left w:val="single" w:sz="4" w:space="0" w:color="auto"/>
            </w:tcBorders>
            <w:shd w:val="clear" w:color="auto" w:fill="auto"/>
            <w:vAlign w:val="bottom"/>
          </w:tcPr>
          <w:p w14:paraId="72785DE3"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3382</w:t>
            </w:r>
          </w:p>
        </w:tc>
        <w:tc>
          <w:tcPr>
            <w:tcW w:w="979" w:type="dxa"/>
            <w:tcBorders>
              <w:top w:val="single" w:sz="4" w:space="0" w:color="auto"/>
              <w:left w:val="single" w:sz="4" w:space="0" w:color="auto"/>
            </w:tcBorders>
            <w:shd w:val="clear" w:color="auto" w:fill="auto"/>
            <w:vAlign w:val="bottom"/>
          </w:tcPr>
          <w:p w14:paraId="0EB6B47F"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3328</w:t>
            </w:r>
          </w:p>
        </w:tc>
        <w:tc>
          <w:tcPr>
            <w:tcW w:w="984" w:type="dxa"/>
            <w:tcBorders>
              <w:top w:val="single" w:sz="4" w:space="0" w:color="auto"/>
              <w:left w:val="single" w:sz="4" w:space="0" w:color="auto"/>
            </w:tcBorders>
            <w:shd w:val="clear" w:color="auto" w:fill="auto"/>
            <w:vAlign w:val="bottom"/>
          </w:tcPr>
          <w:p w14:paraId="12371653"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3430</w:t>
            </w:r>
          </w:p>
        </w:tc>
        <w:tc>
          <w:tcPr>
            <w:tcW w:w="979" w:type="dxa"/>
            <w:tcBorders>
              <w:top w:val="single" w:sz="4" w:space="0" w:color="auto"/>
              <w:left w:val="single" w:sz="4" w:space="0" w:color="auto"/>
            </w:tcBorders>
            <w:shd w:val="clear" w:color="auto" w:fill="auto"/>
            <w:vAlign w:val="bottom"/>
          </w:tcPr>
          <w:p w14:paraId="66602BBE"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3340</w:t>
            </w:r>
          </w:p>
        </w:tc>
        <w:tc>
          <w:tcPr>
            <w:tcW w:w="979" w:type="dxa"/>
            <w:tcBorders>
              <w:top w:val="single" w:sz="4" w:space="0" w:color="auto"/>
              <w:left w:val="single" w:sz="4" w:space="0" w:color="auto"/>
            </w:tcBorders>
            <w:shd w:val="clear" w:color="auto" w:fill="auto"/>
            <w:vAlign w:val="bottom"/>
          </w:tcPr>
          <w:p w14:paraId="127AFDB4"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3370</w:t>
            </w:r>
          </w:p>
        </w:tc>
        <w:tc>
          <w:tcPr>
            <w:tcW w:w="989" w:type="dxa"/>
            <w:tcBorders>
              <w:top w:val="single" w:sz="4" w:space="0" w:color="auto"/>
              <w:left w:val="single" w:sz="4" w:space="0" w:color="auto"/>
              <w:right w:val="single" w:sz="4" w:space="0" w:color="auto"/>
            </w:tcBorders>
            <w:shd w:val="clear" w:color="auto" w:fill="auto"/>
            <w:vAlign w:val="bottom"/>
          </w:tcPr>
          <w:p w14:paraId="1363A887"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3371</w:t>
            </w:r>
          </w:p>
        </w:tc>
      </w:tr>
      <w:tr w:rsidR="00EA70F7" w:rsidRPr="008A2E5A" w14:paraId="1FFD01F7" w14:textId="77777777" w:rsidTr="004C5D62">
        <w:trPr>
          <w:trHeight w:val="254"/>
        </w:trPr>
        <w:tc>
          <w:tcPr>
            <w:tcW w:w="3802" w:type="dxa"/>
            <w:tcBorders>
              <w:top w:val="single" w:sz="4" w:space="0" w:color="auto"/>
              <w:left w:val="single" w:sz="4" w:space="0" w:color="auto"/>
            </w:tcBorders>
            <w:shd w:val="clear" w:color="auto" w:fill="auto"/>
            <w:vAlign w:val="bottom"/>
          </w:tcPr>
          <w:p w14:paraId="7DC91CF3"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у земли без форсажа, км/ч</w:t>
            </w:r>
          </w:p>
        </w:tc>
        <w:tc>
          <w:tcPr>
            <w:tcW w:w="974" w:type="dxa"/>
            <w:tcBorders>
              <w:top w:val="single" w:sz="4" w:space="0" w:color="auto"/>
              <w:left w:val="single" w:sz="4" w:space="0" w:color="auto"/>
            </w:tcBorders>
            <w:shd w:val="clear" w:color="auto" w:fill="auto"/>
            <w:vAlign w:val="bottom"/>
          </w:tcPr>
          <w:p w14:paraId="27689B94"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475</w:t>
            </w:r>
          </w:p>
        </w:tc>
        <w:tc>
          <w:tcPr>
            <w:tcW w:w="979" w:type="dxa"/>
            <w:tcBorders>
              <w:top w:val="single" w:sz="4" w:space="0" w:color="auto"/>
              <w:left w:val="single" w:sz="4" w:space="0" w:color="auto"/>
            </w:tcBorders>
            <w:shd w:val="clear" w:color="auto" w:fill="auto"/>
            <w:vAlign w:val="bottom"/>
          </w:tcPr>
          <w:p w14:paraId="732535A2"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515</w:t>
            </w:r>
          </w:p>
        </w:tc>
        <w:tc>
          <w:tcPr>
            <w:tcW w:w="984" w:type="dxa"/>
            <w:tcBorders>
              <w:top w:val="single" w:sz="4" w:space="0" w:color="auto"/>
              <w:left w:val="single" w:sz="4" w:space="0" w:color="auto"/>
            </w:tcBorders>
            <w:shd w:val="clear" w:color="auto" w:fill="auto"/>
            <w:vAlign w:val="bottom"/>
          </w:tcPr>
          <w:p w14:paraId="758782E2"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478</w:t>
            </w:r>
          </w:p>
        </w:tc>
        <w:tc>
          <w:tcPr>
            <w:tcW w:w="979" w:type="dxa"/>
            <w:tcBorders>
              <w:top w:val="single" w:sz="4" w:space="0" w:color="auto"/>
              <w:left w:val="single" w:sz="4" w:space="0" w:color="auto"/>
            </w:tcBorders>
            <w:shd w:val="clear" w:color="auto" w:fill="auto"/>
            <w:vAlign w:val="bottom"/>
          </w:tcPr>
          <w:p w14:paraId="6AB4FBD4"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515</w:t>
            </w:r>
          </w:p>
        </w:tc>
        <w:tc>
          <w:tcPr>
            <w:tcW w:w="979" w:type="dxa"/>
            <w:tcBorders>
              <w:top w:val="single" w:sz="4" w:space="0" w:color="auto"/>
              <w:left w:val="single" w:sz="4" w:space="0" w:color="auto"/>
            </w:tcBorders>
            <w:shd w:val="clear" w:color="auto" w:fill="auto"/>
            <w:vAlign w:val="bottom"/>
          </w:tcPr>
          <w:p w14:paraId="3C2DEB3A"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515</w:t>
            </w:r>
          </w:p>
        </w:tc>
        <w:tc>
          <w:tcPr>
            <w:tcW w:w="989" w:type="dxa"/>
            <w:tcBorders>
              <w:top w:val="single" w:sz="4" w:space="0" w:color="auto"/>
              <w:left w:val="single" w:sz="4" w:space="0" w:color="auto"/>
              <w:right w:val="single" w:sz="4" w:space="0" w:color="auto"/>
            </w:tcBorders>
            <w:shd w:val="clear" w:color="auto" w:fill="auto"/>
            <w:vAlign w:val="bottom"/>
          </w:tcPr>
          <w:p w14:paraId="48A5E989"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459</w:t>
            </w:r>
          </w:p>
        </w:tc>
      </w:tr>
      <w:tr w:rsidR="00EA70F7" w:rsidRPr="008A2E5A" w14:paraId="537BE511" w14:textId="77777777" w:rsidTr="004C5D62">
        <w:trPr>
          <w:trHeight w:val="427"/>
        </w:trPr>
        <w:tc>
          <w:tcPr>
            <w:tcW w:w="3802" w:type="dxa"/>
            <w:tcBorders>
              <w:top w:val="single" w:sz="4" w:space="0" w:color="auto"/>
              <w:left w:val="single" w:sz="4" w:space="0" w:color="auto"/>
            </w:tcBorders>
            <w:shd w:val="clear" w:color="auto" w:fill="auto"/>
            <w:vAlign w:val="bottom"/>
          </w:tcPr>
          <w:p w14:paraId="4841285D"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на первой границе высотности, км/ч</w:t>
            </w:r>
          </w:p>
        </w:tc>
        <w:tc>
          <w:tcPr>
            <w:tcW w:w="974" w:type="dxa"/>
            <w:tcBorders>
              <w:top w:val="single" w:sz="4" w:space="0" w:color="auto"/>
              <w:left w:val="single" w:sz="4" w:space="0" w:color="auto"/>
            </w:tcBorders>
            <w:shd w:val="clear" w:color="auto" w:fill="auto"/>
          </w:tcPr>
          <w:p w14:paraId="06B64424" w14:textId="77777777" w:rsidR="00EA70F7" w:rsidRPr="008A2E5A" w:rsidRDefault="00EA70F7" w:rsidP="004C5D62">
            <w:pPr>
              <w:spacing w:after="0" w:line="240" w:lineRule="auto"/>
              <w:jc w:val="both"/>
              <w:rPr>
                <w:rFonts w:ascii="Times New Roman" w:hAnsi="Times New Roman"/>
                <w:color w:val="0070C0"/>
                <w:sz w:val="16"/>
                <w:szCs w:val="16"/>
              </w:rPr>
            </w:pPr>
          </w:p>
        </w:tc>
        <w:tc>
          <w:tcPr>
            <w:tcW w:w="979" w:type="dxa"/>
            <w:tcBorders>
              <w:top w:val="single" w:sz="4" w:space="0" w:color="auto"/>
              <w:left w:val="single" w:sz="4" w:space="0" w:color="auto"/>
            </w:tcBorders>
            <w:shd w:val="clear" w:color="auto" w:fill="auto"/>
            <w:vAlign w:val="center"/>
          </w:tcPr>
          <w:p w14:paraId="1960D014"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590</w:t>
            </w:r>
          </w:p>
        </w:tc>
        <w:tc>
          <w:tcPr>
            <w:tcW w:w="984" w:type="dxa"/>
            <w:tcBorders>
              <w:top w:val="single" w:sz="4" w:space="0" w:color="auto"/>
              <w:left w:val="single" w:sz="4" w:space="0" w:color="auto"/>
            </w:tcBorders>
            <w:shd w:val="clear" w:color="auto" w:fill="auto"/>
            <w:vAlign w:val="center"/>
          </w:tcPr>
          <w:p w14:paraId="321B4F2E"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558</w:t>
            </w:r>
          </w:p>
        </w:tc>
        <w:tc>
          <w:tcPr>
            <w:tcW w:w="979" w:type="dxa"/>
            <w:tcBorders>
              <w:top w:val="single" w:sz="4" w:space="0" w:color="auto"/>
              <w:left w:val="single" w:sz="4" w:space="0" w:color="auto"/>
            </w:tcBorders>
            <w:shd w:val="clear" w:color="auto" w:fill="auto"/>
            <w:vAlign w:val="center"/>
          </w:tcPr>
          <w:p w14:paraId="5CB96F3A"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571</w:t>
            </w:r>
          </w:p>
        </w:tc>
        <w:tc>
          <w:tcPr>
            <w:tcW w:w="979" w:type="dxa"/>
            <w:tcBorders>
              <w:top w:val="single" w:sz="4" w:space="0" w:color="auto"/>
              <w:left w:val="single" w:sz="4" w:space="0" w:color="auto"/>
            </w:tcBorders>
            <w:shd w:val="clear" w:color="auto" w:fill="auto"/>
            <w:vAlign w:val="center"/>
          </w:tcPr>
          <w:p w14:paraId="50ECE3E7"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576</w:t>
            </w:r>
          </w:p>
        </w:tc>
        <w:tc>
          <w:tcPr>
            <w:tcW w:w="989" w:type="dxa"/>
            <w:tcBorders>
              <w:top w:val="single" w:sz="4" w:space="0" w:color="auto"/>
              <w:left w:val="single" w:sz="4" w:space="0" w:color="auto"/>
              <w:right w:val="single" w:sz="4" w:space="0" w:color="auto"/>
            </w:tcBorders>
            <w:shd w:val="clear" w:color="auto" w:fill="auto"/>
            <w:vAlign w:val="center"/>
          </w:tcPr>
          <w:p w14:paraId="2AEFFAF9"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EA70F7" w:rsidRPr="008A2E5A" w14:paraId="75D24AE4" w14:textId="77777777" w:rsidTr="004C5D62">
        <w:trPr>
          <w:trHeight w:val="432"/>
        </w:trPr>
        <w:tc>
          <w:tcPr>
            <w:tcW w:w="3802" w:type="dxa"/>
            <w:tcBorders>
              <w:top w:val="single" w:sz="4" w:space="0" w:color="auto"/>
              <w:left w:val="single" w:sz="4" w:space="0" w:color="auto"/>
            </w:tcBorders>
            <w:shd w:val="clear" w:color="auto" w:fill="auto"/>
            <w:vAlign w:val="bottom"/>
          </w:tcPr>
          <w:p w14:paraId="530FA95F"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на второй границе высотности, км/ч</w:t>
            </w:r>
          </w:p>
        </w:tc>
        <w:tc>
          <w:tcPr>
            <w:tcW w:w="974" w:type="dxa"/>
            <w:tcBorders>
              <w:top w:val="single" w:sz="4" w:space="0" w:color="auto"/>
              <w:left w:val="single" w:sz="4" w:space="0" w:color="auto"/>
            </w:tcBorders>
            <w:shd w:val="clear" w:color="auto" w:fill="auto"/>
            <w:vAlign w:val="center"/>
          </w:tcPr>
          <w:p w14:paraId="1AE18671"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565</w:t>
            </w:r>
          </w:p>
        </w:tc>
        <w:tc>
          <w:tcPr>
            <w:tcW w:w="979" w:type="dxa"/>
            <w:tcBorders>
              <w:top w:val="single" w:sz="4" w:space="0" w:color="auto"/>
              <w:left w:val="single" w:sz="4" w:space="0" w:color="auto"/>
            </w:tcBorders>
            <w:shd w:val="clear" w:color="auto" w:fill="auto"/>
            <w:vAlign w:val="center"/>
          </w:tcPr>
          <w:p w14:paraId="58EF6A3A"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615</w:t>
            </w:r>
          </w:p>
        </w:tc>
        <w:tc>
          <w:tcPr>
            <w:tcW w:w="984" w:type="dxa"/>
            <w:tcBorders>
              <w:top w:val="single" w:sz="4" w:space="0" w:color="auto"/>
              <w:left w:val="single" w:sz="4" w:space="0" w:color="auto"/>
            </w:tcBorders>
            <w:shd w:val="clear" w:color="auto" w:fill="auto"/>
            <w:vAlign w:val="center"/>
          </w:tcPr>
          <w:p w14:paraId="73CB105A"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573</w:t>
            </w:r>
          </w:p>
        </w:tc>
        <w:tc>
          <w:tcPr>
            <w:tcW w:w="979" w:type="dxa"/>
            <w:tcBorders>
              <w:top w:val="single" w:sz="4" w:space="0" w:color="auto"/>
              <w:left w:val="single" w:sz="4" w:space="0" w:color="auto"/>
            </w:tcBorders>
            <w:shd w:val="clear" w:color="auto" w:fill="auto"/>
            <w:vAlign w:val="center"/>
          </w:tcPr>
          <w:p w14:paraId="503F525E"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_*</w:t>
            </w:r>
          </w:p>
        </w:tc>
        <w:tc>
          <w:tcPr>
            <w:tcW w:w="979" w:type="dxa"/>
            <w:tcBorders>
              <w:top w:val="single" w:sz="4" w:space="0" w:color="auto"/>
              <w:left w:val="single" w:sz="4" w:space="0" w:color="auto"/>
            </w:tcBorders>
            <w:shd w:val="clear" w:color="auto" w:fill="auto"/>
            <w:vAlign w:val="center"/>
          </w:tcPr>
          <w:p w14:paraId="2847BBCA"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600</w:t>
            </w:r>
          </w:p>
        </w:tc>
        <w:tc>
          <w:tcPr>
            <w:tcW w:w="989" w:type="dxa"/>
            <w:tcBorders>
              <w:top w:val="single" w:sz="4" w:space="0" w:color="auto"/>
              <w:left w:val="single" w:sz="4" w:space="0" w:color="auto"/>
              <w:right w:val="single" w:sz="4" w:space="0" w:color="auto"/>
            </w:tcBorders>
            <w:shd w:val="clear" w:color="auto" w:fill="auto"/>
            <w:vAlign w:val="center"/>
          </w:tcPr>
          <w:p w14:paraId="62FBED7A"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560</w:t>
            </w:r>
          </w:p>
        </w:tc>
      </w:tr>
      <w:tr w:rsidR="00EA70F7" w:rsidRPr="008A2E5A" w14:paraId="7AE3C17D" w14:textId="77777777" w:rsidTr="004C5D62">
        <w:trPr>
          <w:trHeight w:val="259"/>
        </w:trPr>
        <w:tc>
          <w:tcPr>
            <w:tcW w:w="3802" w:type="dxa"/>
            <w:tcBorders>
              <w:top w:val="single" w:sz="4" w:space="0" w:color="auto"/>
              <w:left w:val="single" w:sz="4" w:space="0" w:color="auto"/>
              <w:bottom w:val="single" w:sz="4" w:space="0" w:color="auto"/>
            </w:tcBorders>
            <w:shd w:val="clear" w:color="auto" w:fill="auto"/>
            <w:vAlign w:val="bottom"/>
          </w:tcPr>
          <w:p w14:paraId="1F900A69"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Время набора высоты 5000 м, мин</w:t>
            </w:r>
          </w:p>
        </w:tc>
        <w:tc>
          <w:tcPr>
            <w:tcW w:w="974" w:type="dxa"/>
            <w:tcBorders>
              <w:top w:val="single" w:sz="4" w:space="0" w:color="auto"/>
              <w:left w:val="single" w:sz="4" w:space="0" w:color="auto"/>
              <w:bottom w:val="single" w:sz="4" w:space="0" w:color="auto"/>
            </w:tcBorders>
            <w:shd w:val="clear" w:color="auto" w:fill="auto"/>
            <w:vAlign w:val="bottom"/>
          </w:tcPr>
          <w:p w14:paraId="73EC221A"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6,8</w:t>
            </w:r>
          </w:p>
        </w:tc>
        <w:tc>
          <w:tcPr>
            <w:tcW w:w="979" w:type="dxa"/>
            <w:tcBorders>
              <w:top w:val="single" w:sz="4" w:space="0" w:color="auto"/>
              <w:left w:val="single" w:sz="4" w:space="0" w:color="auto"/>
              <w:bottom w:val="single" w:sz="4" w:space="0" w:color="auto"/>
            </w:tcBorders>
            <w:shd w:val="clear" w:color="auto" w:fill="auto"/>
            <w:vAlign w:val="bottom"/>
          </w:tcPr>
          <w:p w14:paraId="44E535FB"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w:t>
            </w:r>
          </w:p>
        </w:tc>
        <w:tc>
          <w:tcPr>
            <w:tcW w:w="984" w:type="dxa"/>
            <w:tcBorders>
              <w:top w:val="single" w:sz="4" w:space="0" w:color="auto"/>
              <w:left w:val="single" w:sz="4" w:space="0" w:color="auto"/>
              <w:bottom w:val="single" w:sz="4" w:space="0" w:color="auto"/>
            </w:tcBorders>
            <w:shd w:val="clear" w:color="auto" w:fill="auto"/>
            <w:vAlign w:val="bottom"/>
          </w:tcPr>
          <w:p w14:paraId="2854C5D0"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7.3</w:t>
            </w:r>
          </w:p>
        </w:tc>
        <w:tc>
          <w:tcPr>
            <w:tcW w:w="979" w:type="dxa"/>
            <w:tcBorders>
              <w:top w:val="single" w:sz="4" w:space="0" w:color="auto"/>
              <w:left w:val="single" w:sz="4" w:space="0" w:color="auto"/>
              <w:bottom w:val="single" w:sz="4" w:space="0" w:color="auto"/>
            </w:tcBorders>
            <w:shd w:val="clear" w:color="auto" w:fill="auto"/>
            <w:vAlign w:val="bottom"/>
          </w:tcPr>
          <w:p w14:paraId="5735780E"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5.5</w:t>
            </w:r>
          </w:p>
        </w:tc>
        <w:tc>
          <w:tcPr>
            <w:tcW w:w="979" w:type="dxa"/>
            <w:tcBorders>
              <w:top w:val="single" w:sz="4" w:space="0" w:color="auto"/>
              <w:left w:val="single" w:sz="4" w:space="0" w:color="auto"/>
              <w:bottom w:val="single" w:sz="4" w:space="0" w:color="auto"/>
            </w:tcBorders>
            <w:shd w:val="clear" w:color="auto" w:fill="auto"/>
            <w:vAlign w:val="bottom"/>
          </w:tcPr>
          <w:p w14:paraId="394B9378"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w:t>
            </w:r>
          </w:p>
        </w:tc>
        <w:tc>
          <w:tcPr>
            <w:tcW w:w="989" w:type="dxa"/>
            <w:tcBorders>
              <w:top w:val="single" w:sz="4" w:space="0" w:color="auto"/>
              <w:left w:val="single" w:sz="4" w:space="0" w:color="auto"/>
              <w:bottom w:val="single" w:sz="4" w:space="0" w:color="auto"/>
              <w:right w:val="single" w:sz="4" w:space="0" w:color="auto"/>
            </w:tcBorders>
            <w:shd w:val="clear" w:color="auto" w:fill="auto"/>
            <w:vAlign w:val="bottom"/>
          </w:tcPr>
          <w:p w14:paraId="23652907" w14:textId="77777777" w:rsidR="00EA70F7" w:rsidRPr="008A2E5A" w:rsidRDefault="00EA70F7"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w:t>
            </w:r>
          </w:p>
        </w:tc>
      </w:tr>
    </w:tbl>
    <w:p w14:paraId="0E82D159" w14:textId="77777777" w:rsidR="00EA70F7" w:rsidRPr="008A2E5A" w:rsidRDefault="00EA70F7" w:rsidP="00EA70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 На Як-7 определить максимальную скорость на расчетной высоте не удалось из-за неустойчивой работы мотора.</w:t>
      </w:r>
    </w:p>
    <w:p w14:paraId="4BA5FD67" w14:textId="77777777" w:rsidR="00EA70F7" w:rsidRPr="008A2E5A" w:rsidRDefault="00EA70F7" w:rsidP="00EA70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 Приведены проектные данные и дата составления эскизного проекта</w:t>
      </w:r>
    </w:p>
    <w:p w14:paraId="39F7297E" w14:textId="77777777" w:rsidR="00EA70F7" w:rsidRPr="008A2E5A" w:rsidRDefault="00EA70F7" w:rsidP="00EA70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не установленным пока при</w:t>
      </w:r>
      <w:r w:rsidRPr="008A2E5A">
        <w:rPr>
          <w:rFonts w:ascii="Times New Roman" w:hAnsi="Times New Roman"/>
          <w:color w:val="0070C0"/>
          <w:sz w:val="16"/>
          <w:szCs w:val="16"/>
        </w:rPr>
        <w:softHyphen/>
        <w:t>чинам ОКБ и завод №19 ошибочно связывали судьбу сво</w:t>
      </w:r>
      <w:r w:rsidRPr="008A2E5A">
        <w:rPr>
          <w:rFonts w:ascii="Times New Roman" w:hAnsi="Times New Roman"/>
          <w:color w:val="0070C0"/>
          <w:sz w:val="16"/>
          <w:szCs w:val="16"/>
        </w:rPr>
        <w:softHyphen/>
        <w:t>его мотора М-82 с бомбардировщиком ДБ-ЗФ (Ил-4). Тем не менее моторостроители не озаботились вопросом по</w:t>
      </w:r>
      <w:r w:rsidRPr="008A2E5A">
        <w:rPr>
          <w:rFonts w:ascii="Times New Roman" w:hAnsi="Times New Roman"/>
          <w:color w:val="0070C0"/>
          <w:sz w:val="16"/>
          <w:szCs w:val="16"/>
        </w:rPr>
        <w:softHyphen/>
        <w:t>мощи по освоению своего мотора ни ОКБ С. В. Ильюшина, ни другим самолетостроительным заводам и конструктор</w:t>
      </w:r>
      <w:r w:rsidRPr="008A2E5A">
        <w:rPr>
          <w:rFonts w:ascii="Times New Roman" w:hAnsi="Times New Roman"/>
          <w:color w:val="0070C0"/>
          <w:sz w:val="16"/>
          <w:szCs w:val="16"/>
        </w:rPr>
        <w:softHyphen/>
        <w:t>ским коллективам, что стало предметом острой критики  (23381).</w:t>
      </w:r>
    </w:p>
    <w:p w14:paraId="59FF8EC7" w14:textId="77777777" w:rsidR="00EA70F7" w:rsidRPr="008A2E5A" w:rsidRDefault="00EA70F7" w:rsidP="00EA70F7">
      <w:pPr>
        <w:spacing w:after="0" w:line="240" w:lineRule="auto"/>
        <w:jc w:val="both"/>
        <w:rPr>
          <w:rFonts w:ascii="Times New Roman" w:hAnsi="Times New Roman"/>
          <w:color w:val="0070C0"/>
          <w:sz w:val="16"/>
          <w:szCs w:val="16"/>
        </w:rPr>
      </w:pPr>
    </w:p>
    <w:p w14:paraId="5778BD8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маю месяцу 1942 в силу загрузки завода №296 оптическими изделиями, отсутствия квалифицированных кадров и нужно</w:t>
      </w:r>
      <w:r w:rsidRPr="008127F8">
        <w:rPr>
          <w:rFonts w:ascii="Times New Roman" w:hAnsi="Times New Roman"/>
          <w:color w:val="000000" w:themeColor="text1"/>
          <w:sz w:val="16"/>
          <w:szCs w:val="16"/>
        </w:rPr>
        <w:softHyphen/>
        <w:t>го типажа оборудования, а также от</w:t>
      </w:r>
      <w:r w:rsidRPr="008127F8">
        <w:rPr>
          <w:rFonts w:ascii="Times New Roman" w:hAnsi="Times New Roman"/>
          <w:color w:val="000000" w:themeColor="text1"/>
          <w:sz w:val="16"/>
          <w:szCs w:val="16"/>
        </w:rPr>
        <w:softHyphen/>
        <w:t>сутствия опытной базы у ОКБ были собраны и отрегулированы 5 насосов НБ-3У для про</w:t>
      </w:r>
      <w:r w:rsidRPr="008127F8">
        <w:rPr>
          <w:rFonts w:ascii="Times New Roman" w:hAnsi="Times New Roman"/>
          <w:color w:val="000000" w:themeColor="text1"/>
          <w:sz w:val="16"/>
          <w:szCs w:val="16"/>
        </w:rPr>
        <w:softHyphen/>
        <w:t>ведения испытаний на мо</w:t>
      </w:r>
      <w:r w:rsidRPr="008127F8">
        <w:rPr>
          <w:rFonts w:ascii="Times New Roman" w:hAnsi="Times New Roman"/>
          <w:color w:val="000000" w:themeColor="text1"/>
          <w:sz w:val="16"/>
          <w:szCs w:val="16"/>
        </w:rPr>
        <w:softHyphen/>
        <w:t>торе М-82 (10705).</w:t>
      </w:r>
    </w:p>
    <w:p w14:paraId="4E0BFB9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C0EE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507F53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17A0C1" w14:textId="77777777" w:rsidR="00EA70F7" w:rsidRPr="008A2E5A" w:rsidRDefault="00EA70F7" w:rsidP="00EA70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маю 1942 г. завод № 37 подготовил несколько образцов опытного легкого танка Т-45. Завод уже осваивал в то время серийное производство легкого танка Т-70. Предложение заслуживает пристального внимания хотя бы с той точки зрения, что предприятию удалось в очень трудных для себя условиях не только разработать, но собрать и испытать новый образец танка. Принципиально Т-45 отличался от Т-70 тем, что полностью создавался на базе серийного Т-60. Фактически конструкторам удалось только установить новую башню, которая ставилась в существующий погон танка Т-60, имела вооружение, идентичное Т-70, - 45-миллиметровую пушку. В то же время у Т-45 было более удачное расположение механизмов, чем у Т-70, поэтому вместо 4-5 выстрелов в минуту новый танк делал до 7-8.</w:t>
      </w:r>
    </w:p>
    <w:p w14:paraId="547EF3BD" w14:textId="77777777" w:rsidR="00EA70F7" w:rsidRPr="008A2E5A" w:rsidRDefault="00EA70F7" w:rsidP="00EA70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Бронирование танка было несколько легче, чем у Т-70. Толщина верхнего лобового листа у опытного образца была повышена по сравнению с Т-60 с 15 до 25 мм (35 мм у Т-70), а нижний оставался прежним - 35 мм (у Т-70 - 45 мм). Это позволяло сохранить ходовую часть предыдущей модели, поскольку удельное давление на грунт осталось практически прежним: 0,54 кг/см у Т-60, 0,578 - у Т-45, 0,72 - у Т-70. На танк должен был устанавливаться двигатель ЗИС-16 Миасского автомоторного завода им. Сталина мощностью 85 л. с., более надежный, чем ГАЗ-202 танка Т-70, и потреблявший не высокооктановый авиационный бензин, а бензин «второго сорта». Представители завода считали Т-45 более удачной заменой Т-70, поскольку новая модель позволяла запустить ее серийный выпуск немедленно, без серьезной перестройки производства. Новый танк можно было изготавливать почти полностью на старой оснастке, а значит, без снижения выпуска[982]. В конце июня 1942 г. все материалы по опытному Т-45 были переданы в центральные органы власти[983] (23536).</w:t>
      </w:r>
    </w:p>
    <w:p w14:paraId="25597B98" w14:textId="77777777" w:rsidR="00EA70F7" w:rsidRPr="008A2E5A" w:rsidRDefault="00EA70F7" w:rsidP="00EA70F7">
      <w:pPr>
        <w:spacing w:after="0" w:line="240" w:lineRule="auto"/>
        <w:jc w:val="both"/>
        <w:rPr>
          <w:rFonts w:ascii="Times New Roman" w:hAnsi="Times New Roman"/>
          <w:color w:val="0070C0"/>
          <w:sz w:val="16"/>
          <w:szCs w:val="16"/>
        </w:rPr>
      </w:pPr>
    </w:p>
    <w:p w14:paraId="3FA8A81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маю 1942 года первые три БА-64 вышли на государственные испытания. Бронекорпуса для серийных машин первое время делали на Выксунском заводе, а потом и на ГАЗе, используя его мощные штамповочную и прессовую базы (3862).</w:t>
      </w:r>
    </w:p>
    <w:p w14:paraId="44457A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70122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маю 1942 г. с «Красной зари» были эвакуированы все основные цеха. На оставшемся оборудовании завод мог бы кооперироваться с другими заводами, работающими на оборону. Кроме этого руководство предприятия выходило с предложениями использовать «Красную зарю» в качестве ремонтной базы для проводных средств связи Ленинградского фронта. У завода имелся определенный внутренний резерв в виде задела деталей, узлов и полуфабрикатов, а также необходимое для этих целей оборудование и рабочая сила. Однако резервы эти были весьма невелики, и полноценное функционирование предприятия потребовало бы получения материалов, большого количества электроэнергии и рабочей силы. Поэтому было принято решение о его консервации, которая и была осуществлена в мае 1942 г. Большая часть оборудования была передана заводу № 1 НКО, уфимскому заводу НКЭП № 697, прожекторному заводу НКЭП, а также ряду предприятий Ленинграда (18297).</w:t>
      </w:r>
    </w:p>
    <w:p w14:paraId="3E74B29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DF417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83988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4863C5"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К маю 1942 сформировали три полноценные уаг. Однако решение об их создании к тому времени уже признали устаревшим благодаря приходу нового начальства (19522).</w:t>
      </w:r>
    </w:p>
    <w:p w14:paraId="7E282F97" w14:textId="77777777" w:rsidR="007C5583" w:rsidRPr="008127F8" w:rsidRDefault="007C5583" w:rsidP="007C5583">
      <w:pPr>
        <w:pStyle w:val="af"/>
        <w:spacing w:before="0" w:after="0"/>
        <w:jc w:val="both"/>
        <w:textAlignment w:val="baseline"/>
        <w:rPr>
          <w:color w:val="000000" w:themeColor="text1"/>
          <w:sz w:val="16"/>
          <w:szCs w:val="16"/>
        </w:rPr>
      </w:pPr>
    </w:p>
    <w:p w14:paraId="66B6A87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868E9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C5E29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 мая 1942 г. удель</w:t>
      </w:r>
      <w:r w:rsidRPr="008127F8">
        <w:rPr>
          <w:rFonts w:ascii="Times New Roman" w:hAnsi="Times New Roman"/>
          <w:color w:val="000000" w:themeColor="text1"/>
          <w:sz w:val="16"/>
          <w:szCs w:val="16"/>
        </w:rPr>
        <w:softHyphen/>
        <w:t>ный вес бронированных "Илов" вы</w:t>
      </w:r>
      <w:r w:rsidRPr="008127F8">
        <w:rPr>
          <w:rFonts w:ascii="Times New Roman" w:hAnsi="Times New Roman"/>
          <w:color w:val="000000" w:themeColor="text1"/>
          <w:sz w:val="16"/>
          <w:szCs w:val="16"/>
        </w:rPr>
        <w:softHyphen/>
        <w:t>рос до 10,8% по сравнению с началом войны, когда штурмови</w:t>
      </w:r>
      <w:r w:rsidRPr="008127F8">
        <w:rPr>
          <w:rFonts w:ascii="Times New Roman" w:hAnsi="Times New Roman"/>
          <w:color w:val="000000" w:themeColor="text1"/>
          <w:sz w:val="16"/>
          <w:szCs w:val="16"/>
        </w:rPr>
        <w:softHyphen/>
        <w:t>ков Ил-2 в составе ВВС КА имелось менее 0,2%. К 1 ноября 1942 года эта доля выросла до 31,2% к числу боевых самолетов дей</w:t>
      </w:r>
      <w:r w:rsidRPr="008127F8">
        <w:rPr>
          <w:rFonts w:ascii="Times New Roman" w:hAnsi="Times New Roman"/>
          <w:color w:val="000000" w:themeColor="text1"/>
          <w:sz w:val="16"/>
          <w:szCs w:val="16"/>
        </w:rPr>
        <w:softHyphen/>
        <w:t>ствующей армии. Массовое применение Ил-2 на фронте вместе с достоинствами выя</w:t>
      </w:r>
      <w:r w:rsidRPr="008127F8">
        <w:rPr>
          <w:rFonts w:ascii="Times New Roman" w:hAnsi="Times New Roman"/>
          <w:color w:val="000000" w:themeColor="text1"/>
          <w:sz w:val="16"/>
          <w:szCs w:val="16"/>
        </w:rPr>
        <w:softHyphen/>
        <w:t>вило и существенные недостатки са</w:t>
      </w:r>
      <w:r w:rsidRPr="008127F8">
        <w:rPr>
          <w:rFonts w:ascii="Times New Roman" w:hAnsi="Times New Roman"/>
          <w:color w:val="000000" w:themeColor="text1"/>
          <w:sz w:val="16"/>
          <w:szCs w:val="16"/>
        </w:rPr>
        <w:softHyphen/>
        <w:t>молета. Бронирование самолета не обес</w:t>
      </w:r>
      <w:r w:rsidRPr="008127F8">
        <w:rPr>
          <w:rFonts w:ascii="Times New Roman" w:hAnsi="Times New Roman"/>
          <w:color w:val="000000" w:themeColor="text1"/>
          <w:sz w:val="16"/>
          <w:szCs w:val="16"/>
        </w:rPr>
        <w:softHyphen/>
        <w:t>печивало надежную защиту от круп</w:t>
      </w:r>
      <w:r w:rsidRPr="008127F8">
        <w:rPr>
          <w:rFonts w:ascii="Times New Roman" w:hAnsi="Times New Roman"/>
          <w:color w:val="000000" w:themeColor="text1"/>
          <w:sz w:val="16"/>
          <w:szCs w:val="16"/>
        </w:rPr>
        <w:softHyphen/>
        <w:t>нокалиберных пуль и малокалибер</w:t>
      </w:r>
      <w:r w:rsidRPr="008127F8">
        <w:rPr>
          <w:rFonts w:ascii="Times New Roman" w:hAnsi="Times New Roman"/>
          <w:color w:val="000000" w:themeColor="text1"/>
          <w:sz w:val="16"/>
          <w:szCs w:val="16"/>
        </w:rPr>
        <w:softHyphen/>
        <w:t>ных снарядов зенитных автоматов и авиапушек истребителей. Оказалось, что при весе металлической брони 811 кг наиболее уяз</w:t>
      </w:r>
      <w:r w:rsidRPr="008127F8">
        <w:rPr>
          <w:rFonts w:ascii="Times New Roman" w:hAnsi="Times New Roman"/>
          <w:color w:val="000000" w:themeColor="text1"/>
          <w:sz w:val="16"/>
          <w:szCs w:val="16"/>
        </w:rPr>
        <w:softHyphen/>
        <w:t>вимые от огня противника бронеде-тали имеют недостаточную толщину и, наоборот, отдельные места бронекорпуса либо вовсе не имеют по</w:t>
      </w:r>
      <w:r w:rsidRPr="008127F8">
        <w:rPr>
          <w:rFonts w:ascii="Times New Roman" w:hAnsi="Times New Roman"/>
          <w:color w:val="000000" w:themeColor="text1"/>
          <w:sz w:val="16"/>
          <w:szCs w:val="16"/>
        </w:rPr>
        <w:softHyphen/>
        <w:t>паданий, либо попадания в них бы</w:t>
      </w:r>
      <w:r w:rsidRPr="008127F8">
        <w:rPr>
          <w:rFonts w:ascii="Times New Roman" w:hAnsi="Times New Roman"/>
          <w:color w:val="000000" w:themeColor="text1"/>
          <w:sz w:val="16"/>
          <w:szCs w:val="16"/>
        </w:rPr>
        <w:softHyphen/>
        <w:t>вают весьма редко и при таких углах и дистанциях стрельбы, которые по</w:t>
      </w:r>
      <w:r w:rsidRPr="008127F8">
        <w:rPr>
          <w:rFonts w:ascii="Times New Roman" w:hAnsi="Times New Roman"/>
          <w:color w:val="000000" w:themeColor="text1"/>
          <w:sz w:val="16"/>
          <w:szCs w:val="16"/>
        </w:rPr>
        <w:softHyphen/>
        <w:t>зволяют значительно уменьшить тол</w:t>
      </w:r>
      <w:r w:rsidRPr="008127F8">
        <w:rPr>
          <w:rFonts w:ascii="Times New Roman" w:hAnsi="Times New Roman"/>
          <w:color w:val="000000" w:themeColor="text1"/>
          <w:sz w:val="16"/>
          <w:szCs w:val="16"/>
        </w:rPr>
        <w:softHyphen/>
        <w:t>щину брони (11426).</w:t>
      </w:r>
    </w:p>
    <w:p w14:paraId="3192E87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ECF1B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мая 1942 после реэвакуации ОКБ С.В.И. вошло в состав завода 240 на основании приказа НКАП N 304 от 21 апреля 1942 вследствие назначения ГК ОКБ С.В.И. директором завода 240 (2112,64).</w:t>
      </w:r>
    </w:p>
    <w:p w14:paraId="7C03286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3175D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1 мая 1942 по вине моторов АМ-38 в частях ВВС КА произош</w:t>
      </w:r>
      <w:r w:rsidRPr="008127F8">
        <w:rPr>
          <w:rFonts w:ascii="Times New Roman" w:hAnsi="Times New Roman"/>
          <w:color w:val="000000" w:themeColor="text1"/>
          <w:sz w:val="16"/>
          <w:szCs w:val="16"/>
        </w:rPr>
        <w:softHyphen/>
        <w:t>ло 11 катастроф и аварий. В 1-й запасной авиабригаде имелось 12 случаев обрыва шатунов, два случая обрыва шпилек шату</w:t>
      </w:r>
      <w:r w:rsidRPr="008127F8">
        <w:rPr>
          <w:rFonts w:ascii="Times New Roman" w:hAnsi="Times New Roman"/>
          <w:color w:val="000000" w:themeColor="text1"/>
          <w:sz w:val="16"/>
          <w:szCs w:val="16"/>
        </w:rPr>
        <w:softHyphen/>
        <w:t>нов, шесть случаев заклинения кривошипно-шатунного меха</w:t>
      </w:r>
      <w:r w:rsidRPr="008127F8">
        <w:rPr>
          <w:rFonts w:ascii="Times New Roman" w:hAnsi="Times New Roman"/>
          <w:color w:val="000000" w:themeColor="text1"/>
          <w:sz w:val="16"/>
          <w:szCs w:val="16"/>
        </w:rPr>
        <w:softHyphen/>
        <w:t>низма, 28 случаев обрыва штоков клапанов, 15 случаев трещин блока цилиндров мотора и других дефектов. Это привело к двум катастрофам и двум авариям самолетов, 22 авариям мото</w:t>
      </w:r>
      <w:r w:rsidRPr="008127F8">
        <w:rPr>
          <w:rFonts w:ascii="Times New Roman" w:hAnsi="Times New Roman"/>
          <w:color w:val="000000" w:themeColor="text1"/>
          <w:sz w:val="16"/>
          <w:szCs w:val="16"/>
        </w:rPr>
        <w:softHyphen/>
        <w:t>ров и 37 случаям потери боеготовности самолетов на срок бо</w:t>
      </w:r>
      <w:r w:rsidRPr="008127F8">
        <w:rPr>
          <w:rFonts w:ascii="Times New Roman" w:hAnsi="Times New Roman"/>
          <w:color w:val="000000" w:themeColor="text1"/>
          <w:sz w:val="16"/>
          <w:szCs w:val="16"/>
        </w:rPr>
        <w:softHyphen/>
        <w:t>лее суток. Причем все случаи произошли на моторах АМ-38, наработавших от 20 до 80 часов.</w:t>
      </w:r>
    </w:p>
    <w:p w14:paraId="2482C08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Положение усугублялось отсутствием в частях действую</w:t>
      </w:r>
      <w:r w:rsidRPr="008127F8">
        <w:rPr>
          <w:rFonts w:ascii="Times New Roman" w:hAnsi="Times New Roman"/>
          <w:color w:val="000000" w:themeColor="text1"/>
          <w:sz w:val="16"/>
          <w:szCs w:val="16"/>
        </w:rPr>
        <w:softHyphen/>
        <w:t>щей армии практического навыка ремонта моторов АМ-38 и специального инструмента для их ремонта (11474,264).</w:t>
      </w:r>
    </w:p>
    <w:p w14:paraId="471FD0F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DBD3F7" w14:textId="77777777" w:rsidR="00BE410C" w:rsidRPr="008A2E5A" w:rsidRDefault="00BE410C" w:rsidP="00BE41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период с 1 по 15 мая 1942 г. при плюсовой температуре воз</w:t>
      </w:r>
      <w:r w:rsidRPr="008A2E5A">
        <w:rPr>
          <w:rFonts w:ascii="Times New Roman" w:hAnsi="Times New Roman"/>
          <w:color w:val="0070C0"/>
          <w:sz w:val="16"/>
          <w:szCs w:val="16"/>
        </w:rPr>
        <w:softHyphen/>
        <w:t>духа в частях 1-й заб официально зарегистрировали 9 слу</w:t>
      </w:r>
      <w:r w:rsidRPr="008A2E5A">
        <w:rPr>
          <w:rFonts w:ascii="Times New Roman" w:hAnsi="Times New Roman"/>
          <w:color w:val="0070C0"/>
          <w:sz w:val="16"/>
          <w:szCs w:val="16"/>
        </w:rPr>
        <w:softHyphen/>
        <w:t>чаев течи маслорадиаторов Ил-2 (23346).</w:t>
      </w:r>
    </w:p>
    <w:p w14:paraId="105F9C8D" w14:textId="77777777" w:rsidR="00BE410C" w:rsidRPr="008A2E5A" w:rsidRDefault="00BE410C" w:rsidP="00BE410C">
      <w:pPr>
        <w:spacing w:after="0" w:line="240" w:lineRule="auto"/>
        <w:jc w:val="both"/>
        <w:rPr>
          <w:rFonts w:ascii="Times New Roman" w:hAnsi="Times New Roman"/>
          <w:color w:val="0070C0"/>
          <w:sz w:val="16"/>
          <w:szCs w:val="16"/>
        </w:rPr>
      </w:pPr>
    </w:p>
    <w:p w14:paraId="3F057D54" w14:textId="77777777" w:rsidR="00BE410C" w:rsidRPr="008A2E5A" w:rsidRDefault="00BE410C" w:rsidP="00BE41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 по 15 мая 1942 г. и только в одном 12-м запасном авиаполку 1-й заб, где проходили переформирование 820, 766 и 570 шап, мели место 16 случаев преждевре</w:t>
      </w:r>
      <w:r w:rsidRPr="008A2E5A">
        <w:rPr>
          <w:rFonts w:ascii="Times New Roman" w:hAnsi="Times New Roman"/>
          <w:color w:val="0070C0"/>
          <w:sz w:val="16"/>
          <w:szCs w:val="16"/>
        </w:rPr>
        <w:softHyphen/>
        <w:t>менного износа поршневых колец, 8 случаев появления стружки в маслофильтрах, 4 случая появления воды в картерах, 5 трещин корпусов водяной помпы. По этим и другим причинам «на 60 самолетов 570, 820, 766 шап 32 самолета выбыли из строя». Все самолеты были новыми, только что полученными с заводов № 1 и № 18. Полеты по программе учебно-боевой подготовки полки начали лишь с 1 мая. Летали с аэродрома Чапаевск.</w:t>
      </w:r>
    </w:p>
    <w:p w14:paraId="50A5CA85" w14:textId="77777777" w:rsidR="00BE410C" w:rsidRPr="008A2E5A" w:rsidRDefault="00BE410C" w:rsidP="00BE41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Интересно отметить, что представители завода № 24 по поводу случившегося в 12 зап рекомендовали во</w:t>
      </w:r>
      <w:r w:rsidRPr="008A2E5A">
        <w:rPr>
          <w:rFonts w:ascii="Times New Roman" w:hAnsi="Times New Roman"/>
          <w:color w:val="0070C0"/>
          <w:sz w:val="16"/>
          <w:szCs w:val="16"/>
        </w:rPr>
        <w:softHyphen/>
        <w:t>енным при полетах с пыльных аэродромов «проводить целый ряд профилактических совершенно обязатель</w:t>
      </w:r>
      <w:r w:rsidRPr="008A2E5A">
        <w:rPr>
          <w:rFonts w:ascii="Times New Roman" w:hAnsi="Times New Roman"/>
          <w:color w:val="0070C0"/>
          <w:sz w:val="16"/>
          <w:szCs w:val="16"/>
        </w:rPr>
        <w:softHyphen/>
        <w:t>ных мероприятий», а именно: «1) Расширение числа взлетных площадок. 2) Выдерживание определенных интервалов при групповых взлетах и посадках. 3) За</w:t>
      </w:r>
      <w:r w:rsidRPr="008A2E5A">
        <w:rPr>
          <w:rFonts w:ascii="Times New Roman" w:hAnsi="Times New Roman"/>
          <w:color w:val="0070C0"/>
          <w:sz w:val="16"/>
          <w:szCs w:val="16"/>
        </w:rPr>
        <w:softHyphen/>
        <w:t>прещение заправки моторов горючим и маслом вблизи стартовых площадок (во время полетов). 4) Поливка во</w:t>
      </w:r>
      <w:r w:rsidRPr="008A2E5A">
        <w:rPr>
          <w:rFonts w:ascii="Times New Roman" w:hAnsi="Times New Roman"/>
          <w:color w:val="0070C0"/>
          <w:sz w:val="16"/>
          <w:szCs w:val="16"/>
        </w:rPr>
        <w:softHyphen/>
        <w:t xml:space="preserve">дой площадки </w:t>
      </w:r>
      <w:r w:rsidRPr="008A2E5A">
        <w:rPr>
          <w:rFonts w:ascii="Times New Roman" w:hAnsi="Times New Roman"/>
          <w:color w:val="0070C0"/>
          <w:sz w:val="16"/>
          <w:szCs w:val="16"/>
        </w:rPr>
        <w:lastRenderedPageBreak/>
        <w:t>под винтом и передней кромкой плоско</w:t>
      </w:r>
      <w:r w:rsidRPr="008A2E5A">
        <w:rPr>
          <w:rFonts w:ascii="Times New Roman" w:hAnsi="Times New Roman"/>
          <w:color w:val="0070C0"/>
          <w:sz w:val="16"/>
          <w:szCs w:val="16"/>
        </w:rPr>
        <w:softHyphen/>
        <w:t>стей во время запуска мотора и подготовкой самолета к полету. В особенности это все относится к таким аэро</w:t>
      </w:r>
      <w:r w:rsidRPr="008A2E5A">
        <w:rPr>
          <w:rFonts w:ascii="Times New Roman" w:hAnsi="Times New Roman"/>
          <w:color w:val="0070C0"/>
          <w:sz w:val="16"/>
          <w:szCs w:val="16"/>
        </w:rPr>
        <w:softHyphen/>
        <w:t>дромам, как в Чапаевске, и летно-техническому составу это нужно учесть и быстро организовать».</w:t>
      </w:r>
    </w:p>
    <w:p w14:paraId="03572357" w14:textId="77777777" w:rsidR="00BE410C" w:rsidRPr="008A2E5A" w:rsidRDefault="00BE410C" w:rsidP="00BE41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Инженер 5 зап военинженер 2-го ранга Любомудров так прокомментировал эту ситуацию: «И, последнее, мне просто непонятно поведение представителей с 24-го завода, которые требуют для своего мотора под</w:t>
      </w:r>
      <w:r w:rsidRPr="008A2E5A">
        <w:rPr>
          <w:rFonts w:ascii="Times New Roman" w:hAnsi="Times New Roman"/>
          <w:color w:val="0070C0"/>
          <w:sz w:val="16"/>
          <w:szCs w:val="16"/>
        </w:rPr>
        <w:softHyphen/>
        <w:t>хода, как все равно к миниатюрной парижанке. Нам нужен такой мотор, на котором можно было бы воевать и в 50-градусный мороз и в 50-градусную жару. Кроме того, они почти нас обязывают летать только с хороших аэродромов, иначе не гарантируют качество мотора. Это тоже неверно, так как в условиях войны приходится летать с разных аэродромов и в большинстве случаев с пыльных. Заводу № 24 это необходимо учесть и искать дефекты не от разности температуры и от разности аэ</w:t>
      </w:r>
      <w:r w:rsidRPr="008A2E5A">
        <w:rPr>
          <w:rFonts w:ascii="Times New Roman" w:hAnsi="Times New Roman"/>
          <w:color w:val="0070C0"/>
          <w:sz w:val="16"/>
          <w:szCs w:val="16"/>
        </w:rPr>
        <w:softHyphen/>
        <w:t>родромов, а в самих деталях».</w:t>
      </w:r>
    </w:p>
    <w:p w14:paraId="40F37DF9" w14:textId="77777777" w:rsidR="00BE410C" w:rsidRPr="008A2E5A" w:rsidRDefault="00BE410C" w:rsidP="00BE41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Куинджи вынужден был признать, что для исклю</w:t>
      </w:r>
      <w:r w:rsidRPr="008A2E5A">
        <w:rPr>
          <w:rFonts w:ascii="Times New Roman" w:hAnsi="Times New Roman"/>
          <w:color w:val="0070C0"/>
          <w:sz w:val="16"/>
          <w:szCs w:val="16"/>
        </w:rPr>
        <w:softHyphen/>
        <w:t>чения случаев обрыва шатунов необходимо срочно установить на самолетах Ил-2 воздушный пылефильтр, пересмотреть конструкцию масляного фильтра и поста</w:t>
      </w:r>
      <w:r w:rsidRPr="008A2E5A">
        <w:rPr>
          <w:rFonts w:ascii="Times New Roman" w:hAnsi="Times New Roman"/>
          <w:color w:val="0070C0"/>
          <w:sz w:val="16"/>
          <w:szCs w:val="16"/>
        </w:rPr>
        <w:softHyphen/>
        <w:t>вить второй масляный бак емкостью 30-35 л минимум. Кроме того, требовалось кардинально переделать сис</w:t>
      </w:r>
      <w:r w:rsidRPr="008A2E5A">
        <w:rPr>
          <w:rFonts w:ascii="Times New Roman" w:hAnsi="Times New Roman"/>
          <w:color w:val="0070C0"/>
          <w:sz w:val="16"/>
          <w:szCs w:val="16"/>
        </w:rPr>
        <w:softHyphen/>
        <w:t>тему охлаждения мотора АМ-38, а также усилить штоки клапанов АК-50 и сами клапаны (23346).</w:t>
      </w:r>
    </w:p>
    <w:p w14:paraId="58348A3B" w14:textId="77777777" w:rsidR="00BE410C" w:rsidRPr="008A2E5A" w:rsidRDefault="00BE410C" w:rsidP="00BE410C">
      <w:pPr>
        <w:spacing w:after="0" w:line="240" w:lineRule="auto"/>
        <w:jc w:val="both"/>
        <w:rPr>
          <w:rFonts w:ascii="Times New Roman" w:hAnsi="Times New Roman"/>
          <w:color w:val="0070C0"/>
          <w:sz w:val="16"/>
          <w:szCs w:val="16"/>
        </w:rPr>
      </w:pPr>
    </w:p>
    <w:p w14:paraId="2AA014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 мая 1942 по 22 июня 1943 ОКО-22 в Казани возглавлял А.И.Путилов, который сменил А.М.Изаксона (2387,20).</w:t>
      </w:r>
    </w:p>
    <w:p w14:paraId="5A3BA5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4D24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C 1 мая 1942 г. бразды правления ОКО-22 принял от Изаксона другой сотрудник Петлякова - А.И.Путилов. Хотя Путилов значительное внимание уделил своим любимым конструкциям - высотным модификациям, он немало сделал и для усовершенствования серийных машин. Так, на самолетах 105-й серии заменили радиополукомпас РПК-2 (с рамкой в каплевидном обтекателе) на более современный РПК-10 (с открытой кольцевой рамкой обтекаемого сечения) (3542).</w:t>
      </w:r>
    </w:p>
    <w:p w14:paraId="53829E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FA5FC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 мая 1942 г. бразды правления ОКО-22 принял от Изаксона другой сотрудник Петлякова - А.И. Путилов. Хотя новый главный конструктор значительное внимание уделил своим любимым высотным модификациям, он немало сделал и для усовершенствования серийных машин.</w:t>
      </w:r>
    </w:p>
    <w:p w14:paraId="24399A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Эта работа началась с мелких переделок самолета. На 105-й серии заменили радиополукомпас РПК-2 (с рамкой в каплевидном обтекателе) более современным РПК-10 (с открытой кольцевой рамкой обтекаемого сечения). Более существенным изменением было внедрение на заводе № 22 в июне 1942 г. новой верхней стрелковой установки ВУБ-1 (она же Б-270) конструкции И.И. Торопова. Ее стали монтировать на все самолеты, начиная со 110-й серии. Установка представляла собой экранированную турель с пулеметом УБТ и непрерывным ленточным питанием. Вследствие того, что длинная пулеметная лента на 200 патронов частенько обрывалась при первых выстрелах из-за повышенного трения в рукаве питания, на серийных ВУБ-1 вместо пулемета УБТ в ряде случаев устанавливался пулемет УБК с пневмоперезарядкой и электроподтя- гом ленты. Установка опиралась на чугунное кольцо с зубчаткой, прикрывалась подвижным башнеподобным экраном и теоретически обеспечивала существенно большие по сравнению с ФТ углы обстрела: влево - на 110°, вправо - 88° и вверх - 55°. Новая турель предоставляла экипажу значительно более комфортабельные условия, чем примитивная ФТ, сделавшая кабину фактически полуоткрытой.</w:t>
      </w:r>
    </w:p>
    <w:p w14:paraId="50E923B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ходе испытаний выяснилось, что установка типа ВУБ-1 снижает максимальную скорость "пешки" на 8-12 км/ч по сравнению с турелью ТСС-1. Еше одним недостатком ВУБ-1 стала вынужденная переделка фонаря кабины. При установке новой турели пришлось убрать верхнюю часть усиленного шпангоута, выполнявшего функции противокапотажной рамы. На Пе-2 выпуска до 110-й серии для оставления самолета штурман опускал обтекатель ТСС-1 в нижнее положение, а летчик сбрасывал аварийно среднюю часть фонаря, после чего оставалось лишь перевалиться через борт самолета, пролететь под стабилизатором и открыть парашют. Прыгать через нижний люк пилоты не любили - к нему было довольно трудно протиснуться на беспорядочно падающей машине, к тому же он частенько не сбрасывался аварийно. С установкой на Пе-2 подвижной турели ВУБ-1 ситуация существенно изменилась (12042).</w:t>
      </w:r>
    </w:p>
    <w:p w14:paraId="1B0B65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571511" w14:textId="77777777" w:rsidR="00BE410C" w:rsidRPr="008A2E5A" w:rsidRDefault="00BE410C" w:rsidP="00BE41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мая 1942 г. Шахурин назначает на должность Главного конструктора Пе-2 Александра Ивановича Путилова. Должность Главного конструктора ОКБ-22 и самолета Пе-2 была предложена П.О. Сухому, но тот не дал быстрого ответа (23670).</w:t>
      </w:r>
    </w:p>
    <w:p w14:paraId="7FCFF481" w14:textId="77777777" w:rsidR="00BE410C" w:rsidRPr="008A2E5A" w:rsidRDefault="00BE410C" w:rsidP="00BE410C">
      <w:pPr>
        <w:spacing w:after="0" w:line="240" w:lineRule="auto"/>
        <w:jc w:val="both"/>
        <w:rPr>
          <w:rFonts w:ascii="Times New Roman" w:hAnsi="Times New Roman"/>
          <w:color w:val="0070C0"/>
          <w:sz w:val="16"/>
          <w:szCs w:val="16"/>
        </w:rPr>
      </w:pPr>
    </w:p>
    <w:p w14:paraId="1F50A9D5" w14:textId="77777777" w:rsidR="007C5583" w:rsidRPr="00BE410C" w:rsidRDefault="007C5583" w:rsidP="00BE410C">
      <w:pPr>
        <w:widowControl w:val="0"/>
        <w:autoSpaceDE w:val="0"/>
        <w:autoSpaceDN w:val="0"/>
        <w:adjustRightInd w:val="0"/>
        <w:spacing w:after="0" w:line="240" w:lineRule="auto"/>
        <w:jc w:val="both"/>
        <w:rPr>
          <w:rFonts w:ascii="Times New Roman" w:hAnsi="Times New Roman"/>
          <w:color w:val="000000" w:themeColor="text1"/>
          <w:sz w:val="16"/>
          <w:szCs w:val="16"/>
        </w:rPr>
      </w:pPr>
      <w:r w:rsidRPr="00BE410C">
        <w:rPr>
          <w:rFonts w:ascii="Times New Roman" w:hAnsi="Times New Roman"/>
          <w:color w:val="000000" w:themeColor="text1"/>
          <w:sz w:val="16"/>
          <w:szCs w:val="16"/>
        </w:rPr>
        <w:t>С 1 мая 1942 завод 26 перешел на выпуск М-105ПФ с наддувом 1050 мм, а ПА с наддувом 910 мм - прекратили (65,59).</w:t>
      </w:r>
    </w:p>
    <w:p w14:paraId="74900739" w14:textId="77777777" w:rsidR="007C5583" w:rsidRPr="00BE410C" w:rsidRDefault="007C5583" w:rsidP="00BE410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721469" w14:textId="77777777" w:rsidR="007C5583" w:rsidRPr="00BE410C" w:rsidRDefault="007C5583" w:rsidP="00BE410C">
      <w:pPr>
        <w:spacing w:after="0" w:line="240" w:lineRule="auto"/>
        <w:jc w:val="both"/>
        <w:rPr>
          <w:rFonts w:ascii="Times New Roman" w:hAnsi="Times New Roman"/>
          <w:color w:val="000000" w:themeColor="text1"/>
          <w:sz w:val="16"/>
          <w:szCs w:val="16"/>
        </w:rPr>
      </w:pPr>
      <w:r w:rsidRPr="00BE410C">
        <w:rPr>
          <w:rFonts w:ascii="Times New Roman" w:hAnsi="Times New Roman"/>
          <w:bCs/>
          <w:color w:val="000000" w:themeColor="text1"/>
          <w:sz w:val="16"/>
          <w:szCs w:val="16"/>
        </w:rPr>
        <w:t>1 мая</w:t>
      </w:r>
      <w:r w:rsidRPr="00BE410C">
        <w:rPr>
          <w:rFonts w:ascii="Times New Roman" w:hAnsi="Times New Roman"/>
          <w:color w:val="000000" w:themeColor="text1"/>
          <w:sz w:val="16"/>
          <w:szCs w:val="16"/>
        </w:rPr>
        <w:t xml:space="preserve"> в 1942 году начался серийный выпуск моторов «М-105ПФ». По постановлению ГКО от 30 апреля 1942 года завод № 26 (город Уфа) с 1 мая перешел на выпуск моторов «М-105ПФ», как начали называть серийные моторы с повышенным наддувом (14878).</w:t>
      </w:r>
    </w:p>
    <w:p w14:paraId="3785DFFB" w14:textId="77777777" w:rsidR="007C5583" w:rsidRPr="00BE410C" w:rsidRDefault="007C5583" w:rsidP="00BE410C">
      <w:pPr>
        <w:spacing w:after="0" w:line="240" w:lineRule="auto"/>
        <w:jc w:val="both"/>
        <w:rPr>
          <w:rFonts w:ascii="Times New Roman" w:hAnsi="Times New Roman"/>
          <w:color w:val="000000" w:themeColor="text1"/>
          <w:sz w:val="16"/>
          <w:szCs w:val="16"/>
        </w:rPr>
      </w:pPr>
    </w:p>
    <w:p w14:paraId="39DC6C1A" w14:textId="77777777" w:rsidR="00BE410C" w:rsidRPr="008A2E5A" w:rsidRDefault="00BE410C" w:rsidP="00BE41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 мая 1942 г. начался серийный выпуск моторов М-105ПФ (23451).</w:t>
      </w:r>
    </w:p>
    <w:p w14:paraId="582BEAE0" w14:textId="77777777" w:rsidR="00BE410C" w:rsidRPr="008A2E5A" w:rsidRDefault="00BE410C" w:rsidP="00BE410C">
      <w:pPr>
        <w:spacing w:after="0" w:line="240" w:lineRule="auto"/>
        <w:jc w:val="both"/>
        <w:rPr>
          <w:rFonts w:ascii="Times New Roman" w:hAnsi="Times New Roman"/>
          <w:color w:val="0070C0"/>
          <w:sz w:val="16"/>
          <w:szCs w:val="16"/>
        </w:rPr>
      </w:pPr>
    </w:p>
    <w:p w14:paraId="3CDD5F48" w14:textId="77777777" w:rsidR="00BE410C" w:rsidRPr="008A2E5A" w:rsidRDefault="00BE410C" w:rsidP="00BE41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мая 1942 г. в своем первомайском приказе 1942 г. нарком обороны И.В. Сталин приказал: «Всей Красной Армии - добиться того, чтобы 1942 г. стал годом окончательного разгрома немецко-фашистских войск и освобождения советской земли от гитлеровских мерзавцев».</w:t>
      </w:r>
    </w:p>
    <w:p w14:paraId="139D1012" w14:textId="77777777" w:rsidR="00BE410C" w:rsidRPr="008A2E5A" w:rsidRDefault="00BE410C" w:rsidP="00BE41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помощи фронту 8 мая вслед за работниками Кузнецкого металлургиче</w:t>
      </w:r>
      <w:r w:rsidRPr="008A2E5A">
        <w:rPr>
          <w:rFonts w:ascii="Times New Roman" w:hAnsi="Times New Roman"/>
          <w:color w:val="0070C0"/>
          <w:sz w:val="16"/>
          <w:szCs w:val="16"/>
        </w:rPr>
        <w:softHyphen/>
        <w:t>ского завода с призывом развернуть Всесоюзное социа</w:t>
      </w:r>
      <w:r w:rsidRPr="008A2E5A">
        <w:rPr>
          <w:rFonts w:ascii="Times New Roman" w:hAnsi="Times New Roman"/>
          <w:color w:val="0070C0"/>
          <w:sz w:val="16"/>
          <w:szCs w:val="16"/>
        </w:rPr>
        <w:softHyphen/>
        <w:t>листическое соревнование в авиапромышленности за пе</w:t>
      </w:r>
      <w:r w:rsidRPr="008A2E5A">
        <w:rPr>
          <w:rFonts w:ascii="Times New Roman" w:hAnsi="Times New Roman"/>
          <w:color w:val="0070C0"/>
          <w:sz w:val="16"/>
          <w:szCs w:val="16"/>
        </w:rPr>
        <w:softHyphen/>
        <w:t>ревыполнение государственных планов по выпуску само</w:t>
      </w:r>
      <w:r w:rsidRPr="008A2E5A">
        <w:rPr>
          <w:rFonts w:ascii="Times New Roman" w:hAnsi="Times New Roman"/>
          <w:color w:val="0070C0"/>
          <w:sz w:val="16"/>
          <w:szCs w:val="16"/>
        </w:rPr>
        <w:softHyphen/>
        <w:t>летов с помощью ведения сознательной и активной борь</w:t>
      </w:r>
      <w:r w:rsidRPr="008A2E5A">
        <w:rPr>
          <w:rFonts w:ascii="Times New Roman" w:hAnsi="Times New Roman"/>
          <w:color w:val="0070C0"/>
          <w:sz w:val="16"/>
          <w:szCs w:val="16"/>
        </w:rPr>
        <w:softHyphen/>
        <w:t>бы за повышение производительности труда и совершен</w:t>
      </w:r>
      <w:r w:rsidRPr="008A2E5A">
        <w:rPr>
          <w:rFonts w:ascii="Times New Roman" w:hAnsi="Times New Roman"/>
          <w:color w:val="0070C0"/>
          <w:sz w:val="16"/>
          <w:szCs w:val="16"/>
        </w:rPr>
        <w:softHyphen/>
        <w:t>ствование производства, выступили трудовые коллек</w:t>
      </w:r>
      <w:r w:rsidRPr="008A2E5A">
        <w:rPr>
          <w:rFonts w:ascii="Times New Roman" w:hAnsi="Times New Roman"/>
          <w:color w:val="0070C0"/>
          <w:sz w:val="16"/>
          <w:szCs w:val="16"/>
        </w:rPr>
        <w:softHyphen/>
        <w:t>тивы заводов №18 г.Куйбышев и №26 г.Уфа. Инициати</w:t>
      </w:r>
      <w:r w:rsidRPr="008A2E5A">
        <w:rPr>
          <w:rFonts w:ascii="Times New Roman" w:hAnsi="Times New Roman"/>
          <w:color w:val="0070C0"/>
          <w:sz w:val="16"/>
          <w:szCs w:val="16"/>
        </w:rPr>
        <w:softHyphen/>
        <w:t>ву подхватили работники авиационной промышленности и других отраслей народного хозяйства СССР, и 13 мая 1942 г. постановлением ГКО №1743 Правительство ут</w:t>
      </w:r>
      <w:r w:rsidRPr="008A2E5A">
        <w:rPr>
          <w:rFonts w:ascii="Times New Roman" w:hAnsi="Times New Roman"/>
          <w:color w:val="0070C0"/>
          <w:sz w:val="16"/>
          <w:szCs w:val="16"/>
        </w:rPr>
        <w:softHyphen/>
        <w:t>вердило условия соревнования. Трудовым коллективам заводов, занявших первое место за месяц в соревновании, вручалось, как знак отличия, переходящее Красное Знамя ГКО и перечислялось из государственного бюдже</w:t>
      </w:r>
      <w:r w:rsidRPr="008A2E5A">
        <w:rPr>
          <w:rFonts w:ascii="Times New Roman" w:hAnsi="Times New Roman"/>
          <w:color w:val="0070C0"/>
          <w:sz w:val="16"/>
          <w:szCs w:val="16"/>
        </w:rPr>
        <w:softHyphen/>
        <w:t>та денежное вознаграждение в размере 1000 тысяч ру</w:t>
      </w:r>
      <w:r w:rsidRPr="008A2E5A">
        <w:rPr>
          <w:rFonts w:ascii="Times New Roman" w:hAnsi="Times New Roman"/>
          <w:color w:val="0070C0"/>
          <w:sz w:val="16"/>
          <w:szCs w:val="16"/>
        </w:rPr>
        <w:softHyphen/>
        <w:t>блей для премирования отличившихся работников (23381).</w:t>
      </w:r>
    </w:p>
    <w:p w14:paraId="0B7E3DE3" w14:textId="77777777" w:rsidR="00BE410C" w:rsidRPr="008A2E5A" w:rsidRDefault="00BE410C" w:rsidP="00BE410C">
      <w:pPr>
        <w:spacing w:after="0" w:line="240" w:lineRule="auto"/>
        <w:jc w:val="both"/>
        <w:rPr>
          <w:rFonts w:ascii="Times New Roman" w:hAnsi="Times New Roman"/>
          <w:color w:val="0070C0"/>
          <w:sz w:val="16"/>
          <w:szCs w:val="16"/>
        </w:rPr>
      </w:pPr>
    </w:p>
    <w:p w14:paraId="0518DB8D" w14:textId="77777777" w:rsidR="00BE410C" w:rsidRPr="008A2E5A" w:rsidRDefault="00BE410C" w:rsidP="00BE41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1 мая  1942 в Ираке успе</w:t>
      </w:r>
      <w:r w:rsidRPr="008A2E5A">
        <w:rPr>
          <w:rFonts w:ascii="Times New Roman" w:hAnsi="Times New Roman"/>
          <w:color w:val="0070C0"/>
          <w:sz w:val="16"/>
          <w:szCs w:val="16"/>
        </w:rPr>
        <w:softHyphen/>
        <w:t>ли собрать 92 А-20 Бостон, после чего работы перенесли на базу Шуайба. Оттуда самоле</w:t>
      </w:r>
      <w:r w:rsidRPr="008A2E5A">
        <w:rPr>
          <w:rFonts w:ascii="Times New Roman" w:hAnsi="Times New Roman"/>
          <w:color w:val="0070C0"/>
          <w:sz w:val="16"/>
          <w:szCs w:val="16"/>
        </w:rPr>
        <w:softHyphen/>
        <w:t>ты перегоняли в 11 -й зап в Кировабаде.</w:t>
      </w:r>
    </w:p>
    <w:p w14:paraId="25AB5889" w14:textId="77777777" w:rsidR="00BE410C" w:rsidRPr="008A2E5A" w:rsidRDefault="00BE410C" w:rsidP="00BE41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Хотя все эти самолеты обозначались как «Бостон» III (Б-3), на самом деле сре</w:t>
      </w:r>
      <w:r w:rsidRPr="008A2E5A">
        <w:rPr>
          <w:rFonts w:ascii="Times New Roman" w:hAnsi="Times New Roman"/>
          <w:color w:val="0070C0"/>
          <w:sz w:val="16"/>
          <w:szCs w:val="16"/>
        </w:rPr>
        <w:softHyphen/>
        <w:t>ди них встречались и DB-7B, и подобные им А-20С. Попадались и DB-7C голланд</w:t>
      </w:r>
      <w:r w:rsidRPr="008A2E5A">
        <w:rPr>
          <w:rFonts w:ascii="Times New Roman" w:hAnsi="Times New Roman"/>
          <w:color w:val="0070C0"/>
          <w:sz w:val="16"/>
          <w:szCs w:val="16"/>
        </w:rPr>
        <w:softHyphen/>
        <w:t>ского заказа, которые не успели отпра</w:t>
      </w:r>
      <w:r w:rsidRPr="008A2E5A">
        <w:rPr>
          <w:rFonts w:ascii="Times New Roman" w:hAnsi="Times New Roman"/>
          <w:color w:val="0070C0"/>
          <w:sz w:val="16"/>
          <w:szCs w:val="16"/>
        </w:rPr>
        <w:softHyphen/>
        <w:t>вить в Нидерланды до их разгрома нем</w:t>
      </w:r>
      <w:r w:rsidRPr="008A2E5A">
        <w:rPr>
          <w:rFonts w:ascii="Times New Roman" w:hAnsi="Times New Roman"/>
          <w:color w:val="0070C0"/>
          <w:sz w:val="16"/>
          <w:szCs w:val="16"/>
        </w:rPr>
        <w:softHyphen/>
        <w:t>цами. Часть самолетов прибыла прямо с американских заводов, а часть — из Великобритании. Среди-последних было немало уже побывавших в употреблении и даже в ремонте.</w:t>
      </w:r>
    </w:p>
    <w:p w14:paraId="39704EF8" w14:textId="77777777" w:rsidR="00BE410C" w:rsidRPr="008A2E5A" w:rsidRDefault="00BE410C" w:rsidP="00BE41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Позднее бомбардировщики стали пе</w:t>
      </w:r>
      <w:r w:rsidRPr="008A2E5A">
        <w:rPr>
          <w:rFonts w:ascii="Times New Roman" w:hAnsi="Times New Roman"/>
          <w:color w:val="0070C0"/>
          <w:sz w:val="16"/>
          <w:szCs w:val="16"/>
        </w:rPr>
        <w:softHyphen/>
        <w:t>ревозить в собранном виде на переобору</w:t>
      </w:r>
      <w:r w:rsidRPr="008A2E5A">
        <w:rPr>
          <w:rFonts w:ascii="Times New Roman" w:hAnsi="Times New Roman"/>
          <w:color w:val="0070C0"/>
          <w:sz w:val="16"/>
          <w:szCs w:val="16"/>
        </w:rPr>
        <w:softHyphen/>
        <w:t>дованных танкерах, а после создания про</w:t>
      </w:r>
      <w:r w:rsidRPr="008A2E5A">
        <w:rPr>
          <w:rFonts w:ascii="Times New Roman" w:hAnsi="Times New Roman"/>
          <w:color w:val="0070C0"/>
          <w:sz w:val="16"/>
          <w:szCs w:val="16"/>
        </w:rPr>
        <w:softHyphen/>
        <w:t>межуточной базы на острове Вознесения перегоняли по воздуху из Флориды через Бразилию, западное побережье Африки и Ближний Восток. Их сдавали советским приемщикам в Абадане или Тегеране. В Абадане фирма «Дуглас» построила сбо</w:t>
      </w:r>
      <w:r w:rsidRPr="008A2E5A">
        <w:rPr>
          <w:rFonts w:ascii="Times New Roman" w:hAnsi="Times New Roman"/>
          <w:color w:val="0070C0"/>
          <w:sz w:val="16"/>
          <w:szCs w:val="16"/>
        </w:rPr>
        <w:softHyphen/>
        <w:t>рочный и авиаремонтный завод, который проводил окончательную подготовку ма</w:t>
      </w:r>
      <w:r w:rsidRPr="008A2E5A">
        <w:rPr>
          <w:rFonts w:ascii="Times New Roman" w:hAnsi="Times New Roman"/>
          <w:color w:val="0070C0"/>
          <w:sz w:val="16"/>
          <w:szCs w:val="16"/>
        </w:rPr>
        <w:softHyphen/>
        <w:t>шин перед сдачей.</w:t>
      </w:r>
    </w:p>
    <w:p w14:paraId="249259B6" w14:textId="77777777" w:rsidR="00BE410C" w:rsidRPr="008A2E5A" w:rsidRDefault="00BE410C" w:rsidP="00BE41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Переучивание личного состава на аме</w:t>
      </w:r>
      <w:r w:rsidRPr="008A2E5A">
        <w:rPr>
          <w:rFonts w:ascii="Times New Roman" w:hAnsi="Times New Roman"/>
          <w:color w:val="0070C0"/>
          <w:sz w:val="16"/>
          <w:szCs w:val="16"/>
        </w:rPr>
        <w:softHyphen/>
        <w:t>риканскую технику сразу поставили на широкую ногу. С фронта отводили полки, потерявшие в боях технику, из тыла при</w:t>
      </w:r>
      <w:r w:rsidRPr="008A2E5A">
        <w:rPr>
          <w:rFonts w:ascii="Times New Roman" w:hAnsi="Times New Roman"/>
          <w:color w:val="0070C0"/>
          <w:sz w:val="16"/>
          <w:szCs w:val="16"/>
        </w:rPr>
        <w:softHyphen/>
        <w:t>бывали части, оставившие за Уралом уста</w:t>
      </w:r>
      <w:r w:rsidRPr="008A2E5A">
        <w:rPr>
          <w:rFonts w:ascii="Times New Roman" w:hAnsi="Times New Roman"/>
          <w:color w:val="0070C0"/>
          <w:sz w:val="16"/>
          <w:szCs w:val="16"/>
        </w:rPr>
        <w:softHyphen/>
        <w:t>ревшие СБ, формировались новые полки, в основном укомплектованные поспеш</w:t>
      </w:r>
      <w:r w:rsidRPr="008A2E5A">
        <w:rPr>
          <w:rFonts w:ascii="Times New Roman" w:hAnsi="Times New Roman"/>
          <w:color w:val="0070C0"/>
          <w:sz w:val="16"/>
          <w:szCs w:val="16"/>
        </w:rPr>
        <w:softHyphen/>
        <w:t>но выпущенной из училищ молодежью. Основным центром переподготовки на «Бостоны» поначалу являлся Кировабад, где дислоцировался 11-й зап майора Саломахи.</w:t>
      </w:r>
    </w:p>
    <w:p w14:paraId="1D8857E3" w14:textId="77777777" w:rsidR="00BE410C" w:rsidRPr="008A2E5A" w:rsidRDefault="00BE410C" w:rsidP="00BE41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переучивании экипажей на новые машины имелись некоторые трудности, так как на А-20 было одно пилотское ме</w:t>
      </w:r>
      <w:r w:rsidRPr="008A2E5A">
        <w:rPr>
          <w:rFonts w:ascii="Times New Roman" w:hAnsi="Times New Roman"/>
          <w:color w:val="0070C0"/>
          <w:sz w:val="16"/>
          <w:szCs w:val="16"/>
        </w:rPr>
        <w:softHyphen/>
        <w:t>сто, а специальных учебно-тренировоч</w:t>
      </w:r>
      <w:r w:rsidRPr="008A2E5A">
        <w:rPr>
          <w:rFonts w:ascii="Times New Roman" w:hAnsi="Times New Roman"/>
          <w:color w:val="0070C0"/>
          <w:sz w:val="16"/>
          <w:szCs w:val="16"/>
        </w:rPr>
        <w:softHyphen/>
        <w:t>ных вариантов американские заводы не выпускали. Приходилось учить летчиков «вприглядку» — обучаемый ложился в от</w:t>
      </w:r>
      <w:r w:rsidRPr="008A2E5A">
        <w:rPr>
          <w:rFonts w:ascii="Times New Roman" w:hAnsi="Times New Roman"/>
          <w:color w:val="0070C0"/>
          <w:sz w:val="16"/>
          <w:szCs w:val="16"/>
        </w:rPr>
        <w:softHyphen/>
        <w:t>секе за головой инструктора и наблюдал за его действиями, потом они менялись местами. Все самолеты ранних модифи</w:t>
      </w:r>
      <w:r w:rsidRPr="008A2E5A">
        <w:rPr>
          <w:rFonts w:ascii="Times New Roman" w:hAnsi="Times New Roman"/>
          <w:color w:val="0070C0"/>
          <w:sz w:val="16"/>
          <w:szCs w:val="16"/>
        </w:rPr>
        <w:softHyphen/>
        <w:t>каций имели второе управление, но по</w:t>
      </w:r>
      <w:r w:rsidRPr="008A2E5A">
        <w:rPr>
          <w:rFonts w:ascii="Times New Roman" w:hAnsi="Times New Roman"/>
          <w:color w:val="0070C0"/>
          <w:sz w:val="16"/>
          <w:szCs w:val="16"/>
        </w:rPr>
        <w:softHyphen/>
        <w:t>мещалось оно не у штурмана, а у стрелка, который почти ничего не видел вперед. Использовать его было практически не</w:t>
      </w:r>
      <w:r w:rsidRPr="008A2E5A">
        <w:rPr>
          <w:rFonts w:ascii="Times New Roman" w:hAnsi="Times New Roman"/>
          <w:color w:val="0070C0"/>
          <w:sz w:val="16"/>
          <w:szCs w:val="16"/>
        </w:rPr>
        <w:softHyphen/>
        <w:t>возможно, и в конце концов американцы его упразднили. Впоследствии кое-где самостоятельно изготовляли машины со вторым управлением в кабине штурмана; их называли УА-20 или УБ-3.</w:t>
      </w:r>
    </w:p>
    <w:p w14:paraId="12A05EDB" w14:textId="77777777" w:rsidR="00BE410C" w:rsidRPr="008A2E5A" w:rsidRDefault="00BE410C" w:rsidP="00BE41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Два полка закончили переподготовку в мае 1942 г. Первым освоил заокеанские бомбардировщики 794-й бап. В марте 1942 г. он получил в Кировабаде 22 Б-3. Летчики сперва совершили по несколько ознакомительных полетов на другом американском бомбардировщике, В-25В, имевшем два пилотских места бок о бок. При этом они привыкали к трехколесно</w:t>
      </w:r>
      <w:r w:rsidRPr="008A2E5A">
        <w:rPr>
          <w:rFonts w:ascii="Times New Roman" w:hAnsi="Times New Roman"/>
          <w:color w:val="0070C0"/>
          <w:sz w:val="16"/>
          <w:szCs w:val="16"/>
        </w:rPr>
        <w:softHyphen/>
        <w:t>му шасси и непривычным обозначениям на приборах — футам, фунтам, милям. Затем экипажи пересели на «Бостоны» (23513).</w:t>
      </w:r>
    </w:p>
    <w:p w14:paraId="2D63C4A9" w14:textId="77777777" w:rsidR="00BE410C" w:rsidRPr="008A2E5A" w:rsidRDefault="00BE410C" w:rsidP="00BE410C">
      <w:pPr>
        <w:spacing w:after="0" w:line="240" w:lineRule="auto"/>
        <w:jc w:val="both"/>
        <w:rPr>
          <w:rFonts w:ascii="Times New Roman" w:hAnsi="Times New Roman"/>
          <w:color w:val="0070C0"/>
          <w:sz w:val="16"/>
          <w:szCs w:val="16"/>
        </w:rPr>
      </w:pPr>
    </w:p>
    <w:p w14:paraId="25EE5FE0" w14:textId="77777777" w:rsidR="007C5583" w:rsidRPr="00BE410C" w:rsidRDefault="007C5583" w:rsidP="00BE410C">
      <w:pPr>
        <w:pStyle w:val="rtejustify"/>
        <w:shd w:val="clear" w:color="auto" w:fill="FFFFFF"/>
        <w:spacing w:before="0" w:beforeAutospacing="0" w:after="0" w:afterAutospacing="0"/>
        <w:textAlignment w:val="baseline"/>
        <w:rPr>
          <w:color w:val="000000" w:themeColor="text1"/>
          <w:sz w:val="16"/>
          <w:szCs w:val="16"/>
        </w:rPr>
      </w:pPr>
      <w:r w:rsidRPr="00BE410C">
        <w:rPr>
          <w:color w:val="000000" w:themeColor="text1"/>
          <w:sz w:val="16"/>
          <w:szCs w:val="16"/>
        </w:rPr>
        <w:t>На 1 мая 1942 г. три ПС-43 числились в Киевской авиагруппе, 13 – в ОАГС. Еще одна машина при эвакуации с Украины попала в Грозный, где ее присвоило летное училище ВВС. После долгой переписки самолет вернули в Северо-Кавказскую авиагруппу ГВФ. Но этот «Валти» оказался несчастливым. 27 июня 1942 г. у него на посадке не выпустилось шасси. Машина села на «брюхо» и попала в ремонт. А 24 октября при заходе на посадку в Сочи на «грозненский Валти» напали два «Мессершмитта». ПС-43 был сбит и упал в море, пилот Никонов и пассажир погибли.</w:t>
      </w:r>
    </w:p>
    <w:p w14:paraId="44E0D6FC" w14:textId="77777777" w:rsidR="007C5583" w:rsidRPr="00BE410C" w:rsidRDefault="007C5583" w:rsidP="00BE410C">
      <w:pPr>
        <w:pStyle w:val="rtejustify"/>
        <w:shd w:val="clear" w:color="auto" w:fill="FFFFFF"/>
        <w:spacing w:before="0" w:beforeAutospacing="0" w:after="0" w:afterAutospacing="0"/>
        <w:textAlignment w:val="baseline"/>
        <w:rPr>
          <w:color w:val="000000" w:themeColor="text1"/>
          <w:sz w:val="16"/>
          <w:szCs w:val="16"/>
        </w:rPr>
      </w:pPr>
      <w:r w:rsidRPr="00BE410C">
        <w:rPr>
          <w:color w:val="000000" w:themeColor="text1"/>
          <w:sz w:val="16"/>
          <w:szCs w:val="16"/>
        </w:rPr>
        <w:t>В 1942 году весьма оригинальную и эффективную, но непрактичную в эксплуатации американскую амортизацию шасси признали непригодной. Взамен начали ставить советские амортизаторы пневмогидравлического типа. К осени такую замену произвели на всех самолетах. Еще одной новинкой стало применение морозостойкой смазки в механизме уборки-выпуска шасси. Ранее пользовались американским маслом, которое при 15 градусах мороза загустевало. Поэтому зимой летали, не убирая колес, теряя 25–30 км/ч скорости (19199).</w:t>
      </w:r>
    </w:p>
    <w:p w14:paraId="00A46DBF" w14:textId="77777777" w:rsidR="007C5583" w:rsidRPr="00BE410C" w:rsidRDefault="007C5583" w:rsidP="00BE410C">
      <w:pPr>
        <w:pStyle w:val="rtejustify"/>
        <w:shd w:val="clear" w:color="auto" w:fill="FFFFFF"/>
        <w:spacing w:before="0" w:beforeAutospacing="0" w:after="0" w:afterAutospacing="0"/>
        <w:textAlignment w:val="baseline"/>
        <w:rPr>
          <w:color w:val="000000" w:themeColor="text1"/>
          <w:sz w:val="16"/>
          <w:szCs w:val="16"/>
        </w:rPr>
      </w:pPr>
    </w:p>
    <w:p w14:paraId="3F12F6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5598BB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6A29A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мая 1942 г. была подготовлена ДОКЛАДНАЯ ЗАПИСКА НАЧАЛЬНИКА ГАБТУ ЗАМПРЕДУ СНК СССР О ВЫПОЛНЕНИИ ПЛАНА ПОСТАВОК ЗАПАСНЫХ ЧАСТЕЙ И АГРЕГАТОВ</w:t>
      </w:r>
    </w:p>
    <w:p w14:paraId="06CDA92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Установленный Постановлением ГОКО № 1571 ее от 9.04.1942 г. план выпуска запасных частей к танкам в апреле с.г. заводами промышленности не выполнен. Средний процент выполнения плана Наркомтанкопромом равен 62,5% и Наркомсредмашем 71,1%.</w:t>
      </w:r>
    </w:p>
    <w:p w14:paraId="1ADE950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Выполнение плана характеризуется следующей таблицей:</w:t>
      </w:r>
    </w:p>
    <w:tbl>
      <w:tblPr>
        <w:tblW w:w="0" w:type="auto"/>
        <w:tblInd w:w="40" w:type="dxa"/>
        <w:tblLayout w:type="fixed"/>
        <w:tblCellMar>
          <w:left w:w="40" w:type="dxa"/>
          <w:right w:w="40" w:type="dxa"/>
        </w:tblCellMar>
        <w:tblLook w:val="0000" w:firstRow="0" w:lastRow="0" w:firstColumn="0" w:lastColumn="0" w:noHBand="0" w:noVBand="0"/>
      </w:tblPr>
      <w:tblGrid>
        <w:gridCol w:w="1411"/>
        <w:gridCol w:w="2765"/>
        <w:gridCol w:w="1018"/>
        <w:gridCol w:w="970"/>
        <w:gridCol w:w="1075"/>
        <w:gridCol w:w="2294"/>
      </w:tblGrid>
      <w:tr w:rsidR="007C5583" w:rsidRPr="008127F8" w14:paraId="31453612" w14:textId="77777777" w:rsidTr="004C5D62">
        <w:trPr>
          <w:trHeight w:val="509"/>
        </w:trPr>
        <w:tc>
          <w:tcPr>
            <w:tcW w:w="1411" w:type="dxa"/>
            <w:tcBorders>
              <w:top w:val="single" w:sz="6" w:space="0" w:color="auto"/>
              <w:left w:val="single" w:sz="6" w:space="0" w:color="auto"/>
              <w:bottom w:val="single" w:sz="6" w:space="0" w:color="auto"/>
              <w:right w:val="single" w:sz="6" w:space="0" w:color="auto"/>
            </w:tcBorders>
          </w:tcPr>
          <w:p w14:paraId="680739C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поставщик</w:t>
            </w:r>
          </w:p>
          <w:p w14:paraId="78406F2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5AF4AED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продукции</w:t>
            </w:r>
          </w:p>
          <w:p w14:paraId="77E4443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0B19270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 апреля месяца в тыс. руб.</w:t>
            </w:r>
          </w:p>
          <w:p w14:paraId="5EFC055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566093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Сдано в апреле 1942г. в тыс. руб.</w:t>
            </w:r>
          </w:p>
          <w:p w14:paraId="367B58D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50B36B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выполнения</w:t>
            </w:r>
          </w:p>
          <w:p w14:paraId="0A3F272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single" w:sz="6" w:space="0" w:color="auto"/>
              <w:right w:val="single" w:sz="6" w:space="0" w:color="auto"/>
            </w:tcBorders>
          </w:tcPr>
          <w:p w14:paraId="33CDFC1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w:t>
            </w:r>
          </w:p>
          <w:p w14:paraId="004D51B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AC99650" w14:textId="77777777" w:rsidTr="004C5D62">
        <w:trPr>
          <w:trHeight w:val="192"/>
        </w:trPr>
        <w:tc>
          <w:tcPr>
            <w:tcW w:w="1411" w:type="dxa"/>
            <w:tcBorders>
              <w:top w:val="single" w:sz="6" w:space="0" w:color="auto"/>
              <w:left w:val="single" w:sz="6" w:space="0" w:color="auto"/>
              <w:bottom w:val="nil"/>
              <w:right w:val="single" w:sz="6" w:space="0" w:color="auto"/>
            </w:tcBorders>
          </w:tcPr>
          <w:p w14:paraId="473820C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Кировский</w:t>
            </w:r>
          </w:p>
          <w:p w14:paraId="4F4EBBD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1A89653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Запасные части к танку КВ</w:t>
            </w:r>
          </w:p>
          <w:p w14:paraId="23FC288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1BAC669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11000,0</w:t>
            </w:r>
          </w:p>
          <w:p w14:paraId="3FE87FA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57515F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6917,5</w:t>
            </w:r>
          </w:p>
          <w:p w14:paraId="07D93DD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4270E8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62,9</w:t>
            </w:r>
          </w:p>
          <w:p w14:paraId="5965BA5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nil"/>
              <w:right w:val="single" w:sz="6" w:space="0" w:color="auto"/>
            </w:tcBorders>
          </w:tcPr>
          <w:p w14:paraId="2EAB9A1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 ГОКО № 1472 от 2003.1942 г.</w:t>
            </w:r>
          </w:p>
          <w:p w14:paraId="08442EF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FACFC80" w14:textId="77777777" w:rsidTr="004C5D62">
        <w:trPr>
          <w:trHeight w:val="192"/>
        </w:trPr>
        <w:tc>
          <w:tcPr>
            <w:tcW w:w="1411" w:type="dxa"/>
            <w:tcBorders>
              <w:top w:val="nil"/>
              <w:left w:val="single" w:sz="6" w:space="0" w:color="auto"/>
              <w:bottom w:val="nil"/>
              <w:right w:val="single" w:sz="6" w:space="0" w:color="auto"/>
            </w:tcBorders>
          </w:tcPr>
          <w:p w14:paraId="62984ED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151E1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2D2F401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Коробки перемены передач КВ</w:t>
            </w:r>
          </w:p>
          <w:p w14:paraId="08BAFBB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08566B6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100шт.</w:t>
            </w:r>
          </w:p>
          <w:p w14:paraId="7663076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021364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шт.</w:t>
            </w:r>
          </w:p>
          <w:p w14:paraId="252CB69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F655C1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w:t>
            </w:r>
          </w:p>
          <w:p w14:paraId="2E8A3EF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nil"/>
              <w:right w:val="single" w:sz="6" w:space="0" w:color="auto"/>
            </w:tcBorders>
          </w:tcPr>
          <w:p w14:paraId="089E391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00D30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89987C2" w14:textId="77777777" w:rsidTr="004C5D62">
        <w:trPr>
          <w:trHeight w:val="192"/>
        </w:trPr>
        <w:tc>
          <w:tcPr>
            <w:tcW w:w="1411" w:type="dxa"/>
            <w:tcBorders>
              <w:top w:val="nil"/>
              <w:left w:val="single" w:sz="6" w:space="0" w:color="auto"/>
              <w:bottom w:val="nil"/>
              <w:right w:val="single" w:sz="6" w:space="0" w:color="auto"/>
            </w:tcBorders>
          </w:tcPr>
          <w:p w14:paraId="5A5F9A7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B654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0DDE0B1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Коробки перемены передач КВ</w:t>
            </w:r>
          </w:p>
          <w:p w14:paraId="1A5C33D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5E3CB72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 шт.</w:t>
            </w:r>
          </w:p>
          <w:p w14:paraId="5A4C733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1EE045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 шт.</w:t>
            </w:r>
          </w:p>
          <w:p w14:paraId="6328556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D60BF7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21,7</w:t>
            </w:r>
          </w:p>
          <w:p w14:paraId="239ECFF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nil"/>
              <w:right w:val="single" w:sz="6" w:space="0" w:color="auto"/>
            </w:tcBorders>
          </w:tcPr>
          <w:p w14:paraId="1E9C068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B22DF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6045081" w14:textId="77777777" w:rsidTr="004C5D62">
        <w:trPr>
          <w:trHeight w:val="192"/>
        </w:trPr>
        <w:tc>
          <w:tcPr>
            <w:tcW w:w="1411" w:type="dxa"/>
            <w:tcBorders>
              <w:top w:val="nil"/>
              <w:left w:val="single" w:sz="6" w:space="0" w:color="auto"/>
              <w:bottom w:val="nil"/>
              <w:right w:val="single" w:sz="6" w:space="0" w:color="auto"/>
            </w:tcBorders>
          </w:tcPr>
          <w:p w14:paraId="64FA1E6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6E2C9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1FB1736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Дизеля В-2К и В-2-34</w:t>
            </w:r>
          </w:p>
          <w:p w14:paraId="75A4E20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517FF57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25шт.</w:t>
            </w:r>
          </w:p>
          <w:p w14:paraId="34F7D43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295AFA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22шт.</w:t>
            </w:r>
          </w:p>
          <w:p w14:paraId="638079C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2CD890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88,0</w:t>
            </w:r>
          </w:p>
          <w:p w14:paraId="320EF6C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nil"/>
              <w:right w:val="single" w:sz="6" w:space="0" w:color="auto"/>
            </w:tcBorders>
          </w:tcPr>
          <w:p w14:paraId="031D5E2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B294D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57984BB" w14:textId="77777777" w:rsidTr="004C5D62">
        <w:trPr>
          <w:trHeight w:val="192"/>
        </w:trPr>
        <w:tc>
          <w:tcPr>
            <w:tcW w:w="1411" w:type="dxa"/>
            <w:tcBorders>
              <w:top w:val="nil"/>
              <w:left w:val="single" w:sz="6" w:space="0" w:color="auto"/>
              <w:bottom w:val="single" w:sz="6" w:space="0" w:color="auto"/>
              <w:right w:val="single" w:sz="6" w:space="0" w:color="auto"/>
            </w:tcBorders>
          </w:tcPr>
          <w:p w14:paraId="3E9113E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B5FAE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06677CA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Запасные части к дизелю В-2</w:t>
            </w:r>
          </w:p>
          <w:p w14:paraId="4B25315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6CE28BF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1270,0</w:t>
            </w:r>
          </w:p>
          <w:p w14:paraId="4A1FF61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72FCFB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1200,0</w:t>
            </w:r>
          </w:p>
          <w:p w14:paraId="10400AF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3F0EEF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94,5</w:t>
            </w:r>
          </w:p>
          <w:p w14:paraId="4D0C0F4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single" w:sz="6" w:space="0" w:color="auto"/>
              <w:right w:val="single" w:sz="6" w:space="0" w:color="auto"/>
            </w:tcBorders>
          </w:tcPr>
          <w:p w14:paraId="62B42F8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90221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71CE8B8" w14:textId="77777777" w:rsidTr="004C5D62">
        <w:trPr>
          <w:trHeight w:val="202"/>
        </w:trPr>
        <w:tc>
          <w:tcPr>
            <w:tcW w:w="1411" w:type="dxa"/>
            <w:tcBorders>
              <w:top w:val="single" w:sz="6" w:space="0" w:color="auto"/>
              <w:left w:val="single" w:sz="6" w:space="0" w:color="auto"/>
              <w:bottom w:val="nil"/>
              <w:right w:val="single" w:sz="6" w:space="0" w:color="auto"/>
            </w:tcBorders>
          </w:tcPr>
          <w:p w14:paraId="51E5DDB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Сталинградский тракторный</w:t>
            </w:r>
          </w:p>
          <w:p w14:paraId="7A78736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79F004C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Запасные части к танку Т- 34</w:t>
            </w:r>
          </w:p>
          <w:p w14:paraId="07F4B99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5280813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4110,0</w:t>
            </w:r>
          </w:p>
          <w:p w14:paraId="26EAE18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BDA756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2012,4</w:t>
            </w:r>
          </w:p>
          <w:p w14:paraId="26D77C5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3CAC43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49,0</w:t>
            </w:r>
          </w:p>
          <w:p w14:paraId="04D74AC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nil"/>
              <w:right w:val="single" w:sz="6" w:space="0" w:color="auto"/>
            </w:tcBorders>
          </w:tcPr>
          <w:p w14:paraId="525D70D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BFB8A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5C169E5" w14:textId="77777777" w:rsidTr="004C5D62">
        <w:trPr>
          <w:trHeight w:val="192"/>
        </w:trPr>
        <w:tc>
          <w:tcPr>
            <w:tcW w:w="1411" w:type="dxa"/>
            <w:tcBorders>
              <w:top w:val="nil"/>
              <w:left w:val="single" w:sz="6" w:space="0" w:color="auto"/>
              <w:bottom w:val="nil"/>
              <w:right w:val="single" w:sz="6" w:space="0" w:color="auto"/>
            </w:tcBorders>
          </w:tcPr>
          <w:p w14:paraId="7B1897D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85C10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1B4B5D7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Коробки перемены передач Т-34</w:t>
            </w:r>
          </w:p>
          <w:p w14:paraId="354CBCE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5BF79F4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 шт.</w:t>
            </w:r>
          </w:p>
          <w:p w14:paraId="45A5DA2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6AE097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шт.</w:t>
            </w:r>
          </w:p>
          <w:p w14:paraId="5DAD0BA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2A4796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31,4</w:t>
            </w:r>
          </w:p>
          <w:p w14:paraId="0AD1602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nil"/>
              <w:right w:val="single" w:sz="6" w:space="0" w:color="auto"/>
            </w:tcBorders>
          </w:tcPr>
          <w:p w14:paraId="1D633AF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DA24C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BA2725B" w14:textId="77777777" w:rsidTr="004C5D62">
        <w:trPr>
          <w:trHeight w:val="192"/>
        </w:trPr>
        <w:tc>
          <w:tcPr>
            <w:tcW w:w="1411" w:type="dxa"/>
            <w:tcBorders>
              <w:top w:val="nil"/>
              <w:left w:val="single" w:sz="6" w:space="0" w:color="auto"/>
              <w:bottom w:val="nil"/>
              <w:right w:val="single" w:sz="6" w:space="0" w:color="auto"/>
            </w:tcBorders>
          </w:tcPr>
          <w:p w14:paraId="68081EE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95806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746C0F2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Дизеля В-2-34</w:t>
            </w:r>
          </w:p>
          <w:p w14:paraId="708EA1F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AE937C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 шт.</w:t>
            </w:r>
          </w:p>
          <w:p w14:paraId="500CE70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A07609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4шт.</w:t>
            </w:r>
          </w:p>
          <w:p w14:paraId="281250E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1B6C75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w:t>
            </w:r>
          </w:p>
          <w:p w14:paraId="3C0B615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nil"/>
              <w:right w:val="single" w:sz="6" w:space="0" w:color="auto"/>
            </w:tcBorders>
          </w:tcPr>
          <w:p w14:paraId="1BA28B5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C96E8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1B8238C" w14:textId="77777777" w:rsidTr="004C5D62">
        <w:trPr>
          <w:trHeight w:val="202"/>
        </w:trPr>
        <w:tc>
          <w:tcPr>
            <w:tcW w:w="1411" w:type="dxa"/>
            <w:tcBorders>
              <w:top w:val="nil"/>
              <w:left w:val="single" w:sz="6" w:space="0" w:color="auto"/>
              <w:bottom w:val="single" w:sz="6" w:space="0" w:color="auto"/>
              <w:right w:val="single" w:sz="6" w:space="0" w:color="auto"/>
            </w:tcBorders>
          </w:tcPr>
          <w:p w14:paraId="0209FF2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8F2D5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13CAAA0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Запасные части к дизелю В-2</w:t>
            </w:r>
          </w:p>
          <w:p w14:paraId="60EA06C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0D13665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1000,0</w:t>
            </w:r>
          </w:p>
          <w:p w14:paraId="3C494A0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2AAD50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540,9</w:t>
            </w:r>
          </w:p>
          <w:p w14:paraId="4EBA39A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9421DD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54,1</w:t>
            </w:r>
          </w:p>
          <w:p w14:paraId="587FDC6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single" w:sz="6" w:space="0" w:color="auto"/>
              <w:right w:val="single" w:sz="6" w:space="0" w:color="auto"/>
            </w:tcBorders>
          </w:tcPr>
          <w:p w14:paraId="3C38568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5D635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D37CA05" w14:textId="77777777" w:rsidTr="004C5D62">
        <w:trPr>
          <w:trHeight w:val="192"/>
        </w:trPr>
        <w:tc>
          <w:tcPr>
            <w:tcW w:w="1411" w:type="dxa"/>
            <w:tcBorders>
              <w:top w:val="single" w:sz="6" w:space="0" w:color="auto"/>
              <w:left w:val="single" w:sz="6" w:space="0" w:color="auto"/>
              <w:bottom w:val="nil"/>
              <w:right w:val="single" w:sz="6" w:space="0" w:color="auto"/>
            </w:tcBorders>
          </w:tcPr>
          <w:p w14:paraId="603874C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183</w:t>
            </w:r>
          </w:p>
          <w:p w14:paraId="70E48B4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0ABFD0E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Запасные части к танку Т-34</w:t>
            </w:r>
          </w:p>
          <w:p w14:paraId="7BBCF01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1A54D1C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3900,0</w:t>
            </w:r>
          </w:p>
          <w:p w14:paraId="43012E6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F5D7D6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1668,3</w:t>
            </w:r>
          </w:p>
          <w:p w14:paraId="60A0D8C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5A8DD2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42,8</w:t>
            </w:r>
          </w:p>
          <w:p w14:paraId="0A39D88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nil"/>
              <w:right w:val="single" w:sz="6" w:space="0" w:color="auto"/>
            </w:tcBorders>
          </w:tcPr>
          <w:p w14:paraId="68334F1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6ED03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418ECC7" w14:textId="77777777" w:rsidTr="004C5D62">
        <w:trPr>
          <w:trHeight w:val="192"/>
        </w:trPr>
        <w:tc>
          <w:tcPr>
            <w:tcW w:w="1411" w:type="dxa"/>
            <w:tcBorders>
              <w:top w:val="nil"/>
              <w:left w:val="single" w:sz="6" w:space="0" w:color="auto"/>
              <w:bottom w:val="nil"/>
              <w:right w:val="single" w:sz="6" w:space="0" w:color="auto"/>
            </w:tcBorders>
          </w:tcPr>
          <w:p w14:paraId="004DE01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9A5D4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2AF9F40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Коробки перемены передач Т-34</w:t>
            </w:r>
          </w:p>
          <w:p w14:paraId="521329A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4431AA3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35шт.</w:t>
            </w:r>
          </w:p>
          <w:p w14:paraId="405C8CF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99909B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шт.</w:t>
            </w:r>
          </w:p>
          <w:p w14:paraId="3F179D5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7FBA18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57,1</w:t>
            </w:r>
          </w:p>
          <w:p w14:paraId="5B70246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nil"/>
              <w:right w:val="single" w:sz="6" w:space="0" w:color="auto"/>
            </w:tcBorders>
          </w:tcPr>
          <w:p w14:paraId="7831B9B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AE9F1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D491BCC" w14:textId="77777777" w:rsidTr="004C5D62">
        <w:trPr>
          <w:trHeight w:val="192"/>
        </w:trPr>
        <w:tc>
          <w:tcPr>
            <w:tcW w:w="1411" w:type="dxa"/>
            <w:tcBorders>
              <w:top w:val="nil"/>
              <w:left w:val="single" w:sz="6" w:space="0" w:color="auto"/>
              <w:bottom w:val="single" w:sz="6" w:space="0" w:color="auto"/>
              <w:right w:val="single" w:sz="6" w:space="0" w:color="auto"/>
            </w:tcBorders>
          </w:tcPr>
          <w:p w14:paraId="1B40381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B524E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055645A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Запасные части к танку БТ</w:t>
            </w:r>
          </w:p>
          <w:p w14:paraId="59BB024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7653BCE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1108,0</w:t>
            </w:r>
          </w:p>
          <w:p w14:paraId="0583CD7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C6DB0A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p w14:paraId="071E1A5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8E5F74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p w14:paraId="194CB0B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single" w:sz="6" w:space="0" w:color="auto"/>
              <w:right w:val="single" w:sz="6" w:space="0" w:color="auto"/>
            </w:tcBorders>
          </w:tcPr>
          <w:p w14:paraId="2E25413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43ACC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62F3FE3" w14:textId="77777777" w:rsidTr="004C5D62">
        <w:trPr>
          <w:trHeight w:val="192"/>
        </w:trPr>
        <w:tc>
          <w:tcPr>
            <w:tcW w:w="1411" w:type="dxa"/>
            <w:tcBorders>
              <w:top w:val="single" w:sz="6" w:space="0" w:color="auto"/>
              <w:left w:val="single" w:sz="6" w:space="0" w:color="auto"/>
              <w:bottom w:val="nil"/>
              <w:right w:val="single" w:sz="6" w:space="0" w:color="auto"/>
            </w:tcBorders>
          </w:tcPr>
          <w:p w14:paraId="08BC4D7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№112</w:t>
            </w:r>
          </w:p>
          <w:p w14:paraId="3AF44E0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496167A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Запасные части к танку Т-34</w:t>
            </w:r>
          </w:p>
          <w:p w14:paraId="38D29C6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02C8003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2450,0</w:t>
            </w:r>
          </w:p>
          <w:p w14:paraId="4DBD89D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B5EA02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2560,0</w:t>
            </w:r>
          </w:p>
          <w:p w14:paraId="7831EF5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EB80FC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104,5</w:t>
            </w:r>
          </w:p>
          <w:p w14:paraId="66416B0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nil"/>
              <w:right w:val="single" w:sz="6" w:space="0" w:color="auto"/>
            </w:tcBorders>
          </w:tcPr>
          <w:p w14:paraId="76B2E3E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Оформлено военпредом 596,2 тыс. КПП - 2 шт.</w:t>
            </w:r>
          </w:p>
          <w:p w14:paraId="47DEB76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9175739" w14:textId="77777777" w:rsidTr="004C5D62">
        <w:trPr>
          <w:trHeight w:val="202"/>
        </w:trPr>
        <w:tc>
          <w:tcPr>
            <w:tcW w:w="1411" w:type="dxa"/>
            <w:tcBorders>
              <w:top w:val="nil"/>
              <w:left w:val="single" w:sz="6" w:space="0" w:color="auto"/>
              <w:bottom w:val="single" w:sz="6" w:space="0" w:color="auto"/>
              <w:right w:val="single" w:sz="6" w:space="0" w:color="auto"/>
            </w:tcBorders>
          </w:tcPr>
          <w:p w14:paraId="1DB2D44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85DE4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5AAD8F7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Коробки перемены передач Т-34</w:t>
            </w:r>
          </w:p>
          <w:p w14:paraId="4F65359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78C5197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шт.</w:t>
            </w:r>
          </w:p>
          <w:p w14:paraId="3C6F255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EF7D06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шт</w:t>
            </w:r>
          </w:p>
          <w:p w14:paraId="54038EF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790310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w:t>
            </w:r>
          </w:p>
          <w:p w14:paraId="61B5EC8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single" w:sz="6" w:space="0" w:color="auto"/>
              <w:right w:val="single" w:sz="6" w:space="0" w:color="auto"/>
            </w:tcBorders>
          </w:tcPr>
          <w:p w14:paraId="1B40C59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E9596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280D18B4" w14:textId="77777777" w:rsidTr="004C5D62">
        <w:trPr>
          <w:trHeight w:val="182"/>
        </w:trPr>
        <w:tc>
          <w:tcPr>
            <w:tcW w:w="1411" w:type="dxa"/>
            <w:tcBorders>
              <w:top w:val="single" w:sz="6" w:space="0" w:color="auto"/>
              <w:left w:val="single" w:sz="6" w:space="0" w:color="auto"/>
              <w:bottom w:val="nil"/>
              <w:right w:val="single" w:sz="6" w:space="0" w:color="auto"/>
            </w:tcBorders>
          </w:tcPr>
          <w:p w14:paraId="0F7A164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w:t>
            </w:r>
          </w:p>
          <w:p w14:paraId="59B4687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7919A26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Дизеля В-2-34</w:t>
            </w:r>
          </w:p>
          <w:p w14:paraId="67785A8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0F36CD4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шт.</w:t>
            </w:r>
          </w:p>
          <w:p w14:paraId="446E18E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EBD1B6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шт.</w:t>
            </w:r>
          </w:p>
          <w:p w14:paraId="47D1D41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7C2C96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120,0</w:t>
            </w:r>
          </w:p>
          <w:p w14:paraId="66B64E9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nil"/>
              <w:right w:val="single" w:sz="6" w:space="0" w:color="auto"/>
            </w:tcBorders>
          </w:tcPr>
          <w:p w14:paraId="7AF1B13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диз. из 18 сданы в марте в счет программы апреля месяца</w:t>
            </w:r>
          </w:p>
          <w:p w14:paraId="2528C4A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455F524" w14:textId="77777777" w:rsidTr="004C5D62">
        <w:trPr>
          <w:trHeight w:val="202"/>
        </w:trPr>
        <w:tc>
          <w:tcPr>
            <w:tcW w:w="1411" w:type="dxa"/>
            <w:tcBorders>
              <w:top w:val="nil"/>
              <w:left w:val="single" w:sz="6" w:space="0" w:color="auto"/>
              <w:bottom w:val="single" w:sz="6" w:space="0" w:color="auto"/>
              <w:right w:val="single" w:sz="6" w:space="0" w:color="auto"/>
            </w:tcBorders>
          </w:tcPr>
          <w:p w14:paraId="197989A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A2CAD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0E4BBD7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Запасные части к дизелю В-2</w:t>
            </w:r>
          </w:p>
          <w:p w14:paraId="0AB1777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55420C1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1070,0</w:t>
            </w:r>
          </w:p>
          <w:p w14:paraId="61D7B19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AC4CDC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w:t>
            </w:r>
          </w:p>
          <w:p w14:paraId="5B169ED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DD942C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46,7</w:t>
            </w:r>
          </w:p>
          <w:p w14:paraId="62E3928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single" w:sz="6" w:space="0" w:color="auto"/>
              <w:right w:val="single" w:sz="6" w:space="0" w:color="auto"/>
            </w:tcBorders>
          </w:tcPr>
          <w:p w14:paraId="4F7819E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86B83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2B655B0E" w14:textId="77777777" w:rsidTr="004C5D62">
        <w:trPr>
          <w:trHeight w:val="192"/>
        </w:trPr>
        <w:tc>
          <w:tcPr>
            <w:tcW w:w="1411" w:type="dxa"/>
            <w:tcBorders>
              <w:top w:val="single" w:sz="6" w:space="0" w:color="auto"/>
              <w:left w:val="single" w:sz="6" w:space="0" w:color="auto"/>
              <w:bottom w:val="nil"/>
              <w:right w:val="single" w:sz="6" w:space="0" w:color="auto"/>
            </w:tcBorders>
          </w:tcPr>
          <w:p w14:paraId="30AA33C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w:t>
            </w:r>
          </w:p>
          <w:p w14:paraId="0C9140F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3B77391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Запасные части Т-60</w:t>
            </w:r>
          </w:p>
          <w:p w14:paraId="67D6525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421C0C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450,0</w:t>
            </w:r>
          </w:p>
          <w:p w14:paraId="3DED5EB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6579D2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823,0</w:t>
            </w:r>
          </w:p>
          <w:p w14:paraId="7A35832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1F4D3F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182,9</w:t>
            </w:r>
          </w:p>
          <w:p w14:paraId="5874AD7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nil"/>
              <w:right w:val="single" w:sz="6" w:space="0" w:color="auto"/>
            </w:tcBorders>
          </w:tcPr>
          <w:p w14:paraId="0F30202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4F25A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3857476" w14:textId="77777777" w:rsidTr="004C5D62">
        <w:trPr>
          <w:trHeight w:val="192"/>
        </w:trPr>
        <w:tc>
          <w:tcPr>
            <w:tcW w:w="1411" w:type="dxa"/>
            <w:tcBorders>
              <w:top w:val="nil"/>
              <w:left w:val="single" w:sz="6" w:space="0" w:color="auto"/>
              <w:bottom w:val="single" w:sz="6" w:space="0" w:color="auto"/>
              <w:right w:val="single" w:sz="6" w:space="0" w:color="auto"/>
            </w:tcBorders>
          </w:tcPr>
          <w:p w14:paraId="6A62EF9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8D727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7D6CB1B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Запасные части Т-37, 38</w:t>
            </w:r>
          </w:p>
          <w:p w14:paraId="4DEBAB8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65211ED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w:t>
            </w:r>
          </w:p>
          <w:p w14:paraId="42A9A13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09A4C7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p w14:paraId="3A734AE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40CDD6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p w14:paraId="2C959B4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single" w:sz="6" w:space="0" w:color="auto"/>
              <w:right w:val="single" w:sz="6" w:space="0" w:color="auto"/>
            </w:tcBorders>
          </w:tcPr>
          <w:p w14:paraId="027369F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B5A4F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B6032FF" w14:textId="77777777" w:rsidTr="004C5D62">
        <w:trPr>
          <w:trHeight w:val="202"/>
        </w:trPr>
        <w:tc>
          <w:tcPr>
            <w:tcW w:w="1411" w:type="dxa"/>
            <w:tcBorders>
              <w:top w:val="single" w:sz="6" w:space="0" w:color="auto"/>
              <w:left w:val="single" w:sz="6" w:space="0" w:color="auto"/>
              <w:bottom w:val="single" w:sz="6" w:space="0" w:color="auto"/>
              <w:right w:val="single" w:sz="6" w:space="0" w:color="auto"/>
            </w:tcBorders>
          </w:tcPr>
          <w:p w14:paraId="61D1CB9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w:t>
            </w:r>
          </w:p>
          <w:p w14:paraId="487BB83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4D5712C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Запасные части Т-60, 70</w:t>
            </w:r>
          </w:p>
          <w:p w14:paraId="2079809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70460DB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225,0</w:t>
            </w:r>
          </w:p>
          <w:p w14:paraId="4A88496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974788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236,0</w:t>
            </w:r>
          </w:p>
          <w:p w14:paraId="34411F9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16605C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104,9</w:t>
            </w:r>
          </w:p>
          <w:p w14:paraId="01F86AE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single" w:sz="6" w:space="0" w:color="auto"/>
              <w:right w:val="single" w:sz="6" w:space="0" w:color="auto"/>
            </w:tcBorders>
          </w:tcPr>
          <w:p w14:paraId="322AD27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D8632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9F510E1" w14:textId="77777777" w:rsidTr="004C5D62">
        <w:trPr>
          <w:trHeight w:val="192"/>
        </w:trPr>
        <w:tc>
          <w:tcPr>
            <w:tcW w:w="1411" w:type="dxa"/>
            <w:tcBorders>
              <w:top w:val="single" w:sz="6" w:space="0" w:color="auto"/>
              <w:left w:val="single" w:sz="6" w:space="0" w:color="auto"/>
              <w:bottom w:val="single" w:sz="6" w:space="0" w:color="auto"/>
              <w:right w:val="single" w:sz="6" w:space="0" w:color="auto"/>
            </w:tcBorders>
          </w:tcPr>
          <w:p w14:paraId="54912F1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№264</w:t>
            </w:r>
          </w:p>
          <w:p w14:paraId="60C83FA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7D3EA94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Запасные части Т-60</w:t>
            </w:r>
          </w:p>
          <w:p w14:paraId="67F1112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62C423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450,0</w:t>
            </w:r>
          </w:p>
          <w:p w14:paraId="0AF4F62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294C6A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563,4</w:t>
            </w:r>
          </w:p>
          <w:p w14:paraId="5096F31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9F909E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125,2</w:t>
            </w:r>
          </w:p>
          <w:p w14:paraId="71FCE9F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single" w:sz="6" w:space="0" w:color="auto"/>
              <w:right w:val="single" w:sz="6" w:space="0" w:color="auto"/>
            </w:tcBorders>
          </w:tcPr>
          <w:p w14:paraId="0EA93BF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6D6CD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D8BA993" w14:textId="77777777" w:rsidTr="004C5D62">
        <w:trPr>
          <w:trHeight w:val="192"/>
        </w:trPr>
        <w:tc>
          <w:tcPr>
            <w:tcW w:w="1411" w:type="dxa"/>
            <w:tcBorders>
              <w:top w:val="single" w:sz="6" w:space="0" w:color="auto"/>
              <w:left w:val="single" w:sz="6" w:space="0" w:color="auto"/>
              <w:bottom w:val="single" w:sz="6" w:space="0" w:color="auto"/>
              <w:right w:val="single" w:sz="6" w:space="0" w:color="auto"/>
            </w:tcBorders>
          </w:tcPr>
          <w:p w14:paraId="099557F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174</w:t>
            </w:r>
          </w:p>
          <w:p w14:paraId="415D4CF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335F7C1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Запасные части Т-34</w:t>
            </w:r>
          </w:p>
          <w:p w14:paraId="7127A98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199FD54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p w14:paraId="23C6871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2389BC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17,5</w:t>
            </w:r>
          </w:p>
          <w:p w14:paraId="20BDCE4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C9F6C9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35,0</w:t>
            </w:r>
          </w:p>
          <w:p w14:paraId="7B15747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single" w:sz="6" w:space="0" w:color="auto"/>
              <w:right w:val="single" w:sz="6" w:space="0" w:color="auto"/>
            </w:tcBorders>
          </w:tcPr>
          <w:p w14:paraId="01218EA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6AC16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C2ED86A" w14:textId="77777777" w:rsidTr="004C5D62">
        <w:trPr>
          <w:trHeight w:val="192"/>
        </w:trPr>
        <w:tc>
          <w:tcPr>
            <w:tcW w:w="1411" w:type="dxa"/>
            <w:tcBorders>
              <w:top w:val="single" w:sz="6" w:space="0" w:color="auto"/>
              <w:left w:val="single" w:sz="6" w:space="0" w:color="auto"/>
              <w:bottom w:val="nil"/>
              <w:right w:val="single" w:sz="6" w:space="0" w:color="auto"/>
            </w:tcBorders>
          </w:tcPr>
          <w:p w14:paraId="31F5412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Автозавод им. Молотова</w:t>
            </w:r>
          </w:p>
          <w:p w14:paraId="28D112F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77D258F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Запасные части Т-60, 70, ГАЗ-202</w:t>
            </w:r>
          </w:p>
          <w:p w14:paraId="5BACBD0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0CDC643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3600,0</w:t>
            </w:r>
          </w:p>
          <w:p w14:paraId="7DFDBEC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A8C39C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3272,0</w:t>
            </w:r>
          </w:p>
          <w:p w14:paraId="409223C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174170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90,9</w:t>
            </w:r>
          </w:p>
          <w:p w14:paraId="1DA48A8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nil"/>
              <w:right w:val="single" w:sz="6" w:space="0" w:color="auto"/>
            </w:tcBorders>
          </w:tcPr>
          <w:p w14:paraId="4C62A00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A2F21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2F253FB" w14:textId="77777777" w:rsidTr="004C5D62">
        <w:trPr>
          <w:trHeight w:val="202"/>
        </w:trPr>
        <w:tc>
          <w:tcPr>
            <w:tcW w:w="1411" w:type="dxa"/>
            <w:tcBorders>
              <w:top w:val="nil"/>
              <w:left w:val="single" w:sz="6" w:space="0" w:color="auto"/>
              <w:bottom w:val="nil"/>
              <w:right w:val="single" w:sz="6" w:space="0" w:color="auto"/>
            </w:tcBorders>
          </w:tcPr>
          <w:p w14:paraId="3C3135D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EB896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5503A19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Двигатели ГАЗ-202</w:t>
            </w:r>
          </w:p>
          <w:p w14:paraId="075A0D6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4C0ADB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 шт.</w:t>
            </w:r>
          </w:p>
          <w:p w14:paraId="0ED6018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305780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38шт.</w:t>
            </w:r>
          </w:p>
          <w:p w14:paraId="43DA722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E5ABC5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25,3</w:t>
            </w:r>
          </w:p>
          <w:p w14:paraId="69F8B5A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nil"/>
              <w:right w:val="single" w:sz="6" w:space="0" w:color="auto"/>
            </w:tcBorders>
          </w:tcPr>
          <w:p w14:paraId="055D327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65C98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B06F027" w14:textId="77777777" w:rsidTr="004C5D62">
        <w:trPr>
          <w:trHeight w:val="192"/>
        </w:trPr>
        <w:tc>
          <w:tcPr>
            <w:tcW w:w="1411" w:type="dxa"/>
            <w:tcBorders>
              <w:top w:val="nil"/>
              <w:left w:val="single" w:sz="6" w:space="0" w:color="auto"/>
              <w:bottom w:val="nil"/>
              <w:right w:val="single" w:sz="6" w:space="0" w:color="auto"/>
            </w:tcBorders>
          </w:tcPr>
          <w:p w14:paraId="358CA6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E1AE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40029F0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Двигатели ГАЗ-202 спаренные</w:t>
            </w:r>
          </w:p>
          <w:p w14:paraId="3F9B090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39B67B0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шт.</w:t>
            </w:r>
          </w:p>
          <w:p w14:paraId="289AB6C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263A89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p w14:paraId="5447AC0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CA070F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p w14:paraId="1219E84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nil"/>
              <w:right w:val="single" w:sz="6" w:space="0" w:color="auto"/>
            </w:tcBorders>
          </w:tcPr>
          <w:p w14:paraId="06F0C90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5C03B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EA2812A" w14:textId="77777777" w:rsidTr="004C5D62">
        <w:trPr>
          <w:trHeight w:val="211"/>
        </w:trPr>
        <w:tc>
          <w:tcPr>
            <w:tcW w:w="1411" w:type="dxa"/>
            <w:tcBorders>
              <w:top w:val="nil"/>
              <w:left w:val="single" w:sz="6" w:space="0" w:color="auto"/>
              <w:bottom w:val="single" w:sz="6" w:space="0" w:color="auto"/>
              <w:right w:val="single" w:sz="6" w:space="0" w:color="auto"/>
            </w:tcBorders>
          </w:tcPr>
          <w:p w14:paraId="2437C0E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EFB19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4B7BA6C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Запасные части БТ и Т-26</w:t>
            </w:r>
          </w:p>
          <w:p w14:paraId="61B9BC0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D6EC73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1000,0</w:t>
            </w:r>
          </w:p>
          <w:p w14:paraId="0DDE243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E1FF62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p w14:paraId="4B33C58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C2ED50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w:t>
            </w:r>
          </w:p>
          <w:p w14:paraId="4BAFD58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single" w:sz="6" w:space="0" w:color="auto"/>
              <w:right w:val="single" w:sz="6" w:space="0" w:color="auto"/>
            </w:tcBorders>
          </w:tcPr>
          <w:p w14:paraId="339F36F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0B9D6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B41EEC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Выпуск запасных частей к танкам продолжает срываться и находится на прежнем, совершенно неудовлетворительном, уровне.</w:t>
      </w:r>
    </w:p>
    <w:p w14:paraId="0B71AC2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Особенно плохие показатели по выпуску запасных частей в апреле имеют заводы: СТЗ (ди</w:t>
      </w:r>
      <w:r w:rsidRPr="008127F8">
        <w:rPr>
          <w:rFonts w:ascii="Times New Roman" w:hAnsi="Times New Roman"/>
          <w:color w:val="000000" w:themeColor="text1"/>
          <w:sz w:val="16"/>
          <w:szCs w:val="16"/>
        </w:rPr>
        <w:softHyphen/>
        <w:t>ректор т. Задорожный), № 183 (директор т. Зальцман) и Кировский завод (директор т. Махо-нин). Установленный Постановлением ГОКО № 1571 ее номенклатурный и количественный объем выпуска дефицитных агрегатов и запасных частей вышеуказанными заводами в апреле не выполнен.</w:t>
      </w:r>
    </w:p>
    <w:p w14:paraId="22E4EFB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183 из общей суммы сданных запасных частей в 1668,3 тыс. руб. сдал ротными комплек</w:t>
      </w:r>
      <w:r w:rsidRPr="008127F8">
        <w:rPr>
          <w:rFonts w:ascii="Times New Roman" w:hAnsi="Times New Roman"/>
          <w:color w:val="000000" w:themeColor="text1"/>
          <w:sz w:val="16"/>
          <w:szCs w:val="16"/>
        </w:rPr>
        <w:softHyphen/>
        <w:t>тами на сумму 1440,3 тыс. руб., и только на 228 тыс. руб. были сданы запчасти россыпью (9,6% плана).</w:t>
      </w:r>
    </w:p>
    <w:p w14:paraId="43CCF9C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Сорвана поставка коробок перемены передач КВ Кировским заводом, двигателей ГАЗ-202 автоза</w:t>
      </w:r>
      <w:r w:rsidRPr="008127F8">
        <w:rPr>
          <w:rFonts w:ascii="Times New Roman" w:hAnsi="Times New Roman"/>
          <w:color w:val="000000" w:themeColor="text1"/>
          <w:sz w:val="16"/>
          <w:szCs w:val="16"/>
        </w:rPr>
        <w:softHyphen/>
        <w:t>водом им. Молотова, дизелей В-2-34 и коробок перемены передач Т-34 Сталинградским тракторным заводом и только в последней пятидневке апреля приступил к сдаче запасных частей завод № 112.</w:t>
      </w:r>
    </w:p>
    <w:p w14:paraId="299706E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Директора указанных заводов, несмотря на персональную ответственность за производство за</w:t>
      </w:r>
      <w:r w:rsidRPr="008127F8">
        <w:rPr>
          <w:rFonts w:ascii="Times New Roman" w:hAnsi="Times New Roman"/>
          <w:color w:val="000000" w:themeColor="text1"/>
          <w:sz w:val="16"/>
          <w:szCs w:val="16"/>
        </w:rPr>
        <w:softHyphen/>
        <w:t>пасных частей, возложенную на них Постановлением ГОКО № 1571сс, не принимают необходимых мер для выполнения важнейшего оборонного задания.</w:t>
      </w:r>
    </w:p>
    <w:p w14:paraId="21F0D44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Неудовлетворительная сдача запасных частей в 1 квартале и невыполнение плана по запасным частям в апреле месяце создали исключительно тяжелое положение с удовлетворением потребно</w:t>
      </w:r>
      <w:r w:rsidRPr="008127F8">
        <w:rPr>
          <w:rFonts w:ascii="Times New Roman" w:hAnsi="Times New Roman"/>
          <w:color w:val="000000" w:themeColor="text1"/>
          <w:sz w:val="16"/>
          <w:szCs w:val="16"/>
        </w:rPr>
        <w:softHyphen/>
        <w:t>сти войск действующих армий и рембаз НКО в запасных частях и сорвало восстановление ремонт</w:t>
      </w:r>
      <w:r w:rsidRPr="008127F8">
        <w:rPr>
          <w:rFonts w:ascii="Times New Roman" w:hAnsi="Times New Roman"/>
          <w:color w:val="000000" w:themeColor="text1"/>
          <w:sz w:val="16"/>
          <w:szCs w:val="16"/>
        </w:rPr>
        <w:softHyphen/>
        <w:t>ного парка машин, который по состоянию на 20.04.1942 г. характеризуется следующей таблицей:</w:t>
      </w:r>
    </w:p>
    <w:tbl>
      <w:tblPr>
        <w:tblW w:w="0" w:type="auto"/>
        <w:tblInd w:w="40" w:type="dxa"/>
        <w:tblLayout w:type="fixed"/>
        <w:tblCellMar>
          <w:left w:w="40" w:type="dxa"/>
          <w:right w:w="40" w:type="dxa"/>
        </w:tblCellMar>
        <w:tblLook w:val="0000" w:firstRow="0" w:lastRow="0" w:firstColumn="0" w:lastColumn="0" w:noHBand="0" w:noVBand="0"/>
      </w:tblPr>
      <w:tblGrid>
        <w:gridCol w:w="576"/>
        <w:gridCol w:w="1296"/>
        <w:gridCol w:w="2438"/>
        <w:gridCol w:w="2448"/>
      </w:tblGrid>
      <w:tr w:rsidR="007C5583" w:rsidRPr="008127F8" w14:paraId="666D5638" w14:textId="77777777" w:rsidTr="004C5D62">
        <w:trPr>
          <w:trHeight w:val="336"/>
        </w:trPr>
        <w:tc>
          <w:tcPr>
            <w:tcW w:w="576" w:type="dxa"/>
            <w:tcBorders>
              <w:top w:val="single" w:sz="6" w:space="0" w:color="auto"/>
              <w:left w:val="single" w:sz="6" w:space="0" w:color="auto"/>
              <w:bottom w:val="single" w:sz="6" w:space="0" w:color="auto"/>
              <w:right w:val="single" w:sz="6" w:space="0" w:color="auto"/>
            </w:tcBorders>
          </w:tcPr>
          <w:p w14:paraId="2F0CE4D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p w14:paraId="1CB3CA4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п/п</w:t>
            </w:r>
          </w:p>
          <w:p w14:paraId="3864964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5E7203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Марка машины</w:t>
            </w:r>
          </w:p>
          <w:p w14:paraId="0ECC2E8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single" w:sz="6" w:space="0" w:color="auto"/>
              <w:left w:val="single" w:sz="6" w:space="0" w:color="auto"/>
              <w:bottom w:val="single" w:sz="6" w:space="0" w:color="auto"/>
              <w:right w:val="single" w:sz="6" w:space="0" w:color="auto"/>
            </w:tcBorders>
          </w:tcPr>
          <w:p w14:paraId="4A20F81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Неходовой парк машин на 20.04.1942 г.</w:t>
            </w:r>
          </w:p>
          <w:p w14:paraId="6DDB1D9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48" w:type="dxa"/>
            <w:tcBorders>
              <w:top w:val="single" w:sz="6" w:space="0" w:color="auto"/>
              <w:left w:val="single" w:sz="6" w:space="0" w:color="auto"/>
              <w:bottom w:val="single" w:sz="6" w:space="0" w:color="auto"/>
              <w:right w:val="single" w:sz="6" w:space="0" w:color="auto"/>
            </w:tcBorders>
          </w:tcPr>
          <w:p w14:paraId="0A0A23E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Отремонтировано войсковыми средствами за 20 дней апреля</w:t>
            </w:r>
          </w:p>
          <w:p w14:paraId="420F77A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4A2E367" w14:textId="77777777" w:rsidTr="004C5D62">
        <w:trPr>
          <w:trHeight w:val="202"/>
        </w:trPr>
        <w:tc>
          <w:tcPr>
            <w:tcW w:w="576" w:type="dxa"/>
            <w:tcBorders>
              <w:top w:val="single" w:sz="6" w:space="0" w:color="auto"/>
              <w:left w:val="single" w:sz="6" w:space="0" w:color="auto"/>
              <w:bottom w:val="single" w:sz="6" w:space="0" w:color="auto"/>
              <w:right w:val="single" w:sz="6" w:space="0" w:color="auto"/>
            </w:tcBorders>
          </w:tcPr>
          <w:p w14:paraId="0B91906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p w14:paraId="6A5E05D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34126F4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«КВ»</w:t>
            </w:r>
          </w:p>
          <w:p w14:paraId="4242F74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single" w:sz="6" w:space="0" w:color="auto"/>
              <w:left w:val="single" w:sz="6" w:space="0" w:color="auto"/>
              <w:bottom w:val="single" w:sz="6" w:space="0" w:color="auto"/>
              <w:right w:val="single" w:sz="6" w:space="0" w:color="auto"/>
            </w:tcBorders>
          </w:tcPr>
          <w:p w14:paraId="1E14BFB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410</w:t>
            </w:r>
          </w:p>
          <w:p w14:paraId="1D0B014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48" w:type="dxa"/>
            <w:tcBorders>
              <w:top w:val="single" w:sz="6" w:space="0" w:color="auto"/>
              <w:left w:val="single" w:sz="6" w:space="0" w:color="auto"/>
              <w:bottom w:val="single" w:sz="6" w:space="0" w:color="auto"/>
              <w:right w:val="single" w:sz="6" w:space="0" w:color="auto"/>
            </w:tcBorders>
          </w:tcPr>
          <w:p w14:paraId="4A3C028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92</w:t>
            </w:r>
          </w:p>
          <w:p w14:paraId="7B3A3F7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D0A71C3" w14:textId="77777777" w:rsidTr="004C5D62">
        <w:trPr>
          <w:trHeight w:val="192"/>
        </w:trPr>
        <w:tc>
          <w:tcPr>
            <w:tcW w:w="576" w:type="dxa"/>
            <w:tcBorders>
              <w:top w:val="single" w:sz="6" w:space="0" w:color="auto"/>
              <w:left w:val="single" w:sz="6" w:space="0" w:color="auto"/>
              <w:bottom w:val="single" w:sz="6" w:space="0" w:color="auto"/>
              <w:right w:val="single" w:sz="6" w:space="0" w:color="auto"/>
            </w:tcBorders>
          </w:tcPr>
          <w:p w14:paraId="77FA880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p w14:paraId="614296A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529A00B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Т-34</w:t>
            </w:r>
          </w:p>
          <w:p w14:paraId="791994D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single" w:sz="6" w:space="0" w:color="auto"/>
              <w:left w:val="single" w:sz="6" w:space="0" w:color="auto"/>
              <w:bottom w:val="single" w:sz="6" w:space="0" w:color="auto"/>
              <w:right w:val="single" w:sz="6" w:space="0" w:color="auto"/>
            </w:tcBorders>
          </w:tcPr>
          <w:p w14:paraId="656EDBD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667</w:t>
            </w:r>
          </w:p>
          <w:p w14:paraId="68F4665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48" w:type="dxa"/>
            <w:tcBorders>
              <w:top w:val="single" w:sz="6" w:space="0" w:color="auto"/>
              <w:left w:val="single" w:sz="6" w:space="0" w:color="auto"/>
              <w:bottom w:val="single" w:sz="6" w:space="0" w:color="auto"/>
              <w:right w:val="single" w:sz="6" w:space="0" w:color="auto"/>
            </w:tcBorders>
          </w:tcPr>
          <w:p w14:paraId="03075AB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107</w:t>
            </w:r>
          </w:p>
          <w:p w14:paraId="4C301E6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507ED44" w14:textId="77777777" w:rsidTr="004C5D62">
        <w:trPr>
          <w:trHeight w:val="192"/>
        </w:trPr>
        <w:tc>
          <w:tcPr>
            <w:tcW w:w="576" w:type="dxa"/>
            <w:tcBorders>
              <w:top w:val="single" w:sz="6" w:space="0" w:color="auto"/>
              <w:left w:val="single" w:sz="6" w:space="0" w:color="auto"/>
              <w:bottom w:val="single" w:sz="6" w:space="0" w:color="auto"/>
              <w:right w:val="single" w:sz="6" w:space="0" w:color="auto"/>
            </w:tcBorders>
          </w:tcPr>
          <w:p w14:paraId="44BB46B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3.</w:t>
            </w:r>
          </w:p>
          <w:p w14:paraId="5F94C48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6943638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Т-40, Т-60</w:t>
            </w:r>
          </w:p>
          <w:p w14:paraId="594E03A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single" w:sz="6" w:space="0" w:color="auto"/>
              <w:left w:val="single" w:sz="6" w:space="0" w:color="auto"/>
              <w:bottom w:val="single" w:sz="6" w:space="0" w:color="auto"/>
              <w:right w:val="single" w:sz="6" w:space="0" w:color="auto"/>
            </w:tcBorders>
          </w:tcPr>
          <w:p w14:paraId="20EE7D0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431</w:t>
            </w:r>
          </w:p>
          <w:p w14:paraId="783E3B5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48" w:type="dxa"/>
            <w:tcBorders>
              <w:top w:val="single" w:sz="6" w:space="0" w:color="auto"/>
              <w:left w:val="single" w:sz="6" w:space="0" w:color="auto"/>
              <w:bottom w:val="single" w:sz="6" w:space="0" w:color="auto"/>
              <w:right w:val="single" w:sz="6" w:space="0" w:color="auto"/>
            </w:tcBorders>
          </w:tcPr>
          <w:p w14:paraId="067790B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w:t>
            </w:r>
          </w:p>
          <w:p w14:paraId="33F765C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5967C7D" w14:textId="77777777" w:rsidTr="004C5D62">
        <w:trPr>
          <w:trHeight w:val="192"/>
        </w:trPr>
        <w:tc>
          <w:tcPr>
            <w:tcW w:w="576" w:type="dxa"/>
            <w:tcBorders>
              <w:top w:val="single" w:sz="6" w:space="0" w:color="auto"/>
              <w:left w:val="single" w:sz="6" w:space="0" w:color="auto"/>
              <w:bottom w:val="single" w:sz="6" w:space="0" w:color="auto"/>
              <w:right w:val="single" w:sz="6" w:space="0" w:color="auto"/>
            </w:tcBorders>
          </w:tcPr>
          <w:p w14:paraId="0C26141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p w14:paraId="2BDE37D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70FDE8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БТ</w:t>
            </w:r>
          </w:p>
          <w:p w14:paraId="06D8FB8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single" w:sz="6" w:space="0" w:color="auto"/>
              <w:left w:val="single" w:sz="6" w:space="0" w:color="auto"/>
              <w:bottom w:val="single" w:sz="6" w:space="0" w:color="auto"/>
              <w:right w:val="single" w:sz="6" w:space="0" w:color="auto"/>
            </w:tcBorders>
          </w:tcPr>
          <w:p w14:paraId="4D36F22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189</w:t>
            </w:r>
          </w:p>
          <w:p w14:paraId="4FF519F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48" w:type="dxa"/>
            <w:tcBorders>
              <w:top w:val="single" w:sz="6" w:space="0" w:color="auto"/>
              <w:left w:val="single" w:sz="6" w:space="0" w:color="auto"/>
              <w:bottom w:val="single" w:sz="6" w:space="0" w:color="auto"/>
              <w:right w:val="single" w:sz="6" w:space="0" w:color="auto"/>
            </w:tcBorders>
          </w:tcPr>
          <w:p w14:paraId="08F1D10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w:t>
            </w:r>
          </w:p>
          <w:p w14:paraId="3FEBD6A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2DCD022" w14:textId="77777777" w:rsidTr="004C5D62">
        <w:trPr>
          <w:trHeight w:val="192"/>
        </w:trPr>
        <w:tc>
          <w:tcPr>
            <w:tcW w:w="576" w:type="dxa"/>
            <w:tcBorders>
              <w:top w:val="single" w:sz="6" w:space="0" w:color="auto"/>
              <w:left w:val="single" w:sz="6" w:space="0" w:color="auto"/>
              <w:bottom w:val="single" w:sz="6" w:space="0" w:color="auto"/>
              <w:right w:val="single" w:sz="6" w:space="0" w:color="auto"/>
            </w:tcBorders>
          </w:tcPr>
          <w:p w14:paraId="0932AD9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p w14:paraId="783B309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11C3A81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Т-26 _,</w:t>
            </w:r>
          </w:p>
          <w:p w14:paraId="1A14137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single" w:sz="6" w:space="0" w:color="auto"/>
              <w:left w:val="single" w:sz="6" w:space="0" w:color="auto"/>
              <w:bottom w:val="single" w:sz="6" w:space="0" w:color="auto"/>
              <w:right w:val="single" w:sz="6" w:space="0" w:color="auto"/>
            </w:tcBorders>
          </w:tcPr>
          <w:p w14:paraId="0F3B439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292</w:t>
            </w:r>
          </w:p>
          <w:p w14:paraId="6F9C309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48" w:type="dxa"/>
            <w:tcBorders>
              <w:top w:val="single" w:sz="6" w:space="0" w:color="auto"/>
              <w:left w:val="single" w:sz="6" w:space="0" w:color="auto"/>
              <w:bottom w:val="single" w:sz="6" w:space="0" w:color="auto"/>
              <w:right w:val="single" w:sz="6" w:space="0" w:color="auto"/>
            </w:tcBorders>
          </w:tcPr>
          <w:p w14:paraId="5601416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w:t>
            </w:r>
          </w:p>
          <w:p w14:paraId="09364AB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EF6DD49" w14:textId="77777777" w:rsidTr="004C5D62">
        <w:trPr>
          <w:trHeight w:val="221"/>
        </w:trPr>
        <w:tc>
          <w:tcPr>
            <w:tcW w:w="1872" w:type="dxa"/>
            <w:gridSpan w:val="2"/>
            <w:tcBorders>
              <w:top w:val="single" w:sz="6" w:space="0" w:color="auto"/>
              <w:left w:val="single" w:sz="6" w:space="0" w:color="auto"/>
              <w:bottom w:val="single" w:sz="6" w:space="0" w:color="auto"/>
              <w:right w:val="single" w:sz="6" w:space="0" w:color="auto"/>
            </w:tcBorders>
          </w:tcPr>
          <w:p w14:paraId="6C295BA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p w14:paraId="09AEE5F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single" w:sz="6" w:space="0" w:color="auto"/>
              <w:left w:val="single" w:sz="6" w:space="0" w:color="auto"/>
              <w:bottom w:val="single" w:sz="6" w:space="0" w:color="auto"/>
              <w:right w:val="single" w:sz="6" w:space="0" w:color="auto"/>
            </w:tcBorders>
          </w:tcPr>
          <w:p w14:paraId="15B86DA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1989</w:t>
            </w:r>
          </w:p>
          <w:p w14:paraId="5F525E8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48" w:type="dxa"/>
            <w:tcBorders>
              <w:top w:val="single" w:sz="6" w:space="0" w:color="auto"/>
              <w:left w:val="single" w:sz="6" w:space="0" w:color="auto"/>
              <w:bottom w:val="single" w:sz="6" w:space="0" w:color="auto"/>
              <w:right w:val="single" w:sz="6" w:space="0" w:color="auto"/>
            </w:tcBorders>
          </w:tcPr>
          <w:p w14:paraId="76004A5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382</w:t>
            </w:r>
          </w:p>
          <w:p w14:paraId="0431A0E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F94472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Вашего распоряжения о категорическом требовании выполнения плана поставок запас</w:t>
      </w:r>
      <w:r w:rsidRPr="008127F8">
        <w:rPr>
          <w:rFonts w:ascii="Times New Roman" w:hAnsi="Times New Roman"/>
          <w:color w:val="000000" w:themeColor="text1"/>
          <w:sz w:val="16"/>
          <w:szCs w:val="16"/>
        </w:rPr>
        <w:softHyphen/>
        <w:t>ных частей и агрегатов для ГАБТУ КА, установленного Постановлением ГОКО № 1571 ее от 9.04.1942 г.</w:t>
      </w:r>
    </w:p>
    <w:p w14:paraId="5679C8E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ГАБТУ КА генерал-лейтенант танковых войск Федоренко</w:t>
      </w:r>
    </w:p>
    <w:p w14:paraId="191C3E4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ГАБТУ КА армейский комиссар 2 ранга Бирюков</w:t>
      </w:r>
    </w:p>
    <w:p w14:paraId="6B8ECC4A"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11355. Д. 674. Л. 248-250. Копия (11211).</w:t>
      </w:r>
    </w:p>
    <w:p w14:paraId="60401530"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kern w:val="65535"/>
          <w:sz w:val="16"/>
          <w:szCs w:val="16"/>
        </w:rPr>
      </w:pPr>
    </w:p>
    <w:p w14:paraId="1579B845"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1 мая 1942 на НИБТ Полигоне начались испытания танка М3 с регистрационным номером U.S.A. W-304293, выпущенного Детройтским Арсеналом и полученным 18 февраля 1942 года. Задержка была связана с тем, что филиал НИБТ Полигона в Казани, куда его эвакуировали, на тот момент был загружен другими заданиями. Точно также был вынужден ждать и М3л, который испытывался в то же самое время.</w:t>
      </w:r>
    </w:p>
    <w:p w14:paraId="799EDCC5"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Первым, на что обратили внимание советские испытатели, стал внутренний объём боевого отделения. В отчёте указывалось, что в нём вполне реально можно было разместить 10 десантников вместе с личным оружием (пистолетами-пулемётами ППШ), и при этом сохранялась возможность вести огонь из танкового вооружения. М3Ср действительно был просторным танком. Больше всего свободного места оказалось в распоряжении заряжающего 75-мм пушки, в других уголках машины экипаж располагался довольно плотно. На танках позднего выпуска бортовые люки ликвидировали, так что возможная выгрузка десанта усложнилась.</w:t>
      </w:r>
    </w:p>
    <w:p w14:paraId="5E886A20"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Эта же машина. Она относилась к танкам ранних производственных серий </w:t>
      </w:r>
    </w:p>
    <w:p w14:paraId="325C3181"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Оценка корпуса М3Ср оказалась вполне предсказуемой:</w:t>
      </w:r>
    </w:p>
    <w:p w14:paraId="15E40093"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iCs/>
          <w:color w:val="000000" w:themeColor="text1"/>
          <w:sz w:val="16"/>
          <w:szCs w:val="16"/>
        </w:rPr>
        <w:t>«Броневой корпус танка как по габаритам, так и по своей конфигурации не является современным.</w:t>
      </w:r>
    </w:p>
    <w:p w14:paraId="66F6D1A7"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iCs/>
          <w:color w:val="000000" w:themeColor="text1"/>
          <w:sz w:val="16"/>
          <w:szCs w:val="16"/>
        </w:rPr>
        <w:t>Чрезмерно большая высота танка и вертикальное расположение броневых плит (за исключением лобовых) создают неблагоприятные условия для защиты от артиллерийского огня противника».</w:t>
      </w:r>
    </w:p>
    <w:p w14:paraId="25D5F419"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Ещё до начала испытаний не особо лестных отзывов удостоился двигатель. Дело было не в его надёжности (с этим как раз всё оказалось хорошо), а в конструкции и топливе, на котором американский танк работал. Слишком большая высота мотора явилась причиной увеличения размеров моторного отделения. Критике подверглось и использование бензина с октановым числом 91. Однозначным выбором был дизельный мотор. Весной 1942 года руководство ГАБТУ КА запросило Medium Tank M3A1, которые оснащались дизельным мотором Guiberson T-1400–2. Правда, от этой идеи быстро отказались, поскольку результаты испытаний оказались крайне противоречивыми. Что же касается модификаций M3A3 и M3A5, то их в СССР даже не рассматривали, поскольку к тому моменту стало известно о Medium Tank M4A2. Эта машина выглядела куда более интересной.</w:t>
      </w:r>
    </w:p>
    <w:p w14:paraId="1C02234C"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Конструкция корпуса испытателям с самого начала не понравилась. Танк получился слишком высоким </w:t>
      </w:r>
    </w:p>
    <w:p w14:paraId="1910E7A3"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В отличие от двигателя, трансмиссионный блок и систему охлаждения американского танка испытатели похвалили. Вполне удачной была признана и конструкция резинометаллических траков. Похвалы удостоилась подвеска с буферными пружинами в качестве упругих элементов. Правда, конструкция поддерживающих катков испытателям не очень понравилась, поскольку те быстро забивались грязью.</w:t>
      </w:r>
    </w:p>
    <w:p w14:paraId="38932791"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Обратной стороной медали были большие внутренние пространства, позволявшие, в теории, разместить в танке до 10 десантников </w:t>
      </w:r>
    </w:p>
    <w:p w14:paraId="0061A6DE"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Отдельного изучения удостоилась 75-мм пушка M2, которая устанавливалась в спонсоне справа по ходу движения. Помимо необычного размещения орудия, танкистов также заинтересовал перископический прицел. Сетка прицела оказалась градуирована только под бронебойные снаряды, которых на момент испытаний у НИБТ Полигона не было. Отсутствовали метки для осколочно-фугасных снарядов и для прицела 37-мм пушки M24, что испытателям, разумеется, не понравилось. Не нашлось меток и для спаренного пулемёта.</w:t>
      </w:r>
    </w:p>
    <w:p w14:paraId="3D4B472C"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Несмотря на претензии к прицельным приспособлениям и отсутствию бронебойных снарядов к 75-мм пушке, общая оценка вооружения оказалась вполне удовлетворительной. Вооружение в корпусе и в башне было признано вполне удобным для использования. То же самое касалось и укладок патронов. Критике подверглась только спарка курсовых пулемётов, поскольку никаких прицельных приспособлений для них не было. К слову, американские военные также были от них не в восторге.</w:t>
      </w:r>
    </w:p>
    <w:p w14:paraId="0BF6497E"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Схема обзорности из танка </w:t>
      </w:r>
    </w:p>
    <w:p w14:paraId="026E14DC"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Весьма интересная ситуация сложилась с оценкой обзорности. С одной стороны, ничего нового в конструкции перископических приборов испытатели не нашли. По их оценке, обзорность обеспечивалась на удовлетворительном уровне. С другой стороны, эта самая удовлетворительная обзорность американского танка была куда лучше, чем обзорность у Т-34, не говоря уже о КВ-1.</w:t>
      </w:r>
    </w:p>
    <w:p w14:paraId="5422E43B"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Ходовые испытания М3Ср были разделены на несколько этапов. Первые краткосрочные испытания прошли с 1 по 13 мая 1942 года. Танк прошёл 285 километров, из них 156 — по шоссе, 74 — по просёлку и 55 — по целине. Максимальная скорость, 34,1 км/ч, испытателей не впечатлила, особенно с учётом того, что удельная мощность танка составляла 14,8 л.с. на тонну. Для сравнения, у Т-34 этот же показатель составлял 16,6 л.с. на тонну, а максимальная скорость — 54 км/ч. Причиной столь большой разницы испытатели сочли большие передаточные отношения КПП. На коротких участках танк развивал скорость 30-34 км/ч, а средняя скорость по шоссе составляла 25,8 км/ч. Двигатель устойчиво работал в диапазоне 1500-2200 оборотов в минуту. Средний расход топлива при движении по шоссе составил 297 литров на 100 километров.</w:t>
      </w:r>
    </w:p>
    <w:p w14:paraId="599AA0FF"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бездорожье танк застревал только в случае, если глубина грязи превышала величину клиренса </w:t>
      </w:r>
    </w:p>
    <w:p w14:paraId="1C1F4742"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В ходе езды по просёлку средняя скорость движения составила 17 км/ч, при этом на отдельных ровных участках она возрастала до 25-30 км/ч. Расход топлива при этом увеличился до 441 литра на 100 километров. Средняя скорость движения по целине упала до 12 км/ч. Впрочем, на некоторых участках она поднималась до 18-20 км/ч. Расход топлива здесь составил 570 литров на 100 километров. Запас хода по шоссе составил 224 километра, по просёлку — 151, по целине — 117. Эти показатели были гораздо большими, чем у М3л в тех же условиях. При прохождении целины выяснилось, что танк может преодолевать даже мягкие участки при условии, что глубина погружения гусениц не превышает величину клиренса танка.</w:t>
      </w:r>
    </w:p>
    <w:p w14:paraId="76FD62AD"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В ходе испытаний температура масла в двигателе не превышала 60-65 градусов Цельсия.</w:t>
      </w:r>
    </w:p>
    <w:p w14:paraId="71BF6D6C"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 преодолении косогора произошёл сброс гусеничной ленты </w:t>
      </w:r>
    </w:p>
    <w:p w14:paraId="57D5BBB3"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Проблемы обнаружились в ходе преодоления подъёмов и крена. Резинометаллические траки T41, показавшие высокую живучесть при испытаниях, плохо сцеплялись с грунтом. Проблема была в плоской рабочей поверхности. Она ограничивала возможности танка по преодолению подъёмов, поэтому уклон круче 30 градусов танк преодолеть не мог. Предельный угол при движении по косогору составлял 26 градусов, дальше начиналось сползание, которое заканчивалось сбросом гусеничной ленты.</w:t>
      </w:r>
    </w:p>
    <w:p w14:paraId="3D8E986C"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Летом испытания продолжились. На сей раз программа была дополнена преодолением брода и ездой по болотистой местности. Высокое моторное отделение оказалось плюсом: при движении по броду его не заливало. В результате, М3Ср прошел там, где некоторые другие танки глохли. Заминка произошла на выезде из водоёма: машина зачерпнула воды и двигатель тут же заглох. Впрочем, на менее крутом берегу такой неприятности не произошло.</w:t>
      </w:r>
    </w:p>
    <w:p w14:paraId="227A2B45"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Совсем иначе танк повёл себя на болоте, показав наихудшую проходимость среди испытуемых машин. Пройдя 30 метров, танк сел на брюхо и застрял. Самостоятельно выбраться он не смог, пришлось вытаскивать его при помощи тягача.</w:t>
      </w:r>
    </w:p>
    <w:p w14:paraId="43DACD35"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Из 100 метров участка болотистой местности танк преодолел чуть больше 30 </w:t>
      </w:r>
    </w:p>
    <w:p w14:paraId="3BFF4D9C"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При первоначальной программе испытаний в 1000 километров за весну-лето 1942 года танк преодолел 1793 километра, из них по шоссе — 332, по просёлку — 1193, по целине — 227. За это время число поломок оказалось небольшим. Наименее надёжным оказалось электрооборудование: из 28 неполадок на него пришлось 13. Также отмечались схожие с М3л проблемы при запуске мотора, когда происходило подгорание патрубков. Один раз сломалась буферная пружина подвески. Надёжность машины была признана высокой, а время, необходимое для её обслуживания – минимальным. При этом отмечалось, что надёжность машины напрямую зависит от правильности и своевременности обслуживания.</w:t>
      </w:r>
    </w:p>
    <w:p w14:paraId="4C512DF7"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Несмотря на ряд отмеченных недостатков, испытатели не назвали американский танк неудачным. Правда, его не рекомендовали направлять в части, в которых на вооружении состояли отечественные машины. Слишком большой оказалась разница в методике обслуживания и используемом горючем (17705).</w:t>
      </w:r>
    </w:p>
    <w:p w14:paraId="615D43D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3F8B539" w14:textId="77777777" w:rsidR="00EA108A" w:rsidRPr="008A2E5A" w:rsidRDefault="00EA108A" w:rsidP="00EA10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период с 1 по 13 мая 1942 года га КУКС под Казанью проходил первый, весенний этап испытаний американского М3Л (или М3 Легкий, так в Красной Армии именовались Light Tank M3). Это был Stuart I (так получилось, что первыми в СССР попали танки по английскому заказу) со сварной башней D38976. В Советский </w:t>
      </w:r>
      <w:r w:rsidRPr="008A2E5A">
        <w:rPr>
          <w:rFonts w:ascii="Times New Roman" w:hAnsi="Times New Roman"/>
          <w:color w:val="0070C0"/>
          <w:sz w:val="16"/>
          <w:szCs w:val="16"/>
        </w:rPr>
        <w:lastRenderedPageBreak/>
        <w:t>Союз прибыло немногим более полусотни таких танков, но именно за этой версией закрепился ореол "советского М3Л". Это объясняется просто: из всех Light Tank M3 тщательно испытывали именно этот танк.</w:t>
      </w:r>
    </w:p>
    <w:p w14:paraId="374D3701" w14:textId="77777777" w:rsidR="00EA108A" w:rsidRPr="008A2E5A" w:rsidRDefault="00EA108A" w:rsidP="00EA10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проходили в несколько этапов и являлись совместными. Оптом изучали и М3Л, и М3С (М3 Средний, он же Medium Tank M3), оба танка должны были пройти 1000 километров, из которых 300 приходилось на шоссе, 500 на проселочные дороги и 200 на бездорожье. В программу также входило изучение вооружения и подбор отечественных марок топлива, а также смазочных материалов. С этим М3Л оказался проще среднего американского танка. Несмотря на то, что октановое число топлива было выше отечественных аналогов, удалось найти способ использования бензина Б-70. Аналогом американского бензина с октановым числом 80 стал Б-70, на 1 кг которого заливали 2 кубических сантиметра присадки (тетроэтиловый свинец).</w:t>
      </w:r>
    </w:p>
    <w:p w14:paraId="2843FF66" w14:textId="77777777" w:rsidR="00EA108A" w:rsidRPr="008A2E5A" w:rsidRDefault="00EA108A" w:rsidP="00EA10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Вместо 1000 километров танк М3Л прошел 420, из них шоссе 225, по проселку 132 и 63 по бездорожью. В ходе езды по шоссе одновременно определялась и максимальная скорость. В ходе тестового пробега по двум участкам была получена максимальная скорость 58,6 км/ч. Занятно, что это было выше, чем паспортные данные танка. Согласно им, Light Tank M3 должен был разгоняться до 49,6 км/ч. Средняя скорость движения по шоссе составила 37,5 км/ч, что больше, чем у любого другого крупносерийного легкого танка того периода.</w:t>
      </w:r>
    </w:p>
    <w:p w14:paraId="53A9C452" w14:textId="77777777" w:rsidR="00EA108A" w:rsidRPr="008A2E5A" w:rsidRDefault="00EA108A" w:rsidP="00EA10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Высокая скорость обеспечивалась благодаря радиальному мотору воздушного охлаждения Continental W-670-9A, которых выдавал максимальную мощность 262 лошадиные силы. Правда, при этом мотор был прожорливым. На 100 километров пути танк расходовал 135,5 литров топлива и 1,13 литра масла. Для сравнения, легкий танк Т-70, ближайший советский аналог американской машины, развивал максимальную скорость 46,9 км/ч, средняя скорость составила 27,8 км/ч, а на 100 километров он тратил 146 литров бензина и 1,6 литра масла. И чем более сложной была местность, тем больший у американца был аппетит.</w:t>
      </w:r>
    </w:p>
    <w:p w14:paraId="32DD5695" w14:textId="77777777" w:rsidR="00EA108A" w:rsidRPr="008A2E5A" w:rsidRDefault="00EA108A" w:rsidP="00EA10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езде по грязному проселку средняя скорость М3Л составила 22,1 км/ч. Расход топлива при этом составил 198 литров на 100 километров и 3,21 литра масла. Когда дело дошло до целины, то расход топлива достиг поистине неприличных показателей - 347 литров бензина и 5,24 литра масла. При этом средняя скорость составила 17,3 км/ч. Для сравнения, Т-70 на проселке развивал среднюю техническую скорость 21,1 км/ч, расходуя при этом гораздо более скромные 147 литров бензина на 100 километров. Важный момент был в запасе топлива. При езде по шоссе М3Л мог пройти до 148 километров, по проселку 101 километр, а по бездорожью совершенно несерьёзные 58 километров. Неудивительно, что американцы хотели свои танки перевести на дизельные моторы.</w:t>
      </w:r>
    </w:p>
    <w:p w14:paraId="704F4EF8" w14:textId="77777777" w:rsidR="00EA108A" w:rsidRPr="008A2E5A" w:rsidRDefault="00EA108A" w:rsidP="00EA10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Проблемы оказались не только с расходом топлива. Выяснилось, что после 40-минутного марша мотор, у которого выключили зажигание, продолжал работать, причина заключалась в его перегреве. Хотя главные неприятности вылезали при запуске мотора. При запуске с подсосом горючего мотор запускался с трудом. Наблюдалось прогорание шлангов, которые соединяли всасывающие патрубки карбюратора с воздуховодами от воздушного фильтра. Причиной тому стал конструктивный дефект - шланги располагались слишком низко. При запуске двигателя бензил попадал на всасывающую трубу, скапливался на шлангах и постепенно их разъедал, а при обратных вспышках воспламенялся.</w:t>
      </w:r>
    </w:p>
    <w:p w14:paraId="2D956CD1" w14:textId="77777777" w:rsidR="00EA108A" w:rsidRPr="008A2E5A" w:rsidRDefault="00EA108A" w:rsidP="00EA10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Чтобы устранить этот недостаток, специалисты НИБТ Полигона предложили заменить всасывающую трубу на более совершенную конструкцию. Был подготовлен эскиз исправленной детали, но пустили ли его в дело, неизвестно. Между тем, дефект со всасывающей трубой вполне массовый, в двух отечественных музеях, где есть ходовые танки аналогичного типа, были случаи, когда они горели. Не пожар, но вырывающееся сзади пламя - не очень приятное зрелище.</w:t>
      </w:r>
    </w:p>
    <w:p w14:paraId="587C56FB" w14:textId="77777777" w:rsidR="00EA108A" w:rsidRPr="008A2E5A" w:rsidRDefault="00EA108A" w:rsidP="00EA10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Еще одной проблемой стали резинометаллические траки. Дело в том, что опорная поверхность траков была гладкой, без каких-либо намёков на грунтозацепы. На глинистых грунтах и, особенно, на подъёмах конструкция трака сыграла с танком злую шутку. В виду недостаточного сцепления с грунтом M3л не смог преодолеть 25-градусный подъём. При этом испытатели отмечали, что мощности двигателя хватало с большим запасом. С другой стороны, трак отличался высокой надежностью. Также выяснилось, что у танка имеется склонность к сбросу гусеничных лент. В ходе прохождения 25-градусного уклона произошел сброс ленты. Ппричиной также указали трак, хотя условия, в которых произошел сброс, были вполне типовыми для "переднеприводных" шасси. "Немцы" страдали тем же.</w:t>
      </w:r>
    </w:p>
    <w:p w14:paraId="3521B8D8" w14:textId="77777777" w:rsidR="00EA108A" w:rsidRPr="008A2E5A" w:rsidRDefault="00EA108A" w:rsidP="00EA10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все проблемы, испытатели высоко оценили американский танк. Он отличался не только высокой подвижностью, но и хорошей управляемостью, также плюсом назвали хорошую обзорность с места механика-водителя. Кроме того, в ходе второго этапа ходовых испытаний, которые проходили в июле 1942 года, машина показала себя лучшим из зарубежных танков. В летних условиях средняя скорость по проселку составила 29 км/ч, а расход топлива 176 литров на 100 километров. По сравнению с майскими испытаниями улучшились показатели при езде по целине. Средняя скорость выросла до 20 км/ч, а расход топлива снизился до 246 литров на 100 километров (24180).</w:t>
      </w:r>
    </w:p>
    <w:p w14:paraId="69BD1241" w14:textId="77777777" w:rsidR="00EA108A" w:rsidRPr="008A2E5A" w:rsidRDefault="00EA108A" w:rsidP="00EA108A">
      <w:pPr>
        <w:spacing w:after="0" w:line="240" w:lineRule="auto"/>
        <w:jc w:val="both"/>
        <w:rPr>
          <w:rFonts w:ascii="Times New Roman" w:hAnsi="Times New Roman"/>
          <w:color w:val="0070C0"/>
          <w:sz w:val="16"/>
          <w:szCs w:val="16"/>
        </w:rPr>
      </w:pPr>
    </w:p>
    <w:p w14:paraId="520019D2" w14:textId="77777777" w:rsidR="007C5583" w:rsidRPr="008127F8" w:rsidRDefault="007C5583" w:rsidP="007C5583">
      <w:pPr>
        <w:pStyle w:val="a4"/>
        <w:rPr>
          <w:color w:val="000000" w:themeColor="text1"/>
          <w:lang w:val="ru-RU"/>
        </w:rPr>
      </w:pPr>
      <w:r w:rsidRPr="008127F8">
        <w:rPr>
          <w:color w:val="000000" w:themeColor="text1"/>
          <w:lang w:val="ru-RU"/>
        </w:rPr>
        <w:t>К 1 мая 1942 г. по данным доклада ГАИ НКВД на предприятиях и в уч</w:t>
      </w:r>
      <w:r w:rsidRPr="008127F8">
        <w:rPr>
          <w:color w:val="000000" w:themeColor="text1"/>
          <w:lang w:val="ru-RU"/>
        </w:rPr>
        <w:softHyphen/>
        <w:t>реждениях народного хозяйства, а также у частных владельцев имелось 1646 тяжелых мотоциклов с колясками, в том числе 1254 А-750. В народ</w:t>
      </w:r>
      <w:r w:rsidRPr="008127F8">
        <w:rPr>
          <w:color w:val="000000" w:themeColor="text1"/>
          <w:lang w:val="ru-RU"/>
        </w:rPr>
        <w:softHyphen/>
        <w:t>ном хозяйстве в годы войны среди тяжелых мотоциклов А-750 составля</w:t>
      </w:r>
      <w:r w:rsidRPr="008127F8">
        <w:rPr>
          <w:color w:val="000000" w:themeColor="text1"/>
          <w:lang w:val="ru-RU"/>
        </w:rPr>
        <w:softHyphen/>
        <w:t>ли абсолютное большинство (15753).</w:t>
      </w:r>
    </w:p>
    <w:p w14:paraId="68EB6627" w14:textId="77777777" w:rsidR="007C5583" w:rsidRPr="008127F8" w:rsidRDefault="007C5583" w:rsidP="007C5583">
      <w:pPr>
        <w:pStyle w:val="aff3"/>
        <w:shd w:val="clear" w:color="auto" w:fill="auto"/>
        <w:spacing w:line="240" w:lineRule="auto"/>
        <w:rPr>
          <w:rFonts w:ascii="Times New Roman" w:hAnsi="Times New Roman" w:cs="Times New Roman"/>
          <w:i w:val="0"/>
          <w:color w:val="000000" w:themeColor="text1"/>
          <w:sz w:val="16"/>
          <w:szCs w:val="16"/>
          <w:lang w:val="ru-RU"/>
        </w:rPr>
      </w:pPr>
      <w:r w:rsidRPr="008127F8">
        <w:rPr>
          <w:rFonts w:ascii="Times New Roman" w:hAnsi="Times New Roman" w:cs="Times New Roman"/>
          <w:i w:val="0"/>
          <w:color w:val="000000" w:themeColor="text1"/>
          <w:sz w:val="16"/>
          <w:szCs w:val="16"/>
          <w:lang w:val="ru-RU"/>
        </w:rPr>
        <w:t xml:space="preserve">К 1 мая 1942 г. наличие в народном хозяйстве мотоциклов А-750 </w:t>
      </w:r>
    </w:p>
    <w:tbl>
      <w:tblPr>
        <w:tblW w:w="0" w:type="auto"/>
        <w:tblInd w:w="5" w:type="dxa"/>
        <w:tblLayout w:type="fixed"/>
        <w:tblCellMar>
          <w:left w:w="0" w:type="dxa"/>
          <w:right w:w="0" w:type="dxa"/>
        </w:tblCellMar>
        <w:tblLook w:val="0000" w:firstRow="0" w:lastRow="0" w:firstColumn="0" w:lastColumn="0" w:noHBand="0" w:noVBand="0"/>
      </w:tblPr>
      <w:tblGrid>
        <w:gridCol w:w="1579"/>
        <w:gridCol w:w="1258"/>
      </w:tblGrid>
      <w:tr w:rsidR="007C5583" w:rsidRPr="008127F8" w14:paraId="2CAAF49C" w14:textId="77777777" w:rsidTr="004C5D62">
        <w:trPr>
          <w:trHeight w:val="250"/>
        </w:trPr>
        <w:tc>
          <w:tcPr>
            <w:tcW w:w="1579" w:type="dxa"/>
            <w:tcBorders>
              <w:top w:val="single" w:sz="4" w:space="0" w:color="auto"/>
              <w:left w:val="single" w:sz="4" w:space="0" w:color="auto"/>
              <w:bottom w:val="single" w:sz="4" w:space="0" w:color="auto"/>
              <w:right w:val="single" w:sz="4" w:space="0" w:color="auto"/>
            </w:tcBorders>
            <w:shd w:val="clear" w:color="auto" w:fill="FFFFFF"/>
          </w:tcPr>
          <w:p w14:paraId="29BAD058" w14:textId="77777777" w:rsidR="007C5583" w:rsidRPr="008127F8" w:rsidRDefault="007C5583" w:rsidP="004C5D62">
            <w:pPr>
              <w:pStyle w:val="147"/>
              <w:shd w:val="clear" w:color="auto" w:fill="auto"/>
              <w:spacing w:line="240" w:lineRule="auto"/>
              <w:jc w:val="both"/>
              <w:rPr>
                <w:rFonts w:ascii="Times New Roman" w:hAnsi="Times New Roman" w:cs="Times New Roman"/>
                <w:b w:val="0"/>
                <w:color w:val="000000" w:themeColor="text1"/>
              </w:rPr>
            </w:pPr>
            <w:r w:rsidRPr="008127F8">
              <w:rPr>
                <w:rFonts w:ascii="Times New Roman" w:hAnsi="Times New Roman" w:cs="Times New Roman"/>
                <w:b w:val="0"/>
                <w:color w:val="000000" w:themeColor="text1"/>
              </w:rPr>
              <w:t>Регион</w:t>
            </w:r>
          </w:p>
        </w:tc>
        <w:tc>
          <w:tcPr>
            <w:tcW w:w="1258" w:type="dxa"/>
            <w:tcBorders>
              <w:top w:val="single" w:sz="4" w:space="0" w:color="auto"/>
              <w:left w:val="single" w:sz="4" w:space="0" w:color="auto"/>
              <w:bottom w:val="single" w:sz="4" w:space="0" w:color="auto"/>
              <w:right w:val="single" w:sz="4" w:space="0" w:color="auto"/>
            </w:tcBorders>
            <w:shd w:val="clear" w:color="auto" w:fill="FFFFFF"/>
          </w:tcPr>
          <w:p w14:paraId="7ED78234" w14:textId="77777777" w:rsidR="007C5583" w:rsidRPr="008127F8" w:rsidRDefault="007C5583" w:rsidP="004C5D62">
            <w:pPr>
              <w:pStyle w:val="147"/>
              <w:shd w:val="clear" w:color="auto" w:fill="auto"/>
              <w:spacing w:line="240" w:lineRule="auto"/>
              <w:jc w:val="both"/>
              <w:rPr>
                <w:rFonts w:ascii="Times New Roman" w:hAnsi="Times New Roman" w:cs="Times New Roman"/>
                <w:b w:val="0"/>
                <w:color w:val="000000" w:themeColor="text1"/>
              </w:rPr>
            </w:pPr>
            <w:r w:rsidRPr="008127F8">
              <w:rPr>
                <w:rFonts w:ascii="Times New Roman" w:hAnsi="Times New Roman" w:cs="Times New Roman"/>
                <w:b w:val="0"/>
                <w:color w:val="000000" w:themeColor="text1"/>
              </w:rPr>
              <w:t>Количество, шт.</w:t>
            </w:r>
          </w:p>
        </w:tc>
      </w:tr>
      <w:tr w:rsidR="007C5583" w:rsidRPr="008127F8" w14:paraId="3CF8925A" w14:textId="77777777" w:rsidTr="004C5D62">
        <w:trPr>
          <w:trHeight w:val="240"/>
        </w:trPr>
        <w:tc>
          <w:tcPr>
            <w:tcW w:w="1579" w:type="dxa"/>
            <w:tcBorders>
              <w:top w:val="single" w:sz="4" w:space="0" w:color="auto"/>
              <w:left w:val="single" w:sz="4" w:space="0" w:color="auto"/>
              <w:bottom w:val="single" w:sz="4" w:space="0" w:color="auto"/>
              <w:right w:val="single" w:sz="4" w:space="0" w:color="auto"/>
            </w:tcBorders>
            <w:shd w:val="clear" w:color="auto" w:fill="FFFFFF"/>
          </w:tcPr>
          <w:p w14:paraId="3576D7EB" w14:textId="77777777" w:rsidR="007C5583" w:rsidRPr="008127F8" w:rsidRDefault="007C5583" w:rsidP="004C5D62">
            <w:pPr>
              <w:pStyle w:val="80"/>
              <w:shd w:val="clear" w:color="auto" w:fill="auto"/>
              <w:spacing w:line="240" w:lineRule="auto"/>
              <w:jc w:val="both"/>
              <w:rPr>
                <w:rFonts w:ascii="Times New Roman" w:hAnsi="Times New Roman" w:cs="Times New Roman"/>
                <w:color w:val="000000" w:themeColor="text1"/>
              </w:rPr>
            </w:pPr>
            <w:r w:rsidRPr="008127F8">
              <w:rPr>
                <w:rFonts w:ascii="Times New Roman" w:hAnsi="Times New Roman" w:cs="Times New Roman"/>
                <w:color w:val="000000" w:themeColor="text1"/>
              </w:rPr>
              <w:t>РСФСР</w:t>
            </w:r>
          </w:p>
        </w:tc>
        <w:tc>
          <w:tcPr>
            <w:tcW w:w="1258" w:type="dxa"/>
            <w:tcBorders>
              <w:top w:val="single" w:sz="4" w:space="0" w:color="auto"/>
              <w:left w:val="single" w:sz="4" w:space="0" w:color="auto"/>
              <w:bottom w:val="single" w:sz="4" w:space="0" w:color="auto"/>
              <w:right w:val="single" w:sz="4" w:space="0" w:color="auto"/>
            </w:tcBorders>
            <w:shd w:val="clear" w:color="auto" w:fill="FFFFFF"/>
          </w:tcPr>
          <w:p w14:paraId="2B4624A5" w14:textId="77777777" w:rsidR="007C5583" w:rsidRPr="008127F8" w:rsidRDefault="007C5583" w:rsidP="004C5D62">
            <w:pPr>
              <w:pStyle w:val="80"/>
              <w:shd w:val="clear" w:color="auto" w:fill="auto"/>
              <w:spacing w:line="240" w:lineRule="auto"/>
              <w:jc w:val="both"/>
              <w:rPr>
                <w:rFonts w:ascii="Times New Roman" w:hAnsi="Times New Roman" w:cs="Times New Roman"/>
                <w:color w:val="000000" w:themeColor="text1"/>
              </w:rPr>
            </w:pPr>
            <w:r w:rsidRPr="008127F8">
              <w:rPr>
                <w:rFonts w:ascii="Times New Roman" w:hAnsi="Times New Roman" w:cs="Times New Roman"/>
                <w:color w:val="000000" w:themeColor="text1"/>
              </w:rPr>
              <w:t>858</w:t>
            </w:r>
          </w:p>
        </w:tc>
      </w:tr>
      <w:tr w:rsidR="007C5583" w:rsidRPr="008127F8" w14:paraId="44B32884" w14:textId="77777777" w:rsidTr="004C5D62">
        <w:trPr>
          <w:trHeight w:val="235"/>
        </w:trPr>
        <w:tc>
          <w:tcPr>
            <w:tcW w:w="1579" w:type="dxa"/>
            <w:tcBorders>
              <w:top w:val="single" w:sz="4" w:space="0" w:color="auto"/>
              <w:left w:val="single" w:sz="4" w:space="0" w:color="auto"/>
              <w:bottom w:val="single" w:sz="4" w:space="0" w:color="auto"/>
              <w:right w:val="single" w:sz="4" w:space="0" w:color="auto"/>
            </w:tcBorders>
            <w:shd w:val="clear" w:color="auto" w:fill="FFFFFF"/>
          </w:tcPr>
          <w:p w14:paraId="27135A51" w14:textId="77777777" w:rsidR="007C5583" w:rsidRPr="008127F8" w:rsidRDefault="007C5583" w:rsidP="004C5D62">
            <w:pPr>
              <w:pStyle w:val="80"/>
              <w:shd w:val="clear" w:color="auto" w:fill="auto"/>
              <w:spacing w:line="240" w:lineRule="auto"/>
              <w:jc w:val="both"/>
              <w:rPr>
                <w:rFonts w:ascii="Times New Roman" w:hAnsi="Times New Roman" w:cs="Times New Roman"/>
                <w:color w:val="000000" w:themeColor="text1"/>
              </w:rPr>
            </w:pPr>
            <w:r w:rsidRPr="008127F8">
              <w:rPr>
                <w:rFonts w:ascii="Times New Roman" w:hAnsi="Times New Roman" w:cs="Times New Roman"/>
                <w:color w:val="000000" w:themeColor="text1"/>
              </w:rPr>
              <w:t>УССР</w:t>
            </w:r>
          </w:p>
        </w:tc>
        <w:tc>
          <w:tcPr>
            <w:tcW w:w="1258" w:type="dxa"/>
            <w:tcBorders>
              <w:top w:val="single" w:sz="4" w:space="0" w:color="auto"/>
              <w:left w:val="single" w:sz="4" w:space="0" w:color="auto"/>
              <w:bottom w:val="single" w:sz="4" w:space="0" w:color="auto"/>
              <w:right w:val="single" w:sz="4" w:space="0" w:color="auto"/>
            </w:tcBorders>
            <w:shd w:val="clear" w:color="auto" w:fill="FFFFFF"/>
          </w:tcPr>
          <w:p w14:paraId="2C7CA42D" w14:textId="77777777" w:rsidR="007C5583" w:rsidRPr="008127F8" w:rsidRDefault="007C5583" w:rsidP="004C5D62">
            <w:pPr>
              <w:spacing w:after="0" w:line="240" w:lineRule="auto"/>
              <w:jc w:val="both"/>
              <w:rPr>
                <w:rFonts w:ascii="Times New Roman" w:hAnsi="Times New Roman"/>
                <w:color w:val="000000" w:themeColor="text1"/>
                <w:sz w:val="16"/>
                <w:szCs w:val="16"/>
              </w:rPr>
            </w:pPr>
          </w:p>
        </w:tc>
      </w:tr>
      <w:tr w:rsidR="007C5583" w:rsidRPr="008127F8" w14:paraId="32273E9A" w14:textId="77777777" w:rsidTr="004C5D62">
        <w:trPr>
          <w:trHeight w:val="240"/>
        </w:trPr>
        <w:tc>
          <w:tcPr>
            <w:tcW w:w="1579" w:type="dxa"/>
            <w:tcBorders>
              <w:top w:val="single" w:sz="4" w:space="0" w:color="auto"/>
              <w:left w:val="single" w:sz="4" w:space="0" w:color="auto"/>
              <w:bottom w:val="single" w:sz="4" w:space="0" w:color="auto"/>
              <w:right w:val="single" w:sz="4" w:space="0" w:color="auto"/>
            </w:tcBorders>
            <w:shd w:val="clear" w:color="auto" w:fill="FFFFFF"/>
          </w:tcPr>
          <w:p w14:paraId="28262573" w14:textId="77777777" w:rsidR="007C5583" w:rsidRPr="008127F8" w:rsidRDefault="007C5583" w:rsidP="004C5D62">
            <w:pPr>
              <w:pStyle w:val="80"/>
              <w:shd w:val="clear" w:color="auto" w:fill="auto"/>
              <w:spacing w:line="240" w:lineRule="auto"/>
              <w:jc w:val="both"/>
              <w:rPr>
                <w:rFonts w:ascii="Times New Roman" w:hAnsi="Times New Roman" w:cs="Times New Roman"/>
                <w:color w:val="000000" w:themeColor="text1"/>
              </w:rPr>
            </w:pPr>
            <w:r w:rsidRPr="008127F8">
              <w:rPr>
                <w:rFonts w:ascii="Times New Roman" w:hAnsi="Times New Roman" w:cs="Times New Roman"/>
                <w:color w:val="000000" w:themeColor="text1"/>
              </w:rPr>
              <w:t>Азербайджанская ССР</w:t>
            </w:r>
          </w:p>
        </w:tc>
        <w:tc>
          <w:tcPr>
            <w:tcW w:w="1258" w:type="dxa"/>
            <w:tcBorders>
              <w:top w:val="single" w:sz="4" w:space="0" w:color="auto"/>
              <w:left w:val="single" w:sz="4" w:space="0" w:color="auto"/>
              <w:bottom w:val="single" w:sz="4" w:space="0" w:color="auto"/>
              <w:right w:val="single" w:sz="4" w:space="0" w:color="auto"/>
            </w:tcBorders>
            <w:shd w:val="clear" w:color="auto" w:fill="FFFFFF"/>
          </w:tcPr>
          <w:p w14:paraId="5A7769EB" w14:textId="77777777" w:rsidR="007C5583" w:rsidRPr="008127F8" w:rsidRDefault="007C5583" w:rsidP="004C5D62">
            <w:pPr>
              <w:pStyle w:val="80"/>
              <w:shd w:val="clear" w:color="auto" w:fill="auto"/>
              <w:spacing w:line="240" w:lineRule="auto"/>
              <w:jc w:val="both"/>
              <w:rPr>
                <w:rFonts w:ascii="Times New Roman" w:hAnsi="Times New Roman" w:cs="Times New Roman"/>
                <w:color w:val="000000" w:themeColor="text1"/>
              </w:rPr>
            </w:pPr>
            <w:r w:rsidRPr="008127F8">
              <w:rPr>
                <w:rFonts w:ascii="Times New Roman" w:hAnsi="Times New Roman" w:cs="Times New Roman"/>
                <w:color w:val="000000" w:themeColor="text1"/>
              </w:rPr>
              <w:t>81</w:t>
            </w:r>
          </w:p>
        </w:tc>
      </w:tr>
      <w:tr w:rsidR="007C5583" w:rsidRPr="008127F8" w14:paraId="1B30915E" w14:textId="77777777" w:rsidTr="004C5D62">
        <w:trPr>
          <w:trHeight w:val="230"/>
        </w:trPr>
        <w:tc>
          <w:tcPr>
            <w:tcW w:w="1579" w:type="dxa"/>
            <w:tcBorders>
              <w:top w:val="single" w:sz="4" w:space="0" w:color="auto"/>
              <w:left w:val="single" w:sz="4" w:space="0" w:color="auto"/>
              <w:bottom w:val="single" w:sz="4" w:space="0" w:color="auto"/>
              <w:right w:val="single" w:sz="4" w:space="0" w:color="auto"/>
            </w:tcBorders>
            <w:shd w:val="clear" w:color="auto" w:fill="FFFFFF"/>
          </w:tcPr>
          <w:p w14:paraId="269978CE" w14:textId="77777777" w:rsidR="007C5583" w:rsidRPr="008127F8" w:rsidRDefault="007C5583" w:rsidP="004C5D62">
            <w:pPr>
              <w:pStyle w:val="80"/>
              <w:shd w:val="clear" w:color="auto" w:fill="auto"/>
              <w:spacing w:line="240" w:lineRule="auto"/>
              <w:jc w:val="both"/>
              <w:rPr>
                <w:rFonts w:ascii="Times New Roman" w:hAnsi="Times New Roman" w:cs="Times New Roman"/>
                <w:color w:val="000000" w:themeColor="text1"/>
              </w:rPr>
            </w:pPr>
            <w:r w:rsidRPr="008127F8">
              <w:rPr>
                <w:rFonts w:ascii="Times New Roman" w:hAnsi="Times New Roman" w:cs="Times New Roman"/>
                <w:color w:val="000000" w:themeColor="text1"/>
              </w:rPr>
              <w:t>Грузмаач ССР</w:t>
            </w:r>
          </w:p>
        </w:tc>
        <w:tc>
          <w:tcPr>
            <w:tcW w:w="1258" w:type="dxa"/>
            <w:tcBorders>
              <w:top w:val="single" w:sz="4" w:space="0" w:color="auto"/>
              <w:left w:val="single" w:sz="4" w:space="0" w:color="auto"/>
              <w:bottom w:val="single" w:sz="4" w:space="0" w:color="auto"/>
              <w:right w:val="single" w:sz="4" w:space="0" w:color="auto"/>
            </w:tcBorders>
            <w:shd w:val="clear" w:color="auto" w:fill="FFFFFF"/>
          </w:tcPr>
          <w:p w14:paraId="68BC4F06" w14:textId="77777777" w:rsidR="007C5583" w:rsidRPr="008127F8" w:rsidRDefault="007C5583" w:rsidP="004C5D62">
            <w:pPr>
              <w:pStyle w:val="80"/>
              <w:shd w:val="clear" w:color="auto" w:fill="auto"/>
              <w:spacing w:line="240" w:lineRule="auto"/>
              <w:jc w:val="both"/>
              <w:rPr>
                <w:rFonts w:ascii="Times New Roman" w:hAnsi="Times New Roman" w:cs="Times New Roman"/>
                <w:color w:val="000000" w:themeColor="text1"/>
              </w:rPr>
            </w:pPr>
            <w:r w:rsidRPr="008127F8">
              <w:rPr>
                <w:rFonts w:ascii="Times New Roman" w:hAnsi="Times New Roman" w:cs="Times New Roman"/>
                <w:color w:val="000000" w:themeColor="text1"/>
              </w:rPr>
              <w:t>41</w:t>
            </w:r>
          </w:p>
        </w:tc>
      </w:tr>
      <w:tr w:rsidR="007C5583" w:rsidRPr="008127F8" w14:paraId="78D544D1" w14:textId="77777777" w:rsidTr="004C5D62">
        <w:trPr>
          <w:trHeight w:val="245"/>
        </w:trPr>
        <w:tc>
          <w:tcPr>
            <w:tcW w:w="1579" w:type="dxa"/>
            <w:tcBorders>
              <w:top w:val="single" w:sz="4" w:space="0" w:color="auto"/>
              <w:left w:val="single" w:sz="4" w:space="0" w:color="auto"/>
              <w:bottom w:val="single" w:sz="4" w:space="0" w:color="auto"/>
              <w:right w:val="single" w:sz="4" w:space="0" w:color="auto"/>
            </w:tcBorders>
            <w:shd w:val="clear" w:color="auto" w:fill="FFFFFF"/>
          </w:tcPr>
          <w:p w14:paraId="3145841D" w14:textId="77777777" w:rsidR="007C5583" w:rsidRPr="008127F8" w:rsidRDefault="007C5583" w:rsidP="004C5D62">
            <w:pPr>
              <w:pStyle w:val="80"/>
              <w:shd w:val="clear" w:color="auto" w:fill="auto"/>
              <w:spacing w:line="240" w:lineRule="auto"/>
              <w:jc w:val="both"/>
              <w:rPr>
                <w:rFonts w:ascii="Times New Roman" w:hAnsi="Times New Roman" w:cs="Times New Roman"/>
                <w:color w:val="000000" w:themeColor="text1"/>
              </w:rPr>
            </w:pPr>
            <w:r w:rsidRPr="008127F8">
              <w:rPr>
                <w:rFonts w:ascii="Times New Roman" w:hAnsi="Times New Roman" w:cs="Times New Roman"/>
                <w:color w:val="000000" w:themeColor="text1"/>
              </w:rPr>
              <w:t>Армянская ССР</w:t>
            </w:r>
          </w:p>
        </w:tc>
        <w:tc>
          <w:tcPr>
            <w:tcW w:w="1258" w:type="dxa"/>
            <w:tcBorders>
              <w:top w:val="single" w:sz="4" w:space="0" w:color="auto"/>
              <w:left w:val="single" w:sz="4" w:space="0" w:color="auto"/>
              <w:bottom w:val="single" w:sz="4" w:space="0" w:color="auto"/>
              <w:right w:val="single" w:sz="4" w:space="0" w:color="auto"/>
            </w:tcBorders>
            <w:shd w:val="clear" w:color="auto" w:fill="FFFFFF"/>
          </w:tcPr>
          <w:p w14:paraId="52EA1284" w14:textId="77777777" w:rsidR="007C5583" w:rsidRPr="008127F8" w:rsidRDefault="007C5583" w:rsidP="004C5D62">
            <w:pPr>
              <w:pStyle w:val="80"/>
              <w:shd w:val="clear" w:color="auto" w:fill="auto"/>
              <w:spacing w:line="240" w:lineRule="auto"/>
              <w:jc w:val="both"/>
              <w:rPr>
                <w:rFonts w:ascii="Times New Roman" w:hAnsi="Times New Roman" w:cs="Times New Roman"/>
                <w:color w:val="000000" w:themeColor="text1"/>
              </w:rPr>
            </w:pPr>
            <w:r w:rsidRPr="008127F8">
              <w:rPr>
                <w:rFonts w:ascii="Times New Roman" w:hAnsi="Times New Roman" w:cs="Times New Roman"/>
                <w:color w:val="000000" w:themeColor="text1"/>
              </w:rPr>
              <w:t>5</w:t>
            </w:r>
          </w:p>
        </w:tc>
      </w:tr>
      <w:tr w:rsidR="007C5583" w:rsidRPr="008127F8" w14:paraId="266F524A" w14:textId="77777777" w:rsidTr="004C5D62">
        <w:trPr>
          <w:trHeight w:val="235"/>
        </w:trPr>
        <w:tc>
          <w:tcPr>
            <w:tcW w:w="1579" w:type="dxa"/>
            <w:tcBorders>
              <w:top w:val="single" w:sz="4" w:space="0" w:color="auto"/>
              <w:left w:val="single" w:sz="4" w:space="0" w:color="auto"/>
              <w:bottom w:val="single" w:sz="4" w:space="0" w:color="auto"/>
              <w:right w:val="single" w:sz="4" w:space="0" w:color="auto"/>
            </w:tcBorders>
            <w:shd w:val="clear" w:color="auto" w:fill="FFFFFF"/>
          </w:tcPr>
          <w:p w14:paraId="28BDF13A" w14:textId="77777777" w:rsidR="007C5583" w:rsidRPr="008127F8" w:rsidRDefault="007C5583" w:rsidP="004C5D62">
            <w:pPr>
              <w:pStyle w:val="80"/>
              <w:shd w:val="clear" w:color="auto" w:fill="auto"/>
              <w:spacing w:line="240" w:lineRule="auto"/>
              <w:jc w:val="both"/>
              <w:rPr>
                <w:rFonts w:ascii="Times New Roman" w:hAnsi="Times New Roman" w:cs="Times New Roman"/>
                <w:color w:val="000000" w:themeColor="text1"/>
              </w:rPr>
            </w:pPr>
            <w:r w:rsidRPr="008127F8">
              <w:rPr>
                <w:rFonts w:ascii="Times New Roman" w:hAnsi="Times New Roman" w:cs="Times New Roman"/>
                <w:color w:val="000000" w:themeColor="text1"/>
              </w:rPr>
              <w:t>Туркменская ССР</w:t>
            </w:r>
          </w:p>
        </w:tc>
        <w:tc>
          <w:tcPr>
            <w:tcW w:w="1258" w:type="dxa"/>
            <w:tcBorders>
              <w:top w:val="single" w:sz="4" w:space="0" w:color="auto"/>
              <w:left w:val="single" w:sz="4" w:space="0" w:color="auto"/>
              <w:bottom w:val="single" w:sz="4" w:space="0" w:color="auto"/>
              <w:right w:val="single" w:sz="4" w:space="0" w:color="auto"/>
            </w:tcBorders>
            <w:shd w:val="clear" w:color="auto" w:fill="FFFFFF"/>
          </w:tcPr>
          <w:p w14:paraId="19DBF5BF" w14:textId="77777777" w:rsidR="007C5583" w:rsidRPr="008127F8" w:rsidRDefault="007C5583" w:rsidP="004C5D62">
            <w:pPr>
              <w:pStyle w:val="80"/>
              <w:shd w:val="clear" w:color="auto" w:fill="auto"/>
              <w:spacing w:line="240" w:lineRule="auto"/>
              <w:jc w:val="both"/>
              <w:rPr>
                <w:rFonts w:ascii="Times New Roman" w:hAnsi="Times New Roman" w:cs="Times New Roman"/>
                <w:color w:val="000000" w:themeColor="text1"/>
              </w:rPr>
            </w:pPr>
            <w:r w:rsidRPr="008127F8">
              <w:rPr>
                <w:rFonts w:ascii="Times New Roman" w:hAnsi="Times New Roman" w:cs="Times New Roman"/>
                <w:color w:val="000000" w:themeColor="text1"/>
              </w:rPr>
              <w:t>13</w:t>
            </w:r>
          </w:p>
        </w:tc>
      </w:tr>
      <w:tr w:rsidR="007C5583" w:rsidRPr="008127F8" w14:paraId="45C2F2A9" w14:textId="77777777" w:rsidTr="004C5D62">
        <w:trPr>
          <w:trHeight w:val="240"/>
        </w:trPr>
        <w:tc>
          <w:tcPr>
            <w:tcW w:w="1579" w:type="dxa"/>
            <w:tcBorders>
              <w:top w:val="single" w:sz="4" w:space="0" w:color="auto"/>
              <w:left w:val="single" w:sz="4" w:space="0" w:color="auto"/>
              <w:bottom w:val="single" w:sz="4" w:space="0" w:color="auto"/>
              <w:right w:val="single" w:sz="4" w:space="0" w:color="auto"/>
            </w:tcBorders>
            <w:shd w:val="clear" w:color="auto" w:fill="FFFFFF"/>
          </w:tcPr>
          <w:p w14:paraId="17B4B9AD" w14:textId="77777777" w:rsidR="007C5583" w:rsidRPr="008127F8" w:rsidRDefault="007C5583" w:rsidP="004C5D62">
            <w:pPr>
              <w:pStyle w:val="80"/>
              <w:shd w:val="clear" w:color="auto" w:fill="auto"/>
              <w:spacing w:line="240" w:lineRule="auto"/>
              <w:jc w:val="both"/>
              <w:rPr>
                <w:rFonts w:ascii="Times New Roman" w:hAnsi="Times New Roman" w:cs="Times New Roman"/>
                <w:color w:val="000000" w:themeColor="text1"/>
              </w:rPr>
            </w:pPr>
            <w:r w:rsidRPr="008127F8">
              <w:rPr>
                <w:rFonts w:ascii="Times New Roman" w:hAnsi="Times New Roman" w:cs="Times New Roman"/>
                <w:color w:val="000000" w:themeColor="text1"/>
              </w:rPr>
              <w:t>Узбекская ССР</w:t>
            </w:r>
          </w:p>
        </w:tc>
        <w:tc>
          <w:tcPr>
            <w:tcW w:w="1258" w:type="dxa"/>
            <w:tcBorders>
              <w:top w:val="single" w:sz="4" w:space="0" w:color="auto"/>
              <w:left w:val="single" w:sz="4" w:space="0" w:color="auto"/>
              <w:bottom w:val="single" w:sz="4" w:space="0" w:color="auto"/>
              <w:right w:val="single" w:sz="4" w:space="0" w:color="auto"/>
            </w:tcBorders>
            <w:shd w:val="clear" w:color="auto" w:fill="FFFFFF"/>
          </w:tcPr>
          <w:p w14:paraId="0B43DEB1" w14:textId="77777777" w:rsidR="007C5583" w:rsidRPr="008127F8" w:rsidRDefault="007C5583" w:rsidP="004C5D62">
            <w:pPr>
              <w:pStyle w:val="80"/>
              <w:shd w:val="clear" w:color="auto" w:fill="auto"/>
              <w:spacing w:line="240" w:lineRule="auto"/>
              <w:jc w:val="both"/>
              <w:rPr>
                <w:rFonts w:ascii="Times New Roman" w:hAnsi="Times New Roman" w:cs="Times New Roman"/>
                <w:color w:val="000000" w:themeColor="text1"/>
              </w:rPr>
            </w:pPr>
            <w:r w:rsidRPr="008127F8">
              <w:rPr>
                <w:rFonts w:ascii="Times New Roman" w:hAnsi="Times New Roman" w:cs="Times New Roman"/>
                <w:color w:val="000000" w:themeColor="text1"/>
              </w:rPr>
              <w:t>115</w:t>
            </w:r>
          </w:p>
        </w:tc>
      </w:tr>
      <w:tr w:rsidR="007C5583" w:rsidRPr="008127F8" w14:paraId="75F30595" w14:textId="77777777" w:rsidTr="004C5D62">
        <w:trPr>
          <w:trHeight w:val="235"/>
        </w:trPr>
        <w:tc>
          <w:tcPr>
            <w:tcW w:w="1579" w:type="dxa"/>
            <w:tcBorders>
              <w:top w:val="single" w:sz="4" w:space="0" w:color="auto"/>
              <w:left w:val="single" w:sz="4" w:space="0" w:color="auto"/>
              <w:bottom w:val="single" w:sz="4" w:space="0" w:color="auto"/>
              <w:right w:val="single" w:sz="4" w:space="0" w:color="auto"/>
            </w:tcBorders>
            <w:shd w:val="clear" w:color="auto" w:fill="FFFFFF"/>
          </w:tcPr>
          <w:p w14:paraId="62E4065F" w14:textId="77777777" w:rsidR="007C5583" w:rsidRPr="008127F8" w:rsidRDefault="007C5583" w:rsidP="004C5D62">
            <w:pPr>
              <w:pStyle w:val="80"/>
              <w:shd w:val="clear" w:color="auto" w:fill="auto"/>
              <w:spacing w:line="240" w:lineRule="auto"/>
              <w:jc w:val="both"/>
              <w:rPr>
                <w:rFonts w:ascii="Times New Roman" w:hAnsi="Times New Roman" w:cs="Times New Roman"/>
                <w:color w:val="000000" w:themeColor="text1"/>
              </w:rPr>
            </w:pPr>
            <w:r w:rsidRPr="008127F8">
              <w:rPr>
                <w:rFonts w:ascii="Times New Roman" w:hAnsi="Times New Roman" w:cs="Times New Roman"/>
                <w:color w:val="000000" w:themeColor="text1"/>
              </w:rPr>
              <w:t>Таджикская ССР</w:t>
            </w:r>
          </w:p>
        </w:tc>
        <w:tc>
          <w:tcPr>
            <w:tcW w:w="1258" w:type="dxa"/>
            <w:tcBorders>
              <w:top w:val="single" w:sz="4" w:space="0" w:color="auto"/>
              <w:left w:val="single" w:sz="4" w:space="0" w:color="auto"/>
              <w:bottom w:val="single" w:sz="4" w:space="0" w:color="auto"/>
              <w:right w:val="single" w:sz="4" w:space="0" w:color="auto"/>
            </w:tcBorders>
            <w:shd w:val="clear" w:color="auto" w:fill="FFFFFF"/>
          </w:tcPr>
          <w:p w14:paraId="60D56791" w14:textId="77777777" w:rsidR="007C5583" w:rsidRPr="008127F8" w:rsidRDefault="007C5583" w:rsidP="004C5D62">
            <w:pPr>
              <w:spacing w:after="0" w:line="240" w:lineRule="auto"/>
              <w:jc w:val="both"/>
              <w:rPr>
                <w:rFonts w:ascii="Times New Roman" w:hAnsi="Times New Roman"/>
                <w:color w:val="000000" w:themeColor="text1"/>
                <w:sz w:val="16"/>
                <w:szCs w:val="16"/>
              </w:rPr>
            </w:pPr>
          </w:p>
        </w:tc>
      </w:tr>
      <w:tr w:rsidR="007C5583" w:rsidRPr="008127F8" w14:paraId="507F9979" w14:textId="77777777" w:rsidTr="004C5D62">
        <w:trPr>
          <w:trHeight w:val="240"/>
        </w:trPr>
        <w:tc>
          <w:tcPr>
            <w:tcW w:w="1579" w:type="dxa"/>
            <w:tcBorders>
              <w:top w:val="single" w:sz="4" w:space="0" w:color="auto"/>
              <w:left w:val="single" w:sz="4" w:space="0" w:color="auto"/>
              <w:bottom w:val="single" w:sz="4" w:space="0" w:color="auto"/>
              <w:right w:val="single" w:sz="4" w:space="0" w:color="auto"/>
            </w:tcBorders>
            <w:shd w:val="clear" w:color="auto" w:fill="FFFFFF"/>
          </w:tcPr>
          <w:p w14:paraId="072A1227" w14:textId="77777777" w:rsidR="007C5583" w:rsidRPr="008127F8" w:rsidRDefault="007C5583" w:rsidP="004C5D62">
            <w:pPr>
              <w:pStyle w:val="80"/>
              <w:shd w:val="clear" w:color="auto" w:fill="auto"/>
              <w:spacing w:line="240" w:lineRule="auto"/>
              <w:jc w:val="both"/>
              <w:rPr>
                <w:rFonts w:ascii="Times New Roman" w:hAnsi="Times New Roman" w:cs="Times New Roman"/>
                <w:color w:val="000000" w:themeColor="text1"/>
              </w:rPr>
            </w:pPr>
            <w:r w:rsidRPr="008127F8">
              <w:rPr>
                <w:rFonts w:ascii="Times New Roman" w:hAnsi="Times New Roman" w:cs="Times New Roman"/>
                <w:color w:val="000000" w:themeColor="text1"/>
              </w:rPr>
              <w:t>Казахская ССР</w:t>
            </w:r>
          </w:p>
        </w:tc>
        <w:tc>
          <w:tcPr>
            <w:tcW w:w="1258" w:type="dxa"/>
            <w:tcBorders>
              <w:top w:val="single" w:sz="4" w:space="0" w:color="auto"/>
              <w:left w:val="single" w:sz="4" w:space="0" w:color="auto"/>
              <w:bottom w:val="single" w:sz="4" w:space="0" w:color="auto"/>
              <w:right w:val="single" w:sz="4" w:space="0" w:color="auto"/>
            </w:tcBorders>
            <w:shd w:val="clear" w:color="auto" w:fill="FFFFFF"/>
          </w:tcPr>
          <w:p w14:paraId="740720BB" w14:textId="77777777" w:rsidR="007C5583" w:rsidRPr="008127F8" w:rsidRDefault="007C5583" w:rsidP="004C5D62">
            <w:pPr>
              <w:pStyle w:val="80"/>
              <w:shd w:val="clear" w:color="auto" w:fill="auto"/>
              <w:spacing w:line="240" w:lineRule="auto"/>
              <w:jc w:val="both"/>
              <w:rPr>
                <w:rFonts w:ascii="Times New Roman" w:hAnsi="Times New Roman" w:cs="Times New Roman"/>
                <w:color w:val="000000" w:themeColor="text1"/>
              </w:rPr>
            </w:pPr>
            <w:r w:rsidRPr="008127F8">
              <w:rPr>
                <w:rFonts w:ascii="Times New Roman" w:hAnsi="Times New Roman" w:cs="Times New Roman"/>
                <w:color w:val="000000" w:themeColor="text1"/>
              </w:rPr>
              <w:t>102</w:t>
            </w:r>
          </w:p>
        </w:tc>
      </w:tr>
      <w:tr w:rsidR="007C5583" w:rsidRPr="008127F8" w14:paraId="647BB3CC" w14:textId="77777777" w:rsidTr="004C5D62">
        <w:trPr>
          <w:trHeight w:val="235"/>
        </w:trPr>
        <w:tc>
          <w:tcPr>
            <w:tcW w:w="1579" w:type="dxa"/>
            <w:tcBorders>
              <w:top w:val="single" w:sz="4" w:space="0" w:color="auto"/>
              <w:left w:val="single" w:sz="4" w:space="0" w:color="auto"/>
              <w:bottom w:val="single" w:sz="4" w:space="0" w:color="auto"/>
              <w:right w:val="single" w:sz="4" w:space="0" w:color="auto"/>
            </w:tcBorders>
            <w:shd w:val="clear" w:color="auto" w:fill="FFFFFF"/>
          </w:tcPr>
          <w:p w14:paraId="4A2F9464" w14:textId="77777777" w:rsidR="007C5583" w:rsidRPr="008127F8" w:rsidRDefault="007C5583" w:rsidP="004C5D62">
            <w:pPr>
              <w:pStyle w:val="80"/>
              <w:shd w:val="clear" w:color="auto" w:fill="auto"/>
              <w:spacing w:line="240" w:lineRule="auto"/>
              <w:jc w:val="both"/>
              <w:rPr>
                <w:rFonts w:ascii="Times New Roman" w:hAnsi="Times New Roman" w:cs="Times New Roman"/>
                <w:color w:val="000000" w:themeColor="text1"/>
              </w:rPr>
            </w:pPr>
            <w:r w:rsidRPr="008127F8">
              <w:rPr>
                <w:rFonts w:ascii="Times New Roman" w:hAnsi="Times New Roman" w:cs="Times New Roman"/>
                <w:color w:val="000000" w:themeColor="text1"/>
              </w:rPr>
              <w:t>Киргизская ССР</w:t>
            </w:r>
          </w:p>
        </w:tc>
        <w:tc>
          <w:tcPr>
            <w:tcW w:w="1258" w:type="dxa"/>
            <w:tcBorders>
              <w:top w:val="single" w:sz="4" w:space="0" w:color="auto"/>
              <w:left w:val="single" w:sz="4" w:space="0" w:color="auto"/>
              <w:bottom w:val="single" w:sz="4" w:space="0" w:color="auto"/>
              <w:right w:val="single" w:sz="4" w:space="0" w:color="auto"/>
            </w:tcBorders>
            <w:shd w:val="clear" w:color="auto" w:fill="FFFFFF"/>
          </w:tcPr>
          <w:p w14:paraId="1E5CAD93" w14:textId="77777777" w:rsidR="007C5583" w:rsidRPr="008127F8" w:rsidRDefault="007C5583" w:rsidP="004C5D62">
            <w:pPr>
              <w:spacing w:after="0" w:line="240" w:lineRule="auto"/>
              <w:jc w:val="both"/>
              <w:rPr>
                <w:rFonts w:ascii="Times New Roman" w:hAnsi="Times New Roman"/>
                <w:color w:val="000000" w:themeColor="text1"/>
                <w:sz w:val="16"/>
                <w:szCs w:val="16"/>
              </w:rPr>
            </w:pPr>
          </w:p>
        </w:tc>
      </w:tr>
      <w:tr w:rsidR="007C5583" w:rsidRPr="008127F8" w14:paraId="438F5D73" w14:textId="77777777" w:rsidTr="004C5D62">
        <w:trPr>
          <w:trHeight w:val="245"/>
        </w:trPr>
        <w:tc>
          <w:tcPr>
            <w:tcW w:w="1579" w:type="dxa"/>
            <w:tcBorders>
              <w:top w:val="single" w:sz="4" w:space="0" w:color="auto"/>
              <w:left w:val="single" w:sz="4" w:space="0" w:color="auto"/>
              <w:bottom w:val="single" w:sz="4" w:space="0" w:color="auto"/>
              <w:right w:val="single" w:sz="4" w:space="0" w:color="auto"/>
            </w:tcBorders>
            <w:shd w:val="clear" w:color="auto" w:fill="FFFFFF"/>
          </w:tcPr>
          <w:p w14:paraId="78AD7950" w14:textId="77777777" w:rsidR="007C5583" w:rsidRPr="008127F8" w:rsidRDefault="007C5583" w:rsidP="004C5D62">
            <w:pPr>
              <w:pStyle w:val="80"/>
              <w:shd w:val="clear" w:color="auto" w:fill="auto"/>
              <w:spacing w:line="240" w:lineRule="auto"/>
              <w:jc w:val="both"/>
              <w:rPr>
                <w:rFonts w:ascii="Times New Roman" w:hAnsi="Times New Roman" w:cs="Times New Roman"/>
                <w:color w:val="000000" w:themeColor="text1"/>
              </w:rPr>
            </w:pPr>
            <w:r w:rsidRPr="008127F8">
              <w:rPr>
                <w:rFonts w:ascii="Times New Roman" w:hAnsi="Times New Roman" w:cs="Times New Roman"/>
                <w:color w:val="000000" w:themeColor="text1"/>
              </w:rPr>
              <w:t>Карело-финская ССР</w:t>
            </w:r>
          </w:p>
        </w:tc>
        <w:tc>
          <w:tcPr>
            <w:tcW w:w="1258" w:type="dxa"/>
            <w:tcBorders>
              <w:top w:val="single" w:sz="4" w:space="0" w:color="auto"/>
              <w:left w:val="single" w:sz="4" w:space="0" w:color="auto"/>
              <w:bottom w:val="single" w:sz="4" w:space="0" w:color="auto"/>
              <w:right w:val="single" w:sz="4" w:space="0" w:color="auto"/>
            </w:tcBorders>
            <w:shd w:val="clear" w:color="auto" w:fill="FFFFFF"/>
          </w:tcPr>
          <w:p w14:paraId="3213FAF5" w14:textId="77777777" w:rsidR="007C5583" w:rsidRPr="008127F8" w:rsidRDefault="007C5583" w:rsidP="004C5D62">
            <w:pPr>
              <w:pStyle w:val="80"/>
              <w:shd w:val="clear" w:color="auto" w:fill="auto"/>
              <w:spacing w:line="240" w:lineRule="auto"/>
              <w:jc w:val="both"/>
              <w:rPr>
                <w:rFonts w:ascii="Times New Roman" w:hAnsi="Times New Roman" w:cs="Times New Roman"/>
                <w:color w:val="000000" w:themeColor="text1"/>
              </w:rPr>
            </w:pPr>
            <w:r w:rsidRPr="008127F8">
              <w:rPr>
                <w:rFonts w:ascii="Times New Roman" w:hAnsi="Times New Roman" w:cs="Times New Roman"/>
                <w:color w:val="000000" w:themeColor="text1"/>
              </w:rPr>
              <w:t>1</w:t>
            </w:r>
          </w:p>
        </w:tc>
      </w:tr>
    </w:tbl>
    <w:p w14:paraId="6E00D373" w14:textId="77777777" w:rsidR="007C5583" w:rsidRPr="008127F8" w:rsidRDefault="007C5583" w:rsidP="007C5583">
      <w:pPr>
        <w:pStyle w:val="a4"/>
        <w:rPr>
          <w:color w:val="000000" w:themeColor="text1"/>
        </w:rPr>
      </w:pPr>
      <w:r w:rsidRPr="008127F8">
        <w:rPr>
          <w:color w:val="000000" w:themeColor="text1"/>
        </w:rPr>
        <w:t>(15753).</w:t>
      </w:r>
    </w:p>
    <w:p w14:paraId="30BCD857" w14:textId="77777777" w:rsidR="007C5583" w:rsidRPr="008127F8" w:rsidRDefault="007C5583" w:rsidP="007C5583">
      <w:pPr>
        <w:pStyle w:val="a4"/>
        <w:rPr>
          <w:color w:val="000000" w:themeColor="text1"/>
        </w:rPr>
      </w:pPr>
    </w:p>
    <w:p w14:paraId="57C45B4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мая 1942 вышло Постановление ГКО № 1679 Об общем плане погрузки народнохозяйственных и воинских грузов на май 1942 г (7032, 97).</w:t>
      </w:r>
    </w:p>
    <w:p w14:paraId="22EF365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04AF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мая 1942 были закончены работы на 204 из 295 находившихся в ремонте кораблей. В числе первых - Петрозавод (8 кораблей). Балтийцы отремонтировали 12 кораблей (1 линкор, 2 крейсера, 1 лидер, 5 эсминцев, 3 ПЛ), адмиралтейцы -15 ПЛ и др. На Петрозаводе велись проектирование и постройка тендера грузоподъемностью 15 т, на "Судомехе" -15- и 25-тонных самоходных плашкоутов для ладожской Дороги жизни (10671).</w:t>
      </w:r>
    </w:p>
    <w:p w14:paraId="24D174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6C26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59FBCF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5D161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мая</w:t>
      </w:r>
      <w:r w:rsidRPr="008127F8">
        <w:rPr>
          <w:rFonts w:ascii="Times New Roman" w:hAnsi="Times New Roman"/>
          <w:color w:val="000000" w:themeColor="text1"/>
          <w:sz w:val="16"/>
          <w:szCs w:val="16"/>
        </w:rPr>
        <w:t xml:space="preserve"> в 1942 году утреннее сообщение Совинформбюро:</w:t>
      </w:r>
    </w:p>
    <w:p w14:paraId="0A2481E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 мая на фронте чего-либо существенного не произошло.</w:t>
      </w:r>
    </w:p>
    <w:p w14:paraId="3598AB8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противник предпринял ряд атак при поддержке танков. Огнём нашей артиллерии и пехоты все атаки гитлеровцев были отбиты. Немцы потеряли убитыми более 400 солдат и офицеров. Уничтожено два танка противника. Захвачены трофеи и пленные.</w:t>
      </w:r>
    </w:p>
    <w:p w14:paraId="3CF9126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танкисты наносят большой урон живой силе и технике противника. Экипаж тяжёлого танка под командованием лейтенанта Б.П.Голосенке, уничтожил огнём и гусеницами 3 немецких противотанковых орудия, 2 пулемётные точки, одну автомашину и несколько блиндажей с вражеской пехотой. Танк под командованием лейтенанта Н.Т.Фоменко в этом же бою уничтожил 2 немецких танка и противотанковое орудие.</w:t>
      </w:r>
    </w:p>
    <w:p w14:paraId="3A43509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Снайперы частей, обороняющих Севастополь, за 29 апреля уничтожили 90 солдат и офицеров противника.</w:t>
      </w:r>
    </w:p>
    <w:p w14:paraId="43773E3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Объединённые партизанские отряды под командованием т.т. Е. и И., действующиена Украине, 13 апреля совершили внезапный налёт на немецкий гарнизон в селе Н. Партизаны истребили 109 немецко-фашистских оккупантов. Захвачены трофеи: 9 пулемётов, миномёт, 34 винтовки, 12 пистолетов, 55 пулемётных дисков, 2 радиостанции, 136.000 патронов, свыше 300 гранат и штабные документы. Партизаны уничтожили два немецких орудия и взорвали склад с боеприпасами.</w:t>
      </w:r>
    </w:p>
    <w:p w14:paraId="5099C46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7 роты 176 полка 61 немецкой пехотной дивизии Эрвин Шмоллинг рассказал: «В феврале меня мобилизовали и послали на фронт. У солдат, недавно прибывших из Германии, нет никакого желания воевать. Они думают о своих семьях и стремятся всеми правдами и неправдами вернуться на родину».</w:t>
      </w:r>
    </w:p>
    <w:p w14:paraId="360F8A4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Гвардейцы части, где командиром тов. Родимцев, захватив опорный пункт противника, обнаружили три трупа советских бойцов, замученных гитлеровцами. Взятых в плен раненых красноармейцев немцы пытали, а потом привязали проволокой к дереву. В таком положении раненые красноармейцы умерли в страшных мучениях.</w:t>
      </w:r>
    </w:p>
    <w:p w14:paraId="0D38220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Администрация одного немецкого госпиталя в городе Вена предложила безногим и безруким солдатам, не закончившим курс лечения, немедленно покинуть госпиталь и выехать на родину. На протесты раненых последовало следующее разъяснение: места в госпитале нужны для солдат, которые после выздоровления могут быть снова отправлены на фронт. В этом же госпитале было много случаев, когда тяжелораненные солдаты были отравлены.» (14878).</w:t>
      </w:r>
    </w:p>
    <w:p w14:paraId="3D7F344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4053C5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мая</w:t>
      </w:r>
      <w:r w:rsidRPr="008127F8">
        <w:rPr>
          <w:rFonts w:ascii="Times New Roman" w:hAnsi="Times New Roman"/>
          <w:color w:val="000000" w:themeColor="text1"/>
          <w:sz w:val="16"/>
          <w:szCs w:val="16"/>
        </w:rPr>
        <w:t xml:space="preserve"> в 1942 году вечернее сообщение Совинформбюро:</w:t>
      </w:r>
    </w:p>
    <w:p w14:paraId="67E7D5E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 мая на фронте ничего существенного не произошло.</w:t>
      </w:r>
    </w:p>
    <w:p w14:paraId="4406D18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30 апреля уничтожено 38 немецких самолётов. Наши потери — 9 самолётов.</w:t>
      </w:r>
    </w:p>
    <w:p w14:paraId="54A0AEC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 корабль в Баренцевом море потопил транспорт противника водоизмещением в 9.000 тонн.</w:t>
      </w:r>
    </w:p>
    <w:p w14:paraId="335E3C3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30 апреля частями нашей авиации уничтожено или повреждено 95 немецких автомашин с войсками и грузами, 12 орудий, 7 миномётов, 5 зенитно-пулемётныхточек, взорвано несколько складов с боеприпасами, рассеяно и частью уничтожено до двух рот пехоты противника.</w:t>
      </w:r>
    </w:p>
    <w:p w14:paraId="4138289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Гвардейский авиационный истребительный полк под командованием тов. Беркаляуспешно громит немецко-фашистских захватчиков. За время Отечественной войны гвардейцы этого полка в воздушных боях сбили 168 вражеских самолётов. Нанося удары наземным частям противника, лётчики полка уничтожили 550 вражеских автомашин с различными грузами, 40 зенитных батарей, 11 цистерн с горючим иоколо 3.500 немецких солдат и офицеров.</w:t>
      </w:r>
    </w:p>
    <w:p w14:paraId="2279642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Калининского фронта, за два дня уничтожили несколько немецких орудий, 25 пулемётов и 5 миномётных батарей. Подбито 3 вражеских танка, разрушены 24 блиндажа с пехотой противника. Гитлеровцы потеряли убитыми свыше 900 солдат и офицеров. Ружейно-пулемётным огнём наших бойцов сбит немецкий бомбардировщик.</w:t>
      </w:r>
    </w:p>
    <w:p w14:paraId="2603C9F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Младший лейтенант Михайлов и красноармеец Аверкин проникли в расположение противника и сняли часового, стоявшего у наблюдательного пункта. Захватив немецкий пулемёт, стереотрубу и несколько тысяч патронов, т.т. Михайлов и Аверкин благополучно вернулись в свою часть.</w:t>
      </w:r>
    </w:p>
    <w:p w14:paraId="7A68D3F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Старшему сержанту Барсуку было приказано пробраться в тыл врага и уничтожить мост через реку Л. Ночью отважный сапёр скрытно подполз к мосту. Стоя в ледяной воде, он заложил взрывчатое вещество и поджёг шнур. Вскоре раздался сильный взрыв. Мост взлетел на воздух. Тов. Барсук, выполнив приказ, вернулся в своё подразделение.</w:t>
      </w:r>
    </w:p>
    <w:p w14:paraId="22996C0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Несколько ленинградских партизанских отрядов под командованием т.т, Л. и Д.заняли ряд деревень в тылу немецко-фашистских войск. Все попытки гитлеровцев вернуть эти деревни потерпели неудачу. За три дня боёв народные мстители истребили около 100 немецких солдат и офицеров. Со стороны партизан потерь нет.</w:t>
      </w:r>
    </w:p>
    <w:p w14:paraId="72D1F73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Среди трофейных документов, захваченных у противника, обнаружен приказ по 290 немецкой пехотной дивизии за № 4. В приказе воспроизводится следующее распоряжение штаба северной группы немецких войск: «Установлено, что шофёры содействуют дезертирству тем, что берут на машины солдат, двигающихся без разрешения за линией фронта. Всем шофёрам необходимо указать на то, что они, сажая в машину солдат, должны проверять у них документы. Тех солдат, документы которых не в порядке, шофёры обязаны арестовывать и доставлять в ближайшие органы полевой жандармерии». Таким образом, штаб северной группы немецких войск вынужден признать, что дезертирство германских солдат с фронта принимает всё большие размеры.</w:t>
      </w:r>
    </w:p>
    <w:p w14:paraId="7C0625C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Немецкая газета «Милитервохенблатт» 17 апреля бьёт тревогу: «...Многие скверные немцы равнодушно относятся к военным. Особенно это наблюдается в больших городах». Газета требует «подтянуть таких людей». Она вопит о необходимости «расшевелить совесть родины». Однако, несмотря на все вопли и угрозы гитлеровцев, количество так называемых «скверных» немцев, освобождающихся от фашистского дурмана, растёт и будет расти с каждым днём.</w:t>
      </w:r>
    </w:p>
    <w:p w14:paraId="12E3A4F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Металлурги Магнитогорска встретили день 1 мая новыми производственными победами. Полностью выполнен производственный план по всему металлургическому циклу. Вместе с доменщиками, мартеновцами и прокатчиками высокой производительности добились горняки горы Магнитной и коксохимики, которые также успешно перевыполняют суточные задания.» (14878).</w:t>
      </w:r>
    </w:p>
    <w:p w14:paraId="423BC28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9A2ED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1 мая 1942 было сформировано 10 ударных авиагрупп: 1 и 6 - на Волховском, 1 на С-ЗФ, 3-я - на ЮФ, 4 и 5 на ЗФ, 7 - на БФ, 8 на Ю-ЗФ, 15 - на КрымскомФ, 16 - на С-КФ. Просуществовали только до начала июня 1942 (340,79).</w:t>
      </w:r>
    </w:p>
    <w:p w14:paraId="4A8A41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0FA9C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 мая 1942 на советско-германском фронте у врага было 3395 самолетов (2815 немецких, 295 финских, 165 румынских, 50 венгерских, 70 итальянских), а у нас - 3160 (+ 320 разведчиков и 375 У-2) (340,71).</w:t>
      </w:r>
    </w:p>
    <w:p w14:paraId="34F186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D1CBB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 мая 1942 г. АДД имела 319 Ил-4, что составляло более 90% ее парка (7666).</w:t>
      </w:r>
    </w:p>
    <w:p w14:paraId="7B8156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E7A0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 мая 1942 г. АДД, созданная 5 марта 1942, имела 319 Ил-4, составлявших более 90% ее парка. В нее первоначально вошли восемь дивизий, из них пять - на Ил-4. АДД поглотила не все машины этого типа, отдельные полки остались в ВВС. Например, Ил-4 имелись в частях 132-й бад на Северо- Кавказском фронте (впоследствии в 5-й воздушной армии). Ильюшинскими бомбардировщиками располагали и некоторые дальнеразведыва- тельные полки и эскадрильи. Вначале АДД действовала по-старому, выступая в роли мобильного резерва, усиливающего ВВС фронтов. Летом 1942 г. положение Красной армии опять ухудшилось. После ее неудачного наступления под Харьковом немцы вновь ринулись на восток. Часть сил АДД задействовали против наступающих войск противника. Опять стали летать днем, бомбить с малых высот, разве что улучшилось прикрытие истребителями. Применяли в основном бомбы ФАБ-ЮОТГА и ЗАБ-100. а также кассеты РРАБ. В последние грузили не только мелкие бомбы, но иногда термитные шары или стеклянные капсулы с самовоспламеняющейся жидкостью КС (тоже шаровой формы).</w:t>
      </w:r>
    </w:p>
    <w:p w14:paraId="6FF279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Сталинградском направлении сначала воевала 50-я дивизия АДД, а затем еще три. Особенностью этих операций были полеты "на коротком плече" - цели находились непосредственно на передовой, вблизи от аэродромов. Делали по три-пять вылетов подряд (1221).</w:t>
      </w:r>
    </w:p>
    <w:p w14:paraId="442CA2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5F478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Наличие самолетов Пе-2/Пе-З в объединениях ВВС КА в 1942-1945 гг.</w:t>
      </w:r>
    </w:p>
    <w:p w14:paraId="0547AE0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 мая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932"/>
        <w:gridCol w:w="1134"/>
        <w:gridCol w:w="1005"/>
        <w:gridCol w:w="1121"/>
      </w:tblGrid>
      <w:tr w:rsidR="007C5583" w:rsidRPr="008127F8" w14:paraId="560EFB6B" w14:textId="77777777" w:rsidTr="004C5D62">
        <w:tc>
          <w:tcPr>
            <w:tcW w:w="1019" w:type="dxa"/>
            <w:tcBorders>
              <w:top w:val="single" w:sz="12" w:space="0" w:color="auto"/>
            </w:tcBorders>
          </w:tcPr>
          <w:p w14:paraId="29ED28E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2" w:type="dxa"/>
            <w:tcBorders>
              <w:top w:val="single" w:sz="12" w:space="0" w:color="auto"/>
            </w:tcBorders>
          </w:tcPr>
          <w:p w14:paraId="0A47DDC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12" w:space="0" w:color="auto"/>
            </w:tcBorders>
          </w:tcPr>
          <w:p w14:paraId="0213A7F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05" w:type="dxa"/>
            <w:tcBorders>
              <w:top w:val="single" w:sz="12" w:space="0" w:color="auto"/>
            </w:tcBorders>
          </w:tcPr>
          <w:p w14:paraId="471F303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top w:val="single" w:sz="12" w:space="0" w:color="auto"/>
            </w:tcBorders>
          </w:tcPr>
          <w:p w14:paraId="128A133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2E8F406" w14:textId="77777777" w:rsidTr="004C5D62">
        <w:tc>
          <w:tcPr>
            <w:tcW w:w="1019" w:type="dxa"/>
          </w:tcPr>
          <w:p w14:paraId="17D00FB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Объединение</w:t>
            </w:r>
          </w:p>
        </w:tc>
        <w:tc>
          <w:tcPr>
            <w:tcW w:w="932" w:type="dxa"/>
          </w:tcPr>
          <w:p w14:paraId="23F6A84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Бомбардировщики</w:t>
            </w:r>
          </w:p>
        </w:tc>
        <w:tc>
          <w:tcPr>
            <w:tcW w:w="1134" w:type="dxa"/>
          </w:tcPr>
          <w:p w14:paraId="48A2A7B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05" w:type="dxa"/>
          </w:tcPr>
          <w:p w14:paraId="23094EA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Разведчики</w:t>
            </w:r>
          </w:p>
        </w:tc>
        <w:tc>
          <w:tcPr>
            <w:tcW w:w="1121" w:type="dxa"/>
          </w:tcPr>
          <w:p w14:paraId="371C475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9F03116" w14:textId="77777777" w:rsidTr="004C5D62">
        <w:tc>
          <w:tcPr>
            <w:tcW w:w="1019" w:type="dxa"/>
          </w:tcPr>
          <w:p w14:paraId="4DE65ED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2" w:type="dxa"/>
          </w:tcPr>
          <w:p w14:paraId="19D18E6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1134" w:type="dxa"/>
          </w:tcPr>
          <w:p w14:paraId="17513B5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Неисправны</w:t>
            </w:r>
          </w:p>
        </w:tc>
        <w:tc>
          <w:tcPr>
            <w:tcW w:w="1005" w:type="dxa"/>
          </w:tcPr>
          <w:p w14:paraId="225E79B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1121" w:type="dxa"/>
          </w:tcPr>
          <w:p w14:paraId="1D6FED5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Неисправны</w:t>
            </w:r>
          </w:p>
        </w:tc>
      </w:tr>
      <w:tr w:rsidR="007C5583" w:rsidRPr="008127F8" w14:paraId="5341FFF6" w14:textId="77777777" w:rsidTr="004C5D62">
        <w:tc>
          <w:tcPr>
            <w:tcW w:w="1019" w:type="dxa"/>
          </w:tcPr>
          <w:p w14:paraId="3E9812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КарФ</w:t>
            </w:r>
          </w:p>
        </w:tc>
        <w:tc>
          <w:tcPr>
            <w:tcW w:w="932" w:type="dxa"/>
          </w:tcPr>
          <w:p w14:paraId="6AFA511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1134" w:type="dxa"/>
          </w:tcPr>
          <w:p w14:paraId="2006F38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1005" w:type="dxa"/>
          </w:tcPr>
          <w:p w14:paraId="45B9067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639D23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F09CBE6" w14:textId="77777777" w:rsidTr="004C5D62">
        <w:tc>
          <w:tcPr>
            <w:tcW w:w="1019" w:type="dxa"/>
          </w:tcPr>
          <w:p w14:paraId="26056FD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ВВС 7-й OA</w:t>
            </w:r>
          </w:p>
        </w:tc>
        <w:tc>
          <w:tcPr>
            <w:tcW w:w="932" w:type="dxa"/>
          </w:tcPr>
          <w:p w14:paraId="39A12F8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1134" w:type="dxa"/>
          </w:tcPr>
          <w:p w14:paraId="77AA0BE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005" w:type="dxa"/>
          </w:tcPr>
          <w:p w14:paraId="5196F13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21" w:type="dxa"/>
          </w:tcPr>
          <w:p w14:paraId="26B168A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7C5583" w:rsidRPr="008127F8" w14:paraId="6987E0EC" w14:textId="77777777" w:rsidTr="004C5D62">
        <w:tc>
          <w:tcPr>
            <w:tcW w:w="1019" w:type="dxa"/>
          </w:tcPr>
          <w:p w14:paraId="35E03DF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ЛенФ</w:t>
            </w:r>
          </w:p>
        </w:tc>
        <w:tc>
          <w:tcPr>
            <w:tcW w:w="932" w:type="dxa"/>
          </w:tcPr>
          <w:p w14:paraId="76B575C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134" w:type="dxa"/>
          </w:tcPr>
          <w:p w14:paraId="2A755A9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1005" w:type="dxa"/>
          </w:tcPr>
          <w:p w14:paraId="73205AE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121" w:type="dxa"/>
          </w:tcPr>
          <w:p w14:paraId="3B4BE47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r>
      <w:tr w:rsidR="007C5583" w:rsidRPr="008127F8" w14:paraId="699826C2" w14:textId="77777777" w:rsidTr="004C5D62">
        <w:tc>
          <w:tcPr>
            <w:tcW w:w="1019" w:type="dxa"/>
          </w:tcPr>
          <w:p w14:paraId="1CCCB31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СЗФ</w:t>
            </w:r>
          </w:p>
        </w:tc>
        <w:tc>
          <w:tcPr>
            <w:tcW w:w="932" w:type="dxa"/>
          </w:tcPr>
          <w:p w14:paraId="73FEA49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1134" w:type="dxa"/>
          </w:tcPr>
          <w:p w14:paraId="0AFDE42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1005" w:type="dxa"/>
          </w:tcPr>
          <w:p w14:paraId="492703E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21" w:type="dxa"/>
          </w:tcPr>
          <w:p w14:paraId="78CCF32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7C5583" w:rsidRPr="008127F8" w14:paraId="6F130AF0" w14:textId="77777777" w:rsidTr="004C5D62">
        <w:tc>
          <w:tcPr>
            <w:tcW w:w="1019" w:type="dxa"/>
          </w:tcPr>
          <w:p w14:paraId="0D13BE5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КалинФ</w:t>
            </w:r>
          </w:p>
        </w:tc>
        <w:tc>
          <w:tcPr>
            <w:tcW w:w="932" w:type="dxa"/>
          </w:tcPr>
          <w:p w14:paraId="497AC01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1134" w:type="dxa"/>
          </w:tcPr>
          <w:p w14:paraId="0528F99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c>
          <w:tcPr>
            <w:tcW w:w="1005" w:type="dxa"/>
          </w:tcPr>
          <w:p w14:paraId="0FFB122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121" w:type="dxa"/>
          </w:tcPr>
          <w:p w14:paraId="2DF36FC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AC00657" w14:textId="77777777" w:rsidTr="004C5D62">
        <w:tc>
          <w:tcPr>
            <w:tcW w:w="1019" w:type="dxa"/>
          </w:tcPr>
          <w:p w14:paraId="4897927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ЗФ</w:t>
            </w:r>
          </w:p>
        </w:tc>
        <w:tc>
          <w:tcPr>
            <w:tcW w:w="932" w:type="dxa"/>
          </w:tcPr>
          <w:p w14:paraId="79DBEEF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1134" w:type="dxa"/>
          </w:tcPr>
          <w:p w14:paraId="056BA25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05" w:type="dxa"/>
          </w:tcPr>
          <w:p w14:paraId="0D3EF1F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1121" w:type="dxa"/>
          </w:tcPr>
          <w:p w14:paraId="42D46F5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r>
      <w:tr w:rsidR="007C5583" w:rsidRPr="008127F8" w14:paraId="3C051638" w14:textId="77777777" w:rsidTr="004C5D62">
        <w:tc>
          <w:tcPr>
            <w:tcW w:w="1019" w:type="dxa"/>
          </w:tcPr>
          <w:p w14:paraId="63C0181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БрянФ</w:t>
            </w:r>
          </w:p>
        </w:tc>
        <w:tc>
          <w:tcPr>
            <w:tcW w:w="932" w:type="dxa"/>
          </w:tcPr>
          <w:p w14:paraId="5B69E89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134" w:type="dxa"/>
          </w:tcPr>
          <w:p w14:paraId="090C39A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005" w:type="dxa"/>
          </w:tcPr>
          <w:p w14:paraId="350C84E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C524A9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0BD3411" w14:textId="77777777" w:rsidTr="004C5D62">
        <w:tc>
          <w:tcPr>
            <w:tcW w:w="1019" w:type="dxa"/>
          </w:tcPr>
          <w:p w14:paraId="2A322A2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ЮЗФ</w:t>
            </w:r>
          </w:p>
        </w:tc>
        <w:tc>
          <w:tcPr>
            <w:tcW w:w="932" w:type="dxa"/>
          </w:tcPr>
          <w:p w14:paraId="6186E7E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1134" w:type="dxa"/>
          </w:tcPr>
          <w:p w14:paraId="0F7BD12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005" w:type="dxa"/>
          </w:tcPr>
          <w:p w14:paraId="1C129FA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1121" w:type="dxa"/>
          </w:tcPr>
          <w:p w14:paraId="11839A2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7C5583" w:rsidRPr="008127F8" w14:paraId="54BED51C" w14:textId="77777777" w:rsidTr="004C5D62">
        <w:tc>
          <w:tcPr>
            <w:tcW w:w="1019" w:type="dxa"/>
          </w:tcPr>
          <w:p w14:paraId="7583339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ЮФ</w:t>
            </w:r>
          </w:p>
        </w:tc>
        <w:tc>
          <w:tcPr>
            <w:tcW w:w="932" w:type="dxa"/>
          </w:tcPr>
          <w:p w14:paraId="455FD3C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1134" w:type="dxa"/>
          </w:tcPr>
          <w:p w14:paraId="084CFC5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1005" w:type="dxa"/>
          </w:tcPr>
          <w:p w14:paraId="0C78AD0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21" w:type="dxa"/>
          </w:tcPr>
          <w:p w14:paraId="0C91E9B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7C5583" w:rsidRPr="008127F8" w14:paraId="5366A5C1" w14:textId="77777777" w:rsidTr="004C5D62">
        <w:tc>
          <w:tcPr>
            <w:tcW w:w="1019" w:type="dxa"/>
          </w:tcPr>
          <w:p w14:paraId="38027AA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КрымФ</w:t>
            </w:r>
          </w:p>
        </w:tc>
        <w:tc>
          <w:tcPr>
            <w:tcW w:w="932" w:type="dxa"/>
          </w:tcPr>
          <w:p w14:paraId="5228063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134" w:type="dxa"/>
          </w:tcPr>
          <w:p w14:paraId="6483A35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005" w:type="dxa"/>
          </w:tcPr>
          <w:p w14:paraId="291DB99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21" w:type="dxa"/>
          </w:tcPr>
          <w:p w14:paraId="7464A04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7C5583" w:rsidRPr="008127F8" w14:paraId="22B6ED87" w14:textId="77777777" w:rsidTr="004C5D62">
        <w:tc>
          <w:tcPr>
            <w:tcW w:w="1019" w:type="dxa"/>
          </w:tcPr>
          <w:p w14:paraId="23F1B9A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Разведавиация ГК</w:t>
            </w:r>
          </w:p>
        </w:tc>
        <w:tc>
          <w:tcPr>
            <w:tcW w:w="932" w:type="dxa"/>
          </w:tcPr>
          <w:p w14:paraId="0B6BFBA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34" w:type="dxa"/>
          </w:tcPr>
          <w:p w14:paraId="48A23A8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05" w:type="dxa"/>
          </w:tcPr>
          <w:p w14:paraId="12ABB5A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tc>
        <w:tc>
          <w:tcPr>
            <w:tcW w:w="1121" w:type="dxa"/>
          </w:tcPr>
          <w:p w14:paraId="6065212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r>
      <w:tr w:rsidR="007C5583" w:rsidRPr="008127F8" w14:paraId="0518CC31" w14:textId="77777777" w:rsidTr="004C5D62">
        <w:tc>
          <w:tcPr>
            <w:tcW w:w="1019" w:type="dxa"/>
          </w:tcPr>
          <w:p w14:paraId="5EC32BA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Резерв ГК</w:t>
            </w:r>
          </w:p>
        </w:tc>
        <w:tc>
          <w:tcPr>
            <w:tcW w:w="932" w:type="dxa"/>
          </w:tcPr>
          <w:p w14:paraId="006DCCA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79</w:t>
            </w:r>
          </w:p>
        </w:tc>
        <w:tc>
          <w:tcPr>
            <w:tcW w:w="1134" w:type="dxa"/>
          </w:tcPr>
          <w:p w14:paraId="0F51049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005" w:type="dxa"/>
          </w:tcPr>
          <w:p w14:paraId="322A4AE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21" w:type="dxa"/>
          </w:tcPr>
          <w:p w14:paraId="1B8980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7C5583" w:rsidRPr="008127F8" w14:paraId="73B6E207" w14:textId="77777777" w:rsidTr="004C5D62">
        <w:tc>
          <w:tcPr>
            <w:tcW w:w="1019" w:type="dxa"/>
          </w:tcPr>
          <w:p w14:paraId="235E1CE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ЗАПах</w:t>
            </w:r>
          </w:p>
        </w:tc>
        <w:tc>
          <w:tcPr>
            <w:tcW w:w="932" w:type="dxa"/>
          </w:tcPr>
          <w:p w14:paraId="6C87826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w:t>
            </w:r>
          </w:p>
        </w:tc>
        <w:tc>
          <w:tcPr>
            <w:tcW w:w="1134" w:type="dxa"/>
          </w:tcPr>
          <w:p w14:paraId="25A184C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005" w:type="dxa"/>
          </w:tcPr>
          <w:p w14:paraId="406F140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21" w:type="dxa"/>
          </w:tcPr>
          <w:p w14:paraId="005FBBD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7C5583" w:rsidRPr="008127F8" w14:paraId="6F3816B6" w14:textId="77777777" w:rsidTr="004C5D62">
        <w:tc>
          <w:tcPr>
            <w:tcW w:w="1019" w:type="dxa"/>
            <w:tcBorders>
              <w:bottom w:val="single" w:sz="12" w:space="0" w:color="auto"/>
            </w:tcBorders>
          </w:tcPr>
          <w:p w14:paraId="4A0A111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932" w:type="dxa"/>
            <w:tcBorders>
              <w:bottom w:val="single" w:sz="12" w:space="0" w:color="auto"/>
            </w:tcBorders>
          </w:tcPr>
          <w:p w14:paraId="7F3E92D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303</w:t>
            </w:r>
          </w:p>
        </w:tc>
        <w:tc>
          <w:tcPr>
            <w:tcW w:w="1134" w:type="dxa"/>
            <w:tcBorders>
              <w:bottom w:val="single" w:sz="12" w:space="0" w:color="auto"/>
            </w:tcBorders>
          </w:tcPr>
          <w:p w14:paraId="1E93589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w:t>
            </w:r>
          </w:p>
        </w:tc>
        <w:tc>
          <w:tcPr>
            <w:tcW w:w="1005" w:type="dxa"/>
            <w:tcBorders>
              <w:bottom w:val="single" w:sz="12" w:space="0" w:color="auto"/>
            </w:tcBorders>
          </w:tcPr>
          <w:p w14:paraId="15BB15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w:t>
            </w:r>
          </w:p>
        </w:tc>
        <w:tc>
          <w:tcPr>
            <w:tcW w:w="1121" w:type="dxa"/>
            <w:tcBorders>
              <w:bottom w:val="single" w:sz="12" w:space="0" w:color="auto"/>
            </w:tcBorders>
          </w:tcPr>
          <w:p w14:paraId="453DCEE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r>
    </w:tbl>
    <w:p w14:paraId="55CC42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(12042).</w:t>
      </w:r>
    </w:p>
    <w:p w14:paraId="181832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6790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состоянию на 1 мая 1942 г. на фронте насчитывалось 171/45 СБ. К 1 июля 1942 г. в связи с непрерывным боевым использованием эта цифра уменьшилась до 115/22 бомбардировщиков и 14/1 разведчиков СБ. К началу контрнаступления Красной Армии под Сталинградом 19 ноября 1942 г. в боевых подразделениях насчитывалось 70/23 фронтовых бомбардировщиков типа СБ и Су-2 (12027).</w:t>
      </w:r>
    </w:p>
    <w:p w14:paraId="67142B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DE5CC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1 мая 1942 г. количество ЛаГГ-3 достигло 544 машин (примерно 20 полков по штатам того времени). Надо сказать, что для этого имелись определенные основания. В боях деревянный ЛаГГ-3 нередко демонстрировал редкостную прочность и живучесть. Об этом свидетельствует случай, происшедший с летчиком Д.В. Симоновым. </w:t>
      </w:r>
      <w:r w:rsidRPr="008127F8">
        <w:rPr>
          <w:rFonts w:ascii="Times New Roman" w:hAnsi="Times New Roman"/>
          <w:color w:val="000000" w:themeColor="text1"/>
          <w:sz w:val="16"/>
          <w:szCs w:val="16"/>
        </w:rPr>
        <w:lastRenderedPageBreak/>
        <w:t>12 августа 1942 г. его истребитель был подбит огнем зенитной артиллерии; пострадали масляная, гидравлическая и топливная системы, в фюзеляже зияла огромная пробоина, отсутствовала почти половина левой плоскости. Тем не менее Симонов сел на своем аэродроме, хотя потом самолету потребовался ремонт в заводских условиях. Летчик С.Ф. Кырчанов из 252-го иап таранил немецкий истребитель Bf 109. Цельнометаллический "немец" от удара разрушился, а деревянный советский самолет благополучно приземлился (11983).</w:t>
      </w:r>
    </w:p>
    <w:p w14:paraId="6C993E5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F879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 мая 1942 на флотах:</w:t>
      </w:r>
    </w:p>
    <w:p w14:paraId="506C297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Данные о числе И-16: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7C5583" w:rsidRPr="008127F8" w14:paraId="79748516" w14:textId="77777777" w:rsidTr="004C5D62">
        <w:tc>
          <w:tcPr>
            <w:tcW w:w="1401" w:type="dxa"/>
            <w:tcBorders>
              <w:top w:val="single" w:sz="12" w:space="0" w:color="auto"/>
            </w:tcBorders>
          </w:tcPr>
          <w:p w14:paraId="608066B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38F07C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1.05.42</w:t>
            </w:r>
          </w:p>
        </w:tc>
        <w:tc>
          <w:tcPr>
            <w:tcW w:w="1401" w:type="dxa"/>
            <w:tcBorders>
              <w:top w:val="single" w:sz="12" w:space="0" w:color="auto"/>
            </w:tcBorders>
          </w:tcPr>
          <w:p w14:paraId="7CEBD3A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1.07.42</w:t>
            </w:r>
          </w:p>
        </w:tc>
        <w:tc>
          <w:tcPr>
            <w:tcW w:w="1401" w:type="dxa"/>
            <w:tcBorders>
              <w:top w:val="single" w:sz="12" w:space="0" w:color="auto"/>
            </w:tcBorders>
          </w:tcPr>
          <w:p w14:paraId="7E23D9E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18.11.42</w:t>
            </w:r>
          </w:p>
        </w:tc>
        <w:tc>
          <w:tcPr>
            <w:tcW w:w="1401" w:type="dxa"/>
            <w:tcBorders>
              <w:top w:val="single" w:sz="12" w:space="0" w:color="auto"/>
            </w:tcBorders>
          </w:tcPr>
          <w:p w14:paraId="406C49B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1.07.43</w:t>
            </w:r>
          </w:p>
        </w:tc>
        <w:tc>
          <w:tcPr>
            <w:tcW w:w="1401" w:type="dxa"/>
            <w:tcBorders>
              <w:top w:val="single" w:sz="12" w:space="0" w:color="auto"/>
            </w:tcBorders>
          </w:tcPr>
          <w:p w14:paraId="1554CB9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1.01.44</w:t>
            </w:r>
          </w:p>
        </w:tc>
        <w:tc>
          <w:tcPr>
            <w:tcW w:w="1401" w:type="dxa"/>
            <w:tcBorders>
              <w:top w:val="single" w:sz="12" w:space="0" w:color="auto"/>
            </w:tcBorders>
          </w:tcPr>
          <w:p w14:paraId="711459F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1.06.44</w:t>
            </w:r>
          </w:p>
        </w:tc>
        <w:tc>
          <w:tcPr>
            <w:tcW w:w="1401" w:type="dxa"/>
            <w:tcBorders>
              <w:top w:val="single" w:sz="12" w:space="0" w:color="auto"/>
            </w:tcBorders>
          </w:tcPr>
          <w:p w14:paraId="34CB61D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1.01.45</w:t>
            </w:r>
          </w:p>
        </w:tc>
      </w:tr>
      <w:tr w:rsidR="007C5583" w:rsidRPr="008127F8" w14:paraId="54EE4DE5" w14:textId="77777777" w:rsidTr="004C5D62">
        <w:tc>
          <w:tcPr>
            <w:tcW w:w="1401" w:type="dxa"/>
          </w:tcPr>
          <w:p w14:paraId="062287F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ВВС СФ</w:t>
            </w:r>
          </w:p>
        </w:tc>
        <w:tc>
          <w:tcPr>
            <w:tcW w:w="1401" w:type="dxa"/>
          </w:tcPr>
          <w:p w14:paraId="75C7DD6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12/3</w:t>
            </w:r>
          </w:p>
        </w:tc>
        <w:tc>
          <w:tcPr>
            <w:tcW w:w="1401" w:type="dxa"/>
          </w:tcPr>
          <w:p w14:paraId="0F86D4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w:t>
            </w:r>
          </w:p>
        </w:tc>
        <w:tc>
          <w:tcPr>
            <w:tcW w:w="1401" w:type="dxa"/>
          </w:tcPr>
          <w:p w14:paraId="4282B45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10/6</w:t>
            </w:r>
          </w:p>
        </w:tc>
        <w:tc>
          <w:tcPr>
            <w:tcW w:w="1401" w:type="dxa"/>
          </w:tcPr>
          <w:p w14:paraId="2B4D6CD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1401" w:type="dxa"/>
          </w:tcPr>
          <w:p w14:paraId="5455118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w:t>
            </w:r>
          </w:p>
        </w:tc>
        <w:tc>
          <w:tcPr>
            <w:tcW w:w="1401" w:type="dxa"/>
          </w:tcPr>
          <w:p w14:paraId="5E8F36D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1401" w:type="dxa"/>
          </w:tcPr>
          <w:p w14:paraId="3737060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r>
      <w:tr w:rsidR="007C5583" w:rsidRPr="008127F8" w14:paraId="0C90F15F" w14:textId="77777777" w:rsidTr="004C5D62">
        <w:tc>
          <w:tcPr>
            <w:tcW w:w="1401" w:type="dxa"/>
          </w:tcPr>
          <w:p w14:paraId="552F3BD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ВВС КБФ</w:t>
            </w:r>
          </w:p>
        </w:tc>
        <w:tc>
          <w:tcPr>
            <w:tcW w:w="1401" w:type="dxa"/>
          </w:tcPr>
          <w:p w14:paraId="10182F7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52/17</w:t>
            </w:r>
          </w:p>
        </w:tc>
        <w:tc>
          <w:tcPr>
            <w:tcW w:w="1401" w:type="dxa"/>
          </w:tcPr>
          <w:p w14:paraId="0AE1486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23/7</w:t>
            </w:r>
          </w:p>
        </w:tc>
        <w:tc>
          <w:tcPr>
            <w:tcW w:w="1401" w:type="dxa"/>
          </w:tcPr>
          <w:p w14:paraId="7FA2D03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28/11</w:t>
            </w:r>
          </w:p>
        </w:tc>
        <w:tc>
          <w:tcPr>
            <w:tcW w:w="1401" w:type="dxa"/>
          </w:tcPr>
          <w:p w14:paraId="241B789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21/3</w:t>
            </w:r>
          </w:p>
        </w:tc>
        <w:tc>
          <w:tcPr>
            <w:tcW w:w="1401" w:type="dxa"/>
          </w:tcPr>
          <w:p w14:paraId="4CED4CB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w:t>
            </w:r>
          </w:p>
        </w:tc>
        <w:tc>
          <w:tcPr>
            <w:tcW w:w="1401" w:type="dxa"/>
          </w:tcPr>
          <w:p w14:paraId="46A59E0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401" w:type="dxa"/>
          </w:tcPr>
          <w:p w14:paraId="5AABD18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7C5583" w:rsidRPr="008127F8" w14:paraId="6E520191" w14:textId="77777777" w:rsidTr="004C5D62">
        <w:tc>
          <w:tcPr>
            <w:tcW w:w="1401" w:type="dxa"/>
          </w:tcPr>
          <w:p w14:paraId="2F88832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ВВС ЧФ</w:t>
            </w:r>
          </w:p>
        </w:tc>
        <w:tc>
          <w:tcPr>
            <w:tcW w:w="1401" w:type="dxa"/>
          </w:tcPr>
          <w:p w14:paraId="231B7CF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w:t>
            </w:r>
          </w:p>
        </w:tc>
        <w:tc>
          <w:tcPr>
            <w:tcW w:w="1401" w:type="dxa"/>
          </w:tcPr>
          <w:p w14:paraId="7096638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14/8</w:t>
            </w:r>
          </w:p>
        </w:tc>
        <w:tc>
          <w:tcPr>
            <w:tcW w:w="1401" w:type="dxa"/>
          </w:tcPr>
          <w:p w14:paraId="5476052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w:t>
            </w:r>
          </w:p>
        </w:tc>
        <w:tc>
          <w:tcPr>
            <w:tcW w:w="1401" w:type="dxa"/>
          </w:tcPr>
          <w:p w14:paraId="4EB120A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1401" w:type="dxa"/>
          </w:tcPr>
          <w:p w14:paraId="7C3EA54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7/3</w:t>
            </w:r>
          </w:p>
        </w:tc>
        <w:tc>
          <w:tcPr>
            <w:tcW w:w="1401" w:type="dxa"/>
          </w:tcPr>
          <w:p w14:paraId="0A582D6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1401" w:type="dxa"/>
          </w:tcPr>
          <w:p w14:paraId="73D2855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7C5583" w:rsidRPr="008127F8" w14:paraId="7126607F" w14:textId="77777777" w:rsidTr="004C5D62">
        <w:tc>
          <w:tcPr>
            <w:tcW w:w="1401" w:type="dxa"/>
            <w:tcBorders>
              <w:bottom w:val="single" w:sz="12" w:space="0" w:color="auto"/>
            </w:tcBorders>
          </w:tcPr>
          <w:p w14:paraId="5B1302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1401" w:type="dxa"/>
            <w:tcBorders>
              <w:bottom w:val="single" w:sz="12" w:space="0" w:color="auto"/>
            </w:tcBorders>
          </w:tcPr>
          <w:p w14:paraId="036308B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91/27</w:t>
            </w:r>
          </w:p>
        </w:tc>
        <w:tc>
          <w:tcPr>
            <w:tcW w:w="1401" w:type="dxa"/>
            <w:tcBorders>
              <w:bottom w:val="single" w:sz="12" w:space="0" w:color="auto"/>
            </w:tcBorders>
          </w:tcPr>
          <w:p w14:paraId="0951780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45/18</w:t>
            </w:r>
          </w:p>
        </w:tc>
        <w:tc>
          <w:tcPr>
            <w:tcW w:w="1401" w:type="dxa"/>
            <w:tcBorders>
              <w:bottom w:val="single" w:sz="12" w:space="0" w:color="auto"/>
            </w:tcBorders>
          </w:tcPr>
          <w:p w14:paraId="15762C1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46/19</w:t>
            </w:r>
          </w:p>
        </w:tc>
        <w:tc>
          <w:tcPr>
            <w:tcW w:w="1401" w:type="dxa"/>
            <w:tcBorders>
              <w:bottom w:val="single" w:sz="12" w:space="0" w:color="auto"/>
            </w:tcBorders>
          </w:tcPr>
          <w:p w14:paraId="7187154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29/4 1</w:t>
            </w:r>
          </w:p>
        </w:tc>
        <w:tc>
          <w:tcPr>
            <w:tcW w:w="1401" w:type="dxa"/>
            <w:tcBorders>
              <w:bottom w:val="single" w:sz="12" w:space="0" w:color="auto"/>
            </w:tcBorders>
          </w:tcPr>
          <w:p w14:paraId="6647F5D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9/4</w:t>
            </w:r>
          </w:p>
        </w:tc>
        <w:tc>
          <w:tcPr>
            <w:tcW w:w="1401" w:type="dxa"/>
            <w:tcBorders>
              <w:bottom w:val="single" w:sz="12" w:space="0" w:color="auto"/>
            </w:tcBorders>
          </w:tcPr>
          <w:p w14:paraId="71B044F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15/1</w:t>
            </w:r>
          </w:p>
        </w:tc>
        <w:tc>
          <w:tcPr>
            <w:tcW w:w="1401" w:type="dxa"/>
            <w:tcBorders>
              <w:bottom w:val="single" w:sz="12" w:space="0" w:color="auto"/>
            </w:tcBorders>
          </w:tcPr>
          <w:p w14:paraId="12520F6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r>
    </w:tbl>
    <w:p w14:paraId="6850E62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числителе - всего машин; в знаменателе - в том числе неисправных на данный момент (12015).</w:t>
      </w:r>
    </w:p>
    <w:p w14:paraId="029AC7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D7F519"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 мая 1942 г. три ПС-43 числились в Киевской авиагруппе, 13 - в ОАГС. Еще одна машина при эвакуации с Украины попала в Грозный, где ее присвоило летное училище ВВС. После долгой переписки самолет вернули в Северо-Кавказскую авиагруппу ГВФ. Но этот "Валти" оказался несчастливым. 27 июня 1942 г. у него на посадке не выпустилось шасси. Машина села на "брюхо" и попала в ремонт. А 24 октября при заходе на посадку в Сочи на "грозненский Валти" напали два "Мессершмитта". ПС-43 был сбит и упал в море, пилот Никонов и пассажир погибли. В 1942 году весьма оригинальную и эффективную, но непрактичную в эксплуатации американскую амортизацию шасси признали непригодной. Взамен начали ставить советские амортизаторы пневмо-гидравлического типа. К осени такую замену произвели на всех самолетах. Еще одной новинкой стало применение морозостойкой смазки в механизме уборки-выпуска шасси. Ранее пользовались американским маслом, которое при 15 градусах мороза загустевало. Поэтому зимой летали, не убирая колес, теряя 25-30 км/ч скорости (11470).</w:t>
      </w:r>
    </w:p>
    <w:p w14:paraId="25E27B34"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p>
    <w:p w14:paraId="7C9D50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May 1st, 1942: In the East, the siege of the Crimean fortress of Sevastopol by 11.Armee (von Manstein) continues with a ceaseless bombardment by batteries of heavy guns (up to 800mm: Big Dora) and hundreds of bombers (up to 1,000 sorties a day) of Luftflotte 7 (von Richthofen). Heavy fighting also continues on the front around besieged Leningrad whose inhabitants are suffering from bombing, disease and starvation (3819).</w:t>
      </w:r>
    </w:p>
    <w:p w14:paraId="3A23285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1CEB5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мая 1942 продолжилось наступление 11А (фон Манштейна) на окруженный Севастополь с использованием 800-мм орудия Дора и до 1000 самолетовылетов бомбардировщиков в год силами 7ВФ (фон Рихтхоффена). Вокруг блокированного Ленинграда также шли тяжелые бои, а в городе погибли люди (3819).</w:t>
      </w:r>
    </w:p>
    <w:p w14:paraId="2210C05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AFF11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первомайском 1942 приказе НКО в обращение было введено контрреволюционное слово офицер, но узаконено было лишь в 1943 в июльском и августовском приказах (2813,21).</w:t>
      </w:r>
    </w:p>
    <w:p w14:paraId="33C0181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69924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мая</w:t>
      </w:r>
      <w:r w:rsidRPr="008127F8">
        <w:rPr>
          <w:rFonts w:ascii="Times New Roman" w:hAnsi="Times New Roman"/>
          <w:color w:val="000000" w:themeColor="text1"/>
          <w:sz w:val="16"/>
          <w:szCs w:val="16"/>
        </w:rPr>
        <w:t xml:space="preserve"> в 1942 году Народный комиссар обороны СССР отдал приказ № 130 о задачах Красной Армии и советского народа в борьбе с фашистской Германией (14878).</w:t>
      </w:r>
    </w:p>
    <w:p w14:paraId="4C1CCEA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83002F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34EF20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C8C0E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мая 1942 Сталин пообещал союзникам, что после войны СССР не будет иметь никаких территориальных претензий к другим странам (4962).</w:t>
      </w:r>
    </w:p>
    <w:p w14:paraId="349DB65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67E4B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мая 1942 был назначен обратный полет из Данди. Командиром корабля стал Э.К. Пусэп, а на место второго пилота сел штурман майор С.М. Романов, который имел навыки управления ТБ-7 и в полете помогал капитану Пусэпу управлять самолетом. В 22 часов 05 минут самолет взлетел и взял курс на родину, имея на борту в качестве багажа дипломатическую почту, полученную у посла СССР в Англии. В 30 км от города Калинина (сегодня Тверь) ТБ- 7 был атакован вражеским истребителем. К счастью, никто не был убит или ранен, и само</w:t>
      </w:r>
      <w:r w:rsidRPr="008127F8">
        <w:rPr>
          <w:rFonts w:ascii="Times New Roman" w:hAnsi="Times New Roman"/>
          <w:color w:val="000000" w:themeColor="text1"/>
          <w:sz w:val="16"/>
          <w:szCs w:val="16"/>
        </w:rPr>
        <w:softHyphen/>
        <w:t>лет в 7 час 05 мин произвел посадку на аэро</w:t>
      </w:r>
      <w:r w:rsidRPr="008127F8">
        <w:rPr>
          <w:rFonts w:ascii="Times New Roman" w:hAnsi="Times New Roman"/>
          <w:color w:val="000000" w:themeColor="text1"/>
          <w:sz w:val="16"/>
          <w:szCs w:val="16"/>
        </w:rPr>
        <w:softHyphen/>
        <w:t>дроме Раменское. Вот отчет о совершенном полете.</w:t>
      </w:r>
      <w:r w:rsidRPr="008127F8">
        <w:rPr>
          <w:rStyle w:val="362"/>
          <w:rFonts w:ascii="Times New Roman" w:eastAsia="Calibri" w:hAnsi="Times New Roman" w:cs="Times New Roman"/>
          <w:color w:val="000000" w:themeColor="text1"/>
          <w:sz w:val="16"/>
          <w:szCs w:val="16"/>
        </w:rPr>
        <w:t xml:space="preserve"> «КОМАНДУЮЩЕМУ АВИАЦИЕЙ ДАЛЬ</w:t>
      </w:r>
      <w:r w:rsidRPr="008127F8">
        <w:rPr>
          <w:rStyle w:val="362"/>
          <w:rFonts w:ascii="Times New Roman" w:eastAsia="Calibri" w:hAnsi="Times New Roman" w:cs="Times New Roman"/>
          <w:color w:val="000000" w:themeColor="text1"/>
          <w:sz w:val="16"/>
          <w:szCs w:val="16"/>
        </w:rPr>
        <w:softHyphen/>
        <w:t>НЕГО ДЕЙСТВИЯ. ДОНЕСЕНИЕ О ВЫПОЛНЕНИИ ЗАДАНИЯ ЭКИПАЖЕМ МАЙОРА АСЯМ0ВА. Самолет ТБ-7 №42076 командир корабля майор Асямов, заместитель капитан Пусэп, штурман корабля майор Штепенко, заме</w:t>
      </w:r>
      <w:r w:rsidRPr="008127F8">
        <w:rPr>
          <w:rStyle w:val="362"/>
          <w:rFonts w:ascii="Times New Roman" w:eastAsia="Calibri" w:hAnsi="Times New Roman" w:cs="Times New Roman"/>
          <w:color w:val="000000" w:themeColor="text1"/>
          <w:sz w:val="16"/>
          <w:szCs w:val="16"/>
        </w:rPr>
        <w:softHyphen/>
        <w:t>ститель майор Романов, радист Кузьмичев, заместитель Муха нов. 28.4.42 г. в 22 час 05 мин вылетел с аэродрома Раменское на выполнение спец. задания. В 5 час 15 мин 29.4. с. г. самолет достиг аэродрома назначения. Из-за отсутствия на аэродроме ночного старта, экипаж вынужден был ждать рассвета. С рассветом, в 7.00 экипаж произвел посадку. Продолжительность полета 8 час 55 мин. Весь полет был выпол</w:t>
      </w:r>
      <w:r w:rsidRPr="008127F8">
        <w:rPr>
          <w:rStyle w:val="362"/>
          <w:rFonts w:ascii="Times New Roman" w:eastAsia="Calibri" w:hAnsi="Times New Roman" w:cs="Times New Roman"/>
          <w:color w:val="000000" w:themeColor="text1"/>
          <w:sz w:val="16"/>
          <w:szCs w:val="16"/>
        </w:rPr>
        <w:softHyphen/>
        <w:t>нен на высоте 4000 метров. Самолет в тече</w:t>
      </w:r>
      <w:r w:rsidRPr="008127F8">
        <w:rPr>
          <w:rStyle w:val="362"/>
          <w:rFonts w:ascii="Times New Roman" w:eastAsia="Calibri" w:hAnsi="Times New Roman" w:cs="Times New Roman"/>
          <w:color w:val="000000" w:themeColor="text1"/>
          <w:sz w:val="16"/>
          <w:szCs w:val="16"/>
        </w:rPr>
        <w:softHyphen/>
        <w:t>ние всего полета поддерживал связь с зем</w:t>
      </w:r>
      <w:r w:rsidRPr="008127F8">
        <w:rPr>
          <w:rStyle w:val="362"/>
          <w:rFonts w:ascii="Times New Roman" w:eastAsia="Calibri" w:hAnsi="Times New Roman" w:cs="Times New Roman"/>
          <w:color w:val="000000" w:themeColor="text1"/>
          <w:sz w:val="16"/>
          <w:szCs w:val="16"/>
        </w:rPr>
        <w:softHyphen/>
        <w:t>лей. Приводные радиосредства работали хорошо до конца посадки. В 22 час 05 мин 1.5.42 г. самолет вылетел в обратный рейс. Полет был произведен на высоте 6000-8000 метров. В 5 час 40 мин 2.5.42 г., в 30 км западнее Калинин, самолет был атакован одномоторным истребителем, по силуэту самолет был не наш. Истребитель произво</w:t>
      </w:r>
      <w:r w:rsidRPr="008127F8">
        <w:rPr>
          <w:rStyle w:val="362"/>
          <w:rFonts w:ascii="Times New Roman" w:eastAsia="Calibri" w:hAnsi="Times New Roman" w:cs="Times New Roman"/>
          <w:color w:val="000000" w:themeColor="text1"/>
          <w:sz w:val="16"/>
          <w:szCs w:val="16"/>
        </w:rPr>
        <w:softHyphen/>
        <w:t>дил атаки с дальних дистанций - до 2 км. Произвел 5-6 атак с задней полусферы, на высоте 4500 метров. Прямым попаданием снаряда калибра 20 мм пробита рамка радио</w:t>
      </w:r>
      <w:r w:rsidRPr="008127F8">
        <w:rPr>
          <w:rStyle w:val="362"/>
          <w:rFonts w:ascii="Times New Roman" w:eastAsia="Calibri" w:hAnsi="Times New Roman" w:cs="Times New Roman"/>
          <w:color w:val="000000" w:themeColor="text1"/>
          <w:sz w:val="16"/>
          <w:szCs w:val="16"/>
        </w:rPr>
        <w:softHyphen/>
        <w:t>компаса РПК-2. Наш самолет на повышенной скорости со снижением ушел от атак истре</w:t>
      </w:r>
      <w:r w:rsidRPr="008127F8">
        <w:rPr>
          <w:rStyle w:val="362"/>
          <w:rFonts w:ascii="Times New Roman" w:eastAsia="Calibri" w:hAnsi="Times New Roman" w:cs="Times New Roman"/>
          <w:color w:val="000000" w:themeColor="text1"/>
          <w:sz w:val="16"/>
          <w:szCs w:val="16"/>
        </w:rPr>
        <w:softHyphen/>
        <w:t>бителя. Воздушные стрелки кормовой и подшассийной вели огонь по истребителю. Севернее г. Калинин истребитель прекра</w:t>
      </w:r>
      <w:r w:rsidRPr="008127F8">
        <w:rPr>
          <w:rStyle w:val="362"/>
          <w:rFonts w:ascii="Times New Roman" w:eastAsia="Calibri" w:hAnsi="Times New Roman" w:cs="Times New Roman"/>
          <w:color w:val="000000" w:themeColor="text1"/>
          <w:sz w:val="16"/>
          <w:szCs w:val="16"/>
        </w:rPr>
        <w:softHyphen/>
        <w:t>тил преследование нашего самолета. В 7 час 05 мин 2.5.42 г. экипаж произвел посадку на аэродроме Раменское. Продолжительность полета 9 часов. Общий налет в оба конца 17 час 55 мин ночью. Командир полка полковник Лебедев. Военком полка ст. бат. комиссар Брюзгин. Нач. штаба подполковник Иващен</w:t>
      </w:r>
      <w:r w:rsidRPr="008127F8">
        <w:rPr>
          <w:rStyle w:val="36Arial8pt"/>
          <w:rFonts w:ascii="Times New Roman" w:eastAsiaTheme="minorHAnsi" w:hAnsi="Times New Roman" w:cs="Times New Roman"/>
          <w:color w:val="000000" w:themeColor="text1"/>
        </w:rPr>
        <w:t>ко».</w:t>
      </w:r>
    </w:p>
    <w:p w14:paraId="29BE2F8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время пребывания ТБ-7 №42076 в Анг</w:t>
      </w:r>
      <w:r w:rsidRPr="008127F8">
        <w:rPr>
          <w:rFonts w:ascii="Times New Roman" w:hAnsi="Times New Roman"/>
          <w:color w:val="000000" w:themeColor="text1"/>
          <w:sz w:val="16"/>
          <w:szCs w:val="16"/>
        </w:rPr>
        <w:softHyphen/>
        <w:t>лии, оставшийся дома ТБ-7 №42066 вряд ли выполнял боевые вылеты. Хотя в одном бое</w:t>
      </w:r>
      <w:r w:rsidRPr="008127F8">
        <w:rPr>
          <w:rFonts w:ascii="Times New Roman" w:hAnsi="Times New Roman"/>
          <w:color w:val="000000" w:themeColor="text1"/>
          <w:sz w:val="16"/>
          <w:szCs w:val="16"/>
        </w:rPr>
        <w:softHyphen/>
        <w:t>вом донесении полка не указаны заводские номера самолетов, так что теоретически воз</w:t>
      </w:r>
      <w:r w:rsidRPr="008127F8">
        <w:rPr>
          <w:rFonts w:ascii="Times New Roman" w:hAnsi="Times New Roman"/>
          <w:color w:val="000000" w:themeColor="text1"/>
          <w:sz w:val="16"/>
          <w:szCs w:val="16"/>
        </w:rPr>
        <w:softHyphen/>
        <w:t>можно, что он с другим командиром и штур</w:t>
      </w:r>
      <w:r w:rsidRPr="008127F8">
        <w:rPr>
          <w:rFonts w:ascii="Times New Roman" w:hAnsi="Times New Roman"/>
          <w:color w:val="000000" w:themeColor="text1"/>
          <w:sz w:val="16"/>
          <w:szCs w:val="16"/>
        </w:rPr>
        <w:softHyphen/>
        <w:t>маном слетал на боевое задание (19936).</w:t>
      </w:r>
    </w:p>
    <w:p w14:paraId="003208D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A8AD0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5A6678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9258FF" w14:textId="77777777" w:rsidR="00EA108A" w:rsidRPr="008A2E5A" w:rsidRDefault="00EA108A" w:rsidP="00EA10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мая 1943 г. Александер Липпиш из- за прохладных отношений с Вилли Мессершмиттом покинул его фирму. Мессершмитт занимался доводкой сво</w:t>
      </w:r>
      <w:r w:rsidRPr="008A2E5A">
        <w:rPr>
          <w:rFonts w:ascii="Times New Roman" w:hAnsi="Times New Roman"/>
          <w:color w:val="0070C0"/>
          <w:sz w:val="16"/>
          <w:szCs w:val="16"/>
        </w:rPr>
        <w:softHyphen/>
        <w:t>его турбореактивного Ме. 262, и до чу</w:t>
      </w:r>
      <w:r w:rsidRPr="008A2E5A">
        <w:rPr>
          <w:rFonts w:ascii="Times New Roman" w:hAnsi="Times New Roman"/>
          <w:color w:val="0070C0"/>
          <w:sz w:val="16"/>
          <w:szCs w:val="16"/>
        </w:rPr>
        <w:softHyphen/>
        <w:t>жого» 163-го ему не было никакого дела. После этого завод в Регенсбурге отвечал только за доводку и вьшуск 70 предсерийных самолетов. Общая координа</w:t>
      </w:r>
      <w:r w:rsidRPr="008A2E5A">
        <w:rPr>
          <w:rFonts w:ascii="Times New Roman" w:hAnsi="Times New Roman"/>
          <w:color w:val="0070C0"/>
          <w:sz w:val="16"/>
          <w:szCs w:val="16"/>
        </w:rPr>
        <w:softHyphen/>
        <w:t>ция работ перешла к Юешт Technik GmbH в Штуттгарте, которая отвечала и за выпуск серийных Ме.163В. От</w:t>
      </w:r>
      <w:r w:rsidRPr="008A2E5A">
        <w:rPr>
          <w:rFonts w:ascii="Times New Roman" w:hAnsi="Times New Roman"/>
          <w:color w:val="0070C0"/>
          <w:sz w:val="16"/>
          <w:szCs w:val="16"/>
        </w:rPr>
        <w:softHyphen/>
        <w:t>дельные узлы поставляли многие заво</w:t>
      </w:r>
      <w:r w:rsidRPr="008A2E5A">
        <w:rPr>
          <w:rFonts w:ascii="Times New Roman" w:hAnsi="Times New Roman"/>
          <w:color w:val="0070C0"/>
          <w:sz w:val="16"/>
          <w:szCs w:val="16"/>
        </w:rPr>
        <w:softHyphen/>
        <w:t>ды по всей Германии, сборка проводи</w:t>
      </w:r>
      <w:r w:rsidRPr="008A2E5A">
        <w:rPr>
          <w:rFonts w:ascii="Times New Roman" w:hAnsi="Times New Roman"/>
          <w:color w:val="0070C0"/>
          <w:sz w:val="16"/>
          <w:szCs w:val="16"/>
        </w:rPr>
        <w:softHyphen/>
        <w:t>лась на заводе в Шварцвальде (23388).</w:t>
      </w:r>
    </w:p>
    <w:p w14:paraId="696D09BF" w14:textId="77777777" w:rsidR="00EA108A" w:rsidRPr="008A2E5A" w:rsidRDefault="00EA108A" w:rsidP="00EA108A">
      <w:pPr>
        <w:spacing w:after="0" w:line="240" w:lineRule="auto"/>
        <w:jc w:val="both"/>
        <w:rPr>
          <w:rFonts w:ascii="Times New Roman" w:hAnsi="Times New Roman"/>
          <w:color w:val="0070C0"/>
          <w:sz w:val="16"/>
          <w:szCs w:val="16"/>
        </w:rPr>
      </w:pPr>
    </w:p>
    <w:p w14:paraId="282CED7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мая</w:t>
      </w:r>
      <w:r w:rsidRPr="008127F8">
        <w:rPr>
          <w:rFonts w:ascii="Times New Roman" w:hAnsi="Times New Roman"/>
          <w:color w:val="000000" w:themeColor="text1"/>
          <w:sz w:val="16"/>
          <w:szCs w:val="16"/>
        </w:rPr>
        <w:t xml:space="preserve"> в 1942 году состоялся первый полет первого прототипа самолета </w:t>
      </w:r>
      <w:hyperlink r:id="rId5" w:tgtFrame="_blank" w:history="1">
        <w:r w:rsidRPr="008127F8">
          <w:rPr>
            <w:rFonts w:ascii="Times New Roman" w:hAnsi="Times New Roman"/>
            <w:color w:val="000000" w:themeColor="text1"/>
            <w:sz w:val="16"/>
            <w:szCs w:val="16"/>
          </w:rPr>
          <w:t xml:space="preserve">«М.35» </w:t>
        </w:r>
      </w:hyperlink>
      <w:r w:rsidRPr="008127F8">
        <w:rPr>
          <w:rFonts w:ascii="Times New Roman" w:hAnsi="Times New Roman"/>
          <w:color w:val="000000" w:themeColor="text1"/>
          <w:sz w:val="16"/>
          <w:szCs w:val="16"/>
        </w:rPr>
        <w:t>(под временным регистрационным номером «U-0235»). Первоначально пилот Джордж Майлз планировал назвать самолет «Dragonfly», но так как такое имя уже использовалось у самолета «de Havilland» «DH.90», было решено дать проекту имя «Libellula» (14878).</w:t>
      </w:r>
    </w:p>
    <w:p w14:paraId="5E9DB0A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28F2E7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мая 1942 года состоялся первый полет </w:t>
      </w:r>
      <w:r w:rsidRPr="008127F8">
        <w:rPr>
          <w:rFonts w:ascii="Times New Roman" w:hAnsi="Times New Roman"/>
          <w:color w:val="000000" w:themeColor="text1"/>
          <w:sz w:val="16"/>
          <w:szCs w:val="16"/>
          <w:lang w:val="en-US"/>
        </w:rPr>
        <w:t>Miles</w:t>
      </w:r>
      <w:r w:rsidRP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xml:space="preserve">.35 </w:t>
      </w:r>
      <w:r w:rsidRPr="008127F8">
        <w:rPr>
          <w:rFonts w:ascii="Times New Roman" w:hAnsi="Times New Roman"/>
          <w:color w:val="000000" w:themeColor="text1"/>
          <w:sz w:val="16"/>
          <w:szCs w:val="16"/>
          <w:lang w:val="en-US"/>
        </w:rPr>
        <w:t>Libellula</w:t>
      </w:r>
      <w:r w:rsidRPr="008127F8">
        <w:rPr>
          <w:rFonts w:ascii="Times New Roman" w:hAnsi="Times New Roman"/>
          <w:color w:val="000000" w:themeColor="text1"/>
          <w:sz w:val="16"/>
          <w:szCs w:val="16"/>
        </w:rPr>
        <w:t xml:space="preserve"> (20793).</w:t>
      </w:r>
    </w:p>
    <w:p w14:paraId="29F67AB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FCEEFD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мая 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Состоялся первый полет первого прототипа самолета М.35 (под временным регистрационным номером U-0235). Первоначально пилот Джордж Майлз планировал назвать самолет Dragonfly, но так как такое имя уже использовалось у самолета de Havilland DH.90, было решено дать проекту имя Libellula. Это должен быть палубный истребитель с тандемным крылом, в серии не строился (22516).</w:t>
      </w:r>
    </w:p>
    <w:p w14:paraId="70D3BC6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5EFCFB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мая</w:t>
      </w:r>
      <w:r w:rsidRPr="008127F8">
        <w:rPr>
          <w:rFonts w:ascii="Times New Roman" w:hAnsi="Times New Roman"/>
          <w:color w:val="000000" w:themeColor="text1"/>
          <w:sz w:val="16"/>
          <w:szCs w:val="16"/>
        </w:rPr>
        <w:t xml:space="preserve"> в 1942 году в Англии начались испытания (по 11 июля) по сокращенной программе самолет </w:t>
      </w:r>
      <w:hyperlink r:id="rId6" w:tgtFrame="_blank" w:history="1">
        <w:r w:rsidRPr="008127F8">
          <w:rPr>
            <w:rFonts w:ascii="Times New Roman" w:hAnsi="Times New Roman"/>
            <w:color w:val="000000" w:themeColor="text1"/>
            <w:sz w:val="16"/>
            <w:szCs w:val="16"/>
          </w:rPr>
          <w:t xml:space="preserve">«Р-322» «Лайтнинг» </w:t>
        </w:r>
      </w:hyperlink>
      <w:r w:rsidRPr="008127F8">
        <w:rPr>
          <w:rFonts w:ascii="Times New Roman" w:hAnsi="Times New Roman"/>
          <w:color w:val="000000" w:themeColor="text1"/>
          <w:sz w:val="16"/>
          <w:szCs w:val="16"/>
        </w:rPr>
        <w:t>с номером «AF 106». Как указывалось в выпущенном впоследствии отчете его "скорость была ограничена величиной 483 км/ч из-за аварий, произошедших на более высоких скоростях". В период испытаний самолет летал с максимальной полетной массой 6292 кг (14878).</w:t>
      </w:r>
    </w:p>
    <w:p w14:paraId="5BFFF1D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4EDFA4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мая</w:t>
      </w:r>
      <w:r w:rsidRPr="008127F8">
        <w:rPr>
          <w:rFonts w:ascii="Times New Roman" w:hAnsi="Times New Roman"/>
          <w:color w:val="000000" w:themeColor="text1"/>
          <w:sz w:val="16"/>
          <w:szCs w:val="16"/>
        </w:rPr>
        <w:t xml:space="preserve"> в 1942 году в Германии получено 3 тонны чистого порошкового урана (14878).</w:t>
      </w:r>
    </w:p>
    <w:p w14:paraId="38A77DF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C973B9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мая 1942 в Атлантике из-за тумана английский линкор “Георг V” потопил свой же эсминец “Пенджаб” (4962).</w:t>
      </w:r>
    </w:p>
    <w:p w14:paraId="20D64D8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67F71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мая 1942 в Турине состоялись массовые антивоенные выступления рабочих (3186).</w:t>
      </w:r>
    </w:p>
    <w:p w14:paraId="277E69F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B52A2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мая 1942 японская 15А заняла Синвей и Мандалай (Северная Бирма) (3186).</w:t>
      </w:r>
    </w:p>
    <w:p w14:paraId="3C1F4E8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14262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мая 1942 англичане эвакуировались из Mandalao (2261).</w:t>
      </w:r>
    </w:p>
    <w:p w14:paraId="5809485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2A049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мая</w:t>
      </w:r>
      <w:r w:rsidRPr="008127F8">
        <w:rPr>
          <w:rFonts w:ascii="Times New Roman" w:hAnsi="Times New Roman"/>
          <w:color w:val="000000" w:themeColor="text1"/>
          <w:sz w:val="16"/>
          <w:szCs w:val="16"/>
        </w:rPr>
        <w:t xml:space="preserve"> в 1942 году в Бирме (современная Мьянма) японские войска вступили Синвей и Мандалай, а британская армия отступила по Чиндвинской долине в Индию (14878).</w:t>
      </w:r>
    </w:p>
    <w:p w14:paraId="21FE981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F1D09E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мая</w:t>
      </w:r>
      <w:r w:rsidRPr="008127F8">
        <w:rPr>
          <w:rFonts w:ascii="Times New Roman" w:hAnsi="Times New Roman"/>
          <w:color w:val="000000" w:themeColor="text1"/>
          <w:sz w:val="16"/>
          <w:szCs w:val="16"/>
        </w:rPr>
        <w:t xml:space="preserve"> в 1942 году ЦК компартии США обратился к американскому народу с призывом усилить оказание помощи Советскому Союзу (14878).</w:t>
      </w:r>
    </w:p>
    <w:p w14:paraId="581216E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90534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мая 1942 в странах Латинской Америки состоялись массовые демонстрации с требованием пресечения деятельности фашистской агентуры (3186).</w:t>
      </w:r>
    </w:p>
    <w:p w14:paraId="67BE95A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805F5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78D587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CE95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1942 вышло постановление ГКО от N 1680сс (1552,4).</w:t>
      </w:r>
    </w:p>
    <w:p w14:paraId="3A3911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5101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1942 вышло Постановление ГКО № 1680 О самолетах Як-1 и Як-7, которые оборудуются бомбодержателями. РГАНИР, Фонд ГКО, д. 32, лл. 98 (11012).</w:t>
      </w:r>
    </w:p>
    <w:p w14:paraId="50BA73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DEDF8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1942 вышло Постановление ГКО № 1680 (о самолетах Як-1 и Як-7, которые оборудуются бомбодержателями):</w:t>
      </w:r>
    </w:p>
    <w:p w14:paraId="5031F62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изменение постановления № 1663сс от 26 апреля Государственный Комитет Обороны постановляет:</w:t>
      </w:r>
    </w:p>
    <w:p w14:paraId="27BD84F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Обязать Нарксмавиапром тор.Шахурина и тов.Яковлева выпускать самолеты Як-1 и Як-7 оборудованными бомбодержателями, обеспечивающими подвеску двух бомб по 100 кг. или двух бомб по 50 кг. или двух бомб по 25 кг. и с четырьмя реактивными орудиями вместо шести, устанавливаемых в настоящее время (19213).</w:t>
      </w:r>
    </w:p>
    <w:p w14:paraId="2CA3048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4F147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1942 постановление ГКО разрешило 292 заводу снизить число РО с 6 до 4 на Як-1, а 10 июня - новое - снять совсем в связи с потерей скорости (198,41).</w:t>
      </w:r>
    </w:p>
    <w:p w14:paraId="375B28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было разрешено в связи с тем, что с 25 мая должно было начать устанавливаться бомбардировочное вооружение (35,52).</w:t>
      </w:r>
    </w:p>
    <w:p w14:paraId="3F206D5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Выход постановления ГКО от 2 мая 1942 г., повлекший ухудшение летных характеристик истребителей, мог быть продиктован лишь недостаточной эффективностью действий штурмовой и бомбардировочной авиации (453).</w:t>
      </w:r>
    </w:p>
    <w:p w14:paraId="5A0F37C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другим данным это постановление предусмотрело установку бомбардировочного вооружения (2хБИ-42 для ФАБ-25-100) с 25 мая 1942 (65,52).</w:t>
      </w:r>
    </w:p>
    <w:p w14:paraId="14DCE9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E4E63E" w14:textId="77777777" w:rsidR="00EA108A" w:rsidRPr="008A2E5A" w:rsidRDefault="00EA108A" w:rsidP="00EA10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мая 1942 постановлением ГКО №1680сс (дублиру</w:t>
      </w:r>
      <w:r w:rsidRPr="008A2E5A">
        <w:rPr>
          <w:rFonts w:ascii="Times New Roman" w:hAnsi="Times New Roman"/>
          <w:color w:val="0070C0"/>
          <w:sz w:val="16"/>
          <w:szCs w:val="16"/>
        </w:rPr>
        <w:softHyphen/>
        <w:t>ющий приказ наркома авиапромышленности №361 сс от 8 мая 1942 г.) количество бомбодержателей на истребителях «Як» сократили до двух, позволявших подвешивать авиа</w:t>
      </w:r>
      <w:r w:rsidRPr="008A2E5A">
        <w:rPr>
          <w:rFonts w:ascii="Times New Roman" w:hAnsi="Times New Roman"/>
          <w:color w:val="0070C0"/>
          <w:sz w:val="16"/>
          <w:szCs w:val="16"/>
        </w:rPr>
        <w:softHyphen/>
        <w:t>бомбы калибром от 25 до 100 кг, а РО - до четырех.</w:t>
      </w:r>
    </w:p>
    <w:p w14:paraId="2B618ABA" w14:textId="77777777" w:rsidR="00EA108A" w:rsidRPr="008A2E5A" w:rsidRDefault="00EA108A" w:rsidP="00EA10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производстве на заводе №153 установку бомбодер</w:t>
      </w:r>
      <w:r w:rsidRPr="008A2E5A">
        <w:rPr>
          <w:rFonts w:ascii="Times New Roman" w:hAnsi="Times New Roman"/>
          <w:color w:val="0070C0"/>
          <w:sz w:val="16"/>
          <w:szCs w:val="16"/>
        </w:rPr>
        <w:softHyphen/>
        <w:t>жателей внедрили с 1 июля 1942 г. (с 23-й серии). Управ</w:t>
      </w:r>
      <w:r w:rsidRPr="008A2E5A">
        <w:rPr>
          <w:rFonts w:ascii="Times New Roman" w:hAnsi="Times New Roman"/>
          <w:color w:val="0070C0"/>
          <w:sz w:val="16"/>
          <w:szCs w:val="16"/>
        </w:rPr>
        <w:softHyphen/>
        <w:t>ление замками держателей, сначала Дер-31, а затем БИ- 42, осуществлялось механически посредством тросовой проводки от ручки у левого пульта в кабине летчика. Для возможности подвески выливных авиационных приборов ВАП-6 на самолетах дополнительно монтировалась элек</w:t>
      </w:r>
      <w:r w:rsidRPr="008A2E5A">
        <w:rPr>
          <w:rFonts w:ascii="Times New Roman" w:hAnsi="Times New Roman"/>
          <w:color w:val="0070C0"/>
          <w:sz w:val="16"/>
          <w:szCs w:val="16"/>
        </w:rPr>
        <w:softHyphen/>
        <w:t>тропроводка управления ВАП. Пусковая кнопка под кол</w:t>
      </w:r>
      <w:r w:rsidRPr="008A2E5A">
        <w:rPr>
          <w:rFonts w:ascii="Times New Roman" w:hAnsi="Times New Roman"/>
          <w:color w:val="0070C0"/>
          <w:sz w:val="16"/>
          <w:szCs w:val="16"/>
        </w:rPr>
        <w:softHyphen/>
        <w:t>пачком устанавливалась на левом пульте у приборной до</w:t>
      </w:r>
      <w:r w:rsidRPr="008A2E5A">
        <w:rPr>
          <w:rFonts w:ascii="Times New Roman" w:hAnsi="Times New Roman"/>
          <w:color w:val="0070C0"/>
          <w:sz w:val="16"/>
          <w:szCs w:val="16"/>
        </w:rPr>
        <w:softHyphen/>
        <w:t>ски. Сброс ВАП, как и бомб, - механическим способом. Бомбовое вооружение испытали на заводе при полигон</w:t>
      </w:r>
      <w:r w:rsidRPr="008A2E5A">
        <w:rPr>
          <w:rFonts w:ascii="Times New Roman" w:hAnsi="Times New Roman"/>
          <w:color w:val="0070C0"/>
          <w:sz w:val="16"/>
          <w:szCs w:val="16"/>
        </w:rPr>
        <w:softHyphen/>
        <w:t>ных испытаниях Як-7Б №2315310 , которые закончились с положительным результатом. Из-за падения максималь</w:t>
      </w:r>
      <w:r w:rsidRPr="008A2E5A">
        <w:rPr>
          <w:rFonts w:ascii="Times New Roman" w:hAnsi="Times New Roman"/>
          <w:color w:val="0070C0"/>
          <w:sz w:val="16"/>
          <w:szCs w:val="16"/>
        </w:rPr>
        <w:softHyphen/>
        <w:t>ных скоростей серийных самолетов установку бомбово</w:t>
      </w:r>
      <w:r w:rsidRPr="008A2E5A">
        <w:rPr>
          <w:rFonts w:ascii="Times New Roman" w:hAnsi="Times New Roman"/>
          <w:color w:val="0070C0"/>
          <w:sz w:val="16"/>
          <w:szCs w:val="16"/>
        </w:rPr>
        <w:softHyphen/>
        <w:t>го вооружения временно прекратили с 30-й серии и воз</w:t>
      </w:r>
      <w:r w:rsidRPr="008A2E5A">
        <w:rPr>
          <w:rFonts w:ascii="Times New Roman" w:hAnsi="Times New Roman"/>
          <w:color w:val="0070C0"/>
          <w:sz w:val="16"/>
          <w:szCs w:val="16"/>
        </w:rPr>
        <w:softHyphen/>
        <w:t>обновили после проведения на серийных машинах реко</w:t>
      </w:r>
      <w:r w:rsidRPr="008A2E5A">
        <w:rPr>
          <w:rFonts w:ascii="Times New Roman" w:hAnsi="Times New Roman"/>
          <w:color w:val="0070C0"/>
          <w:sz w:val="16"/>
          <w:szCs w:val="16"/>
        </w:rPr>
        <w:softHyphen/>
        <w:t>мендованных ОКБ мероприятий с самолета №3115361. На заводе №82 бомбовое вооружение начали устанавли</w:t>
      </w:r>
      <w:r w:rsidRPr="008A2E5A">
        <w:rPr>
          <w:rFonts w:ascii="Times New Roman" w:hAnsi="Times New Roman"/>
          <w:color w:val="0070C0"/>
          <w:sz w:val="16"/>
          <w:szCs w:val="16"/>
        </w:rPr>
        <w:softHyphen/>
        <w:t>вать с машины №820205.</w:t>
      </w:r>
    </w:p>
    <w:p w14:paraId="5813CFDF" w14:textId="77777777" w:rsidR="00EA108A" w:rsidRPr="008A2E5A" w:rsidRDefault="00EA108A" w:rsidP="00EA10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1943 г. на Як-7Б производилась опытная установка держателей Д-2-42 конструкции завода №43. Держате</w:t>
      </w:r>
      <w:r w:rsidRPr="008A2E5A">
        <w:rPr>
          <w:rFonts w:ascii="Times New Roman" w:hAnsi="Times New Roman"/>
          <w:color w:val="0070C0"/>
          <w:sz w:val="16"/>
          <w:szCs w:val="16"/>
        </w:rPr>
        <w:softHyphen/>
        <w:t>ли предназначались для подвески и сбрасывания авиа</w:t>
      </w:r>
      <w:r w:rsidRPr="008A2E5A">
        <w:rPr>
          <w:rFonts w:ascii="Times New Roman" w:hAnsi="Times New Roman"/>
          <w:color w:val="0070C0"/>
          <w:sz w:val="16"/>
          <w:szCs w:val="16"/>
        </w:rPr>
        <w:softHyphen/>
        <w:t>бомб калибром от 25 до 100 кг и выливных авиаприборов В-100, В-6М (8-В-116М). Основной особенностью держателей являлась уборка ухватов после сбрасывания груза и однопроводная система управления сбросом. Несмо</w:t>
      </w:r>
      <w:r w:rsidRPr="008A2E5A">
        <w:rPr>
          <w:rFonts w:ascii="Times New Roman" w:hAnsi="Times New Roman"/>
          <w:color w:val="0070C0"/>
          <w:sz w:val="16"/>
          <w:szCs w:val="16"/>
        </w:rPr>
        <w:softHyphen/>
        <w:t>тря на цикл доводочных испытаний, проведенных в мае, августе, ноябре 1943 и январе 1944 г., полностью устра</w:t>
      </w:r>
      <w:r w:rsidRPr="008A2E5A">
        <w:rPr>
          <w:rFonts w:ascii="Times New Roman" w:hAnsi="Times New Roman"/>
          <w:color w:val="0070C0"/>
          <w:sz w:val="16"/>
          <w:szCs w:val="16"/>
        </w:rPr>
        <w:softHyphen/>
        <w:t>нить производственные и конструктивные недостатки держателей не удалось (23381).</w:t>
      </w:r>
    </w:p>
    <w:p w14:paraId="0B1A70BC" w14:textId="77777777" w:rsidR="00EA108A" w:rsidRPr="008A2E5A" w:rsidRDefault="00EA108A" w:rsidP="00EA108A">
      <w:pPr>
        <w:spacing w:after="0" w:line="240" w:lineRule="auto"/>
        <w:jc w:val="both"/>
        <w:rPr>
          <w:rFonts w:ascii="Times New Roman" w:hAnsi="Times New Roman"/>
          <w:color w:val="0070C0"/>
          <w:sz w:val="16"/>
          <w:szCs w:val="16"/>
        </w:rPr>
      </w:pPr>
    </w:p>
    <w:p w14:paraId="79F8888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1942 г. ре</w:t>
      </w:r>
      <w:r w:rsidRPr="008127F8">
        <w:rPr>
          <w:rFonts w:ascii="Times New Roman" w:hAnsi="Times New Roman"/>
          <w:color w:val="000000" w:themeColor="text1"/>
          <w:sz w:val="16"/>
          <w:szCs w:val="16"/>
        </w:rPr>
        <w:softHyphen/>
        <w:t>активную систему Як-1, которая включала шесть РС-82, в соответствии с по</w:t>
      </w:r>
      <w:r w:rsidRPr="008127F8">
        <w:rPr>
          <w:rFonts w:ascii="Times New Roman" w:hAnsi="Times New Roman"/>
          <w:color w:val="000000" w:themeColor="text1"/>
          <w:sz w:val="16"/>
          <w:szCs w:val="16"/>
        </w:rPr>
        <w:softHyphen/>
        <w:t>становлением ГКО, для увеличения доли бомбового воо</w:t>
      </w:r>
      <w:r w:rsidRPr="008127F8">
        <w:rPr>
          <w:rFonts w:ascii="Times New Roman" w:hAnsi="Times New Roman"/>
          <w:color w:val="000000" w:themeColor="text1"/>
          <w:sz w:val="16"/>
          <w:szCs w:val="16"/>
        </w:rPr>
        <w:softHyphen/>
        <w:t>ружения, сократили до четырех РС-82. Пуск РС осуществляли боевой кнопкой на РУС. Как и для стрельбы из пушки, использовали кольцевой механический прицел ВВ-1 (визир Васильева). Наведение са</w:t>
      </w:r>
      <w:r w:rsidRPr="008127F8">
        <w:rPr>
          <w:rFonts w:ascii="Times New Roman" w:hAnsi="Times New Roman"/>
          <w:color w:val="000000" w:themeColor="text1"/>
          <w:sz w:val="16"/>
          <w:szCs w:val="16"/>
        </w:rPr>
        <w:softHyphen/>
        <w:t>молета на наземную цель осуществлялось «по втулке воздушного винта» или трассам пулеметов. В момент выстрела ощущался незначительный толчок (вздрагивание) самолета. Подвеска шести РС-82 увеличивала взлетную массу Як-1 примерно до 2995 кг и ухудшала его аэродинамику, что, как и в случае подвески бомб, отрицательно сказывалось на летных характеристиках машины.</w:t>
      </w:r>
    </w:p>
    <w:p w14:paraId="4E9AC01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мнению А.Степанца, автора книги «Истребители Як периода Ве</w:t>
      </w:r>
      <w:r w:rsidRPr="008127F8">
        <w:rPr>
          <w:rFonts w:ascii="Times New Roman" w:hAnsi="Times New Roman"/>
          <w:color w:val="000000" w:themeColor="text1"/>
          <w:sz w:val="16"/>
          <w:szCs w:val="16"/>
        </w:rPr>
        <w:softHyphen/>
        <w:t>ликой Отечественной войны», несмотря на это, «реактивным вооруже</w:t>
      </w:r>
      <w:r w:rsidRPr="008127F8">
        <w:rPr>
          <w:rFonts w:ascii="Times New Roman" w:hAnsi="Times New Roman"/>
          <w:color w:val="000000" w:themeColor="text1"/>
          <w:sz w:val="16"/>
          <w:szCs w:val="16"/>
        </w:rPr>
        <w:softHyphen/>
        <w:t>нием на Як-1 летчики были довольны и весьма одобрительно отзыва</w:t>
      </w:r>
      <w:r w:rsidRPr="008127F8">
        <w:rPr>
          <w:rFonts w:ascii="Times New Roman" w:hAnsi="Times New Roman"/>
          <w:color w:val="000000" w:themeColor="text1"/>
          <w:sz w:val="16"/>
          <w:szCs w:val="16"/>
        </w:rPr>
        <w:softHyphen/>
        <w:t>лись о нем. Его использование по воздушным целям (особенно при ло</w:t>
      </w:r>
      <w:r w:rsidRPr="008127F8">
        <w:rPr>
          <w:rFonts w:ascii="Times New Roman" w:hAnsi="Times New Roman"/>
          <w:color w:val="000000" w:themeColor="text1"/>
          <w:sz w:val="16"/>
          <w:szCs w:val="16"/>
        </w:rPr>
        <w:softHyphen/>
        <w:t>бовых атаках) обладало сильным моральным эффектом. Прямое попа</w:t>
      </w:r>
      <w:r w:rsidRPr="008127F8">
        <w:rPr>
          <w:rFonts w:ascii="Times New Roman" w:hAnsi="Times New Roman"/>
          <w:color w:val="000000" w:themeColor="text1"/>
          <w:sz w:val="16"/>
          <w:szCs w:val="16"/>
        </w:rPr>
        <w:softHyphen/>
        <w:t>дание РС было не обязательным — от разрыва его БЧ вблизи самолета цель также оказывалась сбитой при стрельбе на дистанциях 500-800 м. Однако малый опыт стрельбы РС-82 и боязнь израсходовать сразу весь боезапас приводил к большому их рассеиванию и к низкой результатив</w:t>
      </w:r>
      <w:r w:rsidRPr="008127F8">
        <w:rPr>
          <w:rFonts w:ascii="Times New Roman" w:hAnsi="Times New Roman"/>
          <w:color w:val="000000" w:themeColor="text1"/>
          <w:sz w:val="16"/>
          <w:szCs w:val="16"/>
        </w:rPr>
        <w:softHyphen/>
        <w:t>ности по маневрирующим воздушным целям. После 10 мая 1942 г. очень многие наши летчики были недовольны приказом снять РС-82 с Як-1 и Як-7».</w:t>
      </w:r>
    </w:p>
    <w:p w14:paraId="21C827C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1941-1942 гг. испытали несколько серийных самолетов Як-1 реак</w:t>
      </w:r>
      <w:r w:rsidRPr="008127F8">
        <w:rPr>
          <w:rFonts w:ascii="Times New Roman" w:hAnsi="Times New Roman"/>
          <w:color w:val="000000" w:themeColor="text1"/>
          <w:sz w:val="16"/>
          <w:szCs w:val="16"/>
        </w:rPr>
        <w:softHyphen/>
        <w:t>тивным вооружением, а также получили исчерпывающие данные о вли</w:t>
      </w:r>
      <w:r w:rsidRPr="008127F8">
        <w:rPr>
          <w:rFonts w:ascii="Times New Roman" w:hAnsi="Times New Roman"/>
          <w:color w:val="000000" w:themeColor="text1"/>
          <w:sz w:val="16"/>
          <w:szCs w:val="16"/>
        </w:rPr>
        <w:softHyphen/>
        <w:t>янии подвешенных пусковых установок и ракет на ЛТХ самолета (11402).</w:t>
      </w:r>
    </w:p>
    <w:p w14:paraId="16AA7C3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6D41E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1942 в связи с введением в систему вооружения балочных держателей для авиабомб, постановлением ГКО от для снижения лобового сопро</w:t>
      </w:r>
      <w:r w:rsidRPr="008127F8">
        <w:rPr>
          <w:rFonts w:ascii="Times New Roman" w:hAnsi="Times New Roman"/>
          <w:color w:val="000000" w:themeColor="text1"/>
          <w:sz w:val="16"/>
          <w:szCs w:val="16"/>
        </w:rPr>
        <w:softHyphen/>
        <w:t>тивления Як-1 заводу №292 разрешили уменьшить число направляющих с шести до четырех. Но, спустя неделю, ссылаясь на постановление ГКО от 10 мая, их сняли совсем. Основная причина - потеря скорости до 30 км/ч при наличии на Як-1 РО-82 с подвешенными РС. Все это здорово напоминает старый анекдот советских времен: «Научитесь плавать, -; нальем вам воду в бассейн...» (11402).</w:t>
      </w:r>
    </w:p>
    <w:p w14:paraId="6B85D33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03F95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1942 г. в связи с введением в систему вооружения балочных держателей для подвески авиабомб постановлением ГКО от для снижения лобового сопротивления заводу № 292 разрешили уменьшить число устанавливаемых на Як-1 РО с шести до четырех. А постановлением ГКО от 10 мая их сняли совсем. Основной из причин, повлиявших на это решение, была большая потеря скорости (до 30 км/ч) при наличии на самолете РО-82 с подвешенными PC (12048).</w:t>
      </w:r>
    </w:p>
    <w:p w14:paraId="1B8024F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15F1D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мая в 1942 году в связи с введением в систему вооружения балочных держателей для подвески авиабомб постановлением ГКО от 2 мая 1942 г. для снижения лобового сопротивления заводу № 292 разрешили уменьшить число устанавливаемых на ударный истребитель </w:t>
      </w:r>
      <w:hyperlink r:id="rId7" w:tgtFrame="_blank" w:history="1">
        <w:r w:rsidRPr="008127F8">
          <w:rPr>
            <w:rFonts w:ascii="Times New Roman" w:hAnsi="Times New Roman"/>
            <w:color w:val="000000" w:themeColor="text1"/>
            <w:sz w:val="16"/>
            <w:szCs w:val="16"/>
          </w:rPr>
          <w:t xml:space="preserve">«Як-1» </w:t>
        </w:r>
      </w:hyperlink>
      <w:r w:rsidRPr="008127F8">
        <w:rPr>
          <w:rFonts w:ascii="Times New Roman" w:hAnsi="Times New Roman"/>
          <w:color w:val="000000" w:themeColor="text1"/>
          <w:sz w:val="16"/>
          <w:szCs w:val="16"/>
        </w:rPr>
        <w:t>реактивных орудий «РО-82» с шести до четырех. А постановлением ГКО от 10 мая их сняли совсем. Основной из причин, повлиявших на это решение, была большая потеря скорости (до 30 км/ч) при наличии на самолете «РО-82» с подвешенными PC. Всего было построено 1148 «Як-1» с «РС-82» (14879).</w:t>
      </w:r>
    </w:p>
    <w:p w14:paraId="4AEB991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B5D45AC"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2 мая 1942 известный аэродинамик профессор ВВА им. Н. Е. Жуковского В. С. Пышнов в своем отзыве от отмечал, что «самолет «Аист» (с которым С. А. Москалев сравнивал САМ-14</w:t>
      </w:r>
      <w:r w:rsidRPr="008127F8">
        <w:rPr>
          <w:rStyle w:val="BodytextItalic"/>
          <w:color w:val="000000" w:themeColor="text1"/>
          <w:sz w:val="16"/>
          <w:szCs w:val="16"/>
        </w:rPr>
        <w:t>)</w:t>
      </w:r>
      <w:r w:rsidRPr="008127F8">
        <w:rPr>
          <w:color w:val="000000" w:themeColor="text1"/>
          <w:sz w:val="16"/>
          <w:szCs w:val="16"/>
        </w:rPr>
        <w:t xml:space="preserve"> имеет очень крутую траекторию подъема, которой не мо</w:t>
      </w:r>
      <w:r w:rsidRPr="008127F8">
        <w:rPr>
          <w:color w:val="000000" w:themeColor="text1"/>
          <w:sz w:val="16"/>
          <w:szCs w:val="16"/>
        </w:rPr>
        <w:softHyphen/>
        <w:t>жет иметь САМ-14 при его весе, моторе и размахе крыла. /.../ Длина разбега 180 м при весе 1293 кг совершенно невероятна. Такой разбег при моторе М-11 может быть при полетном весе около 800— 900 кг. /.../ Сравнительно большая грузоподъем</w:t>
      </w:r>
      <w:r w:rsidRPr="008127F8">
        <w:rPr>
          <w:color w:val="000000" w:themeColor="text1"/>
          <w:sz w:val="16"/>
          <w:szCs w:val="16"/>
        </w:rPr>
        <w:softHyphen/>
        <w:t>ность самолета САМ-14 получена за счет того, что полетный вес 1293 кг является не нормальным ве</w:t>
      </w:r>
      <w:r w:rsidRPr="008127F8">
        <w:rPr>
          <w:color w:val="000000" w:themeColor="text1"/>
          <w:sz w:val="16"/>
          <w:szCs w:val="16"/>
        </w:rPr>
        <w:softHyphen/>
        <w:t>сом, а предельным допустимым для выполнения одиночных полетов в специальных условиях, так как при этом весе самолет имеет ускорение мень</w:t>
      </w:r>
      <w:r w:rsidRPr="008127F8">
        <w:rPr>
          <w:color w:val="000000" w:themeColor="text1"/>
          <w:sz w:val="16"/>
          <w:szCs w:val="16"/>
        </w:rPr>
        <w:softHyphen/>
        <w:t>ше 1 м/с</w:t>
      </w:r>
      <w:r w:rsidRPr="008127F8">
        <w:rPr>
          <w:color w:val="000000" w:themeColor="text1"/>
          <w:sz w:val="16"/>
          <w:szCs w:val="16"/>
          <w:vertAlign w:val="superscript"/>
        </w:rPr>
        <w:t>2</w:t>
      </w:r>
      <w:r w:rsidRPr="008127F8">
        <w:rPr>
          <w:color w:val="000000" w:themeColor="text1"/>
          <w:sz w:val="16"/>
          <w:szCs w:val="16"/>
        </w:rPr>
        <w:t>. Нормальный вес самолета САМ-14 едва превысит 1000—1100 кг. Вообще говоря, можно ставить вопрос только о замене самолета У-2. Для этого необходимо иметь благоприятные отзывы по технике пилотирования САМ-14, его взлетно-поса</w:t>
      </w:r>
      <w:r w:rsidRPr="008127F8">
        <w:rPr>
          <w:color w:val="000000" w:themeColor="text1"/>
          <w:sz w:val="16"/>
          <w:szCs w:val="16"/>
        </w:rPr>
        <w:softHyphen/>
        <w:t>дочным данным и целесообразности перевода за</w:t>
      </w:r>
      <w:r w:rsidRPr="008127F8">
        <w:rPr>
          <w:color w:val="000000" w:themeColor="text1"/>
          <w:sz w:val="16"/>
          <w:szCs w:val="16"/>
        </w:rPr>
        <w:softHyphen/>
        <w:t>водов с У-2 на САМ-14» (17500).</w:t>
      </w:r>
    </w:p>
    <w:p w14:paraId="5446BF6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929F6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1942 начались пробежки на Би-1 (146,26), но сначала ремонтировали шасси (172,185). Под управлением Г.Я.Бахчиванджи оторвался и на высоте 1 м пролетел 50 м (2990).</w:t>
      </w:r>
    </w:p>
    <w:p w14:paraId="19E2D17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7C5583" w:rsidRPr="008127F8" w14:paraId="3B275B95" w14:textId="77777777" w:rsidTr="004C5D62">
        <w:tc>
          <w:tcPr>
            <w:tcW w:w="675" w:type="dxa"/>
            <w:tcBorders>
              <w:top w:val="single" w:sz="12" w:space="0" w:color="auto"/>
            </w:tcBorders>
          </w:tcPr>
          <w:p w14:paraId="2D8B705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п/п</w:t>
            </w:r>
          </w:p>
        </w:tc>
        <w:tc>
          <w:tcPr>
            <w:tcW w:w="993" w:type="dxa"/>
            <w:tcBorders>
              <w:top w:val="single" w:sz="12" w:space="0" w:color="auto"/>
            </w:tcBorders>
          </w:tcPr>
          <w:p w14:paraId="5961A1D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Дата</w:t>
            </w:r>
          </w:p>
        </w:tc>
        <w:tc>
          <w:tcPr>
            <w:tcW w:w="708" w:type="dxa"/>
            <w:tcBorders>
              <w:top w:val="single" w:sz="12" w:space="0" w:color="auto"/>
            </w:tcBorders>
          </w:tcPr>
          <w:p w14:paraId="118A354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Заводов</w:t>
            </w:r>
          </w:p>
        </w:tc>
        <w:tc>
          <w:tcPr>
            <w:tcW w:w="1418" w:type="dxa"/>
            <w:tcBorders>
              <w:top w:val="single" w:sz="12" w:space="0" w:color="auto"/>
            </w:tcBorders>
          </w:tcPr>
          <w:p w14:paraId="7E29E6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w:t>
            </w:r>
          </w:p>
        </w:tc>
        <w:tc>
          <w:tcPr>
            <w:tcW w:w="2364" w:type="dxa"/>
            <w:tcBorders>
              <w:top w:val="single" w:sz="12" w:space="0" w:color="auto"/>
            </w:tcBorders>
          </w:tcPr>
          <w:p w14:paraId="287853C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2B32139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Краткое описание и причины происшествия</w:t>
            </w:r>
          </w:p>
        </w:tc>
      </w:tr>
      <w:tr w:rsidR="007C5583" w:rsidRPr="008127F8" w14:paraId="4074B96E" w14:textId="77777777" w:rsidTr="004C5D62">
        <w:tc>
          <w:tcPr>
            <w:tcW w:w="675" w:type="dxa"/>
            <w:tcBorders>
              <w:bottom w:val="single" w:sz="12" w:space="0" w:color="auto"/>
            </w:tcBorders>
          </w:tcPr>
          <w:p w14:paraId="6FF12C0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993" w:type="dxa"/>
            <w:tcBorders>
              <w:bottom w:val="single" w:sz="12" w:space="0" w:color="auto"/>
            </w:tcBorders>
          </w:tcPr>
          <w:p w14:paraId="123324F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1942</w:t>
            </w:r>
          </w:p>
        </w:tc>
        <w:tc>
          <w:tcPr>
            <w:tcW w:w="708" w:type="dxa"/>
            <w:tcBorders>
              <w:bottom w:val="single" w:sz="12" w:space="0" w:color="auto"/>
            </w:tcBorders>
          </w:tcPr>
          <w:p w14:paraId="4F1F084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1418" w:type="dxa"/>
            <w:tcBorders>
              <w:bottom w:val="single" w:sz="12" w:space="0" w:color="auto"/>
            </w:tcBorders>
          </w:tcPr>
          <w:p w14:paraId="748E5E9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В.Ф.Любченко</w:t>
            </w:r>
          </w:p>
        </w:tc>
        <w:tc>
          <w:tcPr>
            <w:tcW w:w="2364" w:type="dxa"/>
            <w:tcBorders>
              <w:bottom w:val="single" w:sz="12" w:space="0" w:color="auto"/>
            </w:tcBorders>
          </w:tcPr>
          <w:p w14:paraId="14D0BBC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Авария УТИ-4 транспортного</w:t>
            </w:r>
          </w:p>
        </w:tc>
        <w:tc>
          <w:tcPr>
            <w:tcW w:w="4440" w:type="dxa"/>
            <w:tcBorders>
              <w:bottom w:val="single" w:sz="12" w:space="0" w:color="auto"/>
            </w:tcBorders>
          </w:tcPr>
          <w:p w14:paraId="26C075D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Недостача горючего. При вынужденной посадке на стройплощадку с-т скапотировал</w:t>
            </w:r>
          </w:p>
        </w:tc>
      </w:tr>
    </w:tbl>
    <w:p w14:paraId="58FA770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(2108,266)</w:t>
      </w:r>
    </w:p>
    <w:p w14:paraId="1BB4CE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5AADB3"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2 мая 1942 Бахчи провел первую пробежку по аэродрому не на буксире грузовика, а с работающим двигателем. Это было уже вечером. Стемнело, и яркий сноп огня, с ревом вырывающий ся из хвоста маленького самолетика, производил необычное впечатление. Во время пробежки Бахчи, убедившись, что хвост на скорости поднимается, прибавил газ, и машина оторвалась от земли. Самолет пролетел на высоте одного метра около пя тидесяти метров и плавно приземлился. При осмотре была об наружена парящая струя кислоты. Снова потребовался ремонт.</w:t>
      </w:r>
    </w:p>
    <w:p w14:paraId="6BC66412"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Бахчиванджи, выбравшись из кабины после подлета, доложил: «Са молет можно допустить к полету».</w:t>
      </w:r>
    </w:p>
    <w:p w14:paraId="34FA01A6"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После пробежек и запусков были ремонты, регулировки, повторные проверки герметичности. Настраивали самописцы высоты, скорости, перегрузок, отклонения рулей и элеронов, занимались взвешиванием и балансировкой.</w:t>
      </w:r>
    </w:p>
    <w:p w14:paraId="761E187D"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Первый полет был назначен на 12 мая. Дело было за хоро шей видимостью на всем протяжении полета от взлета до по садки. Но с погодой не везло — шли дожди.</w:t>
      </w:r>
    </w:p>
    <w:p w14:paraId="7B9E75C8"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Никаких радиосредств на самолете не было. Тем более не существовали еще «черные ящики». Ни единого радиолокатоpa на аэродроме тоже не было. Вся надежда была на визуальный контроль с земли, послепосадочный доклад летчика и работку записей установленных на самолете хрупких самопи« цев, если, даст бог, они сохранятся. Председатель Государственной комиссии Пышнов прове заседание, рассмотревшее итоги стендовых испытаний, отчете о пробежках и подлетах, замечания ведущих инженеров Рс лякова и Таракановского. Рассмотрели нарисованную на лист ватмана схему полета. Бахчи доложил, что к полету готов.</w:t>
      </w:r>
    </w:p>
    <w:p w14:paraId="09197BF6" w14:textId="77777777" w:rsidR="007C5583" w:rsidRPr="008127F8" w:rsidRDefault="007C5583" w:rsidP="007C5583">
      <w:pPr>
        <w:pStyle w:val="af"/>
        <w:shd w:val="clear" w:color="auto" w:fill="FFFFFF"/>
        <w:spacing w:before="0" w:after="0"/>
        <w:jc w:val="both"/>
        <w:rPr>
          <w:color w:val="000000" w:themeColor="text1"/>
          <w:sz w:val="16"/>
          <w:szCs w:val="16"/>
        </w:rPr>
      </w:pPr>
    </w:p>
    <w:p w14:paraId="31B53B0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1942 была пробежка БИ по аэродрому, 13 мая – подлёт длиной около 50 м на высоте около 1 метра. 15 мая 1942 г. самолёт БИ-1 под управлением летчика Г.Я. Бахчиванджи впервые взлетел с использованием ракетного двигателя. Полет продолжался 3 мин 9 сек, за 60 сек работы ЖРД была достигнута высота 840 метров, при максимальной скорости 400 км/ч и максимальной скороподъемности 23 м/с. В 1943 г. было осуществлено ещё шесть полётов на втором (БИ-2) и третьем (БИ-3) экземплярах самолёта. Успешные полеты дали основания для спешного начала строительства войсковой серии машин под наименованием БИ-ВС (ВС-войсковая серия). Это серийное производство было развернуто на авиазаводе №381 в Нижнем Тагиле. Между тем испытания истребителя продолжались. Один из полётов выполнял К.А. Груздев, остальные 256 – Г.Я. Бахчиванджи (18250).</w:t>
      </w:r>
    </w:p>
    <w:p w14:paraId="10A71B6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5D3AC7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1942 вышел приказ НКАП № 338с</w:t>
      </w:r>
    </w:p>
    <w:p w14:paraId="548C2DD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свяаи с окончанием испытаний десантного планера конструкции ТОВ. ПОЛИКАРПОВА, </w:t>
      </w:r>
      <w:r w:rsidRPr="008127F8">
        <w:rPr>
          <w:rFonts w:ascii="Times New Roman" w:hAnsi="Times New Roman"/>
          <w:color w:val="000000" w:themeColor="text1"/>
          <w:sz w:val="16"/>
          <w:szCs w:val="16"/>
          <w:u w:val="single"/>
        </w:rPr>
        <w:t>ПРИКАЗЫВАЮ:</w:t>
      </w:r>
    </w:p>
    <w:p w14:paraId="20C77E6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Организовать серийное проивводство десантных пла</w:t>
      </w:r>
      <w:r w:rsidRPr="008127F8">
        <w:rPr>
          <w:rFonts w:ascii="Times New Roman" w:hAnsi="Times New Roman"/>
          <w:color w:val="000000" w:themeColor="text1"/>
          <w:sz w:val="16"/>
          <w:szCs w:val="16"/>
        </w:rPr>
        <w:softHyphen/>
        <w:t>неров ВДП-2 на заводе № 490 гор. Сталинград.</w:t>
      </w:r>
    </w:p>
    <w:p w14:paraId="2049F5F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Изготовить войсковую серию десантных планеров БДП-2в количестве 10 шт. со сроком сдачи -</w:t>
      </w:r>
    </w:p>
    <w:p w14:paraId="506DBA7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июле месяце</w:t>
      </w:r>
      <w:r w:rsidRPr="008127F8">
        <w:rPr>
          <w:rFonts w:ascii="Times New Roman" w:hAnsi="Times New Roman"/>
          <w:color w:val="000000" w:themeColor="text1"/>
          <w:sz w:val="16"/>
          <w:szCs w:val="16"/>
        </w:rPr>
        <w:tab/>
        <w:t>3 планера</w:t>
      </w:r>
    </w:p>
    <w:p w14:paraId="1C96D70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августе</w:t>
      </w:r>
      <w:r w:rsidRPr="008127F8">
        <w:rPr>
          <w:rFonts w:ascii="Times New Roman" w:hAnsi="Times New Roman"/>
          <w:color w:val="000000" w:themeColor="text1"/>
          <w:sz w:val="16"/>
          <w:szCs w:val="16"/>
        </w:rPr>
        <w:tab/>
        <w:t>7 планеров</w:t>
      </w:r>
    </w:p>
    <w:p w14:paraId="61C4B83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Организовать опытный цех для доработки и сдачи на гоонспытание планера К-Г конструкции тов. КУРБАЛА, выделив для этого производственных площадей - 450 кв. м. производ</w:t>
      </w:r>
      <w:r w:rsidRPr="008127F8">
        <w:rPr>
          <w:rFonts w:ascii="Times New Roman" w:hAnsi="Times New Roman"/>
          <w:color w:val="000000" w:themeColor="text1"/>
          <w:sz w:val="16"/>
          <w:szCs w:val="16"/>
        </w:rPr>
        <w:softHyphen/>
        <w:t>ственных рабочих и ИТР - 60 человек.</w:t>
      </w:r>
    </w:p>
    <w:p w14:paraId="52DBA2B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Изгоговленив деталей, узлов и агрегатов по машине К-Г впредь до окончания госиспытаний приостановить, а имею</w:t>
      </w:r>
      <w:r w:rsidRPr="008127F8">
        <w:rPr>
          <w:rFonts w:ascii="Times New Roman" w:hAnsi="Times New Roman"/>
          <w:color w:val="000000" w:themeColor="text1"/>
          <w:sz w:val="16"/>
          <w:szCs w:val="16"/>
        </w:rPr>
        <w:softHyphen/>
        <w:t>щиеся в наличии законсервнровать.</w:t>
      </w:r>
    </w:p>
    <w:p w14:paraId="4EFE420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Обязать Директора и Главного Конструктора завода № 51 тов. ПОЛИКРПОВА Н.Н. наготовить и сдать заводу № 490:</w:t>
      </w:r>
    </w:p>
    <w:p w14:paraId="0B38414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Рабочие чертежи на изделие, приспособления и спесификации на материал, готовые иаделия /исправленные на основе рекомендации госиспытаний/ в количестве 50 экз. со сроком сдачи не позднее - 10 мая 1942 г.</w:t>
      </w:r>
    </w:p>
    <w:p w14:paraId="082C9A0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 Технвлогический процесс, техусловия, техописания, расчеты и акты испытания в </w:t>
      </w:r>
      <w:r w:rsidRPr="008127F8">
        <w:rPr>
          <w:rFonts w:ascii="Times New Roman" w:hAnsi="Times New Roman"/>
          <w:iCs/>
          <w:color w:val="000000" w:themeColor="text1"/>
          <w:sz w:val="16"/>
          <w:szCs w:val="16"/>
        </w:rPr>
        <w:t xml:space="preserve">2 </w:t>
      </w:r>
      <w:r w:rsidRPr="008127F8">
        <w:rPr>
          <w:rFonts w:ascii="Times New Roman" w:hAnsi="Times New Roman"/>
          <w:color w:val="000000" w:themeColor="text1"/>
          <w:sz w:val="16"/>
          <w:szCs w:val="16"/>
        </w:rPr>
        <w:t>аквемплярах со сроком сдачи не повднее 10 мая 1942 года.</w:t>
      </w:r>
    </w:p>
    <w:p w14:paraId="321EE87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Металлических деталей и узлов в количестве 15 комплектов со сроком сдачи:</w:t>
      </w:r>
    </w:p>
    <w:p w14:paraId="66C843B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комплектов</w:t>
      </w:r>
      <w:r w:rsidRPr="008127F8">
        <w:rPr>
          <w:rFonts w:ascii="Times New Roman" w:hAnsi="Times New Roman"/>
          <w:color w:val="000000" w:themeColor="text1"/>
          <w:sz w:val="16"/>
          <w:szCs w:val="16"/>
        </w:rPr>
        <w:tab/>
        <w:t>1 июня</w:t>
      </w:r>
    </w:p>
    <w:p w14:paraId="2BD9B4D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комплектов</w:t>
      </w:r>
      <w:r w:rsidRPr="008127F8">
        <w:rPr>
          <w:rFonts w:ascii="Times New Roman" w:hAnsi="Times New Roman"/>
          <w:color w:val="000000" w:themeColor="text1"/>
          <w:sz w:val="16"/>
          <w:szCs w:val="16"/>
        </w:rPr>
        <w:tab/>
        <w:t>I июля</w:t>
      </w:r>
    </w:p>
    <w:p w14:paraId="59FA95C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Два комплекта металлических сборочных стаппелей со сроком сдачи: первого комплекта к 1 июня 1942 г.</w:t>
      </w:r>
    </w:p>
    <w:p w14:paraId="7D50198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второго комплекта к 15 июня 1942 г.</w:t>
      </w:r>
    </w:p>
    <w:p w14:paraId="04F0390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Оказать заводу № 490 техническую помощь выделив для этого на все время освоения» изготовления войсковой серии: ведущего инженера по машине - 1 человека.</w:t>
      </w:r>
    </w:p>
    <w:p w14:paraId="0EC83AB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групповодов-конструкторов по агрегатам - 5 человек:</w:t>
      </w:r>
    </w:p>
    <w:p w14:paraId="3281B71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конструкторов по приспособлениям - 3 человека</w:t>
      </w:r>
    </w:p>
    <w:p w14:paraId="355A4FD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технологов - 3 человека</w:t>
      </w:r>
    </w:p>
    <w:p w14:paraId="64B6AEF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рабочих сборщиков, слесарей монтажников и токарей по металлу - 40 человек</w:t>
      </w:r>
    </w:p>
    <w:p w14:paraId="4F6255B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В целях более оперативного решения всех вопросов связанных с подготовкой, организацией и выцуском войсковой серии откомандировать на завод № 490 Заместителя Главного конструктора тов. ВАХМИСТРОВА - сроком до 1-го октября 1942 г. (1612,51).</w:t>
      </w:r>
    </w:p>
    <w:p w14:paraId="0A7EA1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038D9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1942 вышел приказ НКАП N 338с:</w:t>
      </w:r>
    </w:p>
    <w:p w14:paraId="1E5ACBA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окончанием испытаний десантного планера БДП-2 конструкции Н.Н.П. приказываю:</w:t>
      </w:r>
    </w:p>
    <w:p w14:paraId="1C4335D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Организовать серийное производство десантных планеров БДП-2 на заводе 490 в Сталинграде</w:t>
      </w:r>
    </w:p>
    <w:p w14:paraId="5976063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Изготовить войсковую серию десантных планеров БДП-2 в количестве 10 шт. со сроком сдачи: в июле - 3, в августе - 7</w:t>
      </w:r>
    </w:p>
    <w:p w14:paraId="1FDA8A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Организовать опытный цех для доработки и сдачи на гос. испытания планера К-Г конструкции Курбала, выделив для этого производственных площадей 450 кв. м. и 60 рабочих и ИТР.</w:t>
      </w:r>
    </w:p>
    <w:p w14:paraId="1DF12B3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Изготовление деталей, узлов, агрегатов по машине К-Г впредь до окончания гос. испытаний приостановить, а имеющиеся в наличии законсервировать</w:t>
      </w:r>
    </w:p>
    <w:p w14:paraId="48149F8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Обязать директора и ГК завода 51 Н.Н.П. изготовить и сдать заводу 490...(1612,51).</w:t>
      </w:r>
    </w:p>
    <w:p w14:paraId="5A39964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46E2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05EF3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B01665"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 xml:space="preserve">2 мая 1942 года датировано письмо </w:t>
      </w:r>
      <w:hyperlink r:id="rId8" w:history="1">
        <w:r w:rsidRPr="008127F8">
          <w:rPr>
            <w:rStyle w:val="a6"/>
            <w:rFonts w:eastAsia="Times New Roman"/>
            <w:color w:val="000000" w:themeColor="text1"/>
          </w:rPr>
          <w:t>наркома танковой промышленности Малышев</w:t>
        </w:r>
      </w:hyperlink>
      <w:r w:rsidRPr="008127F8">
        <w:rPr>
          <w:color w:val="000000" w:themeColor="text1"/>
          <w:sz w:val="16"/>
          <w:szCs w:val="16"/>
        </w:rPr>
        <w:t>а Сталину:</w:t>
      </w:r>
    </w:p>
    <w:p w14:paraId="0F57F091"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iCs/>
          <w:color w:val="000000" w:themeColor="text1"/>
          <w:sz w:val="16"/>
          <w:szCs w:val="16"/>
        </w:rPr>
        <w:t>«После ознакомления с прибывшими в Союз американскими танками типа М-3 (лёгкий) и М-3с (средний) необходимо сделать вывод, что эти танки имеют низкие боевые качества и будут быстро выходить из строя и уничтожаться в бою.</w:t>
      </w:r>
    </w:p>
    <w:p w14:paraId="3BB4B647"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iCs/>
          <w:color w:val="000000" w:themeColor="text1"/>
          <w:sz w:val="16"/>
          <w:szCs w:val="16"/>
        </w:rPr>
        <w:t>Американские танки имеют следующие серьёзные дефекты:</w:t>
      </w:r>
    </w:p>
    <w:p w14:paraId="1EC1A633"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iCs/>
          <w:color w:val="000000" w:themeColor="text1"/>
          <w:sz w:val="16"/>
          <w:szCs w:val="16"/>
        </w:rPr>
        <w:t>1. Танки будут легко поджигаться, так как бензиновый мотор легко доступен для забрасывания горючей жидкости.</w:t>
      </w:r>
    </w:p>
    <w:p w14:paraId="0611B54B"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iCs/>
          <w:color w:val="000000" w:themeColor="text1"/>
          <w:sz w:val="16"/>
          <w:szCs w:val="16"/>
        </w:rPr>
        <w:t>2. Резиновые траки при езде по булыжной мостовой, глинистому и каменному грунту в сухую погоду будут быстро выходить из строя, а двигаться по грязи (просёлок или целина) танк с такими гусеницами вообще не сможет или будет двигаться очень плохо, со скоростью 3–5 км/ч».</w:t>
      </w:r>
    </w:p>
    <w:p w14:paraId="7064ABA6"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Практика показала, что опасения насчёт гусениц в основном были лишены оснований. Не подтвердилось и ещё одно опасение насчёт тяжёлых условий работы водителя из-за расположения трансмиссии в носовой части. Одним словом, инициативу Малышева о том, что вместо танков у американцев следует просить тяжёлые тягачи, не поддержали. Да и утверждение о том, что в своём развитии американские машины отстали от советских на несколько лет, стоит оставить на совести Малышева (17465).</w:t>
      </w:r>
    </w:p>
    <w:p w14:paraId="611A025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DD92B0F"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 мая 1942 года НКТП Малышев писал письмо Сталину:</w:t>
      </w:r>
    </w:p>
    <w:p w14:paraId="4F55BBA9"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«После ознакомления с прибывшими в Союз американскими танками типа М-3 (лёгкий) и М-3с (средний) необходимо сделать вывод, что эти танки имеют низкие боевые качества и будут быстро выходить из строя и уничтожаться в бою.</w:t>
      </w:r>
    </w:p>
    <w:p w14:paraId="270D1ABD"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Американские танки имеют следующие серьёзные дефекты:</w:t>
      </w:r>
    </w:p>
    <w:p w14:paraId="3CC77E0E"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1. Танки будут легко поджигаться, так как бензиновый мотор легко доступен для забрасывания горючей жидкости.</w:t>
      </w:r>
    </w:p>
    <w:p w14:paraId="4C3BBE2B"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2. Резиновые траки при езде по булыжной мостовой, глинистому и каменному грунту в сухую погоду будут быстро выходить из строя, а двигаться по грязи (просёлок или целина) танк с такими гусеницами вообще не сможет или будет двигаться очень плохо, со скоростью 3–5 км/ч».</w:t>
      </w:r>
    </w:p>
    <w:p w14:paraId="2AFB64B8"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Практика показала, что опасения насчёт гусениц в основном были лишены оснований. Не подтвердилось и ещё одно опасение насчёт тяжёлых условий работы водителя из-за расположения трансмиссии в носовой части. Одним словом, инициативу Малышева о том, что вместо танков у американцев следует просить тяжёлые тягачи, не поддержали. Да и утверждение о том, что в своём развитии американские машины отстали от советских на несколько лет, стоит оставить на совести Малышева (17653).</w:t>
      </w:r>
    </w:p>
    <w:p w14:paraId="0953AC4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A05EE6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ГКО обязал НКСП (постановление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1684сс) организовать производство 130-мм башен для мониторов и эсминцев проекта 30: всего 16 башен на заводе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402.</w:t>
      </w:r>
    </w:p>
    <w:p w14:paraId="0098870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Изготавливать две принципиально разные установки заводу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402 в условиях военного времени было нереально. В связи с этим ОКБ-172 разработало технический и рабочий проекты установки для мониторов, которая получила индекс Б-2-ЛМТ (Т</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тяжелая). Установки Б-2-ЛМТ были на 80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унифицированы с Б-2-ЛМ. Все работы по проектированию Б-2-ЛМТ завершились к концу 1943</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
    <w:p w14:paraId="76807FD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Шесть башен Б-2-ЛМТ, изготовленные на заводе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402, были установлены на мониторах «Сиваш» и «Перекоп».</w:t>
      </w:r>
    </w:p>
    <w:p w14:paraId="3AB6323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Стволы установки Б-2-ЛМТ были идентичны стволам установки Б-28.</w:t>
      </w:r>
    </w:p>
    <w:p w14:paraId="7AB0D01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установке были смонтированы две качающиеся части. Основой каждой качающейся части являлась легкая люлька с цапфами. Смена лейнера производилась без вынимания качающейся части из башни. Имелся пневматический досылатель в лоток. При закрывании затвора лоток откидывался к казеннику, а при открывании затвора устанавливался на линии досылки.</w:t>
      </w:r>
    </w:p>
    <w:p w14:paraId="6C2B6B4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Противооткатные устройства состояли из гидравлического тормоза отката и гидропневматического накатника. Вертикальное и горизонтальное наведения имели по два привода: основной от электродвигателя и резервный ручной.</w:t>
      </w:r>
    </w:p>
    <w:p w14:paraId="58BF5EB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Подъем боеприпасов во вращающейся части производился по шахтам подачи каретками раздельно для каждого орудия. Подача боеприпасов цепного типа. Шахта подачи проходила через боевой стол в подбашенное отделение и была прикреплена к палубе этого отделения через центрирующий штырь.</w:t>
      </w:r>
    </w:p>
    <w:p w14:paraId="40A200F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Передача боеприпасов с неподвижной части на вращающуюся часть производилась вручную. Снаряды поступали непосредственно в подбашенное отделение, где вручную перекладывались на снарядные лотки верхней подачи. Подача имела электрический и ручной приводы.</w:t>
      </w:r>
    </w:p>
    <w:p w14:paraId="220C56E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Данные установки Б-2-ЛМТ </w:t>
      </w:r>
    </w:p>
    <w:p w14:paraId="4E6DCA5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Угол ВН, град</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—5; +45</w:t>
      </w:r>
    </w:p>
    <w:p w14:paraId="64F7FB7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Угол ГН, град</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±150</w:t>
      </w:r>
    </w:p>
    <w:p w14:paraId="1877D7B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Скорость ВН, град/с: от электродвигателя</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10</w:t>
      </w:r>
    </w:p>
    <w:p w14:paraId="489BFB4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вручную</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6</w:t>
      </w:r>
    </w:p>
    <w:p w14:paraId="23046EB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Скорость ГН, град/с: от электродвигателя</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10</w:t>
      </w:r>
    </w:p>
    <w:p w14:paraId="7C17859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вручную</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2</w:t>
      </w:r>
    </w:p>
    <w:p w14:paraId="2D6C02E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отката максимальная, мм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505</w:t>
      </w:r>
    </w:p>
    <w:p w14:paraId="23B7980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Превышение оси орудия над осью цапф, мм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6</w:t>
      </w:r>
    </w:p>
    <w:p w14:paraId="554F3A8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Высота линии огня над палубой, мм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2227</w:t>
      </w:r>
    </w:p>
    <w:p w14:paraId="5B85108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Высота оси орудия над полом боевого отделения, мм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1540</w:t>
      </w:r>
    </w:p>
    <w:p w14:paraId="1AD8E45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Высота башни от нижнего штыря до верха крыши, мм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5400</w:t>
      </w:r>
    </w:p>
    <w:p w14:paraId="0DBBAAE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Высота крыши башни над палубой, мм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3140</w:t>
      </w:r>
    </w:p>
    <w:p w14:paraId="7398319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башни, мм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5283</w:t>
      </w:r>
    </w:p>
    <w:p w14:paraId="30B3473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Ширина башни, мм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4316</w:t>
      </w:r>
    </w:p>
    <w:p w14:paraId="68C10A2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Радиус обметания по стволам, мм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5210</w:t>
      </w:r>
    </w:p>
    <w:p w14:paraId="50B0A62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Радиус обметания по вращающейся броне, мм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3180</w:t>
      </w:r>
    </w:p>
    <w:p w14:paraId="23E33AC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Диаметр башни по неподвижному основанию, мм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3550</w:t>
      </w:r>
    </w:p>
    <w:p w14:paraId="5F51B90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Расстояние между осями орудий, мм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960</w:t>
      </w:r>
    </w:p>
    <w:p w14:paraId="5D3352B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Диаметр шарового погона, мм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3400</w:t>
      </w:r>
    </w:p>
    <w:p w14:paraId="14F96A9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Бронирование, мм: Лоб</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100</w:t>
      </w:r>
    </w:p>
    <w:p w14:paraId="3F7BAFA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Бок</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50</w:t>
      </w:r>
    </w:p>
    <w:p w14:paraId="070D558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Задняя плита</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100</w:t>
      </w:r>
    </w:p>
    <w:p w14:paraId="2596218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Крыша</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50</w:t>
      </w:r>
    </w:p>
    <w:p w14:paraId="0B915F4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Качающийся щит</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8</w:t>
      </w:r>
    </w:p>
    <w:p w14:paraId="6301372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качающейся части одного орудия, т</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7,4</w:t>
      </w:r>
    </w:p>
    <w:p w14:paraId="40AEBA6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Общий вес башни, т</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90,9</w:t>
      </w:r>
    </w:p>
    <w:p w14:paraId="0A30C67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Башенный визир</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ВБ-1</w:t>
      </w:r>
    </w:p>
    <w:p w14:paraId="0C3AE26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Башенный прицел</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МБ-6</w:t>
      </w:r>
    </w:p>
    <w:p w14:paraId="4A0B759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Скорострельность, выстр/мин</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10–12</w:t>
      </w:r>
    </w:p>
    <w:p w14:paraId="34AAC6D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Расчет, чел.: без погребов</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21</w:t>
      </w:r>
    </w:p>
    <w:p w14:paraId="169C288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погребами</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27</w:t>
      </w:r>
    </w:p>
    <w:p w14:paraId="7FCAF8B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Боекомплект, выстр/ствол</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150</w:t>
      </w:r>
    </w:p>
    <w:p w14:paraId="28B4572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Выстрелы и баллистика установки Б-2-ЛМТ идентичны установке Б-2-ЛМ (12705).</w:t>
      </w:r>
    </w:p>
    <w:p w14:paraId="297F4DF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384C6DC" w14:textId="77777777" w:rsidR="00EA108A" w:rsidRPr="008A2E5A" w:rsidRDefault="00EA108A" w:rsidP="00EA10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 мая 1942 г. Докладная записка наркома танковой промышленности СССР В. А. Малышева председателю ГКО СССР И. В. Сталину </w:t>
      </w:r>
      <w:r>
        <w:rPr>
          <w:rFonts w:ascii="Times New Roman" w:hAnsi="Times New Roman"/>
          <w:color w:val="0070C0"/>
          <w:sz w:val="16"/>
          <w:szCs w:val="16"/>
        </w:rPr>
        <w:t>О</w:t>
      </w:r>
      <w:r w:rsidRPr="008A2E5A">
        <w:rPr>
          <w:rFonts w:ascii="Times New Roman" w:hAnsi="Times New Roman"/>
          <w:color w:val="0070C0"/>
          <w:sz w:val="16"/>
          <w:szCs w:val="16"/>
        </w:rPr>
        <w:t xml:space="preserve"> сокращении заказа на американские танки М-3 и М-Зс</w:t>
      </w:r>
    </w:p>
    <w:p w14:paraId="37CDBA24" w14:textId="77777777" w:rsidR="00EA108A" w:rsidRPr="008A2E5A" w:rsidRDefault="00EA108A" w:rsidP="00EA10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6A6AD735" w14:textId="77777777" w:rsidR="00EA108A" w:rsidRPr="008A2E5A" w:rsidRDefault="00EA108A" w:rsidP="00EA10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ознакомления с прибывшими в Союз американскими танками типа М-3 (легкий) и М-Зс (средний) необходимо сделать вывод, что эти танки имеют низкие боевые качества и будут быстро выходить из строя и уничтожаться в бою. Американские танки имеют следующие серьезные недостатки:</w:t>
      </w:r>
    </w:p>
    <w:p w14:paraId="1FCF0E2F" w14:textId="77777777" w:rsidR="00EA108A" w:rsidRPr="008A2E5A" w:rsidRDefault="00EA108A" w:rsidP="00EA10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Танки будут легко поджигаться, так как бензиновый мотор легкодоступен для забрасывания на него горючей жидкости.</w:t>
      </w:r>
    </w:p>
    <w:p w14:paraId="655FD333" w14:textId="77777777" w:rsidR="00EA108A" w:rsidRPr="008A2E5A" w:rsidRDefault="00EA108A" w:rsidP="00EA10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Резиновые траки при езде по булыжной мостовой, глинистому и каменистому грунту в сухую погоду будут быстро выходить из строя, а двигаться по грязи (проселок или целина) танк с такими гусеницами вообще не сможет или будет двигаться очень плохо, со скоростью 3-5 км/ч. Ходовая часть непрочна и будет быстро выходить из строя.</w:t>
      </w:r>
    </w:p>
    <w:p w14:paraId="28363939" w14:textId="77777777" w:rsidR="00EA108A" w:rsidRPr="008A2E5A" w:rsidRDefault="00EA108A" w:rsidP="00EA10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Несмотря на установку сравнительно большого количества вооружения (пушек и пулеметов), огневая мощь танков не может быть эффективно использована, так как из значительной части пулеметов нельзя вести прицельного огня.</w:t>
      </w:r>
    </w:p>
    <w:p w14:paraId="433E168D" w14:textId="77777777" w:rsidR="00EA108A" w:rsidRPr="008A2E5A" w:rsidRDefault="00EA108A" w:rsidP="00EA10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Удельные давления на гусеницу (1,1 и 1,2 кг на кв. см) почти в 2 раза больше, чем на наших танках, и поэтому проходимость американских танков по снегу и болотистой местности будет очень плохой.</w:t>
      </w:r>
    </w:p>
    <w:p w14:paraId="3FF3E6B4" w14:textId="77777777" w:rsidR="00EA108A" w:rsidRPr="008A2E5A" w:rsidRDefault="00EA108A" w:rsidP="00EA10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Место водителя расположено в непосредственной близости у коробки перемены передач, и при температуре стенок картера в 100-120° (что при работе танка является нормальным) условия работы водителя будут очень тяжелые.</w:t>
      </w:r>
    </w:p>
    <w:p w14:paraId="0AE66C2C" w14:textId="77777777" w:rsidR="00EA108A" w:rsidRPr="008A2E5A" w:rsidRDefault="00EA108A" w:rsidP="00EA10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Эти два типа американских танков по своей конструкции отстали от современных танков на несколько лет. Может быть, если у американцев нет сейчас более современных танков, то нужно уменьшить заказ на танки типа М-3 и М-Зс, а взамен этого потребовать от американцев поставки металлорежущих станков и тяжелых тягачей.</w:t>
      </w:r>
    </w:p>
    <w:p w14:paraId="44D09339" w14:textId="77777777" w:rsidR="00EA108A" w:rsidRPr="008A2E5A" w:rsidRDefault="00EA108A" w:rsidP="00EA10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получении из Америки тяжелых тягачей армия лучше бы эвакуировала подбитые танки с фронта и усилила бы их ремонт.</w:t>
      </w:r>
    </w:p>
    <w:p w14:paraId="10ACD73D" w14:textId="77777777" w:rsidR="00EA108A" w:rsidRPr="008A2E5A" w:rsidRDefault="00EA108A" w:rsidP="00EA10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Малышев</w:t>
      </w:r>
    </w:p>
    <w:p w14:paraId="51C9F75B" w14:textId="77777777" w:rsidR="00EA108A" w:rsidRPr="008A2E5A" w:rsidRDefault="00EA108A" w:rsidP="00EA10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РГАНИ. Ф. 3. Оп. 46. Д. 389. Л. 93-94. Подлинник (24020).</w:t>
      </w:r>
    </w:p>
    <w:p w14:paraId="4C2340BD" w14:textId="77777777" w:rsidR="00EA108A" w:rsidRPr="008A2E5A" w:rsidRDefault="00EA108A" w:rsidP="00EA108A">
      <w:pPr>
        <w:spacing w:after="0" w:line="240" w:lineRule="auto"/>
        <w:jc w:val="both"/>
        <w:rPr>
          <w:rFonts w:ascii="Times New Roman" w:hAnsi="Times New Roman"/>
          <w:color w:val="0070C0"/>
          <w:sz w:val="16"/>
          <w:szCs w:val="16"/>
        </w:rPr>
      </w:pPr>
    </w:p>
    <w:p w14:paraId="13DE4FA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1942 вышло Постановление ГКО № 1683 О производстве и ремонте гироскопических компасов. РГАНИР, Фонд ГКО, д. 32, лл. 102-102об (11012).</w:t>
      </w:r>
    </w:p>
    <w:p w14:paraId="52A179A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C3DA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1942 вышло Постановление ГКО № 1684 О плане военного судостроения на II квартал 1942 г. и мероприятиях по его обеспечению. РГАНИР, Фонд ГКО, д. 32, лл. 103-114, 115-155 (11012).</w:t>
      </w:r>
    </w:p>
    <w:p w14:paraId="4F9F3F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4B125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1942 вышло Постановление ГКО № 1687 О т. Сосновикове В.В. РГАНИР, Фонд ГКО, д. 32, лл. 176 (11012).</w:t>
      </w:r>
    </w:p>
    <w:p w14:paraId="7A0B1F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CAC65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1942 вышло Постановление ГКО № 1688 О т.т. Кузине А.С. и Кузьмине П.В. РГАНИР, Фонд ГКО, д. 32, лл. 177 (11012).</w:t>
      </w:r>
    </w:p>
    <w:p w14:paraId="59274A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703C5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1942 Первую продукцию для фронта дал эвакуированный в Томск московский завод резинотехнических изделий «Красный богатырь» (11858).</w:t>
      </w:r>
    </w:p>
    <w:p w14:paraId="13C845C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28B6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1942 г. (на 1942 г.), 18 марта 1943 г. (на 1943 г.), 13 августа 1941 г. (на 1941) постановлениями ГКО и другими корректировались и утверждались ежегодные планы военного судостроения. Но даже приня</w:t>
      </w:r>
      <w:r w:rsidRPr="008127F8">
        <w:rPr>
          <w:rFonts w:ascii="Times New Roman" w:hAnsi="Times New Roman"/>
          <w:color w:val="000000" w:themeColor="text1"/>
          <w:sz w:val="16"/>
          <w:szCs w:val="16"/>
        </w:rPr>
        <w:softHyphen/>
        <w:t>тые и оперативно пересмотренные годовые планы не выполнялись в полном объеме, что свидетельствовало, с одной стороны, о слиш</w:t>
      </w:r>
      <w:r w:rsidRPr="008127F8">
        <w:rPr>
          <w:rFonts w:ascii="Times New Roman" w:hAnsi="Times New Roman"/>
          <w:color w:val="000000" w:themeColor="text1"/>
          <w:sz w:val="16"/>
          <w:szCs w:val="16"/>
        </w:rPr>
        <w:softHyphen/>
        <w:t>ком оптимистичном "волевом" планировании, а с другой — об объ</w:t>
      </w:r>
      <w:r w:rsidRPr="008127F8">
        <w:rPr>
          <w:rFonts w:ascii="Times New Roman" w:hAnsi="Times New Roman"/>
          <w:color w:val="000000" w:themeColor="text1"/>
          <w:sz w:val="16"/>
          <w:szCs w:val="16"/>
        </w:rPr>
        <w:softHyphen/>
        <w:t>ективных трудностях (3898).</w:t>
      </w:r>
    </w:p>
    <w:p w14:paraId="05F438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172F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58906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DD5FD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в 1942 году утреннее сообщение Совинформбюро:</w:t>
      </w:r>
    </w:p>
    <w:p w14:paraId="4BB3803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 мая на фронте ничего существенного не произошло.</w:t>
      </w:r>
    </w:p>
    <w:p w14:paraId="404AC38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уничтожили 2 немецких танка, 6 орудий, несколько миномётов и подавили свыше 20 огневых точек противника. Захвачены трофеи. Гитлеровцы потеряли убитыми свыше 1.000 солдат и офицеров.</w:t>
      </w:r>
    </w:p>
    <w:p w14:paraId="0F3AF99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Северо-Западного фронта наши части уничтожили до четырёх рот пехоты противника. Захвачены у противника следующие трофеи: большой продовольственный склад, склад с боеприпасами, 4 орудия, 20 пулемётов, автоматы и винтовки. Подбит один немецкий танк.</w:t>
      </w:r>
    </w:p>
    <w:p w14:paraId="6484F10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одном бою старшина Кузнецов в рукопашной схватке с врагом заколол штыком 12 гитлеровцев. Командир отделения Мещеряков уничтожил 4 гитлеровцев, сержант Медведев и боец Никитин —10 гитлеровцев.</w:t>
      </w:r>
    </w:p>
    <w:p w14:paraId="5B1EE8E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наших гвардейцев под командованием старшего лейтенанта тов. Красотина (Калининский фронт), стремительно атаковав противника, уничтожила около 150 немецких солдат и офицеров, разрушила 2 ДЗОТа и взорвала склад с боеприпасами.</w:t>
      </w:r>
    </w:p>
    <w:p w14:paraId="4BDA374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Успешно действуют украинские партизаны под командованием тов. С. За истекший месяц они провели четыре налёта на немецкие части. Партизаны уничтожили до 600 гитлеровцев и захватили несколько орудий, большое количество пулемётов, автоматов, винтовок и патронов.</w:t>
      </w:r>
    </w:p>
    <w:p w14:paraId="0D8718E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6 роты 346 полка 217 немецкой пехотной дивизии Георг Минола рассказал: «В феврале 1942 года меня мобилизовали и направили в маршевый батальон. В батальоне, насчитывавшем около 500 человек, было очень много резервистов старше 40 лет. Мы прошли трёхнедельную военную подготовку, после чего нас послали на фронт. Ехали мы очень медленно. Навстречу нам с фронта один за другим шли поезда с ранеными. Вид раненых, беседы с ними произвели на нас потрясающее впечатление. На фронте мы пережили ужасные дни. Количество убитых и раненых в нашей роте поминутно росло. Наши офицеры и унтер-офицеры кричали истошным голосом: «Не отходить!», «Не отступать!», «Держаться!». Несмотря на угрозы, многие резервисты побросали оружие и залегли, уткнувшись головой в талый снег».</w:t>
      </w:r>
    </w:p>
    <w:p w14:paraId="12D215C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наступлением весны югославские партизаны всё более и более активно ведут боевые действия. Хорошо вооружённые отряды совершают внезапные налёты на гарнизоны оккупантов, разрушают железнодорожные линии. 22 апреля партизанский отряд произвёл нападение на полевой итальянский аэродром. Партизаны перебили охрану, лётчиков и сожгли четыре самолёта. 24 апреля неподалеку от В. Произошёл бой между югославскими патриотами и отрядом немецких войск. Убито свыше 150 гитлеровцев.» (14879).</w:t>
      </w:r>
    </w:p>
    <w:p w14:paraId="209B3DC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E9EC3A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в 1942 году вечернее сообщение Совинформбюро:</w:t>
      </w:r>
    </w:p>
    <w:p w14:paraId="2BC3CF6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 мая на фронте ничего существенного не произошло.</w:t>
      </w:r>
    </w:p>
    <w:p w14:paraId="11F798A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уточнённым данным, за 30 апреля уничтожено не 38 немецких самолётов, как об этом сообщалось ранее, а 53 немецких самолёта.</w:t>
      </w:r>
    </w:p>
    <w:p w14:paraId="62A70A8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 мая уничтожено 47 немецких самолётов. Наши потери — 12 самолётов.</w:t>
      </w:r>
    </w:p>
    <w:p w14:paraId="3D4C36D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 мая частями нашей авиации уничтожено или повреждено 3 немецких танка, около 50 автомашин с войсками и грузами, 30 подвод с боеприпасами, 15 полевых и зенитных орудий, 24 миномёта. 17 пулемётов, взорвано 2 склада с боеприпасами, разрушено 2 железнодорожных эшелона, рассеяно и частью уничтожено до роты пехоты противника.</w:t>
      </w:r>
    </w:p>
    <w:p w14:paraId="2FE170E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участке Западного фронта гитлеровцы пытались вклиниться в расположение наших войск. Все атаки немецкой пехоты, поддержанной танками, были отбиты. На поле боя осталось свыше 350 трупов солдат и офицеров противника. Огнём нашей артиллерии уничтожен немецкий танк, 4 миномётные батареи, разрушено 8 ДЗОТов.</w:t>
      </w:r>
    </w:p>
    <w:p w14:paraId="76B47B9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Конники под командованием тов. Тимофеева, действующие в тылу противника, уничтожили 630 вражеских солдат и офицеров, несколько автомашин, радиостанцию и взорвали 2 склада с боеприпасами.</w:t>
      </w:r>
    </w:p>
    <w:p w14:paraId="04F5785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вражеских бомбардировщиков пыталась бомбить боевые порядки нашей стрелковой части. Пулемётный расчёт сержанта Полякова открыл огонь по врагу и несколькими очередями сбил 2 немецких бомбардировщика.</w:t>
      </w:r>
    </w:p>
    <w:p w14:paraId="5816757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Орудийный расчёт младшего сержанта Буднина обнаружил на окраине деревни, занятой немцами, два замаскированных вражеских танка. Несколькими меткими выстрелами оба немецких танка были уничтожены.</w:t>
      </w:r>
    </w:p>
    <w:p w14:paraId="70A4A06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Снайперы наших частей, обороняющих Севастополь, за два дня истребили 207 солдат и офицеров противника.</w:t>
      </w:r>
    </w:p>
    <w:p w14:paraId="76AB8C2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партизан отряда тов. В., действующего в одном из оккупированных немецкими захватчиками районов Ленинградской области, в ночь с 21 на 22 апреля взорвала полотно железной дороги и пустила под откос эшелон с войсками противника. В результате крушения убито и ранено свыше 300 немецких солдат.</w:t>
      </w:r>
    </w:p>
    <w:p w14:paraId="2E2BA4A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2 роты 1 батальона 46 полка 30 немецкой пехотной дивизии Альфонс Вичурек рассказал: «Наш батальон занимал оборону в районе С. и подвергался непрерывным атакам. Русские обрушивали на нас шквал артиллерийского, миномётного и пулемётного огня. Батальон был разгромлен и почти полностью ликвидирован. Из 500 человек осталось только 30. Во 2 роте насчитывается всего лишь 6 человек. Все офицеры и фельдфебели выбыли из строя. Командир батальона капитан фон Норс ранен. На весь батальон остался один унтер-офицер.</w:t>
      </w:r>
    </w:p>
    <w:p w14:paraId="5B59873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Ефрейтор 7 роты 511 полка 293 немецкой пехотной дивизии О. Пфефер писал недавно своим родным: «...То, что приходится переживать и переносить здесь,— это действительно ужасно. Все питали надежду на то, что нас сменят, но сейчас об этом и думать нечего. Я очень опустился. Думаю, что вы бы меня не узнали. Я предчувствую, что мы медленно, но верно приближаемся к гибели».</w:t>
      </w:r>
    </w:p>
    <w:p w14:paraId="14A456C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городе Тессендерлоо (Бельгия) произошёл взрыв на химическом заводе, вырабатывающем продукцию для немецкой армии. Как сообщают, во время взрыва 2000 человек убито и 1.000 ранено.» (14879).</w:t>
      </w:r>
    </w:p>
    <w:p w14:paraId="7FA2641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3E7997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 по 19 мая 1942 полк в течение семи ночей совершал боевые вылеты. В шести боевых донесениях, описывающих эти вылеты, отсутствуют заводские номера само</w:t>
      </w:r>
      <w:r w:rsidRPr="008127F8">
        <w:rPr>
          <w:rFonts w:ascii="Times New Roman" w:hAnsi="Times New Roman"/>
          <w:color w:val="000000" w:themeColor="text1"/>
          <w:sz w:val="16"/>
          <w:szCs w:val="16"/>
        </w:rPr>
        <w:softHyphen/>
        <w:t>летов, принимавших в них участие. Лишь в одном боевом донесении они все перечисле</w:t>
      </w:r>
      <w:r w:rsidRPr="008127F8">
        <w:rPr>
          <w:rFonts w:ascii="Times New Roman" w:hAnsi="Times New Roman"/>
          <w:color w:val="000000" w:themeColor="text1"/>
          <w:sz w:val="16"/>
          <w:szCs w:val="16"/>
        </w:rPr>
        <w:softHyphen/>
        <w:t>ны, но №42066 там нет. Остающийся в СССР ТБ-7 №42076 в этих вылетах участие прини</w:t>
      </w:r>
      <w:r w:rsidRPr="008127F8">
        <w:rPr>
          <w:rFonts w:ascii="Times New Roman" w:hAnsi="Times New Roman"/>
          <w:color w:val="000000" w:themeColor="text1"/>
          <w:sz w:val="16"/>
          <w:szCs w:val="16"/>
        </w:rPr>
        <w:softHyphen/>
        <w:t>мал, и 17 мая при посадке на своем аэродро</w:t>
      </w:r>
      <w:r w:rsidRPr="008127F8">
        <w:rPr>
          <w:rFonts w:ascii="Times New Roman" w:hAnsi="Times New Roman"/>
          <w:color w:val="000000" w:themeColor="text1"/>
          <w:sz w:val="16"/>
          <w:szCs w:val="16"/>
        </w:rPr>
        <w:softHyphen/>
        <w:t>ме после выполнения боевого вылета коман</w:t>
      </w:r>
      <w:r w:rsidRPr="008127F8">
        <w:rPr>
          <w:rFonts w:ascii="Times New Roman" w:hAnsi="Times New Roman"/>
          <w:color w:val="000000" w:themeColor="text1"/>
          <w:sz w:val="16"/>
          <w:szCs w:val="16"/>
        </w:rPr>
        <w:softHyphen/>
        <w:t>дир корабля майор Пахомчик допустил пла</w:t>
      </w:r>
      <w:r w:rsidRPr="008127F8">
        <w:rPr>
          <w:rFonts w:ascii="Times New Roman" w:hAnsi="Times New Roman"/>
          <w:color w:val="000000" w:themeColor="text1"/>
          <w:sz w:val="16"/>
          <w:szCs w:val="16"/>
        </w:rPr>
        <w:softHyphen/>
        <w:t>нирование на повышенной скорости, сел с перелетом, на пробеге было упущено направ</w:t>
      </w:r>
      <w:r w:rsidRPr="008127F8">
        <w:rPr>
          <w:rFonts w:ascii="Times New Roman" w:hAnsi="Times New Roman"/>
          <w:color w:val="000000" w:themeColor="text1"/>
          <w:sz w:val="16"/>
          <w:szCs w:val="16"/>
        </w:rPr>
        <w:softHyphen/>
        <w:t>ление и самолет выкатился на стоянку истре</w:t>
      </w:r>
      <w:r w:rsidRPr="008127F8">
        <w:rPr>
          <w:rFonts w:ascii="Times New Roman" w:hAnsi="Times New Roman"/>
          <w:color w:val="000000" w:themeColor="text1"/>
          <w:sz w:val="16"/>
          <w:szCs w:val="16"/>
        </w:rPr>
        <w:softHyphen/>
        <w:t>бителей, столкнувшись там с ЛаГГ-3. В результате оба самолета были разбиты, одна</w:t>
      </w:r>
      <w:r w:rsidRPr="008127F8">
        <w:rPr>
          <w:rFonts w:ascii="Times New Roman" w:hAnsi="Times New Roman"/>
          <w:color w:val="000000" w:themeColor="text1"/>
          <w:sz w:val="16"/>
          <w:szCs w:val="16"/>
        </w:rPr>
        <w:softHyphen/>
        <w:t>ко ТБ-7 №42076 был отремонтирован и вое</w:t>
      </w:r>
      <w:r w:rsidRPr="008127F8">
        <w:rPr>
          <w:rFonts w:ascii="Times New Roman" w:hAnsi="Times New Roman"/>
          <w:color w:val="000000" w:themeColor="text1"/>
          <w:sz w:val="16"/>
          <w:szCs w:val="16"/>
        </w:rPr>
        <w:softHyphen/>
        <w:t>вал до Победы, оказавшись в итоге един</w:t>
      </w:r>
      <w:r w:rsidRPr="008127F8">
        <w:rPr>
          <w:rFonts w:ascii="Times New Roman" w:hAnsi="Times New Roman"/>
          <w:color w:val="000000" w:themeColor="text1"/>
          <w:sz w:val="16"/>
          <w:szCs w:val="16"/>
        </w:rPr>
        <w:softHyphen/>
        <w:t>ственным ТБ-7 шестой серии, пережившим войну (19936).</w:t>
      </w:r>
    </w:p>
    <w:p w14:paraId="36F7E1B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E9B28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1942 вышло Постановление ГКО № 1681 Вопросы ВВС. РГАНИР, Фонд ГКО, д. 32, лл. 99 (11012).</w:t>
      </w:r>
    </w:p>
    <w:p w14:paraId="015E92F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38CA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1942 вышло Постановление ГКО № 1682 Об укомплектовании и обеспечении Юго-Западного и Южного фронтов. РГАНИР, Фонд ГКО, д. 32, лл. 100-101 (11012).</w:t>
      </w:r>
    </w:p>
    <w:p w14:paraId="31C02F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F520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3AE5CF2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48055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в 1942 году потоплен крейсер «Эдинбург» с 5 тонами золота (14879).</w:t>
      </w:r>
    </w:p>
    <w:p w14:paraId="6F00817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1737CF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468CBA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D822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1942 англичане оставили Ирравади (2261).</w:t>
      </w:r>
    </w:p>
    <w:p w14:paraId="41C234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5F134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1942 американские бомбардировщики отозваны с бомбежек Японии с тем, чтобы бомбить вулкан Мауна Лоа на Гавайских островах для поворота лавы от города Хило (4962).</w:t>
      </w:r>
    </w:p>
    <w:p w14:paraId="24732F3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E6E8B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1942 Японский авианосец Mizuho тонет с потерей 101 человека после того, как подводная лодка ВМС США USS Drum (SS-228) торпедировала его поздно вечером в 40 морских милях (74 км) от Омаэдзаки, Япония. Выжило 472 человека (20793).</w:t>
      </w:r>
    </w:p>
    <w:p w14:paraId="427B3E0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D07623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1942 Бразилия разорвала дипотношения с Венгрией (3186).</w:t>
      </w:r>
    </w:p>
    <w:p w14:paraId="6F4ECED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62BE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03A4E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005790" w14:textId="77777777" w:rsidR="00271CE9" w:rsidRPr="008A2E5A" w:rsidRDefault="00271CE9" w:rsidP="00271CE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3/9 мая 1942 г. совместным приказом НКАП и ВВС от был упорядочен процесс приемки и перегонки самоле</w:t>
      </w:r>
      <w:r w:rsidRPr="008A2E5A">
        <w:rPr>
          <w:rFonts w:ascii="Times New Roman" w:hAnsi="Times New Roman"/>
          <w:color w:val="0070C0"/>
          <w:sz w:val="16"/>
          <w:szCs w:val="16"/>
        </w:rPr>
        <w:softHyphen/>
        <w:t>тов Ил-2 с заводов № 1 и 18 на аэродромы 1-й запасной ави</w:t>
      </w:r>
      <w:r w:rsidRPr="008A2E5A">
        <w:rPr>
          <w:rFonts w:ascii="Times New Roman" w:hAnsi="Times New Roman"/>
          <w:color w:val="0070C0"/>
          <w:sz w:val="16"/>
          <w:szCs w:val="16"/>
        </w:rPr>
        <w:softHyphen/>
        <w:t>ационной бригады. Передача готовых по бою самолетов и их оформление теперь осуществлялись военпредами заводов совместно с инженерно-техническим составом бригады и маршевых полков. При этом старшие ин</w:t>
      </w:r>
      <w:r w:rsidRPr="008A2E5A">
        <w:rPr>
          <w:rFonts w:ascii="Times New Roman" w:hAnsi="Times New Roman"/>
          <w:color w:val="0070C0"/>
          <w:sz w:val="16"/>
          <w:szCs w:val="16"/>
        </w:rPr>
        <w:softHyphen/>
        <w:t>женеры полков должны были ежедневно докладывать главному инженеру бригады о ходе приемки самолетов. На каждый боеготовый самолет и мотор оформлялись паспорта с соответствующим номером, а на каждый де</w:t>
      </w:r>
      <w:r w:rsidRPr="008A2E5A">
        <w:rPr>
          <w:rFonts w:ascii="Times New Roman" w:hAnsi="Times New Roman"/>
          <w:color w:val="0070C0"/>
          <w:sz w:val="16"/>
          <w:szCs w:val="16"/>
        </w:rPr>
        <w:softHyphen/>
        <w:t>фектный Ил-2 составлялась дефектная ведомость, куда военпреды вносили обнаруженные неисправности (23346).</w:t>
      </w:r>
    </w:p>
    <w:p w14:paraId="082C07F5" w14:textId="77777777" w:rsidR="00271CE9" w:rsidRPr="008A2E5A" w:rsidRDefault="00271CE9" w:rsidP="00271CE9">
      <w:pPr>
        <w:spacing w:after="0" w:line="240" w:lineRule="auto"/>
        <w:jc w:val="both"/>
        <w:rPr>
          <w:rFonts w:ascii="Times New Roman" w:hAnsi="Times New Roman"/>
          <w:color w:val="0070C0"/>
          <w:sz w:val="16"/>
          <w:szCs w:val="16"/>
        </w:rPr>
      </w:pPr>
    </w:p>
    <w:p w14:paraId="27CFAE6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мая 1942 было подготовлено Заключение НКАП по проекту постановления ГКО по обеспечению самолетовождения в сложных метеоусловиях по предложению ВВС КА (1634,101):</w:t>
      </w:r>
    </w:p>
    <w:p w14:paraId="656222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Раздел А. Для тяжелых и дальних бомбардировщиков</w:t>
      </w:r>
    </w:p>
    <w:p w14:paraId="00CC79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установка автопилотов или автомата курса на серийных самолетах производится в количестве и сроки по дополнительному согласованию с НКАП</w:t>
      </w:r>
    </w:p>
    <w:p w14:paraId="3F4B494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применение автоштурмана или упрощенного курсографа допускается по особому заказу, в количествах и сроки, согласованные с НКАП</w:t>
      </w:r>
    </w:p>
    <w:p w14:paraId="4646CC7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установка антиобледенителей на плоскости и хвостовое оперение для самолетов, находящихся в серийном производстве - исключить</w:t>
      </w:r>
    </w:p>
    <w:p w14:paraId="251E9B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Раздел 2</w:t>
      </w:r>
    </w:p>
    <w:p w14:paraId="223FF55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 2</w:t>
      </w:r>
    </w:p>
    <w:p w14:paraId="0AB39F7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установку автомата курса на ДБ-3Ф - не производить. Отработка автомата курса на ДБ-3Ф не производилась</w:t>
      </w:r>
    </w:p>
    <w:p w14:paraId="27F8523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текущем году ограничиться установкой на 100 ДБ-3Ф автопилота (на 3 степени стабилизации)...</w:t>
      </w:r>
    </w:p>
    <w:p w14:paraId="7C761F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 3</w:t>
      </w:r>
    </w:p>
    <w:p w14:paraId="5A9337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переход на установку РСР-1 вместо РСБбис по ПС-84 и ДБ-3Ф произвести не с 3 кв. 1942, а в течение 2 полугодия 1942</w:t>
      </w:r>
    </w:p>
    <w:p w14:paraId="5CB4DAF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 4</w:t>
      </w:r>
    </w:p>
    <w:p w14:paraId="214255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Сохранить на 3 кв. 1942 принятую пропорцию установкип/п станций на Як, ЛаГГ и Ил-2, т.е. на 1/5 выпускаемых с переходом в 4 кв. на 1/3</w:t>
      </w:r>
    </w:p>
    <w:p w14:paraId="08DA130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 6</w:t>
      </w:r>
    </w:p>
    <w:p w14:paraId="31184A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срок применения РПК-10 (малогабаритный с неподвижной рамкой) на Як, ЛаГГ и Ил-2 установить с 1 июля 1942 для заводов Московско-Волжско-Горьковской зоны и с 1 сентября для остальных в соотношении 1/3 к выпускаемым самолетам до конца года.</w:t>
      </w:r>
    </w:p>
    <w:p w14:paraId="0BF9BBB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 11</w:t>
      </w:r>
    </w:p>
    <w:p w14:paraId="06A2316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Изменить редакцию</w:t>
      </w:r>
    </w:p>
    <w:p w14:paraId="174DBD1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Оказать техпомощь ВВС КА на установку непосредственно в частях ВВС ранее выпущенной партии в 25 курсографов КГУ для чего, по указанию последнего, НКАП немедленно выделить бригаду специалистов. Дополнительный заказ на 30 курсографов с их изготовлением в текущем году и установкой на ДБ-3Ф - принимается...(1634,103).</w:t>
      </w:r>
    </w:p>
    <w:p w14:paraId="1C5C0D8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ЗАКЛЮЧЕНИЕ</w:t>
      </w:r>
    </w:p>
    <w:p w14:paraId="128086C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Народного Комиссариата Авиационной промышленности по проекту постановления ГКО СССР по обеспечению самолетовождения в сложных метеоусловиях, по предложению ВВС КА</w:t>
      </w:r>
    </w:p>
    <w:p w14:paraId="67C0699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 предлагаемую систему оборудования самолетов внести следующие изменения и дополнения:</w:t>
      </w:r>
    </w:p>
    <w:p w14:paraId="5B9FE77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раздел А. Для тяжелых и дальних бомбардировщиков</w:t>
      </w:r>
    </w:p>
    <w:p w14:paraId="2080057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Установка автопилотов или автомата курса на серийных самолетах производится в количествах и сроки по согласованию с НКАП.</w:t>
      </w:r>
    </w:p>
    <w:p w14:paraId="6A5D9CE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Применение автоштурмана или упрощенного курсографа допускается по особому заказу, в количествах и сроки согласованные с НКАП.</w:t>
      </w:r>
    </w:p>
    <w:p w14:paraId="24588C5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Установку антиобледенителей на плоскости и хвостовое оперение для самолетов находящихся в серийном произве - исключить.</w:t>
      </w:r>
    </w:p>
    <w:p w14:paraId="740C408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Раздел П</w:t>
      </w:r>
    </w:p>
    <w:p w14:paraId="1513E52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Пункт 1. Установку автопилотов но самолетах ПС84 начиная-с 1 июня производить в соотношении один к двум, выпускаемых самолетов,</w:t>
      </w:r>
    </w:p>
    <w:p w14:paraId="374B549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Пункт 2</w:t>
      </w:r>
      <w:r w:rsidRPr="008127F8">
        <w:rPr>
          <w:rFonts w:ascii="Times New Roman" w:hAnsi="Times New Roman"/>
          <w:color w:val="000000" w:themeColor="text1"/>
          <w:sz w:val="16"/>
          <w:szCs w:val="16"/>
        </w:rPr>
        <w:t xml:space="preserve"> а) Установку автомата курса на самоелте ДБ-3Ф не производить. Отработка установки автомата курса на самолете ДБ-3Ф не производилась.</w:t>
      </w:r>
    </w:p>
    <w:p w14:paraId="5FF9515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В</w:t>
      </w:r>
      <w:r w:rsidRPr="008127F8">
        <w:rPr>
          <w:rFonts w:ascii="Times New Roman" w:hAnsi="Times New Roman"/>
          <w:color w:val="000000" w:themeColor="text1"/>
          <w:sz w:val="16"/>
          <w:szCs w:val="16"/>
        </w:rPr>
        <w:t xml:space="preserve"> текущем году ограничиться уетановкой на самолетах ДБ-3Ф автопилота (на 3 степени стабилизации).</w:t>
      </w:r>
    </w:p>
    <w:p w14:paraId="7AB255B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Установку автомата курса на самолетах Пе-2 и Пе-3 в разведывательном варианте ограничить 500 комплексами в 1942 году.</w:t>
      </w:r>
    </w:p>
    <w:p w14:paraId="268E2E0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На самолете Пе-3 оставить радиостанцию РСИ-4 так как по своим габаритам радиостанция РСБ бис без значительныхпеределок не может быть размещена на самолете.</w:t>
      </w:r>
    </w:p>
    <w:p w14:paraId="3788D4B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Переход на установку радиостанции РСВ-1 вместо радиостанции РСБ бис по самолетам ПС-84 и ДБ-3Ф произвести не с Ш квар</w:t>
      </w:r>
      <w:r w:rsidRPr="008127F8">
        <w:rPr>
          <w:rFonts w:ascii="Times New Roman" w:hAnsi="Times New Roman"/>
          <w:color w:val="000000" w:themeColor="text1"/>
          <w:sz w:val="16"/>
          <w:szCs w:val="16"/>
        </w:rPr>
        <w:softHyphen/>
        <w:t>тала 1942 года, а в течение П полугодия 1942 года.</w:t>
      </w:r>
    </w:p>
    <w:p w14:paraId="1755CC0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Пункт 4</w:t>
      </w:r>
      <w:r w:rsidRPr="008127F8">
        <w:rPr>
          <w:rFonts w:ascii="Times New Roman" w:hAnsi="Times New Roman"/>
          <w:color w:val="000000" w:themeColor="text1"/>
          <w:sz w:val="16"/>
          <w:szCs w:val="16"/>
        </w:rPr>
        <w:t xml:space="preserve"> Сохранить на Ш квартал 1942 года принятую пропор</w:t>
      </w:r>
      <w:r w:rsidRPr="008127F8">
        <w:rPr>
          <w:rFonts w:ascii="Times New Roman" w:hAnsi="Times New Roman"/>
          <w:color w:val="000000" w:themeColor="text1"/>
          <w:sz w:val="16"/>
          <w:szCs w:val="16"/>
        </w:rPr>
        <w:softHyphen/>
        <w:t>цию установки приемо-передащих станций на самолетах Як, .ЛаГГ и Ил-2 т.е. прменять на 1/5 выпускаемых самолетов с переходом в 1У кв. из расчета 1/3 всего выпуска.</w:t>
      </w:r>
    </w:p>
    <w:p w14:paraId="5180BD9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Пункт 5</w:t>
      </w:r>
      <w:r w:rsidRPr="008127F8">
        <w:rPr>
          <w:rFonts w:ascii="Times New Roman" w:hAnsi="Times New Roman"/>
          <w:color w:val="000000" w:themeColor="text1"/>
          <w:sz w:val="16"/>
          <w:szCs w:val="16"/>
        </w:rPr>
        <w:t xml:space="preserve"> Исключить установку радиополукомпаса РПК2 /с по</w:t>
      </w:r>
      <w:r w:rsidRPr="008127F8">
        <w:rPr>
          <w:rFonts w:ascii="Times New Roman" w:hAnsi="Times New Roman"/>
          <w:color w:val="000000" w:themeColor="text1"/>
          <w:sz w:val="16"/>
          <w:szCs w:val="16"/>
        </w:rPr>
        <w:softHyphen/>
        <w:t>воротной рамкой/ на самолете Пе-2, а перейти на применение радиополукомпаса РПК10 /малогабаритный с неподвижной рамкой/ в соответствии с ранее принятым решением</w:t>
      </w:r>
    </w:p>
    <w:p w14:paraId="52F671F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Пункт 6 а) Срок применения РПК10 да самолетах Як, Лагг и Ил-2 установить с 1.УП.42 года для зоводов Моковско-Волжско-Горьковской зоны и с 1.1Х для остальннх заводов в соотношении один к трем выпускаемых самолетов до конца текуцего года.</w:t>
      </w:r>
    </w:p>
    <w:p w14:paraId="53800E3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На- самолетах Пе-2 по использованию задела РПК-2 в соотношениях:</w:t>
      </w:r>
    </w:p>
    <w:p w14:paraId="72AD3D5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 и Ш кв. - </w:t>
      </w:r>
      <w:r w:rsidRPr="008127F8">
        <w:rPr>
          <w:rFonts w:ascii="Times New Roman" w:hAnsi="Times New Roman"/>
          <w:iCs/>
          <w:color w:val="000000" w:themeColor="text1"/>
          <w:sz w:val="16"/>
          <w:szCs w:val="16"/>
        </w:rPr>
        <w:t xml:space="preserve">1/3 </w:t>
      </w:r>
      <w:r w:rsidRPr="008127F8">
        <w:rPr>
          <w:rFonts w:ascii="Times New Roman" w:hAnsi="Times New Roman"/>
          <w:color w:val="000000" w:themeColor="text1"/>
          <w:sz w:val="16"/>
          <w:szCs w:val="16"/>
        </w:rPr>
        <w:t>выпуска и</w:t>
      </w:r>
    </w:p>
    <w:p w14:paraId="7B1861F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1У квартале на всех самолетах</w:t>
      </w:r>
    </w:p>
    <w:p w14:paraId="717335B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 самолете Ту~2 полностью с первого самолета</w:t>
      </w:r>
    </w:p>
    <w:p w14:paraId="6BDFB5F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На самолетах Пе-3 с Ш квартала на 1/5 выпуска, а в 1У кв. на всех самолетах.</w:t>
      </w:r>
    </w:p>
    <w:p w14:paraId="0054CFE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u w:val="single"/>
        </w:rPr>
        <w:t>Пункт 8</w:t>
      </w:r>
      <w:r w:rsidRPr="008127F8">
        <w:rPr>
          <w:rFonts w:ascii="Times New Roman" w:hAnsi="Times New Roman"/>
          <w:color w:val="000000" w:themeColor="text1"/>
          <w:sz w:val="16"/>
          <w:szCs w:val="16"/>
        </w:rPr>
        <w:t xml:space="preserve"> Установку авиагоризонта на самолетах У-2 и варио</w:t>
      </w:r>
      <w:r w:rsidRPr="008127F8">
        <w:rPr>
          <w:rFonts w:ascii="Times New Roman" w:hAnsi="Times New Roman"/>
          <w:color w:val="000000" w:themeColor="text1"/>
          <w:sz w:val="16"/>
          <w:szCs w:val="16"/>
        </w:rPr>
        <w:softHyphen/>
        <w:t>метра ва самолетах Як начать не с 15 мая, а с 1 июля т. г.</w:t>
      </w:r>
    </w:p>
    <w:p w14:paraId="50B783B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Пункт 9 Отклои»ь, т.к..речь идет о дополнительной ус</w:t>
      </w:r>
      <w:r w:rsidRPr="008127F8">
        <w:rPr>
          <w:rFonts w:ascii="Times New Roman" w:hAnsi="Times New Roman"/>
          <w:color w:val="000000" w:themeColor="text1"/>
          <w:sz w:val="16"/>
          <w:szCs w:val="16"/>
        </w:rPr>
        <w:softHyphen/>
        <w:t>тановке часову стрелков-радистов</w:t>
      </w:r>
    </w:p>
    <w:p w14:paraId="2B43E37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Пункт 10 Принять лишь усеановкой с 1У квартала в количествах дополнительно согласованных с НКАП.</w:t>
      </w:r>
    </w:p>
    <w:p w14:paraId="6679022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Прибора в еерийном производстве нет.</w:t>
      </w:r>
    </w:p>
    <w:p w14:paraId="4B544A1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Пункт 11 Изменить редакцию - оказать техническую помощь ВВС КА на установку непосредственно в частях ВВС КА ранее выпущенной партии в 25 курсографов КГУ для чего, по указанию посдеднего, НКАП немедленно выделить бригаду специалистов. До~ полнительный заказ на 30 курсографов с их изготовлением в тек щем году и установкой на самолетах ЛБ-3Ф - принимается.</w:t>
      </w:r>
      <w:r w:rsidRPr="008127F8">
        <w:rPr>
          <w:rFonts w:ascii="Times New Roman" w:hAnsi="Times New Roman"/>
          <w:color w:val="000000" w:themeColor="text1"/>
          <w:sz w:val="16"/>
          <w:szCs w:val="16"/>
          <w:vertAlign w:val="superscript"/>
        </w:rPr>
        <w:t>;</w:t>
      </w:r>
    </w:p>
    <w:p w14:paraId="7BAA34F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Пункт 12 - отклоняется.</w:t>
      </w:r>
    </w:p>
    <w:p w14:paraId="4BBF73F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Пункт 13 В данную поставку засчитать выполненные заказы для ВВС КА за 4 месяца.По отдельным позициям принимается:</w:t>
      </w:r>
    </w:p>
    <w:p w14:paraId="0AD0FBC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АвтопилотыАПР-1 и АВП-200</w:t>
      </w:r>
      <w:r w:rsidRPr="008127F8">
        <w:rPr>
          <w:rFonts w:ascii="Times New Roman" w:hAnsi="Times New Roman"/>
          <w:color w:val="000000" w:themeColor="text1"/>
          <w:sz w:val="16"/>
          <w:szCs w:val="16"/>
        </w:rPr>
        <w:tab/>
        <w:t xml:space="preserve"> - 25 комп.</w:t>
      </w:r>
    </w:p>
    <w:p w14:paraId="0E58302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Автомат курса </w:t>
      </w:r>
      <w:r w:rsidRPr="008127F8">
        <w:rPr>
          <w:rFonts w:ascii="Times New Roman" w:hAnsi="Times New Roman"/>
          <w:color w:val="000000" w:themeColor="text1"/>
          <w:sz w:val="16"/>
          <w:szCs w:val="16"/>
        </w:rPr>
        <w:tab/>
        <w:t>- 25 комп.</w:t>
      </w:r>
    </w:p>
    <w:p w14:paraId="683D063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Авиагоризонт АГ и АГП</w:t>
      </w:r>
      <w:r w:rsidRPr="008127F8">
        <w:rPr>
          <w:rFonts w:ascii="Times New Roman" w:hAnsi="Times New Roman"/>
          <w:color w:val="000000" w:themeColor="text1"/>
          <w:sz w:val="16"/>
          <w:szCs w:val="16"/>
        </w:rPr>
        <w:tab/>
        <w:t xml:space="preserve"> - 2500</w:t>
      </w:r>
    </w:p>
    <w:p w14:paraId="08252E7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Гиромагнитный компас</w:t>
      </w:r>
      <w:r w:rsidRPr="008127F8">
        <w:rPr>
          <w:rFonts w:ascii="Times New Roman" w:hAnsi="Times New Roman"/>
          <w:color w:val="000000" w:themeColor="text1"/>
          <w:sz w:val="16"/>
          <w:szCs w:val="16"/>
        </w:rPr>
        <w:tab/>
        <w:t>- 1000</w:t>
      </w:r>
    </w:p>
    <w:p w14:paraId="1574A96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остальным позициям поставка принимается (1634).</w:t>
      </w:r>
    </w:p>
    <w:p w14:paraId="3793BF4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1D6E4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мая 1942 вышло Постановление ГКО № 1694 О восстановлении производства самолетов ТБ-7 с моторами АМ-35А на заводе № 22 в г.Казани. РГАНИР, Фонд ГКО, д. 32, лл. 243-244 (11012).</w:t>
      </w:r>
    </w:p>
    <w:p w14:paraId="161CFD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4450E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мая 1942 вышло постановление ГКО № ГОКО-1658сс О восстановлении производства самолетов ТБ-7 с моторами АЦ-35А на заводе № 22 в г.Казани.</w:t>
      </w:r>
    </w:p>
    <w:p w14:paraId="64E1195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Обязать Наркомавиапром тов.Шахурина, директора заво</w:t>
      </w:r>
      <w:r w:rsidRPr="008127F8">
        <w:rPr>
          <w:rFonts w:ascii="Times New Roman" w:hAnsi="Times New Roman"/>
          <w:color w:val="000000" w:themeColor="text1"/>
          <w:sz w:val="16"/>
          <w:szCs w:val="16"/>
        </w:rPr>
        <w:softHyphen/>
        <w:t>да № 22 тов.Окулова восстановить на заводе № 22 в Казани производство самолетов ТБ-7 с моторами АМ-35А.</w:t>
      </w:r>
    </w:p>
    <w:p w14:paraId="2A96140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Обязать Наркомавиапром тов.Шахурина и директора заво</w:t>
      </w:r>
      <w:r w:rsidRPr="008127F8">
        <w:rPr>
          <w:rFonts w:ascii="Times New Roman" w:hAnsi="Times New Roman"/>
          <w:color w:val="000000" w:themeColor="text1"/>
          <w:sz w:val="16"/>
          <w:szCs w:val="16"/>
        </w:rPr>
        <w:softHyphen/>
        <w:t>да S? 22 тов.Окулова создать самостоятельное производство само</w:t>
      </w:r>
      <w:r w:rsidRPr="008127F8">
        <w:rPr>
          <w:rFonts w:ascii="Times New Roman" w:hAnsi="Times New Roman"/>
          <w:color w:val="000000" w:themeColor="text1"/>
          <w:sz w:val="16"/>
          <w:szCs w:val="16"/>
        </w:rPr>
        <w:softHyphen/>
        <w:t>летов ТБ-7 на заводе № 22, выделить необходимые специальные цеха и утвердить начальника производства самолетов ТБ-7.</w:t>
      </w:r>
    </w:p>
    <w:p w14:paraId="5A8ACF7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Утвердить главным конструктором завода № 22 по само</w:t>
      </w:r>
      <w:r w:rsidRPr="008127F8">
        <w:rPr>
          <w:rFonts w:ascii="Times New Roman" w:hAnsi="Times New Roman"/>
          <w:color w:val="000000" w:themeColor="text1"/>
          <w:sz w:val="16"/>
          <w:szCs w:val="16"/>
        </w:rPr>
        <w:softHyphen/>
        <w:t>лету ТБ-7 тов.Незваль.</w:t>
      </w:r>
    </w:p>
    <w:p w14:paraId="1A47002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Установить программу по выпуску самолетов ТБ-7 на за</w:t>
      </w:r>
      <w:r w:rsidRPr="008127F8">
        <w:rPr>
          <w:rFonts w:ascii="Times New Roman" w:hAnsi="Times New Roman"/>
          <w:color w:val="000000" w:themeColor="text1"/>
          <w:sz w:val="16"/>
          <w:szCs w:val="16"/>
        </w:rPr>
        <w:softHyphen/>
        <w:t>воде № 22 на 1942 год в количестве 34 самолетов, из них:</w:t>
      </w:r>
    </w:p>
    <w:p w14:paraId="30DD707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- 4 самолета</w:t>
      </w:r>
    </w:p>
    <w:p w14:paraId="3A2F998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июле -5</w:t>
      </w:r>
    </w:p>
    <w:p w14:paraId="4F22DC1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августе -5</w:t>
      </w:r>
    </w:p>
    <w:p w14:paraId="0763243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сентябре -5</w:t>
      </w:r>
    </w:p>
    <w:p w14:paraId="0171507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октябре -5</w:t>
      </w:r>
    </w:p>
    <w:p w14:paraId="732889B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ноябре -5</w:t>
      </w:r>
    </w:p>
    <w:p w14:paraId="7538434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декабре -5</w:t>
      </w:r>
    </w:p>
    <w:p w14:paraId="0A7A656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Обяэать секретаря Татарского обкома тов.Колыбанова, председателя СНК Татарской республики тов.Гафиатуллина выде</w:t>
      </w:r>
      <w:r w:rsidRPr="008127F8">
        <w:rPr>
          <w:rFonts w:ascii="Times New Roman" w:hAnsi="Times New Roman"/>
          <w:color w:val="000000" w:themeColor="text1"/>
          <w:sz w:val="16"/>
          <w:szCs w:val="16"/>
        </w:rPr>
        <w:softHyphen/>
        <w:t>лить в г.Казани 25.000 кв.мтр.жилой плошади для расселения рабочих и служащих завода № 22 за счет выселения из г.Каэани в районы Татарской республики соответствующего количества граж</w:t>
      </w:r>
      <w:r w:rsidRPr="008127F8">
        <w:rPr>
          <w:rFonts w:ascii="Times New Roman" w:hAnsi="Times New Roman"/>
          <w:color w:val="000000" w:themeColor="text1"/>
          <w:sz w:val="16"/>
          <w:szCs w:val="16"/>
        </w:rPr>
        <w:softHyphen/>
        <w:t>данского населения, не связанного с промышленностью.</w:t>
      </w:r>
    </w:p>
    <w:p w14:paraId="1490A2B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Обязать Наркомтанкопром тов.Малышева возобновить с мая 1942 года поставку деталей горячей штамповки с Сталинград</w:t>
      </w:r>
      <w:r w:rsidRPr="008127F8">
        <w:rPr>
          <w:rFonts w:ascii="Times New Roman" w:hAnsi="Times New Roman"/>
          <w:color w:val="000000" w:themeColor="text1"/>
          <w:sz w:val="16"/>
          <w:szCs w:val="16"/>
        </w:rPr>
        <w:softHyphen/>
        <w:t>ского тракторного завода в количестве 13 наименований для са</w:t>
      </w:r>
      <w:r w:rsidRPr="008127F8">
        <w:rPr>
          <w:rFonts w:ascii="Times New Roman" w:hAnsi="Times New Roman"/>
          <w:color w:val="000000" w:themeColor="text1"/>
          <w:sz w:val="16"/>
          <w:szCs w:val="16"/>
        </w:rPr>
        <w:softHyphen/>
        <w:t>молета ТБ-7, ранее поставлявшихся заводу № 124,</w:t>
      </w:r>
    </w:p>
    <w:p w14:paraId="0BC01EB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Обязать Наркомчермет тов.Тевосяна обеспечить, начиная с мая 1942 года, изготовление и поставку в счет фондоБ НКАД с Новотрубного и Синарского заводов Главтрубостали стальных труб специальных размеров для производства самолетов ТБ-7, по специ</w:t>
      </w:r>
      <w:r w:rsidRPr="008127F8">
        <w:rPr>
          <w:rFonts w:ascii="Times New Roman" w:hAnsi="Times New Roman"/>
          <w:color w:val="000000" w:themeColor="text1"/>
          <w:sz w:val="16"/>
          <w:szCs w:val="16"/>
        </w:rPr>
        <w:softHyphen/>
        <w:t>фикации завода № 22 и в количествах, необходимых для производ</w:t>
      </w:r>
      <w:r w:rsidRPr="008127F8">
        <w:rPr>
          <w:rFonts w:ascii="Times New Roman" w:hAnsi="Times New Roman"/>
          <w:color w:val="000000" w:themeColor="text1"/>
          <w:sz w:val="16"/>
          <w:szCs w:val="16"/>
        </w:rPr>
        <w:softHyphen/>
        <w:t>ства самолетов по программе, утвержденной настоящим постанов</w:t>
      </w:r>
      <w:r w:rsidRPr="008127F8">
        <w:rPr>
          <w:rFonts w:ascii="Times New Roman" w:hAnsi="Times New Roman"/>
          <w:color w:val="000000" w:themeColor="text1"/>
          <w:sz w:val="16"/>
          <w:szCs w:val="16"/>
        </w:rPr>
        <w:softHyphen/>
        <w:t>лением.</w:t>
      </w:r>
    </w:p>
    <w:p w14:paraId="6466A46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Наркомсовхозов передать в ведение треста № 14 совхов "Приволжский" в селе Кинешма Куйбышевского района Татарской АССР со всем закрепленным за ним земельным фондом, живым и мертвым инвентарем.</w:t>
      </w:r>
    </w:p>
    <w:p w14:paraId="50BDC20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Обязать Наркомавиапром тов.Шахурина производить само</w:t>
      </w:r>
      <w:r w:rsidRPr="008127F8">
        <w:rPr>
          <w:rFonts w:ascii="Times New Roman" w:hAnsi="Times New Roman"/>
          <w:color w:val="000000" w:themeColor="text1"/>
          <w:sz w:val="16"/>
          <w:szCs w:val="16"/>
        </w:rPr>
        <w:softHyphen/>
        <w:t>стоятельное премирование руководящего и инженерно-техническо- го состава эавода 22, занятого на производстве самолета ТБ-7, за выполнение месячных планов в размере до 2-х месячных окла</w:t>
      </w:r>
      <w:r w:rsidRPr="008127F8">
        <w:rPr>
          <w:rFonts w:ascii="Times New Roman" w:hAnsi="Times New Roman"/>
          <w:color w:val="000000" w:themeColor="text1"/>
          <w:sz w:val="16"/>
          <w:szCs w:val="16"/>
        </w:rPr>
        <w:softHyphen/>
        <w:t>дов.</w:t>
      </w:r>
    </w:p>
    <w:p w14:paraId="1ACA8D9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Для премирования строителей и монтажников за выпол</w:t>
      </w:r>
      <w:r w:rsidRPr="008127F8">
        <w:rPr>
          <w:rFonts w:ascii="Times New Roman" w:hAnsi="Times New Roman"/>
          <w:color w:val="000000" w:themeColor="text1"/>
          <w:sz w:val="16"/>
          <w:szCs w:val="16"/>
        </w:rPr>
        <w:softHyphen/>
        <w:t>нение в установленные сроки указанных об»ектов выделить иэ спецфонда СНК СССР 300.000 рублей на премирование отличивших</w:t>
      </w:r>
      <w:r w:rsidRPr="008127F8">
        <w:rPr>
          <w:rFonts w:ascii="Times New Roman" w:hAnsi="Times New Roman"/>
          <w:color w:val="000000" w:themeColor="text1"/>
          <w:sz w:val="16"/>
          <w:szCs w:val="16"/>
        </w:rPr>
        <w:softHyphen/>
        <w:t>ся рабочих и ИТР, иэ коих ваводу № 22 - 100 тыс.рублей и Стройтресту № 14 - 200.тыс.рублей.</w:t>
      </w:r>
    </w:p>
    <w:p w14:paraId="67A6D96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Обявать Наркомторг СССР тов.Любимова выделить для завода № 22 8.000 дополнительных бескарточных обедов для питания лучших рабочих и мастеров-стахановцев.</w:t>
      </w:r>
    </w:p>
    <w:p w14:paraId="06EE644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Обязать Наркоымясомолпром т.Смирнова, Наркомваг т.Субботина, Наркомпищепром т.Пронина, Наркомрыбпром т.Ишко- ва - выделить ваводу 22 для дополнительных бескарточных обе</w:t>
      </w:r>
      <w:r w:rsidRPr="008127F8">
        <w:rPr>
          <w:rFonts w:ascii="Times New Roman" w:hAnsi="Times New Roman"/>
          <w:color w:val="000000" w:themeColor="text1"/>
          <w:sz w:val="16"/>
          <w:szCs w:val="16"/>
        </w:rPr>
        <w:softHyphen/>
        <w:t>дов на май и июнь месяцы с.г.: мяса 16 тонн, рыбы 8 тонн, крупы 37 тонн, жиров животных 5 тонн, сахару и кондитерских изделий - 5 тонн.</w:t>
      </w:r>
    </w:p>
    <w:p w14:paraId="028A1CA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Обязать Наркомфин СССР тов.Зверева выделить эаводу № 22 из резервного фонда СНК СССР 5 млн.рублей на постановку и восстановление производства самолетов ТБ-7 (19212).</w:t>
      </w:r>
    </w:p>
    <w:p w14:paraId="0779641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00CBA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мая 1942 г. Постановлением Государственного комитета обороны за № 1694с и приказа НКАП №360с следовало:</w:t>
      </w:r>
    </w:p>
    <w:p w14:paraId="549095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Восстановить производство Пе-8.</w:t>
      </w:r>
    </w:p>
    <w:p w14:paraId="49CCDE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Создать самостоятельное производство самолета с выделением специальных цехов.</w:t>
      </w:r>
    </w:p>
    <w:p w14:paraId="5384B8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очередного судьбоносного решения на заводе №22 для выпуска Пе-8 выделили 5 дополнительных цехов, которые срочно перепланировали, а чуть позднее создали новые производственные площади. Особо стоит отметить, что в конструкторском бюро деятельность по усовершенствованиям самолета все это время не прекращались.</w:t>
      </w:r>
    </w:p>
    <w:p w14:paraId="25A9B83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частности, в течение 1942 г. были выполнены следующие работы:</w:t>
      </w:r>
    </w:p>
    <w:p w14:paraId="7B0C130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Увеличено количество топливных баков и их объем, суммарное увеличение дополнительного топлива составило 4000 литров.</w:t>
      </w:r>
    </w:p>
    <w:p w14:paraId="1941FA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Разработана новая носовая стрелковая установка, которую испытали на головном самолете.</w:t>
      </w:r>
    </w:p>
    <w:p w14:paraId="1323E70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Завершена документация для монтажа дизелей М-30, выпушен опытный экземпляр и два серийных.</w:t>
      </w:r>
    </w:p>
    <w:p w14:paraId="6363950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Испытан и внедрен в производство термический антиобледенитель крыла</w:t>
      </w:r>
    </w:p>
    <w:p w14:paraId="7E58BC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Построен опытный самолет с увеличенным бомбоотсеком для подвески 2-х бомб ФАБ-2000 (внедрено с 9-й серии).</w:t>
      </w:r>
    </w:p>
    <w:p w14:paraId="2D484D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Смонтирована новая антенна с увеличенной дальностью радиосвязи.</w:t>
      </w:r>
    </w:p>
    <w:p w14:paraId="49CBE3F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Установлен новый ночной прицел.</w:t>
      </w:r>
    </w:p>
    <w:p w14:paraId="2DF4462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Введены новые зализы центроплана.</w:t>
      </w:r>
    </w:p>
    <w:p w14:paraId="0F34297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Проведены опыты с гладкой клепкой, внедренной на некоторых участках крыла и фюзеляжа.</w:t>
      </w:r>
    </w:p>
    <w:p w14:paraId="5F26EE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Суммарный выпуск бомбардировщиков Пе-8 в 1942 г. составил 17 экземпляров. Из этого числа только один самолет был оборудован двигателями М-30, остальные 16 машин укомплектовали вполне доведенными и надежными АМ-35А. Сдача этих Пе-8 по месяцам выглядела так: июль - 3, август - 1, сентябрь - 4, ноябрь - I, декабрь - 7 экземпляров.</w:t>
      </w:r>
    </w:p>
    <w:p w14:paraId="738946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в течение 1942 г. 14 самолетов были отремонтированы в заводских условиях и оснащены двигателями АМ-35А. Таким образом, авиазавод в Казани в течение года подготовил к боевым действиям 31 экземпляр Пе-8. Заводская бригада мастера В.И.Дорофеева в составе 12 человек постоянно находилась на основном аэродроме базирования Пе-8 в Кратово, где занималась ремонтом поврежденных самолетов. Здесь был произведен текущий и капитальный ремонт 36 бомбардировщиков (на некоторых машинах не по одному разу) (12025).</w:t>
      </w:r>
    </w:p>
    <w:p w14:paraId="7468E5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2D3E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мая 1942 г. продолжились гос. испытания доработанного будущего Ла-5.</w:t>
      </w:r>
    </w:p>
    <w:p w14:paraId="1DD5BCE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Представители Яковлева привезли на завод маслорадиатор к двигателю М-107 (его планировалась поставить на Як); сочувствующие ЛаГГ-3 М-82 рабочие подсказали сотрудникам КБ Лавочкина, где этот радиатор находится. Сотрудники С.А.Л. "позаимствовали" этот маслорадиатор втайне и от своего шефа, и от представителей Яковлева. За два дня радиатор установили на истребитель; из-за больших размеров маслорадиатора пришлось снять синхронные пулеметы, оставив только пушки. Первый полет на доработанной машине выполнил Мищенко. Полет прошел отлично, температура масла - в пределах нормы.</w:t>
      </w:r>
    </w:p>
    <w:p w14:paraId="2BBC0FA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два полета в этот день сделали Якимов и Кубышкин, оба летчика остались довольны истребителем. На следующий день выполнили отстрел оружия, затем - полет на дальность. Вся программа испытаний заняла 26 полетов - 13 сделал Якимов и 13 - Кубышкин. Уже после выполнения программы испытатели слетали на штопор, едва не доведя Лавочкина до инфаркта (4707).</w:t>
      </w:r>
    </w:p>
    <w:p w14:paraId="68B072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Свежеиспеченный отчет по испытаниям ЛаГГ-3 М-82 лег на стол Сталина; при поддержке Шахурина оперативно было принято решение о начале серийного производства ЛаГГ-3 М-82 под обозначением Ла-5 на заводе № 21 и о возвращении отправленного в Грузию ОКБ Лавочкина в Горький. Первые десять самолетов переделали из незаконченных ЛаГГ-3 и направили на фронтовые испытания. Новый истребитель получил название Ла-5, однако первые ЛаГГи с М-82 согласно документам назывались ЛаГГ-5 (что вполне логично продолжает линию ЛаГГ-1, ЛаГГ-3), в литературе же часто называются ЛаГ-5. Возможно, это название восходит к каким-то документам военного времени, но вероятнее всего - пришло с Запада, где все Ла-5 с фюзеляжем от ЛаГГ (с гаргротом, без каплевидного фонаря) уверенно обозначаются ЛаГ-5 (4707).</w:t>
      </w:r>
    </w:p>
    <w:p w14:paraId="5414190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1176F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мая 1942 - С.М. Алексеев рассказывал - продолжились Совместные государственные испытания Лагг-3 М-82. Первое полетное задание, полученное Якимовым, - определение максимальных скоростей на некоторых высотах и определение границ высотности мотора. Спустя два часа - еще один полет, на этот раз с подъемом на высоту 9000 м и снятием скоростей на больших высотах. Затем в истребитель сел Кубышкин, повторив предыдущие режимы. Машина вела себя прекрасно. Головки цилиндров не перегревались, а температура и давление масла были в норме. Взлетно-посадочные характеристики снимал Сатинов, засекая по секундомеру время разбега и пробега.</w:t>
      </w:r>
    </w:p>
    <w:p w14:paraId="130CBB0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следующий день назначили отстрел оружия в воздухе. Полеты должен был выполнять Кубышкин, как представитель ВВС. Задание простое: отстрел пушек короткими и длинными очередями, сначала отдельно для каждой пушки, а затем - из обеих. В первом полете, после нескольких очередей пушки замолкли из-за перекоса снаряда и обрыва ленты. Самолет откатили в тир. После второго вылета в патронных ящиках обнаружился остаток боекомплекта и снова машина в тире. Лишь после доработок, в четвертом полете, выполненном Якимовым, орудия стреляли безотказно.</w:t>
      </w:r>
    </w:p>
    <w:p w14:paraId="6A6F5C8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программе осталось выполнить полет на дальность. Чтобы не рисковать лишний раз, решили лететь в сторону Казани, над ровной местностью на случай вынужденной посадки. Утром 5 мая Якимов поднял машину в воздух и вернулся обратно через 1 час 41 минуту. Механик после полета слил из бака еще несколько литров бензина. За время испытаний Якимов выполнил 13 полетов и примерно столько же сделал Кубышкин. Не обошлось и без происшест- Директор завода N° 21 вий - в одном из полетов лопнула мас- С.и. Агаджанов ляная трубка. Маслом залило фонарь, и Якимову пришлось сажать самолет вслепую. Испытания показали, что по летным характеристикам машина хороша, а по тепловым режимам - терпима.</w:t>
      </w:r>
    </w:p>
    <w:p w14:paraId="4D3D52E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Лавочкин все время торопил писать отчет и доложить обо всем в Москву.</w:t>
      </w:r>
    </w:p>
    <w:p w14:paraId="44A13F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Фролов опять заикнулся, было, об испытаниях на штопор, но Лавочкин и слушать ничего не хотел:</w:t>
      </w:r>
    </w:p>
    <w:p w14:paraId="79019F7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Штопор делать нельзя. Никаких противоштопорных устройств у нас нет, машину разобьем, вас побьем...</w:t>
      </w:r>
    </w:p>
    <w:p w14:paraId="4E4EF3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Обещали Лавочкину, что на штопор испытывать не будут, а сами договорились все-таки провести испытания... Условились, что летать будут Якимов и Кубышкин, а заводской летчик штопор может не делать. 6 мая, еще не было пяти утра, когда все собрались у самолета. Сагинов написал задание на полет: "Испытания самолета на штопор. При нормальном поведении машины довести штопор до двух витков". Якимов поднял самолет в воздух. В это время на аэродром пришел Лавочкин:</w:t>
      </w:r>
    </w:p>
    <w:p w14:paraId="45E0E8C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Что это за полет? Мы же закончили испытания.</w:t>
      </w:r>
    </w:p>
    <w:p w14:paraId="604F856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Кто-то напел, мол, проверить что-то решили... Якимов сделал пологий вираж, начал гасить скорость, сделал несколько пробных заходов, выполнил по полвитка вправо и влево. У Лавочкина голова совсем ушла в плечи. Якимов сделал виток, вышел нормально, сделал два витка, машина слушается, выходит без запаздываний. Лавочкин стал понемногу распрямляться. Затем слетал Кубышкин, подтвердил мнение Якимова, что самолет штопорит замечательно. В тот же день по просьбе комиссии начальник летно-испытательной станции И.Ф. Козлов выделил двух своих летчиков для облета новой машины. Отзывы их были восторженными. За два дня закончили отчет о совместных испытаниях, показали новый истребитель в полете секретарю обкома М.И. Родионову. Полет Якимова произвел впечатление, и Родионов обещал поддержать решение комиссии и помочь Лавочкину. Комиссия сразу же вылетела на самолете СБ в Москву. Одновременно, но поездом, уехал в Москву и Лавочкин. Его сразу же вызвали на доклад к Сталину. </w:t>
      </w:r>
    </w:p>
    <w:p w14:paraId="65BE33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поддержке Шахурина очень быстро приняли решение, и последовал приказ о возвращении ОКБ на завод № 21 и запуске самолета в серийное производство".</w:t>
      </w:r>
    </w:p>
    <w:p w14:paraId="4CC15F9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Завершая свой рассказ, Семен Алексеевич отметил, что Jla-5 сменил на конвейере ЛаГГ-3 почти без задержек. Первые 200 машин построили с накладными бортами и только потом сделали болванку для выклейки нового фюзеляжа.</w:t>
      </w:r>
    </w:p>
    <w:p w14:paraId="317C096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Здесь следует кое-что уточнить. Очередным постановлением ГКО скорректировали план завода на май-июнь 1942 г. Вместо предполагавшегося выпуска 50 Як-7 заказали постройку 20 ЛаГГ-3. 20 мая родился еще приказ НКАП "О выпуске самолетов ЛаГГ-3 на заводе № 21", требовавший немедленно приступить к производству ЛаГГ-3 с мотором М-82 сверх программы по самолетам ЛаГГ-3 с мотором М-105ПФ, и в течение месяца облегчить управление новой машины. Этим же документом отменялись предыдущие распоряжения, и директору завода А.Ф. Гостинце- ву приказывалось сохранить выпуск ЛаГГ-3. Завод в Горьком успел сдать заказчику лишь пять истребителей Як-7.</w:t>
      </w:r>
    </w:p>
    <w:p w14:paraId="7E828CE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Спустя десять дней, приказом НКАП КБ Лавочкина возвращается из Тбилиси в Горький, а приказом от 3 июня окончательно решен вопрос о выпуске ЛаГГ-5 (так первоначально называли ЛаГГ-3 с мотором М-82) на заводах № 21 и № 31 (12032).</w:t>
      </w:r>
    </w:p>
    <w:p w14:paraId="7165B41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5BAE73" w14:textId="77777777" w:rsidR="00271CE9" w:rsidRPr="008A2E5A" w:rsidRDefault="00271CE9" w:rsidP="00271CE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мая 1942 года возобновились летные испытания Лагг-3 М-82, их проводила комиссия в том же составе. Первым взлетел Якимов, и на сей раз, все прошло гладко. Все задачи летных испытаний были успешно решены, хотя не обошлось и без проблем: отмечались утечки из гидравлической и топливной систем.</w:t>
      </w:r>
    </w:p>
    <w:p w14:paraId="17403D02" w14:textId="77777777" w:rsidR="00271CE9" w:rsidRPr="008A2E5A" w:rsidRDefault="00271CE9" w:rsidP="00271CE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Пилоты-инженеры Сагинов и Фролов выполнили необходимые измерительные полеты, например, на определение взлетных и посадочных характеристик. При этом для измерений зачастую использовались самые примитивные средства — секундомер и глаз. Пилоты самостоятельно устанавливали на самолет контрольную аппаратуру и сами обрабатывали полученные результаты. Однако все препятствия остались позади, и 6 мая 1942 года комиссия завершила летные испытания, за время которых было выполнено 26 полетов (23547).</w:t>
      </w:r>
    </w:p>
    <w:p w14:paraId="1671374B" w14:textId="77777777" w:rsidR="00271CE9" w:rsidRPr="008A2E5A" w:rsidRDefault="00271CE9" w:rsidP="00271CE9">
      <w:pPr>
        <w:spacing w:after="0" w:line="240" w:lineRule="auto"/>
        <w:jc w:val="both"/>
        <w:rPr>
          <w:rFonts w:ascii="Times New Roman" w:hAnsi="Times New Roman"/>
          <w:color w:val="0070C0"/>
          <w:sz w:val="16"/>
          <w:szCs w:val="16"/>
        </w:rPr>
      </w:pPr>
    </w:p>
    <w:p w14:paraId="65B9EB2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мая 1942 на Би-1 проверяли все системы после пробежки (172,185).</w:t>
      </w:r>
    </w:p>
    <w:p w14:paraId="287E540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6AD19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мая 1942 вышло Постановление ГКО № 1690 О графике выпуска самолетов и авиационных моторов в мае месяце 1942 г. РГАНИР, Фонд ГКО, д. 32, лл. 213-214, 215-216 (11012).</w:t>
      </w:r>
    </w:p>
    <w:p w14:paraId="49F6313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7C5583" w:rsidRPr="008127F8" w14:paraId="7FC2D58E" w14:textId="77777777" w:rsidTr="004C5D62">
        <w:tc>
          <w:tcPr>
            <w:tcW w:w="675" w:type="dxa"/>
            <w:tcBorders>
              <w:top w:val="single" w:sz="12" w:space="0" w:color="auto"/>
            </w:tcBorders>
          </w:tcPr>
          <w:p w14:paraId="04CA014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п/п</w:t>
            </w:r>
          </w:p>
        </w:tc>
        <w:tc>
          <w:tcPr>
            <w:tcW w:w="993" w:type="dxa"/>
            <w:tcBorders>
              <w:top w:val="single" w:sz="12" w:space="0" w:color="auto"/>
            </w:tcBorders>
          </w:tcPr>
          <w:p w14:paraId="549F46B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Дата</w:t>
            </w:r>
          </w:p>
        </w:tc>
        <w:tc>
          <w:tcPr>
            <w:tcW w:w="708" w:type="dxa"/>
            <w:tcBorders>
              <w:top w:val="single" w:sz="12" w:space="0" w:color="auto"/>
            </w:tcBorders>
          </w:tcPr>
          <w:p w14:paraId="7D6909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Заводов</w:t>
            </w:r>
          </w:p>
        </w:tc>
        <w:tc>
          <w:tcPr>
            <w:tcW w:w="1418" w:type="dxa"/>
            <w:tcBorders>
              <w:top w:val="single" w:sz="12" w:space="0" w:color="auto"/>
            </w:tcBorders>
          </w:tcPr>
          <w:p w14:paraId="41AA4B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w:t>
            </w:r>
          </w:p>
        </w:tc>
        <w:tc>
          <w:tcPr>
            <w:tcW w:w="2364" w:type="dxa"/>
            <w:tcBorders>
              <w:top w:val="single" w:sz="12" w:space="0" w:color="auto"/>
            </w:tcBorders>
          </w:tcPr>
          <w:p w14:paraId="3D2EA09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40D328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Краткое описание и причины происшествия</w:t>
            </w:r>
          </w:p>
        </w:tc>
      </w:tr>
      <w:tr w:rsidR="007C5583" w:rsidRPr="008127F8" w14:paraId="78C32C0C" w14:textId="77777777" w:rsidTr="004C5D62">
        <w:tc>
          <w:tcPr>
            <w:tcW w:w="675" w:type="dxa"/>
            <w:tcBorders>
              <w:bottom w:val="single" w:sz="12" w:space="0" w:color="auto"/>
            </w:tcBorders>
          </w:tcPr>
          <w:p w14:paraId="7087A15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993" w:type="dxa"/>
            <w:tcBorders>
              <w:bottom w:val="single" w:sz="12" w:space="0" w:color="auto"/>
            </w:tcBorders>
          </w:tcPr>
          <w:p w14:paraId="1E468BD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мая 1942</w:t>
            </w:r>
          </w:p>
        </w:tc>
        <w:tc>
          <w:tcPr>
            <w:tcW w:w="708" w:type="dxa"/>
            <w:tcBorders>
              <w:bottom w:val="single" w:sz="12" w:space="0" w:color="auto"/>
            </w:tcBorders>
          </w:tcPr>
          <w:p w14:paraId="1370426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Летный отряд</w:t>
            </w:r>
          </w:p>
        </w:tc>
        <w:tc>
          <w:tcPr>
            <w:tcW w:w="1418" w:type="dxa"/>
            <w:tcBorders>
              <w:bottom w:val="single" w:sz="12" w:space="0" w:color="auto"/>
            </w:tcBorders>
          </w:tcPr>
          <w:p w14:paraId="54AF335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В.А.Зайцев</w:t>
            </w:r>
          </w:p>
        </w:tc>
        <w:tc>
          <w:tcPr>
            <w:tcW w:w="2364" w:type="dxa"/>
            <w:tcBorders>
              <w:bottom w:val="single" w:sz="12" w:space="0" w:color="auto"/>
            </w:tcBorders>
          </w:tcPr>
          <w:p w14:paraId="605181F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Вынужденная посадка</w:t>
            </w:r>
          </w:p>
        </w:tc>
        <w:tc>
          <w:tcPr>
            <w:tcW w:w="4440" w:type="dxa"/>
            <w:tcBorders>
              <w:bottom w:val="single" w:sz="12" w:space="0" w:color="auto"/>
            </w:tcBorders>
          </w:tcPr>
          <w:p w14:paraId="31F4007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Из-за отказа левого мотора в воздухе л совершил вынужденную посадку</w:t>
            </w:r>
          </w:p>
        </w:tc>
      </w:tr>
    </w:tbl>
    <w:p w14:paraId="727DBF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(2108,266)</w:t>
      </w:r>
    </w:p>
    <w:p w14:paraId="5D283DC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93FF23" w14:textId="77777777" w:rsidR="00271CE9" w:rsidRPr="008A2E5A" w:rsidRDefault="00271CE9" w:rsidP="00271CE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мая 1942 г. вышло постановление ГКО №1690сс, содержащее пункт о премировании работников авиа</w:t>
      </w:r>
      <w:r w:rsidRPr="008A2E5A">
        <w:rPr>
          <w:rFonts w:ascii="Times New Roman" w:hAnsi="Times New Roman"/>
          <w:color w:val="0070C0"/>
          <w:sz w:val="16"/>
          <w:szCs w:val="16"/>
        </w:rPr>
        <w:softHyphen/>
        <w:t>промышленности, по которому за выполнение месячно</w:t>
      </w:r>
      <w:r w:rsidRPr="008A2E5A">
        <w:rPr>
          <w:rFonts w:ascii="Times New Roman" w:hAnsi="Times New Roman"/>
          <w:color w:val="0070C0"/>
          <w:sz w:val="16"/>
          <w:szCs w:val="16"/>
        </w:rPr>
        <w:softHyphen/>
        <w:t>го плана руководящий состав производства (директор завода, главный инженер, главный конструктор, заме</w:t>
      </w:r>
      <w:r w:rsidRPr="008A2E5A">
        <w:rPr>
          <w:rFonts w:ascii="Times New Roman" w:hAnsi="Times New Roman"/>
          <w:color w:val="0070C0"/>
          <w:sz w:val="16"/>
          <w:szCs w:val="16"/>
        </w:rPr>
        <w:softHyphen/>
        <w:t>ститель директора по материально-техническому снаб</w:t>
      </w:r>
      <w:r w:rsidRPr="008A2E5A">
        <w:rPr>
          <w:rFonts w:ascii="Times New Roman" w:hAnsi="Times New Roman"/>
          <w:color w:val="0070C0"/>
          <w:sz w:val="16"/>
          <w:szCs w:val="16"/>
        </w:rPr>
        <w:softHyphen/>
        <w:t>жению, главный технолог, начальник серийно-конструк</w:t>
      </w:r>
      <w:r w:rsidRPr="008A2E5A">
        <w:rPr>
          <w:rFonts w:ascii="Times New Roman" w:hAnsi="Times New Roman"/>
          <w:color w:val="0070C0"/>
          <w:sz w:val="16"/>
          <w:szCs w:val="16"/>
        </w:rPr>
        <w:softHyphen/>
        <w:t>торского бюро, начальник производства и его замести</w:t>
      </w:r>
      <w:r w:rsidRPr="008A2E5A">
        <w:rPr>
          <w:rFonts w:ascii="Times New Roman" w:hAnsi="Times New Roman"/>
          <w:color w:val="0070C0"/>
          <w:sz w:val="16"/>
          <w:szCs w:val="16"/>
        </w:rPr>
        <w:softHyphen/>
        <w:t>тель, начальник ОТК завода, главный металлург, главный механик и главный энергетик завода, начальники цехов и их заместители, начальники отделений (групп, мастер</w:t>
      </w:r>
      <w:r w:rsidRPr="008A2E5A">
        <w:rPr>
          <w:rFonts w:ascii="Times New Roman" w:hAnsi="Times New Roman"/>
          <w:color w:val="0070C0"/>
          <w:sz w:val="16"/>
          <w:szCs w:val="16"/>
        </w:rPr>
        <w:softHyphen/>
        <w:t>ских) цехов, старшие и сменные мастера), а также отли</w:t>
      </w:r>
      <w:r w:rsidRPr="008A2E5A">
        <w:rPr>
          <w:rFonts w:ascii="Times New Roman" w:hAnsi="Times New Roman"/>
          <w:color w:val="0070C0"/>
          <w:sz w:val="16"/>
          <w:szCs w:val="16"/>
        </w:rPr>
        <w:softHyphen/>
        <w:t>чившиеся рабочие, ИТР и работники снабжения премиро</w:t>
      </w:r>
      <w:r w:rsidRPr="008A2E5A">
        <w:rPr>
          <w:rFonts w:ascii="Times New Roman" w:hAnsi="Times New Roman"/>
          <w:color w:val="0070C0"/>
          <w:sz w:val="16"/>
          <w:szCs w:val="16"/>
        </w:rPr>
        <w:softHyphen/>
        <w:t>вались в размере одного месячного оклада (а за перевы</w:t>
      </w:r>
      <w:r w:rsidRPr="008A2E5A">
        <w:rPr>
          <w:rFonts w:ascii="Times New Roman" w:hAnsi="Times New Roman"/>
          <w:color w:val="0070C0"/>
          <w:sz w:val="16"/>
          <w:szCs w:val="16"/>
        </w:rPr>
        <w:softHyphen/>
        <w:t>полнение плана дополнительно по 10% от оклада за каж</w:t>
      </w:r>
      <w:r w:rsidRPr="008A2E5A">
        <w:rPr>
          <w:rFonts w:ascii="Times New Roman" w:hAnsi="Times New Roman"/>
          <w:color w:val="0070C0"/>
          <w:sz w:val="16"/>
          <w:szCs w:val="16"/>
        </w:rPr>
        <w:softHyphen/>
        <w:t>дый процент перевыполнения), центр приложения усилий руководящих, политических и профсоюзных кадров в со</w:t>
      </w:r>
      <w:r w:rsidRPr="008A2E5A">
        <w:rPr>
          <w:rFonts w:ascii="Times New Roman" w:hAnsi="Times New Roman"/>
          <w:color w:val="0070C0"/>
          <w:sz w:val="16"/>
          <w:szCs w:val="16"/>
        </w:rPr>
        <w:softHyphen/>
        <w:t>ревновании сместился в сторону организации ритмичной и комплектной сдачи узлов и агрегатов в сборочные цеха. Вместо прогрессивно-премиальной системы оплаты тру</w:t>
      </w:r>
      <w:r w:rsidRPr="008A2E5A">
        <w:rPr>
          <w:rFonts w:ascii="Times New Roman" w:hAnsi="Times New Roman"/>
          <w:color w:val="0070C0"/>
          <w:sz w:val="16"/>
          <w:szCs w:val="16"/>
        </w:rPr>
        <w:softHyphen/>
        <w:t>да начала широко применяться система премирования производственных рабочих и ИТР за выполнение сменно</w:t>
      </w:r>
      <w:r w:rsidRPr="008A2E5A">
        <w:rPr>
          <w:rFonts w:ascii="Times New Roman" w:hAnsi="Times New Roman"/>
          <w:color w:val="0070C0"/>
          <w:sz w:val="16"/>
          <w:szCs w:val="16"/>
        </w:rPr>
        <w:softHyphen/>
        <w:t>суточного задания, разработанная на основе положения, утвержденного заместителем наркома авиапромышлен</w:t>
      </w:r>
      <w:r w:rsidRPr="008A2E5A">
        <w:rPr>
          <w:rFonts w:ascii="Times New Roman" w:hAnsi="Times New Roman"/>
          <w:color w:val="0070C0"/>
          <w:sz w:val="16"/>
          <w:szCs w:val="16"/>
        </w:rPr>
        <w:softHyphen/>
        <w:t>ности В.П. Кузнецовым. По этой системе премия за вы</w:t>
      </w:r>
      <w:r w:rsidRPr="008A2E5A">
        <w:rPr>
          <w:rFonts w:ascii="Times New Roman" w:hAnsi="Times New Roman"/>
          <w:color w:val="0070C0"/>
          <w:sz w:val="16"/>
          <w:szCs w:val="16"/>
        </w:rPr>
        <w:softHyphen/>
        <w:t>полнение сменно-суточных заданий начислялась при условии выполнения задания за предыдущие сутки не ме</w:t>
      </w:r>
      <w:r w:rsidRPr="008A2E5A">
        <w:rPr>
          <w:rFonts w:ascii="Times New Roman" w:hAnsi="Times New Roman"/>
          <w:color w:val="0070C0"/>
          <w:sz w:val="16"/>
          <w:szCs w:val="16"/>
        </w:rPr>
        <w:softHyphen/>
        <w:t>нее чем на 90%. За перевыполнение сменно-суточных за</w:t>
      </w:r>
      <w:r w:rsidRPr="008A2E5A">
        <w:rPr>
          <w:rFonts w:ascii="Times New Roman" w:hAnsi="Times New Roman"/>
          <w:color w:val="0070C0"/>
          <w:sz w:val="16"/>
          <w:szCs w:val="16"/>
        </w:rPr>
        <w:softHyphen/>
        <w:t>даний премия увеличивалась на 2-3% за каждый процент перевыполнения, а за равномерную сдачу продукции в течение всего месяца сумма премии, начисленная за вы</w:t>
      </w:r>
      <w:r w:rsidRPr="008A2E5A">
        <w:rPr>
          <w:rFonts w:ascii="Times New Roman" w:hAnsi="Times New Roman"/>
          <w:color w:val="0070C0"/>
          <w:sz w:val="16"/>
          <w:szCs w:val="16"/>
        </w:rPr>
        <w:softHyphen/>
        <w:t>полнение и перевыполнение заданий, увеличивалась еще на 20%. Действующие на заводе поощрительные систе</w:t>
      </w:r>
      <w:r w:rsidRPr="008A2E5A">
        <w:rPr>
          <w:rFonts w:ascii="Times New Roman" w:hAnsi="Times New Roman"/>
          <w:color w:val="0070C0"/>
          <w:sz w:val="16"/>
          <w:szCs w:val="16"/>
        </w:rPr>
        <w:softHyphen/>
        <w:t>мы оплаты труда наряду с другими мероприятиями сыг</w:t>
      </w:r>
      <w:r w:rsidRPr="008A2E5A">
        <w:rPr>
          <w:rFonts w:ascii="Times New Roman" w:hAnsi="Times New Roman"/>
          <w:color w:val="0070C0"/>
          <w:sz w:val="16"/>
          <w:szCs w:val="16"/>
        </w:rPr>
        <w:softHyphen/>
        <w:t>рали свою положительную роль в ритмичной работе заво</w:t>
      </w:r>
      <w:r w:rsidRPr="008A2E5A">
        <w:rPr>
          <w:rFonts w:ascii="Times New Roman" w:hAnsi="Times New Roman"/>
          <w:color w:val="0070C0"/>
          <w:sz w:val="16"/>
          <w:szCs w:val="16"/>
        </w:rPr>
        <w:softHyphen/>
        <w:t>да и обеспечили равномерную сдачу продукции по уста</w:t>
      </w:r>
      <w:r w:rsidRPr="008A2E5A">
        <w:rPr>
          <w:rFonts w:ascii="Times New Roman" w:hAnsi="Times New Roman"/>
          <w:color w:val="0070C0"/>
          <w:sz w:val="16"/>
          <w:szCs w:val="16"/>
        </w:rPr>
        <w:softHyphen/>
        <w:t>новленному ГКО суточному графику (23381).</w:t>
      </w:r>
    </w:p>
    <w:p w14:paraId="35AFCE23" w14:textId="77777777" w:rsidR="00271CE9" w:rsidRPr="008A2E5A" w:rsidRDefault="00271CE9" w:rsidP="00271CE9">
      <w:pPr>
        <w:spacing w:after="0" w:line="240" w:lineRule="auto"/>
        <w:jc w:val="both"/>
        <w:rPr>
          <w:rFonts w:ascii="Times New Roman" w:hAnsi="Times New Roman"/>
          <w:color w:val="0070C0"/>
          <w:sz w:val="16"/>
          <w:szCs w:val="16"/>
        </w:rPr>
      </w:pPr>
    </w:p>
    <w:p w14:paraId="6BD708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380718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903B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мая 1942 вышло Постановление ГКО№ 1685 О плане производства минометов на май месяц 1942 года. РГАНИР, Фонд ГКО, д. 32, лл. 156-162, 163-166 (11012).</w:t>
      </w:r>
    </w:p>
    <w:p w14:paraId="753681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0BFC9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мая 1942 вышло Постановление ГКО № 1686 О плане производства пулеметов-пистолетов Шпагина на май месяц 1942 г. РГАНИР, Фонд ГКО, д. 32, лл. 167-171, 172-175 (11012).</w:t>
      </w:r>
    </w:p>
    <w:p w14:paraId="31E5B93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FF720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мая 1942 вышло Постановление ГКО № 1689 О капитальном ремонте танков и танковых моторов в мае и июне 1942 года. РГАНИР, Фонд ГКО, д. 32, лл. 178-184, 185-212 (11012).</w:t>
      </w:r>
    </w:p>
    <w:p w14:paraId="66C785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607B6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мая 1942 вышло Постановление ГКО № 1691 О плане производства и поставок артиллерийского и стрелкового вооружения и военных приборов на май месяц 1942 года. РГАНИР, Фонд ГКО, д. 32, лл. 217-223, 224-227 (11012).</w:t>
      </w:r>
    </w:p>
    <w:p w14:paraId="036B807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2CA2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мая 1942 вышло Постановление ГКО № 1692 О плане производства и поставок патронов заводами Наркомата вооружения в мае месяце 1942 года. РГАНИР, Фонд ГКО, д. 32, лл. 228, 229-233 (11012).</w:t>
      </w:r>
    </w:p>
    <w:p w14:paraId="21642F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8F358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мая 1942 вышло Постановление ГКО № 1693 О производстве артиллерийских тягачей и тракторов. РГАНИР, Фонд ГКО, д. 32, лл. 234-238, 239-242 (11012).</w:t>
      </w:r>
    </w:p>
    <w:p w14:paraId="6004FF6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C766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0EA17F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A4EF0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мая в 1942 году утреннее сообщение Совинформбюро:</w:t>
      </w:r>
    </w:p>
    <w:p w14:paraId="2672826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3 мая на фронте чего-либо существенного не произошло.</w:t>
      </w:r>
    </w:p>
    <w:p w14:paraId="1200D53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Ленинградского фронта, в бою спротивником захватили 6 немецких танков, 10 орудий, 30 пулемётов, 2 миномёта, 35 автоматов, 150 винтовок, 15.000 гранат, 40.000 патронов, много снарядов, 4 продовольственных склада, 3 радиостанции, 10 мотоциклов, несколько автомашин и другое военное имущество. Гитлеровцы потеряли только убитыми более 1.500 солдат и офицеров. Взяты пленные.</w:t>
      </w:r>
    </w:p>
    <w:p w14:paraId="44FFD91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Батальон немецкой пехоты на одном из участков Западного фронта атаковал позиции, занимаемые нашим подразделением. Сосредоточенным огнём наших бойцов гитлеровцы были прижаты к земле и, оставив на поле боя свыше 200 трупов, отступили.</w:t>
      </w:r>
    </w:p>
    <w:p w14:paraId="263775B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Калининского фронта, за день боевых действий уничтожила 2 немецких орудия, 2 пулемёта и 3 миномётные батареи. Противник потерял убитыми более 300 солдат и офицеров.</w:t>
      </w:r>
    </w:p>
    <w:p w14:paraId="38AA94D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разведчики, действующие в тылу немецко-фашистских оккупантов, внезапным налётом выбили гитлеровцев из населенного пункта М. Взорвав 4 немецких склада с боеприпасами и склад с горючим, разведчики вернулись в свою часть.</w:t>
      </w:r>
    </w:p>
    <w:p w14:paraId="031DB76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Взрывом авиационной бомбы была прервана связь между командным пунктом и одним нашим подразделением. Лейтенант И.Н.Грачёв и сержант С.Т.Щербаков бросилисьв ледяную воду, переплыли через разлившуюся реку и своевременно восстановили нарушенную связь.</w:t>
      </w:r>
    </w:p>
    <w:p w14:paraId="2611D17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унтер-офицер 1 роты 154 полка 58 немецкой пехотной дивизии Эрнст Фридрих рассказал: «Красноармейцы внезапно ворвались в нашу землянку, в которой находилась 11 человек. Никто из нас не оказал никакого сопротивления, мы все сдались в плен, Война, принявшая столь затяжной характер, всем надоела. Зимой был адский холод, и мы все мёрзли. Сейчас весна, и мы лежали в открытом поле, в грязи и в холодной воде. Солдат сейчас занимает один вопрос: когда кончится война. Никто не допускает и мысли, что нам придётся ещё раз зимовать в России. Никакими силами нельзя будет заставить солдат снова пережить такие ужасы, какие они пережили прошедшей зимой».</w:t>
      </w:r>
    </w:p>
    <w:p w14:paraId="149CD2E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отрывки из дневника командира батареи 3 дивизиона 257 артполка 2.57 немецкой пехотной дивизии. Фамилию автора установить не удалось.</w:t>
      </w:r>
    </w:p>
    <w:p w14:paraId="5F53427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Покатилове устроен сборный пункт военнопленных. Им не дают никакой пищи. Они все голодны, пьют воду из луж и подбирают давно сгнившие початки кукурузы.</w:t>
      </w:r>
    </w:p>
    <w:p w14:paraId="18293CE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лагере военнопленных жуткий голод. Часовые избивают пленных палками, колют штыками через щели забора. Позади время от времени строчит пулемёт. Это горные стрелки расстреливают пленных.</w:t>
      </w:r>
    </w:p>
    <w:p w14:paraId="011123F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Прибыли в село Адамовку. Комендатура приступила к учёту людей и скота. Первое мероприятие — арест и казнь 70 человек. Остальных под охраной направляем в тыл, на пункт сбора военнопленных».</w:t>
      </w:r>
    </w:p>
    <w:p w14:paraId="099D4BE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Румынские власти объявили набор добровольцев в армию. Эта затея холопов Гитлера с треском провалилась. Несмотря на щедрые обещания, охотников проливать кровь за гитлеровскую Германию не оказалось. В связи с этим жандармерия в ряде городов вызвала 17-летних юношей и угрозами и пытками заставила их подписать заявления о якобы добровольном вступлении в армию.» (14880).</w:t>
      </w:r>
    </w:p>
    <w:p w14:paraId="7275342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55ECF1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мая в 1942 году вечернее сообщение Совинформбюро:</w:t>
      </w:r>
    </w:p>
    <w:p w14:paraId="713A8A0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3 мая на фронте ничего существенного не произошло.</w:t>
      </w:r>
    </w:p>
    <w:p w14:paraId="6DCE19F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 мая уничтожено 25 немецких самолётов. Наши потери — 8 самолётов.</w:t>
      </w:r>
    </w:p>
    <w:p w14:paraId="16C7EB0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 мая частями нашей авиации уничтожено или повреждено 11 немецких орудий, 32 миномёта, 9 зенитно-пулемётных точек, несколько автомашин, взорван склад с боеприпасами, разбит железнодорожный эшелон, рассеяно и частью уничтожено до роты пехоты противника.</w:t>
      </w:r>
    </w:p>
    <w:p w14:paraId="0E906FF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Северо-Западного фронта наши артиллеристы прямой наводкой подбили 3 немецких танка. На том же участке на наших минах подорвались ещё 4 танка противника. На другом участке фронта немцы численностью до 400 человек пытались окружить подразделение нашей пехоты. Когда гитлеровцы подошли на близкое расстояние, наши бойцы встретили их огнём из винтовок и пулемётов. Немцы отступили, оставив на поле боя 150 убитых солдат и офицеров. Командир взвода тов. Когарлицкий в этом бою уничтожил 12 гитлеровцев.</w:t>
      </w:r>
    </w:p>
    <w:p w14:paraId="562348D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дня немецкие самолёты пытались прорваться к одному важному военномуобъекту. Лётчики нашей части под командованием тов. Матвеева преградили путь вражеским самолётам. Потеряв 7 машин, гитлеровцы так и ее достигли намеченной цели. В воздушном бою с противником особенно отличились старший лейтенант Зеленов, сбивший 2 «Юнкерса-88», капитан Булаев, сбивший 2 самолёта «Юнкерс-88», старший лейтенант Горбачевский и лейтенант Зотов, сбившие по одному вражескому самолёту.</w:t>
      </w:r>
    </w:p>
    <w:p w14:paraId="22AD52B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время уличного боя в деревне И. помощник командира взвода Д. Чередниченко заметил 10 немецких солдат, пробирающихся в тыл наших войск. Тов. Чередниченко спрятался за укрытие и огнём из винтовки уничтожил 8 гитлеровцев. Оставшиеся вживых два немецких солдата сдались в плен.</w:t>
      </w:r>
    </w:p>
    <w:p w14:paraId="6E4B19A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Снайперы подразделения тов. Маркиянчик (Южный фронт) наносят большой урон противнику. Снайпер тов. Брыкин уничтожил 126 гитлеровцев, Ипатов и Фаустов — по 100 гитлеровцев каждый.</w:t>
      </w:r>
    </w:p>
    <w:p w14:paraId="52253B4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Успешно борется против немецко-фашистских захватчиков отряд калининских партизан под командованием тов. В. Недавно отряд напал на немецкую колонну. Партизаны захватили 2 скорострельные пушки, несколько миномётов и автоматов, 38 подвод со снарядами и обмундированием. На поле боя осталось 98 вражеских трупов. Через несколько дней партизаны совершили ночной налёт на немецкий гарнизон, расположенный в деревне. Три группы партизан одновременно ворвались в деревню с разных сторон. Удар был настолько неожиданным, что немцы не смогли оказать какого-либо сопротивления. Партизаны уничтожили 80 гитлеровцев, в том числе 9 офицеров.</w:t>
      </w:r>
    </w:p>
    <w:p w14:paraId="79609BA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2 роты 499 полка 268 немецкой пехотной дивизии Рудольф Тинц рассказал: «Осенью я был ранен. В марте меня зачислили в команду выздоравливающих и послали на фронт. Я попал в полк, в котором служил до ранения, и не нашёл почти никого из моих товарищей. Все старые офицеры полка выбыли из строя и заменены другими. Недавно русские неожиданно напали на нашу роту. Я был ранен и пополз к блиндажу. Забравшись в блиндаж, я увидел там ещё трёх раненых, в том числе и командира роты лейтенанта Штоля. Скоро выяснилось, что наша рота отступила, а нас, раненых, оставили на произвол судьбы. Через некоторое время подошли красноармейцы и взяли нас в плен».</w:t>
      </w:r>
    </w:p>
    <w:p w14:paraId="0A40A66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деревне Жукове Калининской области, немецко-фашистские изверги учинили дикую расправу над 59-летним колхозником А.А.Бобровым. Гитлеровцы отрубили старику руки, ноги, жгли тело раскалённым железом.</w:t>
      </w:r>
    </w:p>
    <w:p w14:paraId="6D3D32C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апреля в Италии были произведены многочисленные аресты видных деятелей фашистской партии. Предполагают, что арестованные высказывались против посылки итальянских войск на советско-германский фронт и требовали немедленного выхода Италии из войны.» (14880).</w:t>
      </w:r>
    </w:p>
    <w:p w14:paraId="5FD3042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D53BED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мая в 1942 году (3–20 мая) неудачная наступательная операция советских войск в районе Демянска (14880).</w:t>
      </w:r>
    </w:p>
    <w:p w14:paraId="50CDE49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5C6AF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мая 1942 войска С-ЗФ начали наступление с целью разгрома демянской группировки, которое закончилось безрезультатно (340,87).</w:t>
      </w:r>
    </w:p>
    <w:p w14:paraId="3243A7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755D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3-20 мая 1942 была наступательная операция советских войск в районе Демянска (3186).</w:t>
      </w:r>
    </w:p>
    <w:p w14:paraId="7980C5F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38998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8127F8">
        <w:rPr>
          <w:rFonts w:ascii="Times New Roman" w:hAnsi="Times New Roman"/>
          <w:i/>
          <w:iCs/>
          <w:color w:val="000000" w:themeColor="text1"/>
          <w:sz w:val="16"/>
          <w:szCs w:val="16"/>
        </w:rPr>
        <w:t>Внешняя политика:</w:t>
      </w:r>
    </w:p>
    <w:p w14:paraId="0266E4C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40636F20"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мая 1942 на следующее утро после прибытия из Англии ТБ-7 №42076 Э.К. Пусэп был вызван к командиру полка и получил приказ готовить</w:t>
      </w:r>
      <w:r w:rsidRPr="008127F8">
        <w:rPr>
          <w:rFonts w:ascii="Times New Roman" w:hAnsi="Times New Roman"/>
          <w:color w:val="000000" w:themeColor="text1"/>
          <w:sz w:val="16"/>
          <w:szCs w:val="16"/>
        </w:rPr>
        <w:softHyphen/>
        <w:t>ся к еще одному полету за границу. Ему также было предложено выбрать самолет: или свой, или №42076. Естественно, он выбрал родной №42066. Подготовить самолет предстояло к 4 мая. 5 мая Э.К. Пусэпа, назначенного вторым пилотом летчика капитана В.М. Обухова и обоих штурманов - капитанов А.П. Штепенко и С.М. Романова - вызвали к командующему АДД генерал-лейтенанту А.Е. Голованову. Им было объявлено, что предстоит выполнить ответственное задание и совершить новый полет в Англию и далее в США, и что с ними полетят пассажиры. Кто будет пассажирами не сообщалось. Вылет назначен на 10 мая. На машину установили дополнительные топлив</w:t>
      </w:r>
      <w:r w:rsidRPr="008127F8">
        <w:rPr>
          <w:rFonts w:ascii="Times New Roman" w:hAnsi="Times New Roman"/>
          <w:color w:val="000000" w:themeColor="text1"/>
          <w:sz w:val="16"/>
          <w:szCs w:val="16"/>
        </w:rPr>
        <w:softHyphen/>
        <w:t>ные баки и портативные кислородные балло</w:t>
      </w:r>
      <w:r w:rsidRPr="008127F8">
        <w:rPr>
          <w:rFonts w:ascii="Times New Roman" w:hAnsi="Times New Roman"/>
          <w:color w:val="000000" w:themeColor="text1"/>
          <w:sz w:val="16"/>
          <w:szCs w:val="16"/>
        </w:rPr>
        <w:softHyphen/>
        <w:t>ны для пассажиров, проверили моторы. Кроме названных второго пилота и штурма</w:t>
      </w:r>
      <w:r w:rsidRPr="008127F8">
        <w:rPr>
          <w:rFonts w:ascii="Times New Roman" w:hAnsi="Times New Roman"/>
          <w:color w:val="000000" w:themeColor="text1"/>
          <w:sz w:val="16"/>
          <w:szCs w:val="16"/>
        </w:rPr>
        <w:softHyphen/>
        <w:t>нов в экипаж входили бортовой техник А.Я. Золотарев и его помощник С.Н. Дмитриев, стрелок носовой башни И.П. Гончаров, ради</w:t>
      </w:r>
      <w:r w:rsidRPr="008127F8">
        <w:rPr>
          <w:rFonts w:ascii="Times New Roman" w:hAnsi="Times New Roman"/>
          <w:color w:val="000000" w:themeColor="text1"/>
          <w:sz w:val="16"/>
          <w:szCs w:val="16"/>
        </w:rPr>
        <w:softHyphen/>
        <w:t>сты Б.Н. Низовцев и С.К. Муханов, воздушный стрелок центральной стрелковой установки Д.М. Кожин, стрелок кормовой установки Г.Ф. Белоусов и стрелки шассийных устано</w:t>
      </w:r>
      <w:r w:rsidRPr="008127F8">
        <w:rPr>
          <w:rFonts w:ascii="Times New Roman" w:hAnsi="Times New Roman"/>
          <w:color w:val="000000" w:themeColor="text1"/>
          <w:sz w:val="16"/>
          <w:szCs w:val="16"/>
        </w:rPr>
        <w:softHyphen/>
        <w:t>вок В.И. Смирнов и П.В. Сальников (19936).</w:t>
      </w:r>
    </w:p>
    <w:p w14:paraId="41AAE762"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547B736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1F06A6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2F9C20" w14:textId="77777777" w:rsidR="007C5583" w:rsidRPr="008127F8" w:rsidRDefault="007C5583" w:rsidP="007C5583">
      <w:pPr>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rPr>
        <w:t xml:space="preserve">3 мая 1942 в ходе рейда на конвой </w:t>
      </w:r>
      <w:r w:rsidRPr="008127F8">
        <w:rPr>
          <w:rFonts w:ascii="Times New Roman" w:hAnsi="Times New Roman"/>
          <w:color w:val="000000" w:themeColor="text1"/>
          <w:sz w:val="16"/>
          <w:szCs w:val="16"/>
          <w:lang w:val="en-US"/>
        </w:rPr>
        <w:t>PQ</w:t>
      </w:r>
      <w:r w:rsidRPr="008127F8">
        <w:rPr>
          <w:rFonts w:ascii="Times New Roman" w:hAnsi="Times New Roman"/>
          <w:color w:val="000000" w:themeColor="text1"/>
          <w:sz w:val="16"/>
          <w:szCs w:val="16"/>
        </w:rPr>
        <w:t xml:space="preserve"> 15, шесть </w:t>
      </w:r>
      <w:r w:rsidRPr="008127F8">
        <w:rPr>
          <w:rFonts w:ascii="Times New Roman" w:hAnsi="Times New Roman"/>
          <w:color w:val="000000" w:themeColor="text1"/>
          <w:sz w:val="16"/>
          <w:szCs w:val="16"/>
          <w:lang w:val="en-US"/>
        </w:rPr>
        <w:t>Heinkel</w:t>
      </w:r>
      <w:r w:rsidRPr="008127F8">
        <w:rPr>
          <w:rFonts w:ascii="Times New Roman" w:hAnsi="Times New Roman"/>
          <w:color w:val="000000" w:themeColor="text1"/>
          <w:sz w:val="16"/>
          <w:szCs w:val="16"/>
        </w:rPr>
        <w:t xml:space="preserve"> 111</w:t>
      </w:r>
      <w:r w:rsidRPr="008127F8">
        <w:rPr>
          <w:rFonts w:ascii="Times New Roman" w:hAnsi="Times New Roman"/>
          <w:color w:val="000000" w:themeColor="text1"/>
          <w:sz w:val="16"/>
          <w:szCs w:val="16"/>
          <w:lang w:val="en-US"/>
        </w:rPr>
        <w:t>s</w:t>
      </w:r>
      <w:r w:rsidRPr="008127F8">
        <w:rPr>
          <w:rFonts w:ascii="Times New Roman" w:hAnsi="Times New Roman"/>
          <w:color w:val="000000" w:themeColor="text1"/>
          <w:sz w:val="16"/>
          <w:szCs w:val="16"/>
        </w:rPr>
        <w:t xml:space="preserve"> из </w:t>
      </w:r>
      <w:r w:rsidRPr="008127F8">
        <w:rPr>
          <w:rFonts w:ascii="Times New Roman" w:hAnsi="Times New Roman"/>
          <w:color w:val="000000" w:themeColor="text1"/>
          <w:sz w:val="16"/>
          <w:szCs w:val="16"/>
          <w:lang w:val="en-US"/>
        </w:rPr>
        <w:t>I</w:t>
      </w:r>
      <w:r w:rsidRP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lang w:val="en-US"/>
        </w:rPr>
        <w:t>Gruppe</w:t>
      </w:r>
      <w:r w:rsidRPr="008127F8">
        <w:rPr>
          <w:rFonts w:ascii="Times New Roman" w:hAnsi="Times New Roman"/>
          <w:color w:val="000000" w:themeColor="text1"/>
          <w:sz w:val="16"/>
          <w:szCs w:val="16"/>
        </w:rPr>
        <w:t xml:space="preserve"> , </w:t>
      </w:r>
      <w:r w:rsidRPr="008127F8">
        <w:rPr>
          <w:rFonts w:ascii="Times New Roman" w:hAnsi="Times New Roman"/>
          <w:color w:val="000000" w:themeColor="text1"/>
          <w:sz w:val="16"/>
          <w:szCs w:val="16"/>
          <w:lang w:val="en-US"/>
        </w:rPr>
        <w:t>Kampfgeschwader</w:t>
      </w:r>
      <w:r w:rsidRPr="008127F8">
        <w:rPr>
          <w:rFonts w:ascii="Times New Roman" w:hAnsi="Times New Roman"/>
          <w:color w:val="000000" w:themeColor="text1"/>
          <w:sz w:val="16"/>
          <w:szCs w:val="16"/>
        </w:rPr>
        <w:t xml:space="preserve"> 26 люфтвафф наносят торпедный удар. Они сразу топят два торговых корабля и повреждают третий, который позже топит немецкая подводная лодка. Три</w:t>
      </w:r>
      <w:r w:rsidRPr="008127F8">
        <w:rPr>
          <w:rFonts w:ascii="Times New Roman" w:hAnsi="Times New Roman"/>
          <w:color w:val="000000" w:themeColor="text1"/>
          <w:sz w:val="16"/>
          <w:szCs w:val="16"/>
          <w:lang w:val="en-US"/>
        </w:rPr>
        <w:t xml:space="preserve"> He 111 </w:t>
      </w:r>
      <w:r w:rsidRPr="008127F8">
        <w:rPr>
          <w:rFonts w:ascii="Times New Roman" w:hAnsi="Times New Roman"/>
          <w:color w:val="000000" w:themeColor="text1"/>
          <w:sz w:val="16"/>
          <w:szCs w:val="16"/>
        </w:rPr>
        <w:t>потеряны</w:t>
      </w:r>
      <w:r w:rsidRPr="008127F8">
        <w:rPr>
          <w:rFonts w:ascii="Times New Roman" w:hAnsi="Times New Roman"/>
          <w:color w:val="000000" w:themeColor="text1"/>
          <w:sz w:val="16"/>
          <w:szCs w:val="16"/>
          <w:lang w:val="en-US"/>
        </w:rPr>
        <w:t xml:space="preserve"> (20793).</w:t>
      </w:r>
    </w:p>
    <w:p w14:paraId="068566F9" w14:textId="77777777" w:rsidR="007C5583" w:rsidRPr="008127F8" w:rsidRDefault="007C5583" w:rsidP="007C5583">
      <w:pPr>
        <w:spacing w:after="0" w:line="240" w:lineRule="auto"/>
        <w:jc w:val="both"/>
        <w:rPr>
          <w:rFonts w:ascii="Times New Roman" w:hAnsi="Times New Roman"/>
          <w:color w:val="000000" w:themeColor="text1"/>
          <w:sz w:val="16"/>
          <w:szCs w:val="16"/>
          <w:lang w:val="en-US"/>
        </w:rPr>
      </w:pPr>
    </w:p>
    <w:p w14:paraId="46CC0E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May 3rd, 1942: Off the northern coast of Norway, German destroyers sink the British cruiser Edinburgh escorting Convoy PQ-15 (3819).</w:t>
      </w:r>
    </w:p>
    <w:p w14:paraId="1D6014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A0FB5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мая 1942 у северного побережья Норвегии германские эсминцы потопили крейсер Эдинбург, эскортирующий конвой ПиКу-15 (3819).</w:t>
      </w:r>
    </w:p>
    <w:p w14:paraId="17A424C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22C65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мая 1942 японские войска высадились на Соломоновых островах (4963 ).</w:t>
      </w:r>
    </w:p>
    <w:p w14:paraId="441F193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16721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мая 1942 японские войска, наступавшие из Бирмы, вступили на территорию китайской провинции Юньнань (3186).</w:t>
      </w:r>
    </w:p>
    <w:p w14:paraId="1024083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5D006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мая 1942 японские войска высадились на о Тулаги (3186).</w:t>
      </w:r>
    </w:p>
    <w:p w14:paraId="77E4322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64BC6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B9C010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E11674" w14:textId="77777777" w:rsidR="007C5583" w:rsidRPr="00087420" w:rsidRDefault="007C5583" w:rsidP="007C5583">
      <w:pPr>
        <w:shd w:val="clear" w:color="auto" w:fill="FFFFFF"/>
        <w:spacing w:after="0" w:line="240" w:lineRule="auto"/>
        <w:jc w:val="both"/>
        <w:rPr>
          <w:rStyle w:val="a8"/>
          <w:rFonts w:ascii="Times New Roman" w:hAnsi="Times New Roman"/>
          <w:b w:val="0"/>
          <w:bCs w:val="0"/>
          <w:color w:val="000000" w:themeColor="text1"/>
          <w:sz w:val="16"/>
          <w:szCs w:val="16"/>
        </w:rPr>
      </w:pPr>
      <w:r w:rsidRPr="00087420">
        <w:rPr>
          <w:rStyle w:val="a8"/>
          <w:rFonts w:ascii="Times New Roman" w:hAnsi="Times New Roman"/>
          <w:b w:val="0"/>
          <w:bCs w:val="0"/>
          <w:color w:val="000000" w:themeColor="text1"/>
          <w:sz w:val="16"/>
          <w:szCs w:val="16"/>
        </w:rPr>
        <w:t>4 мая 1942 г.</w:t>
      </w:r>
    </w:p>
    <w:p w14:paraId="38274BF7" w14:textId="77777777" w:rsidR="007C5583" w:rsidRPr="00087420" w:rsidRDefault="007C5583" w:rsidP="007C5583">
      <w:pPr>
        <w:shd w:val="clear" w:color="auto" w:fill="FFFFFF"/>
        <w:spacing w:after="0" w:line="240" w:lineRule="auto"/>
        <w:jc w:val="both"/>
        <w:rPr>
          <w:rFonts w:ascii="Times New Roman" w:hAnsi="Times New Roman"/>
          <w:b/>
          <w:bCs/>
          <w:color w:val="000000" w:themeColor="text1"/>
          <w:sz w:val="16"/>
          <w:szCs w:val="16"/>
        </w:rPr>
      </w:pPr>
      <w:r w:rsidRPr="00087420">
        <w:rPr>
          <w:rStyle w:val="a8"/>
          <w:rFonts w:ascii="Times New Roman" w:hAnsi="Times New Roman"/>
          <w:b w:val="0"/>
          <w:bCs w:val="0"/>
          <w:color w:val="000000" w:themeColor="text1"/>
          <w:sz w:val="16"/>
          <w:szCs w:val="16"/>
        </w:rPr>
        <w:lastRenderedPageBreak/>
        <w:t>Письмо заместителя начальника Управления</w:t>
      </w:r>
    </w:p>
    <w:p w14:paraId="569A04D1" w14:textId="77777777" w:rsidR="007C5583" w:rsidRPr="00087420" w:rsidRDefault="007C5583" w:rsidP="007C5583">
      <w:pPr>
        <w:shd w:val="clear" w:color="auto" w:fill="FFFFFF"/>
        <w:spacing w:after="0" w:line="240" w:lineRule="auto"/>
        <w:jc w:val="both"/>
        <w:rPr>
          <w:rFonts w:ascii="Times New Roman" w:hAnsi="Times New Roman"/>
          <w:b/>
          <w:bCs/>
          <w:color w:val="000000" w:themeColor="text1"/>
          <w:sz w:val="16"/>
          <w:szCs w:val="16"/>
        </w:rPr>
      </w:pPr>
      <w:r w:rsidRPr="00087420">
        <w:rPr>
          <w:rStyle w:val="a8"/>
          <w:rFonts w:ascii="Times New Roman" w:hAnsi="Times New Roman"/>
          <w:b w:val="0"/>
          <w:bCs w:val="0"/>
          <w:color w:val="000000" w:themeColor="text1"/>
          <w:sz w:val="16"/>
          <w:szCs w:val="16"/>
        </w:rPr>
        <w:t>авиационного строительства УНКВД</w:t>
      </w:r>
    </w:p>
    <w:p w14:paraId="6DB7A7B4" w14:textId="77777777" w:rsidR="007C5583" w:rsidRPr="00087420" w:rsidRDefault="007C5583" w:rsidP="007C5583">
      <w:pPr>
        <w:shd w:val="clear" w:color="auto" w:fill="FFFFFF"/>
        <w:spacing w:after="0" w:line="240" w:lineRule="auto"/>
        <w:jc w:val="both"/>
        <w:rPr>
          <w:rFonts w:ascii="Times New Roman" w:hAnsi="Times New Roman"/>
          <w:b/>
          <w:bCs/>
          <w:color w:val="000000" w:themeColor="text1"/>
          <w:sz w:val="16"/>
          <w:szCs w:val="16"/>
        </w:rPr>
      </w:pPr>
      <w:r w:rsidRPr="00087420">
        <w:rPr>
          <w:rStyle w:val="a8"/>
          <w:rFonts w:ascii="Times New Roman" w:hAnsi="Times New Roman"/>
          <w:b w:val="0"/>
          <w:bCs w:val="0"/>
          <w:color w:val="000000" w:themeColor="text1"/>
          <w:sz w:val="16"/>
          <w:szCs w:val="16"/>
        </w:rPr>
        <w:t>Куйбышевской области Горбачева</w:t>
      </w:r>
    </w:p>
    <w:p w14:paraId="39A9A62B" w14:textId="77777777" w:rsidR="007C5583" w:rsidRPr="00087420" w:rsidRDefault="007C5583" w:rsidP="007C5583">
      <w:pPr>
        <w:shd w:val="clear" w:color="auto" w:fill="FFFFFF"/>
        <w:spacing w:after="0" w:line="240" w:lineRule="auto"/>
        <w:jc w:val="both"/>
        <w:rPr>
          <w:rFonts w:ascii="Times New Roman" w:hAnsi="Times New Roman"/>
          <w:b/>
          <w:bCs/>
          <w:color w:val="000000" w:themeColor="text1"/>
          <w:sz w:val="16"/>
          <w:szCs w:val="16"/>
        </w:rPr>
      </w:pPr>
      <w:r w:rsidRPr="00087420">
        <w:rPr>
          <w:rStyle w:val="a8"/>
          <w:rFonts w:ascii="Times New Roman" w:hAnsi="Times New Roman"/>
          <w:b w:val="0"/>
          <w:bCs w:val="0"/>
          <w:color w:val="000000" w:themeColor="text1"/>
          <w:sz w:val="16"/>
          <w:szCs w:val="16"/>
        </w:rPr>
        <w:t>председателю Куйбышевского облисполкома Васильеву</w:t>
      </w:r>
    </w:p>
    <w:p w14:paraId="3C588A2D" w14:textId="77777777" w:rsidR="007C5583" w:rsidRPr="00087420" w:rsidRDefault="007C5583" w:rsidP="007C5583">
      <w:pPr>
        <w:shd w:val="clear" w:color="auto" w:fill="FFFFFF"/>
        <w:spacing w:after="0" w:line="240" w:lineRule="auto"/>
        <w:jc w:val="both"/>
        <w:rPr>
          <w:rFonts w:ascii="Times New Roman" w:hAnsi="Times New Roman"/>
          <w:b/>
          <w:bCs/>
          <w:color w:val="000000" w:themeColor="text1"/>
          <w:sz w:val="16"/>
          <w:szCs w:val="16"/>
        </w:rPr>
      </w:pPr>
      <w:r w:rsidRPr="00087420">
        <w:rPr>
          <w:rStyle w:val="a8"/>
          <w:rFonts w:ascii="Times New Roman" w:hAnsi="Times New Roman"/>
          <w:b w:val="0"/>
          <w:bCs w:val="0"/>
          <w:color w:val="000000" w:themeColor="text1"/>
          <w:sz w:val="16"/>
          <w:szCs w:val="16"/>
        </w:rPr>
        <w:t>об обеспечении кирпичом строительства аэродрома в районе станции Смышляевка</w:t>
      </w:r>
    </w:p>
    <w:p w14:paraId="2BB9AFEC" w14:textId="77777777" w:rsidR="007C5583" w:rsidRPr="00087420" w:rsidRDefault="007C5583" w:rsidP="007C5583">
      <w:pPr>
        <w:shd w:val="clear" w:color="auto" w:fill="FFFFFF"/>
        <w:spacing w:after="0" w:line="240" w:lineRule="auto"/>
        <w:jc w:val="both"/>
        <w:rPr>
          <w:rFonts w:ascii="Times New Roman" w:hAnsi="Times New Roman"/>
          <w:b/>
          <w:bCs/>
          <w:color w:val="000000" w:themeColor="text1"/>
          <w:sz w:val="16"/>
          <w:szCs w:val="16"/>
        </w:rPr>
      </w:pPr>
      <w:r w:rsidRPr="00087420">
        <w:rPr>
          <w:rStyle w:val="a8"/>
          <w:rFonts w:ascii="Times New Roman" w:hAnsi="Times New Roman"/>
          <w:b w:val="0"/>
          <w:bCs w:val="0"/>
          <w:color w:val="000000" w:themeColor="text1"/>
          <w:sz w:val="16"/>
          <w:szCs w:val="16"/>
        </w:rPr>
        <w:t>4 мая 1942 г.</w:t>
      </w:r>
    </w:p>
    <w:p w14:paraId="0D9EC6D5" w14:textId="77777777" w:rsidR="007C5583" w:rsidRPr="00087420" w:rsidRDefault="007C5583" w:rsidP="007C5583">
      <w:pPr>
        <w:shd w:val="clear" w:color="auto" w:fill="FFFFFF"/>
        <w:spacing w:after="0" w:line="240" w:lineRule="auto"/>
        <w:jc w:val="both"/>
        <w:rPr>
          <w:rFonts w:ascii="Times New Roman" w:hAnsi="Times New Roman"/>
          <w:b/>
          <w:bCs/>
          <w:color w:val="000000" w:themeColor="text1"/>
          <w:sz w:val="16"/>
          <w:szCs w:val="16"/>
        </w:rPr>
      </w:pPr>
      <w:r w:rsidRPr="00087420">
        <w:rPr>
          <w:rStyle w:val="a8"/>
          <w:rFonts w:ascii="Times New Roman" w:hAnsi="Times New Roman"/>
          <w:b w:val="0"/>
          <w:bCs w:val="0"/>
          <w:color w:val="000000" w:themeColor="text1"/>
          <w:sz w:val="16"/>
          <w:szCs w:val="16"/>
        </w:rPr>
        <w:t>Секретно</w:t>
      </w:r>
    </w:p>
    <w:p w14:paraId="1F3E818B"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По решению ГКО в районе ст. Смышляевка Куйбышевской обла</w:t>
      </w:r>
      <w:r w:rsidRPr="008127F8">
        <w:rPr>
          <w:color w:val="000000" w:themeColor="text1"/>
          <w:sz w:val="16"/>
          <w:szCs w:val="16"/>
        </w:rPr>
        <w:softHyphen/>
        <w:t>сти УАС УНКВД должен построить постоянный аэродром с бетон</w:t>
      </w:r>
      <w:r w:rsidRPr="008127F8">
        <w:rPr>
          <w:color w:val="000000" w:themeColor="text1"/>
          <w:sz w:val="16"/>
          <w:szCs w:val="16"/>
        </w:rPr>
        <w:softHyphen/>
        <w:t>ной взлетно-посадочной полосой.</w:t>
      </w:r>
    </w:p>
    <w:p w14:paraId="3BFC72C2"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Учитывая исключительно тяжелое положение с получением цемен</w:t>
      </w:r>
      <w:r w:rsidRPr="008127F8">
        <w:rPr>
          <w:color w:val="000000" w:themeColor="text1"/>
          <w:sz w:val="16"/>
          <w:szCs w:val="16"/>
        </w:rPr>
        <w:softHyphen/>
        <w:t>та, отсутствие инертных материалов в районе строительства и необхо</w:t>
      </w:r>
      <w:r w:rsidRPr="008127F8">
        <w:rPr>
          <w:color w:val="000000" w:themeColor="text1"/>
          <w:sz w:val="16"/>
          <w:szCs w:val="16"/>
        </w:rPr>
        <w:softHyphen/>
        <w:t>димость завоза их по железной дороге на расстояние 200 км, что в ус</w:t>
      </w:r>
      <w:r w:rsidRPr="008127F8">
        <w:rPr>
          <w:color w:val="000000" w:themeColor="text1"/>
          <w:sz w:val="16"/>
          <w:szCs w:val="16"/>
        </w:rPr>
        <w:softHyphen/>
        <w:t>ловиях военного времени при большой перегруженности ж.д. транс</w:t>
      </w:r>
      <w:r w:rsidRPr="008127F8">
        <w:rPr>
          <w:color w:val="000000" w:themeColor="text1"/>
          <w:sz w:val="16"/>
          <w:szCs w:val="16"/>
        </w:rPr>
        <w:softHyphen/>
        <w:t>порта военными перевозками совершенно нецелесообразно, УАСу раз</w:t>
      </w:r>
      <w:r w:rsidRPr="008127F8">
        <w:rPr>
          <w:color w:val="000000" w:themeColor="text1"/>
          <w:sz w:val="16"/>
          <w:szCs w:val="16"/>
        </w:rPr>
        <w:softHyphen/>
        <w:t>решено взамен бетонной полосы построить кирпичную. Для строитель</w:t>
      </w:r>
      <w:r w:rsidRPr="008127F8">
        <w:rPr>
          <w:color w:val="000000" w:themeColor="text1"/>
          <w:sz w:val="16"/>
          <w:szCs w:val="16"/>
        </w:rPr>
        <w:softHyphen/>
        <w:t>ства кирпичной полосы требуется 7,5 миллионов штук кирпича.</w:t>
      </w:r>
    </w:p>
    <w:p w14:paraId="5ECB5E55"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Замнаркома внутренних дел СССР тов. Чернышов дал разреше</w:t>
      </w:r>
      <w:r w:rsidRPr="008127F8">
        <w:rPr>
          <w:color w:val="000000" w:themeColor="text1"/>
          <w:sz w:val="16"/>
          <w:szCs w:val="16"/>
        </w:rPr>
        <w:softHyphen/>
        <w:t>ние на получение 3 миллионов штук кирпича с кирпичного завода Особстроя НКВД.</w:t>
      </w:r>
    </w:p>
    <w:p w14:paraId="3AEEC543"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Для покрытия полной потребности строительства не хватает 4,5 млн. шт.</w:t>
      </w:r>
    </w:p>
    <w:p w14:paraId="751261C5"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Прошу для обеспечения выполнения задания ГКО в установлен</w:t>
      </w:r>
      <w:r w:rsidRPr="008127F8">
        <w:rPr>
          <w:color w:val="000000" w:themeColor="text1"/>
          <w:sz w:val="16"/>
          <w:szCs w:val="16"/>
        </w:rPr>
        <w:softHyphen/>
        <w:t>ный срок отпустить с кирпичных заводов области в течение мая-июля месяцев 4,5 млн. штук кирпича.</w:t>
      </w:r>
    </w:p>
    <w:p w14:paraId="5D3DB8E0"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Зам. начальника УАС УНКВД КО</w:t>
      </w:r>
    </w:p>
    <w:p w14:paraId="23EA6263"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главный инженер-военинженер 1 -го ранга</w:t>
      </w:r>
    </w:p>
    <w:p w14:paraId="71CD30DA"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Горбачев</w:t>
      </w:r>
    </w:p>
    <w:p w14:paraId="67D80092" w14:textId="77777777" w:rsidR="007C5583" w:rsidRPr="008127F8" w:rsidRDefault="007C5583" w:rsidP="007C5583">
      <w:pPr>
        <w:pStyle w:val="af"/>
        <w:shd w:val="clear" w:color="auto" w:fill="FFFFFF"/>
        <w:spacing w:before="0" w:after="0"/>
        <w:jc w:val="both"/>
        <w:rPr>
          <w:rStyle w:val="af1"/>
          <w:i w:val="0"/>
          <w:color w:val="000000" w:themeColor="text1"/>
          <w:sz w:val="16"/>
          <w:szCs w:val="16"/>
        </w:rPr>
      </w:pPr>
      <w:r w:rsidRPr="008127F8">
        <w:rPr>
          <w:rStyle w:val="af1"/>
          <w:color w:val="000000" w:themeColor="text1"/>
          <w:sz w:val="16"/>
          <w:szCs w:val="16"/>
        </w:rPr>
        <w:t>(ГАСО. Ф. Р-2558. On. 6. Д. 66. Л. 118. Подлинник.) (19828).</w:t>
      </w:r>
    </w:p>
    <w:p w14:paraId="649AD819" w14:textId="77777777" w:rsidR="007C5583" w:rsidRPr="00087420" w:rsidRDefault="007C5583" w:rsidP="00087420">
      <w:pPr>
        <w:spacing w:after="0" w:line="240" w:lineRule="auto"/>
        <w:rPr>
          <w:rFonts w:ascii="Times New Roman" w:hAnsi="Times New Roman"/>
          <w:sz w:val="16"/>
          <w:szCs w:val="16"/>
        </w:rPr>
      </w:pPr>
    </w:p>
    <w:p w14:paraId="236128FA" w14:textId="77777777" w:rsidR="007C5583" w:rsidRPr="00087420" w:rsidRDefault="007C5583" w:rsidP="00087420">
      <w:pPr>
        <w:spacing w:after="0" w:line="240" w:lineRule="auto"/>
        <w:rPr>
          <w:rFonts w:ascii="Times New Roman" w:hAnsi="Times New Roman"/>
          <w:sz w:val="16"/>
          <w:szCs w:val="16"/>
        </w:rPr>
      </w:pPr>
      <w:r w:rsidRPr="00087420">
        <w:rPr>
          <w:rFonts w:ascii="Times New Roman" w:hAnsi="Times New Roman"/>
          <w:sz w:val="16"/>
          <w:szCs w:val="16"/>
        </w:rPr>
        <w:t>К 4 мая 1942 опытный самолет Су-6 («82») был приведен в летное со</w:t>
      </w:r>
      <w:r w:rsidRPr="00087420">
        <w:rPr>
          <w:rFonts w:ascii="Times New Roman" w:hAnsi="Times New Roman"/>
          <w:sz w:val="16"/>
          <w:szCs w:val="16"/>
        </w:rPr>
        <w:softHyphen/>
        <w:t>стояние. На следующий день опробовали мотор, заменили свечи и подготовили са</w:t>
      </w:r>
      <w:r w:rsidRPr="00087420">
        <w:rPr>
          <w:rFonts w:ascii="Times New Roman" w:hAnsi="Times New Roman"/>
          <w:sz w:val="16"/>
          <w:szCs w:val="16"/>
        </w:rPr>
        <w:softHyphen/>
        <w:t>молет к полетам. Для оценки тенденции самолета к разворотам при посадке с бо</w:t>
      </w:r>
      <w:r w:rsidRPr="00087420">
        <w:rPr>
          <w:rFonts w:ascii="Times New Roman" w:hAnsi="Times New Roman"/>
          <w:sz w:val="16"/>
          <w:szCs w:val="16"/>
        </w:rPr>
        <w:softHyphen/>
        <w:t>ковым ветром решили 9 мая порулить по бетонной полосе. Во время руления лоп</w:t>
      </w:r>
      <w:r w:rsidRPr="00087420">
        <w:rPr>
          <w:rFonts w:ascii="Times New Roman" w:hAnsi="Times New Roman"/>
          <w:sz w:val="16"/>
          <w:szCs w:val="16"/>
        </w:rPr>
        <w:softHyphen/>
        <w:t>нула камера правого колеса. В результате поломали щиток шасси и порвали по</w:t>
      </w:r>
      <w:r w:rsidRPr="00087420">
        <w:rPr>
          <w:rFonts w:ascii="Times New Roman" w:hAnsi="Times New Roman"/>
          <w:sz w:val="16"/>
          <w:szCs w:val="16"/>
        </w:rPr>
        <w:softHyphen/>
        <w:t>крышку. Самолет в очередной раз встал в ремонт. После ремонта выполнили еще три полета на бомбометание, и 28 мая са</w:t>
      </w:r>
      <w:r w:rsidRPr="00087420">
        <w:rPr>
          <w:rFonts w:ascii="Times New Roman" w:hAnsi="Times New Roman"/>
          <w:sz w:val="16"/>
          <w:szCs w:val="16"/>
        </w:rPr>
        <w:softHyphen/>
        <w:t>молет благополучно перелетел на завод №289 в г. Молотов (19846).</w:t>
      </w:r>
    </w:p>
    <w:p w14:paraId="616DB5E4" w14:textId="77777777" w:rsidR="007C5583" w:rsidRPr="00087420" w:rsidRDefault="007C5583" w:rsidP="00087420">
      <w:pPr>
        <w:spacing w:after="0" w:line="240" w:lineRule="auto"/>
        <w:rPr>
          <w:rFonts w:ascii="Times New Roman" w:hAnsi="Times New Roman"/>
          <w:sz w:val="16"/>
          <w:szCs w:val="16"/>
        </w:rPr>
      </w:pPr>
    </w:p>
    <w:p w14:paraId="48E7D913" w14:textId="77777777" w:rsidR="007C5583" w:rsidRPr="00087420" w:rsidRDefault="007C5583" w:rsidP="00087420">
      <w:pPr>
        <w:spacing w:after="0" w:line="240" w:lineRule="auto"/>
        <w:rPr>
          <w:rFonts w:ascii="Times New Roman" w:hAnsi="Times New Roman"/>
          <w:sz w:val="16"/>
          <w:szCs w:val="16"/>
        </w:rPr>
      </w:pPr>
      <w:r w:rsidRPr="00087420">
        <w:rPr>
          <w:rFonts w:ascii="Times New Roman" w:hAnsi="Times New Roman"/>
          <w:sz w:val="16"/>
          <w:szCs w:val="16"/>
        </w:rPr>
        <w:t>4 мая 1942 на Би-1 регулировали управление (172,185).</w:t>
      </w:r>
    </w:p>
    <w:p w14:paraId="017F814D" w14:textId="77777777" w:rsidR="007C5583" w:rsidRPr="00087420" w:rsidRDefault="007C5583" w:rsidP="00087420">
      <w:pPr>
        <w:spacing w:after="0" w:line="240" w:lineRule="auto"/>
        <w:rPr>
          <w:rFonts w:ascii="Times New Roman" w:hAnsi="Times New Roman"/>
          <w:sz w:val="16"/>
          <w:szCs w:val="16"/>
        </w:rPr>
      </w:pPr>
    </w:p>
    <w:p w14:paraId="139020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мая 1942 вышел приказ НКАП N 339с по увеличению производственной мощности по выпуску 11-местных десантных планеров Г-11 конструкции Грибовского за счет организации на базе филиала завода 168 в Рязани завода 463 (1612,71).</w:t>
      </w:r>
    </w:p>
    <w:p w14:paraId="1B47D47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AE6C6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мая 1942 г. по приказу № 339с филиал завода № 168 на площадке эвакуированного завода № 168 НКАП в Рязани был преобразован в самостоятельный завод № 463 НКАП для производства планеров. В помощь заводу сюда переведена группа работников завода № 471 НКАП гл. конструктора В.К. Грибовского с техдокументацией.</w:t>
      </w:r>
    </w:p>
    <w:p w14:paraId="1780753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707с от 16.09.1942 г. на площадку завода № 463 к 10.1942 г. переведен из Тюмени завод № 241 НКАП с производством планера А-7 и влит в состав завода № 463. В годы войны производство лафетов вооружения, подвесных баков, наземного оборудования для техобслуживания самолетов, запчастей для У-2. Строились планеры Г-9, А-7. С 08.1942 г.- освоение выпуска подвесных кабин для У-2 и Р-5.</w:t>
      </w:r>
    </w:p>
    <w:p w14:paraId="361E2C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730с от 4.12.1943 г. на заводе № 463 организовано КБ по десантным планерам. В него переведен с завода № 471 и влит коллектив ОКБ В.К. Грибовского, который назначен гл. конструктором завода № 463.</w:t>
      </w:r>
    </w:p>
    <w:p w14:paraId="3E9133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306с/ 203пс от 24.07.1945 г. заводу передан личный состав и оборудование ликвидированного завода № 471 НКАП. С 1943 г.- подготова производства планера Г-11 (Гр-29).</w:t>
      </w:r>
    </w:p>
    <w:p w14:paraId="6376FDC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310с от 17.05.1947 г. вновь оговорена организация при заводе ОКБ по десантным планерам. Грибовский назначен директором завода. Тем же приказом завод оставлен в 11 ГУ, а ОКБ-463 подчинено 7ГУ. Вело сопровождение серии планеров Г-9, Г-11.</w:t>
      </w:r>
    </w:p>
    <w:p w14:paraId="66F2CE6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1948 г. планерное производство прекращено. Строился По-2 и его модификация «аэропыла»- </w:t>
      </w:r>
      <w:r w:rsidRPr="008127F8">
        <w:rPr>
          <w:rFonts w:ascii="Times New Roman" w:hAnsi="Times New Roman"/>
          <w:color w:val="000000" w:themeColor="text1"/>
          <w:sz w:val="16"/>
          <w:szCs w:val="16"/>
          <w:lang w:val="en-US"/>
        </w:rPr>
        <w:t>AIL</w:t>
      </w:r>
    </w:p>
    <w:p w14:paraId="0BE4283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440с от 21.06.1948 г. ОКБ-463 реорганизовано с 1.07.1948 г. в Серийное КБ завода № 463 МАП.</w:t>
      </w:r>
    </w:p>
    <w:p w14:paraId="4AE7C3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Еще в начале 1945 г. на заводе приступили к организации производства опознавательной аппаратуры. С 1951 г. завод полностью переведен на выпуск радиоаппаратуры, для чего с 1.09.1950 г. передан из 11ГУ в 17ГУ МАП.</w:t>
      </w:r>
    </w:p>
    <w:p w14:paraId="383210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заводе проведена реконструкция. Начато серийное производство РЛ-оборудования и БРЛС для Ил-28.</w:t>
      </w:r>
    </w:p>
    <w:p w14:paraId="73A37B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1950-х  г. при заводе № 463 образовался филиал ОКБ-339 МАП для решения вопросов, связанных с серийным производством БРЛС. С 08.1957 г. при реорганизации аппарата МАП (передачи серийных заводов в СНХ) филиал ОКБ-339 на заводе № 463 передан во вновь образованное 4ГУ МАП.</w:t>
      </w:r>
    </w:p>
    <w:p w14:paraId="61C0AA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 713-342 от 26.06.1957 г. завод передан в ведение Рязанского СНХ РСФСР, с 1965 г. снова в МАП.</w:t>
      </w:r>
    </w:p>
    <w:p w14:paraId="3746AEB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Далее, вероятно, завод имел наименование «п/я 141» и в 1963 г. был переименован в завод «Красное знамя».</w:t>
      </w:r>
    </w:p>
    <w:p w14:paraId="2DA9B8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(08.1942 г.)- П.А. Букреев, (01.1943 г.)- П.В. Рычков, (12.1943; 06.1946 г.)- И.И. Девяткин, (02.1945 г.)- И.И. Копошилко, (05.1947 г.-)- В.К. Грибовский, (1951-52 г.)- А.Н. Голенищев, (1953-65 г.)- К.А. Машевский.</w:t>
      </w:r>
    </w:p>
    <w:p w14:paraId="630BE02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(12.1943 г.-)- В.К. Грибовский {7.09.1899-77}.</w:t>
      </w:r>
    </w:p>
    <w:p w14:paraId="59A231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производства (-1965 г.)- В.Д. Мельничук.</w:t>
      </w:r>
    </w:p>
    <w:p w14:paraId="3E610B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Н.И. Вахромов, В.Д. Мельничук.</w:t>
      </w:r>
    </w:p>
    <w:p w14:paraId="2BF7FB7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планеры: Г-9, А-7 (ВОВ), Г-11 (1943-45; 1946-48), Г-31 (1948); самолет По-2А (1946-49); крылья, в/винты; катапультные кресла, наземное оборудование для МиГ-15; прицельная станция бомбометания и навигации ПСБН-М для Ил-28 (1951); РЛС: РП-6 «Сокол» для Як-25М (1954-), «Эмблема» для Ил-18 (1956-), РЛ прицел РП-11 «Орел» для Су-11, Су-15, Як-28П (1959-).</w:t>
      </w:r>
    </w:p>
    <w:p w14:paraId="6377172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ПО «Красное знамя» МРП, п/я 141, АООТ, ОАО «Завод «Красное знамя» /390043  г. Рязань пр. Шабулина, 2А тел. 93-85-17/</w:t>
      </w:r>
    </w:p>
    <w:p w14:paraId="6AC087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был в 1951 г. В конце 1950-х  г. освоен выпуск РЛ прицелов бомбометания для Ил-28.</w:t>
      </w:r>
    </w:p>
    <w:p w14:paraId="772163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1963 г. предприятие «п/я 141» переименовано в завод «Красное знамя». В 1965 г. по приказу МРП из состава завода выделен самостоятельный ГРПЗ с производством авиационного РЭО.</w:t>
      </w:r>
    </w:p>
    <w:p w14:paraId="56FA5C7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1960-е  г. выпускалась РЭА для РН «Союз», «Протон». С конца 1960-х  г. - наземная аппаратура ЗРК СНР- 75РД, затем - бортовая аппаратура для С-200, С-300П, бортовые вычислительные комплексы для ракет морского базирования.</w:t>
      </w:r>
    </w:p>
    <w:p w14:paraId="5DB9E8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1973 г. на базе завода «Красное знамя» создано ПО, в которое также вошло РКБ «Глобус».</w:t>
      </w:r>
    </w:p>
    <w:p w14:paraId="4021AA1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1994 г. ПО «Красное знамя» преобразовано в АООТ «Завод «Красное знамя», с 1997 г.- ОАО.</w:t>
      </w:r>
    </w:p>
    <w:p w14:paraId="6688217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0F794A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предприятия (2004 г.): СКБ; промышленная испытательная лаборатория; (2008 г.) НПЦ. Имелись производства: точная механообработка, слесарно-каркасное и штамповочное, сварочное, термообработка, волноводов, гальваническое, электроэлементов и моточных узлов, инструментальное, двухслойных и многослойных печатных плат, сборочное радиоэлектронных изделий, лакокрасочных покрытий рабочих фотошаблонов для изготовления печатных плат, тонкопленочные технологии, настроечно-регулировочные работы и испытания РЭА.</w:t>
      </w:r>
    </w:p>
    <w:p w14:paraId="3B334E6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(1965-77 г.)- К.А. Машевский. Гендиректор (1994-96 г.)- С.Я. Выренков, (1996-2000 г.)- В.Ф. Шумилин, (2000-07 г.-)- А.И. Мороз.</w:t>
      </w:r>
    </w:p>
    <w:p w14:paraId="3A549B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по производству- П.П. Писчиков; по реконструкции и техническому перевооружению производства, эксплуатации основных фондов и оборудования- А.И. Мороз; по производству ТНП- В.Ф. Шумилин.</w:t>
      </w:r>
    </w:p>
    <w:p w14:paraId="5ADFE5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производства- И.А. Худыш. Коммерческий директор (2004 г.)- А.С. Евтюхин. Технический директор (2004 г.)- Д.Н. Адамов.</w:t>
      </w:r>
    </w:p>
    <w:p w14:paraId="5A6907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(-1973 г.)- И.А. Худыш, (-1989 г.)- С.Я. Выренков, (-1996 г.)- В.Ф. Шумилин, (-2000 г.)- А.И. Мороз, (-2002 г.)- Д.А. Белых.</w:t>
      </w:r>
    </w:p>
    <w:p w14:paraId="0A53C2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инженера- Д.А. Белых.</w:t>
      </w:r>
    </w:p>
    <w:p w14:paraId="4A5D7CF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контролер- С.Я. Выренков.</w:t>
      </w:r>
    </w:p>
    <w:p w14:paraId="7F90D7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отделений: спецтехники- А.Н. Большаков.</w:t>
      </w:r>
    </w:p>
    <w:p w14:paraId="72987DB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Д.А. Белых, (1982 г.-)- П.П. Писчиков, (-1997 г.)- Б.В. Сорокин, И.А. Худыш, В.Ф. Шумилин.</w:t>
      </w:r>
    </w:p>
    <w:p w14:paraId="5F1CF3E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цеха: С.Я. Выренков, Б.В. Сорокин, В.Ф. Шумилин.</w:t>
      </w:r>
    </w:p>
    <w:p w14:paraId="74C5FE4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(-1997 г.)- А.Н. Большаков, С.Я. Выренков, (1991 г.-)- А.И. Мороз, П.П. Писчиков.</w:t>
      </w:r>
    </w:p>
    <w:p w14:paraId="6AB97C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отдела: Д.А. Белых.</w:t>
      </w:r>
    </w:p>
    <w:p w14:paraId="68E950A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секторов: (2000-е)-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 Колесников.</w:t>
      </w:r>
    </w:p>
    <w:p w14:paraId="59C6F11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лабораторий: радиоизмерительной- И.А. Худыш.</w:t>
      </w:r>
    </w:p>
    <w:p w14:paraId="401B55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бюро: КРТБ- А.Н. Большаков.</w:t>
      </w:r>
      <w:r w:rsidRPr="008127F8">
        <w:rPr>
          <w:rFonts w:ascii="Times New Roman" w:hAnsi="Times New Roman"/>
          <w:color w:val="000000" w:themeColor="text1"/>
          <w:sz w:val="16"/>
          <w:szCs w:val="16"/>
          <w:vertAlign w:val="superscript"/>
        </w:rPr>
        <w:t>130</w:t>
      </w:r>
    </w:p>
    <w:p w14:paraId="73B647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lastRenderedPageBreak/>
        <w:t>Производство: телевизоры:</w:t>
      </w:r>
      <w:r w:rsidRPr="008127F8">
        <w:rPr>
          <w:rFonts w:ascii="Times New Roman" w:hAnsi="Times New Roman"/>
          <w:color w:val="000000" w:themeColor="text1"/>
          <w:sz w:val="16"/>
          <w:szCs w:val="16"/>
        </w:rPr>
        <w:t xml:space="preserve"> «Юность Р-603», «Сапфир-401, -402, -412, -455, 23ТБ-307, 23ТБ-311, 23ТБ-406, 23ТБ-431, 37ТЦ-4324, 37ТЦ-5211, 37ТЦ-6211, 37ТЦ-7311»; антенна СТВ-30; (2004 г.): система автоматизированного ведения пригородного электропоезда САВПЭ-М1; автоматизированная система прецизионного контроля печатных плат АСПК-ПП; извещатели: пожарный оптико-электронный ИП 212-49 (ДИП-49), охранный поверхностный вибрационный «Грань-2М», охранный объемный «Сапфир-ИК», прибор объемно-контрольныйпожарный ППКП-019-20/60-3; сигнализатор уровня жидкости СУЖ-П-И, информационно- измерительная система ИИС-2М, оптоволоконный сигнализатор горения СГ-02; горелки: дизельные РУСНИТ- 50100, газовые, автоматизированные электрокотлы РУСНИТ; светомузыкальный бокал </w:t>
      </w:r>
      <w:r w:rsidRPr="008127F8">
        <w:rPr>
          <w:rFonts w:ascii="Times New Roman" w:hAnsi="Times New Roman"/>
          <w:color w:val="000000" w:themeColor="text1"/>
          <w:sz w:val="16"/>
          <w:szCs w:val="16"/>
          <w:lang w:val="en-US"/>
        </w:rPr>
        <w:t>cMB</w:t>
      </w:r>
      <w:r w:rsidRPr="008127F8">
        <w:rPr>
          <w:rFonts w:ascii="Times New Roman" w:hAnsi="Times New Roman"/>
          <w:color w:val="000000" w:themeColor="text1"/>
          <w:sz w:val="16"/>
          <w:szCs w:val="16"/>
        </w:rPr>
        <w:t>-3.</w:t>
      </w:r>
      <w:r w:rsidRPr="008127F8">
        <w:rPr>
          <w:rFonts w:ascii="Times New Roman" w:hAnsi="Times New Roman"/>
          <w:color w:val="000000" w:themeColor="text1"/>
          <w:sz w:val="16"/>
          <w:szCs w:val="16"/>
          <w:vertAlign w:val="superscript"/>
          <w:lang w:val="en-US"/>
        </w:rPr>
        <w:t>wwwkrasn</w:t>
      </w:r>
      <w:r w:rsidRPr="008127F8">
        <w:rPr>
          <w:rFonts w:ascii="Times New Roman" w:hAnsi="Times New Roman"/>
          <w:color w:val="000000" w:themeColor="text1"/>
          <w:sz w:val="16"/>
          <w:szCs w:val="16"/>
          <w:vertAlign w:val="superscript"/>
        </w:rPr>
        <w:t>0</w:t>
      </w:r>
      <w:r w:rsidRPr="008127F8">
        <w:rPr>
          <w:rFonts w:ascii="Times New Roman" w:hAnsi="Times New Roman"/>
          <w:color w:val="000000" w:themeColor="text1"/>
          <w:sz w:val="16"/>
          <w:szCs w:val="16"/>
          <w:vertAlign w:val="superscript"/>
          <w:lang w:val="en-US"/>
        </w:rPr>
        <w:t>yeznamyara</w:t>
      </w:r>
    </w:p>
    <w:p w14:paraId="32E87A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Рязанское КБ (РКБ) «Глобус», ФГУП «РКБ «Глобус» /390013  г. Рязань ул. Высоковольтная, 6 тел. 75-32-08/</w:t>
      </w:r>
    </w:p>
    <w:p w14:paraId="1BC006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по приказу МАП № 642 от 27.09.1955 г. для разработки первых отечественных автономных систем автоматизированного контроля.</w:t>
      </w:r>
    </w:p>
    <w:p w14:paraId="30B301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1973 г. РКБ «Глобус» вошло в состав ПО «Красное знамя» (с самостоятельным балансом). В 1982 г. РКБ вышло из состава ПО.</w:t>
      </w:r>
    </w:p>
    <w:p w14:paraId="5E40C0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751D9F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(2005 г.): автоматизированные контрольно-испытательные передвижные станции (АКИПС) для ТО изделий при эксплуатации в жестких условиях; автоматизированные контрольно-испытательные стационарные станции (АКИС); автоматизированная контрольно-измерительная аппаратура (АКИА).</w:t>
      </w:r>
    </w:p>
    <w:p w14:paraId="0C7978C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РКБ (2005 г.): научно-исследовательские подразделения, ОП, испытательная база, управленческие и обслуживающие подразделения.</w:t>
      </w:r>
    </w:p>
    <w:p w14:paraId="2B1A567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(1989-2006 г.-)- Н.Н. Пономарев.</w:t>
      </w:r>
    </w:p>
    <w:p w14:paraId="2C73B83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(2004 г.)- Н.Н. Пономарев.</w:t>
      </w:r>
    </w:p>
    <w:p w14:paraId="6E70186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конструкторов: (-1970 г.)- А.Н. Осокин.</w:t>
      </w:r>
    </w:p>
    <w:p w14:paraId="5D645D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автоматизированные системы ТО и контроля: 5К13, 5К43, 9В91, 9В95, 9В91М, 9В95М, 9В930, 9В97, 9В98, 70К6, 80К6,22Д6,23Д6,24Д6, Л088, «ОКА»; экспортные «ОКА-Э-1», «ОКА-190», АКИС 9В930М-1.</w:t>
      </w:r>
      <w:r w:rsidRPr="008127F8">
        <w:rPr>
          <w:rFonts w:ascii="Times New Roman" w:hAnsi="Times New Roman"/>
          <w:color w:val="000000" w:themeColor="text1"/>
          <w:sz w:val="16"/>
          <w:szCs w:val="16"/>
          <w:vertAlign w:val="superscript"/>
        </w:rPr>
        <w:t xml:space="preserve">101 </w:t>
      </w:r>
      <w:r w:rsidRPr="008127F8">
        <w:rPr>
          <w:rFonts w:ascii="Times New Roman" w:hAnsi="Times New Roman"/>
          <w:color w:val="000000" w:themeColor="text1"/>
          <w:sz w:val="16"/>
          <w:szCs w:val="16"/>
        </w:rPr>
        <w:t>Рязанский государственный приборный завод, ПО «Радиоприбор», ФГУП «Государственный Рязанский приборный завод» (ГРПЗ) ФАП /г. Рязань а/я 159/</w:t>
      </w:r>
    </w:p>
    <w:p w14:paraId="6E540E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/390000  г. Рязань ул. (Каляева) Семинарская, 32 тел. (0912) 77-23-27,21-61-47/</w:t>
      </w:r>
    </w:p>
    <w:p w14:paraId="29A9FD4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1965 г. из состава завода «Красное знамя» выделился самостоятельный Рязанский государственный приборный завод для производства авиационного РЭО. В 1979 г. действовало ПО «Радиоприбор».</w:t>
      </w:r>
    </w:p>
    <w:p w14:paraId="796565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1970-е  г. проведена реконструкция завода.</w:t>
      </w:r>
    </w:p>
    <w:p w14:paraId="41FE61D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1990-е  г. велась разработка перспективных РЛПК совместно с НИИП им. Тихомирова. Подготовлено производство ФАР для РЛПК легких истребителей «Оса».</w:t>
      </w:r>
    </w:p>
    <w:p w14:paraId="56FCCB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1993 г. завод преобразован в ГП, далее - ФГУП ГРПЗ. В 1996 г. ГРПЗ вошёл в ВПК «МАЛО». По Указу Президента РФ № 1009 от 4.08.2004 г. вошло в перечень стратегических оборонных предприятий.</w:t>
      </w:r>
    </w:p>
    <w:p w14:paraId="3B0595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1997 г. освоен выпуск медицинской техники.</w:t>
      </w:r>
    </w:p>
    <w:p w14:paraId="60422D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 филиал (2002 г.)- Касимовский приборный завод.</w:t>
      </w:r>
    </w:p>
    <w:p w14:paraId="65E4A61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Направления деятельности (2003 г.): РЭО для военной и гражданской авиации; системы управления вооружением, включая РЛС, антенные системы с электронным управлением лучом; изделия связи, телеметрии, точной механики, медицинской техники; (2005 г.): разработка многофункциональной системы обработки видеоизображений «Охотник» для оптико-электронной станции сопровождения целей; (2006 г.): лазерно-лучевые системы наведения (ЛЛСН) управляемого оружия.</w:t>
      </w:r>
    </w:p>
    <w:p w14:paraId="0FC54B5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2006 г. передана документация и велась подготовка к выпуску РЛ системы управления «Ирбис-Э» для Су-35.</w:t>
      </w:r>
    </w:p>
    <w:p w14:paraId="1EE790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(1965-79 г.)- В.Д. Мельничук. Гендиректор (1979-85 г.)- А.И. Канащенков, (1985-94 г.)- А.Н. Червяков, (1994-2007 г.-)- А.Н. Червяков.</w:t>
      </w:r>
    </w:p>
    <w:p w14:paraId="34905DA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(1994-2007 г.-)- Ю.И. Зеленюк. Зам. директора: по производству (-1988 г.)- Ю.И. Зеленюк; по общим вопросам и капстроительству (-1991 г.)- А.И. Мороз.</w:t>
      </w:r>
    </w:p>
    <w:p w14:paraId="2165ED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по производству и сбыту (2002 г.)- А. Г. Копнов;</w:t>
      </w:r>
      <w:r w:rsidRPr="008127F8">
        <w:rPr>
          <w:rFonts w:ascii="Times New Roman" w:hAnsi="Times New Roman"/>
          <w:color w:val="000000" w:themeColor="text1"/>
          <w:sz w:val="16"/>
          <w:szCs w:val="16"/>
          <w:vertAlign w:val="superscript"/>
        </w:rPr>
        <w:t>69</w:t>
      </w:r>
      <w:r w:rsidRPr="008127F8">
        <w:rPr>
          <w:rFonts w:ascii="Times New Roman" w:hAnsi="Times New Roman"/>
          <w:color w:val="000000" w:themeColor="text1"/>
          <w:sz w:val="16"/>
          <w:szCs w:val="16"/>
        </w:rPr>
        <w:t xml:space="preserve"> технический (1994-2007 г.-)- Ю.И. Зеленюк; Научно-конструкторского центра (НКЦ) (-2003-06 г.-)- Л. Костяшкин; Научно-технического центра (НТЦ) (-2003- 06 г.-)-  Г. Колодько; центра видеотехнологий (2007 г.)- Л. Костяшкин. Начальник производственного комплекса (2007 г.)- Ю. Клищенко.</w:t>
      </w:r>
    </w:p>
    <w:p w14:paraId="5E651BD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Управляющий по коммерции (2001 г.)- В.В. Поспелов.</w:t>
      </w:r>
    </w:p>
    <w:p w14:paraId="67E9441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технического директора по ИАСУ (2007 г.)- А. Бурмакин.</w:t>
      </w:r>
    </w:p>
    <w:p w14:paraId="7AE724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(1965-71 г.)- С.Я. Гутник, (1971-88 г.)- Н.И. Вахромов. (1988-94 г.)- Ю.И. Зеленюк.</w:t>
      </w:r>
    </w:p>
    <w:p w14:paraId="106717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инженера- А.Н. Червяков.</w:t>
      </w:r>
    </w:p>
    <w:p w14:paraId="5E05F7E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технолог- А.Н. Червяков, (2007 г.)- М. Грибков. Гл. контролер (-1965 г.)- С .Я. Гутник, (-1971 г.)- Н.И. Вахромов.</w:t>
      </w:r>
    </w:p>
    <w:p w14:paraId="260582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контролера- С.Я. Гутник.</w:t>
      </w:r>
    </w:p>
    <w:p w14:paraId="3C7DE9D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направления (2006 г.)- В. Семенков, (2006 г.)- В. Лебедев, (2007 г.)- Ю. Романов; НКЦ (-2003- 07 г.-)- Л. Костяшкин.</w:t>
      </w:r>
    </w:p>
    <w:p w14:paraId="45819C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направления (2006 г.)- С. Стрепетов.</w:t>
      </w:r>
    </w:p>
    <w:p w14:paraId="186187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управлений: А.И. Мороз.</w:t>
      </w:r>
    </w:p>
    <w:p w14:paraId="708CA5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Ю.И. Зеленюк, А.И. Мороз, А.Н. Червяков. Начальник КБ- С.Я. Гутник. Начальник ЭРМ, ЭРБ- С .Я. Гутник.</w:t>
      </w:r>
    </w:p>
    <w:p w14:paraId="5EC01B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цеха: Ю.И. Зеленюк, А.И. Мороз. Зам. начальника ОКБ- А.Н. Червяков. Зам. начальника НТЦ (2003 г.)- Е. Шершнев.</w:t>
      </w:r>
    </w:p>
    <w:p w14:paraId="0AF792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групп: Ю.И. Зеленюк.</w:t>
      </w:r>
      <w:r w:rsidRPr="008127F8">
        <w:rPr>
          <w:rFonts w:ascii="Times New Roman" w:hAnsi="Times New Roman"/>
          <w:color w:val="000000" w:themeColor="text1"/>
          <w:sz w:val="16"/>
          <w:szCs w:val="16"/>
          <w:vertAlign w:val="superscript"/>
        </w:rPr>
        <w:t>130</w:t>
      </w:r>
    </w:p>
    <w:p w14:paraId="56B4F7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 РЛС:</w:t>
      </w:r>
      <w:r w:rsidRPr="008127F8">
        <w:rPr>
          <w:rFonts w:ascii="Times New Roman" w:hAnsi="Times New Roman"/>
          <w:color w:val="000000" w:themeColor="text1"/>
          <w:sz w:val="16"/>
          <w:szCs w:val="16"/>
        </w:rPr>
        <w:t xml:space="preserve"> «Эмблема» для Ил-18 (1956-90-е), «изд. 323» для МиГ-23 (1969-), «Жук» для МиГ-29; РЛ прицел РП-11 «Орел» доя Су-11, Су-15, Як-28П (1959-);</w:t>
      </w:r>
      <w:r w:rsidRPr="008127F8">
        <w:rPr>
          <w:rFonts w:ascii="Times New Roman" w:hAnsi="Times New Roman"/>
          <w:iCs/>
          <w:color w:val="000000" w:themeColor="text1"/>
          <w:sz w:val="16"/>
          <w:szCs w:val="16"/>
        </w:rPr>
        <w:t xml:space="preserve"> РЛПК:</w:t>
      </w:r>
      <w:r w:rsidRPr="008127F8">
        <w:rPr>
          <w:rFonts w:ascii="Times New Roman" w:hAnsi="Times New Roman"/>
          <w:color w:val="000000" w:themeColor="text1"/>
          <w:sz w:val="16"/>
          <w:szCs w:val="16"/>
        </w:rPr>
        <w:t xml:space="preserve"> Н001, Н003, Н008, Н019 для МиГ-29, Ш-101 для Су-27 и Су-30, Н025Э для Ми-28НЭ (2005); навигационные РЛС РПСН-2, РПСН-3, КПЗ-А для Ил-18, Ан-24, Ан-26, Ил-76 и др.; системы управления для БР «СОБ», «ДРОБ»; БЦВМ «Багет-54» для РЛПК «Оса» (2003); ГН для авиаторпед «Щука»; бортовые радиотехнические системы ближней навигации для пассажирских и транспортных самолетов РСБН-85; ответчики госопознавания для всех отечественных ЛА: СРО, интегрированный 4280Э (2005); СУО для МиГ-29 и Су-27, РЛСУ «Барс» для Су-30МКИ, «Барс-29» для модернизации МиГ-29, РЛПК «Оса», РЭС «Адъютант», бортовая вычислительная машина «Соло-54»; выходные усилители мощности СВЧ-передатчико'в ЖР-2, КВУМ-716, Н11-2-01ИР (2005), модуль комплексированияи улучшения видеоизображений для танкового прибора наблюдения ТВН-10 (2007); изделия связи, телеметрии (2004 г.); система обработки информации (СОИ) «Охотник»; учебно-действующий стенд Н-19Э для обучения летно-технического персонала (2002); оптическая система телекоммуникаций «Мост», цифровые АТС «Протон- ССС», ЭАТС «Элком», РРЛ «Перевал», многоканальная система передачи ОК-420А, радиостанции «Заря» (2002), аппаратура для систем телемеханики (КП-Р, БРУ, М/ДК, «Гамма-КП», модем М50/200-Р), сварочные аппараты «Форсаж», печатные платы, медицинская техника (прибор измерения вну триглазного давления ИГД-02, ТГДц-01, электрокардиограф «Лекард»), сигнализатор «Метан», счетчики электроэнергии СЭТ-1, СЭТ-3, «Гамма» (2005); магнитофоны: «Русь-205, -207С, -309, М-309, М-310, П-310С», «Вымпел М-401», «Юниор», «Юниор-М»; магнитолы: «Русь-211С, РМ-212С»; «Русь </w:t>
      </w:r>
      <w:r w:rsidRPr="008127F8">
        <w:rPr>
          <w:rFonts w:ascii="Times New Roman" w:hAnsi="Times New Roman"/>
          <w:color w:val="000000" w:themeColor="text1"/>
          <w:sz w:val="16"/>
          <w:szCs w:val="16"/>
          <w:lang w:val="en-US"/>
        </w:rPr>
        <w:t>Bn</w:t>
      </w:r>
      <w:r w:rsidRPr="008127F8">
        <w:rPr>
          <w:rFonts w:ascii="Times New Roman" w:hAnsi="Times New Roman"/>
          <w:color w:val="000000" w:themeColor="text1"/>
          <w:sz w:val="16"/>
          <w:szCs w:val="16"/>
        </w:rPr>
        <w:t>-201».</w:t>
      </w:r>
      <w:r w:rsidRPr="008127F8">
        <w:rPr>
          <w:rFonts w:ascii="Times New Roman" w:hAnsi="Times New Roman"/>
          <w:color w:val="000000" w:themeColor="text1"/>
          <w:sz w:val="16"/>
          <w:szCs w:val="16"/>
          <w:vertAlign w:val="superscript"/>
          <w:lang w:val="en-US"/>
        </w:rPr>
        <w:t>wwgrpzru</w:t>
      </w:r>
      <w:r w:rsidRPr="008127F8">
        <w:rPr>
          <w:rFonts w:ascii="Times New Roman" w:hAnsi="Times New Roman"/>
          <w:color w:val="000000" w:themeColor="text1"/>
          <w:sz w:val="16"/>
          <w:szCs w:val="16"/>
        </w:rPr>
        <w:t>'</w:t>
      </w:r>
    </w:p>
    <w:p w14:paraId="777A892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Касимовский приборный завод, Государственный Касимовский приборный завод</w:t>
      </w:r>
    </w:p>
    <w:p w14:paraId="32ED86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/391300 (391330)  г. Касимов Рязанской обл. ул. Индустриальная, 3/</w:t>
      </w:r>
    </w:p>
    <w:p w14:paraId="5D58247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Касимовский приборный завод образован в 1971 г. как филиал ГРПЗ (и был им на 2002 г.).</w:t>
      </w:r>
    </w:p>
    <w:p w14:paraId="197C78A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магнитофоны: «Вымпел М-401, М-411С», «Юниор-М»; магнитола «Вымпел РМ-421» (11982).</w:t>
      </w:r>
    </w:p>
    <w:p w14:paraId="572C41D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E73D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мая 1942 вышел приказ НКАП N 340с по увеличению производственной мощности по выпуску 7-местных десантных планеров А-7 конструкции О.К.А. за счет организации на базе филиала завода 445 в Тушино завода 464 (1612,71).</w:t>
      </w:r>
    </w:p>
    <w:p w14:paraId="5D1F364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713D7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мая 1942 филиал завода № 445, созданный на свободных площадях эвакуированного завода №445 в г.Тушино был преобразован в самостоятельный завод №464 НКАП (приказ НКАП №340) для увеличения производства 7-местных десантных планеров А-7 конструкции О.К.Антонова.</w:t>
      </w:r>
    </w:p>
    <w:p w14:paraId="405006F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Приказом №618 от 12.8.42 г. завод №464 был определен ведущим по производству планеров типа А-7 и А-2 и по их дальнейшей модификации, для этого ОКБ О.К.Антонова было переведено с завода №241 НКАП. </w:t>
      </w:r>
    </w:p>
    <w:p w14:paraId="59286B4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Вскоре профиль завода был вновь изменен и для обеспечения производства самолетов Як-6 в соответствии с приказом №707 от 16.9.42 г. завод №464 был объединен с мощностями завода №388 НКАП и завода №457 НКАП с образованием единого завода №464 НКАП. Изготовление планеров в связи с этим прекращено. Производство Як-6 шло здесь в период 1942-43гг. </w:t>
      </w:r>
    </w:p>
    <w:p w14:paraId="7EA76C8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приказом №174 от 27.3.43 г. заводу №464 были переданы часть личного состава, металлорежущего оборудование реэвакуированного из г.Алапаевска завода №445 НКАП. </w:t>
      </w:r>
    </w:p>
    <w:p w14:paraId="77FCA2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1942-43 гг. на заводе №464 работала Группа "ПМ". Образована (приказ №789 от 19.10.42 г.) для проектирования самолетных и планерных агрегатов и деталей из пластических масс. Тем же приказом в состав группы переведен коллектив ОКБ ПМ гл.к. Д.А.Михайлова со всем оборудованием и заделами с завода №294 НКАП (филиал завода №22 НКАП). В н.1943 г. группа Д.А.Михайлова переведена на территорию завода №156 НКАП, отсюда - передана в состав ВИАМ (приказ №107 от 22.2.43 г.). </w:t>
      </w:r>
    </w:p>
    <w:p w14:paraId="320198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Вскоре завод меняет место. Для улучшения условий ремонта самолета Ли-2 он был переведен из г.Тушино на ст. Долгопрудная со всем оборудованием и личным составом на площади завода №462 НКАП и объединен с ним под названием завод №464 11ГУ НКАП (приказ НКАП №416 от 14.7.43 г.). Освободившиеся площади </w:t>
      </w:r>
      <w:r w:rsidRPr="008127F8">
        <w:rPr>
          <w:rFonts w:ascii="Times New Roman" w:hAnsi="Times New Roman"/>
          <w:color w:val="000000" w:themeColor="text1"/>
          <w:sz w:val="16"/>
          <w:szCs w:val="16"/>
        </w:rPr>
        <w:lastRenderedPageBreak/>
        <w:t>завода №464 в Тушино переданы для размещения завода №289 НКАП (из г.Молотова) и завода №380 НКАП (из г.Калининграда) (10777).</w:t>
      </w:r>
    </w:p>
    <w:p w14:paraId="024590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D556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мая 1942 г. по приказу № 340с завод № 464 (Завод № 464 НКАП, МОП, МАП, Долгопрудненский машиностроительный завод (ДМЗ), ДМПО, Долгопрудненское научно-производственное предприятие (ДНПП), ОАО «ДНПП» /г. Тушино Московской обл.;  г. Тюмень;  г. Долгопрудный Московской обл./ /141700  г. Долгопрудный Московской обл. пл. Собина, 1 тел. 408-34-22/) реэвакуирован в Тушино на площадку бывшего завода № 445 НКАП для увеличения производства планера А-7.</w:t>
      </w:r>
    </w:p>
    <w:p w14:paraId="305E590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618с от 12.08.1942 г. завод № 464 был определен ведущим по производству А-7 и А-2 и по их модификации. Для этого ОКБ Антонова переведено с завода № 241 в Тушино для продолжения работ по планерам.</w:t>
      </w:r>
    </w:p>
    <w:p w14:paraId="2E8ADB2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707с от 16.09.1942 г. в состав завода № 464 влиты заводы № 388 и № 457 НКАП. Профиль завода изменен: вместо А-7 началось производство самолета Як-6.</w:t>
      </w:r>
    </w:p>
    <w:p w14:paraId="20055C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789с от 19.10.1942 г. при заводе № 464 образована группа ПМ (пластмасс), в ее состав переведен коллектив ОКБ завода № 294 НКАП гл. конструктора Д.А. Михайлова.</w:t>
      </w:r>
    </w:p>
    <w:p w14:paraId="08BC65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174с от 27.03.1943 г. заводу № 464 переданы часть личного состава, оборудования и материалы завода № 445 НКАП.</w:t>
      </w:r>
    </w:p>
    <w:p w14:paraId="3E96E4D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416с от 14.07.1943 г. завод № 464 для улучшения условий для ремонта самолета Ли-2 перебазирован на ст. Долгопрудная Московской обл. на площадку завода № 462 НКАП и объединен с ним под названием Завод № 464 НКАП в системе Г1ГУ. Одновременно тем же приказом в Тушино на освободившуюся площадку завода № 464 переведен Завод № 289 НКАП из Молотова и завод № 380 из Калининграда. С 07.1943 г. заводу задан ремонт Як-6.</w:t>
      </w:r>
    </w:p>
    <w:p w14:paraId="3DD4D6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имел два филиала. Московский филиал завода- Красносельская мебельная фабрика Горместпрома. По приказу № 487с от 10.08.1943 г. она передана в качестве филиала № 1 заводу № 381 НКАП. Другой филиал (возможно, это Мебельная фабрика Управления делами СНК СССР) по приказу № 743с от 11.12.1943 г. также передан заводу № 3 81 НКАП в качестве филиала № 2.</w:t>
      </w:r>
    </w:p>
    <w:p w14:paraId="29321B4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 г. выпущена экспериментальная партия высокоточных планирующих бомб.</w:t>
      </w:r>
      <w:r w:rsidRPr="008127F8">
        <w:rPr>
          <w:rFonts w:ascii="Times New Roman" w:hAnsi="Times New Roman"/>
          <w:color w:val="000000" w:themeColor="text1"/>
          <w:sz w:val="16"/>
          <w:szCs w:val="16"/>
          <w:vertAlign w:val="superscript"/>
        </w:rPr>
        <w:t>104</w:t>
      </w:r>
    </w:p>
    <w:p w14:paraId="024CBE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404с от20.10.1945гзаводс 1.10.1945 г. передан из 11ГУв 17ГУ для работ по радиоаппаратуре и электротехническим изделиям. Передан из 17ГУ в 11ГУ с 1.01.1946 г. Передан как опытный завод из 11ГУ в 7ГУ с 1.06.1946 г. Передан из 7ГУ в ИГУ с 1.07.1948 г. как серийный завод. Передан из 11ГУ в 1ГУ с 1.03.1951 г. Передан из 1ГУ в 6ГУ с 1.10.1951 г. С 07.1953 г. переведен в 9ГУ МОП. С 08.1953 г. - в 6ГУ МАП. По приказу № 268с от 19.04.1955 г. передан из 6ГУ МАП в МОП с 1.04.1955 г. В соответствии с пост. СМ СССР № 713-342 от 26.06.1957 г. передан в ведение СНХ РСФСР.</w:t>
      </w:r>
    </w:p>
    <w:p w14:paraId="55266A8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419с от 2.07.1946 г. завод определен в качестве производственной базы А.С. Яковлева. Началось освоение производства планера Як-14.</w:t>
      </w:r>
    </w:p>
    <w:p w14:paraId="3DD096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06.1951 г. началось освоение ЗУР В-300 для системы С-25 ПВО Москвы, с 1957 г.- освоение В-750. С 1958 г.- подготовка к производству противоракеты В-1000. По решению ВПК от 4.04.1963 г. заводу поручен выпуск противоракет А-350 системы А-35 (но изготовлено лишь несколько опытных).</w:t>
      </w:r>
    </w:p>
    <w:p w14:paraId="061880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03.1958 г. при заводе создано ОКБ.</w:t>
      </w:r>
    </w:p>
    <w:p w14:paraId="74F765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01.1964 г. началось освоение производства Ан-2М.</w:t>
      </w:r>
    </w:p>
    <w:p w14:paraId="51FAC35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1953  г. назывался Долгопруденский машиностроительный завод. В 1991 г. переименован в ДНПП. В 2002 г.- ОАО «ДНПП». В его состав входят (2002 г.): Долгопруденский машиностроительный завод, Воскресенский агрегатный завод, Кимовский завод металлоизделий. По решению правительства № 22-р от 9.01.2004 г. вошло в перечень стратегических предприятий.</w:t>
      </w:r>
    </w:p>
    <w:p w14:paraId="1C25AC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(-02-07.1943 г.-)- П.П. Перовский, (12.1943 г.)- М.И. Шелухин, (-02-11.1944 г.-)- А.В. Агурьев, (-02- 05.1945 г.-)- И.М. Шпаков, (-03.1946-49 г.-)- Борисов, (1959 г.)- И.В. Дорошенко. Гендиректор (1990-е)-  Г.М. Мордвинов, (1999 г.)- В.П. Эктов,</w:t>
      </w:r>
      <w:r w:rsidRPr="008127F8">
        <w:rPr>
          <w:rFonts w:ascii="Times New Roman" w:hAnsi="Times New Roman"/>
          <w:color w:val="000000" w:themeColor="text1"/>
          <w:sz w:val="16"/>
          <w:szCs w:val="16"/>
          <w:vertAlign w:val="superscript"/>
        </w:rPr>
        <w:t>58</w:t>
      </w:r>
      <w:r w:rsidRPr="008127F8">
        <w:rPr>
          <w:rFonts w:ascii="Times New Roman" w:hAnsi="Times New Roman"/>
          <w:color w:val="000000" w:themeColor="text1"/>
          <w:sz w:val="16"/>
          <w:szCs w:val="16"/>
        </w:rPr>
        <w:t xml:space="preserve"> (1999-2006 г.-)-  Г.П. Ежов.</w:t>
      </w:r>
    </w:p>
    <w:p w14:paraId="6C5BD7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(2004 г.)- В.Г1. Эктов, (2009 г.)- В. Аверчук; по финансово-экономическим вопросам (- 1999 г.)-  Г.П. Ежов; по режиму и охране-  Г.П. Ежов.</w:t>
      </w:r>
    </w:p>
    <w:p w14:paraId="1A57F90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(07.1941 г.-)- </w:t>
      </w:r>
      <w:r w:rsidRPr="008127F8">
        <w:rPr>
          <w:rFonts w:ascii="Times New Roman" w:hAnsi="Times New Roman"/>
          <w:color w:val="000000" w:themeColor="text1"/>
          <w:sz w:val="16"/>
          <w:szCs w:val="16"/>
          <w:lang w:val="en-US"/>
        </w:rPr>
        <w:t>O</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K</w:t>
      </w:r>
      <w:r w:rsidRPr="008127F8">
        <w:rPr>
          <w:rFonts w:ascii="Times New Roman" w:hAnsi="Times New Roman"/>
          <w:color w:val="000000" w:themeColor="text1"/>
          <w:sz w:val="16"/>
          <w:szCs w:val="16"/>
        </w:rPr>
        <w:t>. Антонов, (07.1946-47 г.)- А.С. Яковлев. Ген. конструктор (-1999-2004 г.-)- В.П. Эктов.</w:t>
      </w:r>
      <w:r w:rsidRPr="008127F8">
        <w:rPr>
          <w:rFonts w:ascii="Times New Roman" w:hAnsi="Times New Roman"/>
          <w:color w:val="000000" w:themeColor="text1"/>
          <w:sz w:val="16"/>
          <w:szCs w:val="16"/>
          <w:vertAlign w:val="superscript"/>
        </w:rPr>
        <w:t>69</w:t>
      </w:r>
    </w:p>
    <w:p w14:paraId="3BF87F3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(2004 г.)- А.П. Коробов.</w:t>
      </w:r>
    </w:p>
    <w:p w14:paraId="47364C3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(2004 г.)- В.В. Кононов.</w:t>
      </w:r>
    </w:p>
    <w:p w14:paraId="091764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Ведущие конструкторы: (2004 г.)- А.П. Булашевич, (2004 г.)- В.В. Соков.</w:t>
      </w:r>
    </w:p>
    <w:p w14:paraId="616620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планер А-7 (1941-42);</w:t>
      </w:r>
      <w:r w:rsidRPr="008127F8">
        <w:rPr>
          <w:rFonts w:ascii="Times New Roman" w:hAnsi="Times New Roman"/>
          <w:iCs/>
          <w:color w:val="000000" w:themeColor="text1"/>
          <w:sz w:val="16"/>
          <w:szCs w:val="16"/>
        </w:rPr>
        <w:t xml:space="preserve"> самолеты:</w:t>
      </w:r>
      <w:r w:rsidRPr="008127F8">
        <w:rPr>
          <w:rFonts w:ascii="Times New Roman" w:hAnsi="Times New Roman"/>
          <w:color w:val="000000" w:themeColor="text1"/>
          <w:sz w:val="16"/>
          <w:szCs w:val="16"/>
        </w:rPr>
        <w:t xml:space="preserve"> Як-6 (1942-43)- 50, У-2 (1943-45)- 1364, Як-14, Як-10 (1946)- 2, Як-12 (1948-51), Як-15УТ, Як-16, Ан-2М (1966-71)- 506;</w:t>
      </w:r>
      <w:r w:rsidRPr="008127F8">
        <w:rPr>
          <w:rFonts w:ascii="Times New Roman" w:hAnsi="Times New Roman"/>
          <w:iCs/>
          <w:color w:val="000000" w:themeColor="text1"/>
          <w:sz w:val="16"/>
          <w:szCs w:val="16"/>
        </w:rPr>
        <w:t xml:space="preserve"> ЗУР:</w:t>
      </w:r>
      <w:r w:rsidRPr="008127F8">
        <w:rPr>
          <w:rFonts w:ascii="Times New Roman" w:hAnsi="Times New Roman"/>
          <w:color w:val="000000" w:themeColor="text1"/>
          <w:sz w:val="16"/>
          <w:szCs w:val="16"/>
        </w:rPr>
        <w:t xml:space="preserve"> В-300 («205», 1952-54), «207А» (1954-57), В-750 (1957-58), В-750В (1959-60), В-755 (1961-), 13Д (1960), ЗМ9 для ЗРК «Куб» (1967-), ЗМ9М1 для «Куб-М1» (1972- ), ЗМ9МЗ для «Куб-МЗ» (1975-), 9М38 для ЗРК «Бук» (1977-), 9М38М1 для «Бук-М1» и «Штиль» (1982-2003-), 9М317 для ЗРК «Бук-М1-2» (1994-2003-);</w:t>
      </w:r>
      <w:r w:rsidRPr="008127F8">
        <w:rPr>
          <w:rFonts w:ascii="Times New Roman" w:hAnsi="Times New Roman"/>
          <w:iCs/>
          <w:color w:val="000000" w:themeColor="text1"/>
          <w:sz w:val="16"/>
          <w:szCs w:val="16"/>
        </w:rPr>
        <w:t xml:space="preserve"> УР:</w:t>
      </w:r>
      <w:r w:rsidRPr="008127F8">
        <w:rPr>
          <w:rFonts w:ascii="Times New Roman" w:hAnsi="Times New Roman"/>
          <w:color w:val="000000" w:themeColor="text1"/>
          <w:sz w:val="16"/>
          <w:szCs w:val="16"/>
        </w:rPr>
        <w:t xml:space="preserve"> Р-33 (1981-);</w:t>
      </w:r>
      <w:r w:rsidRPr="008127F8">
        <w:rPr>
          <w:rFonts w:ascii="Times New Roman" w:hAnsi="Times New Roman"/>
          <w:iCs/>
          <w:color w:val="000000" w:themeColor="text1"/>
          <w:sz w:val="16"/>
          <w:szCs w:val="16"/>
        </w:rPr>
        <w:t xml:space="preserve"> противоракеты:</w:t>
      </w:r>
      <w:r w:rsidRPr="008127F8">
        <w:rPr>
          <w:rFonts w:ascii="Times New Roman" w:hAnsi="Times New Roman"/>
          <w:color w:val="000000" w:themeColor="text1"/>
          <w:sz w:val="16"/>
          <w:szCs w:val="16"/>
        </w:rPr>
        <w:t xml:space="preserve"> В-1000 (1959-62) -100, А-350Ж (1963), В-825 (5Я27, 1969-73)- 20; стрелковые установки ГП-9, СППУ-22, УПК-23 (1980-е); пусковая установка АПУ-60-</w:t>
      </w:r>
      <w:r w:rsidRPr="008127F8">
        <w:rPr>
          <w:rFonts w:ascii="Times New Roman" w:hAnsi="Times New Roman"/>
          <w:color w:val="000000" w:themeColor="text1"/>
          <w:sz w:val="16"/>
          <w:szCs w:val="16"/>
          <w:lang w:val="en-US"/>
        </w:rPr>
        <w:t>II</w:t>
      </w:r>
      <w:r w:rsidRPr="008127F8">
        <w:rPr>
          <w:rFonts w:ascii="Times New Roman" w:hAnsi="Times New Roman"/>
          <w:color w:val="000000" w:themeColor="text1"/>
          <w:sz w:val="16"/>
          <w:szCs w:val="16"/>
        </w:rPr>
        <w:t xml:space="preserve"> для Р-60; пороховые двигатели: ПРД-18М и ПРД-58 для В-750, ПРД-290 для В-755, ПРД-45 для В-625; корпуса РДТТ 5С47 для А-350 (1960-е); корректируемая авиабомба КАБ-500 (2003); программные блоки ракет- мишеней ЗМ20МЗ, запчасти для ракет ЗМ9МЗ и торпед (2003); передвижная контрольно-испытательная станция (КИПС) 5К45; система стартовой автоматики и обмена информацией стартовых комплексов; радиоприемники «Маршалл» (1945-);</w:t>
      </w:r>
      <w:r w:rsidRPr="008127F8">
        <w:rPr>
          <w:rFonts w:ascii="Times New Roman" w:hAnsi="Times New Roman"/>
          <w:color w:val="000000" w:themeColor="text1"/>
          <w:sz w:val="16"/>
          <w:szCs w:val="16"/>
          <w:vertAlign w:val="superscript"/>
        </w:rPr>
        <w:t>101</w:t>
      </w:r>
      <w:r w:rsidRPr="008127F8">
        <w:rPr>
          <w:rFonts w:ascii="Times New Roman" w:hAnsi="Times New Roman"/>
          <w:color w:val="000000" w:themeColor="text1"/>
          <w:sz w:val="16"/>
          <w:szCs w:val="16"/>
        </w:rPr>
        <w:t xml:space="preserve"> пассажирские кресла для ж/д вагонов (2009).</w:t>
      </w:r>
    </w:p>
    <w:p w14:paraId="2604A59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Ремонт:</w:t>
      </w:r>
      <w:r w:rsidRPr="008127F8">
        <w:rPr>
          <w:rFonts w:ascii="Times New Roman" w:hAnsi="Times New Roman"/>
          <w:color w:val="000000" w:themeColor="text1"/>
          <w:sz w:val="16"/>
          <w:szCs w:val="16"/>
        </w:rPr>
        <w:t xml:space="preserve"> Як-6 (1943-).</w:t>
      </w:r>
    </w:p>
    <w:p w14:paraId="1B51AB9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Заводской №:</w:t>
      </w:r>
      <w:r w:rsidRPr="008127F8">
        <w:rPr>
          <w:rFonts w:ascii="Times New Roman" w:hAnsi="Times New Roman"/>
          <w:color w:val="000000" w:themeColor="text1"/>
          <w:sz w:val="16"/>
          <w:szCs w:val="16"/>
        </w:rPr>
        <w:t xml:space="preserve"> Ан-2М</w:t>
      </w:r>
      <w:r w:rsidRPr="008127F8">
        <w:rPr>
          <w:rFonts w:ascii="Times New Roman" w:hAnsi="Times New Roman"/>
          <w:iCs/>
          <w:color w:val="000000" w:themeColor="text1"/>
          <w:sz w:val="16"/>
          <w:szCs w:val="16"/>
        </w:rPr>
        <w:t xml:space="preserve"> № 600810:</w:t>
      </w:r>
      <w:r w:rsidRPr="008127F8">
        <w:rPr>
          <w:rFonts w:ascii="Times New Roman" w:hAnsi="Times New Roman"/>
          <w:color w:val="000000" w:themeColor="text1"/>
          <w:sz w:val="16"/>
          <w:szCs w:val="16"/>
        </w:rPr>
        <w:t xml:space="preserve"> 6- год выпуска, 008- серия, 10- № самолета в серии.</w:t>
      </w:r>
    </w:p>
    <w:p w14:paraId="27314F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 завода № 464 гл. конструктора </w:t>
      </w:r>
      <w:r w:rsidRPr="008127F8">
        <w:rPr>
          <w:rFonts w:ascii="Times New Roman" w:hAnsi="Times New Roman"/>
          <w:color w:val="000000" w:themeColor="text1"/>
          <w:sz w:val="16"/>
          <w:szCs w:val="16"/>
          <w:lang w:val="en-US"/>
        </w:rPr>
        <w:t>O</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K</w:t>
      </w:r>
      <w:r w:rsidRPr="008127F8">
        <w:rPr>
          <w:rFonts w:ascii="Times New Roman" w:hAnsi="Times New Roman"/>
          <w:color w:val="000000" w:themeColor="text1"/>
          <w:sz w:val="16"/>
          <w:szCs w:val="16"/>
        </w:rPr>
        <w:t>. Антонова</w:t>
      </w:r>
    </w:p>
    <w:p w14:paraId="29B15A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618с от 12.08.1942 г. ОКБ Антонова переведено с завода № 241 в Тушино на завод № 464 для продолжения работ по планерам А-7 (РФ-8) и А-2 (УС-6). Велись также работы по планерам А-Т, А-ИП (ВП) и А- БП (ВПБ). ОКБ привлекалось к работам по тематике группы Д.А. Михайлова.</w:t>
      </w:r>
    </w:p>
    <w:p w14:paraId="13E4A30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09.1942 г. работы по планерам приостановлены. Антонов в 1943-46 г. работал в ОКБ Яковлева.</w:t>
      </w:r>
    </w:p>
    <w:p w14:paraId="454F76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«ПМ» при заводе № 464 НКАП</w:t>
      </w:r>
    </w:p>
    <w:p w14:paraId="148C4FF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Образована по приказу № 789с от 19.10.1942 г. для проектирования самолетных и планерных агрегатов и деталей из пластмасс. Тем же приказом в состав группы переведен коллектив ОКБ ПМ гл. конструктора Д.А. Михайлова со всем оборудованием и заделами с завода № 294 НКАП (филиал завода № 22 НКАП).</w:t>
      </w:r>
    </w:p>
    <w:p w14:paraId="65E570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w:t>
      </w:r>
    </w:p>
    <w:p w14:paraId="2E15206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 464</w:t>
      </w:r>
    </w:p>
    <w:p w14:paraId="7B8960E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10.03.1958 г. для разработки и внедрения в серию ЗУР для систем ПВО и ПРО.</w:t>
      </w:r>
    </w:p>
    <w:p w14:paraId="6057EC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Спроектирован и испытан ряд экспериментальных ракет для проведения НИР по заказу ЦАГИ, ЛИИ, ЦИАМ. С 09.1959 г.- разработка 2Я2ТА, по решению ВПК от 21.12.1959 г. создавалась С1А, по решению ВПК от 23.05.1961 г.-Я2ТА, в 1963 г. создана 1Я2ТА.</w:t>
      </w:r>
    </w:p>
    <w:p w14:paraId="2809FF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1958-60 г.- разработка ракеты для системы ПРО «Сатурн». В 1960 г. по инициативе П.Д. Грушина и директора завода И.В. Дорошенко работы были прекращены.</w:t>
      </w:r>
    </w:p>
    <w:p w14:paraId="228E8D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1970 г. принимало участие в разработке ЗУР и стартовой автоматики для ЗРК «Бук». В 1994-97 г. совместно с НИИП им. Тихомирова и Ульяновским механическим заводом разработан ЗРК «Бук-М1-2» и ракета 9МЗ17.</w:t>
      </w:r>
    </w:p>
    <w:p w14:paraId="51DA3DC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(2005 г.): разработка ракет 9МЗ17М, 9МЗ17А, 9МЗ17МА.</w:t>
      </w:r>
    </w:p>
    <w:p w14:paraId="3C8010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(1958-61 г.)- Л. Г. Головин (снят).</w:t>
      </w:r>
    </w:p>
    <w:p w14:paraId="1814FD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(-1961 г.)- Л. Г. Головин, (1961 г.-)- М.А. Любомудров.</w:t>
      </w:r>
    </w:p>
    <w:p w14:paraId="7856AE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В.П. Эктов (9М317).</w:t>
      </w:r>
    </w:p>
    <w:p w14:paraId="3081723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 ЗУР:</w:t>
      </w:r>
      <w:r w:rsidRPr="008127F8">
        <w:rPr>
          <w:rFonts w:ascii="Times New Roman" w:hAnsi="Times New Roman"/>
          <w:color w:val="000000" w:themeColor="text1"/>
          <w:sz w:val="16"/>
          <w:szCs w:val="16"/>
        </w:rPr>
        <w:t xml:space="preserve"> 9М38М1, 9М317; исследовательские ракеты Я2ТА, 1Я2ТА, 2Я2ТА, С1А на базе В-1000; передвижная контрольно-испытательная станция (КИПС) 5К45 для войск ПВО; система стартовой автоматики и обмена информацией стартовых комплексов сухопутных и морских ракет.</w:t>
      </w:r>
    </w:p>
    <w:p w14:paraId="7107AA2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ФГУП «Воскресенский государственный казенный агрегатный завод» /ст. Фаустово Московской обл. тел. 556-07-47/</w:t>
      </w:r>
    </w:p>
    <w:p w14:paraId="4E16A16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Входил в ОАО «ДНПП» (2002 г.). По Указу Президента РФ № 1009 от 4.08.2004 г. вошло в перечень стратегических оборонных предприятий.</w:t>
      </w:r>
    </w:p>
    <w:p w14:paraId="553A0DE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Кнмовский завод металлоизделий /г. Кимовск Тульской обл./</w:t>
      </w:r>
    </w:p>
    <w:p w14:paraId="2F3561C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Входил в ОАО «ДНПП» (2002 г.) (11982).</w:t>
      </w:r>
    </w:p>
    <w:p w14:paraId="2DF565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49F8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4 мая 1942 г.</w:t>
      </w:r>
      <w:r w:rsidRPr="008127F8">
        <w:rPr>
          <w:rFonts w:ascii="Times New Roman" w:hAnsi="Times New Roman"/>
          <w:color w:val="000000" w:themeColor="text1"/>
          <w:sz w:val="16"/>
          <w:szCs w:val="16"/>
        </w:rPr>
        <w:t xml:space="preserve"> было письмо заместителя начальника Управления авиационного строительства УНКВД Куйбышевской области Горбачева председателю Куйбышевского облисполкома Васильеву об обеспечении кирпичом строительства аэродрома в районе станции Смышляевка.</w:t>
      </w:r>
    </w:p>
    <w:p w14:paraId="42BF28D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 xml:space="preserve">Секретно </w:t>
      </w:r>
    </w:p>
    <w:p w14:paraId="3A8F0A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 xml:space="preserve">По решению ГКО в районе ст. Смышляевка Куйбышевской области УАС УНКВД должен построить постоянный аэродром с бетонной взлетно-посадочной полосой. </w:t>
      </w:r>
    </w:p>
    <w:p w14:paraId="1C8988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 xml:space="preserve">Учитывая исключительно тяжелое положение с получением цемента, отсутствие инертных материалов в районе строительства и необходимость завоза их по железной дороге на расстояние 200 км, что в условиях военного времени при большой перегруженности ж.д. транспорта военными перевозками совершенно нецелесообразно, УАСу разрешено взамен бетонной полосы построить кирпичную. Для строительства кирпичной полосы требуется 7,5 миллионов штук кирпича. </w:t>
      </w:r>
    </w:p>
    <w:p w14:paraId="634F1FF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 xml:space="preserve">Замнаркома внутренних дел СССР тов. Чернышов дал разрешение на получение 3 миллионов штук кирпича с кирпичного завода Особстроя НКВД. </w:t>
      </w:r>
    </w:p>
    <w:p w14:paraId="6D8AED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 xml:space="preserve">Для покрытия полной потребности строительства не хватает 4,5 млн. шт. </w:t>
      </w:r>
    </w:p>
    <w:p w14:paraId="05BD716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 xml:space="preserve">Прошу для обеспечения выполнения задания ГКО в установленный срок отпустить с кирпичных заводов области в течение мая-июля месяцев 4,5 млн. штук кирпича. </w:t>
      </w:r>
    </w:p>
    <w:p w14:paraId="4FB3F6F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lastRenderedPageBreak/>
        <w:t xml:space="preserve">Зам. начальника УАС УНКВД КО </w:t>
      </w:r>
    </w:p>
    <w:p w14:paraId="461598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 xml:space="preserve">главный инженер-военинженер 1 -го ранга Горбачев </w:t>
      </w:r>
    </w:p>
    <w:p w14:paraId="457ADB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(ГАСО. Ф. Р-2558. On. 6. Д. 66. Л. 118. Подлинник.) (11878).</w:t>
      </w:r>
    </w:p>
    <w:p w14:paraId="154DF8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552B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D67D7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B4505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мая 1942 г. была подготовлена ДОКЛАДНАЯ ЗАПИСКА НАЧАЛЬНИКА ГАБТУ КА В ГКО О ЗАЩИТЕ ЭКИПАЖЕЙ ТАНКОВ ОТ ОТРАВЛЯЮЩИХ ВЕЩЕСТВ</w:t>
      </w:r>
    </w:p>
    <w:p w14:paraId="477C286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Выпускаемые в настоящее время серийные танки не приспособлены для коллективной защиты экипажа от отравляющих веществ.</w:t>
      </w:r>
    </w:p>
    <w:p w14:paraId="0125B8E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Наличие щелей в перегородке между моторным и боевым отделениями способствует образо</w:t>
      </w:r>
      <w:r w:rsidRPr="008127F8">
        <w:rPr>
          <w:rFonts w:ascii="Times New Roman" w:hAnsi="Times New Roman"/>
          <w:color w:val="000000" w:themeColor="text1"/>
          <w:sz w:val="16"/>
          <w:szCs w:val="16"/>
        </w:rPr>
        <w:softHyphen/>
        <w:t>ванию воздушного потока от работающего вентилятора охлаждения мотора. Воздух, насыщенный парами отравляющих веществ, имеет возможность проникать внутрь танка через щели: в корпусе, в маске орудийной установки, в погоне башни, в люках, в пулеметных установках смотровых при</w:t>
      </w:r>
      <w:r w:rsidRPr="008127F8">
        <w:rPr>
          <w:rFonts w:ascii="Times New Roman" w:hAnsi="Times New Roman"/>
          <w:color w:val="000000" w:themeColor="text1"/>
          <w:sz w:val="16"/>
          <w:szCs w:val="16"/>
        </w:rPr>
        <w:softHyphen/>
        <w:t>боров и т.д.</w:t>
      </w:r>
    </w:p>
    <w:p w14:paraId="1F32469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обеспечения защиты экипажа от отравляющих веществ необходимо:</w:t>
      </w:r>
    </w:p>
    <w:p w14:paraId="66CAC0D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Герметичное уплотнение моторной перегородки, установок вооружения, погона башни, лю</w:t>
      </w:r>
      <w:r w:rsidRPr="008127F8">
        <w:rPr>
          <w:rFonts w:ascii="Times New Roman" w:hAnsi="Times New Roman"/>
          <w:color w:val="000000" w:themeColor="text1"/>
          <w:sz w:val="16"/>
          <w:szCs w:val="16"/>
        </w:rPr>
        <w:softHyphen/>
        <w:t>ков, смотровых приборов и т.д.</w:t>
      </w:r>
    </w:p>
    <w:p w14:paraId="0B5496A4"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2. Создание в боевом отделении избыточного давления воздуха до 0,3 — 0,5 атмосферы.</w:t>
      </w:r>
    </w:p>
    <w:p w14:paraId="4723D8E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Воздух, поступающий в боевое отделение, должен быть очищенным, т.е. пропущен через фильтр от ОВ.</w:t>
      </w:r>
    </w:p>
    <w:p w14:paraId="4545397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Дополнительные установки не должны стеснять работу экипажа.</w:t>
      </w:r>
    </w:p>
    <w:p w14:paraId="0BBB37E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проверки возможностей создания реальных условий коллективной защиты экипажа танка от отравляющих веществ прошу Вашего распоряжения Наркомтанкопрому об изготовлении по два опытных образца танков Т-34 и КВ.</w:t>
      </w:r>
    </w:p>
    <w:p w14:paraId="285C0A9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ГАБТУ КА генерал-лейтенант танковых войск Федоренко</w:t>
      </w:r>
    </w:p>
    <w:p w14:paraId="6E0FC1E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ГАБТУ КА армейский комиссар 2 ранга Бирюков</w:t>
      </w:r>
    </w:p>
    <w:p w14:paraId="6D8EED2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11355. Д. 935. Л. 108. Копия (11211).</w:t>
      </w:r>
    </w:p>
    <w:p w14:paraId="1F2D8F9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EB8A20"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 мая 1942 года ГКО принять постановление ГКО №1898сс, в соответствии с которым план майского выпуска Т-70 в Кирове был снижен до 50 штук. Как и в случае с ГАЗ им. Молотова, более-менее соответствовать планам выпуск новых танков стал только к началу лета.</w:t>
      </w:r>
    </w:p>
    <w:p w14:paraId="341EAC6A"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Что же касается завода №37, то там было построено всего 10 Т-70, и случилось это в июле 1942 года. 28 июля 1942 года вышло постановление ГКО №2120 «Об организации производства танков Т-34 на Уралмашзаводе и заводе №37 Наркомтанкопрома». Уже к 29 сентября реорганизованный завод №37 (завод №50), ставший частью УЗТМ, изготовил первые два Т-34. Наработки по производству Т-70, созданные здесь, были переданы заводу №38 (17664).</w:t>
      </w:r>
    </w:p>
    <w:p w14:paraId="17C9409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EBFB1C8"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4 мая 1942 года на рассмотрение Артиллерийского комитета ГАУ КА НАТИ были представлены эскизные проекты Т-133-Б, Т-133-В и Т-133Ж. Первые две машины представляли собой 37-мм ЗСУ, а Т-133-Ж являлась самоходной установкой с вооружением в виде двух 120-мм минометов. Машины, боевая масса которых составляла 7500 кг, предполагалось выпускать с использованием агрегатов танков </w:t>
      </w:r>
      <w:hyperlink r:id="rId9" w:history="1">
        <w:r w:rsidRPr="008127F8">
          <w:rPr>
            <w:rFonts w:ascii="Times New Roman" w:eastAsia="Times New Roman" w:hAnsi="Times New Roman"/>
            <w:color w:val="000000" w:themeColor="text1"/>
            <w:sz w:val="16"/>
            <w:szCs w:val="16"/>
            <w:lang w:eastAsia="ru-RU"/>
          </w:rPr>
          <w:t>Т-60</w:t>
        </w:r>
      </w:hyperlink>
      <w:r w:rsidRPr="008127F8">
        <w:rPr>
          <w:rFonts w:ascii="Times New Roman" w:eastAsia="Times New Roman" w:hAnsi="Times New Roman"/>
          <w:color w:val="000000" w:themeColor="text1"/>
          <w:sz w:val="16"/>
          <w:szCs w:val="16"/>
          <w:lang w:eastAsia="ru-RU"/>
        </w:rPr>
        <w:t xml:space="preserve"> и </w:t>
      </w:r>
      <w:hyperlink r:id="rId10" w:history="1">
        <w:r w:rsidRPr="008127F8">
          <w:rPr>
            <w:rFonts w:ascii="Times New Roman" w:eastAsia="Times New Roman" w:hAnsi="Times New Roman"/>
            <w:color w:val="000000" w:themeColor="text1"/>
            <w:sz w:val="16"/>
            <w:szCs w:val="16"/>
            <w:lang w:eastAsia="ru-RU"/>
          </w:rPr>
          <w:t>Т-70</w:t>
        </w:r>
      </w:hyperlink>
      <w:r w:rsidRPr="008127F8">
        <w:rPr>
          <w:rFonts w:ascii="Times New Roman" w:eastAsia="Times New Roman" w:hAnsi="Times New Roman"/>
          <w:color w:val="000000" w:themeColor="text1"/>
          <w:sz w:val="16"/>
          <w:szCs w:val="16"/>
          <w:lang w:eastAsia="ru-RU"/>
        </w:rPr>
        <w:t>. Т-133-Б предполагалось оснащать двумя двигателей ГАЗ АА с параллельным размещением, в качестве силовой установки для Т-133-В и Т-133-Ж предусматривался мотор ЗИС-5, установленный под углом.</w:t>
      </w:r>
    </w:p>
    <w:p w14:paraId="3B13FFBA"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Шасси Т-133-В и Т-133-Ж были признаны неудачными, поскольку требовали организации производства новых узлов и агрегатов, а проект Т-133-Б Арткомитет одобрил. Предполагалось использовать это шасси как базу для создания 76-мм штурмовой САУ, ЗСУ с 25-мм и 37-мм автоматами, а также САУ со спаркой 120-мм минометов. Приоритетной называлась работа по 76-мм штурмовой самоходной установке. Опытные образцы планировалось получить к августу 1942 года, но они так и не были изготовлены.</w:t>
      </w:r>
    </w:p>
    <w:p w14:paraId="094653A5"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 идее схожей по конструкции САУ НАТИ вернется уже в 1943 году, но это совсем другая история. Кроме того, проект Т-133Б отчасти оказался связан с артиллерийским тягачом НАТИ Д, запущенным в серийное производство как Я-11 (17683).</w:t>
      </w:r>
    </w:p>
    <w:p w14:paraId="6A03A8F2"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9753B1C"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4 мая 1942 года на рассмотрение Артиллерийско</w:t>
      </w:r>
      <w:r w:rsidRPr="008127F8">
        <w:rPr>
          <w:rFonts w:eastAsia="Calibri"/>
          <w:color w:val="000000" w:themeColor="text1"/>
          <w:sz w:val="16"/>
          <w:szCs w:val="16"/>
        </w:rPr>
        <w:softHyphen/>
        <w:t>го комитета ГАУ КА были представлены эскизные проекты Т-133-Б, Т-133-В и Т-133-Ж НАТИ. Первые две машины представляли собой 37-мм зенитные самоходные установки, а Т-133-Ж являлся САУ с вооруже</w:t>
      </w:r>
      <w:r w:rsidRPr="008127F8">
        <w:rPr>
          <w:rFonts w:eastAsia="Calibri"/>
          <w:color w:val="000000" w:themeColor="text1"/>
          <w:sz w:val="16"/>
          <w:szCs w:val="16"/>
        </w:rPr>
        <w:softHyphen/>
        <w:t>нием в виде двух 120-мм минометов. Машины, боевая масса которых составляла 7500 кг, предполагалось выпускать на агрегатах танков Т-60 и Т-70. Т-133-Б предполагалось оснащать двумя двигателями ГАЗ АА с параллельным размещением; в качестве силовой установки Т-133-В и Т-133-Ж предусматривался мотор ЗИС-5, установленный под углом. Шасси Т-133-В и Т-133-Ж были признаны неудачными, поскольку требовали организации производства новых узлов и агрега</w:t>
      </w:r>
      <w:r w:rsidRPr="008127F8">
        <w:rPr>
          <w:rFonts w:eastAsia="Calibri"/>
          <w:color w:val="000000" w:themeColor="text1"/>
          <w:sz w:val="16"/>
          <w:szCs w:val="16"/>
        </w:rPr>
        <w:softHyphen/>
        <w:t>тов, а проект Т-133-Б одобрили. Предполагалось использовать данное шасси как базу для создания 76-мм штурмовой САУ, ЗСУ с 25-мм и 37- мм автоматами, а также САУ со спаркой 120-мм минометов. В качестве приоритетной работы указывалась 76-мм штурмовая самоходная уста</w:t>
      </w:r>
      <w:r w:rsidRPr="008127F8">
        <w:rPr>
          <w:rFonts w:eastAsia="Calibri"/>
          <w:color w:val="000000" w:themeColor="text1"/>
          <w:sz w:val="16"/>
          <w:szCs w:val="16"/>
        </w:rPr>
        <w:softHyphen/>
        <w:t>новка. Опытные образцы планировалось получить к августу 1942 года, но они так и не были изготовлены (17485).</w:t>
      </w:r>
    </w:p>
    <w:p w14:paraId="116969EE" w14:textId="77777777" w:rsidR="007C5583" w:rsidRPr="008127F8" w:rsidRDefault="007C5583" w:rsidP="007C5583">
      <w:pPr>
        <w:pStyle w:val="af"/>
        <w:spacing w:before="0" w:after="0"/>
        <w:jc w:val="both"/>
        <w:rPr>
          <w:color w:val="000000" w:themeColor="text1"/>
          <w:sz w:val="16"/>
          <w:szCs w:val="16"/>
        </w:rPr>
      </w:pPr>
    </w:p>
    <w:p w14:paraId="1411914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мая 1942 г. были подготовлены СООБРАЖЕНИЯ В. МАЛЫШЕВА В НКО О ЗАКУПАЕМЫХ АМЕРИКАНСКИХ ТАНКАХ М-3 И М-ЗС</w:t>
      </w:r>
    </w:p>
    <w:p w14:paraId="00FE0A2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ознакомления с прибывшими в Союз американскими танками типа М-3 (легкий) и М-3с (средний) необходимо сделать вывод, что эти танки имеют низкие боевые качества и будут быстро выходить из строя и уничтожаться в бою.</w:t>
      </w:r>
    </w:p>
    <w:p w14:paraId="2CD88C6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Американские танки имеют следующие серьезные недостатки:</w:t>
      </w:r>
    </w:p>
    <w:p w14:paraId="0A90210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Танки будут легко поджигаться, так как бензиновый мотор легко доступен для забрасывания на него горючей жидкости.</w:t>
      </w:r>
    </w:p>
    <w:p w14:paraId="564F7F9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Резиновые траки при езде по булыжной мостовой, глинистому и каменистому грунту в сухую погоду будут быстро выходить из строя, а двигаться по грязи (проселок или целина) танк с такими гу</w:t>
      </w:r>
      <w:r w:rsidRPr="008127F8">
        <w:rPr>
          <w:rFonts w:ascii="Times New Roman" w:hAnsi="Times New Roman"/>
          <w:color w:val="000000" w:themeColor="text1"/>
          <w:sz w:val="16"/>
          <w:szCs w:val="16"/>
        </w:rPr>
        <w:softHyphen/>
        <w:t>сеницами вообще не сможет или будет двигаться очень плохо, со скоростью 3-5 км/ч.</w:t>
      </w:r>
    </w:p>
    <w:p w14:paraId="42DF947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Ходовая часть не прочна и будет быстро выходить из строя.</w:t>
      </w:r>
    </w:p>
    <w:p w14:paraId="164FAD7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Несмотря на установку сравнительно большого количества вооружения (пушек и пулеметов), огневая мощь танков не может быть эффективно использована, так как из значительной части пуле</w:t>
      </w:r>
      <w:r w:rsidRPr="008127F8">
        <w:rPr>
          <w:rFonts w:ascii="Times New Roman" w:hAnsi="Times New Roman"/>
          <w:color w:val="000000" w:themeColor="text1"/>
          <w:sz w:val="16"/>
          <w:szCs w:val="16"/>
        </w:rPr>
        <w:softHyphen/>
        <w:t>метов нельзя вести прицельного огня.</w:t>
      </w:r>
    </w:p>
    <w:p w14:paraId="09BD867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Удельные давления на гусеницу (1,1 и 1,2 кг на см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почти в два раза больше, чем на наших танках, и поэтому проходимость американских танков по снегу и болотистой местности будет очень плохой.</w:t>
      </w:r>
    </w:p>
    <w:p w14:paraId="46DC68D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Место водителя расположено в непосредственной близости у коробки перемены передач и при температуре стенок картера в 100-120" (что при работе танка является нормальным) условия ра</w:t>
      </w:r>
      <w:r w:rsidRPr="008127F8">
        <w:rPr>
          <w:rFonts w:ascii="Times New Roman" w:hAnsi="Times New Roman"/>
          <w:color w:val="000000" w:themeColor="text1"/>
          <w:sz w:val="16"/>
          <w:szCs w:val="16"/>
        </w:rPr>
        <w:softHyphen/>
        <w:t>боты водителя будут очень тяжелые.</w:t>
      </w:r>
    </w:p>
    <w:p w14:paraId="10AE98E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Эти два типа американских танков по своей конструкции отстали от современных танков на не</w:t>
      </w:r>
      <w:r w:rsidRPr="008127F8">
        <w:rPr>
          <w:rFonts w:ascii="Times New Roman" w:hAnsi="Times New Roman"/>
          <w:color w:val="000000" w:themeColor="text1"/>
          <w:sz w:val="16"/>
          <w:szCs w:val="16"/>
        </w:rPr>
        <w:softHyphen/>
        <w:t>сколько лет.</w:t>
      </w:r>
    </w:p>
    <w:p w14:paraId="152CDAD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Может быть, если у американцев нет сейчас более современных танков, то нужно уменьшить заказ на танки типа М-3 и М-Зс, а взамен этого потребовать от американцев поставки металлорежу</w:t>
      </w:r>
      <w:r w:rsidRPr="008127F8">
        <w:rPr>
          <w:rFonts w:ascii="Times New Roman" w:hAnsi="Times New Roman"/>
          <w:color w:val="000000" w:themeColor="text1"/>
          <w:sz w:val="16"/>
          <w:szCs w:val="16"/>
        </w:rPr>
        <w:softHyphen/>
        <w:t>щих станков и тяжелых тягачей.</w:t>
      </w:r>
    </w:p>
    <w:p w14:paraId="74D44CC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получении из Америки тяжелых тягачей армия лучше бы эвакуировала подбитые танки с фронта и усилила бы их ремонт.</w:t>
      </w:r>
    </w:p>
    <w:p w14:paraId="0F929D54"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11355. Д. 647. Л. 146-147. Копия (11211).</w:t>
      </w:r>
    </w:p>
    <w:p w14:paraId="06AA5EFC"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kern w:val="65535"/>
          <w:sz w:val="16"/>
          <w:szCs w:val="16"/>
        </w:rPr>
      </w:pPr>
    </w:p>
    <w:p w14:paraId="510A974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мая 1942 вышло Постановление ГКО № 1695 О плане производства металлов на май 1942 г. РГАНИР, Фонд ГКО, д. 33, лл. 1-15 (11012).</w:t>
      </w:r>
    </w:p>
    <w:p w14:paraId="1E596AD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636B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мая 1942 вышло Постановление ГКО № 1696 О капитальном ремонте арттягачей и тракторов и о поставке к ним запчастей во втором квартале 1942 года для Наркомата обороны. РГАНИР, Фонд ГКО, д. 33, лл. 16-18, 19-21 (11012).</w:t>
      </w:r>
    </w:p>
    <w:p w14:paraId="6C0CDD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8B23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мая 1942 вышло Постановление ГКО № 1697 О возвращении на Ярославский асбестовый завод эвакуированного оборудования. РГАНИР, Фонд ГКО, д. 33, лл. 22 (11012).</w:t>
      </w:r>
    </w:p>
    <w:p w14:paraId="28D19BE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5731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мая 1942 вышло Постановление ГКО № 1698 О производстве танков Т-60 и Т-70 на заводе № 38 HКТП. в мае месяце 1942 г. РГАНИР, Фонд ГКО, д. 33, лл. 23-24 (11012).</w:t>
      </w:r>
    </w:p>
    <w:p w14:paraId="0819B9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F2172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мая в 1942 году в СССР начинается организация Всесоюзного соцсоревнования в промышленности (14881).</w:t>
      </w:r>
    </w:p>
    <w:p w14:paraId="2B6FBEB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8F524A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F8B621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3F2DA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мая в 1942 году утреннее сообщение Совинформбюро:</w:t>
      </w:r>
    </w:p>
    <w:p w14:paraId="7FC8228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4 мая на фронте ничего существенного не произошло.</w:t>
      </w:r>
    </w:p>
    <w:p w14:paraId="3BE1AFB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за три дня боевых действий уничтожили до 2.000 солдат и офицеров противника.</w:t>
      </w:r>
    </w:p>
    <w:p w14:paraId="5C1E15E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Бойцы части, где командиром тов. Морозов (Северо-Западный фронт), преодолевая упорное сопротивление противника, продвинулись вперёд и заняли важные коммуникации. На другом участке наша часть нанесла врагу стремительный удар. Немцы отступили, оставив на поле боя 300 трупов.</w:t>
      </w:r>
    </w:p>
    <w:p w14:paraId="093B41B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Одиннадцать советских разведчиков под командованием старшего лейтенанта Дорохова пробыли четыре дня в тылу немецких войск. За это время они провели несколько смелых операций и уничтожили 30 немецких солдат и офицеров. Во время одной из операций разведчики сожгли немецкий самолёт.</w:t>
      </w:r>
    </w:p>
    <w:p w14:paraId="4155F56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Пулемётчик Тетерин, охраняя подступы к переднему краю обороны, заметил, что к нему приближаются 30 немецких автоматчиков. Близко подпустив немцев, Тетерин открыл огонь из пулемёта и уничтожил 18 гитлеровцев. Остальные разбежались.</w:t>
      </w:r>
    </w:p>
    <w:p w14:paraId="19B4796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 Иван Изегов за два месяца уничтожил 134 гитлеровца.</w:t>
      </w:r>
    </w:p>
    <w:p w14:paraId="3BA1A64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выдержки из дневника убитого командира 10 роты 81 полка 15немецкой пехотной дивизии лейтенанта Гейнца Бетмана:</w:t>
      </w:r>
    </w:p>
    <w:p w14:paraId="4375C1E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апреля. Русские обстреливают нас из орудий. Много тяжелораненных.</w:t>
      </w:r>
    </w:p>
    <w:p w14:paraId="179D4E6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Лейтенант фон Франенберг ранен.</w:t>
      </w:r>
    </w:p>
    <w:p w14:paraId="08D6A7A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апреля. Потери батальона: 46 убитыми, 80 ранеными, один пропал без вести.</w:t>
      </w:r>
    </w:p>
    <w:p w14:paraId="2DEB904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апреля. Непрерывные атаки русских. Мы отступаем. Моя рота потеряла убитыми 25 человек. Другие роты тоже понесли тяжёлые потери.</w:t>
      </w:r>
    </w:p>
    <w:p w14:paraId="410A09D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апреля. Смена позиции. Взяли в плен нескольких русских солдат. Всех расстреляли.</w:t>
      </w:r>
    </w:p>
    <w:p w14:paraId="3928837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апреля. Захватили в плен раненого русского старшего лейтенанта. Расстреляли.</w:t>
      </w:r>
    </w:p>
    <w:p w14:paraId="6247C6C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апреля. Ввиду больших потерь 10 и 11 роты сведены в одну роту. Меня назначили командиром этой роты. Наш батальон снова ввели в бой. Ему приказано окружить прорвавшуюся вперёд группу противника. Но мы сами попали в окружение. Вышли с большими потерями».</w:t>
      </w:r>
    </w:p>
    <w:p w14:paraId="76A12DE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бойцы, освободившие от немецко-фашистских захватчиков деревню Гусево, Ленинградской области, обнаружили 17 изуродованных трупов красноармейцев. Очевидцы — местные жители — рассказали, что гитлеровцы долго пытали взятых в плен красноармейцев, а затем умертвили их.</w:t>
      </w:r>
    </w:p>
    <w:p w14:paraId="206C16C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заводов в городе Франкфурте (Германия) покончили жизнь самоубийством 4 рабочих-чеха. Они не выдержали бесчеловечных издевательств, которым подвергаются иностранные рабочие со стороны гитлеровцев. Это не первый случай, когда доведённые до отчаяния иностранные рабочие, отбывающие каторгу на германских предприятиях, кончают жизнь самоубийством.</w:t>
      </w:r>
    </w:p>
    <w:p w14:paraId="6DB2619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Партизанские отряды в Югославии окружили одну пехотную часть итальянских оккупантов и в течение двух дней наносили ей непрерывные удары. Партизаны истребили свыше 200 итальянских солдат и офицеров и захватили пленных. У противника захвачены тяжёлые и ручные пулемёты, 300 винтовок, обмундирование и другое военное имущество.» (14881).</w:t>
      </w:r>
    </w:p>
    <w:p w14:paraId="6F57293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DD4D58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мая в 1942 году вечернее сообщение Совинформбюро:</w:t>
      </w:r>
    </w:p>
    <w:p w14:paraId="691199C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4 мая на некоторых участках фронта наши войска вели наступательные бои и улучшили свои позиции.</w:t>
      </w:r>
    </w:p>
    <w:p w14:paraId="634638F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3 мая уничтожено 12 немецких самолётов. Наши потери — 8 самолётов.</w:t>
      </w:r>
    </w:p>
    <w:p w14:paraId="18055B3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3 мая частями нашей авиации уничтожено или повреждено 42 немецких автомашины с войсками и грузами, 5 полевых и зенитных орудий, 9 миномётов, 13 зенитно-пулемётных точек, подавлен огонь 5 артиллерийских батарей, рассеяно и частью уничтожено до роты пехоты противника.</w:t>
      </w:r>
    </w:p>
    <w:p w14:paraId="208918E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истекшую неделю с 26 апреля по 2 мая немецкая авиация потеряла 264 самолёта. Наши потери за этот же период — 71 самолёт.</w:t>
      </w:r>
    </w:p>
    <w:p w14:paraId="468C700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разрушили 10 вражеских ДЗОТов, 2 наблюдательных пункта, уничтожили 2 полевых орудия, бронемашину, 5 станковых пулемётов, 2 миномёта, взорвали 2 склада с боеприпасами и склад с горючим. На поле боя осталось 1.100 трупов солдат и офицеров противника.</w:t>
      </w:r>
    </w:p>
    <w:p w14:paraId="14B2221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Противник атаковал населённый пункт Д. (Калининский фронт). Наши бойцы контрударом отбросили немцев. Захвачены трофеи: 4 орудия, 7 автомашин и 20 винтовок. Уничтожено свыше 100 гитлеровцев. Несколько десятков немецких солдат добровольно перешли на нашу сторону и сдались в плен.</w:t>
      </w:r>
    </w:p>
    <w:p w14:paraId="10D2C7F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гвардейской части под командованием тов. Ланского уничтожили немецкий танк, 12 пулемётов, 3 миномёта и 17 блиндажей. Артиллеристы-гвардейцы рассеяли и частично уничтожили свыше батальона пехоты противника.</w:t>
      </w:r>
    </w:p>
    <w:p w14:paraId="014F038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Снайперы наших частей, обороняющих Севастополь, за день уничтожили 173 солдата и офицера противника.</w:t>
      </w:r>
    </w:p>
    <w:p w14:paraId="4F4680D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«Лазо», действующий в одном из районов Смоленской области, за последние три недели боёв нанёс серьёзный урон немецко-фашистским оккупантам. Партизаны совершили несколько налётов на подразделения немецких войск и истребили свыше 600 гитлеровцев. 89 немецких солдат взяты в плен. Отважные советские патриоты уничтожили 15 автомашин с пехотой и военными грузами, взорвали 2 моста, вещевой склад и склад с боеприпасами. Разгромив охрану немецкого обоза, партизаны захватили 60 подвод, гружённых пулемётами, винтовками, пистолетами и патронами, и 300 комплектов обмундирования.</w:t>
      </w:r>
    </w:p>
    <w:p w14:paraId="5EC8D60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9 роты 524 полка 297 немецкой пехотной дивизии австриец Иосиф Ланц рассказал: «До февраля я находился в Австрии. Фашисты поработили наш народ. Многие австрийцы, выражавшие недовольство гитлеровским режимом, бесследно исчезли. Несмотря на свирепый террор, активность антифашистов с каждым днём возрастает. На предприятиях Вены распространяется большое количество листовок, призывающих свергнуть Гитлера и кончить войну. Кто и когда разбрасывает листовки— ни полиции, ни многочисленным шпионам не удалось обнаружить. С фронта непрерывно приходят поезда с ранеными и нескончаемый поток извещений об убитых. Это ещё более накаляет атмосферу».</w:t>
      </w:r>
    </w:p>
    <w:p w14:paraId="59C7926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Жители ныне освобождённой от немцев деревни Горки, Калининокой области, рассказывают о чудовищных зверствах и издевательствах гитлеровцев над мирным советским населением. Немцы выгнали колхозницу Иванову Марию с грудным ребёнком из её дома и сами поселились в нём. Однажды вечером Иванова пришла в свой дом, чтобы согреть простуженного ребёнка. Фашистские изверги выбросили ребёнка на улицу в снег. Мать стала протестовать; тогда гитлеровские палачи на глазах у неё убили ребёнка.» (14881).</w:t>
      </w:r>
    </w:p>
    <w:p w14:paraId="5848344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50BB20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ТБ-3 использовались для снабжения кавчастей КА, совершавших рейд по тылам. Грузы доставляли в район западнее Вязьмы на площадки у деревень Б.Вергово, Глухово, Преображенское (1859).</w:t>
      </w:r>
    </w:p>
    <w:p w14:paraId="0CBAD0D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EB082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мая 1942 ТБ-3 за ночь доставили 1.8 т боеприпасов, 6.6 т продуктов, 1 т горючего. Противник впервые пытался серьезно мешать (1859).</w:t>
      </w:r>
    </w:p>
    <w:p w14:paraId="54A462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5790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575E89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D33A5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мая 1942 в Амстердаме фашистами расстреляны 72 лидера голландского Сопротивления (4962).</w:t>
      </w:r>
    </w:p>
    <w:p w14:paraId="2272B6D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DCFA4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мая в 1942 году германское командование приостановило подготовку операции по овладению Мальтой (14881).</w:t>
      </w:r>
    </w:p>
    <w:p w14:paraId="297B052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F82B22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мая в 1942 году государственный секретарь США К.Хэлл высказал скептически относительно перспектив «Свободной Франции» и ее лидера Ш.де Голля (14881).</w:t>
      </w:r>
    </w:p>
    <w:p w14:paraId="03F9EA2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598751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мая в 1942 году возле Гвадалканала (Тихий океан) американцы топят несколько японских кораблей, с чего начинается 4-дневная битва в Коралловом море (южнее Папуа-Новой Гвинеи) (14881).</w:t>
      </w:r>
    </w:p>
    <w:p w14:paraId="64CFEF0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811E84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мая 1942 возле Гвадалканала (Тихий океан) американцы потопили несколько японских кораблей, с чего началась 4-дневная битва в Коралловом море (4962).</w:t>
      </w:r>
    </w:p>
    <w:p w14:paraId="0209255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E9646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May 4-8 1942 Battle of the Coral Sea 1942 In the first naval engagement of history fought without opposing ships making contact, United States carrier forces stopped a Japanese attempt to land at Port Moresby by turning back the covering carrier force. Task Force 17 (Rear Admiral F. J. Fletcher) with the carrier Yorktown, bombed Japanese transports engaged in landing troops in Tulagi Harbor, damaging several and sinking one destroyer (4 May); joined other Allied naval units including Task Force 11 (Rear Admiral A. W. Fitch) with the carrier Lexington south of the Louisiades (5 May); and after stationing an attack group in the probable track of the enemy transports, moved northward in search of the enemy covering force. Carrier aircraft located and sank the light carrier Shoho covering a convoy (7 May), while Japanese aircraft hit the separately operating attack group and sank one destroyer and one fleet tanker. The next day the Japanese covering force was located and taken under air attack, which damaged the carrier Shokaku. Almost simultaneously enemy carrier aircraft attacked Task Force 17, scoring hits which damaged Yorktown and set off uncontrollable fires on Lexington, as a result of which she was abandoned and was sunk (8 May). Although the score favored the Japanese, they retired from action and their occupation of Port Moresby by sea was deferred and finally abandoned (1090).</w:t>
      </w:r>
    </w:p>
    <w:p w14:paraId="1BBC897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AF1D1B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4 по 8 мая 1942 было битва второстепенная битва в Коралловом море (1090).</w:t>
      </w:r>
    </w:p>
    <w:p w14:paraId="1A06A07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469FF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мая 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Начало сражения в Коралловом море, произошедшего 4—8 мая 1942 года, было одной из самых значительных морских битв на тихоокеанском театре действий Второй мировой войны. Оно произошло между соединениями императорского флота Японии и силами союзников из США и Австралии. Данное сражение </w:t>
      </w:r>
      <w:r w:rsidRPr="008127F8">
        <w:rPr>
          <w:rFonts w:ascii="Times New Roman" w:hAnsi="Times New Roman"/>
          <w:color w:val="000000" w:themeColor="text1"/>
          <w:sz w:val="16"/>
          <w:szCs w:val="16"/>
        </w:rPr>
        <w:lastRenderedPageBreak/>
        <w:t>было первым столкновением авианесущих соединений, а также первым случаем в истории, когда корабли не видели судов противника и не сделали ни одного выстрела друг по другу (22513).</w:t>
      </w:r>
    </w:p>
    <w:p w14:paraId="2F72A88F"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CB93EC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мая 1942 авианосец США «Йорктаун» (CV-5) нанес три удара с воздуха по японским кораблям в Тулаги, потопив тральщик и повредив эсминец и несколько других кораблей (20793).</w:t>
      </w:r>
    </w:p>
    <w:p w14:paraId="49AA476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4826F4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мая 1942 три Бристоль Бленхейма из № 15 эскадрильи, южноафриканские ВВС, в ходе ознакомительного полета из Куфра, Ливия, потерялись над Ливийской пустыне и вынуждены приземлиться из - за израсходования топлива. Один из них был обнаружен 9 мая со всей его командой, состоящей из трех человек, погибших от истощения, а два других - 11 мая с восемью из девяти человек, погибших от выстрелов (20793).</w:t>
      </w:r>
    </w:p>
    <w:p w14:paraId="3AF47C8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059BFD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мая 1942 англичане захватили контролируемый вишистами порт на Мадагаскаре (2245,4).</w:t>
      </w:r>
    </w:p>
    <w:p w14:paraId="1E21D74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4B8FE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54DCB96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C29E5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Ком. ВВС Новиков и ГИ Репин писали письмо N 441912сс НКАП А.И.Ш. о том, что за последнее время в армии отмечен случай обрыва штоков впускных и выпускных клапанов на АМ-38 на Ил-2 (1634,138).</w:t>
      </w:r>
    </w:p>
    <w:p w14:paraId="6F41EA6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последнее время в частях ВВС Красной Армии был ряд случаев обрыва штоков клапа нов на моторах АМ-38, установленных на самолетах Ил-2, повлекших за собой аварии моторов и даже катастрофы.</w:t>
      </w:r>
    </w:p>
    <w:p w14:paraId="4EC9D64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марта 1942 года во время учебно-тренировочных полетов на самолете Ил-2 776 штурмового полка по причине обрыва штока второго выхлопного клапана 6-го цилиндра правой группы возник пожар. Самолет сгорел. Летчик погиб.</w:t>
      </w:r>
    </w:p>
    <w:p w14:paraId="302EDEA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обрывом штоков клапанов в частях ВВС Красной Армии, считаю необходимым обратить Ваше вни</w:t>
      </w:r>
      <w:r w:rsidRPr="008127F8">
        <w:rPr>
          <w:rFonts w:ascii="Times New Roman" w:hAnsi="Times New Roman"/>
          <w:color w:val="000000" w:themeColor="text1"/>
          <w:sz w:val="16"/>
          <w:szCs w:val="16"/>
        </w:rPr>
        <w:softHyphen/>
        <w:t>мание на то, что в целях увеличения надежности клапа</w:t>
      </w:r>
      <w:r w:rsidRPr="008127F8">
        <w:rPr>
          <w:rFonts w:ascii="Times New Roman" w:hAnsi="Times New Roman"/>
          <w:color w:val="000000" w:themeColor="text1"/>
          <w:sz w:val="16"/>
          <w:szCs w:val="16"/>
        </w:rPr>
        <w:softHyphen/>
        <w:t>нов, ОКБ завода № 24 давно разработало их усиление по наружной резьбе, но это мероприятие до настоящего вре</w:t>
      </w:r>
      <w:r w:rsidRPr="008127F8">
        <w:rPr>
          <w:rFonts w:ascii="Times New Roman" w:hAnsi="Times New Roman"/>
          <w:color w:val="000000" w:themeColor="text1"/>
          <w:sz w:val="16"/>
          <w:szCs w:val="16"/>
        </w:rPr>
        <w:softHyphen/>
        <w:t>мени еще не внедрено в производство.</w:t>
      </w:r>
    </w:p>
    <w:p w14:paraId="11216E1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всю важность обеспечения надежной работы клапанов, завод № 24 не только не внедрил в производство усиленных, клапанов, но и допустил в серий</w:t>
      </w:r>
      <w:r w:rsidRPr="008127F8">
        <w:rPr>
          <w:rFonts w:ascii="Times New Roman" w:hAnsi="Times New Roman"/>
          <w:color w:val="000000" w:themeColor="text1"/>
          <w:sz w:val="16"/>
          <w:szCs w:val="16"/>
        </w:rPr>
        <w:softHyphen/>
        <w:t>ном производстве ряд отступлений от эталонных клапанов мотора АМ-38, проходившего государственное испытание, что, наоборот, снизило надежность клапанов:</w:t>
      </w:r>
    </w:p>
    <w:p w14:paraId="4A8A0B2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было отменено азотирование штоков впускных клапанов;</w:t>
      </w:r>
    </w:p>
    <w:p w14:paraId="2CDAAEF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была укорочена внутренняя резьба впускных клапанов;</w:t>
      </w:r>
    </w:p>
    <w:p w14:paraId="5C77CEE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имели место случаи неправильной внутренней сверловки клапанов при механической их обра</w:t>
      </w:r>
      <w:r w:rsidRPr="008127F8">
        <w:rPr>
          <w:rFonts w:ascii="Times New Roman" w:hAnsi="Times New Roman"/>
          <w:color w:val="000000" w:themeColor="text1"/>
          <w:sz w:val="16"/>
          <w:szCs w:val="16"/>
        </w:rPr>
        <w:softHyphen/>
        <w:t>ботке.</w:t>
      </w:r>
    </w:p>
    <w:p w14:paraId="7B48D66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Ввиду серьезности дефекта, прошу Вас дать указание директору завода № 24 о принятии срочных мер для ликви</w:t>
      </w:r>
      <w:r w:rsidRPr="008127F8">
        <w:rPr>
          <w:rFonts w:ascii="Times New Roman" w:hAnsi="Times New Roman"/>
          <w:color w:val="000000" w:themeColor="text1"/>
          <w:sz w:val="16"/>
          <w:szCs w:val="16"/>
        </w:rPr>
        <w:softHyphen/>
        <w:t>дации обрыва штоков клапанов мотора АМ-38 как на вновь выпускаемых моторах, так и на моторах, уже находящихся в в частях ВВС Красной Армии.</w:t>
      </w:r>
    </w:p>
    <w:p w14:paraId="3455CB2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Виза: Директору завода № 24</w:t>
      </w:r>
    </w:p>
    <w:p w14:paraId="5A5FE87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 Жезлову</w:t>
      </w:r>
    </w:p>
    <w:p w14:paraId="2C651D4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Дайте Ваши совместные с ГК предложения по этому вопросу</w:t>
      </w:r>
    </w:p>
    <w:p w14:paraId="3E20172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А.И.Ш. 9 мая 1942 (1634,138).</w:t>
      </w:r>
    </w:p>
    <w:p w14:paraId="702563D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74618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г. главный инженер ВВС КА генерал А.К. Репин в письме к Г.М. Маленкову указывал: «...Конструктор тов. Ильюшин катего</w:t>
      </w:r>
      <w:r w:rsidRPr="008127F8">
        <w:rPr>
          <w:rFonts w:ascii="Times New Roman" w:hAnsi="Times New Roman"/>
          <w:color w:val="000000" w:themeColor="text1"/>
          <w:sz w:val="16"/>
          <w:szCs w:val="16"/>
        </w:rPr>
        <w:softHyphen/>
        <w:t>рически возражает устанавливать гильзособиратели из-за потери скорости самолета. Считаю необходимым обязать тов. Ильюши</w:t>
      </w:r>
      <w:r w:rsidRPr="008127F8">
        <w:rPr>
          <w:rFonts w:ascii="Times New Roman" w:hAnsi="Times New Roman"/>
          <w:color w:val="000000" w:themeColor="text1"/>
          <w:sz w:val="16"/>
          <w:szCs w:val="16"/>
        </w:rPr>
        <w:softHyphen/>
        <w:t>на установить гильзособиратели на самолетах Ил-2, так как толь</w:t>
      </w:r>
      <w:r w:rsidRPr="008127F8">
        <w:rPr>
          <w:rFonts w:ascii="Times New Roman" w:hAnsi="Times New Roman"/>
          <w:color w:val="000000" w:themeColor="text1"/>
          <w:sz w:val="16"/>
          <w:szCs w:val="16"/>
        </w:rPr>
        <w:softHyphen/>
        <w:t>ко за один боевой вылет одного самолета при расстреле всего боекомплекта выбрасывается 63 кг цветного металла — латуни — столь необходимого для страны. Если принять среднюю нагрузку по три самолето-вылета в день, то для полка (20 самолетов) еже</w:t>
      </w:r>
      <w:r w:rsidRPr="008127F8">
        <w:rPr>
          <w:rFonts w:ascii="Times New Roman" w:hAnsi="Times New Roman"/>
          <w:color w:val="000000" w:themeColor="text1"/>
          <w:sz w:val="16"/>
          <w:szCs w:val="16"/>
        </w:rPr>
        <w:softHyphen/>
        <w:t>дневно будет собираться 3900 кг гильз. Прошу Вашего указания НКАП и тов. Ильюшину — о срочном внедрении в производство гильзособирателей и установки их на самолеты Ил-2».</w:t>
      </w:r>
    </w:p>
    <w:p w14:paraId="3CCDA4C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очевидную экономическую целесообразность, гильзособиратели на Ил-2 до самого окончания войны так и не устанавливались (11474,253).</w:t>
      </w:r>
    </w:p>
    <w:p w14:paraId="3838078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8531E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на 81 заводе был сдан ВВС ВМФ последний из 34 ДБ-3Ф, произведенный на 126 заводе и переоборудованный в миноносец и торпедоносец. Плюс 6 машин поставил ВВС и всего получилось 40 (1676,184).</w:t>
      </w:r>
    </w:p>
    <w:p w14:paraId="08D7B0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9FB7D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года А. Репин писал письмо N 441570с Маленкову.</w:t>
      </w:r>
    </w:p>
    <w:p w14:paraId="6B5C015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вопросу: письма Волкова и Ярцева.</w:t>
      </w:r>
    </w:p>
    <w:p w14:paraId="43ACC28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Устанавливаемые на самолетах пушки калибра 23 и 37 мм применяются против воздушного и наземного противника. Однако, характер целей в воздухе и на земле совершенно различен, различны также и условия ведения стрельбы с самолета по воздушной и наземной, хотя бы и двигающиеся цели. Поэтому, необходимо произвести оценку пушек калибра 23 мм и 37 мм в предположении использования их как для действия по воздушным целям, так и по наземным.</w:t>
      </w:r>
    </w:p>
    <w:p w14:paraId="55AF46A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Воздушный бой.</w:t>
      </w:r>
    </w:p>
    <w:p w14:paraId="403642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Характер защиты немецких самолетов делает их уязвимыми на дистанциях прицельного огня (100-200 м), как для калибра 23 мм, так и для калибра 37 мм. Попадание 1-2 23 мм снарядов в кабину, баки или винтомоторную группу, даже наиболее защищенных самолетов противника, как Ю-88 или Ме-110, достаточно для их сбития.</w:t>
      </w:r>
    </w:p>
    <w:p w14:paraId="7C9FD7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Поэтому для сравнительной оценки обоих пушек необходимо исходить из возможного повышения вероятности попадания за счет темпа стрельбы. Вероятность попадания в воздушном бою в первую очередь зависит от числа выстрелов в минуту В этом отношении пушка В.Я. калибра 23 мм с темпом 600 выстрелов в минуту. В этом отношении пушка В.Я. калибра 23 мм с темпом 600 выстрелов в минуту имеет значительное преимущество перед 37 мм пушкой, имеющей темп 250 выстрелов в минуту. Помимо этого, 37 мм пушка, установленная в моторе для стрельбы через втулку винта, имеет боезапас в 20 патронов, обеспечивающий ведение огня только в течение 5 секунд, в то время, как пушка В.Я. имеет 90 патронов, позволяющих вести огонь в течение 9-ти секунд.</w:t>
      </w:r>
    </w:p>
    <w:p w14:paraId="1B2392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виду малой скорострельности 37 мм пушки, стрельба по самолету, находящемуся в ракурсе, дает ничтожные шансы на попадание, так как самолет будет проскакивать между двумя последовательными снарядами. При стрельбе под углом в 90 градусов за время в 0,25 сек. между двумя последовательными выстрелами (пушки 37 мм) самолет пройдет 40 метров, т.е. в 2 - 2,5 раза больше своей длины.</w:t>
      </w:r>
    </w:p>
    <w:p w14:paraId="3EB9E3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Поэтому рассчитывать на попадание из 37 мм пушки можно только на встречном и в особенности на преследующем курсе. При высокой маневренности современных самолетов, занять встречное или преследующее положение и сохранить его на время, нужное для прицеливания и стрельбы, будет крайне трудно.</w:t>
      </w:r>
    </w:p>
    <w:p w14:paraId="7C59426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сохранения скорости и маневренности самолета, необходимо стремиться к тому, чтобы установленное оружие создавало возможно больший эффект при наименьшем весе.</w:t>
      </w:r>
    </w:p>
    <w:p w14:paraId="075607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Сравнивая 37 мм и 23 мм пушки с этой точки зрения обнаруживаем, что для выброса по цели из 37 мм пушки - 14,4 кг металла и ВВ, необходимо установить на самолете 240 кг, складывающихся из веса пушки, установки и боезапаса. Для выброса же такого количества металла из пушки 23 мм, потребуется установить на самолете всего 130 кг.</w:t>
      </w:r>
    </w:p>
    <w:p w14:paraId="0A677A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Следовательно, для воздушного боя пушка 37 мм уступает пушке 23 мм, как по вероятности попадания, так и по весу. Происходит это потому, что калибр 37 мм чрезмерно велик для поражения современных самолетов, увеличение же калибра всегда связано с падением темпа стрельбы и увеличением веса системы.</w:t>
      </w:r>
    </w:p>
    <w:p w14:paraId="3EC5DB5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Действия по наземным целям.</w:t>
      </w:r>
    </w:p>
    <w:p w14:paraId="477BB89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Основными наземными целями, поражаемыми пушечным огнем с воздуха, являются бронетанковые силы противника.</w:t>
      </w:r>
    </w:p>
    <w:p w14:paraId="706691D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Характер бронирования германских танков допускает поражение горизонтальной, боковой и задней брони легких и средних танков снарядом калибра 23 мм. Для поражения же горизонтальной и в особенности боковой и задней брони тяжелых танков, как уже состоящих на вооружении так и таких, появление которых можно ожидать в ближайшее время, в виде ответа на наши танки КВ, необходим снаряд калибра 37 мм.</w:t>
      </w:r>
    </w:p>
    <w:p w14:paraId="29F4C18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Поэтому для вооружения противотанковых самолетов необходимо иметь оба калибра 23 мм и 37 мм. Ограничиться одним калибром 37 мм для поражения всех видов танков будет явно нецелесообразно, так как установка 37 мм пушек на самолет ИЛ-2 связана с значительным ухудшением его летных качеств за счет утяжеления самолета и весьма больших габаритов 37 мм пушек, выступающих за контуры крыла.</w:t>
      </w:r>
    </w:p>
    <w:p w14:paraId="2DB1910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того, чтобы выбросить с ИЛ-2 - 57,5 кг металла и ВВ из 37 мм пушек, необходимо установить на самолете 734 кг, для выброса же 69 кг металла и ВВ из пушек 23 мм потребуется всего лишь 335 кг.</w:t>
      </w:r>
    </w:p>
    <w:p w14:paraId="1016188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Поэтому для борьбы с воздушными целями, а также с танками противника, большинство которых в немецкой армии представляют тип средних и легких, наиболее эффективным орудием остается пушка В.Я., которую считаю необходимым рекомендовать для установки на истребители для стрельбы через втулку винта.</w:t>
      </w:r>
    </w:p>
    <w:p w14:paraId="3AB7E27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скорейшей проверки эффективности боевого применения истребителей с пушкой В.Я., необходимо обязать НКАП вооружить пушками В.Я. один полк - 20 самолетов ЛАГГ-3 и один полк - 20 самолетов ЯК-7.</w:t>
      </w:r>
    </w:p>
    <w:p w14:paraId="3B77A68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повышении мощности снаряда к пушке В.Я.</w:t>
      </w:r>
    </w:p>
    <w:p w14:paraId="783C64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23 мм бронебойно-зажигательный снаряд пробивает броню толщиною 25 мм на дистанцию 400 м в нормаль - (угол встречи 0 градусов), поэтому утверждение </w:t>
      </w:r>
      <w:r w:rsidRPr="008127F8">
        <w:rPr>
          <w:rFonts w:ascii="Times New Roman" w:hAnsi="Times New Roman"/>
          <w:color w:val="000000" w:themeColor="text1"/>
          <w:sz w:val="16"/>
          <w:szCs w:val="16"/>
        </w:rPr>
        <w:lastRenderedPageBreak/>
        <w:t>Волкова и Ярцева о том, что "23мм снаряд пробивает броню танков толщиною до 45 мм" - неверно.</w:t>
      </w:r>
    </w:p>
    <w:p w14:paraId="3FF506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стрельбе с самолета наиболее вероятные попадания по танкам будут под углом и, следовательно, бронепробиваемость 23 мм снарядов на дистанцию 400 метров будет тем более понижена.</w:t>
      </w:r>
    </w:p>
    <w:p w14:paraId="3603CB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Повысить плотность заряжания при неизменном максимальном давлении можно только путем применения новой марки пороха, т.е. при отработке новых порохов, что весьма затруднительно, по крайней мере в настоящее время. Проведенная НИИ-6 работа по новым порохам, пока не дает удовлетворительных результатов. Заготовка зарядов и крепление воспламенителя к картузу заряда работа не трудоемкая и выпуск 23 мм патронов не лимитирует.</w:t>
      </w:r>
    </w:p>
    <w:p w14:paraId="4AA1DF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Наоборот, пороховой заряд без воспламенителя потребовал-бы более мощного капсюля, отработка которого займет много времени.</w:t>
      </w:r>
    </w:p>
    <w:p w14:paraId="3EFFD6C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По вопросу повышения эффективности снарядов калибра 23 мм заключены на 1942 год договора с НИИ-24 НКБ и ОКБ-15 НКВ. В июле 1942 года будут проведены полигонные испытания бронебойно-зажигательных и осколочно-зажигательно-трассирующих снарядов с самоликвидатором.</w:t>
      </w:r>
    </w:p>
    <w:p w14:paraId="77E043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гильзособирателях на самолете ИЛ-2.</w:t>
      </w:r>
    </w:p>
    <w:p w14:paraId="7195D45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Конструктор С.В.И. категорически возражает устанавливать гильзособиратели из-за потери скорости самолета.</w:t>
      </w:r>
    </w:p>
    <w:p w14:paraId="1BFF98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Считаю необходимым обязать С.В.И. установить гильзособиратели на самолетах ИЛ-2, так как только за один боевой вылет одного самолета, при расстреле всего боекомплекта выбрасывается 65 кг цветного металла - латуни, столь необходимого для страны. Если принять среднюю нагрузку по три самолето-вылета в день, то для полка - 20 самолетов, ежедневно будет собираться 3900 кг гильз.</w:t>
      </w:r>
    </w:p>
    <w:p w14:paraId="3777DB3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Вашего указания НКАП С.В.И. - о срочном внедрении в производство гильзособирателей и установки на самолеты ИЛ-2 (2147,11).</w:t>
      </w:r>
    </w:p>
    <w:p w14:paraId="0C22DB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3E23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приказом наркома ВМФ N 0388 (1085,165) на вооружение приняли стабилизатор торпеды низкого бомбометания инженер-майора Г.В.Сагайдука, работавшего на ТФ. Он состоял из четырех 2 см досок, усиленных полосками, который крепился на хвост и отделялся в момент приводнения. По сравнению с балкой Т-18 уменьшал торпедный мешок с 30 до 15 м. Использовали на ЧФ (561,17).</w:t>
      </w:r>
    </w:p>
    <w:p w14:paraId="5AEFADD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ECC01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мая в 1942 году принят на вооружение </w:t>
      </w:r>
      <w:hyperlink r:id="rId11" w:tgtFrame="_blank" w:history="1">
        <w:r w:rsidRPr="008127F8">
          <w:rPr>
            <w:rFonts w:ascii="Times New Roman" w:hAnsi="Times New Roman"/>
            <w:color w:val="000000" w:themeColor="text1"/>
            <w:sz w:val="16"/>
            <w:szCs w:val="16"/>
          </w:rPr>
          <w:t xml:space="preserve">стабилизатор Сагайдука. </w:t>
        </w:r>
      </w:hyperlink>
      <w:r w:rsidRPr="008127F8">
        <w:rPr>
          <w:rFonts w:ascii="Times New Roman" w:hAnsi="Times New Roman"/>
          <w:color w:val="000000" w:themeColor="text1"/>
          <w:sz w:val="16"/>
          <w:szCs w:val="16"/>
        </w:rPr>
        <w:t>Для самолета-торпедоносца «ДБ-3Т», вооружённого торпедами «45-36АН», заводами №№32 и 39 было разработано специальное подвесное устройство «Т-18», на которое торпеда подвешивалась в двух точках. Однако проблемой оставалось обеспечение входа торпеды в воду под оптимальным углом. В августе 1941 г. майор Г.В.Сагайдук на ТОФ предложил перистый стабилизатор из четырех 20 мм досок, усиленных металлическими полосками. Он крепился к хвостовой части торпеды. Устройство было достаточно примитивным, но, тем не менее, оно прошло испытания и обеспечило уменьшение торпедного "мешка" вдвое - с 30 до 15 м. Стабилизатор Сагайдука 5 мая 1942 г. был принят на вооружение, но широкого распространения не получил (хотя автор статьи летом 1951 г. сбрасывал торпеду с деревянным стабилизатором с самолета «Ту-2»). В мае того же года на вооружение поступил стабилизатор, разработанный в НИМТИ ВМФ под маркой «Ан-42». Он также не отличался оригинальностью и техническим совершенством. В качестве стабилизатора использовался цилиндр из стального листа длиной 1600 мм, диаметром 450 мм с продольными зигами для усиления жесткости. В момент входа торпеды в воду инерционный механизм отделял стабилизатор. С применением стабилизатора «Ан-42» торпеды можно было применять с высот от 15 до 55 м, а максимальная скорость полета самолета увеличилась до 300 км/ч. Работы по созданию новых торпед и стабилизаторов к ним в связи с увеличением скоростей полета самолетов-торпедоносцев продолжались. В результате длительных изысканий и натурных испытаний в 1945 году приняли на вооружение стабилизатор «СН-45», более известный под названием "крест+кольцо". Это легкая металлическая конструкция весом 8 кг, состоящая из переднего кольца, каркаса, стабилизирующего цилиндрического кольца, вертикальной планки, поворотного крыла, замков для крепления стабилизатора к торпеде (14882).</w:t>
      </w:r>
    </w:p>
    <w:p w14:paraId="1091E19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78715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после испытаний приказом НК ВМФ №0388 стабилизатор для торпеды Сагайдука был принят на вооружение вместо балки Т-18 с характеристиками: высота полета самолета до 40 м, скорость - до 240-250 км/ч. минимальная глубина моря в точке сбрасывания - 45 м. Впоследствии решением МТУ ВМФ №111637 от 27.3.1943 разрешалось использовать торпеды с деревянным стабилизатором при высоте полета самолета в пределах 10-55 м и минимальной глубине 12 м (12002).</w:t>
      </w:r>
    </w:p>
    <w:p w14:paraId="244DAE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264534" w14:textId="77777777" w:rsidR="007C5583" w:rsidRPr="008127F8" w:rsidRDefault="007C5583" w:rsidP="007C5583">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5</w:t>
      </w:r>
      <w:r w:rsidRPr="008127F8">
        <w:rPr>
          <w:rFonts w:ascii="Times New Roman" w:hAnsi="Times New Roman"/>
          <w:color w:val="000000" w:themeColor="text1"/>
          <w:sz w:val="16"/>
          <w:szCs w:val="16"/>
        </w:rPr>
        <w:t xml:space="preserve"> мая </w:t>
      </w:r>
      <w:r w:rsidRPr="008127F8">
        <w:rPr>
          <w:rFonts w:ascii="Times New Roman" w:hAnsi="Times New Roman"/>
          <w:noProof/>
          <w:color w:val="000000" w:themeColor="text1"/>
          <w:sz w:val="16"/>
          <w:szCs w:val="16"/>
        </w:rPr>
        <w:t>1942 г. деревянный стабилизатор</w:t>
      </w:r>
      <w:r w:rsidRPr="008127F8">
        <w:rPr>
          <w:rFonts w:ascii="Times New Roman" w:hAnsi="Times New Roman"/>
          <w:color w:val="000000" w:themeColor="text1"/>
          <w:sz w:val="16"/>
          <w:szCs w:val="16"/>
        </w:rPr>
        <w:t xml:space="preserve"> для торпеды</w:t>
      </w:r>
      <w:r w:rsidRPr="008127F8">
        <w:rPr>
          <w:rFonts w:ascii="Times New Roman" w:hAnsi="Times New Roman"/>
          <w:noProof/>
          <w:color w:val="000000" w:themeColor="text1"/>
          <w:sz w:val="16"/>
          <w:szCs w:val="16"/>
        </w:rPr>
        <w:t>, усиленный металлическими полосами, был принят на вооружение приказом НК ВМФ №0388 со следую</w:t>
      </w:r>
      <w:r w:rsidRPr="008127F8">
        <w:rPr>
          <w:rFonts w:ascii="Times New Roman" w:hAnsi="Times New Roman"/>
          <w:noProof/>
          <w:color w:val="000000" w:themeColor="text1"/>
          <w:sz w:val="16"/>
          <w:szCs w:val="16"/>
        </w:rPr>
        <w:softHyphen/>
        <w:t>щими характеристиками: высота полета са</w:t>
      </w:r>
      <w:r w:rsidRPr="008127F8">
        <w:rPr>
          <w:rFonts w:ascii="Times New Roman" w:hAnsi="Times New Roman"/>
          <w:noProof/>
          <w:color w:val="000000" w:themeColor="text1"/>
          <w:sz w:val="16"/>
          <w:szCs w:val="16"/>
        </w:rPr>
        <w:softHyphen/>
        <w:t>молета - до 40 м, скорость - до 250 км/ч, минимальная глубина моря в точке сбра</w:t>
      </w:r>
      <w:r w:rsidRPr="008127F8">
        <w:rPr>
          <w:rFonts w:ascii="Times New Roman" w:hAnsi="Times New Roman"/>
          <w:noProof/>
          <w:color w:val="000000" w:themeColor="text1"/>
          <w:sz w:val="16"/>
          <w:szCs w:val="16"/>
        </w:rPr>
        <w:softHyphen/>
        <w:t>сывания — 45 м. В дальнейшем решением МТУ ВМФ №111637 от 27.3.1943 г. разре</w:t>
      </w:r>
      <w:r w:rsidRPr="008127F8">
        <w:rPr>
          <w:rFonts w:ascii="Times New Roman" w:hAnsi="Times New Roman"/>
          <w:noProof/>
          <w:color w:val="000000" w:themeColor="text1"/>
          <w:sz w:val="16"/>
          <w:szCs w:val="16"/>
        </w:rPr>
        <w:softHyphen/>
        <w:t>шалось использовать торпеды с деревян</w:t>
      </w:r>
      <w:r w:rsidRPr="008127F8">
        <w:rPr>
          <w:rFonts w:ascii="Times New Roman" w:hAnsi="Times New Roman"/>
          <w:noProof/>
          <w:color w:val="000000" w:themeColor="text1"/>
          <w:sz w:val="16"/>
          <w:szCs w:val="16"/>
        </w:rPr>
        <w:softHyphen/>
        <w:t>ным стабилизатором при высоте полета са</w:t>
      </w:r>
      <w:r w:rsidRPr="008127F8">
        <w:rPr>
          <w:rFonts w:ascii="Times New Roman" w:hAnsi="Times New Roman"/>
          <w:noProof/>
          <w:color w:val="000000" w:themeColor="text1"/>
          <w:sz w:val="16"/>
          <w:szCs w:val="16"/>
        </w:rPr>
        <w:softHyphen/>
        <w:t>молета в пределах 10-55 м и минималь</w:t>
      </w:r>
      <w:r w:rsidRPr="008127F8">
        <w:rPr>
          <w:rFonts w:ascii="Times New Roman" w:hAnsi="Times New Roman"/>
          <w:noProof/>
          <w:color w:val="000000" w:themeColor="text1"/>
          <w:sz w:val="16"/>
          <w:szCs w:val="16"/>
        </w:rPr>
        <w:softHyphen/>
        <w:t>ной глубине 12 м.</w:t>
      </w:r>
    </w:p>
    <w:p w14:paraId="7E39B08E" w14:textId="77777777" w:rsidR="007C5583" w:rsidRPr="008127F8" w:rsidRDefault="007C5583" w:rsidP="007C5583">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Позже приказом НК ВМФ №0509 от 13.6.1942 г. на вооружение был принят металлический стабилизатор АН-42 конструкции инженер-полков- никаТ.И. Алферова (НИМТИ). Одна</w:t>
      </w:r>
      <w:r w:rsidRPr="008127F8">
        <w:rPr>
          <w:rFonts w:ascii="Times New Roman" w:hAnsi="Times New Roman"/>
          <w:noProof/>
          <w:color w:val="000000" w:themeColor="text1"/>
          <w:sz w:val="16"/>
          <w:szCs w:val="16"/>
        </w:rPr>
        <w:softHyphen/>
        <w:t>ко в ходе войны АН-42 изготовили в весьма ограниченных количествах в связи с эвакуацией завода-изготовителя.</w:t>
      </w:r>
    </w:p>
    <w:p w14:paraId="06374188"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noProof/>
          <w:color w:val="000000" w:themeColor="text1"/>
          <w:sz w:val="16"/>
          <w:szCs w:val="16"/>
        </w:rPr>
        <w:t>Именно эти два типа стабилиза</w:t>
      </w:r>
      <w:r w:rsidRPr="008127F8">
        <w:rPr>
          <w:rFonts w:ascii="Times New Roman" w:hAnsi="Times New Roman"/>
          <w:noProof/>
          <w:color w:val="000000" w:themeColor="text1"/>
          <w:sz w:val="16"/>
          <w:szCs w:val="16"/>
        </w:rPr>
        <w:softHyphen/>
        <w:t>торов — деревянный стабилизатор, усиленный металлическими полоса</w:t>
      </w:r>
      <w:r w:rsidRPr="008127F8">
        <w:rPr>
          <w:rFonts w:ascii="Times New Roman" w:hAnsi="Times New Roman"/>
          <w:noProof/>
          <w:color w:val="000000" w:themeColor="text1"/>
          <w:sz w:val="16"/>
          <w:szCs w:val="16"/>
        </w:rPr>
        <w:softHyphen/>
        <w:t>ми, и АН-42 — применялись на авиа</w:t>
      </w:r>
      <w:r w:rsidRPr="008127F8">
        <w:rPr>
          <w:rFonts w:ascii="Times New Roman" w:hAnsi="Times New Roman"/>
          <w:noProof/>
          <w:color w:val="000000" w:themeColor="text1"/>
          <w:sz w:val="16"/>
          <w:szCs w:val="16"/>
        </w:rPr>
        <w:softHyphen/>
        <w:t>торпедах в годы Великой Отечествен</w:t>
      </w:r>
      <w:r w:rsidRPr="008127F8">
        <w:rPr>
          <w:rFonts w:ascii="Times New Roman" w:hAnsi="Times New Roman"/>
          <w:noProof/>
          <w:color w:val="000000" w:themeColor="text1"/>
          <w:sz w:val="16"/>
          <w:szCs w:val="16"/>
        </w:rPr>
        <w:softHyphen/>
        <w:t>н</w:t>
      </w:r>
      <w:r w:rsidRPr="008127F8">
        <w:rPr>
          <w:rFonts w:ascii="Times New Roman" w:hAnsi="Times New Roman"/>
          <w:color w:val="000000" w:themeColor="text1"/>
          <w:sz w:val="16"/>
          <w:szCs w:val="16"/>
        </w:rPr>
        <w:t>ной войны</w:t>
      </w:r>
      <w:r w:rsidRPr="008127F8">
        <w:rPr>
          <w:rFonts w:ascii="Times New Roman" w:hAnsi="Times New Roman"/>
          <w:noProof/>
          <w:color w:val="000000" w:themeColor="text1"/>
          <w:sz w:val="16"/>
          <w:szCs w:val="16"/>
        </w:rPr>
        <w:t>. Из всего потопленного тоннажа боевых кораблей и транспортов про</w:t>
      </w:r>
      <w:r w:rsidRPr="008127F8">
        <w:rPr>
          <w:rFonts w:ascii="Times New Roman" w:hAnsi="Times New Roman"/>
          <w:noProof/>
          <w:color w:val="000000" w:themeColor="text1"/>
          <w:sz w:val="16"/>
          <w:szCs w:val="16"/>
        </w:rPr>
        <w:softHyphen/>
        <w:t>тивника 36% приходится на долю морской авиации, вооруженной авиационными тор</w:t>
      </w:r>
      <w:r w:rsidRPr="008127F8">
        <w:rPr>
          <w:rFonts w:ascii="Times New Roman" w:hAnsi="Times New Roman"/>
          <w:noProof/>
          <w:color w:val="000000" w:themeColor="text1"/>
          <w:sz w:val="16"/>
          <w:szCs w:val="16"/>
        </w:rPr>
        <w:softHyphen/>
        <w:t xml:space="preserve">педами. За годы Великой Отечественной войны морской авиацией ВМФ СССР было потоплено 109 боевых кораблей, крупных вспомогательных и транспортных судов более </w:t>
      </w:r>
      <w:r w:rsidRPr="008127F8">
        <w:rPr>
          <w:rFonts w:ascii="Times New Roman" w:hAnsi="Times New Roman"/>
          <w:color w:val="000000" w:themeColor="text1"/>
          <w:sz w:val="16"/>
          <w:szCs w:val="16"/>
        </w:rPr>
        <w:t xml:space="preserve">100000 </w:t>
      </w:r>
      <w:r w:rsidRPr="008127F8">
        <w:rPr>
          <w:rFonts w:ascii="Times New Roman" w:hAnsi="Times New Roman"/>
          <w:noProof/>
          <w:color w:val="000000" w:themeColor="text1"/>
          <w:sz w:val="16"/>
          <w:szCs w:val="16"/>
        </w:rPr>
        <w:t>брт.</w:t>
      </w:r>
    </w:p>
    <w:p w14:paraId="10D9C152" w14:textId="77777777" w:rsidR="007C5583" w:rsidRPr="008127F8" w:rsidRDefault="007C5583" w:rsidP="007C5583">
      <w:pPr>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color w:val="000000" w:themeColor="text1"/>
          <w:sz w:val="16"/>
          <w:szCs w:val="16"/>
        </w:rPr>
        <w:t>Кравцев тяжело переживал факт «заимствоания» результатов его работы. При обращении к начальнику отдела изобрете</w:t>
      </w:r>
      <w:r w:rsidRPr="008127F8">
        <w:rPr>
          <w:rFonts w:ascii="Times New Roman" w:hAnsi="Times New Roman"/>
          <w:color w:val="000000" w:themeColor="text1"/>
          <w:sz w:val="16"/>
          <w:szCs w:val="16"/>
        </w:rPr>
        <w:softHyphen/>
        <w:t>ний ВМС инженер-капитану 1 ранга Сереб</w:t>
      </w:r>
      <w:r w:rsidRPr="008127F8">
        <w:rPr>
          <w:rFonts w:ascii="Times New Roman" w:hAnsi="Times New Roman"/>
          <w:color w:val="000000" w:themeColor="text1"/>
          <w:sz w:val="16"/>
          <w:szCs w:val="16"/>
        </w:rPr>
        <w:softHyphen/>
        <w:t xml:space="preserve">рякову Анатолий Федорович констатировал: </w:t>
      </w:r>
      <w:r w:rsidRPr="008127F8">
        <w:rPr>
          <w:rFonts w:ascii="Times New Roman" w:hAnsi="Times New Roman"/>
          <w:iCs/>
          <w:color w:val="000000" w:themeColor="text1"/>
          <w:sz w:val="16"/>
          <w:szCs w:val="16"/>
        </w:rPr>
        <w:t>«Недавно мне стало известно от начальни</w:t>
      </w:r>
      <w:r w:rsidRPr="008127F8">
        <w:rPr>
          <w:rFonts w:ascii="Times New Roman" w:hAnsi="Times New Roman"/>
          <w:iCs/>
          <w:color w:val="000000" w:themeColor="text1"/>
          <w:sz w:val="16"/>
          <w:szCs w:val="16"/>
        </w:rPr>
        <w:softHyphen/>
        <w:t>ка МТО ТОФ инженер-капитана 1 ранга т. Челышева, что мое изобретение по при</w:t>
      </w:r>
      <w:r w:rsidRPr="008127F8">
        <w:rPr>
          <w:rFonts w:ascii="Times New Roman" w:hAnsi="Times New Roman"/>
          <w:iCs/>
          <w:color w:val="000000" w:themeColor="text1"/>
          <w:sz w:val="16"/>
          <w:szCs w:val="16"/>
        </w:rPr>
        <w:softHyphen/>
        <w:t>менению стабилизатора для сброса с са</w:t>
      </w:r>
      <w:r w:rsidRPr="008127F8">
        <w:rPr>
          <w:rFonts w:ascii="Times New Roman" w:hAnsi="Times New Roman"/>
          <w:iCs/>
          <w:color w:val="000000" w:themeColor="text1"/>
          <w:sz w:val="16"/>
          <w:szCs w:val="16"/>
        </w:rPr>
        <w:softHyphen/>
        <w:t>молета торпед (21 "или 18") незаконно при</w:t>
      </w:r>
      <w:r w:rsidRPr="008127F8">
        <w:rPr>
          <w:rFonts w:ascii="Times New Roman" w:hAnsi="Times New Roman"/>
          <w:iCs/>
          <w:color w:val="000000" w:themeColor="text1"/>
          <w:sz w:val="16"/>
          <w:szCs w:val="16"/>
        </w:rPr>
        <w:softHyphen/>
        <w:t>своено и оформлено авторским свидетель</w:t>
      </w:r>
      <w:r w:rsidRPr="008127F8">
        <w:rPr>
          <w:rFonts w:ascii="Times New Roman" w:hAnsi="Times New Roman"/>
          <w:iCs/>
          <w:color w:val="000000" w:themeColor="text1"/>
          <w:sz w:val="16"/>
          <w:szCs w:val="16"/>
        </w:rPr>
        <w:softHyphen/>
        <w:t>ством т. Сагайдук. т. Сагайдук работал на ТОФе в период, когда я проводил указан</w:t>
      </w:r>
      <w:r w:rsidRPr="008127F8">
        <w:rPr>
          <w:rFonts w:ascii="Times New Roman" w:hAnsi="Times New Roman"/>
          <w:iCs/>
          <w:color w:val="000000" w:themeColor="text1"/>
          <w:sz w:val="16"/>
          <w:szCs w:val="16"/>
        </w:rPr>
        <w:softHyphen/>
        <w:t>ные опыты в должности начальника мин</w:t>
      </w:r>
      <w:r w:rsidRPr="008127F8">
        <w:rPr>
          <w:rFonts w:ascii="Times New Roman" w:hAnsi="Times New Roman"/>
          <w:iCs/>
          <w:color w:val="000000" w:themeColor="text1"/>
          <w:sz w:val="16"/>
          <w:szCs w:val="16"/>
        </w:rPr>
        <w:softHyphen/>
        <w:t>но-торпедной службы ВВС ТОФ, несомнен</w:t>
      </w:r>
      <w:r w:rsidRPr="008127F8">
        <w:rPr>
          <w:rFonts w:ascii="Times New Roman" w:hAnsi="Times New Roman"/>
          <w:iCs/>
          <w:color w:val="000000" w:themeColor="text1"/>
          <w:sz w:val="16"/>
          <w:szCs w:val="16"/>
        </w:rPr>
        <w:softHyphen/>
        <w:t>но был знаком со всеми моими предложе</w:t>
      </w:r>
      <w:r w:rsidRPr="008127F8">
        <w:rPr>
          <w:rFonts w:ascii="Times New Roman" w:hAnsi="Times New Roman"/>
          <w:iCs/>
          <w:color w:val="000000" w:themeColor="text1"/>
          <w:sz w:val="16"/>
          <w:szCs w:val="16"/>
        </w:rPr>
        <w:softHyphen/>
        <w:t>ниями в части применения стабилизатора, так как я работал в частях ВВС ТОФ (Воз</w:t>
      </w:r>
      <w:r w:rsidRPr="008127F8">
        <w:rPr>
          <w:rFonts w:ascii="Times New Roman" w:hAnsi="Times New Roman"/>
          <w:iCs/>
          <w:color w:val="000000" w:themeColor="text1"/>
          <w:sz w:val="16"/>
          <w:szCs w:val="16"/>
        </w:rPr>
        <w:softHyphen/>
        <w:t>движенка и часть торпедоносцев в Сухо</w:t>
      </w:r>
      <w:r w:rsidRPr="008127F8">
        <w:rPr>
          <w:rFonts w:ascii="Times New Roman" w:hAnsi="Times New Roman"/>
          <w:iCs/>
          <w:color w:val="000000" w:themeColor="text1"/>
          <w:sz w:val="16"/>
          <w:szCs w:val="16"/>
        </w:rPr>
        <w:softHyphen/>
        <w:t>доле). Образцы стабилизаторов для тор</w:t>
      </w:r>
      <w:r w:rsidRPr="008127F8">
        <w:rPr>
          <w:rFonts w:ascii="Times New Roman" w:hAnsi="Times New Roman"/>
          <w:iCs/>
          <w:color w:val="000000" w:themeColor="text1"/>
          <w:sz w:val="16"/>
          <w:szCs w:val="16"/>
        </w:rPr>
        <w:softHyphen/>
        <w:t>пед остались в суходоле на всех самоле</w:t>
      </w:r>
      <w:r w:rsidRPr="008127F8">
        <w:rPr>
          <w:rFonts w:ascii="Times New Roman" w:hAnsi="Times New Roman"/>
          <w:iCs/>
          <w:color w:val="000000" w:themeColor="text1"/>
          <w:sz w:val="16"/>
          <w:szCs w:val="16"/>
        </w:rPr>
        <w:softHyphen/>
        <w:t>тах-торпедоносцах Р-5 в 1938 г.</w:t>
      </w:r>
    </w:p>
    <w:p w14:paraId="0CDA2223" w14:textId="77777777" w:rsidR="007C5583" w:rsidRPr="008127F8" w:rsidRDefault="007C5583" w:rsidP="007C5583">
      <w:pPr>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Следовательно, я имею все основания полагать, что т. Сагайдук незаконно при</w:t>
      </w:r>
      <w:r w:rsidRPr="008127F8">
        <w:rPr>
          <w:rFonts w:ascii="Times New Roman" w:hAnsi="Times New Roman"/>
          <w:iCs/>
          <w:color w:val="000000" w:themeColor="text1"/>
          <w:sz w:val="16"/>
          <w:szCs w:val="16"/>
        </w:rPr>
        <w:softHyphen/>
        <w:t>своил мое изобретение.</w:t>
      </w:r>
    </w:p>
    <w:p w14:paraId="275C46CC" w14:textId="77777777" w:rsidR="007C5583" w:rsidRPr="008127F8" w:rsidRDefault="007C5583" w:rsidP="007C5583">
      <w:pPr>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При получении удостоверения на автор</w:t>
      </w:r>
      <w:r w:rsidRPr="008127F8">
        <w:rPr>
          <w:rFonts w:ascii="Times New Roman" w:hAnsi="Times New Roman"/>
          <w:iCs/>
          <w:color w:val="000000" w:themeColor="text1"/>
          <w:sz w:val="16"/>
          <w:szCs w:val="16"/>
        </w:rPr>
        <w:softHyphen/>
        <w:t>ское свидетельство 20 июля 1946 года, я через Вас получил возможность ознако</w:t>
      </w:r>
      <w:r w:rsidRPr="008127F8">
        <w:rPr>
          <w:rFonts w:ascii="Times New Roman" w:hAnsi="Times New Roman"/>
          <w:iCs/>
          <w:color w:val="000000" w:themeColor="text1"/>
          <w:sz w:val="16"/>
          <w:szCs w:val="16"/>
        </w:rPr>
        <w:softHyphen/>
        <w:t>миться с редакцией предмета изобретения по авторскому свидетельству тов. Сагай- дук, где я установил, что в предложении тов. Сагайдук нет ничего нового.</w:t>
      </w:r>
    </w:p>
    <w:p w14:paraId="1A14CEC9" w14:textId="77777777" w:rsidR="007C5583" w:rsidRPr="008127F8" w:rsidRDefault="007C5583" w:rsidP="007C5583">
      <w:pPr>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Мною стабилизатор был применен для того, чтобы ось торпеды при сбросе с са</w:t>
      </w:r>
      <w:r w:rsidRPr="008127F8">
        <w:rPr>
          <w:rFonts w:ascii="Times New Roman" w:hAnsi="Times New Roman"/>
          <w:iCs/>
          <w:color w:val="000000" w:themeColor="text1"/>
          <w:sz w:val="16"/>
          <w:szCs w:val="16"/>
        </w:rPr>
        <w:softHyphen/>
        <w:t>молета при помощи стабилизатора все вре</w:t>
      </w:r>
      <w:r w:rsidRPr="008127F8">
        <w:rPr>
          <w:rFonts w:ascii="Times New Roman" w:hAnsi="Times New Roman"/>
          <w:iCs/>
          <w:color w:val="000000" w:themeColor="text1"/>
          <w:sz w:val="16"/>
          <w:szCs w:val="16"/>
        </w:rPr>
        <w:softHyphen/>
        <w:t>мя пути была касательной к траектории центра тяжести торпеды, что давало воз</w:t>
      </w:r>
      <w:r w:rsidRPr="008127F8">
        <w:rPr>
          <w:rFonts w:ascii="Times New Roman" w:hAnsi="Times New Roman"/>
          <w:iCs/>
          <w:color w:val="000000" w:themeColor="text1"/>
          <w:sz w:val="16"/>
          <w:szCs w:val="16"/>
        </w:rPr>
        <w:softHyphen/>
        <w:t>можность торпеде входить в воду головной частью, не испытывая изламывающие уси</w:t>
      </w:r>
      <w:r w:rsidRPr="008127F8">
        <w:rPr>
          <w:rFonts w:ascii="Times New Roman" w:hAnsi="Times New Roman"/>
          <w:iCs/>
          <w:color w:val="000000" w:themeColor="text1"/>
          <w:sz w:val="16"/>
          <w:szCs w:val="16"/>
        </w:rPr>
        <w:softHyphen/>
        <w:t>лия при падении со «шлепком» или при зарывании носом в воду.</w:t>
      </w:r>
    </w:p>
    <w:p w14:paraId="2B4DC438" w14:textId="77777777" w:rsidR="007C5583" w:rsidRPr="008127F8" w:rsidRDefault="007C5583" w:rsidP="007C5583">
      <w:pPr>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Другого мотива для применения стаби</w:t>
      </w:r>
      <w:r w:rsidRPr="008127F8">
        <w:rPr>
          <w:rFonts w:ascii="Times New Roman" w:hAnsi="Times New Roman"/>
          <w:iCs/>
          <w:color w:val="000000" w:themeColor="text1"/>
          <w:sz w:val="16"/>
          <w:szCs w:val="16"/>
        </w:rPr>
        <w:softHyphen/>
        <w:t>лизатора при сбросе торпед у меня не было и не могло быть. Я инженер, и отлично представлял, для чего я применяю стаби</w:t>
      </w:r>
      <w:r w:rsidRPr="008127F8">
        <w:rPr>
          <w:rFonts w:ascii="Times New Roman" w:hAnsi="Times New Roman"/>
          <w:iCs/>
          <w:color w:val="000000" w:themeColor="text1"/>
          <w:sz w:val="16"/>
          <w:szCs w:val="16"/>
        </w:rPr>
        <w:softHyphen/>
        <w:t>лизатор...</w:t>
      </w:r>
    </w:p>
    <w:p w14:paraId="616D71F5" w14:textId="77777777" w:rsidR="007C5583" w:rsidRPr="008127F8" w:rsidRDefault="007C5583" w:rsidP="007C5583">
      <w:pPr>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Сагайдук в авторской формуле только указал, какую роль выполняет стабилиза</w:t>
      </w:r>
      <w:r w:rsidRPr="008127F8">
        <w:rPr>
          <w:rFonts w:ascii="Times New Roman" w:hAnsi="Times New Roman"/>
          <w:iCs/>
          <w:color w:val="000000" w:themeColor="text1"/>
          <w:sz w:val="16"/>
          <w:szCs w:val="16"/>
        </w:rPr>
        <w:softHyphen/>
        <w:t>тор и описал его устройство, ничего ново</w:t>
      </w:r>
      <w:r w:rsidRPr="008127F8">
        <w:rPr>
          <w:rFonts w:ascii="Times New Roman" w:hAnsi="Times New Roman"/>
          <w:iCs/>
          <w:color w:val="000000" w:themeColor="text1"/>
          <w:sz w:val="16"/>
          <w:szCs w:val="16"/>
        </w:rPr>
        <w:softHyphen/>
        <w:t>го в принципе, или в конструкции не при</w:t>
      </w:r>
      <w:r w:rsidRPr="008127F8">
        <w:rPr>
          <w:rFonts w:ascii="Times New Roman" w:hAnsi="Times New Roman"/>
          <w:iCs/>
          <w:color w:val="000000" w:themeColor="text1"/>
          <w:sz w:val="16"/>
          <w:szCs w:val="16"/>
        </w:rPr>
        <w:softHyphen/>
        <w:t>менив.</w:t>
      </w:r>
    </w:p>
    <w:p w14:paraId="3EB9A722" w14:textId="77777777" w:rsidR="007C5583" w:rsidRPr="008127F8" w:rsidRDefault="007C5583" w:rsidP="007C5583">
      <w:pPr>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Прошу Вас пересмотреть законность и обоснованность выдачи авторского свиде</w:t>
      </w:r>
      <w:r w:rsidRPr="008127F8">
        <w:rPr>
          <w:rFonts w:ascii="Times New Roman" w:hAnsi="Times New Roman"/>
          <w:iCs/>
          <w:color w:val="000000" w:themeColor="text1"/>
          <w:sz w:val="16"/>
          <w:szCs w:val="16"/>
        </w:rPr>
        <w:softHyphen/>
        <w:t>тельства тов. Сагайдук, т.к. я считаю, что он незаконно позаимствовал мою идею применения стабилизатора для сброса тор</w:t>
      </w:r>
      <w:r w:rsidRPr="008127F8">
        <w:rPr>
          <w:rFonts w:ascii="Times New Roman" w:hAnsi="Times New Roman"/>
          <w:iCs/>
          <w:color w:val="000000" w:themeColor="text1"/>
          <w:sz w:val="16"/>
          <w:szCs w:val="16"/>
        </w:rPr>
        <w:softHyphen/>
        <w:t>пед и в авторской формуле ничего нового не дал, а описал мою конструкцию и для чего она применяется».</w:t>
      </w:r>
    </w:p>
    <w:p w14:paraId="734DA91A"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noProof/>
          <w:color w:val="000000" w:themeColor="text1"/>
          <w:sz w:val="16"/>
          <w:szCs w:val="16"/>
        </w:rPr>
        <w:t>По имеющейся информации, Кравце- ву удалось отстоять свое изобретение, однако в официальных документах и раз</w:t>
      </w:r>
      <w:r w:rsidRPr="008127F8">
        <w:rPr>
          <w:rFonts w:ascii="Times New Roman" w:hAnsi="Times New Roman"/>
          <w:noProof/>
          <w:color w:val="000000" w:themeColor="text1"/>
          <w:sz w:val="16"/>
          <w:szCs w:val="16"/>
        </w:rPr>
        <w:softHyphen/>
        <w:t>личных изданиях до сих пор авторами данного изобретения называются</w:t>
      </w:r>
      <w:r w:rsidRPr="008127F8">
        <w:rPr>
          <w:rFonts w:ascii="Times New Roman" w:hAnsi="Times New Roman"/>
          <w:iCs/>
          <w:noProof/>
          <w:color w:val="000000" w:themeColor="text1"/>
          <w:sz w:val="16"/>
          <w:szCs w:val="16"/>
        </w:rPr>
        <w:t xml:space="preserve"> «...инже</w:t>
      </w:r>
      <w:r w:rsidRPr="008127F8">
        <w:rPr>
          <w:rFonts w:ascii="Times New Roman" w:hAnsi="Times New Roman"/>
          <w:iCs/>
          <w:noProof/>
          <w:color w:val="000000" w:themeColor="text1"/>
          <w:sz w:val="16"/>
          <w:szCs w:val="16"/>
        </w:rPr>
        <w:softHyphen/>
        <w:t>нер-майор Г. В. Сагайдук при участии ин</w:t>
      </w:r>
      <w:r w:rsidRPr="008127F8">
        <w:rPr>
          <w:rFonts w:ascii="Times New Roman" w:hAnsi="Times New Roman"/>
          <w:iCs/>
          <w:noProof/>
          <w:color w:val="000000" w:themeColor="text1"/>
          <w:sz w:val="16"/>
          <w:szCs w:val="16"/>
        </w:rPr>
        <w:softHyphen/>
        <w:t xml:space="preserve">женеров Комиссарова и Кравцова...», </w:t>
      </w:r>
      <w:r w:rsidRPr="008127F8">
        <w:rPr>
          <w:rFonts w:ascii="Times New Roman" w:hAnsi="Times New Roman"/>
          <w:noProof/>
          <w:color w:val="000000" w:themeColor="text1"/>
          <w:sz w:val="16"/>
          <w:szCs w:val="16"/>
        </w:rPr>
        <w:t xml:space="preserve">где, строго говоря, его фамилии нет до сих пор </w:t>
      </w:r>
      <w:r w:rsidRPr="008127F8">
        <w:rPr>
          <w:rFonts w:ascii="Times New Roman" w:hAnsi="Times New Roman"/>
          <w:color w:val="000000" w:themeColor="text1"/>
          <w:sz w:val="16"/>
          <w:szCs w:val="16"/>
        </w:rPr>
        <w:t>(12061).</w:t>
      </w:r>
    </w:p>
    <w:p w14:paraId="055D3DEA" w14:textId="77777777" w:rsidR="007C5583" w:rsidRPr="008127F8" w:rsidRDefault="007C5583" w:rsidP="007C5583">
      <w:pPr>
        <w:autoSpaceDE w:val="0"/>
        <w:autoSpaceDN w:val="0"/>
        <w:adjustRightInd w:val="0"/>
        <w:spacing w:after="0" w:line="240" w:lineRule="auto"/>
        <w:jc w:val="both"/>
        <w:rPr>
          <w:rFonts w:ascii="Times New Roman" w:hAnsi="Times New Roman"/>
          <w:noProof/>
          <w:color w:val="000000" w:themeColor="text1"/>
          <w:sz w:val="16"/>
          <w:szCs w:val="16"/>
        </w:rPr>
      </w:pPr>
    </w:p>
    <w:p w14:paraId="1216DA10" w14:textId="77777777" w:rsidR="00087420" w:rsidRPr="008A2E5A" w:rsidRDefault="00087420" w:rsidP="000874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мая 1942 г. после испытаний приказом НК ВМФ №0388 деревянный стабилизатор для торпеды, предложенный в августе 1941 инженер-майором Г.В. Сагайдуком при участии инженеров Комисарова и Кравцова, был принят на воору</w:t>
      </w:r>
      <w:r w:rsidRPr="008A2E5A">
        <w:rPr>
          <w:rFonts w:ascii="Times New Roman" w:hAnsi="Times New Roman"/>
          <w:color w:val="0070C0"/>
          <w:sz w:val="16"/>
          <w:szCs w:val="16"/>
        </w:rPr>
        <w:softHyphen/>
        <w:t>жение вместо балки Т-18 с характеристиками: высота полета самолета до 40 м, ско</w:t>
      </w:r>
      <w:r w:rsidRPr="008A2E5A">
        <w:rPr>
          <w:rFonts w:ascii="Times New Roman" w:hAnsi="Times New Roman"/>
          <w:color w:val="0070C0"/>
          <w:sz w:val="16"/>
          <w:szCs w:val="16"/>
        </w:rPr>
        <w:softHyphen/>
        <w:t>рость - до 240-250 км/ч, минимальная глубина моря в точке сбрасывания - 45 м. Впос</w:t>
      </w:r>
      <w:r w:rsidRPr="008A2E5A">
        <w:rPr>
          <w:rFonts w:ascii="Times New Roman" w:hAnsi="Times New Roman"/>
          <w:color w:val="0070C0"/>
          <w:sz w:val="16"/>
          <w:szCs w:val="16"/>
        </w:rPr>
        <w:softHyphen/>
        <w:t>ледствии решением МТУ ВМФ №111637 от 27.03.1943 разрешалось использовать тор</w:t>
      </w:r>
      <w:r w:rsidRPr="008A2E5A">
        <w:rPr>
          <w:rFonts w:ascii="Times New Roman" w:hAnsi="Times New Roman"/>
          <w:color w:val="0070C0"/>
          <w:sz w:val="16"/>
          <w:szCs w:val="16"/>
        </w:rPr>
        <w:softHyphen/>
        <w:t>педы с деревянным стабилизатором при высоте полета самолета в пределах 10-55 м и минимальной глубине 12 м (23464).</w:t>
      </w:r>
    </w:p>
    <w:p w14:paraId="11B84FDD" w14:textId="77777777" w:rsidR="00087420" w:rsidRPr="008A2E5A" w:rsidRDefault="00087420" w:rsidP="00087420">
      <w:pPr>
        <w:spacing w:after="0" w:line="240" w:lineRule="auto"/>
        <w:jc w:val="both"/>
        <w:rPr>
          <w:rFonts w:ascii="Times New Roman" w:hAnsi="Times New Roman"/>
          <w:color w:val="0070C0"/>
          <w:sz w:val="16"/>
          <w:szCs w:val="16"/>
        </w:rPr>
      </w:pPr>
    </w:p>
    <w:p w14:paraId="651CEA0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г. над Керчью состо</w:t>
      </w:r>
      <w:r w:rsidRPr="008127F8">
        <w:rPr>
          <w:rFonts w:ascii="Times New Roman" w:hAnsi="Times New Roman"/>
          <w:color w:val="000000" w:themeColor="text1"/>
          <w:sz w:val="16"/>
          <w:szCs w:val="16"/>
        </w:rPr>
        <w:softHyphen/>
        <w:t>ялся, по-видимому, первый бой «пешек», оснащённых ФТ. Попытавшись атаковать группу советских бомбардировщиков, немцы неожиданно по</w:t>
      </w:r>
      <w:r w:rsidRPr="008127F8">
        <w:rPr>
          <w:rFonts w:ascii="Times New Roman" w:hAnsi="Times New Roman"/>
          <w:color w:val="000000" w:themeColor="text1"/>
          <w:sz w:val="16"/>
          <w:szCs w:val="16"/>
        </w:rPr>
        <w:softHyphen/>
        <w:t>пали под огонь крупнокалиберных пулемё</w:t>
      </w:r>
      <w:r w:rsidRPr="008127F8">
        <w:rPr>
          <w:rFonts w:ascii="Times New Roman" w:hAnsi="Times New Roman"/>
          <w:color w:val="000000" w:themeColor="text1"/>
          <w:sz w:val="16"/>
          <w:szCs w:val="16"/>
        </w:rPr>
        <w:softHyphen/>
        <w:t>тов и потеряли три истребителя.</w:t>
      </w:r>
    </w:p>
    <w:p w14:paraId="214B45A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Ознакомившись с установкой ФТ, началь</w:t>
      </w:r>
      <w:r w:rsidRPr="008127F8">
        <w:rPr>
          <w:rFonts w:ascii="Times New Roman" w:hAnsi="Times New Roman"/>
          <w:color w:val="000000" w:themeColor="text1"/>
          <w:sz w:val="16"/>
          <w:szCs w:val="16"/>
        </w:rPr>
        <w:softHyphen/>
        <w:t>ник НИИ ВВС генерал-лейтенант Петров в числе достоинств особо отмечал неслож</w:t>
      </w:r>
      <w:r w:rsidRPr="008127F8">
        <w:rPr>
          <w:rFonts w:ascii="Times New Roman" w:hAnsi="Times New Roman"/>
          <w:color w:val="000000" w:themeColor="text1"/>
          <w:sz w:val="16"/>
          <w:szCs w:val="16"/>
        </w:rPr>
        <w:softHyphen/>
        <w:t>ность переоборудования Пе-2:</w:t>
      </w:r>
    </w:p>
    <w:p w14:paraId="5FBC884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Пулемёт монтируется на серийном лафете типа лю</w:t>
      </w:r>
      <w:r w:rsidRPr="008127F8">
        <w:rPr>
          <w:rFonts w:ascii="Times New Roman" w:hAnsi="Times New Roman"/>
          <w:color w:val="000000" w:themeColor="text1"/>
          <w:sz w:val="16"/>
          <w:szCs w:val="16"/>
        </w:rPr>
        <w:softHyphen/>
        <w:t>ковой установки. Вся установка подвешива</w:t>
      </w:r>
      <w:r w:rsidRPr="008127F8">
        <w:rPr>
          <w:rFonts w:ascii="Times New Roman" w:hAnsi="Times New Roman"/>
          <w:color w:val="000000" w:themeColor="text1"/>
          <w:sz w:val="16"/>
          <w:szCs w:val="16"/>
        </w:rPr>
        <w:softHyphen/>
        <w:t>ется с помощью осевых болтов на противо-капотажную раму фюзеляжа.</w:t>
      </w:r>
    </w:p>
    <w:p w14:paraId="5EC455B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Откидной фонарь-обтекатель пулемёт</w:t>
      </w:r>
      <w:r w:rsidRPr="008127F8">
        <w:rPr>
          <w:rFonts w:ascii="Times New Roman" w:hAnsi="Times New Roman"/>
          <w:color w:val="000000" w:themeColor="text1"/>
          <w:sz w:val="16"/>
          <w:szCs w:val="16"/>
        </w:rPr>
        <w:softHyphen/>
        <w:t>ной установки ШКАС выбрасывается и вза</w:t>
      </w:r>
      <w:r w:rsidRPr="008127F8">
        <w:rPr>
          <w:rFonts w:ascii="Times New Roman" w:hAnsi="Times New Roman"/>
          <w:color w:val="000000" w:themeColor="text1"/>
          <w:sz w:val="16"/>
          <w:szCs w:val="16"/>
        </w:rPr>
        <w:softHyphen/>
        <w:t>мен его устанавливается капот на бензобак...</w:t>
      </w:r>
    </w:p>
    <w:p w14:paraId="2D1861F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Монтаж установки прост - 4-6 ч силами и средствами строевых частей или выезд</w:t>
      </w:r>
      <w:r w:rsidRPr="008127F8">
        <w:rPr>
          <w:rFonts w:ascii="Times New Roman" w:hAnsi="Times New Roman"/>
          <w:color w:val="000000" w:themeColor="text1"/>
          <w:sz w:val="16"/>
          <w:szCs w:val="16"/>
        </w:rPr>
        <w:softHyphen/>
        <w:t>ной бригадой завода».</w:t>
      </w:r>
    </w:p>
    <w:p w14:paraId="1B72DB1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Тем не менее, руководство наркомата в лице начальника 10 ГУ НКАП полковника Б.Тарасевича внедрение ФТ «встретило в штыки», опасаясь, что нововведение (пусть даже временно) снизит выпуск ма</w:t>
      </w:r>
      <w:r w:rsidRPr="008127F8">
        <w:rPr>
          <w:rFonts w:ascii="Times New Roman" w:hAnsi="Times New Roman"/>
          <w:color w:val="000000" w:themeColor="text1"/>
          <w:sz w:val="16"/>
          <w:szCs w:val="16"/>
        </w:rPr>
        <w:softHyphen/>
        <w:t>шин. Оправдываться за это пришлось бы пе</w:t>
      </w:r>
      <w:r w:rsidRPr="008127F8">
        <w:rPr>
          <w:rFonts w:ascii="Times New Roman" w:hAnsi="Times New Roman"/>
          <w:color w:val="000000" w:themeColor="text1"/>
          <w:sz w:val="16"/>
          <w:szCs w:val="16"/>
        </w:rPr>
        <w:softHyphen/>
        <w:t>ред ГКО и лично перед И.В.Сталиным, еже</w:t>
      </w:r>
      <w:r w:rsidRPr="008127F8">
        <w:rPr>
          <w:rFonts w:ascii="Times New Roman" w:hAnsi="Times New Roman"/>
          <w:color w:val="000000" w:themeColor="text1"/>
          <w:sz w:val="16"/>
          <w:szCs w:val="16"/>
        </w:rPr>
        <w:softHyphen/>
        <w:t>дневно просматривавшим сводки сдачи бое</w:t>
      </w:r>
      <w:r w:rsidRPr="008127F8">
        <w:rPr>
          <w:rFonts w:ascii="Times New Roman" w:hAnsi="Times New Roman"/>
          <w:color w:val="000000" w:themeColor="text1"/>
          <w:sz w:val="16"/>
          <w:szCs w:val="16"/>
        </w:rPr>
        <w:softHyphen/>
        <w:t>вых самолётов. Припомнив, что ФТ не прохо</w:t>
      </w:r>
      <w:r w:rsidRPr="008127F8">
        <w:rPr>
          <w:rFonts w:ascii="Times New Roman" w:hAnsi="Times New Roman"/>
          <w:color w:val="000000" w:themeColor="text1"/>
          <w:sz w:val="16"/>
          <w:szCs w:val="16"/>
        </w:rPr>
        <w:softHyphen/>
        <w:t>дила госиспытаний и официально не приня</w:t>
      </w:r>
      <w:r w:rsidRPr="008127F8">
        <w:rPr>
          <w:rFonts w:ascii="Times New Roman" w:hAnsi="Times New Roman"/>
          <w:color w:val="000000" w:themeColor="text1"/>
          <w:sz w:val="16"/>
          <w:szCs w:val="16"/>
        </w:rPr>
        <w:softHyphen/>
        <w:t>та на вооружение, Тарасевич потребовал «прекратить самодеятельность», пригрозив «вредителям» отправкой на лесоповал. Во</w:t>
      </w:r>
      <w:r w:rsidRPr="008127F8">
        <w:rPr>
          <w:rFonts w:ascii="Times New Roman" w:hAnsi="Times New Roman"/>
          <w:color w:val="000000" w:themeColor="text1"/>
          <w:sz w:val="16"/>
          <w:szCs w:val="16"/>
        </w:rPr>
        <w:softHyphen/>
        <w:t xml:space="preserve">прос пришлось решать в ЦК ВКП(б), после чего завод №22 выпустил сотни Пе-2 в этом </w:t>
      </w:r>
      <w:r w:rsidRPr="008127F8">
        <w:rPr>
          <w:rFonts w:ascii="Times New Roman" w:hAnsi="Times New Roman"/>
          <w:color w:val="000000" w:themeColor="text1"/>
          <w:sz w:val="16"/>
          <w:szCs w:val="16"/>
        </w:rPr>
        <w:lastRenderedPageBreak/>
        <w:t>варианте (с 11-го самолёта 83-й серии по 109-ю включительно). Ещё около тысячи ус</w:t>
      </w:r>
      <w:r w:rsidRPr="008127F8">
        <w:rPr>
          <w:rFonts w:ascii="Times New Roman" w:hAnsi="Times New Roman"/>
          <w:color w:val="000000" w:themeColor="text1"/>
          <w:sz w:val="16"/>
          <w:szCs w:val="16"/>
        </w:rPr>
        <w:softHyphen/>
        <w:t>тановок ФТ изготовили «россыпью» и разо</w:t>
      </w:r>
      <w:r w:rsidRPr="008127F8">
        <w:rPr>
          <w:rFonts w:ascii="Times New Roman" w:hAnsi="Times New Roman"/>
          <w:color w:val="000000" w:themeColor="text1"/>
          <w:sz w:val="16"/>
          <w:szCs w:val="16"/>
        </w:rPr>
        <w:softHyphen/>
        <w:t>слали в полки, где техники совместно с за</w:t>
      </w:r>
      <w:r w:rsidRPr="008127F8">
        <w:rPr>
          <w:rFonts w:ascii="Times New Roman" w:hAnsi="Times New Roman"/>
          <w:color w:val="000000" w:themeColor="text1"/>
          <w:sz w:val="16"/>
          <w:szCs w:val="16"/>
        </w:rPr>
        <w:softHyphen/>
        <w:t>водскими выездными бригадами доработа</w:t>
      </w:r>
      <w:r w:rsidRPr="008127F8">
        <w:rPr>
          <w:rFonts w:ascii="Times New Roman" w:hAnsi="Times New Roman"/>
          <w:color w:val="000000" w:themeColor="text1"/>
          <w:sz w:val="16"/>
          <w:szCs w:val="16"/>
        </w:rPr>
        <w:softHyphen/>
        <w:t>ли «пешки» по бюллетеню №11-12 1942 г. (11392).</w:t>
      </w:r>
    </w:p>
    <w:p w14:paraId="204C724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C7DA1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Дир. завода 21 Гостинцев и ГК С.А.Л. писали письмо в НКАП А.И.Ш.:</w:t>
      </w:r>
    </w:p>
    <w:p w14:paraId="210774B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 испытания ЛаГГ-3 с М-82, проводимые в НИИ ВВС и ЛИИ НКАП на заводе 21, закончены.</w:t>
      </w:r>
    </w:p>
    <w:p w14:paraId="36152C5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испытаниях показаны следующие основные данные:</w:t>
      </w:r>
    </w:p>
    <w:p w14:paraId="655368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Макс. скор. у земли - 515 км/час</w:t>
      </w:r>
    </w:p>
    <w:p w14:paraId="4BD97DA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Макс. скор. на форс. на 700 м - 560 км/час</w:t>
      </w:r>
    </w:p>
    <w:p w14:paraId="71B747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Макс. скор. на 6450 - 600 км/час</w:t>
      </w:r>
    </w:p>
    <w:p w14:paraId="1F3F5B7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Время набора 5000 м - 6 мин. на ном. и 5.2 мин. на форсаже...</w:t>
      </w:r>
    </w:p>
    <w:p w14:paraId="5CA577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ЛаГГ-3 с М-82 представляет собой серийный ЛаГГ-3 с измененной ВМГ</w:t>
      </w:r>
    </w:p>
    <w:p w14:paraId="52DE4A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Испытанный самолет имеет некоторые дефекты, которые легко устранимы в серии.</w:t>
      </w:r>
    </w:p>
    <w:p w14:paraId="34DD94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Проводившие испытания считают необходимым принять на вооружение ВВС КА ЛаГГ-3 с М-82 и 2хпушки." (1686,260).</w:t>
      </w:r>
    </w:p>
    <w:p w14:paraId="339F7731"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p>
    <w:p w14:paraId="07AC618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мая в 1942 году пилот лейтенант Якимов в рамках совместных государственных испытаний поднял </w:t>
      </w:r>
      <w:hyperlink r:id="rId12" w:tgtFrame="_blank" w:history="1">
        <w:r w:rsidRPr="008127F8">
          <w:rPr>
            <w:rFonts w:ascii="Times New Roman" w:hAnsi="Times New Roman"/>
            <w:color w:val="000000" w:themeColor="text1"/>
            <w:sz w:val="16"/>
            <w:szCs w:val="16"/>
          </w:rPr>
          <w:t xml:space="preserve">«ЛаГГ-3» с «М-82» («ЛаГГ-5», «Ла-5») </w:t>
        </w:r>
      </w:hyperlink>
      <w:r w:rsidRPr="008127F8">
        <w:rPr>
          <w:rFonts w:ascii="Times New Roman" w:hAnsi="Times New Roman"/>
          <w:color w:val="000000" w:themeColor="text1"/>
          <w:sz w:val="16"/>
          <w:szCs w:val="16"/>
        </w:rPr>
        <w:t>в воздух и вернулся обратно через 1 час 41 минуту. Чтобы не рисковать лишний раз, летали в сторону Казани, над ровной местностью на случай вынужденной посадки (14882).</w:t>
      </w:r>
    </w:p>
    <w:p w14:paraId="7B27346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A11B5D3"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К 5 мая 1942 г. была завершена про</w:t>
      </w:r>
      <w:r w:rsidRPr="008127F8">
        <w:rPr>
          <w:rFonts w:ascii="Times New Roman" w:cs="Times New Roman"/>
          <w:color w:val="000000" w:themeColor="text1"/>
          <w:spacing w:val="0"/>
        </w:rPr>
        <w:softHyphen/>
        <w:t>грамма первого этапа совместных за</w:t>
      </w:r>
      <w:r w:rsidRPr="008127F8">
        <w:rPr>
          <w:rFonts w:ascii="Times New Roman" w:cs="Times New Roman"/>
          <w:color w:val="000000" w:themeColor="text1"/>
          <w:spacing w:val="0"/>
        </w:rPr>
        <w:softHyphen/>
        <w:t>водских испытаний ТИС. Со слов сотрудни</w:t>
      </w:r>
      <w:r w:rsidRPr="008127F8">
        <w:rPr>
          <w:rFonts w:ascii="Times New Roman" w:cs="Times New Roman"/>
          <w:color w:val="000000" w:themeColor="text1"/>
          <w:spacing w:val="0"/>
        </w:rPr>
        <w:softHyphen/>
        <w:t>ков ОКБ Поликарпова, ЛИИ НКАП был настроен «угробить машину».</w:t>
      </w:r>
    </w:p>
    <w:p w14:paraId="04791CDF"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Полученные летные данные на ма</w:t>
      </w:r>
      <w:r w:rsidRPr="008127F8">
        <w:rPr>
          <w:rFonts w:ascii="Times New Roman" w:cs="Times New Roman"/>
          <w:color w:val="000000" w:themeColor="text1"/>
          <w:spacing w:val="0"/>
        </w:rPr>
        <w:softHyphen/>
        <w:t>лых высотах «весьма близко подходили к расчетным значениям». Так, фактиче</w:t>
      </w:r>
      <w:r w:rsidRPr="008127F8">
        <w:rPr>
          <w:rFonts w:ascii="Times New Roman" w:cs="Times New Roman"/>
          <w:color w:val="000000" w:themeColor="text1"/>
          <w:spacing w:val="0"/>
        </w:rPr>
        <w:softHyphen/>
        <w:t>ски замеренная в полете максимальная скорость у земли составила 490 км/ч (на высоте 450 м), а по расчету должна была быть 527 км/ч. Набольших высотах кар</w:t>
      </w:r>
      <w:r w:rsidRPr="008127F8">
        <w:rPr>
          <w:rFonts w:ascii="Times New Roman" w:cs="Times New Roman"/>
          <w:color w:val="000000" w:themeColor="text1"/>
          <w:spacing w:val="0"/>
        </w:rPr>
        <w:softHyphen/>
        <w:t>тина была хуже. Вместо 652 км/ч на вы</w:t>
      </w:r>
      <w:r w:rsidRPr="008127F8">
        <w:rPr>
          <w:rFonts w:ascii="Times New Roman" w:cs="Times New Roman"/>
          <w:color w:val="000000" w:themeColor="text1"/>
          <w:spacing w:val="0"/>
        </w:rPr>
        <w:softHyphen/>
        <w:t>соте 7400 м получили только 575 км/ч.</w:t>
      </w:r>
    </w:p>
    <w:p w14:paraId="355559D9"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Но главное, это ненадежная рабо</w:t>
      </w:r>
      <w:r w:rsidRPr="008127F8">
        <w:rPr>
          <w:rFonts w:ascii="Times New Roman" w:cs="Times New Roman"/>
          <w:color w:val="000000" w:themeColor="text1"/>
          <w:spacing w:val="0"/>
        </w:rPr>
        <w:softHyphen/>
        <w:t>та моторов (15755).</w:t>
      </w:r>
    </w:p>
    <w:p w14:paraId="2664B492"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p>
    <w:p w14:paraId="00701D9C"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К 5 мая 1942 г. была завершена программа первого этапа совместных заводских испытаний ТИС. Со слов сотрудников ОКБ Поликарпова, ЛИИ НКАП был настроен «угробить машину».</w:t>
      </w:r>
    </w:p>
    <w:p w14:paraId="682C919B"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Полученные летные данные на малых высотах «весьма близко подходили к расчетным значени</w:t>
      </w:r>
      <w:r w:rsidRPr="008127F8">
        <w:rPr>
          <w:color w:val="000000" w:themeColor="text1"/>
          <w:sz w:val="16"/>
          <w:szCs w:val="16"/>
        </w:rPr>
        <w:softHyphen/>
        <w:t>ям». Так, фактически замеренная в полете мак</w:t>
      </w:r>
      <w:r w:rsidRPr="008127F8">
        <w:rPr>
          <w:color w:val="000000" w:themeColor="text1"/>
          <w:sz w:val="16"/>
          <w:szCs w:val="16"/>
        </w:rPr>
        <w:softHyphen/>
        <w:t>симальная скорость у земли составила 490 км/ч (на высоте 450 м), а по расчетам должна была быть 527 км/ч. На больших высотах картина была хуже. Вместо 652 км/ч на высоте 7400 м получили только 575 км/ч.</w:t>
      </w:r>
    </w:p>
    <w:p w14:paraId="10DAE066"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Но главное — это ненадежная работа мото</w:t>
      </w:r>
      <w:r w:rsidRPr="008127F8">
        <w:rPr>
          <w:color w:val="000000" w:themeColor="text1"/>
          <w:sz w:val="16"/>
          <w:szCs w:val="16"/>
        </w:rPr>
        <w:softHyphen/>
        <w:t>ров. Из-за отсутствия летных экземпляров мотора АМ-37 самолет ТИС (2А) в начале июня был закон</w:t>
      </w:r>
      <w:r w:rsidRPr="008127F8">
        <w:rPr>
          <w:color w:val="000000" w:themeColor="text1"/>
          <w:sz w:val="16"/>
          <w:szCs w:val="16"/>
        </w:rPr>
        <w:softHyphen/>
        <w:t>сервирован. Работы по доводке машины по переч</w:t>
      </w:r>
      <w:r w:rsidRPr="008127F8">
        <w:rPr>
          <w:color w:val="000000" w:themeColor="text1"/>
          <w:sz w:val="16"/>
          <w:szCs w:val="16"/>
        </w:rPr>
        <w:softHyphen/>
        <w:t>ню недостатков и дефектов, согласно отчету ЛИИ НКАП, начались только в августе.</w:t>
      </w:r>
    </w:p>
    <w:p w14:paraId="37DF5603"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Для улучшения устойчивости на самолет были установлены новое вертикальное и горизонтальное оперение с увеличенной площадью и уменьшено (с 7° до 4°) поперечное «V» консолей крыла. Изме</w:t>
      </w:r>
      <w:r w:rsidRPr="008127F8">
        <w:rPr>
          <w:color w:val="000000" w:themeColor="text1"/>
          <w:sz w:val="16"/>
          <w:szCs w:val="16"/>
        </w:rPr>
        <w:softHyphen/>
        <w:t>нили угол установки стабилизатора с 0° до —1°30', что увеличило запас рулей на посадке. Переделали механизм управления створками шасси, улучшили обводы фонаря стрелка-радиста, изменили фор</w:t>
      </w:r>
      <w:r w:rsidRPr="008127F8">
        <w:rPr>
          <w:color w:val="000000" w:themeColor="text1"/>
          <w:sz w:val="16"/>
          <w:szCs w:val="16"/>
        </w:rPr>
        <w:softHyphen/>
        <w:t>му тоннелей маслорадиаторов. Были выполнены и другие менее значительные доработки само</w:t>
      </w:r>
      <w:r w:rsidRPr="008127F8">
        <w:rPr>
          <w:color w:val="000000" w:themeColor="text1"/>
          <w:sz w:val="16"/>
          <w:szCs w:val="16"/>
        </w:rPr>
        <w:softHyphen/>
        <w:t>лета (17500).</w:t>
      </w:r>
    </w:p>
    <w:p w14:paraId="0DF38A55"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530E9F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члены Госкомиссии по Би-1 беседовали с конструкторами и ли (172,185).</w:t>
      </w:r>
    </w:p>
    <w:p w14:paraId="72FD08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4060A0"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5 мая 1942 в «ЦК ВКП(б) тов. Маленкову» ушло письмо вновь назначенного главного инженера ВВС КА дивинженера А. К. Репина.</w:t>
      </w:r>
    </w:p>
    <w:p w14:paraId="70C7C20C"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нем отмечалось, что для действий по всем типам воздушных целей и большинству наземных целей (за исключением тяжелой бронетехники) вы</w:t>
      </w:r>
      <w:r w:rsidRPr="008127F8">
        <w:rPr>
          <w:color w:val="000000" w:themeColor="text1"/>
          <w:sz w:val="16"/>
          <w:szCs w:val="16"/>
        </w:rPr>
        <w:softHyphen/>
        <w:t>сокую боевую эффективность показывает пушка ВЯ, имея при этом лучшую весовую эффективность по сравнению с 37-мм пушкой Ш-37. «Калибр 37 мм чрезмерно велик для поражения современных са</w:t>
      </w:r>
      <w:r w:rsidRPr="008127F8">
        <w:rPr>
          <w:color w:val="000000" w:themeColor="text1"/>
          <w:sz w:val="16"/>
          <w:szCs w:val="16"/>
        </w:rPr>
        <w:softHyphen/>
        <w:t>молетов, увеличение же калибра всегда связано с падением темпа стрельбы и увеличением веса си</w:t>
      </w:r>
      <w:r w:rsidRPr="008127F8">
        <w:rPr>
          <w:color w:val="000000" w:themeColor="text1"/>
          <w:sz w:val="16"/>
          <w:szCs w:val="16"/>
        </w:rPr>
        <w:softHyphen/>
        <w:t>стемы», — указывал Репин Простейшие расчеты показывают, что из-за малого темпа стрельбы 37-мм пушки огонь по са</w:t>
      </w:r>
      <w:r w:rsidRPr="008127F8">
        <w:rPr>
          <w:color w:val="000000" w:themeColor="text1"/>
          <w:sz w:val="16"/>
          <w:szCs w:val="16"/>
        </w:rPr>
        <w:softHyphen/>
        <w:t>молету, «находящемуся в ракурсе, дает ничтожные шансы на попадание, так как самолет будет проска</w:t>
      </w:r>
      <w:r w:rsidRPr="008127F8">
        <w:rPr>
          <w:color w:val="000000" w:themeColor="text1"/>
          <w:sz w:val="16"/>
          <w:szCs w:val="16"/>
        </w:rPr>
        <w:softHyphen/>
        <w:t>кивать между двумя последовательными снаряда</w:t>
      </w:r>
      <w:r w:rsidRPr="008127F8">
        <w:rPr>
          <w:color w:val="000000" w:themeColor="text1"/>
          <w:sz w:val="16"/>
          <w:szCs w:val="16"/>
        </w:rPr>
        <w:softHyphen/>
        <w:t>ми». Так, при стрельбе под ракурсом 4/4 за время между двумя выстрелами пушки Ш-37 (0,3 с) само</w:t>
      </w:r>
      <w:r w:rsidRPr="008127F8">
        <w:rPr>
          <w:color w:val="000000" w:themeColor="text1"/>
          <w:sz w:val="16"/>
          <w:szCs w:val="16"/>
        </w:rPr>
        <w:softHyphen/>
        <w:t>лет пролетит 48—50 м, то есть в 2,5—3 раза больше своей длины. Поэтому рассчитывать на попадание в самолет можно только на встречных или догон- ных (почти строго в хвост) курсах. Между тем «при высокой маневренности современных самолетов занять встречное или преследующее положение и сохранить его на время, нужное для прицелива</w:t>
      </w:r>
      <w:r w:rsidRPr="008127F8">
        <w:rPr>
          <w:color w:val="000000" w:themeColor="text1"/>
          <w:sz w:val="16"/>
          <w:szCs w:val="16"/>
        </w:rPr>
        <w:softHyphen/>
        <w:t>ния и стрельбы, будет крайне трудно». При всем этом вес артсистемы (вес пушки, пушечной уста</w:t>
      </w:r>
      <w:r w:rsidRPr="008127F8">
        <w:rPr>
          <w:color w:val="000000" w:themeColor="text1"/>
          <w:sz w:val="16"/>
          <w:szCs w:val="16"/>
        </w:rPr>
        <w:softHyphen/>
        <w:t>новки и боезапаса) калибра 37 мм при установке на ЛаГГ-3 достигает 243,4 кг, а «универсального» калибра 23 мм — всего 130 кг. То есть «для воздуш</w:t>
      </w:r>
      <w:r w:rsidRPr="008127F8">
        <w:rPr>
          <w:color w:val="000000" w:themeColor="text1"/>
          <w:sz w:val="16"/>
          <w:szCs w:val="16"/>
        </w:rPr>
        <w:softHyphen/>
        <w:t>ного боя пушка 37 мм уступает пушке 23 мм как по вероятности попадания, так и по весу».</w:t>
      </w:r>
    </w:p>
    <w:p w14:paraId="3A6C442A"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Что касается действий по наземным целям, то в связи с ожидаемым в ближайшее время появ</w:t>
      </w:r>
      <w:r w:rsidRPr="008127F8">
        <w:rPr>
          <w:color w:val="000000" w:themeColor="text1"/>
          <w:sz w:val="16"/>
          <w:szCs w:val="16"/>
        </w:rPr>
        <w:softHyphen/>
        <w:t>лением на фронте немецких танков с усиленным бронированием («в виде ответа на наши танки КВ») предлагалось вооружать противотанковые само</w:t>
      </w:r>
      <w:r w:rsidRPr="008127F8">
        <w:rPr>
          <w:color w:val="000000" w:themeColor="text1"/>
          <w:sz w:val="16"/>
          <w:szCs w:val="16"/>
        </w:rPr>
        <w:softHyphen/>
        <w:t>леты 2 калибрами — 23 и 37 мм. Предполагалось, что основная масса «истребителей» танков будет иметь пушки ВЯ (для действий по легкой и средней бронетехнике) и лишь часть из них (для действий по тяжелой бронетехнике) — пушки «танкового» калибра 37 мм.</w:t>
      </w:r>
    </w:p>
    <w:p w14:paraId="667FD832"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заключение пушка ВЯ в моторном варианте рекомендовалась для установки на самолеты-ис</w:t>
      </w:r>
      <w:r w:rsidRPr="008127F8">
        <w:rPr>
          <w:color w:val="000000" w:themeColor="text1"/>
          <w:sz w:val="16"/>
          <w:szCs w:val="16"/>
        </w:rPr>
        <w:softHyphen/>
        <w:t>требители. При этом «в целях скорейшей проверки эффективности боевого применения истребителей с пушкой ВЯ» считалось необходимым «обязать НКАП вооружить пушками ВЯ один полк — 20 са</w:t>
      </w:r>
      <w:r w:rsidRPr="008127F8">
        <w:rPr>
          <w:color w:val="000000" w:themeColor="text1"/>
          <w:sz w:val="16"/>
          <w:szCs w:val="16"/>
        </w:rPr>
        <w:softHyphen/>
        <w:t>молетов ЛаГГ-3 и один полк — 20 самолетов Як-7».</w:t>
      </w:r>
    </w:p>
    <w:p w14:paraId="5195E74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следует из документов, инициатива Волко</w:t>
      </w:r>
      <w:r w:rsidRPr="008127F8">
        <w:rPr>
          <w:rFonts w:ascii="Times New Roman" w:hAnsi="Times New Roman"/>
          <w:color w:val="000000" w:themeColor="text1"/>
          <w:sz w:val="16"/>
          <w:szCs w:val="16"/>
        </w:rPr>
        <w:softHyphen/>
        <w:t>ва и Ярцева и предложение ВВС развития не име</w:t>
      </w:r>
      <w:r w:rsidRPr="008127F8">
        <w:rPr>
          <w:rFonts w:ascii="Times New Roman" w:hAnsi="Times New Roman"/>
          <w:color w:val="000000" w:themeColor="text1"/>
          <w:sz w:val="16"/>
          <w:szCs w:val="16"/>
        </w:rPr>
        <w:softHyphen/>
        <w:t>ли. Не без «помощи» Шпитального конструкторам рекомендовали уменьшить вес и усилие отдачи пушки ВЯ, а военным — дождаться появления об</w:t>
      </w:r>
      <w:r w:rsidRPr="008127F8">
        <w:rPr>
          <w:rFonts w:ascii="Times New Roman" w:hAnsi="Times New Roman"/>
          <w:color w:val="000000" w:themeColor="text1"/>
          <w:sz w:val="16"/>
          <w:szCs w:val="16"/>
        </w:rPr>
        <w:softHyphen/>
        <w:t>новленной версии автомата. Никаких шагов по по</w:t>
      </w:r>
      <w:r w:rsidRPr="008127F8">
        <w:rPr>
          <w:rFonts w:ascii="Times New Roman" w:hAnsi="Times New Roman"/>
          <w:color w:val="000000" w:themeColor="text1"/>
          <w:sz w:val="16"/>
          <w:szCs w:val="16"/>
        </w:rPr>
        <w:softHyphen/>
        <w:t>стройке истребителей ЛаГГ-3 и Як-7 с пушкой ВЯ не предпринималось (17500).</w:t>
      </w:r>
    </w:p>
    <w:p w14:paraId="7ED77FD0"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C4F3E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772382A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592A4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5 мая по 15 июня 1942 года были проведены сравнительные полигонно-войсковые испытания 203-мм корпусных гаубиц У-3 и БЛ-39. Из У-3 сделан 381 выстрел. Производилась возка за трактором "Ворошиловец" со скоростью 2040 км/час. Выводы комиссии по результатам испытаний:</w:t>
      </w:r>
    </w:p>
    <w:p w14:paraId="7FB789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203-мм гаубица У-3 полигонно-войсковых испытаний не выдержала, основные недостатки системы:</w:t>
      </w:r>
    </w:p>
    <w:p w14:paraId="3F3558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Неудовлетворительная работа тормоза отката при угле возвышения +45. Откат удлиненный 1340 мм вместо 88040 мм по расчетным данным. В результате возможен удар казенной части о грунт.</w:t>
      </w:r>
    </w:p>
    <w:p w14:paraId="7C82738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Недостаточная прочность подъемного механизма.</w:t>
      </w:r>
    </w:p>
    <w:p w14:paraId="3395F8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Тем не менее комиссия отметила:</w:t>
      </w:r>
    </w:p>
    <w:p w14:paraId="1B6467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У-3 по конструкции проще гаубицы БЛ-39 и представлена на испытания в значительно более доработанном виде.</w:t>
      </w:r>
    </w:p>
    <w:p w14:paraId="75EA95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У-3 по огневым и тактическим характеристикам имеет преимущество перед БЛ-39.</w:t>
      </w:r>
    </w:p>
    <w:p w14:paraId="436772F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Комиссия рекомендовала доработать У-3. Тем не менее на вооружение У-3 не поступила.</w:t>
      </w:r>
    </w:p>
    <w:p w14:paraId="72B3650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гаубицы У-3 использовались все штатные снаряды от Б-4. (3861).</w:t>
      </w:r>
    </w:p>
    <w:p w14:paraId="673850F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877BE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5 мая по 15 июня 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на Гороховецком полигоне были проведены сравнительные полигонно-войсковые испытания 203-мм корпусных гаубиц БЛ-39 и У-3. Из БЛ-39 было сделано 395 выстрелов. Возка велась за трактором «Ворошиловец» со скоростью 20–0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км/час.</w:t>
      </w:r>
    </w:p>
    <w:p w14:paraId="46AA55F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Выводы комиссии по результатам испытаний: 203-мм гаубица БЛ-39 полигонно-войсковых испытаний не выдержала.</w:t>
      </w:r>
    </w:p>
    <w:p w14:paraId="0FB1C6E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недостатки системы:</w:t>
      </w:r>
    </w:p>
    <w:p w14:paraId="3228F07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Гаубица слишком тяжела для корпусной артиллерии</w:t>
      </w:r>
    </w:p>
    <w:p w14:paraId="679D45C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Сложность конструкции ходовых частей и недостаточная проходимость системы.</w:t>
      </w:r>
    </w:p>
    <w:p w14:paraId="178A4FD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Неудовлетворительная конструкция ходовой части.</w:t>
      </w:r>
    </w:p>
    <w:p w14:paraId="3024AFB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Неудовлетворительная конструкция тормоза отката, который в процессе испытаний вышел из строя.</w:t>
      </w:r>
    </w:p>
    <w:p w14:paraId="0A75A81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Недостаточная прочность деталей подъемного механизма. По мнению комиссии, доработка БЛ-39 нецелесообразна.</w:t>
      </w:r>
    </w:p>
    <w:p w14:paraId="5EBE656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гаубиц БЛ-39 использовались все штатные снаряды от гаубицы Б-4. При весе снаряда 100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начальная скорость составляла 475</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м/с, дальность 14</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000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 давление в канале ствола 2253</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кг/см2. При весе снаряда 146</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начальная скорость составляла 355</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м/с, а дальность 10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500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w:t>
      </w:r>
    </w:p>
    <w:p w14:paraId="4945F61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Данные гаубицы БЛ-39 </w:t>
      </w:r>
    </w:p>
    <w:p w14:paraId="1BFEB4F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Калибр, мм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203,4</w:t>
      </w:r>
    </w:p>
    <w:p w14:paraId="1571FF3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ствола без дульного тормоза, клб</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18,4</w:t>
      </w:r>
    </w:p>
    <w:p w14:paraId="5158A86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ствола</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Свободная труба</w:t>
      </w:r>
    </w:p>
    <w:p w14:paraId="5140BBC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нарезной части канала, мм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2970</w:t>
      </w:r>
    </w:p>
    <w:p w14:paraId="3B7084A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Объем каморы, дм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13,69</w:t>
      </w:r>
    </w:p>
    <w:p w14:paraId="669DDFD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Крутизна нарезов, клб</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20</w:t>
      </w:r>
    </w:p>
    <w:p w14:paraId="51A05D5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Число нарезов</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64</w:t>
      </w:r>
    </w:p>
    <w:p w14:paraId="102AD67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Глубина нарезов, мм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2,0</w:t>
      </w:r>
    </w:p>
    <w:p w14:paraId="567140C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Ширина нарезов, мм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6,0</w:t>
      </w:r>
    </w:p>
    <w:p w14:paraId="51CE238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Ширина полей, мм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3,974</w:t>
      </w:r>
    </w:p>
    <w:p w14:paraId="6C36A03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Угол ВН, град</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0;+75</w:t>
      </w:r>
    </w:p>
    <w:p w14:paraId="06ADC04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Угол ГН, град</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50</w:t>
      </w:r>
    </w:p>
    <w:p w14:paraId="52B5B97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отката, мм: длинного от 0° до +12°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1250 (постоянный)</w:t>
      </w:r>
    </w:p>
    <w:p w14:paraId="2098A5A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Высота линии огня, мм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143!</w:t>
      </w:r>
    </w:p>
    <w:p w14:paraId="1B17E3F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Высота окуляра панорамы, мм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1574</w:t>
      </w:r>
    </w:p>
    <w:p w14:paraId="7E905A1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гаубицы при раздвинутых станинах при угле 0°, мм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7310</w:t>
      </w:r>
    </w:p>
    <w:p w14:paraId="02DCC70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Ширина системы по оси хода, мм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2452</w:t>
      </w:r>
    </w:p>
    <w:p w14:paraId="6ACCF51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Ширина хода, мм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1900</w:t>
      </w:r>
    </w:p>
    <w:p w14:paraId="53E37C7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Клиренс, мм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351</w:t>
      </w:r>
    </w:p>
    <w:p w14:paraId="592B2E4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Диаметр колеса, мм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1104</w:t>
      </w:r>
    </w:p>
    <w:p w14:paraId="689C6C4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откатных частей</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2800</w:t>
      </w:r>
    </w:p>
    <w:p w14:paraId="53F3E3D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системы, кг: в боевом положении</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8250</w:t>
      </w:r>
    </w:p>
    <w:p w14:paraId="4E78CAC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походном положении</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9250</w:t>
      </w:r>
    </w:p>
    <w:p w14:paraId="0B092BE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Скорость возки трактором «Коммунар» (расчетная), км/час</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40</w:t>
      </w:r>
    </w:p>
    <w:p w14:paraId="79E652C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152-мм пушка БЛ-7 была спроектирована в ОКБ-172 в начале 1944</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Первоначальный индекс системы ОБМ-43. БЛ-7 представляла собой наложение измененного ствола Бр-2 на модернизированный лафет МЛ-20.</w:t>
      </w:r>
    </w:p>
    <w:p w14:paraId="14025A9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Пушка имела ствол с дульным тормозом активного действия (60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и поршневой затвор.</w:t>
      </w:r>
    </w:p>
    <w:p w14:paraId="3958F7B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172 закончил опытный образец пушки к ноябрю 1944</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Полигонные испытания системы были завершены в апреле 1945</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На вооружение БЛ-7 не поступала.</w:t>
      </w:r>
    </w:p>
    <w:p w14:paraId="25230FA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Данные пушки БЛ-7 </w:t>
      </w:r>
    </w:p>
    <w:p w14:paraId="4D1D398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Калибр, мм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152,4</w:t>
      </w:r>
    </w:p>
    <w:p w14:paraId="753526D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ствола, клб</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47,5</w:t>
      </w:r>
    </w:p>
    <w:p w14:paraId="1320F44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Угол ВН, град</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−2; +50</w:t>
      </w:r>
    </w:p>
    <w:p w14:paraId="72483BB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Угол ГН, град</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±29</w:t>
      </w:r>
    </w:p>
    <w:p w14:paraId="5827688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системы в боевом положении, кг</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7880</w:t>
      </w:r>
    </w:p>
    <w:p w14:paraId="7AE1812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Скорострельность, выстр/мин</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5</w:t>
      </w:r>
    </w:p>
    <w:p w14:paraId="38253A1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Дульная энергия, тм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1715</w:t>
      </w:r>
    </w:p>
    <w:p w14:paraId="07318A4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Снаряд весом 43,5</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при начальной скорости 880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м/с имел дальность 25</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700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w:t>
      </w:r>
    </w:p>
    <w:p w14:paraId="1293639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ОКБ-172 провело модернизацию 152-мм гаубицы-пушки МЛ-20, получившую индекс БЛ-29. В частности, в новом орудии был применен литой казенник и клиновой затвор. Был изготовлен и испытан опытный образец (12705).</w:t>
      </w:r>
    </w:p>
    <w:p w14:paraId="3B5FA95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FF0252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вышло Постановление ГКО № 1699 О строительстве шоссе на Дальнем Востоке. (7033, 25).</w:t>
      </w:r>
    </w:p>
    <w:p w14:paraId="1ACE2C0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7AC5E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вышло Постановление ГКО № 1700 Об организации в Москве производства войсковых радиостанций, телеграфных аппаратов Бодо и автоматики Бодо. (7033, 26).</w:t>
      </w:r>
    </w:p>
    <w:p w14:paraId="6B06265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F9130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г. вышло Постановление ГКО № 1701 «О производстве и поставках основных химических продуктов и средств противохимической защиты в мае месяце 1942 г.» (Д. 57. Л. 112–128, 130).</w:t>
      </w:r>
    </w:p>
    <w:p w14:paraId="1F5C858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7C7C6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вышло Постановление ГКО № 1705 Об увеличении производства 120 мм мин в мае месяце 1942 года. РГАНИР, Фонд ГКО, д. 33, лл. 51-57, 58-76 (11012).</w:t>
      </w:r>
    </w:p>
    <w:p w14:paraId="31BCE01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ECE0E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вышло Постановление ГКО № 1706 О т.т. Данилове А.В. и Алиеве А.М. (назначение)РГАНИР, Фонд ГКО, д. 33, лл. 77 (11012).</w:t>
      </w:r>
    </w:p>
    <w:p w14:paraId="5B7D4A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4C0FC6" w14:textId="77777777" w:rsidR="00087420" w:rsidRPr="008A2E5A" w:rsidRDefault="00087420" w:rsidP="000874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мая 1942 г. Из отчета 5-го Главного управления Наркомата судостроительной промышленности СССР об основной деятельности центральных конструкторских бюро за 1941 г. — «X. Особые условия работы ЦКБ в 1941 г.»</w:t>
      </w:r>
    </w:p>
    <w:p w14:paraId="4C060AFA" w14:textId="77777777" w:rsidR="00087420" w:rsidRPr="008A2E5A" w:rsidRDefault="00087420" w:rsidP="000874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1EDFEFD0" w14:textId="77777777" w:rsidR="00087420" w:rsidRPr="008A2E5A" w:rsidRDefault="00087420" w:rsidP="000874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началом военных действий условия работы ЦКБ в 1941 г. резко изменились. В соответствии с постановлением ГОКО Союза ССР № 99сс от 11 июля 1941 г. об эвакуации ленинградских промышленных предприятий НКСП, были эвакуированы из Ленинграда в г. Казань: ЦКБ-4, ЦКБ-17 и часть ЦКБ-19, в г. Горький: ЦКБ-18 и ЦКБ-52, в г. Николаевск: ЦКБ-32 и ЦКБ-50.</w:t>
      </w:r>
    </w:p>
    <w:p w14:paraId="0FFFD3FC" w14:textId="77777777" w:rsidR="00087420" w:rsidRPr="008A2E5A" w:rsidRDefault="00087420" w:rsidP="000874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эвакуации из Ленинграда все ЦКБ были численно сокращены до 40-50%. Эвакуированы были наиболее квалифицированные кадры, ЦКБ-19 было эвакуировано численно лишь в незначительной части. При эвакуации почти все ЦКБ практически не работали в среднем около месяца. Это время ушло на подготовку к переезду, сам переезд и развертывание бюро на новых местах.</w:t>
      </w:r>
    </w:p>
    <w:p w14:paraId="647420B8" w14:textId="77777777" w:rsidR="00087420" w:rsidRPr="008A2E5A" w:rsidRDefault="00087420" w:rsidP="000874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ЦКБ-32 и ЦКБ-50, находившиеся в г. Николаевске, согласно распоряжению СНК Союза ССР от 14 сентября 1941 г. были объединены в одно ЦКБ (ныне ЦКБ-32), которое по решению НКСП было вторично переведено на новое место — из г. Николаевска в г. Казань. В наиболее тяжелом положении в течение 1941 г. было ЦКБ-32, в основном ввиду трудности и длительности переезда из Николаевска в Казань (в условиях быстро наступивших морозов зимы 1941 г.), а также ввиду необходимости переключения специалистов основного бюро ЦКБ-32 на объекты ЦКБ-50.</w:t>
      </w:r>
    </w:p>
    <w:p w14:paraId="56181932" w14:textId="77777777" w:rsidR="00087420" w:rsidRPr="008A2E5A" w:rsidRDefault="00087420" w:rsidP="000874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наиболее благоприятном отношении в 1941 г. оказалось ЦКБ-51 в г. Горьком, не подвергавшееся эвакуации, в основном сохранившее свои кадры, свою производственную площадь и оказавшееся в территориальной близости к главному управлению.</w:t>
      </w:r>
    </w:p>
    <w:p w14:paraId="758B71A5" w14:textId="77777777" w:rsidR="00087420" w:rsidRPr="008A2E5A" w:rsidRDefault="00087420" w:rsidP="000874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началом войны у некоторых ЦКБ был резко изменен профиль работы. Разработка проекта нового линейного корабля и выпуск рабочих чертежей для строившихся линейных кораблей в ЦКБ-4 были прекращены, а взамен этого ЦКБ-4 были поручены разработка проектов перевооружения волжских судов, разработка проекта кан[онерской] лодки военного времени, техническая помощь эвакуированным оборонным предприятиям и ряд мелких заказов по поручению наркомата, главного управления и Казанского комитета обороны.</w:t>
      </w:r>
    </w:p>
    <w:p w14:paraId="0193C905" w14:textId="77777777" w:rsidR="00087420" w:rsidRPr="008A2E5A" w:rsidRDefault="00087420" w:rsidP="000874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ЦКБ-17 разработка проектов и выпуск рабочих чертежей тяжелых и легких крейсеров были также прекращены, а взамен этого ЦКБ-17 была поручена разработка проектов и выпуск рабочих чертежей тральщика военного времени и охотника за подводными лодками в металлическом исполнении, а также ряд мелких заказов, связанных с использованием боевого опыта Отечественной войны и внедрение его на действующие корабли.</w:t>
      </w:r>
    </w:p>
    <w:p w14:paraId="1D9384E2" w14:textId="77777777" w:rsidR="00087420" w:rsidRPr="008A2E5A" w:rsidRDefault="00087420" w:rsidP="000874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Основные проекты ЦКБ-32 (старого состава, до объединения), как то: сторожевые корабли, кан[онерские] лодки, турбинные тральщики, плав[учие] базы и т. п., за исключением тральщиков в дизельном варианте (пр. 73), были свернуты с переключением всего объединенного бюро на проекты боевых катеров, сетевых заградителей, десантных кораблей, спецкатеров и др., вошедших в число основных объектов плана судостроения 1941 г. в военное время.</w:t>
      </w:r>
    </w:p>
    <w:p w14:paraId="3F5D9131" w14:textId="77777777" w:rsidR="00087420" w:rsidRPr="008A2E5A" w:rsidRDefault="00087420" w:rsidP="000874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ЦКБ-51, помимо своей прежней специализации по буксирам, тендерам и баржам, в военное время стало работать как бюро охотников за подлодками, а также оказалось одним из опорных конструкторских бюро главного управления, осуществив восстановление выпуска и рассылки технической документации КБ ленинградского завода № 5 (МО-IV, ТК-ДШ и т. п.), а также обеспечив проработку ряда оперативных технических вопросов (по импорту двигателей, по технической информации и т. п.).</w:t>
      </w:r>
    </w:p>
    <w:p w14:paraId="0397E7E6" w14:textId="77777777" w:rsidR="00087420" w:rsidRPr="008A2E5A" w:rsidRDefault="00087420" w:rsidP="000874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ЦКБ-52, за счет некоторого свертывания проектных работ по электрооборудованию кораблей, успешно выполнило разработку чертежей разграничивающих устройств (защита кораблей от магнитных мин) й приборов и аппаратуры по замеру магнитного поля корабля.</w:t>
      </w:r>
    </w:p>
    <w:p w14:paraId="75A80B50" w14:textId="77777777" w:rsidR="00087420" w:rsidRPr="008A2E5A" w:rsidRDefault="00087420" w:rsidP="000874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Кроме того, значительную часть производственной емкости во всех ЦКБ поглотило отвлечение сотрудников на трудовые работы (оборонительные укрепления, заготовка дров, уборочная кампания и т. п.), выполнявшиеся по требованиям местных властей.</w:t>
      </w:r>
    </w:p>
    <w:p w14:paraId="4AC6F512" w14:textId="77777777" w:rsidR="00087420" w:rsidRPr="008A2E5A" w:rsidRDefault="00087420" w:rsidP="000874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Совсем в особых условиях находилась основная часть ЦКБ-19, оставшаяся в Ленинграде, которая главным управлением не планировалась и выполняла задания ленинградских военных и гражданских властей.</w:t>
      </w:r>
    </w:p>
    <w:p w14:paraId="4DB49ADD" w14:textId="77777777" w:rsidR="00087420" w:rsidRPr="008A2E5A" w:rsidRDefault="00087420" w:rsidP="000874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Наряду с этим необходимо отметить, что эвакуированные в г. Горький и в г. Казань конструкторские бюро оказались в неблагоприятных условиях в части обеспечения производственной и жилой площадями. В особо неблагоприятных условиях оказались бюро, эвакуированные в г. Казань. Так, например, ЦКБ-4 и ЦКБ-17 размещены в здании средней школы, полезная площадь которой не обеспечивает нормальных условий работы конструкторов и хранения архивных материалов. Здание неблагоустроенное и не имеет противопожарных средств. ЦКБ-19 и ЦКБ-32 совместно с ЦНИИ-45 занимают здание Финансового института, причем уплотненность производственной площади такова, что, несмотря на использование всех коридоров и проходов, ЦКБ-32 вынуждено часть конструкторов перевести на работу в две смены, а копиисток разместить в здании ЦКБ-17 и ЦКБ-4, территориально находящемся далеко от ЦКБ-32.</w:t>
      </w:r>
    </w:p>
    <w:p w14:paraId="24A5FCA2" w14:textId="77777777" w:rsidR="00087420" w:rsidRPr="008A2E5A" w:rsidRDefault="00087420" w:rsidP="000874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Учитывая, что ЦКБ-32 выполняет наиболее срочные проекты и обслуживает большинство судостроительных заводов по плану судостроения 1942 г., подобное положение в дальнейшем является совершенно недопустимым. В связи с отсутствием необходимой для архивов площади все ЦКБ вынуждены пользоваться в текущей работе кальками- оригиналами, что ведет к быстрому износу калек и не гарантирует от возможных злоупотреблений (подчисток и подправок).</w:t>
      </w:r>
    </w:p>
    <w:p w14:paraId="0ED99F5B" w14:textId="77777777" w:rsidR="00087420" w:rsidRPr="008A2E5A" w:rsidRDefault="00087420" w:rsidP="000874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Аналогичное положение наблюдается и с жилой площадью. Сотрудники ЦКБ-4 и ЦКБ-17 расселены в густонаселенном рабочем районе, а ЦКБ-32, прибывшее в конце 1941 г., смогло занять лишь ту площадь, которая осталась неиспользованной после размещения ранее эвакуированных в г. Казань организаций. Поэтому крайне необходимо предоставление дополнительной жилплощади, в первую очередь для наиболее квалифицированных специалистов (главных конструкторов, нач[альников] отделов и начальников групп). В равной мере ЦКБ не обеспечены питанием. Являясь сравнительно небольшими организациями с маломощным хозяйственным аппаратом, ЦКБ не в состоянии организовать полноценное самостоятельное снабжение продуктами питания или достаточно мощное собственное подсобное хозяйство.</w:t>
      </w:r>
    </w:p>
    <w:p w14:paraId="4DC32AFE" w14:textId="77777777" w:rsidR="00087420" w:rsidRPr="008A2E5A" w:rsidRDefault="00087420" w:rsidP="000874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Создавшееся положение отрицательно сказывается на производительности конструкторских бюро. Для улучшения жилищного и бытового положения конструкторских бюро требуется реальная помощь главному управлению и ЦКБ со стороны аркомата и правительства.</w:t>
      </w:r>
    </w:p>
    <w:p w14:paraId="5355304F" w14:textId="77777777" w:rsidR="00087420" w:rsidRPr="008A2E5A" w:rsidRDefault="00087420" w:rsidP="000874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5-го Главного управления НКСП Егоров</w:t>
      </w:r>
    </w:p>
    <w:p w14:paraId="062B1EF8" w14:textId="77777777" w:rsidR="00087420" w:rsidRPr="008A2E5A" w:rsidRDefault="00087420" w:rsidP="000874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планового отдела Гуреев</w:t>
      </w:r>
    </w:p>
    <w:p w14:paraId="3F4FC285" w14:textId="77777777" w:rsidR="00087420" w:rsidRPr="008A2E5A" w:rsidRDefault="00087420" w:rsidP="000874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Главный бухгалтер Судаков</w:t>
      </w:r>
    </w:p>
    <w:p w14:paraId="71E64B85" w14:textId="77777777" w:rsidR="00087420" w:rsidRPr="008A2E5A" w:rsidRDefault="00087420" w:rsidP="0008742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 297. Оп. 1. Д. 63. Л. 31-34. Подлинник (23896).</w:t>
      </w:r>
    </w:p>
    <w:p w14:paraId="2AEC1A0A" w14:textId="77777777" w:rsidR="00087420" w:rsidRPr="008A2E5A" w:rsidRDefault="00087420" w:rsidP="00087420">
      <w:pPr>
        <w:spacing w:after="0" w:line="240" w:lineRule="auto"/>
        <w:jc w:val="both"/>
        <w:rPr>
          <w:rFonts w:ascii="Times New Roman" w:hAnsi="Times New Roman"/>
          <w:color w:val="0070C0"/>
          <w:sz w:val="16"/>
          <w:szCs w:val="16"/>
        </w:rPr>
      </w:pPr>
    </w:p>
    <w:p w14:paraId="70A778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3D0B27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5B998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в 1942 году утреннее сообщение Совинформбюро:</w:t>
      </w:r>
    </w:p>
    <w:p w14:paraId="4D1CE9F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5 мая на фронте чего-либо существенного не произошло.</w:t>
      </w:r>
    </w:p>
    <w:p w14:paraId="69497FF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батальон пехоты противника пытался овладеть оборонительным рубежом. Наши бойцы ружейно-пулемётным огнём отбили атаку немцев с большими для них потерями. На поле боя осталось много убитых вражеских солдат и офицеров. На другом участке фронта огнём нашей артиллерии уничтожено до 200 гитлеровцев.</w:t>
      </w:r>
    </w:p>
    <w:p w14:paraId="43BF775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Лётчики старший лейтенант Иваненков, младшие лейтенанты Гукленко и Спиров прикрывали боевые порядки наших наземных войск. Вскоре они увидели 17приближавшихся немецких самолётов. Зайдя со стороны солнца, наши лётчики врезались в строй самолётов противника. В результате воздушного боя были сбиты 3 «Юнкерса-87» и одни "Мессершмитт-109». Все наши лётчики благополучно вернулись на свой аэродром.</w:t>
      </w:r>
    </w:p>
    <w:p w14:paraId="2351C5B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Орудийный расчёт тов. Сухарева, отражая атаки противника, уничтожил 60 немецких солдат и офицеров и подбил 2 вражеских танка.</w:t>
      </w:r>
    </w:p>
    <w:p w14:paraId="131B663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имени 24-й годовщины Красной Армии, действующий в тылу немецко-фашистских войск на территории Смоленской области, 1 мая атаковал немецкие гарнизоны в двух населённых пунктах. Истребив 150 гитлеровцев, партизаны заняли населённые пункты. Другая группа партизан 2 мая напала на батальон немецкой пехоты. Гитлеровцы понесли большие потери в живой силе. Партизаны захватили следующие трофеи: одно орудие, 8 миномётов, 4 пулемёта, противотанковое ружьё, 150 винтовок, 15.000 патронов, большое количество гранат, 2 радиостанции и склад с продовольствием.</w:t>
      </w:r>
    </w:p>
    <w:p w14:paraId="1D2CDFD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12 роты 460 полка 260 немецкой пехотной дивизии Теодор Иессен рассказал: «На советско-германский фронт я попал в апреле. Прямо с марша нас послали на передовую линию. Русская артиллерия обстреливала нас с такой силой, что мы в беспорядке разбежались в разные стороны. Убитые и раненные валялись буквально на каждом шагу. Со всех сторон доносились крики и стоны. Всё это было в высшей степени ужасно. Когда я немного опомнился и подполз к пулемёту, то из всего расчёта в количестве семи человек нашёл в живых только одного стрелка, который тоже вскоре был тяжело ранен. Я скрылся в блиндаж, где уже находились 5 солдат и санитар. Через час в блиндаж вошли русские солдаты. Мы подняли руки и сдались в плен. Мы теперь рады, что спасли себе жизнь».</w:t>
      </w:r>
    </w:p>
    <w:p w14:paraId="5D93F3C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Недалеко от хутора Мясниково, Ростовской области, обнаружено шесть обгоревших трупов красноармейцев. Местные жители рассказали, что гитлеровцы, захватив в плен тяжело раненных бойцов, бросили их на горевшую скирду соломы.</w:t>
      </w:r>
    </w:p>
    <w:p w14:paraId="0FFAF2E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опубликованной на днях ноте Народного Комиссара Иностранных дел тов. В.М.Молотова приводились факты, свидетельствующие о том, что немцы превращают советских граждан временно оккупированных районов в своих рабов. Германская пропаганда пыталась было опровергнуть это обвинение. Однако жулики и шулера из германского информбюро не свели концов с концами. Немецко-фашистская газета «Франкфуртер цейтунг» 16 апреля 1942 года, описывая положение советских граждан, насильно увезённых в Германию, целиком и полностью подтверждает обвинения, предъявленные германскому правительству.</w:t>
      </w:r>
    </w:p>
    <w:p w14:paraId="29446B5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«Рабочие оккупированных советских областей,— пишет газета,— стоят в лагере, ограждённом колючей проволокой. Этих людей, привезённых из Харьковского района в Германию, нужно, разумеется, держать в строгости, смотреть за ними, ибо нет никакой гарантии, что между ними нет большевиков, способных к актам саботажа. Их ближайший начальник, который служит переводчиком и посредником между ними, ...поддерживает авторитет при помощи чисто русского кнута».</w:t>
      </w:r>
    </w:p>
    <w:p w14:paraId="40D5EA8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Газета указывает далее, что в качестве чернорабочих используются советские скульпторы, художники, врачи. Все советские люди независимо от их квалификации получают нищенскую зарплату, которая целиком идёт на выплату налогов. Советские рабочие, подобно каторжникам, носят клеймо — букву «О», что должно означать «восточный рабочий» (14882).</w:t>
      </w:r>
    </w:p>
    <w:p w14:paraId="699215C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45B497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в 1942 году вечернее сообщение Совинформбюро:</w:t>
      </w:r>
    </w:p>
    <w:p w14:paraId="5D1F2F7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5 мая на фронте ничего существенного не произошло.</w:t>
      </w:r>
    </w:p>
    <w:p w14:paraId="106C565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уточнённым данным, за 2 мая уничтожено не 25 немецких самолётов, как об этом сообщалось ранее, а 31 немецкий самолёт.</w:t>
      </w:r>
    </w:p>
    <w:p w14:paraId="2738782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4 мая уничтожено 12 немецких самолётов. Наши потери — 8 самолётов.</w:t>
      </w:r>
    </w:p>
    <w:p w14:paraId="3C67683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4 мая частями нашей авиации уничтожено или повреждено 50 немецких автомашин с войсками и грузами, 12 подвод с боеприпасами, 6 зенитно-пулемётныхточек, разбит железнодорожный состав, взорваны 3 склада с боеприпасами противника.</w:t>
      </w:r>
    </w:p>
    <w:p w14:paraId="6616925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Калининского фронта, за три дня боевых действий уничтожили более 1.500 солдат и офицеров противника. Ружейно-пулемётным огнём сбито 3 немецких самолёта. Захвачены трофеи и пленные.</w:t>
      </w:r>
    </w:p>
    <w:p w14:paraId="0AFA38C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Ленинградского фронта, сломила сопротивление противника, продвинулась вперёд и прочно закрепилась на занятых рубежах. Немцы, стремясь вернуть утерянные позиции, несколько раз переходили в контратаки, но были отброшены с большими для них потерями. Наши бойцы захватили у противника 5 орудий, 10 мотоциклов, 2 легковые автомашины, 10 повозок, походную кухню, 15.000 гранат, 2 радиостанции и другое военное имущество. На другом участке фронта наше подразделение внезапным ударом прорвало передний край обороны противника, уничтожило до 200 гитлеровцев и захватило 12 станковых пулеметов.</w:t>
      </w:r>
    </w:p>
    <w:p w14:paraId="3C61043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артиллеристы Энской части произвели успешный огневой налёт на позиции противника. Разрушено 4 ДЗОТа и взорван склад с боеприпасами.</w:t>
      </w:r>
    </w:p>
    <w:p w14:paraId="70EB3DE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Красноармейцы-снайперы Н-ского подразделения наносят большой урон живой силе противника. За одну наделю ими уничтожено 104 немецких солдата. Снайпер Худосовцев за это время уничтожил 14 гитлеровцев, снайпер Кадченко — 10 и снайпер Турцев — 9 гитлеровцев.</w:t>
      </w:r>
    </w:p>
    <w:p w14:paraId="0BB24F7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Партизанские отряды, действующие в одном из районов Ленинградской области, временно оккупированном немцами, за шесть месяцев боевых действий истребили 900 немецких солдат и офицеров, уничтожили 7 самолётов, 12 танков, 85 грузовых и 21 легковую автомашину, 49 мотоциклов и несколько окладов с горючим и боеприпасами. Недавно несколько партизанских отрядов под командованием тов. Т. напали на немецкие склады. Перебив 37 гитлеровцев, охранявших склады, партизаны сожгли 12 тонн бензина, 2,5 тонны масла и керосина, 23 ящика с оружием и другое военное снаряжение.</w:t>
      </w:r>
    </w:p>
    <w:p w14:paraId="529F309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унтер-офицер 1 батальона 154 пехотного полка 58 немецкой пехотной дивизии Карл Кнезе рассказал: «Многие солдаты не хотят воевать, но не знают, как добиться окончания войны. Заметно падает дисциплина. Солдаты часто вступают в пререкания с офицерами, отказываются итти в наряд. Недавно один солдат был расстрелян за уход с поста».</w:t>
      </w:r>
    </w:p>
    <w:p w14:paraId="4018F39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У немецкого солдата Ральфа Румина найдено неотправленное письмо на родину. В этом письме он пишет: «Каждый день кто-нибудь из наших отправляется на тот свет. Всегда при этом думаешь: не придёт ли сегодня твоя очередь? Недавно мы вынуждены были оставить деревню. Русские преследовали нас по пятам и стреляли. </w:t>
      </w:r>
      <w:r w:rsidRPr="008127F8">
        <w:rPr>
          <w:rFonts w:ascii="Times New Roman" w:hAnsi="Times New Roman"/>
          <w:color w:val="000000" w:themeColor="text1"/>
          <w:sz w:val="16"/>
          <w:szCs w:val="16"/>
        </w:rPr>
        <w:lastRenderedPageBreak/>
        <w:t>Я еле унёс ноги. Спасся только в лесу. Я готов умереть, чем ещё раз пережить такой ужас... Из 192 человек в роте осталось 19. За что же мы гибнем здесь, в России? Когда же кончится эта проклятая война?»</w:t>
      </w:r>
    </w:p>
    <w:p w14:paraId="1844D72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последнее время в Германии проведена мобилизация рабочих военных заводов. Большинство из призванных в армию было направлено на фронт без предварительной военной подготовки. Поспешность, которая была проявлена гитлеровцами при проведении этой мобилизации, объясняется необходимостью восполнить огромные потери немецких войск на советско-германском фронте. В осведомлённых кругах указывают, что, проводя мобилизацию, фашистские заправилы преследовали и ещё одну цель. Ввиду напряжённого положения в стране гитлеровцы в первую очередь отправляли на передовые позиции недовольных, так или иначе высказывавшихся против преступной войны.» (14882).</w:t>
      </w:r>
    </w:p>
    <w:p w14:paraId="23FF702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97D5DD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г. Приказом наркома обороны от была сформирована 1-я воздушная армия. 1 июля 1942 г. воздушных армий уже было семь, а к 1 августа - восемь. В июле раз- энули две истребительные и одну бомбардировочную авиационные армии. В отличие от здушных армий, авиационные армии представляли собой объединения резерва Ставки и подчинялись командующим фронтами только в оперативном отношении. Однако в зи отрицательным опытом применения 1-й истребительной и соединений 1-й бомбардировочной авиационных армий на Воронежском фронте Ставка приняла решение о создании вместо них авиационных корпусов - истребительных, бомбардировочных, штурмовых и эшанных. С их помощью предполагалось обеспечивать массирование действий авиации на главном направлении в интересах намеченных операций и широкое маневрирование авиацией по фронту. Всего до конца года на фронт было отправлено 9 авиакорпусов резерва ВГК. Не остались в стороне от «магистральной линии» развития боевых сил авиации Красной лии и авиаконструкторы: разрабатывались и специальные противотанковые самолёты (15846).</w:t>
      </w:r>
    </w:p>
    <w:p w14:paraId="7986796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6ECD61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приказом наркома обороны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0081 на основе ВВС Западного фронта была сформирована 1</w:t>
      </w:r>
      <w:r w:rsidRPr="008127F8">
        <w:rPr>
          <w:rFonts w:ascii="Times New Roman" w:hAnsi="Times New Roman"/>
          <w:color w:val="000000" w:themeColor="text1"/>
          <w:sz w:val="16"/>
          <w:szCs w:val="16"/>
        </w:rPr>
        <w:noBreakHyphen/>
        <w:t>я воздушная армия. Кроме прочих частей в нее вошли две смешанные авиадивизии, каждая из которых состояла из двух штурмовых и двух истребительных полков. До конца месяца были созданы 2</w:t>
      </w:r>
      <w:r w:rsidRPr="008127F8">
        <w:rPr>
          <w:rFonts w:ascii="Times New Roman" w:hAnsi="Times New Roman"/>
          <w:color w:val="000000" w:themeColor="text1"/>
          <w:sz w:val="16"/>
          <w:szCs w:val="16"/>
        </w:rPr>
        <w:noBreakHyphen/>
        <w:t>я, 3</w:t>
      </w:r>
      <w:r w:rsidRPr="008127F8">
        <w:rPr>
          <w:rFonts w:ascii="Times New Roman" w:hAnsi="Times New Roman"/>
          <w:color w:val="000000" w:themeColor="text1"/>
          <w:sz w:val="16"/>
          <w:szCs w:val="16"/>
        </w:rPr>
        <w:noBreakHyphen/>
        <w:t>я и 4</w:t>
      </w:r>
      <w:r w:rsidRPr="008127F8">
        <w:rPr>
          <w:rFonts w:ascii="Times New Roman" w:hAnsi="Times New Roman"/>
          <w:color w:val="000000" w:themeColor="text1"/>
          <w:sz w:val="16"/>
          <w:szCs w:val="16"/>
        </w:rPr>
        <w:noBreakHyphen/>
        <w:t>я армии, в июне – 5</w:t>
      </w:r>
      <w:r w:rsidRPr="008127F8">
        <w:rPr>
          <w:rFonts w:ascii="Times New Roman" w:hAnsi="Times New Roman"/>
          <w:color w:val="000000" w:themeColor="text1"/>
          <w:sz w:val="16"/>
          <w:szCs w:val="16"/>
        </w:rPr>
        <w:noBreakHyphen/>
        <w:t>я, 6</w:t>
      </w:r>
      <w:r w:rsidRPr="008127F8">
        <w:rPr>
          <w:rFonts w:ascii="Times New Roman" w:hAnsi="Times New Roman"/>
          <w:color w:val="000000" w:themeColor="text1"/>
          <w:sz w:val="16"/>
          <w:szCs w:val="16"/>
        </w:rPr>
        <w:noBreakHyphen/>
        <w:t>я и 8</w:t>
      </w:r>
      <w:r w:rsidRPr="008127F8">
        <w:rPr>
          <w:rFonts w:ascii="Times New Roman" w:hAnsi="Times New Roman"/>
          <w:color w:val="000000" w:themeColor="text1"/>
          <w:sz w:val="16"/>
          <w:szCs w:val="16"/>
        </w:rPr>
        <w:noBreakHyphen/>
        <w:t>я армии, затем в июле – 14</w:t>
      </w:r>
      <w:r w:rsidRPr="008127F8">
        <w:rPr>
          <w:rFonts w:ascii="Times New Roman" w:hAnsi="Times New Roman"/>
          <w:color w:val="000000" w:themeColor="text1"/>
          <w:sz w:val="16"/>
          <w:szCs w:val="16"/>
        </w:rPr>
        <w:noBreakHyphen/>
        <w:t>я и 15</w:t>
      </w:r>
      <w:r w:rsidRPr="008127F8">
        <w:rPr>
          <w:rFonts w:ascii="Times New Roman" w:hAnsi="Times New Roman"/>
          <w:color w:val="000000" w:themeColor="text1"/>
          <w:sz w:val="16"/>
          <w:szCs w:val="16"/>
        </w:rPr>
        <w:noBreakHyphen/>
        <w:t>я армии, а до конца года общее число воздушных армий достигло уже семнадцати, из которых тринадцать находились в действующей армии (23199).</w:t>
      </w:r>
    </w:p>
    <w:p w14:paraId="36DCF5B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5CB0F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приказом НКО была создана первая воздушная армия (на основе ВВС ЗФ). Вопрос рассматривался Военным советом ВВС еще в апреле. В мае появились также 2 (на основе ВВС Брянского Ф), 3 (на основе ВВС Калининского Ф), 4 (ЮФ), и 8 (ЮЗ-Ф), а в июне - 5 (С-КФ) и 6 (С-ЗФ), в июле - 14 (Волховского Ф) и 15 (также ВВС Брянского Ф), в августе - 6, 9 (Дальне-Восточный Ф), 11 (на ДВ на базе ВВС 2-й КЗА) и 16 (на базе соединений, переданных из 8ВА и резерва ставки ВГК), в ноябре - 7 (Карельского Ф), 13 (Ленинградского Ф) и 17 (также Ю-ЗФ) (340,81) - 10 (также Д-ВФ), 12 (ВВС Забайкальского Ф) (505,200).</w:t>
      </w:r>
    </w:p>
    <w:p w14:paraId="6A0D279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приказе НКО было "В целях наращивания ударной силы авиации и применения массированных авиаударов объединить авиасилы Западного фронта в единую ВА." (505,197).</w:t>
      </w:r>
    </w:p>
    <w:p w14:paraId="15B4725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Первый приказ НКО СССР с целью коренного реформирования оргструктуры ВВС был издан 5 мая 1942 г. В нем, в частности, говорилось: "В целях наращивания ударной силы авиации и успешного применения массированных авиационных ударов - объединить авиацию Западного фронта в единую воздушную армию, присвоить ей наименование 1-й воздушной армии".</w:t>
      </w:r>
    </w:p>
    <w:p w14:paraId="469467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этого времени все силы авиации во фронте были объединены в единый кулак, будучи изъятыми из состава общевойсковых армий.</w:t>
      </w:r>
    </w:p>
    <w:p w14:paraId="4663B88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Такая структура авиационного объединения позволяла централизованно управлять всеми силами фронта, широко маневрировать в его пределах, а при необходимости - часть сил направлять в полосу соседнего фронта в предельно сжатые периоды времени, не "выпрашивая" согласия командующих общевойсковыми армиями на применение армейской авиации в интересах, например, соседней армии другого фронта, т. е. высочайшая маневренность авиации могла быть реализована сполна (2904,4).</w:t>
      </w:r>
    </w:p>
    <w:p w14:paraId="7AAAED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59EB42"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5 мая 1942 приказом наркома обороны №</w:t>
      </w:r>
      <w:r>
        <w:rPr>
          <w:color w:val="000000" w:themeColor="text1"/>
          <w:sz w:val="16"/>
          <w:szCs w:val="16"/>
        </w:rPr>
        <w:t xml:space="preserve">  </w:t>
      </w:r>
      <w:r w:rsidRPr="008127F8">
        <w:rPr>
          <w:color w:val="000000" w:themeColor="text1"/>
          <w:sz w:val="16"/>
          <w:szCs w:val="16"/>
        </w:rPr>
        <w:t>0081 на основе ВВС Западного фронта была сформирована 1-я воздушная армия. Кроме прочих частей в нее вошли две смешанные авиадивизии, каждая из которых состояла из двух штурмовых и двух истребительных полков. До конца месяца были созданы 2-я, 3-я и 4-я армии, в июне — 5-я, 6-я и 8-я армии, затем в июле — 14-я и 15-я армии, а до конца года общее число воздушных армий достигло уже семнадцати, из которых тринадцать находились в действующей армии.</w:t>
      </w:r>
    </w:p>
    <w:p w14:paraId="36A30C08"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Реорганизация не обошла стороной и штурмовые полки. Их штат в мае 1942</w:t>
      </w:r>
      <w:r>
        <w:rPr>
          <w:color w:val="000000" w:themeColor="text1"/>
          <w:sz w:val="16"/>
          <w:szCs w:val="16"/>
        </w:rPr>
        <w:t xml:space="preserve">  </w:t>
      </w:r>
      <w:r w:rsidRPr="008127F8">
        <w:rPr>
          <w:color w:val="000000" w:themeColor="text1"/>
          <w:sz w:val="16"/>
          <w:szCs w:val="16"/>
        </w:rPr>
        <w:t>г. был увеличен до трех эскадрилий по десять Ил-2. И с учетом еще двух самолетов, числившихся при штабе, штатная численность полка отныне составляла 32 штурмовика. Одновременно начали формироваться и более крупные соединения — штурмовые авиационные дивизии (шад). Соответствующий приказ устанавливал, что каждая такая дивизия должна иметь три штурмовых полка, а также отдельную штрафную штурмовую эскадрилью.</w:t>
      </w:r>
    </w:p>
    <w:p w14:paraId="28116C92"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Последний факт подтверждает то, что все позднейшие слухи и разговоры о летчиках-штрафниках, летавших на Ил-2, имели под собой вполне реальное основание. Да и остальные пилоты нередко на практике оказывались в положении штрафников. Тяжелейшие потери оказывали на них сильнейшее психологическое воздействие, особенно на тех, кто только что попал на фронт после ускоренного выпуска из училища. Поэтому приходилось принимать жесткие меры по сохранению порядка и дисциплины. Так, командующий 16-й воздушной армией генерал-майор Сергей Руденко в ходе ожесточенных боев в районе Сталинграда подписал приказ, согласно которому истребители, сопровождавшие «горбатых», одновременно должны были исполнять роль своеобразных воздушных загр ад отрядов. В случае, если пилоты штурмовиков отворачивали раньше времени с боевого курса и уклонялись от атаки назначенных целей, истребители были обязаны открывать по ним огонь и сбивать как врагов.</w:t>
      </w:r>
    </w:p>
    <w:p w14:paraId="3F7ED277"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По немецким данным, в 1943–1944</w:t>
      </w:r>
      <w:r>
        <w:rPr>
          <w:color w:val="000000" w:themeColor="text1"/>
          <w:sz w:val="16"/>
          <w:szCs w:val="16"/>
        </w:rPr>
        <w:t xml:space="preserve">  </w:t>
      </w:r>
      <w:r w:rsidRPr="008127F8">
        <w:rPr>
          <w:color w:val="000000" w:themeColor="text1"/>
          <w:sz w:val="16"/>
          <w:szCs w:val="16"/>
        </w:rPr>
        <w:t>гг. пленные летчики штурмовиков говорили, что считают себя «пушечным мясом» советской авиации. Кроме того, пленные рассказывали, что пилоты, осужденные военным трибуналом за трусость, отбывали наказание в роли задних стрелков (19522).</w:t>
      </w:r>
    </w:p>
    <w:p w14:paraId="7F5CE642" w14:textId="77777777" w:rsidR="007C5583" w:rsidRPr="008127F8" w:rsidRDefault="007C5583" w:rsidP="007C5583">
      <w:pPr>
        <w:pStyle w:val="af"/>
        <w:spacing w:before="0" w:after="0"/>
        <w:jc w:val="both"/>
        <w:textAlignment w:val="baseline"/>
        <w:rPr>
          <w:color w:val="000000" w:themeColor="text1"/>
          <w:sz w:val="16"/>
          <w:szCs w:val="16"/>
        </w:rPr>
      </w:pPr>
    </w:p>
    <w:p w14:paraId="29FA79A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г. Приказом наркома обороны была сформирована 1-я воздуш</w:t>
      </w:r>
      <w:r w:rsidRPr="008127F8">
        <w:rPr>
          <w:rFonts w:ascii="Times New Roman" w:hAnsi="Times New Roman"/>
          <w:color w:val="000000" w:themeColor="text1"/>
          <w:sz w:val="16"/>
          <w:szCs w:val="16"/>
        </w:rPr>
        <w:softHyphen/>
        <w:t>ная армия. К 1 июля 1942 г. воздушных армий уже было семь, а к 1 августа - во</w:t>
      </w:r>
      <w:r w:rsidRPr="008127F8">
        <w:rPr>
          <w:rFonts w:ascii="Times New Roman" w:hAnsi="Times New Roman"/>
          <w:color w:val="000000" w:themeColor="text1"/>
          <w:sz w:val="16"/>
          <w:szCs w:val="16"/>
        </w:rPr>
        <w:softHyphen/>
        <w:t>семь. В течение июля развернули две ис</w:t>
      </w:r>
      <w:r w:rsidRPr="008127F8">
        <w:rPr>
          <w:rFonts w:ascii="Times New Roman" w:hAnsi="Times New Roman"/>
          <w:color w:val="000000" w:themeColor="text1"/>
          <w:sz w:val="16"/>
          <w:szCs w:val="16"/>
        </w:rPr>
        <w:softHyphen/>
        <w:t>требительные и одну бомбардировочную авиационные армии. В отличие от воз</w:t>
      </w:r>
      <w:r w:rsidRPr="008127F8">
        <w:rPr>
          <w:rFonts w:ascii="Times New Roman" w:hAnsi="Times New Roman"/>
          <w:color w:val="000000" w:themeColor="text1"/>
          <w:sz w:val="16"/>
          <w:szCs w:val="16"/>
        </w:rPr>
        <w:softHyphen/>
        <w:t>душных армий, авиационные армии представляли собой объединения резерва Ставки ВГК и подчинялись командующим фронтами только в оперативном отно</w:t>
      </w:r>
      <w:r w:rsidRPr="008127F8">
        <w:rPr>
          <w:rFonts w:ascii="Times New Roman" w:hAnsi="Times New Roman"/>
          <w:color w:val="000000" w:themeColor="text1"/>
          <w:sz w:val="16"/>
          <w:szCs w:val="16"/>
        </w:rPr>
        <w:softHyphen/>
        <w:t>шении. Однако в связи с отрицательным опытом применения 1-й истребитель</w:t>
      </w:r>
      <w:r w:rsidRPr="008127F8">
        <w:rPr>
          <w:rFonts w:ascii="Times New Roman" w:hAnsi="Times New Roman"/>
          <w:color w:val="000000" w:themeColor="text1"/>
          <w:sz w:val="16"/>
          <w:szCs w:val="16"/>
        </w:rPr>
        <w:softHyphen/>
        <w:t>ной и соединений 1-й бомбардировоч</w:t>
      </w:r>
      <w:r w:rsidRPr="008127F8">
        <w:rPr>
          <w:rFonts w:ascii="Times New Roman" w:hAnsi="Times New Roman"/>
          <w:color w:val="000000" w:themeColor="text1"/>
          <w:sz w:val="16"/>
          <w:szCs w:val="16"/>
        </w:rPr>
        <w:softHyphen/>
        <w:t>ной авиационных армий на Воронежском фронте Ставка приняла решение о созда</w:t>
      </w:r>
      <w:r w:rsidRPr="008127F8">
        <w:rPr>
          <w:rFonts w:ascii="Times New Roman" w:hAnsi="Times New Roman"/>
          <w:color w:val="000000" w:themeColor="text1"/>
          <w:sz w:val="16"/>
          <w:szCs w:val="16"/>
        </w:rPr>
        <w:softHyphen/>
        <w:t>нии вместо них авиационных корпусов - истребительных, бомбардировочных, штурмовых и смешанных. С их помощью предполагалось обеспечивать массиро</w:t>
      </w:r>
      <w:r w:rsidRPr="008127F8">
        <w:rPr>
          <w:rFonts w:ascii="Times New Roman" w:hAnsi="Times New Roman"/>
          <w:color w:val="000000" w:themeColor="text1"/>
          <w:sz w:val="16"/>
          <w:szCs w:val="16"/>
        </w:rPr>
        <w:softHyphen/>
        <w:t>вание действий авиации на главном на</w:t>
      </w:r>
      <w:r w:rsidRPr="008127F8">
        <w:rPr>
          <w:rFonts w:ascii="Times New Roman" w:hAnsi="Times New Roman"/>
          <w:color w:val="000000" w:themeColor="text1"/>
          <w:sz w:val="16"/>
          <w:szCs w:val="16"/>
        </w:rPr>
        <w:softHyphen/>
        <w:t>правлении в интересах намеченных опе</w:t>
      </w:r>
      <w:r w:rsidRPr="008127F8">
        <w:rPr>
          <w:rFonts w:ascii="Times New Roman" w:hAnsi="Times New Roman"/>
          <w:color w:val="000000" w:themeColor="text1"/>
          <w:sz w:val="16"/>
          <w:szCs w:val="16"/>
        </w:rPr>
        <w:softHyphen/>
        <w:t>раций и широкое маневрирование ави</w:t>
      </w:r>
      <w:r w:rsidRPr="008127F8">
        <w:rPr>
          <w:rFonts w:ascii="Times New Roman" w:hAnsi="Times New Roman"/>
          <w:color w:val="000000" w:themeColor="text1"/>
          <w:sz w:val="16"/>
          <w:szCs w:val="16"/>
        </w:rPr>
        <w:softHyphen/>
        <w:t>ацией по фронту. Всего до конца года на фронт было отправлено девять авиакор</w:t>
      </w:r>
      <w:r w:rsidRPr="008127F8">
        <w:rPr>
          <w:rFonts w:ascii="Times New Roman" w:hAnsi="Times New Roman"/>
          <w:color w:val="000000" w:themeColor="text1"/>
          <w:sz w:val="16"/>
          <w:szCs w:val="16"/>
        </w:rPr>
        <w:softHyphen/>
        <w:t>пусов резерва ВГК (23181).</w:t>
      </w:r>
    </w:p>
    <w:p w14:paraId="091A938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B9A65ED"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вышел Приказ Народного комиссара обороны СССР о создании первой воздушной армии фронтовой авиации. Начало перехода советских ВВС на новую организационную структуру (4963 ).</w:t>
      </w:r>
    </w:p>
    <w:p w14:paraId="4D4524A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9C795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г. Приказом Наркома обороны № 0081 была создана 1-я воздушная армия. В течение 1942 г. были реорганизованы в воздушные армии все остальные ВВС действующих фронтов. В общевойсковых армиях было оставлено по одному смешанному авиаполку для прикрытия расположения штаба армии с воздуха, ведения воздушной разведки, а главным образом для связи и управления. В дальнейшем эти полки были реорганизованы в авиационные эскадрильи и звенья связи при штабах общевойсковых армий. В это же время было принято решение о создании авиационных корпусов. Однако авиапромышленность не могла обеспечить поставку боевых самолетов в количествах, необходимых одновременно для формирования авиакорпусов и пополнения убыли в действующей армии. В резерве ВГК современных боевых самолетов было также мало (8687).</w:t>
      </w:r>
    </w:p>
    <w:p w14:paraId="3DE86B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74E1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г. вышел ПРИКАЗ НКО № 0081 О СФОРМИРОВАНИИ 1-й ВОЗДУШНОЙ АРМИИ</w:t>
      </w:r>
    </w:p>
    <w:p w14:paraId="56EEE9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8127F8">
        <w:rPr>
          <w:rFonts w:ascii="Times New Roman" w:hAnsi="Times New Roman"/>
          <w:color w:val="000000" w:themeColor="text1"/>
          <w:sz w:val="16"/>
          <w:szCs w:val="16"/>
        </w:rPr>
        <w:t>В целях наращивания ударной силы авиации и успешного применения массированных авиаударов объединить авиасилы Западного фронта в единую воздушную армию, присвоив ей наименование 1-й воздушной армии.</w:t>
      </w:r>
    </w:p>
    <w:p w14:paraId="26813D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1-й воздушной армии иметь:</w:t>
      </w:r>
    </w:p>
    <w:p w14:paraId="47327AA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201-ю и 202-ю истребительные авиадивизии каждая в составе 4 истребительных полков.</w:t>
      </w:r>
    </w:p>
    <w:p w14:paraId="769932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203-ю и 204-ю смешанные авиадивизии каждая в составе 2 истребительных полков, 2 штурмовых полков и 1 бомбардировочного полка.</w:t>
      </w:r>
    </w:p>
    <w:p w14:paraId="6E263D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3-й отдельный учебно-тренировочный авиаполк.</w:t>
      </w:r>
    </w:p>
    <w:p w14:paraId="4C1782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Одну дальнеразведывательную эскадрилью в составе двух звеньев (всего 6 самолетов).</w:t>
      </w:r>
    </w:p>
    <w:p w14:paraId="3CE47B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Одну эскадрилью связи в составе 10 самолетов У-2. е) Один ночной авиаполк, в составе 20 самолетов У-2.</w:t>
      </w:r>
    </w:p>
    <w:p w14:paraId="246E03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 формирование 1-й воздушной армии обратить авиаполки ВВС Западного фронта сведя их в авиадивизии. Командующему ВВС Красной Армии т. Новикову недостающую материальную часть для формирования 1-й воздушной армии пополнить к 1.6.1942 г. за счет резерва Главного командования, согласно приложению № 1.</w:t>
      </w:r>
    </w:p>
    <w:p w14:paraId="2B88F66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3. Существующую систему авиационного тыла, т. е. районы авиационного базирования, аэродромную сеть, ремонтные органы и наземные авиачасти подчинить командующему 1-й воздушной армии, согласно приложению № 2.</w:t>
      </w:r>
    </w:p>
    <w:p w14:paraId="4062A4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Командующего ВВС Западного фронта генерал-лейтенанта авиации Куцевалова Т. Ф. назначить командующим 1-й воздушной армии, утвердив его одновременно членом военного совета и заместителем командующего Западного фронта по авиации.</w:t>
      </w:r>
    </w:p>
    <w:p w14:paraId="235C8AE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Начальником штаба 1-й воздушной армии назначить полковника Пронина А. С.</w:t>
      </w:r>
    </w:p>
    <w:p w14:paraId="3048C19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Военным комиссаром 1-й воздушной армии — бригадного комиссара Лит-виненко И. Г.</w:t>
      </w:r>
    </w:p>
    <w:p w14:paraId="72378E4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Назначить:</w:t>
      </w:r>
    </w:p>
    <w:p w14:paraId="585929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Командиром 201-й истребительной авиадивизии подполковника Жукова Н. И.</w:t>
      </w:r>
    </w:p>
    <w:p w14:paraId="6F9EF3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Командиром 202-й истребительной авиадивизии полковника Янсен Б. В.</w:t>
      </w:r>
    </w:p>
    <w:p w14:paraId="3FECC88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Командиром 203-й смешанной авиадивизии полковника Аладинского В. И.</w:t>
      </w:r>
    </w:p>
    <w:p w14:paraId="79D5C4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Командиром 204-й смешанной авиадивизии генерал-майора авиации Трифонова А. К.</w:t>
      </w:r>
    </w:p>
    <w:p w14:paraId="18E6EE5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Командующему 1-й воздушной армии т. Куцевалову для каждой армии Западного фронта сформировать по одному смешанному авиаполку в составе одной истребительной эскадрильи ЛаГГ-3 или Як-1 (10 самолетов) и одной эскадрильи У-2 (10 самолетов), обратив на формирование этих авиаполков авиачасти, согласно приложению № 1.</w:t>
      </w:r>
    </w:p>
    <w:p w14:paraId="6E51B91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Формирование смешанных авиаполков во всех армиях Западного фронта закончить не позднее 10 мая 1942 г.</w:t>
      </w:r>
    </w:p>
    <w:p w14:paraId="5036D0D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Смешанные авиаполки подчинить в оперативном отношении командующим соответствующих армий, а в отношении снабжения и ремонта — командующему 1-й воздушной армии.</w:t>
      </w:r>
    </w:p>
    <w:p w14:paraId="61F6C3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Существующие управления и штабы УВВС Западного фронта, 20, 5, 33, 43, 49, 50, 10, 16-й армий и 4-й и 5-й ударных авиагрупп, и личный состав обратить на формирование управления и штаба 1-й воздушной армии и штабов авиадивизий.</w:t>
      </w:r>
    </w:p>
    <w:p w14:paraId="52B758A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на 5 л.</w:t>
      </w:r>
    </w:p>
    <w:p w14:paraId="5ED0AC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Народный комиссар обороны СССР И. СТАЛИН</w:t>
      </w:r>
      <w:r w:rsidRPr="008127F8">
        <w:rPr>
          <w:rFonts w:ascii="Times New Roman" w:hAnsi="Times New Roman"/>
          <w:color w:val="000000" w:themeColor="text1"/>
          <w:sz w:val="16"/>
          <w:szCs w:val="16"/>
        </w:rPr>
        <w:t xml:space="preserve"> (9844).</w:t>
      </w:r>
    </w:p>
    <w:p w14:paraId="0685D0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8FC8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г. пропал без вести один из лучших летчиков JG52 лейтенант Г. Кёппен, имевший на счету 85 побед и награжденный "Дубовыми Листьями" к "Рыцарскому Кресту". Он неудачно атаковал Пе-2 над Азовским морем, и ответные очереди пришлись по мотору "мессершмитта". Коллеги Кёппена наблюдали, как подбитый самолет сел на поверхность воды, а летчик попытался плыть к берегу. Но все старания аса оказались напрасны... А 22 мая при аналогичных обстоятельствах около Мценска был сбит меткой очередью с "пешки" столь же известный летчик в JG51 лейтенант Г. Штрелов - он воспользовался парашютом, приземлился в расположении советских войск и, не желая сдаваться в плен, застрелился (12042).</w:t>
      </w:r>
    </w:p>
    <w:p w14:paraId="650EB02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87BE1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на СФ поступило 24 низких торпед и с июля начали осваивать (1085,149).</w:t>
      </w:r>
    </w:p>
    <w:p w14:paraId="1593C1D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началом Великой Отечественной войны и до мая 1942 г. эффективность А.п.в. была низкой, и одним из важных следствий этого явились высокие потери наших войск, в т.ч. и от немецко-фашистской авиации, завоевавшей к 18 июля 1941 г. стратегическое господство на советско-германском фронте (2904,2).</w:t>
      </w:r>
    </w:p>
    <w:p w14:paraId="607EF3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3EEC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вышло Постановление ГКО № 1702 Об увеличении численности. и о порядке снабжения строительных колонн УОС ГВИУ КА. РГАНИР, Фонд ГКО, д. 33, лл. 43 (11012).</w:t>
      </w:r>
    </w:p>
    <w:p w14:paraId="66102FD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085F7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вышло Постановление ГКО № 1703 О мобилизации девушек-комсомолок и некомсомолок-добровольцев в Военно-Морской Флот. (7033, 44-45,46-47).</w:t>
      </w:r>
    </w:p>
    <w:p w14:paraId="5A43300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9711B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вышло Постановление ГКО № 1704 Об отпуске продовольственных пайков для Красной Армии, Военно-Морского Флота и войск НКВД в мае 1942 года. РГАНИР, Фонд ГКО, д. 33, лл. 48-50 (11012).</w:t>
      </w:r>
    </w:p>
    <w:p w14:paraId="648EFB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64D0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229EB6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C9793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в советском лагере погиб русский писатель, главный редактор журнала “Чиж” Николай Олейников (4962).</w:t>
      </w:r>
    </w:p>
    <w:p w14:paraId="753B47D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3F99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690235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C2C6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 мая 1942 выла высадка британских войск на о Мадагаскар и занятие военно-морской базы Диего-Суарес (3186) - на территории вишистской Франции (3907,236).</w:t>
      </w:r>
    </w:p>
    <w:p w14:paraId="0F48D0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7FAC7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в 1942 году (5–7 мая) высадка британских войск на остров Мадагаскар и занятие ими военно-морской базы Диего-Суарес. Руководство «Свободной Франции» не было заблаговременно проинформировано об этой операции, что вызвало конфликт Шарля де Голля с Черчиллем (14882).</w:t>
      </w:r>
    </w:p>
    <w:p w14:paraId="7808BA4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1DE4C3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английские войска начали операцию по захвату Мадагаскара (4962).</w:t>
      </w:r>
    </w:p>
    <w:p w14:paraId="481EDCE1"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0C8A1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началась операция Ironclad, британское вторжение на контролируемый французами остров Мадагаскар, с разрушительного внезапного удара на рассвете самолетов с британского авианосца HMS Indomitable по французским аэродромам в окрестностях Диего Суареса (20793).</w:t>
      </w:r>
    </w:p>
    <w:p w14:paraId="731A89D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C26F61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тактический разведывательный самолет 26-й эскадрильи Royal Air Force North American Mustang Mark принимает участие в бою над Ла-Маншем . Это первое боевое действие любой версии P-51 Mustang (20793).</w:t>
      </w:r>
    </w:p>
    <w:p w14:paraId="5DBC9DD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800ED4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базирующиеся в Рабауле самолеты Императорского флота Японии совершают налет на Порт-Морсби, Новая Гвинея (20793).</w:t>
      </w:r>
    </w:p>
    <w:p w14:paraId="469B3C9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C6F71F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в 1942 году самолеты «Иллюстрас» потопили французскую подводную лодку и вспомогательный крейсер в Диего-Суаресе (14882).</w:t>
      </w:r>
    </w:p>
    <w:p w14:paraId="6A743B7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81B290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в 1942 году захват японскими войсками острова Гуадалканал (Соломоновы острова) (14882).</w:t>
      </w:r>
    </w:p>
    <w:p w14:paraId="15023D6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1FB3B7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японцы высадились на Коррегидоре (2261) и завершилась оккупация Филиппин (2443,423).</w:t>
      </w:r>
    </w:p>
    <w:p w14:paraId="6E2424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9599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японцы захватили Гуадалканал - Соломоновы острова (2443,423).</w:t>
      </w:r>
    </w:p>
    <w:p w14:paraId="3520377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FCBE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японская императорская ставка издала директиву о проведении операций по захвату атолла Мидуэй и ряда островов в западной части Алеутской гряды (3186).</w:t>
      </w:r>
    </w:p>
    <w:p w14:paraId="0E17A3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EA39B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в США введены карточки на сахар (4962).</w:t>
      </w:r>
    </w:p>
    <w:p w14:paraId="23B4944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A9DC4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мая 1942 в США ввели карточки на сахар (2100).</w:t>
      </w:r>
    </w:p>
    <w:p w14:paraId="4C74AA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C16D6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418EB64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F37B91" w14:textId="77777777" w:rsidR="007C5583" w:rsidRPr="008127F8" w:rsidRDefault="007C5583" w:rsidP="007C5583">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К 6 мая 1942 г. в НИИ ВВС провели поли</w:t>
      </w:r>
      <w:r w:rsidRPr="008127F8">
        <w:rPr>
          <w:rFonts w:ascii="Times New Roman" w:cs="Times New Roman"/>
          <w:color w:val="000000" w:themeColor="text1"/>
          <w:spacing w:val="0"/>
          <w:sz w:val="16"/>
          <w:szCs w:val="16"/>
        </w:rPr>
        <w:softHyphen/>
        <w:t>гонные испытания гомогенной броневой стали валового производства</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«на</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отстрел</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ее</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пулями</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калибра</w:t>
      </w:r>
      <w:r w:rsidRPr="008127F8">
        <w:rPr>
          <w:rStyle w:val="aff8"/>
          <w:rFonts w:ascii="Times New Roman" w:eastAsia="Arial Narrow" w:cs="Times New Roman"/>
          <w:color w:val="000000" w:themeColor="text1"/>
          <w:spacing w:val="0"/>
        </w:rPr>
        <w:t xml:space="preserve"> 15 </w:t>
      </w:r>
      <w:r w:rsidRPr="008127F8">
        <w:rPr>
          <w:rStyle w:val="aff8"/>
          <w:rFonts w:ascii="Times New Roman" w:eastAsia="Arial Narrow" w:cs="Times New Roman"/>
          <w:color w:val="000000" w:themeColor="text1"/>
          <w:spacing w:val="0"/>
        </w:rPr>
        <w:t>мм</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и</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снарядами</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калибра</w:t>
      </w:r>
      <w:r w:rsidRPr="008127F8">
        <w:rPr>
          <w:rStyle w:val="aff8"/>
          <w:rFonts w:ascii="Times New Roman" w:eastAsia="Arial Narrow" w:cs="Times New Roman"/>
          <w:color w:val="000000" w:themeColor="text1"/>
          <w:spacing w:val="0"/>
        </w:rPr>
        <w:t xml:space="preserve"> 20 </w:t>
      </w:r>
      <w:r w:rsidRPr="008127F8">
        <w:rPr>
          <w:rStyle w:val="aff8"/>
          <w:rFonts w:ascii="Times New Roman" w:eastAsia="Arial Narrow" w:cs="Times New Roman"/>
          <w:color w:val="000000" w:themeColor="text1"/>
          <w:spacing w:val="0"/>
        </w:rPr>
        <w:t>мм</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из</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немецкой</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пушки</w:t>
      </w:r>
      <w:r w:rsidRPr="008127F8">
        <w:rPr>
          <w:rStyle w:val="aff8"/>
          <w:rFonts w:ascii="Times New Roman" w:eastAsia="Arial Narrow" w:cs="Times New Roman"/>
          <w:color w:val="000000" w:themeColor="text1"/>
          <w:spacing w:val="0"/>
        </w:rPr>
        <w:t>-</w:t>
      </w:r>
      <w:r w:rsidRPr="008127F8">
        <w:rPr>
          <w:rStyle w:val="aff8"/>
          <w:rFonts w:ascii="Times New Roman" w:eastAsia="Arial Narrow" w:cs="Times New Roman"/>
          <w:color w:val="000000" w:themeColor="text1"/>
          <w:spacing w:val="0"/>
        </w:rPr>
        <w:t>пулемета</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МГ</w:t>
      </w:r>
      <w:r w:rsidRPr="008127F8">
        <w:rPr>
          <w:rStyle w:val="aff8"/>
          <w:rFonts w:ascii="Times New Roman" w:eastAsia="Arial Narrow" w:cs="Times New Roman"/>
          <w:color w:val="000000" w:themeColor="text1"/>
          <w:spacing w:val="0"/>
        </w:rPr>
        <w:t>-151</w:t>
      </w:r>
      <w:r w:rsidRPr="008127F8">
        <w:rPr>
          <w:rStyle w:val="aff8"/>
          <w:rFonts w:ascii="Times New Roman" w:eastAsia="Arial Narrow" w:cs="Times New Roman"/>
          <w:color w:val="000000" w:themeColor="text1"/>
          <w:spacing w:val="0"/>
        </w:rPr>
        <w:t>»</w:t>
      </w:r>
      <w:r w:rsidRPr="008127F8">
        <w:rPr>
          <w:rStyle w:val="aff8"/>
          <w:rFonts w:ascii="Times New Roman" w:eastAsia="Arial Narrow" w:cs="Times New Roman"/>
          <w:color w:val="000000" w:themeColor="text1"/>
          <w:spacing w:val="0"/>
        </w:rPr>
        <w:t>.</w:t>
      </w:r>
      <w:r w:rsidRPr="008127F8">
        <w:rPr>
          <w:rFonts w:ascii="Times New Roman" w:cs="Times New Roman"/>
          <w:color w:val="000000" w:themeColor="text1"/>
          <w:spacing w:val="0"/>
          <w:sz w:val="16"/>
          <w:szCs w:val="16"/>
        </w:rPr>
        <w:t xml:space="preserve"> Обстре</w:t>
      </w:r>
      <w:r w:rsidRPr="008127F8">
        <w:rPr>
          <w:rFonts w:ascii="Times New Roman" w:cs="Times New Roman"/>
          <w:color w:val="000000" w:themeColor="text1"/>
          <w:spacing w:val="0"/>
          <w:sz w:val="16"/>
          <w:szCs w:val="16"/>
        </w:rPr>
        <w:softHyphen/>
        <w:t>ливались броневые плиты толщиной 10, 15 и 20 мм, которые применялись в серийном про</w:t>
      </w:r>
      <w:r w:rsidRPr="008127F8">
        <w:rPr>
          <w:rFonts w:ascii="Times New Roman" w:cs="Times New Roman"/>
          <w:color w:val="000000" w:themeColor="text1"/>
          <w:spacing w:val="0"/>
          <w:sz w:val="16"/>
          <w:szCs w:val="16"/>
        </w:rPr>
        <w:softHyphen/>
        <w:t>изводстве танков.</w:t>
      </w:r>
    </w:p>
    <w:p w14:paraId="09D81EE1" w14:textId="77777777" w:rsidR="007C5583" w:rsidRPr="008127F8" w:rsidRDefault="007C5583" w:rsidP="007C5583">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Броня средней твердости толщиной 15 мм надежно удерживала бронебойную пулю ка</w:t>
      </w:r>
      <w:r w:rsidRPr="008127F8">
        <w:rPr>
          <w:rFonts w:ascii="Times New Roman" w:cs="Times New Roman"/>
          <w:color w:val="000000" w:themeColor="text1"/>
          <w:spacing w:val="0"/>
          <w:sz w:val="16"/>
          <w:szCs w:val="16"/>
        </w:rPr>
        <w:softHyphen/>
        <w:t>либра 15 мм по нормали с дистанции 400 м, а толщиной 20 мм - с 350 м. Бронебойный сна</w:t>
      </w:r>
      <w:r w:rsidRPr="008127F8">
        <w:rPr>
          <w:rFonts w:ascii="Times New Roman" w:cs="Times New Roman"/>
          <w:color w:val="000000" w:themeColor="text1"/>
          <w:spacing w:val="0"/>
          <w:sz w:val="16"/>
          <w:szCs w:val="16"/>
        </w:rPr>
        <w:softHyphen/>
        <w:t>ряд калибра 20 мм удерживался 15-мм броней при стрельбе с 200 м по нормали. Осколочно- фугасный снаряд калибра 20 мм и разрывные пули калибра 15 мм не пробивали броню тол</w:t>
      </w:r>
      <w:r w:rsidRPr="008127F8">
        <w:rPr>
          <w:rFonts w:ascii="Times New Roman" w:cs="Times New Roman"/>
          <w:color w:val="000000" w:themeColor="text1"/>
          <w:spacing w:val="0"/>
          <w:sz w:val="16"/>
          <w:szCs w:val="16"/>
        </w:rPr>
        <w:softHyphen/>
        <w:t>щиной 10 мм при стрельбе по нормали с ди</w:t>
      </w:r>
      <w:r w:rsidRPr="008127F8">
        <w:rPr>
          <w:rFonts w:ascii="Times New Roman" w:cs="Times New Roman"/>
          <w:color w:val="000000" w:themeColor="text1"/>
          <w:spacing w:val="0"/>
          <w:sz w:val="16"/>
          <w:szCs w:val="16"/>
        </w:rPr>
        <w:softHyphen/>
        <w:t xml:space="preserve">станции 100 м. То есть, повышение толщины поперечной брони до 20 мм </w:t>
      </w:r>
      <w:r w:rsidRPr="008127F8">
        <w:rPr>
          <w:rFonts w:ascii="Times New Roman" w:cs="Times New Roman"/>
          <w:color w:val="000000" w:themeColor="text1"/>
          <w:spacing w:val="0"/>
          <w:sz w:val="16"/>
          <w:szCs w:val="16"/>
        </w:rPr>
        <w:lastRenderedPageBreak/>
        <w:t>кардинально про</w:t>
      </w:r>
      <w:r w:rsidRPr="008127F8">
        <w:rPr>
          <w:rFonts w:ascii="Times New Roman" w:cs="Times New Roman"/>
          <w:color w:val="000000" w:themeColor="text1"/>
          <w:spacing w:val="0"/>
          <w:sz w:val="16"/>
          <w:szCs w:val="16"/>
        </w:rPr>
        <w:softHyphen/>
        <w:t>блему надежной защиты экипажа в воздушном бою не решало. В то же время вес бронедеталей значительно возрастал, что негативно ска</w:t>
      </w:r>
      <w:r w:rsidRPr="008127F8">
        <w:rPr>
          <w:rFonts w:ascii="Times New Roman" w:cs="Times New Roman"/>
          <w:color w:val="000000" w:themeColor="text1"/>
          <w:spacing w:val="0"/>
          <w:sz w:val="16"/>
          <w:szCs w:val="16"/>
        </w:rPr>
        <w:softHyphen/>
        <w:t>зывалось на летных данных самолетов.</w:t>
      </w:r>
    </w:p>
    <w:p w14:paraId="43254FDE" w14:textId="77777777" w:rsidR="007C5583" w:rsidRPr="008127F8" w:rsidRDefault="007C5583" w:rsidP="007C5583">
      <w:pPr>
        <w:pStyle w:val="45"/>
        <w:shd w:val="clear" w:color="auto" w:fill="auto"/>
        <w:spacing w:before="0" w:line="240" w:lineRule="auto"/>
        <w:jc w:val="both"/>
        <w:rPr>
          <w:rFonts w:ascii="Times New Roman" w:cs="Times New Roman"/>
          <w:color w:val="000000" w:themeColor="text1"/>
          <w:sz w:val="16"/>
          <w:szCs w:val="16"/>
        </w:rPr>
      </w:pPr>
      <w:r w:rsidRPr="008127F8">
        <w:rPr>
          <w:rStyle w:val="4f1"/>
          <w:rFonts w:ascii="Times New Roman" w:hAnsi="Times New Roman" w:cs="Times New Roman"/>
          <w:color w:val="000000" w:themeColor="text1"/>
          <w:sz w:val="16"/>
          <w:szCs w:val="16"/>
        </w:rPr>
        <w:t>Дополнительный отстрел бронедеталей самолета Ил-2 подтвердил, что</w:t>
      </w:r>
      <w:r w:rsidRPr="008127F8">
        <w:rPr>
          <w:rFonts w:ascii="Times New Roman" w:cs="Times New Roman"/>
          <w:color w:val="000000" w:themeColor="text1"/>
          <w:sz w:val="16"/>
          <w:szCs w:val="16"/>
        </w:rPr>
        <w:t xml:space="preserve"> «задняя це</w:t>
      </w:r>
      <w:r w:rsidRPr="008127F8">
        <w:rPr>
          <w:rFonts w:ascii="Times New Roman" w:cs="Times New Roman"/>
          <w:color w:val="000000" w:themeColor="text1"/>
          <w:sz w:val="16"/>
          <w:szCs w:val="16"/>
        </w:rPr>
        <w:softHyphen/>
        <w:t>ментированная спинка толщиной 12 мм не обеспечивает защиту от бронебойных пуль калибра 15 мм при обстреле ее с дистанции 400 м и ближе в конусе до 40° от продольной оси самолета» (15774).</w:t>
      </w:r>
    </w:p>
    <w:p w14:paraId="0975BEFC" w14:textId="77777777" w:rsidR="007C5583" w:rsidRPr="008127F8" w:rsidRDefault="007C5583" w:rsidP="007C5583">
      <w:pPr>
        <w:pStyle w:val="45"/>
        <w:shd w:val="clear" w:color="auto" w:fill="auto"/>
        <w:spacing w:before="0" w:line="240" w:lineRule="auto"/>
        <w:jc w:val="both"/>
        <w:rPr>
          <w:rFonts w:ascii="Times New Roman" w:cs="Times New Roman"/>
          <w:color w:val="000000" w:themeColor="text1"/>
          <w:sz w:val="16"/>
          <w:szCs w:val="16"/>
        </w:rPr>
      </w:pPr>
    </w:p>
    <w:p w14:paraId="052C7A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мая 1942 был утвержден Отчет о гос. испытаниях ЛаГГ-3 23 серии (796,8).</w:t>
      </w:r>
    </w:p>
    <w:p w14:paraId="165226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8998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мая 1942 закончила работу комиссия по совместным испытаниям ЛаГГ-3 с М-82 (лл А.П.Якимов, А.Г.Кубышкин, ви А.Н.Сангинов от ЛИИ и А.Н.Фролов от НИИ ВВС), которая прибыла на 21 завод 21 апреля (2495,36).</w:t>
      </w:r>
    </w:p>
    <w:p w14:paraId="01BDD49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9223D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мая в 1942 году в Горьком успешно завершились госиспытания самолета </w:t>
      </w:r>
      <w:hyperlink r:id="rId13" w:tgtFrame="_blank" w:history="1">
        <w:r w:rsidRPr="008127F8">
          <w:rPr>
            <w:rFonts w:ascii="Times New Roman" w:hAnsi="Times New Roman"/>
            <w:color w:val="000000" w:themeColor="text1"/>
            <w:sz w:val="16"/>
            <w:szCs w:val="16"/>
          </w:rPr>
          <w:t xml:space="preserve">«Ла-5». </w:t>
        </w:r>
      </w:hyperlink>
      <w:r w:rsidRPr="008127F8">
        <w:rPr>
          <w:rFonts w:ascii="Times New Roman" w:hAnsi="Times New Roman"/>
          <w:color w:val="000000" w:themeColor="text1"/>
          <w:sz w:val="16"/>
          <w:szCs w:val="16"/>
        </w:rPr>
        <w:t>Самолет хотя и уступал по летным данным и вооружению «И-185» с «М-82А», имел то преимущество, что его выпуск мог быть налажен на заводах, выпускавших «ЛаГГ-3» (сохранялась технология и большая часть оснастки), что и осуществили летом 1942 года (14883).</w:t>
      </w:r>
    </w:p>
    <w:p w14:paraId="0375A74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57CB493" w14:textId="77777777" w:rsidR="00CB395E" w:rsidRPr="008A2E5A" w:rsidRDefault="00CB395E" w:rsidP="00CB395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6 мая 1942 удалось завершить основную часть дора</w:t>
      </w:r>
      <w:r w:rsidRPr="008A2E5A">
        <w:rPr>
          <w:rFonts w:ascii="Times New Roman" w:hAnsi="Times New Roman"/>
          <w:color w:val="0070C0"/>
          <w:sz w:val="16"/>
          <w:szCs w:val="16"/>
        </w:rPr>
        <w:softHyphen/>
        <w:t>боток ЛаГГ-3М- 82, а новый маслорадиатор удалось установить на самолет к вечеру 8 мая. За время простоя ЛаГГ-3М-82 на нем кроме но</w:t>
      </w:r>
      <w:r w:rsidRPr="008A2E5A">
        <w:rPr>
          <w:rFonts w:ascii="Times New Roman" w:hAnsi="Times New Roman"/>
          <w:color w:val="0070C0"/>
          <w:sz w:val="16"/>
          <w:szCs w:val="16"/>
        </w:rPr>
        <w:softHyphen/>
        <w:t>вого всасывающего патрубка установили убирающийся костыль, маслобак увеличен</w:t>
      </w:r>
      <w:r w:rsidRPr="008A2E5A">
        <w:rPr>
          <w:rFonts w:ascii="Times New Roman" w:hAnsi="Times New Roman"/>
          <w:color w:val="0070C0"/>
          <w:sz w:val="16"/>
          <w:szCs w:val="16"/>
        </w:rPr>
        <w:softHyphen/>
        <w:t>ного объема, суфлеры закрытого типа, допол</w:t>
      </w:r>
      <w:r w:rsidRPr="008A2E5A">
        <w:rPr>
          <w:rFonts w:ascii="Times New Roman" w:hAnsi="Times New Roman"/>
          <w:color w:val="0070C0"/>
          <w:sz w:val="16"/>
          <w:szCs w:val="16"/>
        </w:rPr>
        <w:softHyphen/>
        <w:t>нительный натяжной тросик малого газа, подключили РПД (регулятор постоянного давления наддува) и заменили карбюратор двигателя. В пятницу 1 мая самолет наконец- то покрасили и отлакировали. Машину выка</w:t>
      </w:r>
      <w:r w:rsidRPr="008A2E5A">
        <w:rPr>
          <w:rFonts w:ascii="Times New Roman" w:hAnsi="Times New Roman"/>
          <w:color w:val="0070C0"/>
          <w:sz w:val="16"/>
          <w:szCs w:val="16"/>
        </w:rPr>
        <w:softHyphen/>
        <w:t>тили на аэродром 8 мая в 19-50.</w:t>
      </w:r>
    </w:p>
    <w:p w14:paraId="6C283AE6" w14:textId="77777777" w:rsidR="00CB395E" w:rsidRPr="008A2E5A" w:rsidRDefault="00CB395E" w:rsidP="00CB395E">
      <w:pPr>
        <w:spacing w:after="0" w:line="240" w:lineRule="auto"/>
        <w:jc w:val="both"/>
        <w:rPr>
          <w:rFonts w:ascii="Times New Roman" w:hAnsi="Times New Roman"/>
          <w:color w:val="0070C0"/>
          <w:sz w:val="16"/>
          <w:szCs w:val="16"/>
        </w:rPr>
      </w:pPr>
    </w:p>
    <w:p w14:paraId="5E687F0A" w14:textId="77777777" w:rsidR="00CB395E" w:rsidRPr="008A2E5A" w:rsidRDefault="00CB395E" w:rsidP="00CB395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мая 1942 года комиссия завершила летные испытания ЛаГГ-3 М-82, за время которых было выполнено 26 полетов (23547).</w:t>
      </w:r>
    </w:p>
    <w:p w14:paraId="69DE9BA4" w14:textId="77777777" w:rsidR="00CB395E" w:rsidRPr="008A2E5A" w:rsidRDefault="00CB395E" w:rsidP="00CB395E">
      <w:pPr>
        <w:spacing w:after="0" w:line="240" w:lineRule="auto"/>
        <w:jc w:val="both"/>
        <w:rPr>
          <w:rFonts w:ascii="Times New Roman" w:hAnsi="Times New Roman"/>
          <w:color w:val="0070C0"/>
          <w:sz w:val="16"/>
          <w:szCs w:val="16"/>
        </w:rPr>
      </w:pPr>
    </w:p>
    <w:p w14:paraId="53A02E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мая 1942 А.С.Я. писал А.И.Ш.:</w:t>
      </w:r>
    </w:p>
    <w:p w14:paraId="432ABC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"Считаю целесообразным запуск в серию до 100 самолетов - одноместных истребителей И-185 М-71, вооруженных 2хШВАКс, который как по своим ЛД: макс. скор. 556 км/час на 0, 630 км/час на 6170 и скороподъемности 5.2 мин на 5000 м, так и по мощности огня превосходит все неприятельские истребители, включая такие как Хе-113 и ФВ-190. Ввиду этого, считаю необходимым немедленно запустить войсковую серию И-185 на заводе 31 в Тбилиси." (2495,36).</w:t>
      </w:r>
    </w:p>
    <w:p w14:paraId="598589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012BD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мая 1942 г. А.С.Я изложил свои соображения по истребительной авиации в до</w:t>
      </w:r>
      <w:r w:rsidRPr="008127F8">
        <w:rPr>
          <w:rFonts w:ascii="Times New Roman" w:hAnsi="Times New Roman"/>
          <w:color w:val="000000" w:themeColor="text1"/>
          <w:sz w:val="16"/>
          <w:szCs w:val="16"/>
        </w:rPr>
        <w:softHyphen/>
        <w:t>кладной записке А.И.Шахурину:</w:t>
      </w:r>
    </w:p>
    <w:p w14:paraId="0EFBA25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«...Выдвигается необходимость применения, хотя бы в небольших количествах, одноместных истребителей с летными и боевыми качествами, значительно превыша</w:t>
      </w:r>
      <w:r w:rsidRPr="008127F8">
        <w:rPr>
          <w:rFonts w:ascii="Times New Roman" w:hAnsi="Times New Roman"/>
          <w:color w:val="000000" w:themeColor="text1"/>
          <w:sz w:val="16"/>
          <w:szCs w:val="16"/>
        </w:rPr>
        <w:softHyphen/>
        <w:t>ющими данные неприятельских современных истреби</w:t>
      </w:r>
      <w:r w:rsidRPr="008127F8">
        <w:rPr>
          <w:rFonts w:ascii="Times New Roman" w:hAnsi="Times New Roman"/>
          <w:color w:val="000000" w:themeColor="text1"/>
          <w:sz w:val="16"/>
          <w:szCs w:val="16"/>
        </w:rPr>
        <w:softHyphen/>
        <w:t>телей.</w:t>
      </w:r>
    </w:p>
    <w:p w14:paraId="668F7EC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Умело маневрируя и перебрасывая по фронту не</w:t>
      </w:r>
      <w:r w:rsidRPr="008127F8">
        <w:rPr>
          <w:rFonts w:ascii="Times New Roman" w:hAnsi="Times New Roman"/>
          <w:color w:val="000000" w:themeColor="text1"/>
          <w:sz w:val="16"/>
          <w:szCs w:val="16"/>
        </w:rPr>
        <w:softHyphen/>
        <w:t>большие группы таких мощных скоростных истребите</w:t>
      </w:r>
      <w:r w:rsidRPr="008127F8">
        <w:rPr>
          <w:rFonts w:ascii="Times New Roman" w:hAnsi="Times New Roman"/>
          <w:color w:val="000000" w:themeColor="text1"/>
          <w:sz w:val="16"/>
          <w:szCs w:val="16"/>
        </w:rPr>
        <w:softHyphen/>
        <w:t>лей, можно добиться психологического в первую очередь, а затем и военного преобладания в воздухе на данном участке фронта.</w:t>
      </w:r>
    </w:p>
    <w:p w14:paraId="2A007C3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Считаю целесообразным запуск в серию до 100 само</w:t>
      </w:r>
      <w:r w:rsidRPr="008127F8">
        <w:rPr>
          <w:rFonts w:ascii="Times New Roman" w:hAnsi="Times New Roman"/>
          <w:color w:val="000000" w:themeColor="text1"/>
          <w:sz w:val="16"/>
          <w:szCs w:val="16"/>
        </w:rPr>
        <w:softHyphen/>
        <w:t>летов одноместных истребителей И-185 под мотор М-71, вооруженных двумя синхронными пушками ШВАК.</w:t>
      </w:r>
    </w:p>
    <w:p w14:paraId="6FA9A8C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по своим данным:</w:t>
      </w:r>
    </w:p>
    <w:p w14:paraId="5ABD155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у земли при форсаже - 556 км/ч,</w:t>
      </w:r>
    </w:p>
    <w:p w14:paraId="22E7864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высоте 6170 м - 630 км/ч,</w:t>
      </w:r>
    </w:p>
    <w:p w14:paraId="271791C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скороподъемность на 5000 м - 5,2 мин,</w:t>
      </w:r>
    </w:p>
    <w:p w14:paraId="4E3FA74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 и по мощности огня И-185 превосходит все не</w:t>
      </w:r>
      <w:r w:rsidRPr="008127F8">
        <w:rPr>
          <w:rFonts w:ascii="Times New Roman" w:hAnsi="Times New Roman"/>
          <w:color w:val="000000" w:themeColor="text1"/>
          <w:sz w:val="16"/>
          <w:szCs w:val="16"/>
        </w:rPr>
        <w:softHyphen/>
        <w:t>приятельские истребители, включая и такие, как Хе-113 (так у нас до лета 1942 г. ошибочно обозначались истре</w:t>
      </w:r>
      <w:r w:rsidRPr="008127F8">
        <w:rPr>
          <w:rFonts w:ascii="Times New Roman" w:hAnsi="Times New Roman"/>
          <w:color w:val="000000" w:themeColor="text1"/>
          <w:sz w:val="16"/>
          <w:szCs w:val="16"/>
        </w:rPr>
        <w:softHyphen/>
        <w:t>бители Мессершмитт ВМ09Р. - В.И.) и ФВ-190.</w:t>
      </w:r>
    </w:p>
    <w:p w14:paraId="7B00320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Ввиду этого считаю необходимым немедленно запу</w:t>
      </w:r>
      <w:r w:rsidRPr="008127F8">
        <w:rPr>
          <w:rFonts w:ascii="Times New Roman" w:hAnsi="Times New Roman"/>
          <w:color w:val="000000" w:themeColor="text1"/>
          <w:sz w:val="16"/>
          <w:szCs w:val="16"/>
        </w:rPr>
        <w:softHyphen/>
        <w:t>стить войсковую серию истребителей И-185 на заводе №31 в Тбилиси» (10667). Тем самым открыто признавалось, что единствен</w:t>
      </w:r>
      <w:r w:rsidRPr="008127F8">
        <w:rPr>
          <w:rFonts w:ascii="Times New Roman" w:hAnsi="Times New Roman"/>
          <w:color w:val="000000" w:themeColor="text1"/>
          <w:sz w:val="16"/>
          <w:szCs w:val="16"/>
        </w:rPr>
        <w:softHyphen/>
        <w:t>ным самолетом, не уступавшим по характеристикам но</w:t>
      </w:r>
      <w:r w:rsidRPr="008127F8">
        <w:rPr>
          <w:rFonts w:ascii="Times New Roman" w:hAnsi="Times New Roman"/>
          <w:color w:val="000000" w:themeColor="text1"/>
          <w:sz w:val="16"/>
          <w:szCs w:val="16"/>
        </w:rPr>
        <w:softHyphen/>
        <w:t>вейшим немецким истребителям, к лету 1942 г. у нас являлся лишь И-185. В документе явственно просматривает</w:t>
      </w:r>
      <w:r w:rsidRPr="008127F8">
        <w:rPr>
          <w:rFonts w:ascii="Times New Roman" w:hAnsi="Times New Roman"/>
          <w:color w:val="000000" w:themeColor="text1"/>
          <w:sz w:val="16"/>
          <w:szCs w:val="16"/>
        </w:rPr>
        <w:softHyphen/>
        <w:t>ся политика Яковлева: использование И-185 для вытес</w:t>
      </w:r>
      <w:r w:rsidRPr="008127F8">
        <w:rPr>
          <w:rFonts w:ascii="Times New Roman" w:hAnsi="Times New Roman"/>
          <w:color w:val="000000" w:themeColor="text1"/>
          <w:sz w:val="16"/>
          <w:szCs w:val="16"/>
        </w:rPr>
        <w:softHyphen/>
        <w:t>нения Ла-5. Но объективно он был прав: настало время позаботиться о качестве нашей истребительной авиа</w:t>
      </w:r>
      <w:r w:rsidRPr="008127F8">
        <w:rPr>
          <w:rFonts w:ascii="Times New Roman" w:hAnsi="Times New Roman"/>
          <w:color w:val="000000" w:themeColor="text1"/>
          <w:sz w:val="16"/>
          <w:szCs w:val="16"/>
        </w:rPr>
        <w:softHyphen/>
        <w:t>ции. Однако призыв Яковлева остался без внимания: авиапромышленность только начала выходить из кри</w:t>
      </w:r>
      <w:r w:rsidRPr="008127F8">
        <w:rPr>
          <w:rFonts w:ascii="Times New Roman" w:hAnsi="Times New Roman"/>
          <w:color w:val="000000" w:themeColor="text1"/>
          <w:sz w:val="16"/>
          <w:szCs w:val="16"/>
        </w:rPr>
        <w:softHyphen/>
        <w:t>зиса, вызванного эвакуацией, поэтому руководство НКАП и ВВС в первую очередь волновала проблема на</w:t>
      </w:r>
      <w:r w:rsidRPr="008127F8">
        <w:rPr>
          <w:rFonts w:ascii="Times New Roman" w:hAnsi="Times New Roman"/>
          <w:color w:val="000000" w:themeColor="text1"/>
          <w:sz w:val="16"/>
          <w:szCs w:val="16"/>
        </w:rPr>
        <w:softHyphen/>
        <w:t>сыщения нашей авиации боевыми самолетами, а не ее качественный уровень. Внедрение в серию принципи</w:t>
      </w:r>
      <w:r w:rsidRPr="008127F8">
        <w:rPr>
          <w:rFonts w:ascii="Times New Roman" w:hAnsi="Times New Roman"/>
          <w:color w:val="000000" w:themeColor="text1"/>
          <w:sz w:val="16"/>
          <w:szCs w:val="16"/>
        </w:rPr>
        <w:softHyphen/>
        <w:t>ально новых машин приводило к сокращению темпов выпуска (пусть даже к временному и на одном заводе), что, по мнению руководства, являлось неприемлемым. Напряженные воздушные сражения в небе Сталин</w:t>
      </w:r>
      <w:r w:rsidRPr="008127F8">
        <w:rPr>
          <w:rFonts w:ascii="Times New Roman" w:hAnsi="Times New Roman"/>
          <w:color w:val="000000" w:themeColor="text1"/>
          <w:sz w:val="16"/>
          <w:szCs w:val="16"/>
        </w:rPr>
        <w:softHyphen/>
        <w:t>града показали, что не только количественное, но и качественное превосходство остается за противником -истребители Мессершмитт Вf-109Р и Вf-109С превосхо</w:t>
      </w:r>
      <w:r w:rsidRPr="008127F8">
        <w:rPr>
          <w:rFonts w:ascii="Times New Roman" w:hAnsi="Times New Roman"/>
          <w:color w:val="000000" w:themeColor="text1"/>
          <w:sz w:val="16"/>
          <w:szCs w:val="16"/>
        </w:rPr>
        <w:softHyphen/>
        <w:t>дили по совокупным характеристикам советские само</w:t>
      </w:r>
      <w:r w:rsidRPr="008127F8">
        <w:rPr>
          <w:rFonts w:ascii="Times New Roman" w:hAnsi="Times New Roman"/>
          <w:color w:val="000000" w:themeColor="text1"/>
          <w:sz w:val="16"/>
          <w:szCs w:val="16"/>
        </w:rPr>
        <w:softHyphen/>
        <w:t>леты. Немалую роль в результатах воздушных сражений играла и выучка летного состава. В результате немцы в августе-сентябре 1942 г. полностью захватили господство в воздухе. Командированные на Сталин</w:t>
      </w:r>
      <w:r w:rsidRPr="008127F8">
        <w:rPr>
          <w:rFonts w:ascii="Times New Roman" w:hAnsi="Times New Roman"/>
          <w:color w:val="000000" w:themeColor="text1"/>
          <w:sz w:val="16"/>
          <w:szCs w:val="16"/>
        </w:rPr>
        <w:softHyphen/>
        <w:t>градский и Донской фронты представители НИИ ВВС КА Аноприенко, Зайцев, Степанец в сентябре 1942 г. констатировали, что Як-1 и Як-7 с мотором М-105ПФ уступают немецким истребителям в скорости в опреде</w:t>
      </w:r>
      <w:r w:rsidRPr="008127F8">
        <w:rPr>
          <w:rFonts w:ascii="Times New Roman" w:hAnsi="Times New Roman"/>
          <w:color w:val="000000" w:themeColor="text1"/>
          <w:sz w:val="16"/>
          <w:szCs w:val="16"/>
        </w:rPr>
        <w:softHyphen/>
        <w:t>ленных диапазонах высот, скороподъемности и верти</w:t>
      </w:r>
      <w:r w:rsidRPr="008127F8">
        <w:rPr>
          <w:rFonts w:ascii="Times New Roman" w:hAnsi="Times New Roman"/>
          <w:color w:val="000000" w:themeColor="text1"/>
          <w:sz w:val="16"/>
          <w:szCs w:val="16"/>
        </w:rPr>
        <w:softHyphen/>
        <w:t>кальному маневру и способны вести с ними только оборонительные бои. Отмечалось слабое вооружение Як-1 и приводилось мнение фронтовых летчиков о том, что для успешного ведения воздушных боев в этих ус</w:t>
      </w:r>
      <w:r w:rsidRPr="008127F8">
        <w:rPr>
          <w:rFonts w:ascii="Times New Roman" w:hAnsi="Times New Roman"/>
          <w:color w:val="000000" w:themeColor="text1"/>
          <w:sz w:val="16"/>
          <w:szCs w:val="16"/>
        </w:rPr>
        <w:softHyphen/>
        <w:t>ловиях необходимо иметь двойное превосходство сил. Это же относилось, правда в меньшей степени, и к истребителю Ла-5 (10667).</w:t>
      </w:r>
    </w:p>
    <w:p w14:paraId="518CAA2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67C7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мая 1942 на Би-1 доводили герметичность и заправляли его топливом, а 7 была плохая погода (172,185).</w:t>
      </w:r>
    </w:p>
    <w:p w14:paraId="546F6B5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7C5583" w:rsidRPr="008127F8" w14:paraId="7F2269DD" w14:textId="77777777" w:rsidTr="004C5D62">
        <w:tc>
          <w:tcPr>
            <w:tcW w:w="675" w:type="dxa"/>
            <w:tcBorders>
              <w:top w:val="single" w:sz="12" w:space="0" w:color="auto"/>
            </w:tcBorders>
          </w:tcPr>
          <w:p w14:paraId="5175677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п/п</w:t>
            </w:r>
          </w:p>
        </w:tc>
        <w:tc>
          <w:tcPr>
            <w:tcW w:w="993" w:type="dxa"/>
            <w:tcBorders>
              <w:top w:val="single" w:sz="12" w:space="0" w:color="auto"/>
            </w:tcBorders>
          </w:tcPr>
          <w:p w14:paraId="200FBE1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Дата</w:t>
            </w:r>
          </w:p>
        </w:tc>
        <w:tc>
          <w:tcPr>
            <w:tcW w:w="708" w:type="dxa"/>
            <w:tcBorders>
              <w:top w:val="single" w:sz="12" w:space="0" w:color="auto"/>
            </w:tcBorders>
          </w:tcPr>
          <w:p w14:paraId="16FC3B1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Заводов</w:t>
            </w:r>
          </w:p>
        </w:tc>
        <w:tc>
          <w:tcPr>
            <w:tcW w:w="1418" w:type="dxa"/>
            <w:tcBorders>
              <w:top w:val="single" w:sz="12" w:space="0" w:color="auto"/>
            </w:tcBorders>
          </w:tcPr>
          <w:p w14:paraId="6574C1A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w:t>
            </w:r>
          </w:p>
        </w:tc>
        <w:tc>
          <w:tcPr>
            <w:tcW w:w="2364" w:type="dxa"/>
            <w:tcBorders>
              <w:top w:val="single" w:sz="12" w:space="0" w:color="auto"/>
            </w:tcBorders>
          </w:tcPr>
          <w:p w14:paraId="4B3699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08B7682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Краткое описание и причины происшествия</w:t>
            </w:r>
          </w:p>
        </w:tc>
      </w:tr>
      <w:tr w:rsidR="007C5583" w:rsidRPr="008127F8" w14:paraId="2FE6FAAC" w14:textId="77777777" w:rsidTr="004C5D62">
        <w:tc>
          <w:tcPr>
            <w:tcW w:w="675" w:type="dxa"/>
            <w:tcBorders>
              <w:bottom w:val="single" w:sz="12" w:space="0" w:color="auto"/>
            </w:tcBorders>
          </w:tcPr>
          <w:p w14:paraId="6644461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p>
        </w:tc>
        <w:tc>
          <w:tcPr>
            <w:tcW w:w="993" w:type="dxa"/>
            <w:tcBorders>
              <w:bottom w:val="single" w:sz="12" w:space="0" w:color="auto"/>
            </w:tcBorders>
          </w:tcPr>
          <w:p w14:paraId="64427FB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мая 1942</w:t>
            </w:r>
          </w:p>
        </w:tc>
        <w:tc>
          <w:tcPr>
            <w:tcW w:w="708" w:type="dxa"/>
            <w:tcBorders>
              <w:bottom w:val="single" w:sz="12" w:space="0" w:color="auto"/>
            </w:tcBorders>
          </w:tcPr>
          <w:p w14:paraId="662A0CE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1418" w:type="dxa"/>
            <w:tcBorders>
              <w:bottom w:val="single" w:sz="12" w:space="0" w:color="auto"/>
            </w:tcBorders>
          </w:tcPr>
          <w:p w14:paraId="763EFFE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В.Н.Колонцов</w:t>
            </w:r>
          </w:p>
        </w:tc>
        <w:tc>
          <w:tcPr>
            <w:tcW w:w="2364" w:type="dxa"/>
            <w:tcBorders>
              <w:bottom w:val="single" w:sz="12" w:space="0" w:color="auto"/>
            </w:tcBorders>
          </w:tcPr>
          <w:p w14:paraId="69ECC51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Авария У-2 транспортного</w:t>
            </w:r>
          </w:p>
        </w:tc>
        <w:tc>
          <w:tcPr>
            <w:tcW w:w="4440" w:type="dxa"/>
            <w:tcBorders>
              <w:bottom w:val="single" w:sz="12" w:space="0" w:color="auto"/>
            </w:tcBorders>
          </w:tcPr>
          <w:p w14:paraId="3B51103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посадке в сложных метеоусловиях и по ветру с-т скапотировал</w:t>
            </w:r>
          </w:p>
        </w:tc>
      </w:tr>
    </w:tbl>
    <w:p w14:paraId="4B2B6E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(2108,266)</w:t>
      </w:r>
    </w:p>
    <w:p w14:paraId="5C3272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6B40F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2BA7644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BE9B8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мая 1942 г. было подготовлено ПРЕДЛОЖЕНИЕ АТУ ГАБТУ КА ЗАМПРЕДУ СНК СССР ПО РЕЗУЛЬТАТАМ СРАВНИТЕЛЬНЫХ ИСПЫТАНИЙ НЕМЕЦКОГО ТЯГАЧА НСУ И ГАЗ-64</w:t>
      </w:r>
    </w:p>
    <w:p w14:paraId="5E61A2E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результатах испытания трофейного, немецкого полугусеничного тягача «НСУ» Проведенные научно-испытательным полигоном ГАБТУ КА кратковременные испытания тро</w:t>
      </w:r>
      <w:r w:rsidRPr="008127F8">
        <w:rPr>
          <w:rFonts w:ascii="Times New Roman" w:hAnsi="Times New Roman"/>
          <w:color w:val="000000" w:themeColor="text1"/>
          <w:sz w:val="16"/>
          <w:szCs w:val="16"/>
        </w:rPr>
        <w:softHyphen/>
        <w:t>фейного, немецкого, малого полугусеничного тягача НСУ в сравнении с автомобилем ГАЗ-64 пока</w:t>
      </w:r>
      <w:r w:rsidRPr="008127F8">
        <w:rPr>
          <w:rFonts w:ascii="Times New Roman" w:hAnsi="Times New Roman"/>
          <w:color w:val="000000" w:themeColor="text1"/>
          <w:sz w:val="16"/>
          <w:szCs w:val="16"/>
        </w:rPr>
        <w:softHyphen/>
        <w:t>зали, что:</w:t>
      </w:r>
    </w:p>
    <w:p w14:paraId="62B31A0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Немецкий тягач НСУ и автомобиль ГАЗ-64 по силе тяги и проходимости могут буксировать 45-мм противотанковую пушку. Однако, ни тягач, ни автомобиль ГАЗ-64 не в состоянии перевозить штатный расчет пушки, состоящий из 5 человек и боекомплект.</w:t>
      </w:r>
    </w:p>
    <w:p w14:paraId="0BF9B15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Буксировка 37-мм зенитной пушки с расчетом 3 человека вместо семи немецким тягачем и ГАЗ-64 возможна только по хорошим шоссейным и проселочным дорогам.</w:t>
      </w:r>
    </w:p>
    <w:p w14:paraId="0516398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Скорости движения тягача НСУ в сравнении с автомобилем ГАЗ-64 как при буксировке артсистемы, так и без них ниже, а расход горючего выше.</w:t>
      </w:r>
    </w:p>
    <w:p w14:paraId="40AA4D8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Проходимость тягача по проселочным и лесным дорогам в период весеннего бездорожья луч</w:t>
      </w:r>
      <w:r w:rsidRPr="008127F8">
        <w:rPr>
          <w:rFonts w:ascii="Times New Roman" w:hAnsi="Times New Roman"/>
          <w:color w:val="000000" w:themeColor="text1"/>
          <w:sz w:val="16"/>
          <w:szCs w:val="16"/>
        </w:rPr>
        <w:softHyphen/>
        <w:t>ше, чем ГАЗ-64.</w:t>
      </w:r>
    </w:p>
    <w:p w14:paraId="606D318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Конструкция тягача НСУ, особенно механизм управления и движитель, являются сложными в производстве и потребуют весьма продолжительного времени для освоения.</w:t>
      </w:r>
    </w:p>
    <w:p w14:paraId="5812AB3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Отсутствие преимущества тягача НСУ в сравнении с ГАЗ-64 как по динамическим, так и по тя</w:t>
      </w:r>
      <w:r w:rsidRPr="008127F8">
        <w:rPr>
          <w:rFonts w:ascii="Times New Roman" w:hAnsi="Times New Roman"/>
          <w:color w:val="000000" w:themeColor="text1"/>
          <w:sz w:val="16"/>
          <w:szCs w:val="16"/>
        </w:rPr>
        <w:softHyphen/>
        <w:t>говым качествам, сложность конструкции тягача и трудности освоения его производства дают осно</w:t>
      </w:r>
      <w:r w:rsidRPr="008127F8">
        <w:rPr>
          <w:rFonts w:ascii="Times New Roman" w:hAnsi="Times New Roman"/>
          <w:color w:val="000000" w:themeColor="text1"/>
          <w:sz w:val="16"/>
          <w:szCs w:val="16"/>
        </w:rPr>
        <w:softHyphen/>
        <w:t>вание сделать вывод о нецелесообразности принятия его на производство.</w:t>
      </w:r>
    </w:p>
    <w:p w14:paraId="5F3F314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Наиболее удовлетворяющей требованиям буксировки 37 мм зенитной пушки и 45-мм противо</w:t>
      </w:r>
      <w:r w:rsidRPr="008127F8">
        <w:rPr>
          <w:rFonts w:ascii="Times New Roman" w:hAnsi="Times New Roman"/>
          <w:color w:val="000000" w:themeColor="text1"/>
          <w:sz w:val="16"/>
          <w:szCs w:val="16"/>
        </w:rPr>
        <w:softHyphen/>
        <w:t>танковой пушки с полным расчетом является автомобиль ГАЗ-61 пикап.</w:t>
      </w:r>
    </w:p>
    <w:p w14:paraId="1652318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этого автомобиля несложно и освоено автозаводом им. Молотова. Отсутствие до</w:t>
      </w:r>
      <w:r w:rsidRPr="008127F8">
        <w:rPr>
          <w:rFonts w:ascii="Times New Roman" w:hAnsi="Times New Roman"/>
          <w:color w:val="000000" w:themeColor="text1"/>
          <w:sz w:val="16"/>
          <w:szCs w:val="16"/>
        </w:rPr>
        <w:softHyphen/>
        <w:t>статочного количества моторов М-11 поставило перед необходимостью прекращения производства этих автомашин.</w:t>
      </w:r>
    </w:p>
    <w:p w14:paraId="6A4305D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Конструкция автомобиля ГАЗ-61 Пикап может допустить постановку деревянного кузова, вме</w:t>
      </w:r>
      <w:r w:rsidRPr="008127F8">
        <w:rPr>
          <w:rFonts w:ascii="Times New Roman" w:hAnsi="Times New Roman"/>
          <w:color w:val="000000" w:themeColor="text1"/>
          <w:sz w:val="16"/>
          <w:szCs w:val="16"/>
        </w:rPr>
        <w:softHyphen/>
        <w:t>сто металлического.</w:t>
      </w:r>
    </w:p>
    <w:p w14:paraId="28442EB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возможность постановки на автомашине ГАЗ-61 пикап двигателя М-1 вместо М-11 без особого ухудшения динамических и тяговых качеств, считаю необходимым возобновить производ</w:t>
      </w:r>
      <w:r w:rsidRPr="008127F8">
        <w:rPr>
          <w:rFonts w:ascii="Times New Roman" w:hAnsi="Times New Roman"/>
          <w:color w:val="000000" w:themeColor="text1"/>
          <w:sz w:val="16"/>
          <w:szCs w:val="16"/>
        </w:rPr>
        <w:softHyphen/>
        <w:t>ство этих автомашин и сделать их основными тягачами противотанковой артиллерии Красной Ар</w:t>
      </w:r>
      <w:r w:rsidRPr="008127F8">
        <w:rPr>
          <w:rFonts w:ascii="Times New Roman" w:hAnsi="Times New Roman"/>
          <w:color w:val="000000" w:themeColor="text1"/>
          <w:sz w:val="16"/>
          <w:szCs w:val="16"/>
        </w:rPr>
        <w:softHyphen/>
        <w:t>мии.</w:t>
      </w:r>
    </w:p>
    <w:p w14:paraId="5AC04CD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распоряжений Наркомсредмашу о массовом выпуске автомобилей ГАЗ-61 пикап с мото</w:t>
      </w:r>
      <w:r w:rsidRPr="008127F8">
        <w:rPr>
          <w:rFonts w:ascii="Times New Roman" w:hAnsi="Times New Roman"/>
          <w:color w:val="000000" w:themeColor="text1"/>
          <w:sz w:val="16"/>
          <w:szCs w:val="16"/>
        </w:rPr>
        <w:softHyphen/>
        <w:t>ром М-1, упрощенной деревянной кабиной и кузовом.</w:t>
      </w:r>
    </w:p>
    <w:p w14:paraId="1E50965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Приложение: отчет по испытанию трофейного, немецкого малого тягача на 29 листах с 15 фото.</w:t>
      </w:r>
    </w:p>
    <w:p w14:paraId="14A4775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АТУ ГАБТУ КА генерал-майор технических войск Тягунов</w:t>
      </w:r>
    </w:p>
    <w:p w14:paraId="04827E5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АТУ ГАБТУ КА полковой комиссар Лозовский</w:t>
      </w:r>
    </w:p>
    <w:p w14:paraId="1D350175"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11386. Д. 253. Л. 76. Копия (11211).</w:t>
      </w:r>
    </w:p>
    <w:p w14:paraId="1585AE0A"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kern w:val="65535"/>
          <w:sz w:val="16"/>
          <w:szCs w:val="16"/>
        </w:rPr>
      </w:pPr>
    </w:p>
    <w:p w14:paraId="44726284" w14:textId="77777777" w:rsidR="007C5583" w:rsidRPr="008127F8" w:rsidRDefault="007C5583" w:rsidP="007C5583">
      <w:pPr>
        <w:pStyle w:val="book"/>
        <w:ind w:firstLine="0"/>
        <w:jc w:val="both"/>
        <w:rPr>
          <w:color w:val="000000" w:themeColor="text1"/>
          <w:sz w:val="16"/>
          <w:szCs w:val="16"/>
        </w:rPr>
      </w:pPr>
      <w:r w:rsidRPr="008127F8">
        <w:rPr>
          <w:color w:val="000000" w:themeColor="text1"/>
          <w:sz w:val="16"/>
          <w:szCs w:val="16"/>
        </w:rPr>
        <w:t>6 мая 1942 г. вышел отчет о сравнительных испытаниях трофейного немецкого тягача Sd.Kfz.2, который у нас попросту назывался НСУ, и нашего автомобиля ГАЗ-64: «немецкий тягач НСУ и автомобиль ГАЗ-64 по силе тяги и проходимости могут буксировать 45-мм противотанковую пушку. Однако ни тягач, ни автомобиль ГАЗ-64 не в состоянии перевозить штатный расчет пушки, состоящий из 5 человек, и боекомплект. Буксировка 37-мм зенитной пушки с расчетом в 3 человека вместо семи немецким тягачом и ГАЗ-64 возможна только по хорошим шоссейным дорогам...</w:t>
      </w:r>
    </w:p>
    <w:p w14:paraId="733A3439" w14:textId="77777777" w:rsidR="007C5583" w:rsidRPr="008127F8" w:rsidRDefault="007C5583" w:rsidP="007C5583">
      <w:pPr>
        <w:pStyle w:val="book"/>
        <w:ind w:firstLine="0"/>
        <w:jc w:val="both"/>
        <w:rPr>
          <w:color w:val="000000" w:themeColor="text1"/>
          <w:sz w:val="16"/>
          <w:szCs w:val="16"/>
        </w:rPr>
      </w:pPr>
      <w:r w:rsidRPr="008127F8">
        <w:rPr>
          <w:color w:val="000000" w:themeColor="text1"/>
          <w:sz w:val="16"/>
          <w:szCs w:val="16"/>
        </w:rPr>
        <w:t>Проходимость тягача по проселочным и лесным дорогам в период весеннего бездорожья лучше, чем ГАЗ-64...</w:t>
      </w:r>
    </w:p>
    <w:p w14:paraId="1AF2597C" w14:textId="77777777" w:rsidR="007C5583" w:rsidRPr="008127F8" w:rsidRDefault="007C5583" w:rsidP="007C5583">
      <w:pPr>
        <w:pStyle w:val="book"/>
        <w:ind w:firstLine="0"/>
        <w:jc w:val="both"/>
        <w:rPr>
          <w:color w:val="000000" w:themeColor="text1"/>
          <w:sz w:val="16"/>
          <w:szCs w:val="16"/>
        </w:rPr>
      </w:pPr>
      <w:r w:rsidRPr="008127F8">
        <w:rPr>
          <w:color w:val="000000" w:themeColor="text1"/>
          <w:sz w:val="16"/>
          <w:szCs w:val="16"/>
        </w:rPr>
        <w:t>Отсутствие преимущества тягача НСУ в сравнении с ГАЗ-64 как по динамическим, так и по тяговым качествам, сложность конструкции тягача и трудности освоения его производства дают основания сделать вывод о нецелесообразности принятия его на производство» (15225).</w:t>
      </w:r>
    </w:p>
    <w:p w14:paraId="5E5F9761" w14:textId="77777777" w:rsidR="007C5583" w:rsidRPr="008127F8" w:rsidRDefault="007C5583" w:rsidP="007C5583">
      <w:pPr>
        <w:pStyle w:val="book"/>
        <w:ind w:firstLine="0"/>
        <w:jc w:val="both"/>
        <w:rPr>
          <w:color w:val="000000" w:themeColor="text1"/>
          <w:sz w:val="16"/>
          <w:szCs w:val="16"/>
        </w:rPr>
      </w:pPr>
    </w:p>
    <w:p w14:paraId="143F39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мая 1942 вышло Постановление ГКО № 1707 О плане производства боеприпасов на май месяц 1942 г. РГАНИР, Фонд ГКО, д. 33, лл. 78-88, 89-243 (11012).</w:t>
      </w:r>
    </w:p>
    <w:p w14:paraId="589F3E0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1C4E9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мая 1942 вышло Постановление ГКО № 1708 О введении летнего графика движения поездов на 1942 г. (7033, 244).</w:t>
      </w:r>
    </w:p>
    <w:p w14:paraId="08FFD6D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E1C3C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мая 1942 вышло Постановление ГКО № 1709 Об обеспечении торфоразработок Наркомэлектростанций рабочей силой [из рабочих колонн САВО и военнопленных]. (7033, 245).</w:t>
      </w:r>
    </w:p>
    <w:p w14:paraId="45219D8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A579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мая 1942 г. на эсминце "Громкий" при 8-балльном волнении в Баренцевом море корпус переломился в районе 38-го шп. Носовую часть залило водой через трещины в обшивке, и она затонула, но корабль удалось спасти. Подкрепления элементов набора в носовой части, выполненные на "семерках" еще по опыту советско-финляндской войны, отнюдь не решали проблему общей прочности корпусов (3898).</w:t>
      </w:r>
    </w:p>
    <w:p w14:paraId="28369A7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D1277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5FE4D93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6D5DD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мая в 1942 году утреннее сообщение Совинформбюро:</w:t>
      </w:r>
    </w:p>
    <w:p w14:paraId="23B67CB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6 мая на фронте чего-либо существенного не произошло.</w:t>
      </w:r>
    </w:p>
    <w:p w14:paraId="2ADB505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ожесточённых уличных боях в одном из населённых пунктов (Калининский фронт) бойцы под командованием тов. Рудакова уничтожили 400 немецких солдат и офицеров, 2 орудия, 2 миномёта, один танк и взорвали склад с боеприпасами. На другом участке фронта наши кавалеристы выбили противника из 3 населённых пунктов.</w:t>
      </w:r>
    </w:p>
    <w:p w14:paraId="3AA728D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Ночью разведывательная группа противника пыталась проникнуть в расположениенаших частей, действующих на Западном фронте. Обнаружив вражеских разведчиков, наши бойцы открыли ружейно-пулемётный и миномётный огонь и вынудили немцев отойти на исходные позиции. На поле боя осталось 60 убитых гитлеровцев.</w:t>
      </w:r>
    </w:p>
    <w:p w14:paraId="39D5F81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наших бойцов, проникнув в тыл врага, минировала железнодорожный мост. Проходивший воинский эшелон противника потерпел крушение. Убито и ранено свыше 150 гитлеровцев.</w:t>
      </w:r>
    </w:p>
    <w:p w14:paraId="609BC1E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Тринадцать наших снайперов во главе с политруком Сергеевым за три дня истребили 65 немецких солдат и офицеров. Красноармейцы т.т. Ковалёв и Токарев уничтожили по 8 гитлеровцев.</w:t>
      </w:r>
    </w:p>
    <w:p w14:paraId="526BA20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орловских партизан под командованием тов. С. пустил под откос железнодорожный состав с немецкими солдатами и офицерами. На другой день партизаны сожгли вражеский танк и взорвали железнодорожное полотно на протяжении 200 метров.</w:t>
      </w:r>
    </w:p>
    <w:p w14:paraId="0634975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выписки из дневника немецкого унтер-офицера Карла Кемпера:</w:t>
      </w:r>
    </w:p>
    <w:p w14:paraId="2A9F2E3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марта. Наконец, мы в Любани. Разгружаемся... Разговаривали с солдатами, уже участвовавшими в боях. Война им всем страшно надоела.</w:t>
      </w:r>
    </w:p>
    <w:p w14:paraId="37BDAC2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апреля. Утром русские решительно пошли вперёд. Возле меня один наш солдат был ранен, другой — убит.</w:t>
      </w:r>
    </w:p>
    <w:p w14:paraId="0281634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Русские опять продвинулись вперёд. Это просто удивительно, с каким напором они наступают. Мы совсем лишены сна. В отделении ещё несколько убитых.</w:t>
      </w:r>
    </w:p>
    <w:p w14:paraId="38C9725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апреля. Утром всё было спокойно. Вдруг в половине дня начала бить русская артиллерия. Сразу четыре прямых попадания в наши позиции. Много раненых и убитых. Георг Берг ранен осколком. Многие солдаты перепугались насмерть, побросали винтовки и убежали в лес».</w:t>
      </w:r>
    </w:p>
    <w:p w14:paraId="2334DA5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Немецкому солдату Генриху Бунде пишет его брат из Петерсдорфа «Весна в этом году запаздывает, но у нас в деревне не торопятся с севом. Сейчас всем предложено сдать картофель. Забирают даже то, что оставлено для посева. Я просто не знаю, что делать».</w:t>
      </w:r>
    </w:p>
    <w:p w14:paraId="3DA803F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бойцы, продвигаясь вперёд, обнаружили тяжело раненного красноармейца Стевельбрука. Придя в себя, он рассказал следующее: «Я вместе с группой красноармейцев, выполнив боевое задание, возвращался в свою часть. Неожиданно нас обстреляли замаскированные пулемёты противника. Я и ещё четверо моих товарищей были тяжело ранены. Немцы настигли нас и учинили жестокую расправу. Одному раненому красноармейцу гитлеровцы прикладом размозжили голову, троих бойцов долго пытали, а потом пристрелили из пистолетов. Меня немецкий офицер избил, а затем ранил выстрелом в упор. Я потерял сознание».</w:t>
      </w:r>
    </w:p>
    <w:p w14:paraId="71ACA01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Положение в Финляндии обостряется с каждым днём. Надвигающаяся катастрофа вызвала тревогу и растерянность среди финских лакеев и подручных Гитлера. Так, финский министр Пеккала на днях заявил: «Наши экономические затруднения весьма серьёзны, особенно с продовольствием... Посадочного картофеля в Финляндии почти нет. Проведению весеннего сева у нас препятствует больше всего отсутствиие рабочей силы. По этой же причине срывается сплав леса». Газета «Вазабладет» признаёт наличие в стране «скрытой оппозиции против правительства». Газета «Сатакуннан канса» мечет гром и молнии против тех, кто говорит о мире, и предлагает «поступать с людьми, сеющими пессимизм, неуверенность и недовольство, как с агентами врага» (14883).</w:t>
      </w:r>
    </w:p>
    <w:p w14:paraId="0687C87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22232C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мая в 1942 году вечернее сообщение Совинформбюро:</w:t>
      </w:r>
    </w:p>
    <w:p w14:paraId="1503DDC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6 мая на фронте ничего существенного не произошло.</w:t>
      </w:r>
    </w:p>
    <w:p w14:paraId="506100E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уточнённым данным, за 4 мая уничтожено не 12 немецких самолётов, как об этом сообщалось ранее, а 14 немецких самолётов.</w:t>
      </w:r>
    </w:p>
    <w:p w14:paraId="346D5CD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5 мая уничтожено 6 немецких самолётов. Наши потери — 5 самолётов.</w:t>
      </w:r>
    </w:p>
    <w:p w14:paraId="628E73C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 корабль в Баренцевом море потопил транспорт противника водоизмещением в 5.000 тонн.</w:t>
      </w:r>
    </w:p>
    <w:p w14:paraId="0DFD49F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5 мая частями нашей авиации уничтожено или повреждено 2 немецких танка, 65 автомашин с войсками и грузами, 8 зенитно-пулемётных точек, взорван склад с боеприпасами, разбит железнодорожный состав, рассеяно и частью уничтожено до двух рот пехоты противника.</w:t>
      </w:r>
    </w:p>
    <w:p w14:paraId="490ADE3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упорных двухдневных боях наши части, действующие на одном из участков Калининского фронта, уничтожили более 1.000 немецких солдат и офицеров. На другом участке советские кавалеристы выбили противника из населённого пункта. Немцы потеряли убитыми и ранеными 300 солдат и офицеров. Наши бойцы подбили немецкий танк и захватили у противника следующие трофеи: 8 станковых, 7 ручных и 3 крупнокалиберных пулемёта, 6 миномётов, 1 автоматическую пушку, 105 винтовок и 10.000 патронов. Взято в плен несколько десятков немецких солдат.</w:t>
      </w:r>
    </w:p>
    <w:p w14:paraId="40FCF11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уничтожили 500 вражеских солдат и офицеров. Зенитчики подразделения тов. Суворова сбили немецкий истребитель «Мессершмитт-109».</w:t>
      </w:r>
    </w:p>
    <w:p w14:paraId="42BA409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Южного фронта противник пытался атаковать наши передовые подразделения, но огнём артиллерии и пехоты был отброшен на исходные позиции. На поле боя осталось много вражеских трупов.</w:t>
      </w:r>
    </w:p>
    <w:p w14:paraId="7E4CF25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время атаки оборонительного рубежа противника красноармеец Чумаков ворвался во вражеский ДЗОТ. Действуя штыком и гранатой, смелый боец уничтожил 10 гитлеровцев. Вооружившись трофейными гранатами, тов. Чумаков затем подполз к дому, в котором засели немецкие автоматчики, и забросал их гранатами.</w:t>
      </w:r>
    </w:p>
    <w:p w14:paraId="68FAD03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«Ф. Д.», действующий в одном из районов Смоленской области, разгромил штаб немецкого артиллерийского полка. Партизаны уничтожили 2 орудия, разрушили телеграфно-телефонную станцию и сожгли склад с боеприпасами. Советские патриоты уничтожили 70 гитлеровцев и захватили 3 пулемёта, миномёт, винтовки, различное военное имущество и документы.</w:t>
      </w:r>
    </w:p>
    <w:p w14:paraId="7913E17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обер-ефрейтор 9 роты 3 батальона 248 полка 88 немецкой пехотной дивизии Иоганн Гиммельбауэр рассказал: «Наша дивизия находилась во Франции. Когда появились слухи о том, что дивизию перебросят на советско-германский фронт, группа солдат сбежала в Испанию. На фронт наш батальон попал в марте. За две недели боёв мы потеряли половину личного состава. Неподалеку от нас держал оборону батальон, которым командовал капитан Франке. В каждой из рот этого батальона осталось солдат меньше, чем в нормальном взводе. Многие солдаты ходят в рваных сапогах, которые уже невозможно починить. С продовольствием тоже плохо. У населения теперь брать больше нечего. Крестьян уже давно обобрали. Многие части совершенно небоеспособны. Солдаты ждут конца войны и возвращения домой».</w:t>
      </w:r>
    </w:p>
    <w:p w14:paraId="0ABD979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Несмотря на жестокие репрессии немецких оккупантов, бельгийские патриоты усиливают борьбу против своих поработителей. Недавно крупный военный завод близ Брюсселя (Бельгия), принадлежавший известной немецкой фирме Круппа, прекратил работу ввиду аварии трансформаторной станции. В Антверпене за последнее время неизвестными выведен из строя ряд портовых кранов, а также совершён ряд диверсий, в результате которых нанесены серьёзные разрушения шлюзам и каналам.</w:t>
      </w:r>
    </w:p>
    <w:p w14:paraId="266DD51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передаёт Германское информационное бюро, Геббельс обратился к населению Берлина с призывом принять участие в конкурсе вежливости. «Перед конкурсом поставлена задача выявить 40 жителей Берлина, которые, несмотря на тяготы войны, всегда остаются вежливыми и не теряют самообладания».</w:t>
      </w:r>
    </w:p>
    <w:p w14:paraId="5E94037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от хорошей жизни приходится фашистским правителям объявлять подобный конкурс. Голод, каторжные условия труда, а также огромные потери немецких войск на советско-германском фронте окончательно выбили немцев из равновесия. Раз объявлен конкурс, видимо, очень трудно гитлеровцам отыскать в Берлине, в городе с многомиллионным населением, несколько десятков человек, которые «всегда остаются вежливыми и не теряют самообладания» (14883).</w:t>
      </w:r>
    </w:p>
    <w:p w14:paraId="6F566DC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1BD90C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мая 1942 г. пропал без вести один из лучших летчиков JG52 лейтенант Г.Кеппен, имевший на счету 85 побед и награжденный "Рыцарским Крестом с Дубовыми Листьями". Он неудачно атаковал Пе-2 над Азовским морем, и ответные очереди пришлись по мотору "мессершмитта". Коллеги Кеппена наблюдали, как подбитый самолет сел на поверхность воды, а летчик попытался плыть к берегу. Но все старания аса оказались напрасны...(3542).</w:t>
      </w:r>
    </w:p>
    <w:p w14:paraId="4068125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934FB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75670D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72745D"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мая 1942 на стадионе Динамо в Ленинграде состоялся футбольный матч (3960, 178).</w:t>
      </w:r>
    </w:p>
    <w:p w14:paraId="7AE6B99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6BFE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мая 1942 на стадионе "Динамо" в осажденном Ленинграде состоялся футбольный матч. Встречались динамовская и армейская команды; игроки прибыли из воинских частей, где проходили службу. Со счетом 7:3 выиграла команда "Динамо" (10739).</w:t>
      </w:r>
    </w:p>
    <w:p w14:paraId="4A112F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53730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мая в 1942 году на стадионе "Динамо" в осажденном Ленинграде состоялся футбольный матч, в котором приняли участие известные мастера ленинградского «Динамо» и команда балтийских моряков. Их специально отозвали с боевых позиций. Со счетом 7:3 выиграла команда "Динамо". В воротах армейцев стоял Виктор Набутов - отец Кирилла Набутова, известного питерского телекомментатора и журналиста (передача "Адамово яблоко"), работающего ныне на НТВ. Этот матч показал, что город на Неве живет и сражается — он неприступен!</w:t>
      </w:r>
    </w:p>
    <w:p w14:paraId="6C6FDFB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мая 1942 года прошла игра, которую потом признали, якобы, "тренировочной". Играло "Динамо", а соперником его выступала команда, представлявшая расквартированную в Ленинграде воинскую часть Балтийского флотского экипажа майора А.Лобанова (7:3 в пользу "Динамо", судья - Николай Усов).</w:t>
      </w:r>
    </w:p>
    <w:p w14:paraId="1AE5DD4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Футболисты ленинградского «Динамо» после матча с командой Краснознаменного Балтийского флота в блокадном Ленинграде.</w:t>
      </w:r>
    </w:p>
    <w:p w14:paraId="7F669B0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Именно этот матч долгие годы и считался официально настоящим первым блокадным матчем. По крайней мере, в ленинградских календарях-справочниках ещё в середине 1980-х именно этот матч описывался под названием "блокадного". Но имена тех отважных моряков нигде не упоминаются, да и сам матч оказался предан забвению. Как будто бы его и не было...</w:t>
      </w:r>
    </w:p>
    <w:p w14:paraId="1E5611C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Очевидно, к моменту сооружения первой памятной доски на стадионе "Динамо" в 1991-м, решено было официальным, "каноническим", признать матч с более "серьёзным" соперником. (На фронтоне у входа на стадион "Динамо", что на Крестовском острове, установлена мемориальная доска. На ней изображены силуэты футболистов и высечены слова: "Здесь, на стадионе "Динамо", в самые тяжелые дни блокады 31 мая 1942 года ленинградские динамовцы провели исторический блокадный матч с командой Металлического завода".) (14883).</w:t>
      </w:r>
    </w:p>
    <w:p w14:paraId="66F55FB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E6556C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40BE063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00B5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мая 1942 года</w:t>
      </w:r>
    </w:p>
    <w:p w14:paraId="174014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В. СТАЛИН У. ЧЕРЧИЛЛЮ *</w:t>
      </w:r>
    </w:p>
    <w:p w14:paraId="104DBF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p>
    <w:p w14:paraId="11B2422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меня просьба к Вам. В настоящее время скопилось в Исландии и на подходе из Америки в Исландию до 90 пароходов с важными военными грузами для СССР. Мне стало известно, что отправка этих пароходов задерживается на длительный срок по причине трудностей организации конвоя английскими морскими силами.</w:t>
      </w:r>
    </w:p>
    <w:p w14:paraId="7EA17C7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 отдаю себе отчет в действительных трудностях этого дела и знаю о жертвах, которые понесла в этом деле Англия.</w:t>
      </w:r>
    </w:p>
    <w:p w14:paraId="143072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Тем не менее я считаю возможным обратиться к Вам с просьбой сделать все возможное для обеспечения доставки этих грузов в СССР в течение мая месяца, когда это нам особенно нужно для фронта.</w:t>
      </w:r>
    </w:p>
    <w:p w14:paraId="21A9D0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Примите мой искренний привет и пожелания успеха (7430).</w:t>
      </w:r>
    </w:p>
    <w:p w14:paraId="0AA7BBB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D9FEE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4913C0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CFA22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мая 1942 года состоялся первый полет </w:t>
      </w:r>
      <w:r w:rsidRPr="008127F8">
        <w:rPr>
          <w:rFonts w:ascii="Times New Roman" w:hAnsi="Times New Roman"/>
          <w:color w:val="000000" w:themeColor="text1"/>
          <w:sz w:val="16"/>
          <w:szCs w:val="16"/>
          <w:lang w:val="en-US"/>
        </w:rPr>
        <w:t>Kawanishi</w:t>
      </w:r>
      <w:r w:rsidRP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lang w:val="en-US"/>
        </w:rPr>
        <w:t>N</w:t>
      </w:r>
      <w:r w:rsidRPr="008127F8">
        <w:rPr>
          <w:rFonts w:ascii="Times New Roman" w:hAnsi="Times New Roman"/>
          <w:color w:val="000000" w:themeColor="text1"/>
          <w:sz w:val="16"/>
          <w:szCs w:val="16"/>
        </w:rPr>
        <w:t>1</w:t>
      </w:r>
      <w:r w:rsidRPr="008127F8">
        <w:rPr>
          <w:rFonts w:ascii="Times New Roman" w:hAnsi="Times New Roman"/>
          <w:color w:val="000000" w:themeColor="text1"/>
          <w:sz w:val="16"/>
          <w:szCs w:val="16"/>
          <w:lang w:val="en-US"/>
        </w:rPr>
        <w:t>K</w:t>
      </w:r>
      <w:r w:rsidRPr="008127F8">
        <w:rPr>
          <w:rFonts w:ascii="Times New Roman" w:hAnsi="Times New Roman"/>
          <w:color w:val="000000" w:themeColor="text1"/>
          <w:sz w:val="16"/>
          <w:szCs w:val="16"/>
        </w:rPr>
        <w:t xml:space="preserve">1 </w:t>
      </w:r>
      <w:r w:rsidRPr="008127F8">
        <w:rPr>
          <w:rFonts w:ascii="Times New Roman" w:hAnsi="Times New Roman"/>
          <w:color w:val="000000" w:themeColor="text1"/>
          <w:sz w:val="16"/>
          <w:szCs w:val="16"/>
          <w:lang w:val="en-US"/>
        </w:rPr>
        <w:t>Kyofu</w:t>
      </w:r>
      <w:r w:rsidRPr="008127F8">
        <w:rPr>
          <w:rFonts w:ascii="Times New Roman" w:hAnsi="Times New Roman"/>
          <w:color w:val="000000" w:themeColor="text1"/>
          <w:sz w:val="16"/>
          <w:szCs w:val="16"/>
        </w:rPr>
        <w:t xml:space="preserve"> («Могучий ветер»), союзное имя «Рекс» (20793).</w:t>
      </w:r>
    </w:p>
    <w:p w14:paraId="598C17A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E73E33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мая 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Первый полет Kawanishi N1K («Могучий ветер»). Это цельнометаллический истребитель-перехватчик берегового базирования ВМС Японии. Построено около 1400 экземпляров (22511).</w:t>
      </w:r>
    </w:p>
    <w:p w14:paraId="6EE1943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F00FCB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мая 1942 командование карательными войсками во Франции возложено на СС-овца Р. Гейдриха (4962).</w:t>
      </w:r>
    </w:p>
    <w:p w14:paraId="43ECE65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4E090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мая 1942 четыре самолета Boeing B-17 Flying Fortress ВВС США атакуют японский авианосец Shōh к югу от Бугенвиля , но не повреждают его (20793).</w:t>
      </w:r>
    </w:p>
    <w:p w14:paraId="36BD0E7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DE0924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мая 1942 последний гарнизон американских войск на Филиппинах сдался японцам (4962).</w:t>
      </w:r>
    </w:p>
    <w:p w14:paraId="7B582CE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BF20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May 06 1942 Major General Johathan Wainwright contacts US President Roosevelt with the news that he cannot continue to defend the Phillipine Islands against the Japanese invastion (1769). American and Japanese naval aviators each sink one enemy aircraft carrier. First naval battle between ships out of sight of one another (1769).</w:t>
      </w:r>
    </w:p>
    <w:p w14:paraId="3F40BB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167EC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мая 1942 11 тыс. гарнизон Кррегидора сдался. Wainwright сдал все войска на Филиппинах (2261).</w:t>
      </w:r>
    </w:p>
    <w:p w14:paraId="7AD8E17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4E1A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мая 1942 11.5 тыс. американцев прекратили вооруженное сопротивление на Филиппинах (1769).</w:t>
      </w:r>
    </w:p>
    <w:p w14:paraId="68630C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EC5BB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May 06 1942 Sugar rationing begins in the US (1242).</w:t>
      </w:r>
    </w:p>
    <w:p w14:paraId="188675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956DEC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мая 1942 в США были введены карточки на сахар (1242).</w:t>
      </w:r>
    </w:p>
    <w:p w14:paraId="14AC8CD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A428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46B9C93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6854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мая 1942 на 381-м заводе действительно был построен один экземпляр Ил-2 М-82ИР (первый полет планировался 7 мая), но в одно</w:t>
      </w:r>
      <w:r w:rsidRPr="008127F8">
        <w:rPr>
          <w:rFonts w:ascii="Times New Roman" w:hAnsi="Times New Roman"/>
          <w:color w:val="000000" w:themeColor="text1"/>
          <w:sz w:val="16"/>
          <w:szCs w:val="16"/>
        </w:rPr>
        <w:softHyphen/>
        <w:t>местном варианте вместо двухместно</w:t>
      </w:r>
      <w:r w:rsidRPr="008127F8">
        <w:rPr>
          <w:rFonts w:ascii="Times New Roman" w:hAnsi="Times New Roman"/>
          <w:color w:val="000000" w:themeColor="text1"/>
          <w:sz w:val="16"/>
          <w:szCs w:val="16"/>
        </w:rPr>
        <w:softHyphen/>
        <w:t>го. Почему был осуществлен переход на одноместный вариант, неизвестно. На этой машине емкость бензобаков была доведена до 980 литров и, кроме этого, снизу мотора на капоте были установ</w:t>
      </w:r>
      <w:r w:rsidRPr="008127F8">
        <w:rPr>
          <w:rFonts w:ascii="Times New Roman" w:hAnsi="Times New Roman"/>
          <w:color w:val="000000" w:themeColor="text1"/>
          <w:sz w:val="16"/>
          <w:szCs w:val="16"/>
        </w:rPr>
        <w:softHyphen/>
        <w:t>лены броневые накладки (6467).</w:t>
      </w:r>
    </w:p>
    <w:p w14:paraId="1D7190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B9809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мая 1942 вышло постановление ГКО о восстановлении производства ТБ-7 на заводе № 22 с моторами АМ-35А и программе на 1942 г. в 34 самолета: 4 в июне и по 5 в остальные месяцы. Позднее месячные задания менялись. Берем отчет директора за 1942 г.: «сдано 17 Пе-8 при плане в 28 машин, из них только одна с моторами М-30». В отчете за 1943 г., где упоминается продукция предыдущего года, за 1942 г. стоят такие цифры - 23 Пе-8 по окончательной сборке, 17 по готовности к бою и 17 отправлены в часть (12049).</w:t>
      </w:r>
    </w:p>
    <w:p w14:paraId="6F85DCB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C2E53D"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w:t>
      </w:r>
      <w:r w:rsidRPr="008A2E5A">
        <w:rPr>
          <w:rFonts w:ascii="Times New Roman" w:hAnsi="Times New Roman"/>
          <w:color w:val="0070C0"/>
          <w:sz w:val="16"/>
          <w:szCs w:val="16"/>
        </w:rPr>
        <w:softHyphen/>
        <w:t>вых числах мая 1942 года опытный завод № 155 развернул свою основную, то есть самолётостроительную, деятельность. Одновременно он строился и расширялся, и к концу года его производственная база значительно увеличилась: производствен</w:t>
      </w:r>
      <w:r w:rsidRPr="008A2E5A">
        <w:rPr>
          <w:rFonts w:ascii="Times New Roman" w:hAnsi="Times New Roman"/>
          <w:color w:val="0070C0"/>
          <w:sz w:val="16"/>
          <w:szCs w:val="16"/>
        </w:rPr>
        <w:softHyphen/>
        <w:t>ная площадь — до 3380 м2, непроизводственная — до 4080 м2, наличие оборудования — 90 единиц.</w:t>
      </w:r>
    </w:p>
    <w:p w14:paraId="32E12BDA"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При этом возросли не только производственные площади, но и численность персонала завода: к концу года там трудились 795 человек, из которых 209 инже</w:t>
      </w:r>
      <w:r w:rsidRPr="008A2E5A">
        <w:rPr>
          <w:rFonts w:ascii="Times New Roman" w:hAnsi="Times New Roman"/>
          <w:color w:val="0070C0"/>
          <w:sz w:val="16"/>
          <w:szCs w:val="16"/>
        </w:rPr>
        <w:softHyphen/>
        <w:t>нерно-технических работников были заняты в основ</w:t>
      </w:r>
      <w:r w:rsidRPr="008A2E5A">
        <w:rPr>
          <w:rFonts w:ascii="Times New Roman" w:hAnsi="Times New Roman"/>
          <w:color w:val="0070C0"/>
          <w:sz w:val="16"/>
          <w:szCs w:val="16"/>
        </w:rPr>
        <w:softHyphen/>
        <w:t>ном решением проектно-конструкторских задач, а 395 рабочих — на опытном производстве (23379).</w:t>
      </w:r>
    </w:p>
    <w:p w14:paraId="035C2A1C" w14:textId="77777777" w:rsidR="00596F73" w:rsidRPr="008A2E5A" w:rsidRDefault="00596F73" w:rsidP="00596F73">
      <w:pPr>
        <w:spacing w:after="0" w:line="240" w:lineRule="auto"/>
        <w:jc w:val="both"/>
        <w:rPr>
          <w:rFonts w:ascii="Times New Roman" w:hAnsi="Times New Roman"/>
          <w:color w:val="0070C0"/>
          <w:sz w:val="16"/>
          <w:szCs w:val="16"/>
        </w:rPr>
      </w:pPr>
    </w:p>
    <w:p w14:paraId="7D705D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5AD1F40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8C3B10"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начале мая 1942 г. на НИПСВО были проведены испытания ПТРД и ПТРС, выпущенных всеми заводами-изготовителями, подтвердившие обоснованность жалоб из войск. Большие претензии были и к качеству патронов. На заводе №17 в Барнауле из-за раздутия стенки гильзы при стрельбе из ПТРС забраковали весь месячный выпуск 14,5-мм патронов, примерно 400 тыс. штук. Всю партию направили на оружейные заводы для использования на испытательных стрельбах. На заводах пришлось форсировать конструкторскую и технологическую доработку обоих ПТР, которая велась и до этого. Например, на ПТРС отказались от наплечника на прикладе и поставили новую сошку (17498).</w:t>
      </w:r>
    </w:p>
    <w:p w14:paraId="75C2B252"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lang w:eastAsia="ru-RU"/>
        </w:rPr>
      </w:pPr>
    </w:p>
    <w:p w14:paraId="493FE80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мая 1942 г. на НИПСВО были проведены испытания ПТРД и ПТРС, выпущенных всеми заводами-изготовителями, подтвердившие обоснованность жалоб из войск. Большие претензии были и к качеству патронов. На заводе №17 в Барнауле из-за раздутия стенки гильзы при стрельбе из ПТРС забраковали весь месячный выпуск 14,5-мм патронов, примерно 400 тыс. штук. Всю партию направили на оружейные заводы для использования на испытательных стрельбах. На заводах пришлось форсировать конструкторскую и технологическую доработку обоих ПТР, которая велась и до этого. Например, на ПТРС отказались от наплечника на прикладе и поставили новую сошку.</w:t>
      </w:r>
    </w:p>
    <w:p w14:paraId="33B43DB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Впрочем, окончательно избавиться от недостатков ПТРД и ПТРС так и не удалось. В руководстве службы присутствовало требование смазывать патронник не только перед стрельбой, но и через каждые 10–15 выстрелов. Вспоминается рассказ отца о том, как много патронов пришлось ему потратить, чтобы в ночном бою зимой 1944</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подбить немецкий танк. Очевидно, что в боевых условиях регулярная смазка патронника была затруднительна (18638).</w:t>
      </w:r>
    </w:p>
    <w:p w14:paraId="24B056A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BF9B903" w14:textId="77777777" w:rsidR="007C5583" w:rsidRPr="008127F8" w:rsidRDefault="007C5583" w:rsidP="007C5583">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В начале мая 1942 прошли государственные испытания М-42, в ходе которых выяснилось, что орудие способно поражать броню толщиной 59 мм на дистанции 500 метров (20344).</w:t>
      </w:r>
    </w:p>
    <w:p w14:paraId="563B683A" w14:textId="77777777" w:rsidR="007C5583" w:rsidRPr="008127F8" w:rsidRDefault="007C5583" w:rsidP="007C5583">
      <w:pPr>
        <w:pStyle w:val="article-renderblock"/>
        <w:shd w:val="clear" w:color="auto" w:fill="FFFFFF"/>
        <w:spacing w:before="0" w:beforeAutospacing="0" w:after="0" w:afterAutospacing="0"/>
        <w:jc w:val="both"/>
        <w:rPr>
          <w:color w:val="000000" w:themeColor="text1"/>
          <w:sz w:val="16"/>
          <w:szCs w:val="16"/>
        </w:rPr>
      </w:pPr>
    </w:p>
    <w:p w14:paraId="401A657E"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В начале мая 1942 под руководством начальника бронекорпусного бюро Г. С. Карапетьянца, до эвакуации занимавшего должность начальника СКБ По</w:t>
      </w:r>
      <w:r w:rsidRPr="008127F8">
        <w:rPr>
          <w:rFonts w:eastAsia="Calibri"/>
          <w:color w:val="000000" w:themeColor="text1"/>
          <w:sz w:val="16"/>
          <w:szCs w:val="16"/>
        </w:rPr>
        <w:softHyphen/>
        <w:t>дольского завода им. Орджоникидзе, была разработана литая башня для Т-60. Одним из главных соображений при разработке литой башни стала ее большая технологичность и мень</w:t>
      </w:r>
      <w:r w:rsidRPr="008127F8">
        <w:rPr>
          <w:rFonts w:eastAsia="Calibri"/>
          <w:color w:val="000000" w:themeColor="text1"/>
          <w:sz w:val="16"/>
          <w:szCs w:val="16"/>
        </w:rPr>
        <w:softHyphen/>
        <w:t>шая зависимость от поставок бронепроката. Башню отлили из стали марки МЗ—5 (44-С) на Верх-Исетском заводе (г. Свердловск). Толщи</w:t>
      </w:r>
      <w:r w:rsidRPr="008127F8">
        <w:rPr>
          <w:rFonts w:eastAsia="Calibri"/>
          <w:color w:val="000000" w:themeColor="text1"/>
          <w:sz w:val="16"/>
          <w:szCs w:val="16"/>
        </w:rPr>
        <w:softHyphen/>
        <w:t>на брони варьировалась от 26 до 31 мм. 16 мая опытная башня была испытана на полигоне завода № 8 из пулемета ДШК и 45-мм противо</w:t>
      </w:r>
      <w:r w:rsidRPr="008127F8">
        <w:rPr>
          <w:rFonts w:eastAsia="Calibri"/>
          <w:color w:val="000000" w:themeColor="text1"/>
          <w:sz w:val="16"/>
          <w:szCs w:val="16"/>
        </w:rPr>
        <w:softHyphen/>
        <w:t>танковой пушки. По результатам испытаний выяснилось, что башня не пробивается из ДШК на расстояниях до 50 метров. Рекомендовалась замена сварной башни на литую, однако дальше опытного экземпляра дело не продвинулось (17485).</w:t>
      </w:r>
    </w:p>
    <w:p w14:paraId="4FB4663E" w14:textId="77777777" w:rsidR="007C5583" w:rsidRPr="008127F8" w:rsidRDefault="007C5583" w:rsidP="007C5583">
      <w:pPr>
        <w:pStyle w:val="af"/>
        <w:spacing w:before="0" w:after="0"/>
        <w:jc w:val="both"/>
        <w:rPr>
          <w:color w:val="000000" w:themeColor="text1"/>
          <w:sz w:val="16"/>
          <w:szCs w:val="16"/>
        </w:rPr>
      </w:pPr>
    </w:p>
    <w:p w14:paraId="56C33FB3"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начале мая 1942 под руководством начальника бронекорпусного бюро Г.С. Карапетьянца, до эвакуации занимавшего должность начальника СКБ Подольского завода им. Орджоникидзе, на заводе № 37 спроектировали литую башню для Т-60. Одним из главных преимуществ при разработке литой башни виделась ее большая технологичность и меньшая зависимость от поставок бронепроката. По результатам испытаний выяснилось, что башня не пробивается из ДШК на расстояниях до 50 метров. Рекомендовалась замена сварной башни на литую, однако дальше опытного экземпляра дело не продвинулось.</w:t>
      </w:r>
    </w:p>
    <w:p w14:paraId="1B6F9471"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Неудача с башней совсем не означала, что разработки отдела 22, где весной 1942 года начальником стал Н. А. Попов, идут только в стол. В мае 1942 года произошло серьезное изменение конструкции башни Т-60. Воздухоприток в лобовой части башни ликвидировали, сделав верхний лобовой лист башни покатым и лучше защищенным от огня. Воздуховод перенесли с башни на башенный люк. Некоторые исследователи пришли к заключению, что там стоял вентилятор, хотя это был обычный воздуховод. Вместо штампованного башенного люка была использована плоская деталь с приваренной по периметру защитой от пуль и воды. Таким образом, завод №37 оказался единственным среди сборщиков Т-60 предприятием, которое довело модернизацию башни до серийного производства.</w:t>
      </w:r>
    </w:p>
    <w:p w14:paraId="229E616F"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Не меньшим метаморфозам подвергся и корпус. Помимо уже упомянутой замены клепаных соединений на сварку, изменилась конструкция верхнего люка механика-водителя. Подобно башенному люку, он стал плоским, что упростило его изготовление. Упрощенный стоп-сигнал заменили на автомобильный и перенесли с кормы на крышу корпуса (за башню). Кроме того, завод №37 устанавливал на своих танках ведущее колесо упрощенной конструкции. Вместо съемного венца ведущее колесо сделали цельным, а число отверстий в нем увечили с двух до четырех.</w:t>
      </w:r>
    </w:p>
    <w:p w14:paraId="310CA383"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Параллельно с упрощением конструкции танка шла работа по модернизации производства. Завод освоил автоматическую сварку, которая значительно облегчила сварку башен и корпусов, одновременно подняв качество их изготовления. Началось освоение автоматической сварки катков, что позволяло в перспективе отказаться от их заказа на стороне. В мае были отлиты первые пробные траки, к концу июня ожидалось начало их массового производства. Данное производство было особенно важным, поскольку завод №183 очень затягивал поставки траков. Мало того, представители завода №183 прямо заявили, что траков для Т-60 отливать не собираются (здесь стоит отметить, что в Нижнем Тагиле из-за брака с литьем по состоянию на 28 мая стояло 40 Т-34 без траков). Чтобы заставить это предприятие выполнять обязательства по кооперации, пришлось подключать руководство Свердловского обкома ВКП(б) и Наркомат танковой промышленности.</w:t>
      </w:r>
    </w:p>
    <w:p w14:paraId="4CE9974E"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май было выпущено 300 корпусов и 280 танков, причем все машины оказались по вине завода №183 без гусениц. Кроме того, 10 дней мая завод простаивал без двигателей, после их поставки конвейер заработал с такой скоростью, что к концу месяца из сборочного цеха выходило по 20 танков в сутки (17686).</w:t>
      </w:r>
    </w:p>
    <w:p w14:paraId="385E6673"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188D1ED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мая 1943 г. торпедные катера типа «Г-5» стали вооружать реактивными установками. С рубок убирали пулеметную турель, а а ее месте ставили громоздкую и несуразную с виду пусковую установку с 24-мя направляющими. Поначалу катерники с опаской смотрели на железную ферму, особенно когда над самой головой командира висели хвостовые реактивные снаряды (15985).</w:t>
      </w:r>
    </w:p>
    <w:p w14:paraId="78E43E5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738B0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04E850C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6FFCF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мая 1942 летчиков штурмовой авиации готовили в 34-м запасном авиаполку Московского Военного округа (Ижевск), в 5-м (Красный Яр), 10-м (Каменка-Белинская), 12-м (Чапаевск) и 32-м (Кинель) запасных авиаполках 1-й заб Приволжского Военного округа, а также в 1-м отдельном учебно-тренировочном авиаполку (Тамбов) 4-й заб.</w:t>
      </w:r>
    </w:p>
    <w:p w14:paraId="6647A62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Именно благодаря их усилиям в первом полугодии 1942 г. удалось подготовить и отправить в действующую армию 67 штурмовых авиаполков, из них в январе - один полк, в феврале - воесмь, в марте - девять, в апреле - два, в мае - 23 и в июне - 24.</w:t>
      </w:r>
    </w:p>
    <w:p w14:paraId="65BE28F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качество маршевых авиаполков в сравнении с прошлым годом не только не улучшилось, но даже ухудшилось.</w:t>
      </w:r>
    </w:p>
    <w:p w14:paraId="4B3777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Дело в том, что восполнение потерь действующей армии осуществлялось путем вывода с фронта штурмовых авиаполков, понесших наибольший урон, и ввода в бой свежих маршевых полков. Поскольку, полки имели 20-самолетный состав, а потери были значительными, то полки на фронте менялись очень часто. При этом опытный летный состав из фронтовых полков, успевший к моменту вывода хорошо изучить район боевых действий, тактику боя немецких зенитчиков и истребителей, а также боевые возможности Ил-2 и тактику его применения на фронте, надолго выбывал из боя.</w:t>
      </w:r>
    </w:p>
    <w:p w14:paraId="29F64A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Более того, выводимые в тыл авиаполки нередко подвергались коренной реорганизации, в результате чего теряли боевые традиции и преемственность боевого опыта, а после доукомплектования направлялись на другое направление. Качественное же состояние маршевых штурмовых авиаполков, прибывающих на замену, оставляло желать много лучшего, так как полки формировались в основном из летчиков-сержантов, не имевших ни боевого опыта, ни большого налета на боевом самолете. </w:t>
      </w:r>
    </w:p>
    <w:p w14:paraId="689A2A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наиболее благополучных полках численность летчиков-штурмовиков, имевших хоть какой-то боевой опыт не превышала 30% всего состава (из них 40-60% на самолете Ил-2, остальные - на Р-5, У-2, СБ, Пе-2), летчиков, окончивших летную школу и имевших опыт полетов на самолете Ил-2 (от 3 до 20 ч, при среднем налете на одного летчика 13 ч) - не более 40%, остальные 30% приходились на летчиков из летных школ с небольшим налетом на самолетах старого типа.</w:t>
      </w:r>
    </w:p>
    <w:p w14:paraId="7D5F4D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Снабжение запасных полков горючим, маслом, практическими бомбами и конусным хозяйством было поставлено неудовлетворительно, из-за чего имели место случаи срывов летной работы. Со стороны заводов НКАП фактически отсутствовала помошь в правильной эксплуатации материальной части, особенно в ремонте самолетов и моторов. План поставок боевых и учебно-тренировочных самолетов Ил-2 стабильно не выполнялся. Обеспечение моторами и запасными частями находилась на весьма низком уровне.</w:t>
      </w:r>
    </w:p>
    <w:p w14:paraId="4C2064A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Обучение летного состава в запасных авиаполках 1-й заб в это время было организовано из рук вон плохо. Как правило, на каждом аэродроме бригады обучалось и формировалось по несколько штурмовых авиаполков. Каждый полк для производства полетов по программе подготовки получал по 2-3 штурмовика, что было недостаточно для полноценного и быстрого ввода в строй молодых летчиков. В некоторых случаях программу летной подготовки полки выполняли сразу на своих самолетах. При этом технический состав собирал штурмовики на авиазаводе.</w:t>
      </w:r>
    </w:p>
    <w:p w14:paraId="11C33D0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Летчики в основном обучались технике пилотирования, маршрутным полетам, полетам в строю. Очень мало выполняли полетов на боевое применение - стрельбу и бомбометание. На каждого летчика в среднем приходилось от двух до четырех бомбометаний и стрельб на полигоне. При этом бомбометание производилось с горизонтального полета не прицельно. Процент выполнения заданий (то есть поражения цели) составлял всего 15-20%. Воздушных боев с истребителями (одиночно </w:t>
      </w:r>
      <w:r w:rsidRPr="008127F8">
        <w:rPr>
          <w:rFonts w:ascii="Times New Roman" w:hAnsi="Times New Roman"/>
          <w:color w:val="000000" w:themeColor="text1"/>
          <w:sz w:val="16"/>
          <w:szCs w:val="16"/>
        </w:rPr>
        <w:lastRenderedPageBreak/>
        <w:t>и в группе) не проводили вовсе.</w:t>
      </w:r>
    </w:p>
    <w:p w14:paraId="0A08286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Условия для переучивания и подготовки были крайне тяжелые и совершенно не способствовали быстрому и качественному вводу в строй молодых летчиков. Из-за большой скученности полков и плохой организации работы аэродромных служб на прием пищи уходило до трех часов. Летный и технический составы жили в землянках. Летное время каждому полку предоставлялось только один (!) раз в неделю и всего на половину дня. В остальное время летчики изучали матчасть и сдавали зачеты. Однако "посещаемость занятий была крайне низкой из-за неправильного распределения дней занятий и нарядов между частями". Не все преподаватели отслеживали изменения в конструкции матчасти и тактики ее боевого применения, "передавая содержание старых описаний и инструкций". Опыт работы боевых летчиков, прибывших в запасные авиаполки с фронта, не изучался и не передавался молодым летчикам из авиашкол.</w:t>
      </w:r>
    </w:p>
    <w:p w14:paraId="7601E2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молодежь штурмовых авиаполков, находясь на формировании в 1-й заб, обычно успевала отработать полностью только 1-й раздел программы боевой подготовки (отработка индивидуальной техники пилотирования), а 2-й раздел (отработка групповых полетов в составе звена и эскадрильи и боевое применение) - лишь частично.</w:t>
      </w:r>
    </w:p>
    <w:p w14:paraId="416DBDE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Качество навигационной подготовки, навыки бомбометания и стрельбы по воздушным и наземным целям продолжали оставаться на низком уровне.</w:t>
      </w:r>
    </w:p>
    <w:p w14:paraId="2A1B37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тому же, несмотря на то, что общее время пребывания личного состава маршевых авиаполков, и особенно резерва, в запасной авиабригаде было большим, оно полностью на подготовку не использовалось. В ряде случаев летный состав, предназначенный для формирования полков и уже прошедший программу боевой подготовки на Ил-2, на длительное время (2-4 месяца) привлекался для уборки урожая в колхозах Куйбышевской области. После этого летчикам требовался дополнительный налет для восстановления летных навыков (12020).</w:t>
      </w:r>
    </w:p>
    <w:p w14:paraId="712E5C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AC3D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мая 1942 г. She.G.I сосредоточилась в Крыму для обеспечения действий 11-й армии Манштейна по плану операции "Охота на Дроф" - захват Керченского полуострова. Однако уже к 15 мая, в связи с тяжелым положением немецких войск на юго-западном фланге советско-германского фронта, эскадра была переброшена южнее Харькова в район Барвенковского выступа. Поначалу все Hsl29B группы имели стандартное вооружение, но к 27 мая "хеншели" из состава 4-й эскадрильи II. /She. G.I силами технического персонала были оснащены сменным противотанковым вариантом вооружения (так называемый второй "рустзатц" -R2), который включал 30-мм пушку МК101 в подфюзеляжном контейнере с боекомплектом в 30 снарядов (бомбовая нагрузка в этом случае ограничивалась 100 кг - 2 SC50 или 2 контейнера АВ24 с SD2 под консолями крыла на бомбодержателях ЕТС50) (8907).</w:t>
      </w:r>
    </w:p>
    <w:p w14:paraId="5CD1AD1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EABB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мая 1942 г. 34-й иап, базировавшийся во Внуково, располагал 17 машинами данного типа и 23 летчиками, из которых девять были подготовлены к выполнению заданий ночью в простых, а два пилота - в сложных метеоусловиях. В течение мая они совершили 154 вылета днем и 4 ночью, сбив один "дорнье" ценой гибели одного МиГ-3 в бою (младшего лейтенанта Федосеева сбила своя же зенитная артиллерия) и двух в авариях.</w:t>
      </w:r>
    </w:p>
    <w:p w14:paraId="32199E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июньских 1942 г. отчетах полка отмечалось применение истребителей новой модификации. Звено МиГ-3, построенных заводом № 155, отличалось составом вооружения, состоявшего из двух синхронных пушек ШВАК над мотором, а три опытных МиГ-3 имели силовую установку с мотором М-82 (использование названия "МиГ-9" применительно к этим машинам в документах полка не зафиксировано). Первое боевое применение "пушечных" МиГов состоялось 27 июля, когда старший лейтенант Мирошниченко атаковал Ju 88, но не смог сбить противника из-за отказа мотора. В то же время, по словам летчика, он сразу почувствовал увеличение веса секундного залпа примерно вдвое относительно "стандартного" МиГ-3 (один БС плюс два ШКАС) (12045).</w:t>
      </w:r>
    </w:p>
    <w:p w14:paraId="1BD15A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86CB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532D9D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0A64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мая 1942 Правительство запросило мнение АН по проблемам использования энергии деления урана для военных целей (384,106).</w:t>
      </w:r>
    </w:p>
    <w:p w14:paraId="61B6169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8C8E8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28454A7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471E5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мая 1942 А.И.Ш. писал Г.М.М. “...Однако выпуск самолетов ПС-84 с турелями под УБК-12.7 в настояшщее время невозможен, т.к. завод № 32 обязан в первую очередь обеспечить этими турелями заводы № 23 и 126, а аткже ГУ ВВС КА, НКВМФ и АДД для перевооружения с-тов Ил-4 (3404, 11).</w:t>
      </w:r>
    </w:p>
    <w:p w14:paraId="14629D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3E71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44A4AF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E0CEF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мая 1942 Военный совет фронта принял решение о постройке первой партии самоходных плашкоутов для ладожской Дороги жизни с использованием 86 несамоходных плашкоутов, имевшихся на за-водах. В решениях от 4 июня и 28 июня была расширена программа их выпуска. Всего ленинградские судостроители к 1 августа 1942 г. построили 115 самоходных тендеров и плашкоутов грузоподъемностью 15 и 25 т и один 100-тонный самоходный тендер (10671).</w:t>
      </w:r>
    </w:p>
    <w:p w14:paraId="577021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BAB63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мая 1942 г. </w:t>
      </w:r>
    </w:p>
    <w:p w14:paraId="2CEDC9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 СЕКРЕТНО</w:t>
      </w:r>
    </w:p>
    <w:p w14:paraId="3963AB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Управление НКВД СССР по Ленинградской области и городу Ленинграду</w:t>
      </w:r>
    </w:p>
    <w:p w14:paraId="3FB8C6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мая 1942 г. на № 2484 от 25.IV-42 г.</w:t>
      </w:r>
    </w:p>
    <w:p w14:paraId="2EB019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10610</w:t>
      </w:r>
    </w:p>
    <w:p w14:paraId="34C246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ЗАМЕСТИТЕЛЮ НАРКОМА ВНУТРЕННИХ ДЕЛ СССР</w:t>
      </w:r>
    </w:p>
    <w:p w14:paraId="1C272C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Комиссару Госуд. Безопасности 3 ранга товарищу КОБУЛОВУ</w:t>
      </w:r>
    </w:p>
    <w:p w14:paraId="25E85AC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 Москва.</w:t>
      </w:r>
    </w:p>
    <w:p w14:paraId="5DF078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СПЕЦСООБЩЕНИЕ</w:t>
      </w:r>
    </w:p>
    <w:p w14:paraId="6D55A8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директивой НКВД — СССР № 235 от 9.IX-1941 г. об усилении охраны оборонных предприятий и агентурно-оперативном обслуживании военизированной и вооруженно-вахтерской охраны, Экономическим Отделом УНКВД и Райотделами УНКВД г. Ленинграда, дважды проведена проверка состояния охраны на всех промышленных предприятиях Ленинграда. Проверкой установлено:</w:t>
      </w:r>
    </w:p>
    <w:p w14:paraId="0A22CB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большой недокомплект в личном и командном составе охраны, произошедший в связи с мобилизацией в армию и заболеваемостью на почве истощения.</w:t>
      </w:r>
    </w:p>
    <w:p w14:paraId="73D85F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Значительное количество незакрытых постов, образовавшихся в результате снятия и частичного сокращения войсковой охраны НКВД (завод № 104 им. Марти, завод им. Фрунзе, завод «КРАСНАЯ ЗАРЯ» и другие).</w:t>
      </w:r>
    </w:p>
    <w:p w14:paraId="4EC80A2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Слабое знание устава караульной службы личным составом.</w:t>
      </w:r>
    </w:p>
    <w:p w14:paraId="6B3B4F7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Значительная часть выявленных недостатков в организации охраны, пропускного режима, в хранении оружия и т.д. в процессе проверки устранена на месте.</w:t>
      </w:r>
    </w:p>
    <w:p w14:paraId="5D6470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недостатках в охране предприятий нами информирован Военный Совет Ленфронта и Городской Комитет ВКП (б).</w:t>
      </w:r>
    </w:p>
    <w:p w14:paraId="713825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Совет Ленинградского фронта специальным решением обязал директоров заводов привести охрану в состояние боевой готовности, доукомплектовав ее за счет рабочих и служащих предприятий.</w:t>
      </w:r>
    </w:p>
    <w:p w14:paraId="120997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настоящее время в связи с дополнительным призывом в армию лиц, служивших в охране, а также заболеваниями от истощения, — на ряде предприятий (завод « 232 «БОЛЬШЕВИК», завод № 189 им. ОРДЖОНИКИДЗЕ, Кировский завод, завод № 194 им. МАРТИ и др.) вновь образовался большой недокомплект, который руководителями предприятий пополняется медленно.</w:t>
      </w:r>
    </w:p>
    <w:p w14:paraId="1513E0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этим, вновь ставим вопрос о положении с охраной предприятий на разрешение Военного Совета фронта и Горкома ВКП (б).</w:t>
      </w:r>
    </w:p>
    <w:p w14:paraId="369CAD0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всех оборонных предприятиях и важнейших государственных сооружениях создана агентурно-осведомительная сеть, которая сведена в резидентуры; с 1.X-41 г. по 1.V-42 г. завербовано 6 резидентов и 65 осведомителей. Работу по насаждению агентурно-осведомительной сети среди личного состава вооруженно-вахтерской охраны предприятий продолжаем.</w:t>
      </w:r>
    </w:p>
    <w:p w14:paraId="33A6655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Личный и командный состав охраны проверяется официальным и агентурным путем. Лица, на которых в процессе проверки получаются компрометирующие материалы, из охраны удаляются.</w:t>
      </w:r>
    </w:p>
    <w:p w14:paraId="1189BF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1.Х.-1941 г. по 1.V-1942 г. из работников охраны предприятий взято на оперативный учет 43 человека. Реализовано в следствие 2 агентурных дела и 7 дел-формуляров, по которым арестовано и осуждено 14 человек, проводивших фашистскую и пораженческую агитацию среди личного состава охраны предприятий, высказывающих намерения перейти на сторону противника.</w:t>
      </w:r>
    </w:p>
    <w:p w14:paraId="6C8CFA3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УПРАВЛЕНИЯ НКВД ЛО Комиссар Госуд. Безопасности 3 ранга /КУБАТКИН/</w:t>
      </w:r>
    </w:p>
    <w:p w14:paraId="7768F4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Архив УФСБ ЛО. Ф.21/12. Оп.2. П.н. 19.Д.1. Л.81—83 (11814).</w:t>
      </w:r>
    </w:p>
    <w:p w14:paraId="1083C2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C2B50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мая в 1942 году в Свердловске состоялось общее собрание Академии наук СССР, посвященное мобилизации ресурсов восточных районов страны на нужды обороны (14884).</w:t>
      </w:r>
    </w:p>
    <w:p w14:paraId="2DA6D2D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3F23B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lastRenderedPageBreak/>
        <w:t>Армия:</w:t>
      </w:r>
    </w:p>
    <w:p w14:paraId="2ED4D70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49414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мая в 1942 году утреннее сообщение Совинформбюро:</w:t>
      </w:r>
    </w:p>
    <w:p w14:paraId="3359A9D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7 мая на фронте чего-либо существенного не произошло.</w:t>
      </w:r>
    </w:p>
    <w:p w14:paraId="11D66D2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под командованием тов. Тимофеева, действующая на Калининском фронте, за один день боевых действий уничтожила немецкий танк, 3 орудия, 16 пулемётов и 2 миномёта. Противник потерял убитыми более 300 солдат и офицеров.</w:t>
      </w:r>
    </w:p>
    <w:p w14:paraId="6A268A9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танковая часть, действующая на одном из участков Западного фронта, в течение апреля месяца уничтожила 7 немецких самолётов, 5 танков, 34 орудия, 7 крупнокалиберных пулемётов, 23 миномёта, вездеход и зенитную установку. За это же время танкисты разрушили 29 блиндажей, уничтожили 48 огневых точек и истребили не менее 600 гитлеровцев.</w:t>
      </w:r>
    </w:p>
    <w:p w14:paraId="63A0CF9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Восемь красноармейцев во главе с командиром взвода Токаревым обнаружили отряд гитлеровцев численностью в 80 человек. Бойцы скрытно приблизились к немцам и открыли по ним пулемётный огонь. 25 вражеских солдат были убиты. Остальные в беспорядке отступили.</w:t>
      </w:r>
    </w:p>
    <w:p w14:paraId="2B49189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Несколько немецких солдат окружили разведчика-красноармейца тов. Селезнёва и пытались взять его в плен. Храбрый боец огнём из автомата уничтожил двух немцев и вернулся в свою часть, захватив ручной немецкий пулемёт.</w:t>
      </w:r>
    </w:p>
    <w:p w14:paraId="2E423EC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В., действующий в одном из районов Орловской области, оккупированных немцами, уничтожил 3 немецкие грузовые автомашины, 2 подводы с боеприпасами, взорвал железнодорожный мост и захватил вражеский обоз с продовольствием. Партизаны в схватках с врагом истребили 170 немецко-фашистских оккупантов.</w:t>
      </w:r>
    </w:p>
    <w:p w14:paraId="3E6F999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1 роты 473 полка 253 дивизии Эрвин Дониковский рассказал:</w:t>
      </w:r>
    </w:p>
    <w:p w14:paraId="5A64C16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 находился на советско-германском фронте с самого начала войны. Я много видел и пережил. Знаю, что германская армия понесла колоссальные потери в людях и вооружении. Но самой крупной из всех потерь является упадок боевого духа солдат. Старых солдат осталось очень мало. В нашей роте их всего лишь несколько человек. У них теперь совсем другие настроения, чем в прошлом году. На место убитых и раненных присылают резервистов. Они плохо обучены и не хотят воевать. Многие солдаты начинают понимать, что русские воюют не против немецкого народа, а против Гитлера и его приближённых».</w:t>
      </w:r>
    </w:p>
    <w:p w14:paraId="665D3E9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Батальонный врач 513 полка 294 немецкой пехотной дивизии Гайнц Вернер недавно писал своему знакомому в Германию: «Мы устроили приёмный пункт в сарае. Здесь постоянно находится до 50 больных солдат. Среди них много симулянтов. Каждый симулянт старается продлить своё пребывание в госпитале. Я ничего не могу поделать с ними».</w:t>
      </w:r>
    </w:p>
    <w:p w14:paraId="22366E4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Рабочий Краматорского завода Е.Л.Татаренко, пробравшийся с территории, занятой немцами, в расположение наших войск, сообщил: «В городе Краматорске царит дикий произвол. Каждый день фашистские изверги чинят расправу над мирным населением, убивая и расстреливая сотни ни в чём не повинных людей. Так, например, немцы расстреляли у Меловой горы 250 советских служащих. Население ограблено и голодает. Магазины закрыты. На рынках ничего нет. Крестьяне не привозят никаких продуктов, так как немцы всё отнимают. Гитлеровцы заставляют жителей города безвозмездно работать на немецкую армию. За невыполнение этого приказа люди подвергаются штрафу и аресту. Фашистские палачи ввели телесное наказание для советских граждан — по 25 и более ударов шомполами» (14884).</w:t>
      </w:r>
    </w:p>
    <w:p w14:paraId="1D31BB0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7E1444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мая в 1942 году вечернее сообщение Совинформбюро:</w:t>
      </w:r>
    </w:p>
    <w:p w14:paraId="380522D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7 мая на фронте ничего существенного не произошло.</w:t>
      </w:r>
    </w:p>
    <w:p w14:paraId="38179F0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6 мая уничтожено 7 немецких самолётов. Наши потери — 5 самолётов.</w:t>
      </w:r>
    </w:p>
    <w:p w14:paraId="7D3BA29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6 мая частями нашей авиации уничтожено или повреждено около 35 немецких автомашин с войсками и грузами, несколько полевых орудий, 12 минометов, 5 зенитно-пулемётных точек, разбит железнодорожный состав, рассеяно и частью уничтожено до роты пехоты противника.</w:t>
      </w:r>
    </w:p>
    <w:p w14:paraId="73DA0BD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под командованием тов. Белобородова (Северо-Западный фронт) в течение дня заняла населённый пункт и нанесла противнику большой урон в живой силе и технике. На другом участке фронта часть, которой командует тов. Захватаев, захватила у противника одно орудие, 2 миномётные батареи, 4 станковых пулемёта и склад военного имущества. На поле боя осталось 300 вражеских трупов.</w:t>
      </w:r>
    </w:p>
    <w:p w14:paraId="0F04465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Два батальона пехоты противника при поддержке 7 танков атаковали позицию, которую обороняли наши бойцы во главе с лейтенантом Лебедевым. Подпустив танки на близкое расстояние, красноармейцы дали несколько залпов из противотанковых ружей и подбили две немецкие машины. Понеся большие потери, гитлеровцыотступили. На следующий день противник снова пошёл в атаку, но был отброшен с ещё большими потерями. В двухдневных боях наши бойцы уничтожили 2 и подбили 3 немецких танка. Гитлеровцы потеряли убитыми и ранеными до 500 солдат и офицеров.</w:t>
      </w:r>
    </w:p>
    <w:p w14:paraId="320B435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Тяжёлый танк младшего лейтенанта Васильева четыре дня действовал в тылу врага. За это время отважные танкисты Васильев, Захарцев, Прошкин и Тараканов уничтожили 5 противотанковых орудий, 8 миномётов с прислугой, разрушили 14 блиндажей и вывели из строя более 200 вражеских солдат и офицеров. Танкисты захватили у противника 50.000 патронов, 8 автоматов, несколько пулемётов и много ценных документов.</w:t>
      </w:r>
    </w:p>
    <w:p w14:paraId="7523EC6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Артиллерийская батарея, где командиром тов. Глушин (Западный фронт), за два дня разрушила 2 вражеских блиндажа, уничтожила 2 орудия, 12 подвод с грузами и более ста гитлеровцев.</w:t>
      </w:r>
    </w:p>
    <w:p w14:paraId="7E30E5E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Рота немецких солдат окружила в лесу 32 советских партизан, действовавших в тылу противника на Юго-Западном фронте. Пять часов длился неравный бой. Искусно замаскировавшись, славные советские патриоты метким огнём из винтовок выводили из строя одного гитлеровца за другим. Когда стемнело, немцы отступили, оставив в лесу 34 убитых солдата и 2 офицеров.</w:t>
      </w:r>
    </w:p>
    <w:p w14:paraId="34F1FCC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врач 2-й роты отдельного итальянского горнолыжного батальона Энрико Реджинато рассказал: «Наш батальон в феврале месяце в первой же перестрелке с русскими потерял свыше 50 человек убитыми и ранеными. Недавно мы наткнулись на русскую засаду и подверглись внезапному обстрелу. Поднялась невообразимая паника. Наши солдаты постыдно сбежали, а меня и моего денщика красноармейцыз абрали в плен. Мы были крайне удивлены, когда узнали, что против нас действовали всего лишь восемь советских разведчиков».</w:t>
      </w:r>
    </w:p>
    <w:p w14:paraId="427B615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немецкого ефрейтора Иозефа Зелигера найдено письмо от жены. В письме говорится: «С питанием у нас очень тяжело. Получаем ничтожно мало продуктов...На нашей фабрике был большой пожар, сгорело много совершенно новых машин...Здесь говорят, что никто из солдат, находящихся в России, не возвратится домой».</w:t>
      </w:r>
    </w:p>
    <w:p w14:paraId="12523AE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Голод и каторжные условия труда подтачивают здоровье иностранных рабочих, занятых в промышленности Германии. Число больных непрерывно растёт. В марте месяце на военном заводе близ Манхейма 120 тяжело больных итальянцев валялись в бараках без всякой медицинской помощи и присмотра. Иностранные рабочие потребовали от администрации немедленно отправить больных на родину, угрожая в противном случае объявить забастовку. Местные власти сообщили, что требование рабочих будет выполнено. Через несколько дней все больные были отправлены якобы в Италию, но, как теперь выяснилось, никто из них на родину не вернулся.» (14884).</w:t>
      </w:r>
    </w:p>
    <w:p w14:paraId="77AA396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86A33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мая 1942, после за</w:t>
      </w:r>
      <w:r w:rsidRPr="008127F8">
        <w:rPr>
          <w:rFonts w:ascii="Times New Roman" w:hAnsi="Times New Roman"/>
          <w:color w:val="000000" w:themeColor="text1"/>
          <w:sz w:val="16"/>
          <w:szCs w:val="16"/>
        </w:rPr>
        <w:softHyphen/>
        <w:t>вершения подготовки 23 полк, вооруженный УТ-1б прибыл под Севастополь, где его разместили на аэ</w:t>
      </w:r>
      <w:r w:rsidRPr="008127F8">
        <w:rPr>
          <w:rFonts w:ascii="Times New Roman" w:hAnsi="Times New Roman"/>
          <w:color w:val="000000" w:themeColor="text1"/>
          <w:sz w:val="16"/>
          <w:szCs w:val="16"/>
        </w:rPr>
        <w:softHyphen/>
        <w:t>родроме Юхарная балка (3955).</w:t>
      </w:r>
    </w:p>
    <w:p w14:paraId="7D5185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1ECB11"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мая 1942 г., уже на следующий день после прибытия в Крым, пилоты 4./Sch.G 1 произве</w:t>
      </w:r>
      <w:r w:rsidRPr="008A2E5A">
        <w:rPr>
          <w:rFonts w:ascii="Times New Roman" w:hAnsi="Times New Roman"/>
          <w:color w:val="0070C0"/>
          <w:sz w:val="16"/>
          <w:szCs w:val="16"/>
        </w:rPr>
        <w:softHyphen/>
        <w:t>ли первые боевые вылеты. Крещение ог</w:t>
      </w:r>
      <w:r w:rsidRPr="008A2E5A">
        <w:rPr>
          <w:rFonts w:ascii="Times New Roman" w:hAnsi="Times New Roman"/>
          <w:color w:val="0070C0"/>
          <w:sz w:val="16"/>
          <w:szCs w:val="16"/>
        </w:rPr>
        <w:softHyphen/>
        <w:t>нем Hs 129В прошло без потерь: хотя один самолет был подбит двумя малокалибер</w:t>
      </w:r>
      <w:r w:rsidRPr="008A2E5A">
        <w:rPr>
          <w:rFonts w:ascii="Times New Roman" w:hAnsi="Times New Roman"/>
          <w:color w:val="0070C0"/>
          <w:sz w:val="16"/>
          <w:szCs w:val="16"/>
        </w:rPr>
        <w:softHyphen/>
        <w:t>ными зенитными снарядами, но он смог благополучно вернуться на аэродром. Пер</w:t>
      </w:r>
      <w:r w:rsidRPr="008A2E5A">
        <w:rPr>
          <w:rFonts w:ascii="Times New Roman" w:hAnsi="Times New Roman"/>
          <w:color w:val="0070C0"/>
          <w:sz w:val="16"/>
          <w:szCs w:val="16"/>
        </w:rPr>
        <w:softHyphen/>
        <w:t>вую боевую потерю группа понесла 9 мая в окрестностях Керчи, когда при атаке ко</w:t>
      </w:r>
      <w:r w:rsidRPr="008A2E5A">
        <w:rPr>
          <w:rFonts w:ascii="Times New Roman" w:hAnsi="Times New Roman"/>
          <w:color w:val="0070C0"/>
          <w:sz w:val="16"/>
          <w:szCs w:val="16"/>
        </w:rPr>
        <w:softHyphen/>
        <w:t>лонны советских войск самолет Hs 129В-1 (W.Nr. 0168) получил прямое попадание зенитного снаряда. Пилотировавший его гауптман Макс Эк (Мах Еск) из штаба груп</w:t>
      </w:r>
      <w:r w:rsidRPr="008A2E5A">
        <w:rPr>
          <w:rFonts w:ascii="Times New Roman" w:hAnsi="Times New Roman"/>
          <w:color w:val="0070C0"/>
          <w:sz w:val="16"/>
          <w:szCs w:val="16"/>
        </w:rPr>
        <w:softHyphen/>
        <w:t>пы пропал без вести.</w:t>
      </w:r>
    </w:p>
    <w:p w14:paraId="68614EBF"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Боевая работа велась очень интенсивно - вылеты продолжались с рассвета до 21.00, поэтому наземный персонал поднимался в три часа ночи. На степных аэродромах от множества взлетающих и садящихся само</w:t>
      </w:r>
      <w:r w:rsidRPr="008A2E5A">
        <w:rPr>
          <w:rFonts w:ascii="Times New Roman" w:hAnsi="Times New Roman"/>
          <w:color w:val="0070C0"/>
          <w:sz w:val="16"/>
          <w:szCs w:val="16"/>
        </w:rPr>
        <w:softHyphen/>
        <w:t>летов поднимались огромные тучи пыли. Это роковым образом сказывалось на жи</w:t>
      </w:r>
      <w:r w:rsidRPr="008A2E5A">
        <w:rPr>
          <w:rFonts w:ascii="Times New Roman" w:hAnsi="Times New Roman"/>
          <w:color w:val="0070C0"/>
          <w:sz w:val="16"/>
          <w:szCs w:val="16"/>
        </w:rPr>
        <w:softHyphen/>
        <w:t>вучести моторов «Хеншелей», ещё не снаб</w:t>
      </w:r>
      <w:r w:rsidRPr="008A2E5A">
        <w:rPr>
          <w:rFonts w:ascii="Times New Roman" w:hAnsi="Times New Roman"/>
          <w:color w:val="0070C0"/>
          <w:sz w:val="16"/>
          <w:szCs w:val="16"/>
        </w:rPr>
        <w:softHyphen/>
        <w:t>женных противопыльными фильтрами. Вездесущая пыль набивалась и во втулки пропеллеров, выводя из строя механизмы изменения шага винта. Но уже летом 1942 г. эти проблемы удалось решить пу</w:t>
      </w:r>
      <w:r w:rsidRPr="008A2E5A">
        <w:rPr>
          <w:rFonts w:ascii="Times New Roman" w:hAnsi="Times New Roman"/>
          <w:color w:val="0070C0"/>
          <w:sz w:val="16"/>
          <w:szCs w:val="16"/>
        </w:rPr>
        <w:softHyphen/>
        <w:t>тем установки фильтров и более мощных электромоторов привода механизмов из</w:t>
      </w:r>
      <w:r w:rsidRPr="008A2E5A">
        <w:rPr>
          <w:rFonts w:ascii="Times New Roman" w:hAnsi="Times New Roman"/>
          <w:color w:val="0070C0"/>
          <w:sz w:val="16"/>
          <w:szCs w:val="16"/>
        </w:rPr>
        <w:softHyphen/>
        <w:t>менения шага винта.</w:t>
      </w:r>
    </w:p>
    <w:p w14:paraId="7816F416"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Подавляющее большинство боевых вы</w:t>
      </w:r>
      <w:r w:rsidRPr="008A2E5A">
        <w:rPr>
          <w:rFonts w:ascii="Times New Roman" w:hAnsi="Times New Roman"/>
          <w:color w:val="0070C0"/>
          <w:sz w:val="16"/>
          <w:szCs w:val="16"/>
        </w:rPr>
        <w:softHyphen/>
        <w:t>летов Hs 129В приходилось на выполнение задач, для которых этот самолет и разра</w:t>
      </w:r>
      <w:r w:rsidRPr="008A2E5A">
        <w:rPr>
          <w:rFonts w:ascii="Times New Roman" w:hAnsi="Times New Roman"/>
          <w:color w:val="0070C0"/>
          <w:sz w:val="16"/>
          <w:szCs w:val="16"/>
        </w:rPr>
        <w:softHyphen/>
        <w:t>батывался - поддержки наземных частей. Эффективность их боевой работы была весьма высока - это отмечали не только полевые командиры, но и сам командую</w:t>
      </w:r>
      <w:r w:rsidRPr="008A2E5A">
        <w:rPr>
          <w:rFonts w:ascii="Times New Roman" w:hAnsi="Times New Roman"/>
          <w:color w:val="0070C0"/>
          <w:sz w:val="16"/>
          <w:szCs w:val="16"/>
        </w:rPr>
        <w:softHyphen/>
        <w:t>щий группы армий «Юг» генерал-фельд</w:t>
      </w:r>
      <w:r w:rsidRPr="008A2E5A">
        <w:rPr>
          <w:rFonts w:ascii="Times New Roman" w:hAnsi="Times New Roman"/>
          <w:color w:val="0070C0"/>
          <w:sz w:val="16"/>
          <w:szCs w:val="16"/>
        </w:rPr>
        <w:softHyphen/>
        <w:t>маршал Федор фон Бок (Fedor von Bock). Он указывал, что само появление штурмо</w:t>
      </w:r>
      <w:r w:rsidRPr="008A2E5A">
        <w:rPr>
          <w:rFonts w:ascii="Times New Roman" w:hAnsi="Times New Roman"/>
          <w:color w:val="0070C0"/>
          <w:sz w:val="16"/>
          <w:szCs w:val="16"/>
        </w:rPr>
        <w:softHyphen/>
        <w:t>виков в воздухе оказывало крайне положи</w:t>
      </w:r>
      <w:r w:rsidRPr="008A2E5A">
        <w:rPr>
          <w:rFonts w:ascii="Times New Roman" w:hAnsi="Times New Roman"/>
          <w:color w:val="0070C0"/>
          <w:sz w:val="16"/>
          <w:szCs w:val="16"/>
        </w:rPr>
        <w:softHyphen/>
        <w:t>тельное влияние на боевой дух пехоты. Но иногда штурмовиков приходилось отвле</w:t>
      </w:r>
      <w:r w:rsidRPr="008A2E5A">
        <w:rPr>
          <w:rFonts w:ascii="Times New Roman" w:hAnsi="Times New Roman"/>
          <w:color w:val="0070C0"/>
          <w:sz w:val="16"/>
          <w:szCs w:val="16"/>
        </w:rPr>
        <w:softHyphen/>
        <w:t>кать и на другие задачи, например, атаки вражеских аэродромов в прифронтовой полосе. В ходе одного такого налета, про</w:t>
      </w:r>
      <w:r w:rsidRPr="008A2E5A">
        <w:rPr>
          <w:rFonts w:ascii="Times New Roman" w:hAnsi="Times New Roman"/>
          <w:color w:val="0070C0"/>
          <w:sz w:val="16"/>
          <w:szCs w:val="16"/>
        </w:rPr>
        <w:softHyphen/>
        <w:t>изведенного силами звена из состава 4./Sch.G 1, ведомого командиром отряда гауптманом Бруно Мейером, было уничто</w:t>
      </w:r>
      <w:r w:rsidRPr="008A2E5A">
        <w:rPr>
          <w:rFonts w:ascii="Times New Roman" w:hAnsi="Times New Roman"/>
          <w:color w:val="0070C0"/>
          <w:sz w:val="16"/>
          <w:szCs w:val="16"/>
        </w:rPr>
        <w:softHyphen/>
        <w:t>жено (по германским данным) около 40 со</w:t>
      </w:r>
      <w:r w:rsidRPr="008A2E5A">
        <w:rPr>
          <w:rFonts w:ascii="Times New Roman" w:hAnsi="Times New Roman"/>
          <w:color w:val="0070C0"/>
          <w:sz w:val="16"/>
          <w:szCs w:val="16"/>
        </w:rPr>
        <w:softHyphen/>
        <w:t>ветских самолетов. Более того, один из пилотов «хеншелей» сумел сбить на взлете истребитель И-16 - это стало первой воз</w:t>
      </w:r>
      <w:r w:rsidRPr="008A2E5A">
        <w:rPr>
          <w:rFonts w:ascii="Times New Roman" w:hAnsi="Times New Roman"/>
          <w:color w:val="0070C0"/>
          <w:sz w:val="16"/>
          <w:szCs w:val="16"/>
        </w:rPr>
        <w:softHyphen/>
        <w:t>душной победой, одержанной на Hs 129В. Около трех десятков остававшихся на аэродроме советских самолетов так и не смогли взлететь.</w:t>
      </w:r>
    </w:p>
    <w:p w14:paraId="239EF61E"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Бои в Крыму ещё не завершились, когда 12 мая 1942 г. три советские армии с юга и с севера нанесли удар по харьковскому выступу. На помощь немецким войскам, сражавшимся в этом районе, перебросили в полном составе эскадру Sch.G 1, включая летавшую на «мессершмиттах» 1-ю группу и отряд 4./Sch.G 1 из Крыма (24189).</w:t>
      </w:r>
    </w:p>
    <w:p w14:paraId="245495C5" w14:textId="77777777" w:rsidR="00596F73" w:rsidRPr="008A2E5A" w:rsidRDefault="00596F73" w:rsidP="00596F73">
      <w:pPr>
        <w:spacing w:after="0" w:line="240" w:lineRule="auto"/>
        <w:jc w:val="both"/>
        <w:rPr>
          <w:rFonts w:ascii="Times New Roman" w:hAnsi="Times New Roman"/>
          <w:color w:val="0070C0"/>
          <w:sz w:val="16"/>
          <w:szCs w:val="16"/>
        </w:rPr>
      </w:pPr>
    </w:p>
    <w:p w14:paraId="3B7D62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мая 1942 г. вышел ПРИКАЗ НКО № 0357 О ВВЕДЕНИИ ДЕНЕЖНЫХ НАГРАД ЗА ЭВАКУАЦИЮ ТАНКОВ ВО ФРОНТОВЫХ УСЛОВИЯХ И УСТАНОВЛЕНИИ ПРЕМИРОВАНИЯ ЗА РЕМОНТ БОЕВЫХ И ВСПОМОГАТЕЛЬНЫХ МАШИН НА ХОЗРАСЧЕТНЫХ АВТОБРОНЕТАНКОВЫХ РЕМБАЗАХ</w:t>
      </w:r>
    </w:p>
    <w:p w14:paraId="5442CC7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Государственного Комитета Обороны № ГОКО-1689сс от 3 мая 1942 года:</w:t>
      </w:r>
    </w:p>
    <w:p w14:paraId="21AA2A0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 Установить с 1 мая 1942 года денежную награду экипажам танков и эвакуационным группам за каждый эвакуированный танк с территории, занятой противником, или из нейтральной зоны, в размере: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04"/>
        <w:gridCol w:w="1704"/>
        <w:gridCol w:w="1704"/>
        <w:gridCol w:w="1704"/>
      </w:tblGrid>
      <w:tr w:rsidR="007C5583" w:rsidRPr="008127F8" w14:paraId="4B6786E1" w14:textId="77777777" w:rsidTr="004C5D62">
        <w:tc>
          <w:tcPr>
            <w:tcW w:w="1704" w:type="dxa"/>
            <w:tcBorders>
              <w:top w:val="single" w:sz="12" w:space="0" w:color="auto"/>
            </w:tcBorders>
          </w:tcPr>
          <w:p w14:paraId="181BF92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w:t>
            </w:r>
          </w:p>
        </w:tc>
        <w:tc>
          <w:tcPr>
            <w:tcW w:w="1704" w:type="dxa"/>
            <w:tcBorders>
              <w:top w:val="single" w:sz="12" w:space="0" w:color="auto"/>
            </w:tcBorders>
          </w:tcPr>
          <w:p w14:paraId="043160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 КВ</w:t>
            </w:r>
          </w:p>
        </w:tc>
        <w:tc>
          <w:tcPr>
            <w:tcW w:w="1704" w:type="dxa"/>
            <w:tcBorders>
              <w:top w:val="single" w:sz="12" w:space="0" w:color="auto"/>
            </w:tcBorders>
          </w:tcPr>
          <w:p w14:paraId="7561FF3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w:t>
            </w:r>
          </w:p>
        </w:tc>
        <w:tc>
          <w:tcPr>
            <w:tcW w:w="1704" w:type="dxa"/>
            <w:tcBorders>
              <w:top w:val="single" w:sz="12" w:space="0" w:color="auto"/>
            </w:tcBorders>
          </w:tcPr>
          <w:p w14:paraId="4B886A6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руб.</w:t>
            </w:r>
          </w:p>
        </w:tc>
      </w:tr>
      <w:tr w:rsidR="007C5583" w:rsidRPr="008127F8" w14:paraId="39E506E9" w14:textId="77777777" w:rsidTr="004C5D62">
        <w:tc>
          <w:tcPr>
            <w:tcW w:w="1704" w:type="dxa"/>
          </w:tcPr>
          <w:p w14:paraId="5DAE30D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704" w:type="dxa"/>
          </w:tcPr>
          <w:p w14:paraId="7E939BE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Т-34</w:t>
            </w:r>
          </w:p>
        </w:tc>
        <w:tc>
          <w:tcPr>
            <w:tcW w:w="1704" w:type="dxa"/>
          </w:tcPr>
          <w:p w14:paraId="7FD13F9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w:t>
            </w:r>
          </w:p>
        </w:tc>
        <w:tc>
          <w:tcPr>
            <w:tcW w:w="1704" w:type="dxa"/>
          </w:tcPr>
          <w:p w14:paraId="1982618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7C5583" w:rsidRPr="008127F8" w14:paraId="70912930" w14:textId="77777777" w:rsidTr="004C5D62">
        <w:tc>
          <w:tcPr>
            <w:tcW w:w="1704" w:type="dxa"/>
            <w:tcBorders>
              <w:bottom w:val="single" w:sz="12" w:space="0" w:color="auto"/>
            </w:tcBorders>
          </w:tcPr>
          <w:p w14:paraId="2246E45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704" w:type="dxa"/>
            <w:tcBorders>
              <w:bottom w:val="single" w:sz="12" w:space="0" w:color="auto"/>
            </w:tcBorders>
          </w:tcPr>
          <w:p w14:paraId="14B2092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Т-60-70</w:t>
            </w:r>
          </w:p>
        </w:tc>
        <w:tc>
          <w:tcPr>
            <w:tcW w:w="1704" w:type="dxa"/>
            <w:tcBorders>
              <w:bottom w:val="single" w:sz="12" w:space="0" w:color="auto"/>
            </w:tcBorders>
          </w:tcPr>
          <w:p w14:paraId="0D164EE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1704" w:type="dxa"/>
            <w:tcBorders>
              <w:bottom w:val="single" w:sz="12" w:space="0" w:color="auto"/>
            </w:tcBorders>
          </w:tcPr>
          <w:p w14:paraId="2BDDA1B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bl>
    <w:p w14:paraId="0BE61C7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эвакуацию танков других марок размер премий устанавливается соответственно:</w:t>
      </w:r>
    </w:p>
    <w:p w14:paraId="15DF993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тяжелый танк 5000 руб.</w:t>
      </w:r>
    </w:p>
    <w:p w14:paraId="3E068A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средний танк 2000 ”</w:t>
      </w:r>
    </w:p>
    <w:p w14:paraId="1C0EA6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легкий танк</w:t>
      </w:r>
      <w:r w:rsidRPr="008127F8">
        <w:rPr>
          <w:rFonts w:ascii="Times New Roman" w:hAnsi="Times New Roman"/>
          <w:color w:val="000000" w:themeColor="text1"/>
          <w:sz w:val="16"/>
          <w:szCs w:val="16"/>
        </w:rPr>
        <w:tab/>
        <w:t>500 ”</w:t>
      </w:r>
    </w:p>
    <w:p w14:paraId="7916B5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Распределение денежной награды между составом экипажей и эвакуационных групп производится немедленно приказом командира части. Расход по выплате наград относить на § 22, ст. 88 сметы НКО.</w:t>
      </w:r>
    </w:p>
    <w:p w14:paraId="774094E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Установить денежную награду эвакуационным ротам за эвакуацию танков, требующих ремонта, на армейские или фронтовые сборные пункты в следующем размере:</w:t>
      </w:r>
    </w:p>
    <w:p w14:paraId="039D4D4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за эвакуацию в течение 10 дней не менее 10 средних и тяжелых или 50 легких танков — 2000 руб.;</w:t>
      </w:r>
    </w:p>
    <w:p w14:paraId="44AAF4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за эвакуацию в течение 10 дней не менее 15 средних и тяжелых или 75 легких танков — 3000 руб.;</w:t>
      </w:r>
    </w:p>
    <w:p w14:paraId="6D845C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 эвакуацию в течение 10 дней не менее 20 средних и тяжелых или 100 легких танков — 5000 руб.</w:t>
      </w:r>
    </w:p>
    <w:p w14:paraId="09DCAF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Денежные награды устанавливать приказом заместителя командующего по АБТ войскам армии или фронта по представлению командиров эвакорот и выплачивать по § 22, ст. 88 сметы НКО.</w:t>
      </w:r>
    </w:p>
    <w:p w14:paraId="724E52B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Ввести в действие с 1 мая 1942 года Положение “О денежном награждении (премировании) работников хозрасчетных АБТ ремонтных баз за перевыполнение оперативных производственных заданий для нужд фронта”.*</w:t>
      </w:r>
    </w:p>
    <w:p w14:paraId="41C79E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Заместитель Народного комиссара обороны СССР генерал-лейтенант танковых войск ФЕДОРЕНКО</w:t>
      </w:r>
      <w:r w:rsidRPr="008127F8">
        <w:rPr>
          <w:rFonts w:ascii="Times New Roman" w:hAnsi="Times New Roman"/>
          <w:color w:val="000000" w:themeColor="text1"/>
          <w:sz w:val="16"/>
          <w:szCs w:val="16"/>
        </w:rPr>
        <w:t xml:space="preserve"> (9844).</w:t>
      </w:r>
    </w:p>
    <w:p w14:paraId="2229CF4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01D2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мая 1942 вышло Постановление ГКО № 1710 О формировании технических бригад Верховного Главнокомандования. РГАНИР, Фонд ГКО, д. 34, лл. 1, 2-8 (11012).</w:t>
      </w:r>
    </w:p>
    <w:p w14:paraId="15F26E3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7A62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422B8A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621C6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мая 1942 на фронте погиб русский бегун Серафим Знаменский (4962).</w:t>
      </w:r>
    </w:p>
    <w:p w14:paraId="1DE751C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396D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Внешняя политика</w:t>
      </w:r>
      <w:r w:rsidRPr="008127F8">
        <w:rPr>
          <w:rFonts w:ascii="Times New Roman" w:hAnsi="Times New Roman"/>
          <w:i/>
          <w:iCs/>
          <w:color w:val="000000" w:themeColor="text1"/>
          <w:sz w:val="16"/>
          <w:szCs w:val="16"/>
        </w:rPr>
        <w:t>За рубежом:</w:t>
      </w:r>
    </w:p>
    <w:p w14:paraId="0C334D0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1E612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мая в 1942 году правительство Мексики разрешило экспорт в СССР военно-стратегических материалов (14884).</w:t>
      </w:r>
    </w:p>
    <w:p w14:paraId="5380FE3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6A451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38C642D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FF8AF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мая в 1942 году А.Шпеер назначен единым руководителем германской военной экономики (14884).</w:t>
      </w:r>
    </w:p>
    <w:p w14:paraId="6E82596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9ABB48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7 May 1942 (7-8-May) Battle of the Coral Sea - US/Japanese naval engagement (270).</w:t>
      </w:r>
    </w:p>
    <w:p w14:paraId="6B3A8F0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08D67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 мая 1942 состоялась битва за Коралловое море (270). 7 мая американцы потопили японский авианосец Shoho, а 8 мая японцы потопили Лексингтон (2261).</w:t>
      </w:r>
    </w:p>
    <w:p w14:paraId="0BD0BA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93D86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мая 1942 в Коралловом море произошло сражение между японской ( 27 кораблей , 125 самолётов) и американской (21 корабль , 143 самолёта) эскадрами. Победу одержали американцы. Потери японцев - 6 кораблей , 77 самолётов, 900 ч. потери американцев - 3 корабля , 66 самолётов , 543 ч (4963).</w:t>
      </w:r>
    </w:p>
    <w:p w14:paraId="7FE29AB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559B5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мая в 1942 году в Коралловом море произошло (7–8 мая) сражение между японской (27 кораблей, 125 самолётов) и американской (21 корабль, 143 самолёта) эскадрами. Победу одержали американцы. Потери японцев - 6 кораблей , 77 самолётов, 900 человек. Потери американцев - 3 корабля, 66 самолётов, 543 человек (14884).</w:t>
      </w:r>
    </w:p>
    <w:p w14:paraId="7635626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90CBE5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мая 1942 состоялась битва в Коралловом море, первого боя между авианосцами. Сражались самолеты авианосцев USS Lexington (CV-2) и USS Йорктаун (CV-5) и японских авианосцев Сехо , Сёкаку и Дзуйкаку. Рано утром в результате удара 56 самолетов Сёкаку и Дзуйкаку был потоплен эсминец и был смертельно ранен танкер. Позже утром, в результате удара 93 самолетов с Lexington и Йорктаун был потоплен Сехо - первый японский авианосец, когда - либо потопленный (20793).</w:t>
      </w:r>
    </w:p>
    <w:p w14:paraId="78EE0C8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F64896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мая 1942 на Мадагаскаре Диего Суарес сдается вторжени. британских войск. С момента начала вторжения 5 мая самолеты британских авианосцев HMS Indomitable и HMS Illustrious подавили французские самолеты Виши, поддержали британские сухопутные войска на берегу, атаковали береговую артиллерию , разбили французский шлюп и потопили французский вооруженный торговый крейсер и два Французские подводные лодки (20793).</w:t>
      </w:r>
    </w:p>
    <w:p w14:paraId="2EF87BA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DAC8ED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мая в 1942 году последний оплот американского сопротивления на Филиппинах – крепость Коррехидор капитулировала перед японцами. В плен попало 12 тысяч солдат (14884).</w:t>
      </w:r>
    </w:p>
    <w:p w14:paraId="2FF0611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3C87A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2D20C7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8B33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мая 1942 вышел приказ НКАП N 360сс "О восстановлении производства самолетов ТБ-7 с моторами АМ-35 на заводе 22 в Казани"</w:t>
      </w:r>
    </w:p>
    <w:p w14:paraId="4043EE3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"ГКО постановлением от 3 мая 1942 N ГОКО-1694 обязал НКАП восстановить на заводе 22 в Казани производство самолетов ТБ-7 с мотором АМ-35А:</w:t>
      </w:r>
    </w:p>
    <w:p w14:paraId="0915EA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Нач. 10 ГУ Тарасевичу и директору завода 22 Окулову:</w:t>
      </w:r>
    </w:p>
    <w:p w14:paraId="28D3FC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восстановить на заводе 22 производство самолетов ТБ-7 с моторами АМ-35А</w:t>
      </w:r>
    </w:p>
    <w:p w14:paraId="6794A1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создать самостоятельное производство самолетов ТБ-7 на заводе 22, выделив при необходимости специальные цеха и утвердив Нач. производства ТБ-7</w:t>
      </w:r>
    </w:p>
    <w:p w14:paraId="4BF166E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ГК завода 22 по самолету ТБ-7 утвердить Незваль</w:t>
      </w:r>
    </w:p>
    <w:p w14:paraId="07046C1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Программу по выпуску ТБ-7 на заводе 22 на 1942 установить в количестве 34 из них в июне - 4, с августа - 5</w:t>
      </w:r>
    </w:p>
    <w:p w14:paraId="4FB3FB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Нач. 2 ГУ Климовицкому и директору завода 454 Горелик немедленно наладить производство агрегатов вооружения самолета ТБ-7 для завода 22 и начать поставки с 20 мая по программе завода 22 (1614,70).</w:t>
      </w:r>
    </w:p>
    <w:p w14:paraId="46BBF13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20BE3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мая 1942 вышел ПРИКАЗ Народного Комиссара Авиационной Промышленности СССР № 360с</w:t>
      </w:r>
    </w:p>
    <w:p w14:paraId="0A2D2C0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восстановлении производства самолетов ТБ-7 с моторами АМ-35А на заводе № 22 в г. Казани.</w:t>
      </w:r>
    </w:p>
    <w:p w14:paraId="01FED44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Государственный Комитет Обороны постановлением от 3 мая 1942 года за № ГОКО - 1694с обязал Наркомавиапром восстановить на заводе № 22 в г. Казани производство самалетов ТБ-7 с мотором АМ-35</w:t>
      </w:r>
    </w:p>
    <w:p w14:paraId="2823339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этого постановления Комитета Обороны, ПРИКАЗЫВАЮ:</w:t>
      </w:r>
    </w:p>
    <w:p w14:paraId="697EE26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Начальнику 10-Главного Управления тов. Тарасевичу и директору завода № 22 тов. Окулову:</w:t>
      </w:r>
    </w:p>
    <w:p w14:paraId="43BF686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восстановить на заводе № 22 производство самолетов ТБ-7 с моторами АМ-35А;</w:t>
      </w:r>
    </w:p>
    <w:p w14:paraId="2114DDA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создать самостоятельное производство само</w:t>
      </w:r>
      <w:r w:rsidRPr="008127F8">
        <w:rPr>
          <w:rFonts w:ascii="Times New Roman" w:hAnsi="Times New Roman"/>
          <w:color w:val="000000" w:themeColor="text1"/>
          <w:sz w:val="16"/>
          <w:szCs w:val="16"/>
        </w:rPr>
        <w:softHyphen/>
        <w:t>летов ТБ-7 на заводе № 22, выделив необходи</w:t>
      </w:r>
      <w:r w:rsidRPr="008127F8">
        <w:rPr>
          <w:rFonts w:ascii="Times New Roman" w:hAnsi="Times New Roman"/>
          <w:color w:val="000000" w:themeColor="text1"/>
          <w:sz w:val="16"/>
          <w:szCs w:val="16"/>
        </w:rPr>
        <w:softHyphen/>
        <w:t>мые специальные цеха и утвердить Начальника Производства самолетов ТБ-7:</w:t>
      </w:r>
    </w:p>
    <w:p w14:paraId="38875BC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Главным -Конструктором завода № 22 по самолету ТБ-7 утвердить тов. Незваль.</w:t>
      </w:r>
    </w:p>
    <w:p w14:paraId="3BD7D50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Программу по выпуску самолетов ТБ-7 на заводе № 22 на 1942 год установить в количестве 34 самолетов, из них:</w:t>
      </w:r>
    </w:p>
    <w:p w14:paraId="6214462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w:t>
      </w:r>
      <w:r w:rsidRPr="008127F8">
        <w:rPr>
          <w:rFonts w:ascii="Times New Roman" w:hAnsi="Times New Roman"/>
          <w:color w:val="000000" w:themeColor="text1"/>
          <w:sz w:val="16"/>
          <w:szCs w:val="16"/>
        </w:rPr>
        <w:tab/>
        <w:t>4 самолета</w:t>
      </w:r>
    </w:p>
    <w:p w14:paraId="3ED54E5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июле</w:t>
      </w:r>
      <w:r w:rsidRPr="008127F8">
        <w:rPr>
          <w:rFonts w:ascii="Times New Roman" w:hAnsi="Times New Roman"/>
          <w:color w:val="000000" w:themeColor="text1"/>
          <w:sz w:val="16"/>
          <w:szCs w:val="16"/>
        </w:rPr>
        <w:tab/>
        <w:t>5</w:t>
      </w:r>
    </w:p>
    <w:p w14:paraId="182B549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августе</w:t>
      </w:r>
      <w:r w:rsidRPr="008127F8">
        <w:rPr>
          <w:rFonts w:ascii="Times New Roman" w:hAnsi="Times New Roman"/>
          <w:color w:val="000000" w:themeColor="text1"/>
          <w:sz w:val="16"/>
          <w:szCs w:val="16"/>
        </w:rPr>
        <w:tab/>
        <w:t>5</w:t>
      </w:r>
    </w:p>
    <w:p w14:paraId="51582D4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сентябре</w:t>
      </w:r>
      <w:r w:rsidRPr="008127F8">
        <w:rPr>
          <w:rFonts w:ascii="Times New Roman" w:hAnsi="Times New Roman"/>
          <w:color w:val="000000" w:themeColor="text1"/>
          <w:sz w:val="16"/>
          <w:szCs w:val="16"/>
        </w:rPr>
        <w:tab/>
        <w:t>6</w:t>
      </w:r>
    </w:p>
    <w:p w14:paraId="3ECD8DC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октябре</w:t>
      </w:r>
      <w:r w:rsidRPr="008127F8">
        <w:rPr>
          <w:rFonts w:ascii="Times New Roman" w:hAnsi="Times New Roman"/>
          <w:color w:val="000000" w:themeColor="text1"/>
          <w:sz w:val="16"/>
          <w:szCs w:val="16"/>
        </w:rPr>
        <w:tab/>
        <w:t>6</w:t>
      </w:r>
    </w:p>
    <w:p w14:paraId="6EC5D43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ноябре</w:t>
      </w:r>
      <w:r w:rsidRPr="008127F8">
        <w:rPr>
          <w:rFonts w:ascii="Times New Roman" w:hAnsi="Times New Roman"/>
          <w:color w:val="000000" w:themeColor="text1"/>
          <w:sz w:val="16"/>
          <w:szCs w:val="16"/>
        </w:rPr>
        <w:tab/>
        <w:t>5</w:t>
      </w:r>
    </w:p>
    <w:p w14:paraId="366B9E5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декабре</w:t>
      </w:r>
      <w:r w:rsidRPr="008127F8">
        <w:rPr>
          <w:rFonts w:ascii="Times New Roman" w:hAnsi="Times New Roman"/>
          <w:color w:val="000000" w:themeColor="text1"/>
          <w:sz w:val="16"/>
          <w:szCs w:val="16"/>
        </w:rPr>
        <w:tab/>
        <w:t>5</w:t>
      </w:r>
    </w:p>
    <w:p w14:paraId="59A677C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Начальнику 2-Главного Управления тов. Климовицкому и директору завода № 454 тов. Горелик немедленно наладить производство агрегатов вооружения самолета ТБ-7 для завода № 22 и начать поставку начиная с 20 мая с. г. по программе завода № 22.</w:t>
      </w:r>
    </w:p>
    <w:p w14:paraId="624CDC2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ЭТИМ ЖЕ ПОСТАНОВЛЕНИЕМ ГОСУДАРСТВЕННЫЙ КОМИТЕТ ОБОРОНЫ ОБЯЗАЛ:</w:t>
      </w:r>
    </w:p>
    <w:p w14:paraId="39A701D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Секретаря Татарского Областного Комитета тов.Колнбанова, Председателя СНК Татарской Республики тов.Гафиатулина выделить в г.Казани 25 тыс.мтр. жилпло</w:t>
      </w:r>
      <w:r w:rsidRPr="008127F8">
        <w:rPr>
          <w:rFonts w:ascii="Times New Roman" w:hAnsi="Times New Roman"/>
          <w:color w:val="000000" w:themeColor="text1"/>
          <w:sz w:val="16"/>
          <w:szCs w:val="16"/>
        </w:rPr>
        <w:softHyphen/>
        <w:t>щади для расселения рабочих и служащих завода № 22, за счет выселения из г. Казани в районы Татарской Республики соответствующего количества гражданского населения, не</w:t>
      </w:r>
      <w:r w:rsidRPr="008127F8">
        <w:rPr>
          <w:rFonts w:ascii="Times New Roman" w:hAnsi="Times New Roman"/>
          <w:color w:val="000000" w:themeColor="text1"/>
          <w:sz w:val="16"/>
          <w:szCs w:val="16"/>
        </w:rPr>
        <w:softHyphen/>
        <w:t>связанного с промышленностью;</w:t>
      </w:r>
    </w:p>
    <w:p w14:paraId="56FD582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Наркомтанкопром тов.Малышева - восстановить с мая 1942 г. поставку деталей горячее штамповки Сталин</w:t>
      </w:r>
      <w:r w:rsidRPr="008127F8">
        <w:rPr>
          <w:rFonts w:ascii="Times New Roman" w:hAnsi="Times New Roman"/>
          <w:color w:val="000000" w:themeColor="text1"/>
          <w:sz w:val="16"/>
          <w:szCs w:val="16"/>
        </w:rPr>
        <w:softHyphen/>
        <w:t>градского тракторного завода в количестве 13 наименований для самолета ТБ-7, ранее поставлявшихся заводу № 124;</w:t>
      </w:r>
    </w:p>
    <w:p w14:paraId="502B0CC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Наркомчермет тов.Тевосяна - обеспечить, начиная с мая месяца 1942 года, изготовление и поставку в счет фондов НКАП с Новотрубного и Синарского завода Главтрубо-стали стальных труб специальных размеров для производства самолетов ТБ-7, по спецификации завода № 22 и в количествах, необходимых для производства самолетов, по программе,утвер</w:t>
      </w:r>
      <w:r w:rsidRPr="008127F8">
        <w:rPr>
          <w:rFonts w:ascii="Times New Roman" w:hAnsi="Times New Roman"/>
          <w:color w:val="000000" w:themeColor="text1"/>
          <w:sz w:val="16"/>
          <w:szCs w:val="16"/>
        </w:rPr>
        <w:softHyphen/>
        <w:t>жденной настоящим постановлением;</w:t>
      </w:r>
    </w:p>
    <w:p w14:paraId="1E972FB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Наркомсовхозов - передать в ведение Стройтреста 14 совхоз "Приволжский" в селе Кинепма Куйбышевского рай</w:t>
      </w:r>
      <w:r w:rsidRPr="008127F8">
        <w:rPr>
          <w:rFonts w:ascii="Times New Roman" w:hAnsi="Times New Roman"/>
          <w:color w:val="000000" w:themeColor="text1"/>
          <w:sz w:val="16"/>
          <w:szCs w:val="16"/>
        </w:rPr>
        <w:softHyphen/>
        <w:t>она Татарской АССР, со всем закрепленным за ним земельным фондом, живым и мертвым инвентарем;</w:t>
      </w:r>
    </w:p>
    <w:p w14:paraId="290EB3D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Наркомавиапром тов.Шахурина - производить само</w:t>
      </w:r>
      <w:r w:rsidRPr="008127F8">
        <w:rPr>
          <w:rFonts w:ascii="Times New Roman" w:hAnsi="Times New Roman"/>
          <w:color w:val="000000" w:themeColor="text1"/>
          <w:sz w:val="16"/>
          <w:szCs w:val="16"/>
        </w:rPr>
        <w:softHyphen/>
        <w:t>стоятельно премирование руководящего и инженерно-техническо</w:t>
      </w:r>
      <w:r w:rsidRPr="008127F8">
        <w:rPr>
          <w:rFonts w:ascii="Times New Roman" w:hAnsi="Times New Roman"/>
          <w:color w:val="000000" w:themeColor="text1"/>
          <w:sz w:val="16"/>
          <w:szCs w:val="16"/>
        </w:rPr>
        <w:softHyphen/>
        <w:t>го состава завода №1 22, занятого на производстве самолетов ТБ-7, за выполнение месячных планов, в размере до двух ме</w:t>
      </w:r>
      <w:r w:rsidRPr="008127F8">
        <w:rPr>
          <w:rFonts w:ascii="Times New Roman" w:hAnsi="Times New Roman"/>
          <w:color w:val="000000" w:themeColor="text1"/>
          <w:sz w:val="16"/>
          <w:szCs w:val="16"/>
        </w:rPr>
        <w:softHyphen/>
        <w:t>сячных окладов;</w:t>
      </w:r>
    </w:p>
    <w:p w14:paraId="3415D43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для премирования строителей и монтажников за выполнение в установленные сроки указанных об"ектов -выделить из спецфонда СНК СССР 300 тыс. руб. на премирование отличившихся рабочих и ИТР, из них:</w:t>
      </w:r>
    </w:p>
    <w:p w14:paraId="447BE42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заводу № 22 - 100 тыс. руб.</w:t>
      </w:r>
    </w:p>
    <w:p w14:paraId="5FED7F2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Стройгресту № 14 - 200</w:t>
      </w:r>
    </w:p>
    <w:p w14:paraId="35337E6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Наркомторг СССР тов. Любимова - выделить для завода № 22 8 тыс .дополнительных безкарточных обедов для питания лучших рабочих и мастеров - стахановцев;</w:t>
      </w:r>
    </w:p>
    <w:p w14:paraId="138494E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 Наркоммясмолпром тов.Смирнова, Наркомзаг тов.Субботина, Наркомпищепром тов.Пронина, Наркомрыбпром тов. лшкова - выделить заводу 31 22 для дополнительных без</w:t>
      </w:r>
      <w:r w:rsidRPr="008127F8">
        <w:rPr>
          <w:rFonts w:ascii="Times New Roman" w:hAnsi="Times New Roman"/>
          <w:color w:val="000000" w:themeColor="text1"/>
          <w:sz w:val="16"/>
          <w:szCs w:val="16"/>
        </w:rPr>
        <w:softHyphen/>
        <w:t>карточных обедов на май - июнь месяцы с.г.:</w:t>
      </w:r>
    </w:p>
    <w:p w14:paraId="60511BD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мяса - 16 тонн</w:t>
      </w:r>
    </w:p>
    <w:p w14:paraId="22A5CA3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рыбы - 8 "</w:t>
      </w:r>
    </w:p>
    <w:p w14:paraId="4D4C7CC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крупы - 37 "</w:t>
      </w:r>
    </w:p>
    <w:p w14:paraId="0A5B800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жиров животных 5 тонн</w:t>
      </w:r>
    </w:p>
    <w:p w14:paraId="734AC2E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сахара и кондитерск.изделий - 5 тонн</w:t>
      </w:r>
    </w:p>
    <w:p w14:paraId="1623697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Наркомфин СССР тов.Зверева - выделить заводу из резервного фонда СНК СССР 5 млн. руб. на постановку и восстановление производства самолетов ТБ-7 (1614).</w:t>
      </w:r>
    </w:p>
    <w:p w14:paraId="6791BC6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Отпечатано со стногораммы 8 мая 1942 (1614,70).</w:t>
      </w:r>
    </w:p>
    <w:p w14:paraId="5CF5311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68A38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мая 1942 г. на основании приказа НКАП №360 на заводе № 22 началось восстановление законсервированного производства бомбардировщика Пе-8 (такую аббревиатуру получил ТБ-7 после гибели В.М. Петлякова). На него планировалось установить двигатели АМ-35 (5764,39).</w:t>
      </w:r>
    </w:p>
    <w:p w14:paraId="5A576FE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CF3749"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мая 1942 г. Из приказа Наркомата авиационной промышленности СССР «О восстановлении производства самолета ТБ-7 с моторами АМ-35А на заводе № 22 в г. Казань»</w:t>
      </w:r>
    </w:p>
    <w:p w14:paraId="56888F69"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Обороны постановлением от 3 мая 1942 г. обязал Наркомавиапром восстановить на заводе № 22 в г. Казани производство самолетов ТБ-7 с мотором АМ-35А.</w:t>
      </w:r>
    </w:p>
    <w:p w14:paraId="4FF28935"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исполнение этого постановления приказываю:</w:t>
      </w:r>
    </w:p>
    <w:p w14:paraId="26869CD5"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Начальнику 10-го Главного управления т. Тарасевичу и директору завода № 22 т. Окулову:</w:t>
      </w:r>
    </w:p>
    <w:p w14:paraId="153B6468"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восстановить на заводе № 22 производство самолетов ТБ-7 с моторами АМ-35А;</w:t>
      </w:r>
    </w:p>
    <w:p w14:paraId="2287B922"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создать самостоятельное производство самолетов ТБ-7 на заводе № 22, выделив необходимые специальные цехи и утвердить начальника производства самолетов ТБ-7.</w:t>
      </w:r>
    </w:p>
    <w:p w14:paraId="4BD60E8A"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Главным конструктором завода № 22 по самолету ТБ-7 утвердить т. Незваль.</w:t>
      </w:r>
    </w:p>
    <w:p w14:paraId="6DF89F05"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Программу по выпуску самолетов ТБ-7 на заводе № 22 на 1942 год установить в количестве 34 самолетов, из них:</w:t>
      </w:r>
    </w:p>
    <w:p w14:paraId="75F96951"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4 самолета</w:t>
      </w:r>
    </w:p>
    <w:p w14:paraId="7C4A34D8"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5 самолетов</w:t>
      </w:r>
    </w:p>
    <w:p w14:paraId="45DA3C61"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5 самолетов</w:t>
      </w:r>
    </w:p>
    <w:p w14:paraId="604B1D18"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сентябре 5 самолетов</w:t>
      </w:r>
    </w:p>
    <w:p w14:paraId="3CA802FA"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октябре 5 самолетов</w:t>
      </w:r>
    </w:p>
    <w:p w14:paraId="148701D2"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ноябре 5 самолетов</w:t>
      </w:r>
    </w:p>
    <w:p w14:paraId="1A5D9654"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декабре 5 самолетов [...]1</w:t>
      </w:r>
    </w:p>
    <w:p w14:paraId="135CE178"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Народный комиссар </w:t>
      </w:r>
    </w:p>
    <w:p w14:paraId="6D4280F9"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авиационной промышленности СССР</w:t>
      </w:r>
      <w:r w:rsidRPr="008A2E5A">
        <w:rPr>
          <w:rFonts w:ascii="Times New Roman" w:hAnsi="Times New Roman"/>
          <w:color w:val="0070C0"/>
          <w:sz w:val="16"/>
          <w:szCs w:val="16"/>
        </w:rPr>
        <w:tab/>
        <w:t>А. Шахурин</w:t>
      </w:r>
    </w:p>
    <w:p w14:paraId="2B5ABC21"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Р-2845. Оп. 3. Д. 117. Л. 234-234 об. Заверенная копия (23836).</w:t>
      </w:r>
    </w:p>
    <w:p w14:paraId="52F01893" w14:textId="77777777" w:rsidR="00596F73" w:rsidRPr="008A2E5A" w:rsidRDefault="00596F73" w:rsidP="00596F73">
      <w:pPr>
        <w:spacing w:after="0" w:line="240" w:lineRule="auto"/>
        <w:jc w:val="both"/>
        <w:rPr>
          <w:rFonts w:ascii="Times New Roman" w:hAnsi="Times New Roman"/>
          <w:color w:val="0070C0"/>
          <w:sz w:val="16"/>
          <w:szCs w:val="16"/>
        </w:rPr>
      </w:pPr>
    </w:p>
    <w:p w14:paraId="676BD6C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мая 1942 вышел приказ НКАП N 361сс:</w:t>
      </w:r>
    </w:p>
    <w:p w14:paraId="2F1BEB3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исполнение постановления ГКО от 2 мая 1942 N 1680сс и в изменение приказа НКАП от 30 апреля 1942 N 344сс:</w:t>
      </w:r>
    </w:p>
    <w:p w14:paraId="5D1C2D3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Зам. наркома и ГК А.С.Я. выпускать самолеты Як-1 и Як-7, оборудованными бомбодержателями, обеспечивающими подвеску 2-х бомб по 100 кг или 2 по 50 кг или 2 по 25 кг и с 4 РО вместо 6, устанавливаемых в настоящее время (1552,4).</w:t>
      </w:r>
    </w:p>
    <w:p w14:paraId="1CFEAD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323256"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мая 1942 г. в 19-50 доработанную машину ЛаГГ-3М- 82 выка</w:t>
      </w:r>
      <w:r w:rsidRPr="008A2E5A">
        <w:rPr>
          <w:rFonts w:ascii="Times New Roman" w:hAnsi="Times New Roman"/>
          <w:color w:val="0070C0"/>
          <w:sz w:val="16"/>
          <w:szCs w:val="16"/>
        </w:rPr>
        <w:softHyphen/>
        <w:t>тили на аэродром завода № 21 (23389).</w:t>
      </w:r>
    </w:p>
    <w:p w14:paraId="0BC2038F" w14:textId="77777777" w:rsidR="00596F73" w:rsidRPr="008A2E5A" w:rsidRDefault="00596F73" w:rsidP="00596F73">
      <w:pPr>
        <w:spacing w:after="0" w:line="240" w:lineRule="auto"/>
        <w:jc w:val="both"/>
        <w:rPr>
          <w:rFonts w:ascii="Times New Roman" w:hAnsi="Times New Roman"/>
          <w:color w:val="0070C0"/>
          <w:sz w:val="16"/>
          <w:szCs w:val="16"/>
        </w:rPr>
      </w:pPr>
    </w:p>
    <w:p w14:paraId="6D6E68B3"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мая 1942 первый МиГ-9 № 6502, направили в Лётную инспекцию ВВС, которая затем передала самолёт в 12-й гвардейский истребитель</w:t>
      </w:r>
      <w:r w:rsidRPr="008A2E5A">
        <w:rPr>
          <w:rFonts w:ascii="Times New Roman" w:hAnsi="Times New Roman"/>
          <w:color w:val="0070C0"/>
          <w:sz w:val="16"/>
          <w:szCs w:val="16"/>
        </w:rPr>
        <w:softHyphen/>
        <w:t>ный авиаполк ПВО города Москвы. А в середине июня остальные четыре машины, №№ 6501, 6503, 6504 и 6505, поступили в 34-й иап ПВО, базировавшийся на север</w:t>
      </w:r>
      <w:r w:rsidRPr="008A2E5A">
        <w:rPr>
          <w:rFonts w:ascii="Times New Roman" w:hAnsi="Times New Roman"/>
          <w:color w:val="0070C0"/>
          <w:sz w:val="16"/>
          <w:szCs w:val="16"/>
        </w:rPr>
        <w:softHyphen/>
        <w:t>ной окраине аэродрома Внуково. Этот 34-й авиаполк был не совсем обычным. К слову, в нём проходили ис</w:t>
      </w:r>
      <w:r w:rsidRPr="008A2E5A">
        <w:rPr>
          <w:rFonts w:ascii="Times New Roman" w:hAnsi="Times New Roman"/>
          <w:color w:val="0070C0"/>
          <w:sz w:val="16"/>
          <w:szCs w:val="16"/>
        </w:rPr>
        <w:softHyphen/>
        <w:t>пытания многие другие технические новинки: напри</w:t>
      </w:r>
      <w:r w:rsidRPr="008A2E5A">
        <w:rPr>
          <w:rFonts w:ascii="Times New Roman" w:hAnsi="Times New Roman"/>
          <w:color w:val="0070C0"/>
          <w:sz w:val="16"/>
          <w:szCs w:val="16"/>
        </w:rPr>
        <w:softHyphen/>
        <w:t>мер, наземная радиолокационная станция МРУ-105 и английские приборы IFF (опознаватель «свой—чу</w:t>
      </w:r>
      <w:r w:rsidRPr="008A2E5A">
        <w:rPr>
          <w:rFonts w:ascii="Times New Roman" w:hAnsi="Times New Roman"/>
          <w:color w:val="0070C0"/>
          <w:sz w:val="16"/>
          <w:szCs w:val="16"/>
        </w:rPr>
        <w:softHyphen/>
        <w:t>жой»), четыре из которых смонтировали в кабинах са</w:t>
      </w:r>
      <w:r w:rsidRPr="008A2E5A">
        <w:rPr>
          <w:rFonts w:ascii="Times New Roman" w:hAnsi="Times New Roman"/>
          <w:color w:val="0070C0"/>
          <w:sz w:val="16"/>
          <w:szCs w:val="16"/>
        </w:rPr>
        <w:softHyphen/>
        <w:t>молётов МиГ-3, стоящих на вооружении полка. После освоения лётным составом истребители МиГ-9 прини</w:t>
      </w:r>
      <w:r w:rsidRPr="008A2E5A">
        <w:rPr>
          <w:rFonts w:ascii="Times New Roman" w:hAnsi="Times New Roman"/>
          <w:color w:val="0070C0"/>
          <w:sz w:val="16"/>
          <w:szCs w:val="16"/>
        </w:rPr>
        <w:softHyphen/>
        <w:t>мали участие в боевых действиях, главным образом осуществляя патрулирование в воздухе. Правда, про</w:t>
      </w:r>
      <w:r w:rsidRPr="008A2E5A">
        <w:rPr>
          <w:rFonts w:ascii="Times New Roman" w:hAnsi="Times New Roman"/>
          <w:color w:val="0070C0"/>
          <w:sz w:val="16"/>
          <w:szCs w:val="16"/>
        </w:rPr>
        <w:softHyphen/>
        <w:t>должалось это недолго, так как в ноябре все самолёты вернули заводу № 155 для доработки ВМГ, в основном из-за неудовлетворительной работы моторов М-82А (23379).</w:t>
      </w:r>
    </w:p>
    <w:p w14:paraId="3FB38D98" w14:textId="77777777" w:rsidR="00596F73" w:rsidRPr="008A2E5A" w:rsidRDefault="00596F73" w:rsidP="00596F73">
      <w:pPr>
        <w:spacing w:after="0" w:line="240" w:lineRule="auto"/>
        <w:jc w:val="both"/>
        <w:rPr>
          <w:rFonts w:ascii="Times New Roman" w:hAnsi="Times New Roman"/>
          <w:color w:val="0070C0"/>
          <w:sz w:val="16"/>
          <w:szCs w:val="16"/>
        </w:rPr>
      </w:pPr>
    </w:p>
    <w:p w14:paraId="7146AB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мая 1942 в Новосибирске закончился очередной этап заводских испытаний ТИС (2А) Н.Н.П. (10535,34).</w:t>
      </w:r>
    </w:p>
    <w:p w14:paraId="3F332B3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0E7E6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мая 1942 закончился второй цикл испытаний ТИС (А) Н.Н.П. (19667)</w:t>
      </w:r>
    </w:p>
    <w:p w14:paraId="2C150F7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FE0E7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37E79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163D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мая 1942 Нарком вооружений Д.Ф.Устинов пожаловался в ГКО И.В.С. на наркома танковой промышленности В.А.Малышева, что тот "в течение последнего полугодия систематически и категорически отказывается принимать заказы для артиллерии". Фасонно-литейное оборудование было на заводах Наркомтанкопрома (1566,145).</w:t>
      </w:r>
    </w:p>
    <w:p w14:paraId="6E34AC2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BE1E3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мая 1942 г. Нарком во</w:t>
      </w:r>
      <w:r w:rsidRPr="008127F8">
        <w:rPr>
          <w:rFonts w:ascii="Times New Roman" w:hAnsi="Times New Roman"/>
          <w:color w:val="000000" w:themeColor="text1"/>
          <w:sz w:val="16"/>
          <w:szCs w:val="16"/>
        </w:rPr>
        <w:softHyphen/>
        <w:t xml:space="preserve">оружения Д.Ф.Устинов направил Председателю ГКО И.В.Сталину жалобу на Наркома танковой промышленности В.А.Малышева, который, </w:t>
      </w:r>
      <w:r w:rsidRPr="008127F8">
        <w:rPr>
          <w:rFonts w:ascii="Times New Roman" w:hAnsi="Times New Roman"/>
          <w:color w:val="000000" w:themeColor="text1"/>
          <w:sz w:val="16"/>
          <w:szCs w:val="16"/>
        </w:rPr>
        <w:lastRenderedPageBreak/>
        <w:t>по его словам, «в течение последнего полугодия систе</w:t>
      </w:r>
      <w:r w:rsidRPr="008127F8">
        <w:rPr>
          <w:rFonts w:ascii="Times New Roman" w:hAnsi="Times New Roman"/>
          <w:color w:val="000000" w:themeColor="text1"/>
          <w:sz w:val="16"/>
          <w:szCs w:val="16"/>
        </w:rPr>
        <w:softHyphen/>
        <w:t>матически и категорически отказывается принимать заказы для артиллерии». Суть претензий Устинова заключалась в том, что фасонно-литейное оборудование для крупногабаритных артилле</w:t>
      </w:r>
      <w:r w:rsidRPr="008127F8">
        <w:rPr>
          <w:rFonts w:ascii="Times New Roman" w:hAnsi="Times New Roman"/>
          <w:color w:val="000000" w:themeColor="text1"/>
          <w:sz w:val="16"/>
          <w:szCs w:val="16"/>
        </w:rPr>
        <w:softHyphen/>
        <w:t>рийских деталей было сосредоточено на заводах НКТанкпрома, который, по решению ГКО № 1532 ее, должен был принимать заказы артиллерийских заводов на заготовку стволов орудий крупных калибров. Устинов просил Сталина оставить в силе дан</w:t>
      </w:r>
      <w:r w:rsidRPr="008127F8">
        <w:rPr>
          <w:rFonts w:ascii="Times New Roman" w:hAnsi="Times New Roman"/>
          <w:color w:val="000000" w:themeColor="text1"/>
          <w:sz w:val="16"/>
          <w:szCs w:val="16"/>
        </w:rPr>
        <w:softHyphen/>
        <w:t>ное решение ГКО «по кооперированным поставкам с заводов танковой промышленности для артиллерии и заставить Наркома танковой промышленности т.Малышева выполнять это решение аккуратно» (РГАЭ ф. 4372, оп. 93, д. 573, л. 258) (1566).</w:t>
      </w:r>
    </w:p>
    <w:p w14:paraId="199A75D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5292BC"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8 мая 1942 на заводе № 37 изготовили опытный образец глубокой модернизации Т-60, которая и получила индекс Т-45. Корпус менялся не сильно: толщину верхнего лобового листа увеличили до 25 мм, также переделывался люк механика-водителя. Его сделали сдвигающимся вбок, поскольку вылезать через него оказалось затруднительно. Сильнее всего изменилась башня. За основу взяли штатную башню Т-60, которая получила кормовую нишу и вытянутую вперед орудийную установку. Внутрь поставили 45-мм пушку, сдвинутую максимально вправо. По центру разместили телескопический прицел ТМФП, а справа - спаренный пулемет ДТ. Толщина башни выросла до 35 мм, а общая масса танка - до 6800 кг. Именно до такой массы нагрузили переделанный Т-60 (23347).</w:t>
      </w:r>
    </w:p>
    <w:p w14:paraId="3AD3FB88" w14:textId="77777777" w:rsidR="00596F73" w:rsidRPr="008A2E5A" w:rsidRDefault="00596F73" w:rsidP="00596F73">
      <w:pPr>
        <w:spacing w:after="0" w:line="240" w:lineRule="auto"/>
        <w:jc w:val="both"/>
        <w:rPr>
          <w:rFonts w:ascii="Times New Roman" w:hAnsi="Times New Roman"/>
          <w:color w:val="0070C0"/>
          <w:sz w:val="16"/>
          <w:szCs w:val="16"/>
        </w:rPr>
      </w:pPr>
    </w:p>
    <w:p w14:paraId="55A823D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мая 1942 года танк №272 Pz.Kpfw.35 S (f) из состава Panzerzug 27 использовался для испытания стрельбой противотанковых ружей ПТРС и 15-П конструкции М.Н. Блюма (ОКБ-16). Помимо Pz.Kpfw.35 S (f), в них участвовал и Pz.Kpfw.38(t) Ausf.S. ПО французскому танку стрельба велась с дистанции 100 метров, в борт корпуса и башни. В ходе первой серии из 5 выстрелов сквозное пробитие удалось получить 1 раз, то же самое касалось и второй серии.</w:t>
      </w:r>
    </w:p>
    <w:p w14:paraId="2E74657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случае с ружьем 15-П наблюдались случаи попадания пуль плашмя, либо рикошетов. Также, уже после второй серии, по башне провели серию из 5 выстрелов ПТРС. 4 попадания закончились рикошетом, пятое указывалось как "пробоина глубиной 40 мм". То есть некондиционное, но пробитие всё же было. В этом смысле интересно сравнение с Pz.Kpfw.38(t). Там пробитие ПТРС добивалось только по броне толщиной 25 мм. Более толстую броню ПТРС не пробивала. Подробного обстрела более крупными калибрами французского танка не велось, но кое-какие выводы можно сделать. Есть серьёзные подозрения, что 40-мм броня имела примерно те же свойства, что и у Renault R 35. То есть литая броня вела себя хуже катаной. В результате даже довольно хрупкая чешская броня оказывалась как минимум не хуже (22391).</w:t>
      </w:r>
    </w:p>
    <w:p w14:paraId="42658F6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D3C127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мая 1942 вышло Постановление ГКО № 1712 О возвращении в Москву Наркомморфлота и Наркомречфлота. (7034, 36).</w:t>
      </w:r>
    </w:p>
    <w:p w14:paraId="149DAFE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722C1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мая 1942 г. крейсер "Калинин" (главный строитель А. 3. Голланд) был выведен из дока завода № 199 и переведен во Владивосток, где всту</w:t>
      </w:r>
      <w:r w:rsidRPr="008127F8">
        <w:rPr>
          <w:rFonts w:ascii="Times New Roman" w:hAnsi="Times New Roman"/>
          <w:color w:val="000000" w:themeColor="text1"/>
          <w:sz w:val="16"/>
          <w:szCs w:val="16"/>
        </w:rPr>
        <w:softHyphen/>
        <w:t>пил в строй к 1 января следующего года (3898). На этом крейсере была усилена прочность днища в кормовой части корпуса. Вместо шести 100-мм пушек на нем пришлось ус</w:t>
      </w:r>
      <w:r w:rsidRPr="008127F8">
        <w:rPr>
          <w:rFonts w:ascii="Times New Roman" w:hAnsi="Times New Roman"/>
          <w:color w:val="000000" w:themeColor="text1"/>
          <w:sz w:val="16"/>
          <w:szCs w:val="16"/>
        </w:rPr>
        <w:softHyphen/>
        <w:t>тановить восемь одноорудийных 85-мм установок 90-К (масса сна</w:t>
      </w:r>
      <w:r w:rsidRPr="008127F8">
        <w:rPr>
          <w:rFonts w:ascii="Times New Roman" w:hAnsi="Times New Roman"/>
          <w:color w:val="000000" w:themeColor="text1"/>
          <w:sz w:val="16"/>
          <w:szCs w:val="16"/>
        </w:rPr>
        <w:softHyphen/>
        <w:t>ряда 9,2 кг, дальность стрельбы 15,5 км, досягаемость по высоте 10,1 км). Авиационное вооружение отсутствовало и было установ</w:t>
      </w:r>
      <w:r w:rsidRPr="008127F8">
        <w:rPr>
          <w:rFonts w:ascii="Times New Roman" w:hAnsi="Times New Roman"/>
          <w:color w:val="000000" w:themeColor="text1"/>
          <w:sz w:val="16"/>
          <w:szCs w:val="16"/>
        </w:rPr>
        <w:softHyphen/>
        <w:t>лено уже после войны (с самолетами "КОР-2"). Полное водоизме</w:t>
      </w:r>
      <w:r w:rsidRPr="008127F8">
        <w:rPr>
          <w:rFonts w:ascii="Times New Roman" w:hAnsi="Times New Roman"/>
          <w:color w:val="000000" w:themeColor="text1"/>
          <w:sz w:val="16"/>
          <w:szCs w:val="16"/>
        </w:rPr>
        <w:softHyphen/>
        <w:t>щение корабля увеличилось до 10 040 т, скорость полного хода на "испытаниях составила 32,2 уз при мощности турбин 109 500 л. с., Дальность плавания 16,5-узловым ходом 3100 миль (9838).</w:t>
      </w:r>
    </w:p>
    <w:p w14:paraId="3712AC9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744A8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225C77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51507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мая в 1942 году утреннее сообщение Совинформбюро:</w:t>
      </w:r>
    </w:p>
    <w:p w14:paraId="5A89F93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8 мая на фронте чего-либо существенного не произошло.</w:t>
      </w:r>
    </w:p>
    <w:p w14:paraId="7A2BA8F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Северо-Западного фронта, за два дня боевых действий уничтожили до 500 немецких солдат и офицеров. У противника захвачены следующие трофеи: 7 орудий, 24 миномёта, 52 пулемёта, 53 автомата, 130 винтовок, 2 радиостанции, 200 гранат, 1.500 мин и свыше 20.000 винтовочных патронов.</w:t>
      </w:r>
    </w:p>
    <w:p w14:paraId="77FD3B8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Калининского фронта, успешно отразила контратаку противника. Немцы оставили на поле боя более 100 трупов. На другом участке фронта артиллеристы части под командованием тов. Березина уничтожили 3 вражеских танка.</w:t>
      </w:r>
    </w:p>
    <w:p w14:paraId="48E2A94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Танковые экипажи младшего лейтенанта Ильюхина и старшины Шувалова за 5 дней боевых действий уничтожили 18 немецких ДЗОТов, 24 пулемётные точки, 3 противотанковых орудия, 3 крупнокалиберных пулемёта и взорвали склад с боеприпасами противника.</w:t>
      </w:r>
    </w:p>
    <w:p w14:paraId="3A85CC6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 Погорелов из противотанкового ружья подбил немецкий танк. Ночью тов. Погорелов вместе с бойцами Чекмазовым и Филипповым забрались в подбитую немецкую машину. Несколько часов спустя гитлеровцы пошли в атаку. Смелые бойцы,находившиеся в танке, открыли огонь из пушки и пулемётов и уничтожили до взвода пехоты противника.</w:t>
      </w:r>
    </w:p>
    <w:p w14:paraId="39FF9F0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несколько дней снайперы т.т. Дегтяренко и Овчаренко уничтожили 27 немцев,снайпер тов. Медведев — 10, снайпер тов. Батищев — 6 немцев.</w:t>
      </w:r>
    </w:p>
    <w:p w14:paraId="1E84A2F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Успешно продолжает громить немецко-фашистских захватчиков партизанский отряд «Дедушка», действующий в Смоленской области. За неделю партизаны этого отряда истребили свыше 300 гитлеровцев. Советские патриоты захватили одно орудие, 3 миномёта, несколько пулемётов, 2 радиостанции и другие трофеи.</w:t>
      </w:r>
    </w:p>
    <w:p w14:paraId="616BB16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1 роты полка «Дейчланд» дивизии «Рейх» Еурт Спедрикис рассказал: «В начале января 1942 г. я в составе маршевого батальона прибыл на фронт. Большинство солдат прошло шестинедельную военную подготовку. Во время обучения солдатам говорили, что батальон отправят во Францию. Они были возмущены отправкой на русский фронт, но боялись открыто выражать свои мысли. Недавно русские предприняли на нашем участке сильную танковую атаку. Наша рота не устояла и побежала. Я остался в блиндаже и при подходе русских добровольно сдался в плен. Что меня толкнуло на такой шаг? Я устал от войны и не хочу больше воевать».</w:t>
      </w:r>
    </w:p>
    <w:p w14:paraId="7B81523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Гитлеровцы продолжают зверски расправляться с попавшими в ним в плен красноармейцами. В освобождённой от немецко-фашистских захватчиков деревне Чумазово, Смоленской области, в подвале были обнаружены трупы 12 красноармейцев. На трупах видны многочисленные следы зверских пыток. Местные жители рассказали,что гитлеровцы долго издевались над ранеными пленными красноармейцами, подвергали их страшным мучениям, а потом загнали в подвал и расстреляли.</w:t>
      </w:r>
    </w:p>
    <w:p w14:paraId="2B3C291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ряде селений Келецкого воеводства (Польша) произошли восстания крестьян против немецких оккупантов. Поводом к восстаниям послужило массовое выселение местных жителей и конфискация принадлежавших им земли и имущества. Крестьяне перебили фашистских чиновников и сопровождавший их отряд полиции. Прибывшие для подавления восстания гитлеровцы застали опустевшие деревни. Жители ушли в леса.» (14885).</w:t>
      </w:r>
    </w:p>
    <w:p w14:paraId="3E00AC1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AD8028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мая в 1942 году вечернее сообщение Совинформбюро:</w:t>
      </w:r>
    </w:p>
    <w:p w14:paraId="0BE5795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8 мая на фронте ничего существенного не произошло.</w:t>
      </w:r>
    </w:p>
    <w:p w14:paraId="7D6BD97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7 мая уничтожено 36 немецких самолётов. Наши потери — 16 самолётов.</w:t>
      </w:r>
    </w:p>
    <w:p w14:paraId="2D82772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7 мая частями нашей авиации уничтожено или повреждено 20 немецких автомашин с войсками и грузами, 2 артиллерийские батареи, 3 зенитно-пулемётные точки, взорваны два склада с боеприпасами и склад с горючим, рассеяно и частью уничтожено до роты пехоты противника.</w:t>
      </w:r>
    </w:p>
    <w:p w14:paraId="01230E8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за два дня боевых действий уничтожили 400 вражеских солдат и офицеров. Артиллерийским огнём и разведывательными группами разрушены 3 ДЗОТа, 5 блиндажей и землянок, уничтожены 2 полевых орудия, 4 пулемёта и 2 миномёта противника.</w:t>
      </w:r>
    </w:p>
    <w:p w14:paraId="38F143A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Подразделение, которым командует тов. Украинский, в ожесточённом бою с противником захватило 118 немецких винтовок и автоматов, 21 пулемёт, 2 пушки, 3.000 мин, 2 радиостанции, много снарядов и патронов. Враг потерял убитыми более 350 солдат и офицеров.</w:t>
      </w:r>
    </w:p>
    <w:p w14:paraId="1ABE66F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Противник атаковал наши позиции на одном из участков Западного фронта. Огнём артиллерии и пехоты атака немцев была отбита. На поле боя остались сотни вражеских трупов. На другом участке фронта артиллеристы гвардейской части разрушили 3 вражеских блиндажа, уничтожили несколько станковых пулемётов и 120 немецких солдат и офицеров.</w:t>
      </w:r>
    </w:p>
    <w:p w14:paraId="1581079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батареи тов. Медведкина в одном из боёв уничтожили 5 немецких танков.</w:t>
      </w:r>
    </w:p>
    <w:p w14:paraId="120D215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Красноармеец-минёр тов. Кузнецов в течение нескольких дней извлёк с заминированного немцами участка и обезвредил 700 противотанковых мин.</w:t>
      </w:r>
    </w:p>
    <w:p w14:paraId="1CC4FF9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товарища З., действующий в одном из оккупированных немцами районов Калининской области, совершил внезапный налёт на посёлок Н. и уничтожил около 100 гитлеровцев, 6 автомашин и взорвал склад с боеприпасами.</w:t>
      </w:r>
    </w:p>
    <w:p w14:paraId="4C8F114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санитар 10 роты 151 полка 61 немецкой пехотной дивизии Иосиф Айзель рассказал: «Многие немецкие солдаты выражают недовольство войной. Участились случаи грубого нарушения дисциплины и невыполнения приказов. 19 апреля фельдфебель Фауст приказал солдату вашего полка Гуго Бартеру отправиться в разведку. Биркнер категорически отказался выполнить приказание и заявил: «Не хочу больше рисковать жизнью: у меня жена и дети. Расстреляйте на месте, но я в разведку не пойду».</w:t>
      </w:r>
    </w:p>
    <w:p w14:paraId="279702E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2 роты 11 мотополка Гейнц Ветер сообщил: «Во Франции я служилв составе 81 дивизии, которая сейчас находится на центральном участке советско-германского фронта. Незадолго до отправки в Россию в частях дивизии вспыхнули волнения. Солдаты потребовали, чтобы их отпустили домой. Командование жестоко расправилось с зачинщиками волнений и расстреляло 125 человек. Среди расстрелянных — 25 человек из моей роты».</w:t>
      </w:r>
    </w:p>
    <w:p w14:paraId="6757022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Жителя ныне освобождённой от немецко-фашистских захватчиков деревни Жуково, Калининской области, рассказали о том, что гитлеровцы во время одного из боёв схватили истекавшего кровью, тяжело раненного красноармейца Третьякова, затащили его в сарай и подвергли чудовищным пыткам. Гитлеровские изверги отрезали у раненого бойца язык, уши и перебили суставы пальцев.» (14885).</w:t>
      </w:r>
    </w:p>
    <w:p w14:paraId="0FFB634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A1C2FA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мая в 1942 году постановление ГКО о сформировании гвардейских минометных полков и отдельных гвардейских минометных дивизионов «М-8» и «М-13» (14885).</w:t>
      </w:r>
    </w:p>
    <w:p w14:paraId="665BD3A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BD2C4C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мая 1942 немцы начали наступление в Крыму (4962).</w:t>
      </w:r>
    </w:p>
    <w:p w14:paraId="0FD3880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15E2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мая 1942 немцы, остановив неумело орга</w:t>
      </w:r>
      <w:r w:rsidRPr="008127F8">
        <w:rPr>
          <w:rFonts w:ascii="Times New Roman" w:hAnsi="Times New Roman"/>
          <w:color w:val="000000" w:themeColor="text1"/>
          <w:sz w:val="16"/>
          <w:szCs w:val="16"/>
        </w:rPr>
        <w:softHyphen/>
        <w:t>низованное наступление войск Крымс</w:t>
      </w:r>
      <w:r w:rsidRPr="008127F8">
        <w:rPr>
          <w:rFonts w:ascii="Times New Roman" w:hAnsi="Times New Roman"/>
          <w:color w:val="000000" w:themeColor="text1"/>
          <w:sz w:val="16"/>
          <w:szCs w:val="16"/>
        </w:rPr>
        <w:softHyphen/>
        <w:t>кого фронта генерал-лейтенанта Д.Т.Козлова, прорвали оборону в поло</w:t>
      </w:r>
      <w:r w:rsidRPr="008127F8">
        <w:rPr>
          <w:rFonts w:ascii="Times New Roman" w:hAnsi="Times New Roman"/>
          <w:color w:val="000000" w:themeColor="text1"/>
          <w:sz w:val="16"/>
          <w:szCs w:val="16"/>
        </w:rPr>
        <w:softHyphen/>
        <w:t>се 44-й армии и вклинились в глубину на расстояние до 8 км. 11 боеготовых штурмовиков Ил-2 (по состоянию на 1 мая) - вся штурмовая авиация фронта, естественно, не могли оказать эффективную помощь наземным войскам и остановить танки 11-й гер</w:t>
      </w:r>
      <w:r w:rsidRPr="008127F8">
        <w:rPr>
          <w:rFonts w:ascii="Times New Roman" w:hAnsi="Times New Roman"/>
          <w:color w:val="000000" w:themeColor="text1"/>
          <w:sz w:val="16"/>
          <w:szCs w:val="16"/>
        </w:rPr>
        <w:softHyphen/>
        <w:t>манской армии, продвижение которых обеспечивалось массированными дей</w:t>
      </w:r>
      <w:r w:rsidRPr="008127F8">
        <w:rPr>
          <w:rFonts w:ascii="Times New Roman" w:hAnsi="Times New Roman"/>
          <w:color w:val="000000" w:themeColor="text1"/>
          <w:sz w:val="16"/>
          <w:szCs w:val="16"/>
        </w:rPr>
        <w:softHyphen/>
        <w:t>ствиями 8-го авиационного корпуса и 4-го воздушного флота. В результате не</w:t>
      </w:r>
      <w:r w:rsidRPr="008127F8">
        <w:rPr>
          <w:rFonts w:ascii="Times New Roman" w:hAnsi="Times New Roman"/>
          <w:color w:val="000000" w:themeColor="text1"/>
          <w:sz w:val="16"/>
          <w:szCs w:val="16"/>
        </w:rPr>
        <w:softHyphen/>
        <w:t>мецкая ударная танковая группировка 14 мая вышла к окраинам Керчи - Крымфронт потерял свои основные силы и почти всю боевую технику. Войска ока</w:t>
      </w:r>
      <w:r w:rsidRPr="008127F8">
        <w:rPr>
          <w:rFonts w:ascii="Times New Roman" w:hAnsi="Times New Roman"/>
          <w:color w:val="000000" w:themeColor="text1"/>
          <w:sz w:val="16"/>
          <w:szCs w:val="16"/>
        </w:rPr>
        <w:softHyphen/>
        <w:t>зались в катастрофическом положении. Пришлось оставить Керчь. Вследствие этого осложнилось положение в Севас</w:t>
      </w:r>
      <w:r w:rsidRPr="008127F8">
        <w:rPr>
          <w:rFonts w:ascii="Times New Roman" w:hAnsi="Times New Roman"/>
          <w:color w:val="000000" w:themeColor="text1"/>
          <w:sz w:val="16"/>
          <w:szCs w:val="16"/>
        </w:rPr>
        <w:softHyphen/>
        <w:t>тополе. 4 июля 1942 г. после 9 месяцев осады Севастополь был оставлен (6467).</w:t>
      </w:r>
    </w:p>
    <w:p w14:paraId="7F9312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2727B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May 8 1942 Operation BLUE begins. </w:t>
      </w:r>
      <w:r w:rsidRPr="008127F8">
        <w:rPr>
          <w:rFonts w:ascii="Times New Roman" w:hAnsi="Times New Roman"/>
          <w:color w:val="000000" w:themeColor="text1"/>
          <w:sz w:val="16"/>
          <w:szCs w:val="16"/>
          <w:lang w:val="en-US"/>
        </w:rPr>
        <w:t xml:space="preserve">Germany's summer offensive to the south. Hitler's goal for this offensive is to capture the urgently needed oil fields of the Caucasus. </w:t>
      </w:r>
      <w:r w:rsidRPr="008127F8">
        <w:rPr>
          <w:rFonts w:ascii="Times New Roman" w:hAnsi="Times New Roman"/>
          <w:color w:val="000000" w:themeColor="text1"/>
          <w:sz w:val="16"/>
          <w:szCs w:val="16"/>
        </w:rPr>
        <w:t>(1052).</w:t>
      </w:r>
    </w:p>
    <w:p w14:paraId="212AEE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17C9C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мая 1942 немцы начали наступление в Крыму и 15 мая заняли Керчь (340,87).</w:t>
      </w:r>
    </w:p>
    <w:p w14:paraId="36A382B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Манштейн имел меньше войск, но в первый же день прорвал фронт и до 19 мая мы потеряли убитыми и взятыми в плен 162 тыс. (2144).</w:t>
      </w:r>
    </w:p>
    <w:p w14:paraId="39DAC0F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2A4BD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8-20 мая 1942 была оборонительная операция КА на Керченском полуострове (3186).</w:t>
      </w:r>
    </w:p>
    <w:p w14:paraId="29ACCEE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8A2C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мая 1942 вышло Постановление ГКО № 1711 Об организации Главного управления автотранспортной и дорожной службы Красной Армии. РГАНИР, Фонд ГКО, д. 34, лл. 9-11, 12-35 (11012).</w:t>
      </w:r>
    </w:p>
    <w:p w14:paraId="00CE17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5885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мая 1942 вышло Постановление ГКО № 1713 О формировании гвардейских минометных полков и отдельных гвардейских минометных дивизионов М-8 и М-13. РГАНИР, Фонд ГКО, д. 34, лл. 37, 38-50 (11012).</w:t>
      </w:r>
    </w:p>
    <w:p w14:paraId="47F9F5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4DFE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5A21FF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57AE2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мая 1942. Из немецкого секретного бюллетеня, составленного по донесениям агентов (перевод с немецкого): "Жизнь в Москве в своем внешнем проявлении не очень отличается от довоенной. Работают все виды транспорта, за исключением автобусов и такси. Школы, за некоторым исключением, закрыты. Театры и кино открыты. Из газет печатаются "Правда" и "Известия''. Другие газеты не выходят. Электричество включается для населения лишь на некоторое время. Хотя вследствие эвакуации многие квартиры освободились, по-прежнему ощущается дефицит жилья, та как многие дома не пригодны для проживания из-за бомбежек и ущерба, причиненного морозами. С 20.1.42 г. в Москве установлены следующие продовольственные нормы для рабочих 600 г. хлеба ежедневно, и ежемесячно: 400 г. мяса, 200 г. круп, 400 г. сливочного масла, 400 г. растительного масла, 200 г. сахара и 100 г. конфет. Служащие и иждивенцы получают меньший паек. На базаре продаются в незначительных количествах фрукты и соленья. У прилавков рынков, где продаются продукты и товары повседневного спроса, всегда большое скопление людей.</w:t>
      </w:r>
    </w:p>
    <w:p w14:paraId="6FC10DF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Молодых людей в Москве можно встретить очень редко, так как уже перед Рождеством прошла большая мобилизация в армию. Многие профессии стали женскими. Не только общественный транспорт обслуживается женским персоналом, но и тяжелый и самый тяжелый мужской труд нередко выполняют женщины.</w:t>
      </w:r>
    </w:p>
    <w:p w14:paraId="5C42C4D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Советская пропаганда использует преимущественно национал-патриотические лозунги, и особенно превозносит активное участие женщин, крестьян и рабочих в помощи фронту. В прессе и радиопередачах большое место занимают так называемые лисью немецких военнопленных и погибших coлдат, в которых в самых черных краски рисуется тяжелое положение в рейхе и в германской армии на восточном фронте Подобными описаниями якобы совершаема немцами злодеяний пропаганда хочет разжечь ненависть населения к ним. Несмотря на это, речь не идет о явно выраженной ненависти населения к немцам; оно, скорее безучастно.</w:t>
      </w:r>
    </w:p>
    <w:p w14:paraId="0885E71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последние месяцы советское правительство все больше ограничивало мероприятия, враждебные церкви. Недавно было объявлено о свободе церкви. Все оставшиеся храмы были открыты, их посещает много народа. Регулярно проводятся богослужения, в которых звучат молитвы о свободе русской земли" (18696).</w:t>
      </w:r>
    </w:p>
    <w:p w14:paraId="13FF0A5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A3B784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168308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EEB61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8 мая в 1942 году сошел со сборочной линии в Хауторне первый опытный образец ночного истребителя </w:t>
      </w:r>
      <w:hyperlink r:id="rId14" w:tgtFrame="_blank" w:history="1">
        <w:r w:rsidRPr="008127F8">
          <w:rPr>
            <w:rFonts w:ascii="Times New Roman" w:hAnsi="Times New Roman"/>
            <w:color w:val="000000" w:themeColor="text1"/>
            <w:sz w:val="16"/>
            <w:szCs w:val="16"/>
          </w:rPr>
          <w:t xml:space="preserve">«XP-61» </w:t>
        </w:r>
      </w:hyperlink>
      <w:r w:rsidRPr="008127F8">
        <w:rPr>
          <w:rFonts w:ascii="Times New Roman" w:hAnsi="Times New Roman"/>
          <w:color w:val="000000" w:themeColor="text1"/>
          <w:sz w:val="16"/>
          <w:szCs w:val="16"/>
        </w:rPr>
        <w:t>(серийный номер № 41-19509) (14885).</w:t>
      </w:r>
    </w:p>
    <w:p w14:paraId="4FCD8E7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BE0395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8 мая в 1942 году комиссия ВВС Италии внесла новое требование оснащать все выпущенные цельнометаллические бомбардировщики </w:t>
      </w:r>
      <w:hyperlink r:id="rId15" w:tgtFrame="_blank" w:history="1">
        <w:r w:rsidRPr="008127F8">
          <w:rPr>
            <w:rFonts w:ascii="Times New Roman" w:hAnsi="Times New Roman"/>
            <w:color w:val="000000" w:themeColor="text1"/>
            <w:sz w:val="16"/>
            <w:szCs w:val="16"/>
          </w:rPr>
          <w:t xml:space="preserve">«Cant» «Z.1018» </w:t>
        </w:r>
      </w:hyperlink>
      <w:r w:rsidRPr="008127F8">
        <w:rPr>
          <w:rFonts w:ascii="Times New Roman" w:hAnsi="Times New Roman"/>
          <w:color w:val="000000" w:themeColor="text1"/>
          <w:sz w:val="16"/>
          <w:szCs w:val="16"/>
        </w:rPr>
        <w:t>только одним килем. Опытный образец доработанного самолёта («ММ.507») 18-го июня 1942 года поднялся в воздух (14885).</w:t>
      </w:r>
    </w:p>
    <w:p w14:paraId="04046F9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93A8592"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8 мая 1942</w:t>
      </w:r>
      <w:r>
        <w:rPr>
          <w:rFonts w:ascii="Times New Roman" w:eastAsia="Times New Roman" w:hAnsi="Times New Roman"/>
          <w:color w:val="000000" w:themeColor="text1"/>
          <w:sz w:val="16"/>
          <w:szCs w:val="16"/>
          <w:lang w:eastAsia="ru-RU"/>
        </w:rPr>
        <w:t xml:space="preserve">  </w:t>
      </w:r>
      <w:r w:rsidRPr="008127F8">
        <w:rPr>
          <w:rFonts w:ascii="Times New Roman" w:eastAsia="Times New Roman" w:hAnsi="Times New Roman"/>
          <w:color w:val="000000" w:themeColor="text1"/>
          <w:sz w:val="16"/>
          <w:szCs w:val="16"/>
          <w:lang w:eastAsia="ru-RU"/>
        </w:rPr>
        <w:t>г. в центре Берлина, в парке Люстгартен, прямо рядом с городским собором, открылась выставка, организованная имперским отделом пропаганды НСДАП. Она называлась «Der Sowjetparadies» — «Советский рай». Цель выставки была чисто пропагандистская — показать немцам варварство, нищету и агрессивность Советского Союза, его опасность для Европы, оправдать войну с ним и объяснить необходимость немецкой победы. Выставка была огромной — на девяти тысячах квадратных метров во многих павильонах демонстрировались собранные во время специальных экспедиций на оккупированные вермахтом территории экспонаты. Среди прочего воспроизводилась часть Минска с куском улицы, лавкой, мастерской сапожника, землянками, в которых жили рабочие. Экспонировались советские сельскохозяйственные машины, рабочие и крестьянские дома, разобранные на месте и собранные заново в павильонах со всем своим оборудованием и интерьерами. Демонстрировались массы фотографий, сделанных на советских территориях. В павильонах были воспроизведены в натуральную величину подвалы ГПУ с расстрельной камерой и многое другое.</w:t>
      </w:r>
    </w:p>
    <w:p w14:paraId="1522F9F9"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Отдельные разделы были посвящены Советской армии и программе вооружений, организации советской жизни и экономики, рабочему и крестьянскому быту, колхозам, социальному устройству СССР, ГПУ и лагерям, беспризорным и т. д и т.</w:t>
      </w:r>
      <w:r>
        <w:rPr>
          <w:rFonts w:ascii="Times New Roman" w:eastAsia="Times New Roman" w:hAnsi="Times New Roman"/>
          <w:color w:val="000000" w:themeColor="text1"/>
          <w:sz w:val="16"/>
          <w:szCs w:val="16"/>
          <w:lang w:eastAsia="ru-RU"/>
        </w:rPr>
        <w:t xml:space="preserve">  </w:t>
      </w:r>
      <w:r w:rsidRPr="008127F8">
        <w:rPr>
          <w:rFonts w:ascii="Times New Roman" w:eastAsia="Times New Roman" w:hAnsi="Times New Roman"/>
          <w:color w:val="000000" w:themeColor="text1"/>
          <w:sz w:val="16"/>
          <w:szCs w:val="16"/>
          <w:lang w:eastAsia="ru-RU"/>
        </w:rPr>
        <w:t>п. Перед входом на выставку были установлены советские трофейные танк и орудия.</w:t>
      </w:r>
    </w:p>
    <w:p w14:paraId="79DC8751"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Подпольная коммунистическая группа во главе с Гербертом Баумом попыталась 18 мая 1942</w:t>
      </w:r>
      <w:r>
        <w:rPr>
          <w:rFonts w:ascii="Times New Roman" w:eastAsia="Times New Roman" w:hAnsi="Times New Roman"/>
          <w:color w:val="000000" w:themeColor="text1"/>
          <w:sz w:val="16"/>
          <w:szCs w:val="16"/>
          <w:lang w:eastAsia="ru-RU"/>
        </w:rPr>
        <w:t xml:space="preserve">  </w:t>
      </w:r>
      <w:r w:rsidRPr="008127F8">
        <w:rPr>
          <w:rFonts w:ascii="Times New Roman" w:eastAsia="Times New Roman" w:hAnsi="Times New Roman"/>
          <w:color w:val="000000" w:themeColor="text1"/>
          <w:sz w:val="16"/>
          <w:szCs w:val="16"/>
          <w:lang w:eastAsia="ru-RU"/>
        </w:rPr>
        <w:t>г. поджечь выставку. Ущерб оказался минимальным, но почти все члены группы, около 30 человек, были в конечном счете арестованы и казнены. Сам Баум погиб от пыток еще во время следствия.</w:t>
      </w:r>
    </w:p>
    <w:p w14:paraId="1C4021AB"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Выставка продолжалась до 21 июня 1942</w:t>
      </w:r>
      <w:r>
        <w:rPr>
          <w:rFonts w:ascii="Times New Roman" w:eastAsia="Times New Roman" w:hAnsi="Times New Roman"/>
          <w:color w:val="000000" w:themeColor="text1"/>
          <w:sz w:val="16"/>
          <w:szCs w:val="16"/>
          <w:lang w:eastAsia="ru-RU"/>
        </w:rPr>
        <w:t xml:space="preserve">  </w:t>
      </w:r>
      <w:r w:rsidRPr="008127F8">
        <w:rPr>
          <w:rFonts w:ascii="Times New Roman" w:eastAsia="Times New Roman" w:hAnsi="Times New Roman"/>
          <w:color w:val="000000" w:themeColor="text1"/>
          <w:sz w:val="16"/>
          <w:szCs w:val="16"/>
          <w:lang w:eastAsia="ru-RU"/>
        </w:rPr>
        <w:t>г. и имела огромный успех. По официальным данным, ее посетили 1,3</w:t>
      </w:r>
      <w:r>
        <w:rPr>
          <w:rFonts w:ascii="Times New Roman" w:eastAsia="Times New Roman" w:hAnsi="Times New Roman"/>
          <w:color w:val="000000" w:themeColor="text1"/>
          <w:sz w:val="16"/>
          <w:szCs w:val="16"/>
          <w:lang w:eastAsia="ru-RU"/>
        </w:rPr>
        <w:t xml:space="preserve">  </w:t>
      </w:r>
      <w:r w:rsidRPr="008127F8">
        <w:rPr>
          <w:rFonts w:ascii="Times New Roman" w:eastAsia="Times New Roman" w:hAnsi="Times New Roman"/>
          <w:color w:val="000000" w:themeColor="text1"/>
          <w:sz w:val="16"/>
          <w:szCs w:val="16"/>
          <w:lang w:eastAsia="ru-RU"/>
        </w:rPr>
        <w:t>млн человек. Выставку сопровождал каталог, текст которого вместе с частью фотографий воспроизводится ниже. Из текста каталога выпущен только один раздел: «Германо-немецкое проникновение в Восточные районы», имеющий исторический и идеологический характер одновременно, но не связанный с Советским Союзом. Все остальное, непосредственно касающееся Советского Союза, воспроизводится практически без купюр (20367).</w:t>
      </w:r>
    </w:p>
    <w:p w14:paraId="63585EAE"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503536F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мая 1942 утром второго и последнего дня битвы в Коралловом море две стороны наносят авиаудары почти одновременно. Удар 84 самолетов  Лексингтона и Йорктауна сильно повредил Сёкаку. Вскоре после этого, 70 удар с Сёкака и Дзуйкак потопили Lexington - первый американский авианокй когда - либо потопленнеы - и сильно повреждает Йорктаун , после чего обе стороны разошлись и японцв отказываются от своих планов по десанту еа Порте - Морсби. Повреждения Сёкаку и потеря самолетов Дзуйкак будет держать их вне боя в течение двух месяцев, заставляя их пропустить битвы за Мидуэй в июне. Битва в Коралловом море заканчивается как первая морская битва, в которой корабли противоборствующих сторон никогда не видят друг друга (20793).</w:t>
      </w:r>
    </w:p>
    <w:p w14:paraId="24898D7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C043CB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мая 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В Коралловом море с борта тонущего американского авианосца «Лексингтон» эвакуированы 2735 человек – самая массовая в истории спасательная операция. Пока шла атака самолётов с авианосца, японцы нанесли ответный удар, пробив двумя торпедами левый борт «Лексингтона». Кроме того корабль получил повреждения от попаданий двух бомб и нескольких близких взрывов. В результате деформации корпуса произошла разгерметизация ёмкостей с авиационным топливом. И когда очаги пожаров были потушены, взрывоопасные пары продолжали распространяться по кораблю.</w:t>
      </w:r>
    </w:p>
    <w:p w14:paraId="5999D3F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Спустя час после атаки произошла детонация от случайной искры, и на авианосце произошло несколько взрывов. Через 6 часов после первого попадания был отдан приказ покинуть корабль. После эвакуации членов экипажа на эсминцы сопровождения «Лексингтон» был торпедирован. Всего на нём погибли 216 из 2951 члена экипажа (22509).</w:t>
      </w:r>
    </w:p>
    <w:p w14:paraId="7D66110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FA9543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8 мая 1942 в Коралловом море с борта тонущего американского авианосца “Лексингтон” эвакуированы 2735 чел. - самая массовая в истории спасательная операция (4962).</w:t>
      </w:r>
    </w:p>
    <w:p w14:paraId="2E10FE9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032E8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мая в 1942 году с 7 по 8 мая 1942 года японский и американский флоты сошлись в бою в Коралловом море, где союзники, несмотря на большие потери, заставили японцев отказаться от вторжения на территорию Австралии. Этот эпизод Большой Тихоокеанской войны стал наиболее показательным успехом самолетов, так как гибель авианосца «USS Lexington» («CV-2») «Леди Лекс», самого большого (35 тысяч тонн, 90 самолетов) и мощного тогда авианосца в мире, была вызвана именно двумя попаданиями авиаторпед. С борта тонущего американского авианосца «Лексингтон» эвакуированы 2735 человек - самая массовая в истории спасательная операция (14885).</w:t>
      </w:r>
    </w:p>
    <w:p w14:paraId="5E1C1AA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73741F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DE9D37B" w14:textId="77777777" w:rsidR="007C5583" w:rsidRPr="00596F73" w:rsidRDefault="007C5583" w:rsidP="00596F73">
      <w:pPr>
        <w:spacing w:after="0" w:line="240" w:lineRule="auto"/>
        <w:rPr>
          <w:rFonts w:ascii="Times New Roman" w:hAnsi="Times New Roman"/>
          <w:sz w:val="16"/>
          <w:szCs w:val="16"/>
        </w:rPr>
      </w:pPr>
    </w:p>
    <w:p w14:paraId="2E62E52F" w14:textId="77777777" w:rsidR="007C5583" w:rsidRPr="00596F73" w:rsidRDefault="007C5583" w:rsidP="00596F73">
      <w:pPr>
        <w:spacing w:after="0" w:line="240" w:lineRule="auto"/>
        <w:rPr>
          <w:rFonts w:ascii="Times New Roman" w:hAnsi="Times New Roman"/>
          <w:sz w:val="16"/>
          <w:szCs w:val="16"/>
        </w:rPr>
      </w:pPr>
      <w:r w:rsidRPr="00596F73">
        <w:rPr>
          <w:rFonts w:ascii="Times New Roman" w:hAnsi="Times New Roman"/>
          <w:sz w:val="16"/>
          <w:szCs w:val="16"/>
        </w:rPr>
        <w:t>9 мая 1942 летчик-испы</w:t>
      </w:r>
      <w:r w:rsidRPr="00596F73">
        <w:rPr>
          <w:rFonts w:ascii="Times New Roman" w:hAnsi="Times New Roman"/>
          <w:sz w:val="16"/>
          <w:szCs w:val="16"/>
        </w:rPr>
        <w:softHyphen/>
        <w:t>татель майор А. К. Долгов, веду</w:t>
      </w:r>
      <w:r w:rsidRPr="00596F73">
        <w:rPr>
          <w:rFonts w:ascii="Times New Roman" w:hAnsi="Times New Roman"/>
          <w:sz w:val="16"/>
          <w:szCs w:val="16"/>
        </w:rPr>
        <w:softHyphen/>
        <w:t>щий инженер военинженер 2-го ранга А. В. Синельников, летчики облета майор Нюхтиков и капита</w:t>
      </w:r>
      <w:r w:rsidRPr="00596F73">
        <w:rPr>
          <w:rFonts w:ascii="Times New Roman" w:hAnsi="Times New Roman"/>
          <w:sz w:val="16"/>
          <w:szCs w:val="16"/>
        </w:rPr>
        <w:softHyphen/>
        <w:t>н Коробов завершили испытания дублера ОБШ П.О.С., которые велись с 24 февраля 1942 (10718).</w:t>
      </w:r>
    </w:p>
    <w:p w14:paraId="22FF0B33" w14:textId="77777777" w:rsidR="007C5583" w:rsidRPr="00596F73" w:rsidRDefault="007C5583" w:rsidP="00596F73">
      <w:pPr>
        <w:spacing w:after="0" w:line="240" w:lineRule="auto"/>
        <w:rPr>
          <w:rFonts w:ascii="Times New Roman" w:hAnsi="Times New Roman"/>
          <w:sz w:val="16"/>
          <w:szCs w:val="16"/>
        </w:rPr>
      </w:pPr>
    </w:p>
    <w:p w14:paraId="2D5D762D" w14:textId="77777777" w:rsidR="007C5583" w:rsidRPr="00596F73" w:rsidRDefault="007C5583" w:rsidP="00596F73">
      <w:pPr>
        <w:spacing w:after="0" w:line="240" w:lineRule="auto"/>
        <w:rPr>
          <w:rFonts w:ascii="Times New Roman" w:hAnsi="Times New Roman"/>
          <w:sz w:val="16"/>
          <w:szCs w:val="16"/>
        </w:rPr>
      </w:pPr>
      <w:r w:rsidRPr="00596F73">
        <w:rPr>
          <w:rFonts w:ascii="Times New Roman" w:hAnsi="Times New Roman"/>
          <w:sz w:val="16"/>
          <w:szCs w:val="16"/>
        </w:rPr>
        <w:t>9 мая 1942 на Су-6 («82») для оценки тенденции самолета к разворотам при посадке с бо</w:t>
      </w:r>
      <w:r w:rsidRPr="00596F73">
        <w:rPr>
          <w:rFonts w:ascii="Times New Roman" w:hAnsi="Times New Roman"/>
          <w:sz w:val="16"/>
          <w:szCs w:val="16"/>
        </w:rPr>
        <w:softHyphen/>
        <w:t>ковым ветром решили порулить по бетонной полосе. Во время руления лоп</w:t>
      </w:r>
      <w:r w:rsidRPr="00596F73">
        <w:rPr>
          <w:rFonts w:ascii="Times New Roman" w:hAnsi="Times New Roman"/>
          <w:sz w:val="16"/>
          <w:szCs w:val="16"/>
        </w:rPr>
        <w:softHyphen/>
        <w:t>нула камера правого колеса. В результате поломали щиток шасси и порвали по</w:t>
      </w:r>
      <w:r w:rsidRPr="00596F73">
        <w:rPr>
          <w:rFonts w:ascii="Times New Roman" w:hAnsi="Times New Roman"/>
          <w:sz w:val="16"/>
          <w:szCs w:val="16"/>
        </w:rPr>
        <w:softHyphen/>
        <w:t>крышку. Самолет в очередной раз встал в ремонт. После ремонта выполнили еще три полета на бомбометание, и 28 мая са</w:t>
      </w:r>
      <w:r w:rsidRPr="00596F73">
        <w:rPr>
          <w:rFonts w:ascii="Times New Roman" w:hAnsi="Times New Roman"/>
          <w:sz w:val="16"/>
          <w:szCs w:val="16"/>
        </w:rPr>
        <w:softHyphen/>
        <w:t>молет благополучно перелетел на завод №289 в г. Молотов (19846).</w:t>
      </w:r>
    </w:p>
    <w:p w14:paraId="758B5D3C" w14:textId="77777777" w:rsidR="007C5583" w:rsidRPr="00596F73" w:rsidRDefault="007C5583" w:rsidP="00596F73">
      <w:pPr>
        <w:spacing w:after="0" w:line="240" w:lineRule="auto"/>
        <w:rPr>
          <w:rFonts w:ascii="Times New Roman" w:hAnsi="Times New Roman"/>
          <w:sz w:val="16"/>
          <w:szCs w:val="16"/>
        </w:rPr>
      </w:pPr>
    </w:p>
    <w:p w14:paraId="7E84AC2C" w14:textId="77777777" w:rsidR="007C5583" w:rsidRPr="00596F73" w:rsidRDefault="007C5583" w:rsidP="00596F73">
      <w:pPr>
        <w:spacing w:after="0" w:line="240" w:lineRule="auto"/>
        <w:rPr>
          <w:rFonts w:ascii="Times New Roman" w:hAnsi="Times New Roman"/>
          <w:sz w:val="16"/>
          <w:szCs w:val="16"/>
        </w:rPr>
      </w:pPr>
      <w:r w:rsidRPr="00596F73">
        <w:rPr>
          <w:rFonts w:ascii="Times New Roman" w:hAnsi="Times New Roman"/>
          <w:sz w:val="16"/>
          <w:szCs w:val="16"/>
        </w:rPr>
        <w:t>9 мая 1942 продолжились полеты по программе совместных испытаний ЛаГГ-3 М-82 в Горьком на заводе № 21 после доработок машины с 25 апреля. Выяснилось, что доработки оказались удачными. Мотор М-82 № 6501355 также ра</w:t>
      </w:r>
      <w:r w:rsidRPr="00596F73">
        <w:rPr>
          <w:rFonts w:ascii="Times New Roman" w:hAnsi="Times New Roman"/>
          <w:sz w:val="16"/>
          <w:szCs w:val="16"/>
        </w:rPr>
        <w:softHyphen/>
        <w:t>ботал хорошо. Быстро удалось полу</w:t>
      </w:r>
      <w:r w:rsidRPr="00596F73">
        <w:rPr>
          <w:rFonts w:ascii="Times New Roman" w:hAnsi="Times New Roman"/>
          <w:sz w:val="16"/>
          <w:szCs w:val="16"/>
        </w:rPr>
        <w:softHyphen/>
        <w:t>чить характеристики, достаточно близ</w:t>
      </w:r>
      <w:r w:rsidRPr="00596F73">
        <w:rPr>
          <w:rFonts w:ascii="Times New Roman" w:hAnsi="Times New Roman"/>
          <w:sz w:val="16"/>
          <w:szCs w:val="16"/>
        </w:rPr>
        <w:softHyphen/>
        <w:t>кие к заявленным ранее по резуль</w:t>
      </w:r>
      <w:r w:rsidRPr="00596F73">
        <w:rPr>
          <w:rFonts w:ascii="Times New Roman" w:hAnsi="Times New Roman"/>
          <w:sz w:val="16"/>
          <w:szCs w:val="16"/>
        </w:rPr>
        <w:softHyphen/>
        <w:t>татам заводских испытаний, и уже 14 числа в 19.00 испытания, включая от</w:t>
      </w:r>
      <w:r w:rsidRPr="00596F73">
        <w:rPr>
          <w:rFonts w:ascii="Times New Roman" w:hAnsi="Times New Roman"/>
          <w:sz w:val="16"/>
          <w:szCs w:val="16"/>
        </w:rPr>
        <w:softHyphen/>
        <w:t>стрел оружия на земле и в воздухе были закончены. Отчет о совместных испытаниях писали уже в самолете по пути в Москву (10686).</w:t>
      </w:r>
    </w:p>
    <w:p w14:paraId="42CE0B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8A96F6" w14:textId="77777777" w:rsidR="007C5583" w:rsidRPr="008127F8" w:rsidRDefault="007C5583" w:rsidP="007C5583">
      <w:pPr>
        <w:pStyle w:val="a4"/>
        <w:rPr>
          <w:color w:val="000000" w:themeColor="text1"/>
          <w:lang w:val="ru-RU"/>
        </w:rPr>
      </w:pPr>
      <w:r w:rsidRPr="008127F8">
        <w:rPr>
          <w:color w:val="000000" w:themeColor="text1"/>
          <w:lang w:val="ru-RU"/>
        </w:rPr>
        <w:t>С 9 мая 1942 начались полеты на доработанном ЛаГГ-3 М-82. Выяснилось, что доработки оказались удачными. Мотор М-82 № 6501355 также работал хорошо. Быстро удалс получить характеристики, достаточно близкие к заявленнь ранее по результатам заводских испытаний, и уже 14 числа в 19.00 испытания, включая отстрел оружия на земле и в воздухе, закончили. Отчёт о совместных испытаниях писали в самолёте по пути в Москву (15788).</w:t>
      </w:r>
    </w:p>
    <w:p w14:paraId="60CE3FC5" w14:textId="77777777" w:rsidR="007C5583" w:rsidRPr="008127F8" w:rsidRDefault="007C5583" w:rsidP="007C5583">
      <w:pPr>
        <w:pStyle w:val="a4"/>
        <w:rPr>
          <w:color w:val="000000" w:themeColor="text1"/>
          <w:lang w:val="ru-RU"/>
        </w:rPr>
      </w:pPr>
    </w:p>
    <w:p w14:paraId="64530729"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период с 9 по 14 мая прошли совместные испытания ЛаГГ-3М- 82 в Горьком на заводе № 21. Всего было выполнено 11 поле</w:t>
      </w:r>
      <w:r w:rsidRPr="008A2E5A">
        <w:rPr>
          <w:rFonts w:ascii="Times New Roman" w:hAnsi="Times New Roman"/>
          <w:color w:val="0070C0"/>
          <w:sz w:val="16"/>
          <w:szCs w:val="16"/>
        </w:rPr>
        <w:softHyphen/>
        <w:t>тов общей продолжительностью 9 часов 5 минут. При этом 11 и 12 мая самолет находил</w:t>
      </w:r>
      <w:r w:rsidRPr="008A2E5A">
        <w:rPr>
          <w:rFonts w:ascii="Times New Roman" w:hAnsi="Times New Roman"/>
          <w:color w:val="0070C0"/>
          <w:sz w:val="16"/>
          <w:szCs w:val="16"/>
        </w:rPr>
        <w:softHyphen/>
        <w:t>ся в заводском тире на отстреле и пристрелке вооружения. За это время было израсходова</w:t>
      </w:r>
      <w:r w:rsidRPr="008A2E5A">
        <w:rPr>
          <w:rFonts w:ascii="Times New Roman" w:hAnsi="Times New Roman"/>
          <w:color w:val="0070C0"/>
          <w:sz w:val="16"/>
          <w:szCs w:val="16"/>
        </w:rPr>
        <w:softHyphen/>
        <w:t>но 1022 снаряда. 512 - на правую пушку № ЧМ-241 и 510 - на левую № ДБ-48. Как при работающем моторе, так и в статическом со</w:t>
      </w:r>
      <w:r w:rsidRPr="008A2E5A">
        <w:rPr>
          <w:rFonts w:ascii="Times New Roman" w:hAnsi="Times New Roman"/>
          <w:color w:val="0070C0"/>
          <w:sz w:val="16"/>
          <w:szCs w:val="16"/>
        </w:rPr>
        <w:softHyphen/>
        <w:t>стоянии задержек и отказов по вине устано</w:t>
      </w:r>
      <w:r w:rsidRPr="008A2E5A">
        <w:rPr>
          <w:rFonts w:ascii="Times New Roman" w:hAnsi="Times New Roman"/>
          <w:color w:val="0070C0"/>
          <w:sz w:val="16"/>
          <w:szCs w:val="16"/>
        </w:rPr>
        <w:softHyphen/>
        <w:t>вок и систем боепитания не было. Единствен</w:t>
      </w:r>
      <w:r w:rsidRPr="008A2E5A">
        <w:rPr>
          <w:rFonts w:ascii="Times New Roman" w:hAnsi="Times New Roman"/>
          <w:color w:val="0070C0"/>
          <w:sz w:val="16"/>
          <w:szCs w:val="16"/>
        </w:rPr>
        <w:softHyphen/>
        <w:t>ная задержка произошла на правой пушке из-за поломки ударника, правда, и пушка была не совсем новая - по формуляру ее на- стрел до поломки составил 1210 выстрелов. Замеренная емкость патронных ящиков со</w:t>
      </w:r>
      <w:r w:rsidRPr="008A2E5A">
        <w:rPr>
          <w:rFonts w:ascii="Times New Roman" w:hAnsi="Times New Roman"/>
          <w:color w:val="0070C0"/>
          <w:sz w:val="16"/>
          <w:szCs w:val="16"/>
        </w:rPr>
        <w:softHyphen/>
        <w:t>ставила по 220 снарядов на ствол. Нормаль</w:t>
      </w:r>
      <w:r w:rsidRPr="008A2E5A">
        <w:rPr>
          <w:rFonts w:ascii="Times New Roman" w:hAnsi="Times New Roman"/>
          <w:color w:val="0070C0"/>
          <w:sz w:val="16"/>
          <w:szCs w:val="16"/>
        </w:rPr>
        <w:softHyphen/>
        <w:t>ный боезапас при этом был принят в 170 сна</w:t>
      </w:r>
      <w:r w:rsidRPr="008A2E5A">
        <w:rPr>
          <w:rFonts w:ascii="Times New Roman" w:hAnsi="Times New Roman"/>
          <w:color w:val="0070C0"/>
          <w:sz w:val="16"/>
          <w:szCs w:val="16"/>
        </w:rPr>
        <w:softHyphen/>
        <w:t>рядов на каждую пушку.</w:t>
      </w:r>
    </w:p>
    <w:p w14:paraId="6046A7A1"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отстрел оружия в воздухе было выпол</w:t>
      </w:r>
      <w:r w:rsidRPr="008A2E5A">
        <w:rPr>
          <w:rFonts w:ascii="Times New Roman" w:hAnsi="Times New Roman"/>
          <w:color w:val="0070C0"/>
          <w:sz w:val="16"/>
          <w:szCs w:val="16"/>
        </w:rPr>
        <w:softHyphen/>
        <w:t>нено три полета. Расход боеприпасов соста</w:t>
      </w:r>
      <w:r w:rsidRPr="008A2E5A">
        <w:rPr>
          <w:rFonts w:ascii="Times New Roman" w:hAnsi="Times New Roman"/>
          <w:color w:val="0070C0"/>
          <w:sz w:val="16"/>
          <w:szCs w:val="16"/>
        </w:rPr>
        <w:softHyphen/>
        <w:t>вил 635 штук. На правой пушке - 225, на левой - 410. Как и на земле, в воздухе левая пушка работала безотказно. Так, 13 числа А.Г. Кубышкин расстрелял из нее 180 патро</w:t>
      </w:r>
      <w:r w:rsidRPr="008A2E5A">
        <w:rPr>
          <w:rFonts w:ascii="Times New Roman" w:hAnsi="Times New Roman"/>
          <w:color w:val="0070C0"/>
          <w:sz w:val="16"/>
          <w:szCs w:val="16"/>
        </w:rPr>
        <w:softHyphen/>
        <w:t>нов, а из правой удалось сделать 114 выстре</w:t>
      </w:r>
      <w:r w:rsidRPr="008A2E5A">
        <w:rPr>
          <w:rFonts w:ascii="Times New Roman" w:hAnsi="Times New Roman"/>
          <w:color w:val="0070C0"/>
          <w:sz w:val="16"/>
          <w:szCs w:val="16"/>
        </w:rPr>
        <w:softHyphen/>
        <w:t>лов с двумя перезарядками. Но нет худа без добра. Оказалось, что перезарядку делать легко и удобно. Всего на правой пушке имели место три однотипных задержки по причине неотражения гильзы, еще по одной задержке произошло на каждой пушке по вине устано</w:t>
      </w:r>
      <w:r w:rsidRPr="008A2E5A">
        <w:rPr>
          <w:rFonts w:ascii="Times New Roman" w:hAnsi="Times New Roman"/>
          <w:color w:val="0070C0"/>
          <w:sz w:val="16"/>
          <w:szCs w:val="16"/>
        </w:rPr>
        <w:softHyphen/>
        <w:t>вок. Причина оказалось банальной: в спешке патронные ящики смонтировали небрежно, и после подгонки дефект «ушел». При стрельбе по наземным целям выявилась еще одна про</w:t>
      </w:r>
      <w:r w:rsidRPr="008A2E5A">
        <w:rPr>
          <w:rFonts w:ascii="Times New Roman" w:hAnsi="Times New Roman"/>
          <w:color w:val="0070C0"/>
          <w:sz w:val="16"/>
          <w:szCs w:val="16"/>
        </w:rPr>
        <w:softHyphen/>
        <w:t>блема. Новый всасывающий патрубок закры</w:t>
      </w:r>
      <w:r w:rsidRPr="008A2E5A">
        <w:rPr>
          <w:rFonts w:ascii="Times New Roman" w:hAnsi="Times New Roman"/>
          <w:color w:val="0070C0"/>
          <w:sz w:val="16"/>
          <w:szCs w:val="16"/>
        </w:rPr>
        <w:softHyphen/>
        <w:t>вал нижнюю часть прицела, мешая ведению огня, особенно по наземным целям.</w:t>
      </w:r>
    </w:p>
    <w:p w14:paraId="1199AF5F"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ходе испытаний подтвердилось, что уда</w:t>
      </w:r>
      <w:r w:rsidRPr="008A2E5A">
        <w:rPr>
          <w:rFonts w:ascii="Times New Roman" w:hAnsi="Times New Roman"/>
          <w:color w:val="0070C0"/>
          <w:sz w:val="16"/>
          <w:szCs w:val="16"/>
        </w:rPr>
        <w:softHyphen/>
        <w:t>лось решить и основную проблему самолета. После выполненных доработок ВМГ темпера</w:t>
      </w:r>
      <w:r w:rsidRPr="008A2E5A">
        <w:rPr>
          <w:rFonts w:ascii="Times New Roman" w:hAnsi="Times New Roman"/>
          <w:color w:val="0070C0"/>
          <w:sz w:val="16"/>
          <w:szCs w:val="16"/>
        </w:rPr>
        <w:softHyphen/>
        <w:t>турный режим пришел в норму. При 2400 об/мин самолет спокойно выполнял непре</w:t>
      </w:r>
      <w:r w:rsidRPr="008A2E5A">
        <w:rPr>
          <w:rFonts w:ascii="Times New Roman" w:hAnsi="Times New Roman"/>
          <w:color w:val="0070C0"/>
          <w:sz w:val="16"/>
          <w:szCs w:val="16"/>
        </w:rPr>
        <w:softHyphen/>
        <w:t>рывный набор до высоты 7000 метров. Тем</w:t>
      </w:r>
      <w:r w:rsidRPr="008A2E5A">
        <w:rPr>
          <w:rFonts w:ascii="Times New Roman" w:hAnsi="Times New Roman"/>
          <w:color w:val="0070C0"/>
          <w:sz w:val="16"/>
          <w:szCs w:val="16"/>
        </w:rPr>
        <w:softHyphen/>
        <w:t>пература головок цилиндров не превышала 250 градусов, а масла на выходе из мотора - 115 градусов. Из-за отсутствия передних жа</w:t>
      </w:r>
      <w:r w:rsidRPr="008A2E5A">
        <w:rPr>
          <w:rFonts w:ascii="Times New Roman" w:hAnsi="Times New Roman"/>
          <w:color w:val="0070C0"/>
          <w:sz w:val="16"/>
          <w:szCs w:val="16"/>
        </w:rPr>
        <w:softHyphen/>
        <w:t>люзи на средних высотах на режимах барра</w:t>
      </w:r>
      <w:r w:rsidRPr="008A2E5A">
        <w:rPr>
          <w:rFonts w:ascii="Times New Roman" w:hAnsi="Times New Roman"/>
          <w:color w:val="0070C0"/>
          <w:sz w:val="16"/>
          <w:szCs w:val="16"/>
        </w:rPr>
        <w:softHyphen/>
        <w:t>жирования и на высотах свыше 5000 метров на скоростях до 0,9 максимальной мотор даже переохлаждался - температура самого «горячего» цилиндра падала до 110 граду</w:t>
      </w:r>
      <w:r w:rsidRPr="008A2E5A">
        <w:rPr>
          <w:rFonts w:ascii="Times New Roman" w:hAnsi="Times New Roman"/>
          <w:color w:val="0070C0"/>
          <w:sz w:val="16"/>
          <w:szCs w:val="16"/>
        </w:rPr>
        <w:softHyphen/>
        <w:t>сов.</w:t>
      </w:r>
    </w:p>
    <w:p w14:paraId="4FE987DB"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Летная оценка новой машины была пре</w:t>
      </w:r>
      <w:r w:rsidRPr="008A2E5A">
        <w:rPr>
          <w:rFonts w:ascii="Times New Roman" w:hAnsi="Times New Roman"/>
          <w:color w:val="0070C0"/>
          <w:sz w:val="16"/>
          <w:szCs w:val="16"/>
        </w:rPr>
        <w:softHyphen/>
        <w:t>дельно лаконичной. Испытатели считали, что с мотором М-82 по технике пилотирования самолет в основном не отличался от серийно</w:t>
      </w:r>
      <w:r w:rsidRPr="008A2E5A">
        <w:rPr>
          <w:rFonts w:ascii="Times New Roman" w:hAnsi="Times New Roman"/>
          <w:color w:val="0070C0"/>
          <w:sz w:val="16"/>
          <w:szCs w:val="16"/>
        </w:rPr>
        <w:softHyphen/>
        <w:t>го ЛаГГ-3 с мотором М-105. Устойчивость осталась прежняя. При взлете на форсаже заметно сократилась длина разбега и после отрыва увеличился угол набора высоты. От</w:t>
      </w:r>
      <w:r w:rsidRPr="008A2E5A">
        <w:rPr>
          <w:rFonts w:ascii="Times New Roman" w:hAnsi="Times New Roman"/>
          <w:color w:val="0070C0"/>
          <w:sz w:val="16"/>
          <w:szCs w:val="16"/>
        </w:rPr>
        <w:softHyphen/>
        <w:t>мечалось, что обзор из кабины несколько ухудшился из-за утолщения передней части фюзеляжа и установки наружного всасываю</w:t>
      </w:r>
      <w:r w:rsidRPr="008A2E5A">
        <w:rPr>
          <w:rFonts w:ascii="Times New Roman" w:hAnsi="Times New Roman"/>
          <w:color w:val="0070C0"/>
          <w:sz w:val="16"/>
          <w:szCs w:val="16"/>
        </w:rPr>
        <w:softHyphen/>
        <w:t>щего патрубка. Управление самолетом оста</w:t>
      </w:r>
      <w:r w:rsidRPr="008A2E5A">
        <w:rPr>
          <w:rFonts w:ascii="Times New Roman" w:hAnsi="Times New Roman"/>
          <w:color w:val="0070C0"/>
          <w:sz w:val="16"/>
          <w:szCs w:val="16"/>
        </w:rPr>
        <w:softHyphen/>
        <w:t>лось тяжелым, особенно при перекладыва</w:t>
      </w:r>
      <w:r w:rsidRPr="008A2E5A">
        <w:rPr>
          <w:rFonts w:ascii="Times New Roman" w:hAnsi="Times New Roman"/>
          <w:color w:val="0070C0"/>
          <w:sz w:val="16"/>
          <w:szCs w:val="16"/>
        </w:rPr>
        <w:softHyphen/>
        <w:t>нии из виража в вираж. На пробеге машина вела себя устойчиво, при торможении тен</w:t>
      </w:r>
      <w:r w:rsidRPr="008A2E5A">
        <w:rPr>
          <w:rFonts w:ascii="Times New Roman" w:hAnsi="Times New Roman"/>
          <w:color w:val="0070C0"/>
          <w:sz w:val="16"/>
          <w:szCs w:val="16"/>
        </w:rPr>
        <w:softHyphen/>
        <w:t>денции к поднятию хвоста не было.</w:t>
      </w:r>
    </w:p>
    <w:p w14:paraId="4D0DCD2D"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Перечень выявленных дефектов тоже оказался невелик. Помимо тяжелого управ</w:t>
      </w:r>
      <w:r w:rsidRPr="008A2E5A">
        <w:rPr>
          <w:rFonts w:ascii="Times New Roman" w:hAnsi="Times New Roman"/>
          <w:color w:val="0070C0"/>
          <w:sz w:val="16"/>
          <w:szCs w:val="16"/>
        </w:rPr>
        <w:softHyphen/>
        <w:t>ления, испытатели отмечали большой полет</w:t>
      </w:r>
      <w:r w:rsidRPr="008A2E5A">
        <w:rPr>
          <w:rFonts w:ascii="Times New Roman" w:hAnsi="Times New Roman"/>
          <w:color w:val="0070C0"/>
          <w:sz w:val="16"/>
          <w:szCs w:val="16"/>
        </w:rPr>
        <w:softHyphen/>
        <w:t>ный вес, неудовлетворительное производ</w:t>
      </w:r>
      <w:r w:rsidRPr="008A2E5A">
        <w:rPr>
          <w:rFonts w:ascii="Times New Roman" w:hAnsi="Times New Roman"/>
          <w:color w:val="0070C0"/>
          <w:sz w:val="16"/>
          <w:szCs w:val="16"/>
        </w:rPr>
        <w:softHyphen/>
        <w:t>ственное исполнение, в том числе, волни</w:t>
      </w:r>
      <w:r w:rsidRPr="008A2E5A">
        <w:rPr>
          <w:rFonts w:ascii="Times New Roman" w:hAnsi="Times New Roman"/>
          <w:color w:val="0070C0"/>
          <w:sz w:val="16"/>
          <w:szCs w:val="16"/>
        </w:rPr>
        <w:softHyphen/>
        <w:t>стость поверхности фюзеляжа и искажение профиля крыла, небрежную подгонку капо</w:t>
      </w:r>
      <w:r w:rsidRPr="008A2E5A">
        <w:rPr>
          <w:rFonts w:ascii="Times New Roman" w:hAnsi="Times New Roman"/>
          <w:color w:val="0070C0"/>
          <w:sz w:val="16"/>
          <w:szCs w:val="16"/>
        </w:rPr>
        <w:softHyphen/>
        <w:t>тов и монтаж трубопроводов. Крайне неудач</w:t>
      </w:r>
      <w:r w:rsidRPr="008A2E5A">
        <w:rPr>
          <w:rFonts w:ascii="Times New Roman" w:hAnsi="Times New Roman"/>
          <w:color w:val="0070C0"/>
          <w:sz w:val="16"/>
          <w:szCs w:val="16"/>
        </w:rPr>
        <w:softHyphen/>
        <w:t>ным признали аварийный выпуск шасси от пневмоситемы. Такое решение предполагало большой расход сжатого воздуха, особенно с убирающимся костылем. Не совсем удобно был расположен бачек гидросистемы,</w:t>
      </w:r>
    </w:p>
    <w:p w14:paraId="2585116A"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Основными недостатками мотоустановки комиссия посчитала отсутствие передних жа</w:t>
      </w:r>
      <w:r w:rsidRPr="008A2E5A">
        <w:rPr>
          <w:rFonts w:ascii="Times New Roman" w:hAnsi="Times New Roman"/>
          <w:color w:val="0070C0"/>
          <w:sz w:val="16"/>
          <w:szCs w:val="16"/>
        </w:rPr>
        <w:softHyphen/>
        <w:t>люзи, компрессора АК-50, забрызгивание ко</w:t>
      </w:r>
      <w:r w:rsidRPr="008A2E5A">
        <w:rPr>
          <w:rFonts w:ascii="Times New Roman" w:hAnsi="Times New Roman"/>
          <w:color w:val="0070C0"/>
          <w:sz w:val="16"/>
          <w:szCs w:val="16"/>
        </w:rPr>
        <w:softHyphen/>
        <w:t>зырька кабины маслом, недоведенность про</w:t>
      </w:r>
      <w:r w:rsidRPr="008A2E5A">
        <w:rPr>
          <w:rFonts w:ascii="Times New Roman" w:hAnsi="Times New Roman"/>
          <w:color w:val="0070C0"/>
          <w:sz w:val="16"/>
          <w:szCs w:val="16"/>
        </w:rPr>
        <w:softHyphen/>
        <w:t>водки управления нормальным газом и отсут</w:t>
      </w:r>
      <w:r w:rsidRPr="008A2E5A">
        <w:rPr>
          <w:rFonts w:ascii="Times New Roman" w:hAnsi="Times New Roman"/>
          <w:color w:val="0070C0"/>
          <w:sz w:val="16"/>
          <w:szCs w:val="16"/>
        </w:rPr>
        <w:softHyphen/>
        <w:t>ствие ручного запуска инерционным само</w:t>
      </w:r>
      <w:r w:rsidRPr="008A2E5A">
        <w:rPr>
          <w:rFonts w:ascii="Times New Roman" w:hAnsi="Times New Roman"/>
          <w:color w:val="0070C0"/>
          <w:sz w:val="16"/>
          <w:szCs w:val="16"/>
        </w:rPr>
        <w:softHyphen/>
        <w:t>пуском. По вооружению единственным сла</w:t>
      </w:r>
      <w:r w:rsidRPr="008A2E5A">
        <w:rPr>
          <w:rFonts w:ascii="Times New Roman" w:hAnsi="Times New Roman"/>
          <w:color w:val="0070C0"/>
          <w:sz w:val="16"/>
          <w:szCs w:val="16"/>
        </w:rPr>
        <w:softHyphen/>
        <w:t>бым местом военные посчитали чрезмерные усилия ручной перезарядки пушек.</w:t>
      </w:r>
    </w:p>
    <w:p w14:paraId="7CF9CFB8"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выводах к отчету содержался ряд допол</w:t>
      </w:r>
      <w:r w:rsidRPr="008A2E5A">
        <w:rPr>
          <w:rFonts w:ascii="Times New Roman" w:hAnsi="Times New Roman"/>
          <w:color w:val="0070C0"/>
          <w:sz w:val="16"/>
          <w:szCs w:val="16"/>
        </w:rPr>
        <w:softHyphen/>
        <w:t>нительных предложений по доработке само</w:t>
      </w:r>
      <w:r w:rsidRPr="008A2E5A">
        <w:rPr>
          <w:rFonts w:ascii="Times New Roman" w:hAnsi="Times New Roman"/>
          <w:color w:val="0070C0"/>
          <w:sz w:val="16"/>
          <w:szCs w:val="16"/>
        </w:rPr>
        <w:softHyphen/>
        <w:t>лета. В основном они касались винтомотор</w:t>
      </w:r>
      <w:r w:rsidRPr="008A2E5A">
        <w:rPr>
          <w:rFonts w:ascii="Times New Roman" w:hAnsi="Times New Roman"/>
          <w:color w:val="0070C0"/>
          <w:sz w:val="16"/>
          <w:szCs w:val="16"/>
        </w:rPr>
        <w:softHyphen/>
        <w:t>ной группы. В частности, комиссия предлага</w:t>
      </w:r>
      <w:r w:rsidRPr="008A2E5A">
        <w:rPr>
          <w:rFonts w:ascii="Times New Roman" w:hAnsi="Times New Roman"/>
          <w:color w:val="0070C0"/>
          <w:sz w:val="16"/>
          <w:szCs w:val="16"/>
        </w:rPr>
        <w:softHyphen/>
        <w:t>ла развить комлевую часть винта так, чтобы она работала как вентилятор для обдува мо</w:t>
      </w:r>
      <w:r w:rsidRPr="008A2E5A">
        <w:rPr>
          <w:rFonts w:ascii="Times New Roman" w:hAnsi="Times New Roman"/>
          <w:color w:val="0070C0"/>
          <w:sz w:val="16"/>
          <w:szCs w:val="16"/>
        </w:rPr>
        <w:softHyphen/>
        <w:t>тора на земле и в режиме скороподъемности,</w:t>
      </w:r>
    </w:p>
    <w:p w14:paraId="16A2B93C"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повысить жесткость проводки управления дросселем карбюратора, установить систему разжижения масла бензином, а в задней части капота сделать пару лючков для подо</w:t>
      </w:r>
      <w:r w:rsidRPr="008A2E5A">
        <w:rPr>
          <w:rFonts w:ascii="Times New Roman" w:hAnsi="Times New Roman"/>
          <w:color w:val="0070C0"/>
          <w:sz w:val="16"/>
          <w:szCs w:val="16"/>
        </w:rPr>
        <w:softHyphen/>
        <w:t>грева мотоустановки в зимнее время при по</w:t>
      </w:r>
      <w:r w:rsidRPr="008A2E5A">
        <w:rPr>
          <w:rFonts w:ascii="Times New Roman" w:hAnsi="Times New Roman"/>
          <w:color w:val="0070C0"/>
          <w:sz w:val="16"/>
          <w:szCs w:val="16"/>
        </w:rPr>
        <w:softHyphen/>
        <w:t>мощи АПЛ.</w:t>
      </w:r>
    </w:p>
    <w:p w14:paraId="7BA90225"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заключении, подписанном начальником НИИ ВВС генерал-лейтенантом Петровым, ИО начальника ЛИИ НКАП профессором А.И. Че- саловым и военкомом НИИ ВВС старшим ба</w:t>
      </w:r>
      <w:r w:rsidRPr="008A2E5A">
        <w:rPr>
          <w:rFonts w:ascii="Times New Roman" w:hAnsi="Times New Roman"/>
          <w:color w:val="0070C0"/>
          <w:sz w:val="16"/>
          <w:szCs w:val="16"/>
        </w:rPr>
        <w:softHyphen/>
        <w:t>тальонным комиссаром Холодовским было сказано:</w:t>
      </w:r>
    </w:p>
    <w:p w14:paraId="1DC42CFF"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Самолет ЛаГГ-3 с мотором М-82, производства завода № 21 - государствен</w:t>
      </w:r>
      <w:r w:rsidRPr="008A2E5A">
        <w:rPr>
          <w:rFonts w:ascii="Times New Roman" w:hAnsi="Times New Roman"/>
          <w:color w:val="0070C0"/>
          <w:sz w:val="16"/>
          <w:szCs w:val="16"/>
        </w:rPr>
        <w:softHyphen/>
        <w:t>ные испытания выдержал.</w:t>
      </w:r>
    </w:p>
    <w:p w14:paraId="09FEE751"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Считать необходимым, принять на во</w:t>
      </w:r>
      <w:r w:rsidRPr="008A2E5A">
        <w:rPr>
          <w:rFonts w:ascii="Times New Roman" w:hAnsi="Times New Roman"/>
          <w:color w:val="0070C0"/>
          <w:sz w:val="16"/>
          <w:szCs w:val="16"/>
        </w:rPr>
        <w:softHyphen/>
        <w:t>оружение ВВС Красной Армии самолет ЛаГГ-3 с М-82, вооруженный двумя синхронными пушками ШВАК с боекомплектом 340 шт. снарядов и имеющий запас топлива 370 кг.</w:t>
      </w:r>
    </w:p>
    <w:p w14:paraId="12FCB624"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Для устранения дефекта в части управляемости и маневренности самолета необходимо обязать Главного конструкто</w:t>
      </w:r>
      <w:r w:rsidRPr="008A2E5A">
        <w:rPr>
          <w:rFonts w:ascii="Times New Roman" w:hAnsi="Times New Roman"/>
          <w:color w:val="0070C0"/>
          <w:sz w:val="16"/>
          <w:szCs w:val="16"/>
        </w:rPr>
        <w:softHyphen/>
        <w:t>ра тов. Лавочкина в кратчайший срок дора</w:t>
      </w:r>
      <w:r w:rsidRPr="008A2E5A">
        <w:rPr>
          <w:rFonts w:ascii="Times New Roman" w:hAnsi="Times New Roman"/>
          <w:color w:val="0070C0"/>
          <w:sz w:val="16"/>
          <w:szCs w:val="16"/>
        </w:rPr>
        <w:softHyphen/>
        <w:t>ботать вопросы управляемости и маневрен</w:t>
      </w:r>
      <w:r w:rsidRPr="008A2E5A">
        <w:rPr>
          <w:rFonts w:ascii="Times New Roman" w:hAnsi="Times New Roman"/>
          <w:color w:val="0070C0"/>
          <w:sz w:val="16"/>
          <w:szCs w:val="16"/>
        </w:rPr>
        <w:softHyphen/>
        <w:t>ности самолета ЛаГГ-3 с М-82 и предъявить таковой НИИ ВВС Красной Армии для испы</w:t>
      </w:r>
      <w:r w:rsidRPr="008A2E5A">
        <w:rPr>
          <w:rFonts w:ascii="Times New Roman" w:hAnsi="Times New Roman"/>
          <w:color w:val="0070C0"/>
          <w:sz w:val="16"/>
          <w:szCs w:val="16"/>
        </w:rPr>
        <w:softHyphen/>
        <w:t>таний на маневренность и управляемость.</w:t>
      </w:r>
    </w:p>
    <w:p w14:paraId="03E440E6"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Осуществить в кратчайший срок пред</w:t>
      </w:r>
      <w:r w:rsidRPr="008A2E5A">
        <w:rPr>
          <w:rFonts w:ascii="Times New Roman" w:hAnsi="Times New Roman"/>
          <w:color w:val="0070C0"/>
          <w:sz w:val="16"/>
          <w:szCs w:val="16"/>
        </w:rPr>
        <w:softHyphen/>
        <w:t>ложение Главного конструктора тов. Ла</w:t>
      </w:r>
      <w:r w:rsidRPr="008A2E5A">
        <w:rPr>
          <w:rFonts w:ascii="Times New Roman" w:hAnsi="Times New Roman"/>
          <w:color w:val="0070C0"/>
          <w:sz w:val="16"/>
          <w:szCs w:val="16"/>
        </w:rPr>
        <w:softHyphen/>
        <w:t>вочкина по облегчению самолета Ла-5 на 100-120 кг при условии сохранения прочно</w:t>
      </w:r>
      <w:r w:rsidRPr="008A2E5A">
        <w:rPr>
          <w:rFonts w:ascii="Times New Roman" w:hAnsi="Times New Roman"/>
          <w:color w:val="0070C0"/>
          <w:sz w:val="16"/>
          <w:szCs w:val="16"/>
        </w:rPr>
        <w:softHyphen/>
        <w:t>сти основных силовых элементов самолета в соответствии с нормами прочности.</w:t>
      </w:r>
    </w:p>
    <w:p w14:paraId="669A6569"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По летным данным самолет ЛаГГ-3 № 37 с мотором М-82, прошедший настоящие испытания считать эталоном на 1942 год.</w:t>
      </w:r>
    </w:p>
    <w:p w14:paraId="4C314D47"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При решении вопроса о запуске в серий</w:t>
      </w:r>
      <w:r w:rsidRPr="008A2E5A">
        <w:rPr>
          <w:rFonts w:ascii="Times New Roman" w:hAnsi="Times New Roman"/>
          <w:color w:val="0070C0"/>
          <w:sz w:val="16"/>
          <w:szCs w:val="16"/>
        </w:rPr>
        <w:softHyphen/>
        <w:t>ное производство самолета ЛаГГ-3 с М-82, необходимо устранить дефекты, выявлен</w:t>
      </w:r>
      <w:r w:rsidRPr="008A2E5A">
        <w:rPr>
          <w:rFonts w:ascii="Times New Roman" w:hAnsi="Times New Roman"/>
          <w:color w:val="0070C0"/>
          <w:sz w:val="16"/>
          <w:szCs w:val="16"/>
        </w:rPr>
        <w:softHyphen/>
        <w:t>ные при проведении настоящих испыта</w:t>
      </w:r>
      <w:r w:rsidRPr="008A2E5A">
        <w:rPr>
          <w:rFonts w:ascii="Times New Roman" w:hAnsi="Times New Roman"/>
          <w:color w:val="0070C0"/>
          <w:sz w:val="16"/>
          <w:szCs w:val="16"/>
        </w:rPr>
        <w:softHyphen/>
        <w:t>ний».</w:t>
      </w:r>
    </w:p>
    <w:p w14:paraId="1A6E785C" w14:textId="77777777" w:rsidR="00596F73" w:rsidRPr="008A2E5A" w:rsidRDefault="00596F73" w:rsidP="00596F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целом в ходе испытаний машина проде</w:t>
      </w:r>
      <w:r w:rsidRPr="008A2E5A">
        <w:rPr>
          <w:rFonts w:ascii="Times New Roman" w:hAnsi="Times New Roman"/>
          <w:color w:val="0070C0"/>
          <w:sz w:val="16"/>
          <w:szCs w:val="16"/>
        </w:rPr>
        <w:softHyphen/>
        <w:t>монстрировала достаточно высокие характе</w:t>
      </w:r>
      <w:r w:rsidRPr="008A2E5A">
        <w:rPr>
          <w:rFonts w:ascii="Times New Roman" w:hAnsi="Times New Roman"/>
          <w:color w:val="0070C0"/>
          <w:sz w:val="16"/>
          <w:szCs w:val="16"/>
        </w:rPr>
        <w:softHyphen/>
        <w:t>ристики. Максимальная скорость у земли на номинальных оборотах составляла 515 км/час, на высоте 600 м с пятиминутным фор</w:t>
      </w:r>
      <w:r w:rsidRPr="008A2E5A">
        <w:rPr>
          <w:rFonts w:ascii="Times New Roman" w:hAnsi="Times New Roman"/>
          <w:color w:val="0070C0"/>
          <w:sz w:val="16"/>
          <w:szCs w:val="16"/>
        </w:rPr>
        <w:softHyphen/>
        <w:t>сажем - 560 км/час. На первой границе вы</w:t>
      </w:r>
      <w:r w:rsidRPr="008A2E5A">
        <w:rPr>
          <w:rFonts w:ascii="Times New Roman" w:hAnsi="Times New Roman"/>
          <w:color w:val="0070C0"/>
          <w:sz w:val="16"/>
          <w:szCs w:val="16"/>
        </w:rPr>
        <w:softHyphen/>
        <w:t>сотности 3200 м самолет разгонялся до 576 км/час, а на второй (6450 м) - до 600 км/ч. Вираж на высоте 1000 м ЛаГГ-3 М-82 выпол</w:t>
      </w:r>
      <w:r w:rsidRPr="008A2E5A">
        <w:rPr>
          <w:rFonts w:ascii="Times New Roman" w:hAnsi="Times New Roman"/>
          <w:color w:val="0070C0"/>
          <w:sz w:val="16"/>
          <w:szCs w:val="16"/>
        </w:rPr>
        <w:softHyphen/>
        <w:t>нял за 25 секунд. Высоту 5 км он набирал за 6 минут, а на форсаже за 5,2. Техническая даль</w:t>
      </w:r>
      <w:r w:rsidRPr="008A2E5A">
        <w:rPr>
          <w:rFonts w:ascii="Times New Roman" w:hAnsi="Times New Roman"/>
          <w:color w:val="0070C0"/>
          <w:sz w:val="16"/>
          <w:szCs w:val="16"/>
        </w:rPr>
        <w:softHyphen/>
        <w:t>ность на высоте 600 м и скорости 470 км/ч (0,9 V макс) составляла 655 км, а на скорости 395 км/ч (0,75 Vмакс) - 900. Длина разбега на номинале -350 м, на форсаже - 310. Длина пробега - 470 м. Полетный вес самолета - 3380 кг, вес пустого - 2710. Запас горючего - 370 кг (23389).</w:t>
      </w:r>
    </w:p>
    <w:p w14:paraId="1B0C138D" w14:textId="77777777" w:rsidR="00596F73" w:rsidRPr="008A2E5A" w:rsidRDefault="00596F73" w:rsidP="00596F73">
      <w:pPr>
        <w:spacing w:after="0" w:line="240" w:lineRule="auto"/>
        <w:jc w:val="both"/>
        <w:rPr>
          <w:rFonts w:ascii="Times New Roman" w:hAnsi="Times New Roman"/>
          <w:color w:val="0070C0"/>
          <w:sz w:val="16"/>
          <w:szCs w:val="16"/>
        </w:rPr>
      </w:pPr>
    </w:p>
    <w:p w14:paraId="637151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мая 1942 на Би-1 выполнили Задание 1. Выполнены две пробежки. Двигатель работал 3-4 с и 10 с. Машина вела себя нормально (172,185).</w:t>
      </w:r>
    </w:p>
    <w:p w14:paraId="0D57C71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7CDA3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мая 1942 вышел приказ НКАП N 362с:</w:t>
      </w:r>
    </w:p>
    <w:p w14:paraId="7FCCB0F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упорядочения наименований десантных изделий, выпускаемых заводами 11 ГУ НКАП - Приказываю:</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10"/>
        <w:gridCol w:w="3402"/>
        <w:gridCol w:w="3544"/>
      </w:tblGrid>
      <w:tr w:rsidR="007C5583" w:rsidRPr="008127F8" w14:paraId="107CEE25" w14:textId="77777777" w:rsidTr="004C5D62">
        <w:tc>
          <w:tcPr>
            <w:tcW w:w="3510" w:type="dxa"/>
            <w:tcBorders>
              <w:top w:val="single" w:sz="12" w:space="0" w:color="auto"/>
            </w:tcBorders>
          </w:tcPr>
          <w:p w14:paraId="6AAEFCE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Двухместный планер</w:t>
            </w:r>
          </w:p>
        </w:tc>
        <w:tc>
          <w:tcPr>
            <w:tcW w:w="3402" w:type="dxa"/>
            <w:tcBorders>
              <w:top w:val="single" w:sz="12" w:space="0" w:color="auto"/>
            </w:tcBorders>
          </w:tcPr>
          <w:p w14:paraId="562820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УС-6</w:t>
            </w:r>
          </w:p>
        </w:tc>
        <w:tc>
          <w:tcPr>
            <w:tcW w:w="3544" w:type="dxa"/>
            <w:tcBorders>
              <w:top w:val="single" w:sz="12" w:space="0" w:color="auto"/>
            </w:tcBorders>
          </w:tcPr>
          <w:p w14:paraId="5C6B03C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именовать А-2</w:t>
            </w:r>
          </w:p>
        </w:tc>
      </w:tr>
      <w:tr w:rsidR="007C5583" w:rsidRPr="008127F8" w14:paraId="4A953142" w14:textId="77777777" w:rsidTr="004C5D62">
        <w:tc>
          <w:tcPr>
            <w:tcW w:w="3510" w:type="dxa"/>
          </w:tcPr>
          <w:p w14:paraId="23C8B6C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Семиместный планер</w:t>
            </w:r>
          </w:p>
        </w:tc>
        <w:tc>
          <w:tcPr>
            <w:tcW w:w="3402" w:type="dxa"/>
          </w:tcPr>
          <w:p w14:paraId="661949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РФ-8</w:t>
            </w:r>
          </w:p>
        </w:tc>
        <w:tc>
          <w:tcPr>
            <w:tcW w:w="3544" w:type="dxa"/>
          </w:tcPr>
          <w:p w14:paraId="73316FA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А-7</w:t>
            </w:r>
          </w:p>
        </w:tc>
      </w:tr>
      <w:tr w:rsidR="007C5583" w:rsidRPr="008127F8" w14:paraId="298FBCF7" w14:textId="77777777" w:rsidTr="004C5D62">
        <w:tc>
          <w:tcPr>
            <w:tcW w:w="3510" w:type="dxa"/>
          </w:tcPr>
          <w:p w14:paraId="588F97D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3. Одиннадцатиместный планер</w:t>
            </w:r>
          </w:p>
        </w:tc>
        <w:tc>
          <w:tcPr>
            <w:tcW w:w="3402" w:type="dxa"/>
          </w:tcPr>
          <w:p w14:paraId="17C16F1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ГР-29</w:t>
            </w:r>
          </w:p>
        </w:tc>
        <w:tc>
          <w:tcPr>
            <w:tcW w:w="3544" w:type="dxa"/>
          </w:tcPr>
          <w:p w14:paraId="72CFD0F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Г-11</w:t>
            </w:r>
          </w:p>
        </w:tc>
      </w:tr>
      <w:tr w:rsidR="007C5583" w:rsidRPr="008127F8" w14:paraId="564D3893" w14:textId="77777777" w:rsidTr="004C5D62">
        <w:tc>
          <w:tcPr>
            <w:tcW w:w="3510" w:type="dxa"/>
          </w:tcPr>
          <w:p w14:paraId="0A511CA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Двадцатиместный планер</w:t>
            </w:r>
          </w:p>
        </w:tc>
        <w:tc>
          <w:tcPr>
            <w:tcW w:w="3402" w:type="dxa"/>
          </w:tcPr>
          <w:p w14:paraId="64C62DF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КЦ-2</w:t>
            </w:r>
          </w:p>
        </w:tc>
        <w:tc>
          <w:tcPr>
            <w:tcW w:w="3544" w:type="dxa"/>
          </w:tcPr>
          <w:p w14:paraId="21DDD55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КЦ-20</w:t>
            </w:r>
          </w:p>
        </w:tc>
      </w:tr>
      <w:tr w:rsidR="007C5583" w:rsidRPr="008127F8" w14:paraId="7AEA3559" w14:textId="77777777" w:rsidTr="004C5D62">
        <w:tc>
          <w:tcPr>
            <w:tcW w:w="3510" w:type="dxa"/>
          </w:tcPr>
          <w:p w14:paraId="6B80496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Грузовой планер</w:t>
            </w:r>
          </w:p>
        </w:tc>
        <w:tc>
          <w:tcPr>
            <w:tcW w:w="3402" w:type="dxa"/>
          </w:tcPr>
          <w:p w14:paraId="338DB54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К-1</w:t>
            </w:r>
          </w:p>
        </w:tc>
        <w:tc>
          <w:tcPr>
            <w:tcW w:w="3544" w:type="dxa"/>
          </w:tcPr>
          <w:p w14:paraId="5E6F9D1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К-Г</w:t>
            </w:r>
          </w:p>
        </w:tc>
      </w:tr>
      <w:tr w:rsidR="007C5583" w:rsidRPr="008127F8" w14:paraId="1E6BD897" w14:textId="77777777" w:rsidTr="004C5D62">
        <w:tc>
          <w:tcPr>
            <w:tcW w:w="3510" w:type="dxa"/>
          </w:tcPr>
          <w:p w14:paraId="060D87C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Одинадцатиместный мотопланер</w:t>
            </w:r>
          </w:p>
        </w:tc>
        <w:tc>
          <w:tcPr>
            <w:tcW w:w="3402" w:type="dxa"/>
          </w:tcPr>
          <w:p w14:paraId="501F8F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ГР-29М</w:t>
            </w:r>
          </w:p>
        </w:tc>
        <w:tc>
          <w:tcPr>
            <w:tcW w:w="3544" w:type="dxa"/>
          </w:tcPr>
          <w:p w14:paraId="65D7AF4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Г11-М</w:t>
            </w:r>
          </w:p>
        </w:tc>
      </w:tr>
      <w:tr w:rsidR="007C5583" w:rsidRPr="008127F8" w14:paraId="2889C8F3" w14:textId="77777777" w:rsidTr="004C5D62">
        <w:tc>
          <w:tcPr>
            <w:tcW w:w="3510" w:type="dxa"/>
          </w:tcPr>
          <w:p w14:paraId="2A60C94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Четырнадцатиместный мотопланер</w:t>
            </w:r>
          </w:p>
        </w:tc>
        <w:tc>
          <w:tcPr>
            <w:tcW w:w="3402" w:type="dxa"/>
          </w:tcPr>
          <w:p w14:paraId="5E15CFD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САМ-22</w:t>
            </w:r>
          </w:p>
        </w:tc>
        <w:tc>
          <w:tcPr>
            <w:tcW w:w="3544" w:type="dxa"/>
          </w:tcPr>
          <w:p w14:paraId="05D3C71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М14-М</w:t>
            </w:r>
          </w:p>
        </w:tc>
      </w:tr>
      <w:tr w:rsidR="007C5583" w:rsidRPr="008127F8" w14:paraId="74EC7987" w14:textId="77777777" w:rsidTr="004C5D62">
        <w:tc>
          <w:tcPr>
            <w:tcW w:w="3510" w:type="dxa"/>
          </w:tcPr>
          <w:p w14:paraId="48EED4F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Двадцатиместный мотопланер</w:t>
            </w:r>
          </w:p>
        </w:tc>
        <w:tc>
          <w:tcPr>
            <w:tcW w:w="3402" w:type="dxa"/>
          </w:tcPr>
          <w:p w14:paraId="0D6CD48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КЦ-2М</w:t>
            </w:r>
          </w:p>
        </w:tc>
        <w:tc>
          <w:tcPr>
            <w:tcW w:w="3544" w:type="dxa"/>
          </w:tcPr>
          <w:p w14:paraId="2322463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КЦ20-М</w:t>
            </w:r>
          </w:p>
        </w:tc>
      </w:tr>
      <w:tr w:rsidR="007C5583" w:rsidRPr="008127F8" w14:paraId="3007E869" w14:textId="77777777" w:rsidTr="004C5D62">
        <w:tc>
          <w:tcPr>
            <w:tcW w:w="3510" w:type="dxa"/>
          </w:tcPr>
          <w:p w14:paraId="2EFF302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Танковоз</w:t>
            </w:r>
          </w:p>
        </w:tc>
        <w:tc>
          <w:tcPr>
            <w:tcW w:w="3402" w:type="dxa"/>
          </w:tcPr>
          <w:p w14:paraId="0EE7D2D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КТ</w:t>
            </w:r>
          </w:p>
        </w:tc>
        <w:tc>
          <w:tcPr>
            <w:tcW w:w="3544" w:type="dxa"/>
          </w:tcPr>
          <w:p w14:paraId="6E90473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А-Т</w:t>
            </w:r>
          </w:p>
        </w:tc>
      </w:tr>
      <w:tr w:rsidR="007C5583" w:rsidRPr="008127F8" w14:paraId="59A8B729" w14:textId="77777777" w:rsidTr="004C5D62">
        <w:tc>
          <w:tcPr>
            <w:tcW w:w="3510" w:type="dxa"/>
          </w:tcPr>
          <w:p w14:paraId="3A6BD43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Воздушный прицеп истребительный</w:t>
            </w:r>
          </w:p>
        </w:tc>
        <w:tc>
          <w:tcPr>
            <w:tcW w:w="3402" w:type="dxa"/>
          </w:tcPr>
          <w:p w14:paraId="55BA2F0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w:t>
            </w:r>
          </w:p>
        </w:tc>
        <w:tc>
          <w:tcPr>
            <w:tcW w:w="3544" w:type="dxa"/>
          </w:tcPr>
          <w:p w14:paraId="62AB1DF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А-ИП</w:t>
            </w:r>
          </w:p>
        </w:tc>
      </w:tr>
      <w:tr w:rsidR="007C5583" w:rsidRPr="008127F8" w14:paraId="2A545713" w14:textId="77777777" w:rsidTr="004C5D62">
        <w:tc>
          <w:tcPr>
            <w:tcW w:w="3510" w:type="dxa"/>
            <w:tcBorders>
              <w:bottom w:val="single" w:sz="12" w:space="0" w:color="auto"/>
            </w:tcBorders>
          </w:tcPr>
          <w:p w14:paraId="38878F7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Воздушный прицеп бомбардировочный</w:t>
            </w:r>
          </w:p>
        </w:tc>
        <w:tc>
          <w:tcPr>
            <w:tcW w:w="3402" w:type="dxa"/>
            <w:tcBorders>
              <w:bottom w:val="single" w:sz="12" w:space="0" w:color="auto"/>
            </w:tcBorders>
          </w:tcPr>
          <w:p w14:paraId="43978D7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ВПБ</w:t>
            </w:r>
          </w:p>
        </w:tc>
        <w:tc>
          <w:tcPr>
            <w:tcW w:w="3544" w:type="dxa"/>
            <w:tcBorders>
              <w:bottom w:val="single" w:sz="12" w:space="0" w:color="auto"/>
            </w:tcBorders>
          </w:tcPr>
          <w:p w14:paraId="281AE1C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А-БП (1611,13)</w:t>
            </w:r>
          </w:p>
        </w:tc>
      </w:tr>
    </w:tbl>
    <w:p w14:paraId="009D4E3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CD82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мая 1942 вышло Постановление ГКО № 1717 Об обеспечении отгрузки материалов стройтрестам Наркомавиапрома. РГАНИР, Фонд ГКО, д. 34, лл. 89 (11012).</w:t>
      </w:r>
    </w:p>
    <w:p w14:paraId="4024586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601D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7B4681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D5159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мая 1942 года вышел приказ № 250 НКБ</w:t>
      </w:r>
    </w:p>
    <w:p w14:paraId="3BAB62F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п. 9 Постановления ГКО № ГОКО 1707сс от 6 мая 1942 года:</w:t>
      </w:r>
    </w:p>
    <w:p w14:paraId="39011871"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Принять завод им. Войкова из системы Наркомата стройматериалов в систему НКБ. Завод включить в состав 4 Гл. управления, присвоив ему номер 557 (5805, 184).</w:t>
      </w:r>
    </w:p>
    <w:p w14:paraId="7A13780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F14BC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мая 1942 вышло Постановление ГКО № 1715 О развитии производства бронебойно-трассирующих снарядов, металлокерамических сердечников, твердых сплавов и увеличении добычи вольфрамовых концентратов. (7034, 52-53,54-87).</w:t>
      </w:r>
    </w:p>
    <w:p w14:paraId="5EF444C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FFE82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мая 1942 вышло Постановление ГКО № 1716 [О днях усиленной выгрузки грузов на железных дорогах.] (7034, 88).</w:t>
      </w:r>
    </w:p>
    <w:p w14:paraId="0378FF4D"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E6E1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мая 1942 вышло Постановление ГКО № 1718 Об организации патронного производства в городе Подольске. РГАНИР, Фонд ГКО, д. 34, лл. 90, 91-94 (11012).</w:t>
      </w:r>
    </w:p>
    <w:p w14:paraId="5B574C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1667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мая 1942 г. на месте завода № 17 (Завод № 17 ВСНХ, НКТП, НКОП, НКВ, Подольский патронный завод ВСНХ, Барнаульский станкостроительный завод (БСЗ) им. 60-летия СССР, ОАО «БСЗ» / г. Подольск Московской обл.;  г. Барнаул/ /656002  г. Барнаул Алтайского кр. ул. Петра Кулагина, 28 тел. 77-92-00/) в Подольске в соответствии с пост. ГКО № 1718 от «Об организации патронного производства в Подольске» создан новый патронный завод, в 1944 г. ему присвоен № 710 НКВ (11982).</w:t>
      </w:r>
    </w:p>
    <w:p w14:paraId="598147A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A763E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мая 1942 г. в соответствии с пост. ГКО № 1718 «Об организации патронного производства в Подольске» на месте эвакуированного завода № 17 НКВ создан новый патронный завод, в 1944 г. ему присвоен № 710 НКВ. В 1950-е  г. - в ведении МОП (Завод № 710 НКВ, МОП, Подольский электромеханический завод (ПЭМЗ) МОП, А-3141, ОАО «ПЭМЗ» /142105  г. Подольск Московской обл. ул. Б. Серпуховская, 43/).</w:t>
      </w:r>
    </w:p>
    <w:p w14:paraId="63B08DA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10.1948 г. завод перепрофилирован в электромеханический, патронное производство передано на завод № 711. Производил гидроприводы, электрогидроприводы, электрические следящие приводы, в т.ч. для ЗРК, систем дальней космической связи. Принимал участие в создании: ОК «Буран», Западного КП (Серпухов-15) СПРН (1983 г.), ОЭК «Окно» (1980-е).</w:t>
      </w:r>
    </w:p>
    <w:p w14:paraId="073624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2000-е  г. освоен выпуск гражданской продукции: гидроприводы и авоматика для строительно-дрожных машин; оборудования для упаковки, дозировки и переработки пищевых продуктов; сельхозоборудования; медтехники.</w:t>
      </w:r>
    </w:p>
    <w:p w14:paraId="433128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Имелись производства (2000-е): инструментальное, литейное, металлообрабатывающее, механосборочное.</w:t>
      </w:r>
    </w:p>
    <w:p w14:paraId="4FDE08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Имел наименование- А-3141. В 1994 г. преобразован в ОАО. По решению правительства № 22-р от 9.01.2004 г. вошло в перечень стратегических предприятий.</w:t>
      </w:r>
    </w:p>
    <w:p w14:paraId="1409651C" w14:textId="77777777" w:rsidR="007C5583" w:rsidRPr="008127F8" w:rsidRDefault="007C5583" w:rsidP="007C5583">
      <w:pPr>
        <w:widowControl w:val="0"/>
        <w:tabs>
          <w:tab w:val="left" w:pos="7016"/>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Внешний управляющий (2002-05 г.-)- В. Исайченков.</w:t>
      </w:r>
    </w:p>
    <w:p w14:paraId="4778A40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(1948-54; 1958-60 г.)-  Г.Т. Парамонов.</w:t>
      </w:r>
    </w:p>
    <w:p w14:paraId="7A3AB8D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(1948-54; 1958-60 г.)-  Г.Т. Парамонов, (-1969 г.)- Н.В. Михайлов.</w:t>
      </w:r>
    </w:p>
    <w:p w14:paraId="39D16D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антенны для ЗРК С-25 (опытные, 1951-)- 3 комплекта; приводы для ЗРК: С-300, «Бук», «Тор», «Стрела-10», «Тунгуска», «Панцирь»; РК «Искандер», «Тополь»; аппаратура для системы УС-К (1970-е); гидравлические машины и элементы гидроавтоматики для строительных и дорожных машин; антенна АТИГ(В)- 7.1.1-60; оборудование для упаковки, дозировки и переработки пищевой продукции (2005) (11982).</w:t>
      </w:r>
    </w:p>
    <w:p w14:paraId="3267F1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9AAD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мая 1942 г. вышло постановление «Об организации патронного производства в Подольске» и на месте эвакуированного завода № 188 НКВ создан новый патронный завод, в 1944 г. ему присвоен № 711 НКВ (Завод № 711 НКВ, Климовский штамповочный завод (КШЗ), АООТ, ОАО «КШЗ» РАВ, ЗАО «Климовский специализированный патронный завод» (КСПЗ) РАВ /142181  г. Климовск Московской обл. ул. Заводская, 2/).</w:t>
      </w:r>
    </w:p>
    <w:p w14:paraId="40F61CF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 г. на базе завода создан НИИ проектирования патронов (НИИ-44).</w:t>
      </w:r>
    </w:p>
    <w:p w14:paraId="3CC0FA1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10.1948 г. сюда с перепрофилированного завода № 710 передано патронное производство.</w:t>
      </w:r>
    </w:p>
    <w:p w14:paraId="5247AC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НКВ от 3.06.1944 г. из состава завода бывшее отделение выделилось в самостоятельное ЦКБ-3 (КБАЛ им. </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H</w:t>
      </w:r>
      <w:r w:rsidRPr="008127F8">
        <w:rPr>
          <w:rFonts w:ascii="Times New Roman" w:hAnsi="Times New Roman"/>
          <w:color w:val="000000" w:themeColor="text1"/>
          <w:sz w:val="16"/>
          <w:szCs w:val="16"/>
        </w:rPr>
        <w:t>. Кошкина).</w:t>
      </w:r>
    </w:p>
    <w:p w14:paraId="22A840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1950-е  г. было пущено экспериментальное автоматизированное производство автоматных патронов 7,62 мм. Были установлены автоматические роторные линии. В 1974 г. введен в строй автоматизированный комплекс «Модуль» по изготовлению патронов в составе 4 цехов: заготовительного, гильзового, пульного и снаряжательного. К 1980 г. были разработаны малокалиберные спортивные патроны: «Темп винтовочный», «Темп пистолетный», «Биатлон», «Силуэт-М», пуля ДЦ-М. В 1980-е  г. были разработаны и выпускались патроны «мелких серий» - боеприпасы спецназначения с пулями повышенной пробиваемости, для бесшумной и беспламенной стрельбы, для подводного оружия. В советское время завод производил до миллиарда патронов в год.</w:t>
      </w:r>
    </w:p>
    <w:p w14:paraId="2BC46C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1960-е  г. начато производство двухмостиковых пиропатронов для космической техники.</w:t>
      </w:r>
    </w:p>
    <w:p w14:paraId="298FE3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1960 г. завод № 711 переименован в КШЗ. В 1993 г. КШЗ преобразован в АООТ, затем - в ОАО. В 2001 г. ОАО «КШЗ» было реорганизовано в ЗАО «КСПЗ».</w:t>
      </w:r>
    </w:p>
    <w:p w14:paraId="100527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1980-е  г. при заводе действовала Контрольно-испытательная станция (КИС). В 2000-е  г. специально для разработки стрелкового оружия был создан Научно-конструкторский технический центр.</w:t>
      </w:r>
    </w:p>
    <w:p w14:paraId="30BB27E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1990-е  г. начато производство 6 модификаций патронов 7,62х 39 с полуоболочечными и цельнооболочечными пулями, со стальными лакированными и никелированными гильзами, а затем- с биметаллической гильзой. Был расширен ассортимент и увеличен выпуск охотничьих патронов.</w:t>
      </w:r>
    </w:p>
    <w:p w14:paraId="16F6BF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(1990-е)- 50 чел.</w:t>
      </w:r>
    </w:p>
    <w:p w14:paraId="132FCB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 патроны:</w:t>
      </w:r>
      <w:r w:rsidRPr="008127F8">
        <w:rPr>
          <w:rFonts w:ascii="Times New Roman" w:hAnsi="Times New Roman"/>
          <w:color w:val="000000" w:themeColor="text1"/>
          <w:sz w:val="16"/>
          <w:szCs w:val="16"/>
        </w:rPr>
        <w:t xml:space="preserve"> боевые: автоматные 7,62х 39 (1960-е); 9 мм; для оружия подводной стрельбы (2000- е); спортивные: пистолетные 9х 19 «Парабеллум», 9х 18 «Макаров» (1990-е); охотничьи: винтовочный 5,56 «Магнум», 5,56х 45 типа 223 </w:t>
      </w:r>
      <w:r w:rsidRPr="008127F8">
        <w:rPr>
          <w:rFonts w:ascii="Times New Roman" w:hAnsi="Times New Roman"/>
          <w:color w:val="000000" w:themeColor="text1"/>
          <w:sz w:val="16"/>
          <w:szCs w:val="16"/>
          <w:lang w:val="en-US"/>
        </w:rPr>
        <w:t>Remington</w:t>
      </w:r>
      <w:r w:rsidRPr="008127F8">
        <w:rPr>
          <w:rFonts w:ascii="Times New Roman" w:hAnsi="Times New Roman"/>
          <w:color w:val="000000" w:themeColor="text1"/>
          <w:sz w:val="16"/>
          <w:szCs w:val="16"/>
        </w:rPr>
        <w:t xml:space="preserve">, 7,62х 51 типа 308 </w:t>
      </w:r>
      <w:r w:rsidRPr="008127F8">
        <w:rPr>
          <w:rFonts w:ascii="Times New Roman" w:hAnsi="Times New Roman"/>
          <w:color w:val="000000" w:themeColor="text1"/>
          <w:sz w:val="16"/>
          <w:szCs w:val="16"/>
          <w:lang w:val="en-US"/>
        </w:rPr>
        <w:t>Winchester</w:t>
      </w:r>
      <w:r w:rsidRPr="008127F8">
        <w:rPr>
          <w:rFonts w:ascii="Times New Roman" w:hAnsi="Times New Roman"/>
          <w:color w:val="000000" w:themeColor="text1"/>
          <w:sz w:val="16"/>
          <w:szCs w:val="16"/>
        </w:rPr>
        <w:t>; строительные; пневматические пули; двухмостиковые пиропатроны ДП (1960-е).</w:t>
      </w:r>
    </w:p>
    <w:p w14:paraId="2BA6E2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НИИ-44 НКВ,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НИИ проектирования патронов</w:t>
      </w:r>
    </w:p>
    <w:p w14:paraId="3C4E287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НИИ-44 создан в 1943 г. на заводе № 711 НКВ для проектирования патронов, (по другой информации НИИ-44 создан в 1947 г. на базе ОКБ-183). В 1949 г. институт вошел в состав НИИ-61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w:t>
      </w:r>
    </w:p>
    <w:p w14:paraId="1D7356F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Научно-конструкторский технический центр Создан 9-мм пистолет «Хорхе» (2006).</w:t>
      </w:r>
    </w:p>
    <w:p w14:paraId="6CDD081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ЦКБ-3 НКВ, КБ автоматических линий (КБАЛ) им. </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H</w:t>
      </w:r>
      <w:r w:rsidRPr="008127F8">
        <w:rPr>
          <w:rFonts w:ascii="Times New Roman" w:hAnsi="Times New Roman"/>
          <w:color w:val="000000" w:themeColor="text1"/>
          <w:sz w:val="16"/>
          <w:szCs w:val="16"/>
        </w:rPr>
        <w:t>. Кошкина, ОАО «КБАЛ им. Л.Н. Кошкина» /142184  г. Климовск Московской обл. пр. 50-летия Октября, 21А/</w:t>
      </w:r>
    </w:p>
    <w:p w14:paraId="768D49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НКВ от 3.06.1944 г. отделение Климовского завода № 711 выделилось в самостоятельное ЦКБ-3. Разработка роторных линий для производства патронов.</w:t>
      </w:r>
    </w:p>
    <w:p w14:paraId="2546D5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Являлось головной конструкторско-технологической организацией патронной промышленности.</w:t>
      </w:r>
    </w:p>
    <w:p w14:paraId="2975C58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2627C8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ООО «Дроболитейный и патронный завод «Феттеръ» /142181  г. Климовск Московской обл. ул. Заводская, 2 тел. (495) 785-97-85/</w:t>
      </w:r>
    </w:p>
    <w:p w14:paraId="5F4684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Решение о создании компании «Феттеръ» по производству патронов для гладкоствольного оружия было принято в 2000 г. Производство было организовано в одном из корпусов на территории КСПЗ. Было закуплено итальянское оборудование, включавшее три автоматических линии по сборке патронов общей мощностью более 25 тыс. патронов в час (на 2005 г.), что обеспечило годовой объем выпуска - до 40 млн. патронов; итальянский измерительный комплекс </w:t>
      </w:r>
      <w:r w:rsidRPr="008127F8">
        <w:rPr>
          <w:rFonts w:ascii="Times New Roman" w:hAnsi="Times New Roman"/>
          <w:color w:val="000000" w:themeColor="text1"/>
          <w:sz w:val="16"/>
          <w:szCs w:val="16"/>
          <w:lang w:val="en-US"/>
        </w:rPr>
        <w:t>STAS</w:t>
      </w:r>
      <w:r w:rsidRPr="008127F8">
        <w:rPr>
          <w:rFonts w:ascii="Times New Roman" w:hAnsi="Times New Roman"/>
          <w:color w:val="000000" w:themeColor="text1"/>
          <w:sz w:val="16"/>
          <w:szCs w:val="16"/>
        </w:rPr>
        <w:t xml:space="preserve"> для контроля качества патронов. В 2002 г. закуплены немецкие установки для производства литой дроби и свинцовой проволоки, а также итальянское оборудование для штамповки картечи.</w:t>
      </w:r>
    </w:p>
    <w:p w14:paraId="2F6528B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коммерческий (2005 г.)- А.Н. Курицын; по сбыту и снабжению (2005 г.)- И.Н. Гайчук.</w:t>
      </w:r>
    </w:p>
    <w:p w14:paraId="56D716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патроны для спортивного и охотничьего гладкоствольного оружия «Феттер» (2005) (11982).</w:t>
      </w:r>
    </w:p>
    <w:p w14:paraId="14962E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7180E9" w14:textId="77777777" w:rsidR="007C5583" w:rsidRPr="008127F8" w:rsidRDefault="007C5583" w:rsidP="007C5583">
      <w:pPr>
        <w:pStyle w:val="af"/>
        <w:spacing w:before="0" w:after="0"/>
        <w:jc w:val="both"/>
        <w:rPr>
          <w:color w:val="000000" w:themeColor="text1"/>
          <w:sz w:val="16"/>
          <w:szCs w:val="16"/>
        </w:rPr>
      </w:pPr>
      <w:r w:rsidRPr="008127F8">
        <w:rPr>
          <w:color w:val="000000" w:themeColor="text1"/>
          <w:sz w:val="16"/>
          <w:szCs w:val="16"/>
        </w:rPr>
        <w:lastRenderedPageBreak/>
        <w:t>9 мая 1942 года в адрес генерал-майора технических войск Б. М. Коробкова было направлено письмо от директора НИИ-48 А. С. Завья</w:t>
      </w:r>
      <w:r w:rsidRPr="008127F8">
        <w:rPr>
          <w:color w:val="000000" w:themeColor="text1"/>
          <w:sz w:val="16"/>
          <w:szCs w:val="16"/>
        </w:rPr>
        <w:softHyphen/>
        <w:t>лова, к которому прилагалась пояснительная записка по проекту безбашенного танка на базе Т-60.</w:t>
      </w:r>
    </w:p>
    <w:p w14:paraId="7D6B62D3"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Директор НИИ-48 предлагал изготовить несколько опытных образцов, на которых предполагалось испытать отработанные в проекте идеи. При создании танка конструкторский коллектив руководствовался следующим:</w:t>
      </w:r>
    </w:p>
    <w:p w14:paraId="1BBB465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Создание легкого танка с броневой защитой, соответствующей среднему танку (основная толщина брони 40 мм). Броня легкого танка должна по бронестойкости выдерживать подавляющее большинство про</w:t>
      </w:r>
      <w:r w:rsidRPr="008127F8">
        <w:rPr>
          <w:rFonts w:ascii="Times New Roman" w:hAnsi="Times New Roman"/>
          <w:color w:val="000000" w:themeColor="text1"/>
          <w:sz w:val="16"/>
          <w:szCs w:val="16"/>
        </w:rPr>
        <w:softHyphen/>
        <w:t>тивотанковых средств противника.</w:t>
      </w:r>
    </w:p>
    <w:p w14:paraId="7A866406" w14:textId="77777777" w:rsidR="007C5583" w:rsidRPr="008127F8" w:rsidRDefault="007C5583" w:rsidP="007C5583">
      <w:pPr>
        <w:tabs>
          <w:tab w:val="left" w:pos="54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Обеспечение массовости производства за счет максимального упро</w:t>
      </w:r>
      <w:r w:rsidRPr="008127F8">
        <w:rPr>
          <w:rFonts w:ascii="Times New Roman" w:hAnsi="Times New Roman"/>
          <w:color w:val="000000" w:themeColor="text1"/>
          <w:sz w:val="16"/>
          <w:szCs w:val="16"/>
        </w:rPr>
        <w:softHyphen/>
        <w:t>щения деталей бронекорпуса и применения рамной схемы, легко позволяю</w:t>
      </w:r>
      <w:r w:rsidRPr="008127F8">
        <w:rPr>
          <w:rFonts w:ascii="Times New Roman" w:hAnsi="Times New Roman"/>
          <w:color w:val="000000" w:themeColor="text1"/>
          <w:sz w:val="16"/>
          <w:szCs w:val="16"/>
        </w:rPr>
        <w:softHyphen/>
        <w:t>щей сборку бронекорпусов производить на конвейере.</w:t>
      </w:r>
    </w:p>
    <w:p w14:paraId="10B83404" w14:textId="77777777" w:rsidR="007C5583" w:rsidRPr="008127F8" w:rsidRDefault="007C5583" w:rsidP="007C5583">
      <w:pPr>
        <w:tabs>
          <w:tab w:val="left" w:pos="54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Вооружение легкого танка должно быть таким, чтобы оно в состо</w:t>
      </w:r>
      <w:r w:rsidRPr="008127F8">
        <w:rPr>
          <w:rFonts w:ascii="Times New Roman" w:hAnsi="Times New Roman"/>
          <w:color w:val="000000" w:themeColor="text1"/>
          <w:sz w:val="16"/>
          <w:szCs w:val="16"/>
        </w:rPr>
        <w:softHyphen/>
        <w:t>янии было пробить броню основных типов танков противника.</w:t>
      </w:r>
    </w:p>
    <w:p w14:paraId="05B03E6B" w14:textId="77777777" w:rsidR="007C5583" w:rsidRPr="008127F8" w:rsidRDefault="007C5583" w:rsidP="007C5583">
      <w:pPr>
        <w:tabs>
          <w:tab w:val="left" w:pos="54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Конструкция нового танка предусматривает максимальное исполь</w:t>
      </w:r>
      <w:r w:rsidRPr="008127F8">
        <w:rPr>
          <w:rFonts w:ascii="Times New Roman" w:hAnsi="Times New Roman"/>
          <w:color w:val="000000" w:themeColor="text1"/>
          <w:sz w:val="16"/>
          <w:szCs w:val="16"/>
        </w:rPr>
        <w:softHyphen/>
        <w:t>зование основных узлов существующего танка Т-60.</w:t>
      </w:r>
    </w:p>
    <w:p w14:paraId="555754D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Решение задачи создания легкого танка с броневой защитой, соответ</w:t>
      </w:r>
      <w:r w:rsidRPr="008127F8">
        <w:rPr>
          <w:rFonts w:ascii="Times New Roman" w:hAnsi="Times New Roman"/>
          <w:color w:val="000000" w:themeColor="text1"/>
          <w:sz w:val="16"/>
          <w:szCs w:val="16"/>
        </w:rPr>
        <w:softHyphen/>
        <w:t>ствующей среднему танку, выполнено за счет максимального сокращения размеров машины (длины и высоты), отказа от башни и уменьшения ко</w:t>
      </w:r>
      <w:r w:rsidRPr="008127F8">
        <w:rPr>
          <w:rFonts w:ascii="Times New Roman" w:hAnsi="Times New Roman"/>
          <w:color w:val="000000" w:themeColor="text1"/>
          <w:sz w:val="16"/>
          <w:szCs w:val="16"/>
        </w:rPr>
        <w:softHyphen/>
        <w:t>манды машины до 2 человек. В связи с отказом от башни и уменьшением команды танка до 2 человек была разработана дополнительная блокиров</w:t>
      </w:r>
      <w:r w:rsidRPr="008127F8">
        <w:rPr>
          <w:rFonts w:ascii="Times New Roman" w:hAnsi="Times New Roman"/>
          <w:color w:val="000000" w:themeColor="text1"/>
          <w:sz w:val="16"/>
          <w:szCs w:val="16"/>
        </w:rPr>
        <w:softHyphen/>
        <w:t>ка водителем рычага поворота машины и спроектировано специальное устройство (диск) для подачи снарядов.</w:t>
      </w:r>
    </w:p>
    <w:p w14:paraId="125F221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детали бронекорпуса спроектированы таким образом, что для их изготовления не требуется дефицитное прессовое оборудование, при ми</w:t>
      </w:r>
      <w:r w:rsidRPr="008127F8">
        <w:rPr>
          <w:rFonts w:ascii="Times New Roman" w:hAnsi="Times New Roman"/>
          <w:color w:val="000000" w:themeColor="text1"/>
          <w:sz w:val="16"/>
          <w:szCs w:val="16"/>
        </w:rPr>
        <w:softHyphen/>
        <w:t>нимальном количестве механической обработки (механическая обработ</w:t>
      </w:r>
      <w:r w:rsidRPr="008127F8">
        <w:rPr>
          <w:rFonts w:ascii="Times New Roman" w:hAnsi="Times New Roman"/>
          <w:color w:val="000000" w:themeColor="text1"/>
          <w:sz w:val="16"/>
          <w:szCs w:val="16"/>
        </w:rPr>
        <w:softHyphen/>
        <w:t>ка требуется лишь для деталей узла вооружения, смотровых приборов и щита водителя). Основные детали бронекорпуса поступают на сборку после огневой вырезки и термообработки.</w:t>
      </w:r>
    </w:p>
    <w:p w14:paraId="66AA84B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Одним из существенных отличий данной конструкции является узел днища, представляющий собой жесткую рамную конструкцию, могущую быть приваренной к раме автомобиля.</w:t>
      </w:r>
    </w:p>
    <w:p w14:paraId="36B3716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Конструктивно это выполнено следующим образом: лист днища, на</w:t>
      </w:r>
      <w:r w:rsidRPr="008127F8">
        <w:rPr>
          <w:rFonts w:ascii="Times New Roman" w:hAnsi="Times New Roman"/>
          <w:color w:val="000000" w:themeColor="text1"/>
          <w:sz w:val="16"/>
          <w:szCs w:val="16"/>
        </w:rPr>
        <w:softHyphen/>
        <w:t>клонный лист днища и нижний лобовой лист сварены между собой и соеди</w:t>
      </w:r>
      <w:r w:rsidRPr="008127F8">
        <w:rPr>
          <w:rFonts w:ascii="Times New Roman" w:hAnsi="Times New Roman"/>
          <w:color w:val="000000" w:themeColor="text1"/>
          <w:sz w:val="16"/>
          <w:szCs w:val="16"/>
        </w:rPr>
        <w:softHyphen/>
        <w:t>нены продольными кильсонами, приваренными к этим деталям. Это дает значительные преимущества с точки зрения технологии сборки, так как делает возможным применение конвейерной сборки ходовой части, транс</w:t>
      </w:r>
      <w:r w:rsidRPr="008127F8">
        <w:rPr>
          <w:rFonts w:ascii="Times New Roman" w:hAnsi="Times New Roman"/>
          <w:color w:val="000000" w:themeColor="text1"/>
          <w:sz w:val="16"/>
          <w:szCs w:val="16"/>
        </w:rPr>
        <w:softHyphen/>
        <w:t>миссии и прочего на этой жесткой раме. С целью увеличения жесткости и сопротивляемости снарядным попаданиям (лобовой верхний и нижний лист) в ряде мест предусмотрено шиповое соединение.</w:t>
      </w:r>
    </w:p>
    <w:p w14:paraId="1D13148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остальных деталей сопротивляемость снарядным попаданиям обе</w:t>
      </w:r>
      <w:r w:rsidRPr="008127F8">
        <w:rPr>
          <w:rFonts w:ascii="Times New Roman" w:hAnsi="Times New Roman"/>
          <w:color w:val="000000" w:themeColor="text1"/>
          <w:sz w:val="16"/>
          <w:szCs w:val="16"/>
        </w:rPr>
        <w:softHyphen/>
        <w:t>спечивается соединениями в распор.</w:t>
      </w:r>
    </w:p>
    <w:p w14:paraId="00064B4B" w14:textId="77777777" w:rsidR="007C5583" w:rsidRPr="008127F8" w:rsidRDefault="007C5583" w:rsidP="007C5583">
      <w:pPr>
        <w:pStyle w:val="af"/>
        <w:spacing w:before="0" w:after="0"/>
        <w:jc w:val="both"/>
        <w:rPr>
          <w:color w:val="000000" w:themeColor="text1"/>
          <w:sz w:val="16"/>
          <w:szCs w:val="16"/>
        </w:rPr>
      </w:pPr>
      <w:r w:rsidRPr="008127F8">
        <w:rPr>
          <w:color w:val="000000" w:themeColor="text1"/>
          <w:sz w:val="16"/>
          <w:szCs w:val="16"/>
        </w:rPr>
        <w:t>Вооружение нового танка состоит из одной 45-мм пушки и спаренного с ней пулемета; кроме того, предусмотрено наличие в танке двух автома</w:t>
      </w:r>
      <w:r w:rsidRPr="008127F8">
        <w:rPr>
          <w:color w:val="000000" w:themeColor="text1"/>
          <w:sz w:val="16"/>
          <w:szCs w:val="16"/>
        </w:rPr>
        <w:softHyphen/>
        <w:t>тов «ППД», стрельба из которых может производиться из специальных отверстий со смотровыми щелями, имеющихся по бортам, сзади и в щит</w:t>
      </w:r>
      <w:r w:rsidRPr="008127F8">
        <w:rPr>
          <w:color w:val="000000" w:themeColor="text1"/>
          <w:sz w:val="16"/>
          <w:szCs w:val="16"/>
        </w:rPr>
        <w:softHyphen/>
        <w:t>ке водителя.</w:t>
      </w:r>
    </w:p>
    <w:p w14:paraId="0C83391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нового танка используется мотор и ходовая часть танка Т-60, учитывая это, а также то, что в конструкции нового танка учтена воз</w:t>
      </w:r>
      <w:r w:rsidRPr="008127F8">
        <w:rPr>
          <w:rFonts w:ascii="Times New Roman" w:hAnsi="Times New Roman"/>
          <w:color w:val="000000" w:themeColor="text1"/>
          <w:sz w:val="16"/>
          <w:szCs w:val="16"/>
        </w:rPr>
        <w:softHyphen/>
        <w:t>можность конвейерной сборки и при изготовлении бронекорпуса требует</w:t>
      </w:r>
      <w:r w:rsidRPr="008127F8">
        <w:rPr>
          <w:rFonts w:ascii="Times New Roman" w:hAnsi="Times New Roman"/>
          <w:color w:val="000000" w:themeColor="text1"/>
          <w:sz w:val="16"/>
          <w:szCs w:val="16"/>
        </w:rPr>
        <w:softHyphen/>
        <w:t>ся минимальное количество механической обработки и правки, то следует признать, что этот танк имеет большие производственные преимуще</w:t>
      </w:r>
      <w:r w:rsidRPr="008127F8">
        <w:rPr>
          <w:rFonts w:ascii="Times New Roman" w:hAnsi="Times New Roman"/>
          <w:color w:val="000000" w:themeColor="text1"/>
          <w:sz w:val="16"/>
          <w:szCs w:val="16"/>
        </w:rPr>
        <w:softHyphen/>
        <w:t>ства не только перед танком Т-60, но также и перед танком Т- 70, кото</w:t>
      </w:r>
      <w:r w:rsidRPr="008127F8">
        <w:rPr>
          <w:rFonts w:ascii="Times New Roman" w:hAnsi="Times New Roman"/>
          <w:color w:val="000000" w:themeColor="text1"/>
          <w:sz w:val="16"/>
          <w:szCs w:val="16"/>
        </w:rPr>
        <w:softHyphen/>
        <w:t>рый должен заменить танк Т-60»'.</w:t>
      </w:r>
    </w:p>
    <w:p w14:paraId="2131EDB7"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В отличие от Т-45, который представлял собой глубокую модерни</w:t>
      </w:r>
      <w:r w:rsidRPr="008127F8">
        <w:rPr>
          <w:rFonts w:eastAsia="Calibri"/>
          <w:color w:val="000000" w:themeColor="text1"/>
          <w:sz w:val="16"/>
          <w:szCs w:val="16"/>
        </w:rPr>
        <w:softHyphen/>
        <w:t>зацию Т-60, проект НИИ-48 мало чем походил на своего прародите</w:t>
      </w:r>
      <w:r w:rsidRPr="008127F8">
        <w:rPr>
          <w:rFonts w:eastAsia="Calibri"/>
          <w:color w:val="000000" w:themeColor="text1"/>
          <w:sz w:val="16"/>
          <w:szCs w:val="16"/>
        </w:rPr>
        <w:softHyphen/>
        <w:t>ля. По большому счету, конструкторский коллектив создал не малый танк, а миниатюрную самоходную установку. От Т-60 осталась ходовая часть, двигатель, трансмиссия и надгусеничные полки. Двигатель сме</w:t>
      </w:r>
      <w:r w:rsidRPr="008127F8">
        <w:rPr>
          <w:rFonts w:eastAsia="Calibri"/>
          <w:color w:val="000000" w:themeColor="text1"/>
          <w:sz w:val="16"/>
          <w:szCs w:val="16"/>
        </w:rPr>
        <w:softHyphen/>
        <w:t>стили в корму, установив его по центру моторного отделения. После смещения двигателя назад появилась возможность посадить наводчика плечом к плечу с механиком-водителем. Общая масса танка по проекту составляла 6185 кг, что ниже, чем у Т-60 с утолщенным бронировани</w:t>
      </w:r>
      <w:r w:rsidRPr="008127F8">
        <w:rPr>
          <w:rFonts w:eastAsia="Calibri"/>
          <w:color w:val="000000" w:themeColor="text1"/>
          <w:sz w:val="16"/>
          <w:szCs w:val="16"/>
        </w:rPr>
        <w:softHyphen/>
        <w:t>ем. Уменьшилась и длина — всего 3600 мм (включая пушку).</w:t>
      </w:r>
    </w:p>
    <w:p w14:paraId="13795C1F"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Изюминкой нового танка стал корпус, что и неудивительно, учиты</w:t>
      </w:r>
      <w:r w:rsidRPr="008127F8">
        <w:rPr>
          <w:rFonts w:eastAsia="Calibri"/>
          <w:color w:val="000000" w:themeColor="text1"/>
          <w:sz w:val="16"/>
          <w:szCs w:val="16"/>
        </w:rPr>
        <w:softHyphen/>
        <w:t>вая основное направление деятельности НИИ-48. При его разработке коллектив поставил задачу при минимальном весе и размерах до</w:t>
      </w:r>
      <w:r w:rsidRPr="008127F8">
        <w:rPr>
          <w:rFonts w:eastAsia="Calibri"/>
          <w:color w:val="000000" w:themeColor="text1"/>
          <w:sz w:val="16"/>
          <w:szCs w:val="16"/>
        </w:rPr>
        <w:softHyphen/>
        <w:t>стичь максимальной толщины брони. В случае необходимости авторы предусматривали переделку безбашенного танка в вариант с башней, правда, в таком случае им бы пришлось неминуемо «перетрясти» все внутренние агрегаты. При переделке в танк с башней вставала и другая проблема: длина корпуса, по сравнению с Т-60, сократилась с 3770 до 3320 мм. Куда при этом ставить башню, непонятно. Одним словом, упоминание про переделку в вариант с башней стоит воспринимать скорее как отписку. Кроме того, в документации по танку имеют место некоторые разногласия по размещению ряда узлов. В частности, уста</w:t>
      </w:r>
      <w:r w:rsidRPr="008127F8">
        <w:rPr>
          <w:rFonts w:eastAsia="Calibri"/>
          <w:color w:val="000000" w:themeColor="text1"/>
          <w:sz w:val="16"/>
          <w:szCs w:val="16"/>
        </w:rPr>
        <w:softHyphen/>
        <w:t>новка ленивцев выполнена крайне схематично.</w:t>
      </w:r>
    </w:p>
    <w:p w14:paraId="31CFBBF9"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Отдельного описания достойно вооружение танка. Согласно приведенному описанию, на танке устанавливалась 45-мм пуш</w:t>
      </w:r>
      <w:r w:rsidRPr="008127F8">
        <w:rPr>
          <w:rFonts w:eastAsia="Calibri"/>
          <w:color w:val="000000" w:themeColor="text1"/>
          <w:sz w:val="16"/>
          <w:szCs w:val="16"/>
        </w:rPr>
        <w:softHyphen/>
        <w:t>ка и спаренный с ней пулемет. Орудийная установка крепилась на раме, это решение позже будет характерным решением для всех со</w:t>
      </w:r>
      <w:r w:rsidRPr="008127F8">
        <w:rPr>
          <w:rFonts w:eastAsia="Calibri"/>
          <w:color w:val="000000" w:themeColor="text1"/>
          <w:sz w:val="16"/>
          <w:szCs w:val="16"/>
        </w:rPr>
        <w:softHyphen/>
        <w:t>ветских САУ военного периода с закрытой рубкой. Прикрывалась орудийная установка маской шаровидной формы, способствующей рикошету, толщина ее составляла внушительные 70 мм. Обслуживал пушку наводчик, он же командир. Для ускорения перезарядки спра</w:t>
      </w:r>
      <w:r w:rsidRPr="008127F8">
        <w:rPr>
          <w:rFonts w:eastAsia="Calibri"/>
          <w:color w:val="000000" w:themeColor="text1"/>
          <w:sz w:val="16"/>
          <w:szCs w:val="16"/>
        </w:rPr>
        <w:softHyphen/>
        <w:t>ва от пушки крепилась укладка барабанного типа, рассчитанная на 6 выстрелов.</w:t>
      </w:r>
    </w:p>
    <w:p w14:paraId="096B0777"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Надо сказать, что прилагаемая документация ясности в вопрос установки пулемета не вносит. Судя по чертежам, в орудийной уста</w:t>
      </w:r>
      <w:r w:rsidRPr="008127F8">
        <w:rPr>
          <w:rFonts w:eastAsia="Calibri"/>
          <w:color w:val="000000" w:themeColor="text1"/>
          <w:sz w:val="16"/>
          <w:szCs w:val="16"/>
        </w:rPr>
        <w:softHyphen/>
        <w:t>новке нашлось место лишь пушке и прицелу к ней, пулемет же здесь явно не поместится. Что же касается пулемета, то он, судя по про</w:t>
      </w:r>
      <w:r w:rsidRPr="008127F8">
        <w:rPr>
          <w:rFonts w:eastAsia="Calibri"/>
          <w:color w:val="000000" w:themeColor="text1"/>
          <w:sz w:val="16"/>
          <w:szCs w:val="16"/>
        </w:rPr>
        <w:softHyphen/>
        <w:t>дольному разрезу, устанавливался в шаровой установке по центру лобового листа корпуса. Этой установки нет на других схемах в доку</w:t>
      </w:r>
      <w:r w:rsidRPr="008127F8">
        <w:rPr>
          <w:rFonts w:eastAsia="Calibri"/>
          <w:color w:val="000000" w:themeColor="text1"/>
          <w:sz w:val="16"/>
          <w:szCs w:val="16"/>
        </w:rPr>
        <w:softHyphen/>
        <w:t>ментации, но она является единственным разумным вариантом раз</w:t>
      </w:r>
      <w:r w:rsidRPr="008127F8">
        <w:rPr>
          <w:rFonts w:eastAsia="Calibri"/>
          <w:color w:val="000000" w:themeColor="text1"/>
          <w:sz w:val="16"/>
          <w:szCs w:val="16"/>
        </w:rPr>
        <w:softHyphen/>
        <w:t>мещения пулемета.</w:t>
      </w:r>
    </w:p>
    <w:p w14:paraId="6A0A290F"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Военных проект НИИ-48 не впечатлил. Идея заменить боевой ма</w:t>
      </w:r>
      <w:r w:rsidRPr="008127F8">
        <w:rPr>
          <w:rFonts w:eastAsia="Calibri"/>
          <w:color w:val="000000" w:themeColor="text1"/>
          <w:sz w:val="16"/>
          <w:szCs w:val="16"/>
        </w:rPr>
        <w:softHyphen/>
        <w:t>шиной без вращающейся башни Т-60 и тем более Т-70 была ошибоч</w:t>
      </w:r>
      <w:r w:rsidRPr="008127F8">
        <w:rPr>
          <w:rFonts w:eastAsia="Calibri"/>
          <w:color w:val="000000" w:themeColor="text1"/>
          <w:sz w:val="16"/>
          <w:szCs w:val="16"/>
        </w:rPr>
        <w:softHyphen/>
        <w:t>ной с самого начала. Предложи НИИ-48 свой проект в качестве легкой самоходной установки, возможно, дело могло дойти до опытного об</w:t>
      </w:r>
      <w:r w:rsidRPr="008127F8">
        <w:rPr>
          <w:rFonts w:eastAsia="Calibri"/>
          <w:color w:val="000000" w:themeColor="text1"/>
          <w:sz w:val="16"/>
          <w:szCs w:val="16"/>
        </w:rPr>
        <w:softHyphen/>
        <w:t>разца, но в случае с «танкистами» инициатива оказалась обречена на провал. 4 июня 1942 года руководство ГАБТУ КА утвердило заключе</w:t>
      </w:r>
      <w:r w:rsidRPr="008127F8">
        <w:rPr>
          <w:rFonts w:eastAsia="Calibri"/>
          <w:color w:val="000000" w:themeColor="text1"/>
          <w:sz w:val="16"/>
          <w:szCs w:val="16"/>
        </w:rPr>
        <w:softHyphen/>
        <w:t>ние «по пояснительной записке проекта нового безбашенного танка, спроектированного НИИ-48»:</w:t>
      </w:r>
    </w:p>
    <w:p w14:paraId="22D61392" w14:textId="77777777" w:rsidR="007C5583" w:rsidRPr="008127F8" w:rsidRDefault="007C5583" w:rsidP="007C5583">
      <w:pPr>
        <w:pStyle w:val="af"/>
        <w:spacing w:before="0" w:after="0"/>
        <w:jc w:val="both"/>
        <w:rPr>
          <w:color w:val="000000" w:themeColor="text1"/>
          <w:sz w:val="16"/>
          <w:szCs w:val="16"/>
        </w:rPr>
      </w:pPr>
      <w:r w:rsidRPr="008127F8">
        <w:rPr>
          <w:color w:val="000000" w:themeColor="text1"/>
          <w:sz w:val="16"/>
          <w:szCs w:val="16"/>
        </w:rPr>
        <w:t>«Предусмотренные проектом преимущества безбашенного танка, в сравнении с танком Т-60 и Т-70, не оправдываются следующими пока</w:t>
      </w:r>
      <w:r w:rsidRPr="008127F8">
        <w:rPr>
          <w:color w:val="000000" w:themeColor="text1"/>
          <w:sz w:val="16"/>
          <w:szCs w:val="16"/>
        </w:rPr>
        <w:softHyphen/>
        <w:t>зателями:</w:t>
      </w:r>
    </w:p>
    <w:p w14:paraId="09B989D4" w14:textId="77777777" w:rsidR="007C5583" w:rsidRPr="008127F8" w:rsidRDefault="007C5583" w:rsidP="007C5583">
      <w:pPr>
        <w:tabs>
          <w:tab w:val="left" w:pos="562"/>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Сектор обстрела пушки 30° снижает огневую маневренность танка и лишает возможности маневрирования танка в зависимости от мест</w:t>
      </w:r>
      <w:r w:rsidRPr="008127F8">
        <w:rPr>
          <w:rFonts w:ascii="Times New Roman" w:hAnsi="Times New Roman"/>
          <w:color w:val="000000" w:themeColor="text1"/>
          <w:sz w:val="16"/>
          <w:szCs w:val="16"/>
        </w:rPr>
        <w:softHyphen/>
        <w:t>ности (танк будет вынужден двигаться только в направлениях целей по</w:t>
      </w:r>
      <w:r w:rsidRPr="008127F8">
        <w:rPr>
          <w:rFonts w:ascii="Times New Roman" w:hAnsi="Times New Roman"/>
          <w:color w:val="000000" w:themeColor="text1"/>
          <w:sz w:val="16"/>
          <w:szCs w:val="16"/>
        </w:rPr>
        <w:softHyphen/>
        <w:t>ражения, направления же не всегда будут проходимы для танка).</w:t>
      </w:r>
    </w:p>
    <w:p w14:paraId="2DE94FE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Предусмотренная высота боевого отделения 1100 мм позволяет ко</w:t>
      </w:r>
      <w:r w:rsidRPr="008127F8">
        <w:rPr>
          <w:rFonts w:ascii="Times New Roman" w:hAnsi="Times New Roman"/>
          <w:color w:val="000000" w:themeColor="text1"/>
          <w:sz w:val="16"/>
          <w:szCs w:val="16"/>
        </w:rPr>
        <w:softHyphen/>
        <w:t>мандиру танка вести огонь только в положении сидя, что приводит к бы строи утомляемости и снижает темп стрельбы, а также устойчивость его огневой платформы.</w:t>
      </w:r>
    </w:p>
    <w:p w14:paraId="6AABFCA1" w14:textId="77777777" w:rsidR="007C5583" w:rsidRPr="008127F8" w:rsidRDefault="007C5583" w:rsidP="007C5583">
      <w:pPr>
        <w:tabs>
          <w:tab w:val="left" w:pos="567"/>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Размещение вооружения в передней части танка на сравнительно большом расстоянии от центра тяжести танка снижает устойчивость его огневой платформы.</w:t>
      </w:r>
    </w:p>
    <w:p w14:paraId="63079BE8" w14:textId="77777777" w:rsidR="007C5583" w:rsidRPr="008127F8" w:rsidRDefault="007C5583" w:rsidP="007C5583">
      <w:pPr>
        <w:tabs>
          <w:tab w:val="left" w:pos="591"/>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Предусмотренное бронирование безбашенного танка по снарядо- стойкости не будет отличаться от танка Т-70 с утолщенными бортами до 35мм.</w:t>
      </w:r>
    </w:p>
    <w:p w14:paraId="35F4F0F1" w14:textId="77777777" w:rsidR="007C5583" w:rsidRPr="008127F8" w:rsidRDefault="007C5583" w:rsidP="007C5583">
      <w:pPr>
        <w:tabs>
          <w:tab w:val="left" w:pos="529"/>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Динамические и эксплуатационные показатели безбашенного танка равны танку Т-60 и ниже, чем у танка Т- 70.</w:t>
      </w:r>
    </w:p>
    <w:p w14:paraId="10CC2957" w14:textId="77777777" w:rsidR="007C5583" w:rsidRPr="008127F8" w:rsidRDefault="007C5583" w:rsidP="007C5583">
      <w:pPr>
        <w:tabs>
          <w:tab w:val="left" w:pos="51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Компоновка силовых установок меняется по сравнению с танком Т-60, а системы охлаждения и питания двигателя меняются конструктивно.</w:t>
      </w:r>
    </w:p>
    <w:p w14:paraId="035AB5A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Снижение веса в 300 кг против веса танка Т-60 и на 3000 кг против веса танка Т- 70 не дает преимущества в сравнении с танком Т- 70. Из</w:t>
      </w:r>
      <w:r w:rsidRPr="008127F8">
        <w:rPr>
          <w:rFonts w:ascii="Times New Roman" w:hAnsi="Times New Roman"/>
          <w:color w:val="000000" w:themeColor="text1"/>
          <w:sz w:val="16"/>
          <w:szCs w:val="16"/>
        </w:rPr>
        <w:softHyphen/>
        <w:t>готовление корпуса танка Т- 70 не представляет сложности в производ</w:t>
      </w:r>
      <w:r w:rsidRPr="008127F8">
        <w:rPr>
          <w:rFonts w:ascii="Times New Roman" w:hAnsi="Times New Roman"/>
          <w:color w:val="000000" w:themeColor="text1"/>
          <w:sz w:val="16"/>
          <w:szCs w:val="16"/>
        </w:rPr>
        <w:softHyphen/>
        <w:t>стве и не требует станочного оборудования, кроме изготовления погонов, так как все бронедетали плоскодонные, за исключением крышек люков, которые также имеются в предполагаемом танке. Бронедетали танка Т-70 механической обработке не подвергаются.</w:t>
      </w:r>
    </w:p>
    <w:p w14:paraId="49F70F8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Предлагаемый НИИ-48 безбашенный танк строить вместо танков Т-60 и Т-70 нецелесообразно» (17485).</w:t>
      </w:r>
    </w:p>
    <w:p w14:paraId="261C45D4" w14:textId="77777777" w:rsidR="007C5583" w:rsidRPr="008127F8" w:rsidRDefault="007C5583" w:rsidP="007C5583">
      <w:pPr>
        <w:pStyle w:val="af"/>
        <w:spacing w:before="0" w:after="0"/>
        <w:jc w:val="both"/>
        <w:rPr>
          <w:color w:val="000000" w:themeColor="text1"/>
          <w:sz w:val="16"/>
          <w:szCs w:val="16"/>
        </w:rPr>
      </w:pPr>
    </w:p>
    <w:p w14:paraId="25AF92E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мая 1942 вышло Постановление ГКО № 1719 О передаче завода "Аэрогеоприбор" Главного управления геодезии и картографии при СНК СССР в систему Наркомвооружения. (7034, 95).</w:t>
      </w:r>
    </w:p>
    <w:p w14:paraId="5BA4A82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D3A5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106ED4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DF411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мая в 1942 году утреннее сообщение Совинформбюро:</w:t>
      </w:r>
    </w:p>
    <w:p w14:paraId="3DCFB4D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9 мая на фронте чего-либо существенного не произошло.</w:t>
      </w:r>
    </w:p>
    <w:p w14:paraId="645A690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участке Западного фронта, за два дня боевых действий уничтожили до 700 солдат и офицеров противника. На другом участке фронта гитлеровцы предприняли контратаку, стремясь вернуть утерянные ими рубежи. Наши бойцы отбили эту контратаку с тяжёлыми для противника потерями. Немцы потеряли убитыми и ранеными более 400 солдат и офицеров.</w:t>
      </w:r>
    </w:p>
    <w:p w14:paraId="7B7B730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участке Калининского фронта пехота противника, поддержанная 20 танками, пыталась прорваться в расположение советских войск. Под огнём наших бойцов враг вынужден был отступить. Уничтожено 4 немецких танка и более 100 гитлеровцев. В этом бою особенно отличилась артиллерийская батарея, которой командует старший лейтенант Арестов. Огнём своих орудий артиллеристы уничтожили 2 немецких танка.</w:t>
      </w:r>
    </w:p>
    <w:p w14:paraId="49F9A73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Танковый экипаж в составе младшего лейтенанта Гмирянского, механика-водителя Петрякова, пулемётчика Кучерявого и башенного стрелка Павлова за пять дней боёв уничтожил 2 немецких танка, 7 противотанковых пушек и до 150 гитлеровцев.</w:t>
      </w:r>
    </w:p>
    <w:p w14:paraId="098FEB2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 тов. Гальчук за два месяца уничтожил 72 гитлеровца. Меткий стрелок обучил снайперскому искусству несколько красноармейцев своего подразделения. Егоученики — тов. Шулепов уничтожил 63 немца и тов. Скорик— 38 немцев.</w:t>
      </w:r>
    </w:p>
    <w:p w14:paraId="713DF82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районе пункта В. большая группа немецких солдат предприняла попытку перейти на нашу сторону. По солдатам, бежавшим к нашим окопам, гитлеровцы открыли пулемётный огонь. Три человека были убиты, а остальным удалось перейти на нашу сторону. Пришедшие добровольно в плен немецкие солдаты заявили командиру нашей части, что они предпочли с риском для жизни перейти к русским, чем воевать за Гитлера и его клику, которая втянула немецкий народ в кровавую и безнадежную авантюру.</w:t>
      </w:r>
    </w:p>
    <w:p w14:paraId="71661C6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одном из районов Ленинградской области, оккупированных немцами, четыре партизанских отряда одновременно напали на немецкие гарнизоны, расположенные в двух соседних деревнях. Партизаны уничтожили 420 немецких солдат и офицеров, взорвали склад с горючим и два склада с боеприпасами.</w:t>
      </w:r>
    </w:p>
    <w:p w14:paraId="755D723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обер-ефрейтор Иозеф Тайнике писал недавно солдату Бертольду: «Мы все ошиблись в оценке русских. Они воюют хорошо и стреляют метко. Особенно нас изводит и мучит артиллерийский огонь.</w:t>
      </w:r>
    </w:p>
    <w:p w14:paraId="1CF3821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Мы переживаем очень тяжёлые дни. Сколько их ещё будет впереди?.. Опять очень много наших товарищей пало. В последнем бою мы потеряли ещё 12 солдат. К черту любые награды, только бы сохранить жизнь. На всё остальное мне наплевать. Думаю,что и у тебя такое же мнение».</w:t>
      </w:r>
    </w:p>
    <w:p w14:paraId="44D3A68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Солдат полицейской дивизии «СС» Николаус Григориус писал в середине апреля Эммануилу Шварцу: «Очень немного наших товарищей уцелело. Из 10.000 человек осталось всего несколько сот солдат. Счастливцем будет тот, кто вернётся из этой страны здоровым и невредимым домой. Вы писали, что Пауль ранен. Тем, кто получает «выстрел на родину», можно только позавидовать. Здесь у нас оттепель. Живём в болотистой местности в палатках и не имеем покоя ни днем, ни ночью. Когда же мы избавимся от всех этих несчастий?».</w:t>
      </w:r>
    </w:p>
    <w:p w14:paraId="06A80C3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Гитлеровцы обрекли народы оккупированных ими стран на голод и вымирание. Выходящая в Брюсселе газета «Нуво журналь» пишет, что «каждый месяц число туберкулёзных детей в Бельгии увеличивается на 2.000. В настоящее время в Бельгии 200.000 детей находятся под угрозой смерти». Эти данные, приведённые газетой, выходящей под контролем немцев, явно преуменьшены и лишь в малой степени отражают страдания бельгийского народа, изнывающего под игом фашистских оккупантов.» (14886).</w:t>
      </w:r>
    </w:p>
    <w:p w14:paraId="77E87F6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D6C76D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мая в 1942 году вечернее сообщение Совинформбюро:</w:t>
      </w:r>
    </w:p>
    <w:p w14:paraId="35173F6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9 мая на фронте существенных изменений не произошло.</w:t>
      </w:r>
    </w:p>
    <w:p w14:paraId="57E8994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8 мая уничтожен 71 немецкий самолёт. Наши потери — 26 самолётов.</w:t>
      </w:r>
    </w:p>
    <w:p w14:paraId="114D157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8 мая частями нашей авиации уничтожено и повреждено 6 немецких танков, 85 автомашин с войсками и грузами, 10 подвод с боеприпасами, 10 полевых и зенитных орудий, 5 зенитно-пулемётных точек, 4 миномёта, разбито 27 железнодорожныхвагонов, потоплен катер, взорвано 2 склада с боеприпасами и склад с горючим, рассеяно и частью уничтожено до батальона пехоты противника.</w:t>
      </w:r>
    </w:p>
    <w:p w14:paraId="553DDD9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Северо-Западного фронта, наносят врагу большой ущерб в живой силе и технике. Подразделение, где командиром тов. Андреев, за один день боевых действий уничтожило 450 немецких солдат и офицеров. У противника захвачено 25 миномётов, 31 пулемёт, 36 автоматов, 1.500 мин и другие боеприпасы. На другом участке фронта наши части блокировали 3 населённых пункта. Попытка гитлеровцев контратаковать наши войска потерпела неудачу. За два дня боёв на этом участке враг потерял только убитыми 1.200 человек.</w:t>
      </w:r>
    </w:p>
    <w:p w14:paraId="416B7FE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Два наших разведывательных подразделения на одном из участков Южного фронта уничтожили до 200 солдат и офицеров противника. На другом участке наша часть стремительным броском ворвалась в населённый пункт М. и, закрепившись на окраине, ведёт с врагом уличные бои.</w:t>
      </w:r>
    </w:p>
    <w:p w14:paraId="5417107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Снайперы наших частей, обороняющие Севастополь, за 7 мая уничтожили 97 солдат и офицеров противника.</w:t>
      </w:r>
    </w:p>
    <w:p w14:paraId="13DFAAF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санитар 7 роты 10 мотополка 9 немецкой танковой дивизии Леопольд Гельцль рассказал: «В марте я выехал из Вены на советско-германский фронт. Вена, бывшая когда-то очень крупным культурным центром, теперь стала мёртвым городом. Все скорбят об убитых сыновьях, братьях и мужьях. Из дома, где я жил, в армию было призвано 28 человек. 7 из них уже убиты в России. Многие ранены. Одна женщина из соседнего дома, у которой на франте погибли два сына, сошла с ума. Другая женщина из того же дома, потерявшая единственного сына, бегала по улицам Вены и кричала: «Гитлер убил моего сына!» Её арестовали, и с тех пор она бесследно исчезла. Школы, театры и многие другие общественные здания в Вене превращены в лазареты и переполнены ранеными. Самыми различными способами выражает австрийский народ свою ненависть к гитлеровскому режиму. На расклеенных по городу фашистских плакатах можно часто видеть надписи, сделанные карандашом: «Долой войну!», «Гитлер навязал нам войну!» Зимой почти одновременно произошли взрывы на военных заводах во Флоридсдорфе и в Зиммеринге. Гестапо произвело массовые аресты. Многие из арестованных были казнены».</w:t>
      </w:r>
    </w:p>
    <w:p w14:paraId="06AF1B6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Учительница Ольга Логвиновна Коваленко и работница артели Екатерина Григорьевна Бондаренко, пробравшиеся с территории, занятой немцами, в расположение наших войск, рассказывают: «Как только немецкие захватчики ворвались в город Артёмовск, они устроили повальные грабежи. Гитлеровцы отбирали у жителей буквально всё, что им попадалось на глаза. Вскоре появились пришвы и распоряжения. Первое распоряжение оккупантов обязывало население сдать все продукты питания. Затеи последовали приказы о сдаче тёплой одежды, ценных вещей, ручных и карманных часов, репродукторов. Немецко-фашистские злодеи истребляют мирных жителей, расстреливают и вешают тысячи советских граждан. В течение одного дня на реке Луганке было расстреляно свыше 1.000 человек. Особенно гитлеровцы издеваются над пленными красноармейцами. В лагере от голода и пыток умирает много пленных».</w:t>
      </w:r>
    </w:p>
    <w:p w14:paraId="06BBFFF0" w14:textId="77777777" w:rsidR="007C5583" w:rsidRPr="008127F8" w:rsidRDefault="007C5583" w:rsidP="007C5583">
      <w:pPr>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rPr>
        <w:t xml:space="preserve">В ночь на 6 мая партизаны Югославии атаковали укреплённый пункт итальянской альпийской дивизии. Стремительным ударом были захвачены вражеские окопы. Действуя штыками и ручными гранатами, партизаны убили 150 оккупантов. Много итальянских солдат ранено. Партизанами захвачены миномёты, ручные пулемёты, гранаты, винтовки и много амуниции.» </w:t>
      </w:r>
      <w:r w:rsidRPr="008127F8">
        <w:rPr>
          <w:rFonts w:ascii="Times New Roman" w:hAnsi="Times New Roman"/>
          <w:color w:val="000000" w:themeColor="text1"/>
          <w:sz w:val="16"/>
          <w:szCs w:val="16"/>
          <w:lang w:val="en-US"/>
        </w:rPr>
        <w:t>(14886).</w:t>
      </w:r>
    </w:p>
    <w:p w14:paraId="75565DC5" w14:textId="77777777" w:rsidR="007C5583" w:rsidRPr="008127F8" w:rsidRDefault="007C5583" w:rsidP="007C5583">
      <w:pPr>
        <w:spacing w:after="0" w:line="240" w:lineRule="auto"/>
        <w:jc w:val="both"/>
        <w:rPr>
          <w:rFonts w:ascii="Times New Roman" w:hAnsi="Times New Roman"/>
          <w:color w:val="000000" w:themeColor="text1"/>
          <w:sz w:val="16"/>
          <w:szCs w:val="16"/>
          <w:lang w:val="en-US"/>
        </w:rPr>
      </w:pPr>
    </w:p>
    <w:p w14:paraId="0D5848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May 9th, 1942: In the East, the Red Army launches a counter-offensive toward Charkov (3819).</w:t>
      </w:r>
    </w:p>
    <w:p w14:paraId="0EE6F7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DC1CB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мая 1942 КА начала контрнаступление на Харьков (3819).</w:t>
      </w:r>
    </w:p>
    <w:p w14:paraId="1EA466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0534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мая 1942, за трое суток до начала Харьковской наступательной операции 35 самолетов АДД нанесли удар по железнодорожному УЗЛУ Харьков, отличавшемуся активным движением эшелонов противника по направлению к фронту. Следующей ночью эта задача выполнялась экипажами 3-й. 17-и и 21-й авиадивизий.АДД. Их действия были поддержаны мощным ударом тяжелых бомбардировщиков 746-го и 747-го отдельных авиаполков АДД (9394,16).</w:t>
      </w:r>
    </w:p>
    <w:p w14:paraId="76BAF6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8C7FB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мая 1942 вышло Постановление ГКО № 1714 О подготовке шоферов для Красной Армии в 1942 г. РГАНИР, Фонд ГКО, д. 34, лл. 51 (11012).</w:t>
      </w:r>
    </w:p>
    <w:p w14:paraId="120CCB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D597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103109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484C8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мая 1942 в газете “Правда” впервые ледовый путь в блокадный Ленинград назван “Дорогой жизни” (4962).</w:t>
      </w:r>
    </w:p>
    <w:p w14:paraId="24ABA20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7353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8127F8">
        <w:rPr>
          <w:rFonts w:ascii="Times New Roman" w:hAnsi="Times New Roman"/>
          <w:i/>
          <w:iCs/>
          <w:color w:val="000000" w:themeColor="text1"/>
          <w:sz w:val="16"/>
          <w:szCs w:val="16"/>
        </w:rPr>
        <w:t>Внешняя политика:</w:t>
      </w:r>
    </w:p>
    <w:p w14:paraId="4E4EFD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4762B30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мая 1942 на аэродром в Раменском прибыла техническая комиссия во главе с главным инженером АДД генералом инженерной службы Иваном Васильевичем Марковым. Корабль ТБ-7 №42066 и все его четыре мотора подвергли самому придирчи</w:t>
      </w:r>
      <w:r w:rsidRPr="008127F8">
        <w:rPr>
          <w:rFonts w:ascii="Times New Roman" w:hAnsi="Times New Roman"/>
          <w:color w:val="000000" w:themeColor="text1"/>
          <w:sz w:val="16"/>
          <w:szCs w:val="16"/>
        </w:rPr>
        <w:softHyphen/>
        <w:t>вому и кропотливому осмотру. Вечером по воспоминаниям Э.К. Пусэпа он хотел осмотреть корабль, но его не пустил к нему охранявший человек в штатском. Вскоре недоразумение было улажено, однако такие меры предосторожности заставили заду</w:t>
      </w:r>
      <w:r w:rsidRPr="008127F8">
        <w:rPr>
          <w:rFonts w:ascii="Times New Roman" w:hAnsi="Times New Roman"/>
          <w:color w:val="000000" w:themeColor="text1"/>
          <w:sz w:val="16"/>
          <w:szCs w:val="16"/>
        </w:rPr>
        <w:softHyphen/>
        <w:t>маться о том, кем же будут пассажиры, кото</w:t>
      </w:r>
      <w:r w:rsidRPr="008127F8">
        <w:rPr>
          <w:rFonts w:ascii="Times New Roman" w:hAnsi="Times New Roman"/>
          <w:color w:val="000000" w:themeColor="text1"/>
          <w:sz w:val="16"/>
          <w:szCs w:val="16"/>
        </w:rPr>
        <w:softHyphen/>
        <w:t>рые полетят с ними в Англию. До 19 мая на маршруте стояла плохая погода и вылет постоянно откладывали. И лишь с получени</w:t>
      </w:r>
      <w:r w:rsidRPr="008127F8">
        <w:rPr>
          <w:rFonts w:ascii="Times New Roman" w:hAnsi="Times New Roman"/>
          <w:color w:val="000000" w:themeColor="text1"/>
          <w:sz w:val="16"/>
          <w:szCs w:val="16"/>
        </w:rPr>
        <w:softHyphen/>
        <w:t>ем благоприятного прогноза полет назначи</w:t>
      </w:r>
      <w:r w:rsidRPr="008127F8">
        <w:rPr>
          <w:rFonts w:ascii="Times New Roman" w:hAnsi="Times New Roman"/>
          <w:color w:val="000000" w:themeColor="text1"/>
          <w:sz w:val="16"/>
          <w:szCs w:val="16"/>
        </w:rPr>
        <w:softHyphen/>
        <w:t>ли на 19 мая (19936).</w:t>
      </w:r>
    </w:p>
    <w:p w14:paraId="307A664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2B2E3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03CC7F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5590ED"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мая 1942 американский авианосец ''Уосп'' и английский ''Игл'' перебросили на остров Мальту 61 истребитель (4963 ).</w:t>
      </w:r>
    </w:p>
    <w:p w14:paraId="08A5B36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E0786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мая 1942 авианосец ВМС США USS Wasp (CV-7) и британский авианосец HMS Eagle направляют на Мальту массивное подкрепление из 60 Supermarine Spitfire (29793).</w:t>
      </w:r>
    </w:p>
    <w:p w14:paraId="5978805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EE0001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мая 1942 начальник штаба армии США генерал Джордж К. Маршалл предлагает создание организации в армии ВВС США аналогичной Royal Air Force Coastal Command. Его предложение в конечном итоге приведет к созданию противолодочного командования ВВС сухопутных войск (20793).</w:t>
      </w:r>
    </w:p>
    <w:p w14:paraId="7270499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8C3505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мая в 1942 году МИД Германии Риббентроп во время встречи с послом Японии Осимой отметил, что основой экономических отношений между Германией и Японией должен стать тройственный пакт, предусматривающий создание «двух основных политических сфер» - германской в Европе, на Ближнем Востоке и в Африке и японской – в Восточной Азии (14886).</w:t>
      </w:r>
    </w:p>
    <w:p w14:paraId="57EED00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FAFB1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23399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9461D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мая 1942 Главный инженер ВВС генерал А.И.Репин утвердил результаты проходивших в марте 1942 г. в НИИ ВВС КА испы</w:t>
      </w:r>
      <w:r w:rsidRPr="008127F8">
        <w:rPr>
          <w:rFonts w:ascii="Times New Roman" w:hAnsi="Times New Roman"/>
          <w:color w:val="000000" w:themeColor="text1"/>
          <w:sz w:val="16"/>
          <w:szCs w:val="16"/>
        </w:rPr>
        <w:softHyphen/>
        <w:t>тыний серийных одноместных штур</w:t>
      </w:r>
      <w:r w:rsidRPr="008127F8">
        <w:rPr>
          <w:rFonts w:ascii="Times New Roman" w:hAnsi="Times New Roman"/>
          <w:color w:val="000000" w:themeColor="text1"/>
          <w:sz w:val="16"/>
          <w:szCs w:val="16"/>
        </w:rPr>
        <w:softHyphen/>
      </w:r>
      <w:r w:rsidRPr="008127F8">
        <w:rPr>
          <w:rFonts w:ascii="Times New Roman" w:hAnsi="Times New Roman"/>
          <w:color w:val="000000" w:themeColor="text1"/>
          <w:sz w:val="16"/>
          <w:szCs w:val="16"/>
        </w:rPr>
        <w:lastRenderedPageBreak/>
        <w:t>мовиков Ил-2 с мотором АМ-38 произ</w:t>
      </w:r>
      <w:r w:rsidRPr="008127F8">
        <w:rPr>
          <w:rFonts w:ascii="Times New Roman" w:hAnsi="Times New Roman"/>
          <w:color w:val="000000" w:themeColor="text1"/>
          <w:sz w:val="16"/>
          <w:szCs w:val="16"/>
        </w:rPr>
        <w:softHyphen/>
        <w:t>водства заводов №№ 1 (зав. № 2611) и 18 (зав. № 181904) с внесенными в их конструкцию изменениями, в соответ</w:t>
      </w:r>
      <w:r w:rsidRPr="008127F8">
        <w:rPr>
          <w:rFonts w:ascii="Times New Roman" w:hAnsi="Times New Roman"/>
          <w:color w:val="000000" w:themeColor="text1"/>
          <w:sz w:val="16"/>
          <w:szCs w:val="16"/>
        </w:rPr>
        <w:softHyphen/>
        <w:t>ствии с пожеланиями и требованиями летного и технического составов строе</w:t>
      </w:r>
      <w:r w:rsidRPr="008127F8">
        <w:rPr>
          <w:rFonts w:ascii="Times New Roman" w:hAnsi="Times New Roman"/>
          <w:color w:val="000000" w:themeColor="text1"/>
          <w:sz w:val="16"/>
          <w:szCs w:val="16"/>
        </w:rPr>
        <w:softHyphen/>
        <w:t>вых частей. Ответственные исполните</w:t>
      </w:r>
      <w:r w:rsidRPr="008127F8">
        <w:rPr>
          <w:rFonts w:ascii="Times New Roman" w:hAnsi="Times New Roman"/>
          <w:color w:val="000000" w:themeColor="text1"/>
          <w:sz w:val="16"/>
          <w:szCs w:val="16"/>
        </w:rPr>
        <w:softHyphen/>
        <w:t>ли: начальник 5-го отделения п-п-к К.А. Калилец, м-р В.С.Холопов и ведущий летчик-испытатель м-р А.К.Долгов. Акт по результатам государственных испы</w:t>
      </w:r>
      <w:r w:rsidRPr="008127F8">
        <w:rPr>
          <w:rFonts w:ascii="Times New Roman" w:hAnsi="Times New Roman"/>
          <w:color w:val="000000" w:themeColor="text1"/>
          <w:sz w:val="16"/>
          <w:szCs w:val="16"/>
        </w:rPr>
        <w:softHyphen/>
        <w:t>таний (6467).</w:t>
      </w:r>
    </w:p>
    <w:p w14:paraId="377A8AF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Ил-2 завода № 1 отличался от самолета производства завода № 18 следующими изменениями: установле</w:t>
      </w:r>
      <w:r w:rsidRPr="008127F8">
        <w:rPr>
          <w:rFonts w:ascii="Times New Roman" w:hAnsi="Times New Roman"/>
          <w:color w:val="000000" w:themeColor="text1"/>
          <w:sz w:val="16"/>
          <w:szCs w:val="16"/>
        </w:rPr>
        <w:softHyphen/>
        <w:t>но крыло смешанной конструкции (ме</w:t>
      </w:r>
      <w:r w:rsidRPr="008127F8">
        <w:rPr>
          <w:rFonts w:ascii="Times New Roman" w:hAnsi="Times New Roman"/>
          <w:color w:val="000000" w:themeColor="text1"/>
          <w:sz w:val="16"/>
          <w:szCs w:val="16"/>
        </w:rPr>
        <w:softHyphen/>
        <w:t>таллические лонжероны, фанерная об</w:t>
      </w:r>
      <w:r w:rsidRPr="008127F8">
        <w:rPr>
          <w:rFonts w:ascii="Times New Roman" w:hAnsi="Times New Roman"/>
          <w:color w:val="000000" w:themeColor="text1"/>
          <w:sz w:val="16"/>
          <w:szCs w:val="16"/>
        </w:rPr>
        <w:softHyphen/>
        <w:t>шивка); обшивка элеронов вместо ме</w:t>
      </w:r>
      <w:r w:rsidRPr="008127F8">
        <w:rPr>
          <w:rFonts w:ascii="Times New Roman" w:hAnsi="Times New Roman"/>
          <w:color w:val="000000" w:themeColor="text1"/>
          <w:sz w:val="16"/>
          <w:szCs w:val="16"/>
        </w:rPr>
        <w:softHyphen/>
        <w:t>таллической выполнена из полотна; сде</w:t>
      </w:r>
      <w:r w:rsidRPr="008127F8">
        <w:rPr>
          <w:rFonts w:ascii="Times New Roman" w:hAnsi="Times New Roman"/>
          <w:color w:val="000000" w:themeColor="text1"/>
          <w:sz w:val="16"/>
          <w:szCs w:val="16"/>
        </w:rPr>
        <w:softHyphen/>
        <w:t>ланы отдельные выхлопные патрубки на каждые два цилиндра.</w:t>
      </w:r>
    </w:p>
    <w:p w14:paraId="7331E3F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пустого самолета 1 -го авиазаво</w:t>
      </w:r>
      <w:r w:rsidRPr="008127F8">
        <w:rPr>
          <w:rFonts w:ascii="Times New Roman" w:hAnsi="Times New Roman"/>
          <w:color w:val="000000" w:themeColor="text1"/>
          <w:sz w:val="16"/>
          <w:szCs w:val="16"/>
        </w:rPr>
        <w:softHyphen/>
        <w:t>да составил 4208 кг против 4158 кг у Ил-2 производства завода № 18.</w:t>
      </w:r>
    </w:p>
    <w:p w14:paraId="5C04854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отличие от ранее выпускавшихся Ил-2, оба самолета имели усиленное, с учетом опыта боевого применения, бро</w:t>
      </w:r>
      <w:r w:rsidRPr="008127F8">
        <w:rPr>
          <w:rFonts w:ascii="Times New Roman" w:hAnsi="Times New Roman"/>
          <w:color w:val="000000" w:themeColor="text1"/>
          <w:sz w:val="16"/>
          <w:szCs w:val="16"/>
        </w:rPr>
        <w:softHyphen/>
        <w:t>нирование жизненно важных частей са</w:t>
      </w:r>
      <w:r w:rsidRPr="008127F8">
        <w:rPr>
          <w:rFonts w:ascii="Times New Roman" w:hAnsi="Times New Roman"/>
          <w:color w:val="000000" w:themeColor="text1"/>
          <w:sz w:val="16"/>
          <w:szCs w:val="16"/>
        </w:rPr>
        <w:softHyphen/>
        <w:t>молета. Дополнительно были установ</w:t>
      </w:r>
      <w:r w:rsidRPr="008127F8">
        <w:rPr>
          <w:rFonts w:ascii="Times New Roman" w:hAnsi="Times New Roman"/>
          <w:color w:val="000000" w:themeColor="text1"/>
          <w:sz w:val="16"/>
          <w:szCs w:val="16"/>
        </w:rPr>
        <w:softHyphen/>
        <w:t>лены: бронеплита сверху заднего бен</w:t>
      </w:r>
      <w:r w:rsidRPr="008127F8">
        <w:rPr>
          <w:rFonts w:ascii="Times New Roman" w:hAnsi="Times New Roman"/>
          <w:color w:val="000000" w:themeColor="text1"/>
          <w:sz w:val="16"/>
          <w:szCs w:val="16"/>
        </w:rPr>
        <w:softHyphen/>
        <w:t>зобака толщиной 6 мм, бронеплита над головой летчика на подвижной части фонаря (5 мм), 4-х миллиметровый дю</w:t>
      </w:r>
      <w:r w:rsidRPr="008127F8">
        <w:rPr>
          <w:rFonts w:ascii="Times New Roman" w:hAnsi="Times New Roman"/>
          <w:color w:val="000000" w:themeColor="text1"/>
          <w:sz w:val="16"/>
          <w:szCs w:val="16"/>
        </w:rPr>
        <w:softHyphen/>
        <w:t>ралевый лист над мотором был заме</w:t>
      </w:r>
      <w:r w:rsidRPr="008127F8">
        <w:rPr>
          <w:rFonts w:ascii="Times New Roman" w:hAnsi="Times New Roman"/>
          <w:color w:val="000000" w:themeColor="text1"/>
          <w:sz w:val="16"/>
          <w:szCs w:val="16"/>
        </w:rPr>
        <w:softHyphen/>
        <w:t>нен бронелистом толщиной 5 мм, сред</w:t>
      </w:r>
      <w:r w:rsidRPr="008127F8">
        <w:rPr>
          <w:rFonts w:ascii="Times New Roman" w:hAnsi="Times New Roman"/>
          <w:color w:val="000000" w:themeColor="text1"/>
          <w:sz w:val="16"/>
          <w:szCs w:val="16"/>
        </w:rPr>
        <w:softHyphen/>
        <w:t>няя часть прозрачной брони за головой летчика была заменена на металличес</w:t>
      </w:r>
      <w:r w:rsidRPr="008127F8">
        <w:rPr>
          <w:rFonts w:ascii="Times New Roman" w:hAnsi="Times New Roman"/>
          <w:color w:val="000000" w:themeColor="text1"/>
          <w:sz w:val="16"/>
          <w:szCs w:val="16"/>
        </w:rPr>
        <w:softHyphen/>
        <w:t>кую броню толщиной 12 мм. Вес всех бронедеталей составил 811 кг.</w:t>
      </w:r>
    </w:p>
    <w:p w14:paraId="347AC8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Складывающиеся подкосы шасси были сделаны из сварных труб вместо клепаной конструкции, что увеличило их прочность.</w:t>
      </w:r>
    </w:p>
    <w:p w14:paraId="6579BE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70 кг был увеличен запас горюче</w:t>
      </w:r>
      <w:r w:rsidRPr="008127F8">
        <w:rPr>
          <w:rFonts w:ascii="Times New Roman" w:hAnsi="Times New Roman"/>
          <w:color w:val="000000" w:themeColor="text1"/>
          <w:sz w:val="16"/>
          <w:szCs w:val="16"/>
        </w:rPr>
        <w:softHyphen/>
        <w:t>го (доведен до 540 кг) за счет увеличе</w:t>
      </w:r>
      <w:r w:rsidRPr="008127F8">
        <w:rPr>
          <w:rFonts w:ascii="Times New Roman" w:hAnsi="Times New Roman"/>
          <w:color w:val="000000" w:themeColor="text1"/>
          <w:sz w:val="16"/>
          <w:szCs w:val="16"/>
        </w:rPr>
        <w:softHyphen/>
        <w:t>ния объема заднего бензобака, и в нем же установлена вторая заливная горло</w:t>
      </w:r>
      <w:r w:rsidRPr="008127F8">
        <w:rPr>
          <w:rFonts w:ascii="Times New Roman" w:hAnsi="Times New Roman"/>
          <w:color w:val="000000" w:themeColor="text1"/>
          <w:sz w:val="16"/>
          <w:szCs w:val="16"/>
        </w:rPr>
        <w:softHyphen/>
        <w:t>вина.</w:t>
      </w:r>
    </w:p>
    <w:p w14:paraId="0A90EEE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штурмовиках установили дополни</w:t>
      </w:r>
      <w:r w:rsidRPr="008127F8">
        <w:rPr>
          <w:rFonts w:ascii="Times New Roman" w:hAnsi="Times New Roman"/>
          <w:color w:val="000000" w:themeColor="text1"/>
          <w:sz w:val="16"/>
          <w:szCs w:val="16"/>
        </w:rPr>
        <w:softHyphen/>
        <w:t>тельный (второй) электросбрасыватель ЭСБР-Зп с самостоятельным управлени</w:t>
      </w:r>
      <w:r w:rsidRPr="008127F8">
        <w:rPr>
          <w:rFonts w:ascii="Times New Roman" w:hAnsi="Times New Roman"/>
          <w:color w:val="000000" w:themeColor="text1"/>
          <w:sz w:val="16"/>
          <w:szCs w:val="16"/>
        </w:rPr>
        <w:softHyphen/>
        <w:t>ем от кнопки на ручке управления са</w:t>
      </w:r>
      <w:r w:rsidRPr="008127F8">
        <w:rPr>
          <w:rFonts w:ascii="Times New Roman" w:hAnsi="Times New Roman"/>
          <w:color w:val="000000" w:themeColor="text1"/>
          <w:sz w:val="16"/>
          <w:szCs w:val="16"/>
        </w:rPr>
        <w:softHyphen/>
        <w:t>молетом и осуществлено рациональное размещение радиооборудования.</w:t>
      </w:r>
    </w:p>
    <w:p w14:paraId="75293A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Центровка самолетов доведена до 28,3%.</w:t>
      </w:r>
    </w:p>
    <w:p w14:paraId="49A313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Летные испытания этих самолетов показали, что, несмотря на увеличение полетного веса самолетов, их максималь</w:t>
      </w:r>
      <w:r w:rsidRPr="008127F8">
        <w:rPr>
          <w:rFonts w:ascii="Times New Roman" w:hAnsi="Times New Roman"/>
          <w:color w:val="000000" w:themeColor="text1"/>
          <w:sz w:val="16"/>
          <w:szCs w:val="16"/>
        </w:rPr>
        <w:softHyphen/>
        <w:t>ные скорости остались практически на прежнем уровне по сравнению с пре</w:t>
      </w:r>
      <w:r w:rsidRPr="008127F8">
        <w:rPr>
          <w:rFonts w:ascii="Times New Roman" w:hAnsi="Times New Roman"/>
          <w:color w:val="000000" w:themeColor="text1"/>
          <w:sz w:val="16"/>
          <w:szCs w:val="16"/>
        </w:rPr>
        <w:softHyphen/>
        <w:t>дыдущими сериями и составили: для Ил-2 завода № 18 - 391 км/ч у земли и 416 км/ч на высоте 2300 м, а для Ил-2 завода № 1 - 396 км/ч у земли и на высоте 2450 м - 426 км/ч.</w:t>
      </w:r>
    </w:p>
    <w:p w14:paraId="102C24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Техническая дальность самолетов, в основном за счет увеличения емкости заднего бензобака, возросла до 622 км (Ил-2 завода № 1, определение техни</w:t>
      </w:r>
      <w:r w:rsidRPr="008127F8">
        <w:rPr>
          <w:rFonts w:ascii="Times New Roman" w:hAnsi="Times New Roman"/>
          <w:color w:val="000000" w:themeColor="text1"/>
          <w:sz w:val="16"/>
          <w:szCs w:val="16"/>
        </w:rPr>
        <w:softHyphen/>
        <w:t>ческой дальности полета штурмовика производства № 18 не проводилось).</w:t>
      </w:r>
    </w:p>
    <w:p w14:paraId="0883B9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на самолетах были устране</w:t>
      </w:r>
      <w:r w:rsidRPr="008127F8">
        <w:rPr>
          <w:rFonts w:ascii="Times New Roman" w:hAnsi="Times New Roman"/>
          <w:color w:val="000000" w:themeColor="text1"/>
          <w:sz w:val="16"/>
          <w:szCs w:val="16"/>
        </w:rPr>
        <w:softHyphen/>
        <w:t>ны далеко не все выявленные в боевых условиях недостатки. На машинах отсут</w:t>
      </w:r>
      <w:r w:rsidRPr="008127F8">
        <w:rPr>
          <w:rFonts w:ascii="Times New Roman" w:hAnsi="Times New Roman"/>
          <w:color w:val="000000" w:themeColor="text1"/>
          <w:sz w:val="16"/>
          <w:szCs w:val="16"/>
        </w:rPr>
        <w:softHyphen/>
        <w:t>ствовали: пулестойкие шины для колес, система заполнения бензобаков нейт</w:t>
      </w:r>
      <w:r w:rsidRPr="008127F8">
        <w:rPr>
          <w:rFonts w:ascii="Times New Roman" w:hAnsi="Times New Roman"/>
          <w:color w:val="000000" w:themeColor="text1"/>
          <w:sz w:val="16"/>
          <w:szCs w:val="16"/>
        </w:rPr>
        <w:softHyphen/>
        <w:t>ральными газами от выхлопа мотора и дублированное управление рулями вы</w:t>
      </w:r>
      <w:r w:rsidRPr="008127F8">
        <w:rPr>
          <w:rFonts w:ascii="Times New Roman" w:hAnsi="Times New Roman"/>
          <w:color w:val="000000" w:themeColor="text1"/>
          <w:sz w:val="16"/>
          <w:szCs w:val="16"/>
        </w:rPr>
        <w:softHyphen/>
        <w:t>соты и поворота...</w:t>
      </w:r>
    </w:p>
    <w:p w14:paraId="407CA3C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Изменение полетного веса модифи</w:t>
      </w:r>
      <w:r w:rsidRPr="008127F8">
        <w:rPr>
          <w:rFonts w:ascii="Times New Roman" w:hAnsi="Times New Roman"/>
          <w:color w:val="000000" w:themeColor="text1"/>
          <w:sz w:val="16"/>
          <w:szCs w:val="16"/>
        </w:rPr>
        <w:softHyphen/>
        <w:t>цированных "Илов" привело к резкому (примерно на 48,5%) падению верти</w:t>
      </w:r>
      <w:r w:rsidRPr="008127F8">
        <w:rPr>
          <w:rFonts w:ascii="Times New Roman" w:hAnsi="Times New Roman"/>
          <w:color w:val="000000" w:themeColor="text1"/>
          <w:sz w:val="16"/>
          <w:szCs w:val="16"/>
        </w:rPr>
        <w:softHyphen/>
        <w:t>кальной скорости машин у земли. Ухуд</w:t>
      </w:r>
      <w:r w:rsidRPr="008127F8">
        <w:rPr>
          <w:rFonts w:ascii="Times New Roman" w:hAnsi="Times New Roman"/>
          <w:color w:val="000000" w:themeColor="text1"/>
          <w:sz w:val="16"/>
          <w:szCs w:val="16"/>
        </w:rPr>
        <w:softHyphen/>
        <w:t>шились также и взлетно-посадочные характеристики (6467).</w:t>
      </w:r>
    </w:p>
    <w:p w14:paraId="08A2DD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0F05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мая 1942 был подписан акт по результатам испытаний в НИИ ВВС самолета Ил-2 N 1904 18 завода и там отмечалась недостаточная дальность радиосвязи и было предложено ввести в производство схему размещения оборудования в хвостовой части фюзеляжа с дистанционным управлением приемника, увеличивающую дальность до 100-120 км (1862).</w:t>
      </w:r>
    </w:p>
    <w:p w14:paraId="3A4054B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FE46B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мая 1942 вышло Постановление ГКО № 1721 О производстве истребителей. РГАНИР, Фонд ГКО, д. 34, лл. 97-98 (11012).</w:t>
      </w:r>
    </w:p>
    <w:p w14:paraId="45ECE08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6F994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мая 1942 вышло:</w:t>
      </w:r>
    </w:p>
    <w:p w14:paraId="73571B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8127F8">
        <w:rPr>
          <w:rFonts w:ascii="Times New Roman" w:hAnsi="Times New Roman"/>
          <w:color w:val="000000" w:themeColor="text1"/>
          <w:kern w:val="36"/>
          <w:sz w:val="16"/>
          <w:szCs w:val="16"/>
        </w:rPr>
        <w:t>ГОСУДАРСТВЕННЫЙ КОМИТЕТ ОБОРОНЫ ПОСТАНОВЛЕНИЕ №1721сс от "10 " мая 1942г. Москва, Кремль.</w:t>
      </w:r>
    </w:p>
    <w:p w14:paraId="6FB92D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истребителях</w:t>
      </w:r>
    </w:p>
    <w:p w14:paraId="2E1A8B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Опытом доказано, что эресы и установки под них отнимают у наших истребителей скорости до 30 км, а открытые фонари дополнительно отнимают до 20 км скорости. Все это ведет к тому, что наши истребители не могут вести успешные бои с новыми Мессершмиттами, которые летают с закрытыми фонарями и не имеют эресов.</w:t>
      </w:r>
    </w:p>
    <w:p w14:paraId="4B5E3A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ликвидации этих недостатков и для повышения скорости и боеспособности наших истребителей. Государственный Комитет Обороны постановляет:</w:t>
      </w:r>
    </w:p>
    <w:p w14:paraId="790938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Обязать Наркомавиапром - тов.Шахурина впредь выпускать истребители (Як-1, Як-7 и Лагг-3) без эресов.</w:t>
      </w:r>
    </w:p>
    <w:p w14:paraId="71D9A71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Обязать Командующего ВВС КА - тов.Новикова снять в срочном порядке установки для эресов с находящихся в строю истребителей Як-1, Як-7, Лагг-3 и Миг-3.</w:t>
      </w:r>
    </w:p>
    <w:p w14:paraId="45EC638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Обязать Командующего ВВС КА дать приказ по авиаци¬онным частям о том, чтобы летчики на истребительных самолетах поименованных выше типов летали при маршрутных полетах и догоняли в воздухе противника или уходили от него, когда Е этом будет необходимость, обязательно с закрытым фонарем. Во всех остальных случаях разрешить летчикам летать с открытым фонарем.</w:t>
      </w:r>
    </w:p>
    <w:p w14:paraId="18B38F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Обязать Наркомавиапром - тов.Шахурина, заместителя наркома тов.Яковлева и директора завода № 153 тов. Романова выпускать с 20 мая с.г. все самолеты Як-7 с оборудованием под подвесной бак в задней кабине емкостью 100 литров.</w:t>
      </w:r>
    </w:p>
    <w:p w14:paraId="3BA48AE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Наркомавиапрому обеспечить поставку подвесных баков.</w:t>
      </w:r>
    </w:p>
    <w:p w14:paraId="32718E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Обязать Наркомхимпром и Наркомавиапром обеспечить изготовление стекол для самолетов по качеству не хуже чем на самолетах Томагавк. Поставку стекол указанного качества начать не позднее 25 мая с.г.</w:t>
      </w:r>
    </w:p>
    <w:p w14:paraId="497B0C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Обязать Саратовский завод № 292 выпускать самолеты Як-1 с одной пушкой Швак, без эресов, без пулеметов Шкас, без бомбодержателей, с 20 мая по 5 самолетов в день, а с 1 июня все десять самолетов в день с запасом снарядов до 10 июня 120 штук и с 10 июня по 150 штук.</w:t>
      </w:r>
    </w:p>
    <w:p w14:paraId="109348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Обязать командующего ВВС КА тов.Новикова из облегченных истребителей Як-1 формировать отдельные полки с тем,чтобы в каждой истребительной дивизии один полк был на облегченных самолетах Як-1, а остальные полки из истребителей Як-1, Лагг-3, или Як-7.</w:t>
      </w:r>
    </w:p>
    <w:p w14:paraId="7D4C6E6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8. Обязать Командующего ВВС КА тов.Новикова, Наркомавиапром тов.Шахурина, зам. Наркомавиапром тов.Яковлева срочно испытать в НИИ ВВС самолет Як-7 с форсированным мотором M-105П с усиленными поршневыми пальцами и результат испытания доложить ГОКО к 17 мая с.г. </w:t>
      </w:r>
    </w:p>
    <w:p w14:paraId="7833617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 ГОСУДАРСТВЕННОГО КОМИТЕТА ОБОРОНЫ (11813).</w:t>
      </w:r>
    </w:p>
    <w:p w14:paraId="662F178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A675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мая 1942 постановление ГКО обязало 292 завод с 20 мая делать облегченные Як, но это постановление отменили, так как появился М-105ПФ (198,44).</w:t>
      </w:r>
    </w:p>
    <w:p w14:paraId="07EDF97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другим данным постановление ГКО приказало выпускать Яки без РС (65,82).</w:t>
      </w:r>
    </w:p>
    <w:p w14:paraId="4F8807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9289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мая 1942 г., согласно постановлению ГКО, Як-7Б поступали в войска уже без ракетного вооружения (11402).</w:t>
      </w:r>
    </w:p>
    <w:p w14:paraId="00B626C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FA52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мая 1942 закончились совместные заводские и гос. испытания Як-7-37, которые проводились с 15 апреля 1942 (65,93).</w:t>
      </w:r>
    </w:p>
    <w:p w14:paraId="2C3BA07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86C6E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 мая в 1942 году закончились совместные заводские и государственные испытания (начались 15 апреля) истребителя </w:t>
      </w:r>
      <w:hyperlink r:id="rId16" w:tgtFrame="_blank" w:history="1">
        <w:r w:rsidRPr="008127F8">
          <w:rPr>
            <w:rFonts w:ascii="Times New Roman" w:hAnsi="Times New Roman"/>
            <w:color w:val="000000" w:themeColor="text1"/>
            <w:sz w:val="16"/>
            <w:szCs w:val="16"/>
          </w:rPr>
          <w:t xml:space="preserve">«Як-7-37» </w:t>
        </w:r>
      </w:hyperlink>
      <w:r w:rsidRPr="008127F8">
        <w:rPr>
          <w:rFonts w:ascii="Times New Roman" w:hAnsi="Times New Roman"/>
          <w:color w:val="000000" w:themeColor="text1"/>
          <w:sz w:val="16"/>
          <w:szCs w:val="16"/>
        </w:rPr>
        <w:t>на заводе №153 (14887).</w:t>
      </w:r>
    </w:p>
    <w:p w14:paraId="7B883F3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4EDF18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мая на новосибир</w:t>
      </w:r>
      <w:r w:rsidRPr="008127F8">
        <w:rPr>
          <w:rFonts w:ascii="Times New Roman" w:hAnsi="Times New Roman"/>
          <w:color w:val="000000" w:themeColor="text1"/>
          <w:sz w:val="16"/>
          <w:szCs w:val="16"/>
        </w:rPr>
        <w:softHyphen/>
        <w:t>ском заводе №153 бригадой в составе ведущего инженера летчика-испы</w:t>
      </w:r>
      <w:r w:rsidRPr="008127F8">
        <w:rPr>
          <w:rFonts w:ascii="Times New Roman" w:hAnsi="Times New Roman"/>
          <w:color w:val="000000" w:themeColor="text1"/>
          <w:sz w:val="16"/>
          <w:szCs w:val="16"/>
        </w:rPr>
        <w:softHyphen/>
        <w:t>тателя П.Я.Федрови, ведущего инженера по самолету А.Т.Степанца, по вооружению - Г.И.Гудименко и А.Г.Аронова, по испытаниям - П.С.Лимара закончилис совместные заво</w:t>
      </w:r>
      <w:r w:rsidRPr="008127F8">
        <w:rPr>
          <w:rFonts w:ascii="Times New Roman" w:hAnsi="Times New Roman"/>
          <w:color w:val="000000" w:themeColor="text1"/>
          <w:sz w:val="16"/>
          <w:szCs w:val="16"/>
        </w:rPr>
        <w:softHyphen/>
        <w:t>дские и госиспытания Як-7-37, которые шли с 15 апреля. 14 полетов было выполнено за 8 ч 20 мин по далеко непол</w:t>
      </w:r>
      <w:r w:rsidRPr="008127F8">
        <w:rPr>
          <w:rFonts w:ascii="Times New Roman" w:hAnsi="Times New Roman"/>
          <w:color w:val="000000" w:themeColor="text1"/>
          <w:sz w:val="16"/>
          <w:szCs w:val="16"/>
        </w:rPr>
        <w:softHyphen/>
        <w:t>ной программе.</w:t>
      </w:r>
    </w:p>
    <w:p w14:paraId="2757AC1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что толку? Похоже, это был вообще единственный экземпляр по</w:t>
      </w:r>
      <w:r w:rsidRPr="008127F8">
        <w:rPr>
          <w:rFonts w:ascii="Times New Roman" w:hAnsi="Times New Roman"/>
          <w:color w:val="000000" w:themeColor="text1"/>
          <w:sz w:val="16"/>
          <w:szCs w:val="16"/>
        </w:rPr>
        <w:softHyphen/>
        <w:t>добной машины в варианте ракетоносца, поскольку ее госиспытания за</w:t>
      </w:r>
      <w:r w:rsidRPr="008127F8">
        <w:rPr>
          <w:rFonts w:ascii="Times New Roman" w:hAnsi="Times New Roman"/>
          <w:color w:val="000000" w:themeColor="text1"/>
          <w:sz w:val="16"/>
          <w:szCs w:val="16"/>
        </w:rPr>
        <w:softHyphen/>
        <w:t>вершились аккурат в день выхода постановления ГКО о ракетном «разо</w:t>
      </w:r>
      <w:r w:rsidRPr="008127F8">
        <w:rPr>
          <w:rFonts w:ascii="Times New Roman" w:hAnsi="Times New Roman"/>
          <w:color w:val="000000" w:themeColor="text1"/>
          <w:sz w:val="16"/>
          <w:szCs w:val="16"/>
        </w:rPr>
        <w:softHyphen/>
        <w:t>ружении» истребителей. А без РС ни о каком превосходстве в огневой мощи над остальными истребителями 1942 г. и речи быть не может (11402).</w:t>
      </w:r>
    </w:p>
    <w:p w14:paraId="69711B2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2CC273"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10 мая 1942 г. закончились совместные заводские и государственные испытания Як-7-37 с мотор-пушкой Ш-37 (20 снарядов), построенного на заводе № 153 в Новосибирске, которфые шли с 15 апреля.</w:t>
      </w:r>
    </w:p>
    <w:p w14:paraId="572C9097"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Для размещения пушки и сохранения центров</w:t>
      </w:r>
      <w:r w:rsidRPr="008127F8">
        <w:rPr>
          <w:color w:val="000000" w:themeColor="text1"/>
          <w:sz w:val="16"/>
          <w:szCs w:val="16"/>
        </w:rPr>
        <w:softHyphen/>
        <w:t>ки самолета кабина летчика была смещена назад на 400 мм, а задняя кабина ликвидирована. Крыло оборудовалось автоматическими предкрылками, установлено новое хвостовое колесо увеличенных размеров, система нейтральных газов от выхлопа отработанных газов мотора и т.д.</w:t>
      </w:r>
    </w:p>
    <w:p w14:paraId="63B3D063"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Наличие предкрылков заметно улучшило устой</w:t>
      </w:r>
      <w:r w:rsidRPr="008127F8">
        <w:rPr>
          <w:color w:val="000000" w:themeColor="text1"/>
          <w:sz w:val="16"/>
          <w:szCs w:val="16"/>
        </w:rPr>
        <w:softHyphen/>
        <w:t>чивость самолета и уменьшило опасность срыва в штопор на малых скоростях и критических углах атаки.</w:t>
      </w:r>
    </w:p>
    <w:p w14:paraId="044E5683"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После всех доработок полетный вес Як-7-37 по сравнению с серийным Як-7б увеличился с 3042 до 3235 кг. В связи с этим летные данные самолета несколько ухудшились. Максимальная скорость во всем диапазоне высот уменьшилась примерно на 15 км/ч, возросли время набора высоты 5000 м — на 0,65 мин, разбег и пробег — на 100 м, время виража на высоте 1000 м — на 2 с, а набор высоты за боевой разворот с высоты 1000 м уменьшился на 100 м.</w:t>
      </w:r>
    </w:p>
    <w:p w14:paraId="4C598C52"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 ходе очередного испытательного полета 11 мая при отстреле пулеметов УБС произошел прострел лопастей винта. При вынужденной по</w:t>
      </w:r>
      <w:r w:rsidRPr="008127F8">
        <w:rPr>
          <w:color w:val="000000" w:themeColor="text1"/>
          <w:sz w:val="16"/>
          <w:szCs w:val="16"/>
        </w:rPr>
        <w:softHyphen/>
        <w:t>садке вне аэродрома без шасси самолет получил повреждения.</w:t>
      </w:r>
    </w:p>
    <w:p w14:paraId="2269107D"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Программу испытаний в полном объеме выпол</w:t>
      </w:r>
      <w:r w:rsidRPr="008127F8">
        <w:rPr>
          <w:color w:val="000000" w:themeColor="text1"/>
          <w:sz w:val="16"/>
          <w:szCs w:val="16"/>
        </w:rPr>
        <w:softHyphen/>
        <w:t>нить не удалось. Так, не были определены взлет</w:t>
      </w:r>
      <w:r w:rsidRPr="008127F8">
        <w:rPr>
          <w:color w:val="000000" w:themeColor="text1"/>
          <w:sz w:val="16"/>
          <w:szCs w:val="16"/>
        </w:rPr>
        <w:softHyphen/>
        <w:t>но-посадочные свойства самолета, дальность по</w:t>
      </w:r>
      <w:r w:rsidRPr="008127F8">
        <w:rPr>
          <w:color w:val="000000" w:themeColor="text1"/>
          <w:sz w:val="16"/>
          <w:szCs w:val="16"/>
        </w:rPr>
        <w:softHyphen/>
        <w:t>лета, неполностью отстреляны пулеметы в воздухе, совершенно не отстреляна пушка Ш-37 по причине ее неисправности (из-за биений вала мотора во время работы и при стрельбе из пулеметов на ство</w:t>
      </w:r>
      <w:r w:rsidRPr="008127F8">
        <w:rPr>
          <w:color w:val="000000" w:themeColor="text1"/>
          <w:sz w:val="16"/>
          <w:szCs w:val="16"/>
        </w:rPr>
        <w:softHyphen/>
        <w:t>ле пушки появилась усталостная трещина).</w:t>
      </w:r>
    </w:p>
    <w:p w14:paraId="33AA5810"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lastRenderedPageBreak/>
        <w:t>Всего за время испытаний выполнили 14 поле</w:t>
      </w:r>
      <w:r w:rsidRPr="008127F8">
        <w:rPr>
          <w:color w:val="000000" w:themeColor="text1"/>
          <w:sz w:val="16"/>
          <w:szCs w:val="16"/>
        </w:rPr>
        <w:softHyphen/>
        <w:t>тов с налетом 8 ч 20 мин, в том числе 4 полета с от</w:t>
      </w:r>
      <w:r w:rsidRPr="008127F8">
        <w:rPr>
          <w:color w:val="000000" w:themeColor="text1"/>
          <w:sz w:val="16"/>
          <w:szCs w:val="16"/>
        </w:rPr>
        <w:softHyphen/>
        <w:t>стрелом пулеметов в воздухе.</w:t>
      </w:r>
    </w:p>
    <w:p w14:paraId="290130AF"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Поскольку Як-7-37 по летным данным был бли</w:t>
      </w:r>
      <w:r w:rsidRPr="008127F8">
        <w:rPr>
          <w:color w:val="000000" w:themeColor="text1"/>
          <w:sz w:val="16"/>
          <w:szCs w:val="16"/>
        </w:rPr>
        <w:softHyphen/>
        <w:t>зок к Як-7б, а по весу секундного залпа (4,26 кг) превосходил все советские истребители, в том чис</w:t>
      </w:r>
      <w:r w:rsidRPr="008127F8">
        <w:rPr>
          <w:color w:val="000000" w:themeColor="text1"/>
          <w:sz w:val="16"/>
          <w:szCs w:val="16"/>
        </w:rPr>
        <w:softHyphen/>
        <w:t>ле и серийный ЛаГГ-3 с такой же пушкой (3,53 кг), но уступал ему по живучести, то было решено сна</w:t>
      </w:r>
      <w:r w:rsidRPr="008127F8">
        <w:rPr>
          <w:color w:val="000000" w:themeColor="text1"/>
          <w:sz w:val="16"/>
          <w:szCs w:val="16"/>
        </w:rPr>
        <w:softHyphen/>
        <w:t>чала выпустить небольшую серию этого самолета. Предполагалось испытать самолет в бою, после че</w:t>
      </w:r>
      <w:r w:rsidRPr="008127F8">
        <w:rPr>
          <w:color w:val="000000" w:themeColor="text1"/>
          <w:sz w:val="16"/>
          <w:szCs w:val="16"/>
        </w:rPr>
        <w:softHyphen/>
        <w:t>го сделать вывод о целесообразности запуска его в массовое производство. Постановлением ГКО от 20 июня 1942 г. завод № 153 обязывался к 5 сентя</w:t>
      </w:r>
      <w:r w:rsidRPr="008127F8">
        <w:rPr>
          <w:color w:val="000000" w:themeColor="text1"/>
          <w:sz w:val="16"/>
          <w:szCs w:val="16"/>
        </w:rPr>
        <w:softHyphen/>
        <w:t>бря изготовить 20 самолетов Як-7-37.</w:t>
      </w:r>
    </w:p>
    <w:p w14:paraId="2DB57F5E"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На Як-7-37 войсковой серии сняли автомати</w:t>
      </w:r>
      <w:r w:rsidRPr="008127F8">
        <w:rPr>
          <w:color w:val="000000" w:themeColor="text1"/>
          <w:sz w:val="16"/>
          <w:szCs w:val="16"/>
        </w:rPr>
        <w:softHyphen/>
        <w:t>ческие предкрылки для упрощения производства и экономии веса самолета, немного улучшили мест</w:t>
      </w:r>
      <w:r w:rsidRPr="008127F8">
        <w:rPr>
          <w:color w:val="000000" w:themeColor="text1"/>
          <w:sz w:val="16"/>
          <w:szCs w:val="16"/>
        </w:rPr>
        <w:softHyphen/>
        <w:t>ную аэродинамику, установили форсированный мо</w:t>
      </w:r>
      <w:r w:rsidRPr="008127F8">
        <w:rPr>
          <w:color w:val="000000" w:themeColor="text1"/>
          <w:sz w:val="16"/>
          <w:szCs w:val="16"/>
        </w:rPr>
        <w:softHyphen/>
        <w:t>тор М-105ПФ, бомбодержатели и новый обтекатель радиатора с расширяющимся входом. Летные дан</w:t>
      </w:r>
      <w:r w:rsidRPr="008127F8">
        <w:rPr>
          <w:color w:val="000000" w:themeColor="text1"/>
          <w:sz w:val="16"/>
          <w:szCs w:val="16"/>
        </w:rPr>
        <w:softHyphen/>
        <w:t>ные и характеристики вертикального маневра воз</w:t>
      </w:r>
      <w:r w:rsidRPr="008127F8">
        <w:rPr>
          <w:color w:val="000000" w:themeColor="text1"/>
          <w:sz w:val="16"/>
          <w:szCs w:val="16"/>
        </w:rPr>
        <w:softHyphen/>
        <w:t>росли, практически сравнявшись с Як-7б, но ухуд</w:t>
      </w:r>
      <w:r w:rsidRPr="008127F8">
        <w:rPr>
          <w:color w:val="000000" w:themeColor="text1"/>
          <w:sz w:val="16"/>
          <w:szCs w:val="16"/>
        </w:rPr>
        <w:softHyphen/>
        <w:t>шилась устойчивость самолета при больших углах атаки. Всего было построено 22 самолета Як-7-37.</w:t>
      </w:r>
    </w:p>
    <w:p w14:paraId="26E4122A"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Известно, что А. С. Яковлев предложил увели</w:t>
      </w:r>
      <w:r w:rsidRPr="008127F8">
        <w:rPr>
          <w:color w:val="000000" w:themeColor="text1"/>
          <w:sz w:val="16"/>
          <w:szCs w:val="16"/>
        </w:rPr>
        <w:softHyphen/>
        <w:t>чить объемы выпуска Як-7-37 до 60 самолетов для вооружения ими полностью двух истребительных авиаполков. Но командование ВВС решило повре</w:t>
      </w:r>
      <w:r w:rsidRPr="008127F8">
        <w:rPr>
          <w:color w:val="000000" w:themeColor="text1"/>
          <w:sz w:val="16"/>
          <w:szCs w:val="16"/>
        </w:rPr>
        <w:softHyphen/>
        <w:t>менить и дождаться итогов войсковых испытаний (17500).</w:t>
      </w:r>
    </w:p>
    <w:p w14:paraId="1699A702"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lang w:eastAsia="ru-RU"/>
        </w:rPr>
      </w:pPr>
    </w:p>
    <w:p w14:paraId="1FA8B1B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мая 1942 был утвержден отчет о гос. испытаниях Як-1 с РО и бомбами, которые проходили с 7 марта по 2 апреля 1942 (796,4).</w:t>
      </w:r>
    </w:p>
    <w:p w14:paraId="25B6D05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6259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мая 1942 ГКО постановлением N ГОКО-1721сс на основании, доказанного опытом отметил, что РС и установки под них отнимают у наших истребителей скорости до 30 км/час, а открытые фонари доп. отнимают до 20 км/час скорости. Все это ведет к тому, что наши истребители не могут вести успешные бои с новыми Мессершмиттами, которые летают с закрытым фонарем и не имеют РС (1552,95).</w:t>
      </w:r>
    </w:p>
    <w:p w14:paraId="6504754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13315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мая 1942 г. было Постановление ГКО №1721сс «Об истребителях». Подписано И.Ста</w:t>
      </w:r>
      <w:r w:rsidRPr="008127F8">
        <w:rPr>
          <w:rFonts w:ascii="Times New Roman" w:hAnsi="Times New Roman"/>
          <w:color w:val="000000" w:themeColor="text1"/>
          <w:sz w:val="16"/>
          <w:szCs w:val="16"/>
        </w:rPr>
        <w:softHyphen/>
        <w:t>линым</w:t>
      </w:r>
    </w:p>
    <w:p w14:paraId="365840E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«Опытом доказано, что РС и установки под них от</w:t>
      </w:r>
      <w:r w:rsidRPr="008127F8">
        <w:rPr>
          <w:rFonts w:ascii="Times New Roman" w:hAnsi="Times New Roman"/>
          <w:color w:val="000000" w:themeColor="text1"/>
          <w:sz w:val="16"/>
          <w:szCs w:val="16"/>
        </w:rPr>
        <w:softHyphen/>
        <w:t>нимают у наших истребителей скорости до 30 км, а открытые фонари до</w:t>
      </w:r>
      <w:r w:rsidRPr="008127F8">
        <w:rPr>
          <w:rFonts w:ascii="Times New Roman" w:hAnsi="Times New Roman"/>
          <w:color w:val="000000" w:themeColor="text1"/>
          <w:sz w:val="16"/>
          <w:szCs w:val="16"/>
        </w:rPr>
        <w:softHyphen/>
        <w:t>полнительно отнимают до 20 км скорости. Все это ведет к тому, что на</w:t>
      </w:r>
      <w:r w:rsidRPr="008127F8">
        <w:rPr>
          <w:rFonts w:ascii="Times New Roman" w:hAnsi="Times New Roman"/>
          <w:color w:val="000000" w:themeColor="text1"/>
          <w:sz w:val="16"/>
          <w:szCs w:val="16"/>
        </w:rPr>
        <w:softHyphen/>
        <w:t>ши истребители не могут вести успешные бои с новыми «мессершмидтами», которые летают с закрытыми фонарями и не имеют РС.</w:t>
      </w:r>
    </w:p>
    <w:p w14:paraId="72BDB7C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ликвидации этих недостатков и для повышения скорости и боеспособности наших истребителей ГКО постановляет:</w:t>
      </w:r>
    </w:p>
    <w:p w14:paraId="734118E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Обязать НКАП тов. Шахурина впредь выпускать истребители (Як-1, Як-7 и ЛаГГ-3) без РС;</w:t>
      </w:r>
    </w:p>
    <w:p w14:paraId="236613D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Обязать командующего ВВС КА тов.Новикова снять в срочном порядке установки для РС с находящихся в строю истребителей Як-1, Як-7, ЛаГГ-3 и МиГ-3;</w:t>
      </w:r>
    </w:p>
    <w:p w14:paraId="1E13ED8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Обязать командующего ВВС КА дать приказ по авиационным ча</w:t>
      </w:r>
      <w:r w:rsidRPr="008127F8">
        <w:rPr>
          <w:rFonts w:ascii="Times New Roman" w:hAnsi="Times New Roman"/>
          <w:color w:val="000000" w:themeColor="text1"/>
          <w:sz w:val="16"/>
          <w:szCs w:val="16"/>
        </w:rPr>
        <w:softHyphen/>
        <w:t>стям о том, что летчики на истребительных самолетах поименованных выше типов летали при маршрутных полетах и догоняли в воздухе противника или уходили от него, когда в этом будет необходимость, обяза</w:t>
      </w:r>
      <w:r w:rsidRPr="008127F8">
        <w:rPr>
          <w:rFonts w:ascii="Times New Roman" w:hAnsi="Times New Roman"/>
          <w:color w:val="000000" w:themeColor="text1"/>
          <w:sz w:val="16"/>
          <w:szCs w:val="16"/>
        </w:rPr>
        <w:softHyphen/>
        <w:t>тельно с закрытым фонарем. Во всех остальных случаях летать с откры</w:t>
      </w:r>
      <w:r w:rsidRPr="008127F8">
        <w:rPr>
          <w:rFonts w:ascii="Times New Roman" w:hAnsi="Times New Roman"/>
          <w:color w:val="000000" w:themeColor="text1"/>
          <w:sz w:val="16"/>
          <w:szCs w:val="16"/>
        </w:rPr>
        <w:softHyphen/>
        <w:t>тым фонарем;</w:t>
      </w:r>
    </w:p>
    <w:p w14:paraId="7D8D413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Обязать НКАП тов. Шахурина, зам. наркома тов. Яковлева и директора завода №153 тов. Романова выпускать с 20 мая сего года все самолет Як-7 с оборудованием под подвесной бак в задней кабине емкостью 100 л.;</w:t>
      </w:r>
    </w:p>
    <w:p w14:paraId="2F0CCD8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Обязать Наркомхимпром и НКАП обеспечить изготовление стекол для самолетов по качеству не хуже, чем на самолетах Томагавк. Поставку стекол указанного качества начать не позднее 25 мая сего года;</w:t>
      </w:r>
    </w:p>
    <w:p w14:paraId="1934899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Обязать Саратовский завод №292 выпускать самолеты Як-1 с од</w:t>
      </w:r>
      <w:r w:rsidRPr="008127F8">
        <w:rPr>
          <w:rFonts w:ascii="Times New Roman" w:hAnsi="Times New Roman"/>
          <w:color w:val="000000" w:themeColor="text1"/>
          <w:sz w:val="16"/>
          <w:szCs w:val="16"/>
        </w:rPr>
        <w:softHyphen/>
        <w:t xml:space="preserve">ной пушкой ШВАК, без РС, без пулеметов ШКАС, без бомбодержателей </w:t>
      </w:r>
      <w:r w:rsidRPr="008127F8">
        <w:rPr>
          <w:rFonts w:ascii="Times New Roman" w:hAnsi="Times New Roman"/>
          <w:color w:val="000000" w:themeColor="text1"/>
          <w:sz w:val="16"/>
          <w:szCs w:val="16"/>
          <w:vertAlign w:val="subscript"/>
        </w:rPr>
        <w:t>с</w:t>
      </w:r>
      <w:r w:rsidRPr="008127F8">
        <w:rPr>
          <w:rFonts w:ascii="Times New Roman" w:hAnsi="Times New Roman"/>
          <w:color w:val="000000" w:themeColor="text1"/>
          <w:sz w:val="16"/>
          <w:szCs w:val="16"/>
        </w:rPr>
        <w:t xml:space="preserve"> 20 мая по пять самолетов в день, а с 1 июня — все десять самолетов вдень с запасом снарядов до 10 июня в 120 шт. и с 10 июня - по 150 шт.;</w:t>
      </w:r>
    </w:p>
    <w:p w14:paraId="0F8EEA0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Обязать командующего ВВС КА тов. Новикова из облегченных ис</w:t>
      </w:r>
      <w:r w:rsidRPr="008127F8">
        <w:rPr>
          <w:rFonts w:ascii="Times New Roman" w:hAnsi="Times New Roman"/>
          <w:color w:val="000000" w:themeColor="text1"/>
          <w:sz w:val="16"/>
          <w:szCs w:val="16"/>
        </w:rPr>
        <w:softHyphen/>
        <w:t>требителей Як-1 формировать отдельные полки с тем, чтобы в каждой истребительной дивизии один полк был на облегченных самолетах Як-1, а остальные полки — из истребителей Як-1, ЛаГГ-3 или Як-7;</w:t>
      </w:r>
    </w:p>
    <w:p w14:paraId="78B5D52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Обязать командующего ВВС КА тов. Новикова, народного комис</w:t>
      </w:r>
      <w:r w:rsidRPr="008127F8">
        <w:rPr>
          <w:rFonts w:ascii="Times New Roman" w:hAnsi="Times New Roman"/>
          <w:color w:val="000000" w:themeColor="text1"/>
          <w:sz w:val="16"/>
          <w:szCs w:val="16"/>
        </w:rPr>
        <w:softHyphen/>
        <w:t>сара авиационной промышленности тов.Шахурина, заместителя нарко</w:t>
      </w:r>
      <w:r w:rsidRPr="008127F8">
        <w:rPr>
          <w:rFonts w:ascii="Times New Roman" w:hAnsi="Times New Roman"/>
          <w:color w:val="000000" w:themeColor="text1"/>
          <w:sz w:val="16"/>
          <w:szCs w:val="16"/>
        </w:rPr>
        <w:softHyphen/>
        <w:t>ма тов.Яковлева срочно испытать в НИИ ВВС самолет Як-7 с форсиро</w:t>
      </w:r>
      <w:r w:rsidRPr="008127F8">
        <w:rPr>
          <w:rFonts w:ascii="Times New Roman" w:hAnsi="Times New Roman"/>
          <w:color w:val="000000" w:themeColor="text1"/>
          <w:sz w:val="16"/>
          <w:szCs w:val="16"/>
        </w:rPr>
        <w:softHyphen/>
        <w:t>ванным мотором М-105П с усиленными поршневыми пальцами, и ре</w:t>
      </w:r>
      <w:r w:rsidRPr="008127F8">
        <w:rPr>
          <w:rFonts w:ascii="Times New Roman" w:hAnsi="Times New Roman"/>
          <w:color w:val="000000" w:themeColor="text1"/>
          <w:sz w:val="16"/>
          <w:szCs w:val="16"/>
        </w:rPr>
        <w:softHyphen/>
        <w:t>зультат испытания доложить ГКО к 17 мая сего года» (11402).</w:t>
      </w:r>
    </w:p>
    <w:p w14:paraId="72BF309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B8727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мая 1942 г. постановлением ГКО саратовскому авиазаводу предписывалось с 20 мая приступить к серийному выпуску облегченных машин. Их производство организовывалось параллельно с обычными (по пять тех и других в сутки). Полностью перейти на выпуск облегченных "яков" завод должен был к 1 июня, а с 10 июня предписывалось увеличить боекомплект к пушке со 120 до 150 снарядов. Заводам № 82, 21 и 153 ставилась задача перебросить в Саратов до 14, 16 и 18 мая, соответственно, по 10, 40 и 100 (из них 50 в деталях) готовых комплектов металлического хвостового оперения. С 1 мая 1942 г. начался серийный выпуск моторов М-105ПФ, с которыми самолет мог иметь без ослабления вооружения такие же летные характеристики, как у облегченного Як-1. Это направление развития конструкции было выбрано как основное, а решение о серийном выпуске облегченного Як-1 отменили уже через девять дней после его принятия. Все десять изготовленных самолетов были переданы в 12-й гиап 6-го ИАК ПВО г. Москвы (12048).</w:t>
      </w:r>
    </w:p>
    <w:p w14:paraId="5E0C161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B79E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мая 1942 при испытаниях Пе-2 N 2133910 на 39 заводе л Л.Н.Васильев совершил во время контрольно-сдаточного полета аварию из-за остановки правого мотора. Садясь л случайно выключил и левый (2108).</w:t>
      </w:r>
    </w:p>
    <w:p w14:paraId="6F43FA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E940D8" w14:textId="77777777" w:rsidR="007C5583" w:rsidRPr="008127F8" w:rsidRDefault="007C5583" w:rsidP="007C5583">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С 10 по 15 мая 1941 в районе Цемесской бухты на глазах специальной комиссии из представителей штаба Черноморского флота прошли испытания портативного варианта установки для стрельбы снарядами М-8 с четырьмя направляющими. Первый образец был изготовлен в течение восьми дней и смонтирован на ТКА №175. По итогам контр-адмирал Иван Дмитриевич Елисеев приказал командиру 2-й бригады снабдить «эрэсами» торпедные катера типа Д-3 и СМ-3.</w:t>
      </w:r>
    </w:p>
    <w:p w14:paraId="18695DA3" w14:textId="77777777" w:rsidR="007C5583" w:rsidRPr="008127F8" w:rsidRDefault="007C5583" w:rsidP="007C5583">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Через месяц, в ночь с 17 на 18 июля, два катера старшего лейтенанта Кочнева приняли участие в набеге на Ялту с целью торпедирования вражеских судов. Благодаря реактивным установкам им удалось подавить наиболее опасные наземные огневые точки противника и даже обратить в бегство его дозорный корабль (19941).</w:t>
      </w:r>
    </w:p>
    <w:p w14:paraId="1D39EE6A" w14:textId="77777777" w:rsidR="007C5583" w:rsidRPr="008127F8" w:rsidRDefault="007C5583" w:rsidP="007C5583">
      <w:pPr>
        <w:pStyle w:val="af"/>
        <w:shd w:val="clear" w:color="auto" w:fill="FFFFFF"/>
        <w:spacing w:before="0" w:after="0"/>
        <w:jc w:val="both"/>
        <w:textAlignment w:val="baseline"/>
        <w:rPr>
          <w:color w:val="000000" w:themeColor="text1"/>
          <w:sz w:val="16"/>
          <w:szCs w:val="16"/>
        </w:rPr>
      </w:pPr>
    </w:p>
    <w:p w14:paraId="527C14D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7D37C4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8BD0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мая 1942 года были утверждены:</w:t>
      </w:r>
    </w:p>
    <w:p w14:paraId="11D74F8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Устав завода № 304 НКВ</w:t>
      </w:r>
    </w:p>
    <w:p w14:paraId="0C12A0D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Устав завода № 62 НКВ (9214)</w:t>
      </w:r>
    </w:p>
    <w:p w14:paraId="41B15E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5B868C" w14:textId="77777777" w:rsidR="00B35197" w:rsidRPr="008A2E5A" w:rsidRDefault="00B35197" w:rsidP="00B3519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мая 1942 года на совещании в ГАБТУ КА предложение по Т-45 рассмотрели и дали отрицательный вердикт. Причины очевидны: танк однозначно уступал Т-70. Вместе с тем, по предложению Гинзбурга было предложено провести кратковременные испытания. Нет, это не партизанщина Гинзбурга, а вполне рядовое событие в отношениях между НКТП и ГАБТУ. Хотя и бескорыстным такое покровительство со стороны НКТП не назвать. На заводе №37 в это время как раз работали над САУ по проектам Гинзбурга, причем на базе Т-60, так что интересы совпали. 18 мая было подписано распоряжение о проведении испытаний Т-60 с моторами ЗИС-5 и ЗИС-16. На следующий день танк с мотором ЗИС-16 отправился в пробег. С этим мотором скорость достигла 40,5 км/ч, а с мотором ЗИС-5 она снизилась до 37,2 км/ч. Стоит отметить, что и мотор ЗИС-5 был "подержанным", посему реальные скорости могли быть и выше. Отмечалось, что в виду дополнительной нагрузки тепловой режим мотора ухудшился, хотя тут следовало погонять рядом и обычный Т-60. Возможно, что получили бы похожие цифры (23347).</w:t>
      </w:r>
    </w:p>
    <w:p w14:paraId="2745A1A5" w14:textId="77777777" w:rsidR="00B35197" w:rsidRPr="008A2E5A" w:rsidRDefault="00B35197" w:rsidP="00B35197">
      <w:pPr>
        <w:spacing w:after="0" w:line="240" w:lineRule="auto"/>
        <w:jc w:val="both"/>
        <w:rPr>
          <w:rFonts w:ascii="Times New Roman" w:hAnsi="Times New Roman"/>
          <w:color w:val="0070C0"/>
          <w:sz w:val="16"/>
          <w:szCs w:val="16"/>
        </w:rPr>
      </w:pPr>
    </w:p>
    <w:p w14:paraId="4C75D6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мая 1942 вышло Постановление ГКО № 1720 О т. Стулове И.А. РГАНИР, Фонд ГКО, д. 34, лл. 96 (11012).</w:t>
      </w:r>
    </w:p>
    <w:p w14:paraId="5FAA795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FF1C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мая 1942 вышло Постановление ГКО № 1722 О консервации производства 122 мм корпусных пушек образца 1931/37 г.г. А-19 и увеличении производства 152 мм пушек-гаубиц на заводе № 172 НКВ. РГАНИР, Фонд ГКО, д. 34, лл. 99 (11012).</w:t>
      </w:r>
    </w:p>
    <w:p w14:paraId="3B06CEF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3F1CD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0342640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037CE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мая в 1942 году утреннее сообщение Совинформбюро:</w:t>
      </w:r>
    </w:p>
    <w:p w14:paraId="11DAFA5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10 мая на фронте чего-либо существенного не произошло.</w:t>
      </w:r>
    </w:p>
    <w:p w14:paraId="18C2BF5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Калининском фронте, за два дня боевых действий уничтожила более 600 немецких солдат и офицеров, подбила 2 танка и разрушила 8 блиндажей.</w:t>
      </w:r>
    </w:p>
    <w:p w14:paraId="0233170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военному объекту, который охраняют зенитчики части т. Курбатова, приближалось звено немецких самолётов. Батарея немедленно открыла огонь. Один немецкий самолёт был сбит, а остальные повернули обратно. Через два часа в воздухе появился немецкий разведчик. После нескольких выстрелов самолёт загорелся и рухнул на землю. Всего за этот день зенитчики части т. Курбатова уничтожили четыре немецких самолёта.</w:t>
      </w:r>
    </w:p>
    <w:p w14:paraId="7D06C6F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За истекший день одна наша гвардейская артиллерийская часть (Западный фронт) разрушила 5 немецких ДЗОТов, подавила огонь двух миномётных батарей, одной артиллерийской батареи и нескольких пулемётов.</w:t>
      </w:r>
    </w:p>
    <w:p w14:paraId="080B319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Политрук тов. Мартынов метким огнём из самозарядной винтовки сбил немецкий самолёт «Фокке-Вульф».</w:t>
      </w:r>
    </w:p>
    <w:p w14:paraId="307A728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гвардейцев под командованием младшего лейтенанта Абрамова во время разведки в тылу у врага встретила отделение немецких солдат. Все гитлеровцы были уничтожены. Возвращаясь обратно, разведчики обстреляли низко летевший немецкий самолёт «Ю-52». Самолёт загорелся и упал на землю.</w:t>
      </w:r>
    </w:p>
    <w:p w14:paraId="64897F5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1 роты сапёрного батальона 1 танковой дивизии Эрих Бок рассказал: «1 танковая дивизия понесла колоссальные потери в людях и вооружении. После нескольких упорных боёв в дивизии осталось менее половины личного состава, 8 танков и 8 автомашин. В настоящее время дивизия получила пополнение из Франции. Дисциплина резко понизилась. Солдаты часто вступают в пререкания с командирами, нередко отказываются выполнять их приказы. Среди офицеров много трусов. Накануне боя они прикидываются больными».</w:t>
      </w:r>
    </w:p>
    <w:p w14:paraId="09E7DB1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выдержки из письма немецкого обер-ефрейтора Карла Вельблинга обер-ефрейтору Штюрмеру: «...Теперь уже ясно, что силы России неистощимы. Мы пережили ужасные дни. Позади зима, которой ни один солдат никогда не забудет... Война на Востоке ужасна и многим из наших стоила жизни. Гросс тяжело ранен, Циммера мы потеряли при первом наступлении, Ланг поплатился жизнью, Штумфа я уже давно не видел. Мы с нетерпением ждём того дня, который возвратит нам родину».</w:t>
      </w:r>
    </w:p>
    <w:p w14:paraId="1ECCE61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мая произошло новое вооружённое столкновение между румынскими и венгерскими пограничными войсками. Ночью отряд румын перешёл границу недалеко от Брецку и внезапно напал на казармы венгерских пограничников. В кровавой схватке, длившейся около двух часов, было убито более 20 венгерских солдат. Возвращаясь на свою территорию, румыны унесли с собой трупы убитых венгерцев.» (14887).</w:t>
      </w:r>
    </w:p>
    <w:p w14:paraId="35A2AC1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CB08B4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мая в 1942 году вечернее сообщение Совинформбюро:</w:t>
      </w:r>
    </w:p>
    <w:p w14:paraId="5BDC00F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10 мая на фронте существенных изменений не произошло.</w:t>
      </w:r>
    </w:p>
    <w:p w14:paraId="221E5D0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9 мая уничтожено 25 немецких самолётов. Наши потери — 18 самолётов.</w:t>
      </w:r>
    </w:p>
    <w:p w14:paraId="01E37FB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9 мая частями нашей авиации уничтожено или повреждено 13 немецких танков,около 60 автомашин с войсками и грузами, 5 подвод с боеприпасами, 14 полевых и зенитных орудий, один прожектор, разбит железнодорожный состав, рассеяно и частью уничтожено до батальона пехоты противника.</w:t>
      </w:r>
    </w:p>
    <w:p w14:paraId="0FA7E68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за два дня боевых действий уничтожили несколько артиллерийских орудий, миномётов, пулемётов и до 500 солдат и офицеров противника.</w:t>
      </w:r>
    </w:p>
    <w:p w14:paraId="3743885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под командованием младшего лейтенанта Муратикова (Западный фронт), действуя в тылу противника, организовала крушение двух воинских эшелонов.Разбиты паровоз и свыше 30 железнодорожных вагонов. В результате крушений противник потерял только убитыми свыше 1.000 солдат и офицеров.</w:t>
      </w:r>
    </w:p>
    <w:p w14:paraId="34D30E8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днях 11 советских самолётов под командованием тов. Зуба (Южный фронт) атаковали аэродром противника, на котором находилось до 40 самолётов. Аэродром охранялся четырьмя вражескими истребителями. Наши истребители завязали воздушный бой с немецкими истребителями и отвлекли их в сторону от аэродрома. Тем временем наши штурмовики на бреющем полёте атаковали немецкие самолёты, находившиеся на земле. Сожжено 12 и повреждено 9 машин противника.</w:t>
      </w:r>
    </w:p>
    <w:p w14:paraId="1FE2555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Наше подразделение под командованием тов. Карпова (Калининский фронт) отразило три контратаки немецкой пехоты, поддержанной шестью танками. Уничтожено более 150 гитлеровцев и подбит немецкий танк.</w:t>
      </w:r>
    </w:p>
    <w:p w14:paraId="48F00EA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Орудийный расчёт тов. Богданова прямой наводкой уничтожил 3 немецких танка.</w:t>
      </w:r>
    </w:p>
    <w:p w14:paraId="3C6F94D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1 роты 188 сапёрного батальона 88 немецкой пехотной дивизии Франц Иле рассказал: «Многие солдаты враждебно относятся к офицерам. Особенно солдаты ненавидят военных врачей за то, что последние видят в каждом солдате симулянта и признают годными к строевой службе заведомых инвалидов и полукалек. В январе в Киеве партизанами было взорвано большое здание, которое занимали немецкие штабные учреждения. Там погибло много офицеров, в том числе несколько полковников. Солдаты сапёрного батальона узнали об этом в поезде, по дороге вКиев. Выслушав рассказ о взрыве, многие засмеялись, а некоторые даже отпускали разные шутки. Кто-то пытался их унять, заявив, что нельзя смеяться над гибелью своих людей. Тогда один солдат сказал: «Но ведь это же были офицеры!».</w:t>
      </w:r>
    </w:p>
    <w:p w14:paraId="1FAD79A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немецкого обер-ефрейтора Хойнека найдено неотправленное письмо на родину. В нём он писал: «Ты не можешь себе представить, что происходит при атаках в лесу. За неделю нашу роту уничтожили, осталось в живых только 10 человек. Никого из товарищей уже нет. Все либо убиты, либо ранены. Сейчас греет солнце и на дворе тает. Всё покрыто водой. Мы находимся посредине большого болота. Сидим и ждём, что будет дальше, так как с такой кучкой людей воевать больше нельзя. Хоть бы скорей конец! Лишь бы выбраться отсюда».</w:t>
      </w:r>
    </w:p>
    <w:p w14:paraId="5D2015E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селе Грузино, Ленинградской области, обнаружены трупы семи красноармейцев, зверски замученных гитлеровцами. Местные жители рассказали, что немцы привязали раненых пленных красноармейцев к изгороди, подвергли их жестоким истязаниям, а потом закололи штыками.» (14887).</w:t>
      </w:r>
    </w:p>
    <w:p w14:paraId="32F5989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2EB7F8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мая в 1942 году войска Крымского фронта отошли на линию Турецкого Вала (14887).</w:t>
      </w:r>
    </w:p>
    <w:p w14:paraId="6F87E0A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AC2C1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мая 1942 на Восточный фронт прибыла первая эскадрилья из 12 штурмовиков Hs-129 (513,8).</w:t>
      </w:r>
    </w:p>
    <w:p w14:paraId="2C7ECEB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CDF6B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537F6E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BE128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 мая в 1942 году прототип итальянского истребителя </w:t>
      </w:r>
      <w:hyperlink r:id="rId17" w:tgtFrame="_blank" w:history="1">
        <w:r w:rsidRPr="008127F8">
          <w:rPr>
            <w:rFonts w:ascii="Times New Roman" w:hAnsi="Times New Roman"/>
            <w:color w:val="000000" w:themeColor="text1"/>
            <w:sz w:val="16"/>
            <w:szCs w:val="16"/>
          </w:rPr>
          <w:t xml:space="preserve">«Re.2005» «Sagittario» </w:t>
        </w:r>
      </w:hyperlink>
      <w:r w:rsidRPr="008127F8">
        <w:rPr>
          <w:rFonts w:ascii="Times New Roman" w:hAnsi="Times New Roman"/>
          <w:color w:val="000000" w:themeColor="text1"/>
          <w:sz w:val="16"/>
          <w:szCs w:val="16"/>
        </w:rPr>
        <w:t>(серийный № ММ494) был поднят в воздух летчиком-испытателем Да Прато. В июне он прошел цикл летных испытаний на аэродроме испытательного центра Гвидония, а в августе - стрельбы из бортового оружия на полигоне в Фурбаре. В ходе испытаний достиг максимальной скорости горизонтального полета 678 км/ч и 980 км/ч при пикировании. Позже летчик- испытатель утверждал, что достиг 1100 км/ч, но это, скорее всего, из области "охотничьих рассказов". Тем более, что имеется и документальное подтверждение - автограф летчика на снимке самолета, с цифрами 980 (14887).</w:t>
      </w:r>
    </w:p>
    <w:p w14:paraId="48DA184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1E1C44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мая 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Прототип итальянского истребителя Re.2005 Sagittario (серийный № ММ494) был поднят в воздух летчиком-испытателем Да Прато. В июне он прошел цикл летных испытаний на аэродроме испытательного центра Гвидония, а в августе - стрельбы из бортового оружия на полигоне в Фурбаре. В ходе испытаний достиг максимальной скорости горизонтального полета 678 км/ч и 980 км/ч при пикировании. Позже летчик- испытатель утверждал, что достиг 1100 км/ч, но это, скорее всего, из области "охотничьих рассказов". Тем более, что имеется и документальное подтверждение - автограф летчика на снимке самолета, с цифрами 980.</w:t>
      </w:r>
    </w:p>
    <w:p w14:paraId="7D333D3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моменту капитуляции Италии были поставлены два прототипа и двадцать девять из 34 самолетов нулевой серии. В производстве находилось множество агрегатов и, фактически, была готова сборочная линия. После капитуляции немецкое командование захватило все доступные и исправные Re.2005 и потребовало продолжения производства. Предполагался монтаж комплектных германских силовых установок на итальянские фюзеляжи. Как уже упоминалось, второй прототип перелетел в область Плоешти, а самолеты с серийными номерами ММ096100-04 и ММ096106-11 были переданы в ПВО Берлина. Еще перед капитуляцией, несколько Re.2005 получила 22 истребительная авиагруппа базировавшаяся в области Неаполь-Каподичино, имевшая задачу обороны города и окрестностей. Один из истребителей Re.2005 этого подразделения после принятия капитуляции попал к американцам, которые доставили его в США и интенсивно испытывали до 1946 года. По отзывам американских испытателей это был один из лучших неприятельских истребителей, которые им довелось испытать (22507).</w:t>
      </w:r>
    </w:p>
    <w:p w14:paraId="31BF6E9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801B4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May 10 1942 The possibility of increasing the range of small aircraft, by operating them as towed gliders, was demonstrated at the Naval Aircraft Factory when Lieutenant Commanders W. H. McClure and R. W. Denbo hooked their F4F's to tow lines streamed behind a twin-engined BD (Army A-20), cut their engines and were towed for an hour at 180 knots at 7,000 feet (1090).</w:t>
      </w:r>
    </w:p>
    <w:p w14:paraId="1486B26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E77E0A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мая 1942 состоялась демонстрация транспортировки небольших самолетов в качестве планеров за А-20 (1090).</w:t>
      </w:r>
    </w:p>
    <w:p w14:paraId="27F162F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6DAB5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мая 1942 Немецкие и итальянские ВВС перестали подвергать Мальту "ковровым" бомбардировкам (4963 ).</w:t>
      </w:r>
    </w:p>
    <w:p w14:paraId="74520E4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F9A69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мая 1942 командующий Luftflotte 2, фельдмаршал Альберт Кессельринг, сообщает в Берлин, что «нейтрализация Мальты завершена», знаменуя конец тяжелой немецкой воздушной кампании против острова, начавшейся в декабре прошлого года. В тот же день вновь прибывшие «Спитфайры» впервые за несколько месяцев столкнулись с превосходящими силами самолетов Оси над островом, сбив 12 немецких самолетов и потеряв три «Спитфайра» (20793).</w:t>
      </w:r>
    </w:p>
    <w:p w14:paraId="267798C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52D32E1"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мая 1942 Черчилль предупредил Гитлера об ответных мерах Англии в случае, если Германия будет применять отравляющие газы в СССР (4962).</w:t>
      </w:r>
    </w:p>
    <w:p w14:paraId="4205D61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F380A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мая в 1942 году приказ командования сухопутных войск Германии «О мобилизации русской рабочей силы для империи» (14887).</w:t>
      </w:r>
    </w:p>
    <w:p w14:paraId="3C9B855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5586D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C67AF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B23BC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1942 года Шишкин писал Яковлеву.</w:t>
      </w:r>
    </w:p>
    <w:p w14:paraId="60ACA0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Рапорт.</w:t>
      </w:r>
    </w:p>
    <w:p w14:paraId="599932B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НКАП от 14.IV - за N 301-к я назначен начальником 7 главного управления НКАП с оставлением в должности начальника ЦАГИ.</w:t>
      </w:r>
    </w:p>
    <w:p w14:paraId="653AA3D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СНК от 2 марта 1938 года за N 248, выполняя указанный приказ, прошу назначить комиссию по приемке-сдаче дел Главка, которая до сих пор не назначена.</w:t>
      </w:r>
    </w:p>
    <w:p w14:paraId="15AC4C6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в дополнение к моему устному заявлению о несогласии с этим назначением, сделанному Вам до назначения ставлю Вас в известность, что считаю для себя невозможным обеспечить руководство одновременно двумя крупнейшими участками работы, каждый из которых по моему требует всего времени руководителя. Об этом мною подан рапорт наркому (1684,114).</w:t>
      </w:r>
    </w:p>
    <w:p w14:paraId="0DFB77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2983D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1942 Нач. 7 ГУ и одновременно ЦАГИ Шишкин писал письмо А.С.Я. с просьбой освободить его от должности Нач. 7 ГУ приказом НКАП N 301к от 14 апреля 1942, т.к. считал, что не сможет одновременно руководить ЦАГИ. А.С.Я. написал на письме: "Т. А.И.Ш. при личной беседе с Шишкиным в моем присутствии отклонил его просьбу" (1684,114).</w:t>
      </w:r>
    </w:p>
    <w:p w14:paraId="6AB421A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7BED3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1942 вышел приказ НКАП N 365с:</w:t>
      </w:r>
    </w:p>
    <w:p w14:paraId="7C4951B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установления летных данных серийных самолетов Як-1, Як-7, лаГГ-3 Ил-2, Пе-2 последних серий:</w:t>
      </w:r>
    </w:p>
    <w:p w14:paraId="23D1C74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Летные испытания всех указанных самолетов провести в ЛИИ (1552,38).</w:t>
      </w:r>
    </w:p>
    <w:p w14:paraId="41D6E64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00D3B9" w14:textId="77777777" w:rsidR="004815BC" w:rsidRPr="008A2E5A" w:rsidRDefault="004815BC" w:rsidP="004815B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мая 1942 г. по приказу НКАП № 365с обе первые машины Як-7Б, которые постановлением ГКО №1659сс и дублиру</w:t>
      </w:r>
      <w:r w:rsidRPr="008A2E5A">
        <w:rPr>
          <w:rFonts w:ascii="Times New Roman" w:hAnsi="Times New Roman"/>
          <w:color w:val="0070C0"/>
          <w:sz w:val="16"/>
          <w:szCs w:val="16"/>
        </w:rPr>
        <w:softHyphen/>
        <w:t>ющим приказом НКАП №333сс от 30.04.42 г. завод № 82 должен был сдать по графику 26-го и 31-го мая, следовало представить на испытания для определения летных данных в ЛИИ НКАП уже к 15 мая 1942 г. Планировалось, что прибывающие из Новосибирска фюзеляжи в комплекте с различными де</w:t>
      </w:r>
      <w:r w:rsidRPr="008A2E5A">
        <w:rPr>
          <w:rFonts w:ascii="Times New Roman" w:hAnsi="Times New Roman"/>
          <w:color w:val="0070C0"/>
          <w:sz w:val="16"/>
          <w:szCs w:val="16"/>
        </w:rPr>
        <w:softHyphen/>
        <w:t>талями будут начиняться в Тушине моторами, винтами, радиаторами, вооружением и стыковаться с изготовлен</w:t>
      </w:r>
      <w:r w:rsidRPr="008A2E5A">
        <w:rPr>
          <w:rFonts w:ascii="Times New Roman" w:hAnsi="Times New Roman"/>
          <w:color w:val="0070C0"/>
          <w:sz w:val="16"/>
          <w:szCs w:val="16"/>
        </w:rPr>
        <w:softHyphen/>
        <w:t>ными на месте крыльями, сокращая, таким образом, цикл изготовления боевых машин на время, затрачиваемое на доставку комплектующих в Сибирь. Во-вторых, это позво</w:t>
      </w:r>
      <w:r w:rsidRPr="008A2E5A">
        <w:rPr>
          <w:rFonts w:ascii="Times New Roman" w:hAnsi="Times New Roman"/>
          <w:color w:val="0070C0"/>
          <w:sz w:val="16"/>
          <w:szCs w:val="16"/>
        </w:rPr>
        <w:softHyphen/>
        <w:t>ляло рационально использовать производственные мощ</w:t>
      </w:r>
      <w:r w:rsidRPr="008A2E5A">
        <w:rPr>
          <w:rFonts w:ascii="Times New Roman" w:hAnsi="Times New Roman"/>
          <w:color w:val="0070C0"/>
          <w:sz w:val="16"/>
          <w:szCs w:val="16"/>
        </w:rPr>
        <w:softHyphen/>
        <w:t>ности завода №153, разгружая цеха окончательной сбор</w:t>
      </w:r>
      <w:r w:rsidRPr="008A2E5A">
        <w:rPr>
          <w:rFonts w:ascii="Times New Roman" w:hAnsi="Times New Roman"/>
          <w:color w:val="0070C0"/>
          <w:sz w:val="16"/>
          <w:szCs w:val="16"/>
        </w:rPr>
        <w:softHyphen/>
        <w:t>ки, которые могли простаивать в связи с дефицитом мо</w:t>
      </w:r>
      <w:r w:rsidRPr="008A2E5A">
        <w:rPr>
          <w:rFonts w:ascii="Times New Roman" w:hAnsi="Times New Roman"/>
          <w:color w:val="0070C0"/>
          <w:sz w:val="16"/>
          <w:szCs w:val="16"/>
        </w:rPr>
        <w:softHyphen/>
        <w:t>торов, винтов и других готовых изделий. В-третьих, по мере укомплектования оборудованием, а также увеличе</w:t>
      </w:r>
      <w:r w:rsidRPr="008A2E5A">
        <w:rPr>
          <w:rFonts w:ascii="Times New Roman" w:hAnsi="Times New Roman"/>
          <w:color w:val="0070C0"/>
          <w:sz w:val="16"/>
          <w:szCs w:val="16"/>
        </w:rPr>
        <w:softHyphen/>
        <w:t>ния числа и повышения квалификации рабочей силы Ту</w:t>
      </w:r>
      <w:r w:rsidRPr="008A2E5A">
        <w:rPr>
          <w:rFonts w:ascii="Times New Roman" w:hAnsi="Times New Roman"/>
          <w:color w:val="0070C0"/>
          <w:sz w:val="16"/>
          <w:szCs w:val="16"/>
        </w:rPr>
        <w:softHyphen/>
        <w:t>шинский завод мог перейти на самостоятельное изготов</w:t>
      </w:r>
      <w:r w:rsidRPr="008A2E5A">
        <w:rPr>
          <w:rFonts w:ascii="Times New Roman" w:hAnsi="Times New Roman"/>
          <w:color w:val="0070C0"/>
          <w:sz w:val="16"/>
          <w:szCs w:val="16"/>
        </w:rPr>
        <w:softHyphen/>
        <w:t>ление самолетов. Проектная мощность завода планиро</w:t>
      </w:r>
      <w:r w:rsidRPr="008A2E5A">
        <w:rPr>
          <w:rFonts w:ascii="Times New Roman" w:hAnsi="Times New Roman"/>
          <w:color w:val="0070C0"/>
          <w:sz w:val="16"/>
          <w:szCs w:val="16"/>
        </w:rPr>
        <w:softHyphen/>
        <w:t>валась на выпуск 2,5 самолетов Як-7Б в день (23381).</w:t>
      </w:r>
    </w:p>
    <w:p w14:paraId="3AC708AB" w14:textId="77777777" w:rsidR="004815BC" w:rsidRPr="008A2E5A" w:rsidRDefault="004815BC" w:rsidP="004815BC">
      <w:pPr>
        <w:spacing w:after="0" w:line="240" w:lineRule="auto"/>
        <w:jc w:val="both"/>
        <w:rPr>
          <w:rFonts w:ascii="Times New Roman" w:hAnsi="Times New Roman"/>
          <w:color w:val="0070C0"/>
          <w:sz w:val="16"/>
          <w:szCs w:val="16"/>
        </w:rPr>
      </w:pPr>
    </w:p>
    <w:p w14:paraId="00A46543" w14:textId="77777777" w:rsidR="004815BC" w:rsidRPr="008A2E5A" w:rsidRDefault="004815BC" w:rsidP="004815B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мая 1942 г. в четвертом за день полете Як-7-37 при отстреле УБС над р. Обь на высоте 200 м произошел прострел и обрыв двух лопастей винта (в каждую лопасть попало по три пули) по вине оружия. При вынужденной посадке без шасси само</w:t>
      </w:r>
      <w:r w:rsidRPr="008A2E5A">
        <w:rPr>
          <w:rFonts w:ascii="Times New Roman" w:hAnsi="Times New Roman"/>
          <w:color w:val="0070C0"/>
          <w:sz w:val="16"/>
          <w:szCs w:val="16"/>
        </w:rPr>
        <w:softHyphen/>
        <w:t>лет потерпел аварию, в которой пострадал летчик-испы</w:t>
      </w:r>
      <w:r w:rsidRPr="008A2E5A">
        <w:rPr>
          <w:rFonts w:ascii="Times New Roman" w:hAnsi="Times New Roman"/>
          <w:color w:val="0070C0"/>
          <w:sz w:val="16"/>
          <w:szCs w:val="16"/>
        </w:rPr>
        <w:softHyphen/>
        <w:t>татель П.Я. Федрови. Из-за аварии самолет не только не завершил испытания, но и не был сфотографирован. В от</w:t>
      </w:r>
      <w:r w:rsidRPr="008A2E5A">
        <w:rPr>
          <w:rFonts w:ascii="Times New Roman" w:hAnsi="Times New Roman"/>
          <w:color w:val="0070C0"/>
          <w:sz w:val="16"/>
          <w:szCs w:val="16"/>
        </w:rPr>
        <w:softHyphen/>
        <w:t>чет по испытаниям вклеили отретушированные фото Як- 75 №1413 (23381).</w:t>
      </w:r>
    </w:p>
    <w:p w14:paraId="3DCD7423" w14:textId="77777777" w:rsidR="004815BC" w:rsidRPr="008A2E5A" w:rsidRDefault="004815BC" w:rsidP="004815BC">
      <w:pPr>
        <w:spacing w:after="0" w:line="240" w:lineRule="auto"/>
        <w:jc w:val="both"/>
        <w:rPr>
          <w:rFonts w:ascii="Times New Roman" w:hAnsi="Times New Roman"/>
          <w:color w:val="0070C0"/>
          <w:sz w:val="16"/>
          <w:szCs w:val="16"/>
        </w:rPr>
      </w:pPr>
    </w:p>
    <w:p w14:paraId="0DED306C" w14:textId="77777777" w:rsidR="004815BC" w:rsidRPr="008A2E5A" w:rsidRDefault="004815BC" w:rsidP="004815B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мая 1942 г. Государственный Ко</w:t>
      </w:r>
      <w:r w:rsidRPr="008A2E5A">
        <w:rPr>
          <w:rFonts w:ascii="Times New Roman" w:hAnsi="Times New Roman"/>
          <w:color w:val="0070C0"/>
          <w:sz w:val="16"/>
          <w:szCs w:val="16"/>
        </w:rPr>
        <w:softHyphen/>
        <w:t>митет Обороны своим постановлением № 1725сс увеличил срок службы моторов М-105ПФ до первой переборки до 150 часов включая все моторы это</w:t>
      </w:r>
      <w:r w:rsidRPr="008A2E5A">
        <w:rPr>
          <w:rFonts w:ascii="Times New Roman" w:hAnsi="Times New Roman"/>
          <w:color w:val="0070C0"/>
          <w:sz w:val="16"/>
          <w:szCs w:val="16"/>
        </w:rPr>
        <w:softHyphen/>
        <w:t>го типа, выпущенные с начала производства. По поста</w:t>
      </w:r>
      <w:r w:rsidRPr="008A2E5A">
        <w:rPr>
          <w:rFonts w:ascii="Times New Roman" w:hAnsi="Times New Roman"/>
          <w:color w:val="0070C0"/>
          <w:sz w:val="16"/>
          <w:szCs w:val="16"/>
        </w:rPr>
        <w:softHyphen/>
        <w:t>новлению ГКО № 1673с от 28 апреля 1942 г. завод № 26 (г. Уфа) с 1 мая перешел на выпуск моторов М-105ПФ, как начали называть серийные моторы с повышенным над</w:t>
      </w:r>
      <w:r w:rsidRPr="008A2E5A">
        <w:rPr>
          <w:rFonts w:ascii="Times New Roman" w:hAnsi="Times New Roman"/>
          <w:color w:val="0070C0"/>
          <w:sz w:val="16"/>
          <w:szCs w:val="16"/>
        </w:rPr>
        <w:softHyphen/>
        <w:t>дувом (23381).</w:t>
      </w:r>
    </w:p>
    <w:p w14:paraId="5F6745AC" w14:textId="77777777" w:rsidR="004815BC" w:rsidRPr="008A2E5A" w:rsidRDefault="004815BC" w:rsidP="004815BC">
      <w:pPr>
        <w:spacing w:after="0" w:line="240" w:lineRule="auto"/>
        <w:jc w:val="both"/>
        <w:rPr>
          <w:rFonts w:ascii="Times New Roman" w:hAnsi="Times New Roman"/>
          <w:color w:val="0070C0"/>
          <w:sz w:val="16"/>
          <w:szCs w:val="16"/>
        </w:rPr>
      </w:pPr>
    </w:p>
    <w:p w14:paraId="6C4E0D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1942 вышло Постановление ГКО № 1725 Об установлении срока службы мотора М-105ПФ. РГАНИР, Фонд ГКО, д. 34, лл. 102, 103 (11012).</w:t>
      </w:r>
    </w:p>
    <w:p w14:paraId="09617AC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AFC72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1942 вышло Постановление ГКО № 1728 [О персональных перестановках и перестройке работы Гражданского воздушного флота.] (7034, 107,107-110).</w:t>
      </w:r>
    </w:p>
    <w:p w14:paraId="21774EF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1C93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1942 вышел приказ НКАП № 372с:</w:t>
      </w:r>
    </w:p>
    <w:p w14:paraId="585FCD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развития производства морского самолетостроения:</w:t>
      </w:r>
    </w:p>
    <w:p w14:paraId="6E58F5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Организовать на площадях бавшего з-да № 30 (Московское море) опытный з-д морского самолетостроения, присвоив ему № 458. З-д № 458 подчинить 7 ГУ,</w:t>
      </w:r>
    </w:p>
    <w:p w14:paraId="65D91C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Перевести на з-д № 458 ОКБ Четверикова, ГК Четверикова одновременно назначить д-ром з-да № 458.</w:t>
      </w:r>
    </w:p>
    <w:p w14:paraId="55365C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Шахурин (1553, 10-11).</w:t>
      </w:r>
    </w:p>
    <w:p w14:paraId="217916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6BEA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1942 вышел приказ НКАП N 372с:</w:t>
      </w:r>
    </w:p>
    <w:p w14:paraId="70187C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развития производства морского самолетостроения:</w:t>
      </w:r>
    </w:p>
    <w:p w14:paraId="766EC9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Организовать на площадях бывшего завода 30 (Московское море), опытный завод морского самолетостроения, присвоив ему номер 458. Завод 458 подчинить 7 ГУ</w:t>
      </w:r>
    </w:p>
    <w:p w14:paraId="132E2D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Перевести на завод 458 ОКБ И.В.Четверикова ГК и одновременно директором завода 458 (1553,10).</w:t>
      </w:r>
    </w:p>
    <w:p w14:paraId="6D85F27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B401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мае 1942 года приказом НКАП за № 372с на базе завода № 30 был создан опытный завод № 458. Этим же приказом гл. конструктором и директором завода был назначен Четвериков.</w:t>
      </w:r>
    </w:p>
    <w:p w14:paraId="02AE04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Перед заводом были поставлены задачи по опытному проектированию гидросамолетов и их ремонту.</w:t>
      </w:r>
    </w:p>
    <w:p w14:paraId="6900CB3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МАП № 288сс от 19 апреля 1946 года завод № 458 реорганизуется в опытный завод № 1 и подчиняется непосредственно министру авиапромышленности.</w:t>
      </w:r>
    </w:p>
    <w:p w14:paraId="5E8127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Решением СМ от 1 сентября 1951 года за № 3251-1545 на базе Опытного завода № 1 создается завод № 256 МАП.</w:t>
      </w:r>
    </w:p>
    <w:p w14:paraId="1BD8D3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Директора: </w:t>
      </w:r>
    </w:p>
    <w:p w14:paraId="6838A0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1940 года – Загайнов, в том же году его сменил Руденко Я.К.</w:t>
      </w:r>
    </w:p>
    <w:p w14:paraId="5F6634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НКАП за № 372с от 11 мая 1942 года директором и гл. конструктором завода назначается Четвериков.</w:t>
      </w:r>
    </w:p>
    <w:p w14:paraId="6F0144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1946 года директором назначается Абрамов В.И.</w:t>
      </w:r>
    </w:p>
    <w:p w14:paraId="1EA110D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1950 года директором назначается Смирнов П.П.</w:t>
      </w:r>
    </w:p>
    <w:p w14:paraId="241005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августа 1959 года директором назначается Лисицын В.Н.</w:t>
      </w:r>
    </w:p>
    <w:p w14:paraId="15B415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августе 1951 года директором назначается Белиловский С.И.</w:t>
      </w:r>
    </w:p>
    <w:p w14:paraId="389781D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Иваньково Московской обл., п/я 6</w:t>
      </w:r>
    </w:p>
    <w:p w14:paraId="275CD5D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завода</w:t>
      </w:r>
    </w:p>
    <w:p w14:paraId="2F8496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Четвериков, с 13 ноября 1944 года – Горбунов</w:t>
      </w:r>
    </w:p>
    <w:p w14:paraId="0C9E41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декабря 1949 года приказом МАП № 724-К должность была упразднена.</w:t>
      </w:r>
    </w:p>
    <w:p w14:paraId="2E4402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256 расположен на левом берегу Волги, северной Иваньковской плотины канала им. Москвы, на расстоянии 2-х км от Москвы (9595).</w:t>
      </w:r>
    </w:p>
    <w:p w14:paraId="021CEBA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8955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1942 г. на старой площадке в Иваньково по приказу НКАП № 372с был образован новый опытный завод морского самолетостроения № 458 в системе 7ГУ НКАП (11982).</w:t>
      </w:r>
    </w:p>
    <w:p w14:paraId="719D8A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C9430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1942 г. на освободивш. площадях завода № 30 в Иваньково в соотв. с приказом НКАП №372с образован оп. завод морского самолетостроения №458 в сист. 7ГУ. Тем же приказом определен перевод (возвращение) на новый завод ОКБ гл.к. И.В.Четверикова (назначен гл.к. и дир. завода). Одновременно с восстановлением разрушенных цехов, завод производил сборку серийных гидросамолетов-бомбардировщиков (достройка 5-ти экз. с. Че-2), собирались самолеты Як-6 из задела завода №292, шла доработка истребителей Як-3 и "Спитфайер" под катапультный взлет. ОКБ И.В.Четверикова разрабатывало новые типы гидросамолетов Б-3, Б-4, Б-5, Т-2. В 1944-45 г. на заводе под руководством И.В.Четверикова разрабатывались и изготовлялись оп. образцы катапульты (копия немецкой) для снаряда типа "10Х" ( по заданию завода №51 НКАП). В к. войны на завод было возложено тех. руководство и подготовка тех. док. по восстановлению двух нем. самолетов "Арадо-234" с 4хБМВ-003 для ЛИ. Кроме того шел восстановительный ремонт самолета "Арадо-234" с 2хБМВ-004. С 3.46 г. гл.к. И.В.Четверикову задано разработать и построить бомбардировщик с 4хБМВ-003 и пассажирский самолет-амфибию с мотором АШ-21. В середине 1946 г. испытывались последние модификации самолета МДР-6Б.</w:t>
      </w:r>
    </w:p>
    <w:p w14:paraId="1B1CFCA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Для продолжения опытных работ по приказу №657 от 13.11.44 г. на территорию завода №458 переведено ОКБ-31 гл.к. В.П.Горбунова и В.П.Горбунов назначен нач. ОКБ-31 при заводе №458. В 1946 г. ОКБ-31 при заводе №458 ликвидировано. Коллектив влился в ОКБ И.В.Четверикова при заводе №458 и ОКБ-301 НКАП. </w:t>
      </w:r>
    </w:p>
    <w:p w14:paraId="42151A0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 действовал под данным номером до середины 1946г, когда на его базе организован по пост. СМ №874-361 от 17.4.46 г. опытный завод №1 МАП (ОПЗ-1) специально для организации работ по реактивным самолетам немецких проектов. По прик. №432 от 5.7.46 г.) в гл.к. ОКБ И.В.Четверикова с личн. составом (ок. 100 чел.) и оборуд. переведено в г.Ленинград на пл. №2 завода №272 МАП. </w:t>
      </w:r>
    </w:p>
    <w:p w14:paraId="3E93B7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Являлся базой немецких ОКБ-1 и ОКБ-2 в системе Особого отдела МАП. </w:t>
      </w:r>
    </w:p>
    <w:p w14:paraId="43EB4F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В ОКБ-1 работали немецкие спец. в основном из бывш. фирмы "Юнкерс". Нач. КБ - Н.М.Олехнович, гл.к. - Бронольф В.Бааде, зам. гл.к. - П.Н.Обрубов. Бюро включало самолетный и двигательный отделы. Проводились работы по завершению строительства реактивного бомб. "Юнкерс-131" (ЕФ-131) с 6хЮМО-004, завершению разработки дальнего реактивного бомб. "Юнкерс-132" с 6хЮМО-013, а также работы по постройке реактивного штурмовика "Юнкерс-126" с ПуВРД ЮМО-226 "Аругус". Шли работы по штурмовику ЕФ-126, бомбардировщику ЕФ-140 на базе ЕФ-131, разведчику "140-Р", разведчику/бомб. "140 Б/Р" и бомбардировщику РБ-2. Последней работой ОКБ-1 был бомбардировщик "150". </w:t>
      </w:r>
    </w:p>
    <w:p w14:paraId="354EFA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ОКБ-2 создано из специалистов самолетостроительной фирмы "Зибель". Начальник КБ Н.Н.Власов. Гл.к. - Гайнц Рессинг, зам. гл.к. А.Я.Березняк. Основной задачей ОКБ-2 было проведение работы по завершению проектирования экспериментального реактивного самолета "Зибель-346" (или просто "346") с ЖРД "Вальтер" 109-509. Двигательный отдел КБ кроме ЖРД для "Зибель-346" разрабатывал двигатели Вальтер 109-510, БМВ-3395, БМВ-33902. Кроме того в 1949 г. на основе полученного опыта разработан проект скоростного истребителя "486" с ЖРД. </w:t>
      </w:r>
    </w:p>
    <w:p w14:paraId="31FBF19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 завода с 4.46 г. по 9.47 г. был В.И.Абрамов, далее с 9.47 г. дир. назначен С.Л.Ребенко. </w:t>
      </w:r>
    </w:p>
    <w:p w14:paraId="296F21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Деятельность немецких ОКБ не принесла весомых результатов. С 1950 г. по 1953 г. в несколько этапов большинство немецких специалистов было отправлено в Восточную Германию. Лишь небольшая часть из немецких специалистов (в т.ч. Б.Бааде) переведена в 1953 г. в пос. Савелово на завод №491 МАП. Сюда же попали специалисты из других немецких ОКБ. </w:t>
      </w:r>
    </w:p>
    <w:p w14:paraId="275FD6E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 передан под опытное ракетостроение и в 1953 году получил название завод №256 МАП. Являлся опытной базой ОКБ-2-155 гл.к. А.Я.Березняка (см. МКБ "Радуга") и с 1955 г. - ОКБ-256 гл.к. П.В.Цыбина. В ОКБ-256 проводилась разработка беспилотного бомбардировщика "РС" (с 55 г.), самолета-разведчика "РСР" (с 56 г.), модели НМ-1 (аналог "РСР"), снаряда "РСС". В 1959 г. выпущен эскизный проект воздушно-космического аппарата "ПКА". В этом ОКБ под руководством В.Б.Шаврова выполнен проект разведывательного самолета "РГСР". В 1960 г. основной состав ОКБ-256 объединили с ОКБ-23 МАП. Площади на заводе №256 переданы гл.к. А.Я.Березняку. </w:t>
      </w:r>
    </w:p>
    <w:p w14:paraId="22C37D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разное время на заводе №256 шло серийное пр-во различных КР, в т.ч. "КС", С-2 ("КСС"), ФКР-1, П-15, К-10, Х-20, П-7, Х-22 и др. В 60-е годы на заводе освоено изготовление планера истребителя-перехватчика МиГ-25.</w:t>
      </w:r>
    </w:p>
    <w:p w14:paraId="40BB62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1970-79 гг. на заводе работал Филиал ММЗ "Зенит". Велись работы по постройке аналогов космического аппарата "ЭПОС". Рук. филиала назначен П.А.Шустер. Завершалась сборка аналога 105-11, с 1971 г. началось изготовление аналога 105-12, а также экспериментальной партии изделий. К 1979 г. работы по теме "Спираль" и изд.105 завершены ввиду проведения разработок по принципиально новому типу воздушно-космического самолета - "Буран" (в НПО "Молния"). </w:t>
      </w:r>
    </w:p>
    <w:p w14:paraId="6FC918B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30.04.1966 г. завод получил наименование Дубнинский машиностроительный завод (ДМЗ), с 19.06.1972г по 07.09.1978 г. именовался Дубненское производственно-конструкторское объединение "Радуга" (объединен с МКБ "Радуга"), с 07.09.1978 г. по 12.05.1982 г. - Дубненское производственное объединение "Радуга", с 12.05.1982 г. Дубненский машиностроительный завод. В 1994 г. произошло выделение МКБ "Радуга" в самостоятельное предприятие и завод получил название АООТ "ДМЗ" (Акционерное общество открытого типа "Дубненский машиностроительный завод"). </w:t>
      </w:r>
    </w:p>
    <w:p w14:paraId="10C6666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настоящее время к авиационным работам завода относятся: двухместный пилотажно-акробатический самолет Су-29, многоцелевой самолет "Дубна", самолет-амфибия Р-50 и другие образцы легкой авиации. </w:t>
      </w:r>
    </w:p>
    <w:p w14:paraId="26530D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Предприятие с 2000 г. возглавляет В.А.Щецов (10777).</w:t>
      </w:r>
    </w:p>
    <w:p w14:paraId="5B464F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Дубненский машиностроительный завод (АООТ "ДМЗ") </w:t>
      </w:r>
    </w:p>
    <w:p w14:paraId="33606CD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ранее: Опытный Завод №30, Завод №458, Опытный Завод №1 (ОПЗ-1), Завод №256, ДМЗ</w:t>
      </w:r>
    </w:p>
    <w:p w14:paraId="153C79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141980 МО г.Дубна ул.Жуковского, 2, т. (809621) 25567, 51414</w:t>
      </w:r>
    </w:p>
    <w:p w14:paraId="4C01A3F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FC14C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1942 г. по приказу НКАП № 372с в соответствии с пост. СНК от 10.05.1942 г. на площадке эвакуированного завода № 30 НКАП образован новый опытный завод морского самолетостроения № 458 (ГС завод № 458 НКАП, МАП, Р-458, ГС Опытный завод № 1 (ОПЗ-1) МАП /пос. Иваньково (п/о Подберезьс) Кимрского р-на Калининской обл.,  г. Кимры Калининской, Тверской обл./) в системе 7ГУ НКАП. Тем же приказом ОКБ гл. конструктора И.В. Четверикова возвращено на старое место в Иваньково на завод № 458, Четвериков назначен гл. конструктором/ директором завода.</w:t>
      </w:r>
    </w:p>
    <w:p w14:paraId="62B6965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с восстановлением разрушенных цехов завод производил сборку серийных гидросамолетов- бомбардировщиков (достройка пяти экземпляров Че-2). В 1943 г. проведена реконструкция главного корпуса.</w:t>
      </w:r>
    </w:p>
    <w:p w14:paraId="11B1BB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заводе строились серийно гидросамолеты Четверикова, собирались Як-6 из деталей завода № 292. Работы по доработке истребителей Як-3 и </w:t>
      </w:r>
      <w:r w:rsidRPr="008127F8">
        <w:rPr>
          <w:rFonts w:ascii="Times New Roman" w:hAnsi="Times New Roman"/>
          <w:color w:val="000000" w:themeColor="text1"/>
          <w:sz w:val="16"/>
          <w:szCs w:val="16"/>
          <w:lang w:val="en-US"/>
        </w:rPr>
        <w:t>Spitfire</w:t>
      </w:r>
      <w:r w:rsidRPr="008127F8">
        <w:rPr>
          <w:rFonts w:ascii="Times New Roman" w:hAnsi="Times New Roman"/>
          <w:color w:val="000000" w:themeColor="text1"/>
          <w:sz w:val="16"/>
          <w:szCs w:val="16"/>
        </w:rPr>
        <w:t xml:space="preserve"> под катапультный взлет.</w:t>
      </w:r>
    </w:p>
    <w:p w14:paraId="6A6982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1944-45 г. на заводе изготовлялись опытные образцы катапульты, разработанные Четвериковым, (копия немецкой) для снаряда типа «10Х» (по заданию завода № 51 НКАП). В конце войны на завод было возложено техническое руководство и подготовка документации по восстановлению двух немецких самолетов "</w:t>
      </w:r>
      <w:r w:rsidRPr="008127F8">
        <w:rPr>
          <w:rFonts w:ascii="Times New Roman" w:hAnsi="Times New Roman"/>
          <w:color w:val="000000" w:themeColor="text1"/>
          <w:sz w:val="16"/>
          <w:szCs w:val="16"/>
          <w:lang w:val="en-US"/>
        </w:rPr>
        <w:t>Arado</w:t>
      </w:r>
      <w:r w:rsidRPr="008127F8">
        <w:rPr>
          <w:rFonts w:ascii="Times New Roman" w:hAnsi="Times New Roman"/>
          <w:color w:val="000000" w:themeColor="text1"/>
          <w:sz w:val="16"/>
          <w:szCs w:val="16"/>
        </w:rPr>
        <w:t>-234" с 4х БМВ-003 для летных испытаний. Кроме того, шел восстановительный ремонт самолета "</w:t>
      </w:r>
      <w:r w:rsidRPr="008127F8">
        <w:rPr>
          <w:rFonts w:ascii="Times New Roman" w:hAnsi="Times New Roman"/>
          <w:color w:val="000000" w:themeColor="text1"/>
          <w:sz w:val="16"/>
          <w:szCs w:val="16"/>
          <w:lang w:val="en-US"/>
        </w:rPr>
        <w:t>Arado</w:t>
      </w:r>
      <w:r w:rsidRPr="008127F8">
        <w:rPr>
          <w:rFonts w:ascii="Times New Roman" w:hAnsi="Times New Roman"/>
          <w:color w:val="000000" w:themeColor="text1"/>
          <w:sz w:val="16"/>
          <w:szCs w:val="16"/>
        </w:rPr>
        <w:t>-234" с 2хБМВ-004. В середине 1946 г. испытывались последние модификации самолета МДР-6Б.</w:t>
      </w:r>
    </w:p>
    <w:p w14:paraId="6CD0C7E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годы войны на заводе действовали цеха № 1, 13, 14, 15, 21, транспортный. К 1946 г. завершены работы по восстановлению производственных сооружений.</w:t>
      </w:r>
    </w:p>
    <w:p w14:paraId="2091511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1944-46 г. при заводе действовало ОКБ гл. конструктора В.П. Горбунова.</w:t>
      </w:r>
    </w:p>
    <w:p w14:paraId="01E0C27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 г. завод имел наименование Р-458.</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xml:space="preserve"> По приказу № 656сс от 2.11.1944 г. завод передан из 7ГУ в 18ГУ, а по приказу № 122с от 19.03.1946 г. - обратно в 7ГУ. По приказу № 87д</w:t>
      </w:r>
      <w:r w:rsidRPr="008127F8">
        <w:rPr>
          <w:rFonts w:ascii="Times New Roman" w:hAnsi="Times New Roman"/>
          <w:color w:val="000000" w:themeColor="text1"/>
          <w:sz w:val="16"/>
          <w:szCs w:val="16"/>
          <w:vertAlign w:val="superscript"/>
        </w:rPr>
        <w:t>/</w:t>
      </w:r>
      <w:r w:rsidRPr="008127F8">
        <w:rPr>
          <w:rFonts w:ascii="Times New Roman" w:hAnsi="Times New Roman"/>
          <w:color w:val="000000" w:themeColor="text1"/>
          <w:sz w:val="16"/>
          <w:szCs w:val="16"/>
        </w:rPr>
        <w:t>484с от 10.12.1945 г. планировалось часть площадей передать в НКЭС. В соответствии с пост. СМ № 874-361сс от 17.04.1946 г. и приказом МАП № 228сс от 19.04.1946 г. завод № 458 переименован в Опытный завод № 1 по разработке и производству опытных реактивных самолетов в непосредственном ведении министра. С 1.07.1946 г. завод передан в Особый отдел МАП. На завод привезено много оборудования из Германии.</w:t>
      </w:r>
    </w:p>
    <w:p w14:paraId="2691F4C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432с от 5.07.1946 г. ОКБ завода № 458 гл. конструктора И.В. Четверикова переведено на территорию № 2 завода № 272 МАП, и образован новый завод № 458 МАП в системе 7ГУ.</w:t>
      </w:r>
    </w:p>
    <w:p w14:paraId="486929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Опытный завод № 1 стал производственной базой для переведенных из Германии ОКБ-1 гл. конструктора Б. Бааде и ОКБ-2 гл. конструктора  Г. Рессинга в Особом отделе МАП (всего из Германии прибыло около 500 специалистов). По 1948 г. каждое ОКБ имело свое опытное производство. Из 15 начальников цехов 8 были немцами. С 01.1949 г. структура завода реорганизована, производство объединено; в 8 из 9 цехов начальниками стали отечественные специалисты.</w:t>
      </w:r>
    </w:p>
    <w:p w14:paraId="056CD9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в состав завода входили: ОКБ-1; ОКБ-2; Отдел химии; производственные цеха, расположенные в трех зонах- низкой, средней и высокой (№ 1- механической обработки, № 2- слесарно-сборочный, № 3- агрегатной сборки, № 4- гидроагрегатов и спецоборудования, № 5- окончательной сборки, № 6, № 11- штамповочно- заготовительный, № 12- горячей обработки, № 13- покрытий, № 14- оснастки и приспособлений, № 15- макетный, № 16- лаборатория статических и вибрационных испытаний, № 17- летно-испытательный, № 20- двигателей со стендом); вспомогательные цеха (№ 10- эксплуатации зданий, № 18- ремонтно-механический, № 21- паросиловой, № 22- электроцех, № 23- связи и радио); транспортный цех; ЦЗЛ; аэродинамическая лаборатория. В 04.1948 г. на заводе создается КО по проектированию технологической оснастки (КОПРИН), инструментальный цех № 20.</w:t>
      </w:r>
    </w:p>
    <w:p w14:paraId="3BE968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1.07.1948 г. завод № 1 МАП преобразован из опытного в серийный по приказу № 440 от 21.06.1948 г. в виду прекращения основных тем опытного самолетостроения. Планировался серийный выпуск гидросамолетов, но реализован не был. С конца 1940-х  г. велось строительство опытных образцов КР «16Х», доставшихся от ОКБ-51 В.Н. Челомея.</w:t>
      </w:r>
    </w:p>
    <w:p w14:paraId="045D852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06.1949 г. Особое управление (отдел) упразднено и с 15.06.1949 г. завод № 1 передан в 7ГУ МАП (пр. № 422сс от 4.06.1949 г.). Реорганизована структура завода.</w:t>
      </w:r>
    </w:p>
    <w:p w14:paraId="12C8FF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Период 1949-51 г. не принес весомых результатов работы немецких КБ ввиду изолированности их деятельности от авиационной науки СССР. В 1951 г. прекращена деятельность ОКБ-2 завода.</w:t>
      </w:r>
    </w:p>
    <w:p w14:paraId="43FFD54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от 1.09.1951 г. заводу установлено задание на освоение производства ракеты КС. С 1.10.1951 г. завод передан из 7ГУ в 6ГУ (ракетное). По приказу МАП № 1010 от 12.10.1951 г. на заводе на базе ОКБ-2 организовано ОКБ-2-155 под руководством А.Я. Березняка,</w:t>
      </w:r>
      <w:r w:rsidRPr="008127F8">
        <w:rPr>
          <w:rFonts w:ascii="Times New Roman" w:hAnsi="Times New Roman"/>
          <w:color w:val="000000" w:themeColor="text1"/>
          <w:sz w:val="16"/>
          <w:szCs w:val="16"/>
          <w:vertAlign w:val="superscript"/>
        </w:rPr>
        <w:t>32</w:t>
      </w:r>
      <w:r w:rsidRPr="008127F8">
        <w:rPr>
          <w:rFonts w:ascii="Times New Roman" w:hAnsi="Times New Roman"/>
          <w:color w:val="000000" w:themeColor="text1"/>
          <w:sz w:val="16"/>
          <w:szCs w:val="16"/>
        </w:rPr>
        <w:t xml:space="preserve"> завод № 1 стал филиалом ОКБ-155. В то же время был расширен СКО. Около двух лет филиал ОКБ-155 и СКО работали вместе- размещались на одних площадях, имели общие бригады.</w:t>
      </w:r>
    </w:p>
    <w:p w14:paraId="48A4F8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1951 г. организованы цеха № 8 с участком МИС, контрольно-испытательный цех (КИЦ) № 9. В 1952 г. реконструированы цеха № 3, 12, 19, 30, создан цех окончательной сборки КС, термобарокамера для испытания агрегатов.</w:t>
      </w:r>
    </w:p>
    <w:p w14:paraId="7BCDEC7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1953 г. полностью прекращена работа ОКБ-1 с немецкими специалистами. В 05.1953 г. завод № 1 переименован в завод № 256 МАП (видимо, по приказу МАП № 316с от 2.06.1953 г.) и передан под опытное ракетостроение.</w:t>
      </w:r>
    </w:p>
    <w:p w14:paraId="25F5328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производственная (1946 г.)- 39.227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4A9F24D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(05.1942 г.-&gt; И.В. Четвериков, (04.1946-09.1947 г.)- В.И. Абрамов (снят), (09.1947-01.1950 г.)- С.Л. Ребенко (снят), (01-09.1950 г.)- П.П. Смирнов, (09.1950-07.1951 г.)- В.Н. Лисицын, (07.1951-53 г.)- С.И. Белиловский.</w:t>
      </w:r>
    </w:p>
    <w:p w14:paraId="56559C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строительства (1942-46 г.)- Е.Т. Ястребилов. Зам. директора по капстроительству (1946-53 г.)- Н.А. Буряченко.</w:t>
      </w:r>
    </w:p>
    <w:p w14:paraId="2D63D9D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(1942-46 г.)- З.Б. Ценцинер; и.о. (04.1946 г.-)- Ф.П. Вознесенский; (1946-50 г.)- Ф.П. Вознесенский, (1950-51 г.)- Н.И. Полонский, (1951-53 г.)- В.И. Германов.</w:t>
      </w:r>
    </w:p>
    <w:p w14:paraId="6AA9CAC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(05.1942 г.-)- И.В. Четвериков, (10.1949-52 г.)- С.М. Алексеев.</w:t>
      </w:r>
    </w:p>
    <w:p w14:paraId="0ED5FA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технолог (1942-48 г.)- Б.Д. Иванов, (1948-51 г.)- А.А. Лазарев, (1951-53 г.)- К.Н. Классиди. Гл. энергетик (1948-53 г.)- В.И. Казаков.</w:t>
      </w:r>
    </w:p>
    <w:p w14:paraId="41F068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 8 (1951 г.-&gt; Б.П. Морозов; № 9 (1951 г.-)- Е.Н. Куликов; окончательной сборки КС (1952 г.-)- А.В. Коломенский; (1946-52 г.)- А.И. Потапов.</w:t>
      </w:r>
    </w:p>
    <w:p w14:paraId="3EE186F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Начальники отделов: СКО (1951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Демкдович.</w:t>
      </w:r>
    </w:p>
    <w:p w14:paraId="6D02916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групп: конструкторской (1942 г.-)- Б.В. Долгодров.</w:t>
      </w:r>
    </w:p>
    <w:p w14:paraId="1690418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самолеты: Че-2, Як-6,</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xml:space="preserve"> «150» (1951)- 1.</w:t>
      </w:r>
    </w:p>
    <w:p w14:paraId="372ECB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гл. конструктора И.В. Четверикова при заводе № 458 НКАП</w:t>
      </w:r>
    </w:p>
    <w:p w14:paraId="1947D0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СНК от 10.05.1942 г. и по приказу НКАП № 372с от 11.05.1942 г. на площадке эвакуированного завода № 30 НКАП образован новый опытный завод морского самолетостроения № 458 в системе 7ГУ НКАП. Тем же приказом ОКБ гл. конструктора И.В. Четверикова возвращено на старое место в Иваньково на завод № 458, Четвериков назначен гл. конструктором/ директором завода.</w:t>
      </w:r>
    </w:p>
    <w:p w14:paraId="730E5BB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Созданы гидросамолеты МДР-6 (Б-1, Б-2, Б-3, Б-4, Б-5, Т-2). В 1944-45 г. разработаны опытные образцы катапульты (копия немецкой) для снаряда типа «10Х» (по заданию завода № 51 НКАП). В 03.1946 г. И.В. Четверикову выдано задание разработать и построить фронтовой бомбардировщик с 4х БМВ-003 и пассажирский самолет-амфибию («ТА») с мотором АШ-21.</w:t>
      </w:r>
    </w:p>
    <w:p w14:paraId="08E10A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432 от 5.07.1946 г. ОКБ Четверикова с личным составом (около 100 чел.) и оборудованием переведено на площадку № 2 завода № 273 в Ленинград.</w:t>
      </w:r>
      <w:r w:rsidRPr="008127F8">
        <w:rPr>
          <w:rFonts w:ascii="Times New Roman" w:hAnsi="Times New Roman"/>
          <w:color w:val="000000" w:themeColor="text1"/>
          <w:sz w:val="16"/>
          <w:szCs w:val="16"/>
          <w:vertAlign w:val="superscript"/>
        </w:rPr>
        <w:t>32</w:t>
      </w:r>
    </w:p>
    <w:p w14:paraId="3C66DD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(-1945 г.)- Б.В. Долгодров.</w:t>
      </w:r>
    </w:p>
    <w:p w14:paraId="513E83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(05.1942-07.1946 г.)- И.В. Четвериков.</w:t>
      </w:r>
      <w:r w:rsidRPr="008127F8">
        <w:rPr>
          <w:rFonts w:ascii="Times New Roman" w:hAnsi="Times New Roman"/>
          <w:color w:val="000000" w:themeColor="text1"/>
          <w:sz w:val="16"/>
          <w:szCs w:val="16"/>
          <w:vertAlign w:val="superscript"/>
        </w:rPr>
        <w:t>2</w:t>
      </w:r>
    </w:p>
    <w:p w14:paraId="66363C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(-1945 г.)- Б.В. Долгодров.</w:t>
      </w:r>
    </w:p>
    <w:p w14:paraId="49B9E0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ОКБ-31 НКАП гл. конструктора В.П. Горбунова при заводе № 458 НКАП</w:t>
      </w:r>
    </w:p>
    <w:p w14:paraId="7AE61E0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657с от 13.11.1944 г. на завод № 458 с завода № 31 НКАП в 02.1945 г. переведено ОКБ-31 18ГУ НКАП гл. конструктора В.П. Горбунова (в количестве 90 чел.) с опытным цехом для выпуска самолетов ЛаГ Г. В.П. Горбунов назначен начальником ОКБ-31 при заводе № 458. С 12.1944 г. возложены также работы по созданию второго варианта стартового устройства для «10Х».</w:t>
      </w:r>
    </w:p>
    <w:p w14:paraId="691A239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09.1945 г. Горбунов погиб. В 1946 г. ОКБ-31 при заводе № 458 ликвидировано. По приказу № 48с от 8.02.1946 г. 22 ИТР с архивом переведены в ОКБ-301. Остальные сотрудники перешли в ОКБ Четверикова (17 чел.) и Яковлева.</w:t>
      </w:r>
    </w:p>
    <w:p w14:paraId="2AD360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(1945 г.)- В.П. Горбунов.</w:t>
      </w:r>
    </w:p>
    <w:p w14:paraId="0A3533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(1945 г.)- В.П. Горбунов; И.О. гл. конструктора (1946 г.)- И.Ф. Наринский.</w:t>
      </w:r>
    </w:p>
    <w:p w14:paraId="3614C47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(01.1946 г.)- И.Ф. Наринский.</w:t>
      </w:r>
      <w:r w:rsidRPr="008127F8">
        <w:rPr>
          <w:rFonts w:ascii="Times New Roman" w:hAnsi="Times New Roman"/>
          <w:color w:val="000000" w:themeColor="text1"/>
          <w:sz w:val="16"/>
          <w:szCs w:val="16"/>
          <w:vertAlign w:val="superscript"/>
        </w:rPr>
        <w:t>2</w:t>
      </w:r>
    </w:p>
    <w:p w14:paraId="55C1CE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Помощник гл. конструктора (1945 г.)- Н.П. Черкасов.</w:t>
      </w:r>
    </w:p>
    <w:p w14:paraId="0725FE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Особое техническое бюро № 1 (ОТБ-1) МАП /Германия  г. Дессау/</w:t>
      </w:r>
    </w:p>
    <w:p w14:paraId="579807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Официально создано в соответствии с пост. СМ СССР № 874-366сс от 17.04.1946 г. и приказами МАП № 213сс от 16.04.1946 г. и № 228сс от 19.04.1946 г. в Германии ( г. Дессау) как ОТБ-1 из немецких специалистов, в основном бывших сотрудников фирмы «</w:t>
      </w:r>
      <w:r w:rsidRPr="008127F8">
        <w:rPr>
          <w:rFonts w:ascii="Times New Roman" w:hAnsi="Times New Roman"/>
          <w:color w:val="000000" w:themeColor="text1"/>
          <w:sz w:val="16"/>
          <w:szCs w:val="16"/>
          <w:lang w:val="en-US"/>
        </w:rPr>
        <w:t>Junkers</w:t>
      </w:r>
      <w:r w:rsidRPr="008127F8">
        <w:rPr>
          <w:rFonts w:ascii="Times New Roman" w:hAnsi="Times New Roman"/>
          <w:color w:val="000000" w:themeColor="text1"/>
          <w:sz w:val="16"/>
          <w:szCs w:val="16"/>
        </w:rPr>
        <w:t>». Реально КБ начали работу в 1945 г.</w:t>
      </w:r>
    </w:p>
    <w:p w14:paraId="7E69D4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Состояло из 4 КБ: под руководством доктора Шайбе; под руководством доктора Б. Бааде; под руководством Герлаха (организовано в 06.1946 г.)- работы по авиационным дизелям. В 04.1946 г. было организовано КБ в  г. Варнемюнде по системам аварийного покидания самолета.</w:t>
      </w:r>
    </w:p>
    <w:p w14:paraId="3CF6F16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ОТБ велись также работы: проектирование ветряных двигателей; проектирование водного канала для испытаний крыльев самолетов.</w:t>
      </w:r>
    </w:p>
    <w:p w14:paraId="6897910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 228сс от 19.04.1946 г. все работы в Германии должны были быть завершены в 10.1946 г., в 10-11.1946 г. ОТБ переведено в СССР вместе со специалистами: все специалисты по самолетам объединены в ОКБ-1 гл. конструктора Б. Бааде при заводе № 1; работы по двигателям - в ОКБ-1 завода № 2 МАП.</w:t>
      </w:r>
    </w:p>
    <w:p w14:paraId="19A36B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(1945 г.-)- пп Н.М. Олехнович.</w:t>
      </w:r>
    </w:p>
    <w:p w14:paraId="2D524DB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(1946 г.)- Б. Бааде.</w:t>
      </w:r>
    </w:p>
    <w:p w14:paraId="497C7F8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самолеты: </w:t>
      </w:r>
      <w:r w:rsidRPr="008127F8">
        <w:rPr>
          <w:rFonts w:ascii="Times New Roman" w:hAnsi="Times New Roman"/>
          <w:color w:val="000000" w:themeColor="text1"/>
          <w:sz w:val="16"/>
          <w:szCs w:val="16"/>
          <w:lang w:val="en-US"/>
        </w:rPr>
        <w:t>EF</w:t>
      </w:r>
      <w:r w:rsidRPr="008127F8">
        <w:rPr>
          <w:rFonts w:ascii="Times New Roman" w:hAnsi="Times New Roman"/>
          <w:color w:val="000000" w:themeColor="text1"/>
          <w:sz w:val="16"/>
          <w:szCs w:val="16"/>
        </w:rPr>
        <w:t xml:space="preserve">-126 (1945), </w:t>
      </w:r>
      <w:r w:rsidRPr="008127F8">
        <w:rPr>
          <w:rFonts w:ascii="Times New Roman" w:hAnsi="Times New Roman"/>
          <w:color w:val="000000" w:themeColor="text1"/>
          <w:sz w:val="16"/>
          <w:szCs w:val="16"/>
          <w:lang w:val="en-US"/>
        </w:rPr>
        <w:t>EF</w:t>
      </w:r>
      <w:r w:rsidRPr="008127F8">
        <w:rPr>
          <w:rFonts w:ascii="Times New Roman" w:hAnsi="Times New Roman"/>
          <w:color w:val="000000" w:themeColor="text1"/>
          <w:sz w:val="16"/>
          <w:szCs w:val="16"/>
        </w:rPr>
        <w:t>-131 (1946).</w:t>
      </w:r>
    </w:p>
    <w:p w14:paraId="48356F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гл. конструктора доктора Шайбе</w:t>
      </w:r>
    </w:p>
    <w:p w14:paraId="45084A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ТРД. Приказом МАП</w:t>
      </w:r>
      <w:r w:rsidRPr="008127F8">
        <w:rPr>
          <w:rFonts w:ascii="Times New Roman" w:hAnsi="Times New Roman"/>
          <w:iCs/>
          <w:color w:val="000000" w:themeColor="text1"/>
          <w:sz w:val="16"/>
          <w:szCs w:val="16"/>
        </w:rPr>
        <w:t xml:space="preserve"> № 228сс</w:t>
      </w:r>
      <w:r w:rsidRPr="008127F8">
        <w:rPr>
          <w:rFonts w:ascii="Times New Roman" w:hAnsi="Times New Roman"/>
          <w:color w:val="000000" w:themeColor="text1"/>
          <w:sz w:val="16"/>
          <w:szCs w:val="16"/>
        </w:rPr>
        <w:t xml:space="preserve"> от 19.04.1946 г. КБ было поручено закончить работы: форсирование ТРД ЮМО-004ф с тягой 1200 кг - в 05.1946 г.; изготовление опытного ЮМО-012 тягой 3000 кг с установкой на стендовые испытания в 08.1946 г.</w:t>
      </w:r>
    </w:p>
    <w:p w14:paraId="6A2105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гл. конструктора доктора Б. Бааде</w:t>
      </w:r>
    </w:p>
    <w:p w14:paraId="0FEEF9E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W</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Baade</w:t>
      </w:r>
      <w:r w:rsidRPr="008127F8">
        <w:rPr>
          <w:rFonts w:ascii="Times New Roman" w:hAnsi="Times New Roman"/>
          <w:color w:val="000000" w:themeColor="text1"/>
          <w:sz w:val="16"/>
          <w:szCs w:val="16"/>
        </w:rPr>
        <w:t xml:space="preserve"> ранее работал на фирме «</w:t>
      </w:r>
      <w:r w:rsidRPr="008127F8">
        <w:rPr>
          <w:rFonts w:ascii="Times New Roman" w:hAnsi="Times New Roman"/>
          <w:color w:val="000000" w:themeColor="text1"/>
          <w:sz w:val="16"/>
          <w:szCs w:val="16"/>
          <w:lang w:val="en-US"/>
        </w:rPr>
        <w:t>Junkers</w:t>
      </w:r>
      <w:r w:rsidRPr="008127F8">
        <w:rPr>
          <w:rFonts w:ascii="Times New Roman" w:hAnsi="Times New Roman"/>
          <w:color w:val="000000" w:themeColor="text1"/>
          <w:sz w:val="16"/>
          <w:szCs w:val="16"/>
        </w:rPr>
        <w:t xml:space="preserve">». Работы по самолетам. Приказом МАП № 228сс от 19.04.1946 г. КБ было поручено закончить работы: постройку штурмовика </w:t>
      </w:r>
      <w:r w:rsidRPr="008127F8">
        <w:rPr>
          <w:rFonts w:ascii="Times New Roman" w:hAnsi="Times New Roman"/>
          <w:color w:val="000000" w:themeColor="text1"/>
          <w:sz w:val="16"/>
          <w:szCs w:val="16"/>
          <w:lang w:val="en-US"/>
        </w:rPr>
        <w:t>EF</w:t>
      </w:r>
      <w:r w:rsidRPr="008127F8">
        <w:rPr>
          <w:rFonts w:ascii="Times New Roman" w:hAnsi="Times New Roman"/>
          <w:color w:val="000000" w:themeColor="text1"/>
          <w:sz w:val="16"/>
          <w:szCs w:val="16"/>
        </w:rPr>
        <w:t xml:space="preserve">-126 с ЮМО-226 - в 05.1946 г.; постройку бомбардировщика </w:t>
      </w:r>
      <w:r w:rsidRPr="008127F8">
        <w:rPr>
          <w:rFonts w:ascii="Times New Roman" w:hAnsi="Times New Roman"/>
          <w:color w:val="000000" w:themeColor="text1"/>
          <w:sz w:val="16"/>
          <w:szCs w:val="16"/>
          <w:lang w:val="en-US"/>
        </w:rPr>
        <w:t>EF</w:t>
      </w:r>
      <w:r w:rsidRPr="008127F8">
        <w:rPr>
          <w:rFonts w:ascii="Times New Roman" w:hAnsi="Times New Roman"/>
          <w:color w:val="000000" w:themeColor="text1"/>
          <w:sz w:val="16"/>
          <w:szCs w:val="16"/>
        </w:rPr>
        <w:t xml:space="preserve">-131 с 6х ЮМО-004 - в 09.1946 г.; разработку техпроекта бомбардировщика </w:t>
      </w:r>
      <w:r w:rsidRPr="008127F8">
        <w:rPr>
          <w:rFonts w:ascii="Times New Roman" w:hAnsi="Times New Roman"/>
          <w:color w:val="000000" w:themeColor="text1"/>
          <w:sz w:val="16"/>
          <w:szCs w:val="16"/>
          <w:lang w:val="en-US"/>
        </w:rPr>
        <w:t>EF</w:t>
      </w:r>
      <w:r w:rsidRPr="008127F8">
        <w:rPr>
          <w:rFonts w:ascii="Times New Roman" w:hAnsi="Times New Roman"/>
          <w:color w:val="000000" w:themeColor="text1"/>
          <w:sz w:val="16"/>
          <w:szCs w:val="16"/>
        </w:rPr>
        <w:t>-132 с 6х ЮМО-012.</w:t>
      </w:r>
    </w:p>
    <w:p w14:paraId="5DF4C6B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10-11.1946 г. КБ со всеми работами и кадрами (ИТР- 150 чел., рабочих- 160 чел.) переведено в СССР на завод № 1.</w:t>
      </w:r>
    </w:p>
    <w:p w14:paraId="12791BA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Г. Потемкина, филиал ОКБ-1 /Германия  г. Варнемюнде Штрандвег, 17/</w:t>
      </w:r>
    </w:p>
    <w:p w14:paraId="4B25903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СНК СССР № 606-249с от 16.03.1946 г. и приказом МАП № 195с от 6.04.1946 г. было организовано КБ в  г. Варнемюнде под руководством  Г. Потемкина, которое затем стало филиалом ОКБ-1. Работы по системам аварийного покидания самолета с пороховым и пневматическим стреляющими механизмами; по установкам катапультного старта самолетов. Филиал прекратил действовать в 10.1946 г. Все работы переданы в ЛИИ.</w:t>
      </w:r>
    </w:p>
    <w:p w14:paraId="7B1B0F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(1946 г.-)-  Г. Потемкин.</w:t>
      </w:r>
    </w:p>
    <w:p w14:paraId="583773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А. Гертц.</w:t>
      </w:r>
    </w:p>
    <w:p w14:paraId="62490F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отдела катапульт- Ф. Шерер.</w:t>
      </w:r>
    </w:p>
    <w:p w14:paraId="27F048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ОКБ-1 при опытном заводе № 1 МАП /пос. Подберезье Калининской обл./</w:t>
      </w:r>
    </w:p>
    <w:p w14:paraId="482C4A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 228сс от 19.04.1946 г. в 10-11.1946 г. КБ гл. конструктора Б. Бааде переведено в СССР и организовано ОКБ-1 при заводе № 1 по бомбардировщикам и штурмовикам. В составе ОКБ-1: Бюро новых проектов, Отдел аэродинамики.</w:t>
      </w:r>
    </w:p>
    <w:p w14:paraId="66444B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ПСМ № 493-192сс от 11.03.1947 г. и приказом МАП № 207сс от 15.04.1947 г. ОКБ поручено спроектировать и построить: дальний бомбардировщик с 6 двигателями ЮМО-012 или АМТК-РД-01 с гермокабиной (</w:t>
      </w:r>
      <w:r w:rsidRPr="008127F8">
        <w:rPr>
          <w:rFonts w:ascii="Times New Roman" w:hAnsi="Times New Roman"/>
          <w:color w:val="000000" w:themeColor="text1"/>
          <w:sz w:val="16"/>
          <w:szCs w:val="16"/>
          <w:lang w:val="en-US"/>
        </w:rPr>
        <w:t>EF</w:t>
      </w:r>
      <w:r w:rsidRPr="008127F8">
        <w:rPr>
          <w:rFonts w:ascii="Times New Roman" w:hAnsi="Times New Roman"/>
          <w:color w:val="000000" w:themeColor="text1"/>
          <w:sz w:val="16"/>
          <w:szCs w:val="16"/>
        </w:rPr>
        <w:t>-132). Пост, правительства № 2055-805 от 06.1948 г. работы по самолету закрыты как излишние в мирное время.</w:t>
      </w:r>
    </w:p>
    <w:p w14:paraId="6522BD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1950 по 1953 г. большинство немецких специалистов отправлено в ГДР, осталась небольшая часть во главе с Б. Бааде. С 1953 г. ОКБ работает на заводе № 491, куда собрали немецких специалистов и из других ОКБ. В 1956 г. все немецкие инженеры отправлены в ГДР, ОКБ в 05.1956 г. также переведено в ГДР, где влилось в предприятие "</w:t>
      </w:r>
      <w:r w:rsidRPr="008127F8">
        <w:rPr>
          <w:rFonts w:ascii="Times New Roman" w:hAnsi="Times New Roman"/>
          <w:color w:val="000000" w:themeColor="text1"/>
          <w:sz w:val="16"/>
          <w:szCs w:val="16"/>
          <w:lang w:val="en-US"/>
        </w:rPr>
        <w:t>Flugzeugwerke</w:t>
      </w:r>
      <w:r w:rsidRPr="008127F8">
        <w:rPr>
          <w:rFonts w:ascii="Times New Roman" w:hAnsi="Times New Roman"/>
          <w:color w:val="000000" w:themeColor="text1"/>
          <w:sz w:val="16"/>
          <w:szCs w:val="16"/>
        </w:rPr>
        <w:t>". Продолжены работы по самолету «152».</w:t>
      </w:r>
    </w:p>
    <w:p w14:paraId="00C3833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Н.М. Олехнович; и.о.- А.Е. Свешников.</w:t>
      </w:r>
    </w:p>
    <w:p w14:paraId="678DA09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А.Е. Свешников.</w:t>
      </w:r>
    </w:p>
    <w:p w14:paraId="3F5658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(1946-; 1953 г.)- Б. Бааде, (1949-52 г.)- С.М. Алексеев.</w:t>
      </w:r>
    </w:p>
    <w:p w14:paraId="6E8F4DF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(1946-53 г.)- П.Н. Обрубов, Фрайта г.</w:t>
      </w:r>
    </w:p>
    <w:p w14:paraId="0AAFFB6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Бюро новых проектов (1946 г.-)- Вокке («140»); Отдела аэродинамики (1946 г.-)- </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 Балкинд.</w:t>
      </w:r>
    </w:p>
    <w:p w14:paraId="1C4BF76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Бюро новых проектов (1946 г.-)- И.Л. Макаров.</w:t>
      </w:r>
      <w:r w:rsidRPr="008127F8">
        <w:rPr>
          <w:rFonts w:ascii="Times New Roman" w:hAnsi="Times New Roman"/>
          <w:color w:val="000000" w:themeColor="text1"/>
          <w:sz w:val="16"/>
          <w:szCs w:val="16"/>
          <w:vertAlign w:val="superscript"/>
        </w:rPr>
        <w:t>32</w:t>
      </w:r>
    </w:p>
    <w:p w14:paraId="295E2C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Ведущие инженеры: (1949 г.)-  Г.Н. Назаров («140»), (1951 г.)- С.Н. Рыбаков («150»), (1951-53 г.)- А.А. Лазарев («150»).</w:t>
      </w:r>
    </w:p>
    <w:p w14:paraId="1CCE3EC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самолеты: </w:t>
      </w:r>
      <w:r w:rsidRPr="008127F8">
        <w:rPr>
          <w:rFonts w:ascii="Times New Roman" w:hAnsi="Times New Roman"/>
          <w:color w:val="000000" w:themeColor="text1"/>
          <w:sz w:val="16"/>
          <w:szCs w:val="16"/>
          <w:lang w:val="en-US"/>
        </w:rPr>
        <w:t>EF</w:t>
      </w:r>
      <w:r w:rsidRPr="008127F8">
        <w:rPr>
          <w:rFonts w:ascii="Times New Roman" w:hAnsi="Times New Roman"/>
          <w:color w:val="000000" w:themeColor="text1"/>
          <w:sz w:val="16"/>
          <w:szCs w:val="16"/>
        </w:rPr>
        <w:t>-140 (1948), «140-Р» (1948), «150» (1949), «152» (1955).</w:t>
      </w:r>
    </w:p>
    <w:p w14:paraId="2F4A482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ОТБ-3 МАП, ОКБ-2 при опытном заводе № 1 МАП /Германия  г. Галле; пос. Подберезье Калининской обл./</w:t>
      </w:r>
    </w:p>
    <w:p w14:paraId="4FBE07E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фактически в 08.1945 г. из немецких специалистов на базе фирмы "</w:t>
      </w:r>
      <w:r w:rsidRPr="008127F8">
        <w:rPr>
          <w:rFonts w:ascii="Times New Roman" w:hAnsi="Times New Roman"/>
          <w:color w:val="000000" w:themeColor="text1"/>
          <w:sz w:val="16"/>
          <w:szCs w:val="16"/>
          <w:lang w:val="en-US"/>
        </w:rPr>
        <w:t>Siebel</w:t>
      </w:r>
      <w:r w:rsidRPr="008127F8">
        <w:rPr>
          <w:rFonts w:ascii="Times New Roman" w:hAnsi="Times New Roman"/>
          <w:color w:val="000000" w:themeColor="text1"/>
          <w:sz w:val="16"/>
          <w:szCs w:val="16"/>
        </w:rPr>
        <w:t>". Официальная дата создания- 17.04.1946 г., когда вышло решение СМ СССР № 874- Зббсс. Задачи ОТБ определены приказами МАП № 195с от 6.04.1946 г., № 213сс от 16.04.1946 г. и № 228сс от 19.04.1946 г.</w:t>
      </w:r>
    </w:p>
    <w:p w14:paraId="48423B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Работы по реактивному самолетостроению. Основная работа- по экспериментальному самолету с ЖРД «346» (1945~49 г.). Однако выполнялось и много дугах задач, в т.ч. по общей аэродинамике. Двигательный отдел ОТБ, кроме ЖРД </w:t>
      </w:r>
      <w:r w:rsidRPr="008127F8">
        <w:rPr>
          <w:rFonts w:ascii="Times New Roman" w:hAnsi="Times New Roman"/>
          <w:color w:val="000000" w:themeColor="text1"/>
          <w:sz w:val="16"/>
          <w:szCs w:val="16"/>
          <w:lang w:val="en-US"/>
        </w:rPr>
        <w:t>Valter</w:t>
      </w:r>
      <w:r w:rsidRPr="008127F8">
        <w:rPr>
          <w:rFonts w:ascii="Times New Roman" w:hAnsi="Times New Roman"/>
          <w:color w:val="000000" w:themeColor="text1"/>
          <w:sz w:val="16"/>
          <w:szCs w:val="16"/>
        </w:rPr>
        <w:t xml:space="preserve"> 109-509 для "</w:t>
      </w:r>
      <w:r w:rsidRPr="008127F8">
        <w:rPr>
          <w:rFonts w:ascii="Times New Roman" w:hAnsi="Times New Roman"/>
          <w:color w:val="000000" w:themeColor="text1"/>
          <w:sz w:val="16"/>
          <w:szCs w:val="16"/>
          <w:lang w:val="en-US"/>
        </w:rPr>
        <w:t>Siebel</w:t>
      </w:r>
      <w:r w:rsidRPr="008127F8">
        <w:rPr>
          <w:rFonts w:ascii="Times New Roman" w:hAnsi="Times New Roman"/>
          <w:color w:val="000000" w:themeColor="text1"/>
          <w:sz w:val="16"/>
          <w:szCs w:val="16"/>
        </w:rPr>
        <w:t xml:space="preserve">-346", разрабатывал двигатели </w:t>
      </w:r>
      <w:r w:rsidRPr="008127F8">
        <w:rPr>
          <w:rFonts w:ascii="Times New Roman" w:hAnsi="Times New Roman"/>
          <w:color w:val="000000" w:themeColor="text1"/>
          <w:sz w:val="16"/>
          <w:szCs w:val="16"/>
          <w:lang w:val="en-US"/>
        </w:rPr>
        <w:t>Valter</w:t>
      </w:r>
      <w:r w:rsidRPr="008127F8">
        <w:rPr>
          <w:rFonts w:ascii="Times New Roman" w:hAnsi="Times New Roman"/>
          <w:color w:val="000000" w:themeColor="text1"/>
          <w:sz w:val="16"/>
          <w:szCs w:val="16"/>
        </w:rPr>
        <w:t xml:space="preserve"> 109-510, </w:t>
      </w:r>
      <w:r w:rsidRPr="008127F8">
        <w:rPr>
          <w:rFonts w:ascii="Times New Roman" w:hAnsi="Times New Roman"/>
          <w:color w:val="000000" w:themeColor="text1"/>
          <w:sz w:val="16"/>
          <w:szCs w:val="16"/>
          <w:lang w:val="en-US"/>
        </w:rPr>
        <w:t>BMW</w:t>
      </w:r>
      <w:r w:rsidRPr="008127F8">
        <w:rPr>
          <w:rFonts w:ascii="Times New Roman" w:hAnsi="Times New Roman"/>
          <w:color w:val="000000" w:themeColor="text1"/>
          <w:sz w:val="16"/>
          <w:szCs w:val="16"/>
        </w:rPr>
        <w:t xml:space="preserve">-3395, </w:t>
      </w:r>
      <w:r w:rsidRPr="008127F8">
        <w:rPr>
          <w:rFonts w:ascii="Times New Roman" w:hAnsi="Times New Roman"/>
          <w:color w:val="000000" w:themeColor="text1"/>
          <w:sz w:val="16"/>
          <w:szCs w:val="16"/>
          <w:lang w:val="en-US"/>
        </w:rPr>
        <w:t>BMW</w:t>
      </w:r>
      <w:r w:rsidRPr="008127F8">
        <w:rPr>
          <w:rFonts w:ascii="Times New Roman" w:hAnsi="Times New Roman"/>
          <w:color w:val="000000" w:themeColor="text1"/>
          <w:sz w:val="16"/>
          <w:szCs w:val="16"/>
        </w:rPr>
        <w:t>-33902. Кроме того, строились стенды для испытаний двигателей, велись работы по топливам для ЖРД и топливохранилшцам. Работала также конструкторская группа, которая занималась разработкой авиационных свечей с керамической изоляцией и проведением опытной работы над новой системой зажигания низким напряжением.</w:t>
      </w:r>
    </w:p>
    <w:p w14:paraId="2FDF5D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приказу МАП № 228сс от 19.04.1946 г. все работы в Германии должны быть завершены в 10.1946 г. ОТБ в 10-11.1946 г. переведено в СССР вместе со специалистами (ИТР- 85 чел., рабочих- 60 чел.) на Опытный завод № 1 как ОКБ-2 гл. конструктора Рессинга по экспериментальным самолетам.</w:t>
      </w:r>
      <w:r w:rsidRPr="008127F8">
        <w:rPr>
          <w:rFonts w:ascii="Times New Roman" w:hAnsi="Times New Roman"/>
          <w:color w:val="000000" w:themeColor="text1"/>
          <w:sz w:val="16"/>
          <w:szCs w:val="16"/>
          <w:vertAlign w:val="superscript"/>
        </w:rPr>
        <w:t>32</w:t>
      </w:r>
      <w:r w:rsidRPr="008127F8">
        <w:rPr>
          <w:rFonts w:ascii="Times New Roman" w:hAnsi="Times New Roman"/>
          <w:color w:val="000000" w:themeColor="text1"/>
          <w:sz w:val="16"/>
          <w:szCs w:val="16"/>
        </w:rPr>
        <w:t xml:space="preserve"> С 1949 г. руководитель ОКБ - С.М. Алексеев.</w:t>
      </w:r>
    </w:p>
    <w:p w14:paraId="270095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Продолжены работы по самолету «346», а также создан проект самолета «486» (1949-51 г.).</w:t>
      </w:r>
    </w:p>
    <w:p w14:paraId="5C6421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12.1948 г. ответственным руководителем работ по самолету «346» назначен М.И. Гудков.</w:t>
      </w:r>
      <w:r w:rsidRPr="008127F8">
        <w:rPr>
          <w:rFonts w:ascii="Times New Roman" w:hAnsi="Times New Roman"/>
          <w:color w:val="000000" w:themeColor="text1"/>
          <w:sz w:val="16"/>
          <w:szCs w:val="16"/>
          <w:vertAlign w:val="superscript"/>
        </w:rPr>
        <w:t>52</w:t>
      </w:r>
    </w:p>
    <w:p w14:paraId="086C6B3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1948-49 г. у Березняка был проект истребителя-перехватчика. Проект не осуществлен.</w:t>
      </w:r>
    </w:p>
    <w:p w14:paraId="425941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1951 г. работа ОКБ-2 прекращена, специалистов распределили по другим отделам завода. Позже основная их часть отправлена в ГДР, остальные (в т.ч. 3. Гюнтер) в 1953 г.- на завод № 491. Группе советских специалистов, работавших по самолету «486», было предписано переехать в Новосибирск. Но случай изменил судьбу коллектива. Ввиду начала серийного производства реактивного снаряда «КС» А.Я. Березняку было предложено заняться доводкой нового изделия. На базе мощностей ОКБ-2 по приказу МАП № 1010 от 12.10.1951 г. организовано ОКБ-2-155 под руководством А.Я. Березняка.</w:t>
      </w:r>
    </w:p>
    <w:p w14:paraId="752CA1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(1945 г.-)- п Н.Н. Власов.</w:t>
      </w:r>
    </w:p>
    <w:p w14:paraId="4C308E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Гл. конструктор (1946 г.)-  Г. Рессин г.</w:t>
      </w:r>
    </w:p>
    <w:p w14:paraId="7DDA52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(12.1946 г.-)- А.Я. Березняк.</w:t>
      </w:r>
    </w:p>
    <w:p w14:paraId="3BA296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ОКБ-5 МАП /Германия  г. Хайденау Зигфрицштрассе, 7;  г. Берлин - Вайсензее Франц Иосиф штрассе, 110/</w:t>
      </w:r>
    </w:p>
    <w:p w14:paraId="676D180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немецких специалистов (18 ИТР, 175 рабочих) 10.02.1946 г. организована в Особое КБ № 6 в системе Штаба Уполномоченного МАП в Германии. В Берлине располагалось КБ, в Хайденау (в помещении инструментального цеха завода «Шприц унд Пресс гесерай») - часть КБ и опытное производство. Работы по проектированию и изготовлению пресс-форм для литья под давлением алюминиевых и цинковых сплавов. Работали 3 русских специалиста. Имелось 116 единиц оборудования. Действовало в Германии на 1.10.1946 г.</w:t>
      </w:r>
    </w:p>
    <w:p w14:paraId="5F40DC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(1946 г.)- М.Я. Короткое.</w:t>
      </w:r>
    </w:p>
    <w:p w14:paraId="565BE2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ОКБ-6 МАП /Германия  г. Берлин - Лихтенберг Герцбергштрассе, 128/</w:t>
      </w:r>
    </w:p>
    <w:p w14:paraId="1DFAF77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немецких специалистов фирмы "</w:t>
      </w:r>
      <w:r w:rsidRPr="008127F8">
        <w:rPr>
          <w:rFonts w:ascii="Times New Roman" w:hAnsi="Times New Roman"/>
          <w:color w:val="000000" w:themeColor="text1"/>
          <w:sz w:val="16"/>
          <w:szCs w:val="16"/>
          <w:lang w:val="en-US"/>
        </w:rPr>
        <w:t>Siemens</w:t>
      </w:r>
      <w:r w:rsidRPr="008127F8">
        <w:rPr>
          <w:rFonts w:ascii="Times New Roman" w:hAnsi="Times New Roman"/>
          <w:color w:val="000000" w:themeColor="text1"/>
          <w:sz w:val="16"/>
          <w:szCs w:val="16"/>
        </w:rPr>
        <w:t>" (19 ИТР и 95 рабочих) организована 10.04.1946 г. в ОКБ-5 в системе Штаба Уполномоченного МАП в Германии по изготовлению силитовых нагревателей, высокоомных силитовых сопротивлений для слаботочной аппаратуры и лабораторных печей для высоких температур. Разрабатывался также проект силитового завода. Размещалось в цехе сшштового производства завода «Сименс- Плания-Верке». Работало 2 русских специалиста. Имелось 148 единиц оборудования. Действовало в Германии на 1.10.1946 г.</w:t>
      </w:r>
    </w:p>
    <w:p w14:paraId="3FF470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(1946 г.)- В.А. Семенов.</w:t>
      </w:r>
    </w:p>
    <w:p w14:paraId="1F92FA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ОКБ-7 МАП /Германия  г. Галле;  г. Нойхаузен - Ширшниц округ Зонеберг/</w:t>
      </w:r>
    </w:p>
    <w:p w14:paraId="64AD856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ОКБ-7 организовано 7.06.1946 г. из немецких специалистов (25 ИТР, 49 рабочих), работало также 2 русских специалиста. КБ размещалось в  г. Галле; опытное производство - в опытном цехе завода керамических изоляторов фирмы «Сименс-Шуккерт». Работы: разработка опытных образцов авиасвечей с керамической изоляцией и приборов зажигания. Имелось 42 единицы оборудования.</w:t>
      </w:r>
    </w:p>
    <w:p w14:paraId="6FE2EFC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(1946 г.)- Б.Е. Бердичевский.</w:t>
      </w:r>
    </w:p>
    <w:p w14:paraId="70162DD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ОКБ-8 МАП /Германия  г. Нойхаузен/</w:t>
      </w:r>
    </w:p>
    <w:p w14:paraId="1DEA5F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изучение технологии производства керамической изоляции для авиасвечей; проектирование завода по производству керамики для авиасвечей.</w:t>
      </w:r>
    </w:p>
    <w:p w14:paraId="435EF1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(1946 г.)- Н.П. Степичев.</w:t>
      </w:r>
    </w:p>
    <w:p w14:paraId="2C6529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Центральное ОКБ МАП</w:t>
      </w:r>
    </w:p>
    <w:p w14:paraId="400462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1.05.1946 г. в Германии на авиационных заводах для изучения опыта работы германской авиапромышленности по программе, утвержденной МАП. Работало 10 русских и 20 немецких специалистов.</w:t>
      </w:r>
    </w:p>
    <w:p w14:paraId="033240E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Инженерно-Техническое бюро (ИТБ) МАП /Германия  г. Берлин - Мальсдорф/</w:t>
      </w:r>
    </w:p>
    <w:p w14:paraId="39EF95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руководство ОКБ и отдельными группами советских специалистов в Германии; изучение технологии авиационного производства</w:t>
      </w:r>
    </w:p>
    <w:p w14:paraId="373554F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И.М. Романов (11982).</w:t>
      </w:r>
    </w:p>
    <w:p w14:paraId="14083D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2947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1942 г. по приказу НКАП № 372с в соответствии с пост. СНК от 10.05.1942 г. на площадке эвакуированного завода № 30 НКАП образован новый опытный завод морского самолетостроения № 458 в системе 7ГУ НКАП. Тем же приказом ОКБ гл. конструктора И.В. Четверикова возвращено на старое место в Иваньково на завод № 458, Четвериков назначен гл. конструктором/ директором завода.</w:t>
      </w:r>
    </w:p>
    <w:p w14:paraId="19BA2ED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Созданы гидросамолеты МДР-6 (Б-1, Б-2, Б-3, Б-4, Б-5, Т-2). В 1944-45 г. разработаны опытные образцы катапульты (копия немецкой) для снаряда типа «10Х» (по заданию завода № 51 НКАП). В 03.1946 г. И.В. Четверикову выдано задание разработать и построить фронтовой бомбардировщик с 4х БМВ-003 и пассажирский самолет-амфибию («ТА») с мотором АШ-21.</w:t>
      </w:r>
    </w:p>
    <w:p w14:paraId="16A2AC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432 от 5.07.1946 г. ОКБ Четверикова с личным составом (около 100 чел.) и оборудованием переведено на площадку № 2 завода № 273 в Ленинград.</w:t>
      </w:r>
      <w:r w:rsidRPr="008127F8">
        <w:rPr>
          <w:rFonts w:ascii="Times New Roman" w:hAnsi="Times New Roman"/>
          <w:color w:val="000000" w:themeColor="text1"/>
          <w:sz w:val="16"/>
          <w:szCs w:val="16"/>
          <w:vertAlign w:val="superscript"/>
        </w:rPr>
        <w:t>32</w:t>
      </w:r>
    </w:p>
    <w:p w14:paraId="79CE892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(-1945 г.)- Б.В. Долгодров.</w:t>
      </w:r>
    </w:p>
    <w:p w14:paraId="03717C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(05.1942-07.1946 г.)- И.В. Четвериков.</w:t>
      </w:r>
      <w:r w:rsidRPr="008127F8">
        <w:rPr>
          <w:rFonts w:ascii="Times New Roman" w:hAnsi="Times New Roman"/>
          <w:color w:val="000000" w:themeColor="text1"/>
          <w:sz w:val="16"/>
          <w:szCs w:val="16"/>
          <w:vertAlign w:val="superscript"/>
        </w:rPr>
        <w:t>2</w:t>
      </w:r>
    </w:p>
    <w:p w14:paraId="33D3955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(-1945 г.)- Б.В. Долгодров (11982).</w:t>
      </w:r>
    </w:p>
    <w:p w14:paraId="5715691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6CCD66"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период с 11 мая по 8 июня 1942 г. РОТ-82 дважды проходили полигонные испытания на НИП АВ ВВС. И оба раза неудачно. Дело в том, что под воздействием газовой струи переднего РС в мо</w:t>
      </w:r>
      <w:r w:rsidRPr="008127F8">
        <w:rPr>
          <w:color w:val="000000" w:themeColor="text1"/>
          <w:sz w:val="16"/>
          <w:szCs w:val="16"/>
        </w:rPr>
        <w:softHyphen/>
        <w:t>мент выстрела ветрянка взрывателя заднего сна</w:t>
      </w:r>
      <w:r w:rsidRPr="008127F8">
        <w:rPr>
          <w:color w:val="000000" w:themeColor="text1"/>
          <w:sz w:val="16"/>
          <w:szCs w:val="16"/>
        </w:rPr>
        <w:softHyphen/>
        <w:t>ряда деформировалась и даже срывалась совсем. Установка предохранительной заслонки хотя и за</w:t>
      </w:r>
      <w:r w:rsidRPr="008127F8">
        <w:rPr>
          <w:color w:val="000000" w:themeColor="text1"/>
          <w:sz w:val="16"/>
          <w:szCs w:val="16"/>
        </w:rPr>
        <w:softHyphen/>
        <w:t>щищала ветрянку от газовой струи, но создавала такую большую отдачу на ракетное орудие, что штатные крепежные болты не выдерживали нагруз</w:t>
      </w:r>
      <w:r w:rsidRPr="008127F8">
        <w:rPr>
          <w:color w:val="000000" w:themeColor="text1"/>
          <w:sz w:val="16"/>
          <w:szCs w:val="16"/>
        </w:rPr>
        <w:softHyphen/>
        <w:t>ки, деформировались и даже срезались.</w:t>
      </w:r>
    </w:p>
    <w:p w14:paraId="4810B78B"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Испытания проводили: от НИП АВ ВВС — на</w:t>
      </w:r>
      <w:r w:rsidRPr="008127F8">
        <w:rPr>
          <w:color w:val="000000" w:themeColor="text1"/>
          <w:sz w:val="16"/>
          <w:szCs w:val="16"/>
        </w:rPr>
        <w:softHyphen/>
        <w:t>чальник стрелково-пушечной группы инженер-май</w:t>
      </w:r>
      <w:r w:rsidRPr="008127F8">
        <w:rPr>
          <w:color w:val="000000" w:themeColor="text1"/>
          <w:sz w:val="16"/>
          <w:szCs w:val="16"/>
        </w:rPr>
        <w:softHyphen/>
        <w:t>ор Филиппов и старший техник по вооружению старший техник-лейтенант Гурьев, от завода № 464 НКАП — конструктор Егорычев и мастер по воору</w:t>
      </w:r>
      <w:r w:rsidRPr="008127F8">
        <w:rPr>
          <w:color w:val="000000" w:themeColor="text1"/>
          <w:sz w:val="16"/>
          <w:szCs w:val="16"/>
        </w:rPr>
        <w:softHyphen/>
        <w:t>жению Воробей.</w:t>
      </w:r>
    </w:p>
    <w:p w14:paraId="445E2224"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заключении акта по испытаниям констатиро</w:t>
      </w:r>
      <w:r w:rsidRPr="008127F8">
        <w:rPr>
          <w:color w:val="000000" w:themeColor="text1"/>
          <w:sz w:val="16"/>
          <w:szCs w:val="16"/>
        </w:rPr>
        <w:softHyphen/>
        <w:t>валось, что «ракетная установка под РС-82 с рас</w:t>
      </w:r>
      <w:r w:rsidRPr="008127F8">
        <w:rPr>
          <w:color w:val="000000" w:themeColor="text1"/>
          <w:sz w:val="16"/>
          <w:szCs w:val="16"/>
        </w:rPr>
        <w:softHyphen/>
        <w:t>положением их тандемом (один за другим) /.../ испытаний не выдержала, как конструктивно недо</w:t>
      </w:r>
      <w:r w:rsidRPr="008127F8">
        <w:rPr>
          <w:color w:val="000000" w:themeColor="text1"/>
          <w:sz w:val="16"/>
          <w:szCs w:val="16"/>
        </w:rPr>
        <w:softHyphen/>
        <w:t>работанная». Дальнейшее развитие эта работа не получила (17500).</w:t>
      </w:r>
    </w:p>
    <w:p w14:paraId="6A50A654"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lang w:eastAsia="ru-RU"/>
        </w:rPr>
      </w:pPr>
    </w:p>
    <w:p w14:paraId="3309C9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99326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44E47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1942 вышло Постановление ГКО № 1724 О сокращении плана производства 50 мм ротных минометов на май месяц 1942 года. РГАНИР, Фонд ГКО, д. 34, лл. 101 (11012).</w:t>
      </w:r>
    </w:p>
    <w:p w14:paraId="16FE4A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80E2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1942 вышло Постановление ГКО № 1729 О плане выпуска боеприпасов на май месяц 1942 года. РГАНИР, Фонд ГКО, д. 34, лл. 111-112, 113-118 (11012).</w:t>
      </w:r>
    </w:p>
    <w:p w14:paraId="4F8A42D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3326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1942 года разработчики мин МТБ обратились в Ленинградский горком ВКП(б) с просьбой о содействии в проведении работ по созданию реактивной системы (6403, 42).</w:t>
      </w:r>
    </w:p>
    <w:p w14:paraId="7368E6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4D8086"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1942 года приказом наркома вооружения № 247сс на базе эвакуированного завода № 188 был организован Завод № 711 для производства 7,62 мм пистолетного патрона</w:t>
      </w:r>
    </w:p>
    <w:p w14:paraId="2A485066"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Подольск Московской области, п/я 6 (9545).</w:t>
      </w:r>
    </w:p>
    <w:p w14:paraId="334129FA"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p>
    <w:p w14:paraId="65F43C40" w14:textId="77777777" w:rsidR="007C5583" w:rsidRPr="008127F8" w:rsidRDefault="007C5583" w:rsidP="007C5583">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11 мая 1942 г. Танк КВ-7 был закончен монтажом, а 14-го мая предвари</w:t>
      </w:r>
      <w:r w:rsidRPr="008127F8">
        <w:rPr>
          <w:i w:val="0"/>
          <w:color w:val="000000" w:themeColor="text1"/>
          <w:sz w:val="16"/>
          <w:szCs w:val="16"/>
        </w:rPr>
        <w:softHyphen/>
        <w:t>тельно испытан на Копейском полигоне. С обоих систем было выпущено 17 снарядов осколочно-фугасного действия, из них 5 одиночными выстре</w:t>
      </w:r>
      <w:r w:rsidRPr="008127F8">
        <w:rPr>
          <w:i w:val="0"/>
          <w:color w:val="000000" w:themeColor="text1"/>
          <w:sz w:val="16"/>
          <w:szCs w:val="16"/>
        </w:rPr>
        <w:softHyphen/>
        <w:t>лами и 12 залпами. Стрельба производилась по мишени 1,5X1,5 метра на дистанции 800метров.</w:t>
      </w:r>
    </w:p>
    <w:p w14:paraId="65B85AAF" w14:textId="77777777" w:rsidR="007C5583" w:rsidRPr="008127F8" w:rsidRDefault="007C5583" w:rsidP="007C5583">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На основании этих данных можно дать следующее предварительное заключение:</w:t>
      </w:r>
    </w:p>
    <w:p w14:paraId="6C7BD9F1" w14:textId="77777777" w:rsidR="007C5583" w:rsidRPr="008127F8" w:rsidRDefault="007C5583" w:rsidP="007C5583">
      <w:pPr>
        <w:pStyle w:val="Bodytext141"/>
        <w:shd w:val="clear" w:color="auto" w:fill="auto"/>
        <w:tabs>
          <w:tab w:val="left" w:pos="560"/>
        </w:tabs>
        <w:spacing w:line="240" w:lineRule="auto"/>
        <w:ind w:firstLine="0"/>
        <w:jc w:val="both"/>
        <w:rPr>
          <w:i w:val="0"/>
          <w:color w:val="000000" w:themeColor="text1"/>
          <w:sz w:val="16"/>
          <w:szCs w:val="16"/>
        </w:rPr>
      </w:pPr>
      <w:r w:rsidRPr="008127F8">
        <w:rPr>
          <w:i w:val="0"/>
          <w:color w:val="000000" w:themeColor="text1"/>
          <w:sz w:val="16"/>
          <w:szCs w:val="16"/>
        </w:rPr>
        <w:t>1. Стрельба с места по мишени дает хорошую меткость и кучность спаренных систем. После пристрелки выпущенные 11 снарядов уло</w:t>
      </w:r>
      <w:r w:rsidRPr="008127F8">
        <w:rPr>
          <w:i w:val="0"/>
          <w:color w:val="000000" w:themeColor="text1"/>
          <w:sz w:val="16"/>
          <w:szCs w:val="16"/>
        </w:rPr>
        <w:softHyphen/>
        <w:t>жились в эллипсе с осями: большая 40метров, малая 3 метра.</w:t>
      </w:r>
    </w:p>
    <w:p w14:paraId="6664E1BE" w14:textId="77777777" w:rsidR="007C5583" w:rsidRPr="008127F8" w:rsidRDefault="007C5583" w:rsidP="007C5583">
      <w:pPr>
        <w:pStyle w:val="Bodytext141"/>
        <w:shd w:val="clear" w:color="auto" w:fill="auto"/>
        <w:tabs>
          <w:tab w:val="left" w:pos="594"/>
        </w:tabs>
        <w:spacing w:line="240" w:lineRule="auto"/>
        <w:ind w:firstLine="0"/>
        <w:jc w:val="both"/>
        <w:rPr>
          <w:i w:val="0"/>
          <w:color w:val="000000" w:themeColor="text1"/>
          <w:sz w:val="16"/>
          <w:szCs w:val="16"/>
        </w:rPr>
      </w:pPr>
      <w:r w:rsidRPr="008127F8">
        <w:rPr>
          <w:i w:val="0"/>
          <w:color w:val="000000" w:themeColor="text1"/>
          <w:sz w:val="16"/>
          <w:szCs w:val="16"/>
        </w:rPr>
        <w:t>2. Темп стрельба 6—7 залпов в минуту. Вследствие неуравновешенно</w:t>
      </w:r>
      <w:r w:rsidRPr="008127F8">
        <w:rPr>
          <w:i w:val="0"/>
          <w:color w:val="000000" w:themeColor="text1"/>
          <w:sz w:val="16"/>
          <w:szCs w:val="16"/>
        </w:rPr>
        <w:softHyphen/>
        <w:t>сти систем и не самотормозящего подъемного механизма, каким яв</w:t>
      </w:r>
      <w:r w:rsidRPr="008127F8">
        <w:rPr>
          <w:i w:val="0"/>
          <w:color w:val="000000" w:themeColor="text1"/>
          <w:sz w:val="16"/>
          <w:szCs w:val="16"/>
        </w:rPr>
        <w:softHyphen/>
        <w:t>ляется секторный механизм (подъемный), установленный на этой спарке — после каждого залпа происходит самопроизвольное увели</w:t>
      </w:r>
      <w:r w:rsidRPr="008127F8">
        <w:rPr>
          <w:i w:val="0"/>
          <w:color w:val="000000" w:themeColor="text1"/>
          <w:sz w:val="16"/>
          <w:szCs w:val="16"/>
        </w:rPr>
        <w:softHyphen/>
        <w:t>чение угла возвышения примерно на двадцать пять тысячных дис</w:t>
      </w:r>
      <w:r w:rsidRPr="008127F8">
        <w:rPr>
          <w:i w:val="0"/>
          <w:color w:val="000000" w:themeColor="text1"/>
          <w:sz w:val="16"/>
          <w:szCs w:val="16"/>
        </w:rPr>
        <w:softHyphen/>
        <w:t>танции.</w:t>
      </w:r>
    </w:p>
    <w:p w14:paraId="47352524" w14:textId="77777777" w:rsidR="007C5583" w:rsidRPr="008127F8" w:rsidRDefault="007C5583" w:rsidP="007C5583">
      <w:pPr>
        <w:pStyle w:val="Bodytext141"/>
        <w:shd w:val="clear" w:color="auto" w:fill="auto"/>
        <w:tabs>
          <w:tab w:val="left" w:pos="598"/>
        </w:tabs>
        <w:spacing w:line="240" w:lineRule="auto"/>
        <w:ind w:firstLine="0"/>
        <w:jc w:val="both"/>
        <w:rPr>
          <w:i w:val="0"/>
          <w:color w:val="000000" w:themeColor="text1"/>
          <w:sz w:val="16"/>
          <w:szCs w:val="16"/>
        </w:rPr>
      </w:pPr>
      <w:r w:rsidRPr="008127F8">
        <w:rPr>
          <w:i w:val="0"/>
          <w:color w:val="000000" w:themeColor="text1"/>
          <w:sz w:val="16"/>
          <w:szCs w:val="16"/>
        </w:rPr>
        <w:t>3. Поворотный механизм спарки требует усилий обеих рук, что ни в коем случае не может быть допустимым.</w:t>
      </w:r>
    </w:p>
    <w:p w14:paraId="5CDEBE3A" w14:textId="77777777" w:rsidR="007C5583" w:rsidRPr="008127F8" w:rsidRDefault="007C5583" w:rsidP="007C5583">
      <w:pPr>
        <w:pStyle w:val="Bodytext141"/>
        <w:shd w:val="clear" w:color="auto" w:fill="auto"/>
        <w:tabs>
          <w:tab w:val="left" w:pos="584"/>
        </w:tabs>
        <w:spacing w:line="240" w:lineRule="auto"/>
        <w:ind w:firstLine="0"/>
        <w:jc w:val="both"/>
        <w:rPr>
          <w:i w:val="0"/>
          <w:color w:val="000000" w:themeColor="text1"/>
          <w:sz w:val="16"/>
          <w:szCs w:val="16"/>
        </w:rPr>
      </w:pPr>
      <w:r w:rsidRPr="008127F8">
        <w:rPr>
          <w:i w:val="0"/>
          <w:color w:val="000000" w:themeColor="text1"/>
          <w:sz w:val="16"/>
          <w:szCs w:val="16"/>
        </w:rPr>
        <w:t>4. Размещение снарядных кассет в нише башни вызывает большое за</w:t>
      </w:r>
      <w:r w:rsidRPr="008127F8">
        <w:rPr>
          <w:i w:val="0"/>
          <w:color w:val="000000" w:themeColor="text1"/>
          <w:sz w:val="16"/>
          <w:szCs w:val="16"/>
        </w:rPr>
        <w:softHyphen/>
        <w:t>труднение в работе и не может быть принято. Необходимо приме</w:t>
      </w:r>
      <w:r w:rsidRPr="008127F8">
        <w:rPr>
          <w:i w:val="0"/>
          <w:color w:val="000000" w:themeColor="text1"/>
          <w:sz w:val="16"/>
          <w:szCs w:val="16"/>
        </w:rPr>
        <w:softHyphen/>
        <w:t>нить открытый тип укладки.</w:t>
      </w:r>
    </w:p>
    <w:p w14:paraId="6834A357" w14:textId="77777777" w:rsidR="007C5583" w:rsidRPr="008127F8" w:rsidRDefault="007C5583" w:rsidP="007C5583">
      <w:pPr>
        <w:pStyle w:val="Bodytext141"/>
        <w:shd w:val="clear" w:color="auto" w:fill="auto"/>
        <w:tabs>
          <w:tab w:val="left" w:pos="589"/>
        </w:tabs>
        <w:spacing w:line="240" w:lineRule="auto"/>
        <w:ind w:firstLine="0"/>
        <w:jc w:val="both"/>
        <w:rPr>
          <w:i w:val="0"/>
          <w:color w:val="000000" w:themeColor="text1"/>
          <w:sz w:val="16"/>
          <w:szCs w:val="16"/>
        </w:rPr>
      </w:pPr>
      <w:r w:rsidRPr="008127F8">
        <w:rPr>
          <w:i w:val="0"/>
          <w:color w:val="000000" w:themeColor="text1"/>
          <w:sz w:val="16"/>
          <w:szCs w:val="16"/>
        </w:rPr>
        <w:t>5. Очень тяжел спусковой механизм спарки при стрельбе залпом и тре</w:t>
      </w:r>
      <w:r w:rsidRPr="008127F8">
        <w:rPr>
          <w:i w:val="0"/>
          <w:color w:val="000000" w:themeColor="text1"/>
          <w:sz w:val="16"/>
          <w:szCs w:val="16"/>
        </w:rPr>
        <w:softHyphen/>
        <w:t>бует, по крайней мере, двукратного облегчения.</w:t>
      </w:r>
    </w:p>
    <w:p w14:paraId="466B2C81" w14:textId="77777777" w:rsidR="007C5583" w:rsidRPr="008127F8" w:rsidRDefault="007C5583" w:rsidP="007C5583">
      <w:pPr>
        <w:pStyle w:val="Bodytext141"/>
        <w:shd w:val="clear" w:color="auto" w:fill="auto"/>
        <w:tabs>
          <w:tab w:val="left" w:pos="570"/>
        </w:tabs>
        <w:spacing w:line="240" w:lineRule="auto"/>
        <w:ind w:firstLine="0"/>
        <w:jc w:val="both"/>
        <w:rPr>
          <w:i w:val="0"/>
          <w:color w:val="000000" w:themeColor="text1"/>
          <w:sz w:val="16"/>
          <w:szCs w:val="16"/>
        </w:rPr>
      </w:pPr>
      <w:r w:rsidRPr="008127F8">
        <w:rPr>
          <w:i w:val="0"/>
          <w:color w:val="000000" w:themeColor="text1"/>
          <w:sz w:val="16"/>
          <w:szCs w:val="16"/>
        </w:rPr>
        <w:t>6. Для спарки не предусмотрено приспособление для искусственного отката, для чего необходимо сделать в задней стенке башни, при</w:t>
      </w:r>
      <w:r w:rsidRPr="008127F8">
        <w:rPr>
          <w:i w:val="0"/>
          <w:color w:val="000000" w:themeColor="text1"/>
          <w:sz w:val="16"/>
          <w:szCs w:val="16"/>
        </w:rPr>
        <w:softHyphen/>
        <w:t>способив его, одновременно для лаза команды» (17484).</w:t>
      </w:r>
    </w:p>
    <w:p w14:paraId="189719E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7CA2A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1942 вышло Постановление ГКО № 1730 О плане снабжения горюче-смазочными материалами и топливом Красной Армии и Военно-Морского Флота на май 1942 года. РГАНИР, Фонд ГКО, д. 34, лл. 119-121, 122-127 (11012).</w:t>
      </w:r>
    </w:p>
    <w:p w14:paraId="21BB50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1383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49B304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CE8C7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в 1942 году утреннее сообщение Совинформбюро:</w:t>
      </w:r>
    </w:p>
    <w:p w14:paraId="55F0A16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11 мая на фронте ничего существенного не произошло.</w:t>
      </w:r>
    </w:p>
    <w:p w14:paraId="0B6DC2E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Наши части, действующие на одном из участков Западного фронта, захватили 5немецких орудий, 13 пулемётов, несколько миномётов и противотанковых ружей, много винтовок, противотанковых мин, снарядов и патронов. На другом участке фронта наша артиллерия подбила 2 немецких танка.</w:t>
      </w:r>
    </w:p>
    <w:p w14:paraId="0CDB6F9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Севере одна наша часть атаковала укреплённый пункт противника. Окружив врага, наши бойцы уничтожили до 200 солдат и офицеров. Значительная группа солдат противника сдалась в плен. В результате боя захвачены следующие трофеи: 3 миномёта, 10 пулемётов, 160 винтовок, 1.000 гранат, много патронов, противогазы и другое военное имущество.</w:t>
      </w:r>
    </w:p>
    <w:p w14:paraId="5953B80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Калининского фронта противник пытался зайти в тыл нашим войскам. Контрударами советской пехоты и артиллерии немцы были отброшены. На поле боя осталось свыше 400 вражеских трупов. Наши бойцы захватили 4 орудия, 4 радиостанции, 7 пулемётов и другое вооружение.</w:t>
      </w:r>
    </w:p>
    <w:p w14:paraId="7BC7169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Несколько немецких самолётов пыталось бомбить расположение одной нашей части. Расчёт зенитного орудия старшего сержанта Чепченко открыл огонь. После нескольких выстрелов самолёт «Хейнкель-111» загорелся и рухнул на землю. На следующий день зенитчики сбили ещё 2 немецких бомбардировщика «Юнкерс-87».</w:t>
      </w:r>
    </w:p>
    <w:p w14:paraId="1FBB88D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Наблюдая за передним краем обороны противника, младший сержант Козырев заметил группу немецких солдат, собравшуюся около одного из блиндажей. Тов. Козырев дал несколько очередей из пулемёта и уничтожил 10 гитлеровцев.</w:t>
      </w:r>
    </w:p>
    <w:p w14:paraId="787D40B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5 роты 442 полка 168 немецкой пехотной дивизии Гергарт Каснер рассказал: «...Только в одном бою 5 рота потеряла 52 человека ранеными и убитыми, а 7 рота почти вся уничтожена. В марте и апреле в полк прибыли рабочие, мобилизованные с военных заводов. Они не имеют никакой военной подготовки. В ротах много серьёзно больных, но их не лечат и не отпускают домой. Солдат 5 роты Ванске болен ревматизмом. В плохую погоду он не может ходить и ползает на четвереньках. Одна врачебная комиссия подтвердила, что он болен, и освободила его. Ванске собирался уже ехать домой, но последующая медицинская комиссия отменила решение первой. Его оставили в строю, так как нехватает людей».</w:t>
      </w:r>
    </w:p>
    <w:p w14:paraId="7827ED6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Постоянные мобилизации рабочих на фронт привели к огромной нехватке рабочей силы на германских предприятиях. Гитлеровцы всеми возможными способами пытаются привлечь рабочую силу из оккупированных ими стран. Однако никто из рабочих добровольно не едет. На днях в знак протеста против принудительной отправки в Германию произошли забастовки рабочих на судостроительном заводе в Амстердаме и на многих других предприятиях Голландии.» (14888).</w:t>
      </w:r>
    </w:p>
    <w:p w14:paraId="2ECAF19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AA2123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в 1942 году вечернее сообщение Совинформбюро:</w:t>
      </w:r>
    </w:p>
    <w:p w14:paraId="76A2310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11 мая на Керченском полуострове наши войска вели упорные бои с перешедшими в наступление немецко-фашистскими войсками. На других участкахфронта чего-либо существенного не произошло.</w:t>
      </w:r>
    </w:p>
    <w:p w14:paraId="473EEFD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10 мая уничтожено 38 немецких самолётов. Наши потери — 12 самолётов.</w:t>
      </w:r>
    </w:p>
    <w:p w14:paraId="548319E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10 мая частями нашей авиации уничтожено или повреждено около 40 автомашин с войсками и грузами, свыше 10 подвод с боеприпасами, 10 полевых и зенитных орудий, 13 миномётов, 2 прожектора, разбито 2 паровоза, подавлен огонь 3 артиллерийских и 18 миномётных батарей, рассеяно и частью уничтожено до 4 рот пехоты противника.</w:t>
      </w:r>
    </w:p>
    <w:p w14:paraId="4485080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истекшую неделю с 3 по 9 мая немецкая авиация потеряла 171 самолёт. Наши потери за этот же период — 86 самолетов.</w:t>
      </w:r>
    </w:p>
    <w:p w14:paraId="3E93052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Северо-Западного фронта, ведут упорные бои с противником. Немцы несут большие потери в живой силе и технике. Только одна наша часть уничтожила до 1.300 вражеских солдат и офицеров и захватила у противника 6 танков, 12 миномётов, 10 пулемётов, 24 автомата, много винтовок и боеприпасов.</w:t>
      </w:r>
    </w:p>
    <w:p w14:paraId="293ABED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Южного фронта рота немецких автоматчиков безуспешно пыталась атаковать наш оборонительный рубеж. Оставив на поле боя свыше 40 солдат убитыми, гитлеровцы отошли на исходные позиции. Наши бойцы захватили станковый пулемёт, 2 автомашины и несколько десятков автоматов. Взяты пленные.</w:t>
      </w:r>
    </w:p>
    <w:p w14:paraId="4DB7B44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разведчиков под командованием старшего лейтенанта Лариошина ночью пробралась в тыл противника. Скрыто подойдя к вражеским блиндажам, бойцы забросали их гранатами. Оставшиеся в живых немцы выскочили из блиндажей и были уничтожены разведчиками. Наши бойцы забрали пулемёт, 15 ящиков с пулемётными лентами, стереотрубу, 30 винтовок и без потерь вернулись в своё подразделение.</w:t>
      </w:r>
    </w:p>
    <w:p w14:paraId="1B8C5C9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3 роты 317 полка 211 немецкой пехотной дивизии Лоренс Баумане рассказал: «Наша 3 рота в составе 180 человек прибыла из Франции в январе. Несколько раз получали пополнение, но три месяца военных действий опустошили и обескровили роту. От неё осталась жалкая горстка истощённых, издёрганных и отупевших от ужаса людей. Такова краткая, но печальная история моей роты. Начиная с марта 1942 года, в ротах введена специальная должность «фельдфебеля службы по обеспечению боя». Во время боя этот фельдфебель находится позади наступающей или обороняющейся роты и расстреливает из пулемёта каждого, кто вздумает отступить или сдаться в плен».</w:t>
      </w:r>
    </w:p>
    <w:p w14:paraId="72C8E14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Жители ныне освобождённой от немецко-фашистских захватчиков деревни Арефино Ленинградской области, рассказывают: «Как только гитлеровцы ворвались в деревню, они приступили к массовым грабежам: перерезали весь скот, домашнюю птицу, отняли у колхозников продовольствие и одежду. Гитлеровцы избили 78-лётнего старика Александра Васильевича Андреева, сняли с его ног валенки и заставили бежать разутым два километра по снегу. Немецкие бандиты замучили и убили Евдокимова —72 лет, Прасковью Попову — 53 лет, её сына Павла — 18 лет, дочь Надежду — 21 года и других жителей. Отступая из деревни, гитлеровские мерзавцы из 23 домов колхозников сожгли 20 домов, взорвали школу, детские ясли и сожгли все колхозные постройки» (14888).</w:t>
      </w:r>
    </w:p>
    <w:p w14:paraId="1F7815A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CE350A7" w14:textId="77777777" w:rsidR="007C5583" w:rsidRPr="008127F8" w:rsidRDefault="007C5583" w:rsidP="007C5583">
      <w:pPr>
        <w:pStyle w:val="109"/>
        <w:shd w:val="clear" w:color="auto" w:fill="auto"/>
        <w:spacing w:line="240" w:lineRule="auto"/>
        <w:jc w:val="both"/>
        <w:rPr>
          <w:color w:val="000000" w:themeColor="text1"/>
          <w:sz w:val="16"/>
          <w:szCs w:val="16"/>
        </w:rPr>
      </w:pPr>
      <w:r w:rsidRPr="008127F8">
        <w:rPr>
          <w:color w:val="000000" w:themeColor="text1"/>
          <w:sz w:val="16"/>
          <w:szCs w:val="16"/>
        </w:rPr>
        <w:t>В ночь с 11 на 12 мая 1942 ТБ-7 № 42015 совершил вылет но ж.д. станцию Витебск. В разделе матчасть отмечено:</w:t>
      </w:r>
    </w:p>
    <w:p w14:paraId="1799FE39" w14:textId="77777777" w:rsidR="007C5583" w:rsidRPr="008127F8" w:rsidRDefault="007C5583" w:rsidP="007C5583">
      <w:pPr>
        <w:pStyle w:val="109"/>
        <w:shd w:val="clear" w:color="auto" w:fill="auto"/>
        <w:spacing w:line="240" w:lineRule="auto"/>
        <w:jc w:val="both"/>
        <w:rPr>
          <w:color w:val="000000" w:themeColor="text1"/>
          <w:sz w:val="16"/>
          <w:szCs w:val="16"/>
        </w:rPr>
      </w:pPr>
      <w:r w:rsidRPr="008127F8">
        <w:rPr>
          <w:color w:val="000000" w:themeColor="text1"/>
          <w:sz w:val="16"/>
          <w:szCs w:val="16"/>
        </w:rPr>
        <w:t>Матчасть самолетов: № 42015 течь масляного радиатора 4-го мотора, остальные самолеты исправны.</w:t>
      </w:r>
    </w:p>
    <w:p w14:paraId="09BA853C" w14:textId="77777777" w:rsidR="007C5583" w:rsidRPr="008127F8" w:rsidRDefault="007C5583" w:rsidP="007C5583">
      <w:pPr>
        <w:pStyle w:val="319"/>
        <w:shd w:val="clear" w:color="auto" w:fill="auto"/>
        <w:spacing w:after="0" w:line="240" w:lineRule="auto"/>
        <w:jc w:val="both"/>
        <w:rPr>
          <w:rFonts w:ascii="Times New Roman" w:hAnsi="Times New Roman" w:cs="Times New Roman"/>
          <w:color w:val="000000" w:themeColor="text1"/>
          <w:sz w:val="16"/>
          <w:szCs w:val="16"/>
        </w:rPr>
      </w:pPr>
    </w:p>
    <w:p w14:paraId="53960EE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1942 г., за день до начала Харьковской наступательной операции, был произведен первый из серии запланированных ударов фронтовой авиации по аэродромам противника. Удар по аэродрому Харьков-Центральный спланировали таким образом, чтобы в утреннем налете вскрыть ПВО объекта, а в вечернем - ее подавить. Разведку боем провели штурмовики и истребители МАГ ЮЗФ: 11 Ил-2 285-гo ШЛП в сопровождении 10 Як-1 и 6 ЛаГГ-3 появились над аэродромом ровно в семь утра. Через час но этой же цели нанесла удар группа из семи Пе-2 99-го ББАП под прикрытием шести Як-1 273-го иап и пары МиГ-3 148-го ИАП. Не встретив противодействия. “Петляковы” с высоты 1700 метров отбомбились с горизонтального полета и повернули домой. Патрулировавшие над аэродромом немецкие истребители без особой активности провели несколько атак и ушли в облачность, предпочтя не ввязываться в бой с истребителями прикрытия. Прежде экипажам 99-го ББАП чаще приходилось самим отражать атаки немецких истребителей. мало полагаясь на истребительное сопровождение, 148-й ИАП, базировавшийся вместе с 99-м ББАП на аэродроме Евстратовский, слабо справлялся с возложенной на него задачей по сопровождению “пешек”. Об этом штаб 4-и РАГ отмечал в своем отчете о взаимодействии истребителей и бомбардировщиков: "Хуже обстояло дело с взаимодействием с 99 ббап и 148 ИАП. Изношенная материальная часть, слабая маневренность МиГ-3 на средних высотах заставляет забираться истребителей выше. оставляя нижнюю полусферу бомбардировщиков незащищенной, а также не составляют. единого боевого порядка с бомбардировщиками (9394,16).</w:t>
      </w:r>
    </w:p>
    <w:p w14:paraId="3EC7D33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FFEB5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1942 вечерний рейд на Харьковский аэродром начался в 18:00. Его открыл налет группы штурмовиков и истребителей из состава МАГ ЮЗФ в составе 9 Пе-2 (285 ШАП) под прикрытием 10 Як-1. Не давая передышки противнику, через час на аэродром пришла группа из 9 Пе-2 в сопровождении пятерки ЛаГГ-3 и группа из 7 Ил-2 (431 ШАП) под прикрытием 6 Як-1 (273 ИАП). взлетевших с аэродрома Копенки. Вторично проштурмовав стоянки и аэродром! ibie постройки. самолеты без потерь вернулись с задания. В результате этих ДВУХ налетов было уничтожено и повреждено 10 самолетов противника. При этом истребители прикрытия атаковали зенитные точки противника. В налетах на Харьковский аэродром участвовали также И-16 282-го ИАП из состава ВВС 38А. но летчики этого полка были менее удачливы. На свой аэродром не вернулся командир звена ст.л-т Антонов, а еще четыре истребителя совершили вынужденные посадки. По немецким данным. 11 мая аэродром в Харькове, на котором базировалась III./JG 77, неоднократно был атакован советской авиацией, но без особого успеха: на земле был поврежден лишь один Bf 109F-4/R1 (9394,16).</w:t>
      </w:r>
    </w:p>
    <w:p w14:paraId="7EF4E93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A481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1942 года вышло постановление ГКО N1889с: "1. Прекратить с 15 мая 1942 года массовую ежедневную выдачу водки личному составу войск действующей армии. 2. Сохранить ежедневную выдачу водки ТОЛЬКО военнослужащим частей передовой линии, имеющим успехи в боевых действиях против немецких захватчиков, увеличив норму выдачи водки военнослужащим этих частей до 200 гр. на человека в день. Для указанной цели выдавать водку ежемесячно в распоряжение командования фронтов и отдельных армий в размере 20% от численности войск фронта - армии, находящихся на передовой линии" (7859). С 25 ноября 1942 года Сталин разрешил отпускать водку не только наступающим войскам, но и всем частям, ведущим боевые действия. Водочный вопрос, видимо, вызывал у Сталина неподдельный интерес: проект постановления он исполосовал красным карандашом. Второй пункт после вмешательства верховного стал выглядеть так: "Сохранить ежедневную выдачу водки в размере 100 грамм военнослужащим только тех частей передовой линии, которые ведут наступательные операции". С планом Микояна, с его щедростью в виде 200 грамм водки храбрецам Сталин не согласился. После вступления в силу постановления военнослужащим, которые "неубедительно" громили врага, товарищ Сталин разрешил пить только по праздникам, которые можно было устраивать за казенный счет 10 дней в году: в дни годовщины революции - 7 и 8 ноября, в день Конституции - 5 декабря, на Новый год - 1 января, в день Красной армии - 23 февраля, в дни международного праздника трудящихся - 1 и 2 мая. Как ни парадоксально, во Всесоюзный день физкультурника - 19 июля, а также во Всесоюзный день авиации - 16 августа и в день сформирования соответствующей войсковой части. Еще одно смелое предложение Микояна - пить в Международный юношеский день 6 сентября - Сталин забраковал, решив, вероятно, что это уже слишком (7859).</w:t>
      </w:r>
    </w:p>
    <w:p w14:paraId="05FDA3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62FB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11 мая 1942 вышло Постановление ГКО № 1723 Об освобождении Шапошникова Б.М. от должности начальника Генштаба и возложении его обязанностей на Василевского А.М. РГАНИР, Фонд ГКО, д. 34, лл. 100 (11012).</w:t>
      </w:r>
    </w:p>
    <w:p w14:paraId="664B1F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F6F65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1942 вышло Постановление ГКО № 1726 О повышении оплаты и присвоении званий рядовому, младшему и среднему начсоставу пулеметных частей и подразделений. РГАНИР, Фонд ГКО, д. 34, лл. 104-105 (11012).</w:t>
      </w:r>
    </w:p>
    <w:p w14:paraId="1F55DD1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0ED7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1942 вышло Постановление ГКО № 1727 О порядке выдачи водки войскам действующей армии. РГАНИР, Фонд ГКО, д. 34, лл. 106 (11012).</w:t>
      </w:r>
    </w:p>
    <w:p w14:paraId="206D384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1547F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1942 года вышло ПОСТАНОВЛЕНИЕ ГОСУДАРСТВЕННОГО КОМИТЕТА ОБОРОНЫ № ГОКО-1227с О ПОРЯДКЕ ВЫДАЧИ ВОДКИ ВОЙСКАМ ДЕЙСТВУЮЩЕЙ АРМИИ</w:t>
      </w:r>
    </w:p>
    <w:p w14:paraId="6076F4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Прекратить с 15 мая 1942 года массовую ежедневную выдачу водки личному составу войск действующей армии.</w:t>
      </w:r>
    </w:p>
    <w:p w14:paraId="4E82183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Сохранить ежедневную выдачу водки только военнослужащим частей передовой линии, имеющим успехи в боевых действиях против немецких захватчиков, увеличив норму выдачи водки военнослужащим этих частей до 200 гр. на человека в день.</w:t>
      </w:r>
    </w:p>
    <w:p w14:paraId="6FE80D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указанной цели выделять водку ежемесячно в распоряжение командования фронтов и отдельных армий в размере 20 % от численности войск фронта-армии, находящихся на передовой линии.</w:t>
      </w:r>
    </w:p>
    <w:p w14:paraId="344EB30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Всем остальным военнослужащим передовой линии выдачу водки по 100 гр. на человека производить в следующие революционные и общественные праздники:</w:t>
      </w:r>
    </w:p>
    <w:p w14:paraId="4A3787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дни годовщины Великой Октябрьской социалистической революции — 7 и 8 ноября, в день Конституции — 5 декабря, в день Нового года — 1 января, в день Красной Армии — 23 февраля, в дни международного праздника трудящихся — 1 и 2 мая, во Всесоюзный день физкультурника — 19 июля, во Всесоюзный день авиации — 16 августа и в Международный юношеский день — 6 сентября, а также в день полкового праздника (сформирование части).</w:t>
      </w:r>
    </w:p>
    <w:p w14:paraId="4F4DD0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Постановление Государственного Комитета Обороны № 562с от 22 августа 1941 года отменить.</w:t>
      </w:r>
    </w:p>
    <w:p w14:paraId="7749E43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Председатель Государственного Комитета Обороны И. СТАЛИН </w:t>
      </w:r>
      <w:r w:rsidRPr="008127F8">
        <w:rPr>
          <w:rFonts w:ascii="Times New Roman" w:hAnsi="Times New Roman"/>
          <w:color w:val="000000" w:themeColor="text1"/>
          <w:sz w:val="16"/>
          <w:szCs w:val="16"/>
        </w:rPr>
        <w:t>(9844).</w:t>
      </w:r>
    </w:p>
    <w:p w14:paraId="68C5EEF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6E89C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07A8424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0467D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1942 года было получено:</w:t>
      </w:r>
    </w:p>
    <w:p w14:paraId="0D10F4E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ЧЕРЧИЛЛЬ И. В. СТАЛИНУ *</w:t>
      </w:r>
    </w:p>
    <w:p w14:paraId="5E9032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 получил Вашу телеграмму от б мая и благодарю Вас за Ваше послание и приветствия. Мы решили пробить путь к Вам с максимальным количеством военных материалов. Вследствие наличия “Тирпица” и других вражеских надводных кораблей в Тронхейме проход каждого конвоя стал серьезной морской операцией. Мы будем продолжать делать все, что в наших силах.</w:t>
      </w:r>
    </w:p>
    <w:p w14:paraId="5CEF8B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Несомненно, Ваши морские советники уже указали Вам на опасности, которым подвергаются конвои от нападения вражеских надводных сил, подводных лодок и с воздуха с различных находящихся во вражеских руках баз, расположенных вдоль всего пути следования конвоя.</w:t>
      </w:r>
    </w:p>
    <w:p w14:paraId="6CD450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Из-за неблагоприятных условий погоды масштабы нападений, которые немцы пока в состоянии осуществлять, значительно меньше, чем те, которых мы можем с достаточным основанием ожидать в будущем.</w:t>
      </w:r>
    </w:p>
    <w:p w14:paraId="283294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Мы бросаем все наши пригодные ресурсы для разрешения этой проблемы, ослабив с риском для себя наши эскорты конвоев в Атлантике для этой цели, и как Вам, несомненно, известно, мы потерпели тяжелые морские потери при проведении этих операций.</w:t>
      </w:r>
    </w:p>
    <w:p w14:paraId="3765C6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 уверен, что Вы не будете возражать против моей полной откровенности и против того, что я обратил особое внимание на необходимость увеличения помощи, оказываемой военно-морскими и военно-воздушными силами СССР в обеспечении безопасного прохода конвоев.</w:t>
      </w:r>
    </w:p>
    <w:p w14:paraId="5673932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получения Вами значительной части материалов, которые грузятся на пароходы в Соединенном Королевстве и в США, важно, чтобы военно-морские и военно-воздушные силы СССР ясно понимали, что они должны быть в значительной мере ответственными за конвои, будь то прибывающие или возвращающиеся, в районе к востоку от меридиана 28° восточной долготы в водах, которые находятся за пределами видимости мурманского побережья.</w:t>
      </w:r>
    </w:p>
    <w:p w14:paraId="2AE18D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вооруженных сил СССР требуются следующие виды дальнейшей помощи:</w:t>
      </w:r>
    </w:p>
    <w:p w14:paraId="29F0AAF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a) усиленная и более решительная помощь со стороны надводных сил СССР;</w:t>
      </w:r>
    </w:p>
    <w:p w14:paraId="10DACBF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b) предоставление бомбардировщиков с радиусом действия, достаточным для того, чтобы подвергать сильным бомбардировкам во время прохождения конвоев в зонах Нордкапа аэродромы, используемые немцами;</w:t>
      </w:r>
    </w:p>
    <w:p w14:paraId="34CFE2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c) выделение истребителей дальнего действия для прикрытия конвоев в той части пути, когда они приближаются к Вашим берегам;</w:t>
      </w:r>
    </w:p>
    <w:p w14:paraId="264185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d) авиационные и судовые патрули против подводных лодок.</w:t>
      </w:r>
    </w:p>
    <w:p w14:paraId="3AA2ACD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Когда я завтра вечером (в воскресенье) буду выступать по радио, я намерен сделать заявление, предупреждающее немцев о том, что, если они начнут химическую войну против русских армий, мы, конечно, сразу же отплатим Германии тем же (7430).</w:t>
      </w:r>
    </w:p>
    <w:p w14:paraId="0DCD88D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07D76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44DE89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46C38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1942 в Средиземном море немецкой авиацией затоплены три английских эсминца (4962).</w:t>
      </w:r>
    </w:p>
    <w:p w14:paraId="3DC85A2D"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38506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в 1942 году пять «Ju-88» обнаружили в Средиземном море между Критом и Тобруком группу английских кораблей. Это были эсминцы "Джервис"("Jervis"), "Киплинг" ("Kipling"), "Джекэл" ("Jackal") и "Лайвли" ("Lively"), которые под общим командованием капитана Поланда (A.L. Poland) шли из Александрии на Мальту. Около 14.00 первая волна из 15 Ju-88 атаковала эсминцы, но безуспешно. Корабли, маневрируя и ведя огонь из всех зенитных орудий, успешно уклонялись от бомб. В 18.00 эсминцы были атакованы второй волной из 22 "Юнкерсов" но снова безрезультатно. Приблизительно в это же время с аэродрома в Ираклионе поднялись семь Ju-88. Около 19.00 они были над эсминцами и со стороны заходящего солнца стремительно пошли в атаку. Хотя англичане ожидали нового нападения "Юнкерсов", эта атака завершилась для них трагически. В течение нескольких минут три из четырех эсминцев получили по несколько прямых попаданий. Хелбиг атаковал "Киплинг", на котором шел командир отряда капитан Поланд. Все четыре бомбы попали точно в цель, и эсминец быстро затонул. Вслед за "Киплингом" на дно пошел "Лайвли". Эсминец "Джекэл" получил несколько попаданий, и на нем начался пожар. "Джервис", единственный не получивший повреждений, взяв его на буксир, повернул обратно в Александрию. Однако повреждения, полученные "Джекэлом", оказались слишком тяжелыми, и на следующий день он затонул. Таким образом, из четырех эсминцев, вышедших из Александрии, туда вернулся лишь один "Джервис", на борту которого находились 630 оставшихся в живых моряков из экипажей погибших эсминцев (14888).</w:t>
      </w:r>
    </w:p>
    <w:p w14:paraId="6D717A5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570917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1942 японцы начали наступление на Yunnaan в Китае (2261).</w:t>
      </w:r>
    </w:p>
    <w:p w14:paraId="3A8A2F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4803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7FBB94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4393C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 вышел приказ НКАП N 371с:</w:t>
      </w:r>
    </w:p>
    <w:p w14:paraId="6D8823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"Директору завода 39 Иосиловичу: самолет ДБ-3 Украина не позднее 20 мая с.г. доставить в летом в Москву, выделив для этого опытного летчика.</w:t>
      </w:r>
    </w:p>
    <w:p w14:paraId="1AD86DD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перелете самолета обороты моторов допускать не выше 2300 м и при взлетах не пользоваться форсажем (1553,3).</w:t>
      </w:r>
    </w:p>
    <w:p w14:paraId="7BFA59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50E3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 Гл. конструктор Ермолаев писал зам. наркома Авиапрома Яковлеву.</w:t>
      </w:r>
    </w:p>
    <w:p w14:paraId="103F0D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Ваших указаний нами проведены предварительные изыскания и расчеты по проектированию дальнего бомбардировщика с двумя моторами АМ-39.</w:t>
      </w:r>
    </w:p>
    <w:p w14:paraId="5DF7C6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Ваши пожелания о применении в конструкции самолета дерева, нами запроектирована значительная часть агрегатов самолета деревянными, с применением лишь небольшого количества металла (корпус центроплана, средняя часть фюзеляжа).</w:t>
      </w:r>
    </w:p>
    <w:p w14:paraId="057E1C1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опыта боевой эксплуатации самолета Ер-2 в частях АДД, при проектировании самолета с моторами АМ-39, нами уделено особое внимание обеспечению хороших взлетных качеств самолета. Количество членов экипажа предусмотрено: 2 пилота, штурман и 2 стрелка.</w:t>
      </w:r>
    </w:p>
    <w:p w14:paraId="520740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 на дальность 4000 - увеличена до 2000 кг вместо 1000 кг для самолета Ер-2.</w:t>
      </w:r>
    </w:p>
    <w:p w14:paraId="7B5061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Усиленно бронирование экипажа и оборонительное вооружение - устанавливается 4 огневых точки:</w:t>
      </w:r>
    </w:p>
    <w:p w14:paraId="55AD2E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Носовая установка с пулеметом БТ</w:t>
      </w:r>
    </w:p>
    <w:p w14:paraId="6FDAEA3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Турельная установка со спаркой пулеметов БТ</w:t>
      </w:r>
    </w:p>
    <w:p w14:paraId="3C58C3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Люковая установка со спаркой пулеметов БТ</w:t>
      </w:r>
    </w:p>
    <w:p w14:paraId="3440DAF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Хвостовая установка с пулеметом БТ</w:t>
      </w:r>
    </w:p>
    <w:p w14:paraId="371D03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Летные данные самолета с моторами Ам-39 будут следующими: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495"/>
        <w:gridCol w:w="1099"/>
        <w:gridCol w:w="1736"/>
        <w:gridCol w:w="2268"/>
      </w:tblGrid>
      <w:tr w:rsidR="007C5583" w:rsidRPr="008127F8" w14:paraId="599E833B" w14:textId="77777777" w:rsidTr="004C5D62">
        <w:tc>
          <w:tcPr>
            <w:tcW w:w="5495" w:type="dxa"/>
            <w:tcBorders>
              <w:top w:val="single" w:sz="12" w:space="0" w:color="auto"/>
            </w:tcBorders>
          </w:tcPr>
          <w:p w14:paraId="6F1C5A8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Нормальный полет.</w:t>
            </w:r>
          </w:p>
        </w:tc>
        <w:tc>
          <w:tcPr>
            <w:tcW w:w="1099" w:type="dxa"/>
            <w:tcBorders>
              <w:top w:val="single" w:sz="12" w:space="0" w:color="auto"/>
            </w:tcBorders>
          </w:tcPr>
          <w:p w14:paraId="2DC9F81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36" w:type="dxa"/>
            <w:tcBorders>
              <w:top w:val="single" w:sz="12" w:space="0" w:color="auto"/>
            </w:tcBorders>
          </w:tcPr>
          <w:p w14:paraId="384028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single" w:sz="12" w:space="0" w:color="auto"/>
            </w:tcBorders>
          </w:tcPr>
          <w:p w14:paraId="106A507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Полный полет.</w:t>
            </w:r>
          </w:p>
        </w:tc>
      </w:tr>
      <w:tr w:rsidR="007C5583" w:rsidRPr="008127F8" w14:paraId="02BB49BC" w14:textId="77777777" w:rsidTr="004C5D62">
        <w:tc>
          <w:tcPr>
            <w:tcW w:w="5495" w:type="dxa"/>
          </w:tcPr>
          <w:p w14:paraId="311D54A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14600 кг</w:t>
            </w:r>
          </w:p>
        </w:tc>
        <w:tc>
          <w:tcPr>
            <w:tcW w:w="1099" w:type="dxa"/>
          </w:tcPr>
          <w:p w14:paraId="4D44C1C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36" w:type="dxa"/>
          </w:tcPr>
          <w:p w14:paraId="61CA39C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618066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18000 кг</w:t>
            </w:r>
          </w:p>
        </w:tc>
      </w:tr>
      <w:tr w:rsidR="007C5583" w:rsidRPr="008127F8" w14:paraId="4CF1F5BB" w14:textId="77777777" w:rsidTr="004C5D62">
        <w:tc>
          <w:tcPr>
            <w:tcW w:w="5495" w:type="dxa"/>
          </w:tcPr>
          <w:p w14:paraId="660865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w:t>
            </w:r>
          </w:p>
        </w:tc>
        <w:tc>
          <w:tcPr>
            <w:tcW w:w="1099" w:type="dxa"/>
          </w:tcPr>
          <w:p w14:paraId="6B25D09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511 км/час</w:t>
            </w:r>
          </w:p>
        </w:tc>
        <w:tc>
          <w:tcPr>
            <w:tcW w:w="1736" w:type="dxa"/>
          </w:tcPr>
          <w:p w14:paraId="24BF407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818DD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495 км/час</w:t>
            </w:r>
          </w:p>
        </w:tc>
      </w:tr>
      <w:tr w:rsidR="007C5583" w:rsidRPr="008127F8" w14:paraId="1DB9DC8E" w14:textId="77777777" w:rsidTr="004C5D62">
        <w:tc>
          <w:tcPr>
            <w:tcW w:w="5495" w:type="dxa"/>
          </w:tcPr>
          <w:p w14:paraId="796CED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 полета с 2000 кг бомб</w:t>
            </w:r>
          </w:p>
        </w:tc>
        <w:tc>
          <w:tcPr>
            <w:tcW w:w="1099" w:type="dxa"/>
          </w:tcPr>
          <w:p w14:paraId="62EC071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36" w:type="dxa"/>
          </w:tcPr>
          <w:p w14:paraId="13D92F5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DF8D2C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E6B09F8" w14:textId="77777777" w:rsidTr="004C5D62">
        <w:tc>
          <w:tcPr>
            <w:tcW w:w="5495" w:type="dxa"/>
          </w:tcPr>
          <w:p w14:paraId="7E4EEE0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аэронавигационным 2000 км</w:t>
            </w:r>
          </w:p>
        </w:tc>
        <w:tc>
          <w:tcPr>
            <w:tcW w:w="1099" w:type="dxa"/>
          </w:tcPr>
          <w:p w14:paraId="350E767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36" w:type="dxa"/>
          </w:tcPr>
          <w:p w14:paraId="06E3405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72841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F6F9CA0" w14:textId="77777777" w:rsidTr="004C5D62">
        <w:tc>
          <w:tcPr>
            <w:tcW w:w="5495" w:type="dxa"/>
          </w:tcPr>
          <w:p w14:paraId="2B6A3D5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запасом горючего 10%)</w:t>
            </w:r>
          </w:p>
        </w:tc>
        <w:tc>
          <w:tcPr>
            <w:tcW w:w="1099" w:type="dxa"/>
          </w:tcPr>
          <w:p w14:paraId="25BF3E8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 км</w:t>
            </w:r>
          </w:p>
        </w:tc>
        <w:tc>
          <w:tcPr>
            <w:tcW w:w="1736" w:type="dxa"/>
          </w:tcPr>
          <w:p w14:paraId="34CF267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A03D0D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4000 км</w:t>
            </w:r>
          </w:p>
        </w:tc>
      </w:tr>
      <w:tr w:rsidR="007C5583" w:rsidRPr="008127F8" w14:paraId="52C20BB0" w14:textId="77777777" w:rsidTr="004C5D62">
        <w:tc>
          <w:tcPr>
            <w:tcW w:w="5495" w:type="dxa"/>
          </w:tcPr>
          <w:p w14:paraId="07D87BC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Крейсерская скорость</w:t>
            </w:r>
          </w:p>
        </w:tc>
        <w:tc>
          <w:tcPr>
            <w:tcW w:w="1099" w:type="dxa"/>
          </w:tcPr>
          <w:p w14:paraId="1710FFA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440 км/час</w:t>
            </w:r>
          </w:p>
        </w:tc>
        <w:tc>
          <w:tcPr>
            <w:tcW w:w="1736" w:type="dxa"/>
          </w:tcPr>
          <w:p w14:paraId="022C36E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544281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430 км/час</w:t>
            </w:r>
          </w:p>
        </w:tc>
      </w:tr>
      <w:tr w:rsidR="007C5583" w:rsidRPr="008127F8" w14:paraId="217A03F1" w14:textId="77777777" w:rsidTr="004C5D62">
        <w:tc>
          <w:tcPr>
            <w:tcW w:w="5495" w:type="dxa"/>
          </w:tcPr>
          <w:p w14:paraId="794744E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Потолок практический</w:t>
            </w:r>
          </w:p>
        </w:tc>
        <w:tc>
          <w:tcPr>
            <w:tcW w:w="1099" w:type="dxa"/>
          </w:tcPr>
          <w:p w14:paraId="3E2BA70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9500 м</w:t>
            </w:r>
          </w:p>
        </w:tc>
        <w:tc>
          <w:tcPr>
            <w:tcW w:w="1736" w:type="dxa"/>
          </w:tcPr>
          <w:p w14:paraId="2BB30E6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F3C905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7500 м</w:t>
            </w:r>
          </w:p>
        </w:tc>
      </w:tr>
      <w:tr w:rsidR="007C5583" w:rsidRPr="008127F8" w14:paraId="357F9ADC" w14:textId="77777777" w:rsidTr="004C5D62">
        <w:tc>
          <w:tcPr>
            <w:tcW w:w="5495" w:type="dxa"/>
          </w:tcPr>
          <w:p w14:paraId="60F600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Посадочная скорость</w:t>
            </w:r>
          </w:p>
        </w:tc>
        <w:tc>
          <w:tcPr>
            <w:tcW w:w="1099" w:type="dxa"/>
          </w:tcPr>
          <w:p w14:paraId="586DDCB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 км/час</w:t>
            </w:r>
          </w:p>
        </w:tc>
        <w:tc>
          <w:tcPr>
            <w:tcW w:w="1736" w:type="dxa"/>
          </w:tcPr>
          <w:p w14:paraId="09B8AC4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CB5CCD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7C5583" w:rsidRPr="008127F8" w14:paraId="67AA00A1" w14:textId="77777777" w:rsidTr="004C5D62">
        <w:tc>
          <w:tcPr>
            <w:tcW w:w="5495" w:type="dxa"/>
          </w:tcPr>
          <w:p w14:paraId="7B64CC7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разбега (по грунту)</w:t>
            </w:r>
          </w:p>
        </w:tc>
        <w:tc>
          <w:tcPr>
            <w:tcW w:w="1099" w:type="dxa"/>
          </w:tcPr>
          <w:p w14:paraId="650452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 м</w:t>
            </w:r>
          </w:p>
        </w:tc>
        <w:tc>
          <w:tcPr>
            <w:tcW w:w="1736" w:type="dxa"/>
          </w:tcPr>
          <w:p w14:paraId="71DE337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4687DA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495 м*</w:t>
            </w:r>
          </w:p>
        </w:tc>
      </w:tr>
      <w:tr w:rsidR="007C5583" w:rsidRPr="008127F8" w14:paraId="32E0E4D9" w14:textId="77777777" w:rsidTr="004C5D62">
        <w:tc>
          <w:tcPr>
            <w:tcW w:w="5495" w:type="dxa"/>
          </w:tcPr>
          <w:p w14:paraId="7FE715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 в зависимости от дальности полета изменяется следующим образом:</w:t>
            </w:r>
          </w:p>
        </w:tc>
        <w:tc>
          <w:tcPr>
            <w:tcW w:w="1099" w:type="dxa"/>
          </w:tcPr>
          <w:p w14:paraId="5F400A9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36" w:type="dxa"/>
          </w:tcPr>
          <w:p w14:paraId="36E354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A36C99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B802262" w14:textId="77777777" w:rsidTr="004C5D62">
        <w:tc>
          <w:tcPr>
            <w:tcW w:w="5495" w:type="dxa"/>
          </w:tcPr>
          <w:p w14:paraId="78B832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дальность</w:t>
            </w:r>
          </w:p>
        </w:tc>
        <w:tc>
          <w:tcPr>
            <w:tcW w:w="1099" w:type="dxa"/>
          </w:tcPr>
          <w:p w14:paraId="4D7FA20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4000 км</w:t>
            </w:r>
          </w:p>
        </w:tc>
        <w:tc>
          <w:tcPr>
            <w:tcW w:w="1736" w:type="dxa"/>
          </w:tcPr>
          <w:p w14:paraId="3477BBE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 кг бомб</w:t>
            </w:r>
          </w:p>
        </w:tc>
        <w:tc>
          <w:tcPr>
            <w:tcW w:w="2268" w:type="dxa"/>
          </w:tcPr>
          <w:p w14:paraId="706FC90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E158393" w14:textId="77777777" w:rsidTr="004C5D62">
        <w:tc>
          <w:tcPr>
            <w:tcW w:w="5495" w:type="dxa"/>
          </w:tcPr>
          <w:p w14:paraId="4DB3C16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99" w:type="dxa"/>
          </w:tcPr>
          <w:p w14:paraId="0410327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3000 км</w:t>
            </w:r>
          </w:p>
        </w:tc>
        <w:tc>
          <w:tcPr>
            <w:tcW w:w="1736" w:type="dxa"/>
          </w:tcPr>
          <w:p w14:paraId="7C6BC33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3000 кг бомб</w:t>
            </w:r>
          </w:p>
        </w:tc>
        <w:tc>
          <w:tcPr>
            <w:tcW w:w="2268" w:type="dxa"/>
          </w:tcPr>
          <w:p w14:paraId="4D2DB8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133014E" w14:textId="77777777" w:rsidTr="004C5D62">
        <w:tc>
          <w:tcPr>
            <w:tcW w:w="5495" w:type="dxa"/>
          </w:tcPr>
          <w:p w14:paraId="4A6598D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99" w:type="dxa"/>
          </w:tcPr>
          <w:p w14:paraId="36A51C1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 км</w:t>
            </w:r>
          </w:p>
        </w:tc>
        <w:tc>
          <w:tcPr>
            <w:tcW w:w="1736" w:type="dxa"/>
          </w:tcPr>
          <w:p w14:paraId="773369B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4000 кг бомб</w:t>
            </w:r>
          </w:p>
        </w:tc>
        <w:tc>
          <w:tcPr>
            <w:tcW w:w="2268" w:type="dxa"/>
          </w:tcPr>
          <w:p w14:paraId="0A6C20C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FD55C41" w14:textId="77777777" w:rsidTr="004C5D62">
        <w:tc>
          <w:tcPr>
            <w:tcW w:w="5495" w:type="dxa"/>
            <w:tcBorders>
              <w:bottom w:val="single" w:sz="12" w:space="0" w:color="auto"/>
            </w:tcBorders>
          </w:tcPr>
          <w:p w14:paraId="4CC60D5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99" w:type="dxa"/>
            <w:tcBorders>
              <w:bottom w:val="single" w:sz="12" w:space="0" w:color="auto"/>
            </w:tcBorders>
          </w:tcPr>
          <w:p w14:paraId="64F9993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 км</w:t>
            </w:r>
          </w:p>
        </w:tc>
        <w:tc>
          <w:tcPr>
            <w:tcW w:w="1736" w:type="dxa"/>
            <w:tcBorders>
              <w:bottom w:val="single" w:sz="12" w:space="0" w:color="auto"/>
            </w:tcBorders>
          </w:tcPr>
          <w:p w14:paraId="5676D28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 кг бомб</w:t>
            </w:r>
          </w:p>
        </w:tc>
        <w:tc>
          <w:tcPr>
            <w:tcW w:w="2268" w:type="dxa"/>
            <w:tcBorders>
              <w:bottom w:val="single" w:sz="12" w:space="0" w:color="auto"/>
            </w:tcBorders>
          </w:tcPr>
          <w:p w14:paraId="27785EB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47410D0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Внутрь фюзеляжа размещается 2000 кг бомб комбинациями:</w:t>
      </w:r>
    </w:p>
    <w:p w14:paraId="259E3A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4х500 кг</w:t>
      </w:r>
    </w:p>
    <w:p w14:paraId="422DD8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8х250 кг</w:t>
      </w:r>
    </w:p>
    <w:p w14:paraId="73E906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20х100 кг</w:t>
      </w:r>
    </w:p>
    <w:p w14:paraId="4DB77BA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Снаружи предусмотрены 3 замка для подвески 2000 кг бомбы на каждую.</w:t>
      </w:r>
    </w:p>
    <w:p w14:paraId="130ECB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размерности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4962"/>
      </w:tblGrid>
      <w:tr w:rsidR="007C5583" w:rsidRPr="008127F8" w14:paraId="186CF88A" w14:textId="77777777" w:rsidTr="004C5D62">
        <w:tc>
          <w:tcPr>
            <w:tcW w:w="2818" w:type="dxa"/>
            <w:tcBorders>
              <w:top w:val="single" w:sz="12" w:space="0" w:color="auto"/>
            </w:tcBorders>
          </w:tcPr>
          <w:p w14:paraId="39A1923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пустого</w:t>
            </w:r>
          </w:p>
        </w:tc>
        <w:tc>
          <w:tcPr>
            <w:tcW w:w="2818" w:type="dxa"/>
            <w:tcBorders>
              <w:top w:val="single" w:sz="12" w:space="0" w:color="auto"/>
            </w:tcBorders>
          </w:tcPr>
          <w:p w14:paraId="067321F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8700-9000 кг</w:t>
            </w:r>
          </w:p>
        </w:tc>
        <w:tc>
          <w:tcPr>
            <w:tcW w:w="4962" w:type="dxa"/>
            <w:tcBorders>
              <w:top w:val="single" w:sz="12" w:space="0" w:color="auto"/>
            </w:tcBorders>
          </w:tcPr>
          <w:p w14:paraId="09EB06B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Моторы АМ-39</w:t>
            </w:r>
          </w:p>
        </w:tc>
      </w:tr>
      <w:tr w:rsidR="007C5583" w:rsidRPr="008127F8" w14:paraId="38CF7610" w14:textId="77777777" w:rsidTr="004C5D62">
        <w:tc>
          <w:tcPr>
            <w:tcW w:w="2818" w:type="dxa"/>
          </w:tcPr>
          <w:p w14:paraId="2787951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крыла</w:t>
            </w:r>
          </w:p>
        </w:tc>
        <w:tc>
          <w:tcPr>
            <w:tcW w:w="2818" w:type="dxa"/>
          </w:tcPr>
          <w:p w14:paraId="177017E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 м кв.</w:t>
            </w:r>
          </w:p>
        </w:tc>
        <w:tc>
          <w:tcPr>
            <w:tcW w:w="4962" w:type="dxa"/>
          </w:tcPr>
          <w:p w14:paraId="4251023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Винты - АВ9-ЕЛ116 (четырех лопастные диаметром 4,1 м)</w:t>
            </w:r>
          </w:p>
        </w:tc>
      </w:tr>
      <w:tr w:rsidR="007C5583" w:rsidRPr="008127F8" w14:paraId="4C0D31FC" w14:textId="77777777" w:rsidTr="004C5D62">
        <w:tc>
          <w:tcPr>
            <w:tcW w:w="2818" w:type="dxa"/>
          </w:tcPr>
          <w:p w14:paraId="09F11B7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Размах крыла</w:t>
            </w:r>
          </w:p>
        </w:tc>
        <w:tc>
          <w:tcPr>
            <w:tcW w:w="2818" w:type="dxa"/>
          </w:tcPr>
          <w:p w14:paraId="01B8051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26-27 м</w:t>
            </w:r>
          </w:p>
        </w:tc>
        <w:tc>
          <w:tcPr>
            <w:tcW w:w="4962" w:type="dxa"/>
          </w:tcPr>
          <w:p w14:paraId="0BA8212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Емкость бензобаков 5600 кг</w:t>
            </w:r>
          </w:p>
        </w:tc>
      </w:tr>
      <w:tr w:rsidR="007C5583" w:rsidRPr="008127F8" w14:paraId="1F57CADB" w14:textId="77777777" w:rsidTr="004C5D62">
        <w:tc>
          <w:tcPr>
            <w:tcW w:w="2818" w:type="dxa"/>
          </w:tcPr>
          <w:p w14:paraId="3143665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Весовая отдача для веса 18000 кг</w:t>
            </w:r>
          </w:p>
        </w:tc>
        <w:tc>
          <w:tcPr>
            <w:tcW w:w="2818" w:type="dxa"/>
          </w:tcPr>
          <w:p w14:paraId="01B9949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4962" w:type="dxa"/>
          </w:tcPr>
          <w:p w14:paraId="4786F45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6786B41" w14:textId="77777777" w:rsidTr="004C5D62">
        <w:tc>
          <w:tcPr>
            <w:tcW w:w="2818" w:type="dxa"/>
          </w:tcPr>
          <w:p w14:paraId="060DEE9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Нагрузка на м кв. веса 18000 кг</w:t>
            </w:r>
          </w:p>
        </w:tc>
        <w:tc>
          <w:tcPr>
            <w:tcW w:w="2818" w:type="dxa"/>
          </w:tcPr>
          <w:p w14:paraId="5F8768E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180-200 кг</w:t>
            </w:r>
          </w:p>
        </w:tc>
        <w:tc>
          <w:tcPr>
            <w:tcW w:w="4962" w:type="dxa"/>
          </w:tcPr>
          <w:p w14:paraId="68CF5EE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60F2161" w14:textId="77777777" w:rsidTr="004C5D62">
        <w:tc>
          <w:tcPr>
            <w:tcW w:w="2818" w:type="dxa"/>
            <w:tcBorders>
              <w:bottom w:val="single" w:sz="12" w:space="0" w:color="auto"/>
            </w:tcBorders>
          </w:tcPr>
          <w:p w14:paraId="04B7845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Нагрузка на л.с. веса 18000 кг</w:t>
            </w:r>
          </w:p>
        </w:tc>
        <w:tc>
          <w:tcPr>
            <w:tcW w:w="2818" w:type="dxa"/>
            <w:tcBorders>
              <w:bottom w:val="single" w:sz="12" w:space="0" w:color="auto"/>
            </w:tcBorders>
          </w:tcPr>
          <w:p w14:paraId="0F5BD9E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5,63 кг</w:t>
            </w:r>
          </w:p>
        </w:tc>
        <w:tc>
          <w:tcPr>
            <w:tcW w:w="4962" w:type="dxa"/>
            <w:tcBorders>
              <w:bottom w:val="single" w:sz="12" w:space="0" w:color="auto"/>
            </w:tcBorders>
          </w:tcPr>
          <w:p w14:paraId="51C2B7B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7D8052A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Длина разбега при применении четырехлопастного винта диаметром 4,5 м может быть доведена до 430 м для начального полетного веса 18000 кг (2164,23).</w:t>
      </w:r>
    </w:p>
    <w:p w14:paraId="3EF028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3EB6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 вышел приказ НКАП N 370асс об истребителях:</w:t>
      </w:r>
    </w:p>
    <w:p w14:paraId="66E1879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"ГКО постановлением от 10 мая 1942 за N ГОКО-1721сс на основании, доказанного опытом отметил, что РС и установки под них отнимают у наших истребителей скорости до 30 км/час, а открытые фонари доп. отнимают до 20 км/час скорости. Все это ведет к тому, что наши истребители не могут вести успешные бои с новыми Мессершмиттами, которые летают с закрытым фонарем и не имеют РС.</w:t>
      </w:r>
    </w:p>
    <w:p w14:paraId="751A9DD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ликвидации этих недостатков и для повышения скорости и боеспособности наших истребителей - ГКО обязал НКАП - впредь выпускать истребители (Як-1, Як-7, ЛаГГ-3) без РС.</w:t>
      </w:r>
    </w:p>
    <w:p w14:paraId="19271F7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исполнение настоящего постановления ГКО:</w:t>
      </w:r>
    </w:p>
    <w:p w14:paraId="0CEF25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И.о. нач. ПГУ Шиц и директорам заводов 21 Гостинцеву, 31 Агаджанову, 292 Левину, 153 Романову впредь выпускать истребители (Як-1, Як-7, ЛаГГ-3) без РО-82</w:t>
      </w:r>
    </w:p>
    <w:p w14:paraId="4D8E94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Зам. наркома А.С.Я. и директору завода 153 Романову выпускать с 20 мая с.г. все самолеты Як-7 с оборудованием под подвесной бак в задней кабине емкостью 100 л</w:t>
      </w:r>
    </w:p>
    <w:p w14:paraId="71EC23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Директору завода 292 Левину выпускать с 20 мая по пять самолетов Як-1 в день облегченных, с одной ШВАК, без РО-82, без ШКАС, без бомбодержателей, с новым хвостовым оперением и по 5 самолетов в день Як-1 с 3 точками, выпускаемыми сейчас, а с 1 июня все 10 самолетов в день облегченные, с запасом снарядов до 10 июня 120 шт, а с 10 - 150 шт.</w:t>
      </w:r>
    </w:p>
    <w:p w14:paraId="0B14D2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Зам. наркома А.С.Я. силами завода 115 установить на самолет Як-7 формированный мотор М-105ПФ с усиленными поршневыми пальцами до 15 мая</w:t>
      </w:r>
    </w:p>
    <w:p w14:paraId="38D358B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Этим же постановлением ГКО обязал:</w:t>
      </w:r>
    </w:p>
    <w:p w14:paraId="1F0022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командующего ВВС Новикову срочно испытать в НИИ ВВС самолет Як-7 с М-105ПФ и результаты испытаний доложить ГОКО к 17 мая с.г.</w:t>
      </w:r>
    </w:p>
    <w:p w14:paraId="6348B6E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Наркомхимпрому изготовлять стекла для самолетов по качеству не хуже, чем на самолетах Томогавк. Поставку стекол указанного качества начать не позднее 25 мая с.г. (1552,95).</w:t>
      </w:r>
    </w:p>
    <w:p w14:paraId="779D05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EF5DD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 вышел приказ НКАП в исполнение постановления ГКО от 10 мая, которое обязало 292 завод с 20 мая делать облегченные Як - без РО, но это постановление отменили, так как появился М-105ПФ (198,44).</w:t>
      </w:r>
    </w:p>
    <w:p w14:paraId="42EFF08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EB22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 при испытаниях Як-7Б на 115 заводе л Н.А.Тихомиров разбился в катастрофе, так как сорвался в штопор на низкой высоте совершив глубокий разворот (2108).</w:t>
      </w:r>
    </w:p>
    <w:p w14:paraId="1C913F6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7C5583" w:rsidRPr="008127F8" w14:paraId="1E67F5C3" w14:textId="77777777" w:rsidTr="004C5D62">
        <w:tc>
          <w:tcPr>
            <w:tcW w:w="675" w:type="dxa"/>
            <w:tcBorders>
              <w:top w:val="single" w:sz="12" w:space="0" w:color="auto"/>
            </w:tcBorders>
          </w:tcPr>
          <w:p w14:paraId="0B39CCB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п/п</w:t>
            </w:r>
          </w:p>
        </w:tc>
        <w:tc>
          <w:tcPr>
            <w:tcW w:w="993" w:type="dxa"/>
            <w:tcBorders>
              <w:top w:val="single" w:sz="12" w:space="0" w:color="auto"/>
            </w:tcBorders>
          </w:tcPr>
          <w:p w14:paraId="436FB68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Дата</w:t>
            </w:r>
          </w:p>
        </w:tc>
        <w:tc>
          <w:tcPr>
            <w:tcW w:w="708" w:type="dxa"/>
            <w:tcBorders>
              <w:top w:val="single" w:sz="12" w:space="0" w:color="auto"/>
            </w:tcBorders>
          </w:tcPr>
          <w:p w14:paraId="2FBAA41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Заводов</w:t>
            </w:r>
          </w:p>
        </w:tc>
        <w:tc>
          <w:tcPr>
            <w:tcW w:w="1418" w:type="dxa"/>
            <w:tcBorders>
              <w:top w:val="single" w:sz="12" w:space="0" w:color="auto"/>
            </w:tcBorders>
          </w:tcPr>
          <w:p w14:paraId="2636365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w:t>
            </w:r>
          </w:p>
        </w:tc>
        <w:tc>
          <w:tcPr>
            <w:tcW w:w="2364" w:type="dxa"/>
            <w:tcBorders>
              <w:top w:val="single" w:sz="12" w:space="0" w:color="auto"/>
            </w:tcBorders>
          </w:tcPr>
          <w:p w14:paraId="08D05B1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3C442C6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Краткое описание и причины происшествия</w:t>
            </w:r>
          </w:p>
        </w:tc>
      </w:tr>
      <w:tr w:rsidR="007C5583" w:rsidRPr="008127F8" w14:paraId="20E58A69" w14:textId="77777777" w:rsidTr="004C5D62">
        <w:tc>
          <w:tcPr>
            <w:tcW w:w="675" w:type="dxa"/>
          </w:tcPr>
          <w:p w14:paraId="154BEFD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993" w:type="dxa"/>
          </w:tcPr>
          <w:p w14:paraId="1D3DC9B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w:t>
            </w:r>
          </w:p>
        </w:tc>
        <w:tc>
          <w:tcPr>
            <w:tcW w:w="708" w:type="dxa"/>
          </w:tcPr>
          <w:p w14:paraId="666FBEC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Летный отряд</w:t>
            </w:r>
          </w:p>
        </w:tc>
        <w:tc>
          <w:tcPr>
            <w:tcW w:w="1418" w:type="dxa"/>
          </w:tcPr>
          <w:p w14:paraId="67F5CD1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В.К.Сапетов</w:t>
            </w:r>
          </w:p>
        </w:tc>
        <w:tc>
          <w:tcPr>
            <w:tcW w:w="2364" w:type="dxa"/>
          </w:tcPr>
          <w:p w14:paraId="5BC93F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Авария ПС-84 транспортного</w:t>
            </w:r>
          </w:p>
        </w:tc>
        <w:tc>
          <w:tcPr>
            <w:tcW w:w="4440" w:type="dxa"/>
          </w:tcPr>
          <w:p w14:paraId="529107D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рулежке разрушилась верхняя ферма правой стороны шасси, с-т упал на правое крыло</w:t>
            </w:r>
          </w:p>
        </w:tc>
      </w:tr>
      <w:tr w:rsidR="007C5583" w:rsidRPr="008127F8" w14:paraId="21EEC502" w14:textId="77777777" w:rsidTr="004C5D62">
        <w:tc>
          <w:tcPr>
            <w:tcW w:w="675" w:type="dxa"/>
          </w:tcPr>
          <w:p w14:paraId="20FB9B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993" w:type="dxa"/>
          </w:tcPr>
          <w:p w14:paraId="6F86E17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w:t>
            </w:r>
          </w:p>
        </w:tc>
        <w:tc>
          <w:tcPr>
            <w:tcW w:w="708" w:type="dxa"/>
          </w:tcPr>
          <w:p w14:paraId="2485756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115</w:t>
            </w:r>
          </w:p>
        </w:tc>
        <w:tc>
          <w:tcPr>
            <w:tcW w:w="1418" w:type="dxa"/>
          </w:tcPr>
          <w:p w14:paraId="2EF5564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Н.А.Тихомиров</w:t>
            </w:r>
          </w:p>
        </w:tc>
        <w:tc>
          <w:tcPr>
            <w:tcW w:w="2364" w:type="dxa"/>
          </w:tcPr>
          <w:p w14:paraId="14FB5FD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Катастрофа Як-7Б на испытаниях</w:t>
            </w:r>
          </w:p>
        </w:tc>
        <w:tc>
          <w:tcPr>
            <w:tcW w:w="4440" w:type="dxa"/>
          </w:tcPr>
          <w:p w14:paraId="0A98C5F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Срыв в штопор на малой высоте по вине л (глубокий разворот на небольшой высоте). Л погиб</w:t>
            </w:r>
          </w:p>
        </w:tc>
      </w:tr>
      <w:tr w:rsidR="007C5583" w:rsidRPr="008127F8" w14:paraId="2921B067" w14:textId="77777777" w:rsidTr="004C5D62">
        <w:tc>
          <w:tcPr>
            <w:tcW w:w="675" w:type="dxa"/>
          </w:tcPr>
          <w:p w14:paraId="6008AD6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c>
          <w:tcPr>
            <w:tcW w:w="993" w:type="dxa"/>
          </w:tcPr>
          <w:p w14:paraId="47F018F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w:t>
            </w:r>
          </w:p>
        </w:tc>
        <w:tc>
          <w:tcPr>
            <w:tcW w:w="708" w:type="dxa"/>
          </w:tcPr>
          <w:p w14:paraId="60F9799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1418" w:type="dxa"/>
          </w:tcPr>
          <w:p w14:paraId="5DBA7DD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И.М.Скороходов</w:t>
            </w:r>
          </w:p>
        </w:tc>
        <w:tc>
          <w:tcPr>
            <w:tcW w:w="2364" w:type="dxa"/>
          </w:tcPr>
          <w:p w14:paraId="567B18E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Катастрофа ПС-84 транспортного</w:t>
            </w:r>
          </w:p>
        </w:tc>
        <w:tc>
          <w:tcPr>
            <w:tcW w:w="4440" w:type="dxa"/>
          </w:tcPr>
          <w:p w14:paraId="4B76D6F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полете в сложных метеоусловиях (туман) с-т врезался в гору. Все 6 человек погибли</w:t>
            </w:r>
          </w:p>
        </w:tc>
      </w:tr>
      <w:tr w:rsidR="007C5583" w:rsidRPr="008127F8" w14:paraId="46B9C701" w14:textId="77777777" w:rsidTr="004C5D62">
        <w:tc>
          <w:tcPr>
            <w:tcW w:w="675" w:type="dxa"/>
            <w:tcBorders>
              <w:bottom w:val="single" w:sz="12" w:space="0" w:color="auto"/>
            </w:tcBorders>
          </w:tcPr>
          <w:p w14:paraId="0C791DC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993" w:type="dxa"/>
            <w:tcBorders>
              <w:bottom w:val="single" w:sz="12" w:space="0" w:color="auto"/>
            </w:tcBorders>
          </w:tcPr>
          <w:p w14:paraId="1D777A1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w:t>
            </w:r>
          </w:p>
        </w:tc>
        <w:tc>
          <w:tcPr>
            <w:tcW w:w="708" w:type="dxa"/>
            <w:tcBorders>
              <w:bottom w:val="single" w:sz="12" w:space="0" w:color="auto"/>
            </w:tcBorders>
          </w:tcPr>
          <w:p w14:paraId="0B946DD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1418" w:type="dxa"/>
            <w:tcBorders>
              <w:bottom w:val="single" w:sz="12" w:space="0" w:color="auto"/>
            </w:tcBorders>
          </w:tcPr>
          <w:p w14:paraId="5845EF7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Г.А.Ветлугин</w:t>
            </w:r>
          </w:p>
        </w:tc>
        <w:tc>
          <w:tcPr>
            <w:tcW w:w="2364" w:type="dxa"/>
            <w:tcBorders>
              <w:bottom w:val="single" w:sz="12" w:space="0" w:color="auto"/>
            </w:tcBorders>
          </w:tcPr>
          <w:p w14:paraId="0E00DB2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Катастрофа ПЛ-5 транспортного</w:t>
            </w:r>
          </w:p>
        </w:tc>
        <w:tc>
          <w:tcPr>
            <w:tcW w:w="4440" w:type="dxa"/>
            <w:tcBorders>
              <w:bottom w:val="single" w:sz="12" w:space="0" w:color="auto"/>
            </w:tcBorders>
          </w:tcPr>
          <w:p w14:paraId="51E4847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полете из Свердловска в Казань в сложных метеоусловиях пропл без вести и до сих пор не найден</w:t>
            </w:r>
          </w:p>
        </w:tc>
      </w:tr>
    </w:tbl>
    <w:p w14:paraId="6014570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(2108,266)</w:t>
      </w:r>
    </w:p>
    <w:p w14:paraId="075C072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8A57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12 мая по 2 июня 1942 г. четыре машины из опытной серии из пяти самолетов Як-1 с двумя синхронными ШКАС, замененными на 2 синхронных УБ (№№ 3752, 3852, 4252, 4352, 4452) на которых были устранены замечания, полученные на полигонных испытаниях, прошли войсковые испытания в 182 иап (командир полка Герой Советского Союза майор Нога) 105 над ПВО г. Ростова с хорошим результатом. Распространения этот вариант Як-1 не получил. Его полетный вес возрос, а компенсировать связанное с этим ухудшение летных данных было нечем. На фронте же все шире стала применяться новая модификация Мессершмитта - Bf. 109F, которой уступал в скорости и вертикальном маневре даже Як-1 с обычным вооружением (12048).</w:t>
      </w:r>
    </w:p>
    <w:p w14:paraId="0648D3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2EED3D"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мая 1942 г. в процессе испытаний на износ в одном из полетов самолет Як-7Б №1413, который оставили на заводе № 153 в качестве эталона, потерпел ка</w:t>
      </w:r>
      <w:r w:rsidRPr="008A2E5A">
        <w:rPr>
          <w:rFonts w:ascii="Times New Roman" w:hAnsi="Times New Roman"/>
          <w:color w:val="0070C0"/>
          <w:sz w:val="16"/>
          <w:szCs w:val="16"/>
        </w:rPr>
        <w:softHyphen/>
        <w:t>тастрофу: из-за ошибки в технике пилотирования (срыв в штопор из-за потери скорости в развороте с большим креном на малой высоте) погиб летчик-испытатель заво</w:t>
      </w:r>
      <w:r w:rsidRPr="008A2E5A">
        <w:rPr>
          <w:rFonts w:ascii="Times New Roman" w:hAnsi="Times New Roman"/>
          <w:color w:val="0070C0"/>
          <w:sz w:val="16"/>
          <w:szCs w:val="16"/>
        </w:rPr>
        <w:softHyphen/>
        <w:t>да Н.А. Тихомиров.</w:t>
      </w:r>
    </w:p>
    <w:p w14:paraId="144FF97B"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Испытания на износ продолжили на первом серийном Як-7Б №2215301, которые провели заводские летчики- испытатели Н.Я. Симонов и А.Е. Пашкевич в периоде 10 июня по 27 июля 1942 г. За время испытаний произвели 501 посадку (в том числе 52 с «плюхом», 18 на левую и 22 на правую опоры шасси), 1019 фигур высшего </w:t>
      </w:r>
      <w:r w:rsidRPr="008A2E5A">
        <w:rPr>
          <w:rFonts w:ascii="Times New Roman" w:hAnsi="Times New Roman"/>
          <w:color w:val="0070C0"/>
          <w:sz w:val="16"/>
          <w:szCs w:val="16"/>
        </w:rPr>
        <w:lastRenderedPageBreak/>
        <w:t>пилота</w:t>
      </w:r>
      <w:r w:rsidRPr="008A2E5A">
        <w:rPr>
          <w:rFonts w:ascii="Times New Roman" w:hAnsi="Times New Roman"/>
          <w:color w:val="0070C0"/>
          <w:sz w:val="16"/>
          <w:szCs w:val="16"/>
        </w:rPr>
        <w:softHyphen/>
        <w:t>жа и 165 подъемов шасси в воздухе. Машина налетала 48 часов 04 минуты, показав достаточную прочность сило</w:t>
      </w:r>
      <w:r w:rsidRPr="008A2E5A">
        <w:rPr>
          <w:rFonts w:ascii="Times New Roman" w:hAnsi="Times New Roman"/>
          <w:color w:val="0070C0"/>
          <w:sz w:val="16"/>
          <w:szCs w:val="16"/>
        </w:rPr>
        <w:softHyphen/>
        <w:t>вых элементов конструкции самолета, его надежность в работе и простоту в эксплуатации. Чего нельзя было ска</w:t>
      </w:r>
      <w:r w:rsidRPr="008A2E5A">
        <w:rPr>
          <w:rFonts w:ascii="Times New Roman" w:hAnsi="Times New Roman"/>
          <w:color w:val="0070C0"/>
          <w:sz w:val="16"/>
          <w:szCs w:val="16"/>
        </w:rPr>
        <w:softHyphen/>
        <w:t>зать о моторе М-105П - за время испытаний их смени</w:t>
      </w:r>
      <w:r w:rsidRPr="008A2E5A">
        <w:rPr>
          <w:rFonts w:ascii="Times New Roman" w:hAnsi="Times New Roman"/>
          <w:color w:val="0070C0"/>
          <w:sz w:val="16"/>
          <w:szCs w:val="16"/>
        </w:rPr>
        <w:softHyphen/>
        <w:t>лось три штуки (23381).</w:t>
      </w:r>
    </w:p>
    <w:p w14:paraId="5B229FA0" w14:textId="77777777" w:rsidR="00426AB5" w:rsidRPr="008A2E5A" w:rsidRDefault="00426AB5" w:rsidP="00426AB5">
      <w:pPr>
        <w:spacing w:after="0" w:line="240" w:lineRule="auto"/>
        <w:jc w:val="both"/>
        <w:rPr>
          <w:rFonts w:ascii="Times New Roman" w:hAnsi="Times New Roman"/>
          <w:color w:val="0070C0"/>
          <w:sz w:val="16"/>
          <w:szCs w:val="16"/>
        </w:rPr>
      </w:pPr>
    </w:p>
    <w:p w14:paraId="32EC8C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 была подготовлена докладная записка представителей ЛИИ на совместных испытаниях ЛаГГ-3 М-82 (1684,137).</w:t>
      </w:r>
    </w:p>
    <w:p w14:paraId="37DACF1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839359"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мая 1942 года представители НИИ ВВС и ЛИИ представили подробный отчет об испытаниях ЛаГГ-3 с М-82. После сбора всей необходимой информации, 17 мая 1942 года, Шахурин совместно с командующим ВВС РККА маршалом Новиковым и Главным инженером ВВС Репиным обратились с письмом к Сталину.</w:t>
      </w:r>
    </w:p>
    <w:p w14:paraId="77B89F8F"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Ответ Сталина от 18 мая был как холодный душ: «Товарищ Шахурин, слишком рано говорить о серийном производстве, поскольку недостатки должны быть обязательно устранены и самолет, несомненно, еще не готов для запуска в серию». В письме Сталина, как вскоре выяснилось, было много правды. Шахурин, Новиков и Репин в тот же день послали письмо № 2823, содержавшее детальное описание тактических и технических характеристик самолета ЛаГГ-3 с мотором М-82. В конце они также упомянули недостатки самолета:</w:t>
      </w:r>
    </w:p>
    <w:p w14:paraId="00CE362D"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Велика нагрузка на органы управления, особенно при переходе из одного виража в другой, противоположного направления.</w:t>
      </w:r>
    </w:p>
    <w:p w14:paraId="02010E54"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Отсутствие лобовых жалюзи капота приводит к переохлаждению мотора при работе на малом газу в планирующем полете.</w:t>
      </w:r>
    </w:p>
    <w:p w14:paraId="7D8F65E9"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Не готова система управления мотором на малых оборотах.</w:t>
      </w:r>
    </w:p>
    <w:p w14:paraId="0145863B"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письме также говорилось, что Лавочкин обязуется устранить эти недостатки в течение одного-двух месяцев. В заключении письма авторы указывали, что благодаря незначительным модификациям (по отношению к ЛаГГ-3 с М-105) и большому заказу моторов М-82 на заводе № 19 целесообразно начать серийный выпуск истребителей ЛаГГ-3 с М-82.</w:t>
      </w:r>
    </w:p>
    <w:p w14:paraId="633B43D9"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Сталин отреагировал на это письмо вызовом Лавочкина в Кремль. После короткого ознакомления с отчетом Лавочкина, который был поддержан Шахуриным и секретарями областных парторганизаций Гусаровым и Родионовым, Сталин принял окончательное решение. На следующий день вышел приказ ГКО № ГКО-1786сс «О постройке самолета ЛаГГ-3 на заводе № 21», в соответствии с которым ОКБ Лавочкина возвращалось на 21-й завод, который возобновил выпуск ЛаГГ-3 (23547)</w:t>
      </w:r>
    </w:p>
    <w:p w14:paraId="73A6C16F" w14:textId="77777777" w:rsidR="00426AB5" w:rsidRPr="008A2E5A" w:rsidRDefault="00426AB5" w:rsidP="00426AB5">
      <w:pPr>
        <w:spacing w:after="0" w:line="240" w:lineRule="auto"/>
        <w:jc w:val="both"/>
        <w:rPr>
          <w:rFonts w:ascii="Times New Roman" w:hAnsi="Times New Roman"/>
          <w:color w:val="0070C0"/>
          <w:sz w:val="16"/>
          <w:szCs w:val="16"/>
        </w:rPr>
      </w:pPr>
    </w:p>
    <w:p w14:paraId="5F57B051"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мая 1942 года ЭРО завода № 21выпустил бюллетень № 33 по самолету ЛаГГ-3 по установке нового воздухозаборника водорадиатора в эксплуа</w:t>
      </w:r>
      <w:r w:rsidRPr="008A2E5A">
        <w:rPr>
          <w:rFonts w:ascii="Times New Roman" w:hAnsi="Times New Roman"/>
          <w:color w:val="0070C0"/>
          <w:sz w:val="16"/>
          <w:szCs w:val="16"/>
        </w:rPr>
        <w:softHyphen/>
        <w:t>тации. ГУЗ и ТС ВВС незамедлительно заказа</w:t>
      </w:r>
      <w:r w:rsidRPr="008A2E5A">
        <w:rPr>
          <w:rFonts w:ascii="Times New Roman" w:hAnsi="Times New Roman"/>
          <w:color w:val="0070C0"/>
          <w:sz w:val="16"/>
          <w:szCs w:val="16"/>
        </w:rPr>
        <w:softHyphen/>
        <w:t>ло 250 ремкомплектов воздухозаборников. На 19 июня в войска было отправлено 106 единиц. 26 июня Главный инженер ВВС гене</w:t>
      </w:r>
      <w:r w:rsidRPr="008A2E5A">
        <w:rPr>
          <w:rFonts w:ascii="Times New Roman" w:hAnsi="Times New Roman"/>
          <w:color w:val="0070C0"/>
          <w:sz w:val="16"/>
          <w:szCs w:val="16"/>
        </w:rPr>
        <w:softHyphen/>
        <w:t>рал-лейтенант Репин поручил только что на</w:t>
      </w:r>
      <w:r w:rsidRPr="008A2E5A">
        <w:rPr>
          <w:rFonts w:ascii="Times New Roman" w:hAnsi="Times New Roman"/>
          <w:color w:val="0070C0"/>
          <w:sz w:val="16"/>
          <w:szCs w:val="16"/>
        </w:rPr>
        <w:softHyphen/>
        <w:t>значенному начальнику ГУЗ и ТС ВВС генерал- майору Бибикову обеспечить все находящие</w:t>
      </w:r>
      <w:r w:rsidRPr="008A2E5A">
        <w:rPr>
          <w:rFonts w:ascii="Times New Roman" w:hAnsi="Times New Roman"/>
          <w:color w:val="0070C0"/>
          <w:sz w:val="16"/>
          <w:szCs w:val="16"/>
        </w:rPr>
        <w:softHyphen/>
        <w:t>ся в строю ЛаГГ-3 насадками, после чего до</w:t>
      </w:r>
      <w:r w:rsidRPr="008A2E5A">
        <w:rPr>
          <w:rFonts w:ascii="Times New Roman" w:hAnsi="Times New Roman"/>
          <w:color w:val="0070C0"/>
          <w:sz w:val="16"/>
          <w:szCs w:val="16"/>
        </w:rPr>
        <w:softHyphen/>
        <w:t>полнительно заказали еще 500 комплектов. То есть, измененные воздухозаборники с мая-июня 1942 года стали стандартными для всех ЛаГГ-3, в том числе и с 37-мм пушками, правда, только постройки завода № 21. Види</w:t>
      </w:r>
      <w:r w:rsidRPr="008A2E5A">
        <w:rPr>
          <w:rFonts w:ascii="Times New Roman" w:hAnsi="Times New Roman"/>
          <w:color w:val="0070C0"/>
          <w:sz w:val="16"/>
          <w:szCs w:val="16"/>
        </w:rPr>
        <w:softHyphen/>
        <w:t>мо, Главный конструктор тбилисского завода В.П. Горбунов сумел отстоять чистоту аэро</w:t>
      </w:r>
      <w:r w:rsidRPr="008A2E5A">
        <w:rPr>
          <w:rFonts w:ascii="Times New Roman" w:hAnsi="Times New Roman"/>
          <w:color w:val="0070C0"/>
          <w:sz w:val="16"/>
          <w:szCs w:val="16"/>
        </w:rPr>
        <w:softHyphen/>
        <w:t>динамических форм своих изделий (23409).</w:t>
      </w:r>
    </w:p>
    <w:p w14:paraId="4213E9F8" w14:textId="77777777" w:rsidR="00426AB5" w:rsidRPr="008A2E5A" w:rsidRDefault="00426AB5" w:rsidP="00426AB5">
      <w:pPr>
        <w:spacing w:after="0" w:line="240" w:lineRule="auto"/>
        <w:jc w:val="both"/>
        <w:rPr>
          <w:rFonts w:ascii="Times New Roman" w:hAnsi="Times New Roman"/>
          <w:color w:val="0070C0"/>
          <w:sz w:val="16"/>
          <w:szCs w:val="16"/>
        </w:rPr>
      </w:pPr>
    </w:p>
    <w:p w14:paraId="60480C8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 г. И-185М-71 (№6202), перестроенный с заме</w:t>
      </w:r>
      <w:r w:rsidRPr="008127F8">
        <w:rPr>
          <w:rFonts w:ascii="Times New Roman" w:hAnsi="Times New Roman"/>
          <w:color w:val="000000" w:themeColor="text1"/>
          <w:sz w:val="16"/>
          <w:szCs w:val="16"/>
        </w:rPr>
        <w:softHyphen/>
        <w:t>ной двигателя и капотирования из машины с М-81, который при эвакуации отправили по воздуху в Казань и соверши</w:t>
      </w:r>
      <w:r w:rsidRPr="008127F8">
        <w:rPr>
          <w:rFonts w:ascii="Times New Roman" w:hAnsi="Times New Roman"/>
          <w:color w:val="000000" w:themeColor="text1"/>
          <w:sz w:val="16"/>
          <w:szCs w:val="16"/>
        </w:rPr>
        <w:softHyphen/>
        <w:t>л вынужденную посадку, после чего лежала под открытым небом вплоть до января 1942 г., передали на мос</w:t>
      </w:r>
      <w:r w:rsidRPr="008127F8">
        <w:rPr>
          <w:rFonts w:ascii="Times New Roman" w:hAnsi="Times New Roman"/>
          <w:color w:val="000000" w:themeColor="text1"/>
          <w:sz w:val="16"/>
          <w:szCs w:val="16"/>
        </w:rPr>
        <w:softHyphen/>
        <w:t>ковский филиал завода №51. Поэтому капи</w:t>
      </w:r>
      <w:r w:rsidRPr="008127F8">
        <w:rPr>
          <w:rFonts w:ascii="Times New Roman" w:hAnsi="Times New Roman"/>
          <w:color w:val="000000" w:themeColor="text1"/>
          <w:sz w:val="16"/>
          <w:szCs w:val="16"/>
        </w:rPr>
        <w:softHyphen/>
        <w:t>тальный ремонт самолета продолжался сравни</w:t>
      </w:r>
      <w:r w:rsidRPr="008127F8">
        <w:rPr>
          <w:rFonts w:ascii="Times New Roman" w:hAnsi="Times New Roman"/>
          <w:color w:val="000000" w:themeColor="text1"/>
          <w:sz w:val="16"/>
          <w:szCs w:val="16"/>
        </w:rPr>
        <w:softHyphen/>
        <w:t>тельно долго, до 18 марта 1943 г. (9979).</w:t>
      </w:r>
    </w:p>
    <w:p w14:paraId="4714BEE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ED72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 г. И-185 № 6202 («РМ», 02), который пролежал на земле под открытым небом на мес</w:t>
      </w:r>
      <w:r w:rsidRPr="008127F8">
        <w:rPr>
          <w:rFonts w:ascii="Times New Roman" w:hAnsi="Times New Roman"/>
          <w:color w:val="000000" w:themeColor="text1"/>
          <w:sz w:val="16"/>
          <w:szCs w:val="16"/>
        </w:rPr>
        <w:softHyphen/>
        <w:t>те аварии с октября 1941 до января 1942 передали в филиал завода №51. Капитальный ремонт самолета продолжался до 18 мар</w:t>
      </w:r>
      <w:r w:rsidRPr="008127F8">
        <w:rPr>
          <w:rFonts w:ascii="Times New Roman" w:hAnsi="Times New Roman"/>
          <w:color w:val="000000" w:themeColor="text1"/>
          <w:sz w:val="16"/>
          <w:szCs w:val="16"/>
        </w:rPr>
        <w:softHyphen/>
        <w:t>та 1943 г. Кроме этой машины, в филиале ремонтиро</w:t>
      </w:r>
      <w:r w:rsidRPr="008127F8">
        <w:rPr>
          <w:rFonts w:ascii="Times New Roman" w:hAnsi="Times New Roman"/>
          <w:color w:val="000000" w:themeColor="text1"/>
          <w:sz w:val="16"/>
          <w:szCs w:val="16"/>
        </w:rPr>
        <w:softHyphen/>
        <w:t>вался еще и истребитель «И» с М-82А (06). Таким образом, к отправке на фронт можно было подготовить два И-185 с М-82А и два с М-71 (04 и «эталон») (10667).</w:t>
      </w:r>
    </w:p>
    <w:p w14:paraId="0D5EA5F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12EE73"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12 мая И-185 М-71 №6202 передали с завода № 482 в московский филиал завода №51. Только 18 марта 1943 г. московский филиал завода №51 вернул его в строй. 2 ноября 1941 пришло указание о перегоне части самолетов ОКБ ННП в Новосибирск своим ходом, заодно проведя замеры дальности. Оно коснулось и И-185 М-71 №6202. Пролетев менее 200 км, летчик Попельнушенко был вынужден садиться на фюзеляж у Шатуры из-за отказа М-71. Эвакуировать И-185 возможности не было, и он пролежал в снегу до января 1942 г., пока не был вывезен в Москву. Ремонт поручили заводу №482, но тот с незнакомым изделием ничего не мог сделать (17736)</w:t>
      </w:r>
    </w:p>
    <w:p w14:paraId="08526ED9"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lang w:eastAsia="ru-RU"/>
        </w:rPr>
      </w:pPr>
    </w:p>
    <w:p w14:paraId="5D732F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 г. часть коллектива расформированного завода № 30 вернулась из эвакуации на старое место в Иваньково. В соответствии с пост. СНК от 10.05.1942 г. и по приказу НКАП № 372с от 11.05.1942 г. на площадке эвакуированного завода № 30 НКАП образован новый опытный завод морского самолетостроения № 458 (ГС завод № 458 НКАП, МАП, Р-458, ГС Опытный завод № 1 (ОПЗ-1) МАП /пос. Иваньково (п/о Подберезьс) Кимрского р-на Калининской обл.,  г. Кимры Калининской, Тверской обл./) в системе 7ГУ НКАП. Тем же приказом ОКБ гл. конструктора И.В. Четверикова возвращено на старое место в Иваньково на завод № 458, Четвериков назначен гл. конструктором/ директором завода.</w:t>
      </w:r>
    </w:p>
    <w:p w14:paraId="26FB12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с восстановлением разрушенных цехов завод производил сборку серийных гидросамолетов- бомбардировщиков (достройка пяти экземпляров Че-2). В 1943 г. проведена реконструкция главного корпуса.</w:t>
      </w:r>
    </w:p>
    <w:p w14:paraId="091134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заводе строились серийно гидросамолеты Четверикова, собирались Як-6 из деталей завода № 292. Работы по доработке истребителей Як-3 и </w:t>
      </w:r>
      <w:r w:rsidRPr="008127F8">
        <w:rPr>
          <w:rFonts w:ascii="Times New Roman" w:hAnsi="Times New Roman"/>
          <w:color w:val="000000" w:themeColor="text1"/>
          <w:sz w:val="16"/>
          <w:szCs w:val="16"/>
          <w:lang w:val="en-US"/>
        </w:rPr>
        <w:t>Spitfire</w:t>
      </w:r>
      <w:r w:rsidRPr="008127F8">
        <w:rPr>
          <w:rFonts w:ascii="Times New Roman" w:hAnsi="Times New Roman"/>
          <w:color w:val="000000" w:themeColor="text1"/>
          <w:sz w:val="16"/>
          <w:szCs w:val="16"/>
        </w:rPr>
        <w:t xml:space="preserve"> под катапультный взлет.</w:t>
      </w:r>
    </w:p>
    <w:p w14:paraId="7408EA3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1944-45 г. на заводе изготовлялись опытные образцы катапульты, разработанные Четвериковым, (копия немецкой) для снаряда типа «10Х» (по заданию завода № 51 НКАП). В конце войны на завод было возложено техническое руководство и подготовка документации по восстановлению двух немецких самолетов "</w:t>
      </w:r>
      <w:r w:rsidRPr="008127F8">
        <w:rPr>
          <w:rFonts w:ascii="Times New Roman" w:hAnsi="Times New Roman"/>
          <w:color w:val="000000" w:themeColor="text1"/>
          <w:sz w:val="16"/>
          <w:szCs w:val="16"/>
          <w:lang w:val="en-US"/>
        </w:rPr>
        <w:t>Arado</w:t>
      </w:r>
      <w:r w:rsidRPr="008127F8">
        <w:rPr>
          <w:rFonts w:ascii="Times New Roman" w:hAnsi="Times New Roman"/>
          <w:color w:val="000000" w:themeColor="text1"/>
          <w:sz w:val="16"/>
          <w:szCs w:val="16"/>
        </w:rPr>
        <w:t>-234" с 4х БМВ-003 для летных испытаний. Кроме того, шел восстановительный ремонт самолета "</w:t>
      </w:r>
      <w:r w:rsidRPr="008127F8">
        <w:rPr>
          <w:rFonts w:ascii="Times New Roman" w:hAnsi="Times New Roman"/>
          <w:color w:val="000000" w:themeColor="text1"/>
          <w:sz w:val="16"/>
          <w:szCs w:val="16"/>
          <w:lang w:val="en-US"/>
        </w:rPr>
        <w:t>Arado</w:t>
      </w:r>
      <w:r w:rsidRPr="008127F8">
        <w:rPr>
          <w:rFonts w:ascii="Times New Roman" w:hAnsi="Times New Roman"/>
          <w:color w:val="000000" w:themeColor="text1"/>
          <w:sz w:val="16"/>
          <w:szCs w:val="16"/>
        </w:rPr>
        <w:t>-234" с 2хБМВ-004. В середине 1946 г. испытывались последние модификации самолета МДР-6Б.</w:t>
      </w:r>
    </w:p>
    <w:p w14:paraId="150F1EB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годы войны на заводе действовали цеха № 1, 13, 14, 15, 21, транспортный. К 1946 г. завершены работы по восстановлению производственных сооружений.</w:t>
      </w:r>
    </w:p>
    <w:p w14:paraId="001A5C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1944-46 г. при заводе действовало ОКБ гл. конструктора В.П. Горбунова.</w:t>
      </w:r>
    </w:p>
    <w:p w14:paraId="0E6403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 г. завод имел наименование Р-458.</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xml:space="preserve"> По приказу № 656сс от 2.11.1944 г. завод передан из 7ГУ в 18ГУ, а по приказу № 122с от 19.03.1946 г. - обратно в 7ГУ. По приказу № 87д</w:t>
      </w:r>
      <w:r w:rsidRPr="008127F8">
        <w:rPr>
          <w:rFonts w:ascii="Times New Roman" w:hAnsi="Times New Roman"/>
          <w:color w:val="000000" w:themeColor="text1"/>
          <w:sz w:val="16"/>
          <w:szCs w:val="16"/>
          <w:vertAlign w:val="superscript"/>
        </w:rPr>
        <w:t>/</w:t>
      </w:r>
      <w:r w:rsidRPr="008127F8">
        <w:rPr>
          <w:rFonts w:ascii="Times New Roman" w:hAnsi="Times New Roman"/>
          <w:color w:val="000000" w:themeColor="text1"/>
          <w:sz w:val="16"/>
          <w:szCs w:val="16"/>
        </w:rPr>
        <w:t>484с от 10.12.1945 г. планировалось часть площадей передать в НКЭС. В соответствии с пост. СМ № 874-361сс от 17.04.1946 г. и приказом МАП № 228сс от 19.04.1946 г. завод № 458 переименован в Опытный завод № 1 по разработке и производству опытных реактивных самолетов в непосредственном ведении министра. С 1.07.1946 г. завод передан в Особый отдел МАП. На завод привезено много оборудования из Германии.</w:t>
      </w:r>
    </w:p>
    <w:p w14:paraId="2DF718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432с от 5.07.1946 г. ОКБ завода № 458 гл. конструктора И.В. Четверикова переведено на территорию № 2 завода № 272 МАП, и образован новый завод № 458 МАП в системе 7ГУ.</w:t>
      </w:r>
    </w:p>
    <w:p w14:paraId="7B789A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Опытный завод № 1 стал производственной базой для переведенных из Германии ОКБ-1 гл. конструктора Б. Бааде и ОКБ-2 гл. конструктора  Г. Рессинга в Особом отделе МАП (всего из Германии прибыло около 500 специалистов). По 1948 г. каждое ОКБ имело свое опытное производство. Из 15 начальников цехов 8 были немцами. С 01.1949 г. структура завода реорганизована, производство объединено; в 8 из 9 цехов начальниками стали отечественные специалисты.</w:t>
      </w:r>
    </w:p>
    <w:p w14:paraId="5CCE233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в состав завода входили: ОКБ-1; ОКБ-2; Отдел химии; производственные цеха, расположенные в трех зонах- низкой, средней и высокой (№ 1- механической обработки, № 2- слесарно-сборочный, № 3- агрегатной сборки, № 4- гидроагрегатов и спецоборудования, № 5- окончательной сборки, № 6, № 11- штамповочно- заготовительный, № 12- горячей обработки, № 13- покрытий, № 14- оснастки и приспособлений, № 15- макетный, № 16- лаборатория статических и вибрационных испытаний, № 17- летно-испытательный, № 20- двигателей со стендом); вспомогательные цеха (№ 10- эксплуатации зданий, № 18- ремонтно-механический, № 21- паросиловой, № 22- электроцех, № 23- связи и радио); транспортный цех; ЦЗЛ; аэродинамическая лаборатория. В 04.1948 г. на заводе создается КО по проектированию технологической оснастки (КОПРИН), инструментальный цех № 20.</w:t>
      </w:r>
    </w:p>
    <w:p w14:paraId="6B2A932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1.07.1948 г. завод № 1 МАП преобразован из опытного в серийный по приказу № 440 от 21.06.1948 г. в виду прекращения основных тем опытного самолетостроения. Планировался серийный выпуск гидросамолетов, но реализован не был. С конца 1940-х  г. велось строительство опытных образцов КР «16Х», доставшихся от ОКБ-51 В.Н. Челомея.</w:t>
      </w:r>
    </w:p>
    <w:p w14:paraId="5B5B4D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06.1949 г. Особое управление (отдел) упразднено и с 15.06.1949 г. завод № 1 передан в 7ГУ МАП (пр. № 422сс от 4.06.1949 г.). Реорганизована структура завода.</w:t>
      </w:r>
    </w:p>
    <w:p w14:paraId="58AAB37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Период 1949-51 г. не принес весомых результатов работы немецких КБ ввиду изолированности их деятельности от авиационной науки СССР. В 1951 г. прекращена деятельность ОКБ-2 завода.</w:t>
      </w:r>
    </w:p>
    <w:p w14:paraId="27B2E8B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от 1.09.1951 г. заводу установлено задание на освоение производства ракеты КС. С 1.10.1951 г. завод передан из 7ГУ в 6ГУ (ракетное). По приказу МАП № 1010 от 12.10.1951 г. на заводе на базе ОКБ-2 организовано ОКБ-2-155 под руководством А.Я. Березняка,</w:t>
      </w:r>
      <w:r w:rsidRPr="008127F8">
        <w:rPr>
          <w:rFonts w:ascii="Times New Roman" w:hAnsi="Times New Roman"/>
          <w:color w:val="000000" w:themeColor="text1"/>
          <w:sz w:val="16"/>
          <w:szCs w:val="16"/>
          <w:vertAlign w:val="superscript"/>
        </w:rPr>
        <w:t>32</w:t>
      </w:r>
      <w:r w:rsidRPr="008127F8">
        <w:rPr>
          <w:rFonts w:ascii="Times New Roman" w:hAnsi="Times New Roman"/>
          <w:color w:val="000000" w:themeColor="text1"/>
          <w:sz w:val="16"/>
          <w:szCs w:val="16"/>
        </w:rPr>
        <w:t xml:space="preserve"> завод № 1 стал филиалом ОКБ-155. В то же время был расширен СКО. Около двух лет филиал ОКБ-155 и СКО работали вместе- размещались на одних площадях, имели общие бригады.</w:t>
      </w:r>
    </w:p>
    <w:p w14:paraId="1595A4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1951 г. организованы цеха № 8 с участком МИС, контрольно-испытательный цех (КИЦ) № 9. В 1952 г. реконструированы цеха № 3, 12, 19, 30, создан цех окончательной сборки КС, термобарокамера для испытания агрегатов.</w:t>
      </w:r>
    </w:p>
    <w:p w14:paraId="28DC04B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1953 г. полностью прекращена работа ОКБ-1 с немецкими специалистами. В 05.1953 г. завод № 1 переименован в завод № 256 МАП (видимо, по приказу МАП № 316с от 2.06.1953 г.) и передан под опытное ракетостроение.</w:t>
      </w:r>
    </w:p>
    <w:p w14:paraId="1BAD1E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производственная (1946 г.)- 39.227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5B6B3AF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Директор (05.1942 г.-&gt; И.В. Четвериков, (04.1946-09.1947 г.)- В.И. Абрамов (снят), (09.1947-01.1950 г.)- С.Л. Ребенко (снят), (01-09.1950 г.)- П.П. Смирнов, (09.1950-07.1951 г.)- В.Н. Лисицын, (07.1951-53 г.)- С.И. Белиловский.</w:t>
      </w:r>
    </w:p>
    <w:p w14:paraId="3BC25D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строительства (1942-46 г.)- Е.Т. Ястребилов. Зам. директора по капстроительству (1946-53 г.)- Н.А. Буряченко.</w:t>
      </w:r>
    </w:p>
    <w:p w14:paraId="2A7B08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(1942-46 г.)- З.Б. Ценцинер; и.о. (04.1946 г.-)- Ф.П. Вознесенский; (1946-50 г.)- Ф.П. Вознесенский, (1950-51 г.)- Н.И. Полонский, (1951-53 г.)- В.И. Германов.</w:t>
      </w:r>
    </w:p>
    <w:p w14:paraId="4D072C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(05.1942 г.-)- И.В. Четвериков, (10.1949-52 г.)- С.М. Алексеев.</w:t>
      </w:r>
    </w:p>
    <w:p w14:paraId="274901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технолог (1942-48 г.)- Б.Д. Иванов, (1948-51 г.)- А.А. Лазарев, (1951-53 г.)- К.Н. Классиди. Гл. энергетик (1948-53 г.)- В.И. Казаков.</w:t>
      </w:r>
    </w:p>
    <w:p w14:paraId="36DA98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 8 (1951 г.-&gt; Б.П. Морозов; № 9 (1951 г.-)- Е.Н. Куликов; окончательной сборки КС (1952 г.-)- А.В. Коломенский; (1946-52 г.)- А.И. Потапов.</w:t>
      </w:r>
    </w:p>
    <w:p w14:paraId="7B14106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отделов: СКО (1951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Демкдович.</w:t>
      </w:r>
    </w:p>
    <w:p w14:paraId="4BC56F5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групп: конструкторской (1942 г.-)- Б.В. Долгодров.</w:t>
      </w:r>
    </w:p>
    <w:p w14:paraId="704C70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самолеты: Че-2, Як-6,</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xml:space="preserve"> «150» (1951)- 1.</w:t>
      </w:r>
    </w:p>
    <w:p w14:paraId="3F72DB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гл. конструктора И.В. Четверикова при заводе № 458 НКАП</w:t>
      </w:r>
    </w:p>
    <w:p w14:paraId="345D28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СНК от 10.05.1942 г. и по приказу НКАП № 372с от 11.05.1942 г. на площадке эвакуированного завода № 30 НКАП образован новый опытный завод морского самолетостроения № 458 в системе 7ГУ НКАП. Тем же приказом ОКБ гл. конструктора И.В. Четверикова возвращено на старое место в Иваньково на завод № 458, Четвериков назначен гл. конструктором/ директором завода.</w:t>
      </w:r>
    </w:p>
    <w:p w14:paraId="74D682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Созданы гидросамолеты МДР-6 (Б-1, Б-2, Б-3, Б-4, Б-5, Т-2). В 1944-45 г. разработаны опытные образцы катапульты (копия немецкой) для снаряда типа «10Х» (по заданию завода № 51 НКАП). В 03.1946 г. И.В. Четверикову выдано задание разработать и построить фронтовой бомбардировщик с 4х БМВ-003 и пассажирский самолет-амфибию («ТА») с мотором АШ-21.</w:t>
      </w:r>
    </w:p>
    <w:p w14:paraId="645EBA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432 от 5.07.1946 г. ОКБ Четверикова с личным составом (около 100 чел.) и оборудованием переведено на площадку № 2 завода № 273 в Ленинград.</w:t>
      </w:r>
      <w:r w:rsidRPr="008127F8">
        <w:rPr>
          <w:rFonts w:ascii="Times New Roman" w:hAnsi="Times New Roman"/>
          <w:color w:val="000000" w:themeColor="text1"/>
          <w:sz w:val="16"/>
          <w:szCs w:val="16"/>
          <w:vertAlign w:val="superscript"/>
        </w:rPr>
        <w:t>32</w:t>
      </w:r>
    </w:p>
    <w:p w14:paraId="2123A4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(-1945 г.)- Б.В. Долгодров.</w:t>
      </w:r>
    </w:p>
    <w:p w14:paraId="6F74EE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(05.1942-07.1946 г.)- И.В. Четвериков.</w:t>
      </w:r>
      <w:r w:rsidRPr="008127F8">
        <w:rPr>
          <w:rFonts w:ascii="Times New Roman" w:hAnsi="Times New Roman"/>
          <w:color w:val="000000" w:themeColor="text1"/>
          <w:sz w:val="16"/>
          <w:szCs w:val="16"/>
          <w:vertAlign w:val="superscript"/>
        </w:rPr>
        <w:t>2</w:t>
      </w:r>
    </w:p>
    <w:p w14:paraId="740116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(-1945 г.)- Б.В. Долгодров.</w:t>
      </w:r>
    </w:p>
    <w:p w14:paraId="68B90A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ОКБ-31 НКАП гл. конструктора В.П. Горбунова при заводе № 458 НКАП</w:t>
      </w:r>
    </w:p>
    <w:p w14:paraId="1DC3A0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657с от 13.11.1944 г. на завод № 458 с завода № 31 НКАП в 02.1945 г. переведено ОКБ-31 18ГУ НКАП гл. конструктора В.П. Горбунова (в количестве 90 чел.) с опытным цехом для выпуска самолетов ЛаГ Г. В.П. Горбунов назначен начальником ОКБ-31 при заводе № 458. С 12.1944 г. возложены также работы по созданию второго варианта стартового устройства для «10Х».</w:t>
      </w:r>
    </w:p>
    <w:p w14:paraId="74F5859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09.1945 г. Горбунов погиб. В 1946 г. ОКБ-31 при заводе № 458 ликвидировано. По приказу № 48с от 8.02.1946 г. 22 ИТР с архивом переведены в ОКБ-301. Остальные сотрудники перешли в ОКБ Четверикова (17 чел.) и Яковлева.</w:t>
      </w:r>
    </w:p>
    <w:p w14:paraId="0A12FAE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(1945 г.)- В.П. Горбунов.</w:t>
      </w:r>
    </w:p>
    <w:p w14:paraId="15302BF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(1945 г.)- В.П. Горбунов; И.О. гл. конструктора (1946 г.)- И.Ф. Наринский.</w:t>
      </w:r>
    </w:p>
    <w:p w14:paraId="74125C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(01.1946 г.)- И.Ф. Наринский.</w:t>
      </w:r>
      <w:r w:rsidRPr="008127F8">
        <w:rPr>
          <w:rFonts w:ascii="Times New Roman" w:hAnsi="Times New Roman"/>
          <w:color w:val="000000" w:themeColor="text1"/>
          <w:sz w:val="16"/>
          <w:szCs w:val="16"/>
          <w:vertAlign w:val="superscript"/>
        </w:rPr>
        <w:t>2</w:t>
      </w:r>
    </w:p>
    <w:p w14:paraId="7F780FB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Помощник гл. конструктора (1945 г.)- Н.П. Черкасов.</w:t>
      </w:r>
    </w:p>
    <w:p w14:paraId="3BFF8B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Особое техническое бюро № 1 (ОТБ-1) МАП /Германия  г. Дессау/</w:t>
      </w:r>
    </w:p>
    <w:p w14:paraId="55A19F2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Официально создано в соответствии с пост. СМ СССР № 874-366сс от 17.04.1946 г. и приказами МАП № 213сс от 16.04.1946 г. и № 228сс от 19.04.1946 г. в Германии ( г. Дессау) как ОТБ-1 из немецких специалистов, в основном бывших сотрудников фирмы «</w:t>
      </w:r>
      <w:r w:rsidRPr="008127F8">
        <w:rPr>
          <w:rFonts w:ascii="Times New Roman" w:hAnsi="Times New Roman"/>
          <w:color w:val="000000" w:themeColor="text1"/>
          <w:sz w:val="16"/>
          <w:szCs w:val="16"/>
          <w:lang w:val="en-US"/>
        </w:rPr>
        <w:t>Junkers</w:t>
      </w:r>
      <w:r w:rsidRPr="008127F8">
        <w:rPr>
          <w:rFonts w:ascii="Times New Roman" w:hAnsi="Times New Roman"/>
          <w:color w:val="000000" w:themeColor="text1"/>
          <w:sz w:val="16"/>
          <w:szCs w:val="16"/>
        </w:rPr>
        <w:t>». Реально КБ начали работу в 1945 г.</w:t>
      </w:r>
    </w:p>
    <w:p w14:paraId="3463FA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Состояло из 4 КБ: под руководством доктора Шайбе; под руководством доктора Б. Бааде; под руководством Герлаха (организовано в 06.1946 г.)- работы по авиационным дизелям. В 04.1946 г. было организовано КБ в  г. Варнемюнде по системам аварийного покидания самолета.</w:t>
      </w:r>
    </w:p>
    <w:p w14:paraId="7A91D8C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ОТБ велись также работы: проектирование ветряных двигателей; проектирование водного канала для испытаний крыльев самолетов.</w:t>
      </w:r>
    </w:p>
    <w:p w14:paraId="483768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 228сс от 19.04.1946 г. все работы в Германии должны были быть завершены в 10.1946 г., в 10-11.1946 г. ОТБ переведено в СССР вместе со специалистами: все специалисты по самолетам объединены в ОКБ-1 гл. конструктора Б. Бааде при заводе № 1; работы по двигателям - в ОКБ-1 завода № 2 МАП.</w:t>
      </w:r>
    </w:p>
    <w:p w14:paraId="10B0AE2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(1945 г.-)- пп Н.М. Олехнович.</w:t>
      </w:r>
    </w:p>
    <w:p w14:paraId="6516A63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(1946 г.)- Б. Бааде.</w:t>
      </w:r>
    </w:p>
    <w:p w14:paraId="30F4BE0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самолеты: </w:t>
      </w:r>
      <w:r w:rsidRPr="008127F8">
        <w:rPr>
          <w:rFonts w:ascii="Times New Roman" w:hAnsi="Times New Roman"/>
          <w:color w:val="000000" w:themeColor="text1"/>
          <w:sz w:val="16"/>
          <w:szCs w:val="16"/>
          <w:lang w:val="en-US"/>
        </w:rPr>
        <w:t>EF</w:t>
      </w:r>
      <w:r w:rsidRPr="008127F8">
        <w:rPr>
          <w:rFonts w:ascii="Times New Roman" w:hAnsi="Times New Roman"/>
          <w:color w:val="000000" w:themeColor="text1"/>
          <w:sz w:val="16"/>
          <w:szCs w:val="16"/>
        </w:rPr>
        <w:t xml:space="preserve">-126 (1945), </w:t>
      </w:r>
      <w:r w:rsidRPr="008127F8">
        <w:rPr>
          <w:rFonts w:ascii="Times New Roman" w:hAnsi="Times New Roman"/>
          <w:color w:val="000000" w:themeColor="text1"/>
          <w:sz w:val="16"/>
          <w:szCs w:val="16"/>
          <w:lang w:val="en-US"/>
        </w:rPr>
        <w:t>EF</w:t>
      </w:r>
      <w:r w:rsidRPr="008127F8">
        <w:rPr>
          <w:rFonts w:ascii="Times New Roman" w:hAnsi="Times New Roman"/>
          <w:color w:val="000000" w:themeColor="text1"/>
          <w:sz w:val="16"/>
          <w:szCs w:val="16"/>
        </w:rPr>
        <w:t>-131 (1946).</w:t>
      </w:r>
    </w:p>
    <w:p w14:paraId="382B68D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гл. конструктора доктора Шайбе</w:t>
      </w:r>
    </w:p>
    <w:p w14:paraId="7461C67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ТРД. Приказом МАП</w:t>
      </w:r>
      <w:r w:rsidRPr="008127F8">
        <w:rPr>
          <w:rFonts w:ascii="Times New Roman" w:hAnsi="Times New Roman"/>
          <w:iCs/>
          <w:color w:val="000000" w:themeColor="text1"/>
          <w:sz w:val="16"/>
          <w:szCs w:val="16"/>
        </w:rPr>
        <w:t xml:space="preserve"> № 228сс</w:t>
      </w:r>
      <w:r w:rsidRPr="008127F8">
        <w:rPr>
          <w:rFonts w:ascii="Times New Roman" w:hAnsi="Times New Roman"/>
          <w:color w:val="000000" w:themeColor="text1"/>
          <w:sz w:val="16"/>
          <w:szCs w:val="16"/>
        </w:rPr>
        <w:t xml:space="preserve"> от 19.04.1946 г. КБ было поручено закончить работы: форсирование ТРД ЮМО-004ф с тягой 1200 кг - в 05.1946 г.; изготовление опытного ЮМО-012 тягой 3000 кг с установкой на стендовые испытания в 08.1946 г.</w:t>
      </w:r>
    </w:p>
    <w:p w14:paraId="66078C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гл. конструктора доктора Б. Бааде</w:t>
      </w:r>
    </w:p>
    <w:p w14:paraId="4A9ACA7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W</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Baade</w:t>
      </w:r>
      <w:r w:rsidRPr="008127F8">
        <w:rPr>
          <w:rFonts w:ascii="Times New Roman" w:hAnsi="Times New Roman"/>
          <w:color w:val="000000" w:themeColor="text1"/>
          <w:sz w:val="16"/>
          <w:szCs w:val="16"/>
        </w:rPr>
        <w:t xml:space="preserve"> ранее работал на фирме «</w:t>
      </w:r>
      <w:r w:rsidRPr="008127F8">
        <w:rPr>
          <w:rFonts w:ascii="Times New Roman" w:hAnsi="Times New Roman"/>
          <w:color w:val="000000" w:themeColor="text1"/>
          <w:sz w:val="16"/>
          <w:szCs w:val="16"/>
          <w:lang w:val="en-US"/>
        </w:rPr>
        <w:t>Junkers</w:t>
      </w:r>
      <w:r w:rsidRPr="008127F8">
        <w:rPr>
          <w:rFonts w:ascii="Times New Roman" w:hAnsi="Times New Roman"/>
          <w:color w:val="000000" w:themeColor="text1"/>
          <w:sz w:val="16"/>
          <w:szCs w:val="16"/>
        </w:rPr>
        <w:t xml:space="preserve">». Работы по самолетам. Приказом МАП № 228сс от 19.04.1946 г. КБ было поручено закончить работы: постройку штурмовика </w:t>
      </w:r>
      <w:r w:rsidRPr="008127F8">
        <w:rPr>
          <w:rFonts w:ascii="Times New Roman" w:hAnsi="Times New Roman"/>
          <w:color w:val="000000" w:themeColor="text1"/>
          <w:sz w:val="16"/>
          <w:szCs w:val="16"/>
          <w:lang w:val="en-US"/>
        </w:rPr>
        <w:t>EF</w:t>
      </w:r>
      <w:r w:rsidRPr="008127F8">
        <w:rPr>
          <w:rFonts w:ascii="Times New Roman" w:hAnsi="Times New Roman"/>
          <w:color w:val="000000" w:themeColor="text1"/>
          <w:sz w:val="16"/>
          <w:szCs w:val="16"/>
        </w:rPr>
        <w:t xml:space="preserve">-126 с ЮМО-226 - в 05.1946 г.; постройку бомбардировщика </w:t>
      </w:r>
      <w:r w:rsidRPr="008127F8">
        <w:rPr>
          <w:rFonts w:ascii="Times New Roman" w:hAnsi="Times New Roman"/>
          <w:color w:val="000000" w:themeColor="text1"/>
          <w:sz w:val="16"/>
          <w:szCs w:val="16"/>
          <w:lang w:val="en-US"/>
        </w:rPr>
        <w:t>EF</w:t>
      </w:r>
      <w:r w:rsidRPr="008127F8">
        <w:rPr>
          <w:rFonts w:ascii="Times New Roman" w:hAnsi="Times New Roman"/>
          <w:color w:val="000000" w:themeColor="text1"/>
          <w:sz w:val="16"/>
          <w:szCs w:val="16"/>
        </w:rPr>
        <w:t xml:space="preserve">-131 с 6х ЮМО-004 - в 09.1946 г.; разработку техпроекта бомбардировщика </w:t>
      </w:r>
      <w:r w:rsidRPr="008127F8">
        <w:rPr>
          <w:rFonts w:ascii="Times New Roman" w:hAnsi="Times New Roman"/>
          <w:color w:val="000000" w:themeColor="text1"/>
          <w:sz w:val="16"/>
          <w:szCs w:val="16"/>
          <w:lang w:val="en-US"/>
        </w:rPr>
        <w:t>EF</w:t>
      </w:r>
      <w:r w:rsidRPr="008127F8">
        <w:rPr>
          <w:rFonts w:ascii="Times New Roman" w:hAnsi="Times New Roman"/>
          <w:color w:val="000000" w:themeColor="text1"/>
          <w:sz w:val="16"/>
          <w:szCs w:val="16"/>
        </w:rPr>
        <w:t>-132 с 6х ЮМО-012.</w:t>
      </w:r>
    </w:p>
    <w:p w14:paraId="2F55D85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10-11.1946 г. КБ со всеми работами и кадрами (ИТР- 150 чел., рабочих- 160 чел.) переведено в СССР на завод № 1.</w:t>
      </w:r>
    </w:p>
    <w:p w14:paraId="0B59B3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Г. Потемкина, филиал ОКБ-1 /Германия  г. Варнемюнде Штрандвег, 17/</w:t>
      </w:r>
    </w:p>
    <w:p w14:paraId="0B391EC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СНК СССР № 606-249с от 16.03.1946 г. и приказом МАП № 195с от 6.04.1946 г. было организовано КБ в  г. Варнемюнде под руководством  Г. Потемкина, которое затем стало филиалом ОКБ-1. Работы по системам аварийного покидания самолета с пороховым и пневматическим стреляющими механизмами; по установкам катапультного старта самолетов. Филиал прекратил действовать в 10.1946 г. Все работы переданы в ЛИИ.</w:t>
      </w:r>
    </w:p>
    <w:p w14:paraId="295E777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(1946 г.-)-  Г. Потемкин.</w:t>
      </w:r>
    </w:p>
    <w:p w14:paraId="2819A21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А. Гертц.</w:t>
      </w:r>
    </w:p>
    <w:p w14:paraId="7A6B227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отдела катапульт- Ф. Шерер.</w:t>
      </w:r>
    </w:p>
    <w:p w14:paraId="7B171E1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ОКБ-1 при опытном заводе № 1 МАП /пос. Подберезье Калининской обл./</w:t>
      </w:r>
    </w:p>
    <w:p w14:paraId="40E9CB1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 228сс от 19.04.1946 г. в 10-11.1946 г. КБ гл. конструктора Б. Бааде переведено в СССР и организовано ОКБ-1 при заводе № 1 по бомбардировщикам и штурмовикам. В составе ОКБ-1: Бюро новых проектов, Отдел аэродинамики.</w:t>
      </w:r>
    </w:p>
    <w:p w14:paraId="64212BD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ПСМ № 493-192сс от 11.03.1947 г. и приказом МАП № 207сс от 15.04.1947 г. ОКБ поручено спроектировать и построить: дальний бомбардировщик с 6 двигателями ЮМО-012 или АМТК-РД-01 с гермокабиной (</w:t>
      </w:r>
      <w:r w:rsidRPr="008127F8">
        <w:rPr>
          <w:rFonts w:ascii="Times New Roman" w:hAnsi="Times New Roman"/>
          <w:color w:val="000000" w:themeColor="text1"/>
          <w:sz w:val="16"/>
          <w:szCs w:val="16"/>
          <w:lang w:val="en-US"/>
        </w:rPr>
        <w:t>EF</w:t>
      </w:r>
      <w:r w:rsidRPr="008127F8">
        <w:rPr>
          <w:rFonts w:ascii="Times New Roman" w:hAnsi="Times New Roman"/>
          <w:color w:val="000000" w:themeColor="text1"/>
          <w:sz w:val="16"/>
          <w:szCs w:val="16"/>
        </w:rPr>
        <w:t>-132). Пост, правительства № 2055-805 от 06.1948 г. работы по самолету закрыты как излишние в мирное время.</w:t>
      </w:r>
    </w:p>
    <w:p w14:paraId="679C967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1950 по 1953 г. большинство немецких специалистов отправлено в ГДР, осталась небольшая часть во главе с Б. Бааде. С 1953 г. ОКБ работает на заводе № 491, куда собрали немецких специалистов и из других ОКБ. В 1956 г. все немецкие инженеры отправлены в ГДР, ОКБ в 05.1956 г. также переведено в ГДР, где влилось в предприятие "</w:t>
      </w:r>
      <w:r w:rsidRPr="008127F8">
        <w:rPr>
          <w:rFonts w:ascii="Times New Roman" w:hAnsi="Times New Roman"/>
          <w:color w:val="000000" w:themeColor="text1"/>
          <w:sz w:val="16"/>
          <w:szCs w:val="16"/>
          <w:lang w:val="en-US"/>
        </w:rPr>
        <w:t>Flugzeugwerke</w:t>
      </w:r>
      <w:r w:rsidRPr="008127F8">
        <w:rPr>
          <w:rFonts w:ascii="Times New Roman" w:hAnsi="Times New Roman"/>
          <w:color w:val="000000" w:themeColor="text1"/>
          <w:sz w:val="16"/>
          <w:szCs w:val="16"/>
        </w:rPr>
        <w:t>". Продолжены работы по самолету «152».</w:t>
      </w:r>
    </w:p>
    <w:p w14:paraId="7D44997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Н.М. Олехнович; и.о.- А.Е. Свешников.</w:t>
      </w:r>
    </w:p>
    <w:p w14:paraId="4BC01BF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А.Е. Свешников.</w:t>
      </w:r>
    </w:p>
    <w:p w14:paraId="23FE5D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(1946-; 1953 г.)- Б. Бааде, (1949-52 г.)- С.М. Алексеев.</w:t>
      </w:r>
    </w:p>
    <w:p w14:paraId="7051FD8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(1946-53 г.)- П.Н. Обрубов, Фрайта г.</w:t>
      </w:r>
    </w:p>
    <w:p w14:paraId="147703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Бюро новых проектов (1946 г.-)- Вокке («140»); Отдела аэродинамики (1946 г.-)- </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 Балкинд.</w:t>
      </w:r>
    </w:p>
    <w:p w14:paraId="34CD09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Бюро новых проектов (1946 г.-)- И.Л. Макаров.</w:t>
      </w:r>
      <w:r w:rsidRPr="008127F8">
        <w:rPr>
          <w:rFonts w:ascii="Times New Roman" w:hAnsi="Times New Roman"/>
          <w:color w:val="000000" w:themeColor="text1"/>
          <w:sz w:val="16"/>
          <w:szCs w:val="16"/>
          <w:vertAlign w:val="superscript"/>
        </w:rPr>
        <w:t>32</w:t>
      </w:r>
    </w:p>
    <w:p w14:paraId="38E13E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Ведущие инженеры: (1949 г.)-  Г.Н. Назаров («140»), (1951 г.)- С.Н. Рыбаков («150»), (1951-53 г.)- А.А. Лазарев («150»).</w:t>
      </w:r>
    </w:p>
    <w:p w14:paraId="342B25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самолеты: </w:t>
      </w:r>
      <w:r w:rsidRPr="008127F8">
        <w:rPr>
          <w:rFonts w:ascii="Times New Roman" w:hAnsi="Times New Roman"/>
          <w:color w:val="000000" w:themeColor="text1"/>
          <w:sz w:val="16"/>
          <w:szCs w:val="16"/>
          <w:lang w:val="en-US"/>
        </w:rPr>
        <w:t>EF</w:t>
      </w:r>
      <w:r w:rsidRPr="008127F8">
        <w:rPr>
          <w:rFonts w:ascii="Times New Roman" w:hAnsi="Times New Roman"/>
          <w:color w:val="000000" w:themeColor="text1"/>
          <w:sz w:val="16"/>
          <w:szCs w:val="16"/>
        </w:rPr>
        <w:t>-140 (1948), «140-Р» (1948), «150» (1949), «152» (1955).</w:t>
      </w:r>
    </w:p>
    <w:p w14:paraId="76413F3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ОТБ-3 МАП, ОКБ-2 при опытном заводе № 1 МАП /Германия  г. Галле; пос. Подберезье Калининской обл./</w:t>
      </w:r>
    </w:p>
    <w:p w14:paraId="40235D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фактически в 08.1945 г. из немецких специалистов на базе фирмы "</w:t>
      </w:r>
      <w:r w:rsidRPr="008127F8">
        <w:rPr>
          <w:rFonts w:ascii="Times New Roman" w:hAnsi="Times New Roman"/>
          <w:color w:val="000000" w:themeColor="text1"/>
          <w:sz w:val="16"/>
          <w:szCs w:val="16"/>
          <w:lang w:val="en-US"/>
        </w:rPr>
        <w:t>Siebel</w:t>
      </w:r>
      <w:r w:rsidRPr="008127F8">
        <w:rPr>
          <w:rFonts w:ascii="Times New Roman" w:hAnsi="Times New Roman"/>
          <w:color w:val="000000" w:themeColor="text1"/>
          <w:sz w:val="16"/>
          <w:szCs w:val="16"/>
        </w:rPr>
        <w:t>". Официальная дата создания- 17.04.1946 г., когда вышло решение СМ СССР № 874- Зббсс. Задачи ОТБ определены приказами МАП № 195с от 6.04.1946 г., № 213сс от 16.04.1946 г. и № 228сс от 19.04.1946 г.</w:t>
      </w:r>
    </w:p>
    <w:p w14:paraId="27BE32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Работы по реактивному самолетостроению. Основная работа- по экспериментальному самолету с ЖРД «346» (1945~49 г.). Однако выполнялось и много дугах задач, в т.ч. по общей аэродинамике. Двигательный отдел ОТБ, кроме ЖРД </w:t>
      </w:r>
      <w:r w:rsidRPr="008127F8">
        <w:rPr>
          <w:rFonts w:ascii="Times New Roman" w:hAnsi="Times New Roman"/>
          <w:color w:val="000000" w:themeColor="text1"/>
          <w:sz w:val="16"/>
          <w:szCs w:val="16"/>
          <w:lang w:val="en-US"/>
        </w:rPr>
        <w:t>Valter</w:t>
      </w:r>
      <w:r w:rsidRPr="008127F8">
        <w:rPr>
          <w:rFonts w:ascii="Times New Roman" w:hAnsi="Times New Roman"/>
          <w:color w:val="000000" w:themeColor="text1"/>
          <w:sz w:val="16"/>
          <w:szCs w:val="16"/>
        </w:rPr>
        <w:t xml:space="preserve"> 109-509 для "</w:t>
      </w:r>
      <w:r w:rsidRPr="008127F8">
        <w:rPr>
          <w:rFonts w:ascii="Times New Roman" w:hAnsi="Times New Roman"/>
          <w:color w:val="000000" w:themeColor="text1"/>
          <w:sz w:val="16"/>
          <w:szCs w:val="16"/>
          <w:lang w:val="en-US"/>
        </w:rPr>
        <w:t>Siebel</w:t>
      </w:r>
      <w:r w:rsidRPr="008127F8">
        <w:rPr>
          <w:rFonts w:ascii="Times New Roman" w:hAnsi="Times New Roman"/>
          <w:color w:val="000000" w:themeColor="text1"/>
          <w:sz w:val="16"/>
          <w:szCs w:val="16"/>
        </w:rPr>
        <w:t xml:space="preserve">-346", разрабатывал двигатели </w:t>
      </w:r>
      <w:r w:rsidRPr="008127F8">
        <w:rPr>
          <w:rFonts w:ascii="Times New Roman" w:hAnsi="Times New Roman"/>
          <w:color w:val="000000" w:themeColor="text1"/>
          <w:sz w:val="16"/>
          <w:szCs w:val="16"/>
          <w:lang w:val="en-US"/>
        </w:rPr>
        <w:t>Valter</w:t>
      </w:r>
      <w:r w:rsidRPr="008127F8">
        <w:rPr>
          <w:rFonts w:ascii="Times New Roman" w:hAnsi="Times New Roman"/>
          <w:color w:val="000000" w:themeColor="text1"/>
          <w:sz w:val="16"/>
          <w:szCs w:val="16"/>
        </w:rPr>
        <w:t xml:space="preserve"> 109-510, </w:t>
      </w:r>
      <w:r w:rsidRPr="008127F8">
        <w:rPr>
          <w:rFonts w:ascii="Times New Roman" w:hAnsi="Times New Roman"/>
          <w:color w:val="000000" w:themeColor="text1"/>
          <w:sz w:val="16"/>
          <w:szCs w:val="16"/>
          <w:lang w:val="en-US"/>
        </w:rPr>
        <w:t>BMW</w:t>
      </w:r>
      <w:r w:rsidRPr="008127F8">
        <w:rPr>
          <w:rFonts w:ascii="Times New Roman" w:hAnsi="Times New Roman"/>
          <w:color w:val="000000" w:themeColor="text1"/>
          <w:sz w:val="16"/>
          <w:szCs w:val="16"/>
        </w:rPr>
        <w:t xml:space="preserve">-3395, </w:t>
      </w:r>
      <w:r w:rsidRPr="008127F8">
        <w:rPr>
          <w:rFonts w:ascii="Times New Roman" w:hAnsi="Times New Roman"/>
          <w:color w:val="000000" w:themeColor="text1"/>
          <w:sz w:val="16"/>
          <w:szCs w:val="16"/>
          <w:lang w:val="en-US"/>
        </w:rPr>
        <w:t>BMW</w:t>
      </w:r>
      <w:r w:rsidRPr="008127F8">
        <w:rPr>
          <w:rFonts w:ascii="Times New Roman" w:hAnsi="Times New Roman"/>
          <w:color w:val="000000" w:themeColor="text1"/>
          <w:sz w:val="16"/>
          <w:szCs w:val="16"/>
        </w:rPr>
        <w:t>-33902. Кроме того, строились стенды для испытаний двигателей, велись работы по топливам для ЖРД и топливохранилшцам. Работала также конструкторская группа, которая занималась разработкой авиационных свечей с керамической изоляцией и проведением опытной работы над новой системой зажигания низким напряжением.</w:t>
      </w:r>
    </w:p>
    <w:p w14:paraId="4694E9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приказу МАП № 228сс от 19.04.1946 г. все работы в Германии должны быть завершены в 10.1946 г. ОТБ в 10-11.1946 г. переведено в СССР вместе со специалистами (ИТР- 85 чел., рабочих- 60 чел.) на Опытный завод № 1 как ОКБ-2 гл. конструктора Рессинга по экспериментальным самолетам.</w:t>
      </w:r>
      <w:r w:rsidRPr="008127F8">
        <w:rPr>
          <w:rFonts w:ascii="Times New Roman" w:hAnsi="Times New Roman"/>
          <w:color w:val="000000" w:themeColor="text1"/>
          <w:sz w:val="16"/>
          <w:szCs w:val="16"/>
          <w:vertAlign w:val="superscript"/>
        </w:rPr>
        <w:t>32</w:t>
      </w:r>
      <w:r w:rsidRPr="008127F8">
        <w:rPr>
          <w:rFonts w:ascii="Times New Roman" w:hAnsi="Times New Roman"/>
          <w:color w:val="000000" w:themeColor="text1"/>
          <w:sz w:val="16"/>
          <w:szCs w:val="16"/>
        </w:rPr>
        <w:t xml:space="preserve"> С 1949 г. руководитель ОКБ - С.М. Алексеев.</w:t>
      </w:r>
    </w:p>
    <w:p w14:paraId="59E046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Продолжены работы по самолету «346», а также создан проект самолета «486» (1949-51 г.).</w:t>
      </w:r>
    </w:p>
    <w:p w14:paraId="0BEB55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12.1948 г. ответственным руководителем работ по самолету «346» назначен М.И. Гудков.</w:t>
      </w:r>
      <w:r w:rsidRPr="008127F8">
        <w:rPr>
          <w:rFonts w:ascii="Times New Roman" w:hAnsi="Times New Roman"/>
          <w:color w:val="000000" w:themeColor="text1"/>
          <w:sz w:val="16"/>
          <w:szCs w:val="16"/>
          <w:vertAlign w:val="superscript"/>
        </w:rPr>
        <w:t>52</w:t>
      </w:r>
    </w:p>
    <w:p w14:paraId="5E30A3D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1948-49 г. у Березняка был проект истребителя-перехватчика. Проект не осуществлен.</w:t>
      </w:r>
    </w:p>
    <w:p w14:paraId="0B0AB49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1951 г. работа ОКБ-2 прекращена, специалистов распределили по другим отделам завода. Позже основная их часть отправлена в ГДР, остальные (в т.ч. 3. Гюнтер) в 1953 г.- на завод № 491. Группе советских специалистов, работавших по самолету «486», было предписано переехать в Новосибирск. Но случай изменил судьбу коллектива. Ввиду начала серийного производства реактивного снаряда «КС» А.Я. Березняку было предложено заняться доводкой нового изделия. На базе мощностей ОКБ-2 по приказу МАП № 1010 от 12.10.1951 г. организовано ОКБ-2-155 под руководством А.Я. Березняка.</w:t>
      </w:r>
    </w:p>
    <w:p w14:paraId="34BFE3B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(1945 г.-)- п Н.Н. Власов.</w:t>
      </w:r>
    </w:p>
    <w:p w14:paraId="4090E1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(1946 г.)-  Г. Рессин г.</w:t>
      </w:r>
    </w:p>
    <w:p w14:paraId="1131EBB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(12.1946 г.-)- А.Я. Березняк.</w:t>
      </w:r>
    </w:p>
    <w:p w14:paraId="432C27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ОКБ-5 МАП /Германия  г. Хайденау Зигфрицштрассе, 7;  г. Берлин - Вайсензее Франц Иосиф штрассе, 110/</w:t>
      </w:r>
    </w:p>
    <w:p w14:paraId="0FF4C5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немецких специалистов (18 ИТР, 175 рабочих) 10.02.1946 г. организована в Особое КБ № 6 в системе Штаба Уполномоченного МАП в Германии. В Берлине располагалось КБ, в Хайденау (в помещении инструментального цеха завода «Шприц унд Пресс гесерай») - часть КБ и опытное производство. Работы по проектированию и изготовлению пресс-форм для литья под давлением алюминиевых и цинковых сплавов. Работали 3 русских специалиста. Имелось 116 единиц оборудования. Действовало в Германии на 1.10.1946 г.</w:t>
      </w:r>
    </w:p>
    <w:p w14:paraId="3C4D65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(1946 г.)- М.Я. Короткое.</w:t>
      </w:r>
    </w:p>
    <w:p w14:paraId="004881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ОКБ-6 МАП /Германия  г. Берлин - Лихтенберг Герцбергштрассе, 128/</w:t>
      </w:r>
    </w:p>
    <w:p w14:paraId="78A6C01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немецких специалистов фирмы "</w:t>
      </w:r>
      <w:r w:rsidRPr="008127F8">
        <w:rPr>
          <w:rFonts w:ascii="Times New Roman" w:hAnsi="Times New Roman"/>
          <w:color w:val="000000" w:themeColor="text1"/>
          <w:sz w:val="16"/>
          <w:szCs w:val="16"/>
          <w:lang w:val="en-US"/>
        </w:rPr>
        <w:t>Siemens</w:t>
      </w:r>
      <w:r w:rsidRPr="008127F8">
        <w:rPr>
          <w:rFonts w:ascii="Times New Roman" w:hAnsi="Times New Roman"/>
          <w:color w:val="000000" w:themeColor="text1"/>
          <w:sz w:val="16"/>
          <w:szCs w:val="16"/>
        </w:rPr>
        <w:t>" (19 ИТР и 95 рабочих) организована 10.04.1946 г. в ОКБ-5 в системе Штаба Уполномоченного МАП в Германии по изготовлению силитовых нагревателей, высокоомных силитовых сопротивлений для слаботочной аппаратуры и лабораторных печей для высоких температур. Разрабатывался также проект силитового завода. Размещалось в цехе сшштового производства завода «Сименс- Плания-Верке». Работало 2 русских специалиста. Имелось 148 единиц оборудования. Действовало в Германии на 1.10.1946 г.</w:t>
      </w:r>
    </w:p>
    <w:p w14:paraId="30246A0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(1946 г.)- В.А. Семенов.</w:t>
      </w:r>
    </w:p>
    <w:p w14:paraId="000398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ОКБ-7 МАП /Германия  г. Галле;  г. Нойхаузен - Ширшниц округ Зонеберг/</w:t>
      </w:r>
    </w:p>
    <w:p w14:paraId="24F9B0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ОКБ-7 организовано 7.06.1946 г. из немецких специалистов (25 ИТР, 49 рабочих), работало также 2 русских специалиста. КБ размещалось в  г. Галле; опытное производство - в опытном цехе завода керамических изоляторов фирмы «Сименс-Шуккерт». Работы: разработка опытных образцов авиасвечей с керамической изоляцией и приборов зажигания. Имелось 42 единицы оборудования.</w:t>
      </w:r>
    </w:p>
    <w:p w14:paraId="19EC9B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(1946 г.)- Б.Е. Бердичевский.</w:t>
      </w:r>
    </w:p>
    <w:p w14:paraId="2510307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ОКБ-8 МАП /Германия  г. Нойхаузен/</w:t>
      </w:r>
    </w:p>
    <w:p w14:paraId="791FE4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изучение технологии производства керамической изоляции для авиасвечей; проектирование завода по производству керамики для авиасвечей.</w:t>
      </w:r>
    </w:p>
    <w:p w14:paraId="578E5C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(1946 г.)- Н.П. Степичев.</w:t>
      </w:r>
    </w:p>
    <w:p w14:paraId="0B76FA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Центральное ОКБ МАП</w:t>
      </w:r>
    </w:p>
    <w:p w14:paraId="6E77604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1.05.1946 г. в Германии на авиационных заводах для изучения опыта работы германской авиапромышленности по программе, утвержденной МАП. Работало 10 русских и 20 немецких специалистов.</w:t>
      </w:r>
    </w:p>
    <w:p w14:paraId="74B6125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Инженерно-Техническое бюро (ИТБ) МАП /Германия  г. Берлин - Мальсдорф/</w:t>
      </w:r>
    </w:p>
    <w:p w14:paraId="07EB29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руководство ОКБ и отдельными группами советских специалистов в Германии; изучение технологии авиационного производства</w:t>
      </w:r>
    </w:p>
    <w:p w14:paraId="63AA3B4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И.М. Романов (11982).</w:t>
      </w:r>
    </w:p>
    <w:p w14:paraId="14B192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51D61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0D8E25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505BE5"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12 мая 1943 года в адрес председателя технического комитета НКВ Сателя и председателя Артиллерийского комитета ГАУ генерал-лейтенанта Хохлова были направлены эскизные проекты двух самоходных установок. Первой из них была СУ-2–122, представлявшая собой двуствольную установку 122-мм гаубиц М-30 на шасси среднего танка Т-34. Вторым проектом стала самоходная установка, получившая обозначение СУ-203. Согласно описанию, при разработке СУ-203 были учтены следующие требования:</w:t>
      </w:r>
    </w:p>
    <w:p w14:paraId="22E21F48"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«1. Выполнение установки по типу КВ-14;</w:t>
      </w:r>
    </w:p>
    <w:p w14:paraId="57D6E4BF"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2. Размещение максимального количества выстрелов;</w:t>
      </w:r>
    </w:p>
    <w:p w14:paraId="6A125A30"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3. Обеспечение удобства работы экипажа;</w:t>
      </w:r>
    </w:p>
    <w:p w14:paraId="5D1AC55E"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4. Подача и заряжание простейшего типа, но не требующее применений больших усилий и обеспечивающие скорострельность порядка 1 выстрел в 1–1,5 минуты;</w:t>
      </w:r>
    </w:p>
    <w:p w14:paraId="6712907F"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5. Вес установки с боезапасом порядка 46–46 тонн;</w:t>
      </w:r>
    </w:p>
    <w:p w14:paraId="4E3E40D0"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6. Прицел телескопический как основной и, кроме того, нормализированный, устанавливаемый на гаубице М-4. Для наблюдения – танковая командирская панорама ПТК;</w:t>
      </w:r>
    </w:p>
    <w:p w14:paraId="45493BE3"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7. Толщина брони: лобовая – 70 мм, борта – 60 м, крыша и кормовая стена 20–25 м;</w:t>
      </w:r>
    </w:p>
    <w:p w14:paraId="258B4284"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8. Дополнительное вооружение: зенитный пулемет. Кроме того, в броне должны быть предусмотрены отверстия с заглушками для ручного оружия».</w:t>
      </w:r>
    </w:p>
    <w:p w14:paraId="6A838DA1"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Примечание «по типу КВ-14» как нельзя лучше подходит к тому, что разработал коллектив во главе с А.Ф. Смирновым. От первоначальной самоходной установки в проекте осталась только орудийная маска и неподвижная бронировка. В остальном же получилась совершенно новая самоходная установка на шасси КВ-1с. Проект не предусматривал максимального использования уже имеющейся конструкции рубки СУ-152, поэтому конструкторы ОКБ-172 имели определённую свободу действий. В результате получился самобытный проект САУ, который отличался высокой продуманностью условий работы экипажа.</w:t>
      </w:r>
    </w:p>
    <w:p w14:paraId="53DD44DC"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Из-за того, что механизм наведения мортиры М-4 оставлял слишком мало места для механика-водителя, его место было перенесено вправо. Для улучшения условий работы механика-водителя установку вооружения предлагалось сместить немного влево. Впрочем, допускалась и возможность возвращения механика-водителя на его штатное место, в таком случае нужно было изменить привод затвора, сделав его более компактным. Проблему размещения командира, который в СУ-152 сидел как раз справа от орудия, решили просто – его сделали одновременно наводчиком. Размещение радиостанции в СУ-203 не предусматривалось, что тоже было аргументом в пользу объединения функций командира и наводчика.</w:t>
      </w:r>
    </w:p>
    <w:p w14:paraId="6AA790EC"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Число членов экипажа от этого не уменьшилось – заряжающих теперь стало двое. При этом заряжающий, находившийся по левую сторону от орудия, получал поистине царские условия. В его распоряжении оказалась командирская башенка с пятью смотровыми приборами, взятая от танка КВ-1С. У правого заряжающего место было тоже достаточно удобным: в его распоряжении имелся люк со встроенным вертлюгом для зенитного пулемета ДТ. Замковой получил в свое распоряжение смотровой перископический прицел ПТК. У командира же имелись лишь спаренный с орудием телескопический прицел СТ-10 да панорама для стрельбы с закрытых позиций.</w:t>
      </w:r>
    </w:p>
    <w:p w14:paraId="396FA83E"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Основной боезапас в 14 выстрелов размещался у бортов, по 7 штук с каждого. Из-за этого топливные баки с правого борта пришлось убирать. Для вынимания снарядов из укладок был разработан специальный механизм, без которого такую массу вытаскивать было бы крайне затруднительно. Для стрельбы брался крайний в укладке снаряд, после чего на его место перекатывался соседний боеприпас. Заряды размещались в индивидуальных пеналах, которые были вставлены в конструкцию снарядных стеллажей. Еще по два снаряда было размещено в нишах, выступавших за габариты рубки. Кроме того, два дополнительных снаряда при необходимости можно было разместить в перегрузочных лотках. Упомянутые 6 дополнительных снарядов являлись укладкой второй очереди, их нужно было перегружать в основную укладку по мере израсходования боеприпасов из неё.</w:t>
      </w:r>
    </w:p>
    <w:p w14:paraId="0B962BB1"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Благодаря плотной компоновке размещения боезапаса высота боевого отделения СУ-203 по сравнению с СУ-152 стала больше всего на 10 см. Увеличение высоты было необходимо для размещения кранового оборудования, без которого тягать снаряды массой центнер каждый было крайне сложно. Конструкторской группе Смирнова надо отдать должное: в отличие от поистине чудовищной по размерам и массе У-19, СУ-203 получилась максимально компактной. И при этом внутри оставалось достаточно места для комфортного размещения экипажа.</w:t>
      </w:r>
    </w:p>
    <w:p w14:paraId="1B16DEA0"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Заключение по проекту СУ-203 было утверждено 21 мая 1943 года. Претензий непосредственно к конструкции самоходной установки в нём не было, проблема лежала в совсем другой плоскости. Главной причиной неудачи проекта оказалась система М-4. Дело в том, что снаряд орудия МЛ-20 пробивал 1200 мм бетона, а М-4 – всего 800. Получалось, что для борьбы с вражескими укреплениями данная система подходила значительно хуже. С учетом того, что её скорострельность оценивалась в 1,5 выстрела в минуту, особого смысла в изготовлении и принятии на вооружение СУ-203 не было. Разумеется, осколочно-фугасное действие у снаряда М-4 было выше, но требовалось от этой системы совсем другое (17701).</w:t>
      </w:r>
    </w:p>
    <w:p w14:paraId="576751E0"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lang w:eastAsia="ru-RU"/>
        </w:rPr>
      </w:pPr>
    </w:p>
    <w:p w14:paraId="31BCEF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 вышло Постановление ГКО № 1731 Об утверждении плана заказов НКО, НКВМФ, НКВД СССР и плана отпуска вещевого имущества для Красной Армии на май месяц 1942 года. РГАНИР, Фонд ГКО, д. 34, лл. 128, 129-134 (11012).</w:t>
      </w:r>
    </w:p>
    <w:p w14:paraId="38405F4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94F8F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12 мая 1942 вышло Постановление ГКО № 1732 О сборе, ремонте и хранении теплых вещей и лыжного имущества, находившихся на снабжении Красной Армии зимой 1941-1942 гг. РГАНИР, Фонд ГКО, д. 34, лл. 135-138, 139-146 (11012).</w:t>
      </w:r>
    </w:p>
    <w:p w14:paraId="261F2BF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E56F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 вышло Постановление ГКО № 1733 О т.т. Шикине И.В. и Горохове Н.И. РГАНИР, Фонд ГКО, д. 34, лл. 147 (11012).</w:t>
      </w:r>
    </w:p>
    <w:p w14:paraId="40FC0E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CE05C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 вышло Постановление ГКО № 1734 О т. Спивак М.С. РГАНИР, Фонд ГКО, д. 34, лл. 148 (11012).</w:t>
      </w:r>
    </w:p>
    <w:p w14:paraId="1AC1A2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9437F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 вышло Постановление ГКО № 1735 О т. Хрущеве Н.С. РГАНИР, Фонд ГКО, д. 34, лл. 149 (11012).</w:t>
      </w:r>
    </w:p>
    <w:p w14:paraId="7E32C3D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90A8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 вышло Постановление ГКО № 1736 О т. Сыромолотном И.К. РГАНИР, Фонд ГКО, д. 34, лл. 150 (11012).</w:t>
      </w:r>
    </w:p>
    <w:p w14:paraId="5495D35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DA69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 вышло Постановление ГКО № 1737 О строительстве нефтеемкостей в 1942 г. РГАНИР, Фонд ГКО, д. 34, лл. 151-156, 157-176 (11012).</w:t>
      </w:r>
    </w:p>
    <w:p w14:paraId="601147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0238C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 вышло Постановление ГКО № 1738 Об обеспечении Красной Армии, НКВМФ и войск НКВД СССР средствами инженерного вооружения во II кв. 1942 года. РГАНИР, Фонд ГКО, д. 34, лл. 177, 178-184 (11012).</w:t>
      </w:r>
    </w:p>
    <w:p w14:paraId="7A48FBA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EB8CA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 вышло Постановление ГКО № 1739 Об организации сбора стреляных орудийных и винтовочных гильз населением прифронтовой полосы. (7034, 185-186).</w:t>
      </w:r>
    </w:p>
    <w:p w14:paraId="537F280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2E593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1D21B5A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42884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в 1942 году утреннее сообщение Совинформбюро:</w:t>
      </w:r>
    </w:p>
    <w:p w14:paraId="6072157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12 мая на фронте чего-либо существенного не произошло.</w:t>
      </w:r>
    </w:p>
    <w:p w14:paraId="13AEF0C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боях за пункт М. (Южный фронт) наши танкисты уничтожили свыше 200 вражескихсолдат, один немецкий танк, 3 орудия, 4 миномёта, 5 пулемётов и взорвали склад с минами. На другом участке группа наших танков атаковала узлы сопротивления противника и разрушила 11 ДЗОТов с немецкой пехотой.</w:t>
      </w:r>
    </w:p>
    <w:p w14:paraId="39585EC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Наше подразделение, действующее на одном из участков Калининского фронта, в течение дня отбило две контратаки противника. Немцы оставили на поле боя более100 трупов.</w:t>
      </w:r>
    </w:p>
    <w:p w14:paraId="0E39F47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бойцы заминировали дорогу на подступах к важному оборонительному рубежу. Утром на дороге показалось 8 немецких танков. Первый танк подорвался на мине и остановился. Красноармейцы, находившиеся в укрытиях, забросали остальные танки гранатами и бутылками с горючей жидкостью. 4 немецких танка были подожжены, а их экипажи взяты в плен.</w:t>
      </w:r>
    </w:p>
    <w:p w14:paraId="6064DEE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автоматчиков под командованием старшего сержанта т. Орлова ночью подползла к двум немецким блиндажам и уничтожила 20 гитлеровцев. Захватив 2 вражеских пулемёта и несколько автоматов, наши бойцы без потерь вернулись в свою часть.</w:t>
      </w:r>
    </w:p>
    <w:p w14:paraId="18C779E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Получены сообщения о крупном успехе украинских партизан. 27 апреля три объединённых отряда под командованием тт. С., К. и В. нанесли большой урон 32 и 46 венгерским пехотным полкам, посланным немцами на подавление партизанского движения. Через несколько дней эти же партизанские отряды уничтожили крупный карательный отряд гитлеровцев. Партизаны освободили от оккупантов несколько населённых пунктов, взяли в плен свыше 100 солдат противника и захватили 24 пулемёта, 3 орудия, 5 миномётов, 60 ящиков с минами, 138 винтовок и 600.000 патронов.</w:t>
      </w:r>
    </w:p>
    <w:p w14:paraId="379BE7F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обер-ефрейтор 11 роты 6 полка 30 немецкой пехотной дивизии Арнольд Гейш рассказал: «Некоторое время я лежал в госпитале в Риге. В городе очень много лазаретов. Все они переполнены ранеными и обмороженными. Недавно я возвратился на фронт. Настроение у солдат очень подавленное. Все хотят скорее вернуться на родину любой ценой. Постепенно рассеивается легенда о том, что русские, не берут немецких солдат в плен. Однако сдаваться в плен очень трудно. Офицеры зорко следят за солдатами, и, как только кто-нибудь удаляется от переднего края, по нему открывают огонь из пулемётов. Я тоже подвергся обстрелу, но всё же благополучно добрался до русских позиций и был очень тепло принят красноармейцами».</w:t>
      </w:r>
    </w:p>
    <w:p w14:paraId="731F855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Специальная комиссия составила подробный акт об убийствах и грабежах, о насилиях и разрушениях, совершённых гитлеровцами за время их пребывания в городе Лозовая. В акте говорится: «Немецко-румынскими бандитами было замучено, расстреляно и повешено 876 мирных граждан и пленных красноармейцев. Фашистские вандалы разграбили и разрушили культурно-просветительные и бытовые учреждения города — школы, клубы, библиотеки, больницы, парки, театры, памятники, а также лучшие жилые здания. За время своего хозяйничанья в Лозовой немецко-румынские бандиты разграбили и уничтожили ценностей на 26.346.364 рубля. В эту сумму не включена стоимость имущества, разграбленного фашистскими бандитами у местных жителей».</w:t>
      </w:r>
    </w:p>
    <w:p w14:paraId="1B4A34F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Недовольство германского народа преступной гитлеровской кликой принимает всё более острые формы. В Мюнхене недавно взорван большой завод военного снаряжения. Основные цехи этого завода надолго вышли из строя. На стенах и заборах в Мюнхене часто появляются антивоенные надписи: «Долой преступную войну!», «Да здравствует Советский Союз!» (14889).</w:t>
      </w:r>
    </w:p>
    <w:p w14:paraId="08DDC42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EBB451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в 1942 году вечернее сообщение Совинформбюро:</w:t>
      </w:r>
    </w:p>
    <w:p w14:paraId="3156684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12 мая на Керченском полуострове продолжались упорные бои с противником. На других участках фронта ничего существенного не произошло.</w:t>
      </w:r>
    </w:p>
    <w:p w14:paraId="5AEB85B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уточнённым данным, за 10 мая уничтожено не 38 немецких самолётов, как об этом сообщалось ранее, а 60 немецких самолётов.</w:t>
      </w:r>
    </w:p>
    <w:p w14:paraId="1874DAF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11 мая уничтожено 42 немецких самолёта. Наши потери —16 самолётов.</w:t>
      </w:r>
    </w:p>
    <w:p w14:paraId="56007B9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11 мая частями нашей авиации уничтожено или повреждено 4 немецких танка, 25 автомашин с войсками и боеприпасами, 3 полевых орудия и гаубичная батарея, 18 миномётов, 14 зенитно-пулемётных точек, взорвано 2 склада с боеприпасами, потоплена шхуна с горючим, разбит железнодорожный состав и 2 паровоза, рассеяны и частью уничтожены эскадрон всадников и до 3 рот пехоты противника.</w:t>
      </w:r>
    </w:p>
    <w:p w14:paraId="6B92052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Противник неоднократно пытался завладеть позициями, которые обороняли бойцы под командованием тов. Гуменюка (Калининский фронт). Все атаки немцев были отбиты с большими для них потерями. Получив подкрепление, противник вновь попытался продвинуться вперёд. Наши бойцы решительным контрударом отбросили гитлеровцев к болоту и почти полностью их уничтожили.</w:t>
      </w:r>
    </w:p>
    <w:p w14:paraId="5BDBA27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наших штурмовиков и истребителей под командованием старшего лейтенанта тов. Моспанова (Южный фронт) совершила успешный налёт на вражеский аэродром. Наши лётчики сожгли 19 и повредили 22 немецких самолёта.</w:t>
      </w:r>
    </w:p>
    <w:p w14:paraId="13F3D92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Расчёт противотанкового ружья сержанта Тюленева подпустил вражеский танк на близкое расстояние и обстрелял его. Танк сгорел. Весь экипаж погиб.</w:t>
      </w:r>
    </w:p>
    <w:p w14:paraId="0CDDF8D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Заметив в воздухе немецкий транспортный самолёт, бойцы отделения сержанта Бердзенишвили открыли огонь из винтовок. После нескольких залпов самолёт был повреждён и сделал вынужденную посадку. Экипаж самолёта в составе четырёх человек взят в плен.</w:t>
      </w:r>
    </w:p>
    <w:p w14:paraId="3AA13EB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Сапёр-сержант Лахов, расчищая проходы для нашей пехоты, в течение двух дней извлёк с заминированного противником участка и обезвредил 167 противотанковых и 40 противопехотных мин.</w:t>
      </w:r>
    </w:p>
    <w:p w14:paraId="56F05CD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вражеской мины загорелся сарай с боеприпасами. Политрук Чернышев, сержант Александров и красноармеец Зайкин, рискуя жизнью, под обстрелом противника предотвратили взрыв боеприпасов.</w:t>
      </w:r>
    </w:p>
    <w:p w14:paraId="5E271DF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Крупный партизанский отряд под командованием тов. К., действующий в одном из оккупированных немцами районов Украины, за последнее время нанёс гитлеровцам ряд тяжёлых ударов. Партизаны уничтожили более 1.000 гитлеровцев, заняли несколько населённых пунктов и захватили много винтовок, пулемётов, 200.000 патронов и радиостанцию. Отряд сжёг 2 продовольственных склада, взорвал склад с боеприпасами и железнодорожный мост. Советские патриоты разгромили 3 батальон 33 венгерского пехотного полка. В числе документов, захваченных в штабе, найден рапорт командира батальона от 26 апреля, адресованный командиру полка. Указывая на трудности борьбы с партизанами, командир батальона пишет: «Солдаты отказываются воевать. Кушать нечего. Лошадей кормить нечем. Партизаны сильно нас обстреливают. Была пушка и много снарядов. Из пушки не стреляли, а снаряды исчезли. Мадьярским солдатам воевать здесь нельзя, так как они не знают местности и дорог. Партизаны хорошо знают и местность и дороги. Мадьярских солдат много убито и ранено, а партизан убитых и раненых нет».</w:t>
      </w:r>
    </w:p>
    <w:p w14:paraId="1DB66A5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выписки из дневника немецкого фельдфебеля Карла Шенкмана:</w:t>
      </w:r>
    </w:p>
    <w:p w14:paraId="7A1AA05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февраля 1942 года. Кровавая ночь. У нас колоссальные потери. Многие мои товарищи убиты. Среди них: унтер-офицер Верцель, обер-ефрейтор Шмидт и ефрейтор Баумгерн.</w:t>
      </w:r>
    </w:p>
    <w:p w14:paraId="6A85F26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марта. Неспокойные день и ночь. Огонь противника невыносим. С трудом добрались до колхоза. Насильно выселяем жителей из домов. Нет фуража. Критическое положение.</w:t>
      </w:r>
    </w:p>
    <w:p w14:paraId="2FB27B7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марта. Мы очень устали. Наступление снова не удалось.Третий взвод выбыл из строя. Убиты: ефрейтор Апфель, унтер-офицеры Бумст, Шонер. Пришлось оставить высоту. Русские танки всё время атакуют с флангов.</w:t>
      </w:r>
    </w:p>
    <w:p w14:paraId="6D36863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марта. Роковой для нас день. В 13 часов русские нас обошли. Лишь теперь мы ощущаем войну во всех её ужасах. Почти каждый день русские танки и авиация безжалостно обстреливают и бомбардируют нас. Ночью получили приказ отступить. Очень много убитых и раненых...»</w:t>
      </w:r>
    </w:p>
    <w:p w14:paraId="5FC73EC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посёлке Невля, Сумской области, гитлеровские изверги, зацепив железными крючками за челюсти, повесили 18 мирных жителей.» (14889).</w:t>
      </w:r>
    </w:p>
    <w:p w14:paraId="79C1041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CC669A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в 1942 году советские войска под командованием Маршала Советского Союза С.К.Тимошенко начали наступление на харьковском стратегическом направлении. В ходе затяжных боев были окружены войсками немецко-фашистской группы армий "Юг" и понесли тяжелые потери. Немцы успели перебросить подкрепления и 17 мая перешли в контрнаступление, которое закончилось окружением ударных группировок ЮЗФ и крупным поражением Красной Армии на южного крыла советско-германского фронта. К 28 мая операция закончилась полным окружением и полным разгромом советских войск. В "котле" осталось более 200 тысяч человек (14889).</w:t>
      </w:r>
    </w:p>
    <w:p w14:paraId="62D0053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1649E7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в 1942 году Адольф Гитлер заявил о необходимости германизации Варталанда, Белостокской области и Крыма, где следует создать крепости против вражеских вооруженных сил на Перекопском и Чонгарском перешейках. Далее, вспоминая свою поездку на Украину, Гитлер назвал ее «неслыханно прекрасной», «обетованной землей», но посетовал, что все украинцы – лодыри (14889).</w:t>
      </w:r>
    </w:p>
    <w:p w14:paraId="6C21124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BC6103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 войска Юго-Западного фрон</w:t>
      </w:r>
      <w:r w:rsidRPr="008127F8">
        <w:rPr>
          <w:rFonts w:ascii="Times New Roman" w:hAnsi="Times New Roman"/>
          <w:color w:val="000000" w:themeColor="text1"/>
          <w:sz w:val="16"/>
          <w:szCs w:val="16"/>
        </w:rPr>
        <w:softHyphen/>
        <w:t>та, нанося два удара: один из района Волчанска, другой - из барвенковского выступа, начали крайне рискованное (ле</w:t>
      </w:r>
      <w:r w:rsidRPr="008127F8">
        <w:rPr>
          <w:rFonts w:ascii="Times New Roman" w:hAnsi="Times New Roman"/>
          <w:color w:val="000000" w:themeColor="text1"/>
          <w:sz w:val="16"/>
          <w:szCs w:val="16"/>
        </w:rPr>
        <w:softHyphen/>
        <w:t>вый фланг фронта со стороны Крама</w:t>
      </w:r>
      <w:r w:rsidRPr="008127F8">
        <w:rPr>
          <w:rFonts w:ascii="Times New Roman" w:hAnsi="Times New Roman"/>
          <w:color w:val="000000" w:themeColor="text1"/>
          <w:sz w:val="16"/>
          <w:szCs w:val="16"/>
        </w:rPr>
        <w:softHyphen/>
        <w:t>торской не был обеспечен в должной мере ни силами, ни средствами) наступ</w:t>
      </w:r>
      <w:r w:rsidRPr="008127F8">
        <w:rPr>
          <w:rFonts w:ascii="Times New Roman" w:hAnsi="Times New Roman"/>
          <w:color w:val="000000" w:themeColor="text1"/>
          <w:sz w:val="16"/>
          <w:szCs w:val="16"/>
        </w:rPr>
        <w:softHyphen/>
        <w:t>ление на Харьков. За трое суток войска Юго-Западного фронта продвинулись на 25-50 км. Наступление поддерживало 67 штур</w:t>
      </w:r>
      <w:r w:rsidRPr="008127F8">
        <w:rPr>
          <w:rFonts w:ascii="Times New Roman" w:hAnsi="Times New Roman"/>
          <w:color w:val="000000" w:themeColor="text1"/>
          <w:sz w:val="16"/>
          <w:szCs w:val="16"/>
        </w:rPr>
        <w:softHyphen/>
        <w:t xml:space="preserve">мовиков Ил-2 Юго-Западного фронта, действовавших в составе 431-го </w:t>
      </w:r>
      <w:r w:rsidRPr="008127F8">
        <w:rPr>
          <w:rFonts w:ascii="Times New Roman" w:hAnsi="Times New Roman"/>
          <w:iCs/>
          <w:color w:val="000000" w:themeColor="text1"/>
          <w:sz w:val="16"/>
          <w:szCs w:val="16"/>
        </w:rPr>
        <w:t>шап</w:t>
      </w:r>
      <w:r w:rsidRPr="008127F8">
        <w:rPr>
          <w:rFonts w:ascii="Times New Roman" w:hAnsi="Times New Roman"/>
          <w:color w:val="000000" w:themeColor="text1"/>
          <w:sz w:val="16"/>
          <w:szCs w:val="16"/>
        </w:rPr>
        <w:t xml:space="preserve"> 4-й РАГ, 92-го, 243-го, 285-го и 619-го </w:t>
      </w:r>
      <w:r w:rsidRPr="008127F8">
        <w:rPr>
          <w:rFonts w:ascii="Times New Roman" w:hAnsi="Times New Roman"/>
          <w:iCs/>
          <w:color w:val="000000" w:themeColor="text1"/>
          <w:sz w:val="16"/>
          <w:szCs w:val="16"/>
        </w:rPr>
        <w:t xml:space="preserve">шап </w:t>
      </w:r>
      <w:r w:rsidRPr="008127F8">
        <w:rPr>
          <w:rFonts w:ascii="Times New Roman" w:hAnsi="Times New Roman"/>
          <w:color w:val="000000" w:themeColor="text1"/>
          <w:sz w:val="16"/>
          <w:szCs w:val="16"/>
        </w:rPr>
        <w:t>ВВС армий и фронта и 5-й РАГ (входи</w:t>
      </w:r>
      <w:r w:rsidRPr="008127F8">
        <w:rPr>
          <w:rFonts w:ascii="Times New Roman" w:hAnsi="Times New Roman"/>
          <w:color w:val="000000" w:themeColor="text1"/>
          <w:sz w:val="16"/>
          <w:szCs w:val="16"/>
        </w:rPr>
        <w:softHyphen/>
        <w:t>ла в состав Южного фронта и придава</w:t>
      </w:r>
      <w:r w:rsidRPr="008127F8">
        <w:rPr>
          <w:rFonts w:ascii="Times New Roman" w:hAnsi="Times New Roman"/>
          <w:color w:val="000000" w:themeColor="text1"/>
          <w:sz w:val="16"/>
          <w:szCs w:val="16"/>
        </w:rPr>
        <w:softHyphen/>
        <w:t>лась в оперативное подчинение коман</w:t>
      </w:r>
      <w:r w:rsidRPr="008127F8">
        <w:rPr>
          <w:rFonts w:ascii="Times New Roman" w:hAnsi="Times New Roman"/>
          <w:color w:val="000000" w:themeColor="text1"/>
          <w:sz w:val="16"/>
          <w:szCs w:val="16"/>
        </w:rPr>
        <w:softHyphen/>
        <w:t>дующего ЮЗФ) армейской группы. Кро</w:t>
      </w:r>
      <w:r w:rsidRPr="008127F8">
        <w:rPr>
          <w:rFonts w:ascii="Times New Roman" w:hAnsi="Times New Roman"/>
          <w:color w:val="000000" w:themeColor="text1"/>
          <w:sz w:val="16"/>
          <w:szCs w:val="16"/>
        </w:rPr>
        <w:softHyphen/>
        <w:t>ме того, из состава воздушных сил Юж</w:t>
      </w:r>
      <w:r w:rsidRPr="008127F8">
        <w:rPr>
          <w:rFonts w:ascii="Times New Roman" w:hAnsi="Times New Roman"/>
          <w:color w:val="000000" w:themeColor="text1"/>
          <w:sz w:val="16"/>
          <w:szCs w:val="16"/>
        </w:rPr>
        <w:softHyphen/>
        <w:t>ного фронта дополнительно привлека</w:t>
      </w:r>
      <w:r w:rsidRPr="008127F8">
        <w:rPr>
          <w:rFonts w:ascii="Times New Roman" w:hAnsi="Times New Roman"/>
          <w:color w:val="000000" w:themeColor="text1"/>
          <w:sz w:val="16"/>
          <w:szCs w:val="16"/>
        </w:rPr>
        <w:softHyphen/>
        <w:t>лось еще 18 Ил-2. Общее число боевых машин различ</w:t>
      </w:r>
      <w:r w:rsidRPr="008127F8">
        <w:rPr>
          <w:rFonts w:ascii="Times New Roman" w:hAnsi="Times New Roman"/>
          <w:color w:val="000000" w:themeColor="text1"/>
          <w:sz w:val="16"/>
          <w:szCs w:val="16"/>
        </w:rPr>
        <w:softHyphen/>
        <w:t>ного типа, работавших в полосе наступления войск Красной Армии на юго-за</w:t>
      </w:r>
      <w:r w:rsidRPr="008127F8">
        <w:rPr>
          <w:rFonts w:ascii="Times New Roman" w:hAnsi="Times New Roman"/>
          <w:color w:val="000000" w:themeColor="text1"/>
          <w:sz w:val="16"/>
          <w:szCs w:val="16"/>
        </w:rPr>
        <w:softHyphen/>
        <w:t>падном направлении, составляло 423 самолета Юго-Западного фронта и 233 боевые машины Южного фронта (6467).</w:t>
      </w:r>
    </w:p>
    <w:p w14:paraId="08690E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6331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 войска Юго-Западного фронта, нанося два удара. - один из района Волчанска. другой - из барвенковского выступа, начали наступление на Харьков. Частые воздушные атаки немецких передовых линий в течение первых дней наступления имели деморализующее воздействие на немецкие войска. Курт Пфлюгбайль (Kurt Pnugheil), командующий IV-м авиакорпусом люфтваффе, в первый день советского наступление мог рассчитывать только на несколько групп бомбардировщиков Ju 88A из КG 51 и Не 111 из КС 55, базировавшихся на аэродромах Запорожья Днепропетровска и Кировограда Кроме того. на этом участке фронт немцы располагали только одной истребительной группой - III. JG77, только что возвратившейся и Германии после ДВУХ месяцев отдых и ремонта. Поэтому советская авиация вполне была способна захватит контроль в воздухе над линией фронта. В первый же день советского наступления III./JG 77 в районе Колпника потеряла ДВУХ своих пилотов.</w:t>
      </w:r>
    </w:p>
    <w:p w14:paraId="1580DE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12 мая 1942 авиацией ЮЗФ было проведено 563 боевых вылета сбито 3 Ме-109 и 6 Хш-126. Oco6eнно отличились в этот день истребители 6-й Армии, которые в 134 боевых вылетах сбили 3 “хеншеля”, и 38-и Армии, сбившие еще 3 “хеншеля” и 3 “мессершмитта”, потеряв в бою два И-16 из 282-го ИАП. Летчики этого полка, которым командовал майор А.В.Минаев, проводили разведку и штурмовку колонн немецкой техники на дороге Харьков - ЧУГУЕВ. В ВОЗДУШНОМ бою с десятью Me-109, прикрывавшими свою КОЛОННУ в районе Тетлега. были сбиты и погибли ст.л-т Сарычев и л-т Голоцван. Кроме того, ВВС ЮЗФ потеряли два ЛаГГа: не вернулся на свои аэродром ЛаГГ-3 из 2-го ИАП ВВС 28-ой Армии, а в районе Старый Салтов был сбит в ВОЗДУШНОМ бою ЛаГГ-3 из 512-го ИАП, летчик которого, командир звена Василий Сироштан, выпрыгнул с парашютом.</w:t>
      </w:r>
    </w:p>
    <w:p w14:paraId="0BD61BB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ВВС 6-й Армии в первые дни наступления успешно действовал 296 ИАП майора Баранова. летавший на Як-1. За два дня до начала наступления полк перебазировался на ПОЛЕВУЮ площадку Марьевка. в 30 км к северо-западу от Барвенково. С началом наступления авиачасть выполняла задачи по прикрытию своих войск. Борис Еремин, воевавший в 296-м ПАП, вспоминал об этих днях:</w:t>
      </w:r>
    </w:p>
    <w:p w14:paraId="2FF2D8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"Уже к исходу второго дня наступлении группы Ю-88 и Хе-111 непрерывно висели в воздухе, и нам приходилось работать с полным напряжением CILI. Мы довольно успешно применили эшелонирование, учитывая высокую скороподъемность Me-109(f). Над своей ударной группой, которой обычно ставилась задача атаковать бомбардировщики, мы, как правило, имели одну или две пары “яков” - на 600 - 1000 метров выше. Эти пары должны были связывать боем Ме-109ф. давая возможность основной группе уничтожать бомбардировщиков.</w:t>
      </w:r>
    </w:p>
    <w:p w14:paraId="12602B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Такая тактика вполне себя оправдала. В те дни нам удалось вытеснить истребители противника из районов, где деиствовали немец кие бомбардировщики, и, таким образом, борьба с бомбардировщиками облегчались ".</w:t>
      </w:r>
    </w:p>
    <w:p w14:paraId="0E831B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Из-за нехватки истребителей приходилось увеличивать количество боевых вылетов, и вскоре усталость летчиков и неизбежные повреждения самолетов дали себя знать. Во второй день боев в районе Барвенковского выступа погиб старший сержант Дмитрии Король. Получивший тяжелые ранения в бою летчик произвел посадку на фюзеляж и умер в кабине своего истребителя. Был подбит в бою и другой опытный летчик полка - Долженко, сумевший посадить самолет на одну СТОЙКУ шасси и тем самым сохранить истребитель. На поврежденном самолете приземлился в поле Александр Мартынов. Техники за ночь подремонтировали машину, и на следующий день летчик мастерски взлетел с очень небольшой площадки. где проводился ремонт.</w:t>
      </w:r>
    </w:p>
    <w:p w14:paraId="56CCE5C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Уже на второй день советского наступления люфтваффе начали получать сильное подкрепление, прибывавшее из Крыма. Среди первых эскадр была Ш./JG 52, включавшая элитную 9./JG 52 Karayastaffel лейтенанта Германа Графа. Только за один этот день, 13 мая, летчики группы заявили сбитыми 42 советских самолета, а всего по люфтваффе - 65. П хотя количество побед было явно завышено, бои оказались действительно тяжелыми, причем для обеих сторон. Авиацией ЮЗФ было выполнено 430 боевых вылетов, после которых авиация фронта не досчиталась двух десятков самолетов, а потери противника в районе Харьков-Чугуев были оценены в тринадцать самолетов. Из них 1 МС-109Ф"' и 3 Ю-88 были заявлены летчиками 6-й армии ценой потери семи своих самолетов. Утром в районе хутора Тарановки погиб командир звена 92-го ПАП. Герои Советского Союза л-т Арсений Степанов. Его “Чайка” была сбита огнем с земли. В бою с истребителями противника при выполнении задания по сопровождению СУ-2 были сбиты самолеты командира эскадрильи 181-го ПАП, ст.л-та А.Колесникова и его заместителя ст.л-та А.Перминова. Истребитель Колесникова был восстановлен после вынужденной посадки. Менее удачной оказалась посадка ст. с-та П.Текина из того же полка. Его поврежденный в бою ЛаГГ-3 при приземлении был разбит. Не вернувшимися на свои аэродромы числились также два ЛаГГ-3 из 23-го ИАП. один Як-1 296-го ИАП и один Су-2 13-го ГвБАП.</w:t>
      </w:r>
    </w:p>
    <w:p w14:paraId="0D98BA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Пять Me-109 и один Хш-126 были заявлены сбитыми летчиками МАГ ВВС ЮЗФ в 79 боевых вылетах. Но на свои аэродромы не вернулось 2 ЛаГГ-3 и 6 Як-1. Утром в районе Старый Салтов был сбит зениткой ЛаГГ-3 л-та Николая Жернова из 512-го ИАП. Летчик получил ранение ног. но спасся на парашюте. Во второй половине дня после ВОЗДУШНОГО боя в том же районе при вынужденной посадке был полностью разбит ЛаГГ-3 командира звена ст.л-та Геннадия Дубенка. Пришлось также садиться на вынужденную командиру эскадрильи, ст.л-ту Ивану Моторному и его заместителю ст.л-ту Валентину Макарову. Но их самолеты при посадке не пострадали и вскоре были восстановлены. На счет летчиков ВВС 38-й Армии было записано 2 Me-109, но и свои потери составили два самолета: ЛаГГ-3 164-го ИАП и И-16 282-го ИАП. Этот полк снова вел бои с немецкими истребителями в районе Тетлега. В бою получил ранение командир звена ст.л-т Новиков, а л-т Толстой разбился при посадке па сильно поврежденном в бою истребителе. ВВС 21А в этот день потеряли И-16 43-го ИАП, сбитый в воздушном бою в районе Муравлево. Летчик, ст.л-т Савченко, погиб. Принадлежность потерянного в этот же день Ил-2 установить по документам не удалось. В отчетах за этот день упоминается также сбитый Ме-110, но кому принадлежала эта победа - неизвестно (9394,16).</w:t>
      </w:r>
    </w:p>
    <w:p w14:paraId="3741F4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4CCF2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 советские войска начали авантюрное наступление на Харьков (4962).</w:t>
      </w:r>
    </w:p>
    <w:p w14:paraId="35B3D50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010B1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 началась наша Харьковская наступательная операция, однако, 17 мая немцы выполнили контрудар и к концу июня нас разбили (340,87). Наступали до 19 марта, но операция шла до 29 мая 1942. Немцы окружили Юго-западный фронт и из окружения вышло только 22 тыс. (2443,253).</w:t>
      </w:r>
    </w:p>
    <w:p w14:paraId="76137A7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4E5D3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 г. вышел ПРИКАЗ НКО № 0373 О ПОРЯДКЕ ВЫДАЧИ ВОДКИ ВОЙСКАМ ДЕЙСТВУЮЩЕЙ АРМИИ</w:t>
      </w:r>
    </w:p>
    <w:p w14:paraId="2D5B82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Объявляю для точного и неуклонного исполнения Постановления Государственного Комитета Обороны № ГОКО-1727с от 11 мая 1942 года “О порядке выдачи водки войскам действующей армии” (в приложении).</w:t>
      </w:r>
    </w:p>
    <w:p w14:paraId="2A9F536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 военные советы фронтов и армий, командиров соединений и частей возлагаю ответственность за правильность назначения и выдачи водки на довольствие военнослужащих согласно объявляемого Постановления Государственного Комитета Обороны.</w:t>
      </w:r>
    </w:p>
    <w:p w14:paraId="3D4F143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Приказ и Постановление ГОКО ввести в действие по телеграфу.</w:t>
      </w:r>
    </w:p>
    <w:p w14:paraId="1DC8847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Приказ НКО № 0320 1941 года отменить.</w:t>
      </w:r>
    </w:p>
    <w:p w14:paraId="308E78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Заместитель Народного комиссара обороны генерал-лейтенант интендантской службы ХРУЛЕВ</w:t>
      </w:r>
      <w:r w:rsidRPr="008127F8">
        <w:rPr>
          <w:rFonts w:ascii="Times New Roman" w:hAnsi="Times New Roman"/>
          <w:color w:val="000000" w:themeColor="text1"/>
          <w:sz w:val="16"/>
          <w:szCs w:val="16"/>
        </w:rPr>
        <w:t xml:space="preserve"> (9844).</w:t>
      </w:r>
    </w:p>
    <w:p w14:paraId="64C343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10697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3AAA68F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8AE10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12 мая 1942. Из дневника журналиста Н. К. Вержбицкого: "Толпы девушек, сгибаясь под мешками, идут на трудовой фронт. Деревья покрылись чуть заметным зеленым пухом. Подняты цены на спички (20 коп. коробка), табак (вдвое), соль (вместо 7 коп. -48 коп.), мыло (вдвое). В центре, на Воздвиженке, около большого дома, у тротуара, выросла колонка, стоит очередь с чайниками за водой" (18696).</w:t>
      </w:r>
    </w:p>
    <w:p w14:paraId="08E7434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B0BBE3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7C8C7D1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A808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 года было отправлено:</w:t>
      </w:r>
    </w:p>
    <w:p w14:paraId="2D55C15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В. СТАЛИН У. ЧЕРЧИЛЛЮ *</w:t>
      </w:r>
    </w:p>
    <w:p w14:paraId="4DE7BD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 получил Ваше послание 11 мая и приношу Вам благодарность за обещание принять меры по максимальной доставке военных материалов в СССР. Мы вполне понимаем, какие серьезные трудности приходится преодолевать Великобритании и какие тяжелые морские потери Вам приходится нести, осуществляя эту большую задачу.</w:t>
      </w:r>
    </w:p>
    <w:p w14:paraId="4E63008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Что касается Вашего предложения относительно принятия более крупных мер со стороны воздушных и морских сил СССР для охраны транспортов на указанном Вами участке, то можете не сомневаться, что все возможное с нашей стороны будет незамедлительно предпринято. При этом, однако, надо учесть, что наши морские силы, как Вам известно, весьма ограничены, а воздушные силы в своем громадном большинстве поглощены работой на фронте.</w:t>
      </w:r>
    </w:p>
    <w:p w14:paraId="47187E4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Примите мой искренний привет.</w:t>
      </w:r>
    </w:p>
    <w:p w14:paraId="11B25D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СТАЛИН (7430).</w:t>
      </w:r>
    </w:p>
    <w:p w14:paraId="02C5C87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A9014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06A3F96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A312A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 первоначальное представление в Люфтваффе Amerika Bomber - дальнего стратегического бомбардировщика  - разрабатываемого на условиях конкурса и конкуренции прибывает в офисах рейхсмаршала Германа Геринга, главнокомандующего Люфтваффе Третьего Рейха (20793).</w:t>
      </w:r>
    </w:p>
    <w:p w14:paraId="1A1023C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83A6F1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 во время первой массовой ликвидации в газовых камерах Освенцима было убито 1500 евреев (3186).</w:t>
      </w:r>
    </w:p>
    <w:p w14:paraId="74C412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08A5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May 12th, 1942: The first aircraft of the US 8th Air Force arrive in Britain (3819).</w:t>
      </w:r>
    </w:p>
    <w:p w14:paraId="63CAD0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6A10EA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 первые самолеты 8ВА США прибыли в Великобританию (3819).</w:t>
      </w:r>
    </w:p>
    <w:p w14:paraId="1BBB57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0D7D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9A48F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18F6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1942 ГИ завода 32 Каращук писал А.И.Ш. и С.В.И. письмо N 485:</w:t>
      </w:r>
    </w:p>
    <w:p w14:paraId="1DC69A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письмо ОКБ С.В.И. N 105с сообщаем, что фанерные патронные коробки ни на один самолет, в т.ч. и на Ил-2 завод 32 не выпускает. Нами были изготовлены только опытные образцы для проведения всесторонних испытаний. В виду отсутствия до настоящего времени результатов гос. испытаний на все самолеты нами выпускаются только дюралевые и стальные патронные коробки (1677,109).</w:t>
      </w:r>
    </w:p>
    <w:p w14:paraId="6723D7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14357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1942 года конструктор самолета Ил-2 С.В.И., зам. гл. конструктора завода N 24 Флиский, нач. серийно-конструкторского бюро завода N 24 Юдин, нач. моторного отдела Гл. управления инженерно-авиационной службы ВВС - бригинженер Левин. Согласовано по ВЧ с директором завода N 24 Жезловым. Секретарь МГК ВКП(б) Попов.</w:t>
      </w:r>
    </w:p>
    <w:p w14:paraId="535431B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проведении испытаний и организации серийного выпуска</w:t>
      </w:r>
    </w:p>
    <w:p w14:paraId="6003C2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моторов АМ-38Ф на заводе N 24.</w:t>
      </w:r>
    </w:p>
    <w:p w14:paraId="0B59AD3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Мотор Ам-38Ф должен отличаться от серийного мотора АМ-38 повышенной взлетной мощностью (1700 л.с.) и повышенным числом оборотов на взлете (2350 об/мин.). Допускается снижение высотности до 1000 метров.</w:t>
      </w:r>
    </w:p>
    <w:p w14:paraId="0A576D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Срок службы мотора АМ-38Ф до первой переборки - 150 часов.</w:t>
      </w:r>
    </w:p>
    <w:p w14:paraId="571382A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Официальное 150-часовое испытание мотора Ам-38Ф, включающее 100 проб взлетного режима (из них 50 проб длительностью в 3 минуты каждая и 50 проб длительностью в 2 минуты каждая) должно быть проведено заводом N 24, совместно с НИИ ВВС к 15 июня 1942 года.</w:t>
      </w:r>
    </w:p>
    <w:p w14:paraId="22875F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Летное испытание самолета Ил-2 с мотором АМ-38Ф, для проверки взлета, скороподъемности и максимальных скоростей в полете, у земли и на разных высотах, должно быть проведено заводом N 30, совместно с НИИ ВВС к 10 июня 1942 года, для чего завод N 24, должен подать в счет графика два мотора АМ-38Ф к 25 мая 1942 года.</w:t>
      </w:r>
    </w:p>
    <w:p w14:paraId="3E6FA1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Серийный выпуск моторов Ам-38Ф должен начаться на заводе N 24 с 1 июля 1942 года, с выпуском в июле 1942 года 200 моторов, в августе 1942 года - 50% программы завода и с полным переходом на выпуск моторов АМ-38Ф с 1 сентября 1942 года (1631,31).</w:t>
      </w:r>
    </w:p>
    <w:p w14:paraId="5B8C258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8846A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1942 приказом наркома ВМФ N 0509 (1085,166) на вооружение приняли АН-42 - стабилизатор для торпед в виде цилиндра с продольными зигами для жесткости длинной 1600 мм и диаметром 450 мм, который был разработан в НИМТИ в апреле 1942 группой капитана Алферова. Использовали на СФ и БФ (651,18).</w:t>
      </w:r>
    </w:p>
    <w:p w14:paraId="490AED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87C87F"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мая 1942 г. вышел Приказ директора завода № 22 В. А. Окулова о запуске в производство самолетов ТБ-7 по установленному графику</w:t>
      </w:r>
    </w:p>
    <w:p w14:paraId="4E2374EC"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развитие приказа по заводу от 7 мая с. г. за № 287 о запуске в производство машины ТБ-7 приказываю:</w:t>
      </w:r>
    </w:p>
    <w:p w14:paraId="414951D5"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Начальникам всех производственных цехов запустить в производство машину ТБ-7 по полному объему, согласно расцеховки главного технолога, для чего установить следующий порядок запуска:</w:t>
      </w:r>
    </w:p>
    <w:p w14:paraId="34D538E3"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Счет 18 серия 8 — 10 машин (с № 018 по № 108) в мае месяце.</w:t>
      </w:r>
    </w:p>
    <w:p w14:paraId="72F43481"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Счет 18 серия 9 — 10 машин (с № 019 по № 109) в июне месяце.</w:t>
      </w:r>
    </w:p>
    <w:p w14:paraId="1D8F231D"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Счет 18 серия 10 — 10 машин (с № 110 по № 1010) в июле месяце.</w:t>
      </w:r>
    </w:p>
    <w:p w14:paraId="1742D8E5"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Счет 18 серия 11 — 10 машин (с № 111 по № 1011) в августе месяце.</w:t>
      </w:r>
    </w:p>
    <w:p w14:paraId="7A8775FF"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Счет 18 серия 12 — 10 машин (с № 112 по № 1012) в сентябре месяце.</w:t>
      </w:r>
    </w:p>
    <w:p w14:paraId="39C6A94E"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Цехи 26, 20, 216, 203, 70, 35, 38 запускают соответственно:</w:t>
      </w:r>
    </w:p>
    <w:p w14:paraId="1559DDF2"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серия в мае месяце.</w:t>
      </w:r>
    </w:p>
    <w:p w14:paraId="33A440C4"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и 10 серия в июне месяце.</w:t>
      </w:r>
    </w:p>
    <w:p w14:paraId="3F556D5B"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и 12 серия в июле месяце.</w:t>
      </w:r>
    </w:p>
    <w:p w14:paraId="4B5100D8"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Все незавершенное производство после проведения инвентаризации, признанное как годное для дальнейшего использования, включая и доработку по моторам АМ-35А, подлежит пересчету в обеспечение 8-й, 9-й и дальнейших серий.</w:t>
      </w:r>
    </w:p>
    <w:p w14:paraId="7D9A2E90"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 22 Окулов</w:t>
      </w:r>
    </w:p>
    <w:p w14:paraId="1EF95130"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Р-2845. Оп. 3. Д. 116. Л. 26. Подлинник (23768).</w:t>
      </w:r>
    </w:p>
    <w:p w14:paraId="5DAC501D" w14:textId="77777777" w:rsidR="00426AB5" w:rsidRPr="008A2E5A" w:rsidRDefault="00426AB5" w:rsidP="00426AB5">
      <w:pPr>
        <w:spacing w:after="0" w:line="240" w:lineRule="auto"/>
        <w:jc w:val="both"/>
        <w:rPr>
          <w:rFonts w:ascii="Times New Roman" w:hAnsi="Times New Roman"/>
          <w:color w:val="0070C0"/>
          <w:sz w:val="16"/>
          <w:szCs w:val="16"/>
        </w:rPr>
      </w:pPr>
    </w:p>
    <w:p w14:paraId="4356699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1942 бригада в составе П.Я.Федрови, ви В.В.Барсукова (ОКБ) и С.В.Чистова (ЛИИ) и др. завершила гос. испытания Як-7 М-82, проводимые с 23 января. Было выполнено 17 полетов продолжительностью 5:24. Летали без УБС и заправки фюзеляжного бака (65,95).</w:t>
      </w:r>
    </w:p>
    <w:p w14:paraId="651DFD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A17EC6" w14:textId="77777777" w:rsidR="007C5583" w:rsidRPr="008127F8" w:rsidRDefault="007C5583" w:rsidP="007C5583">
      <w:pPr>
        <w:pStyle w:val="a4"/>
        <w:rPr>
          <w:color w:val="000000" w:themeColor="text1"/>
          <w:lang w:val="ru-RU"/>
        </w:rPr>
      </w:pPr>
      <w:r w:rsidRPr="008127F8">
        <w:rPr>
          <w:color w:val="000000" w:themeColor="text1"/>
          <w:lang w:val="ru-RU"/>
        </w:rPr>
        <w:t>13 мая 1942 г. лётные испытания Як-7 М-82 прекратили. За январь—март 1942 на Як-7 М-82 сменили четыре двигателя, но после этого скорости удалось замерить только у земли — 501 км/ч, и на 1-й границе высотности 2860 м — 571 км/ч, что незначительно превышало аналогичные значения зийного Як-7А с М-105П. Такой результат, в частности, явился следствием установки винта диаметром всего 2,8 м, что не позволяло снять полную мощность мотора. Винт же большего диаметра на Як-7 установить было невозможно из-за недостаточной выс</w:t>
      </w:r>
      <w:r w:rsidRPr="008127F8">
        <w:rPr>
          <w:rStyle w:val="MSReferenceSansSerif0"/>
          <w:rFonts w:ascii="Times New Roman" w:eastAsia="Arial Unicode MS" w:hAnsi="Times New Roman" w:cs="Times New Roman"/>
          <w:color w:val="000000" w:themeColor="text1"/>
          <w:sz w:val="16"/>
          <w:szCs w:val="16"/>
          <w:lang w:val="ru-RU"/>
        </w:rPr>
        <w:t>оты</w:t>
      </w:r>
      <w:r w:rsidRPr="008127F8">
        <w:rPr>
          <w:color w:val="000000" w:themeColor="text1"/>
          <w:lang w:val="ru-RU"/>
        </w:rPr>
        <w:t xml:space="preserve"> стоек шасси. В результате А.С. Яковлев не проявил интереса к продолжению эводки этого самолёта (15788).</w:t>
      </w:r>
    </w:p>
    <w:p w14:paraId="30894A32" w14:textId="77777777" w:rsidR="007C5583" w:rsidRPr="008127F8" w:rsidRDefault="007C5583" w:rsidP="007C5583">
      <w:pPr>
        <w:pStyle w:val="a4"/>
        <w:rPr>
          <w:color w:val="000000" w:themeColor="text1"/>
          <w:lang w:val="ru-RU"/>
        </w:rPr>
      </w:pPr>
    </w:p>
    <w:p w14:paraId="1DF038F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13 мая в 1942 году завершились (с 23 января) заводские испытания </w:t>
      </w:r>
      <w:hyperlink r:id="rId18" w:tgtFrame="_blank" w:history="1">
        <w:r w:rsidRPr="008127F8">
          <w:rPr>
            <w:rFonts w:ascii="Times New Roman" w:hAnsi="Times New Roman"/>
            <w:color w:val="000000" w:themeColor="text1"/>
            <w:sz w:val="16"/>
            <w:szCs w:val="16"/>
          </w:rPr>
          <w:t xml:space="preserve">«Як-7» </w:t>
        </w:r>
      </w:hyperlink>
      <w:r w:rsidRPr="008127F8">
        <w:rPr>
          <w:rFonts w:ascii="Times New Roman" w:hAnsi="Times New Roman"/>
          <w:color w:val="000000" w:themeColor="text1"/>
          <w:sz w:val="16"/>
          <w:szCs w:val="16"/>
        </w:rPr>
        <w:t>после переделки под «М-82А», которую проводила на заводе №153 бригада в составе: ведущий летчик П.Я.Федрови, ведущие инженеры В.В.Барсуков (ОКБ) и С.В.Чистов (ЛИИ) (14890).</w:t>
      </w:r>
    </w:p>
    <w:p w14:paraId="23C5CBD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62A0A3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13 мая 1942 года прекратились летные испытания Як-7 с М-82, которые проходилис в Новосибирске с 23 января 1941 года. Обнаружились те же дефекты мотора, что </w:t>
      </w:r>
      <w:r w:rsidRPr="008127F8">
        <w:rPr>
          <w:rFonts w:ascii="Times New Roman" w:hAnsi="Times New Roman"/>
          <w:color w:val="000000" w:themeColor="text1"/>
          <w:sz w:val="16"/>
          <w:szCs w:val="16"/>
        </w:rPr>
        <w:lastRenderedPageBreak/>
        <w:t>и ранее на других само</w:t>
      </w:r>
      <w:r w:rsidRPr="008127F8">
        <w:rPr>
          <w:rFonts w:ascii="Times New Roman" w:hAnsi="Times New Roman"/>
          <w:color w:val="000000" w:themeColor="text1"/>
          <w:sz w:val="16"/>
          <w:szCs w:val="16"/>
        </w:rPr>
        <w:softHyphen/>
        <w:t>летах, а также неудовлетворительный тепловой режим ВМГ - температура головок цилиндров 265-305°С вместо максимально допустимой 250°С и вы</w:t>
      </w:r>
      <w:r w:rsidRPr="008127F8">
        <w:rPr>
          <w:rFonts w:ascii="Times New Roman" w:hAnsi="Times New Roman"/>
          <w:color w:val="000000" w:themeColor="text1"/>
          <w:sz w:val="16"/>
          <w:szCs w:val="16"/>
        </w:rPr>
        <w:softHyphen/>
        <w:t>сокая температура входящего масла 110 °С вместо максимально допусти</w:t>
      </w:r>
      <w:r w:rsidRPr="008127F8">
        <w:rPr>
          <w:rFonts w:ascii="Times New Roman" w:hAnsi="Times New Roman"/>
          <w:color w:val="000000" w:themeColor="text1"/>
          <w:sz w:val="16"/>
          <w:szCs w:val="16"/>
        </w:rPr>
        <w:softHyphen/>
        <w:t>мой 85 гр. С. Этого следовало ожидать, так как при выбранной капотировке боковые цилиндры, расположенные около выходных створок капота, охлаж</w:t>
      </w:r>
      <w:r w:rsidRPr="008127F8">
        <w:rPr>
          <w:rFonts w:ascii="Times New Roman" w:hAnsi="Times New Roman"/>
          <w:color w:val="000000" w:themeColor="text1"/>
          <w:sz w:val="16"/>
          <w:szCs w:val="16"/>
        </w:rPr>
        <w:softHyphen/>
        <w:t>дались лучше, чем нижние и, особен</w:t>
      </w:r>
      <w:r w:rsidRPr="008127F8">
        <w:rPr>
          <w:rFonts w:ascii="Times New Roman" w:hAnsi="Times New Roman"/>
          <w:color w:val="000000" w:themeColor="text1"/>
          <w:sz w:val="16"/>
          <w:szCs w:val="16"/>
        </w:rPr>
        <w:softHyphen/>
        <w:t>но, верхние. В результате возникала сильная неравномерность температур по разным цилиндрам. Решить эту проблему ОКБ Яковлева тогда не смогло. Из 17 полетов только в двух уда</w:t>
      </w:r>
      <w:r w:rsidRPr="008127F8">
        <w:rPr>
          <w:rFonts w:ascii="Times New Roman" w:hAnsi="Times New Roman"/>
          <w:color w:val="000000" w:themeColor="text1"/>
          <w:sz w:val="16"/>
          <w:szCs w:val="16"/>
        </w:rPr>
        <w:softHyphen/>
        <w:t>лось определить летные характеристики, а остальные использовались для отработки ВМГ. За январь-март сме</w:t>
      </w:r>
      <w:r w:rsidRPr="008127F8">
        <w:rPr>
          <w:rFonts w:ascii="Times New Roman" w:hAnsi="Times New Roman"/>
          <w:color w:val="000000" w:themeColor="text1"/>
          <w:sz w:val="16"/>
          <w:szCs w:val="16"/>
        </w:rPr>
        <w:softHyphen/>
        <w:t>нили четыре двигателя, но после этого скорости удалось замерить только у земли - 501 км/ч, и на 1-й границе высотности 2860 м - 571 км/ч, что незначительно превышало анало</w:t>
      </w:r>
      <w:r w:rsidRPr="008127F8">
        <w:rPr>
          <w:rFonts w:ascii="Times New Roman" w:hAnsi="Times New Roman"/>
          <w:color w:val="000000" w:themeColor="text1"/>
          <w:sz w:val="16"/>
          <w:szCs w:val="16"/>
        </w:rPr>
        <w:softHyphen/>
        <w:t>гичные значения серийного Як-7А с М-105П. Такой результат, в частности, был следствием установки винта ди</w:t>
      </w:r>
      <w:r w:rsidRPr="008127F8">
        <w:rPr>
          <w:rFonts w:ascii="Times New Roman" w:hAnsi="Times New Roman"/>
          <w:color w:val="000000" w:themeColor="text1"/>
          <w:sz w:val="16"/>
          <w:szCs w:val="16"/>
        </w:rPr>
        <w:softHyphen/>
        <w:t>аметром всего 2,8 м, что не позволяло снять полную мощность мотора. Винт же большего диаметра на Як-7 было установить невозможно из-за недо</w:t>
      </w:r>
      <w:r w:rsidRPr="008127F8">
        <w:rPr>
          <w:rFonts w:ascii="Times New Roman" w:hAnsi="Times New Roman"/>
          <w:color w:val="000000" w:themeColor="text1"/>
          <w:sz w:val="16"/>
          <w:szCs w:val="16"/>
        </w:rPr>
        <w:softHyphen/>
        <w:t>статочной высоты стоек шасси. В результате А.С. Яковлев не проявил интереса к продолжению доводки этого самолета (10686).</w:t>
      </w:r>
    </w:p>
    <w:p w14:paraId="45D5C2C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9E498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1942 на Би-1 было выполнено Задание 12. Подлет на 1 м на дистанции 50 м (172,185).</w:t>
      </w:r>
    </w:p>
    <w:p w14:paraId="37767AF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58D3F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1942 состоялся подлёт БИ длиной около 50 м на высоте около 1 метра. 15 мая 1942 г. самолёт БИ-1 под управлением летчика Г.Я. Бахчиванджи впервые взлетел с использованием ракетного двигателя. Полет продолжался 3 мин 9 сек, за 60 сек работы ЖРД была достигнута высота 840 метров, при максимальной скорости 400 км/ч и максимальной скороподъемности 23 м/с. В 1943 г. было осуществлено ещё шесть полётов на втором (БИ-2) и третьем (БИ-3) экземплярах самолёта. Успешные полеты дали основания для спешного начала строительства войсковой серии машин под наименованием БИ-ВС (ВС-войсковая серия). Это серийное производство было развернуто на авиазаводе №381 в Нижнем Тагиле. Между тем испытания истребителя продолжались. Один из полётов выполнял К.А. Груздев, остальные 256 – Г.Я. Бахчиванджи (18250).</w:t>
      </w:r>
    </w:p>
    <w:p w14:paraId="05C869F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49634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1942 ГКО постановлением N ГОКО-1741cc утвердил практические мероприятия по ускорению сборки, приемки и перегонки самолетов Бостон-3 и по ускорению формирования полков из этих самолетов (1553,64).</w:t>
      </w:r>
    </w:p>
    <w:p w14:paraId="416D965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2CAA9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1942 в Кинешме назначили комиссию по облету доработанного Кертис 0-52 Оул. На машине поставили бронирование. К этому времени из 19 осталось 14 - разделили между 12 окаэ (6 - в мае пошли на ЛФ), 13 окаэ (6 - в июне пошла в Елец) и 50 окаэ (2 - в июне пошла на ЛФ, но без Оул). На аэродроме в 22 зап Кинешме осталась одна исправная и две неисправных машины (4622, 29).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7C5583" w:rsidRPr="008127F8" w14:paraId="4DBD2FD4" w14:textId="77777777" w:rsidTr="004C5D62">
        <w:tc>
          <w:tcPr>
            <w:tcW w:w="2818" w:type="dxa"/>
            <w:tcBorders>
              <w:top w:val="single" w:sz="12" w:space="0" w:color="auto"/>
            </w:tcBorders>
          </w:tcPr>
          <w:p w14:paraId="609A5F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Заводской №</w:t>
            </w:r>
          </w:p>
        </w:tc>
        <w:tc>
          <w:tcPr>
            <w:tcW w:w="2818" w:type="dxa"/>
            <w:tcBorders>
              <w:top w:val="single" w:sz="12" w:space="0" w:color="auto"/>
            </w:tcBorders>
          </w:tcPr>
          <w:p w14:paraId="1D53F42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Кому принадлежала</w:t>
            </w:r>
          </w:p>
        </w:tc>
        <w:tc>
          <w:tcPr>
            <w:tcW w:w="2818" w:type="dxa"/>
            <w:tcBorders>
              <w:top w:val="single" w:sz="12" w:space="0" w:color="auto"/>
            </w:tcBorders>
          </w:tcPr>
          <w:p w14:paraId="38CAC4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Куда переместилась</w:t>
            </w:r>
          </w:p>
        </w:tc>
        <w:tc>
          <w:tcPr>
            <w:tcW w:w="2818" w:type="dxa"/>
            <w:tcBorders>
              <w:top w:val="single" w:sz="12" w:space="0" w:color="auto"/>
            </w:tcBorders>
          </w:tcPr>
          <w:p w14:paraId="55D0FE6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События</w:t>
            </w:r>
          </w:p>
        </w:tc>
      </w:tr>
      <w:tr w:rsidR="007C5583" w:rsidRPr="008127F8" w14:paraId="7F0721C1" w14:textId="77777777" w:rsidTr="004C5D62">
        <w:tc>
          <w:tcPr>
            <w:tcW w:w="2818" w:type="dxa"/>
          </w:tcPr>
          <w:p w14:paraId="6DE0B38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117</w:t>
            </w:r>
          </w:p>
        </w:tc>
        <w:tc>
          <w:tcPr>
            <w:tcW w:w="2818" w:type="dxa"/>
          </w:tcPr>
          <w:p w14:paraId="60532D6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окаэ</w:t>
            </w:r>
          </w:p>
        </w:tc>
        <w:tc>
          <w:tcPr>
            <w:tcW w:w="2818" w:type="dxa"/>
          </w:tcPr>
          <w:p w14:paraId="7200FA6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2A93B15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марта 1942 авария</w:t>
            </w:r>
          </w:p>
        </w:tc>
      </w:tr>
      <w:tr w:rsidR="007C5583" w:rsidRPr="008127F8" w14:paraId="3660ED4A" w14:textId="77777777" w:rsidTr="004C5D62">
        <w:tc>
          <w:tcPr>
            <w:tcW w:w="2818" w:type="dxa"/>
          </w:tcPr>
          <w:p w14:paraId="4FA6F06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w:t>
            </w:r>
          </w:p>
        </w:tc>
        <w:tc>
          <w:tcPr>
            <w:tcW w:w="2818" w:type="dxa"/>
          </w:tcPr>
          <w:p w14:paraId="5262ADF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2EB895D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оафаэ</w:t>
            </w:r>
          </w:p>
        </w:tc>
        <w:tc>
          <w:tcPr>
            <w:tcW w:w="2818" w:type="dxa"/>
          </w:tcPr>
          <w:p w14:paraId="7A58A93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мая 1945 передан отряду УВВС МВО</w:t>
            </w:r>
          </w:p>
        </w:tc>
      </w:tr>
      <w:tr w:rsidR="007C5583" w:rsidRPr="008127F8" w14:paraId="38AC05FD" w14:textId="77777777" w:rsidTr="004C5D62">
        <w:tc>
          <w:tcPr>
            <w:tcW w:w="2818" w:type="dxa"/>
          </w:tcPr>
          <w:p w14:paraId="3F7BF3D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w:t>
            </w:r>
          </w:p>
        </w:tc>
        <w:tc>
          <w:tcPr>
            <w:tcW w:w="2818" w:type="dxa"/>
          </w:tcPr>
          <w:p w14:paraId="114675A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571BFC0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оафаэ</w:t>
            </w:r>
          </w:p>
        </w:tc>
        <w:tc>
          <w:tcPr>
            <w:tcW w:w="2818" w:type="dxa"/>
          </w:tcPr>
          <w:p w14:paraId="67A1790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мая 1945 списан</w:t>
            </w:r>
          </w:p>
        </w:tc>
      </w:tr>
      <w:tr w:rsidR="007C5583" w:rsidRPr="008127F8" w14:paraId="5372B130" w14:textId="77777777" w:rsidTr="004C5D62">
        <w:tc>
          <w:tcPr>
            <w:tcW w:w="2818" w:type="dxa"/>
          </w:tcPr>
          <w:p w14:paraId="3A6E809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w:t>
            </w:r>
          </w:p>
        </w:tc>
        <w:tc>
          <w:tcPr>
            <w:tcW w:w="2818" w:type="dxa"/>
          </w:tcPr>
          <w:p w14:paraId="3C481E3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35BBD30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оафаэ</w:t>
            </w:r>
          </w:p>
        </w:tc>
        <w:tc>
          <w:tcPr>
            <w:tcW w:w="2818" w:type="dxa"/>
          </w:tcPr>
          <w:p w14:paraId="019BDC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мая 1945 разбил л Орлов</w:t>
            </w:r>
          </w:p>
        </w:tc>
      </w:tr>
      <w:tr w:rsidR="007C5583" w:rsidRPr="008127F8" w14:paraId="4B9B7374" w14:textId="77777777" w:rsidTr="004C5D62">
        <w:tc>
          <w:tcPr>
            <w:tcW w:w="2818" w:type="dxa"/>
          </w:tcPr>
          <w:p w14:paraId="72045CE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128</w:t>
            </w:r>
          </w:p>
        </w:tc>
        <w:tc>
          <w:tcPr>
            <w:tcW w:w="2818" w:type="dxa"/>
          </w:tcPr>
          <w:p w14:paraId="2C6DB0E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0728B92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оафаэ</w:t>
            </w:r>
          </w:p>
        </w:tc>
        <w:tc>
          <w:tcPr>
            <w:tcW w:w="2818" w:type="dxa"/>
          </w:tcPr>
          <w:p w14:paraId="405302B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7C520CF" w14:textId="77777777" w:rsidTr="004C5D62">
        <w:tc>
          <w:tcPr>
            <w:tcW w:w="2818" w:type="dxa"/>
          </w:tcPr>
          <w:p w14:paraId="25A90E9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129</w:t>
            </w:r>
          </w:p>
        </w:tc>
        <w:tc>
          <w:tcPr>
            <w:tcW w:w="2818" w:type="dxa"/>
          </w:tcPr>
          <w:p w14:paraId="61A1B4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окаэ</w:t>
            </w:r>
          </w:p>
        </w:tc>
        <w:tc>
          <w:tcPr>
            <w:tcW w:w="2818" w:type="dxa"/>
          </w:tcPr>
          <w:p w14:paraId="13A2500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54E3F1E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июня 1943 авария л Черепенщиков</w:t>
            </w:r>
          </w:p>
        </w:tc>
      </w:tr>
      <w:tr w:rsidR="007C5583" w:rsidRPr="008127F8" w14:paraId="61879EEC" w14:textId="77777777" w:rsidTr="004C5D62">
        <w:tc>
          <w:tcPr>
            <w:tcW w:w="2818" w:type="dxa"/>
          </w:tcPr>
          <w:p w14:paraId="70888DD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131</w:t>
            </w:r>
          </w:p>
        </w:tc>
        <w:tc>
          <w:tcPr>
            <w:tcW w:w="2818" w:type="dxa"/>
          </w:tcPr>
          <w:p w14:paraId="41B79AB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окаэ</w:t>
            </w:r>
          </w:p>
        </w:tc>
        <w:tc>
          <w:tcPr>
            <w:tcW w:w="2818" w:type="dxa"/>
          </w:tcPr>
          <w:p w14:paraId="3BB694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оафаэ</w:t>
            </w:r>
          </w:p>
        </w:tc>
        <w:tc>
          <w:tcPr>
            <w:tcW w:w="2818" w:type="dxa"/>
          </w:tcPr>
          <w:p w14:paraId="665B8EF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F2072B0" w14:textId="77777777" w:rsidTr="004C5D62">
        <w:tc>
          <w:tcPr>
            <w:tcW w:w="2818" w:type="dxa"/>
          </w:tcPr>
          <w:p w14:paraId="2AE8A8B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134</w:t>
            </w:r>
          </w:p>
        </w:tc>
        <w:tc>
          <w:tcPr>
            <w:tcW w:w="2818" w:type="dxa"/>
          </w:tcPr>
          <w:p w14:paraId="3A9E2EC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61766E0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766D5B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августа 1942 в ремонте в 55 САМ</w:t>
            </w:r>
          </w:p>
        </w:tc>
      </w:tr>
      <w:tr w:rsidR="007C5583" w:rsidRPr="008127F8" w14:paraId="294E6F93" w14:textId="77777777" w:rsidTr="004C5D62">
        <w:tc>
          <w:tcPr>
            <w:tcW w:w="2818" w:type="dxa"/>
          </w:tcPr>
          <w:p w14:paraId="7ADCBB2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136</w:t>
            </w:r>
          </w:p>
        </w:tc>
        <w:tc>
          <w:tcPr>
            <w:tcW w:w="2818" w:type="dxa"/>
          </w:tcPr>
          <w:p w14:paraId="0104B29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2C451D2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оафаэ</w:t>
            </w:r>
          </w:p>
        </w:tc>
        <w:tc>
          <w:tcPr>
            <w:tcW w:w="2818" w:type="dxa"/>
          </w:tcPr>
          <w:p w14:paraId="727C657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8286437" w14:textId="77777777" w:rsidTr="004C5D62">
        <w:tc>
          <w:tcPr>
            <w:tcW w:w="2818" w:type="dxa"/>
          </w:tcPr>
          <w:p w14:paraId="411B1FB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138</w:t>
            </w:r>
          </w:p>
        </w:tc>
        <w:tc>
          <w:tcPr>
            <w:tcW w:w="2818" w:type="dxa"/>
          </w:tcPr>
          <w:p w14:paraId="489C63A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окаэ</w:t>
            </w:r>
          </w:p>
        </w:tc>
        <w:tc>
          <w:tcPr>
            <w:tcW w:w="2818" w:type="dxa"/>
          </w:tcPr>
          <w:p w14:paraId="32A7018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4BF1D94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ноября 1942 поломка л Грязнов</w:t>
            </w:r>
          </w:p>
        </w:tc>
      </w:tr>
      <w:tr w:rsidR="007C5583" w:rsidRPr="008127F8" w14:paraId="795A8C6D" w14:textId="77777777" w:rsidTr="004C5D62">
        <w:tc>
          <w:tcPr>
            <w:tcW w:w="2818" w:type="dxa"/>
          </w:tcPr>
          <w:p w14:paraId="60993E0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139</w:t>
            </w:r>
          </w:p>
        </w:tc>
        <w:tc>
          <w:tcPr>
            <w:tcW w:w="2818" w:type="dxa"/>
          </w:tcPr>
          <w:p w14:paraId="71EDD7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окаэ</w:t>
            </w:r>
          </w:p>
        </w:tc>
        <w:tc>
          <w:tcPr>
            <w:tcW w:w="2818" w:type="dxa"/>
          </w:tcPr>
          <w:p w14:paraId="4C83839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6C5AFAF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мая 1942 авария л Яковлев</w:t>
            </w:r>
          </w:p>
        </w:tc>
      </w:tr>
      <w:tr w:rsidR="007C5583" w:rsidRPr="008127F8" w14:paraId="23B12311" w14:textId="77777777" w:rsidTr="004C5D62">
        <w:tc>
          <w:tcPr>
            <w:tcW w:w="2818" w:type="dxa"/>
          </w:tcPr>
          <w:p w14:paraId="21CA228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142</w:t>
            </w:r>
          </w:p>
        </w:tc>
        <w:tc>
          <w:tcPr>
            <w:tcW w:w="2818" w:type="dxa"/>
          </w:tcPr>
          <w:p w14:paraId="629AF19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окаэ</w:t>
            </w:r>
          </w:p>
        </w:tc>
        <w:tc>
          <w:tcPr>
            <w:tcW w:w="2818" w:type="dxa"/>
          </w:tcPr>
          <w:p w14:paraId="6D337E0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оафаэ</w:t>
            </w:r>
          </w:p>
        </w:tc>
        <w:tc>
          <w:tcPr>
            <w:tcW w:w="2818" w:type="dxa"/>
          </w:tcPr>
          <w:p w14:paraId="6B75DD2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2366CDD" w14:textId="77777777" w:rsidTr="004C5D62">
        <w:tc>
          <w:tcPr>
            <w:tcW w:w="2818" w:type="dxa"/>
          </w:tcPr>
          <w:p w14:paraId="5D9B023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142</w:t>
            </w:r>
          </w:p>
        </w:tc>
        <w:tc>
          <w:tcPr>
            <w:tcW w:w="2818" w:type="dxa"/>
          </w:tcPr>
          <w:p w14:paraId="1EAFE26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окаэ</w:t>
            </w:r>
          </w:p>
        </w:tc>
        <w:tc>
          <w:tcPr>
            <w:tcW w:w="2818" w:type="dxa"/>
          </w:tcPr>
          <w:p w14:paraId="5C8E342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5673C41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апреля 1943 авария л Бережнов</w:t>
            </w:r>
          </w:p>
        </w:tc>
      </w:tr>
      <w:tr w:rsidR="007C5583" w:rsidRPr="008127F8" w14:paraId="2B2B3732" w14:textId="77777777" w:rsidTr="004C5D62">
        <w:tc>
          <w:tcPr>
            <w:tcW w:w="2818" w:type="dxa"/>
            <w:tcBorders>
              <w:bottom w:val="single" w:sz="12" w:space="0" w:color="auto"/>
            </w:tcBorders>
          </w:tcPr>
          <w:p w14:paraId="6CFB313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152</w:t>
            </w:r>
          </w:p>
        </w:tc>
        <w:tc>
          <w:tcPr>
            <w:tcW w:w="2818" w:type="dxa"/>
            <w:tcBorders>
              <w:bottom w:val="single" w:sz="12" w:space="0" w:color="auto"/>
            </w:tcBorders>
          </w:tcPr>
          <w:p w14:paraId="7B9B665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зап</w:t>
            </w:r>
          </w:p>
        </w:tc>
        <w:tc>
          <w:tcPr>
            <w:tcW w:w="2818" w:type="dxa"/>
            <w:tcBorders>
              <w:bottom w:val="single" w:sz="12" w:space="0" w:color="auto"/>
            </w:tcBorders>
          </w:tcPr>
          <w:p w14:paraId="13B1F85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Borders>
              <w:bottom w:val="single" w:sz="12" w:space="0" w:color="auto"/>
            </w:tcBorders>
          </w:tcPr>
          <w:p w14:paraId="2D90E84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(4622, 33)</w:t>
            </w:r>
          </w:p>
        </w:tc>
      </w:tr>
    </w:tbl>
    <w:p w14:paraId="33F13F5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D2E306"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мая 1942 г. была назначена комиссия по обле</w:t>
      </w:r>
      <w:r w:rsidRPr="008A2E5A">
        <w:rPr>
          <w:rFonts w:ascii="Times New Roman" w:hAnsi="Times New Roman"/>
          <w:color w:val="0070C0"/>
          <w:sz w:val="16"/>
          <w:szCs w:val="16"/>
        </w:rPr>
        <w:softHyphen/>
        <w:t>ту доработанного 0-52 во главе с капи</w:t>
      </w:r>
      <w:r w:rsidRPr="008A2E5A">
        <w:rPr>
          <w:rFonts w:ascii="Times New Roman" w:hAnsi="Times New Roman"/>
          <w:color w:val="0070C0"/>
          <w:sz w:val="16"/>
          <w:szCs w:val="16"/>
        </w:rPr>
        <w:softHyphen/>
        <w:t>таном Мясоедовым. В чем заключалось бронирование и было ли оно выполнено на остальных машинах — неизвестно. Можно лишь с уверенностью сказать, что переделки не коснулись 12-й окаэ — к маю она уже была на фронте, для нее учеба закончилась 29 марта. Имея шесть 0-52 и один У-2, эскадрилья отправилась на Ленинградский фронт. Средний налет на летчика на новых машинах к этому време</w:t>
      </w:r>
      <w:r w:rsidRPr="008A2E5A">
        <w:rPr>
          <w:rFonts w:ascii="Times New Roman" w:hAnsi="Times New Roman"/>
          <w:color w:val="0070C0"/>
          <w:sz w:val="16"/>
          <w:szCs w:val="16"/>
        </w:rPr>
        <w:softHyphen/>
        <w:t>ни составлял лишь 5 ч 35 мин, что не за</w:t>
      </w:r>
      <w:r w:rsidRPr="008A2E5A">
        <w:rPr>
          <w:rFonts w:ascii="Times New Roman" w:hAnsi="Times New Roman"/>
          <w:color w:val="0070C0"/>
          <w:sz w:val="16"/>
          <w:szCs w:val="16"/>
        </w:rPr>
        <w:softHyphen/>
        <w:t>медлило сказаться в дальнейшем.</w:t>
      </w:r>
    </w:p>
    <w:p w14:paraId="035C3347"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Данные самолета Кертис 0-52 «Оул» (по результатам испытаний в 6-й заб)</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4186"/>
        <w:gridCol w:w="4166"/>
      </w:tblGrid>
      <w:tr w:rsidR="00426AB5" w:rsidRPr="008A2E5A" w14:paraId="622D8C8F" w14:textId="77777777" w:rsidTr="004C5D62">
        <w:trPr>
          <w:trHeight w:val="312"/>
        </w:trPr>
        <w:tc>
          <w:tcPr>
            <w:tcW w:w="4186" w:type="dxa"/>
            <w:tcBorders>
              <w:top w:val="single" w:sz="4" w:space="0" w:color="auto"/>
              <w:left w:val="single" w:sz="4" w:space="0" w:color="auto"/>
            </w:tcBorders>
            <w:shd w:val="clear" w:color="auto" w:fill="auto"/>
            <w:vAlign w:val="bottom"/>
          </w:tcPr>
          <w:p w14:paraId="0327D2F5" w14:textId="77777777" w:rsidR="00426AB5" w:rsidRPr="008A2E5A" w:rsidRDefault="00426AB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м</w:t>
            </w:r>
          </w:p>
        </w:tc>
        <w:tc>
          <w:tcPr>
            <w:tcW w:w="4166" w:type="dxa"/>
            <w:tcBorders>
              <w:top w:val="single" w:sz="4" w:space="0" w:color="auto"/>
              <w:left w:val="single" w:sz="4" w:space="0" w:color="auto"/>
              <w:right w:val="single" w:sz="4" w:space="0" w:color="auto"/>
            </w:tcBorders>
            <w:shd w:val="clear" w:color="auto" w:fill="auto"/>
            <w:vAlign w:val="bottom"/>
          </w:tcPr>
          <w:p w14:paraId="29D4C245" w14:textId="77777777" w:rsidR="00426AB5" w:rsidRPr="008A2E5A" w:rsidRDefault="00426AB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8,07</w:t>
            </w:r>
          </w:p>
        </w:tc>
      </w:tr>
      <w:tr w:rsidR="00426AB5" w:rsidRPr="008A2E5A" w14:paraId="3284EC72" w14:textId="77777777" w:rsidTr="004C5D62">
        <w:trPr>
          <w:trHeight w:val="307"/>
        </w:trPr>
        <w:tc>
          <w:tcPr>
            <w:tcW w:w="4186" w:type="dxa"/>
            <w:tcBorders>
              <w:top w:val="single" w:sz="4" w:space="0" w:color="auto"/>
              <w:left w:val="single" w:sz="4" w:space="0" w:color="auto"/>
            </w:tcBorders>
            <w:shd w:val="clear" w:color="auto" w:fill="auto"/>
            <w:vAlign w:val="bottom"/>
          </w:tcPr>
          <w:p w14:paraId="08764356" w14:textId="77777777" w:rsidR="00426AB5" w:rsidRPr="008A2E5A" w:rsidRDefault="00426AB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м</w:t>
            </w:r>
          </w:p>
        </w:tc>
        <w:tc>
          <w:tcPr>
            <w:tcW w:w="4166" w:type="dxa"/>
            <w:tcBorders>
              <w:top w:val="single" w:sz="4" w:space="0" w:color="auto"/>
              <w:left w:val="single" w:sz="4" w:space="0" w:color="auto"/>
              <w:right w:val="single" w:sz="4" w:space="0" w:color="auto"/>
            </w:tcBorders>
            <w:shd w:val="clear" w:color="auto" w:fill="auto"/>
            <w:vAlign w:val="bottom"/>
          </w:tcPr>
          <w:p w14:paraId="3C01F79C" w14:textId="77777777" w:rsidR="00426AB5" w:rsidRPr="008A2E5A" w:rsidRDefault="00426AB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12,427</w:t>
            </w:r>
          </w:p>
        </w:tc>
      </w:tr>
      <w:tr w:rsidR="00426AB5" w:rsidRPr="008A2E5A" w14:paraId="227B76A0" w14:textId="77777777" w:rsidTr="004C5D62">
        <w:trPr>
          <w:trHeight w:val="302"/>
        </w:trPr>
        <w:tc>
          <w:tcPr>
            <w:tcW w:w="4186" w:type="dxa"/>
            <w:tcBorders>
              <w:top w:val="single" w:sz="4" w:space="0" w:color="auto"/>
              <w:left w:val="single" w:sz="4" w:space="0" w:color="auto"/>
            </w:tcBorders>
            <w:shd w:val="clear" w:color="auto" w:fill="auto"/>
            <w:vAlign w:val="bottom"/>
          </w:tcPr>
          <w:p w14:paraId="306FA3E9" w14:textId="77777777" w:rsidR="00426AB5" w:rsidRPr="008A2E5A" w:rsidRDefault="00426AB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м</w:t>
            </w:r>
          </w:p>
        </w:tc>
        <w:tc>
          <w:tcPr>
            <w:tcW w:w="4166" w:type="dxa"/>
            <w:tcBorders>
              <w:top w:val="single" w:sz="4" w:space="0" w:color="auto"/>
              <w:left w:val="single" w:sz="4" w:space="0" w:color="auto"/>
              <w:right w:val="single" w:sz="4" w:space="0" w:color="auto"/>
            </w:tcBorders>
            <w:shd w:val="clear" w:color="auto" w:fill="auto"/>
            <w:vAlign w:val="bottom"/>
          </w:tcPr>
          <w:p w14:paraId="45EFFAF6" w14:textId="77777777" w:rsidR="00426AB5" w:rsidRPr="008A2E5A" w:rsidRDefault="00426AB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4,205*</w:t>
            </w:r>
          </w:p>
        </w:tc>
      </w:tr>
      <w:tr w:rsidR="00426AB5" w:rsidRPr="008A2E5A" w14:paraId="66899F6C" w14:textId="77777777" w:rsidTr="004C5D62">
        <w:trPr>
          <w:trHeight w:val="557"/>
        </w:trPr>
        <w:tc>
          <w:tcPr>
            <w:tcW w:w="4186" w:type="dxa"/>
            <w:tcBorders>
              <w:top w:val="single" w:sz="4" w:space="0" w:color="auto"/>
              <w:left w:val="single" w:sz="4" w:space="0" w:color="auto"/>
            </w:tcBorders>
            <w:shd w:val="clear" w:color="auto" w:fill="auto"/>
            <w:vAlign w:val="bottom"/>
          </w:tcPr>
          <w:p w14:paraId="7582A7FF" w14:textId="77777777" w:rsidR="00426AB5" w:rsidRPr="008A2E5A" w:rsidRDefault="00426AB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кг пустого</w:t>
            </w:r>
          </w:p>
        </w:tc>
        <w:tc>
          <w:tcPr>
            <w:tcW w:w="4166" w:type="dxa"/>
            <w:tcBorders>
              <w:top w:val="single" w:sz="4" w:space="0" w:color="auto"/>
              <w:left w:val="single" w:sz="4" w:space="0" w:color="auto"/>
              <w:right w:val="single" w:sz="4" w:space="0" w:color="auto"/>
            </w:tcBorders>
            <w:shd w:val="clear" w:color="auto" w:fill="auto"/>
            <w:vAlign w:val="bottom"/>
          </w:tcPr>
          <w:p w14:paraId="3073D39B" w14:textId="77777777" w:rsidR="00426AB5" w:rsidRPr="008A2E5A" w:rsidRDefault="00426AB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1895</w:t>
            </w:r>
          </w:p>
        </w:tc>
      </w:tr>
      <w:tr w:rsidR="00426AB5" w:rsidRPr="008A2E5A" w14:paraId="3519A852" w14:textId="77777777" w:rsidTr="004C5D62">
        <w:trPr>
          <w:trHeight w:val="240"/>
        </w:trPr>
        <w:tc>
          <w:tcPr>
            <w:tcW w:w="4186" w:type="dxa"/>
            <w:tcBorders>
              <w:left w:val="single" w:sz="4" w:space="0" w:color="auto"/>
            </w:tcBorders>
            <w:shd w:val="clear" w:color="auto" w:fill="auto"/>
          </w:tcPr>
          <w:p w14:paraId="48B5E254" w14:textId="77777777" w:rsidR="00426AB5" w:rsidRPr="008A2E5A" w:rsidRDefault="00426AB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нормальный</w:t>
            </w:r>
          </w:p>
        </w:tc>
        <w:tc>
          <w:tcPr>
            <w:tcW w:w="4166" w:type="dxa"/>
            <w:tcBorders>
              <w:left w:val="single" w:sz="4" w:space="0" w:color="auto"/>
              <w:right w:val="single" w:sz="4" w:space="0" w:color="auto"/>
            </w:tcBorders>
            <w:shd w:val="clear" w:color="auto" w:fill="auto"/>
          </w:tcPr>
          <w:p w14:paraId="04B8802B" w14:textId="77777777" w:rsidR="00426AB5" w:rsidRPr="008A2E5A" w:rsidRDefault="00426AB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2410</w:t>
            </w:r>
          </w:p>
        </w:tc>
      </w:tr>
      <w:tr w:rsidR="00426AB5" w:rsidRPr="008A2E5A" w14:paraId="361575CF" w14:textId="77777777" w:rsidTr="004C5D62">
        <w:trPr>
          <w:trHeight w:val="226"/>
        </w:trPr>
        <w:tc>
          <w:tcPr>
            <w:tcW w:w="4186" w:type="dxa"/>
            <w:tcBorders>
              <w:left w:val="single" w:sz="4" w:space="0" w:color="auto"/>
            </w:tcBorders>
            <w:shd w:val="clear" w:color="auto" w:fill="auto"/>
          </w:tcPr>
          <w:p w14:paraId="345B1C32" w14:textId="77777777" w:rsidR="00426AB5" w:rsidRPr="008A2E5A" w:rsidRDefault="00426AB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максимальный</w:t>
            </w:r>
          </w:p>
        </w:tc>
        <w:tc>
          <w:tcPr>
            <w:tcW w:w="4166" w:type="dxa"/>
            <w:tcBorders>
              <w:left w:val="single" w:sz="4" w:space="0" w:color="auto"/>
              <w:right w:val="single" w:sz="4" w:space="0" w:color="auto"/>
            </w:tcBorders>
            <w:shd w:val="clear" w:color="auto" w:fill="auto"/>
          </w:tcPr>
          <w:p w14:paraId="26556BCE" w14:textId="77777777" w:rsidR="00426AB5" w:rsidRPr="008A2E5A" w:rsidRDefault="00426AB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2510</w:t>
            </w:r>
          </w:p>
        </w:tc>
      </w:tr>
      <w:tr w:rsidR="00426AB5" w:rsidRPr="008A2E5A" w14:paraId="0FF1BE68" w14:textId="77777777" w:rsidTr="004C5D62">
        <w:trPr>
          <w:trHeight w:val="528"/>
        </w:trPr>
        <w:tc>
          <w:tcPr>
            <w:tcW w:w="4186" w:type="dxa"/>
            <w:tcBorders>
              <w:top w:val="single" w:sz="4" w:space="0" w:color="auto"/>
              <w:left w:val="single" w:sz="4" w:space="0" w:color="auto"/>
            </w:tcBorders>
            <w:shd w:val="clear" w:color="auto" w:fill="auto"/>
            <w:vAlign w:val="bottom"/>
          </w:tcPr>
          <w:p w14:paraId="705553F9" w14:textId="77777777" w:rsidR="00426AB5" w:rsidRPr="008A2E5A" w:rsidRDefault="00426AB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максимальная, км/ч у земли</w:t>
            </w:r>
          </w:p>
        </w:tc>
        <w:tc>
          <w:tcPr>
            <w:tcW w:w="4166" w:type="dxa"/>
            <w:tcBorders>
              <w:top w:val="single" w:sz="4" w:space="0" w:color="auto"/>
              <w:left w:val="single" w:sz="4" w:space="0" w:color="auto"/>
              <w:right w:val="single" w:sz="4" w:space="0" w:color="auto"/>
            </w:tcBorders>
            <w:shd w:val="clear" w:color="auto" w:fill="auto"/>
            <w:vAlign w:val="bottom"/>
          </w:tcPr>
          <w:p w14:paraId="14836621" w14:textId="77777777" w:rsidR="00426AB5" w:rsidRPr="008A2E5A" w:rsidRDefault="00426AB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300</w:t>
            </w:r>
          </w:p>
        </w:tc>
      </w:tr>
      <w:tr w:rsidR="00426AB5" w:rsidRPr="008A2E5A" w14:paraId="5AB57287" w14:textId="77777777" w:rsidTr="004C5D62">
        <w:trPr>
          <w:trHeight w:val="254"/>
        </w:trPr>
        <w:tc>
          <w:tcPr>
            <w:tcW w:w="4186" w:type="dxa"/>
            <w:tcBorders>
              <w:left w:val="single" w:sz="4" w:space="0" w:color="auto"/>
            </w:tcBorders>
            <w:shd w:val="clear" w:color="auto" w:fill="auto"/>
          </w:tcPr>
          <w:p w14:paraId="48225B05" w14:textId="77777777" w:rsidR="00426AB5" w:rsidRPr="008A2E5A" w:rsidRDefault="00426AB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высоте</w:t>
            </w:r>
          </w:p>
        </w:tc>
        <w:tc>
          <w:tcPr>
            <w:tcW w:w="4166" w:type="dxa"/>
            <w:tcBorders>
              <w:left w:val="single" w:sz="4" w:space="0" w:color="auto"/>
              <w:right w:val="single" w:sz="4" w:space="0" w:color="auto"/>
            </w:tcBorders>
            <w:shd w:val="clear" w:color="auto" w:fill="auto"/>
          </w:tcPr>
          <w:p w14:paraId="690AB458" w14:textId="77777777" w:rsidR="00426AB5" w:rsidRPr="008A2E5A" w:rsidRDefault="00426AB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3542</w:t>
            </w:r>
          </w:p>
        </w:tc>
      </w:tr>
      <w:tr w:rsidR="00426AB5" w:rsidRPr="008A2E5A" w14:paraId="5EE6D56A" w14:textId="77777777" w:rsidTr="004C5D62">
        <w:trPr>
          <w:trHeight w:val="302"/>
        </w:trPr>
        <w:tc>
          <w:tcPr>
            <w:tcW w:w="4186" w:type="dxa"/>
            <w:tcBorders>
              <w:top w:val="single" w:sz="4" w:space="0" w:color="auto"/>
              <w:left w:val="single" w:sz="4" w:space="0" w:color="auto"/>
            </w:tcBorders>
            <w:shd w:val="clear" w:color="auto" w:fill="auto"/>
            <w:vAlign w:val="bottom"/>
          </w:tcPr>
          <w:p w14:paraId="7DF787B8" w14:textId="77777777" w:rsidR="00426AB5" w:rsidRPr="008A2E5A" w:rsidRDefault="00426AB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м</w:t>
            </w:r>
          </w:p>
        </w:tc>
        <w:tc>
          <w:tcPr>
            <w:tcW w:w="4166" w:type="dxa"/>
            <w:tcBorders>
              <w:top w:val="single" w:sz="4" w:space="0" w:color="auto"/>
              <w:left w:val="single" w:sz="4" w:space="0" w:color="auto"/>
              <w:right w:val="single" w:sz="4" w:space="0" w:color="auto"/>
            </w:tcBorders>
            <w:shd w:val="clear" w:color="auto" w:fill="auto"/>
            <w:vAlign w:val="bottom"/>
          </w:tcPr>
          <w:p w14:paraId="1C1EA684" w14:textId="77777777" w:rsidR="00426AB5" w:rsidRPr="008A2E5A" w:rsidRDefault="00426AB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64002</w:t>
            </w:r>
          </w:p>
        </w:tc>
      </w:tr>
      <w:tr w:rsidR="00426AB5" w:rsidRPr="008A2E5A" w14:paraId="3B693B31" w14:textId="77777777" w:rsidTr="004C5D62">
        <w:trPr>
          <w:trHeight w:val="307"/>
        </w:trPr>
        <w:tc>
          <w:tcPr>
            <w:tcW w:w="4186" w:type="dxa"/>
            <w:tcBorders>
              <w:top w:val="single" w:sz="4" w:space="0" w:color="auto"/>
              <w:left w:val="single" w:sz="4" w:space="0" w:color="auto"/>
            </w:tcBorders>
            <w:shd w:val="clear" w:color="auto" w:fill="auto"/>
            <w:vAlign w:val="bottom"/>
          </w:tcPr>
          <w:p w14:paraId="58963DF1" w14:textId="77777777" w:rsidR="00426AB5" w:rsidRPr="008A2E5A" w:rsidRDefault="00426AB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км</w:t>
            </w:r>
          </w:p>
        </w:tc>
        <w:tc>
          <w:tcPr>
            <w:tcW w:w="4166" w:type="dxa"/>
            <w:tcBorders>
              <w:top w:val="single" w:sz="4" w:space="0" w:color="auto"/>
              <w:left w:val="single" w:sz="4" w:space="0" w:color="auto"/>
              <w:right w:val="single" w:sz="4" w:space="0" w:color="auto"/>
            </w:tcBorders>
            <w:shd w:val="clear" w:color="auto" w:fill="auto"/>
            <w:vAlign w:val="bottom"/>
          </w:tcPr>
          <w:p w14:paraId="16D318C0" w14:textId="77777777" w:rsidR="00426AB5" w:rsidRPr="008A2E5A" w:rsidRDefault="00426AB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11252</w:t>
            </w:r>
          </w:p>
        </w:tc>
      </w:tr>
      <w:tr w:rsidR="00426AB5" w:rsidRPr="008A2E5A" w14:paraId="2F242CB4" w14:textId="77777777" w:rsidTr="004C5D62">
        <w:trPr>
          <w:trHeight w:val="307"/>
        </w:trPr>
        <w:tc>
          <w:tcPr>
            <w:tcW w:w="4186" w:type="dxa"/>
            <w:tcBorders>
              <w:top w:val="single" w:sz="4" w:space="0" w:color="auto"/>
              <w:left w:val="single" w:sz="4" w:space="0" w:color="auto"/>
            </w:tcBorders>
            <w:shd w:val="clear" w:color="auto" w:fill="auto"/>
            <w:vAlign w:val="bottom"/>
          </w:tcPr>
          <w:p w14:paraId="4F109E8B" w14:textId="77777777" w:rsidR="00426AB5" w:rsidRPr="008A2E5A" w:rsidRDefault="00426AB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Продолжительность полета, ч</w:t>
            </w:r>
          </w:p>
        </w:tc>
        <w:tc>
          <w:tcPr>
            <w:tcW w:w="4166" w:type="dxa"/>
            <w:tcBorders>
              <w:top w:val="single" w:sz="4" w:space="0" w:color="auto"/>
              <w:left w:val="single" w:sz="4" w:space="0" w:color="auto"/>
              <w:right w:val="single" w:sz="4" w:space="0" w:color="auto"/>
            </w:tcBorders>
            <w:shd w:val="clear" w:color="auto" w:fill="auto"/>
            <w:vAlign w:val="bottom"/>
          </w:tcPr>
          <w:p w14:paraId="4B9F08DF" w14:textId="77777777" w:rsidR="00426AB5" w:rsidRPr="008A2E5A" w:rsidRDefault="00426AB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2-3,5</w:t>
            </w:r>
          </w:p>
        </w:tc>
      </w:tr>
      <w:tr w:rsidR="00426AB5" w:rsidRPr="008A2E5A" w14:paraId="2E01CB74" w14:textId="77777777" w:rsidTr="004C5D62">
        <w:trPr>
          <w:trHeight w:val="317"/>
        </w:trPr>
        <w:tc>
          <w:tcPr>
            <w:tcW w:w="4186" w:type="dxa"/>
            <w:tcBorders>
              <w:top w:val="single" w:sz="4" w:space="0" w:color="auto"/>
              <w:left w:val="single" w:sz="4" w:space="0" w:color="auto"/>
              <w:bottom w:val="single" w:sz="4" w:space="0" w:color="auto"/>
            </w:tcBorders>
            <w:shd w:val="clear" w:color="auto" w:fill="auto"/>
            <w:vAlign w:val="bottom"/>
          </w:tcPr>
          <w:p w14:paraId="19D3B921" w14:textId="77777777" w:rsidR="00426AB5" w:rsidRPr="008A2E5A" w:rsidRDefault="00426AB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w:t>
            </w:r>
          </w:p>
        </w:tc>
        <w:tc>
          <w:tcPr>
            <w:tcW w:w="4166" w:type="dxa"/>
            <w:tcBorders>
              <w:top w:val="single" w:sz="4" w:space="0" w:color="auto"/>
              <w:left w:val="single" w:sz="4" w:space="0" w:color="auto"/>
              <w:bottom w:val="single" w:sz="4" w:space="0" w:color="auto"/>
              <w:right w:val="single" w:sz="4" w:space="0" w:color="auto"/>
            </w:tcBorders>
            <w:shd w:val="clear" w:color="auto" w:fill="auto"/>
            <w:vAlign w:val="bottom"/>
          </w:tcPr>
          <w:p w14:paraId="6A71E241" w14:textId="77777777" w:rsidR="00426AB5" w:rsidRPr="008A2E5A" w:rsidRDefault="00426AB5"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х 7,62</w:t>
            </w:r>
          </w:p>
        </w:tc>
      </w:tr>
    </w:tbl>
    <w:p w14:paraId="15E6F3F0"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1В линии полета; 2по данным фирмы (23513).</w:t>
      </w:r>
    </w:p>
    <w:p w14:paraId="58290D03" w14:textId="77777777" w:rsidR="00426AB5" w:rsidRPr="008A2E5A" w:rsidRDefault="00426AB5" w:rsidP="00426AB5">
      <w:pPr>
        <w:spacing w:after="0" w:line="240" w:lineRule="auto"/>
        <w:jc w:val="both"/>
        <w:rPr>
          <w:rFonts w:ascii="Times New Roman" w:hAnsi="Times New Roman"/>
          <w:color w:val="0070C0"/>
          <w:sz w:val="16"/>
          <w:szCs w:val="16"/>
        </w:rPr>
      </w:pPr>
    </w:p>
    <w:p w14:paraId="491900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1942 вышло Постановление ГКО № 1741 Мероприятия по ускорению сборки, приемки, перегону самолетов "Бостон-3" и по ускорению формирования полков из этих самолетов. РГАНИР, Фонд ГКО, д. 34, лл. 188, 189-190 (11012).</w:t>
      </w:r>
    </w:p>
    <w:p w14:paraId="5F45164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00A2B6"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мая 1942 г. Государственный Комитет Обороны поста</w:t>
      </w:r>
      <w:r w:rsidRPr="008A2E5A">
        <w:rPr>
          <w:rFonts w:ascii="Times New Roman" w:hAnsi="Times New Roman"/>
          <w:color w:val="0070C0"/>
          <w:sz w:val="16"/>
          <w:szCs w:val="16"/>
        </w:rPr>
        <w:softHyphen/>
        <w:t>новлением № 1742 учредил переходящие Красные Знамена победителям Всесоюзного социалистического соревнования предприятий авиационной промышленности. Одновременно Политбюро ЦК ВКП(б) вынесло специальное решение о вы</w:t>
      </w:r>
      <w:r w:rsidRPr="008A2E5A">
        <w:rPr>
          <w:rFonts w:ascii="Times New Roman" w:hAnsi="Times New Roman"/>
          <w:color w:val="0070C0"/>
          <w:sz w:val="16"/>
          <w:szCs w:val="16"/>
        </w:rPr>
        <w:softHyphen/>
        <w:t>делении средств (23346).</w:t>
      </w:r>
    </w:p>
    <w:p w14:paraId="0C6EF8E9" w14:textId="77777777" w:rsidR="00426AB5" w:rsidRPr="008A2E5A" w:rsidRDefault="00426AB5" w:rsidP="00426AB5">
      <w:pPr>
        <w:spacing w:after="0" w:line="240" w:lineRule="auto"/>
        <w:jc w:val="both"/>
        <w:rPr>
          <w:rFonts w:ascii="Times New Roman" w:hAnsi="Times New Roman"/>
          <w:color w:val="0070C0"/>
          <w:sz w:val="16"/>
          <w:szCs w:val="16"/>
        </w:rPr>
      </w:pPr>
    </w:p>
    <w:p w14:paraId="78758D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50C20ED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C00F8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1942 года вышел приказ № 262 НКБ</w:t>
      </w:r>
    </w:p>
    <w:p w14:paraId="46202AB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Включить завод ЭРУ в состав действующих предприятий НКБ, присвоить заводу № 113 (5904, 2-3).</w:t>
      </w:r>
    </w:p>
    <w:p w14:paraId="5B14BB8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6AF13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1942 г.</w:t>
      </w:r>
    </w:p>
    <w:p w14:paraId="32B506F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ПРОСЬБА М. В. БАСОВА К А. А. КУЗНЕЦОВУ РАЗРЕШИТЬ ДОСТАВКУ ТАНКОВЫХ МОТОРОВ В ЛЕНИНГРАД САМОЛЕТАМИ</w:t>
      </w:r>
    </w:p>
    <w:p w14:paraId="65D9748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13 мая 1942 г.</w:t>
      </w:r>
    </w:p>
    <w:p w14:paraId="6258DC8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производства новых танков «КВ» заводом им. Сталина привезены в Волхов из г. Челябинска дизели и другие узлы для сборки 10 танков «КВ».</w:t>
      </w:r>
    </w:p>
    <w:p w14:paraId="0610ED5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быстрейшей доставки их в Ленинград на завод им. Сталина прошу Вашего разрешения перевезти их самолетом с Плехановского аэродрома (под Волховом) в Ленинград.</w:t>
      </w:r>
    </w:p>
    <w:p w14:paraId="526D718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Один самолет «Дуглас» может перевезти за один рейс комплектно дизели и детали на два танка. Это даст возможность заводу им. Сталина уже в мае перевыполнить задание Военного совета Ленфронта по выпуску новых танков «КВ».</w:t>
      </w:r>
    </w:p>
    <w:p w14:paraId="4BA922D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Секретарь ГК ВКП(б) по оборонной промышленности Басов</w:t>
      </w:r>
    </w:p>
    <w:p w14:paraId="32AB0B1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ЦГАИПД СПб., ф. 24, оп. 2-6, д. 1258, л. 50. Подлинник (20742).</w:t>
      </w:r>
    </w:p>
    <w:p w14:paraId="66D561E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31987A7" w14:textId="77777777" w:rsidR="007C5583" w:rsidRPr="008127F8" w:rsidRDefault="007C5583" w:rsidP="007C5583">
      <w:pPr>
        <w:spacing w:after="0" w:line="240" w:lineRule="auto"/>
        <w:jc w:val="both"/>
        <w:rPr>
          <w:rFonts w:ascii="Times New Roman" w:hAnsi="Times New Roman"/>
          <w:color w:val="000000" w:themeColor="text1"/>
          <w:sz w:val="16"/>
          <w:szCs w:val="16"/>
          <w:shd w:val="clear" w:color="auto" w:fill="FFFFFF"/>
        </w:rPr>
      </w:pPr>
      <w:r w:rsidRPr="008127F8">
        <w:rPr>
          <w:rFonts w:ascii="Times New Roman" w:hAnsi="Times New Roman"/>
          <w:color w:val="000000" w:themeColor="text1"/>
          <w:sz w:val="16"/>
          <w:szCs w:val="16"/>
          <w:shd w:val="clear" w:color="auto" w:fill="FFFFFF"/>
        </w:rPr>
        <w:t>13 мая 1942 года первые серийные БА-64 были отправлены с завода в войска. Про ГАЗ-64, впрочем, на время пришлось забыть. Первая машина 1942 года выпуска была выпущена только в июле. В августе выпустили 2 машины, а всего до конца года удалось изготовить 67 автомобилей. Еще 3 машины выпустили в 1943 году, на этом производство ГАЗ-64 окончательно прекратилось. Выпущенные за 1942-43 годы машины применялись уже в качестве артиллерийских тягачей, впрочем, часть из них использовались как командирские.</w:t>
      </w:r>
    </w:p>
    <w:p w14:paraId="2575D601"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Вместе с тем, один из последних образцов ГАЗ-64 принял участие в испытаниях необычной системы. Речь идет о 37-мм авиадесантной пушки ЧК, разработанной в ОКБЛ-46 под руководством Е.В. Чарнко и И.А. Комарицкого. Орудие было легким, с небольшой отдачей, первоначально предполагалось его перевозить на мотоцикле с коляской. Но после того, как появились сначала ГАЗ-64, а потом и аналогичные американские машины, возникла идея поставить орудие туда. Причем не очень понятно, ГАЗ-64 ли это, или же исходный ГАЗ-67, ибо машину в документах называют именно так (20125).</w:t>
      </w:r>
    </w:p>
    <w:p w14:paraId="349FB10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D56B952" w14:textId="77777777" w:rsidR="007C5583" w:rsidRPr="008127F8" w:rsidRDefault="007C5583" w:rsidP="007C5583">
      <w:pPr>
        <w:spacing w:after="0" w:line="240" w:lineRule="auto"/>
        <w:jc w:val="both"/>
        <w:rPr>
          <w:rFonts w:ascii="Times New Roman" w:hAnsi="Times New Roman"/>
          <w:color w:val="000000" w:themeColor="text1"/>
          <w:sz w:val="16"/>
          <w:szCs w:val="16"/>
          <w:shd w:val="clear" w:color="auto" w:fill="FFFFFF"/>
        </w:rPr>
      </w:pPr>
      <w:r w:rsidRPr="008127F8">
        <w:rPr>
          <w:rFonts w:ascii="Times New Roman" w:hAnsi="Times New Roman"/>
          <w:color w:val="000000" w:themeColor="text1"/>
          <w:sz w:val="16"/>
          <w:szCs w:val="16"/>
          <w:shd w:val="clear" w:color="auto" w:fill="FFFFFF"/>
        </w:rPr>
        <w:t>13 мая 1942 года первые серийные БА-64 были отправлены с завода в войска. Про ГАЗ-64, впрочем, на время пришлось забыть. Первая машина 1942 года выпуска была выпущена только в июле. В августе выпустили 2 машины, а всего до конца года удалось изготовить 67 автомобилей. Еще 3 машины выпустили в 1943 году, на этом производство ГАЗ-64 окончательно прекратилось. Выпущенные за 1942-43 годы машины применялись уже в качестве артиллерийских тягачей, впрочем, часть из них использовались как командирские.</w:t>
      </w:r>
    </w:p>
    <w:p w14:paraId="33107AF2"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Вместе с тем, один из последних образцов ГАЗ-64 принял участие в испытаниях необычной системы. Речь идет о 37-мм авиадесантной пушки ЧК, разработанной в ОКБЛ-46 под руководством Е.В. Чарнко и И.А. Комарицкого. Орудие было легким, с небольшой отдачей, первоначально предполагалось его перевозить на мотоцикле с коляской. Но после того, как появились сначала ГАЗ-64, а потом и аналогичные американские машины, возникла идея поставить орудие туда. Причем не очень понятно, ГАЗ-64 ли это, или же исходный ГАЗ-67, ибо машину в документах называют именно так (20125).</w:t>
      </w:r>
    </w:p>
    <w:p w14:paraId="1A496F0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E34521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1942 вышло Постановление ГКО № 1740 О назначении тов. Дукельского С.С. уполномоченным ГКО по производству боеприпасов на заводах НКБ и НКМВ Челябинской области. (7034, 187).</w:t>
      </w:r>
    </w:p>
    <w:p w14:paraId="083DA58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0310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1942 вышло Постановление ГКО № 1742 Об учреждении переходящих Красных знамен Государственного Комитета Обороны. РГАНИР, Фонд ГКО, д. 34, лл. 191 (11012).</w:t>
      </w:r>
    </w:p>
    <w:p w14:paraId="5096C8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9989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1942 вышло Постановление ГКО № 1743 Условия Всесоюзного социалистического соревнования по предприятиям черной металлургии, авиационной и танковой промышленности. РГАНИР, Фонд ГКО, д. 34, лл. 192, 193-201 (11012).</w:t>
      </w:r>
    </w:p>
    <w:p w14:paraId="7441408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56260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1942 вышло Постановление ГКО № 1745 О премировании за выполнение планов по запасным частям для самолетов, танков и моторов. РГАНИР, Фонд ГКО, д. 34, лл. 203 (11012).</w:t>
      </w:r>
    </w:p>
    <w:p w14:paraId="31FCEAF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CF40E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1942 вышло Постановление ГКО № 1746 О плане распределения автомобильных запасных частей на II квартал 1942 года. РГАНИР, Фонд ГКО, д. 34, лл. 204, 205-215 (11012).</w:t>
      </w:r>
    </w:p>
    <w:p w14:paraId="7FF9AD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8A307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1942 вышло Постановление ГКО № 1747 О строительстве железнодорожной линии Любытино-Наболчи. РГАНИР, Фонд ГКО, д. 34, лл. 216-217, 218-219 (11012).</w:t>
      </w:r>
    </w:p>
    <w:p w14:paraId="5872A0D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91673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1942 вышло Постановление ГКО № 1747 О строительстве железнодорожной линии Любытино - Наболчи [Октябрьской ж.д.]. (7034, 216-217,218-219).</w:t>
      </w:r>
    </w:p>
    <w:p w14:paraId="2531A6A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D286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1942 вышло Постановление ГКО № 1748 О форсировании строительства новой железнодорожной линии Иркутск-Слюдянка. РГАНИР, Фонд ГКО, д. 34, лл. 220-223, 224-226 (11012).</w:t>
      </w:r>
    </w:p>
    <w:p w14:paraId="337105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EC9AB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1942 г. заместитель наркома обороны Е.А. Щаденко выделил для НКТП 14.5 тыс. военнослужащих, выписывающихся из госпиталей (РГАЭ, ф. 8752, on. 1, д. 24, л. 14.). Однако их квалификация была низкой. В свою очередь, руководство НКТП решило максимально сократить число вспомогательных рабочих, служащих и ИТР. Определенное представление о том, из каких источников пополнялись ряды рабочих предприятий НКТН, могут дать сведения по заводу № 183. Эвакуировано из Харькова было 2.5 тыс. человек. В Нижнем Тагиле к ним присоединилось 6 234 производственных и 5813 вспомогательных рабочих с Уральского вагоностроительного завода. 550 рабочих прибыли из Мариуполя и других мест. В 1942 г. были приняты на работу еще 25 064 человека. Самым массовым источником пополнения рабочей силы оказались стройтрудколонны. Это были формирования Наркомата обороны, состоявшие из военнообязанных, признанных непригодными к использованию в других частях, в том числе и по национальному признаку (Работников стройтрудколонны нельзя отождествлять, как это теперь часто делается, с узниками ГУЛАГа. Стройтрудколонны в составе промышленных наркоматов просуществовали недолго. На основании постановлений ГКО от 21 марта и 3 апреля их расформировали, их начальствующий состав и часть рядовых были отправлены в Красную армию, а оставшиеся на предприятиях бывшие военнослужащие стройтрудколонн были демобилизованы и переданы предприятиям с распространением на них действующего трудового законодательства (Там же, ф. 8752, оп. 4, д. 110, л. 1-2).). Всего завод получил 9 200 человек из пяти стройтрудколонн, работавших до этого на территории завода. Еще 7 400 человек НКО передал заводу из числа ограниченно годных к военной службе. 8 719 человек были приняты на завод в порядке свободного приема. В основном это были подростки, женщины и пенсионеры. 1 903 человека поступили на завод из системы трудовых резервов (РГАЭ, ф. 8798, оп. 4, д. 17, л. 283.). Основная масса пришедших на завод работников относилась к категории неквалифицированной рабочей силы. Поэтому было решено обучать новичков в процессе производства. Опытные рабочие брали их на обучение. Конечно, такой способ не мог дать быстрого эффекта, и проблема квалификации кадров сохранялась до конца войны. Из-за того, что многие новые работники не имели необходимой квалификации, страдало качество. Немалую работу пришлось провести, чтобы создать относительно приемлемые условия жизни для рабочих. Самой острой проблемой было обеспечение эвакуированных жильем. Некоторым, не слишком большим заводам, например заводу № 37 в Свердловске, удалось решить ее за счет местных ресурсов, но на самых крупных предприятиях сложилась более сложная ситуация. Так, в распоряжение завода № 183 перешло 208 тыс. кв. м жилья, принадлежащего ранее Уральскому вагоностроительному заводу. Таким образом, удалось расселить 6 790 человек, в основном семьи рабочих и служащих завода № 183 из Харькова. Кроме того, к 1 января 1942 г. были построены землянки (55.5 тыс. кв. м) и бараки (32.4 тыс. кв. м), что позволило расселить примерно 20 тыс. человек (РГАЭ, ф. 8798, оп. 4, д. 17, л. 283.). Положение с жильем на заводе несколько улучшилось летом, когда так называемым хозяйственным способом было возведено значительное количество жилья. Одновременно были приведены в надлежащее состояние бараки: стены оштукатурили, а двухъярусные нары заменили на кровати. Правительство выделило для завода 15 тыс. комплектов постельного белья. Всего в распоряжении НКТП на 1 января 1942 г. находилось 1 092 312 кв. м жилья, в котором проживали 272 341 человек (11786).</w:t>
      </w:r>
    </w:p>
    <w:p w14:paraId="3CF79C6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37A0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2B1888C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446F3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в 1942 году утреннее сообщение Совинформбюро:</w:t>
      </w:r>
    </w:p>
    <w:p w14:paraId="476CA7C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13 мая на фронте чего-либо существенного не произошло.</w:t>
      </w:r>
    </w:p>
    <w:p w14:paraId="2E6CE8E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Южного фронта, овладела оборонительным пунктом противника. В бою уничтожено более 150 гитлеровцев. Взята в плен значительная группа немецких солдат. Наши бойцы захватили у противника 3 орудия, 2 крупнокалиберных пулемёта, 32 автомата, 13 пулемётов, 150 винтовок, радиостанцию и боеприпасы.</w:t>
      </w:r>
    </w:p>
    <w:p w14:paraId="2330234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нашей части, действующей на одном из участков Калининского фронта, за два дня боевых действий уничтожили 5 немецких орудий, 5 станковых пулемётов и 4 миномёта. Противник потерял убитыми и ранеными 700 солдат и офицеров.</w:t>
      </w:r>
    </w:p>
    <w:p w14:paraId="08C59B6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Во время налёта немецких бомбардировщиков зенитчики части командира Полосухина сбили три самолёта «Юнкерс-87». Лётчик ефрейтор Эрих Борман, выбросившийся с парашютом, взят в плен.</w:t>
      </w:r>
    </w:p>
    <w:p w14:paraId="1FE7A4F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Миномётчики батареи старшего лейтенанта Шеретнева за последние дни боёв уничтожили 12 немецких пулемётных точек, 2 миномётные батареи, 4 автомашины с боеприпасами, разрушили 30 ДЗОТов и подожгли 5 складов с боеприпасами.</w:t>
      </w:r>
    </w:p>
    <w:p w14:paraId="14B197A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Красноармеец-автоматчик Грузев Алексей Павлович был дважды ранен, нопродолжал героически сражаться с врагом. Он пробрался к немецкому блиндажу, огнём из автомата и гранатами уничтожил 20 гитлеровцев и захватил ручной пулемёт.</w:t>
      </w:r>
    </w:p>
    <w:p w14:paraId="7C14241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Л., действующий в тылу у немцев, в районах Ленинградской и Калининской областей, за два месяца уничтожил более 900 немецких солдат и офицеров. Партизаны пустили под откос железнодорожный эшелон, две автодрезины, взорвали несколько мостов и захватили 2 продовольственные базы немецко-фашистских оккупантов.</w:t>
      </w:r>
    </w:p>
    <w:p w14:paraId="2BBA075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3 батальона 217 полка 57 немецкой пехотной дивизии Иоганн Майер рассказал: «...Настроение населения в Германии очень подавленное. Многие считают войну, затеянную Гитлером, безумием. До марта этого года я работал на мотоциклетном заводе в Мюнхене. В течение всего дня рабочие ни о чём не говорят между собой. Каждый боится тайных агентов гестапо. На паровозо-вагоностроительном заводе, на котором работает несколько тысяч рабочих, произошла забастовка. Администрация вызвала полицию, которая дубинками загнала рабочих в цехи и заставила их приступить к работе. Многих затем арестовали».</w:t>
      </w:r>
    </w:p>
    <w:p w14:paraId="1AB92F7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унтер-офицера полицейской дивизии СС Иозефа Маршмана найдено неотправленное письмо унтер-офицеру Вилли Грун. В письме говорится: «Эту зиму я настрадался в достаточной степени, но надеюсь, что дотяну. Ведь меня причисляют к последней пятёрке, оставшейся от старой роты. Много хлопот и мук доставляют вши.</w:t>
      </w:r>
    </w:p>
    <w:p w14:paraId="4D5E8FF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 их ненавижу не меньше, чем осколки. Питаю легковерную надежду, что нас сменят, хотя надежды делают многих дураками...»</w:t>
      </w:r>
    </w:p>
    <w:p w14:paraId="3FC4F4B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Немецко-фашистские мерзавцы истребляют население оккупированных ими советских районов. Гитлеровцы арестовали 150 рабочих шахты имени Карла Маркса, Сталинской области, и расстреляли их из пулеметов.</w:t>
      </w:r>
    </w:p>
    <w:p w14:paraId="01ED7E2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Попытки гитлеровцев завербовать в Парижском округе рабочих для германской промышленности потерпели крах. Ни щедрые обещания, ни угрозы не помогли. В настоящее время немецкие оккупанты прибегают к новым репрессиям, чтобы сломить сопротивление французов. В начале мая у многих парижан, отказавшихся ехать в Германию, были отобраны продовольственные карточки. Тысячи французов, таким образом, лишены даже того скудного пайка, который они до сих пор получали, и обречены на голодную смерть.» (14890).</w:t>
      </w:r>
    </w:p>
    <w:p w14:paraId="0F0D7E4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3B32B8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в 1942 году вечернее сообщение Совинформбюро:</w:t>
      </w:r>
    </w:p>
    <w:p w14:paraId="5B9A164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«B течение 13 мая на Керченском полуострове наши войска, ввиду превосходства сил противника, отошли на новые позиции. Сообщение немецкого командования о том, что бои на Керченском полуострове закончились в пользу немцев и что немецкие войска захватили большое количество пленных, танков и орудий, является лживым. Наши войска отходят в порядке и наносят наступающим немецко-фашистским войскам огромные потери.</w:t>
      </w:r>
    </w:p>
    <w:p w14:paraId="4154ECF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Харьковском направлении наши войска перешли в наступление и успешно продвигаются вперёд.</w:t>
      </w:r>
    </w:p>
    <w:p w14:paraId="7213BDC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ничего существенного не произошло.</w:t>
      </w:r>
    </w:p>
    <w:p w14:paraId="7A63A93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12 мая уничтожено 43 немецких самолёта. Наши потери — 17 самолётов.</w:t>
      </w:r>
    </w:p>
    <w:p w14:paraId="5C60B3C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Советский корабль в Баренцевом море потопил транспорт противника водоизмещением в 12 тысяч тонн.</w:t>
      </w:r>
    </w:p>
    <w:p w14:paraId="04DD7D5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12 мая частями нашей авиации уничтожено 32 немецких танка, 220 автомашин с войсками и грузами, 105 подвод с боеприпасами, 48 полевых и зенитных орудий, 10 миномётов, 8 зенитно-пулемётных точек, разбит железнодорожный состав и 6 платформ с автомашинами, рассеяно и частью уничтожено до полка пехоты противника.</w:t>
      </w:r>
    </w:p>
    <w:p w14:paraId="401E0DE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Ленинградского фронта наши части в течение дня заняли 20 вражеских блиндажей и захватили 2 немецких танка, 7 бронемашин, 4 пушки, гаубицу и отдельно одну артиллерийскую батарею, 5 автомашин, авто-кухню и разное военное имущество. На поле боя осталось свыше 400 трупов вражеских солдат и офицеров.</w:t>
      </w:r>
    </w:p>
    <w:p w14:paraId="5C074F1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упорного боя наши бойцы под командованием т.т. Шевчука и Перепелюкова (Северо-Западный фронт) овладели двумя опорными пунктами и нанесли противнику большой урон в технике и живой силе. На другом участке фронта взорвано много пулемётных точек и 28 вражеских ДЗОТов.</w:t>
      </w:r>
    </w:p>
    <w:p w14:paraId="1F7159A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одном из боёв гитлеровцы неоднократно пытались окружить и уничтожить взвод, которым командует лейтенант Гвоздев. Пять раз наши бойцы ходили в штыковую атаку и отбрасывали наседавших немцев. Лейтенант Гвоздев личным примером воодушевлял бойцов. Он метко разил врага из винтовки, а в рукопашных схватках показал себя мастером штыкового боя. В этом бою тов. Гвоздев уничтожил 20 гитлеровцев.</w:t>
      </w:r>
    </w:p>
    <w:p w14:paraId="5A8A308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бойцов под командованием лейтенанта Бурдакова ружейно-пулемётным огнём сбила немецкий самолёт «Юнкерс-87».</w:t>
      </w:r>
    </w:p>
    <w:p w14:paraId="02741CA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десяти дней мая партизанские отряды Ленинградской области, по неполным данным, уничтожили 480 немецких солдат и офицеров. Партизаны уничтожили немецкий самолёт, пустили под откос 4 воинских эшелона противника с живой силой, боеприпасами и продовольствием. Партизанские отряды, объединённые подкомандованием т.т. Б. и К., произвели в ночь с 3 на 4 мая налёт на населённый пункт, занятый гитлеровцами. В десятичасовом бою немцы потеряли убитыми иранеными до 100 солдат и офицеров. Бойцы этих отрядов организовали крушение двух воинских эшелонов: одного в составе 40 вагонов с войсками противника, другого в составе 35 вагонов с боеприпасами и продовольствием.</w:t>
      </w:r>
    </w:p>
    <w:p w14:paraId="3B7C37A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10 роты 557 полка 331 немецкой пехотной дивизии Карл Лейтнер рассказал: «За последнее время 10 рота потеряла убитыми и ранеными 160 человек. Командование смотрит на раненых, как на обузу, и не заботится об их судьбе. Раненые часто по нескольку дней валяются в землянках в ожидании транспорта, поэтому число умерших от ран очень велико. Многие солдаты считают, что гитлеровский режим, основанный на терроре и насилии, долго не удержится. Разными путями на фронт проникают сведения об актах саботажа в тылу. Солдаты знают, чтов Вене на автомобильном заводе неизвестные сожгли большую партию новых автомашин, предназначавшихся для перевозки войск. Обер-фельдфебель Лянгер недавно получил от жены из Саарской области письмо, в котором она ему сообщает, что на многих шахтах иностранные рабочие портят механизмы и устраивают аварии».</w:t>
      </w:r>
    </w:p>
    <w:p w14:paraId="27705E6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Гитлеровские бандиты сожгли в селениях Голубовка и Большая Берёзка, Сумской области, 500 дворов. Палачи замучили, сожгли живьём и расстреляли 200 мирных жителей.» (14890).</w:t>
      </w:r>
    </w:p>
    <w:p w14:paraId="1CE2B0F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FABF73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1942 г. вышла директива Генерального штаба люфтваффе, согласно которой в каждой истребительной эскадре создавалось по одной противотанковой эскадрилье на Hsl29B-l/R2. Первым и последним таким подразделением в люфтваффе стала эскадрилья "охотников за танками" 51-й истребительной эскадры (8907).</w:t>
      </w:r>
    </w:p>
    <w:p w14:paraId="433863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59B9B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1942 г. в соответствии с дирек</w:t>
      </w:r>
      <w:r w:rsidRPr="008127F8">
        <w:rPr>
          <w:rFonts w:ascii="Times New Roman" w:hAnsi="Times New Roman"/>
          <w:color w:val="000000" w:themeColor="text1"/>
          <w:sz w:val="16"/>
          <w:szCs w:val="16"/>
        </w:rPr>
        <w:softHyphen/>
        <w:t>тивой Генерального штаба люфтваффе в каждой истребительной эскадре создавались по одной противо</w:t>
      </w:r>
      <w:r w:rsidRPr="008127F8">
        <w:rPr>
          <w:rFonts w:ascii="Times New Roman" w:hAnsi="Times New Roman"/>
          <w:color w:val="000000" w:themeColor="text1"/>
          <w:sz w:val="16"/>
          <w:szCs w:val="16"/>
        </w:rPr>
        <w:softHyphen/>
        <w:t>танковой эскадрилье на Нз 129В-1/П2. Первым и последним таким подразделени</w:t>
      </w:r>
      <w:r w:rsidRPr="008127F8">
        <w:rPr>
          <w:rFonts w:ascii="Times New Roman" w:hAnsi="Times New Roman"/>
          <w:color w:val="000000" w:themeColor="text1"/>
          <w:sz w:val="16"/>
          <w:szCs w:val="16"/>
        </w:rPr>
        <w:softHyphen/>
        <w:t>ем в люфтваффе стала эскадрилья «охот</w:t>
      </w:r>
      <w:r w:rsidRPr="008127F8">
        <w:rPr>
          <w:rFonts w:ascii="Times New Roman" w:hAnsi="Times New Roman"/>
          <w:color w:val="000000" w:themeColor="text1"/>
          <w:sz w:val="16"/>
          <w:szCs w:val="16"/>
        </w:rPr>
        <w:softHyphen/>
        <w:t>ников за танками» 5с1п.С.1 в составе 51-й истребительной эскадры.</w:t>
      </w:r>
    </w:p>
    <w:p w14:paraId="3E36803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Эта эскадрилья в составе восьми Нз 129В-1/Й2 пошла в бой в августе 1942 г. на центральном участке советско-герман</w:t>
      </w:r>
      <w:r w:rsidRPr="008127F8">
        <w:rPr>
          <w:rFonts w:ascii="Times New Roman" w:hAnsi="Times New Roman"/>
          <w:color w:val="000000" w:themeColor="text1"/>
          <w:sz w:val="16"/>
          <w:szCs w:val="16"/>
        </w:rPr>
        <w:softHyphen/>
        <w:t>ского фронта в районе Ржева. В период с 11 августа по 16 сентября она выполнила 73 боевых вылетов, в которых по докладам пилотов было уничтожено 29 советских танков.</w:t>
      </w:r>
    </w:p>
    <w:p w14:paraId="4BE0A20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по всей видимости, реальные ре</w:t>
      </w:r>
      <w:r w:rsidRPr="008127F8">
        <w:rPr>
          <w:rFonts w:ascii="Times New Roman" w:hAnsi="Times New Roman"/>
          <w:color w:val="000000" w:themeColor="text1"/>
          <w:sz w:val="16"/>
          <w:szCs w:val="16"/>
        </w:rPr>
        <w:softHyphen/>
        <w:t>зультаты боевого применения Нз129В-1 /Я2 из и&lt;351 были все же далеки от заявленных пилотами побед и явно не устраивали не</w:t>
      </w:r>
      <w:r w:rsidRPr="008127F8">
        <w:rPr>
          <w:rFonts w:ascii="Times New Roman" w:hAnsi="Times New Roman"/>
          <w:color w:val="000000" w:themeColor="text1"/>
          <w:sz w:val="16"/>
          <w:szCs w:val="16"/>
        </w:rPr>
        <w:softHyphen/>
        <w:t>мецкое командование, потому как уже в конце сентября пилоты «хеншелей» были выведены из боя и под руководством спе</w:t>
      </w:r>
      <w:r w:rsidRPr="008127F8">
        <w:rPr>
          <w:rFonts w:ascii="Times New Roman" w:hAnsi="Times New Roman"/>
          <w:color w:val="000000" w:themeColor="text1"/>
          <w:sz w:val="16"/>
          <w:szCs w:val="16"/>
        </w:rPr>
        <w:softHyphen/>
        <w:t>циалистов инспекций генерального штаба люфтваффе приступили к усиленным тре</w:t>
      </w:r>
      <w:r w:rsidRPr="008127F8">
        <w:rPr>
          <w:rFonts w:ascii="Times New Roman" w:hAnsi="Times New Roman"/>
          <w:color w:val="000000" w:themeColor="text1"/>
          <w:sz w:val="16"/>
          <w:szCs w:val="16"/>
        </w:rPr>
        <w:softHyphen/>
        <w:t>нировкам на полигоне стрельбой по маке</w:t>
      </w:r>
      <w:r w:rsidRPr="008127F8">
        <w:rPr>
          <w:rFonts w:ascii="Times New Roman" w:hAnsi="Times New Roman"/>
          <w:color w:val="000000" w:themeColor="text1"/>
          <w:sz w:val="16"/>
          <w:szCs w:val="16"/>
        </w:rPr>
        <w:softHyphen/>
        <w:t>там советских танков. Лишь после того, как точность стрельбы достигла приемлемого уровня, эскадрилья в конце ноября 1942 г. вновь вернулась к боевым действиям.</w:t>
      </w:r>
    </w:p>
    <w:p w14:paraId="03B5CD2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Тем временем в связи с успешным контрнаступлением Красной Армии под Сталинградом для немецких войск созда</w:t>
      </w:r>
      <w:r w:rsidRPr="008127F8">
        <w:rPr>
          <w:rFonts w:ascii="Times New Roman" w:hAnsi="Times New Roman"/>
          <w:color w:val="000000" w:themeColor="text1"/>
          <w:sz w:val="16"/>
          <w:szCs w:val="16"/>
        </w:rPr>
        <w:softHyphen/>
        <w:t>лось угрожающее положение и эскадрилья ЗсИ.С.1 в конце ноября 1942 г. была спеш</w:t>
      </w:r>
      <w:r w:rsidRPr="008127F8">
        <w:rPr>
          <w:rFonts w:ascii="Times New Roman" w:hAnsi="Times New Roman"/>
          <w:color w:val="000000" w:themeColor="text1"/>
          <w:sz w:val="16"/>
          <w:szCs w:val="16"/>
        </w:rPr>
        <w:softHyphen/>
        <w:t>но переброшена на средний Дон.</w:t>
      </w:r>
    </w:p>
    <w:p w14:paraId="708C116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этому времени в ее составе в общей сложности имелось два десятка Нз 129В-1/В2 и по десятку ВТ 109Е-4/В и Нз 123 (12728).</w:t>
      </w:r>
    </w:p>
    <w:p w14:paraId="4883A9A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E0F54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1942 КА начала эвакуацию с Керченского полуострова (2261).</w:t>
      </w:r>
    </w:p>
    <w:p w14:paraId="2D367D4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7181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1942 г. вышло ПОСТАНОВЛЕНИЕ ГОСУДАРСТВЕННОГО КОМИТЕТА ОБОРОНЫ № ГОКО-1744сс от О ПОВЫШЕНИИ ОКЛАДОВ СОДЕРЖАНИЯ И ПРИСВОЕНИИ ЗВАНИЙ СНАЙПЕРАМ НА ФРОНТЕ</w:t>
      </w:r>
    </w:p>
    <w:p w14:paraId="03799B9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развития снайперского дела и поощрения боевой работы стрелков-снайперов Государственный Комитет Обороны Постановляет:</w:t>
      </w:r>
    </w:p>
    <w:p w14:paraId="6B52FA6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Комплектование должностей снайперов на фронте производить красноармейцами — отличными стрелками, вполне овладевшими своим оружием, с одновременным присвоением звания “ефрейтор”.</w:t>
      </w:r>
    </w:p>
    <w:p w14:paraId="695CEF4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Установить с 1 мая 1942 года снайперу-ефрейтору на фронте оклад содержания 25 руб. в месяц.</w:t>
      </w:r>
    </w:p>
    <w:p w14:paraId="2D54309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 отличие в боях снайперам-ефрейторам, независимо от продвижения по должности, присваивать звания младшего сержанта и сержанта и выплачивать оклады содержания:</w:t>
      </w:r>
    </w:p>
    <w:p w14:paraId="11D7DF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Председатель Государственного Комитета Обороны И. СТАЛИН </w:t>
      </w:r>
      <w:r w:rsidRPr="008127F8">
        <w:rPr>
          <w:rFonts w:ascii="Times New Roman" w:hAnsi="Times New Roman"/>
          <w:color w:val="000000" w:themeColor="text1"/>
          <w:sz w:val="16"/>
          <w:szCs w:val="16"/>
        </w:rPr>
        <w:t>(9844).</w:t>
      </w:r>
    </w:p>
    <w:p w14:paraId="21B46C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C147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13 мая 1942 вышло Постановление ГКО № 1744 О повышении окладов содержания и присвоении званий снайперам на фронте. РГАНИР, Фонд ГКО, д. 34, лл. 202 (11012).</w:t>
      </w:r>
    </w:p>
    <w:p w14:paraId="0EF33F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C5B7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500B45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87AD9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13 мая в 1942 году начался перелет вертолета </w:t>
      </w:r>
      <w:hyperlink r:id="rId19" w:tgtFrame="_blank" w:history="1">
        <w:r w:rsidRPr="008127F8">
          <w:rPr>
            <w:rFonts w:ascii="Times New Roman" w:hAnsi="Times New Roman"/>
            <w:color w:val="000000" w:themeColor="text1"/>
            <w:sz w:val="16"/>
            <w:szCs w:val="16"/>
          </w:rPr>
          <w:t xml:space="preserve">«XR-4» </w:t>
        </w:r>
      </w:hyperlink>
      <w:r w:rsidRPr="008127F8">
        <w:rPr>
          <w:rFonts w:ascii="Times New Roman" w:hAnsi="Times New Roman"/>
          <w:color w:val="000000" w:themeColor="text1"/>
          <w:sz w:val="16"/>
          <w:szCs w:val="16"/>
        </w:rPr>
        <w:t>из Бриджпорта в Дейтон в испытательный центр Райт Филд. Маршрут из Бриджпорта в Дейтон выбрали по дуге, вдоль наземных транспортных коммуникаций. Его протяженность составляла 1225 км, который разбили на 16 этапов. Одновременно из ворот завода выехал сопровождающий автомобиль с группой специалистов, возглавляемой Б.Лабенским (14890).</w:t>
      </w:r>
    </w:p>
    <w:p w14:paraId="7F1BF8D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F26084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13 мая в 1942 году поставлен единственный </w:t>
      </w:r>
      <w:hyperlink r:id="rId20" w:tgtFrame="_blank" w:history="1">
        <w:r w:rsidRPr="008127F8">
          <w:rPr>
            <w:rFonts w:ascii="Times New Roman" w:hAnsi="Times New Roman"/>
            <w:color w:val="000000" w:themeColor="text1"/>
            <w:sz w:val="16"/>
            <w:szCs w:val="16"/>
          </w:rPr>
          <w:t xml:space="preserve">«Consolidated» «XB-24F» «Liberator», </w:t>
        </w:r>
      </w:hyperlink>
      <w:r w:rsidRPr="008127F8">
        <w:rPr>
          <w:rFonts w:ascii="Times New Roman" w:hAnsi="Times New Roman"/>
          <w:color w:val="000000" w:themeColor="text1"/>
          <w:sz w:val="16"/>
          <w:szCs w:val="16"/>
        </w:rPr>
        <w:t>который был оснащен экспериментальной тепловой противообледенительной системой, испытывавшейся NACA на базе ВВС «Moffett Field» штат Калифорния. Единственным «XB-24F» был «B-24D-CO» (№ 41-11678). Он не передавался в серийное производство (14890).</w:t>
      </w:r>
    </w:p>
    <w:p w14:paraId="211954C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3D72CC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13 мая в 1942 году пилот Вид Сэйк, не справившись с управлением при посадке, почти полностью разбил югославский УТ самолёт </w:t>
      </w:r>
      <w:hyperlink r:id="rId21" w:tgtFrame="_blank" w:history="1">
        <w:r w:rsidRPr="008127F8">
          <w:rPr>
            <w:rFonts w:ascii="Times New Roman" w:hAnsi="Times New Roman"/>
            <w:color w:val="000000" w:themeColor="text1"/>
            <w:sz w:val="16"/>
            <w:szCs w:val="16"/>
          </w:rPr>
          <w:t xml:space="preserve">«ММ-2». </w:t>
        </w:r>
      </w:hyperlink>
      <w:r w:rsidRPr="008127F8">
        <w:rPr>
          <w:rFonts w:ascii="Times New Roman" w:hAnsi="Times New Roman"/>
          <w:color w:val="000000" w:themeColor="text1"/>
          <w:sz w:val="16"/>
          <w:szCs w:val="16"/>
        </w:rPr>
        <w:t>Повреждения составили 90% и «ММ-2» решили не восстанавливать. Документация по нему, большей частью все же сохранилась, однако после завершения войны тему строительства «ММ-2» более не поднимали (14890).</w:t>
      </w:r>
    </w:p>
    <w:p w14:paraId="50DE25F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CE8D812" w14:textId="77777777" w:rsidR="00426AB5" w:rsidRPr="008A2E5A" w:rsidRDefault="00426AB5" w:rsidP="00426AB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мая 1942 г. на совещании у рейхсмаршала Геринга было принято окончательное ре</w:t>
      </w:r>
      <w:r w:rsidRPr="008A2E5A">
        <w:rPr>
          <w:rFonts w:ascii="Times New Roman" w:hAnsi="Times New Roman"/>
          <w:color w:val="0070C0"/>
          <w:sz w:val="16"/>
          <w:szCs w:val="16"/>
        </w:rPr>
        <w:softHyphen/>
        <w:t>шение о вооружении самолетов Hs 129В 30 мм пушками МК 101. Но в то время отряды группы ll/Sch.G 1 либо уже были на фрон</w:t>
      </w:r>
      <w:r w:rsidRPr="008A2E5A">
        <w:rPr>
          <w:rFonts w:ascii="Times New Roman" w:hAnsi="Times New Roman"/>
          <w:color w:val="0070C0"/>
          <w:sz w:val="16"/>
          <w:szCs w:val="16"/>
        </w:rPr>
        <w:softHyphen/>
        <w:t>те, либо готовились к отправке. В итоге, в «стартовый» состав группы попало всего три самолета с 30-мм пушками. Тем не менее их появление на фронте было за</w:t>
      </w:r>
      <w:r w:rsidRPr="008A2E5A">
        <w:rPr>
          <w:rFonts w:ascii="Times New Roman" w:hAnsi="Times New Roman"/>
          <w:color w:val="0070C0"/>
          <w:sz w:val="16"/>
          <w:szCs w:val="16"/>
        </w:rPr>
        <w:softHyphen/>
        <w:t>мечено. Уже 26 мая одна шведская газета писала: «Как нам удалось узнать, немцы применили над Керчью и Харьковом но</w:t>
      </w:r>
      <w:r w:rsidRPr="008A2E5A">
        <w:rPr>
          <w:rFonts w:ascii="Times New Roman" w:hAnsi="Times New Roman"/>
          <w:color w:val="0070C0"/>
          <w:sz w:val="16"/>
          <w:szCs w:val="16"/>
        </w:rPr>
        <w:softHyphen/>
        <w:t>вый бронированный истребитель - «лета</w:t>
      </w:r>
      <w:r w:rsidRPr="008A2E5A">
        <w:rPr>
          <w:rFonts w:ascii="Times New Roman" w:hAnsi="Times New Roman"/>
          <w:color w:val="0070C0"/>
          <w:sz w:val="16"/>
          <w:szCs w:val="16"/>
        </w:rPr>
        <w:softHyphen/>
        <w:t>ющее противотанковое орудие». Новый самолет вооружен пушкой, стреляющей специальными высокоэффективными про</w:t>
      </w:r>
      <w:r w:rsidRPr="008A2E5A">
        <w:rPr>
          <w:rFonts w:ascii="Times New Roman" w:hAnsi="Times New Roman"/>
          <w:color w:val="0070C0"/>
          <w:sz w:val="16"/>
          <w:szCs w:val="16"/>
        </w:rPr>
        <w:softHyphen/>
        <w:t>тивотанковыми снарядами, способными пробить броню советских супертанков» (24189).</w:t>
      </w:r>
    </w:p>
    <w:p w14:paraId="0BB618E9" w14:textId="77777777" w:rsidR="00426AB5" w:rsidRPr="008A2E5A" w:rsidRDefault="00426AB5" w:rsidP="00426AB5">
      <w:pPr>
        <w:spacing w:after="0" w:line="240" w:lineRule="auto"/>
        <w:jc w:val="both"/>
        <w:rPr>
          <w:rFonts w:ascii="Times New Roman" w:hAnsi="Times New Roman"/>
          <w:color w:val="0070C0"/>
          <w:sz w:val="16"/>
          <w:szCs w:val="16"/>
        </w:rPr>
      </w:pPr>
    </w:p>
    <w:p w14:paraId="756238E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в 1942 году возобновлены работы по постройке эскортного авианосца "Графа Цеппелин" предназначавшегося для сопровождения немецких рейдеров. Однако палубный истребитель-бомбардировщик «Bf 109T-2» ("трагер" - авианосный) к этому времени считался устаревшим, и летом 1942 г их в составе I/JG 5 заменили на «Fw 190A-3». «Граф Цеппелин» после войны в качестве военного трофея достался Советскому Союзу и был затоплен в 1947 году при использовании в качестве мишени (14890).</w:t>
      </w:r>
    </w:p>
    <w:p w14:paraId="542D27F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36418B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1942 после двухлетнего перерыва возобновляется строительство немецкого авианосца Graf Zeppelin (20793).</w:t>
      </w:r>
    </w:p>
    <w:p w14:paraId="1214C50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1D6646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мая 1942 антифашистами подожжена антисоветская выставка в Берлине (4962).</w:t>
      </w:r>
    </w:p>
    <w:p w14:paraId="58D656E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D098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2A67585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B5AF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мая 1942 года Яковлев писал письмо Шахурину.</w:t>
      </w:r>
    </w:p>
    <w:p w14:paraId="2A1A481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одноместные истребители, находящиеся в серийном производстве, не уступают по своим данным серийным неприятельским истребителям: Ме 109, Ме 109Ф, а в некоторых отношениях превосходят их.</w:t>
      </w:r>
    </w:p>
    <w:p w14:paraId="4D4C99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Модифицируя наши истребители без ущерба серийному выпуску, а также при установке форсированных моторов, летные и боевые качества их все время поддерживаются на уровне, обеспечивающем успешную борьбу против неприятельской авиации.</w:t>
      </w:r>
    </w:p>
    <w:p w14:paraId="0EBB32A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для полного господства в воздухе выдвигается необходимость применения, хотя бы в небольших количествах, одноместных истребителей, с летными и боевыми качествами значительно превышающими данные неприятельских современных истребителей.</w:t>
      </w:r>
    </w:p>
    <w:p w14:paraId="3E932B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Умело маневрируя и перебрасывая по фронту небольшие группы таких мощных, скоростных истребителей, можно добиться психологического в первую очередь, а затем и военного преобладания в воздухе на данном участке фронта.</w:t>
      </w:r>
    </w:p>
    <w:p w14:paraId="2EE676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Считаю целесообразным запуск в серию до 100 самолетов, одноместного истребителя И-185 под мотор М71, вооруженного двумя синхронными пушками Швак.</w:t>
      </w:r>
    </w:p>
    <w:p w14:paraId="5A674B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по своим летным данным:</w:t>
      </w:r>
    </w:p>
    <w:p w14:paraId="47C7F8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у земли при форсаже - 556 км/час</w:t>
      </w:r>
    </w:p>
    <w:p w14:paraId="5D874E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на высоте 6170 м - 630 км/час</w:t>
      </w:r>
    </w:p>
    <w:p w14:paraId="2AED94C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Скороподъемность на 5000 м - 5,2 м</w:t>
      </w:r>
    </w:p>
    <w:p w14:paraId="777071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 и по мощности огня И-185 превосходит все неприятельские истребители, включая и такие, как Хе 113 и ФВ-190.</w:t>
      </w:r>
    </w:p>
    <w:p w14:paraId="2FD150B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Ввиду этого считаю необходимым немедленно запустить войсковую серию истребителей И-185 на заводе N 31 в Тбилиси (1676,49).</w:t>
      </w:r>
    </w:p>
    <w:p w14:paraId="0C11A4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E40C39"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14 мая 1942 г. А.С. Яковлев направил письмо наркому:</w:t>
      </w:r>
    </w:p>
    <w:p w14:paraId="16B5B89B"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shd w:val="clear" w:color="auto" w:fill="FFFFFF"/>
          <w:lang w:eastAsia="ru-RU"/>
        </w:rPr>
        <w:t>«Наши одноместные истребители, находящиеся в серийном производстве, не уступают по своим данным серийным неприятельским истребителям: Me 109, Me 109Ф, а в некоторых отношениях превосходят их.</w:t>
      </w:r>
    </w:p>
    <w:p w14:paraId="5477DA3D"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shd w:val="clear" w:color="auto" w:fill="FFFFFF"/>
          <w:lang w:eastAsia="ru-RU"/>
        </w:rPr>
        <w:t>Модифицируя наши истребители без ущерба серийному выпуску, а также при установке форсированных моторов, летные и боевые качества их все время поддерживаются на уровне, обеспечивающем успешную борьбу против неприятельской авиации.</w:t>
      </w:r>
    </w:p>
    <w:p w14:paraId="14FC3E63"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shd w:val="clear" w:color="auto" w:fill="FFFFFF"/>
          <w:lang w:eastAsia="ru-RU"/>
        </w:rPr>
        <w:t>Однако, для полного господства в воздухе выдвигается необходимость применения, хотя бы в небольших количествах, одноместных истребителей, с летными и боевыми качествами значительно превышающими данные неприятельских современных истребителей.</w:t>
      </w:r>
    </w:p>
    <w:p w14:paraId="2BF228D8"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shd w:val="clear" w:color="auto" w:fill="FFFFFF"/>
          <w:lang w:eastAsia="ru-RU"/>
        </w:rPr>
        <w:t>Умело маневрируя и перебрасывая по фронту небольшие группы таких мощных, скоростных истребителей, можно добиться психологического в первую очередь, а затем и военного преобладания в воздухе на данном участке фронта.</w:t>
      </w:r>
    </w:p>
    <w:p w14:paraId="0415A7E3"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shd w:val="clear" w:color="auto" w:fill="FFFFFF"/>
          <w:lang w:eastAsia="ru-RU"/>
        </w:rPr>
        <w:t>Считаю целесообразным запуск в серию до 100 самолетов, одноместного истребителя И-185 под мотор М71, вооруженного двумя синхронными пушками Швак.</w:t>
      </w:r>
    </w:p>
    <w:p w14:paraId="4DD65288"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shd w:val="clear" w:color="auto" w:fill="FFFFFF"/>
          <w:lang w:eastAsia="ru-RU"/>
        </w:rPr>
        <w:t>Как по своим летным данным: Максимальная скорость у земли при форсаже - 556 км/час</w:t>
      </w:r>
    </w:p>
    <w:p w14:paraId="3229058C"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shd w:val="clear" w:color="auto" w:fill="FFFFFF"/>
          <w:lang w:eastAsia="ru-RU"/>
        </w:rPr>
        <w:t>Максимальная скорость на высоте 6170 м</w:t>
      </w:r>
      <w:r w:rsidRPr="008127F8">
        <w:rPr>
          <w:rFonts w:ascii="Times New Roman" w:eastAsia="Times New Roman" w:hAnsi="Times New Roman"/>
          <w:color w:val="000000" w:themeColor="text1"/>
          <w:sz w:val="16"/>
          <w:szCs w:val="16"/>
          <w:lang w:eastAsia="ru-RU"/>
        </w:rPr>
        <w:t xml:space="preserve"> - </w:t>
      </w:r>
      <w:r w:rsidRPr="008127F8">
        <w:rPr>
          <w:rFonts w:ascii="Times New Roman" w:eastAsia="Times New Roman" w:hAnsi="Times New Roman"/>
          <w:iCs/>
          <w:color w:val="000000" w:themeColor="text1"/>
          <w:sz w:val="16"/>
          <w:szCs w:val="16"/>
          <w:shd w:val="clear" w:color="auto" w:fill="FFFFFF"/>
          <w:lang w:eastAsia="ru-RU"/>
        </w:rPr>
        <w:t>630 км/час</w:t>
      </w:r>
    </w:p>
    <w:p w14:paraId="6AC6930A"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shd w:val="clear" w:color="auto" w:fill="FFFFFF"/>
          <w:lang w:eastAsia="ru-RU"/>
        </w:rPr>
        <w:t>Скороподъемность на 5000 м - 5,2 м так и по мощности огня И-185 превосходит все неприятельские истребители, включая и такие, как Хе-113 иФВ-190.</w:t>
      </w:r>
    </w:p>
    <w:p w14:paraId="5F03D5E6"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shd w:val="clear" w:color="auto" w:fill="FFFFFF"/>
          <w:lang w:eastAsia="ru-RU"/>
        </w:rPr>
        <w:t>Ввиду этого считаю необходимым немедленно запустить войсковую серию истребителей И-185 на заводе №31 в Тбилиси» (17736).</w:t>
      </w:r>
    </w:p>
    <w:p w14:paraId="3131CEB8"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ED42D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мая 1942 были подготовлены:</w:t>
      </w:r>
    </w:p>
    <w:p w14:paraId="0CE189D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данные модификаций серийных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746"/>
        <w:gridCol w:w="1041"/>
        <w:gridCol w:w="906"/>
        <w:gridCol w:w="873"/>
        <w:gridCol w:w="828"/>
        <w:gridCol w:w="709"/>
        <w:gridCol w:w="850"/>
        <w:gridCol w:w="1527"/>
        <w:gridCol w:w="1590"/>
      </w:tblGrid>
      <w:tr w:rsidR="007C5583" w:rsidRPr="008127F8" w14:paraId="194934D5" w14:textId="77777777" w:rsidTr="004C5D62">
        <w:tc>
          <w:tcPr>
            <w:tcW w:w="1526" w:type="dxa"/>
            <w:tcBorders>
              <w:top w:val="single" w:sz="12" w:space="0" w:color="auto"/>
            </w:tcBorders>
          </w:tcPr>
          <w:p w14:paraId="43720C3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w:t>
            </w:r>
          </w:p>
        </w:tc>
        <w:tc>
          <w:tcPr>
            <w:tcW w:w="746" w:type="dxa"/>
            <w:tcBorders>
              <w:top w:val="single" w:sz="12" w:space="0" w:color="auto"/>
            </w:tcBorders>
          </w:tcPr>
          <w:p w14:paraId="094B97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w:t>
            </w:r>
          </w:p>
        </w:tc>
        <w:tc>
          <w:tcPr>
            <w:tcW w:w="1041" w:type="dxa"/>
            <w:tcBorders>
              <w:top w:val="single" w:sz="12" w:space="0" w:color="auto"/>
            </w:tcBorders>
          </w:tcPr>
          <w:p w14:paraId="3405132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w:t>
            </w:r>
          </w:p>
        </w:tc>
        <w:tc>
          <w:tcPr>
            <w:tcW w:w="906" w:type="dxa"/>
            <w:tcBorders>
              <w:top w:val="single" w:sz="12" w:space="0" w:color="auto"/>
            </w:tcBorders>
          </w:tcPr>
          <w:p w14:paraId="41BC3E7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Посадоч.</w:t>
            </w:r>
          </w:p>
        </w:tc>
        <w:tc>
          <w:tcPr>
            <w:tcW w:w="873" w:type="dxa"/>
            <w:tcBorders>
              <w:top w:val="single" w:sz="12" w:space="0" w:color="auto"/>
            </w:tcBorders>
          </w:tcPr>
          <w:p w14:paraId="6DB64F9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w:t>
            </w:r>
          </w:p>
        </w:tc>
        <w:tc>
          <w:tcPr>
            <w:tcW w:w="828" w:type="dxa"/>
            <w:tcBorders>
              <w:top w:val="single" w:sz="12" w:space="0" w:color="auto"/>
            </w:tcBorders>
          </w:tcPr>
          <w:p w14:paraId="06197D8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Потолок</w:t>
            </w:r>
          </w:p>
        </w:tc>
        <w:tc>
          <w:tcPr>
            <w:tcW w:w="709" w:type="dxa"/>
            <w:tcBorders>
              <w:top w:val="single" w:sz="12" w:space="0" w:color="auto"/>
            </w:tcBorders>
          </w:tcPr>
          <w:p w14:paraId="1AF153C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w:t>
            </w:r>
          </w:p>
        </w:tc>
        <w:tc>
          <w:tcPr>
            <w:tcW w:w="850" w:type="dxa"/>
            <w:tcBorders>
              <w:top w:val="single" w:sz="12" w:space="0" w:color="auto"/>
            </w:tcBorders>
          </w:tcPr>
          <w:p w14:paraId="3727A17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Полетн.</w:t>
            </w:r>
          </w:p>
        </w:tc>
        <w:tc>
          <w:tcPr>
            <w:tcW w:w="1527" w:type="dxa"/>
            <w:tcBorders>
              <w:top w:val="single" w:sz="12" w:space="0" w:color="auto"/>
            </w:tcBorders>
          </w:tcPr>
          <w:p w14:paraId="0669C6C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w:t>
            </w:r>
          </w:p>
        </w:tc>
        <w:tc>
          <w:tcPr>
            <w:tcW w:w="1590" w:type="dxa"/>
            <w:tcBorders>
              <w:top w:val="single" w:sz="12" w:space="0" w:color="auto"/>
            </w:tcBorders>
          </w:tcPr>
          <w:p w14:paraId="22FB2F1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Источник данных</w:t>
            </w:r>
          </w:p>
        </w:tc>
      </w:tr>
      <w:tr w:rsidR="007C5583" w:rsidRPr="008127F8" w14:paraId="1FC68E5F" w14:textId="77777777" w:rsidTr="004C5D62">
        <w:tc>
          <w:tcPr>
            <w:tcW w:w="1526" w:type="dxa"/>
          </w:tcPr>
          <w:p w14:paraId="287C95D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E8C1C8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земли</w:t>
            </w:r>
          </w:p>
        </w:tc>
        <w:tc>
          <w:tcPr>
            <w:tcW w:w="1041" w:type="dxa"/>
          </w:tcPr>
          <w:p w14:paraId="702EA02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w:t>
            </w:r>
          </w:p>
        </w:tc>
        <w:tc>
          <w:tcPr>
            <w:tcW w:w="906" w:type="dxa"/>
          </w:tcPr>
          <w:p w14:paraId="47C3252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w:t>
            </w:r>
          </w:p>
        </w:tc>
        <w:tc>
          <w:tcPr>
            <w:tcW w:w="873" w:type="dxa"/>
          </w:tcPr>
          <w:p w14:paraId="247618E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подъема</w:t>
            </w:r>
          </w:p>
        </w:tc>
        <w:tc>
          <w:tcPr>
            <w:tcW w:w="828" w:type="dxa"/>
          </w:tcPr>
          <w:p w14:paraId="61A6ECF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w:t>
            </w:r>
          </w:p>
        </w:tc>
        <w:tc>
          <w:tcPr>
            <w:tcW w:w="709" w:type="dxa"/>
          </w:tcPr>
          <w:p w14:paraId="5BDD109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AD2B41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w:t>
            </w:r>
          </w:p>
        </w:tc>
        <w:tc>
          <w:tcPr>
            <w:tcW w:w="1527" w:type="dxa"/>
          </w:tcPr>
          <w:p w14:paraId="1054CA6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1FE498C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DE3A367" w14:textId="77777777" w:rsidTr="004C5D62">
        <w:tc>
          <w:tcPr>
            <w:tcW w:w="1526" w:type="dxa"/>
          </w:tcPr>
          <w:p w14:paraId="1F50983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1EB8D2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км/час</w:t>
            </w:r>
          </w:p>
        </w:tc>
        <w:tc>
          <w:tcPr>
            <w:tcW w:w="1041" w:type="dxa"/>
          </w:tcPr>
          <w:p w14:paraId="74930CF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высоте</w:t>
            </w:r>
          </w:p>
        </w:tc>
        <w:tc>
          <w:tcPr>
            <w:tcW w:w="906" w:type="dxa"/>
          </w:tcPr>
          <w:p w14:paraId="4864A2D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км/час</w:t>
            </w:r>
          </w:p>
        </w:tc>
        <w:tc>
          <w:tcPr>
            <w:tcW w:w="873" w:type="dxa"/>
          </w:tcPr>
          <w:p w14:paraId="57C6EBF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w:t>
            </w:r>
          </w:p>
        </w:tc>
        <w:tc>
          <w:tcPr>
            <w:tcW w:w="828" w:type="dxa"/>
          </w:tcPr>
          <w:p w14:paraId="05582E5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2F77D6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B91B2A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6F8078C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2EA653A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DA1CF02" w14:textId="77777777" w:rsidTr="004C5D62">
        <w:tc>
          <w:tcPr>
            <w:tcW w:w="1526" w:type="dxa"/>
          </w:tcPr>
          <w:p w14:paraId="610084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BEECE0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4362623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305FC8D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65A9355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 м</w:t>
            </w:r>
          </w:p>
        </w:tc>
        <w:tc>
          <w:tcPr>
            <w:tcW w:w="828" w:type="dxa"/>
          </w:tcPr>
          <w:p w14:paraId="2770959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52777C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62BEB4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0DEE140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0182451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78E4A0C" w14:textId="77777777" w:rsidTr="004C5D62">
        <w:tc>
          <w:tcPr>
            <w:tcW w:w="1526" w:type="dxa"/>
          </w:tcPr>
          <w:p w14:paraId="438F746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170FEA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16E68D8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25D0893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4C2D425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w:t>
            </w:r>
          </w:p>
        </w:tc>
        <w:tc>
          <w:tcPr>
            <w:tcW w:w="828" w:type="dxa"/>
          </w:tcPr>
          <w:p w14:paraId="7F5726B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D75719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D941E7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2661052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730EBDA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A044D49" w14:textId="77777777" w:rsidTr="004C5D62">
        <w:tc>
          <w:tcPr>
            <w:tcW w:w="1526" w:type="dxa"/>
          </w:tcPr>
          <w:p w14:paraId="48BB5F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 М-105Д</w:t>
            </w:r>
          </w:p>
        </w:tc>
        <w:tc>
          <w:tcPr>
            <w:tcW w:w="746" w:type="dxa"/>
          </w:tcPr>
          <w:p w14:paraId="5749248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520</w:t>
            </w:r>
          </w:p>
        </w:tc>
        <w:tc>
          <w:tcPr>
            <w:tcW w:w="1041" w:type="dxa"/>
          </w:tcPr>
          <w:p w14:paraId="2C0C1F6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598/5000</w:t>
            </w:r>
          </w:p>
        </w:tc>
        <w:tc>
          <w:tcPr>
            <w:tcW w:w="906" w:type="dxa"/>
          </w:tcPr>
          <w:p w14:paraId="681D4E4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73" w:type="dxa"/>
          </w:tcPr>
          <w:p w14:paraId="47515C9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28" w:type="dxa"/>
          </w:tcPr>
          <w:p w14:paraId="175A531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09" w:type="dxa"/>
          </w:tcPr>
          <w:p w14:paraId="7F33713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2950</w:t>
            </w:r>
          </w:p>
        </w:tc>
        <w:tc>
          <w:tcPr>
            <w:tcW w:w="850" w:type="dxa"/>
          </w:tcPr>
          <w:p w14:paraId="738AA06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2839227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32EC9B0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Отчет ЛИИ от </w:t>
            </w:r>
          </w:p>
        </w:tc>
      </w:tr>
      <w:tr w:rsidR="007C5583" w:rsidRPr="008127F8" w14:paraId="161B2859" w14:textId="77777777" w:rsidTr="004C5D62">
        <w:tc>
          <w:tcPr>
            <w:tcW w:w="1526" w:type="dxa"/>
          </w:tcPr>
          <w:p w14:paraId="5215B90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667C3F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замер.</w:t>
            </w:r>
          </w:p>
        </w:tc>
        <w:tc>
          <w:tcPr>
            <w:tcW w:w="1041" w:type="dxa"/>
          </w:tcPr>
          <w:p w14:paraId="75D4C73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замерено</w:t>
            </w:r>
          </w:p>
        </w:tc>
        <w:tc>
          <w:tcPr>
            <w:tcW w:w="906" w:type="dxa"/>
          </w:tcPr>
          <w:p w14:paraId="7EEAB06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0C7EB80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74670FE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0D9FA9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56E6B0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680C1FD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342F4FF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13.IV.42 г. N 96</w:t>
            </w:r>
          </w:p>
        </w:tc>
      </w:tr>
      <w:tr w:rsidR="007C5583" w:rsidRPr="008127F8" w14:paraId="1DC3D622" w14:textId="77777777" w:rsidTr="004C5D62">
        <w:tc>
          <w:tcPr>
            <w:tcW w:w="1526" w:type="dxa"/>
          </w:tcPr>
          <w:p w14:paraId="2AE7969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1897B9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w:t>
            </w:r>
          </w:p>
        </w:tc>
        <w:tc>
          <w:tcPr>
            <w:tcW w:w="1041" w:type="dxa"/>
          </w:tcPr>
          <w:p w14:paraId="6257546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полете</w:t>
            </w:r>
          </w:p>
        </w:tc>
        <w:tc>
          <w:tcPr>
            <w:tcW w:w="906" w:type="dxa"/>
          </w:tcPr>
          <w:p w14:paraId="4B4DD99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04A2795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6814AFA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CA37F5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7593F7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25E492A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4CDB8D2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51ADBE6" w14:textId="77777777" w:rsidTr="004C5D62">
        <w:tc>
          <w:tcPr>
            <w:tcW w:w="1526" w:type="dxa"/>
          </w:tcPr>
          <w:p w14:paraId="7CFAA79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6FB885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полете</w:t>
            </w:r>
          </w:p>
        </w:tc>
        <w:tc>
          <w:tcPr>
            <w:tcW w:w="1041" w:type="dxa"/>
          </w:tcPr>
          <w:p w14:paraId="6AAA7EF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ожидаемая</w:t>
            </w:r>
          </w:p>
        </w:tc>
        <w:tc>
          <w:tcPr>
            <w:tcW w:w="906" w:type="dxa"/>
          </w:tcPr>
          <w:p w14:paraId="29D6CD1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3087882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5A7F505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13992A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8BB552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45BF70A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5C5146E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B39B45B" w14:textId="77777777" w:rsidTr="004C5D62">
        <w:tc>
          <w:tcPr>
            <w:tcW w:w="1526" w:type="dxa"/>
          </w:tcPr>
          <w:p w14:paraId="6272CC5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914F70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6455727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620/7500</w:t>
            </w:r>
          </w:p>
        </w:tc>
        <w:tc>
          <w:tcPr>
            <w:tcW w:w="906" w:type="dxa"/>
          </w:tcPr>
          <w:p w14:paraId="3D158F3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7F24AD4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3D17D39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61CD8D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BB8790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5F085DE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5F076EF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5FB9312" w14:textId="77777777" w:rsidTr="004C5D62">
        <w:tc>
          <w:tcPr>
            <w:tcW w:w="1526" w:type="dxa"/>
          </w:tcPr>
          <w:p w14:paraId="2FC8D5B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 с М-82</w:t>
            </w:r>
          </w:p>
        </w:tc>
        <w:tc>
          <w:tcPr>
            <w:tcW w:w="746" w:type="dxa"/>
          </w:tcPr>
          <w:p w14:paraId="46BC5C7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515</w:t>
            </w:r>
          </w:p>
        </w:tc>
        <w:tc>
          <w:tcPr>
            <w:tcW w:w="1041" w:type="dxa"/>
          </w:tcPr>
          <w:p w14:paraId="43354D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600/6400</w:t>
            </w:r>
          </w:p>
        </w:tc>
        <w:tc>
          <w:tcPr>
            <w:tcW w:w="906" w:type="dxa"/>
          </w:tcPr>
          <w:p w14:paraId="6EF4A1E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73" w:type="dxa"/>
          </w:tcPr>
          <w:p w14:paraId="39F31A7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c>
          <w:tcPr>
            <w:tcW w:w="828" w:type="dxa"/>
          </w:tcPr>
          <w:p w14:paraId="3E4C210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09" w:type="dxa"/>
          </w:tcPr>
          <w:p w14:paraId="099BC7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0" w:type="dxa"/>
          </w:tcPr>
          <w:p w14:paraId="383EC88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3380</w:t>
            </w:r>
          </w:p>
        </w:tc>
        <w:tc>
          <w:tcPr>
            <w:tcW w:w="1527" w:type="dxa"/>
          </w:tcPr>
          <w:p w14:paraId="5B9F259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пушки 20 мм</w:t>
            </w:r>
          </w:p>
        </w:tc>
        <w:tc>
          <w:tcPr>
            <w:tcW w:w="1590" w:type="dxa"/>
          </w:tcPr>
          <w:p w14:paraId="037260E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Докладная</w:t>
            </w:r>
          </w:p>
        </w:tc>
      </w:tr>
      <w:tr w:rsidR="007C5583" w:rsidRPr="008127F8" w14:paraId="3F55F978" w14:textId="77777777" w:rsidTr="004C5D62">
        <w:tc>
          <w:tcPr>
            <w:tcW w:w="1526" w:type="dxa"/>
          </w:tcPr>
          <w:p w14:paraId="2F45F2A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979E33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440E1E2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6CA6A27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4FB39E3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38C8E4D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DFEFB0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9F1BC0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19C702A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синхронных</w:t>
            </w:r>
          </w:p>
        </w:tc>
        <w:tc>
          <w:tcPr>
            <w:tcW w:w="1590" w:type="dxa"/>
          </w:tcPr>
          <w:p w14:paraId="02BD9DA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записка</w:t>
            </w:r>
          </w:p>
        </w:tc>
      </w:tr>
      <w:tr w:rsidR="007C5583" w:rsidRPr="008127F8" w14:paraId="7F256A7A" w14:textId="77777777" w:rsidTr="004C5D62">
        <w:tc>
          <w:tcPr>
            <w:tcW w:w="1526" w:type="dxa"/>
          </w:tcPr>
          <w:p w14:paraId="6050365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0420FA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015F8EA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49EF6DD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0156820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6EC805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A93D54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469EC9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4EA5667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3A58E3B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представителей</w:t>
            </w:r>
          </w:p>
        </w:tc>
      </w:tr>
      <w:tr w:rsidR="007C5583" w:rsidRPr="008127F8" w14:paraId="25D94CC6" w14:textId="77777777" w:rsidTr="004C5D62">
        <w:tc>
          <w:tcPr>
            <w:tcW w:w="1526" w:type="dxa"/>
          </w:tcPr>
          <w:p w14:paraId="5972B99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146A5A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2E4DE2A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7CFD7C4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2395BEE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42C9A1B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C4E0F1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9A50FB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7C58A1B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6F40D93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ЛИИ на совмест.</w:t>
            </w:r>
          </w:p>
        </w:tc>
      </w:tr>
      <w:tr w:rsidR="007C5583" w:rsidRPr="008127F8" w14:paraId="2A435F07" w14:textId="77777777" w:rsidTr="004C5D62">
        <w:tc>
          <w:tcPr>
            <w:tcW w:w="1526" w:type="dxa"/>
          </w:tcPr>
          <w:p w14:paraId="1C631A4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0F3E12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4712247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1E0E782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2C2502A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22E2C1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02F550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2DE314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0114758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08EDEA5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испытаниях от 12</w:t>
            </w:r>
          </w:p>
        </w:tc>
      </w:tr>
      <w:tr w:rsidR="007C5583" w:rsidRPr="008127F8" w14:paraId="2DE45D0A" w14:textId="77777777" w:rsidTr="004C5D62">
        <w:tc>
          <w:tcPr>
            <w:tcW w:w="1526" w:type="dxa"/>
          </w:tcPr>
          <w:p w14:paraId="75A14B9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7DE09A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2C26396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5174A1B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026CFB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29F411B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358D87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2758AE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025D82F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58757A5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мая 42 г. Отчет не</w:t>
            </w:r>
          </w:p>
        </w:tc>
      </w:tr>
      <w:tr w:rsidR="007C5583" w:rsidRPr="008127F8" w14:paraId="752DFC55" w14:textId="77777777" w:rsidTr="004C5D62">
        <w:tc>
          <w:tcPr>
            <w:tcW w:w="1526" w:type="dxa"/>
          </w:tcPr>
          <w:p w14:paraId="2CD220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444F05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33C5432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31AEDBB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1C2F77B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64113DF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483F2D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50728F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0EBAB0C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2B1C3BC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оформлен.</w:t>
            </w:r>
          </w:p>
        </w:tc>
      </w:tr>
      <w:tr w:rsidR="007C5583" w:rsidRPr="008127F8" w14:paraId="2945BF79" w14:textId="77777777" w:rsidTr="004C5D62">
        <w:tc>
          <w:tcPr>
            <w:tcW w:w="1526" w:type="dxa"/>
          </w:tcPr>
          <w:p w14:paraId="00364E2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 с М107П</w:t>
            </w:r>
          </w:p>
        </w:tc>
        <w:tc>
          <w:tcPr>
            <w:tcW w:w="746" w:type="dxa"/>
          </w:tcPr>
          <w:p w14:paraId="3E61F39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41" w:type="dxa"/>
          </w:tcPr>
          <w:p w14:paraId="4ECA6FC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660/6000</w:t>
            </w:r>
          </w:p>
        </w:tc>
        <w:tc>
          <w:tcPr>
            <w:tcW w:w="906" w:type="dxa"/>
          </w:tcPr>
          <w:p w14:paraId="472FD71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w:t>
            </w:r>
          </w:p>
        </w:tc>
        <w:tc>
          <w:tcPr>
            <w:tcW w:w="873" w:type="dxa"/>
          </w:tcPr>
          <w:p w14:paraId="115AD84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w:t>
            </w:r>
          </w:p>
        </w:tc>
        <w:tc>
          <w:tcPr>
            <w:tcW w:w="828" w:type="dxa"/>
          </w:tcPr>
          <w:p w14:paraId="6529117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11000</w:t>
            </w:r>
          </w:p>
        </w:tc>
        <w:tc>
          <w:tcPr>
            <w:tcW w:w="709" w:type="dxa"/>
          </w:tcPr>
          <w:p w14:paraId="738FAFA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850" w:type="dxa"/>
          </w:tcPr>
          <w:p w14:paraId="6A51DC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527" w:type="dxa"/>
          </w:tcPr>
          <w:p w14:paraId="619457E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пушка 23 мм</w:t>
            </w:r>
          </w:p>
        </w:tc>
        <w:tc>
          <w:tcPr>
            <w:tcW w:w="1590" w:type="dxa"/>
          </w:tcPr>
          <w:p w14:paraId="12FDAF9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Плановое задание</w:t>
            </w:r>
          </w:p>
        </w:tc>
      </w:tr>
      <w:tr w:rsidR="007C5583" w:rsidRPr="008127F8" w14:paraId="665FD7A5" w14:textId="77777777" w:rsidTr="004C5D62">
        <w:tc>
          <w:tcPr>
            <w:tcW w:w="1526" w:type="dxa"/>
          </w:tcPr>
          <w:p w14:paraId="73CF3E5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097E1C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0DBD7C7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395CADB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3381CA3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1538177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3E92ED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3B786B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72B7D75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пулемета 12,7 мм</w:t>
            </w:r>
          </w:p>
        </w:tc>
        <w:tc>
          <w:tcPr>
            <w:tcW w:w="1590" w:type="dxa"/>
          </w:tcPr>
          <w:p w14:paraId="11CC518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7F3F813" w14:textId="77777777" w:rsidTr="004C5D62">
        <w:tc>
          <w:tcPr>
            <w:tcW w:w="1526" w:type="dxa"/>
          </w:tcPr>
          <w:p w14:paraId="05E0B29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83099B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1B86885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1328DFD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22205FC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4F07F86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FD0E1A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B6DAEE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09DB37F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пулемета 7,62 мм</w:t>
            </w:r>
          </w:p>
        </w:tc>
        <w:tc>
          <w:tcPr>
            <w:tcW w:w="1590" w:type="dxa"/>
          </w:tcPr>
          <w:p w14:paraId="39FF087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C282B13" w14:textId="77777777" w:rsidTr="004C5D62">
        <w:tc>
          <w:tcPr>
            <w:tcW w:w="1526" w:type="dxa"/>
          </w:tcPr>
          <w:p w14:paraId="3580B1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 с М-82</w:t>
            </w:r>
          </w:p>
        </w:tc>
        <w:tc>
          <w:tcPr>
            <w:tcW w:w="746" w:type="dxa"/>
          </w:tcPr>
          <w:p w14:paraId="252BB80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480</w:t>
            </w:r>
          </w:p>
        </w:tc>
        <w:tc>
          <w:tcPr>
            <w:tcW w:w="1041" w:type="dxa"/>
          </w:tcPr>
          <w:p w14:paraId="193F70A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570/6300</w:t>
            </w:r>
          </w:p>
        </w:tc>
        <w:tc>
          <w:tcPr>
            <w:tcW w:w="906" w:type="dxa"/>
          </w:tcPr>
          <w:p w14:paraId="31D2AD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73" w:type="dxa"/>
          </w:tcPr>
          <w:p w14:paraId="7A52713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28" w:type="dxa"/>
          </w:tcPr>
          <w:p w14:paraId="47CDA13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10500</w:t>
            </w:r>
          </w:p>
        </w:tc>
        <w:tc>
          <w:tcPr>
            <w:tcW w:w="709" w:type="dxa"/>
          </w:tcPr>
          <w:p w14:paraId="36AFC12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1300</w:t>
            </w:r>
          </w:p>
        </w:tc>
        <w:tc>
          <w:tcPr>
            <w:tcW w:w="850" w:type="dxa"/>
          </w:tcPr>
          <w:p w14:paraId="0F9107A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7900/8340</w:t>
            </w:r>
          </w:p>
        </w:tc>
        <w:tc>
          <w:tcPr>
            <w:tcW w:w="1527" w:type="dxa"/>
          </w:tcPr>
          <w:p w14:paraId="49DE498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Вперед:</w:t>
            </w:r>
          </w:p>
        </w:tc>
        <w:tc>
          <w:tcPr>
            <w:tcW w:w="1590" w:type="dxa"/>
          </w:tcPr>
          <w:p w14:paraId="6FB7E0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Расчетные данные</w:t>
            </w:r>
          </w:p>
        </w:tc>
      </w:tr>
      <w:tr w:rsidR="007C5583" w:rsidRPr="008127F8" w14:paraId="6AACBA82" w14:textId="77777777" w:rsidTr="004C5D62">
        <w:tc>
          <w:tcPr>
            <w:tcW w:w="1526" w:type="dxa"/>
          </w:tcPr>
          <w:p w14:paraId="2C0974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1C77BC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5CE3CE3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2A6A0C4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41663F3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0A94BE2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74FEAD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FEFDEB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503FF25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пулемет 12,7 мм</w:t>
            </w:r>
          </w:p>
        </w:tc>
        <w:tc>
          <w:tcPr>
            <w:tcW w:w="1590" w:type="dxa"/>
          </w:tcPr>
          <w:p w14:paraId="403FCD1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86627FC" w14:textId="77777777" w:rsidTr="004C5D62">
        <w:tc>
          <w:tcPr>
            <w:tcW w:w="1526" w:type="dxa"/>
          </w:tcPr>
          <w:p w14:paraId="7F7BF96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21C892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2BC6DD8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072CA87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574851D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0C79B40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3FC261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B4F21D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55D31AB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патрон 150 шт.</w:t>
            </w:r>
          </w:p>
        </w:tc>
        <w:tc>
          <w:tcPr>
            <w:tcW w:w="1590" w:type="dxa"/>
          </w:tcPr>
          <w:p w14:paraId="1EB59D7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70B51C1" w14:textId="77777777" w:rsidTr="004C5D62">
        <w:tc>
          <w:tcPr>
            <w:tcW w:w="1526" w:type="dxa"/>
          </w:tcPr>
          <w:p w14:paraId="4218B4E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8E0F14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78946E0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714E08D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59B5009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0FE4391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16DC1A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AA9F46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55123F7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пулемет 7,62 мм</w:t>
            </w:r>
          </w:p>
        </w:tc>
        <w:tc>
          <w:tcPr>
            <w:tcW w:w="1590" w:type="dxa"/>
          </w:tcPr>
          <w:p w14:paraId="381920C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9DB1D43" w14:textId="77777777" w:rsidTr="004C5D62">
        <w:tc>
          <w:tcPr>
            <w:tcW w:w="1526" w:type="dxa"/>
          </w:tcPr>
          <w:p w14:paraId="484C1C5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AE773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0C41C77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528E3D2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35CC027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6E87632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AF3936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D6BA8B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363478C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патрон 450 шт.</w:t>
            </w:r>
          </w:p>
        </w:tc>
        <w:tc>
          <w:tcPr>
            <w:tcW w:w="1590" w:type="dxa"/>
          </w:tcPr>
          <w:p w14:paraId="160B482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9BC410A" w14:textId="77777777" w:rsidTr="004C5D62">
        <w:tc>
          <w:tcPr>
            <w:tcW w:w="1526" w:type="dxa"/>
          </w:tcPr>
          <w:p w14:paraId="75FE762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E083FD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5D86DF0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1A26A59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57AABB5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4BE0CDC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A42D30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0A5E8C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37DF766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Назад:</w:t>
            </w:r>
          </w:p>
        </w:tc>
        <w:tc>
          <w:tcPr>
            <w:tcW w:w="1590" w:type="dxa"/>
          </w:tcPr>
          <w:p w14:paraId="12CE270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476824B" w14:textId="77777777" w:rsidTr="004C5D62">
        <w:tc>
          <w:tcPr>
            <w:tcW w:w="1526" w:type="dxa"/>
          </w:tcPr>
          <w:p w14:paraId="1617DC0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C609F4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11CB637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42B3FC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0DE63D3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54C7BD0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DAC738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BD94A7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4A0AFFE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пулемет 7,62 мм</w:t>
            </w:r>
          </w:p>
        </w:tc>
        <w:tc>
          <w:tcPr>
            <w:tcW w:w="1590" w:type="dxa"/>
          </w:tcPr>
          <w:p w14:paraId="230791F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B924D15" w14:textId="77777777" w:rsidTr="004C5D62">
        <w:tc>
          <w:tcPr>
            <w:tcW w:w="1526" w:type="dxa"/>
          </w:tcPr>
          <w:p w14:paraId="01717CD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9CF3F3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1EB8E52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363C6CE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4729A7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24095A4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5D8AFB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4DA684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39DF79B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патрон 750 шт.</w:t>
            </w:r>
          </w:p>
        </w:tc>
        <w:tc>
          <w:tcPr>
            <w:tcW w:w="1590" w:type="dxa"/>
          </w:tcPr>
          <w:p w14:paraId="4D4CEF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D0A526E" w14:textId="77777777" w:rsidTr="004C5D62">
        <w:tc>
          <w:tcPr>
            <w:tcW w:w="1526" w:type="dxa"/>
          </w:tcPr>
          <w:p w14:paraId="56A3E4B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889076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6BEE07F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25B4206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0A4C574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2DBC1CC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4A9A33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AE6438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0EBA4D4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люковый пулемет</w:t>
            </w:r>
          </w:p>
        </w:tc>
        <w:tc>
          <w:tcPr>
            <w:tcW w:w="1590" w:type="dxa"/>
          </w:tcPr>
          <w:p w14:paraId="1C3309C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766CD4A" w14:textId="77777777" w:rsidTr="004C5D62">
        <w:tc>
          <w:tcPr>
            <w:tcW w:w="1526" w:type="dxa"/>
          </w:tcPr>
          <w:p w14:paraId="400948F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F3FE62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116CF3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1BD201E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62A09DA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46CC6D6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B8EC81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F9DE30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071A8B5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 мм</w:t>
            </w:r>
          </w:p>
        </w:tc>
        <w:tc>
          <w:tcPr>
            <w:tcW w:w="1590" w:type="dxa"/>
          </w:tcPr>
          <w:p w14:paraId="206114C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B5AF9BC" w14:textId="77777777" w:rsidTr="004C5D62">
        <w:tc>
          <w:tcPr>
            <w:tcW w:w="1526" w:type="dxa"/>
          </w:tcPr>
          <w:p w14:paraId="4DDE762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A67DA6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2D32CDF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1114D5E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675DB4F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10F513B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50344F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97911D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04AD5C3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патрон 200 шт.</w:t>
            </w:r>
          </w:p>
        </w:tc>
        <w:tc>
          <w:tcPr>
            <w:tcW w:w="1590" w:type="dxa"/>
          </w:tcPr>
          <w:p w14:paraId="09B762E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4CEF007" w14:textId="77777777" w:rsidTr="004C5D62">
        <w:tc>
          <w:tcPr>
            <w:tcW w:w="1526" w:type="dxa"/>
          </w:tcPr>
          <w:p w14:paraId="4C2B80C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BF755B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1A9F182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646E7A7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7D5E03F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1ACA426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C61CA5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E9B9D6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22F17A2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Бомбы 600 кг, в</w:t>
            </w:r>
          </w:p>
        </w:tc>
        <w:tc>
          <w:tcPr>
            <w:tcW w:w="1590" w:type="dxa"/>
          </w:tcPr>
          <w:p w14:paraId="24E874A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4E503D4" w14:textId="77777777" w:rsidTr="004C5D62">
        <w:tc>
          <w:tcPr>
            <w:tcW w:w="1526" w:type="dxa"/>
          </w:tcPr>
          <w:p w14:paraId="11DADE1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487C06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36ECD5E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36D7F33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159B349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7E3D5EF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37223D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CD4F85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314825A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перегрузку - 1000кг</w:t>
            </w:r>
          </w:p>
        </w:tc>
        <w:tc>
          <w:tcPr>
            <w:tcW w:w="1590" w:type="dxa"/>
          </w:tcPr>
          <w:p w14:paraId="37D86D4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228DD469" w14:textId="77777777" w:rsidTr="004C5D62">
        <w:tc>
          <w:tcPr>
            <w:tcW w:w="1526" w:type="dxa"/>
          </w:tcPr>
          <w:p w14:paraId="60D096F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Ил-4 с М-82</w:t>
            </w:r>
          </w:p>
        </w:tc>
        <w:tc>
          <w:tcPr>
            <w:tcW w:w="746" w:type="dxa"/>
          </w:tcPr>
          <w:p w14:paraId="3D3D198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385</w:t>
            </w:r>
          </w:p>
        </w:tc>
        <w:tc>
          <w:tcPr>
            <w:tcW w:w="1041" w:type="dxa"/>
          </w:tcPr>
          <w:p w14:paraId="6C0899D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470/6400</w:t>
            </w:r>
          </w:p>
        </w:tc>
        <w:tc>
          <w:tcPr>
            <w:tcW w:w="906" w:type="dxa"/>
          </w:tcPr>
          <w:p w14:paraId="2103CD5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73" w:type="dxa"/>
          </w:tcPr>
          <w:p w14:paraId="29E9477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28" w:type="dxa"/>
          </w:tcPr>
          <w:p w14:paraId="7567774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09" w:type="dxa"/>
          </w:tcPr>
          <w:p w14:paraId="1D587B0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3500</w:t>
            </w:r>
          </w:p>
        </w:tc>
        <w:tc>
          <w:tcPr>
            <w:tcW w:w="850" w:type="dxa"/>
          </w:tcPr>
          <w:p w14:paraId="6673612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8200/10300</w:t>
            </w:r>
          </w:p>
        </w:tc>
        <w:tc>
          <w:tcPr>
            <w:tcW w:w="1527" w:type="dxa"/>
          </w:tcPr>
          <w:p w14:paraId="7361F65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Вперед:</w:t>
            </w:r>
          </w:p>
        </w:tc>
        <w:tc>
          <w:tcPr>
            <w:tcW w:w="1590" w:type="dxa"/>
          </w:tcPr>
          <w:p w14:paraId="10337EA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Расчетные данные</w:t>
            </w:r>
          </w:p>
        </w:tc>
      </w:tr>
      <w:tr w:rsidR="007C5583" w:rsidRPr="008127F8" w14:paraId="1194BC99" w14:textId="77777777" w:rsidTr="004C5D62">
        <w:tc>
          <w:tcPr>
            <w:tcW w:w="1526" w:type="dxa"/>
          </w:tcPr>
          <w:p w14:paraId="361A858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2816D8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2A53939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6351962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4BFABDB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6D4C39D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053E7B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Н-4000;</w:t>
            </w:r>
          </w:p>
        </w:tc>
        <w:tc>
          <w:tcPr>
            <w:tcW w:w="850" w:type="dxa"/>
          </w:tcPr>
          <w:p w14:paraId="4DEC2B1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783D2D1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пулемет 7,62 мм</w:t>
            </w:r>
          </w:p>
        </w:tc>
        <w:tc>
          <w:tcPr>
            <w:tcW w:w="1590" w:type="dxa"/>
          </w:tcPr>
          <w:p w14:paraId="5DF816E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85E3050" w14:textId="77777777" w:rsidTr="004C5D62">
        <w:tc>
          <w:tcPr>
            <w:tcW w:w="1526" w:type="dxa"/>
          </w:tcPr>
          <w:p w14:paraId="1213F10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212834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3B42ACD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07EE2FA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57A6778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284349E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87826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0,8 Vмакс.</w:t>
            </w:r>
          </w:p>
        </w:tc>
        <w:tc>
          <w:tcPr>
            <w:tcW w:w="850" w:type="dxa"/>
          </w:tcPr>
          <w:p w14:paraId="74790D8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630A162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патрон 500 шт.</w:t>
            </w:r>
          </w:p>
        </w:tc>
        <w:tc>
          <w:tcPr>
            <w:tcW w:w="1590" w:type="dxa"/>
          </w:tcPr>
          <w:p w14:paraId="1500523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5A7F322" w14:textId="77777777" w:rsidTr="004C5D62">
        <w:tc>
          <w:tcPr>
            <w:tcW w:w="1526" w:type="dxa"/>
          </w:tcPr>
          <w:p w14:paraId="6070595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11FFDC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5357845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5F7D27F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5F74170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03A587D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0594AC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C97726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590E15F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Назад:</w:t>
            </w:r>
          </w:p>
        </w:tc>
        <w:tc>
          <w:tcPr>
            <w:tcW w:w="1590" w:type="dxa"/>
          </w:tcPr>
          <w:p w14:paraId="0C6DA6E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3E3D324" w14:textId="77777777" w:rsidTr="004C5D62">
        <w:tc>
          <w:tcPr>
            <w:tcW w:w="1526" w:type="dxa"/>
          </w:tcPr>
          <w:p w14:paraId="772740A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7E9518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0CE9FE9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07D7B59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795DAB6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1984A66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0F12C3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F3A0F8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4173585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пулемет 7,62 мм</w:t>
            </w:r>
          </w:p>
        </w:tc>
        <w:tc>
          <w:tcPr>
            <w:tcW w:w="1590" w:type="dxa"/>
          </w:tcPr>
          <w:p w14:paraId="011092F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9211A0D" w14:textId="77777777" w:rsidTr="004C5D62">
        <w:tc>
          <w:tcPr>
            <w:tcW w:w="1526" w:type="dxa"/>
          </w:tcPr>
          <w:p w14:paraId="0628071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8A5AC4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16CF7B0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30AFCE2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6385803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1395B9F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20B303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245636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2B0353E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патрон 1200 шт.</w:t>
            </w:r>
          </w:p>
        </w:tc>
        <w:tc>
          <w:tcPr>
            <w:tcW w:w="1590" w:type="dxa"/>
          </w:tcPr>
          <w:p w14:paraId="39B613C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2EB8BCAB" w14:textId="77777777" w:rsidTr="004C5D62">
        <w:tc>
          <w:tcPr>
            <w:tcW w:w="1526" w:type="dxa"/>
          </w:tcPr>
          <w:p w14:paraId="25F1220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EB2BD4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1A13639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74E0972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6713CAA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7D530D1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62AE93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741377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4BF8FC3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люковый пулемет</w:t>
            </w:r>
          </w:p>
        </w:tc>
        <w:tc>
          <w:tcPr>
            <w:tcW w:w="1590" w:type="dxa"/>
          </w:tcPr>
          <w:p w14:paraId="29F1724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3FEDE8D" w14:textId="77777777" w:rsidTr="004C5D62">
        <w:tc>
          <w:tcPr>
            <w:tcW w:w="1526" w:type="dxa"/>
          </w:tcPr>
          <w:p w14:paraId="002AC78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4359D5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17E148B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38AFEC0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4FFEEE7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020F67F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414E1B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02452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1C78E10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7,62 мм патрон</w:t>
            </w:r>
          </w:p>
        </w:tc>
        <w:tc>
          <w:tcPr>
            <w:tcW w:w="1590" w:type="dxa"/>
          </w:tcPr>
          <w:p w14:paraId="645D8D3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F511B6C" w14:textId="77777777" w:rsidTr="004C5D62">
        <w:tc>
          <w:tcPr>
            <w:tcW w:w="1526" w:type="dxa"/>
          </w:tcPr>
          <w:p w14:paraId="13ACBF3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52F409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60CCFA5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32AD3C5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3AEFBF4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1A8AB89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6D7C3C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E7F9EF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7102172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750 шт.</w:t>
            </w:r>
          </w:p>
        </w:tc>
        <w:tc>
          <w:tcPr>
            <w:tcW w:w="1590" w:type="dxa"/>
          </w:tcPr>
          <w:p w14:paraId="783E766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8C1D541" w14:textId="77777777" w:rsidTr="004C5D62">
        <w:tc>
          <w:tcPr>
            <w:tcW w:w="1526" w:type="dxa"/>
          </w:tcPr>
          <w:p w14:paraId="3595B52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B539ED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620179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6DA84D7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6CB1514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6987284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120AA1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D29478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13AB1CA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Бомбы - 1000 кг</w:t>
            </w:r>
          </w:p>
        </w:tc>
        <w:tc>
          <w:tcPr>
            <w:tcW w:w="1590" w:type="dxa"/>
          </w:tcPr>
          <w:p w14:paraId="26781B7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59D5A25" w14:textId="77777777" w:rsidTr="004C5D62">
        <w:tc>
          <w:tcPr>
            <w:tcW w:w="1526" w:type="dxa"/>
          </w:tcPr>
          <w:p w14:paraId="6F1F0D9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558E75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0EAFE91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0D8F0F0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44410F7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0EFADC0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8D7372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36AD73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34D0085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перегрузку</w:t>
            </w:r>
          </w:p>
        </w:tc>
        <w:tc>
          <w:tcPr>
            <w:tcW w:w="1590" w:type="dxa"/>
          </w:tcPr>
          <w:p w14:paraId="2BDDC36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AF100FC" w14:textId="77777777" w:rsidTr="004C5D62">
        <w:tc>
          <w:tcPr>
            <w:tcW w:w="1526" w:type="dxa"/>
          </w:tcPr>
          <w:p w14:paraId="30982B9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8CCF3E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49B6D48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0603AA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55B9E5E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57B4E50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1C3BDF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D5ADCC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01D4C5C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2500 кг</w:t>
            </w:r>
          </w:p>
        </w:tc>
        <w:tc>
          <w:tcPr>
            <w:tcW w:w="1590" w:type="dxa"/>
          </w:tcPr>
          <w:p w14:paraId="5AB3B34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37A4736" w14:textId="77777777" w:rsidTr="004C5D62">
        <w:tc>
          <w:tcPr>
            <w:tcW w:w="1526" w:type="dxa"/>
          </w:tcPr>
          <w:p w14:paraId="4ABFA6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Ер-2 с М-30</w:t>
            </w:r>
          </w:p>
        </w:tc>
        <w:tc>
          <w:tcPr>
            <w:tcW w:w="746" w:type="dxa"/>
          </w:tcPr>
          <w:p w14:paraId="356D007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402</w:t>
            </w:r>
          </w:p>
        </w:tc>
        <w:tc>
          <w:tcPr>
            <w:tcW w:w="1041" w:type="dxa"/>
          </w:tcPr>
          <w:p w14:paraId="31B7EAF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480/6000</w:t>
            </w:r>
          </w:p>
        </w:tc>
        <w:tc>
          <w:tcPr>
            <w:tcW w:w="906" w:type="dxa"/>
          </w:tcPr>
          <w:p w14:paraId="77BCCFE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w:t>
            </w:r>
          </w:p>
        </w:tc>
        <w:tc>
          <w:tcPr>
            <w:tcW w:w="873" w:type="dxa"/>
          </w:tcPr>
          <w:p w14:paraId="217FCAA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28" w:type="dxa"/>
          </w:tcPr>
          <w:p w14:paraId="3E8E08F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9500</w:t>
            </w:r>
          </w:p>
        </w:tc>
        <w:tc>
          <w:tcPr>
            <w:tcW w:w="709" w:type="dxa"/>
          </w:tcPr>
          <w:p w14:paraId="69FAAA3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5500</w:t>
            </w:r>
          </w:p>
        </w:tc>
        <w:tc>
          <w:tcPr>
            <w:tcW w:w="850" w:type="dxa"/>
          </w:tcPr>
          <w:p w14:paraId="506112E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13000/16500</w:t>
            </w:r>
          </w:p>
        </w:tc>
        <w:tc>
          <w:tcPr>
            <w:tcW w:w="1527" w:type="dxa"/>
          </w:tcPr>
          <w:p w14:paraId="371F7C6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Вперед:</w:t>
            </w:r>
          </w:p>
        </w:tc>
        <w:tc>
          <w:tcPr>
            <w:tcW w:w="1590" w:type="dxa"/>
          </w:tcPr>
          <w:p w14:paraId="4DF4CD7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Расчетные данные</w:t>
            </w:r>
          </w:p>
        </w:tc>
      </w:tr>
      <w:tr w:rsidR="007C5583" w:rsidRPr="008127F8" w14:paraId="18E752D5" w14:textId="77777777" w:rsidTr="004C5D62">
        <w:tc>
          <w:tcPr>
            <w:tcW w:w="1526" w:type="dxa"/>
          </w:tcPr>
          <w:p w14:paraId="450AB05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61AFB2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1420E37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4CC2910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5F42F3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2682027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4A5E6A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весе</w:t>
            </w:r>
          </w:p>
        </w:tc>
        <w:tc>
          <w:tcPr>
            <w:tcW w:w="850" w:type="dxa"/>
          </w:tcPr>
          <w:p w14:paraId="4B8E507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2DB196C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пулемет 12,7 мм</w:t>
            </w:r>
          </w:p>
        </w:tc>
        <w:tc>
          <w:tcPr>
            <w:tcW w:w="1590" w:type="dxa"/>
          </w:tcPr>
          <w:p w14:paraId="10F16CC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C96EB55" w14:textId="77777777" w:rsidTr="004C5D62">
        <w:tc>
          <w:tcPr>
            <w:tcW w:w="1526" w:type="dxa"/>
          </w:tcPr>
          <w:p w14:paraId="7D6179D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F8CEDE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7C8E751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002E5DC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0DD0692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0F5E7FB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7567E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16500</w:t>
            </w:r>
          </w:p>
        </w:tc>
        <w:tc>
          <w:tcPr>
            <w:tcW w:w="850" w:type="dxa"/>
          </w:tcPr>
          <w:p w14:paraId="0C3D240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209BD2F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патрон 225 шт.</w:t>
            </w:r>
          </w:p>
        </w:tc>
        <w:tc>
          <w:tcPr>
            <w:tcW w:w="1590" w:type="dxa"/>
          </w:tcPr>
          <w:p w14:paraId="14F9574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1E840AA" w14:textId="77777777" w:rsidTr="004C5D62">
        <w:tc>
          <w:tcPr>
            <w:tcW w:w="1526" w:type="dxa"/>
          </w:tcPr>
          <w:p w14:paraId="04CEE4D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02EA29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682140F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5EC54A9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51CAA7E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6697C26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709A47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0,8 Vмакс.</w:t>
            </w:r>
          </w:p>
        </w:tc>
        <w:tc>
          <w:tcPr>
            <w:tcW w:w="850" w:type="dxa"/>
          </w:tcPr>
          <w:p w14:paraId="77F721C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5ED894A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Назад:</w:t>
            </w:r>
          </w:p>
        </w:tc>
        <w:tc>
          <w:tcPr>
            <w:tcW w:w="1590" w:type="dxa"/>
          </w:tcPr>
          <w:p w14:paraId="35CAD8B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9EC5A24" w14:textId="77777777" w:rsidTr="004C5D62">
        <w:tc>
          <w:tcPr>
            <w:tcW w:w="1526" w:type="dxa"/>
          </w:tcPr>
          <w:p w14:paraId="06059A5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FFEDA9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0F159F2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4B87D7D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357014D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27DB7B3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A13501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1F44B0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53EF797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пулемет 12,7 мм</w:t>
            </w:r>
          </w:p>
        </w:tc>
        <w:tc>
          <w:tcPr>
            <w:tcW w:w="1590" w:type="dxa"/>
          </w:tcPr>
          <w:p w14:paraId="2513212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5C8A55C" w14:textId="77777777" w:rsidTr="004C5D62">
        <w:tc>
          <w:tcPr>
            <w:tcW w:w="1526" w:type="dxa"/>
          </w:tcPr>
          <w:p w14:paraId="2B4B0A0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8CC2DB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4C02C5C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21697C1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66CB602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2335203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821F2F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971BEE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7BB6467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патрон 330 шт.</w:t>
            </w:r>
          </w:p>
        </w:tc>
        <w:tc>
          <w:tcPr>
            <w:tcW w:w="1590" w:type="dxa"/>
          </w:tcPr>
          <w:p w14:paraId="1ABB12B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134F9BC" w14:textId="77777777" w:rsidTr="004C5D62">
        <w:tc>
          <w:tcPr>
            <w:tcW w:w="1526" w:type="dxa"/>
          </w:tcPr>
          <w:p w14:paraId="4D7C6F7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9CD3F8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120A542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314BA55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3E133C3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02FA17F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F7666F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C585AA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349AE2D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магазин питания</w:t>
            </w:r>
          </w:p>
        </w:tc>
        <w:tc>
          <w:tcPr>
            <w:tcW w:w="1590" w:type="dxa"/>
          </w:tcPr>
          <w:p w14:paraId="34FCCC4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F93D8FE" w14:textId="77777777" w:rsidTr="004C5D62">
        <w:tc>
          <w:tcPr>
            <w:tcW w:w="1526" w:type="dxa"/>
          </w:tcPr>
          <w:p w14:paraId="485D818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63E146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56A13B0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02639C8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42786DA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2112DF7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C1362C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EC1F70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322F06B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люков. пулемет</w:t>
            </w:r>
          </w:p>
        </w:tc>
        <w:tc>
          <w:tcPr>
            <w:tcW w:w="1590" w:type="dxa"/>
          </w:tcPr>
          <w:p w14:paraId="51204F6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A15C484" w14:textId="77777777" w:rsidTr="004C5D62">
        <w:tc>
          <w:tcPr>
            <w:tcW w:w="1526" w:type="dxa"/>
          </w:tcPr>
          <w:p w14:paraId="45F884A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A05E89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7FB8AE3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6B013B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2959E88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793B71A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8847E0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DE44C6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0A54E91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 мм</w:t>
            </w:r>
          </w:p>
        </w:tc>
        <w:tc>
          <w:tcPr>
            <w:tcW w:w="1590" w:type="dxa"/>
          </w:tcPr>
          <w:p w14:paraId="767FA62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C71BFA4" w14:textId="77777777" w:rsidTr="004C5D62">
        <w:tc>
          <w:tcPr>
            <w:tcW w:w="1526" w:type="dxa"/>
            <w:tcBorders>
              <w:bottom w:val="single" w:sz="12" w:space="0" w:color="auto"/>
            </w:tcBorders>
          </w:tcPr>
          <w:p w14:paraId="5020C52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Borders>
              <w:bottom w:val="single" w:sz="12" w:space="0" w:color="auto"/>
            </w:tcBorders>
          </w:tcPr>
          <w:p w14:paraId="14387B2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Borders>
              <w:bottom w:val="single" w:sz="12" w:space="0" w:color="auto"/>
            </w:tcBorders>
          </w:tcPr>
          <w:p w14:paraId="55D8748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Borders>
              <w:bottom w:val="single" w:sz="12" w:space="0" w:color="auto"/>
            </w:tcBorders>
          </w:tcPr>
          <w:p w14:paraId="6BFB738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Borders>
              <w:bottom w:val="single" w:sz="12" w:space="0" w:color="auto"/>
            </w:tcBorders>
          </w:tcPr>
          <w:p w14:paraId="288CC28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Borders>
              <w:bottom w:val="single" w:sz="12" w:space="0" w:color="auto"/>
            </w:tcBorders>
          </w:tcPr>
          <w:p w14:paraId="3B0EF0C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bottom w:val="single" w:sz="12" w:space="0" w:color="auto"/>
            </w:tcBorders>
          </w:tcPr>
          <w:p w14:paraId="473816A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4DC9D10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Borders>
              <w:bottom w:val="single" w:sz="12" w:space="0" w:color="auto"/>
            </w:tcBorders>
          </w:tcPr>
          <w:p w14:paraId="52648A2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патрон 265 шт.</w:t>
            </w:r>
          </w:p>
        </w:tc>
        <w:tc>
          <w:tcPr>
            <w:tcW w:w="1590" w:type="dxa"/>
            <w:tcBorders>
              <w:bottom w:val="single" w:sz="12" w:space="0" w:color="auto"/>
            </w:tcBorders>
          </w:tcPr>
          <w:p w14:paraId="7615C69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72D1D6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(1684,137).</w:t>
      </w:r>
    </w:p>
    <w:p w14:paraId="771B603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4647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мая 1942 были подготовлены:</w:t>
      </w:r>
    </w:p>
    <w:p w14:paraId="5329B5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данные новых опытных самолетов, находящихся в постройке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746"/>
        <w:gridCol w:w="841"/>
        <w:gridCol w:w="736"/>
        <w:gridCol w:w="736"/>
        <w:gridCol w:w="736"/>
        <w:gridCol w:w="883"/>
        <w:gridCol w:w="965"/>
        <w:gridCol w:w="1728"/>
        <w:gridCol w:w="1700"/>
      </w:tblGrid>
      <w:tr w:rsidR="007C5583" w:rsidRPr="008127F8" w14:paraId="7B87CC49" w14:textId="77777777" w:rsidTr="004C5D62">
        <w:tc>
          <w:tcPr>
            <w:tcW w:w="1526" w:type="dxa"/>
            <w:tcBorders>
              <w:top w:val="single" w:sz="12" w:space="0" w:color="auto"/>
            </w:tcBorders>
          </w:tcPr>
          <w:p w14:paraId="022D844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"И-185" с М-71</w:t>
            </w:r>
          </w:p>
        </w:tc>
        <w:tc>
          <w:tcPr>
            <w:tcW w:w="746" w:type="dxa"/>
            <w:tcBorders>
              <w:top w:val="single" w:sz="12" w:space="0" w:color="auto"/>
            </w:tcBorders>
          </w:tcPr>
          <w:p w14:paraId="27394EB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521</w:t>
            </w:r>
          </w:p>
        </w:tc>
        <w:tc>
          <w:tcPr>
            <w:tcW w:w="841" w:type="dxa"/>
            <w:tcBorders>
              <w:top w:val="single" w:sz="12" w:space="0" w:color="auto"/>
            </w:tcBorders>
          </w:tcPr>
          <w:p w14:paraId="5C8EC7E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630/6170</w:t>
            </w:r>
          </w:p>
        </w:tc>
        <w:tc>
          <w:tcPr>
            <w:tcW w:w="736" w:type="dxa"/>
            <w:tcBorders>
              <w:top w:val="single" w:sz="12" w:space="0" w:color="auto"/>
            </w:tcBorders>
          </w:tcPr>
          <w:p w14:paraId="6C97196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148</w:t>
            </w:r>
          </w:p>
        </w:tc>
        <w:tc>
          <w:tcPr>
            <w:tcW w:w="736" w:type="dxa"/>
            <w:tcBorders>
              <w:top w:val="single" w:sz="12" w:space="0" w:color="auto"/>
            </w:tcBorders>
          </w:tcPr>
          <w:p w14:paraId="7BB7026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w:t>
            </w:r>
          </w:p>
        </w:tc>
        <w:tc>
          <w:tcPr>
            <w:tcW w:w="736" w:type="dxa"/>
            <w:tcBorders>
              <w:top w:val="single" w:sz="12" w:space="0" w:color="auto"/>
            </w:tcBorders>
          </w:tcPr>
          <w:p w14:paraId="36E4E07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10000</w:t>
            </w:r>
          </w:p>
        </w:tc>
        <w:tc>
          <w:tcPr>
            <w:tcW w:w="883" w:type="dxa"/>
            <w:tcBorders>
              <w:top w:val="single" w:sz="12" w:space="0" w:color="auto"/>
            </w:tcBorders>
          </w:tcPr>
          <w:p w14:paraId="05834EF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835</w:t>
            </w:r>
          </w:p>
        </w:tc>
        <w:tc>
          <w:tcPr>
            <w:tcW w:w="965" w:type="dxa"/>
            <w:tcBorders>
              <w:top w:val="single" w:sz="12" w:space="0" w:color="auto"/>
            </w:tcBorders>
          </w:tcPr>
          <w:p w14:paraId="1978C2C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3500</w:t>
            </w:r>
          </w:p>
        </w:tc>
        <w:tc>
          <w:tcPr>
            <w:tcW w:w="1728" w:type="dxa"/>
            <w:tcBorders>
              <w:top w:val="single" w:sz="12" w:space="0" w:color="auto"/>
            </w:tcBorders>
          </w:tcPr>
          <w:p w14:paraId="48D61C5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пулемета</w:t>
            </w:r>
          </w:p>
        </w:tc>
        <w:tc>
          <w:tcPr>
            <w:tcW w:w="1700" w:type="dxa"/>
            <w:tcBorders>
              <w:top w:val="single" w:sz="12" w:space="0" w:color="auto"/>
            </w:tcBorders>
          </w:tcPr>
          <w:p w14:paraId="590A4F0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Отчет о совместн.</w:t>
            </w:r>
          </w:p>
        </w:tc>
      </w:tr>
      <w:tr w:rsidR="007C5583" w:rsidRPr="008127F8" w14:paraId="451194BC" w14:textId="77777777" w:rsidTr="004C5D62">
        <w:tc>
          <w:tcPr>
            <w:tcW w:w="1526" w:type="dxa"/>
          </w:tcPr>
          <w:p w14:paraId="23B5048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27C951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3071C8C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830B10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F04CDA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6529DF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A83EBB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31F5DE0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0,9 Vмакс.</w:t>
            </w:r>
          </w:p>
        </w:tc>
        <w:tc>
          <w:tcPr>
            <w:tcW w:w="1728" w:type="dxa"/>
          </w:tcPr>
          <w:p w14:paraId="4052E48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7,62 мм</w:t>
            </w:r>
          </w:p>
        </w:tc>
        <w:tc>
          <w:tcPr>
            <w:tcW w:w="1700" w:type="dxa"/>
          </w:tcPr>
          <w:p w14:paraId="47167EF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испытаниях НИИ</w:t>
            </w:r>
          </w:p>
        </w:tc>
      </w:tr>
      <w:tr w:rsidR="007C5583" w:rsidRPr="008127F8" w14:paraId="389ED6C1" w14:textId="77777777" w:rsidTr="004C5D62">
        <w:tc>
          <w:tcPr>
            <w:tcW w:w="1526" w:type="dxa"/>
          </w:tcPr>
          <w:p w14:paraId="4E83C35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FE8DE2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139F754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76403D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2F3DBB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04002E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2BCE79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740E2E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5F12352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1400 патрон</w:t>
            </w:r>
          </w:p>
        </w:tc>
        <w:tc>
          <w:tcPr>
            <w:tcW w:w="1700" w:type="dxa"/>
          </w:tcPr>
          <w:p w14:paraId="588D1D0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ВВС и завода </w:t>
            </w:r>
          </w:p>
        </w:tc>
      </w:tr>
      <w:tr w:rsidR="007C5583" w:rsidRPr="008127F8" w14:paraId="1BF2C73E" w14:textId="77777777" w:rsidTr="004C5D62">
        <w:tc>
          <w:tcPr>
            <w:tcW w:w="1526" w:type="dxa"/>
          </w:tcPr>
          <w:p w14:paraId="40A17BB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E13C78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27DACB7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FBCF91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5FABAA4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57B18E3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51A89A1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4C2BFEE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4EDDE31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пулемета</w:t>
            </w:r>
          </w:p>
        </w:tc>
        <w:tc>
          <w:tcPr>
            <w:tcW w:w="1700" w:type="dxa"/>
          </w:tcPr>
          <w:p w14:paraId="315EC68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N М-51-18С. От</w:t>
            </w:r>
          </w:p>
        </w:tc>
      </w:tr>
      <w:tr w:rsidR="007C5583" w:rsidRPr="008127F8" w14:paraId="372D7A5D" w14:textId="77777777" w:rsidTr="004C5D62">
        <w:tc>
          <w:tcPr>
            <w:tcW w:w="1526" w:type="dxa"/>
          </w:tcPr>
          <w:p w14:paraId="4BD250B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E6F695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7329789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904ED7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D178EC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BCD553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F4BE33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2D57CD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1C70CDC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 мм</w:t>
            </w:r>
          </w:p>
        </w:tc>
        <w:tc>
          <w:tcPr>
            <w:tcW w:w="1700" w:type="dxa"/>
          </w:tcPr>
          <w:p w14:paraId="2E9221F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11.IV.42 г.</w:t>
            </w:r>
          </w:p>
        </w:tc>
      </w:tr>
      <w:tr w:rsidR="007C5583" w:rsidRPr="008127F8" w14:paraId="60E24514" w14:textId="77777777" w:rsidTr="004C5D62">
        <w:tc>
          <w:tcPr>
            <w:tcW w:w="1526" w:type="dxa"/>
          </w:tcPr>
          <w:p w14:paraId="66BC0AC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6F5D7E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30684C1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C3C481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FA6F24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2AA3A2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786D81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4B1DD5D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52A12B8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440 патрон.</w:t>
            </w:r>
          </w:p>
        </w:tc>
        <w:tc>
          <w:tcPr>
            <w:tcW w:w="1700" w:type="dxa"/>
          </w:tcPr>
          <w:p w14:paraId="0C101AD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7E07A49" w14:textId="77777777" w:rsidTr="004C5D62">
        <w:tc>
          <w:tcPr>
            <w:tcW w:w="1526" w:type="dxa"/>
          </w:tcPr>
          <w:p w14:paraId="6380F91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5E0C59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7B0A053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A768EA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14C8D8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0DEC94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6DDCF3C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5080CF3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789B4EF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w:t>
            </w:r>
          </w:p>
        </w:tc>
        <w:tc>
          <w:tcPr>
            <w:tcW w:w="1700" w:type="dxa"/>
          </w:tcPr>
          <w:p w14:paraId="79316AF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E3C39AC" w14:textId="77777777" w:rsidTr="004C5D62">
        <w:tc>
          <w:tcPr>
            <w:tcW w:w="1526" w:type="dxa"/>
          </w:tcPr>
          <w:p w14:paraId="79C0418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F9E870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5FAEC6D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F0E57B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4487AE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BA08F5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9A7F41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3B4CF1E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11E7E33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перегрузку 500кг</w:t>
            </w:r>
          </w:p>
        </w:tc>
        <w:tc>
          <w:tcPr>
            <w:tcW w:w="1700" w:type="dxa"/>
          </w:tcPr>
          <w:p w14:paraId="08054BD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4E13D6F" w14:textId="77777777" w:rsidTr="004C5D62">
        <w:tc>
          <w:tcPr>
            <w:tcW w:w="1526" w:type="dxa"/>
          </w:tcPr>
          <w:p w14:paraId="777D53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E08854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47EDF63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F0AAA3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731CA5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C2C3FD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89961C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7F49379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36E6279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или 8РС-82.</w:t>
            </w:r>
          </w:p>
        </w:tc>
        <w:tc>
          <w:tcPr>
            <w:tcW w:w="1700" w:type="dxa"/>
          </w:tcPr>
          <w:p w14:paraId="368AC62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3105680" w14:textId="77777777" w:rsidTr="004C5D62">
        <w:tc>
          <w:tcPr>
            <w:tcW w:w="1526" w:type="dxa"/>
          </w:tcPr>
          <w:p w14:paraId="4FFE8EA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Одноместный</w:t>
            </w:r>
          </w:p>
        </w:tc>
        <w:tc>
          <w:tcPr>
            <w:tcW w:w="746" w:type="dxa"/>
          </w:tcPr>
          <w:p w14:paraId="73B4B4B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560</w:t>
            </w:r>
          </w:p>
        </w:tc>
        <w:tc>
          <w:tcPr>
            <w:tcW w:w="841" w:type="dxa"/>
          </w:tcPr>
          <w:p w14:paraId="768625A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700/7000</w:t>
            </w:r>
          </w:p>
        </w:tc>
        <w:tc>
          <w:tcPr>
            <w:tcW w:w="736" w:type="dxa"/>
          </w:tcPr>
          <w:p w14:paraId="135F48A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w:t>
            </w:r>
          </w:p>
        </w:tc>
        <w:tc>
          <w:tcPr>
            <w:tcW w:w="736" w:type="dxa"/>
          </w:tcPr>
          <w:p w14:paraId="4973893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5,35</w:t>
            </w:r>
          </w:p>
        </w:tc>
        <w:tc>
          <w:tcPr>
            <w:tcW w:w="736" w:type="dxa"/>
          </w:tcPr>
          <w:p w14:paraId="706496B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11000</w:t>
            </w:r>
          </w:p>
        </w:tc>
        <w:tc>
          <w:tcPr>
            <w:tcW w:w="883" w:type="dxa"/>
          </w:tcPr>
          <w:p w14:paraId="5DF6D51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965" w:type="dxa"/>
          </w:tcPr>
          <w:p w14:paraId="615A329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3550</w:t>
            </w:r>
          </w:p>
        </w:tc>
        <w:tc>
          <w:tcPr>
            <w:tcW w:w="1728" w:type="dxa"/>
          </w:tcPr>
          <w:p w14:paraId="5C52C2A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пушка 23 мм</w:t>
            </w:r>
          </w:p>
        </w:tc>
        <w:tc>
          <w:tcPr>
            <w:tcW w:w="1700" w:type="dxa"/>
          </w:tcPr>
          <w:p w14:paraId="6E01B8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Эскизный проект</w:t>
            </w:r>
          </w:p>
        </w:tc>
      </w:tr>
      <w:tr w:rsidR="007C5583" w:rsidRPr="008127F8" w14:paraId="750B20FE" w14:textId="77777777" w:rsidTr="004C5D62">
        <w:tc>
          <w:tcPr>
            <w:tcW w:w="1526" w:type="dxa"/>
          </w:tcPr>
          <w:p w14:paraId="34D34F5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истребитель типа</w:t>
            </w:r>
          </w:p>
        </w:tc>
        <w:tc>
          <w:tcPr>
            <w:tcW w:w="746" w:type="dxa"/>
          </w:tcPr>
          <w:p w14:paraId="299739C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298FA51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6BC2BA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BE2B10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2AD545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E88A9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2BD89A0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2F9AF4A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 снарядов</w:t>
            </w:r>
          </w:p>
        </w:tc>
        <w:tc>
          <w:tcPr>
            <w:tcW w:w="1700" w:type="dxa"/>
          </w:tcPr>
          <w:p w14:paraId="66A8CE9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E7C3A09" w14:textId="77777777" w:rsidTr="004C5D62">
        <w:tc>
          <w:tcPr>
            <w:tcW w:w="1526" w:type="dxa"/>
          </w:tcPr>
          <w:p w14:paraId="46FDA6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"Аэрокобра" с</w:t>
            </w:r>
          </w:p>
        </w:tc>
        <w:tc>
          <w:tcPr>
            <w:tcW w:w="746" w:type="dxa"/>
          </w:tcPr>
          <w:p w14:paraId="0BF53AD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59DE92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AA7679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33E921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277E5C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2CB6160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6078AA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10373F1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пулемета 12,7 мм</w:t>
            </w:r>
          </w:p>
        </w:tc>
        <w:tc>
          <w:tcPr>
            <w:tcW w:w="1700" w:type="dxa"/>
          </w:tcPr>
          <w:p w14:paraId="327BB28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0C7A339" w14:textId="77777777" w:rsidTr="004C5D62">
        <w:tc>
          <w:tcPr>
            <w:tcW w:w="1526" w:type="dxa"/>
          </w:tcPr>
          <w:p w14:paraId="0ECB3B1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М-37</w:t>
            </w:r>
          </w:p>
        </w:tc>
        <w:tc>
          <w:tcPr>
            <w:tcW w:w="746" w:type="dxa"/>
          </w:tcPr>
          <w:p w14:paraId="25A5E62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687C0E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A4579F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5665431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5CC7A8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085D32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790262E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6B98E25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 патрон</w:t>
            </w:r>
          </w:p>
        </w:tc>
        <w:tc>
          <w:tcPr>
            <w:tcW w:w="1700" w:type="dxa"/>
          </w:tcPr>
          <w:p w14:paraId="632F832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9356D2A" w14:textId="77777777" w:rsidTr="004C5D62">
        <w:tc>
          <w:tcPr>
            <w:tcW w:w="1526" w:type="dxa"/>
          </w:tcPr>
          <w:p w14:paraId="75CD87B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8DB5DC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42AA6CD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F1E7F7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00D191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188D39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92AE7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3E0025E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26BB6AF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пулемета 7,62 мм</w:t>
            </w:r>
          </w:p>
        </w:tc>
        <w:tc>
          <w:tcPr>
            <w:tcW w:w="1700" w:type="dxa"/>
          </w:tcPr>
          <w:p w14:paraId="7F040B6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EB16685" w14:textId="77777777" w:rsidTr="004C5D62">
        <w:tc>
          <w:tcPr>
            <w:tcW w:w="1526" w:type="dxa"/>
          </w:tcPr>
          <w:p w14:paraId="71A9D7D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BCB6A4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65B88E0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42DFF9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3B2CAD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D1BD67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FFEAC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7829C9B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762C051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1300 патрон</w:t>
            </w:r>
          </w:p>
        </w:tc>
        <w:tc>
          <w:tcPr>
            <w:tcW w:w="1700" w:type="dxa"/>
          </w:tcPr>
          <w:p w14:paraId="11CCF3C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D0ADC63" w14:textId="77777777" w:rsidTr="004C5D62">
        <w:tc>
          <w:tcPr>
            <w:tcW w:w="1526" w:type="dxa"/>
          </w:tcPr>
          <w:p w14:paraId="76B6E9D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 с М-107П</w:t>
            </w:r>
          </w:p>
        </w:tc>
        <w:tc>
          <w:tcPr>
            <w:tcW w:w="746" w:type="dxa"/>
          </w:tcPr>
          <w:p w14:paraId="62368C5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540</w:t>
            </w:r>
          </w:p>
        </w:tc>
        <w:tc>
          <w:tcPr>
            <w:tcW w:w="841" w:type="dxa"/>
          </w:tcPr>
          <w:p w14:paraId="61B2C35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665/6500</w:t>
            </w:r>
          </w:p>
        </w:tc>
        <w:tc>
          <w:tcPr>
            <w:tcW w:w="736" w:type="dxa"/>
          </w:tcPr>
          <w:p w14:paraId="21FCC35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w:t>
            </w:r>
          </w:p>
        </w:tc>
        <w:tc>
          <w:tcPr>
            <w:tcW w:w="736" w:type="dxa"/>
          </w:tcPr>
          <w:p w14:paraId="78DF89B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w:t>
            </w:r>
          </w:p>
        </w:tc>
        <w:tc>
          <w:tcPr>
            <w:tcW w:w="736" w:type="dxa"/>
          </w:tcPr>
          <w:p w14:paraId="32B253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9950</w:t>
            </w:r>
          </w:p>
        </w:tc>
        <w:tc>
          <w:tcPr>
            <w:tcW w:w="883" w:type="dxa"/>
          </w:tcPr>
          <w:p w14:paraId="7E3537F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963/1270</w:t>
            </w:r>
          </w:p>
        </w:tc>
        <w:tc>
          <w:tcPr>
            <w:tcW w:w="965" w:type="dxa"/>
          </w:tcPr>
          <w:p w14:paraId="5AB080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3800/4200</w:t>
            </w:r>
          </w:p>
        </w:tc>
        <w:tc>
          <w:tcPr>
            <w:tcW w:w="1728" w:type="dxa"/>
          </w:tcPr>
          <w:p w14:paraId="4045628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пушка 20 мм</w:t>
            </w:r>
          </w:p>
        </w:tc>
        <w:tc>
          <w:tcPr>
            <w:tcW w:w="1700" w:type="dxa"/>
          </w:tcPr>
          <w:p w14:paraId="40E2EF8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Эскизный проект</w:t>
            </w:r>
          </w:p>
        </w:tc>
      </w:tr>
      <w:tr w:rsidR="007C5583" w:rsidRPr="008127F8" w14:paraId="533A7E5E" w14:textId="77777777" w:rsidTr="004C5D62">
        <w:tc>
          <w:tcPr>
            <w:tcW w:w="1526" w:type="dxa"/>
          </w:tcPr>
          <w:p w14:paraId="04B5A87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80CC9A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2DA0DF2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F9D28E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B36913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76EA5E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ADF797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3A43AF4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Н=7500</w:t>
            </w:r>
          </w:p>
        </w:tc>
        <w:tc>
          <w:tcPr>
            <w:tcW w:w="1728" w:type="dxa"/>
          </w:tcPr>
          <w:p w14:paraId="51A944D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 снарядов</w:t>
            </w:r>
          </w:p>
        </w:tc>
        <w:tc>
          <w:tcPr>
            <w:tcW w:w="1700" w:type="dxa"/>
          </w:tcPr>
          <w:p w14:paraId="65C1B49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BA86D19" w14:textId="77777777" w:rsidTr="004C5D62">
        <w:tc>
          <w:tcPr>
            <w:tcW w:w="1526" w:type="dxa"/>
          </w:tcPr>
          <w:p w14:paraId="060EB0B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C9F45A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053F452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74D836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3B7A94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57E65AA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B31235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6725BCE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0,9 Vмакс.</w:t>
            </w:r>
          </w:p>
        </w:tc>
        <w:tc>
          <w:tcPr>
            <w:tcW w:w="1728" w:type="dxa"/>
          </w:tcPr>
          <w:p w14:paraId="2DCD1D9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пулемета 7,62 мм</w:t>
            </w:r>
          </w:p>
        </w:tc>
        <w:tc>
          <w:tcPr>
            <w:tcW w:w="1700" w:type="dxa"/>
          </w:tcPr>
          <w:p w14:paraId="30F5401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292E329" w14:textId="77777777" w:rsidTr="004C5D62">
        <w:tc>
          <w:tcPr>
            <w:tcW w:w="1526" w:type="dxa"/>
          </w:tcPr>
          <w:p w14:paraId="176E41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BD3E18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0A7F046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5D9BF7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D92E0F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6CE42E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1EA18A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0CBF712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276442B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1600 патрон</w:t>
            </w:r>
          </w:p>
        </w:tc>
        <w:tc>
          <w:tcPr>
            <w:tcW w:w="1700" w:type="dxa"/>
          </w:tcPr>
          <w:p w14:paraId="4C5FCEF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6B7104E" w14:textId="77777777" w:rsidTr="004C5D62">
        <w:tc>
          <w:tcPr>
            <w:tcW w:w="1526" w:type="dxa"/>
          </w:tcPr>
          <w:p w14:paraId="2821516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13C5DB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23E32C8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5D2F75E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0CC0B3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ED742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31C3CB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3D5149A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72824FD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пулемета 12,7 мм</w:t>
            </w:r>
          </w:p>
        </w:tc>
        <w:tc>
          <w:tcPr>
            <w:tcW w:w="1700" w:type="dxa"/>
          </w:tcPr>
          <w:p w14:paraId="0C3E8D1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97D9188" w14:textId="77777777" w:rsidTr="004C5D62">
        <w:tc>
          <w:tcPr>
            <w:tcW w:w="1526" w:type="dxa"/>
          </w:tcPr>
          <w:p w14:paraId="47F96A9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67AC5B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6EFF294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DDEC2E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5E7465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481990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AD932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3973743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1D3DB39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350 патрон</w:t>
            </w:r>
          </w:p>
        </w:tc>
        <w:tc>
          <w:tcPr>
            <w:tcW w:w="1700" w:type="dxa"/>
          </w:tcPr>
          <w:p w14:paraId="631FE41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20D1EED" w14:textId="77777777" w:rsidTr="004C5D62">
        <w:tc>
          <w:tcPr>
            <w:tcW w:w="1526" w:type="dxa"/>
          </w:tcPr>
          <w:p w14:paraId="4144E61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 с М-120ТК</w:t>
            </w:r>
          </w:p>
        </w:tc>
        <w:tc>
          <w:tcPr>
            <w:tcW w:w="746" w:type="dxa"/>
          </w:tcPr>
          <w:p w14:paraId="0B3B2E5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460</w:t>
            </w:r>
          </w:p>
        </w:tc>
        <w:tc>
          <w:tcPr>
            <w:tcW w:w="841" w:type="dxa"/>
          </w:tcPr>
          <w:p w14:paraId="786C6A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610/</w:t>
            </w:r>
          </w:p>
        </w:tc>
        <w:tc>
          <w:tcPr>
            <w:tcW w:w="736" w:type="dxa"/>
          </w:tcPr>
          <w:p w14:paraId="723EE6F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115</w:t>
            </w:r>
          </w:p>
        </w:tc>
        <w:tc>
          <w:tcPr>
            <w:tcW w:w="736" w:type="dxa"/>
          </w:tcPr>
          <w:p w14:paraId="722EDD8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36" w:type="dxa"/>
          </w:tcPr>
          <w:p w14:paraId="0AF486F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11400</w:t>
            </w:r>
          </w:p>
        </w:tc>
        <w:tc>
          <w:tcPr>
            <w:tcW w:w="883" w:type="dxa"/>
          </w:tcPr>
          <w:p w14:paraId="61EB6BC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3200/</w:t>
            </w:r>
          </w:p>
        </w:tc>
        <w:tc>
          <w:tcPr>
            <w:tcW w:w="965" w:type="dxa"/>
          </w:tcPr>
          <w:p w14:paraId="1F91AEC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15000/</w:t>
            </w:r>
          </w:p>
        </w:tc>
        <w:tc>
          <w:tcPr>
            <w:tcW w:w="1728" w:type="dxa"/>
          </w:tcPr>
          <w:p w14:paraId="32EA85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Вперед: 1 пулемет</w:t>
            </w:r>
          </w:p>
        </w:tc>
        <w:tc>
          <w:tcPr>
            <w:tcW w:w="1700" w:type="dxa"/>
          </w:tcPr>
          <w:p w14:paraId="6A0B642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00B8313" w14:textId="77777777" w:rsidTr="004C5D62">
        <w:tc>
          <w:tcPr>
            <w:tcW w:w="1526" w:type="dxa"/>
          </w:tcPr>
          <w:p w14:paraId="5C685B3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A8117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3574B84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59CF7E5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82EF96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D22621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10000</w:t>
            </w:r>
          </w:p>
        </w:tc>
        <w:tc>
          <w:tcPr>
            <w:tcW w:w="883" w:type="dxa"/>
          </w:tcPr>
          <w:p w14:paraId="7B1A1AB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4500</w:t>
            </w:r>
          </w:p>
        </w:tc>
        <w:tc>
          <w:tcPr>
            <w:tcW w:w="965" w:type="dxa"/>
          </w:tcPr>
          <w:p w14:paraId="337FE32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16200</w:t>
            </w:r>
          </w:p>
        </w:tc>
        <w:tc>
          <w:tcPr>
            <w:tcW w:w="1728" w:type="dxa"/>
          </w:tcPr>
          <w:p w14:paraId="4C3B299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7,62 мм</w:t>
            </w:r>
          </w:p>
        </w:tc>
        <w:tc>
          <w:tcPr>
            <w:tcW w:w="1700" w:type="dxa"/>
          </w:tcPr>
          <w:p w14:paraId="14B6489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C528D47" w14:textId="77777777" w:rsidTr="004C5D62">
        <w:tc>
          <w:tcPr>
            <w:tcW w:w="1526" w:type="dxa"/>
          </w:tcPr>
          <w:p w14:paraId="44B04EE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AD026C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5E6C43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A66BA4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520601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B6BCA7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142667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6B6177A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153964F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Назад: 1 пулемет</w:t>
            </w:r>
          </w:p>
        </w:tc>
        <w:tc>
          <w:tcPr>
            <w:tcW w:w="1700" w:type="dxa"/>
          </w:tcPr>
          <w:p w14:paraId="55E34EC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83D864D" w14:textId="77777777" w:rsidTr="004C5D62">
        <w:tc>
          <w:tcPr>
            <w:tcW w:w="1526" w:type="dxa"/>
          </w:tcPr>
          <w:p w14:paraId="560293D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BEF728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6C099EC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81DFEA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1C03B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6C0BC6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2B08366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751BBA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43C9CE1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 мм, 1 пулемет</w:t>
            </w:r>
          </w:p>
        </w:tc>
        <w:tc>
          <w:tcPr>
            <w:tcW w:w="1700" w:type="dxa"/>
          </w:tcPr>
          <w:p w14:paraId="2FF5154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6ED3B08" w14:textId="77777777" w:rsidTr="004C5D62">
        <w:tc>
          <w:tcPr>
            <w:tcW w:w="1526" w:type="dxa"/>
          </w:tcPr>
          <w:p w14:paraId="1B56257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2E7485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0DCF788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B5029C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D5FF42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527AC2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E034DF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1FD3171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0029615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7,62 мм (турель)</w:t>
            </w:r>
          </w:p>
        </w:tc>
        <w:tc>
          <w:tcPr>
            <w:tcW w:w="1700" w:type="dxa"/>
          </w:tcPr>
          <w:p w14:paraId="4E88F35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3712F86" w14:textId="77777777" w:rsidTr="004C5D62">
        <w:tc>
          <w:tcPr>
            <w:tcW w:w="1526" w:type="dxa"/>
          </w:tcPr>
          <w:p w14:paraId="05FEA0F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472BFC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11344C8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E67931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6834D0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62EAD5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7BC5AA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0FEEFC0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5E46A0E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пулемет 12,7 мм</w:t>
            </w:r>
          </w:p>
        </w:tc>
        <w:tc>
          <w:tcPr>
            <w:tcW w:w="1700" w:type="dxa"/>
          </w:tcPr>
          <w:p w14:paraId="5696D4D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6609572" w14:textId="77777777" w:rsidTr="004C5D62">
        <w:tc>
          <w:tcPr>
            <w:tcW w:w="1526" w:type="dxa"/>
          </w:tcPr>
          <w:p w14:paraId="5839109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03DE2F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013A135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C0423F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5E4287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CF09CD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5BD597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4C1E0C0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37BFAA8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(люковый)</w:t>
            </w:r>
          </w:p>
        </w:tc>
        <w:tc>
          <w:tcPr>
            <w:tcW w:w="1700" w:type="dxa"/>
          </w:tcPr>
          <w:p w14:paraId="4EFCE16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B4A4630" w14:textId="77777777" w:rsidTr="004C5D62">
        <w:tc>
          <w:tcPr>
            <w:tcW w:w="1526" w:type="dxa"/>
          </w:tcPr>
          <w:p w14:paraId="52520C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 с МБ-100</w:t>
            </w:r>
          </w:p>
        </w:tc>
        <w:tc>
          <w:tcPr>
            <w:tcW w:w="746" w:type="dxa"/>
          </w:tcPr>
          <w:p w14:paraId="30B6A5C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487</w:t>
            </w:r>
          </w:p>
        </w:tc>
        <w:tc>
          <w:tcPr>
            <w:tcW w:w="841" w:type="dxa"/>
          </w:tcPr>
          <w:p w14:paraId="6A019E6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573/5000</w:t>
            </w:r>
          </w:p>
        </w:tc>
        <w:tc>
          <w:tcPr>
            <w:tcW w:w="736" w:type="dxa"/>
          </w:tcPr>
          <w:p w14:paraId="5B25AAB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w:t>
            </w:r>
          </w:p>
        </w:tc>
        <w:tc>
          <w:tcPr>
            <w:tcW w:w="736" w:type="dxa"/>
          </w:tcPr>
          <w:p w14:paraId="4F13AA5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736" w:type="dxa"/>
          </w:tcPr>
          <w:p w14:paraId="4079ABD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9050</w:t>
            </w:r>
          </w:p>
        </w:tc>
        <w:tc>
          <w:tcPr>
            <w:tcW w:w="883" w:type="dxa"/>
          </w:tcPr>
          <w:p w14:paraId="16C2E6E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965" w:type="dxa"/>
          </w:tcPr>
          <w:p w14:paraId="4E1FCB9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16069/18435</w:t>
            </w:r>
          </w:p>
        </w:tc>
        <w:tc>
          <w:tcPr>
            <w:tcW w:w="1728" w:type="dxa"/>
          </w:tcPr>
          <w:p w14:paraId="34D1F36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пушек 20 мм</w:t>
            </w:r>
          </w:p>
        </w:tc>
        <w:tc>
          <w:tcPr>
            <w:tcW w:w="1700" w:type="dxa"/>
          </w:tcPr>
          <w:p w14:paraId="7573EC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Эскизный проект</w:t>
            </w:r>
          </w:p>
        </w:tc>
      </w:tr>
      <w:tr w:rsidR="007C5583" w:rsidRPr="008127F8" w14:paraId="16471894" w14:textId="77777777" w:rsidTr="004C5D62">
        <w:tc>
          <w:tcPr>
            <w:tcW w:w="1526" w:type="dxa"/>
          </w:tcPr>
          <w:p w14:paraId="6B738DF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B19C6D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36EE3A6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C42D3B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5AC0CE9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1C2A99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3EFB4F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6DFDE4F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w:t>
            </w:r>
          </w:p>
        </w:tc>
        <w:tc>
          <w:tcPr>
            <w:tcW w:w="1728" w:type="dxa"/>
          </w:tcPr>
          <w:p w14:paraId="40456F8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1450 снарядов</w:t>
            </w:r>
          </w:p>
        </w:tc>
        <w:tc>
          <w:tcPr>
            <w:tcW w:w="1700" w:type="dxa"/>
          </w:tcPr>
          <w:p w14:paraId="42D591C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7AE70E2" w14:textId="77777777" w:rsidTr="004C5D62">
        <w:tc>
          <w:tcPr>
            <w:tcW w:w="1526" w:type="dxa"/>
          </w:tcPr>
          <w:p w14:paraId="4086949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5FF793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34D9FF5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A253D3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1AB336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FE1273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BA9D5B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0D79004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760BCCF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w:t>
            </w:r>
          </w:p>
        </w:tc>
        <w:tc>
          <w:tcPr>
            <w:tcW w:w="1700" w:type="dxa"/>
          </w:tcPr>
          <w:p w14:paraId="3DC2727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1E890D1" w14:textId="77777777" w:rsidTr="004C5D62">
        <w:tc>
          <w:tcPr>
            <w:tcW w:w="1526" w:type="dxa"/>
          </w:tcPr>
          <w:p w14:paraId="2A2D81A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ED34DD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7B5EF69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52700D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458B11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98EAFE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1FEDDA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798A140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412E370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 норм.,</w:t>
            </w:r>
          </w:p>
        </w:tc>
        <w:tc>
          <w:tcPr>
            <w:tcW w:w="1700" w:type="dxa"/>
          </w:tcPr>
          <w:p w14:paraId="2501676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F9D0E9A" w14:textId="77777777" w:rsidTr="004C5D62">
        <w:tc>
          <w:tcPr>
            <w:tcW w:w="1526" w:type="dxa"/>
          </w:tcPr>
          <w:p w14:paraId="120876D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9C3286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7EF220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9E8190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815AF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2FAF96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13DA7F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6561DBF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764081D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перегр. 3000 кг</w:t>
            </w:r>
          </w:p>
        </w:tc>
        <w:tc>
          <w:tcPr>
            <w:tcW w:w="1700" w:type="dxa"/>
          </w:tcPr>
          <w:p w14:paraId="23C249F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F0497A6" w14:textId="77777777" w:rsidTr="004C5D62">
        <w:tc>
          <w:tcPr>
            <w:tcW w:w="1526" w:type="dxa"/>
          </w:tcPr>
          <w:p w14:paraId="774623C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"Су-6" с М-71</w:t>
            </w:r>
          </w:p>
        </w:tc>
        <w:tc>
          <w:tcPr>
            <w:tcW w:w="746" w:type="dxa"/>
          </w:tcPr>
          <w:p w14:paraId="58D7709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483</w:t>
            </w:r>
          </w:p>
        </w:tc>
        <w:tc>
          <w:tcPr>
            <w:tcW w:w="841" w:type="dxa"/>
          </w:tcPr>
          <w:p w14:paraId="5C0849D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530/2500</w:t>
            </w:r>
          </w:p>
        </w:tc>
        <w:tc>
          <w:tcPr>
            <w:tcW w:w="736" w:type="dxa"/>
          </w:tcPr>
          <w:p w14:paraId="4504D0C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w:t>
            </w:r>
          </w:p>
        </w:tc>
        <w:tc>
          <w:tcPr>
            <w:tcW w:w="736" w:type="dxa"/>
          </w:tcPr>
          <w:p w14:paraId="64C989A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36" w:type="dxa"/>
          </w:tcPr>
          <w:p w14:paraId="22B2AA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9500</w:t>
            </w:r>
          </w:p>
        </w:tc>
        <w:tc>
          <w:tcPr>
            <w:tcW w:w="883" w:type="dxa"/>
          </w:tcPr>
          <w:p w14:paraId="3B33960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 с</w:t>
            </w:r>
          </w:p>
        </w:tc>
        <w:tc>
          <w:tcPr>
            <w:tcW w:w="965" w:type="dxa"/>
          </w:tcPr>
          <w:p w14:paraId="450EB5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5250</w:t>
            </w:r>
          </w:p>
        </w:tc>
        <w:tc>
          <w:tcPr>
            <w:tcW w:w="1728" w:type="dxa"/>
          </w:tcPr>
          <w:p w14:paraId="604D23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пушки 23 мм</w:t>
            </w:r>
          </w:p>
        </w:tc>
        <w:tc>
          <w:tcPr>
            <w:tcW w:w="1700" w:type="dxa"/>
          </w:tcPr>
          <w:p w14:paraId="0A580D5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проекту пост.</w:t>
            </w:r>
          </w:p>
        </w:tc>
      </w:tr>
      <w:tr w:rsidR="007C5583" w:rsidRPr="008127F8" w14:paraId="5C920A79" w14:textId="77777777" w:rsidTr="004C5D62">
        <w:tc>
          <w:tcPr>
            <w:tcW w:w="1526" w:type="dxa"/>
          </w:tcPr>
          <w:p w14:paraId="1E3A9B5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967138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12650C9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9A0E1E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C0868F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9AE943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29797B7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3483655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РС</w:t>
            </w:r>
          </w:p>
        </w:tc>
        <w:tc>
          <w:tcPr>
            <w:tcW w:w="1728" w:type="dxa"/>
          </w:tcPr>
          <w:p w14:paraId="2FD4A3C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 снарядов</w:t>
            </w:r>
          </w:p>
        </w:tc>
        <w:tc>
          <w:tcPr>
            <w:tcW w:w="1700" w:type="dxa"/>
          </w:tcPr>
          <w:p w14:paraId="0B9B36C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войсковой</w:t>
            </w:r>
          </w:p>
        </w:tc>
      </w:tr>
      <w:tr w:rsidR="007C5583" w:rsidRPr="008127F8" w14:paraId="53E575DF" w14:textId="77777777" w:rsidTr="004C5D62">
        <w:tc>
          <w:tcPr>
            <w:tcW w:w="1526" w:type="dxa"/>
          </w:tcPr>
          <w:p w14:paraId="69A8A00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510A8E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6B2C76C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3D516A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0D3737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B0171C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5177899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71E5F73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1E4ABE6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пулемета</w:t>
            </w:r>
          </w:p>
        </w:tc>
        <w:tc>
          <w:tcPr>
            <w:tcW w:w="1700" w:type="dxa"/>
          </w:tcPr>
          <w:p w14:paraId="3476FD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серии</w:t>
            </w:r>
          </w:p>
        </w:tc>
      </w:tr>
      <w:tr w:rsidR="007C5583" w:rsidRPr="008127F8" w14:paraId="1D045AAB" w14:textId="77777777" w:rsidTr="004C5D62">
        <w:tc>
          <w:tcPr>
            <w:tcW w:w="1526" w:type="dxa"/>
          </w:tcPr>
          <w:p w14:paraId="24E7D11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C4D3A7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69C8E2A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5AAB675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CA89CE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B97D5A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AED61F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3FD4B81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5EA654D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7,62 мм - 3200</w:t>
            </w:r>
          </w:p>
        </w:tc>
        <w:tc>
          <w:tcPr>
            <w:tcW w:w="1700" w:type="dxa"/>
          </w:tcPr>
          <w:p w14:paraId="2E12A9A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40E4CC3" w14:textId="77777777" w:rsidTr="004C5D62">
        <w:tc>
          <w:tcPr>
            <w:tcW w:w="1526" w:type="dxa"/>
          </w:tcPr>
          <w:p w14:paraId="4B171F8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12123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7F5C052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83F45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E63856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B02AD0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0B46D9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64DBF17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64CC7A3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патрон</w:t>
            </w:r>
          </w:p>
        </w:tc>
        <w:tc>
          <w:tcPr>
            <w:tcW w:w="1700" w:type="dxa"/>
          </w:tcPr>
          <w:p w14:paraId="13796B1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6D15F9B" w14:textId="77777777" w:rsidTr="004C5D62">
        <w:tc>
          <w:tcPr>
            <w:tcW w:w="1526" w:type="dxa"/>
          </w:tcPr>
          <w:p w14:paraId="23A3B4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A5FB02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23F57E6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BFF95D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723C06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198255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4DCC40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545A444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25FAF12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w:t>
            </w:r>
          </w:p>
        </w:tc>
        <w:tc>
          <w:tcPr>
            <w:tcW w:w="1700" w:type="dxa"/>
          </w:tcPr>
          <w:p w14:paraId="27021AF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7522C5D" w14:textId="77777777" w:rsidTr="004C5D62">
        <w:tc>
          <w:tcPr>
            <w:tcW w:w="1526" w:type="dxa"/>
          </w:tcPr>
          <w:p w14:paraId="794D8A0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EB5551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7D8EE4E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DF0EBB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E902F3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C6F1E9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DF4DAF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5580652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39B68BC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 кг с перегруз.</w:t>
            </w:r>
          </w:p>
        </w:tc>
        <w:tc>
          <w:tcPr>
            <w:tcW w:w="1700" w:type="dxa"/>
          </w:tcPr>
          <w:p w14:paraId="2B1DF52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2D40E5DD" w14:textId="77777777" w:rsidTr="004C5D62">
        <w:tc>
          <w:tcPr>
            <w:tcW w:w="1526" w:type="dxa"/>
          </w:tcPr>
          <w:p w14:paraId="667CADC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82445E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029B4E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B16773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7E97EF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3B964E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5A601C0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3420F26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6F00C89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 кг и 10РС-82</w:t>
            </w:r>
          </w:p>
        </w:tc>
        <w:tc>
          <w:tcPr>
            <w:tcW w:w="1700" w:type="dxa"/>
          </w:tcPr>
          <w:p w14:paraId="0C1C1AE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4821DA2" w14:textId="77777777" w:rsidTr="004C5D62">
        <w:tc>
          <w:tcPr>
            <w:tcW w:w="1526" w:type="dxa"/>
          </w:tcPr>
          <w:p w14:paraId="2DBF0FE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"ТИС" с АМ-37</w:t>
            </w:r>
          </w:p>
        </w:tc>
        <w:tc>
          <w:tcPr>
            <w:tcW w:w="746" w:type="dxa"/>
          </w:tcPr>
          <w:p w14:paraId="15D0CDE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502</w:t>
            </w:r>
          </w:p>
        </w:tc>
        <w:tc>
          <w:tcPr>
            <w:tcW w:w="841" w:type="dxa"/>
          </w:tcPr>
          <w:p w14:paraId="067711D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628/8000</w:t>
            </w:r>
          </w:p>
        </w:tc>
        <w:tc>
          <w:tcPr>
            <w:tcW w:w="736" w:type="dxa"/>
          </w:tcPr>
          <w:p w14:paraId="20F474E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134</w:t>
            </w:r>
          </w:p>
        </w:tc>
        <w:tc>
          <w:tcPr>
            <w:tcW w:w="736" w:type="dxa"/>
          </w:tcPr>
          <w:p w14:paraId="5D353E7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36" w:type="dxa"/>
          </w:tcPr>
          <w:p w14:paraId="5EAA742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10700</w:t>
            </w:r>
          </w:p>
        </w:tc>
        <w:tc>
          <w:tcPr>
            <w:tcW w:w="883" w:type="dxa"/>
          </w:tcPr>
          <w:p w14:paraId="4C37185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1260/</w:t>
            </w:r>
          </w:p>
        </w:tc>
        <w:tc>
          <w:tcPr>
            <w:tcW w:w="965" w:type="dxa"/>
          </w:tcPr>
          <w:p w14:paraId="78ACC9F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7000/7794</w:t>
            </w:r>
          </w:p>
        </w:tc>
        <w:tc>
          <w:tcPr>
            <w:tcW w:w="1728" w:type="dxa"/>
          </w:tcPr>
          <w:p w14:paraId="17CC1FA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пушки 20 мм</w:t>
            </w:r>
          </w:p>
        </w:tc>
        <w:tc>
          <w:tcPr>
            <w:tcW w:w="1700" w:type="dxa"/>
          </w:tcPr>
          <w:p w14:paraId="0CE83D3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Эскизный проект</w:t>
            </w:r>
          </w:p>
        </w:tc>
      </w:tr>
      <w:tr w:rsidR="007C5583" w:rsidRPr="008127F8" w14:paraId="6BE59881" w14:textId="77777777" w:rsidTr="004C5D62">
        <w:tc>
          <w:tcPr>
            <w:tcW w:w="1526" w:type="dxa"/>
          </w:tcPr>
          <w:p w14:paraId="4EB7ACD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76E778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63ECD54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FBDFCA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692449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45D6DD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F4B413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0511EE1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2230</w:t>
            </w:r>
          </w:p>
        </w:tc>
        <w:tc>
          <w:tcPr>
            <w:tcW w:w="1728" w:type="dxa"/>
          </w:tcPr>
          <w:p w14:paraId="1BE6CB3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800 снарядов</w:t>
            </w:r>
          </w:p>
        </w:tc>
        <w:tc>
          <w:tcPr>
            <w:tcW w:w="1700" w:type="dxa"/>
          </w:tcPr>
          <w:p w14:paraId="000F741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216BBCE6" w14:textId="77777777" w:rsidTr="004C5D62">
        <w:tc>
          <w:tcPr>
            <w:tcW w:w="1526" w:type="dxa"/>
          </w:tcPr>
          <w:p w14:paraId="62187A4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017251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72F6F1D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6A9BDE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8E7CC5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F971BF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5319B8D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1CD3DFB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073AA61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пулемета 12,7 мм</w:t>
            </w:r>
          </w:p>
        </w:tc>
        <w:tc>
          <w:tcPr>
            <w:tcW w:w="1700" w:type="dxa"/>
          </w:tcPr>
          <w:p w14:paraId="7002405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A632B9A" w14:textId="77777777" w:rsidTr="004C5D62">
        <w:tc>
          <w:tcPr>
            <w:tcW w:w="1526" w:type="dxa"/>
          </w:tcPr>
          <w:p w14:paraId="3D3A954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B7E8B5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10B405F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55660A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DC7954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CB79D9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B2666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2B344DF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10A106C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 патрон</w:t>
            </w:r>
          </w:p>
        </w:tc>
        <w:tc>
          <w:tcPr>
            <w:tcW w:w="1700" w:type="dxa"/>
          </w:tcPr>
          <w:p w14:paraId="0C8DE3A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1FE3AE1" w14:textId="77777777" w:rsidTr="004C5D62">
        <w:tc>
          <w:tcPr>
            <w:tcW w:w="1526" w:type="dxa"/>
          </w:tcPr>
          <w:p w14:paraId="098C73B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C3ED80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41F1EA5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8B70FB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1E408E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4372D5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3D4044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47B4FA2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04EE56C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пулеметов 7,62 мм</w:t>
            </w:r>
          </w:p>
        </w:tc>
        <w:tc>
          <w:tcPr>
            <w:tcW w:w="1700" w:type="dxa"/>
          </w:tcPr>
          <w:p w14:paraId="4684069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678C512" w14:textId="77777777" w:rsidTr="004C5D62">
        <w:tc>
          <w:tcPr>
            <w:tcW w:w="1526" w:type="dxa"/>
          </w:tcPr>
          <w:p w14:paraId="2125AA0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CF86B5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2139D2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253FEE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B67C04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6478EF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244CEF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64C55BE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0264B71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6300 патрон;</w:t>
            </w:r>
          </w:p>
        </w:tc>
        <w:tc>
          <w:tcPr>
            <w:tcW w:w="1700" w:type="dxa"/>
          </w:tcPr>
          <w:p w14:paraId="6CD1C4D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B032883" w14:textId="77777777" w:rsidTr="004C5D62">
        <w:tc>
          <w:tcPr>
            <w:tcW w:w="1526" w:type="dxa"/>
          </w:tcPr>
          <w:p w14:paraId="222D1C0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799263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095CC90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797F2D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B4C2D4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470AF7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20933F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061A5C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3C64EE1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 в перегрузку</w:t>
            </w:r>
          </w:p>
        </w:tc>
        <w:tc>
          <w:tcPr>
            <w:tcW w:w="1700" w:type="dxa"/>
          </w:tcPr>
          <w:p w14:paraId="070DE47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7B996BE" w14:textId="77777777" w:rsidTr="004C5D62">
        <w:tc>
          <w:tcPr>
            <w:tcW w:w="1526" w:type="dxa"/>
          </w:tcPr>
          <w:p w14:paraId="0335FDA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9510E9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45A99AA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69F342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4A00E6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B54C67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E4F205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7C98AAA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07D6DA7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 кг</w:t>
            </w:r>
          </w:p>
        </w:tc>
        <w:tc>
          <w:tcPr>
            <w:tcW w:w="1700" w:type="dxa"/>
          </w:tcPr>
          <w:p w14:paraId="588740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5577CCA" w14:textId="77777777" w:rsidTr="004C5D62">
        <w:tc>
          <w:tcPr>
            <w:tcW w:w="1526" w:type="dxa"/>
          </w:tcPr>
          <w:p w14:paraId="05D8E4A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"ИТП" с АМ-37</w:t>
            </w:r>
          </w:p>
        </w:tc>
        <w:tc>
          <w:tcPr>
            <w:tcW w:w="746" w:type="dxa"/>
          </w:tcPr>
          <w:p w14:paraId="6CC85DD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535</w:t>
            </w:r>
          </w:p>
        </w:tc>
        <w:tc>
          <w:tcPr>
            <w:tcW w:w="841" w:type="dxa"/>
          </w:tcPr>
          <w:p w14:paraId="5DC3E68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670/7400</w:t>
            </w:r>
          </w:p>
        </w:tc>
        <w:tc>
          <w:tcPr>
            <w:tcW w:w="736" w:type="dxa"/>
          </w:tcPr>
          <w:p w14:paraId="3F6FAD8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w:t>
            </w:r>
          </w:p>
        </w:tc>
        <w:tc>
          <w:tcPr>
            <w:tcW w:w="736" w:type="dxa"/>
          </w:tcPr>
          <w:p w14:paraId="3A60B76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w:t>
            </w:r>
          </w:p>
        </w:tc>
        <w:tc>
          <w:tcPr>
            <w:tcW w:w="736" w:type="dxa"/>
          </w:tcPr>
          <w:p w14:paraId="2B6906C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83" w:type="dxa"/>
          </w:tcPr>
          <w:p w14:paraId="773676C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1030/</w:t>
            </w:r>
          </w:p>
        </w:tc>
        <w:tc>
          <w:tcPr>
            <w:tcW w:w="965" w:type="dxa"/>
          </w:tcPr>
          <w:p w14:paraId="7F78AD9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3547/3690</w:t>
            </w:r>
          </w:p>
        </w:tc>
        <w:tc>
          <w:tcPr>
            <w:tcW w:w="1728" w:type="dxa"/>
          </w:tcPr>
          <w:p w14:paraId="53A8D50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пушка 37 мм</w:t>
            </w:r>
          </w:p>
        </w:tc>
        <w:tc>
          <w:tcPr>
            <w:tcW w:w="1700" w:type="dxa"/>
          </w:tcPr>
          <w:p w14:paraId="0F01063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Эскизный проект</w:t>
            </w:r>
          </w:p>
        </w:tc>
      </w:tr>
      <w:tr w:rsidR="007C5583" w:rsidRPr="008127F8" w14:paraId="60AA2E11" w14:textId="77777777" w:rsidTr="004C5D62">
        <w:tc>
          <w:tcPr>
            <w:tcW w:w="1526" w:type="dxa"/>
          </w:tcPr>
          <w:p w14:paraId="785B15F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965A01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2ABC18D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D1161D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EE46E3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C653B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62B213A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64A9FFB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1350</w:t>
            </w:r>
          </w:p>
        </w:tc>
        <w:tc>
          <w:tcPr>
            <w:tcW w:w="1728" w:type="dxa"/>
          </w:tcPr>
          <w:p w14:paraId="68C49CF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 снарядов</w:t>
            </w:r>
          </w:p>
        </w:tc>
        <w:tc>
          <w:tcPr>
            <w:tcW w:w="1700" w:type="dxa"/>
          </w:tcPr>
          <w:p w14:paraId="59C7CA5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681DD83" w14:textId="77777777" w:rsidTr="004C5D62">
        <w:tc>
          <w:tcPr>
            <w:tcW w:w="1526" w:type="dxa"/>
          </w:tcPr>
          <w:p w14:paraId="7BB6206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5072F7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4FB5E7A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084438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D1ED6A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31C906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59DC251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6D88D31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3517792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пушки 20 мм</w:t>
            </w:r>
          </w:p>
        </w:tc>
        <w:tc>
          <w:tcPr>
            <w:tcW w:w="1700" w:type="dxa"/>
          </w:tcPr>
          <w:p w14:paraId="60902F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2532CD7" w14:textId="77777777" w:rsidTr="004C5D62">
        <w:tc>
          <w:tcPr>
            <w:tcW w:w="1526" w:type="dxa"/>
          </w:tcPr>
          <w:p w14:paraId="0F1BA00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1D6807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0D0BF66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EF7BF3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16F112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CF2925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0E3CBE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7E12F3C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381FDBD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 снарядов</w:t>
            </w:r>
          </w:p>
        </w:tc>
        <w:tc>
          <w:tcPr>
            <w:tcW w:w="1700" w:type="dxa"/>
          </w:tcPr>
          <w:p w14:paraId="39425F6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0B1E7AA" w14:textId="77777777" w:rsidTr="004C5D62">
        <w:tc>
          <w:tcPr>
            <w:tcW w:w="1526" w:type="dxa"/>
          </w:tcPr>
          <w:p w14:paraId="0BEC0AF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96CD3C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5F049E4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F38094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3C9486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BEA8B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FFD4E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33C8D2B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3A4814B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пулемета 7,62 мм</w:t>
            </w:r>
          </w:p>
        </w:tc>
        <w:tc>
          <w:tcPr>
            <w:tcW w:w="1700" w:type="dxa"/>
          </w:tcPr>
          <w:p w14:paraId="7A4E80D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29737D4A" w14:textId="77777777" w:rsidTr="004C5D62">
        <w:tc>
          <w:tcPr>
            <w:tcW w:w="1526" w:type="dxa"/>
          </w:tcPr>
          <w:p w14:paraId="34112EB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239E0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516CF72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5C53919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D059E6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B99DC7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8AC547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1630534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56F6ED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 патрон</w:t>
            </w:r>
          </w:p>
        </w:tc>
        <w:tc>
          <w:tcPr>
            <w:tcW w:w="1700" w:type="dxa"/>
          </w:tcPr>
          <w:p w14:paraId="5A02689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DC7DD12" w14:textId="77777777" w:rsidTr="004C5D62">
        <w:tc>
          <w:tcPr>
            <w:tcW w:w="1526" w:type="dxa"/>
          </w:tcPr>
          <w:p w14:paraId="4E9A533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176CB2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155B97A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5D5429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167CCA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5622246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6DBCDD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6975DC4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6990316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w:t>
            </w:r>
          </w:p>
        </w:tc>
        <w:tc>
          <w:tcPr>
            <w:tcW w:w="1700" w:type="dxa"/>
          </w:tcPr>
          <w:p w14:paraId="5BC55E8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FFE998F" w14:textId="77777777" w:rsidTr="004C5D62">
        <w:tc>
          <w:tcPr>
            <w:tcW w:w="1526" w:type="dxa"/>
            <w:tcBorders>
              <w:bottom w:val="single" w:sz="12" w:space="0" w:color="auto"/>
            </w:tcBorders>
          </w:tcPr>
          <w:p w14:paraId="3778E3B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Borders>
              <w:bottom w:val="single" w:sz="12" w:space="0" w:color="auto"/>
            </w:tcBorders>
          </w:tcPr>
          <w:p w14:paraId="33C3C33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Borders>
              <w:bottom w:val="single" w:sz="12" w:space="0" w:color="auto"/>
            </w:tcBorders>
          </w:tcPr>
          <w:p w14:paraId="7824B42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Borders>
              <w:bottom w:val="single" w:sz="12" w:space="0" w:color="auto"/>
            </w:tcBorders>
          </w:tcPr>
          <w:p w14:paraId="3320053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Borders>
              <w:bottom w:val="single" w:sz="12" w:space="0" w:color="auto"/>
            </w:tcBorders>
          </w:tcPr>
          <w:p w14:paraId="6E75397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Borders>
              <w:bottom w:val="single" w:sz="12" w:space="0" w:color="auto"/>
            </w:tcBorders>
          </w:tcPr>
          <w:p w14:paraId="222986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bottom w:val="single" w:sz="12" w:space="0" w:color="auto"/>
            </w:tcBorders>
          </w:tcPr>
          <w:p w14:paraId="2E25764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Borders>
              <w:bottom w:val="single" w:sz="12" w:space="0" w:color="auto"/>
            </w:tcBorders>
          </w:tcPr>
          <w:p w14:paraId="6E36B19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bottom w:val="single" w:sz="12" w:space="0" w:color="auto"/>
            </w:tcBorders>
          </w:tcPr>
          <w:p w14:paraId="4348ECF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перегрузку 200 кг</w:t>
            </w:r>
          </w:p>
        </w:tc>
        <w:tc>
          <w:tcPr>
            <w:tcW w:w="1700" w:type="dxa"/>
            <w:tcBorders>
              <w:bottom w:val="single" w:sz="12" w:space="0" w:color="auto"/>
            </w:tcBorders>
          </w:tcPr>
          <w:p w14:paraId="5FB78F3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0555D59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(1684,139).</w:t>
      </w:r>
    </w:p>
    <w:p w14:paraId="48F00F7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8E53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мая 1942 были подготовлены:</w:t>
      </w:r>
    </w:p>
    <w:p w14:paraId="3B3848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данные серийных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720"/>
        <w:gridCol w:w="702"/>
        <w:gridCol w:w="702"/>
        <w:gridCol w:w="702"/>
        <w:gridCol w:w="630"/>
        <w:gridCol w:w="1080"/>
        <w:gridCol w:w="660"/>
        <w:gridCol w:w="660"/>
        <w:gridCol w:w="660"/>
        <w:gridCol w:w="541"/>
        <w:gridCol w:w="1217"/>
        <w:gridCol w:w="949"/>
      </w:tblGrid>
      <w:tr w:rsidR="007C5583" w:rsidRPr="008127F8" w14:paraId="76F4C6B6" w14:textId="77777777" w:rsidTr="004C5D62">
        <w:tc>
          <w:tcPr>
            <w:tcW w:w="1384" w:type="dxa"/>
            <w:tcBorders>
              <w:top w:val="single" w:sz="12" w:space="0" w:color="auto"/>
            </w:tcBorders>
          </w:tcPr>
          <w:p w14:paraId="7932122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w:t>
            </w:r>
          </w:p>
        </w:tc>
        <w:tc>
          <w:tcPr>
            <w:tcW w:w="720" w:type="dxa"/>
            <w:tcBorders>
              <w:top w:val="single" w:sz="12" w:space="0" w:color="auto"/>
            </w:tcBorders>
          </w:tcPr>
          <w:p w14:paraId="10F09CF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w:t>
            </w:r>
          </w:p>
        </w:tc>
        <w:tc>
          <w:tcPr>
            <w:tcW w:w="702" w:type="dxa"/>
            <w:tcBorders>
              <w:top w:val="single" w:sz="12" w:space="0" w:color="auto"/>
            </w:tcBorders>
          </w:tcPr>
          <w:p w14:paraId="79C3A94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w:t>
            </w:r>
          </w:p>
        </w:tc>
        <w:tc>
          <w:tcPr>
            <w:tcW w:w="702" w:type="dxa"/>
            <w:tcBorders>
              <w:top w:val="single" w:sz="12" w:space="0" w:color="auto"/>
            </w:tcBorders>
          </w:tcPr>
          <w:p w14:paraId="6242871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Посад.</w:t>
            </w:r>
          </w:p>
        </w:tc>
        <w:tc>
          <w:tcPr>
            <w:tcW w:w="702" w:type="dxa"/>
            <w:tcBorders>
              <w:top w:val="single" w:sz="12" w:space="0" w:color="auto"/>
            </w:tcBorders>
          </w:tcPr>
          <w:p w14:paraId="2D45B6C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w:t>
            </w:r>
          </w:p>
        </w:tc>
        <w:tc>
          <w:tcPr>
            <w:tcW w:w="630" w:type="dxa"/>
            <w:tcBorders>
              <w:top w:val="single" w:sz="12" w:space="0" w:color="auto"/>
            </w:tcBorders>
          </w:tcPr>
          <w:p w14:paraId="6682C5D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Потолок</w:t>
            </w:r>
          </w:p>
        </w:tc>
        <w:tc>
          <w:tcPr>
            <w:tcW w:w="1080" w:type="dxa"/>
            <w:tcBorders>
              <w:top w:val="single" w:sz="12" w:space="0" w:color="auto"/>
            </w:tcBorders>
          </w:tcPr>
          <w:p w14:paraId="41EBB99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w:t>
            </w:r>
          </w:p>
        </w:tc>
        <w:tc>
          <w:tcPr>
            <w:tcW w:w="660" w:type="dxa"/>
            <w:tcBorders>
              <w:top w:val="single" w:sz="12" w:space="0" w:color="auto"/>
            </w:tcBorders>
          </w:tcPr>
          <w:p w14:paraId="0B3CC24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w:t>
            </w:r>
          </w:p>
        </w:tc>
        <w:tc>
          <w:tcPr>
            <w:tcW w:w="660" w:type="dxa"/>
            <w:tcBorders>
              <w:top w:val="single" w:sz="12" w:space="0" w:color="auto"/>
            </w:tcBorders>
          </w:tcPr>
          <w:p w14:paraId="34F7175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Разбег</w:t>
            </w:r>
          </w:p>
        </w:tc>
        <w:tc>
          <w:tcPr>
            <w:tcW w:w="660" w:type="dxa"/>
            <w:tcBorders>
              <w:top w:val="single" w:sz="12" w:space="0" w:color="auto"/>
            </w:tcBorders>
          </w:tcPr>
          <w:p w14:paraId="0647E2E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Пробег</w:t>
            </w:r>
          </w:p>
        </w:tc>
        <w:tc>
          <w:tcPr>
            <w:tcW w:w="541" w:type="dxa"/>
            <w:tcBorders>
              <w:top w:val="single" w:sz="12" w:space="0" w:color="auto"/>
            </w:tcBorders>
          </w:tcPr>
          <w:p w14:paraId="0ED8F13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w:t>
            </w:r>
          </w:p>
        </w:tc>
        <w:tc>
          <w:tcPr>
            <w:tcW w:w="1217" w:type="dxa"/>
            <w:tcBorders>
              <w:top w:val="single" w:sz="12" w:space="0" w:color="auto"/>
            </w:tcBorders>
          </w:tcPr>
          <w:p w14:paraId="33AAAC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w:t>
            </w:r>
          </w:p>
        </w:tc>
        <w:tc>
          <w:tcPr>
            <w:tcW w:w="949" w:type="dxa"/>
            <w:tcBorders>
              <w:top w:val="single" w:sz="12" w:space="0" w:color="auto"/>
            </w:tcBorders>
          </w:tcPr>
          <w:p w14:paraId="35A430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Источник</w:t>
            </w:r>
          </w:p>
        </w:tc>
      </w:tr>
      <w:tr w:rsidR="007C5583" w:rsidRPr="008127F8" w14:paraId="72B2E6CF" w14:textId="77777777" w:rsidTr="004C5D62">
        <w:tc>
          <w:tcPr>
            <w:tcW w:w="1384" w:type="dxa"/>
          </w:tcPr>
          <w:p w14:paraId="2778282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7AA547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земли</w:t>
            </w:r>
          </w:p>
        </w:tc>
        <w:tc>
          <w:tcPr>
            <w:tcW w:w="702" w:type="dxa"/>
          </w:tcPr>
          <w:p w14:paraId="6C7808D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w:t>
            </w:r>
          </w:p>
        </w:tc>
        <w:tc>
          <w:tcPr>
            <w:tcW w:w="702" w:type="dxa"/>
          </w:tcPr>
          <w:p w14:paraId="53F7FA3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w:t>
            </w:r>
          </w:p>
        </w:tc>
        <w:tc>
          <w:tcPr>
            <w:tcW w:w="702" w:type="dxa"/>
          </w:tcPr>
          <w:p w14:paraId="6B480A2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подъема</w:t>
            </w:r>
          </w:p>
        </w:tc>
        <w:tc>
          <w:tcPr>
            <w:tcW w:w="630" w:type="dxa"/>
          </w:tcPr>
          <w:p w14:paraId="45B9FD5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w:t>
            </w:r>
          </w:p>
        </w:tc>
        <w:tc>
          <w:tcPr>
            <w:tcW w:w="1080" w:type="dxa"/>
          </w:tcPr>
          <w:p w14:paraId="0B37D82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86D28A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виража</w:t>
            </w:r>
          </w:p>
        </w:tc>
        <w:tc>
          <w:tcPr>
            <w:tcW w:w="660" w:type="dxa"/>
          </w:tcPr>
          <w:p w14:paraId="0EBEC8D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w:t>
            </w:r>
          </w:p>
        </w:tc>
        <w:tc>
          <w:tcPr>
            <w:tcW w:w="660" w:type="dxa"/>
          </w:tcPr>
          <w:p w14:paraId="482AF4E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w:t>
            </w:r>
          </w:p>
        </w:tc>
        <w:tc>
          <w:tcPr>
            <w:tcW w:w="541" w:type="dxa"/>
          </w:tcPr>
          <w:p w14:paraId="33015EB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кг</w:t>
            </w:r>
          </w:p>
        </w:tc>
        <w:tc>
          <w:tcPr>
            <w:tcW w:w="1217" w:type="dxa"/>
          </w:tcPr>
          <w:p w14:paraId="569B59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20C2F80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данных</w:t>
            </w:r>
          </w:p>
        </w:tc>
      </w:tr>
      <w:tr w:rsidR="007C5583" w:rsidRPr="008127F8" w14:paraId="109385C8" w14:textId="77777777" w:rsidTr="004C5D62">
        <w:tc>
          <w:tcPr>
            <w:tcW w:w="1384" w:type="dxa"/>
          </w:tcPr>
          <w:p w14:paraId="544D761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AB8BAA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км/час</w:t>
            </w:r>
          </w:p>
        </w:tc>
        <w:tc>
          <w:tcPr>
            <w:tcW w:w="702" w:type="dxa"/>
          </w:tcPr>
          <w:p w14:paraId="5BDD987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высоте</w:t>
            </w:r>
          </w:p>
        </w:tc>
        <w:tc>
          <w:tcPr>
            <w:tcW w:w="702" w:type="dxa"/>
          </w:tcPr>
          <w:p w14:paraId="5F30155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км/час</w:t>
            </w:r>
          </w:p>
        </w:tc>
        <w:tc>
          <w:tcPr>
            <w:tcW w:w="702" w:type="dxa"/>
          </w:tcPr>
          <w:p w14:paraId="52AF25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w:t>
            </w:r>
          </w:p>
        </w:tc>
        <w:tc>
          <w:tcPr>
            <w:tcW w:w="630" w:type="dxa"/>
          </w:tcPr>
          <w:p w14:paraId="243EDEF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1AFBA0E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258F0E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w:t>
            </w:r>
          </w:p>
        </w:tc>
        <w:tc>
          <w:tcPr>
            <w:tcW w:w="660" w:type="dxa"/>
          </w:tcPr>
          <w:p w14:paraId="691F654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47C281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5A1A93A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8A0635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4C0FAE0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719F661" w14:textId="77777777" w:rsidTr="004C5D62">
        <w:tc>
          <w:tcPr>
            <w:tcW w:w="1384" w:type="dxa"/>
          </w:tcPr>
          <w:p w14:paraId="067FF13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555C79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6D6A1F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км/час</w:t>
            </w:r>
          </w:p>
        </w:tc>
        <w:tc>
          <w:tcPr>
            <w:tcW w:w="702" w:type="dxa"/>
          </w:tcPr>
          <w:p w14:paraId="230FED2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50AA19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 м</w:t>
            </w:r>
          </w:p>
        </w:tc>
        <w:tc>
          <w:tcPr>
            <w:tcW w:w="630" w:type="dxa"/>
          </w:tcPr>
          <w:p w14:paraId="73E66B0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9A4124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65F07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 м</w:t>
            </w:r>
          </w:p>
        </w:tc>
        <w:tc>
          <w:tcPr>
            <w:tcW w:w="660" w:type="dxa"/>
          </w:tcPr>
          <w:p w14:paraId="16AD2A0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C314BC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5A35860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5262DDB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35E0409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097F5BC" w14:textId="77777777" w:rsidTr="004C5D62">
        <w:tc>
          <w:tcPr>
            <w:tcW w:w="1384" w:type="dxa"/>
          </w:tcPr>
          <w:p w14:paraId="3A0DE32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1D0D33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344DD9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3F5010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935655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w:t>
            </w:r>
          </w:p>
        </w:tc>
        <w:tc>
          <w:tcPr>
            <w:tcW w:w="630" w:type="dxa"/>
          </w:tcPr>
          <w:p w14:paraId="407D14A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198F4B9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953239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w:t>
            </w:r>
          </w:p>
        </w:tc>
        <w:tc>
          <w:tcPr>
            <w:tcW w:w="660" w:type="dxa"/>
          </w:tcPr>
          <w:p w14:paraId="758A16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D8940A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581661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0362EA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69A8ECF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55E3F1D" w14:textId="77777777" w:rsidTr="004C5D62">
        <w:tc>
          <w:tcPr>
            <w:tcW w:w="1384" w:type="dxa"/>
          </w:tcPr>
          <w:p w14:paraId="30BAE8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Як-1 с М-105П</w:t>
            </w:r>
          </w:p>
        </w:tc>
        <w:tc>
          <w:tcPr>
            <w:tcW w:w="720" w:type="dxa"/>
          </w:tcPr>
          <w:p w14:paraId="0D7BB00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471</w:t>
            </w:r>
          </w:p>
        </w:tc>
        <w:tc>
          <w:tcPr>
            <w:tcW w:w="702" w:type="dxa"/>
          </w:tcPr>
          <w:p w14:paraId="5D1CA4D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560/4800</w:t>
            </w:r>
          </w:p>
        </w:tc>
        <w:tc>
          <w:tcPr>
            <w:tcW w:w="702" w:type="dxa"/>
          </w:tcPr>
          <w:p w14:paraId="2EED34C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w:t>
            </w:r>
          </w:p>
        </w:tc>
        <w:tc>
          <w:tcPr>
            <w:tcW w:w="702" w:type="dxa"/>
          </w:tcPr>
          <w:p w14:paraId="5D0DD01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6,2</w:t>
            </w:r>
          </w:p>
        </w:tc>
        <w:tc>
          <w:tcPr>
            <w:tcW w:w="630" w:type="dxa"/>
          </w:tcPr>
          <w:p w14:paraId="75F4E57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10000</w:t>
            </w:r>
          </w:p>
        </w:tc>
        <w:tc>
          <w:tcPr>
            <w:tcW w:w="1080" w:type="dxa"/>
          </w:tcPr>
          <w:p w14:paraId="4F14ABC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600-620</w:t>
            </w:r>
          </w:p>
        </w:tc>
        <w:tc>
          <w:tcPr>
            <w:tcW w:w="660" w:type="dxa"/>
          </w:tcPr>
          <w:p w14:paraId="670FA4B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w:t>
            </w:r>
          </w:p>
        </w:tc>
        <w:tc>
          <w:tcPr>
            <w:tcW w:w="660" w:type="dxa"/>
          </w:tcPr>
          <w:p w14:paraId="5E2F317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340</w:t>
            </w:r>
          </w:p>
        </w:tc>
        <w:tc>
          <w:tcPr>
            <w:tcW w:w="660" w:type="dxa"/>
          </w:tcPr>
          <w:p w14:paraId="5389570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520</w:t>
            </w:r>
          </w:p>
        </w:tc>
        <w:tc>
          <w:tcPr>
            <w:tcW w:w="541" w:type="dxa"/>
          </w:tcPr>
          <w:p w14:paraId="56DD901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2985</w:t>
            </w:r>
          </w:p>
        </w:tc>
        <w:tc>
          <w:tcPr>
            <w:tcW w:w="1217" w:type="dxa"/>
          </w:tcPr>
          <w:p w14:paraId="0CEDEB0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пушка 20 мм</w:t>
            </w:r>
          </w:p>
        </w:tc>
        <w:tc>
          <w:tcPr>
            <w:tcW w:w="949" w:type="dxa"/>
          </w:tcPr>
          <w:p w14:paraId="1E5DF3C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Отчет</w:t>
            </w:r>
          </w:p>
        </w:tc>
      </w:tr>
      <w:tr w:rsidR="007C5583" w:rsidRPr="008127F8" w14:paraId="76C1D9BE" w14:textId="77777777" w:rsidTr="004C5D62">
        <w:tc>
          <w:tcPr>
            <w:tcW w:w="1384" w:type="dxa"/>
          </w:tcPr>
          <w:p w14:paraId="5BA7EDE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 с-ты</w:t>
            </w:r>
          </w:p>
        </w:tc>
        <w:tc>
          <w:tcPr>
            <w:tcW w:w="720" w:type="dxa"/>
          </w:tcPr>
          <w:p w14:paraId="545DF9B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44138D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52F8B9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C0C069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466833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BC38D3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w:t>
            </w:r>
          </w:p>
        </w:tc>
        <w:tc>
          <w:tcPr>
            <w:tcW w:w="660" w:type="dxa"/>
          </w:tcPr>
          <w:p w14:paraId="480D93C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BEC266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D8AB5E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D705ED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AF4343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 снарядов</w:t>
            </w:r>
          </w:p>
        </w:tc>
        <w:tc>
          <w:tcPr>
            <w:tcW w:w="949" w:type="dxa"/>
          </w:tcPr>
          <w:p w14:paraId="75847D2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НИИ </w:t>
            </w:r>
          </w:p>
        </w:tc>
      </w:tr>
      <w:tr w:rsidR="007C5583" w:rsidRPr="008127F8" w14:paraId="6381953F" w14:textId="77777777" w:rsidTr="004C5D62">
        <w:tc>
          <w:tcPr>
            <w:tcW w:w="1384" w:type="dxa"/>
          </w:tcPr>
          <w:p w14:paraId="05CB3E0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NN 2029 и 3855</w:t>
            </w:r>
          </w:p>
        </w:tc>
        <w:tc>
          <w:tcPr>
            <w:tcW w:w="720" w:type="dxa"/>
          </w:tcPr>
          <w:p w14:paraId="6117F4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F1551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FF3D0D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79F1A9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DCD3C2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589575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Н-5000м</w:t>
            </w:r>
          </w:p>
        </w:tc>
        <w:tc>
          <w:tcPr>
            <w:tcW w:w="660" w:type="dxa"/>
          </w:tcPr>
          <w:p w14:paraId="20E8A72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86086D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A22990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C54E1E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F6C392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 7,62мм</w:t>
            </w:r>
          </w:p>
        </w:tc>
        <w:tc>
          <w:tcPr>
            <w:tcW w:w="949" w:type="dxa"/>
          </w:tcPr>
          <w:p w14:paraId="05D8A6B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ВВС о</w:t>
            </w:r>
          </w:p>
        </w:tc>
      </w:tr>
      <w:tr w:rsidR="007C5583" w:rsidRPr="008127F8" w14:paraId="7FD6EC47" w14:textId="77777777" w:rsidTr="004C5D62">
        <w:tc>
          <w:tcPr>
            <w:tcW w:w="1384" w:type="dxa"/>
          </w:tcPr>
          <w:p w14:paraId="7D47840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B9FE65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05478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3A4E7A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8587EE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608A4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4A2755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0,9 Vмакс.</w:t>
            </w:r>
          </w:p>
        </w:tc>
        <w:tc>
          <w:tcPr>
            <w:tcW w:w="660" w:type="dxa"/>
          </w:tcPr>
          <w:p w14:paraId="177D359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97CF24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967C8F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D957B8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AB0D50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 патрон</w:t>
            </w:r>
          </w:p>
        </w:tc>
        <w:tc>
          <w:tcPr>
            <w:tcW w:w="949" w:type="dxa"/>
          </w:tcPr>
          <w:p w14:paraId="0CE9C92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контрол.</w:t>
            </w:r>
          </w:p>
        </w:tc>
      </w:tr>
      <w:tr w:rsidR="007C5583" w:rsidRPr="008127F8" w14:paraId="6A7F6F0A" w14:textId="77777777" w:rsidTr="004C5D62">
        <w:tc>
          <w:tcPr>
            <w:tcW w:w="1384" w:type="dxa"/>
          </w:tcPr>
          <w:p w14:paraId="73335D7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494CFC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BF3FEC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A80F67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07B66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9155CD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33972D2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730-750</w:t>
            </w:r>
          </w:p>
        </w:tc>
        <w:tc>
          <w:tcPr>
            <w:tcW w:w="660" w:type="dxa"/>
          </w:tcPr>
          <w:p w14:paraId="49ACCA0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4CE33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5A406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0A3977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EF788F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6РО-82 мм</w:t>
            </w:r>
          </w:p>
        </w:tc>
        <w:tc>
          <w:tcPr>
            <w:tcW w:w="949" w:type="dxa"/>
          </w:tcPr>
          <w:p w14:paraId="494EAE3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w:t>
            </w:r>
          </w:p>
        </w:tc>
      </w:tr>
      <w:tr w:rsidR="007C5583" w:rsidRPr="008127F8" w14:paraId="4B993DF9" w14:textId="77777777" w:rsidTr="004C5D62">
        <w:tc>
          <w:tcPr>
            <w:tcW w:w="1384" w:type="dxa"/>
          </w:tcPr>
          <w:p w14:paraId="35D3CFC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9D652B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E301F6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730B17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2150B4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C5E95F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3ABB8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км на 0,76</w:t>
            </w:r>
          </w:p>
        </w:tc>
        <w:tc>
          <w:tcPr>
            <w:tcW w:w="660" w:type="dxa"/>
          </w:tcPr>
          <w:p w14:paraId="4DDDD11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1AC1F4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33997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37CA55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3FE088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23D8B4B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проведен.</w:t>
            </w:r>
          </w:p>
        </w:tc>
      </w:tr>
      <w:tr w:rsidR="007C5583" w:rsidRPr="008127F8" w14:paraId="283888AD" w14:textId="77777777" w:rsidTr="004C5D62">
        <w:tc>
          <w:tcPr>
            <w:tcW w:w="1384" w:type="dxa"/>
          </w:tcPr>
          <w:p w14:paraId="50EB587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FADB35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5C69A0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F0EDA3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7D6B00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22B9E8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3E6EBF9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Vмакс</w:t>
            </w:r>
          </w:p>
        </w:tc>
        <w:tc>
          <w:tcPr>
            <w:tcW w:w="660" w:type="dxa"/>
          </w:tcPr>
          <w:p w14:paraId="39BA114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235947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C8D00C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5864B06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9D164B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6112C5B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w:t>
            </w:r>
          </w:p>
        </w:tc>
      </w:tr>
      <w:tr w:rsidR="007C5583" w:rsidRPr="008127F8" w14:paraId="7F903048" w14:textId="77777777" w:rsidTr="004C5D62">
        <w:tc>
          <w:tcPr>
            <w:tcW w:w="1384" w:type="dxa"/>
          </w:tcPr>
          <w:p w14:paraId="1BE0245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0DF397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EAC102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9F4690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06F2EF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469991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5223D02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2F4D06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4EC5C7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AA3C83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844223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8E29CE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18AB52B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апреле</w:t>
            </w:r>
          </w:p>
        </w:tc>
      </w:tr>
      <w:tr w:rsidR="007C5583" w:rsidRPr="008127F8" w14:paraId="50B82A87" w14:textId="77777777" w:rsidTr="004C5D62">
        <w:tc>
          <w:tcPr>
            <w:tcW w:w="1384" w:type="dxa"/>
          </w:tcPr>
          <w:p w14:paraId="59992E2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48C222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F07DEE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C002E5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DFED6B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480D24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1D108BF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ED590B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21C9E9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EFD850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EE4A2B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44393D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4F8C341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r>
      <w:tr w:rsidR="007C5583" w:rsidRPr="008127F8" w14:paraId="23825567" w14:textId="77777777" w:rsidTr="004C5D62">
        <w:tc>
          <w:tcPr>
            <w:tcW w:w="1384" w:type="dxa"/>
          </w:tcPr>
          <w:p w14:paraId="44446FC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Як-7Б с М-105П</w:t>
            </w:r>
          </w:p>
        </w:tc>
        <w:tc>
          <w:tcPr>
            <w:tcW w:w="720" w:type="dxa"/>
          </w:tcPr>
          <w:p w14:paraId="108042D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702" w:type="dxa"/>
          </w:tcPr>
          <w:p w14:paraId="2390F20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580/4850</w:t>
            </w:r>
          </w:p>
        </w:tc>
        <w:tc>
          <w:tcPr>
            <w:tcW w:w="702" w:type="dxa"/>
          </w:tcPr>
          <w:p w14:paraId="0AA1815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w:t>
            </w:r>
          </w:p>
        </w:tc>
        <w:tc>
          <w:tcPr>
            <w:tcW w:w="702" w:type="dxa"/>
          </w:tcPr>
          <w:p w14:paraId="70EB79B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w:t>
            </w:r>
          </w:p>
        </w:tc>
        <w:tc>
          <w:tcPr>
            <w:tcW w:w="630" w:type="dxa"/>
          </w:tcPr>
          <w:p w14:paraId="14A9212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10000</w:t>
            </w:r>
          </w:p>
        </w:tc>
        <w:tc>
          <w:tcPr>
            <w:tcW w:w="1080" w:type="dxa"/>
          </w:tcPr>
          <w:p w14:paraId="376A57B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610-625</w:t>
            </w:r>
          </w:p>
        </w:tc>
        <w:tc>
          <w:tcPr>
            <w:tcW w:w="660" w:type="dxa"/>
          </w:tcPr>
          <w:p w14:paraId="05B50E2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660" w:type="dxa"/>
          </w:tcPr>
          <w:p w14:paraId="0DECF13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340</w:t>
            </w:r>
          </w:p>
        </w:tc>
        <w:tc>
          <w:tcPr>
            <w:tcW w:w="660" w:type="dxa"/>
          </w:tcPr>
          <w:p w14:paraId="55EEBF4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540</w:t>
            </w:r>
          </w:p>
        </w:tc>
        <w:tc>
          <w:tcPr>
            <w:tcW w:w="541" w:type="dxa"/>
          </w:tcPr>
          <w:p w14:paraId="432C904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3042</w:t>
            </w:r>
          </w:p>
        </w:tc>
        <w:tc>
          <w:tcPr>
            <w:tcW w:w="1217" w:type="dxa"/>
          </w:tcPr>
          <w:p w14:paraId="1FA9032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пушка 20 мм</w:t>
            </w:r>
          </w:p>
        </w:tc>
        <w:tc>
          <w:tcPr>
            <w:tcW w:w="949" w:type="dxa"/>
          </w:tcPr>
          <w:p w14:paraId="31EB1B4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Отчет</w:t>
            </w:r>
          </w:p>
        </w:tc>
      </w:tr>
      <w:tr w:rsidR="007C5583" w:rsidRPr="008127F8" w14:paraId="79C51CD2" w14:textId="77777777" w:rsidTr="004C5D62">
        <w:tc>
          <w:tcPr>
            <w:tcW w:w="1384" w:type="dxa"/>
          </w:tcPr>
          <w:p w14:paraId="5A13056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N 1413,</w:t>
            </w:r>
          </w:p>
        </w:tc>
        <w:tc>
          <w:tcPr>
            <w:tcW w:w="720" w:type="dxa"/>
          </w:tcPr>
          <w:p w14:paraId="26C2B74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6FDF27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74C7B2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C1C730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A75F62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A707CB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н-5000 м на</w:t>
            </w:r>
          </w:p>
        </w:tc>
        <w:tc>
          <w:tcPr>
            <w:tcW w:w="660" w:type="dxa"/>
          </w:tcPr>
          <w:p w14:paraId="186CACA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C28636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47A2D0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E1D36E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1CF6CC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 снарядов</w:t>
            </w:r>
          </w:p>
        </w:tc>
        <w:tc>
          <w:tcPr>
            <w:tcW w:w="949" w:type="dxa"/>
          </w:tcPr>
          <w:p w14:paraId="3D8D88C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совместн.</w:t>
            </w:r>
          </w:p>
        </w:tc>
      </w:tr>
      <w:tr w:rsidR="007C5583" w:rsidRPr="008127F8" w14:paraId="12804ABC" w14:textId="77777777" w:rsidTr="004C5D62">
        <w:tc>
          <w:tcPr>
            <w:tcW w:w="1384" w:type="dxa"/>
          </w:tcPr>
          <w:p w14:paraId="19EF9F0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эталон 1942 г.</w:t>
            </w:r>
          </w:p>
        </w:tc>
        <w:tc>
          <w:tcPr>
            <w:tcW w:w="720" w:type="dxa"/>
          </w:tcPr>
          <w:p w14:paraId="18B4710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D61478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801D70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9A3820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0C0603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3F38332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0,9 Vмакс.</w:t>
            </w:r>
          </w:p>
        </w:tc>
        <w:tc>
          <w:tcPr>
            <w:tcW w:w="660" w:type="dxa"/>
          </w:tcPr>
          <w:p w14:paraId="6A0F9E8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441C42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A0F434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56956B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3D45985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 12,7 мм</w:t>
            </w:r>
          </w:p>
        </w:tc>
        <w:tc>
          <w:tcPr>
            <w:tcW w:w="949" w:type="dxa"/>
          </w:tcPr>
          <w:p w14:paraId="31F1561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w:t>
            </w:r>
          </w:p>
        </w:tc>
      </w:tr>
      <w:tr w:rsidR="007C5583" w:rsidRPr="008127F8" w14:paraId="2CBF6480" w14:textId="77777777" w:rsidTr="004C5D62">
        <w:tc>
          <w:tcPr>
            <w:tcW w:w="1384" w:type="dxa"/>
          </w:tcPr>
          <w:p w14:paraId="5EBFBF6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БС</w:t>
            </w:r>
          </w:p>
        </w:tc>
        <w:tc>
          <w:tcPr>
            <w:tcW w:w="720" w:type="dxa"/>
          </w:tcPr>
          <w:p w14:paraId="7D1D9EB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45FA2D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3F6AE0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9801F7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344AE1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3CD689B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продолжит.</w:t>
            </w:r>
          </w:p>
        </w:tc>
        <w:tc>
          <w:tcPr>
            <w:tcW w:w="660" w:type="dxa"/>
          </w:tcPr>
          <w:p w14:paraId="0D6EB6A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B6312B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2D0F63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58203E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57DD8F8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 патронов</w:t>
            </w:r>
          </w:p>
        </w:tc>
        <w:tc>
          <w:tcPr>
            <w:tcW w:w="949" w:type="dxa"/>
          </w:tcPr>
          <w:p w14:paraId="69D85EF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з-да 153</w:t>
            </w:r>
          </w:p>
        </w:tc>
      </w:tr>
      <w:tr w:rsidR="007C5583" w:rsidRPr="008127F8" w14:paraId="78BF046B" w14:textId="77777777" w:rsidTr="004C5D62">
        <w:tc>
          <w:tcPr>
            <w:tcW w:w="1384" w:type="dxa"/>
          </w:tcPr>
          <w:p w14:paraId="457F3C4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D37FEA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8303EF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DECEA8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4EDA0C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B3E799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6CB7AA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полета на</w:t>
            </w:r>
          </w:p>
        </w:tc>
        <w:tc>
          <w:tcPr>
            <w:tcW w:w="660" w:type="dxa"/>
          </w:tcPr>
          <w:p w14:paraId="772C7E7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0FC0DA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0A537C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D58D0C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34DB27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6РО-82 мм</w:t>
            </w:r>
          </w:p>
        </w:tc>
        <w:tc>
          <w:tcPr>
            <w:tcW w:w="949" w:type="dxa"/>
          </w:tcPr>
          <w:p w14:paraId="26C5439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НИИ</w:t>
            </w:r>
          </w:p>
        </w:tc>
      </w:tr>
      <w:tr w:rsidR="007C5583" w:rsidRPr="008127F8" w14:paraId="0114FA3C" w14:textId="77777777" w:rsidTr="004C5D62">
        <w:tc>
          <w:tcPr>
            <w:tcW w:w="1384" w:type="dxa"/>
          </w:tcPr>
          <w:p w14:paraId="531973C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27BA3B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C435D3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F5C15B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ABA0EA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ED1229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827DEE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0,62 Vмакс.</w:t>
            </w:r>
          </w:p>
        </w:tc>
        <w:tc>
          <w:tcPr>
            <w:tcW w:w="660" w:type="dxa"/>
          </w:tcPr>
          <w:p w14:paraId="3CA02A8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78C3D4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A16DA0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9B627B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C1E58A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433C730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ВВС от</w:t>
            </w:r>
          </w:p>
        </w:tc>
      </w:tr>
      <w:tr w:rsidR="007C5583" w:rsidRPr="008127F8" w14:paraId="6A544934" w14:textId="77777777" w:rsidTr="004C5D62">
        <w:tc>
          <w:tcPr>
            <w:tcW w:w="1384" w:type="dxa"/>
          </w:tcPr>
          <w:p w14:paraId="1CD06F7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352084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D13253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287029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07B20C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EA4C4B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521C4FB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Н-2500 м-</w:t>
            </w:r>
          </w:p>
        </w:tc>
        <w:tc>
          <w:tcPr>
            <w:tcW w:w="660" w:type="dxa"/>
          </w:tcPr>
          <w:p w14:paraId="232AFD2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33E29D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2D8F0A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796248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604C07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2F58522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20.II.42г.</w:t>
            </w:r>
          </w:p>
        </w:tc>
      </w:tr>
      <w:tr w:rsidR="007C5583" w:rsidRPr="008127F8" w14:paraId="0649B489" w14:textId="77777777" w:rsidTr="004C5D62">
        <w:tc>
          <w:tcPr>
            <w:tcW w:w="1384" w:type="dxa"/>
          </w:tcPr>
          <w:p w14:paraId="3E89421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2B8F29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C3ECE2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077F62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52B085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EECBB9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1AE5679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ч. 30 мин.</w:t>
            </w:r>
          </w:p>
        </w:tc>
        <w:tc>
          <w:tcPr>
            <w:tcW w:w="660" w:type="dxa"/>
          </w:tcPr>
          <w:p w14:paraId="6DC426F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9175EB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098967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8D1888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9709F4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009C468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N 119-42</w:t>
            </w:r>
          </w:p>
        </w:tc>
      </w:tr>
      <w:tr w:rsidR="007C5583" w:rsidRPr="008127F8" w14:paraId="60AD0E68" w14:textId="77777777" w:rsidTr="004C5D62">
        <w:tc>
          <w:tcPr>
            <w:tcW w:w="1384" w:type="dxa"/>
          </w:tcPr>
          <w:p w14:paraId="549F8DF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 с М-105П</w:t>
            </w:r>
          </w:p>
        </w:tc>
        <w:tc>
          <w:tcPr>
            <w:tcW w:w="720" w:type="dxa"/>
          </w:tcPr>
          <w:p w14:paraId="08150EE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462</w:t>
            </w:r>
          </w:p>
        </w:tc>
        <w:tc>
          <w:tcPr>
            <w:tcW w:w="702" w:type="dxa"/>
          </w:tcPr>
          <w:p w14:paraId="2AEA99C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554/4850</w:t>
            </w:r>
          </w:p>
        </w:tc>
        <w:tc>
          <w:tcPr>
            <w:tcW w:w="702" w:type="dxa"/>
          </w:tcPr>
          <w:p w14:paraId="051A2E8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702" w:type="dxa"/>
          </w:tcPr>
          <w:p w14:paraId="5878A71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9,1</w:t>
            </w:r>
          </w:p>
        </w:tc>
        <w:tc>
          <w:tcPr>
            <w:tcW w:w="630" w:type="dxa"/>
          </w:tcPr>
          <w:p w14:paraId="27AF35B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80" w:type="dxa"/>
          </w:tcPr>
          <w:p w14:paraId="07AB5EF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60" w:type="dxa"/>
          </w:tcPr>
          <w:p w14:paraId="546785F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60" w:type="dxa"/>
          </w:tcPr>
          <w:p w14:paraId="228A68B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w:t>
            </w:r>
          </w:p>
        </w:tc>
        <w:tc>
          <w:tcPr>
            <w:tcW w:w="660" w:type="dxa"/>
          </w:tcPr>
          <w:p w14:paraId="32DEDE4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41" w:type="dxa"/>
          </w:tcPr>
          <w:p w14:paraId="2B017E4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3330</w:t>
            </w:r>
          </w:p>
        </w:tc>
        <w:tc>
          <w:tcPr>
            <w:tcW w:w="1217" w:type="dxa"/>
          </w:tcPr>
          <w:p w14:paraId="7355CCF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пушка 20 мм</w:t>
            </w:r>
          </w:p>
        </w:tc>
        <w:tc>
          <w:tcPr>
            <w:tcW w:w="949" w:type="dxa"/>
          </w:tcPr>
          <w:p w14:paraId="3DA43C6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Отчет</w:t>
            </w:r>
          </w:p>
        </w:tc>
      </w:tr>
      <w:tr w:rsidR="007C5583" w:rsidRPr="008127F8" w14:paraId="6FB755D2" w14:textId="77777777" w:rsidTr="004C5D62">
        <w:tc>
          <w:tcPr>
            <w:tcW w:w="1384" w:type="dxa"/>
          </w:tcPr>
          <w:p w14:paraId="6A0E9C5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серийный с-т</w:t>
            </w:r>
          </w:p>
        </w:tc>
        <w:tc>
          <w:tcPr>
            <w:tcW w:w="720" w:type="dxa"/>
          </w:tcPr>
          <w:p w14:paraId="4D8FEF3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5DA2E9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E39FD2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1B1475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9099DD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0F9B39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66AE02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D25F22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3C7FF5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A9C5EF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BF4DF5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 снарядов</w:t>
            </w:r>
          </w:p>
        </w:tc>
        <w:tc>
          <w:tcPr>
            <w:tcW w:w="949" w:type="dxa"/>
          </w:tcPr>
          <w:p w14:paraId="6C28AE6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ЛИИ от</w:t>
            </w:r>
          </w:p>
        </w:tc>
      </w:tr>
      <w:tr w:rsidR="007C5583" w:rsidRPr="008127F8" w14:paraId="45E62BE7" w14:textId="77777777" w:rsidTr="004C5D62">
        <w:tc>
          <w:tcPr>
            <w:tcW w:w="1384" w:type="dxa"/>
          </w:tcPr>
          <w:p w14:paraId="6764405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N 3121855</w:t>
            </w:r>
          </w:p>
        </w:tc>
        <w:tc>
          <w:tcPr>
            <w:tcW w:w="720" w:type="dxa"/>
          </w:tcPr>
          <w:p w14:paraId="0C0433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84ABB6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60490D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834B4C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9085D7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0F634A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04E109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DDFD78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F5D6D3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4E333F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F07BE4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 12,7мм</w:t>
            </w:r>
          </w:p>
        </w:tc>
        <w:tc>
          <w:tcPr>
            <w:tcW w:w="949" w:type="dxa"/>
          </w:tcPr>
          <w:p w14:paraId="071B85B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 41 г.</w:t>
            </w:r>
          </w:p>
        </w:tc>
      </w:tr>
      <w:tr w:rsidR="007C5583" w:rsidRPr="008127F8" w14:paraId="0FBECEAB" w14:textId="77777777" w:rsidTr="004C5D62">
        <w:tc>
          <w:tcPr>
            <w:tcW w:w="1384" w:type="dxa"/>
          </w:tcPr>
          <w:p w14:paraId="2A2F160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B6C23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E98824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BCB1B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9E8674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3CE4B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C30AFD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2D6FF7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D130D5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EF464C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50CBF95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3C297BE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 патронов</w:t>
            </w:r>
          </w:p>
        </w:tc>
        <w:tc>
          <w:tcPr>
            <w:tcW w:w="949" w:type="dxa"/>
          </w:tcPr>
          <w:p w14:paraId="1E8281E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1A29A57" w14:textId="77777777" w:rsidTr="004C5D62">
        <w:tc>
          <w:tcPr>
            <w:tcW w:w="1384" w:type="dxa"/>
          </w:tcPr>
          <w:p w14:paraId="260B35B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7194F4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1042D4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84A546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6961D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7F22A7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055013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81C3B8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E2370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0AEE16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009E89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72C96D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 7,62 мм</w:t>
            </w:r>
          </w:p>
        </w:tc>
        <w:tc>
          <w:tcPr>
            <w:tcW w:w="949" w:type="dxa"/>
          </w:tcPr>
          <w:p w14:paraId="14A4642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2D5B3F6" w14:textId="77777777" w:rsidTr="004C5D62">
        <w:tc>
          <w:tcPr>
            <w:tcW w:w="1384" w:type="dxa"/>
          </w:tcPr>
          <w:p w14:paraId="5607A63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E81598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355C1B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BF5E34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31DB59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5CB8F8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3D4D568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AFD4CE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27B841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788631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64D59C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07A99B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1300 патронов,</w:t>
            </w:r>
          </w:p>
        </w:tc>
        <w:tc>
          <w:tcPr>
            <w:tcW w:w="949" w:type="dxa"/>
          </w:tcPr>
          <w:p w14:paraId="3A66BFB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A3F1B9F" w14:textId="77777777" w:rsidTr="004C5D62">
        <w:tc>
          <w:tcPr>
            <w:tcW w:w="1384" w:type="dxa"/>
          </w:tcPr>
          <w:p w14:paraId="2B65AE1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6D4C4B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B8C16F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85AFF3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5FCCA6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DEC9AF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901EA9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992970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7B8A30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15372A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962371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7E8B06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6РО-82 мм. 200 кг</w:t>
            </w:r>
          </w:p>
        </w:tc>
        <w:tc>
          <w:tcPr>
            <w:tcW w:w="949" w:type="dxa"/>
          </w:tcPr>
          <w:p w14:paraId="04C3E54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0FA89D9" w14:textId="77777777" w:rsidTr="004C5D62">
        <w:tc>
          <w:tcPr>
            <w:tcW w:w="1384" w:type="dxa"/>
          </w:tcPr>
          <w:p w14:paraId="12138C4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2F8B69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A8186E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62274F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2EED28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F10070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34EA33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7CBF8D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71616E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579DB6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5EE415A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6F1F89E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 в перегрузку</w:t>
            </w:r>
          </w:p>
        </w:tc>
        <w:tc>
          <w:tcPr>
            <w:tcW w:w="949" w:type="dxa"/>
          </w:tcPr>
          <w:p w14:paraId="27FA1B6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BEA12E4" w14:textId="77777777" w:rsidTr="004C5D62">
        <w:tc>
          <w:tcPr>
            <w:tcW w:w="1384" w:type="dxa"/>
          </w:tcPr>
          <w:p w14:paraId="6687299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Лагг-3 с М-105П</w:t>
            </w:r>
          </w:p>
        </w:tc>
        <w:tc>
          <w:tcPr>
            <w:tcW w:w="720" w:type="dxa"/>
          </w:tcPr>
          <w:p w14:paraId="6A5364F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466</w:t>
            </w:r>
          </w:p>
        </w:tc>
        <w:tc>
          <w:tcPr>
            <w:tcW w:w="702" w:type="dxa"/>
          </w:tcPr>
          <w:p w14:paraId="1C54384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539/5100</w:t>
            </w:r>
          </w:p>
        </w:tc>
        <w:tc>
          <w:tcPr>
            <w:tcW w:w="702" w:type="dxa"/>
          </w:tcPr>
          <w:p w14:paraId="66000D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w:t>
            </w:r>
          </w:p>
        </w:tc>
        <w:tc>
          <w:tcPr>
            <w:tcW w:w="702" w:type="dxa"/>
          </w:tcPr>
          <w:p w14:paraId="2B2518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w:t>
            </w:r>
          </w:p>
        </w:tc>
        <w:tc>
          <w:tcPr>
            <w:tcW w:w="630" w:type="dxa"/>
          </w:tcPr>
          <w:p w14:paraId="4920F0D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9300</w:t>
            </w:r>
          </w:p>
        </w:tc>
        <w:tc>
          <w:tcPr>
            <w:tcW w:w="1080" w:type="dxa"/>
          </w:tcPr>
          <w:p w14:paraId="0FC4903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466 км</w:t>
            </w:r>
          </w:p>
        </w:tc>
        <w:tc>
          <w:tcPr>
            <w:tcW w:w="660" w:type="dxa"/>
          </w:tcPr>
          <w:p w14:paraId="02DE8B7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660" w:type="dxa"/>
          </w:tcPr>
          <w:p w14:paraId="2E983DA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515 с РС</w:t>
            </w:r>
          </w:p>
        </w:tc>
        <w:tc>
          <w:tcPr>
            <w:tcW w:w="660" w:type="dxa"/>
          </w:tcPr>
          <w:p w14:paraId="2180F93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460 с РС</w:t>
            </w:r>
          </w:p>
        </w:tc>
        <w:tc>
          <w:tcPr>
            <w:tcW w:w="541" w:type="dxa"/>
          </w:tcPr>
          <w:p w14:paraId="6BE5BED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3100</w:t>
            </w:r>
          </w:p>
        </w:tc>
        <w:tc>
          <w:tcPr>
            <w:tcW w:w="1217" w:type="dxa"/>
          </w:tcPr>
          <w:p w14:paraId="67D84F9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пушка 20 мм</w:t>
            </w:r>
          </w:p>
        </w:tc>
        <w:tc>
          <w:tcPr>
            <w:tcW w:w="949" w:type="dxa"/>
          </w:tcPr>
          <w:p w14:paraId="707176D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Отчет</w:t>
            </w:r>
          </w:p>
        </w:tc>
      </w:tr>
      <w:tr w:rsidR="007C5583" w:rsidRPr="008127F8" w14:paraId="5D69A0EB" w14:textId="77777777" w:rsidTr="004C5D62">
        <w:tc>
          <w:tcPr>
            <w:tcW w:w="1384" w:type="dxa"/>
          </w:tcPr>
          <w:p w14:paraId="6DE3929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серийный </w:t>
            </w:r>
            <w:r w:rsidRPr="008127F8">
              <w:rPr>
                <w:rFonts w:ascii="Times New Roman" w:hAnsi="Times New Roman"/>
                <w:color w:val="000000" w:themeColor="text1"/>
                <w:sz w:val="16"/>
                <w:szCs w:val="16"/>
              </w:rPr>
              <w:lastRenderedPageBreak/>
              <w:t>самолет</w:t>
            </w:r>
          </w:p>
        </w:tc>
        <w:tc>
          <w:tcPr>
            <w:tcW w:w="720" w:type="dxa"/>
          </w:tcPr>
          <w:p w14:paraId="4E7A811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CB6529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98BA73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D9B28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464D4D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3B469DB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Н-6000 м на</w:t>
            </w:r>
          </w:p>
        </w:tc>
        <w:tc>
          <w:tcPr>
            <w:tcW w:w="660" w:type="dxa"/>
          </w:tcPr>
          <w:p w14:paraId="1F1D4C4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202F3C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64E68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914FFE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5A9908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 снарядов</w:t>
            </w:r>
          </w:p>
        </w:tc>
        <w:tc>
          <w:tcPr>
            <w:tcW w:w="949" w:type="dxa"/>
          </w:tcPr>
          <w:p w14:paraId="5519E4C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контрол.</w:t>
            </w:r>
          </w:p>
        </w:tc>
      </w:tr>
      <w:tr w:rsidR="007C5583" w:rsidRPr="008127F8" w14:paraId="0B8A7FDC" w14:textId="77777777" w:rsidTr="004C5D62">
        <w:tc>
          <w:tcPr>
            <w:tcW w:w="1384" w:type="dxa"/>
          </w:tcPr>
          <w:p w14:paraId="384F4B4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N 3121232</w:t>
            </w:r>
          </w:p>
        </w:tc>
        <w:tc>
          <w:tcPr>
            <w:tcW w:w="720" w:type="dxa"/>
          </w:tcPr>
          <w:p w14:paraId="5508094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059003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16A683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A2CFA3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A871F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CCDEC4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0,9 Vмакс.</w:t>
            </w:r>
          </w:p>
        </w:tc>
        <w:tc>
          <w:tcPr>
            <w:tcW w:w="660" w:type="dxa"/>
          </w:tcPr>
          <w:p w14:paraId="32EDF2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D6CA90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C9D617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CB1BA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943DC6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 12,7 мм</w:t>
            </w:r>
          </w:p>
        </w:tc>
        <w:tc>
          <w:tcPr>
            <w:tcW w:w="949" w:type="dxa"/>
          </w:tcPr>
          <w:p w14:paraId="0B6A63F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w:t>
            </w:r>
          </w:p>
        </w:tc>
      </w:tr>
      <w:tr w:rsidR="007C5583" w:rsidRPr="008127F8" w14:paraId="334721AE" w14:textId="77777777" w:rsidTr="004C5D62">
        <w:tc>
          <w:tcPr>
            <w:tcW w:w="1384" w:type="dxa"/>
          </w:tcPr>
          <w:p w14:paraId="5B57CF1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2AFCF9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DBAA1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BE4C56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2766C4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4254B9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5D1D19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подвесн.</w:t>
            </w:r>
          </w:p>
        </w:tc>
        <w:tc>
          <w:tcPr>
            <w:tcW w:w="660" w:type="dxa"/>
          </w:tcPr>
          <w:p w14:paraId="1D62AA1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D23B6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E26DCC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3EFE5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54FD5D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 патронов</w:t>
            </w:r>
          </w:p>
        </w:tc>
        <w:tc>
          <w:tcPr>
            <w:tcW w:w="949" w:type="dxa"/>
          </w:tcPr>
          <w:p w14:paraId="02CAA5C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НИИ</w:t>
            </w:r>
          </w:p>
        </w:tc>
      </w:tr>
      <w:tr w:rsidR="007C5583" w:rsidRPr="008127F8" w14:paraId="3146B8FD" w14:textId="77777777" w:rsidTr="004C5D62">
        <w:tc>
          <w:tcPr>
            <w:tcW w:w="1384" w:type="dxa"/>
          </w:tcPr>
          <w:p w14:paraId="4AE3EE3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537D62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A1F8C4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7547D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F64E93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D54181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5E2CB87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баками -</w:t>
            </w:r>
          </w:p>
        </w:tc>
        <w:tc>
          <w:tcPr>
            <w:tcW w:w="660" w:type="dxa"/>
          </w:tcPr>
          <w:p w14:paraId="74ACA69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E7F92A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F2AA3B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41D80F3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8CC28A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6РО-82 мм. 200 кг</w:t>
            </w:r>
          </w:p>
        </w:tc>
        <w:tc>
          <w:tcPr>
            <w:tcW w:w="949" w:type="dxa"/>
          </w:tcPr>
          <w:p w14:paraId="6B40D56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ВВС за</w:t>
            </w:r>
          </w:p>
        </w:tc>
      </w:tr>
      <w:tr w:rsidR="007C5583" w:rsidRPr="008127F8" w14:paraId="053B0F09" w14:textId="77777777" w:rsidTr="004C5D62">
        <w:tc>
          <w:tcPr>
            <w:tcW w:w="1384" w:type="dxa"/>
          </w:tcPr>
          <w:p w14:paraId="0133982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360ECA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862BBE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ECE481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AB190E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910189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98B9D9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653 км</w:t>
            </w:r>
          </w:p>
        </w:tc>
        <w:tc>
          <w:tcPr>
            <w:tcW w:w="660" w:type="dxa"/>
          </w:tcPr>
          <w:p w14:paraId="0C2969B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BC8A23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B03D59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D2527B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57183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 в перегруз.</w:t>
            </w:r>
          </w:p>
        </w:tc>
        <w:tc>
          <w:tcPr>
            <w:tcW w:w="949" w:type="dxa"/>
          </w:tcPr>
          <w:p w14:paraId="2EE0E84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март-</w:t>
            </w:r>
          </w:p>
        </w:tc>
      </w:tr>
      <w:tr w:rsidR="007C5583" w:rsidRPr="008127F8" w14:paraId="7F55AE64" w14:textId="77777777" w:rsidTr="004C5D62">
        <w:tc>
          <w:tcPr>
            <w:tcW w:w="1384" w:type="dxa"/>
          </w:tcPr>
          <w:p w14:paraId="45BC84B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C3B4B8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9CD29A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EC29FC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B78D8D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624268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3E78C4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Н-5000 м на</w:t>
            </w:r>
          </w:p>
        </w:tc>
        <w:tc>
          <w:tcPr>
            <w:tcW w:w="660" w:type="dxa"/>
          </w:tcPr>
          <w:p w14:paraId="14FE05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020C52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439745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B31068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2D4F3A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7E9398B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w:t>
            </w:r>
          </w:p>
        </w:tc>
      </w:tr>
      <w:tr w:rsidR="007C5583" w:rsidRPr="008127F8" w14:paraId="420AA139" w14:textId="77777777" w:rsidTr="004C5D62">
        <w:tc>
          <w:tcPr>
            <w:tcW w:w="1384" w:type="dxa"/>
          </w:tcPr>
          <w:p w14:paraId="1510285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7E86E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AED406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ACC469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9BC2D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333E90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97EA56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0,86 Vмакс.</w:t>
            </w:r>
          </w:p>
        </w:tc>
        <w:tc>
          <w:tcPr>
            <w:tcW w:w="660" w:type="dxa"/>
          </w:tcPr>
          <w:p w14:paraId="3A9D2D2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ADAE46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A78063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993A04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5F77DF0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14B36A8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r>
      <w:tr w:rsidR="007C5583" w:rsidRPr="008127F8" w14:paraId="0C3947C8" w14:textId="77777777" w:rsidTr="004C5D62">
        <w:tc>
          <w:tcPr>
            <w:tcW w:w="1384" w:type="dxa"/>
          </w:tcPr>
          <w:p w14:paraId="2CD7DBE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Миг-3 с АМ-35А</w:t>
            </w:r>
          </w:p>
        </w:tc>
        <w:tc>
          <w:tcPr>
            <w:tcW w:w="720" w:type="dxa"/>
          </w:tcPr>
          <w:p w14:paraId="701CF33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466</w:t>
            </w:r>
          </w:p>
        </w:tc>
        <w:tc>
          <w:tcPr>
            <w:tcW w:w="702" w:type="dxa"/>
          </w:tcPr>
          <w:p w14:paraId="21ABFA0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615/7800</w:t>
            </w:r>
          </w:p>
        </w:tc>
        <w:tc>
          <w:tcPr>
            <w:tcW w:w="702" w:type="dxa"/>
          </w:tcPr>
          <w:p w14:paraId="5DA2844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142</w:t>
            </w:r>
          </w:p>
        </w:tc>
        <w:tc>
          <w:tcPr>
            <w:tcW w:w="702" w:type="dxa"/>
          </w:tcPr>
          <w:p w14:paraId="3EB96D1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w:t>
            </w:r>
          </w:p>
        </w:tc>
        <w:tc>
          <w:tcPr>
            <w:tcW w:w="630" w:type="dxa"/>
          </w:tcPr>
          <w:p w14:paraId="6A99CD6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10600</w:t>
            </w:r>
          </w:p>
        </w:tc>
        <w:tc>
          <w:tcPr>
            <w:tcW w:w="1080" w:type="dxa"/>
          </w:tcPr>
          <w:p w14:paraId="296A23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615</w:t>
            </w:r>
          </w:p>
        </w:tc>
        <w:tc>
          <w:tcPr>
            <w:tcW w:w="660" w:type="dxa"/>
          </w:tcPr>
          <w:p w14:paraId="67E9E76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660" w:type="dxa"/>
          </w:tcPr>
          <w:p w14:paraId="135EF07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390</w:t>
            </w:r>
          </w:p>
        </w:tc>
        <w:tc>
          <w:tcPr>
            <w:tcW w:w="660" w:type="dxa"/>
          </w:tcPr>
          <w:p w14:paraId="3C3B2EB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455</w:t>
            </w:r>
          </w:p>
        </w:tc>
        <w:tc>
          <w:tcPr>
            <w:tcW w:w="541" w:type="dxa"/>
          </w:tcPr>
          <w:p w14:paraId="457AF7A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3299</w:t>
            </w:r>
          </w:p>
        </w:tc>
        <w:tc>
          <w:tcPr>
            <w:tcW w:w="1217" w:type="dxa"/>
          </w:tcPr>
          <w:p w14:paraId="197B49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 12,7 мм</w:t>
            </w:r>
          </w:p>
        </w:tc>
        <w:tc>
          <w:tcPr>
            <w:tcW w:w="949" w:type="dxa"/>
          </w:tcPr>
          <w:p w14:paraId="29BB29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Отчет</w:t>
            </w:r>
          </w:p>
        </w:tc>
      </w:tr>
      <w:tr w:rsidR="007C5583" w:rsidRPr="008127F8" w14:paraId="091937C6" w14:textId="77777777" w:rsidTr="004C5D62">
        <w:tc>
          <w:tcPr>
            <w:tcW w:w="1384" w:type="dxa"/>
          </w:tcPr>
          <w:p w14:paraId="0C8376E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серийный самолет</w:t>
            </w:r>
          </w:p>
        </w:tc>
        <w:tc>
          <w:tcPr>
            <w:tcW w:w="720" w:type="dxa"/>
          </w:tcPr>
          <w:p w14:paraId="2A75856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98BF2E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8F22EA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DF4B96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07A4EA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F2773F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Н-5000 м на</w:t>
            </w:r>
          </w:p>
        </w:tc>
        <w:tc>
          <w:tcPr>
            <w:tcW w:w="660" w:type="dxa"/>
          </w:tcPr>
          <w:p w14:paraId="1799BAA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F9986C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FD48DC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584F22E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6EFB6A3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 патронов</w:t>
            </w:r>
          </w:p>
        </w:tc>
        <w:tc>
          <w:tcPr>
            <w:tcW w:w="949" w:type="dxa"/>
          </w:tcPr>
          <w:p w14:paraId="3E2769F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НИИ</w:t>
            </w:r>
          </w:p>
        </w:tc>
      </w:tr>
      <w:tr w:rsidR="007C5583" w:rsidRPr="008127F8" w14:paraId="0C4C03E0" w14:textId="77777777" w:rsidTr="004C5D62">
        <w:tc>
          <w:tcPr>
            <w:tcW w:w="1384" w:type="dxa"/>
          </w:tcPr>
          <w:p w14:paraId="277D50E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N 3943 с</w:t>
            </w:r>
          </w:p>
        </w:tc>
        <w:tc>
          <w:tcPr>
            <w:tcW w:w="720" w:type="dxa"/>
          </w:tcPr>
          <w:p w14:paraId="0D9509E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9A8C86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B1D75E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4401D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AC1D62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94208C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0,9 Vмакс.</w:t>
            </w:r>
          </w:p>
        </w:tc>
        <w:tc>
          <w:tcPr>
            <w:tcW w:w="660" w:type="dxa"/>
          </w:tcPr>
          <w:p w14:paraId="6557E6B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83A5F8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26EC9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F24EFC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670FE50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 7,62 мм</w:t>
            </w:r>
          </w:p>
        </w:tc>
        <w:tc>
          <w:tcPr>
            <w:tcW w:w="949" w:type="dxa"/>
          </w:tcPr>
          <w:p w14:paraId="67D25D2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ВВС по</w:t>
            </w:r>
          </w:p>
        </w:tc>
      </w:tr>
      <w:tr w:rsidR="007C5583" w:rsidRPr="008127F8" w14:paraId="21699C7A" w14:textId="77777777" w:rsidTr="004C5D62">
        <w:tc>
          <w:tcPr>
            <w:tcW w:w="1384" w:type="dxa"/>
          </w:tcPr>
          <w:p w14:paraId="5B3D5B0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предкрылками</w:t>
            </w:r>
          </w:p>
        </w:tc>
        <w:tc>
          <w:tcPr>
            <w:tcW w:w="720" w:type="dxa"/>
          </w:tcPr>
          <w:p w14:paraId="5BD9ED4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271103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688E4A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CB7C09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06535D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15CFDED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2A48E2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DED98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F09D4E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739122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37B698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 патронов</w:t>
            </w:r>
          </w:p>
        </w:tc>
        <w:tc>
          <w:tcPr>
            <w:tcW w:w="949" w:type="dxa"/>
          </w:tcPr>
          <w:p w14:paraId="508BE1F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контрол.</w:t>
            </w:r>
          </w:p>
        </w:tc>
      </w:tr>
      <w:tr w:rsidR="007C5583" w:rsidRPr="008127F8" w14:paraId="69E05E0F" w14:textId="77777777" w:rsidTr="004C5D62">
        <w:tc>
          <w:tcPr>
            <w:tcW w:w="1384" w:type="dxa"/>
          </w:tcPr>
          <w:p w14:paraId="6BA4A79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6BD6F2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C5EAA7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6BDD1D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B28440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2C6A45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99BC21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771215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A195A5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9AC14D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9A7AC3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60873B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 кг бомб в</w:t>
            </w:r>
          </w:p>
        </w:tc>
        <w:tc>
          <w:tcPr>
            <w:tcW w:w="949" w:type="dxa"/>
          </w:tcPr>
          <w:p w14:paraId="3F02CF8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w:t>
            </w:r>
          </w:p>
        </w:tc>
      </w:tr>
      <w:tr w:rsidR="007C5583" w:rsidRPr="008127F8" w14:paraId="306A6AA1" w14:textId="77777777" w:rsidTr="004C5D62">
        <w:tc>
          <w:tcPr>
            <w:tcW w:w="1384" w:type="dxa"/>
          </w:tcPr>
          <w:p w14:paraId="5F85547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90746F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739EF0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493F1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AA1D58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D89DB0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CA4C22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7BA5DB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3AA0AB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D6B365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5510E2E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3DE7BD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перегрузку</w:t>
            </w:r>
          </w:p>
        </w:tc>
        <w:tc>
          <w:tcPr>
            <w:tcW w:w="949" w:type="dxa"/>
          </w:tcPr>
          <w:p w14:paraId="09417D2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авг.</w:t>
            </w:r>
          </w:p>
        </w:tc>
      </w:tr>
      <w:tr w:rsidR="007C5583" w:rsidRPr="008127F8" w14:paraId="3A2A558F" w14:textId="77777777" w:rsidTr="004C5D62">
        <w:tc>
          <w:tcPr>
            <w:tcW w:w="1384" w:type="dxa"/>
          </w:tcPr>
          <w:p w14:paraId="7D895DD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9E188D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C4AD56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DE9A69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7A89E2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AC76FC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01898B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AA843E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441EC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01806F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4CEE9E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0EFE5A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4E4B4F3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r>
      <w:tr w:rsidR="007C5583" w:rsidRPr="008127F8" w14:paraId="072F2E9B" w14:textId="77777777" w:rsidTr="004C5D62">
        <w:tc>
          <w:tcPr>
            <w:tcW w:w="1384" w:type="dxa"/>
          </w:tcPr>
          <w:p w14:paraId="0521165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Пе-3 с 2М-105Р</w:t>
            </w:r>
          </w:p>
        </w:tc>
        <w:tc>
          <w:tcPr>
            <w:tcW w:w="720" w:type="dxa"/>
          </w:tcPr>
          <w:p w14:paraId="61637ED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454</w:t>
            </w:r>
          </w:p>
        </w:tc>
        <w:tc>
          <w:tcPr>
            <w:tcW w:w="702" w:type="dxa"/>
          </w:tcPr>
          <w:p w14:paraId="4106F4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540/5000</w:t>
            </w:r>
          </w:p>
        </w:tc>
        <w:tc>
          <w:tcPr>
            <w:tcW w:w="702" w:type="dxa"/>
          </w:tcPr>
          <w:p w14:paraId="42D9C5A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145</w:t>
            </w:r>
          </w:p>
        </w:tc>
        <w:tc>
          <w:tcPr>
            <w:tcW w:w="702" w:type="dxa"/>
          </w:tcPr>
          <w:p w14:paraId="3780ECD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w:t>
            </w:r>
          </w:p>
        </w:tc>
        <w:tc>
          <w:tcPr>
            <w:tcW w:w="630" w:type="dxa"/>
          </w:tcPr>
          <w:p w14:paraId="680AC50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9500</w:t>
            </w:r>
          </w:p>
        </w:tc>
        <w:tc>
          <w:tcPr>
            <w:tcW w:w="1080" w:type="dxa"/>
          </w:tcPr>
          <w:p w14:paraId="00357DF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1780</w:t>
            </w:r>
          </w:p>
        </w:tc>
        <w:tc>
          <w:tcPr>
            <w:tcW w:w="660" w:type="dxa"/>
          </w:tcPr>
          <w:p w14:paraId="1F2EB0E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 на</w:t>
            </w:r>
          </w:p>
        </w:tc>
        <w:tc>
          <w:tcPr>
            <w:tcW w:w="660" w:type="dxa"/>
          </w:tcPr>
          <w:p w14:paraId="5D45093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440</w:t>
            </w:r>
          </w:p>
        </w:tc>
        <w:tc>
          <w:tcPr>
            <w:tcW w:w="660" w:type="dxa"/>
          </w:tcPr>
          <w:p w14:paraId="3C7EC0B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480</w:t>
            </w:r>
          </w:p>
        </w:tc>
        <w:tc>
          <w:tcPr>
            <w:tcW w:w="541" w:type="dxa"/>
          </w:tcPr>
          <w:p w14:paraId="65B5235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7735</w:t>
            </w:r>
          </w:p>
        </w:tc>
        <w:tc>
          <w:tcPr>
            <w:tcW w:w="1217" w:type="dxa"/>
          </w:tcPr>
          <w:p w14:paraId="7119DD8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Вперед:</w:t>
            </w:r>
          </w:p>
        </w:tc>
        <w:tc>
          <w:tcPr>
            <w:tcW w:w="949" w:type="dxa"/>
          </w:tcPr>
          <w:p w14:paraId="0853855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Отчет о</w:t>
            </w:r>
          </w:p>
        </w:tc>
      </w:tr>
      <w:tr w:rsidR="007C5583" w:rsidRPr="008127F8" w14:paraId="74F02405" w14:textId="77777777" w:rsidTr="004C5D62">
        <w:tc>
          <w:tcPr>
            <w:tcW w:w="1384" w:type="dxa"/>
          </w:tcPr>
          <w:p w14:paraId="381B952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серийный самолет</w:t>
            </w:r>
          </w:p>
        </w:tc>
        <w:tc>
          <w:tcPr>
            <w:tcW w:w="720" w:type="dxa"/>
          </w:tcPr>
          <w:p w14:paraId="1536A0E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BC7E20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E365EF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6E6D7E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0F61B4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C81428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Н-4000 м</w:t>
            </w:r>
          </w:p>
        </w:tc>
        <w:tc>
          <w:tcPr>
            <w:tcW w:w="660" w:type="dxa"/>
          </w:tcPr>
          <w:p w14:paraId="55E1A5F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4000 м</w:t>
            </w:r>
          </w:p>
        </w:tc>
        <w:tc>
          <w:tcPr>
            <w:tcW w:w="660" w:type="dxa"/>
          </w:tcPr>
          <w:p w14:paraId="4CA97AD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CD9FF6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2277A2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6F85969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пушки 20 мм</w:t>
            </w:r>
          </w:p>
        </w:tc>
        <w:tc>
          <w:tcPr>
            <w:tcW w:w="949" w:type="dxa"/>
          </w:tcPr>
          <w:p w14:paraId="72EFCF4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совместн.</w:t>
            </w:r>
          </w:p>
        </w:tc>
      </w:tr>
      <w:tr w:rsidR="007C5583" w:rsidRPr="008127F8" w14:paraId="4AB6743C" w14:textId="77777777" w:rsidTr="004C5D62">
        <w:tc>
          <w:tcPr>
            <w:tcW w:w="1384" w:type="dxa"/>
          </w:tcPr>
          <w:p w14:paraId="3BA2C1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N3/33 з-да N 22</w:t>
            </w:r>
          </w:p>
        </w:tc>
        <w:tc>
          <w:tcPr>
            <w:tcW w:w="720" w:type="dxa"/>
          </w:tcPr>
          <w:p w14:paraId="6DE3B5A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3BC00C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E76FF7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632D63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750C42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081497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0,8 Vмакс;</w:t>
            </w:r>
          </w:p>
        </w:tc>
        <w:tc>
          <w:tcPr>
            <w:tcW w:w="660" w:type="dxa"/>
          </w:tcPr>
          <w:p w14:paraId="7AECDA8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B8988D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653DD9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A691EA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DC9F85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320 снарядов</w:t>
            </w:r>
          </w:p>
        </w:tc>
        <w:tc>
          <w:tcPr>
            <w:tcW w:w="949" w:type="dxa"/>
          </w:tcPr>
          <w:p w14:paraId="6848C4E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w:t>
            </w:r>
          </w:p>
        </w:tc>
      </w:tr>
      <w:tr w:rsidR="007C5583" w:rsidRPr="008127F8" w14:paraId="67EC8615" w14:textId="77777777" w:rsidTr="004C5D62">
        <w:tc>
          <w:tcPr>
            <w:tcW w:w="1384" w:type="dxa"/>
          </w:tcPr>
          <w:p w14:paraId="549602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9FD213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EF0002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84231A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E77C5F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3F13B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8907A2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2100 км</w:t>
            </w:r>
          </w:p>
        </w:tc>
        <w:tc>
          <w:tcPr>
            <w:tcW w:w="660" w:type="dxa"/>
          </w:tcPr>
          <w:p w14:paraId="29ABBB2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C36D65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EC9193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3D98F3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6C577C2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 12,7 мм</w:t>
            </w:r>
          </w:p>
        </w:tc>
        <w:tc>
          <w:tcPr>
            <w:tcW w:w="949" w:type="dxa"/>
          </w:tcPr>
          <w:p w14:paraId="7342E23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з-да 22 и</w:t>
            </w:r>
          </w:p>
        </w:tc>
      </w:tr>
      <w:tr w:rsidR="007C5583" w:rsidRPr="008127F8" w14:paraId="0085D77C" w14:textId="77777777" w:rsidTr="004C5D62">
        <w:tc>
          <w:tcPr>
            <w:tcW w:w="1384" w:type="dxa"/>
          </w:tcPr>
          <w:p w14:paraId="77E0BF7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41D873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BD99E0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68F4F5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2E3F22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DCDC6C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A50208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Н-4000 0,8</w:t>
            </w:r>
          </w:p>
        </w:tc>
        <w:tc>
          <w:tcPr>
            <w:tcW w:w="660" w:type="dxa"/>
          </w:tcPr>
          <w:p w14:paraId="6EFDB40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5EFBB6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8F5DA1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ABCF64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3E41E68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 патронов</w:t>
            </w:r>
          </w:p>
        </w:tc>
        <w:tc>
          <w:tcPr>
            <w:tcW w:w="949" w:type="dxa"/>
          </w:tcPr>
          <w:p w14:paraId="01359AF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НИИ </w:t>
            </w:r>
          </w:p>
        </w:tc>
      </w:tr>
      <w:tr w:rsidR="007C5583" w:rsidRPr="008127F8" w14:paraId="71698737" w14:textId="77777777" w:rsidTr="004C5D62">
        <w:tc>
          <w:tcPr>
            <w:tcW w:w="1384" w:type="dxa"/>
          </w:tcPr>
          <w:p w14:paraId="29A871E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E26D00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2072F3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8AC0A0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B09AAD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CEC2DC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BA5418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Vмакс. с</w:t>
            </w:r>
          </w:p>
        </w:tc>
        <w:tc>
          <w:tcPr>
            <w:tcW w:w="660" w:type="dxa"/>
          </w:tcPr>
          <w:p w14:paraId="3DCF92C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F3F127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1B368B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AC440D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5F9541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 7,62 мм</w:t>
            </w:r>
          </w:p>
        </w:tc>
        <w:tc>
          <w:tcPr>
            <w:tcW w:w="949" w:type="dxa"/>
          </w:tcPr>
          <w:p w14:paraId="091B251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ВВС за</w:t>
            </w:r>
          </w:p>
        </w:tc>
      </w:tr>
      <w:tr w:rsidR="007C5583" w:rsidRPr="008127F8" w14:paraId="6FC0FA60" w14:textId="77777777" w:rsidTr="004C5D62">
        <w:tc>
          <w:tcPr>
            <w:tcW w:w="1384" w:type="dxa"/>
          </w:tcPr>
          <w:p w14:paraId="78752FD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2B9CD8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D0EC6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AE8C6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F1D56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38A0AC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1CCA3D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подвесн.</w:t>
            </w:r>
          </w:p>
        </w:tc>
        <w:tc>
          <w:tcPr>
            <w:tcW w:w="660" w:type="dxa"/>
          </w:tcPr>
          <w:p w14:paraId="22B6AC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4F4327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741D13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304ACE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5693BE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 патронов</w:t>
            </w:r>
          </w:p>
        </w:tc>
        <w:tc>
          <w:tcPr>
            <w:tcW w:w="949" w:type="dxa"/>
          </w:tcPr>
          <w:p w14:paraId="012B289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октябрь</w:t>
            </w:r>
          </w:p>
        </w:tc>
      </w:tr>
      <w:tr w:rsidR="007C5583" w:rsidRPr="008127F8" w14:paraId="57B81967" w14:textId="77777777" w:rsidTr="004C5D62">
        <w:tc>
          <w:tcPr>
            <w:tcW w:w="1384" w:type="dxa"/>
          </w:tcPr>
          <w:p w14:paraId="595226B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FA3366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36A1E8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921DB1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2DFB8A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BBCE08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7FF45E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баками и</w:t>
            </w:r>
          </w:p>
        </w:tc>
        <w:tc>
          <w:tcPr>
            <w:tcW w:w="660" w:type="dxa"/>
          </w:tcPr>
          <w:p w14:paraId="072AAAF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AED37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96E29B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243D8B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FDD4F3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Назад:</w:t>
            </w:r>
          </w:p>
        </w:tc>
        <w:tc>
          <w:tcPr>
            <w:tcW w:w="949" w:type="dxa"/>
          </w:tcPr>
          <w:p w14:paraId="0834414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1941 г.</w:t>
            </w:r>
          </w:p>
        </w:tc>
      </w:tr>
      <w:tr w:rsidR="007C5583" w:rsidRPr="008127F8" w14:paraId="3A307D56" w14:textId="77777777" w:rsidTr="004C5D62">
        <w:tc>
          <w:tcPr>
            <w:tcW w:w="1384" w:type="dxa"/>
          </w:tcPr>
          <w:p w14:paraId="4CB3668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9700D6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ABFC8A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A82193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C0D5B5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7752F8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35AE417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использован.</w:t>
            </w:r>
          </w:p>
        </w:tc>
        <w:tc>
          <w:tcPr>
            <w:tcW w:w="660" w:type="dxa"/>
          </w:tcPr>
          <w:p w14:paraId="791234C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A7F28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B3EED1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81A38C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1006D8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 7,62 мм</w:t>
            </w:r>
          </w:p>
        </w:tc>
        <w:tc>
          <w:tcPr>
            <w:tcW w:w="949" w:type="dxa"/>
          </w:tcPr>
          <w:p w14:paraId="3876A1F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A1EAAA1" w14:textId="77777777" w:rsidTr="004C5D62">
        <w:tc>
          <w:tcPr>
            <w:tcW w:w="1384" w:type="dxa"/>
          </w:tcPr>
          <w:p w14:paraId="714528B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53760C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8886E9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50838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77EB4A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2E5186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9E4ED1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высотного</w:t>
            </w:r>
          </w:p>
        </w:tc>
        <w:tc>
          <w:tcPr>
            <w:tcW w:w="660" w:type="dxa"/>
          </w:tcPr>
          <w:p w14:paraId="6E67AF5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ABE9AB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D42069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902C95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AF2A7D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750 патронов</w:t>
            </w:r>
          </w:p>
        </w:tc>
        <w:tc>
          <w:tcPr>
            <w:tcW w:w="949" w:type="dxa"/>
          </w:tcPr>
          <w:p w14:paraId="5A1E5E9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098CF4E" w14:textId="77777777" w:rsidTr="004C5D62">
        <w:tc>
          <w:tcPr>
            <w:tcW w:w="1384" w:type="dxa"/>
          </w:tcPr>
          <w:p w14:paraId="6584C70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1D4C1B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A17953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5C3563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1D0290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9C35E6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709028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корректора</w:t>
            </w:r>
          </w:p>
        </w:tc>
        <w:tc>
          <w:tcPr>
            <w:tcW w:w="660" w:type="dxa"/>
          </w:tcPr>
          <w:p w14:paraId="2FB3244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684726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226418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0AD670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757841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 12,7 мм</w:t>
            </w:r>
          </w:p>
        </w:tc>
        <w:tc>
          <w:tcPr>
            <w:tcW w:w="949" w:type="dxa"/>
          </w:tcPr>
          <w:p w14:paraId="43723CF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175661F" w14:textId="77777777" w:rsidTr="004C5D62">
        <w:tc>
          <w:tcPr>
            <w:tcW w:w="1384" w:type="dxa"/>
          </w:tcPr>
          <w:p w14:paraId="5155B0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F5E8F0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9A0FCC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00ED30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3C1D6B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E56B59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F80776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E70C02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6891C1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507A2E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1015E3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C877B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 патронов</w:t>
            </w:r>
          </w:p>
        </w:tc>
        <w:tc>
          <w:tcPr>
            <w:tcW w:w="949" w:type="dxa"/>
          </w:tcPr>
          <w:p w14:paraId="74A0A20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2A35B070" w14:textId="77777777" w:rsidTr="004C5D62">
        <w:tc>
          <w:tcPr>
            <w:tcW w:w="1384" w:type="dxa"/>
          </w:tcPr>
          <w:p w14:paraId="1FDBA34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Ил-2 с АМ-38</w:t>
            </w:r>
          </w:p>
        </w:tc>
        <w:tc>
          <w:tcPr>
            <w:tcW w:w="720" w:type="dxa"/>
          </w:tcPr>
          <w:p w14:paraId="4813C9D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391</w:t>
            </w:r>
          </w:p>
        </w:tc>
        <w:tc>
          <w:tcPr>
            <w:tcW w:w="702" w:type="dxa"/>
          </w:tcPr>
          <w:p w14:paraId="3A32F7E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416/2300</w:t>
            </w:r>
          </w:p>
        </w:tc>
        <w:tc>
          <w:tcPr>
            <w:tcW w:w="702" w:type="dxa"/>
          </w:tcPr>
          <w:p w14:paraId="505E092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137</w:t>
            </w:r>
          </w:p>
        </w:tc>
        <w:tc>
          <w:tcPr>
            <w:tcW w:w="702" w:type="dxa"/>
          </w:tcPr>
          <w:p w14:paraId="4290FC2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16,6</w:t>
            </w:r>
          </w:p>
        </w:tc>
        <w:tc>
          <w:tcPr>
            <w:tcW w:w="630" w:type="dxa"/>
          </w:tcPr>
          <w:p w14:paraId="4F260A6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6000</w:t>
            </w:r>
          </w:p>
        </w:tc>
        <w:tc>
          <w:tcPr>
            <w:tcW w:w="1080" w:type="dxa"/>
          </w:tcPr>
          <w:p w14:paraId="01691D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620 на</w:t>
            </w:r>
          </w:p>
        </w:tc>
        <w:tc>
          <w:tcPr>
            <w:tcW w:w="660" w:type="dxa"/>
          </w:tcPr>
          <w:p w14:paraId="389DB7C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60" w:type="dxa"/>
          </w:tcPr>
          <w:p w14:paraId="15A025F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465</w:t>
            </w:r>
          </w:p>
        </w:tc>
        <w:tc>
          <w:tcPr>
            <w:tcW w:w="660" w:type="dxa"/>
          </w:tcPr>
          <w:p w14:paraId="3BDC228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365</w:t>
            </w:r>
          </w:p>
        </w:tc>
        <w:tc>
          <w:tcPr>
            <w:tcW w:w="541" w:type="dxa"/>
          </w:tcPr>
          <w:p w14:paraId="07268E8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5670</w:t>
            </w:r>
          </w:p>
        </w:tc>
        <w:tc>
          <w:tcPr>
            <w:tcW w:w="1217" w:type="dxa"/>
          </w:tcPr>
          <w:p w14:paraId="6D36D54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пушки 23 мм</w:t>
            </w:r>
          </w:p>
        </w:tc>
        <w:tc>
          <w:tcPr>
            <w:tcW w:w="949" w:type="dxa"/>
          </w:tcPr>
          <w:p w14:paraId="6BA1689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Отчет о</w:t>
            </w:r>
          </w:p>
        </w:tc>
      </w:tr>
      <w:tr w:rsidR="007C5583" w:rsidRPr="008127F8" w14:paraId="65F0DCFC" w14:textId="77777777" w:rsidTr="004C5D62">
        <w:tc>
          <w:tcPr>
            <w:tcW w:w="1384" w:type="dxa"/>
          </w:tcPr>
          <w:p w14:paraId="68BE74D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серийные самолеты</w:t>
            </w:r>
          </w:p>
        </w:tc>
        <w:tc>
          <w:tcPr>
            <w:tcW w:w="720" w:type="dxa"/>
          </w:tcPr>
          <w:p w14:paraId="6D95C9E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670772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398800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C73F9A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83DAAE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10D31A7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Н-570 м</w:t>
            </w:r>
          </w:p>
        </w:tc>
        <w:tc>
          <w:tcPr>
            <w:tcW w:w="660" w:type="dxa"/>
          </w:tcPr>
          <w:p w14:paraId="0DAB354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C289E4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D4D7C7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0AD87C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C3E91E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 снарядов</w:t>
            </w:r>
          </w:p>
        </w:tc>
        <w:tc>
          <w:tcPr>
            <w:tcW w:w="949" w:type="dxa"/>
          </w:tcPr>
          <w:p w14:paraId="076FC54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контрол.</w:t>
            </w:r>
          </w:p>
        </w:tc>
      </w:tr>
      <w:tr w:rsidR="007C5583" w:rsidRPr="008127F8" w14:paraId="1F2AEEEC" w14:textId="77777777" w:rsidTr="004C5D62">
        <w:tc>
          <w:tcPr>
            <w:tcW w:w="1384" w:type="dxa"/>
          </w:tcPr>
          <w:p w14:paraId="645A8A5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N 1904 з-да N 18</w:t>
            </w:r>
          </w:p>
        </w:tc>
        <w:tc>
          <w:tcPr>
            <w:tcW w:w="720" w:type="dxa"/>
          </w:tcPr>
          <w:p w14:paraId="007ACAF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1C8E33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2C0552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79048D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546649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88DAAE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0,9 Vмакс.</w:t>
            </w:r>
          </w:p>
        </w:tc>
        <w:tc>
          <w:tcPr>
            <w:tcW w:w="660" w:type="dxa"/>
          </w:tcPr>
          <w:p w14:paraId="5DE1523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81C68C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4EBFE0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4C7DD9D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31AF1E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 7,62 мм</w:t>
            </w:r>
          </w:p>
        </w:tc>
        <w:tc>
          <w:tcPr>
            <w:tcW w:w="949" w:type="dxa"/>
          </w:tcPr>
          <w:p w14:paraId="0BBE50B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w:t>
            </w:r>
          </w:p>
        </w:tc>
      </w:tr>
      <w:tr w:rsidR="007C5583" w:rsidRPr="008127F8" w14:paraId="29B26013" w14:textId="77777777" w:rsidTr="004C5D62">
        <w:tc>
          <w:tcPr>
            <w:tcW w:w="1384" w:type="dxa"/>
          </w:tcPr>
          <w:p w14:paraId="4D1C8BE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N 2611 з-да N 1</w:t>
            </w:r>
          </w:p>
        </w:tc>
        <w:tc>
          <w:tcPr>
            <w:tcW w:w="720" w:type="dxa"/>
          </w:tcPr>
          <w:p w14:paraId="5B310C2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3ABA3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AA7CC6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25A6C0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1EF411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2A1663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4DC7CF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9B3EAB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6409BD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7A8534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5F8F135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 патронов</w:t>
            </w:r>
          </w:p>
        </w:tc>
        <w:tc>
          <w:tcPr>
            <w:tcW w:w="949" w:type="dxa"/>
          </w:tcPr>
          <w:p w14:paraId="0EE6074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НИИ</w:t>
            </w:r>
          </w:p>
        </w:tc>
      </w:tr>
      <w:tr w:rsidR="007C5583" w:rsidRPr="008127F8" w14:paraId="34DFFE2B" w14:textId="77777777" w:rsidTr="004C5D62">
        <w:tc>
          <w:tcPr>
            <w:tcW w:w="1384" w:type="dxa"/>
          </w:tcPr>
          <w:p w14:paraId="3B1C899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0D7A47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BCD936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89C509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FCBEAF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D01341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236FD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2B110C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DDD895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6E9F64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899629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F6958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8РО-82; бомбы</w:t>
            </w:r>
          </w:p>
        </w:tc>
        <w:tc>
          <w:tcPr>
            <w:tcW w:w="949" w:type="dxa"/>
          </w:tcPr>
          <w:p w14:paraId="777093B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ВВС за</w:t>
            </w:r>
          </w:p>
        </w:tc>
      </w:tr>
      <w:tr w:rsidR="007C5583" w:rsidRPr="008127F8" w14:paraId="0980CC40" w14:textId="77777777" w:rsidTr="004C5D62">
        <w:tc>
          <w:tcPr>
            <w:tcW w:w="1384" w:type="dxa"/>
          </w:tcPr>
          <w:p w14:paraId="1026891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1653C0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3BC8CC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3712C3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7B950B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B5A01B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57010B7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E21DEB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469464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5B9F60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A21058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FDEA7D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 кг внутрен.</w:t>
            </w:r>
          </w:p>
        </w:tc>
        <w:tc>
          <w:tcPr>
            <w:tcW w:w="949" w:type="dxa"/>
          </w:tcPr>
          <w:p w14:paraId="2BDAF1F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март-</w:t>
            </w:r>
          </w:p>
        </w:tc>
      </w:tr>
      <w:tr w:rsidR="007C5583" w:rsidRPr="008127F8" w14:paraId="672665FB" w14:textId="77777777" w:rsidTr="004C5D62">
        <w:tc>
          <w:tcPr>
            <w:tcW w:w="1384" w:type="dxa"/>
          </w:tcPr>
          <w:p w14:paraId="2D2865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1DD008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66A640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A8B6B3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19CAFD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31382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E7FAB4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2DB6DA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70B9BC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3640CE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04F5A6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6F4ADCA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подвески и</w:t>
            </w:r>
          </w:p>
        </w:tc>
        <w:tc>
          <w:tcPr>
            <w:tcW w:w="949" w:type="dxa"/>
          </w:tcPr>
          <w:p w14:paraId="25FFF35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w:t>
            </w:r>
          </w:p>
        </w:tc>
      </w:tr>
      <w:tr w:rsidR="007C5583" w:rsidRPr="008127F8" w14:paraId="5A0E688B" w14:textId="77777777" w:rsidTr="004C5D62">
        <w:tc>
          <w:tcPr>
            <w:tcW w:w="1384" w:type="dxa"/>
          </w:tcPr>
          <w:p w14:paraId="47233C2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DC87D1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F72AC2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D43FA4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3E4B3E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7D7985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4FC042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337BE4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C8C9F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9CB65C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B0BF10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429CD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 кг в перегр.</w:t>
            </w:r>
          </w:p>
        </w:tc>
        <w:tc>
          <w:tcPr>
            <w:tcW w:w="949" w:type="dxa"/>
          </w:tcPr>
          <w:p w14:paraId="12C2E66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r>
      <w:tr w:rsidR="007C5583" w:rsidRPr="008127F8" w14:paraId="16780FE9" w14:textId="77777777" w:rsidTr="004C5D62">
        <w:tc>
          <w:tcPr>
            <w:tcW w:w="1384" w:type="dxa"/>
          </w:tcPr>
          <w:p w14:paraId="75CD75E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Пе-2 с 2М-105Р</w:t>
            </w:r>
          </w:p>
        </w:tc>
        <w:tc>
          <w:tcPr>
            <w:tcW w:w="720" w:type="dxa"/>
          </w:tcPr>
          <w:p w14:paraId="663053B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445</w:t>
            </w:r>
          </w:p>
        </w:tc>
        <w:tc>
          <w:tcPr>
            <w:tcW w:w="702" w:type="dxa"/>
          </w:tcPr>
          <w:p w14:paraId="6707790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520/5000</w:t>
            </w:r>
          </w:p>
        </w:tc>
        <w:tc>
          <w:tcPr>
            <w:tcW w:w="702" w:type="dxa"/>
          </w:tcPr>
          <w:p w14:paraId="24BBDA1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145</w:t>
            </w:r>
          </w:p>
        </w:tc>
        <w:tc>
          <w:tcPr>
            <w:tcW w:w="702" w:type="dxa"/>
          </w:tcPr>
          <w:p w14:paraId="55A978B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при</w:t>
            </w:r>
          </w:p>
        </w:tc>
        <w:tc>
          <w:tcPr>
            <w:tcW w:w="630" w:type="dxa"/>
          </w:tcPr>
          <w:p w14:paraId="6188192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8800</w:t>
            </w:r>
          </w:p>
        </w:tc>
        <w:tc>
          <w:tcPr>
            <w:tcW w:w="1080" w:type="dxa"/>
          </w:tcPr>
          <w:p w14:paraId="3D3AF5B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1050</w:t>
            </w:r>
          </w:p>
        </w:tc>
        <w:tc>
          <w:tcPr>
            <w:tcW w:w="660" w:type="dxa"/>
          </w:tcPr>
          <w:p w14:paraId="19F15EE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60" w:type="dxa"/>
          </w:tcPr>
          <w:p w14:paraId="5BD35DB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445/635</w:t>
            </w:r>
          </w:p>
        </w:tc>
        <w:tc>
          <w:tcPr>
            <w:tcW w:w="660" w:type="dxa"/>
          </w:tcPr>
          <w:p w14:paraId="56BF61D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541" w:type="dxa"/>
          </w:tcPr>
          <w:p w14:paraId="071860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7700/</w:t>
            </w:r>
          </w:p>
        </w:tc>
        <w:tc>
          <w:tcPr>
            <w:tcW w:w="1217" w:type="dxa"/>
          </w:tcPr>
          <w:p w14:paraId="4D2A87E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Вперед:</w:t>
            </w:r>
          </w:p>
        </w:tc>
        <w:tc>
          <w:tcPr>
            <w:tcW w:w="949" w:type="dxa"/>
          </w:tcPr>
          <w:p w14:paraId="73AB877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Отчет о</w:t>
            </w:r>
          </w:p>
        </w:tc>
      </w:tr>
      <w:tr w:rsidR="007C5583" w:rsidRPr="008127F8" w14:paraId="55B2F4B0" w14:textId="77777777" w:rsidTr="004C5D62">
        <w:tc>
          <w:tcPr>
            <w:tcW w:w="1384" w:type="dxa"/>
          </w:tcPr>
          <w:p w14:paraId="17071BE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серийный самолет</w:t>
            </w:r>
          </w:p>
        </w:tc>
        <w:tc>
          <w:tcPr>
            <w:tcW w:w="720" w:type="dxa"/>
          </w:tcPr>
          <w:p w14:paraId="06C6915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AC1717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A2AE66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AD5E72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полном</w:t>
            </w:r>
          </w:p>
        </w:tc>
        <w:tc>
          <w:tcPr>
            <w:tcW w:w="630" w:type="dxa"/>
          </w:tcPr>
          <w:p w14:paraId="1B11353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E33FA8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Н-5000 м</w:t>
            </w:r>
          </w:p>
        </w:tc>
        <w:tc>
          <w:tcPr>
            <w:tcW w:w="660" w:type="dxa"/>
          </w:tcPr>
          <w:p w14:paraId="2B1E6AE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8F6F3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4F41D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413CE6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8700</w:t>
            </w:r>
          </w:p>
        </w:tc>
        <w:tc>
          <w:tcPr>
            <w:tcW w:w="1217" w:type="dxa"/>
          </w:tcPr>
          <w:p w14:paraId="66E3678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 12,7 мм</w:t>
            </w:r>
          </w:p>
        </w:tc>
        <w:tc>
          <w:tcPr>
            <w:tcW w:w="949" w:type="dxa"/>
          </w:tcPr>
          <w:p w14:paraId="3D07221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контрол.</w:t>
            </w:r>
          </w:p>
        </w:tc>
      </w:tr>
      <w:tr w:rsidR="007C5583" w:rsidRPr="008127F8" w14:paraId="36422993" w14:textId="77777777" w:rsidTr="004C5D62">
        <w:tc>
          <w:tcPr>
            <w:tcW w:w="1384" w:type="dxa"/>
          </w:tcPr>
          <w:p w14:paraId="4D61F03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N 3/67</w:t>
            </w:r>
          </w:p>
        </w:tc>
        <w:tc>
          <w:tcPr>
            <w:tcW w:w="720" w:type="dxa"/>
          </w:tcPr>
          <w:p w14:paraId="41490D2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A8A5A3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8B41A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06463E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весе</w:t>
            </w:r>
          </w:p>
        </w:tc>
        <w:tc>
          <w:tcPr>
            <w:tcW w:w="630" w:type="dxa"/>
          </w:tcPr>
          <w:p w14:paraId="365AB53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50E706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0,8 Vмакс.</w:t>
            </w:r>
          </w:p>
        </w:tc>
        <w:tc>
          <w:tcPr>
            <w:tcW w:w="660" w:type="dxa"/>
          </w:tcPr>
          <w:p w14:paraId="49F7F2D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82AF8D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39943C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9CAADF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F80DA2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 патронов</w:t>
            </w:r>
          </w:p>
        </w:tc>
        <w:tc>
          <w:tcPr>
            <w:tcW w:w="949" w:type="dxa"/>
          </w:tcPr>
          <w:p w14:paraId="5D3E334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w:t>
            </w:r>
          </w:p>
        </w:tc>
      </w:tr>
      <w:tr w:rsidR="007C5583" w:rsidRPr="008127F8" w14:paraId="1F8C8A17" w14:textId="77777777" w:rsidTr="004C5D62">
        <w:tc>
          <w:tcPr>
            <w:tcW w:w="1384" w:type="dxa"/>
          </w:tcPr>
          <w:p w14:paraId="2341ACC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98DB62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C9256B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51605D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8EC0FD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8300 кг</w:t>
            </w:r>
          </w:p>
        </w:tc>
        <w:tc>
          <w:tcPr>
            <w:tcW w:w="630" w:type="dxa"/>
          </w:tcPr>
          <w:p w14:paraId="2329283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CF88FC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полетн.</w:t>
            </w:r>
          </w:p>
        </w:tc>
        <w:tc>
          <w:tcPr>
            <w:tcW w:w="660" w:type="dxa"/>
          </w:tcPr>
          <w:p w14:paraId="66B0E8A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BD98E2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42F5F4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8683E2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226347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 7,62 мм</w:t>
            </w:r>
          </w:p>
        </w:tc>
        <w:tc>
          <w:tcPr>
            <w:tcW w:w="949" w:type="dxa"/>
          </w:tcPr>
          <w:p w14:paraId="5EB6A2B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НИИ</w:t>
            </w:r>
          </w:p>
        </w:tc>
      </w:tr>
      <w:tr w:rsidR="007C5583" w:rsidRPr="008127F8" w14:paraId="27316D64" w14:textId="77777777" w:rsidTr="004C5D62">
        <w:tc>
          <w:tcPr>
            <w:tcW w:w="1384" w:type="dxa"/>
          </w:tcPr>
          <w:p w14:paraId="6D9A5EC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632207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C14C6A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415E8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791158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3F2DA9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6B7CB4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весе 8700 кг</w:t>
            </w:r>
          </w:p>
        </w:tc>
        <w:tc>
          <w:tcPr>
            <w:tcW w:w="660" w:type="dxa"/>
          </w:tcPr>
          <w:p w14:paraId="33FF7F5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BC5578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CBB492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7F2541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690673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 патронов</w:t>
            </w:r>
          </w:p>
        </w:tc>
        <w:tc>
          <w:tcPr>
            <w:tcW w:w="949" w:type="dxa"/>
          </w:tcPr>
          <w:p w14:paraId="1CD4B50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ВВС за</w:t>
            </w:r>
          </w:p>
        </w:tc>
      </w:tr>
      <w:tr w:rsidR="007C5583" w:rsidRPr="008127F8" w14:paraId="35243FBF" w14:textId="77777777" w:rsidTr="004C5D62">
        <w:tc>
          <w:tcPr>
            <w:tcW w:w="1384" w:type="dxa"/>
          </w:tcPr>
          <w:p w14:paraId="2E3E50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79E2B7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9F5939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D2B3C1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EAD993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4DBE92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38BBDD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2FF41B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589DEE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53A202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1F18F1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B0BC51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Назад:</w:t>
            </w:r>
          </w:p>
        </w:tc>
        <w:tc>
          <w:tcPr>
            <w:tcW w:w="949" w:type="dxa"/>
          </w:tcPr>
          <w:p w14:paraId="5D94EBB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март 42 г.</w:t>
            </w:r>
          </w:p>
        </w:tc>
      </w:tr>
      <w:tr w:rsidR="007C5583" w:rsidRPr="008127F8" w14:paraId="002D1D52" w14:textId="77777777" w:rsidTr="004C5D62">
        <w:tc>
          <w:tcPr>
            <w:tcW w:w="1384" w:type="dxa"/>
          </w:tcPr>
          <w:p w14:paraId="4AAE61E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EEF64E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0FF381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A18282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BC8E01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449CB9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E1435A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85AFA6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544CD6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B88EB0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5EACE94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A7ED13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 7,62 мм</w:t>
            </w:r>
          </w:p>
        </w:tc>
        <w:tc>
          <w:tcPr>
            <w:tcW w:w="949" w:type="dxa"/>
          </w:tcPr>
          <w:p w14:paraId="5E2D053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43E89C5" w14:textId="77777777" w:rsidTr="004C5D62">
        <w:tc>
          <w:tcPr>
            <w:tcW w:w="1384" w:type="dxa"/>
          </w:tcPr>
          <w:p w14:paraId="5DCA713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A65F4B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469FF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176D91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7744C9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3ABC80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0266A3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CC5DBE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D922CE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BD1305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3379F8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7F064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750 патронов</w:t>
            </w:r>
          </w:p>
        </w:tc>
        <w:tc>
          <w:tcPr>
            <w:tcW w:w="949" w:type="dxa"/>
          </w:tcPr>
          <w:p w14:paraId="4C55D7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339FD40" w14:textId="77777777" w:rsidTr="004C5D62">
        <w:tc>
          <w:tcPr>
            <w:tcW w:w="1384" w:type="dxa"/>
          </w:tcPr>
          <w:p w14:paraId="3E38003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56D19E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588215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273DFB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259886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FD1CD7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EC48BC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534171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A6651C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25C0E4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09C31C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32E686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 12,7 мм</w:t>
            </w:r>
          </w:p>
        </w:tc>
        <w:tc>
          <w:tcPr>
            <w:tcW w:w="949" w:type="dxa"/>
          </w:tcPr>
          <w:p w14:paraId="4668F2D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7772880" w14:textId="77777777" w:rsidTr="004C5D62">
        <w:tc>
          <w:tcPr>
            <w:tcW w:w="1384" w:type="dxa"/>
          </w:tcPr>
          <w:p w14:paraId="22B5487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FAA746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9410FA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001566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E5C68C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A2BD54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EA22E0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ECDB56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4B6682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4C73BC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A4CE1F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2857BB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 патронов</w:t>
            </w:r>
          </w:p>
        </w:tc>
        <w:tc>
          <w:tcPr>
            <w:tcW w:w="949" w:type="dxa"/>
          </w:tcPr>
          <w:p w14:paraId="05E75A1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9D9EEAF" w14:textId="77777777" w:rsidTr="004C5D62">
        <w:tc>
          <w:tcPr>
            <w:tcW w:w="1384" w:type="dxa"/>
          </w:tcPr>
          <w:p w14:paraId="515986A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2905BF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724C04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7F19B2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AD9A02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9E0C29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E96FCD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16DBA7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997273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6C86D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22FF97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65824EC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 бортовой</w:t>
            </w:r>
          </w:p>
        </w:tc>
        <w:tc>
          <w:tcPr>
            <w:tcW w:w="949" w:type="dxa"/>
          </w:tcPr>
          <w:p w14:paraId="53150E7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1496A83" w14:textId="77777777" w:rsidTr="004C5D62">
        <w:tc>
          <w:tcPr>
            <w:tcW w:w="1384" w:type="dxa"/>
          </w:tcPr>
          <w:p w14:paraId="68A6938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97687B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3418A5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465060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2A5B70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A6C4CA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7C5A83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4D22D8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E286F4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041C04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57B04B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3B70C9E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7,62 мм, патронов</w:t>
            </w:r>
          </w:p>
        </w:tc>
        <w:tc>
          <w:tcPr>
            <w:tcW w:w="949" w:type="dxa"/>
          </w:tcPr>
          <w:p w14:paraId="70FE928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EBA8B13" w14:textId="77777777" w:rsidTr="004C5D62">
        <w:tc>
          <w:tcPr>
            <w:tcW w:w="1384" w:type="dxa"/>
          </w:tcPr>
          <w:p w14:paraId="2888197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845465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4A8513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840B47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5586BB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C28F23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9E124A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D484AD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96B5BE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6B202F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6297BC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507F43C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 Бомбы 600 кг;</w:t>
            </w:r>
          </w:p>
        </w:tc>
        <w:tc>
          <w:tcPr>
            <w:tcW w:w="949" w:type="dxa"/>
          </w:tcPr>
          <w:p w14:paraId="3D58477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ECF7C8C" w14:textId="77777777" w:rsidTr="004C5D62">
        <w:tc>
          <w:tcPr>
            <w:tcW w:w="1384" w:type="dxa"/>
          </w:tcPr>
          <w:p w14:paraId="557658D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83B944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0B3ABD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7D4980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1D9D3A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C98CE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D34575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C073E0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CE29C4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C93446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8B4557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93EE66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перегруз. 1000 кг</w:t>
            </w:r>
          </w:p>
        </w:tc>
        <w:tc>
          <w:tcPr>
            <w:tcW w:w="949" w:type="dxa"/>
          </w:tcPr>
          <w:p w14:paraId="4D1AF90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58FF3F3" w14:textId="77777777" w:rsidTr="004C5D62">
        <w:tc>
          <w:tcPr>
            <w:tcW w:w="1384" w:type="dxa"/>
          </w:tcPr>
          <w:p w14:paraId="18E9D0E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Ил-4 с 2М-88</w:t>
            </w:r>
          </w:p>
        </w:tc>
        <w:tc>
          <w:tcPr>
            <w:tcW w:w="720" w:type="dxa"/>
          </w:tcPr>
          <w:p w14:paraId="5CFF7FF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345</w:t>
            </w:r>
          </w:p>
        </w:tc>
        <w:tc>
          <w:tcPr>
            <w:tcW w:w="702" w:type="dxa"/>
          </w:tcPr>
          <w:p w14:paraId="50DDD97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429/6800</w:t>
            </w:r>
          </w:p>
        </w:tc>
        <w:tc>
          <w:tcPr>
            <w:tcW w:w="702" w:type="dxa"/>
          </w:tcPr>
          <w:p w14:paraId="69ED5C4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w:t>
            </w:r>
          </w:p>
        </w:tc>
        <w:tc>
          <w:tcPr>
            <w:tcW w:w="702" w:type="dxa"/>
          </w:tcPr>
          <w:p w14:paraId="51FB42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10,54</w:t>
            </w:r>
          </w:p>
        </w:tc>
        <w:tc>
          <w:tcPr>
            <w:tcW w:w="630" w:type="dxa"/>
          </w:tcPr>
          <w:p w14:paraId="2F45497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10000</w:t>
            </w:r>
          </w:p>
        </w:tc>
        <w:tc>
          <w:tcPr>
            <w:tcW w:w="1080" w:type="dxa"/>
          </w:tcPr>
          <w:p w14:paraId="1020092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2700</w:t>
            </w:r>
          </w:p>
        </w:tc>
        <w:tc>
          <w:tcPr>
            <w:tcW w:w="660" w:type="dxa"/>
          </w:tcPr>
          <w:p w14:paraId="380B525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60" w:type="dxa"/>
          </w:tcPr>
          <w:p w14:paraId="2561B5A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430/690</w:t>
            </w:r>
          </w:p>
        </w:tc>
        <w:tc>
          <w:tcPr>
            <w:tcW w:w="660" w:type="dxa"/>
          </w:tcPr>
          <w:p w14:paraId="3082CBC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390/-</w:t>
            </w:r>
          </w:p>
        </w:tc>
        <w:tc>
          <w:tcPr>
            <w:tcW w:w="541" w:type="dxa"/>
          </w:tcPr>
          <w:p w14:paraId="24D000F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8033/</w:t>
            </w:r>
          </w:p>
        </w:tc>
        <w:tc>
          <w:tcPr>
            <w:tcW w:w="1217" w:type="dxa"/>
          </w:tcPr>
          <w:p w14:paraId="5AC1A04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Вперед:</w:t>
            </w:r>
          </w:p>
        </w:tc>
        <w:tc>
          <w:tcPr>
            <w:tcW w:w="949" w:type="dxa"/>
          </w:tcPr>
          <w:p w14:paraId="512EA58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Отчет</w:t>
            </w:r>
          </w:p>
        </w:tc>
      </w:tr>
      <w:tr w:rsidR="007C5583" w:rsidRPr="008127F8" w14:paraId="2F40601F" w14:textId="77777777" w:rsidTr="004C5D62">
        <w:tc>
          <w:tcPr>
            <w:tcW w:w="1384" w:type="dxa"/>
          </w:tcPr>
          <w:p w14:paraId="7E8E599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серийный самолет</w:t>
            </w:r>
          </w:p>
        </w:tc>
        <w:tc>
          <w:tcPr>
            <w:tcW w:w="720" w:type="dxa"/>
          </w:tcPr>
          <w:p w14:paraId="360FC50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60783C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9572D0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067472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52256D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169AF7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Н-4000 м</w:t>
            </w:r>
          </w:p>
        </w:tc>
        <w:tc>
          <w:tcPr>
            <w:tcW w:w="660" w:type="dxa"/>
          </w:tcPr>
          <w:p w14:paraId="0E7C9DA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DB9D9F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DEB32E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30C391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10153</w:t>
            </w:r>
          </w:p>
        </w:tc>
        <w:tc>
          <w:tcPr>
            <w:tcW w:w="1217" w:type="dxa"/>
          </w:tcPr>
          <w:p w14:paraId="06F6B5D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 7,62 мм</w:t>
            </w:r>
          </w:p>
        </w:tc>
        <w:tc>
          <w:tcPr>
            <w:tcW w:w="949" w:type="dxa"/>
          </w:tcPr>
          <w:p w14:paraId="41A9EEF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НИИ по</w:t>
            </w:r>
          </w:p>
        </w:tc>
      </w:tr>
      <w:tr w:rsidR="007C5583" w:rsidRPr="008127F8" w14:paraId="7E4231DD" w14:textId="77777777" w:rsidTr="004C5D62">
        <w:tc>
          <w:tcPr>
            <w:tcW w:w="1384" w:type="dxa"/>
          </w:tcPr>
          <w:p w14:paraId="53B441E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N 390801</w:t>
            </w:r>
          </w:p>
        </w:tc>
        <w:tc>
          <w:tcPr>
            <w:tcW w:w="720" w:type="dxa"/>
          </w:tcPr>
          <w:p w14:paraId="45502C8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FCA18E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72B380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0114F0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3112AA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49D956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0,8 Vмакс.</w:t>
            </w:r>
          </w:p>
        </w:tc>
        <w:tc>
          <w:tcPr>
            <w:tcW w:w="660" w:type="dxa"/>
          </w:tcPr>
          <w:p w14:paraId="2C79FA6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E88BED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F0D8A5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580A50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33473E8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 патронов</w:t>
            </w:r>
          </w:p>
        </w:tc>
        <w:tc>
          <w:tcPr>
            <w:tcW w:w="949" w:type="dxa"/>
          </w:tcPr>
          <w:p w14:paraId="4F36A41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w:t>
            </w:r>
          </w:p>
        </w:tc>
      </w:tr>
      <w:tr w:rsidR="007C5583" w:rsidRPr="008127F8" w14:paraId="7D91851F" w14:textId="77777777" w:rsidTr="004C5D62">
        <w:tc>
          <w:tcPr>
            <w:tcW w:w="1384" w:type="dxa"/>
          </w:tcPr>
          <w:p w14:paraId="4C7FE2D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12F5AF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0C1299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D6575B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8621B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6C1955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B8BAF9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8DBB3B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F89F2A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A2EF0F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5DE4C8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C2BB8D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Назад:</w:t>
            </w:r>
          </w:p>
        </w:tc>
        <w:tc>
          <w:tcPr>
            <w:tcW w:w="949" w:type="dxa"/>
          </w:tcPr>
          <w:p w14:paraId="245F782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июль-авг.</w:t>
            </w:r>
          </w:p>
        </w:tc>
      </w:tr>
      <w:tr w:rsidR="007C5583" w:rsidRPr="008127F8" w14:paraId="44EA0B72" w14:textId="77777777" w:rsidTr="004C5D62">
        <w:tc>
          <w:tcPr>
            <w:tcW w:w="1384" w:type="dxa"/>
          </w:tcPr>
          <w:p w14:paraId="52ACFA5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10D7E4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DB14D7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5F6B85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50B763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3C3F3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F6814C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6F2FE5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31387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F4BA32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3BFA15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99D054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 7,62 мм</w:t>
            </w:r>
          </w:p>
        </w:tc>
        <w:tc>
          <w:tcPr>
            <w:tcW w:w="949" w:type="dxa"/>
          </w:tcPr>
          <w:p w14:paraId="27DF847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1940 г.</w:t>
            </w:r>
          </w:p>
        </w:tc>
      </w:tr>
      <w:tr w:rsidR="007C5583" w:rsidRPr="008127F8" w14:paraId="767C510D" w14:textId="77777777" w:rsidTr="004C5D62">
        <w:tc>
          <w:tcPr>
            <w:tcW w:w="1384" w:type="dxa"/>
          </w:tcPr>
          <w:p w14:paraId="61C5E70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03E11B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839E56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022976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A1743B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98E135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A8878C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08E160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5F0CD8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20AC2D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1E073B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AC3F84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1200 патронов</w:t>
            </w:r>
          </w:p>
        </w:tc>
        <w:tc>
          <w:tcPr>
            <w:tcW w:w="949" w:type="dxa"/>
          </w:tcPr>
          <w:p w14:paraId="4B1818C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E69175C" w14:textId="77777777" w:rsidTr="004C5D62">
        <w:tc>
          <w:tcPr>
            <w:tcW w:w="1384" w:type="dxa"/>
          </w:tcPr>
          <w:p w14:paraId="1A3E651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6B92FD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96D616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43EE13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B5306A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B32D7F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893C10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761CA8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DA4008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7B5003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45D5977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E20A27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 7,62 мм</w:t>
            </w:r>
          </w:p>
        </w:tc>
        <w:tc>
          <w:tcPr>
            <w:tcW w:w="949" w:type="dxa"/>
          </w:tcPr>
          <w:p w14:paraId="3506BC0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A3AF60C" w14:textId="77777777" w:rsidTr="004C5D62">
        <w:tc>
          <w:tcPr>
            <w:tcW w:w="1384" w:type="dxa"/>
          </w:tcPr>
          <w:p w14:paraId="00B2200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C8487A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356332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CF5E1D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FE5100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1A4B53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6C7A15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3857B9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2E263C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21A68E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4A37A5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53D5578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750 патронов</w:t>
            </w:r>
          </w:p>
        </w:tc>
        <w:tc>
          <w:tcPr>
            <w:tcW w:w="949" w:type="dxa"/>
          </w:tcPr>
          <w:p w14:paraId="3A8BA4B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AF23943" w14:textId="77777777" w:rsidTr="004C5D62">
        <w:tc>
          <w:tcPr>
            <w:tcW w:w="1384" w:type="dxa"/>
          </w:tcPr>
          <w:p w14:paraId="62FDDD9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02B8CC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1C57A3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FEED02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7B4FE4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58CB36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1CB51A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009633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32F26B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2EC309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A11C87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3745018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бомбы - 1000 кг;</w:t>
            </w:r>
          </w:p>
        </w:tc>
        <w:tc>
          <w:tcPr>
            <w:tcW w:w="949" w:type="dxa"/>
          </w:tcPr>
          <w:p w14:paraId="6D5898F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433C11A" w14:textId="77777777" w:rsidTr="004C5D62">
        <w:tc>
          <w:tcPr>
            <w:tcW w:w="1384" w:type="dxa"/>
          </w:tcPr>
          <w:p w14:paraId="398BBC3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0C18EE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C953CB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446324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403E82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4EDB42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3E25E90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F68B03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E3D1A8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93074A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2F7236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E16C56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перегруз. </w:t>
            </w:r>
            <w:r w:rsidRPr="008127F8">
              <w:rPr>
                <w:rFonts w:ascii="Times New Roman" w:hAnsi="Times New Roman"/>
                <w:color w:val="000000" w:themeColor="text1"/>
                <w:sz w:val="16"/>
                <w:szCs w:val="16"/>
              </w:rPr>
              <w:lastRenderedPageBreak/>
              <w:t>2500 кг</w:t>
            </w:r>
          </w:p>
        </w:tc>
        <w:tc>
          <w:tcPr>
            <w:tcW w:w="949" w:type="dxa"/>
          </w:tcPr>
          <w:p w14:paraId="4A9F816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2AAAE91" w14:textId="77777777" w:rsidTr="004C5D62">
        <w:tc>
          <w:tcPr>
            <w:tcW w:w="1384" w:type="dxa"/>
          </w:tcPr>
          <w:p w14:paraId="3083F23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ТБ-7 с АМ35А</w:t>
            </w:r>
          </w:p>
        </w:tc>
        <w:tc>
          <w:tcPr>
            <w:tcW w:w="720" w:type="dxa"/>
          </w:tcPr>
          <w:p w14:paraId="50F0E84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345</w:t>
            </w:r>
          </w:p>
        </w:tc>
        <w:tc>
          <w:tcPr>
            <w:tcW w:w="702" w:type="dxa"/>
          </w:tcPr>
          <w:p w14:paraId="450C992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430/6000</w:t>
            </w:r>
          </w:p>
        </w:tc>
        <w:tc>
          <w:tcPr>
            <w:tcW w:w="702" w:type="dxa"/>
          </w:tcPr>
          <w:p w14:paraId="0F5C5C7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w:t>
            </w:r>
          </w:p>
        </w:tc>
        <w:tc>
          <w:tcPr>
            <w:tcW w:w="702" w:type="dxa"/>
          </w:tcPr>
          <w:p w14:paraId="6553046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w:t>
            </w:r>
          </w:p>
        </w:tc>
        <w:tc>
          <w:tcPr>
            <w:tcW w:w="630" w:type="dxa"/>
          </w:tcPr>
          <w:p w14:paraId="3CDD142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9300</w:t>
            </w:r>
          </w:p>
        </w:tc>
        <w:tc>
          <w:tcPr>
            <w:tcW w:w="1080" w:type="dxa"/>
          </w:tcPr>
          <w:p w14:paraId="085BC8A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4500</w:t>
            </w:r>
          </w:p>
        </w:tc>
        <w:tc>
          <w:tcPr>
            <w:tcW w:w="660" w:type="dxa"/>
          </w:tcPr>
          <w:p w14:paraId="442CB0D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60" w:type="dxa"/>
          </w:tcPr>
          <w:p w14:paraId="0189E91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60" w:type="dxa"/>
          </w:tcPr>
          <w:p w14:paraId="22C0439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41" w:type="dxa"/>
          </w:tcPr>
          <w:p w14:paraId="44EECE9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25000/</w:t>
            </w:r>
          </w:p>
        </w:tc>
        <w:tc>
          <w:tcPr>
            <w:tcW w:w="1217" w:type="dxa"/>
          </w:tcPr>
          <w:p w14:paraId="1877E25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пушка 20 мм</w:t>
            </w:r>
          </w:p>
        </w:tc>
        <w:tc>
          <w:tcPr>
            <w:tcW w:w="949" w:type="dxa"/>
          </w:tcPr>
          <w:p w14:paraId="4A33DCC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Данные </w:t>
            </w:r>
          </w:p>
        </w:tc>
      </w:tr>
      <w:tr w:rsidR="007C5583" w:rsidRPr="008127F8" w14:paraId="5AE50D94" w14:textId="77777777" w:rsidTr="004C5D62">
        <w:tc>
          <w:tcPr>
            <w:tcW w:w="1384" w:type="dxa"/>
          </w:tcPr>
          <w:p w14:paraId="28F7C17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3C52B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E19F5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4F567A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595F4E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4E0A16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89CA65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Н-6000 м</w:t>
            </w:r>
          </w:p>
        </w:tc>
        <w:tc>
          <w:tcPr>
            <w:tcW w:w="660" w:type="dxa"/>
          </w:tcPr>
          <w:p w14:paraId="1CA61A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B5CBB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F89348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DB055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34000</w:t>
            </w:r>
          </w:p>
        </w:tc>
        <w:tc>
          <w:tcPr>
            <w:tcW w:w="1217" w:type="dxa"/>
          </w:tcPr>
          <w:p w14:paraId="20C8A1F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 снарядов</w:t>
            </w:r>
          </w:p>
        </w:tc>
        <w:tc>
          <w:tcPr>
            <w:tcW w:w="949" w:type="dxa"/>
          </w:tcPr>
          <w:p w14:paraId="4BFA42E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w:t>
            </w:r>
          </w:p>
        </w:tc>
      </w:tr>
      <w:tr w:rsidR="007C5583" w:rsidRPr="008127F8" w14:paraId="0DD4F1BD" w14:textId="77777777" w:rsidTr="004C5D62">
        <w:tc>
          <w:tcPr>
            <w:tcW w:w="1384" w:type="dxa"/>
          </w:tcPr>
          <w:p w14:paraId="2046BE0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4F6106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EDF254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1A66FB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9194FD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B18F56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78C160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0,75 Vмакс.</w:t>
            </w:r>
          </w:p>
        </w:tc>
        <w:tc>
          <w:tcPr>
            <w:tcW w:w="660" w:type="dxa"/>
          </w:tcPr>
          <w:p w14:paraId="043737E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567AB4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523666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A1CC84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D3B0D9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пул. 7,62 мм</w:t>
            </w:r>
          </w:p>
        </w:tc>
        <w:tc>
          <w:tcPr>
            <w:tcW w:w="949" w:type="dxa"/>
          </w:tcPr>
          <w:p w14:paraId="5D868CD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расчету</w:t>
            </w:r>
          </w:p>
        </w:tc>
      </w:tr>
      <w:tr w:rsidR="007C5583" w:rsidRPr="008127F8" w14:paraId="0EB7B678" w14:textId="77777777" w:rsidTr="004C5D62">
        <w:tc>
          <w:tcPr>
            <w:tcW w:w="1384" w:type="dxa"/>
          </w:tcPr>
          <w:p w14:paraId="3D4AA1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331BDE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64F66D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F282B6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314FEB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77C30C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5267558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147E3D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DFDA9B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764CB2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0D2E37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56E65C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6000 патрон</w:t>
            </w:r>
          </w:p>
        </w:tc>
        <w:tc>
          <w:tcPr>
            <w:tcW w:w="949" w:type="dxa"/>
          </w:tcPr>
          <w:p w14:paraId="4743CA6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48997C9" w14:textId="77777777" w:rsidTr="004C5D62">
        <w:tc>
          <w:tcPr>
            <w:tcW w:w="1384" w:type="dxa"/>
          </w:tcPr>
          <w:p w14:paraId="38DFDB2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EE764E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E169D7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4A3332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3EE01A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CC192F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59301C3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5B862F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DB8B1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179E3C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5C2427B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213F92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w:t>
            </w:r>
          </w:p>
        </w:tc>
        <w:tc>
          <w:tcPr>
            <w:tcW w:w="949" w:type="dxa"/>
          </w:tcPr>
          <w:p w14:paraId="034977E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7A8A7D0" w14:textId="77777777" w:rsidTr="004C5D62">
        <w:tc>
          <w:tcPr>
            <w:tcW w:w="1384" w:type="dxa"/>
          </w:tcPr>
          <w:p w14:paraId="1D90BCB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4A44F8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E8CF8B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12D6C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6AF028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3012BD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5EFCC54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22928A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008B8A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9A0A4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2D0C78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E848A3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 кг нормальная;</w:t>
            </w:r>
          </w:p>
        </w:tc>
        <w:tc>
          <w:tcPr>
            <w:tcW w:w="949" w:type="dxa"/>
          </w:tcPr>
          <w:p w14:paraId="4DB86FD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6AD2C42" w14:textId="77777777" w:rsidTr="004C5D62">
        <w:tc>
          <w:tcPr>
            <w:tcW w:w="1384" w:type="dxa"/>
          </w:tcPr>
          <w:p w14:paraId="5C3A9C5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F8BD3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2473E0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2242F4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1364CE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B30DD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3CABC8E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54772F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112477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54D9DD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DAD1E9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357C614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перегрузкой 400 кг</w:t>
            </w:r>
          </w:p>
        </w:tc>
        <w:tc>
          <w:tcPr>
            <w:tcW w:w="949" w:type="dxa"/>
          </w:tcPr>
          <w:p w14:paraId="7FABA38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2A8DAFE0" w14:textId="77777777" w:rsidTr="004C5D62">
        <w:tc>
          <w:tcPr>
            <w:tcW w:w="1384" w:type="dxa"/>
          </w:tcPr>
          <w:p w14:paraId="6C87E56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Пс-84 с М62ИР</w:t>
            </w:r>
          </w:p>
        </w:tc>
        <w:tc>
          <w:tcPr>
            <w:tcW w:w="720" w:type="dxa"/>
          </w:tcPr>
          <w:p w14:paraId="34794D6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288</w:t>
            </w:r>
          </w:p>
        </w:tc>
        <w:tc>
          <w:tcPr>
            <w:tcW w:w="702" w:type="dxa"/>
          </w:tcPr>
          <w:p w14:paraId="2C9B5B4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315/1760</w:t>
            </w:r>
          </w:p>
        </w:tc>
        <w:tc>
          <w:tcPr>
            <w:tcW w:w="702" w:type="dxa"/>
          </w:tcPr>
          <w:p w14:paraId="5F09C47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109</w:t>
            </w:r>
          </w:p>
        </w:tc>
        <w:tc>
          <w:tcPr>
            <w:tcW w:w="702" w:type="dxa"/>
          </w:tcPr>
          <w:p w14:paraId="14C2742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30" w:type="dxa"/>
          </w:tcPr>
          <w:p w14:paraId="02EFBA9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5600</w:t>
            </w:r>
          </w:p>
        </w:tc>
        <w:tc>
          <w:tcPr>
            <w:tcW w:w="1080" w:type="dxa"/>
          </w:tcPr>
          <w:p w14:paraId="41D6F1D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1340</w:t>
            </w:r>
          </w:p>
        </w:tc>
        <w:tc>
          <w:tcPr>
            <w:tcW w:w="660" w:type="dxa"/>
          </w:tcPr>
          <w:p w14:paraId="6E080ED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60" w:type="dxa"/>
          </w:tcPr>
          <w:p w14:paraId="462EEB4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60" w:type="dxa"/>
          </w:tcPr>
          <w:p w14:paraId="11050F9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41" w:type="dxa"/>
          </w:tcPr>
          <w:p w14:paraId="0A33AC9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11000</w:t>
            </w:r>
          </w:p>
        </w:tc>
        <w:tc>
          <w:tcPr>
            <w:tcW w:w="1217" w:type="dxa"/>
          </w:tcPr>
          <w:p w14:paraId="7B70A7B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Вперед:</w:t>
            </w:r>
          </w:p>
        </w:tc>
        <w:tc>
          <w:tcPr>
            <w:tcW w:w="949" w:type="dxa"/>
          </w:tcPr>
          <w:p w14:paraId="2BDF24A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Техуслов.</w:t>
            </w:r>
          </w:p>
        </w:tc>
      </w:tr>
      <w:tr w:rsidR="007C5583" w:rsidRPr="008127F8" w14:paraId="30CFE751" w14:textId="77777777" w:rsidTr="004C5D62">
        <w:tc>
          <w:tcPr>
            <w:tcW w:w="1384" w:type="dxa"/>
          </w:tcPr>
          <w:p w14:paraId="18A0E75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FD89D1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40F986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5569CD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6CB630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3A3FB7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4F29C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A6AFB6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53A44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769808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5574B98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9FE148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 7,62 мм</w:t>
            </w:r>
          </w:p>
        </w:tc>
        <w:tc>
          <w:tcPr>
            <w:tcW w:w="949" w:type="dxa"/>
          </w:tcPr>
          <w:p w14:paraId="236690D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договора</w:t>
            </w:r>
          </w:p>
        </w:tc>
      </w:tr>
      <w:tr w:rsidR="007C5583" w:rsidRPr="008127F8" w14:paraId="51AAFDCE" w14:textId="77777777" w:rsidTr="004C5D62">
        <w:tc>
          <w:tcPr>
            <w:tcW w:w="1384" w:type="dxa"/>
          </w:tcPr>
          <w:p w14:paraId="32E9EC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31E634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FD2DE4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7A520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4CC8F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6AA4B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E2B3F6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C2B5DC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6B8962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264EBE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4BAA3F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730B9E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неподвижн.,</w:t>
            </w:r>
          </w:p>
        </w:tc>
        <w:tc>
          <w:tcPr>
            <w:tcW w:w="949" w:type="dxa"/>
          </w:tcPr>
          <w:p w14:paraId="1358D33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ВВС на</w:t>
            </w:r>
          </w:p>
        </w:tc>
      </w:tr>
      <w:tr w:rsidR="007C5583" w:rsidRPr="008127F8" w14:paraId="1FCE4238" w14:textId="77777777" w:rsidTr="004C5D62">
        <w:tc>
          <w:tcPr>
            <w:tcW w:w="1384" w:type="dxa"/>
          </w:tcPr>
          <w:p w14:paraId="27D79D1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5B2E36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ACAFB6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81A6F9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93896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AEFBCE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A2D98B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2489F4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713A88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836452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5079C6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008980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 патронов</w:t>
            </w:r>
          </w:p>
        </w:tc>
        <w:tc>
          <w:tcPr>
            <w:tcW w:w="949" w:type="dxa"/>
          </w:tcPr>
          <w:p w14:paraId="64BC1D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поставку</w:t>
            </w:r>
          </w:p>
        </w:tc>
      </w:tr>
      <w:tr w:rsidR="007C5583" w:rsidRPr="008127F8" w14:paraId="76C10117" w14:textId="77777777" w:rsidTr="004C5D62">
        <w:tc>
          <w:tcPr>
            <w:tcW w:w="1384" w:type="dxa"/>
          </w:tcPr>
          <w:p w14:paraId="46CF1BE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26F858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B616BF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378F01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19EEBF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8CEF4C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5691BA9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FB0A24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64D583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03D8C6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543FDFC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31797E8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Назад:</w:t>
            </w:r>
          </w:p>
        </w:tc>
        <w:tc>
          <w:tcPr>
            <w:tcW w:w="949" w:type="dxa"/>
          </w:tcPr>
          <w:p w14:paraId="1CF825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з-дом 84 в</w:t>
            </w:r>
          </w:p>
        </w:tc>
      </w:tr>
      <w:tr w:rsidR="007C5583" w:rsidRPr="008127F8" w14:paraId="19588780" w14:textId="77777777" w:rsidTr="004C5D62">
        <w:tc>
          <w:tcPr>
            <w:tcW w:w="1384" w:type="dxa"/>
          </w:tcPr>
          <w:p w14:paraId="6553D38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BE6CBC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024035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0A19C2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2EFE20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7BDFA6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E3D456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F9C221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3D388B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530CA9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BD800B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89FE60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турели 1 пул.</w:t>
            </w:r>
          </w:p>
        </w:tc>
        <w:tc>
          <w:tcPr>
            <w:tcW w:w="949" w:type="dxa"/>
          </w:tcPr>
          <w:p w14:paraId="1948CFC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r>
      <w:tr w:rsidR="007C5583" w:rsidRPr="008127F8" w14:paraId="12365571" w14:textId="77777777" w:rsidTr="004C5D62">
        <w:tc>
          <w:tcPr>
            <w:tcW w:w="1384" w:type="dxa"/>
          </w:tcPr>
          <w:p w14:paraId="7452EA6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BF848E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F111EE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EDA859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043C26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285CD7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2277B0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FA8D6D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B46377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FCAAFC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DC5BC6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65D8CEB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7,62 мм 1200 патрон</w:t>
            </w:r>
          </w:p>
        </w:tc>
        <w:tc>
          <w:tcPr>
            <w:tcW w:w="949" w:type="dxa"/>
          </w:tcPr>
          <w:p w14:paraId="497E6D5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CF77D33" w14:textId="77777777" w:rsidTr="004C5D62">
        <w:tc>
          <w:tcPr>
            <w:tcW w:w="1384" w:type="dxa"/>
          </w:tcPr>
          <w:p w14:paraId="49787C8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E4F4F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3B3050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5D5226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C94C39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2208ED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61481C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BC4A26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197899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D86FBF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E7DFC5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24670F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боковые 2 пул. 7,62 мм</w:t>
            </w:r>
          </w:p>
        </w:tc>
        <w:tc>
          <w:tcPr>
            <w:tcW w:w="949" w:type="dxa"/>
          </w:tcPr>
          <w:p w14:paraId="6367B77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BEB6D37" w14:textId="77777777" w:rsidTr="004C5D62">
        <w:tc>
          <w:tcPr>
            <w:tcW w:w="1384" w:type="dxa"/>
          </w:tcPr>
          <w:p w14:paraId="5D8AD3E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1EF747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A53101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F9DBBB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137488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0E53B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525B82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315F40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C3E835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540495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E4A47B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2AD879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 патрон</w:t>
            </w:r>
          </w:p>
        </w:tc>
        <w:tc>
          <w:tcPr>
            <w:tcW w:w="949" w:type="dxa"/>
          </w:tcPr>
          <w:p w14:paraId="7637F62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2070AB1" w14:textId="77777777" w:rsidTr="004C5D62">
        <w:tc>
          <w:tcPr>
            <w:tcW w:w="1384" w:type="dxa"/>
          </w:tcPr>
          <w:p w14:paraId="71C9CD9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Ту-2 с М-82</w:t>
            </w:r>
          </w:p>
        </w:tc>
        <w:tc>
          <w:tcPr>
            <w:tcW w:w="720" w:type="dxa"/>
          </w:tcPr>
          <w:p w14:paraId="65E1084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464</w:t>
            </w:r>
          </w:p>
        </w:tc>
        <w:tc>
          <w:tcPr>
            <w:tcW w:w="702" w:type="dxa"/>
          </w:tcPr>
          <w:p w14:paraId="050841E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550/6300</w:t>
            </w:r>
          </w:p>
        </w:tc>
        <w:tc>
          <w:tcPr>
            <w:tcW w:w="702" w:type="dxa"/>
          </w:tcPr>
          <w:p w14:paraId="28D5CD4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145</w:t>
            </w:r>
          </w:p>
        </w:tc>
        <w:tc>
          <w:tcPr>
            <w:tcW w:w="702" w:type="dxa"/>
          </w:tcPr>
          <w:p w14:paraId="2D32099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630" w:type="dxa"/>
          </w:tcPr>
          <w:p w14:paraId="73A7DBE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9500</w:t>
            </w:r>
          </w:p>
        </w:tc>
        <w:tc>
          <w:tcPr>
            <w:tcW w:w="1080" w:type="dxa"/>
          </w:tcPr>
          <w:p w14:paraId="09ABD6C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w:t>
            </w:r>
          </w:p>
        </w:tc>
        <w:tc>
          <w:tcPr>
            <w:tcW w:w="660" w:type="dxa"/>
          </w:tcPr>
          <w:p w14:paraId="205C64F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60" w:type="dxa"/>
          </w:tcPr>
          <w:p w14:paraId="139B3B0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60" w:type="dxa"/>
          </w:tcPr>
          <w:p w14:paraId="4534D5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41" w:type="dxa"/>
          </w:tcPr>
          <w:p w14:paraId="16EFC52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10400/</w:t>
            </w:r>
          </w:p>
        </w:tc>
        <w:tc>
          <w:tcPr>
            <w:tcW w:w="1217" w:type="dxa"/>
          </w:tcPr>
          <w:p w14:paraId="076A41D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Вперед:</w:t>
            </w:r>
          </w:p>
        </w:tc>
        <w:tc>
          <w:tcPr>
            <w:tcW w:w="949" w:type="dxa"/>
          </w:tcPr>
          <w:p w14:paraId="126D313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Скорость</w:t>
            </w:r>
          </w:p>
        </w:tc>
      </w:tr>
      <w:tr w:rsidR="007C5583" w:rsidRPr="008127F8" w14:paraId="1E61B79A" w14:textId="77777777" w:rsidTr="004C5D62">
        <w:tc>
          <w:tcPr>
            <w:tcW w:w="1384" w:type="dxa"/>
          </w:tcPr>
          <w:p w14:paraId="6331E2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BD486F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34995F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90A99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6B506E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9D70CC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A12435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9ADABE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2400</w:t>
            </w:r>
          </w:p>
        </w:tc>
        <w:tc>
          <w:tcPr>
            <w:tcW w:w="660" w:type="dxa"/>
          </w:tcPr>
          <w:p w14:paraId="56A9AF1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6ADDE5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7378E2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12650</w:t>
            </w:r>
          </w:p>
        </w:tc>
        <w:tc>
          <w:tcPr>
            <w:tcW w:w="1217" w:type="dxa"/>
          </w:tcPr>
          <w:p w14:paraId="4955C3F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пушки 20 мм</w:t>
            </w:r>
          </w:p>
        </w:tc>
        <w:tc>
          <w:tcPr>
            <w:tcW w:w="949" w:type="dxa"/>
          </w:tcPr>
          <w:p w14:paraId="7A4AB07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земли</w:t>
            </w:r>
          </w:p>
        </w:tc>
      </w:tr>
      <w:tr w:rsidR="007C5583" w:rsidRPr="008127F8" w14:paraId="098ADE18" w14:textId="77777777" w:rsidTr="004C5D62">
        <w:tc>
          <w:tcPr>
            <w:tcW w:w="1384" w:type="dxa"/>
          </w:tcPr>
          <w:p w14:paraId="25CD631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35F428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887C80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C10801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00FC9C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8BBB63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5449882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3F8847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FFE128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119D4A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700F8E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B5A23D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пул. 7662 мм</w:t>
            </w:r>
          </w:p>
        </w:tc>
        <w:tc>
          <w:tcPr>
            <w:tcW w:w="949" w:type="dxa"/>
          </w:tcPr>
          <w:p w14:paraId="4C1CD7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зав.</w:t>
            </w:r>
          </w:p>
        </w:tc>
      </w:tr>
      <w:tr w:rsidR="007C5583" w:rsidRPr="008127F8" w14:paraId="5E381F50" w14:textId="77777777" w:rsidTr="004C5D62">
        <w:tc>
          <w:tcPr>
            <w:tcW w:w="1384" w:type="dxa"/>
          </w:tcPr>
          <w:p w14:paraId="2F76F4D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19AD55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BF61A4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B5BFD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31FA4F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007472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124212C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BD634E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3B8640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3E124E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F52522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4270CB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Назад:</w:t>
            </w:r>
          </w:p>
        </w:tc>
        <w:tc>
          <w:tcPr>
            <w:tcW w:w="949" w:type="dxa"/>
          </w:tcPr>
          <w:p w14:paraId="691ED0A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полетн.</w:t>
            </w:r>
          </w:p>
        </w:tc>
      </w:tr>
      <w:tr w:rsidR="007C5583" w:rsidRPr="008127F8" w14:paraId="5EEB8095" w14:textId="77777777" w:rsidTr="004C5D62">
        <w:tc>
          <w:tcPr>
            <w:tcW w:w="1384" w:type="dxa"/>
          </w:tcPr>
          <w:p w14:paraId="2A162F2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01CDFD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EC4E73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2E62EB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39A521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24BCD4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510F6BA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7A26C8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D29E54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B4DF97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968ED5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69657CD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 7,62 мм в</w:t>
            </w:r>
          </w:p>
        </w:tc>
        <w:tc>
          <w:tcPr>
            <w:tcW w:w="949" w:type="dxa"/>
          </w:tcPr>
          <w:p w14:paraId="75732F5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w:t>
            </w:r>
          </w:p>
        </w:tc>
      </w:tr>
      <w:tr w:rsidR="007C5583" w:rsidRPr="008127F8" w14:paraId="2E68C68A" w14:textId="77777777" w:rsidTr="004C5D62">
        <w:tc>
          <w:tcPr>
            <w:tcW w:w="1384" w:type="dxa"/>
          </w:tcPr>
          <w:p w14:paraId="0BB0B0A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476501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9EC20A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2ADA8B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B2F677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4A08C3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E308B0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7524BF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B39BE1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13F47E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3B591C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7A64F9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блистере, 1 пул.</w:t>
            </w:r>
          </w:p>
        </w:tc>
        <w:tc>
          <w:tcPr>
            <w:tcW w:w="949" w:type="dxa"/>
          </w:tcPr>
          <w:p w14:paraId="62493AF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ост.</w:t>
            </w:r>
          </w:p>
        </w:tc>
      </w:tr>
      <w:tr w:rsidR="007C5583" w:rsidRPr="008127F8" w14:paraId="3D664C9F" w14:textId="77777777" w:rsidTr="004C5D62">
        <w:tc>
          <w:tcPr>
            <w:tcW w:w="1384" w:type="dxa"/>
          </w:tcPr>
          <w:p w14:paraId="049572A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45D28D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4F3CF3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860489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0CEA99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34DF28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05E270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70CB07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CDA3BB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B31B2B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CA140F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146FA2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7,62 мм у радиста</w:t>
            </w:r>
          </w:p>
        </w:tc>
        <w:tc>
          <w:tcPr>
            <w:tcW w:w="949" w:type="dxa"/>
          </w:tcPr>
          <w:p w14:paraId="6AF7BEF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данные </w:t>
            </w:r>
          </w:p>
        </w:tc>
      </w:tr>
      <w:tr w:rsidR="007C5583" w:rsidRPr="008127F8" w14:paraId="096F5B3C" w14:textId="77777777" w:rsidTr="004C5D62">
        <w:tc>
          <w:tcPr>
            <w:tcW w:w="1384" w:type="dxa"/>
          </w:tcPr>
          <w:p w14:paraId="1896347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567CF1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A8063A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A7AA26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DB61D5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E917D0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E768C9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4FCAA9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C2A2B7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8D34E5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D709FE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64B3C51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 7,62 мм в</w:t>
            </w:r>
          </w:p>
        </w:tc>
        <w:tc>
          <w:tcPr>
            <w:tcW w:w="949" w:type="dxa"/>
          </w:tcPr>
          <w:p w14:paraId="5F9C477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w:t>
            </w:r>
          </w:p>
        </w:tc>
      </w:tr>
      <w:tr w:rsidR="007C5583" w:rsidRPr="008127F8" w14:paraId="5AA35110" w14:textId="77777777" w:rsidTr="004C5D62">
        <w:tc>
          <w:tcPr>
            <w:tcW w:w="1384" w:type="dxa"/>
          </w:tcPr>
          <w:p w14:paraId="100BB19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BA8A87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0531F4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FE3453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CE38D8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0B9328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3BD3C00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57AB0B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EDA7D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F0A9EB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578478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25BABC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люковой установ.</w:t>
            </w:r>
          </w:p>
        </w:tc>
        <w:tc>
          <w:tcPr>
            <w:tcW w:w="949" w:type="dxa"/>
          </w:tcPr>
          <w:p w14:paraId="41D9C69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расчету</w:t>
            </w:r>
          </w:p>
        </w:tc>
      </w:tr>
      <w:tr w:rsidR="007C5583" w:rsidRPr="008127F8" w14:paraId="05D112F5" w14:textId="77777777" w:rsidTr="004C5D62">
        <w:tc>
          <w:tcPr>
            <w:tcW w:w="1384" w:type="dxa"/>
          </w:tcPr>
          <w:p w14:paraId="4669A8F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E847A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B63225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529B8E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CA83AF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CEAA13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036CD1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165A6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3BAAF3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BE1F73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6D54E4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02898B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w:t>
            </w:r>
          </w:p>
        </w:tc>
        <w:tc>
          <w:tcPr>
            <w:tcW w:w="949" w:type="dxa"/>
          </w:tcPr>
          <w:p w14:paraId="6078653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7144D31" w14:textId="77777777" w:rsidTr="004C5D62">
        <w:tc>
          <w:tcPr>
            <w:tcW w:w="1384" w:type="dxa"/>
          </w:tcPr>
          <w:p w14:paraId="40D0F82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BCCBE0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8A2951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03E73F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6F29D3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4856D4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5DBE9FD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50649B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D4749E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2E9E00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1445B9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67A6AA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 кг нормальная,</w:t>
            </w:r>
          </w:p>
        </w:tc>
        <w:tc>
          <w:tcPr>
            <w:tcW w:w="949" w:type="dxa"/>
          </w:tcPr>
          <w:p w14:paraId="715B4FE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3077E25" w14:textId="77777777" w:rsidTr="004C5D62">
        <w:tc>
          <w:tcPr>
            <w:tcW w:w="1384" w:type="dxa"/>
          </w:tcPr>
          <w:p w14:paraId="40E244B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372FA3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CF70D9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CD1375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145DF0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088D24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BF7A80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6F55A1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D8E573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8B47C3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F0D723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1E4737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 кг с перегруз.</w:t>
            </w:r>
          </w:p>
        </w:tc>
        <w:tc>
          <w:tcPr>
            <w:tcW w:w="949" w:type="dxa"/>
          </w:tcPr>
          <w:p w14:paraId="742E65E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06CDDDA" w14:textId="77777777" w:rsidTr="004C5D62">
        <w:tc>
          <w:tcPr>
            <w:tcW w:w="1384" w:type="dxa"/>
          </w:tcPr>
          <w:p w14:paraId="417F32C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Су-2 с М-88</w:t>
            </w:r>
          </w:p>
        </w:tc>
        <w:tc>
          <w:tcPr>
            <w:tcW w:w="720" w:type="dxa"/>
          </w:tcPr>
          <w:p w14:paraId="47CBADE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378</w:t>
            </w:r>
          </w:p>
        </w:tc>
        <w:tc>
          <w:tcPr>
            <w:tcW w:w="702" w:type="dxa"/>
          </w:tcPr>
          <w:p w14:paraId="6BDB0D7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455/6800</w:t>
            </w:r>
          </w:p>
        </w:tc>
        <w:tc>
          <w:tcPr>
            <w:tcW w:w="702" w:type="dxa"/>
          </w:tcPr>
          <w:p w14:paraId="4DA0A84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136</w:t>
            </w:r>
          </w:p>
        </w:tc>
        <w:tc>
          <w:tcPr>
            <w:tcW w:w="702" w:type="dxa"/>
          </w:tcPr>
          <w:p w14:paraId="2764BD6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w:t>
            </w:r>
          </w:p>
        </w:tc>
        <w:tc>
          <w:tcPr>
            <w:tcW w:w="630" w:type="dxa"/>
          </w:tcPr>
          <w:p w14:paraId="5EC2094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8900</w:t>
            </w:r>
          </w:p>
        </w:tc>
        <w:tc>
          <w:tcPr>
            <w:tcW w:w="1080" w:type="dxa"/>
          </w:tcPr>
          <w:p w14:paraId="54EBD1B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1090</w:t>
            </w:r>
          </w:p>
        </w:tc>
        <w:tc>
          <w:tcPr>
            <w:tcW w:w="660" w:type="dxa"/>
          </w:tcPr>
          <w:p w14:paraId="75D97E9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60" w:type="dxa"/>
          </w:tcPr>
          <w:p w14:paraId="33DB807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60" w:type="dxa"/>
          </w:tcPr>
          <w:p w14:paraId="06DD167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41" w:type="dxa"/>
          </w:tcPr>
          <w:p w14:paraId="6AB307D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4345</w:t>
            </w:r>
          </w:p>
        </w:tc>
        <w:tc>
          <w:tcPr>
            <w:tcW w:w="1217" w:type="dxa"/>
          </w:tcPr>
          <w:p w14:paraId="71411A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пул. 7,62 мм</w:t>
            </w:r>
          </w:p>
        </w:tc>
        <w:tc>
          <w:tcPr>
            <w:tcW w:w="949" w:type="dxa"/>
          </w:tcPr>
          <w:p w14:paraId="699DA91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w:t>
            </w:r>
          </w:p>
        </w:tc>
      </w:tr>
      <w:tr w:rsidR="007C5583" w:rsidRPr="008127F8" w14:paraId="422EE554" w14:textId="77777777" w:rsidTr="004C5D62">
        <w:tc>
          <w:tcPr>
            <w:tcW w:w="1384" w:type="dxa"/>
          </w:tcPr>
          <w:p w14:paraId="4B87CFC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43A1DF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49C7A6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2117E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42C7C8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9B2525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90D7A6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51E382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35D35D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9E754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AAADC8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7DC242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2600 патронов</w:t>
            </w:r>
          </w:p>
        </w:tc>
        <w:tc>
          <w:tcPr>
            <w:tcW w:w="949" w:type="dxa"/>
          </w:tcPr>
          <w:p w14:paraId="4362D91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w:t>
            </w:r>
          </w:p>
        </w:tc>
      </w:tr>
      <w:tr w:rsidR="007C5583" w:rsidRPr="008127F8" w14:paraId="3715A8E9" w14:textId="77777777" w:rsidTr="004C5D62">
        <w:tc>
          <w:tcPr>
            <w:tcW w:w="1384" w:type="dxa"/>
          </w:tcPr>
          <w:p w14:paraId="1C20942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8E1087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C0F9F9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E6956B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A2F960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E9C2AB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81F9EF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0219C6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47A0A3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8E792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46E9A9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D084EA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w:t>
            </w:r>
          </w:p>
        </w:tc>
        <w:tc>
          <w:tcPr>
            <w:tcW w:w="949" w:type="dxa"/>
          </w:tcPr>
          <w:p w14:paraId="12BEA6E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w:t>
            </w:r>
          </w:p>
        </w:tc>
      </w:tr>
      <w:tr w:rsidR="007C5583" w:rsidRPr="008127F8" w14:paraId="082E6B18" w14:textId="77777777" w:rsidTr="004C5D62">
        <w:tc>
          <w:tcPr>
            <w:tcW w:w="1384" w:type="dxa"/>
          </w:tcPr>
          <w:p w14:paraId="54FDC6F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6C5CC4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D3B0A5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D07EB0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3CFE2A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935FCB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72D34E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C543B5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675713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2861BE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5DEA737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65BAB2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 кг; с перегр.</w:t>
            </w:r>
          </w:p>
        </w:tc>
        <w:tc>
          <w:tcPr>
            <w:tcW w:w="949" w:type="dxa"/>
          </w:tcPr>
          <w:p w14:paraId="05C240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статкарта</w:t>
            </w:r>
          </w:p>
        </w:tc>
      </w:tr>
      <w:tr w:rsidR="007C5583" w:rsidRPr="008127F8" w14:paraId="0922CB5F" w14:textId="77777777" w:rsidTr="004C5D62">
        <w:tc>
          <w:tcPr>
            <w:tcW w:w="1384" w:type="dxa"/>
          </w:tcPr>
          <w:p w14:paraId="77CF34D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32BBE2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02ABD1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2A56D9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F6AA10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8AFB16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7368B6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28F8C9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8108AD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DAA3C3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6D5882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8D4855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 кг</w:t>
            </w:r>
          </w:p>
        </w:tc>
        <w:tc>
          <w:tcPr>
            <w:tcW w:w="949" w:type="dxa"/>
          </w:tcPr>
          <w:p w14:paraId="7C0C90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N 4388</w:t>
            </w:r>
          </w:p>
        </w:tc>
      </w:tr>
      <w:tr w:rsidR="007C5583" w:rsidRPr="008127F8" w14:paraId="3823009C" w14:textId="77777777" w:rsidTr="004C5D62">
        <w:tc>
          <w:tcPr>
            <w:tcW w:w="1384" w:type="dxa"/>
          </w:tcPr>
          <w:p w14:paraId="16E0BB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Че-2 с М-62</w:t>
            </w:r>
          </w:p>
        </w:tc>
        <w:tc>
          <w:tcPr>
            <w:tcW w:w="720" w:type="dxa"/>
          </w:tcPr>
          <w:p w14:paraId="46831C1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319</w:t>
            </w:r>
          </w:p>
        </w:tc>
        <w:tc>
          <w:tcPr>
            <w:tcW w:w="702" w:type="dxa"/>
          </w:tcPr>
          <w:p w14:paraId="2EDA64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350/4730</w:t>
            </w:r>
          </w:p>
        </w:tc>
        <w:tc>
          <w:tcPr>
            <w:tcW w:w="702" w:type="dxa"/>
          </w:tcPr>
          <w:p w14:paraId="0B49503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w:t>
            </w:r>
          </w:p>
        </w:tc>
        <w:tc>
          <w:tcPr>
            <w:tcW w:w="702" w:type="dxa"/>
          </w:tcPr>
          <w:p w14:paraId="16969D8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w:t>
            </w:r>
          </w:p>
        </w:tc>
        <w:tc>
          <w:tcPr>
            <w:tcW w:w="630" w:type="dxa"/>
          </w:tcPr>
          <w:p w14:paraId="2B2523B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80" w:type="dxa"/>
          </w:tcPr>
          <w:p w14:paraId="4AD7489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1170/</w:t>
            </w:r>
          </w:p>
        </w:tc>
        <w:tc>
          <w:tcPr>
            <w:tcW w:w="660" w:type="dxa"/>
          </w:tcPr>
          <w:p w14:paraId="4008BC6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60" w:type="dxa"/>
          </w:tcPr>
          <w:p w14:paraId="2A304BF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60" w:type="dxa"/>
          </w:tcPr>
          <w:p w14:paraId="19DF952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41" w:type="dxa"/>
          </w:tcPr>
          <w:p w14:paraId="3168EEA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5600/</w:t>
            </w:r>
          </w:p>
        </w:tc>
        <w:tc>
          <w:tcPr>
            <w:tcW w:w="1217" w:type="dxa"/>
          </w:tcPr>
          <w:p w14:paraId="21974F9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Вперед:</w:t>
            </w:r>
          </w:p>
        </w:tc>
        <w:tc>
          <w:tcPr>
            <w:tcW w:w="949" w:type="dxa"/>
          </w:tcPr>
          <w:p w14:paraId="44D4F0B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Отчет</w:t>
            </w:r>
          </w:p>
        </w:tc>
      </w:tr>
      <w:tr w:rsidR="007C5583" w:rsidRPr="008127F8" w14:paraId="111DADF9" w14:textId="77777777" w:rsidTr="004C5D62">
        <w:tc>
          <w:tcPr>
            <w:tcW w:w="1384" w:type="dxa"/>
          </w:tcPr>
          <w:p w14:paraId="31DB24A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F192B0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3946CA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0193CF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34420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7AF039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102A01F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69929A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2500</w:t>
            </w:r>
          </w:p>
        </w:tc>
        <w:tc>
          <w:tcPr>
            <w:tcW w:w="660" w:type="dxa"/>
          </w:tcPr>
          <w:p w14:paraId="2CE0DBB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959DDB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79B6DF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7000</w:t>
            </w:r>
          </w:p>
        </w:tc>
        <w:tc>
          <w:tcPr>
            <w:tcW w:w="1217" w:type="dxa"/>
          </w:tcPr>
          <w:p w14:paraId="40D6E80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 7,62 мм</w:t>
            </w:r>
          </w:p>
        </w:tc>
        <w:tc>
          <w:tcPr>
            <w:tcW w:w="949" w:type="dxa"/>
          </w:tcPr>
          <w:p w14:paraId="0F8F8CE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заводских</w:t>
            </w:r>
          </w:p>
        </w:tc>
      </w:tr>
      <w:tr w:rsidR="007C5583" w:rsidRPr="008127F8" w14:paraId="494462CE" w14:textId="77777777" w:rsidTr="004C5D62">
        <w:tc>
          <w:tcPr>
            <w:tcW w:w="1384" w:type="dxa"/>
          </w:tcPr>
          <w:p w14:paraId="3AA7EF7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7998E8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8FEA28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BADA65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FD3A2F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51F902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6EA31D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185C5E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(без бомб)</w:t>
            </w:r>
          </w:p>
        </w:tc>
        <w:tc>
          <w:tcPr>
            <w:tcW w:w="660" w:type="dxa"/>
          </w:tcPr>
          <w:p w14:paraId="240580B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226B70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2477DC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BB0072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 патрон</w:t>
            </w:r>
          </w:p>
        </w:tc>
        <w:tc>
          <w:tcPr>
            <w:tcW w:w="949" w:type="dxa"/>
          </w:tcPr>
          <w:p w14:paraId="1B0FD3F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w:t>
            </w:r>
          </w:p>
        </w:tc>
      </w:tr>
      <w:tr w:rsidR="007C5583" w:rsidRPr="008127F8" w14:paraId="73982A23" w14:textId="77777777" w:rsidTr="004C5D62">
        <w:tc>
          <w:tcPr>
            <w:tcW w:w="1384" w:type="dxa"/>
          </w:tcPr>
          <w:p w14:paraId="5F8F672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B74453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6901BD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189885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44014A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965E49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500955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26CC09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125CA0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1C478F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9606C7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32E3D4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Назад:</w:t>
            </w:r>
          </w:p>
        </w:tc>
        <w:tc>
          <w:tcPr>
            <w:tcW w:w="949" w:type="dxa"/>
          </w:tcPr>
          <w:p w14:paraId="4FF1355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AB34E17" w14:textId="77777777" w:rsidTr="004C5D62">
        <w:tc>
          <w:tcPr>
            <w:tcW w:w="1384" w:type="dxa"/>
          </w:tcPr>
          <w:p w14:paraId="2F95714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326C43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14290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1C0B19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869E7D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1EFF1D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1D1E4BB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E4C11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745BA9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91543C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FD6C16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3CC558A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 7,62 мм</w:t>
            </w:r>
          </w:p>
        </w:tc>
        <w:tc>
          <w:tcPr>
            <w:tcW w:w="949" w:type="dxa"/>
          </w:tcPr>
          <w:p w14:paraId="79E754F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1B4F62F" w14:textId="77777777" w:rsidTr="004C5D62">
        <w:tc>
          <w:tcPr>
            <w:tcW w:w="1384" w:type="dxa"/>
          </w:tcPr>
          <w:p w14:paraId="0BC7916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22246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803289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C3A492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3157BF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A40A26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1CA3C2D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177194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110E0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F8835A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77FE5B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509D973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 патрон</w:t>
            </w:r>
          </w:p>
        </w:tc>
        <w:tc>
          <w:tcPr>
            <w:tcW w:w="949" w:type="dxa"/>
          </w:tcPr>
          <w:p w14:paraId="48BE259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E1A8B70" w14:textId="77777777" w:rsidTr="004C5D62">
        <w:tc>
          <w:tcPr>
            <w:tcW w:w="1384" w:type="dxa"/>
          </w:tcPr>
          <w:p w14:paraId="56554B3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133EE5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04AC27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F1320A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BD977B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0D1C24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A16023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960DB1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3C0ED3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B59799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299DC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3A88F9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 7,62 мм</w:t>
            </w:r>
          </w:p>
        </w:tc>
        <w:tc>
          <w:tcPr>
            <w:tcW w:w="949" w:type="dxa"/>
          </w:tcPr>
          <w:p w14:paraId="7499749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832980E" w14:textId="77777777" w:rsidTr="004C5D62">
        <w:tc>
          <w:tcPr>
            <w:tcW w:w="1384" w:type="dxa"/>
          </w:tcPr>
          <w:p w14:paraId="1B6425B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C08027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A53B4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849E6A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622FB7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7152F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2D1574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40E418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1F549E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A21565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BFB557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40AF09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 патрон</w:t>
            </w:r>
          </w:p>
        </w:tc>
        <w:tc>
          <w:tcPr>
            <w:tcW w:w="949" w:type="dxa"/>
          </w:tcPr>
          <w:p w14:paraId="52BC2DB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376ACF1" w14:textId="77777777" w:rsidTr="004C5D62">
        <w:tc>
          <w:tcPr>
            <w:tcW w:w="1384" w:type="dxa"/>
          </w:tcPr>
          <w:p w14:paraId="68000B0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4B30ED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44E048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010C3D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E3651F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4F468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F51153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4A83D1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53B9DB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B1DC4D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015BD8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D14D82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 1200 кг в</w:t>
            </w:r>
          </w:p>
        </w:tc>
        <w:tc>
          <w:tcPr>
            <w:tcW w:w="949" w:type="dxa"/>
          </w:tcPr>
          <w:p w14:paraId="13B64B6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8317DED" w14:textId="77777777" w:rsidTr="004C5D62">
        <w:tc>
          <w:tcPr>
            <w:tcW w:w="1384" w:type="dxa"/>
          </w:tcPr>
          <w:p w14:paraId="0AD5783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A708CB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AD3736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CFEA98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0BA96F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13DF2A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109376C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440311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DA7B5B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5F3808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996254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5020E46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перегрузку</w:t>
            </w:r>
          </w:p>
        </w:tc>
        <w:tc>
          <w:tcPr>
            <w:tcW w:w="949" w:type="dxa"/>
          </w:tcPr>
          <w:p w14:paraId="18E7303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FFB3BED" w14:textId="77777777" w:rsidTr="004C5D62">
        <w:tc>
          <w:tcPr>
            <w:tcW w:w="1384" w:type="dxa"/>
          </w:tcPr>
          <w:p w14:paraId="1DB8E60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Кор-2 с М-62</w:t>
            </w:r>
          </w:p>
        </w:tc>
        <w:tc>
          <w:tcPr>
            <w:tcW w:w="720" w:type="dxa"/>
          </w:tcPr>
          <w:p w14:paraId="595DA15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310</w:t>
            </w:r>
          </w:p>
        </w:tc>
        <w:tc>
          <w:tcPr>
            <w:tcW w:w="702" w:type="dxa"/>
          </w:tcPr>
          <w:p w14:paraId="780357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356/4730</w:t>
            </w:r>
          </w:p>
        </w:tc>
        <w:tc>
          <w:tcPr>
            <w:tcW w:w="702" w:type="dxa"/>
          </w:tcPr>
          <w:p w14:paraId="3347763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w:t>
            </w:r>
          </w:p>
        </w:tc>
        <w:tc>
          <w:tcPr>
            <w:tcW w:w="702" w:type="dxa"/>
          </w:tcPr>
          <w:p w14:paraId="578F0B3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w:t>
            </w:r>
          </w:p>
        </w:tc>
        <w:tc>
          <w:tcPr>
            <w:tcW w:w="630" w:type="dxa"/>
          </w:tcPr>
          <w:p w14:paraId="25AF65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080" w:type="dxa"/>
          </w:tcPr>
          <w:p w14:paraId="54E7E57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730</w:t>
            </w:r>
          </w:p>
        </w:tc>
        <w:tc>
          <w:tcPr>
            <w:tcW w:w="660" w:type="dxa"/>
          </w:tcPr>
          <w:p w14:paraId="5F5BB2B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60" w:type="dxa"/>
          </w:tcPr>
          <w:p w14:paraId="5BE318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60" w:type="dxa"/>
          </w:tcPr>
          <w:p w14:paraId="32367FA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541" w:type="dxa"/>
          </w:tcPr>
          <w:p w14:paraId="6FCC55E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2760</w:t>
            </w:r>
          </w:p>
        </w:tc>
        <w:tc>
          <w:tcPr>
            <w:tcW w:w="1217" w:type="dxa"/>
          </w:tcPr>
          <w:p w14:paraId="0D0955A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Вперед:</w:t>
            </w:r>
          </w:p>
        </w:tc>
        <w:tc>
          <w:tcPr>
            <w:tcW w:w="949" w:type="dxa"/>
          </w:tcPr>
          <w:p w14:paraId="3A2747D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Отчет</w:t>
            </w:r>
          </w:p>
        </w:tc>
      </w:tr>
      <w:tr w:rsidR="007C5583" w:rsidRPr="008127F8" w14:paraId="7D9C8288" w14:textId="77777777" w:rsidTr="004C5D62">
        <w:tc>
          <w:tcPr>
            <w:tcW w:w="1384" w:type="dxa"/>
          </w:tcPr>
          <w:p w14:paraId="3436B7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22AC9D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E8E589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5E9224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BD5931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B792FF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3315F8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829DD1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9136D3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9508CE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423A31D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D95E5B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 7,62 мм</w:t>
            </w:r>
          </w:p>
        </w:tc>
        <w:tc>
          <w:tcPr>
            <w:tcW w:w="949" w:type="dxa"/>
          </w:tcPr>
          <w:p w14:paraId="0A9B29B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НИИ</w:t>
            </w:r>
          </w:p>
        </w:tc>
      </w:tr>
      <w:tr w:rsidR="007C5583" w:rsidRPr="008127F8" w14:paraId="3DC2CEAC" w14:textId="77777777" w:rsidTr="004C5D62">
        <w:tc>
          <w:tcPr>
            <w:tcW w:w="1384" w:type="dxa"/>
          </w:tcPr>
          <w:p w14:paraId="7848A3E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5C5932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7AA900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5649FC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053895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FC795F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6D1A8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445D2E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5B7FF1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EC2112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618484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C98A59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 патрон</w:t>
            </w:r>
          </w:p>
        </w:tc>
        <w:tc>
          <w:tcPr>
            <w:tcW w:w="949" w:type="dxa"/>
          </w:tcPr>
          <w:p w14:paraId="1715E36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ВМФ</w:t>
            </w:r>
          </w:p>
        </w:tc>
      </w:tr>
      <w:tr w:rsidR="007C5583" w:rsidRPr="008127F8" w14:paraId="616815CF" w14:textId="77777777" w:rsidTr="004C5D62">
        <w:tc>
          <w:tcPr>
            <w:tcW w:w="1384" w:type="dxa"/>
          </w:tcPr>
          <w:p w14:paraId="757F82E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7CE0A1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66638D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A9EC50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7F9776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865BC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1F4A2D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117208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F4733B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99789B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58BC91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5EAF32E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Назад:</w:t>
            </w:r>
          </w:p>
        </w:tc>
        <w:tc>
          <w:tcPr>
            <w:tcW w:w="949" w:type="dxa"/>
          </w:tcPr>
          <w:p w14:paraId="023FB74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серийных</w:t>
            </w:r>
          </w:p>
        </w:tc>
      </w:tr>
      <w:tr w:rsidR="007C5583" w:rsidRPr="008127F8" w14:paraId="5B1FB80E" w14:textId="77777777" w:rsidTr="004C5D62">
        <w:tc>
          <w:tcPr>
            <w:tcW w:w="1384" w:type="dxa"/>
          </w:tcPr>
          <w:p w14:paraId="7119844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AF5C0E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0F782F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267239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9CDB2C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3510CA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375F6D1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2E7C51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081121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29FFD8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ECE29F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62BCCB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пул. 7,62 мм</w:t>
            </w:r>
          </w:p>
        </w:tc>
        <w:tc>
          <w:tcPr>
            <w:tcW w:w="949" w:type="dxa"/>
          </w:tcPr>
          <w:p w14:paraId="0959F52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w:t>
            </w:r>
          </w:p>
        </w:tc>
      </w:tr>
      <w:tr w:rsidR="007C5583" w:rsidRPr="008127F8" w14:paraId="735EA101" w14:textId="77777777" w:rsidTr="004C5D62">
        <w:tc>
          <w:tcPr>
            <w:tcW w:w="1384" w:type="dxa"/>
          </w:tcPr>
          <w:p w14:paraId="6AE4E2D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9DEAE8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ED9CD2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4A02AC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F961DC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D018DC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FA8B20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5C2B33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962752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1349B0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A2D2BA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1F1392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 патрон</w:t>
            </w:r>
          </w:p>
        </w:tc>
        <w:tc>
          <w:tcPr>
            <w:tcW w:w="949" w:type="dxa"/>
          </w:tcPr>
          <w:p w14:paraId="4E2B6F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вход.</w:t>
            </w:r>
          </w:p>
        </w:tc>
      </w:tr>
      <w:tr w:rsidR="007C5583" w:rsidRPr="008127F8" w14:paraId="6EDDFE2C" w14:textId="77777777" w:rsidTr="004C5D62">
        <w:tc>
          <w:tcPr>
            <w:tcW w:w="1384" w:type="dxa"/>
          </w:tcPr>
          <w:p w14:paraId="10539F9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31E6A5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0E2DA4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9DBEE9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55DF8B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11C669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998995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E3F099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3611E5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FD6842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39929C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55E5A8E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 кг бомб в</w:t>
            </w:r>
          </w:p>
        </w:tc>
        <w:tc>
          <w:tcPr>
            <w:tcW w:w="949" w:type="dxa"/>
          </w:tcPr>
          <w:p w14:paraId="668DF43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N 10725</w:t>
            </w:r>
          </w:p>
        </w:tc>
      </w:tr>
      <w:tr w:rsidR="007C5583" w:rsidRPr="008127F8" w14:paraId="48CF7A1A" w14:textId="77777777" w:rsidTr="004C5D62">
        <w:tc>
          <w:tcPr>
            <w:tcW w:w="1384" w:type="dxa"/>
            <w:tcBorders>
              <w:bottom w:val="single" w:sz="12" w:space="0" w:color="auto"/>
            </w:tcBorders>
          </w:tcPr>
          <w:p w14:paraId="556CE04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bottom w:val="single" w:sz="12" w:space="0" w:color="auto"/>
            </w:tcBorders>
          </w:tcPr>
          <w:p w14:paraId="4CE5259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Borders>
              <w:bottom w:val="single" w:sz="12" w:space="0" w:color="auto"/>
            </w:tcBorders>
          </w:tcPr>
          <w:p w14:paraId="0DDEE56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Borders>
              <w:bottom w:val="single" w:sz="12" w:space="0" w:color="auto"/>
            </w:tcBorders>
          </w:tcPr>
          <w:p w14:paraId="3B12421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Borders>
              <w:bottom w:val="single" w:sz="12" w:space="0" w:color="auto"/>
            </w:tcBorders>
          </w:tcPr>
          <w:p w14:paraId="467EE26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bottom w:val="single" w:sz="12" w:space="0" w:color="auto"/>
            </w:tcBorders>
          </w:tcPr>
          <w:p w14:paraId="0CC1103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Borders>
              <w:bottom w:val="single" w:sz="12" w:space="0" w:color="auto"/>
            </w:tcBorders>
          </w:tcPr>
          <w:p w14:paraId="6597022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Borders>
              <w:bottom w:val="single" w:sz="12" w:space="0" w:color="auto"/>
            </w:tcBorders>
          </w:tcPr>
          <w:p w14:paraId="6D3AE15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Borders>
              <w:bottom w:val="single" w:sz="12" w:space="0" w:color="auto"/>
            </w:tcBorders>
          </w:tcPr>
          <w:p w14:paraId="06E3CFE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Borders>
              <w:bottom w:val="single" w:sz="12" w:space="0" w:color="auto"/>
            </w:tcBorders>
          </w:tcPr>
          <w:p w14:paraId="6CAA953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Borders>
              <w:bottom w:val="single" w:sz="12" w:space="0" w:color="auto"/>
            </w:tcBorders>
          </w:tcPr>
          <w:p w14:paraId="672B852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Borders>
              <w:bottom w:val="single" w:sz="12" w:space="0" w:color="auto"/>
            </w:tcBorders>
          </w:tcPr>
          <w:p w14:paraId="0BA0BE5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перегрузку</w:t>
            </w:r>
          </w:p>
        </w:tc>
        <w:tc>
          <w:tcPr>
            <w:tcW w:w="949" w:type="dxa"/>
            <w:tcBorders>
              <w:bottom w:val="single" w:sz="12" w:space="0" w:color="auto"/>
            </w:tcBorders>
          </w:tcPr>
          <w:p w14:paraId="30B2721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5A8C15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(1684,143).</w:t>
      </w:r>
    </w:p>
    <w:p w14:paraId="4B23C7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B597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мая 1942 вышел приказ НИИ ВВС о первом испытании Як-7ПФ. Летчики Кочетком и П.М.Стефановский (717).</w:t>
      </w:r>
    </w:p>
    <w:p w14:paraId="6F93759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12BE55" w14:textId="77777777" w:rsidR="007C5583" w:rsidRPr="008127F8" w:rsidRDefault="007C5583" w:rsidP="007C5583">
      <w:pPr>
        <w:pStyle w:val="a4"/>
        <w:rPr>
          <w:color w:val="000000" w:themeColor="text1"/>
          <w:lang w:val="ru-RU"/>
        </w:rPr>
      </w:pPr>
      <w:r w:rsidRPr="008127F8">
        <w:rPr>
          <w:color w:val="000000" w:themeColor="text1"/>
          <w:lang w:val="ru-RU"/>
        </w:rPr>
        <w:t>14 мая 1942 в 19.00 испытания, включая отстрел оружия на земле и в воздухе, ЛаГГ-3 М-82 закончили. Отчёт о совместных испытаниях писали в самолёте по пути в Москву (15788).</w:t>
      </w:r>
    </w:p>
    <w:p w14:paraId="751C7740" w14:textId="77777777" w:rsidR="007C5583" w:rsidRPr="008127F8" w:rsidRDefault="007C5583" w:rsidP="007C5583">
      <w:pPr>
        <w:pStyle w:val="a4"/>
        <w:rPr>
          <w:color w:val="000000" w:themeColor="text1"/>
          <w:lang w:val="ru-RU"/>
        </w:rPr>
      </w:pPr>
    </w:p>
    <w:p w14:paraId="6017D12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мая 1942 под руководством В.С.Пышнова состоялось заседание комиссии и проанализировав выполненные наземные испытания приняли решение о возможности первого вылета. Решение утвердил Нач. НИИ ВВС П.И.Федоров (172,185).</w:t>
      </w:r>
    </w:p>
    <w:p w14:paraId="0CC0A02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CD25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мая 1942 была подготовлена Справка по самолету Пе-3 (бис).</w:t>
      </w:r>
    </w:p>
    <w:p w14:paraId="5D26783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 Вперед одна пушка Швак с боезапасом 250 штук. два пулемета Березина с боезапасом по 250 штук на каждый пулемет.</w:t>
      </w:r>
    </w:p>
    <w:p w14:paraId="27DE1E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Назад - один пулемет Березина с боезапасом 180 шт.</w:t>
      </w:r>
    </w:p>
    <w:p w14:paraId="0F4637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хвосте самолета - один пулемет Шкас с боезапасом 450 штук.</w:t>
      </w:r>
    </w:p>
    <w:p w14:paraId="13D498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отличие от самолета Пе-3, самолет Пе-3(бис) имеет дополнительную броню: под ногами, впереди имеется возможность поставить бронестекло, как на самолете Ил-2.</w:t>
      </w:r>
    </w:p>
    <w:p w14:paraId="5DF541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Скорость: более, чем у самолета Пе-2. По приборам на 25 км (скорость по километражу не измерялась). Запас горючего - 2050 литров.</w:t>
      </w:r>
    </w:p>
    <w:p w14:paraId="24E016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 2050 км.</w:t>
      </w:r>
    </w:p>
    <w:p w14:paraId="43D22E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Продолжительность полета: 5 часов 10 минут.</w:t>
      </w:r>
    </w:p>
    <w:p w14:paraId="715B68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 можно подвесить снаружи 2 бомбы по 250 кг и 2 бомбы по 100 кг в мотогондолах.</w:t>
      </w:r>
    </w:p>
    <w:p w14:paraId="5ABBA5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оборудован предкрылками.</w:t>
      </w:r>
    </w:p>
    <w:p w14:paraId="6BD1FD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самолета проводили с представителями НИИ ВВС, летчиком-майором Нюхтиковым и инженером 2 ранга Романовым.</w:t>
      </w:r>
    </w:p>
    <w:p w14:paraId="71FA00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Машина испытание прошла удовлетворительно. Дано заключение о запуске машины в серию.</w:t>
      </w:r>
    </w:p>
    <w:p w14:paraId="1EE900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Выпущено 8 самолетов.</w:t>
      </w:r>
    </w:p>
    <w:p w14:paraId="6BD658C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сборке имеется 12 самолетов.</w:t>
      </w:r>
    </w:p>
    <w:p w14:paraId="191960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этого к концу месяца будет выпущено еще 20 самолетов (1778,20).</w:t>
      </w:r>
    </w:p>
    <w:p w14:paraId="7DA6586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9A37E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мая 1942 вышел приказ НКАП N 377:</w:t>
      </w:r>
    </w:p>
    <w:p w14:paraId="445F02F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ГКО постановлением от 13 мая 1942 N ГОКО-1741cc утвердил практические мероприятия по ускорению сборки, приемки и перегонки самолетов Бостон-3 и по ускорению формирования полков из этих самолетов.</w:t>
      </w:r>
    </w:p>
    <w:p w14:paraId="0C018F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наркома Воронину отобрать с московских заводов к 18 мая 1942 60 квалифицированных рабочих и инженеров для помощи в сборке самолетов Бостон-3 в Басре (1553,64).</w:t>
      </w:r>
    </w:p>
    <w:p w14:paraId="32DE9C3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1B04C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мая 1942 вышел приказ НКАП № 377сс:</w:t>
      </w:r>
    </w:p>
    <w:p w14:paraId="24922AB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ГКО постановлением от 13 мая 1942 № ГОКО-1741сс утвердил практические мероприятия по ускорению сборки, приемки и перегонки с-тов Бостон-3 и по ускорению формирования полков из этих с-тов.</w:t>
      </w:r>
    </w:p>
    <w:p w14:paraId="167E91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Наркома Воронину отобрать с московских з-дов к 18 мая 60 квалифицированных рабочих и инженеров для помощи в сборке с-тов Бостно-3 в Басре.</w:t>
      </w:r>
    </w:p>
    <w:p w14:paraId="10A339A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Шахурин (1553, 64).</w:t>
      </w:r>
    </w:p>
    <w:p w14:paraId="60E764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FC02F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мая 1942 в 19.00 законсились государственные испытания, включая от</w:t>
      </w:r>
      <w:r w:rsidRPr="008127F8">
        <w:rPr>
          <w:rFonts w:ascii="Times New Roman" w:hAnsi="Times New Roman"/>
          <w:color w:val="000000" w:themeColor="text1"/>
          <w:sz w:val="16"/>
          <w:szCs w:val="16"/>
        </w:rPr>
        <w:softHyphen/>
        <w:t>стрел оружия на земле и в воздухе ЛаГГ-3 М-82, которые велись с 16-17 апреля в горьком, с 21 апреля в Балахне и были прерваны для доводки ВМГ с 25 апреля по 2 мая. Отчет о совместных испытаниях писали уже в самолете по пути в Москву (10686).</w:t>
      </w:r>
    </w:p>
    <w:p w14:paraId="0A0BBD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167C67"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мая 1942 г. закончились совместные испытания ЛаГГ-3М- 82, которые шли в Горьком на заводе № 21 с 9 мая. Всего было выполнено 11 поле</w:t>
      </w:r>
      <w:r w:rsidRPr="008A2E5A">
        <w:rPr>
          <w:rFonts w:ascii="Times New Roman" w:hAnsi="Times New Roman"/>
          <w:color w:val="0070C0"/>
          <w:sz w:val="16"/>
          <w:szCs w:val="16"/>
        </w:rPr>
        <w:softHyphen/>
        <w:t>тов общей продолжительностью 9 часов 5 минут. При этом 11 и 12 мая самолет находил</w:t>
      </w:r>
      <w:r w:rsidRPr="008A2E5A">
        <w:rPr>
          <w:rFonts w:ascii="Times New Roman" w:hAnsi="Times New Roman"/>
          <w:color w:val="0070C0"/>
          <w:sz w:val="16"/>
          <w:szCs w:val="16"/>
        </w:rPr>
        <w:softHyphen/>
        <w:t>ся в заводском тире на отстреле и пристрелке вооружения. За это время было израсходова</w:t>
      </w:r>
      <w:r w:rsidRPr="008A2E5A">
        <w:rPr>
          <w:rFonts w:ascii="Times New Roman" w:hAnsi="Times New Roman"/>
          <w:color w:val="0070C0"/>
          <w:sz w:val="16"/>
          <w:szCs w:val="16"/>
        </w:rPr>
        <w:softHyphen/>
        <w:t>но 1022 снаряда. 512 - на правую пушку № ЧМ-241 и 510 - на левую № ДБ-48. Как при работающем моторе, так и в статическом со</w:t>
      </w:r>
      <w:r w:rsidRPr="008A2E5A">
        <w:rPr>
          <w:rFonts w:ascii="Times New Roman" w:hAnsi="Times New Roman"/>
          <w:color w:val="0070C0"/>
          <w:sz w:val="16"/>
          <w:szCs w:val="16"/>
        </w:rPr>
        <w:softHyphen/>
        <w:t>стоянии задержек и отказов по вине устано</w:t>
      </w:r>
      <w:r w:rsidRPr="008A2E5A">
        <w:rPr>
          <w:rFonts w:ascii="Times New Roman" w:hAnsi="Times New Roman"/>
          <w:color w:val="0070C0"/>
          <w:sz w:val="16"/>
          <w:szCs w:val="16"/>
        </w:rPr>
        <w:softHyphen/>
        <w:t>вок и систем боепитания не было. Единствен</w:t>
      </w:r>
      <w:r w:rsidRPr="008A2E5A">
        <w:rPr>
          <w:rFonts w:ascii="Times New Roman" w:hAnsi="Times New Roman"/>
          <w:color w:val="0070C0"/>
          <w:sz w:val="16"/>
          <w:szCs w:val="16"/>
        </w:rPr>
        <w:softHyphen/>
        <w:t>ная задержка произошла на правой пушке из-за поломки ударника, правда, и пушка была не совсем новая - по формуляру ее на- стрел до поломки составил 1210 выстрелов. Замеренная емкость патронных ящиков со</w:t>
      </w:r>
      <w:r w:rsidRPr="008A2E5A">
        <w:rPr>
          <w:rFonts w:ascii="Times New Roman" w:hAnsi="Times New Roman"/>
          <w:color w:val="0070C0"/>
          <w:sz w:val="16"/>
          <w:szCs w:val="16"/>
        </w:rPr>
        <w:softHyphen/>
        <w:t>ставила по 220 снарядов на ствол. Нормаль</w:t>
      </w:r>
      <w:r w:rsidRPr="008A2E5A">
        <w:rPr>
          <w:rFonts w:ascii="Times New Roman" w:hAnsi="Times New Roman"/>
          <w:color w:val="0070C0"/>
          <w:sz w:val="16"/>
          <w:szCs w:val="16"/>
        </w:rPr>
        <w:softHyphen/>
        <w:t>ный боезапас при этом был принят в 170 сна</w:t>
      </w:r>
      <w:r w:rsidRPr="008A2E5A">
        <w:rPr>
          <w:rFonts w:ascii="Times New Roman" w:hAnsi="Times New Roman"/>
          <w:color w:val="0070C0"/>
          <w:sz w:val="16"/>
          <w:szCs w:val="16"/>
        </w:rPr>
        <w:softHyphen/>
        <w:t>рядов на каждую пушку.</w:t>
      </w:r>
    </w:p>
    <w:p w14:paraId="13AF6D76"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отстрел оружия в воздухе было выпол</w:t>
      </w:r>
      <w:r w:rsidRPr="008A2E5A">
        <w:rPr>
          <w:rFonts w:ascii="Times New Roman" w:hAnsi="Times New Roman"/>
          <w:color w:val="0070C0"/>
          <w:sz w:val="16"/>
          <w:szCs w:val="16"/>
        </w:rPr>
        <w:softHyphen/>
        <w:t>нено три полета. Расход боеприпасов соста</w:t>
      </w:r>
      <w:r w:rsidRPr="008A2E5A">
        <w:rPr>
          <w:rFonts w:ascii="Times New Roman" w:hAnsi="Times New Roman"/>
          <w:color w:val="0070C0"/>
          <w:sz w:val="16"/>
          <w:szCs w:val="16"/>
        </w:rPr>
        <w:softHyphen/>
        <w:t>вил 635 штук. На правой пушке - 225, на левой - 410. Как и на земле, в воздухе левая пушка работала безотказно. Так, 13 числа А.Г. Кубышкин расстрелял из нее 180 патро</w:t>
      </w:r>
      <w:r w:rsidRPr="008A2E5A">
        <w:rPr>
          <w:rFonts w:ascii="Times New Roman" w:hAnsi="Times New Roman"/>
          <w:color w:val="0070C0"/>
          <w:sz w:val="16"/>
          <w:szCs w:val="16"/>
        </w:rPr>
        <w:softHyphen/>
        <w:t>нов, а из правой удалось сделать 114 выстре</w:t>
      </w:r>
      <w:r w:rsidRPr="008A2E5A">
        <w:rPr>
          <w:rFonts w:ascii="Times New Roman" w:hAnsi="Times New Roman"/>
          <w:color w:val="0070C0"/>
          <w:sz w:val="16"/>
          <w:szCs w:val="16"/>
        </w:rPr>
        <w:softHyphen/>
        <w:t>лов с двумя перезарядками. Но нет худа без добра. Оказалось, что перезарядку делать легко и удобно. Всего на правой пушке имели место три однотипных задержки по причине неотражения гильзы, еще по одной задержке произошло на каждой пушке по вине устано</w:t>
      </w:r>
      <w:r w:rsidRPr="008A2E5A">
        <w:rPr>
          <w:rFonts w:ascii="Times New Roman" w:hAnsi="Times New Roman"/>
          <w:color w:val="0070C0"/>
          <w:sz w:val="16"/>
          <w:szCs w:val="16"/>
        </w:rPr>
        <w:softHyphen/>
        <w:t>вок. Причина оказалось банальной: в спешке патронные ящики смонтировали небрежно, и после подгонки дефект «ушел». При стрельбе по наземным целям выявилась еще одна про</w:t>
      </w:r>
      <w:r w:rsidRPr="008A2E5A">
        <w:rPr>
          <w:rFonts w:ascii="Times New Roman" w:hAnsi="Times New Roman"/>
          <w:color w:val="0070C0"/>
          <w:sz w:val="16"/>
          <w:szCs w:val="16"/>
        </w:rPr>
        <w:softHyphen/>
        <w:t>блема. Новый всасывающий патрубок закры</w:t>
      </w:r>
      <w:r w:rsidRPr="008A2E5A">
        <w:rPr>
          <w:rFonts w:ascii="Times New Roman" w:hAnsi="Times New Roman"/>
          <w:color w:val="0070C0"/>
          <w:sz w:val="16"/>
          <w:szCs w:val="16"/>
        </w:rPr>
        <w:softHyphen/>
        <w:t>вал нижнюю часть прицела, мешая ведению огня, особенно по наземным целям.</w:t>
      </w:r>
    </w:p>
    <w:p w14:paraId="4C070CE0"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ходе испытаний подтвердилось, что уда</w:t>
      </w:r>
      <w:r w:rsidRPr="008A2E5A">
        <w:rPr>
          <w:rFonts w:ascii="Times New Roman" w:hAnsi="Times New Roman"/>
          <w:color w:val="0070C0"/>
          <w:sz w:val="16"/>
          <w:szCs w:val="16"/>
        </w:rPr>
        <w:softHyphen/>
        <w:t>лось решить и основную проблему самолета. После выполненных доработок ВМГ темпера</w:t>
      </w:r>
      <w:r w:rsidRPr="008A2E5A">
        <w:rPr>
          <w:rFonts w:ascii="Times New Roman" w:hAnsi="Times New Roman"/>
          <w:color w:val="0070C0"/>
          <w:sz w:val="16"/>
          <w:szCs w:val="16"/>
        </w:rPr>
        <w:softHyphen/>
        <w:t>турный режим пришел в норму. При 2400 об/мин самолет спокойно выполнял непре</w:t>
      </w:r>
      <w:r w:rsidRPr="008A2E5A">
        <w:rPr>
          <w:rFonts w:ascii="Times New Roman" w:hAnsi="Times New Roman"/>
          <w:color w:val="0070C0"/>
          <w:sz w:val="16"/>
          <w:szCs w:val="16"/>
        </w:rPr>
        <w:softHyphen/>
        <w:t>рывный набор до высоты 7000 метров. Тем</w:t>
      </w:r>
      <w:r w:rsidRPr="008A2E5A">
        <w:rPr>
          <w:rFonts w:ascii="Times New Roman" w:hAnsi="Times New Roman"/>
          <w:color w:val="0070C0"/>
          <w:sz w:val="16"/>
          <w:szCs w:val="16"/>
        </w:rPr>
        <w:softHyphen/>
        <w:t>пература головок цилиндров не превышала 250 градусов, а масла на выходе из мотора - 115 градусов. Из-за отсутствия передних жа</w:t>
      </w:r>
      <w:r w:rsidRPr="008A2E5A">
        <w:rPr>
          <w:rFonts w:ascii="Times New Roman" w:hAnsi="Times New Roman"/>
          <w:color w:val="0070C0"/>
          <w:sz w:val="16"/>
          <w:szCs w:val="16"/>
        </w:rPr>
        <w:softHyphen/>
        <w:t>люзи на средних высотах на режимах барра</w:t>
      </w:r>
      <w:r w:rsidRPr="008A2E5A">
        <w:rPr>
          <w:rFonts w:ascii="Times New Roman" w:hAnsi="Times New Roman"/>
          <w:color w:val="0070C0"/>
          <w:sz w:val="16"/>
          <w:szCs w:val="16"/>
        </w:rPr>
        <w:softHyphen/>
        <w:t>жирования и на высотах свыше 5000 метров на скоростях до 0,9 максимальной мотор даже переохлаждался - температура самого «горячего» цилиндра падала до 110 граду</w:t>
      </w:r>
      <w:r w:rsidRPr="008A2E5A">
        <w:rPr>
          <w:rFonts w:ascii="Times New Roman" w:hAnsi="Times New Roman"/>
          <w:color w:val="0070C0"/>
          <w:sz w:val="16"/>
          <w:szCs w:val="16"/>
        </w:rPr>
        <w:softHyphen/>
        <w:t>сов.</w:t>
      </w:r>
    </w:p>
    <w:p w14:paraId="4585D261"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Летная оценка новой машины была пре</w:t>
      </w:r>
      <w:r w:rsidRPr="008A2E5A">
        <w:rPr>
          <w:rFonts w:ascii="Times New Roman" w:hAnsi="Times New Roman"/>
          <w:color w:val="0070C0"/>
          <w:sz w:val="16"/>
          <w:szCs w:val="16"/>
        </w:rPr>
        <w:softHyphen/>
        <w:t>дельно лаконичной. Испытатели считали, что с мотором М-82 по технике пилотирования самолет в основном не отличался от серийно</w:t>
      </w:r>
      <w:r w:rsidRPr="008A2E5A">
        <w:rPr>
          <w:rFonts w:ascii="Times New Roman" w:hAnsi="Times New Roman"/>
          <w:color w:val="0070C0"/>
          <w:sz w:val="16"/>
          <w:szCs w:val="16"/>
        </w:rPr>
        <w:softHyphen/>
        <w:t>го ЛаГГ-3 с мотором М-105. Устойчивость осталась прежняя. При взлете на форсаже заметно сократилась длина разбега и после отрыва увеличился угол набора высоты. От</w:t>
      </w:r>
      <w:r w:rsidRPr="008A2E5A">
        <w:rPr>
          <w:rFonts w:ascii="Times New Roman" w:hAnsi="Times New Roman"/>
          <w:color w:val="0070C0"/>
          <w:sz w:val="16"/>
          <w:szCs w:val="16"/>
        </w:rPr>
        <w:softHyphen/>
        <w:t>мечалось, что обзор из кабины несколько ухудшился из-за утолщения передней части фюзеляжа и установки наружного всасываю</w:t>
      </w:r>
      <w:r w:rsidRPr="008A2E5A">
        <w:rPr>
          <w:rFonts w:ascii="Times New Roman" w:hAnsi="Times New Roman"/>
          <w:color w:val="0070C0"/>
          <w:sz w:val="16"/>
          <w:szCs w:val="16"/>
        </w:rPr>
        <w:softHyphen/>
        <w:t>щего патрубка. Управление самолетом оста</w:t>
      </w:r>
      <w:r w:rsidRPr="008A2E5A">
        <w:rPr>
          <w:rFonts w:ascii="Times New Roman" w:hAnsi="Times New Roman"/>
          <w:color w:val="0070C0"/>
          <w:sz w:val="16"/>
          <w:szCs w:val="16"/>
        </w:rPr>
        <w:softHyphen/>
        <w:t>лось тяжелым, особенно при перекладыва</w:t>
      </w:r>
      <w:r w:rsidRPr="008A2E5A">
        <w:rPr>
          <w:rFonts w:ascii="Times New Roman" w:hAnsi="Times New Roman"/>
          <w:color w:val="0070C0"/>
          <w:sz w:val="16"/>
          <w:szCs w:val="16"/>
        </w:rPr>
        <w:softHyphen/>
        <w:t>нии из виража в вираж. На пробеге машина вела себя устойчиво, при торможении тен</w:t>
      </w:r>
      <w:r w:rsidRPr="008A2E5A">
        <w:rPr>
          <w:rFonts w:ascii="Times New Roman" w:hAnsi="Times New Roman"/>
          <w:color w:val="0070C0"/>
          <w:sz w:val="16"/>
          <w:szCs w:val="16"/>
        </w:rPr>
        <w:softHyphen/>
        <w:t>денции к поднятию хвоста не было.</w:t>
      </w:r>
    </w:p>
    <w:p w14:paraId="39E4A762"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Перечень выявленных дефектов тоже оказался невелик. Помимо тяжелого управ</w:t>
      </w:r>
      <w:r w:rsidRPr="008A2E5A">
        <w:rPr>
          <w:rFonts w:ascii="Times New Roman" w:hAnsi="Times New Roman"/>
          <w:color w:val="0070C0"/>
          <w:sz w:val="16"/>
          <w:szCs w:val="16"/>
        </w:rPr>
        <w:softHyphen/>
        <w:t>ления, испытатели отмечали большой полет</w:t>
      </w:r>
      <w:r w:rsidRPr="008A2E5A">
        <w:rPr>
          <w:rFonts w:ascii="Times New Roman" w:hAnsi="Times New Roman"/>
          <w:color w:val="0070C0"/>
          <w:sz w:val="16"/>
          <w:szCs w:val="16"/>
        </w:rPr>
        <w:softHyphen/>
        <w:t>ный вес, неудовлетворительное производ</w:t>
      </w:r>
      <w:r w:rsidRPr="008A2E5A">
        <w:rPr>
          <w:rFonts w:ascii="Times New Roman" w:hAnsi="Times New Roman"/>
          <w:color w:val="0070C0"/>
          <w:sz w:val="16"/>
          <w:szCs w:val="16"/>
        </w:rPr>
        <w:softHyphen/>
        <w:t>ственное исполнение, в том числе, волни</w:t>
      </w:r>
      <w:r w:rsidRPr="008A2E5A">
        <w:rPr>
          <w:rFonts w:ascii="Times New Roman" w:hAnsi="Times New Roman"/>
          <w:color w:val="0070C0"/>
          <w:sz w:val="16"/>
          <w:szCs w:val="16"/>
        </w:rPr>
        <w:softHyphen/>
        <w:t>стость поверхности фюзеляжа и искажение профиля крыла, небрежную подгонку капо</w:t>
      </w:r>
      <w:r w:rsidRPr="008A2E5A">
        <w:rPr>
          <w:rFonts w:ascii="Times New Roman" w:hAnsi="Times New Roman"/>
          <w:color w:val="0070C0"/>
          <w:sz w:val="16"/>
          <w:szCs w:val="16"/>
        </w:rPr>
        <w:softHyphen/>
        <w:t>тов и монтаж трубопроводов. Крайне неудач</w:t>
      </w:r>
      <w:r w:rsidRPr="008A2E5A">
        <w:rPr>
          <w:rFonts w:ascii="Times New Roman" w:hAnsi="Times New Roman"/>
          <w:color w:val="0070C0"/>
          <w:sz w:val="16"/>
          <w:szCs w:val="16"/>
        </w:rPr>
        <w:softHyphen/>
        <w:t>ным признали аварийный выпуск шасси от пневмоситемы. Такое решение предполагало большой расход сжатого воздуха, особенно с убирающимся костылем. Не совсем удобно был расположен бачек гидросистемы,</w:t>
      </w:r>
    </w:p>
    <w:p w14:paraId="13F633C5"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Основными недостатками мотоустановки комиссия посчитала отсутствие передних жа</w:t>
      </w:r>
      <w:r w:rsidRPr="008A2E5A">
        <w:rPr>
          <w:rFonts w:ascii="Times New Roman" w:hAnsi="Times New Roman"/>
          <w:color w:val="0070C0"/>
          <w:sz w:val="16"/>
          <w:szCs w:val="16"/>
        </w:rPr>
        <w:softHyphen/>
        <w:t>люзи, компрессора АК-50, забрызгивание ко</w:t>
      </w:r>
      <w:r w:rsidRPr="008A2E5A">
        <w:rPr>
          <w:rFonts w:ascii="Times New Roman" w:hAnsi="Times New Roman"/>
          <w:color w:val="0070C0"/>
          <w:sz w:val="16"/>
          <w:szCs w:val="16"/>
        </w:rPr>
        <w:softHyphen/>
        <w:t>зырька кабины маслом, недоведенность про</w:t>
      </w:r>
      <w:r w:rsidRPr="008A2E5A">
        <w:rPr>
          <w:rFonts w:ascii="Times New Roman" w:hAnsi="Times New Roman"/>
          <w:color w:val="0070C0"/>
          <w:sz w:val="16"/>
          <w:szCs w:val="16"/>
        </w:rPr>
        <w:softHyphen/>
        <w:t>водки управления нормальным газом и отсут</w:t>
      </w:r>
      <w:r w:rsidRPr="008A2E5A">
        <w:rPr>
          <w:rFonts w:ascii="Times New Roman" w:hAnsi="Times New Roman"/>
          <w:color w:val="0070C0"/>
          <w:sz w:val="16"/>
          <w:szCs w:val="16"/>
        </w:rPr>
        <w:softHyphen/>
        <w:t>ствие ручного запуска инерционным само</w:t>
      </w:r>
      <w:r w:rsidRPr="008A2E5A">
        <w:rPr>
          <w:rFonts w:ascii="Times New Roman" w:hAnsi="Times New Roman"/>
          <w:color w:val="0070C0"/>
          <w:sz w:val="16"/>
          <w:szCs w:val="16"/>
        </w:rPr>
        <w:softHyphen/>
        <w:t>пуском. По вооружению единственным сла</w:t>
      </w:r>
      <w:r w:rsidRPr="008A2E5A">
        <w:rPr>
          <w:rFonts w:ascii="Times New Roman" w:hAnsi="Times New Roman"/>
          <w:color w:val="0070C0"/>
          <w:sz w:val="16"/>
          <w:szCs w:val="16"/>
        </w:rPr>
        <w:softHyphen/>
        <w:t>бым местом военные посчитали чрезмерные усилия ручной перезарядки пушек.</w:t>
      </w:r>
    </w:p>
    <w:p w14:paraId="672CC5E2"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выводах к отчету содержался ряд допол</w:t>
      </w:r>
      <w:r w:rsidRPr="008A2E5A">
        <w:rPr>
          <w:rFonts w:ascii="Times New Roman" w:hAnsi="Times New Roman"/>
          <w:color w:val="0070C0"/>
          <w:sz w:val="16"/>
          <w:szCs w:val="16"/>
        </w:rPr>
        <w:softHyphen/>
        <w:t>нительных предложений по доработке само</w:t>
      </w:r>
      <w:r w:rsidRPr="008A2E5A">
        <w:rPr>
          <w:rFonts w:ascii="Times New Roman" w:hAnsi="Times New Roman"/>
          <w:color w:val="0070C0"/>
          <w:sz w:val="16"/>
          <w:szCs w:val="16"/>
        </w:rPr>
        <w:softHyphen/>
        <w:t>лета. В основном они касались винтомотор</w:t>
      </w:r>
      <w:r w:rsidRPr="008A2E5A">
        <w:rPr>
          <w:rFonts w:ascii="Times New Roman" w:hAnsi="Times New Roman"/>
          <w:color w:val="0070C0"/>
          <w:sz w:val="16"/>
          <w:szCs w:val="16"/>
        </w:rPr>
        <w:softHyphen/>
        <w:t>ной группы. В частности, комиссия предлага</w:t>
      </w:r>
      <w:r w:rsidRPr="008A2E5A">
        <w:rPr>
          <w:rFonts w:ascii="Times New Roman" w:hAnsi="Times New Roman"/>
          <w:color w:val="0070C0"/>
          <w:sz w:val="16"/>
          <w:szCs w:val="16"/>
        </w:rPr>
        <w:softHyphen/>
        <w:t>ла развить комлевую часть винта так, чтобы она работала как вентилятор для обдува мо</w:t>
      </w:r>
      <w:r w:rsidRPr="008A2E5A">
        <w:rPr>
          <w:rFonts w:ascii="Times New Roman" w:hAnsi="Times New Roman"/>
          <w:color w:val="0070C0"/>
          <w:sz w:val="16"/>
          <w:szCs w:val="16"/>
        </w:rPr>
        <w:softHyphen/>
        <w:t>тора на земле и в режиме скороподъемности,</w:t>
      </w:r>
    </w:p>
    <w:p w14:paraId="3BB06D95"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повысить жесткость проводки управления дросселем карбюратора, установить систему разжижения масла бензином, а в задней части капота сделать пару лючков для подо</w:t>
      </w:r>
      <w:r w:rsidRPr="008A2E5A">
        <w:rPr>
          <w:rFonts w:ascii="Times New Roman" w:hAnsi="Times New Roman"/>
          <w:color w:val="0070C0"/>
          <w:sz w:val="16"/>
          <w:szCs w:val="16"/>
        </w:rPr>
        <w:softHyphen/>
        <w:t>грева мотоустановки в зимнее время при по</w:t>
      </w:r>
      <w:r w:rsidRPr="008A2E5A">
        <w:rPr>
          <w:rFonts w:ascii="Times New Roman" w:hAnsi="Times New Roman"/>
          <w:color w:val="0070C0"/>
          <w:sz w:val="16"/>
          <w:szCs w:val="16"/>
        </w:rPr>
        <w:softHyphen/>
        <w:t>мощи АПЛ.</w:t>
      </w:r>
    </w:p>
    <w:p w14:paraId="7A68B7FB"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заключении, подписанном начальником НИИ ВВС генерал-лейтенантом Петровым, ИО начальника ЛИИ НКАП профессором А.И. Че- саловым и военкомом НИИ ВВС старшим ба</w:t>
      </w:r>
      <w:r w:rsidRPr="008A2E5A">
        <w:rPr>
          <w:rFonts w:ascii="Times New Roman" w:hAnsi="Times New Roman"/>
          <w:color w:val="0070C0"/>
          <w:sz w:val="16"/>
          <w:szCs w:val="16"/>
        </w:rPr>
        <w:softHyphen/>
        <w:t>тальонным комиссаром Холодовским было сказано:</w:t>
      </w:r>
    </w:p>
    <w:p w14:paraId="1E6703A2"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Самолет ЛаГГ-3 с мотором М-82, производства завода № 21 - государствен</w:t>
      </w:r>
      <w:r w:rsidRPr="008A2E5A">
        <w:rPr>
          <w:rFonts w:ascii="Times New Roman" w:hAnsi="Times New Roman"/>
          <w:color w:val="0070C0"/>
          <w:sz w:val="16"/>
          <w:szCs w:val="16"/>
        </w:rPr>
        <w:softHyphen/>
        <w:t>ные испытания выдержал.</w:t>
      </w:r>
    </w:p>
    <w:p w14:paraId="7103239B"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Считать необходимым, принять на во</w:t>
      </w:r>
      <w:r w:rsidRPr="008A2E5A">
        <w:rPr>
          <w:rFonts w:ascii="Times New Roman" w:hAnsi="Times New Roman"/>
          <w:color w:val="0070C0"/>
          <w:sz w:val="16"/>
          <w:szCs w:val="16"/>
        </w:rPr>
        <w:softHyphen/>
        <w:t>оружение ВВС Красной Армии самолет ЛаГГ-3 с М-82, вооруженный двумя синхронными пушками ШВАК с боекомплектом 340 шт. снарядов и имеющий запас топлива 370 кг.</w:t>
      </w:r>
    </w:p>
    <w:p w14:paraId="2079F5A2"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Для устранения дефекта в части управляемости и маневренности самолета необходимо обязать Главного конструкто</w:t>
      </w:r>
      <w:r w:rsidRPr="008A2E5A">
        <w:rPr>
          <w:rFonts w:ascii="Times New Roman" w:hAnsi="Times New Roman"/>
          <w:color w:val="0070C0"/>
          <w:sz w:val="16"/>
          <w:szCs w:val="16"/>
        </w:rPr>
        <w:softHyphen/>
        <w:t>ра тов. Лавочкина в кратчайший срок дора</w:t>
      </w:r>
      <w:r w:rsidRPr="008A2E5A">
        <w:rPr>
          <w:rFonts w:ascii="Times New Roman" w:hAnsi="Times New Roman"/>
          <w:color w:val="0070C0"/>
          <w:sz w:val="16"/>
          <w:szCs w:val="16"/>
        </w:rPr>
        <w:softHyphen/>
        <w:t>ботать вопросы управляемости и маневрен</w:t>
      </w:r>
      <w:r w:rsidRPr="008A2E5A">
        <w:rPr>
          <w:rFonts w:ascii="Times New Roman" w:hAnsi="Times New Roman"/>
          <w:color w:val="0070C0"/>
          <w:sz w:val="16"/>
          <w:szCs w:val="16"/>
        </w:rPr>
        <w:softHyphen/>
        <w:t>ности самолета ЛаГГ-3 с М-82 и предъявить таковой НИИ ВВС Красной Армии для испы</w:t>
      </w:r>
      <w:r w:rsidRPr="008A2E5A">
        <w:rPr>
          <w:rFonts w:ascii="Times New Roman" w:hAnsi="Times New Roman"/>
          <w:color w:val="0070C0"/>
          <w:sz w:val="16"/>
          <w:szCs w:val="16"/>
        </w:rPr>
        <w:softHyphen/>
        <w:t>таний на маневренность и управляемость.</w:t>
      </w:r>
    </w:p>
    <w:p w14:paraId="01D1194E"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Осуществить в кратчайший срок пред</w:t>
      </w:r>
      <w:r w:rsidRPr="008A2E5A">
        <w:rPr>
          <w:rFonts w:ascii="Times New Roman" w:hAnsi="Times New Roman"/>
          <w:color w:val="0070C0"/>
          <w:sz w:val="16"/>
          <w:szCs w:val="16"/>
        </w:rPr>
        <w:softHyphen/>
        <w:t>ложение Главного конструктора тов. Ла</w:t>
      </w:r>
      <w:r w:rsidRPr="008A2E5A">
        <w:rPr>
          <w:rFonts w:ascii="Times New Roman" w:hAnsi="Times New Roman"/>
          <w:color w:val="0070C0"/>
          <w:sz w:val="16"/>
          <w:szCs w:val="16"/>
        </w:rPr>
        <w:softHyphen/>
        <w:t>вочкина по облегчению самолета Ла-5 на 100-120 кг при условии сохранения прочно</w:t>
      </w:r>
      <w:r w:rsidRPr="008A2E5A">
        <w:rPr>
          <w:rFonts w:ascii="Times New Roman" w:hAnsi="Times New Roman"/>
          <w:color w:val="0070C0"/>
          <w:sz w:val="16"/>
          <w:szCs w:val="16"/>
        </w:rPr>
        <w:softHyphen/>
        <w:t>сти основных силовых элементов самолета в соответствии с нормами прочности.</w:t>
      </w:r>
    </w:p>
    <w:p w14:paraId="4DC46375"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По летным данным самолет ЛаГГ-3 № 37 с мотором М-82, прошедший настоящие испытания считать эталоном на 1942 год.</w:t>
      </w:r>
    </w:p>
    <w:p w14:paraId="02285A19"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При решении вопроса о запуске в серий</w:t>
      </w:r>
      <w:r w:rsidRPr="008A2E5A">
        <w:rPr>
          <w:rFonts w:ascii="Times New Roman" w:hAnsi="Times New Roman"/>
          <w:color w:val="0070C0"/>
          <w:sz w:val="16"/>
          <w:szCs w:val="16"/>
        </w:rPr>
        <w:softHyphen/>
        <w:t>ное производство самолета ЛаГГ-3 с М-82, необходимо устранить дефекты, выявлен</w:t>
      </w:r>
      <w:r w:rsidRPr="008A2E5A">
        <w:rPr>
          <w:rFonts w:ascii="Times New Roman" w:hAnsi="Times New Roman"/>
          <w:color w:val="0070C0"/>
          <w:sz w:val="16"/>
          <w:szCs w:val="16"/>
        </w:rPr>
        <w:softHyphen/>
        <w:t>ные при проведении настоящих испыта</w:t>
      </w:r>
      <w:r w:rsidRPr="008A2E5A">
        <w:rPr>
          <w:rFonts w:ascii="Times New Roman" w:hAnsi="Times New Roman"/>
          <w:color w:val="0070C0"/>
          <w:sz w:val="16"/>
          <w:szCs w:val="16"/>
        </w:rPr>
        <w:softHyphen/>
        <w:t>ний».</w:t>
      </w:r>
    </w:p>
    <w:p w14:paraId="61152C59"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целом в ходе испытаний машина проде</w:t>
      </w:r>
      <w:r w:rsidRPr="008A2E5A">
        <w:rPr>
          <w:rFonts w:ascii="Times New Roman" w:hAnsi="Times New Roman"/>
          <w:color w:val="0070C0"/>
          <w:sz w:val="16"/>
          <w:szCs w:val="16"/>
        </w:rPr>
        <w:softHyphen/>
        <w:t>монстрировала достаточно высокие характе</w:t>
      </w:r>
      <w:r w:rsidRPr="008A2E5A">
        <w:rPr>
          <w:rFonts w:ascii="Times New Roman" w:hAnsi="Times New Roman"/>
          <w:color w:val="0070C0"/>
          <w:sz w:val="16"/>
          <w:szCs w:val="16"/>
        </w:rPr>
        <w:softHyphen/>
        <w:t>ристики. Максимальная скорость у земли на номинальных оборотах составляла 515 км/час, на высоте 600 м с пятиминутным фор</w:t>
      </w:r>
      <w:r w:rsidRPr="008A2E5A">
        <w:rPr>
          <w:rFonts w:ascii="Times New Roman" w:hAnsi="Times New Roman"/>
          <w:color w:val="0070C0"/>
          <w:sz w:val="16"/>
          <w:szCs w:val="16"/>
        </w:rPr>
        <w:softHyphen/>
        <w:t>сажем - 560 км/час. На первой границе вы</w:t>
      </w:r>
      <w:r w:rsidRPr="008A2E5A">
        <w:rPr>
          <w:rFonts w:ascii="Times New Roman" w:hAnsi="Times New Roman"/>
          <w:color w:val="0070C0"/>
          <w:sz w:val="16"/>
          <w:szCs w:val="16"/>
        </w:rPr>
        <w:softHyphen/>
        <w:t>сотности 3200 м самолет разгонялся до 576 км/час, а на второй (6450 м) - до 600 км/ч. Вираж на высоте 1000 м ЛаГГ-3 М-82 выпол</w:t>
      </w:r>
      <w:r w:rsidRPr="008A2E5A">
        <w:rPr>
          <w:rFonts w:ascii="Times New Roman" w:hAnsi="Times New Roman"/>
          <w:color w:val="0070C0"/>
          <w:sz w:val="16"/>
          <w:szCs w:val="16"/>
        </w:rPr>
        <w:softHyphen/>
        <w:t>нял за 25 секунд. Высоту 5 км он набирал за 6 минут, а на форсаже за 5,2. Техническая даль</w:t>
      </w:r>
      <w:r w:rsidRPr="008A2E5A">
        <w:rPr>
          <w:rFonts w:ascii="Times New Roman" w:hAnsi="Times New Roman"/>
          <w:color w:val="0070C0"/>
          <w:sz w:val="16"/>
          <w:szCs w:val="16"/>
        </w:rPr>
        <w:softHyphen/>
        <w:t>ность на высоте 600 м и скорости 470 км/ч (0,9 V макс) составляла 655 км, а на скорости 395 км/ч (0,75 Vмакс) - 900. Длина разбега на номинале -350 м, на форсаже - 310. Длина пробега - 470 м. Полетный вес самолета - 3380 кг, вес пустого - 2710. Запас горючего - 370 кг (23389).</w:t>
      </w:r>
    </w:p>
    <w:p w14:paraId="0453462D" w14:textId="77777777" w:rsidR="009234E5" w:rsidRPr="008A2E5A" w:rsidRDefault="009234E5" w:rsidP="009234E5">
      <w:pPr>
        <w:spacing w:after="0" w:line="240" w:lineRule="auto"/>
        <w:jc w:val="both"/>
        <w:rPr>
          <w:rFonts w:ascii="Times New Roman" w:hAnsi="Times New Roman"/>
          <w:color w:val="0070C0"/>
          <w:sz w:val="16"/>
          <w:szCs w:val="16"/>
        </w:rPr>
      </w:pPr>
    </w:p>
    <w:p w14:paraId="7F8091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мая 1942 Нач. Секретного отдела Завода № 21 Маслеев писал письмо № 1282 Нач. Секретариата НКАП:</w:t>
      </w:r>
    </w:p>
    <w:p w14:paraId="02631B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Вашего отношения от 8 мая 1942 г. за № Н-37/1762 направляю подлинник приказа от 8 апреля - о запуске в производство самолета Як-7, подписанного Зам. НКАП т. Репиным в бытность на заводе № 21 (1678,162).</w:t>
      </w:r>
    </w:p>
    <w:p w14:paraId="2F10DDF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Обеспечение технической документацией:.</w:t>
      </w:r>
    </w:p>
    <w:p w14:paraId="35213C2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чертенами авиационными - 5 комплектов;</w:t>
      </w:r>
    </w:p>
    <w:p w14:paraId="570E988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чертежами оснастки и инструмента;</w:t>
      </w:r>
    </w:p>
    <w:p w14:paraId="65FF9CB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нормы времени и нормы расхода материалов, спецификация готовых изделий;</w:t>
      </w:r>
    </w:p>
    <w:p w14:paraId="1A2BC82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разработка технологического процесса</w:t>
      </w:r>
    </w:p>
    <w:p w14:paraId="1CA9AE4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Срок - 15 марта.</w:t>
      </w:r>
    </w:p>
    <w:p w14:paraId="348F78D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Техническая помощь:</w:t>
      </w:r>
    </w:p>
    <w:p w14:paraId="7F1AA50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эталон машина;</w:t>
      </w:r>
    </w:p>
    <w:p w14:paraId="3C3A7CE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на 20 самолетов подать комплектно россыпью узлы, агре</w:t>
      </w:r>
      <w:r w:rsidRPr="008127F8">
        <w:rPr>
          <w:rFonts w:ascii="Times New Roman" w:hAnsi="Times New Roman"/>
          <w:color w:val="000000" w:themeColor="text1"/>
          <w:sz w:val="16"/>
          <w:szCs w:val="16"/>
        </w:rPr>
        <w:softHyphen/>
        <w:t>гаты и готовые изделия;</w:t>
      </w:r>
    </w:p>
    <w:p w14:paraId="2AD65E9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направить на завод № 21:</w:t>
      </w:r>
    </w:p>
    <w:p w14:paraId="7CF7BB4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мастеров по сварке фюзеляжа - 2 человек,</w:t>
      </w:r>
    </w:p>
    <w:p w14:paraId="46D9106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сварщиков 5-6 разряда - 5</w:t>
      </w:r>
    </w:p>
    <w:p w14:paraId="1057F9E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конструкторов-самолетчиков - 10</w:t>
      </w:r>
    </w:p>
    <w:p w14:paraId="1A1A86E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Начальника ОКО - 1 чел.</w:t>
      </w:r>
    </w:p>
    <w:p w14:paraId="06B72FE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конструкторов по стапельном приспособлениям - 5 человек,</w:t>
      </w:r>
    </w:p>
    <w:p w14:paraId="3CB589C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технологов - 4</w:t>
      </w:r>
    </w:p>
    <w:p w14:paraId="1B73A7D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старших мастероя по сборке - 2</w:t>
      </w:r>
    </w:p>
    <w:p w14:paraId="3EFA589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инженеров-мотористов - 4... (1678,263)</w:t>
      </w:r>
    </w:p>
    <w:p w14:paraId="25266EC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73B54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мая 1942 г. по приказу № 375с при филиале завода № 481 НКАП /г. Москва/, созданного 11 февраля 1942 г. по приказу № 116с на площадке эвакуированного завода № 487 НКАП для ремонта стрелкового и бомбардировочного вооружения, был образован филиал ОКБ завода № 454 НКАП на площадях, ранее занимаемых ОКБ-487. Для этого из Куйбышева переведена группа сотрудников ОКБ завода № 454 (25 чел., начальник филиала- В.И. Ермилов).</w:t>
      </w:r>
    </w:p>
    <w:p w14:paraId="47FE7CD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02.1943 г. филиал был преобразован в самостоятельный завод с прежним наименованием- завод № 487 НКАП.</w:t>
      </w:r>
    </w:p>
    <w:p w14:paraId="090773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гл. конструктора И.И. Торопова при заводе № 481 НКАП /г. Сызрань Куйбышевской обл./</w:t>
      </w:r>
    </w:p>
    <w:p w14:paraId="7DDAA5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878сс от 20.08.1941 г. на территорию завода № 481 в'Сызрань было эвакуировано со всем личным составом, тех. документацией и материалами КБ-3 завода № 32 гл. конструктора И.И. Торопова. Здесь КБ работало по турели для 12,7-мм пулемета для Пе-2 и «103у», установке ВУБ-3 для Ил-2. Торопов оставался гл. конструктором завода № 32.</w:t>
      </w:r>
    </w:p>
    <w:p w14:paraId="48050D0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484с от 3.08.1944 г. КБ переведено на завод № 43 (возможно, перед этим оно уже было в Кирове на заводе № 32) (11092).</w:t>
      </w:r>
    </w:p>
    <w:p w14:paraId="04D2E36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69951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52889A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8A954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мая 1942 вышло Постановление ГКО № 1750 Об установлении государственных премий для работников железнодорожного транспорта. (7035, 2-12,13-15).</w:t>
      </w:r>
    </w:p>
    <w:p w14:paraId="288D933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56922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мая 1942 вышло Постановление ГКО № 1751 Об эвакуации раненых и больных речным флотом в навигацию 1942 года. (7035, 16-18,19-24).</w:t>
      </w:r>
    </w:p>
    <w:p w14:paraId="4632D4B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1645F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мая 1942 вышло Постановление ГКО № 1752 О мероприятиях по усилению вывоза нефтепродуктов из Баку на север. (7035, 25-30).</w:t>
      </w:r>
    </w:p>
    <w:p w14:paraId="1C861ED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5B0F3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мая 1942 вышло Постановление ГКО № 1753 О восстановлении Софринского артиллерийского полигона. Наркомата боеприпасов. РГАНИР, Фонд ГКО, д. 35, лл. 31 (11012).</w:t>
      </w:r>
    </w:p>
    <w:p w14:paraId="20630E9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3382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мая 1942 г. полигон (Софринский контрольно-испытательный полигон НКОП, Софринский научно- испытательный полигон (СНИП) НКБ, МСХМ, Научно-исследовательский полигон артиллерийского вооружения ГАУ, НИАП (научно-испытательный артиллерийский полигон) АУ РККА, ГАУ, Научно-испытательный полигон реактивных снарядов МСХМ, Научно-исследовательский артиллерийский полигон (НИАП), Ордена Трудового Красного Знамени Государственный боеприпасный полигон ФГУП НИИ «Геодезия» Росбоеприпаса, ФАП /141292  г. Красноармейск Пушкинского р-на Московской обл. пр. Испытателей, 14 тел. 583-32-09/) был восстановлен на прежнем месте. После войны полигон передан в ведение МСХМ. В соответствии с ПСМ № 1017-419сс/оп от 13.05.1946 г. на базе Софринского полигона создан Научно-испытательный полигон реактивных снарядов. В 1947 г. на территории полигона создано КБ-3 по разработке реактивного вооружения для пехоты. В 1950-60-е  г., кроме испытаний вооружения, на полигоне стали проводиться стендовые испытания ракетных двигателей.</w:t>
      </w:r>
    </w:p>
    <w:p w14:paraId="3A1DC70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площадке полигона размещалась лабораторная база НИИ-1 МОП с лабораторией пиротехнических составов. В 1970-е  г. построен комплекс стендового оборудования института. Имелось отделение № 4 (1960-е), площадки 10 и 11.</w:t>
      </w:r>
    </w:p>
    <w:p w14:paraId="236991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1960-х  г. велась отработка элементов ракеты 9М21 ОТРК «Луна-М». Полигон принимал участие в создании скоростной ракето-торпеды «Шквал».</w:t>
      </w:r>
    </w:p>
    <w:p w14:paraId="2400485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1990 г.- в ведении ММ.</w:t>
      </w:r>
      <w:r w:rsidRPr="008127F8">
        <w:rPr>
          <w:rFonts w:ascii="Times New Roman" w:hAnsi="Times New Roman"/>
          <w:color w:val="000000" w:themeColor="text1"/>
          <w:sz w:val="16"/>
          <w:szCs w:val="16"/>
          <w:vertAlign w:val="superscript"/>
        </w:rPr>
        <w:t>77</w:t>
      </w:r>
      <w:r w:rsidRPr="008127F8">
        <w:rPr>
          <w:rFonts w:ascii="Times New Roman" w:hAnsi="Times New Roman"/>
          <w:color w:val="000000" w:themeColor="text1"/>
          <w:sz w:val="16"/>
          <w:szCs w:val="16"/>
        </w:rPr>
        <w:t xml:space="preserve"> По Указу Президента РФ № 1009 от 4.08.2004 г. вошел в число стратегических оборонных предприятий. На предприятии введена процедура банкротства. В 2005 г.- Ордена Трудового Красного Знамени Государственный боеприпасный полигон НИИ «Геодезия».</w:t>
      </w:r>
    </w:p>
    <w:p w14:paraId="39E45E8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2000-е  г. создан ипульсный модуль порошкового пожаротушения «Буран-8».</w:t>
      </w:r>
    </w:p>
    <w:p w14:paraId="090BB6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(1926-29 г.)- Е.А. Беркалов, М.И. Финогенов. Директор (1933-34 г.)- В.П. Серебряков, (1934-35 г.)- К-А. Григорович, (1935-; -1938 г.)- Н.Т. Остапенко, (05.1937 г.)- Завриев, (-05.1938-40 г.)- военинженерЗр Т.А. Резников, (1940-41 г.)- Н(П).Я. Стариков, (1943-52 г.)- Д.А. Иванов, (1963-85 г.)- Н.Д. Зубов, А.С. Викторов, В.А. Ковшов. Гендиректор (1993-2005 г.)- В.А. Веснин, (09.2005 г.-&gt; В.А. Ковшов.</w:t>
      </w:r>
    </w:p>
    <w:p w14:paraId="216B6C2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по научной работе-В.Т. Волков.</w:t>
      </w:r>
    </w:p>
    <w:p w14:paraId="311FF5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Испытания:</w:t>
      </w:r>
      <w:r w:rsidRPr="008127F8">
        <w:rPr>
          <w:rFonts w:ascii="Times New Roman" w:hAnsi="Times New Roman"/>
          <w:color w:val="000000" w:themeColor="text1"/>
          <w:sz w:val="16"/>
          <w:szCs w:val="16"/>
        </w:rPr>
        <w:t xml:space="preserve"> 122-мм гаубица (1933); 76-мм динамореактивная пушка и 305-мм гаубица </w:t>
      </w:r>
      <w:r w:rsidRPr="008127F8">
        <w:rPr>
          <w:rFonts w:ascii="Times New Roman" w:hAnsi="Times New Roman"/>
          <w:color w:val="000000" w:themeColor="text1"/>
          <w:sz w:val="16"/>
          <w:szCs w:val="16"/>
          <w:lang w:val="en-US"/>
        </w:rPr>
        <w:t>JI</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 xml:space="preserve">. Курчевского (1930-е); 45-мм, 57-мм и 76-мм пушки В. Г. Грабина (1930-е); 122-мм и 152-мм гаубицы Ф.Ф. Петрова (1930-е); 50-мм, 86-мм, 107-мм и 120-мм минометы Б.И. Шавырина (1930-е); железнодорожная артустановка ТГ-1 (1941); 160-мм миномет И. Г. Теверовского (ВОВ), пушки ШВАК, ВЯ, НС (ВОВ); 50-мм миномет Гвая, партизанские боеприпасы (1943); артсистемы «Буратино», «Пион», «Гиацинт», «Тюльпан»; РС-82, РС-132 (1930-е), БМ-13 (06.1939, 06.1941), 82-мм противотанковая установка с НАР А.Д. Надирадзе (07-11.1943); РСЗО М-24 с ТРС-240, М-24Ф (09.1947-50), «Град», «Ураган»; ЗУР Р-102 (1949), </w:t>
      </w:r>
      <w:r w:rsidRPr="008127F8">
        <w:rPr>
          <w:rFonts w:ascii="Times New Roman" w:hAnsi="Times New Roman"/>
          <w:color w:val="000000" w:themeColor="text1"/>
          <w:sz w:val="16"/>
          <w:szCs w:val="16"/>
          <w:lang w:val="en-US"/>
        </w:rPr>
        <w:t>PC</w:t>
      </w:r>
      <w:r w:rsidRPr="008127F8">
        <w:rPr>
          <w:rFonts w:ascii="Times New Roman" w:hAnsi="Times New Roman"/>
          <w:color w:val="000000" w:themeColor="text1"/>
          <w:sz w:val="16"/>
          <w:szCs w:val="16"/>
        </w:rPr>
        <w:t xml:space="preserve"> (1952); ПРД-23 и ПРД-33 противоракеты В-1000 (1958-59); РДТТ 15Д15 РТ-20П (04.1965-), РК 8К98, «Темп», «Темп-С» (1960-е), «Тополь»; БЧ к РК «Луна», «Точка», «Ока», «Нерпа» (11982).</w:t>
      </w:r>
    </w:p>
    <w:p w14:paraId="322180F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A5E1CC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мая 1942 с задержкой ввиду загруженности ЧТЗ и снятия с КВ-7 высшего приоритета, прошли испытания модернизированного КВ-7 на Копейском полигоне. Была достигнута скорострельность 6–7 выстрелов в минуту, причём из-за неуравновешенности системы после каждого выстрела происходило сбивание прицела. Укладку боезапаса признали неудобной, а поворотный механизм спаренной установки требовал работы двумя руками. На этом испытания были закончены. Интерес к КВ-7 угас (15838).</w:t>
      </w:r>
    </w:p>
    <w:p w14:paraId="178331AD"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p>
    <w:p w14:paraId="1F15677B"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14 мая 1942 прошли испытания КВ-7 на Копейском полигоне. Была достигнута скорострельность 6–7 выстрелов в минуту, причём из-за неуравновешенности системы после каждого выстрела происходило сбивание прицела. Укладку боезапаса признали неудобной, а поворотный механизм спаренной установки требовал работы двумя руками. На этом испытания были закончены. Интерес к КВ-7 угас.</w:t>
      </w:r>
    </w:p>
    <w:p w14:paraId="132FA4EA"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Ещё раз о КВ-7 вспомнили в октябре 1942 года. В ходе командировки П. Ф. Соломонова (к тому моменту уже в звании майора) на Кировский завод был произведён осмотр САУ. Прошли и его ходовые испытания. В ноябре из ГАУ КА пришло предложение КВ-7 доработать, установив командирскую башенку, провести отладку всех систем и отправить на войсковые испытания. Хотя эту идею забросили, КВ-7 ещё успел послужить на благо советского танкопрома. На машине испытывали </w:t>
      </w:r>
      <w:r w:rsidRPr="008127F8">
        <w:rPr>
          <w:rFonts w:ascii="Times New Roman" w:eastAsia="Times New Roman" w:hAnsi="Times New Roman"/>
          <w:color w:val="000000" w:themeColor="text1"/>
          <w:sz w:val="16"/>
          <w:szCs w:val="16"/>
          <w:lang w:eastAsia="ru-RU"/>
        </w:rPr>
        <w:lastRenderedPageBreak/>
        <w:t>планетарную трансмиссию, которую разработал коллектив Московского Машиностроительного Института им. Баумана под руководством Г. И. Зайчика. Затем КВ-7 очутился на площадке завода №100, а в декабре 1943 года многострадальную самоходку вместе с КВ-9 и КВ-12 отправили в металлолом (17647).</w:t>
      </w:r>
    </w:p>
    <w:p w14:paraId="25D66692"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D29C668" w14:textId="77777777" w:rsidR="007C5583" w:rsidRPr="008127F8" w:rsidRDefault="007C5583" w:rsidP="007C5583">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14-го мая 1942 г. Танк КВ-7 был предвари</w:t>
      </w:r>
      <w:r w:rsidRPr="008127F8">
        <w:rPr>
          <w:i w:val="0"/>
          <w:color w:val="000000" w:themeColor="text1"/>
          <w:sz w:val="16"/>
          <w:szCs w:val="16"/>
        </w:rPr>
        <w:softHyphen/>
        <w:t>тельно испытан на Копейском полигоне. С обоих систем было выпущено 17 снарядов осколочно-фугасного действия, из них 5 одиночными выстре</w:t>
      </w:r>
      <w:r w:rsidRPr="008127F8">
        <w:rPr>
          <w:i w:val="0"/>
          <w:color w:val="000000" w:themeColor="text1"/>
          <w:sz w:val="16"/>
          <w:szCs w:val="16"/>
        </w:rPr>
        <w:softHyphen/>
        <w:t>лами и 12 залпами. Стрельба производилась по мишени 1,5X1,5 метра на дистанции 800метров.</w:t>
      </w:r>
    </w:p>
    <w:p w14:paraId="36AD55AE" w14:textId="77777777" w:rsidR="007C5583" w:rsidRPr="008127F8" w:rsidRDefault="007C5583" w:rsidP="007C5583">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На основании этих данных можно дать следующее предварительное заключение:</w:t>
      </w:r>
    </w:p>
    <w:p w14:paraId="32BCBC25" w14:textId="77777777" w:rsidR="007C5583" w:rsidRPr="008127F8" w:rsidRDefault="007C5583" w:rsidP="007C5583">
      <w:pPr>
        <w:pStyle w:val="Bodytext141"/>
        <w:shd w:val="clear" w:color="auto" w:fill="auto"/>
        <w:tabs>
          <w:tab w:val="left" w:pos="560"/>
        </w:tabs>
        <w:spacing w:line="240" w:lineRule="auto"/>
        <w:ind w:firstLine="0"/>
        <w:jc w:val="both"/>
        <w:rPr>
          <w:i w:val="0"/>
          <w:color w:val="000000" w:themeColor="text1"/>
          <w:sz w:val="16"/>
          <w:szCs w:val="16"/>
        </w:rPr>
      </w:pPr>
      <w:r w:rsidRPr="008127F8">
        <w:rPr>
          <w:i w:val="0"/>
          <w:color w:val="000000" w:themeColor="text1"/>
          <w:sz w:val="16"/>
          <w:szCs w:val="16"/>
        </w:rPr>
        <w:t>1. Стрельба с места по мишени дает хорошую меткость и кучность спаренных систем. После пристрелки выпущенные 11 снарядов уло</w:t>
      </w:r>
      <w:r w:rsidRPr="008127F8">
        <w:rPr>
          <w:i w:val="0"/>
          <w:color w:val="000000" w:themeColor="text1"/>
          <w:sz w:val="16"/>
          <w:szCs w:val="16"/>
        </w:rPr>
        <w:softHyphen/>
        <w:t>жились в эллипсе с осями: большая 40метров, малая 3 метра.</w:t>
      </w:r>
    </w:p>
    <w:p w14:paraId="0D8A994F" w14:textId="77777777" w:rsidR="007C5583" w:rsidRPr="008127F8" w:rsidRDefault="007C5583" w:rsidP="007C5583">
      <w:pPr>
        <w:pStyle w:val="Bodytext141"/>
        <w:shd w:val="clear" w:color="auto" w:fill="auto"/>
        <w:tabs>
          <w:tab w:val="left" w:pos="594"/>
        </w:tabs>
        <w:spacing w:line="240" w:lineRule="auto"/>
        <w:ind w:firstLine="0"/>
        <w:jc w:val="both"/>
        <w:rPr>
          <w:i w:val="0"/>
          <w:color w:val="000000" w:themeColor="text1"/>
          <w:sz w:val="16"/>
          <w:szCs w:val="16"/>
        </w:rPr>
      </w:pPr>
      <w:r w:rsidRPr="008127F8">
        <w:rPr>
          <w:i w:val="0"/>
          <w:color w:val="000000" w:themeColor="text1"/>
          <w:sz w:val="16"/>
          <w:szCs w:val="16"/>
        </w:rPr>
        <w:t>2. Темп стрельба 6—7 залпов в минуту. Вследствие неуравновешенно</w:t>
      </w:r>
      <w:r w:rsidRPr="008127F8">
        <w:rPr>
          <w:i w:val="0"/>
          <w:color w:val="000000" w:themeColor="text1"/>
          <w:sz w:val="16"/>
          <w:szCs w:val="16"/>
        </w:rPr>
        <w:softHyphen/>
        <w:t>сти систем и не самотормозящего подъемного механизма, каким яв</w:t>
      </w:r>
      <w:r w:rsidRPr="008127F8">
        <w:rPr>
          <w:i w:val="0"/>
          <w:color w:val="000000" w:themeColor="text1"/>
          <w:sz w:val="16"/>
          <w:szCs w:val="16"/>
        </w:rPr>
        <w:softHyphen/>
        <w:t>ляется секторный механизм (подъемный), установленный на этой спарке — после каждого залпа происходит самопроизвольное увели</w:t>
      </w:r>
      <w:r w:rsidRPr="008127F8">
        <w:rPr>
          <w:i w:val="0"/>
          <w:color w:val="000000" w:themeColor="text1"/>
          <w:sz w:val="16"/>
          <w:szCs w:val="16"/>
        </w:rPr>
        <w:softHyphen/>
        <w:t>чение угла возвышения примерно на двадцать пять тысячных дис</w:t>
      </w:r>
      <w:r w:rsidRPr="008127F8">
        <w:rPr>
          <w:i w:val="0"/>
          <w:color w:val="000000" w:themeColor="text1"/>
          <w:sz w:val="16"/>
          <w:szCs w:val="16"/>
        </w:rPr>
        <w:softHyphen/>
        <w:t>танции.</w:t>
      </w:r>
    </w:p>
    <w:p w14:paraId="19281237" w14:textId="77777777" w:rsidR="007C5583" w:rsidRPr="008127F8" w:rsidRDefault="007C5583" w:rsidP="007C5583">
      <w:pPr>
        <w:pStyle w:val="Bodytext141"/>
        <w:shd w:val="clear" w:color="auto" w:fill="auto"/>
        <w:tabs>
          <w:tab w:val="left" w:pos="598"/>
        </w:tabs>
        <w:spacing w:line="240" w:lineRule="auto"/>
        <w:ind w:firstLine="0"/>
        <w:jc w:val="both"/>
        <w:rPr>
          <w:i w:val="0"/>
          <w:color w:val="000000" w:themeColor="text1"/>
          <w:sz w:val="16"/>
          <w:szCs w:val="16"/>
        </w:rPr>
      </w:pPr>
      <w:r w:rsidRPr="008127F8">
        <w:rPr>
          <w:i w:val="0"/>
          <w:color w:val="000000" w:themeColor="text1"/>
          <w:sz w:val="16"/>
          <w:szCs w:val="16"/>
        </w:rPr>
        <w:t>3. Поворотный механизм спарки требует усилий обеих рук, что ни в коем случае не может быть допустимым.</w:t>
      </w:r>
    </w:p>
    <w:p w14:paraId="314F8965" w14:textId="77777777" w:rsidR="007C5583" w:rsidRPr="008127F8" w:rsidRDefault="007C5583" w:rsidP="007C5583">
      <w:pPr>
        <w:pStyle w:val="Bodytext141"/>
        <w:shd w:val="clear" w:color="auto" w:fill="auto"/>
        <w:tabs>
          <w:tab w:val="left" w:pos="584"/>
        </w:tabs>
        <w:spacing w:line="240" w:lineRule="auto"/>
        <w:ind w:firstLine="0"/>
        <w:jc w:val="both"/>
        <w:rPr>
          <w:i w:val="0"/>
          <w:color w:val="000000" w:themeColor="text1"/>
          <w:sz w:val="16"/>
          <w:szCs w:val="16"/>
        </w:rPr>
      </w:pPr>
      <w:r w:rsidRPr="008127F8">
        <w:rPr>
          <w:i w:val="0"/>
          <w:color w:val="000000" w:themeColor="text1"/>
          <w:sz w:val="16"/>
          <w:szCs w:val="16"/>
        </w:rPr>
        <w:t>4. Размещение снарядных кассет в нише башни вызывает большое за</w:t>
      </w:r>
      <w:r w:rsidRPr="008127F8">
        <w:rPr>
          <w:i w:val="0"/>
          <w:color w:val="000000" w:themeColor="text1"/>
          <w:sz w:val="16"/>
          <w:szCs w:val="16"/>
        </w:rPr>
        <w:softHyphen/>
        <w:t>труднение в работе и не может быть принято. Необходимо приме</w:t>
      </w:r>
      <w:r w:rsidRPr="008127F8">
        <w:rPr>
          <w:i w:val="0"/>
          <w:color w:val="000000" w:themeColor="text1"/>
          <w:sz w:val="16"/>
          <w:szCs w:val="16"/>
        </w:rPr>
        <w:softHyphen/>
        <w:t>нить открытый тип укладки.</w:t>
      </w:r>
    </w:p>
    <w:p w14:paraId="5356B11F" w14:textId="77777777" w:rsidR="007C5583" w:rsidRPr="008127F8" w:rsidRDefault="007C5583" w:rsidP="007C5583">
      <w:pPr>
        <w:pStyle w:val="Bodytext141"/>
        <w:shd w:val="clear" w:color="auto" w:fill="auto"/>
        <w:tabs>
          <w:tab w:val="left" w:pos="589"/>
        </w:tabs>
        <w:spacing w:line="240" w:lineRule="auto"/>
        <w:ind w:firstLine="0"/>
        <w:jc w:val="both"/>
        <w:rPr>
          <w:i w:val="0"/>
          <w:color w:val="000000" w:themeColor="text1"/>
          <w:sz w:val="16"/>
          <w:szCs w:val="16"/>
        </w:rPr>
      </w:pPr>
      <w:r w:rsidRPr="008127F8">
        <w:rPr>
          <w:i w:val="0"/>
          <w:color w:val="000000" w:themeColor="text1"/>
          <w:sz w:val="16"/>
          <w:szCs w:val="16"/>
        </w:rPr>
        <w:t>5. Очень тяжел спусковой механизм спарки при стрельбе залпом и тре</w:t>
      </w:r>
      <w:r w:rsidRPr="008127F8">
        <w:rPr>
          <w:i w:val="0"/>
          <w:color w:val="000000" w:themeColor="text1"/>
          <w:sz w:val="16"/>
          <w:szCs w:val="16"/>
        </w:rPr>
        <w:softHyphen/>
        <w:t>бует, по крайней мере, двукратного облегчения.</w:t>
      </w:r>
    </w:p>
    <w:p w14:paraId="3FD5CC67" w14:textId="77777777" w:rsidR="007C5583" w:rsidRPr="008127F8" w:rsidRDefault="007C5583" w:rsidP="007C5583">
      <w:pPr>
        <w:pStyle w:val="Bodytext141"/>
        <w:shd w:val="clear" w:color="auto" w:fill="auto"/>
        <w:tabs>
          <w:tab w:val="left" w:pos="570"/>
        </w:tabs>
        <w:spacing w:line="240" w:lineRule="auto"/>
        <w:ind w:firstLine="0"/>
        <w:jc w:val="both"/>
        <w:rPr>
          <w:i w:val="0"/>
          <w:color w:val="000000" w:themeColor="text1"/>
          <w:sz w:val="16"/>
          <w:szCs w:val="16"/>
        </w:rPr>
      </w:pPr>
      <w:r w:rsidRPr="008127F8">
        <w:rPr>
          <w:i w:val="0"/>
          <w:color w:val="000000" w:themeColor="text1"/>
          <w:sz w:val="16"/>
          <w:szCs w:val="16"/>
        </w:rPr>
        <w:t>6. Для спарки не предусмотрено приспособление для искусственного отката, для чего необходимо сделать в задней стенке башни, при</w:t>
      </w:r>
      <w:r w:rsidRPr="008127F8">
        <w:rPr>
          <w:i w:val="0"/>
          <w:color w:val="000000" w:themeColor="text1"/>
          <w:sz w:val="16"/>
          <w:szCs w:val="16"/>
        </w:rPr>
        <w:softHyphen/>
        <w:t>способив его, одновременно для лаза команды» (17484).</w:t>
      </w:r>
    </w:p>
    <w:p w14:paraId="080F529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84FA5F0"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мая 1942 года на Копейском полигоне прошли испытания модернизированного КВ-7 со спаренной установкой У-14, которые показали, что ОКБ-3 УЗТМ зря времени не теряло. По крайней мере, кучность установки У-14 была выше, чем в случае с У-13. Другой вопрос, что система всё равно имела проблему со сбиваемостью при стрельбе, поскольку синхронность залпа удавалось получить не всегда. Скорострельность составила 6-7 выстрелов в минуту, примерно на уровне КВ-1. Имелись замечания к механизму наводки по горизонтали, требовалось крутить его двумя руками. Всего набралось 6 пунктов замечаний (23551).</w:t>
      </w:r>
    </w:p>
    <w:p w14:paraId="529DD894" w14:textId="77777777" w:rsidR="009234E5" w:rsidRPr="008A2E5A" w:rsidRDefault="009234E5" w:rsidP="009234E5">
      <w:pPr>
        <w:spacing w:after="0" w:line="240" w:lineRule="auto"/>
        <w:jc w:val="both"/>
        <w:rPr>
          <w:rFonts w:ascii="Times New Roman" w:hAnsi="Times New Roman"/>
          <w:color w:val="0070C0"/>
          <w:sz w:val="16"/>
          <w:szCs w:val="16"/>
        </w:rPr>
      </w:pPr>
    </w:p>
    <w:p w14:paraId="4EE0A6DA" w14:textId="77777777" w:rsidR="007C5583" w:rsidRPr="008127F8" w:rsidRDefault="007C5583" w:rsidP="007C5583">
      <w:pPr>
        <w:pStyle w:val="a4"/>
        <w:rPr>
          <w:color w:val="000000" w:themeColor="text1"/>
          <w:lang w:val="ru-RU"/>
        </w:rPr>
      </w:pPr>
      <w:r w:rsidRPr="008127F8">
        <w:rPr>
          <w:color w:val="000000" w:themeColor="text1"/>
          <w:lang w:val="ru-RU"/>
        </w:rPr>
        <w:t>14 мая 1942 года Артиллерийский комитет ГАУ КА дал заключение по проекту М-4, который в общем и целом одобрил идею. Первые испытания по теме мортиры прошли с 18 по 23 мая 1942 года, проверялся опытный ла</w:t>
      </w:r>
      <w:r w:rsidRPr="008127F8">
        <w:rPr>
          <w:color w:val="000000" w:themeColor="text1"/>
          <w:lang w:val="ru-RU"/>
        </w:rPr>
        <w:softHyphen/>
        <w:t>фет. Для его испытаний применялся баллистический ствол, изготов</w:t>
      </w:r>
      <w:r w:rsidRPr="008127F8">
        <w:rPr>
          <w:color w:val="000000" w:themeColor="text1"/>
          <w:lang w:val="ru-RU"/>
        </w:rPr>
        <w:softHyphen/>
        <w:t>ленный из трубы опытного образца 203-мм гаубицы М-40 и затвора 152-мм пушки Б-30.</w:t>
      </w:r>
    </w:p>
    <w:p w14:paraId="1B6DC8EC" w14:textId="77777777" w:rsidR="007C5583" w:rsidRPr="008127F8" w:rsidRDefault="007C5583" w:rsidP="007C5583">
      <w:pPr>
        <w:pStyle w:val="a4"/>
        <w:rPr>
          <w:color w:val="000000" w:themeColor="text1"/>
          <w:lang w:val="ru-RU"/>
        </w:rPr>
      </w:pPr>
      <w:r w:rsidRPr="008127F8">
        <w:rPr>
          <w:color w:val="000000" w:themeColor="text1"/>
          <w:lang w:val="ru-RU"/>
        </w:rPr>
        <w:t>Для установки более тяжелого и мощного ствола в конструкцию МЛ-20 было внесено небольшое число изменений. Верхний станок получил возможность установки полиспаста для оттягивания ствола на поход, для чего ввели специальный кронштейн. Нижний станок получил ограничитель, также небольшие изменения, связанные с по</w:t>
      </w:r>
      <w:r w:rsidRPr="008127F8">
        <w:rPr>
          <w:color w:val="000000" w:themeColor="text1"/>
          <w:lang w:val="ru-RU"/>
        </w:rPr>
        <w:softHyphen/>
        <w:t>становкой полиспаста, внесли в конструкцию станин. В уравновеши</w:t>
      </w:r>
      <w:r w:rsidRPr="008127F8">
        <w:rPr>
          <w:color w:val="000000" w:themeColor="text1"/>
          <w:lang w:val="ru-RU"/>
        </w:rPr>
        <w:softHyphen/>
        <w:t>вающий механизм поставили более мощную пружину, несколько из</w:t>
      </w:r>
      <w:r w:rsidRPr="008127F8">
        <w:rPr>
          <w:color w:val="000000" w:themeColor="text1"/>
          <w:lang w:val="ru-RU"/>
        </w:rPr>
        <w:softHyphen/>
        <w:t>менили состав ЗИП.</w:t>
      </w:r>
    </w:p>
    <w:p w14:paraId="5DC1C366" w14:textId="77777777" w:rsidR="007C5583" w:rsidRPr="008127F8" w:rsidRDefault="007C5583" w:rsidP="007C5583">
      <w:pPr>
        <w:pStyle w:val="af"/>
        <w:spacing w:before="0" w:after="0"/>
        <w:jc w:val="both"/>
        <w:rPr>
          <w:color w:val="000000" w:themeColor="text1"/>
          <w:sz w:val="16"/>
          <w:szCs w:val="16"/>
        </w:rPr>
      </w:pPr>
      <w:r w:rsidRPr="008127F8">
        <w:rPr>
          <w:color w:val="000000" w:themeColor="text1"/>
          <w:sz w:val="16"/>
          <w:szCs w:val="16"/>
        </w:rPr>
        <w:t>В августе 1942 года для мортиры был изготовлен ствол-моноблок. Затвор с небольшими переделками взяли от гаубицы Б-4. Трубу из</w:t>
      </w:r>
      <w:r w:rsidRPr="008127F8">
        <w:rPr>
          <w:color w:val="000000" w:themeColor="text1"/>
          <w:sz w:val="16"/>
          <w:szCs w:val="16"/>
        </w:rPr>
        <w:softHyphen/>
        <w:t>готовили заново, для уменьшения отката ствол оснастили массивным щелевым дульным тормозом. Длина ствола по дульный срез составила 3693 мм (18,2 калибра), с дульным тормозом 4328 мм. Мортира в ка</w:t>
      </w:r>
      <w:r w:rsidRPr="008127F8">
        <w:rPr>
          <w:color w:val="000000" w:themeColor="text1"/>
          <w:sz w:val="16"/>
          <w:szCs w:val="16"/>
        </w:rPr>
        <w:softHyphen/>
        <w:t>честве боеприпасов использовала штатную номенклатуру выстрелов к 203-мм гаубице Б-4. Ввиду более короткого ствола начальная ско</w:t>
      </w:r>
      <w:r w:rsidRPr="008127F8">
        <w:rPr>
          <w:color w:val="000000" w:themeColor="text1"/>
          <w:sz w:val="16"/>
          <w:szCs w:val="16"/>
        </w:rPr>
        <w:softHyphen/>
        <w:t>рость снаряда снизилась до 353 м/с (17484).</w:t>
      </w:r>
    </w:p>
    <w:p w14:paraId="6D720CB3" w14:textId="77777777" w:rsidR="007C5583" w:rsidRPr="008127F8" w:rsidRDefault="007C5583" w:rsidP="007C5583">
      <w:pPr>
        <w:pStyle w:val="af"/>
        <w:spacing w:before="0" w:after="0"/>
        <w:jc w:val="both"/>
        <w:rPr>
          <w:color w:val="000000" w:themeColor="text1"/>
          <w:sz w:val="16"/>
          <w:szCs w:val="16"/>
        </w:rPr>
      </w:pPr>
    </w:p>
    <w:p w14:paraId="4B5E1767"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 xml:space="preserve">14 мая 1942 на заседании Наркомата танковой промышленности </w:t>
      </w:r>
      <w:r w:rsidRPr="008127F8">
        <w:rPr>
          <w:rFonts w:eastAsia="Calibri"/>
          <w:color w:val="000000" w:themeColor="text1"/>
          <w:sz w:val="16"/>
          <w:szCs w:val="16"/>
          <w:lang w:val="en-US"/>
        </w:rPr>
        <w:t>d</w:t>
      </w:r>
      <w:r w:rsidRPr="008127F8">
        <w:rPr>
          <w:rFonts w:eastAsia="Calibri"/>
          <w:color w:val="000000" w:themeColor="text1"/>
          <w:sz w:val="16"/>
          <w:szCs w:val="16"/>
        </w:rPr>
        <w:t>первые был поднят вопрос о более глубокой модер</w:t>
      </w:r>
      <w:r w:rsidRPr="008127F8">
        <w:rPr>
          <w:rFonts w:eastAsia="Calibri"/>
          <w:color w:val="000000" w:themeColor="text1"/>
          <w:sz w:val="16"/>
          <w:szCs w:val="16"/>
        </w:rPr>
        <w:softHyphen/>
        <w:t>низации малого танка Т-60. Суть предложения завода № 37, переданного через военинженера 1-го ранга С. А. Афонина, заключалась в установке в Т-6045-мм пушки и усиления бронирования до 35 мм.</w:t>
      </w:r>
    </w:p>
    <w:p w14:paraId="73B4A54E"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Первоначально решение по данному предложению было отрица</w:t>
      </w:r>
      <w:r w:rsidRPr="008127F8">
        <w:rPr>
          <w:rFonts w:eastAsia="Calibri"/>
          <w:color w:val="000000" w:themeColor="text1"/>
          <w:sz w:val="16"/>
          <w:szCs w:val="16"/>
        </w:rPr>
        <w:softHyphen/>
        <w:t>тельным:</w:t>
      </w:r>
    </w:p>
    <w:p w14:paraId="743687D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«Вследствие того, что:</w:t>
      </w:r>
    </w:p>
    <w:p w14:paraId="6B060929" w14:textId="77777777" w:rsidR="007C5583" w:rsidRPr="008127F8" w:rsidRDefault="007C5583" w:rsidP="007C5583">
      <w:pPr>
        <w:tabs>
          <w:tab w:val="left" w:pos="54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 данном варианте танк Т-60 все же значительно уступает танку Т-70 по бронированию, запасу мощности, а следовательно, по динамике и скоростям движения;</w:t>
      </w:r>
    </w:p>
    <w:p w14:paraId="619A63CD" w14:textId="77777777" w:rsidR="007C5583" w:rsidRPr="008127F8" w:rsidRDefault="007C5583" w:rsidP="007C5583">
      <w:pPr>
        <w:tabs>
          <w:tab w:val="left" w:pos="586"/>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дополнительное увеличение веса танка еще более ухудшает и без того напряженную работу его двигателя, трансмиссии и ходовой части;</w:t>
      </w:r>
    </w:p>
    <w:p w14:paraId="7AF39DB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считать постройку данного танка взамен танка Т- 70 нецелесообраз</w:t>
      </w:r>
      <w:r w:rsidRPr="008127F8">
        <w:rPr>
          <w:rFonts w:ascii="Times New Roman" w:hAnsi="Times New Roman"/>
          <w:color w:val="000000" w:themeColor="text1"/>
          <w:sz w:val="16"/>
          <w:szCs w:val="16"/>
        </w:rPr>
        <w:softHyphen/>
        <w:t>ной».</w:t>
      </w:r>
    </w:p>
    <w:p w14:paraId="6EF5708E"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Уже по окончании совещания в протокол была внесена пометка: «Испытать этот танк на 200 км. Материал прислать в ГАБТУ КА. Пока больше этих танков не делать». Поддержку начинанию завода оказал главный конструктор танка Т-50 С. А. Гинзбург, занимавший к тому моменту должность заместителя начальника технического отдела НКТП. С апреля 1942 года Гинзбург курировал работу по созданию на заводе № 37 легкой штурмовой САУ на агрегатах Т-60, и с заводским руководством у него были общие интересы. Надо сказать, что к момен</w:t>
      </w:r>
      <w:r w:rsidRPr="008127F8">
        <w:rPr>
          <w:rFonts w:eastAsia="Calibri"/>
          <w:color w:val="000000" w:themeColor="text1"/>
          <w:sz w:val="16"/>
          <w:szCs w:val="16"/>
        </w:rPr>
        <w:softHyphen/>
        <w:t>ту обсуждения проекта модернизированная машина, получившая за</w:t>
      </w:r>
      <w:r w:rsidRPr="008127F8">
        <w:rPr>
          <w:rFonts w:eastAsia="Calibri"/>
          <w:color w:val="000000" w:themeColor="text1"/>
          <w:sz w:val="16"/>
          <w:szCs w:val="16"/>
        </w:rPr>
        <w:softHyphen/>
        <w:t>водской индекс Т-45, была в значительной мере готова.</w:t>
      </w:r>
    </w:p>
    <w:p w14:paraId="58EBEF18"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Появление Т-45 объяснялось очень просто — завод № 37 очень не хотел осваивать Т-70. Для того чтобы запустить производство Т-70, необходимо было освоить изготовление 1440 новых деталей, изго</w:t>
      </w:r>
      <w:r w:rsidRPr="008127F8">
        <w:rPr>
          <w:rFonts w:eastAsia="Calibri"/>
          <w:color w:val="000000" w:themeColor="text1"/>
          <w:sz w:val="16"/>
          <w:szCs w:val="16"/>
        </w:rPr>
        <w:softHyphen/>
        <w:t>товить 545 новых штампов, требовалось 825 новых приспособлений и 2300 единиц инструмента. Для сравнения, Т-45 требовал 224 новых детали, 104 штампа, 175 приспособлений и 255 единиц инструмента, плюс 132 детали, 85 штампов, 149 приспособлений и 433 единицы ин</w:t>
      </w:r>
      <w:r w:rsidRPr="008127F8">
        <w:rPr>
          <w:rFonts w:eastAsia="Calibri"/>
          <w:color w:val="000000" w:themeColor="text1"/>
          <w:sz w:val="16"/>
          <w:szCs w:val="16"/>
        </w:rPr>
        <w:softHyphen/>
        <w:t>струмента брались от Т-70. Кроме того, запуск Т-70 в серию означал, что из Горького должно было приходить в 2 раза больше двигателей, а они и так шли с перебоями. В сложившейся ситуации попытка за</w:t>
      </w:r>
      <w:r w:rsidRPr="008127F8">
        <w:rPr>
          <w:rFonts w:eastAsia="Calibri"/>
          <w:color w:val="000000" w:themeColor="text1"/>
          <w:sz w:val="16"/>
          <w:szCs w:val="16"/>
        </w:rPr>
        <w:softHyphen/>
        <w:t>водского КБ создать на базе Т-60 танк с более мощным бронировани</w:t>
      </w:r>
      <w:r w:rsidRPr="008127F8">
        <w:rPr>
          <w:rFonts w:eastAsia="Calibri"/>
          <w:color w:val="000000" w:themeColor="text1"/>
          <w:sz w:val="16"/>
          <w:szCs w:val="16"/>
        </w:rPr>
        <w:softHyphen/>
        <w:t>ем и вооружением, а также оснащенный двигателем, выпускавшимся сравнительно неподалеку, выглядела вполне логично.</w:t>
      </w:r>
    </w:p>
    <w:p w14:paraId="6E406121" w14:textId="77777777" w:rsidR="007C5583" w:rsidRPr="008127F8" w:rsidRDefault="007C5583" w:rsidP="007C5583">
      <w:pPr>
        <w:pStyle w:val="162"/>
        <w:shd w:val="clear" w:color="auto" w:fill="auto"/>
        <w:tabs>
          <w:tab w:val="left" w:pos="3158"/>
        </w:tabs>
        <w:spacing w:line="240" w:lineRule="auto"/>
        <w:jc w:val="both"/>
        <w:rPr>
          <w:color w:val="000000" w:themeColor="text1"/>
          <w:sz w:val="16"/>
          <w:szCs w:val="16"/>
        </w:rPr>
      </w:pPr>
      <w:r w:rsidRPr="008127F8">
        <w:rPr>
          <w:rFonts w:eastAsia="Calibri"/>
          <w:color w:val="000000" w:themeColor="text1"/>
          <w:sz w:val="16"/>
          <w:szCs w:val="16"/>
        </w:rPr>
        <w:t>Главным внешним отличием Т-45 от предшественника стала башня с кормовой нишей, в которой устанавливалась 45-мм танковая пушка обр. 1938 года и спаренный с ней пулемет ДТ. В установке вооруже</w:t>
      </w:r>
      <w:r w:rsidRPr="008127F8">
        <w:rPr>
          <w:rFonts w:eastAsia="Calibri"/>
          <w:color w:val="000000" w:themeColor="text1"/>
          <w:sz w:val="16"/>
          <w:szCs w:val="16"/>
        </w:rPr>
        <w:softHyphen/>
        <w:t xml:space="preserve">ния использовался упрощенный поворотный механизм башни Т-60. Толщина бортов башни была доведена до 35 мм, что соответствовало </w:t>
      </w:r>
      <w:r w:rsidRPr="008127F8">
        <w:rPr>
          <w:rStyle w:val="BodytextTahoma8pt"/>
          <w:color w:val="000000" w:themeColor="text1"/>
        </w:rPr>
        <w:t>Т-45 во дворе завода № 37,</w:t>
      </w:r>
      <w:r w:rsidRPr="008127F8">
        <w:rPr>
          <w:rFonts w:eastAsia="Calibri"/>
          <w:color w:val="000000" w:themeColor="text1"/>
          <w:sz w:val="16"/>
          <w:szCs w:val="16"/>
        </w:rPr>
        <w:t>уровню Т-70. Защиту корпуса оставили на уровне Т-60, за исключением верхнего лобового листа, толщину которого подняли с 15 до 25 мм.</w:t>
      </w:r>
    </w:p>
    <w:p w14:paraId="36DB2108"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По проекту, в случае необходимости толщину лобового листа можно было поднять с 35 до 45 мм, тогда по уровню защиты Т-45 полностью сравнялся бы с Т-70. Корпус в целом соответствовал Т-60, главным от</w:t>
      </w:r>
      <w:r w:rsidRPr="008127F8">
        <w:rPr>
          <w:rFonts w:eastAsia="Calibri"/>
          <w:color w:val="000000" w:themeColor="text1"/>
          <w:sz w:val="16"/>
          <w:szCs w:val="16"/>
        </w:rPr>
        <w:softHyphen/>
        <w:t>личием стал новый люк механика-водителя, который сделали повора</w:t>
      </w:r>
      <w:r w:rsidRPr="008127F8">
        <w:rPr>
          <w:rFonts w:eastAsia="Calibri"/>
          <w:color w:val="000000" w:themeColor="text1"/>
          <w:sz w:val="16"/>
          <w:szCs w:val="16"/>
        </w:rPr>
        <w:softHyphen/>
        <w:t>чивающимся вбок.</w:t>
      </w:r>
    </w:p>
    <w:p w14:paraId="0F8EF511"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Поскольку на заводе был всего один двигатель ЗИС-16, на Т-45 по</w:t>
      </w:r>
      <w:r w:rsidRPr="008127F8">
        <w:rPr>
          <w:rFonts w:eastAsia="Calibri"/>
          <w:color w:val="000000" w:themeColor="text1"/>
          <w:sz w:val="16"/>
          <w:szCs w:val="16"/>
        </w:rPr>
        <w:softHyphen/>
        <w:t>ставили менее мощный, но куда менее дефицитный мотор ЗИС- 5 (мотор сняли с грузовика, прошедшего 12 000 км). С менее мощным мотором максимальная скорость снижалась до 37,2 км/ч. В случае успешных испытаний завод рассчитывал немедленно переключиться на выпуск Т-45 с ЗИС-5, а после освоения на Миасском заводе мотора ЗИС-16 перейти на него. Помимо нового двигателя, на Т-45 установи</w:t>
      </w:r>
      <w:r w:rsidRPr="008127F8">
        <w:rPr>
          <w:rFonts w:eastAsia="Calibri"/>
          <w:color w:val="000000" w:themeColor="text1"/>
          <w:sz w:val="16"/>
          <w:szCs w:val="16"/>
        </w:rPr>
        <w:softHyphen/>
        <w:t>ли главную передачу и бортовые фрикционы от Т-70. Ввиду того что боевая масса поднялась почти до 7 тонн, на танк установили усилен</w:t>
      </w:r>
      <w:r w:rsidRPr="008127F8">
        <w:rPr>
          <w:rFonts w:eastAsia="Calibri"/>
          <w:color w:val="000000" w:themeColor="text1"/>
          <w:sz w:val="16"/>
          <w:szCs w:val="16"/>
        </w:rPr>
        <w:softHyphen/>
        <w:t>ные торсионные валы.</w:t>
      </w:r>
    </w:p>
    <w:p w14:paraId="7A5C59C0"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Согласно программе, первый этап испытаний, начавшийся 20 мая, начался с тестов стрельбой. Была достигнута скорострельность 7—8 выстрелов в минуту с места и около 3 выстрелов в минуту с ходу. Отмеча</w:t>
      </w:r>
      <w:r w:rsidRPr="008127F8">
        <w:rPr>
          <w:rFonts w:eastAsia="Calibri"/>
          <w:color w:val="000000" w:themeColor="text1"/>
          <w:sz w:val="16"/>
          <w:szCs w:val="16"/>
        </w:rPr>
        <w:softHyphen/>
        <w:t>лось, что обслуживание пушки более удобно, чем в Т-60, башня стала более просторной. Правда, от тяжести башни произошел небольшой прогиб подбашенного листа. Несмотря на данный дефект в ходе огне</w:t>
      </w:r>
      <w:r w:rsidRPr="008127F8">
        <w:rPr>
          <w:rFonts w:eastAsia="Calibri"/>
          <w:color w:val="000000" w:themeColor="text1"/>
          <w:sz w:val="16"/>
          <w:szCs w:val="16"/>
        </w:rPr>
        <w:softHyphen/>
        <w:t>вых испытаний все 25 выстрелов попали в мишень. На серийной ма</w:t>
      </w:r>
      <w:r w:rsidRPr="008127F8">
        <w:rPr>
          <w:rFonts w:eastAsia="Calibri"/>
          <w:color w:val="000000" w:themeColor="text1"/>
          <w:sz w:val="16"/>
          <w:szCs w:val="16"/>
        </w:rPr>
        <w:softHyphen/>
        <w:t>шине планировалось вместо прицела ТМФП поставить штатный при</w:t>
      </w:r>
      <w:r w:rsidRPr="008127F8">
        <w:rPr>
          <w:rFonts w:eastAsia="Calibri"/>
          <w:color w:val="000000" w:themeColor="text1"/>
          <w:sz w:val="16"/>
          <w:szCs w:val="16"/>
        </w:rPr>
        <w:softHyphen/>
        <w:t>цел ТОП для 45-мм танковой пушки (17485).</w:t>
      </w:r>
    </w:p>
    <w:p w14:paraId="43EC0D0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1BC2C71"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14 мая 1942 на заседании Наркомата Танковой Промышленности впервые был поднят вопрос о более глубокой модернизацией малого танка. Суть предложения завода №37, переданного через военинженера 1-го ранга С.А. Афонина, заключалась в установке в Т-60 45-мм пушки и усилении его бронирования до 35 мм. К моменту обсуждения проекта модернизированная машина, получившая заводской индекс Т-45, была в значительной мере готова.</w:t>
      </w:r>
    </w:p>
    <w:p w14:paraId="3B01CAA9"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Военные встретили идею в штыки. Разработку танка посчитали нецелесообразной, поскольку усиление его вооружения и бронирования должно было отрицательно сказаться на нагрузке мотора и трансмиссии. Появлению на свет новая разработке завода №37 обязана главному конструктору танка Т-50 С.А. Гинзбургу, занимавшему к тому моменту должность заместителя начальника Технического отдела НКТП. С апреля 1942 года Гинзбург курировал работу по созданию на заводе №37 легкой штурмовой САУ на агрегатах Т-60, и с заводским руководством у него были общие интересы. На совещании, в ходе которого обсуждалось предложение завода №37, Гинзбург присутствовал, и однозначно повлиял на итоговое решение. В протоколе появилась пометка:</w:t>
      </w:r>
    </w:p>
    <w:p w14:paraId="4EC8868B"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w:t>
      </w:r>
      <w:r w:rsidRPr="008127F8">
        <w:rPr>
          <w:rFonts w:ascii="Times New Roman" w:eastAsia="Times New Roman" w:hAnsi="Times New Roman"/>
          <w:iCs/>
          <w:color w:val="000000" w:themeColor="text1"/>
          <w:sz w:val="16"/>
          <w:szCs w:val="16"/>
          <w:lang w:eastAsia="ru-RU"/>
        </w:rPr>
        <w:t>испытать этот танк на 200 км. Материал прислать в ГАБТУ КА. Пока больше этих танков не делать»</w:t>
      </w:r>
      <w:r w:rsidRPr="008127F8">
        <w:rPr>
          <w:rFonts w:ascii="Times New Roman" w:eastAsia="Times New Roman" w:hAnsi="Times New Roman"/>
          <w:color w:val="000000" w:themeColor="text1"/>
          <w:sz w:val="16"/>
          <w:szCs w:val="16"/>
          <w:lang w:eastAsia="ru-RU"/>
        </w:rPr>
        <w:t>.</w:t>
      </w:r>
    </w:p>
    <w:p w14:paraId="7DDE5178"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Появление Т-45 объяснялось очень просто – завод №37 очень не хотел делать Т-70. Для того, чтобы наладить производство Т-70, необходимо было освоить изготовление 1440 новых деталей, изготовить 545 новых штампов. Требовалось 825 новых приспособлений и 2300 единиц инструмента. Для сравнения, Т-45 требовал только 224 новых деталей, 104 штампа, 175 приспособлений и 255 единиц инструмента, плюс 132 детали, 85 штампов, 149 приспособлений и 433 единицы инструмента брались от Т-70. Кроме того, запуск Т-70 в серию означал, что из Горького должно было приходить в 2 раза больше двигателей, а они и так шли с перебоями. В сложившейся ситуации попытка заводского КБ создать на базе Т-60 достаточно технологичный танк с более мощным бронированием и вооружением, а также оснащенный двигателем, выпускавшемся неподалеку, выглядела вполне логично.</w:t>
      </w:r>
    </w:p>
    <w:p w14:paraId="54E853AA"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Главным внешним отличием Т-45 от предшественника стала башня с кормовой нишей, в которой устанавливалась 45-мм танковая пушка обр.1938 года и спаренный с ней пулемет ДТ. В установке вооружения использовался упрощенный поворотный механизм башни Т-60. Толщина бортов башни была доведена до 35 мм, что соответствовало уровню Т-70. Уровень защиты корпуса был оставлен на уровне Т-60, за исключением верхнего лобового листа, толщину которого увеличили с 15 до </w:t>
      </w:r>
      <w:r w:rsidRPr="008127F8">
        <w:rPr>
          <w:rFonts w:ascii="Times New Roman" w:eastAsia="Times New Roman" w:hAnsi="Times New Roman"/>
          <w:color w:val="000000" w:themeColor="text1"/>
          <w:sz w:val="16"/>
          <w:szCs w:val="16"/>
          <w:lang w:eastAsia="ru-RU"/>
        </w:rPr>
        <w:lastRenderedPageBreak/>
        <w:t>25 мм. По проекту, в случае необходимости толщину лобового листа можно было нарастить с 35 до 45 мм, и тогда по уровню защиты Т-45 полностью бы сравнялся с Т-70. Корпус в целом соответствовал корпусу Т-60. Главным отличием стал новый люк механика-водителя, который сделали поворачивающимся вбок.</w:t>
      </w:r>
    </w:p>
    <w:p w14:paraId="6FDE9053"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Поскольку на заводе был всего один двигатель ЗиС-16, на Т-45 поставили менее мощный, но куда менее дефицитный мотор ЗИС-5 (мотор сняли с грузовика, прошедшего 12000 км). С менее мощным мотором максимальная скорость танка снижалась до 37,2 км/ч. В случае успешных испытаний завод рассчитывал немедленно переключиться на выпуск Т-45 с ЗИС-5, а после освоения на Миасском заводе мотора ЗИС-16 перейти на него. Помимо нового двигателя, на Т-45 установили главную передачу и бортовые фрикционы от Т-70. Из-за того, что боевая масса поднялась почти до 7 тонн, на танк были установлены усиленные торсионные валы (17636).</w:t>
      </w:r>
    </w:p>
    <w:p w14:paraId="4853ABC0"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lang w:eastAsia="ru-RU"/>
        </w:rPr>
      </w:pPr>
    </w:p>
    <w:p w14:paraId="4CF0B84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49DB036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1DED9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мая в 1942 году утреннее сообщение Совинформбюро:</w:t>
      </w:r>
    </w:p>
    <w:p w14:paraId="01319B8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14 мая на Керченском полуострове продолжались ожесточённые бои. На остальных участках фронта чего-либо существенного не произошло.</w:t>
      </w:r>
    </w:p>
    <w:p w14:paraId="6727FDF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Калининского фронта батальон пехоты противника при поддержке танков атаковал наши позиции. Подпустив врага на близкое расстояние, бойцы части, где командиром тов. Кудряшёв, открыли сосредоточенный огонь из винтовок, пулемётов и автоматов. Орудийные расчёты прямой наводкой уничтожали атакующего врага. Когда наши бойцы перешли в контратаку, гитлеровцы отступили, оставив на поле боя убитыми и ранеными до 400 солдат и офицеров. Подбито несколько вражеских танков. Взяты пленные.</w:t>
      </w:r>
    </w:p>
    <w:p w14:paraId="044756A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Северо-Западного фронта, за два дня боевых действий уничтожила 350 немецких солдат и офицеров, 10 орудий, 25 пулемётов, 3 автомашины и взорвала склад с боеприпасами.</w:t>
      </w:r>
    </w:p>
    <w:p w14:paraId="3FD4537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Танковый экипаж лейтенанта Бондаренко подбил немецкий танк, уничтожил миномёт и до 50 немецких солдат и офицеров.</w:t>
      </w:r>
    </w:p>
    <w:p w14:paraId="4F93777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время боя был ранен командир одного нашего взвода. Командование принял на себя красноармеец-автоматчик Елфишев. Три раза он водил взвод в атаку. Наши бойцы под руководством т. Елфишева уничтожили 75 гитлеровцев и захватили 2 ручных пулемёта, миномёт, 13 винтовок и несколько тысяч патронов.</w:t>
      </w:r>
    </w:p>
    <w:p w14:paraId="675AEBA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Красноармеец-снайпер тов. Доценко за два дня уничтожил 19 гитлеровцев.</w:t>
      </w:r>
    </w:p>
    <w:p w14:paraId="260EE37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X., действующий в тылу немецко-фашистских войск в Смоленской области, за последние три дня вёл упорные бои с немецко-фашистскими оккупантами. Два батальона немецкой пехоты пытались окружить и уничтожить партизанский отряд. Партизаны смело атаковали превосходящие силы противника и в ожесточённых атаках, доходивших до рукопашных схваток, уничтожили свыше 500 немецких солдат и офицеров. Партизаны захватили у противника следующие трофеи: 17 миномётов, 10 станковых и 6 ручных пулемётов, противотанковое ружьё, 247 винтовок, 12 револьверов, 20.000 патронов, 400 гранат, 3 радиостанции, 54 лошади, большое количество обмундирования и другое военное имущество.</w:t>
      </w:r>
    </w:p>
    <w:p w14:paraId="243A4EB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фельдфебель 2 полка полицейской дивизии СС Франц Бройер рассказал: «Полицейская дивизия «СС» получила приказ любой ценой занять деревню М. В течение целого месяца дивизия предпринимала одну за другой атаки на этот пункт, но безуспешно. В этих боях 3 полк дивизии потерял три четверти личного состава, 2 полк потерял около 900 человек. Большие потери понесли штрафной батальон и группа Фриче. Огромные потери удручают солдат. Они говорят, что если так будет продолжаться дальше, то никто из участников восточного похода не останется вживых».</w:t>
      </w:r>
    </w:p>
    <w:p w14:paraId="6BEA723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мая в городе Гамбурге (Германия) казнены 19 человек «за высказывание антивоенных, пораженческих взглядов». В городах Ганновер, Шверин, Брауншвейг и других гестапо производит многочисленные аресты людей, которые высказывают недовольство войной.</w:t>
      </w:r>
    </w:p>
    <w:p w14:paraId="1C2C502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Партизаны Югославии каждый день наносят тяжёлый урон итальянским оккупантам. На днях итальянская часть предприняла наступление в направлении Боснии. Партизаны атаковали фашистских захватчиков и отбросили их обратно. В результатебоя итальянцы потеряли 150 солдат убитыми и много ранеными. Партизаны захватили пулемёты, винтовки, патроны и другие военные материалы. Население активно поддерживает партизанские отряды в их борьбе с оккупантами.» (14891).</w:t>
      </w:r>
    </w:p>
    <w:p w14:paraId="6B0B5CB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DF0474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мая в 1942 году вечернее сообщение Совинформбюро:</w:t>
      </w:r>
    </w:p>
    <w:p w14:paraId="75EA1E6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14 мая на Керченском полуострове наши войска под давлением превосходящих сил противника с упорными боями отошли на новые позиции.</w:t>
      </w:r>
    </w:p>
    <w:p w14:paraId="319DC33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Харьковском направлении наши войска продолжали успешно продвигаться вперёд. За два дня боёв уничтожено и подбито не менее 150 немецких танков. Захвачено много трофеев и пленные.</w:t>
      </w:r>
    </w:p>
    <w:p w14:paraId="0C57E96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ничего существенного не произошло.</w:t>
      </w:r>
    </w:p>
    <w:p w14:paraId="23A10F7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уточнённым данным, за 12 мая сбито не 43 немецких самолёта, как об этом сообщалось ранее, а 51 немецкий самолёт.</w:t>
      </w:r>
    </w:p>
    <w:p w14:paraId="74DC4C2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13 мая уничтожено 40 немецких самолётов. Наши потери — 23 самолёта.</w:t>
      </w:r>
    </w:p>
    <w:p w14:paraId="42619BC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13 мая частями нашей авиации на разных участках фронта уничтожено или повреждено 120 немецких танков, свыше 200 автомашин с войсками и грузами, автоцистерна с горючим, 30 подвод с боеприпасами, 16 полевых и зенитных орудий, 8 пулемётов, взорваны склад с боеприпасами и склад с горючим, разбит железнодорожный эшелон, рассеяно и частью уничтожено 2 батальона пехоты противника.</w:t>
      </w:r>
    </w:p>
    <w:p w14:paraId="35A1081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Северо-Западного фронта, наносят немецко-фашистским войскам большой урон в людях и технике. Одна наша часть за 10 дней боёв вывела из строя более 4.000 немецких солдат и офицеров. Другая наша часть за это же время захватила 12 пушек, 38 станковых пулемётов, 5 зенитных пулемётов, 23 автомата, 5 радиостанций, много винтовок, снарядов, мин и патронов.</w:t>
      </w:r>
    </w:p>
    <w:p w14:paraId="7DBF3C8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Калининского фронта пехота противника, поддержанная танками, несколько раз пыталась захватить один населённый пункт. Бойцы части под командованием тов. Маргиросова отбили атаки гитлеровцев. На поле боя осталосьболее 150 убитых немецких солдат и офицеров. Подбито несколько вражеских танков.</w:t>
      </w:r>
    </w:p>
    <w:p w14:paraId="2C82FF4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Танковый экипаж старшего лейтенанта Селиванова за один день уничтожил немецкий танк, противотанковую пушку и захватил исправное орудие. Экипаж другого танка под командованием лейтенанта Моисеева уничтожил 2 немецких орудия, разгромил штаб немецкого истребительного отряда и захватил 20 пулемётов и автоматов и важные оперативные документы.</w:t>
      </w:r>
    </w:p>
    <w:p w14:paraId="3887619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Четыре наших бойца во главе с политруком тов. Савенковым открыли огонь из винтовок по вражескому самолёту. После нескольких залпов немецкий самолёт загорелся и упал на землю. Три лётчика сгорели, четвёртый взят в плен.</w:t>
      </w:r>
    </w:p>
    <w:p w14:paraId="3CB6C24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орловских партизан под командованием тов. Н. внезапным налётом выбил немецких оккупантов из двух населённых пунктов. В ожесточённой схватке партизаны уничтожили 250 гитлеровцев и захватили 8 станковых и 18 ручных пулемётов, 2 орудия, 4 миномёта, огнемёт, 300 ящиков с патронами, 14 ящиков с минами и много винтовок.</w:t>
      </w:r>
    </w:p>
    <w:p w14:paraId="4A4900E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7 роты 181 падка 52 немецкой пехотной дивизии Антон Кревольд сообщил: «1 марта нашу запасную роту в количестве 170 человек погрузили в вагоныи отправили на фронт. Когда мы прибыли в Рославль, нас предупредили, что здесь в любую минуту можно подвергнуться нападению русских партизан, и поэтому надо всегда быть наготове. И действительно, едва мы отъехали от Рославля, партизаны обстреляли нашу автоколонну. 18 солдат было убито, а несколько тяжело ранено. Прибыв на фронт, рота в первом же бою потеряла убитыми и ранеными свыше 60 человек. Особенно велики потери от артиллерийского и миномётного огня. На каждый выстрел немецкой артиллерии русские отвечали тремя выстрелами из своих орудий и при этом били очень метко».</w:t>
      </w:r>
    </w:p>
    <w:p w14:paraId="6DB389B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многих городах Румынии состоялись антивенгерские демонстрации с требованиями силой оружия возвратить захваченную венграми Трансильванию. Румынские власти приступили к спешному ремонту стратегических дорог. У границ с Венгрией сооружаются укрепления, создаются склады боеприпасов. В свою очередь венгерская полиция производит массовые аресты и расстрелы румын в Клуже, Тыргу-Муреше и других городах.» (14891).</w:t>
      </w:r>
    </w:p>
    <w:p w14:paraId="1BB6DA0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0D6AFA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мая в 1942 году немецкие войска ворвались на западные и южные окраины Керчи (14891).</w:t>
      </w:r>
    </w:p>
    <w:p w14:paraId="571CAE1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24EC8A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14 мая 1942 утром шестерка Як-1 296-го ИАП, сопровождая штурмовиков, в районе Каменная Яруга, встретилась с шестью Me-109. После двух атак 1 “мессер” был сбит. Истребители противника, не приняв боя, ушли в западном направлении. В конце дня штаб МАГ ВВС ЮЗФ, находившийся в Уразово, доложил в штаб фронта об одном сбитом Ме-109Ф и четырех Хе-113. Отличилась в этом бою группа истребителей 149-го иап. Как записано в отчете: “В 10:45 в районе Старый Салтов на высоте 2000 метров 5 Як-1 под командованием командира эскадрильи капитана Гусарова в воздушном бою с 7 Хе-113 и 1 Ме-115 после коротких атак с дистанции 200-100 метров сбили 4 Хе-113 и один Me-115”. Итогом боевой работы в районах Рогань - Чугуев 14 мая для ВВС ЮЗФ стали 9 Ме-109, 4 Хе-113, 1 Ме-115 и 1 Хш-126, сбитые в ходе 428 боевых вылетов. Кроме того, были заявлены уничтоженными сто танков. триста грузовиков и один поезд. Немыслимо высокими были также заявления противной стороны: пилоты III./JG 52 заявили об уничтожении сорока семи советских самолетов ценой потери одного Bf 109. При этом только Герман Граф заявил о шести победах, а л-т.Адольф Дикфелд - о девяти победах за один день! Друг и ведомый Графа Альфред Гриславски также открыл свой счет побед под Харьковом, записав два МиГ-3 как свои 27-ю и 28-ю победы. Его противниками были, скорее всего, истребители ЛаГГ-3 512-го ИАП. В указанном районе был подбит в бою ЛаГГ-3 мл.л-та Валерия Иванова. Других потерь полк здесь не понес, но тремя часами ранее командир звена ст.л-т Геннадий Дубенок при вынужденной посадке после боя разбил второй (за сутки) ЛаГГ-3. Реальные потери ВВС ЮЗФ за день были не столь высоки, как об этом заявлял противник, но все равно довольно ощутимыми. В воздушных боях были сбиты 1 ЛаГГ-3 и 1 Як-1, еще 12 самолетов (4 Як-1, 3 ЛаГГ-3, 3 Ил-2, 1 Cv-2 и 1 Р-5) "не вернулись на свои аэродромы ”. Поскольку к концу третьего дня наступления южная ударная группировка Юго-Западного фронта уже вплотную приблизилась к Краснограду (пригород Харькова), основное внимание немецкой авиации было уделено этому участку. В бои вводились новоприбывавшие части бомбардировочной и штурмовой авиации - КС 27, I./KC </w:t>
      </w:r>
      <w:r w:rsidRPr="008127F8">
        <w:rPr>
          <w:rFonts w:ascii="Times New Roman" w:hAnsi="Times New Roman"/>
          <w:color w:val="000000" w:themeColor="text1"/>
          <w:sz w:val="16"/>
          <w:szCs w:val="16"/>
        </w:rPr>
        <w:lastRenderedPageBreak/>
        <w:t>76, I./KG 77. Sen.С 1 и St.С 77. Только за два дня немецкие пикировщики Ju 87, действовавшие против южной ударной группировки ЮЗФ, заявили об уничтожении пятидесяти четырех советских танков. 15 мая командующий штаба немецкой армии генерал-полковник Франц Гальдер записал в своем дневнике: “Сила наступления, кажется, будет сломлена усилиями нашей авиации”. Прибытие новых частей люфтваффе сразу было отмечено командованием ВВС. По итогам первых дней боев штаб ВВС 6 Армии в своих наблюдениях за действиями немецкой авиации отмечал: "На участке 6 Армии в основном действовали! немецкие ВВС, действие других ВВС, за исключением одного случая, не отмечены. По неполным данным, на участке 6 Армии продолжали действовать старые части 51 эскадры в составе двух групп, имевших до 42 Ю-88 и 57 Me-109, дислоцировавшиеся на аэродромах Н.Водолага, Красноград, Днепропетровск (9394,16).</w:t>
      </w:r>
    </w:p>
    <w:p w14:paraId="23754A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A686D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4090378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AF2A2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мая 1942 вышло Постановление ГКО № 1749 Об обеспечении семей начсостава Красной Армии, не имеющих денежных аттестатов и связи с главой семьи. (7035, 1).</w:t>
      </w:r>
    </w:p>
    <w:p w14:paraId="15F2156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2B0F0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мая 1942 г. вышел ПРИКАЗ № 140 ОБ ОБЕСПЕЧЕНИИ СЕМЕЙ НАЧАЛЬСТВУЮЩЕГО СОСТАВА КРАСНОЙ АРМИИ, НЕ ИМЕЮЩИХ ДЕНЕЖНЫХ АТТЕСТАТОВ И СВЯЗИ С ГЛАВОЙ СЕМЬИ</w:t>
      </w:r>
    </w:p>
    <w:p w14:paraId="25EBF20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Государственного Комитета Обороны Союза ССР от 14 мая 1942 г. установить:</w:t>
      </w:r>
    </w:p>
    <w:p w14:paraId="67B1E8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Семьям лиц высшего, старшего, среднего начальствующего состава и сверхсрочнослужащих, не имеющим денежных аттестатов и связи с главой семьи, выплачивать с 1 мая 1942 г. впредь до выяснения судьбы военнослужащего пособие в размере:</w:t>
      </w:r>
    </w:p>
    <w:tbl>
      <w:tblPr>
        <w:tblW w:w="0" w:type="auto"/>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2804"/>
        <w:gridCol w:w="1549"/>
        <w:gridCol w:w="1549"/>
        <w:gridCol w:w="1476"/>
      </w:tblGrid>
      <w:tr w:rsidR="007C5583" w:rsidRPr="008127F8" w14:paraId="628C9419" w14:textId="77777777" w:rsidTr="004C5D62">
        <w:trPr>
          <w:trHeight w:val="780"/>
        </w:trPr>
        <w:tc>
          <w:tcPr>
            <w:tcW w:w="2804" w:type="dxa"/>
            <w:tcBorders>
              <w:top w:val="single" w:sz="12" w:space="0" w:color="auto"/>
            </w:tcBorders>
          </w:tcPr>
          <w:p w14:paraId="2F35C49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Семьям начсостава</w:t>
            </w:r>
          </w:p>
        </w:tc>
        <w:tc>
          <w:tcPr>
            <w:tcW w:w="1549" w:type="dxa"/>
            <w:tcBorders>
              <w:top w:val="single" w:sz="12" w:space="0" w:color="auto"/>
            </w:tcBorders>
          </w:tcPr>
          <w:p w14:paraId="3CC3FB3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наличии одного нетрудоспособного иждивенца военнослужащего</w:t>
            </w:r>
          </w:p>
        </w:tc>
        <w:tc>
          <w:tcPr>
            <w:tcW w:w="1549" w:type="dxa"/>
            <w:tcBorders>
              <w:top w:val="single" w:sz="12" w:space="0" w:color="auto"/>
            </w:tcBorders>
          </w:tcPr>
          <w:p w14:paraId="4588904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наличии двух нетрудоспособных иждивенцев военнослужащего</w:t>
            </w:r>
          </w:p>
        </w:tc>
        <w:tc>
          <w:tcPr>
            <w:tcW w:w="1476" w:type="dxa"/>
            <w:tcBorders>
              <w:top w:val="single" w:sz="12" w:space="0" w:color="auto"/>
            </w:tcBorders>
          </w:tcPr>
          <w:p w14:paraId="2314730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наличии трех и более нетрудоспособных иждивенцев военнослужащего</w:t>
            </w:r>
          </w:p>
        </w:tc>
      </w:tr>
      <w:tr w:rsidR="007C5583" w:rsidRPr="008127F8" w14:paraId="34E45D75" w14:textId="77777777" w:rsidTr="004C5D62">
        <w:trPr>
          <w:trHeight w:val="330"/>
        </w:trPr>
        <w:tc>
          <w:tcPr>
            <w:tcW w:w="2804" w:type="dxa"/>
          </w:tcPr>
          <w:p w14:paraId="461A7FC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высшего........</w:t>
            </w:r>
          </w:p>
        </w:tc>
        <w:tc>
          <w:tcPr>
            <w:tcW w:w="1549" w:type="dxa"/>
          </w:tcPr>
          <w:p w14:paraId="01A43F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tc>
        <w:tc>
          <w:tcPr>
            <w:tcW w:w="1549" w:type="dxa"/>
          </w:tcPr>
          <w:p w14:paraId="151C155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1476" w:type="dxa"/>
          </w:tcPr>
          <w:p w14:paraId="716B1A7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r>
      <w:tr w:rsidR="007C5583" w:rsidRPr="008127F8" w14:paraId="5A30A6AB" w14:textId="77777777" w:rsidTr="004C5D62">
        <w:trPr>
          <w:trHeight w:val="165"/>
        </w:trPr>
        <w:tc>
          <w:tcPr>
            <w:tcW w:w="2804" w:type="dxa"/>
          </w:tcPr>
          <w:p w14:paraId="37E20F2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старшего........</w:t>
            </w:r>
          </w:p>
        </w:tc>
        <w:tc>
          <w:tcPr>
            <w:tcW w:w="1549" w:type="dxa"/>
          </w:tcPr>
          <w:p w14:paraId="766CD14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w:t>
            </w:r>
          </w:p>
        </w:tc>
        <w:tc>
          <w:tcPr>
            <w:tcW w:w="1549" w:type="dxa"/>
          </w:tcPr>
          <w:p w14:paraId="47A506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tc>
        <w:tc>
          <w:tcPr>
            <w:tcW w:w="1476" w:type="dxa"/>
          </w:tcPr>
          <w:p w14:paraId="20E7082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r>
      <w:tr w:rsidR="007C5583" w:rsidRPr="008127F8" w14:paraId="08522C0C" w14:textId="77777777" w:rsidTr="004C5D62">
        <w:trPr>
          <w:trHeight w:val="180"/>
        </w:trPr>
        <w:tc>
          <w:tcPr>
            <w:tcW w:w="2804" w:type="dxa"/>
          </w:tcPr>
          <w:p w14:paraId="1776DA8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среднего........</w:t>
            </w:r>
          </w:p>
        </w:tc>
        <w:tc>
          <w:tcPr>
            <w:tcW w:w="1549" w:type="dxa"/>
          </w:tcPr>
          <w:p w14:paraId="45AAD9F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tc>
        <w:tc>
          <w:tcPr>
            <w:tcW w:w="1549" w:type="dxa"/>
          </w:tcPr>
          <w:p w14:paraId="4678BFE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250</w:t>
            </w:r>
          </w:p>
        </w:tc>
        <w:tc>
          <w:tcPr>
            <w:tcW w:w="1476" w:type="dxa"/>
          </w:tcPr>
          <w:p w14:paraId="216705B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tc>
      </w:tr>
      <w:tr w:rsidR="007C5583" w:rsidRPr="008127F8" w14:paraId="3CD81DB2" w14:textId="77777777" w:rsidTr="004C5D62">
        <w:trPr>
          <w:trHeight w:val="270"/>
        </w:trPr>
        <w:tc>
          <w:tcPr>
            <w:tcW w:w="2804" w:type="dxa"/>
            <w:tcBorders>
              <w:bottom w:val="single" w:sz="12" w:space="0" w:color="auto"/>
            </w:tcBorders>
          </w:tcPr>
          <w:p w14:paraId="53708C8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лиц сверхсрочной службы.........</w:t>
            </w:r>
          </w:p>
        </w:tc>
        <w:tc>
          <w:tcPr>
            <w:tcW w:w="1549" w:type="dxa"/>
            <w:tcBorders>
              <w:bottom w:val="single" w:sz="12" w:space="0" w:color="auto"/>
            </w:tcBorders>
          </w:tcPr>
          <w:p w14:paraId="1FCC959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w:t>
            </w:r>
          </w:p>
        </w:tc>
        <w:tc>
          <w:tcPr>
            <w:tcW w:w="1549" w:type="dxa"/>
            <w:tcBorders>
              <w:bottom w:val="single" w:sz="12" w:space="0" w:color="auto"/>
            </w:tcBorders>
          </w:tcPr>
          <w:p w14:paraId="0693038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1476" w:type="dxa"/>
            <w:tcBorders>
              <w:bottom w:val="single" w:sz="12" w:space="0" w:color="auto"/>
            </w:tcBorders>
          </w:tcPr>
          <w:p w14:paraId="50FAB3F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w:t>
            </w:r>
          </w:p>
        </w:tc>
      </w:tr>
    </w:tbl>
    <w:p w14:paraId="49F80A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определении размера пособия принимаются в расчет также нетрудоспособные родители военнослужащего, проживающие совместно с его семьей и состоявшие на его иждивении.</w:t>
      </w:r>
    </w:p>
    <w:p w14:paraId="4BAE62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После выяснения судьбы военнослужащего выданное пособие семье удерживается полностью из его денежного содержания или из пенсии, назначенной семье.</w:t>
      </w:r>
    </w:p>
    <w:p w14:paraId="7C0901C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 отношении каждой семьи право ее на получение пособия определять лично районным (городским) военным комиссарам по месту жительства семьи военнослужащего на основании тщательной проверки документов семьи.</w:t>
      </w:r>
    </w:p>
    <w:p w14:paraId="009762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Выплату пособия производить только через районные (городские) военные комиссариаты по месту жительства семьи военнослужащего. Расход по выплате пособия относить на § 1, ст. 1 сметы НКО.</w:t>
      </w:r>
    </w:p>
    <w:p w14:paraId="4ABAFA5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Приказ НКО 1941 года № 242* — отменить.</w:t>
      </w:r>
    </w:p>
    <w:p w14:paraId="02227F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Приказ ввести в действие по телеграфу.</w:t>
      </w:r>
    </w:p>
    <w:p w14:paraId="008AB04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Заместитель Народного комиссара обороны СССР генерал-лейтенант интендантской службы ХРУЛЕВ </w:t>
      </w:r>
      <w:r w:rsidRPr="008127F8">
        <w:rPr>
          <w:rFonts w:ascii="Times New Roman" w:hAnsi="Times New Roman"/>
          <w:color w:val="000000" w:themeColor="text1"/>
          <w:sz w:val="16"/>
          <w:szCs w:val="16"/>
        </w:rPr>
        <w:t>(9844).</w:t>
      </w:r>
    </w:p>
    <w:p w14:paraId="639965F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EA95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мая 1942 года в СССР прибыли последние из партии в 10 машин Р-51 Мустанги. Первые два "Мустанга" из 10, предназначающихся для СССР, отправили 16 декабря 1941 года (3457,87).</w:t>
      </w:r>
    </w:p>
    <w:p w14:paraId="587E49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C53AB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8127F8">
        <w:rPr>
          <w:rFonts w:ascii="Times New Roman" w:hAnsi="Times New Roman"/>
          <w:i/>
          <w:iCs/>
          <w:color w:val="000000" w:themeColor="text1"/>
          <w:sz w:val="16"/>
          <w:szCs w:val="16"/>
        </w:rPr>
        <w:t>За</w:t>
      </w:r>
      <w:r w:rsidRPr="008127F8">
        <w:rPr>
          <w:rFonts w:ascii="Times New Roman" w:hAnsi="Times New Roman"/>
          <w:i/>
          <w:iCs/>
          <w:color w:val="000000" w:themeColor="text1"/>
          <w:sz w:val="16"/>
          <w:szCs w:val="16"/>
          <w:lang w:val="en-US"/>
        </w:rPr>
        <w:t xml:space="preserve"> </w:t>
      </w:r>
      <w:r w:rsidRPr="008127F8">
        <w:rPr>
          <w:rFonts w:ascii="Times New Roman" w:hAnsi="Times New Roman"/>
          <w:i/>
          <w:iCs/>
          <w:color w:val="000000" w:themeColor="text1"/>
          <w:sz w:val="16"/>
          <w:szCs w:val="16"/>
        </w:rPr>
        <w:t>рубежом</w:t>
      </w:r>
      <w:r w:rsidRPr="008127F8">
        <w:rPr>
          <w:rFonts w:ascii="Times New Roman" w:hAnsi="Times New Roman"/>
          <w:i/>
          <w:iCs/>
          <w:color w:val="000000" w:themeColor="text1"/>
          <w:sz w:val="16"/>
          <w:szCs w:val="16"/>
          <w:lang w:val="en-US"/>
        </w:rPr>
        <w:t>:</w:t>
      </w:r>
    </w:p>
    <w:p w14:paraId="4C6A1A6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1D84BE5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May 14th, 1942: The damaged British escort cruiser Trinidad returning from Murmansk is sunk by Luftwaffe dive-bombers off the northern Norwegian coast (3819).</w:t>
      </w:r>
    </w:p>
    <w:p w14:paraId="0887A57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6E2A7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мая 1942 поврежденный крейсер Тринидад при возврате из Мурманска был потоплен пикирующими бомбардировщиками Люфтваффе у северного побережья Норвегии (3819).</w:t>
      </w:r>
    </w:p>
    <w:p w14:paraId="5044D1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14E79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мая 1942 Британия отступила из Бирмы (2100) и 15 мая пересекла границу Индии (2261).</w:t>
      </w:r>
    </w:p>
    <w:p w14:paraId="6C048B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6B87C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945B7F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B029B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г. вышло постановление Комитета обороны «Об обеспечении производ</w:t>
      </w:r>
      <w:r w:rsidRPr="008127F8">
        <w:rPr>
          <w:rFonts w:ascii="Times New Roman" w:hAnsi="Times New Roman"/>
          <w:color w:val="000000" w:themeColor="text1"/>
          <w:sz w:val="16"/>
          <w:szCs w:val="16"/>
        </w:rPr>
        <w:softHyphen/>
        <w:t>ства органического стекла по качеству не хуже, чем на самолетах Томагаук». Согласно поста</w:t>
      </w:r>
      <w:r w:rsidRPr="008127F8">
        <w:rPr>
          <w:rFonts w:ascii="Times New Roman" w:hAnsi="Times New Roman"/>
          <w:color w:val="000000" w:themeColor="text1"/>
          <w:sz w:val="16"/>
          <w:szCs w:val="16"/>
        </w:rPr>
        <w:softHyphen/>
        <w:t>новлению, Наркомат химической промышлен</w:t>
      </w:r>
      <w:r w:rsidRPr="008127F8">
        <w:rPr>
          <w:rFonts w:ascii="Times New Roman" w:hAnsi="Times New Roman"/>
          <w:color w:val="000000" w:themeColor="text1"/>
          <w:sz w:val="16"/>
          <w:szCs w:val="16"/>
        </w:rPr>
        <w:softHyphen/>
        <w:t>ности обязывался восстановить технологиче</w:t>
      </w:r>
      <w:r w:rsidRPr="008127F8">
        <w:rPr>
          <w:rFonts w:ascii="Times New Roman" w:hAnsi="Times New Roman"/>
          <w:color w:val="000000" w:themeColor="text1"/>
          <w:sz w:val="16"/>
          <w:szCs w:val="16"/>
        </w:rPr>
        <w:softHyphen/>
        <w:t>ский режим и рецептуру органического стекла 1940 г., обеспечив с 20 мая 1942 г. выпуск ли</w:t>
      </w:r>
      <w:r w:rsidRPr="008127F8">
        <w:rPr>
          <w:rFonts w:ascii="Times New Roman" w:hAnsi="Times New Roman"/>
          <w:color w:val="000000" w:themeColor="text1"/>
          <w:sz w:val="16"/>
          <w:szCs w:val="16"/>
        </w:rPr>
        <w:softHyphen/>
        <w:t>стового органического стекла. Одновременно требовалось</w:t>
      </w:r>
      <w:r w:rsidRPr="008127F8">
        <w:rPr>
          <w:rStyle w:val="aff8"/>
          <w:rFonts w:ascii="Times New Roman" w:hAnsi="Times New Roman"/>
          <w:color w:val="000000" w:themeColor="text1"/>
        </w:rPr>
        <w:t xml:space="preserve"> «произвести лабораторные ис</w:t>
      </w:r>
      <w:r w:rsidRPr="008127F8">
        <w:rPr>
          <w:rStyle w:val="aff8"/>
          <w:rFonts w:ascii="Times New Roman" w:hAnsi="Times New Roman"/>
          <w:color w:val="000000" w:themeColor="text1"/>
        </w:rPr>
        <w:softHyphen/>
        <w:t>следования качеств стекла, применяемого на самолетах Томагаук, установить рецептуру его и провести в период до 25 июня 1942 г. опыт</w:t>
      </w:r>
      <w:r w:rsidRPr="008127F8">
        <w:rPr>
          <w:rStyle w:val="aff8"/>
          <w:rFonts w:ascii="Times New Roman" w:hAnsi="Times New Roman"/>
          <w:color w:val="000000" w:themeColor="text1"/>
        </w:rPr>
        <w:softHyphen/>
        <w:t>но-исследовательские работы в направлении дальнейшего улучшения качеств отечествен</w:t>
      </w:r>
      <w:r w:rsidRPr="008127F8">
        <w:rPr>
          <w:rStyle w:val="aff8"/>
          <w:rFonts w:ascii="Times New Roman" w:hAnsi="Times New Roman"/>
          <w:color w:val="000000" w:themeColor="text1"/>
        </w:rPr>
        <w:softHyphen/>
        <w:t>ного органического стекла с тем, чтобы по</w:t>
      </w:r>
      <w:r w:rsidRPr="008127F8">
        <w:rPr>
          <w:rStyle w:val="aff8"/>
          <w:rFonts w:ascii="Times New Roman" w:hAnsi="Times New Roman"/>
          <w:color w:val="000000" w:themeColor="text1"/>
        </w:rPr>
        <w:softHyphen/>
        <w:t>следнее было не хуже стекла, применяемого на самолетах Томагаук».</w:t>
      </w:r>
      <w:r w:rsidRPr="008127F8">
        <w:rPr>
          <w:rFonts w:ascii="Times New Roman" w:hAnsi="Times New Roman"/>
          <w:color w:val="000000" w:themeColor="text1"/>
          <w:sz w:val="16"/>
          <w:szCs w:val="16"/>
        </w:rPr>
        <w:t xml:space="preserve"> За разработку тех</w:t>
      </w:r>
      <w:r w:rsidRPr="008127F8">
        <w:rPr>
          <w:rFonts w:ascii="Times New Roman" w:hAnsi="Times New Roman"/>
          <w:color w:val="000000" w:themeColor="text1"/>
          <w:sz w:val="16"/>
          <w:szCs w:val="16"/>
        </w:rPr>
        <w:softHyphen/>
        <w:t>нологии производства органического стекла, отвечающего</w:t>
      </w:r>
      <w:r w:rsidRPr="008127F8">
        <w:rPr>
          <w:rStyle w:val="aff8"/>
          <w:rFonts w:ascii="Times New Roman" w:hAnsi="Times New Roman"/>
          <w:color w:val="000000" w:themeColor="text1"/>
        </w:rPr>
        <w:t xml:space="preserve"> «показателям стекла, применяе</w:t>
      </w:r>
      <w:r w:rsidRPr="008127F8">
        <w:rPr>
          <w:rStyle w:val="aff8"/>
          <w:rFonts w:ascii="Times New Roman" w:hAnsi="Times New Roman"/>
          <w:color w:val="000000" w:themeColor="text1"/>
        </w:rPr>
        <w:softHyphen/>
        <w:t>мого на самолетах Томагаук»,</w:t>
      </w:r>
      <w:r w:rsidRPr="008127F8">
        <w:rPr>
          <w:rFonts w:ascii="Times New Roman" w:hAnsi="Times New Roman"/>
          <w:color w:val="000000" w:themeColor="text1"/>
          <w:sz w:val="16"/>
          <w:szCs w:val="16"/>
        </w:rPr>
        <w:t xml:space="preserve"> устанавливалась премия в размере 100 тыс. руб. (17481)</w:t>
      </w:r>
    </w:p>
    <w:p w14:paraId="4B3C61C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67F56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года были подготовлены справки:</w:t>
      </w:r>
    </w:p>
    <w:p w14:paraId="3E206C6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М-82.</w:t>
      </w:r>
    </w:p>
    <w:p w14:paraId="7CEA62C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характеристики серийного мотора М-82.</w:t>
      </w:r>
    </w:p>
    <w:p w14:paraId="46DB9C0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14-ти цилиндровый двухзарядный звездообразный мотор воздушного охлаждения.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C5583" w:rsidRPr="008127F8" w14:paraId="64E267E0" w14:textId="77777777" w:rsidTr="004C5D62">
        <w:tc>
          <w:tcPr>
            <w:tcW w:w="5636" w:type="dxa"/>
            <w:tcBorders>
              <w:top w:val="single" w:sz="12" w:space="0" w:color="auto"/>
            </w:tcBorders>
          </w:tcPr>
          <w:p w14:paraId="71FE3DA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w:t>
            </w:r>
          </w:p>
        </w:tc>
        <w:tc>
          <w:tcPr>
            <w:tcW w:w="5636" w:type="dxa"/>
            <w:tcBorders>
              <w:top w:val="single" w:sz="12" w:space="0" w:color="auto"/>
            </w:tcBorders>
          </w:tcPr>
          <w:p w14:paraId="4190A3A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1700 л.с.</w:t>
            </w:r>
          </w:p>
        </w:tc>
      </w:tr>
      <w:tr w:rsidR="007C5583" w:rsidRPr="008127F8" w14:paraId="7E61E5DA" w14:textId="77777777" w:rsidTr="004C5D62">
        <w:tc>
          <w:tcPr>
            <w:tcW w:w="5636" w:type="dxa"/>
          </w:tcPr>
          <w:p w14:paraId="5CB7D70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Номинальная мощность на высоте Н=2250 м</w:t>
            </w:r>
          </w:p>
        </w:tc>
        <w:tc>
          <w:tcPr>
            <w:tcW w:w="5636" w:type="dxa"/>
          </w:tcPr>
          <w:p w14:paraId="13C16C3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1540 л.с.</w:t>
            </w:r>
          </w:p>
        </w:tc>
      </w:tr>
      <w:tr w:rsidR="007C5583" w:rsidRPr="008127F8" w14:paraId="61A769C3" w14:textId="77777777" w:rsidTr="004C5D62">
        <w:tc>
          <w:tcPr>
            <w:tcW w:w="5636" w:type="dxa"/>
          </w:tcPr>
          <w:p w14:paraId="0CBBD4E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Номинальная мощность на высоте Н=5400 м</w:t>
            </w:r>
          </w:p>
        </w:tc>
        <w:tc>
          <w:tcPr>
            <w:tcW w:w="5636" w:type="dxa"/>
          </w:tcPr>
          <w:p w14:paraId="1CE393B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1330 л.с.</w:t>
            </w:r>
          </w:p>
        </w:tc>
      </w:tr>
      <w:tr w:rsidR="007C5583" w:rsidRPr="008127F8" w14:paraId="0F249C2A" w14:textId="77777777" w:rsidTr="004C5D62">
        <w:tc>
          <w:tcPr>
            <w:tcW w:w="5636" w:type="dxa"/>
          </w:tcPr>
          <w:p w14:paraId="6E914F3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Литраж мотора</w:t>
            </w:r>
          </w:p>
        </w:tc>
        <w:tc>
          <w:tcPr>
            <w:tcW w:w="5636" w:type="dxa"/>
          </w:tcPr>
          <w:p w14:paraId="579877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41,3 литр</w:t>
            </w:r>
          </w:p>
        </w:tc>
      </w:tr>
      <w:tr w:rsidR="007C5583" w:rsidRPr="008127F8" w14:paraId="326259B7" w14:textId="77777777" w:rsidTr="004C5D62">
        <w:tc>
          <w:tcPr>
            <w:tcW w:w="5636" w:type="dxa"/>
          </w:tcPr>
          <w:p w14:paraId="0A87A1A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мотора</w:t>
            </w:r>
          </w:p>
        </w:tc>
        <w:tc>
          <w:tcPr>
            <w:tcW w:w="5636" w:type="dxa"/>
          </w:tcPr>
          <w:p w14:paraId="1051EF9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850 кг</w:t>
            </w:r>
          </w:p>
        </w:tc>
      </w:tr>
      <w:tr w:rsidR="007C5583" w:rsidRPr="008127F8" w14:paraId="4DC97560" w14:textId="77777777" w:rsidTr="004C5D62">
        <w:tc>
          <w:tcPr>
            <w:tcW w:w="5636" w:type="dxa"/>
            <w:tcBorders>
              <w:bottom w:val="single" w:sz="12" w:space="0" w:color="auto"/>
            </w:tcBorders>
          </w:tcPr>
          <w:p w14:paraId="021888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Срок службы до первой переборки</w:t>
            </w:r>
          </w:p>
        </w:tc>
        <w:tc>
          <w:tcPr>
            <w:tcW w:w="5636" w:type="dxa"/>
            <w:tcBorders>
              <w:bottom w:val="single" w:sz="12" w:space="0" w:color="auto"/>
            </w:tcBorders>
          </w:tcPr>
          <w:p w14:paraId="02428A8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 час.</w:t>
            </w:r>
          </w:p>
        </w:tc>
      </w:tr>
    </w:tbl>
    <w:p w14:paraId="44A8B8E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Ведутся работы по увеличению срока службы мотора до первой переборки до 150 часов. Намечено планом окончание этих работ к 1.IX.42 года.</w:t>
      </w:r>
    </w:p>
    <w:p w14:paraId="17CAC1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АМ-38.</w:t>
      </w:r>
    </w:p>
    <w:p w14:paraId="586B32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характеристики серийного мотора АМ-38.</w:t>
      </w:r>
    </w:p>
    <w:p w14:paraId="238EE25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V-образный 12-ти, цилиндровый мотор жидкостного охлаждения.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C5583" w:rsidRPr="008127F8" w14:paraId="7410BCAD" w14:textId="77777777" w:rsidTr="004C5D62">
        <w:tc>
          <w:tcPr>
            <w:tcW w:w="5636" w:type="dxa"/>
            <w:tcBorders>
              <w:top w:val="single" w:sz="12" w:space="0" w:color="auto"/>
            </w:tcBorders>
          </w:tcPr>
          <w:p w14:paraId="3B8D9DF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w:t>
            </w:r>
          </w:p>
        </w:tc>
        <w:tc>
          <w:tcPr>
            <w:tcW w:w="5636" w:type="dxa"/>
            <w:tcBorders>
              <w:top w:val="single" w:sz="12" w:space="0" w:color="auto"/>
            </w:tcBorders>
          </w:tcPr>
          <w:p w14:paraId="42F2B4D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1600 л.с.</w:t>
            </w:r>
          </w:p>
        </w:tc>
      </w:tr>
      <w:tr w:rsidR="007C5583" w:rsidRPr="008127F8" w14:paraId="2E88187B" w14:textId="77777777" w:rsidTr="004C5D62">
        <w:tc>
          <w:tcPr>
            <w:tcW w:w="5636" w:type="dxa"/>
          </w:tcPr>
          <w:p w14:paraId="41231C8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Номинальная мощность на высоте Н=1650 м</w:t>
            </w:r>
          </w:p>
        </w:tc>
        <w:tc>
          <w:tcPr>
            <w:tcW w:w="5636" w:type="dxa"/>
          </w:tcPr>
          <w:p w14:paraId="7B094AD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 л.с.</w:t>
            </w:r>
          </w:p>
        </w:tc>
      </w:tr>
      <w:tr w:rsidR="007C5583" w:rsidRPr="008127F8" w14:paraId="46504135" w14:textId="77777777" w:rsidTr="004C5D62">
        <w:tc>
          <w:tcPr>
            <w:tcW w:w="5636" w:type="dxa"/>
          </w:tcPr>
          <w:p w14:paraId="361FF78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Литраж мотора</w:t>
            </w:r>
          </w:p>
        </w:tc>
        <w:tc>
          <w:tcPr>
            <w:tcW w:w="5636" w:type="dxa"/>
          </w:tcPr>
          <w:p w14:paraId="0367F5E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46,66 л</w:t>
            </w:r>
          </w:p>
        </w:tc>
      </w:tr>
      <w:tr w:rsidR="007C5583" w:rsidRPr="008127F8" w14:paraId="6A837C49" w14:textId="77777777" w:rsidTr="004C5D62">
        <w:tc>
          <w:tcPr>
            <w:tcW w:w="5636" w:type="dxa"/>
          </w:tcPr>
          <w:p w14:paraId="0FE255E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мотора</w:t>
            </w:r>
          </w:p>
        </w:tc>
        <w:tc>
          <w:tcPr>
            <w:tcW w:w="5636" w:type="dxa"/>
          </w:tcPr>
          <w:p w14:paraId="7905B1D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860 кг</w:t>
            </w:r>
          </w:p>
        </w:tc>
      </w:tr>
      <w:tr w:rsidR="007C5583" w:rsidRPr="008127F8" w14:paraId="523344BD" w14:textId="77777777" w:rsidTr="004C5D62">
        <w:tc>
          <w:tcPr>
            <w:tcW w:w="5636" w:type="dxa"/>
            <w:tcBorders>
              <w:bottom w:val="single" w:sz="12" w:space="0" w:color="auto"/>
            </w:tcBorders>
          </w:tcPr>
          <w:p w14:paraId="5143E2F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Срок службы до первой переборки</w:t>
            </w:r>
          </w:p>
        </w:tc>
        <w:tc>
          <w:tcPr>
            <w:tcW w:w="5636" w:type="dxa"/>
            <w:tcBorders>
              <w:bottom w:val="single" w:sz="12" w:space="0" w:color="auto"/>
            </w:tcBorders>
          </w:tcPr>
          <w:p w14:paraId="3466435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 час.</w:t>
            </w:r>
          </w:p>
        </w:tc>
      </w:tr>
    </w:tbl>
    <w:p w14:paraId="13E0ED7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Ведутся работы по увеличению срока службы мотора до первой переборки до 200 часов.</w:t>
      </w:r>
    </w:p>
    <w:p w14:paraId="3702A9C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Намечено планом окончание этих работ к 15.VII-42 года.</w:t>
      </w:r>
    </w:p>
    <w:p w14:paraId="7C38E07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М-88Б.</w:t>
      </w:r>
    </w:p>
    <w:p w14:paraId="2D07D1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характеристики серийного мотора М-88Б.</w:t>
      </w:r>
    </w:p>
    <w:p w14:paraId="1FF0A2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14-ти цилиндровый двухрядный звездообразный мотор воздушного охлаждения.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C5583" w:rsidRPr="008127F8" w14:paraId="5D8E43E1" w14:textId="77777777" w:rsidTr="004C5D62">
        <w:tc>
          <w:tcPr>
            <w:tcW w:w="5636" w:type="dxa"/>
            <w:tcBorders>
              <w:top w:val="single" w:sz="12" w:space="0" w:color="auto"/>
            </w:tcBorders>
          </w:tcPr>
          <w:p w14:paraId="6D87E23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w:t>
            </w:r>
          </w:p>
        </w:tc>
        <w:tc>
          <w:tcPr>
            <w:tcW w:w="5636" w:type="dxa"/>
            <w:tcBorders>
              <w:top w:val="single" w:sz="12" w:space="0" w:color="auto"/>
            </w:tcBorders>
          </w:tcPr>
          <w:p w14:paraId="10FD395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1100 л.с.</w:t>
            </w:r>
          </w:p>
        </w:tc>
      </w:tr>
      <w:tr w:rsidR="007C5583" w:rsidRPr="008127F8" w14:paraId="410D15C2" w14:textId="77777777" w:rsidTr="004C5D62">
        <w:tc>
          <w:tcPr>
            <w:tcW w:w="5636" w:type="dxa"/>
          </w:tcPr>
          <w:p w14:paraId="35CEF73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Номинальная мощность на высоте Н=4000 м</w:t>
            </w:r>
          </w:p>
        </w:tc>
        <w:tc>
          <w:tcPr>
            <w:tcW w:w="5636" w:type="dxa"/>
          </w:tcPr>
          <w:p w14:paraId="5FEDCE3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1100 л.с.</w:t>
            </w:r>
          </w:p>
        </w:tc>
      </w:tr>
      <w:tr w:rsidR="007C5583" w:rsidRPr="008127F8" w14:paraId="6F32ECC6" w14:textId="77777777" w:rsidTr="004C5D62">
        <w:tc>
          <w:tcPr>
            <w:tcW w:w="5636" w:type="dxa"/>
          </w:tcPr>
          <w:p w14:paraId="2E087E0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Номинальная мощность на высоте Н=6000 м</w:t>
            </w:r>
          </w:p>
        </w:tc>
        <w:tc>
          <w:tcPr>
            <w:tcW w:w="5636" w:type="dxa"/>
          </w:tcPr>
          <w:p w14:paraId="16D7C87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 л.с.</w:t>
            </w:r>
          </w:p>
        </w:tc>
      </w:tr>
      <w:tr w:rsidR="007C5583" w:rsidRPr="008127F8" w14:paraId="2F9EF415" w14:textId="77777777" w:rsidTr="004C5D62">
        <w:tc>
          <w:tcPr>
            <w:tcW w:w="5636" w:type="dxa"/>
          </w:tcPr>
          <w:p w14:paraId="0FB25CD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Литраж мотора</w:t>
            </w:r>
          </w:p>
        </w:tc>
        <w:tc>
          <w:tcPr>
            <w:tcW w:w="5636" w:type="dxa"/>
          </w:tcPr>
          <w:p w14:paraId="489FA58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38,6 л</w:t>
            </w:r>
          </w:p>
        </w:tc>
      </w:tr>
      <w:tr w:rsidR="007C5583" w:rsidRPr="008127F8" w14:paraId="1EC9DD9D" w14:textId="77777777" w:rsidTr="004C5D62">
        <w:tc>
          <w:tcPr>
            <w:tcW w:w="5636" w:type="dxa"/>
          </w:tcPr>
          <w:p w14:paraId="000685A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вес мотора</w:t>
            </w:r>
          </w:p>
        </w:tc>
        <w:tc>
          <w:tcPr>
            <w:tcW w:w="5636" w:type="dxa"/>
          </w:tcPr>
          <w:p w14:paraId="1541F7B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684 кг</w:t>
            </w:r>
          </w:p>
        </w:tc>
      </w:tr>
      <w:tr w:rsidR="007C5583" w:rsidRPr="008127F8" w14:paraId="49C190F1" w14:textId="77777777" w:rsidTr="004C5D62">
        <w:tc>
          <w:tcPr>
            <w:tcW w:w="5636" w:type="dxa"/>
            <w:tcBorders>
              <w:bottom w:val="single" w:sz="12" w:space="0" w:color="auto"/>
            </w:tcBorders>
          </w:tcPr>
          <w:p w14:paraId="414789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Срок службы до первой переборки</w:t>
            </w:r>
          </w:p>
        </w:tc>
        <w:tc>
          <w:tcPr>
            <w:tcW w:w="5636" w:type="dxa"/>
            <w:tcBorders>
              <w:bottom w:val="single" w:sz="12" w:space="0" w:color="auto"/>
            </w:tcBorders>
          </w:tcPr>
          <w:p w14:paraId="7082173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 час.</w:t>
            </w:r>
          </w:p>
        </w:tc>
      </w:tr>
    </w:tbl>
    <w:p w14:paraId="21E2400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Ведутся работы по увеличению срока службы мотора до первой переборки до 200 часов. Намечено планом окончание этих работ к 1.VIII.1942 года (1684,81).</w:t>
      </w:r>
    </w:p>
    <w:p w14:paraId="7FBFE5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DAE5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заместитель наркома П.А. Воронин подписал приказ № 383, который предусматривал налаживание производства запасных частей для истребителей МиГ-3. Согласно этому документу, завод № 457, еще зимой освоивший выпуск хвостовых частей фюзеляжа для МиГов, продолжил данную работу, завод № 164 организовывал производство крыла со щитками и элеронами, а завод № 462 - все остальные запчасти МиГа. Для обеспечения выполнения мероприятий, директор завода № 1 А.Т. Третьяков вскоре отправил на указанные выше заводы техническую документацию, приспособления, шаблоны, инструмент, а также сохранившийся в Куйбышеве задел по истребителям Микояна и Гуревича (12045).</w:t>
      </w:r>
    </w:p>
    <w:p w14:paraId="0B940C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BA41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с письмом N 68с Нач. 8 ГУ НКАП В.Поликовский представил НКАП А.И.Ш. основные характеристики отечественных серийных и опытных моторов (1684,77).</w:t>
      </w:r>
    </w:p>
    <w:p w14:paraId="096129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826BF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состоялся первый полет Би-1-1. Летал Г.Я.Бахчиванджи в Кольцово под Свердловском. Пробежки с 2 мая 1942 (146,26). Назначили на 12, но из-за погоды полетели позже - около 5. Г.Я.Бахчиванджи и П.И.Федоров на У-2 слетали на разведку погоды. Летали 56 секунд + 10 - взлет. На посадке подломили шасси, колесо ушло вперед и эта машина больше не летала, так как кислота прожгла фюзеляж, а у двигателя кончился ресурс. До 10 января 1943 был перерыв (172,186).</w:t>
      </w:r>
    </w:p>
    <w:p w14:paraId="7974D9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D12C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в Кольцово под Свердловском на аэродроме НИИ ВВС закончилась наземная часть гос. испытаний БИ-1 с Д-А-1-1100, которая шла с 24 апреля 1942. Сделали 2 контрольных пуска на земли и вышли на тягу 550-580 кг (2928,14).</w:t>
      </w:r>
    </w:p>
    <w:p w14:paraId="7DA14D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15B93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полет занял 3 мин. 9 сек и поднялись на 840 м, достигнув скорости 360 км/час. Двигатель работал 66 сек. (2928,14).</w:t>
      </w:r>
    </w:p>
    <w:p w14:paraId="4C6EAC7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DB7AB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г. состоялся первый полет самолета БИ-1 с ЖРД, летчик Г.Я.Бахчиванджи (6395).</w:t>
      </w:r>
    </w:p>
    <w:p w14:paraId="1AFFB9BD"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8559C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г. самолёт БИ-1 под управлением летчика Г.Я. Бахчиванджи впервые взлетел с использованием ракетного двигателя. Полет продолжался 3 мин 9 сек, за 60 сек работы ЖРД была достигнута высота 840 метров, при максимальной скорости 400 км/ч и максимальной скороподъемности 23 м/с. В 1943 г. было осуществлено ещё шесть полётов на втором (БИ-2) и третьем (БИ-3) экземплярах самолёта. Успешные полеты дали основания для спешного начала строительства войсковой серии машин под наименованием БИ-ВС (ВС-войсковая серия). Это серийное производство было развернуто на авиазаводе №381 в Нижнем Тагиле. Между тем испытания истребителя продолжались. Один из полётов выполнял К.А. Груздев, остальные 256 – Г.Я. Бахчиванджи (18250).</w:t>
      </w:r>
    </w:p>
    <w:p w14:paraId="19D22A7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EB4FFA3"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На 15 мая 1942 по совету метеослужбы назначили вылет БИ-1. Но к этому времени снова все небо заволокло низкш тучами. Мы ругали погоду и сочувствовали сотням любопытш которые, несмотря на секретность, для лучшего наблюдения бирались на крыши ангаров, домов, влезали на деревья, стремясь разглядеть нечто, ради чего на аэродроме с утра была шина. Были отменены все другие полеты. Впервые запрет на посадку боевых самолетов, использовавших Кольцово как щ межуточный аэродром при перелете с сибирских заводов на фронт. После многих дней напряженной работы безделье в ожидании погоды создавало нервозную обстановку. Нервничал Бахчиванджи. В 16 часов начальник НИИ ВВС П.И. Федоров, нервш чавший не меньше нас всех, предложил Бахчиванджи взле теть на учебном самолете, чтобы определить видимость аэр дрома и ориентиров с воздуха. Через 20 минут, вернувшие после полета, Бахчи доложил: «Идет погода. Можно лететь!». День угасал, надо было лететь. Еще, в который раз, осме рели самолет. Больше всех принюхивался к парам кислот Арвид Палло. Все, кому положено, доложили о готовност Болховитинов обнял и по-мужски поцеловал Бахчи.</w:t>
      </w:r>
    </w:p>
    <w:p w14:paraId="70BFDE36"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Летчик легко влез в кабину и начал устраиваться, в кот рый раз потрогал сектор газа, покачал ручкой «на себя — себя», пошевелил педали. Все отошли от самолета, кроме Палло. Он в последний раз хотел убедиться, что никакой течи нет. Внешне все было сухо.</w:t>
      </w:r>
    </w:p>
    <w:p w14:paraId="0BBCC132"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Бахчи спокойно сказал: «От хвоста», — закрыл фонарь включил подачу компонентов и зажигание.</w:t>
      </w:r>
    </w:p>
    <w:p w14:paraId="634C4D24"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Мы все столпились метрах в пятидесяти от самолета. Каждый из нас уже не раз видел работу двигателя на стенде и пробежках самолета здесь, на аэродроме. Когда из хвоста крохотного самолета вырвалось ослепительное пламя, все вздрогнули. Видимо, сказалось нервное напряжение длительного ожидания.</w:t>
      </w:r>
    </w:p>
    <w:p w14:paraId="01383DD7"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Рев двигателя над затихшим аэродромом и яркий факел возвестили начало новой эры. Сотни людей 15 мая 1942 г. наьлюдали как блюд » самолет стал быстро разбегаться по взлетной полосе. Он легко оторвался от земли и взлетел с резким набо ром высоты. С работающим двигателем самолет развернулся в одну сторону на 90 градусов, потом в другую, только успел перейти с крутого подъема на горизонтальный полет — и фа кел исчез.</w:t>
      </w:r>
    </w:p>
    <w:p w14:paraId="65A919D3"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Росляков, стоящий рядом, взглянул на остановленный хро нометр: «Шестьдесят пять секунд. Топливо кончилось».</w:t>
      </w:r>
    </w:p>
    <w:p w14:paraId="2350A0C0"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Садился БИ, стремительно приближаясь к земле с нерабо тающим двигателем. Это была первая для Бахчи посадка в таком режиме. Она получилась жесткой. Одна стойка шасси подломилась, колесо отскочило и покатилось по аэродрому.</w:t>
      </w:r>
    </w:p>
    <w:p w14:paraId="6733B6AC"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Бахчи успел откинуть фонарь и выбраться из машины рань ше, чем подъехали Федоров и Болховитинов, а также пожар ная и санитарная машины. Бахчи был очень огорчен неудач ной посадкой. Но подумаешь, какая беда — подломилось шас си».</w:t>
      </w:r>
    </w:p>
    <w:p w14:paraId="45F3C4EB"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В связи с поломкой стойки шасси, которая привела к раз рушению хвостовой части, второй полет состоялся только 10 января 1943 г., к этому времени успели построить еще один эк земпляр самолета — БИ № 2. Бахчиванджи отлично выполнил полетное задание. Самописцы зафиксировали высоту 1100 м, скорость — 400 км/ч, время работы ЖРД — 63 секунды (19586).</w:t>
      </w:r>
    </w:p>
    <w:p w14:paraId="33D63C72" w14:textId="77777777" w:rsidR="007C5583" w:rsidRPr="008127F8" w:rsidRDefault="007C5583" w:rsidP="007C5583">
      <w:pPr>
        <w:pStyle w:val="af"/>
        <w:shd w:val="clear" w:color="auto" w:fill="FFFFFF"/>
        <w:spacing w:before="0" w:after="0"/>
        <w:jc w:val="both"/>
        <w:rPr>
          <w:color w:val="000000" w:themeColor="text1"/>
          <w:sz w:val="16"/>
          <w:szCs w:val="16"/>
        </w:rPr>
      </w:pPr>
    </w:p>
    <w:p w14:paraId="3CD9A96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15 мая в 1942 году в СССР состоялся первый полет первого реактивного самолета </w:t>
      </w:r>
      <w:hyperlink r:id="rId22" w:tgtFrame="_blank" w:history="1">
        <w:r w:rsidRPr="008127F8">
          <w:rPr>
            <w:rFonts w:ascii="Times New Roman" w:hAnsi="Times New Roman"/>
            <w:color w:val="000000" w:themeColor="text1"/>
            <w:sz w:val="16"/>
            <w:szCs w:val="16"/>
          </w:rPr>
          <w:t xml:space="preserve">«БИ-1» </w:t>
        </w:r>
      </w:hyperlink>
      <w:r w:rsidRPr="008127F8">
        <w:rPr>
          <w:rFonts w:ascii="Times New Roman" w:hAnsi="Times New Roman"/>
          <w:color w:val="000000" w:themeColor="text1"/>
          <w:sz w:val="16"/>
          <w:szCs w:val="16"/>
        </w:rPr>
        <w:t>с жидкостным ракетным двигателем. Его пилотировал лётчик-испытатель, капитан Бахчиванджи Григорий Яковлевич. Это не был вообще первый в мире полет реактивного самолета (первыми в 1939 году были немцы, а в 1941 подобного успеха добились англичане), но для отечественной авиации и зарождавшейся космонавтики первый полет «БИ-1» стал началом новой эры. Самолет был создан в ОКБ В.Ф.Болховитинова. Разработка самолетной планерной части была поручена Александру Яковлевичу Березняку, а силовой установки - Алексею Михайловичу Исаеву. Двигатель Д-1-А-1100 разрабатывали Леонид Степанович Душкин и Владимир Аркадьевич Штоколов. Самолету было дано название «БИ», что на этапе проектирования означало «ближний истребитель», а в перспективе имелось в виду, что «БИ» будет означать «Болховитинова истребитель». В дальнейшем, когда перспектива внедрения самолета не реализовалась, тогда «по выдумке некоторых журналистов название «БИ» стало связываться по сходности букв с именами Березняка и Исаева». Это произошло спустя 20 лет после окончания работ по самолету. В действительности А.Я.Березняк и А.М.Исаев были активными участниками создания самолета «БИ», но не творцами его. Самолет имел необычайно малые размеры: размах крыла — 6,48 м, длина — 6,4 м и площадь крыла всего 7,0 кв.м. Вооружение: две пушки ШВАК с 90 снарядами и 38 кг бомб. Подача компонентов в двигатель Д-1-А-1100 (первый азотнокислый с номинальной тягой 1100 кг) осуществлялась из находящихся на борту баллонов сжатого воздуха под давлением 150 атм. Проектируемая продолжительность его полета при скорости 800 км/ч составляла 2 минуты, при со скорости 550-360 км/ч - около 4-5 минут. После успешного завершения полета в отчете и акте комиссии была дана высокая положительная оценка самолета и двигателя, новизна и перспективность применения в авиации реактивных двигателей. «Взлет и полет самолета «БИ-1» с реактивным двигателем, впервые примененным в качестве основного двигателя, доказал возможность практического осуществления полетов на новом принципе, что открывает новое направление в развитии авиации». В целях развития работ была выпущена малая серия самолета и двигателя для определения тактико-технических данных ракетных самолетов. Летчик Г.Я.Бахчиванджи 17 октября 1942 года за испытания первого в мире боевого истребителя с ЖРД был награжден орденом Ленина, а звание Героя Советского Союза ему было присвоено посмертно, спустя 40 лет, только 28 апреля 1973 года. Создатель самолета «БИ» В.Ф.Болховитинов будет считать до конца своих дней 1941-1942 годы главными в своей жизни, когда его талант конструктора открыл эру отечественной реактивной авиации. Первый полет на БИ-1 открыл эру ракетных полетов и показал возможность практического осуществления полетов на принципиально новом летательном аппарате. Создание и испытания «БИ-1» дали толчок исследованиям в области реактивной авиации, баллистических ракет и освоения космоса. Через шесть лет после взлета Бахчиванджи в СССР создан уникальный реактивный истребитель «МИГ-15», через 10 лет - сверхзвуковой истребитель «МИГ-19», а менее чем через 20 лет - Юрий Гагарин стал первым космонавтом планеты и сказал, что если бы не было полетов Бахчиванджи, не было бы и его полета в космос (14892).</w:t>
      </w:r>
    </w:p>
    <w:p w14:paraId="05455D1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652E2B5"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15 мая 1942 года первый воздушный бой в СССР на Р-39 «Аэрокобра» провели летчики 19-го ГИАП. Отметим достаточно долгий про</w:t>
      </w:r>
      <w:r w:rsidRPr="008A2E5A">
        <w:rPr>
          <w:rFonts w:ascii="Times New Roman" w:hAnsi="Times New Roman"/>
          <w:color w:val="0070C0"/>
          <w:sz w:val="16"/>
          <w:szCs w:val="16"/>
        </w:rPr>
        <w:softHyphen/>
        <w:t>цесс введения в строй новой боевой машины: с момента поступления самолета в страну и до начала ее боевого пути на фронте прошло порядка 5 месяцев. Столько вре</w:t>
      </w:r>
      <w:r w:rsidRPr="008A2E5A">
        <w:rPr>
          <w:rFonts w:ascii="Times New Roman" w:hAnsi="Times New Roman"/>
          <w:color w:val="0070C0"/>
          <w:sz w:val="16"/>
          <w:szCs w:val="16"/>
        </w:rPr>
        <w:softHyphen/>
        <w:t>мени понадобилось, чтобы поставить машину «на крыло», справиться с недостатками, превратить ее в полноценную боевую единицу (23399).</w:t>
      </w:r>
    </w:p>
    <w:p w14:paraId="64D02F3D" w14:textId="77777777" w:rsidR="009234E5" w:rsidRPr="008A2E5A" w:rsidRDefault="009234E5" w:rsidP="009234E5">
      <w:pPr>
        <w:spacing w:after="0" w:line="240" w:lineRule="auto"/>
        <w:jc w:val="both"/>
        <w:rPr>
          <w:rFonts w:ascii="Times New Roman" w:hAnsi="Times New Roman"/>
          <w:color w:val="0070C0"/>
          <w:sz w:val="16"/>
          <w:szCs w:val="16"/>
        </w:rPr>
      </w:pPr>
    </w:p>
    <w:p w14:paraId="51101D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на 39 заводе закончились заводские испытания Пе-3бис и он был передан на гос. испытания в НИИ ВВС (1678,52).</w:t>
      </w:r>
    </w:p>
    <w:p w14:paraId="72591B9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851BF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Дир. завода 21 Гостинцев и ГК С.А.Л. писали письмо НКАП А.И.Ш. о том, что гос. испытания ЛаГГ-3 с М-82 и 2ШВАК, проводимые в НИИ ВВС и ЛИИ НКАП на заводе 21, закончены и скорости составили 515 км/час у земли, 560 км/час на 700 м, 600 км/час на 6450 м, а дальность при весе 3370 кг - 655 км. Указывал, что проводившие летные испытания считают необходимым принять машину на вооружение ВВС КА (1648,260).</w:t>
      </w:r>
    </w:p>
    <w:p w14:paraId="108DD88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p>
    <w:p w14:paraId="2CB85CB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НАРОДНОМУ КОШССАРУ АИШШСШЕШШООТ тов. ШАХУРИНУ А.И.</w:t>
      </w:r>
    </w:p>
    <w:p w14:paraId="37C93EE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Государственные испытания самолета Лагг-3 с мотором М-82, проводимые НИИ ВВС и ЛИИ ИКАП на заводе № 21, закончены. При испытании получены следующие основине данные:</w:t>
      </w:r>
    </w:p>
    <w:p w14:paraId="3E800CA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Максимальная горизонтальная скорость у земли - 515 км/час.</w:t>
      </w:r>
    </w:p>
    <w:p w14:paraId="517119A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Максимальная горизонтальная скорость на форсированном режиме работы мотора на высоте 700 мтр. - 560 км/час.</w:t>
      </w:r>
    </w:p>
    <w:p w14:paraId="7AF14EF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Максимальные горизонтальные скорости по высотам:</w:t>
      </w:r>
    </w:p>
    <w:tbl>
      <w:tblPr>
        <w:tblW w:w="0" w:type="auto"/>
        <w:tblLayout w:type="fixed"/>
        <w:tblLook w:val="0000" w:firstRow="0" w:lastRow="0" w:firstColumn="0" w:lastColumn="0" w:noHBand="0" w:noVBand="0"/>
      </w:tblPr>
      <w:tblGrid>
        <w:gridCol w:w="3168"/>
        <w:gridCol w:w="3168"/>
      </w:tblGrid>
      <w:tr w:rsidR="007C5583" w:rsidRPr="008127F8" w14:paraId="13310443" w14:textId="77777777" w:rsidTr="004C5D62">
        <w:tc>
          <w:tcPr>
            <w:tcW w:w="3168" w:type="dxa"/>
            <w:tcBorders>
              <w:top w:val="single" w:sz="12" w:space="0" w:color="auto"/>
              <w:left w:val="single" w:sz="12" w:space="0" w:color="auto"/>
              <w:bottom w:val="single" w:sz="6" w:space="0" w:color="auto"/>
              <w:right w:val="single" w:sz="6" w:space="0" w:color="auto"/>
            </w:tcBorders>
          </w:tcPr>
          <w:p w14:paraId="166E4D6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тыс.мтр,</w:t>
            </w:r>
          </w:p>
        </w:tc>
        <w:tc>
          <w:tcPr>
            <w:tcW w:w="3168" w:type="dxa"/>
            <w:tcBorders>
              <w:top w:val="single" w:sz="12" w:space="0" w:color="auto"/>
              <w:left w:val="single" w:sz="6" w:space="0" w:color="auto"/>
              <w:bottom w:val="single" w:sz="6" w:space="0" w:color="auto"/>
              <w:right w:val="single" w:sz="12" w:space="0" w:color="auto"/>
            </w:tcBorders>
          </w:tcPr>
          <w:p w14:paraId="209BC71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534 км/час,</w:t>
            </w:r>
          </w:p>
        </w:tc>
      </w:tr>
      <w:tr w:rsidR="007C5583" w:rsidRPr="008127F8" w14:paraId="26E7E1F4" w14:textId="77777777" w:rsidTr="004C5D62">
        <w:tc>
          <w:tcPr>
            <w:tcW w:w="3168" w:type="dxa"/>
            <w:tcBorders>
              <w:top w:val="single" w:sz="6" w:space="0" w:color="auto"/>
              <w:left w:val="single" w:sz="12" w:space="0" w:color="auto"/>
              <w:bottom w:val="single" w:sz="6" w:space="0" w:color="auto"/>
              <w:right w:val="single" w:sz="6" w:space="0" w:color="auto"/>
            </w:tcBorders>
          </w:tcPr>
          <w:p w14:paraId="5A7D487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 -</w:t>
            </w:r>
          </w:p>
        </w:tc>
        <w:tc>
          <w:tcPr>
            <w:tcW w:w="3168" w:type="dxa"/>
            <w:tcBorders>
              <w:top w:val="single" w:sz="6" w:space="0" w:color="auto"/>
              <w:left w:val="single" w:sz="6" w:space="0" w:color="auto"/>
              <w:bottom w:val="single" w:sz="6" w:space="0" w:color="auto"/>
              <w:right w:val="single" w:sz="12" w:space="0" w:color="auto"/>
            </w:tcBorders>
          </w:tcPr>
          <w:p w14:paraId="1351098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553</w:t>
            </w:r>
          </w:p>
        </w:tc>
      </w:tr>
      <w:tr w:rsidR="007C5583" w:rsidRPr="008127F8" w14:paraId="69897D3C" w14:textId="77777777" w:rsidTr="004C5D62">
        <w:tc>
          <w:tcPr>
            <w:tcW w:w="3168" w:type="dxa"/>
            <w:tcBorders>
              <w:top w:val="single" w:sz="6" w:space="0" w:color="auto"/>
              <w:left w:val="single" w:sz="12" w:space="0" w:color="auto"/>
              <w:bottom w:val="single" w:sz="6" w:space="0" w:color="auto"/>
              <w:right w:val="single" w:sz="6" w:space="0" w:color="auto"/>
            </w:tcBorders>
          </w:tcPr>
          <w:p w14:paraId="28D419E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3.200</w:t>
            </w:r>
          </w:p>
        </w:tc>
        <w:tc>
          <w:tcPr>
            <w:tcW w:w="3168" w:type="dxa"/>
            <w:tcBorders>
              <w:top w:val="single" w:sz="6" w:space="0" w:color="auto"/>
              <w:left w:val="single" w:sz="6" w:space="0" w:color="auto"/>
              <w:bottom w:val="single" w:sz="6" w:space="0" w:color="auto"/>
              <w:right w:val="single" w:sz="12" w:space="0" w:color="auto"/>
            </w:tcBorders>
          </w:tcPr>
          <w:p w14:paraId="6BF322C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576</w:t>
            </w:r>
          </w:p>
        </w:tc>
      </w:tr>
      <w:tr w:rsidR="007C5583" w:rsidRPr="008127F8" w14:paraId="570F87CF" w14:textId="77777777" w:rsidTr="004C5D62">
        <w:tc>
          <w:tcPr>
            <w:tcW w:w="3168" w:type="dxa"/>
            <w:tcBorders>
              <w:top w:val="single" w:sz="6" w:space="0" w:color="auto"/>
              <w:left w:val="single" w:sz="12" w:space="0" w:color="auto"/>
              <w:bottom w:val="single" w:sz="6" w:space="0" w:color="auto"/>
              <w:right w:val="single" w:sz="6" w:space="0" w:color="auto"/>
            </w:tcBorders>
          </w:tcPr>
          <w:p w14:paraId="5A96644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w:t>
            </w:r>
          </w:p>
        </w:tc>
        <w:tc>
          <w:tcPr>
            <w:tcW w:w="3168" w:type="dxa"/>
            <w:tcBorders>
              <w:top w:val="single" w:sz="6" w:space="0" w:color="auto"/>
              <w:left w:val="single" w:sz="6" w:space="0" w:color="auto"/>
              <w:bottom w:val="single" w:sz="6" w:space="0" w:color="auto"/>
              <w:right w:val="single" w:sz="12" w:space="0" w:color="auto"/>
            </w:tcBorders>
          </w:tcPr>
          <w:p w14:paraId="5692C15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569</w:t>
            </w:r>
          </w:p>
        </w:tc>
      </w:tr>
      <w:tr w:rsidR="007C5583" w:rsidRPr="008127F8" w14:paraId="01DBE760" w14:textId="77777777" w:rsidTr="004C5D62">
        <w:tc>
          <w:tcPr>
            <w:tcW w:w="3168" w:type="dxa"/>
            <w:tcBorders>
              <w:top w:val="single" w:sz="6" w:space="0" w:color="auto"/>
              <w:left w:val="single" w:sz="12" w:space="0" w:color="auto"/>
              <w:bottom w:val="single" w:sz="6" w:space="0" w:color="auto"/>
              <w:right w:val="single" w:sz="6" w:space="0" w:color="auto"/>
            </w:tcBorders>
          </w:tcPr>
          <w:p w14:paraId="09D9F74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w:t>
            </w:r>
          </w:p>
        </w:tc>
        <w:tc>
          <w:tcPr>
            <w:tcW w:w="3168" w:type="dxa"/>
            <w:tcBorders>
              <w:top w:val="single" w:sz="6" w:space="0" w:color="auto"/>
              <w:left w:val="single" w:sz="6" w:space="0" w:color="auto"/>
              <w:bottom w:val="single" w:sz="6" w:space="0" w:color="auto"/>
              <w:right w:val="single" w:sz="12" w:space="0" w:color="auto"/>
            </w:tcBorders>
          </w:tcPr>
          <w:p w14:paraId="09F11C6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571</w:t>
            </w:r>
          </w:p>
        </w:tc>
      </w:tr>
      <w:tr w:rsidR="007C5583" w:rsidRPr="008127F8" w14:paraId="2F7951C8" w14:textId="77777777" w:rsidTr="004C5D62">
        <w:tc>
          <w:tcPr>
            <w:tcW w:w="3168" w:type="dxa"/>
            <w:tcBorders>
              <w:top w:val="single" w:sz="6" w:space="0" w:color="auto"/>
              <w:left w:val="single" w:sz="12" w:space="0" w:color="auto"/>
              <w:bottom w:val="single" w:sz="6" w:space="0" w:color="auto"/>
              <w:right w:val="single" w:sz="6" w:space="0" w:color="auto"/>
            </w:tcBorders>
          </w:tcPr>
          <w:p w14:paraId="6C4811A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w:t>
            </w:r>
          </w:p>
        </w:tc>
        <w:tc>
          <w:tcPr>
            <w:tcW w:w="3168" w:type="dxa"/>
            <w:tcBorders>
              <w:top w:val="single" w:sz="6" w:space="0" w:color="auto"/>
              <w:left w:val="single" w:sz="6" w:space="0" w:color="auto"/>
              <w:bottom w:val="single" w:sz="6" w:space="0" w:color="auto"/>
              <w:right w:val="single" w:sz="12" w:space="0" w:color="auto"/>
            </w:tcBorders>
          </w:tcPr>
          <w:p w14:paraId="23DB4F2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590</w:t>
            </w:r>
          </w:p>
        </w:tc>
      </w:tr>
      <w:tr w:rsidR="007C5583" w:rsidRPr="008127F8" w14:paraId="6114C561" w14:textId="77777777" w:rsidTr="004C5D62">
        <w:tc>
          <w:tcPr>
            <w:tcW w:w="3168" w:type="dxa"/>
            <w:tcBorders>
              <w:top w:val="single" w:sz="6" w:space="0" w:color="auto"/>
              <w:left w:val="single" w:sz="12" w:space="0" w:color="auto"/>
              <w:bottom w:val="single" w:sz="6" w:space="0" w:color="auto"/>
              <w:right w:val="single" w:sz="6" w:space="0" w:color="auto"/>
            </w:tcBorders>
          </w:tcPr>
          <w:p w14:paraId="5C4336B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6.450</w:t>
            </w:r>
          </w:p>
        </w:tc>
        <w:tc>
          <w:tcPr>
            <w:tcW w:w="3168" w:type="dxa"/>
            <w:tcBorders>
              <w:top w:val="single" w:sz="6" w:space="0" w:color="auto"/>
              <w:left w:val="single" w:sz="6" w:space="0" w:color="auto"/>
              <w:bottom w:val="single" w:sz="6" w:space="0" w:color="auto"/>
              <w:right w:val="single" w:sz="12" w:space="0" w:color="auto"/>
            </w:tcBorders>
          </w:tcPr>
          <w:p w14:paraId="19976BF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r>
      <w:tr w:rsidR="007C5583" w:rsidRPr="008127F8" w14:paraId="7AD46DAC" w14:textId="77777777" w:rsidTr="004C5D62">
        <w:tc>
          <w:tcPr>
            <w:tcW w:w="3168" w:type="dxa"/>
            <w:tcBorders>
              <w:top w:val="single" w:sz="6" w:space="0" w:color="auto"/>
              <w:left w:val="single" w:sz="12" w:space="0" w:color="auto"/>
              <w:bottom w:val="single" w:sz="12" w:space="0" w:color="auto"/>
              <w:right w:val="single" w:sz="6" w:space="0" w:color="auto"/>
            </w:tcBorders>
          </w:tcPr>
          <w:p w14:paraId="74E5095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w:t>
            </w:r>
          </w:p>
        </w:tc>
        <w:tc>
          <w:tcPr>
            <w:tcW w:w="3168" w:type="dxa"/>
            <w:tcBorders>
              <w:top w:val="single" w:sz="6" w:space="0" w:color="auto"/>
              <w:left w:val="single" w:sz="6" w:space="0" w:color="auto"/>
              <w:bottom w:val="single" w:sz="12" w:space="0" w:color="auto"/>
              <w:right w:val="single" w:sz="12" w:space="0" w:color="auto"/>
            </w:tcBorders>
          </w:tcPr>
          <w:p w14:paraId="11A4D03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584</w:t>
            </w:r>
          </w:p>
        </w:tc>
      </w:tr>
    </w:tbl>
    <w:p w14:paraId="4280595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Время набора высоты на 5 тыс.мтр, на номинальном режиме работы мотора 6 мин. На форсированном режиме работы мотора 5,2 мин.</w:t>
      </w:r>
    </w:p>
    <w:p w14:paraId="50EF5FC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Ра збег по бетонной дорожке на номинальном режиме -350 м. Время разбега 14 секунд.</w:t>
      </w:r>
    </w:p>
    <w:p w14:paraId="0A39351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Разбег на бетонной Дорожке на форсированно? работе мотора 310 мтр. Время разбега 12 секунд.</w:t>
      </w:r>
    </w:p>
    <w:p w14:paraId="4FB6CC9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Дальность полета на высоте 6 тыс.мтр. на 0,9 с макси</w:t>
      </w:r>
      <w:r w:rsidRPr="008127F8">
        <w:rPr>
          <w:rFonts w:ascii="Times New Roman" w:hAnsi="Times New Roman"/>
          <w:color w:val="000000" w:themeColor="text1"/>
          <w:sz w:val="16"/>
          <w:szCs w:val="16"/>
        </w:rPr>
        <w:softHyphen/>
        <w:t>мальной скоростью, т.е. 470 клм./час при 2 тыс.оборотов в мин. равна 655 клм.</w:t>
      </w:r>
    </w:p>
    <w:p w14:paraId="32D35B6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 полета самолета на высоте 600 мтр., на 0,75 максимально? скорости, т.е. 395 клм./час, при 1900 оборотах равна 900 клм.</w:t>
      </w:r>
    </w:p>
    <w:p w14:paraId="716742A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полном выгорании горючего, с учетом запаса на пробу мотора, рулежку на старт и со старта - 25 кгр.</w:t>
      </w:r>
    </w:p>
    <w:p w14:paraId="2174191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Установленное на самолете оружие - 2 синхронные пушки Швак с боезапасом по 170 зарядов на каждую - работали хорошо, имея одну задержку по релле пушки.</w:t>
      </w:r>
    </w:p>
    <w:p w14:paraId="7DF46CD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Полетный вес самолета 3.370 кгр., запас горючего 370 кгр,</w:t>
      </w:r>
    </w:p>
    <w:p w14:paraId="25003EE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Самолет Лагг-3 с мотором М-82 представляет собой серийный самолет Лагг-3 с измененной винтомоторной группой. Испнтанный самолет имеет некоторые дефекты, которые легко устранимы в серийном производстве.</w:t>
      </w:r>
    </w:p>
    <w:p w14:paraId="157948B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Проводившие испытания считают необходимым принять на воору</w:t>
      </w:r>
      <w:r w:rsidRPr="008127F8">
        <w:rPr>
          <w:rFonts w:ascii="Times New Roman" w:hAnsi="Times New Roman"/>
          <w:color w:val="000000" w:themeColor="text1"/>
          <w:sz w:val="16"/>
          <w:szCs w:val="16"/>
        </w:rPr>
        <w:softHyphen/>
        <w:t>жение .ВВС КА самолет Лагг-3 с мотором М-82 и двумя пушками Швак (1678,266).</w:t>
      </w:r>
    </w:p>
    <w:p w14:paraId="68E8059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2BAC5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заместитель наркома П.А.Воронин подписал приказ № 383, направлен</w:t>
      </w:r>
      <w:r w:rsidRPr="008127F8">
        <w:rPr>
          <w:rFonts w:ascii="Times New Roman" w:hAnsi="Times New Roman"/>
          <w:color w:val="000000" w:themeColor="text1"/>
          <w:sz w:val="16"/>
          <w:szCs w:val="16"/>
        </w:rPr>
        <w:softHyphen/>
        <w:t>ный на обеспечение запасными частями истребителей МиГ—3. Согласно этому документу, завод № 457, уже зимой начавший выпуск хвостовых частей фюзе</w:t>
      </w:r>
      <w:r w:rsidRPr="008127F8">
        <w:rPr>
          <w:rFonts w:ascii="Times New Roman" w:hAnsi="Times New Roman"/>
          <w:color w:val="000000" w:themeColor="text1"/>
          <w:sz w:val="16"/>
          <w:szCs w:val="16"/>
        </w:rPr>
        <w:softHyphen/>
        <w:t>ляжа, продолжил данную работу, завод № 164 орга</w:t>
      </w:r>
      <w:r w:rsidRPr="008127F8">
        <w:rPr>
          <w:rFonts w:ascii="Times New Roman" w:hAnsi="Times New Roman"/>
          <w:color w:val="000000" w:themeColor="text1"/>
          <w:sz w:val="16"/>
          <w:szCs w:val="16"/>
        </w:rPr>
        <w:softHyphen/>
        <w:t>низовывал производство крыла самолета со щитками и элеронами, а завод № 462 — всех остальных запча</w:t>
      </w:r>
      <w:r w:rsidRPr="008127F8">
        <w:rPr>
          <w:rFonts w:ascii="Times New Roman" w:hAnsi="Times New Roman"/>
          <w:color w:val="000000" w:themeColor="text1"/>
          <w:sz w:val="16"/>
          <w:szCs w:val="16"/>
        </w:rPr>
        <w:softHyphen/>
        <w:t>стей МиГа. Для обеспечения выполнения мероприя</w:t>
      </w:r>
      <w:r w:rsidRPr="008127F8">
        <w:rPr>
          <w:rFonts w:ascii="Times New Roman" w:hAnsi="Times New Roman"/>
          <w:color w:val="000000" w:themeColor="text1"/>
          <w:sz w:val="16"/>
          <w:szCs w:val="16"/>
        </w:rPr>
        <w:softHyphen/>
        <w:t>тий, директор завода № 1 А.Т.Третьяков вскоре от</w:t>
      </w:r>
      <w:r w:rsidRPr="008127F8">
        <w:rPr>
          <w:rFonts w:ascii="Times New Roman" w:hAnsi="Times New Roman"/>
          <w:color w:val="000000" w:themeColor="text1"/>
          <w:sz w:val="16"/>
          <w:szCs w:val="16"/>
        </w:rPr>
        <w:softHyphen/>
        <w:t>правил на указанные выше заводы техническую документацию, приспособления, шаблоны, инстру</w:t>
      </w:r>
      <w:r w:rsidRPr="008127F8">
        <w:rPr>
          <w:rFonts w:ascii="Times New Roman" w:hAnsi="Times New Roman"/>
          <w:color w:val="000000" w:themeColor="text1"/>
          <w:sz w:val="16"/>
          <w:szCs w:val="16"/>
        </w:rPr>
        <w:softHyphen/>
        <w:t>мент, а также сохранившийся в Куйбышеве задел по истребителям Микояна и Гуревича.</w:t>
      </w:r>
    </w:p>
    <w:p w14:paraId="2E7FD68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Выпуск истребителей МиГ—1 и МиГ—3 по типам, заводам, месяцам и годам:</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710"/>
        <w:gridCol w:w="3346"/>
        <w:gridCol w:w="2101"/>
        <w:gridCol w:w="2203"/>
        <w:gridCol w:w="810"/>
        <w:gridCol w:w="630"/>
      </w:tblGrid>
      <w:tr w:rsidR="007C5583" w:rsidRPr="008127F8" w14:paraId="6965354E" w14:textId="77777777" w:rsidTr="004C5D62">
        <w:trPr>
          <w:trHeight w:val="317"/>
        </w:trPr>
        <w:tc>
          <w:tcPr>
            <w:tcW w:w="1710" w:type="dxa"/>
            <w:tcBorders>
              <w:top w:val="single" w:sz="12" w:space="0" w:color="auto"/>
            </w:tcBorders>
          </w:tcPr>
          <w:p w14:paraId="7954FC9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Месяц</w:t>
            </w:r>
          </w:p>
        </w:tc>
        <w:tc>
          <w:tcPr>
            <w:tcW w:w="3346" w:type="dxa"/>
            <w:tcBorders>
              <w:top w:val="single" w:sz="12" w:space="0" w:color="auto"/>
            </w:tcBorders>
          </w:tcPr>
          <w:p w14:paraId="4C6AEBA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Январь</w:t>
            </w:r>
            <w:r w:rsidRPr="008127F8">
              <w:rPr>
                <w:rFonts w:ascii="Times New Roman" w:hAnsi="Times New Roman"/>
                <w:color w:val="000000" w:themeColor="text1"/>
                <w:sz w:val="16"/>
                <w:szCs w:val="16"/>
              </w:rPr>
              <w:tab/>
              <w:t>Февраль</w:t>
            </w:r>
            <w:r w:rsidRPr="008127F8">
              <w:rPr>
                <w:rFonts w:ascii="Times New Roman" w:hAnsi="Times New Roman"/>
                <w:color w:val="000000" w:themeColor="text1"/>
                <w:sz w:val="16"/>
                <w:szCs w:val="16"/>
              </w:rPr>
              <w:tab/>
              <w:t>Март</w:t>
            </w:r>
            <w:r w:rsidRPr="008127F8">
              <w:rPr>
                <w:rFonts w:ascii="Times New Roman" w:hAnsi="Times New Roman"/>
                <w:color w:val="000000" w:themeColor="text1"/>
                <w:sz w:val="16"/>
                <w:szCs w:val="16"/>
              </w:rPr>
              <w:tab/>
              <w:t>Апрель</w:t>
            </w:r>
            <w:r w:rsidRPr="008127F8">
              <w:rPr>
                <w:rFonts w:ascii="Times New Roman" w:hAnsi="Times New Roman"/>
                <w:color w:val="000000" w:themeColor="text1"/>
                <w:sz w:val="16"/>
                <w:szCs w:val="16"/>
              </w:rPr>
              <w:tab/>
              <w:t>Май</w:t>
            </w:r>
          </w:p>
        </w:tc>
        <w:tc>
          <w:tcPr>
            <w:tcW w:w="2101" w:type="dxa"/>
            <w:tcBorders>
              <w:top w:val="single" w:sz="12" w:space="0" w:color="auto"/>
            </w:tcBorders>
          </w:tcPr>
          <w:p w14:paraId="3CDEFB2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Июнь</w:t>
            </w:r>
            <w:r w:rsidRPr="008127F8">
              <w:rPr>
                <w:rFonts w:ascii="Times New Roman" w:hAnsi="Times New Roman"/>
                <w:color w:val="000000" w:themeColor="text1"/>
                <w:sz w:val="16"/>
                <w:szCs w:val="16"/>
              </w:rPr>
              <w:tab/>
              <w:t>Июль</w:t>
            </w:r>
            <w:r w:rsidRPr="008127F8">
              <w:rPr>
                <w:rFonts w:ascii="Times New Roman" w:hAnsi="Times New Roman"/>
                <w:color w:val="000000" w:themeColor="text1"/>
                <w:sz w:val="16"/>
                <w:szCs w:val="16"/>
              </w:rPr>
              <w:tab/>
              <w:t>Август</w:t>
            </w:r>
          </w:p>
        </w:tc>
        <w:tc>
          <w:tcPr>
            <w:tcW w:w="2203" w:type="dxa"/>
            <w:tcBorders>
              <w:top w:val="single" w:sz="12" w:space="0" w:color="auto"/>
            </w:tcBorders>
          </w:tcPr>
          <w:p w14:paraId="5156A5D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Сентябрь</w:t>
            </w:r>
            <w:r w:rsidRPr="008127F8">
              <w:rPr>
                <w:rFonts w:ascii="Times New Roman" w:hAnsi="Times New Roman"/>
                <w:color w:val="000000" w:themeColor="text1"/>
                <w:sz w:val="16"/>
                <w:szCs w:val="16"/>
              </w:rPr>
              <w:tab/>
              <w:t>Октябрь</w:t>
            </w:r>
            <w:r w:rsidRPr="008127F8">
              <w:rPr>
                <w:rFonts w:ascii="Times New Roman" w:hAnsi="Times New Roman"/>
                <w:color w:val="000000" w:themeColor="text1"/>
                <w:sz w:val="16"/>
                <w:szCs w:val="16"/>
              </w:rPr>
              <w:tab/>
              <w:t xml:space="preserve"> Ноябрь</w:t>
            </w:r>
          </w:p>
        </w:tc>
        <w:tc>
          <w:tcPr>
            <w:tcW w:w="810" w:type="dxa"/>
            <w:tcBorders>
              <w:top w:val="single" w:sz="12" w:space="0" w:color="auto"/>
            </w:tcBorders>
          </w:tcPr>
          <w:p w14:paraId="042527A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Декабрь</w:t>
            </w:r>
          </w:p>
        </w:tc>
        <w:tc>
          <w:tcPr>
            <w:tcW w:w="630" w:type="dxa"/>
            <w:tcBorders>
              <w:top w:val="single" w:sz="12" w:space="0" w:color="auto"/>
            </w:tcBorders>
          </w:tcPr>
          <w:p w14:paraId="206F503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r>
      <w:tr w:rsidR="007C5583" w:rsidRPr="008127F8" w14:paraId="1DD74F14" w14:textId="77777777" w:rsidTr="004C5D62">
        <w:trPr>
          <w:trHeight w:val="317"/>
        </w:trPr>
        <w:tc>
          <w:tcPr>
            <w:tcW w:w="10800" w:type="dxa"/>
            <w:gridSpan w:val="6"/>
          </w:tcPr>
          <w:p w14:paraId="6ABADDA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И-200, МиГ-1</w:t>
            </w:r>
          </w:p>
        </w:tc>
      </w:tr>
      <w:tr w:rsidR="007C5583" w:rsidRPr="008127F8" w14:paraId="40393BCA" w14:textId="77777777" w:rsidTr="004C5D62">
        <w:trPr>
          <w:trHeight w:val="470"/>
        </w:trPr>
        <w:tc>
          <w:tcPr>
            <w:tcW w:w="1710" w:type="dxa"/>
          </w:tcPr>
          <w:p w14:paraId="6801773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 1940 г.</w:t>
            </w:r>
          </w:p>
        </w:tc>
        <w:tc>
          <w:tcPr>
            <w:tcW w:w="3346" w:type="dxa"/>
          </w:tcPr>
          <w:p w14:paraId="1B46BD9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rPr>
              <w:tab/>
              <w:t>-</w:t>
            </w:r>
            <w:r w:rsidRPr="008127F8">
              <w:rPr>
                <w:rFonts w:ascii="Times New Roman" w:hAnsi="Times New Roman"/>
                <w:color w:val="000000" w:themeColor="text1"/>
                <w:sz w:val="16"/>
                <w:szCs w:val="16"/>
              </w:rPr>
              <w:tab/>
              <w:t>-</w:t>
            </w:r>
            <w:r w:rsidRPr="008127F8">
              <w:rPr>
                <w:rFonts w:ascii="Times New Roman" w:hAnsi="Times New Roman"/>
                <w:color w:val="000000" w:themeColor="text1"/>
                <w:sz w:val="16"/>
                <w:szCs w:val="16"/>
              </w:rPr>
              <w:tab/>
              <w:t>-</w:t>
            </w:r>
            <w:r w:rsidRPr="008127F8">
              <w:rPr>
                <w:rFonts w:ascii="Times New Roman" w:hAnsi="Times New Roman"/>
                <w:color w:val="000000" w:themeColor="text1"/>
                <w:sz w:val="16"/>
                <w:szCs w:val="16"/>
              </w:rPr>
              <w:tab/>
              <w:t>-</w:t>
            </w:r>
          </w:p>
        </w:tc>
        <w:tc>
          <w:tcPr>
            <w:tcW w:w="2101" w:type="dxa"/>
          </w:tcPr>
          <w:p w14:paraId="03E3159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rPr>
              <w:tab/>
              <w:t>-</w:t>
            </w:r>
            <w:r w:rsidRPr="008127F8">
              <w:rPr>
                <w:rFonts w:ascii="Times New Roman" w:hAnsi="Times New Roman"/>
                <w:color w:val="000000" w:themeColor="text1"/>
                <w:sz w:val="16"/>
                <w:szCs w:val="16"/>
              </w:rPr>
              <w:tab/>
              <w:t>-</w:t>
            </w:r>
          </w:p>
        </w:tc>
        <w:tc>
          <w:tcPr>
            <w:tcW w:w="2203" w:type="dxa"/>
          </w:tcPr>
          <w:p w14:paraId="39BFA78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rPr>
              <w:tab/>
              <w:t>-</w:t>
            </w:r>
            <w:r w:rsidRPr="008127F8">
              <w:rPr>
                <w:rFonts w:ascii="Times New Roman" w:hAnsi="Times New Roman"/>
                <w:color w:val="000000" w:themeColor="text1"/>
                <w:sz w:val="16"/>
                <w:szCs w:val="16"/>
              </w:rPr>
              <w:tab/>
              <w:t>25</w:t>
            </w:r>
          </w:p>
        </w:tc>
        <w:tc>
          <w:tcPr>
            <w:tcW w:w="810" w:type="dxa"/>
          </w:tcPr>
          <w:p w14:paraId="088BD5C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w:t>
            </w:r>
          </w:p>
        </w:tc>
        <w:tc>
          <w:tcPr>
            <w:tcW w:w="630" w:type="dxa"/>
          </w:tcPr>
          <w:p w14:paraId="7795931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r>
      <w:tr w:rsidR="007C5583" w:rsidRPr="008127F8" w14:paraId="1264F78E" w14:textId="77777777" w:rsidTr="004C5D62">
        <w:trPr>
          <w:trHeight w:val="470"/>
        </w:trPr>
        <w:tc>
          <w:tcPr>
            <w:tcW w:w="10800" w:type="dxa"/>
            <w:gridSpan w:val="6"/>
          </w:tcPr>
          <w:p w14:paraId="6EB78B3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МиГ-3</w:t>
            </w:r>
          </w:p>
        </w:tc>
      </w:tr>
      <w:tr w:rsidR="007C5583" w:rsidRPr="008127F8" w14:paraId="6FF1E6AA" w14:textId="77777777" w:rsidTr="004C5D62">
        <w:trPr>
          <w:trHeight w:val="240"/>
        </w:trPr>
        <w:tc>
          <w:tcPr>
            <w:tcW w:w="1710" w:type="dxa"/>
          </w:tcPr>
          <w:p w14:paraId="4679C12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 1940 г.</w:t>
            </w:r>
          </w:p>
        </w:tc>
        <w:tc>
          <w:tcPr>
            <w:tcW w:w="3346" w:type="dxa"/>
          </w:tcPr>
          <w:p w14:paraId="47F3C25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r w:rsidRPr="008127F8">
              <w:rPr>
                <w:rFonts w:ascii="Times New Roman" w:hAnsi="Times New Roman"/>
                <w:color w:val="000000" w:themeColor="text1"/>
                <w:sz w:val="16"/>
                <w:szCs w:val="16"/>
              </w:rPr>
              <w:tab/>
              <w:t>_</w:t>
            </w:r>
            <w:r w:rsidRPr="008127F8">
              <w:rPr>
                <w:rFonts w:ascii="Times New Roman" w:hAnsi="Times New Roman"/>
                <w:color w:val="000000" w:themeColor="text1"/>
                <w:sz w:val="16"/>
                <w:szCs w:val="16"/>
              </w:rPr>
              <w:tab/>
              <w:t>_</w:t>
            </w:r>
            <w:r w:rsidRPr="008127F8">
              <w:rPr>
                <w:rFonts w:ascii="Times New Roman" w:hAnsi="Times New Roman"/>
                <w:color w:val="000000" w:themeColor="text1"/>
                <w:sz w:val="16"/>
                <w:szCs w:val="16"/>
              </w:rPr>
              <w:tab/>
              <w:t>_</w:t>
            </w:r>
            <w:r w:rsidRPr="008127F8">
              <w:rPr>
                <w:rFonts w:ascii="Times New Roman" w:hAnsi="Times New Roman"/>
                <w:color w:val="000000" w:themeColor="text1"/>
                <w:sz w:val="16"/>
                <w:szCs w:val="16"/>
              </w:rPr>
              <w:tab/>
              <w:t>_</w:t>
            </w:r>
          </w:p>
        </w:tc>
        <w:tc>
          <w:tcPr>
            <w:tcW w:w="2101" w:type="dxa"/>
          </w:tcPr>
          <w:p w14:paraId="6D73874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r w:rsidRPr="008127F8">
              <w:rPr>
                <w:rFonts w:ascii="Times New Roman" w:hAnsi="Times New Roman"/>
                <w:color w:val="000000" w:themeColor="text1"/>
                <w:sz w:val="16"/>
                <w:szCs w:val="16"/>
              </w:rPr>
              <w:tab/>
              <w:t>_</w:t>
            </w:r>
            <w:r w:rsidRPr="008127F8">
              <w:rPr>
                <w:rFonts w:ascii="Times New Roman" w:hAnsi="Times New Roman"/>
                <w:color w:val="000000" w:themeColor="text1"/>
                <w:sz w:val="16"/>
                <w:szCs w:val="16"/>
              </w:rPr>
              <w:tab/>
              <w:t>_</w:t>
            </w:r>
          </w:p>
        </w:tc>
        <w:tc>
          <w:tcPr>
            <w:tcW w:w="2203" w:type="dxa"/>
          </w:tcPr>
          <w:p w14:paraId="0418A7E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r w:rsidRPr="008127F8">
              <w:rPr>
                <w:rFonts w:ascii="Times New Roman" w:hAnsi="Times New Roman"/>
                <w:color w:val="000000" w:themeColor="text1"/>
                <w:sz w:val="16"/>
                <w:szCs w:val="16"/>
              </w:rPr>
              <w:tab/>
              <w:t>_</w:t>
            </w:r>
            <w:r w:rsidRPr="008127F8">
              <w:rPr>
                <w:rFonts w:ascii="Times New Roman" w:hAnsi="Times New Roman"/>
                <w:color w:val="000000" w:themeColor="text1"/>
                <w:sz w:val="16"/>
                <w:szCs w:val="16"/>
              </w:rPr>
              <w:tab/>
              <w:t>_</w:t>
            </w:r>
          </w:p>
        </w:tc>
        <w:tc>
          <w:tcPr>
            <w:tcW w:w="810" w:type="dxa"/>
          </w:tcPr>
          <w:p w14:paraId="40EEE45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630" w:type="dxa"/>
          </w:tcPr>
          <w:p w14:paraId="27BBEFF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r>
      <w:tr w:rsidR="007C5583" w:rsidRPr="008127F8" w14:paraId="7B7669DC" w14:textId="77777777" w:rsidTr="004C5D62">
        <w:trPr>
          <w:trHeight w:val="240"/>
        </w:trPr>
        <w:tc>
          <w:tcPr>
            <w:tcW w:w="1710" w:type="dxa"/>
          </w:tcPr>
          <w:p w14:paraId="2E2B055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 1941 г.</w:t>
            </w:r>
          </w:p>
        </w:tc>
        <w:tc>
          <w:tcPr>
            <w:tcW w:w="3346" w:type="dxa"/>
          </w:tcPr>
          <w:p w14:paraId="43789E9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r w:rsidRPr="008127F8">
              <w:rPr>
                <w:rFonts w:ascii="Times New Roman" w:hAnsi="Times New Roman"/>
                <w:color w:val="000000" w:themeColor="text1"/>
                <w:sz w:val="16"/>
                <w:szCs w:val="16"/>
              </w:rPr>
              <w:tab/>
              <w:t>175</w:t>
            </w:r>
            <w:r w:rsidRPr="008127F8">
              <w:rPr>
                <w:rFonts w:ascii="Times New Roman" w:hAnsi="Times New Roman"/>
                <w:color w:val="000000" w:themeColor="text1"/>
                <w:sz w:val="16"/>
                <w:szCs w:val="16"/>
              </w:rPr>
              <w:tab/>
              <w:t>200</w:t>
            </w:r>
            <w:r w:rsidRPr="008127F8">
              <w:rPr>
                <w:rFonts w:ascii="Times New Roman" w:hAnsi="Times New Roman"/>
                <w:color w:val="000000" w:themeColor="text1"/>
                <w:sz w:val="16"/>
                <w:szCs w:val="16"/>
              </w:rPr>
              <w:tab/>
              <w:t>270</w:t>
            </w:r>
            <w:r w:rsidRPr="008127F8">
              <w:rPr>
                <w:rFonts w:ascii="Times New Roman" w:hAnsi="Times New Roman"/>
                <w:color w:val="000000" w:themeColor="text1"/>
                <w:sz w:val="16"/>
                <w:szCs w:val="16"/>
              </w:rPr>
              <w:tab/>
              <w:t>270</w:t>
            </w:r>
          </w:p>
        </w:tc>
        <w:tc>
          <w:tcPr>
            <w:tcW w:w="2101" w:type="dxa"/>
          </w:tcPr>
          <w:p w14:paraId="0567F0D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298</w:t>
            </w:r>
            <w:r w:rsidRPr="008127F8">
              <w:rPr>
                <w:rFonts w:ascii="Times New Roman" w:hAnsi="Times New Roman"/>
                <w:color w:val="000000" w:themeColor="text1"/>
                <w:sz w:val="16"/>
                <w:szCs w:val="16"/>
              </w:rPr>
              <w:tab/>
              <w:t>496</w:t>
            </w:r>
            <w:r w:rsidRPr="008127F8">
              <w:rPr>
                <w:rFonts w:ascii="Times New Roman" w:hAnsi="Times New Roman"/>
                <w:color w:val="000000" w:themeColor="text1"/>
                <w:sz w:val="16"/>
                <w:szCs w:val="16"/>
              </w:rPr>
              <w:tab/>
              <w:t>562</w:t>
            </w:r>
          </w:p>
        </w:tc>
        <w:tc>
          <w:tcPr>
            <w:tcW w:w="2203" w:type="dxa"/>
          </w:tcPr>
          <w:p w14:paraId="7F8F9C4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w:t>
            </w:r>
            <w:r w:rsidRPr="008127F8">
              <w:rPr>
                <w:rFonts w:ascii="Times New Roman" w:hAnsi="Times New Roman"/>
                <w:color w:val="000000" w:themeColor="text1"/>
                <w:sz w:val="16"/>
                <w:szCs w:val="16"/>
              </w:rPr>
              <w:tab/>
              <w:t>199</w:t>
            </w:r>
            <w:r w:rsidRPr="008127F8">
              <w:rPr>
                <w:rFonts w:ascii="Times New Roman" w:hAnsi="Times New Roman"/>
                <w:color w:val="000000" w:themeColor="text1"/>
                <w:sz w:val="16"/>
                <w:szCs w:val="16"/>
              </w:rPr>
              <w:tab/>
              <w:t>3</w:t>
            </w:r>
          </w:p>
        </w:tc>
        <w:tc>
          <w:tcPr>
            <w:tcW w:w="810" w:type="dxa"/>
          </w:tcPr>
          <w:p w14:paraId="436C569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c>
          <w:tcPr>
            <w:tcW w:w="630" w:type="dxa"/>
          </w:tcPr>
          <w:p w14:paraId="2E43D60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3100</w:t>
            </w:r>
          </w:p>
        </w:tc>
      </w:tr>
      <w:tr w:rsidR="007C5583" w:rsidRPr="008127F8" w14:paraId="3240074D" w14:textId="77777777" w:rsidTr="004C5D62">
        <w:trPr>
          <w:trHeight w:val="250"/>
        </w:trPr>
        <w:tc>
          <w:tcPr>
            <w:tcW w:w="1710" w:type="dxa"/>
          </w:tcPr>
          <w:p w14:paraId="08C81A4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 1942г.</w:t>
            </w:r>
          </w:p>
        </w:tc>
        <w:tc>
          <w:tcPr>
            <w:tcW w:w="3346" w:type="dxa"/>
          </w:tcPr>
          <w:p w14:paraId="7FA4EB4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rPr>
              <w:tab/>
              <w:t>3</w:t>
            </w:r>
            <w:r w:rsidRPr="008127F8">
              <w:rPr>
                <w:rFonts w:ascii="Times New Roman" w:hAnsi="Times New Roman"/>
                <w:color w:val="000000" w:themeColor="text1"/>
                <w:sz w:val="16"/>
                <w:szCs w:val="16"/>
              </w:rPr>
              <w:tab/>
              <w:t>-</w:t>
            </w:r>
            <w:r w:rsidRPr="008127F8">
              <w:rPr>
                <w:rFonts w:ascii="Times New Roman" w:hAnsi="Times New Roman"/>
                <w:color w:val="000000" w:themeColor="text1"/>
                <w:sz w:val="16"/>
                <w:szCs w:val="16"/>
              </w:rPr>
              <w:tab/>
              <w:t>-</w:t>
            </w:r>
            <w:r w:rsidRPr="008127F8">
              <w:rPr>
                <w:rFonts w:ascii="Times New Roman" w:hAnsi="Times New Roman"/>
                <w:color w:val="000000" w:themeColor="text1"/>
                <w:sz w:val="16"/>
                <w:szCs w:val="16"/>
              </w:rPr>
              <w:tab/>
              <w:t>9</w:t>
            </w:r>
          </w:p>
        </w:tc>
        <w:tc>
          <w:tcPr>
            <w:tcW w:w="2101" w:type="dxa"/>
          </w:tcPr>
          <w:p w14:paraId="74E3330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rPr>
              <w:tab/>
              <w:t>3</w:t>
            </w:r>
            <w:r w:rsidRPr="008127F8">
              <w:rPr>
                <w:rFonts w:ascii="Times New Roman" w:hAnsi="Times New Roman"/>
                <w:color w:val="000000" w:themeColor="text1"/>
                <w:sz w:val="16"/>
                <w:szCs w:val="16"/>
              </w:rPr>
              <w:tab/>
              <w:t>-</w:t>
            </w:r>
          </w:p>
        </w:tc>
        <w:tc>
          <w:tcPr>
            <w:tcW w:w="2203" w:type="dxa"/>
          </w:tcPr>
          <w:p w14:paraId="4B294F6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rPr>
              <w:tab/>
              <w:t>-</w:t>
            </w:r>
            <w:r w:rsidRPr="008127F8">
              <w:rPr>
                <w:rFonts w:ascii="Times New Roman" w:hAnsi="Times New Roman"/>
                <w:color w:val="000000" w:themeColor="text1"/>
                <w:sz w:val="16"/>
                <w:szCs w:val="16"/>
              </w:rPr>
              <w:tab/>
              <w:t>7</w:t>
            </w:r>
          </w:p>
        </w:tc>
        <w:tc>
          <w:tcPr>
            <w:tcW w:w="810" w:type="dxa"/>
          </w:tcPr>
          <w:p w14:paraId="0AD84E1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30" w:type="dxa"/>
          </w:tcPr>
          <w:p w14:paraId="2738346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r>
      <w:tr w:rsidR="007C5583" w:rsidRPr="008127F8" w14:paraId="067CF656" w14:textId="77777777" w:rsidTr="004C5D62">
        <w:trPr>
          <w:trHeight w:val="240"/>
        </w:trPr>
        <w:tc>
          <w:tcPr>
            <w:tcW w:w="1710" w:type="dxa"/>
          </w:tcPr>
          <w:p w14:paraId="5D64D64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 всего</w:t>
            </w:r>
          </w:p>
        </w:tc>
        <w:tc>
          <w:tcPr>
            <w:tcW w:w="3346" w:type="dxa"/>
          </w:tcPr>
          <w:p w14:paraId="007E7D8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1" w:type="dxa"/>
          </w:tcPr>
          <w:p w14:paraId="0FA25BF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03" w:type="dxa"/>
          </w:tcPr>
          <w:p w14:paraId="62ADF35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465DE85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BA7914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3242</w:t>
            </w:r>
          </w:p>
        </w:tc>
      </w:tr>
      <w:tr w:rsidR="007C5583" w:rsidRPr="008127F8" w14:paraId="11235CA0" w14:textId="77777777" w:rsidTr="004C5D62">
        <w:trPr>
          <w:trHeight w:val="230"/>
        </w:trPr>
        <w:tc>
          <w:tcPr>
            <w:tcW w:w="1710" w:type="dxa"/>
          </w:tcPr>
          <w:p w14:paraId="0302F4C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155, 1942 г.</w:t>
            </w:r>
          </w:p>
        </w:tc>
        <w:tc>
          <w:tcPr>
            <w:tcW w:w="3346" w:type="dxa"/>
          </w:tcPr>
          <w:p w14:paraId="2375E86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rPr>
              <w:tab/>
              <w:t>-</w:t>
            </w:r>
            <w:r w:rsidRPr="008127F8">
              <w:rPr>
                <w:rFonts w:ascii="Times New Roman" w:hAnsi="Times New Roman"/>
                <w:color w:val="000000" w:themeColor="text1"/>
                <w:sz w:val="16"/>
                <w:szCs w:val="16"/>
              </w:rPr>
              <w:tab/>
              <w:t>-</w:t>
            </w:r>
            <w:r w:rsidRPr="008127F8">
              <w:rPr>
                <w:rFonts w:ascii="Times New Roman" w:hAnsi="Times New Roman"/>
                <w:color w:val="000000" w:themeColor="text1"/>
                <w:sz w:val="16"/>
                <w:szCs w:val="16"/>
              </w:rPr>
              <w:tab/>
              <w:t>-</w:t>
            </w:r>
            <w:r w:rsidRPr="008127F8">
              <w:rPr>
                <w:rFonts w:ascii="Times New Roman" w:hAnsi="Times New Roman"/>
                <w:color w:val="000000" w:themeColor="text1"/>
                <w:sz w:val="16"/>
                <w:szCs w:val="16"/>
              </w:rPr>
              <w:tab/>
              <w:t>-</w:t>
            </w:r>
          </w:p>
        </w:tc>
        <w:tc>
          <w:tcPr>
            <w:tcW w:w="2101" w:type="dxa"/>
          </w:tcPr>
          <w:p w14:paraId="7D60F33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r w:rsidRPr="008127F8">
              <w:rPr>
                <w:rFonts w:ascii="Times New Roman" w:hAnsi="Times New Roman"/>
                <w:color w:val="000000" w:themeColor="text1"/>
                <w:sz w:val="16"/>
                <w:szCs w:val="16"/>
              </w:rPr>
              <w:tab/>
              <w:t>-</w:t>
            </w:r>
            <w:r w:rsidRPr="008127F8">
              <w:rPr>
                <w:rFonts w:ascii="Times New Roman" w:hAnsi="Times New Roman"/>
                <w:color w:val="000000" w:themeColor="text1"/>
                <w:sz w:val="16"/>
                <w:szCs w:val="16"/>
              </w:rPr>
              <w:tab/>
              <w:t>5</w:t>
            </w:r>
          </w:p>
        </w:tc>
        <w:tc>
          <w:tcPr>
            <w:tcW w:w="2203" w:type="dxa"/>
          </w:tcPr>
          <w:p w14:paraId="0B602A6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r w:rsidRPr="008127F8">
              <w:rPr>
                <w:rFonts w:ascii="Times New Roman" w:hAnsi="Times New Roman"/>
                <w:color w:val="000000" w:themeColor="text1"/>
                <w:sz w:val="16"/>
                <w:szCs w:val="16"/>
              </w:rPr>
              <w:tab/>
              <w:t>-</w:t>
            </w:r>
            <w:r w:rsidRPr="008127F8">
              <w:rPr>
                <w:rFonts w:ascii="Times New Roman" w:hAnsi="Times New Roman"/>
                <w:color w:val="000000" w:themeColor="text1"/>
                <w:sz w:val="16"/>
                <w:szCs w:val="16"/>
              </w:rPr>
              <w:tab/>
              <w:t>10</w:t>
            </w:r>
          </w:p>
        </w:tc>
        <w:tc>
          <w:tcPr>
            <w:tcW w:w="810" w:type="dxa"/>
          </w:tcPr>
          <w:p w14:paraId="0347709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30" w:type="dxa"/>
          </w:tcPr>
          <w:p w14:paraId="66B6E2B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r>
      <w:tr w:rsidR="007C5583" w:rsidRPr="008127F8" w14:paraId="1E4C9A3A" w14:textId="77777777" w:rsidTr="004C5D62">
        <w:trPr>
          <w:trHeight w:val="240"/>
        </w:trPr>
        <w:tc>
          <w:tcPr>
            <w:tcW w:w="1710" w:type="dxa"/>
          </w:tcPr>
          <w:p w14:paraId="14A512B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155, 1943 г.</w:t>
            </w:r>
          </w:p>
        </w:tc>
        <w:tc>
          <w:tcPr>
            <w:tcW w:w="3346" w:type="dxa"/>
          </w:tcPr>
          <w:p w14:paraId="1BCB868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r w:rsidRPr="008127F8">
              <w:rPr>
                <w:rFonts w:ascii="Times New Roman" w:hAnsi="Times New Roman"/>
                <w:color w:val="000000" w:themeColor="text1"/>
                <w:sz w:val="16"/>
                <w:szCs w:val="16"/>
              </w:rPr>
              <w:tab/>
              <w:t>3</w:t>
            </w:r>
            <w:r w:rsidRPr="008127F8">
              <w:rPr>
                <w:rFonts w:ascii="Times New Roman" w:hAnsi="Times New Roman"/>
                <w:color w:val="000000" w:themeColor="text1"/>
                <w:sz w:val="16"/>
                <w:szCs w:val="16"/>
              </w:rPr>
              <w:tab/>
              <w:t>-</w:t>
            </w:r>
            <w:r w:rsidRPr="008127F8">
              <w:rPr>
                <w:rFonts w:ascii="Times New Roman" w:hAnsi="Times New Roman"/>
                <w:color w:val="000000" w:themeColor="text1"/>
                <w:sz w:val="16"/>
                <w:szCs w:val="16"/>
              </w:rPr>
              <w:tab/>
              <w:t>-</w:t>
            </w:r>
            <w:r w:rsidRPr="008127F8">
              <w:rPr>
                <w:rFonts w:ascii="Times New Roman" w:hAnsi="Times New Roman"/>
                <w:color w:val="000000" w:themeColor="text1"/>
                <w:sz w:val="16"/>
                <w:szCs w:val="16"/>
              </w:rPr>
              <w:tab/>
              <w:t>-</w:t>
            </w:r>
          </w:p>
        </w:tc>
        <w:tc>
          <w:tcPr>
            <w:tcW w:w="2101" w:type="dxa"/>
          </w:tcPr>
          <w:p w14:paraId="69F44AD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r w:rsidRPr="008127F8">
              <w:rPr>
                <w:rFonts w:ascii="Times New Roman" w:hAnsi="Times New Roman"/>
                <w:color w:val="000000" w:themeColor="text1"/>
                <w:sz w:val="16"/>
                <w:szCs w:val="16"/>
              </w:rPr>
              <w:tab/>
              <w:t>_</w:t>
            </w:r>
            <w:r w:rsidRPr="008127F8">
              <w:rPr>
                <w:rFonts w:ascii="Times New Roman" w:hAnsi="Times New Roman"/>
                <w:color w:val="000000" w:themeColor="text1"/>
                <w:sz w:val="16"/>
                <w:szCs w:val="16"/>
              </w:rPr>
              <w:tab/>
              <w:t>_</w:t>
            </w:r>
          </w:p>
        </w:tc>
        <w:tc>
          <w:tcPr>
            <w:tcW w:w="2203" w:type="dxa"/>
          </w:tcPr>
          <w:p w14:paraId="5BE838F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_</w:t>
            </w:r>
            <w:r w:rsidRPr="008127F8">
              <w:rPr>
                <w:rFonts w:ascii="Times New Roman" w:hAnsi="Times New Roman"/>
                <w:color w:val="000000" w:themeColor="text1"/>
                <w:sz w:val="16"/>
                <w:szCs w:val="16"/>
              </w:rPr>
              <w:tab/>
              <w:t>_</w:t>
            </w:r>
            <w:r w:rsidRPr="008127F8">
              <w:rPr>
                <w:rFonts w:ascii="Times New Roman" w:hAnsi="Times New Roman"/>
                <w:color w:val="000000" w:themeColor="text1"/>
                <w:sz w:val="16"/>
                <w:szCs w:val="16"/>
              </w:rPr>
              <w:tab/>
              <w:t>_</w:t>
            </w:r>
          </w:p>
        </w:tc>
        <w:tc>
          <w:tcPr>
            <w:tcW w:w="810" w:type="dxa"/>
          </w:tcPr>
          <w:p w14:paraId="76DDC57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630" w:type="dxa"/>
          </w:tcPr>
          <w:p w14:paraId="34EDB52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r>
      <w:tr w:rsidR="007C5583" w:rsidRPr="008127F8" w14:paraId="358076F8" w14:textId="77777777" w:rsidTr="004C5D62">
        <w:trPr>
          <w:trHeight w:val="240"/>
        </w:trPr>
        <w:tc>
          <w:tcPr>
            <w:tcW w:w="1710" w:type="dxa"/>
          </w:tcPr>
          <w:p w14:paraId="7BC567D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155, всего</w:t>
            </w:r>
          </w:p>
        </w:tc>
        <w:tc>
          <w:tcPr>
            <w:tcW w:w="3346" w:type="dxa"/>
          </w:tcPr>
          <w:p w14:paraId="5F2E0CA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1" w:type="dxa"/>
          </w:tcPr>
          <w:p w14:paraId="04A8699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03" w:type="dxa"/>
          </w:tcPr>
          <w:p w14:paraId="4BE88B0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32B0B2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556943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w:t>
            </w:r>
          </w:p>
        </w:tc>
      </w:tr>
      <w:tr w:rsidR="007C5583" w:rsidRPr="008127F8" w14:paraId="63ECD122" w14:textId="77777777" w:rsidTr="004C5D62">
        <w:trPr>
          <w:trHeight w:val="307"/>
        </w:trPr>
        <w:tc>
          <w:tcPr>
            <w:tcW w:w="1710" w:type="dxa"/>
            <w:tcBorders>
              <w:bottom w:val="single" w:sz="12" w:space="0" w:color="auto"/>
            </w:tcBorders>
          </w:tcPr>
          <w:p w14:paraId="1C60C70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Итоговый выпуск</w:t>
            </w:r>
          </w:p>
        </w:tc>
        <w:tc>
          <w:tcPr>
            <w:tcW w:w="3346" w:type="dxa"/>
            <w:tcBorders>
              <w:bottom w:val="single" w:sz="12" w:space="0" w:color="auto"/>
            </w:tcBorders>
          </w:tcPr>
          <w:p w14:paraId="47C06DE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1" w:type="dxa"/>
            <w:tcBorders>
              <w:bottom w:val="single" w:sz="12" w:space="0" w:color="auto"/>
            </w:tcBorders>
          </w:tcPr>
          <w:p w14:paraId="3C45E5C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03" w:type="dxa"/>
            <w:tcBorders>
              <w:bottom w:val="single" w:sz="12" w:space="0" w:color="auto"/>
            </w:tcBorders>
          </w:tcPr>
          <w:p w14:paraId="608CE47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Borders>
              <w:bottom w:val="single" w:sz="12" w:space="0" w:color="auto"/>
            </w:tcBorders>
          </w:tcPr>
          <w:p w14:paraId="1825E65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bottom w:val="single" w:sz="12" w:space="0" w:color="auto"/>
            </w:tcBorders>
          </w:tcPr>
          <w:p w14:paraId="0102CFD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3278</w:t>
            </w:r>
          </w:p>
        </w:tc>
      </w:tr>
    </w:tbl>
    <w:p w14:paraId="0F1FF79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6B4D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15 мая 1942 г. по приказу № 384с от завод № 497 (бывшая мебельная фабрика № 2 им. Мазевского;  г. Москва ул. Дубнинская, 68) подчинен на правах филиала заводу № 23 (Завод № 23 НКАП, МАП, ГКАТ, Машиностроительный завод им. М.В. Хруничева (ЗИХ) СНХ, </w:t>
      </w:r>
      <w:r w:rsidRPr="008127F8">
        <w:rPr>
          <w:rFonts w:ascii="Times New Roman" w:hAnsi="Times New Roman"/>
          <w:color w:val="000000" w:themeColor="text1"/>
          <w:sz w:val="16"/>
          <w:szCs w:val="16"/>
          <w:lang w:val="en-US"/>
        </w:rPr>
        <w:t>MOM</w:t>
      </w:r>
      <w:r w:rsidRPr="008127F8">
        <w:rPr>
          <w:rFonts w:ascii="Times New Roman" w:hAnsi="Times New Roman"/>
          <w:color w:val="000000" w:themeColor="text1"/>
          <w:sz w:val="16"/>
          <w:szCs w:val="16"/>
        </w:rPr>
        <w:t>, МПО им. Хруничева, ФГУП «Государственный космический научно- производственный центр (ГК НПЦ) им. М.В. Хруничева» ФКА /121087  г. Москва ул. Новозаводская, 18 тел. 145-99-34/) для улучшения организации производства Ил-4. Начальник филиала- Д.И. Степин. Существовал филиал завода № 23 (бывшая Нотнопечатная фабрика), действовавший в 10ГУ. По приказу № 633с от 18.08.1942 г. он был передан заводу № 482 НКАП (11982).</w:t>
      </w:r>
    </w:p>
    <w:p w14:paraId="27939B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D14A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г. по приказу НКАП № 384с завод № 497 (бывшая мебельная фабрика № 2 им. Мазевского; г. Москва ул. Дубнинская, 68) подчинен на правах филиала заводу № 23 для улучшения организации производства Ил-4. Начальник филиала- Д.И. Степин.</w:t>
      </w:r>
    </w:p>
    <w:p w14:paraId="4C346E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Существовал филиал завода № 23 (бывшая Нотнопечатная фабрика), действовавший в 10ГУ. По приказу № 633с от 18.08.1942 г. он был передан заводу № 482 НКАП.</w:t>
      </w:r>
    </w:p>
    <w:p w14:paraId="126D7C5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приказом НКАП № 706с от 24.11.1943 г. в состав завода № 23 с 1.11.1943 г. влит опытный завод № 117 НКАП (из Читы) и образован объединенный завод № 23 НКАП. </w:t>
      </w:r>
    </w:p>
    <w:p w14:paraId="0D47531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1950-х гг. строились опытные бомбардировщики М-50 и М-52.</w:t>
      </w:r>
    </w:p>
    <w:p w14:paraId="044AA7F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середины 1960 г. на заводе осуществлялась сборка самолета «РСР» П.В. Цыбина.</w:t>
      </w:r>
    </w:p>
    <w:p w14:paraId="3F1B759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1960 г.- производственная база ОКБ Челомея. </w:t>
      </w:r>
    </w:p>
    <w:p w14:paraId="1B7A21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3.07.1961 г. завод № 23 переименован в Машиностроительный завод им. М.В. Хруничева.77 </w:t>
      </w:r>
    </w:p>
    <w:p w14:paraId="3769E5A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1962 г. предприятие было перепрофилировано на ракетно-космическую тематику. Проведена реконструкция, введено в строй 10 новых цехов, информационно-вычислительный центр.</w:t>
      </w:r>
    </w:p>
    <w:p w14:paraId="749CE7C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от 6.03.1966 г. Машиностроительный завод им. М.В. Хруничева из системы СНХ передан в подчинение 1ГУ МОМ. 7.06.1993 г. МЗ им. Хруничева и ОКБ «Салют» объединились в ГК НПЦ им. Хруничева. В 1995 г. МЗ им. М.В. Хруничева объединился с НПО "Молния". По Указу Президента РФ № 1009 от 4.08.2004 г. вошло в перечень стратегических оборонных предприятий.</w:t>
      </w:r>
    </w:p>
    <w:p w14:paraId="427588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Распоряжением президента РФ № 569/рп от 25.11.2005 г. гендиректором вместо А. Медведева назначен В. Нстеров.</w:t>
      </w:r>
    </w:p>
    <w:p w14:paraId="31F0456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 ГКНПЦ входят (2002 г.): КБ «Салют», Ракетно-космический завод, Завод по испытаниям и эксплуатации РКТ, Завод медтехники и ТНП, НИИ Космических систем, КБ «Арматура».</w:t>
      </w:r>
    </w:p>
    <w:p w14:paraId="69A2E6C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(12.1941 г.-)- В.А. Окулов, (10.1942 г.)- Тарасевич, (-07-10.1943 г.-)- И.Б. Иосилович, (1944-46 г.)- А.Т. Третьяков, (1951 г.-)- С.М. Лещенко, (1961-75 г.)- М.И. Рыжих. Ген. директор (-1980-е -02.2001 г.)- А.И. Киселев (затем- советник гендиректора), (02.2001-25.11.2005 г.)- А.А. Медведев, (25.11.2005 г.-)- В. Нестеров.</w:t>
      </w:r>
    </w:p>
    <w:p w14:paraId="297CCEF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 Конструктор (2002 г.)- А.К. Недайвода.</w:t>
      </w:r>
    </w:p>
    <w:p w14:paraId="341BBB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(1960-е)- А.И. Киселев. Зам. Гендиректора: (2002 г.)- А.К. Недайвода; по ВЭД (2002 г.)- А.С. Кондратьев; (2003 г.)- И. Додин, (-2003-04 г.-)- Д. Пивнюк.</w:t>
      </w:r>
    </w:p>
    <w:p w14:paraId="26E8C66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(12.1941 г.-)- П.М. Морозов.</w:t>
      </w:r>
    </w:p>
    <w:p w14:paraId="4B1120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(начало 1950-х)- Кобзырев, Лиценко.</w:t>
      </w:r>
    </w:p>
    <w:p w14:paraId="6B2A3D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ДБ-3Ф (1942-43)- 367, Ту-2 (1943-49)- 1136, Ту-4 (1950-53), Ил-28 (1953)- 2, М-4 (1953-56), 3М (1956-63)- 93 (или 116), М-50, М-52, Ми-6 (1960-62), Ми-8; (2002): самолет КВП Т-411 «Аист», легкие транспортные Т-417 «Пегас», Т-420 «Стриж».</w:t>
      </w:r>
    </w:p>
    <w:p w14:paraId="4E7DCA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ЗУР: В-300; МБР: УР-100, УР-100УТТХ, УР-100К, УР-100К УТТХ, УР-100Н (1974-), УР-100Н УТТХ (-1991)- 360; РН «Протон», орбитальные станции «Салют», «Мир»; разгонный блок «Бриз»; модули «Квант», «Кристалл», «Спектр»; (2002): РН «Ангара», «Рокот», разгонные блоки «Бриз-М», 12КРБ, служебный модуль МКС, ракетный ускоритель «Байкал», космическая платформа «Яхта».69 </w:t>
      </w:r>
    </w:p>
    <w:p w14:paraId="4AD508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 № 23 НКАП, МАП, ГКАТ, Машиностроительный завод им. М.В. Хруничева (ЗИХ) СНХ, МОМ, МПО им. Хруничева, ФГУП «ГК НПЦ (Государственный космический научно-производственный центр) им. Хруничева» ФКА </w:t>
      </w:r>
    </w:p>
    <w:p w14:paraId="69ACF1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121309 г. Москва, ул. Новозаводская, 18 тел. 145-92-10 www.khrunichev.com (10776).</w:t>
      </w:r>
    </w:p>
    <w:p w14:paraId="2AB8BE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ОКБ-23 МАП, Филиал № 1 ОКБ-52 МОМ, КБ «Салют» МОМ</w:t>
      </w:r>
    </w:p>
    <w:p w14:paraId="0C692F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Фили/</w:t>
      </w:r>
    </w:p>
    <w:p w14:paraId="3A4DE6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24.03.1951 г. гл. конструктором вновь образованного ОКБ-23 на заводе № 23 МАП назначен В.М. Мясищев (по [77] ОКБ-23 воссоздано 26.05.1950г). </w:t>
      </w:r>
    </w:p>
    <w:p w14:paraId="59A2F85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Разработка стратегических бомбардировщиков М-4, 3М, М-50, М-52, М-56, М-60, М-70. </w:t>
      </w:r>
    </w:p>
    <w:p w14:paraId="5C1EBEB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20.05.1954 г. вышло постановление СМ СССР № 957-409 о начале разработки носителя ядерного заряда- тяжелой КР М-40 («40», ракетно-самолетная система РСС-40 «Буран») (гл. конструктор- В.М. Мясищев, научный руководитель- М.В. Келдыш). В соответствии с постановлением СМ № 1096-570 от 11.08.1956 г. и приказом МАП № 453 на ОКБ возложено задание разработать, построить и предъявить на совместные испытания КР «Буран-А» с новой БЧ.3 В 11.1957 г. работы по М-40 прекращены (в пользу МКР «Буря»).59 </w:t>
      </w:r>
    </w:p>
    <w:p w14:paraId="2287051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1956-59 г. разработка УРВП Х-44 (системы К-44) с термоядерной БЧ изд. «205К» для М-52К и М-56К. Во второй половине 1950-х г. разработан проект стратегической КР М-61 с ядерной БЧ для М-50 и М-52.58 </w:t>
      </w:r>
    </w:p>
    <w:p w14:paraId="30DA127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1959 г. разработан проект воздушно-космического самолета ВКА-23 (изд. «48»).</w:t>
      </w:r>
    </w:p>
    <w:p w14:paraId="3902A53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1960 г. в ОКБ-23 влилось ОКБ-256 П.В. Цыбина. </w:t>
      </w:r>
    </w:p>
    <w:p w14:paraId="3589D85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конца 1959 г. началась переориентация ОКБ на ракетную тематику. По приказу № 377сс/ов от 6.10.1960 г. ОКБ-23 В.М. Мясищева было закрыто, коллектив переведен в ОКБ-52. В начале 1961 г. на базе ОКБ образован Филёвский филиал № 1 ОКБ-52. И.О. начальника филиала назначен зам. ген. конструктора по производству Н.М. Гловацкий.</w:t>
      </w:r>
    </w:p>
    <w:p w14:paraId="043E8B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составе филиала в 1961 г. создан комплекс наземного оборудования РКТ под руководством Г.И. Архангельского. Затем этот коллектив переведен (вероятно, в 1963 г.) в филиал № 2 ОКБ-52.77 </w:t>
      </w:r>
    </w:p>
    <w:p w14:paraId="6E8348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филиале № 1 работало ракетостроительное КБ-90. По приказу МАП № 482 от 21.11.1966 г. КБ-90 филиала № 1 ОКБ-52 МОМ и Филиал Машиностроительного завода им. М.В. Хруничева в г. Жуковском переданы в МАП с образованием на их базе ЭМЗ.</w:t>
      </w:r>
    </w:p>
    <w:p w14:paraId="3D90495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1977 г. филиал № 1 с опытным производством вошел в состав НПО «Энергия».</w:t>
      </w:r>
    </w:p>
    <w:p w14:paraId="635B5C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1980 г. филиал № 1, ставший самостоятельным, получил название КБ "Салют" (по [58]- с 1985 г.; по [77]- в 06.1981 г. филиал № 1 преобразован в самостоятельное КБ «Салют» и включен в состав НПО «Энергия»), действовал в ведении 11ГУ МОМ. 7.06.1993 г. МЗ им. Хруничева и ОКБ «Салют» объединились в ГК НПЦ им. Хруничева.</w:t>
      </w:r>
    </w:p>
    <w:p w14:paraId="42F50A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филиале № 1 велась разработка ракеты УР-200 (с 1960 г.), УР-100 (с 1962 г.), РН «Протон» (с 1962 г.).</w:t>
      </w:r>
    </w:p>
    <w:p w14:paraId="4D8D84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СМ СССР от 1.06.1970 г. велась разработка транспортного корабля снабжения (ТКС) для орбитальной станции «Алмаз». Первый запуск ТКС («Космос-929»)- 17.07.1977 г.</w:t>
      </w:r>
    </w:p>
    <w:p w14:paraId="491C6A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1980-х г. разработана орбитальная лазерная боевая станция «Скиф».</w:t>
      </w:r>
    </w:p>
    <w:p w14:paraId="621CAB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космической техники: разгонный блок «Бриз-М» для РН «Протон-М».</w:t>
      </w:r>
    </w:p>
    <w:p w14:paraId="00E155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ОКБ (03.1951-60 г.)- В.М. Мясищев (затем работал в ЦАГИ). </w:t>
      </w:r>
    </w:p>
    <w:p w14:paraId="5FA9D2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гл. конструктор Филиала № 1 (1960-е г.)- В.Ф. Бугайский. Ген. конструктор (1980-е)- Д.А. Полухин, (1999 г.)- А. Недайвода.</w:t>
      </w:r>
    </w:p>
    <w:p w14:paraId="10F54A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ген. конструктора (1961 г.)- Г.И. Архангельский, В.К. Карраск.</w:t>
      </w:r>
    </w:p>
    <w:p w14:paraId="2D336D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(1954 г.)- Г.Н. Назаров («Буран»).</w:t>
      </w:r>
    </w:p>
    <w:p w14:paraId="28F57C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ЛИиДБ (1959 г.)- Д.Н. Белоногов.</w:t>
      </w:r>
    </w:p>
    <w:p w14:paraId="6CB5ACD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(1951 г.-)- В.А. Лихачев, (1956-60 г.)- А.Т. Тарасов (ведущий конструктор- начальник отдела).</w:t>
      </w:r>
    </w:p>
    <w:p w14:paraId="10B571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 23 ГКАТ гл. конструктора Н.П. Никитина</w:t>
      </w:r>
    </w:p>
    <w:p w14:paraId="1BDE854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42AAD1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ГКАТ № 111 от 12.04.1961 г. ОКБ-3 завода № 118 гл. конструктора Н.П. Никитина переведено на освободившиеся площади на заводе № 23 ГКАТ. Продолжены работы по автопилотам для УРВВ: начата разработка СУР-40 для К-40, АПР-80.</w:t>
      </w:r>
    </w:p>
    <w:p w14:paraId="2E2684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1963 г. ОКБ Н.П. Никитина расформировано. Тематика и личный состав были распределены по профильным организациям. Часть ОКБ передана заводу № 118 ГКАТ и НИИ-923 ГКАТ.</w:t>
      </w:r>
    </w:p>
    <w:p w14:paraId="16A40F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(04.1961-63 г.)- Н.П. Никитин.</w:t>
      </w:r>
    </w:p>
    <w:p w14:paraId="2F04F6C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Филиал Машиностроительного завода им. М.В. Хруничева, Экспериментальный машиностроительный завод (ЭМЗ) МАП, ФГУП «ЭМЗ им. В.М. Мясищева» </w:t>
      </w:r>
    </w:p>
    <w:p w14:paraId="6C7D1D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140185 г. Жуковский-5 Московской обл. Наркомвод, 1 тел. 728-41-35 www.emz-m.ru</w:t>
      </w:r>
    </w:p>
    <w:p w14:paraId="16E710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 482 от 21.11.1966 г. КБ-90 филиала № 1 ОКБ-52 МОМ и Филиал Машиностроительного завода им. М.В. Хруничева в г. Жуковском переданы в МАП с образованием на их базе ЭМЗ.</w:t>
      </w:r>
    </w:p>
    <w:p w14:paraId="39708B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Головной исполнитель работ по строительству орбитального самолета «Буран» (изделие «11Ф35»), работа над которым началась в 1976 г. Здесь была построена модель «Бор-5».</w:t>
      </w:r>
    </w:p>
    <w:p w14:paraId="2DA8D7B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1970-х г. создан универсальный контейнер грузового десантирования (УКГД), предназначенную для парашютного десантирования группы из 5 чел.</w:t>
      </w:r>
    </w:p>
    <w:p w14:paraId="4168142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1986 г. В.А. Корчагиным на заводе велись работы по амфибии «Ямал». В 1989 г. для создания этого самолета был организован консорциум «Авиаспецтранс», в который вместе с ЭМЗ вошли «Тюменьгазпром», ААНИИ, ГосНИИГА, ВНИИ Океангеологии. ЭМЗ стал ответственным исполнителем по эскизному проекту и ОКР «Ямала». В 1990-х г. построен натурный макет самолета.</w:t>
      </w:r>
    </w:p>
    <w:p w14:paraId="50D99D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Создан легкий многоцелевой самолет М-101Т «Гжель». В 01.2003 г. он получил сертификат типа.Ъ-15.01.03 </w:t>
      </w:r>
    </w:p>
    <w:p w14:paraId="478274E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04.2001 г. вместе с НГАЗ «Сокол» и компанией «Каскол» объединился в авиастроительную компанию «НоРС» (Новые региональные самолеты). По Указу Президента РФ № 1009 от 4.08.2004 г. вошел в число стратегических оборонных предприятий.</w:t>
      </w:r>
    </w:p>
    <w:p w14:paraId="72CA81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2002 г.: работы по М-60, сельскохозяйственному М-500, многоцелевому М-102, М-201 «Сокол», многоразовой аэрокосмической системе С-XXI для М-55, космической платформе «Демонстратор».</w:t>
      </w:r>
    </w:p>
    <w:p w14:paraId="5DD13A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 предприятия входит ОКБ, опытное производство, летно-испытательная база.</w:t>
      </w:r>
    </w:p>
    <w:p w14:paraId="3EC1145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г.)- 2000 чел.</w:t>
      </w:r>
    </w:p>
    <w:p w14:paraId="1036EA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Работали: (1967 г.-)- С.Г. Смирнов, (1968 г.-)- А.А. Брук, (1980 г.-)- В.И. Погодин. </w:t>
      </w:r>
    </w:p>
    <w:p w14:paraId="25BD223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Ген. конструктор (1967-78 г.)- В.М. Мясищев, (1979-90 г.)- В.А. Федотов, (1993-2005 г.-)- В.К. Новиков.</w:t>
      </w:r>
    </w:p>
    <w:p w14:paraId="63D6E5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(1977 г.)- С.Г. Арутюнов.</w:t>
      </w:r>
    </w:p>
    <w:p w14:paraId="462CAF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1-й зам. Ген. Конструктора (2002 г.)- В.А. Ширинянц. Зам. ген. Конструктора: по проектированию (2004 г.)- В.И. Погодин; по финансово-экономической деятельности (2002 г.)- А.А. Горбунов; (2002 г.)- Л.А. Соколов, (2002 г.)- Е.С. Чарский. Зам. ген. конструктора/начальник проектного комлекса (2004 г.)- А.А. Брук.КР-2/04 </w:t>
      </w:r>
    </w:p>
    <w:p w14:paraId="3B52320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проектного комлекса по проектированию – В.И. Погодин. Главный специалист по конверсии (-2004-05 г.-)- С.Г. Смирнов.</w:t>
      </w:r>
    </w:p>
    <w:p w14:paraId="5B56ED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(1986 г.)- Е.В. Ежов («Ямал»), (2002 г.)- Л.А. Соколов (М-55), (2002 г.)- Е.С. Чарский (М-101).</w:t>
      </w:r>
    </w:p>
    <w:p w14:paraId="30E4D38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отдела общих видов – В.И. Погодин. Начальник бригады аэродинамики ОКБ ЭМЗ (1973-83 г.)- С.Г. Смирнов. Начальник производства/ зам. гл. конструктора (1990-е-2004 г.-)- В.В. Тормышев.</w:t>
      </w:r>
    </w:p>
    <w:p w14:paraId="5592D1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"РОКС-Аэро", ОКБ "Аэропрогресс", "Рос-Аэропрогресс", ОКБ ГК НПЦ им. Хруничева, АНПК завода им. Хруничева</w:t>
      </w:r>
    </w:p>
    <w:p w14:paraId="7C6AF4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08.1996 г. фирма «Рос-Аэропрогресс» влилась в состав ГК НПЦ им. Хруничева, на ее базе создано самолетостроительное ОКБ.</w:t>
      </w:r>
    </w:p>
    <w:p w14:paraId="2E2295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(1990-е-2004 г.-)- Е.П. Грунин.</w:t>
      </w:r>
    </w:p>
    <w:p w14:paraId="7FE09B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(2004 г.)- В. Заблотский, Л. Тарасевич, М. Васюк, В. Медников.</w:t>
      </w:r>
    </w:p>
    <w:p w14:paraId="66BEE9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Создано: самолеты Т-101 "Грач", Т-411, Т-435 "Пеликан", Т-440 (1990-е г.); проект самолета Т-511 (2003 г.). </w:t>
      </w:r>
    </w:p>
    <w:p w14:paraId="4516327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НИИ космических систем</w:t>
      </w:r>
    </w:p>
    <w:p w14:paraId="7F9BAD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141091 г. Юбилейный Московской обл. ул. Тихонравова, 36 тел. 515-60-40</w:t>
      </w:r>
    </w:p>
    <w:p w14:paraId="12500B1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Входит в КГНПЦ им. Хруничева в качестве филиала (2002-05 г.).</w:t>
      </w:r>
    </w:p>
    <w:p w14:paraId="23C646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Исследования в области отработки, испытаний и эксплуатации космической техники, создание систем и техники специального назначения; проведение ТЭО разработки, создания и эксплуатации КС; специализированные системы управления, сбора и обработки информации, системы мониторинга Земли; технологии навигационно-баллистического обеспечения КА.</w:t>
      </w:r>
    </w:p>
    <w:p w14:paraId="088D56D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(2002-04 г.) - В.А. Меньшиков.</w:t>
      </w:r>
    </w:p>
    <w:p w14:paraId="3149DB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по научной работе (2002-04 г.)- И.Н. Голованев;69 (2005 г.)- В.В. Меньшиков.</w:t>
      </w:r>
    </w:p>
    <w:p w14:paraId="7986570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ЗАО «Авиаоборудование» </w:t>
      </w:r>
    </w:p>
    <w:p w14:paraId="31C4A7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140160 г. Жуковский-5 Московской обл. ЭМЗ</w:t>
      </w:r>
    </w:p>
    <w:p w14:paraId="606016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в 2000 г. при ЭМЗ.</w:t>
      </w:r>
    </w:p>
    <w:p w14:paraId="613F56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и производство бортовых комплексов авионики (2003 г.).</w:t>
      </w:r>
    </w:p>
    <w:p w14:paraId="55E34F2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(2003 г.)- А.П. Ленивцев (10776).</w:t>
      </w:r>
    </w:p>
    <w:p w14:paraId="0C60E79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A20D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г. на базе Агрегатных ремонтных мастерских в соответствии с постановлением № ГОКО-1543 от 5 апреля 1942 г.и приказом № 269сс от 10.04.1942 г. с организован новый агрегатный завод № 451 НКАП при 4ГУ для производства бензо-, маслонасосов и фильтров. Сформирован из части коллективов заводов № 20 и № 33 НКАП.</w:t>
      </w:r>
    </w:p>
    <w:p w14:paraId="6FFF4C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424с от 7.06.1942 г. в целях более целесообразного использования площадей завод № 451 (и филиал завода № 25 НКАП) со всем оборудованием, личным составом и материалами переведен на площадку бывшего завода № 132 НКАП (вместо завода № 41). </w:t>
      </w:r>
    </w:p>
    <w:p w14:paraId="3034D61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453с от 30.07.1943 г. на площадке завода № 451 организован филиал ОКБ завода № 20, далее это ОКБ-451. </w:t>
      </w:r>
    </w:p>
    <w:p w14:paraId="7604EF9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1943 г. часть работников переведена на вновь образованный завод № 135 в Харьков.</w:t>
      </w:r>
    </w:p>
    <w:p w14:paraId="366759A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206сс от 21.03.1944 г. для укрепления производства на завод переведено большое количество станков, рабочих и ИТР (всего около 300 чел.) с заводов № 132 и № 266 НКАП.</w:t>
      </w:r>
    </w:p>
    <w:p w14:paraId="35E73CB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1970-х г. завод вошел в ПО «Знамя революции». По решению правительства № 22-р от 9.01.2004 г. и Указу Президента РФ № 1009 от 4.08.2004 г. вошло в число стратегических оборонных предприятий.</w:t>
      </w:r>
    </w:p>
    <w:p w14:paraId="0310817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топливорегулирующая аппаратура (центробежные регуляторы, насосы, компрессоры, гидродвигатели для ГТД, космической техники). Единственный в России производитель гидронасосов для авиационных ГТД (2004 г.).</w:t>
      </w:r>
    </w:p>
    <w:p w14:paraId="2B443F7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 термическое и литейное производство, испытательные стенды.</w:t>
      </w:r>
    </w:p>
    <w:p w14:paraId="7442EA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г.)- 1100 чел.</w:t>
      </w:r>
    </w:p>
    <w:p w14:paraId="462F26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(-01-04.1943 г.-)- П.И. Герасимов, (1944-46 г.)- В.С. Лурье, (1949 г.)- В.С. Бриль, А.М. Ивайкин (или завода № 132), П.И. Герасимов, П.Е. Хачатурян, (середина 1950-х- 1963 г.)- В.А. Сперанский, А.Г. Солдатов, В.П. Пасько, В.Г. Цепалин, (1992 г.)- В.И. Тихомиров. Гендиректор (2002 г.)- Ю.Ф. Аббакумов, (03.2005 г.)- К.А. Ивушкин.</w:t>
      </w:r>
    </w:p>
    <w:p w14:paraId="19DB85D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(2002 г.)- В.И. Новоселов.</w:t>
      </w:r>
    </w:p>
    <w:p w14:paraId="15A9ACF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Коммерческий директор (03.2005 г.)- Д.Н. Покровский</w:t>
      </w:r>
    </w:p>
    <w:p w14:paraId="295C89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(1946-47 г.)- П.Н. Тарасов. </w:t>
      </w:r>
    </w:p>
    <w:p w14:paraId="5E1C2E7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гл. конструктора (1946 г.-)- С.Я. Ясинский. Зам. гл. конструктора по двигательным агрегатам (1946 г.-)- Н.Г. Гладченко.</w:t>
      </w:r>
    </w:p>
    <w:p w14:paraId="7A2F3D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СКО (05.1945 г.)- Крупнов. Гл. специалист по маркетингу (2002 г.)- А.В. Савельев.</w:t>
      </w:r>
    </w:p>
    <w:p w14:paraId="0162F8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насосы: МПМ, МШ-3, МФШ-25 (ВОВ), бензонасосы БНК-10, БНК-12А, аксиально-поршневые НП-25, НП-26, НП-34, НП-43, НП-63, НП-72, НП-89, НП-112; агрегаты топливопитания: для ПуВРД к «10Х» (1945), для РД-10, РД-20, для самолетов Ту-22, Ту-144, МиГ-29, МиГ-31, Су-27, Ту-160, Ту-154М, Ан-72; электростартеры для АШ-73 (середина 1940-х); гидронасосы (1946-2002-); регуляторы в/винтов Р-9, Р-18, Р-40; струйно-форсуночный аппарат «Транссоник» (2002); топливорегулирующая аппаратура, воздушные компрессоры и клапаны (2004).</w:t>
      </w:r>
    </w:p>
    <w:p w14:paraId="4CF6737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451 НКАП, МАП, Московский машиностроительный завод (ММЗ) "Знамя", ОАО «ММЗ «Знамя»</w:t>
      </w:r>
    </w:p>
    <w:p w14:paraId="25B7DA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Старопетровский пр-д</w:t>
      </w:r>
    </w:p>
    <w:p w14:paraId="19441A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127015 г. Москва ул. Б. Новодмитровская, 23 тел. 685-67-92 www.znamia.ru</w:t>
      </w:r>
    </w:p>
    <w:p w14:paraId="64B138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ОКБ-451 МАП, ОКБ-451-20 МАП </w:t>
      </w:r>
    </w:p>
    <w:p w14:paraId="7DCA2E1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5056870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453с от 30.07.1943 г. на площадке завода № 451 организован филиал ОКБ завода № 20 для разработки и выпуска опытных агрегатов. Для этого переведено необходимое оборудование и 50 работников ОКБ из Омска. Начальник филиала/зам. гл. конструктора – С.Я. Ясинский. </w:t>
      </w:r>
    </w:p>
    <w:p w14:paraId="22865E8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143с от 19.03.1946 г. филиал преобразован в головное ОКБ-451, а ОКБ при заводе № 20 получило статус его филиала. Тем же приказом в ОКБ-451 образованы два КО: по агрегатам для поршневых и реактивных двигателей и КО по самолетным агрегатам. По приказу № 578с от 27.08.1946 г. образован третий КО по моторной автоматике. На завод переданы все материалы по данной тематике из ЦИАМ.</w:t>
      </w:r>
    </w:p>
    <w:p w14:paraId="17E50BC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1947 г. единое ОКБ именовалось как ОКБ-451-20 с филиалом.</w:t>
      </w:r>
    </w:p>
    <w:p w14:paraId="4900B3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436с от 5.07.1947 г. филиал ОКБ-451 на завода № 20 преобразован в ОКБ-20 МАП.</w:t>
      </w:r>
    </w:p>
    <w:p w14:paraId="3AE4751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электропомп (1946), топливных насосов (1947 г.), подвижных аэродромных компрессоров (1949), топливорегулирующей аппаратуры.</w:t>
      </w:r>
    </w:p>
    <w:p w14:paraId="696CE27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1963 г. ОКБ-451 объединено с ОКБ-315 в единое МАКБ «Темп».</w:t>
      </w:r>
    </w:p>
    <w:p w14:paraId="113924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(1946 г.-)- П.Н. Тарасов (10776).</w:t>
      </w:r>
    </w:p>
    <w:p w14:paraId="582B0C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7B472B" w14:textId="77777777" w:rsidR="007C5583" w:rsidRPr="008127F8" w:rsidRDefault="007C5583" w:rsidP="007C5583">
      <w:pPr>
        <w:widowControl w:val="0"/>
        <w:tabs>
          <w:tab w:val="left" w:pos="7571"/>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г. по приказу № 384с завод № 497 (ГС Завод № 497 НКАП / г. Москва ул. Дубнинская, 68/) подчинен на правах филиала заводу № 23 НКАП для улучшения организации производства Ил-4. Начальник филиала- Д.И. Степин. 27 февраля 1942 г. по приказу № 159с завод № 165 переименован в ГС завод № 497. Производство мин ЯМ-5. Выпуск деревянных частей фюзеляжа ДБ-ЗФ для завода № 23 (11982).</w:t>
      </w:r>
    </w:p>
    <w:p w14:paraId="4265DF50" w14:textId="77777777" w:rsidR="007C5583" w:rsidRPr="008127F8" w:rsidRDefault="007C5583" w:rsidP="007C5583">
      <w:pPr>
        <w:widowControl w:val="0"/>
        <w:tabs>
          <w:tab w:val="left" w:pos="7571"/>
        </w:tabs>
        <w:autoSpaceDE w:val="0"/>
        <w:autoSpaceDN w:val="0"/>
        <w:adjustRightInd w:val="0"/>
        <w:spacing w:after="0" w:line="240" w:lineRule="auto"/>
        <w:jc w:val="both"/>
        <w:rPr>
          <w:rFonts w:ascii="Times New Roman" w:hAnsi="Times New Roman"/>
          <w:color w:val="000000" w:themeColor="text1"/>
          <w:sz w:val="16"/>
          <w:szCs w:val="16"/>
        </w:rPr>
      </w:pPr>
    </w:p>
    <w:p w14:paraId="5934DDB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г. приказом № 269сс от 10.04.1942 г. в соответствии с пост. ГКО № 1543 от 5.04.1942 г. на базе Агрегатных ремонтных мастерских, созданных в январе 1942 г. на площадке эвакуированного завода № 20 НКАП, организован новый агрегатный завод № 451 НКАП при 4ГУ для производства бензо-, маслонасосов и фильтров (Завод № 451 НКАП, МАП, Московский машиностроительный завод (ММЗ) «Знамя», ОАО «ММЗ «Знамя» /г. Москва Старопетровский пр-д/ /127015  г. Москва ул. Б. Новодмитровская, 23 тел. 685-67-92/). Сформирован из части коллективов заводов № 20 и № 33 НКАП.</w:t>
      </w:r>
    </w:p>
    <w:p w14:paraId="5C2ADDF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424с от 7.06.1942 г. в целях более целесообразного использования площадей завод № 451 (и филиал завода № 25 НКАП) со всем оборудованием, личным составом и материалами переведен на площадку бывшего завода № 132 НКАП (вместо завода № 41).</w:t>
      </w:r>
    </w:p>
    <w:p w14:paraId="739346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453с от 30.07.1943 г. на площадке завода № 451 организован филиал ОКБ завода № 20, далее это ОКБ-451.</w:t>
      </w:r>
    </w:p>
    <w:p w14:paraId="740AEF7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1943 г. часть работников переведена на вновь образованный завод № 135 в Харьков.</w:t>
      </w:r>
    </w:p>
    <w:p w14:paraId="62910D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206сс от 21.03.1944 г. для укрепления производства на завод переведено большое количество станков, рабочих и ИТР (всего около 300 чел.) с заводов № 132 и № 266 НКАП. В 1946 г. заводу поставлено 709 трофейных металлорежущих станков.</w:t>
      </w:r>
    </w:p>
    <w:p w14:paraId="71B388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 713-342 от 26.06.1957 г. передан в ведение СНХ РСФСР.</w:t>
      </w:r>
    </w:p>
    <w:p w14:paraId="0F7691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1970-х  г. завод вошел в ПО «Знамя революции». По решению правительства № 22-р от 9.01.2004 г. и Указу Президента РФ № Ю09 от 4.08.2004 г. вошло в число стратегических оборонных предприятий. Затем завод продан ИК «Росбилдинг», в 2009 г. входил в состав </w:t>
      </w:r>
      <w:r w:rsidRPr="008127F8">
        <w:rPr>
          <w:rFonts w:ascii="Times New Roman" w:hAnsi="Times New Roman"/>
          <w:color w:val="000000" w:themeColor="text1"/>
          <w:sz w:val="16"/>
          <w:szCs w:val="16"/>
          <w:lang w:val="en-US"/>
        </w:rPr>
        <w:t>AEONCorporation</w:t>
      </w:r>
      <w:r w:rsidRPr="008127F8">
        <w:rPr>
          <w:rFonts w:ascii="Times New Roman" w:hAnsi="Times New Roman"/>
          <w:color w:val="000000" w:themeColor="text1"/>
          <w:sz w:val="16"/>
          <w:szCs w:val="16"/>
        </w:rPr>
        <w:t>.</w:t>
      </w:r>
    </w:p>
    <w:p w14:paraId="52B683A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топливорегулирующая аппаратура (центробежные регуляторы, насосы, компрессоры, гидродвигатели для ГТД, космической техники). Единственный в России производитель гидронасосов для авиационных ГТД (2004 г.).</w:t>
      </w:r>
    </w:p>
    <w:p w14:paraId="3EE665B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 термическое и литейное производство, испытательные стенды.</w:t>
      </w:r>
    </w:p>
    <w:p w14:paraId="27D88C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г.)-1100 чел.</w:t>
      </w:r>
    </w:p>
    <w:p w14:paraId="399D4E5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(-01-04.1943 г.-)- П.И. Герасимов, (1944-46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xml:space="preserve">. Лурье, (1949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xml:space="preserve">. Бриль,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Ивайкин (или завода № 132), П.И. Герасимов, П.Е. Хачатурян, (середина 1950-х- 1963 г.)- В.А. Сперанский, А. Г. Солдатов, В.П. (11982).</w:t>
      </w:r>
    </w:p>
    <w:p w14:paraId="62D415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529FD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15 мая 1942 г. считается датой основания завода № 284 (Завод № 284 НКАП, МАП, Сарапульский электрогенераторный завод (СЭГЗ), Сарапульское электрогенераторное ПО, ОАО «СЭГЗ» /Удмуртия 427900  г. Сарапул ул. Электрозаводская, 15 тел. 34-415/ /Московское представительство:  г. Москва ул. Б. Новодмитровская, 12 тел. 285-94-06; ул. Бутырская, 86Б тел. 257-99-46/,), который строился с 1939 и введен в эксплуатацию в 1940.  Планировался как дублер завода № 132 НКАП по производству самопусков.</w:t>
      </w:r>
    </w:p>
    <w:p w14:paraId="65CBE7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100с от 6.02.1942 г. на заводе организовано дублирующее производство электроагрегатов, для чего в помощь заводу с завода № 266 и ОКБ-266 переведено необходимое оборудование, группа ИТР и рабочих.</w:t>
      </w:r>
    </w:p>
    <w:p w14:paraId="5A8D7F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годы войны выпущено 31.244 комплекта авиационных генераторов.</w:t>
      </w:r>
    </w:p>
    <w:p w14:paraId="014F537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заводу поставлено 505 трофейных металлорежущих станков.</w:t>
      </w:r>
    </w:p>
    <w:p w14:paraId="5B42A6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280с от 7.05.1946 г. завод передан из 4ГУ во 2ГУ МАП. В соответствии с пост. СМ СССР № 713-342 от 26.06.1957 г. передан в ведение СНХ РСФСР.</w:t>
      </w:r>
    </w:p>
    <w:p w14:paraId="26F55A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1958 г. предприятие выпускало только авиационные генераторы и пускорегулирующую аппаратуру, с 1959 г.- производство авиационных бортовых систем электроснабжения.</w:t>
      </w:r>
    </w:p>
    <w:p w14:paraId="2DA4DE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28F939D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(2005 г.): авиационные бортовые системы электроснабжения (генераторы: переменного тока с воздушным и жидкостным охлаждением, постоянного тока; электродвигатели, статические и электромашинные преобразователи, выпрямители, трансформаторы, риуляторы напряжения, фильтры радиопомех, двигательная автоматика, светотехнические приборы наружного и внутреннего освещения, аэронавигационные огни); гидравлические рулевые приводы для РКТ.</w:t>
      </w:r>
    </w:p>
    <w:p w14:paraId="7C2D607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 дочерние предприятия (2002 г.)- ООО «Стимул», ЗАО «ЭГЗ-Механик», ЗАО «ЭГЗ-Тепломонтаж», ЗАО «ЭГЗ-Техприбор», АОЗТ «ЭГЗ-Авто», ЗАО «Инструментальное производство», ЗАО «Импульс», ОАО «Термакс», ЗАО «Санвент».</w:t>
      </w:r>
    </w:p>
    <w:p w14:paraId="73DADA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2004 г. входило в состав НПЦ «Технокомплекс». В 2005 г. входило в состав Научно-производственного холдинга «Аэроэлектромаш».</w:t>
      </w:r>
    </w:p>
    <w:p w14:paraId="2E00F4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около 10.000 чел.</w:t>
      </w:r>
    </w:p>
    <w:p w14:paraId="75C0FDB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 г.)- Федоров, (05.1945 г.)- Чистяков, (1959-82 г.)- Ю. Г. Левиатов {21.01.1915-}, (1982 г.-)- Е.П. Сторонкин. Гендиректор (-1997-2005 г.)- Е.П. Сторонкин, (2005 г.-)- С.В. Мусинов.</w:t>
      </w:r>
    </w:p>
    <w:p w14:paraId="07D32D1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(2002 г.)- С.В. Мусинов. Зам. гендиректора по маркетингу (2002 г.)- Н.А. Кощеев.</w:t>
      </w:r>
    </w:p>
    <w:p w14:paraId="4B76189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по экономике (2002 г.)- А.В. Золотарев; технический (-2002-05 г.-)- В.Ю. Суров; по ВЭД (2005 г.)- А.В. Золотарев; коммерческий (2005 г.)- С.В. Домников; по персоналу (2002 г.)- А.К. Устюгов.</w:t>
      </w:r>
    </w:p>
    <w:p w14:paraId="0C99F9A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производства (-1960 г.)- И.А. Романенко.</w:t>
      </w:r>
    </w:p>
    <w:p w14:paraId="0A0C2AC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И.А. Романенко.</w:t>
      </w:r>
    </w:p>
    <w:p w14:paraId="0FD0FDD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цеха: И.А. Романенко.</w:t>
      </w:r>
    </w:p>
    <w:p w14:paraId="5FA6DE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реализации (2005 г.)- В.А. Килин.</w:t>
      </w:r>
    </w:p>
    <w:p w14:paraId="1FBD18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электрогенераторы ГС-1000, ГС-32-1000 (1944); электрокары, сварочные агрегаты, автономные источники питания, водогрейные электрокотлы, теплосчетчики (2002) (11982).</w:t>
      </w:r>
    </w:p>
    <w:p w14:paraId="3456B7F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DD66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вышло Постановление ГКО № 1754 Об обеспечении производства органического стекла по качеству не хуже, чем на самолетах "Томагаук". РГАНИР, Фонд ГКО, д. 35, лл. 32-35, 36-50 (11012).</w:t>
      </w:r>
    </w:p>
    <w:p w14:paraId="31A23987"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Обязать НКХимпром (т. Первухина) восстановить технологический режим и рецептуру органического стекла 1940 г., обеспечив с 20 мая 42 г. выпуск листового органического стекла…</w:t>
      </w:r>
    </w:p>
    <w:p w14:paraId="3785BA4C"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Обязать НКХимпром (т. Первухина) провести лабораторные исследования качеств стекла, применяемого на самолетах "Томагаук", установить рецептуру его и провести в период до 25 июня 42 г. опытно-исследовательские работы в направлении дальнейшего улучшения качеств отечественного органического стекла с тем, чтобы последнее было не хуже стекла, применяемого на самолетах "Томагаук".</w:t>
      </w:r>
    </w:p>
    <w:p w14:paraId="2048CFAD"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Установить премию в размере 100 тыс. руб. за разработку технологии производства органического стекла, отвечающей показателям стекла, применяемого на самолетах "Томагаук".</w:t>
      </w:r>
    </w:p>
    <w:p w14:paraId="2453E010"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Заводу № 148 НКХП выпустить в июне 73 т органического стекла и 1020 комплектов бронекозырьков…"</w:t>
      </w:r>
    </w:p>
    <w:p w14:paraId="40C792D7"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 ГКО И. Сталин</w:t>
      </w:r>
    </w:p>
    <w:p w14:paraId="43591174"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короткие сроки имевшееся в стране опытное производство было превращено в крупносерийное. Параллельно за Уралом было создано новое производство. В результате уже с первых месяцев войны штурмовая авиация оснащалась прозрачной броней. К концу 1942 г. производство авиационной брони полностью обеспечивало нужды боевых самолетов всех типов. Одновременно учитывались непрерывно ужесточавшиеся требования к оптическим и другим качествам брони.</w:t>
      </w:r>
    </w:p>
    <w:p w14:paraId="4AFF76B1"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Разработчики конструкции авиационной брони и организаторы ее производства, а также производства органического стекла Б.П. Зверев, Г.Л. Зискин, А.М. Жуков, В.М. Кузьмин, Э.А. Кулев, М.Т. Куликов, Л.А. Морозов, М.А. Рубцов, К.М. Стрельцов, Ф.С. Хамзин, Р.Я. Хвиливицкий, З.Д. Шульман и многие другие, а кроме того, большая группа рабочих и инженеров заводов и работников Наркомхимпрома во главе с первым заместителем наркома А.Г. Касаткиным были награждены орденами и медалями.</w:t>
      </w:r>
    </w:p>
    <w:p w14:paraId="45793F30"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значении, придававшемся организации производства авиационной брони и органического стекла, свидетельствует принятое по этому поводу специальное решение ГКО, в котором были отражены вопросы обеспечения Дзержинского химического комбината "Оргстекло" дефицитными сырьевыми и вспомогательными материалами и металлом. Контроль за исполнением этого решения оставил за собой М.Г. Первухин, который дважды посещал комбинат.</w:t>
      </w:r>
    </w:p>
    <w:p w14:paraId="5779FAF0"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Большую роль в организации производства органического стекла и авиационной брони сыграли коллективы стекольных предприятий: завода "Моховые горы", Ирбитского завода, а после освобождения Донбасса и Константиновского завода – освоившие выпуск специальных сортов стекла (11493).</w:t>
      </w:r>
    </w:p>
    <w:p w14:paraId="7D9CB59B"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p>
    <w:p w14:paraId="06D3241A"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мая 1942 года ГКО принял постановление № 1754 «Об обеспечении производства органического стекла по качеству не хуже, чем на самолётах “Томагаук”:</w:t>
      </w:r>
    </w:p>
    <w:p w14:paraId="6D1CB5C3"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Обязать НКХимпром (т. Первухина) восстановить технологический режим и рецептуру органического стекла 1940 г., обеспечив с 20 мая 42 г. выпуск листового органического стекла со следующими обязательными основными показателями:</w:t>
      </w:r>
    </w:p>
    <w:p w14:paraId="0175DC26"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светопрозрачность 90—92 проц.;</w:t>
      </w:r>
    </w:p>
    <w:p w14:paraId="218B5D45"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твёрдость по Бринелю средняя 16 кг/мм², но не ниже 14 кг/мм²;</w:t>
      </w:r>
    </w:p>
    <w:p w14:paraId="7A85F422"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удельная ударная вязкость средняя 12 кг см/см², но не ниже 10 кг см/см²;</w:t>
      </w:r>
    </w:p>
    <w:p w14:paraId="7FF3C069"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светостойкость органического стекла должна сохранять первоначальную светопрозрачность, то есть воздействие света и атмосферных влияний не должно вызывать пожелтения и позеленения стекла.</w:t>
      </w:r>
    </w:p>
    <w:p w14:paraId="45296EB6"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Обязать НКХимпром (т. Первухина) провести лабораторные исследования качеств стекла, применяемого на самолётах “Томагаук”, установить рецептуру его и провести в период до 25 июня 42 г. опытно-исследовательские работы в направлении дальнейшего улучшения качеств отечественного органического стекла с тем, чтобы последнее было не хуже стекла, применяемого на самолётах “Томагаук”.</w:t>
      </w:r>
    </w:p>
    <w:p w14:paraId="61890B9D"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Установить премию в размере 100 тыс. руб. за разработку технологии производства органического стекла, отвечающей показателям стекла, применяемого на самолётах “Томагаук”.</w:t>
      </w:r>
    </w:p>
    <w:p w14:paraId="618F7B85"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Утвердить следующий ежесуточный график выпуска заводом № 148 НКХП органического стекла и бронекозырьков…».</w:t>
      </w:r>
    </w:p>
    <w:p w14:paraId="58829653"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завода № 148, которому устанавливалась программа выпуска органического стекла в объёме 1,5—2,6 т в сутки, к производству изделия постановлением ГКО № 1754 привлекался и орехово-зуевский завод «Карболит» (300 т в год) (24303).</w:t>
      </w:r>
    </w:p>
    <w:p w14:paraId="24CDD568" w14:textId="77777777" w:rsidR="009234E5" w:rsidRPr="008A2E5A" w:rsidRDefault="009234E5" w:rsidP="009234E5">
      <w:pPr>
        <w:spacing w:after="0" w:line="240" w:lineRule="auto"/>
        <w:jc w:val="both"/>
        <w:rPr>
          <w:rFonts w:ascii="Times New Roman" w:hAnsi="Times New Roman"/>
          <w:color w:val="0070C0"/>
          <w:sz w:val="16"/>
          <w:szCs w:val="16"/>
        </w:rPr>
      </w:pPr>
    </w:p>
    <w:p w14:paraId="7FEFF52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15 мая в 1942 году основан ОАО "Сарапульский электрогенераторный завод" (СЭГЗ). ОАО «Сарапульский электрогенераторный завод» - крупное современное предприятие, специализирующееся на серийном выпуске изделий и систем электроснабжения летательных аппаратов. Первые электрические генераторы для самолетов фронтовой авиации Сарапульский электрогенераторный завод выпустил в 1942 году. За период войны фронту было поставлено 31244 комплектов системы генерирования на 10622 боевые машины. До 1958 года завод выпускал только авиационные генераторы и пускорегулирующую аппаратуру. С 1959 года завод начал изготовлять авиационную коммутационную и светотехническую аппаратуру, а также гидравлические рулевые приводы для космических аппаратов. До сих пор завод является одним из основных поставщиков электротехнической авиационной аппаратуры для летательных аппаратов разработки КБ Туполева, Микояна, Мясищева, Яковлева, Ильюшина, Бериева, Антонова, Сухого, Миля, Камова. В 1958 году выпуском электротележек ЭК-2 грузоподъемностью 2 тонны, было начато производство гражданской продукции. В последующие годы завод значительно расширил номенклатуру и объемы выпускаемой продукции. Сегодня в ней особое место занимают: - автономные источники питания и сварочные агрегаты; - бытовой электроинструмент; - генераторы переменного и постоянного тока; - мебельная фурнитура; - напольный электротранспорт; - оборудование для железнодорожного транспорта; - оборудование для нефтедобывающего комплекса; - приборы контроля систем теплоснабжения; - электрооборудование для автомобилей; - электродвигатели. Высокие эксплуатационные качества изделий были оценены, как головными разработчиками и изготовителями летательных аппаратов, так и эксплуатационниками. Этому способствовала разработанная и внедренная на заводе комплексная система управления качеством продукции, сертифицированная (сертификат № RU 02/1748/2477, выдан СЖС-ПЦС обществом по сертификации и экспертизе; № В </w:t>
      </w:r>
      <w:r w:rsidRPr="008127F8">
        <w:rPr>
          <w:rFonts w:ascii="Times New Roman" w:hAnsi="Times New Roman"/>
          <w:color w:val="000000" w:themeColor="text1"/>
          <w:sz w:val="16"/>
          <w:szCs w:val="16"/>
        </w:rPr>
        <w:lastRenderedPageBreak/>
        <w:t>173/02, выдан бюро по сертификации TUV CERT технической инспекции TUV Saarland e.V.) на соответствие требованиям ГОСТ Р и международных стандартов серии ИСО 9002 и СРПП ВТ. Создан сквозной контроль качества выпускаемых изделий на всех этапах разработки и производства (лицензия № 1390 от 29 мая 2002 г., выдана Российским авиационно-космическим агентством). В 2001 году Российско-Швейцарской Бизнес-Ассоциацией завод награжден медалью «За достижения в области качества». В выпуске товаров гражданского назначения заводчане сохранили традиционно высокое качество продукции оборонной промышленности. Об этом свидетельствуют: многочисленные награды, полученные на республиканских и международных выставках; звания лауреата и дипломанта Всероссийского конкурса «Сто лучших товаров России» и «ВДНХ-ВВЦ»; диплом выставки «Авиация - 2000»; золотая медаль на выставке «Сибирь»; диплом I степени на выставке «Военная техника и вооружение»; дипломы Всероссийского форума «Россия единая» за разработку бытового многофункционального электроинструмента «Универсал», автономных сварочных агрегатов и серии источников питания; диплом Госстроя России «За разработку лучшего инструмента для домашнего мастера – 2003» и другие. Четверо заводских инженеров-разработчиков асинхронных двигателей во взрывозащищенном исполнении типа АИМЛ удостоены государственной премии Удмуртской Республики. Сарапульский электрогенераторный завод входит в состав пяти тысяч ведущих предприятий России, что было подтверждено сертификатом «Лидер российской экономики». Координационный комитет международной европейской программы «Партнерство ради прогресса» за высокие показатели в динамике развития производства продукции наградил предприятие в 2000 году почетным призом «Хрустальная Ника», а в 2001-м – специальным призом «Золотой эталон», являющимся символом надежности, стабильности и успеха. ОАО СЭГЗ - победитель конкурса «1000 лучших предприятий России 2001 - 2003гг.», имеет Сертификат инвестиционной привлекательности, выданный экспертами Всероссийского инвестиционного форума «Золотой запас Отечества-2001», лауреат Главной Всероссийской Премии «Российский Национальный Олимп». Координационный комитет международной европейской Программы «Партнерство ради прогресса» за высокие показатели в динамике развития производства продукции наградил предприятие в 2000 году Почетным призом «Хрустальная Ника», а в 2001 - специальным призом «Золотой эталон», являющимся символом надежности, стабильности и успеха. Сарапульский электрогенераторный завод уверенно смотрит в будущее и готов к сотрудничеству с отечественными и зарубежными партнерами (14892).</w:t>
      </w:r>
    </w:p>
    <w:p w14:paraId="339C4D6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E5254D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г. - из постановления Государственного Комитета Обороны от "Об обеспечении производства органического стекла по качеству не хуже, чем на самолетах "Томагаук".</w:t>
      </w:r>
    </w:p>
    <w:p w14:paraId="078D8F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Обязать НКХимпром (т. Первухина) восстановить технологический режим и рецептуру органического стекла 1940 г., обеспечив с 20 мая 42 г. выпуск листового органического стекла…</w:t>
      </w:r>
    </w:p>
    <w:p w14:paraId="5CC9E1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Обязать НКХимпром (т. Первухина) провести лабораторные исследования качеств стекла, применяемого на самолетах "Томагаук", установить рецептуру его и провести в период до 25 июня 42 г. опытно-исследовательские работы в направлении дальнейшего улучшения качеств отечественного органического стекла с тем, чтобы последнее было не хуже стекла, применяемого на самолетах "Томагаук".</w:t>
      </w:r>
    </w:p>
    <w:p w14:paraId="47DFC92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Установить премию в размере 100 тыс. руб. за разработку технологии производства органического стекла, отвечающей показателям стекла, применяемого на самолетах "Томагаук".</w:t>
      </w:r>
    </w:p>
    <w:p w14:paraId="6F3598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Заводу № 148 НКХП выпустить в июне 73 т органического стекла и 1020 комплектов бронекозырьков…"</w:t>
      </w:r>
    </w:p>
    <w:p w14:paraId="761894E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 ГКО И. Сталин (11780).</w:t>
      </w:r>
    </w:p>
    <w:p w14:paraId="281547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573F9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552E71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C2FF19"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года было выдано задание на танковую версию М-42. На испытания она вышла спустя год. Вообще с М-42 история несколько удивительная. Когда именно приняли орудие на вооружение, точно сказать нельзя. Пушку приняли на вооружение, за 1942 год сдали 173 орудия (20344).</w:t>
      </w:r>
    </w:p>
    <w:p w14:paraId="60C1565E"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741B50C0"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в тот же день, когда начальник артиллерии Красной Армии генерал-полковник Н.Н. Воронов докладывал Берии по поводу М-42, появилось задание на разработку танковой версии орудия. Исполнителями работы оказывались ОКБ-172 (в документах оно продолжало именоваться Особым Конструкторским Бюро 4-го спецотдела НКВД) и КБ завода №37. Выбор свердловского завода объяснялся, скорее всего, тем фактом, что с ним активно работал С.А. Гинзбург, и там уже шла серия работ по машинам на базе Т-60 и Т-70. Но стоит признать, что в НКТП совершили большую ошибку, направив данные работы в КБ завода №37. Мало того, что там уже шла масса работ по САУ, так еще от Т-70 в Свердловске отбивались, как могли. Вплоть до того, что запуск в серию этого танка оттянули на июль 1942 года. А вторую ошибку совершили в Арткоме ГАУ КА. 5 июня 1942 года там постановили, что работы над танковой версией М-42 будут проводиться ОКБ-4 при заводе №235 в Воткинске. Это была еще одна "шарашка", являвшаяся филиалом ОКБ-172. Логика ГАУ КА была в том, что с 1941 года в Воткинске стали выпускать 45-мм противотанковые пушки. Итогом такого решения стало то, что на полгода работы попросту встали колом. Сначала КБ завода №37 было не до того, а потом такого завода фактически не стало. В конце июля 1942 года его переименовали в завод №50, влили в состав УЗТМ и начали там организацию выпуска Т-34. Ну а завод №235 попросту не имел надлежащих кадров. (20344).</w:t>
      </w:r>
    </w:p>
    <w:p w14:paraId="56F5D893"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30825EF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года вышел приказ № 265 НКБ</w:t>
      </w:r>
    </w:p>
    <w:p w14:paraId="1480E75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передачей зданий и сооружений завода № 604 (бывший завод № 530-а) Наркомату по строительству:</w:t>
      </w:r>
    </w:p>
    <w:p w14:paraId="3038D43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Освободить помещение завода № 566 (бывшая автобаза НКБ) для размещения в них завода № 604 (5904, 15).</w:t>
      </w:r>
    </w:p>
    <w:p w14:paraId="0F33393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172F73"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мая 1942 г. Постановление ГКО СССР № 1755сс «О специальных оптических приборах»</w:t>
      </w:r>
    </w:p>
    <w:p w14:paraId="0783FCA3"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6D7FB2FB"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Принять на вооружение Военно-морского флота специальные оптические приборы: инфракрасный пеленгатор «Омега» и штурманский инфракрасный бинокль «Гамма», разработанные Всесоюзным электротехническим институтом Наркомата электропромышленности (т. Архангельский и Тимофеев — конструкторы и т. Бирюков — замдиректора по научной части), позволяющие видеть ночью на расстоянии до 45 км маяки и сигнальные огни, замаскированные стеклами «марблит», пропускающие только невидимые для невооруженного глаза инфракрасные лучи.</w:t>
      </w:r>
    </w:p>
    <w:p w14:paraId="5702491C"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Принять к сведению сообщение Наркомвоенморфлота (т. Кузнецова) о том, что приборы «Омега» и «Гамма» могут быть использованы для: а) вождения и управления ночью кораблями в строю по невидимым для невооруженного глаза маякам и огням; б) обхода своих минных полей, огражденных сигнальными знаками с источниками инфракрасных лучей; в) связи и сигнализации между кораблями, кораблями и берегом,</w:t>
      </w:r>
    </w:p>
    <w:p w14:paraId="0DBB8FD1"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кораблями и самолетами.</w:t>
      </w:r>
    </w:p>
    <w:p w14:paraId="6F88F3D4"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Утвердить план производства приборов «Омега» и «Гамма» и мероприятия по обеспечению этого плана (см. приложение № I1).</w:t>
      </w:r>
    </w:p>
    <w:p w14:paraId="73FF00FA"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Создать при Всесоюзном электротехническом институте особое конструкторское бюро по разработке и изготовлению первых образцов и отработке чертежей для серийного производства специальных оптических приборов (СОП) для вооружения ими Военно-морского флота, авиации и сухопутных войск.</w:t>
      </w:r>
    </w:p>
    <w:p w14:paraId="18D5657E"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Назначить заместителя директора Всесоюзного электротехнического института т. Бирюкова В. Г. начальником Особого конструкторского бюро ВЭИ. Утвердить заместителем начальника ОКБ ВЭИ т. Селезнева А. А. и ведущими конструкторами — т. Архангельского В. И., Тимофеева П. В., Красовского Б. И., Москвина А. В., Ратнера, Е. С., Юткевича С. В. и Янчевского К. М.</w:t>
      </w:r>
    </w:p>
    <w:p w14:paraId="4DA35130"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Обязать начальника ОКБ ВЭИ т. Бирюкова в 1,5-месячный срок закончить изготовление для авиации и танков специальных оптических приборов, обеспечивающих: а) нахождение штурманом ночью своего аэродрома, оборудованного сигнальными знаками с источниками инфракрасных лучей; опознавание ночью переднего края своей обороны, отмеченного сигналами инфракрасных лучей, и действие взаимной невидимой светосигнальной связи между землей и самолетами; б) безопасное вождение ночью танков и автомашин. Обязать командующего ВВС Красной армии т. Новикова и начальника ГАБТУ т. Федоренко в двухнедельный срок, по предъявлении ОКБ ВЭИ образцов специальных оптических приборов, провести необходимые испытания и представить в Государственный комитет обороны свои заключения и предложения.</w:t>
      </w:r>
    </w:p>
    <w:p w14:paraId="0D6E840B"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Поставить перед Особым конструкторским бюро ВЭИ в качестве важнейшей задачи изготовление для авиации такого оптического прибора, который мог бы быть установлен на самолет и позволял бы видеть ночью другой самолет на расстоянии Оборонно-промышленный комплекс СССР (июнь 1941 — 1942)</w:t>
      </w:r>
    </w:p>
    <w:p w14:paraId="63CC5929"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Утвердить мероприятия по организации и формированию Особого конструкторского бюро ВЭИ Наркомэлектропрома (см. приложение № 2).</w:t>
      </w:r>
    </w:p>
    <w:p w14:paraId="31855875"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Государственного комитета обороны И. Сталин</w:t>
      </w:r>
    </w:p>
    <w:p w14:paraId="639F3CD2"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Приложение № 2</w:t>
      </w:r>
    </w:p>
    <w:p w14:paraId="6EED2698"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Мероприятия по организации и обеспечению работ Особого конструкторского бюро ВЭИ Наркомэлектропрома</w:t>
      </w:r>
    </w:p>
    <w:p w14:paraId="1AEE7B0D"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Объединить в Особое конструкторское бюро ВЭИ Наркомэлектропрома:</w:t>
      </w:r>
    </w:p>
    <w:p w14:paraId="49F34F81"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лаборатории низких температур, электровакуумную, светотехническую и стеклодувную мастерскую Всесоюзного электротехнического института Наркомэлектропрома с лабораторным оборудованием и научно-конструкторскими кадрами;</w:t>
      </w:r>
    </w:p>
    <w:p w14:paraId="163DE108"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лаборатории инфракрасных лучей, телевизионную и химическую Научно-исследовательского института № 9 Наркомэлектропрома вместе с кадрами, лабораторным оборудованием и материалами;</w:t>
      </w:r>
    </w:p>
    <w:p w14:paraId="5EEEA93A"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группу инженера т. Красовского завода № 211 НКЭП.</w:t>
      </w:r>
    </w:p>
    <w:p w14:paraId="04DEEE31"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2. Обязать Наркомэлектропром (т. Кабанова) и директора Всесоюзного электротехнического института (т. Кострова) предоставить для размещения ОКБ ВЭИ два этажа и подвал электрофизического корпуса и два этажа административного корпуса Всесоюзного электротехнического института НКЭП.</w:t>
      </w:r>
    </w:p>
    <w:p w14:paraId="7764724A"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Разрешить наркому электропромышленности т. Кабанову вывезти из Ленинграда лабораторное оборудование, инструмент и дефицитные материалы общем тоннажем 20 т и станочное оборудование в количестве 70 ед. Тов. Кузнецову (Ленинградский горком ВКП(б)) и т. Хрулеву (НКО) обеспечить к 15 июня 1942 г. перевозку из Ленинграда в Москву для ОКБ ВЭИ лабораторного и станочного оборудования, инструмента и материалов.</w:t>
      </w:r>
    </w:p>
    <w:p w14:paraId="63816C54"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Обязать т. Сабурова выделить в мае-июне месяцах 1942 г. для ОКБ ВЭИ 30 станков из числа неиспользуемых наркоматами согласно переписи оборудования.</w:t>
      </w:r>
    </w:p>
    <w:p w14:paraId="7725BEA2"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Обязать Наркомфин (т. Зверева) выделить к 25 мая 1942 г. Наркомэлектропрому под отчет т. Кабанова из резервного фонда Совнаркома СССР 1 млн руб. для ОКБ ВЭИ на проведение работ по специальным оптическим приборам.</w:t>
      </w:r>
    </w:p>
    <w:p w14:paraId="7E0F512C"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Утвердить Особому конструкторскому бюро ВЭИ Наркомэлектропрома штат научных работников и конструкторов в количестве 80 чел.</w:t>
      </w:r>
    </w:p>
    <w:p w14:paraId="2CA9FCCC"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Обязать наркома электропромышленности т. Кабанова установить 10 персональных окладов до 3 тыс. руб. для научных и руководящих работников и конструкторов ОКБ ВЭИ.</w:t>
      </w:r>
    </w:p>
    <w:p w14:paraId="1053E2AC"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Обязать наркома электропромышленности т. Кабанова перевезти в Москву из Ленинграда, Свердловска и других городов 100 чел. научных работников, ИТР и квалифицированных рабочих для работы в ОКБ ВЭИ.</w:t>
      </w:r>
    </w:p>
    <w:p w14:paraId="7D2B9BAD"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Обязать исполком Московского городского Совета депутатов трудящихся (т. Пронина): а) обеспечить жильем в г. Москве квалифицированных рабочих и ИТР, переводимых из других городов для работы в ОКБ ВЭИ (по спискам Наркомэлектропрома); б) произвести в месячный срок восстановительные работы в помещениях ОКБ ВЭИ.</w:t>
      </w:r>
    </w:p>
    <w:p w14:paraId="0D0028B9"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Освободить рабочих, ИТР и научных работников особого конструкторского бюро ВЭИ от призыва в Красную армию.</w:t>
      </w:r>
    </w:p>
    <w:p w14:paraId="5A26F1D6"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Обязать Наркомат автомобильного транспорта РСФСР (т. Куршева) выделить в мае-июне месяцах 1942 г. Наркомэлектропрому для ОКБ ВЭИ из числа отремонтированных машин: пикап Н1 — 2 шт., ГАЗ-АА — 2 шт. и легковых М-1 — 1 шт.</w:t>
      </w:r>
    </w:p>
    <w:p w14:paraId="2318742A"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Обязать Наркомторг СССР (т. Любимова) организовать для рабочих и ИТР ОКБ ВЭИ закрытый буфет и столовую и обеспечить дополнительным снабжением рабочих и ИТР ОКБ ВЭИ, занятых на вредном для здоровья производстве.</w:t>
      </w:r>
    </w:p>
    <w:p w14:paraId="7C2D256D"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Государственного комитета обороны И. Сталин</w:t>
      </w:r>
    </w:p>
    <w:p w14:paraId="6B01D350"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1. Д. 35. Л. 51-52, 60-61. Подлинники (24083).</w:t>
      </w:r>
    </w:p>
    <w:p w14:paraId="401482B2" w14:textId="77777777" w:rsidR="009234E5" w:rsidRPr="008A2E5A" w:rsidRDefault="009234E5" w:rsidP="009234E5">
      <w:pPr>
        <w:spacing w:after="0" w:line="240" w:lineRule="auto"/>
        <w:jc w:val="both"/>
        <w:rPr>
          <w:rFonts w:ascii="Times New Roman" w:hAnsi="Times New Roman"/>
          <w:color w:val="0070C0"/>
          <w:sz w:val="16"/>
          <w:szCs w:val="16"/>
        </w:rPr>
      </w:pPr>
    </w:p>
    <w:p w14:paraId="6DE6D063"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мая 1942 г. были начаты Поста</w:t>
      </w:r>
      <w:r w:rsidRPr="008A2E5A">
        <w:rPr>
          <w:rFonts w:ascii="Times New Roman" w:hAnsi="Times New Roman"/>
          <w:color w:val="0070C0"/>
          <w:sz w:val="16"/>
          <w:szCs w:val="16"/>
        </w:rPr>
        <w:softHyphen/>
        <w:t>новления ГКО №1735 работы по ИК приборам в ВЭИ. Для проведения работ приказом Наркома в составе ОКБ ВЭИ была организована специ</w:t>
      </w:r>
      <w:r w:rsidRPr="008A2E5A">
        <w:rPr>
          <w:rFonts w:ascii="Times New Roman" w:hAnsi="Times New Roman"/>
          <w:color w:val="0070C0"/>
          <w:sz w:val="16"/>
          <w:szCs w:val="16"/>
        </w:rPr>
        <w:softHyphen/>
        <w:t xml:space="preserve">альная лаборатория №1. Главным инженером ОКБ был назначен профессор П.В. Тимофеев. Начальником лаборатории №1 был назначен В.И. Архангельский. </w:t>
      </w:r>
    </w:p>
    <w:p w14:paraId="4AD54B1E"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Идея использования ИК аппаратуры, разработанной и изготовленной ОКБ при ВЭИ для ВВС КА по решению ГКО, заключалась в том, чтобы свой самолет с ИК-прибором наблюдения мог выйти в район расположения аэродрома по невидимому для противника вращающемуся ИК-маяку, затем нашел свой аэродром по невидимым невоору</w:t>
      </w:r>
      <w:r w:rsidRPr="008A2E5A">
        <w:rPr>
          <w:rFonts w:ascii="Times New Roman" w:hAnsi="Times New Roman"/>
          <w:color w:val="0070C0"/>
          <w:sz w:val="16"/>
          <w:szCs w:val="16"/>
        </w:rPr>
        <w:softHyphen/>
        <w:t xml:space="preserve">женным глазом наземным сигнальным источникам, сделал расчет и осуществил посадку. </w:t>
      </w:r>
    </w:p>
    <w:p w14:paraId="73AFA020"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Для опознавания свой-чужой, а также для секретной связи самолета с землей предполагалось использовать кодовые огни, полотнища и линии </w:t>
      </w:r>
    </w:p>
    <w:p w14:paraId="339EF0D9"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На основании указания ГКО предполагалось к 1 июля 1942 г. изготовить для ВВС 250 биноклей и 10 комплектов наземного оборудования. </w:t>
      </w:r>
    </w:p>
    <w:p w14:paraId="738A8D2B" w14:textId="77777777" w:rsidR="009234E5" w:rsidRPr="008A2E5A" w:rsidRDefault="009234E5" w:rsidP="009234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Задание на изготовление приборов было распре</w:t>
      </w:r>
      <w:r w:rsidRPr="008A2E5A">
        <w:rPr>
          <w:rFonts w:ascii="Times New Roman" w:hAnsi="Times New Roman"/>
          <w:color w:val="0070C0"/>
          <w:sz w:val="16"/>
          <w:szCs w:val="16"/>
        </w:rPr>
        <w:softHyphen/>
        <w:t>делено между несколькими заводами, самим ВЭИ и мастерскими ВВА. По причине отсутствия произ</w:t>
      </w:r>
      <w:r w:rsidRPr="008A2E5A">
        <w:rPr>
          <w:rFonts w:ascii="Times New Roman" w:hAnsi="Times New Roman"/>
          <w:color w:val="0070C0"/>
          <w:sz w:val="16"/>
          <w:szCs w:val="16"/>
        </w:rPr>
        <w:softHyphen/>
        <w:t>водственных мощностей и материалов, а также дефицита людских и материальных ресурсов, выпол</w:t>
      </w:r>
      <w:r w:rsidRPr="008A2E5A">
        <w:rPr>
          <w:rFonts w:ascii="Times New Roman" w:hAnsi="Times New Roman"/>
          <w:color w:val="0070C0"/>
          <w:sz w:val="16"/>
          <w:szCs w:val="16"/>
        </w:rPr>
        <w:softHyphen/>
        <w:t>нение задания было сорвано. К февралю 1943 г было изготовлено 5 биноклей, один комплект наземного оборудования и два экземпляра прибора для поиска самолета противника ночью (24306).</w:t>
      </w:r>
    </w:p>
    <w:p w14:paraId="2556B0BF" w14:textId="77777777" w:rsidR="009234E5" w:rsidRPr="008A2E5A" w:rsidRDefault="009234E5" w:rsidP="009234E5">
      <w:pPr>
        <w:spacing w:after="0" w:line="240" w:lineRule="auto"/>
        <w:jc w:val="both"/>
        <w:rPr>
          <w:rFonts w:ascii="Times New Roman" w:hAnsi="Times New Roman"/>
          <w:color w:val="0070C0"/>
          <w:sz w:val="16"/>
          <w:szCs w:val="16"/>
        </w:rPr>
      </w:pPr>
    </w:p>
    <w:p w14:paraId="3B270C5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вышло Постановление ГКО № 1755 О специальных оптических приборах. РГАНИР, Фонд ГКО, д. 35, лл. 51-52, 53-61 (11012).</w:t>
      </w:r>
    </w:p>
    <w:p w14:paraId="6411F8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6F2B0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вышло Постановление ГКО № 1757 Об улучшении условий работы Ленинградского, Московского, Днепропетровского и Новосибирского институтов железнодорожного транспорта. (7035, 63).</w:t>
      </w:r>
    </w:p>
    <w:p w14:paraId="63D2F7A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736D0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вышло Постановление ГКО № 1758 О восстановлении производства дизелей на Коломенском машиностроительном заводе им. Куйбышева Hаркомтяжмаша [Московской обл.]. (7035, 64-68,69-77).</w:t>
      </w:r>
    </w:p>
    <w:p w14:paraId="7A2B6C1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DE2B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вышло Постановление ГКО № 1761 О поставке Наркомвоенморфлоту аккумуляторных батарей для подводных лодок. РГАНИР, Фонд ГКО, д. 35, лл. 80-82, 83-86 (11012).</w:t>
      </w:r>
    </w:p>
    <w:p w14:paraId="5C4097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00D9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года была подготовлена справка:</w:t>
      </w:r>
    </w:p>
    <w:p w14:paraId="7C91A4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8 – Свердловск (9212).</w:t>
      </w:r>
    </w:p>
    <w:p w14:paraId="7A5232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5F686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D34B0B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6D893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в 1942 году утреннее сообщение Совинформбюро:</w:t>
      </w:r>
    </w:p>
    <w:p w14:paraId="1A3610A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15 мая продолжались упорные бои на Керченском полуострове.</w:t>
      </w:r>
    </w:p>
    <w:p w14:paraId="272A5C7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Харьковском направлении наши части продолжали вести наступательные бои. На других участках фронта чего-либо существенного не произошло.</w:t>
      </w:r>
    </w:p>
    <w:p w14:paraId="1F2A341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Харьковском направлении наши войска продолжают вести успешные наступательные бои. Одна наша часть за день уничтожила более 1.500 гитлеровцев и захватила 150 пленных. Трофеи подсчитываются. Другая наша часть уничтожила 260 немецких солдат и офицеров и захватила 8 немецких орудий, 6 пулемётов, 2 миномёта, радиостанцию и другое военное имущество.</w:t>
      </w:r>
    </w:p>
    <w:p w14:paraId="311D680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Советские танкисты, действующие на одном из участков Южного фронта, внезапно атаковали село, занятое немцами. Отважные бойцы уничтожили 135 гитлеровцев и захватили миномёт, 2 крупнокалиберных пулемёта, большое количество мин и взорвали склад противника с боеприпасами.</w:t>
      </w:r>
    </w:p>
    <w:p w14:paraId="502C3F7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под командованием тов. Юдинцева (Калининский фронт) за пять дней уничтожила более 500 гитлеровцев. Подразделение старшего лейтенанта Шутова отбило три вражеские контратаки и уничтожило свыше 100 немецких солдат иофицеров. Захвачены пленные. Мужественно сражался в этом бою младший политрук Чвырёв. Он лично уничтожил 16 немцев. Лейтенант Рыскаль уничтожил в этом же бою12 гитлеровцев.</w:t>
      </w:r>
    </w:p>
    <w:p w14:paraId="4C8C76A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подразделения командира Тирашёва за два дня уничтожали немецкую батарею, 10 повозок с военными грузами, станковый пулемёт и разрушили 17 блиндажей с вражеской пехотой.</w:t>
      </w:r>
    </w:p>
    <w:p w14:paraId="43B1A3A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Партизанские отряды под командованием тов. В., действующие в тылу у врага на Северо-Западном фронте, за последнее время уничтожили свыше 600 немецко-фашистских оккупантов. Партизаны взорвали склад противника с боеприпасами и захватили многочисленные трофеи.</w:t>
      </w:r>
    </w:p>
    <w:p w14:paraId="10DF876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Солдат 11 роты 212 полка 79 немецкой пехотной дивизии Франт, взятый в плен 12 мая на Харьковском направлении, сообщил: «Когда началось наступление русских, группа солдат нашей роты отказалась пойти в контратаку. Офицер тут же застрелил шесть солдат».</w:t>
      </w:r>
    </w:p>
    <w:p w14:paraId="6A5B009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отрывки из записной книжки немецкого унтер-офицера, фамилию которого установить не удалось:</w:t>
      </w:r>
    </w:p>
    <w:p w14:paraId="4032903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«Батальон был вынужден отойти, так как русские прорвали фронт между 431 и 432 полками. Утром русские с танками при поддержке артиллерийского огня заняли деревню. У нас опять много убитых.</w:t>
      </w:r>
    </w:p>
    <w:p w14:paraId="6ED2CB3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батальоне осталось всего 40 человек. К нам на место Горна прибыл унтер-офицер Корнер — 39 лет. Горн прострелил себе руку из пистолета.</w:t>
      </w:r>
    </w:p>
    <w:p w14:paraId="27CB034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грузовиках прибыло новое пополнение. Полку дали лишь 100 человек. Все почти необученные. Смешно! Это только пушечное мясо.</w:t>
      </w:r>
    </w:p>
    <w:p w14:paraId="32489B4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Отступили ещё на 10 километров. Рассказывают, что леса и деревни вокруг кишат партизанами. Их около 10 тысяч человек. У них новые миномёты.</w:t>
      </w:r>
    </w:p>
    <w:p w14:paraId="26798AE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соседней деревне один дом взлетел на воздух. Предполагают, что в нём была заложена адская машина. 76 человек (целая рота!) убито или ранено».</w:t>
      </w:r>
    </w:p>
    <w:p w14:paraId="1FD345F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Нашими частями захвачен секретный приказ по 3 немецкой танковой армии за №1603. В приказе говорится, что в ряде районов Германии свирепствуют эпидеми исыпного тифа, дифтерита, скарлатины и других болезней. В параграфе № 6 приказа перечисляются 23 округа, где эпидемия тифа и других болезней приняла особенно угрожающие размеры. Въезд солдат в эти округа воспрещён.</w:t>
      </w:r>
    </w:p>
    <w:p w14:paraId="072F0FF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военных заводов близ Берлина произошло массовое отравление иностранных рабочих недоброкачественной пищей. Возмущённые рабочие объявили забастовку и потребовали отпустить их на родину. Прибывшие на завод отряды полиции и штурмовиков произвели многочисленные аресты. Через несколько дней на заводе возник пожар. Огнём уничтожено несколько цехов.» (14892).</w:t>
      </w:r>
    </w:p>
    <w:p w14:paraId="338408F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B57BE5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в 1942 году вечернее сообщение Совинформбюро:</w:t>
      </w:r>
    </w:p>
    <w:p w14:paraId="202E2A0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15 мая на Керченском полуострове наши войска продолжали вести упорные бои с превосходящими силами противника.</w:t>
      </w:r>
    </w:p>
    <w:p w14:paraId="260F5CA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 Харьковском направлении наши войска вели наступательные бои и продвигались вперёд. За 3 дня боёв захвачено 255 орудий, уничтожено и подбито свыше 250 танков, сбито 40 самолётов противника.</w:t>
      </w:r>
    </w:p>
    <w:p w14:paraId="36636F0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ничего существенного не произошло.</w:t>
      </w:r>
    </w:p>
    <w:p w14:paraId="1FA6538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14 мая уничтожено 25 немецких самолётов. Наши потери — 11 самолётов.</w:t>
      </w:r>
    </w:p>
    <w:p w14:paraId="4ADE430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Советский корабль в Баренцевом море потопил один транспорт и два сторожевых корабля противника.</w:t>
      </w:r>
    </w:p>
    <w:p w14:paraId="4BBEEC4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14 мая частями нашей авиации на разных участках фронта уничтожено или повреждено до 100 немецких танков, 3 бронемашины, 300 автомашин с войсками игрузами, 25 подвод с боеприпасами, 5 автоцистерн с горючим, 9 полевых и зенитных орудий, 13 зенитно-пулемётных точек, разбит железнодорожный состав, рассеяно и частью уничтожено до 3 рот пехоты противника.</w:t>
      </w:r>
    </w:p>
    <w:p w14:paraId="767ABC6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Калининского фронта, уничтожила несколько немецких орудий, более 30 автомашин и повозок с грузом, 8 ДЗОТов с пехотой противника. Немцы потеряли на этом участке убитыми 300 солдат и офицеров.</w:t>
      </w:r>
    </w:p>
    <w:p w14:paraId="5D9B85A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Лётчики части, которой командует тов. Борисенко, за день боевых действий уничтожили 7 немецких танков, 90 автомашин с пехотой и грузами, несколько полевых и зенитных орудий, взорвали мост и большой склад с боеприпасами.</w:t>
      </w:r>
    </w:p>
    <w:p w14:paraId="326237D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батареи старшего лейтенанта Самодурова за один день уничтожили 2 немецких танка, противотанковое орудие и более 100 немецких солдат иофицеров.</w:t>
      </w:r>
    </w:p>
    <w:p w14:paraId="7D0548C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Красноармейцы Гущенко, Румянцев, Винокуров, Белоусов, Горобец и командир Пешков за два дня гранатами и бутылками с горючей жидкостью вывели из строя 6 немецких танков.</w:t>
      </w:r>
    </w:p>
    <w:p w14:paraId="4EC72A4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белорусских партизан под командованием тов. В. разрушил железнодорожный мост и пустил под откос 2 эшелона с войсками противника. Под обломками вагонов погибло свыше 600 немецких солдат и офицеров.</w:t>
      </w:r>
    </w:p>
    <w:p w14:paraId="49ACDF9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2 батареи 87 артполка Вилли Фридляйн рассказал: «Я пролежал месяц в госпитале в Знаменке. Там находилось около 1.000 раненых солдат, прибывших, главным образом, с Крымского фронта. В палатах было необычайно тесно. Каждый день прибывали всё новые и новые раненые. Еженедельно из госпиталя в глубокий тыл отправляли три санитарных поезда. Меня из Знаменки направили в Днепропетровск. В этом городе очень много госпиталей и лазаретов. Я попал в 91 армейский госпиталь. Здесь в палатах устроены двухэтажные койки, но мест всё равно не хватает».</w:t>
      </w:r>
    </w:p>
    <w:p w14:paraId="080ABE3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Немецкому солдату Матиасу Уль его жена пишет: «Сегодня утром произошёл трагический случай. Жена Филиппа Германа пыталась убить своих детей и покончить с собой. Старший ребёнок умер, второй в тяжёлом состоянии отправлен вместе с матерью в больницу. Она не могла перенести тяжёлые лишения и нужду».</w:t>
      </w:r>
    </w:p>
    <w:p w14:paraId="1F2FD7F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9 немецкой пехотной дивизии Пауль Шредер заявил: «Война против Советского Союза — это бандитская война. Во многих случаях это даже не война, а подлое истребление безоружных мирных жителей. В Киеве немецкие военные власти расстреляли 85 тысяч советских граждан, во Львове — 50 тысяч. В Запорожье эсэсовцы убивали стариков, женщин, детей, грудных младенцев и даже новорождённых. Я убедился, что массовые убийства ни в чём не повинных людей совершаются по приказу сверху».</w:t>
      </w:r>
    </w:p>
    <w:p w14:paraId="097DCB7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Штуттгарте (Германия) произошёл большой пожар на товарной станции. Сгорели пакгаузы. Все иностранцы, работавшие на товарной станции, арестованы.» (14892).</w:t>
      </w:r>
    </w:p>
    <w:p w14:paraId="39F47EA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3ABE3B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в 1942 году ставка ВГК на базе Закавказского Военного Округа вновь создала Закавказский фронт (14892).</w:t>
      </w:r>
    </w:p>
    <w:p w14:paraId="244C113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53E33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15-го мая 1942 на фронт дополнительно прибыла бомбардировавшая авиация 55 эскадры особого назначения, перелетевшая с Керченского участка фронта в составе двух групп до 40 самолетов He-111, дислоцировавшиеся на аэродромах Конотоп, Днепропетровск”. Нужно отметить, что 15 мая в районе Царедаровка - Александровка КС 55 потеряла три своих самолета, из которых два были из только что прибывшей на этот участок фронта первой группы. В этот день в указанном районе отличились истребители ВВС Южного фронта. Группа из шести И-16 40-го иап, которую вел командир эскадрильи И.М.Пилипенко, встретила большую группу самолетов противника, насчитывавшую более сорока бомбардировщиков разных типов и истребителей прикрытия. В результате 20-минутного боя было сбито шесть неприятельских самолетов. Упорные бои на подступах к Краснограду вели также истребители ВВС 6-й армии. Утром звено ЛаГГ-3 181-го ПАП вылетело па прикрытие своих войск в район Н.Водолага, Парасковая, Тарановка. где встретили 4 Ю-88. Проведя одну атаку, ЛаГГи заставили противника сбросить бомбы в чистом поле. По немецким данным, атаке советских истребителей подверглись Ju 88A-4 из II./КС 51. В результате был убит бортрадист одного из бомбардировщиков, унтерофицер Вильгельм Липпек. После успешной атаки ЛаГГи сами были атакованы 13-ю Ме-109. В коротком бою 2 ЛаГГ-3 были сбиты: мл.л-т А.Сайко и ст-на Ф.Пономарев покинули горящие самолеты с парашютами. Следующий воздушный бой между истребителями произошел в 15:38-16:30. Пара Як-1 и пара ЛаГГ-3, сопровождая штурмовиков в районе Тарановки, встретили 14 Ме-109, с которыми пришлось вступить в неравный бой. Хотя истребители противника наседали со всех сторон, одного из нападавших удалось сбить (по-видимому, это был Bf 109Г-4 фельдфебеля Фридриха Шмидта из 6./JG 52). Но в бою был сбит ЛаГГ-3 л-та Ковалева из 23-го ИАП. Его самолет упал и сгорел о районе Мироновки, а оставшиеся три советских истребителя вышли из навязанного им боя, имея в каждом самолете по 10-20 пробоин. Поврежденные машины, не дотянув до аэродрома. сели на вынужденную на своей территории. В этот же день ВВС 6-и Армии недосчитались еще одного истребителя - был сбит И-153 командира эскадрильи 92-го иап мл.л-та Матвеева. Продолжал нести потери и 282-й иап ВВС 3&lt;SA: не вернулся с задания ст.с-т Фролов. а л-т Тараханеев был ранен огнем с земли. Штурман 512-го иап ст.л-т Захар Семенюк совершил вынужденную посадку на поврежденном в бою самолете. При приземлении его ЛаГГ-3 был разбит. Напряжение боев не снижалось и на следующий день. хотя уровень потерь с обеих сторон заметно снизился: известно только о ДВУХ потерях с одной стороны и столько же - с другой. Ничего не предвещало будущей катастрофы (9394,16).</w:t>
      </w:r>
    </w:p>
    <w:p w14:paraId="0E51E1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4B4B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19-й иаполк 258-й иад уже вступил в бой на Р-40 "Киттихаук". Примерно в это же время получили первые "Киттихауки" в 122-й дивизии ПВО, ранее сплошь вооруженной "Харрикейнами" (3457,62).</w:t>
      </w:r>
    </w:p>
    <w:p w14:paraId="41906A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44008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после продолжительного перерыва, вызванного операцией по удалению аппендицита, на новом истребителе Р-40Е с бортовым номером "10" поднялся в воздух гвардии подполковник Б.Ф. Сафонов. 30 мая он не вернулся из боевого вылета на прикрытие конвоя PQ-16 (3222,29).</w:t>
      </w:r>
    </w:p>
    <w:p w14:paraId="37D415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3C4D2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советские войска сдали Керчь. Манштейн блестяще реализовал операцию "Охота на дроф". Видную роль в развале Крымского фронта сыграл Л.Мехлис. 176 тыс. чел. попали в плен, около 15 тыс. спустились в Аджимушкайские каменоломни под Керчью. Почти 2 тыс. трофейных орудий немцы использовали в многодневной артподготовке 3-го штурма Севастополя (4963 ).</w:t>
      </w:r>
    </w:p>
    <w:p w14:paraId="4A690F7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83EFF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фашистские войска взяли Керчь (4962).</w:t>
      </w:r>
    </w:p>
    <w:p w14:paraId="4F99FAD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38428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немцы, начавшие наступление в Крыму 8 мая, захватили Керчь (340,87).</w:t>
      </w:r>
    </w:p>
    <w:p w14:paraId="465DE3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E0376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May 15th, 1942: In the East, the German 11.Armee (von Manstein) captures Kerch in the eastern Crimea, forcing the Soviet forces to withdraw across the straits to the Taman peninsula. At Charkov, the German 6.Armee (von Paulus) repulses heavy Soviet attacks (3819).</w:t>
      </w:r>
    </w:p>
    <w:p w14:paraId="26B9EA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568A47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11А (фон Манштейн) захватила Керчь, заставив КА отступить через керченский пролив на Таманский п/о. У Харькова 6А (фон Паулюс) отбила атаки КА (3819).</w:t>
      </w:r>
    </w:p>
    <w:p w14:paraId="5A79BF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B71E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г.ПРИКАЗ НКО № 0381 С ОБЪЯВЛЕНИЕМ ПОЛОЖЕНИЙ О ПРОХОЖДЕНИИ СЛУЖБЫ ЛИЧНЫМ СОСТАВОМ И О РАБОТЕ ГРАЖДАНСКОГО ВОЗДУШНОГО ФЛОТА В ВОЕННОЕ ВРЕМЯ</w:t>
      </w:r>
    </w:p>
    <w:p w14:paraId="0B0D91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Государственного Комитета Обороны № ГОКО-1728сс от 11 мая 1942 г. — объявляю:</w:t>
      </w:r>
    </w:p>
    <w:p w14:paraId="22A2C71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Положение о прохождении службы личным составом Гражданского воздушного флота в военное время (приложение № 1).</w:t>
      </w:r>
    </w:p>
    <w:p w14:paraId="59BCD9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Положение о работе Гражданского воздушного флота в военное время (приложение № 2).</w:t>
      </w:r>
    </w:p>
    <w:p w14:paraId="3CFC97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Назначаются:</w:t>
      </w:r>
    </w:p>
    <w:p w14:paraId="415AE5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Начальником Главного управления Гражданского воздушного флота и заместителем командующего ВВС Красной Армии — генерал-лейтенант авиации т. Астахов Ф. А., с освобождением его от обязанностей начальника Академии командно-штурманского состава ВВС Красной Армии.</w:t>
      </w:r>
    </w:p>
    <w:p w14:paraId="5733C3D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Заместителем начальника- Главного управления Гражданского воздушного флота — т. Белов И. С.</w:t>
      </w:r>
    </w:p>
    <w:p w14:paraId="77ECC3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Начальником Политического управления Главного управления Гражданского воздушного флота — батальонный комиссар т. Журавлев А. Ф.</w:t>
      </w:r>
    </w:p>
    <w:p w14:paraId="5116FE1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Заместитель Народного комиссара обороны СССР генерал-лейтенант авиации НОВИКОВ </w:t>
      </w:r>
      <w:r w:rsidRPr="008127F8">
        <w:rPr>
          <w:rFonts w:ascii="Times New Roman" w:hAnsi="Times New Roman"/>
          <w:color w:val="000000" w:themeColor="text1"/>
          <w:sz w:val="16"/>
          <w:szCs w:val="16"/>
        </w:rPr>
        <w:t>(9844).</w:t>
      </w:r>
    </w:p>
    <w:p w14:paraId="7A1FB5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Приложение № 1 </w:t>
      </w:r>
      <w:r w:rsidRPr="008127F8">
        <w:rPr>
          <w:rFonts w:ascii="Times New Roman" w:hAnsi="Times New Roman"/>
          <w:color w:val="000000" w:themeColor="text1"/>
          <w:sz w:val="16"/>
          <w:szCs w:val="16"/>
        </w:rPr>
        <w:t>ПОЛОЖЕНИЕ О ПРОХОЖДЕНИИ СЛУЖБЫ ЛИЧНЫМ СОСТАВОМ ГРАЖДАНСКОГО ВОЗДУШНОГО ФЛОТА В ВОЕННОЕ ВРЕМЯ</w:t>
      </w:r>
    </w:p>
    <w:p w14:paraId="2D83630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Личный состав Гражданского воздушного флота подразделяется согласно штатам на военнослужащих и вольнонаемных.</w:t>
      </w:r>
    </w:p>
    <w:p w14:paraId="247A77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Вольнонаемный состав, согласно постановлению СНК СССР от 23.06. 1941 г., считается мобилизованным.</w:t>
      </w:r>
    </w:p>
    <w:p w14:paraId="093AFAA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Аттестование кадрового и вольнонаемного состава Гражданского воздушного флота проводится в соответствии с приказами Народного комиссара обороны и командующего ВВС Красной Армии в установленные ими сроки.</w:t>
      </w:r>
    </w:p>
    <w:p w14:paraId="36AF85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Кадровый состав Красной Армии, работающий в центральном аппарате ГУГВФ, НИИ, ремонтных предприятиях и других подразделениях ГВФ в отношении зарплаты приравнивается соответственно должностям ВВС Красной Армии.</w:t>
      </w:r>
    </w:p>
    <w:p w14:paraId="06B2C9F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Всему летно-подъемному, инженерно-техническому, командному и политическому составу ГВФ присваиваются воинские звания, установленные указами Правительства.</w:t>
      </w:r>
    </w:p>
    <w:p w14:paraId="13F9F66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Сроки выслуги в воинских званиях личного состава, состоящего на службе в ГВФ, устанавливаются в соответствии с постановлением ГОКО № 1251 от 7.02.1942 г.</w:t>
      </w:r>
    </w:p>
    <w:p w14:paraId="776E64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При зачислении личного состава ГВФ в кадры ВВС Красной Армии в срок выслуги на должностях начальствующего состава засчитывается срок пребывания на службе в ГВФ.</w:t>
      </w:r>
    </w:p>
    <w:p w14:paraId="610C742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С введением настоящего положения на личный состав, состоящий в системе ГВФ, распространяются уставы, положения и приказы Народного комиссара обороны СССР, действующие в воинских частях и учреждениях Красной Армии.</w:t>
      </w:r>
    </w:p>
    <w:p w14:paraId="35D039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Начальник штаба ВВС Красной Армии</w:t>
      </w:r>
    </w:p>
    <w:p w14:paraId="10372AB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генерал-майор авиации ХУДЯКОВ</w:t>
      </w:r>
    </w:p>
    <w:p w14:paraId="2F6D8E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Военный комиссар штаба ВВС Красной Армии</w:t>
      </w:r>
    </w:p>
    <w:p w14:paraId="191231D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бригадный комиссар НИКУЛИН</w:t>
      </w:r>
    </w:p>
    <w:p w14:paraId="6A0F8B2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Начальник Организационно-мобилизационного управления штаба ВВС Красной Армии полковник СОКОЛОВЕРОВ </w:t>
      </w:r>
      <w:r w:rsidRPr="008127F8">
        <w:rPr>
          <w:rFonts w:ascii="Times New Roman" w:hAnsi="Times New Roman"/>
          <w:color w:val="000000" w:themeColor="text1"/>
          <w:sz w:val="16"/>
          <w:szCs w:val="16"/>
        </w:rPr>
        <w:t>(9844).</w:t>
      </w:r>
    </w:p>
    <w:p w14:paraId="7159526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Приложение № 2 </w:t>
      </w:r>
      <w:r w:rsidRPr="008127F8">
        <w:rPr>
          <w:rFonts w:ascii="Times New Roman" w:hAnsi="Times New Roman"/>
          <w:color w:val="000000" w:themeColor="text1"/>
          <w:sz w:val="16"/>
          <w:szCs w:val="16"/>
        </w:rPr>
        <w:t>ПОЛОЖЕНИЕ О РАБОТЕ ГРАЖДАНСКОГО ВОЗДУШНОГО ФЛОТА В ВОЕННОЕ ВРЕМЯ</w:t>
      </w:r>
    </w:p>
    <w:p w14:paraId="0ABACB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Гражданский воздушный флот подчиняется во всех отношениях заместителю Народного комиссара обороны по авиации — командующему Военно-воздушными силами Красной Армии.</w:t>
      </w:r>
    </w:p>
    <w:p w14:paraId="3B22985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Начальник Главного управления Гражданского воздушного флота является заместителем командующего ВВС Красной Армии.</w:t>
      </w:r>
    </w:p>
    <w:p w14:paraId="393BD6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Основными задачами Главного управления Гражданского воздушного флота являются:</w:t>
      </w:r>
    </w:p>
    <w:p w14:paraId="479113E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обслуживание Красной Армии и оборонной промышленности воздушными перевозками на фронте и в тылу;</w:t>
      </w:r>
    </w:p>
    <w:p w14:paraId="23B6A1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руководство работой подразделений ГВФ, обслуживающих военно-транспортными перевозками действующие части Красной Армии;</w:t>
      </w:r>
    </w:p>
    <w:p w14:paraId="304C3D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выполнение особых заданий Государственного Комитета Обороны, НКО и НКВМФ по спецперевозкам военных и оборонных грузов;</w:t>
      </w:r>
    </w:p>
    <w:p w14:paraId="77F038E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руководство работой транспортной авиации ГВФ и других наркоматов;</w:t>
      </w:r>
    </w:p>
    <w:p w14:paraId="55C51D7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руководство и практическое проведение мероприятий по десантированию и особым заданиям на фронте, выполняемым транспортными самолетами;</w:t>
      </w:r>
    </w:p>
    <w:p w14:paraId="060917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подготовка пилотов для боевой авиации и подготовка и повышение квалификации летно-подъемного состава транспортных самолетов;</w:t>
      </w:r>
    </w:p>
    <w:p w14:paraId="25CC1B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обслуживание авиаперевозками нужд народного хозяйства;</w:t>
      </w:r>
    </w:p>
    <w:p w14:paraId="2237AB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 руководство ремонтными органами, аэродромной службой и службой связи, обеспечивающих нормальную работу самолетов ГВФ.</w:t>
      </w:r>
    </w:p>
    <w:p w14:paraId="4CB75FC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ГУГВФ и эксплуатационные подразделения на местах всю работу проводят в соответствии с наставлениями ГУГВФ по аэродромной и летной службам и службе связи и сигнализации на воздушных линиях Гражданского воздушного флота.</w:t>
      </w:r>
    </w:p>
    <w:p w14:paraId="31E2AC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ГУГВФ устанавливает порядок эксплуатации и использования средств связи, радионавигации и сигнализации, надзора и контроля в эфире за их работой, а также выдает разрешение на монтаж и эксплуатацию радиоустройств и установок на земле и на воздушных судах ГВФ.</w:t>
      </w:r>
    </w:p>
    <w:p w14:paraId="5FF765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В состав Главного управления ГВФ входят:</w:t>
      </w:r>
    </w:p>
    <w:p w14:paraId="30EC6DF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Политическое управление.</w:t>
      </w:r>
    </w:p>
    <w:p w14:paraId="7943E9E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Эксплуатационное управление.</w:t>
      </w:r>
    </w:p>
    <w:p w14:paraId="3D7069A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Ремонтно-техническое управление.</w:t>
      </w:r>
    </w:p>
    <w:p w14:paraId="1C9305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Управление связи и сигнализации.</w:t>
      </w:r>
    </w:p>
    <w:p w14:paraId="4F3FA4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Управление капитального строительства.</w:t>
      </w:r>
    </w:p>
    <w:p w14:paraId="579200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Планово-финансовое управление.</w:t>
      </w:r>
    </w:p>
    <w:p w14:paraId="17307B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Центральное управление снабжения.</w:t>
      </w:r>
    </w:p>
    <w:p w14:paraId="39FA419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Управление учебных заведений и боевой подготовки.</w:t>
      </w:r>
    </w:p>
    <w:p w14:paraId="50B2C8F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Управление делами ГУГВФ.</w:t>
      </w:r>
    </w:p>
    <w:p w14:paraId="75D3C14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Управление кадров.</w:t>
      </w:r>
    </w:p>
    <w:p w14:paraId="57A9D6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Мобилизационный отдел.</w:t>
      </w:r>
    </w:p>
    <w:p w14:paraId="29987D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Отдел военизированной охраны.</w:t>
      </w:r>
    </w:p>
    <w:p w14:paraId="5A04D3F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Секретно-шифровальный отдел.</w:t>
      </w:r>
    </w:p>
    <w:p w14:paraId="0643C1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Секретариат начальника ГУГВФ.</w:t>
      </w:r>
    </w:p>
    <w:p w14:paraId="7072B6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С введением в жизнь настоящего Положения обеспечение всех подразделений ГВФ материальной частью, запасными частями, вещевым и продовольственным снабжением, авиа-автогорючим, смазочными материалами, вооружением и боепитанием, а также обеспечение перевозок для подразделений ГВФ всеми видами транспорта производится наравне с частями Военно-воздушных сил Красной Армии.</w:t>
      </w:r>
    </w:p>
    <w:p w14:paraId="7BD7CD8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Авиаотряды и авиагруппы ГУГВФ, придаваемые для обслуживания действующих частей Красной Армии и ВМФ, обеспечиваются квартирно-коммунальным обслуживанием, вооружением, продовольственным снабжением, авиа- и автогорючим и смазочными материалами в местах базирования за счет ресурсов частей Красной Армии и ВМФ, коим они приданы.</w:t>
      </w:r>
    </w:p>
    <w:p w14:paraId="20F5F3B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Начальник штаба ВВС Красной Армии</w:t>
      </w:r>
    </w:p>
    <w:p w14:paraId="16947F3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генерал-майор авиации ХУДЯКОВ</w:t>
      </w:r>
    </w:p>
    <w:p w14:paraId="59E032F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Военный комиссар штаба ВВС Красной Армии</w:t>
      </w:r>
    </w:p>
    <w:p w14:paraId="0911435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бригадный комиссар НИКУЛИН</w:t>
      </w:r>
    </w:p>
    <w:p w14:paraId="76505C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Начальник Организационно-мобилизационного управления штаба ВВС Красной Армии полковник СОКОЛОВЕРОВ </w:t>
      </w:r>
      <w:r w:rsidRPr="008127F8">
        <w:rPr>
          <w:rFonts w:ascii="Times New Roman" w:hAnsi="Times New Roman"/>
          <w:color w:val="000000" w:themeColor="text1"/>
          <w:sz w:val="16"/>
          <w:szCs w:val="16"/>
        </w:rPr>
        <w:t>(9844).</w:t>
      </w:r>
    </w:p>
    <w:p w14:paraId="040257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EDA7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вышло Постановление ГКО № 1756 О сформировании 18 противотанковых артиллерийских полков. РГАНИР, Фонд ГКО, д. 35, лл. 62 (11012).</w:t>
      </w:r>
    </w:p>
    <w:p w14:paraId="005247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95F0C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вышло Постановление ГКО № 1759 Об усилении огневых средств в 50 стрелковых дивизиях. (7035, 78).</w:t>
      </w:r>
    </w:p>
    <w:p w14:paraId="6643C09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403A1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4B01915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32BD8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в советской тюрьме повесился Генрих Эрлих, бывший редактор еврейской газеты в Польше, эмигрировавший в СССР, спасаясь от фашистов (4962).</w:t>
      </w:r>
    </w:p>
    <w:p w14:paraId="339CEF7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9B1D1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27B6EC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9D626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15 мая в 1942 году появились тpебования 17-Си к экспеpиментальному бомбаpдиpовщику "для специальных заданий". Главным констpуктоpом самолета стал Hоpио Озаки. Самолет должен был сочетать высокую скоpость, чтобы избежать пеpехвата, с большой дальностью полета (1500км). Hо так как самолет пpедусматpивал фактически одноpазовое пpименение, тип шасси даже не оговаpивался, плоскости можно было бы складывать. Разpаботка самолета, получившего фиpменное обозначение «АМ-24» и коpоткое </w:t>
      </w:r>
      <w:hyperlink r:id="rId23" w:tgtFrame="_blank" w:history="1">
        <w:r w:rsidRPr="008127F8">
          <w:rPr>
            <w:rFonts w:ascii="Times New Roman" w:hAnsi="Times New Roman"/>
            <w:color w:val="000000" w:themeColor="text1"/>
            <w:sz w:val="16"/>
            <w:szCs w:val="16"/>
          </w:rPr>
          <w:t xml:space="preserve">«М6А1» "Сейpан", </w:t>
        </w:r>
      </w:hyperlink>
      <w:r w:rsidRPr="008127F8">
        <w:rPr>
          <w:rFonts w:ascii="Times New Roman" w:hAnsi="Times New Roman"/>
          <w:color w:val="000000" w:themeColor="text1"/>
          <w:sz w:val="16"/>
          <w:szCs w:val="16"/>
        </w:rPr>
        <w:t>пpодвигалась на удивление гладко. Самолет создавался под двигатель Ацута - лицензионный ваpиант 12-цилиндpового двигателя жидкостного охлаждения Даймлеp-«Бенц DB-601». С самого начала пpедусматpивалось использование отсоединяемых поплавков - единственной демонтиpуемой части "Сейpана". Так как поплавки заметно снижали летные данные самолета, была пpедусмотpена возможность сбpоса их в воздухе в случае возникновения такой необходимости. В ангаpе подводной лодки соответственно пpедусмотpели кpепления для двух поплавков; планировалось транспортировать самолет на подлодке (14892).</w:t>
      </w:r>
    </w:p>
    <w:p w14:paraId="43D4849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AF0AFF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в 1942 году первый полет пассажирского самолета «367-80» фирмы «Боинг» (14892).</w:t>
      </w:r>
    </w:p>
    <w:p w14:paraId="0E9C49C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CC78BC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15 мая в 1942 году разбился в ходе 27-го испытательного полета второй прототип американского многоцелевого самолета «ХР-39Е», с двигателем "Аллисон" «V-1710-E9». От первого он отличался лишь измененным вертикальным оперением, воздухозаборником нагнетателя, взятым от стандартной "Кобры" и отсутствием щитков на основных стойках шасси. Впрочем, эта машина все же была впоследствии восстановлена (14892).</w:t>
      </w:r>
    </w:p>
    <w:p w14:paraId="2E4ADA8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8AEBA4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фоторазведчик Спитфайр сделал первый снимок полигона в Пенемюнде (1608,20).</w:t>
      </w:r>
    </w:p>
    <w:p w14:paraId="322CD6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320DF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военно - морская служба воздушного транспорта ВМС США выполняет первый заокеанский полет и начинает службу на Тихом океане с полета воздушного транспорта эскадрона 2 (VR-2) от Аламеда, штат Калифорния, в Гонолулу, Гавайи (20793).</w:t>
      </w:r>
    </w:p>
    <w:p w14:paraId="044DA64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1F0AF7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в Польше был организован первый партизанский отряд Гвардии Людовой им. С.Чарнецкого (3186).</w:t>
      </w:r>
    </w:p>
    <w:p w14:paraId="798808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AD822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15 мая по 1 июля в Китае была Чжецзян-Цзянсийская операция японских войск в целях уничтожения авибаз и аэродромов США (3186).</w:t>
      </w:r>
    </w:p>
    <w:p w14:paraId="0567F9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DF492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английские войска отступили к границам Индии (1242).</w:t>
      </w:r>
    </w:p>
    <w:p w14:paraId="110676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0D0B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May 15 1942 Bicycles and gasoline are put on rationing status in the US (1242).</w:t>
      </w:r>
    </w:p>
    <w:p w14:paraId="4F6F17A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3EC57B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мая 1942 в США были введены карточки на велосипеды и бензин (1242).</w:t>
      </w:r>
    </w:p>
    <w:p w14:paraId="4CEDB15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BA2B4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621C26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EE9A52" w14:textId="77777777" w:rsidR="007C5583" w:rsidRPr="008127F8" w:rsidRDefault="007C5583" w:rsidP="007C5583">
      <w:pPr>
        <w:pStyle w:val="250"/>
        <w:shd w:val="clear" w:color="auto" w:fill="auto"/>
        <w:spacing w:after="0" w:line="240" w:lineRule="auto"/>
        <w:jc w:val="both"/>
        <w:rPr>
          <w:rFonts w:ascii="Times New Roman" w:cs="Times New Roman"/>
          <w:color w:val="000000" w:themeColor="text1"/>
          <w:sz w:val="16"/>
          <w:szCs w:val="16"/>
        </w:rPr>
      </w:pPr>
      <w:r w:rsidRPr="008127F8">
        <w:rPr>
          <w:rFonts w:ascii="Times New Roman" w:cs="Times New Roman"/>
          <w:color w:val="000000" w:themeColor="text1"/>
          <w:sz w:val="16"/>
          <w:szCs w:val="16"/>
        </w:rPr>
        <w:t>В середине мая 1942 осмотр совместной государственной ко</w:t>
      </w:r>
      <w:r w:rsidRPr="008127F8">
        <w:rPr>
          <w:rFonts w:ascii="Times New Roman" w:cs="Times New Roman"/>
          <w:color w:val="000000" w:themeColor="text1"/>
          <w:sz w:val="16"/>
          <w:szCs w:val="16"/>
        </w:rPr>
        <w:softHyphen/>
        <w:t>миссией ВВС и НКАП узлов и деталей разбившихся самолетов 212 шад показал, что разру</w:t>
      </w:r>
      <w:r w:rsidRPr="008127F8">
        <w:rPr>
          <w:rFonts w:ascii="Times New Roman" w:cs="Times New Roman"/>
          <w:color w:val="000000" w:themeColor="text1"/>
          <w:sz w:val="16"/>
          <w:szCs w:val="16"/>
        </w:rPr>
        <w:softHyphen/>
        <w:t>шение Ил-2 зав. №301716 (разбился 2 мая 1943 в ходе учебно-тренировочного полета на бомбометание с пикирования на полигоне аэродрома Фастово на Ил-2 зав. №301766 и погибли летчик 873-го шап 231-й шад старший сержант Кулагин и воздушный стрелок младший сержант Ко</w:t>
      </w:r>
      <w:r w:rsidRPr="008127F8">
        <w:rPr>
          <w:rFonts w:ascii="Times New Roman" w:cs="Times New Roman"/>
          <w:color w:val="000000" w:themeColor="text1"/>
          <w:sz w:val="16"/>
          <w:szCs w:val="16"/>
        </w:rPr>
        <w:softHyphen/>
        <w:t>четов. Обстоятельства катастрофы таковы. При выполнении четвертого захода для бомбометания у самолета на высоте 200- 250 м начался отрыв верхней фанерной обшивки левой консоли в межлонжерон- ной части с последующим разрушением всей обшивки и каркаса крыла. После от</w:t>
      </w:r>
      <w:r w:rsidRPr="008127F8">
        <w:rPr>
          <w:rFonts w:ascii="Times New Roman" w:cs="Times New Roman"/>
          <w:color w:val="000000" w:themeColor="text1"/>
          <w:sz w:val="16"/>
          <w:szCs w:val="16"/>
        </w:rPr>
        <w:softHyphen/>
        <w:t>рыва лонжеронов левой плоскости само</w:t>
      </w:r>
      <w:r w:rsidRPr="008127F8">
        <w:rPr>
          <w:rFonts w:ascii="Times New Roman" w:cs="Times New Roman"/>
          <w:color w:val="000000" w:themeColor="text1"/>
          <w:sz w:val="16"/>
          <w:szCs w:val="16"/>
        </w:rPr>
        <w:softHyphen/>
        <w:t>лет перешел в беспорядочное падение и разрушился при ударе о землю. Самолет Ил-2 зав. №301766 был при</w:t>
      </w:r>
      <w:r w:rsidRPr="008127F8">
        <w:rPr>
          <w:rFonts w:ascii="Times New Roman" w:cs="Times New Roman"/>
          <w:color w:val="000000" w:themeColor="text1"/>
          <w:sz w:val="16"/>
          <w:szCs w:val="16"/>
        </w:rPr>
        <w:softHyphen/>
        <w:t>нят от завода 25 марта 1943 г. и с на</w:t>
      </w:r>
      <w:r w:rsidRPr="008127F8">
        <w:rPr>
          <w:rFonts w:ascii="Times New Roman" w:cs="Times New Roman"/>
          <w:color w:val="000000" w:themeColor="text1"/>
          <w:sz w:val="16"/>
          <w:szCs w:val="16"/>
        </w:rPr>
        <w:softHyphen/>
        <w:t>чала эксплуатации имел налет всего 11 ч 10 мин (17 посадок)) произошло по нижней полке переднего лонжерона центроплана с правой стороны, а Ил-2 зав. №875643 (разбился 3 мая 1943, когда летчик 704-го шап 232-й шад младший лейтенант Зыков с воздуш</w:t>
      </w:r>
      <w:r w:rsidRPr="008127F8">
        <w:rPr>
          <w:rFonts w:ascii="Times New Roman" w:cs="Times New Roman"/>
          <w:color w:val="000000" w:themeColor="text1"/>
          <w:sz w:val="16"/>
          <w:szCs w:val="16"/>
        </w:rPr>
        <w:softHyphen/>
        <w:t>ным стрелком сержантом Токанаевым на Ил-2 зав. №302026 в районе д. Ременье вблизи аэродрома Андреаполь выполнял тренировочный полет в зоне на виражи и пикирование с выходом из пикирования с боевым разворотом. При третьем пики</w:t>
      </w:r>
      <w:r w:rsidRPr="008127F8">
        <w:rPr>
          <w:rFonts w:ascii="Times New Roman" w:cs="Times New Roman"/>
          <w:color w:val="000000" w:themeColor="text1"/>
          <w:sz w:val="16"/>
          <w:szCs w:val="16"/>
        </w:rPr>
        <w:softHyphen/>
        <w:t>ровании под углом порядка 30-35° с вы</w:t>
      </w:r>
      <w:r w:rsidRPr="008127F8">
        <w:rPr>
          <w:rFonts w:ascii="Times New Roman" w:cs="Times New Roman"/>
          <w:color w:val="000000" w:themeColor="text1"/>
          <w:sz w:val="16"/>
          <w:szCs w:val="16"/>
        </w:rPr>
        <w:softHyphen/>
        <w:t>соты 950-1000 м на выводе из пикиро</w:t>
      </w:r>
      <w:r w:rsidRPr="008127F8">
        <w:rPr>
          <w:rFonts w:ascii="Times New Roman" w:cs="Times New Roman"/>
          <w:color w:val="000000" w:themeColor="text1"/>
          <w:sz w:val="16"/>
          <w:szCs w:val="16"/>
        </w:rPr>
        <w:softHyphen/>
        <w:t>вания на высоте 500-550 м у самолета оторвалась вместе с частью центроплана правая консоль. При ударе о землю штур</w:t>
      </w:r>
      <w:r w:rsidRPr="008127F8">
        <w:rPr>
          <w:rFonts w:ascii="Times New Roman" w:cs="Times New Roman"/>
          <w:color w:val="000000" w:themeColor="text1"/>
          <w:sz w:val="16"/>
          <w:szCs w:val="16"/>
        </w:rPr>
        <w:softHyphen/>
        <w:t>мовик разрушился. Экипаж погиб. Разру</w:t>
      </w:r>
      <w:r w:rsidRPr="008127F8">
        <w:rPr>
          <w:rFonts w:ascii="Times New Roman" w:cs="Times New Roman"/>
          <w:color w:val="000000" w:themeColor="text1"/>
          <w:sz w:val="16"/>
          <w:szCs w:val="16"/>
        </w:rPr>
        <w:softHyphen/>
        <w:t>шение крыла произошло в отсеке между первой и второй нервюрами центроплана. Ил-2 зав. №302026 - 8 апреля и имел налет 4 ч 30 мин (9 посадок)) - из-за разрыва уха ле</w:t>
      </w:r>
      <w:r w:rsidRPr="008127F8">
        <w:rPr>
          <w:rFonts w:ascii="Times New Roman" w:cs="Times New Roman"/>
          <w:color w:val="000000" w:themeColor="text1"/>
          <w:sz w:val="16"/>
          <w:szCs w:val="16"/>
        </w:rPr>
        <w:softHyphen/>
        <w:t>вого стыкового узла нижней полки зад</w:t>
      </w:r>
      <w:r w:rsidRPr="008127F8">
        <w:rPr>
          <w:rFonts w:ascii="Times New Roman" w:cs="Times New Roman"/>
          <w:color w:val="000000" w:themeColor="text1"/>
          <w:sz w:val="16"/>
          <w:szCs w:val="16"/>
        </w:rPr>
        <w:softHyphen/>
        <w:t>него лонжерона центроплана. Предполо</w:t>
      </w:r>
      <w:r w:rsidRPr="008127F8">
        <w:rPr>
          <w:rFonts w:ascii="Times New Roman" w:cs="Times New Roman"/>
          <w:color w:val="000000" w:themeColor="text1"/>
          <w:sz w:val="16"/>
          <w:szCs w:val="16"/>
        </w:rPr>
        <w:softHyphen/>
        <w:t>жительными причинами дефектов счита</w:t>
      </w:r>
      <w:r w:rsidRPr="008127F8">
        <w:rPr>
          <w:rFonts w:ascii="Times New Roman" w:cs="Times New Roman"/>
          <w:color w:val="000000" w:themeColor="text1"/>
          <w:sz w:val="16"/>
          <w:szCs w:val="16"/>
        </w:rPr>
        <w:softHyphen/>
        <w:t>лась некондиционность примененных ма</w:t>
      </w:r>
      <w:r w:rsidRPr="008127F8">
        <w:rPr>
          <w:rFonts w:ascii="Times New Roman" w:cs="Times New Roman"/>
          <w:color w:val="000000" w:themeColor="text1"/>
          <w:sz w:val="16"/>
          <w:szCs w:val="16"/>
        </w:rPr>
        <w:softHyphen/>
        <w:t>териалов.</w:t>
      </w:r>
    </w:p>
    <w:p w14:paraId="18A324B1" w14:textId="77777777" w:rsidR="007C5583" w:rsidRPr="008127F8" w:rsidRDefault="007C5583" w:rsidP="007C5583">
      <w:pPr>
        <w:pStyle w:val="250"/>
        <w:shd w:val="clear" w:color="auto" w:fill="auto"/>
        <w:spacing w:after="0" w:line="240" w:lineRule="auto"/>
        <w:jc w:val="both"/>
        <w:rPr>
          <w:rFonts w:ascii="Times New Roman" w:cs="Times New Roman"/>
          <w:color w:val="000000" w:themeColor="text1"/>
          <w:sz w:val="16"/>
          <w:szCs w:val="16"/>
        </w:rPr>
      </w:pPr>
      <w:r w:rsidRPr="008127F8">
        <w:rPr>
          <w:rFonts w:ascii="Times New Roman" w:cs="Times New Roman"/>
          <w:color w:val="000000" w:themeColor="text1"/>
          <w:sz w:val="16"/>
          <w:szCs w:val="16"/>
        </w:rPr>
        <w:t>По требованию комиссии были осмо</w:t>
      </w:r>
      <w:r w:rsidRPr="008127F8">
        <w:rPr>
          <w:rFonts w:ascii="Times New Roman" w:cs="Times New Roman"/>
          <w:color w:val="000000" w:themeColor="text1"/>
          <w:sz w:val="16"/>
          <w:szCs w:val="16"/>
        </w:rPr>
        <w:softHyphen/>
        <w:t>трены стыковые узлы на всех самолетах дивизии. На трех Ил-2 были обнаружены трещины стыковых узлов: у самолета зав. № 1871242 - передний левый нижний центроплэнный узел, зав. № 1876142 - задний правый центропланный узел, зав.№ 301591 - задний нижний правый цен- -ропяанный узел. Дефектные узлы были сняты для последующего лабораторного исследования материала в ВИАМ.</w:t>
      </w:r>
    </w:p>
    <w:p w14:paraId="45C3592A" w14:textId="77777777" w:rsidR="007C5583" w:rsidRPr="008127F8" w:rsidRDefault="007C5583" w:rsidP="007C5583">
      <w:pPr>
        <w:pStyle w:val="250"/>
        <w:shd w:val="clear" w:color="auto" w:fill="auto"/>
        <w:spacing w:after="0" w:line="240" w:lineRule="auto"/>
        <w:jc w:val="both"/>
        <w:rPr>
          <w:rFonts w:ascii="Times New Roman" w:cs="Times New Roman"/>
          <w:color w:val="000000" w:themeColor="text1"/>
          <w:sz w:val="16"/>
          <w:szCs w:val="16"/>
        </w:rPr>
      </w:pPr>
      <w:r w:rsidRPr="008127F8">
        <w:rPr>
          <w:rFonts w:ascii="Times New Roman" w:cs="Times New Roman"/>
          <w:color w:val="000000" w:themeColor="text1"/>
          <w:sz w:val="16"/>
          <w:szCs w:val="16"/>
        </w:rPr>
        <w:t>В ряду вероятных причин катастроф з 231-й и 232-й шад рассматривались эасслоение фанерной обшивки, частич</w:t>
      </w:r>
      <w:r w:rsidRPr="008127F8">
        <w:rPr>
          <w:rFonts w:ascii="Times New Roman" w:cs="Times New Roman"/>
          <w:color w:val="000000" w:themeColor="text1"/>
          <w:sz w:val="16"/>
          <w:szCs w:val="16"/>
        </w:rPr>
        <w:softHyphen/>
        <w:t>ный непроклей обшивки к каркасу кон</w:t>
      </w:r>
      <w:r w:rsidRPr="008127F8">
        <w:rPr>
          <w:rFonts w:ascii="Times New Roman" w:cs="Times New Roman"/>
          <w:color w:val="000000" w:themeColor="text1"/>
          <w:sz w:val="16"/>
          <w:szCs w:val="16"/>
        </w:rPr>
        <w:softHyphen/>
        <w:t>соли (</w:t>
      </w:r>
      <w:r w:rsidRPr="008127F8">
        <w:rPr>
          <w:rStyle w:val="9pt80"/>
          <w:rFonts w:eastAsia="Arial Unicode MS"/>
          <w:color w:val="000000" w:themeColor="text1"/>
          <w:sz w:val="16"/>
          <w:szCs w:val="16"/>
        </w:rPr>
        <w:t>непроклей</w:t>
      </w:r>
      <w:r w:rsidRPr="008127F8">
        <w:rPr>
          <w:rStyle w:val="aff8"/>
          <w:rFonts w:ascii="Times New Roman" w:cs="Times New Roman"/>
          <w:color w:val="000000" w:themeColor="text1"/>
        </w:rPr>
        <w:t xml:space="preserve"> </w:t>
      </w:r>
      <w:r w:rsidRPr="008127F8">
        <w:rPr>
          <w:rStyle w:val="aff8"/>
          <w:rFonts w:ascii="Times New Roman" w:cs="Times New Roman"/>
          <w:color w:val="000000" w:themeColor="text1"/>
        </w:rPr>
        <w:t>в</w:t>
      </w:r>
      <w:r w:rsidRPr="008127F8">
        <w:rPr>
          <w:rStyle w:val="9pt80"/>
          <w:rFonts w:eastAsia="Arial Unicode MS"/>
          <w:color w:val="000000" w:themeColor="text1"/>
          <w:sz w:val="16"/>
          <w:szCs w:val="16"/>
        </w:rPr>
        <w:t xml:space="preserve"> отдельных местах до</w:t>
      </w:r>
      <w:r w:rsidRPr="008127F8">
        <w:rPr>
          <w:rStyle w:val="9pt80"/>
          <w:rFonts w:eastAsia="Arial Unicode MS"/>
          <w:color w:val="000000" w:themeColor="text1"/>
          <w:sz w:val="16"/>
          <w:szCs w:val="16"/>
        </w:rPr>
        <w:softHyphen/>
        <w:t>ходит до 1 м2), шснос за границы нервюр и стрингеров»</w:t>
      </w:r>
      <w:r w:rsidRPr="008127F8">
        <w:rPr>
          <w:rFonts w:ascii="Times New Roman" w:cs="Times New Roman"/>
          <w:color w:val="000000" w:themeColor="text1"/>
          <w:sz w:val="16"/>
          <w:szCs w:val="16"/>
        </w:rPr>
        <w:t>тэозаевых и шурупных швов, з также применение некондиционного материала при изготовлении поясов лон</w:t>
      </w:r>
      <w:r w:rsidRPr="008127F8">
        <w:rPr>
          <w:rFonts w:ascii="Times New Roman" w:cs="Times New Roman"/>
          <w:color w:val="000000" w:themeColor="text1"/>
          <w:sz w:val="16"/>
          <w:szCs w:val="16"/>
        </w:rPr>
        <w:softHyphen/>
        <w:t>жеронов центроплана.</w:t>
      </w:r>
    </w:p>
    <w:p w14:paraId="7240894E" w14:textId="77777777" w:rsidR="007C5583" w:rsidRPr="008127F8" w:rsidRDefault="007C5583" w:rsidP="007C5583">
      <w:pPr>
        <w:pStyle w:val="250"/>
        <w:shd w:val="clear" w:color="auto" w:fill="auto"/>
        <w:spacing w:after="0" w:line="240" w:lineRule="auto"/>
        <w:jc w:val="both"/>
        <w:rPr>
          <w:rFonts w:ascii="Times New Roman" w:cs="Times New Roman"/>
          <w:color w:val="000000" w:themeColor="text1"/>
          <w:sz w:val="16"/>
          <w:szCs w:val="16"/>
        </w:rPr>
      </w:pPr>
      <w:r w:rsidRPr="008127F8">
        <w:rPr>
          <w:rFonts w:ascii="Times New Roman" w:cs="Times New Roman"/>
          <w:color w:val="000000" w:themeColor="text1"/>
          <w:sz w:val="16"/>
          <w:szCs w:val="16"/>
        </w:rPr>
        <w:t>Учитывая выявленные ранее в частях 2-го шак дефекты обшивки крыла на самолетах Ил-2, комиссия решила детально исследова машины 704-го и 873-го лтурмовых авиаполков.</w:t>
      </w:r>
    </w:p>
    <w:p w14:paraId="30E06881" w14:textId="77777777" w:rsidR="007C5583" w:rsidRPr="008127F8" w:rsidRDefault="007C5583" w:rsidP="007C5583">
      <w:pPr>
        <w:spacing w:after="0" w:line="240" w:lineRule="auto"/>
        <w:jc w:val="both"/>
        <w:rPr>
          <w:rStyle w:val="9pt80"/>
          <w:rFonts w:eastAsia="Calibri"/>
          <w:color w:val="000000" w:themeColor="text1"/>
          <w:sz w:val="16"/>
          <w:szCs w:val="16"/>
        </w:rPr>
      </w:pPr>
      <w:r w:rsidRPr="008127F8">
        <w:rPr>
          <w:rFonts w:ascii="Times New Roman" w:hAnsi="Times New Roman"/>
          <w:color w:val="000000" w:themeColor="text1"/>
          <w:sz w:val="16"/>
          <w:szCs w:val="16"/>
        </w:rPr>
        <w:t xml:space="preserve">На подавляющем большинстве Ил-2 этих полков наблюдались смещения фансры обшивки крыла относительно шаблона и гвоздевого шва относительно жестких элементов крыла, а также плохая проклейка обшивки по стрингерам и нервюрам. </w:t>
      </w:r>
    </w:p>
    <w:p w14:paraId="2C15D762" w14:textId="77777777" w:rsidR="007C5583" w:rsidRPr="008127F8" w:rsidRDefault="007C5583" w:rsidP="007C5583">
      <w:pPr>
        <w:spacing w:after="0" w:line="240" w:lineRule="auto"/>
        <w:jc w:val="both"/>
        <w:rPr>
          <w:rStyle w:val="9pt80"/>
          <w:rFonts w:eastAsia="Calibri"/>
          <w:i w:val="0"/>
          <w:color w:val="000000" w:themeColor="text1"/>
          <w:sz w:val="16"/>
          <w:szCs w:val="16"/>
        </w:rPr>
      </w:pPr>
      <w:r w:rsidRPr="008127F8">
        <w:rPr>
          <w:rFonts w:ascii="Times New Roman" w:hAnsi="Times New Roman"/>
          <w:color w:val="000000" w:themeColor="text1"/>
          <w:sz w:val="16"/>
          <w:szCs w:val="16"/>
        </w:rPr>
        <w:t>Стык полотняной об</w:t>
      </w:r>
      <w:r w:rsidRPr="008127F8">
        <w:rPr>
          <w:rFonts w:ascii="Times New Roman" w:hAnsi="Times New Roman"/>
          <w:color w:val="000000" w:themeColor="text1"/>
          <w:sz w:val="16"/>
          <w:szCs w:val="16"/>
        </w:rPr>
        <w:softHyphen/>
        <w:t>ливки был выполнен по передней кромке носка крыла, что способствовало отрыву полотна в полете. Полотно приклеива</w:t>
      </w:r>
      <w:r w:rsidRPr="008127F8">
        <w:rPr>
          <w:rFonts w:ascii="Times New Roman" w:hAnsi="Times New Roman"/>
          <w:color w:val="000000" w:themeColor="text1"/>
          <w:sz w:val="16"/>
          <w:szCs w:val="16"/>
        </w:rPr>
        <w:softHyphen/>
        <w:t>лось без предварительной шпаклевки фа</w:t>
      </w:r>
      <w:r w:rsidRPr="008127F8">
        <w:rPr>
          <w:rFonts w:ascii="Times New Roman" w:hAnsi="Times New Roman"/>
          <w:color w:val="000000" w:themeColor="text1"/>
          <w:sz w:val="16"/>
          <w:szCs w:val="16"/>
        </w:rPr>
        <w:softHyphen/>
        <w:t>нерной обшивки. В то же время</w:t>
      </w:r>
      <w:r w:rsidRPr="008127F8">
        <w:rPr>
          <w:rStyle w:val="9pt80"/>
          <w:rFonts w:eastAsia="Calibri"/>
          <w:color w:val="000000" w:themeColor="text1"/>
          <w:sz w:val="16"/>
          <w:szCs w:val="16"/>
        </w:rPr>
        <w:t xml:space="preserve"> «наруж</w:t>
      </w:r>
      <w:r w:rsidRPr="008127F8">
        <w:rPr>
          <w:rStyle w:val="9pt80"/>
          <w:rFonts w:eastAsia="Calibri"/>
          <w:color w:val="000000" w:themeColor="text1"/>
          <w:sz w:val="16"/>
          <w:szCs w:val="16"/>
        </w:rPr>
        <w:softHyphen/>
        <w:t>ная шпаклевка произведена так, что ясно видна сетка обтяжного материала».</w:t>
      </w:r>
      <w:r w:rsidRPr="008127F8">
        <w:rPr>
          <w:rFonts w:ascii="Times New Roman" w:hAnsi="Times New Roman"/>
          <w:i/>
          <w:color w:val="000000" w:themeColor="text1"/>
          <w:sz w:val="16"/>
          <w:szCs w:val="16"/>
        </w:rPr>
        <w:t xml:space="preserve"> </w:t>
      </w:r>
      <w:r w:rsidRPr="008127F8">
        <w:rPr>
          <w:rFonts w:ascii="Times New Roman" w:hAnsi="Times New Roman"/>
          <w:color w:val="000000" w:themeColor="text1"/>
          <w:sz w:val="16"/>
          <w:szCs w:val="16"/>
        </w:rPr>
        <w:t>На всех самолетах наблюдалась значитель</w:t>
      </w:r>
      <w:r w:rsidRPr="008127F8">
        <w:rPr>
          <w:rFonts w:ascii="Times New Roman" w:hAnsi="Times New Roman"/>
          <w:color w:val="000000" w:themeColor="text1"/>
          <w:sz w:val="16"/>
          <w:szCs w:val="16"/>
        </w:rPr>
        <w:softHyphen/>
        <w:t>ная волнистость крыла</w:t>
      </w:r>
      <w:r w:rsidRPr="008127F8">
        <w:rPr>
          <w:rFonts w:ascii="Times New Roman" w:hAnsi="Times New Roman"/>
          <w:i/>
          <w:color w:val="000000" w:themeColor="text1"/>
          <w:sz w:val="16"/>
          <w:szCs w:val="16"/>
        </w:rPr>
        <w:t>,</w:t>
      </w:r>
      <w:r w:rsidRPr="008127F8">
        <w:rPr>
          <w:rStyle w:val="9pt80"/>
          <w:rFonts w:eastAsia="Calibri"/>
          <w:color w:val="000000" w:themeColor="text1"/>
          <w:sz w:val="16"/>
          <w:szCs w:val="16"/>
        </w:rPr>
        <w:t xml:space="preserve"> «выходящая за пределы допустимых норм».</w:t>
      </w:r>
      <w:r w:rsidRPr="008127F8">
        <w:rPr>
          <w:rFonts w:ascii="Times New Roman" w:hAnsi="Times New Roman"/>
          <w:color w:val="000000" w:themeColor="text1"/>
          <w:sz w:val="16"/>
          <w:szCs w:val="16"/>
        </w:rPr>
        <w:t xml:space="preserve"> Отмечалась небрежность при заделке обтяжечного материала по щели элеронов, по кром</w:t>
      </w:r>
      <w:r w:rsidRPr="008127F8">
        <w:rPr>
          <w:rFonts w:ascii="Times New Roman" w:hAnsi="Times New Roman"/>
          <w:color w:val="000000" w:themeColor="text1"/>
          <w:sz w:val="16"/>
          <w:szCs w:val="16"/>
        </w:rPr>
        <w:softHyphen/>
        <w:t>кам и в местах прохода тяг подвеса по</w:t>
      </w:r>
      <w:r w:rsidRPr="008127F8">
        <w:rPr>
          <w:rFonts w:ascii="Times New Roman" w:hAnsi="Times New Roman"/>
          <w:color w:val="000000" w:themeColor="text1"/>
          <w:sz w:val="16"/>
          <w:szCs w:val="16"/>
        </w:rPr>
        <w:softHyphen/>
        <w:t>садочных щитков, по кромкам смотровых лючков, по торцу дуги у концевого эле</w:t>
      </w:r>
      <w:r w:rsidRPr="008127F8">
        <w:rPr>
          <w:rFonts w:ascii="Times New Roman" w:hAnsi="Times New Roman"/>
          <w:color w:val="000000" w:themeColor="text1"/>
          <w:sz w:val="16"/>
          <w:szCs w:val="16"/>
        </w:rPr>
        <w:softHyphen/>
        <w:t>рона, а также по обшивке у заднего лон</w:t>
      </w:r>
      <w:r w:rsidRPr="008127F8">
        <w:rPr>
          <w:rFonts w:ascii="Times New Roman" w:hAnsi="Times New Roman"/>
          <w:color w:val="000000" w:themeColor="text1"/>
          <w:sz w:val="16"/>
          <w:szCs w:val="16"/>
        </w:rPr>
        <w:softHyphen/>
        <w:t>жерона киля</w:t>
      </w:r>
      <w:r w:rsidRPr="008127F8">
        <w:rPr>
          <w:rStyle w:val="9pt80"/>
          <w:rFonts w:eastAsia="Calibri"/>
          <w:color w:val="000000" w:themeColor="text1"/>
          <w:sz w:val="16"/>
          <w:szCs w:val="16"/>
        </w:rPr>
        <w:t xml:space="preserve"> («кромки полотна укорочены, небрежно приклеены и в большинстве ука</w:t>
      </w:r>
      <w:r w:rsidRPr="008127F8">
        <w:rPr>
          <w:rStyle w:val="9pt80"/>
          <w:rFonts w:eastAsia="Calibri"/>
          <w:color w:val="000000" w:themeColor="text1"/>
          <w:sz w:val="16"/>
          <w:szCs w:val="16"/>
        </w:rPr>
        <w:softHyphen/>
        <w:t>занных мест полностью отстали»).</w:t>
      </w:r>
    </w:p>
    <w:p w14:paraId="5CF49F1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ходе осмотра самолетов в большин</w:t>
      </w:r>
      <w:r w:rsidRPr="008127F8">
        <w:rPr>
          <w:rFonts w:ascii="Times New Roman" w:hAnsi="Times New Roman"/>
          <w:color w:val="000000" w:themeColor="text1"/>
          <w:sz w:val="16"/>
          <w:szCs w:val="16"/>
        </w:rPr>
        <w:softHyphen/>
        <w:t>стве консолей было обнаружено много производственного мусора</w:t>
      </w:r>
      <w:r w:rsidRPr="008127F8">
        <w:rPr>
          <w:rStyle w:val="9pt80"/>
          <w:rFonts w:eastAsia="Calibri"/>
          <w:color w:val="000000" w:themeColor="text1"/>
          <w:sz w:val="16"/>
          <w:szCs w:val="16"/>
        </w:rPr>
        <w:t xml:space="preserve"> («стружка, остатки выжатого клея, шурупы, гвозди, заклепки, шайбы»),</w:t>
      </w:r>
      <w:r w:rsidRPr="008127F8">
        <w:rPr>
          <w:rStyle w:val="885pt100"/>
          <w:rFonts w:eastAsia="Calibri"/>
          <w:color w:val="000000" w:themeColor="text1"/>
          <w:sz w:val="16"/>
          <w:szCs w:val="16"/>
        </w:rPr>
        <w:t xml:space="preserve"> а также наличие воды</w:t>
      </w:r>
      <w:r w:rsidRPr="008127F8">
        <w:rPr>
          <w:rStyle w:val="81"/>
          <w:rFonts w:ascii="Times New Roman" w:hAnsi="Times New Roman"/>
          <w:color w:val="000000" w:themeColor="text1"/>
        </w:rPr>
        <w:t xml:space="preserve"> («что является недостатком ко</w:t>
      </w:r>
      <w:r w:rsidRPr="008127F8">
        <w:rPr>
          <w:rStyle w:val="81"/>
          <w:rFonts w:ascii="Times New Roman" w:hAnsi="Times New Roman"/>
          <w:color w:val="000000" w:themeColor="text1"/>
        </w:rPr>
        <w:softHyphen/>
        <w:t>личества и места расположения дренаж</w:t>
      </w:r>
      <w:r w:rsidRPr="008127F8">
        <w:rPr>
          <w:rStyle w:val="81"/>
          <w:rFonts w:ascii="Times New Roman" w:hAnsi="Times New Roman"/>
          <w:color w:val="000000" w:themeColor="text1"/>
        </w:rPr>
        <w:softHyphen/>
        <w:t>ных отверстий»).</w:t>
      </w:r>
      <w:r w:rsidRPr="008127F8">
        <w:rPr>
          <w:rStyle w:val="885pt100"/>
          <w:rFonts w:eastAsia="Calibri"/>
          <w:color w:val="000000" w:themeColor="text1"/>
          <w:sz w:val="16"/>
          <w:szCs w:val="16"/>
        </w:rPr>
        <w:t xml:space="preserve"> При этом</w:t>
      </w:r>
      <w:r w:rsidRPr="008127F8">
        <w:rPr>
          <w:rStyle w:val="81"/>
          <w:rFonts w:ascii="Times New Roman" w:hAnsi="Times New Roman"/>
          <w:color w:val="000000" w:themeColor="text1"/>
        </w:rPr>
        <w:t xml:space="preserve"> «накаплива</w:t>
      </w:r>
      <w:r w:rsidRPr="008127F8">
        <w:rPr>
          <w:rStyle w:val="81"/>
          <w:rFonts w:ascii="Times New Roman" w:hAnsi="Times New Roman"/>
          <w:color w:val="000000" w:themeColor="text1"/>
        </w:rPr>
        <w:softHyphen/>
        <w:t>нию влаги в крыле способствует негер</w:t>
      </w:r>
      <w:r w:rsidRPr="008127F8">
        <w:rPr>
          <w:rStyle w:val="81"/>
          <w:rFonts w:ascii="Times New Roman" w:hAnsi="Times New Roman"/>
          <w:color w:val="000000" w:themeColor="text1"/>
        </w:rPr>
        <w:softHyphen/>
        <w:t>метичность крышки люка патронного ящика».</w:t>
      </w:r>
      <w:r w:rsidRPr="008127F8">
        <w:rPr>
          <w:rStyle w:val="885pt100"/>
          <w:rFonts w:eastAsia="Calibri"/>
          <w:color w:val="000000" w:themeColor="text1"/>
          <w:sz w:val="16"/>
          <w:szCs w:val="16"/>
        </w:rPr>
        <w:t xml:space="preserve"> Вода имелась и в хвостовой части фюзеляжа, так как</w:t>
      </w:r>
      <w:r w:rsidRPr="008127F8">
        <w:rPr>
          <w:rStyle w:val="81"/>
          <w:rFonts w:ascii="Times New Roman" w:hAnsi="Times New Roman"/>
          <w:color w:val="000000" w:themeColor="text1"/>
        </w:rPr>
        <w:t xml:space="preserve"> «расположение дренаж</w:t>
      </w:r>
      <w:r w:rsidRPr="008127F8">
        <w:rPr>
          <w:rStyle w:val="81"/>
          <w:rFonts w:ascii="Times New Roman" w:hAnsi="Times New Roman"/>
          <w:color w:val="000000" w:themeColor="text1"/>
        </w:rPr>
        <w:softHyphen/>
        <w:t>ных отверстий по нижнему стыку скор</w:t>
      </w:r>
      <w:r w:rsidRPr="008127F8">
        <w:rPr>
          <w:rStyle w:val="81"/>
          <w:rFonts w:ascii="Times New Roman" w:hAnsi="Times New Roman"/>
          <w:color w:val="000000" w:themeColor="text1"/>
        </w:rPr>
        <w:softHyphen/>
        <w:t>лупы фюзеляжа не обеспечивает полного слива воды».</w:t>
      </w:r>
    </w:p>
    <w:p w14:paraId="2F893DE8" w14:textId="77777777" w:rsidR="007C5583" w:rsidRPr="008127F8" w:rsidRDefault="007C5583" w:rsidP="007C5583">
      <w:pPr>
        <w:pStyle w:val="80"/>
        <w:shd w:val="clear" w:color="auto" w:fill="auto"/>
        <w:spacing w:line="240" w:lineRule="auto"/>
        <w:jc w:val="both"/>
        <w:rPr>
          <w:rFonts w:ascii="Times New Roman" w:hAnsi="Times New Roman" w:cs="Times New Roman"/>
          <w:color w:val="000000" w:themeColor="text1"/>
        </w:rPr>
      </w:pPr>
      <w:r w:rsidRPr="008127F8">
        <w:rPr>
          <w:rStyle w:val="885pt100"/>
          <w:rFonts w:eastAsia="Calibri"/>
          <w:color w:val="000000" w:themeColor="text1"/>
          <w:sz w:val="16"/>
          <w:szCs w:val="16"/>
        </w:rPr>
        <w:t>Как следствие этих причин,</w:t>
      </w:r>
      <w:r w:rsidRPr="008127F8">
        <w:rPr>
          <w:rFonts w:ascii="Times New Roman" w:hAnsi="Times New Roman" w:cs="Times New Roman"/>
          <w:i/>
          <w:color w:val="000000" w:themeColor="text1"/>
        </w:rPr>
        <w:t xml:space="preserve"> </w:t>
      </w:r>
      <w:r w:rsidRPr="008127F8">
        <w:rPr>
          <w:rFonts w:ascii="Times New Roman" w:hAnsi="Times New Roman" w:cs="Times New Roman"/>
          <w:color w:val="000000" w:themeColor="text1"/>
        </w:rPr>
        <w:t>«на ма</w:t>
      </w:r>
      <w:r w:rsidRPr="008127F8">
        <w:rPr>
          <w:rFonts w:ascii="Times New Roman" w:hAnsi="Times New Roman" w:cs="Times New Roman"/>
          <w:color w:val="000000" w:themeColor="text1"/>
        </w:rPr>
        <w:softHyphen/>
        <w:t>шинах обнаружено расклеивание обшивки и следы загнивания в местах скопления влаги».</w:t>
      </w:r>
    </w:p>
    <w:p w14:paraId="3F18B85C" w14:textId="77777777" w:rsidR="007C5583" w:rsidRPr="008127F8" w:rsidRDefault="007C5583" w:rsidP="007C5583">
      <w:pPr>
        <w:pStyle w:val="250"/>
        <w:shd w:val="clear" w:color="auto" w:fill="auto"/>
        <w:spacing w:after="0" w:line="240" w:lineRule="auto"/>
        <w:jc w:val="both"/>
        <w:rPr>
          <w:rFonts w:ascii="Times New Roman" w:cs="Times New Roman"/>
          <w:color w:val="000000" w:themeColor="text1"/>
          <w:sz w:val="16"/>
          <w:szCs w:val="16"/>
        </w:rPr>
      </w:pPr>
      <w:r w:rsidRPr="008127F8">
        <w:rPr>
          <w:rFonts w:ascii="Times New Roman" w:cs="Times New Roman"/>
          <w:color w:val="000000" w:themeColor="text1"/>
          <w:sz w:val="16"/>
          <w:szCs w:val="16"/>
        </w:rPr>
        <w:t>В дополнение к этим «недостаткам» были обнаружены еще несколько опасных для полета дефектов. Так, при расстыковке самолета Ил-2 зав. №301685 для просмо</w:t>
      </w:r>
      <w:r w:rsidRPr="008127F8">
        <w:rPr>
          <w:rFonts w:ascii="Times New Roman" w:cs="Times New Roman"/>
          <w:color w:val="000000" w:themeColor="text1"/>
          <w:sz w:val="16"/>
          <w:szCs w:val="16"/>
        </w:rPr>
        <w:softHyphen/>
        <w:t>тра стыковочных узлов центроплана ко</w:t>
      </w:r>
      <w:r w:rsidRPr="008127F8">
        <w:rPr>
          <w:rFonts w:ascii="Times New Roman" w:cs="Times New Roman"/>
          <w:color w:val="000000" w:themeColor="text1"/>
          <w:sz w:val="16"/>
          <w:szCs w:val="16"/>
        </w:rPr>
        <w:softHyphen/>
        <w:t>миссией был обнаружен стыковочный болт,</w:t>
      </w:r>
      <w:r w:rsidRPr="008127F8">
        <w:rPr>
          <w:rStyle w:val="9pt80"/>
          <w:rFonts w:eastAsia="Arial Unicode MS"/>
          <w:color w:val="000000" w:themeColor="text1"/>
          <w:sz w:val="16"/>
          <w:szCs w:val="16"/>
        </w:rPr>
        <w:t xml:space="preserve"> «не имеющий клейма приемки и калки ОТК завода».</w:t>
      </w:r>
      <w:r w:rsidRPr="008127F8">
        <w:rPr>
          <w:rFonts w:ascii="Times New Roman" w:cs="Times New Roman"/>
          <w:color w:val="000000" w:themeColor="text1"/>
          <w:sz w:val="16"/>
          <w:szCs w:val="16"/>
        </w:rPr>
        <w:t xml:space="preserve"> При этом болт имел смя</w:t>
      </w:r>
      <w:r w:rsidRPr="008127F8">
        <w:rPr>
          <w:rFonts w:ascii="Times New Roman" w:cs="Times New Roman"/>
          <w:color w:val="000000" w:themeColor="text1"/>
          <w:sz w:val="16"/>
          <w:szCs w:val="16"/>
        </w:rPr>
        <w:softHyphen/>
        <w:t>тие по местам среза стыковочных гребе</w:t>
      </w:r>
      <w:r w:rsidRPr="008127F8">
        <w:rPr>
          <w:rFonts w:ascii="Times New Roman" w:cs="Times New Roman"/>
          <w:color w:val="000000" w:themeColor="text1"/>
          <w:sz w:val="16"/>
          <w:szCs w:val="16"/>
        </w:rPr>
        <w:softHyphen/>
        <w:t>нок. На Ил-2 зав. №301229 отверстия под стыковочный болт на стыковочных узлах центроплана были эллиптической формы. Еще на двух Ил-2 отсутствовали гайки (!) на стыковочных болтах центроплана (по одной на каждый самолет). На самоле</w:t>
      </w:r>
      <w:r w:rsidRPr="008127F8">
        <w:rPr>
          <w:rFonts w:ascii="Times New Roman" w:cs="Times New Roman"/>
          <w:color w:val="000000" w:themeColor="text1"/>
          <w:sz w:val="16"/>
          <w:szCs w:val="16"/>
        </w:rPr>
        <w:softHyphen/>
        <w:t>тах Ил-2 зав. №№301837,301756,301865, 13266 (завод №1), 301848,302047,301388, 301859 был зафиксирован</w:t>
      </w:r>
      <w:r w:rsidRPr="008127F8">
        <w:rPr>
          <w:rStyle w:val="9pt80"/>
          <w:rFonts w:eastAsia="Arial Unicode MS"/>
          <w:color w:val="000000" w:themeColor="text1"/>
          <w:sz w:val="16"/>
          <w:szCs w:val="16"/>
        </w:rPr>
        <w:t xml:space="preserve"> «неполный расклеп замыкающих головок заклепок на по</w:t>
      </w:r>
      <w:r w:rsidRPr="008127F8">
        <w:rPr>
          <w:rStyle w:val="9pt80"/>
          <w:rFonts w:eastAsia="Arial Unicode MS"/>
          <w:color w:val="000000" w:themeColor="text1"/>
          <w:sz w:val="16"/>
          <w:szCs w:val="16"/>
        </w:rPr>
        <w:softHyphen/>
        <w:t>ясах лонжеронов и в местах стыков поя</w:t>
      </w:r>
      <w:r w:rsidRPr="008127F8">
        <w:rPr>
          <w:rStyle w:val="9pt80"/>
          <w:rFonts w:eastAsia="Arial Unicode MS"/>
          <w:color w:val="000000" w:themeColor="text1"/>
          <w:sz w:val="16"/>
          <w:szCs w:val="16"/>
        </w:rPr>
        <w:softHyphen/>
        <w:t>сов лонжеронов с поясами нервюр центро</w:t>
      </w:r>
      <w:r w:rsidRPr="008127F8">
        <w:rPr>
          <w:rStyle w:val="9pt80"/>
          <w:rFonts w:eastAsia="Arial Unicode MS"/>
          <w:color w:val="000000" w:themeColor="text1"/>
          <w:sz w:val="16"/>
          <w:szCs w:val="16"/>
        </w:rPr>
        <w:softHyphen/>
        <w:t>плана».</w:t>
      </w:r>
      <w:r w:rsidRPr="008127F8">
        <w:rPr>
          <w:rFonts w:ascii="Times New Roman" w:cs="Times New Roman"/>
          <w:color w:val="000000" w:themeColor="text1"/>
          <w:sz w:val="16"/>
          <w:szCs w:val="16"/>
        </w:rPr>
        <w:t xml:space="preserve"> Отмечались трещины в стыковоч</w:t>
      </w:r>
      <w:r w:rsidRPr="008127F8">
        <w:rPr>
          <w:rFonts w:ascii="Times New Roman" w:cs="Times New Roman"/>
          <w:color w:val="000000" w:themeColor="text1"/>
          <w:sz w:val="16"/>
          <w:szCs w:val="16"/>
        </w:rPr>
        <w:softHyphen/>
        <w:t xml:space="preserve">ных узлах центроплана (5 машин), а также </w:t>
      </w:r>
      <w:r w:rsidRPr="008127F8">
        <w:rPr>
          <w:rStyle w:val="9pt80"/>
          <w:rFonts w:eastAsia="Arial Unicode MS"/>
          <w:color w:val="000000" w:themeColor="text1"/>
          <w:sz w:val="16"/>
          <w:szCs w:val="16"/>
        </w:rPr>
        <w:t>«овализация и эксцентричность стаканчи</w:t>
      </w:r>
      <w:r w:rsidRPr="008127F8">
        <w:rPr>
          <w:rStyle w:val="9pt80"/>
          <w:rFonts w:eastAsia="Arial Unicode MS"/>
          <w:color w:val="000000" w:themeColor="text1"/>
          <w:sz w:val="16"/>
          <w:szCs w:val="16"/>
        </w:rPr>
        <w:softHyphen/>
        <w:t>ков тяг элеронов»</w:t>
      </w:r>
      <w:r w:rsidRPr="008127F8">
        <w:rPr>
          <w:rFonts w:ascii="Times New Roman" w:cs="Times New Roman"/>
          <w:color w:val="000000" w:themeColor="text1"/>
          <w:sz w:val="16"/>
          <w:szCs w:val="16"/>
        </w:rPr>
        <w:t xml:space="preserve"> (12 машин) (19557).</w:t>
      </w:r>
    </w:p>
    <w:p w14:paraId="32657B6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A3C4AC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760C9F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469C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мая 1942 г. негативные явления в системе учебно-боевой подготовки маршевых авиаполков стали предметом обсуждения на совместном заседании Военного Совета ВВС КА и НКАП</w:t>
      </w:r>
    </w:p>
    <w:p w14:paraId="78EA74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результатам совещания был разработан план мероприятий по улучшению качества боевой подготовки маршевых авиаполков.</w:t>
      </w:r>
    </w:p>
    <w:p w14:paraId="557415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частности, предлагалось пересмотреть существующие программы переучивания и боевой подготовки с целью максимально их приблизить к "тому, что нужно на войне". Улучшить тренировку летного состава в маршрутных полетах и групповой слетанности. Изменить порядок приема-сдачи маршевых полков перед отправкой на фронт с целью повышения ответственности комсостава запасных авиаполков и бригад за качество их подготовки. Прикрепить школы к соответствующим запасным полкам с последующим приемом в них пополнения.</w:t>
      </w:r>
    </w:p>
    <w:p w14:paraId="616DBC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Требовалось запретить оставление опытных боевых летчиков на фронте при отводе их полков в тыл для пополнения. Считалось, что это устранит фактическое расформирование полка, и позволит сохранить боевые традиции.</w:t>
      </w:r>
    </w:p>
    <w:p w14:paraId="49DF381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Полки планировалось закрепить за фронтами. При этом ввод их в бой после пополнения должен был осуществляться только после тщательного изучения условий боевой работы, "исключив всякую неорганизованность при постановке задач".</w:t>
      </w:r>
    </w:p>
    <w:p w14:paraId="13768B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штаба ВВС КА обязывался обеспечить разработку боевого устава штурмовой авиации и переработку имеющихся уставов истребительной (БУИА-40) и бомбардировочной (БУБА-40) авиации применительно к современным требованиям войны.</w:t>
      </w:r>
    </w:p>
    <w:p w14:paraId="45C788C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сожалению, наряду с положительными сторонами, этот документ содержал и ряд серьезных просчетов и ошибок.</w:t>
      </w:r>
    </w:p>
    <w:p w14:paraId="12D840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частности, совершенно не учитывалось резкое снижение уровня общеобразовательной подготовки молодых людей, поступивших в военные авиационные школы пилотов в ходе войны. Из числа курсантов 1942 г. подавляющее большинство имели 7 классов, да и то со скидкой на войну. Реально они имели серьезные пробелы в знаниях по всем определяющим предметам. Как следствие, неглубокие и неустойчивые знания специальных дисциплин и увеличенный потребный налет для успешного освоения в полном объеме программы летной подготовки. Это обстоятельство при существующей поточной системе обучения приводило к сильной разнородности выпускаемых групп по уровню подготовки.</w:t>
      </w:r>
    </w:p>
    <w:p w14:paraId="0D21A8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Кроме этого, отвод авиачастей с фронта для доукомплектования являлся глубоко ошибочным. Дело в том, что полки выводились в тыл, как правило, когда от них оставалось не более трети штатного состава, а этого количества опытных летчиков - как ядра полка, не всегда было достаточно для быстрого и качественного ввода в строй молодых летчиков. Правильнее было пополнять полки непосредственно на фронте за счет подготавливаемых в запасных полках звеньев и одиночных экипажей.</w:t>
      </w:r>
    </w:p>
    <w:p w14:paraId="5F3EA7C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21 июня была разработана новая программа боевой подготовки летного состава в запасных авиачастях ВВС КА. Как отмечалось в одном из докладов начальника отдела боевой подготовки штаба 1-й заб майора Медведева, "только в последних числах июня начали по-настоящему учить летчиков маршевых полков и зап".</w:t>
      </w:r>
    </w:p>
    <w:p w14:paraId="01B79C2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курс боевой подготовки ввели бомбометание с пикирования, одиночный и групповой воздушные бои, использование радиосвязи и т.д. (12020).</w:t>
      </w:r>
    </w:p>
    <w:p w14:paraId="7BEDED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CD05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616721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6D4A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мая 1942 Воронов из НКО писал в ЦК ВКП(б) письмо (вх. N М-4961) о постройке современного разведчика для разведовательной авиации и это письмо в дальнейшем было передано в НКАП А.И.Ш. (2728,55).</w:t>
      </w:r>
    </w:p>
    <w:p w14:paraId="17D192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EE61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мая 1942 Попов из МГК ВКП(б) писал в ЦК ВКП(б) письмо (вх. N М-4960) о дефектах АМ-38 и это письмо в дальнейшем было передано в НКАП А.И.Ш. (2728,55).</w:t>
      </w:r>
    </w:p>
    <w:p w14:paraId="1D125D3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8F532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16 мая по 19 июня 1942 в НИИ ВВС были проведены гос. испытания Пе-3бис N 40143900. Сделали 44 полета и налетали 31:57 (1678,52).</w:t>
      </w:r>
    </w:p>
    <w:p w14:paraId="6976249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августа 1942 были подготовлены "Выводы” и "Заключение" по проведению госиспытаний Пе-Збис № 40143900 завода № 39 в НИИ ВВС:</w:t>
      </w:r>
    </w:p>
    <w:p w14:paraId="746750E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ы в о д ы</w:t>
      </w:r>
    </w:p>
    <w:p w14:paraId="3A97C52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Максимальные скорости серийного самолета Пе-Збис № 40143900 завода № 39 на 2-ой граница высотности 5080 метров равны:</w:t>
      </w:r>
    </w:p>
    <w:p w14:paraId="6B72256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без аэродинамического компенсатора и без нарощений на кили </w:t>
      </w:r>
      <w:r w:rsidRPr="008127F8">
        <w:rPr>
          <w:rFonts w:ascii="Times New Roman" w:hAnsi="Times New Roman"/>
          <w:color w:val="000000" w:themeColor="text1"/>
          <w:sz w:val="16"/>
          <w:szCs w:val="16"/>
        </w:rPr>
        <w:tab/>
        <w:t>530 км/ч</w:t>
      </w:r>
    </w:p>
    <w:p w14:paraId="1510E26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 аэродинамическим компенсатором и с нарощенными килями</w:t>
      </w:r>
      <w:r w:rsidRPr="008127F8">
        <w:rPr>
          <w:rFonts w:ascii="Times New Roman" w:hAnsi="Times New Roman"/>
          <w:color w:val="000000" w:themeColor="text1"/>
          <w:sz w:val="16"/>
          <w:szCs w:val="16"/>
        </w:rPr>
        <w:tab/>
        <w:t>527 км/ч</w:t>
      </w:r>
    </w:p>
    <w:p w14:paraId="43C9DC6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Максимальные скорости у земли соответствеино равны </w:t>
      </w:r>
      <w:r w:rsidRPr="008127F8">
        <w:rPr>
          <w:rFonts w:ascii="Times New Roman" w:hAnsi="Times New Roman"/>
          <w:color w:val="000000" w:themeColor="text1"/>
          <w:sz w:val="16"/>
          <w:szCs w:val="16"/>
        </w:rPr>
        <w:tab/>
        <w:t>438-435 км/ч</w:t>
      </w:r>
    </w:p>
    <w:p w14:paraId="3218957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Потерь в максимальных скоростях по сравнению с испытанным в октябре месяце 1941 года самолетом Пе-Збис № 392207 завода № 39 - НЕТ</w:t>
      </w:r>
    </w:p>
    <w:p w14:paraId="7429AA7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Скороподъемность, практический потолок, время набора высоты 5000 метров практически одинаковы в сравнении с самолётом Пе-Збис № 392207.</w:t>
      </w:r>
    </w:p>
    <w:p w14:paraId="7D7ECEE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Техническая дальность самолета при пол</w:t>
      </w:r>
      <w:r w:rsidRPr="008127F8">
        <w:rPr>
          <w:rFonts w:ascii="Times New Roman" w:hAnsi="Times New Roman"/>
          <w:color w:val="000000" w:themeColor="text1"/>
          <w:sz w:val="16"/>
          <w:szCs w:val="16"/>
        </w:rPr>
        <w:softHyphen/>
        <w:t>ном выгорании горючего на высоте 5000 метров по прибору (Н ст. = 5220 м; на 0;8 максимальной скорости с закрытым высотным корректором получилась равной 1500 км.</w:t>
      </w:r>
    </w:p>
    <w:p w14:paraId="04D4956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Длины пробегов полученные при испытании превышают длины пробегов испытанного ранее самолета Пе-Збис № 392207, что об"ясняется недостаточной эффективностью тормозов.</w:t>
      </w:r>
    </w:p>
    <w:p w14:paraId="6A73E19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Самолет имеет удовлетворительную продольную устойчивость на всех режимах полета за исключением на</w:t>
      </w:r>
      <w:r w:rsidRPr="008127F8">
        <w:rPr>
          <w:rFonts w:ascii="Times New Roman" w:hAnsi="Times New Roman"/>
          <w:color w:val="000000" w:themeColor="text1"/>
          <w:sz w:val="16"/>
          <w:szCs w:val="16"/>
        </w:rPr>
        <w:softHyphen/>
        <w:t>бора высоты с бомбами в мотогондолах.</w:t>
      </w:r>
    </w:p>
    <w:p w14:paraId="7AA22389" w14:textId="407D6D6D"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Поперечная устойчивость самолета достаточна. Путевая устойчивость ниже</w:t>
      </w:r>
      <w:r w:rsidR="00263CCD">
        <w:rPr>
          <w:rFonts w:ascii="Times New Roman" w:hAnsi="Times New Roman"/>
          <w:color w:val="000000" w:themeColor="text1"/>
          <w:sz w:val="16"/>
          <w:szCs w:val="16"/>
        </w:rPr>
        <w:t>,</w:t>
      </w:r>
      <w:r w:rsidRPr="008127F8">
        <w:rPr>
          <w:rFonts w:ascii="Times New Roman" w:hAnsi="Times New Roman"/>
          <w:color w:val="000000" w:themeColor="text1"/>
          <w:sz w:val="16"/>
          <w:szCs w:val="16"/>
        </w:rPr>
        <w:t xml:space="preserve"> чем у самолетов с хорошей путевой устойчивостью: Ме-110, ДБ3ф, СБ-РК, 103-У.</w:t>
      </w:r>
    </w:p>
    <w:p w14:paraId="393A3C2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Увеличение площади вертикального оперения (килей) на 16% с "уменьшавшем" удлинения устойчивость путя практически не изменило.</w:t>
      </w:r>
    </w:p>
    <w:p w14:paraId="0A216D1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 руля высоты на предельно передней цен</w:t>
      </w:r>
      <w:r w:rsidRPr="008127F8">
        <w:rPr>
          <w:rFonts w:ascii="Times New Roman" w:hAnsi="Times New Roman"/>
          <w:color w:val="000000" w:themeColor="text1"/>
          <w:sz w:val="16"/>
          <w:szCs w:val="16"/>
        </w:rPr>
        <w:softHyphen/>
        <w:t>тровке (16,7%) мал. Необходимо регулировку руля высоты про</w:t>
      </w:r>
      <w:r w:rsidRPr="008127F8">
        <w:rPr>
          <w:rFonts w:ascii="Times New Roman" w:hAnsi="Times New Roman"/>
          <w:color w:val="000000" w:themeColor="text1"/>
          <w:sz w:val="16"/>
          <w:szCs w:val="16"/>
        </w:rPr>
        <w:softHyphen/>
        <w:t>изводить; вверх - 30 , вниз 18-20</w:t>
      </w:r>
    </w:p>
    <w:p w14:paraId="3F63FB6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Предварительные исследования работы пред</w:t>
      </w:r>
      <w:r w:rsidRPr="008127F8">
        <w:rPr>
          <w:rFonts w:ascii="Times New Roman" w:hAnsi="Times New Roman"/>
          <w:color w:val="000000" w:themeColor="text1"/>
          <w:sz w:val="16"/>
          <w:szCs w:val="16"/>
        </w:rPr>
        <w:softHyphen/>
        <w:t>крылков, показывают, что на самолете Пе-Збис они работают недостаточно эффективно.</w:t>
      </w:r>
    </w:p>
    <w:p w14:paraId="79B080A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Взлетно-посадочные свойства улучшились нез</w:t>
      </w:r>
      <w:r w:rsidRPr="008127F8">
        <w:rPr>
          <w:rFonts w:ascii="Times New Roman" w:hAnsi="Times New Roman"/>
          <w:color w:val="000000" w:themeColor="text1"/>
          <w:sz w:val="16"/>
          <w:szCs w:val="16"/>
        </w:rPr>
        <w:softHyphen/>
        <w:t>начительно.</w:t>
      </w:r>
    </w:p>
    <w:p w14:paraId="03443F2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Минимальные скорости полета остались без изменений.</w:t>
      </w:r>
    </w:p>
    <w:p w14:paraId="6C38069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Срывы потока и тряска хвоста начинаются практически на одинаковых скоростях.</w:t>
      </w:r>
    </w:p>
    <w:p w14:paraId="3C61FB5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отзывам летчиков предкрылки облегчают пи</w:t>
      </w:r>
      <w:r w:rsidRPr="008127F8">
        <w:rPr>
          <w:rFonts w:ascii="Times New Roman" w:hAnsi="Times New Roman"/>
          <w:color w:val="000000" w:themeColor="text1"/>
          <w:sz w:val="16"/>
          <w:szCs w:val="16"/>
        </w:rPr>
        <w:softHyphen/>
        <w:t>лотирование на планировании на скоростях в диапазоне 230-240 км/час по прибору.</w:t>
      </w:r>
    </w:p>
    <w:p w14:paraId="15F42EC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Установка конструкции завода № 39 под 2 крупнокалиберных пулемета УБК испытание выдержала удов</w:t>
      </w:r>
      <w:r w:rsidRPr="008127F8">
        <w:rPr>
          <w:rFonts w:ascii="Times New Roman" w:hAnsi="Times New Roman"/>
          <w:color w:val="000000" w:themeColor="text1"/>
          <w:sz w:val="16"/>
          <w:szCs w:val="16"/>
        </w:rPr>
        <w:softHyphen/>
        <w:t>летворительно.</w:t>
      </w:r>
    </w:p>
    <w:p w14:paraId="53B3003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Турельная установка под крупнокалиберный пулемет штурмана конструктора ТОРОПОВА обеспечивает углы обстрела прицедьным огнем, как вправо, так и влево только по 30-35.</w:t>
      </w:r>
    </w:p>
    <w:p w14:paraId="151B8D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больших углах вести прицельным огонь из-за тесноты в кабине нельзя.</w:t>
      </w:r>
    </w:p>
    <w:p w14:paraId="5CFF147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углах больших 40-45°, из-за встречного потока воздуха, турель развернуть невозможно. Аэродинамический компенсатор турели усилий не снимает.</w:t>
      </w:r>
    </w:p>
    <w:p w14:paraId="40C13D4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Необходимо доработать компенсаторы установки Торопова на самолете Пе-3бис для использования в полете всего диапазона углов обстрела, допускаемых самой установкой.</w:t>
      </w:r>
    </w:p>
    <w:p w14:paraId="50578B2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самолете Пе-Збис не предусмотрено химвооружение. Заводу № 39 необходимо обеспечить подвеску химприборов на наружные замки бомбодержателей по типу самолета Пе-2.</w:t>
      </w:r>
    </w:p>
    <w:p w14:paraId="49832FC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Обзор штурману вперед и в низ отсутствует. Обзор влево и назад ограничен из-за большой тесноты в кабине.</w:t>
      </w:r>
    </w:p>
    <w:p w14:paraId="48CC33B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Приборы: указатель высоты и скорости штурма</w:t>
      </w:r>
      <w:r w:rsidRPr="008127F8">
        <w:rPr>
          <w:rFonts w:ascii="Times New Roman" w:hAnsi="Times New Roman"/>
          <w:color w:val="000000" w:themeColor="text1"/>
          <w:sz w:val="16"/>
          <w:szCs w:val="16"/>
        </w:rPr>
        <w:softHyphen/>
        <w:t>ну не видны.</w:t>
      </w:r>
    </w:p>
    <w:p w14:paraId="5CE7DDB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Необходимо произвести перекомпановку приборов, согласно схемы предлагаемой в отчете.</w:t>
      </w:r>
    </w:p>
    <w:p w14:paraId="4630F20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обеспечения самолетовождения» в сложных метеоусловиях нужно установись РПК-10.</w:t>
      </w:r>
    </w:p>
    <w:p w14:paraId="5EC27DE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Серийное размещение радиостанции РСИ-4 обеспе</w:t>
      </w:r>
      <w:r w:rsidRPr="008127F8">
        <w:rPr>
          <w:rFonts w:ascii="Times New Roman" w:hAnsi="Times New Roman"/>
          <w:color w:val="000000" w:themeColor="text1"/>
          <w:sz w:val="16"/>
          <w:szCs w:val="16"/>
        </w:rPr>
        <w:softHyphen/>
        <w:t>чивает дальность связи на высоте 1000 метров только 65-70 км.</w:t>
      </w:r>
    </w:p>
    <w:p w14:paraId="666565C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размещение РСИ-4 в хвосте фюзеляжа повысило дальность до 110-120 км на той же высоте.</w:t>
      </w:r>
    </w:p>
    <w:p w14:paraId="5AFD7E9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Производственное выполнение самолета в основ</w:t>
      </w:r>
      <w:r w:rsidRPr="008127F8">
        <w:rPr>
          <w:rFonts w:ascii="Times New Roman" w:hAnsi="Times New Roman"/>
          <w:color w:val="000000" w:themeColor="text1"/>
          <w:sz w:val="16"/>
          <w:szCs w:val="16"/>
        </w:rPr>
        <w:softHyphen/>
        <w:t>ном удовлетворительно.</w:t>
      </w:r>
    </w:p>
    <w:p w14:paraId="49EE731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В процессе испытаний выявлен ряд дефектов. Основных из них:</w:t>
      </w:r>
    </w:p>
    <w:p w14:paraId="5BC3474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разрушение подшипников нагнетателя мотора (массовое явление);</w:t>
      </w:r>
    </w:p>
    <w:p w14:paraId="6D93230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течь бензобаков № 3 и 1 4 в верхней части по сварке;</w:t>
      </w:r>
    </w:p>
    <w:p w14:paraId="40B4678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засвинцовываются электроды свечей при работе на горючем с продуктом В-20 (массовый дефект), за все время испытаний заменено 60 свечей;</w:t>
      </w:r>
    </w:p>
    <w:p w14:paraId="63F4ED6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течь водорадиатора;</w:t>
      </w:r>
    </w:p>
    <w:p w14:paraId="464555B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отказ приемников термометра воды (3 случая);</w:t>
      </w:r>
    </w:p>
    <w:p w14:paraId="6CF58B7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отказ динамок тахометров (массовый дефект - 4 раза);</w:t>
      </w:r>
    </w:p>
    <w:p w14:paraId="22F4537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отказ бензиномеров;</w:t>
      </w:r>
    </w:p>
    <w:p w14:paraId="123299D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 остаточная девиация магнитного компаса превышает допустимые пределы;</w:t>
      </w:r>
    </w:p>
    <w:p w14:paraId="3A442A3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при перезарядке пушки обрывается троссы перезарядки,</w:t>
      </w:r>
    </w:p>
    <w:p w14:paraId="64135AE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отсутствует механическая перезарядка пушки;</w:t>
      </w:r>
    </w:p>
    <w:p w14:paraId="559396E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 дренажный кран </w:t>
      </w:r>
      <w:r w:rsidRPr="008127F8">
        <w:rPr>
          <w:rFonts w:ascii="Times New Roman" w:hAnsi="Times New Roman"/>
          <w:smallCaps/>
          <w:color w:val="000000" w:themeColor="text1"/>
          <w:sz w:val="16"/>
          <w:szCs w:val="16"/>
        </w:rPr>
        <w:t xml:space="preserve">системы </w:t>
      </w:r>
      <w:r w:rsidRPr="008127F8">
        <w:rPr>
          <w:rFonts w:ascii="Times New Roman" w:hAnsi="Times New Roman"/>
          <w:color w:val="000000" w:themeColor="text1"/>
          <w:sz w:val="16"/>
          <w:szCs w:val="16"/>
        </w:rPr>
        <w:t>нейтрального газа работает неудовлетворительно:</w:t>
      </w:r>
    </w:p>
    <w:p w14:paraId="1A11ECB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положении сектора "ГАЗ" система не всегда включается;</w:t>
      </w:r>
    </w:p>
    <w:p w14:paraId="3CB33AE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положении "ДРЕНАЖ" газ поступает как в баки, так и в атмосферу,</w:t>
      </w:r>
    </w:p>
    <w:p w14:paraId="42E713D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Велико избыточное давление газов»в бензоба</w:t>
      </w:r>
      <w:r w:rsidRPr="008127F8">
        <w:rPr>
          <w:rFonts w:ascii="Times New Roman" w:hAnsi="Times New Roman"/>
          <w:color w:val="000000" w:themeColor="text1"/>
          <w:sz w:val="16"/>
          <w:szCs w:val="16"/>
        </w:rPr>
        <w:softHyphen/>
        <w:t>ках. Необходимо уменьшить давление по 100-120 мм ртутного столба.</w:t>
      </w:r>
    </w:p>
    <w:p w14:paraId="35F034B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smallCaps/>
          <w:color w:val="000000" w:themeColor="text1"/>
          <w:sz w:val="16"/>
          <w:szCs w:val="16"/>
        </w:rPr>
        <w:t xml:space="preserve">Ведущий </w:t>
      </w:r>
      <w:r w:rsidRPr="008127F8">
        <w:rPr>
          <w:rFonts w:ascii="Times New Roman" w:hAnsi="Times New Roman"/>
          <w:color w:val="000000" w:themeColor="text1"/>
          <w:sz w:val="16"/>
          <w:szCs w:val="16"/>
        </w:rPr>
        <w:t xml:space="preserve">и н ж е н е р </w:t>
      </w:r>
      <w:r w:rsidRPr="008127F8">
        <w:rPr>
          <w:rFonts w:ascii="Times New Roman" w:hAnsi="Times New Roman"/>
          <w:smallCaps/>
          <w:color w:val="000000" w:themeColor="text1"/>
          <w:sz w:val="16"/>
          <w:szCs w:val="16"/>
        </w:rPr>
        <w:t>-шжЕнер - полковник сафронов</w:t>
      </w:r>
    </w:p>
    <w:p w14:paraId="5B22E04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ЗАКЛЮЧЕНИЕ</w:t>
      </w:r>
    </w:p>
    <w:p w14:paraId="64035D3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Государственные контрольные испытания серийный самолет Пе-Збис № 40143900, производства завода 39, выдержал удовлетворительно,</w:t>
      </w:r>
    </w:p>
    <w:p w14:paraId="701CA54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Просить Н К А П:</w:t>
      </w:r>
    </w:p>
    <w:p w14:paraId="15FD96D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принять меры к устранению дефектов, выявленных на испытании, согласно выводов и прилагаемой ведомости дефектов;</w:t>
      </w:r>
    </w:p>
    <w:p w14:paraId="3C91A91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дать указания заводу № 32 срочно отрабо</w:t>
      </w:r>
      <w:r w:rsidRPr="008127F8">
        <w:rPr>
          <w:rFonts w:ascii="Times New Roman" w:hAnsi="Times New Roman"/>
          <w:color w:val="000000" w:themeColor="text1"/>
          <w:sz w:val="16"/>
          <w:szCs w:val="16"/>
        </w:rPr>
        <w:softHyphen/>
        <w:t>тать и установить на турель конструкции ТОРОПОВА компенса</w:t>
      </w:r>
      <w:r w:rsidRPr="008127F8">
        <w:rPr>
          <w:rFonts w:ascii="Times New Roman" w:hAnsi="Times New Roman"/>
          <w:color w:val="000000" w:themeColor="text1"/>
          <w:sz w:val="16"/>
          <w:szCs w:val="16"/>
        </w:rPr>
        <w:softHyphen/>
        <w:t>торы, которые позволили бы получить углы обстрела в воздухе, допускаемые конструкцией установки;</w:t>
      </w:r>
    </w:p>
    <w:p w14:paraId="3B10235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срочно провести исследование в ЦАГИ по повышению эффективности предкрылков на самолете Пе-Збис."</w:t>
      </w:r>
    </w:p>
    <w:p w14:paraId="752931A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ЗАВОДА № 39 (В.И.АБРАМОВ)</w:t>
      </w:r>
    </w:p>
    <w:p w14:paraId="4862941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 Л, ИНЖЕНЕРА ПО ЭКСПЕРИМЕНТАЛЬНЫМ РАБОТАМ (К.А.ПЕТРОВ) (1678,51).</w:t>
      </w:r>
    </w:p>
    <w:p w14:paraId="08D8B1B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27890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мая 1942 Костиков из НИИ-3 НКБ СССР писал в ЦК ВКП(б) письмо (вх. N М-4959) об использовании ракетных систем для борьбы с противником и это письмо в дальнейшем было передано в НКАП А.И.Ш. (2728,55).</w:t>
      </w:r>
    </w:p>
    <w:p w14:paraId="13BFFA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F611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мая 1942 года зам. начальника 7 Гл. управления Алексеев писал письмо N 4638с зав. отделом управления кадров ЦК ВКП(б) Вавилову и инженеру завода N 32 Малюкову.</w:t>
      </w:r>
    </w:p>
    <w:p w14:paraId="691654F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письму инженера Малюкова сообщаю, что эскизный проект 2-х моторного истребителя со спаркой моторов М-107, конструкции Малюкова, был рассмотрен в Экспертной комиссии НКАП в присутствии автора. Заключение по проекту дано отрицательное. Протокол утвержден зам. наркомом Яковлевым.</w:t>
      </w:r>
    </w:p>
    <w:p w14:paraId="18C58F7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Протокол комиссии в августе 1941 г. направлен 1 экз. в ЦК ВКП(б) исходящий N 2526 и 1 экз. автору на заводе N 380 (2178,77).</w:t>
      </w:r>
    </w:p>
    <w:p w14:paraId="6E1DDA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5B7697" w14:textId="77777777" w:rsidR="00FA5FDE" w:rsidRPr="008A2E5A" w:rsidRDefault="00FA5FDE" w:rsidP="00FA5FD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мая 1942 отчет о совместных испытаниях ЛаГГ-3 с М-82 в период с 9 по 14 мая утвердил нарком А.И. Шахурин, а на следующий день - командующий ВВС генерал-лейтенант Новиков. Все спешили доложить результаты испытаний Верховно</w:t>
      </w:r>
      <w:r w:rsidRPr="008A2E5A">
        <w:rPr>
          <w:rFonts w:ascii="Times New Roman" w:hAnsi="Times New Roman"/>
          <w:color w:val="0070C0"/>
          <w:sz w:val="16"/>
          <w:szCs w:val="16"/>
        </w:rPr>
        <w:softHyphen/>
        <w:t>му, однако, предложить проект постановле</w:t>
      </w:r>
      <w:r w:rsidRPr="008A2E5A">
        <w:rPr>
          <w:rFonts w:ascii="Times New Roman" w:hAnsi="Times New Roman"/>
          <w:color w:val="0070C0"/>
          <w:sz w:val="16"/>
          <w:szCs w:val="16"/>
        </w:rPr>
        <w:softHyphen/>
        <w:t>ния ГКО не рискнул никто. Решающий разго</w:t>
      </w:r>
      <w:r w:rsidRPr="008A2E5A">
        <w:rPr>
          <w:rFonts w:ascii="Times New Roman" w:hAnsi="Times New Roman"/>
          <w:color w:val="0070C0"/>
          <w:sz w:val="16"/>
          <w:szCs w:val="16"/>
        </w:rPr>
        <w:softHyphen/>
        <w:t>вор в судьбе Ла-5 состоялся в ночь с 19 на 20 мая 1942 года в кремлевском кабинете Стали</w:t>
      </w:r>
      <w:r w:rsidRPr="008A2E5A">
        <w:rPr>
          <w:rFonts w:ascii="Times New Roman" w:hAnsi="Times New Roman"/>
          <w:color w:val="0070C0"/>
          <w:sz w:val="16"/>
          <w:szCs w:val="16"/>
        </w:rPr>
        <w:softHyphen/>
        <w:t>на, для которого он собрал представитель</w:t>
      </w:r>
      <w:r w:rsidRPr="008A2E5A">
        <w:rPr>
          <w:rFonts w:ascii="Times New Roman" w:hAnsi="Times New Roman"/>
          <w:color w:val="0070C0"/>
          <w:sz w:val="16"/>
          <w:szCs w:val="16"/>
        </w:rPr>
        <w:softHyphen/>
        <w:t>ную команду. Присутствовали Г.М. Маленков и Л.П. Берия. В 22 час.10 мин.первым при</w:t>
      </w:r>
      <w:r w:rsidRPr="008A2E5A">
        <w:rPr>
          <w:rFonts w:ascii="Times New Roman" w:hAnsi="Times New Roman"/>
          <w:color w:val="0070C0"/>
          <w:sz w:val="16"/>
          <w:szCs w:val="16"/>
        </w:rPr>
        <w:softHyphen/>
        <w:t>гласили А.А. Новикова, чуть позже - А.И. Шахурина. В 23 час.15 мин. к Сталину зашли на</w:t>
      </w:r>
      <w:r w:rsidRPr="008A2E5A">
        <w:rPr>
          <w:rFonts w:ascii="Times New Roman" w:hAnsi="Times New Roman"/>
          <w:color w:val="0070C0"/>
          <w:sz w:val="16"/>
          <w:szCs w:val="16"/>
        </w:rPr>
        <w:softHyphen/>
        <w:t>чальник НИИ ВВС генерал-лейтенант И.Ф. Петров, Главный инженер ВВС дивинженер А.К. Репин, А.С. Яковлев и С.А. Лавочкин (23389).</w:t>
      </w:r>
    </w:p>
    <w:p w14:paraId="64E12FDB" w14:textId="77777777" w:rsidR="00FA5FDE" w:rsidRPr="008A2E5A" w:rsidRDefault="00FA5FDE" w:rsidP="00FA5FDE">
      <w:pPr>
        <w:spacing w:after="0" w:line="240" w:lineRule="auto"/>
        <w:jc w:val="both"/>
        <w:rPr>
          <w:rFonts w:ascii="Times New Roman" w:hAnsi="Times New Roman"/>
          <w:color w:val="0070C0"/>
          <w:sz w:val="16"/>
          <w:szCs w:val="16"/>
        </w:rPr>
      </w:pPr>
    </w:p>
    <w:p w14:paraId="0A4E1D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мая 1942 л 153 завода В.И.Фортинский совершил аварию на Як-7Б, так как при посадке не справился с боковым ветром, выкатился с ВПП и скапотировал (2108).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7C5583" w:rsidRPr="008127F8" w14:paraId="0DF3AD80" w14:textId="77777777" w:rsidTr="004C5D62">
        <w:tc>
          <w:tcPr>
            <w:tcW w:w="675" w:type="dxa"/>
            <w:tcBorders>
              <w:top w:val="single" w:sz="12" w:space="0" w:color="auto"/>
            </w:tcBorders>
          </w:tcPr>
          <w:p w14:paraId="3D179E1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п/п</w:t>
            </w:r>
          </w:p>
        </w:tc>
        <w:tc>
          <w:tcPr>
            <w:tcW w:w="993" w:type="dxa"/>
            <w:tcBorders>
              <w:top w:val="single" w:sz="12" w:space="0" w:color="auto"/>
            </w:tcBorders>
          </w:tcPr>
          <w:p w14:paraId="4E19156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Дата</w:t>
            </w:r>
          </w:p>
        </w:tc>
        <w:tc>
          <w:tcPr>
            <w:tcW w:w="708" w:type="dxa"/>
            <w:tcBorders>
              <w:top w:val="single" w:sz="12" w:space="0" w:color="auto"/>
            </w:tcBorders>
          </w:tcPr>
          <w:p w14:paraId="3356CE9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Заводов</w:t>
            </w:r>
          </w:p>
        </w:tc>
        <w:tc>
          <w:tcPr>
            <w:tcW w:w="1418" w:type="dxa"/>
            <w:tcBorders>
              <w:top w:val="single" w:sz="12" w:space="0" w:color="auto"/>
            </w:tcBorders>
          </w:tcPr>
          <w:p w14:paraId="244107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w:t>
            </w:r>
          </w:p>
        </w:tc>
        <w:tc>
          <w:tcPr>
            <w:tcW w:w="2364" w:type="dxa"/>
            <w:tcBorders>
              <w:top w:val="single" w:sz="12" w:space="0" w:color="auto"/>
            </w:tcBorders>
          </w:tcPr>
          <w:p w14:paraId="6DC4930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2949C41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Краткое описание и причины происшествия</w:t>
            </w:r>
          </w:p>
        </w:tc>
      </w:tr>
      <w:tr w:rsidR="007C5583" w:rsidRPr="008127F8" w14:paraId="0D5EABBF" w14:textId="77777777" w:rsidTr="004C5D62">
        <w:tc>
          <w:tcPr>
            <w:tcW w:w="675" w:type="dxa"/>
          </w:tcPr>
          <w:p w14:paraId="5853BB8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993" w:type="dxa"/>
          </w:tcPr>
          <w:p w14:paraId="1F4CF99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мая 1942</w:t>
            </w:r>
          </w:p>
        </w:tc>
        <w:tc>
          <w:tcPr>
            <w:tcW w:w="708" w:type="dxa"/>
          </w:tcPr>
          <w:p w14:paraId="670FD26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ЛИИ Раменское</w:t>
            </w:r>
          </w:p>
        </w:tc>
        <w:tc>
          <w:tcPr>
            <w:tcW w:w="1418" w:type="dxa"/>
          </w:tcPr>
          <w:p w14:paraId="650763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Е.Н.Гимпель</w:t>
            </w:r>
          </w:p>
        </w:tc>
        <w:tc>
          <w:tcPr>
            <w:tcW w:w="2364" w:type="dxa"/>
          </w:tcPr>
          <w:p w14:paraId="67906E6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Поломка на испытаниях</w:t>
            </w:r>
          </w:p>
        </w:tc>
        <w:tc>
          <w:tcPr>
            <w:tcW w:w="4440" w:type="dxa"/>
          </w:tcPr>
          <w:p w14:paraId="2AE77AC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 забыл выпустить шасси и сделал посадку с убранным шасси. С-т имеет повреждения</w:t>
            </w:r>
          </w:p>
        </w:tc>
      </w:tr>
      <w:tr w:rsidR="007C5583" w:rsidRPr="008127F8" w14:paraId="53F29B06" w14:textId="77777777" w:rsidTr="004C5D62">
        <w:tc>
          <w:tcPr>
            <w:tcW w:w="675" w:type="dxa"/>
            <w:tcBorders>
              <w:bottom w:val="single" w:sz="12" w:space="0" w:color="auto"/>
            </w:tcBorders>
          </w:tcPr>
          <w:p w14:paraId="03EF646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w:t>
            </w:r>
          </w:p>
        </w:tc>
        <w:tc>
          <w:tcPr>
            <w:tcW w:w="993" w:type="dxa"/>
            <w:tcBorders>
              <w:bottom w:val="single" w:sz="12" w:space="0" w:color="auto"/>
            </w:tcBorders>
          </w:tcPr>
          <w:p w14:paraId="11EA943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мая 1942</w:t>
            </w:r>
          </w:p>
        </w:tc>
        <w:tc>
          <w:tcPr>
            <w:tcW w:w="708" w:type="dxa"/>
            <w:tcBorders>
              <w:bottom w:val="single" w:sz="12" w:space="0" w:color="auto"/>
            </w:tcBorders>
          </w:tcPr>
          <w:p w14:paraId="6F45A81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153</w:t>
            </w:r>
          </w:p>
        </w:tc>
        <w:tc>
          <w:tcPr>
            <w:tcW w:w="1418" w:type="dxa"/>
            <w:tcBorders>
              <w:bottom w:val="single" w:sz="12" w:space="0" w:color="auto"/>
            </w:tcBorders>
          </w:tcPr>
          <w:p w14:paraId="5E4DB86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В.И.Фортинский</w:t>
            </w:r>
          </w:p>
        </w:tc>
        <w:tc>
          <w:tcPr>
            <w:tcW w:w="2364" w:type="dxa"/>
            <w:tcBorders>
              <w:bottom w:val="single" w:sz="12" w:space="0" w:color="auto"/>
            </w:tcBorders>
          </w:tcPr>
          <w:p w14:paraId="66A8C0B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Авария Як-7 а на испытаниях</w:t>
            </w:r>
          </w:p>
        </w:tc>
        <w:tc>
          <w:tcPr>
            <w:tcW w:w="4440" w:type="dxa"/>
            <w:tcBorders>
              <w:bottom w:val="single" w:sz="12" w:space="0" w:color="auto"/>
            </w:tcBorders>
          </w:tcPr>
          <w:p w14:paraId="72F59F7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посадке на дорожку л не справился с управлением при боковом ветре, с-т выкатился за дорожку и скапотировал</w:t>
            </w:r>
          </w:p>
        </w:tc>
      </w:tr>
    </w:tbl>
    <w:p w14:paraId="1D32217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(2108,266)</w:t>
      </w:r>
    </w:p>
    <w:p w14:paraId="273A24A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9DC9E6"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 xml:space="preserve">16 мая 1942 лётчики сбили появившийся на Восточном фронте </w:t>
      </w:r>
      <w:r w:rsidRPr="008127F8">
        <w:rPr>
          <w:rFonts w:ascii="Times New Roman" w:cs="Times New Roman"/>
          <w:color w:val="000000" w:themeColor="text1"/>
          <w:spacing w:val="0"/>
          <w:lang w:val="en-US"/>
        </w:rPr>
        <w:t>Bf</w:t>
      </w:r>
      <w:r w:rsidRPr="008127F8">
        <w:rPr>
          <w:rFonts w:ascii="Times New Roman" w:cs="Times New Roman"/>
          <w:color w:val="000000" w:themeColor="text1"/>
          <w:spacing w:val="0"/>
        </w:rPr>
        <w:t xml:space="preserve"> 109</w:t>
      </w:r>
      <w:r w:rsidRPr="008127F8">
        <w:rPr>
          <w:rFonts w:ascii="Times New Roman" w:cs="Times New Roman"/>
          <w:color w:val="000000" w:themeColor="text1"/>
          <w:spacing w:val="0"/>
          <w:lang w:val="en-US"/>
        </w:rPr>
        <w:t>G</w:t>
      </w:r>
      <w:r w:rsidRPr="008127F8">
        <w:rPr>
          <w:rFonts w:ascii="Times New Roman" w:cs="Times New Roman"/>
          <w:color w:val="000000" w:themeColor="text1"/>
          <w:spacing w:val="0"/>
        </w:rPr>
        <w:t xml:space="preserve">-2 с новым мощным мотором </w:t>
      </w:r>
      <w:r w:rsidRPr="008127F8">
        <w:rPr>
          <w:rFonts w:ascii="Times New Roman" w:cs="Times New Roman"/>
          <w:color w:val="000000" w:themeColor="text1"/>
          <w:spacing w:val="0"/>
          <w:lang w:val="en-US"/>
        </w:rPr>
        <w:t>DB</w:t>
      </w:r>
      <w:r w:rsidRPr="008127F8">
        <w:rPr>
          <w:rFonts w:ascii="Times New Roman" w:cs="Times New Roman"/>
          <w:color w:val="000000" w:themeColor="text1"/>
          <w:spacing w:val="0"/>
        </w:rPr>
        <w:t>-605</w:t>
      </w:r>
      <w:r w:rsidRPr="008127F8">
        <w:rPr>
          <w:rFonts w:ascii="Times New Roman" w:cs="Times New Roman"/>
          <w:color w:val="000000" w:themeColor="text1"/>
          <w:spacing w:val="0"/>
          <w:lang w:val="en-US"/>
        </w:rPr>
        <w:t>A</w:t>
      </w:r>
      <w:r w:rsidRPr="008127F8">
        <w:rPr>
          <w:rFonts w:ascii="Times New Roman" w:cs="Times New Roman"/>
          <w:color w:val="000000" w:themeColor="text1"/>
          <w:spacing w:val="0"/>
        </w:rPr>
        <w:t>. По данным разведки, его скорость на 2-й границе высот</w:t>
      </w:r>
      <w:r w:rsidRPr="008127F8">
        <w:rPr>
          <w:rFonts w:ascii="Times New Roman" w:cs="Times New Roman"/>
          <w:color w:val="000000" w:themeColor="text1"/>
          <w:spacing w:val="0"/>
        </w:rPr>
        <w:softHyphen/>
        <w:t>ности превышала 650 км/ч (15813).</w:t>
      </w:r>
    </w:p>
    <w:p w14:paraId="4C578094"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p>
    <w:p w14:paraId="53EC89B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мая 1942 на восточном фронте появился Bf 109G-2 с новым мощным мотором ОВ-605А. По данным разведки, его скорость на 2-й границе высотности превышала 650 км/ч. Всё это нашло отражение во вто</w:t>
      </w:r>
      <w:r w:rsidRPr="008127F8">
        <w:rPr>
          <w:rFonts w:ascii="Times New Roman" w:hAnsi="Times New Roman"/>
          <w:color w:val="000000" w:themeColor="text1"/>
          <w:sz w:val="16"/>
          <w:szCs w:val="16"/>
        </w:rPr>
        <w:softHyphen/>
        <w:t>ром отчете по войсковым испытани</w:t>
      </w:r>
      <w:r w:rsidRPr="008127F8">
        <w:rPr>
          <w:rFonts w:ascii="Times New Roman" w:hAnsi="Times New Roman"/>
          <w:color w:val="000000" w:themeColor="text1"/>
          <w:sz w:val="16"/>
          <w:szCs w:val="16"/>
        </w:rPr>
        <w:softHyphen/>
        <w:t>ям самолета Ла-5, теперь уже по опы</w:t>
      </w:r>
      <w:r w:rsidRPr="008127F8">
        <w:rPr>
          <w:rFonts w:ascii="Times New Roman" w:hAnsi="Times New Roman"/>
          <w:color w:val="000000" w:themeColor="text1"/>
          <w:sz w:val="16"/>
          <w:szCs w:val="16"/>
        </w:rPr>
        <w:softHyphen/>
        <w:t>ту боевой работы 287 ИАД.</w:t>
      </w:r>
    </w:p>
    <w:p w14:paraId="346B935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период с 20 августа по 13 сен</w:t>
      </w:r>
      <w:r w:rsidRPr="008127F8">
        <w:rPr>
          <w:rFonts w:ascii="Times New Roman" w:hAnsi="Times New Roman"/>
          <w:color w:val="000000" w:themeColor="text1"/>
          <w:sz w:val="16"/>
          <w:szCs w:val="16"/>
        </w:rPr>
        <w:softHyphen/>
        <w:t>тября 1942 года частями 287 ИАД было выполнено 226 самолето-выле</w:t>
      </w:r>
      <w:r w:rsidRPr="008127F8">
        <w:rPr>
          <w:rFonts w:ascii="Times New Roman" w:hAnsi="Times New Roman"/>
          <w:color w:val="000000" w:themeColor="text1"/>
          <w:sz w:val="16"/>
          <w:szCs w:val="16"/>
        </w:rPr>
        <w:softHyphen/>
        <w:t>тов на разведку войск противника... и 571 самолето-вылет на прикрытие войск и перехват самолетов против</w:t>
      </w:r>
      <w:r w:rsidRPr="008127F8">
        <w:rPr>
          <w:rFonts w:ascii="Times New Roman" w:hAnsi="Times New Roman"/>
          <w:color w:val="000000" w:themeColor="text1"/>
          <w:sz w:val="16"/>
          <w:szCs w:val="16"/>
        </w:rPr>
        <w:softHyphen/>
        <w:t>ника. В результате воздушных боев сбито: бомбардировщиков -51, ис</w:t>
      </w:r>
      <w:r w:rsidRPr="008127F8">
        <w:rPr>
          <w:rFonts w:ascii="Times New Roman" w:hAnsi="Times New Roman"/>
          <w:color w:val="000000" w:themeColor="text1"/>
          <w:sz w:val="16"/>
          <w:szCs w:val="16"/>
        </w:rPr>
        <w:softHyphen/>
        <w:t>требителей Ме-109 - 19 и Ме-109Ф - 17...</w:t>
      </w:r>
    </w:p>
    <w:p w14:paraId="1E0109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Сталинградском фронте само</w:t>
      </w:r>
      <w:r w:rsidRPr="008127F8">
        <w:rPr>
          <w:rFonts w:ascii="Times New Roman" w:hAnsi="Times New Roman"/>
          <w:color w:val="000000" w:themeColor="text1"/>
          <w:sz w:val="16"/>
          <w:szCs w:val="16"/>
        </w:rPr>
        <w:softHyphen/>
        <w:t>леты Ла-5 с М-82 вели бои с немец</w:t>
      </w:r>
      <w:r w:rsidRPr="008127F8">
        <w:rPr>
          <w:rFonts w:ascii="Times New Roman" w:hAnsi="Times New Roman"/>
          <w:color w:val="000000" w:themeColor="text1"/>
          <w:sz w:val="16"/>
          <w:szCs w:val="16"/>
        </w:rPr>
        <w:softHyphen/>
        <w:t>кими истребителями Ме-109Ф-4 с мотором ДБ-601Е и Ме-109Г-2 с мо</w:t>
      </w:r>
      <w:r w:rsidRPr="008127F8">
        <w:rPr>
          <w:rFonts w:ascii="Times New Roman" w:hAnsi="Times New Roman"/>
          <w:color w:val="000000" w:themeColor="text1"/>
          <w:sz w:val="16"/>
          <w:szCs w:val="16"/>
        </w:rPr>
        <w:softHyphen/>
        <w:t>тором ДБ-605А}..., а также с бомбар</w:t>
      </w:r>
      <w:r w:rsidRPr="008127F8">
        <w:rPr>
          <w:rFonts w:ascii="Times New Roman" w:hAnsi="Times New Roman"/>
          <w:color w:val="000000" w:themeColor="text1"/>
          <w:sz w:val="16"/>
          <w:szCs w:val="16"/>
        </w:rPr>
        <w:softHyphen/>
        <w:t>дировщиками Ю-88, Ю-87, Ме-110, Хе-111.</w:t>
      </w:r>
    </w:p>
    <w:p w14:paraId="28D6BF4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воздушном бою с немецкими самолетами Ме-109Ф-4 и Ме-109Г-2 самолет Ла-5 значительно уступает им как по вертикальному маневру, так и по горизонтальной скорости. В ре</w:t>
      </w:r>
      <w:r w:rsidRPr="008127F8">
        <w:rPr>
          <w:rFonts w:ascii="Times New Roman" w:hAnsi="Times New Roman"/>
          <w:color w:val="000000" w:themeColor="text1"/>
          <w:sz w:val="16"/>
          <w:szCs w:val="16"/>
        </w:rPr>
        <w:softHyphen/>
        <w:t>зультате чего самолет Ла-5 не может вести с немецкими истребителями Ме-109Ф-4 и Ме-109Г-2 активного воздушного боя, а вынужден вести оборонительный бой.</w:t>
      </w:r>
    </w:p>
    <w:p w14:paraId="5175EF9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воздушном бою с немецкими самолетами Ю-88, Ме-110 и Хе-111 самолет Ла-5 отвечает всем требо</w:t>
      </w:r>
      <w:r w:rsidRPr="008127F8">
        <w:rPr>
          <w:rFonts w:ascii="Times New Roman" w:hAnsi="Times New Roman"/>
          <w:color w:val="000000" w:themeColor="text1"/>
          <w:sz w:val="16"/>
          <w:szCs w:val="16"/>
        </w:rPr>
        <w:softHyphen/>
        <w:t>ваниям современного истребителя по скорости и маневру. Вооружение тре</w:t>
      </w:r>
      <w:r w:rsidRPr="008127F8">
        <w:rPr>
          <w:rFonts w:ascii="Times New Roman" w:hAnsi="Times New Roman"/>
          <w:color w:val="000000" w:themeColor="text1"/>
          <w:sz w:val="16"/>
          <w:szCs w:val="16"/>
        </w:rPr>
        <w:softHyphen/>
        <w:t>бует усиления мощности огня...</w:t>
      </w:r>
    </w:p>
    <w:p w14:paraId="3474A4E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Моторы М-82 в процессе боевой работы эксплоатировались на топли</w:t>
      </w:r>
      <w:r w:rsidRPr="008127F8">
        <w:rPr>
          <w:rFonts w:ascii="Times New Roman" w:hAnsi="Times New Roman"/>
          <w:color w:val="000000" w:themeColor="text1"/>
          <w:sz w:val="16"/>
          <w:szCs w:val="16"/>
        </w:rPr>
        <w:softHyphen/>
        <w:t>ве 46-78 и масле МК. По характеру боевой работы (разведка с бреюще</w:t>
      </w:r>
      <w:r w:rsidRPr="008127F8">
        <w:rPr>
          <w:rFonts w:ascii="Times New Roman" w:hAnsi="Times New Roman"/>
          <w:color w:val="000000" w:themeColor="text1"/>
          <w:sz w:val="16"/>
          <w:szCs w:val="16"/>
        </w:rPr>
        <w:softHyphen/>
        <w:t>го полета, воздушный бой с бомбар</w:t>
      </w:r>
      <w:r w:rsidRPr="008127F8">
        <w:rPr>
          <w:rFonts w:ascii="Times New Roman" w:hAnsi="Times New Roman"/>
          <w:color w:val="000000" w:themeColor="text1"/>
          <w:sz w:val="16"/>
          <w:szCs w:val="16"/>
        </w:rPr>
        <w:softHyphen/>
        <w:t>дировщиками и истребителями и пат</w:t>
      </w:r>
      <w:r w:rsidRPr="008127F8">
        <w:rPr>
          <w:rFonts w:ascii="Times New Roman" w:hAnsi="Times New Roman"/>
          <w:color w:val="000000" w:themeColor="text1"/>
          <w:sz w:val="16"/>
          <w:szCs w:val="16"/>
        </w:rPr>
        <w:softHyphen/>
        <w:t>рулирование) моторы большую часть времени работали на номинальном режиме...</w:t>
      </w:r>
    </w:p>
    <w:p w14:paraId="79E63AB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80% моторов после 10-12 ча</w:t>
      </w:r>
      <w:r w:rsidRPr="008127F8">
        <w:rPr>
          <w:rFonts w:ascii="Times New Roman" w:hAnsi="Times New Roman"/>
          <w:color w:val="000000" w:themeColor="text1"/>
          <w:sz w:val="16"/>
          <w:szCs w:val="16"/>
        </w:rPr>
        <w:softHyphen/>
        <w:t>сов работы появлялась тряска из-за отказа свечей ВГ-12. После замены свечей тряска прекращалась.</w:t>
      </w:r>
    </w:p>
    <w:p w14:paraId="10670BF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15 моторах после 10-12 часов работы мотора появлялась перекач</w:t>
      </w:r>
      <w:r w:rsidRPr="008127F8">
        <w:rPr>
          <w:rFonts w:ascii="Times New Roman" w:hAnsi="Times New Roman"/>
          <w:color w:val="000000" w:themeColor="text1"/>
          <w:sz w:val="16"/>
          <w:szCs w:val="16"/>
        </w:rPr>
        <w:softHyphen/>
        <w:t>ка масла из маслобака в картер мо</w:t>
      </w:r>
      <w:r w:rsidRPr="008127F8">
        <w:rPr>
          <w:rFonts w:ascii="Times New Roman" w:hAnsi="Times New Roman"/>
          <w:color w:val="000000" w:themeColor="text1"/>
          <w:sz w:val="16"/>
          <w:szCs w:val="16"/>
        </w:rPr>
        <w:softHyphen/>
        <w:t>тора и падение давления масла, это явление наблюдалось на земле и в воздухе, при полетах в течение 3-5 минут давление масла падало до 2 кг/см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вследствие чего летчик вынуж</w:t>
      </w:r>
      <w:r w:rsidRPr="008127F8">
        <w:rPr>
          <w:rFonts w:ascii="Times New Roman" w:hAnsi="Times New Roman"/>
          <w:color w:val="000000" w:themeColor="text1"/>
          <w:sz w:val="16"/>
          <w:szCs w:val="16"/>
        </w:rPr>
        <w:softHyphen/>
        <w:t>денно садился. При выявлении при</w:t>
      </w:r>
      <w:r w:rsidRPr="008127F8">
        <w:rPr>
          <w:rFonts w:ascii="Times New Roman" w:hAnsi="Times New Roman"/>
          <w:color w:val="000000" w:themeColor="text1"/>
          <w:sz w:val="16"/>
          <w:szCs w:val="16"/>
        </w:rPr>
        <w:softHyphen/>
        <w:t>чины перекачки масла было установ</w:t>
      </w:r>
      <w:r w:rsidRPr="008127F8">
        <w:rPr>
          <w:rFonts w:ascii="Times New Roman" w:hAnsi="Times New Roman"/>
          <w:color w:val="000000" w:themeColor="text1"/>
          <w:sz w:val="16"/>
          <w:szCs w:val="16"/>
        </w:rPr>
        <w:softHyphen/>
        <w:t>лено, что она происходит в результа</w:t>
      </w:r>
      <w:r w:rsidRPr="008127F8">
        <w:rPr>
          <w:rFonts w:ascii="Times New Roman" w:hAnsi="Times New Roman"/>
          <w:color w:val="000000" w:themeColor="text1"/>
          <w:sz w:val="16"/>
          <w:szCs w:val="16"/>
        </w:rPr>
        <w:softHyphen/>
        <w:t>те повышения сопротивления, созда</w:t>
      </w:r>
      <w:r w:rsidRPr="008127F8">
        <w:rPr>
          <w:rFonts w:ascii="Times New Roman" w:hAnsi="Times New Roman"/>
          <w:color w:val="000000" w:themeColor="text1"/>
          <w:sz w:val="16"/>
          <w:szCs w:val="16"/>
        </w:rPr>
        <w:softHyphen/>
        <w:t>ваемого в откачивающей магистрали фетровым фильтром. После замены фетровых фильтров на моторах, име</w:t>
      </w:r>
      <w:r w:rsidRPr="008127F8">
        <w:rPr>
          <w:rFonts w:ascii="Times New Roman" w:hAnsi="Times New Roman"/>
          <w:color w:val="000000" w:themeColor="text1"/>
          <w:sz w:val="16"/>
          <w:szCs w:val="16"/>
        </w:rPr>
        <w:softHyphen/>
        <w:t>ющих перекачку масла, дефект уст</w:t>
      </w:r>
      <w:r w:rsidRPr="008127F8">
        <w:rPr>
          <w:rFonts w:ascii="Times New Roman" w:hAnsi="Times New Roman"/>
          <w:color w:val="000000" w:themeColor="text1"/>
          <w:sz w:val="16"/>
          <w:szCs w:val="16"/>
        </w:rPr>
        <w:softHyphen/>
        <w:t>ранялся...</w:t>
      </w:r>
    </w:p>
    <w:p w14:paraId="5C42F73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процессе эксплоатации моторов М-82 наблюдалось произвольное обеднение смеси после 4-5 часов работы мотора, после восстановления нормальной регулировки карбюрато</w:t>
      </w:r>
      <w:r w:rsidRPr="008127F8">
        <w:rPr>
          <w:rFonts w:ascii="Times New Roman" w:hAnsi="Times New Roman"/>
          <w:color w:val="000000" w:themeColor="text1"/>
          <w:sz w:val="16"/>
          <w:szCs w:val="16"/>
        </w:rPr>
        <w:softHyphen/>
        <w:t>ра АК-82БП качество смеси в тече</w:t>
      </w:r>
      <w:r w:rsidRPr="008127F8">
        <w:rPr>
          <w:rFonts w:ascii="Times New Roman" w:hAnsi="Times New Roman"/>
          <w:color w:val="000000" w:themeColor="text1"/>
          <w:sz w:val="16"/>
          <w:szCs w:val="16"/>
        </w:rPr>
        <w:softHyphen/>
        <w:t>ние 15-20 часов не изменялось.</w:t>
      </w:r>
    </w:p>
    <w:p w14:paraId="1013F0A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Течь масла из-под крышек клапан</w:t>
      </w:r>
      <w:r w:rsidRPr="008127F8">
        <w:rPr>
          <w:rFonts w:ascii="Times New Roman" w:hAnsi="Times New Roman"/>
          <w:color w:val="000000" w:themeColor="text1"/>
          <w:sz w:val="16"/>
          <w:szCs w:val="16"/>
        </w:rPr>
        <w:softHyphen/>
        <w:t>ных коробок, из подшипника оси ко</w:t>
      </w:r>
      <w:r w:rsidRPr="008127F8">
        <w:rPr>
          <w:rFonts w:ascii="Times New Roman" w:hAnsi="Times New Roman"/>
          <w:color w:val="000000" w:themeColor="text1"/>
          <w:sz w:val="16"/>
          <w:szCs w:val="16"/>
        </w:rPr>
        <w:softHyphen/>
        <w:t>ромысел, из-под гайки кожухов тяг тол</w:t>
      </w:r>
      <w:r w:rsidRPr="008127F8">
        <w:rPr>
          <w:rFonts w:ascii="Times New Roman" w:hAnsi="Times New Roman"/>
          <w:color w:val="000000" w:themeColor="text1"/>
          <w:sz w:val="16"/>
          <w:szCs w:val="16"/>
        </w:rPr>
        <w:softHyphen/>
        <w:t>кателей. Выбивание масла из-под аг</w:t>
      </w:r>
      <w:r w:rsidRPr="008127F8">
        <w:rPr>
          <w:rFonts w:ascii="Times New Roman" w:hAnsi="Times New Roman"/>
          <w:color w:val="000000" w:themeColor="text1"/>
          <w:sz w:val="16"/>
          <w:szCs w:val="16"/>
        </w:rPr>
        <w:softHyphen/>
        <w:t>регатов задней крышки мотора и в соединениях маслосистемы. Из-за этого возвращались с боевого зада</w:t>
      </w:r>
      <w:r w:rsidRPr="008127F8">
        <w:rPr>
          <w:rFonts w:ascii="Times New Roman" w:hAnsi="Times New Roman"/>
          <w:color w:val="000000" w:themeColor="text1"/>
          <w:sz w:val="16"/>
          <w:szCs w:val="16"/>
        </w:rPr>
        <w:softHyphen/>
        <w:t>ния, так как козырек весь забрызги</w:t>
      </w:r>
      <w:r w:rsidRPr="008127F8">
        <w:rPr>
          <w:rFonts w:ascii="Times New Roman" w:hAnsi="Times New Roman"/>
          <w:color w:val="000000" w:themeColor="text1"/>
          <w:sz w:val="16"/>
          <w:szCs w:val="16"/>
        </w:rPr>
        <w:softHyphen/>
        <w:t>вает маслом, и самолет становится слепым.</w:t>
      </w:r>
    </w:p>
    <w:p w14:paraId="6804C69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горизонтальном полете у земли (разведка с бреющего полета) на ре</w:t>
      </w:r>
      <w:r w:rsidRPr="008127F8">
        <w:rPr>
          <w:rFonts w:ascii="Times New Roman" w:hAnsi="Times New Roman"/>
          <w:color w:val="000000" w:themeColor="text1"/>
          <w:sz w:val="16"/>
          <w:szCs w:val="16"/>
        </w:rPr>
        <w:softHyphen/>
        <w:t>жиме Рк=850-950мм рт.ст. и п=2300-2400 с почти полностью закрытыми створками капотов мотора, темпера</w:t>
      </w:r>
      <w:r w:rsidRPr="008127F8">
        <w:rPr>
          <w:rFonts w:ascii="Times New Roman" w:hAnsi="Times New Roman"/>
          <w:color w:val="000000" w:themeColor="text1"/>
          <w:sz w:val="16"/>
          <w:szCs w:val="16"/>
        </w:rPr>
        <w:softHyphen/>
        <w:t>тура головок цилиндров не превыша</w:t>
      </w:r>
      <w:r w:rsidRPr="008127F8">
        <w:rPr>
          <w:rFonts w:ascii="Times New Roman" w:hAnsi="Times New Roman"/>
          <w:color w:val="000000" w:themeColor="text1"/>
          <w:sz w:val="16"/>
          <w:szCs w:val="16"/>
        </w:rPr>
        <w:softHyphen/>
        <w:t>ла 210-240 °С, а температура выходя</w:t>
      </w:r>
      <w:r w:rsidRPr="008127F8">
        <w:rPr>
          <w:rFonts w:ascii="Times New Roman" w:hAnsi="Times New Roman"/>
          <w:color w:val="000000" w:themeColor="text1"/>
          <w:sz w:val="16"/>
          <w:szCs w:val="16"/>
        </w:rPr>
        <w:softHyphen/>
        <w:t>щего масла достигала 90-100 °С. Зас</w:t>
      </w:r>
      <w:r w:rsidRPr="008127F8">
        <w:rPr>
          <w:rFonts w:ascii="Times New Roman" w:hAnsi="Times New Roman"/>
          <w:color w:val="000000" w:themeColor="text1"/>
          <w:sz w:val="16"/>
          <w:szCs w:val="16"/>
        </w:rPr>
        <w:softHyphen/>
        <w:t>лонка маслорадиатора была установ</w:t>
      </w:r>
      <w:r w:rsidRPr="008127F8">
        <w:rPr>
          <w:rFonts w:ascii="Times New Roman" w:hAnsi="Times New Roman"/>
          <w:color w:val="000000" w:themeColor="text1"/>
          <w:sz w:val="16"/>
          <w:szCs w:val="16"/>
        </w:rPr>
        <w:softHyphen/>
        <w:t>лена по потоку, температура наружного воздуха 25-30 °С.</w:t>
      </w:r>
    </w:p>
    <w:p w14:paraId="1A4322A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полном закрытии створок ка</w:t>
      </w:r>
      <w:r w:rsidRPr="008127F8">
        <w:rPr>
          <w:rFonts w:ascii="Times New Roman" w:hAnsi="Times New Roman"/>
          <w:color w:val="000000" w:themeColor="text1"/>
          <w:sz w:val="16"/>
          <w:szCs w:val="16"/>
        </w:rPr>
        <w:softHyphen/>
        <w:t>потов мотора температура воздуха в кабине летчика значительно повыша</w:t>
      </w:r>
      <w:r w:rsidRPr="008127F8">
        <w:rPr>
          <w:rFonts w:ascii="Times New Roman" w:hAnsi="Times New Roman"/>
          <w:color w:val="000000" w:themeColor="text1"/>
          <w:sz w:val="16"/>
          <w:szCs w:val="16"/>
        </w:rPr>
        <w:softHyphen/>
        <w:t>ется вследствие негерметичности про</w:t>
      </w:r>
      <w:r w:rsidRPr="008127F8">
        <w:rPr>
          <w:rFonts w:ascii="Times New Roman" w:hAnsi="Times New Roman"/>
          <w:color w:val="000000" w:themeColor="text1"/>
          <w:sz w:val="16"/>
          <w:szCs w:val="16"/>
        </w:rPr>
        <w:softHyphen/>
        <w:t>тивопожарной перегородки и недо</w:t>
      </w:r>
      <w:r w:rsidRPr="008127F8">
        <w:rPr>
          <w:rFonts w:ascii="Times New Roman" w:hAnsi="Times New Roman"/>
          <w:color w:val="000000" w:themeColor="text1"/>
          <w:sz w:val="16"/>
          <w:szCs w:val="16"/>
        </w:rPr>
        <w:softHyphen/>
        <w:t>статочной высоты ее, что утомляет летчика и затрудняет полет.</w:t>
      </w:r>
    </w:p>
    <w:p w14:paraId="1C949F4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воздушном бою на высотах от 1000 до 4000 метров температура головок цилиндров не превышала 210-230 С, а масла - 100-110 С, створ</w:t>
      </w:r>
      <w:r w:rsidRPr="008127F8">
        <w:rPr>
          <w:rFonts w:ascii="Times New Roman" w:hAnsi="Times New Roman"/>
          <w:color w:val="000000" w:themeColor="text1"/>
          <w:sz w:val="16"/>
          <w:szCs w:val="16"/>
        </w:rPr>
        <w:softHyphen/>
        <w:t>ки капотов мотора при этом были открыты на 1/3 хода. Заслонка мас</w:t>
      </w:r>
      <w:r w:rsidRPr="008127F8">
        <w:rPr>
          <w:rFonts w:ascii="Times New Roman" w:hAnsi="Times New Roman"/>
          <w:color w:val="000000" w:themeColor="text1"/>
          <w:sz w:val="16"/>
          <w:szCs w:val="16"/>
        </w:rPr>
        <w:softHyphen/>
        <w:t>лорадиатора установлена по потоку. Регулировка температуры головок цилиндров в полете затруднена из-за больших усилий на штурвале уп</w:t>
      </w:r>
      <w:r w:rsidRPr="008127F8">
        <w:rPr>
          <w:rFonts w:ascii="Times New Roman" w:hAnsi="Times New Roman"/>
          <w:color w:val="000000" w:themeColor="text1"/>
          <w:sz w:val="16"/>
          <w:szCs w:val="16"/>
        </w:rPr>
        <w:softHyphen/>
        <w:t>равления створками...</w:t>
      </w:r>
    </w:p>
    <w:p w14:paraId="0CAE6AD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работе на форсаже в тече</w:t>
      </w:r>
      <w:r w:rsidRPr="008127F8">
        <w:rPr>
          <w:rFonts w:ascii="Times New Roman" w:hAnsi="Times New Roman"/>
          <w:color w:val="000000" w:themeColor="text1"/>
          <w:sz w:val="16"/>
          <w:szCs w:val="16"/>
        </w:rPr>
        <w:softHyphen/>
        <w:t>ние более 5 минут и непрерывном наборе высоты до 5000 м при темпе</w:t>
      </w:r>
      <w:r w:rsidRPr="008127F8">
        <w:rPr>
          <w:rFonts w:ascii="Times New Roman" w:hAnsi="Times New Roman"/>
          <w:color w:val="000000" w:themeColor="text1"/>
          <w:sz w:val="16"/>
          <w:szCs w:val="16"/>
        </w:rPr>
        <w:softHyphen/>
        <w:t>ратуре головок цилиндров перед вы</w:t>
      </w:r>
      <w:r w:rsidRPr="008127F8">
        <w:rPr>
          <w:rFonts w:ascii="Times New Roman" w:hAnsi="Times New Roman"/>
          <w:color w:val="000000" w:themeColor="text1"/>
          <w:sz w:val="16"/>
          <w:szCs w:val="16"/>
        </w:rPr>
        <w:softHyphen/>
        <w:t>летом 200-210 °С, температура голо</w:t>
      </w:r>
      <w:r w:rsidRPr="008127F8">
        <w:rPr>
          <w:rFonts w:ascii="Times New Roman" w:hAnsi="Times New Roman"/>
          <w:color w:val="000000" w:themeColor="text1"/>
          <w:sz w:val="16"/>
          <w:szCs w:val="16"/>
        </w:rPr>
        <w:softHyphen/>
        <w:t>вок цилиндров доходила до верхнего предела, т.е. 250 °С при полностью открытых створках капота.</w:t>
      </w:r>
    </w:p>
    <w:p w14:paraId="1A46697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 производился, как правило, через 1-1,5 мин (иногда 0,5 мин) пос</w:t>
      </w:r>
      <w:r w:rsidRPr="008127F8">
        <w:rPr>
          <w:rFonts w:ascii="Times New Roman" w:hAnsi="Times New Roman"/>
          <w:color w:val="000000" w:themeColor="text1"/>
          <w:sz w:val="16"/>
          <w:szCs w:val="16"/>
        </w:rPr>
        <w:softHyphen/>
        <w:t>ле запуска мотора, вследствие чего моторы достаточно не прогревались. Обычно перед взлетом температура масла была 40-60 °С и температура головок цилиндров 120-150 °С...»</w:t>
      </w:r>
    </w:p>
    <w:p w14:paraId="1A49CC0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был сделан вывод, что:</w:t>
      </w:r>
    </w:p>
    <w:p w14:paraId="1C243C4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Ла-5 с мотором М-82 вследствие большой удельной нагруз</w:t>
      </w:r>
      <w:r w:rsidRPr="008127F8">
        <w:rPr>
          <w:rFonts w:ascii="Times New Roman" w:hAnsi="Times New Roman"/>
          <w:color w:val="000000" w:themeColor="text1"/>
          <w:sz w:val="16"/>
          <w:szCs w:val="16"/>
        </w:rPr>
        <w:softHyphen/>
        <w:t>ки на крыло значительно уступает в воздушном бою немецким истреби</w:t>
      </w:r>
      <w:r w:rsidRPr="008127F8">
        <w:rPr>
          <w:rFonts w:ascii="Times New Roman" w:hAnsi="Times New Roman"/>
          <w:color w:val="000000" w:themeColor="text1"/>
          <w:sz w:val="16"/>
          <w:szCs w:val="16"/>
        </w:rPr>
        <w:softHyphen/>
        <w:t>телям Ме-109Р-4 и Ме-109О-2 как по вертикальному маневру, так и по горизонтальной скорости.</w:t>
      </w:r>
    </w:p>
    <w:p w14:paraId="3529113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Ла-5 может вести воздуш</w:t>
      </w:r>
      <w:r w:rsidRPr="008127F8">
        <w:rPr>
          <w:rFonts w:ascii="Times New Roman" w:hAnsi="Times New Roman"/>
          <w:color w:val="000000" w:themeColor="text1"/>
          <w:sz w:val="16"/>
          <w:szCs w:val="16"/>
        </w:rPr>
        <w:softHyphen/>
        <w:t>ный бой с указанными немецкими истребителями — только оборонитель</w:t>
      </w:r>
      <w:r w:rsidRPr="008127F8">
        <w:rPr>
          <w:rFonts w:ascii="Times New Roman" w:hAnsi="Times New Roman"/>
          <w:color w:val="000000" w:themeColor="text1"/>
          <w:sz w:val="16"/>
          <w:szCs w:val="16"/>
        </w:rPr>
        <w:softHyphen/>
        <w:t>ный, так как, имея превосходство в го</w:t>
      </w:r>
      <w:r w:rsidRPr="008127F8">
        <w:rPr>
          <w:rFonts w:ascii="Times New Roman" w:hAnsi="Times New Roman"/>
          <w:color w:val="000000" w:themeColor="text1"/>
          <w:sz w:val="16"/>
          <w:szCs w:val="16"/>
        </w:rPr>
        <w:softHyphen/>
        <w:t>ризонтальной скорости и вертикаль</w:t>
      </w:r>
      <w:r w:rsidRPr="008127F8">
        <w:rPr>
          <w:rFonts w:ascii="Times New Roman" w:hAnsi="Times New Roman"/>
          <w:color w:val="000000" w:themeColor="text1"/>
          <w:sz w:val="16"/>
          <w:szCs w:val="16"/>
        </w:rPr>
        <w:softHyphen/>
        <w:t>ном маневре истребители противни</w:t>
      </w:r>
      <w:r w:rsidRPr="008127F8">
        <w:rPr>
          <w:rFonts w:ascii="Times New Roman" w:hAnsi="Times New Roman"/>
          <w:color w:val="000000" w:themeColor="text1"/>
          <w:sz w:val="16"/>
          <w:szCs w:val="16"/>
        </w:rPr>
        <w:softHyphen/>
        <w:t>ка имеют большое преимущество в выборе наивыгоднейших позиций для атаки, что дает возможность их чис</w:t>
      </w:r>
      <w:r w:rsidRPr="008127F8">
        <w:rPr>
          <w:rFonts w:ascii="Times New Roman" w:hAnsi="Times New Roman"/>
          <w:color w:val="000000" w:themeColor="text1"/>
          <w:sz w:val="16"/>
          <w:szCs w:val="16"/>
        </w:rPr>
        <w:softHyphen/>
        <w:t>ленно меньшей группе сковывать чис</w:t>
      </w:r>
      <w:r w:rsidRPr="008127F8">
        <w:rPr>
          <w:rFonts w:ascii="Times New Roman" w:hAnsi="Times New Roman"/>
          <w:color w:val="000000" w:themeColor="text1"/>
          <w:sz w:val="16"/>
          <w:szCs w:val="16"/>
        </w:rPr>
        <w:softHyphen/>
        <w:t>ленно превосходящую группу само</w:t>
      </w:r>
      <w:r w:rsidRPr="008127F8">
        <w:rPr>
          <w:rFonts w:ascii="Times New Roman" w:hAnsi="Times New Roman"/>
          <w:color w:val="000000" w:themeColor="text1"/>
          <w:sz w:val="16"/>
          <w:szCs w:val="16"/>
        </w:rPr>
        <w:softHyphen/>
        <w:t>летов Ла-5 и навязывать ей бой на выгодных для себя условиях...» (10699).</w:t>
      </w:r>
    </w:p>
    <w:p w14:paraId="03861EE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5C7F6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69053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D01D1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мая 1942 года вышел приказ № 266с НКВ</w:t>
      </w:r>
    </w:p>
    <w:p w14:paraId="1FF94B6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Присвоить следующие номера заводам НКВ, находящимся в Подольске:</w:t>
      </w:r>
    </w:p>
    <w:p w14:paraId="39CFA4C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Бывшему заводу № 17 - № 710</w:t>
      </w:r>
    </w:p>
    <w:p w14:paraId="6DF0929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Бывшему заводу № 188 - № 711 (6317, 214).</w:t>
      </w:r>
    </w:p>
    <w:p w14:paraId="4134D58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F106F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мая 1942 года вышел приказ № 274 НКБ</w:t>
      </w:r>
    </w:p>
    <w:p w14:paraId="13A4366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Заводы НКБ и НКМВ по производству боеприпасов Челябинской области:</w:t>
      </w:r>
    </w:p>
    <w:p w14:paraId="1DC7C1A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НКБ:</w:t>
      </w:r>
    </w:p>
    <w:p w14:paraId="135CA19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62 – Челябинск</w:t>
      </w:r>
    </w:p>
    <w:p w14:paraId="63AF349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114 – Копейск</w:t>
      </w:r>
    </w:p>
    <w:p w14:paraId="53810A1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258 – Копейск</w:t>
      </w:r>
    </w:p>
    <w:p w14:paraId="186D565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549 – Челябинск</w:t>
      </w:r>
    </w:p>
    <w:p w14:paraId="3596521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611 – Миассы</w:t>
      </w:r>
    </w:p>
    <w:p w14:paraId="62D7702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603 – Курган</w:t>
      </w:r>
    </w:p>
    <w:p w14:paraId="7DF66C6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401 – Аша</w:t>
      </w:r>
    </w:p>
    <w:p w14:paraId="71AA466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НКМВ:</w:t>
      </w:r>
    </w:p>
    <w:p w14:paraId="2C5C795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 Колющенко – Челябинск</w:t>
      </w:r>
    </w:p>
    <w:p w14:paraId="72A721C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Челябкомпрессор – Челябинск</w:t>
      </w:r>
    </w:p>
    <w:p w14:paraId="10C75A6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Уралсельмаш – Курган</w:t>
      </w:r>
    </w:p>
    <w:p w14:paraId="4AE336F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Шадринский</w:t>
      </w:r>
    </w:p>
    <w:p w14:paraId="09BFB77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Насосный завод – Катавск</w:t>
      </w:r>
    </w:p>
    <w:p w14:paraId="1AEED42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Насосный завод – Златоуст</w:t>
      </w:r>
    </w:p>
    <w:p w14:paraId="574DE0A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Продмаш – Курган (5904, 48).</w:t>
      </w:r>
    </w:p>
    <w:p w14:paraId="61AFD2C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374A3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мая 1942 года в заключении по литой башне танка Т-34 конструкции завода № 183 отмечалось: «Необходимо ускорить отработку и внедрение в производство на всех заводах башен новой конструкции для Т-34.</w:t>
      </w:r>
    </w:p>
    <w:p w14:paraId="31279D0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1 июля 1942 года разрешить заводам выпускать Т-34 со старой башней без заднего люка, после чего все заводы перевести на выпуск новой башни».</w:t>
      </w:r>
    </w:p>
    <w:p w14:paraId="57BF654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Чертежи для введения в серию шестигранной башни утвердили с,1 июля 1942 года. Однако далеко не все предприятия перешли на ее изготовление - и завод № 264, и «Красное Сормово» продолжали производство башен по старым чертежам (завод № 112 выпускал такие башни до лета 1943 года).</w:t>
      </w:r>
    </w:p>
    <w:p w14:paraId="649DA29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Изменения конструкции с целью упрощения в производстве вводили не только на заводе № 183. но и на других предприятиях. Например, из-за особенностей производства литых башен на заводе «Красное Сормово» кормовую часть башни отливали вместе с бортами, посте чего фрезеровали в задней стенке место под установку люка для демонтажа пушки. Естественно это усложняло и удорожало конструкцию. Для того чтобы избежать фрезерной операции на заводе № 112 под руководством начальника сектора вооружения А. Окунева разработали технологию монтажа и демонтажа пушки при отсутствии люка в корме башни. Для этого двумя танковыми домкратами поднимали кормовую часть башни, и в отверстие между ее погоном и крышей корпуса свободно проходила снятая с цапф пушка. А чтобы при этом башня не сползла вперед, на крыше корпуса приварили специальные упоры. Предложение завода № 112 утвердили, и с марта 1942 года сормовчане перешли на производство башен без заднего кормового люка (12217).</w:t>
      </w:r>
    </w:p>
    <w:p w14:paraId="0E74865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75212D1" w14:textId="77777777" w:rsidR="007C5583" w:rsidRPr="008127F8" w:rsidRDefault="007C5583" w:rsidP="007C5583">
      <w:pPr>
        <w:pStyle w:val="a4"/>
        <w:rPr>
          <w:color w:val="000000" w:themeColor="text1"/>
          <w:lang w:val="ru-RU"/>
        </w:rPr>
      </w:pPr>
      <w:r w:rsidRPr="008127F8">
        <w:rPr>
          <w:color w:val="000000" w:themeColor="text1"/>
          <w:lang w:val="ru-RU"/>
        </w:rPr>
        <w:t>16 мая 1942 года о ходе испытаний КВ-7 было до</w:t>
      </w:r>
      <w:r w:rsidRPr="008127F8">
        <w:rPr>
          <w:color w:val="000000" w:themeColor="text1"/>
          <w:lang w:val="ru-RU"/>
        </w:rPr>
        <w:softHyphen/>
        <w:t>ложено главному конструктору Кировского завода генерал-майору Ж.Я. Котину:</w:t>
      </w:r>
    </w:p>
    <w:p w14:paraId="12A8AEA6" w14:textId="77777777" w:rsidR="007C5583" w:rsidRPr="008127F8" w:rsidRDefault="007C5583" w:rsidP="007C5583">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«Танк КВ-7 11.5.42 г. был закончен монтажом, а 14-го мая предвари</w:t>
      </w:r>
      <w:r w:rsidRPr="008127F8">
        <w:rPr>
          <w:i w:val="0"/>
          <w:color w:val="000000" w:themeColor="text1"/>
          <w:sz w:val="16"/>
          <w:szCs w:val="16"/>
        </w:rPr>
        <w:softHyphen/>
        <w:t>тельно испытан на Копейском полигоне. С обоих систем было выпущено 17 снарядов осколочно-фугасного действия, из них 5 одиночными выстре</w:t>
      </w:r>
      <w:r w:rsidRPr="008127F8">
        <w:rPr>
          <w:i w:val="0"/>
          <w:color w:val="000000" w:themeColor="text1"/>
          <w:sz w:val="16"/>
          <w:szCs w:val="16"/>
        </w:rPr>
        <w:softHyphen/>
        <w:t>лами и 12 залпами. Стрельба производилась по мишени 1,5X1,5 метра на дистанции 800метров.</w:t>
      </w:r>
    </w:p>
    <w:p w14:paraId="6C40DE29" w14:textId="77777777" w:rsidR="007C5583" w:rsidRPr="008127F8" w:rsidRDefault="007C5583" w:rsidP="007C5583">
      <w:pPr>
        <w:pStyle w:val="Bodytext141"/>
        <w:shd w:val="clear" w:color="auto" w:fill="auto"/>
        <w:spacing w:line="240" w:lineRule="auto"/>
        <w:ind w:firstLine="0"/>
        <w:jc w:val="both"/>
        <w:rPr>
          <w:i w:val="0"/>
          <w:color w:val="000000" w:themeColor="text1"/>
          <w:sz w:val="16"/>
          <w:szCs w:val="16"/>
        </w:rPr>
      </w:pPr>
      <w:r w:rsidRPr="008127F8">
        <w:rPr>
          <w:i w:val="0"/>
          <w:color w:val="000000" w:themeColor="text1"/>
          <w:sz w:val="16"/>
          <w:szCs w:val="16"/>
        </w:rPr>
        <w:t>На основании этих данных можно дать следующее предварительное заключение:</w:t>
      </w:r>
    </w:p>
    <w:p w14:paraId="0F97AC28" w14:textId="77777777" w:rsidR="007C5583" w:rsidRPr="008127F8" w:rsidRDefault="007C5583" w:rsidP="007C5583">
      <w:pPr>
        <w:pStyle w:val="Bodytext141"/>
        <w:shd w:val="clear" w:color="auto" w:fill="auto"/>
        <w:tabs>
          <w:tab w:val="left" w:pos="560"/>
        </w:tabs>
        <w:spacing w:line="240" w:lineRule="auto"/>
        <w:ind w:firstLine="0"/>
        <w:jc w:val="both"/>
        <w:rPr>
          <w:i w:val="0"/>
          <w:color w:val="000000" w:themeColor="text1"/>
          <w:sz w:val="16"/>
          <w:szCs w:val="16"/>
        </w:rPr>
      </w:pPr>
      <w:r w:rsidRPr="008127F8">
        <w:rPr>
          <w:i w:val="0"/>
          <w:color w:val="000000" w:themeColor="text1"/>
          <w:sz w:val="16"/>
          <w:szCs w:val="16"/>
        </w:rPr>
        <w:t>1. Стрельба с места по мишени дает хорошую меткость и кучность спаренных систем. После пристрелки выпущенные 11 снарядов уло</w:t>
      </w:r>
      <w:r w:rsidRPr="008127F8">
        <w:rPr>
          <w:i w:val="0"/>
          <w:color w:val="000000" w:themeColor="text1"/>
          <w:sz w:val="16"/>
          <w:szCs w:val="16"/>
        </w:rPr>
        <w:softHyphen/>
        <w:t>жились в эллипсе с осями: большая 40метров, малая 3 метра.</w:t>
      </w:r>
    </w:p>
    <w:p w14:paraId="48B42551" w14:textId="77777777" w:rsidR="007C5583" w:rsidRPr="008127F8" w:rsidRDefault="007C5583" w:rsidP="007C5583">
      <w:pPr>
        <w:pStyle w:val="Bodytext141"/>
        <w:shd w:val="clear" w:color="auto" w:fill="auto"/>
        <w:tabs>
          <w:tab w:val="left" w:pos="594"/>
        </w:tabs>
        <w:spacing w:line="240" w:lineRule="auto"/>
        <w:ind w:firstLine="0"/>
        <w:jc w:val="both"/>
        <w:rPr>
          <w:i w:val="0"/>
          <w:color w:val="000000" w:themeColor="text1"/>
          <w:sz w:val="16"/>
          <w:szCs w:val="16"/>
        </w:rPr>
      </w:pPr>
      <w:r w:rsidRPr="008127F8">
        <w:rPr>
          <w:i w:val="0"/>
          <w:color w:val="000000" w:themeColor="text1"/>
          <w:sz w:val="16"/>
          <w:szCs w:val="16"/>
        </w:rPr>
        <w:t>2. Темп стрельба 6—7 залпов в минуту. Вследствие неуравновешенно</w:t>
      </w:r>
      <w:r w:rsidRPr="008127F8">
        <w:rPr>
          <w:i w:val="0"/>
          <w:color w:val="000000" w:themeColor="text1"/>
          <w:sz w:val="16"/>
          <w:szCs w:val="16"/>
        </w:rPr>
        <w:softHyphen/>
        <w:t>сти систем и не самотормозящего подъемного механизма, каким яв</w:t>
      </w:r>
      <w:r w:rsidRPr="008127F8">
        <w:rPr>
          <w:i w:val="0"/>
          <w:color w:val="000000" w:themeColor="text1"/>
          <w:sz w:val="16"/>
          <w:szCs w:val="16"/>
        </w:rPr>
        <w:softHyphen/>
        <w:t>ляется секторный механизм (подъемный), установленный на этой спарке — после каждого залпа происходит самопроизвольное увели</w:t>
      </w:r>
      <w:r w:rsidRPr="008127F8">
        <w:rPr>
          <w:i w:val="0"/>
          <w:color w:val="000000" w:themeColor="text1"/>
          <w:sz w:val="16"/>
          <w:szCs w:val="16"/>
        </w:rPr>
        <w:softHyphen/>
        <w:t>чение угла возвышения примерно на двадцать пять тысячных дис</w:t>
      </w:r>
      <w:r w:rsidRPr="008127F8">
        <w:rPr>
          <w:i w:val="0"/>
          <w:color w:val="000000" w:themeColor="text1"/>
          <w:sz w:val="16"/>
          <w:szCs w:val="16"/>
        </w:rPr>
        <w:softHyphen/>
        <w:t>танции.</w:t>
      </w:r>
    </w:p>
    <w:p w14:paraId="42086367" w14:textId="77777777" w:rsidR="007C5583" w:rsidRPr="008127F8" w:rsidRDefault="007C5583" w:rsidP="007C5583">
      <w:pPr>
        <w:pStyle w:val="Bodytext141"/>
        <w:shd w:val="clear" w:color="auto" w:fill="auto"/>
        <w:tabs>
          <w:tab w:val="left" w:pos="598"/>
        </w:tabs>
        <w:spacing w:line="240" w:lineRule="auto"/>
        <w:ind w:firstLine="0"/>
        <w:jc w:val="both"/>
        <w:rPr>
          <w:i w:val="0"/>
          <w:color w:val="000000" w:themeColor="text1"/>
          <w:sz w:val="16"/>
          <w:szCs w:val="16"/>
        </w:rPr>
      </w:pPr>
      <w:r w:rsidRPr="008127F8">
        <w:rPr>
          <w:i w:val="0"/>
          <w:color w:val="000000" w:themeColor="text1"/>
          <w:sz w:val="16"/>
          <w:szCs w:val="16"/>
        </w:rPr>
        <w:t>3. Поворотный механизм спарки требует усилий обеих рук, что ни в коем случае не может быть допустимым.</w:t>
      </w:r>
    </w:p>
    <w:p w14:paraId="56DA2B20" w14:textId="77777777" w:rsidR="007C5583" w:rsidRPr="008127F8" w:rsidRDefault="007C5583" w:rsidP="007C5583">
      <w:pPr>
        <w:pStyle w:val="Bodytext141"/>
        <w:shd w:val="clear" w:color="auto" w:fill="auto"/>
        <w:tabs>
          <w:tab w:val="left" w:pos="584"/>
        </w:tabs>
        <w:spacing w:line="240" w:lineRule="auto"/>
        <w:ind w:firstLine="0"/>
        <w:jc w:val="both"/>
        <w:rPr>
          <w:i w:val="0"/>
          <w:color w:val="000000" w:themeColor="text1"/>
          <w:sz w:val="16"/>
          <w:szCs w:val="16"/>
        </w:rPr>
      </w:pPr>
      <w:r w:rsidRPr="008127F8">
        <w:rPr>
          <w:i w:val="0"/>
          <w:color w:val="000000" w:themeColor="text1"/>
          <w:sz w:val="16"/>
          <w:szCs w:val="16"/>
        </w:rPr>
        <w:t>4. Размещение снарядных кассет в нише башни вызывает большое за</w:t>
      </w:r>
      <w:r w:rsidRPr="008127F8">
        <w:rPr>
          <w:i w:val="0"/>
          <w:color w:val="000000" w:themeColor="text1"/>
          <w:sz w:val="16"/>
          <w:szCs w:val="16"/>
        </w:rPr>
        <w:softHyphen/>
        <w:t>труднение в работе и не может быть принято. Необходимо приме</w:t>
      </w:r>
      <w:r w:rsidRPr="008127F8">
        <w:rPr>
          <w:i w:val="0"/>
          <w:color w:val="000000" w:themeColor="text1"/>
          <w:sz w:val="16"/>
          <w:szCs w:val="16"/>
        </w:rPr>
        <w:softHyphen/>
        <w:t>нить открытый тип укладки.</w:t>
      </w:r>
    </w:p>
    <w:p w14:paraId="0AB55A1F" w14:textId="77777777" w:rsidR="007C5583" w:rsidRPr="008127F8" w:rsidRDefault="007C5583" w:rsidP="007C5583">
      <w:pPr>
        <w:pStyle w:val="Bodytext141"/>
        <w:shd w:val="clear" w:color="auto" w:fill="auto"/>
        <w:tabs>
          <w:tab w:val="left" w:pos="589"/>
        </w:tabs>
        <w:spacing w:line="240" w:lineRule="auto"/>
        <w:ind w:firstLine="0"/>
        <w:jc w:val="both"/>
        <w:rPr>
          <w:i w:val="0"/>
          <w:color w:val="000000" w:themeColor="text1"/>
          <w:sz w:val="16"/>
          <w:szCs w:val="16"/>
        </w:rPr>
      </w:pPr>
      <w:r w:rsidRPr="008127F8">
        <w:rPr>
          <w:i w:val="0"/>
          <w:color w:val="000000" w:themeColor="text1"/>
          <w:sz w:val="16"/>
          <w:szCs w:val="16"/>
        </w:rPr>
        <w:t>5. Очень тяжел спусковой механизм спарки при стрельбе залпом и тре</w:t>
      </w:r>
      <w:r w:rsidRPr="008127F8">
        <w:rPr>
          <w:i w:val="0"/>
          <w:color w:val="000000" w:themeColor="text1"/>
          <w:sz w:val="16"/>
          <w:szCs w:val="16"/>
        </w:rPr>
        <w:softHyphen/>
        <w:t>бует, по крайней мере, двукратного облегчения.</w:t>
      </w:r>
    </w:p>
    <w:p w14:paraId="6A4F1586" w14:textId="77777777" w:rsidR="007C5583" w:rsidRPr="008127F8" w:rsidRDefault="007C5583" w:rsidP="007C5583">
      <w:pPr>
        <w:pStyle w:val="Bodytext141"/>
        <w:shd w:val="clear" w:color="auto" w:fill="auto"/>
        <w:tabs>
          <w:tab w:val="left" w:pos="570"/>
        </w:tabs>
        <w:spacing w:line="240" w:lineRule="auto"/>
        <w:ind w:firstLine="0"/>
        <w:jc w:val="both"/>
        <w:rPr>
          <w:i w:val="0"/>
          <w:color w:val="000000" w:themeColor="text1"/>
          <w:sz w:val="16"/>
          <w:szCs w:val="16"/>
        </w:rPr>
      </w:pPr>
      <w:r w:rsidRPr="008127F8">
        <w:rPr>
          <w:i w:val="0"/>
          <w:color w:val="000000" w:themeColor="text1"/>
          <w:sz w:val="16"/>
          <w:szCs w:val="16"/>
        </w:rPr>
        <w:t>6. Для спарки не предусмотрено приспособление для искусственного отката, для чего необходимо сделать в задней стенке башни, при</w:t>
      </w:r>
      <w:r w:rsidRPr="008127F8">
        <w:rPr>
          <w:i w:val="0"/>
          <w:color w:val="000000" w:themeColor="text1"/>
          <w:sz w:val="16"/>
          <w:szCs w:val="16"/>
        </w:rPr>
        <w:softHyphen/>
        <w:t>способив его, одновременно для лаза команды» (17484).</w:t>
      </w:r>
    </w:p>
    <w:p w14:paraId="76F9B3B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470148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16 мая 1942 г. «Докладная записка БТУ ГАБТУ в НКГП СССР о системе воздухопуска на танках </w:t>
      </w:r>
    </w:p>
    <w:p w14:paraId="3AD0369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Существующая система воздухопуска дизельмоторов В-2 используется крайне ограниченное время.</w:t>
      </w:r>
    </w:p>
    <w:p w14:paraId="60CA230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Причиной этого является отсутствие в войсках компрессорных станций высокого давления, которые бы могли пополнять баллоны сжатым воздухом. В результате чего моторы, имея оборудование для дублированного запуска их, фактически запускаются только электростартером.</w:t>
      </w:r>
    </w:p>
    <w:p w14:paraId="45ADBE6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отсутствие компрессоров и, как следствие, достаточного количества сжатого воздуха на огнеметных танках тормозит развитие этих танков.</w:t>
      </w:r>
    </w:p>
    <w:p w14:paraId="356E0B2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полного использования приборов воздухопуска дизельмоторов и возможности получения достаточного количества сжатого воздуха для огнеметов желательно иметь в ближайшее время небольшой компрессор. Конструктивное выполнение этого компрессора может быть осуществлено в виде дополнительного агрегата, монтируемого на каждом моторе или на коробке перемены передач танков Т-34 и «KB».</w:t>
      </w:r>
    </w:p>
    <w:p w14:paraId="59AE7E3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Производительность компрессора должна обеспечивать наполнение одного баллона емкостью 10 литров в течение 20 минут.</w:t>
      </w:r>
    </w:p>
    <w:p w14:paraId="162C831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Давление сжатого воздуха должно быть 125-150 атмосфер.</w:t>
      </w:r>
    </w:p>
    <w:p w14:paraId="44AD8F9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Ваше решение по этому вопросу прошу сообщить.</w:t>
      </w:r>
    </w:p>
    <w:p w14:paraId="5169D72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БТУ ГАБТУ КА инженер-полковник Алымов Военный комиссар БТУ ГАБТУ КА полковой комиссар Воробьев» (ГАБТУ. Люди, события, факты в документах. Т.2, док 1937 вышел приказ НКОП №243, с.275) (15722).</w:t>
      </w:r>
    </w:p>
    <w:p w14:paraId="64703B2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09A194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мая 1942 г. была подготовлена ДОКЛАДНАЯ ЗАПИСКА НАЧАЛЬНИКА КАФЕДРЫ ТАНКОВ ВАММ ПРЕДСЕДАТЕЛЮ ГКО СССР ОБ ОПЫТЕ ПРИМЕНЕНИЯ ТАНКОВ</w:t>
      </w:r>
    </w:p>
    <w:p w14:paraId="72C908B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споры о том, что хорошо и что плохо, наиболее объективно решаются практикой.</w:t>
      </w:r>
    </w:p>
    <w:p w14:paraId="256056B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 применения танков на поле боя второй Отечественной войны позволяет сделать ряд важных выводов.</w:t>
      </w:r>
    </w:p>
    <w:p w14:paraId="7BEB2BE7"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Сравнивая тактико-технические характеристики основных отечественных танков Т-34 и КВ с характеристиками танков «Матильда», «Валентайн», Т-3 (немецкий), ЧМКД и др., можно с полной очевидностью сказать, что бронирование, вооружение, удельная мощность, радиус действия танков Т-34 и КВ выбраны лучше и правильнее, чем в других перечисленных танках.</w:t>
      </w:r>
    </w:p>
    <w:p w14:paraId="0800281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если основные типы советских танков выбраны более правильно, то в области конструктивно</w:t>
      </w:r>
      <w:r w:rsidRPr="008127F8">
        <w:rPr>
          <w:rFonts w:ascii="Times New Roman" w:hAnsi="Times New Roman"/>
          <w:color w:val="000000" w:themeColor="text1"/>
          <w:sz w:val="16"/>
          <w:szCs w:val="16"/>
        </w:rPr>
        <w:softHyphen/>
        <w:t>го оформления и особенности в части трансмиссии (главный фрикцион, коробка перемены передач, бортовые фрикционы с тормозами и бортовые передачи) наши танки КВ и Т-34 чрезмерно отстали.</w:t>
      </w:r>
    </w:p>
    <w:p w14:paraId="090DE46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Между трансмиссией танка Т-18 (1929-1930 г.) и трансмиссиями современных наших танков су</w:t>
      </w:r>
      <w:r w:rsidRPr="008127F8">
        <w:rPr>
          <w:rFonts w:ascii="Times New Roman" w:hAnsi="Times New Roman"/>
          <w:color w:val="000000" w:themeColor="text1"/>
          <w:sz w:val="16"/>
          <w:szCs w:val="16"/>
        </w:rPr>
        <w:softHyphen/>
        <w:t>щественной разницы нет.</w:t>
      </w:r>
    </w:p>
    <w:p w14:paraId="7500F1A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Отсталость и примитивность конструктивных приемов в области проектирования трансмиссии, в конечном счете ведут к резкому снижению количества машин, участвующих в бою; машины зача</w:t>
      </w:r>
      <w:r w:rsidRPr="008127F8">
        <w:rPr>
          <w:rFonts w:ascii="Times New Roman" w:hAnsi="Times New Roman"/>
          <w:color w:val="000000" w:themeColor="text1"/>
          <w:sz w:val="16"/>
          <w:szCs w:val="16"/>
        </w:rPr>
        <w:softHyphen/>
        <w:t>стую не столько эксплуатируются, сколько регулируются и ремонтируются без каких-либо пораже</w:t>
      </w:r>
      <w:r w:rsidRPr="008127F8">
        <w:rPr>
          <w:rFonts w:ascii="Times New Roman" w:hAnsi="Times New Roman"/>
          <w:color w:val="000000" w:themeColor="text1"/>
          <w:sz w:val="16"/>
          <w:szCs w:val="16"/>
        </w:rPr>
        <w:softHyphen/>
        <w:t>ний от огня противника.</w:t>
      </w:r>
    </w:p>
    <w:p w14:paraId="40447003"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Достаточно указать на такой факт, как действия танков КВ на Керченском участке фронта, где только в одной операции 27-28 февраля из 36 танков КВ, выделенных для боя, вышло из строя из-за размалывания подшипника блока вращающихся шестерен замедленной задней и первой передачи — двадцать танков (Доклад о проделанной работе по обеспечению боевых действий Крымского фронта за период с 30 января по 25 марта 1942 г. генерал-майора танковых войск т. Вольского).</w:t>
      </w:r>
    </w:p>
    <w:p w14:paraId="1C89E7C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39-й танковой бригаде за время боев с 27.2 по 5.3.1942 г. потери от огня противника составля</w:t>
      </w:r>
      <w:r w:rsidRPr="008127F8">
        <w:rPr>
          <w:rFonts w:ascii="Times New Roman" w:hAnsi="Times New Roman"/>
          <w:color w:val="000000" w:themeColor="text1"/>
          <w:sz w:val="16"/>
          <w:szCs w:val="16"/>
        </w:rPr>
        <w:softHyphen/>
        <w:t>ли: по танкам КВ - 1 машина, по танкам Т-34 - 2 машины, а потери по неисправности трансмиссии: по КВ - 5 машин, по Т-34 - 3 машины.</w:t>
      </w:r>
    </w:p>
    <w:p w14:paraId="718E6C9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Помимо высокого процента выхода машин из строя по причинам неполадок в трансмиссии, ма</w:t>
      </w:r>
      <w:r w:rsidRPr="008127F8">
        <w:rPr>
          <w:rFonts w:ascii="Times New Roman" w:hAnsi="Times New Roman"/>
          <w:color w:val="000000" w:themeColor="text1"/>
          <w:sz w:val="16"/>
          <w:szCs w:val="16"/>
        </w:rPr>
        <w:softHyphen/>
        <w:t>ксимальная и средняя скорость наших танков, несмотря на высокую удельную мощность моторных установок, ниже чем у танков Т-1П, ЧМКД.</w:t>
      </w:r>
    </w:p>
    <w:p w14:paraId="7FE9349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 например, у танка Т-1П при удельной мощности в 15 л.с. максимальная скорость до 70 км/час, а у танка Т-34 при удельной мощности 18 л.с. максимальная скорость 45 км/час. Это значит, что в то время, когда на поле боя Т-34 пройдет 100 км, танк Т-Ш пройдет 150-160 км.</w:t>
      </w:r>
    </w:p>
    <w:p w14:paraId="3092C32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танке «Матильда» с планетарной трансмиссией число лошадиных сил на одну тонну веса ма</w:t>
      </w:r>
      <w:r w:rsidRPr="008127F8">
        <w:rPr>
          <w:rFonts w:ascii="Times New Roman" w:hAnsi="Times New Roman"/>
          <w:color w:val="000000" w:themeColor="text1"/>
          <w:sz w:val="16"/>
          <w:szCs w:val="16"/>
        </w:rPr>
        <w:softHyphen/>
        <w:t>шины почти в 2 раза меньше, чем у КВ (7,6 л.с./тонн, вместо 13,3 л.с./тонн) и тем не менее заметной разницы в средней скорости движения этих машин на поле боя нет.</w:t>
      </w:r>
    </w:p>
    <w:p w14:paraId="095530E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Своевременный (быстрый) переход с низшей передачи на высшую на наших танках требует опытного водителя с большим стажем, в танках же Т-Ш, «Матильда», ЧМКД переход с одной пере</w:t>
      </w:r>
      <w:r w:rsidRPr="008127F8">
        <w:rPr>
          <w:rFonts w:ascii="Times New Roman" w:hAnsi="Times New Roman"/>
          <w:color w:val="000000" w:themeColor="text1"/>
          <w:sz w:val="16"/>
          <w:szCs w:val="16"/>
        </w:rPr>
        <w:softHyphen/>
        <w:t>дачи на другую требует меньше времени и меньше специальных навыков, следовательно в короткий срок можно овладеть техникой вождения.</w:t>
      </w:r>
    </w:p>
    <w:p w14:paraId="24417B7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Одним словом, в свете сегодняшних конструкций союзных и трофейных машин консерватизм и отсталость конструкторской мысли в области трансмиссии танков бесспорны.</w:t>
      </w:r>
    </w:p>
    <w:p w14:paraId="7F2B2A0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Дать надежную современную конструкцию трансмиссии танка — это значит при неизменном суммарном количестве танков существенно увеличить число действующих танков на поле боя, су</w:t>
      </w:r>
      <w:r w:rsidRPr="008127F8">
        <w:rPr>
          <w:rFonts w:ascii="Times New Roman" w:hAnsi="Times New Roman"/>
          <w:color w:val="000000" w:themeColor="text1"/>
          <w:sz w:val="16"/>
          <w:szCs w:val="16"/>
        </w:rPr>
        <w:softHyphen/>
        <w:t>щественно улучшить их маневренность.</w:t>
      </w:r>
    </w:p>
    <w:p w14:paraId="35F80A3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Принципиальным разрешением всех вопросов, связанных с трансмиссией танков, является ав</w:t>
      </w:r>
      <w:r w:rsidRPr="008127F8">
        <w:rPr>
          <w:rFonts w:ascii="Times New Roman" w:hAnsi="Times New Roman"/>
          <w:color w:val="000000" w:themeColor="text1"/>
          <w:sz w:val="16"/>
          <w:szCs w:val="16"/>
        </w:rPr>
        <w:softHyphen/>
        <w:t>томатическая прогрессивная передача (например, электропередача, гидропередача и т. д.), над кото</w:t>
      </w:r>
      <w:r w:rsidRPr="008127F8">
        <w:rPr>
          <w:rFonts w:ascii="Times New Roman" w:hAnsi="Times New Roman"/>
          <w:color w:val="000000" w:themeColor="text1"/>
          <w:sz w:val="16"/>
          <w:szCs w:val="16"/>
        </w:rPr>
        <w:softHyphen/>
        <w:t>рыми, как над проблемными, несомненно нужно работать.</w:t>
      </w:r>
    </w:p>
    <w:p w14:paraId="07AB9D6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сегодня рабочим предложением, устраняющим основные дефекты трансмиссий наших тан</w:t>
      </w:r>
      <w:r w:rsidRPr="008127F8">
        <w:rPr>
          <w:rFonts w:ascii="Times New Roman" w:hAnsi="Times New Roman"/>
          <w:color w:val="000000" w:themeColor="text1"/>
          <w:sz w:val="16"/>
          <w:szCs w:val="16"/>
        </w:rPr>
        <w:softHyphen/>
        <w:t>ков, является планетарная трансмиссия.</w:t>
      </w:r>
    </w:p>
    <w:p w14:paraId="5DC1E9E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Планетарная трансмиссия как в конструктивном, так и в производственном отношении настоль</w:t>
      </w:r>
      <w:r w:rsidRPr="008127F8">
        <w:rPr>
          <w:rFonts w:ascii="Times New Roman" w:hAnsi="Times New Roman"/>
          <w:color w:val="000000" w:themeColor="text1"/>
          <w:sz w:val="16"/>
          <w:szCs w:val="16"/>
        </w:rPr>
        <w:softHyphen/>
        <w:t>ко освоена, что может быть без заметных затруднений внедрена в серийное производство.</w:t>
      </w:r>
    </w:p>
    <w:p w14:paraId="733653C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частности, планетарная бортовая передача на танке КВ легко была освоена в производстве и является самым надежным агрегатом трансмиссии.</w:t>
      </w:r>
    </w:p>
    <w:p w14:paraId="0639AB0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Кафедра танков и тракторов Военной ордена Ленина академии механизации и моторизации им. И.В. Сталина в течение ряда последних лет неоднократно систематически ставила вопрос о построй</w:t>
      </w:r>
      <w:r w:rsidRPr="008127F8">
        <w:rPr>
          <w:rFonts w:ascii="Times New Roman" w:hAnsi="Times New Roman"/>
          <w:color w:val="000000" w:themeColor="text1"/>
          <w:sz w:val="16"/>
          <w:szCs w:val="16"/>
        </w:rPr>
        <w:softHyphen/>
        <w:t>ке опытных образцов планетарных трансмиссий перед танковыми заводами и ГАБТУ КА.</w:t>
      </w:r>
    </w:p>
    <w:p w14:paraId="6D61FC6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При этом был разработан ряд проектов планетарных трансмиссий, но ни один из них не был внедрен в производство.</w:t>
      </w:r>
    </w:p>
    <w:p w14:paraId="631E1B9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Нет нужды доказывать неправильность такого подхода к делу совершенствования наших танков. Мы представляем, насколько загружена наша танковая промышленность, и тем не менее считаем не только возможным, но и необходимым самыми срочными темпами разработать опытные образцы пла</w:t>
      </w:r>
      <w:r w:rsidRPr="008127F8">
        <w:rPr>
          <w:rFonts w:ascii="Times New Roman" w:hAnsi="Times New Roman"/>
          <w:color w:val="000000" w:themeColor="text1"/>
          <w:sz w:val="16"/>
          <w:szCs w:val="16"/>
        </w:rPr>
        <w:softHyphen/>
        <w:t>нетарных трансмиссий для танков КБ и Т-34 по проектам академии, испытать и ввести их в серийное производство. Все затраты связанные с внедрением в серию этих трансмиссий, окупят себя более высо</w:t>
      </w:r>
      <w:r w:rsidRPr="008127F8">
        <w:rPr>
          <w:rFonts w:ascii="Times New Roman" w:hAnsi="Times New Roman"/>
          <w:color w:val="000000" w:themeColor="text1"/>
          <w:sz w:val="16"/>
          <w:szCs w:val="16"/>
        </w:rPr>
        <w:softHyphen/>
        <w:t>кими техническими и боевыми свойствами наших танков, так как это даст возможность повысить на</w:t>
      </w:r>
      <w:r w:rsidRPr="008127F8">
        <w:rPr>
          <w:rFonts w:ascii="Times New Roman" w:hAnsi="Times New Roman"/>
          <w:color w:val="000000" w:themeColor="text1"/>
          <w:sz w:val="16"/>
          <w:szCs w:val="16"/>
        </w:rPr>
        <w:softHyphen/>
        <w:t>дежность, износоустойчивость трансмиссии, облегчит управление и повысит маневренность и среднюю скорость наших боевых машин, т.е. увеличит количество фактически действующих на поле боя танков.</w:t>
      </w:r>
    </w:p>
    <w:p w14:paraId="1514839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настоящее время в академии разрабатывается еще один вариант планетарной трансмиссии с учетом опыта последних конструкций танков союзников и противников.</w:t>
      </w:r>
    </w:p>
    <w:p w14:paraId="4F08D94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Практически считаем необходимым дать задание академии совместно с танковыми заводами в течение одного-двух месяцев разработать рабочие чертежи, изготовить и испытать опытные образ</w:t>
      </w:r>
      <w:r w:rsidRPr="008127F8">
        <w:rPr>
          <w:rFonts w:ascii="Times New Roman" w:hAnsi="Times New Roman"/>
          <w:color w:val="000000" w:themeColor="text1"/>
          <w:sz w:val="16"/>
          <w:szCs w:val="16"/>
        </w:rPr>
        <w:softHyphen/>
        <w:t>цы планетарных трансмиссий для танков КВ и Т-34.</w:t>
      </w:r>
    </w:p>
    <w:p w14:paraId="21842CB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кафедры танков, профессор военинженер 1 ранга Груздев</w:t>
      </w:r>
    </w:p>
    <w:p w14:paraId="66B463F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кафедры, доцент военинженер 1 ранга Благонравов</w:t>
      </w:r>
    </w:p>
    <w:p w14:paraId="316BBB65"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11355. Д. 958. Л. 58-61. Копия.</w:t>
      </w:r>
    </w:p>
    <w:p w14:paraId="0D00E22B"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kern w:val="65535"/>
          <w:sz w:val="16"/>
          <w:szCs w:val="16"/>
        </w:rPr>
      </w:pPr>
    </w:p>
    <w:p w14:paraId="75F1423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мая 1942 г. была подготовлена ДОКЛАДНАЯ ЗАПИСКА НАЧАЛЬНИКА АТУ ГАБТУ КА В НКВТ СССР ПО ВОПРОСУ ПОСТАВКИ ЗАПЧАСТЕЙ К ИМПОРТНЫМ АВТОМОБИЛЯМ</w:t>
      </w:r>
    </w:p>
    <w:p w14:paraId="43872E5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данным Наркомвнешторга, на 1 мая 1942 г. Америкой и Англией поставлено для Советского Союза 50 138 автомашин различных марок, из них:</w:t>
      </w:r>
    </w:p>
    <w:p w14:paraId="3408EBE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завезено в СССР 13 290 машин;</w:t>
      </w:r>
    </w:p>
    <w:p w14:paraId="554F279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находится в пути 25 391 машина;</w:t>
      </w:r>
    </w:p>
    <w:p w14:paraId="58AF369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находится в заграничных портах отправления 11 457 машин.</w:t>
      </w:r>
    </w:p>
    <w:p w14:paraId="54CEB53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числа прибывших машин выдано войсковым частям Красной Армии на 15 мая 1942 г. 7 029 машин.</w:t>
      </w:r>
    </w:p>
    <w:p w14:paraId="190B082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неоднократные письменные и устные сообщения в «Технопромимпорт» и «Техно-экспорт», ГАБТУ КА на протяжении 4 месяцев не может получить из Наркомвнешторга специфика</w:t>
      </w:r>
      <w:r w:rsidRPr="008127F8">
        <w:rPr>
          <w:rFonts w:ascii="Times New Roman" w:hAnsi="Times New Roman"/>
          <w:color w:val="000000" w:themeColor="text1"/>
          <w:sz w:val="16"/>
          <w:szCs w:val="16"/>
        </w:rPr>
        <w:softHyphen/>
        <w:t>ций запчастей по маркам автомашин с указанием общего количества заказанных и отправляемых запчастей по номенклатуре с разъяснением, из какого же расчета закупаются для Красной Армии запчасти по каждой марке машин (нормы расчета на 1, 10, 100 и т.д. машин).</w:t>
      </w:r>
    </w:p>
    <w:p w14:paraId="5745703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Сотрудники «Технопромимпорта» и «Технопромэкспорта» нерднократно на протяжении 4 ме</w:t>
      </w:r>
      <w:r w:rsidRPr="008127F8">
        <w:rPr>
          <w:rFonts w:ascii="Times New Roman" w:hAnsi="Times New Roman"/>
          <w:color w:val="000000" w:themeColor="text1"/>
          <w:sz w:val="16"/>
          <w:szCs w:val="16"/>
        </w:rPr>
        <w:softHyphen/>
        <w:t>сяцев заявляли, что спецификации на запчасти высланы из-за границы, но до сего времени ГАБТУ КА их не имеет.</w:t>
      </w:r>
    </w:p>
    <w:p w14:paraId="1DEF3EA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Ставлю Вас в известность, что на сегодняшний день на склады НКО поступили запчасти к сле</w:t>
      </w:r>
      <w:r w:rsidRPr="008127F8">
        <w:rPr>
          <w:rFonts w:ascii="Times New Roman" w:hAnsi="Times New Roman"/>
          <w:color w:val="000000" w:themeColor="text1"/>
          <w:sz w:val="16"/>
          <w:szCs w:val="16"/>
        </w:rPr>
        <w:softHyphen/>
        <w:t>дующим машинам:</w:t>
      </w:r>
    </w:p>
    <w:p w14:paraId="7E4387D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«Остин» 2-осный — 700 ящиков.</w:t>
      </w:r>
    </w:p>
    <w:p w14:paraId="7FBF815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«Остин» 3-осный — 700 ящиков.</w:t>
      </w:r>
    </w:p>
    <w:p w14:paraId="70D2145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«Бедфорд» 1,5-тонный — 700 ящиков.</w:t>
      </w:r>
    </w:p>
    <w:p w14:paraId="4664165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«Бедфорд» 3-тонный — 700 ящиков.</w:t>
      </w:r>
    </w:p>
    <w:p w14:paraId="08B8F5E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«Интернэшнл» — 124 ящика.</w:t>
      </w:r>
    </w:p>
    <w:p w14:paraId="3ABD3AB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«Форд» (коммерческий) — 800 ящиков.</w:t>
      </w:r>
    </w:p>
    <w:p w14:paraId="0881412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«Додж» — 750 ящиков.</w:t>
      </w:r>
    </w:p>
    <w:p w14:paraId="61ACB55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«Бантам» — 2 ящика.</w:t>
      </w:r>
    </w:p>
    <w:p w14:paraId="39B53AA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«Альбион» — 20 ящиков.</w:t>
      </w:r>
    </w:p>
    <w:p w14:paraId="7897B1B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«ДМС» — 5 ящиков.</w:t>
      </w:r>
    </w:p>
    <w:p w14:paraId="6E88C6C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«Студебекер» — только 65 номенклатур деталей включая и крепеж.</w:t>
      </w:r>
    </w:p>
    <w:p w14:paraId="103E239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приведенного перечня можно видеть, что запчасти получены по 11 маркам автомашин из 19, поступивших в Советский Союз, из которых 14 марок машин эксплуатируются в войсковых частях и в условиях военных действий, некоторые из них уже требуют ремонта.</w:t>
      </w:r>
    </w:p>
    <w:p w14:paraId="3AE868B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настоящее время уже имеются донесения из войсковых частей различных фронтов о массо</w:t>
      </w:r>
      <w:r w:rsidRPr="008127F8">
        <w:rPr>
          <w:rFonts w:ascii="Times New Roman" w:hAnsi="Times New Roman"/>
          <w:color w:val="000000" w:themeColor="text1"/>
          <w:sz w:val="16"/>
          <w:szCs w:val="16"/>
        </w:rPr>
        <w:softHyphen/>
        <w:t>вых поломках некоторых деталей импортных автомашин, так, например:</w:t>
      </w:r>
    </w:p>
    <w:p w14:paraId="01052C6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 автомобилю «Студебекер»:</w:t>
      </w:r>
    </w:p>
    <w:p w14:paraId="3E85976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трескаются нажимные диски сцепления;</w:t>
      </w:r>
    </w:p>
    <w:p w14:paraId="260D38E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срабатываются накладки феррадо ведомых дисков сцепления;</w:t>
      </w:r>
    </w:p>
    <w:p w14:paraId="644D0B5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дают трещины картера раздаточных коробок;</w:t>
      </w:r>
    </w:p>
    <w:p w14:paraId="7AB8505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рассыпаются конические роликовые подшипники раздаточных коробок (тимкен № 26883 и №26824).</w:t>
      </w:r>
    </w:p>
    <w:p w14:paraId="0BEEBD4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 автомобилю «Додж» с одной ведущей осью:</w:t>
      </w:r>
    </w:p>
    <w:p w14:paraId="60DFEB9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ломаются зубья у шестерен полуосей заднего моста;</w:t>
      </w:r>
    </w:p>
    <w:p w14:paraId="095DCC7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ломаются зубья у сателлитов заднего моста.</w:t>
      </w:r>
    </w:p>
    <w:p w14:paraId="6E788A3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По автомобилю «Додж» с двумя ведущими осями:</w:t>
      </w:r>
    </w:p>
    <w:p w14:paraId="215BACF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ломаются зубья у ведущей шестерни заднего моста;</w:t>
      </w:r>
    </w:p>
    <w:p w14:paraId="55081830"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б) ломаются зубья у ведомой (коронной) шестерни заднего моста.</w:t>
      </w:r>
    </w:p>
    <w:p w14:paraId="3294BEB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По автомобилю «Форд» (американскому):</w:t>
      </w:r>
    </w:p>
    <w:p w14:paraId="0F64F45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летят храповики коленчатых валов;</w:t>
      </w:r>
    </w:p>
    <w:p w14:paraId="2EFF0F4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трескаются головки блока двигателя;</w:t>
      </w:r>
    </w:p>
    <w:p w14:paraId="09FA679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трескаются роторы дистрибутора;</w:t>
      </w:r>
    </w:p>
    <w:p w14:paraId="6665FB2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летят передние рессоры и центровые болты передней рессоры и т.д.</w:t>
      </w:r>
    </w:p>
    <w:p w14:paraId="7160F07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имея сведений, что заказано из запчастей по этим машинам, ГАБТУ КА не может определить, в достаточном ли количестве заказаны эти быстро выходящие из строя детали.</w:t>
      </w:r>
    </w:p>
    <w:p w14:paraId="2EF500C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Отгружаемые запчасти поступают некомплектно по своей номенклатуре, без учета действитель</w:t>
      </w:r>
      <w:r w:rsidRPr="008127F8">
        <w:rPr>
          <w:rFonts w:ascii="Times New Roman" w:hAnsi="Times New Roman"/>
          <w:color w:val="000000" w:themeColor="text1"/>
          <w:sz w:val="16"/>
          <w:szCs w:val="16"/>
        </w:rPr>
        <w:softHyphen/>
        <w:t>ной потребности в них, особенно по деталям ходовой части, электрооборудованию и поршневой группе двигателя, что не дает возможности поддерживать в постоянной готовности эксплуатирую</w:t>
      </w:r>
      <w:r w:rsidRPr="008127F8">
        <w:rPr>
          <w:rFonts w:ascii="Times New Roman" w:hAnsi="Times New Roman"/>
          <w:color w:val="000000" w:themeColor="text1"/>
          <w:sz w:val="16"/>
          <w:szCs w:val="16"/>
        </w:rPr>
        <w:softHyphen/>
        <w:t>щиеся в частях действующей армии автомашины.</w:t>
      </w:r>
    </w:p>
    <w:p w14:paraId="082AE6E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поломок вышло из строя несколько машин. Восстановление их ввиду отсутствия необходимых запчастей задерживается.</w:t>
      </w:r>
    </w:p>
    <w:p w14:paraId="70E9BA6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Вас обязать «Техноэкспорт»:</w:t>
      </w:r>
    </w:p>
    <w:p w14:paraId="51A11D5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Срочно выяснить, на каком пароходе, в составе какого каравана отправлены спецификации на закупленные для нас запчасти и в самый кратчайший срок представить их ГАБТУ КА по маркам с указанием, из какого расчета запасные части заказаны за границей.</w:t>
      </w:r>
    </w:p>
    <w:p w14:paraId="2CEF92A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случае, если спецификации погибли, прошу выслать их вторично (желательно самолетом).</w:t>
      </w:r>
    </w:p>
    <w:p w14:paraId="7DDA212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Одновременно с отправляемыми автомашинами отгружать на одном пароходе полагающееся количество запчастей к ним.</w:t>
      </w:r>
    </w:p>
    <w:p w14:paraId="3435D09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Своевременно присылать запчасти и спецификации на вновь закупаемые марки машин, при</w:t>
      </w:r>
      <w:r w:rsidRPr="008127F8">
        <w:rPr>
          <w:rFonts w:ascii="Times New Roman" w:hAnsi="Times New Roman"/>
          <w:color w:val="000000" w:themeColor="text1"/>
          <w:sz w:val="16"/>
          <w:szCs w:val="16"/>
        </w:rPr>
        <w:softHyphen/>
        <w:t>лагая при этом каталоги запчастей на русском языке.</w:t>
      </w:r>
    </w:p>
    <w:p w14:paraId="0F91315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Ускорить отгрузку запчастей к машинам:</w:t>
      </w:r>
    </w:p>
    <w:p w14:paraId="501DA3D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«Форд» (канадский) 2-осный с 2 ведущими осями;</w:t>
      </w:r>
    </w:p>
    <w:p w14:paraId="1C22C6B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«Альбион» 3-тонный с 2 ведущими осями;</w:t>
      </w:r>
    </w:p>
    <w:p w14:paraId="7D2E5E5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«Скаммель»;</w:t>
      </w:r>
    </w:p>
    <w:p w14:paraId="76E696E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«Форд-Мармон-Херрингтон», по которым не поступило ни одной запасной детали. Кроме того, увеличить завоз запчастей по всем остальным машинам, особенно по машине «Сту-дебекер», так как эта машина используется как тягач для артсистем.</w:t>
      </w:r>
    </w:p>
    <w:p w14:paraId="073837F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АТУ ГАБТУ КА генерал-майор технических войск Тягунов</w:t>
      </w:r>
    </w:p>
    <w:p w14:paraId="12C8F2E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АТУ ГАБТУ КА полковой комиссар Лозовский</w:t>
      </w:r>
    </w:p>
    <w:p w14:paraId="421B436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11386. Д. 123. Л. 71 с об. 72. Копия (11211).</w:t>
      </w:r>
    </w:p>
    <w:p w14:paraId="2AF5F58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D902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7840D24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CF73A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16 мая</w:t>
      </w:r>
      <w:r w:rsidRPr="008127F8">
        <w:rPr>
          <w:rFonts w:ascii="Times New Roman" w:hAnsi="Times New Roman"/>
          <w:color w:val="000000" w:themeColor="text1"/>
          <w:sz w:val="16"/>
          <w:szCs w:val="16"/>
        </w:rPr>
        <w:t xml:space="preserve"> в 1942 году утреннее сообщение Совинформбюро:</w:t>
      </w:r>
    </w:p>
    <w:p w14:paraId="569414A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16 мая на Керченском полуострове продолжались упорные бои.</w:t>
      </w:r>
    </w:p>
    <w:p w14:paraId="09E8F56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Харьковском направлении наши войска продолжали наступательные бои. На других участках фронта чего-либо существенного не произошло.</w:t>
      </w:r>
    </w:p>
    <w:p w14:paraId="491A523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 Харьковском направлении наши части, успешно продвигаясь вперёд, освободили от немецких оккупантов много населенных пунктов. Противник несёт огромные потери. Взято большое число пленных. Нашими войсками захвачены танки, орудия, автомашины, склады с боеприпасами, военным имуществом и продовольствием. Только одна наша часть за день боевых действий захватила у противника 14 орудий, 64 пулемёта, 93 миномёта, много автоматов и противотанковых ружей, более 550.000 патронов, 205 ящиков с минами и, кроме того, несколько складов с боеприпасами.</w:t>
      </w:r>
    </w:p>
    <w:p w14:paraId="11D203B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три дня боёв наши части, действующие на отдельных участках Ленинградского фронта, уничтожили до 1.200 вражеских солдат и офицеров. Огнём артиллерии и разведывательными группами разрушено 6 вражеских ДЗОТов, уничтожено 2 орудия, 4 станковых пулемёта и катер противника.</w:t>
      </w:r>
    </w:p>
    <w:p w14:paraId="40E5729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 наше подразделение под командованием тов. К., действующее в тылу противника (Западный фронт), организовало крушение 4 воинских эшелонов. Уничтожено более 300 немецко-фашистских оккупантов.</w:t>
      </w:r>
    </w:p>
    <w:p w14:paraId="3D6A3FB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Артиллерийская батарея лейтенанта Юсикова за один день уничтожила105-миллиметровое немецкое орудие, миномёт и свыше 50 гитлеровцев.</w:t>
      </w:r>
    </w:p>
    <w:p w14:paraId="301BD53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Десять красноармейцев-снайперов батальона, где командиром тов. Серебряков, за последние дни уничтожили 104 гитлеровца.</w:t>
      </w:r>
    </w:p>
    <w:p w14:paraId="36CF17C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Сапёрное отделение сержанта Д.М.Шлёнкина в течение двух дней обнаружило и обезвредило 480 немецких мин.</w:t>
      </w:r>
    </w:p>
    <w:p w14:paraId="41D0697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немецкого ефрейтора Альфреда найдено неотправленное письмо к брату. Вот что он писал за несколько дней до смерти: «...Партизаны не дают нам покоя ни днём, ни ночью. Около деревни, где мы стоим, тянется лес, в котором скрываются партизаны. Когда хочешь вечером выйти на двор, необходимо брать с собой пистолет. Когда мы были в городе Н., партизаны каждую ночь обстреливали нас из миномётов. Из нашего подразделения уже многие убиты партизанами».</w:t>
      </w:r>
    </w:p>
    <w:p w14:paraId="7369CB5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финский солдат Айхио Пявлус сообщает о росте дезертирства в финской армии. «Не так давно, — говорит Пявлус,— в местечке Коккола военно-полевой суд разбирал дело по обвинению семи финских солдат в дезертирстве. Суд приговорил их всех к расстрелу».</w:t>
      </w:r>
    </w:p>
    <w:p w14:paraId="3CAAF11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Перебежчик солдат 5 немецкой пехотной дивизии Ганс Э. рассказал: «Меня недавно призвали в немецкую армию. До этого я жил в Чехии. Там за последнее время участились случаи убийства немецких офицеров и эсэсовцев. Рабочие стараются работать как можно медленнее, чтобы сократить выпуск военной продукции, портят станки, агрегаты. Среди чехов популярен лозунг: «Если любишь Чехословакию, работай медленно». Гестапо преследует чешских патриотов, расстреливает сотни людей, но это не помогает. Саботаж не прекращается, а напротив, принимает всё более широкие размеры».</w:t>
      </w:r>
    </w:p>
    <w:p w14:paraId="04F0F95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жителей деревни Пуговка, Смоленской области, составила акт о чудовищных зверствах немецко-фашистских оккупантов. Акт устанавливает, что гитлеровцы подвергли пыткам и затем расстреляли много жителей деревни.Фашистские изверги обрезали у В.И.Пугачёва ухо и изуродовали всё его тело.17-летнему Н.В.Авдееву гитлеровские мерзавцы отрезали губы, половые органы, вырезали на груди пятиконечную звезду. В числе замученных — пятилетний мальчик Захаров, 60-летние старики Василий Замараев, Сергей Жильцов, Михаил Яковлев, 80-летний Влас Пугачёв и другие старики, женщины и подростки.» (14893).</w:t>
      </w:r>
    </w:p>
    <w:p w14:paraId="2B9B737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5A8D6A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16 мая</w:t>
      </w:r>
      <w:r w:rsidRPr="008127F8">
        <w:rPr>
          <w:rFonts w:ascii="Times New Roman" w:hAnsi="Times New Roman"/>
          <w:color w:val="000000" w:themeColor="text1"/>
          <w:sz w:val="16"/>
          <w:szCs w:val="16"/>
        </w:rPr>
        <w:t xml:space="preserve"> в 1942 году вечернее сообщение Совинформбюро:</w:t>
      </w:r>
    </w:p>
    <w:p w14:paraId="393E756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16 мая на Керченском полуострове наши войска вели напряжённые бои врайоне города Керчь.</w:t>
      </w:r>
    </w:p>
    <w:p w14:paraId="2C2B53A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 Харьковском направлении наши войска вели наступательные бои и, успешно продвигаясь вперёд, захватили трофеи и пленных. За день боёв противник оставил на поле боя до 70 подбитых танков.</w:t>
      </w:r>
    </w:p>
    <w:p w14:paraId="1535EA7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ничего существенного не произошло.</w:t>
      </w:r>
    </w:p>
    <w:p w14:paraId="5070B02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15 мая уничтожено 56 немецких самолётов. Наши потери — 13 самолётов.</w:t>
      </w:r>
    </w:p>
    <w:p w14:paraId="0E2352C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Советскими кораблями и авиацией в Баренцевом море потоплены транспорт водоизмещением в 8.000 тонн и миноносец противника. Нанесены тяжёлые повреждения другому миноносцу противника, который также, вероятно, затонул.</w:t>
      </w:r>
    </w:p>
    <w:p w14:paraId="7C2AE75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15 мая частями нашей авиации на разных участках фронта уничтожено или повреждено до 60 немецких танков, 110 автомашин с войсками и грузами, 30 подвод с боеприпасами, 3 автоцистерны с горючим, 6 полевых и зенитных орудий, 8 зенитно-пулемётных точек, 13 миномётов, разбит железнодорожный состав, взорвано 3 склада с боеприпасами, рассеяно и частью уничтожено до батальона пехоты противника.</w:t>
      </w:r>
    </w:p>
    <w:p w14:paraId="14F8FE8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Харьковском направлении пять наших истребителей под командованием капитана Гусарова вступили в бой с семью вражескими самолетами и сбили четыре «Хейнкеля-113» и один «Мессершмитт-109». Все наши истребители благополучно вернулись на свой аэродром.</w:t>
      </w:r>
    </w:p>
    <w:p w14:paraId="2F4903F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подразделения тов. Львова огнём из пехотного оружия сбили 2 вражеских самолёта.</w:t>
      </w:r>
    </w:p>
    <w:p w14:paraId="1F29F7C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Северо-Западного фронта наши части наносят врагу непрерывные удары и уничтожают его живую силу и технику. За десять дней боевых действий взорвано 20 немецких ДЗОТов, уничтожено 47 пулемётов и 33 артиллерийских и миномётных батареи. Нашими бойцами захвачено у противника 102 пулемёта, 4 орудия, 3 радиостанции и другие трофеи. Над передовыми линиями огнём из винтовок и пулемётов сбито 3 немецких самолёта.</w:t>
      </w:r>
    </w:p>
    <w:p w14:paraId="2813F12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Калининского фронта наша разведка донесла, что на крупный аэродром вблизи фронта приземлился 21 немецкий транспортный самолёт. Артиллерийские батареи старшего лейтенанта Бартняка и старшего лейтенанта Рыковского открыли мощный огонь по аэродрому противника. В результате пяти огневых налётов на аэродроме вспыхнуло много очагов пожара и начались сильные взрывы. Нескольким немецким самолётам удалось подняться с аэродрома. Остальные были уничтожены.</w:t>
      </w:r>
    </w:p>
    <w:p w14:paraId="201726C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 младшего лейтенанта Зотова находился в засаде на опушке леса близ переднего края вражеской обороны. Когда немцы пошли в атаку, танкисты подпустили их на близкое расстояние и открыли огонь. Противник отступил, оставив на поле боя 150 убитых.</w:t>
      </w:r>
    </w:p>
    <w:p w14:paraId="33388B2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ефрейтор Герберт В. заявил: «257 пехотная дивизия уже была основательно разгромлена. После этого несколько раз прибывало пополнение, но полки дивизии опять обескровлены. Бои за пункт М. совершенно измотали солдат. Последние четверо суток мы совершенно не спали. 7 мая, когда пункт М. Подвергся сильному артиллерийскому обстрелу, солдаты стали разбегаться. Я укрылся в погребе, дождался прихода русских и с оружием сдался в плен».</w:t>
      </w:r>
    </w:p>
    <w:p w14:paraId="1B3FE4C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Немецкому обер-ефрейтору Гансу Гельмуту Вейриху пишут из Мейнингена: «...Вас должны, наконец, вывести оттуда... Второй Нейланд тоже убит — тяжёлый удар для родителей. В госпиталь прибыл новый транспорт тяжело раненных солдат. В стрелковом тире лежит 80 раненых. Школа имени принца Фридриха тоже превращена в лазарет».</w:t>
      </w:r>
    </w:p>
    <w:p w14:paraId="7D37D52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Немецко-фашистские мерзавцы разрушают советские сёла, уничтожают мирных жителей. Гитлеровские изверги сожгли деревни Абрамово, Никулкино, Филипповичи, Абрамов Клин, Ленинградской области. На телефонных столбах от деревни Куболово до деревни Поддубье висят трупы колхозников и колхозниц.</w:t>
      </w:r>
    </w:p>
    <w:p w14:paraId="61F8D12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Многие французы, чехи, итальянцы, поляки, насильно посланные на работу в Германию, тайком покидают предприятия и пытаются пробраться на родину. Бегство иностранных рабочих из германской промышленности вызывает у гитлеровцев сильное беспокойство. Фашистские власти выделили отряды штурмовиков и гестаповцев для ловли бежавших рабочих и подвергают их суровым репрессиям. Однако все эти драконовские меры не дают результатов. Один француз, перешедший швейцарскую границу, заявил: «Лучше погибнуть в борьбе, чем переносить гитлеровскую каторгу».</w:t>
      </w:r>
    </w:p>
    <w:p w14:paraId="217C571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последний час.</w:t>
      </w:r>
    </w:p>
    <w:p w14:paraId="3A255D8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Успешное наступление наших войск на харьковском направлении.</w:t>
      </w:r>
    </w:p>
    <w:p w14:paraId="4682C86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наши войска, перейдя в наступление на Харьковском направлении, прорвали оборону немецких войск и, отразив контратаки крупных танковых соединений и мотопехоты, продвигаются на Запад.</w:t>
      </w:r>
    </w:p>
    <w:p w14:paraId="224F23F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время с 12 по 16 мая наши части продвинулись на глубину 20—60 километров и освободили свыше 300 населённых пунктов.</w:t>
      </w:r>
    </w:p>
    <w:p w14:paraId="51244B1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названный период нашими войсками, по предварительным данным, захвачены у противника следующие трофеи: орудий — 365, танков — 25, миномётов — 188,пулеметов — 379, снарядов — 46.413 и отдельно 89 ящиков со снарядами, мин —23.284, патронов — около 1.000.000 штук, гранат — 13.000, автомашин — 90, радиостанций — 29, артиллерийских, продовольственных и вещевых складов — 38.</w:t>
      </w:r>
    </w:p>
    <w:p w14:paraId="7861BBA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Захвачено в плен свыше 1.200 солдат и офицеров противника.</w:t>
      </w:r>
    </w:p>
    <w:p w14:paraId="58699B2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это же время уничтожено: 400 немецких танков, 210 орудий, 33 миномета, 217 пулемётов, около 700 автомашин, более 100 подвод с грузами, 12 разных складов,147 самолётов.</w:t>
      </w:r>
    </w:p>
    <w:p w14:paraId="6672607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Уничтожено около 12 тысяч немецких солдат и офицеров.</w:t>
      </w:r>
    </w:p>
    <w:p w14:paraId="4CEB96A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Наступление продолжается.» (14893).</w:t>
      </w:r>
    </w:p>
    <w:p w14:paraId="04FECA2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D9DF2F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мая 1942 года сразу восемнадцать «юнкерсов» атаковали станцию Чернь. «Козьма» и «Илья», отстреливаясь и искусно маневрируя, отходили за стрелки, на перегон. Взлетели на воздух штабной, санитарный вагоны…На другой день немецкое командование передавало по радио: «Вчера на станции Чернь Тульской губернии в результате массированного налета авиации рейха уничтожены советские бронепоезда «Козьма Минин» и «Илья Муромец», построенные Америкой». Но той же ночью при разгрузке вражеских эшелонов с войсками и техникой на станции Мценск на них обрушился шквал огня. Два бронепоезда незаметно вышли на огневой рубеж и, нанеся решающий удар, ушли на запасные позиции. Через час дивизион повторил огневой налет. На этот раз по вражеским батареям, раскрывшим себя при первой атаке. В течение трех лет 31-й Особый Горьковско-Варшавский ордена Александра Невского дивизион бронепоездов сражался на главных направлениях Великой Отечественной войны: на тульской и калужской земле, под Одером и Брянском, под Жлобином на Днепре и под Ковелем на Западной Украине, под Варшавой на Висле и во Франкфурте-на-Одере…Подразделения дивизиона сделали 150 мощных огневых налетов по переднему краю обороны и прифронтовым станциям снабжения, участвовали в прорыве обороны и в отражении атак противника. Артиллерийско-минометным и пулеметным огнем уничтожено 15 вражеских самолетов, 1650 солдат и офицеров противника, 94 пулеметные точки, 42 артиллерийско-минометные батареи, 24 отдельных орудия, 14 дзотов, немецкий бронепоезд, склады боеприпасов (15218).</w:t>
      </w:r>
    </w:p>
    <w:p w14:paraId="6F7EBB6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BE952A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16 мая</w:t>
      </w:r>
      <w:r w:rsidRPr="008127F8">
        <w:rPr>
          <w:rFonts w:ascii="Times New Roman" w:hAnsi="Times New Roman"/>
          <w:color w:val="000000" w:themeColor="text1"/>
          <w:sz w:val="16"/>
          <w:szCs w:val="16"/>
        </w:rPr>
        <w:t xml:space="preserve"> в 1942 году войска Крымского фронта эвакуировались с Керченского на Таманский полуостров, за 12 дней боев они потеряли свыше 176 тысяч человек (14893).</w:t>
      </w:r>
    </w:p>
    <w:p w14:paraId="7115063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E9C70A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мая 1942 немцы захватили Керчь, но наступление КА на Харьков продолжалось (2261).</w:t>
      </w:r>
    </w:p>
    <w:p w14:paraId="629B910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18E2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26A646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EE546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16 мая</w:t>
      </w:r>
      <w:r w:rsidRPr="008127F8">
        <w:rPr>
          <w:rFonts w:ascii="Times New Roman" w:hAnsi="Times New Roman"/>
          <w:color w:val="000000" w:themeColor="text1"/>
          <w:sz w:val="16"/>
          <w:szCs w:val="16"/>
        </w:rPr>
        <w:t xml:space="preserve"> в 1942 году с фирмой «Белл» был заключен контракт на постройку 25 опытных машин, но проблемы возникшие с турбонаддувом у выбранного для самолета двигателя, вынудили сократить заказ до 6 самолетов для всесторонних испытаний истребителя выбранной концепции. Первый </w:t>
      </w:r>
      <w:hyperlink r:id="rId24" w:tgtFrame="_blank" w:history="1">
        <w:r w:rsidRPr="008127F8">
          <w:rPr>
            <w:rFonts w:ascii="Times New Roman" w:hAnsi="Times New Roman"/>
            <w:color w:val="000000" w:themeColor="text1"/>
            <w:sz w:val="16"/>
            <w:szCs w:val="16"/>
          </w:rPr>
          <w:t xml:space="preserve">«ХР-77» </w:t>
        </w:r>
      </w:hyperlink>
      <w:r w:rsidRPr="008127F8">
        <w:rPr>
          <w:rFonts w:ascii="Times New Roman" w:hAnsi="Times New Roman"/>
          <w:color w:val="000000" w:themeColor="text1"/>
          <w:sz w:val="16"/>
          <w:szCs w:val="16"/>
        </w:rPr>
        <w:t xml:space="preserve">(такой индекс получил опытный истребитель после заключения контракта) был готов к полету 1 апреля 1944 года. Первый из двух </w:t>
      </w:r>
      <w:hyperlink r:id="rId25" w:tgtFrame="_blank" w:history="1">
        <w:r w:rsidRPr="008127F8">
          <w:rPr>
            <w:rFonts w:ascii="Times New Roman" w:hAnsi="Times New Roman"/>
            <w:color w:val="000000" w:themeColor="text1"/>
            <w:sz w:val="16"/>
            <w:szCs w:val="16"/>
          </w:rPr>
          <w:t xml:space="preserve">«ХР-77» </w:t>
        </w:r>
      </w:hyperlink>
      <w:r w:rsidRPr="008127F8">
        <w:rPr>
          <w:rFonts w:ascii="Times New Roman" w:hAnsi="Times New Roman"/>
          <w:color w:val="000000" w:themeColor="text1"/>
          <w:sz w:val="16"/>
          <w:szCs w:val="16"/>
        </w:rPr>
        <w:t>(43-34915...34916) полетел 1 апреля 1944 года в Ниагара-Фолс, штат Нью-Йорк (пилот Джек Уильяме). Однако к этому времени необходимость в самолетах отвечавших вышеупомянутым принципам, отпала (14893).</w:t>
      </w:r>
    </w:p>
    <w:p w14:paraId="7929264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AAE150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16 мая</w:t>
      </w:r>
      <w:r w:rsidRPr="008127F8">
        <w:rPr>
          <w:rFonts w:ascii="Times New Roman" w:hAnsi="Times New Roman"/>
          <w:color w:val="000000" w:themeColor="text1"/>
          <w:sz w:val="16"/>
          <w:szCs w:val="16"/>
        </w:rPr>
        <w:t xml:space="preserve"> в 1942 году Абвер-2 готовит крупномасштабные диверсии на предприятиях оборонной промышленности Великобритании — операции «Чайка-1» и «Чайка-2». Выбраны объекты диверсий на территории Шотландии и Северной Ирландии: электростанции в Форт-Вильяме (электроэнергия для алюминиевых заводов) на Каледонском канале и у туннеля Бен-Невис в Грампианских горах, алюминиевые заводы под Кин-лохливеном на озере Лох-Раннах. Предполагается осуществлять заброску агентов-парашютистов с базы люфтваффе в Тронхейме (14893).</w:t>
      </w:r>
    </w:p>
    <w:p w14:paraId="4368D5F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7E4BE8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16 мая</w:t>
      </w:r>
      <w:r w:rsidRPr="008127F8">
        <w:rPr>
          <w:rFonts w:ascii="Times New Roman" w:hAnsi="Times New Roman"/>
          <w:color w:val="000000" w:themeColor="text1"/>
          <w:sz w:val="16"/>
          <w:szCs w:val="16"/>
        </w:rPr>
        <w:t xml:space="preserve"> в 1942 году на плечах отступающих британцев агенты абвера проникают в дельту Нила. В оазисе Файюм агенты абвер-2 встречаются с представителями антибританского подполья и боевиками египетских националистических организаций. Два замаскированных под дервишей «бранденбуржца» проникают в Каир для сбора развединформации и организации диверсий на стратегических объектах (14893).</w:t>
      </w:r>
    </w:p>
    <w:p w14:paraId="0D6DB5B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4E1905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C6C19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6291C4" w14:textId="77777777" w:rsidR="00FA5FDE" w:rsidRPr="008A2E5A" w:rsidRDefault="00FA5FDE" w:rsidP="00FA5FD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мая 1942 г. в своем выступлении на технической конференции ВВС и НКАП, проходившей в 1-й запасной авиабригаде, начальник Управления заказов самолетов и моторов ГУ ВВС бригинженер Я.Л. Бибиков в отношении Ил-2 конста</w:t>
      </w:r>
      <w:r w:rsidRPr="008A2E5A">
        <w:rPr>
          <w:rFonts w:ascii="Times New Roman" w:hAnsi="Times New Roman"/>
          <w:color w:val="0070C0"/>
          <w:sz w:val="16"/>
          <w:szCs w:val="16"/>
        </w:rPr>
        <w:softHyphen/>
        <w:t>тировал: «Представители заводов не могли больших претензий предъявить в той мере, чтобы все зависело от эксплоатации. Основную работу по тем дефектам, о которых здесь говорилось, нужно перенести на за</w:t>
      </w:r>
      <w:r w:rsidRPr="008A2E5A">
        <w:rPr>
          <w:rFonts w:ascii="Times New Roman" w:hAnsi="Times New Roman"/>
          <w:color w:val="0070C0"/>
          <w:sz w:val="16"/>
          <w:szCs w:val="16"/>
        </w:rPr>
        <w:softHyphen/>
        <w:t>воды. Сегодня главным именинником был 24-й завод. И в самом деле, качество моторов на 24-м заводе резко ухудшилось. Контроль производства значительно сни</w:t>
      </w:r>
      <w:r w:rsidRPr="008A2E5A">
        <w:rPr>
          <w:rFonts w:ascii="Times New Roman" w:hAnsi="Times New Roman"/>
          <w:color w:val="0070C0"/>
          <w:sz w:val="16"/>
          <w:szCs w:val="16"/>
        </w:rPr>
        <w:softHyphen/>
        <w:t>зился по сравнению с тем, что было до Куйбышева, что послужило к выходу из строя тех самолетов, о которых сейчас шла речь. Мимо таких фактов проходить нельзя, это дело нужно было просто передать в Прокуратуру, или с клапанами или с обрывами - это тоже явление того, что контроль значительно ослаб. Здесь нужно при</w:t>
      </w:r>
      <w:r w:rsidRPr="008A2E5A">
        <w:rPr>
          <w:rFonts w:ascii="Times New Roman" w:hAnsi="Times New Roman"/>
          <w:color w:val="0070C0"/>
          <w:sz w:val="16"/>
          <w:szCs w:val="16"/>
        </w:rPr>
        <w:softHyphen/>
        <w:t>нять необходимые меры, чтобы по всем основным дета</w:t>
      </w:r>
      <w:r w:rsidRPr="008A2E5A">
        <w:rPr>
          <w:rFonts w:ascii="Times New Roman" w:hAnsi="Times New Roman"/>
          <w:color w:val="0070C0"/>
          <w:sz w:val="16"/>
          <w:szCs w:val="16"/>
        </w:rPr>
        <w:softHyphen/>
        <w:t>лям установить контрольные точки прямо на местах. Мы должны будем запросить НКАП и доложить Военному Совету с тем, чтобы в кратчайший срок установить два маслобака и обязательно воздухоочиститель. Здесь вина есть также и промышленности, она не смогла до сих пор ввести в силу эти мероприятия. Что нужно 24-му заводу для устранения всех дефектов, которые выявились, и которых раньше на заводе никогда не было. Безусловно, ему здесь работать значительно труднее, в связи с пе</w:t>
      </w:r>
      <w:r w:rsidRPr="008A2E5A">
        <w:rPr>
          <w:rFonts w:ascii="Times New Roman" w:hAnsi="Times New Roman"/>
          <w:color w:val="0070C0"/>
          <w:sz w:val="16"/>
          <w:szCs w:val="16"/>
        </w:rPr>
        <w:softHyphen/>
        <w:t>реездом сюда, я все это прекрасно понимаю, но все же нужно заводу выделить специально один станок с тем, чтобы детальнее испытать мотор. Надо заводу иметь са</w:t>
      </w:r>
      <w:r w:rsidRPr="008A2E5A">
        <w:rPr>
          <w:rFonts w:ascii="Times New Roman" w:hAnsi="Times New Roman"/>
          <w:color w:val="0070C0"/>
          <w:sz w:val="16"/>
          <w:szCs w:val="16"/>
        </w:rPr>
        <w:softHyphen/>
        <w:t>молет - все, что отрабатывается на заводе, каждая даже самая мелкая деталь - должна испытываться самими, чтобы в армию шло вполне испытанное, надежное, гарантирующее хороший самолет. Мне не нравится на</w:t>
      </w:r>
      <w:r w:rsidRPr="008A2E5A">
        <w:rPr>
          <w:rFonts w:ascii="Times New Roman" w:hAnsi="Times New Roman"/>
          <w:color w:val="0070C0"/>
          <w:sz w:val="16"/>
          <w:szCs w:val="16"/>
        </w:rPr>
        <w:softHyphen/>
        <w:t>строение завода № 24 - у них в основном стоит задача выполнять программу в цифрах, а остальное неважно. Это совершенно неверно. Что же мы будем Правитель</w:t>
      </w:r>
      <w:r w:rsidRPr="008A2E5A">
        <w:rPr>
          <w:rFonts w:ascii="Times New Roman" w:hAnsi="Times New Roman"/>
          <w:color w:val="0070C0"/>
          <w:sz w:val="16"/>
          <w:szCs w:val="16"/>
        </w:rPr>
        <w:softHyphen/>
        <w:t>ству давать цифру выполнения, а потом эти самолеты стоят у вас же на аэродромах негодные к полетам».</w:t>
      </w:r>
    </w:p>
    <w:p w14:paraId="6B7ECE96" w14:textId="77777777" w:rsidR="00FA5FDE" w:rsidRPr="008A2E5A" w:rsidRDefault="00FA5FDE" w:rsidP="00FA5FD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свою очередь, командир 1-й заб генерал-майор Н.Ф. Папивин высказался в том духе, что: «Заводы заняли совершенно неправильную позицию. За чей счет восста</w:t>
      </w:r>
      <w:r w:rsidRPr="008A2E5A">
        <w:rPr>
          <w:rFonts w:ascii="Times New Roman" w:hAnsi="Times New Roman"/>
          <w:color w:val="0070C0"/>
          <w:sz w:val="16"/>
          <w:szCs w:val="16"/>
        </w:rPr>
        <w:softHyphen/>
        <w:t>навливать. Мне нужно восстановить материальную часть. Мы имеем такой факт, что 32 самолета вышли из строя. /.../ 32 самолета стоят непригодные к полету, а ведь сейчас не мирное время и эти 32 самолета на фронте принесли бы пользу. За чей счет я буду относить эти 32 самолета - неизвестно, кто конкретно виноват, но сейчас нужно не пререканиями заниматься, а надо восстанав</w:t>
      </w:r>
      <w:r w:rsidRPr="008A2E5A">
        <w:rPr>
          <w:rFonts w:ascii="Times New Roman" w:hAnsi="Times New Roman"/>
          <w:color w:val="0070C0"/>
          <w:sz w:val="16"/>
          <w:szCs w:val="16"/>
        </w:rPr>
        <w:softHyphen/>
        <w:t>ливать самолеты. Сейчас главная задача, стоящая перед нами - восстанавливать самолеты, вышедшие из строя. Необходимо завезти все материалы, потребные для этого дела. /.../ Мы накапливаем у себя до 100 самолетов, а на фронт не отправляем, на заводах стоит до 300 са</w:t>
      </w:r>
      <w:r w:rsidRPr="008A2E5A">
        <w:rPr>
          <w:rFonts w:ascii="Times New Roman" w:hAnsi="Times New Roman"/>
          <w:color w:val="0070C0"/>
          <w:sz w:val="16"/>
          <w:szCs w:val="16"/>
        </w:rPr>
        <w:softHyphen/>
        <w:t>молетов, но на фронт не могут дать ни одного. Это дело серьезное и так дальше работать не годится. /.../ Относи</w:t>
      </w:r>
      <w:r w:rsidRPr="008A2E5A">
        <w:rPr>
          <w:rFonts w:ascii="Times New Roman" w:hAnsi="Times New Roman"/>
          <w:color w:val="0070C0"/>
          <w:sz w:val="16"/>
          <w:szCs w:val="16"/>
        </w:rPr>
        <w:softHyphen/>
        <w:t>тельно рекламации - надо положить конец разговорам о несостоятельности рекламации 24-го завода. Взяли у меня 42 мотора, попросили выручить их в трудную ми</w:t>
      </w:r>
      <w:r w:rsidRPr="008A2E5A">
        <w:rPr>
          <w:rFonts w:ascii="Times New Roman" w:hAnsi="Times New Roman"/>
          <w:color w:val="0070C0"/>
          <w:sz w:val="16"/>
          <w:szCs w:val="16"/>
        </w:rPr>
        <w:softHyphen/>
        <w:t>нуту, я дал, а они и до сих пор не отдают».</w:t>
      </w:r>
    </w:p>
    <w:p w14:paraId="7AC84E25" w14:textId="77777777" w:rsidR="00FA5FDE" w:rsidRPr="008A2E5A" w:rsidRDefault="00FA5FDE" w:rsidP="00FA5FD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последней реплике Папивина стоит пояснить. Дело в том, что директор завода № 24 Жезлов попытался нарушить требование постановления ГКО № 1178сс от 20 января 1942 г. о включении в сведения о произве</w:t>
      </w:r>
      <w:r w:rsidRPr="008A2E5A">
        <w:rPr>
          <w:rFonts w:ascii="Times New Roman" w:hAnsi="Times New Roman"/>
          <w:color w:val="0070C0"/>
          <w:sz w:val="16"/>
          <w:szCs w:val="16"/>
        </w:rPr>
        <w:softHyphen/>
        <w:t>денной продукции только моторы, сданные «по бою». В феврале он приказал включить в итоговый отчет за месяц 271 мотор, тогда как реальный выпуск составил 229 моторов, что и установила комиссия авиационного отдела Куйбышевского обкома ВКП(б). Давний друг Жезлова маршал Ворошилов ничем помочь не смог. Чтобы замять скандал Жезлов попросил у Папивина «взаймы» недостающие 42 новых мотора из ремонтного фонда бригады и затем сдал их военной приемке как новые. Соответственно, произошла отгрузка этих моторов по разнарядкам ГУ ВВС КА с последующей оплатой. Однако в связи с резким ужесточением контроля со стороны государства изготовить по-тихому сверх плана четыре десятка моторов и вернуть долг Папивину в марте и апреле Жезлов уже не мог. Каждый вставший на сборку мотор, а тем более вышедший после сборки, отслежи</w:t>
      </w:r>
      <w:r w:rsidRPr="008A2E5A">
        <w:rPr>
          <w:rFonts w:ascii="Times New Roman" w:hAnsi="Times New Roman"/>
          <w:color w:val="0070C0"/>
          <w:sz w:val="16"/>
          <w:szCs w:val="16"/>
        </w:rPr>
        <w:softHyphen/>
        <w:t>вался и брался на учет многочисленными контролерами, как по линии НКАП и ГКО, так и по линии обкома партии и органов государственной безопасности (23346).</w:t>
      </w:r>
    </w:p>
    <w:p w14:paraId="716AD2CE" w14:textId="77777777" w:rsidR="00FA5FDE" w:rsidRPr="008A2E5A" w:rsidRDefault="00FA5FDE" w:rsidP="00FA5FDE">
      <w:pPr>
        <w:spacing w:after="0" w:line="240" w:lineRule="auto"/>
        <w:jc w:val="both"/>
        <w:rPr>
          <w:rFonts w:ascii="Times New Roman" w:hAnsi="Times New Roman"/>
          <w:color w:val="0070C0"/>
          <w:sz w:val="16"/>
          <w:szCs w:val="16"/>
        </w:rPr>
      </w:pPr>
    </w:p>
    <w:p w14:paraId="3F4EFA4D" w14:textId="77777777" w:rsidR="00FA5FDE" w:rsidRPr="008A2E5A" w:rsidRDefault="00FA5FDE" w:rsidP="00FA5FDE">
      <w:pPr>
        <w:spacing w:after="0" w:line="240" w:lineRule="auto"/>
        <w:jc w:val="both"/>
        <w:rPr>
          <w:rFonts w:ascii="Times New Roman" w:hAnsi="Times New Roman"/>
          <w:color w:val="0070C0"/>
          <w:sz w:val="16"/>
          <w:szCs w:val="16"/>
        </w:rPr>
      </w:pPr>
      <w:bookmarkStart w:id="1" w:name="_Hlk144994157"/>
      <w:r w:rsidRPr="008A2E5A">
        <w:rPr>
          <w:rFonts w:ascii="Times New Roman" w:hAnsi="Times New Roman"/>
          <w:color w:val="0070C0"/>
          <w:sz w:val="16"/>
          <w:szCs w:val="16"/>
        </w:rPr>
        <w:t>К 17 мая 1942 года завод вооружения №32 поставил в Комсомольск-на-Амуре 85 штук УТК-1 и 10 — 23-му заводу, еще 50 пошли на доработку строевых самолетов, но с нижней установкой дела обстояли хуже. В феврале 1942 года войсковые испытания нижней люковой установки в 748-м АП ДД подтвердили ее надежность, но она слишком смещала назад центр масс. К тому же таких установок не хватало и для Пе-2, и Ильюшиным было принято решение внедрить ее одновременно с крылом «со стрелкой» и новыми более мощными моторами (24139).</w:t>
      </w:r>
    </w:p>
    <w:p w14:paraId="53E53702" w14:textId="77777777" w:rsidR="00FA5FDE" w:rsidRPr="008A2E5A" w:rsidRDefault="00FA5FDE" w:rsidP="00FA5FDE">
      <w:pPr>
        <w:spacing w:after="0" w:line="240" w:lineRule="auto"/>
        <w:jc w:val="both"/>
        <w:rPr>
          <w:rFonts w:ascii="Times New Roman" w:hAnsi="Times New Roman"/>
          <w:color w:val="0070C0"/>
          <w:sz w:val="16"/>
          <w:szCs w:val="16"/>
        </w:rPr>
      </w:pPr>
    </w:p>
    <w:bookmarkEnd w:id="1"/>
    <w:p w14:paraId="7A2B60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мая 1942 приступили к полетам в рамках войсковых испытаний Ту-2, а уже 23 мая самолет, пилотируемый лейтенантом Майоровым, потерпел аварию на посадке. Машину неожиданно развернуло на пробеге. Спустя три дня, 26 мая, произошла катастрофа со вторым бомбардировщиком, на котором летел экипаж пилота Ищенко. Спасся только стрелок, получивший тяжелые ранения. Комиссия не смогла определить причины трагедии. Существовало две версии: ошибка летчика или неожиданный отказ левого мотора. Осталась одна машина, третья.</w:t>
      </w:r>
    </w:p>
    <w:p w14:paraId="6D19730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Фактически на нее пришелся весь объем испытаний. В ходе полетов выяснилось, что на больших высотах скорость по непонятной причине резко падает. Оказалось, что моторы М-82 недодают мощность выше второй границы высотности, когда нагнетатель переключался на вторую скорость. Но причина крылась не в нагнетателе, а в магнето БСМ-14. Это стало ясно, когда его опробовали в барокамере. Хорошо работая при нормальном давлении, в разреженном воздухе оно стало сбоить. В полете это вызывало тряску двигателей. В Военно-воз- душной академии им. Жуковского под руководством профессора B.C. Куле- бакина спешно создали новую модификацию - БСМ-14В, запущенную в серийное производство, но это произошло уже после завершения первого этапа войсковых испытаний Ту-2.</w:t>
      </w:r>
    </w:p>
    <w:p w14:paraId="045FFC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Полеты прекратили в конце июля 1942 г., а итоговый отчет был утвержден 22 августа. Выводы испытателей в целом были одобрительными. В заключении отчета записали: "Серийные самолеты Ту-2 постройки заво да № 166 по своим летным свойствам, надежности работы моторов и вооружению могут быть использованы в боевой работе..." Но вместе с тем высоту полета ограничили 5000 м (до которой нормально работало БСМ-14). Использованию самолета в качестве пикировщика препятствовала перераскрутка винтов. Рекомендовали доработать ненадежные тормоза колес, а также усилить оборонительное вооружение. Дело в том, что огневая мощь пулеметов ШКАС уже считалась недостаточной. На пикирующем бомбардировщике Пе-2 еще летом 1941 г. смонтировали два 12,7-мм пулемета - один неподвижный в носу фюзеляжа, а второй - в люковой установке, стрелявшей вниз-назад. Позже к ним добавили еще один крупнокалиберный пулемет у штурмана и бортовой ШКАС у стрелка-радиста. Новое вооружение весьма эффективно использовалось на фронте, не позволяя немецким истребителям близко подходить к бомбардировщику. Усиление неподвижного вооружения Ту-2 не требовалось: по секундному залпу он значительно превосходил Пе-2. Поэтому специалисты НИИ ВВС рекомендовали поставить 12,7-мм пулеметы УБТ на обеих верхних установках - у штурмана и стрелка-радиста (11988).</w:t>
      </w:r>
    </w:p>
    <w:p w14:paraId="716AD7B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4B485D" w14:textId="77777777" w:rsidR="00FA5FDE" w:rsidRPr="008127F8" w:rsidRDefault="00FA5FDE" w:rsidP="00FA5FDE">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17 мая по 19 июля 1942 проводились эксплуатационно-технические испытания трех серийных Ту-2 как первый этап войсковых испытаний (1835,20).</w:t>
      </w:r>
    </w:p>
    <w:p w14:paraId="4723EBA1" w14:textId="77777777" w:rsidR="00FA5FDE" w:rsidRPr="008127F8" w:rsidRDefault="00FA5FDE" w:rsidP="00FA5FD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136325" w14:textId="77777777" w:rsidR="00FA5FDE" w:rsidRPr="008127F8" w:rsidRDefault="00FA5FDE" w:rsidP="00FA5FDE">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17 мая 1942 приступили к полетам Ту-2 в рамках первого этапа войсковых испытаний, а уже 23 мая самолет, пило</w:t>
      </w:r>
      <w:r w:rsidRPr="008127F8">
        <w:rPr>
          <w:rFonts w:ascii="Times New Roman" w:hAnsi="Times New Roman"/>
          <w:color w:val="000000" w:themeColor="text1"/>
          <w:sz w:val="16"/>
          <w:szCs w:val="16"/>
          <w:lang w:eastAsia="ru-RU" w:bidi="ru-RU"/>
        </w:rPr>
        <w:softHyphen/>
        <w:t>тируемый лейтенантом Майоровым, по</w:t>
      </w:r>
      <w:r w:rsidRPr="008127F8">
        <w:rPr>
          <w:rFonts w:ascii="Times New Roman" w:hAnsi="Times New Roman"/>
          <w:color w:val="000000" w:themeColor="text1"/>
          <w:sz w:val="16"/>
          <w:szCs w:val="16"/>
          <w:lang w:eastAsia="ru-RU" w:bidi="ru-RU"/>
        </w:rPr>
        <w:softHyphen/>
        <w:t>терпел аварию на посадке. Машину нео</w:t>
      </w:r>
      <w:r w:rsidRPr="008127F8">
        <w:rPr>
          <w:rFonts w:ascii="Times New Roman" w:hAnsi="Times New Roman"/>
          <w:color w:val="000000" w:themeColor="text1"/>
          <w:sz w:val="16"/>
          <w:szCs w:val="16"/>
          <w:lang w:eastAsia="ru-RU" w:bidi="ru-RU"/>
        </w:rPr>
        <w:softHyphen/>
        <w:t>жиданно развернуло на пробеге. Спустя три дня, 26 мая, произошла катастрофа со вторым бомбардировщиком, на кото</w:t>
      </w:r>
      <w:r w:rsidRPr="008127F8">
        <w:rPr>
          <w:rFonts w:ascii="Times New Roman" w:hAnsi="Times New Roman"/>
          <w:color w:val="000000" w:themeColor="text1"/>
          <w:sz w:val="16"/>
          <w:szCs w:val="16"/>
          <w:lang w:eastAsia="ru-RU" w:bidi="ru-RU"/>
        </w:rPr>
        <w:softHyphen/>
        <w:t>ром летел экипаж пилота Ищенко. Спасся только стрелок, получивший тяжелые ра</w:t>
      </w:r>
      <w:r w:rsidRPr="008127F8">
        <w:rPr>
          <w:rFonts w:ascii="Times New Roman" w:hAnsi="Times New Roman"/>
          <w:color w:val="000000" w:themeColor="text1"/>
          <w:sz w:val="16"/>
          <w:szCs w:val="16"/>
          <w:lang w:eastAsia="ru-RU" w:bidi="ru-RU"/>
        </w:rPr>
        <w:softHyphen/>
        <w:t>нения. Комиссия не смогла определить причины трагедии. Существовало две вер</w:t>
      </w:r>
      <w:r w:rsidRPr="008127F8">
        <w:rPr>
          <w:rFonts w:ascii="Times New Roman" w:hAnsi="Times New Roman"/>
          <w:color w:val="000000" w:themeColor="text1"/>
          <w:sz w:val="16"/>
          <w:szCs w:val="16"/>
          <w:lang w:eastAsia="ru-RU" w:bidi="ru-RU"/>
        </w:rPr>
        <w:softHyphen/>
        <w:t>сии: ошибка летчика или неожиданный отказ левого мотора. Осталась одна ма</w:t>
      </w:r>
      <w:r w:rsidRPr="008127F8">
        <w:rPr>
          <w:rFonts w:ascii="Times New Roman" w:hAnsi="Times New Roman"/>
          <w:color w:val="000000" w:themeColor="text1"/>
          <w:sz w:val="16"/>
          <w:szCs w:val="16"/>
          <w:lang w:eastAsia="ru-RU" w:bidi="ru-RU"/>
        </w:rPr>
        <w:softHyphen/>
        <w:t>шина, третья.</w:t>
      </w:r>
    </w:p>
    <w:p w14:paraId="2ACF4C3F" w14:textId="77777777" w:rsidR="00FA5FDE" w:rsidRPr="008127F8" w:rsidRDefault="00FA5FDE" w:rsidP="00FA5FDE">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Фактически на нее пришелся весь объем испытаний. В ходе полетов вы</w:t>
      </w:r>
      <w:r w:rsidRPr="008127F8">
        <w:rPr>
          <w:rFonts w:ascii="Times New Roman" w:hAnsi="Times New Roman"/>
          <w:color w:val="000000" w:themeColor="text1"/>
          <w:sz w:val="16"/>
          <w:szCs w:val="16"/>
          <w:lang w:eastAsia="ru-RU" w:bidi="ru-RU"/>
        </w:rPr>
        <w:softHyphen/>
        <w:t>яснилось, что на больших высотах ско</w:t>
      </w:r>
      <w:r w:rsidRPr="008127F8">
        <w:rPr>
          <w:rFonts w:ascii="Times New Roman" w:hAnsi="Times New Roman"/>
          <w:color w:val="000000" w:themeColor="text1"/>
          <w:sz w:val="16"/>
          <w:szCs w:val="16"/>
          <w:lang w:eastAsia="ru-RU" w:bidi="ru-RU"/>
        </w:rPr>
        <w:softHyphen/>
        <w:t>рость по непонятной причине резко па</w:t>
      </w:r>
      <w:r w:rsidRPr="008127F8">
        <w:rPr>
          <w:rFonts w:ascii="Times New Roman" w:hAnsi="Times New Roman"/>
          <w:color w:val="000000" w:themeColor="text1"/>
          <w:sz w:val="16"/>
          <w:szCs w:val="16"/>
          <w:lang w:eastAsia="ru-RU" w:bidi="ru-RU"/>
        </w:rPr>
        <w:softHyphen/>
        <w:t>дает. Оказалось, что моторы М-82 недо</w:t>
      </w:r>
      <w:r w:rsidRPr="008127F8">
        <w:rPr>
          <w:rFonts w:ascii="Times New Roman" w:hAnsi="Times New Roman"/>
          <w:color w:val="000000" w:themeColor="text1"/>
          <w:sz w:val="16"/>
          <w:szCs w:val="16"/>
          <w:lang w:eastAsia="ru-RU" w:bidi="ru-RU"/>
        </w:rPr>
        <w:softHyphen/>
        <w:t>дают мощность выше второй границы высотности, когда нагнетатель переклю</w:t>
      </w:r>
      <w:r w:rsidRPr="008127F8">
        <w:rPr>
          <w:rFonts w:ascii="Times New Roman" w:hAnsi="Times New Roman"/>
          <w:color w:val="000000" w:themeColor="text1"/>
          <w:sz w:val="16"/>
          <w:szCs w:val="16"/>
          <w:lang w:eastAsia="ru-RU" w:bidi="ru-RU"/>
        </w:rPr>
        <w:softHyphen/>
        <w:t xml:space="preserve">чался на вторую скорость. Но причина крылась не в нагнетателе, </w:t>
      </w:r>
      <w:r w:rsidRPr="008127F8">
        <w:rPr>
          <w:rFonts w:ascii="Times New Roman" w:hAnsi="Times New Roman"/>
          <w:color w:val="000000" w:themeColor="text1"/>
          <w:sz w:val="16"/>
          <w:szCs w:val="16"/>
          <w:lang w:eastAsia="ru-RU" w:bidi="ru-RU"/>
        </w:rPr>
        <w:lastRenderedPageBreak/>
        <w:t>а в магнето БСМ-14. Это стало ясно, когда его опро</w:t>
      </w:r>
      <w:r w:rsidRPr="008127F8">
        <w:rPr>
          <w:rFonts w:ascii="Times New Roman" w:hAnsi="Times New Roman"/>
          <w:color w:val="000000" w:themeColor="text1"/>
          <w:sz w:val="16"/>
          <w:szCs w:val="16"/>
          <w:lang w:eastAsia="ru-RU" w:bidi="ru-RU"/>
        </w:rPr>
        <w:softHyphen/>
        <w:t>бовали в барокамере. Хорошо работая при нормальном давлении, в разрежен</w:t>
      </w:r>
      <w:r w:rsidRPr="008127F8">
        <w:rPr>
          <w:rFonts w:ascii="Times New Roman" w:hAnsi="Times New Roman"/>
          <w:color w:val="000000" w:themeColor="text1"/>
          <w:sz w:val="16"/>
          <w:szCs w:val="16"/>
          <w:lang w:eastAsia="ru-RU" w:bidi="ru-RU"/>
        </w:rPr>
        <w:softHyphen/>
        <w:t>ном воздухе оно начинало сбоить. В по</w:t>
      </w:r>
      <w:r w:rsidRPr="008127F8">
        <w:rPr>
          <w:rFonts w:ascii="Times New Roman" w:hAnsi="Times New Roman"/>
          <w:color w:val="000000" w:themeColor="text1"/>
          <w:sz w:val="16"/>
          <w:szCs w:val="16"/>
          <w:lang w:eastAsia="ru-RU" w:bidi="ru-RU"/>
        </w:rPr>
        <w:softHyphen/>
        <w:t>лете это вызывало тряску двигателей. В Военно-воздушной академии им. Жу</w:t>
      </w:r>
      <w:r w:rsidRPr="008127F8">
        <w:rPr>
          <w:rFonts w:ascii="Times New Roman" w:hAnsi="Times New Roman"/>
          <w:color w:val="000000" w:themeColor="text1"/>
          <w:sz w:val="16"/>
          <w:szCs w:val="16"/>
          <w:lang w:eastAsia="ru-RU" w:bidi="ru-RU"/>
        </w:rPr>
        <w:softHyphen/>
        <w:t>ковского под руководством профессора В.С. Кулебакина спешно создали новую модификацию - БСМ-14В, запущенную в серийное производство, но это прои</w:t>
      </w:r>
      <w:r w:rsidRPr="008127F8">
        <w:rPr>
          <w:rFonts w:ascii="Times New Roman" w:hAnsi="Times New Roman"/>
          <w:color w:val="000000" w:themeColor="text1"/>
          <w:sz w:val="16"/>
          <w:szCs w:val="16"/>
          <w:lang w:eastAsia="ru-RU" w:bidi="ru-RU"/>
        </w:rPr>
        <w:softHyphen/>
        <w:t>зошло уже после завершения первого этапа войсковых испытаний Ту-2.</w:t>
      </w:r>
    </w:p>
    <w:p w14:paraId="6DACE380" w14:textId="77777777" w:rsidR="00FA5FDE" w:rsidRPr="008127F8" w:rsidRDefault="00FA5FDE" w:rsidP="00FA5FDE">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Полеты прекратили в конце июля 1942 г., а итоговый отчет был утвержден 22 августа. Выводы испытателей в целом были одобрительными. В заключении от</w:t>
      </w:r>
      <w:r w:rsidRPr="008127F8">
        <w:rPr>
          <w:rFonts w:ascii="Times New Roman" w:hAnsi="Times New Roman"/>
          <w:color w:val="000000" w:themeColor="text1"/>
          <w:sz w:val="16"/>
          <w:szCs w:val="16"/>
          <w:lang w:eastAsia="ru-RU" w:bidi="ru-RU"/>
        </w:rPr>
        <w:softHyphen/>
        <w:t>чета записали: «Серийные самолеты Ту-2 постройки завода №166 по своим лет</w:t>
      </w:r>
      <w:r w:rsidRPr="008127F8">
        <w:rPr>
          <w:rFonts w:ascii="Times New Roman" w:hAnsi="Times New Roman"/>
          <w:color w:val="000000" w:themeColor="text1"/>
          <w:sz w:val="16"/>
          <w:szCs w:val="16"/>
          <w:lang w:eastAsia="ru-RU" w:bidi="ru-RU"/>
        </w:rPr>
        <w:softHyphen/>
        <w:t>ным свойствам, надежности работы мото</w:t>
      </w:r>
      <w:r w:rsidRPr="008127F8">
        <w:rPr>
          <w:rFonts w:ascii="Times New Roman" w:hAnsi="Times New Roman"/>
          <w:color w:val="000000" w:themeColor="text1"/>
          <w:sz w:val="16"/>
          <w:szCs w:val="16"/>
          <w:lang w:eastAsia="ru-RU" w:bidi="ru-RU"/>
        </w:rPr>
        <w:softHyphen/>
        <w:t>ров и вооружению могут быть использо</w:t>
      </w:r>
      <w:r w:rsidRPr="008127F8">
        <w:rPr>
          <w:rFonts w:ascii="Times New Roman" w:hAnsi="Times New Roman"/>
          <w:color w:val="000000" w:themeColor="text1"/>
          <w:sz w:val="16"/>
          <w:szCs w:val="16"/>
          <w:lang w:eastAsia="ru-RU" w:bidi="ru-RU"/>
        </w:rPr>
        <w:softHyphen/>
        <w:t>ваны в боевой работе...» Но вместе с тем высоту полета ограничили 5000 м (до ко</w:t>
      </w:r>
      <w:r w:rsidRPr="008127F8">
        <w:rPr>
          <w:rFonts w:ascii="Times New Roman" w:hAnsi="Times New Roman"/>
          <w:color w:val="000000" w:themeColor="text1"/>
          <w:sz w:val="16"/>
          <w:szCs w:val="16"/>
          <w:lang w:eastAsia="ru-RU" w:bidi="ru-RU"/>
        </w:rPr>
        <w:softHyphen/>
        <w:t>торой нормально работало БСМ-14). Ис</w:t>
      </w:r>
      <w:r w:rsidRPr="008127F8">
        <w:rPr>
          <w:rFonts w:ascii="Times New Roman" w:hAnsi="Times New Roman"/>
          <w:color w:val="000000" w:themeColor="text1"/>
          <w:sz w:val="16"/>
          <w:szCs w:val="16"/>
          <w:lang w:eastAsia="ru-RU" w:bidi="ru-RU"/>
        </w:rPr>
        <w:softHyphen/>
        <w:t>пользованию самолета в качестве пики</w:t>
      </w:r>
      <w:r w:rsidRPr="008127F8">
        <w:rPr>
          <w:rFonts w:ascii="Times New Roman" w:hAnsi="Times New Roman"/>
          <w:color w:val="000000" w:themeColor="text1"/>
          <w:sz w:val="16"/>
          <w:szCs w:val="16"/>
          <w:lang w:eastAsia="ru-RU" w:bidi="ru-RU"/>
        </w:rPr>
        <w:softHyphen/>
        <w:t>ровщика препятствовала перераскрутка винтов. Рекомендовали доработать не</w:t>
      </w:r>
      <w:r w:rsidRPr="008127F8">
        <w:rPr>
          <w:rFonts w:ascii="Times New Roman" w:hAnsi="Times New Roman"/>
          <w:color w:val="000000" w:themeColor="text1"/>
          <w:sz w:val="16"/>
          <w:szCs w:val="16"/>
          <w:lang w:eastAsia="ru-RU" w:bidi="ru-RU"/>
        </w:rPr>
        <w:softHyphen/>
        <w:t>надежные тормоза колес, а также уси</w:t>
      </w:r>
      <w:r w:rsidRPr="008127F8">
        <w:rPr>
          <w:rFonts w:ascii="Times New Roman" w:hAnsi="Times New Roman"/>
          <w:color w:val="000000" w:themeColor="text1"/>
          <w:sz w:val="16"/>
          <w:szCs w:val="16"/>
          <w:lang w:eastAsia="ru-RU" w:bidi="ru-RU"/>
        </w:rPr>
        <w:softHyphen/>
        <w:t>лить оборонительное вооружение. Дело в том, что огневая мощь пулеметов ШКАС уже считалась недостаточной. На пики</w:t>
      </w:r>
      <w:r w:rsidRPr="008127F8">
        <w:rPr>
          <w:rFonts w:ascii="Times New Roman" w:hAnsi="Times New Roman"/>
          <w:color w:val="000000" w:themeColor="text1"/>
          <w:sz w:val="16"/>
          <w:szCs w:val="16"/>
          <w:lang w:eastAsia="ru-RU" w:bidi="ru-RU"/>
        </w:rPr>
        <w:softHyphen/>
        <w:t>рующем бомбардировщике Пе-2 еще ле</w:t>
      </w:r>
      <w:r w:rsidRPr="008127F8">
        <w:rPr>
          <w:rFonts w:ascii="Times New Roman" w:hAnsi="Times New Roman"/>
          <w:color w:val="000000" w:themeColor="text1"/>
          <w:sz w:val="16"/>
          <w:szCs w:val="16"/>
          <w:lang w:eastAsia="ru-RU" w:bidi="ru-RU"/>
        </w:rPr>
        <w:softHyphen/>
        <w:t>том 1941 г. смонтировали два 12,7-мм пу</w:t>
      </w:r>
      <w:r w:rsidRPr="008127F8">
        <w:rPr>
          <w:rFonts w:ascii="Times New Roman" w:hAnsi="Times New Roman"/>
          <w:color w:val="000000" w:themeColor="text1"/>
          <w:sz w:val="16"/>
          <w:szCs w:val="16"/>
          <w:lang w:eastAsia="ru-RU" w:bidi="ru-RU"/>
        </w:rPr>
        <w:softHyphen/>
        <w:t>лемета - один неподвижный в носу фю</w:t>
      </w:r>
      <w:r w:rsidRPr="008127F8">
        <w:rPr>
          <w:rFonts w:ascii="Times New Roman" w:hAnsi="Times New Roman"/>
          <w:color w:val="000000" w:themeColor="text1"/>
          <w:sz w:val="16"/>
          <w:szCs w:val="16"/>
          <w:lang w:eastAsia="ru-RU" w:bidi="ru-RU"/>
        </w:rPr>
        <w:softHyphen/>
        <w:t>зеляжа, а второй - в люковой установке, стрелявшей вниз-назад. Позже к ним до</w:t>
      </w:r>
      <w:r w:rsidRPr="008127F8">
        <w:rPr>
          <w:rFonts w:ascii="Times New Roman" w:hAnsi="Times New Roman"/>
          <w:color w:val="000000" w:themeColor="text1"/>
          <w:sz w:val="16"/>
          <w:szCs w:val="16"/>
          <w:lang w:eastAsia="ru-RU" w:bidi="ru-RU"/>
        </w:rPr>
        <w:softHyphen/>
        <w:t>бавили еще один крупнокалиберный пу</w:t>
      </w:r>
      <w:r w:rsidRPr="008127F8">
        <w:rPr>
          <w:rFonts w:ascii="Times New Roman" w:hAnsi="Times New Roman"/>
          <w:color w:val="000000" w:themeColor="text1"/>
          <w:sz w:val="16"/>
          <w:szCs w:val="16"/>
          <w:lang w:eastAsia="ru-RU" w:bidi="ru-RU"/>
        </w:rPr>
        <w:softHyphen/>
        <w:t>лемет у штурмана и бортовой ШКАС у стрелка-радиста. Новое вооружение весьма эффективно использовалось на фронте, не позволяя немецким истреби</w:t>
      </w:r>
      <w:r w:rsidRPr="008127F8">
        <w:rPr>
          <w:rFonts w:ascii="Times New Roman" w:hAnsi="Times New Roman"/>
          <w:color w:val="000000" w:themeColor="text1"/>
          <w:sz w:val="16"/>
          <w:szCs w:val="16"/>
          <w:lang w:eastAsia="ru-RU" w:bidi="ru-RU"/>
        </w:rPr>
        <w:softHyphen/>
        <w:t>телям близко подходить к бомбардиров</w:t>
      </w:r>
      <w:r w:rsidRPr="008127F8">
        <w:rPr>
          <w:rFonts w:ascii="Times New Roman" w:hAnsi="Times New Roman"/>
          <w:color w:val="000000" w:themeColor="text1"/>
          <w:sz w:val="16"/>
          <w:szCs w:val="16"/>
          <w:lang w:eastAsia="ru-RU" w:bidi="ru-RU"/>
        </w:rPr>
        <w:softHyphen/>
        <w:t>щику. Усиление неподвижного вооруже</w:t>
      </w:r>
      <w:r w:rsidRPr="008127F8">
        <w:rPr>
          <w:rFonts w:ascii="Times New Roman" w:hAnsi="Times New Roman"/>
          <w:color w:val="000000" w:themeColor="text1"/>
          <w:sz w:val="16"/>
          <w:szCs w:val="16"/>
          <w:lang w:eastAsia="ru-RU" w:bidi="ru-RU"/>
        </w:rPr>
        <w:softHyphen/>
        <w:t>ния Ту-2 не требовалось: по секундному залпу он значительно превосходил Пе-2. Поэтому специалисты НИИ ВВС рекомен</w:t>
      </w:r>
      <w:r w:rsidRPr="008127F8">
        <w:rPr>
          <w:rFonts w:ascii="Times New Roman" w:hAnsi="Times New Roman"/>
          <w:color w:val="000000" w:themeColor="text1"/>
          <w:sz w:val="16"/>
          <w:szCs w:val="16"/>
          <w:lang w:eastAsia="ru-RU" w:bidi="ru-RU"/>
        </w:rPr>
        <w:softHyphen/>
        <w:t>довали поставить 12,7-мм пулеметы УБТ на обеих верхних установках - у штур</w:t>
      </w:r>
      <w:r w:rsidRPr="008127F8">
        <w:rPr>
          <w:rFonts w:ascii="Times New Roman" w:hAnsi="Times New Roman"/>
          <w:color w:val="000000" w:themeColor="text1"/>
          <w:sz w:val="16"/>
          <w:szCs w:val="16"/>
          <w:lang w:eastAsia="ru-RU" w:bidi="ru-RU"/>
        </w:rPr>
        <w:softHyphen/>
        <w:t>мана и стрелка-радиста.</w:t>
      </w:r>
    </w:p>
    <w:p w14:paraId="1CA0A4CE" w14:textId="77777777" w:rsidR="00FA5FDE" w:rsidRPr="008127F8" w:rsidRDefault="00FA5FDE" w:rsidP="00FA5FDE">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Недостатки тормозной системы не</w:t>
      </w:r>
      <w:r w:rsidRPr="008127F8">
        <w:rPr>
          <w:rFonts w:ascii="Times New Roman" w:hAnsi="Times New Roman"/>
          <w:color w:val="000000" w:themeColor="text1"/>
          <w:sz w:val="16"/>
          <w:szCs w:val="16"/>
          <w:lang w:eastAsia="ru-RU" w:bidi="ru-RU"/>
        </w:rPr>
        <w:softHyphen/>
        <w:t>однократно приводили к неуправляе</w:t>
      </w:r>
      <w:r w:rsidRPr="008127F8">
        <w:rPr>
          <w:rFonts w:ascii="Times New Roman" w:hAnsi="Times New Roman"/>
          <w:color w:val="000000" w:themeColor="text1"/>
          <w:sz w:val="16"/>
          <w:szCs w:val="16"/>
          <w:lang w:eastAsia="ru-RU" w:bidi="ru-RU"/>
        </w:rPr>
        <w:softHyphen/>
        <w:t>мому развороту на посадке. Так, при сдаточных испытаниях два раза под</w:t>
      </w:r>
      <w:r w:rsidRPr="008127F8">
        <w:rPr>
          <w:rFonts w:ascii="Times New Roman" w:hAnsi="Times New Roman"/>
          <w:color w:val="000000" w:themeColor="text1"/>
          <w:sz w:val="16"/>
          <w:szCs w:val="16"/>
          <w:lang w:eastAsia="ru-RU" w:bidi="ru-RU"/>
        </w:rPr>
        <w:softHyphen/>
        <w:t>ряд, 7 и 16 июля, потерпели аварии но</w:t>
      </w:r>
      <w:r w:rsidRPr="008127F8">
        <w:rPr>
          <w:rFonts w:ascii="Times New Roman" w:hAnsi="Times New Roman"/>
          <w:color w:val="000000" w:themeColor="text1"/>
          <w:sz w:val="16"/>
          <w:szCs w:val="16"/>
          <w:lang w:eastAsia="ru-RU" w:bidi="ru-RU"/>
        </w:rPr>
        <w:softHyphen/>
        <w:t>венькие бомбардировщики. Экипажи (летчиков Котякова и Бакина) не постра</w:t>
      </w:r>
      <w:r w:rsidRPr="008127F8">
        <w:rPr>
          <w:rFonts w:ascii="Times New Roman" w:hAnsi="Times New Roman"/>
          <w:color w:val="000000" w:themeColor="text1"/>
          <w:sz w:val="16"/>
          <w:szCs w:val="16"/>
          <w:lang w:eastAsia="ru-RU" w:bidi="ru-RU"/>
        </w:rPr>
        <w:softHyphen/>
        <w:t>дали. Например, у майора В.Д. Бакина машину №100303 вывернуло вправо, что привело к поломке стойки шасси. Бы</w:t>
      </w:r>
      <w:r w:rsidRPr="008127F8">
        <w:rPr>
          <w:rFonts w:ascii="Times New Roman" w:hAnsi="Times New Roman"/>
          <w:color w:val="000000" w:themeColor="text1"/>
          <w:sz w:val="16"/>
          <w:szCs w:val="16"/>
          <w:lang w:eastAsia="ru-RU" w:bidi="ru-RU"/>
        </w:rPr>
        <w:softHyphen/>
        <w:t>вали случаи, когда бомбардировщик де</w:t>
      </w:r>
      <w:r w:rsidRPr="008127F8">
        <w:rPr>
          <w:rFonts w:ascii="Times New Roman" w:hAnsi="Times New Roman"/>
          <w:color w:val="000000" w:themeColor="text1"/>
          <w:sz w:val="16"/>
          <w:szCs w:val="16"/>
          <w:lang w:eastAsia="ru-RU" w:bidi="ru-RU"/>
        </w:rPr>
        <w:softHyphen/>
        <w:t>лал на поле до двух кругов и оставался цел. Но чаще ломали шасси, винты, за- концовки крыла, мяли мотогондолы. Са</w:t>
      </w:r>
      <w:r w:rsidRPr="008127F8">
        <w:rPr>
          <w:rFonts w:ascii="Times New Roman" w:hAnsi="Times New Roman"/>
          <w:color w:val="000000" w:themeColor="text1"/>
          <w:sz w:val="16"/>
          <w:szCs w:val="16"/>
          <w:lang w:eastAsia="ru-RU" w:bidi="ru-RU"/>
        </w:rPr>
        <w:softHyphen/>
        <w:t>молет летчика Полевого после посадки с разворотом вспыхнул; экипаж успел выбраться и отбежать.</w:t>
      </w:r>
    </w:p>
    <w:p w14:paraId="59DF3DB0" w14:textId="77777777" w:rsidR="00FA5FDE" w:rsidRPr="008127F8" w:rsidRDefault="00FA5FDE" w:rsidP="00FA5FDE">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Дефекты серийных Ту-2 вызвали рас</w:t>
      </w:r>
      <w:r w:rsidRPr="008127F8">
        <w:rPr>
          <w:rFonts w:ascii="Times New Roman" w:hAnsi="Times New Roman"/>
          <w:color w:val="000000" w:themeColor="text1"/>
          <w:sz w:val="16"/>
          <w:szCs w:val="16"/>
          <w:lang w:eastAsia="ru-RU" w:bidi="ru-RU"/>
        </w:rPr>
        <w:softHyphen/>
        <w:t>поряжение командования ВВС прекра</w:t>
      </w:r>
      <w:r w:rsidRPr="008127F8">
        <w:rPr>
          <w:rFonts w:ascii="Times New Roman" w:hAnsi="Times New Roman"/>
          <w:color w:val="000000" w:themeColor="text1"/>
          <w:sz w:val="16"/>
          <w:szCs w:val="16"/>
          <w:lang w:eastAsia="ru-RU" w:bidi="ru-RU"/>
        </w:rPr>
        <w:softHyphen/>
        <w:t>тить приемку бомбардировщиков. НКАП направил на завод авторитетную комис</w:t>
      </w:r>
      <w:r w:rsidRPr="008127F8">
        <w:rPr>
          <w:rFonts w:ascii="Times New Roman" w:hAnsi="Times New Roman"/>
          <w:color w:val="000000" w:themeColor="text1"/>
          <w:sz w:val="16"/>
          <w:szCs w:val="16"/>
          <w:lang w:eastAsia="ru-RU" w:bidi="ru-RU"/>
        </w:rPr>
        <w:softHyphen/>
        <w:t>сию во главе с известным авиаконструк</w:t>
      </w:r>
      <w:r w:rsidRPr="008127F8">
        <w:rPr>
          <w:rFonts w:ascii="Times New Roman" w:hAnsi="Times New Roman"/>
          <w:color w:val="000000" w:themeColor="text1"/>
          <w:sz w:val="16"/>
          <w:szCs w:val="16"/>
          <w:lang w:eastAsia="ru-RU" w:bidi="ru-RU"/>
        </w:rPr>
        <w:softHyphen/>
        <w:t>тором Н.Н. Поликарповым. Члены комис</w:t>
      </w:r>
      <w:r w:rsidRPr="008127F8">
        <w:rPr>
          <w:rFonts w:ascii="Times New Roman" w:hAnsi="Times New Roman"/>
          <w:color w:val="000000" w:themeColor="text1"/>
          <w:sz w:val="16"/>
          <w:szCs w:val="16"/>
          <w:lang w:eastAsia="ru-RU" w:bidi="ru-RU"/>
        </w:rPr>
        <w:softHyphen/>
        <w:t>сии согласились с заводскими испытате</w:t>
      </w:r>
      <w:r w:rsidRPr="008127F8">
        <w:rPr>
          <w:rFonts w:ascii="Times New Roman" w:hAnsi="Times New Roman"/>
          <w:color w:val="000000" w:themeColor="text1"/>
          <w:sz w:val="16"/>
          <w:szCs w:val="16"/>
          <w:lang w:eastAsia="ru-RU" w:bidi="ru-RU"/>
        </w:rPr>
        <w:softHyphen/>
        <w:t>лями в том, что причиной разворотов на посадке является несинхронная работа тормозов правого и левого колес. Пред</w:t>
      </w:r>
      <w:r w:rsidRPr="008127F8">
        <w:rPr>
          <w:rFonts w:ascii="Times New Roman" w:hAnsi="Times New Roman"/>
          <w:color w:val="000000" w:themeColor="text1"/>
          <w:sz w:val="16"/>
          <w:szCs w:val="16"/>
          <w:lang w:eastAsia="ru-RU" w:bidi="ru-RU"/>
        </w:rPr>
        <w:softHyphen/>
        <w:t>ложено было заменить тормозную гидро</w:t>
      </w:r>
      <w:r w:rsidRPr="008127F8">
        <w:rPr>
          <w:rFonts w:ascii="Times New Roman" w:hAnsi="Times New Roman"/>
          <w:color w:val="000000" w:themeColor="text1"/>
          <w:sz w:val="16"/>
          <w:szCs w:val="16"/>
          <w:lang w:eastAsia="ru-RU" w:bidi="ru-RU"/>
        </w:rPr>
        <w:softHyphen/>
        <w:t>систему, скопированную туполевцами по настоянию ВВС с немецкого бомбарди</w:t>
      </w:r>
      <w:r w:rsidRPr="008127F8">
        <w:rPr>
          <w:rFonts w:ascii="Times New Roman" w:hAnsi="Times New Roman"/>
          <w:color w:val="000000" w:themeColor="text1"/>
          <w:sz w:val="16"/>
          <w:szCs w:val="16"/>
          <w:lang w:eastAsia="ru-RU" w:bidi="ru-RU"/>
        </w:rPr>
        <w:softHyphen/>
        <w:t xml:space="preserve">ровщика </w:t>
      </w:r>
      <w:r w:rsidRPr="008127F8">
        <w:rPr>
          <w:rFonts w:ascii="Times New Roman" w:hAnsi="Times New Roman"/>
          <w:color w:val="000000" w:themeColor="text1"/>
          <w:sz w:val="16"/>
          <w:szCs w:val="16"/>
          <w:lang w:val="en-US" w:bidi="en-US"/>
        </w:rPr>
        <w:t>Ju</w:t>
      </w:r>
      <w:r w:rsidRPr="008127F8">
        <w:rPr>
          <w:rFonts w:ascii="Times New Roman" w:hAnsi="Times New Roman"/>
          <w:color w:val="000000" w:themeColor="text1"/>
          <w:sz w:val="16"/>
          <w:szCs w:val="16"/>
          <w:lang w:bidi="en-US"/>
        </w:rPr>
        <w:t xml:space="preserve"> </w:t>
      </w:r>
      <w:r w:rsidRPr="008127F8">
        <w:rPr>
          <w:rFonts w:ascii="Times New Roman" w:hAnsi="Times New Roman"/>
          <w:color w:val="000000" w:themeColor="text1"/>
          <w:sz w:val="16"/>
          <w:szCs w:val="16"/>
          <w:lang w:eastAsia="ru-RU" w:bidi="ru-RU"/>
        </w:rPr>
        <w:t>88А, на более надежную, при</w:t>
      </w:r>
      <w:r w:rsidRPr="008127F8">
        <w:rPr>
          <w:rFonts w:ascii="Times New Roman" w:hAnsi="Times New Roman"/>
          <w:color w:val="000000" w:themeColor="text1"/>
          <w:sz w:val="16"/>
          <w:szCs w:val="16"/>
          <w:lang w:eastAsia="ru-RU" w:bidi="ru-RU"/>
        </w:rPr>
        <w:softHyphen/>
        <w:t>менявшуюся на самолетах фирмы «Дуг</w:t>
      </w:r>
      <w:r w:rsidRPr="008127F8">
        <w:rPr>
          <w:rFonts w:ascii="Times New Roman" w:hAnsi="Times New Roman"/>
          <w:color w:val="000000" w:themeColor="text1"/>
          <w:sz w:val="16"/>
          <w:szCs w:val="16"/>
          <w:lang w:eastAsia="ru-RU" w:bidi="ru-RU"/>
        </w:rPr>
        <w:softHyphen/>
        <w:t>лас». В качестве же временного решения попробовали на пробеге стопорить хво</w:t>
      </w:r>
      <w:r w:rsidRPr="008127F8">
        <w:rPr>
          <w:rFonts w:ascii="Times New Roman" w:hAnsi="Times New Roman"/>
          <w:color w:val="000000" w:themeColor="text1"/>
          <w:sz w:val="16"/>
          <w:szCs w:val="16"/>
          <w:lang w:eastAsia="ru-RU" w:bidi="ru-RU"/>
        </w:rPr>
        <w:softHyphen/>
        <w:t>стовое колесо. На Ту-2 имелся автомати</w:t>
      </w:r>
      <w:r w:rsidRPr="008127F8">
        <w:rPr>
          <w:rFonts w:ascii="Times New Roman" w:hAnsi="Times New Roman"/>
          <w:color w:val="000000" w:themeColor="text1"/>
          <w:sz w:val="16"/>
          <w:szCs w:val="16"/>
          <w:lang w:eastAsia="ru-RU" w:bidi="ru-RU"/>
        </w:rPr>
        <w:softHyphen/>
        <w:t>ческий стопор, который должен был фик</w:t>
      </w:r>
      <w:r w:rsidRPr="008127F8">
        <w:rPr>
          <w:rFonts w:ascii="Times New Roman" w:hAnsi="Times New Roman"/>
          <w:color w:val="000000" w:themeColor="text1"/>
          <w:sz w:val="16"/>
          <w:szCs w:val="16"/>
          <w:lang w:eastAsia="ru-RU" w:bidi="ru-RU"/>
        </w:rPr>
        <w:softHyphen/>
        <w:t>сировать стойку хвостового колеса при резких ее разворотах, но срабатывал он далеко не всегда. С 20 июля заводские испытатели стали садиться с включенным механическим стопором хвостового ко</w:t>
      </w:r>
      <w:r w:rsidRPr="008127F8">
        <w:rPr>
          <w:rFonts w:ascii="Times New Roman" w:hAnsi="Times New Roman"/>
          <w:color w:val="000000" w:themeColor="text1"/>
          <w:sz w:val="16"/>
          <w:szCs w:val="16"/>
          <w:lang w:eastAsia="ru-RU" w:bidi="ru-RU"/>
        </w:rPr>
        <w:softHyphen/>
        <w:t>леса. Управляемость машины на пробеге значительно улучшилась.</w:t>
      </w:r>
    </w:p>
    <w:p w14:paraId="644E7462" w14:textId="77777777" w:rsidR="00FA5FDE" w:rsidRPr="008127F8" w:rsidRDefault="00FA5FDE" w:rsidP="00FA5FDE">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Еще одной серьезной проблемой яв</w:t>
      </w:r>
      <w:r w:rsidRPr="008127F8">
        <w:rPr>
          <w:rFonts w:ascii="Times New Roman" w:hAnsi="Times New Roman"/>
          <w:color w:val="000000" w:themeColor="text1"/>
          <w:sz w:val="16"/>
          <w:szCs w:val="16"/>
          <w:lang w:eastAsia="ru-RU" w:bidi="ru-RU"/>
        </w:rPr>
        <w:softHyphen/>
        <w:t>лялись двигатели. Моторы М-82А, хотя и выпускались серийно, еще оставались достаточно «сырыми». На высоте более 6000 м они недодавали мощность, стра</w:t>
      </w:r>
      <w:r w:rsidRPr="008127F8">
        <w:rPr>
          <w:rFonts w:ascii="Times New Roman" w:hAnsi="Times New Roman"/>
          <w:color w:val="000000" w:themeColor="text1"/>
          <w:sz w:val="16"/>
          <w:szCs w:val="16"/>
          <w:lang w:eastAsia="ru-RU" w:bidi="ru-RU"/>
        </w:rPr>
        <w:softHyphen/>
        <w:t>дали значительными вибрациями и рас</w:t>
      </w:r>
      <w:r w:rsidRPr="008127F8">
        <w:rPr>
          <w:rFonts w:ascii="Times New Roman" w:hAnsi="Times New Roman"/>
          <w:color w:val="000000" w:themeColor="text1"/>
          <w:sz w:val="16"/>
          <w:szCs w:val="16"/>
          <w:lang w:eastAsia="ru-RU" w:bidi="ru-RU"/>
        </w:rPr>
        <w:softHyphen/>
        <w:t>ходовали много масла. Хотя за это отве</w:t>
      </w:r>
      <w:r w:rsidRPr="008127F8">
        <w:rPr>
          <w:rFonts w:ascii="Times New Roman" w:hAnsi="Times New Roman"/>
          <w:color w:val="000000" w:themeColor="text1"/>
          <w:sz w:val="16"/>
          <w:szCs w:val="16"/>
          <w:lang w:eastAsia="ru-RU" w:bidi="ru-RU"/>
        </w:rPr>
        <w:softHyphen/>
        <w:t>чал их конструктор А.Д. Швецов и завод №19, дефекты мотоустановки сильно ска</w:t>
      </w:r>
      <w:r w:rsidRPr="008127F8">
        <w:rPr>
          <w:rFonts w:ascii="Times New Roman" w:hAnsi="Times New Roman"/>
          <w:color w:val="000000" w:themeColor="text1"/>
          <w:sz w:val="16"/>
          <w:szCs w:val="16"/>
          <w:lang w:eastAsia="ru-RU" w:bidi="ru-RU"/>
        </w:rPr>
        <w:softHyphen/>
        <w:t>зывались на летных и эксплуатационных характеристиках Ту-2.</w:t>
      </w:r>
    </w:p>
    <w:p w14:paraId="30D3BF93" w14:textId="77777777" w:rsidR="00FA5FDE" w:rsidRPr="008127F8" w:rsidRDefault="00FA5FDE" w:rsidP="00FA5FDE">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Кроме того, комиссия подвергла кри</w:t>
      </w:r>
      <w:r w:rsidRPr="008127F8">
        <w:rPr>
          <w:rFonts w:ascii="Times New Roman" w:hAnsi="Times New Roman"/>
          <w:color w:val="000000" w:themeColor="text1"/>
          <w:sz w:val="16"/>
          <w:szCs w:val="16"/>
          <w:lang w:eastAsia="ru-RU" w:bidi="ru-RU"/>
        </w:rPr>
        <w:softHyphen/>
        <w:t>тике чрезмерный вес серийных машин. Весовая отдача у них при нормальной бомбовой нагрузке не превышала 27,5%, в то время как у других самолетов та</w:t>
      </w:r>
      <w:r w:rsidRPr="008127F8">
        <w:rPr>
          <w:rFonts w:ascii="Times New Roman" w:hAnsi="Times New Roman"/>
          <w:color w:val="000000" w:themeColor="text1"/>
          <w:sz w:val="16"/>
          <w:szCs w:val="16"/>
          <w:lang w:eastAsia="ru-RU" w:bidi="ru-RU"/>
        </w:rPr>
        <w:softHyphen/>
        <w:t>кого же класса она составляла около 30%. Это была плата за возможность бомбить с крутого пикирования.</w:t>
      </w:r>
    </w:p>
    <w:p w14:paraId="46693A6D" w14:textId="77777777" w:rsidR="00FA5FDE" w:rsidRPr="008127F8" w:rsidRDefault="00FA5FDE" w:rsidP="00FA5FDE">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Но в целом Поликарпов и его кол</w:t>
      </w:r>
      <w:r w:rsidRPr="008127F8">
        <w:rPr>
          <w:rFonts w:ascii="Times New Roman" w:hAnsi="Times New Roman"/>
          <w:color w:val="000000" w:themeColor="text1"/>
          <w:sz w:val="16"/>
          <w:szCs w:val="16"/>
          <w:lang w:eastAsia="ru-RU" w:bidi="ru-RU"/>
        </w:rPr>
        <w:softHyphen/>
        <w:t>леги поддержали Туполева. В Москву от</w:t>
      </w:r>
      <w:r w:rsidRPr="008127F8">
        <w:rPr>
          <w:rFonts w:ascii="Times New Roman" w:hAnsi="Times New Roman"/>
          <w:color w:val="000000" w:themeColor="text1"/>
          <w:sz w:val="16"/>
          <w:szCs w:val="16"/>
          <w:lang w:eastAsia="ru-RU" w:bidi="ru-RU"/>
        </w:rPr>
        <w:softHyphen/>
        <w:t>правили документ, в котором, в частно</w:t>
      </w:r>
      <w:r w:rsidRPr="008127F8">
        <w:rPr>
          <w:rFonts w:ascii="Times New Roman" w:hAnsi="Times New Roman"/>
          <w:color w:val="000000" w:themeColor="text1"/>
          <w:sz w:val="16"/>
          <w:szCs w:val="16"/>
          <w:lang w:eastAsia="ru-RU" w:bidi="ru-RU"/>
        </w:rPr>
        <w:softHyphen/>
        <w:t>сти, говорилось: «... самолет Ту-2 по своим летно-тактическим данным превосходит современные серийные советские и за</w:t>
      </w:r>
      <w:r w:rsidRPr="008127F8">
        <w:rPr>
          <w:rFonts w:ascii="Times New Roman" w:hAnsi="Times New Roman"/>
          <w:color w:val="000000" w:themeColor="text1"/>
          <w:sz w:val="16"/>
          <w:szCs w:val="16"/>
          <w:lang w:eastAsia="ru-RU" w:bidi="ru-RU"/>
        </w:rPr>
        <w:softHyphen/>
        <w:t>граничные бомбардировщики». Комиссия сочла, что при устранении основных де</w:t>
      </w:r>
      <w:r w:rsidRPr="008127F8">
        <w:rPr>
          <w:rFonts w:ascii="Times New Roman" w:hAnsi="Times New Roman"/>
          <w:color w:val="000000" w:themeColor="text1"/>
          <w:sz w:val="16"/>
          <w:szCs w:val="16"/>
          <w:lang w:eastAsia="ru-RU" w:bidi="ru-RU"/>
        </w:rPr>
        <w:softHyphen/>
        <w:t>фектов самолет сможет успешно выпол</w:t>
      </w:r>
      <w:r w:rsidRPr="008127F8">
        <w:rPr>
          <w:rFonts w:ascii="Times New Roman" w:hAnsi="Times New Roman"/>
          <w:color w:val="000000" w:themeColor="text1"/>
          <w:sz w:val="16"/>
          <w:szCs w:val="16"/>
          <w:lang w:eastAsia="ru-RU" w:bidi="ru-RU"/>
        </w:rPr>
        <w:softHyphen/>
        <w:t>нять боевые задачи.</w:t>
      </w:r>
    </w:p>
    <w:p w14:paraId="4DF34123" w14:textId="77777777" w:rsidR="00FA5FDE" w:rsidRPr="008127F8" w:rsidRDefault="00FA5FDE" w:rsidP="00FA5FDE">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Приемка бомбардировщиков возоб</w:t>
      </w:r>
      <w:r w:rsidRPr="008127F8">
        <w:rPr>
          <w:rFonts w:ascii="Times New Roman" w:hAnsi="Times New Roman"/>
          <w:color w:val="000000" w:themeColor="text1"/>
          <w:sz w:val="16"/>
          <w:szCs w:val="16"/>
          <w:lang w:eastAsia="ru-RU" w:bidi="ru-RU"/>
        </w:rPr>
        <w:softHyphen/>
        <w:t>новилась. Реагируя на требования воен</w:t>
      </w:r>
      <w:r w:rsidRPr="008127F8">
        <w:rPr>
          <w:rFonts w:ascii="Times New Roman" w:hAnsi="Times New Roman"/>
          <w:color w:val="000000" w:themeColor="text1"/>
          <w:sz w:val="16"/>
          <w:szCs w:val="16"/>
          <w:lang w:eastAsia="ru-RU" w:bidi="ru-RU"/>
        </w:rPr>
        <w:softHyphen/>
        <w:t>ных, завод вносил изменения в строящи</w:t>
      </w:r>
      <w:r w:rsidRPr="008127F8">
        <w:rPr>
          <w:rFonts w:ascii="Times New Roman" w:hAnsi="Times New Roman"/>
          <w:color w:val="000000" w:themeColor="text1"/>
          <w:sz w:val="16"/>
          <w:szCs w:val="16"/>
          <w:lang w:eastAsia="ru-RU" w:bidi="ru-RU"/>
        </w:rPr>
        <w:softHyphen/>
        <w:t>еся бомбардировщики. С 5-й серии (июль- август 1942 г.) внедрили тормоза типа «Дуглас» (21061).</w:t>
      </w:r>
    </w:p>
    <w:p w14:paraId="0816B7E1" w14:textId="77777777" w:rsidR="00FA5FDE" w:rsidRPr="008127F8" w:rsidRDefault="00FA5FDE" w:rsidP="00FA5FDE">
      <w:pPr>
        <w:spacing w:after="0" w:line="240" w:lineRule="auto"/>
        <w:jc w:val="both"/>
        <w:rPr>
          <w:rFonts w:ascii="Times New Roman" w:hAnsi="Times New Roman"/>
          <w:color w:val="000000" w:themeColor="text1"/>
          <w:sz w:val="16"/>
          <w:szCs w:val="16"/>
        </w:rPr>
      </w:pPr>
    </w:p>
    <w:p w14:paraId="2AE3838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мая 1942 А.А.Новиков, А.И.Шахурин, А.E.Репин писали И.В.С. "О результатах испытаний ЛаГГ-3 с М-82" Резолюция И.В.С. от 18 мая: "Тов. Шахурину Пока рано говорить о "запуске" в серию: недостатки еще не устранены и самолет бесспорно еще не готов для того, чтобы можно было говорить серьезно о запуске в серию (926,9).</w:t>
      </w:r>
    </w:p>
    <w:p w14:paraId="753943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E282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мая 1942 на стол И.В.Сталину легла док</w:t>
      </w:r>
      <w:r w:rsidRPr="008127F8">
        <w:rPr>
          <w:rFonts w:ascii="Times New Roman" w:hAnsi="Times New Roman"/>
          <w:color w:val="000000" w:themeColor="text1"/>
          <w:sz w:val="16"/>
          <w:szCs w:val="16"/>
        </w:rPr>
        <w:softHyphen/>
        <w:t>ладная записка за подписями нарко</w:t>
      </w:r>
      <w:r w:rsidRPr="008127F8">
        <w:rPr>
          <w:rFonts w:ascii="Times New Roman" w:hAnsi="Times New Roman"/>
          <w:color w:val="000000" w:themeColor="text1"/>
          <w:sz w:val="16"/>
          <w:szCs w:val="16"/>
        </w:rPr>
        <w:softHyphen/>
        <w:t>ма А.И. Шахурина и недавно назна</w:t>
      </w:r>
      <w:r w:rsidRPr="008127F8">
        <w:rPr>
          <w:rFonts w:ascii="Times New Roman" w:hAnsi="Times New Roman"/>
          <w:color w:val="000000" w:themeColor="text1"/>
          <w:sz w:val="16"/>
          <w:szCs w:val="16"/>
        </w:rPr>
        <w:softHyphen/>
        <w:t>ченных нового командующего ВВС А.А. Новикова и нового главного инжене</w:t>
      </w:r>
      <w:r w:rsidRPr="008127F8">
        <w:rPr>
          <w:rFonts w:ascii="Times New Roman" w:hAnsi="Times New Roman"/>
          <w:color w:val="000000" w:themeColor="text1"/>
          <w:sz w:val="16"/>
          <w:szCs w:val="16"/>
        </w:rPr>
        <w:softHyphen/>
        <w:t>ра ВВС А.К. Репина о результатах совместных испытаний ЛаГГ-3 с М-82, в которой были зафиксированы сле</w:t>
      </w:r>
      <w:r w:rsidRPr="008127F8">
        <w:rPr>
          <w:rFonts w:ascii="Times New Roman" w:hAnsi="Times New Roman"/>
          <w:color w:val="000000" w:themeColor="text1"/>
          <w:sz w:val="16"/>
          <w:szCs w:val="16"/>
        </w:rPr>
        <w:softHyphen/>
        <w:t>дующие данные: максимальная ско</w:t>
      </w:r>
      <w:r w:rsidRPr="008127F8">
        <w:rPr>
          <w:rFonts w:ascii="Times New Roman" w:hAnsi="Times New Roman"/>
          <w:color w:val="000000" w:themeColor="text1"/>
          <w:sz w:val="16"/>
          <w:szCs w:val="16"/>
        </w:rPr>
        <w:softHyphen/>
        <w:t>рость у земли на номинале - 515 км/ч, на форсаже на высоте 600 м -560 км/ч, на 1-й границе высотности 3200 м - 576 км/ч, на 2-й границе высотности 6450 м - 600 км/ч, время набора высоты 5000 м на форсаже - 5,2 мин, на номинале - 6,0 мин. Было указано, что «летные данные са</w:t>
      </w:r>
      <w:r w:rsidRPr="008127F8">
        <w:rPr>
          <w:rFonts w:ascii="Times New Roman" w:hAnsi="Times New Roman"/>
          <w:color w:val="000000" w:themeColor="text1"/>
          <w:sz w:val="16"/>
          <w:szCs w:val="16"/>
        </w:rPr>
        <w:softHyphen/>
        <w:t>молета ЛАГГ-3 с М-82 выше летных данных, как истребительных самоле</w:t>
      </w:r>
      <w:r w:rsidRPr="008127F8">
        <w:rPr>
          <w:rFonts w:ascii="Times New Roman" w:hAnsi="Times New Roman"/>
          <w:color w:val="000000" w:themeColor="text1"/>
          <w:sz w:val="16"/>
          <w:szCs w:val="16"/>
        </w:rPr>
        <w:softHyphen/>
        <w:t>тов, состоящих на вооружении ВВС КА, так и последнего истребителя Вт 109Г». Из дефектов самолета было указано три: по-прежнему тяжелое управление самолетом, отсутствие передних жалюзи мотора, что приво</w:t>
      </w:r>
      <w:r w:rsidRPr="008127F8">
        <w:rPr>
          <w:rFonts w:ascii="Times New Roman" w:hAnsi="Times New Roman"/>
          <w:color w:val="000000" w:themeColor="text1"/>
          <w:sz w:val="16"/>
          <w:szCs w:val="16"/>
        </w:rPr>
        <w:softHyphen/>
        <w:t>дило к переохлаждению масла на планировании, и недоведенность уп</w:t>
      </w:r>
      <w:r w:rsidRPr="008127F8">
        <w:rPr>
          <w:rFonts w:ascii="Times New Roman" w:hAnsi="Times New Roman"/>
          <w:color w:val="000000" w:themeColor="text1"/>
          <w:sz w:val="16"/>
          <w:szCs w:val="16"/>
        </w:rPr>
        <w:softHyphen/>
        <w:t>равления мотором в части обеспе</w:t>
      </w:r>
      <w:r w:rsidRPr="008127F8">
        <w:rPr>
          <w:rFonts w:ascii="Times New Roman" w:hAnsi="Times New Roman"/>
          <w:color w:val="000000" w:themeColor="text1"/>
          <w:sz w:val="16"/>
          <w:szCs w:val="16"/>
        </w:rPr>
        <w:softHyphen/>
        <w:t>чения малого газа на планировании. «Учитывая сравнительно высокие лет-но-тактические данные самолета ЛАГГ-3 с М-82, налаженность серий</w:t>
      </w:r>
      <w:r w:rsidRPr="008127F8">
        <w:rPr>
          <w:rFonts w:ascii="Times New Roman" w:hAnsi="Times New Roman"/>
          <w:color w:val="000000" w:themeColor="text1"/>
          <w:sz w:val="16"/>
          <w:szCs w:val="16"/>
        </w:rPr>
        <w:softHyphen/>
        <w:t>ного производства ЛАГГ-3, все детали которого используются для данного самолета, за исключением моторной рамы и капотов, а также наличие боль</w:t>
      </w:r>
      <w:r w:rsidRPr="008127F8">
        <w:rPr>
          <w:rFonts w:ascii="Times New Roman" w:hAnsi="Times New Roman"/>
          <w:color w:val="000000" w:themeColor="text1"/>
          <w:sz w:val="16"/>
          <w:szCs w:val="16"/>
        </w:rPr>
        <w:softHyphen/>
        <w:t>шого запаса моторов М-82 на заво</w:t>
      </w:r>
      <w:r w:rsidRPr="008127F8">
        <w:rPr>
          <w:rFonts w:ascii="Times New Roman" w:hAnsi="Times New Roman"/>
          <w:color w:val="000000" w:themeColor="text1"/>
          <w:sz w:val="16"/>
          <w:szCs w:val="16"/>
        </w:rPr>
        <w:softHyphen/>
        <w:t>де № 19, считаем целесообразным запустить ЛАГГ-3 с М-82 в серийное производство» - заключали руково</w:t>
      </w:r>
      <w:r w:rsidRPr="008127F8">
        <w:rPr>
          <w:rFonts w:ascii="Times New Roman" w:hAnsi="Times New Roman"/>
          <w:color w:val="000000" w:themeColor="text1"/>
          <w:sz w:val="16"/>
          <w:szCs w:val="16"/>
        </w:rPr>
        <w:softHyphen/>
        <w:t>дители НКАП и ВВС. И.В.Сталин на этой записке собственноручно начер</w:t>
      </w:r>
      <w:r w:rsidRPr="008127F8">
        <w:rPr>
          <w:rFonts w:ascii="Times New Roman" w:hAnsi="Times New Roman"/>
          <w:color w:val="000000" w:themeColor="text1"/>
          <w:sz w:val="16"/>
          <w:szCs w:val="16"/>
        </w:rPr>
        <w:softHyphen/>
        <w:t>тал: «Т-ту Шахурину. Пока рано го</w:t>
      </w:r>
      <w:r w:rsidRPr="008127F8">
        <w:rPr>
          <w:rFonts w:ascii="Times New Roman" w:hAnsi="Times New Roman"/>
          <w:color w:val="000000" w:themeColor="text1"/>
          <w:sz w:val="16"/>
          <w:szCs w:val="16"/>
        </w:rPr>
        <w:softHyphen/>
        <w:t>ворить о «запуске» в серию: недо</w:t>
      </w:r>
      <w:r w:rsidRPr="008127F8">
        <w:rPr>
          <w:rFonts w:ascii="Times New Roman" w:hAnsi="Times New Roman"/>
          <w:color w:val="000000" w:themeColor="text1"/>
          <w:sz w:val="16"/>
          <w:szCs w:val="16"/>
        </w:rPr>
        <w:softHyphen/>
        <w:t>статки еще не устранены и самолет бесспорно еще не готов для того, чтобы можно было говорить серьезно о запуске в серию. И. Сталин» (10686).</w:t>
      </w:r>
    </w:p>
    <w:p w14:paraId="7CC093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EDCC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17-18 мая 1942 года Новиков, Шахурин, Репин писали письмо № 330273 и № 2823 Сталину.</w:t>
      </w:r>
    </w:p>
    <w:p w14:paraId="77CB52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Докладываем результаты совместных испытаний самолета ЛАГГ-3 с мотором М-82 проведенных НИИ ВВС и ЛИИ НКАП на заводе N 21 в г. Горьком.</w:t>
      </w:r>
    </w:p>
    <w:p w14:paraId="4E289F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испытание был предъявлен самолет ЛАГГ-3 с мотором М-82, отличающийся от серийного самолета ЛАГГ-3 измененной винтомоторной группой, вооружением и не значительным изменением фюзеляжа самолета.</w:t>
      </w:r>
    </w:p>
    <w:p w14:paraId="078033E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имеет две синхронных пушки "ШВАК" калибра 20 мм с боекомплектом по 170 снарядов на каждую пушку.</w:t>
      </w:r>
    </w:p>
    <w:p w14:paraId="5C543E5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Получены основные данные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C5583" w:rsidRPr="008127F8" w14:paraId="44D4C18A" w14:textId="77777777" w:rsidTr="004C5D62">
        <w:tc>
          <w:tcPr>
            <w:tcW w:w="5636" w:type="dxa"/>
            <w:tcBorders>
              <w:top w:val="single" w:sz="12" w:space="0" w:color="auto"/>
            </w:tcBorders>
          </w:tcPr>
          <w:p w14:paraId="26E99C5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у земли</w:t>
            </w:r>
          </w:p>
        </w:tc>
        <w:tc>
          <w:tcPr>
            <w:tcW w:w="5636" w:type="dxa"/>
            <w:tcBorders>
              <w:top w:val="single" w:sz="12" w:space="0" w:color="auto"/>
            </w:tcBorders>
          </w:tcPr>
          <w:p w14:paraId="6B1FFA5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515 км/час</w:t>
            </w:r>
          </w:p>
        </w:tc>
      </w:tr>
      <w:tr w:rsidR="007C5583" w:rsidRPr="008127F8" w14:paraId="7FE63636" w14:textId="77777777" w:rsidTr="004C5D62">
        <w:tc>
          <w:tcPr>
            <w:tcW w:w="5636" w:type="dxa"/>
          </w:tcPr>
          <w:p w14:paraId="3111996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B380A0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форсажем</w:t>
            </w:r>
          </w:p>
        </w:tc>
      </w:tr>
      <w:tr w:rsidR="007C5583" w:rsidRPr="008127F8" w14:paraId="0C980BAD" w14:textId="77777777" w:rsidTr="004C5D62">
        <w:tc>
          <w:tcPr>
            <w:tcW w:w="5636" w:type="dxa"/>
          </w:tcPr>
          <w:p w14:paraId="3DBABD3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высоте 600 м - 5 минут</w:t>
            </w:r>
          </w:p>
        </w:tc>
        <w:tc>
          <w:tcPr>
            <w:tcW w:w="5636" w:type="dxa"/>
          </w:tcPr>
          <w:p w14:paraId="3FFA9E4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560 км/час</w:t>
            </w:r>
          </w:p>
        </w:tc>
      </w:tr>
      <w:tr w:rsidR="007C5583" w:rsidRPr="008127F8" w14:paraId="14460EE6" w14:textId="77777777" w:rsidTr="004C5D62">
        <w:tc>
          <w:tcPr>
            <w:tcW w:w="5636" w:type="dxa"/>
          </w:tcPr>
          <w:p w14:paraId="4004B08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на 1</w:t>
            </w:r>
          </w:p>
        </w:tc>
        <w:tc>
          <w:tcPr>
            <w:tcW w:w="5636" w:type="dxa"/>
          </w:tcPr>
          <w:p w14:paraId="0EF6271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FEE8553" w14:textId="77777777" w:rsidTr="004C5D62">
        <w:tc>
          <w:tcPr>
            <w:tcW w:w="5636" w:type="dxa"/>
          </w:tcPr>
          <w:p w14:paraId="5EB63ED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границе высотности 3200 м</w:t>
            </w:r>
          </w:p>
        </w:tc>
        <w:tc>
          <w:tcPr>
            <w:tcW w:w="5636" w:type="dxa"/>
          </w:tcPr>
          <w:p w14:paraId="1096455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576 км/час</w:t>
            </w:r>
          </w:p>
        </w:tc>
      </w:tr>
      <w:tr w:rsidR="007C5583" w:rsidRPr="008127F8" w14:paraId="6BB554FE" w14:textId="77777777" w:rsidTr="004C5D62">
        <w:tc>
          <w:tcPr>
            <w:tcW w:w="5636" w:type="dxa"/>
          </w:tcPr>
          <w:p w14:paraId="2C7DAAE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на 2</w:t>
            </w:r>
          </w:p>
        </w:tc>
        <w:tc>
          <w:tcPr>
            <w:tcW w:w="5636" w:type="dxa"/>
          </w:tcPr>
          <w:p w14:paraId="6C11389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9FAED56" w14:textId="77777777" w:rsidTr="004C5D62">
        <w:tc>
          <w:tcPr>
            <w:tcW w:w="5636" w:type="dxa"/>
          </w:tcPr>
          <w:p w14:paraId="268A879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границе высотности 6450 м</w:t>
            </w:r>
          </w:p>
        </w:tc>
        <w:tc>
          <w:tcPr>
            <w:tcW w:w="5636" w:type="dxa"/>
          </w:tcPr>
          <w:p w14:paraId="2B80745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 км/час</w:t>
            </w:r>
          </w:p>
        </w:tc>
      </w:tr>
      <w:tr w:rsidR="007C5583" w:rsidRPr="008127F8" w14:paraId="178BC549" w14:textId="77777777" w:rsidTr="004C5D62">
        <w:tc>
          <w:tcPr>
            <w:tcW w:w="5636" w:type="dxa"/>
          </w:tcPr>
          <w:p w14:paraId="2A6FF90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виража на высоте 1000 м</w:t>
            </w:r>
          </w:p>
        </w:tc>
        <w:tc>
          <w:tcPr>
            <w:tcW w:w="5636" w:type="dxa"/>
          </w:tcPr>
          <w:p w14:paraId="24B0391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сек.</w:t>
            </w:r>
          </w:p>
        </w:tc>
      </w:tr>
      <w:tr w:rsidR="007C5583" w:rsidRPr="008127F8" w14:paraId="70293437" w14:textId="77777777" w:rsidTr="004C5D62">
        <w:tc>
          <w:tcPr>
            <w:tcW w:w="5636" w:type="dxa"/>
          </w:tcPr>
          <w:p w14:paraId="681C3A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набора высоты 5000 м</w:t>
            </w:r>
          </w:p>
        </w:tc>
        <w:tc>
          <w:tcPr>
            <w:tcW w:w="5636" w:type="dxa"/>
          </w:tcPr>
          <w:p w14:paraId="1DF8E30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мин.</w:t>
            </w:r>
          </w:p>
        </w:tc>
      </w:tr>
      <w:tr w:rsidR="007C5583" w:rsidRPr="008127F8" w14:paraId="17791A6C" w14:textId="77777777" w:rsidTr="004C5D62">
        <w:tc>
          <w:tcPr>
            <w:tcW w:w="5636" w:type="dxa"/>
          </w:tcPr>
          <w:p w14:paraId="77C50B2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c форсажем</w:t>
            </w:r>
          </w:p>
        </w:tc>
        <w:tc>
          <w:tcPr>
            <w:tcW w:w="5636" w:type="dxa"/>
          </w:tcPr>
          <w:p w14:paraId="5D4ABE7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 мин.</w:t>
            </w:r>
          </w:p>
        </w:tc>
      </w:tr>
      <w:tr w:rsidR="007C5583" w:rsidRPr="008127F8" w14:paraId="5F933271" w14:textId="77777777" w:rsidTr="004C5D62">
        <w:tc>
          <w:tcPr>
            <w:tcW w:w="5636" w:type="dxa"/>
          </w:tcPr>
          <w:p w14:paraId="1BF7502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Техническая дальность на скорости</w:t>
            </w:r>
          </w:p>
        </w:tc>
        <w:tc>
          <w:tcPr>
            <w:tcW w:w="5636" w:type="dxa"/>
          </w:tcPr>
          <w:p w14:paraId="79CA43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CE11834" w14:textId="77777777" w:rsidTr="004C5D62">
        <w:tc>
          <w:tcPr>
            <w:tcW w:w="5636" w:type="dxa"/>
          </w:tcPr>
          <w:p w14:paraId="2D02F6C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(0,9 макс.) 470 км/час на высоте</w:t>
            </w:r>
          </w:p>
        </w:tc>
        <w:tc>
          <w:tcPr>
            <w:tcW w:w="5636" w:type="dxa"/>
          </w:tcPr>
          <w:p w14:paraId="65C25FC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333D937" w14:textId="77777777" w:rsidTr="004C5D62">
        <w:tc>
          <w:tcPr>
            <w:tcW w:w="5636" w:type="dxa"/>
          </w:tcPr>
          <w:p w14:paraId="126A649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 м</w:t>
            </w:r>
          </w:p>
        </w:tc>
        <w:tc>
          <w:tcPr>
            <w:tcW w:w="5636" w:type="dxa"/>
          </w:tcPr>
          <w:p w14:paraId="16A2160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655 км</w:t>
            </w:r>
          </w:p>
        </w:tc>
      </w:tr>
      <w:tr w:rsidR="007C5583" w:rsidRPr="008127F8" w14:paraId="39F8934D" w14:textId="77777777" w:rsidTr="004C5D62">
        <w:tc>
          <w:tcPr>
            <w:tcW w:w="5636" w:type="dxa"/>
          </w:tcPr>
          <w:p w14:paraId="5721088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Техническая дальность на скорости</w:t>
            </w:r>
          </w:p>
        </w:tc>
        <w:tc>
          <w:tcPr>
            <w:tcW w:w="5636" w:type="dxa"/>
          </w:tcPr>
          <w:p w14:paraId="2951961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214A1ECE" w14:textId="77777777" w:rsidTr="004C5D62">
        <w:tc>
          <w:tcPr>
            <w:tcW w:w="5636" w:type="dxa"/>
          </w:tcPr>
          <w:p w14:paraId="1037D6B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(0,75 макс.) 395 км/час на высоте</w:t>
            </w:r>
          </w:p>
        </w:tc>
        <w:tc>
          <w:tcPr>
            <w:tcW w:w="5636" w:type="dxa"/>
          </w:tcPr>
          <w:p w14:paraId="49356AA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AD705B0" w14:textId="77777777" w:rsidTr="004C5D62">
        <w:tc>
          <w:tcPr>
            <w:tcW w:w="5636" w:type="dxa"/>
          </w:tcPr>
          <w:p w14:paraId="338C81E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 м</w:t>
            </w:r>
          </w:p>
        </w:tc>
        <w:tc>
          <w:tcPr>
            <w:tcW w:w="5636" w:type="dxa"/>
          </w:tcPr>
          <w:p w14:paraId="3060562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900 км/час</w:t>
            </w:r>
          </w:p>
        </w:tc>
      </w:tr>
      <w:tr w:rsidR="007C5583" w:rsidRPr="008127F8" w14:paraId="08438B18" w14:textId="77777777" w:rsidTr="004C5D62">
        <w:tc>
          <w:tcPr>
            <w:tcW w:w="5636" w:type="dxa"/>
          </w:tcPr>
          <w:p w14:paraId="26022F1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разбега</w:t>
            </w:r>
          </w:p>
        </w:tc>
        <w:tc>
          <w:tcPr>
            <w:tcW w:w="5636" w:type="dxa"/>
          </w:tcPr>
          <w:p w14:paraId="3CD6673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350 м</w:t>
            </w:r>
          </w:p>
        </w:tc>
      </w:tr>
      <w:tr w:rsidR="007C5583" w:rsidRPr="008127F8" w14:paraId="1128D4DD" w14:textId="77777777" w:rsidTr="004C5D62">
        <w:tc>
          <w:tcPr>
            <w:tcW w:w="5636" w:type="dxa"/>
          </w:tcPr>
          <w:p w14:paraId="223BDBD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c форсажем</w:t>
            </w:r>
          </w:p>
        </w:tc>
        <w:tc>
          <w:tcPr>
            <w:tcW w:w="5636" w:type="dxa"/>
          </w:tcPr>
          <w:p w14:paraId="6D6D322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310 м</w:t>
            </w:r>
          </w:p>
        </w:tc>
      </w:tr>
      <w:tr w:rsidR="007C5583" w:rsidRPr="008127F8" w14:paraId="7CE03969" w14:textId="77777777" w:rsidTr="004C5D62">
        <w:tc>
          <w:tcPr>
            <w:tcW w:w="5636" w:type="dxa"/>
          </w:tcPr>
          <w:p w14:paraId="667AD0A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пробега</w:t>
            </w:r>
          </w:p>
        </w:tc>
        <w:tc>
          <w:tcPr>
            <w:tcW w:w="5636" w:type="dxa"/>
          </w:tcPr>
          <w:p w14:paraId="10A3F44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470 м</w:t>
            </w:r>
          </w:p>
        </w:tc>
      </w:tr>
      <w:tr w:rsidR="007C5583" w:rsidRPr="008127F8" w14:paraId="046F48E6" w14:textId="77777777" w:rsidTr="004C5D62">
        <w:tc>
          <w:tcPr>
            <w:tcW w:w="5636" w:type="dxa"/>
          </w:tcPr>
          <w:p w14:paraId="4107729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Полетный вес самолета</w:t>
            </w:r>
          </w:p>
        </w:tc>
        <w:tc>
          <w:tcPr>
            <w:tcW w:w="5636" w:type="dxa"/>
          </w:tcPr>
          <w:p w14:paraId="55C512C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3370 кг</w:t>
            </w:r>
          </w:p>
        </w:tc>
      </w:tr>
      <w:tr w:rsidR="007C5583" w:rsidRPr="008127F8" w14:paraId="7AC5B1CE" w14:textId="77777777" w:rsidTr="004C5D62">
        <w:tc>
          <w:tcPr>
            <w:tcW w:w="5636" w:type="dxa"/>
            <w:tcBorders>
              <w:bottom w:val="single" w:sz="12" w:space="0" w:color="auto"/>
            </w:tcBorders>
          </w:tcPr>
          <w:p w14:paraId="3C4C4DC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 горючего</w:t>
            </w:r>
          </w:p>
        </w:tc>
        <w:tc>
          <w:tcPr>
            <w:tcW w:w="5636" w:type="dxa"/>
            <w:tcBorders>
              <w:bottom w:val="single" w:sz="12" w:space="0" w:color="auto"/>
            </w:tcBorders>
          </w:tcPr>
          <w:p w14:paraId="5650F4A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370 кг</w:t>
            </w:r>
          </w:p>
        </w:tc>
      </w:tr>
    </w:tbl>
    <w:p w14:paraId="0D432C9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Летные данные самолета ЛАГГ-3 с М-82 выше летных данных, как истребительных самолетов состоящих на вооружении ВВС, так и последнего немецкого истребителя Ме-109Ф.</w:t>
      </w:r>
    </w:p>
    <w:p w14:paraId="65116C8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испытании самолета отмечены следующие основные недостатки:</w:t>
      </w:r>
    </w:p>
    <w:p w14:paraId="687E27B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Управление самолетом по-прежнему осталось тяжелым, особенно при перекладывании из виража в вираж.</w:t>
      </w:r>
    </w:p>
    <w:p w14:paraId="4AC5ECF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отсутствует система передних жалюзей мотора, что приводит к переохлаждению мотора на планировании.</w:t>
      </w:r>
    </w:p>
    <w:p w14:paraId="2621CCD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Не доведено управление мотором при планировании на малом газе.</w:t>
      </w:r>
    </w:p>
    <w:p w14:paraId="79BC95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Конструктор самолета Лавочкин берется устранить указанные недостатки в течение 1-2 месяцев.</w:t>
      </w:r>
    </w:p>
    <w:p w14:paraId="52BA3C1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сравнительно высокие летно-тактические данные самолета ЛАГГ-3 с М-82, налаженность серийного производства ЛАГГ-3, все детали которого используются для данного самолета, за исключением моторной рамы и капотов, а также наличие большого запаса мотором М-82 на заводе N 19, считаем целесообразным запустить ЛАГГ-3 с М-82 в серийное производство (2164,9).</w:t>
      </w:r>
    </w:p>
    <w:p w14:paraId="4DA11B2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Резолюция И.В.Сталина: «Т-ту Шахурину. Пока рано го</w:t>
      </w:r>
      <w:r w:rsidRPr="008127F8">
        <w:rPr>
          <w:rFonts w:ascii="Times New Roman" w:hAnsi="Times New Roman"/>
          <w:color w:val="000000" w:themeColor="text1"/>
          <w:sz w:val="16"/>
          <w:szCs w:val="16"/>
        </w:rPr>
        <w:softHyphen/>
        <w:t>ворить о «запуске» в серию: недо</w:t>
      </w:r>
      <w:r w:rsidRPr="008127F8">
        <w:rPr>
          <w:rFonts w:ascii="Times New Roman" w:hAnsi="Times New Roman"/>
          <w:color w:val="000000" w:themeColor="text1"/>
          <w:sz w:val="16"/>
          <w:szCs w:val="16"/>
        </w:rPr>
        <w:softHyphen/>
        <w:t>статки еще не устранены и самолет бесспорно еще не готов для того, чтобы можно было говорить серьезно о запуске в серию. И. Сталин» (2164,9).</w:t>
      </w:r>
    </w:p>
    <w:p w14:paraId="389B48E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47FC4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мая 1942 г. Отчет по испыт. опытого с-та Ла-5</w:t>
      </w:r>
    </w:p>
    <w:tbl>
      <w:tblPr>
        <w:tblW w:w="4800" w:type="pct"/>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4A0" w:firstRow="1" w:lastRow="0" w:firstColumn="1" w:lastColumn="0" w:noHBand="0" w:noVBand="1"/>
      </w:tblPr>
      <w:tblGrid>
        <w:gridCol w:w="2748"/>
        <w:gridCol w:w="1494"/>
        <w:gridCol w:w="1557"/>
        <w:gridCol w:w="5076"/>
      </w:tblGrid>
      <w:tr w:rsidR="007C5583" w:rsidRPr="008127F8" w14:paraId="345FA8C5" w14:textId="77777777" w:rsidTr="004C5D62">
        <w:trPr>
          <w:tblCellSpacing w:w="7" w:type="dxa"/>
          <w:jc w:val="center"/>
        </w:trPr>
        <w:tc>
          <w:tcPr>
            <w:tcW w:w="0" w:type="auto"/>
            <w:gridSpan w:val="4"/>
            <w:vAlign w:val="center"/>
            <w:hideMark/>
          </w:tcPr>
          <w:p w14:paraId="3CA58157"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 xml:space="preserve">Винт АВ-5Ф-158В. </w:t>
            </w:r>
            <w:r>
              <w:rPr>
                <w:rFonts w:ascii="Times New Roman" w:hAnsi="Times New Roman"/>
                <w:bCs/>
                <w:color w:val="000000" w:themeColor="text1"/>
                <w:sz w:val="16"/>
                <w:szCs w:val="16"/>
              </w:rPr>
              <w:t xml:space="preserve">    </w:t>
            </w:r>
            <w:r w:rsidRPr="008127F8">
              <w:rPr>
                <w:rFonts w:ascii="Times New Roman" w:hAnsi="Times New Roman"/>
                <w:bCs/>
                <w:color w:val="000000" w:themeColor="text1"/>
                <w:sz w:val="16"/>
                <w:szCs w:val="16"/>
              </w:rPr>
              <w:t xml:space="preserve"> Производство завода № 467. </w:t>
            </w:r>
            <w:r>
              <w:rPr>
                <w:rFonts w:ascii="Times New Roman" w:hAnsi="Times New Roman"/>
                <w:bCs/>
                <w:color w:val="000000" w:themeColor="text1"/>
                <w:sz w:val="16"/>
                <w:szCs w:val="16"/>
              </w:rPr>
              <w:t xml:space="preserve">    </w:t>
            </w:r>
            <w:r w:rsidRPr="008127F8">
              <w:rPr>
                <w:rFonts w:ascii="Times New Roman" w:hAnsi="Times New Roman"/>
                <w:bCs/>
                <w:color w:val="000000" w:themeColor="text1"/>
                <w:sz w:val="16"/>
                <w:szCs w:val="16"/>
              </w:rPr>
              <w:t xml:space="preserve"> Конструктор Заславский и Бас-Дубов.</w:t>
            </w:r>
          </w:p>
        </w:tc>
      </w:tr>
      <w:tr w:rsidR="007C5583" w:rsidRPr="008127F8" w14:paraId="7B264291" w14:textId="77777777" w:rsidTr="004C5D62">
        <w:trPr>
          <w:tblCellSpacing w:w="7" w:type="dxa"/>
          <w:jc w:val="center"/>
        </w:trPr>
        <w:tc>
          <w:tcPr>
            <w:tcW w:w="0" w:type="auto"/>
            <w:vAlign w:val="center"/>
            <w:hideMark/>
          </w:tcPr>
          <w:p w14:paraId="54DA4FF4"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винта</w:t>
            </w:r>
          </w:p>
        </w:tc>
        <w:tc>
          <w:tcPr>
            <w:tcW w:w="0" w:type="auto"/>
            <w:vAlign w:val="center"/>
            <w:hideMark/>
          </w:tcPr>
          <w:p w14:paraId="563A1AEE"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гидравлическ. автомат</w:t>
            </w:r>
          </w:p>
        </w:tc>
        <w:tc>
          <w:tcPr>
            <w:tcW w:w="0" w:type="auto"/>
            <w:vMerge w:val="restart"/>
            <w:vAlign w:val="center"/>
            <w:hideMark/>
          </w:tcPr>
          <w:p w14:paraId="0E280DC2"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Предназначен для</w:t>
            </w:r>
          </w:p>
          <w:p w14:paraId="31A4712B"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установки на самолетах</w:t>
            </w:r>
          </w:p>
        </w:tc>
        <w:tc>
          <w:tcPr>
            <w:tcW w:w="0" w:type="auto"/>
            <w:vMerge w:val="restart"/>
            <w:vAlign w:val="center"/>
            <w:hideMark/>
          </w:tcPr>
          <w:p w14:paraId="0C96401D"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Ла-5 с М-82 и Ла-5 с М-82ФН.</w:t>
            </w:r>
          </w:p>
        </w:tc>
      </w:tr>
      <w:tr w:rsidR="007C5583" w:rsidRPr="008127F8" w14:paraId="4A579992" w14:textId="77777777" w:rsidTr="004C5D62">
        <w:trPr>
          <w:tblCellSpacing w:w="7" w:type="dxa"/>
          <w:jc w:val="center"/>
        </w:trPr>
        <w:tc>
          <w:tcPr>
            <w:tcW w:w="0" w:type="auto"/>
            <w:vAlign w:val="center"/>
            <w:hideMark/>
          </w:tcPr>
          <w:p w14:paraId="05D4B110"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Схема действия</w:t>
            </w:r>
          </w:p>
        </w:tc>
        <w:tc>
          <w:tcPr>
            <w:tcW w:w="0" w:type="auto"/>
            <w:vAlign w:val="center"/>
            <w:hideMark/>
          </w:tcPr>
          <w:p w14:paraId="4B995401"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прямая</w:t>
            </w:r>
          </w:p>
        </w:tc>
        <w:tc>
          <w:tcPr>
            <w:tcW w:w="0" w:type="auto"/>
            <w:vMerge/>
            <w:vAlign w:val="center"/>
            <w:hideMark/>
          </w:tcPr>
          <w:p w14:paraId="5438961C" w14:textId="77777777" w:rsidR="007C5583" w:rsidRPr="008127F8" w:rsidRDefault="007C5583" w:rsidP="004C5D62">
            <w:pPr>
              <w:spacing w:after="0" w:line="240" w:lineRule="auto"/>
              <w:jc w:val="both"/>
              <w:rPr>
                <w:rFonts w:ascii="Times New Roman" w:hAnsi="Times New Roman"/>
                <w:color w:val="000000" w:themeColor="text1"/>
                <w:sz w:val="16"/>
                <w:szCs w:val="16"/>
              </w:rPr>
            </w:pPr>
          </w:p>
        </w:tc>
        <w:tc>
          <w:tcPr>
            <w:tcW w:w="0" w:type="auto"/>
            <w:vMerge/>
            <w:vAlign w:val="center"/>
            <w:hideMark/>
          </w:tcPr>
          <w:p w14:paraId="19E391A8" w14:textId="77777777" w:rsidR="007C5583" w:rsidRPr="008127F8" w:rsidRDefault="007C5583" w:rsidP="004C5D62">
            <w:pPr>
              <w:spacing w:after="0" w:line="240" w:lineRule="auto"/>
              <w:jc w:val="both"/>
              <w:rPr>
                <w:rFonts w:ascii="Times New Roman" w:hAnsi="Times New Roman"/>
                <w:color w:val="000000" w:themeColor="text1"/>
                <w:sz w:val="16"/>
                <w:szCs w:val="16"/>
              </w:rPr>
            </w:pPr>
          </w:p>
        </w:tc>
      </w:tr>
      <w:tr w:rsidR="007C5583" w:rsidRPr="008127F8" w14:paraId="5825963D" w14:textId="77777777" w:rsidTr="004C5D62">
        <w:trPr>
          <w:tblCellSpacing w:w="7" w:type="dxa"/>
          <w:jc w:val="center"/>
        </w:trPr>
        <w:tc>
          <w:tcPr>
            <w:tcW w:w="0" w:type="auto"/>
            <w:vAlign w:val="center"/>
            <w:hideMark/>
          </w:tcPr>
          <w:p w14:paraId="1DAB5114"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Число лопастей</w:t>
            </w:r>
          </w:p>
        </w:tc>
        <w:tc>
          <w:tcPr>
            <w:tcW w:w="0" w:type="auto"/>
            <w:vAlign w:val="center"/>
            <w:hideMark/>
          </w:tcPr>
          <w:p w14:paraId="50523A57"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0" w:type="auto"/>
            <w:gridSpan w:val="2"/>
            <w:vMerge w:val="restart"/>
            <w:vAlign w:val="center"/>
            <w:hideMark/>
          </w:tcPr>
          <w:p w14:paraId="7D94FFC8" w14:textId="77777777" w:rsidR="007C5583" w:rsidRPr="008127F8" w:rsidRDefault="007C5583" w:rsidP="004C5D62">
            <w:pPr>
              <w:spacing w:after="0" w:line="240" w:lineRule="auto"/>
              <w:jc w:val="both"/>
              <w:rPr>
                <w:rFonts w:ascii="Times New Roman" w:hAnsi="Times New Roman"/>
                <w:color w:val="000000" w:themeColor="text1"/>
                <w:sz w:val="16"/>
                <w:szCs w:val="16"/>
              </w:rPr>
            </w:pPr>
          </w:p>
        </w:tc>
      </w:tr>
      <w:tr w:rsidR="007C5583" w:rsidRPr="008127F8" w14:paraId="511EF8A2" w14:textId="77777777" w:rsidTr="004C5D62">
        <w:trPr>
          <w:tblCellSpacing w:w="7" w:type="dxa"/>
          <w:jc w:val="center"/>
        </w:trPr>
        <w:tc>
          <w:tcPr>
            <w:tcW w:w="0" w:type="auto"/>
            <w:vAlign w:val="center"/>
            <w:hideMark/>
          </w:tcPr>
          <w:p w14:paraId="3501824B"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Материал лопастей</w:t>
            </w:r>
          </w:p>
        </w:tc>
        <w:tc>
          <w:tcPr>
            <w:tcW w:w="0" w:type="auto"/>
            <w:vAlign w:val="center"/>
            <w:hideMark/>
          </w:tcPr>
          <w:p w14:paraId="15F052D0"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дюраль</w:t>
            </w:r>
          </w:p>
        </w:tc>
        <w:tc>
          <w:tcPr>
            <w:tcW w:w="0" w:type="auto"/>
            <w:gridSpan w:val="2"/>
            <w:vMerge/>
            <w:vAlign w:val="center"/>
            <w:hideMark/>
          </w:tcPr>
          <w:p w14:paraId="3FA5A7B1" w14:textId="77777777" w:rsidR="007C5583" w:rsidRPr="008127F8" w:rsidRDefault="007C5583" w:rsidP="004C5D62">
            <w:pPr>
              <w:spacing w:after="0" w:line="240" w:lineRule="auto"/>
              <w:jc w:val="both"/>
              <w:rPr>
                <w:rFonts w:ascii="Times New Roman" w:hAnsi="Times New Roman"/>
                <w:color w:val="000000" w:themeColor="text1"/>
                <w:sz w:val="16"/>
                <w:szCs w:val="16"/>
              </w:rPr>
            </w:pPr>
          </w:p>
        </w:tc>
      </w:tr>
      <w:tr w:rsidR="007C5583" w:rsidRPr="008127F8" w14:paraId="497816F2" w14:textId="77777777" w:rsidTr="004C5D62">
        <w:trPr>
          <w:tblCellSpacing w:w="7" w:type="dxa"/>
          <w:jc w:val="center"/>
        </w:trPr>
        <w:tc>
          <w:tcPr>
            <w:tcW w:w="0" w:type="auto"/>
            <w:vAlign w:val="center"/>
            <w:hideMark/>
          </w:tcPr>
          <w:p w14:paraId="2C3535B2"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Диаметр винта (м)</w:t>
            </w:r>
          </w:p>
        </w:tc>
        <w:tc>
          <w:tcPr>
            <w:tcW w:w="0" w:type="auto"/>
            <w:vAlign w:val="center"/>
            <w:hideMark/>
          </w:tcPr>
          <w:p w14:paraId="1059B526"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0" w:type="auto"/>
            <w:gridSpan w:val="2"/>
            <w:vMerge/>
            <w:vAlign w:val="center"/>
            <w:hideMark/>
          </w:tcPr>
          <w:p w14:paraId="5C873138" w14:textId="77777777" w:rsidR="007C5583" w:rsidRPr="008127F8" w:rsidRDefault="007C5583" w:rsidP="004C5D62">
            <w:pPr>
              <w:spacing w:after="0" w:line="240" w:lineRule="auto"/>
              <w:jc w:val="both"/>
              <w:rPr>
                <w:rFonts w:ascii="Times New Roman" w:hAnsi="Times New Roman"/>
                <w:color w:val="000000" w:themeColor="text1"/>
                <w:sz w:val="16"/>
                <w:szCs w:val="16"/>
              </w:rPr>
            </w:pPr>
          </w:p>
        </w:tc>
      </w:tr>
      <w:tr w:rsidR="007C5583" w:rsidRPr="008127F8" w14:paraId="5DD96E00" w14:textId="77777777" w:rsidTr="004C5D62">
        <w:trPr>
          <w:tblCellSpacing w:w="7" w:type="dxa"/>
          <w:jc w:val="center"/>
        </w:trPr>
        <w:tc>
          <w:tcPr>
            <w:tcW w:w="0" w:type="auto"/>
            <w:vAlign w:val="center"/>
            <w:hideMark/>
          </w:tcPr>
          <w:p w14:paraId="1F152772"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ширина лопастей (мм)</w:t>
            </w:r>
          </w:p>
        </w:tc>
        <w:tc>
          <w:tcPr>
            <w:tcW w:w="0" w:type="auto"/>
            <w:vAlign w:val="center"/>
            <w:hideMark/>
          </w:tcPr>
          <w:p w14:paraId="0996F89D"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256</w:t>
            </w:r>
          </w:p>
        </w:tc>
        <w:tc>
          <w:tcPr>
            <w:tcW w:w="0" w:type="auto"/>
            <w:gridSpan w:val="2"/>
            <w:vMerge/>
            <w:vAlign w:val="center"/>
            <w:hideMark/>
          </w:tcPr>
          <w:p w14:paraId="7FCC5B59" w14:textId="77777777" w:rsidR="007C5583" w:rsidRPr="008127F8" w:rsidRDefault="007C5583" w:rsidP="004C5D62">
            <w:pPr>
              <w:spacing w:after="0" w:line="240" w:lineRule="auto"/>
              <w:jc w:val="both"/>
              <w:rPr>
                <w:rFonts w:ascii="Times New Roman" w:hAnsi="Times New Roman"/>
                <w:color w:val="000000" w:themeColor="text1"/>
                <w:sz w:val="16"/>
                <w:szCs w:val="16"/>
              </w:rPr>
            </w:pPr>
          </w:p>
        </w:tc>
      </w:tr>
      <w:tr w:rsidR="007C5583" w:rsidRPr="008127F8" w14:paraId="714F22FB" w14:textId="77777777" w:rsidTr="004C5D62">
        <w:trPr>
          <w:tblCellSpacing w:w="7" w:type="dxa"/>
          <w:jc w:val="center"/>
        </w:trPr>
        <w:tc>
          <w:tcPr>
            <w:tcW w:w="0" w:type="auto"/>
            <w:vAlign w:val="center"/>
            <w:hideMark/>
          </w:tcPr>
          <w:p w14:paraId="795DDBD3"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Относительная толщина лопастей на 0,9 r (%)</w:t>
            </w:r>
          </w:p>
        </w:tc>
        <w:tc>
          <w:tcPr>
            <w:tcW w:w="0" w:type="auto"/>
            <w:vAlign w:val="center"/>
            <w:hideMark/>
          </w:tcPr>
          <w:p w14:paraId="20C72816"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w:t>
            </w:r>
          </w:p>
        </w:tc>
        <w:tc>
          <w:tcPr>
            <w:tcW w:w="0" w:type="auto"/>
            <w:gridSpan w:val="2"/>
            <w:vMerge/>
            <w:vAlign w:val="center"/>
            <w:hideMark/>
          </w:tcPr>
          <w:p w14:paraId="1359A657" w14:textId="77777777" w:rsidR="007C5583" w:rsidRPr="008127F8" w:rsidRDefault="007C5583" w:rsidP="004C5D62">
            <w:pPr>
              <w:spacing w:after="0" w:line="240" w:lineRule="auto"/>
              <w:jc w:val="both"/>
              <w:rPr>
                <w:rFonts w:ascii="Times New Roman" w:hAnsi="Times New Roman"/>
                <w:color w:val="000000" w:themeColor="text1"/>
                <w:sz w:val="16"/>
                <w:szCs w:val="16"/>
              </w:rPr>
            </w:pPr>
          </w:p>
        </w:tc>
      </w:tr>
      <w:tr w:rsidR="007C5583" w:rsidRPr="008127F8" w14:paraId="67AC52CD" w14:textId="77777777" w:rsidTr="004C5D62">
        <w:trPr>
          <w:tblCellSpacing w:w="7" w:type="dxa"/>
          <w:jc w:val="center"/>
        </w:trPr>
        <w:tc>
          <w:tcPr>
            <w:tcW w:w="0" w:type="auto"/>
            <w:vAlign w:val="center"/>
            <w:hideMark/>
          </w:tcPr>
          <w:p w14:paraId="03FDED0D"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Профиль сечения лопасти</w:t>
            </w:r>
          </w:p>
        </w:tc>
        <w:tc>
          <w:tcPr>
            <w:tcW w:w="0" w:type="auto"/>
            <w:vAlign w:val="center"/>
            <w:hideMark/>
          </w:tcPr>
          <w:p w14:paraId="3F7BB48F"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w:t>
            </w:r>
          </w:p>
          <w:p w14:paraId="07CAAB91"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модифиц.</w:t>
            </w:r>
          </w:p>
        </w:tc>
        <w:tc>
          <w:tcPr>
            <w:tcW w:w="0" w:type="auto"/>
            <w:gridSpan w:val="2"/>
            <w:vMerge/>
            <w:vAlign w:val="center"/>
            <w:hideMark/>
          </w:tcPr>
          <w:p w14:paraId="05249672" w14:textId="77777777" w:rsidR="007C5583" w:rsidRPr="008127F8" w:rsidRDefault="007C5583" w:rsidP="004C5D62">
            <w:pPr>
              <w:spacing w:after="0" w:line="240" w:lineRule="auto"/>
              <w:jc w:val="both"/>
              <w:rPr>
                <w:rFonts w:ascii="Times New Roman" w:hAnsi="Times New Roman"/>
                <w:color w:val="000000" w:themeColor="text1"/>
                <w:sz w:val="16"/>
                <w:szCs w:val="16"/>
              </w:rPr>
            </w:pPr>
          </w:p>
        </w:tc>
      </w:tr>
      <w:tr w:rsidR="007C5583" w:rsidRPr="008127F8" w14:paraId="60E5AE82" w14:textId="77777777" w:rsidTr="004C5D62">
        <w:trPr>
          <w:tblCellSpacing w:w="7" w:type="dxa"/>
          <w:jc w:val="center"/>
        </w:trPr>
        <w:tc>
          <w:tcPr>
            <w:tcW w:w="0" w:type="auto"/>
            <w:vAlign w:val="center"/>
            <w:hideMark/>
          </w:tcPr>
          <w:p w14:paraId="58F175F0"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Диапазон поворота лопастей (град.)</w:t>
            </w:r>
          </w:p>
        </w:tc>
        <w:tc>
          <w:tcPr>
            <w:tcW w:w="0" w:type="auto"/>
            <w:vAlign w:val="center"/>
            <w:hideMark/>
          </w:tcPr>
          <w:p w14:paraId="42464E81"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0" w:type="auto"/>
            <w:gridSpan w:val="2"/>
            <w:vMerge/>
            <w:vAlign w:val="center"/>
            <w:hideMark/>
          </w:tcPr>
          <w:p w14:paraId="1E3E8E4C" w14:textId="77777777" w:rsidR="007C5583" w:rsidRPr="008127F8" w:rsidRDefault="007C5583" w:rsidP="004C5D62">
            <w:pPr>
              <w:spacing w:after="0" w:line="240" w:lineRule="auto"/>
              <w:jc w:val="both"/>
              <w:rPr>
                <w:rFonts w:ascii="Times New Roman" w:hAnsi="Times New Roman"/>
                <w:color w:val="000000" w:themeColor="text1"/>
                <w:sz w:val="16"/>
                <w:szCs w:val="16"/>
              </w:rPr>
            </w:pPr>
          </w:p>
        </w:tc>
      </w:tr>
      <w:tr w:rsidR="007C5583" w:rsidRPr="008127F8" w14:paraId="57A45198" w14:textId="77777777" w:rsidTr="004C5D62">
        <w:trPr>
          <w:tblCellSpacing w:w="7" w:type="dxa"/>
          <w:jc w:val="center"/>
        </w:trPr>
        <w:tc>
          <w:tcPr>
            <w:tcW w:w="0" w:type="auto"/>
            <w:vAlign w:val="center"/>
            <w:hideMark/>
          </w:tcPr>
          <w:p w14:paraId="66649434"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Минимальный установочный угол</w:t>
            </w:r>
          </w:p>
          <w:p w14:paraId="3B968D12"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лопастей (град.)</w:t>
            </w:r>
          </w:p>
        </w:tc>
        <w:tc>
          <w:tcPr>
            <w:tcW w:w="0" w:type="auto"/>
            <w:vAlign w:val="center"/>
            <w:hideMark/>
          </w:tcPr>
          <w:p w14:paraId="19AEC0E3"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0" w:type="auto"/>
            <w:gridSpan w:val="2"/>
            <w:vMerge/>
            <w:vAlign w:val="center"/>
            <w:hideMark/>
          </w:tcPr>
          <w:p w14:paraId="602A73AB" w14:textId="77777777" w:rsidR="007C5583" w:rsidRPr="008127F8" w:rsidRDefault="007C5583" w:rsidP="004C5D62">
            <w:pPr>
              <w:spacing w:after="0" w:line="240" w:lineRule="auto"/>
              <w:jc w:val="both"/>
              <w:rPr>
                <w:rFonts w:ascii="Times New Roman" w:hAnsi="Times New Roman"/>
                <w:color w:val="000000" w:themeColor="text1"/>
                <w:sz w:val="16"/>
                <w:szCs w:val="16"/>
              </w:rPr>
            </w:pPr>
          </w:p>
        </w:tc>
      </w:tr>
      <w:tr w:rsidR="007C5583" w:rsidRPr="008127F8" w14:paraId="2CCB1574" w14:textId="77777777" w:rsidTr="004C5D62">
        <w:trPr>
          <w:tblCellSpacing w:w="7" w:type="dxa"/>
          <w:jc w:val="center"/>
        </w:trPr>
        <w:tc>
          <w:tcPr>
            <w:tcW w:w="0" w:type="auto"/>
            <w:vAlign w:val="center"/>
            <w:hideMark/>
          </w:tcPr>
          <w:p w14:paraId="55DB1254"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лопасти (кг)</w:t>
            </w:r>
          </w:p>
        </w:tc>
        <w:tc>
          <w:tcPr>
            <w:tcW w:w="0" w:type="auto"/>
            <w:vAlign w:val="center"/>
            <w:hideMark/>
          </w:tcPr>
          <w:p w14:paraId="505AFFC0"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0" w:type="auto"/>
            <w:gridSpan w:val="2"/>
            <w:vMerge/>
            <w:vAlign w:val="center"/>
            <w:hideMark/>
          </w:tcPr>
          <w:p w14:paraId="4E123D6B" w14:textId="77777777" w:rsidR="007C5583" w:rsidRPr="008127F8" w:rsidRDefault="007C5583" w:rsidP="004C5D62">
            <w:pPr>
              <w:spacing w:after="0" w:line="240" w:lineRule="auto"/>
              <w:jc w:val="both"/>
              <w:rPr>
                <w:rFonts w:ascii="Times New Roman" w:hAnsi="Times New Roman"/>
                <w:color w:val="000000" w:themeColor="text1"/>
                <w:sz w:val="16"/>
                <w:szCs w:val="16"/>
              </w:rPr>
            </w:pPr>
          </w:p>
        </w:tc>
      </w:tr>
      <w:tr w:rsidR="007C5583" w:rsidRPr="008127F8" w14:paraId="233C7641" w14:textId="77777777" w:rsidTr="004C5D62">
        <w:trPr>
          <w:tblCellSpacing w:w="7" w:type="dxa"/>
          <w:jc w:val="center"/>
        </w:trPr>
        <w:tc>
          <w:tcPr>
            <w:tcW w:w="0" w:type="auto"/>
            <w:vAlign w:val="center"/>
            <w:hideMark/>
          </w:tcPr>
          <w:p w14:paraId="0602C5FB"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винта (кг)</w:t>
            </w:r>
          </w:p>
        </w:tc>
        <w:tc>
          <w:tcPr>
            <w:tcW w:w="0" w:type="auto"/>
            <w:vAlign w:val="center"/>
            <w:hideMark/>
          </w:tcPr>
          <w:p w14:paraId="3371E28F"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137</w:t>
            </w:r>
          </w:p>
        </w:tc>
        <w:tc>
          <w:tcPr>
            <w:tcW w:w="0" w:type="auto"/>
            <w:gridSpan w:val="2"/>
            <w:vMerge/>
            <w:vAlign w:val="center"/>
            <w:hideMark/>
          </w:tcPr>
          <w:p w14:paraId="330D6084" w14:textId="77777777" w:rsidR="007C5583" w:rsidRPr="008127F8" w:rsidRDefault="007C5583" w:rsidP="004C5D62">
            <w:pPr>
              <w:spacing w:after="0" w:line="240" w:lineRule="auto"/>
              <w:jc w:val="both"/>
              <w:rPr>
                <w:rFonts w:ascii="Times New Roman" w:hAnsi="Times New Roman"/>
                <w:color w:val="000000" w:themeColor="text1"/>
                <w:sz w:val="16"/>
                <w:szCs w:val="16"/>
              </w:rPr>
            </w:pPr>
          </w:p>
        </w:tc>
      </w:tr>
      <w:tr w:rsidR="007C5583" w:rsidRPr="008127F8" w14:paraId="6711639A" w14:textId="77777777" w:rsidTr="004C5D62">
        <w:trPr>
          <w:tblCellSpacing w:w="7" w:type="dxa"/>
          <w:jc w:val="center"/>
        </w:trPr>
        <w:tc>
          <w:tcPr>
            <w:tcW w:w="0" w:type="auto"/>
            <w:vAlign w:val="center"/>
            <w:hideMark/>
          </w:tcPr>
          <w:p w14:paraId="61916E55"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Номинальное число оборотов мотора (об/мин)</w:t>
            </w:r>
          </w:p>
        </w:tc>
        <w:tc>
          <w:tcPr>
            <w:tcW w:w="0" w:type="auto"/>
            <w:vAlign w:val="center"/>
            <w:hideMark/>
          </w:tcPr>
          <w:p w14:paraId="2342A11A"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2400</w:t>
            </w:r>
          </w:p>
        </w:tc>
        <w:tc>
          <w:tcPr>
            <w:tcW w:w="0" w:type="auto"/>
            <w:gridSpan w:val="2"/>
            <w:vMerge/>
            <w:vAlign w:val="center"/>
            <w:hideMark/>
          </w:tcPr>
          <w:p w14:paraId="4E2B1D57" w14:textId="77777777" w:rsidR="007C5583" w:rsidRPr="008127F8" w:rsidRDefault="007C5583" w:rsidP="004C5D62">
            <w:pPr>
              <w:spacing w:after="0" w:line="240" w:lineRule="auto"/>
              <w:jc w:val="both"/>
              <w:rPr>
                <w:rFonts w:ascii="Times New Roman" w:hAnsi="Times New Roman"/>
                <w:color w:val="000000" w:themeColor="text1"/>
                <w:sz w:val="16"/>
                <w:szCs w:val="16"/>
              </w:rPr>
            </w:pPr>
          </w:p>
        </w:tc>
      </w:tr>
      <w:tr w:rsidR="007C5583" w:rsidRPr="008127F8" w14:paraId="314C7061" w14:textId="77777777" w:rsidTr="004C5D62">
        <w:trPr>
          <w:tblCellSpacing w:w="7" w:type="dxa"/>
          <w:jc w:val="center"/>
        </w:trPr>
        <w:tc>
          <w:tcPr>
            <w:tcW w:w="0" w:type="auto"/>
            <w:vAlign w:val="center"/>
            <w:hideMark/>
          </w:tcPr>
          <w:p w14:paraId="2126F259"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Редукция мотора</w:t>
            </w:r>
          </w:p>
        </w:tc>
        <w:tc>
          <w:tcPr>
            <w:tcW w:w="0" w:type="auto"/>
            <w:vAlign w:val="center"/>
            <w:hideMark/>
          </w:tcPr>
          <w:p w14:paraId="6E2C0D48"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0,687</w:t>
            </w:r>
          </w:p>
        </w:tc>
        <w:tc>
          <w:tcPr>
            <w:tcW w:w="0" w:type="auto"/>
            <w:gridSpan w:val="2"/>
            <w:vMerge/>
            <w:vAlign w:val="center"/>
            <w:hideMark/>
          </w:tcPr>
          <w:p w14:paraId="2B0671E7" w14:textId="77777777" w:rsidR="007C5583" w:rsidRPr="008127F8" w:rsidRDefault="007C5583" w:rsidP="004C5D62">
            <w:pPr>
              <w:spacing w:after="0" w:line="240" w:lineRule="auto"/>
              <w:jc w:val="both"/>
              <w:rPr>
                <w:rFonts w:ascii="Times New Roman" w:hAnsi="Times New Roman"/>
                <w:color w:val="000000" w:themeColor="text1"/>
                <w:sz w:val="16"/>
                <w:szCs w:val="16"/>
              </w:rPr>
            </w:pPr>
          </w:p>
        </w:tc>
      </w:tr>
      <w:tr w:rsidR="007C5583" w:rsidRPr="008127F8" w14:paraId="3487343D" w14:textId="77777777" w:rsidTr="004C5D62">
        <w:trPr>
          <w:tblCellSpacing w:w="7" w:type="dxa"/>
          <w:jc w:val="center"/>
        </w:trPr>
        <w:tc>
          <w:tcPr>
            <w:tcW w:w="0" w:type="auto"/>
            <w:vAlign w:val="center"/>
            <w:hideMark/>
          </w:tcPr>
          <w:p w14:paraId="5C7FFB53"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Направление вращения винта</w:t>
            </w:r>
          </w:p>
        </w:tc>
        <w:tc>
          <w:tcPr>
            <w:tcW w:w="0" w:type="auto"/>
            <w:vAlign w:val="center"/>
            <w:hideMark/>
          </w:tcPr>
          <w:p w14:paraId="34D980EF"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правое</w:t>
            </w:r>
          </w:p>
        </w:tc>
        <w:tc>
          <w:tcPr>
            <w:tcW w:w="0" w:type="auto"/>
            <w:vMerge w:val="restart"/>
            <w:vAlign w:val="center"/>
            <w:hideMark/>
          </w:tcPr>
          <w:p w14:paraId="17342C3D"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Состояние</w:t>
            </w:r>
          </w:p>
          <w:p w14:paraId="4791EAB7"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винта</w:t>
            </w:r>
          </w:p>
        </w:tc>
        <w:tc>
          <w:tcPr>
            <w:tcW w:w="0" w:type="auto"/>
            <w:vMerge w:val="restart"/>
            <w:vAlign w:val="center"/>
            <w:hideMark/>
          </w:tcPr>
          <w:p w14:paraId="43E63E0E"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Винт испытания прошел удовлетворительно в 1942 г. совместно с самолетом Ла-5 с М-82.</w:t>
            </w:r>
          </w:p>
          <w:p w14:paraId="72E7752D"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Находится в эксплоатации и в серийном производстве.</w:t>
            </w:r>
          </w:p>
        </w:tc>
      </w:tr>
      <w:tr w:rsidR="007C5583" w:rsidRPr="008127F8" w14:paraId="1BC1DFAB" w14:textId="77777777" w:rsidTr="004C5D62">
        <w:trPr>
          <w:tblCellSpacing w:w="7" w:type="dxa"/>
          <w:jc w:val="center"/>
        </w:trPr>
        <w:tc>
          <w:tcPr>
            <w:tcW w:w="0" w:type="auto"/>
            <w:vAlign w:val="center"/>
            <w:hideMark/>
          </w:tcPr>
          <w:p w14:paraId="41EBC96C"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регулятора оборотов</w:t>
            </w:r>
          </w:p>
        </w:tc>
        <w:tc>
          <w:tcPr>
            <w:tcW w:w="0" w:type="auto"/>
            <w:vAlign w:val="center"/>
            <w:hideMark/>
          </w:tcPr>
          <w:p w14:paraId="0D9B1618"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Р-7</w:t>
            </w:r>
          </w:p>
        </w:tc>
        <w:tc>
          <w:tcPr>
            <w:tcW w:w="0" w:type="auto"/>
            <w:vMerge/>
            <w:vAlign w:val="center"/>
            <w:hideMark/>
          </w:tcPr>
          <w:p w14:paraId="11AB52BD" w14:textId="77777777" w:rsidR="007C5583" w:rsidRPr="008127F8" w:rsidRDefault="007C5583" w:rsidP="004C5D62">
            <w:pPr>
              <w:spacing w:after="0" w:line="240" w:lineRule="auto"/>
              <w:jc w:val="both"/>
              <w:rPr>
                <w:rFonts w:ascii="Times New Roman" w:hAnsi="Times New Roman"/>
                <w:color w:val="000000" w:themeColor="text1"/>
                <w:sz w:val="16"/>
                <w:szCs w:val="16"/>
              </w:rPr>
            </w:pPr>
          </w:p>
        </w:tc>
        <w:tc>
          <w:tcPr>
            <w:tcW w:w="0" w:type="auto"/>
            <w:vMerge/>
            <w:vAlign w:val="center"/>
            <w:hideMark/>
          </w:tcPr>
          <w:p w14:paraId="7491E317" w14:textId="77777777" w:rsidR="007C5583" w:rsidRPr="008127F8" w:rsidRDefault="007C5583" w:rsidP="004C5D62">
            <w:pPr>
              <w:spacing w:after="0" w:line="240" w:lineRule="auto"/>
              <w:jc w:val="both"/>
              <w:rPr>
                <w:rFonts w:ascii="Times New Roman" w:hAnsi="Times New Roman"/>
                <w:color w:val="000000" w:themeColor="text1"/>
                <w:sz w:val="16"/>
                <w:szCs w:val="16"/>
              </w:rPr>
            </w:pPr>
          </w:p>
        </w:tc>
      </w:tr>
      <w:tr w:rsidR="007C5583" w:rsidRPr="008127F8" w14:paraId="140E3DC4" w14:textId="77777777" w:rsidTr="004C5D62">
        <w:trPr>
          <w:tblCellSpacing w:w="7" w:type="dxa"/>
          <w:jc w:val="center"/>
        </w:trPr>
        <w:tc>
          <w:tcPr>
            <w:tcW w:w="0" w:type="auto"/>
            <w:vAlign w:val="center"/>
            <w:hideMark/>
          </w:tcPr>
          <w:p w14:paraId="77AE75C4"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Носок вала редуктора мотора</w:t>
            </w:r>
          </w:p>
        </w:tc>
        <w:tc>
          <w:tcPr>
            <w:tcW w:w="0" w:type="auto"/>
            <w:vAlign w:val="center"/>
            <w:hideMark/>
          </w:tcPr>
          <w:p w14:paraId="7AE8C773"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7</w:t>
            </w:r>
          </w:p>
        </w:tc>
        <w:tc>
          <w:tcPr>
            <w:tcW w:w="0" w:type="auto"/>
            <w:vMerge/>
            <w:vAlign w:val="center"/>
            <w:hideMark/>
          </w:tcPr>
          <w:p w14:paraId="4F3892AB" w14:textId="77777777" w:rsidR="007C5583" w:rsidRPr="008127F8" w:rsidRDefault="007C5583" w:rsidP="004C5D62">
            <w:pPr>
              <w:spacing w:after="0" w:line="240" w:lineRule="auto"/>
              <w:jc w:val="both"/>
              <w:rPr>
                <w:rFonts w:ascii="Times New Roman" w:hAnsi="Times New Roman"/>
                <w:color w:val="000000" w:themeColor="text1"/>
                <w:sz w:val="16"/>
                <w:szCs w:val="16"/>
              </w:rPr>
            </w:pPr>
          </w:p>
        </w:tc>
        <w:tc>
          <w:tcPr>
            <w:tcW w:w="0" w:type="auto"/>
            <w:vMerge/>
            <w:vAlign w:val="center"/>
            <w:hideMark/>
          </w:tcPr>
          <w:p w14:paraId="485F88C1" w14:textId="77777777" w:rsidR="007C5583" w:rsidRPr="008127F8" w:rsidRDefault="007C5583" w:rsidP="004C5D62">
            <w:pPr>
              <w:spacing w:after="0" w:line="240" w:lineRule="auto"/>
              <w:jc w:val="both"/>
              <w:rPr>
                <w:rFonts w:ascii="Times New Roman" w:hAnsi="Times New Roman"/>
                <w:color w:val="000000" w:themeColor="text1"/>
                <w:sz w:val="16"/>
                <w:szCs w:val="16"/>
              </w:rPr>
            </w:pPr>
          </w:p>
        </w:tc>
      </w:tr>
      <w:tr w:rsidR="007C5583" w:rsidRPr="008127F8" w14:paraId="43768D5F" w14:textId="77777777" w:rsidTr="004C5D62">
        <w:trPr>
          <w:tblCellSpacing w:w="7" w:type="dxa"/>
          <w:jc w:val="center"/>
        </w:trPr>
        <w:tc>
          <w:tcPr>
            <w:tcW w:w="0" w:type="auto"/>
            <w:vAlign w:val="center"/>
            <w:hideMark/>
          </w:tcPr>
          <w:p w14:paraId="01644007" w14:textId="77777777" w:rsidR="007C5583" w:rsidRPr="008127F8" w:rsidRDefault="007C5583" w:rsidP="004C5D62">
            <w:pPr>
              <w:spacing w:after="0" w:line="240" w:lineRule="auto"/>
              <w:jc w:val="both"/>
              <w:rPr>
                <w:rFonts w:ascii="Times New Roman" w:hAnsi="Times New Roman"/>
                <w:color w:val="000000" w:themeColor="text1"/>
                <w:sz w:val="16"/>
                <w:szCs w:val="16"/>
              </w:rPr>
            </w:pPr>
          </w:p>
        </w:tc>
        <w:tc>
          <w:tcPr>
            <w:tcW w:w="0" w:type="auto"/>
            <w:vAlign w:val="center"/>
            <w:hideMark/>
          </w:tcPr>
          <w:p w14:paraId="7DF90C61" w14:textId="77777777" w:rsidR="007C5583" w:rsidRPr="008127F8" w:rsidRDefault="007C5583" w:rsidP="004C5D62">
            <w:pPr>
              <w:spacing w:after="0" w:line="240" w:lineRule="auto"/>
              <w:jc w:val="both"/>
              <w:rPr>
                <w:rFonts w:ascii="Times New Roman" w:hAnsi="Times New Roman"/>
                <w:color w:val="000000" w:themeColor="text1"/>
                <w:sz w:val="16"/>
                <w:szCs w:val="16"/>
              </w:rPr>
            </w:pPr>
          </w:p>
        </w:tc>
        <w:tc>
          <w:tcPr>
            <w:tcW w:w="0" w:type="auto"/>
            <w:gridSpan w:val="2"/>
            <w:vAlign w:val="center"/>
            <w:hideMark/>
          </w:tcPr>
          <w:p w14:paraId="565CDC26"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Источник сведений: Отчет по испыт. опытого с-та Ла-5 от 17.5.42 г.</w:t>
            </w:r>
          </w:p>
        </w:tc>
      </w:tr>
    </w:tbl>
    <w:p w14:paraId="361A611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(12227).</w:t>
      </w:r>
    </w:p>
    <w:p w14:paraId="2D0C42B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AC70CC5" w14:textId="335ABF89" w:rsidR="00FA5FDE" w:rsidRPr="008A2E5A" w:rsidRDefault="00FA5FDE" w:rsidP="00FA5FD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мая 1942 года</w:t>
      </w:r>
      <w:r w:rsidR="00875B7D">
        <w:rPr>
          <w:rFonts w:ascii="Times New Roman" w:hAnsi="Times New Roman"/>
          <w:color w:val="0070C0"/>
          <w:sz w:val="16"/>
          <w:szCs w:val="16"/>
        </w:rPr>
        <w:t>.</w:t>
      </w:r>
      <w:r w:rsidRPr="008A2E5A">
        <w:rPr>
          <w:rFonts w:ascii="Times New Roman" w:hAnsi="Times New Roman"/>
          <w:color w:val="0070C0"/>
          <w:sz w:val="16"/>
          <w:szCs w:val="16"/>
        </w:rPr>
        <w:t xml:space="preserve"> После сбора всей необходимой информации, Шахурин совместно с командующим ВВС РККА маршалом Новиковым и Главным инженером ВВС Репиным обратились с письмом к Сталину.</w:t>
      </w:r>
    </w:p>
    <w:p w14:paraId="61419052" w14:textId="77777777" w:rsidR="00FA5FDE" w:rsidRPr="008A2E5A" w:rsidRDefault="00FA5FDE" w:rsidP="00FA5FD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Ответ Сталина от 18 мая был как холодный душ: «Товарищ Шахурин, слишком рано говорить о серийном производстве, поскольку недостатки должны быть обязательно устранены и самолет, несомненно, еще не готов для запуска в серию». В письме Сталина, как вскоре выяснилось, было много правды. Шахурин, Новиков и Репин в тот же день послали письмо № 2823, содержавшее детальное описание тактических и технических характеристик самолета ЛаГГ-3 с мотором М-82. В конце они также упомянули недостатки самолета:</w:t>
      </w:r>
    </w:p>
    <w:p w14:paraId="2B4A80D1" w14:textId="77777777" w:rsidR="00FA5FDE" w:rsidRPr="008A2E5A" w:rsidRDefault="00FA5FDE" w:rsidP="00FA5FD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Велика нагрузка на органы управления, особенно при переходе из одного виража в другой, противоположного направления.</w:t>
      </w:r>
    </w:p>
    <w:p w14:paraId="643CA266" w14:textId="77777777" w:rsidR="00FA5FDE" w:rsidRPr="008A2E5A" w:rsidRDefault="00FA5FDE" w:rsidP="00FA5FD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Отсутствие лобовых жалюзи капота приводит к переохлаждению мотора при работе на малом газу в планирующем полете.</w:t>
      </w:r>
    </w:p>
    <w:p w14:paraId="052F000B" w14:textId="77777777" w:rsidR="00FA5FDE" w:rsidRPr="008A2E5A" w:rsidRDefault="00FA5FDE" w:rsidP="00FA5FD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Не готова система управления мотором на малых оборотах.</w:t>
      </w:r>
    </w:p>
    <w:p w14:paraId="7721696E" w14:textId="77777777" w:rsidR="00FA5FDE" w:rsidRPr="008A2E5A" w:rsidRDefault="00FA5FDE" w:rsidP="00FA5FD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письме также говорилось, что Лавочкин обязуется устранить эти недостатки в течение одного-двух месяцев. В заключении письма авторы указывали, что благодаря незначительным модификациям (по отношению к ЛаГГ-3 с М-105) и большому заказу моторов М-82 на заводе № 19 целесообразно начать серийный выпуск истребителей ЛаГГ-3 с М-82.</w:t>
      </w:r>
    </w:p>
    <w:p w14:paraId="57D68D15" w14:textId="77777777" w:rsidR="00FA5FDE" w:rsidRPr="008A2E5A" w:rsidRDefault="00FA5FDE" w:rsidP="00FA5FD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Сталин отреагировал на это письмо вызовом Лавочкина в Кремль. После короткого ознакомления с отчетом Лавочкина, который был поддержан Шахуриным и секретарями областных парторганизаций Гусаровым и Родионовым, Сталин принял окончательное решение. На следующий день вышел приказ ГКО № ГКО-1786сс «О постройке самолета ЛаГГ-3 на заводе № 21», в соответствии с которым ОКБ Лавочкина возвращалось на 21-й завод, который возобновил выпуск ЛаГГ-3 (23547)</w:t>
      </w:r>
    </w:p>
    <w:p w14:paraId="5CEF3CAA" w14:textId="77777777" w:rsidR="00FA5FDE" w:rsidRPr="008A2E5A" w:rsidRDefault="00FA5FDE" w:rsidP="00FA5FDE">
      <w:pPr>
        <w:spacing w:after="0" w:line="240" w:lineRule="auto"/>
        <w:jc w:val="both"/>
        <w:rPr>
          <w:rFonts w:ascii="Times New Roman" w:hAnsi="Times New Roman"/>
          <w:color w:val="0070C0"/>
          <w:sz w:val="16"/>
          <w:szCs w:val="16"/>
        </w:rPr>
      </w:pPr>
    </w:p>
    <w:p w14:paraId="15089C83" w14:textId="77777777" w:rsidR="00FA5FDE" w:rsidRPr="008A2E5A" w:rsidRDefault="00FA5FDE" w:rsidP="00FA5FD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17-18 мая 1942 Як-7Б заводской № 2215302 выпуска завода № 153, аэродром Кольцово, май 1942 (на самолете установлены мотор М-105ПФ заводской № ПФ-235 и винт ВИШ-61П диаметром 3,0 м) проходил летные испытания в НИИ ВВС КА, в которых участвовали летчики-испытатели полковник Петр Стефановский и инженер-подполковник Андрей Кочетков. Во время полетов 17 мая, выяснилось, что система водяного охлаждения имеет недостаточную производительность для поддержания температуры воды в допустимом диапазоне (не свыше 100 ˚C) во время работы мотора на номинальном режиме. При наборе высоты на оборотах 2550 об/мин, при наддуве 1050 мм. рт. ст. и температуре наружного воздуха у земли 24 ˚C, уже на высоте 2000 м температура воды достигла 110 ˚C, после чего летчику пришлось сделать площадку. Когда температура воды снизилась до 85 ˚C, набор высоты был продолжен, при этом на высоте 5000 м температура воды достигла 111 ˚C. В горизонтальном полете на режиме максимальной скорости при оборотах 2550 об/мин на высотах 3500 и 4000 м температура воды поднималась до 105 ˚C. В ночь с 17 на 18 мая тоннель водяного радиатора был переделан – площадь входного отверстия тоннеля была увеличена с 1300 до 1500 кв. см, а угол открытия заслонки радиатора увеличен на 5˚. Испытания, проведенные на следующий день показали, что при температуре наружного воздуха у земли 25 ˚C температура воды во время набора высоты достигла 107 ˚C на высоте 4000 м, после чего, при продолжении набора, снизилась до 104 ˚C на высоте 5000 м. Всего за время испытаний было выполнено 10 полетов с налетом 7 ч. 30 мин. Взлетный вес самолета составлял 3005 кг. Испытания на максимальную скорость проводились при 2550 об/мин и наддуве 1050 мм. рт. ст. При этом у земли была достигнута скорость 515 км/ч, на первой границе высотности (1920 м) – 563 км/ч, а на второй границе высотности (3820 м) – 587 км/ч. На высоте 1000 м максимальная скорость составила 536 км/ч. Время набора высоты 5000 м равнялось 5,4 мин.</w:t>
      </w:r>
    </w:p>
    <w:p w14:paraId="066913F4" w14:textId="77777777" w:rsidR="00FA5FDE" w:rsidRPr="008A2E5A" w:rsidRDefault="00FA5FDE" w:rsidP="00FA5FD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Через несколько дней этот же самолет участвовал в совместных контрольных испытаниях НИИ ВВС КА и ЛИИ НКАП по определению летных данных самолетов ЛаГГ-3, Як-1 и Як-7 с моторами М-105П при наддувах 910 мм и 1050 мм, во время которых он продемонстрировал несколько худшие летные данные.</w:t>
      </w:r>
    </w:p>
    <w:p w14:paraId="082F1A43" w14:textId="77777777" w:rsidR="00FA5FDE" w:rsidRPr="008A2E5A" w:rsidRDefault="00FA5FDE" w:rsidP="00FA5FD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дальнейшем Як-7Б № 2215302 был отправлен на завод № 115 для установки мотора М-105ПД с нагнетателем Доллежаля Э-100. Одновременно с установкой нового двигателя был переделан гаргрот фюзеляжа и установлен новый фонарь кабины летчика с улучшенным обзором, а также сняты пулеметы УБС и радиостанция. В таком виде самолет проходил испытания в НИИ ВВС КА с 16 сентября по 6 октября 1942 (23546).</w:t>
      </w:r>
    </w:p>
    <w:p w14:paraId="120F2CAC" w14:textId="77777777" w:rsidR="00FA5FDE" w:rsidRPr="008A2E5A" w:rsidRDefault="00FA5FDE" w:rsidP="00FA5FDE">
      <w:pPr>
        <w:spacing w:after="0" w:line="240" w:lineRule="auto"/>
        <w:jc w:val="both"/>
        <w:rPr>
          <w:rFonts w:ascii="Times New Roman" w:hAnsi="Times New Roman"/>
          <w:color w:val="0070C0"/>
          <w:sz w:val="16"/>
          <w:szCs w:val="16"/>
        </w:rPr>
      </w:pPr>
    </w:p>
    <w:p w14:paraId="586DD6F4" w14:textId="77777777" w:rsidR="007C5583" w:rsidRPr="008127F8" w:rsidRDefault="007C5583" w:rsidP="007C5583">
      <w:pPr>
        <w:pStyle w:val="a4"/>
        <w:rPr>
          <w:color w:val="000000" w:themeColor="text1"/>
          <w:lang w:val="ru-RU"/>
        </w:rPr>
      </w:pPr>
      <w:r w:rsidRPr="008127F8">
        <w:rPr>
          <w:color w:val="000000" w:themeColor="text1"/>
          <w:lang w:val="ru-RU"/>
        </w:rPr>
        <w:t>17 мая 1942 на стол Сталину легла докладная записка за подписями наркома А.И. Шахури на, недавно назначенных нового Командующего ВВС А.А. Новикова и нового главного ин женера ВВС А.К. Репина о результатах совместных испытаний ЛаГГ-3 с М-82, в нем зафиксировали следующие данные: максимальная скорость у земли на номинале 515 км/ч, на форсаже на высоте 600 м — 560 км/ч, на 1-й границе высотности 3200 — 576 км/ч, на 2-й границе высотности 6450 м — 600 км/ч, время набора высоты 5000 на форсаже — 5,2 мин, на номинале — 6,0 мин. Отмечалось, что «летные данные само</w:t>
      </w:r>
      <w:r w:rsidRPr="008127F8">
        <w:rPr>
          <w:color w:val="000000" w:themeColor="text1"/>
          <w:lang w:val="ru-RU"/>
        </w:rPr>
        <w:softHyphen/>
        <w:t xml:space="preserve">лёта ЛАГГ-3 с М-82 выше лётных данных, как истребительных самолётов, состоящих на вооружении ВВС КА, так и последнего истребителя </w:t>
      </w:r>
      <w:r w:rsidRPr="008127F8">
        <w:rPr>
          <w:color w:val="000000" w:themeColor="text1"/>
        </w:rPr>
        <w:t>Bf</w:t>
      </w:r>
      <w:r w:rsidRPr="008127F8">
        <w:rPr>
          <w:color w:val="000000" w:themeColor="text1"/>
          <w:lang w:val="ru-RU"/>
        </w:rPr>
        <w:t xml:space="preserve"> 109</w:t>
      </w:r>
      <w:r w:rsidRPr="008127F8">
        <w:rPr>
          <w:color w:val="000000" w:themeColor="text1"/>
        </w:rPr>
        <w:t>F</w:t>
      </w:r>
      <w:r w:rsidRPr="008127F8">
        <w:rPr>
          <w:color w:val="000000" w:themeColor="text1"/>
          <w:lang w:val="ru-RU"/>
        </w:rPr>
        <w:t>». Из дефектов самолёта ука</w:t>
      </w:r>
      <w:r w:rsidRPr="008127F8">
        <w:rPr>
          <w:color w:val="000000" w:themeColor="text1"/>
          <w:lang w:val="ru-RU"/>
        </w:rPr>
        <w:softHyphen/>
        <w:t>зали всего три: по-прежнему тяжёлое управление самолётом, отсутствие передних жа</w:t>
      </w:r>
      <w:r w:rsidRPr="008127F8">
        <w:rPr>
          <w:color w:val="000000" w:themeColor="text1"/>
          <w:lang w:val="ru-RU"/>
        </w:rPr>
        <w:softHyphen/>
        <w:t xml:space="preserve">люзи мотора, что приводило к переохлаждению масла на планировании, и недове- дённость управления мотором в </w:t>
      </w:r>
      <w:r w:rsidRPr="008127F8">
        <w:rPr>
          <w:color w:val="000000" w:themeColor="text1"/>
          <w:lang w:val="ru-RU"/>
        </w:rPr>
        <w:lastRenderedPageBreak/>
        <w:t>части обеспечения малого газа на планировании. «Учитывая сравнительно высокие лётно-тактические данные самолёта ЛАГГ-3 с М-82, налаженность серийного производства ЛАГГ-3, все детали которого используются для данного самолёта, за исключением моторной рамы и капотов, а также наличие большо</w:t>
      </w:r>
      <w:r w:rsidRPr="008127F8">
        <w:rPr>
          <w:color w:val="000000" w:themeColor="text1"/>
          <w:lang w:val="ru-RU"/>
        </w:rPr>
        <w:softHyphen/>
        <w:t>го запаса моторов М-82 на заводе № 19, считаем целесообразным запустить ЛАГГ-3 с М-82 в серийное производство» — заключали руководители НКАП и ВВС.</w:t>
      </w:r>
    </w:p>
    <w:p w14:paraId="08DC2C3B" w14:textId="77777777" w:rsidR="007C5583" w:rsidRPr="008127F8" w:rsidRDefault="007C5583" w:rsidP="007C5583">
      <w:pPr>
        <w:pStyle w:val="a4"/>
        <w:rPr>
          <w:color w:val="000000" w:themeColor="text1"/>
          <w:lang w:val="ru-RU"/>
        </w:rPr>
      </w:pPr>
      <w:r w:rsidRPr="008127F8">
        <w:rPr>
          <w:color w:val="000000" w:themeColor="text1"/>
          <w:lang w:val="ru-RU"/>
        </w:rPr>
        <w:t>Однако Сталин осторожничал, и на этой записке собственноручно начертал: «Т-щу Шахурину. Пока рано говорить о «запуске» в серию: недостатки ещё не устранены и само</w:t>
      </w:r>
      <w:r w:rsidRPr="008127F8">
        <w:rPr>
          <w:color w:val="000000" w:themeColor="text1"/>
          <w:lang w:val="ru-RU"/>
        </w:rPr>
        <w:softHyphen/>
        <w:t xml:space="preserve">лёт безспорно (так в документе) ещё не готов для того, чтобы можно было говорить серьёзно о запуске в серию. И. Сталин». Вождь, безусловно, был в курсе всех перипетий с доводкой новых самолётов и моторов, когда неудач было гораздо больше, </w:t>
      </w:r>
      <w:r w:rsidRPr="008127F8">
        <w:rPr>
          <w:color w:val="000000" w:themeColor="text1"/>
        </w:rPr>
        <w:t>j</w:t>
      </w:r>
      <w:r w:rsidRPr="008127F8">
        <w:rPr>
          <w:color w:val="000000" w:themeColor="text1"/>
          <w:lang w:val="ru-RU"/>
        </w:rPr>
        <w:t xml:space="preserve"> чем удач. Поэтому и не спешил принимать каких-либо скоропалительных решений, хотя Лавочкин и обещал устранить все обнаруженные дефекты до начала серийного про- эдства. Впрочем, деланные «колебания» и «сомнения» были фирменным способом Сталина проверить твёрдость и серьёзность аргументов тех людей, которые приходили к нему с какими-либо предложениями (15788).</w:t>
      </w:r>
    </w:p>
    <w:p w14:paraId="019981E5" w14:textId="77777777" w:rsidR="007C5583" w:rsidRPr="008127F8" w:rsidRDefault="007C5583" w:rsidP="007C5583">
      <w:pPr>
        <w:pStyle w:val="a4"/>
        <w:rPr>
          <w:color w:val="000000" w:themeColor="text1"/>
          <w:lang w:val="ru-RU"/>
        </w:rPr>
      </w:pPr>
    </w:p>
    <w:p w14:paraId="7918D2F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мая 1942 состоялся первый полет дирижабля СССР В-12 (233,166).</w:t>
      </w:r>
    </w:p>
    <w:p w14:paraId="4862C8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A4F4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233580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8727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мая 1942 вышло Постановление ГКО № 1762 Об организации Всесоюзного социалистического соревнования заводов Народного Комиссариата Химической промышленности. РГАНИР, Фонд ГКО, д. 35, лл. 87, 88-90 (11012).</w:t>
      </w:r>
    </w:p>
    <w:p w14:paraId="19F579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5172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44A2501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E7A08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17 мая</w:t>
      </w:r>
      <w:r w:rsidRPr="008127F8">
        <w:rPr>
          <w:rFonts w:ascii="Times New Roman" w:hAnsi="Times New Roman"/>
          <w:color w:val="000000" w:themeColor="text1"/>
          <w:sz w:val="16"/>
          <w:szCs w:val="16"/>
        </w:rPr>
        <w:t xml:space="preserve"> в 1942 году утреннее сообщение Совинформбюро:</w:t>
      </w:r>
    </w:p>
    <w:p w14:paraId="4E0645E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17 мая на Керченском полуострове продолжались бои в районе города Керчь. На Харьковском направлении ваши войска вели наступательные бои. На других участках фронта чего-либо существенного не произошло.</w:t>
      </w:r>
    </w:p>
    <w:p w14:paraId="61B4166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Харьковском направлении наши войска успешно развивают наступление. Немецкие войска несут огромные потери в живой силе и технике. Гвардейцы под командованием тов. Родимцева уничтожила около 500 гитлеровцев, захватили упротивника 35 орудий, из них 15 тяжёлых, подбили и уничтожили 15 танков. Другая наша часть заняла ряд населённых пунктов и уничтожила 900 немецких солдат иофицеров. Взяты пленные. Захвачены трофеи: 28 орудий, 20 миномётов, 45 пулемётов, несколько складов с боеприпасами и продовольствием. На другом участке наши гвардейцы и танкисты отбили контратаку немцев и подбили в бою 42 танка противника.</w:t>
      </w:r>
    </w:p>
    <w:p w14:paraId="54CCD18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Калининского фронта пехота противника атаковала одно наше подразделение. Наши бойцы под командованием тов. Момыш-Улы встретили немцев огнём из миномётов и пулемётов, затем перешли в контратаку и отбросили гитлеровцев. На поле боя осталось более 120 вражеских трупов. Выведены из строя 2 немецких танка.</w:t>
      </w:r>
    </w:p>
    <w:p w14:paraId="508DF20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Зенитчики под командованием тов. Кириченко на днях рассеяли две группы немецких бомбардировщиков и метким огнём сбили 6 самолётов противника.</w:t>
      </w:r>
    </w:p>
    <w:p w14:paraId="708B61F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истекшую неделю над передней линией Южного фронта ружейно-пулемётным огнём наших бойцов сбито 7 немецких самолётов.</w:t>
      </w:r>
    </w:p>
    <w:p w14:paraId="2E3A35F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9 роты 56 полка 6 немецкой пехотной дивизии Август Лер рассказал: «В одном бою 9 рота потеряла около 100 человек убитыми и ранеными. Другие роты понесли также крупные потери. Убито много офицеров, в том числе обер-лейтенант Зауэр. Каждую ночь нас бомбила русская авиация. Недавно полк получил пополнение из дивизионного резерва и опять был брошен в наступление. Все наши атаки кончились плачевно. После этих боев в ротах осталось по 20—30 человек. Выбыло из строя много офицеров. Командир роты убит, а заменивший его лейтенант ранен».</w:t>
      </w:r>
    </w:p>
    <w:p w14:paraId="0A36357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испанской «Голубой дивизии» Висенте Монтес де ля Росса рассказал: «Три года я просидел в тюрьме. Чтобы вырваться оттуда, я записался добровольцем в «Голубую дивизию». То, что я увидел на фронте, меня крайне поразило. От «Голубой дивизии» уцелели жалкие остатки. Солдаты опустились: не мылись по нескольку месяцев. Все обросли бородами. Шинели, брюки совсем изорвались. Настроение у всех подавленное».</w:t>
      </w:r>
    </w:p>
    <w:p w14:paraId="5CAD775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Немецкому унтер-офицеру Геллеру пишут: «В Гамбурге вспыхнула эпидемия дифтерита. Здесь опасаются широкого распространения этой ужасной болезни».</w:t>
      </w:r>
    </w:p>
    <w:p w14:paraId="05C8E48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Многие предприятия Бельгии, работающие на германскую армию, за последнее время значительно уменьшили выпуск продукции в связи с острым недостатком сырья. Заводы Ренниентала и Аскония в Брюсселе из-за нехватки меди и стали работают только одну смену.» (14894).</w:t>
      </w:r>
    </w:p>
    <w:p w14:paraId="06F4F72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EBA454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17 мая</w:t>
      </w:r>
      <w:r w:rsidRPr="008127F8">
        <w:rPr>
          <w:rFonts w:ascii="Times New Roman" w:hAnsi="Times New Roman"/>
          <w:color w:val="000000" w:themeColor="text1"/>
          <w:sz w:val="16"/>
          <w:szCs w:val="16"/>
        </w:rPr>
        <w:t xml:space="preserve"> в 1942 году вечернее сообщение Совинформбюро:</w:t>
      </w:r>
    </w:p>
    <w:p w14:paraId="4B013BF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17 мая на Харьковском направлении наши войска вели наступательные бои и продвигались вперёд.</w:t>
      </w:r>
    </w:p>
    <w:p w14:paraId="0965636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Керченском полуострове в районе города Керчь наши войска вели напряжённыебои.</w:t>
      </w:r>
    </w:p>
    <w:p w14:paraId="11A2E12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чего-либо существенного не произошло.</w:t>
      </w:r>
    </w:p>
    <w:p w14:paraId="30A539C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16 мая уничтожено 65 немецких самолётов. Наши потери — 20 самолётов.</w:t>
      </w:r>
    </w:p>
    <w:p w14:paraId="4DA5D37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Советский корабль в Баренцевом море потопил транспорт противника водоизмещением в 6.000 тонн.</w:t>
      </w:r>
    </w:p>
    <w:p w14:paraId="6DAD7B9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16 мая частями нашей авиации на разных участках фронта уничтожено или повреждено 46 немецких танков, 90 автомашин с войсками и грузами, 2 автоцистерныс горючим, 3 полевых орудия, 13 зенитно-пулемётных точек, 17 миномётов, разбито 45 железнодорожных вагонов, взорван склад с горючим, подавлен огонь 3 артиллерийских и 2 миномётных батарей, рассеяно и частью уничтожено до трёх рот пехоты противника.</w:t>
      </w:r>
    </w:p>
    <w:p w14:paraId="336ABB5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войска, действующие на Харьковском направлении, продолжают успешно продвигаться вперёд. Гитлеровцы несут большие потери в людях и боевой технике. Только на отдельных участках за истекший день уничтожено 1.500 немецких солдат и офицеров, 13 танков, 12 орудий, 22 пулемёта, склад с боеприпасами и вещевойсклад. Захвачены трофеи. Взято большое количество пленных.</w:t>
      </w:r>
    </w:p>
    <w:p w14:paraId="20A141F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Лётчики Запрягаев, Соломатин и Скотный во главе с командиром Ерёминым за один день боёв с противником сбили два «Мессершмитта-109» и один «Юнкерс-88». Кроме того, они совместно с лётчиками подразделения, которым командует тов. Алферов, сбили ещё три вражеских самолёта.</w:t>
      </w:r>
    </w:p>
    <w:p w14:paraId="656D2A6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Северо-Западного фронта гитлеровцы пытались вернуть только что занятый нашими бойцами опорный пункт. Контратака была отбита с тяжёлыми для врага потерями. Наши бойцы под командованием тов. Анищенко уничтожили в этом бою до 300 немецких солдат и офицеров.</w:t>
      </w:r>
    </w:p>
    <w:p w14:paraId="2801752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Орудийный расчёт под командованием старшего лейтенанта тов. Кораблина в одном бою уничтожил 2 вражеские батареи, противотанковое орудие, разрушил блиндаж и рассеял большую группу пехоты противника.</w:t>
      </w:r>
    </w:p>
    <w:p w14:paraId="5AF960E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 старшего лейтенанта Шепельнова уничтожил вражеский танк, 5 пулемётов, 3 противотанковых орудия и до 30 гитлеровцев.</w:t>
      </w:r>
    </w:p>
    <w:p w14:paraId="2C06FC5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 подразделения тов. Данилевский подпустил группу немецких танков на близкое расстояние и метким огнём из противотанкового ружья подбил две вражеские машины. Остальные танки противника повернули обратно.</w:t>
      </w:r>
    </w:p>
    <w:p w14:paraId="230B9CE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61 немецкой пехотной дивизии австриец Иосиф Ф. рассказал:«Немцы презрительно относятся к австрийцам, называют их «мармеладными братьями» и другими кличками. Я решительный противник гитлеровского режима и поэтому делал всё возможное, чтобы ослабить немецкую армию. Как пулемётчик, я по нотам неоднократно начинал беспорядочную стрельбу вверх, стараясь израсходовать впустую как можно больше патронов. Уговаривал других пулемётчиков делать то же самое. Я всё время выжидал случая, чтобы сдаться в плен. Однако это сделать не так легко. Недалеко от нашей передовой линии находилось минное поле. В середине февраля один солдат, который хотел сдаться в плен, подорвался на минах. Недавно я выбрал удобный момент. Немецкие солдаты отправились в разведку. Я учёл, что в направлении своей разведки немцы стрелять не будут, вышел из блиндажа, сказав товарищам, что иду набрать воды, добрался до русских постов и сдался в плен».</w:t>
      </w:r>
    </w:p>
    <w:p w14:paraId="0F900B9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Голландии гитлеровцы приступили к массовой насильственной отправке рабочих в Германию. Оккупационные власти получили задание любыми средствами мобилизовать голландцев для работы в германской промышленности и сельском хозяйстве. Ввиду того, что рабочие отказываются ехать на верную смерть в фашистскую Германию, оккупанты прибегают к жестоким репрессиям. Специальные вооружённые отряды гитлеровцев насильно сажают голландцев в вагоны и под охраной отправляют в Германию.» (14894).</w:t>
      </w:r>
    </w:p>
    <w:p w14:paraId="24194B0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95FA3E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17 мая</w:t>
      </w:r>
      <w:r w:rsidRPr="008127F8">
        <w:rPr>
          <w:rFonts w:ascii="Times New Roman" w:hAnsi="Times New Roman"/>
          <w:color w:val="000000" w:themeColor="text1"/>
          <w:sz w:val="16"/>
          <w:szCs w:val="16"/>
        </w:rPr>
        <w:t xml:space="preserve"> в 1942 году из района Краматорска и Славянска перешла в наступление против 9-й армии Южного фронта армейская группа «Клейст». Войска 9-й армии начали отступление (14894).</w:t>
      </w:r>
    </w:p>
    <w:p w14:paraId="651FD1B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0BE7DE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Рано утром 17 мая 1942 в Мурманске была объявлена тревога. По агентурным данным командованию 14-й Армии стало известно, что 17 и 18 мая противник готовится нанести массированный торпедно-бомбовый удар по транспортам и кораблям в Кольском заливе. Командование Северного флота было вынуждено усилить противовоздушную оборону порта и города Мурманск. Тринадцать Ju 88 в сопровождении девяти Bf 109 тремя группами пытались нанести бомбовый удар по городу. Вражеские самолеты, встреченные организованным зенитным огнем и истребителями Северного Флота, сбросили бомбы в воду в районе мыса Халдеев, каботажной пристани и железной дороги. Взрывной волной были повреждены электролиния и жилой дом, семь человек получили ранения. Борис Сафонов, вылетевший по тревоге на "Киттихоке" в составе девятки "Харрикейнов", в районе озера Кодъявр перехватил основную группу Ju 88 под прикрытием трех Bf 109. Ударная группа "Харрикейнов" связала боем "Мессершмитта", а группа Сафонова атаковала бомбардировщики. Сафонов с дистанции около 300 м выпустил длинную очередь по "Юнкерсу". Воздушный стрелок бомбардировщика перестал вести огонь. Сблизившись почти вплотную, Сафонов дал еще несколько очередей. Ju 88 задымил и резко </w:t>
      </w:r>
      <w:r w:rsidRPr="008127F8">
        <w:rPr>
          <w:rFonts w:ascii="Times New Roman" w:hAnsi="Times New Roman"/>
          <w:color w:val="000000" w:themeColor="text1"/>
          <w:sz w:val="16"/>
          <w:szCs w:val="16"/>
        </w:rPr>
        <w:lastRenderedPageBreak/>
        <w:t>провалился вниз. Это была 17-я воздушная победа североморского аса в 208-м боевом вылете. Летчиками 2 ГК АП было заявлено об уничтожении в этом бою двух Ju 88. Один сбитый "Юнкере" на свой счет записали и армейские летчики из 20 ГИАП и 197 ИАП, также участвовавшие в отражении налета. Наши потери: в бою был сбит гв. младший лейтенант И. С. Криворученко. Борис Сафонов вылетел на поиски летчика. Немецкие источники подтверждают потерю 17 мая 1942 г. в районе Мурманска лишь одного бомбардировщика. С боевого задания не вернулся Ju 88A-4 WNr.2062 из 1-й эскадрильи 30-й бомбардировочной эскадры "Адлер" (1./KG 30 "Adier"). Экипаж самолета числится в списке без вести пропавших. Кроме того, в групповом бою над Мурманском североморскими летчиками впервые в небе Заполярья был сбит Bf 109F-2. Немецкий летчик выбросился на парашюте и был взят в плен. Им оказался оберфельдфебель Вилли Пфрангер (Ofw. Willi Pfranger), один из опытнейших летчиков 6./JG 5, воевавший на Мурманском направлении с самого начала войны. Борис Сафонов присутствовал на его допросе, где немецкий летчик охотно отвечал на все задаваемые ему вопросы, но держался очень самоуверенно и не хотел признавать того факта, что его сбили советские истребители, утверждая, что стал случайной жертвой своих. (В 1943 г. Вилли Пфрангера забросили в немецкий тыл в качестве диверсанта с целью угнать новейший Bf 109G, но бывший военнопленный, оказавшись на своей территории, сразу же сдался. После проверки и очной ставки со своим бывшим командиром майором Хорстом Карганико, он был восстановлен в правах и продолжил свою военную службу, правда, уже на другом театре военных действий.) (3222).</w:t>
      </w:r>
    </w:p>
    <w:p w14:paraId="76F0E7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FC57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Утром 17 мая 1942 11 немецких дивизий из группы армий Клейста, прорвав обо</w:t>
      </w:r>
      <w:r w:rsidRPr="008127F8">
        <w:rPr>
          <w:rFonts w:ascii="Times New Roman" w:hAnsi="Times New Roman"/>
          <w:color w:val="000000" w:themeColor="text1"/>
          <w:sz w:val="16"/>
          <w:szCs w:val="16"/>
        </w:rPr>
        <w:softHyphen/>
        <w:t>рону 9-й и 57-й армий Южного фронта (из района Славянск-Краматорск), нача</w:t>
      </w:r>
      <w:r w:rsidRPr="008127F8">
        <w:rPr>
          <w:rFonts w:ascii="Times New Roman" w:hAnsi="Times New Roman"/>
          <w:color w:val="000000" w:themeColor="text1"/>
          <w:sz w:val="16"/>
          <w:szCs w:val="16"/>
        </w:rPr>
        <w:softHyphen/>
        <w:t>ли стремительное продвижение во фланг левого крыла Юго-Западного фронта. Уже через два дня обстановка на этом направлении стала катастрофической -ударная группировка немцев вышла в тыл войскам Юго-Западного фронта. Ставка ВГК приказала прекратить на</w:t>
      </w:r>
      <w:r w:rsidRPr="008127F8">
        <w:rPr>
          <w:rFonts w:ascii="Times New Roman" w:hAnsi="Times New Roman"/>
          <w:color w:val="000000" w:themeColor="text1"/>
          <w:sz w:val="16"/>
          <w:szCs w:val="16"/>
        </w:rPr>
        <w:softHyphen/>
        <w:t>ступление на Харьков и повернуть глав</w:t>
      </w:r>
      <w:r w:rsidRPr="008127F8">
        <w:rPr>
          <w:rFonts w:ascii="Times New Roman" w:hAnsi="Times New Roman"/>
          <w:color w:val="000000" w:themeColor="text1"/>
          <w:sz w:val="16"/>
          <w:szCs w:val="16"/>
        </w:rPr>
        <w:softHyphen/>
        <w:t>ные силы барвенковской ударной груп</w:t>
      </w:r>
      <w:r w:rsidRPr="008127F8">
        <w:rPr>
          <w:rFonts w:ascii="Times New Roman" w:hAnsi="Times New Roman"/>
          <w:color w:val="000000" w:themeColor="text1"/>
          <w:sz w:val="16"/>
          <w:szCs w:val="16"/>
        </w:rPr>
        <w:softHyphen/>
        <w:t>пировки против армейской группы Клей</w:t>
      </w:r>
      <w:r w:rsidRPr="008127F8">
        <w:rPr>
          <w:rFonts w:ascii="Times New Roman" w:hAnsi="Times New Roman"/>
          <w:color w:val="000000" w:themeColor="text1"/>
          <w:sz w:val="16"/>
          <w:szCs w:val="16"/>
        </w:rPr>
        <w:softHyphen/>
        <w:t>ста. Было, однако, уже поздно. Войска фронта с большими потерями были вынуждены отойти за реку Оскол, пыта</w:t>
      </w:r>
      <w:r w:rsidRPr="008127F8">
        <w:rPr>
          <w:rFonts w:ascii="Times New Roman" w:hAnsi="Times New Roman"/>
          <w:color w:val="000000" w:themeColor="text1"/>
          <w:sz w:val="16"/>
          <w:szCs w:val="16"/>
        </w:rPr>
        <w:softHyphen/>
        <w:t>ясь закрепиться на тыловых рубежах (6467).</w:t>
      </w:r>
    </w:p>
    <w:p w14:paraId="75C38A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B3D28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May 17th, 1942: In the East, Heeresgruppe Mitte (von Bock) begins a counter-offensive against Soviet attacks toward Charkov and the Donbas (3819).</w:t>
      </w:r>
    </w:p>
    <w:p w14:paraId="32A031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685A4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17 по 28 мая 1942 состоялась битва за Харьков (2245,4) и немцы остановили наступление КА (2261).</w:t>
      </w:r>
    </w:p>
    <w:p w14:paraId="1014C13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45E9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мая 1942 при сильной поддержке своей авиации утром немецкие войска контратаковали и прорвали оборону 9-и армий Южного фронта на Барвенковском направлении, со стороны Краматорска и Славянска. 11 немецких дивизии из группы армии Клейста начали стремительное продвижение во фланг левого крыла Юго-Западного фронта. С противоположной стороны выступа перешла в наступление немецкая 6-я армия. Сильное танковое сражение разгорелось в районе Волчанска, к северо-востоку от Харькова. Внутри выступа Красноград стал центром наземных боев. В каждом секторе немецкие войска действовали при сильной поддержке своих пикировщиков и штурмовиков. Одновременно экипажи бомбардировщиков IV-го авиакорпуса люфтваффе выполняли в среднем до семи вылетов в день с целью блокирования перевозок через ж/д узел Купянск.</w:t>
      </w:r>
    </w:p>
    <w:p w14:paraId="202BD56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Истребительная авиация противника принимала активное участие в штурмовке наземных частей и аэродромов. 15 и 17 мая бомбоштурмовому удару подвергался аэродром Малая Камышеваха, который атаковали 2-3 Ю-88 и сопровождавшие их Me-109. Удары оказались практически безрезультатными, но при повторном налете над аэродромом был сбит и погиб л-т Вольфрам Штехер из 8./JG 77. 16, 17 и 19 мая особо интенсивно был проштурмован аэродром Левковка. Каждый раз в атаке принимали участие 9 Ме-109 и 5-11 Ю-88. Но. как и при штурмовке аэродрома Малая Камышеваха, никакого значительного урона нанесено не было (9394,16).</w:t>
      </w:r>
    </w:p>
    <w:p w14:paraId="4CA5D17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628DC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2FE64F0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71C44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мая 1942 г. было обращение участников Свердловского областного совещания стахановцев-тысячников ко всем рабочим, работницам, инженерно-техническим работникам предприятий Свердловской области: «Что представляет собой движение тысячников, как они работают, чтобы дать фронту больше вооружения и боеприпасов, лучше всего видно на примере знатного уральского фрезеровщика, новатора, лауреата Государственной премии Дмитрия Филипповича Босого. /.../ Советское Информационное бюро разнесло весть о первой победе Босого по всей стране - весть о том, как он за четыре рабочих дня выполнил двухмесячное задание. Примеру т. Босого последовали десятки, а затем и сотни стахановцев Урала /.../ Движение тысячников растет с каждым днем, давая все новые и новые образцы рекордной производительности труда. Мы, тысячники, такие же рабочие, как и все остальные. Так работать, как работаем мы, может научиться любой рабочий. Секрет наших успехов прост. Это, прежде всего, неукротимое стремление работать по-фронтовому, давать нашей героической Красной Армии как можно больше вооружения и боеприпасов. А что значит работать по-фронтовому? Это значит, в совершенстве знать свой станок, уметь выжимать из техники все, что она может дать, работать умело, творчески, с душой, работать за двоих, за троих. Для того, чтобы всем добиться рекорд- ной выработки, перевыполнять ежедневно план, нужно заблаговременно до гудка прийти на работу, привести в полный порядок свой станок, обеспечить себя материалом и инструментом и т.д. Без хорошей организации своего дела нет, и не может быть, успеха в борьбе за высокую производительность труда. Мы обращаемся ко всем уральцам-стахановцам: Товарищи! Становитесь в ряды двухсотников, пятисотников, тысячников! Рационализацией труда, новыми приспособлениями к станкам, усовершенствованием технологии производства обеспечивайте выпуск наибольшего количества продукции для фронта. Чем больше будет в наших рядах двухсотников и тысячников, тем скорее мы уничтожим ненавистного врага. Наша задача, однако, не исчерпывается ростом числа тысячников/.../ Возьмем пример с токаря-стахановца Уралмаша т. Спехова, который обучил 30 человек из вновь пришедших на завод рабочих и взял обязательство обучить еще 30 человек» [Устьянцев С.В., Пислегина А.В., Фахретденова А.Х. Уралвагонзавод. Элита российской индустрии. Екатеринбург,2001.С.13,46,209] (18250).</w:t>
      </w:r>
    </w:p>
    <w:p w14:paraId="7484061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7E9F3C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3539C9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04382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1942 под руководством Зам. Нач. ГУЗ и ТС ВВС Бибикова прошло совместное совещание командования 1-й ЗАБ с ГИ и военпредами заводов 1, 18, 24 по вопросу восстановления самолетов, полученных от авиазаводов и принятии мер по дальнейшему улучшению качества продукции, выпускаемой заводами 1, 18 и 24. Отметили дефекты двигателей, радиаторов, разрушение деревянных фюзеляжей и т.п. (1634,340).</w:t>
      </w:r>
    </w:p>
    <w:p w14:paraId="0DEB0CB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1942 состоялось:</w:t>
      </w:r>
    </w:p>
    <w:p w14:paraId="0D533BB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 Р Е Д Л О Ж Е Н И Я</w:t>
      </w:r>
    </w:p>
    <w:p w14:paraId="4D27C68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совместного совещания командования 1-й Запасной Авиа</w:t>
      </w:r>
      <w:r w:rsidRPr="008127F8">
        <w:rPr>
          <w:rFonts w:ascii="Times New Roman" w:hAnsi="Times New Roman"/>
          <w:color w:val="000000" w:themeColor="text1"/>
          <w:sz w:val="16"/>
          <w:szCs w:val="16"/>
        </w:rPr>
        <w:softHyphen/>
        <w:t>ционной Бригады а главвыш инженерами в военными пред</w:t>
      </w:r>
      <w:r w:rsidRPr="008127F8">
        <w:rPr>
          <w:rFonts w:ascii="Times New Roman" w:hAnsi="Times New Roman"/>
          <w:color w:val="000000" w:themeColor="text1"/>
          <w:sz w:val="16"/>
          <w:szCs w:val="16"/>
        </w:rPr>
        <w:softHyphen/>
        <w:t>ставителями авиазаводов $$ 1,18,24, проведенвого 18 мая 1942 года оод руководством Зам. Начальника главного Управлевия Заказов и Технического Снабжения ВВС КА бриг-инженера г. БИБИКОВА, по вопросу о восстановлении само</w:t>
      </w:r>
      <w:r w:rsidRPr="008127F8">
        <w:rPr>
          <w:rFonts w:ascii="Times New Roman" w:hAnsi="Times New Roman"/>
          <w:color w:val="000000" w:themeColor="text1"/>
          <w:sz w:val="16"/>
          <w:szCs w:val="16"/>
        </w:rPr>
        <w:softHyphen/>
        <w:t>летов, по л ученных от авиазаводов и принятии мер по даль</w:t>
      </w:r>
      <w:r w:rsidRPr="008127F8">
        <w:rPr>
          <w:rFonts w:ascii="Times New Roman" w:hAnsi="Times New Roman"/>
          <w:color w:val="000000" w:themeColor="text1"/>
          <w:sz w:val="16"/>
          <w:szCs w:val="16"/>
        </w:rPr>
        <w:softHyphen/>
        <w:t>нейшему улучшению качества продукции, выпускаемой с за</w:t>
      </w:r>
      <w:r w:rsidRPr="008127F8">
        <w:rPr>
          <w:rFonts w:ascii="Times New Roman" w:hAnsi="Times New Roman"/>
          <w:color w:val="000000" w:themeColor="text1"/>
          <w:sz w:val="16"/>
          <w:szCs w:val="16"/>
        </w:rPr>
        <w:softHyphen/>
        <w:t>водов №№ 1; 18 и 24.</w:t>
      </w:r>
    </w:p>
    <w:p w14:paraId="09F744F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Совещании присутсствовали:</w:t>
      </w:r>
    </w:p>
    <w:p w14:paraId="6E1C919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Бригинженер т. БИБИКОВ</w:t>
      </w:r>
    </w:p>
    <w:p w14:paraId="590B197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Генерал-майор авиации т. ПАПИВИН</w:t>
      </w:r>
    </w:p>
    <w:p w14:paraId="19DDA82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Полковой комиссар т. СУШИН</w:t>
      </w:r>
    </w:p>
    <w:p w14:paraId="6788AE8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Полковник ТИТОВ - от ВВС КА</w:t>
      </w:r>
    </w:p>
    <w:p w14:paraId="019CE43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Подполковник БРАУНШТЕЙН - из ВВС КА</w:t>
      </w:r>
    </w:p>
    <w:p w14:paraId="7AEAC92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Главный инженер завода № 1 т. ЛИТВИНОВ</w:t>
      </w:r>
    </w:p>
    <w:p w14:paraId="1C347E9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Главный инженер завода № 18 т. ВОСТРОВ</w:t>
      </w:r>
    </w:p>
    <w:p w14:paraId="24EA4C7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Главный инкенер завода № 24 т. КУИНДЖИ</w:t>
      </w:r>
    </w:p>
    <w:p w14:paraId="4B85302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Главный инженер 1 ЗАБ в/инкенер 1 ранга т. КРАВЧЕНКО</w:t>
      </w:r>
    </w:p>
    <w:p w14:paraId="4F9417D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Военные представители и ивжеверы запасных авиаполков 1 ЗАБ</w:t>
      </w:r>
    </w:p>
    <w:p w14:paraId="7F6443C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ревультате доклада главного инженера 1-й Запасвой Авиационной Бригады воениавенера 1 ранга т. КРАВЧЕНКО /см. стенограмму/ о состоянии самолетов ИЛ-2 и моторов АМ-38, на</w:t>
      </w:r>
      <w:r w:rsidRPr="008127F8">
        <w:rPr>
          <w:rFonts w:ascii="Times New Roman" w:hAnsi="Times New Roman"/>
          <w:color w:val="000000" w:themeColor="text1"/>
          <w:sz w:val="16"/>
          <w:szCs w:val="16"/>
        </w:rPr>
        <w:softHyphen/>
        <w:t>ходящихся на аэродромах 1-й Запасной Авиабригады, и выступ</w:t>
      </w:r>
      <w:r w:rsidRPr="008127F8">
        <w:rPr>
          <w:rFonts w:ascii="Times New Roman" w:hAnsi="Times New Roman"/>
          <w:color w:val="000000" w:themeColor="text1"/>
          <w:sz w:val="16"/>
          <w:szCs w:val="16"/>
        </w:rPr>
        <w:softHyphen/>
        <w:t>лений инженеров запасных авиаполков, главных инженеров авиазаводов и военных представителей, совещание считает:</w:t>
      </w:r>
    </w:p>
    <w:p w14:paraId="44887EC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Наличие ряда дефектов на моторах АМ-38 и самолетатах ИЛ-2 создает тормозы в своевременной подготовке летного состава в запасных авиаполках и отправке маршевых авиаполков на фронт.</w:t>
      </w:r>
    </w:p>
    <w:p w14:paraId="4375A57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Отмечаются следующие основные дефекты на моторах АМ-38 и самолетах ИЛ-2:</w:t>
      </w:r>
    </w:p>
    <w:p w14:paraId="135A818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разрушение шатунов;</w:t>
      </w:r>
    </w:p>
    <w:p w14:paraId="1227FF1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эаклинивание моторов;</w:t>
      </w:r>
    </w:p>
    <w:p w14:paraId="2371260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обрывы клапанов;</w:t>
      </w:r>
    </w:p>
    <w:p w14:paraId="46CC1E1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разрушение фюзеляжей</w:t>
      </w:r>
    </w:p>
    <w:p w14:paraId="1FAAA8B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износ поршневых колец</w:t>
      </w:r>
    </w:p>
    <w:p w14:paraId="7116C72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этим причинам в авиаполках имеет место катастрофы, аварии, поломки и вынужденные посадки.</w:t>
      </w:r>
    </w:p>
    <w:p w14:paraId="11E2DAC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Для устранения перечисленных дефектов требуется немед</w:t>
      </w:r>
      <w:r w:rsidRPr="008127F8">
        <w:rPr>
          <w:rFonts w:ascii="Times New Roman" w:hAnsi="Times New Roman"/>
          <w:color w:val="000000" w:themeColor="text1"/>
          <w:sz w:val="16"/>
          <w:szCs w:val="16"/>
        </w:rPr>
        <w:softHyphen/>
        <w:t>ленное вмешательство НКАП и специальные указания авиазаводам по устранению отмеченных дефектов.</w:t>
      </w:r>
    </w:p>
    <w:p w14:paraId="46EF62A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Такие дефекты моторов, как поломки распределительных валиков, штоков клапанов, вызваны ослаблением контроля на отдельных участках уавода № 24 и доланы быть немедленно устранены директором завода № 24.</w:t>
      </w:r>
    </w:p>
    <w:p w14:paraId="68A8652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Для приведения в боевое состояние находящихся на аэродромах 1 ЗАБ самолетов и моторов, вышедших преждевремен</w:t>
      </w:r>
      <w:r w:rsidRPr="008127F8">
        <w:rPr>
          <w:rFonts w:ascii="Times New Roman" w:hAnsi="Times New Roman"/>
          <w:color w:val="000000" w:themeColor="text1"/>
          <w:sz w:val="16"/>
          <w:szCs w:val="16"/>
        </w:rPr>
        <w:softHyphen/>
        <w:t>но из строя по вине производства, а также в целях оператив</w:t>
      </w:r>
      <w:r w:rsidRPr="008127F8">
        <w:rPr>
          <w:rFonts w:ascii="Times New Roman" w:hAnsi="Times New Roman"/>
          <w:color w:val="000000" w:themeColor="text1"/>
          <w:sz w:val="16"/>
          <w:szCs w:val="16"/>
        </w:rPr>
        <w:softHyphen/>
        <w:t>ного устранения дефектов и предупреждения их в дальнейшем, заводы №№ 24, 1 и 18 обязуются создать на каждом аэродроме склады запасных частей, выделить нукное количество рабочих бригад, а командование 1-и запасной Авиационной Бригады обеспечить размещение, питание этих бригад на свиях аэрод</w:t>
      </w:r>
      <w:r w:rsidRPr="008127F8">
        <w:rPr>
          <w:rFonts w:ascii="Times New Roman" w:hAnsi="Times New Roman"/>
          <w:color w:val="000000" w:themeColor="text1"/>
          <w:sz w:val="16"/>
          <w:szCs w:val="16"/>
        </w:rPr>
        <w:softHyphen/>
        <w:t>ромах и помощь техническим составом в проводимой работе.</w:t>
      </w:r>
    </w:p>
    <w:p w14:paraId="1F3D63C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Срок приведения в исправное состояние принятых от авиазаводов всех самолетов и моторов установить не позднее -15.6.42.</w:t>
      </w:r>
    </w:p>
    <w:p w14:paraId="1128D41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Просить Наркома авиационной промышленности тов. ШАХУРИНА:</w:t>
      </w:r>
    </w:p>
    <w:p w14:paraId="665DE65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дать указание взводам № 1 и 18 немедленно приступить в серийном производстве к установке дополнительных маслобаков, исключающих возможность масляного голодания мо-горов АМ-38 при длительных полетах;</w:t>
      </w:r>
    </w:p>
    <w:p w14:paraId="3B5ADCA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выделить заводу № 24 2 самолета ИЛ-2 для постоянного испытания и контроля работы моторов АМ-38 и доработки винто</w:t>
      </w:r>
      <w:r w:rsidRPr="008127F8">
        <w:rPr>
          <w:rFonts w:ascii="Times New Roman" w:hAnsi="Times New Roman"/>
          <w:color w:val="000000" w:themeColor="text1"/>
          <w:sz w:val="16"/>
          <w:szCs w:val="16"/>
        </w:rPr>
        <w:softHyphen/>
        <w:t>моторной группы.</w:t>
      </w:r>
    </w:p>
    <w:p w14:paraId="27D05B0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Командир 1 ЗАБ генерал-майор авиации т. ПАПИВИН обязывается провести ускоренными темпами 30 -часовое испы</w:t>
      </w:r>
      <w:r w:rsidRPr="008127F8">
        <w:rPr>
          <w:rFonts w:ascii="Times New Roman" w:hAnsi="Times New Roman"/>
          <w:color w:val="000000" w:themeColor="text1"/>
          <w:sz w:val="16"/>
          <w:szCs w:val="16"/>
        </w:rPr>
        <w:softHyphen/>
        <w:t>тание в воздухе моторов АМ-38 с дополнительным подводом масла к передней опоре. Испытание закончить к 25.5.42.</w:t>
      </w:r>
    </w:p>
    <w:p w14:paraId="7F40B2E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Просить Наркома авиационной промышленности т. ШАХУРИНА обязать главного конструктора т. ИЛЬЮШИНА, директоров заводов №№ 1 и 18 приступить немедленно к установке воздухоочисти</w:t>
      </w:r>
      <w:r w:rsidRPr="008127F8">
        <w:rPr>
          <w:rFonts w:ascii="Times New Roman" w:hAnsi="Times New Roman"/>
          <w:color w:val="000000" w:themeColor="text1"/>
          <w:sz w:val="16"/>
          <w:szCs w:val="16"/>
        </w:rPr>
        <w:softHyphen/>
        <w:t>телей на самолетах ИЛ-2.</w:t>
      </w:r>
    </w:p>
    <w:p w14:paraId="701CD4F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В связи с имеющими место разрушениями фюзелякей, просить главного конструктора т. ИЛЬЮШИНА и директоров заводов• №№ 1 и 18 установить причины этого дефекта и при</w:t>
      </w:r>
      <w:r w:rsidRPr="008127F8">
        <w:rPr>
          <w:rFonts w:ascii="Times New Roman" w:hAnsi="Times New Roman"/>
          <w:color w:val="000000" w:themeColor="text1"/>
          <w:sz w:val="16"/>
          <w:szCs w:val="16"/>
        </w:rPr>
        <w:softHyphen/>
        <w:t>нять меры к усилению конструкции.</w:t>
      </w:r>
    </w:p>
    <w:p w14:paraId="1D23ABE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Считать крайне необходимым организовать при 1 ЗАБ склад запасных частей текущего довольствия для ИЛ-2 и АМ-38, для чего просить Начальника ГУ Заказов и Технического Снабжения ВВС КА сделать соответствующие указания УТС ВВС КА.</w:t>
      </w:r>
    </w:p>
    <w:p w14:paraId="7C85929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Отметить большое количество случаев отказа водо и маслорадиаторов и трехстрелочных индикаторов. Просить Наркома авиационной промышленности указать директорам соответствующих заводов устранить отмеченные неисправности. Настоящий документ размножить в 7 экз. и направить (1634,340).</w:t>
      </w:r>
    </w:p>
    <w:p w14:paraId="2B5623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23DF6F"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мая 1942 Приказом НКАП № 386 заводу № 21 поручалось пере</w:t>
      </w:r>
      <w:r w:rsidRPr="008A2E5A">
        <w:rPr>
          <w:rFonts w:ascii="Times New Roman" w:hAnsi="Times New Roman"/>
          <w:color w:val="0070C0"/>
          <w:sz w:val="16"/>
          <w:szCs w:val="16"/>
        </w:rPr>
        <w:softHyphen/>
        <w:t>дать заводу № 82 к 25 и 28 мая 1942 г. по пять комплектов выверенных серийных чертежей Як-7Б. Для своевременной поставки радиа</w:t>
      </w:r>
      <w:r w:rsidRPr="008A2E5A">
        <w:rPr>
          <w:rFonts w:ascii="Times New Roman" w:hAnsi="Times New Roman"/>
          <w:color w:val="0070C0"/>
          <w:sz w:val="16"/>
          <w:szCs w:val="16"/>
        </w:rPr>
        <w:softHyphen/>
        <w:t>торов в Москве на площадях бывшего радиаторного заво</w:t>
      </w:r>
      <w:r w:rsidRPr="008A2E5A">
        <w:rPr>
          <w:rFonts w:ascii="Times New Roman" w:hAnsi="Times New Roman"/>
          <w:color w:val="0070C0"/>
          <w:sz w:val="16"/>
          <w:szCs w:val="16"/>
        </w:rPr>
        <w:softHyphen/>
        <w:t>да №34 организовали завод №124, который с июня 1942 г. приступил к серийному выпуску продукции для заводов №82 и №153 (23381).</w:t>
      </w:r>
    </w:p>
    <w:p w14:paraId="3F3F6D41" w14:textId="77777777" w:rsidR="00AF6A30" w:rsidRPr="008A2E5A" w:rsidRDefault="00AF6A30" w:rsidP="00AF6A30">
      <w:pPr>
        <w:spacing w:after="0" w:line="240" w:lineRule="auto"/>
        <w:jc w:val="both"/>
        <w:rPr>
          <w:rFonts w:ascii="Times New Roman" w:hAnsi="Times New Roman"/>
          <w:color w:val="0070C0"/>
          <w:sz w:val="16"/>
          <w:szCs w:val="16"/>
        </w:rPr>
      </w:pPr>
    </w:p>
    <w:p w14:paraId="229000F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1942 НКАП была принята телеграмма завода № 19:</w:t>
      </w:r>
    </w:p>
    <w:p w14:paraId="0981BD2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«Народному комиссару авиаци</w:t>
      </w:r>
      <w:r w:rsidRPr="008127F8">
        <w:rPr>
          <w:rFonts w:ascii="Times New Roman" w:hAnsi="Times New Roman"/>
          <w:color w:val="000000" w:themeColor="text1"/>
          <w:sz w:val="16"/>
          <w:szCs w:val="16"/>
        </w:rPr>
        <w:softHyphen/>
        <w:t>онной промышленности Шахурину А.И.</w:t>
      </w:r>
    </w:p>
    <w:p w14:paraId="514153B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Выявившиеся в процессе стен</w:t>
      </w:r>
      <w:r w:rsidRPr="008127F8">
        <w:rPr>
          <w:rFonts w:ascii="Times New Roman" w:hAnsi="Times New Roman"/>
          <w:color w:val="000000" w:themeColor="text1"/>
          <w:sz w:val="16"/>
          <w:szCs w:val="16"/>
        </w:rPr>
        <w:softHyphen/>
        <w:t>довых и летных испытаний дефекты мотора М-82 с редукцией 11/16 в настоящее время изучены и заво</w:t>
      </w:r>
      <w:r w:rsidRPr="008127F8">
        <w:rPr>
          <w:rFonts w:ascii="Times New Roman" w:hAnsi="Times New Roman"/>
          <w:color w:val="000000" w:themeColor="text1"/>
          <w:sz w:val="16"/>
          <w:szCs w:val="16"/>
        </w:rPr>
        <w:softHyphen/>
        <w:t>дом приняты меры к их устране</w:t>
      </w:r>
      <w:r w:rsidRPr="008127F8">
        <w:rPr>
          <w:rFonts w:ascii="Times New Roman" w:hAnsi="Times New Roman"/>
          <w:color w:val="000000" w:themeColor="text1"/>
          <w:sz w:val="16"/>
          <w:szCs w:val="16"/>
        </w:rPr>
        <w:softHyphen/>
        <w:t>нию как на ранее выпущенных, так и на вновь выпускаемых моторах.</w:t>
      </w:r>
    </w:p>
    <w:p w14:paraId="523533D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проверки надежности мото</w:t>
      </w:r>
      <w:r w:rsidRPr="008127F8">
        <w:rPr>
          <w:rFonts w:ascii="Times New Roman" w:hAnsi="Times New Roman"/>
          <w:color w:val="000000" w:themeColor="text1"/>
          <w:sz w:val="16"/>
          <w:szCs w:val="16"/>
        </w:rPr>
        <w:softHyphen/>
        <w:t>ра М-82 с редукцией 11/16, а так</w:t>
      </w:r>
      <w:r w:rsidRPr="008127F8">
        <w:rPr>
          <w:rFonts w:ascii="Times New Roman" w:hAnsi="Times New Roman"/>
          <w:color w:val="000000" w:themeColor="text1"/>
          <w:sz w:val="16"/>
          <w:szCs w:val="16"/>
        </w:rPr>
        <w:softHyphen/>
        <w:t>же эффективности проведенных ме</w:t>
      </w:r>
      <w:r w:rsidRPr="008127F8">
        <w:rPr>
          <w:rFonts w:ascii="Times New Roman" w:hAnsi="Times New Roman"/>
          <w:color w:val="000000" w:themeColor="text1"/>
          <w:sz w:val="16"/>
          <w:szCs w:val="16"/>
        </w:rPr>
        <w:softHyphen/>
        <w:t>роприятий по устранению дефек</w:t>
      </w:r>
      <w:r w:rsidRPr="008127F8">
        <w:rPr>
          <w:rFonts w:ascii="Times New Roman" w:hAnsi="Times New Roman"/>
          <w:color w:val="000000" w:themeColor="text1"/>
          <w:sz w:val="16"/>
          <w:szCs w:val="16"/>
        </w:rPr>
        <w:softHyphen/>
        <w:t>тов, заводом в апреле было прове</w:t>
      </w:r>
      <w:r w:rsidRPr="008127F8">
        <w:rPr>
          <w:rFonts w:ascii="Times New Roman" w:hAnsi="Times New Roman"/>
          <w:color w:val="000000" w:themeColor="text1"/>
          <w:sz w:val="16"/>
          <w:szCs w:val="16"/>
        </w:rPr>
        <w:softHyphen/>
        <w:t>дено 100-часовое испытание мото</w:t>
      </w:r>
      <w:r w:rsidRPr="008127F8">
        <w:rPr>
          <w:rFonts w:ascii="Times New Roman" w:hAnsi="Times New Roman"/>
          <w:color w:val="000000" w:themeColor="text1"/>
          <w:sz w:val="16"/>
          <w:szCs w:val="16"/>
        </w:rPr>
        <w:softHyphen/>
        <w:t>ра № 6502028, прошедшее с удов</w:t>
      </w:r>
      <w:r w:rsidRPr="008127F8">
        <w:rPr>
          <w:rFonts w:ascii="Times New Roman" w:hAnsi="Times New Roman"/>
          <w:color w:val="000000" w:themeColor="text1"/>
          <w:sz w:val="16"/>
          <w:szCs w:val="16"/>
        </w:rPr>
        <w:softHyphen/>
        <w:t>летворительным результатом.</w:t>
      </w:r>
    </w:p>
    <w:p w14:paraId="5E12F7A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проверки надежности мото</w:t>
      </w:r>
      <w:r w:rsidRPr="008127F8">
        <w:rPr>
          <w:rFonts w:ascii="Times New Roman" w:hAnsi="Times New Roman"/>
          <w:color w:val="000000" w:themeColor="text1"/>
          <w:sz w:val="16"/>
          <w:szCs w:val="16"/>
        </w:rPr>
        <w:softHyphen/>
        <w:t>ров М-82 с редукцией 9/16 постав</w:t>
      </w:r>
      <w:r w:rsidRPr="008127F8">
        <w:rPr>
          <w:rFonts w:ascii="Times New Roman" w:hAnsi="Times New Roman"/>
          <w:color w:val="000000" w:themeColor="text1"/>
          <w:sz w:val="16"/>
          <w:szCs w:val="16"/>
        </w:rPr>
        <w:softHyphen/>
        <w:t>лены 2 мотора... на 100-часовые испытания... Испытания обоих мо</w:t>
      </w:r>
      <w:r w:rsidRPr="008127F8">
        <w:rPr>
          <w:rFonts w:ascii="Times New Roman" w:hAnsi="Times New Roman"/>
          <w:color w:val="000000" w:themeColor="text1"/>
          <w:sz w:val="16"/>
          <w:szCs w:val="16"/>
        </w:rPr>
        <w:softHyphen/>
        <w:t>торов продолжаются.</w:t>
      </w:r>
    </w:p>
    <w:p w14:paraId="18B3AA1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мотор М-82 прове</w:t>
      </w:r>
      <w:r w:rsidRPr="008127F8">
        <w:rPr>
          <w:rFonts w:ascii="Times New Roman" w:hAnsi="Times New Roman"/>
          <w:color w:val="000000" w:themeColor="text1"/>
          <w:sz w:val="16"/>
          <w:szCs w:val="16"/>
        </w:rPr>
        <w:softHyphen/>
        <w:t>рен длительным 100-часовым испы</w:t>
      </w:r>
      <w:r w:rsidRPr="008127F8">
        <w:rPr>
          <w:rFonts w:ascii="Times New Roman" w:hAnsi="Times New Roman"/>
          <w:color w:val="000000" w:themeColor="text1"/>
          <w:sz w:val="16"/>
          <w:szCs w:val="16"/>
        </w:rPr>
        <w:softHyphen/>
        <w:t>танием на форсированных режи</w:t>
      </w:r>
      <w:r w:rsidRPr="008127F8">
        <w:rPr>
          <w:rFonts w:ascii="Times New Roman" w:hAnsi="Times New Roman"/>
          <w:color w:val="000000" w:themeColor="text1"/>
          <w:sz w:val="16"/>
          <w:szCs w:val="16"/>
        </w:rPr>
        <w:softHyphen/>
        <w:t>мах при Рк на 1000 мм и на взлет</w:t>
      </w:r>
      <w:r w:rsidRPr="008127F8">
        <w:rPr>
          <w:rFonts w:ascii="Times New Roman" w:hAnsi="Times New Roman"/>
          <w:color w:val="000000" w:themeColor="text1"/>
          <w:sz w:val="16"/>
          <w:szCs w:val="16"/>
        </w:rPr>
        <w:softHyphen/>
        <w:t>ной мощности 1800 л.с. с односко-ростной передачей к нагнетателю. По выпуску моторов М-82 завод обеспечит - к 1 июня выпуск 17 моторов {в сутки — прим. авт.}, и с 1 июля - 20 моторов, плюс моторы М-62ИР по установленному графи</w:t>
      </w:r>
      <w:r w:rsidRPr="008127F8">
        <w:rPr>
          <w:rFonts w:ascii="Times New Roman" w:hAnsi="Times New Roman"/>
          <w:color w:val="000000" w:themeColor="text1"/>
          <w:sz w:val="16"/>
          <w:szCs w:val="16"/>
        </w:rPr>
        <w:softHyphen/>
        <w:t>ку 1942 г.</w:t>
      </w:r>
    </w:p>
    <w:p w14:paraId="3F9222A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горячо желает участвовать в войне по разгрому фашистских оккупантов поставкой моторов М-82 на боевые машины. Поставка моторов М-82 на заводы №№ 166 и 31 неполностью загружает завод № 19.</w:t>
      </w:r>
    </w:p>
    <w:p w14:paraId="6449489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прохождением испы</w:t>
      </w:r>
      <w:r w:rsidRPr="008127F8">
        <w:rPr>
          <w:rFonts w:ascii="Times New Roman" w:hAnsi="Times New Roman"/>
          <w:color w:val="000000" w:themeColor="text1"/>
          <w:sz w:val="16"/>
          <w:szCs w:val="16"/>
        </w:rPr>
        <w:softHyphen/>
        <w:t>тания самолета Лагг-3 с мотором М-82 с хорошими результатами, завод № 19 просит войти с хода</w:t>
      </w:r>
      <w:r w:rsidRPr="008127F8">
        <w:rPr>
          <w:rFonts w:ascii="Times New Roman" w:hAnsi="Times New Roman"/>
          <w:color w:val="000000" w:themeColor="text1"/>
          <w:sz w:val="16"/>
          <w:szCs w:val="16"/>
        </w:rPr>
        <w:softHyphen/>
        <w:t>тайством в Правительство о поста</w:t>
      </w:r>
      <w:r w:rsidRPr="008127F8">
        <w:rPr>
          <w:rFonts w:ascii="Times New Roman" w:hAnsi="Times New Roman"/>
          <w:color w:val="000000" w:themeColor="text1"/>
          <w:sz w:val="16"/>
          <w:szCs w:val="16"/>
        </w:rPr>
        <w:softHyphen/>
        <w:t>новке серийного производства са</w:t>
      </w:r>
      <w:r w:rsidRPr="008127F8">
        <w:rPr>
          <w:rFonts w:ascii="Times New Roman" w:hAnsi="Times New Roman"/>
          <w:color w:val="000000" w:themeColor="text1"/>
          <w:sz w:val="16"/>
          <w:szCs w:val="16"/>
        </w:rPr>
        <w:softHyphen/>
        <w:t>молета Лагг-3 с мотором М-82 на заводе № 21.</w:t>
      </w:r>
    </w:p>
    <w:p w14:paraId="6A73ECA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завода ~ Солдатов, Главный конструктор — Швецов, Главный инженер — Бутусов, Главный инженер 3 ГУ - Степин,</w:t>
      </w:r>
    </w:p>
    <w:p w14:paraId="7C4B9EC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8 ГУ - Валиков, Вед. инженер 5 отдела НИИ ВВС К А - Сеничкин, Ст. военпред на заводе №19 -</w:t>
      </w:r>
    </w:p>
    <w:p w14:paraId="7C175B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Сабуров» (10686).</w:t>
      </w:r>
    </w:p>
    <w:p w14:paraId="270F36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9CA506" w14:textId="77777777" w:rsidR="007C5583" w:rsidRPr="008127F8" w:rsidRDefault="007C5583" w:rsidP="007C5583">
      <w:pPr>
        <w:pStyle w:val="a4"/>
        <w:rPr>
          <w:color w:val="000000" w:themeColor="text1"/>
          <w:lang w:val="ru-RU"/>
        </w:rPr>
      </w:pPr>
      <w:r w:rsidRPr="008127F8">
        <w:rPr>
          <w:color w:val="000000" w:themeColor="text1"/>
          <w:lang w:val="ru-RU"/>
        </w:rPr>
        <w:t>18 мая 1942 была телеграмма завода № 19:</w:t>
      </w:r>
    </w:p>
    <w:p w14:paraId="4D739585" w14:textId="77777777" w:rsidR="007C5583" w:rsidRPr="008127F8" w:rsidRDefault="007C5583" w:rsidP="007C5583">
      <w:pPr>
        <w:pStyle w:val="a4"/>
        <w:rPr>
          <w:color w:val="000000" w:themeColor="text1"/>
          <w:lang w:val="ru-RU"/>
        </w:rPr>
      </w:pPr>
      <w:r w:rsidRPr="008127F8">
        <w:rPr>
          <w:color w:val="000000" w:themeColor="text1"/>
          <w:lang w:val="ru-RU"/>
        </w:rPr>
        <w:t>«Народному комиссару авиапромышленности Шахурину А.И. (Принято 18.5.42 г.) Выявившиеся в процессе стендовых и лётных испытаний дефекты мотора М-82 с редукцией 11/16 в настоящее время изучены, и заводом приняты меры к их устранению как на ранее выпущенных, так и на вновь выпускаемых моторах.</w:t>
      </w:r>
    </w:p>
    <w:p w14:paraId="663BEDF3" w14:textId="77777777" w:rsidR="007C5583" w:rsidRPr="008127F8" w:rsidRDefault="007C5583" w:rsidP="007C5583">
      <w:pPr>
        <w:pStyle w:val="a4"/>
        <w:rPr>
          <w:color w:val="000000" w:themeColor="text1"/>
          <w:lang w:val="ru-RU"/>
        </w:rPr>
      </w:pPr>
      <w:r w:rsidRPr="008127F8">
        <w:rPr>
          <w:color w:val="000000" w:themeColor="text1"/>
          <w:lang w:val="ru-RU"/>
        </w:rPr>
        <w:t>Для проверки надёжности мотора М-82 с редукцией 11/16, а также эффективности эведенных мероприятий по устранению дефектов, завод в апреле провел 100-часовые испытание мотора № 6502028, прошедшее с удовлетворительным результатом. Для проверки надежности моторов М-82 с редукцией 9/16 поставлены 2 мотора — на 100-часовые испытания... Испытания обоих моторов продолжаются. Кроме того, мотор М-82 проверен длительным 100-часовым испытанием на форсированных режимах при Р</w:t>
      </w:r>
      <w:r w:rsidRPr="008127F8">
        <w:rPr>
          <w:color w:val="000000" w:themeColor="text1"/>
          <w:vertAlign w:val="subscript"/>
          <w:lang w:val="ru-RU"/>
        </w:rPr>
        <w:t>к</w:t>
      </w:r>
      <w:r w:rsidRPr="008127F8">
        <w:rPr>
          <w:color w:val="000000" w:themeColor="text1"/>
          <w:lang w:val="ru-RU"/>
        </w:rPr>
        <w:t xml:space="preserve"> на 1000 мм и на взлётной мощности 1800 л.с. с односкоростной едачей к нагнетателю, выпуску моторов М-82 завод обеспечит — к 1 июня выпуск 17 моторов (в сутки), и с 1 июля — 20 моторов, плюс моторы М-62ИР по установленному гра</w:t>
      </w:r>
      <w:r w:rsidRPr="008127F8">
        <w:rPr>
          <w:color w:val="000000" w:themeColor="text1"/>
          <w:lang w:val="ru-RU"/>
        </w:rPr>
        <w:softHyphen/>
        <w:t>нку 1942 г.</w:t>
      </w:r>
    </w:p>
    <w:p w14:paraId="24246CEE" w14:textId="77777777" w:rsidR="007C5583" w:rsidRPr="008127F8" w:rsidRDefault="007C5583" w:rsidP="007C5583">
      <w:pPr>
        <w:pStyle w:val="a4"/>
        <w:rPr>
          <w:color w:val="000000" w:themeColor="text1"/>
          <w:lang w:val="ru-RU"/>
        </w:rPr>
      </w:pPr>
      <w:r w:rsidRPr="008127F8">
        <w:rPr>
          <w:color w:val="000000" w:themeColor="text1"/>
          <w:lang w:val="ru-RU"/>
        </w:rPr>
        <w:t>Завод горячо желает участвовать в войне по разгрому фашистских оккупантов постав- моторов М-82 на боевые машины. Поставка моторов М-82 на заводы №№ 166 и 31 полностью загружает завод № 19.</w:t>
      </w:r>
    </w:p>
    <w:p w14:paraId="24739E49" w14:textId="77777777" w:rsidR="007C5583" w:rsidRPr="008127F8" w:rsidRDefault="007C5583" w:rsidP="007C5583">
      <w:pPr>
        <w:pStyle w:val="a4"/>
        <w:tabs>
          <w:tab w:val="left" w:pos="4327"/>
        </w:tabs>
        <w:rPr>
          <w:color w:val="000000" w:themeColor="text1"/>
          <w:lang w:val="ru-RU"/>
        </w:rPr>
      </w:pPr>
      <w:r w:rsidRPr="008127F8">
        <w:rPr>
          <w:color w:val="000000" w:themeColor="text1"/>
          <w:lang w:val="ru-RU"/>
        </w:rPr>
        <w:t xml:space="preserve">В связи с прохождением испытания самолёта Лагг-3 с мотором М-82 с хорошими зультатами, завод № 19 просит войти с ходатайством в Правительство о постанов- </w:t>
      </w:r>
      <w:r w:rsidRPr="008127F8">
        <w:rPr>
          <w:color w:val="000000" w:themeColor="text1"/>
        </w:rPr>
        <w:t>i</w:t>
      </w:r>
      <w:r w:rsidRPr="008127F8">
        <w:rPr>
          <w:color w:val="000000" w:themeColor="text1"/>
          <w:lang w:val="ru-RU"/>
        </w:rPr>
        <w:t xml:space="preserve"> серийного производства самолёта Лагг-3 с мотором М-82 на заводе № 21. Директор завода — Солдатов,</w:t>
      </w:r>
      <w:r w:rsidRPr="008127F8">
        <w:rPr>
          <w:color w:val="000000" w:themeColor="text1"/>
          <w:lang w:val="ru-RU"/>
        </w:rPr>
        <w:tab/>
        <w:t>Главный конструктор — Швецов,</w:t>
      </w:r>
    </w:p>
    <w:p w14:paraId="028C165D" w14:textId="77777777" w:rsidR="007C5583" w:rsidRPr="008127F8" w:rsidRDefault="007C5583" w:rsidP="007C5583">
      <w:pPr>
        <w:pStyle w:val="a4"/>
        <w:tabs>
          <w:tab w:val="left" w:pos="4308"/>
        </w:tabs>
        <w:rPr>
          <w:color w:val="000000" w:themeColor="text1"/>
          <w:lang w:val="ru-RU"/>
        </w:rPr>
      </w:pPr>
      <w:r w:rsidRPr="008127F8">
        <w:rPr>
          <w:color w:val="000000" w:themeColor="text1"/>
          <w:lang w:val="ru-RU"/>
        </w:rPr>
        <w:t>Главный инженер — Бутусов,</w:t>
      </w:r>
      <w:r w:rsidRPr="008127F8">
        <w:rPr>
          <w:color w:val="000000" w:themeColor="text1"/>
          <w:lang w:val="ru-RU"/>
        </w:rPr>
        <w:tab/>
        <w:t>Главный инженер 3 ГУ — Степин,</w:t>
      </w:r>
    </w:p>
    <w:p w14:paraId="534297F8" w14:textId="77777777" w:rsidR="007C5583" w:rsidRPr="008127F8" w:rsidRDefault="007C5583" w:rsidP="007C5583">
      <w:pPr>
        <w:pStyle w:val="a4"/>
        <w:tabs>
          <w:tab w:val="left" w:pos="4308"/>
        </w:tabs>
        <w:rPr>
          <w:color w:val="000000" w:themeColor="text1"/>
          <w:lang w:val="ru-RU"/>
        </w:rPr>
      </w:pPr>
      <w:r w:rsidRPr="008127F8">
        <w:rPr>
          <w:color w:val="000000" w:themeColor="text1"/>
          <w:lang w:val="ru-RU"/>
        </w:rPr>
        <w:t>Зам. начальника 8 ГУ — Воликов,</w:t>
      </w:r>
      <w:r w:rsidRPr="008127F8">
        <w:rPr>
          <w:color w:val="000000" w:themeColor="text1"/>
          <w:lang w:val="ru-RU"/>
        </w:rPr>
        <w:tab/>
        <w:t>Ст. военпред на заводе №19 — Сабуров</w:t>
      </w:r>
    </w:p>
    <w:p w14:paraId="3CCCE90D" w14:textId="77777777" w:rsidR="007C5583" w:rsidRPr="008127F8" w:rsidRDefault="007C5583" w:rsidP="007C5583">
      <w:pPr>
        <w:pStyle w:val="a4"/>
        <w:rPr>
          <w:color w:val="000000" w:themeColor="text1"/>
          <w:lang w:val="ru-RU"/>
        </w:rPr>
      </w:pPr>
      <w:r w:rsidRPr="008127F8">
        <w:rPr>
          <w:color w:val="000000" w:themeColor="text1"/>
          <w:lang w:val="ru-RU"/>
        </w:rPr>
        <w:t>Вед. инженер 5 отдела НИИ ВВС КА — Сеничкин» (15788).</w:t>
      </w:r>
    </w:p>
    <w:p w14:paraId="1C156E0B" w14:textId="77777777" w:rsidR="007C5583" w:rsidRPr="008127F8" w:rsidRDefault="007C5583" w:rsidP="007C5583">
      <w:pPr>
        <w:pStyle w:val="a4"/>
        <w:rPr>
          <w:color w:val="000000" w:themeColor="text1"/>
          <w:lang w:val="ru-RU"/>
        </w:rPr>
      </w:pPr>
    </w:p>
    <w:p w14:paraId="7D2B590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1942 года капитан Бахчиванджи подписал Заключение о первом полете самолета БИ-1 с двигателем Д-1-А-1100.</w:t>
      </w:r>
    </w:p>
    <w:p w14:paraId="030496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Двигатель запустился с третьей подачи пусковых компонентов, переход на максимальную тягу произошел нормально. Работал двигатель на взлете и в воздухе также нормально. Двигатель был выключен по сигналу "перегрев двигателя". Энергичное выключение двигателя не отразилось на самолете, т.е. самолет не испытывал отклонения в какую-либо сторону. Летчик испытывает торможение, как и на обычном самолете. Планер БИ-1 по своей технике пилотирования очень близок к самолету ЯК-1. Взлет, отрыв и выдерживание самолета производится как и на обычном самолете, тенденций к заворачиванию или кренам нет.</w:t>
      </w:r>
    </w:p>
    <w:p w14:paraId="61FE3A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Набор высоты производится на более высоких скоростях и с большим углом набора. Развороты выполняются самолетом без опускания или задирания носа, ручку надо тянуть по мере крутизны виража, вздрагиваний нет.</w:t>
      </w:r>
    </w:p>
    <w:p w14:paraId="71052AA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Планирование и скольжение самолет выполняет устойчиво, как и обычный самолет. Планирование с выпущенными щитками требует большого угла, что самолет поддерживает сам (ручка слегка тянет). Посадку самолета надо производить на скорости, потому что посадка на недостаточной скорости ведет самолет к быстрому проваливанию, которое нельзя предотвратить даже ручкой. Посадка была произведена с недостаточной скоростью, в результате произошла поломка шасси самолета.</w:t>
      </w:r>
    </w:p>
    <w:p w14:paraId="6E4279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 на данном типе самолета, в сравнении с обычными типами самолетов, исключительно приятен, потому что перед летчиком нет винта, мотора, шума и выхлопных газов, которые попадают в кабину. Летчик сидит в передней части самолета, имея исключительно хороший обзор передней полусферы и значительно лучший, чем на обычном самолете, обзор задней полусферы. Расположение приборов удачное, видимость их хорошая, кабина не загромождена, расположение управления агрегатов удобное. Теоретические расчеты данного самолета полностью подтверждены полетом - в пределах сделанных элементов полета. Самолет имеет хорошую устойчивость и маневренность на скоростях до 360 км/час.</w:t>
      </w:r>
    </w:p>
    <w:p w14:paraId="073BF0C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легкости управления самолет стоит выше современных истребителей (2926).</w:t>
      </w:r>
    </w:p>
    <w:p w14:paraId="218FDA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AE13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1942 А.М.Люлько обратился к И.В.С. с письмом с жалобой на руководство НКАП и просьбой о возобновлении работ по ТРД. Особо он был обижен тем, что другие реактивщики продолжали работу: И.А.Меркулов и М.М.Бондарюк в НИИГВФ и НИИ-3 (2168,3).</w:t>
      </w:r>
    </w:p>
    <w:p w14:paraId="7F2BEE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5B1DF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1942 Люлька и Вольпер направили следующее обращение, на это раз в адрес Председателя ГКО СССР И.В. Сталина:</w:t>
      </w:r>
    </w:p>
    <w:p w14:paraId="699851A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"Мы не знаем, чем вызвана такая медлительность к подобного рода вопросам. Может быть, Наркомату Авиапромышленности неудобно признать тем самым свою ошибку за прекращение работы по наиболее перспективному реактивному двигателю.</w:t>
      </w:r>
    </w:p>
    <w:p w14:paraId="13809EB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Все эти "мероприятия", которые проводил Наркомат Авиапромышленности в области создания реактивного двигателя, совершенно неправильны и вредны, особенно </w:t>
      </w:r>
      <w:r w:rsidRPr="008127F8">
        <w:rPr>
          <w:rFonts w:ascii="Times New Roman" w:hAnsi="Times New Roman"/>
          <w:color w:val="000000" w:themeColor="text1"/>
          <w:sz w:val="16"/>
          <w:szCs w:val="16"/>
        </w:rPr>
        <w:lastRenderedPageBreak/>
        <w:t>теперь, когда вопросы увеличения скоростей полета самолетов играют исключительную роль.</w:t>
      </w:r>
    </w:p>
    <w:p w14:paraId="485513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работа, проделанная нами раньше, так и наши последние исследования по реактивному двигателю дают основание утверждать, что может быть создан реактивный двигатель мощностью в 4000-5000 л.с. в одном агрегате. Этот двигатель по своим габаритам и по размеру своего лба не будет превосходить современный авиационный бензиновый мотор мощностью в 2000 л.с.</w:t>
      </w:r>
    </w:p>
    <w:p w14:paraId="02DE5F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преимущество реактивного двигателя состоит в том, что он легче бензинового мотора и может быть выполнен в весовых показателях, равных 0,3-0,35 кг/л.с. Технически же реактивный двигатель значительно проще бензинового мотора.</w:t>
      </w:r>
    </w:p>
    <w:p w14:paraId="27F066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Мы обращаемся к Вам, товарищ Сталин, помочь нам восстановить ошибочно законсервированную работу по реактивному двигателю, являющуюся необходимой предпосылкой для создания современных сверхскоростных самолетов со скоростями порядка 900 км/ч и выше.</w:t>
      </w:r>
    </w:p>
    <w:p w14:paraId="4C892BF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этого мы имеем еще старый коллектив, находящийся в основном на Кировском заводе в г. Челябинске (подробный список был послан нами в Наркомат Авиапромышленности), кадры которого собирались, отбирались и выращивались со значительным трудом, так как разработка реактивного двигателя требовала очень квалифицированных кадров.</w:t>
      </w:r>
    </w:p>
    <w:p w14:paraId="456888A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Этот коллектив с энтузиазмом в любую минуту готов вернуться к работе по реактивному двигателю".</w:t>
      </w:r>
    </w:p>
    <w:p w14:paraId="564E89E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Письмо Сталин тут же переадресовал Г.М. Маленкову, а тот А.И. Шахурину (9016).</w:t>
      </w:r>
    </w:p>
    <w:p w14:paraId="1E0CBDE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DE2B1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1942, прождав более двух месяцев после отправки письма А.И.Ш. 5 марта, Люлька и Вольпер направили следую</w:t>
      </w:r>
      <w:r w:rsidRPr="008127F8">
        <w:rPr>
          <w:rFonts w:ascii="Times New Roman" w:hAnsi="Times New Roman"/>
          <w:color w:val="000000" w:themeColor="text1"/>
          <w:sz w:val="16"/>
          <w:szCs w:val="16"/>
        </w:rPr>
        <w:softHyphen/>
        <w:t>щее обращение, на этот раз в адрес Председателя ГКО СССР И.В.Сталина:</w:t>
      </w:r>
    </w:p>
    <w:p w14:paraId="0B28324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«Мы знаем, чем вызвана такая мед</w:t>
      </w:r>
      <w:r w:rsidRPr="008127F8">
        <w:rPr>
          <w:rFonts w:ascii="Times New Roman" w:hAnsi="Times New Roman"/>
          <w:color w:val="000000" w:themeColor="text1"/>
          <w:sz w:val="16"/>
          <w:szCs w:val="16"/>
        </w:rPr>
        <w:softHyphen/>
        <w:t>лительность к подобного рода вопро</w:t>
      </w:r>
      <w:r w:rsidRPr="008127F8">
        <w:rPr>
          <w:rFonts w:ascii="Times New Roman" w:hAnsi="Times New Roman"/>
          <w:color w:val="000000" w:themeColor="text1"/>
          <w:sz w:val="16"/>
          <w:szCs w:val="16"/>
        </w:rPr>
        <w:softHyphen/>
        <w:t>сам. Может быть, Наркомату Авиапро</w:t>
      </w:r>
      <w:r w:rsidRPr="008127F8">
        <w:rPr>
          <w:rFonts w:ascii="Times New Roman" w:hAnsi="Times New Roman"/>
          <w:color w:val="000000" w:themeColor="text1"/>
          <w:sz w:val="16"/>
          <w:szCs w:val="16"/>
        </w:rPr>
        <w:softHyphen/>
        <w:t>мышленности неудобно признать тем самым свою ошибку за прекращение работы по наиболее перспективному реактивному двигателю.</w:t>
      </w:r>
    </w:p>
    <w:p w14:paraId="201E941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эти «мероприятия», которые проводил Наркомат Авиапромышленно</w:t>
      </w:r>
      <w:r w:rsidRPr="008127F8">
        <w:rPr>
          <w:rFonts w:ascii="Times New Roman" w:hAnsi="Times New Roman"/>
          <w:color w:val="000000" w:themeColor="text1"/>
          <w:sz w:val="16"/>
          <w:szCs w:val="16"/>
        </w:rPr>
        <w:softHyphen/>
        <w:t>сти в области создания реактивного двигателя, совершенно неправильны и вредны, особенно теперь, когда вопро</w:t>
      </w:r>
      <w:r w:rsidRPr="008127F8">
        <w:rPr>
          <w:rFonts w:ascii="Times New Roman" w:hAnsi="Times New Roman"/>
          <w:color w:val="000000" w:themeColor="text1"/>
          <w:sz w:val="16"/>
          <w:szCs w:val="16"/>
        </w:rPr>
        <w:softHyphen/>
        <w:t>сы увеличения скоростей полета само</w:t>
      </w:r>
      <w:r w:rsidRPr="008127F8">
        <w:rPr>
          <w:rFonts w:ascii="Times New Roman" w:hAnsi="Times New Roman"/>
          <w:color w:val="000000" w:themeColor="text1"/>
          <w:sz w:val="16"/>
          <w:szCs w:val="16"/>
        </w:rPr>
        <w:softHyphen/>
        <w:t>летов играют исключительную роль.</w:t>
      </w:r>
    </w:p>
    <w:p w14:paraId="5024AB5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работа, проделанная нами рань</w:t>
      </w:r>
      <w:r w:rsidRPr="008127F8">
        <w:rPr>
          <w:rFonts w:ascii="Times New Roman" w:hAnsi="Times New Roman"/>
          <w:color w:val="000000" w:themeColor="text1"/>
          <w:sz w:val="16"/>
          <w:szCs w:val="16"/>
        </w:rPr>
        <w:softHyphen/>
        <w:t>ше, так и наши последние исследова</w:t>
      </w:r>
      <w:r w:rsidRPr="008127F8">
        <w:rPr>
          <w:rFonts w:ascii="Times New Roman" w:hAnsi="Times New Roman"/>
          <w:color w:val="000000" w:themeColor="text1"/>
          <w:sz w:val="16"/>
          <w:szCs w:val="16"/>
        </w:rPr>
        <w:softHyphen/>
        <w:t>ния по реактивному двигателю дают основание утверждать, что может быть создан реактивный двигатель мощностью в 4000-5000 л.с. в одном агрегате. Этот двигатель по своим га</w:t>
      </w:r>
      <w:r w:rsidRPr="008127F8">
        <w:rPr>
          <w:rFonts w:ascii="Times New Roman" w:hAnsi="Times New Roman"/>
          <w:color w:val="000000" w:themeColor="text1"/>
          <w:sz w:val="16"/>
          <w:szCs w:val="16"/>
        </w:rPr>
        <w:softHyphen/>
        <w:t>баритам и по размеру своего лба не бу</w:t>
      </w:r>
      <w:r w:rsidRPr="008127F8">
        <w:rPr>
          <w:rFonts w:ascii="Times New Roman" w:hAnsi="Times New Roman"/>
          <w:color w:val="000000" w:themeColor="text1"/>
          <w:sz w:val="16"/>
          <w:szCs w:val="16"/>
        </w:rPr>
        <w:softHyphen/>
        <w:t>дет превосходить современный авиа</w:t>
      </w:r>
      <w:r w:rsidRPr="008127F8">
        <w:rPr>
          <w:rFonts w:ascii="Times New Roman" w:hAnsi="Times New Roman"/>
          <w:color w:val="000000" w:themeColor="text1"/>
          <w:sz w:val="16"/>
          <w:szCs w:val="16"/>
        </w:rPr>
        <w:softHyphen/>
        <w:t>ционный бензиновый мотор мощнос</w:t>
      </w:r>
      <w:r w:rsidRPr="008127F8">
        <w:rPr>
          <w:rFonts w:ascii="Times New Roman" w:hAnsi="Times New Roman"/>
          <w:color w:val="000000" w:themeColor="text1"/>
          <w:sz w:val="16"/>
          <w:szCs w:val="16"/>
        </w:rPr>
        <w:softHyphen/>
        <w:t>тью в 2000 л.с.</w:t>
      </w:r>
    </w:p>
    <w:p w14:paraId="29CF340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преимущество реак</w:t>
      </w:r>
      <w:r w:rsidRPr="008127F8">
        <w:rPr>
          <w:rFonts w:ascii="Times New Roman" w:hAnsi="Times New Roman"/>
          <w:color w:val="000000" w:themeColor="text1"/>
          <w:sz w:val="16"/>
          <w:szCs w:val="16"/>
        </w:rPr>
        <w:softHyphen/>
        <w:t>тивного двигателя состоит в том, что он легче бензинового мотора и может</w:t>
      </w:r>
    </w:p>
    <w:p w14:paraId="0D0AD1B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быть выполнен в весовых показателях, равных 0,3-0,35 кг/л.с. Технически же реактивный двигатель значительно проще бензинового мотора.</w:t>
      </w:r>
    </w:p>
    <w:p w14:paraId="731B708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Мы обращаемся к Вам, товарищ Ста</w:t>
      </w:r>
      <w:r w:rsidRPr="008127F8">
        <w:rPr>
          <w:rFonts w:ascii="Times New Roman" w:hAnsi="Times New Roman"/>
          <w:color w:val="000000" w:themeColor="text1"/>
          <w:sz w:val="16"/>
          <w:szCs w:val="16"/>
        </w:rPr>
        <w:softHyphen/>
        <w:t>лин, помочь нам восстановить ошибочно законсервированную работу по реактив</w:t>
      </w:r>
      <w:r w:rsidRPr="008127F8">
        <w:rPr>
          <w:rFonts w:ascii="Times New Roman" w:hAnsi="Times New Roman"/>
          <w:color w:val="000000" w:themeColor="text1"/>
          <w:sz w:val="16"/>
          <w:szCs w:val="16"/>
        </w:rPr>
        <w:softHyphen/>
        <w:t>ному двигателю, являющуюся необходи</w:t>
      </w:r>
      <w:r w:rsidRPr="008127F8">
        <w:rPr>
          <w:rFonts w:ascii="Times New Roman" w:hAnsi="Times New Roman"/>
          <w:color w:val="000000" w:themeColor="text1"/>
          <w:sz w:val="16"/>
          <w:szCs w:val="16"/>
        </w:rPr>
        <w:softHyphen/>
        <w:t>мой предпосылкой для создания современ-ныхсверхскоростныхсамолетовсоскоро-стями порядка 900 км/ч и выше.</w:t>
      </w:r>
    </w:p>
    <w:p w14:paraId="7EB7F2B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этого мы имеем еще старый коллектив находящийся в основном на Кировском заводе в г. Челябинске (под</w:t>
      </w:r>
      <w:r w:rsidRPr="008127F8">
        <w:rPr>
          <w:rFonts w:ascii="Times New Roman" w:hAnsi="Times New Roman"/>
          <w:color w:val="000000" w:themeColor="text1"/>
          <w:sz w:val="16"/>
          <w:szCs w:val="16"/>
        </w:rPr>
        <w:softHyphen/>
        <w:t>робный список был послан нами в Нар</w:t>
      </w:r>
      <w:r w:rsidRPr="008127F8">
        <w:rPr>
          <w:rFonts w:ascii="Times New Roman" w:hAnsi="Times New Roman"/>
          <w:color w:val="000000" w:themeColor="text1"/>
          <w:sz w:val="16"/>
          <w:szCs w:val="16"/>
        </w:rPr>
        <w:softHyphen/>
        <w:t>комат Авиапромышленности),кадры которого собирались, отбирались и вы</w:t>
      </w:r>
      <w:r w:rsidRPr="008127F8">
        <w:rPr>
          <w:rFonts w:ascii="Times New Roman" w:hAnsi="Times New Roman"/>
          <w:color w:val="000000" w:themeColor="text1"/>
          <w:sz w:val="16"/>
          <w:szCs w:val="16"/>
        </w:rPr>
        <w:softHyphen/>
        <w:t>ращивались со значительным трудом, так как разработка реактивного дви</w:t>
      </w:r>
      <w:r w:rsidRPr="008127F8">
        <w:rPr>
          <w:rFonts w:ascii="Times New Roman" w:hAnsi="Times New Roman"/>
          <w:color w:val="000000" w:themeColor="text1"/>
          <w:sz w:val="16"/>
          <w:szCs w:val="16"/>
        </w:rPr>
        <w:softHyphen/>
        <w:t>гателя требовала очень квалифициро</w:t>
      </w:r>
      <w:r w:rsidRPr="008127F8">
        <w:rPr>
          <w:rFonts w:ascii="Times New Roman" w:hAnsi="Times New Roman"/>
          <w:color w:val="000000" w:themeColor="text1"/>
          <w:sz w:val="16"/>
          <w:szCs w:val="16"/>
        </w:rPr>
        <w:softHyphen/>
        <w:t>ванных кадров.</w:t>
      </w:r>
    </w:p>
    <w:p w14:paraId="71E6EEA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Этот коллектив с энтузиазмом в любую минуту готов вернуться к ра</w:t>
      </w:r>
      <w:r w:rsidRPr="008127F8">
        <w:rPr>
          <w:rFonts w:ascii="Times New Roman" w:hAnsi="Times New Roman"/>
          <w:color w:val="000000" w:themeColor="text1"/>
          <w:sz w:val="16"/>
          <w:szCs w:val="16"/>
        </w:rPr>
        <w:softHyphen/>
        <w:t>боте по реактивному двигателю».</w:t>
      </w:r>
    </w:p>
    <w:p w14:paraId="435F7CD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Письмо Сталин тут же переадресо</w:t>
      </w:r>
      <w:r w:rsidRPr="008127F8">
        <w:rPr>
          <w:rFonts w:ascii="Times New Roman" w:hAnsi="Times New Roman"/>
          <w:color w:val="000000" w:themeColor="text1"/>
          <w:sz w:val="16"/>
          <w:szCs w:val="16"/>
        </w:rPr>
        <w:softHyphen/>
        <w:t>вал Г.М.Маленкову, а тот А.И.Шахурину. 3 июня оно было зарегистрировано в секретариате НКАП. Шахурин, в свою очередь, направил письмо начальнику ЦИАМ В.И.Поликовскому с резолюцией: «Доложите, что нужно сделать» (11158).</w:t>
      </w:r>
    </w:p>
    <w:p w14:paraId="41448EF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2E155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1942 ТБ-7 (АНТ-42) впервые вылетел в Вашингтон (1103,227).</w:t>
      </w:r>
    </w:p>
    <w:p w14:paraId="48F582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9C1E8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Ранее 18 мая 1942 г.</w:t>
      </w:r>
    </w:p>
    <w:p w14:paraId="394BD31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Справка о крупнейших работах Всесоюзного научно-исследовательского института авиационных материалов в области материалов-заменителей (1941-1942 гг.)</w:t>
      </w:r>
    </w:p>
    <w:p w14:paraId="2CEE267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ранее 18 мая 1942 г.</w:t>
      </w:r>
    </w:p>
    <w:p w14:paraId="4745BE6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 1</w:t>
      </w:r>
    </w:p>
    <w:p w14:paraId="59A5565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Разработаны две марки стали хромансиль без дефицитных присадок: 25 ХГСА и 30 ХГСА. Сталь 25 ХГСА является полноценным заменителем хромомолибденовой стали, а вторая марка превосходит последнюю по прочности. Эта работа освободила страну в области самолетостроения от импорта молибдена для производства стальных полуфабрикатов. Сталь хромансиль внедрена ВИАМом на всех самолетных заводах.</w:t>
      </w:r>
    </w:p>
    <w:p w14:paraId="36EE564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Переход в самолетостроении на сталь хромансиль марок 30 ХГСА и 25 ХГСА, вместо хромо-молибденовой стали дал в 1941-42 гг. 407 тонн экономии ферро-молибдена.</w:t>
      </w:r>
    </w:p>
    <w:p w14:paraId="707068E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Разработаны и внедрены на всех авиационных моторных заводах стали марок 38 ХА и 15 ХА без дефицитных присадок взамен хромо-никелевых сталей, что дало значительную экономию дефицитного никеля.</w:t>
      </w:r>
    </w:p>
    <w:p w14:paraId="2375964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Разработаны и успешно прошли испытания высокопрочные стали марок ЭИ-273 и ЭИ-274, совершенно без дефицитных присадок, и ЭИ-275, с небольшим содержанием молибдена, для изготовления наиболее ответственных моторных деталей (коленчатые валы моторов воздушного охлаждения, шатуны, детали ВИШ и др.), освоение которых значительно сократит в нашей стране потребление никеля, вольфрама и молибдена на нужды НКАП.</w:t>
      </w:r>
    </w:p>
    <w:p w14:paraId="7113D1E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1941 год и первую половину 1942 года в результате внедрения моторных сталей-заменителей марок 38 ХА, ЭИ273 и ЭИ275 получена экономия 689 тонн никеля и 28 тонн ферро-вольфрама.</w:t>
      </w:r>
    </w:p>
    <w:p w14:paraId="206955A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Ожидаемая экономия во второй половине 1942 года при внедрении моторных сталей-заменителей, прошедших и проходящих испытания, составит 746 тонн никеля и 330 тонн ферро-вольфрама.</w:t>
      </w:r>
    </w:p>
    <w:p w14:paraId="0407B88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Разработана и внедрена в массовое производство корпусов ИЛ-2 авиационная броня марок АБ-1 и АБ-2, значительно превосходящая по своей стойкости немецкую броню и другие известные броневые стали. Высокая вязкость сталей АБ-1 и АБ-2 при сопротивлении разрыву выше 200 кг/кв. мм, вместо 160-180 кг/кв. мм у старых марок брони, обеспечивает хорошую живучесть броневого фюзеляжа ИЛ-2 при попадании в него осколков снаряда. Способность новой брони закаливаться на воздухе и под штампом позволила совместить закалку со штамповкой деталей сложной аэродинамической формы и избежать их коробления.</w:t>
      </w:r>
    </w:p>
    <w:p w14:paraId="373E796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перехода с броневой стали марки АБ-1 на марку АБ-2 квартальная экономия никеля составляет 133 тонны, а ферро-молибдена - 46 тонн. Общая экономия за 1942 г. будет свыше 500 тонн по никелю и свыше 180 тонн по ферро-молибдену...</w:t>
      </w:r>
    </w:p>
    <w:p w14:paraId="72C4D31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Всесоюзного научно-исследовательского института авиационных материалов</w:t>
      </w:r>
      <w:r w:rsidRPr="008127F8">
        <w:rPr>
          <w:rFonts w:ascii="Times New Roman" w:hAnsi="Times New Roman"/>
          <w:color w:val="000000" w:themeColor="text1"/>
          <w:sz w:val="16"/>
          <w:szCs w:val="16"/>
        </w:rPr>
        <w:tab/>
        <w:t>А.Т. Туманов</w:t>
      </w:r>
    </w:p>
    <w:p w14:paraId="03E1FAD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РГАНТД. Ф. P-124. On. 1-6. Д. 127. Л. 53-57. Подлинник (20639).</w:t>
      </w:r>
    </w:p>
    <w:p w14:paraId="0F5FA38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4F214E3"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ранее 18 мая 1942 г. Справка о крупнейших работах Всесоюзного научно-исследовательского института авиационных материалов в области материалов-заменителей (1941-1942 гг.)</w:t>
      </w:r>
    </w:p>
    <w:p w14:paraId="66182E5E"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48B7A730"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Разработаны две марки стали хромансиль без дефицитных присадок: 25 ХГСА и 30 ХГСА. Сталь 25 ХГСА является полноценным заменителем хромомолибденовой стали, а вторая марка превосходит последнюю по прочности. Эта работа освободила страну в области самолетостроения от импорта молибдена для производства стальных полуфабрикатов. Сталь хромансиль внедрена ВИАМом на всех самолетных заводах.</w:t>
      </w:r>
    </w:p>
    <w:p w14:paraId="4895AA83"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Переход в самолетостроении на сталь хромансиль марок 30 ХГСА и 25 ХГСА, вместо хромо-молибденовой стали дал в 1941-42 гг. 407 тонн экономии ферро-молибдена.</w:t>
      </w:r>
    </w:p>
    <w:p w14:paraId="30BB47C5"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Разработаны и внедрены на всех авиационных моторных заводах стали марок 38 ХА и 15 ХА без дефицитных присадок взамен хромо-никелевых сталей, что дало значительную экономию дефицитного никеля.</w:t>
      </w:r>
    </w:p>
    <w:p w14:paraId="1BBD24CA"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Разработаны и успешно прошли испытания высокопрочные стали марок ЭИ-273 и ЭИ-274, совершенно без дефицитных присадок, и ЭИ-275, с небольшим содержанием молибдена, для изготовления наиболее ответственных моторных деталей (коленчатые валы моторов воздушного охлаждения, шатуны, детали ВИШ и др.), освоение которых значительно сократит в нашей стране потребление никеля, вольфрама и молибдена на нужды НКАП.</w:t>
      </w:r>
    </w:p>
    <w:p w14:paraId="42391327"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1941 год и первую половину 1942 года в результате внедрения моторных сталей-заменителей марок 38 ХА, ЭИ273 и ЭИ275 получена экономия 689 тонн никеля и 28 тонн ферро-вольфрама.</w:t>
      </w:r>
    </w:p>
    <w:p w14:paraId="22A09ABC"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Ожидаемая экономия во второй половине 1942 года при внедрении моторных сталей-заменителей, прошедших и проходящих испытания, составит 746 тонн никеля и 330 тонн ферро-вольфрама.</w:t>
      </w:r>
    </w:p>
    <w:p w14:paraId="065CD06E"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Разработана и внедрена в массовое производство корпусов ИЛ-2 авиационная броня марок АБ-1 и АБ-2, значительно превосходящая по своей стойкости немецкую броню и другие известные броневые стали. Высокая вязкость сталей АБ-1 и АБ-2 при сопротивлении разрыву выше 200 кг/кв. мм, вместо 160-180 кг/кв. мм у старых марок брони, обеспечивает хорошую живучесть броневого фюзеляжа ИЛ-2 при попадании в него осколков снаряда. Способность новой брони закаливаться на воздухе и под штампом позволила совместить закалку со штамповкой деталей сложной аэродинамической формы и избежать их коробления.</w:t>
      </w:r>
    </w:p>
    <w:p w14:paraId="31B4ACEE"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результате перехода с броневой стали марки АБ-1 на марку АБ-2 квартальная экономия никеля составляет 133 тонны, а ферро-молибдена - 46 тонн. Общая экономия за 1942 г. будет свыше 500 тонн по никелю и свыше 180 тонн по ферро-молибдену...</w:t>
      </w:r>
    </w:p>
    <w:p w14:paraId="7B5AFD4D"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Всесоюзного научно-исследовательского института авиационных материалов</w:t>
      </w:r>
      <w:r w:rsidRPr="008A2E5A">
        <w:rPr>
          <w:rFonts w:ascii="Times New Roman" w:hAnsi="Times New Roman"/>
          <w:color w:val="0070C0"/>
          <w:sz w:val="16"/>
          <w:szCs w:val="16"/>
        </w:rPr>
        <w:tab/>
        <w:t>А.Т. Туманов</w:t>
      </w:r>
    </w:p>
    <w:p w14:paraId="6CB460D1"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Филиал РГАНТД. Ф. P-124. On. 1-6. Д. 127. Л. 53-57. Подлинник (23736).</w:t>
      </w:r>
    </w:p>
    <w:p w14:paraId="5EF316DA" w14:textId="77777777" w:rsidR="00AF6A30" w:rsidRPr="008A2E5A" w:rsidRDefault="00AF6A30" w:rsidP="00AF6A30">
      <w:pPr>
        <w:spacing w:after="0" w:line="240" w:lineRule="auto"/>
        <w:jc w:val="both"/>
        <w:rPr>
          <w:rFonts w:ascii="Times New Roman" w:hAnsi="Times New Roman"/>
          <w:color w:val="0070C0"/>
          <w:sz w:val="16"/>
          <w:szCs w:val="16"/>
        </w:rPr>
      </w:pPr>
    </w:p>
    <w:p w14:paraId="6312359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4C9E7B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72287C"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мая 1942 года в соответствии с постановлением ГКО в Перми началось строительство производственной линии нитроглицериновых порохов большой мощности, осно</w:t>
      </w:r>
      <w:r w:rsidRPr="008A2E5A">
        <w:rPr>
          <w:rFonts w:ascii="Times New Roman" w:hAnsi="Times New Roman"/>
          <w:color w:val="0070C0"/>
          <w:sz w:val="16"/>
          <w:szCs w:val="16"/>
        </w:rPr>
        <w:softHyphen/>
        <w:t>ванной на технологии шнекового производства.</w:t>
      </w:r>
    </w:p>
    <w:p w14:paraId="5387EF64"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Шнековая технология — это конвейерная технология не</w:t>
      </w:r>
      <w:r w:rsidRPr="008A2E5A">
        <w:rPr>
          <w:rFonts w:ascii="Times New Roman" w:hAnsi="Times New Roman"/>
          <w:color w:val="0070C0"/>
          <w:sz w:val="16"/>
          <w:szCs w:val="16"/>
        </w:rPr>
        <w:softHyphen/>
        <w:t>прерывного производства пороха, позволяющая добиться мас</w:t>
      </w:r>
      <w:r w:rsidRPr="008A2E5A">
        <w:rPr>
          <w:rFonts w:ascii="Times New Roman" w:hAnsi="Times New Roman"/>
          <w:color w:val="0070C0"/>
          <w:sz w:val="16"/>
          <w:szCs w:val="16"/>
        </w:rPr>
        <w:softHyphen/>
        <w:t>сового выпуска. Идея непрерывного формования была впервые предложена Бакаевым еще в 1934 году. Трагические события в жизни отодвинули идею на второй план, но ученики Бакаева знали, какие перспективы открывает ее реализация (23510).</w:t>
      </w:r>
    </w:p>
    <w:p w14:paraId="20F7C112" w14:textId="77777777" w:rsidR="00AF6A30" w:rsidRPr="008A2E5A" w:rsidRDefault="00AF6A30" w:rsidP="00AF6A30">
      <w:pPr>
        <w:spacing w:after="0" w:line="240" w:lineRule="auto"/>
        <w:jc w:val="both"/>
        <w:rPr>
          <w:rFonts w:ascii="Times New Roman" w:hAnsi="Times New Roman"/>
          <w:color w:val="0070C0"/>
          <w:sz w:val="16"/>
          <w:szCs w:val="16"/>
        </w:rPr>
      </w:pPr>
    </w:p>
    <w:p w14:paraId="76F11C4B"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 18 по 23 мая 1942 года прошли первые испытания по теме мортиры М-4, С.П. Гуренко, проверялся опытный лафет. Во время испытаний использовался баллистический ствол, изготовленный из трубы опытного образца 203-мм гаубицы М-40 и затвора 152 мм пушки Б-30. В августе 1942 года для мортиры был изготовлен ствол-моноблок. Затвор, с небольшими переделками, взяли от гаубицы Б-4. От нее же использовались и боеприпасы. Масса М-4 в походном положении составляла 8300 кг, а в боевом – 7500 кг, что меньше чем на полтонны превышало аналогичные данные МЛ-20.</w:t>
      </w:r>
    </w:p>
    <w:p w14:paraId="1AD76F72"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Несмотря на ряд проблем, испытания продемонстрировали пригодность М-4 для серийного производства. Больше того, 12 июня 1943 года Сталин подписал постановление ГКО №3564сс «О подготовке производства 203-мм мортир «М-4»». На этом фоне появилась идея разработать самоходную установку с использованием М-4. Согласно документам, инициатором создания самоходной установки с мортирой М-4 выступал генерал-майор инженерно-артиллерийской служба А.А Толочков, занимавший должность начальника сектора опытных конструкций Техсовета Народного комиссариата вооружения (НКВ). С ним же ОКБ-172 согласовывало и предварительные требования, которые легли в основу проектирования (17701).</w:t>
      </w:r>
    </w:p>
    <w:p w14:paraId="55DB282D"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5F96DF36"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мая 1942 было подписано распоряжение о проведении испытаний Т-60 с моторами ЗИС-5 и ЗИС-16. На следующий день танк с мотором ЗИС-16 отправился в пробег. С этим мотором скорость достигла 40,5 км/ч, а с мотором ЗИС-5 она снизилась до 37,2 км/ч. Стоит отметить, что и мотор ЗИС-5 был "подержанным", посему реальные скорости могли быть и выше. Отмечалось, что в виду дополнительной нагрузки тепловой режим мотора ухудшился, хотя тут следовало погонять рядом и обычный Т-60. Возможно, что получили бы похожие цифры (23347).</w:t>
      </w:r>
    </w:p>
    <w:p w14:paraId="39FE01CB" w14:textId="77777777" w:rsidR="00AF6A30" w:rsidRPr="008A2E5A" w:rsidRDefault="00AF6A30" w:rsidP="00AF6A30">
      <w:pPr>
        <w:spacing w:after="0" w:line="240" w:lineRule="auto"/>
        <w:jc w:val="both"/>
        <w:rPr>
          <w:rFonts w:ascii="Times New Roman" w:hAnsi="Times New Roman"/>
          <w:color w:val="0070C0"/>
          <w:sz w:val="16"/>
          <w:szCs w:val="16"/>
        </w:rPr>
      </w:pPr>
    </w:p>
    <w:p w14:paraId="53A136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1942 вышло Постановление ГКО № 1763 Об оставлении 1000 человек рабочих из числа учащихся ленинградских ремесленных училищ на предприятиях Новосибирской области, занятых производством боеприпасов. РГАНИР, Фонд ГКО, д. 35, лл. 91 (11012).</w:t>
      </w:r>
    </w:p>
    <w:p w14:paraId="6AAC9C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0E484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1942 вышло Постановление ГКО № 1764 О строительстве на заводе № 98 НКБ двух шнековых агрегатов для производства нитроглицериновых порохов. РГАНИР, Фонд ГКО, д. 35, лл. 92-92об (11012).</w:t>
      </w:r>
    </w:p>
    <w:p w14:paraId="6DF8C85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2B13D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1942 вышло Постановление ГКО № 1765 О прекращении призыва в Красную Армию работников ж.-д. транспорта и о возврате на ж.-д. транспорт ранее призванных в Красную Армию паровозных машинистов, помощников паровозных машинистов, поездных диспетчеров и дежурных по станции. (7035, 93).</w:t>
      </w:r>
    </w:p>
    <w:p w14:paraId="1BA3FAC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D8E45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1942 вышло Постановление ГКО № 1769 О мероприятиях по увеличению производства никеля в СССР. (7035, 99-103).</w:t>
      </w:r>
    </w:p>
    <w:p w14:paraId="27BC7FA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78E29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1942 вышло Постановление ГКО № 1770 Об увеличении производства никеля на Норильском никелевом комбинате НКВД СССР. (7035, 104-110,111-151).</w:t>
      </w:r>
    </w:p>
    <w:p w14:paraId="0999569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9B4D8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1942 вышло Постановление ГКО № 1771 О восстановлении комбината "Североникель" Наркомцветмета. РГАНИР, Фонд ГКО, д. 35, лл. 152-155, 156-159 (11012).</w:t>
      </w:r>
    </w:p>
    <w:p w14:paraId="12FACF4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EE7AF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1942 вышло Постановление ГКО № 1772 О расширении рудной базы Южно-Уральского никелевого комбината Наркомцветмета. (7035, 160-164,165-174).</w:t>
      </w:r>
    </w:p>
    <w:p w14:paraId="69F0E51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92AC5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AEAED9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A954C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18 МАЯ 1942 УТРЕННЕЕ СООБЩЕНИЕ СОВИНФОРМБЮРО:</w:t>
      </w:r>
    </w:p>
    <w:p w14:paraId="6825520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18 мая на Харьковском направлении наши войска вели наступательные бои. На Керченском полуострове наши войска вели напряжённые бои в районе города Керчь. На других участках фронта ничего существенного не произошло.</w:t>
      </w:r>
    </w:p>
    <w:p w14:paraId="7AC9595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Харьковском направлении наши войска, ломая сопротивление немецко-фашистских войск, продолжали продвигаться вперёд. Одна наша часть в боях с противником захватила 30 орудий, 18 пулемётов, 477 винтовок, 38 автоматов,204.000 винтовочных патронов, 12.900 снарядов, 6.000 мин, 700 гранат, продовольственный оклад и другое имущество. На поле боя осталось 800 вражеских трупов. Захвачено в плен свыше 100 немецких солдат. На другом участке наши бойцы выбили гитлеровцев из сильно укреплённого пункта и захватили 80 миномётов, 3пушки, 2 ручных пулемёта, 150 винтовок и 40.000 противотанковых патронов.</w:t>
      </w:r>
    </w:p>
    <w:p w14:paraId="19756DA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участке одного нашего соединения групповым огнём из винтовок сбито 2немецких самолёта. Орудийным расчётом т.т. Тутова и Скобелева части, где командиром т. Песочин, уничтожено 5 самолётов противника.</w:t>
      </w:r>
    </w:p>
    <w:p w14:paraId="48FC235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Калининского фронта гитлеровцы пытались атаковать наши части, но были отброшены с большими для них потерями. На поле боя осталось 230вражеских трупов. Уничтожено 2 миномётные батареи и 3 огневые точки противника.</w:t>
      </w:r>
    </w:p>
    <w:p w14:paraId="0BE496A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Ленинградского фронта, захватила у немцев 11 орудий, 30 станковых пулемётов, 11 миномётов, продовольственный и вещевой склады, много повозок и другое военное имущество.</w:t>
      </w:r>
    </w:p>
    <w:p w14:paraId="5B733FA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немецких бомбардировщиков пытались бомбить наши наступающие войска. Зенитная батарея старшего лейтенанта Бурбы встретила противника меткими залпами. Два немецких самолёта были сбиты. Остальные сбросили бомбы вне расположения наших войск. На другой день зенитчики батареи сбили ещё два «Юнкер-са-88».</w:t>
      </w:r>
    </w:p>
    <w:p w14:paraId="6F5EE1F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Объединённый партизанский отряд под командованием тов. Ж., действующий в тылу немецко-фашистских захватчиков на территории Смоленской области, за последние три месяца уничтожил 2.000 немецких солдат и офицеров. Партизаны сожгли 3 склада с боеприпасами, продовольственный склад и склад с горючим, организовали крушение четырёх поездов с боеприпасами и военным имуществом, подбили 3 вражеских танка, уничтожили 25 автомашин, 35 подвод с продовольствием и боеприпасами. Огнём пехотного оружия партизаны сбили 3 немецких самолёта. За три месяца отряд захватил у противника многочисленные трофеи, в числе которых 5 орудий, 7станковых и 37 ручных пулемётов, 55 автоматов, 340 винтовок, свыше 1.000 мин,50.000 патронов, большое количество гранат, обмундирования и другого военного имущества.</w:t>
      </w:r>
    </w:p>
    <w:p w14:paraId="260F557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обер-ефрейтор Ганс Геллер недавно писал Л. Геллер в Германию: «...Мы все уже до некоторой степени стали душевнобольными. Чтобы мы окончательно не сошли с ума, нас нужно сменить. Россия требует величайшего напряжения нервов. Каждый стремится на родину. Солдаты всё чаще предаются грустным размышлениям».</w:t>
      </w:r>
    </w:p>
    <w:p w14:paraId="354F5C0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Получено сообщение о боевых действиях отряда известного норвежского партизана X. Ларсена. За последние два месяца отряд Ларсена нанёс белофиннам ряд новых ударов. В конце апреля партизаны ночью произвели налёт на одну железнодорожную станцию и захватили её. К станции приближался эшелон с немецкими войсками. Партизаны пустили навстречу эшелону паровоз. Произошло крушение, в результате которого погибло несколько сот гитлеровцев. За последние два месяца партизаны Ларсена, кроме того, уничтожили 285 гитлеровцев и белофиннов, 38 автомашин с военными грузами, 4 орудия, 16 пулемётов и взорвали склад с боеприпасами (14895).</w:t>
      </w:r>
    </w:p>
    <w:p w14:paraId="408A343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100DF6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18 МАЯ 1942 ВЕЧЕРНЕЕ СООБЩЕНИЕ СОВИНФОРМБЮРО:</w:t>
      </w:r>
    </w:p>
    <w:p w14:paraId="6986E3E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18 мая на Харьковском направлении наши войска вели наступательные бои и продвигались вперёд.</w:t>
      </w:r>
    </w:p>
    <w:p w14:paraId="76E125C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Керченском полуострове, в районе города Керчь, продолжались напряжённые бои.</w:t>
      </w:r>
    </w:p>
    <w:p w14:paraId="3673F50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ничего существенного не произошло.</w:t>
      </w:r>
    </w:p>
    <w:p w14:paraId="198ADE7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17 мая уничтожено 64 немецких самолёта. Наши потери — 21 самолёт.</w:t>
      </w:r>
    </w:p>
    <w:p w14:paraId="7F84359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Советские самолёты в Баренцевом море потопили миноносец противника.</w:t>
      </w:r>
    </w:p>
    <w:p w14:paraId="0E07F57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17 мая частями нашей авиации на разных участках фронта уничтожено или повреждено 6 немецких танков, более 100 автомашин с войсками и боеприпасами, 8полевых и зенитных орудий, взорван склад с боеприпасами, разбит железнодорожный состав рассеяно и частью уничтожено до трёх рот пехоты противника.</w:t>
      </w:r>
    </w:p>
    <w:p w14:paraId="625F839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 Харьковском направлении наши части, ломая сопротивление противника, продвигаются вперёд. На одном из участков гитлеровцы предприняли несколько танковых контратак. Бойцы и командиры части, которой командует тов. Ротко, самоотверженно боролись с врагом и уничтожили 30 немецких танков. Танкисты одного из подразделений части, которой командует тов. Бунтман, уничтожили несколько немецких танков, 6 полевых орудий, 7 противотанковых пушек, 10пулемётных гнёзд и не менее 300 гитлеровцев. На другом участке наша часть выбила противника из сильно укреплённого населённого пункта и захватила 2 склада снарядов, 4 орудия, 11 пулемётов, 350 ящиков мин, 10 автомашин, 10 радиостанций,25 мотоциклов, 130 велосипедов и много другого военного имущества.</w:t>
      </w:r>
    </w:p>
    <w:p w14:paraId="0548BAD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за два дня боевых действий уничтожили до 800 немецких солдат и офицеров. Артиллерией и разведывательными группами уничтожено несколько немецких орудий, миномётов и станковых пулемётов.</w:t>
      </w:r>
    </w:p>
    <w:p w14:paraId="5233677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разведчики обнаружили на опушке леса два замаскированных вражеских танка и сообщили об этом командиру артиллерийской батареи старшему лейтенанту Подуст. Батарея открыла огонь и уничтожила один танк. Другой танк был уничтожен огнём соседней батареи.</w:t>
      </w:r>
    </w:p>
    <w:p w14:paraId="19146ED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Артиллерийский дивизион под командованием тов. Скоробогатова совершил огневой налёт на вражеский прифронтовой аэродром. Разведка установила, что артиллеристы уничтожили 10 немецких трёхмоторных самолётов «Юнкерс-52».</w:t>
      </w:r>
    </w:p>
    <w:p w14:paraId="3FEDBDB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«Мороз», действующий в тылу немецких войск в Смоленской области, за два месяца в многочисленных схватках с оккупантами, по неполным данным, уничтожил не менее 500 немецких солдат и офицеров и захватил 3 орудия,119 автомашин, 37 мотоциклов и другое военное имущество.</w:t>
      </w:r>
    </w:p>
    <w:p w14:paraId="1E9426D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унтер-офицер 54 полка 100 немецкой лёгко-пехотной дивизии Гергарт Вудик сделал следующее заявление: «Наша дивизия понесла большие потери. К началу апреля в ротах оставалось по 30— 40 человек. Некоторое время я сидел в военной тюрьме в городе Сталине. В тюрьме было очень много солдат 100 дивизии, преданных военному суду за проявление трусости в бою. В тюрьме находилось 65хорватов-дезертиров».</w:t>
      </w:r>
    </w:p>
    <w:p w14:paraId="34A2EEA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Греческие патриоты ведут самоотверженную борьбу против фашистских оккупантов. В начале мая недалеко от города Фивы произошло крушение железнодорожного эшелона с итальянскими солдатами. На днях на вышедшем из Пирейского порта итальянском транспорте произошёл взрыв. Судно затонуло. Предполагают, что в тюки с табаком была заложена адская машина. Среди портовых рабочих и служащих произведены аресты (14895).</w:t>
      </w:r>
    </w:p>
    <w:p w14:paraId="69A97F3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6831E7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1942 гитлеровские войска окончательно добили советскую группировку на Керченском полуострове в Крыму (14895).</w:t>
      </w:r>
    </w:p>
    <w:p w14:paraId="0F34131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BCC659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1942 в первой половине дня три группы Ju 88 общей численностью около 32 самолетов под прикрытием двадцати Bf 109 и Bf 110 нанесли удар по транспортным судам и кораблям, стоявшим на якоре в Кольском заливе. На перехват самолетов противника было поднято 37 истребителей. В воздушных боях нашими летчиками было заявлено об уничтожении восьми Ju 88 и трех Bf ПО2, огнем зенитной артиллерии было сбито еще три Ju 88. Полки ВВС 14-й Армии потеряли пять истребителей: три "Томэхока" и два "Харрикейна", в частях ВВС Северного Флота потерь не было. Немецкие источники подтверждают потерю 18 мая 1942 г. в районе Мурманска двух Ju 88, оба из 5./KG 30 "Adier": Ju 88A-4 WNr.1746 и Ju 88A-4 WNr.2055. Потери Bf 110 не подтверждаются. Во второй половине дня семь Ju 87 под прикрытием шести Bf 109 и трех Bf 110, обойдя с южной стороны основные посты ВНОС, совершили неожиданный налет на Мурманск. Бомбы упали в самом центре города, на углу проспекта им. Сталина и улицы Милицейской. В результате налета была полностью разрушена городская столовая, управление милиции, получил повреждения водопровод. В этот день, 18 мая, Борис Сафонов поднимался в воздух лишь один раз на перехват вражеских самолетов (3222,30).</w:t>
      </w:r>
    </w:p>
    <w:p w14:paraId="4B6239B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4CA52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на 18 мая 1942 аэродром 10-го ГвБАП дважды подвергался бомбардировкам, а заходившие на посадку после ночного вылета самолеты атаковал одиночны и Ме-110. Ночной охотник сбил бомбардировщик л-та Барышникова при четвертом развороте прямо над аэродромом. а затем пытался атаковать самолет л-та Бочина, но был сбит ответным огнем. В тот же день звено “мессершмитов” пулеметно-пушечным огнем проштурмовало аэродром Бригадировка. на котором базировались 13-и ГвБАП и 181-й ПАП.</w:t>
      </w:r>
    </w:p>
    <w:p w14:paraId="21689F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со сложившейся обстановкой на помощь армиям, находившимся под угрозой окружения, были брошены основные авиационные силы Южного фронта. Некоторые из полков ВВС ЮФ перебазировались ближе к району боевых действии. В интересах Юго-Западного фронта были срочно задействованы значительные силы АДД, которые в течение нескольких ночей бомбили оперативные резервы противника в районах Харькова, Краматорска, Славянска, Константиновки. Авиация ЮЗФ и ЮФ пыталась наносить ответные удары по аэродромам противника. Рано утром, приблизительно в половину пятого утра 17 мая на немецкие аэродромы в районе Рогань-Чугуев был произведен налет группы 6 Пл-2, 8 Як-1 и 8 ЛаГГ-3 из состава MAT ЮЗФ. Единственный в ВВС Южного фронта полк, имевший на вооружении самолеты Пе-2, был задействован для удара по аэродрому Константиновка (9394,16).</w:t>
      </w:r>
    </w:p>
    <w:p w14:paraId="45AFBBF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CBEB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1942 1-й ГМТАП получил из штаба ВВС КБФ план минных постановок на ближайшие месяцы, согласно которому требовалось выставить 66 мин у Хельсинки, 43 - у Таллина и 62 - у Котки. Следует отметить, что почти половину от запланированного числа мин составляли полученные по ленд-лизу британские донные неконтактные мины A-I-IV. Первая партия этих мин поступила в СССР ещё в августе 1941 г., в октябре они уже были на КБФ, но потребовалось еще несколько месяцев на обучение личного состава обращению с ними. Мина была принята на вооружение Королевского ВМФ еще до начала Второй Мировой войны, имела общий вес 671 кг (для сравнения АМГ - 1070 кг), вес ВВ 330 кг (АМГ - 260 кг), вполне достаточный для нанесения фатальных повреждений кораблям при глубине постановки до 25 м и индукционный взрыватель, который позднее стал оснащаться прибором кратности, отсчитывавшим до 12 импульсов. Мина могла применяться без парашюта при высоте сбрасывания не более 170 м при скорости самолета до 280 км/ч или с парашютом при высоте сбрасывания не менее 320 м при скорости не более 320 км/ч. В наших ВВС она применялась исключительно в последнем варианте. К числу недостатков советские специалисты относили большую длину изделия - 4,3 м (АМГ - 3,6 м), которая вытекала из небольшого диаметра мины, сделанной под калибр 18-дюймового торпедного аппарата, и отделяемого парашютного контейнера. Первоначально Ил-4 (так с марта 1942 г. стал именоваться ДБ-3ф) мог нести всего одну такую мину, но после дооборудования дополнительными узлами подвески специально выделенные для минных постановок самолеты начали поднимать по два таких боеприпаса (9965).</w:t>
      </w:r>
    </w:p>
    <w:p w14:paraId="0704004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8C49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1942 1 гв мтап получил из штаба ВВС КБФ план минных постановок на ближайшие месяцы, согласно которому требовалось выставить 66 мин у Хельсинки, 43 - у Таллина и 62 - у Котки. Следует отметить, что почти половину от запланированного числа мин составляли полученные по ленд-лизу британские донные неконтактные мины А-1-4. Первая партия этих мин поступила в СССР еще в августе 1941 г., в октябре они уже были на КБФ, но потребовалось еще несколько месяцев на обучение личного состава обращению с ними. Кроме того, постоянно отвлекали дела на сухопутном направлении. Первый вылет по новому плану состоялся в ночь на 29 мая. В течение месяца вместо 171 запланированной мины успели поставить всего 29, после чего задачи ВВС вновь изменились. Все постановки осуществлялись по ночам и, как правило, совмещались с бомбардировочным ударом по порту. Противник противодействовал слабо, но и сам не пострадал (12002).</w:t>
      </w:r>
    </w:p>
    <w:p w14:paraId="03ED18A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D667D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1942 немецкой армией уничтожены остатки советских войск на Керченском полуострове (4962).</w:t>
      </w:r>
    </w:p>
    <w:p w14:paraId="715AD2B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536D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1942 вышло Постановление ГКО № 1768 Об улучшении организации доставки по назначению и упорядочению учета подарков, поступающих для Красной Армии от населения страны. РГАНИР, Фонд ГКО, д. 35, лл. 96-97, 98 (11012).</w:t>
      </w:r>
    </w:p>
    <w:p w14:paraId="4F9CED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5A545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1942 года вышло ПОСТАНОВЛЕНИЕ ГОСУДАРСТВЕННОГО КОМИТЕТА ОБОРОНЫ № ГОКО-1768с ОБ УЛУЧШЕНИИ ОРГАНИЗАЦИИ ДОСТАВКИ ПО НАЗНАЧЕНИЮ И УПОРЯДОЧЕНИЮ УЧЕТА ПОДАРКОВ, ПОСТУПАЮЩИХ ДЛЯ КРАСНОЙ АРМИИ ОТ НАСЕЛЕНИЯ СТРАНЫ</w:t>
      </w:r>
    </w:p>
    <w:p w14:paraId="6E635D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лучшей организации доставки по назначению подарков, поступающих для Красной Армии от населения страны, а также упорядочения учета их Государственный Комитет Обороны постановляет:</w:t>
      </w:r>
    </w:p>
    <w:p w14:paraId="750CE91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Именные подарки красноармейцам и командирам, поступающие на базы НКО, а также продовольственные подарки от населения и организаций, предназначенные для определенных воинских частей, соединений и армий, доставлять строго по назначению в соответствии с пожеланиями отправителей.</w:t>
      </w:r>
    </w:p>
    <w:p w14:paraId="0B58241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Подарки, не имеющие предназначения для определенных лиц и воинских частей, направлять воинским частям и соединениям действующей армии через фронтовые — армейские базы.</w:t>
      </w:r>
    </w:p>
    <w:p w14:paraId="4F6DCB3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Ценные вещевые (не именные) подарки (часы, портсигары и т. д.) передавать в распоряжение военных советов фронтов, армий, командиров соединений и частей для выдачи военнослужащим, отличившимся в боевых операциях с противником.</w:t>
      </w:r>
    </w:p>
    <w:p w14:paraId="4218F7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Обязать начальника тыла Красной Армии, начальников тыла фронтов-армий и начальников управлений продовольственного снабжения округов:</w:t>
      </w:r>
    </w:p>
    <w:p w14:paraId="52CEA9F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из продуктов, поступивших воинским частям (п. 1) и на окружные, фронтовые и армейские базы (п. 2), комплектовать на базах и складах индивидуальные посылки-подарки и направлять в части, подразделения и госпитали для выдачи бойцам и командирам, а также раненым и больным военнослужащим;</w:t>
      </w:r>
    </w:p>
    <w:p w14:paraId="5D5C8E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все продукты, оставшиеся от комплектования индивидуальных посылок, а также скоропортящиеся и труднообрабатываемые в полевых условиях продукты (мука, крупа всех видов и названий, мясо, рыба, масло растительное, овощи всех видов, сухофрукты, вино, специи и мыло хозяйственное) направлять в части действующей армии для улучшения питания военнослужащих, в том числе раненых и больных в госпиталях, в дополнение к пайку.</w:t>
      </w:r>
    </w:p>
    <w:p w14:paraId="42C550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Возложить ответственность за своевременность доставки и использование подарков строго по назначению:</w:t>
      </w:r>
    </w:p>
    <w:p w14:paraId="26ABF1B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для фронтов и госпиталей внутри страны — на начальника тыла Красной Армии и начальника Главного политического управления Красной Армии;</w:t>
      </w:r>
    </w:p>
    <w:p w14:paraId="2D63E9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 для армий, соединений, частей и полевых госпиталей — на членов военных советов и начальников тыла фронтов, армий и заместителей командиров по снабжению </w:t>
      </w:r>
      <w:r w:rsidRPr="008127F8">
        <w:rPr>
          <w:rFonts w:ascii="Times New Roman" w:hAnsi="Times New Roman"/>
          <w:color w:val="000000" w:themeColor="text1"/>
          <w:sz w:val="16"/>
          <w:szCs w:val="16"/>
        </w:rPr>
        <w:lastRenderedPageBreak/>
        <w:t>и военных комиссаров соединений;</w:t>
      </w:r>
    </w:p>
    <w:p w14:paraId="6D0915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для бойцов и командиров подразделений — на пом. командиров частей по снабжению (МТО) и военных комиссаров этих частей.</w:t>
      </w:r>
    </w:p>
    <w:p w14:paraId="10924B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Для приема, хранения, комплектования и доставки подарков фронтам, армиям и госпиталям внутри страны организовать в составе окружных, фронтовых и армейских продовольственных складов базы (по штатам в приложении*), подчинив базы:</w:t>
      </w:r>
    </w:p>
    <w:p w14:paraId="575A940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центре — Главному управлению продовольственного снабжения Красной Армии и</w:t>
      </w:r>
    </w:p>
    <w:p w14:paraId="48EE91F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местах — соответствующим начальникам управлений (отделов) продовольственного снабжения округов — фронтов и армий.</w:t>
      </w:r>
    </w:p>
    <w:p w14:paraId="0363538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Продовольственные и имущественные подарки (в том числе и именные) принимать и учитывать на базах и складах НКО и в войсковых частях порядком, установленным для предметов военного снабжения.</w:t>
      </w:r>
    </w:p>
    <w:p w14:paraId="148839D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Обязать начальника Главного управления продовольственного снабжения Красной Армии представлять Государственному Комитету Обороны ежемесячно отчет о поступивших и доставленных фронтам подарков на основе отчетов фронтов, армий, соединений и частей.</w:t>
      </w:r>
    </w:p>
    <w:p w14:paraId="4920824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За неправильное использование подарков, разбазаривание и утрату, за плохой учет и плохое хранение подарков на базах, складах, в войсковых частях виновных в этом должностных лиц привлекать к судебной ответственности по закону от 3 марта 1942 года “Об охране военного имущества Красной Армии в военное время” (постановление ГОКО № 1379с 1942 года*).</w:t>
      </w:r>
    </w:p>
    <w:p w14:paraId="7F3240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Политорганам войсковых частей и соединений рекомендовать бойцам и командирам посылку ответных писем о получении подарков.</w:t>
      </w:r>
    </w:p>
    <w:p w14:paraId="45D8818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Председатель Государственного Комитета Обороны И. СТАЛИН</w:t>
      </w:r>
      <w:r w:rsidRPr="008127F8">
        <w:rPr>
          <w:rFonts w:ascii="Times New Roman" w:hAnsi="Times New Roman"/>
          <w:color w:val="000000" w:themeColor="text1"/>
          <w:sz w:val="16"/>
          <w:szCs w:val="16"/>
        </w:rPr>
        <w:t xml:space="preserve"> (9844).</w:t>
      </w:r>
    </w:p>
    <w:p w14:paraId="1DEE695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4B2EA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0548A70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3CE83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1942 вышло Постановление ГКО № 1766 Об оплате за проезд в Московском метрополитене. (7035, 94).</w:t>
      </w:r>
    </w:p>
    <w:p w14:paraId="6EA5B86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9F741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1942 вышло Постановление ГКО № 1767 Об установлении времени работы Московского метрополитена. (7035, 95).</w:t>
      </w:r>
    </w:p>
    <w:p w14:paraId="0E35BD8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B47A5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2CC76D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B8CDD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Впервые поднялась в воздух первая серийная Барракуда 1 - Р9642 (F.4570) с двигателем «Мерлин 30» - английский торпедоносец (22498).</w:t>
      </w:r>
    </w:p>
    <w:p w14:paraId="41BD3A5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37342D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1942 в Берлине группой подпольщиков атакована антисоветская выставка (4962).</w:t>
      </w:r>
    </w:p>
    <w:p w14:paraId="47D71C6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69520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rPr>
        <w:t>18 мая 1942 большой американский экспедиционный корпус прибыл в Северную Ирландию</w:t>
      </w:r>
      <w:r w:rsidRPr="008127F8">
        <w:rPr>
          <w:rFonts w:ascii="Times New Roman" w:hAnsi="Times New Roman"/>
          <w:color w:val="000000" w:themeColor="text1"/>
          <w:sz w:val="16"/>
          <w:szCs w:val="16"/>
          <w:lang w:val="en-US"/>
        </w:rPr>
        <w:t xml:space="preserve"> (2245,4).</w:t>
      </w:r>
    </w:p>
    <w:p w14:paraId="3D7D33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72AEF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May 18th, 1942: The RAF launches a major attack against Mannheim (3819).</w:t>
      </w:r>
    </w:p>
    <w:p w14:paraId="1522D6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48F30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1942 Королевские ВВС выполнили налет на Манхайм (3819).</w:t>
      </w:r>
    </w:p>
    <w:p w14:paraId="343725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96531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BFEAFF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B14D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А.И.Ш. писал в ГКО Г.М.М. письмо нг/3 N 3364:</w:t>
      </w:r>
    </w:p>
    <w:p w14:paraId="71085E7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вопросу вооружения самолета Ил-4 докладываю:</w:t>
      </w:r>
    </w:p>
    <w:p w14:paraId="691CA00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 соответствии с постановлением ГКО N 1508 от 29 марта 1942 НКАП совместно с АДД провели испытания самолета Ил-4, вооруженного турельной и люковой установкой под п Березина 12.7 мм. Испытания закончены 19 апреля 1942 с положительными результатами.</w:t>
      </w:r>
    </w:p>
    <w:p w14:paraId="0A33C0D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 связи с увеличением веса самолета Ил-4 и большой загрузкой завода 32 по изготовлению турелей под п 12.7 мм для перевооружения самолетов Ил-4 в строю, считал бы целесообразным в люковой установке оставить п ШКАС 7.62. ГК С.В.И. считает возможным применение люковой установки с п. 12.7 мм на самолетах Ил-4 с М-82 (1631,136).</w:t>
      </w:r>
    </w:p>
    <w:p w14:paraId="7E7A27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420F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вышло Постановление ГКО № 1786 О выпуске самолетов ЛаГГ-3 на заводе № 21. РГАНИР, Фонд ГКО, д. 35, лл. 235 (11012).</w:t>
      </w:r>
    </w:p>
    <w:p w14:paraId="14512F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951C2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вышло Постановление ГКО № 1786 О выпуске самолетов ЛаГГ-3 на заводе № 21</w:t>
      </w:r>
    </w:p>
    <w:p w14:paraId="3865B672" w14:textId="77777777" w:rsidR="007C5583" w:rsidRPr="008127F8" w:rsidRDefault="007C5583" w:rsidP="007C5583">
      <w:pPr>
        <w:tabs>
          <w:tab w:val="left" w:pos="94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Обязать Наркомавиапром т.Шахурина, главного конст</w:t>
      </w:r>
      <w:r w:rsidRPr="008127F8">
        <w:rPr>
          <w:rFonts w:ascii="Times New Roman" w:hAnsi="Times New Roman"/>
          <w:color w:val="000000" w:themeColor="text1"/>
          <w:sz w:val="16"/>
          <w:szCs w:val="16"/>
        </w:rPr>
        <w:softHyphen/>
        <w:t>руктора т.Лавочкина и директора завода 21 т.Гостинцева сверх программы по Лагг-3 с М-105ПФ немедленно приступить к выпуску самолетов Лагг-3 с мотором М-82 и в течение одного месяца облегчить управление самолетом.</w:t>
      </w:r>
      <w:r w:rsidRPr="008127F8">
        <w:rPr>
          <w:rStyle w:val="4195pt0pt"/>
          <w:rFonts w:ascii="Times New Roman" w:hAnsi="Times New Roman" w:cs="Times New Roman"/>
          <w:color w:val="000000" w:themeColor="text1"/>
          <w:sz w:val="16"/>
          <w:szCs w:val="16"/>
        </w:rPr>
        <w:t xml:space="preserve"> </w:t>
      </w:r>
    </w:p>
    <w:p w14:paraId="311508A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 отмену ранее принятого решения ГОКО о постановке производства самолетов Як-7 на заводе № 21 - сохранить на заводе № 21 производство самолетов Лагг-3. Изготовленную на заводе № 21 оснастку под самолет Як-7 и заделы по этому самолету передать на завод № 82 (19332).</w:t>
      </w:r>
    </w:p>
    <w:p w14:paraId="0EFAF02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0DE159"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ночь с 19 на 20 мая 1942 года в кремлевском кабинете Стали</w:t>
      </w:r>
      <w:r w:rsidRPr="008A2E5A">
        <w:rPr>
          <w:rFonts w:ascii="Times New Roman" w:hAnsi="Times New Roman"/>
          <w:color w:val="0070C0"/>
          <w:sz w:val="16"/>
          <w:szCs w:val="16"/>
        </w:rPr>
        <w:softHyphen/>
        <w:t>на состоялся решающий разго</w:t>
      </w:r>
      <w:r w:rsidRPr="008A2E5A">
        <w:rPr>
          <w:rFonts w:ascii="Times New Roman" w:hAnsi="Times New Roman"/>
          <w:color w:val="0070C0"/>
          <w:sz w:val="16"/>
          <w:szCs w:val="16"/>
        </w:rPr>
        <w:softHyphen/>
        <w:t>вор о судьбе Ла-5, для которого он собрал представитель</w:t>
      </w:r>
      <w:r w:rsidRPr="008A2E5A">
        <w:rPr>
          <w:rFonts w:ascii="Times New Roman" w:hAnsi="Times New Roman"/>
          <w:color w:val="0070C0"/>
          <w:sz w:val="16"/>
          <w:szCs w:val="16"/>
        </w:rPr>
        <w:softHyphen/>
        <w:t>ную команду. Присутствовали Г.М. Маленков и Л.П. Берия. В 22 час.10 мин. первым при</w:t>
      </w:r>
      <w:r w:rsidRPr="008A2E5A">
        <w:rPr>
          <w:rFonts w:ascii="Times New Roman" w:hAnsi="Times New Roman"/>
          <w:color w:val="0070C0"/>
          <w:sz w:val="16"/>
          <w:szCs w:val="16"/>
        </w:rPr>
        <w:softHyphen/>
        <w:t>гласили А.А. Новикова, чуть позже - А.И. Шахурина. В 23 час.15 мин. к Сталину зашли на</w:t>
      </w:r>
      <w:r w:rsidRPr="008A2E5A">
        <w:rPr>
          <w:rFonts w:ascii="Times New Roman" w:hAnsi="Times New Roman"/>
          <w:color w:val="0070C0"/>
          <w:sz w:val="16"/>
          <w:szCs w:val="16"/>
        </w:rPr>
        <w:softHyphen/>
        <w:t>чальник НИИ ВВС генерал-лейтенант И.Ф. Петров, Главный инженер ВВС дивинженер А.К. Репин, А.С. Яковлев и С.А. Лавочкин.</w:t>
      </w:r>
    </w:p>
    <w:p w14:paraId="3B8B14A9"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Разговор пошел в пози</w:t>
      </w:r>
      <w:r w:rsidRPr="008A2E5A">
        <w:rPr>
          <w:rFonts w:ascii="Times New Roman" w:hAnsi="Times New Roman"/>
          <w:color w:val="0070C0"/>
          <w:sz w:val="16"/>
          <w:szCs w:val="16"/>
        </w:rPr>
        <w:softHyphen/>
        <w:t>тивном ключе и текст оригинала постановления ГКО снова был на</w:t>
      </w:r>
      <w:r w:rsidRPr="008A2E5A">
        <w:rPr>
          <w:rFonts w:ascii="Times New Roman" w:hAnsi="Times New Roman"/>
          <w:color w:val="0070C0"/>
          <w:sz w:val="16"/>
          <w:szCs w:val="16"/>
        </w:rPr>
        <w:softHyphen/>
        <w:t>писан карандашом от руки. Судя по всему, «писарем» был Алексей Ива</w:t>
      </w:r>
      <w:r w:rsidRPr="008A2E5A">
        <w:rPr>
          <w:rFonts w:ascii="Times New Roman" w:hAnsi="Times New Roman"/>
          <w:color w:val="0070C0"/>
          <w:sz w:val="16"/>
          <w:szCs w:val="16"/>
        </w:rPr>
        <w:softHyphen/>
        <w:t>нович Шахурин. Размашистая подпись «И. Сталин» наискосок ввела в действие поста</w:t>
      </w:r>
      <w:r w:rsidRPr="008A2E5A">
        <w:rPr>
          <w:rFonts w:ascii="Times New Roman" w:hAnsi="Times New Roman"/>
          <w:color w:val="0070C0"/>
          <w:sz w:val="16"/>
          <w:szCs w:val="16"/>
        </w:rPr>
        <w:softHyphen/>
        <w:t>новление ГКО № 1786сс «О выпуске самоле</w:t>
      </w:r>
      <w:r w:rsidRPr="008A2E5A">
        <w:rPr>
          <w:rFonts w:ascii="Times New Roman" w:hAnsi="Times New Roman"/>
          <w:color w:val="0070C0"/>
          <w:sz w:val="16"/>
          <w:szCs w:val="16"/>
        </w:rPr>
        <w:softHyphen/>
        <w:t>тов ЛаГГ-3 на заводе №21», обязывавшее наркома Шахурина, главного конструктора Лавочкина и директора завода № 21 Гостинцева сверх программы по ЛаГГ-3 с М-105ПФ немедленно приступить к выпуску самолетов ЛаГГ-3 с мотором М-82, и в течение одного месяца облегчить управление самолетом. Первые серийные ЛаГ-5 военные получили уже в июле 1942 года.  (23389).</w:t>
      </w:r>
    </w:p>
    <w:p w14:paraId="61A45EA6" w14:textId="77777777" w:rsidR="00AF6A30" w:rsidRPr="008A2E5A" w:rsidRDefault="00AF6A30" w:rsidP="00AF6A30">
      <w:pPr>
        <w:spacing w:after="0" w:line="240" w:lineRule="auto"/>
        <w:jc w:val="both"/>
        <w:rPr>
          <w:rFonts w:ascii="Times New Roman" w:hAnsi="Times New Roman"/>
          <w:color w:val="0070C0"/>
          <w:sz w:val="16"/>
          <w:szCs w:val="16"/>
        </w:rPr>
      </w:pPr>
    </w:p>
    <w:p w14:paraId="79CFFC8A"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мая 1942 г. вышло постановление ГКО № 1789сс и 20.5.42 г. - дублирующий приказ НКАП № 390 сс, согласно которым  пол</w:t>
      </w:r>
      <w:r w:rsidRPr="008A2E5A">
        <w:rPr>
          <w:rFonts w:ascii="Times New Roman" w:hAnsi="Times New Roman"/>
          <w:color w:val="0070C0"/>
          <w:sz w:val="16"/>
          <w:szCs w:val="16"/>
        </w:rPr>
        <w:softHyphen/>
        <w:t>ный переход на М-105ПФ заводам № 153 и № 82 следова</w:t>
      </w:r>
      <w:r w:rsidRPr="008A2E5A">
        <w:rPr>
          <w:rFonts w:ascii="Times New Roman" w:hAnsi="Times New Roman"/>
          <w:color w:val="0070C0"/>
          <w:sz w:val="16"/>
          <w:szCs w:val="16"/>
        </w:rPr>
        <w:softHyphen/>
        <w:t>ло осуществить не позднее 1 июня 1942 г. При этом с са</w:t>
      </w:r>
      <w:r w:rsidRPr="008A2E5A">
        <w:rPr>
          <w:rFonts w:ascii="Times New Roman" w:hAnsi="Times New Roman"/>
          <w:color w:val="0070C0"/>
          <w:sz w:val="16"/>
          <w:szCs w:val="16"/>
        </w:rPr>
        <w:softHyphen/>
        <w:t>молета снималось ненужное управление форсажем мото</w:t>
      </w:r>
      <w:r w:rsidRPr="008A2E5A">
        <w:rPr>
          <w:rFonts w:ascii="Times New Roman" w:hAnsi="Times New Roman"/>
          <w:color w:val="0070C0"/>
          <w:sz w:val="16"/>
          <w:szCs w:val="16"/>
        </w:rPr>
        <w:softHyphen/>
        <w:t>ра. Для самолетов ранних серий выпуска в случае замены мотора на М-105ПФ в июле 1942 г. выпустили специаль</w:t>
      </w:r>
      <w:r w:rsidRPr="008A2E5A">
        <w:rPr>
          <w:rFonts w:ascii="Times New Roman" w:hAnsi="Times New Roman"/>
          <w:color w:val="0070C0"/>
          <w:sz w:val="16"/>
          <w:szCs w:val="16"/>
        </w:rPr>
        <w:softHyphen/>
        <w:t>ный бюллетень по доработкам гондолы водорадиатора. При этом для восстановления жесткости передней кромки тоннеля вводилась вертикальная стя</w:t>
      </w:r>
      <w:r w:rsidRPr="008A2E5A">
        <w:rPr>
          <w:rFonts w:ascii="Times New Roman" w:hAnsi="Times New Roman"/>
          <w:color w:val="0070C0"/>
          <w:sz w:val="16"/>
          <w:szCs w:val="16"/>
        </w:rPr>
        <w:softHyphen/>
        <w:t>гивающая стальная шпилька в централь</w:t>
      </w:r>
      <w:r w:rsidRPr="008A2E5A">
        <w:rPr>
          <w:rFonts w:ascii="Times New Roman" w:hAnsi="Times New Roman"/>
          <w:color w:val="0070C0"/>
          <w:sz w:val="16"/>
          <w:szCs w:val="16"/>
        </w:rPr>
        <w:softHyphen/>
        <w:t>ной части входа в тоннель. На серийных машинах шпильку устанавливали с 28-й по 4151 -ю серию завода № 153 и с 8-й по 1106-ю серию завода № 82 (до введения водогондолы улучшенной конструкции)» (23381).</w:t>
      </w:r>
    </w:p>
    <w:p w14:paraId="3B182C19" w14:textId="77777777" w:rsidR="00AF6A30" w:rsidRPr="008A2E5A" w:rsidRDefault="00AF6A30" w:rsidP="00AF6A30">
      <w:pPr>
        <w:spacing w:after="0" w:line="240" w:lineRule="auto"/>
        <w:jc w:val="both"/>
        <w:rPr>
          <w:rFonts w:ascii="Times New Roman" w:hAnsi="Times New Roman"/>
          <w:color w:val="0070C0"/>
          <w:sz w:val="16"/>
          <w:szCs w:val="16"/>
        </w:rPr>
      </w:pPr>
    </w:p>
    <w:p w14:paraId="29609F90"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мая 1942 года Указом ГКО заводы № 21 и 31 обязывались не позднее 25 мая приступить к выпуску ЛаГГов-3 только с двигателем М-105ПФ. Указом ГКО от 7 июня 1942 года завод № 21 должен был ставить на ЛаГГи-3 автоматические закрылки и убирающееся хвостовое колесо, а также элероны и рули высоты с улучшенной балансировкой. Выпуск модифицированных ЛаГГов следовало начать с 1 июля 1942 года, но завод, занятый переходом к выпуску Ла-5, этих сроков не выдержал. До 12 июля 1942 года армия получила только семь ЛаГГов-3 с закрылками. До конца месяца было собрано еще 30 ЛаГГов без закрылков. Все самолеты двух последних производственных серий, собранные в Горьком летом 1942 года, были оснащены двигателями М-105ПФ. Общий выхлопной коллектор у них заменялся тремя сдвоенными патрубками. Снова на самолет поставили дополнительные бензобаки. Вооружение оставалось «облегченным»: пушка ШВАК и пулемет БС. Указом НКАП от 13 июля директор завода № 293 и главный конструктор М. И. Гудков должны были установить на ЛаГГ-3 новую пушку Березина калибра 20 мм, но в конце концов от этих планов отказались. Завод № 21 полностью перешел на выпуск истребителей Ла-5, пустив на эти цели весь запас готовых планеров ЛаГГ-3. Этого запаса хватило почти на полгода (23548).</w:t>
      </w:r>
    </w:p>
    <w:p w14:paraId="7AD6210A" w14:textId="77777777" w:rsidR="00AF6A30" w:rsidRPr="008A2E5A" w:rsidRDefault="00AF6A30" w:rsidP="00AF6A30">
      <w:pPr>
        <w:spacing w:after="0" w:line="240" w:lineRule="auto"/>
        <w:jc w:val="both"/>
        <w:rPr>
          <w:rFonts w:ascii="Times New Roman" w:hAnsi="Times New Roman"/>
          <w:color w:val="0070C0"/>
          <w:sz w:val="16"/>
          <w:szCs w:val="16"/>
        </w:rPr>
      </w:pPr>
    </w:p>
    <w:p w14:paraId="03BE72A6"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МАЯ 1942 Г. ИЗ ПОСТАНОВЛЕНИЯ ГОСУДАРСТВЕННОГО КОМИТЕТА ОБОРОНЫ «О ВЫПУСКЕ САМОЛЕТОВ ЛАГГ-3 НА ЗАВОДЕ № 21»</w:t>
      </w:r>
    </w:p>
    <w:p w14:paraId="3C410114"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Обязать НКАП т. Шахурина, главного конструктора т. Лавочкина и директора завода № 21 т. Гостинцева сверх программы по Лагг-3 с мотором М-105ПФ немедленно приступить к выпуску самолетов Лагт-3 с мотором М-82 и в течение одного месяца облегчить управление самолетом.</w:t>
      </w:r>
    </w:p>
    <w:p w14:paraId="24D32DA4"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В отмену ранее принятого решения ГОКО о постановке производства самолетов Як-7 на заводе № 21 сохранить на заводе № 21 производство самолетов Лагг-3...</w:t>
      </w:r>
    </w:p>
    <w:p w14:paraId="548AAA18"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ГКО</w:t>
      </w:r>
      <w:r w:rsidRPr="008A2E5A">
        <w:rPr>
          <w:rFonts w:ascii="Times New Roman" w:hAnsi="Times New Roman"/>
          <w:color w:val="0070C0"/>
          <w:sz w:val="16"/>
          <w:szCs w:val="16"/>
        </w:rPr>
        <w:tab/>
        <w:t>И.СТАЛИН (25935).</w:t>
      </w:r>
    </w:p>
    <w:p w14:paraId="66AC396D" w14:textId="77777777" w:rsidR="00AF6A30" w:rsidRPr="008A2E5A" w:rsidRDefault="00AF6A30" w:rsidP="00AF6A30">
      <w:pPr>
        <w:spacing w:after="0" w:line="240" w:lineRule="auto"/>
        <w:jc w:val="both"/>
        <w:rPr>
          <w:rFonts w:ascii="Times New Roman" w:hAnsi="Times New Roman"/>
          <w:color w:val="0070C0"/>
          <w:sz w:val="16"/>
          <w:szCs w:val="16"/>
        </w:rPr>
      </w:pPr>
    </w:p>
    <w:p w14:paraId="1A5F47C4" w14:textId="77777777" w:rsidR="00AF6A30" w:rsidRPr="008127F8" w:rsidRDefault="00AF6A30" w:rsidP="00AF6A30">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Г.</w:t>
      </w:r>
    </w:p>
    <w:p w14:paraId="5450E339" w14:textId="77777777" w:rsidR="00AF6A30" w:rsidRPr="008127F8" w:rsidRDefault="00AF6A30" w:rsidP="00AF6A30">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ПОСТАНОВЛЕНИЯ ГОСУДАРСТВЕННОГО КОМИТЕТА ОБОРОНЫ ОТ 19 МАЯ 1942 Г. «О ВЫПУСКЕ САМОЛЕТОВ ЛАГГ-3 НА ЗАВОДЕ № 21»</w:t>
      </w:r>
    </w:p>
    <w:p w14:paraId="3E29E450" w14:textId="77777777" w:rsidR="00AF6A30" w:rsidRPr="008127F8" w:rsidRDefault="00AF6A30" w:rsidP="00AF6A30">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 Обязать НКАП т. Шахурина, главного конструктора т. Лавочкина и директора завода № 21 т. Гостинцева сверх программы по Лагг-3 с мотором М-105ПФ немедленно приступить к выпуску самолетов Лагт-3 с мотором М-82 и в течение одного месяца облегчить управление самолетом.</w:t>
      </w:r>
    </w:p>
    <w:p w14:paraId="6828AC66" w14:textId="77777777" w:rsidR="00AF6A30" w:rsidRPr="008127F8" w:rsidRDefault="00AF6A30" w:rsidP="00AF6A30">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 отмену ранее принятого решения ГОКО о постановке производства самолетов Як-7 на заводе № 21 сохранить на заводе № 21 производство самолетов Лагг-3...</w:t>
      </w:r>
    </w:p>
    <w:p w14:paraId="7B6AAF00" w14:textId="77777777" w:rsidR="00AF6A30" w:rsidRPr="008127F8" w:rsidRDefault="00AF6A30" w:rsidP="00AF6A30">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 ГКО</w:t>
      </w:r>
      <w:r w:rsidRPr="008127F8">
        <w:rPr>
          <w:rFonts w:ascii="Times New Roman" w:hAnsi="Times New Roman"/>
          <w:color w:val="000000" w:themeColor="text1"/>
          <w:sz w:val="16"/>
          <w:szCs w:val="16"/>
        </w:rPr>
        <w:tab/>
        <w:t>И.СТАЛИН</w:t>
      </w:r>
    </w:p>
    <w:p w14:paraId="46C88D0F" w14:textId="77777777" w:rsidR="00AF6A30" w:rsidRPr="008127F8" w:rsidRDefault="00AF6A30" w:rsidP="00AF6A30">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Куманев Г.А. Говорят сталинские наркомы [Текст] / Г.А. Куманев. - Смоленск: Русич, 2005 (20928).</w:t>
      </w:r>
    </w:p>
    <w:p w14:paraId="16D84E3F" w14:textId="77777777" w:rsidR="00AF6A30" w:rsidRPr="008127F8" w:rsidRDefault="00AF6A30" w:rsidP="00AF6A30">
      <w:pPr>
        <w:spacing w:after="0" w:line="240" w:lineRule="auto"/>
        <w:jc w:val="both"/>
        <w:rPr>
          <w:rFonts w:ascii="Times New Roman" w:hAnsi="Times New Roman"/>
          <w:color w:val="000000" w:themeColor="text1"/>
          <w:sz w:val="16"/>
          <w:szCs w:val="16"/>
        </w:rPr>
      </w:pPr>
    </w:p>
    <w:p w14:paraId="033E798B" w14:textId="77777777" w:rsidR="00AF6A30" w:rsidRPr="008127F8" w:rsidRDefault="00AF6A30" w:rsidP="00AF6A30">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вышло постановление ГКО N ГОКО-1786сс о переводе части КБ и опытное производство С.А.Л. с завода 31 на завод 21 (1559,17) или "О выпуске самолетов ЛаГГ-3 на заводе 21" (1561,3).</w:t>
      </w:r>
    </w:p>
    <w:p w14:paraId="0EC974E2" w14:textId="77777777" w:rsidR="00AF6A30" w:rsidRPr="008127F8" w:rsidRDefault="00AF6A30" w:rsidP="00AF6A3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95BC19" w14:textId="77777777" w:rsidR="00AF6A30" w:rsidRPr="008127F8" w:rsidRDefault="00AF6A30" w:rsidP="00AF6A30">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года напор моторостроителей, а также ходатайства первых секретарей об</w:t>
      </w:r>
      <w:r w:rsidRPr="008127F8">
        <w:rPr>
          <w:rFonts w:ascii="Times New Roman" w:hAnsi="Times New Roman"/>
          <w:color w:val="000000" w:themeColor="text1"/>
          <w:sz w:val="16"/>
          <w:szCs w:val="16"/>
        </w:rPr>
        <w:softHyphen/>
        <w:t>комов ВКП(б): Горьковского - М.И. Родионова, и Пермского - Н.И. Гусарова - сделали свое дело. вышло постановление ГКО № 1786 «О выпуске самолетов Лагг-3 на заводе №21», обязывавшее нар</w:t>
      </w:r>
      <w:r w:rsidRPr="008127F8">
        <w:rPr>
          <w:rFonts w:ascii="Times New Roman" w:hAnsi="Times New Roman"/>
          <w:color w:val="000000" w:themeColor="text1"/>
          <w:sz w:val="16"/>
          <w:szCs w:val="16"/>
        </w:rPr>
        <w:softHyphen/>
        <w:t>кома Шахурина, главного конструкто</w:t>
      </w:r>
      <w:r w:rsidRPr="008127F8">
        <w:rPr>
          <w:rFonts w:ascii="Times New Roman" w:hAnsi="Times New Roman"/>
          <w:color w:val="000000" w:themeColor="text1"/>
          <w:sz w:val="16"/>
          <w:szCs w:val="16"/>
        </w:rPr>
        <w:softHyphen/>
        <w:t>ра Лавочкина и директора завода № 21 Гостинцева сверх программы по Лагг-3 с М-105ПФ немедленно при</w:t>
      </w:r>
      <w:r w:rsidRPr="008127F8">
        <w:rPr>
          <w:rFonts w:ascii="Times New Roman" w:hAnsi="Times New Roman"/>
          <w:color w:val="000000" w:themeColor="text1"/>
          <w:sz w:val="16"/>
          <w:szCs w:val="16"/>
        </w:rPr>
        <w:softHyphen/>
        <w:t>ступить к выпуску самолетов Лагг-3 с мотором М-82, и в течение одного месяца облегчить управление само</w:t>
      </w:r>
      <w:r w:rsidRPr="008127F8">
        <w:rPr>
          <w:rFonts w:ascii="Times New Roman" w:hAnsi="Times New Roman"/>
          <w:color w:val="000000" w:themeColor="text1"/>
          <w:sz w:val="16"/>
          <w:szCs w:val="16"/>
        </w:rPr>
        <w:softHyphen/>
        <w:t>летом. Ранее принятое решение ГКО о постановке производства самоле</w:t>
      </w:r>
      <w:r w:rsidRPr="008127F8">
        <w:rPr>
          <w:rFonts w:ascii="Times New Roman" w:hAnsi="Times New Roman"/>
          <w:color w:val="000000" w:themeColor="text1"/>
          <w:sz w:val="16"/>
          <w:szCs w:val="16"/>
        </w:rPr>
        <w:softHyphen/>
        <w:t>тов Як-7 на заводе № 21 отменя</w:t>
      </w:r>
      <w:r w:rsidRPr="008127F8">
        <w:rPr>
          <w:rFonts w:ascii="Times New Roman" w:hAnsi="Times New Roman"/>
          <w:color w:val="000000" w:themeColor="text1"/>
          <w:sz w:val="16"/>
          <w:szCs w:val="16"/>
        </w:rPr>
        <w:softHyphen/>
        <w:t>лось (10686).</w:t>
      </w:r>
    </w:p>
    <w:p w14:paraId="485DEC30" w14:textId="77777777" w:rsidR="00AF6A30" w:rsidRPr="008127F8" w:rsidRDefault="00AF6A30" w:rsidP="00AF6A3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3AD6DC" w14:textId="77777777" w:rsidR="00AF6A30" w:rsidRPr="008127F8" w:rsidRDefault="00AF6A30" w:rsidP="00AF6A30">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вышло Постановление ГКО № 1789 О переводе заводов № 21, 31, 153.и 82. НКАП на производство самолетов ЛаГГ-3 и Як-7 с форсированным авиамотором М-105ПФ. РГАНИР, Фонд ГКО, д. 35, лл. 238 (11012).</w:t>
      </w:r>
    </w:p>
    <w:p w14:paraId="2A51A591" w14:textId="77777777" w:rsidR="00AF6A30" w:rsidRPr="008127F8" w:rsidRDefault="00AF6A30" w:rsidP="00AF6A3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4977E1" w14:textId="77777777" w:rsidR="00AF6A30" w:rsidRPr="008127F8" w:rsidRDefault="00AF6A30" w:rsidP="00AF6A30">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вышло Постановление ГКО № 1789 О переводе заводов № 21, 31, 153.и 82. НКАП на производство самолетов ЛаГГ-3 и Як-7 с форсированным авиамотором М-105ПФ</w:t>
      </w:r>
    </w:p>
    <w:p w14:paraId="3288C22A" w14:textId="77777777" w:rsidR="00AF6A30" w:rsidRPr="008127F8" w:rsidRDefault="00AF6A30" w:rsidP="00AF6A30">
      <w:pPr>
        <w:tabs>
          <w:tab w:val="left" w:pos="94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Обязать Наркомавиапром т.Шахурина, главного конст</w:t>
      </w:r>
      <w:r w:rsidRPr="008127F8">
        <w:rPr>
          <w:rFonts w:ascii="Times New Roman" w:hAnsi="Times New Roman"/>
          <w:color w:val="000000" w:themeColor="text1"/>
          <w:sz w:val="16"/>
          <w:szCs w:val="16"/>
        </w:rPr>
        <w:softHyphen/>
        <w:t xml:space="preserve">руктора т.Лавочкина и директора завода 21 т.Гостинцева сверх программы по Лагг-3 с М-105ПФ немедленно приступить к выпуску самолетов Лагг-3 с мотором М-82 и в течение одного месяца облегчить управление самолетом. </w:t>
      </w:r>
    </w:p>
    <w:p w14:paraId="438D8D6A" w14:textId="77777777" w:rsidR="00AF6A30" w:rsidRPr="008127F8" w:rsidRDefault="00AF6A30" w:rsidP="00AF6A30">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 отмену ранее принятого решения ГОКО о постановке производства самолетов Як-7 на заводе № 21 - сохранить на заводе № 21 производство самолетов Лагг-3. Изготовленную на заводе № 21 оснастку под самолет Як-7 и заделы по этому самолету передать на завод № 82 (19335).</w:t>
      </w:r>
    </w:p>
    <w:p w14:paraId="2876F247" w14:textId="77777777" w:rsidR="00AF6A30" w:rsidRPr="008127F8" w:rsidRDefault="00AF6A30" w:rsidP="00AF6A3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394E4E" w14:textId="77777777" w:rsidR="00AF6A30" w:rsidRPr="008127F8" w:rsidRDefault="00AF6A30" w:rsidP="00AF6A30">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ГКО постановлением N ГОКО-1789сс обязал НКАП перевести заводы 21, 31 в производстве ЛаГГ-3, а заводы 153 и 82 в производстве Як-7 на форсированные М-105ПФ (1662,66).</w:t>
      </w:r>
    </w:p>
    <w:p w14:paraId="0F7DEF3D" w14:textId="77777777" w:rsidR="00AF6A30" w:rsidRPr="008127F8" w:rsidRDefault="00AF6A30" w:rsidP="00AF6A3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4FB606" w14:textId="77777777" w:rsidR="00AF6A30" w:rsidRPr="008127F8" w:rsidRDefault="00AF6A30" w:rsidP="00AF6A30">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г. в соответствии с пост. ГКО № 1789 на заводе (Завод № 21 ИМ. Енукидзе ВСНХ, НКТП, Орденоносный завод № 21 им. С. Орджоникидзе НКОП, НКАП, МАП, Горьковский авиационный завод им. С. Орджоникидзе, Горьковское авиационное ПО (ГАПО) им. С. Орджоникидзе, Р-6719, Нижегородское АПО, Нижегородский государственный авиационный завод (НГАЗ) «Сокол», ОАО «НАЗ «Сокол» / г. Нижний Новгород, 1 п/я 6 «Сила» (1929-ЗО г.); Канавино п/я 9 «Сила» (1930 г.-);  г. Горький, 35 Сталинский р-н ул. Советская (1937 г.)/ /603035  г. Нижний Новгород ул. Чаадаева, 1 тел. 46-75-01/) начато производство ЛаГГ-3 и Як-7 с мотором М-105ПФ. 26.10.1943 г. вышло постановление ГКО № 4431сс о производстве на заводе Ла-5 с М-82ФН с металлическими лонжеронами и увеличенной дальностью. 29.12.1944 г. вышло постановление ГКО № 7231 о выпуске на заводе самолетов Ла-7 с тремя 20-мм пушками УБ. За годы войны завод выпустил 17.691 самолет (11982).</w:t>
      </w:r>
    </w:p>
    <w:p w14:paraId="2606ED3B" w14:textId="77777777" w:rsidR="00AF6A30" w:rsidRPr="008127F8" w:rsidRDefault="00AF6A30" w:rsidP="00AF6A30">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DCB69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ГОДА</w:t>
      </w:r>
    </w:p>
    <w:p w14:paraId="6D55298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РЕШЕНИЕ ПАРТИЙНОГО КОМИТЕТА ЗАВОДА ИМЕНИ СЕРГО ОРДЖОНИКИДЗЕ ОТ 19 МАЯ 1942 ГОДА ПО ДОКЛАДУ Н[АЧАЛЬНИ|КА ЦЕХА № 40 ТОВ. АНДРЮХИНА О ХОДЕ СБОРКИ МАШИНЫ ЯК-7</w:t>
      </w:r>
    </w:p>
    <w:p w14:paraId="7725F64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условиях развертывания социалистического соревнования авиационных заводов одним из важнейших пунктов обязательств нашего завода является освоение машины Як-7 в серийном производстве и выпуск первой серии в мае месяце.</w:t>
      </w:r>
    </w:p>
    <w:p w14:paraId="0665050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Ход сборки первой серии машин, несмотря на выполнение в срок головной машины, показывает на наличие ряда фактов, тормозящих работу общей сборки и грозящих срывом задания.</w:t>
      </w:r>
    </w:p>
    <w:p w14:paraId="6C7F19F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состоянию на 19 мая 1942 г. сборка не обеспечена готовыми изделиями, винты, маслорадиатор и др. (по вине отдела № 26 тов. Малинина). Не проведена доукомплектовка машин деталями, не поступившими с завода № 153 (но вине цехов 31, 150 и др.), конструктивно не отработана спецустановка на машине (3 отдел).</w:t>
      </w:r>
    </w:p>
    <w:p w14:paraId="6314D21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Также не проведена необходимая подготовка производства к серийному выпуску машин. Работа по строительству малярного отделения не развернута. Поступление деталей из цехов на общую сборку явно неудовлетворительна. Партийный комитет постановляет:</w:t>
      </w:r>
    </w:p>
    <w:p w14:paraId="30CC3B1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Обязать директора завода тов. Гостинцева обеспечить своевременное поступление на завод второго транспорта деталей завода № 153, не допуская по этой причины срыва задания.</w:t>
      </w:r>
    </w:p>
    <w:p w14:paraId="26036B1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Обязать гл[авного] механика т. Волкова закончить разработку и изготовление крана механизации стыковки в срок к 10 июня 1942 г., а также немедленно развернуть работу по строительству малярного отделения в цехе № 40.</w:t>
      </w:r>
    </w:p>
    <w:p w14:paraId="6C30691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Обязать н[ачальни]ка отдела № 26 т. Малинина, нач[альника] цеха № 150 т. Сергеева, нач[альника] цеха 31т. Илюхина немедленно доукомплектовать первую серию машин готовыми изделиями, руководствуясь чертежами и образцами по собранной головной машине.</w:t>
      </w:r>
    </w:p>
    <w:p w14:paraId="183C440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Обязать главного технолога т. Зайчик и н[ачальни]ка инструментального отдела т. Солонина подготовить участки моторной группы по цеху 40 к обеспечению разворота работ по серийной технологии не позднее 1 июня 1942 г.</w:t>
      </w:r>
    </w:p>
    <w:p w14:paraId="5B0A0AD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Обязать нач[альника] цеха № 40 тов. Андрюхина и секретаря партбюро т. Колобкова мобилизовать коллектив цеха на безусловное задания по Як-7, для чего провести на всех партгруппах цеха собрания, посвященные вопросам выполнения обязательств по Як-7.</w:t>
      </w:r>
    </w:p>
    <w:p w14:paraId="2B4DEB1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ГОПАНО. Ф. 1947. On. 1. Д. 315а. Л. 158.</w:t>
      </w:r>
    </w:p>
    <w:p w14:paraId="673F974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Подлинник. Машинопись (20928).</w:t>
      </w:r>
    </w:p>
    <w:p w14:paraId="0D9C8B0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AA38A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вышло постановление ГКО N ГОКО-1788сс, которое отменило п. 6 постановления ГКО от 10 мая 1942 N 1721сс о выпуске самолетов Як-1 с одной пушкой ШВАК без ШКАС и обязало НКАП впредь выпускать самолеты Як-1 с пушкой ШВАК и двумя ШКАС и с деревянным оперением (1561,8).</w:t>
      </w:r>
    </w:p>
    <w:p w14:paraId="3F04D14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DC57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года Постановлением ГКО заводы № 21 и 31 обязывались не позднее 25 мая приступить к выпуску ЛаГТов-3 только с двигателем М-105ПФ. Указом ГКО от 7 июня 1942 года завод № 21 должен был ставить на ЛаГГи-3 автоматические закрылки и убирающееся хвостовое колесо, а также элероны и рули высоты с улучшенной балансировкой. Выпуск модифицированных ЛаГГов следовало начать с 1 июля 1942 года, но завод, занятый переходом к выпуску Ла-5, этих сроков не выдержал. До 12 июля 1942 года армия получила только семь ЛаГГов-3 с закрылками. До конца месяца было собрано еще 30 ЛаГГов без закрылков. Все самолеты двух последних производственных серий, собранные в Горьком летом 1942 года, были оснащены двигателями М-105ПФ. Общий выхлопной коллектор у них заменялся тремя сдвоенными патрубками. Снова на самолет поставили дополнительные бензобаки. Вооружение оставалось «облегченным»: пушка ШВАК и пулемет БС. Указом НКАП от 13 инля директор завода № 293 и главный конструктор М.И. Гудков должны были установить на ЛаГГ-3 новую пушку Березина калибра 20 мм, но в конце концов от этих планов отказались. Завод № 21 полностью перешел на выпуск истребителей Ла-5, пустив на эти цели весь запас готовых планеров ЛаГГ-3. Этого запаса хватило почти на полгода (11749).</w:t>
      </w:r>
    </w:p>
    <w:p w14:paraId="3E0436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9F86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г. ГКО постановлением обязал заводы №21 и №31 не позднее 25 мая перейти на выпуск ЛаГГ-3 только с моторами М-105ПФ. Согласно другому постановлению, от 7 июня 1942 г., завод № 21 должен был строить ЛаГГ-3 с автоматическими предкрылками и убирающимся костыльным колесом, а также с улучшенной компенсацией элеронов и рулей высоты. Выпуск первых усовершенствованных машин требовалось начать с 1 июля, но завод, занятый переходом на Ла-5, эти распоряжения фактически не выполнил: на 12 июля заказчик принял лишь семь ЛаГГ-3 с предкрылками. В том же месяце завод построил еще 30 таких же машин и подготовил к сдаче столько же, но без предкрылков.</w:t>
      </w:r>
    </w:p>
    <w:p w14:paraId="7CEC96F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самолеты двух последних серий, 28-й и 29-й, сдававшихся в Горьком летом 1942 г., имели моторы М-105ПФ. Общий выхлопной коллектор заменили тремя сдвоенными патрубками. Консольные бензобаки восстановили. Вооружение соответствовало "облегченному" варианту: одна пушка ШВАК и один пулемет БС. В соответствии с приказом НКАП от 13 июля директору завода № 293 Болховитинову и главному конструктору М.И. Гудкову поручили установку на ЛаГГ-3 новой 20-мм пушки Березина, но из этого ничего не вышло.</w:t>
      </w:r>
    </w:p>
    <w:p w14:paraId="1B694BC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21 полностью перешел на выпуск Ла-5, на которые истратили весь оставшийся задел планеров. Еще почти полгода новые истребители представляли собой переделку недостроенных ЛаГГ-3 (11983).</w:t>
      </w:r>
    </w:p>
    <w:p w14:paraId="318D63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2239D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вышло Постановление ГКО № 1788 О вооружении самолета Як-1</w:t>
      </w:r>
    </w:p>
    <w:p w14:paraId="7411E96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Государственный Комитет Обороны постановляет: Отменить пункт 6-ой постановления ГОКС от 10 мая с.г. № 1721сс о выпуске самолетов Як-1 с одной пушкой Швак без пуле</w:t>
      </w:r>
      <w:r w:rsidRPr="008127F8">
        <w:rPr>
          <w:rFonts w:ascii="Times New Roman" w:hAnsi="Times New Roman"/>
          <w:color w:val="000000" w:themeColor="text1"/>
          <w:sz w:val="16"/>
          <w:szCs w:val="16"/>
        </w:rPr>
        <w:softHyphen/>
        <w:t>метов Шкас и обязать НКАП и директора завода № 292 т.Левина и впредь выпускать самолеты Як-1 с пушкой Швак и двумя пулеметами Шкас и с деревянным оперением (19334).</w:t>
      </w:r>
    </w:p>
    <w:p w14:paraId="6E34481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6BEB0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вышло Постановление ГКО № 1787 О производстве моторов М-90. РГАНИР, Фонд ГКО, д. 35, лл. 236 (11012).</w:t>
      </w:r>
    </w:p>
    <w:p w14:paraId="3C8F0B6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B5C9A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вышло Постановление ГКО № 1787 О производстве моторов М-90</w:t>
      </w:r>
    </w:p>
    <w:p w14:paraId="17061E4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Обязать главного конструктора завода № 29 т.Урмина и директора этого же завода т.Борисова всемерно ускорить до</w:t>
      </w:r>
      <w:r w:rsidRPr="008127F8">
        <w:rPr>
          <w:rFonts w:ascii="Times New Roman" w:hAnsi="Times New Roman"/>
          <w:color w:val="000000" w:themeColor="text1"/>
          <w:sz w:val="16"/>
          <w:szCs w:val="16"/>
        </w:rPr>
        <w:softHyphen/>
        <w:t>водку мотора М-90 до 100 часовых государственных испытаний (19333).</w:t>
      </w:r>
    </w:p>
    <w:p w14:paraId="60C55B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62431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вышло Постановление № 1785 ГКО Об изготовлении и испытании опытных образцов осколочно-фугасных авиабомб 100 кг и 250 кг. РГАНИР, Фонд ГКО, д. 35, лл. 234 (11012).</w:t>
      </w:r>
    </w:p>
    <w:p w14:paraId="6AB3C0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F9AD8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6183017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DB07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г. Уральский завода химического машиностроения стал заводом № 726 ()Завод № 726 НКМВ , Завод «Уралтяжхиммаш» НКМВ, Ордена Трудового Красного Знамени Уральский завод химического машиностроения («Уралхиммаш») ММиП, ОАО «Уралхиммаш» /г. Свердловск Нижне-Исетск «Уралхиммаш» (1948 г.)/ /620010  г. Екатеринбург пер. Хибиногорский, 33/. Приказом НКМВ № 250с от 7.07.1942 г. завод № 726 передан в ведение 4ГУ.</w:t>
      </w:r>
      <w:r w:rsidRPr="008127F8">
        <w:rPr>
          <w:rFonts w:ascii="Times New Roman" w:hAnsi="Times New Roman"/>
          <w:color w:val="000000" w:themeColor="text1"/>
          <w:sz w:val="16"/>
          <w:szCs w:val="16"/>
          <w:vertAlign w:val="superscript"/>
        </w:rPr>
        <w:t>129</w:t>
      </w:r>
    </w:p>
    <w:p w14:paraId="62A922C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НКМВ № 209сс от 10.06.1942 г. заводу поручено изготовление емкостей для нефтепродуктов. Пост. ГКО № 1962сс от 4.07.1942 г. и приказом НКМВ № 237сс от 7.07.1942 г. заводу установлен план выпуска на 3-й квартал 1942 г. 120-мм минометов- 120 шт. 24.08.1942 г. вышло постановление ГКО № 2212 о восстановлении производства химического оборудования завода «Большевик» на Уралтяжхиммаше НКМВ. 27.05.1943 г. вышло постановление ГКО № 3444 об ускорении строительства завода № 726 НКМВ; 28.10.1943 г. - постановление ГКО № 4452 о мерах неотложной помощи строительству завода; 30.04.1945 г. - постановление ГКО № 8361 об окончании строительства и вводе в эксплуатацию 1-й очерди завода.</w:t>
      </w:r>
    </w:p>
    <w:p w14:paraId="0DA836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09.1945 г. - завод № 726 НКМВ. В 1947-53 г. ОТКЗ завод «Уралхиммаш» - в ведении Главхиммаша ММиП.</w:t>
      </w:r>
    </w:p>
    <w:p w14:paraId="092FC5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завода (1953 г.) цехи: основные: блок № 1: механо-сборочный № 11, ремонтно-механический № 24 (был и в 1947 г.), монтажный № 8 (был и в 1947 г.), инструментальный № 4 (был и в 1947 г.), ширпотреба № 40, мастерские РУ, гальванический; блок № 2: чугунно-литейный № 12 (в 1947 г. был сталелитейным), лаборатории; блок № 3: кузнечно-прессовый № 6 (был и в 1947 г.); блок № 4: механический № 2 (был и в 1947 г.), котельно- сборочный № 3 (был и в 1947 г.), котельно-заготовительный № 9, механосборочный № 1, компрессорная; блок № 5: парокотельный № 27, ГРУ № 28, ацетиленовая и кислородная станции № 33 (были и в 1947 г.); блок № 10: метизный, электро-ремонтный № 26 (был и в 1947 г.), электродный, лаборатория электросварки. В 1947 г. помимо этого, были цехи: электролизерный № 1, чугунно- и сталелитейный № 5, ширпотреба № 34, модельный № 20, железнодорожный № 22, склад металла № 30, № 32, дворовый № 35, строительный № 37, гараж № 23.</w:t>
      </w:r>
    </w:p>
    <w:p w14:paraId="08AF319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1945 г. после окончания войны завод полностью перешел на производство гражданской продукции. К началу 1950-х  г. выпускались сушильные и прокалочные печи, газогенераторы, корбонизационные колонны. С 1951 г. освоен выпуск оборудования для атомной промышленности - металлоконструкции для атомных реакторов. Была проведена реконструкция производства. С 1958 г. развернуто крупномасштабное производство химического оборудования (емкостного, фильтровального, теплообменного, электролизного). Освоен выпуск центробежных сепараторов, автоматизированных линий для производства каучука, аппаратов с вращающимися барабанами. Выпускались автоклавы с перемешивающими устройствами для промышленности редких металлов, автоклавы с байонетными затворами. В автоклавах «Уралхиммаша» были изготовлены теплоизолирующие элементы для ОК «Буран».</w:t>
      </w:r>
    </w:p>
    <w:p w14:paraId="440E6C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заводе было создано уникальное производство по изготовлению крупнотоннажного оборудования высокого давления для производства аммиака и полиэтилена. К началу 1970-х  г. построены новые цехи, где освоен выпуск уникальных установок для опреснения морской воды. Одновременно выпускались крупногабаритные шаровые резервуары, оборудование для целлюлозно-бумажной промышленности, шаровые краны для магистральных газопроводов.</w:t>
      </w:r>
    </w:p>
    <w:p w14:paraId="78536A9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оборудования: (1946 г.)- 702 ед., (1947 г.)- 783 ед., (1953 г.)- 996 ед.</w:t>
      </w:r>
    </w:p>
    <w:p w14:paraId="332DDE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территории (1947-53 г.)- 31,85 га; застройки (1947 г.)- 44528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(1953 г.)- 88586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производственная (1946 г.)- 33038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(1947 г.)- 38017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(1953 г.)- 60.000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вспомогательная (1953 г.)- 8700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прочая (1953 г.)- 19900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01C1A4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(1946 г.)- 2429 чел., (1947 г.)- 2577 чел., (1953 г.)- 4656 чел.</w:t>
      </w:r>
    </w:p>
    <w:p w14:paraId="7CD33A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(-06.1942-48 г.-&gt; В.П. Курганов, (1980-е)- В.М. Макаров. Гендиректор (2000 г.)- А. Вихарев, (2001 г.)- А.А. Беседин, (-01.2004 г.)- А. Ахтямов, (01-04.2004 г.)- Д. Тихонов, (04.2004 г.-&gt; В. Бурага.</w:t>
      </w:r>
    </w:p>
    <w:p w14:paraId="4E80A23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(-01.2004 г.)- Д. Тихонов. Зам. директора по строительству (1953 г.)- Климов.</w:t>
      </w:r>
    </w:p>
    <w:p w14:paraId="37DB6AF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(1948 г.)- В.А. Ивановский.</w:t>
      </w:r>
    </w:p>
    <w:p w14:paraId="77A2BFB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 гл. технолога (1953 г.)- Яшин.</w:t>
      </w:r>
    </w:p>
    <w:p w14:paraId="39A2E99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УКС (1953 г.)- Орлов.</w:t>
      </w:r>
    </w:p>
    <w:p w14:paraId="39E717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120-мм минометы (1942); электролизеры ФВ-500 (1947), Х-1627, -1734 (1953); вакуум- фильтры Б-20, -40; редукторы: ЦД-50, -65, -75, -85; сушильный барабан, выпарной аппарат «Зайдаак», теплообменники (1947); сушилка соды Х-1744, выгрузной механизм Х-1777, сушильный барабан Х-1855, жиротопенный котел Х-1759, смолоперегонные кубы Х-1848, -1852, автоклав Х-1615, -1860, компаундная установка Х-1749, гидролизный аппарат Х-1123, скруббер Х-1708, хранилища: для жидкого аммиака Х-1796, для кислот Х-1931; печи вращающиеся Х-1788, -1849, -2076, контактный аппарат Х-1724 (1953).</w:t>
      </w:r>
    </w:p>
    <w:p w14:paraId="7188C8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Киевский машиностроительный завод «Большевик» ММиП /г. Киев 1-я Дачная ул., 9/11 «Большевик» (1948 г.)/</w:t>
      </w:r>
    </w:p>
    <w:p w14:paraId="278D06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08.1941 г. завод «Большевик» эвакуирован в Свердловск на площадку «Уралхиммаша»; часть завода эвакуирована в  г. Нижний Исетск на площадку промартели «Смычка». На базе этой части организован завод «Смычка» НКМВ. 24.08.1942 г. вышло постановление ГКО № 2212 о восстановлении производства химического оборудования завода «Большевик» на Уралтяжхиммаше НКМВ.</w:t>
      </w:r>
    </w:p>
    <w:p w14:paraId="6847800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Затем завод восстановлен в Киеве. В 1947-53 г. Киевский машиностроительный завод «Большевик» - в ведении Главхиммаша ММиП.</w:t>
      </w:r>
    </w:p>
    <w:p w14:paraId="1A06AB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завода (1947 г.) цехи: основные: химаппаратуры, мартеновский, чугунолитейный, механосборочный, котельный; вспомогательные: инструментальный, модельный, кузнечный, ремонтно-механический. Кроме того, (1953 г.): основные: сталелитейный, кислотоупорный, котлоаппаратный, заказов ММиП, ширпотреба, центральная лаборатория; вспомогательные: транспортный, теплосиловой.</w:t>
      </w:r>
    </w:p>
    <w:p w14:paraId="0CE5F2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Ярославского шинного завода изготовлена камера для вулканизации покрышек самолета А</w:t>
      </w:r>
      <w:r w:rsidRPr="008127F8">
        <w:rPr>
          <w:rFonts w:ascii="Times New Roman" w:hAnsi="Times New Roman"/>
          <w:smallCaps/>
          <w:color w:val="000000" w:themeColor="text1"/>
          <w:sz w:val="16"/>
          <w:szCs w:val="16"/>
        </w:rPr>
        <w:t>н</w:t>
      </w:r>
      <w:r w:rsidRPr="008127F8">
        <w:rPr>
          <w:rFonts w:ascii="Times New Roman" w:hAnsi="Times New Roman"/>
          <w:color w:val="000000" w:themeColor="text1"/>
          <w:sz w:val="16"/>
          <w:szCs w:val="16"/>
        </w:rPr>
        <w:t>-22.</w:t>
      </w:r>
    </w:p>
    <w:p w14:paraId="6C8970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оборудования: (1946 г.)- 196 ед., (1947 г.)- 734 ед., (1953 г.)-1281 ед.</w:t>
      </w:r>
    </w:p>
    <w:p w14:paraId="6FBA81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территории (1947-53 г.)- 26,3 га; застройки (1947 г.)- 37912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(1953 г.)- 68631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производственная (1939 г.)- 50940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(1946 г.)- 18100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(1947 г.)- 31427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(1953 г.)- 54312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вспомогательная (1953 г.)- 9723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прочая (1953 г.)- 13165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60FBA26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(1939 г.)- 3620 чел., (1946 г.)- 1199 чел., (1947 г.)- 1920 чел., (1953 г.)- 3998 чел.</w:t>
      </w:r>
    </w:p>
    <w:p w14:paraId="3091FC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(1948 г.)- Пономарев, (01.1954 г.)- Приходченко.</w:t>
      </w:r>
    </w:p>
    <w:p w14:paraId="6B88AF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(1948 г.)- Мазурук, (01.1954 г.)- Миргородский.</w:t>
      </w:r>
    </w:p>
    <w:p w14:paraId="75D0DE8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 хгшоборудование:</w:t>
      </w:r>
      <w:r w:rsidRPr="008127F8">
        <w:rPr>
          <w:rFonts w:ascii="Times New Roman" w:hAnsi="Times New Roman"/>
          <w:color w:val="000000" w:themeColor="text1"/>
          <w:sz w:val="16"/>
          <w:szCs w:val="16"/>
        </w:rPr>
        <w:t xml:space="preserve"> машины: большие ФВ-500, укороченные ФВ-80, -125, -250 (1947); автоклавы (-1947-53-); вальцы, резиносмеситель РС-2, вулканизационный котел, каландры, шприцмашина, фильтрпресс червячный, смесители, полимеризаторы, вакуум-фильтры; редукторы Ц0-40, ЦД-40, -50, -65, -75, - 85, -100, 5т-5н (1953); поверочные плиты (1947); свеклорезка (1953), кровати; стальное, чугунное, хромистое литье (1947) (11982).</w:t>
      </w:r>
    </w:p>
    <w:p w14:paraId="68F6928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600DA6" w14:textId="77777777" w:rsidR="007C5583" w:rsidRPr="008127F8" w:rsidRDefault="007C5583" w:rsidP="007C5583">
      <w:pPr>
        <w:pStyle w:val="af"/>
        <w:spacing w:before="0" w:after="0"/>
        <w:jc w:val="both"/>
        <w:rPr>
          <w:color w:val="000000" w:themeColor="text1"/>
          <w:sz w:val="16"/>
          <w:szCs w:val="16"/>
        </w:rPr>
      </w:pPr>
      <w:r w:rsidRPr="008127F8">
        <w:rPr>
          <w:color w:val="000000" w:themeColor="text1"/>
          <w:sz w:val="16"/>
          <w:szCs w:val="16"/>
        </w:rPr>
        <w:t>19 мая 1942 танк Т-60 с новой силовой установкой вышел на испытания. Машину искусственно догрузили до боевой массы 6800 кг, чтобы она соответствовала танку, над которым одновременно работало КБ завода. По результатам испытаний, проходивших до 9 июня, выяснилось, что максимальная скорость Т-60 с ЗИС-16 (40,5 км/ч) оказалась на 1 км/ч выше расчетной. Двигатель работал менее напряженно, чем ГАЗ-202, был не таким шумным, а доступ для обслуживания не вызывал затруднений. Основной проблемой оказалась система охлаждения двигателя, которую признали недостаточной (проблема охлаждения, впрочем, имела место и на Т-60 с ГАЗ-202). Тем не менее, идея установки ЗИС-5 и ЗИС-16 в Т-60 была признана удачной. Для полноценной проверки предполагалось построить 5 танков с новыми моторами.</w:t>
      </w:r>
    </w:p>
    <w:p w14:paraId="3DF87385" w14:textId="77777777" w:rsidR="007C5583" w:rsidRPr="008127F8" w:rsidRDefault="007C5583" w:rsidP="007C5583">
      <w:pPr>
        <w:pStyle w:val="af"/>
        <w:spacing w:before="0" w:after="0"/>
        <w:jc w:val="both"/>
        <w:rPr>
          <w:color w:val="000000" w:themeColor="text1"/>
          <w:sz w:val="16"/>
          <w:szCs w:val="16"/>
        </w:rPr>
      </w:pPr>
      <w:r w:rsidRPr="008127F8">
        <w:rPr>
          <w:color w:val="000000" w:themeColor="text1"/>
          <w:sz w:val="16"/>
          <w:szCs w:val="16"/>
        </w:rPr>
        <w:t>Одновременно с установкой в Т-60 мотора ЗИС-16 конструкторское бюро завода №37 работало и над более глубокой модернизацией малого танка. Впервые вопрос о данном проекте был поднят на заседании Наркомата Танковой Промышленности 14 мая. Суть предложения завода №37, переданного через военинженера 1-го ранга С.А. Афонина, заключалась в установке в Т-60 45-мм пушки и усилении его бронирования до 35 мм. К моменту обсуждения проекта модернизированная машина, получившая заводской индекс Т-45, была в значительной мере готова.</w:t>
      </w:r>
    </w:p>
    <w:p w14:paraId="7F748377" w14:textId="77777777" w:rsidR="007C5583" w:rsidRPr="008127F8" w:rsidRDefault="007C5583" w:rsidP="007C5583">
      <w:pPr>
        <w:pStyle w:val="af"/>
        <w:spacing w:before="0" w:after="0"/>
        <w:jc w:val="both"/>
        <w:rPr>
          <w:color w:val="000000" w:themeColor="text1"/>
          <w:sz w:val="16"/>
          <w:szCs w:val="16"/>
        </w:rPr>
      </w:pPr>
      <w:r w:rsidRPr="008127F8">
        <w:rPr>
          <w:color w:val="000000" w:themeColor="text1"/>
          <w:sz w:val="16"/>
          <w:szCs w:val="16"/>
        </w:rPr>
        <w:t xml:space="preserve">Военные встретили идею в штыки. Разработку танка посчитали нецелесообразной, поскольку усиление его вооружения и бронирования должно было отрицательно сказаться на нагрузке мотора и трансмиссии. Появлению на свет новая разработке завода №37 обязана главному конструктору танка Т-50 С.А. Гинзбургу, </w:t>
      </w:r>
      <w:r w:rsidRPr="008127F8">
        <w:rPr>
          <w:color w:val="000000" w:themeColor="text1"/>
          <w:sz w:val="16"/>
          <w:szCs w:val="16"/>
        </w:rPr>
        <w:lastRenderedPageBreak/>
        <w:t xml:space="preserve">занимавшему к тому моменту должность заместителя начальника Технического отдела </w:t>
      </w:r>
      <w:hyperlink r:id="rId26" w:history="1">
        <w:r w:rsidRPr="008127F8">
          <w:rPr>
            <w:rStyle w:val="a6"/>
            <w:rFonts w:eastAsia="Times New Roman"/>
            <w:color w:val="000000" w:themeColor="text1"/>
          </w:rPr>
          <w:t>Наркомата танковой промышленности</w:t>
        </w:r>
      </w:hyperlink>
      <w:r w:rsidRPr="008127F8">
        <w:rPr>
          <w:color w:val="000000" w:themeColor="text1"/>
          <w:sz w:val="16"/>
          <w:szCs w:val="16"/>
        </w:rPr>
        <w:t>. С апреля 1942 года Гинзбург курировал работу по созданию на заводе №37 легкой штурмовой САУ на агрегатах Т-60, и с заводским руководством у него были общие интересы. На совещании, в ходе которого обсуждалось предложение завода №37, Гинзбург присутствовал, и однозначно повлиял на итоговое решение. В протоколе появилась пометка:</w:t>
      </w:r>
    </w:p>
    <w:p w14:paraId="33E45761" w14:textId="77777777" w:rsidR="007C5583" w:rsidRPr="008127F8" w:rsidRDefault="007C5583" w:rsidP="007C5583">
      <w:pPr>
        <w:pStyle w:val="af"/>
        <w:spacing w:before="0" w:after="0"/>
        <w:jc w:val="both"/>
        <w:rPr>
          <w:color w:val="000000" w:themeColor="text1"/>
          <w:sz w:val="16"/>
          <w:szCs w:val="16"/>
        </w:rPr>
      </w:pPr>
      <w:r w:rsidRPr="008127F8">
        <w:rPr>
          <w:color w:val="000000" w:themeColor="text1"/>
          <w:sz w:val="16"/>
          <w:szCs w:val="16"/>
        </w:rPr>
        <w:t>«</w:t>
      </w:r>
      <w:r w:rsidRPr="008127F8">
        <w:rPr>
          <w:iCs/>
          <w:color w:val="000000" w:themeColor="text1"/>
          <w:sz w:val="16"/>
          <w:szCs w:val="16"/>
        </w:rPr>
        <w:t>испытать этот танк на 200 км. Материал прислать в ГАБТУ КА. Пока больше этих танков не делать» (17468)</w:t>
      </w:r>
      <w:r w:rsidRPr="008127F8">
        <w:rPr>
          <w:color w:val="000000" w:themeColor="text1"/>
          <w:sz w:val="16"/>
          <w:szCs w:val="16"/>
        </w:rPr>
        <w:t>.</w:t>
      </w:r>
    </w:p>
    <w:p w14:paraId="59F8F47C" w14:textId="77777777" w:rsidR="007C5583" w:rsidRPr="008127F8" w:rsidRDefault="007C5583" w:rsidP="007C5583">
      <w:pPr>
        <w:pStyle w:val="af"/>
        <w:spacing w:before="0" w:after="0"/>
        <w:jc w:val="both"/>
        <w:rPr>
          <w:color w:val="000000" w:themeColor="text1"/>
          <w:sz w:val="16"/>
          <w:szCs w:val="16"/>
        </w:rPr>
      </w:pPr>
      <w:r w:rsidRPr="008127F8">
        <w:rPr>
          <w:color w:val="000000" w:themeColor="text1"/>
          <w:sz w:val="16"/>
          <w:szCs w:val="16"/>
        </w:rPr>
        <w:t>Появление Т-45 объяснялось очень просто – завод №37 очень не хотел делать Т-70. Для того, чтобы наладить производство Т-70, необходимо было освоить изготовление 1440 новых деталей, изготовить 545 новых штампов. Требовалось 825 новых приспособлений и 2300 единиц инструмента. Для сравнения, Т-45 требовал только 224 новых деталей, 104 штампа, 175 приспособлений и 255 единиц инструмента, плюс 132 детали, 85 штампов, 149 приспособлений и 433 единицы инструмента брались от Т-70. Кроме того, запуск Т-70 в серию означал, что из Горького должно было приходить в 2 раза больше двигателей, а они и так шли с перебоями. В сложившейся ситуации попытка заводского КБ создать на базе Т-60 достаточно технологичный танк с более мощным бронированием и вооружением, а также оснащенный двигателем, выпускавшемся неподалеку, выглядела вполне логично.</w:t>
      </w:r>
    </w:p>
    <w:p w14:paraId="3EC8277E" w14:textId="77777777" w:rsidR="007C5583" w:rsidRPr="008127F8" w:rsidRDefault="007C5583" w:rsidP="007C5583">
      <w:pPr>
        <w:pStyle w:val="af"/>
        <w:spacing w:before="0" w:after="0"/>
        <w:jc w:val="both"/>
        <w:rPr>
          <w:color w:val="000000" w:themeColor="text1"/>
          <w:sz w:val="16"/>
          <w:szCs w:val="16"/>
        </w:rPr>
      </w:pPr>
      <w:r w:rsidRPr="008127F8">
        <w:rPr>
          <w:color w:val="000000" w:themeColor="text1"/>
          <w:sz w:val="16"/>
          <w:szCs w:val="16"/>
        </w:rPr>
        <w:t>Главным внешним отличием Т-45 от предшественника стала башня с кормовой нишей, в которой устанавливалась 45-мм танковая пушка обр.1938 года и спаренный с ней пулемет ДТ. В установке вооружения использовался упрощенный поворотный механизм башни Т-60. Толщина бортов башни была доведена до 35 мм, что соответствовало уровню Т-70. Уровень защиты корпуса был оставлен на уровне Т-60, за исключением верхнего лобового листа, толщину которого увеличили с 15 до 25 мм. По проекту, в случае необходимости толщину лобового листа можно было нарастить с 35 до 45 мм, и тогда по уровню защиты Т-45 полностью бы сравнялся с Т-70. Корпус в целом соответствовал корпусу Т-60. Главным отличием стал новый люк механика-водителя, который сделали поворачивающимся вбок.</w:t>
      </w:r>
    </w:p>
    <w:p w14:paraId="1F9FDC93" w14:textId="77777777" w:rsidR="007C5583" w:rsidRPr="008127F8" w:rsidRDefault="007C5583" w:rsidP="007C5583">
      <w:pPr>
        <w:pStyle w:val="af"/>
        <w:spacing w:before="0" w:after="0"/>
        <w:jc w:val="both"/>
        <w:rPr>
          <w:color w:val="000000" w:themeColor="text1"/>
          <w:sz w:val="16"/>
          <w:szCs w:val="16"/>
        </w:rPr>
      </w:pPr>
      <w:r w:rsidRPr="008127F8">
        <w:rPr>
          <w:color w:val="000000" w:themeColor="text1"/>
          <w:sz w:val="16"/>
          <w:szCs w:val="16"/>
        </w:rPr>
        <w:t>Поскольку на заводе был всего один двигатель ЗиС-16, на Т-45 поставили менее мощный, но куда менее дефицитный мотор ЗИС-5 (мотор сняли с грузовика, прошедшего 12000 км). С менее мощным мотором максимальная скорость танка снижалась до 37,2 км/ч. В случае успешных испытаний завод рассчитывал немедленно переключиться на выпуск Т-45 с ЗИС-5, а после освоения на Миасском заводе мотора ЗИС-16 перейти на него. Помимо нового двигателя, на Т-45 установили главную передачу и бортовые фрикционы от Т-70. Из-за того, что боевая масса поднялась почти до 7 тонн, на танк были установлены усиленные торсионные валы (17468).</w:t>
      </w:r>
    </w:p>
    <w:p w14:paraId="52DDB809" w14:textId="77777777" w:rsidR="007C5583" w:rsidRPr="008127F8" w:rsidRDefault="007C5583" w:rsidP="007C5583">
      <w:pPr>
        <w:pStyle w:val="af"/>
        <w:spacing w:before="0" w:after="0"/>
        <w:jc w:val="both"/>
        <w:rPr>
          <w:color w:val="000000" w:themeColor="text1"/>
          <w:sz w:val="16"/>
          <w:szCs w:val="16"/>
        </w:rPr>
      </w:pPr>
    </w:p>
    <w:p w14:paraId="1EEA19CC"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19 мая 1942 переделанный под новый двигатель танк Т-60 вышел на испытания. Машину искусственно догрузили до боевой массы 6800 кг, чтобы она соответствовала танку, над которым одновременно рабо</w:t>
      </w:r>
      <w:r w:rsidRPr="008127F8">
        <w:rPr>
          <w:rFonts w:eastAsia="Calibri"/>
          <w:color w:val="000000" w:themeColor="text1"/>
          <w:sz w:val="16"/>
          <w:szCs w:val="16"/>
        </w:rPr>
        <w:softHyphen/>
        <w:t>тало КБ завода. По результатам испытаний, проходивших до 9 июня, выяснилось, что максимальная скорость Т-60 и ЗИС-16 оказалась на 1 км/ч выше расчетной. Двигатели работали менее напряженно, чем ГАЗ-202, выхлоп оказался менее шумным, доступ для обслужи</w:t>
      </w:r>
      <w:r w:rsidRPr="008127F8">
        <w:rPr>
          <w:rFonts w:eastAsia="Calibri"/>
          <w:color w:val="000000" w:themeColor="text1"/>
          <w:sz w:val="16"/>
          <w:szCs w:val="16"/>
        </w:rPr>
        <w:softHyphen/>
        <w:t>вания не вызывал проблем. Основной проблемой оказалась система охлаждения двигателя, которую признали недостаточной (проблема охлаждения, впрочем, имела место и на Т-60 с ГАЗ-202). Тем не ме</w:t>
      </w:r>
      <w:r w:rsidRPr="008127F8">
        <w:rPr>
          <w:rFonts w:eastAsia="Calibri"/>
          <w:color w:val="000000" w:themeColor="text1"/>
          <w:sz w:val="16"/>
          <w:szCs w:val="16"/>
        </w:rPr>
        <w:softHyphen/>
        <w:t>нее идея установки ЗИС-5 и ЗИС-16 в Т-60 была признана удачной, для полной проверки предполагалось построить 5 танков с новыми моторами.</w:t>
      </w:r>
    </w:p>
    <w:p w14:paraId="15EC6980"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Еще до опытных работ по двигателю ЗИС-16 отдел 22 провел ряд опытных работ по ходовой части танка. Стоит отметить, что многие из этих работ повторяли решения, обкатанные на ГАЗ им. Молотова в конце 1941 — начале 1942 года, с теми же результатами (17485).</w:t>
      </w:r>
    </w:p>
    <w:p w14:paraId="2998046E" w14:textId="77777777" w:rsidR="007C5583" w:rsidRPr="008127F8" w:rsidRDefault="007C5583" w:rsidP="007C5583">
      <w:pPr>
        <w:pStyle w:val="af"/>
        <w:spacing w:before="0" w:after="0"/>
        <w:jc w:val="both"/>
        <w:rPr>
          <w:color w:val="000000" w:themeColor="text1"/>
          <w:sz w:val="16"/>
          <w:szCs w:val="16"/>
        </w:rPr>
      </w:pPr>
    </w:p>
    <w:p w14:paraId="47EEBAE4"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19 мая 1942 танк Т-60 с новой силовой установкой ЗИС-16 вышел на испытания. Машину искусственно догрузили до боевой массы 6800 кг, чтобы она соответствовала танку, над которым одновременно работало КБ завода.</w:t>
      </w:r>
    </w:p>
    <w:p w14:paraId="2C8488E2"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 1-й квартал 1942 года ГАЗ им. Молотова недопоставил заводу № 37 664 двигателя. Из-за проблем с поставками моторов сборочный цех завода №37 простаивал в течение апреля 8 дней. При этом за тот же апрель было изготовлено 230 корпусов (100% плана), так что задержка с двигателями очень сильно повлияла на выпуск Т-60. Именно в этот момент пригодилась теоретическая возможность установки в Т-60 двигателя ЗИС-5, которая предусматривалась на момент проработки корпуса танка проекта 060 ещё в июле 1941 года.</w:t>
      </w:r>
    </w:p>
    <w:p w14:paraId="73840796"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Работой над установкой двигателя ЗИС-5/ЗИС-16 в Т-60 занялось конструкторского бюро завода №37. Костяк КБ составляли конструкторы, ранее работавшие в отделе 22 завода №37 до его эвакуации в Свердловск (данный отдел был ответственным за опытные работы по танковой тематике). К весне 1942 года КБ возглавил Н. А. Попов, до эвакуации работавший старшим конструктором по теме Т-40. На посту начальника отдела №22 он сменил Г. С. Суреняна, возглавлявшего отдел ещё до эвакуации (также до Попова он возглавлял заводское КБ).</w:t>
      </w:r>
    </w:p>
    <w:p w14:paraId="2B23FC41"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Необходимый для установки в танк двигатель был снят с автобуса ЗИС-16, который к тому моменту проездил без капитального ремонта 35000 километров. Танковая версия двигателя ЗИС-16 получила обозначение ЗИС-60. По сравнению с ЗИС-16 новый мотор имел изменённые выхлопной коллектор, картер маховика с креплениями двигателя, а также конус коленчатого вала с насаженным шкивом для привода вентилятора. Кроме того, на ЗИС-60 ставились заводной механизм от Т-60 и усиленный радиатор. Помимо нового двигателя, на танк была установлена главная передача с изменёнными передаточными соотношениями. Также была переделана выхлопная система.</w:t>
      </w:r>
    </w:p>
    <w:p w14:paraId="1E911FB5"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 результатам испытаний, проходивших до 9 июня, выяснилось, что максимальная скорость Т-60 с ЗИС-16 (40,5 км/ч) оказалась на 1 км/ч выше расчетной. Двигатель работал менее напряженно, чем ГАЗ-202, был не таким шумным, а доступ для обслуживания не вызывал затруднений. Основной проблемой оказалась система охлаждения двигателя, которую признали недостаточной (проблема охлаждения, впрочем, имела место и на Т-60 с ГАЗ-202). Тем не менее, идея установки ЗИС-5 и ЗИС-16 в Т-60 была признана удачной. Для полноценной проверки предполагалось построить 5 танков с новыми моторами (17636).</w:t>
      </w:r>
    </w:p>
    <w:p w14:paraId="407A3147"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648058A5"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мая 1942 г. танк Т-45 с мотором ЗИС-16 отправился в пробег. С этим мотором скорость достигла 40,5 км/ч, а с мотором ЗИС-5 она снизилась до 37,2 км/ч. Стоит отметить, что и мотор ЗИС-5 был "подержанным", посему реальные скорости могли быть и выше. Отмечалось, что в виду дополнительной нагрузки тепловой режим мотора ухудшился, хотя тут следовало погонять рядом и обычный Т-60. Возможно, что получили бы похожие цифры (23347).</w:t>
      </w:r>
    </w:p>
    <w:p w14:paraId="2AD5A21C" w14:textId="77777777" w:rsidR="00AF6A30" w:rsidRPr="008A2E5A" w:rsidRDefault="00AF6A30" w:rsidP="00AF6A30">
      <w:pPr>
        <w:spacing w:after="0" w:line="240" w:lineRule="auto"/>
        <w:jc w:val="both"/>
        <w:rPr>
          <w:rFonts w:ascii="Times New Roman" w:hAnsi="Times New Roman"/>
          <w:color w:val="0070C0"/>
          <w:sz w:val="16"/>
          <w:szCs w:val="16"/>
        </w:rPr>
      </w:pPr>
    </w:p>
    <w:p w14:paraId="2AC1586C"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С 19 по 25 мая 1942 второй этап испытаний танкового прицеа ТД-20, совпал с учениями на Челябинском танкодроме. Всего за это время было пройдено 28 километров. ТД-200 испытали с полной нагрузкой: в прицеп погрузились 20 бойцов, посадка занимала 60 секунд. Была произведена и успешная выгрузка десанта на скорости 4-5 км/ч. Прицеп с полной нагрузкой испытывался и на бездорожье: были успешно пройдены 2 ямы глубиной 1 метр и 4 ямы глубиной 1,2 метра. Для усложнения задачи между танком и прицепом было положено бревно диаметром 25 см, это препятствие на небольшой скорости было пройдено 2 раза. При прохождении препятствий был погнуты тяги дышла, кроме того, между гусеницей и правой надгусеничной полкой попал камень, который частично прогнул заднюю часть полки. Кроме того, при прохождении препятствий погнуло гребень одного из траков правой гусеничной ленты, в результате один из катков получил повреждения бандажа. При этом не было зафиксировано ни одного случая спадания гусениц.</w:t>
      </w:r>
    </w:p>
    <w:p w14:paraId="5669E2BA"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15 июня заводские испытания завершились. Осмотр ходовой части ТД-200 №1 показал, что все детали оставались в пределах нормы. Таким образом, прицеп вполне успешно прошёл заводскую программу. В течение мая были изготовлены 2-й и 3-й экземпляры ТД-200, сдали их уже в начале июня.</w:t>
      </w:r>
    </w:p>
    <w:p w14:paraId="372BDBF4"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Однако на этом дело застопорилось. Официального отказа от программы ТД-200 не было, но больше эти прицепы в переписке не фигурируют. Не исключено, что виной этому стала их слишком большая масса, ведь про требования, сформулированные в феврале 1942 года, в ГАБТУ КА не забыли. Кроме того, на судьбу ТД-200 могла повлиять и финансовая сторона вопроса. Общая стоимость трёх бронеприцепов составила 126 000 рублей, то есть каждый ТД-200 обошелся в 42 000. С учётом того, что прицеп предполагалось изготовлять из отходов корпусного производства, такая цена выглядела не очень адекватной: танк Т-60 стоил не намного больше этого прицепа (17711).</w:t>
      </w:r>
    </w:p>
    <w:p w14:paraId="28A1E613"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60436D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г. были подготовлены ПРЕДЛОЖЕНИЕ НКВТ СССР В ГАБТУ КА О ЗАКУПКЕ МАШИН ФИРМЫ «БЕДФОРД»</w:t>
      </w:r>
    </w:p>
    <w:p w14:paraId="4AB91BC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Сообщаем Вам характеристику грузовых автомобилей «Бедфорд» моделей QL, QU, MW, изгото</w:t>
      </w:r>
      <w:r w:rsidRPr="008127F8">
        <w:rPr>
          <w:rFonts w:ascii="Times New Roman" w:hAnsi="Times New Roman"/>
          <w:color w:val="000000" w:themeColor="text1"/>
          <w:sz w:val="16"/>
          <w:szCs w:val="16"/>
        </w:rPr>
        <w:softHyphen/>
        <w:t>вляемых в Англии одним из заводов в количестве до 50 штук в день, заказать которые, если в этом есть необходимость, представляется возможным.</w:t>
      </w:r>
    </w:p>
    <w:p w14:paraId="3A6B0E7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Модель QL трехтонная, с четырьмя ведущими колесами, с лебедкой грузоподъемностью 7 тонн. На грузовике имеется специальный кузов под снаряды и команду. Грузовик используется как артиллерийский тягач.</w:t>
      </w:r>
    </w:p>
    <w:p w14:paraId="3817948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Модель QU трехтонная, с двумя ведущими колесами.</w:t>
      </w:r>
    </w:p>
    <w:p w14:paraId="7BAA8F1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Модель MW грузоподъемность 0,75 тонны, скаты из гусматика.</w:t>
      </w:r>
    </w:p>
    <w:p w14:paraId="5940ED4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всех машинах установлены моторы мощностью 75 лошадиных сил. Все машины имеют мно</w:t>
      </w:r>
      <w:r w:rsidRPr="008127F8">
        <w:rPr>
          <w:rFonts w:ascii="Times New Roman" w:hAnsi="Times New Roman"/>
          <w:color w:val="000000" w:themeColor="text1"/>
          <w:sz w:val="16"/>
          <w:szCs w:val="16"/>
        </w:rPr>
        <w:softHyphen/>
        <w:t>го взаимозаменяемых частей.</w:t>
      </w:r>
    </w:p>
    <w:p w14:paraId="2ADAA69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доклада народному комиссару сообщите Ваше мнение по этим машинам и целесообраз</w:t>
      </w:r>
      <w:r w:rsidRPr="008127F8">
        <w:rPr>
          <w:rFonts w:ascii="Times New Roman" w:hAnsi="Times New Roman"/>
          <w:color w:val="000000" w:themeColor="text1"/>
          <w:sz w:val="16"/>
          <w:szCs w:val="16"/>
        </w:rPr>
        <w:softHyphen/>
        <w:t>ность их закупки в Англии.</w:t>
      </w:r>
    </w:p>
    <w:p w14:paraId="2134B4E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инженерного управления НКВТ СССР Рябченко</w:t>
      </w:r>
    </w:p>
    <w:p w14:paraId="7E0C226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Ф.38. Оп. 11386. Д. 123. Л. 82. Подлинник (11211).</w:t>
      </w:r>
    </w:p>
    <w:p w14:paraId="328FF31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6DFCB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г. вышло РАСПОРЯЖЕНИЕ ГЛАВЛИТА О ЗАПРЕТЕ НА ПУБЛИКАЦИЮ ДАННЫХ ПО ИМПОРТНЫМ ТАНКАМ</w:t>
      </w:r>
    </w:p>
    <w:p w14:paraId="318400B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Запретить в печати опубликовывать какие бы то ни было данные и сведения об английских тан</w:t>
      </w:r>
      <w:r w:rsidRPr="008127F8">
        <w:rPr>
          <w:rFonts w:ascii="Times New Roman" w:hAnsi="Times New Roman"/>
          <w:color w:val="000000" w:themeColor="text1"/>
          <w:sz w:val="16"/>
          <w:szCs w:val="16"/>
        </w:rPr>
        <w:softHyphen/>
        <w:t>ках: «Черчилль» и «Тетрарх» (МК-УП).</w:t>
      </w:r>
    </w:p>
    <w:p w14:paraId="301D6F3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танках «Матильда» (МК-П) и «Валентин» (МК-Ш) разрешается печатать данные и опублико</w:t>
      </w:r>
      <w:r w:rsidRPr="008127F8">
        <w:rPr>
          <w:rFonts w:ascii="Times New Roman" w:hAnsi="Times New Roman"/>
          <w:color w:val="000000" w:themeColor="text1"/>
          <w:sz w:val="16"/>
          <w:szCs w:val="16"/>
        </w:rPr>
        <w:softHyphen/>
        <w:t>вывать фотоснимки, не раскрывающие при этом деталей устройства боевых помещений танка и ме</w:t>
      </w:r>
      <w:r w:rsidRPr="008127F8">
        <w:rPr>
          <w:rFonts w:ascii="Times New Roman" w:hAnsi="Times New Roman"/>
          <w:color w:val="000000" w:themeColor="text1"/>
          <w:sz w:val="16"/>
          <w:szCs w:val="16"/>
        </w:rPr>
        <w:softHyphen/>
        <w:t>ханизмов управления.</w:t>
      </w:r>
    </w:p>
    <w:p w14:paraId="743F491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Уполномоченный СНК СССР по охране военных тайн в печати и начальник Главлита Н. Садчиков</w:t>
      </w:r>
    </w:p>
    <w:p w14:paraId="3AE32011"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11355. Д. 647. Л. 112. Копия (11211).</w:t>
      </w:r>
    </w:p>
    <w:p w14:paraId="3651EEA3"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kern w:val="65535"/>
          <w:sz w:val="16"/>
          <w:szCs w:val="16"/>
        </w:rPr>
      </w:pPr>
    </w:p>
    <w:p w14:paraId="003CC17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19 мая 1942 г. филиал завода «Двигатель революции» - Горьковский машзавод в ведении Главхимбуммаша НКМВ - завод № 729. Приказом НКМВ № 250с от 7.07.1942 г. завод № 729 передан в ведение 2ГУ.</w:t>
      </w:r>
    </w:p>
    <w:p w14:paraId="35D72C2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машзавода (06.1942 г.)- Элькинд.</w:t>
      </w:r>
    </w:p>
    <w:p w14:paraId="1AC4BA6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снаряды 45-мм, 152/45- мм (1942) (11982).</w:t>
      </w:r>
    </w:p>
    <w:p w14:paraId="083067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F4D31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вышло Постановление ГКО № 1774 О восстановлении производства пикриновой кислоты на заводе № 319, производства динитронафталина и производства ксилила на заводе № 15, эвакуированных с завода № 20 Наркомата боеприпасов. РГАНИР, Фонд ГКО, д. 35, лл. 176 (11012).</w:t>
      </w:r>
    </w:p>
    <w:p w14:paraId="2252197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A74E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вышло Постановление ГКО № 1775 О производстве деталей полкового миномета, 120 мм мин и "ППШ" на заводах: "Комета", ЦНИИТМа НКТМ и "Искра" НКМП РСФСР. РГАНИР, Фонд ГКО, д. 35, лл. 177 (11012).</w:t>
      </w:r>
    </w:p>
    <w:p w14:paraId="278162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BA9E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вышло Постановление ГКО № 1776 Об обеспечении майского плана и подготовке производства на июнь 1942 г. по 82 мм минам. РГАНИР, Фонд ГКО, д. 35, лл. 178-183, 184-195 (11012).</w:t>
      </w:r>
    </w:p>
    <w:p w14:paraId="775932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E854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вышло Постановление ГКО № 1777 О т. Семенове В.H. РГАНИР, Фонд ГКО, д. 35, лл. 196 (11012).</w:t>
      </w:r>
    </w:p>
    <w:p w14:paraId="72F2274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D99B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вышло Постановление ГКО № 1778 О т.т. Цветаеве Н.Н. и Грушевом К.С. РГАНИР, Фонд ГКО, д. 35, лл. 197 (11012).</w:t>
      </w:r>
    </w:p>
    <w:p w14:paraId="0D41568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A1664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вышло Постановление ГКО № 1779 Об обеспечении выполнения плана материально-технического снабжения НКПС во II квартале 1942 года. (7035, 198-200).</w:t>
      </w:r>
    </w:p>
    <w:p w14:paraId="30DDF84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8A9C0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вышло Постановление ГКО № 1780 Об изготовлении и восстановлении железнодорожных мостов. (7035, 201-206,207-210).</w:t>
      </w:r>
    </w:p>
    <w:p w14:paraId="368F8E8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5BCBC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вышло Постановление ГКО № 1781 Об обращении железнодорожников Московского узла Ленинской дороги ко всем железнодорожникам Советского Союза. (7035, 211,212-220).</w:t>
      </w:r>
    </w:p>
    <w:p w14:paraId="28A5590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542851"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вышло Постановление ГКО № 1782 О плане капитального строительства на 1942 г. по железнодорожному транспорту. (7035, 221-222,223-228).</w:t>
      </w:r>
    </w:p>
    <w:p w14:paraId="399BAB0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FD123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вышло Постановление ГКО № 1783 О плане эксплуатации и среднемесячной погрузке железных дорог в 1942 году. (7035, 229,230-232).</w:t>
      </w:r>
    </w:p>
    <w:p w14:paraId="3EAFDC2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9DDC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года вышло Постановления правительства о передаче завода № 460 НК боеприпасов (9214).</w:t>
      </w:r>
    </w:p>
    <w:p w14:paraId="721279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BFFD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57B79A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F7D2F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19 мая</w:t>
      </w:r>
      <w:r w:rsidRPr="008127F8">
        <w:rPr>
          <w:rFonts w:ascii="Times New Roman" w:hAnsi="Times New Roman"/>
          <w:color w:val="000000" w:themeColor="text1"/>
          <w:sz w:val="16"/>
          <w:szCs w:val="16"/>
        </w:rPr>
        <w:t xml:space="preserve"> в 1942 году утреннее сообщение Совинформбюро:</w:t>
      </w:r>
    </w:p>
    <w:p w14:paraId="5A66186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19 мая на Харьковском направлении наши войска вели наступательные баи.</w:t>
      </w:r>
    </w:p>
    <w:p w14:paraId="19C27E0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Керченском полуострове продолжались напряжённые бои в районе городаКерчь.</w:t>
      </w:r>
    </w:p>
    <w:p w14:paraId="556AD51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ничего существенного не произошло.</w:t>
      </w:r>
    </w:p>
    <w:p w14:paraId="7E7DFD2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истекшую неделю с 10 по 16 мая немецкая авиация потеряла 339 самолётов.Наши потери — 112 самолётов.</w:t>
      </w:r>
    </w:p>
    <w:p w14:paraId="42653ED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Харьковского направления наши части продвинулись вперёди заняли ряд населённых пунктов. Противник оставил на поле боя 1.600 убитых солдат и офицеров. Взяты пленные. Бойцы части, где командиром тов. Песочин, отбили контратаку противника и уничтожили 300 гитлеровцев. Огнём пехотного оружия сбито 2 немецких бомбардировщика. Уничтожено несколько немецких танков, захвачено 8 орудий, 6 пулемётов, 5.000 мин и другие трофеи. На другом участке наша часть отразила несколько контратак немцев. Подбито 11 вражеских танков. Противник потерял убитыми н ранеными свыше 800 солдат и офицеров.</w:t>
      </w:r>
    </w:p>
    <w:p w14:paraId="4128CC8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полтора месяца боевых действий авиачасть под командованием тов. Савченко (Северо-Западный фронт) уничтожила 237 немецких самолётов. За этот же период лётчики части уничтожили 122 вражеские автомашины, 50 орудий, 2 танка, 40 повозок и 7 автоцистерн с горючим.</w:t>
      </w:r>
    </w:p>
    <w:p w14:paraId="553BD5C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гитлеровцы при поддержке самолётов предприняли атаку на наши позиции.</w:t>
      </w:r>
    </w:p>
    <w:p w14:paraId="7385E32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артиллеристы выдвинули орудия на открытые позиции, открыли огонь и уничтожили 70 солдат и офицеров противника. Вражеская атака захлебнулась. Орудийный расчёт старшего сержанта Аверцева несколькими выстрелами сбил немецкий самолёт.</w:t>
      </w:r>
    </w:p>
    <w:p w14:paraId="726731A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старшего лейтенанта тов. Болондина (Южный фронт) заметили передвижение вражеской колонны и открыли по ней шквальный огонь. Налёт был настолько неожиданным, что лишь немногим гитлеровцам удалось спастись. На дороге осталось более 100 вражеских трупов.</w:t>
      </w:r>
    </w:p>
    <w:p w14:paraId="7BE94E7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11 по 15 мая несколько партизанских отрядов, действующих в оккупированных районах Ленинградской области, по неполным данным, истребили 360 немецких оккупантов. Партизаны вывели из строя немецкий танк, бронемашину и организовали крушение двух воинских эшелонов. Партизанские отряды, объединённые под командованием товарищей В. и Т., разгромили немецкий гарнизон, уничтожив при этом 85 солдат и офицеров противника.</w:t>
      </w:r>
    </w:p>
    <w:p w14:paraId="4073902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выдержки из записной книжки убитого лейтенанта вело-эскадрона 96 немецкой пехотной дивизии Зеллигера:</w:t>
      </w:r>
    </w:p>
    <w:p w14:paraId="2C6F1F0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«...Партизанское движение здесь всё больше расширяется. Партизаны вначале попадали только ночью на связных-мотоциклистов и на одиночные машины и повозки. Теперь они нас обстреливают даже днём и притом на главном шоссе. В лазарете много раненых в боях с партизанами. Навестил лейтенанта Боген. Он тоже ранен партизанами... Восемь дней ничего не удавалось подвезти, так как партизаны подорвали железную дорогу... Получили сведения, что партизаны ночью собираются поджечь наше расположение. Выставили усиленную охрану. Несмотря на это, рано утром сгорели помещения и конюшни. Кто поджёг — установить не удалось. Часовые стояли рядом, но ничего не заметили... Один из моих солдат, который ночью вышел на улицу, был ранен партизанами».</w:t>
      </w:r>
    </w:p>
    <w:p w14:paraId="3E066C7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Ленинградского фронта наши бойцы, продвигаясь вперёд, обнаружили в лесу яму, в которой находилось 11 трупов красноармейцев. На всех трупах видны следы чудовищных пыток. У красноармейцев вскрыты черепа, туловища изрублены, животы вспороты.</w:t>
      </w:r>
    </w:p>
    <w:p w14:paraId="177B128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Почти у всех замученных гитлеровцами бойцов на лице, руках и ногах много ножевых ран. У одного раздавлены пальцы рук, у другого раздавлены половые органы. У двух красноармейцев в предплечье и «на коленях полностью срезаны мышцы до самых костей. Здесь же найдены орудия пыток, которыми гитлеровские людоеды мучили и истязали пленных: стальной обоюдоострый кинжал длиной в 80 сантиметров с тяжёлой медной ручкой и слесарная пила.</w:t>
      </w:r>
    </w:p>
    <w:p w14:paraId="678298F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Среди иностранных рабочих, занятых в сельском хозяйстве Германии, произведены многочисленные аресты. Как сообщают, сельскохозяйственные рабочие уничтожали семена и умышленно производили недоброкачественный посев.» (14896).</w:t>
      </w:r>
    </w:p>
    <w:p w14:paraId="1832FFF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79378F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19 мая</w:t>
      </w:r>
      <w:r w:rsidRPr="008127F8">
        <w:rPr>
          <w:rFonts w:ascii="Times New Roman" w:hAnsi="Times New Roman"/>
          <w:color w:val="000000" w:themeColor="text1"/>
          <w:sz w:val="16"/>
          <w:szCs w:val="16"/>
        </w:rPr>
        <w:t xml:space="preserve"> в 1942 году вечернее сообщение Совинформбюро:</w:t>
      </w:r>
    </w:p>
    <w:p w14:paraId="6F9425F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19 мая на Харьковском направлении наши войска вели наступательные бои и, отбивая контратаки противника, продвигались вперёд.</w:t>
      </w:r>
    </w:p>
    <w:p w14:paraId="21827D2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направлении Изюм—Барвенково завязались бои с перешедшими в наступление немецко-фашистскими войсками.</w:t>
      </w:r>
    </w:p>
    <w:p w14:paraId="26073E9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Керченском полуострове продолжались бои в районе города Керчь.</w:t>
      </w:r>
    </w:p>
    <w:p w14:paraId="7EF829D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уточнённым данным, за 17 мая сбито не 64 немецких самолёта, как об этомсообщалось ранее, а 73 немецких самолёта.</w:t>
      </w:r>
    </w:p>
    <w:p w14:paraId="116B511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18 мая уничтожено 43 немецких самолёта. Наши потери — 17 самолётов.</w:t>
      </w:r>
    </w:p>
    <w:p w14:paraId="5D139E2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18 мая частями нашей авиации на разных участках фронта уничтожено или повреждено 26 немецких танков, свыше 100 автомашин с войсками и грузами, 35подвод с боеприпасами, 11 полевых и зенитных орудий, подавлено несколькоартиллерийских и миномётных батарей, разбит железнодорожный состав, рассеяно и частью уничтожено до трёх рот пехоты противника.</w:t>
      </w:r>
    </w:p>
    <w:p w14:paraId="54A7F99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Харьковском направлении наши войска продолжали вести успешные наступательные бои. Немцы танковыми контратаками безуспешно пытались задержать продвижение наших частей. На одном из участков гитлеровцы бросили в бой 90 танков. Отражая одну атаку за другой, артиллеристы подразделения, которым командует тов. Сапунов, взаимодействуя с танкистами части, где командиром тов. Хасин, уничтожили 46 немецких танков. На другом участке бойцы части под командованием тов. Рогачевского в упорном бою с пехотой и танками противника уничтожили 250 гитлеровцев, 16 танков и захватили трофеи. Подразделение под командованием тов. Сафронова в одном бою захватило у противника 6 орудий, 2 миномёта, 8 пулемётов, 10.000 патронов и другие трофеи.</w:t>
      </w:r>
    </w:p>
    <w:p w14:paraId="4B1FF0F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отдельных участках Калининского фронта противник предпринял несколько атак, которые были отбиты с большими для него потерями. Немцы потеряли убитыми свыше 1.000 солдат и офицеров. Наши бойцы уничтожили 3 артиллерийские батареи, миномётную батарею и взорвали 3 склада с боеприпасами противника. Ружейно-пулемётным огнём сбит немецкий самолёт.</w:t>
      </w:r>
    </w:p>
    <w:p w14:paraId="236D553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Артиллеристы части тов. Гуляева (Калининский фронт) огнём из полевого орудия сбили самолёт противника. Опустившийся на парашюте лётчик-офицер взят в плен.</w:t>
      </w:r>
    </w:p>
    <w:p w14:paraId="346B962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Сержант Орлов и красноармеец Гордиенко пробрались в населённый пункт, занятый противником, и через окно проникли в помещение штаба немецкого батальона. Смелые разведчики убили находившегося в штабе офицера, забрали все документы и доставили их в свою часть.</w:t>
      </w:r>
    </w:p>
    <w:p w14:paraId="1E6CD26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Наше подразделение овладело частью деревни Ж. Дальнейшему продвижению вперёд мешал сильный пулемётный огонь противника. Красноармеец Рябов скрытно пробрался к окопу, из которого гитлеровцы вели пулемётный огонь, и гранатами уничтожил расчёты двух пулемётов. Смелый боец тут же залёг у пулемёта и хотел открыть из него огонь по врагу. В это время к нему близко подполз безоружный немецкий солдат и по-русски сказал: «Не стреляй в меня. Я чех, славянин». Солдат, назвавшийся чехом, занял место у немецкого пулемёта и открыл по гитлеровцам шквальный огонь. После боя выяснилось, что случайный помощник тов. Рябова — чех из Судетской области Эрнест В., насильно призванный в немецкую армию.</w:t>
      </w:r>
    </w:p>
    <w:p w14:paraId="4FCF962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захватили приказ командира 3 батальона 208 немецкого пехотного полка, который содержит оценку «пополнения, полученного батальоном 23 марта и 9 апреля». В приказе говорится: «Пополнение нуждается ещё в интенсивном обучении. Характер и волевые качества резервистов — слабые». Иными словами, командир немецкого батальона признаёт, что, стремясь восполнить свои огромные потери на советско-германском фронте, гитлеровцы бросают в бой совершенно необученных солдат.</w:t>
      </w:r>
    </w:p>
    <w:p w14:paraId="69C0118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Харьковского направления добровольно сдалась в плен группа немецких солдат 23 танковой дивизии. Сдавшийся в плен ефрейтор Л. рассказал: «Мы прибыли на фронт из Франции две недели назад. Ещё там, в районе Парижа, до нас доходили смутные слухи о поражениях немецких войск. Здесь мы сами убедились в этом. Мы были буквально ошеломлены силой русского оружия и храбростью русских солдат. Считая эту войну безнадёжной и не видя иного спасенья, мы добровольно сдались в плен».</w:t>
      </w:r>
    </w:p>
    <w:p w14:paraId="086CA30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Немецкие оккупационные власти в Голландии предложили всем голландским офицерам в 24-часовой срок явиться для регистрации. Все офицеры, пришедшие на регистрацию, были арестованы и отправлены в Германию. Указывают, что гитлеровцы арестовали голландских офицеров, опасаясь, что они возглавят борьбу против поработителей их родины — немецких оккупантов.» (14896).</w:t>
      </w:r>
    </w:p>
    <w:p w14:paraId="4AB75EF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7C2391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19 мая</w:t>
      </w:r>
      <w:r w:rsidRPr="008127F8">
        <w:rPr>
          <w:rFonts w:ascii="Times New Roman" w:hAnsi="Times New Roman"/>
          <w:color w:val="000000" w:themeColor="text1"/>
          <w:sz w:val="16"/>
          <w:szCs w:val="16"/>
        </w:rPr>
        <w:t xml:space="preserve"> в 1942 году советские войска сдали Керчь. Манштейн блестяще реализовал операцию "Охота на дроф". Видную роль в развале Крымского фронта сыграл Л.Мехлис. 176 тысяч человек попали в плен, около 15 тысяч спустились в Аджимушкайские каменоломни под Керчью. Почти 2 тысяч трофейных орудий немцы использовали в многодневной артподготовке 3-го штурма Севастополя (14896).</w:t>
      </w:r>
    </w:p>
    <w:p w14:paraId="7115E72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0517FE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19 мая</w:t>
      </w:r>
      <w:r w:rsidRPr="008127F8">
        <w:rPr>
          <w:rFonts w:ascii="Times New Roman" w:hAnsi="Times New Roman"/>
          <w:color w:val="000000" w:themeColor="text1"/>
          <w:sz w:val="16"/>
          <w:szCs w:val="16"/>
        </w:rPr>
        <w:t xml:space="preserve"> в 1942 году Ставка ВГК создала Северо-Кавказский фронт (14896).</w:t>
      </w:r>
    </w:p>
    <w:p w14:paraId="01A5D9A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29BAFD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СА эвакуировалась с Керченского полуострова (2443,423).</w:t>
      </w:r>
    </w:p>
    <w:p w14:paraId="39B497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2DA5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пять Пе-2 8-го ГвБАП нанесли бомбовый удар по этому аэродрому, на котором сконцентрировалось большое количество самолетов противника, а на следующий день четыре “пешки” того же полка повторили налет. По данным агентурной разведки, в результате этих ДВУХ ударов 19 и 20 мая на аэродроме было уничтожено 40 самолетов противника (18 и 22 - соответственно в первый и во второй день). Однако, осложнившаяся обстановка заставила отказаться от массированных атак аэродромов противника. Всю имевшуюся в наличии авиацию задействовали для ударов по наступавшим наземным войскам противника. Для штурмовок стали применять даже старые С.Б и P-Z. 18 мая с 5.00 утра самолеты СБ 10-го ГвБАП атаковали войска противника южнее Лозовой, а ночью - ж/д мост через р. Ворскла южнее Новых Санжар. Прибывавшее пополнение практически не имело времени “на раскачку” - ознакомление с обстановкой и районом боевых действий. 19 мая двенадцать Як-1 только прибывшего на фронт 429-го ПАП в районе Бригадировки встретили большую группу истребителей противника. Завязавшийся воздушный бои продолжался 30 минут. По показаниям летчиков и командования 13-го ГвБАП, наблюдавших этот бой, было сбито 5 He-113 и 1 Ме-109. По немецким данным, в указанном районе был сбит в бою только один Bf 109F-4/R1 из 7./JG 77, пилот которого, лейтенант Карл Стефаник (12 побед), пропал без вести. Но свои потери составили 4 Як-1. Три летчика выбросились на парашютах. один погиб. Уже через два дня с начала немецкого контрнаступления обстановка на этом направлении стала катастрофической - ударная группировка немцев вышла в тыл войскам Юго-Западного и Южного фронтов. Ставка ВГК приказала прекратить наступление на Харьков и повернуть главные силы барвенковской ударной группировки против армейской группы Клейста. Было, однако, уже поздно. Войска фронта с большими потерями были вынуждены отходить за реку Оскол, пытаясь закрепиться на тыловых рубежах. Стремительное продвижение войск противника, сдавливавших горловину Барвенковского выступа, вынудило в срочном порядке эвакуировать авиачасти, базировавшиеся на аэродромах внутри выступа. В большинстве полков эвакуация прошла организованно и без потерь. Определенную сложность представляла эвакуация неисправных самолетов. Чаще всего такие машины приходилось просто уничтожать ввиду невозможности их быстрого ремонта и отсутствия необходимых запчастей. При эвакуации 288-го ББАП на новую площадку возле Старобельска, на аэродроме Александровка оставались два неисправных Су-2. На самолете Павла Усачева был неисправен мотор, а Су-2 П.Ромашкина был разбит при бомбардировке аэродрома. Менее чем за сутки техникам полка удалось переставить уцелевший двигатель с разбитого Су-2 на самолет Усачева. Работа усложнялась отсутствием необходимых подъемных средств и спешкой, но один из ДВУХ бомбардировщиков был возвращен в строй и перелетел на новый аэродром. Но не везде ситуация, сложившаяся 19 мая, позволяла выполнить организованную эвакуацию людей и техники. С аэродрома Марьевка самолетам приходилось взлетать буквально под огнем противника. На аэродроме были брошены два Як-1 296-го НАП и два ЛаГГ-3 181-го и 23-го ИАП. Практически весь наземный состав полков остался в окружении, и лишь немногим удалось пробиться к своим. После взлета с аэродрома пропал без вести зам. комэска 23-го ИАП к-н В.Басов, а буквально за день до этого полк потерял своего командира, м-ра Алферова, сбитого истребителями противника при перелете на УТИ-4. В тот же самый день при перелете на УТИ-4 в районе Камышевахи пропал без вести командир звена 146-го ИАП л-т Иван Пимкин, который, предположительно, сел на территории противника. Реальная угроза окружения обострила хроническую “десантофобию” в войсках. Страх, порожденный опасностью высадки немецких десантов на фронтовые и тыловые аэродромы, нарастал с каждым днем. 19 мая в районе Бригадировки пехотинцами был убит старший техник л-т Иван Николаев из 146-го ИАП, которого солдаты приняли за немецкого десантника. В этот же день командир звена 146-го ИАП, л-т Василий Дрожинский, был сбит над аэродромом Славяно-Сербск, а в районе Шевченково погиб в бою командир эскадрильи 512-го ИАП, к-н Владимир Ефремов (9394,16).</w:t>
      </w:r>
    </w:p>
    <w:p w14:paraId="523B53F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10250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начались оборонительные бои партизан южного массива Брянских лесов против крупной карательной экспедиции, в которой участвовало 5 пехотных дивизий, полицейские части, 120 танков и авиация (3186).</w:t>
      </w:r>
    </w:p>
    <w:p w14:paraId="0B6A88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030DA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вышло Постановление ГКО № 1773 О повышении окладов содержания начальникам и военным комиссарам пограничных отрядов войск НКВД. (7035, 175).</w:t>
      </w:r>
    </w:p>
    <w:p w14:paraId="3D2FD59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223A2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вышло Постановление ГКО № 1784 О мероприятиях по укреплению управлений тыла фронтов, армий, корпусов и дивизий. РГАНИР, Фонд ГКО, д. 35, лл. 233 (11012).</w:t>
      </w:r>
    </w:p>
    <w:p w14:paraId="0F1ECA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420DD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201985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288F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года было открыто сквозное движение по каналу Москва - Волга. Полностью восстановление канала было завершено в 1943 году (11716).</w:t>
      </w:r>
    </w:p>
    <w:p w14:paraId="450AF20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F376C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19 мая</w:t>
      </w:r>
      <w:r w:rsidRPr="008127F8">
        <w:rPr>
          <w:rFonts w:ascii="Times New Roman" w:hAnsi="Times New Roman"/>
          <w:color w:val="000000" w:themeColor="text1"/>
          <w:sz w:val="16"/>
          <w:szCs w:val="16"/>
        </w:rPr>
        <w:t xml:space="preserve"> в 1942 году произведено переименование немецкоязычных населенных пунктов бывшей АССР Немцев Поволжья (14896).</w:t>
      </w:r>
    </w:p>
    <w:p w14:paraId="4A202BF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F42CE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50FC2B0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0AAF6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в 18:40 из Москвы в США через Англию на ТБ-7 (Э.К.Пуссеп) вылетела правительственная делегация во главе с В.М.М. (3398,187).</w:t>
      </w:r>
    </w:p>
    <w:p w14:paraId="35F743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EA493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на 19 мая 1942 года состоялся второй старт из Москвы, теперь уже с конечным пунктом на территории США и с советской делегацией, возглавляемой Вячеславом Молотовым. Командиром корабля являлся Эндель Пусэп, вторым пилотом - Владимир Обухов, штурманы, бортмеханики и воздушные стрелки были прежние. По прибытию на уже знакомый аэродром Ти- линг в Шотландии с корабля для снижения полетного веса сняли бронеспинки и броне- плиты, для бортовых пушек и пулеметов оставили по одному комплекту боезапаса. Дополнительно самолет оснастили двумя надувными лодками (клипперботами), а всех членов экипажа и пассажиров снабдили надувными спасательными жилетами.</w:t>
      </w:r>
    </w:p>
    <w:p w14:paraId="5C0863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Перелет в Вашингтон сопровождался ожиданием хорошей погоды еще на двух промежуточных посадках, сделанных в Рейкьявике (Исландия) и на канадской авиабазе Гус-Бей.</w:t>
      </w:r>
    </w:p>
    <w:p w14:paraId="48D0BF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Описание перелета в США впервые достаточно подробно в 1945 г. дал штурман Штепенко ("Особое задание"). Спустя тридцать лет историю с перелетом обстоятельно рассказал в своей книге "Тревожное небо" Эндель Карлович Пусэп. Хотя его вариант повествования был написан явно под влиянием текста Штепенко, однако был </w:t>
      </w:r>
      <w:r w:rsidRPr="008127F8">
        <w:rPr>
          <w:rFonts w:ascii="Times New Roman" w:hAnsi="Times New Roman"/>
          <w:color w:val="000000" w:themeColor="text1"/>
          <w:sz w:val="16"/>
          <w:szCs w:val="16"/>
        </w:rPr>
        <w:lastRenderedPageBreak/>
        <w:t>насыщен многочисленными подробностями, освобожденными от цензуры 1940-х годов. Из этого интересного и поучительного описания перелета один эпизод достоин того, чтобы привести его полностью. Во время промежуточной посадки в Рейкьявике майор Пусэп совершенно случайно разговорился в баре с американским летчиком (он описал его как полковника Арнольда), который рассказал ему о возможных туманах в районе Ньюфауленда:</w:t>
      </w:r>
    </w:p>
    <w:p w14:paraId="0B549C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"Помолчали. Покурили. Выпили еще пива. Потом Арнольд, порывшись в своем кар- тодержателе, вытащил еще раз свою полетную карту. Разложил ее на столе и показал пальцем на нанесенный от руки красный кружок южнее озера Медвилл, находящегося на Лабрадорском полуострове.</w:t>
      </w:r>
    </w:p>
    <w:p w14:paraId="47FEA4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Гус-Бей. Аэродром. Хотя он и далеко от Ньюфаундленда, при случае может пригодиться. Правда, сейчас там готова только одна полоса, но длина ее - 5820 футов - вполне достаточна для вашего самолета. Есть там и бензин и масло. Есть также спальные мешки, консервы и горячий кофе. Ну, и виски - тоже, - закончил он улыбаясь.</w:t>
      </w:r>
    </w:p>
    <w:p w14:paraId="0EF6B5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Допив пиво и поблагодарив доброжелательного американского коллегу за приятную беседу, я поспешил к себе. Разыскал свою карту и, найдя там озеро Медвилл, поставил южнее его кружок. За этим занятием застали меня возвратившиеся из клуба штурманы.</w:t>
      </w:r>
    </w:p>
    <w:p w14:paraId="29AC28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Что ты там колдуешь? - поинтересовался Романов.</w:t>
      </w:r>
    </w:p>
    <w:p w14:paraId="4CA4D1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Так, ничего... Изучаю маршрут полета.</w:t>
      </w:r>
    </w:p>
    <w:p w14:paraId="6A09D8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Что его изучать, - усмехнулся Штепенко, - вода и есть вода.</w:t>
      </w:r>
    </w:p>
    <w:p w14:paraId="16B3A75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Штурманы начали пересказывать виденную кинокартину.</w:t>
      </w:r>
    </w:p>
    <w:p w14:paraId="0527D5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А я познакомился с экипажем "Либерейтора", - сказал я, не слушая рассказчиков.</w:t>
      </w:r>
    </w:p>
    <w:p w14:paraId="643B423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Тоже мне новость! - сдвинул брови Штепенко. - Мы их встретим еше немало.</w:t>
      </w:r>
    </w:p>
    <w:p w14:paraId="506882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Выпил пару кружек пива ...</w:t>
      </w:r>
    </w:p>
    <w:p w14:paraId="5463B47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Это еше куда ни шло, - одобрил Романов.</w:t>
      </w:r>
    </w:p>
    <w:p w14:paraId="100EB0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 приобрел запасной аэродром, - выложил я главный козырь.</w:t>
      </w:r>
    </w:p>
    <w:p w14:paraId="1E8ED5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Оборонительное вооружение Пе-8 вызывало особый интерес у английских и американских военных. По рассказу наших летчиков министр обороны США Стимсон при осмотре советского самолета в Вашингтоне первым делом на ощупь определил калибр кормовой пушки</w:t>
      </w:r>
    </w:p>
    <w:p w14:paraId="68A7A4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Что ты говоришь? Какой аэродром? - сразу оживились штурманы.</w:t>
      </w:r>
    </w:p>
    <w:p w14:paraId="024FBFB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На Лабрадорском полуострове. Гус- Бей. Пока еше строится...</w:t>
      </w:r>
    </w:p>
    <w:p w14:paraId="487A4E0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Штепенко и Романов развернули большую карту и нанесли мое "приобретение" по всем правилам на нее.</w:t>
      </w:r>
    </w:p>
    <w:p w14:paraId="17115DF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Ты гляди! - удивился Штепенко - тут даже какое-то местечко есть. Так и называется: Гус-Бей!".</w:t>
      </w:r>
    </w:p>
    <w:p w14:paraId="104F50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Уже на подходе к материку назначенный к посадке аэродром Гандер действительно оказался закрыт туманом, поэтому неожиданно подсказанный американским летчиком запасной аэродром для экипажа Пе-8 оказался как нельзя кстати:</w:t>
      </w:r>
    </w:p>
    <w:p w14:paraId="4DCD7B8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"Впереди по курсу показалась просека, вырубленная в ельнике в виде громадного почти равнобедренного треугольника. Основанием его служила длинная черная полоса, а внутри треугольника желтели свеже- срубленные деревянные постройки.</w:t>
      </w:r>
    </w:p>
    <w:p w14:paraId="5F08D5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Приготовиться к посадке, выпустить шасси! Борттехники улыбаются. Им почти ничего не видно. Раз дана команда выпускать колеса, стало быть впереди твердая земля, а не тундровые топи ...</w:t>
      </w:r>
    </w:p>
    <w:p w14:paraId="70F8C8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Определив направление ветра по дыму, круто иду на посадку. Крутиться некогда, с датьнего конца полосы уже наползает туман! Планирую против ветра. Еше издали видно, что полоса тут значительно уже, чем в Рейкьявике или Прествике. Выдерживаю корабль над асфальтом, вижу, как рядом с консолью мелькают вершины малорослых елей. Сели благополучно, но уже в конце пробега нас мгновенно окутывает густой туман. Меня он уже не тревожит. "Большая лужа" осталась позади, под нами твердый асфальт. Надавив на тормоза, останавливаю корабль.</w:t>
      </w:r>
    </w:p>
    <w:p w14:paraId="13223B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...Вокруг нас - непроглядный туман. Метрах в двадцати угадывается опушка ельника. К самолету подходят люди. Опускаюсь и я вниз и... не верю ушам своим: встречающие нас говорят на русском языке! Куда это мы попали? Вдруг это наша советская Арктика? Но все быстро выясняется. Мы в Гус- Бее.</w:t>
      </w:r>
    </w:p>
    <w:p w14:paraId="234DDF3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Люди вокруг нас, рабочие, строящие аэродром, прибыли сюда с Аляски. Это потомки тех русских, что поселились на Аляске в середине XIX столетия, когда Аляска еще принадлежала России.</w:t>
      </w:r>
    </w:p>
    <w:p w14:paraId="7D794A6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...Офицеры местного гарнизона ничего не знали об этом полете и были буквально ошеломлены, узнав, что на нашем самолете прилетел нарком иностранных дел Советского Союза "мистер Молотофф". Начальник гарнизона распорядился снабдить нас горючим, смазочным и всем необходимым для дальнейшего полета".</w:t>
      </w:r>
    </w:p>
    <w:p w14:paraId="312809D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второй половине дня 29 мая 1942 г. Пе- 8 №42066 благополучно доставил правительственную делегацию во главе с Вячеславом Молотовым в Вашингтон. После проведения переговоров, 4 июня боевая машина с пассажирами на борту стартовала в обратный путь и благополучно вернулась в Москву. Приземление состоялось на Центральном аэродроме. За выполнение этого полета весь экипаж бомбардировщика был удостоен боевых наград. Командир корабля Э.К.Пусэп, штурманы А.П.Штепенко и С.М.Романов были удостоены звания Героев Советского Союза. Второй пилот В.Обухов, борттехники А.Я.Золотарев и В.И.Дмитриев были награждены орденами Ленина.</w:t>
      </w:r>
    </w:p>
    <w:p w14:paraId="680E4E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Перелет советской делегации во главе с В.М.Молотовым в США состоялся на стандартном бомбардировщике Пе-8. Доработки самолета были минимальными и касались в основном установки дополнительного кислородного оборудования для новых членов экипажа. Согласно воспоминаниям участников перелета, мягкие пассажирские сидения вообще установили во время промежуточной посадки в Шотландии. Впрочем, это было единственное усовершенствование. При температуре за бортом - 40°С в импровизированном салоне было также холодно, поэтому пассажирам необычного рейса пришлось облачиться в теплые меховые комбинезоны. Понятно, что в будущем для перевозки высокопоставленных делегаций требовалось либо найти самолеты с комфортабельными кабинами, либо произвести необходимую доработку имеющихся боевых кораблей.</w:t>
      </w:r>
    </w:p>
    <w:p w14:paraId="07E2A25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Дальнейшая судьба "американского" самолета оказалась короткой. В итоговой сводке о состояния материальной части в 45-й авиадивизии за 1942-й год указывалось, что "По состоянию на 1 января 1943 г. по причине отказа и возникновения пожара на АМ-35А потерпели аварию и сгорели 3 самолета: №42027, 42066, 42068".</w:t>
      </w:r>
    </w:p>
    <w:p w14:paraId="1C7A53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Пе-8 №42066 с четырьмя моторами АМ-35А был списан в расход 14 ноября 1942 г. на основании технического акта 45-й аддд за №00653 от 16 октября 1942 г. и соответствующего инспекторского свидетельства (12025).</w:t>
      </w:r>
    </w:p>
    <w:p w14:paraId="1BDC47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A4C03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Вечером 19 мая 1942 на аэродром в Раменском прибыли пассажиры. Среди них был В.М. Молотов, два человека из его личной охраны, военный представитель генерал-майор Ф.М. Исаев и две женщины. Всем пассажирам подобрали и помогли надеть меховые комбинезоны и унты, запретили спать и даже дремать в поле</w:t>
      </w:r>
      <w:r w:rsidRPr="008127F8">
        <w:rPr>
          <w:rFonts w:ascii="Times New Roman" w:hAnsi="Times New Roman"/>
          <w:color w:val="000000" w:themeColor="text1"/>
          <w:sz w:val="16"/>
          <w:szCs w:val="16"/>
        </w:rPr>
        <w:softHyphen/>
        <w:t>те, чтобы при надетой кислородной маске случайно не перегнуть подающую кислород резиновую трубку, что было чревато потерей сознания и смертью от гипоксии. На всякий случай Э.К. Пусэп приказал стрелку цент</w:t>
      </w:r>
      <w:r w:rsidRPr="008127F8">
        <w:rPr>
          <w:rFonts w:ascii="Times New Roman" w:hAnsi="Times New Roman"/>
          <w:color w:val="000000" w:themeColor="text1"/>
          <w:sz w:val="16"/>
          <w:szCs w:val="16"/>
        </w:rPr>
        <w:softHyphen/>
        <w:t>ральной стрелковой точки Д.М. Кожину каж</w:t>
      </w:r>
      <w:r w:rsidRPr="008127F8">
        <w:rPr>
          <w:rFonts w:ascii="Times New Roman" w:hAnsi="Times New Roman"/>
          <w:color w:val="000000" w:themeColor="text1"/>
          <w:sz w:val="16"/>
          <w:szCs w:val="16"/>
        </w:rPr>
        <w:softHyphen/>
        <w:t>дые 15 минут проверять состояние пассажи</w:t>
      </w:r>
      <w:r w:rsidRPr="008127F8">
        <w:rPr>
          <w:rFonts w:ascii="Times New Roman" w:hAnsi="Times New Roman"/>
          <w:color w:val="000000" w:themeColor="text1"/>
          <w:sz w:val="16"/>
          <w:szCs w:val="16"/>
        </w:rPr>
        <w:softHyphen/>
        <w:t>ров.</w:t>
      </w:r>
    </w:p>
    <w:p w14:paraId="076E5FB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18 часов 55 минут самолет с пассажира</w:t>
      </w:r>
      <w:r w:rsidRPr="008127F8">
        <w:rPr>
          <w:rFonts w:ascii="Times New Roman" w:hAnsi="Times New Roman"/>
          <w:color w:val="000000" w:themeColor="text1"/>
          <w:sz w:val="16"/>
          <w:szCs w:val="16"/>
        </w:rPr>
        <w:softHyphen/>
        <w:t>ми взлетел и взял курс на Англию. Линию фронта пролетели на максимальной высоте. Вскоре попали в грозовой фронт, машину трясло. В пути одной из пассажирок стало плохо, и она пыталась снять кислородную маску, но ей это не позволили сделать. 20 мая в 4 часа 55 минут после 10 часов 00 минут полета, преодолев 2700 километров, ТБ-7 приземлился на уже знакомый аэродром Тилинг, который советские летчики покинули 18 дней назад (19936).</w:t>
      </w:r>
    </w:p>
    <w:p w14:paraId="305A944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DF6FC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May 19, 1942 - Oppenheimer write Lawrence that the atomic bomb problem was solved in principle and that six good physicists should have the details mostly worked out in six months. His optimism is based on the belief that gun assembly would suffice for both uranium and plutonium (1039).</w:t>
      </w:r>
    </w:p>
    <w:p w14:paraId="272F4D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CC36AA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г. начался перелет правительственной делегации В.М.Молотова через линию фронта в Лондон и Вашингтон на бомбардировщике Пе-8 (6395).</w:t>
      </w:r>
    </w:p>
    <w:p w14:paraId="4FDF076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2B84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3279E3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28C1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Оппенгеймер написал Лоуренсу, что в принципе атомная проблема решена и для выяснения деталей потребуется 6 физиков на полгода (1039).</w:t>
      </w:r>
    </w:p>
    <w:p w14:paraId="7B97082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1FD11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1942 американское правительство объявило, что 650 тысяч американских призывников абсолютно неграмотны и на этом основании не могут служить в армии (4962).</w:t>
      </w:r>
    </w:p>
    <w:p w14:paraId="1BA68B4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39BD6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452391A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98665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20 мая 1942 20 двухместных самолетов Ил-2 АМ-38 с двойным управлением, но без воору</w:t>
      </w:r>
      <w:r w:rsidRPr="008127F8">
        <w:rPr>
          <w:rFonts w:ascii="Times New Roman" w:hAnsi="Times New Roman"/>
          <w:color w:val="000000" w:themeColor="text1"/>
          <w:sz w:val="16"/>
          <w:szCs w:val="16"/>
        </w:rPr>
        <w:softHyphen/>
        <w:t>жения, изготовленных на заводе № 18, были сданы военным «по бою» как учебные и направлены в части 1 -и запасной авиабригады для обучения летного состава маршевых авиаполков. Здесь стоит сказать, что в запасных и учебно-тренировоч</w:t>
      </w:r>
      <w:r w:rsidRPr="008127F8">
        <w:rPr>
          <w:rFonts w:ascii="Times New Roman" w:hAnsi="Times New Roman"/>
          <w:color w:val="000000" w:themeColor="text1"/>
          <w:sz w:val="16"/>
          <w:szCs w:val="16"/>
        </w:rPr>
        <w:softHyphen/>
        <w:t>ных авиаполках в конструкцию УИл-2 вносились изменения, улучшающие эксплуатацию самолета в условиях интенсивного использования для полетов. В частности, при выполнении многочисленных взлетов и посадок в течение дня штатная сис</w:t>
      </w:r>
      <w:r w:rsidRPr="008127F8">
        <w:rPr>
          <w:rFonts w:ascii="Times New Roman" w:hAnsi="Times New Roman"/>
          <w:color w:val="000000" w:themeColor="text1"/>
          <w:sz w:val="16"/>
          <w:szCs w:val="16"/>
        </w:rPr>
        <w:softHyphen/>
        <w:t>тема охлаждения не справлялась (особенно летом) — вода ки</w:t>
      </w:r>
      <w:r w:rsidRPr="008127F8">
        <w:rPr>
          <w:rFonts w:ascii="Times New Roman" w:hAnsi="Times New Roman"/>
          <w:color w:val="000000" w:themeColor="text1"/>
          <w:sz w:val="16"/>
          <w:szCs w:val="16"/>
        </w:rPr>
        <w:softHyphen/>
        <w:t>пела, мотор длительное время работал в режиме предельных температур, вследствие чего быстро изнашивался и выходил из строя. Поэтому местные умельцы монтировали на самолет второй водорадиатор и с ним летали. Результаты были хоро</w:t>
      </w:r>
      <w:r w:rsidRPr="008127F8">
        <w:rPr>
          <w:rFonts w:ascii="Times New Roman" w:hAnsi="Times New Roman"/>
          <w:color w:val="000000" w:themeColor="text1"/>
          <w:sz w:val="16"/>
          <w:szCs w:val="16"/>
        </w:rPr>
        <w:softHyphen/>
        <w:t xml:space="preserve">шими. Тем не менее в серии эта доработка внедрена не была, несмотря на требования военных </w:t>
      </w:r>
      <w:r w:rsidRPr="008127F8">
        <w:rPr>
          <w:rFonts w:ascii="Times New Roman" w:hAnsi="Times New Roman"/>
          <w:color w:val="000000" w:themeColor="text1"/>
          <w:sz w:val="16"/>
          <w:szCs w:val="16"/>
        </w:rPr>
        <w:lastRenderedPageBreak/>
        <w:t>(11474,284).</w:t>
      </w:r>
    </w:p>
    <w:p w14:paraId="719B4FA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4AB18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мая 1942 был составлен акт на аварию Ил-2 N 2914 на ст. Безымянка Куйбышевской обл., происшедшую 16 мая в 14:00 из-за изменения тяги винта и нерасторопности л Волохова (2132).</w:t>
      </w:r>
    </w:p>
    <w:p w14:paraId="4289458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3E5D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мая 1942 вышел приказ НКАП N 392ас:</w:t>
      </w:r>
    </w:p>
    <w:p w14:paraId="1E9EC68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пригодности авиавинтов АВ-5Л-124 вместо винтов ВИШ-22П на самолете Ил-2:</w:t>
      </w:r>
    </w:p>
    <w:p w14:paraId="4C32B2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Провести на заводе 30 летные испытания винта АВ-5Л-124 на самолете Ил-2 со сроком окончания 24 мая 1942 (1561,14).</w:t>
      </w:r>
    </w:p>
    <w:p w14:paraId="4FED74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AB97F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мая 1942 вышел приказ НКАП N 390с "О переводе производства самолетов ЛаГГ-3 и Як-7 на форсированные М-105ПФ":</w:t>
      </w:r>
    </w:p>
    <w:p w14:paraId="48F1BFD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"ГКО постановлением от 19 мая N ГОКО-1789сс обязал НКАП перевести заводы 21, 31 в производстве ЛаГГ-3, а заводы 153 и 82 в производстве Як-7 на форсированные М-105ПФ</w:t>
      </w:r>
    </w:p>
    <w:p w14:paraId="7D595E2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исполнение этого постановления:</w:t>
      </w:r>
    </w:p>
    <w:p w14:paraId="687E60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И.о. нач. ПГУ Шиц и директорам заводов 21 Гостинцеву и 31 Агаджанову перевести заводы в производстве ЛаГГ-3 на формированные М-105ПФ в течение 23-25 мая, но не позже 25 мая с.г. при обязательной постановке насадок на туннели водорадиаторов.</w:t>
      </w:r>
    </w:p>
    <w:p w14:paraId="53584A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Директорам заводов 21 и 31 восстановить на самолетах ЛаГГ-3 крыльевые дополнительные топливные баки вместо подвесных баков, устанавливаемых сейчас.</w:t>
      </w:r>
    </w:p>
    <w:p w14:paraId="7D2616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И.о. нач. ПГУ Шиц и директорам заводов 82 Бугрову и 153 Романову перевести заводы в производстве Як-7 на формированные М-105ПФ не позднее 1 июня.</w:t>
      </w:r>
    </w:p>
    <w:p w14:paraId="393739E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наркома и ГК А.С.Я. и директорам заводов 153 и 82 обеспечить улучшение обдува радиаторов при установке М-105ПФ (форсированных) на самолеты Як-7.</w:t>
      </w:r>
    </w:p>
    <w:p w14:paraId="16B41D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И.о. нач. ПГУ Шиц и директорам завода 292 Левину до окончания испытаний самолета Як-1 выпускать Як-1 с нефорсированным М-105П (1562,66).</w:t>
      </w:r>
    </w:p>
    <w:p w14:paraId="16EE73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D30A5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мая 1942 вышел приказ НКАП N 391сс "О выпуске самолетов ЛаГГ-3 на заводе 21"</w:t>
      </w:r>
    </w:p>
    <w:p w14:paraId="3F406E9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исполнение постановления ГКО от 19 мая 1942 N ГОКО-1786сс:</w:t>
      </w:r>
    </w:p>
    <w:p w14:paraId="25DF7F8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И.о. нач. ПГУ Шиц, директору завода 21 Гостинцеву и ГК С.А.Л. немедленно приступить к выпуску самолетов ЛаГГ-3 с М-82 сверх программы по самолетам ЛаГГ-3 с М-105ПФ и в течение одного месяца облегчить управление самолетом ЛаГГ-3 с М-82.</w:t>
      </w:r>
    </w:p>
    <w:p w14:paraId="0A2C54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Директору завода 21 Гостинцеву в изменение приказов N 343сс от 4 мая 1942 265ас от 8 апреля 1942, 258сс от 7 апреля 1942, 213сс от 16 марта 1942, 211сс от 16 марта 1942, 185сс от 9 марта 1942 в части, касающейся постановки производства самолетов Як-7 на заводе 21 - сохранить на заводе 21 производство самолетов ЛаГГ-3 (1561,3).</w:t>
      </w:r>
    </w:p>
    <w:p w14:paraId="61BB58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51873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20 мая</w:t>
      </w:r>
      <w:r w:rsidRPr="008127F8">
        <w:rPr>
          <w:rFonts w:ascii="Times New Roman" w:hAnsi="Times New Roman"/>
          <w:color w:val="000000" w:themeColor="text1"/>
          <w:sz w:val="16"/>
          <w:szCs w:val="16"/>
        </w:rPr>
        <w:t xml:space="preserve"> в 1942 году приказ НКАП "О выпуске самолетов «ЛаГГ-3» на заводе № 21", требовавший немедленно приступить к выпуску «ЛаГГ-3» с мотором «М-82» сверх программы по самолетам «ЛаГГ-3» с мотором 2М-105ПФ» и в течение месяца облегчить управление новой машиной. Этим же документом отменялись предыдущие распоряжения, и директору завода Гостинцеву приказывалось сохранить выпуск «ЛаГГ-3» на заводе в Горьком, где успели сдать заказчику только пять истребителей «Як-7» (14897).</w:t>
      </w:r>
    </w:p>
    <w:p w14:paraId="31BD811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28CBBE8"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мая 1942 года постановление ГКО было продублирован приказом НКАП № 391сс «О производстве самолета ЛаГГ-3 на заводе № 21», который отменял шесть ранее вышедших приказов о развертывании на предприятии выпуска Як-7 и переводе ОКБ Лавочкина в Тбилиси. В тоже время он вменял в обязанность начальнику первого главного управления НКАП, директору завода Гостинцеву и главному конструктору Лавочкину «немедленно приступить к изготовлению ЛаГГ-3 с М-82». Кроме того, один месяц был отпущен на улучшение управляемости ЛаГГ-3 М-82. Вскоре, 6 июня, на заводе № 21 состоялась встреча всех ответственных лиц. В ее ходе была оценена унификация конструкции ЛаГГ-3 с моторами М-82 и М-105. Оказалось, что из 36 подсборок лишь 6 не требовали доработки — шасси, щитки, сиденье пилота, инспекционные лючки и радиооборудование. В конструкцию всех остальных элементов необходимо было внести более или менее серьезные изменения. Установка звездообразного мотора требовала создания новой моторамы, изменения положения вооружения, новой масло- и бензосистемы, панели приборов и органов управления силовой установкой. Заново предстояло изготавливать капот и выхлопную систему, состоящую из патрубков сложной формы.</w:t>
      </w:r>
    </w:p>
    <w:p w14:paraId="1C119C09"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улучшения летных характеристик внесли доработки в конструкцию хвостового оперения, установили предкрылки и изменили форму элеронов (23547).</w:t>
      </w:r>
    </w:p>
    <w:p w14:paraId="6A9BB658" w14:textId="77777777" w:rsidR="00AF6A30" w:rsidRPr="008A2E5A" w:rsidRDefault="00AF6A30" w:rsidP="00AF6A30">
      <w:pPr>
        <w:spacing w:after="0" w:line="240" w:lineRule="auto"/>
        <w:jc w:val="both"/>
        <w:rPr>
          <w:rFonts w:ascii="Times New Roman" w:hAnsi="Times New Roman"/>
          <w:color w:val="0070C0"/>
          <w:sz w:val="16"/>
          <w:szCs w:val="16"/>
        </w:rPr>
      </w:pPr>
    </w:p>
    <w:p w14:paraId="4E0DC1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мая 1942 вышел приказ НКАП N 392сс "О вооружении самолета Як-1":</w:t>
      </w:r>
    </w:p>
    <w:p w14:paraId="00BF28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ГКО постановлением от 19 мая 1942 N ГОКО-1788сс отменил п. 6 постановления ГКО от 10 мая 1942 N 1721сс о выпуске самолетов Як-1 с одной пушкой ШВАК без ШКАС и обязал НКАП впредь выпускать самолеты Як-1 с пушкой ШВАК и двумя ШКАС и с деревянным оперением.</w:t>
      </w:r>
    </w:p>
    <w:p w14:paraId="407182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исполнение этого постановления ГКО и в изменение п. 4 приказа НКАП N 370а от 12 мая 1942:</w:t>
      </w:r>
    </w:p>
    <w:p w14:paraId="5DAEE0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Директору завода 292 Левину самолеты Як-1 впредь выпускать с пушкой ШВАК, 2 ШКАС и деревянным оперением (1561,8).</w:t>
      </w:r>
    </w:p>
    <w:p w14:paraId="18E9148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C660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мая 1942 вышел приказ управления ВВС и НКАП N 081/396с:</w:t>
      </w:r>
    </w:p>
    <w:p w14:paraId="1564A1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определения ЛД серийных самолетов ЛаГГ-3, Як-1 и Як-7 с М-105П с нормальным наддувом 910 мм рс и М-105ПФ с повышенным наддувом 1050 мм рс, НИИ ВВС совместно с ЛИИ провести контрольные летные испытания (1561,34).</w:t>
      </w:r>
    </w:p>
    <w:p w14:paraId="508DB4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67EDC7"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мая 1942 г. объединенным приказом ГУ ВВС КА и наркома авиапромышленности № 081/396с на аэродроме Чкаловская ор</w:t>
      </w:r>
      <w:r w:rsidRPr="008A2E5A">
        <w:rPr>
          <w:rFonts w:ascii="Times New Roman" w:hAnsi="Times New Roman"/>
          <w:color w:val="0070C0"/>
          <w:sz w:val="16"/>
          <w:szCs w:val="16"/>
        </w:rPr>
        <w:softHyphen/>
        <w:t>ганизовывались совместные ЛИИ НКАП и НИИ ВВС КА сравнительные испытания истребителей ЛаГГ-3, Як-1 и Як-7Б. По программе испытаний полеты должны были производиться с нормальным полетным весом, со сняты</w:t>
      </w:r>
      <w:r w:rsidRPr="008A2E5A">
        <w:rPr>
          <w:rFonts w:ascii="Times New Roman" w:hAnsi="Times New Roman"/>
          <w:color w:val="0070C0"/>
          <w:sz w:val="16"/>
          <w:szCs w:val="16"/>
        </w:rPr>
        <w:softHyphen/>
        <w:t>ми РО-82 и ухватами бомбодержателей, с закрытым фо</w:t>
      </w:r>
      <w:r w:rsidRPr="008A2E5A">
        <w:rPr>
          <w:rFonts w:ascii="Times New Roman" w:hAnsi="Times New Roman"/>
          <w:color w:val="0070C0"/>
          <w:sz w:val="16"/>
          <w:szCs w:val="16"/>
        </w:rPr>
        <w:softHyphen/>
        <w:t>нарем кабины при двух значениях наддува (910 и 1050 мм рт. ст.) и двух значениях оборотов мотора (2550 и 2700 об/ мин). Горизонтальные площадки по высотам следовало выполнять в течение пяти минут с заслонками водо- и маслорадиаторов установленными по потоку и при началь</w:t>
      </w:r>
      <w:r w:rsidRPr="008A2E5A">
        <w:rPr>
          <w:rFonts w:ascii="Times New Roman" w:hAnsi="Times New Roman"/>
          <w:color w:val="0070C0"/>
          <w:sz w:val="16"/>
          <w:szCs w:val="16"/>
        </w:rPr>
        <w:softHyphen/>
        <w:t>ной температуре воды 85"С. Срок окончания определения летных данных всех типов истребителей устанавливался 25 мая 1942 г.</w:t>
      </w:r>
    </w:p>
    <w:p w14:paraId="3A19EB0C"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с новым мотором показали, что предложен</w:t>
      </w:r>
      <w:r w:rsidRPr="008A2E5A">
        <w:rPr>
          <w:rFonts w:ascii="Times New Roman" w:hAnsi="Times New Roman"/>
          <w:color w:val="0070C0"/>
          <w:sz w:val="16"/>
          <w:szCs w:val="16"/>
        </w:rPr>
        <w:softHyphen/>
        <w:t>ные ОКБ А.С. Яковлева мероприятия по улучшению охла</w:t>
      </w:r>
      <w:r w:rsidRPr="008A2E5A">
        <w:rPr>
          <w:rFonts w:ascii="Times New Roman" w:hAnsi="Times New Roman"/>
          <w:color w:val="0070C0"/>
          <w:sz w:val="16"/>
          <w:szCs w:val="16"/>
        </w:rPr>
        <w:softHyphen/>
        <w:t>ждения водорадиатора, реализованные на машине Як-7Б № 2202, произвели положительный эффект: температуры воды и масла хотя и были близки, но не выходили за пре</w:t>
      </w:r>
      <w:r w:rsidRPr="008A2E5A">
        <w:rPr>
          <w:rFonts w:ascii="Times New Roman" w:hAnsi="Times New Roman"/>
          <w:color w:val="0070C0"/>
          <w:sz w:val="16"/>
          <w:szCs w:val="16"/>
        </w:rPr>
        <w:softHyphen/>
        <w:t>делы максимально допустимых. В процессе испытаний провели учебные воздушные бои истребителей с моди</w:t>
      </w:r>
      <w:r w:rsidRPr="008A2E5A">
        <w:rPr>
          <w:rFonts w:ascii="Times New Roman" w:hAnsi="Times New Roman"/>
          <w:color w:val="0070C0"/>
          <w:sz w:val="16"/>
          <w:szCs w:val="16"/>
        </w:rPr>
        <w:softHyphen/>
        <w:t>фицированным мотором с трофейным истребителем Bf 109F в диапазоне высот ниже 4000 м. Если ЛаГГ-3 и Як- 1, по оценкам летчиков-испытателей, уступали немец</w:t>
      </w:r>
      <w:r w:rsidRPr="008A2E5A">
        <w:rPr>
          <w:rFonts w:ascii="Times New Roman" w:hAnsi="Times New Roman"/>
          <w:color w:val="0070C0"/>
          <w:sz w:val="16"/>
          <w:szCs w:val="16"/>
        </w:rPr>
        <w:softHyphen/>
        <w:t>кой машине в маневренных качествах на высотах ниже 3000 м, то Як-7Б с мотором М-105ПФ являлся практиче</w:t>
      </w:r>
      <w:r w:rsidRPr="008A2E5A">
        <w:rPr>
          <w:rFonts w:ascii="Times New Roman" w:hAnsi="Times New Roman"/>
          <w:color w:val="0070C0"/>
          <w:sz w:val="16"/>
          <w:szCs w:val="16"/>
        </w:rPr>
        <w:softHyphen/>
        <w:t>ски равноценным (наличие предкрылков позволяло пило</w:t>
      </w:r>
      <w:r w:rsidRPr="008A2E5A">
        <w:rPr>
          <w:rFonts w:ascii="Times New Roman" w:hAnsi="Times New Roman"/>
          <w:color w:val="0070C0"/>
          <w:sz w:val="16"/>
          <w:szCs w:val="16"/>
        </w:rPr>
        <w:softHyphen/>
        <w:t>ту Bf 109F уверенно пилотировать самолет на малых ско</w:t>
      </w:r>
      <w:r w:rsidRPr="008A2E5A">
        <w:rPr>
          <w:rFonts w:ascii="Times New Roman" w:hAnsi="Times New Roman"/>
          <w:color w:val="0070C0"/>
          <w:sz w:val="16"/>
          <w:szCs w:val="16"/>
        </w:rPr>
        <w:softHyphen/>
        <w:t>ростях, недоступных Як-7Б). Однако для эксплуатации са</w:t>
      </w:r>
      <w:r w:rsidRPr="008A2E5A">
        <w:rPr>
          <w:rFonts w:ascii="Times New Roman" w:hAnsi="Times New Roman"/>
          <w:color w:val="0070C0"/>
          <w:sz w:val="16"/>
          <w:szCs w:val="16"/>
        </w:rPr>
        <w:softHyphen/>
        <w:t>молета при температурах наружного воздуха у земли бо</w:t>
      </w:r>
      <w:r w:rsidRPr="008A2E5A">
        <w:rPr>
          <w:rFonts w:ascii="Times New Roman" w:hAnsi="Times New Roman"/>
          <w:color w:val="0070C0"/>
          <w:sz w:val="16"/>
          <w:szCs w:val="16"/>
        </w:rPr>
        <w:softHyphen/>
        <w:t>лее +24°С систему охлаждения требовалось улучшить (23381).</w:t>
      </w:r>
    </w:p>
    <w:p w14:paraId="0F5AF9AA" w14:textId="77777777" w:rsidR="00AF6A30" w:rsidRPr="008A2E5A" w:rsidRDefault="00AF6A30" w:rsidP="00AF6A30">
      <w:pPr>
        <w:spacing w:after="0" w:line="240" w:lineRule="auto"/>
        <w:jc w:val="both"/>
        <w:rPr>
          <w:rFonts w:ascii="Times New Roman" w:hAnsi="Times New Roman"/>
          <w:color w:val="0070C0"/>
          <w:sz w:val="16"/>
          <w:szCs w:val="16"/>
        </w:rPr>
      </w:pPr>
    </w:p>
    <w:p w14:paraId="6743708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20 мая</w:t>
      </w:r>
      <w:r w:rsidRPr="008127F8">
        <w:rPr>
          <w:rFonts w:ascii="Times New Roman" w:hAnsi="Times New Roman"/>
          <w:color w:val="000000" w:themeColor="text1"/>
          <w:sz w:val="16"/>
          <w:szCs w:val="16"/>
        </w:rPr>
        <w:t xml:space="preserve"> в 1942 году после Госиспытания было принято решение ГКО о переводе серийного производства с «Як-7А» на </w:t>
      </w:r>
      <w:hyperlink r:id="rId27" w:tgtFrame="_blank" w:history="1">
        <w:r w:rsidRPr="008127F8">
          <w:rPr>
            <w:rFonts w:ascii="Times New Roman" w:hAnsi="Times New Roman"/>
            <w:color w:val="000000" w:themeColor="text1"/>
            <w:sz w:val="16"/>
            <w:szCs w:val="16"/>
          </w:rPr>
          <w:t xml:space="preserve">«Як-7Б». </w:t>
        </w:r>
      </w:hyperlink>
      <w:r w:rsidRPr="008127F8">
        <w:rPr>
          <w:rFonts w:ascii="Times New Roman" w:hAnsi="Times New Roman"/>
          <w:color w:val="000000" w:themeColor="text1"/>
          <w:sz w:val="16"/>
          <w:szCs w:val="16"/>
        </w:rPr>
        <w:t>«Як-7Б М-105ПА» представлял собой дальнейшее развитие серийного «Як-7А» и отличался от него более мощным вооружением и аэродинамическими усовершенствованиями. Самолеты «Як-7Б М-105ПА» выпускались на заводе N 153 с апреля по июль 1942 г. и всего был построен 261 самолет. Эти самолеты хорошо проявили себя в боях под Сталинградом и на Кубани. Увеличение массы вооружения приводило к смещению центровки вперед и недопустимому уменьшению противокапотажного угла. Поэтому во избежание капотирования самолета с 20 мая 1942 г. в задней кабине устанавливался дополнительный бензобак, вместимостью 80 л (60 кг). Летчики были недовольны установкой такого бензобака, к тому же непротектированного, поскольку это увеличивало полетную массу и, следовательно, ухудшало летные качества самолета и, кроме того, увеличивало пожарную опасность. В период Сталинградской битвы этот бак был признан ненужным, и для облегчения его повсеместно снимали с самолетов без всяких на то указаний сверху. Официально это было санкционировано постановлением ГКО от 22 сентября и от 1 октября 1942 г (14897).</w:t>
      </w:r>
    </w:p>
    <w:p w14:paraId="214113D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8A39B7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мая 1942 года Главный инженер ВВС ВМФ разрешил авиамастерским самостоятельно изготавливать капоты, всасывающие патрубки, корзины радиаторов, щитки шасси с креплениями, каркасы фонаря и фонари, киль, рули поворота и высоты, стабилизатор и дополнительный маслобак для самолетов Як-1 (12048).</w:t>
      </w:r>
    </w:p>
    <w:p w14:paraId="178FF5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615C5F"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20 мая 1942 г. года Главный инженер ВВС ВМФ разрешил авиамастерским ВВС Краснознаменного Балтийского Флота (КБФ) самостоятельно изготавливать капоты, всасывающие патрубки, корзины радиаторов, щитки шасси с креплениями, каркасы фонаря и фонари, киль, рули поворота и высоты, стабилизатор и дополнительный маслобак для самолетов Як-1. Такой неприятный дефект, как забрызгивание маслом козырька фонаря Як-1, привел к установке в частях разнообразнейших по форме и месту крепления маслоотражательных щитков, колец, козырьков. Замена и изготовление новых деталей не всегда вызывалось отсутствием запасных. После того как промышленность перешла на выпуск мотора М-105ПФ, а находящиеся в эксплуатации М-105ПА исчерпали свой ресурс, появилась проблема замены моторов на Як-1 более ранних серий, поскольку на них стояли не соответствующие новому мотору масло- и водорадиаторы. И эта задача опять решалась установкой </w:t>
      </w:r>
      <w:r w:rsidRPr="008A2E5A">
        <w:rPr>
          <w:rFonts w:ascii="Times New Roman" w:hAnsi="Times New Roman"/>
          <w:color w:val="0070C0"/>
          <w:sz w:val="16"/>
          <w:szCs w:val="16"/>
        </w:rPr>
        <w:lastRenderedPageBreak/>
        <w:t>маслорадиатора от Як-7. В мастерских № 81 Наркомата ВМФ на эти работы была даже составлена технологическая карта в июле -августе 1943 г. По ней трудозатраты составили 523 ч 45 мин. (23451).</w:t>
      </w:r>
    </w:p>
    <w:p w14:paraId="47216F18" w14:textId="77777777" w:rsidR="00AF6A30" w:rsidRPr="008A2E5A" w:rsidRDefault="00AF6A30" w:rsidP="00AF6A30">
      <w:pPr>
        <w:spacing w:after="0" w:line="240" w:lineRule="auto"/>
        <w:jc w:val="both"/>
        <w:rPr>
          <w:rFonts w:ascii="Times New Roman" w:hAnsi="Times New Roman"/>
          <w:color w:val="0070C0"/>
          <w:sz w:val="16"/>
          <w:szCs w:val="16"/>
        </w:rPr>
      </w:pPr>
    </w:p>
    <w:p w14:paraId="08B9D9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мая 1942 в НИИ ВВС закончились испытания Пе-2 N 3/6, которые шли с 18 марта (1077,325).</w:t>
      </w:r>
    </w:p>
    <w:p w14:paraId="5CE2B0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8BA9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мая 1942 вышел приказ НКАП № 388с</w:t>
      </w:r>
    </w:p>
    <w:p w14:paraId="2BF705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 489 исключить из числа действующих з-в НКАП в виду прекращения стр-ва.</w:t>
      </w:r>
    </w:p>
    <w:p w14:paraId="3E8C06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Шахурин (1562, 55).</w:t>
      </w:r>
    </w:p>
    <w:p w14:paraId="1CF445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14EE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57FB56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2711C8"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lang w:val="en-US"/>
        </w:rPr>
        <w:t>C</w:t>
      </w:r>
      <w:r w:rsidRPr="008127F8">
        <w:rPr>
          <w:color w:val="000000" w:themeColor="text1"/>
          <w:sz w:val="16"/>
          <w:szCs w:val="16"/>
        </w:rPr>
        <w:t xml:space="preserve"> 20 по 27 мая 1942 года на Научно-исследовательском полигоне стрелкового вооружения Красной армии (НИПСВО КА) проходили полигонные испытания гранат ГУФ-800 (завод №260) и ПРГ-КД (завод №96). Граната завода №260 имела рукоятку ударного действия и корпус овальной формы, снаряжённый плавленым тротилом весом 730 г и дополнительным тетриловым детонатором весом 45 г. Несмотря на меньшее количество деталей в сравнении с РПГ-40, трудоёмкость работ по изготовлению одного изделия ГУФ-800 оказалась на 17,1 минуты больше. По бронепробиваемости граната показала несколько лучшие результаты, чем штатная граната (до 35 мм), однако главной проблемой стали отказы при работе по мягкому грунту (48%) и снегу (100%). Повторные испытания, проведённые 30 мая, не дали существенных изменений в сложившейся ситуации. Таким образом, ГУФ-800 полигонных испытаний не выдержала, а её дальнейшую доработку признали нецелесообразной.</w:t>
      </w:r>
    </w:p>
    <w:p w14:paraId="55E22063"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Представители заводов №260 и №96, чьи изделия были забракованы специалистами ГАУ, не собирались так легко сдаваться. Виновными в отказах гранат разработчики объявили взрыватели малой чувствительности, а данные в отчёте посчитали недостаточно объективными. Свои возражения они изложили в докладной записке от 25 июня 1942 года на имя народного комиссара боеприпасов Б.Л. Ванникова. Однако судьба этих проектов была предопределена, так как уже в августе в профильных конструкторских бюро началась работа над фугасными гранатами направленного действия (18876).</w:t>
      </w:r>
    </w:p>
    <w:p w14:paraId="5F016408" w14:textId="77777777" w:rsidR="007C5583" w:rsidRPr="008127F8" w:rsidRDefault="007C5583" w:rsidP="007C5583">
      <w:pPr>
        <w:pStyle w:val="af"/>
        <w:spacing w:before="0" w:after="0"/>
        <w:jc w:val="both"/>
        <w:textAlignment w:val="baseline"/>
        <w:rPr>
          <w:color w:val="000000" w:themeColor="text1"/>
          <w:sz w:val="16"/>
          <w:szCs w:val="16"/>
        </w:rPr>
      </w:pPr>
    </w:p>
    <w:p w14:paraId="5367809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20 мая 1942 г., корпуса танков производства завода № 112 стали выпускаться с приваренными к лобовому и бортовым листам отражательными планками, которые полностью перекрывали зазор между и подбашенным листом корпуса и тем самым было исключено ивание башни при обстреле. С апреля того же года, на том же заводе на бортах и лобовом листе корпуса, а также бортах башни танков устанавливаться десантные поручни (10703).</w:t>
      </w:r>
    </w:p>
    <w:p w14:paraId="44BCFA1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D3515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мая 1942 года на совещании у наркома танковой промышленности В. Малышева ГАБТУ КА потребовало снятия бесструнного крепления с производства, и сразу после этого совещания СТЗ получил приказание о прекращении выпуска танков Т-34 с данной конструкцией (12217).</w:t>
      </w:r>
    </w:p>
    <w:p w14:paraId="65E57D8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00CAF75" w14:textId="77777777" w:rsidR="007C5583" w:rsidRPr="008127F8" w:rsidRDefault="007C5583" w:rsidP="007C5583">
      <w:pPr>
        <w:pStyle w:val="af"/>
        <w:spacing w:before="0" w:after="0"/>
        <w:jc w:val="both"/>
        <w:rPr>
          <w:color w:val="000000" w:themeColor="text1"/>
          <w:sz w:val="16"/>
          <w:szCs w:val="16"/>
        </w:rPr>
      </w:pPr>
      <w:r w:rsidRPr="008127F8">
        <w:rPr>
          <w:color w:val="000000" w:themeColor="text1"/>
          <w:sz w:val="16"/>
          <w:szCs w:val="16"/>
        </w:rPr>
        <w:t>20 мая 1942 первый этап испытаний Т-45, начавшийся согласно программе, был открыт тестами со стрельбой. Была достигнута скорострельность 7–8 выстрелов в минуту  места и около 3 выстрелов в минуту с ходу. Отмечалось, что обслуживание пушки более удобно, чем в Т-60, башня стала более просторной. Правда, тяжесть башни привела к небольшому прогибу подбашенного листа. Несмотря на этот дефект, в ходе огневых испытаний все 25 выстрелов попали в мишень. На серийной машине планировалось вместо прицела ТМФП поставить штатный прицел ТОП для 45-мм танковой пушки.</w:t>
      </w:r>
    </w:p>
    <w:p w14:paraId="71B3DD10" w14:textId="77777777" w:rsidR="007C5583" w:rsidRPr="008127F8" w:rsidRDefault="007C5583" w:rsidP="007C5583">
      <w:pPr>
        <w:pStyle w:val="af"/>
        <w:spacing w:before="0" w:after="0"/>
        <w:jc w:val="both"/>
        <w:rPr>
          <w:color w:val="000000" w:themeColor="text1"/>
          <w:sz w:val="16"/>
          <w:szCs w:val="16"/>
        </w:rPr>
      </w:pPr>
      <w:r w:rsidRPr="008127F8">
        <w:rPr>
          <w:color w:val="000000" w:themeColor="text1"/>
          <w:sz w:val="16"/>
          <w:szCs w:val="16"/>
        </w:rPr>
        <w:t>Испытания пробегом проводились с 6 по 13 июня. Всего танк прошел 1505 км, из них 189 км по асфальту, 805 км по булыжнику, 410 км по щебенке и 110 км по проселочной дороге. В ходе ходовых испытаний имелись нарекания на конструкцию крепления вентилятора, дважды выходившего из строя. Также двигатель часто работал на повышенных оборотах, что в итоге могло привести к его преждевременной поломке. Кроме того, имелось несколько случаев поломок траков, что, впрочем, говорит не о ненадежности самого танка, а о качестве их изготовления заводом №183. Имелась тенденция к отслоению бандажей от катков. Несмотря на ряд замечаний, в целом испытания были признаны успешными, тем более что танк ездил на нештатном двигателе, к тому же еще и не новом.</w:t>
      </w:r>
    </w:p>
    <w:p w14:paraId="1C34AC8B" w14:textId="77777777" w:rsidR="007C5583" w:rsidRPr="008127F8" w:rsidRDefault="007C5583" w:rsidP="007C5583">
      <w:pPr>
        <w:pStyle w:val="af"/>
        <w:spacing w:before="0" w:after="0"/>
        <w:jc w:val="both"/>
        <w:rPr>
          <w:color w:val="000000" w:themeColor="text1"/>
          <w:sz w:val="16"/>
          <w:szCs w:val="16"/>
        </w:rPr>
      </w:pPr>
      <w:r w:rsidRPr="008127F8">
        <w:rPr>
          <w:color w:val="000000" w:themeColor="text1"/>
          <w:sz w:val="16"/>
          <w:szCs w:val="16"/>
        </w:rPr>
        <w:t>Отчет об испытаниях Т-60 с ЗИС-16, а также Т-45 был отправлен в ГАБТУ ближе к концу июня. К тому моменту эта машина, как и Т-60 с пушкой ЗИС-19, выглядела безнадежно устаревшей по сравнению с Т-70. Тем не менее, опытному танку довелось повоевать: согласно переписке, в конце сентября 1942 года единственный Т-45 был отправлен на (17468).</w:t>
      </w:r>
    </w:p>
    <w:p w14:paraId="2BCC228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156045D"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20 мая 1942, согласно программе, первый этап испытаний Т-45 начался с тестов стрельбой. Была достигнута скорострельность 7—8 выстрелов в минуту с места и около 3 выстрелов в минуту с ходу. Отмеча</w:t>
      </w:r>
      <w:r w:rsidRPr="008127F8">
        <w:rPr>
          <w:rFonts w:eastAsia="Calibri"/>
          <w:color w:val="000000" w:themeColor="text1"/>
          <w:sz w:val="16"/>
          <w:szCs w:val="16"/>
        </w:rPr>
        <w:softHyphen/>
        <w:t>лось, что обслуживание пушки более удобно, чем в Т-60, башня стала более просторной. Правда, от тяжести башни произошел небольшой прогиб подбашенного листа. Несмотря на данный дефект в ходе огне</w:t>
      </w:r>
      <w:r w:rsidRPr="008127F8">
        <w:rPr>
          <w:rFonts w:eastAsia="Calibri"/>
          <w:color w:val="000000" w:themeColor="text1"/>
          <w:sz w:val="16"/>
          <w:szCs w:val="16"/>
        </w:rPr>
        <w:softHyphen/>
        <w:t>вых испытаний все 25 выстрелов попали в мишень. На серийной ма</w:t>
      </w:r>
      <w:r w:rsidRPr="008127F8">
        <w:rPr>
          <w:rFonts w:eastAsia="Calibri"/>
          <w:color w:val="000000" w:themeColor="text1"/>
          <w:sz w:val="16"/>
          <w:szCs w:val="16"/>
        </w:rPr>
        <w:softHyphen/>
        <w:t>шине планировалось вместо прицела ТМФП поставить штатный при</w:t>
      </w:r>
      <w:r w:rsidRPr="008127F8">
        <w:rPr>
          <w:rFonts w:eastAsia="Calibri"/>
          <w:color w:val="000000" w:themeColor="text1"/>
          <w:sz w:val="16"/>
          <w:szCs w:val="16"/>
        </w:rPr>
        <w:softHyphen/>
        <w:t>цел ТОП для 45-мм танковой пушки (17485).</w:t>
      </w:r>
    </w:p>
    <w:p w14:paraId="6BF243C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81EAA31"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20 мая 1942 первый этап испытаний Т-45, согласно программе, был открыт тестами со стрельбой. Была достигнута скорострельность 7–8 выстрелов в минуту с места и около 3 выстрелов в минуту с ходу. Отмечалось, что обслуживание пушки более удобно, чем в Т-60, башня стала более просторной. Правда, тяжесть башни привела к небольшому прогибу подбашенного листа. Несмотря на этот дефект, в ходе огневых испытаний все 25 выстрелов попали в мишень. На серийной машине планировалось вместо прицела ТМФП поставить штатный прицел ТОП для 45-мм танковой пушки.</w:t>
      </w:r>
    </w:p>
    <w:p w14:paraId="5B73FA88"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Испытания пробегом проводились с 6 по 13 июня. Всего танк прошел 1505 км, из них 189 км по асфальту, 805 км по булыжнику, 410 км по щебенке и 110 км по проселочной дороге. В ходе ходовых испытаний имелись нарекания на конструкцию крепления вентилятора, дважды выходившего из строя. Также двигатель часто работал на повышенных оборотах, что в итоге могло привести к его преждевременной поломке. Кроме того, имелось несколько случаев поломок траков, что, впрочем, говорит не о ненадежности самого танка, а о качестве их изготовления заводом №183. Имелась тенденция к отслоению бандажей от катков. Несмотря на ряд замечаний, в целом испытания были признаны успешными, тем более что танк ездил на нештатном двигателе, к тому же еще и не новом.</w:t>
      </w:r>
    </w:p>
    <w:p w14:paraId="0B5F205B"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Отчет об испытаниях Т-60 с ЗИС-16, а также Т-45 был отправлен в ГАБТУ ближе к концу июня. К тому моменту эта машина, как и Т-60 с пушкой ЗИС-19, выглядела безнадежно устаревшей по сравнению с Т-70. Тем не менее, опытному танку довелось повоевать: согласно переписке, в конце сентября 1942 года единственный Т-45 был отправлен на Западный фронт (17636).</w:t>
      </w:r>
    </w:p>
    <w:p w14:paraId="5B68FA94"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6561F07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7952998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D8FF3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20 мая</w:t>
      </w:r>
      <w:r w:rsidRPr="008127F8">
        <w:rPr>
          <w:rFonts w:ascii="Times New Roman" w:hAnsi="Times New Roman"/>
          <w:color w:val="000000" w:themeColor="text1"/>
          <w:sz w:val="16"/>
          <w:szCs w:val="16"/>
        </w:rPr>
        <w:t xml:space="preserve"> в 1942 году вечернее сообщение Совинформбюро:</w:t>
      </w:r>
    </w:p>
    <w:p w14:paraId="4FC4219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20 мая на Харьковском направлении наши войска вели наступательные бои и, отбивая контратаки противника, продвинулись вперёд.</w:t>
      </w:r>
    </w:p>
    <w:p w14:paraId="324AAA9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Изюм-Барвенковском направлении наши войска отбили несколько атак немецко-фашистских войск.</w:t>
      </w:r>
    </w:p>
    <w:p w14:paraId="757FA79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Керченском полуострове продолжались бои в восточной части полуострова.</w:t>
      </w:r>
    </w:p>
    <w:p w14:paraId="3D4E31C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19 мая уничтожено 27 немецких самолётов. Наши потери — 12 самолётов.</w:t>
      </w:r>
    </w:p>
    <w:p w14:paraId="7BD8E0A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Баренцевом море советский корабль потопил три транспорта противника общим водоизмещением в 26.000 тонн.</w:t>
      </w:r>
    </w:p>
    <w:p w14:paraId="4A306C4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19 мая частями нашей авиации на разных участках фронта уничтожено или повреждено 42 немецких танка, 285 автомашин с войсками и грузами, 75 подвод с боеприпасами, 30 полевых и зенитных орудий, 12 зенитно-пулемётных точек, 33 миномёта, разбит железнодорожный состав и паровоз, рассеяно и частью уничтожено до двух рот пехоты противника.</w:t>
      </w:r>
    </w:p>
    <w:p w14:paraId="3EB7677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Харьковского направления, отразила контратаку противника. В результате боя подбито 8 немецких танков и уничтожено 250 гитлеровцев. На другом участке наши бойцы под командованием тов. Микинина за день боевых действий уничтожили 350 немецких солдат и офицеров. Захвачены трофеи.</w:t>
      </w:r>
    </w:p>
    <w:p w14:paraId="1D09217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отдельных участках Калининского фронта пехота противника, поддержанная танками, пыталась атаковать расположение советских войск. Контратакой наших частей враг отброшен на исходные позиции. В течение дня немцы потеряли только убитыми свыше 400 солдат и офицеров. Подбито 2 немецких танка и взорван склад с боеприпасами. Взяты трофеи и пленные,</w:t>
      </w:r>
    </w:p>
    <w:p w14:paraId="0256896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Семь лётчиков-истребителей подразделения тов. Курбатова (Южный фронт), возвращаясь на свою базу после выполнения боевого задания, встретились с девятью вражескими истребителями. Завязался воздушный бой. Старший лейтенант Приказчиков, старшина Егоров и старшина Штукин сбили по одному самолёту противника. Остальные немецкие машины повернули обратно. Преследуя противника, лётчики Павлов, Калугин и Штукин сбили ещё 3 немецких самолёта. Все советские самолёты благополучно вернулись на свой аэродром.</w:t>
      </w:r>
    </w:p>
    <w:p w14:paraId="4CE2422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Двадцать семь разведчиков под командованием лейтенанта Потахина встретили группу немцев, насчитывавшую до 50 человек. Несмотря на численное превосходство, разведчики атаковали противника. В завязавшейся схватке гитлеровцы потеряли 11 человек убитыми, 15 ранеными и быстро отступили. Наши бойцы захватили пленных, оружие и без потерь вернулись в свою часть.</w:t>
      </w:r>
    </w:p>
    <w:p w14:paraId="1F11D20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Лейтенант тов. Криндач, стреляя прямой наводкой из орудия, подбил 5 вражеских танков. Наводчики товарищи Максимов, Белоусов и Кутаев уничтожили 6 немецких танков.</w:t>
      </w:r>
    </w:p>
    <w:p w14:paraId="09B335E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Младший лейтенант Павел Гущин из ручного пулемёта открыл огонь по итальянскому самолёту «Макки-200» и ранил лётчика. Итальянский лётчик совершил посадку на нашей территории и взят в плен.</w:t>
      </w:r>
    </w:p>
    <w:p w14:paraId="3B28A7B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калининских партизан под командованием тов. О. за несколько дней истребил 80 немецких солдат и офицеров и взорвал склад с боеприпасами противника.</w:t>
      </w:r>
    </w:p>
    <w:p w14:paraId="21B67FB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обер-ефрейтор 8 пехотной дивизии Цинтмайер рассказал: «Война окончательно разорила многих немецких крестьян. У крестьян забирают почти весь урожай. Это я знаю по хозяйству моего отца. Отец собрал осенью прошлого года 10 центнеров пшеницы, но 9 центнеров у него реквизировали. Ни один крестьянин не может распоряжаться по своему усмотрению молоком от своей коровы. 80 процентов молока у него забирают. В деревнях расплодилось очень много контролёров и инспекторов, которые ходят по домам и амбарам, устраивают обыски и реквизируют последние остатки продуктов.</w:t>
      </w:r>
    </w:p>
    <w:p w14:paraId="714EEC8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под ударами наших частей из села Зайцево, Орловской области, немецко-фашистские мерзавцы сожгли и разрушили 600 домов колхозников. Гитлеровцы засыпали колодцы и вырубили сады. На улицах села красноармейцы обнаружили десятки трупов истерзанных немецкими бандитами мирных жителей — стариков, женщини детей. На окраине найдено восемь трупов замученных пленных красноармейцев. У них отрезаны уши, носы, выколоты глаза, вывернуты руки и ноги. Часть жителей села Зайцево гитлеровцы под угрозой расстрела увели с собой.</w:t>
      </w:r>
    </w:p>
    <w:p w14:paraId="7BD47E0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Немецкие и итальянские оккупанты зверскими убийствами мирных жителей пытаются сломить сопротивление югославских патриотов, борющихся за свою родину. Недавно в Санджаке и в городе Плевле итальянцы расстреляли 100 городских жителей. Эти зверские убийства вызывают огромное возмущение в стране, и каждый день всё больше крестьян, особенно молодёжи, вступает в партизанские отряды. Партизаны беспощадно мстят итальянским захватчикам. Неделю тому назад около города В. пулемётным огнём партизаны убили и ранили 160 оккупантов. Другой крупный отряд партизан у города Н. в течение пяти дней вёл бои с итальянскими войсками. Оккупанты потеряли 300 человек убитыми и ещё больше ранеными.» (14897).</w:t>
      </w:r>
    </w:p>
    <w:p w14:paraId="21F30EE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48ECD3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20 мая 1942 немецким войскам удалось почти полностью стянуть основание горловины Барвенковского выступа. С этого дня были усилены налеты люфтваффе по речным переправам в районе боев с целью препятствования эвакуации советских войск из окружения. В этот день только экипажи Ju 87 из St.G 77 разрушили пять из основных мостов через Севере кий Донец и повредили четыре других. При атаках по переправам как МИНИМУМ один из пикировщиков был сбит наземным огнем. Экипаж Ju 87B-1 из 5./St.G 77 в составе фельдфебеля Роберта Клеба и унтер-офицера Герберта Стивера погиб. К вечеру того же дня штаб фронтовой авиации ЮЗФ, находившийся в Валуйках, докладывал о выполнении за день 302 боевых вылетов и уничтожении в воздушных боях и на аэродромах 3 Ме-1()9, 5 Ю-88, 5 До-215 и одного Хе-111. В этот день был зафиксирован последний групповой налет немецких бомбардировщиков на аэродром в полосе действия фронта. Группа из девяти Ю-88 нанесла удар по аэродрому Куриловка. Штаб фронта, подводя итоги действий немецких бомбардировщиков по аэродромам фронта, отмечал:</w:t>
      </w:r>
    </w:p>
    <w:p w14:paraId="7562A9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в результате 14 налетов на наши аэродромы имеются потери: уничтожено на земле - 7 самолетов разных типов, убито 12 и ранено 19 человек”. Не оставались в долгу и летчики 4 РАГ, продолжавшие производить атаки аэродромов противника. На этот раз удару подвергся аэродром Гусаровка, на котором было уничтожено 5 До-215 и один Ме-109. Два “мессера” и один “юнкере” сбили в боях летчики вновь прибывшей 220-й ИАД.</w:t>
      </w:r>
    </w:p>
    <w:p w14:paraId="650E09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Тяжелые потери 20 мая понесли легкие бомбардировщики P-Z из 47 ОКАЭ ВВС 21 Армии генерал-майора Зайцева. Во время атаки наземных войск противника в районе высоты 196.2 пятерку этих самолетов перехватила пятерка Ме-109. В результате все пять легких бомбардировщиков были уничтожены немецкими истребителями (9394,16).</w:t>
      </w:r>
    </w:p>
    <w:p w14:paraId="6683675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20DDA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мая 1942 вышло Постановление ГКО № 1790 О переводе на казарменное положение истребительных батальонов НКВД в районах Приазовского побережья и Таманского полуострова. (7036, 1).</w:t>
      </w:r>
    </w:p>
    <w:p w14:paraId="39E365F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CAC37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мая 1942 вышло Постановление ГКО № 1791 О строительстве двух командных пунктов-убежищ в районе Валдая Ленинградской области и города Воронежа. РГАНИР, Фонд ГКО, д. 36, лл. 2, 3-4 (11012).</w:t>
      </w:r>
    </w:p>
    <w:p w14:paraId="74B887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2BE9E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мая 1942 вышло Постановление ГКО № 1792 Об усилении борьбы с парашютными десантами противника на Кавказе. (7036, 5).</w:t>
      </w:r>
    </w:p>
    <w:p w14:paraId="3DB9BEE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DD784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мая 1942 в СССР учрежден орден Отечественной войны (4962).</w:t>
      </w:r>
    </w:p>
    <w:p w14:paraId="605C769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3E522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мая 1942 был учрежден Орден Отечественной Войны (556,227).</w:t>
      </w:r>
    </w:p>
    <w:p w14:paraId="2FE3619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239E2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мая 1942 немцы захватили весь Керченский полуостров (2261).</w:t>
      </w:r>
    </w:p>
    <w:p w14:paraId="0E76C57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8124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мая 1942 в Мурманск прибыло 20 судов из состава конвоя PQ-15 (4476).</w:t>
      </w:r>
    </w:p>
    <w:p w14:paraId="5E720CE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67044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мая 1942 г. при таране “Юнкерса” в районе Ельца погиб летчик 591-го ИАП ПВО л-т Барковский Виктор Антонович. Согласно данным противника, в тот день из разведполета в район Касторное-Липецк-Ливны не вернулся Ju 88D (w/n 2832, борт TL+BL) из 3.(F)/10. Экипаж считается пропавшим без вести (10205).</w:t>
      </w:r>
    </w:p>
    <w:p w14:paraId="031B7D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AD0DD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20 мая</w:t>
      </w:r>
      <w:r w:rsidRPr="008127F8">
        <w:rPr>
          <w:rFonts w:ascii="Times New Roman" w:hAnsi="Times New Roman"/>
          <w:color w:val="000000" w:themeColor="text1"/>
          <w:sz w:val="16"/>
          <w:szCs w:val="16"/>
        </w:rPr>
        <w:t xml:space="preserve"> в 1942 году лётчик 591-го истребительного авиационного полка (36-я истребительная авиационная дивизия, Войска ПВО территории страны) младший лейтенант </w:t>
      </w:r>
      <w:hyperlink r:id="rId28" w:tgtFrame="_blank" w:history="1">
        <w:r w:rsidRPr="008127F8">
          <w:rPr>
            <w:rFonts w:ascii="Times New Roman" w:hAnsi="Times New Roman"/>
            <w:color w:val="000000" w:themeColor="text1"/>
            <w:sz w:val="16"/>
            <w:szCs w:val="16"/>
          </w:rPr>
          <w:t xml:space="preserve">Барковский Виктор Антонович </w:t>
        </w:r>
      </w:hyperlink>
      <w:r w:rsidRPr="008127F8">
        <w:rPr>
          <w:rFonts w:ascii="Times New Roman" w:hAnsi="Times New Roman"/>
          <w:color w:val="000000" w:themeColor="text1"/>
          <w:sz w:val="16"/>
          <w:szCs w:val="16"/>
        </w:rPr>
        <w:t>вылетел на самолёте «И-153» на перехват вражеского разведчика «Ju-88», фотографировавшего военные объекты в городе Ельце Липецкой области. Барковский атаковал "юнкерс" над городом. Пулемётными очередями он заставил немца маневрировать и тем самым сорвал фотосъёмку. Стрелки "юнкерса" отвечали огнём. Вскоре Барковскому удалось поджечь вражеский самолёт. Тот развернулся и направился к линии фронта. Барковский попытался его добить, но у него кончились боеприпасы. Тогда он приблизился к "юнкерсу" вплотную и направил свою "чайку" на его фюзеляж. Сам погиб при таране. Указом Президиума Верховного Совета СССР от 14 февраля 1943 года посмертно присвоено звание Героя Советского Союза (14897).</w:t>
      </w:r>
    </w:p>
    <w:p w14:paraId="19F9267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64450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05D813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77C65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мая 1942 года было получено:</w:t>
      </w:r>
    </w:p>
    <w:p w14:paraId="0700C01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ЧЕРЧИЛЛЬ И. В. СТАЛИНУ *</w:t>
      </w:r>
    </w:p>
    <w:p w14:paraId="42D4F2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Конвой , состоящий из тридцати пяти пароходов, отбыл вчера с указаниями пробить себе дорогу к Вам. Располагая приблизительно сотней бомбардировщиков, немцы подстерегают эти пароходы и охранение. Наши советники считают, что в случае если нам опять не будет благоприятствовать погода, затрудняющая действия немецких воздушных сил, то нам следует ожидать, что большая часть пароходов и военные материалы, находящиеся на них, будут потеряны.</w:t>
      </w:r>
    </w:p>
    <w:p w14:paraId="7E5832B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Как я отметил в своей телеграмме от 9 мая </w:t>
      </w:r>
      <w:r w:rsidRPr="008127F8">
        <w:rPr>
          <w:rFonts w:ascii="Times New Roman" w:hAnsi="Times New Roman"/>
          <w:color w:val="000000" w:themeColor="text1"/>
          <w:sz w:val="16"/>
          <w:szCs w:val="16"/>
          <w:vertAlign w:val="superscript"/>
        </w:rPr>
        <w:t>18</w:t>
      </w:r>
      <w:r w:rsidRPr="008127F8">
        <w:rPr>
          <w:rFonts w:ascii="Times New Roman" w:hAnsi="Times New Roman"/>
          <w:color w:val="000000" w:themeColor="text1"/>
          <w:sz w:val="16"/>
          <w:szCs w:val="16"/>
        </w:rPr>
        <w:t>, очень многое зависит от степени, в какой Ваши бомбардировщики дальнего действия могут бомбардировать между 22 и 29 мая аэродромы противника, включая и находящийся в Бардуфоссе. Я знаю, что Вы сделаете все, что окажется в Ваших силах.</w:t>
      </w:r>
    </w:p>
    <w:p w14:paraId="189FB3C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Если счастье не будет сопутствовать нам и конвой потерпит весьма большие потери, то единственное, что мы можем сделать,— это задержать дальнейшую отправку конвоев до тех пор, пока мы не будем располагать большим морским пространством, когда лед отступит в июле к северу (7430).</w:t>
      </w:r>
    </w:p>
    <w:p w14:paraId="41C0FD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BCF14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мая 1942 г. Молотов прибыл в Лондон, совершив перелет через территорию, оккупированную Германией. Черчилль объяснил советскому наркому, что Великобритания не может принять советские предложения в полном объеме. Однако, добавил он, после войны СССР, Великобритания и США будут сотрудничать в послевоенном мироустройстве (3871).</w:t>
      </w:r>
    </w:p>
    <w:p w14:paraId="227FF88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6ED39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мая 1942 г.</w:t>
      </w:r>
    </w:p>
    <w:p w14:paraId="10B86C0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Сообщение резидентуры НКВД СССР в США о препятствиях, чинимых отдельными американскими государственными служащими</w:t>
      </w:r>
    </w:p>
    <w:p w14:paraId="0E14FB0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учреждениями поставкам в Советский Союз материалов по ленд-лизу</w:t>
      </w:r>
    </w:p>
    <w:p w14:paraId="55EFBF2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мая 1942 г.</w:t>
      </w:r>
    </w:p>
    <w:p w14:paraId="6985BD3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Вопреки официальной политике американского правительства работа многих государственных служащих и учреждений по программе займа и аренды для СССР характеризуется нерешительностью и прямым саботажем. </w:t>
      </w:r>
    </w:p>
    <w:p w14:paraId="4AB8FD1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является следствием первоначальной позиции верхушки американской армии, ожидавшей разгрома СССР в первые 3-4 недели войны, большой политической борьбы внутри страны вокруг «русского вопроса» и, наконец, большой подрывной работы, проводимой вражеской агентурой.</w:t>
      </w:r>
    </w:p>
    <w:p w14:paraId="35D121F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Особенно плохо с различным обрабатывающим и установочным оборудованием. </w:t>
      </w:r>
    </w:p>
    <w:p w14:paraId="33118BD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Американцы всячески сопротивляются развитию и восстановлению нашей новой базы. Так, по металлообрабатывающим станкам на I</w:t>
      </w:r>
    </w:p>
    <w:p w14:paraId="432EF2B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мая было размещено контрактов с поставкой до 1 июля только на 2200 станков (немногим больше 1/5 плана). До сих пор не решен вопрос с нефтеперегонными заводами. В поставке оборудования для заводов азотной кислоты, этилового спирта и др. отказано. Отказано также в поставке необходимого количества молотов. Г-н Батт, участник Московской конференции, неофициально сказал, что в доменном оборудовании нам тоже будет отказано.</w:t>
      </w:r>
    </w:p>
    <w:p w14:paraId="7B229CD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Враждебно относятся к нам следующие учреждения: администрация займа и аренды, управление сигнальной службы армии, военно-производственный комитет. Из администрации займа и аренды особенно враждебно относится к нам г-н Хазард - главный оперативный работник. Военно-производственный комитет ввел правило, по которому советские заказы не должны превышать 7,5-15 процентов уровня месячной продукции конкретного предприятия. В целом московский протокол рассматривается в Вашингтоне не как программа, а как политическая декларация.</w:t>
      </w:r>
    </w:p>
    <w:p w14:paraId="79E6D03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военным поставкам до 1 мая отправлено: 480 истребителей Р-40 из 700 по плану, бомбардировщиков — 400 из 700, легких танков — 752 из 875, средних танков — 691 из 875, зенитных пушек — 4 из 152, противотанковых орудий - 63 из 766.</w:t>
      </w:r>
    </w:p>
    <w:p w14:paraId="26CDF91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Основными недостатками отправляемого оборудования являются: неукомплектованность, недостаточность боеприпасов, несоответствие и неукомплектованность отправляемых комплектов запасных частей. Как пример приведем следующий факт. В феврале и марте было отгружено около 200 бомбардировщиков А-20 без пулеметов, патронных коробок, кислородного и ракетного оборудования, аппаратуры связи и др.</w:t>
      </w:r>
    </w:p>
    <w:p w14:paraId="46D9A2A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целом работники военного министерства не скрывают, что план Московской  конференции к 1 июля выполнен не будет. Имеются сведения, что против плана не будет поставлено: 148 90-миллиметровых зенитных орудий, 693 противотанковые пушки, 180 истребителей Р-40, 146 бомбардировщиков А-20.</w:t>
      </w:r>
    </w:p>
    <w:p w14:paraId="2640A19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Указанные истребители и бомбардировщики находятся в массовом производстве и их непоставку следует объяснять исключительно «политическими» причинами.</w:t>
      </w:r>
    </w:p>
    <w:p w14:paraId="188463B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американские летчики, переправлявшие для нас в Басру самолеты В-25, отмечают, что местная администрация к советскому оборудованию относится очень «холодно», проверка и инспекция груза и машин почти не производится, до сих пор там находятся самолеты, переправленные туда еще в начале марта (20810).</w:t>
      </w:r>
    </w:p>
    <w:p w14:paraId="29F33ED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3BEE7F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мая 1942 в 4 часа 55 минут после 10 часов 00 минут полета, преодолев 2700 километров, ТБ-7 приземлился на уже знакомый аэродром Тилинг, который советские летчики покинули 18 дней назад (19936).</w:t>
      </w:r>
    </w:p>
    <w:p w14:paraId="7DD5E67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1F747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56759B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E2EB01" w14:textId="77777777" w:rsidR="007C5583" w:rsidRPr="008127F8" w:rsidRDefault="007C5583" w:rsidP="007C5583">
      <w:pPr>
        <w:spacing w:after="0" w:line="240" w:lineRule="auto"/>
        <w:jc w:val="both"/>
        <w:rPr>
          <w:rFonts w:ascii="Times New Roman" w:hAnsi="Times New Roman"/>
          <w:bCs/>
          <w:color w:val="000000" w:themeColor="text1"/>
          <w:sz w:val="16"/>
          <w:szCs w:val="16"/>
        </w:rPr>
      </w:pPr>
      <w:r w:rsidRPr="008127F8">
        <w:rPr>
          <w:rFonts w:ascii="Times New Roman" w:hAnsi="Times New Roman"/>
          <w:bCs/>
          <w:color w:val="000000" w:themeColor="text1"/>
          <w:sz w:val="16"/>
          <w:szCs w:val="16"/>
        </w:rPr>
        <w:t>20 мая</w:t>
      </w:r>
      <w:r w:rsidRPr="008127F8">
        <w:rPr>
          <w:rFonts w:ascii="Times New Roman" w:hAnsi="Times New Roman"/>
          <w:color w:val="000000" w:themeColor="text1"/>
          <w:sz w:val="16"/>
          <w:szCs w:val="16"/>
        </w:rPr>
        <w:t xml:space="preserve"> в 1942 году фирма «Convair» подготовила чертежи на пассажирский самолет с новым фюзеляжем объемом 850 м3, крылом, силовой установкой и разнесенным хвостовым оперением по первоначальному проекту бомбардировщика «В-36». Идея создать пассажирский (транспортный) самолет на базе бомбардировщика «В-36» рассматривалась еще на ранних этапах проектирования. В итоге был создан тяжёлый транспортный самолёт </w:t>
      </w:r>
      <w:hyperlink r:id="rId29" w:tgtFrame="_blank" w:history="1">
        <w:r w:rsidRPr="008127F8">
          <w:rPr>
            <w:rFonts w:ascii="Times New Roman" w:hAnsi="Times New Roman"/>
            <w:color w:val="000000" w:themeColor="text1"/>
            <w:sz w:val="16"/>
            <w:szCs w:val="16"/>
          </w:rPr>
          <w:t>«С-99».</w:t>
        </w:r>
      </w:hyperlink>
    </w:p>
    <w:p w14:paraId="345E826B" w14:textId="77777777" w:rsidR="007C5583" w:rsidRPr="008127F8" w:rsidRDefault="007C5583" w:rsidP="007C5583">
      <w:pPr>
        <w:spacing w:after="0" w:line="240" w:lineRule="auto"/>
        <w:jc w:val="both"/>
        <w:rPr>
          <w:rFonts w:ascii="Times New Roman" w:hAnsi="Times New Roman"/>
          <w:bCs/>
          <w:color w:val="000000" w:themeColor="text1"/>
          <w:sz w:val="16"/>
          <w:szCs w:val="16"/>
        </w:rPr>
      </w:pPr>
    </w:p>
    <w:p w14:paraId="28BE22D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20 мая</w:t>
      </w:r>
      <w:r w:rsidRPr="008127F8">
        <w:rPr>
          <w:rFonts w:ascii="Times New Roman" w:hAnsi="Times New Roman"/>
          <w:color w:val="000000" w:themeColor="text1"/>
          <w:sz w:val="16"/>
          <w:szCs w:val="16"/>
        </w:rPr>
        <w:t xml:space="preserve"> в 1942 году взлетел первый переделанный в двухместную учебную машину, на заводе фирмы «Испано-Сюиза» в Севилье, итальянский истребитель </w:t>
      </w:r>
      <w:hyperlink r:id="rId30" w:tgtFrame="_blank" w:history="1">
        <w:r w:rsidRPr="008127F8">
          <w:rPr>
            <w:rFonts w:ascii="Times New Roman" w:hAnsi="Times New Roman"/>
            <w:color w:val="000000" w:themeColor="text1"/>
            <w:sz w:val="16"/>
            <w:szCs w:val="16"/>
          </w:rPr>
          <w:t xml:space="preserve">«CR.32». </w:t>
        </w:r>
      </w:hyperlink>
      <w:r w:rsidRPr="008127F8">
        <w:rPr>
          <w:rFonts w:ascii="Times New Roman" w:hAnsi="Times New Roman"/>
          <w:color w:val="000000" w:themeColor="text1"/>
          <w:sz w:val="16"/>
          <w:szCs w:val="16"/>
        </w:rPr>
        <w:t>Впоследствии переделанные самолеты использовали авиашколы в Реусе и Моронде-ла-Фронтера. Последние испанские "Fiatы" дожили по крайней мере до 1957 года. На снимке двухместный «CR.32» (14897).</w:t>
      </w:r>
    </w:p>
    <w:p w14:paraId="214BF93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AA360C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20 мая</w:t>
      </w:r>
      <w:r w:rsidRPr="008127F8">
        <w:rPr>
          <w:rFonts w:ascii="Times New Roman" w:hAnsi="Times New Roman"/>
          <w:color w:val="000000" w:themeColor="text1"/>
          <w:sz w:val="16"/>
          <w:szCs w:val="16"/>
        </w:rPr>
        <w:t xml:space="preserve"> в 1942 году лётчик-истребитель </w:t>
      </w:r>
      <w:hyperlink r:id="rId31" w:tgtFrame="_blank" w:history="1">
        <w:r w:rsidRPr="008127F8">
          <w:rPr>
            <w:rFonts w:ascii="Times New Roman" w:hAnsi="Times New Roman"/>
            <w:color w:val="000000" w:themeColor="text1"/>
            <w:sz w:val="16"/>
            <w:szCs w:val="16"/>
          </w:rPr>
          <w:t xml:space="preserve">Херберт Илефельд (Herbert Ihlefeld) </w:t>
        </w:r>
      </w:hyperlink>
      <w:r w:rsidRPr="008127F8">
        <w:rPr>
          <w:rFonts w:ascii="Times New Roman" w:hAnsi="Times New Roman"/>
          <w:color w:val="000000" w:themeColor="text1"/>
          <w:sz w:val="16"/>
          <w:szCs w:val="16"/>
        </w:rPr>
        <w:t>сбил свой сотый самолет, был награжден Рыцарским Крестом к Железному Кресту с Дубовыми Листьями и Мечами (Ritterkreuz des Eisernen Kreuzes mit detn Eichenlaub mit Schwertern) и отстранен от боевых полетов. С 11 мая 1942 года работал в штабе JG51, хотя продолжал летать. Всего побед - 132 (9 в Испании, 67 на Восточном и 56 на Западном фронте - в том числе 15 бомбардировщиков «В-17»). Первый бой : Испания, 1937 год. Летал на самолетах Мессершмитт «Bf.109В, С, Е, F, G,» «Фокке-Вульф» «Fw.190А». Совершил 987 боевых вылетов (14897).</w:t>
      </w:r>
    </w:p>
    <w:p w14:paraId="68C5ABC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25BF5B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20 мая</w:t>
      </w:r>
      <w:r w:rsidRPr="008127F8">
        <w:rPr>
          <w:rFonts w:ascii="Times New Roman" w:hAnsi="Times New Roman"/>
          <w:color w:val="000000" w:themeColor="text1"/>
          <w:sz w:val="16"/>
          <w:szCs w:val="16"/>
        </w:rPr>
        <w:t xml:space="preserve"> в 1942 году лётчик-истребитель </w:t>
      </w:r>
      <w:hyperlink r:id="rId32" w:tgtFrame="_blank" w:history="1">
        <w:r w:rsidRPr="008127F8">
          <w:rPr>
            <w:rFonts w:ascii="Times New Roman" w:hAnsi="Times New Roman"/>
            <w:color w:val="000000" w:themeColor="text1"/>
            <w:sz w:val="16"/>
            <w:szCs w:val="16"/>
          </w:rPr>
          <w:t xml:space="preserve">Эрнст-Вильгельм Рейнерт (Ernst-Wilhelm Reinert) </w:t>
        </w:r>
      </w:hyperlink>
      <w:r w:rsidRPr="008127F8">
        <w:rPr>
          <w:rFonts w:ascii="Times New Roman" w:hAnsi="Times New Roman"/>
          <w:color w:val="000000" w:themeColor="text1"/>
          <w:sz w:val="16"/>
          <w:szCs w:val="16"/>
        </w:rPr>
        <w:t>одержал свою 45-ю победу. 1 февраля 1945 года награжден Рыцарским Крестом к Железному Кресту с Дубовыми Листьями и Мечами (Ritterkreuz des Eisernen Kreuzes mit detn Eichenlaub mit Schwertern) Всего в ходе Второй мировой войны выполнил 715 боевых вылетов и одержал 174 победы, из них 103 в боях на Восточном фронте. Кроме того, он уничтожил на земле еще 16 самолетов, а также 10 автомобилей и 6 паровозов (14897).</w:t>
      </w:r>
    </w:p>
    <w:p w14:paraId="1CED5F9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978167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мая 1942 финны стали собирать севший на вынужденную ЛаГГ-2 N 33 и ремонтировали до 30 июня 1942, а после этого дали N LG-2 и отправили в 32 эскадрилью, оснащенную Curtiss Hawk 75A и базировавшуюся в Нурмойле на Оленецком перешейке. Машина летала до 19 июля 1944, потом 30 августа ее разбили. Всего налетали 26 час. 35 мин. (1285,14).</w:t>
      </w:r>
    </w:p>
    <w:p w14:paraId="6F02CD7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9025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мая 1942 японцы окончательно захватили Бирму (2100) и заняли оборону (2261).</w:t>
      </w:r>
    </w:p>
    <w:p w14:paraId="09F56A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13C4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3C5E1B9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54EEA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Воронин писал директору завода 30 Белянскому и ГК С.В.И. письмо N 241:</w:t>
      </w:r>
    </w:p>
    <w:p w14:paraId="3254807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"Оборудуйте к 25 мая 1942 один самолет Ил-2 с бомбардировочными замками для ВАП-250 и ФАБ-250 по чертежам ГК С.В.И. и сдайте его на испытания в НИИ АВ ВВС (1679,201).</w:t>
      </w:r>
    </w:p>
    <w:p w14:paraId="6ED1427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F021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вышел приказ НКАП N 395с:</w:t>
      </w:r>
    </w:p>
    <w:p w14:paraId="533729F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организацией производства деревянных агрегатов самолетов Ил-4 на заводе 23 и его филиале заводе 497, в отмену приказа НКАП N 222сс от 19 марта 1942:</w:t>
      </w:r>
    </w:p>
    <w:p w14:paraId="065129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Производство деревянных консолей крыла, элеронов, щитков и бензобаков к самолету Ил-4 с завода 81 снять и передать на завод 23</w:t>
      </w:r>
    </w:p>
    <w:p w14:paraId="72B474C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Директору завода 81 Филимончук прекратить все работы по постановке и производству деревянных агрегатов и бензобаков к самолету Ил-4 (1561,28).</w:t>
      </w:r>
    </w:p>
    <w:p w14:paraId="0FF176C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665A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ГК завода 155 А.И.М. писал в ЦК ВКП(б) письмо (вх. N М-5217) о вооружении МиГ-3 ШВАК и о поставке заводу моторов АМ-35А с двухскоростным нагнетателем и это письмо в дальнейшем было передано в НКАП А.И.Ш. (2728,58).</w:t>
      </w:r>
    </w:p>
    <w:p w14:paraId="1AA9DE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C109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Баландин, Климов и др. от завода 26 писали в ЦК ВКП(б) письмо (вх. N М-5211) о разрешении перейти с 12 мая на выпуск форсированных М-105РФ и это письмо в дальнейшем было передано в НКАП А.И.Ш. (2728,58).</w:t>
      </w:r>
    </w:p>
    <w:p w14:paraId="65873D4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47B3C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Зав. 2-й частью Техсекретариата ОБ ЦК ВКП /б/ был подготовлен СПИСОК</w:t>
      </w:r>
    </w:p>
    <w:p w14:paraId="29C8ACF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материалов, направленных из ЦК ВКП/б/ т. ШАХУРИНУ (Подлежат возврату со спра вкой о рассмотрении).</w:t>
      </w:r>
    </w:p>
    <w:tbl>
      <w:tblPr>
        <w:tblW w:w="0" w:type="auto"/>
        <w:tblInd w:w="40" w:type="dxa"/>
        <w:tblLayout w:type="fixed"/>
        <w:tblCellMar>
          <w:left w:w="40" w:type="dxa"/>
          <w:right w:w="40" w:type="dxa"/>
        </w:tblCellMar>
        <w:tblLook w:val="0000" w:firstRow="0" w:lastRow="0" w:firstColumn="0" w:lastColumn="0" w:noHBand="0" w:noVBand="0"/>
      </w:tblPr>
      <w:tblGrid>
        <w:gridCol w:w="394"/>
        <w:gridCol w:w="1450"/>
        <w:gridCol w:w="2294"/>
        <w:gridCol w:w="4013"/>
      </w:tblGrid>
      <w:tr w:rsidR="007C5583" w:rsidRPr="008127F8" w14:paraId="0DFC99E8"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12A13BA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п/п</w:t>
            </w:r>
          </w:p>
        </w:tc>
        <w:tc>
          <w:tcPr>
            <w:tcW w:w="1450" w:type="dxa"/>
            <w:tcBorders>
              <w:top w:val="single" w:sz="12" w:space="0" w:color="auto"/>
              <w:left w:val="single" w:sz="6" w:space="0" w:color="auto"/>
              <w:bottom w:val="single" w:sz="6" w:space="0" w:color="auto"/>
              <w:right w:val="single" w:sz="6" w:space="0" w:color="auto"/>
            </w:tcBorders>
          </w:tcPr>
          <w:p w14:paraId="4E79618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и дата поступления</w:t>
            </w:r>
          </w:p>
        </w:tc>
        <w:tc>
          <w:tcPr>
            <w:tcW w:w="2294" w:type="dxa"/>
            <w:tcBorders>
              <w:top w:val="single" w:sz="12" w:space="0" w:color="auto"/>
              <w:left w:val="single" w:sz="6" w:space="0" w:color="auto"/>
              <w:bottom w:val="single" w:sz="6" w:space="0" w:color="auto"/>
              <w:right w:val="single" w:sz="6" w:space="0" w:color="auto"/>
            </w:tcBorders>
          </w:tcPr>
          <w:p w14:paraId="219F9AA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кого</w:t>
            </w:r>
          </w:p>
          <w:p w14:paraId="02FC3F3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single" w:sz="12" w:space="0" w:color="auto"/>
              <w:left w:val="single" w:sz="6" w:space="0" w:color="auto"/>
              <w:bottom w:val="single" w:sz="6" w:space="0" w:color="auto"/>
              <w:right w:val="single" w:sz="12" w:space="0" w:color="auto"/>
            </w:tcBorders>
          </w:tcPr>
          <w:p w14:paraId="2211552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Краткое содержание</w:t>
            </w:r>
          </w:p>
        </w:tc>
      </w:tr>
      <w:tr w:rsidR="007C5583" w:rsidRPr="008127F8" w14:paraId="3123D788"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2EA9108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450" w:type="dxa"/>
            <w:tcBorders>
              <w:top w:val="single" w:sz="12" w:space="0" w:color="auto"/>
              <w:left w:val="single" w:sz="6" w:space="0" w:color="auto"/>
              <w:bottom w:val="single" w:sz="6" w:space="0" w:color="auto"/>
              <w:right w:val="single" w:sz="6" w:space="0" w:color="auto"/>
            </w:tcBorders>
          </w:tcPr>
          <w:p w14:paraId="26EAF9A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М-3806оп-19.1У</w:t>
            </w:r>
          </w:p>
        </w:tc>
        <w:tc>
          <w:tcPr>
            <w:tcW w:w="2294" w:type="dxa"/>
            <w:tcBorders>
              <w:top w:val="single" w:sz="12" w:space="0" w:color="auto"/>
              <w:left w:val="single" w:sz="6" w:space="0" w:color="auto"/>
              <w:bottom w:val="single" w:sz="6" w:space="0" w:color="auto"/>
              <w:right w:val="single" w:sz="6" w:space="0" w:color="auto"/>
            </w:tcBorders>
          </w:tcPr>
          <w:p w14:paraId="1F7979B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Волков, Ярцев</w:t>
            </w:r>
          </w:p>
        </w:tc>
        <w:tc>
          <w:tcPr>
            <w:tcW w:w="4013" w:type="dxa"/>
            <w:tcBorders>
              <w:top w:val="single" w:sz="12" w:space="0" w:color="auto"/>
              <w:left w:val="single" w:sz="6" w:space="0" w:color="auto"/>
              <w:bottom w:val="single" w:sz="6" w:space="0" w:color="auto"/>
              <w:right w:val="single" w:sz="12" w:space="0" w:color="auto"/>
            </w:tcBorders>
          </w:tcPr>
          <w:p w14:paraId="123FB58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отгрузке бензина и мазута заводам НКАП</w:t>
            </w:r>
          </w:p>
        </w:tc>
      </w:tr>
      <w:tr w:rsidR="007C5583" w:rsidRPr="008127F8" w14:paraId="2700AF40" w14:textId="77777777" w:rsidTr="004C5D62">
        <w:trPr>
          <w:trHeight w:val="432"/>
        </w:trPr>
        <w:tc>
          <w:tcPr>
            <w:tcW w:w="394" w:type="dxa"/>
            <w:tcBorders>
              <w:top w:val="single" w:sz="12" w:space="0" w:color="auto"/>
              <w:left w:val="single" w:sz="12" w:space="0" w:color="auto"/>
              <w:bottom w:val="single" w:sz="12" w:space="0" w:color="auto"/>
              <w:right w:val="single" w:sz="6" w:space="0" w:color="auto"/>
            </w:tcBorders>
          </w:tcPr>
          <w:p w14:paraId="47104DE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450" w:type="dxa"/>
            <w:tcBorders>
              <w:top w:val="single" w:sz="12" w:space="0" w:color="auto"/>
              <w:left w:val="single" w:sz="6" w:space="0" w:color="auto"/>
              <w:bottom w:val="single" w:sz="12" w:space="0" w:color="auto"/>
              <w:right w:val="single" w:sz="6" w:space="0" w:color="auto"/>
            </w:tcBorders>
          </w:tcPr>
          <w:p w14:paraId="578A6EE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М-3804оп-19.1У</w:t>
            </w:r>
          </w:p>
        </w:tc>
        <w:tc>
          <w:tcPr>
            <w:tcW w:w="2294" w:type="dxa"/>
            <w:tcBorders>
              <w:top w:val="single" w:sz="12" w:space="0" w:color="auto"/>
              <w:left w:val="single" w:sz="6" w:space="0" w:color="auto"/>
              <w:bottom w:val="single" w:sz="12" w:space="0" w:color="auto"/>
              <w:right w:val="single" w:sz="6" w:space="0" w:color="auto"/>
            </w:tcBorders>
          </w:tcPr>
          <w:p w14:paraId="74CDDD7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Коллективно е-Кондратьев, Озеров и др.</w:t>
            </w:r>
          </w:p>
        </w:tc>
        <w:tc>
          <w:tcPr>
            <w:tcW w:w="4013" w:type="dxa"/>
            <w:tcBorders>
              <w:top w:val="single" w:sz="12" w:space="0" w:color="auto"/>
              <w:left w:val="single" w:sz="6" w:space="0" w:color="auto"/>
              <w:bottom w:val="single" w:sz="12" w:space="0" w:color="auto"/>
              <w:right w:val="single" w:sz="12" w:space="0" w:color="auto"/>
            </w:tcBorders>
          </w:tcPr>
          <w:p w14:paraId="18B65C5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целесообразности применения пушки В-Я.О переводе ЦКБ-14 в г.Тулу или Москву и о представлении к награде т .Жаворонкова.</w:t>
            </w:r>
          </w:p>
        </w:tc>
      </w:tr>
      <w:tr w:rsidR="007C5583" w:rsidRPr="008127F8" w14:paraId="3B613351"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604FEE9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7580BD2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М5033 18. У</w:t>
            </w:r>
          </w:p>
        </w:tc>
        <w:tc>
          <w:tcPr>
            <w:tcW w:w="2294" w:type="dxa"/>
            <w:tcBorders>
              <w:top w:val="single" w:sz="12" w:space="0" w:color="auto"/>
              <w:left w:val="single" w:sz="6" w:space="0" w:color="auto"/>
              <w:bottom w:val="single" w:sz="6" w:space="0" w:color="auto"/>
              <w:right w:val="single" w:sz="6" w:space="0" w:color="auto"/>
            </w:tcBorders>
          </w:tcPr>
          <w:p w14:paraId="66E5074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Секретарь Куйбышев</w:t>
            </w:r>
            <w:r w:rsidRPr="008127F8">
              <w:rPr>
                <w:rFonts w:ascii="Times New Roman" w:hAnsi="Times New Roman"/>
                <w:color w:val="000000" w:themeColor="text1"/>
                <w:sz w:val="16"/>
                <w:szCs w:val="16"/>
              </w:rPr>
              <w:softHyphen/>
              <w:t>ского обкома ВКП/б/</w:t>
            </w:r>
            <w:r w:rsidRPr="008127F8">
              <w:rPr>
                <w:rFonts w:ascii="Times New Roman" w:hAnsi="Times New Roman"/>
                <w:color w:val="000000" w:themeColor="text1"/>
                <w:sz w:val="16"/>
                <w:szCs w:val="16"/>
              </w:rPr>
              <w:softHyphen/>
              <w:t>Никитин</w:t>
            </w:r>
          </w:p>
        </w:tc>
        <w:tc>
          <w:tcPr>
            <w:tcW w:w="4013" w:type="dxa"/>
            <w:tcBorders>
              <w:top w:val="single" w:sz="12" w:space="0" w:color="auto"/>
              <w:left w:val="single" w:sz="6" w:space="0" w:color="auto"/>
              <w:bottom w:val="single" w:sz="6" w:space="0" w:color="auto"/>
              <w:right w:val="single" w:sz="12" w:space="0" w:color="auto"/>
            </w:tcBorders>
          </w:tcPr>
          <w:p w14:paraId="7B565E0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Просит помощи в получе</w:t>
            </w:r>
            <w:r w:rsidRPr="008127F8">
              <w:rPr>
                <w:rFonts w:ascii="Times New Roman" w:hAnsi="Times New Roman"/>
                <w:color w:val="000000" w:themeColor="text1"/>
                <w:sz w:val="16"/>
                <w:szCs w:val="16"/>
              </w:rPr>
              <w:softHyphen/>
              <w:t>нии Самолетостроительн. з-дом № 18 изделий и материалов для произ</w:t>
            </w:r>
            <w:r w:rsidRPr="008127F8">
              <w:rPr>
                <w:rFonts w:ascii="Times New Roman" w:hAnsi="Times New Roman"/>
                <w:color w:val="000000" w:themeColor="text1"/>
                <w:sz w:val="16"/>
                <w:szCs w:val="16"/>
              </w:rPr>
              <w:softHyphen/>
              <w:t>водства.</w:t>
            </w:r>
          </w:p>
        </w:tc>
      </w:tr>
      <w:tr w:rsidR="007C5583" w:rsidRPr="008127F8" w14:paraId="64DBEE82"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1AFA741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1544125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М5017 17.У</w:t>
            </w:r>
          </w:p>
        </w:tc>
        <w:tc>
          <w:tcPr>
            <w:tcW w:w="2294" w:type="dxa"/>
            <w:tcBorders>
              <w:top w:val="single" w:sz="12" w:space="0" w:color="auto"/>
              <w:left w:val="single" w:sz="6" w:space="0" w:color="auto"/>
              <w:bottom w:val="single" w:sz="6" w:space="0" w:color="auto"/>
              <w:right w:val="single" w:sz="6" w:space="0" w:color="auto"/>
            </w:tcBorders>
          </w:tcPr>
          <w:p w14:paraId="6F7F41E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Секретарь Воронеж</w:t>
            </w:r>
            <w:r w:rsidRPr="008127F8">
              <w:rPr>
                <w:rFonts w:ascii="Times New Roman" w:hAnsi="Times New Roman"/>
                <w:color w:val="000000" w:themeColor="text1"/>
                <w:sz w:val="16"/>
                <w:szCs w:val="16"/>
              </w:rPr>
              <w:softHyphen/>
              <w:t>ского обкома ВКП/б/-Тищенко</w:t>
            </w:r>
          </w:p>
        </w:tc>
        <w:tc>
          <w:tcPr>
            <w:tcW w:w="4013" w:type="dxa"/>
            <w:tcBorders>
              <w:top w:val="single" w:sz="12" w:space="0" w:color="auto"/>
              <w:left w:val="single" w:sz="6" w:space="0" w:color="auto"/>
              <w:bottom w:val="single" w:sz="6" w:space="0" w:color="auto"/>
              <w:right w:val="single" w:sz="12" w:space="0" w:color="auto"/>
            </w:tcBorders>
          </w:tcPr>
          <w:p w14:paraId="000F452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обеспечении оборудо</w:t>
            </w:r>
            <w:r w:rsidRPr="008127F8">
              <w:rPr>
                <w:rFonts w:ascii="Times New Roman" w:hAnsi="Times New Roman"/>
                <w:color w:val="000000" w:themeColor="text1"/>
                <w:sz w:val="16"/>
                <w:szCs w:val="16"/>
              </w:rPr>
              <w:softHyphen/>
              <w:t>ванием, инструментом , приспо со бдениями,черте</w:t>
            </w:r>
            <w:r w:rsidRPr="008127F8">
              <w:rPr>
                <w:rFonts w:ascii="Times New Roman" w:hAnsi="Times New Roman"/>
                <w:color w:val="000000" w:themeColor="text1"/>
                <w:sz w:val="16"/>
                <w:szCs w:val="16"/>
              </w:rPr>
              <w:softHyphen/>
              <w:t>жами и др.для восста</w:t>
            </w:r>
            <w:r w:rsidRPr="008127F8">
              <w:rPr>
                <w:rFonts w:ascii="Times New Roman" w:hAnsi="Times New Roman"/>
                <w:color w:val="000000" w:themeColor="text1"/>
                <w:sz w:val="16"/>
                <w:szCs w:val="16"/>
              </w:rPr>
              <w:softHyphen/>
              <w:t>новления самолетов и моторов.</w:t>
            </w:r>
          </w:p>
        </w:tc>
      </w:tr>
      <w:tr w:rsidR="007C5583" w:rsidRPr="008127F8" w14:paraId="35B1C818"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6459E42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67931F2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М5010 17.У</w:t>
            </w:r>
          </w:p>
        </w:tc>
        <w:tc>
          <w:tcPr>
            <w:tcW w:w="2294" w:type="dxa"/>
            <w:tcBorders>
              <w:top w:val="single" w:sz="12" w:space="0" w:color="auto"/>
              <w:left w:val="single" w:sz="6" w:space="0" w:color="auto"/>
              <w:bottom w:val="single" w:sz="6" w:space="0" w:color="auto"/>
              <w:right w:val="single" w:sz="6" w:space="0" w:color="auto"/>
            </w:tcBorders>
          </w:tcPr>
          <w:p w14:paraId="121F440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Секретарь Свердлов</w:t>
            </w:r>
            <w:r w:rsidRPr="008127F8">
              <w:rPr>
                <w:rFonts w:ascii="Times New Roman" w:hAnsi="Times New Roman"/>
                <w:color w:val="000000" w:themeColor="text1"/>
                <w:sz w:val="16"/>
                <w:szCs w:val="16"/>
              </w:rPr>
              <w:softHyphen/>
              <w:t>ского обкома ВКП/б/ Андрианов</w:t>
            </w:r>
          </w:p>
        </w:tc>
        <w:tc>
          <w:tcPr>
            <w:tcW w:w="4013" w:type="dxa"/>
            <w:tcBorders>
              <w:top w:val="single" w:sz="12" w:space="0" w:color="auto"/>
              <w:left w:val="single" w:sz="6" w:space="0" w:color="auto"/>
              <w:bottom w:val="single" w:sz="6" w:space="0" w:color="auto"/>
              <w:right w:val="single" w:sz="12" w:space="0" w:color="auto"/>
            </w:tcBorders>
          </w:tcPr>
          <w:p w14:paraId="5482B6F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определении типа авиацилиндр для изго</w:t>
            </w:r>
            <w:r w:rsidRPr="008127F8">
              <w:rPr>
                <w:rFonts w:ascii="Times New Roman" w:hAnsi="Times New Roman"/>
                <w:color w:val="000000" w:themeColor="text1"/>
                <w:sz w:val="16"/>
                <w:szCs w:val="16"/>
              </w:rPr>
              <w:softHyphen/>
              <w:t>товления на заводе № 63 НКБ.</w:t>
            </w:r>
          </w:p>
        </w:tc>
      </w:tr>
      <w:tr w:rsidR="007C5583" w:rsidRPr="008127F8" w14:paraId="0ED6FA9A"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00561A9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0245B1A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М4980 16.У</w:t>
            </w:r>
          </w:p>
        </w:tc>
        <w:tc>
          <w:tcPr>
            <w:tcW w:w="2294" w:type="dxa"/>
            <w:tcBorders>
              <w:top w:val="single" w:sz="12" w:space="0" w:color="auto"/>
              <w:left w:val="single" w:sz="6" w:space="0" w:color="auto"/>
              <w:bottom w:val="single" w:sz="6" w:space="0" w:color="auto"/>
              <w:right w:val="single" w:sz="6" w:space="0" w:color="auto"/>
            </w:tcBorders>
          </w:tcPr>
          <w:p w14:paraId="46BBFA2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Скляр, Агапов</w:t>
            </w:r>
          </w:p>
        </w:tc>
        <w:tc>
          <w:tcPr>
            <w:tcW w:w="4013" w:type="dxa"/>
            <w:tcBorders>
              <w:top w:val="single" w:sz="12" w:space="0" w:color="auto"/>
              <w:left w:val="single" w:sz="6" w:space="0" w:color="auto"/>
              <w:bottom w:val="single" w:sz="6" w:space="0" w:color="auto"/>
              <w:right w:val="single" w:sz="12" w:space="0" w:color="auto"/>
            </w:tcBorders>
          </w:tcPr>
          <w:p w14:paraId="347886C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создании базы для производства мотора М-30.</w:t>
            </w:r>
          </w:p>
        </w:tc>
      </w:tr>
      <w:tr w:rsidR="007C5583" w:rsidRPr="008127F8" w14:paraId="10B824C6"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6858A0E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2B2208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М4979 16.У</w:t>
            </w:r>
          </w:p>
        </w:tc>
        <w:tc>
          <w:tcPr>
            <w:tcW w:w="2294" w:type="dxa"/>
            <w:tcBorders>
              <w:top w:val="single" w:sz="12" w:space="0" w:color="auto"/>
              <w:left w:val="single" w:sz="6" w:space="0" w:color="auto"/>
              <w:bottom w:val="single" w:sz="6" w:space="0" w:color="auto"/>
              <w:right w:val="single" w:sz="6" w:space="0" w:color="auto"/>
            </w:tcBorders>
          </w:tcPr>
          <w:p w14:paraId="53BF1BB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Управление кадров ЦК БКП/б/-Шаталин</w:t>
            </w:r>
          </w:p>
        </w:tc>
        <w:tc>
          <w:tcPr>
            <w:tcW w:w="4013" w:type="dxa"/>
            <w:tcBorders>
              <w:top w:val="single" w:sz="12" w:space="0" w:color="auto"/>
              <w:left w:val="single" w:sz="6" w:space="0" w:color="auto"/>
              <w:bottom w:val="single" w:sz="6" w:space="0" w:color="auto"/>
              <w:right w:val="single" w:sz="12" w:space="0" w:color="auto"/>
            </w:tcBorders>
          </w:tcPr>
          <w:p w14:paraId="6597EEF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производстве авиаци</w:t>
            </w:r>
            <w:r w:rsidRPr="008127F8">
              <w:rPr>
                <w:rFonts w:ascii="Times New Roman" w:hAnsi="Times New Roman"/>
                <w:color w:val="000000" w:themeColor="text1"/>
                <w:sz w:val="16"/>
                <w:szCs w:val="16"/>
              </w:rPr>
              <w:softHyphen/>
              <w:t>линдров на заводе № 63 НКБ.</w:t>
            </w:r>
          </w:p>
        </w:tc>
      </w:tr>
      <w:tr w:rsidR="007C5583" w:rsidRPr="008127F8" w14:paraId="72F93DF3"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036770A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3258D33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М4973 16.У</w:t>
            </w:r>
          </w:p>
        </w:tc>
        <w:tc>
          <w:tcPr>
            <w:tcW w:w="2294" w:type="dxa"/>
            <w:tcBorders>
              <w:top w:val="single" w:sz="12" w:space="0" w:color="auto"/>
              <w:left w:val="single" w:sz="6" w:space="0" w:color="auto"/>
              <w:bottom w:val="single" w:sz="6" w:space="0" w:color="auto"/>
              <w:right w:val="single" w:sz="6" w:space="0" w:color="auto"/>
            </w:tcBorders>
          </w:tcPr>
          <w:p w14:paraId="14ACA39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Секретарь Ярославского обкома ВКП/б/ Канунников</w:t>
            </w:r>
          </w:p>
        </w:tc>
        <w:tc>
          <w:tcPr>
            <w:tcW w:w="4013" w:type="dxa"/>
            <w:tcBorders>
              <w:top w:val="single" w:sz="12" w:space="0" w:color="auto"/>
              <w:left w:val="single" w:sz="6" w:space="0" w:color="auto"/>
              <w:bottom w:val="single" w:sz="6" w:space="0" w:color="auto"/>
              <w:right w:val="single" w:sz="12" w:space="0" w:color="auto"/>
            </w:tcBorders>
          </w:tcPr>
          <w:p w14:paraId="3E0C252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организации моторно</w:t>
            </w:r>
            <w:r w:rsidRPr="008127F8">
              <w:rPr>
                <w:rFonts w:ascii="Times New Roman" w:hAnsi="Times New Roman"/>
                <w:color w:val="000000" w:themeColor="text1"/>
                <w:sz w:val="16"/>
                <w:szCs w:val="16"/>
              </w:rPr>
              <w:softHyphen/>
              <w:t>го производства на за</w:t>
            </w:r>
            <w:r w:rsidRPr="008127F8">
              <w:rPr>
                <w:rFonts w:ascii="Times New Roman" w:hAnsi="Times New Roman"/>
                <w:color w:val="000000" w:themeColor="text1"/>
                <w:sz w:val="16"/>
                <w:szCs w:val="16"/>
              </w:rPr>
              <w:softHyphen/>
              <w:t>воде № 36.</w:t>
            </w:r>
          </w:p>
        </w:tc>
      </w:tr>
      <w:tr w:rsidR="007C5583" w:rsidRPr="008127F8" w14:paraId="44273112"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5ECA80B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19BA07C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М4961 16.У</w:t>
            </w:r>
          </w:p>
        </w:tc>
        <w:tc>
          <w:tcPr>
            <w:tcW w:w="2294" w:type="dxa"/>
            <w:tcBorders>
              <w:top w:val="single" w:sz="12" w:space="0" w:color="auto"/>
              <w:left w:val="single" w:sz="6" w:space="0" w:color="auto"/>
              <w:bottom w:val="single" w:sz="6" w:space="0" w:color="auto"/>
              <w:right w:val="single" w:sz="6" w:space="0" w:color="auto"/>
            </w:tcBorders>
          </w:tcPr>
          <w:p w14:paraId="10C89EA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НКО СССР - Воронов</w:t>
            </w:r>
          </w:p>
        </w:tc>
        <w:tc>
          <w:tcPr>
            <w:tcW w:w="4013" w:type="dxa"/>
            <w:tcBorders>
              <w:top w:val="single" w:sz="12" w:space="0" w:color="auto"/>
              <w:left w:val="single" w:sz="6" w:space="0" w:color="auto"/>
              <w:bottom w:val="single" w:sz="6" w:space="0" w:color="auto"/>
              <w:right w:val="single" w:sz="12" w:space="0" w:color="auto"/>
            </w:tcBorders>
          </w:tcPr>
          <w:p w14:paraId="7B7B4C3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постройке современ</w:t>
            </w:r>
            <w:r w:rsidRPr="008127F8">
              <w:rPr>
                <w:rFonts w:ascii="Times New Roman" w:hAnsi="Times New Roman"/>
                <w:color w:val="000000" w:themeColor="text1"/>
                <w:sz w:val="16"/>
                <w:szCs w:val="16"/>
              </w:rPr>
              <w:softHyphen/>
              <w:t>ного разведчика для разведыв.авиации.</w:t>
            </w:r>
          </w:p>
        </w:tc>
      </w:tr>
      <w:tr w:rsidR="007C5583" w:rsidRPr="008127F8" w14:paraId="351B456B"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2E9252C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3E7EBB4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14960 16.У</w:t>
            </w:r>
          </w:p>
        </w:tc>
        <w:tc>
          <w:tcPr>
            <w:tcW w:w="2294" w:type="dxa"/>
            <w:tcBorders>
              <w:top w:val="single" w:sz="12" w:space="0" w:color="auto"/>
              <w:left w:val="single" w:sz="6" w:space="0" w:color="auto"/>
              <w:bottom w:val="single" w:sz="6" w:space="0" w:color="auto"/>
              <w:right w:val="single" w:sz="6" w:space="0" w:color="auto"/>
            </w:tcBorders>
          </w:tcPr>
          <w:p w14:paraId="1EE3F0A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МГК ВПК/б/-Попов</w:t>
            </w:r>
          </w:p>
        </w:tc>
        <w:tc>
          <w:tcPr>
            <w:tcW w:w="4013" w:type="dxa"/>
            <w:tcBorders>
              <w:top w:val="single" w:sz="12" w:space="0" w:color="auto"/>
              <w:left w:val="single" w:sz="6" w:space="0" w:color="auto"/>
              <w:bottom w:val="single" w:sz="6" w:space="0" w:color="auto"/>
              <w:right w:val="single" w:sz="12" w:space="0" w:color="auto"/>
            </w:tcBorders>
          </w:tcPr>
          <w:p w14:paraId="299430A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дефектах мотора АМ-38.</w:t>
            </w:r>
          </w:p>
        </w:tc>
      </w:tr>
      <w:tr w:rsidR="007C5583" w:rsidRPr="008127F8" w14:paraId="6448B117"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7242F00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0CFF852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М4959 16.У</w:t>
            </w:r>
          </w:p>
        </w:tc>
        <w:tc>
          <w:tcPr>
            <w:tcW w:w="2294" w:type="dxa"/>
            <w:tcBorders>
              <w:top w:val="single" w:sz="12" w:space="0" w:color="auto"/>
              <w:left w:val="single" w:sz="6" w:space="0" w:color="auto"/>
              <w:bottom w:val="single" w:sz="6" w:space="0" w:color="auto"/>
              <w:right w:val="single" w:sz="6" w:space="0" w:color="auto"/>
            </w:tcBorders>
          </w:tcPr>
          <w:p w14:paraId="41A3003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НИИ-3 НКБ СССР --Костиков</w:t>
            </w:r>
          </w:p>
        </w:tc>
        <w:tc>
          <w:tcPr>
            <w:tcW w:w="4013" w:type="dxa"/>
            <w:tcBorders>
              <w:top w:val="single" w:sz="12" w:space="0" w:color="auto"/>
              <w:left w:val="single" w:sz="6" w:space="0" w:color="auto"/>
              <w:bottom w:val="single" w:sz="6" w:space="0" w:color="auto"/>
              <w:right w:val="single" w:sz="12" w:space="0" w:color="auto"/>
            </w:tcBorders>
          </w:tcPr>
          <w:p w14:paraId="254BB41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использовании ра</w:t>
            </w:r>
            <w:r w:rsidRPr="008127F8">
              <w:rPr>
                <w:rFonts w:ascii="Times New Roman" w:hAnsi="Times New Roman"/>
                <w:color w:val="000000" w:themeColor="text1"/>
                <w:sz w:val="16"/>
                <w:szCs w:val="16"/>
              </w:rPr>
              <w:softHyphen/>
              <w:t>кетных систем</w:t>
            </w:r>
            <w:r w:rsidRPr="008127F8">
              <w:rPr>
                <w:rFonts w:ascii="Times New Roman" w:hAnsi="Times New Roman"/>
                <w:color w:val="000000" w:themeColor="text1"/>
                <w:sz w:val="16"/>
                <w:szCs w:val="16"/>
                <w:vertAlign w:val="superscript"/>
              </w:rPr>
              <w:t>:</w:t>
            </w:r>
            <w:r w:rsidRPr="008127F8">
              <w:rPr>
                <w:rFonts w:ascii="Times New Roman" w:hAnsi="Times New Roman"/>
                <w:color w:val="000000" w:themeColor="text1"/>
                <w:sz w:val="16"/>
                <w:szCs w:val="16"/>
              </w:rPr>
              <w:t xml:space="preserve"> для борьбы с противником.</w:t>
            </w:r>
          </w:p>
        </w:tc>
      </w:tr>
      <w:tr w:rsidR="007C5583" w:rsidRPr="008127F8" w14:paraId="6ED2EE2B" w14:textId="77777777" w:rsidTr="004C5D62">
        <w:trPr>
          <w:trHeight w:val="432"/>
        </w:trPr>
        <w:tc>
          <w:tcPr>
            <w:tcW w:w="394" w:type="dxa"/>
            <w:tcBorders>
              <w:top w:val="single" w:sz="12" w:space="0" w:color="auto"/>
              <w:left w:val="single" w:sz="12" w:space="0" w:color="auto"/>
              <w:bottom w:val="single" w:sz="12" w:space="0" w:color="auto"/>
              <w:right w:val="single" w:sz="6" w:space="0" w:color="auto"/>
            </w:tcBorders>
          </w:tcPr>
          <w:p w14:paraId="53BEBE4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12" w:space="0" w:color="auto"/>
              <w:right w:val="single" w:sz="6" w:space="0" w:color="auto"/>
            </w:tcBorders>
          </w:tcPr>
          <w:p w14:paraId="5796C4D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М4862 14.7</w:t>
            </w:r>
          </w:p>
        </w:tc>
        <w:tc>
          <w:tcPr>
            <w:tcW w:w="2294" w:type="dxa"/>
            <w:tcBorders>
              <w:top w:val="single" w:sz="12" w:space="0" w:color="auto"/>
              <w:left w:val="single" w:sz="6" w:space="0" w:color="auto"/>
              <w:bottom w:val="single" w:sz="12" w:space="0" w:color="auto"/>
              <w:right w:val="single" w:sz="6" w:space="0" w:color="auto"/>
            </w:tcBorders>
          </w:tcPr>
          <w:p w14:paraId="4E097F0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Управление кадров ЦК ВКЦ/б/-Овчинников</w:t>
            </w:r>
          </w:p>
        </w:tc>
        <w:tc>
          <w:tcPr>
            <w:tcW w:w="4013" w:type="dxa"/>
            <w:tcBorders>
              <w:top w:val="single" w:sz="12" w:space="0" w:color="auto"/>
              <w:left w:val="single" w:sz="6" w:space="0" w:color="auto"/>
              <w:bottom w:val="single" w:sz="12" w:space="0" w:color="auto"/>
              <w:right w:val="single" w:sz="12" w:space="0" w:color="auto"/>
            </w:tcBorders>
          </w:tcPr>
          <w:p w14:paraId="5D5A5DF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выполнении заводом "Карболит" поставок пластических масс заво</w:t>
            </w:r>
            <w:r w:rsidRPr="008127F8">
              <w:rPr>
                <w:rFonts w:ascii="Times New Roman" w:hAnsi="Times New Roman"/>
                <w:color w:val="000000" w:themeColor="text1"/>
                <w:sz w:val="16"/>
                <w:szCs w:val="16"/>
              </w:rPr>
              <w:softHyphen/>
              <w:t>дам НКАП.</w:t>
            </w:r>
          </w:p>
        </w:tc>
      </w:tr>
      <w:tr w:rsidR="007C5583" w:rsidRPr="008127F8" w14:paraId="3317819F"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2D07DEF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22022AA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М4826 13.У</w:t>
            </w:r>
          </w:p>
        </w:tc>
        <w:tc>
          <w:tcPr>
            <w:tcW w:w="2294" w:type="dxa"/>
            <w:tcBorders>
              <w:top w:val="single" w:sz="12" w:space="0" w:color="auto"/>
              <w:left w:val="single" w:sz="6" w:space="0" w:color="auto"/>
              <w:bottom w:val="single" w:sz="6" w:space="0" w:color="auto"/>
              <w:right w:val="single" w:sz="6" w:space="0" w:color="auto"/>
            </w:tcBorders>
          </w:tcPr>
          <w:p w14:paraId="482B695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Секретарь Кировско</w:t>
            </w:r>
            <w:r w:rsidRPr="008127F8">
              <w:rPr>
                <w:rFonts w:ascii="Times New Roman" w:hAnsi="Times New Roman"/>
                <w:color w:val="000000" w:themeColor="text1"/>
                <w:sz w:val="16"/>
                <w:szCs w:val="16"/>
              </w:rPr>
              <w:softHyphen/>
              <w:t>го обкома ВКЦ/б/ -Лукьянов</w:t>
            </w:r>
          </w:p>
        </w:tc>
        <w:tc>
          <w:tcPr>
            <w:tcW w:w="4013" w:type="dxa"/>
            <w:tcBorders>
              <w:top w:val="single" w:sz="12" w:space="0" w:color="auto"/>
              <w:left w:val="single" w:sz="6" w:space="0" w:color="auto"/>
              <w:bottom w:val="single" w:sz="6" w:space="0" w:color="auto"/>
              <w:right w:val="single" w:sz="12" w:space="0" w:color="auto"/>
            </w:tcBorders>
          </w:tcPr>
          <w:p w14:paraId="44740CA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обеспечении заво</w:t>
            </w:r>
            <w:r w:rsidRPr="008127F8">
              <w:rPr>
                <w:rFonts w:ascii="Times New Roman" w:hAnsi="Times New Roman"/>
                <w:color w:val="000000" w:themeColor="text1"/>
                <w:sz w:val="16"/>
                <w:szCs w:val="16"/>
              </w:rPr>
              <w:softHyphen/>
              <w:t>дов № 32 и 484 необ</w:t>
            </w:r>
            <w:r w:rsidRPr="008127F8">
              <w:rPr>
                <w:rFonts w:ascii="Times New Roman" w:hAnsi="Times New Roman"/>
                <w:color w:val="000000" w:themeColor="text1"/>
                <w:sz w:val="16"/>
                <w:szCs w:val="16"/>
              </w:rPr>
              <w:softHyphen/>
              <w:t>ходимыми материалами для новых установок на самолеты.</w:t>
            </w:r>
          </w:p>
        </w:tc>
      </w:tr>
      <w:tr w:rsidR="007C5583" w:rsidRPr="008127F8" w14:paraId="3CFD7467"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27D487C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1F68CC8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М4798 13.У.</w:t>
            </w:r>
          </w:p>
        </w:tc>
        <w:tc>
          <w:tcPr>
            <w:tcW w:w="2294" w:type="dxa"/>
            <w:tcBorders>
              <w:top w:val="single" w:sz="12" w:space="0" w:color="auto"/>
              <w:left w:val="single" w:sz="6" w:space="0" w:color="auto"/>
              <w:bottom w:val="single" w:sz="6" w:space="0" w:color="auto"/>
              <w:right w:val="single" w:sz="6" w:space="0" w:color="auto"/>
            </w:tcBorders>
          </w:tcPr>
          <w:p w14:paraId="127B59F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НКВД СССР - Чернышев</w:t>
            </w:r>
          </w:p>
        </w:tc>
        <w:tc>
          <w:tcPr>
            <w:tcW w:w="4013" w:type="dxa"/>
            <w:tcBorders>
              <w:top w:val="single" w:sz="12" w:space="0" w:color="auto"/>
              <w:left w:val="single" w:sz="6" w:space="0" w:color="auto"/>
              <w:bottom w:val="single" w:sz="6" w:space="0" w:color="auto"/>
              <w:right w:val="single" w:sz="12" w:space="0" w:color="auto"/>
            </w:tcBorders>
          </w:tcPr>
          <w:p w14:paraId="213658E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выполнении поставок по плану материально-технического обеспе</w:t>
            </w:r>
            <w:r w:rsidRPr="008127F8">
              <w:rPr>
                <w:rFonts w:ascii="Times New Roman" w:hAnsi="Times New Roman"/>
                <w:color w:val="000000" w:themeColor="text1"/>
                <w:sz w:val="16"/>
                <w:szCs w:val="16"/>
              </w:rPr>
              <w:softHyphen/>
              <w:t>чения НКАП предприя</w:t>
            </w:r>
            <w:r w:rsidRPr="008127F8">
              <w:rPr>
                <w:rFonts w:ascii="Times New Roman" w:hAnsi="Times New Roman"/>
                <w:color w:val="000000" w:themeColor="text1"/>
                <w:sz w:val="16"/>
                <w:szCs w:val="16"/>
              </w:rPr>
              <w:softHyphen/>
              <w:t>тиями НКВД.</w:t>
            </w:r>
          </w:p>
        </w:tc>
      </w:tr>
      <w:tr w:rsidR="007C5583" w:rsidRPr="008127F8" w14:paraId="32AF17CF"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62676F2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351F2B6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М4791 13.У</w:t>
            </w:r>
          </w:p>
        </w:tc>
        <w:tc>
          <w:tcPr>
            <w:tcW w:w="2294" w:type="dxa"/>
            <w:tcBorders>
              <w:top w:val="single" w:sz="12" w:space="0" w:color="auto"/>
              <w:left w:val="single" w:sz="6" w:space="0" w:color="auto"/>
              <w:bottom w:val="single" w:sz="6" w:space="0" w:color="auto"/>
              <w:right w:val="single" w:sz="6" w:space="0" w:color="auto"/>
            </w:tcBorders>
          </w:tcPr>
          <w:p w14:paraId="07D166F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ВВС Красной Армий-Репин</w:t>
            </w:r>
          </w:p>
        </w:tc>
        <w:tc>
          <w:tcPr>
            <w:tcW w:w="4013" w:type="dxa"/>
            <w:tcBorders>
              <w:top w:val="single" w:sz="12" w:space="0" w:color="auto"/>
              <w:left w:val="single" w:sz="6" w:space="0" w:color="auto"/>
              <w:bottom w:val="single" w:sz="6" w:space="0" w:color="auto"/>
              <w:right w:val="single" w:sz="12" w:space="0" w:color="auto"/>
            </w:tcBorders>
          </w:tcPr>
          <w:p w14:paraId="0767C2F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внедрении в произ</w:t>
            </w:r>
            <w:r w:rsidRPr="008127F8">
              <w:rPr>
                <w:rFonts w:ascii="Times New Roman" w:hAnsi="Times New Roman"/>
                <w:color w:val="000000" w:themeColor="text1"/>
                <w:sz w:val="16"/>
                <w:szCs w:val="16"/>
              </w:rPr>
              <w:softHyphen/>
              <w:t>водство гильзособирателей.</w:t>
            </w:r>
          </w:p>
        </w:tc>
      </w:tr>
      <w:tr w:rsidR="007C5583" w:rsidRPr="008127F8" w14:paraId="7CBD4E15"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02311BC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3103178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М4778 12. У</w:t>
            </w:r>
          </w:p>
        </w:tc>
        <w:tc>
          <w:tcPr>
            <w:tcW w:w="2294" w:type="dxa"/>
            <w:tcBorders>
              <w:top w:val="single" w:sz="12" w:space="0" w:color="auto"/>
              <w:left w:val="single" w:sz="6" w:space="0" w:color="auto"/>
              <w:bottom w:val="single" w:sz="6" w:space="0" w:color="auto"/>
              <w:right w:val="single" w:sz="6" w:space="0" w:color="auto"/>
            </w:tcBorders>
          </w:tcPr>
          <w:p w14:paraId="5EAB64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Управление кадров ЦК ВКП/б/-Шиманов</w:t>
            </w:r>
          </w:p>
        </w:tc>
        <w:tc>
          <w:tcPr>
            <w:tcW w:w="4013" w:type="dxa"/>
            <w:tcBorders>
              <w:top w:val="single" w:sz="12" w:space="0" w:color="auto"/>
              <w:left w:val="single" w:sz="6" w:space="0" w:color="auto"/>
              <w:bottom w:val="single" w:sz="6" w:space="0" w:color="auto"/>
              <w:right w:val="single" w:sz="12" w:space="0" w:color="auto"/>
            </w:tcBorders>
          </w:tcPr>
          <w:p w14:paraId="704AB2E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состоянии работы 21 авиационного за</w:t>
            </w:r>
            <w:r w:rsidRPr="008127F8">
              <w:rPr>
                <w:rFonts w:ascii="Times New Roman" w:hAnsi="Times New Roman"/>
                <w:color w:val="000000" w:themeColor="text1"/>
                <w:sz w:val="16"/>
                <w:szCs w:val="16"/>
              </w:rPr>
              <w:softHyphen/>
              <w:t>вода.</w:t>
            </w:r>
          </w:p>
        </w:tc>
      </w:tr>
      <w:tr w:rsidR="007C5583" w:rsidRPr="008127F8" w14:paraId="4E1D59DA"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05696EA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38C682E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М4652 9.У</w:t>
            </w:r>
          </w:p>
        </w:tc>
        <w:tc>
          <w:tcPr>
            <w:tcW w:w="2294" w:type="dxa"/>
            <w:tcBorders>
              <w:top w:val="single" w:sz="12" w:space="0" w:color="auto"/>
              <w:left w:val="single" w:sz="6" w:space="0" w:color="auto"/>
              <w:bottom w:val="single" w:sz="6" w:space="0" w:color="auto"/>
              <w:right w:val="single" w:sz="6" w:space="0" w:color="auto"/>
            </w:tcBorders>
          </w:tcPr>
          <w:p w14:paraId="32981B3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НКАП СССР - Кахурин</w:t>
            </w:r>
          </w:p>
        </w:tc>
        <w:tc>
          <w:tcPr>
            <w:tcW w:w="4013" w:type="dxa"/>
            <w:tcBorders>
              <w:top w:val="single" w:sz="12" w:space="0" w:color="auto"/>
              <w:left w:val="single" w:sz="6" w:space="0" w:color="auto"/>
              <w:bottom w:val="single" w:sz="6" w:space="0" w:color="auto"/>
              <w:right w:val="single" w:sz="12" w:space="0" w:color="auto"/>
            </w:tcBorders>
          </w:tcPr>
          <w:p w14:paraId="105954F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поставке металли</w:t>
            </w:r>
            <w:r w:rsidRPr="008127F8">
              <w:rPr>
                <w:rFonts w:ascii="Times New Roman" w:hAnsi="Times New Roman"/>
                <w:color w:val="000000" w:themeColor="text1"/>
                <w:sz w:val="16"/>
                <w:szCs w:val="16"/>
              </w:rPr>
              <w:softHyphen/>
              <w:t>ческого магния в 1-м квартале и апреле меся</w:t>
            </w:r>
            <w:r w:rsidRPr="008127F8">
              <w:rPr>
                <w:rFonts w:ascii="Times New Roman" w:hAnsi="Times New Roman"/>
                <w:color w:val="000000" w:themeColor="text1"/>
                <w:sz w:val="16"/>
                <w:szCs w:val="16"/>
              </w:rPr>
              <w:softHyphen/>
              <w:t>це.</w:t>
            </w:r>
          </w:p>
        </w:tc>
      </w:tr>
      <w:tr w:rsidR="007C5583" w:rsidRPr="008127F8" w14:paraId="044D95CF"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570CDD0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238857C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М3955 23.1У</w:t>
            </w:r>
          </w:p>
        </w:tc>
        <w:tc>
          <w:tcPr>
            <w:tcW w:w="2294" w:type="dxa"/>
            <w:tcBorders>
              <w:top w:val="single" w:sz="12" w:space="0" w:color="auto"/>
              <w:left w:val="single" w:sz="6" w:space="0" w:color="auto"/>
              <w:bottom w:val="single" w:sz="6" w:space="0" w:color="auto"/>
              <w:right w:val="single" w:sz="6" w:space="0" w:color="auto"/>
            </w:tcBorders>
          </w:tcPr>
          <w:p w14:paraId="409BEE9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 Вооружения-Устинов</w:t>
            </w:r>
          </w:p>
        </w:tc>
        <w:tc>
          <w:tcPr>
            <w:tcW w:w="4013" w:type="dxa"/>
            <w:tcBorders>
              <w:top w:val="single" w:sz="12" w:space="0" w:color="auto"/>
              <w:left w:val="single" w:sz="6" w:space="0" w:color="auto"/>
              <w:bottom w:val="single" w:sz="6" w:space="0" w:color="auto"/>
              <w:right w:val="single" w:sz="12" w:space="0" w:color="auto"/>
            </w:tcBorders>
          </w:tcPr>
          <w:p w14:paraId="391C0DE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сдаче и отправке заводом и 66 НКВ авиа</w:t>
            </w:r>
            <w:r w:rsidRPr="008127F8">
              <w:rPr>
                <w:rFonts w:ascii="Times New Roman" w:hAnsi="Times New Roman"/>
                <w:color w:val="000000" w:themeColor="text1"/>
                <w:sz w:val="16"/>
                <w:szCs w:val="16"/>
              </w:rPr>
              <w:softHyphen/>
              <w:t>ционных пушек.</w:t>
            </w:r>
          </w:p>
        </w:tc>
      </w:tr>
      <w:tr w:rsidR="007C5583" w:rsidRPr="008127F8" w14:paraId="51551616"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2F78DF9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4B26A94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М10946 15.У</w:t>
            </w:r>
          </w:p>
        </w:tc>
        <w:tc>
          <w:tcPr>
            <w:tcW w:w="2294" w:type="dxa"/>
            <w:tcBorders>
              <w:top w:val="single" w:sz="12" w:space="0" w:color="auto"/>
              <w:left w:val="single" w:sz="6" w:space="0" w:color="auto"/>
              <w:bottom w:val="single" w:sz="6" w:space="0" w:color="auto"/>
              <w:right w:val="single" w:sz="6" w:space="0" w:color="auto"/>
            </w:tcBorders>
          </w:tcPr>
          <w:p w14:paraId="2539DC1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 Текстильной пром-сти - Хазан</w:t>
            </w:r>
          </w:p>
        </w:tc>
        <w:tc>
          <w:tcPr>
            <w:tcW w:w="4013" w:type="dxa"/>
            <w:tcBorders>
              <w:top w:val="single" w:sz="12" w:space="0" w:color="auto"/>
              <w:left w:val="single" w:sz="6" w:space="0" w:color="auto"/>
              <w:bottom w:val="single" w:sz="6" w:space="0" w:color="auto"/>
              <w:right w:val="single" w:sz="12" w:space="0" w:color="auto"/>
            </w:tcBorders>
          </w:tcPr>
          <w:p w14:paraId="37BC640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выполнении плана поставок текстильных товаров НКАП.</w:t>
            </w:r>
          </w:p>
        </w:tc>
      </w:tr>
      <w:tr w:rsidR="007C5583" w:rsidRPr="008127F8" w14:paraId="4F654F93"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483D2BC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6DC5265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М10945 15.У</w:t>
            </w:r>
          </w:p>
        </w:tc>
        <w:tc>
          <w:tcPr>
            <w:tcW w:w="2294" w:type="dxa"/>
            <w:tcBorders>
              <w:top w:val="single" w:sz="12" w:space="0" w:color="auto"/>
              <w:left w:val="single" w:sz="6" w:space="0" w:color="auto"/>
              <w:bottom w:val="single" w:sz="6" w:space="0" w:color="auto"/>
              <w:right w:val="single" w:sz="6" w:space="0" w:color="auto"/>
            </w:tcBorders>
          </w:tcPr>
          <w:p w14:paraId="3F5CC88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 Угольной про</w:t>
            </w:r>
            <w:r w:rsidRPr="008127F8">
              <w:rPr>
                <w:rFonts w:ascii="Times New Roman" w:hAnsi="Times New Roman"/>
                <w:color w:val="000000" w:themeColor="text1"/>
                <w:sz w:val="16"/>
                <w:szCs w:val="16"/>
              </w:rPr>
              <w:softHyphen/>
              <w:t>мышленности СССР-Курмашов</w:t>
            </w:r>
          </w:p>
        </w:tc>
        <w:tc>
          <w:tcPr>
            <w:tcW w:w="4013" w:type="dxa"/>
            <w:tcBorders>
              <w:top w:val="single" w:sz="12" w:space="0" w:color="auto"/>
              <w:left w:val="single" w:sz="6" w:space="0" w:color="auto"/>
              <w:bottom w:val="single" w:sz="6" w:space="0" w:color="auto"/>
              <w:right w:val="single" w:sz="12" w:space="0" w:color="auto"/>
            </w:tcBorders>
          </w:tcPr>
          <w:p w14:paraId="65858C5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отгрузке угля НКАП в апреле мес.1942г.</w:t>
            </w:r>
          </w:p>
        </w:tc>
      </w:tr>
      <w:tr w:rsidR="007C5583" w:rsidRPr="008127F8" w14:paraId="6C3DB63A"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7CAAAB2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3A75789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М10944 15.У</w:t>
            </w:r>
          </w:p>
        </w:tc>
        <w:tc>
          <w:tcPr>
            <w:tcW w:w="2294" w:type="dxa"/>
            <w:tcBorders>
              <w:top w:val="single" w:sz="12" w:space="0" w:color="auto"/>
              <w:left w:val="single" w:sz="6" w:space="0" w:color="auto"/>
              <w:bottom w:val="single" w:sz="6" w:space="0" w:color="auto"/>
              <w:right w:val="single" w:sz="6" w:space="0" w:color="auto"/>
            </w:tcBorders>
          </w:tcPr>
          <w:p w14:paraId="47A14A1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 мясной и хМолочн. пром-сти СССР -Смирнов</w:t>
            </w:r>
          </w:p>
        </w:tc>
        <w:tc>
          <w:tcPr>
            <w:tcW w:w="4013" w:type="dxa"/>
            <w:tcBorders>
              <w:top w:val="single" w:sz="12" w:space="0" w:color="auto"/>
              <w:left w:val="single" w:sz="6" w:space="0" w:color="auto"/>
              <w:bottom w:val="single" w:sz="6" w:space="0" w:color="auto"/>
              <w:right w:val="single" w:sz="12" w:space="0" w:color="auto"/>
            </w:tcBorders>
          </w:tcPr>
          <w:p w14:paraId="11A46ED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поставках готовой продукции НКАП СССР во П-м квартале 1942г.</w:t>
            </w:r>
          </w:p>
        </w:tc>
      </w:tr>
      <w:tr w:rsidR="007C5583" w:rsidRPr="008127F8" w14:paraId="0D57B03F"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1684B3C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7BF1919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М10943 15. У</w:t>
            </w:r>
          </w:p>
        </w:tc>
        <w:tc>
          <w:tcPr>
            <w:tcW w:w="2294" w:type="dxa"/>
            <w:tcBorders>
              <w:top w:val="single" w:sz="12" w:space="0" w:color="auto"/>
              <w:left w:val="single" w:sz="6" w:space="0" w:color="auto"/>
              <w:bottom w:val="single" w:sz="6" w:space="0" w:color="auto"/>
              <w:right w:val="single" w:sz="6" w:space="0" w:color="auto"/>
            </w:tcBorders>
          </w:tcPr>
          <w:p w14:paraId="7D6A2AF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Главметаллосбыт НИМ СССР-Цырен</w:t>
            </w:r>
          </w:p>
        </w:tc>
        <w:tc>
          <w:tcPr>
            <w:tcW w:w="4013" w:type="dxa"/>
            <w:tcBorders>
              <w:top w:val="single" w:sz="12" w:space="0" w:color="auto"/>
              <w:left w:val="single" w:sz="6" w:space="0" w:color="auto"/>
              <w:bottom w:val="single" w:sz="6" w:space="0" w:color="auto"/>
              <w:right w:val="single" w:sz="12" w:space="0" w:color="auto"/>
            </w:tcBorders>
          </w:tcPr>
          <w:p w14:paraId="6CFEFDB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отгрузке металла НКАП по заводам-постав</w:t>
            </w:r>
            <w:r w:rsidRPr="008127F8">
              <w:rPr>
                <w:rFonts w:ascii="Times New Roman" w:hAnsi="Times New Roman"/>
                <w:color w:val="000000" w:themeColor="text1"/>
                <w:sz w:val="16"/>
                <w:szCs w:val="16"/>
              </w:rPr>
              <w:softHyphen/>
              <w:t>щикам в апреле мес.1942г.</w:t>
            </w:r>
          </w:p>
        </w:tc>
      </w:tr>
      <w:tr w:rsidR="007C5583" w:rsidRPr="008127F8" w14:paraId="342E65E5"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781109D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40B4979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М10777 13.У</w:t>
            </w:r>
          </w:p>
        </w:tc>
        <w:tc>
          <w:tcPr>
            <w:tcW w:w="2294" w:type="dxa"/>
            <w:tcBorders>
              <w:top w:val="single" w:sz="12" w:space="0" w:color="auto"/>
              <w:left w:val="single" w:sz="6" w:space="0" w:color="auto"/>
              <w:bottom w:val="single" w:sz="6" w:space="0" w:color="auto"/>
              <w:right w:val="single" w:sz="6" w:space="0" w:color="auto"/>
            </w:tcBorders>
          </w:tcPr>
          <w:p w14:paraId="6B274A5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24 НКАП СССР - Жезлов</w:t>
            </w:r>
          </w:p>
        </w:tc>
        <w:tc>
          <w:tcPr>
            <w:tcW w:w="4013" w:type="dxa"/>
            <w:tcBorders>
              <w:top w:val="single" w:sz="12" w:space="0" w:color="auto"/>
              <w:left w:val="single" w:sz="6" w:space="0" w:color="auto"/>
              <w:bottom w:val="single" w:sz="6" w:space="0" w:color="auto"/>
              <w:right w:val="single" w:sz="12" w:space="0" w:color="auto"/>
            </w:tcBorders>
          </w:tcPr>
          <w:p w14:paraId="5D5C2CC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передаче заводу № 24 дома промышленности.</w:t>
            </w:r>
          </w:p>
        </w:tc>
      </w:tr>
      <w:tr w:rsidR="007C5583" w:rsidRPr="008127F8" w14:paraId="4649F514"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7307E45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10D0023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М10615 11.У</w:t>
            </w:r>
          </w:p>
        </w:tc>
        <w:tc>
          <w:tcPr>
            <w:tcW w:w="2294" w:type="dxa"/>
            <w:tcBorders>
              <w:top w:val="single" w:sz="12" w:space="0" w:color="auto"/>
              <w:left w:val="single" w:sz="6" w:space="0" w:color="auto"/>
              <w:bottom w:val="single" w:sz="6" w:space="0" w:color="auto"/>
              <w:right w:val="single" w:sz="6" w:space="0" w:color="auto"/>
            </w:tcBorders>
          </w:tcPr>
          <w:p w14:paraId="16F2211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Секретарь Куйбы</w:t>
            </w:r>
            <w:r w:rsidRPr="008127F8">
              <w:rPr>
                <w:rFonts w:ascii="Times New Roman" w:hAnsi="Times New Roman"/>
                <w:color w:val="000000" w:themeColor="text1"/>
                <w:sz w:val="16"/>
                <w:szCs w:val="16"/>
              </w:rPr>
              <w:softHyphen/>
              <w:t>шевского обкома ВКЦ/6/-НИКИТИН</w:t>
            </w:r>
          </w:p>
        </w:tc>
        <w:tc>
          <w:tcPr>
            <w:tcW w:w="4013" w:type="dxa"/>
            <w:tcBorders>
              <w:top w:val="single" w:sz="12" w:space="0" w:color="auto"/>
              <w:left w:val="single" w:sz="6" w:space="0" w:color="auto"/>
              <w:bottom w:val="single" w:sz="6" w:space="0" w:color="auto"/>
              <w:right w:val="single" w:sz="12" w:space="0" w:color="auto"/>
            </w:tcBorders>
          </w:tcPr>
          <w:p w14:paraId="61EC6E2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принятии в эксплоата-цию ж.д.ветки Красная Глинка-Безымянка и о выделении трех пасса</w:t>
            </w:r>
            <w:r w:rsidRPr="008127F8">
              <w:rPr>
                <w:rFonts w:ascii="Times New Roman" w:hAnsi="Times New Roman"/>
                <w:color w:val="000000" w:themeColor="text1"/>
                <w:sz w:val="16"/>
                <w:szCs w:val="16"/>
              </w:rPr>
              <w:softHyphen/>
              <w:t>жирских составов (2728,55).</w:t>
            </w:r>
          </w:p>
        </w:tc>
      </w:tr>
    </w:tbl>
    <w:p w14:paraId="1E4BDB3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262D8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комиссия в составе представителей ПРИВО, ГИ завода 180 НКТанкопрома и 306 завода НКАП рассмотрела проект и краткую теххарактеристику сухопутной торпеды (СТ), разработанной и НКАП В.А.Поповым и И.И.Горевым и подготовила техзаключение. Признали целесообразным изготовить 3-5 шт на заводах Саратова для испытания. СТ спроектирована с применением простейших материалов и д.б. двигаться на гусеницах мотором, приводимым от двух 8 литровых баллонов со сжатым воздухом, доставляя 15 кг на 2000 м (1633,114).</w:t>
      </w:r>
    </w:p>
    <w:p w14:paraId="56ADEF6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года комиссия в составе:</w:t>
      </w:r>
    </w:p>
    <w:p w14:paraId="69C7492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 старшего помошника Нач-ка РЭО штаба ПРИВО</w:t>
      </w:r>
    </w:p>
    <w:p w14:paraId="1D4EDA4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Воен-инженера 3 р. КОРНЕЕВА-АРДИШВИЛИ С.В.</w:t>
      </w:r>
    </w:p>
    <w:p w14:paraId="75189F9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Предетавителя 2-го Танкового училища</w:t>
      </w:r>
    </w:p>
    <w:p w14:paraId="4CAF873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Военинженера 3 р ЕПИХИНА В.А.</w:t>
      </w:r>
    </w:p>
    <w:p w14:paraId="04E2887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Главного инженера завода № 180 НКТанкопрома</w:t>
      </w:r>
    </w:p>
    <w:p w14:paraId="019A2E6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smallCaps/>
          <w:color w:val="000000" w:themeColor="text1"/>
          <w:sz w:val="16"/>
          <w:szCs w:val="16"/>
        </w:rPr>
        <w:t>т.Орлова В.И.</w:t>
      </w:r>
    </w:p>
    <w:p w14:paraId="12F1D6F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Старшего Воешреда завода №•180 НКТанкопрома</w:t>
      </w:r>
    </w:p>
    <w:p w14:paraId="62D1980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Инженер-полковника РАЗУМОВА М.С.</w:t>
      </w:r>
    </w:p>
    <w:p w14:paraId="1DC1398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Главного конструктора зязода № 306 НКАП</w:t>
      </w:r>
    </w:p>
    <w:p w14:paraId="18C8425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 ПОЛТЕВА Н.В.</w:t>
      </w:r>
    </w:p>
    <w:p w14:paraId="55A5BEB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рассмотрев проект и краткую техническую зарактеристику сухопутной торпеды /СТ/, разработашюй инженерами НКАП т. ПОПОВЫМ В.А. и т. ГОРЕВЫМ И.И. считает:</w:t>
      </w:r>
    </w:p>
    <w:p w14:paraId="5292A51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Возможно изготовить опытные образцы в количестве 3-5 штук на заводах г. Саратова.</w:t>
      </w:r>
    </w:p>
    <w:p w14:paraId="5ED4FE3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Образец СТ спроектирован с применением простейших материалов /строительная фанера, дерево, чугун, простая углеродистая сталь/ и детали сконструироааны так, что требузтся минимальная механическая обработка литых и штамповашшх заготовок.</w:t>
      </w:r>
    </w:p>
    <w:p w14:paraId="2C292BB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Изготовление деталей и узлов, а также общая сборка СТ могут выполняться на любом иашиностронтелыюм заводе при соответствующей его перестройке и .кооперировании. Некоторые агрегаты /двигатели, баллоны; редукторы, реле/ могут быть использованы готовые.</w:t>
      </w:r>
    </w:p>
    <w:p w14:paraId="427E097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Для решения вопроса о серийное производстве СТ необходимо опытные образцы построить скорее и проверить на них в взаимодействие и механизмов, отработать рабочие чертежи, проверить расчетные данные и |возможности тактического применения.</w:t>
      </w:r>
    </w:p>
    <w:p w14:paraId="783E87E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Для успешного изготовления опытных образцов целесообразно наметить один из саратовских заводов /экспериментальный цех зав. № 306 НКАП/ в качестве ...ведущего и на нём сосредоточить основные работы и сборку, используя другие заводы для изготовления отдельных агрегатов в порядке кооперации.</w:t>
      </w:r>
    </w:p>
    <w:p w14:paraId="11F0890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Строить опытные образцы необходимо под непосредственным руководством авторов проекта.</w:t>
      </w:r>
    </w:p>
    <w:p w14:paraId="53C6935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8127F8">
        <w:rPr>
          <w:rFonts w:ascii="Times New Roman" w:hAnsi="Times New Roman"/>
          <w:color w:val="000000" w:themeColor="text1"/>
          <w:sz w:val="16"/>
          <w:szCs w:val="16"/>
        </w:rPr>
        <w:t>К настоящему акту прилагаются краткое списание и техническая характеристика СТ.</w:t>
      </w:r>
    </w:p>
    <w:p w14:paraId="04100FE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8127F8">
        <w:rPr>
          <w:rFonts w:ascii="Times New Roman" w:hAnsi="Times New Roman"/>
          <w:smallCaps/>
          <w:color w:val="000000" w:themeColor="text1"/>
          <w:sz w:val="16"/>
          <w:szCs w:val="16"/>
        </w:rPr>
        <w:t>КРАТКОЕ ОПИСАНИЕ СТ</w:t>
      </w:r>
    </w:p>
    <w:p w14:paraId="773E144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облегченном отверстиями основании рамы /фанерный лист толщиной 8 мм/ лежат два сваренных из углеродистой стали баллона об"емом8 литров каждый: для сжатого воздуха и стандартный пневматический двигатель СЕ-13 мощностью 1,35 л.с.</w:t>
      </w:r>
    </w:p>
    <w:p w14:paraId="239E184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Воздух из баллона поступает к двигателю через редуктор, устанавливающий рыбочее давление. Заодно с редуктором выполнен кран, открывающий доступ воздуха к двигателю и отвечающий на сигнал “ход”,а также устройство, повышающее рабочее давление перед атакой и отвечающее на сигнал"бросок”. Воздух содержит</w:t>
      </w:r>
      <w:r w:rsidRPr="008127F8">
        <w:rPr>
          <w:rFonts w:ascii="Times New Roman" w:hAnsi="Times New Roman"/>
          <w:color w:val="000000" w:themeColor="text1"/>
          <w:sz w:val="16"/>
          <w:szCs w:val="16"/>
        </w:rPr>
        <w:softHyphen/>
        <w:t>ся и биллонах под давлением 160 ат. Общий запас воздуха обес</w:t>
      </w:r>
      <w:r w:rsidRPr="008127F8">
        <w:rPr>
          <w:rFonts w:ascii="Times New Roman" w:hAnsi="Times New Roman"/>
          <w:color w:val="000000" w:themeColor="text1"/>
          <w:sz w:val="16"/>
          <w:szCs w:val="16"/>
        </w:rPr>
        <w:softHyphen/>
        <w:t>печивает дальность действия торпеды в 2000 метров при дви</w:t>
      </w:r>
      <w:r w:rsidRPr="008127F8">
        <w:rPr>
          <w:rFonts w:ascii="Times New Roman" w:hAnsi="Times New Roman"/>
          <w:color w:val="000000" w:themeColor="text1"/>
          <w:sz w:val="16"/>
          <w:szCs w:val="16"/>
        </w:rPr>
        <w:softHyphen/>
        <w:t>жении с по гогоризонтали. Большой запас дальности принят для движения к цели по обходньы путям и для обхода неопреодолимых препятствий. Вдоль боковых сторон к основанию рамы прикреплены детали подвески.Сзади к основанию рамы крепятся - в центре основной подшипник ходовой части, а по бокам- опоры главной оси. К передней закругленной части основания рамы копятся вспомогательные ролики и кронштейны для ленивцев, На оснований рамы опирается поперечные арки, образующие вместе с четырьмя стрингерами каркас для фанерного кожуха, и не</w:t>
      </w:r>
      <w:r w:rsidRPr="008127F8">
        <w:rPr>
          <w:rFonts w:ascii="Times New Roman" w:hAnsi="Times New Roman"/>
          <w:color w:val="000000" w:themeColor="text1"/>
          <w:sz w:val="16"/>
          <w:szCs w:val="16"/>
        </w:rPr>
        <w:softHyphen/>
        <w:t>сущие опоры для поддерживающих роликов.</w:t>
      </w:r>
    </w:p>
    <w:p w14:paraId="0316461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Стрингеры спереди и сзади опираются на задние концы основания рамы. Задняя часть фанерного кожуха целиком отки</w:t>
      </w:r>
      <w:r w:rsidRPr="008127F8">
        <w:rPr>
          <w:rFonts w:ascii="Times New Roman" w:hAnsi="Times New Roman"/>
          <w:color w:val="000000" w:themeColor="text1"/>
          <w:sz w:val="16"/>
          <w:szCs w:val="16"/>
        </w:rPr>
        <w:softHyphen/>
        <w:t>дывается и представляет собой как бы крышку-люк для вклады</w:t>
      </w:r>
      <w:r w:rsidRPr="008127F8">
        <w:rPr>
          <w:rFonts w:ascii="Times New Roman" w:hAnsi="Times New Roman"/>
          <w:color w:val="000000" w:themeColor="text1"/>
          <w:sz w:val="16"/>
          <w:szCs w:val="16"/>
        </w:rPr>
        <w:softHyphen/>
        <w:t>вания заряда ВВ и варывателя и для осмотра внутренностей устройства СТ. Поперечные арки и стрингеры крепятся к осно</w:t>
      </w:r>
      <w:r w:rsidRPr="008127F8">
        <w:rPr>
          <w:rFonts w:ascii="Times New Roman" w:hAnsi="Times New Roman"/>
          <w:color w:val="000000" w:themeColor="text1"/>
          <w:sz w:val="16"/>
          <w:szCs w:val="16"/>
        </w:rPr>
        <w:softHyphen/>
        <w:t>ванию рамы шурупами и гвоздями на клею, Ведущие колеса связа</w:t>
      </w:r>
      <w:r w:rsidRPr="008127F8">
        <w:rPr>
          <w:rFonts w:ascii="Times New Roman" w:hAnsi="Times New Roman"/>
          <w:color w:val="000000" w:themeColor="text1"/>
          <w:sz w:val="16"/>
          <w:szCs w:val="16"/>
        </w:rPr>
        <w:softHyphen/>
        <w:t>ны фрикционами с ведущей втулкой, которая несет на себе коническую шестерню, сцепленную с ведущей щестерней, сидящей на валу пневматического двигателя./для поворота ОТ по сигналам "право" или "лево" отжимается один из конусов и одно из ведущих колес отключается от нормального фрикциона и приключается к фрикциону пониженной скорости. При этом данное колесо вращаться с числом оборотов в четыре раза меньше, чем второе колесо и СТ поворачивает в сторону. При необходимости преодолеть крутой под"ем или при движении по очень трудному грунту включаются одновременно сигналы " право" и "лево". При этом оба ведущие колоса вращаются не от нормальных фрикционов, а от фрикционов пониженной скорости, т.е. с числом оборотов в 4 раса меньше чем нормальное и СТ на малой скорости проходит по под"ему. Опорные деревянные ролики СТ имеют независимую подвеску па спиральные пружинах. Детали подвески отштампованы все заодно из 1 1/2 мммягкой стали. Ленивцы имеют устройство, обеспечивающее нужное натяжение гусениц. Гусеницы представляют собой брезентовыв ленту толщиной 2 мм, вавулканизированные заодно с резиновой наружной полоской и снабженные рубчиками -шипами высотой 5 мм. Между наружным слоем рзезины и брезентовой лентой проложены штампованные железные пластинки толщиной 0,8 мм с отверстиями облегчения и рифтами. Длина каждой пластинки 20 мм, а расстояния ыеад пластинками - 2 мм. При накатывании на ленивец одна пластинка отгибается относительно друцой на угол 18°. При накатывании на ведущее колесо этот угол равен 8°. Для создания необходимого тягового усилия по окружности ведущего колеса набита тонкая железная полоса, в которой пробиты отвер</w:t>
      </w:r>
      <w:r w:rsidRPr="008127F8">
        <w:rPr>
          <w:rFonts w:ascii="Times New Roman" w:hAnsi="Times New Roman"/>
          <w:color w:val="000000" w:themeColor="text1"/>
          <w:sz w:val="16"/>
          <w:szCs w:val="16"/>
        </w:rPr>
        <w:softHyphen/>
        <w:t>стия , края которых несколько выступают наружу. Это простое при-сиособление исключает проскальзывание гусеницы по ведущему колесу.</w:t>
      </w:r>
    </w:p>
    <w:p w14:paraId="088CBD1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Управление СТ сводятся к подаче сигналов: ."ход", "стоп", "право", "лево", "бросок" и "взрыв".Эти сигналы подаются нажатием пяти кнопок на пульте управления.</w:t>
      </w:r>
    </w:p>
    <w:p w14:paraId="1A3E430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8127F8">
        <w:rPr>
          <w:rFonts w:ascii="Times New Roman" w:hAnsi="Times New Roman"/>
          <w:color w:val="000000" w:themeColor="text1"/>
          <w:sz w:val="16"/>
          <w:szCs w:val="16"/>
        </w:rPr>
        <w:t>При нажатии кнопки электрический ток от легкого карманного аккумулятора или сухой батареи поступает в соответствующее реле, которое замыкает цепь соответствующего электромагнита, питающегося от небольшого аккумулятора емкостью около 0,25 ампер-часа,установленного в СТ..Электромагнит включает нужный пневматический кран и торпеда выполняет комэдду. Опыты подтвер</w:t>
      </w:r>
      <w:r w:rsidRPr="008127F8">
        <w:rPr>
          <w:rFonts w:ascii="Times New Roman" w:hAnsi="Times New Roman"/>
          <w:color w:val="000000" w:themeColor="text1"/>
          <w:sz w:val="16"/>
          <w:szCs w:val="16"/>
        </w:rPr>
        <w:softHyphen/>
        <w:t>дили надежность такого управления. Пневматический двигатель работает безотказно , не требует регулировки иликакого либо ухода, всегда готов к действию и является наиболее простым и надежным Из всех известных двигателей. Подготовка СТ к действию заклю</w:t>
      </w:r>
      <w:r w:rsidRPr="008127F8">
        <w:rPr>
          <w:rFonts w:ascii="Times New Roman" w:hAnsi="Times New Roman"/>
          <w:color w:val="000000" w:themeColor="text1"/>
          <w:sz w:val="16"/>
          <w:szCs w:val="16"/>
        </w:rPr>
        <w:softHyphen/>
        <w:t>чается в повороте одного запорного крана.</w:t>
      </w:r>
    </w:p>
    <w:p w14:paraId="619DDB5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этом воздух из баллонов поступает к редуктору и СТ становится управляемой, т.е. отвечает на сигналы, подаваемые о поста управления.</w:t>
      </w:r>
    </w:p>
    <w:p w14:paraId="7FF5777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Опытный образец СТ имеет следующие данные /по проекту:/</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05"/>
        <w:gridCol w:w="5443"/>
        <w:gridCol w:w="3629"/>
      </w:tblGrid>
      <w:tr w:rsidR="007C5583" w:rsidRPr="008127F8" w14:paraId="1B7A61EB" w14:textId="77777777" w:rsidTr="004C5D62">
        <w:trPr>
          <w:trHeight w:val="1027"/>
        </w:trPr>
        <w:tc>
          <w:tcPr>
            <w:tcW w:w="605" w:type="dxa"/>
            <w:tcBorders>
              <w:top w:val="single" w:sz="12" w:space="0" w:color="auto"/>
            </w:tcBorders>
          </w:tcPr>
          <w:p w14:paraId="06F49E9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п/п.</w:t>
            </w:r>
          </w:p>
        </w:tc>
        <w:tc>
          <w:tcPr>
            <w:tcW w:w="5443" w:type="dxa"/>
            <w:tcBorders>
              <w:top w:val="single" w:sz="12" w:space="0" w:color="auto"/>
            </w:tcBorders>
          </w:tcPr>
          <w:p w14:paraId="7175E87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величин</w:t>
            </w:r>
          </w:p>
        </w:tc>
        <w:tc>
          <w:tcPr>
            <w:tcW w:w="3629" w:type="dxa"/>
            <w:tcBorders>
              <w:top w:val="single" w:sz="12" w:space="0" w:color="auto"/>
            </w:tcBorders>
          </w:tcPr>
          <w:p w14:paraId="5363171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Значение величин</w:t>
            </w:r>
          </w:p>
        </w:tc>
      </w:tr>
      <w:tr w:rsidR="007C5583" w:rsidRPr="008127F8" w14:paraId="35DB680E" w14:textId="77777777" w:rsidTr="004C5D62">
        <w:trPr>
          <w:trHeight w:val="806"/>
        </w:trPr>
        <w:tc>
          <w:tcPr>
            <w:tcW w:w="605" w:type="dxa"/>
          </w:tcPr>
          <w:p w14:paraId="410B388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443" w:type="dxa"/>
          </w:tcPr>
          <w:p w14:paraId="668584A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Общий вес в кгр</w:t>
            </w:r>
          </w:p>
        </w:tc>
        <w:tc>
          <w:tcPr>
            <w:tcW w:w="3629" w:type="dxa"/>
          </w:tcPr>
          <w:p w14:paraId="2B3F48D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r>
      <w:tr w:rsidR="007C5583" w:rsidRPr="008127F8" w14:paraId="314E0B0F" w14:textId="77777777" w:rsidTr="004C5D62">
        <w:trPr>
          <w:trHeight w:val="355"/>
        </w:trPr>
        <w:tc>
          <w:tcPr>
            <w:tcW w:w="605" w:type="dxa"/>
          </w:tcPr>
          <w:p w14:paraId="3D33C12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5443" w:type="dxa"/>
          </w:tcPr>
          <w:p w14:paraId="05857D0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заряда ВВ в кгр</w:t>
            </w:r>
          </w:p>
        </w:tc>
        <w:tc>
          <w:tcPr>
            <w:tcW w:w="3629" w:type="dxa"/>
          </w:tcPr>
          <w:p w14:paraId="6D1A9EE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r>
      <w:tr w:rsidR="007C5583" w:rsidRPr="008127F8" w14:paraId="1ABF06AC" w14:textId="77777777" w:rsidTr="004C5D62">
        <w:trPr>
          <w:trHeight w:val="365"/>
        </w:trPr>
        <w:tc>
          <w:tcPr>
            <w:tcW w:w="605" w:type="dxa"/>
          </w:tcPr>
          <w:p w14:paraId="1A0B18E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5443" w:type="dxa"/>
          </w:tcPr>
          <w:p w14:paraId="36C69F8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торпеды в мм</w:t>
            </w:r>
          </w:p>
        </w:tc>
        <w:tc>
          <w:tcPr>
            <w:tcW w:w="3629" w:type="dxa"/>
          </w:tcPr>
          <w:p w14:paraId="7CE2901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1160</w:t>
            </w:r>
          </w:p>
        </w:tc>
      </w:tr>
      <w:tr w:rsidR="007C5583" w:rsidRPr="008127F8" w14:paraId="40D568DC" w14:textId="77777777" w:rsidTr="004C5D62">
        <w:trPr>
          <w:trHeight w:val="355"/>
        </w:trPr>
        <w:tc>
          <w:tcPr>
            <w:tcW w:w="605" w:type="dxa"/>
          </w:tcPr>
          <w:p w14:paraId="2D6FA41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5443" w:type="dxa"/>
          </w:tcPr>
          <w:p w14:paraId="2EF5E0C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Ширина торпеды в мм</w:t>
            </w:r>
          </w:p>
        </w:tc>
        <w:tc>
          <w:tcPr>
            <w:tcW w:w="3629" w:type="dxa"/>
          </w:tcPr>
          <w:p w14:paraId="29BC88B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r>
      <w:tr w:rsidR="007C5583" w:rsidRPr="008127F8" w14:paraId="72A248A5" w14:textId="77777777" w:rsidTr="004C5D62">
        <w:trPr>
          <w:trHeight w:val="326"/>
        </w:trPr>
        <w:tc>
          <w:tcPr>
            <w:tcW w:w="605" w:type="dxa"/>
          </w:tcPr>
          <w:p w14:paraId="5624A95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5443" w:type="dxa"/>
          </w:tcPr>
          <w:p w14:paraId="5781849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Высота торпеды в м</w:t>
            </w:r>
            <w:r w:rsidRPr="008127F8">
              <w:rPr>
                <w:rFonts w:ascii="Times New Roman" w:hAnsi="Times New Roman"/>
                <w:smallCaps/>
                <w:color w:val="000000" w:themeColor="text1"/>
                <w:sz w:val="16"/>
                <w:szCs w:val="16"/>
              </w:rPr>
              <w:t>м</w:t>
            </w:r>
          </w:p>
          <w:p w14:paraId="1EC9473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29" w:type="dxa"/>
          </w:tcPr>
          <w:p w14:paraId="2ABEBE9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370</w:t>
            </w:r>
          </w:p>
        </w:tc>
      </w:tr>
      <w:tr w:rsidR="007C5583" w:rsidRPr="008127F8" w14:paraId="369E89CB" w14:textId="77777777" w:rsidTr="004C5D62">
        <w:trPr>
          <w:trHeight w:val="384"/>
        </w:trPr>
        <w:tc>
          <w:tcPr>
            <w:tcW w:w="605" w:type="dxa"/>
          </w:tcPr>
          <w:p w14:paraId="56C9DF1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5443" w:type="dxa"/>
          </w:tcPr>
          <w:p w14:paraId="197F9C9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Ширина колеи /по центрам/ в мм</w:t>
            </w:r>
          </w:p>
        </w:tc>
        <w:tc>
          <w:tcPr>
            <w:tcW w:w="3629" w:type="dxa"/>
          </w:tcPr>
          <w:p w14:paraId="4FA6372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360</w:t>
            </w:r>
          </w:p>
        </w:tc>
      </w:tr>
      <w:tr w:rsidR="007C5583" w:rsidRPr="008127F8" w14:paraId="3572D3C6" w14:textId="77777777" w:rsidTr="004C5D62">
        <w:trPr>
          <w:trHeight w:val="336"/>
        </w:trPr>
        <w:tc>
          <w:tcPr>
            <w:tcW w:w="605" w:type="dxa"/>
          </w:tcPr>
          <w:p w14:paraId="7B18F42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5443" w:type="dxa"/>
          </w:tcPr>
          <w:p w14:paraId="075C74D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Высота зацепа в мм</w:t>
            </w:r>
          </w:p>
        </w:tc>
        <w:tc>
          <w:tcPr>
            <w:tcW w:w="3629" w:type="dxa"/>
          </w:tcPr>
          <w:p w14:paraId="00FAED6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w:t>
            </w:r>
          </w:p>
        </w:tc>
      </w:tr>
      <w:tr w:rsidR="007C5583" w:rsidRPr="008127F8" w14:paraId="036EE9E2" w14:textId="77777777" w:rsidTr="004C5D62">
        <w:trPr>
          <w:trHeight w:val="394"/>
        </w:trPr>
        <w:tc>
          <w:tcPr>
            <w:tcW w:w="605" w:type="dxa"/>
          </w:tcPr>
          <w:p w14:paraId="11332BB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smallCaps/>
                <w:color w:val="000000" w:themeColor="text1"/>
                <w:sz w:val="16"/>
                <w:szCs w:val="16"/>
              </w:rPr>
              <w:t>8</w:t>
            </w:r>
          </w:p>
        </w:tc>
        <w:tc>
          <w:tcPr>
            <w:tcW w:w="5443" w:type="dxa"/>
          </w:tcPr>
          <w:p w14:paraId="7321208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опорной части гусеницы в мм</w:t>
            </w:r>
          </w:p>
        </w:tc>
        <w:tc>
          <w:tcPr>
            <w:tcW w:w="3629" w:type="dxa"/>
          </w:tcPr>
          <w:p w14:paraId="58E9264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560</w:t>
            </w:r>
          </w:p>
        </w:tc>
      </w:tr>
      <w:tr w:rsidR="007C5583" w:rsidRPr="008127F8" w14:paraId="71FF0746" w14:textId="77777777" w:rsidTr="004C5D62">
        <w:trPr>
          <w:trHeight w:val="346"/>
        </w:trPr>
        <w:tc>
          <w:tcPr>
            <w:tcW w:w="605" w:type="dxa"/>
          </w:tcPr>
          <w:p w14:paraId="510F466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5443" w:type="dxa"/>
          </w:tcPr>
          <w:p w14:paraId="520C222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Число опорные роликов</w:t>
            </w:r>
          </w:p>
        </w:tc>
        <w:tc>
          <w:tcPr>
            <w:tcW w:w="3629" w:type="dxa"/>
          </w:tcPr>
          <w:p w14:paraId="3686F20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r>
      <w:tr w:rsidR="007C5583" w:rsidRPr="008127F8" w14:paraId="6A7FAE40" w14:textId="77777777" w:rsidTr="004C5D62">
        <w:trPr>
          <w:trHeight w:val="346"/>
        </w:trPr>
        <w:tc>
          <w:tcPr>
            <w:tcW w:w="605" w:type="dxa"/>
          </w:tcPr>
          <w:p w14:paraId="5FC6EC6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5443" w:type="dxa"/>
          </w:tcPr>
          <w:p w14:paraId="6D67516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Мощность двигателя в л. с.</w:t>
            </w:r>
          </w:p>
        </w:tc>
        <w:tc>
          <w:tcPr>
            <w:tcW w:w="3629" w:type="dxa"/>
          </w:tcPr>
          <w:p w14:paraId="2FABBD0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w:t>
            </w:r>
          </w:p>
        </w:tc>
      </w:tr>
      <w:tr w:rsidR="007C5583" w:rsidRPr="008127F8" w14:paraId="5D4367BB" w14:textId="77777777" w:rsidTr="004C5D62">
        <w:trPr>
          <w:trHeight w:val="355"/>
        </w:trPr>
        <w:tc>
          <w:tcPr>
            <w:tcW w:w="605" w:type="dxa"/>
          </w:tcPr>
          <w:p w14:paraId="3F4CBEF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w:t>
            </w:r>
          </w:p>
        </w:tc>
        <w:tc>
          <w:tcPr>
            <w:tcW w:w="5443" w:type="dxa"/>
          </w:tcPr>
          <w:p w14:paraId="7E47E5C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Скорость по горизонтали в км/час</w:t>
            </w:r>
          </w:p>
        </w:tc>
        <w:tc>
          <w:tcPr>
            <w:tcW w:w="3629" w:type="dxa"/>
          </w:tcPr>
          <w:p w14:paraId="2746AC0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r>
      <w:tr w:rsidR="007C5583" w:rsidRPr="008127F8" w14:paraId="75D555A1" w14:textId="77777777" w:rsidTr="004C5D62">
        <w:trPr>
          <w:trHeight w:val="394"/>
        </w:trPr>
        <w:tc>
          <w:tcPr>
            <w:tcW w:w="605" w:type="dxa"/>
          </w:tcPr>
          <w:p w14:paraId="7DEF582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w:t>
            </w:r>
          </w:p>
        </w:tc>
        <w:tc>
          <w:tcPr>
            <w:tcW w:w="5443" w:type="dxa"/>
          </w:tcPr>
          <w:p w14:paraId="6216E87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Скорость подъема на 45° в км/час</w:t>
            </w:r>
          </w:p>
        </w:tc>
        <w:tc>
          <w:tcPr>
            <w:tcW w:w="3629" w:type="dxa"/>
          </w:tcPr>
          <w:p w14:paraId="23E07AD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w:t>
            </w:r>
          </w:p>
        </w:tc>
      </w:tr>
      <w:tr w:rsidR="007C5583" w:rsidRPr="008127F8" w14:paraId="5246FFAE" w14:textId="77777777" w:rsidTr="004C5D62">
        <w:trPr>
          <w:trHeight w:val="326"/>
        </w:trPr>
        <w:tc>
          <w:tcPr>
            <w:tcW w:w="605" w:type="dxa"/>
          </w:tcPr>
          <w:p w14:paraId="1443054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tc>
        <w:tc>
          <w:tcPr>
            <w:tcW w:w="5443" w:type="dxa"/>
          </w:tcPr>
          <w:p w14:paraId="6A2EAED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Далыность действий по горизонтали в метрах</w:t>
            </w:r>
          </w:p>
        </w:tc>
        <w:tc>
          <w:tcPr>
            <w:tcW w:w="3629" w:type="dxa"/>
          </w:tcPr>
          <w:p w14:paraId="1BF6487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 при давлении 160 атм и емкости баллонов 2,56 м3</w:t>
            </w:r>
          </w:p>
        </w:tc>
      </w:tr>
      <w:tr w:rsidR="007C5583" w:rsidRPr="008127F8" w14:paraId="707A1C63" w14:textId="77777777" w:rsidTr="004C5D62">
        <w:trPr>
          <w:trHeight w:val="326"/>
        </w:trPr>
        <w:tc>
          <w:tcPr>
            <w:tcW w:w="605" w:type="dxa"/>
          </w:tcPr>
          <w:p w14:paraId="08CB991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w:t>
            </w:r>
          </w:p>
        </w:tc>
        <w:tc>
          <w:tcPr>
            <w:tcW w:w="5443" w:type="dxa"/>
          </w:tcPr>
          <w:p w14:paraId="05BDE4C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Число принимаемых сигналов</w:t>
            </w:r>
          </w:p>
        </w:tc>
        <w:tc>
          <w:tcPr>
            <w:tcW w:w="3629" w:type="dxa"/>
          </w:tcPr>
          <w:p w14:paraId="60FD4CD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/при 6 кнопках принимается 7 команд/</w:t>
            </w:r>
          </w:p>
        </w:tc>
      </w:tr>
      <w:tr w:rsidR="007C5583" w:rsidRPr="008127F8" w14:paraId="79FFBD50" w14:textId="77777777" w:rsidTr="004C5D62">
        <w:trPr>
          <w:trHeight w:val="326"/>
        </w:trPr>
        <w:tc>
          <w:tcPr>
            <w:tcW w:w="605" w:type="dxa"/>
          </w:tcPr>
          <w:p w14:paraId="179FEFF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5443" w:type="dxa"/>
          </w:tcPr>
          <w:p w14:paraId="6DC57CB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Скорость реагирования на сигнал</w:t>
            </w:r>
          </w:p>
        </w:tc>
        <w:tc>
          <w:tcPr>
            <w:tcW w:w="3629" w:type="dxa"/>
          </w:tcPr>
          <w:p w14:paraId="4C4E7C3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0,1</w:t>
            </w:r>
          </w:p>
        </w:tc>
      </w:tr>
      <w:tr w:rsidR="007C5583" w:rsidRPr="008127F8" w14:paraId="4D28FE23" w14:textId="77777777" w:rsidTr="004C5D62">
        <w:trPr>
          <w:trHeight w:val="326"/>
        </w:trPr>
        <w:tc>
          <w:tcPr>
            <w:tcW w:w="605" w:type="dxa"/>
          </w:tcPr>
          <w:p w14:paraId="630EB1E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5443" w:type="dxa"/>
          </w:tcPr>
          <w:p w14:paraId="45CADC7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Кинематически возможный минимальный радиус поворота в м</w:t>
            </w:r>
          </w:p>
        </w:tc>
        <w:tc>
          <w:tcPr>
            <w:tcW w:w="3629" w:type="dxa"/>
          </w:tcPr>
          <w:p w14:paraId="1279291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0,48</w:t>
            </w:r>
          </w:p>
        </w:tc>
      </w:tr>
      <w:tr w:rsidR="007C5583" w:rsidRPr="008127F8" w14:paraId="6E1A0085" w14:textId="77777777" w:rsidTr="004C5D62">
        <w:trPr>
          <w:trHeight w:val="326"/>
        </w:trPr>
        <w:tc>
          <w:tcPr>
            <w:tcW w:w="605" w:type="dxa"/>
          </w:tcPr>
          <w:p w14:paraId="38AA6ED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17 </w:t>
            </w:r>
          </w:p>
        </w:tc>
        <w:tc>
          <w:tcPr>
            <w:tcW w:w="5443" w:type="dxa"/>
          </w:tcPr>
          <w:p w14:paraId="7D6A033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Предельный по опрокидыванию радиус поворота при скорости 38 км. час в метрах</w:t>
            </w:r>
          </w:p>
        </w:tc>
        <w:tc>
          <w:tcPr>
            <w:tcW w:w="3629" w:type="dxa"/>
          </w:tcPr>
          <w:p w14:paraId="670962A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15,5</w:t>
            </w:r>
          </w:p>
        </w:tc>
      </w:tr>
      <w:tr w:rsidR="007C5583" w:rsidRPr="008127F8" w14:paraId="2232B7D6" w14:textId="77777777" w:rsidTr="004C5D62">
        <w:trPr>
          <w:trHeight w:val="326"/>
        </w:trPr>
        <w:tc>
          <w:tcPr>
            <w:tcW w:w="605" w:type="dxa"/>
          </w:tcPr>
          <w:p w14:paraId="7692F17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w:t>
            </w:r>
          </w:p>
        </w:tc>
        <w:tc>
          <w:tcPr>
            <w:tcW w:w="5443" w:type="dxa"/>
          </w:tcPr>
          <w:p w14:paraId="7E45511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Тоже при скоростии 5,5</w:t>
            </w:r>
          </w:p>
        </w:tc>
        <w:tc>
          <w:tcPr>
            <w:tcW w:w="3629" w:type="dxa"/>
          </w:tcPr>
          <w:p w14:paraId="4444E5D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0,31</w:t>
            </w:r>
          </w:p>
        </w:tc>
      </w:tr>
      <w:tr w:rsidR="007C5583" w:rsidRPr="008127F8" w14:paraId="2FACBBE7" w14:textId="77777777" w:rsidTr="004C5D62">
        <w:trPr>
          <w:trHeight w:val="326"/>
        </w:trPr>
        <w:tc>
          <w:tcPr>
            <w:tcW w:w="605" w:type="dxa"/>
          </w:tcPr>
          <w:p w14:paraId="0EC345D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5443" w:type="dxa"/>
          </w:tcPr>
          <w:p w14:paraId="745B0C5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Предельный поперечный крен</w:t>
            </w:r>
          </w:p>
        </w:tc>
        <w:tc>
          <w:tcPr>
            <w:tcW w:w="3629" w:type="dxa"/>
          </w:tcPr>
          <w:p w14:paraId="63F456A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w:t>
            </w:r>
          </w:p>
        </w:tc>
      </w:tr>
      <w:tr w:rsidR="007C5583" w:rsidRPr="008127F8" w14:paraId="625D633B" w14:textId="77777777" w:rsidTr="004C5D62">
        <w:trPr>
          <w:trHeight w:val="326"/>
        </w:trPr>
        <w:tc>
          <w:tcPr>
            <w:tcW w:w="605" w:type="dxa"/>
          </w:tcPr>
          <w:p w14:paraId="10B15D1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20 </w:t>
            </w:r>
          </w:p>
        </w:tc>
        <w:tc>
          <w:tcPr>
            <w:tcW w:w="5443" w:type="dxa"/>
          </w:tcPr>
          <w:p w14:paraId="7F4D22D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Удаленность снаряда от точки касания обхекта в мм</w:t>
            </w:r>
          </w:p>
        </w:tc>
        <w:tc>
          <w:tcPr>
            <w:tcW w:w="3629" w:type="dxa"/>
          </w:tcPr>
          <w:p w14:paraId="4D3E194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r>
      <w:tr w:rsidR="007C5583" w:rsidRPr="008127F8" w14:paraId="174D563E" w14:textId="77777777" w:rsidTr="004C5D62">
        <w:trPr>
          <w:trHeight w:val="326"/>
        </w:trPr>
        <w:tc>
          <w:tcPr>
            <w:tcW w:w="605" w:type="dxa"/>
          </w:tcPr>
          <w:p w14:paraId="33B4BA7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21 </w:t>
            </w:r>
          </w:p>
        </w:tc>
        <w:tc>
          <w:tcPr>
            <w:tcW w:w="5443" w:type="dxa"/>
          </w:tcPr>
          <w:p w14:paraId="3762D7A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Клиренс в мм в середине и по бокам в мм</w:t>
            </w:r>
          </w:p>
        </w:tc>
        <w:tc>
          <w:tcPr>
            <w:tcW w:w="3629" w:type="dxa"/>
          </w:tcPr>
          <w:p w14:paraId="65F8DD4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155/125</w:t>
            </w:r>
          </w:p>
        </w:tc>
      </w:tr>
      <w:tr w:rsidR="007C5583" w:rsidRPr="008127F8" w14:paraId="7090B976" w14:textId="77777777" w:rsidTr="004C5D62">
        <w:trPr>
          <w:trHeight w:val="326"/>
        </w:trPr>
        <w:tc>
          <w:tcPr>
            <w:tcW w:w="605" w:type="dxa"/>
          </w:tcPr>
          <w:p w14:paraId="0CF2488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c>
          <w:tcPr>
            <w:tcW w:w="5443" w:type="dxa"/>
          </w:tcPr>
          <w:p w14:paraId="45D4A81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Удельное давление на грунт кг/см2</w:t>
            </w:r>
          </w:p>
        </w:tc>
        <w:tc>
          <w:tcPr>
            <w:tcW w:w="3629" w:type="dxa"/>
          </w:tcPr>
          <w:p w14:paraId="0A40BC9E"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0,1</w:t>
            </w:r>
          </w:p>
        </w:tc>
      </w:tr>
      <w:tr w:rsidR="007C5583" w:rsidRPr="008127F8" w14:paraId="7E1C9B36" w14:textId="77777777" w:rsidTr="004C5D62">
        <w:trPr>
          <w:trHeight w:val="326"/>
        </w:trPr>
        <w:tc>
          <w:tcPr>
            <w:tcW w:w="605" w:type="dxa"/>
          </w:tcPr>
          <w:p w14:paraId="7B27C95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5443" w:type="dxa"/>
          </w:tcPr>
          <w:p w14:paraId="4063268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Высота цт по вертикали в м</w:t>
            </w:r>
          </w:p>
        </w:tc>
        <w:tc>
          <w:tcPr>
            <w:tcW w:w="3629" w:type="dxa"/>
          </w:tcPr>
          <w:p w14:paraId="36C9FDD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0,23</w:t>
            </w:r>
          </w:p>
        </w:tc>
      </w:tr>
      <w:tr w:rsidR="007C5583" w:rsidRPr="008127F8" w14:paraId="2E917871" w14:textId="77777777" w:rsidTr="004C5D62">
        <w:trPr>
          <w:trHeight w:val="326"/>
        </w:trPr>
        <w:tc>
          <w:tcPr>
            <w:tcW w:w="605" w:type="dxa"/>
            <w:tcBorders>
              <w:bottom w:val="single" w:sz="12" w:space="0" w:color="auto"/>
            </w:tcBorders>
          </w:tcPr>
          <w:p w14:paraId="2A7B72F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5443" w:type="dxa"/>
            <w:tcBorders>
              <w:bottom w:val="single" w:sz="12" w:space="0" w:color="auto"/>
            </w:tcBorders>
          </w:tcPr>
          <w:p w14:paraId="5CF6031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Расположение цт по горизонтали от носка опорной поверхности м</w:t>
            </w:r>
          </w:p>
        </w:tc>
        <w:tc>
          <w:tcPr>
            <w:tcW w:w="3629" w:type="dxa"/>
            <w:tcBorders>
              <w:bottom w:val="single" w:sz="12" w:space="0" w:color="auto"/>
            </w:tcBorders>
          </w:tcPr>
          <w:p w14:paraId="64E133E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0,28 (1633,111).</w:t>
            </w:r>
          </w:p>
        </w:tc>
      </w:tr>
    </w:tbl>
    <w:p w14:paraId="1DC658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2F8B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040C8E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CA9854"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21 мая 1942 года в иранском портовом городе Бендер-Шах (ныне Бендер-Торкемен) был сформирован отдел приёмки импортных танков. Хотя сами танки пошли оттуда в СССР только к концу лета, но тем же маршрутом шли грузовики и прочие грузы, поставляемые по программе ленд-лиза (17648).</w:t>
      </w:r>
    </w:p>
    <w:p w14:paraId="2742B6AB"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4566842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21 мая 1942 г. была подготовлена ДОКЛАДНАЯ ЗАПИСКА НАЧАЛЬНИКА ГАБТУ НАРКОМУ СРЕДНЕГО МАШИНОСТРОЕНИЯ СССР ПО ВОПРОСУ </w:t>
      </w:r>
      <w:r w:rsidRPr="008127F8">
        <w:rPr>
          <w:rFonts w:ascii="Times New Roman" w:hAnsi="Times New Roman"/>
          <w:color w:val="000000" w:themeColor="text1"/>
          <w:sz w:val="16"/>
          <w:szCs w:val="16"/>
        </w:rPr>
        <w:lastRenderedPageBreak/>
        <w:t>ВЫПУСКА МАШИН</w:t>
      </w:r>
    </w:p>
    <w:p w14:paraId="08E9AC2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автозаводах Горьковском им. Молотова и Московском им. Сталина имеется значительное ко</w:t>
      </w:r>
      <w:r w:rsidRPr="008127F8">
        <w:rPr>
          <w:rFonts w:ascii="Times New Roman" w:hAnsi="Times New Roman"/>
          <w:color w:val="000000" w:themeColor="text1"/>
          <w:sz w:val="16"/>
          <w:szCs w:val="16"/>
        </w:rPr>
        <w:softHyphen/>
        <w:t>личество агрегатов для сборки импортных машин.</w:t>
      </w:r>
    </w:p>
    <w:p w14:paraId="077F47E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сборка машин на указанных заводах идет неудовлетворительно.</w:t>
      </w:r>
    </w:p>
    <w:p w14:paraId="38F5ADE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6000 импортных машин, подлежащих выдаче Наркомату обороны в мае месяце, на 20 мая по</w:t>
      </w:r>
      <w:r w:rsidRPr="008127F8">
        <w:rPr>
          <w:rFonts w:ascii="Times New Roman" w:hAnsi="Times New Roman"/>
          <w:color w:val="000000" w:themeColor="text1"/>
          <w:sz w:val="16"/>
          <w:szCs w:val="16"/>
        </w:rPr>
        <w:softHyphen/>
        <w:t>лучено всего лишь 2459 машин или 46% от плана.</w:t>
      </w:r>
    </w:p>
    <w:p w14:paraId="441C3F1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Еще хуже обстоит дело с выдачей Наркомату обороны автомашин ГАЗ.</w:t>
      </w:r>
    </w:p>
    <w:p w14:paraId="0AAE4C7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2600 машин по плану выдачи в мае месяце на 20 мая получено всего лишь 314 машин или 12% от плана.</w:t>
      </w:r>
    </w:p>
    <w:p w14:paraId="5BB7967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Такое положение с выполнением производственной программы и выдачей Наркомату обороны автомашин дальше нетерпимо, так как принимаемые по докладам Наркомсредмаша решения по вы</w:t>
      </w:r>
      <w:r w:rsidRPr="008127F8">
        <w:rPr>
          <w:rFonts w:ascii="Times New Roman" w:hAnsi="Times New Roman"/>
          <w:color w:val="000000" w:themeColor="text1"/>
          <w:sz w:val="16"/>
          <w:szCs w:val="16"/>
        </w:rPr>
        <w:softHyphen/>
        <w:t>пуску и выдаче Наркомату обороны машин с первых же дней не выполняются.</w:t>
      </w:r>
    </w:p>
    <w:p w14:paraId="2D153AE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Установленные народным комиссаром обороны товарищем Сталиным сроки готовности и от</w:t>
      </w:r>
      <w:r w:rsidRPr="008127F8">
        <w:rPr>
          <w:rFonts w:ascii="Times New Roman" w:hAnsi="Times New Roman"/>
          <w:color w:val="000000" w:themeColor="text1"/>
          <w:sz w:val="16"/>
          <w:szCs w:val="16"/>
        </w:rPr>
        <w:softHyphen/>
        <w:t>правки на фронт артиллерийских полков, танковых частей, истребительных бригад, химических ба</w:t>
      </w:r>
      <w:r w:rsidRPr="008127F8">
        <w:rPr>
          <w:rFonts w:ascii="Times New Roman" w:hAnsi="Times New Roman"/>
          <w:color w:val="000000" w:themeColor="text1"/>
          <w:sz w:val="16"/>
          <w:szCs w:val="16"/>
        </w:rPr>
        <w:softHyphen/>
        <w:t>тальонов и др. — не могут быть выполнены из-за отсутствия машин.</w:t>
      </w:r>
    </w:p>
    <w:p w14:paraId="2280EB8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Создалось положение, при котором сроки готовности и отправки на фронт частей лимитирует не боевая техника, а автомашины.</w:t>
      </w:r>
    </w:p>
    <w:p w14:paraId="46D7BA4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принять срочные меры по увеличению сборки и выпуска импортных и отечественных машин.</w:t>
      </w:r>
    </w:p>
    <w:p w14:paraId="5D12571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Генерал-лейтенант танковых войск Федоренко</w:t>
      </w:r>
    </w:p>
    <w:p w14:paraId="23A4D02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11386. Д. 117. Л. 63. Копия (11211).</w:t>
      </w:r>
    </w:p>
    <w:p w14:paraId="04D208C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3B2B06"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21 мая 1942 г. на основании приказа по Наркомату танковой промышленности  № 113 вновь назначенным директором завода </w:t>
      </w:r>
      <w:r>
        <w:rPr>
          <w:rFonts w:ascii="Times New Roman" w:hAnsi="Times New Roman"/>
          <w:color w:val="0070C0"/>
          <w:sz w:val="16"/>
          <w:szCs w:val="16"/>
        </w:rPr>
        <w:t xml:space="preserve">112 </w:t>
      </w:r>
      <w:r w:rsidRPr="008A2E5A">
        <w:rPr>
          <w:rFonts w:ascii="Times New Roman" w:hAnsi="Times New Roman"/>
          <w:color w:val="0070C0"/>
          <w:sz w:val="16"/>
          <w:szCs w:val="16"/>
        </w:rPr>
        <w:t>стал Ефим Эммануилович Рубинчик (ЦАНО. Ф. Р-15. Оп. 4. Д. 169. Л. 1.) (23540).</w:t>
      </w:r>
    </w:p>
    <w:p w14:paraId="61EE8CB9" w14:textId="77777777" w:rsidR="00AF6A30" w:rsidRPr="008A2E5A" w:rsidRDefault="00AF6A30" w:rsidP="00AF6A30">
      <w:pPr>
        <w:spacing w:after="0" w:line="240" w:lineRule="auto"/>
        <w:jc w:val="both"/>
        <w:rPr>
          <w:rFonts w:ascii="Times New Roman" w:hAnsi="Times New Roman"/>
          <w:color w:val="0070C0"/>
          <w:sz w:val="16"/>
          <w:szCs w:val="16"/>
        </w:rPr>
      </w:pPr>
    </w:p>
    <w:p w14:paraId="08A6FB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вышло Постановление ГКО № 1793 Об организации Всесоюзного социалистического соревнования предприятий народного комиссариата станкостроения. РГАНИР, Фонд ГКО, д. 36, лл. 6, 7-9 (11012).</w:t>
      </w:r>
    </w:p>
    <w:p w14:paraId="08FFD5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0BAB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вышло Постановление ГКО № 1794 Об организации Всесоюзного социалистического соревнования предприятий текстильной промышленности Союза ССР. РГАНИР, Фонд ГКО, д. 36, лл. 10, 11-15 (11012).</w:t>
      </w:r>
    </w:p>
    <w:p w14:paraId="51C8426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A8DC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вышло Постановление ГКО № 1795 Об организации Всесоюзного социалистического соревнования предприятий Народного комиссариата цветной металлургии. РГАНИР, Фонд ГКО, д. 36, лл. 16, 17-20 (11012).</w:t>
      </w:r>
    </w:p>
    <w:p w14:paraId="0B19A47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C624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вышло Постановление ГКО № 1796 Об организации Всесоюзного социалистического соревнования заводов Народного комиссариата среднего машиностроения. РГАНИР, Фонд ГКО, д. 36, лл. 21, 22-25 (11012).</w:t>
      </w:r>
    </w:p>
    <w:p w14:paraId="596C2A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9984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вышло Постановление ГКО № 1797 О т.т. Зальцмане, Махонине и Максареве. РГАНИР, Фонд ГКО, д. 36, лл. 26 (11012).</w:t>
      </w:r>
    </w:p>
    <w:p w14:paraId="0D7D82D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111F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вышло Постановление ГКО № 1798 О поручении Косыгину А.H. контроля за выполнением заказов HКО по инженерному вооружению. РГАНИР, Фонд ГКО, д. 36, лл. 27 (11012).</w:t>
      </w:r>
    </w:p>
    <w:p w14:paraId="62E461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8D7D4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года вышел приказ № 294 НКБ</w:t>
      </w:r>
    </w:p>
    <w:p w14:paraId="450B6E1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ГКО № ГОКО-1776сс от 19 мая 1942 года:</w:t>
      </w:r>
    </w:p>
    <w:p w14:paraId="628A96C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460 НКВ, находящийся в Подольске Московской обл. принять систему НКБ для организации на нем производства 82 мм мин и литья для них (5904, 133-134).</w:t>
      </w:r>
    </w:p>
    <w:p w14:paraId="79C671B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060A4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года вышел приказ № 297 НКБ</w:t>
      </w:r>
    </w:p>
    <w:p w14:paraId="7BC5C6B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Ташкентскому снаряжательному заводу присвоить наименование завод № 574 1 Гл. управления НКБ (5904, 152).</w:t>
      </w:r>
    </w:p>
    <w:p w14:paraId="6D657B2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31653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года была подготовлена справка:</w:t>
      </w:r>
    </w:p>
    <w:p w14:paraId="27060E0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3 им. Володарского – Ульяновск (9212).</w:t>
      </w:r>
    </w:p>
    <w:p w14:paraId="2E5440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42713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на ленинградских судостроительных заводах работала третья часть довоенного количества судостроителей (55% составляли мужчины, 45% -женщины) (10671).</w:t>
      </w:r>
    </w:p>
    <w:p w14:paraId="1CFEE7B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0BED9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6A65D5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58E34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21 мая</w:t>
      </w:r>
      <w:r w:rsidRPr="008127F8">
        <w:rPr>
          <w:rFonts w:ascii="Times New Roman" w:hAnsi="Times New Roman"/>
          <w:color w:val="000000" w:themeColor="text1"/>
          <w:sz w:val="16"/>
          <w:szCs w:val="16"/>
        </w:rPr>
        <w:t xml:space="preserve"> в 1942 году утреннее сообщение Совинформбюро:</w:t>
      </w:r>
    </w:p>
    <w:p w14:paraId="1812CAA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21 мая на Харьковском направлении наши войска вели наступательные бои.</w:t>
      </w:r>
    </w:p>
    <w:p w14:paraId="23F4DED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Керченском полуострове продолжались бои в восточной части полуострова.</w:t>
      </w:r>
    </w:p>
    <w:p w14:paraId="041632E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ничего существенного не произошло.</w:t>
      </w:r>
    </w:p>
    <w:p w14:paraId="62AB9C5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Харьковском направлении немцы, не считаясь с огромными потерями, предпринимают контратаки, стремясь задержать наступление наших частей. Эти попытки противника терпят неудачу. Гитлеровцы несут большие потери в живой силе и технике. Только на одном участке наши бойцы уничтожили свыше 700 гитлеровцев и захватили танк, 8 орудий, 15 пулемётов, 22 миномёта и много боеприпасов. Взяты пленные.</w:t>
      </w:r>
    </w:p>
    <w:p w14:paraId="6C9A6A7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Ленинградского фронта наши войска перерезали дорогу между двумя вражескими узлами сопротивления. Немцы, пытаясь восстановить положение, предприняли несколько безуспешных контратак и потеряли только убитыми 600 солдат и офицеров.</w:t>
      </w:r>
    </w:p>
    <w:p w14:paraId="7AF3001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и миномётчики одной нашей части (Северо-Западный фронт) уничтожили до 300 немецких солдат и офицеров, 9 станковых пулемётов и значительное число автомашин с военными грузами.</w:t>
      </w:r>
    </w:p>
    <w:p w14:paraId="575665D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бойцов под командованием старшего лейтенанта тов. Трофимова залпом из винтовок надбила вражеский самолёт. Бомбардировщик загорелся и упал на землю.Один лётчик сгорел, второй взят в плен.</w:t>
      </w:r>
    </w:p>
    <w:p w14:paraId="288EB97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 Хафиз Кримулин за 16 дней мая уничтожил 45 немецких солдат иофицеров.</w:t>
      </w:r>
    </w:p>
    <w:p w14:paraId="066DA61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ленинградских партизан из отрядов товарищей В. и О. в тылу у врага взорвала полотно железной дороги. В другом месте партизаны открыли из засады внезапный огонь по вражескому поезду, вывели из строя паровоз и уничтожили свыше 50 гитлеровцев. Через несколько дней партизаны напали на немецкий гарнизон в населённом пункте П. и в бою уничтожили 74 оккупанта и сожгли немецкий танк.</w:t>
      </w:r>
    </w:p>
    <w:p w14:paraId="378A232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командир роты обер-лейтенант Густав Ф. заявил: «В моей роте было 180 солдат. Затем получили пополнение в количестве 40 человек. К началу последнего боя в роте оставалось 25 солдат. Мне придали ещё один взвод из другого подразделения и приказали любой ценой удержать пункт А. У меня было одно орудие и одна противотанковая пушка. Ночью русские проникли в наш тыл. Потом в деревню ворвались танки и раздавили орудия. Я увидел, что сопротивляться бессмысленно, и предложил солдатам сдаться в плен».</w:t>
      </w:r>
    </w:p>
    <w:p w14:paraId="4973D56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выдержки из неотправленного письма немецкого солдата Германа Шварца своему зятю Августу Варре: «...Мы отступаем. Русские самолёты прилетают ежедневно и бомбят... Каждый день дохнет несколько лошадей, но я не тужу: пустьсебе околевают — тогда у нас будет мясо. Картофеля больше нет, а хлеба даютсовсем немного. Всё бы это ещё ничего, если бы не было партизан!».</w:t>
      </w:r>
    </w:p>
    <w:p w14:paraId="7BCFA84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время стоянки воинского эшелона на товарной станции в Варшаве разбежалосьоколо 300 немецких солдат, следовавших на советско-германский фронт. Оставшиесясолдаты отказались ехать дальше, и офицеры силой оружия загоняли их в вагоны. Это уже не первый случай отказа солдат маршевых батальонов ехать на фронт.» (14898).</w:t>
      </w:r>
    </w:p>
    <w:p w14:paraId="6877013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8772E0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21 мая</w:t>
      </w:r>
      <w:r w:rsidRPr="008127F8">
        <w:rPr>
          <w:rFonts w:ascii="Times New Roman" w:hAnsi="Times New Roman"/>
          <w:color w:val="000000" w:themeColor="text1"/>
          <w:sz w:val="16"/>
          <w:szCs w:val="16"/>
        </w:rPr>
        <w:t xml:space="preserve"> в 1942 году вечернее сообщение Совинформбюро:</w:t>
      </w:r>
    </w:p>
    <w:p w14:paraId="4F2E2E4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21 мая на Харьковском направлении наши войска вели наступательныебои.</w:t>
      </w:r>
    </w:p>
    <w:p w14:paraId="39B1D17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Изюм-Барвенковском направлении атаки противника отбиты.</w:t>
      </w:r>
    </w:p>
    <w:p w14:paraId="75BE08F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восточной части Керченского полуострова продолжались бои.</w:t>
      </w:r>
    </w:p>
    <w:p w14:paraId="1669D44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уточнённым данным, за 19 мая уничтожено не 27 немецких самолётов, как об этом сообщалось ранее, а 40 немецких самолётов.</w:t>
      </w:r>
    </w:p>
    <w:p w14:paraId="7502643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20 мая уничтожено 65 самолётов противника. Наши потери — 23 самолёта.</w:t>
      </w:r>
    </w:p>
    <w:p w14:paraId="77CB6E7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За 20 мая частями нашей авиации на разных участках фронта уничтожено и повреждено 74 немецких танка, 272 автомашины с войсками и грузами, 55 подвод с боеприпасами, 31 полевое и зенитное орудие, 15 миномётов и пулемётов, бензозаправщик, 5 тракторов-тягачей, прожектор, потоплено 5 катеров, рассеяно и частью уничтожено до семи рот пехоты противника.</w:t>
      </w:r>
    </w:p>
    <w:p w14:paraId="5258C49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Харьковском направлении одна наша часть заняла несколько населённых пунктов и захватила многочисленные трофеи и пленных. Подразделение тов. Скляровав течение дня отразило четыре контратаки противника. Немцы потеряли убитыми до 800 солдат и офицеров. На другом участке наши бойцы захватили 7 орудий, 12 пулемётов, 8 миномётов, 4 автомашины с боеприпасами и радиостанцию.</w:t>
      </w:r>
    </w:p>
    <w:p w14:paraId="327A78B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огнем нашей артиллерии уничтожено 2 артиллерийские и 4 миномётные батареи противника, разрушено 15 ДЗОТов и уничтожено не менее 120 немецких солдат и офицеров.</w:t>
      </w:r>
    </w:p>
    <w:p w14:paraId="1F77117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Расчёты противотанковых ружей под командованием т.т. Федоренко и Пузнова подбили 4 немецких танка.</w:t>
      </w:r>
    </w:p>
    <w:p w14:paraId="35E54F5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Разведчики — командир отделения тов. Бодров, бойцы Хлюстов, Тупаков и Петров— устроили засаду недалеко от немецких ДЗОТов. Вскоре у ДЗОТов появилось около 40 гитлеровцев. Гранатами и огнём ручных пулемётов разведчики уничтожили 30 немцев и без потерь вернулись в свою часть.</w:t>
      </w:r>
    </w:p>
    <w:p w14:paraId="3922231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Лейтенант тов. Геля и заместитель политрука тов. Долгин огнём из ручного пулемёта и автомата сбили вражеский самолёт «Хеншель-126».</w:t>
      </w:r>
    </w:p>
    <w:p w14:paraId="6DA8D25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имени 24-й годовщины РККА, действующий в захваченных немцами районах Смоленской области, нанёс оккупантам большой урон. Партизаны за время своей боевой деятельности уничтожили свыше 3.000 гитлеровцев и взяли в плен 125 немецких солдат и офицеров. Разгромлено 12 штабов немецких частей и подразделений, уничтожено 3 танка, 4 орудия, 18 миномётов, 43 пулемёта, 3 радиостанции, 11 складов с боеприпасами, 9 складов с продовольствием. Отряд партизан захватил у немецко-фашистских оккупантов 6 орудий, 25 миномётов, 42 пулемёта, 650 винтовок, 29 автоматов, 60 пистолетов, 2.500 гранат, 2радиостанции, 5 мотоциклов, 30 велосипедов, 172 лошади, 250 повозок, 3 кухни и другое военное имущество.</w:t>
      </w:r>
    </w:p>
    <w:p w14:paraId="009A3B2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выдержки из записной книжки убитого немецкого унтер-офицера, фамилию которого установить не удалось: «Отправляемся на фронт. В нашей роте только несколько старых солдат. Рекруты волнуются... Русские нарушают наш маршрут. Стоим подолгу, ждём, пока освободится путь. Чем ближе к фронту, тем медленнее мы двигаемся вперёд. Вчера на нас налетели русские самолёты. Никто из солдат, оставшихся в живых, не забудет вчерашнего дня. Мы ещё не дошли до противника, а земля уже впитала в себя кровь многих солдат. Число убитых и раненых очень велико. Скоро от воскрешённого в Ульме 56 пехотного полка останется только одно название. Я ненавижу эту войну. Военное счастье стало очень изменчивым...»</w:t>
      </w:r>
    </w:p>
    <w:p w14:paraId="37DC489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немецкого солдата найдено письмо к отцу. В письме говорится:</w:t>
      </w:r>
    </w:p>
    <w:p w14:paraId="18D8D71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Теперь о нашем мрачном положении. Мы не знаем покоя. Сюда уже прибыли новые дивизии из Франции. Несмотря на это, вас не сменяют. Сердце сжимается до боли. Ты прав: этот русский поход превратился в злополучную авантюру».</w:t>
      </w:r>
    </w:p>
    <w:p w14:paraId="51C1632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Немецкие оккупационные власти в Норвегии произвели массовые аресты учителей и бросили их в концентрационные лагеря. 40 учителей округа Осло были увезены на небольшом судне в открытое море. К судну приблизился военный катер, снял с него команду, охрану и потопил судно вместе со всеми арестованными. Только одному учителю случайно удалось спастись. Его подобрали норвежские рыбаки.» (14898).</w:t>
      </w:r>
    </w:p>
    <w:p w14:paraId="0306A7E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1648B6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21 мая</w:t>
      </w:r>
      <w:r w:rsidRPr="008127F8">
        <w:rPr>
          <w:rFonts w:ascii="Times New Roman" w:hAnsi="Times New Roman"/>
          <w:color w:val="000000" w:themeColor="text1"/>
          <w:sz w:val="16"/>
          <w:szCs w:val="16"/>
        </w:rPr>
        <w:t xml:space="preserve"> в 1942 году (21 мая - 2 июня) операция Северного флота по обеспечению перехода конвоев PQ-16 и QP-12 (14898).</w:t>
      </w:r>
    </w:p>
    <w:p w14:paraId="7945E97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A1B017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21 мая</w:t>
      </w:r>
      <w:r w:rsidRPr="008127F8">
        <w:rPr>
          <w:rFonts w:ascii="Times New Roman" w:hAnsi="Times New Roman"/>
          <w:color w:val="000000" w:themeColor="text1"/>
          <w:sz w:val="16"/>
          <w:szCs w:val="16"/>
        </w:rPr>
        <w:t xml:space="preserve"> в 1942 году Ставка ВГК приняла решение о переходе советских войск к обороне на северо-западном направлении (14898).</w:t>
      </w:r>
    </w:p>
    <w:p w14:paraId="49139D0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07BDFE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пара черноморских ДБ-3Ф атаковала транспорт в районе Килийского гирла и повредила. В июле торпедоносцы начали действовать на Балтике (561,16).</w:t>
      </w:r>
    </w:p>
    <w:p w14:paraId="7B484F0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0D3B7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пара черноморских Ил-4 атаковала транспорт противника в районе Килийского гирла и повредила его (10734,85).</w:t>
      </w:r>
    </w:p>
    <w:p w14:paraId="36AE9EB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0AC61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21-30 мая 1942 года восемнадцать ПС-84 из московской авиагруппы доставляли в Севастополь боеприпасы и пищу, эвакуировали раненных, женщин и детей, а также особо ценные грузы. Всего было эвакуировано 222 человека - по мнению советского командования, Севастополь был городом мужчин, годных к строевой службе (2691).</w:t>
      </w:r>
    </w:p>
    <w:p w14:paraId="0C5D44E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28493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Командование ЮЗФ предприняло отчаянную ПОПЫТКУ остановить продвижение противника с юга, ударив во фланг группы Клейста в районе Изюма. Несмотря на то. что всю ночь. а затем и днем шел дождь, бои над этим сектором не прекращались. В воздухе разгорались ожесточенные схватки между истребителями. Боевой день складывался явно в ПОЛЬЗУ советских истребителей. При сопровождении разведчика Hs 126 в районе к северо-западу от Изюма, пара Bf 109F (фельдфебель Иозеф Цвернеманн и унтерофицер Хайнц Берг) из 7./JG 52 подверглась атаке группы советских истребителей, распознанных как МиГ-3. Один из них атаковал снизу самолет Берга залпом реактивных снарядов. ПОЛУЧИВШИЙ прямое попадание Bf 109F загорелся, однако Берг успел выпрыгнуть с парашютом. Кроме самолета Х.Берга люфтваффе в этом районе потеряли также Bf 109F-4/R1 из 9./JG 77 и Bf 109E-7 из 2./Sch.G 1, которые были сбиты истребителями. Еще два Bf 109E-7 из Sch.G 1 получили в боях повреждения разной степени. Севернее Харькова, в полосе действии ВВС 21-й и 28-й армий, погиб в бою оберефрейтор Иоганн Байерфанд из 9. JG 3. Его Bf 109F-4 пропал в 3 км юго-западнее Терновая. После боя с И-16 в районе Старый виттов пропал без вести командир эскадрильи из I. )G3,оберлейтенант Хайнц Бохач, а унтер-офицер Роберт Вайнландер из 6. JG 3 пропал без вести после того, как выпрыгнул с парашютом из подбитого наземным огнем Вf 109F-4 в 20 км к северу от Волчанска. В целом за 21 мая летчиками фронтовой авиации ЮЗФ было заявлено об уничтожении 5 Me-109, Хе-111 и 1 Ю-88 при выполнении 168 боевых вылетов, что почти соответствовало реальным потерям люфтваффе (шесть самолетов) за этот день. Свои же потери оказались, пожалуй, наименьшими за весь месяц:</w:t>
      </w:r>
    </w:p>
    <w:p w14:paraId="318EEA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1-16 л-та Бугаева из 43-го ИАП ВВС '1-й Армии, сбитый в ВОЗДУШНОМ бою. Ил-2, сбитый зенитной артиллерией, а также У-2 с-та Мушкета из 33-го НБАП, сбитого наземным огнем в районе Михайловки. Не вернувшимися на свои аэродромы числились также 1 Пе-2 и 1 Ил-2 (9394,16).</w:t>
      </w:r>
    </w:p>
    <w:p w14:paraId="52B7B6C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EC714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Указом Президиума Верховного Совета СССР для военнослужащих гвардейских частей и соединений Красной Армии учреждён нагрудный знак "Гвардия", а для гвардейцев ВМФ - прмяоугольная пластинка с муаровой лентой оранжевого цвета с чёрными продольными полосами; введены гвардейские воинские звания (4963 ).</w:t>
      </w:r>
    </w:p>
    <w:p w14:paraId="45C34B7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342DB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г. вышел УКАЗ ПРЕЗИДИУМА ВЕРХОВНОГО СОВЕТА СССР О ВВЕДЕНИИ ДЛЯ ВОЕННОСЛУЖАЩИХ ГВАРДЕЙСКИХ ЧАСТЕЙ И СОЕДИНЕНИЙ КРАСНОЙ АРМИИ И ВОЕННО-МОРСКОГО ФЛОТА ГВАРДЕЙСКИХ ВОЕННЫХ ЗВАНИЙ</w:t>
      </w:r>
    </w:p>
    <w:p w14:paraId="1CCA92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Военнослужащим гвардейских частей и соединений Красной Армии и Военно-Морского Флота, удостоенным гвардейского звания, установить следующие отличительные военные звания:</w:t>
      </w:r>
    </w:p>
    <w:p w14:paraId="226354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Красной Армии</w:t>
      </w:r>
    </w:p>
    <w:p w14:paraId="57B072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Рядовому и младшему начальствующему составу Гвардии красноармеец Гвардии ефрейтор Гвардии младший сержант Гвардии сержант Гвардии старший сержант Гвардии старшина.</w:t>
      </w:r>
    </w:p>
    <w:p w14:paraId="2736D58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Командному, политическому и начальствующему составу</w:t>
      </w:r>
    </w:p>
    <w:p w14:paraId="7DAA82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Гвардии младший лейтенант</w:t>
      </w:r>
    </w:p>
    <w:p w14:paraId="115EFA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Гвардии лейтенант</w:t>
      </w:r>
    </w:p>
    <w:p w14:paraId="03CCDC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Гвардии старший лейтенант</w:t>
      </w:r>
    </w:p>
    <w:p w14:paraId="6543EB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Гвардии капитан</w:t>
      </w:r>
    </w:p>
    <w:p w14:paraId="79A1117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Гвардии майор</w:t>
      </w:r>
    </w:p>
    <w:p w14:paraId="33278AA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Гвардии подполковник</w:t>
      </w:r>
    </w:p>
    <w:p w14:paraId="0EFDDCC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Гвардии полковник</w:t>
      </w:r>
    </w:p>
    <w:p w14:paraId="3C0C01D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Гвардии генерал-майор</w:t>
      </w:r>
    </w:p>
    <w:p w14:paraId="33B00B8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Гвардии генерал-лейтенант</w:t>
      </w:r>
    </w:p>
    <w:p w14:paraId="03B7BD4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Гвардии генерал-полковник</w:t>
      </w:r>
    </w:p>
    <w:p w14:paraId="3AE5D2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Политическому и начальствующему составу, удостоенному гвардейского звания, соответственно, перед военным званием добавлять слово “гвардии” (например, гвардии политрук, гвардии военврач 1 ранга и т. д.).</w:t>
      </w:r>
    </w:p>
    <w:p w14:paraId="1DC43E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Военно-Морскому Флоту</w:t>
      </w:r>
    </w:p>
    <w:p w14:paraId="0C8F897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Рядовому и младшему начальствующему составу кораблей и соединений кораблей</w:t>
      </w:r>
    </w:p>
    <w:p w14:paraId="79999D8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Гвардейского экипажа краснофлотец Гвардейского экипажа старший краснофлотец Гвардейского экипажа старшина 2 статьи Гвардейского экипажа старшина 1 статьи Гвардейского экипажа главный старшина Гвардейского экипажа мичман</w:t>
      </w:r>
    </w:p>
    <w:p w14:paraId="153C40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Командному, политическому и начальствующему составу кораблей и соединений кораблей</w:t>
      </w:r>
    </w:p>
    <w:p w14:paraId="438AB6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Гвардейского экипажа младший лейтенант</w:t>
      </w:r>
    </w:p>
    <w:p w14:paraId="3B8CAF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Гвардейского экипажа лейтенант</w:t>
      </w:r>
    </w:p>
    <w:p w14:paraId="1F46F4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Гвардейского экипажа старший лейтенант</w:t>
      </w:r>
    </w:p>
    <w:p w14:paraId="001879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Гвардейского экипажа капитан-лейтенант</w:t>
      </w:r>
    </w:p>
    <w:p w14:paraId="45EBEA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Гвардейского экипажа капитан 3 ранга</w:t>
      </w:r>
    </w:p>
    <w:p w14:paraId="069B0E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Гвардейского экипажа капитан 2 ранга</w:t>
      </w:r>
    </w:p>
    <w:p w14:paraId="057F27B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Гвардейского экипажа капитан 1 ранга</w:t>
      </w:r>
    </w:p>
    <w:p w14:paraId="7A2439C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Гвардейского экипажа контр-адмирал</w:t>
      </w:r>
    </w:p>
    <w:p w14:paraId="5AC86E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Гвардейского экипажа вице-адмирал</w:t>
      </w:r>
    </w:p>
    <w:p w14:paraId="564489D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Гвардейского экипажа адмирал.</w:t>
      </w:r>
    </w:p>
    <w:p w14:paraId="1E6970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рядового и начальствующего состава береговой обороны и авиации соответственно устанавливаются гвардейские звания, введенные для военнослужащих гвардейских частей и соединений Красной Армии.</w:t>
      </w:r>
    </w:p>
    <w:p w14:paraId="4E0CAA9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Политическому и начальствующему составу, удостоенному гвардейского звания, соответственно, перед военным званием добавлять слова: “гвардейского экипажа” (например, гвардейского экипажа политрук, гвардейского экипажа военврач 1 ранга и т. д.).</w:t>
      </w:r>
    </w:p>
    <w:p w14:paraId="56F984D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Военнослужащие гвардейских частей, соединений и кораблей гвардейских экипажей Красной Армии и Военно-Морского Флота носят на правой стороне груди особый нагрудный знак.</w:t>
      </w:r>
    </w:p>
    <w:p w14:paraId="3D6A6D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Утвердить образец нагрудного знака для военнослужащих удостоенных гвардейского звания.</w:t>
      </w:r>
    </w:p>
    <w:p w14:paraId="3702F3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 xml:space="preserve">Председатель Президиума Верховного Совета СССР </w:t>
      </w:r>
      <w:r w:rsidRPr="008127F8">
        <w:rPr>
          <w:rFonts w:ascii="Times New Roman" w:hAnsi="Times New Roman"/>
          <w:color w:val="000000" w:themeColor="text1"/>
          <w:sz w:val="16"/>
          <w:szCs w:val="16"/>
        </w:rPr>
        <w:t xml:space="preserve">М. </w:t>
      </w:r>
      <w:r w:rsidRPr="008127F8">
        <w:rPr>
          <w:rFonts w:ascii="Times New Roman" w:hAnsi="Times New Roman"/>
          <w:iCs/>
          <w:color w:val="000000" w:themeColor="text1"/>
          <w:sz w:val="16"/>
          <w:szCs w:val="16"/>
        </w:rPr>
        <w:t>КАЛИНИН</w:t>
      </w:r>
    </w:p>
    <w:p w14:paraId="073E2E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Секретарь Президиума Верховного Совета СССР А. ГОРКИН</w:t>
      </w:r>
    </w:p>
    <w:p w14:paraId="7784A25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Кремль (9844).</w:t>
      </w:r>
    </w:p>
    <w:p w14:paraId="36558C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036A7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были учреждены нагрудные знаки Гвардия, а также Снайпер, Отличный артиллерист, Отличный танкист, Отличный подводник, Отличный торпедист (3398,189).</w:t>
      </w:r>
    </w:p>
    <w:p w14:paraId="1D1772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9CF9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вышло Постановление ГКО № 1799 Вопросы ВВС. РГАНИР, Фонд ГКО, д. 36, лл. 28 (11012).</w:t>
      </w:r>
    </w:p>
    <w:p w14:paraId="4C1F25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F2CE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вышло Постановление ГКО № 1800 О т. Гришко Г.Е. РГАНИР, Фонд ГКО, д. 36, лл. 29 (11012).</w:t>
      </w:r>
    </w:p>
    <w:p w14:paraId="3ADA96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CD07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вышло Постановление ГКО № 1801 О т.т. Лебедеве Н.А., Бодрове А.Г. РГАНИР, Фонд ГКО, д. 36, лл. 30 (11012).</w:t>
      </w:r>
    </w:p>
    <w:p w14:paraId="4A9AAAD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98B64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21 мая по 2 июня 1942 была операция СФ по обеспечению проходов конвоев PQ-16 и PQ-12 (3186).</w:t>
      </w:r>
    </w:p>
    <w:p w14:paraId="3F956FC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EED32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г. финский Пе-2 РЕ-214 потерпел катастрофу при взлете в Тампере (4476).</w:t>
      </w:r>
    </w:p>
    <w:p w14:paraId="7F285F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D28F2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0ACA65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97FD9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начата прокладка магистрального трубопровода по дну Ладожского озера для доставки горючего в осажденный Ленинград (4962).</w:t>
      </w:r>
    </w:p>
    <w:p w14:paraId="0EE82A9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B717E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21 мая</w:t>
      </w:r>
      <w:r w:rsidRPr="008127F8">
        <w:rPr>
          <w:rFonts w:ascii="Times New Roman" w:hAnsi="Times New Roman"/>
          <w:color w:val="000000" w:themeColor="text1"/>
          <w:sz w:val="16"/>
          <w:szCs w:val="16"/>
        </w:rPr>
        <w:t xml:space="preserve"> в 1942 году построен магистральный Ладожский трубопровод (35 км, из них 27 км по дну Ладожского оз.) от мыса Кареджи на Ладожском озере (пункт приема горючего с железной дороги) до железно-дорожной станции Борисова Грива (в 45 км к северо-востоку от Ленинграда). С июня 1942 по март 1943 по трубопроводу в Ленинград поступило свыше 40 тысяч тонн горючего (14898).</w:t>
      </w:r>
    </w:p>
    <w:p w14:paraId="3A1C0CF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12983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10AC21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963BF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21-26 мая 1942 в Лондоне состоялись переговоры между СССР и Великобританией и англичане не хотели признавать нашу западную границу. Вновь ставили вопрос о втором фронте. Подписали договор о союзе в войне против Германии и ее сообщников в Европе и о сотрудничестве и взаимопомощи после войны (512,301).</w:t>
      </w:r>
    </w:p>
    <w:p w14:paraId="3C87BF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BC68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5D13E85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C4D07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21 мая</w:t>
      </w:r>
      <w:r w:rsidRPr="008127F8">
        <w:rPr>
          <w:rFonts w:ascii="Times New Roman" w:hAnsi="Times New Roman"/>
          <w:color w:val="000000" w:themeColor="text1"/>
          <w:sz w:val="16"/>
          <w:szCs w:val="16"/>
        </w:rPr>
        <w:t xml:space="preserve"> в 1942 году прототип </w:t>
      </w:r>
      <w:hyperlink r:id="rId33" w:tgtFrame="_blank" w:history="1">
        <w:r w:rsidRPr="008127F8">
          <w:rPr>
            <w:rFonts w:ascii="Times New Roman" w:hAnsi="Times New Roman"/>
            <w:color w:val="000000" w:themeColor="text1"/>
            <w:sz w:val="16"/>
            <w:szCs w:val="16"/>
          </w:rPr>
          <w:t xml:space="preserve">«XP-61», </w:t>
        </w:r>
      </w:hyperlink>
      <w:r w:rsidRPr="008127F8">
        <w:rPr>
          <w:rFonts w:ascii="Times New Roman" w:hAnsi="Times New Roman"/>
          <w:color w:val="000000" w:themeColor="text1"/>
          <w:sz w:val="16"/>
          <w:szCs w:val="16"/>
        </w:rPr>
        <w:t>оснащенный двумя звездообразными двигателями «Pratt&amp;Whitney» «R-2800-25» «Double Wasp», впервые поднялся в воздух с взлетной полосы аэродрома «Northrop Field». Официально первый полет на «XP-61» выполнил пять дней спустя, 26 мая 1942 года, летчик-испытатель компании «Northrop» Вэнс Брис (Vance Breese). После пятнадцатиминутного полета Брис сказал Джеку Нортропу: "... вы создали чертовски прекрасный самолет!" (14898).</w:t>
      </w:r>
    </w:p>
    <w:p w14:paraId="1C7EE31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ADAAC1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мая 1942 года состоялся первый полет прототипа Northrop XP-61 Black Widow (20793).</w:t>
      </w:r>
    </w:p>
    <w:p w14:paraId="4209CEA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D4A52D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21 мая</w:t>
      </w:r>
      <w:r w:rsidRPr="008127F8">
        <w:rPr>
          <w:rFonts w:ascii="Times New Roman" w:hAnsi="Times New Roman"/>
          <w:color w:val="000000" w:themeColor="text1"/>
          <w:sz w:val="16"/>
          <w:szCs w:val="16"/>
        </w:rPr>
        <w:t xml:space="preserve"> в 1942 году японские власти позволили Международному Красному Кресту работать среди британских военнопленных (14898).</w:t>
      </w:r>
    </w:p>
    <w:p w14:paraId="77579D1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733AAD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42EE3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CE688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22 мая 1942 бригады заводов №81 и №23 переоборудовали 40 самолетов ДБ-3Ф, а месяцем позже таким образом оснастили несколько сотен бомбардировщиков. Затем все необходимое оборудование для подвески баков стало монтироваться прямо на заводах (7666).</w:t>
      </w:r>
    </w:p>
    <w:p w14:paraId="3A8BDB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81F73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22 мая 1942 бригады заводов № 81 и № 23 переоборудовали 40 самолетов, а месяцем позже таким образом оснасти</w:t>
      </w:r>
      <w:r w:rsidRPr="008127F8">
        <w:rPr>
          <w:rFonts w:ascii="Times New Roman" w:hAnsi="Times New Roman"/>
          <w:color w:val="000000" w:themeColor="text1"/>
          <w:sz w:val="16"/>
          <w:szCs w:val="16"/>
        </w:rPr>
        <w:softHyphen/>
        <w:t>ли несколько сот бомбардировщиков. Затем все необходимое оборудование для подвески баков стало монтировать</w:t>
      </w:r>
      <w:r w:rsidRPr="008127F8">
        <w:rPr>
          <w:rFonts w:ascii="Times New Roman" w:hAnsi="Times New Roman"/>
          <w:color w:val="000000" w:themeColor="text1"/>
          <w:sz w:val="16"/>
          <w:szCs w:val="16"/>
        </w:rPr>
        <w:softHyphen/>
        <w:t>ся прямо на заводах (10734,69).</w:t>
      </w:r>
    </w:p>
    <w:p w14:paraId="6EF6793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95D4B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22 мая 1942 завод № 82 модифици</w:t>
      </w:r>
      <w:r w:rsidRPr="008127F8">
        <w:rPr>
          <w:rFonts w:ascii="Times New Roman" w:hAnsi="Times New Roman"/>
          <w:color w:val="000000" w:themeColor="text1"/>
          <w:sz w:val="16"/>
          <w:szCs w:val="16"/>
        </w:rPr>
        <w:softHyphen/>
        <w:t>ровал 40 самолетов Ил-4, усиливших ВВС флотов (10734,85).</w:t>
      </w:r>
    </w:p>
    <w:p w14:paraId="0F0ECCF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DB1B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22 мая 1942 завод № 81 уже модифицировал 40 самолетов Ил-4, усиливших ВВС флотов (12021).</w:t>
      </w:r>
    </w:p>
    <w:p w14:paraId="01CADE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B65D0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22 мая 1942 бригады заводов № 81 и № 23 переоборудовали 40 самолетов Ил-4 подвесными баками, а месяцем позже таким образом оснастили несколько сот бомбардировщиков. Затем все необходимое оборудование для подвески баков стало монтироваться прямо на заводах.</w:t>
      </w:r>
    </w:p>
    <w:p w14:paraId="151B1B5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о внедрении подвесных баков на Ил-4 появился еще в декабре 1941 г. Подготовили вариант с двумя сбрасываемыми баками по 325 л и двумя встроенными дополнительными маслобаками по 70 л. Бензобаки изготовлялись из прессованного картона с пропиткой. Дополнительный запас горючего увеличивал продолжительность полета примерно на полтора часа. Опытный самолет стал образцом для переоборудования машин в частях. Его начали в апреле 1942 г. (12021).</w:t>
      </w:r>
    </w:p>
    <w:p w14:paraId="4BF42AD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C85F4D"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мая 1942 был Доклад членов ГКО СССР Г. М. Маленкова, Л. П. Берии и А. И. Микояна председателю ГКО СССР И. В. Сталину и его заместителю В. М. Молотову о работе по организации завода № 82 для производства самолетов Як-7 по состоянию на 22 мая1*</w:t>
      </w:r>
    </w:p>
    <w:p w14:paraId="69FCF68B"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мая 1942 г.</w:t>
      </w:r>
    </w:p>
    <w:p w14:paraId="288B3014"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Докладываем об организации завода № 82 по состоянию на 22 мая* 2*.</w:t>
      </w:r>
    </w:p>
    <w:p w14:paraId="7EC03339"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 сборочном цеху заканчиваются работы по монтажу первых двух самолетов Як-7, полученных в деталях и агрегатах с завода № 153. Окончание монтажа и выпуск этих двух самолетов будет в конце мая. Одновременно продолжаются и сборочные работы остальных самолетов, выпуск которых будет в июне.</w:t>
      </w:r>
    </w:p>
    <w:p w14:paraId="2E7A083F"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На завод принято 3699 чел., в том числе 2884 рабочих и 448 инженерно-технических работников.</w:t>
      </w:r>
    </w:p>
    <w:p w14:paraId="1A9B1A27"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На завод поступило 422 ед. различного оборудования, в том числе 342 [ед.] металлорежущего, 40 ед. кузнечного и заготовительно-штамповочного, 18 ед. деревообделочного и 4 термопечи.</w:t>
      </w:r>
    </w:p>
    <w:p w14:paraId="4B4705A9"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4. Закончено монтажом 347 ед. оборудования, из них: 310 металлорежущего, 14 заготовительного, 14 деревообделочного и 9 ед. энергетического оборудования. Сдано в эксплуатацию и находится в работе 2 компрессора, 2 ацетиленовых генератора, электроподстанции завода и 137 ед. металлорежущего оборудования. Ведется монтаж термического и гальванического цехов, срок окончания монтажа 2 печей — 25 мая и 2 печей — 5 июня. Продолжаются строительные работы по восстановлению водопроводных и канализационных сетей и остеклению, срок окончания этих работ — 29 мая.</w:t>
      </w:r>
    </w:p>
    <w:p w14:paraId="7EB106C6"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Маленков</w:t>
      </w:r>
    </w:p>
    <w:p w14:paraId="685DC6B9"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Берия</w:t>
      </w:r>
    </w:p>
    <w:p w14:paraId="709D9D84"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Микоян</w:t>
      </w:r>
    </w:p>
    <w:p w14:paraId="69B0C9E3"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РГАНИ. Ф. 3. Оп. 46. Д. 36. Л. 28. Подлинник (23620).</w:t>
      </w:r>
    </w:p>
    <w:p w14:paraId="3E3DE9E6" w14:textId="77777777" w:rsidR="00AF6A30" w:rsidRPr="008A2E5A" w:rsidRDefault="00AF6A30" w:rsidP="00AF6A30">
      <w:pPr>
        <w:spacing w:after="0" w:line="240" w:lineRule="auto"/>
        <w:jc w:val="both"/>
        <w:rPr>
          <w:rFonts w:ascii="Times New Roman" w:hAnsi="Times New Roman"/>
          <w:color w:val="0070C0"/>
          <w:sz w:val="16"/>
          <w:szCs w:val="16"/>
        </w:rPr>
      </w:pPr>
    </w:p>
    <w:p w14:paraId="711BBB2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мая 1942 вышел приказ № 096 по НИИ ВВС начальнику ОМТ НИИ провести испытания самолетов МиГ-3, Ар-2, Ил-2, ЛаГГ-3, Харрикейн по отработке пользования высотным корректором в зависимости от режима работы мотора и высоты полета. По Ил-2 - к 25 мая 1942 и после испытаний через 5 дней представить инструкции по пользованию (717).</w:t>
      </w:r>
    </w:p>
    <w:p w14:paraId="4FE8244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закончить МиГГ-3 - к 31 мая 1942, ЛаГГ-3 - к 5 июня 1942, Ил-2 - к 25 мая 1942 и после испытаний через 5 дней представить отчет и инструкции по пользованию высотным корректором карбюраторов моторов АМ-35А, АМ-38 и М-105 (717,124).</w:t>
      </w:r>
    </w:p>
    <w:p w14:paraId="17C4B8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F601C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мая 1942 в филиал ВИАМа (Всесоюзный научно-исследовательский институт авиационных материалов), который в то время находился в городе Куйбышеве, был направлен приказ народного комиссара авиационной промышленности А.И. Шахурина, который обязывал ВИАМ обеспечить заводы-поставщики деталей и авиационные заводы технической помощью по освоению и выпуску полуфабрикатов, по испытанию деталей из сталей-заменителей. (Филиал РГАНТД. Ф. Р-124. Оп. 1-6. Д. 115. Л. 7.) (12706).</w:t>
      </w:r>
    </w:p>
    <w:p w14:paraId="28AE3DC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F84CE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мая 1942 И-185 с М-82А у земли на номинальном ре</w:t>
      </w:r>
      <w:r w:rsidRPr="008127F8">
        <w:rPr>
          <w:rFonts w:ascii="Times New Roman" w:hAnsi="Times New Roman"/>
          <w:color w:val="000000" w:themeColor="text1"/>
          <w:sz w:val="16"/>
          <w:szCs w:val="16"/>
        </w:rPr>
        <w:softHyphen/>
        <w:t>жиме работы мотора развил максимальную скорость 508 км/ч (535 км/ч на форсаже), т.е. близко к расчетной. Однако на второй скорости нагнетателя из-за неудовле</w:t>
      </w:r>
      <w:r w:rsidRPr="008127F8">
        <w:rPr>
          <w:rFonts w:ascii="Times New Roman" w:hAnsi="Times New Roman"/>
          <w:color w:val="000000" w:themeColor="text1"/>
          <w:sz w:val="16"/>
          <w:szCs w:val="16"/>
        </w:rPr>
        <w:softHyphen/>
        <w:t>творительной работы двигателя самолет пока не доби</w:t>
      </w:r>
      <w:r w:rsidRPr="008127F8">
        <w:rPr>
          <w:rFonts w:ascii="Times New Roman" w:hAnsi="Times New Roman"/>
          <w:color w:val="000000" w:themeColor="text1"/>
          <w:sz w:val="16"/>
          <w:szCs w:val="16"/>
        </w:rPr>
        <w:softHyphen/>
        <w:t>рал 15-17 км/ч (10667).</w:t>
      </w:r>
    </w:p>
    <w:p w14:paraId="64E317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FD1CD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674882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B7E8EB"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22 мая 1942 года на заводе №37 состоялось техническое совещание, на котором были рассмотрены оба шасси. Занятный факт: ориентировалось заводское КБ на тактико-технические требования января 1942 года. В ходе обсуждения были внесены уточнения в требования, поскольку спроектированные машины в них не вписывались. Одновременно была составлена программа испытаний для «Шасси 31» и «Шасси 32».</w:t>
      </w:r>
    </w:p>
    <w:p w14:paraId="216F6C05"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Приоритет был отдан варианту на агрегатах Т-60, причём в варианте ЗСУ. Не исключено, что это было связано с неопределённостью в выборе орудия для САУ. Использование массово производящейся ЗИС-3, конечно, выглядело логичнее, зато ЗИС-5 получилась компактнее, а главное, эта пушка выпускалась в Свердловске.</w:t>
      </w:r>
    </w:p>
    <w:p w14:paraId="4A8FBDD4"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Непосредственно завод №37 работал над шасси, а их коллеги из КБ УЗТМ имели прямое отношение к разработке вооружения для самоходных установок. Установку ЗИС-5 для БГС-5 разработали под индексом У-31, а орудийную часть ЗСУ БГС-2 — под индексом У-32. Работы велись под руководством Л.И. Горлицкого, ведущими инженерами были К. Н. Ильин и А. Н. Шляков. Машина, получившая обозначение СУ-31, оказалась результатом взаимного интереса сразу трёх сторон: Гинзбурга как главного идеолога её создания, завода №37 как изготовителя шасси и УЗТМ — как разработчика орудийной части (17668).</w:t>
      </w:r>
    </w:p>
    <w:p w14:paraId="077248D5"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4660CC8D"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22 мая 1942 года на совещании было представлено шасси "32" и стали четко видны приоритеты как завода №37, так и Гинзбурга. Общее ощущение, что шасси с использованием агрегатной базы делалось "для мебели", поскольку оно и шло вторым, и проработок на его базе вариантов вооружения оказалась меньше. Самое же главное, что и вооружение выглядело принципиально иным. Первый вариант машины, БГС-4 (боевая гусеничная машина 4) являлась ЗСУ с установкой 37-мм зенитного орудия 61-К. ЗСУ получалась заметно легче БГС-2 на шасси "31" (боевая масса 8700 кг против 9700 кг у БГС-2), но и боекомплект меньше (300 патронов к 61-К против 500 у БГС-2). При этом БГС-5, штурмовой вариант шасси "32", получался самым тяжелым в семействе - 10500 кг. Еще одним моментом было то, что вместо дивизионного орудия ЗИС-3 предполагалось использовать 76-мм танковую пушку ЗИС-5. С одной стороны, это решение логичное. ЗИС-5 производилась на заводе №8, она получалась менее габаритной, нежели ЗИС-3. А вот с другой стороны, разрабатывать такой вариант было сложнее. Требовалось адаптировать танковое орудие под самоходную базу. Это влекло за собой дополнительное время, а значит, и БГС-5 создавался дольше. Такой вот хитрый способ избавиться от "неудобного" шасси. Всему происходившему законченный вид придает тот факт, что к 22 мая шасси "31" уже существовало в виде тестового образца.</w:t>
      </w:r>
    </w:p>
    <w:p w14:paraId="0A940768"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 итогам совещания шасси "32" решили строить в варианте БГС-5. Правда, довольно быстро пришлось столкнуться с тем, что установка ЗИС-5 требовала времени на разработку. Данные работы повесили на КБ завода №8. Тема установки модифицированной ЗИС-5 получила индекс ЗИК-7, ведущим инженером назначили М.Е. Безусова. Одновременно Безусов вел работы по темам ЗИК-10/ЗИК-11. Работы осложнялись тем, что КБ завода №8 уже было перегружено другими проектами, как буксируемой, так и самоходной артиллерии. Вместе с тем, уже к 30 мая 1942 года проект ЗИК-7 был готов. В отличие от предварительного варианта БГС-5, в котором рубка была открыта сверху, сзади и частично сбоку, проект ЗИК-7 предполагал более разумное исполнение боевого отделения. Открытым боевое отделение осталось только сверху, также оно стало более просторным. Расчет боевого отделения составлял 2 человека. Согласно проекту, боекомплект составлял 60 патронов к орудию ЗИС-5, как и на БГС-5.</w:t>
      </w:r>
    </w:p>
    <w:p w14:paraId="6BECCD83"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Одним из важных моментов при разработке ЗИК-7 являлась унификация орудия с обычной ЗИС-5. Это получилось частично. Вместе с тем, люльку и спусковой механизм пришлось сильно переделать. Что же касается верхнего и нижнего станка, то их пришлось делать заново. Система монтировалась на специальной тумбе, что обеспечивало наведение по горизонтали в пределах 30 градусов. Прикрывалась система массивной подвижной бронировкой, в передней части которой находился противовес. Ожидалось, что скорострельность орудия составил 15 выстрелов в минуту.</w:t>
      </w:r>
    </w:p>
    <w:p w14:paraId="76950549"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Самым интересным в проекте ЗИК-7 оказалось письмо директора завода №7 Б.А. Фрадкина. В нем указывалось, что завод №37 уже приступил к изготовлению ЗИК-7, имелось в виду, разумеется, шасси "32". На самом деле тот же самый Фраткин запретил изготавливать с нуля детали для ЗИК-7, что во многом повлияло на судьбу проекта. Не помогли даже письма из ГАУ и НКВ, которые шли на завод №8 в июне и июле 1942 года. Таким образом, заводское КБ свою задачу выполнило, а заводское руководство откровенно саботировало работы. У Фраткина была своя правда: требовалось обеспечивать производство буксируемой и танковой артиллерии. На опытные работы времени уже не имелось. Таким образом сама по себе идея альтернативного орудия, которое бы не затрагивало завод №92, лишалась смысла (21099).</w:t>
      </w:r>
    </w:p>
    <w:p w14:paraId="4DF8B489"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932BEB7"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22 мая 1942 года утвердили СУ-31, зенитную самоходную артиллерийскую установку на базе шасси "31", а проект Савина фактически разгромили (21193). Казалось, что на этом работы Савина прекратятся. Тем не менее, история имела продолжение.</w:t>
      </w:r>
    </w:p>
    <w:p w14:paraId="0ACB4F3F"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4ABD26B"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22 мая 1942 года на заводе №37 прошло совещание, по результатам которого утвердили к выпуску два образца машины. При этом приоритетным вариантом для шасси "31" назвали БГС-2, а для шасси "32" - БГС-5 (76-мм штурмовая САУ). Примерно в это же время разработку БГС-1 и исходный вариант БГС-5 возложили на КБ завода №8. Откровенно говоря, создается впечатление, что на Ф.Ф. Петрова свалили наиболее сложную работу. Дело в том, что БГС-5 изначально предполагал установку переделанной версии 76-мм танковой пушки ЗИС-5. Такая система имела массу плюсов: снижалась длина отката, габариты системы, а заодно возрастал объем боевого отделения. Другой вопрос, что подобные работы еще больше загружали заводское КБ, и так имевшего кучу заданий. По этой причине БГС-1, она же ЗИК-5, появилась только в августе 1942 года. Проект фактически являлся адаптацией БГС-2 под 25-мм зенитную автоматическую пушку 72-К. Очень похоже выглядела и рубка, и другие элементы ЗСУ. В боевом отделении находились двое наводчиков и один заряжающий.</w:t>
      </w:r>
    </w:p>
    <w:p w14:paraId="3EB424FE"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случае с ЗИК-5 создается общее впечатление, что она делалась в некотором отдалении от других работ. Это заметно и по скорости рассмотрения проекта, и по общей ситуации с производством 72-К. По большому счету, проект делался в стол. Об этом впрямую осенью 1942 года написали в НКВ, обвинив во всех смертных грехах КБ завода №8, но тут можно только улыбнуться. Во-первых, проект ЗИК-5 не имел каких-то серьёзных недостатков. Артком ГАУ одобрил проект 25-мм ЗСУ, предложив несколько его переделать. Листы щитового прикрытия переделывались по типу СУ-31, по тому же принципу менялась и укладка боеприпасов. Во-вторых, председатель технического совета НКВ Э.А. Сатель как-то забыл, что выпускать ЗИК-5 было уже не на чем. В-третьих, даже если было бы где, орудий-то всё равно нет. Выпуск 72-К возобновился только в 1943 году.</w:t>
      </w:r>
    </w:p>
    <w:p w14:paraId="1FFC011D"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Совсем иначе разворачивалась ситуация вокруг шасси "31", которое стало именоваться как СУ-31. Построили ее раньше штурмовой версии "шасси 32" - в июне 1942 года. Как и предполагалось, изготовили опытный образец из неброневой стали. С массой на заводе №37 не угадали - она для СУ-32 составила 10500 кг. При этом броневые листы были толщиной 10 мм по периметру, посему пришлось дополнительно догружать машину балластом. Уже в июне начались заводские испытания машины, по итогам которых в конструкцию машины вносили доработки. Уже тогда СУ-31 показала обнадеживающие данные, но в июле 1942 года завод №37 ждал ряд потрясений. Сначала, 3 июля 1942 года, Сталин подписал постановление ГКО № 1958сс "О производстве танков Т-34 и Т-70", по которому выпуск Т-60 на заводе №37 прекращался. А затем, 28 июля 1942 года, было подписано постановление ГКО №2120сс "Об организации производства танков Т-34 на Уралмашзаводе и заводе № 37 Наркомтанкопрома". Таким образом, выпускать СУ-31 и СУ-32 стало попросту негде (21063).</w:t>
      </w:r>
    </w:p>
    <w:p w14:paraId="21C36B09"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0EE06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мая 1942 г приказом Наркома танковой промышленности Малышева В.А. N203 была образована Московская группа НИИ-48 (МГ НИИ-48). Численность - 25 человек. Группа размещается в конторских помещениях площадью 160 кв.м. производственного цеха завода 37, располагавшегося на окраине Москвы в пос.Черкизово. Завод в то времяремонтировал танковые двигатели.</w:t>
      </w:r>
    </w:p>
    <w:p w14:paraId="267362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Сотрудники МГ НИИ-48 съехались в Москву в начале июня 42 г., но тут же разъехались позаводам страны, оставив свои семьи в неприспособленных для жилья домах завода 37, вкоторых не было ни газа, ни канализации, ни водопровода. Основные задачи МГ НИИ-48: организация массового выпуска брони для танков на заводах страны; анализ характеристик трофейной техники и подготовка предложений по совершенствованию защиты отечественных танков (9835).</w:t>
      </w:r>
    </w:p>
    <w:p w14:paraId="338E162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F3F6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мая 1942 года Приказом НКТП № 203м была создана специальная группа из работников ЦНИИ-48, которая была преобразована в Московский филиал ЦНИИ-48.</w:t>
      </w:r>
    </w:p>
    <w:p w14:paraId="66356F4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СМ распоряжением № 1186рс от 3 февраля 1948 года реорганизовал Московский филиал ЦНИИ-48 ф Центральную броневую лабораторию (ЦБЛ-1) Министерства транспортного машиностроения.</w:t>
      </w:r>
    </w:p>
    <w:p w14:paraId="2AF9FD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 880-524сс от 6 мая 1955 года ЦБЛ-1 реорганизована в филиал ВНИИ-100 (10281).</w:t>
      </w:r>
    </w:p>
    <w:p w14:paraId="5389D4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A7FDB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мая 1942 г. вышел ПРИКАЗ НКО СССР ОБ ИСПЫТАНИИ АВТОМАШИНЫ ЗИС-5 НА ПРЕДМЕТ ИСПОЛЬЗОВАНИЯ КАК ТЯГАЧА ДЛЯ БУКСИРОВКИ 122-мм ГАУБИЦЫ ОБРАЗЦА 1938 г. №153</w:t>
      </w:r>
    </w:p>
    <w:p w14:paraId="6CBE442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Для испытания автомашины ЗИС-5 в качестве тягача для буксировки 122-мм гаубицы образца 1938 года назначаю комиссию под председательством заместителя начальника артиллерии Красной Армии генерал-лейтенанта артиллерии т. Тихонова и членов инженер-полковника Юдина (ГУНАРТ Красной Армии), подполковника Алексеева (ГУНАРТ Красной Армии), инженер-полковника Юдова (ГАУ Красной Армии).</w:t>
      </w:r>
    </w:p>
    <w:p w14:paraId="5A4A709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Два члена от ГАБТУ Красной Армии выделяются распоряжением начальника ГАБТУ Красной Армии.</w:t>
      </w:r>
    </w:p>
    <w:p w14:paraId="74CEA05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Испытание провести 23-26 мая 1942 года в районе Кубинка (полигон ГАБТУ Красной Армии), по прилагаемой утвержденной мною программе.</w:t>
      </w:r>
    </w:p>
    <w:p w14:paraId="35E9B54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Материал испытаний представить мне в 4 экземплярах к 20.00 26 мая 1942 года.</w:t>
      </w:r>
    </w:p>
    <w:p w14:paraId="61DCE4F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Начальнику УСГ Красной Армии обеспечить испытания горюче-смазочными материалами.</w:t>
      </w:r>
    </w:p>
    <w:p w14:paraId="7248FF6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Заместитель народного комиссара обороны генерал-полковник артиллерии Воронов</w:t>
      </w:r>
    </w:p>
    <w:p w14:paraId="757B9957"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11386. Д. Н5. Л. 5-4. Копия (11211).</w:t>
      </w:r>
    </w:p>
    <w:p w14:paraId="21B686F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ПРОГРАММА ИСПЫТАНИЯ АВТОМАШИНЫ ЗИС-5 В КАЧЕСТВЕ ТЯГАЧА ДЛЯ БУКСИРОВКИ 122 ММ ГАУБИЦЫ</w:t>
      </w:r>
    </w:p>
    <w:p w14:paraId="7265261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мая 1942 г.</w:t>
      </w:r>
    </w:p>
    <w:p w14:paraId="2D72670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Цель испытаний.</w:t>
      </w:r>
    </w:p>
    <w:p w14:paraId="18E7D70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Дать заключение о целесообразности использования автомашины ЗИС-5 в качестве тягача для буксировки 122-мм гаубицы обр. 1938 г.</w:t>
      </w:r>
    </w:p>
    <w:p w14:paraId="1132078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Средства испытания.</w:t>
      </w:r>
    </w:p>
    <w:p w14:paraId="4758B9C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Автомашина ЗИС-5.</w:t>
      </w:r>
    </w:p>
    <w:p w14:paraId="31DB4C4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122-мм гаубица обр. 1938 года. Средства испытания предоставляются:</w:t>
      </w:r>
    </w:p>
    <w:p w14:paraId="450907F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Автомашина ЗИС-5 - распоряжением начальника АТУ ГАБТУ Красной Армии генерал-майора технических войск т. Тягунова.</w:t>
      </w:r>
    </w:p>
    <w:p w14:paraId="068485D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Артиллерийская система - распоряжением начальника ГАУ Красной Армии генерал-полков</w:t>
      </w:r>
      <w:r w:rsidRPr="008127F8">
        <w:rPr>
          <w:rFonts w:ascii="Times New Roman" w:hAnsi="Times New Roman"/>
          <w:color w:val="000000" w:themeColor="text1"/>
          <w:sz w:val="16"/>
          <w:szCs w:val="16"/>
        </w:rPr>
        <w:softHyphen/>
        <w:t>ника артиллерии т. Яковлева.</w:t>
      </w:r>
    </w:p>
    <w:p w14:paraId="250EAE5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Объем испытаний.</w:t>
      </w:r>
    </w:p>
    <w:p w14:paraId="3F44274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проводятся буксировкой 122-мм гаубицы образца 1938 года с загрузкой кузова авто</w:t>
      </w:r>
      <w:r w:rsidRPr="008127F8">
        <w:rPr>
          <w:rFonts w:ascii="Times New Roman" w:hAnsi="Times New Roman"/>
          <w:color w:val="000000" w:themeColor="text1"/>
          <w:sz w:val="16"/>
          <w:szCs w:val="16"/>
        </w:rPr>
        <w:softHyphen/>
        <w:t>машины ЗИС-5 боекомплектом и орудийным расчетом:</w:t>
      </w:r>
    </w:p>
    <w:p w14:paraId="34A30A6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по укатанным дорогам - 100 км;</w:t>
      </w:r>
    </w:p>
    <w:p w14:paraId="6DD231A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по проселочным и загрязненным дорогам с выездом на ОП— 50 км. 4. Проведение испытаний.</w:t>
      </w:r>
    </w:p>
    <w:p w14:paraId="33C7F4F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проводятся в районе Кубинка (полигон ГАБТУ Красной Армии) с участием предста</w:t>
      </w:r>
      <w:r w:rsidRPr="008127F8">
        <w:rPr>
          <w:rFonts w:ascii="Times New Roman" w:hAnsi="Times New Roman"/>
          <w:color w:val="000000" w:themeColor="text1"/>
          <w:sz w:val="16"/>
          <w:szCs w:val="16"/>
        </w:rPr>
        <w:softHyphen/>
        <w:t>вителей от:</w:t>
      </w:r>
    </w:p>
    <w:p w14:paraId="190E6A9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ГУНАРТ Красной Армии — инженер - полковника Юдина, подполковника Алексеева.</w:t>
      </w:r>
    </w:p>
    <w:p w14:paraId="591C3D8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ГАУ Красной Армии — инженер - полковника Юдова.</w:t>
      </w:r>
    </w:p>
    <w:p w14:paraId="2B707A7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ГАБТУ Красной Армии - двух представителей, выделенных распоряжением начальника ГАБТУ Красной Армии.</w:t>
      </w:r>
    </w:p>
    <w:p w14:paraId="15172A0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время испытаний определить:</w:t>
      </w:r>
    </w:p>
    <w:p w14:paraId="34B53A7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Средние технические скорости движения на всех видах дорог.</w:t>
      </w:r>
    </w:p>
    <w:p w14:paraId="2790F03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Средние тактические скорости в тех же условиях.</w:t>
      </w:r>
    </w:p>
    <w:p w14:paraId="7E5BAFD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Проходимость по проселочным и загрязненным дорогам.</w:t>
      </w:r>
    </w:p>
    <w:p w14:paraId="1E769B3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Способность преодолевать препятствия, могущие встретиться в боевых условиях: воронки, придорожные канавы, окопы и т.п. Допускается короткая предварительная саперная подготовка.</w:t>
      </w:r>
    </w:p>
    <w:p w14:paraId="472E20A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Максимально преодолеваемый подъем.</w:t>
      </w:r>
    </w:p>
    <w:p w14:paraId="4FA7173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Максимальный спуск без заноса тягача и артиллерийской системы.</w:t>
      </w:r>
    </w:p>
    <w:p w14:paraId="5833229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Радиусы поворота.</w:t>
      </w:r>
    </w:p>
    <w:p w14:paraId="3CC3449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Расход горючего на один километр пробега по различного вида дорогам.</w:t>
      </w:r>
    </w:p>
    <w:p w14:paraId="2A2A214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Соответствие буксирных приспособлений условиям нормальной и удобной сцепки тягача с системой.</w:t>
      </w:r>
    </w:p>
    <w:p w14:paraId="2D4A856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Возможность сцепки 122-мм гаубицы 1938 г. без передка.</w:t>
      </w:r>
    </w:p>
    <w:p w14:paraId="1EEC31C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Обеспеченность гибкости и независимости ходов элементов поезда.</w:t>
      </w:r>
    </w:p>
    <w:p w14:paraId="663F9BE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Количество и удобство размещения выстрелов (в парковой укупорке) на платформе.</w:t>
      </w:r>
    </w:p>
    <w:p w14:paraId="314DC91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Удобство посадки и выхода орудийного расчета на платформе. 5. Дополнительные указания.</w:t>
      </w:r>
    </w:p>
    <w:p w14:paraId="1029143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Машина испытывается с полной загрузкой (по тоннажу) платформы.</w:t>
      </w:r>
    </w:p>
    <w:p w14:paraId="12FA0C3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Перед испытанием произвести фотографирование поезда и обмеры габаритов его.</w:t>
      </w:r>
    </w:p>
    <w:p w14:paraId="1DB2E888"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2. Во время пробега должно быть установлено наблюдение за работой и техническим состояни</w:t>
      </w:r>
      <w:r w:rsidRPr="008127F8">
        <w:rPr>
          <w:rFonts w:ascii="Times New Roman" w:hAnsi="Times New Roman"/>
          <w:color w:val="000000" w:themeColor="text1"/>
          <w:kern w:val="65535"/>
          <w:sz w:val="16"/>
          <w:szCs w:val="16"/>
        </w:rPr>
        <w:softHyphen/>
        <w:t>ем элементов поезда.</w:t>
      </w:r>
    </w:p>
    <w:p w14:paraId="738F616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Отчет испытания должен быть иллюстрирован фотоснимками характерных моментов испы</w:t>
      </w:r>
      <w:r w:rsidRPr="008127F8">
        <w:rPr>
          <w:rFonts w:ascii="Times New Roman" w:hAnsi="Times New Roman"/>
          <w:color w:val="000000" w:themeColor="text1"/>
          <w:sz w:val="16"/>
          <w:szCs w:val="16"/>
        </w:rPr>
        <w:softHyphen/>
        <w:t>тания и всех дефектных деталей, выявленных в процессе испытаний.</w:t>
      </w:r>
    </w:p>
    <w:p w14:paraId="5E97940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Фотограф выделяется распоряжением начальника полигона ГАБТУ Красной Армии.</w:t>
      </w:r>
    </w:p>
    <w:p w14:paraId="781625E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Отчет должен быть составлен в 4 экземплярах и представлен: экземпляр № 1 - ГКО, № 2 -ГУНАРТ Красной Армии, № 3 - ГАБТУ Красной Армии и № 4 - ГАУ Красной Армии.</w:t>
      </w:r>
    </w:p>
    <w:p w14:paraId="04B927E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Заместитель начальника артиллерии Красной Армии генерал-лейтенант артиллерии Тихонов</w:t>
      </w:r>
    </w:p>
    <w:p w14:paraId="4E3D5F4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11386, Д. 145. Л. 51-53. Копия (11211).</w:t>
      </w:r>
    </w:p>
    <w:p w14:paraId="237CF8C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60461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46E378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55E97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22 мая</w:t>
      </w:r>
      <w:r w:rsidRPr="008127F8">
        <w:rPr>
          <w:rFonts w:ascii="Times New Roman" w:hAnsi="Times New Roman"/>
          <w:color w:val="000000" w:themeColor="text1"/>
          <w:sz w:val="16"/>
          <w:szCs w:val="16"/>
        </w:rPr>
        <w:t xml:space="preserve"> в 1942 году утреннее сообщение Совинформбюро:</w:t>
      </w:r>
    </w:p>
    <w:p w14:paraId="41EAAB3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22 мая на Харьковском направлении наши войска вели наступательные бои.</w:t>
      </w:r>
    </w:p>
    <w:p w14:paraId="62B711F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Керченском полуострове продолжались бои в восточной части полуострова.</w:t>
      </w:r>
    </w:p>
    <w:p w14:paraId="2438A79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существенных изменений не произошло.</w:t>
      </w:r>
    </w:p>
    <w:p w14:paraId="2C821F8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Харьковского направления враг предпринял контратаку. Стремительным ударом наши бойцы опрокинули немцев и на плечах отступающегопротивника ворвались в населённый пункт. На поле боя немцы оставили 370 трупов. Захвачены 4 орудия, 12 пулемётов, 5 миномётов, склад с боеприпасами, 2 тягача и 12 подвод с продовольствием. На другом участке наша часть, продвигаясь вперёд, уничтожила 3 немецких танка, 2 орудия и 8 станковых пулемётов. Противник потерял убитыми свыше 200 солдат и офицеров.</w:t>
      </w:r>
    </w:p>
    <w:p w14:paraId="170139F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Калининского фронта противник пытался атаковать расположение советских войск. Наши части контрударами отбросили немцев на исходные позиции. За два дня боевых действий гитлеровцы потеряли более 1.000 солдат и офицеров, 6 танков, 2 миномётные батареи и 7 автомашин. Взорвано 2 склада противника с боеприпасами. На другом участке фронта нашими бойцами уничтожены 2 немецких танка, бронемашина, орудие и 7 миномётов. На поле боя осталось свыше 300 убитых гитлеровцев.</w:t>
      </w:r>
    </w:p>
    <w:p w14:paraId="2518A49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Пять наших бойцов во главе с красноармейцем Степаном Петровичем Ямутковым ворвались во вражеский блиндаж и в рукопашной схватке уничтожили 18 немецких солдат.</w:t>
      </w:r>
    </w:p>
    <w:p w14:paraId="3D6F577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Т., действующий в одном из районов Смоленской области, ведёт упорные бои с противником. Немецко-фашистские оккупанты бросили против партизан батальон пехоты с 5 танками. Партизаны, успешно отражая атаки гитлеровцев, подбили 2 немецких танка.</w:t>
      </w:r>
    </w:p>
    <w:p w14:paraId="737AB6C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Пленный немецкий фельдфебель Леопольд Штеффан рассказал: «Я работал в экспедиции воздушной почты. Мне приходилось бывать в различных районах Украины. 12 мая я вылетел в Харьков. Это был мой последний полёт. Мы сбились с маршрута и очутились над территорией, занятой русскими. Советская зенитная артиллерия сбила наш транспортный самолёт «Юнкерс-52». Вместе с экипажем в машине находилось 15 человек. В занятых немецкими войсками районах Украины крестьяне саботируют все мероприятия немецких властей и засевают лишь небольшие участки земли для удовлетворения своих собственных нужд».</w:t>
      </w:r>
    </w:p>
    <w:p w14:paraId="45C2247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Немецкие изверги закопали в землю живым учителя Воробьёва из деревни Кривило, Ленинградской области.</w:t>
      </w:r>
    </w:p>
    <w:p w14:paraId="43FDC9F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Берлине, Кельне, Ганновере, Франкфурте, Дрездене и других городах Германиигестапо арестовало группу судебных чиновников. Как сообщают, арестованным предъявлено обвинение в том, что они выносили мягкие приговоры людям, которые недовольны войной и гитлеровским режимом.» (14899).</w:t>
      </w:r>
    </w:p>
    <w:p w14:paraId="7A39CF4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6D30DF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22 мая</w:t>
      </w:r>
      <w:r w:rsidRPr="008127F8">
        <w:rPr>
          <w:rFonts w:ascii="Times New Roman" w:hAnsi="Times New Roman"/>
          <w:color w:val="000000" w:themeColor="text1"/>
          <w:sz w:val="16"/>
          <w:szCs w:val="16"/>
        </w:rPr>
        <w:t xml:space="preserve"> в 1942 году вечернее сообщение Совинформбюро:</w:t>
      </w:r>
    </w:p>
    <w:p w14:paraId="39CAEDA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22 мая на Харьковском направлении наши войска закреплялись на занятых рубежах и вели наступательные бои.</w:t>
      </w:r>
    </w:p>
    <w:p w14:paraId="390D143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Изюм-Барвенковском направлении наши войска отбили атаки противника и нанесли ему большие потери. Только за 3 дня боёв на этом участке фронта уничтожено более 15 тысяч немецких солдат и офицеров.</w:t>
      </w:r>
    </w:p>
    <w:p w14:paraId="45CD39F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восточной части Керченского полуострова продолжались бои.</w:t>
      </w:r>
    </w:p>
    <w:p w14:paraId="6D35136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21 мая уничтожено 37 немецких самолётов. Наши потери — 19 самолётов.</w:t>
      </w:r>
    </w:p>
    <w:p w14:paraId="2836B82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21 мая частями нашей авиации на разных участках фронта уничтожено или повреждено 85 немецких танков и танкеток, более 200 автомашин с войсками и грузами, 4 автоцистерны, 50 подвод с боеприпасами, 3 полевых орудия, 6 миномётов, взорвано 4 склада с боеприпасами и 2 склада с горючим, разбит железнодорож-ный эшелон, рассеяно и частью уничтожено до 4 рот пехоты противника.</w:t>
      </w:r>
    </w:p>
    <w:p w14:paraId="56447B2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Харьковском направлении немецко-фашистские войска несут большие потери в живой силе и технике. Только на одном участке уничтожено до 700 гитлеровцев, 6 орудий, 10 пулемётов, 11 автомашин с военным грузом и другое военное имущество. На другом участке наши бойцы, заняв населённый пункт, захватили 8 орудий, 17пулемётов, 6 миномётов и склад с боеприпасами. На поле боя осталось 200 вражеских трупов.</w:t>
      </w:r>
    </w:p>
    <w:p w14:paraId="1C34603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 наша дивизия, действующая на Изюм-Барвенковском направлении, за один день боёв отразила одиннадцать атак противника и уничтожила свыше 3.000 немецких солдат и офицеров.</w:t>
      </w:r>
    </w:p>
    <w:p w14:paraId="205C769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Северо-Западного фронта, внезапным ударом выбила немцев из населённого пункта. Противник потерял убитыми свыше 200 солдат и офицеров. Захвачены 4 орудия, 5 миномётов, 20 автоматов, много винтовок и боеприпасов.</w:t>
      </w:r>
    </w:p>
    <w:p w14:paraId="163EAA2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Танковый экипаж лейтенанта тов. Карпенко встретился с шестью вражескими танками. Смело приняв неравный бой, наши танкисты уничтожили 3 и подбили один немецкий танк.</w:t>
      </w:r>
    </w:p>
    <w:p w14:paraId="7D1209C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ленинградских партизан под командованием товарища С. взорвал железнодорожное полотно и пустил под откос воинский эшелон противника. Разбито 28 вагонов с солдатами и 12 платформ с автомашинами и танками.</w:t>
      </w:r>
    </w:p>
    <w:p w14:paraId="380D39C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Ленинградского фронта сдался в плен солдат 2 роты норвежского легиона Виорн Баст. Пленный заявил: «Как только мне представился удобный случай, я без колебаний перешёл на сторону Красной Армии. Немцев я считаю злейшими врагами норвежского народа: они поработили мою родину. Норвежцы уважают тех, кто борется против немецких оккупантов». Далее Виорн Баст сообщил, что за два месяца пребывания на фронте норвежский легион понёс большие потери. Из 800 солдат осталось не более 400—450 человек.</w:t>
      </w:r>
    </w:p>
    <w:p w14:paraId="6E6E937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выдержки из письма, найденного у убитого немецкого унтер-офицера Альберта Доринга: «...За всю свою жизнь я никогда ещё не ждал с таким нетерпением весны и лета, как в этом году. Теперь, когда долгожданное время наступило, оказывается, мы остаёмся здесь. Ни о какой смене не может бытьи речи. На нашем участке идут ожесточённые бои. Русские прорвали нашу оборону и захватили наши орудия. Многие простаки ещё недавно укладывали свои пожитки и собирались ехать на родину. Они говорили: «Наш главный пароль — смена, домой». Но им навязали другой пароль— смерть. За несколько дней наш полк уменьшился на 400 человек. Это целое кладбище».</w:t>
      </w:r>
    </w:p>
    <w:p w14:paraId="231CD01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Дезертирство из финской армии принимает всё большие размеры. Правительство и командование вынуждены принимать чрезвычайные меры для борьбы с дезертирами. На магистралях и просёлочных дорогах патрулируют шюцкоровцы. Особые отряды шющкоровцев охотятся за дезертирами, устраивают облавы в городах, сёлах и на станциях железных дорог. Однако население сочувствует дезертирам и помогает им укрыться от преследования.» (14899).</w:t>
      </w:r>
    </w:p>
    <w:p w14:paraId="2368E13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995F9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rPr>
        <w:t>22 мая 1942 наступление КА на Харьков было остановлено и подавлено силами 6А (фон Паулюса). Впленбыловзято</w:t>
      </w:r>
      <w:r w:rsidRPr="008127F8">
        <w:rPr>
          <w:rFonts w:ascii="Times New Roman" w:hAnsi="Times New Roman"/>
          <w:color w:val="000000" w:themeColor="text1"/>
          <w:sz w:val="16"/>
          <w:szCs w:val="16"/>
          <w:lang w:val="en-US"/>
        </w:rPr>
        <w:t xml:space="preserve"> 210 </w:t>
      </w:r>
      <w:r w:rsidRPr="008127F8">
        <w:rPr>
          <w:rFonts w:ascii="Times New Roman" w:hAnsi="Times New Roman"/>
          <w:color w:val="000000" w:themeColor="text1"/>
          <w:sz w:val="16"/>
          <w:szCs w:val="16"/>
        </w:rPr>
        <w:t>тыс</w:t>
      </w:r>
      <w:r w:rsidRPr="008127F8">
        <w:rPr>
          <w:rFonts w:ascii="Times New Roman" w:hAnsi="Times New Roman"/>
          <w:color w:val="000000" w:themeColor="text1"/>
          <w:sz w:val="16"/>
          <w:szCs w:val="16"/>
          <w:lang w:val="en-US"/>
        </w:rPr>
        <w:t xml:space="preserve">. </w:t>
      </w:r>
      <w:r w:rsidRPr="008127F8">
        <w:rPr>
          <w:rFonts w:ascii="Times New Roman" w:hAnsi="Times New Roman"/>
          <w:color w:val="000000" w:themeColor="text1"/>
          <w:sz w:val="16"/>
          <w:szCs w:val="16"/>
        </w:rPr>
        <w:t>чел</w:t>
      </w:r>
      <w:r w:rsidRPr="008127F8">
        <w:rPr>
          <w:rFonts w:ascii="Times New Roman" w:hAnsi="Times New Roman"/>
          <w:color w:val="000000" w:themeColor="text1"/>
          <w:sz w:val="16"/>
          <w:szCs w:val="16"/>
          <w:lang w:val="en-US"/>
        </w:rPr>
        <w:t>. (3819).</w:t>
      </w:r>
    </w:p>
    <w:p w14:paraId="5988753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3051B0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May 22nd, 1942: In the East, the Soviet forces (two armies) attacking toward Charkov are stopped and destroyed by the German 6.Armee (von Paulus); 241,000 prisoners are taken (3819).</w:t>
      </w:r>
    </w:p>
    <w:p w14:paraId="55EA3B1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5EA155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22 мая 1942 в состав 220-й иад вошли 94-й бап, 820-й шап и 429-й иап, но уже 29 мая эти полки и 505-й шап включили в 228-й шад полковника В. В. Степичева.</w:t>
      </w:r>
    </w:p>
    <w:p w14:paraId="504143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ВВС КА и Ставка ВГК спешно усиливали авиационную группировку на угрожаемом направлении. На Юго-Западный фронт прибыли семь истребительных и два штурмовых (243-й и 766-й) авиаполка.</w:t>
      </w:r>
    </w:p>
    <w:p w14:paraId="72BE0B9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этот же день в состав маневренной авиагруппы фронта вошел 619-й шап. Двумя днями ранее к боевой работе приступил 826-й ббап на Су-2 (12020).</w:t>
      </w:r>
    </w:p>
    <w:p w14:paraId="7FCFD78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8B51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мая 1942 день в основном был посвящен обоюдным обменам ударами о аэродромам. Авиация фронта, совершив 238 боевых вылетов, поста-ила своеобразный рекорд количества уничтоженных самолетов противника на аэродромах. Результатом двойного утреннего налета на аэродромы Рогань и Чугуев, произведенного ранним утром группой из 6 Ил-2 сопровождении 7 Як-1 и 2 ЛаГГ-3 из состава МАГ ВВС ЮЗФ, были заявлено уничтоженными 25 истребителей Мe-109 (15 на аэродроме Рогань и 10 а Чугуевском аэродроме) при потере одного Ил-2. В этот же день победу над двумя Me-109 одержали летчики Шпилевский и Боровой из состава МАГ ЮЗФ, которые в числе десяти Як-1 атаковали немецкие войска в районе Непокрытая и ввязались в бои с подоспевшей группой из 8 Me-109. Летчик одного из сбитых Me-109 выпрыгнул с парашютом. Своих потерь группа не имела. В указанном районе в этот день, по немецким данным, был сбит ВГ 109F-4 Эрнста Бухрова из 8./JG 77. а истребитель лейтенанта Вольфганга Эрнста из той же эскадрильи совершил вынужденную посадку с пробитым радиатором. В бою был также потерян Вf 109F-4 из 7. }G 3, летчик которого спасся с парашютом, а в II. /JG 52 не вернулся на аэродром фельдфебель Борхард. Боевой счет летчиков ВВС ЮЗФ был дополнен еще ДВУМЯ Хе-111 и одним Ю-88. Но основным трофеем в этот день мог служить захваченный практически исправным Bf 109F-4lrop. На территории, контролируемой войсками 21-й армии, произвел посадку поврежденный зенитным огнем истребитель унтер-офицера Георга Мааса из I./ JG 3. Летчик попал в плен. Всего, по немецким данным, потери люфтваффе в этот дет” составили шесть самолетов. Потери ВВС ЮЗФ оказались в два раза больше - не вернувшимися числились 4 Як-1, 4 Нл-2, 2 Пе-2, 1 ЛаГГ-З и 1 У-2.</w:t>
      </w:r>
    </w:p>
    <w:p w14:paraId="72C242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понесенными потерями, а также с реорганизацией всей структуры ВВС (создание воздушных армии и авиадивизии), расформировывались авиагруппы. Полки, входившие в состав авиагрупп, передавались в состав формируемых дивизий, либо расформировывались. Например, 581-й ИАП, вошедший 1°) мая для усиления в состав 3 УАГ, приступил к боевым действиям в составе 20 Як-1. Уже на следующий день полк выполнял боевые задачи по сопровождению групп штурмовиков 211-го ШАП. действовавших под Харьковом. За период с 14 по 22 мая в 8 индивидуальных и 13 групповых боях летчиками полка было сбито 10 вражеских самолетов. но ценой потери 11 Як-1 и пяти своих летчиков. В боях отличился л-т Леонид Борисов, сбивший три самолета лично и четыре в паре. 22 мая полк был отправлен на переформирование в 8-й ЗАП, передав оставшиеся 7 Як-1 в 146-й ИАП подполковника К.Д.Орлова (9394,16).</w:t>
      </w:r>
    </w:p>
    <w:p w14:paraId="218533B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1D4B3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мая 1942 около Мценска был сбит меткой очередью с "пешки" столь же известный летчик в JG51 лейтенант Г. Штрелов - он воспользовался парашютом, приземлился в расположении советских войск и, не желая сдаваться в плен, застрелился (12042).</w:t>
      </w:r>
    </w:p>
    <w:p w14:paraId="14DC74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803A1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1A406E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D0741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мая 1942 ас ВВС японской императорской армии Татео Като погиб в бою, когда наводчик на борту Бристоль Бленхейм Mark IV в Royal Air Force № 60 Squadron обстреливает его истребитель Nakajima Ki-43 Hayabusa (Сапсан, название из отчетности “ Оскар ») над Бенгальским заливом. Като приписывают 18 побед на момент гибели (20793).</w:t>
      </w:r>
    </w:p>
    <w:p w14:paraId="3C018C5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271A91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мая 1942 Мексика объявила с 1 июня войну Германии (4962).</w:t>
      </w:r>
    </w:p>
    <w:p w14:paraId="7D71B09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91C3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May 22 Fri. 1942 Mexico declares war on Germany, Italy, and Japan (1064).</w:t>
      </w:r>
    </w:p>
    <w:p w14:paraId="2C17AC7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340A4A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мая 1942 Мексика вступила в войну с Германией, Италией и Японией (1064).</w:t>
      </w:r>
    </w:p>
    <w:p w14:paraId="01FA715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D9FC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lastRenderedPageBreak/>
        <w:t>Авиапромышленность:</w:t>
      </w:r>
    </w:p>
    <w:p w14:paraId="68BA9C0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01354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мая 1942 года начальник 10-го гл. управления НКАП Тарасевич писал письмо N 137 директору завода N 18 Нейману и директору завода N 207 Засульскому.</w:t>
      </w:r>
    </w:p>
    <w:p w14:paraId="7B65B21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изменение пункта I приказа НКАП N 292с от 17 апреля с.г. о снабжении метизами и деталями заводов, изготовляющих бронекорпуса к самол. Ил-2, за заводом N 18 закрепляется поставка метизов и деталей заводу N 207 в количестве, обеспечивающем сборку поставляемых ему заводом N 207 бронекорпусов.</w:t>
      </w:r>
    </w:p>
    <w:p w14:paraId="076F14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этого Вам надлежит сдать заводу N 207 в мае и июне мес. метизов (шурупы, заклепки, болты, нормали) и деталей в количестве по 400 комплектов ежемесячно (1685,48).</w:t>
      </w:r>
    </w:p>
    <w:p w14:paraId="4B63C0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D912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мая 1942 л 126 завода А.Г.Байсманов в 14:30 совершил аварию при испытаниях Ил-4 на аэродроме Дземичах на Амуре (2132). При посадке промазал из-за ветра и столкнулся с И-16 и ЛаГГ-3 (2108).</w:t>
      </w:r>
    </w:p>
    <w:p w14:paraId="3EB20A3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3F13C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мая 1942 всего через 6 дней после начала войсковых испытаний самолет Ту-2, пилотируемый лейтенантом Майоровым, потерпел аварию на посадке. Машину неожиданно развернуло на пробеге. Спустя три дня, 26 мая, произошла катастрофа со вторым бомбардировщиком, на котором летел экипаж пилота Ищенко. Спасся только стрелок, получивший тяжелые ранения. Комиссия не смогла определить причины трагедии. Существовало две версии: ошибка летчика или неожиданный отказ левого мотора. Осталась одна машина, третья.</w:t>
      </w:r>
    </w:p>
    <w:p w14:paraId="41E7C3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Фактически на нее пришелся весь объем испытаний. В ходе полетов выяснилось, что на больших высотах скорость по непонятной причине резко падает. Оказалось, что моторы М-82 недодают мощность выше второй границы высотности, когда нагнетатель переключался на вторую скорость. Но причина крылась не в нагнетателе, а в магнето БСМ-14. Это стало ясно, когда его опробовали в барокамере. Хорошо работая при нормальном давлении, в разреженном воздухе оно стало сбоить. В полете это вызывало тряску двигателей. В Военно-воз- душной академии им. Жуковского под руководством профессора B.C. Куле- бакина спешно создали новую модификацию - БСМ-14В, запущенную в серийное производство, но это произошло уже после завершения первого этапа войсковых испытаний Ту-2.</w:t>
      </w:r>
    </w:p>
    <w:p w14:paraId="7349437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Полеты прекратили в конце июля 1942 г., а итоговый отчет был утвержден 22 августа. Выводы испытателей в целом были одобрительными. В заключении отчета записали: "Серийные самолеты Ту-2 постройки заво да № 166 по своим летным свойствам, надежности работы моторов и вооружению могут быть использованы в боевой работе..." Но вместе с тем высоту полета ограничили 5000 м (до которой нормально работало БСМ-14). Использованию самолета в качестве пикировщика препятствовала перераскрутка винтов. Рекомендовали доработать ненадежные тормоза колес, а также усилить оборонительное вооружение. Дело в том, что огневая мощь пулеметов ШКАС уже считалась недостаточной. На пикирующем бомбардировщике Пе-2 еще летом 1941 г. смонтировали два 12,7-мм пулемета - один неподвижный в носу фюзеляжа, а второй - в люковой установке, стрелявшей вниз-назад. Позже к ним добавили еще один крупнокалиберный пулемет у штурмана и бортовой ШКАС у стрелка-радиста. Новое вооружение весьма эффективно использовалось на фронте, не позволяя немецким истребителям близко подходить к бомбардировщику. Усиление неподвижного вооружения Ту-2 не требовалось: по секундному залпу он значительно превосходил Пе-2. Поэтому специалисты НИИ ВВС рекомендовали поставить 12,7-мм пулеметы УБТ на обеих верхних установках - у штурмана и стрелка-радиста (11988).</w:t>
      </w:r>
    </w:p>
    <w:p w14:paraId="5CAD303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1FE36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23 мая 1942 самолет Ту-2, пило</w:t>
      </w:r>
      <w:r w:rsidRPr="008127F8">
        <w:rPr>
          <w:rFonts w:ascii="Times New Roman" w:hAnsi="Times New Roman"/>
          <w:color w:val="000000" w:themeColor="text1"/>
          <w:sz w:val="16"/>
          <w:szCs w:val="16"/>
          <w:lang w:eastAsia="ru-RU" w:bidi="ru-RU"/>
        </w:rPr>
        <w:softHyphen/>
        <w:t>тируемый лейтенантом Майоровым в ходе первого этапа войсковых испытаний, по</w:t>
      </w:r>
      <w:r w:rsidRPr="008127F8">
        <w:rPr>
          <w:rFonts w:ascii="Times New Roman" w:hAnsi="Times New Roman"/>
          <w:color w:val="000000" w:themeColor="text1"/>
          <w:sz w:val="16"/>
          <w:szCs w:val="16"/>
          <w:lang w:eastAsia="ru-RU" w:bidi="ru-RU"/>
        </w:rPr>
        <w:softHyphen/>
        <w:t>терпел аварию на посадке. Машину нео</w:t>
      </w:r>
      <w:r w:rsidRPr="008127F8">
        <w:rPr>
          <w:rFonts w:ascii="Times New Roman" w:hAnsi="Times New Roman"/>
          <w:color w:val="000000" w:themeColor="text1"/>
          <w:sz w:val="16"/>
          <w:szCs w:val="16"/>
          <w:lang w:eastAsia="ru-RU" w:bidi="ru-RU"/>
        </w:rPr>
        <w:softHyphen/>
        <w:t>жиданно развернуло на пробеге. Спустя три дня, 26 мая, произошла катастрофа со вторым бомбардировщиком, на кото</w:t>
      </w:r>
      <w:r w:rsidRPr="008127F8">
        <w:rPr>
          <w:rFonts w:ascii="Times New Roman" w:hAnsi="Times New Roman"/>
          <w:color w:val="000000" w:themeColor="text1"/>
          <w:sz w:val="16"/>
          <w:szCs w:val="16"/>
          <w:lang w:eastAsia="ru-RU" w:bidi="ru-RU"/>
        </w:rPr>
        <w:softHyphen/>
        <w:t>ром летел экипаж пилота Ищенко. Спасся только стрелок, получивший тяжелые ра</w:t>
      </w:r>
      <w:r w:rsidRPr="008127F8">
        <w:rPr>
          <w:rFonts w:ascii="Times New Roman" w:hAnsi="Times New Roman"/>
          <w:color w:val="000000" w:themeColor="text1"/>
          <w:sz w:val="16"/>
          <w:szCs w:val="16"/>
          <w:lang w:eastAsia="ru-RU" w:bidi="ru-RU"/>
        </w:rPr>
        <w:softHyphen/>
        <w:t>нения. Комиссия не смогла определить причины трагедии. Существовало две вер</w:t>
      </w:r>
      <w:r w:rsidRPr="008127F8">
        <w:rPr>
          <w:rFonts w:ascii="Times New Roman" w:hAnsi="Times New Roman"/>
          <w:color w:val="000000" w:themeColor="text1"/>
          <w:sz w:val="16"/>
          <w:szCs w:val="16"/>
          <w:lang w:eastAsia="ru-RU" w:bidi="ru-RU"/>
        </w:rPr>
        <w:softHyphen/>
        <w:t>сии: ошибка летчика или неожиданный отказ левого мотора. Осталась одна ма</w:t>
      </w:r>
      <w:r w:rsidRPr="008127F8">
        <w:rPr>
          <w:rFonts w:ascii="Times New Roman" w:hAnsi="Times New Roman"/>
          <w:color w:val="000000" w:themeColor="text1"/>
          <w:sz w:val="16"/>
          <w:szCs w:val="16"/>
          <w:lang w:eastAsia="ru-RU" w:bidi="ru-RU"/>
        </w:rPr>
        <w:softHyphen/>
        <w:t>шина, третья.</w:t>
      </w:r>
    </w:p>
    <w:p w14:paraId="1162F6E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Фактически на нее пришелся весь объем испытаний. В ходе полетов вы</w:t>
      </w:r>
      <w:r w:rsidRPr="008127F8">
        <w:rPr>
          <w:rFonts w:ascii="Times New Roman" w:hAnsi="Times New Roman"/>
          <w:color w:val="000000" w:themeColor="text1"/>
          <w:sz w:val="16"/>
          <w:szCs w:val="16"/>
          <w:lang w:eastAsia="ru-RU" w:bidi="ru-RU"/>
        </w:rPr>
        <w:softHyphen/>
        <w:t>яснилось, что на больших высотах ско</w:t>
      </w:r>
      <w:r w:rsidRPr="008127F8">
        <w:rPr>
          <w:rFonts w:ascii="Times New Roman" w:hAnsi="Times New Roman"/>
          <w:color w:val="000000" w:themeColor="text1"/>
          <w:sz w:val="16"/>
          <w:szCs w:val="16"/>
          <w:lang w:eastAsia="ru-RU" w:bidi="ru-RU"/>
        </w:rPr>
        <w:softHyphen/>
        <w:t>рость по непонятной причине резко па</w:t>
      </w:r>
      <w:r w:rsidRPr="008127F8">
        <w:rPr>
          <w:rFonts w:ascii="Times New Roman" w:hAnsi="Times New Roman"/>
          <w:color w:val="000000" w:themeColor="text1"/>
          <w:sz w:val="16"/>
          <w:szCs w:val="16"/>
          <w:lang w:eastAsia="ru-RU" w:bidi="ru-RU"/>
        </w:rPr>
        <w:softHyphen/>
        <w:t>дает. Оказалось, что моторы М-82 недо</w:t>
      </w:r>
      <w:r w:rsidRPr="008127F8">
        <w:rPr>
          <w:rFonts w:ascii="Times New Roman" w:hAnsi="Times New Roman"/>
          <w:color w:val="000000" w:themeColor="text1"/>
          <w:sz w:val="16"/>
          <w:szCs w:val="16"/>
          <w:lang w:eastAsia="ru-RU" w:bidi="ru-RU"/>
        </w:rPr>
        <w:softHyphen/>
        <w:t>дают мощность выше второй границы высотности, когда нагнетатель переклю</w:t>
      </w:r>
      <w:r w:rsidRPr="008127F8">
        <w:rPr>
          <w:rFonts w:ascii="Times New Roman" w:hAnsi="Times New Roman"/>
          <w:color w:val="000000" w:themeColor="text1"/>
          <w:sz w:val="16"/>
          <w:szCs w:val="16"/>
          <w:lang w:eastAsia="ru-RU" w:bidi="ru-RU"/>
        </w:rPr>
        <w:softHyphen/>
        <w:t>чался на вторую скорость. Но причина крылась не в нагнетателе, а в магнето БСМ-14. Это стало ясно, когда его опро</w:t>
      </w:r>
      <w:r w:rsidRPr="008127F8">
        <w:rPr>
          <w:rFonts w:ascii="Times New Roman" w:hAnsi="Times New Roman"/>
          <w:color w:val="000000" w:themeColor="text1"/>
          <w:sz w:val="16"/>
          <w:szCs w:val="16"/>
          <w:lang w:eastAsia="ru-RU" w:bidi="ru-RU"/>
        </w:rPr>
        <w:softHyphen/>
        <w:t>бовали в барокамере. Хорошо работая при нормальном давлении, в разрежен</w:t>
      </w:r>
      <w:r w:rsidRPr="008127F8">
        <w:rPr>
          <w:rFonts w:ascii="Times New Roman" w:hAnsi="Times New Roman"/>
          <w:color w:val="000000" w:themeColor="text1"/>
          <w:sz w:val="16"/>
          <w:szCs w:val="16"/>
          <w:lang w:eastAsia="ru-RU" w:bidi="ru-RU"/>
        </w:rPr>
        <w:softHyphen/>
        <w:t>ном воздухе оно начинало сбоить. В по</w:t>
      </w:r>
      <w:r w:rsidRPr="008127F8">
        <w:rPr>
          <w:rFonts w:ascii="Times New Roman" w:hAnsi="Times New Roman"/>
          <w:color w:val="000000" w:themeColor="text1"/>
          <w:sz w:val="16"/>
          <w:szCs w:val="16"/>
          <w:lang w:eastAsia="ru-RU" w:bidi="ru-RU"/>
        </w:rPr>
        <w:softHyphen/>
        <w:t>лете это вызывало тряску двигателей. В Военно-воздушной академии им. Жу</w:t>
      </w:r>
      <w:r w:rsidRPr="008127F8">
        <w:rPr>
          <w:rFonts w:ascii="Times New Roman" w:hAnsi="Times New Roman"/>
          <w:color w:val="000000" w:themeColor="text1"/>
          <w:sz w:val="16"/>
          <w:szCs w:val="16"/>
          <w:lang w:eastAsia="ru-RU" w:bidi="ru-RU"/>
        </w:rPr>
        <w:softHyphen/>
        <w:t>ковского под руководством профессора В.С. Кулебакина спешно создали новую модификацию - БСМ-14В, запущенную в серийное производство, но это прои</w:t>
      </w:r>
      <w:r w:rsidRPr="008127F8">
        <w:rPr>
          <w:rFonts w:ascii="Times New Roman" w:hAnsi="Times New Roman"/>
          <w:color w:val="000000" w:themeColor="text1"/>
          <w:sz w:val="16"/>
          <w:szCs w:val="16"/>
          <w:lang w:eastAsia="ru-RU" w:bidi="ru-RU"/>
        </w:rPr>
        <w:softHyphen/>
        <w:t>зошло уже после завершения первого этапа войсковых испытаний Ту-2.</w:t>
      </w:r>
    </w:p>
    <w:p w14:paraId="1CA7B12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Полеты прекратили в конце июля 1942 г., а итоговый отчет был утвержден 22 августа. Выводы испытателей в целом были одобрительными. В заключении от</w:t>
      </w:r>
      <w:r w:rsidRPr="008127F8">
        <w:rPr>
          <w:rFonts w:ascii="Times New Roman" w:hAnsi="Times New Roman"/>
          <w:color w:val="000000" w:themeColor="text1"/>
          <w:sz w:val="16"/>
          <w:szCs w:val="16"/>
          <w:lang w:eastAsia="ru-RU" w:bidi="ru-RU"/>
        </w:rPr>
        <w:softHyphen/>
        <w:t>чета записали: «Серийные самолеты Ту-2 постройки завода №166 по своим лет</w:t>
      </w:r>
      <w:r w:rsidRPr="008127F8">
        <w:rPr>
          <w:rFonts w:ascii="Times New Roman" w:hAnsi="Times New Roman"/>
          <w:color w:val="000000" w:themeColor="text1"/>
          <w:sz w:val="16"/>
          <w:szCs w:val="16"/>
          <w:lang w:eastAsia="ru-RU" w:bidi="ru-RU"/>
        </w:rPr>
        <w:softHyphen/>
        <w:t>ным свойствам, надежности работы мото</w:t>
      </w:r>
      <w:r w:rsidRPr="008127F8">
        <w:rPr>
          <w:rFonts w:ascii="Times New Roman" w:hAnsi="Times New Roman"/>
          <w:color w:val="000000" w:themeColor="text1"/>
          <w:sz w:val="16"/>
          <w:szCs w:val="16"/>
          <w:lang w:eastAsia="ru-RU" w:bidi="ru-RU"/>
        </w:rPr>
        <w:softHyphen/>
        <w:t>ров и вооружению могут быть использо</w:t>
      </w:r>
      <w:r w:rsidRPr="008127F8">
        <w:rPr>
          <w:rFonts w:ascii="Times New Roman" w:hAnsi="Times New Roman"/>
          <w:color w:val="000000" w:themeColor="text1"/>
          <w:sz w:val="16"/>
          <w:szCs w:val="16"/>
          <w:lang w:eastAsia="ru-RU" w:bidi="ru-RU"/>
        </w:rPr>
        <w:softHyphen/>
        <w:t>ваны в боевой работе...» Но вместе с тем высоту полета ограничили 5000 м (до ко</w:t>
      </w:r>
      <w:r w:rsidRPr="008127F8">
        <w:rPr>
          <w:rFonts w:ascii="Times New Roman" w:hAnsi="Times New Roman"/>
          <w:color w:val="000000" w:themeColor="text1"/>
          <w:sz w:val="16"/>
          <w:szCs w:val="16"/>
          <w:lang w:eastAsia="ru-RU" w:bidi="ru-RU"/>
        </w:rPr>
        <w:softHyphen/>
        <w:t>торой нормально работало БСМ-14). Ис</w:t>
      </w:r>
      <w:r w:rsidRPr="008127F8">
        <w:rPr>
          <w:rFonts w:ascii="Times New Roman" w:hAnsi="Times New Roman"/>
          <w:color w:val="000000" w:themeColor="text1"/>
          <w:sz w:val="16"/>
          <w:szCs w:val="16"/>
          <w:lang w:eastAsia="ru-RU" w:bidi="ru-RU"/>
        </w:rPr>
        <w:softHyphen/>
        <w:t>пользованию самолета в качестве пики</w:t>
      </w:r>
      <w:r w:rsidRPr="008127F8">
        <w:rPr>
          <w:rFonts w:ascii="Times New Roman" w:hAnsi="Times New Roman"/>
          <w:color w:val="000000" w:themeColor="text1"/>
          <w:sz w:val="16"/>
          <w:szCs w:val="16"/>
          <w:lang w:eastAsia="ru-RU" w:bidi="ru-RU"/>
        </w:rPr>
        <w:softHyphen/>
        <w:t>ровщика препятствовала перераскрутка винтов. Рекомендовали доработать не</w:t>
      </w:r>
      <w:r w:rsidRPr="008127F8">
        <w:rPr>
          <w:rFonts w:ascii="Times New Roman" w:hAnsi="Times New Roman"/>
          <w:color w:val="000000" w:themeColor="text1"/>
          <w:sz w:val="16"/>
          <w:szCs w:val="16"/>
          <w:lang w:eastAsia="ru-RU" w:bidi="ru-RU"/>
        </w:rPr>
        <w:softHyphen/>
        <w:t>надежные тормоза колес, а также уси</w:t>
      </w:r>
      <w:r w:rsidRPr="008127F8">
        <w:rPr>
          <w:rFonts w:ascii="Times New Roman" w:hAnsi="Times New Roman"/>
          <w:color w:val="000000" w:themeColor="text1"/>
          <w:sz w:val="16"/>
          <w:szCs w:val="16"/>
          <w:lang w:eastAsia="ru-RU" w:bidi="ru-RU"/>
        </w:rPr>
        <w:softHyphen/>
        <w:t>лить оборонительное вооружение. Дело в том, что огневая мощь пулеметов ШКАС уже считалась недостаточной. На пики</w:t>
      </w:r>
      <w:r w:rsidRPr="008127F8">
        <w:rPr>
          <w:rFonts w:ascii="Times New Roman" w:hAnsi="Times New Roman"/>
          <w:color w:val="000000" w:themeColor="text1"/>
          <w:sz w:val="16"/>
          <w:szCs w:val="16"/>
          <w:lang w:eastAsia="ru-RU" w:bidi="ru-RU"/>
        </w:rPr>
        <w:softHyphen/>
        <w:t>рующем бомбардировщике Пе-2 еще ле</w:t>
      </w:r>
      <w:r w:rsidRPr="008127F8">
        <w:rPr>
          <w:rFonts w:ascii="Times New Roman" w:hAnsi="Times New Roman"/>
          <w:color w:val="000000" w:themeColor="text1"/>
          <w:sz w:val="16"/>
          <w:szCs w:val="16"/>
          <w:lang w:eastAsia="ru-RU" w:bidi="ru-RU"/>
        </w:rPr>
        <w:softHyphen/>
        <w:t>том 1941 г. смонтировали два 12,7-мм пу</w:t>
      </w:r>
      <w:r w:rsidRPr="008127F8">
        <w:rPr>
          <w:rFonts w:ascii="Times New Roman" w:hAnsi="Times New Roman"/>
          <w:color w:val="000000" w:themeColor="text1"/>
          <w:sz w:val="16"/>
          <w:szCs w:val="16"/>
          <w:lang w:eastAsia="ru-RU" w:bidi="ru-RU"/>
        </w:rPr>
        <w:softHyphen/>
        <w:t>лемета - один неподвижный в носу фю</w:t>
      </w:r>
      <w:r w:rsidRPr="008127F8">
        <w:rPr>
          <w:rFonts w:ascii="Times New Roman" w:hAnsi="Times New Roman"/>
          <w:color w:val="000000" w:themeColor="text1"/>
          <w:sz w:val="16"/>
          <w:szCs w:val="16"/>
          <w:lang w:eastAsia="ru-RU" w:bidi="ru-RU"/>
        </w:rPr>
        <w:softHyphen/>
        <w:t>зеляжа, а второй - в люковой установке, стрелявшей вниз-назад. Позже к ним до</w:t>
      </w:r>
      <w:r w:rsidRPr="008127F8">
        <w:rPr>
          <w:rFonts w:ascii="Times New Roman" w:hAnsi="Times New Roman"/>
          <w:color w:val="000000" w:themeColor="text1"/>
          <w:sz w:val="16"/>
          <w:szCs w:val="16"/>
          <w:lang w:eastAsia="ru-RU" w:bidi="ru-RU"/>
        </w:rPr>
        <w:softHyphen/>
        <w:t>бавили еще один крупнокалиберный пу</w:t>
      </w:r>
      <w:r w:rsidRPr="008127F8">
        <w:rPr>
          <w:rFonts w:ascii="Times New Roman" w:hAnsi="Times New Roman"/>
          <w:color w:val="000000" w:themeColor="text1"/>
          <w:sz w:val="16"/>
          <w:szCs w:val="16"/>
          <w:lang w:eastAsia="ru-RU" w:bidi="ru-RU"/>
        </w:rPr>
        <w:softHyphen/>
        <w:t>лемет у штурмана и бортовой ШКАС у стрелка-радиста. Новое вооружение весьма эффективно использовалось на фронте, не позволяя немецким истреби</w:t>
      </w:r>
      <w:r w:rsidRPr="008127F8">
        <w:rPr>
          <w:rFonts w:ascii="Times New Roman" w:hAnsi="Times New Roman"/>
          <w:color w:val="000000" w:themeColor="text1"/>
          <w:sz w:val="16"/>
          <w:szCs w:val="16"/>
          <w:lang w:eastAsia="ru-RU" w:bidi="ru-RU"/>
        </w:rPr>
        <w:softHyphen/>
        <w:t>телям близко подходить к бомбардиров</w:t>
      </w:r>
      <w:r w:rsidRPr="008127F8">
        <w:rPr>
          <w:rFonts w:ascii="Times New Roman" w:hAnsi="Times New Roman"/>
          <w:color w:val="000000" w:themeColor="text1"/>
          <w:sz w:val="16"/>
          <w:szCs w:val="16"/>
          <w:lang w:eastAsia="ru-RU" w:bidi="ru-RU"/>
        </w:rPr>
        <w:softHyphen/>
        <w:t>щику. Усиление неподвижного вооруже</w:t>
      </w:r>
      <w:r w:rsidRPr="008127F8">
        <w:rPr>
          <w:rFonts w:ascii="Times New Roman" w:hAnsi="Times New Roman"/>
          <w:color w:val="000000" w:themeColor="text1"/>
          <w:sz w:val="16"/>
          <w:szCs w:val="16"/>
          <w:lang w:eastAsia="ru-RU" w:bidi="ru-RU"/>
        </w:rPr>
        <w:softHyphen/>
        <w:t>ния Ту-2 не требовалось: по секундному залпу он значительно превосходил Пе-2. Поэтому специалисты НИИ ВВС рекомен</w:t>
      </w:r>
      <w:r w:rsidRPr="008127F8">
        <w:rPr>
          <w:rFonts w:ascii="Times New Roman" w:hAnsi="Times New Roman"/>
          <w:color w:val="000000" w:themeColor="text1"/>
          <w:sz w:val="16"/>
          <w:szCs w:val="16"/>
          <w:lang w:eastAsia="ru-RU" w:bidi="ru-RU"/>
        </w:rPr>
        <w:softHyphen/>
        <w:t>довали поставить 12,7-мм пулеметы УБТ на обеих верхних установках - у штур</w:t>
      </w:r>
      <w:r w:rsidRPr="008127F8">
        <w:rPr>
          <w:rFonts w:ascii="Times New Roman" w:hAnsi="Times New Roman"/>
          <w:color w:val="000000" w:themeColor="text1"/>
          <w:sz w:val="16"/>
          <w:szCs w:val="16"/>
          <w:lang w:eastAsia="ru-RU" w:bidi="ru-RU"/>
        </w:rPr>
        <w:softHyphen/>
        <w:t>мана и стрелка-радиста.</w:t>
      </w:r>
    </w:p>
    <w:p w14:paraId="6843CA7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Недостатки тормозной системы не</w:t>
      </w:r>
      <w:r w:rsidRPr="008127F8">
        <w:rPr>
          <w:rFonts w:ascii="Times New Roman" w:hAnsi="Times New Roman"/>
          <w:color w:val="000000" w:themeColor="text1"/>
          <w:sz w:val="16"/>
          <w:szCs w:val="16"/>
          <w:lang w:eastAsia="ru-RU" w:bidi="ru-RU"/>
        </w:rPr>
        <w:softHyphen/>
        <w:t>однократно приводили к неуправляе</w:t>
      </w:r>
      <w:r w:rsidRPr="008127F8">
        <w:rPr>
          <w:rFonts w:ascii="Times New Roman" w:hAnsi="Times New Roman"/>
          <w:color w:val="000000" w:themeColor="text1"/>
          <w:sz w:val="16"/>
          <w:szCs w:val="16"/>
          <w:lang w:eastAsia="ru-RU" w:bidi="ru-RU"/>
        </w:rPr>
        <w:softHyphen/>
        <w:t>мому развороту на посадке. Так, при сдаточных испытаниях два раза под</w:t>
      </w:r>
      <w:r w:rsidRPr="008127F8">
        <w:rPr>
          <w:rFonts w:ascii="Times New Roman" w:hAnsi="Times New Roman"/>
          <w:color w:val="000000" w:themeColor="text1"/>
          <w:sz w:val="16"/>
          <w:szCs w:val="16"/>
          <w:lang w:eastAsia="ru-RU" w:bidi="ru-RU"/>
        </w:rPr>
        <w:softHyphen/>
        <w:t>ряд, 7 и 16 июля, потерпели аварии но</w:t>
      </w:r>
      <w:r w:rsidRPr="008127F8">
        <w:rPr>
          <w:rFonts w:ascii="Times New Roman" w:hAnsi="Times New Roman"/>
          <w:color w:val="000000" w:themeColor="text1"/>
          <w:sz w:val="16"/>
          <w:szCs w:val="16"/>
          <w:lang w:eastAsia="ru-RU" w:bidi="ru-RU"/>
        </w:rPr>
        <w:softHyphen/>
        <w:t>венькие бомбардировщики. Экипажи (летчиков Котякова и Бакина) не постра</w:t>
      </w:r>
      <w:r w:rsidRPr="008127F8">
        <w:rPr>
          <w:rFonts w:ascii="Times New Roman" w:hAnsi="Times New Roman"/>
          <w:color w:val="000000" w:themeColor="text1"/>
          <w:sz w:val="16"/>
          <w:szCs w:val="16"/>
          <w:lang w:eastAsia="ru-RU" w:bidi="ru-RU"/>
        </w:rPr>
        <w:softHyphen/>
        <w:t>дали. Например, у майора В.Д. Бакина машину №100303 вывернуло вправо, что привело к поломке стойки шасси. Бы</w:t>
      </w:r>
      <w:r w:rsidRPr="008127F8">
        <w:rPr>
          <w:rFonts w:ascii="Times New Roman" w:hAnsi="Times New Roman"/>
          <w:color w:val="000000" w:themeColor="text1"/>
          <w:sz w:val="16"/>
          <w:szCs w:val="16"/>
          <w:lang w:eastAsia="ru-RU" w:bidi="ru-RU"/>
        </w:rPr>
        <w:softHyphen/>
        <w:t>вали случаи, когда бомбардировщик де</w:t>
      </w:r>
      <w:r w:rsidRPr="008127F8">
        <w:rPr>
          <w:rFonts w:ascii="Times New Roman" w:hAnsi="Times New Roman"/>
          <w:color w:val="000000" w:themeColor="text1"/>
          <w:sz w:val="16"/>
          <w:szCs w:val="16"/>
          <w:lang w:eastAsia="ru-RU" w:bidi="ru-RU"/>
        </w:rPr>
        <w:softHyphen/>
        <w:t>лал на поле до двух кругов и оставался цел. Но чаще ломали шасси, винты, за- концовки крыла, мяли мотогондолы. Са</w:t>
      </w:r>
      <w:r w:rsidRPr="008127F8">
        <w:rPr>
          <w:rFonts w:ascii="Times New Roman" w:hAnsi="Times New Roman"/>
          <w:color w:val="000000" w:themeColor="text1"/>
          <w:sz w:val="16"/>
          <w:szCs w:val="16"/>
          <w:lang w:eastAsia="ru-RU" w:bidi="ru-RU"/>
        </w:rPr>
        <w:softHyphen/>
        <w:t>молет летчика Полевого после посадки с разворотом вспыхнул; экипаж успел выбраться и отбежать.</w:t>
      </w:r>
    </w:p>
    <w:p w14:paraId="0BBBBC0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Дефекты серийных Ту-2 вызвали рас</w:t>
      </w:r>
      <w:r w:rsidRPr="008127F8">
        <w:rPr>
          <w:rFonts w:ascii="Times New Roman" w:hAnsi="Times New Roman"/>
          <w:color w:val="000000" w:themeColor="text1"/>
          <w:sz w:val="16"/>
          <w:szCs w:val="16"/>
          <w:lang w:eastAsia="ru-RU" w:bidi="ru-RU"/>
        </w:rPr>
        <w:softHyphen/>
        <w:t>поряжение командования ВВС прекра</w:t>
      </w:r>
      <w:r w:rsidRPr="008127F8">
        <w:rPr>
          <w:rFonts w:ascii="Times New Roman" w:hAnsi="Times New Roman"/>
          <w:color w:val="000000" w:themeColor="text1"/>
          <w:sz w:val="16"/>
          <w:szCs w:val="16"/>
          <w:lang w:eastAsia="ru-RU" w:bidi="ru-RU"/>
        </w:rPr>
        <w:softHyphen/>
        <w:t>тить приемку бомбардировщиков. НКАП направил на завод авторитетную комис</w:t>
      </w:r>
      <w:r w:rsidRPr="008127F8">
        <w:rPr>
          <w:rFonts w:ascii="Times New Roman" w:hAnsi="Times New Roman"/>
          <w:color w:val="000000" w:themeColor="text1"/>
          <w:sz w:val="16"/>
          <w:szCs w:val="16"/>
          <w:lang w:eastAsia="ru-RU" w:bidi="ru-RU"/>
        </w:rPr>
        <w:softHyphen/>
        <w:t>сию во главе с известным авиаконструк</w:t>
      </w:r>
      <w:r w:rsidRPr="008127F8">
        <w:rPr>
          <w:rFonts w:ascii="Times New Roman" w:hAnsi="Times New Roman"/>
          <w:color w:val="000000" w:themeColor="text1"/>
          <w:sz w:val="16"/>
          <w:szCs w:val="16"/>
          <w:lang w:eastAsia="ru-RU" w:bidi="ru-RU"/>
        </w:rPr>
        <w:softHyphen/>
        <w:t>тором Н.Н. Поликарповым. Члены комис</w:t>
      </w:r>
      <w:r w:rsidRPr="008127F8">
        <w:rPr>
          <w:rFonts w:ascii="Times New Roman" w:hAnsi="Times New Roman"/>
          <w:color w:val="000000" w:themeColor="text1"/>
          <w:sz w:val="16"/>
          <w:szCs w:val="16"/>
          <w:lang w:eastAsia="ru-RU" w:bidi="ru-RU"/>
        </w:rPr>
        <w:softHyphen/>
        <w:t>сии согласились с заводскими испытате</w:t>
      </w:r>
      <w:r w:rsidRPr="008127F8">
        <w:rPr>
          <w:rFonts w:ascii="Times New Roman" w:hAnsi="Times New Roman"/>
          <w:color w:val="000000" w:themeColor="text1"/>
          <w:sz w:val="16"/>
          <w:szCs w:val="16"/>
          <w:lang w:eastAsia="ru-RU" w:bidi="ru-RU"/>
        </w:rPr>
        <w:softHyphen/>
        <w:t>лями в том, что причиной разворотов на посадке является несинхронная работа тормозов правого и левого колес. Пред</w:t>
      </w:r>
      <w:r w:rsidRPr="008127F8">
        <w:rPr>
          <w:rFonts w:ascii="Times New Roman" w:hAnsi="Times New Roman"/>
          <w:color w:val="000000" w:themeColor="text1"/>
          <w:sz w:val="16"/>
          <w:szCs w:val="16"/>
          <w:lang w:eastAsia="ru-RU" w:bidi="ru-RU"/>
        </w:rPr>
        <w:softHyphen/>
        <w:t>ложено было заменить тормозную гидро</w:t>
      </w:r>
      <w:r w:rsidRPr="008127F8">
        <w:rPr>
          <w:rFonts w:ascii="Times New Roman" w:hAnsi="Times New Roman"/>
          <w:color w:val="000000" w:themeColor="text1"/>
          <w:sz w:val="16"/>
          <w:szCs w:val="16"/>
          <w:lang w:eastAsia="ru-RU" w:bidi="ru-RU"/>
        </w:rPr>
        <w:softHyphen/>
        <w:t>систему, скопированную туполевцами по настоянию ВВС с немецкого бомбарди</w:t>
      </w:r>
      <w:r w:rsidRPr="008127F8">
        <w:rPr>
          <w:rFonts w:ascii="Times New Roman" w:hAnsi="Times New Roman"/>
          <w:color w:val="000000" w:themeColor="text1"/>
          <w:sz w:val="16"/>
          <w:szCs w:val="16"/>
          <w:lang w:eastAsia="ru-RU" w:bidi="ru-RU"/>
        </w:rPr>
        <w:softHyphen/>
        <w:t xml:space="preserve">ровщика </w:t>
      </w:r>
      <w:r w:rsidRPr="008127F8">
        <w:rPr>
          <w:rFonts w:ascii="Times New Roman" w:hAnsi="Times New Roman"/>
          <w:color w:val="000000" w:themeColor="text1"/>
          <w:sz w:val="16"/>
          <w:szCs w:val="16"/>
          <w:lang w:val="en-US" w:bidi="en-US"/>
        </w:rPr>
        <w:t>Ju</w:t>
      </w:r>
      <w:r w:rsidRPr="008127F8">
        <w:rPr>
          <w:rFonts w:ascii="Times New Roman" w:hAnsi="Times New Roman"/>
          <w:color w:val="000000" w:themeColor="text1"/>
          <w:sz w:val="16"/>
          <w:szCs w:val="16"/>
          <w:lang w:bidi="en-US"/>
        </w:rPr>
        <w:t xml:space="preserve"> </w:t>
      </w:r>
      <w:r w:rsidRPr="008127F8">
        <w:rPr>
          <w:rFonts w:ascii="Times New Roman" w:hAnsi="Times New Roman"/>
          <w:color w:val="000000" w:themeColor="text1"/>
          <w:sz w:val="16"/>
          <w:szCs w:val="16"/>
          <w:lang w:eastAsia="ru-RU" w:bidi="ru-RU"/>
        </w:rPr>
        <w:t>88А, на более надежную, при</w:t>
      </w:r>
      <w:r w:rsidRPr="008127F8">
        <w:rPr>
          <w:rFonts w:ascii="Times New Roman" w:hAnsi="Times New Roman"/>
          <w:color w:val="000000" w:themeColor="text1"/>
          <w:sz w:val="16"/>
          <w:szCs w:val="16"/>
          <w:lang w:eastAsia="ru-RU" w:bidi="ru-RU"/>
        </w:rPr>
        <w:softHyphen/>
        <w:t>менявшуюся на самолетах фирмы «Дуг</w:t>
      </w:r>
      <w:r w:rsidRPr="008127F8">
        <w:rPr>
          <w:rFonts w:ascii="Times New Roman" w:hAnsi="Times New Roman"/>
          <w:color w:val="000000" w:themeColor="text1"/>
          <w:sz w:val="16"/>
          <w:szCs w:val="16"/>
          <w:lang w:eastAsia="ru-RU" w:bidi="ru-RU"/>
        </w:rPr>
        <w:softHyphen/>
        <w:t>лас». В качестве же временного решения попробовали на пробеге стопорить хво</w:t>
      </w:r>
      <w:r w:rsidRPr="008127F8">
        <w:rPr>
          <w:rFonts w:ascii="Times New Roman" w:hAnsi="Times New Roman"/>
          <w:color w:val="000000" w:themeColor="text1"/>
          <w:sz w:val="16"/>
          <w:szCs w:val="16"/>
          <w:lang w:eastAsia="ru-RU" w:bidi="ru-RU"/>
        </w:rPr>
        <w:softHyphen/>
        <w:t>стовое колесо. На Ту-2 имелся автомати</w:t>
      </w:r>
      <w:r w:rsidRPr="008127F8">
        <w:rPr>
          <w:rFonts w:ascii="Times New Roman" w:hAnsi="Times New Roman"/>
          <w:color w:val="000000" w:themeColor="text1"/>
          <w:sz w:val="16"/>
          <w:szCs w:val="16"/>
          <w:lang w:eastAsia="ru-RU" w:bidi="ru-RU"/>
        </w:rPr>
        <w:softHyphen/>
        <w:t>ческий стопор, который должен был фик</w:t>
      </w:r>
      <w:r w:rsidRPr="008127F8">
        <w:rPr>
          <w:rFonts w:ascii="Times New Roman" w:hAnsi="Times New Roman"/>
          <w:color w:val="000000" w:themeColor="text1"/>
          <w:sz w:val="16"/>
          <w:szCs w:val="16"/>
          <w:lang w:eastAsia="ru-RU" w:bidi="ru-RU"/>
        </w:rPr>
        <w:softHyphen/>
        <w:t>сировать стойку хвостового колеса при резких ее разворотах, но срабатывал он далеко не всегда. С 20 июля заводские испытатели стали садиться с включенным механическим стопором хвостового ко</w:t>
      </w:r>
      <w:r w:rsidRPr="008127F8">
        <w:rPr>
          <w:rFonts w:ascii="Times New Roman" w:hAnsi="Times New Roman"/>
          <w:color w:val="000000" w:themeColor="text1"/>
          <w:sz w:val="16"/>
          <w:szCs w:val="16"/>
          <w:lang w:eastAsia="ru-RU" w:bidi="ru-RU"/>
        </w:rPr>
        <w:softHyphen/>
        <w:t>леса. Управляемость машины на пробеге значительно улучшилась.</w:t>
      </w:r>
    </w:p>
    <w:p w14:paraId="3C2A4A1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Еще одной серьезной проблемой яв</w:t>
      </w:r>
      <w:r w:rsidRPr="008127F8">
        <w:rPr>
          <w:rFonts w:ascii="Times New Roman" w:hAnsi="Times New Roman"/>
          <w:color w:val="000000" w:themeColor="text1"/>
          <w:sz w:val="16"/>
          <w:szCs w:val="16"/>
          <w:lang w:eastAsia="ru-RU" w:bidi="ru-RU"/>
        </w:rPr>
        <w:softHyphen/>
        <w:t>лялись двигатели. Моторы М-82А, хотя и выпускались серийно, еще оставались достаточно «сырыми». На высоте более 6000 м они недодавали мощность, стра</w:t>
      </w:r>
      <w:r w:rsidRPr="008127F8">
        <w:rPr>
          <w:rFonts w:ascii="Times New Roman" w:hAnsi="Times New Roman"/>
          <w:color w:val="000000" w:themeColor="text1"/>
          <w:sz w:val="16"/>
          <w:szCs w:val="16"/>
          <w:lang w:eastAsia="ru-RU" w:bidi="ru-RU"/>
        </w:rPr>
        <w:softHyphen/>
        <w:t>дали значительными вибрациями и рас</w:t>
      </w:r>
      <w:r w:rsidRPr="008127F8">
        <w:rPr>
          <w:rFonts w:ascii="Times New Roman" w:hAnsi="Times New Roman"/>
          <w:color w:val="000000" w:themeColor="text1"/>
          <w:sz w:val="16"/>
          <w:szCs w:val="16"/>
          <w:lang w:eastAsia="ru-RU" w:bidi="ru-RU"/>
        </w:rPr>
        <w:softHyphen/>
        <w:t>ходовали много масла. Хотя за это отве</w:t>
      </w:r>
      <w:r w:rsidRPr="008127F8">
        <w:rPr>
          <w:rFonts w:ascii="Times New Roman" w:hAnsi="Times New Roman"/>
          <w:color w:val="000000" w:themeColor="text1"/>
          <w:sz w:val="16"/>
          <w:szCs w:val="16"/>
          <w:lang w:eastAsia="ru-RU" w:bidi="ru-RU"/>
        </w:rPr>
        <w:softHyphen/>
        <w:t>чал их конструктор А.Д. Швецов и завод №19, дефекты мотоустановки сильно ска</w:t>
      </w:r>
      <w:r w:rsidRPr="008127F8">
        <w:rPr>
          <w:rFonts w:ascii="Times New Roman" w:hAnsi="Times New Roman"/>
          <w:color w:val="000000" w:themeColor="text1"/>
          <w:sz w:val="16"/>
          <w:szCs w:val="16"/>
          <w:lang w:eastAsia="ru-RU" w:bidi="ru-RU"/>
        </w:rPr>
        <w:softHyphen/>
        <w:t>зывались на летных и эксплуатационных характеристиках Ту-2.</w:t>
      </w:r>
    </w:p>
    <w:p w14:paraId="3D69288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Кроме того, комиссия подвергла кри</w:t>
      </w:r>
      <w:r w:rsidRPr="008127F8">
        <w:rPr>
          <w:rFonts w:ascii="Times New Roman" w:hAnsi="Times New Roman"/>
          <w:color w:val="000000" w:themeColor="text1"/>
          <w:sz w:val="16"/>
          <w:szCs w:val="16"/>
          <w:lang w:eastAsia="ru-RU" w:bidi="ru-RU"/>
        </w:rPr>
        <w:softHyphen/>
        <w:t>тике чрезмерный вес серийных машин. Весовая отдача у них при нормальной бомбовой нагрузке не превышала 27,5%, в то время как у других самолетов та</w:t>
      </w:r>
      <w:r w:rsidRPr="008127F8">
        <w:rPr>
          <w:rFonts w:ascii="Times New Roman" w:hAnsi="Times New Roman"/>
          <w:color w:val="000000" w:themeColor="text1"/>
          <w:sz w:val="16"/>
          <w:szCs w:val="16"/>
          <w:lang w:eastAsia="ru-RU" w:bidi="ru-RU"/>
        </w:rPr>
        <w:softHyphen/>
        <w:t>кого же класса она составляла около 30%. Это была плата за возможность бомбить с крутого пикирования.</w:t>
      </w:r>
    </w:p>
    <w:p w14:paraId="06438FA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Но в целом Поликарпов и его кол</w:t>
      </w:r>
      <w:r w:rsidRPr="008127F8">
        <w:rPr>
          <w:rFonts w:ascii="Times New Roman" w:hAnsi="Times New Roman"/>
          <w:color w:val="000000" w:themeColor="text1"/>
          <w:sz w:val="16"/>
          <w:szCs w:val="16"/>
          <w:lang w:eastAsia="ru-RU" w:bidi="ru-RU"/>
        </w:rPr>
        <w:softHyphen/>
        <w:t>леги поддержали Туполева. В Москву от</w:t>
      </w:r>
      <w:r w:rsidRPr="008127F8">
        <w:rPr>
          <w:rFonts w:ascii="Times New Roman" w:hAnsi="Times New Roman"/>
          <w:color w:val="000000" w:themeColor="text1"/>
          <w:sz w:val="16"/>
          <w:szCs w:val="16"/>
          <w:lang w:eastAsia="ru-RU" w:bidi="ru-RU"/>
        </w:rPr>
        <w:softHyphen/>
        <w:t>правили документ, в котором, в частно</w:t>
      </w:r>
      <w:r w:rsidRPr="008127F8">
        <w:rPr>
          <w:rFonts w:ascii="Times New Roman" w:hAnsi="Times New Roman"/>
          <w:color w:val="000000" w:themeColor="text1"/>
          <w:sz w:val="16"/>
          <w:szCs w:val="16"/>
          <w:lang w:eastAsia="ru-RU" w:bidi="ru-RU"/>
        </w:rPr>
        <w:softHyphen/>
        <w:t>сти, говорилось: «... самолет Ту-2 по своим летно-тактическим данным превосходит современные серийные советские и за</w:t>
      </w:r>
      <w:r w:rsidRPr="008127F8">
        <w:rPr>
          <w:rFonts w:ascii="Times New Roman" w:hAnsi="Times New Roman"/>
          <w:color w:val="000000" w:themeColor="text1"/>
          <w:sz w:val="16"/>
          <w:szCs w:val="16"/>
          <w:lang w:eastAsia="ru-RU" w:bidi="ru-RU"/>
        </w:rPr>
        <w:softHyphen/>
        <w:t>граничные бомбардировщики». Комиссия сочла, что при устранении основных де</w:t>
      </w:r>
      <w:r w:rsidRPr="008127F8">
        <w:rPr>
          <w:rFonts w:ascii="Times New Roman" w:hAnsi="Times New Roman"/>
          <w:color w:val="000000" w:themeColor="text1"/>
          <w:sz w:val="16"/>
          <w:szCs w:val="16"/>
          <w:lang w:eastAsia="ru-RU" w:bidi="ru-RU"/>
        </w:rPr>
        <w:softHyphen/>
        <w:t>фектов самолет сможет успешно выпол</w:t>
      </w:r>
      <w:r w:rsidRPr="008127F8">
        <w:rPr>
          <w:rFonts w:ascii="Times New Roman" w:hAnsi="Times New Roman"/>
          <w:color w:val="000000" w:themeColor="text1"/>
          <w:sz w:val="16"/>
          <w:szCs w:val="16"/>
          <w:lang w:eastAsia="ru-RU" w:bidi="ru-RU"/>
        </w:rPr>
        <w:softHyphen/>
        <w:t>нять боевые задачи.</w:t>
      </w:r>
    </w:p>
    <w:p w14:paraId="68EB4C7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Приемка бомбардировщиков возоб</w:t>
      </w:r>
      <w:r w:rsidRPr="008127F8">
        <w:rPr>
          <w:rFonts w:ascii="Times New Roman" w:hAnsi="Times New Roman"/>
          <w:color w:val="000000" w:themeColor="text1"/>
          <w:sz w:val="16"/>
          <w:szCs w:val="16"/>
          <w:lang w:eastAsia="ru-RU" w:bidi="ru-RU"/>
        </w:rPr>
        <w:softHyphen/>
        <w:t>новилась. Реагируя на требования воен</w:t>
      </w:r>
      <w:r w:rsidRPr="008127F8">
        <w:rPr>
          <w:rFonts w:ascii="Times New Roman" w:hAnsi="Times New Roman"/>
          <w:color w:val="000000" w:themeColor="text1"/>
          <w:sz w:val="16"/>
          <w:szCs w:val="16"/>
          <w:lang w:eastAsia="ru-RU" w:bidi="ru-RU"/>
        </w:rPr>
        <w:softHyphen/>
        <w:t>ных, завод вносил изменения в строящи</w:t>
      </w:r>
      <w:r w:rsidRPr="008127F8">
        <w:rPr>
          <w:rFonts w:ascii="Times New Roman" w:hAnsi="Times New Roman"/>
          <w:color w:val="000000" w:themeColor="text1"/>
          <w:sz w:val="16"/>
          <w:szCs w:val="16"/>
          <w:lang w:eastAsia="ru-RU" w:bidi="ru-RU"/>
        </w:rPr>
        <w:softHyphen/>
        <w:t>еся бомбардировщики. С 5-й серии (июль- август 1942 г.) внедрили тормоза типа «Дуглас» окончательно снявшие про</w:t>
      </w:r>
      <w:r w:rsidRPr="008127F8">
        <w:rPr>
          <w:rFonts w:ascii="Times New Roman" w:hAnsi="Times New Roman"/>
          <w:color w:val="000000" w:themeColor="text1"/>
          <w:sz w:val="16"/>
          <w:szCs w:val="16"/>
          <w:lang w:eastAsia="ru-RU" w:bidi="ru-RU"/>
        </w:rPr>
        <w:softHyphen/>
        <w:t>блемы с неуправляемым разворотом на посадке. Одновременно изменили управ</w:t>
      </w:r>
      <w:r w:rsidRPr="008127F8">
        <w:rPr>
          <w:rFonts w:ascii="Times New Roman" w:hAnsi="Times New Roman"/>
          <w:color w:val="000000" w:themeColor="text1"/>
          <w:sz w:val="16"/>
          <w:szCs w:val="16"/>
          <w:lang w:eastAsia="ru-RU" w:bidi="ru-RU"/>
        </w:rPr>
        <w:softHyphen/>
        <w:t>ление пуском реактивных снарядов. Ра</w:t>
      </w:r>
      <w:r w:rsidRPr="008127F8">
        <w:rPr>
          <w:rFonts w:ascii="Times New Roman" w:hAnsi="Times New Roman"/>
          <w:color w:val="000000" w:themeColor="text1"/>
          <w:sz w:val="16"/>
          <w:szCs w:val="16"/>
          <w:lang w:eastAsia="ru-RU" w:bidi="ru-RU"/>
        </w:rPr>
        <w:softHyphen/>
        <w:t>нее стрельба РС-82 велась с помощью бомбосбрасывателя ЭСБР-6, переклю</w:t>
      </w:r>
      <w:r w:rsidRPr="008127F8">
        <w:rPr>
          <w:rFonts w:ascii="Times New Roman" w:hAnsi="Times New Roman"/>
          <w:color w:val="000000" w:themeColor="text1"/>
          <w:sz w:val="16"/>
          <w:szCs w:val="16"/>
          <w:lang w:eastAsia="ru-RU" w:bidi="ru-RU"/>
        </w:rPr>
        <w:softHyphen/>
        <w:t>чавшегося на другой режим. Бомбы при этом сбрасывать было нельзя. С 5-й серии пуск ракет осуществлялся независимым устройством (21061).</w:t>
      </w:r>
    </w:p>
    <w:p w14:paraId="25E0632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C4933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23 мая по 22 декабря 1942 г. вооруженные УТ-1Б сделали более 2000 боевых вылетов (в среднем почти по 40 боевых вылетов на самолет).</w:t>
      </w:r>
    </w:p>
    <w:p w14:paraId="0F4894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Даже, если полагать, что они только пугали немцев, то это уже серьезный результат в их деятельности: они держали немцев в напряжении, морально воздействовали на них, мешали нормальному ночному отдыху.</w:t>
      </w:r>
    </w:p>
    <w:p w14:paraId="6E721F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наряду с этим были и такие конкретные результаты, как уничтожение эшелона с боеприпасами, “закупорка” ущелья в узком месте, воспрепятствовавшая продвижению немецких танков, боевое обеспечение действий ночных бомбардировщиков МБР-2 и У-2, путем подавления и уничтожения прожекторов и зенитных огневых точек.</w:t>
      </w:r>
    </w:p>
    <w:p w14:paraId="2B2B0F5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этих условиях работу экипажей УТ-1б можно сравнивать лишь “...с работой снайпера, производящего выстрел “на огонек спички”.</w:t>
      </w:r>
    </w:p>
    <w:p w14:paraId="2DF8C93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Остается восхищаться мужеству экипажей, совершавших боевые вылеты на тихоходных самолетах (максимальная скорость полета на высоте 500 м - 190 км/ч, время набора этой высоты - около 5 минут), очень строгих в технике пилотирования, плохо приспособленных для ночных полетов при относительно большой посадочной скорости - 120-127 км/ч, не обладающих, практически, никаким запасом боевой живучести.</w:t>
      </w:r>
    </w:p>
    <w:p w14:paraId="3C4CDE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Единственным их оборонительным оружием была внезапность боевых атак, выручали также малые размеры самолета, его маневренные характеристики, относительно малая шумность мотора и частично камуфляжная окраска самолета.</w:t>
      </w:r>
    </w:p>
    <w:p w14:paraId="6C1246E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Инициатива превращения учебных самолетов УТ-1 и У-2 в боевые для ночных действий при обороне Севастополя принадлежала командующему ВВС Черноморского </w:t>
      </w:r>
      <w:r w:rsidRPr="008127F8">
        <w:rPr>
          <w:rFonts w:ascii="Times New Roman" w:hAnsi="Times New Roman"/>
          <w:color w:val="000000" w:themeColor="text1"/>
          <w:sz w:val="16"/>
          <w:szCs w:val="16"/>
        </w:rPr>
        <w:lastRenderedPageBreak/>
        <w:t>флота, герою боев в Испании генерал-майору авиации Н.А.Острякову (известно, что прицельно сбросив с самолета СБ две бомбы ФАБ-250 он серьезно повредил и вывел надолго из строя гордость немецкого флота - линкор “Дойчланд”).</w:t>
      </w:r>
    </w:p>
    <w:p w14:paraId="1435F27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Он дал указание оборудовать каждый УТ-1 крыльевым пулеметом ШКАС и двумя балками для пуска реактивных снарядов PC-82 и приказал все работы по вооружению УТ-1 выполнять в Военно-морском авиационном училище (ВМАУ) им. Сталина.</w:t>
      </w:r>
    </w:p>
    <w:p w14:paraId="74A3991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Проект вооружения УТ-1 был разработан начальником конструкторского бюро стационарных мастерских (САМ) училища, воентехником первого ранга Н.А.Рожневым и техником-конструктором тех же мастерских воентехником второго ранга Г.О.Кряченко под руководством старшего инженера САМ воентехника первого ранга Н.Ф.Романенко. Боезапас каждого пулемета ШКАС составлял 420 патронов.</w:t>
      </w:r>
    </w:p>
    <w:p w14:paraId="433419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Анализируя опыт боевого применения самолетов УТ-1б ВВС ЧФ, следует отметить, что они сыграли заметную роль в обеспечении непосредственной авиационной поддержки наших войск в самый сложный период неблагоприятной обстановки в обороне Севастополя и в боях за Кавказ, в период практического отсутствия поставки в войска новой авиационной техники с заводов (9649).</w:t>
      </w:r>
    </w:p>
    <w:p w14:paraId="40B8062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D108B1" w14:textId="77777777" w:rsidR="007C5583" w:rsidRPr="008127F8" w:rsidRDefault="007C5583" w:rsidP="007C5583">
      <w:pPr>
        <w:shd w:val="clear" w:color="auto" w:fill="FFFFFF"/>
        <w:spacing w:after="0" w:line="240" w:lineRule="auto"/>
        <w:jc w:val="both"/>
        <w:rPr>
          <w:rFonts w:ascii="Times New Roman" w:hAnsi="Times New Roman"/>
          <w:bCs/>
          <w:color w:val="000000" w:themeColor="text1"/>
          <w:sz w:val="16"/>
          <w:szCs w:val="16"/>
        </w:rPr>
      </w:pPr>
      <w:r w:rsidRPr="008127F8">
        <w:rPr>
          <w:rFonts w:ascii="Times New Roman" w:hAnsi="Times New Roman"/>
          <w:bCs/>
          <w:color w:val="000000" w:themeColor="text1"/>
          <w:sz w:val="16"/>
          <w:szCs w:val="16"/>
        </w:rPr>
        <w:t>23 мая 1942 г. вышло Постановление Горкома г. Ленинграда</w:t>
      </w:r>
    </w:p>
    <w:p w14:paraId="6447582C" w14:textId="77777777" w:rsidR="007C5583" w:rsidRPr="008127F8" w:rsidRDefault="007C5583" w:rsidP="007C5583">
      <w:pPr>
        <w:shd w:val="clear" w:color="auto" w:fill="FFFFFF"/>
        <w:spacing w:after="0" w:line="240" w:lineRule="auto"/>
        <w:jc w:val="both"/>
        <w:rPr>
          <w:rFonts w:ascii="Times New Roman" w:hAnsi="Times New Roman"/>
          <w:bCs/>
          <w:color w:val="000000" w:themeColor="text1"/>
          <w:sz w:val="16"/>
          <w:szCs w:val="16"/>
        </w:rPr>
      </w:pPr>
      <w:r w:rsidRPr="008127F8">
        <w:rPr>
          <w:rFonts w:ascii="Times New Roman" w:hAnsi="Times New Roman"/>
          <w:bCs/>
          <w:color w:val="000000" w:themeColor="text1"/>
          <w:sz w:val="16"/>
          <w:szCs w:val="16"/>
        </w:rPr>
        <w:t>Об организации производства мин МТВ-280 и МТВ-320 на ленинградских заводах</w:t>
      </w:r>
    </w:p>
    <w:p w14:paraId="200E8327"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Бюро Горкома ВКП(б) постановляет:</w:t>
      </w:r>
    </w:p>
    <w:p w14:paraId="67CA299C"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Организовать на ленинградских заводах производство реактивных мин трофейного образца МТВ-280 и МТВ-320 и установок к ним с выпуском в мае и июне месяце следующего количества:</w:t>
      </w:r>
    </w:p>
    <w:p w14:paraId="51AB3996"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МТВ-280 – 1000 шт.</w:t>
      </w:r>
    </w:p>
    <w:p w14:paraId="30CD0942"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МТВ-320 – 350 шт.</w:t>
      </w:r>
    </w:p>
    <w:p w14:paraId="44E8F3AE"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Установки (рамы) – 125 шт.</w:t>
      </w:r>
    </w:p>
    <w:p w14:paraId="37D937B9"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Возложить изготовление корпусов реактивных мин МТВ-280, МТВ-320 и установок к ним на завод: им. Ленина, №371 им. Сталина, завод «Большевик», со сдачей их на снаряжательные заводы в мае и июне месяце, согласно прилагаемого графика (приложение 1).</w:t>
      </w:r>
    </w:p>
    <w:p w14:paraId="233B820F"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Директорам заводов №7 Евдокимову и им. 2-й Пятилетки т. Стрельникову организовать в порядке кооперации производство камор для МТВ-280 и МТВ-320 с подачей их на сборку заводам им. Ленина и №371 им. Сталина по графикам последних.</w:t>
      </w:r>
    </w:p>
    <w:p w14:paraId="3CF948B9"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Директору завода «Большевик» т. Захарьину организовать производство заготовок в количестве 1500 шт. камор и 1500 шт. сопел для МТВ-280 и МТВ-320 с подачей их заводам Ленина, №371 им. Сталина, № 7 и заводу им. 2-й Пятилетки в сроки, предусмотренные прилагаемым графиком.</w:t>
      </w:r>
    </w:p>
    <w:p w14:paraId="4267C1CA"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Директору Охтенского химкомбината т. Николаеву произвести в мае и июне месяце 1350 штук реактивных пороховых зарядов для МТВ-280 и МТВ-320 и поставить их на снаряжение заводу №522 до 4 июня – 250 штук, остальные равномерными партиями в июне месяце.</w:t>
      </w:r>
    </w:p>
    <w:p w14:paraId="21824165"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Директору завода №522 НКБ т. Николаеву произвести в мае и июне месяце снаряжение 1000 шт мин МТВ-280 и 350 шт. МТВ-320 в первоочередном порядке перед остальными номенклатурами и не позднее, чем через двое суток после доставки этих мин на завод.</w:t>
      </w:r>
    </w:p>
    <w:p w14:paraId="1D137F75"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Директору 3-й мебельной фабрики т. Коновалову:</w:t>
      </w:r>
    </w:p>
    <w:p w14:paraId="100D7516"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изготовить в течение мая и июня месяца 1350 деревянных ящиков-тары к минам МТВ по чертежам АНИОПа и сдать заводам им. Ленина, №371 им. Сталина и заводу «Большевик» по их заявкам;</w:t>
      </w:r>
    </w:p>
    <w:p w14:paraId="6F518EB4"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изготовить к 4 июня сего года 50 шт. деревянных установок (рам) по чертежам завода им. Сталина и сдать Артиллерийскому управлению Ленинградского фронта. &lt;…&gt;</w:t>
      </w:r>
    </w:p>
    <w:p w14:paraId="26DC74B2"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Обязать управляющего Ленэнерго т. Карась выделить, начиная с 23 мая сего года для изготовления мин МТВ следующее количество электроэнергии &lt;…&gt;</w:t>
      </w:r>
    </w:p>
    <w:p w14:paraId="72759A51"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В обеспечении быстрейшего выполнения задания по выпуску мин МТВ-280 и МТВ-320 просить Военный Совет Ленинградского фронта возвратить мастеров, бригадиров и высококвалифицированных рабочих 6, 7 и 8 разрядов, призванных в последнюю мобилизацию в Красную армию»…</w:t>
      </w:r>
    </w:p>
    <w:p w14:paraId="24AE0479"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Члену Военного Совета Ленинградского фронта секретарю ЦК ВКП(б) тов. Жданову А. А.</w:t>
      </w:r>
    </w:p>
    <w:p w14:paraId="42EE50ED" w14:textId="77777777" w:rsidR="007C5583" w:rsidRPr="008127F8" w:rsidRDefault="007C5583" w:rsidP="007C5583">
      <w:pPr>
        <w:shd w:val="clear" w:color="auto" w:fill="FFFFFF"/>
        <w:spacing w:after="0" w:line="240" w:lineRule="auto"/>
        <w:jc w:val="both"/>
        <w:rPr>
          <w:rFonts w:ascii="Times New Roman" w:hAnsi="Times New Roman"/>
          <w:bCs/>
          <w:color w:val="000000" w:themeColor="text1"/>
          <w:sz w:val="16"/>
          <w:szCs w:val="16"/>
        </w:rPr>
      </w:pPr>
      <w:r w:rsidRPr="008127F8">
        <w:rPr>
          <w:rFonts w:ascii="Times New Roman" w:hAnsi="Times New Roman"/>
          <w:bCs/>
          <w:color w:val="000000" w:themeColor="text1"/>
          <w:sz w:val="16"/>
          <w:szCs w:val="16"/>
        </w:rPr>
        <w:t>Справка</w:t>
      </w:r>
    </w:p>
    <w:p w14:paraId="4BA36C10" w14:textId="77777777" w:rsidR="007C5583" w:rsidRPr="008127F8" w:rsidRDefault="007C5583" w:rsidP="007C5583">
      <w:pPr>
        <w:shd w:val="clear" w:color="auto" w:fill="FFFFFF"/>
        <w:spacing w:after="0" w:line="240" w:lineRule="auto"/>
        <w:jc w:val="both"/>
        <w:rPr>
          <w:rFonts w:ascii="Times New Roman" w:hAnsi="Times New Roman"/>
          <w:bCs/>
          <w:color w:val="000000" w:themeColor="text1"/>
          <w:sz w:val="16"/>
          <w:szCs w:val="16"/>
        </w:rPr>
      </w:pPr>
      <w:r w:rsidRPr="008127F8">
        <w:rPr>
          <w:rFonts w:ascii="Times New Roman" w:hAnsi="Times New Roman"/>
          <w:bCs/>
          <w:color w:val="000000" w:themeColor="text1"/>
          <w:sz w:val="16"/>
          <w:szCs w:val="16"/>
        </w:rPr>
        <w:t>Сравнительные данные боевых качеств реактивного снаряда М-30, МТВ-280 и МТВ-320.1</w:t>
      </w:r>
    </w:p>
    <w:p w14:paraId="57758517"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Научно-исследовательская группа артполигона, сопоставив реактивный снаряд М-30 по проекту Главного управления миномётных частей с находившимися в производстве на Ленинградских заводах минами МТВ-280 и МТВ-320, даёт следующие сравнительные данные:</w:t>
      </w:r>
    </w:p>
    <w:p w14:paraId="527FB70B"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Снаряд М-30 в конструктивном отношении представляет из себя осколочно-химический снаряд, который можно использовать как зажигательный и фугасный, с изъятием в последнем случае центральной трубки из головной части. Мины МТВ также могут быть использованы в этих направлениях, причём они могут взять больше ОВ, чем М-30, и быть эффективнее. (МТВ – 27,5 кг, МТВ-320 – 37 кг, М-30 – 14,5 кг).</w:t>
      </w:r>
    </w:p>
    <w:p w14:paraId="089E0C39"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Эти же преимущества у мин МТВ перед М-30 остаются при снаряжении зажигательными веществами, т.к. устройство и действие зажигательной мины аналогичны действию химической мины.</w:t>
      </w:r>
    </w:p>
    <w:p w14:paraId="32479769"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Если переделать снаряд М-30 под фугасный снаряд, изъяв центральную трубку в головной части, то вес разрывного снаряда составит 28 кг ВВ, в то время как в мине МТВ-280 намечается 48 кг, что в 1,7 раза больше, чем в М-30. Отсюда сила взрывной волны МТВ-280 будет иметь более губительное действие, чем от М-30.</w:t>
      </w:r>
    </w:p>
    <w:p w14:paraId="7F887387"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 части осколочного действия М-30 имеет преимущества, т.к. головная часть его сварена из железа толщиной в 7 мм, в то время как толщина стенок головной части МТВ-280 составляет 2 мм. Как осколочно-фугасный реактивный снаряд М-13 намного превосходит М-30 как по дальности, так и по осколочно-фугасному действию, и он освоен в Ленинграде в массовом производстве.</w:t>
      </w:r>
    </w:p>
    <w:p w14:paraId="30C500D3"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Дальность полёта снаряда М-30 по подсчётам незначительно превышает мины МТВ-280. Снаряд М-30 в химическом снаряжении летит на 2650 метров, а мины МТВ-280 в фугасном снаряжении на 2000 метров, таким образом ощутительных преимуществ по дальности эти снаряды не имеют.</w:t>
      </w:r>
    </w:p>
    <w:p w14:paraId="10BD5F05"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По трудоёмкости производство снаряда М-30 займёт больше времени, чем мины МТВ-280 почти на 6,5 часов.</w:t>
      </w:r>
    </w:p>
    <w:p w14:paraId="4BF2F76A"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На основании заключений, данных АНИОПом, считаем, что:</w:t>
      </w:r>
    </w:p>
    <w:p w14:paraId="430A8AFA"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Заменять мины МТВ-280 и МТВ-320, уже находящиеся в валовом производстве на Ленинградских заводах на снаряд М-30 нецелесообразно.</w:t>
      </w:r>
    </w:p>
    <w:p w14:paraId="06828120"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Оставить в производстве на Ленинградских заводах реактивные снаряды и мины следующих калибров: М-13, М-8, МТВ-280, МТВ-320 как уже полностью освоенные.</w:t>
      </w:r>
    </w:p>
    <w:p w14:paraId="57A0561B"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Для бесперебойного выпуска реактивных снарядов запустить в производство одну мартеновскую печь (на заводе «Большевик») и трубопрокатный стан Ижорского завода (на заводе «Центролит») для получения заготовки (17107).</w:t>
      </w:r>
    </w:p>
    <w:p w14:paraId="3D142D77"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4A20F8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6DD847E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4AA86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мая 1942 года Приказ НКТП № 416 уже констатирует наличие жалоб не только на трещины в корпусах танков, но и на разрушение подшипников бортовой передачи, поломки коробки перемены передач, сгибание кривошипа ленивца. Причиной дефектов считались недоброкачественная сборка и нарушения техпроцесса. Руководство Наркомата вновь потребовало в связи с этим наладить более жесткий контроль за соблюдением техпроцессов, выявить и наказать виновных в выпуске недоброкачественной продукции (12290).</w:t>
      </w:r>
    </w:p>
    <w:p w14:paraId="542B68A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990AFDB"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мая 1942 г. в приказе НКПТ № 416 причиной поломок КПП Т-34 признавалась недоброкачественная сборка и нарушения технологического процесса. Наркомат потребовал усилить контроль на производстве и наказать виновных (Ермолов, А.Ю. Государственное управление военной промышленностью в 1940-е годы: Танковая промышленность. - С. 184.) (23540).</w:t>
      </w:r>
    </w:p>
    <w:p w14:paraId="5EB724C5" w14:textId="77777777" w:rsidR="00AF6A30" w:rsidRPr="008A2E5A" w:rsidRDefault="00AF6A30" w:rsidP="00AF6A30">
      <w:pPr>
        <w:spacing w:after="0" w:line="240" w:lineRule="auto"/>
        <w:jc w:val="both"/>
        <w:rPr>
          <w:rFonts w:ascii="Times New Roman" w:hAnsi="Times New Roman"/>
          <w:color w:val="0070C0"/>
          <w:sz w:val="16"/>
          <w:szCs w:val="16"/>
        </w:rPr>
      </w:pPr>
    </w:p>
    <w:p w14:paraId="2059FA4D"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23 мая 1942 из ГАБТУ пришёл запрос по поставке танков с дизельными двигателями Guiberson T-1020–4. Судя по информации из американских источников, танков с дизельными моторами в СССР так и не стали поставлять. Что же касается машин с бензиновыми моторами, то вместо американского бензина с октановым числом 80 для него было предложено использовать бензин Б-78, либо Б-70 с присадкой Р-9. Проблему невыключения мотора предлагалось решать путём снижения оборотов до 800–900 об/мин в течение 3–5 минут, а затем понижением до 400–500 об/мин на 2–3 минуты. При запуске мотора следовало не допускать переливания бензина во всасывающие трубы, поскольку это грозило пожаром. Кроме того, бензин разъедал дюритовые шланги (17465).</w:t>
      </w:r>
    </w:p>
    <w:p w14:paraId="36E4219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8E92126"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23 мая 1942 из ГАБТУ пришёл запрос по поставке танков </w:t>
      </w:r>
      <w:r w:rsidRPr="008127F8">
        <w:rPr>
          <w:rFonts w:ascii="Times New Roman" w:eastAsia="Times New Roman" w:hAnsi="Times New Roman"/>
          <w:iCs/>
          <w:color w:val="000000" w:themeColor="text1"/>
          <w:sz w:val="16"/>
          <w:szCs w:val="16"/>
          <w:lang w:eastAsia="ru-RU"/>
        </w:rPr>
        <w:t xml:space="preserve">М-3 (лёгкий) </w:t>
      </w:r>
      <w:r w:rsidRPr="008127F8">
        <w:rPr>
          <w:rFonts w:ascii="Times New Roman" w:eastAsia="Times New Roman" w:hAnsi="Times New Roman"/>
          <w:color w:val="000000" w:themeColor="text1"/>
          <w:sz w:val="16"/>
          <w:szCs w:val="16"/>
          <w:lang w:eastAsia="ru-RU"/>
        </w:rPr>
        <w:t>с дизельными двигателями Guiberson T-1020–4. Судя по информации из американских источников, танков с дизельными моторами в СССР так и не стали поставлять. Что же касается машин с бензиновыми моторами, то вместо американского бензина с октановым числом 80 для него было предложено использовать бензин Б-78, либо Б-70 с присадкой Р-9. Проблему невыключения мотора предлагалось решать путём снижения оборотов до 800–900 об/мин в течение 3–5 минут, а затем понижением до 400–500 об/мин на 2–3 минуты. При запуске мотора следовало не допускать переливания бензина во всасывающие трубы, поскольку это грозило пожаром. Кроме того, бензин разъедал дюритовые шланги (17653).</w:t>
      </w:r>
    </w:p>
    <w:p w14:paraId="52A9AEB5"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52A031E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23 мая 1942 вышло Постановление ГКО № 1802 Об организации Всесоюзного социалистического соревнования предприятий Наркомугля СССР. РГАНИР, Фонд ГКО, д. 36, лл. 31, 32-35 (11012).</w:t>
      </w:r>
    </w:p>
    <w:p w14:paraId="66A7C7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ABF5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мая 1942 вышло Постановление ГКО № 1803 О мероприятиях по расширению производства противотанковых мин. РГАНИР, Фонд ГКО, д. 36, лл. 36-38, 39-43 (11012).</w:t>
      </w:r>
    </w:p>
    <w:p w14:paraId="59029FD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BB663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мая 1942 г. в соответствии с распоряжением СНК СССР на площадке эвакуированного завода № 239 в Москве, куда из Ленинграда эвакуирована часть завода № 103 НКСП, был организован новый завод № 709 (по другой информации в 1942-43 г. завод № 709 действовал в Свердловске).</w:t>
      </w:r>
      <w:r w:rsidRPr="008127F8">
        <w:rPr>
          <w:rFonts w:ascii="Times New Roman" w:hAnsi="Times New Roman"/>
          <w:color w:val="000000" w:themeColor="text1"/>
          <w:sz w:val="16"/>
          <w:szCs w:val="16"/>
          <w:vertAlign w:val="superscript"/>
        </w:rPr>
        <w:t>130</w:t>
      </w:r>
    </w:p>
    <w:p w14:paraId="344DBED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Принимал участие в работах по ГШ пр. 96 (ВОВ).</w:t>
      </w:r>
      <w:r w:rsidRPr="008127F8">
        <w:rPr>
          <w:rFonts w:ascii="Times New Roman" w:hAnsi="Times New Roman"/>
          <w:color w:val="000000" w:themeColor="text1"/>
          <w:sz w:val="16"/>
          <w:szCs w:val="16"/>
          <w:vertAlign w:val="superscript"/>
        </w:rPr>
        <w:t>61</w:t>
      </w:r>
    </w:p>
    <w:p w14:paraId="259E72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A9ED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7408C6B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BD94A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23 мая</w:t>
      </w:r>
      <w:r w:rsidRPr="008127F8">
        <w:rPr>
          <w:rFonts w:ascii="Times New Roman" w:hAnsi="Times New Roman"/>
          <w:color w:val="000000" w:themeColor="text1"/>
          <w:sz w:val="16"/>
          <w:szCs w:val="16"/>
        </w:rPr>
        <w:t xml:space="preserve"> в 1942 году утреннее сообщение Совинформбюро:</w:t>
      </w:r>
    </w:p>
    <w:p w14:paraId="76FBDF7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23 мая на Харьковском направлении наши войска, закрепляя занятые рубежи, вели наступательные бои.</w:t>
      </w:r>
    </w:p>
    <w:p w14:paraId="37B7F50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Керченском полуострове продолжались бои в восточной части полуострова.</w:t>
      </w:r>
    </w:p>
    <w:p w14:paraId="273FD48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существенных изменений не произошло.</w:t>
      </w:r>
    </w:p>
    <w:p w14:paraId="56C80CD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Харьковском направлении фронта наша часть выбила противника из сильно укреплённого населённого пункта. Отступая, немцы бросили 5 полевых орудий, 12 пулемётов, склад с минами и радиостанцию. На другом участке наше подразделение отбило контратаку противника и уничтожило до 200 гитлеровцев. Наши бойцы захватили 2 противотанковых орудия, 4 миномёта, 60 винтовок и пленных. Огнём артиллерия подавлена батарея противника.</w:t>
      </w:r>
    </w:p>
    <w:p w14:paraId="53A2565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Южного фронта наши войска ликвидировали попытку противника переправиться через реку. Немцы отступили, потеряв убитыми более 200 солдат и офицеров.</w:t>
      </w:r>
    </w:p>
    <w:p w14:paraId="15D85D6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восемь дней боевых действий наше танковое подразделение (Северо-Западныйфронт) уничтожило 14 немецких миномётов с прислугой, 18 огневых точек, 28 ДЗОТов и блиндажей, 6 автомашин, 4 орудия, штабной автобус и легковую машину. За это же время танкисты истребили 250 гитлеровцев.</w:t>
      </w:r>
    </w:p>
    <w:p w14:paraId="2884A2B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отдельных участках Калининского фронта наши части уничтожили 700 солдат и офицеров противника, 5 танков и 4 артиллерийские батареи. Огнём зенитного пулемёта сбит немецкий самолёт.</w:t>
      </w:r>
    </w:p>
    <w:p w14:paraId="0363465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Старшина тов. Шевчук огнем из винтовки сбил «Мессершмитт-109». Немецкий самолёт упал в расположении нашей части.</w:t>
      </w:r>
    </w:p>
    <w:p w14:paraId="128D19E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Лейтенант Вородеев с небольшой труппой красноармейцев подобрался к вражескому ДЗОТу и забросал его гранатами.</w:t>
      </w:r>
    </w:p>
    <w:p w14:paraId="4A272DD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бойцы ворвались в ДЗ0Т и уничтожили находившихся в нём 7 гитлеровцев.</w:t>
      </w:r>
    </w:p>
    <w:p w14:paraId="5C15C40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Немецкое командование послало крупную карательную экспедицию против партизанских отрядов, действующих в ряде районов Ленинградской области, оккупированных гитлеровцами. Отряды партизан не были застигнуты врасплох. В течение последних пяти дней объединёнными силами нескольких отрядов партизаны уничтожили 517 немецких солдат и офицеров, пустили под откос восстановительный поезд, взорвали склад с боеприпасами, железнодорожный мост и два моста на шоссейных дорогах, уничтожили 2 орудия, 2 миномёта, несколько пулемётов и автомашин. Партизаны вывели из строя 3 немецких танка, бронемашину и захватили много винтовок, пистолетов и боеприпасов.</w:t>
      </w:r>
    </w:p>
    <w:p w14:paraId="4A0D37B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обер-ефрейтор Арнольд К. заявил: «По пути на фронт, на стоянках, раненые солдаты рассказывали нам о Красной Армии. Они говорили, что у русских много авиации, артиллерии и танков. Среди солдат нашей роты начались разговоры о том, что надо покончить с войной и сохранить себе жизнь. Целое отделение сговорилось сдаться в плен. Переход на сторону Красной Армии намечалось осуществить двумя группами. Первая группа была захвачена при попытке перейти фронт и расстреляна перед строем на глазах у всех солдат. После этого мы решили переходить по одному. Из этой группы мне первому удалось сдаться в плен. В нашем взводе в настоящее время имеется 15 солдат, которые твёрдо решили перейти на сторону Красной Армии».</w:t>
      </w:r>
    </w:p>
    <w:p w14:paraId="781F9A7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станции Замостье немецко-фашистские мерзавцы повесили 6 советских мирных жителей.</w:t>
      </w:r>
    </w:p>
    <w:p w14:paraId="6F765E9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Югославские партизаны нанесли крупное поражение оккупационным войскам. Партизаны окружили и уничтожили 7 батальон итальянских чернорубашечников. Лишь нескольким десяткам фашистских солдат удалось, пользуясь наступившей темнотой, вырваться из окружения.» (14900).</w:t>
      </w:r>
    </w:p>
    <w:p w14:paraId="2B169A2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D24639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23 мая</w:t>
      </w:r>
      <w:r w:rsidRPr="008127F8">
        <w:rPr>
          <w:rFonts w:ascii="Times New Roman" w:hAnsi="Times New Roman"/>
          <w:color w:val="000000" w:themeColor="text1"/>
          <w:sz w:val="16"/>
          <w:szCs w:val="16"/>
        </w:rPr>
        <w:t xml:space="preserve"> в 1942 году вечернее сообщение Совинформбюро:</w:t>
      </w:r>
    </w:p>
    <w:p w14:paraId="180CA19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23 мая на Харьковском направлении наши войска закреплялись на занимаемых рубежах, отбивали контратаки пехоты и танков противника и на некоторых участках вели наступательные бои.</w:t>
      </w:r>
    </w:p>
    <w:p w14:paraId="37A1127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Изюм-Барвенковском направлении происходили упорные бои, в ходе которых наши войска отбивали атаки противника и наносили контрудары по войскам противника.</w:t>
      </w:r>
    </w:p>
    <w:p w14:paraId="394E914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Советского Главного Командования наши войска оставили Керченский полуостров. Войска и материальная часть эвакуированы. Эвакуация проведена в полном порядке.</w:t>
      </w:r>
    </w:p>
    <w:p w14:paraId="162780F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22 мая уничтожено 50 немецких самолётов. Наши потери — 14 самолётов.</w:t>
      </w:r>
    </w:p>
    <w:p w14:paraId="048C7F5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22 мая частями нашей авиации на разных участках фронта уничтожено или повреждено 12 немецких танков, несколько бронемашин, 170 автомашин с войсками и грузами, 70 повозок с боеприпасами, 4 автоцистерны с горючим, несколько полевых орудий, 16 миномётов, взорвано два склада и три железнодорожных эшелона с боеприпасами, рассеяно и частью уничтожено до шести рот пехоты противника.</w:t>
      </w:r>
    </w:p>
    <w:p w14:paraId="1CFD279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Харьковского направления, отбила многочисленные атаки противника и нанесла ему значительный урон. Немцы потеряли только убитыми 850 солдат и офицеров. Уничтожено много боевой техники врага. Нашими бойцами захвачены 2 продовольственных склада, 13 пулемётов, несколько миномётов, много автоматов, винтовок и патронов.</w:t>
      </w:r>
    </w:p>
    <w:p w14:paraId="36E555B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Северо-Западного фронта наша часть выбила гитлеровцев из населённого пункта. На другом участке наша пехота под прикрытием артиллерийского огня прорвала передний край обороны противника и заняла важную высоту. Враг несёт большие потери. На этом участке наши артиллеристы за один день уничтожили 20 немецких ДЗОТов, 2 артиллерийские батареи, 11 наблюдательных пунктов и подавили огонь 5 миномётных батарей противника.</w:t>
      </w:r>
    </w:p>
    <w:p w14:paraId="17159F8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кавалерийская часть (Калининский фронт), действующая в глубоком тылу противника, внезапным налётом разгромила немецкий гарнизон в населённом пункте К. На поле боя осталось до 200 гитлеровцев. Кавалеристы взорвали 2 склада с боеприпасами, 6 мостов и разрушили линию железной дороги. Группа бойцов этой же части выследила место вынужденной посадки немецкого транспортного самолёта. Самолёт противника сожжён.</w:t>
      </w:r>
    </w:p>
    <w:p w14:paraId="3396B0C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истребителей подразделения Курбатова (Южный фронт) 21 мая встретилась с пятью вражескими самолётами. В завязавшемся бою лётчик Штукин сбил два «Мессершмитта-109», а лётчик Егоров— один «Мессершмитт-109». Остальные немецкие машины быстро скрылись. Через некоторое время вступила в бой с шестью вражескими самолётами группа лётчиков подразделения тов. Локтева. Отважные истребители сбили три немецких самолёта и без потерь вернулись на свой аэродром.</w:t>
      </w:r>
    </w:p>
    <w:p w14:paraId="3709746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Ленинградского фронта 300 гитлеровцев пытались зайти в тыл нашим частям. Взвод сапёр под командованием младшего лейтенанта Сухалова подпустил немцев на близкое расстояние и открыл по ним огонь из автоматов. Расстроив боевые порядки противника, сапёры атаковали гитлеровцев. На поле боя осталось 90 трупов немецких солдат и офицеров.</w:t>
      </w:r>
    </w:p>
    <w:p w14:paraId="00C260C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«За Родину», действующий в одном из районов Калининскойобласти, внезапно атаковал немецкий гарнизон в населённом пункте и уничтожил до 200 немецко-фашистских оккупантов. Партизаны взорвали 2 железнодорожных моста и захватили трофеи.</w:t>
      </w:r>
    </w:p>
    <w:p w14:paraId="3C07FE0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312 немецкой пехотной дивизии Герберт Шмидт рассказал: «Яприбыл на фронт из Вены в конце апреля в составе запасного батальона. Проезжая через Верхнюю Силезию и Польшу, мы видели ужасающую нищету. На всех станциях наш поезд окружали голодные дети в лохмотьях и выпрашивали кусок хлеба. На оккупированной советской территории мы всюду видели сожжённые товарные поезда, исковерканные и сошедшие с рельсов паровозы. Как оказалось, это результат работы советской авиации и партизан. Между Смоленском и Вязьмой неожиданно была объявлена тревога. Напали партизаны. Они сделали своё дело. Водокачка и железнодорожные мастерские были разрушены».</w:t>
      </w:r>
    </w:p>
    <w:p w14:paraId="19A9017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Гитлеровская шайка преступников проявляет всё большее беспокойство в связи с растущим освободительным движением в Голландии, Бельгии и других оккупированных странах. Недавно германское информационное бюро опубликовало следующее заявление: «Некоторая часть населения Голландии до сих пор с готовностью усваивает антиевропейские (читай: антигитлеровские) лозунги. Для того, чтобы положить конец подобным заговорщическим настроениям, многие лица взяты в качестве заложников. Эти лица выражали симпатии зачинщикам и участникам выступлений против германских оккупационных войск».</w:t>
      </w:r>
    </w:p>
    <w:p w14:paraId="03A972D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Очень показательным является и предупреждение германского министерства внутренних дел, опубликованное в антверпенской газете «Фолькэн стаат» (Бельгия). В нём говорится: «За последние дни распространяются слухи о том, что некоторые политические группы попытаются захватить власть... Население может быть уверено в том, что приняты все нужные меры для того, чтобы предотвратить всякую попытку нарушить порядок».</w:t>
      </w:r>
    </w:p>
    <w:p w14:paraId="16A788A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Кровавый террор и угрозы гитлеровцев как нельзя лучше говорят о непрочности германского тыла. Фашистским насильникам не удалось и не удастся сломить волю народов оккупированных стран, борющихся против гитлеровского рабства за свою свободу и независимость.» (14900).</w:t>
      </w:r>
    </w:p>
    <w:p w14:paraId="34336E9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426D9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Ночью 23 мая 1942 четыре самолета УТ-1 б совершили первые боевые вылеты. Впоследствии импровизированные штурмовики под покровом темноты ата</w:t>
      </w:r>
      <w:r w:rsidRPr="008127F8">
        <w:rPr>
          <w:rFonts w:ascii="Times New Roman" w:hAnsi="Times New Roman"/>
          <w:color w:val="000000" w:themeColor="text1"/>
          <w:sz w:val="16"/>
          <w:szCs w:val="16"/>
        </w:rPr>
        <w:softHyphen/>
        <w:t>ковали позиции немцев, железнодорож</w:t>
      </w:r>
      <w:r w:rsidRPr="008127F8">
        <w:rPr>
          <w:rFonts w:ascii="Times New Roman" w:hAnsi="Times New Roman"/>
          <w:color w:val="000000" w:themeColor="text1"/>
          <w:sz w:val="16"/>
          <w:szCs w:val="16"/>
        </w:rPr>
        <w:softHyphen/>
        <w:t>ные узлы, расстреливали зенитные про</w:t>
      </w:r>
      <w:r w:rsidRPr="008127F8">
        <w:rPr>
          <w:rFonts w:ascii="Times New Roman" w:hAnsi="Times New Roman"/>
          <w:color w:val="000000" w:themeColor="text1"/>
          <w:sz w:val="16"/>
          <w:szCs w:val="16"/>
        </w:rPr>
        <w:softHyphen/>
        <w:t>жектора. Вооруженный УТ-1 б приобрел еще более заднюю центровку и поэтому считался чрезвычайно сложной в пило</w:t>
      </w:r>
      <w:r w:rsidRPr="008127F8">
        <w:rPr>
          <w:rFonts w:ascii="Times New Roman" w:hAnsi="Times New Roman"/>
          <w:color w:val="000000" w:themeColor="text1"/>
          <w:sz w:val="16"/>
          <w:szCs w:val="16"/>
        </w:rPr>
        <w:softHyphen/>
        <w:t>тировании машиной. “Боевые утята” несли тяжелые поте</w:t>
      </w:r>
      <w:r w:rsidRPr="008127F8">
        <w:rPr>
          <w:rFonts w:ascii="Times New Roman" w:hAnsi="Times New Roman"/>
          <w:color w:val="000000" w:themeColor="text1"/>
          <w:sz w:val="16"/>
          <w:szCs w:val="16"/>
        </w:rPr>
        <w:softHyphen/>
        <w:t>ри. Количество штурмовиков в эскадри</w:t>
      </w:r>
      <w:r w:rsidRPr="008127F8">
        <w:rPr>
          <w:rFonts w:ascii="Times New Roman" w:hAnsi="Times New Roman"/>
          <w:color w:val="000000" w:themeColor="text1"/>
          <w:sz w:val="16"/>
          <w:szCs w:val="16"/>
        </w:rPr>
        <w:softHyphen/>
        <w:t>лье сократилось с восьми до трех, которые сражались в осажденном Севасто</w:t>
      </w:r>
      <w:r w:rsidRPr="008127F8">
        <w:rPr>
          <w:rFonts w:ascii="Times New Roman" w:hAnsi="Times New Roman"/>
          <w:color w:val="000000" w:themeColor="text1"/>
          <w:sz w:val="16"/>
          <w:szCs w:val="16"/>
        </w:rPr>
        <w:softHyphen/>
        <w:t>поле до последней возможности. Все самолеты, летный и технический со</w:t>
      </w:r>
      <w:r w:rsidRPr="008127F8">
        <w:rPr>
          <w:rFonts w:ascii="Times New Roman" w:hAnsi="Times New Roman"/>
          <w:color w:val="000000" w:themeColor="text1"/>
          <w:sz w:val="16"/>
          <w:szCs w:val="16"/>
        </w:rPr>
        <w:softHyphen/>
        <w:t>став, остававшиеся в городе после эва</w:t>
      </w:r>
      <w:r w:rsidRPr="008127F8">
        <w:rPr>
          <w:rFonts w:ascii="Times New Roman" w:hAnsi="Times New Roman"/>
          <w:color w:val="000000" w:themeColor="text1"/>
          <w:sz w:val="16"/>
          <w:szCs w:val="16"/>
        </w:rPr>
        <w:softHyphen/>
        <w:t>куации основной части 23-го полка, по</w:t>
      </w:r>
      <w:r w:rsidRPr="008127F8">
        <w:rPr>
          <w:rFonts w:ascii="Times New Roman" w:hAnsi="Times New Roman"/>
          <w:color w:val="000000" w:themeColor="text1"/>
          <w:sz w:val="16"/>
          <w:szCs w:val="16"/>
        </w:rPr>
        <w:softHyphen/>
        <w:t>гибли. По другим данным, одну машину все-таки перегнали через Керченский пролив (3955).</w:t>
      </w:r>
    </w:p>
    <w:p w14:paraId="516AF9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FDE2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мая 1942 интенсивность ВОЗДУШНЫХ боев значительно возросла. ПОСКОЛЬКУ немецким войскам удалось полностью закрыть “мешок” вокруг советских 6-и и 57-и армии. Боевые действия в этот день стоили IV-МУ авиакорпусу одиннадцати самолетов. из которых четыре Hs 129 из II. Sch.G 1 были сбиты наземным огнем. Авиацией ЮЗФ в ходе 230 боевых вылетов были заявлены сбитыми S Me-109 и 4 Хе-113. По немецким данным, в этот день серьезно досталось летчикам из эскадры “Удет” (JG 3). В бою со штурмовиками Ил-2 был сбит ВГ 109F-4 из 7. JG 3. Самолет упал в 5 км северо-восточное Веселое, а летчик Ганс-Генрих Рикен пропал без вести. Погибли также пилоты Отто Эмке и Ганс Купель, а командир эскадрильи, оберстлейтенант Понтер Лютцов. из-за повреждении самолета произвел вынужденную посадку на поле недалеко от Чугуева. но уже на следующий день снова приступил к своим обязанностям. Советскими истребителями в районе Великая был сбит Jn S.SA-4 из 1. КС” 51. еще два Ju S&lt;SA-4 потеряла I. KG 70. Третья группа КО 27 также недосчиталась ДВУХ Не 111. Экипажи бомбардировщиков погибли либо пропали без вести. В итоге за один день IV-й авиакорпус потерял 27 человек летного состава.</w:t>
      </w:r>
    </w:p>
    <w:p w14:paraId="19D3DA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Потери авиации ЮЗФ оказались не менее тяжелыми и составили 25 самолетов. Два Як-1 и один ЛаГГ-3 были сбиты в ВОЗДУШНЫХ боях. один У-2 был сбит зенитным огнем, и еще 11 ЛаГГ-3. 8 Ил-2 и 2 Пе-2 числились не вернувшимися на свои аэродромы. День был омрачен гибелью к-на Бориса Бирюкова - третьего по счету Героя Советского Союза из 92-го ИЛП, погибшего в боях под Харьковом. Но наибольшие потери в этот день понес l&lt;Sl-n ИАП. в котором после боя с “мессерами” в районе Залимана не вернулось пять летчиков. В этом бою были сбиты командир эскадрильи ст.л-т А.Колесников, зам. комэска к-н А.Чистяков, командир звена А.Деревятников. а также пилоты ст.л-т А.Сергеев и мл.л-т А.Сайко. Все, кроме последнего, погибли. Алексей Сайко вернулся в полк и прошел до конца войны. ЕМУ приписывают таран в районе г. Изюм в мае 1942 г. Всего до конца войны па счету этого летчика было 10 побед (9394,16).</w:t>
      </w:r>
    </w:p>
    <w:p w14:paraId="6F645D2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55DB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с 23 на 24 мая Мелкий дождь, шедший несколько дней, УСИЛИЛСЯ, местами переходя в грозу. Количество боевых вылетов с раскисших аэродромов значительно сократилось. но несмотря на редкие боевые вылеты, без потерь в эти дни не обошлось. Наибольшие утраты понес в эти дни 92-й ИАП. летчики которого, несмотря на непогоду, продолжали выполнять боевые вылеты на своих &lt; Чайках &gt;. На следующий день после гибели Бирюкова пропал без вести после боя и командир звена того же полка, л-г В.Коваленко. Следующий день.закончился потерей еще одного летчика 92-го ИАП - не вернулся после боевого вылета мл.л-т П. АКУЛ о в.</w:t>
      </w:r>
    </w:p>
    <w:p w14:paraId="10C681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эти дни прошли проверку боем 6 новых Як-1. полученных накануне летчиками 55-го ИАП, сражавшегося на Изюмо-Барвенковском направлении. Герой Советского Союза А.В.Федоров, бывший в то время старшим лейтенантом, так вспоминал об этом: “В первый боевой вылет повел кашу шестерку командир эскадрильи ст.лейтенант Комоса. Заняв боевой порядок пеленг пар, мы вышли к реке Северный Донец. При подходе к заданному району заметили на встречном курсе и несколько ниже 10 Ме-109. Я передал по радио Комосе о появлении 'мессеров', но он и сам их уже видел. Фрицы спутали нас со своими самолетами, так как на этом участке фронта только появились наши Яки и летели спокойно. И вот команда ведущего - полубоевым разворотом на "худых". Они увидели нас очень поздно и сделать что-либо уже не смогут. С первой же атаки мы сбили трех “мессеров": одного Комоса. одного я и одного Козлов. “Мессеры" не стали продолжать дальше бой и на большой скорости унии восвояси...”</w:t>
      </w:r>
    </w:p>
    <w:p w14:paraId="2A5F12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Этот успешный боевой вылет состоялся 24 мая. но следующий день принес горькую утрату. Две пары Яков ПОЛУЧИЛИ задание на разведку войск противника в районе Барвенково: "Погода, как нарочно была плохая: низкая десятибалльная облачность. Группу повел старший лейтенант Гуденко. Это было, как мне помнится. числа 24-25 мая 1942 года. Взлетели двумя парами: Гуденко-Белослудиев и я с Князевым. Идем на высоте 300 метров. При пересечении Северного Донца, а это была линия фронта, по нам открыли фашисты ураганный огонь. Гуденко подает команду рассредоточиться и идти в облака. в которых никто из нас до этого не летал. 3алезли мы с Князевым в облака, прошли, наверное, минуты две. не больше. конечно. Команд ведущего не слышно, и я вываливаюсь из них вон. Никого больше нет. Прошел по заданному для. разведки району и не встретив товарищей, вернулся на аэродром. Рассчитывал, что экипажи уже дома. так как время полета истекло. Долго ждали своих воздушных братьев, но кроме л-ка Князева никто не вернулся.-- вспоминает Аркадий Васильевич Федоров. Что СЛУЧИЛОСЬ с товарищами, так и осталось неизвестным. Заместитель командира эскадрильи ст.л-т Игорь ГУДЕНКО и ст.л-т.Алексеи Белослудцев пропали без вести.</w:t>
      </w:r>
    </w:p>
    <w:p w14:paraId="1C54A5C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Немецкая авиация, несмотря на непогоду, также не прекращала действий ведя ВОЗДУШНУЮ разведку в районе окружения. Из вылетов 24 мая не вернулись два Не 111 Н-0 из KG 55 - в этот раз снова отличились советские зенитчики. На следующий день в 5 км северо-восточное Михаиловское огнем с земли был сбит В1 109Г-4 л-та Альберта Холма из 4. / JG 3, а 26 мая KG 55 потеряла еще один Хe 111Н-0. сбитый зенитным огнем (9394,16).</w:t>
      </w:r>
    </w:p>
    <w:p w14:paraId="76691D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9FD55C"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23 мая 1942 часть 114-й бригады совместно с 242 стрелковой дивизией и 64 танковой бригадой форсировала Северский Донец и частично освободила село Чепель. Полностью село удалось взять 25 мая. За это время экипаж М3Ср под командованием лейтенанта А.Д. Мимотина уничтожил 4 немецких танка. Ещё один экипаж, погибший в бою, уничтожил 3 машины. Энергичные действия в районе Чепеля позволили прорвать немецкое кольцо блокады и вывести из окружения несколько частей. Отличилась бригада и в июньских боях, когда 14 числа немецкие войска пошли в атаку. По данным советской стороны, в бой ринулось до 240 танков. 2-я рота 230-го танкового полка под командованием старшего лейтенанта Ф.С. Глазкова (5 М3л и 2 М3Ср) смогла отбить 3 атаки, записав на свой счёт 17 танков. Из них сжёг 4 танка и подбил 2 в этот день экипаж лейтенанта Н.Д. Саввы. Для «братской могилы» очень неплохо.</w:t>
      </w:r>
    </w:p>
    <w:p w14:paraId="43C8FF2A"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Совсем другим оказался боевой путь 192-й танковой бригады. На фронт она попала также в мае 1942 года, но почти 2 месяца боевых действий не вела. За это время на башнях и корпусах машин бригады появились громкие слоганы, многие из которых известны благодаря фотографиям.</w:t>
      </w:r>
    </w:p>
    <w:p w14:paraId="10F1D8CF"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Подвело танкистов плохо организованное взаимодействие с пехотой. Третья Болховская наступательная операция стала для бригады настоящей катастрофой. 5 июля 1942 года в 5:30 бригада, поддерживая 149-ю стрелковую дивизию, двинулась в бой совместно с 68-й танковой бригадой. Отсечённая вражеским огнем советская пехота двигалась крайне медленно. Это привело к тому, что танки несколько раз возвращались к ней, что привело к дополнительным потерям. Полковник И.И. Петров, командир 192-й тбр, ввёл в бой основную группу M3 Light, выступавших в роли резерва. Политрукам бригады пришлось вылезать из танков, чтобы вести пехоту за собой. К 6:40 ударной группе удалось взять Кабала и Близновское, при этом танки утюжили немецкую линию обороны, уничтожая огневые точки. Артиллерия, которая должна была поддерживать действия бригады огнём, потеряла ориентировку. Это стало причиной потери 6 танков от дружественного огня.</w:t>
      </w:r>
    </w:p>
    <w:p w14:paraId="29173BEA"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К исходу дня немецкие войска контратаковали, бригаде пришлось отойти, при этом она вновь понесла потери от флангового огня со стороны своих. На сей раз «отличилась» 68-я танковая бригада, принявшая машины 192-й тбр за немецкие. Несколько танков бригады застряло. В итоге, бригада за один день потеряла 40 танков, часть из которых стала немецкими трофеями.</w:t>
      </w:r>
    </w:p>
    <w:p w14:paraId="7B625B1E"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Грустная история 192-й танковой бригады неоднократно повторялась на других участках советско-германского фронта. Например, 92-я танковая бригада из состава 30-й армии 3 августа получила приказ выдвинуться в район Вернево-Севастьяново. Так для нее началась печально известная Ржевско-Сычевская операция. С переменным успехом бригада наступала до 6 августа, пока не достигла Зубцова. Здесь за один день от бригады осталось 4 М3Ср и 6 М3л.</w:t>
      </w:r>
    </w:p>
    <w:p w14:paraId="074E894F"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Самая же нелепая история случилась осенью 1942 года в боях за Сталинград. 26 сентября 1942 года в состав 24-й армии прибыла 241-я танковая бригада, имевшая 24 М3Ср и 27 М3л. Бригаде была поставлена задача наступать совместно с 343-й стрелкой дивизией в направлении молочно-товарной фермы и балки Носкина. 30 сентября бригада оторвалась от пехоты, скрылась за холмами и… исчезла. Из атаки вернулось всего 2 танка. Как выяснилось позже, в районе молочно-товарной фермы окопалась немецкая 3-я моторизованная дивизия. Сначала 10 танков было потеряно на минном поле, затем остальные были уничтожены в ходе боя с противотанковой артиллерией.</w:t>
      </w:r>
    </w:p>
    <w:p w14:paraId="6AF65577"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В ту же ловушку угодила и 167-я танковая бригада (32 «Валентайна» и 21 Т-70), также наступавшая на МТФ. В итоге немцы отчитались о 124 подбитых и уничтоженных танках. И это ещё было не всё: на выручку отправилась 38-я стрелковая дивизия и уже упоминавшаяся 114-я танковая бригада (30 М3Ср и 16 М3л). 2 октября они угодили в ту же ловушку. В этом соединении к концу дня остались 4 машины: 1 М3Ср на ходу и 3 М3Ср в ремонте. Винить в произошедшем технику в данном случае, как минимум, не совсем корректно (17705).</w:t>
      </w:r>
    </w:p>
    <w:p w14:paraId="0739B829"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4C5AAF2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23 мая</w:t>
      </w:r>
      <w:r w:rsidRPr="008127F8">
        <w:rPr>
          <w:rFonts w:ascii="Times New Roman" w:hAnsi="Times New Roman"/>
          <w:color w:val="000000" w:themeColor="text1"/>
          <w:sz w:val="16"/>
          <w:szCs w:val="16"/>
        </w:rPr>
        <w:t xml:space="preserve"> в 1942 году войска немецких группы «Клейст» и 6-й армии соединились южнее Балаклеи, перерезав пути отхода советских войск из Барвенковского выступа к Северскому Донцу. Войска Южного и Юго-Западного фронтов потеряли около 230 тысяч человек (14900).</w:t>
      </w:r>
    </w:p>
    <w:p w14:paraId="4DFF004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AB98C3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мая 1942 в ходе контрнаступления немцы окружили советскую армию возле Изюма и Харькова (4962).</w:t>
      </w:r>
    </w:p>
    <w:p w14:paraId="4B44E23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A70F5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2004D27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0A6F0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мая 1942 лидеры Республиканской партии США провозгласили экономические меры, предпринятые президентом Ф. Рузвельтом, “фашистскими” (4962).</w:t>
      </w:r>
    </w:p>
    <w:p w14:paraId="4F53276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1C7B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May 23 1942 decision for parallel development within Manhattan Project total cost to be $2B (1052).</w:t>
      </w:r>
    </w:p>
    <w:p w14:paraId="13B7137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1723EB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23 мая 1942 было принято решение о параллельных разработках в рамках Манхэттенского проекта общей стоимостью 2 млрд. долл. (1052).</w:t>
      </w:r>
    </w:p>
    <w:p w14:paraId="46DC590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4F5E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5E8ED8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ED212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24 мая по 10 июня 1942 ЦАГИ исследовал пути повышения эффективности водо и маслорадиаторов для Як-1 (198,49).</w:t>
      </w:r>
    </w:p>
    <w:p w14:paraId="5B1D5EC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C91B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24 мая по 10 июня 1942 г. в ЦАГИ велись исследования с целью изыскания путей повышения эффективности водо- и маслорадиаторов, а с 20 по 26 июля 1942 г. - увеличения скорости Як-1. Ведущий инженер исследований - А.И. Сильман (ведущий инженер по Як-1 1-й лаборатории ЦАГИ). Эти работы показали, что достаточно простыми и доступными для серийного производства средствами (герметизацией и изменением форм туннелей водо- и масло- радиаторов, улучшением форм всасывающего и выхлопных патрубков, герметизацией фюзеляжа) можно увеличить максимальную скорость на 25-28 км/ч, а если обеспечить уборку хвостового колеса и полное закрытие куполов шасси, то - на 33-38 км/ч.</w:t>
      </w:r>
    </w:p>
    <w:p w14:paraId="0E406E8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рекомендациям ЦАГИ в ЛИИ НКАП был переоборудован и в августе-сентябре 1942 г. прошел летные испытания Як-1 № 0868 с мотором М-105ПФ. В его конструкцию, чтобы улучшить работу системы охлаждения воды и масла и увеличить максимальную скорость, были внесены следующие изменения.</w:t>
      </w:r>
    </w:p>
    <w:p w14:paraId="58DDAD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 водорадиатору:</w:t>
      </w:r>
    </w:p>
    <w:p w14:paraId="4B54F9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изменен профиль верхней передней стенки входной части туннеля;</w:t>
      </w:r>
    </w:p>
    <w:p w14:paraId="15E6891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увеличен ход регулирующей заслонки на 50 мм (до 350 мм);</w:t>
      </w:r>
    </w:p>
    <w:p w14:paraId="4824DA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произведена герметизация туннеля.</w:t>
      </w:r>
    </w:p>
    <w:p w14:paraId="48CCB5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 маслорадиатору:</w:t>
      </w:r>
    </w:p>
    <w:p w14:paraId="706C23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уменьшена на 40 % площадь входной части туннеля и сам туннель удлинен до 225 мм;</w:t>
      </w:r>
    </w:p>
    <w:p w14:paraId="7F8F877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удлинена выходная часть туннеля до 410 мм, а профиль ее верхней стенки выполнен скругленным;</w:t>
      </w:r>
    </w:p>
    <w:p w14:paraId="404D9B2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увеличен ход регулирующей заслонки на 80 мм (до 340 мм);</w:t>
      </w:r>
    </w:p>
    <w:p w14:paraId="7C4611C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произведена герметизация туннеля.</w:t>
      </w:r>
    </w:p>
    <w:p w14:paraId="27255E6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Изменена форма сечения и расположение всасывающего патрубка нагнетателя.</w:t>
      </w:r>
    </w:p>
    <w:p w14:paraId="5FA479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Установлены обтекатели на выхлопные патрубки на выход трубы продувки картера мотора и кронштейны управления элеронами.</w:t>
      </w:r>
    </w:p>
    <w:p w14:paraId="43C6BDC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Установлен обтекатель-козырек на сдвижную часть фонаря кабины.</w:t>
      </w:r>
    </w:p>
    <w:p w14:paraId="3A6C35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Произведена герметизация фюзеляжа (загерметизирована противопожарная перегородка, установлены фанерная перегородка за бронеспинкой и матерчатая за водорадиа- тором).</w:t>
      </w:r>
    </w:p>
    <w:p w14:paraId="6457874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Установлен обтекатель входного отверстия кожухов пулеметов и заделаны патрубки для отвода пороховых газов. </w:t>
      </w:r>
    </w:p>
    <w:p w14:paraId="0CEE92C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результатам испытаний внесенные в конструкцию изменения дали прирост скорости на 23 км/ч (у машины № 0868 на высоте 3500 м скорость стала 594 км/ч, а у серийного Як-I на высоте 3650 м - 571 км/ч). Скороподъемность осталась без изменений. Увеличение скорости можно было считать гарантированным, поскольку на испытания Як-1 № 0868 поступил после эксплуатации в части, где аэродинамические формы подверглись ухудшению за счет нарушения лакокрасочного покрытия, вмятин в металлических деталях, плохой подгонки лючков и зализов. После осуществления уборки хвостового колеса, полного закрытия ниш шасси щитками и улучшения отделки поверхностей самолета удалось достичь скорости 612 км/ч на высоте 3700 м. Квинтэссенцией всех работ по улучшению Як-1 в 1942 г. стал Як-1б (12048). </w:t>
      </w:r>
    </w:p>
    <w:p w14:paraId="3781B5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0FA9B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24 мая по 10 июня 1942 г. в ЦАГИ велись исследования с целью изыскания путей повышения эффективности водо- и маслорадиаторов, а с 20 по 26 июля 1942 г. — увеличения скорости истребителя Як-1. Ведущий инженер — А. И. Сильман. Эти работы показали, что достаточно простыми и доступными для серийного производства средствами (герметизацией и изменением форм туннелей водо- и маслорадиаторов, улучшением форм всасывающего и вых - лопных патрубков, герметизацией фюзеляжа) можно увеличить максимальную скорость на 25—28 км/ч, а если обеспечить уборку хвостового колеса и полное закрытие куполов шасси, то — на 33—38 км/ч. По рекомендациям ЦАГИ в ЛИИ НКАП был переоборудован и в августе-сентябре 1942 г. прошел летные испытания Як-1 № 0868 с мотором М-105ПФ. В его конструкцию, чтобы улучшить работу системы охлаждения воды и масла и увеличить максимальную скорость, были внесены следующие изменения: изменен профиль верхней передней стенки входной части туннеля водорадиатора, уменьшена на 40% площадь входной части туннеля маслорадиатора, сам туннель удлинен до 225 мм, удлинена выходная часть туннеля до 410 мм, а профиль ее верхней стенки выполнен скругленным, увеличен ход регулирующей заслонки, произведена герметизация туннелей, изменена форма сечения и расположение всасывающего патрубка нагнетателя, установлены обтекатели на выхлопные патрубки на выход трубы продувки картера мотора и кронштейны управления элеронами, установлен обтекатель-козырек на сдвижную часть фонаря кабины, произведена герметизация фюзеляжа (загерметизирована противопожарная перегородка, установлены фанерная перегородка за бронеспинкой и матерчатая за водорадиатором), установлен обтекатель входного отверстия кожухов пулеметов и заделаны патрубки для отвода пороховых газов. По результатам испытаний внесенные в конструкцию изменения дали прирост скорости на 23 км/ч. Скороподъемность осталась без изменений. Увеличе - ние скорости можно было считать гарантированным, поскольку на испытания Як-1 № 0868 поступил после эксплуатации в части, где аэродинамические формы подверглись ухудшению за счет нарушения лакокрасочного покрытия, вмятин в металлических деталях, плохой подгонки лючков и зализов. После осуществления уборки хвостового колеса, полного закрытия ниш шасси щитками и улучшения отделки поверхностей самолета удалось достичь скорости 612 км/ч на высоте 3700 м. Квинтэссенцией всех работ по улучшению Як-1 в 1942 г. стал истребитель Як-1б. Внедрение в серию на истребителе Як-1б комплекса мер, предложенных ЦАГИ для совершенствования аэродинамики задержалось. Оно началось с 15 ноября 1942 г. и проводилось постепенно. Пол - ностью процесс завершился примерно к 110-й серии. Конструкторским бюро ЦАГИ было также разработано тормозное приспособление для самолета Як-1, состоящее из шарнирно-укрепленной стальной лыжи с тормозящим зубом, проводимой летчиком перед посадкой под хвостовое колесо при помощи тросовой проводки. Испытания этого приспособления в ЛИИ показали, что при его применении длина послеосадочного пробега самолета Як-1 сокращается на 33%. При полетном весе 2780 кг средняя длина пробега испытывавшегося самолета Як-1 без тормозного приспособления при трехточечных посадках, составляла 658 м и с применением приспособления — 439 м. Как выявилось на испытаниях, приспособление существенно не осложняет выполнение посадки, но его конструкция должна быть доработана, как по прочности, так и по эксплуатационным качествам. Приме - нение этого приспособления требует также проверки (19727).</w:t>
      </w:r>
    </w:p>
    <w:p w14:paraId="21EE46F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D2647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мая 1942 ОКБ А.С.Я. прекратило работы по Як-7 М-82 (65,96).</w:t>
      </w:r>
    </w:p>
    <w:p w14:paraId="5096BE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1D24B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24 мая</w:t>
      </w:r>
      <w:r w:rsidRPr="008127F8">
        <w:rPr>
          <w:rFonts w:ascii="Times New Roman" w:hAnsi="Times New Roman"/>
          <w:color w:val="000000" w:themeColor="text1"/>
          <w:sz w:val="16"/>
          <w:szCs w:val="16"/>
        </w:rPr>
        <w:t xml:space="preserve"> в 1942 году ОКБ Яковлева прекратило дальнейшие экспериментальные работы на самолете </w:t>
      </w:r>
      <w:hyperlink r:id="rId34" w:tgtFrame="_blank" w:history="1">
        <w:r w:rsidRPr="008127F8">
          <w:rPr>
            <w:rFonts w:ascii="Times New Roman" w:hAnsi="Times New Roman"/>
            <w:color w:val="000000" w:themeColor="text1"/>
            <w:sz w:val="16"/>
            <w:szCs w:val="16"/>
          </w:rPr>
          <w:t xml:space="preserve">«Як-7». </w:t>
        </w:r>
      </w:hyperlink>
      <w:r w:rsidRPr="008127F8">
        <w:rPr>
          <w:rFonts w:ascii="Times New Roman" w:hAnsi="Times New Roman"/>
          <w:color w:val="000000" w:themeColor="text1"/>
          <w:sz w:val="16"/>
          <w:szCs w:val="16"/>
        </w:rPr>
        <w:t>Большие неполадки в работе двигателя «М-82А» и невозможность без существенных изменений конструкции «Як-7» получить с ним достаточно высокие летные характеристики вынудили ОКБ к этому. Самолет был переведен в цех опытного завода для последующей модификации, но уже не связанной с двигателем «М-82» (14901).</w:t>
      </w:r>
    </w:p>
    <w:p w14:paraId="7315AF8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3EF8E55"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мая 1942, как докладывал командующему ВВС генерал-лейтенанту Нови</w:t>
      </w:r>
      <w:r w:rsidRPr="008A2E5A">
        <w:rPr>
          <w:rFonts w:ascii="Times New Roman" w:hAnsi="Times New Roman"/>
          <w:color w:val="0070C0"/>
          <w:sz w:val="16"/>
          <w:szCs w:val="16"/>
        </w:rPr>
        <w:softHyphen/>
        <w:t>кову прежний (до генерал-майора Бибикова) начальник ГУЗ и ТС ВВС бригинженер Селезнев «...завод по своей инициативе приступил к изготовлению самолетов ЛаГГ-3 с этой (37</w:t>
      </w:r>
      <w:r w:rsidRPr="008A2E5A">
        <w:rPr>
          <w:rFonts w:ascii="Times New Roman" w:hAnsi="Times New Roman"/>
          <w:color w:val="0070C0"/>
          <w:sz w:val="16"/>
          <w:szCs w:val="16"/>
        </w:rPr>
        <w:softHyphen/>
        <w:t>мм) пушкой. 10 таких машин будут закончены производством до 5 июня с.г., 20 - находятся в заделе и будут выпуще</w:t>
      </w:r>
      <w:r w:rsidRPr="008A2E5A">
        <w:rPr>
          <w:rFonts w:ascii="Times New Roman" w:hAnsi="Times New Roman"/>
          <w:color w:val="0070C0"/>
          <w:sz w:val="16"/>
          <w:szCs w:val="16"/>
        </w:rPr>
        <w:softHyphen/>
        <w:t>ны к 1 июля с.г.». При этом предлагалось ис</w:t>
      </w:r>
      <w:r w:rsidRPr="008A2E5A">
        <w:rPr>
          <w:rFonts w:ascii="Times New Roman" w:hAnsi="Times New Roman"/>
          <w:color w:val="0070C0"/>
          <w:sz w:val="16"/>
          <w:szCs w:val="16"/>
        </w:rPr>
        <w:softHyphen/>
        <w:t>пользовать все полученные пушки и построить 100 ЛаГГ-3-37.</w:t>
      </w:r>
    </w:p>
    <w:p w14:paraId="48343CC1"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Инициатива завода появилась, конечно, не на пустом месте - без участия Бориса Гаврии</w:t>
      </w:r>
      <w:r w:rsidRPr="008A2E5A">
        <w:rPr>
          <w:rFonts w:ascii="Times New Roman" w:hAnsi="Times New Roman"/>
          <w:color w:val="0070C0"/>
          <w:sz w:val="16"/>
          <w:szCs w:val="16"/>
        </w:rPr>
        <w:softHyphen/>
        <w:t>ловича вряд ли обошлось. Узаконить этот тру</w:t>
      </w:r>
      <w:r w:rsidRPr="008A2E5A">
        <w:rPr>
          <w:rFonts w:ascii="Times New Roman" w:hAnsi="Times New Roman"/>
          <w:color w:val="0070C0"/>
          <w:sz w:val="16"/>
          <w:szCs w:val="16"/>
        </w:rPr>
        <w:softHyphen/>
        <w:t>довой «порыв» удалось 20 июля, правда, Вер</w:t>
      </w:r>
      <w:r w:rsidRPr="008A2E5A">
        <w:rPr>
          <w:rFonts w:ascii="Times New Roman" w:hAnsi="Times New Roman"/>
          <w:color w:val="0070C0"/>
          <w:sz w:val="16"/>
          <w:szCs w:val="16"/>
        </w:rPr>
        <w:softHyphen/>
        <w:t>ховный на 100 машин согласия не дал. В соот</w:t>
      </w:r>
      <w:r w:rsidRPr="008A2E5A">
        <w:rPr>
          <w:rFonts w:ascii="Times New Roman" w:hAnsi="Times New Roman"/>
          <w:color w:val="0070C0"/>
          <w:sz w:val="16"/>
          <w:szCs w:val="16"/>
        </w:rPr>
        <w:softHyphen/>
        <w:t>ветствии с постановлением ГКО № 2066сс горьковчане к 15 августа и к 1 сентября были должны сдать по 20 ЛаГГ-3, вооруженных 37</w:t>
      </w:r>
      <w:r w:rsidRPr="008A2E5A">
        <w:rPr>
          <w:rFonts w:ascii="Times New Roman" w:hAnsi="Times New Roman"/>
          <w:color w:val="0070C0"/>
          <w:sz w:val="16"/>
          <w:szCs w:val="16"/>
        </w:rPr>
        <w:softHyphen/>
        <w:t>мм пушкой Шпитального с боекомплектом 20 снарядов и пулеметом БС. По действовавшему на тот момент штату 015/174 этого количества самолетов хватало на укомплектование двух истребительных полков. Кроме того, 20 Як-7 с 37-мм пушками Шпитального к 5 сентября должен был изготовить 153-й завод (23409).</w:t>
      </w:r>
    </w:p>
    <w:p w14:paraId="170B84EB" w14:textId="77777777" w:rsidR="00AF6A30" w:rsidRPr="008A2E5A" w:rsidRDefault="00AF6A30" w:rsidP="00AF6A30">
      <w:pPr>
        <w:spacing w:after="0" w:line="240" w:lineRule="auto"/>
        <w:jc w:val="both"/>
        <w:rPr>
          <w:rFonts w:ascii="Times New Roman" w:hAnsi="Times New Roman"/>
          <w:color w:val="0070C0"/>
          <w:sz w:val="16"/>
          <w:szCs w:val="16"/>
        </w:rPr>
      </w:pPr>
    </w:p>
    <w:p w14:paraId="21FCD43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мая 1942 вышло Постановление ГКО № 1806 О дополнительном перевооружении самолетов "Харрикейн". РГАНИР, Фонд ГКО, д. 36, лл. 46 (11012).</w:t>
      </w:r>
    </w:p>
    <w:p w14:paraId="7B6554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67F0F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239429B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123B2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мая 1942 вышло Постановление ГКО № 1804 О т. Селезневе П.И. РГАНИР, Фонд ГКО, д. 36, лл. 44 (11012).</w:t>
      </w:r>
    </w:p>
    <w:p w14:paraId="047465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5DC59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мая 1942 вышло Постановление ГКО № 1808 О поставке угля, нефтепродуктов и дров в мобилизационный и государственный резервы. (7036, 55-59,60-92).</w:t>
      </w:r>
    </w:p>
    <w:p w14:paraId="2871C3D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72D95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24 мая 1942 г. на заводе 189 на 20% готовая лодка Л-21 получила тяжелые повреждения от попадания снаряда. Снаряд разорвался при ударе о прочный корпус, сделав пробоину размером 2 х 1,5 м, и Л-21 легла на грунт с частью затопленных помещений. Для восстановления лодки потребовалась герметизация корпуса с помощью </w:t>
      </w:r>
      <w:r w:rsidRPr="008127F8">
        <w:rPr>
          <w:rFonts w:ascii="Times New Roman" w:hAnsi="Times New Roman"/>
          <w:color w:val="000000" w:themeColor="text1"/>
          <w:sz w:val="16"/>
          <w:szCs w:val="16"/>
        </w:rPr>
        <w:lastRenderedPageBreak/>
        <w:t>специального пластыря, после чего она была поднята АСС, а специали-завода пришлось заново проводить многие работы (3898).</w:t>
      </w:r>
    </w:p>
    <w:p w14:paraId="640986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87FAC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7AD192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AB047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24 мая</w:t>
      </w:r>
      <w:r w:rsidRPr="008127F8">
        <w:rPr>
          <w:rFonts w:ascii="Times New Roman" w:hAnsi="Times New Roman"/>
          <w:color w:val="000000" w:themeColor="text1"/>
          <w:sz w:val="16"/>
          <w:szCs w:val="16"/>
        </w:rPr>
        <w:t xml:space="preserve"> в 1942 году утреннее сообщение Совинформбюро:</w:t>
      </w:r>
    </w:p>
    <w:p w14:paraId="19D67F5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24 мая на Харьковском направлении наши войска на некоторых участках вели наступательные бои.</w:t>
      </w:r>
    </w:p>
    <w:p w14:paraId="54E075F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Изюм-Барвенковском направлении в ходе упорных боёв наши войска нанесли противнику большие потери.</w:t>
      </w:r>
    </w:p>
    <w:p w14:paraId="421954A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существенных изменений не произошло.</w:t>
      </w:r>
    </w:p>
    <w:p w14:paraId="60D143B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Харьковского направления противник, пытаясь задержать продвижение советских войск, предпринял несколько контратак. Потеряв 7 танков, гитлеровцы под напором наших бойцов были вынуждены отойти. На поле боя осталось до 300 вражеских трупов. Захвачено 2 немецких орудия, 5 пулемётов, 30 автоматов и другие трофеи. На другом участке наше подразделение ночью атаковало и захватило вражеский опорный пункт. Немцы потеряли убитыми 200 солдат и офицеров.</w:t>
      </w:r>
    </w:p>
    <w:p w14:paraId="571E998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Северо-Западного фронта, за десять дней боевых действий уничтожили свыше 2.500 солдат и офицеров противника, 4 немецких танка, несколько танкеток, 8 орудий, 71 автомашину и 39 пулемётов. Захвачены трофеи: 31 пулемёт, 6 миномётов и 20.000 патронов. Наши бойцы и командиры ружейно-пулемётным огнём уничтожили 4 немецких самолёта.</w:t>
      </w:r>
    </w:p>
    <w:p w14:paraId="4BF544D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сапёр во главе с сержантом Анохиным обезвредила за одну ночь свыше 400 вражеских мин.</w:t>
      </w:r>
    </w:p>
    <w:p w14:paraId="1B5E895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Разведчик Павел Иванович Хлопкин уничтожил из автомата 17 гитлеровцев и вывел из строя гусеничный трактор и автомашину. Несколько дней тому назад тов. Хлопкин из пулемёта сбил немецкий транспортный самолёт.</w:t>
      </w:r>
    </w:p>
    <w:p w14:paraId="14C72F3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Несколько партизанских отрядов, действующих в одном из оккупированных немцами районов Ленинградской области, в течение последних пяти дней вели упорные бои с противником. Партизаны уничтожили 440 немецких солдат и офицеров, вывели из строя 3 орудия, 4 пулемёта, 2 миномёта, 2 радиостанции и взорвали склад с боеприпасами.</w:t>
      </w:r>
    </w:p>
    <w:p w14:paraId="386B005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солдат Велинг писал недавно Гертруде Земан в Лейпциг: «... Бытьможет, это уже последнее моё письмо. Здесь опять началась адская пляска. Я нахожусь на передовых позициях. Ночью внезапно русские пошли в атаку. Мощный уничтожающий огонь. Утром русские появились вновь. Кровопролитный бой продолжался до полудня. Они обстреливали нас из всех видов оружия, какие можнотолько себе представить. Особенно страшны миномёты. У нас очень много убитых и раненых. Кругом меня люди истекали кровью. Нужно было им помочь, но у меня дрожали руки. Да, мы теперь знаем, что такое воевать с русскими. Им сам черт не страшен».</w:t>
      </w:r>
    </w:p>
    <w:p w14:paraId="7BF8B54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неизвестного немецкого солдата найдено письмо из Вены. В письме говорится: «...Каждый день узнаёшь, что тот или другой знакомый убит. На улицах много калек — безруких и безногих. Они голодные и злые... Дитрик вчера заплакал от голода. Ему приходится много и тяжело работать, а кушать нечего. Можешь себе представить, что это значит сидеть без хлеба...»</w:t>
      </w:r>
    </w:p>
    <w:p w14:paraId="0F4FADC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Немецко-фашистские мерзавцы учинили зверскую расправу над мирными жителями деревни Фомино, Смоленской области. Отступая из деревни, гитлеровцы схватили колхозников Жаворонкова Николая Степановича, Лосева Алексея, Подшивалова Василия и Сидоренко Василия, загнали их в дом и бросили туда несколько гранат. Позднее бандиты подожгли дом. Колхозники Лосев, Жаворонков и Подшивалов сгорели. Раненому Сидоренко удалось спастись.</w:t>
      </w:r>
    </w:p>
    <w:p w14:paraId="7EC97EE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Среди крестьянства Германии растёт недовольство гитлеровским режимом. В начале мая в ряде деревень Саксонии гитлеровцы предприняли реквизицию остатков продовольствия у крестьян. В одной из деревень местные жители избили фашистских чиновников, производивших обыски. Вызванный отряд гестаповцев арестовал многих крестьян.» (14901).</w:t>
      </w:r>
    </w:p>
    <w:p w14:paraId="13157FA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ACF756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24 мая</w:t>
      </w:r>
      <w:r w:rsidRPr="008127F8">
        <w:rPr>
          <w:rFonts w:ascii="Times New Roman" w:hAnsi="Times New Roman"/>
          <w:color w:val="000000" w:themeColor="text1"/>
          <w:sz w:val="16"/>
          <w:szCs w:val="16"/>
        </w:rPr>
        <w:t xml:space="preserve"> в 1942 году вечернее сообщение Совинформбюро:</w:t>
      </w:r>
    </w:p>
    <w:p w14:paraId="43D79F5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24 мая на Харьковском направлении наши войска вели наступательные бои и продвинулись вперёд.</w:t>
      </w:r>
    </w:p>
    <w:p w14:paraId="420801C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Изюм-Барвенковском направлении наши войска вели ожесточённыеоборонительные бои с танками и пехотой противника. В ходе боёв немецко-фашистским войскам нанесены большие потери.</w:t>
      </w:r>
    </w:p>
    <w:p w14:paraId="4838115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остальных участках фронта чего-либо существенного не произошло.</w:t>
      </w:r>
    </w:p>
    <w:p w14:paraId="29FE3AB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23 мая уничтожено 24 немецких самолёта. Наши потери — 11 самолётов.</w:t>
      </w:r>
    </w:p>
    <w:p w14:paraId="191EEE2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23 мая частями нашей авиации на разных участках фронта уничтожено или повреждено 35 немецких танков, 175 автомашин с войсками и грузами, 18 полевых и зенитных орудий, 15 зенитно-пулемётных точек, 8 миномётов, взорван железнодорожный состав, три склада с боеприпасами, рассеяно и частью уничтоженодо четырёх рот пехоты противника.</w:t>
      </w:r>
    </w:p>
    <w:p w14:paraId="52A2EAB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Харьковского направления наша часть отразила атаки немцев и, продвигаясь вперёд, заняла важный населённый пункт. На поле боя осталось более 400 вражеских трупов. На другом участке бойцы стрелкового подразделения под командованием тов. Лаврова отбили контратаку противника с большими для него потерями. Захвачены трофеи: 3 орудия, 2 миномёта, 6 станковых пулемётов, 180 винтовок, 2 противотанковых ружья и две радиостанции.</w:t>
      </w:r>
    </w:p>
    <w:p w14:paraId="4F13503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танковая часть, действующая на Изюм-Барвенковском направлении, за два дня боёв уничтожила 40 танков противника.</w:t>
      </w:r>
    </w:p>
    <w:p w14:paraId="32F815E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Подразделения т.т. Фролова и Телкова (Северо-Западный фронт) форсировали реку и вклинились в немецкую оборону. Пытавшаяся перейти в контратаку рота гитлеровцев почти полностью уничтожена нашими бойцами.</w:t>
      </w:r>
    </w:p>
    <w:p w14:paraId="726C4DC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Северо-Западном фронте наши бойцы в течение трёх дней сбили ружейно-пулемётным огнём 5 немецких самолётов. Два самолёта сбила группа бойцов лейтенанта тов. Матонина. Один самолёт сбил сержант Матицын, и два самолёта уничтожили красноармейцы Выводцев и Стовбуха.</w:t>
      </w:r>
    </w:p>
    <w:p w14:paraId="3FF09A7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время наступления нашей части (Ленинградский фронт) партизанский отрядтов. Григория Б., действующий в немецком тылу, взорвал железнодорожный путь. Немецкому бронепоезду, направлявшемуся к месту боя, дорога была отрезана.</w:t>
      </w:r>
    </w:p>
    <w:p w14:paraId="0C63AD7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числе документов, захваченных нашими частями, найдена докладная записка командира 9 роты 519 полка 296 немецкой пехотной дивизии командиру батальона. В этой записке командир роты пишет, что «большинство солдат из прибывающего пополнения... не умеет даже обращаться с винтовкой. Такое же положение и в отношении знания других видов пехотного оружия, как-то: ручной гранаты, гранатомёта и противотанкового ружья».</w:t>
      </w:r>
    </w:p>
    <w:p w14:paraId="670271F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выписки из неотправленного письма немецкого солдата Франца Будера к Эдит Герман в Лейпциг: «...Русские стремительно наступают. За три днямы ни разу не сомкнули глаз, ни разу не прилегли. Неприятель обстреливает наши, позиции из артиллерии. Самолёты беспрерывно сбрасывают бомбы на наши позиции. Мы несём большие потери. Мы уже давно воюем без отдыха, без передышки. Никакие нервы не выдержат. На родине никто себе даже не представляет, что значит воевать с Россией. В кино показывают совсем не то, что есть на самом деле... Мы все поражены мужеством и бесстрашием русских людей. Они делают удивительные вещи. Да, русские не боятся ничего...»</w:t>
      </w:r>
    </w:p>
    <w:p w14:paraId="63DAF25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Более шести месяцев находилось село Архангельское, Курской области, в руках немецких захватчиков. Гитлеровцы разорили колхоз, превратили цветущее село в груду развалин. Бандиты сожгли школу, молочную, свинотоварную фермы, образцовые племенные конюшни, зернохранилища и другие колхозные постройки. Немецко-фашистские изверги повесили врача Веронина и его жену, мастера сахарного завода Мошенко, расстреляли колхозников, Кушнарёва, Верещагина, Шаповалову, Северинову и многих других жителей села. Десять пленных раненых красноармейцев были замучены насмерть. Немцы ограбили всех жителей, отняли у них скот, продовольствие, одежду, бельё, домашнюю утварь. Отступая из села под ударами частей Красной Армии, гитлеровцы сожгли более 60 домов колхозников.» (14901).</w:t>
      </w:r>
    </w:p>
    <w:p w14:paraId="6190A74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56D882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мая 1942 г. в 5-м воздушно-десантном корпусе выполнили первые парашютные прыжки с привязного аэростата С мая по декабрь 1942 г. ди</w:t>
      </w:r>
      <w:r w:rsidRPr="008127F8">
        <w:rPr>
          <w:rFonts w:ascii="Times New Roman" w:hAnsi="Times New Roman"/>
          <w:color w:val="000000" w:themeColor="text1"/>
          <w:sz w:val="16"/>
          <w:szCs w:val="16"/>
        </w:rPr>
        <w:softHyphen/>
        <w:t>визион произвёл выброску 37440 парашютистов, а в 1943 г. было подготовлено уже 213603 десант</w:t>
      </w:r>
      <w:r w:rsidRPr="008127F8">
        <w:rPr>
          <w:rFonts w:ascii="Times New Roman" w:hAnsi="Times New Roman"/>
          <w:color w:val="000000" w:themeColor="text1"/>
          <w:sz w:val="16"/>
          <w:szCs w:val="16"/>
        </w:rPr>
        <w:softHyphen/>
        <w:t>ников.</w:t>
      </w:r>
    </w:p>
    <w:p w14:paraId="560C758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сентябре 1944 г. выброска парашютистов с одного аэростата достигла 2278 человек в сут</w:t>
      </w:r>
      <w:r w:rsidRPr="008127F8">
        <w:rPr>
          <w:rFonts w:ascii="Times New Roman" w:hAnsi="Times New Roman"/>
          <w:color w:val="000000" w:themeColor="text1"/>
          <w:sz w:val="16"/>
          <w:szCs w:val="16"/>
        </w:rPr>
        <w:softHyphen/>
        <w:t>ки. Помимо обслуживания частей ВДВ дивизион обеспечивал парашютную подготовку личного состава чехословацкой бригады, польского бата</w:t>
      </w:r>
      <w:r w:rsidRPr="008127F8">
        <w:rPr>
          <w:rFonts w:ascii="Times New Roman" w:hAnsi="Times New Roman"/>
          <w:color w:val="000000" w:themeColor="text1"/>
          <w:sz w:val="16"/>
          <w:szCs w:val="16"/>
        </w:rPr>
        <w:softHyphen/>
        <w:t>льона, разведывательных групп, связных Комин</w:t>
      </w:r>
      <w:r w:rsidRPr="008127F8">
        <w:rPr>
          <w:rFonts w:ascii="Times New Roman" w:hAnsi="Times New Roman"/>
          <w:color w:val="000000" w:themeColor="text1"/>
          <w:sz w:val="16"/>
          <w:szCs w:val="16"/>
        </w:rPr>
        <w:softHyphen/>
        <w:t>терна.</w:t>
      </w:r>
    </w:p>
    <w:p w14:paraId="37060C4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Именно из гондолы аэростата подполковник Наби Аминтаев, проверяя физические возмож</w:t>
      </w:r>
      <w:r w:rsidRPr="008127F8">
        <w:rPr>
          <w:rFonts w:ascii="Times New Roman" w:hAnsi="Times New Roman"/>
          <w:color w:val="000000" w:themeColor="text1"/>
          <w:sz w:val="16"/>
          <w:szCs w:val="16"/>
        </w:rPr>
        <w:softHyphen/>
        <w:t>ности парашютиста, в 1944 г. выполнил в один день 53 прыжка с парашютом, а через два дня — 22 прыжка днём и 23 ночью в течение одних су</w:t>
      </w:r>
      <w:r w:rsidRPr="008127F8">
        <w:rPr>
          <w:rFonts w:ascii="Times New Roman" w:hAnsi="Times New Roman"/>
          <w:color w:val="000000" w:themeColor="text1"/>
          <w:sz w:val="16"/>
          <w:szCs w:val="16"/>
        </w:rPr>
        <w:softHyphen/>
        <w:t>ток.</w:t>
      </w:r>
    </w:p>
    <w:p w14:paraId="7E11846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годы войны учебные парашютные прыж</w:t>
      </w:r>
      <w:r w:rsidRPr="008127F8">
        <w:rPr>
          <w:rFonts w:ascii="Times New Roman" w:hAnsi="Times New Roman"/>
          <w:color w:val="000000" w:themeColor="text1"/>
          <w:sz w:val="16"/>
          <w:szCs w:val="16"/>
        </w:rPr>
        <w:softHyphen/>
        <w:t>ки производились с аэростатов и в других воз</w:t>
      </w:r>
      <w:r w:rsidRPr="008127F8">
        <w:rPr>
          <w:rFonts w:ascii="Times New Roman" w:hAnsi="Times New Roman"/>
          <w:color w:val="000000" w:themeColor="text1"/>
          <w:sz w:val="16"/>
          <w:szCs w:val="16"/>
        </w:rPr>
        <w:softHyphen/>
        <w:t>духоплавательных отрядах. Всего было сделано 540152 прыжка. По послевоенным оценкам при</w:t>
      </w:r>
      <w:r w:rsidRPr="008127F8">
        <w:rPr>
          <w:rFonts w:ascii="Times New Roman" w:hAnsi="Times New Roman"/>
          <w:color w:val="000000" w:themeColor="text1"/>
          <w:sz w:val="16"/>
          <w:szCs w:val="16"/>
        </w:rPr>
        <w:softHyphen/>
        <w:t>менение аэростатов и дирижаблей в ВДВ для под</w:t>
      </w:r>
      <w:r w:rsidRPr="008127F8">
        <w:rPr>
          <w:rFonts w:ascii="Times New Roman" w:hAnsi="Times New Roman"/>
          <w:color w:val="000000" w:themeColor="text1"/>
          <w:sz w:val="16"/>
          <w:szCs w:val="16"/>
        </w:rPr>
        <w:softHyphen/>
        <w:t>готовки парашютистов сокращало расходы в год на 12 млн рублей по сравнению с подготовкой их на самолётах.</w:t>
      </w:r>
    </w:p>
    <w:p w14:paraId="0112A09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Парашютная подготовка с аэростатов произ</w:t>
      </w:r>
      <w:r w:rsidRPr="008127F8">
        <w:rPr>
          <w:rFonts w:ascii="Times New Roman" w:hAnsi="Times New Roman"/>
          <w:color w:val="000000" w:themeColor="text1"/>
          <w:sz w:val="16"/>
          <w:szCs w:val="16"/>
        </w:rPr>
        <w:softHyphen/>
        <w:t>водилась в ВДВ и после окончания войны, вплоть до 1959 г. Всего за этот период по сведениям Воз</w:t>
      </w:r>
      <w:r w:rsidRPr="008127F8">
        <w:rPr>
          <w:rFonts w:ascii="Times New Roman" w:hAnsi="Times New Roman"/>
          <w:color w:val="000000" w:themeColor="text1"/>
          <w:sz w:val="16"/>
          <w:szCs w:val="16"/>
        </w:rPr>
        <w:softHyphen/>
        <w:t>духоплавательной службы ВДВ с привязных аэростатов десантники выполнили более 1,5 млн учебно-тренировочных прыжков без единого случая отказа в работе парашютов. Опыт десант</w:t>
      </w:r>
      <w:r w:rsidRPr="008127F8">
        <w:rPr>
          <w:rFonts w:ascii="Times New Roman" w:hAnsi="Times New Roman"/>
          <w:color w:val="000000" w:themeColor="text1"/>
          <w:sz w:val="16"/>
          <w:szCs w:val="16"/>
        </w:rPr>
        <w:softHyphen/>
        <w:t>ников использовался и при подготовке парашю</w:t>
      </w:r>
      <w:r w:rsidRPr="008127F8">
        <w:rPr>
          <w:rFonts w:ascii="Times New Roman" w:hAnsi="Times New Roman"/>
          <w:color w:val="000000" w:themeColor="text1"/>
          <w:sz w:val="16"/>
          <w:szCs w:val="16"/>
        </w:rPr>
        <w:softHyphen/>
        <w:t>тистов в ДОСААФ.</w:t>
      </w:r>
    </w:p>
    <w:p w14:paraId="42A6B97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Снабжение частей ВДВ водо</w:t>
      </w:r>
      <w:r w:rsidRPr="008127F8">
        <w:rPr>
          <w:rFonts w:ascii="Times New Roman" w:hAnsi="Times New Roman"/>
          <w:color w:val="000000" w:themeColor="text1"/>
          <w:sz w:val="16"/>
          <w:szCs w:val="16"/>
        </w:rPr>
        <w:softHyphen/>
        <w:t>родом осуществлялось специальным отрядом дирижаблей, созданным по инициативе замести</w:t>
      </w:r>
      <w:r w:rsidRPr="008127F8">
        <w:rPr>
          <w:rFonts w:ascii="Times New Roman" w:hAnsi="Times New Roman"/>
          <w:color w:val="000000" w:themeColor="text1"/>
          <w:sz w:val="16"/>
          <w:szCs w:val="16"/>
        </w:rPr>
        <w:softHyphen/>
        <w:t>теля командира 1-го ОВД ВДВ В.А. Устиновича. Были собраны два мягких дирижабля объёмом по 3000 м3, хранившиеся в разобранном виде в эллинге бывшего «Дирижаблестроя». Большую помощь при сборке дирижаблей оказали вете</w:t>
      </w:r>
      <w:r w:rsidRPr="008127F8">
        <w:rPr>
          <w:rFonts w:ascii="Times New Roman" w:hAnsi="Times New Roman"/>
          <w:color w:val="000000" w:themeColor="text1"/>
          <w:sz w:val="16"/>
          <w:szCs w:val="16"/>
        </w:rPr>
        <w:softHyphen/>
        <w:t>раны «Дирижаблестроя» Е. Курин, Б. Воробьев, Б.А. Гарф, К. Новиков и Д. Матюшин.</w:t>
      </w:r>
    </w:p>
    <w:p w14:paraId="1125B51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Первым собрали и полностью подготови</w:t>
      </w:r>
      <w:r w:rsidRPr="008127F8">
        <w:rPr>
          <w:rFonts w:ascii="Times New Roman" w:hAnsi="Times New Roman"/>
          <w:color w:val="000000" w:themeColor="text1"/>
          <w:sz w:val="16"/>
          <w:szCs w:val="16"/>
        </w:rPr>
        <w:softHyphen/>
        <w:t>ли к работе дирижабль «СССР В-1 бис» (коман</w:t>
      </w:r>
      <w:r w:rsidRPr="008127F8">
        <w:rPr>
          <w:rFonts w:ascii="Times New Roman" w:hAnsi="Times New Roman"/>
          <w:color w:val="000000" w:themeColor="text1"/>
          <w:sz w:val="16"/>
          <w:szCs w:val="16"/>
        </w:rPr>
        <w:softHyphen/>
        <w:t>дир — инженер-капитан В.А. Устинович). Прав</w:t>
      </w:r>
      <w:r w:rsidRPr="008127F8">
        <w:rPr>
          <w:rFonts w:ascii="Times New Roman" w:hAnsi="Times New Roman"/>
          <w:color w:val="000000" w:themeColor="text1"/>
          <w:sz w:val="16"/>
          <w:szCs w:val="16"/>
        </w:rPr>
        <w:softHyphen/>
        <w:t>да, эксплуатация этого дирижабля оказалась непродолжительной: его оболочка разорвалась при вводе в эллинг, когда порыв ветра при</w:t>
      </w:r>
      <w:r w:rsidRPr="008127F8">
        <w:rPr>
          <w:rFonts w:ascii="Times New Roman" w:hAnsi="Times New Roman"/>
          <w:color w:val="000000" w:themeColor="text1"/>
          <w:sz w:val="16"/>
          <w:szCs w:val="16"/>
        </w:rPr>
        <w:softHyphen/>
        <w:t>жал «СССР В-1 бис» к осветительному столбу. «СССР В-1 бис» не восстанавливали, а расконсер</w:t>
      </w:r>
      <w:r w:rsidRPr="008127F8">
        <w:rPr>
          <w:rFonts w:ascii="Times New Roman" w:hAnsi="Times New Roman"/>
          <w:color w:val="000000" w:themeColor="text1"/>
          <w:sz w:val="16"/>
          <w:szCs w:val="16"/>
        </w:rPr>
        <w:softHyphen/>
        <w:t>вировали дирижабль «СССР В-12» (20120).</w:t>
      </w:r>
    </w:p>
    <w:p w14:paraId="6EA114C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4A65B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6D1B9A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F611ED"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мая 1942 вышло Постановление ГКО № 1805 Об эвакуации населения из г. Ленинграда. (7036, 45).</w:t>
      </w:r>
    </w:p>
    <w:p w14:paraId="391A94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ЭВАКУАЦИИ НАСЕЛЕНИЯ ИЗ Г. ЛЕНИНГРАДА</w:t>
      </w:r>
    </w:p>
    <w:p w14:paraId="4BCC59C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Принять предложение Военного совета Ленинградского фронта и Ленинградского горисполкома об эвакуации из г. Ленинграда в течение весенне-летнего периода 1942 г. — 300 тысяч человек.</w:t>
      </w:r>
    </w:p>
    <w:p w14:paraId="799D6CE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Эвакуацию населения начать с 25 мая 1942 г.</w:t>
      </w:r>
    </w:p>
    <w:p w14:paraId="2766CD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 Государственного Комитета Обороны</w:t>
      </w:r>
    </w:p>
    <w:p w14:paraId="2DD559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Выписки посланы: Вознесенскому, Косыгину; Воен.совету</w:t>
      </w:r>
    </w:p>
    <w:p w14:paraId="6CD154D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Ленинградского фронта, Чадаеву. Лен. Горисполкому.</w:t>
      </w:r>
    </w:p>
    <w:p w14:paraId="35B0AE1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РГАСПИ. Ф. 644. Оп. 1. Д. 36. Л. 45 (12013).</w:t>
      </w:r>
    </w:p>
    <w:p w14:paraId="5612CD0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50028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5A7E84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AE4C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мая 1942 года было отправлено:</w:t>
      </w:r>
    </w:p>
    <w:p w14:paraId="33B17D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В. СТАЛИН У. ЧЕРЧИЛЛЮ *</w:t>
      </w:r>
    </w:p>
    <w:p w14:paraId="3B20418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 получил переданное в Куйбышеве 20 мая Ваше послание, в котором Вы сообщаете, что в настоящее время тридцать пять пароходов с военными грузами для СССР находятся на пути в советские порты. Благодарю Вас за сообщение и предпринятые Вами меры по отправке пароходов. Со своей стороны наши воздушные и морские силы предпримут все возможное в целях охраны этого транспорта на том участке пути, о котором Вы сообщили мне в своем послании от 9 мая сего года (7430).</w:t>
      </w:r>
    </w:p>
    <w:p w14:paraId="5F7E69A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A7F9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24 мая по 2 (13 - 237,199) (c 18 мая по 13 июля - 272,383) июня Э.К.Пуссеп возил В.М.Молотова в Англию и США (4,162).</w:t>
      </w:r>
    </w:p>
    <w:p w14:paraId="3A1952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8741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мая 1942 вышло Постановление ГКО № 1807 О правовом положении советских войск в Иране. РГАНИР, Фонд ГКО, д. 36, лл. 47, 48-54 (11012).</w:t>
      </w:r>
    </w:p>
    <w:p w14:paraId="77EA76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D0A97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24 мая</w:t>
      </w:r>
      <w:r w:rsidRPr="008127F8">
        <w:rPr>
          <w:rFonts w:ascii="Times New Roman" w:hAnsi="Times New Roman"/>
          <w:color w:val="000000" w:themeColor="text1"/>
          <w:sz w:val="16"/>
          <w:szCs w:val="16"/>
        </w:rPr>
        <w:t xml:space="preserve"> в 1942 году в Лондоне лидер французского Сопротивления генерал Ш. де Голль пообещал В.Молотову надавить на Англию с призывом открыть Второй фронт (14901).</w:t>
      </w:r>
    </w:p>
    <w:p w14:paraId="7803525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27BA2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4C25987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57D71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мая 1942 в Лондоне лидер французского Сопротивления генерал Ш. де Голль пообещал В. Молотову надавить на Англию с призывом открыть Второй фронт (4962).</w:t>
      </w:r>
    </w:p>
    <w:p w14:paraId="19E270F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1523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мая 1942 в Праге был застрелен наместник Богемии и Моравии Р.Гейдрих и умер 26 мая (3907,236).</w:t>
      </w:r>
    </w:p>
    <w:p w14:paraId="090B486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E5D5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5C3435F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0867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мая 1942 Воронин писал ГИ завода 30 Шапиро письмо N Н-37/2006:</w:t>
      </w:r>
    </w:p>
    <w:p w14:paraId="0F8040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дополнение в приказу Дементьева и Репина проведите след. испытания на самолете Ил-2:</w:t>
      </w:r>
    </w:p>
    <w:p w14:paraId="463A713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испытание нового золотника регулятора Р-7 с винтами ВИШ-22Т и АВ-5Л-124</w:t>
      </w:r>
    </w:p>
    <w:p w14:paraId="4B152F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испытание ВИШ-105 (1679,211).</w:t>
      </w:r>
    </w:p>
    <w:p w14:paraId="06C0C5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749A2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мая 1942 года Шахурин писал письмо N Н-20/2012 Маленкову.</w:t>
      </w:r>
    </w:p>
    <w:p w14:paraId="104B0B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плане опытного строительства самолетов на 1942 г. конструктору Ермолаеву включено проектирование и постройка дальнего бомбардировщика.</w:t>
      </w:r>
    </w:p>
    <w:p w14:paraId="29F320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Направляя Вам на рассмотрение летно-тактические характеристики, намеченного к постройке самолета, прошу для создания необходимых производственных условий для коллектива Ермолаева содействовать в утверждении прилагаемого при сем Постановления ГКО (2164,20).</w:t>
      </w:r>
    </w:p>
    <w:p w14:paraId="6F358C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мая 1942 Гл. конструктор Ермолаев писал зам. наркома Авиапрома Яковлеву.</w:t>
      </w:r>
    </w:p>
    <w:p w14:paraId="744CC67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Ваших указаний нами проведены предварительные изыскания и расчеты по проектированию дальнего бомбардировщика с двумя моторами АМ-39.</w:t>
      </w:r>
    </w:p>
    <w:p w14:paraId="4065C6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Ваши пожелания о применении в конструкции самолета дерева, нами запроектирована значительная часть агрегатов самолета деревянными, с применением лишь небольшого количества металла (корпус центроплана, средняя часть фюзеляжа).</w:t>
      </w:r>
    </w:p>
    <w:p w14:paraId="1B877F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опыта боевой эксплуатации самолета Ер-2 в частях АДД, при проектировании самолета с моторами АМ-39, нами уделено особое внимание обеспечению хороших взлетных качеств самолета. Количество членов экипажа предусмотрено: 2 пилота, штурман и 2 стрелка.</w:t>
      </w:r>
    </w:p>
    <w:p w14:paraId="38260A9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 на дальность 4000 - увеличена до 2000 кг вместо 1000 кг для самолета Ер-2.</w:t>
      </w:r>
    </w:p>
    <w:p w14:paraId="2670C2E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Усиленно бронирование экипажа и оборонительное вооружение - устанавливается 4 огневых точки:</w:t>
      </w:r>
    </w:p>
    <w:p w14:paraId="4EF305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Носовая установка с пулеметом БТ</w:t>
      </w:r>
    </w:p>
    <w:p w14:paraId="5C1DF5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Турельная установка со спаркой пулеметов БТ</w:t>
      </w:r>
    </w:p>
    <w:p w14:paraId="046488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Люковая установка со спаркой пулеметов БТ</w:t>
      </w:r>
    </w:p>
    <w:p w14:paraId="1FC87DF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Хвостовая установка с пулеметом БТ</w:t>
      </w:r>
    </w:p>
    <w:p w14:paraId="699523E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Летные данные самолета с моторами Ам-39 будут следующими: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495"/>
        <w:gridCol w:w="1099"/>
        <w:gridCol w:w="1736"/>
        <w:gridCol w:w="2268"/>
      </w:tblGrid>
      <w:tr w:rsidR="007C5583" w:rsidRPr="008127F8" w14:paraId="54AA8BFD" w14:textId="77777777" w:rsidTr="004C5D62">
        <w:tc>
          <w:tcPr>
            <w:tcW w:w="5495" w:type="dxa"/>
            <w:tcBorders>
              <w:top w:val="single" w:sz="12" w:space="0" w:color="auto"/>
            </w:tcBorders>
          </w:tcPr>
          <w:p w14:paraId="198E3C9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Нормальный полет.</w:t>
            </w:r>
          </w:p>
        </w:tc>
        <w:tc>
          <w:tcPr>
            <w:tcW w:w="1099" w:type="dxa"/>
            <w:tcBorders>
              <w:top w:val="single" w:sz="12" w:space="0" w:color="auto"/>
            </w:tcBorders>
          </w:tcPr>
          <w:p w14:paraId="00B73C2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36" w:type="dxa"/>
            <w:tcBorders>
              <w:top w:val="single" w:sz="12" w:space="0" w:color="auto"/>
            </w:tcBorders>
          </w:tcPr>
          <w:p w14:paraId="108A9E9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single" w:sz="12" w:space="0" w:color="auto"/>
            </w:tcBorders>
          </w:tcPr>
          <w:p w14:paraId="30F2260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Полный полет.</w:t>
            </w:r>
          </w:p>
        </w:tc>
      </w:tr>
      <w:tr w:rsidR="007C5583" w:rsidRPr="008127F8" w14:paraId="6356CEE9" w14:textId="77777777" w:rsidTr="004C5D62">
        <w:tc>
          <w:tcPr>
            <w:tcW w:w="5495" w:type="dxa"/>
          </w:tcPr>
          <w:p w14:paraId="2DC9412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14600 кг</w:t>
            </w:r>
          </w:p>
        </w:tc>
        <w:tc>
          <w:tcPr>
            <w:tcW w:w="1099" w:type="dxa"/>
          </w:tcPr>
          <w:p w14:paraId="1CD4C42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36" w:type="dxa"/>
          </w:tcPr>
          <w:p w14:paraId="2976610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D75980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18000 кг</w:t>
            </w:r>
          </w:p>
        </w:tc>
      </w:tr>
      <w:tr w:rsidR="007C5583" w:rsidRPr="008127F8" w14:paraId="6821CD4E" w14:textId="77777777" w:rsidTr="004C5D62">
        <w:tc>
          <w:tcPr>
            <w:tcW w:w="5495" w:type="dxa"/>
          </w:tcPr>
          <w:p w14:paraId="144CB69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w:t>
            </w:r>
          </w:p>
        </w:tc>
        <w:tc>
          <w:tcPr>
            <w:tcW w:w="1099" w:type="dxa"/>
          </w:tcPr>
          <w:p w14:paraId="5E05483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511 км/час</w:t>
            </w:r>
          </w:p>
        </w:tc>
        <w:tc>
          <w:tcPr>
            <w:tcW w:w="1736" w:type="dxa"/>
          </w:tcPr>
          <w:p w14:paraId="0BB0813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D5A9C1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495 км/час</w:t>
            </w:r>
          </w:p>
        </w:tc>
      </w:tr>
      <w:tr w:rsidR="007C5583" w:rsidRPr="008127F8" w14:paraId="368BE981" w14:textId="77777777" w:rsidTr="004C5D62">
        <w:tc>
          <w:tcPr>
            <w:tcW w:w="5495" w:type="dxa"/>
          </w:tcPr>
          <w:p w14:paraId="73CE0BB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 полета с 2000 кг бомб</w:t>
            </w:r>
          </w:p>
        </w:tc>
        <w:tc>
          <w:tcPr>
            <w:tcW w:w="1099" w:type="dxa"/>
          </w:tcPr>
          <w:p w14:paraId="42A4584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36" w:type="dxa"/>
          </w:tcPr>
          <w:p w14:paraId="35DB6B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DC12A9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D28A7D9" w14:textId="77777777" w:rsidTr="004C5D62">
        <w:tc>
          <w:tcPr>
            <w:tcW w:w="5495" w:type="dxa"/>
          </w:tcPr>
          <w:p w14:paraId="3089BD0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аэронавигационным 2000 км</w:t>
            </w:r>
          </w:p>
        </w:tc>
        <w:tc>
          <w:tcPr>
            <w:tcW w:w="1099" w:type="dxa"/>
          </w:tcPr>
          <w:p w14:paraId="2F24794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36" w:type="dxa"/>
          </w:tcPr>
          <w:p w14:paraId="254C545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C4C10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63F634D" w14:textId="77777777" w:rsidTr="004C5D62">
        <w:tc>
          <w:tcPr>
            <w:tcW w:w="5495" w:type="dxa"/>
          </w:tcPr>
          <w:p w14:paraId="6BBBF1F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запасом горючего 10%)</w:t>
            </w:r>
          </w:p>
        </w:tc>
        <w:tc>
          <w:tcPr>
            <w:tcW w:w="1099" w:type="dxa"/>
          </w:tcPr>
          <w:p w14:paraId="243F860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 км</w:t>
            </w:r>
          </w:p>
        </w:tc>
        <w:tc>
          <w:tcPr>
            <w:tcW w:w="1736" w:type="dxa"/>
          </w:tcPr>
          <w:p w14:paraId="34056B9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EFE8BA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4000 км</w:t>
            </w:r>
          </w:p>
        </w:tc>
      </w:tr>
      <w:tr w:rsidR="007C5583" w:rsidRPr="008127F8" w14:paraId="38E02148" w14:textId="77777777" w:rsidTr="004C5D62">
        <w:tc>
          <w:tcPr>
            <w:tcW w:w="5495" w:type="dxa"/>
          </w:tcPr>
          <w:p w14:paraId="18D1433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Крейсерская скорость</w:t>
            </w:r>
          </w:p>
        </w:tc>
        <w:tc>
          <w:tcPr>
            <w:tcW w:w="1099" w:type="dxa"/>
          </w:tcPr>
          <w:p w14:paraId="2F0C37F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440 км/час</w:t>
            </w:r>
          </w:p>
        </w:tc>
        <w:tc>
          <w:tcPr>
            <w:tcW w:w="1736" w:type="dxa"/>
          </w:tcPr>
          <w:p w14:paraId="02CC1EA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BBFD1C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430 км/час</w:t>
            </w:r>
          </w:p>
        </w:tc>
      </w:tr>
      <w:tr w:rsidR="007C5583" w:rsidRPr="008127F8" w14:paraId="4741B022" w14:textId="77777777" w:rsidTr="004C5D62">
        <w:tc>
          <w:tcPr>
            <w:tcW w:w="5495" w:type="dxa"/>
          </w:tcPr>
          <w:p w14:paraId="09698B1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Потолок практический</w:t>
            </w:r>
          </w:p>
        </w:tc>
        <w:tc>
          <w:tcPr>
            <w:tcW w:w="1099" w:type="dxa"/>
          </w:tcPr>
          <w:p w14:paraId="310ACE1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9500 м</w:t>
            </w:r>
          </w:p>
        </w:tc>
        <w:tc>
          <w:tcPr>
            <w:tcW w:w="1736" w:type="dxa"/>
          </w:tcPr>
          <w:p w14:paraId="0690700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E261D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7500 м</w:t>
            </w:r>
          </w:p>
        </w:tc>
      </w:tr>
      <w:tr w:rsidR="007C5583" w:rsidRPr="008127F8" w14:paraId="0F69F5BD" w14:textId="77777777" w:rsidTr="004C5D62">
        <w:tc>
          <w:tcPr>
            <w:tcW w:w="5495" w:type="dxa"/>
          </w:tcPr>
          <w:p w14:paraId="3E0EF47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Посадочная скорость</w:t>
            </w:r>
          </w:p>
        </w:tc>
        <w:tc>
          <w:tcPr>
            <w:tcW w:w="1099" w:type="dxa"/>
          </w:tcPr>
          <w:p w14:paraId="5EC5A3E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 км/час</w:t>
            </w:r>
          </w:p>
        </w:tc>
        <w:tc>
          <w:tcPr>
            <w:tcW w:w="1736" w:type="dxa"/>
          </w:tcPr>
          <w:p w14:paraId="5F2E3FA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C4D600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7C5583" w:rsidRPr="008127F8" w14:paraId="33502C7E" w14:textId="77777777" w:rsidTr="004C5D62">
        <w:tc>
          <w:tcPr>
            <w:tcW w:w="5495" w:type="dxa"/>
          </w:tcPr>
          <w:p w14:paraId="6F051D8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разбега (по грунту)</w:t>
            </w:r>
          </w:p>
        </w:tc>
        <w:tc>
          <w:tcPr>
            <w:tcW w:w="1099" w:type="dxa"/>
          </w:tcPr>
          <w:p w14:paraId="324B14B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 м</w:t>
            </w:r>
          </w:p>
        </w:tc>
        <w:tc>
          <w:tcPr>
            <w:tcW w:w="1736" w:type="dxa"/>
          </w:tcPr>
          <w:p w14:paraId="0566AB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ED743C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495 м*</w:t>
            </w:r>
          </w:p>
        </w:tc>
      </w:tr>
      <w:tr w:rsidR="007C5583" w:rsidRPr="008127F8" w14:paraId="005817D7" w14:textId="77777777" w:rsidTr="004C5D62">
        <w:tc>
          <w:tcPr>
            <w:tcW w:w="5495" w:type="dxa"/>
          </w:tcPr>
          <w:p w14:paraId="25C7B9A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 в зависимости от дальности полета изменяется следующим образом:</w:t>
            </w:r>
          </w:p>
        </w:tc>
        <w:tc>
          <w:tcPr>
            <w:tcW w:w="1099" w:type="dxa"/>
          </w:tcPr>
          <w:p w14:paraId="7A29703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36" w:type="dxa"/>
          </w:tcPr>
          <w:p w14:paraId="22C2CB3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5F9EF2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1253054" w14:textId="77777777" w:rsidTr="004C5D62">
        <w:tc>
          <w:tcPr>
            <w:tcW w:w="5495" w:type="dxa"/>
          </w:tcPr>
          <w:p w14:paraId="4E974BD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дальность</w:t>
            </w:r>
          </w:p>
        </w:tc>
        <w:tc>
          <w:tcPr>
            <w:tcW w:w="1099" w:type="dxa"/>
          </w:tcPr>
          <w:p w14:paraId="1D44CA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4000 км</w:t>
            </w:r>
          </w:p>
        </w:tc>
        <w:tc>
          <w:tcPr>
            <w:tcW w:w="1736" w:type="dxa"/>
          </w:tcPr>
          <w:p w14:paraId="7322FB9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 кг бомб</w:t>
            </w:r>
          </w:p>
        </w:tc>
        <w:tc>
          <w:tcPr>
            <w:tcW w:w="2268" w:type="dxa"/>
          </w:tcPr>
          <w:p w14:paraId="201AD9E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2FB363D5" w14:textId="77777777" w:rsidTr="004C5D62">
        <w:tc>
          <w:tcPr>
            <w:tcW w:w="5495" w:type="dxa"/>
          </w:tcPr>
          <w:p w14:paraId="4ABBEB1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99" w:type="dxa"/>
          </w:tcPr>
          <w:p w14:paraId="2635E23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3000 км</w:t>
            </w:r>
          </w:p>
        </w:tc>
        <w:tc>
          <w:tcPr>
            <w:tcW w:w="1736" w:type="dxa"/>
          </w:tcPr>
          <w:p w14:paraId="7C3509A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3000 кг бомб</w:t>
            </w:r>
          </w:p>
        </w:tc>
        <w:tc>
          <w:tcPr>
            <w:tcW w:w="2268" w:type="dxa"/>
          </w:tcPr>
          <w:p w14:paraId="19C1826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4676400" w14:textId="77777777" w:rsidTr="004C5D62">
        <w:tc>
          <w:tcPr>
            <w:tcW w:w="5495" w:type="dxa"/>
          </w:tcPr>
          <w:p w14:paraId="1009BCB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99" w:type="dxa"/>
          </w:tcPr>
          <w:p w14:paraId="609AA11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 км</w:t>
            </w:r>
          </w:p>
        </w:tc>
        <w:tc>
          <w:tcPr>
            <w:tcW w:w="1736" w:type="dxa"/>
          </w:tcPr>
          <w:p w14:paraId="272392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4000 кг бомб</w:t>
            </w:r>
          </w:p>
        </w:tc>
        <w:tc>
          <w:tcPr>
            <w:tcW w:w="2268" w:type="dxa"/>
          </w:tcPr>
          <w:p w14:paraId="1AA7DA1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E0DF337" w14:textId="77777777" w:rsidTr="004C5D62">
        <w:tc>
          <w:tcPr>
            <w:tcW w:w="5495" w:type="dxa"/>
            <w:tcBorders>
              <w:bottom w:val="single" w:sz="12" w:space="0" w:color="auto"/>
            </w:tcBorders>
          </w:tcPr>
          <w:p w14:paraId="7D74293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99" w:type="dxa"/>
            <w:tcBorders>
              <w:bottom w:val="single" w:sz="12" w:space="0" w:color="auto"/>
            </w:tcBorders>
          </w:tcPr>
          <w:p w14:paraId="6C5D2AC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 км</w:t>
            </w:r>
          </w:p>
        </w:tc>
        <w:tc>
          <w:tcPr>
            <w:tcW w:w="1736" w:type="dxa"/>
            <w:tcBorders>
              <w:bottom w:val="single" w:sz="12" w:space="0" w:color="auto"/>
            </w:tcBorders>
          </w:tcPr>
          <w:p w14:paraId="4D3FA07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 кг бомб</w:t>
            </w:r>
          </w:p>
        </w:tc>
        <w:tc>
          <w:tcPr>
            <w:tcW w:w="2268" w:type="dxa"/>
            <w:tcBorders>
              <w:bottom w:val="single" w:sz="12" w:space="0" w:color="auto"/>
            </w:tcBorders>
          </w:tcPr>
          <w:p w14:paraId="1CFBAC4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78387E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Внутрь фюзеляжа размещается 2000 кг бомб комбинациями:</w:t>
      </w:r>
    </w:p>
    <w:p w14:paraId="2A62F8F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4х500 кг</w:t>
      </w:r>
    </w:p>
    <w:p w14:paraId="31F51F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8х250 кг</w:t>
      </w:r>
    </w:p>
    <w:p w14:paraId="23B7E5D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20х100 кг</w:t>
      </w:r>
    </w:p>
    <w:p w14:paraId="60F953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Снаружи предусмотрены 3 замка для подвески 2000 кг бомбы на каждую.</w:t>
      </w:r>
    </w:p>
    <w:p w14:paraId="5802732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Основные размерности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4962"/>
      </w:tblGrid>
      <w:tr w:rsidR="007C5583" w:rsidRPr="008127F8" w14:paraId="5BA62676" w14:textId="77777777" w:rsidTr="004C5D62">
        <w:tc>
          <w:tcPr>
            <w:tcW w:w="2818" w:type="dxa"/>
            <w:tcBorders>
              <w:top w:val="single" w:sz="12" w:space="0" w:color="auto"/>
            </w:tcBorders>
          </w:tcPr>
          <w:p w14:paraId="7107C6D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пустого</w:t>
            </w:r>
          </w:p>
        </w:tc>
        <w:tc>
          <w:tcPr>
            <w:tcW w:w="2818" w:type="dxa"/>
            <w:tcBorders>
              <w:top w:val="single" w:sz="12" w:space="0" w:color="auto"/>
            </w:tcBorders>
          </w:tcPr>
          <w:p w14:paraId="526386E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8700-9000 кг</w:t>
            </w:r>
          </w:p>
        </w:tc>
        <w:tc>
          <w:tcPr>
            <w:tcW w:w="4962" w:type="dxa"/>
            <w:tcBorders>
              <w:top w:val="single" w:sz="12" w:space="0" w:color="auto"/>
            </w:tcBorders>
          </w:tcPr>
          <w:p w14:paraId="4F3C697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Моторы АМ-39</w:t>
            </w:r>
          </w:p>
        </w:tc>
      </w:tr>
      <w:tr w:rsidR="007C5583" w:rsidRPr="008127F8" w14:paraId="505D6D81" w14:textId="77777777" w:rsidTr="004C5D62">
        <w:tc>
          <w:tcPr>
            <w:tcW w:w="2818" w:type="dxa"/>
          </w:tcPr>
          <w:p w14:paraId="101E53D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крыла</w:t>
            </w:r>
          </w:p>
        </w:tc>
        <w:tc>
          <w:tcPr>
            <w:tcW w:w="2818" w:type="dxa"/>
          </w:tcPr>
          <w:p w14:paraId="7683F45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 м кв.</w:t>
            </w:r>
          </w:p>
        </w:tc>
        <w:tc>
          <w:tcPr>
            <w:tcW w:w="4962" w:type="dxa"/>
          </w:tcPr>
          <w:p w14:paraId="3F418A2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Винты - АВ9-ЕЛ116 (четырех лопастные диаметром 4,1 м)</w:t>
            </w:r>
          </w:p>
        </w:tc>
      </w:tr>
      <w:tr w:rsidR="007C5583" w:rsidRPr="008127F8" w14:paraId="42FC518B" w14:textId="77777777" w:rsidTr="004C5D62">
        <w:tc>
          <w:tcPr>
            <w:tcW w:w="2818" w:type="dxa"/>
          </w:tcPr>
          <w:p w14:paraId="2B3ED35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Размах крыла</w:t>
            </w:r>
          </w:p>
        </w:tc>
        <w:tc>
          <w:tcPr>
            <w:tcW w:w="2818" w:type="dxa"/>
          </w:tcPr>
          <w:p w14:paraId="243DA20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26-27 м</w:t>
            </w:r>
          </w:p>
        </w:tc>
        <w:tc>
          <w:tcPr>
            <w:tcW w:w="4962" w:type="dxa"/>
          </w:tcPr>
          <w:p w14:paraId="6B7D5A4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Емкость бензобаков 5600 кг</w:t>
            </w:r>
          </w:p>
        </w:tc>
      </w:tr>
      <w:tr w:rsidR="007C5583" w:rsidRPr="008127F8" w14:paraId="69811E74" w14:textId="77777777" w:rsidTr="004C5D62">
        <w:tc>
          <w:tcPr>
            <w:tcW w:w="2818" w:type="dxa"/>
          </w:tcPr>
          <w:p w14:paraId="64D12AE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Весовая отдача для веса 18000 кг</w:t>
            </w:r>
          </w:p>
        </w:tc>
        <w:tc>
          <w:tcPr>
            <w:tcW w:w="2818" w:type="dxa"/>
          </w:tcPr>
          <w:p w14:paraId="4768690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4962" w:type="dxa"/>
          </w:tcPr>
          <w:p w14:paraId="0B918AA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4437578" w14:textId="77777777" w:rsidTr="004C5D62">
        <w:tc>
          <w:tcPr>
            <w:tcW w:w="2818" w:type="dxa"/>
          </w:tcPr>
          <w:p w14:paraId="197A36A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Нагрузка на м кв. веса 18000 кг</w:t>
            </w:r>
          </w:p>
        </w:tc>
        <w:tc>
          <w:tcPr>
            <w:tcW w:w="2818" w:type="dxa"/>
          </w:tcPr>
          <w:p w14:paraId="008FC82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180-200 кг</w:t>
            </w:r>
          </w:p>
        </w:tc>
        <w:tc>
          <w:tcPr>
            <w:tcW w:w="4962" w:type="dxa"/>
          </w:tcPr>
          <w:p w14:paraId="26FEB3C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91B61D4" w14:textId="77777777" w:rsidTr="004C5D62">
        <w:tc>
          <w:tcPr>
            <w:tcW w:w="2818" w:type="dxa"/>
            <w:tcBorders>
              <w:bottom w:val="single" w:sz="12" w:space="0" w:color="auto"/>
            </w:tcBorders>
          </w:tcPr>
          <w:p w14:paraId="7AFE46F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Нагрузка на л.с. веса 18000 кг</w:t>
            </w:r>
          </w:p>
        </w:tc>
        <w:tc>
          <w:tcPr>
            <w:tcW w:w="2818" w:type="dxa"/>
            <w:tcBorders>
              <w:bottom w:val="single" w:sz="12" w:space="0" w:color="auto"/>
            </w:tcBorders>
          </w:tcPr>
          <w:p w14:paraId="07F51CB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5,63 кг</w:t>
            </w:r>
          </w:p>
        </w:tc>
        <w:tc>
          <w:tcPr>
            <w:tcW w:w="4962" w:type="dxa"/>
            <w:tcBorders>
              <w:bottom w:val="single" w:sz="12" w:space="0" w:color="auto"/>
            </w:tcBorders>
          </w:tcPr>
          <w:p w14:paraId="615AF2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2A85039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Длина разбега при применении четырехлопастного винта диаметром 4,5 м может быть доведена до 430 м для начального полетного веса 18000 кг (2164,23).</w:t>
      </w:r>
    </w:p>
    <w:p w14:paraId="4BE6AD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E1BEFA"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июня 1943 г. Приказ Наркомата авиационной промышленности СССР о выпуске заводом № 22 самолетов Пе-2 с моторами М-82Ф в варианте бомбардировщика</w:t>
      </w:r>
    </w:p>
    <w:p w14:paraId="7D68615F"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исполнение постановления Государственного Комитета Обороны от 21 июня 1943 г. приказываю:</w:t>
      </w:r>
    </w:p>
    <w:p w14:paraId="286C7093"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Начальнику 10-го Главного управления Тарасевичу, директору завода № 22 Окулову и главному конструктору т. Мясищеву:</w:t>
      </w:r>
    </w:p>
    <w:p w14:paraId="63278301"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наряду с серийным выпуском самолетов Пе-2 с мотором М-105ПФ выпустить 100 самолетов Пе-2 с моторами М-82Ф, в следующие сроки:</w:t>
      </w:r>
    </w:p>
    <w:p w14:paraId="7DD9A1C4"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 15 самолетов;</w:t>
      </w:r>
    </w:p>
    <w:p w14:paraId="211FC554"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сентябре — 35 самолетов;</w:t>
      </w:r>
    </w:p>
    <w:p w14:paraId="5AE1FB5C"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октябре — 50 самолетов;</w:t>
      </w:r>
    </w:p>
    <w:p w14:paraId="2A74DC14"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самолеты Пе-2 с моторами М-82Ф в варианте бомбардировщика выпустить со следующими данными:</w:t>
      </w:r>
    </w:p>
    <w:p w14:paraId="602BB511"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 у земли: на нормальном режиме — 460 км/час</w:t>
      </w:r>
    </w:p>
    <w:p w14:paraId="07CE4A29"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форсированном режиме — 485 км/час</w:t>
      </w:r>
    </w:p>
    <w:p w14:paraId="0FFFB979"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высоте 6000 м — 545 км/час</w:t>
      </w:r>
    </w:p>
    <w:p w14:paraId="607B21BC"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на 0,8 от максимальной скорости — 1100 км</w:t>
      </w:r>
    </w:p>
    <w:p w14:paraId="6ECA0DC6"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нормальная бомбовая нагрузка — 600 кг</w:t>
      </w:r>
    </w:p>
    <w:p w14:paraId="587F5505"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w:t>
      </w:r>
    </w:p>
    <w:p w14:paraId="27ED96D5"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вперед — один пулемет Березина калибра 12,7 мм в носовой части фюзеляжа с боезапасом 150 патронов;</w:t>
      </w:r>
    </w:p>
    <w:p w14:paraId="60C02013"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назад — один пулемет Березина калибра 12,7 мм на подвижной установке штурмана с боезапасом 200 патронов один пулемет Березина калибра 12,7 мм на люковой установке стрелка - радиста с боезапасом 200 патронов;</w:t>
      </w:r>
    </w:p>
    <w:p w14:paraId="459B69AB"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бомбовые замки в мотогондолах для подвески двух 100 кг бомб, внутренняя подвеска в фюзеляже 4-х бомб по 100 кг и 4 замка для наружной подвески бомб.</w:t>
      </w:r>
    </w:p>
    <w:p w14:paraId="7631AD1E"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первый самолет Пе-2 с мотором М-82Ф с указанными в пункте «б» данными предъявить для повторных госиспытаний в НИИ ВВС Красной Армии к 1 августа 1943 года.</w:t>
      </w:r>
    </w:p>
    <w:p w14:paraId="6ACB5C98"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Во изменение приказа НКАП от 2 июня 1943 г. освободить завод № 22 в 1943 году от выпуска самолетов Пе-2 в варианте истребителя.</w:t>
      </w:r>
    </w:p>
    <w:p w14:paraId="16AC276F"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Государственный Комитет Обороны обязал командующего ВВС Красной Армии т. Новикова обеспечить проведение в НИИ ВВС Красной Армии проверочных испытаний первого самолета Пе-2 с моторами М-82Ф в течение 15 дней.</w:t>
      </w:r>
    </w:p>
    <w:p w14:paraId="65719CAC"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авиационной промышленности СССР</w:t>
      </w:r>
      <w:r w:rsidRPr="008A2E5A">
        <w:rPr>
          <w:rFonts w:ascii="Times New Roman" w:hAnsi="Times New Roman"/>
          <w:color w:val="0070C0"/>
          <w:sz w:val="16"/>
          <w:szCs w:val="16"/>
        </w:rPr>
        <w:tab/>
        <w:t>А. Шахурин</w:t>
      </w:r>
    </w:p>
    <w:p w14:paraId="52945A09"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Р-2845. Оп. 3. Д. 184. Л. 254-254 об. Заверенная копия (23704).</w:t>
      </w:r>
    </w:p>
    <w:p w14:paraId="204EE629" w14:textId="77777777" w:rsidR="00AF6A30" w:rsidRPr="008A2E5A" w:rsidRDefault="00AF6A30" w:rsidP="00AF6A30">
      <w:pPr>
        <w:spacing w:after="0" w:line="240" w:lineRule="auto"/>
        <w:jc w:val="both"/>
        <w:rPr>
          <w:rFonts w:ascii="Times New Roman" w:hAnsi="Times New Roman"/>
          <w:color w:val="0070C0"/>
          <w:sz w:val="16"/>
          <w:szCs w:val="16"/>
        </w:rPr>
      </w:pPr>
    </w:p>
    <w:p w14:paraId="60854447"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мая 1943 г. московские власти одними из первых приняли решение о внедрении поточной системы производства на авиазаводах столицы, а к осени 1943 г. этот метод стал внедряться повсеместно, чему содействовал выпущенный в начале октября 1943 г. приказ НКАП «Об организации поточных методов производства» (23472).</w:t>
      </w:r>
    </w:p>
    <w:p w14:paraId="73994D81" w14:textId="77777777" w:rsidR="00AF6A30" w:rsidRPr="008A2E5A" w:rsidRDefault="00AF6A30" w:rsidP="00AF6A30">
      <w:pPr>
        <w:spacing w:after="0" w:line="240" w:lineRule="auto"/>
        <w:jc w:val="both"/>
        <w:rPr>
          <w:rFonts w:ascii="Times New Roman" w:hAnsi="Times New Roman"/>
          <w:color w:val="0070C0"/>
          <w:sz w:val="16"/>
          <w:szCs w:val="16"/>
        </w:rPr>
      </w:pPr>
    </w:p>
    <w:p w14:paraId="6BA4F4B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24E143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E900FD" w14:textId="77777777" w:rsidR="00AF6A30" w:rsidRPr="008A2E5A" w:rsidRDefault="00AF6A30" w:rsidP="00AF6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мая 1942 г. нарком В.А. Малышев в приказе № 205-М отметил систематическое нарушение технологической дисциплины на заводе № 112, в частности, самовольное изменение марок заменителей стали без предварительного утверждения главного инженера. Это стоило должности главному инженеру завода Бондарко (РГАЭ. Ф. 8752. Оп. 1. Д. 10. Л. 13.) (23540).</w:t>
      </w:r>
    </w:p>
    <w:p w14:paraId="5BD7D43B" w14:textId="77777777" w:rsidR="00AF6A30" w:rsidRPr="008A2E5A" w:rsidRDefault="00AF6A30" w:rsidP="00AF6A30">
      <w:pPr>
        <w:spacing w:after="0" w:line="240" w:lineRule="auto"/>
        <w:jc w:val="both"/>
        <w:rPr>
          <w:rFonts w:ascii="Times New Roman" w:hAnsi="Times New Roman"/>
          <w:color w:val="0070C0"/>
          <w:sz w:val="16"/>
          <w:szCs w:val="16"/>
        </w:rPr>
      </w:pPr>
    </w:p>
    <w:p w14:paraId="786B1B5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мая 1942 г. был введен в строй Завод № 527 (Завод № 527 НКБ, п/я 68 /г. Люберцы Московской обл. п/я 68 «Пакет» (1943 г.)/), размещенный на площадке бывшего завода силикатного кирпича НКС. Реконструкция завода закончена 15.10.1942 г. В составе завода цехи (1943 г.): основные: главный корпус; вспомогательные: деревотарный, механическая мастерская, насосная, котельная.</w:t>
      </w:r>
    </w:p>
    <w:p w14:paraId="40048E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12.1942 г.-введении 1ГУ НКБ, был в 11.1943 г. Имел обозначение «п/я 68» (1943 г.).</w:t>
      </w:r>
    </w:p>
    <w:p w14:paraId="09D7EF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(04.1943 г.): территории- 30 га, производственная- 5400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вспомогательная- 2085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3C099C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(12.1942 г.)- 491 чел., (04.1943 г.)- 400 чел.</w:t>
      </w:r>
    </w:p>
    <w:p w14:paraId="57CDEA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(04.1943 г.)- Волков.</w:t>
      </w:r>
    </w:p>
    <w:p w14:paraId="1199D3B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 гл. инженера (04.1943 г.)- Бабышев.</w:t>
      </w:r>
    </w:p>
    <w:p w14:paraId="555AD94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мина ЯМ-5К (1943) (11982).</w:t>
      </w:r>
    </w:p>
    <w:p w14:paraId="194E90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19970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мая 1942 г. Приказом НКБ Завод № 676 НКБ, ФГУП «Самарский завод «Коммунар» Росбоеприпаса /пос. Петра Дубрава Куйбышевской обл./ /443546 пос. Петра Дубрава Самарской обл. ул. Коммунаров, 3/ пущен в эксплуатацию, а 18.07.1942 г. выдал первую партию дымного ружейного пороха (этот день считается днем рождения завода). До конца года выпущено 150 т дымных порохов и 100 тыс. м огнепроводного шнура.</w:t>
      </w:r>
    </w:p>
    <w:p w14:paraId="4EC4C3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завод продолжал развиваться, расширен ассортимент продукции. С 1961 г. освоено производство эмульсионных красок, с 1962 г.- раскладных кроватей.</w:t>
      </w:r>
    </w:p>
    <w:p w14:paraId="6D81C1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(2000-е  г.): дымные пороха: охотничий, шнуровой для взрывных работ; охотничьи патроны 12 и 16 калибра, сигнальные патроны; лакокрасочная продукция, раскладные кровати, тенты для автомобилей, рукавицы нефтестойкие.</w:t>
      </w:r>
    </w:p>
    <w:p w14:paraId="25E00E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Указу Президента РФ № 1009 от 4.08.2004 г. ФГУП вошло в число стратегических оборонных предприятий.</w:t>
      </w:r>
    </w:p>
    <w:p w14:paraId="1F9C9C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(12.1942 г.)- 864 чел. (11982).</w:t>
      </w:r>
    </w:p>
    <w:p w14:paraId="56283A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4C199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мая 1942 г. состоялось РЕШЕНИЕ АТУ ГАБТУ В НКВТ СССР О ЗАКАЗЕ МАШИН ФИРМЫ «БЕДФОРД» МОДЕЛИ «QL»</w:t>
      </w:r>
    </w:p>
    <w:p w14:paraId="627DFEB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своей тактико-технической характеристике грузовой автомобиль «Бедфорд», модели «QL» (3-тонный с 4 ведущими колесами) является чрезвычайно ценной машиной для Красной Армии.</w:t>
      </w:r>
    </w:p>
    <w:p w14:paraId="16A14B9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Необходимо заказать фирме «Бедфорд» для НКО СССР возможно большее количество машин этой модели.</w:t>
      </w:r>
    </w:p>
    <w:p w14:paraId="44DD673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АТУ ГАБТУ КА генерал-майор технических войск Тягунов</w:t>
      </w:r>
    </w:p>
    <w:p w14:paraId="7CCCE1B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АТУ ГАБТУ КА полковой комиссар Лозовский</w:t>
      </w:r>
    </w:p>
    <w:p w14:paraId="5AFC5A03"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11386. Д. 123. Л. 83. Копия (11211).</w:t>
      </w:r>
    </w:p>
    <w:p w14:paraId="1E15FCD5"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kern w:val="65535"/>
          <w:sz w:val="16"/>
          <w:szCs w:val="16"/>
        </w:rPr>
      </w:pPr>
    </w:p>
    <w:p w14:paraId="4C9145C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мая 1942 вышло Постановление ГКО № 1809 Об организации Всесоюзного социалистического соревнования предприятий нефтяной промышленности. РГАНИР, Фонд ГКО, д. 36, лл. 93, 94-98 (11012).</w:t>
      </w:r>
    </w:p>
    <w:p w14:paraId="7C2DD6C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9660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мая 1942 вышло Постановление ГКО № 1810 Об организации Всесоюзного социалистического соревнования заводов Наркомсудпрома. РГАНИР, Фонд ГКО, д. 36, лл. 99, 100-102 (11012).</w:t>
      </w:r>
    </w:p>
    <w:p w14:paraId="7503A2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846DF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мая 1942 вышло Постановление ГКО № 1811 Об организации ремонта электрических машин для электроподвижного состава на [Московском электро-механическом ремонтном] заводе НКПС. (7036, 103,104-105).</w:t>
      </w:r>
    </w:p>
    <w:p w14:paraId="1E7B4951"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B85E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мая 1942 вышло Постановление ГКО № 1812 О подготовке в производство нового вида артиллерийского щелевого авиафотоаппарата АЩАФА-2. РГАНИР, Фонд ГКО, д. 36, лл. 106 (11012).</w:t>
      </w:r>
    </w:p>
    <w:p w14:paraId="0E1A99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81620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25 мая 1942 года была подготовлена справка:</w:t>
      </w:r>
    </w:p>
    <w:p w14:paraId="579B96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526 НКВ эвакуирован в Сталинск (Новокузнецк) (9212).</w:t>
      </w:r>
    </w:p>
    <w:p w14:paraId="06F880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692F6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23 мая 1942 г. в соответствии с распоряжением СНК СССР на территории эвакуированного завода № 251 был образован Завод № 706 НКСП, Московский завод электромеханической аппаратуры (МЗЭМА) </w:t>
      </w:r>
      <w:r w:rsidRPr="008127F8">
        <w:rPr>
          <w:rFonts w:ascii="Times New Roman" w:hAnsi="Times New Roman"/>
          <w:color w:val="000000" w:themeColor="text1"/>
          <w:sz w:val="16"/>
          <w:szCs w:val="16"/>
          <w:lang w:val="en-US"/>
        </w:rPr>
        <w:t>MOM</w:t>
      </w:r>
      <w:r w:rsidRPr="008127F8">
        <w:rPr>
          <w:rFonts w:ascii="Times New Roman" w:hAnsi="Times New Roman"/>
          <w:color w:val="000000" w:themeColor="text1"/>
          <w:sz w:val="16"/>
          <w:szCs w:val="16"/>
        </w:rPr>
        <w:t>, «Завод электромеханической аппаратуры», ГП, ФГУП «МЗЭМА» /г. Москва ул. Авиамоторная, 55 тел. 273-52-51/. Сюда эвакуирована часть завода № 212 НКСП из Ленинграда.</w:t>
      </w:r>
      <w:r w:rsidRPr="008127F8">
        <w:rPr>
          <w:rFonts w:ascii="Times New Roman" w:hAnsi="Times New Roman"/>
          <w:color w:val="000000" w:themeColor="text1"/>
          <w:sz w:val="16"/>
          <w:szCs w:val="16"/>
          <w:vertAlign w:val="superscript"/>
        </w:rPr>
        <w:t>61</w:t>
      </w:r>
    </w:p>
    <w:p w14:paraId="0C4CCF3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27.01.1944 г. вышло постановление ГКО № 5031 о производстве на заводе морских артиллерийских и гироскопических систем, обеспечивающих совместную работу с РЛУ.</w:t>
      </w:r>
    </w:p>
    <w:p w14:paraId="79B59B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Серийное производство гироскопической аппаратуры для РКТ (1960-е).</w:t>
      </w:r>
    </w:p>
    <w:p w14:paraId="47123A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1975 г. МЗЭМА вместе с НИИПМ и осташковским заводом «Звезда» вошел в состав созданного НПО «Ротор».</w:t>
      </w:r>
    </w:p>
    <w:p w14:paraId="216D300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2000 г. - «Завод электромеханической аппаратуры». По Указу Президента РФ № 1009 от 4.08.2004 г. вошел в число стратегических оборонных предприятий.</w:t>
      </w:r>
    </w:p>
    <w:p w14:paraId="74D7967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(2000 г.)- Л.Н. Шумов.</w:t>
      </w:r>
    </w:p>
    <w:p w14:paraId="0DB52A7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СКБ завода № 706 НКСП</w:t>
      </w:r>
    </w:p>
    <w:p w14:paraId="7A2B67E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8127F8">
        <w:rPr>
          <w:rFonts w:ascii="Times New Roman" w:hAnsi="Times New Roman"/>
          <w:color w:val="000000" w:themeColor="text1"/>
          <w:sz w:val="16"/>
          <w:szCs w:val="16"/>
        </w:rPr>
        <w:t>В соответствии с распоряжением ГКО № 2590 от 7.12.1942 г. СКБ завода № 706 НКСП с его тематикой влито в состав СКБ НКСП.</w:t>
      </w:r>
      <w:r w:rsidRPr="008127F8">
        <w:rPr>
          <w:rFonts w:ascii="Times New Roman" w:hAnsi="Times New Roman"/>
          <w:color w:val="000000" w:themeColor="text1"/>
          <w:sz w:val="16"/>
          <w:szCs w:val="16"/>
          <w:vertAlign w:val="superscript"/>
        </w:rPr>
        <w:t>1</w:t>
      </w:r>
    </w:p>
    <w:p w14:paraId="6E3E041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НПО «Ротор» </w:t>
      </w:r>
      <w:r w:rsidRPr="008127F8">
        <w:rPr>
          <w:rFonts w:ascii="Times New Roman" w:hAnsi="Times New Roman"/>
          <w:color w:val="000000" w:themeColor="text1"/>
          <w:sz w:val="16"/>
          <w:szCs w:val="16"/>
          <w:lang w:val="en-US"/>
        </w:rPr>
        <w:t>MOM</w:t>
      </w:r>
      <w:r w:rsidRPr="008127F8">
        <w:rPr>
          <w:rFonts w:ascii="Times New Roman" w:hAnsi="Times New Roman"/>
          <w:color w:val="000000" w:themeColor="text1"/>
          <w:sz w:val="16"/>
          <w:szCs w:val="16"/>
        </w:rPr>
        <w:t>, ГП «НПО «Ротор» /111123  г. Москва ул. Авиамоторная, 55 тел. 176-16-93/</w:t>
      </w:r>
    </w:p>
    <w:p w14:paraId="5C30249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НПО «Ротор» создано в 1975 г. В его состав вошли МЗЭМА, НИИПМ и осташковский завод «Звезда» (вероятно, этот завод в соответствии с Указом Президента РФ № 804 от 26.06.2007 г. и распоряжением правительства № 1066-р от 17.08.2007 г. с 10.10.2008 г. вошел в состав НПЦАП в качестве филиала).</w:t>
      </w:r>
    </w:p>
    <w:p w14:paraId="3DF8E2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НПО являлось одной из основных научно-исследовательских баз космической промышленности (2002 г.). Разработка и производство (2002 г.): электромеханические устройства; навигационное оборудование; датчики.</w:t>
      </w:r>
    </w:p>
    <w:p w14:paraId="101A83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(2002 г.)- Ю.С. Сарымов.</w:t>
      </w:r>
    </w:p>
    <w:p w14:paraId="643346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ген. конструктор (1975-80-е)- В.И. Кузнецов, И.Н. Сапожников.</w:t>
      </w:r>
    </w:p>
    <w:p w14:paraId="1E17F82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(1980-е)- О.Ю. Райхман, (2002 г.)- А.А. Колесников.</w:t>
      </w:r>
    </w:p>
    <w:p w14:paraId="1898A9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исследовательского комплекса физиологии и человеческого фактора (2002 г.)- И.А. Гуськов; международного отдела (2002 г.)-  Г.К. Жеглова.</w:t>
      </w:r>
      <w:r w:rsidRPr="008127F8">
        <w:rPr>
          <w:rFonts w:ascii="Times New Roman" w:hAnsi="Times New Roman"/>
          <w:color w:val="000000" w:themeColor="text1"/>
          <w:sz w:val="16"/>
          <w:szCs w:val="16"/>
          <w:vertAlign w:val="superscript"/>
        </w:rPr>
        <w:t>69</w:t>
      </w:r>
    </w:p>
    <w:p w14:paraId="33A37F0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гироскопические командные приборы для управляемого ББ 15Ф178 (1980-е) (11982).</w:t>
      </w:r>
    </w:p>
    <w:p w14:paraId="224C449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F159E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0120FF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FA460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25 мая</w:t>
      </w:r>
      <w:r w:rsidRPr="008127F8">
        <w:rPr>
          <w:rFonts w:ascii="Times New Roman" w:hAnsi="Times New Roman"/>
          <w:color w:val="000000" w:themeColor="text1"/>
          <w:sz w:val="16"/>
          <w:szCs w:val="16"/>
        </w:rPr>
        <w:t xml:space="preserve"> в 1942 году утреннее сообщение Совинформбюро:</w:t>
      </w:r>
    </w:p>
    <w:p w14:paraId="2F5E2EB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25 мая на Харьковском направлении наши войска, закрепляя занятые рубежи, вели наступательные бои.</w:t>
      </w:r>
    </w:p>
    <w:p w14:paraId="4B334C6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Изюм-Барвенковском (направлении наши войска вели оборонительные бои с танками и пехотой противника.</w:t>
      </w:r>
    </w:p>
    <w:p w14:paraId="0A077D3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существенных изменений не произошло.</w:t>
      </w:r>
    </w:p>
    <w:p w14:paraId="5C5B606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Харьковском направлении немецкой пехоте ценой больших жертв удалось на одном из участков вклиниться в расположение советских войск. Контрударами с флангов наши бойцы отбросили противника с большими: для него потерями. Гитлеровцы потеряли 750 человек убитыми. Взяты трофеи: 5 противотанковых орудий,11 станковых пулемётов, 3 крупнокалиберных пулемёта, 2 миномёта и много винтовок.</w:t>
      </w:r>
    </w:p>
    <w:p w14:paraId="388D21F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Изюм-Барвенковском направлении, отбила ожесточённую атаку пехоты и танков противника. Немцы понесли большие потери. Нашими бойцами подбито 8 танков противника.</w:t>
      </w:r>
    </w:p>
    <w:p w14:paraId="195CA11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Ленинградского фронта два батальона противника при поддержке 5 танков атаковали нашу часть. В упорном бою наши бойцы уничтожили 3 немецких танка и до 300 гитлеровцев.</w:t>
      </w:r>
    </w:p>
    <w:p w14:paraId="119D27E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Северо-Западного фронта наша часть выбила немцев из населённого пункта В. и продолжает продвигаться вперёд. Противник потерял убитыми 400 солдат и офицеров. Уничтожено 11 вражеских ДЗОТов, 5 станковых пулемётов и взорвано 2 склада с боеприпасами.</w:t>
      </w:r>
    </w:p>
    <w:p w14:paraId="5510B15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Зенитная батарея старшего лейтенанта тов. Вялкина за шесть дней подбила 5 немецких самолётов.</w:t>
      </w:r>
    </w:p>
    <w:p w14:paraId="7C7144E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калининских партизан под командованием тов. Ш. взорвал железнодорожный мост и пустил под откос воинский эшелон противника. Уничтожено свыше 100 немецких солдат и офицеров.</w:t>
      </w:r>
    </w:p>
    <w:p w14:paraId="206E39E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2 роты 1 батальона 408 полка 121 немецкой пехотной дивизии Петер Росс рассказал: «...Командование бросило наш батальон на помощь полицейской дивизии «СС». Вечером советские танки прорвали наши укрепления, а следовавшая за танками пехота начала атаку. Наш батальон понёс колоссальные потери и отступил. В нашей части солдатам запретили говорить о том, когда кончится война. Несмотря на все запреты, солдаты между собой очень много говорят на эту тему. Все считают, что Германия долго не выдержит. За последнее время военно-полевой суд приговорил несколько солдат к расстрелу за антивоенные и пораженческие настроения».</w:t>
      </w:r>
    </w:p>
    <w:p w14:paraId="3FAF10E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ефрейтор Фукс недавно писал: родным: «...Мы ведём кровопролитные бои. Дел у нас по горло. Против нашей части действует свыше 500 русских. Это очень хорошо обученные и чертовски выносливые солдаты. Уже пять суток мы всё время на ногах. Стрельба не прекращается ни на минуту. Повсюду лежат убитые и очень много раненых, но подбирать их нет возможности».</w:t>
      </w:r>
    </w:p>
    <w:p w14:paraId="3A294A0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Немецко-фашистские изверги в деревне Новая, Ленинградской области, долго пытали, а затем повесили колхозника Евдокимова на пороге его дома на глазах жены и трёх малолетних детей. Подлые бандиты не разрешали снимать повешенного в течение семи дней. Жена Евдокимова сошла с ума.</w:t>
      </w:r>
    </w:p>
    <w:p w14:paraId="5D0A115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Югославские патриоты ведут самоотверженную борьбу против оккупантов. 16 мая партизаны организовали крушение воинского эшелона. Под обломками вагонов погибло более 150 итальянских солдат. В районе Крушеваца произошёл бой между оккупантамии партизанским отрядом. Партизаны истребили 165 солдат и несколько офицеров противника. Югославские патриоты захватили много оружия и боеприпасов.» (14902).</w:t>
      </w:r>
    </w:p>
    <w:p w14:paraId="6648EB4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6781D5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25 мая</w:t>
      </w:r>
      <w:r w:rsidRPr="008127F8">
        <w:rPr>
          <w:rFonts w:ascii="Times New Roman" w:hAnsi="Times New Roman"/>
          <w:color w:val="000000" w:themeColor="text1"/>
          <w:sz w:val="16"/>
          <w:szCs w:val="16"/>
        </w:rPr>
        <w:t xml:space="preserve"> в 1942 году вечернее сообщение Совинформбюро:</w:t>
      </w:r>
    </w:p>
    <w:p w14:paraId="1909DB0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25 мая на Харьковском направлении продолжались бои.</w:t>
      </w:r>
    </w:p>
    <w:p w14:paraId="2A23BE1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Изюм-Барвенковском направлении наши войска вели ожесточённые бои с танкамии пехотой противника.</w:t>
      </w:r>
    </w:p>
    <w:p w14:paraId="3840FE9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остальных участках фронта ничего существенного не произошло.</w:t>
      </w:r>
    </w:p>
    <w:p w14:paraId="3074504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24 мая уничтожено 10 немецких самолётов. Наши потери — 7 самолётов.</w:t>
      </w:r>
    </w:p>
    <w:p w14:paraId="7937C68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24 мая частями нашей авиации на разных участках фронта уничтожено или повреждено 19 немецких танков, 160 автомашин с войсками и грузами, 5 бензозаправщиков, железнодорожный состав цистерн с горючим, рассеяно и частью уничтожено до пяти рот пехоты противника.</w:t>
      </w:r>
    </w:p>
    <w:p w14:paraId="6BC8C92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отбивая атаки противника на одном из участков Изюм-Бравенковского направления, за три дня боёв уничтожила 11 немецких танков, 3 бронемашины, 8 орудий противотанковой обороны, 170 автомашин с войсками и грузами, склад с боеприпасами и более 500 немецких солдат и офицеров. Вчера на этом же участке бойцы под командованием старшего лейтенанта Мариненко отбили контратаку противника и уничтожили 80 гитлеровцев. Отважно дрались с врагом наши танкисты. Экипаж танка лейтенанта Беляева метким огнём сжёг три немецких танка и уничтожилдо 100 немцев. Экипаж танка младшего лейтенанта Николаева уничтожил 4 ДЗОТа, несколько орудий и 28 автомашин с пехотой противника.</w:t>
      </w:r>
    </w:p>
    <w:p w14:paraId="10D953A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дня на Южном фронте произошло несколько воздушных боёв. Старший лейтенант Лапушкин сбил два немецких самолёта. Сержант Свитков уничтожил фашистский бомбардировщик. Младший лейтенант Утянский сбил «Юнкерс-88». Во время боя на него напал немецкий истребитель. Удачным манёвром Утянский зашёл врагу в хвост и пропеллером отрубил хвостовое оперение немецкой машины. «Мессершмитт» рухнул на землю. Тов. Утянский благополучно совершил посадку на своём аэродроме.</w:t>
      </w:r>
    </w:p>
    <w:p w14:paraId="7C6B04F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Лейтенант-орденоносец тов. Шамахов, командир орудия тов. Свинаренко, наводчик Трибунов и 6 красноармейцев незаметно подобрались к трём немецким танкам и открыли огонь по экипажам, вышедшим из машин. Гитлеровцы в панике разбежались. Наши бойцы захватили немецкие танки и доставили их в свою часть.</w:t>
      </w:r>
    </w:p>
    <w:p w14:paraId="30AA1C4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под командованием тов. Рябухина (Калининский фронт) отбила контратаку немцев с большими для них потерями. На поле боя осталось более 250 трупов солдат и офицеров противника. На другом участке артиллеристы части, где командиром тов. Гришин, уничтожили артиллерийскую и несколько миномётных батарей противника, 7 автомашин и до 100 гитлеровцев.</w:t>
      </w:r>
    </w:p>
    <w:p w14:paraId="090C5BA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мая партизаны отрядов под командованием т.т. В., Л. и И.,действующие в оккупированных немцами районах Ленинградской области, истребили 1.200 немецко-фашистских захватчиков. Партизаны сожгли 12 танков противника, пустили под откос 4 воинских эшелона и один бронепоезд, взорвали 8 складов с боеприпасами и 4 склада с горючим.</w:t>
      </w:r>
    </w:p>
    <w:p w14:paraId="3A254A3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13 роты 208 немецкого пехотного полка Иоганн Кнопп рассказал: «Накануне последнего боя, в котором я участвовал, два взвода 13 роты были приданы второму батальону 208 полка. Вскоре батальон попал в окружение, и началась паника. Бросили орудия, снаряжение и раненых, но почти никому убежать не удалось. Такого стремительного и мощного наступления русских никто из нас не ожидал».</w:t>
      </w:r>
    </w:p>
    <w:p w14:paraId="439E234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Пленный финский солдат Вейкко Юнтунен рассказал: «Война принесла Финляндии неисчислимые бедствия. Чтобы не умереть с голоду, многие крестьяне вынуждены были съесть семенной хлеб. У моего отца забрали весь хлеб, всё сено и даже картофель, оставленный на семена. В нашей деревне Койсила осталось всего 3 лошади, остальные взяты в армию. Семян нет, лошадей нет. При всём желании голодающие крестьяне не могут засеять свои поля» (14902).</w:t>
      </w:r>
    </w:p>
    <w:p w14:paraId="24BC7D8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E28DE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мая 1942 звено Ил-2 от 7-го гшап 230-й шад в составе ст. лейтенанта Мосьпанова, лейтенанта Бойко и мл. лейтенанта Артемова удачно атаковало немецкие самолеты на аэродроме около Константиновки. По данным разведки на аэродроме имелось до 90 самолетов различных типов. Штурмовики подошли к аэродрому с юго-восточной стороны на предельно малой высоте. Атака производилась с выскакиванием на высоту 100-150 м.</w:t>
      </w:r>
    </w:p>
    <w:p w14:paraId="30F3F1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Появление Ил-2 оказалось для немецких зенитчиков совершенно неожиданным. Прицельный зенитный огонь был открыт, когда экипажи уже выполнили по три захода. По докладам летчиков было сожжено и повреждено около 22 немецких самолетов. За успешное выполнение боевой задачи ведущий группы ст. лейтенант Мосьпанов был представлен командованием к третьей правительственной награде - ордену Ленина (12020).</w:t>
      </w:r>
    </w:p>
    <w:p w14:paraId="198BA8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C0C6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период с 25 по 29 мая 1942 г. в 4./ Sch.G.1 (аэродром Барвенково в 60 км северо-западнее Константиновки) находилась группа специалистов Генерального штаба люфтваффе в составе инспектирующего капитана Майнардуса (летчика, имеющего опыт применения пушек МК101) и штабного инженера Гецнера из 3-й инспекции и главного инженера Шиллинга из 5-й инспекции. В их задачу входило оказание помощи личному составу 4-й эскадрильи в практическом применении для борьбы с советскими танками пушек МК101 и снарядов к ним.</w:t>
      </w:r>
    </w:p>
    <w:p w14:paraId="0794C6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Пушки МК101 и снаряды к ним были поставлены в группу на основании распоряжения начальника 5-й инспекции генерального штаба люфтваффе № 959/42 от 31 марта 1942 г. Однако у летного и технического состава 4-й эскадрильи к моменту прибытия инспектирующей группы не было никакого опыта применения пушки и снарядов (8907).</w:t>
      </w:r>
    </w:p>
    <w:p w14:paraId="7198C2C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74699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25 по 29 мая 1942 г. в 4./5сИ.С.1 (аэродром Барвенково в 60 км северо- западнее Константиновки), согласно отчету № 210/42 от на имя командующего истребительной авиации люфтваффе о проведении полигонных испытаний пушек МК101 стрельбой в воздухе с самолета Нз 129В-1 по танкам КВ-1, находилась группа специалистов Генерального штаба люфтваффе. В их задачу входило оказание помощи личному составу 4-й эскадрильи в практическом применении для борьбы с советскими танками пушек МК101 и снаря</w:t>
      </w:r>
      <w:r w:rsidRPr="008127F8">
        <w:rPr>
          <w:rFonts w:ascii="Times New Roman" w:hAnsi="Times New Roman"/>
          <w:color w:val="000000" w:themeColor="text1"/>
          <w:sz w:val="16"/>
          <w:szCs w:val="16"/>
        </w:rPr>
        <w:softHyphen/>
        <w:t>дов к ним.</w:t>
      </w:r>
    </w:p>
    <w:p w14:paraId="69047D7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и 28 мая была организована прак</w:t>
      </w:r>
      <w:r w:rsidRPr="008127F8">
        <w:rPr>
          <w:rFonts w:ascii="Times New Roman" w:hAnsi="Times New Roman"/>
          <w:color w:val="000000" w:themeColor="text1"/>
          <w:sz w:val="16"/>
          <w:szCs w:val="16"/>
        </w:rPr>
        <w:softHyphen/>
        <w:t>тическая стрельба по находящимся неда</w:t>
      </w:r>
      <w:r w:rsidRPr="008127F8">
        <w:rPr>
          <w:rFonts w:ascii="Times New Roman" w:hAnsi="Times New Roman"/>
          <w:color w:val="000000" w:themeColor="text1"/>
          <w:sz w:val="16"/>
          <w:szCs w:val="16"/>
        </w:rPr>
        <w:softHyphen/>
        <w:t>леко от аэродрома танкам КВ-1, подбитых немецкими танкистами в ходе операции по окружению советских войск в районе Барвенковского выступа.</w:t>
      </w:r>
    </w:p>
    <w:p w14:paraId="6C4EC28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в течение дня четырьмя экипа</w:t>
      </w:r>
      <w:r w:rsidRPr="008127F8">
        <w:rPr>
          <w:rFonts w:ascii="Times New Roman" w:hAnsi="Times New Roman"/>
          <w:color w:val="000000" w:themeColor="text1"/>
          <w:sz w:val="16"/>
          <w:szCs w:val="16"/>
        </w:rPr>
        <w:softHyphen/>
        <w:t>жами было выполнено 12 самолето-вы</w:t>
      </w:r>
      <w:r w:rsidRPr="008127F8">
        <w:rPr>
          <w:rFonts w:ascii="Times New Roman" w:hAnsi="Times New Roman"/>
          <w:color w:val="000000" w:themeColor="text1"/>
          <w:sz w:val="16"/>
          <w:szCs w:val="16"/>
        </w:rPr>
        <w:softHyphen/>
        <w:t>летов. Атаки выполнялись с пикирования под углами 10-30' строго поперек танка. Стрельба велась подкалиберными снаря</w:t>
      </w:r>
      <w:r w:rsidRPr="008127F8">
        <w:rPr>
          <w:rFonts w:ascii="Times New Roman" w:hAnsi="Times New Roman"/>
          <w:color w:val="000000" w:themeColor="text1"/>
          <w:sz w:val="16"/>
          <w:szCs w:val="16"/>
        </w:rPr>
        <w:softHyphen/>
        <w:t>дами с вольфрамовым сердечником.</w:t>
      </w:r>
    </w:p>
    <w:p w14:paraId="2489B5F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испытаниям бронебойный снаряд 101 обладает достаточ</w:t>
      </w:r>
      <w:r w:rsidRPr="008127F8">
        <w:rPr>
          <w:rFonts w:ascii="Times New Roman" w:hAnsi="Times New Roman"/>
          <w:color w:val="000000" w:themeColor="text1"/>
          <w:sz w:val="16"/>
          <w:szCs w:val="16"/>
        </w:rPr>
        <w:softHyphen/>
        <w:t>ной бронепробиваемостью и может быть с успехом использован на Нз129 из МК101 для подавления тяжелых русских танков...».</w:t>
      </w:r>
    </w:p>
    <w:p w14:paraId="5217C25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Анализ фотографий «расстрелянного» КВ-1 позволяет сделать вывод, что специ</w:t>
      </w:r>
      <w:r w:rsidRPr="008127F8">
        <w:rPr>
          <w:rFonts w:ascii="Times New Roman" w:hAnsi="Times New Roman"/>
          <w:color w:val="000000" w:themeColor="text1"/>
          <w:sz w:val="16"/>
          <w:szCs w:val="16"/>
        </w:rPr>
        <w:softHyphen/>
        <w:t>алисты генштаба люфтваффе и летный состав 4./5сН.С.1, мягко скажем, «втирали очки» своему начальству и выдавали жела</w:t>
      </w:r>
      <w:r w:rsidRPr="008127F8">
        <w:rPr>
          <w:rFonts w:ascii="Times New Roman" w:hAnsi="Times New Roman"/>
          <w:color w:val="000000" w:themeColor="text1"/>
          <w:sz w:val="16"/>
          <w:szCs w:val="16"/>
        </w:rPr>
        <w:softHyphen/>
        <w:t>емое за действительное.</w:t>
      </w:r>
    </w:p>
    <w:p w14:paraId="7487611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Свои выводы они построили на том факте, что один из снарядов попал в сварной шов соединения кормового бронелиста башни и прошел по шву на глуби</w:t>
      </w:r>
      <w:r w:rsidRPr="008127F8">
        <w:rPr>
          <w:rFonts w:ascii="Times New Roman" w:hAnsi="Times New Roman"/>
          <w:color w:val="000000" w:themeColor="text1"/>
          <w:sz w:val="16"/>
          <w:szCs w:val="16"/>
        </w:rPr>
        <w:softHyphen/>
        <w:t>ну около 120 мм. Ясно, что это весьма и весьма редкий случай. При этом никаких разрушений внутри танка быть не могло. То, что в других случаях не было и намека на сквозные пробоины и серьезные по</w:t>
      </w:r>
      <w:r w:rsidRPr="008127F8">
        <w:rPr>
          <w:rFonts w:ascii="Times New Roman" w:hAnsi="Times New Roman"/>
          <w:color w:val="000000" w:themeColor="text1"/>
          <w:sz w:val="16"/>
          <w:szCs w:val="16"/>
        </w:rPr>
        <w:softHyphen/>
        <w:t>вреждения элементов конструкции танка в расчет почему-то не принималось...</w:t>
      </w:r>
    </w:p>
    <w:p w14:paraId="08A589C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Реально бронебойный снаряд к этой пушке с 300 м при угле встречи 0° снаряд пробивал только броню толщиной до 44 мм, а подкалиберный - до 52 мм.</w:t>
      </w:r>
    </w:p>
    <w:p w14:paraId="51A25A1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 есть тяжелые советские танки не по</w:t>
      </w:r>
      <w:r w:rsidRPr="008127F8">
        <w:rPr>
          <w:rFonts w:ascii="Times New Roman" w:hAnsi="Times New Roman"/>
          <w:color w:val="000000" w:themeColor="text1"/>
          <w:sz w:val="16"/>
          <w:szCs w:val="16"/>
        </w:rPr>
        <w:softHyphen/>
        <w:t>ражались ни при каких условиях атаки.</w:t>
      </w:r>
    </w:p>
    <w:p w14:paraId="5C6758A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Вот поражение бортовой и башенной брони советских легких танков типа Т-60 и Т-70 специальными подкалиберными снарядами было возможным практически с любого направления атаки и дистанций стрельбы до 400-500 м. Правда, надмоторная броня и крыша башни при этом не поражались.</w:t>
      </w:r>
    </w:p>
    <w:p w14:paraId="03C019B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Анализ схемы бронирования советско</w:t>
      </w:r>
      <w:r w:rsidRPr="008127F8">
        <w:rPr>
          <w:rFonts w:ascii="Times New Roman" w:hAnsi="Times New Roman"/>
          <w:color w:val="000000" w:themeColor="text1"/>
          <w:sz w:val="16"/>
          <w:szCs w:val="16"/>
        </w:rPr>
        <w:softHyphen/>
        <w:t>го среднего танка Т-34-76 и возможностей пушки МК101 показывает, что при углах пикирования Нз129 около 25-30° подкали</w:t>
      </w:r>
      <w:r w:rsidRPr="008127F8">
        <w:rPr>
          <w:rFonts w:ascii="Times New Roman" w:hAnsi="Times New Roman"/>
          <w:color w:val="000000" w:themeColor="text1"/>
          <w:sz w:val="16"/>
          <w:szCs w:val="16"/>
        </w:rPr>
        <w:softHyphen/>
        <w:t>берный снаряд к пушке мог пробить 52 мм броню башни «тридцатьчетверки» только при стрельбе с дистанции не более 250 м, а бортовую 40-мм броню - не более 600 м.</w:t>
      </w:r>
    </w:p>
    <w:p w14:paraId="7BA84E2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при оценке эффективно</w:t>
      </w:r>
      <w:r w:rsidRPr="008127F8">
        <w:rPr>
          <w:rFonts w:ascii="Times New Roman" w:hAnsi="Times New Roman"/>
          <w:color w:val="000000" w:themeColor="text1"/>
          <w:sz w:val="16"/>
          <w:szCs w:val="16"/>
        </w:rPr>
        <w:softHyphen/>
        <w:t>сти атаки самолетов по танкам и другим типовым наземным целям необходимо учитывать следующие факторы.</w:t>
      </w:r>
    </w:p>
    <w:p w14:paraId="02CB675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Если начинать стрельбу сразу же по</w:t>
      </w:r>
      <w:r w:rsidRPr="008127F8">
        <w:rPr>
          <w:rFonts w:ascii="Times New Roman" w:hAnsi="Times New Roman"/>
          <w:color w:val="000000" w:themeColor="text1"/>
          <w:sz w:val="16"/>
          <w:szCs w:val="16"/>
        </w:rPr>
        <w:softHyphen/>
        <w:t>сле разворота на цель, не выдерживая самолет в прямолинейном полете, то сна</w:t>
      </w:r>
      <w:r w:rsidRPr="008127F8">
        <w:rPr>
          <w:rFonts w:ascii="Times New Roman" w:hAnsi="Times New Roman"/>
          <w:color w:val="000000" w:themeColor="text1"/>
          <w:sz w:val="16"/>
          <w:szCs w:val="16"/>
        </w:rPr>
        <w:softHyphen/>
        <w:t>ряды в очереди будут отнесены от цели во внешнюю сторону разворота. Полигонные испытания, показывали, что относ снаря</w:t>
      </w:r>
      <w:r w:rsidRPr="008127F8">
        <w:rPr>
          <w:rFonts w:ascii="Times New Roman" w:hAnsi="Times New Roman"/>
          <w:color w:val="000000" w:themeColor="text1"/>
          <w:sz w:val="16"/>
          <w:szCs w:val="16"/>
        </w:rPr>
        <w:softHyphen/>
        <w:t>дов в типовых условиях атаки для Нз129В мог составлять 11-14 м. Это в 2-3 раза больше размеров любого советского танка. Для устранения этого явления, не</w:t>
      </w:r>
      <w:r w:rsidRPr="008127F8">
        <w:rPr>
          <w:rFonts w:ascii="Times New Roman" w:hAnsi="Times New Roman"/>
          <w:color w:val="000000" w:themeColor="text1"/>
          <w:sz w:val="16"/>
          <w:szCs w:val="16"/>
        </w:rPr>
        <w:softHyphen/>
        <w:t>обходимо в течение 1,5-2 с «задержать» крен и выдержать самолет в прямолиней</w:t>
      </w:r>
      <w:r w:rsidRPr="008127F8">
        <w:rPr>
          <w:rFonts w:ascii="Times New Roman" w:hAnsi="Times New Roman"/>
          <w:color w:val="000000" w:themeColor="text1"/>
          <w:sz w:val="16"/>
          <w:szCs w:val="16"/>
        </w:rPr>
        <w:softHyphen/>
        <w:t>ном полете.</w:t>
      </w:r>
    </w:p>
    <w:p w14:paraId="504761F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прицеливание и исправление на</w:t>
      </w:r>
      <w:r w:rsidRPr="008127F8">
        <w:rPr>
          <w:rFonts w:ascii="Times New Roman" w:hAnsi="Times New Roman"/>
          <w:color w:val="000000" w:themeColor="text1"/>
          <w:sz w:val="16"/>
          <w:szCs w:val="16"/>
        </w:rPr>
        <w:softHyphen/>
        <w:t>водки между очередями летчику с хоро</w:t>
      </w:r>
      <w:r w:rsidRPr="008127F8">
        <w:rPr>
          <w:rFonts w:ascii="Times New Roman" w:hAnsi="Times New Roman"/>
          <w:color w:val="000000" w:themeColor="text1"/>
          <w:sz w:val="16"/>
          <w:szCs w:val="16"/>
        </w:rPr>
        <w:softHyphen/>
        <w:t>шей квалификацией требуется в среднем 1,5-2 с. То есть, при «правильном» выпол</w:t>
      </w:r>
      <w:r w:rsidRPr="008127F8">
        <w:rPr>
          <w:rFonts w:ascii="Times New Roman" w:hAnsi="Times New Roman"/>
          <w:color w:val="000000" w:themeColor="text1"/>
          <w:sz w:val="16"/>
          <w:szCs w:val="16"/>
        </w:rPr>
        <w:softHyphen/>
        <w:t>нении атаки наземной цели открытие огня должно происходить не раньше, чем через 3-4 с.</w:t>
      </w:r>
    </w:p>
    <w:p w14:paraId="5D86553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Поскольку ведение стрельбы из МК101 очередью свыше 4-5 снарядов из-за вли</w:t>
      </w:r>
      <w:r w:rsidRPr="008127F8">
        <w:rPr>
          <w:rFonts w:ascii="Times New Roman" w:hAnsi="Times New Roman"/>
          <w:color w:val="000000" w:themeColor="text1"/>
          <w:sz w:val="16"/>
          <w:szCs w:val="16"/>
        </w:rPr>
        <w:softHyphen/>
        <w:t>яния силы отдачи пушки на самолет при</w:t>
      </w:r>
      <w:r w:rsidRPr="008127F8">
        <w:rPr>
          <w:rFonts w:ascii="Times New Roman" w:hAnsi="Times New Roman"/>
          <w:color w:val="000000" w:themeColor="text1"/>
          <w:sz w:val="16"/>
          <w:szCs w:val="16"/>
        </w:rPr>
        <w:softHyphen/>
        <w:t>водит к нарушению наводки самолета на цель и к значительному увеличению рассе</w:t>
      </w:r>
      <w:r w:rsidRPr="008127F8">
        <w:rPr>
          <w:rFonts w:ascii="Times New Roman" w:hAnsi="Times New Roman"/>
          <w:color w:val="000000" w:themeColor="text1"/>
          <w:sz w:val="16"/>
          <w:szCs w:val="16"/>
        </w:rPr>
        <w:softHyphen/>
        <w:t>ивания снарядов, то длина одной очереди ограничивается 1 с.</w:t>
      </w:r>
    </w:p>
    <w:p w14:paraId="0580F67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 есть, для гарантированного вы</w:t>
      </w:r>
      <w:r w:rsidRPr="008127F8">
        <w:rPr>
          <w:rFonts w:ascii="Times New Roman" w:hAnsi="Times New Roman"/>
          <w:color w:val="000000" w:themeColor="text1"/>
          <w:sz w:val="16"/>
          <w:szCs w:val="16"/>
        </w:rPr>
        <w:softHyphen/>
        <w:t>ведения из строя одного Т-34-76 коман</w:t>
      </w:r>
      <w:r w:rsidRPr="008127F8">
        <w:rPr>
          <w:rFonts w:ascii="Times New Roman" w:hAnsi="Times New Roman"/>
          <w:color w:val="000000" w:themeColor="text1"/>
          <w:sz w:val="16"/>
          <w:szCs w:val="16"/>
        </w:rPr>
        <w:softHyphen/>
        <w:t>дованию люфтваффе необходимо было выделять не менее четырех-пяти десятков бронированных «хеншелей». Такой резуль</w:t>
      </w:r>
      <w:r w:rsidRPr="008127F8">
        <w:rPr>
          <w:rFonts w:ascii="Times New Roman" w:hAnsi="Times New Roman"/>
          <w:color w:val="000000" w:themeColor="text1"/>
          <w:sz w:val="16"/>
          <w:szCs w:val="16"/>
        </w:rPr>
        <w:softHyphen/>
        <w:t>тат нельзя признать высоким (12728).</w:t>
      </w:r>
    </w:p>
    <w:p w14:paraId="3F7B8C3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1BE1B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Утро 25 мая 1942 на аэродроме Бекетовка было теплое и ясное. На траве и кустах блестела роса, и, идя по летному полю, пилоты дежурного звена Николай Козлов и его ведомый Юрий Лямин заодно омывали свои запылившиеся ботинки. На востоке из-за Волги уже начало всходить солнце. Около 05.00 два «МиГа» с ревом пронеслись по взлетной полосе и устремились вверх. Через десять минут истребители оказались на высоте 7000 м и стали описывать большой круг над городом. Отсюда как на ладони были видны городские кварталы, перемежающиеся зелеными парками и пустырями, розовеющие в отблесках восходящего солнца корпуса заводов в северной части Сталинграда. Блестящей полоской светилась лента реки, уходящая на север, и на ней виднелись многочисленные силуэты пароходов и барж. На восток уходила бесконечная даль казахской степи. Ничто в это утро не напоминало о войне, и уж тем более никому сейчас, в преддверии жаркого лета, не верилось, что она может прийти сюда, на эти красивые волжские берега. Проведя в воздухе один час, Козлов и Лямин совершили посадку. Механики начали готовить истребители к повторному вылету. Прошло три часа. Солнце светило уже высоко, степь наполнялась теплом, роса с травы постепенно испарилась. Летчики сидели наготове, любуясь пейзажем. Вдруг около 09.00 ударила зенитка, следом – другая. Козлов взглянул вверх и отчетливо увидел, как с юга над Волгой на большой высоте, оставляя длинный инверсионный след, шел самолет. На аэродроме прозвучал сигнал тревоги, и вскоре два МиГ-3 и два Як-1 уже катили по взлетной полосе. За ними с ревом понесся и истребитель лейтенанта Козлова. Оторвавшись от земли, Николай направил свой «МиГ» в район северо-восточнее Сталинграда, постепенно набирая высоту. Следующие десять минут прошли в напряжении. Надев кислородный прибор, Николай внимательно следил за цифрами: 5000, 6000 м… Казалось, прошла целая вечность, пока самолет достиг высоты 9500 м. Отсюда можно было одновременно видеть и Дон, и Волгу, а Сталинград казался лишь маленькой полоской на горизонте. Летчик нервно всматривался в небо и вскоре заметил на востоке черную точку. Она быстро росла в размерах, приобретая очертания двухмоторной крылатой машины. Самолет очень походил на знакомый Ju-88, но имел большую, ранее не встречавшуюся, горбатую кабину и непривычную серо-желтую окраску. Развернувшись, Козлов направил свой МиГ параллельным курсом и вскоре вышел в атаку. Бортстрелок «Юнкерса» открыл огонь, и рядом с истребителем прошла трассирующая очередь. После этого Николай прицелился по задней кабине и дал короткую очередь, но пулеметы сразу заклинило. Тем не менее выстрелы оказались на редкость точными, т.к. бортстрелок больше не отвечал. Советский летчик попытался атаковать еще раз, но нажатие на гашетку ничего не давало. Перезарядка тоже не дала эффекта. После этого из выхлопных патрубков двигателей разведчика повалил черный дым и его силуэт стал постепенно удаляться, видимо, его пилот решил попробовать оторваться от высотного перехватчика. Николай тоже включил форсаж, и скорости самолетов вновь сравнялись. Тогда противник применил свой излюбленный прием – «Юнкере» резко рванул в пике, стремительно уходя вниз к земле. Козлов направил свою машину следом, стараясь не терять врага из вида. Стоило немного отвлечься, и тому снова удастся уйти. Николай представлял, что немецкий пилот собирается сделать,</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скорее всего он будет выводить машину у самой земли, чтобы МиГ-3, имеющий худшую несущую способность, за счет просадки при выводе, составлявшей около 100 м, врезался в землю. Тем временем земля стремительно приближалась, уже отчетливо виднелись поросшие кустами балки и степные дороги. Только после 1000 м рули высоты «Юнкерса» начали отклоняться вверх, и он вышел из пикирования на предельно малой высоте, порядка 15 м, и понесся на запад над ровной, как стол, поверхностью степи. Однако Козлов сумел сохранить управление и неотступно преследовал противника. Дав форсаж, он вышел вперед немецкого разведчика и стал «заворачивать» его влево, подталкивая на маневр с набором высоты. «Юнкере» отвернул влево, но затем резко взял вправо вверх, пытаясь уйти крутым маневром, и поднялся на высоту 40—50 м. Настал решающий момент. Таран на такой высоте почти не оставлял шансов на выживание, но другого способа сбить врага не было. Лейтенант Козлов, обливаясь холодным потом, направил машину под его хвостовое оперение и, целясь в фюзеляж, пошел на сближение. Ju-88D из 4-й эскадрильи дальней разведки Aufkl.Gr.11, поврежденный огнем советской зенитной артиллерии, но благополучно вернувшийся на свой аэродром.  Желто-серый силуэт «Юнкерса» уже закрыл весь обзор, но немецкий пилот в последнее мгновение сманеврировал, и удар винта пришелся по стабилизатору. Вся его правая половина была мгновенно отрезана и отлетела в сторону. МиГ-3 после столкновения резко бросило вверх, его мотор забарахлил и остановился. Николай, чувствуя, что теряет управление, отдал ручку от себя и выпустил шасси. Через несколько секунд раздался сильный удар, самолет перевернулся на спину, некоторое время прополз по степи и замер. При этом его хвостовая </w:t>
      </w:r>
      <w:r w:rsidRPr="008127F8">
        <w:rPr>
          <w:rFonts w:ascii="Times New Roman" w:hAnsi="Times New Roman"/>
          <w:color w:val="000000" w:themeColor="text1"/>
          <w:sz w:val="16"/>
          <w:szCs w:val="16"/>
        </w:rPr>
        <w:lastRenderedPageBreak/>
        <w:t>часть, начиная от кабины, разрушилась, консоли крыла отлетели в сторону. Козлов от удара потерял сознание. Вскоре к месту падения подбежали местные жители, которые вытащили летчика из кабины и оказали ему первую помощь. Как потом выяснилось, немецкий Ju-88 упал в районе Морозовска, не дотянув до линии фронта около двухсот километров. Его отрезанный стабилизатор, как ценный трофей, был доставлен в полк. Однако активность немецкой разведывательной авиации продолжала возрастать. Посты ВНОС зафиксировали в мае 297 самолето-пролетов противника над территорией Сталинградского корпусного района ПВО (11774).</w:t>
      </w:r>
    </w:p>
    <w:p w14:paraId="7537A61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EAB031"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25 мая 1942 года в Ленинакане (Армения) началось формирование 151-й танковой бригады. Возглавил её подполковник В. А. Корнилов. Согласно документам, уже к 1 июня 1942 года «Тетрархи» вместе с экипажами оказались в составе бригады. По завершению формирования 20 июня бригада была включена в состав 45-й армии Северокавказского фронта.</w:t>
      </w:r>
    </w:p>
    <w:p w14:paraId="30764CCD"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Северокавказский фронт и в особенности его танковые соединения, размещавшиеся на юге, сами по себе отличались крайней специфичностью. Наиболее массовым танком (напомним, речь идёт о лете 1942 года) здесь был Т-26. К слову, Т-26 являлся наиболее многочисленным танком и в 151-й танковой бригаде. Всего по состоянию на начало июля 1942 года в бригаде имелось 25 Т-26 и 20 «Тетрархов», которые обозначались в документах как МК-VII, или МК-7.</w:t>
      </w:r>
    </w:p>
    <w:p w14:paraId="456D17D5"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Основной задачей 151-й танковой бригады в составе 45-й армии была охрана государственной границы. Армия под командованием генерал-лейтенанта Ф. Н. Ремезова дислоцировалась на границе с Ираном. 21 мая 1942 года в иранском портовом городе Бендер-Шах (ныне Бендер-Торкемен) был сформирован отдел приёмки импортных танков. Хотя сами танки пошли оттуда в СССР только к концу лета, но тем же маршрутом шли грузовики и прочие грузы, поставляемые по программе ленд-лиза. 45-я армия, а вместе с ней и 151-я танковая бригада, занимались, в том числе, и охраной этих самых поставок (17648).</w:t>
      </w:r>
    </w:p>
    <w:p w14:paraId="05382B89"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56EAE27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0BFFA65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9CEB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25 мая по 13 июня 1942 Э.К.Пуссэп летал на ТБ-7 по маршруту Москва-Вашингтон-Москва (271,209).</w:t>
      </w:r>
    </w:p>
    <w:p w14:paraId="43FC2D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5C5FB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3ED1050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BB196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25 мая</w:t>
      </w:r>
      <w:r w:rsidRPr="008127F8">
        <w:rPr>
          <w:rFonts w:ascii="Times New Roman" w:hAnsi="Times New Roman"/>
          <w:color w:val="000000" w:themeColor="text1"/>
          <w:sz w:val="16"/>
          <w:szCs w:val="16"/>
        </w:rPr>
        <w:t xml:space="preserve"> в 1942 году фирма «North American» решила переоборудовать два «Mustang» «Mk.IA», реквизированные ВВС США (USA Air Forces, USAAF) из поставки в Англию, импортными «Merlin-65». Проект получил обозначение «NA-101» на фирме и «XP-78» в армии. Во время работы над проектом индекс «XP-78» изменился на </w:t>
      </w:r>
      <w:hyperlink r:id="rId35" w:tgtFrame="_blank" w:history="1">
        <w:r w:rsidRPr="008127F8">
          <w:rPr>
            <w:rFonts w:ascii="Times New Roman" w:hAnsi="Times New Roman"/>
            <w:color w:val="000000" w:themeColor="text1"/>
            <w:sz w:val="16"/>
            <w:szCs w:val="16"/>
          </w:rPr>
          <w:t xml:space="preserve">«XP-51B». </w:t>
        </w:r>
      </w:hyperlink>
      <w:r w:rsidRPr="008127F8">
        <w:rPr>
          <w:rFonts w:ascii="Times New Roman" w:hAnsi="Times New Roman"/>
          <w:color w:val="000000" w:themeColor="text1"/>
          <w:sz w:val="16"/>
          <w:szCs w:val="16"/>
        </w:rPr>
        <w:t>Англичане в проекте участия не принимали - у них хватало своих проблем. Эта версия имела многочисленные изменения, в числе которых четырехлопастной воздушный винт «Гамильтон Стандард Гидроматик» («Hamilton Standard Hydromatic»), перемещение радиатора, усиление конструкции, новые элероны и возможность нести две тысячефунтовые бомбы, подвесные баки такого же веса или две тройки пехотных реактивных снарядов типа «M10» «Базука» («Bazooka»). Носовые пулемёты убраны, осталась только четвёрка 12.7 мм пулемётов в крыльях. За пилотом установлен дополнительный топливный бак на 85 галлонов США (240 кг), который ощутимо сдвигал центровку самолёта назад. В последствии пилотам рекомендовалось даже при наличии сбрасываемых баков в первую очередь использовать топливо этого заднего бака для восстановления центровки. На практике его не заправляли более, чем на 180 кг. В августе 1942 даже до получения результатов испытаний было заказано 400 таких самолётов (14902).</w:t>
      </w:r>
    </w:p>
    <w:p w14:paraId="6BC9D31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8B4EB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FCCE9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288E0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мая 1942 произошла катастрофа со вторым бомбардировщиком из трех Ту-2, начавших войсковые испытания 17 мая 1942, на котором летел экипаж пилота Ищенко. Спасся только стрелок, получивший тяжелые ранения. Комиссия не смогла определить причины трагедии. Существовало две версии: ошибка летчика или неожиданный отказ левого мотора. Осталась одна машина, третья.</w:t>
      </w:r>
    </w:p>
    <w:p w14:paraId="05DC96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Фактически на нее пришелся весь объем испытаний. В ходе полетов выяснилось, что на больших высотах скорость по непонятной причине резко падает. Оказалось, что моторы М-82 недодают мощность выше второй границы высотности, когда нагнетатель переключался на вторую скорость. Но причина крылась не в нагнетателе, а в магнето БСМ-14. Это стало ясно, когда его опробовали в барокамере. Хорошо работая при нормальном давлении, в разреженном воздухе оно стало сбоить. В полете это вызывало тряску двигателей. В Военно-воз- душной академии им. Жуковского под руководством профессора B.C. Куле- бакина спешно создали новую модификацию - БСМ-14В, запущенную в серийное производство, но это произошло уже после завершения первого этапа войсковых испытаний Ту-2.</w:t>
      </w:r>
    </w:p>
    <w:p w14:paraId="7A8C59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Полеты прекратили в конце июля 1942 г., а итоговый отчет был утвержден 22 августа. Выводы испытателей в целом были одобрительными. В заключении отчета записали: "Серийные самолеты Ту-2 постройки заво да № 166 по своим летным свойствам, надежности работы моторов и вооружению могут быть использованы в боевой работе..." Но вместе с тем высоту полета ограничили 5000 м (до которой нормально работало БСМ-14). Использованию самолета в качестве пикировщика препятствовала перераскрутка винтов. Рекомендовали доработать ненадежные тормоза колес, а также усилить оборонительное вооружение. Дело в том, что огневая мощь пулеметов ШКАС уже считалась недостаточной. На пикирующем бомбардировщике Пе-2 еще летом 1941 г. смонтировали два 12,7-мм пулемета - один неподвижный в носу фюзеляжа, а второй - в люковой установке, стрелявшей вниз-назад. Позже к ним добавили еще один крупнокалиберный пулемет у штурмана и бортовой ШКАС у стрелка-радиста. Новое вооружение весьма эффективно использовалось на фронте, не позволяя немецким истребителям близко подходить к бомбардировщику. Усиление неподвижного вооружения Ту-2 не требовалось: по секундному залпу он значительно превосходил Пе-2. Поэтому специалисты НИИ ВВС рекомендовали поставить 12,7-мм пулеметы УБТ на обеих верхних установках - у штурмана и стрелка-радиста (11988).</w:t>
      </w:r>
    </w:p>
    <w:p w14:paraId="755D5B0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7AABE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26 мая</w:t>
      </w:r>
      <w:r w:rsidRPr="008127F8">
        <w:rPr>
          <w:rFonts w:ascii="Times New Roman" w:hAnsi="Times New Roman"/>
          <w:color w:val="000000" w:themeColor="text1"/>
          <w:sz w:val="16"/>
          <w:szCs w:val="16"/>
        </w:rPr>
        <w:t xml:space="preserve"> в 1942 году при полете на километраж разбилась вторая заводская опытная машина «Ту-2», ведомая пилотом Ищенко. Летчик и штурман погибли, стрелок был тяжело ранен. Аварийная комиссия определить причину катастрофы не смогла: возможно, что отказал левый мотор, возможно, была ошибка в пилотировании (14903).</w:t>
      </w:r>
    </w:p>
    <w:p w14:paraId="1221C75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4E80E5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26 мая 1942 произошла катастрофа со вторым бомбардировщиком Ту-2 в ходе первого этапа войсковых испытаний, на кото</w:t>
      </w:r>
      <w:r w:rsidRPr="008127F8">
        <w:rPr>
          <w:rFonts w:ascii="Times New Roman" w:hAnsi="Times New Roman"/>
          <w:color w:val="000000" w:themeColor="text1"/>
          <w:sz w:val="16"/>
          <w:szCs w:val="16"/>
          <w:lang w:eastAsia="ru-RU" w:bidi="ru-RU"/>
        </w:rPr>
        <w:softHyphen/>
        <w:t>ром летел экипаж пилота Ищенко. Спасся только стрелок, получивший тяжелые ра</w:t>
      </w:r>
      <w:r w:rsidRPr="008127F8">
        <w:rPr>
          <w:rFonts w:ascii="Times New Roman" w:hAnsi="Times New Roman"/>
          <w:color w:val="000000" w:themeColor="text1"/>
          <w:sz w:val="16"/>
          <w:szCs w:val="16"/>
          <w:lang w:eastAsia="ru-RU" w:bidi="ru-RU"/>
        </w:rPr>
        <w:softHyphen/>
        <w:t>нения. Комиссия не смогла определить причины трагедии. Существовало две вер</w:t>
      </w:r>
      <w:r w:rsidRPr="008127F8">
        <w:rPr>
          <w:rFonts w:ascii="Times New Roman" w:hAnsi="Times New Roman"/>
          <w:color w:val="000000" w:themeColor="text1"/>
          <w:sz w:val="16"/>
          <w:szCs w:val="16"/>
          <w:lang w:eastAsia="ru-RU" w:bidi="ru-RU"/>
        </w:rPr>
        <w:softHyphen/>
        <w:t>сии: ошибка летчика или неожиданный отказ левого мотора. Осталась одна ма</w:t>
      </w:r>
      <w:r w:rsidRPr="008127F8">
        <w:rPr>
          <w:rFonts w:ascii="Times New Roman" w:hAnsi="Times New Roman"/>
          <w:color w:val="000000" w:themeColor="text1"/>
          <w:sz w:val="16"/>
          <w:szCs w:val="16"/>
          <w:lang w:eastAsia="ru-RU" w:bidi="ru-RU"/>
        </w:rPr>
        <w:softHyphen/>
        <w:t>шина, третья.</w:t>
      </w:r>
    </w:p>
    <w:p w14:paraId="457B2E5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Фактически на нее пришелся весь объем испытаний. В ходе полетов вы</w:t>
      </w:r>
      <w:r w:rsidRPr="008127F8">
        <w:rPr>
          <w:rFonts w:ascii="Times New Roman" w:hAnsi="Times New Roman"/>
          <w:color w:val="000000" w:themeColor="text1"/>
          <w:sz w:val="16"/>
          <w:szCs w:val="16"/>
          <w:lang w:eastAsia="ru-RU" w:bidi="ru-RU"/>
        </w:rPr>
        <w:softHyphen/>
        <w:t>яснилось, что на больших высотах ско</w:t>
      </w:r>
      <w:r w:rsidRPr="008127F8">
        <w:rPr>
          <w:rFonts w:ascii="Times New Roman" w:hAnsi="Times New Roman"/>
          <w:color w:val="000000" w:themeColor="text1"/>
          <w:sz w:val="16"/>
          <w:szCs w:val="16"/>
          <w:lang w:eastAsia="ru-RU" w:bidi="ru-RU"/>
        </w:rPr>
        <w:softHyphen/>
        <w:t>рость по непонятной причине резко па</w:t>
      </w:r>
      <w:r w:rsidRPr="008127F8">
        <w:rPr>
          <w:rFonts w:ascii="Times New Roman" w:hAnsi="Times New Roman"/>
          <w:color w:val="000000" w:themeColor="text1"/>
          <w:sz w:val="16"/>
          <w:szCs w:val="16"/>
          <w:lang w:eastAsia="ru-RU" w:bidi="ru-RU"/>
        </w:rPr>
        <w:softHyphen/>
        <w:t>дает. Оказалось, что моторы М-82 недо</w:t>
      </w:r>
      <w:r w:rsidRPr="008127F8">
        <w:rPr>
          <w:rFonts w:ascii="Times New Roman" w:hAnsi="Times New Roman"/>
          <w:color w:val="000000" w:themeColor="text1"/>
          <w:sz w:val="16"/>
          <w:szCs w:val="16"/>
          <w:lang w:eastAsia="ru-RU" w:bidi="ru-RU"/>
        </w:rPr>
        <w:softHyphen/>
        <w:t>дают мощность выше второй границы высотности, когда нагнетатель переклю</w:t>
      </w:r>
      <w:r w:rsidRPr="008127F8">
        <w:rPr>
          <w:rFonts w:ascii="Times New Roman" w:hAnsi="Times New Roman"/>
          <w:color w:val="000000" w:themeColor="text1"/>
          <w:sz w:val="16"/>
          <w:szCs w:val="16"/>
          <w:lang w:eastAsia="ru-RU" w:bidi="ru-RU"/>
        </w:rPr>
        <w:softHyphen/>
        <w:t>чался на вторую скорость. Но причина крылась не в нагнетателе, а в магнето БСМ-14. Это стало ясно, когда его опро</w:t>
      </w:r>
      <w:r w:rsidRPr="008127F8">
        <w:rPr>
          <w:rFonts w:ascii="Times New Roman" w:hAnsi="Times New Roman"/>
          <w:color w:val="000000" w:themeColor="text1"/>
          <w:sz w:val="16"/>
          <w:szCs w:val="16"/>
          <w:lang w:eastAsia="ru-RU" w:bidi="ru-RU"/>
        </w:rPr>
        <w:softHyphen/>
        <w:t>бовали в барокамере. Хорошо работая при нормальном давлении, в разрежен</w:t>
      </w:r>
      <w:r w:rsidRPr="008127F8">
        <w:rPr>
          <w:rFonts w:ascii="Times New Roman" w:hAnsi="Times New Roman"/>
          <w:color w:val="000000" w:themeColor="text1"/>
          <w:sz w:val="16"/>
          <w:szCs w:val="16"/>
          <w:lang w:eastAsia="ru-RU" w:bidi="ru-RU"/>
        </w:rPr>
        <w:softHyphen/>
        <w:t>ном воздухе оно начинало сбоить. В по</w:t>
      </w:r>
      <w:r w:rsidRPr="008127F8">
        <w:rPr>
          <w:rFonts w:ascii="Times New Roman" w:hAnsi="Times New Roman"/>
          <w:color w:val="000000" w:themeColor="text1"/>
          <w:sz w:val="16"/>
          <w:szCs w:val="16"/>
          <w:lang w:eastAsia="ru-RU" w:bidi="ru-RU"/>
        </w:rPr>
        <w:softHyphen/>
        <w:t>лете это вызывало тряску двигателей. В Военно-воздушной академии им. Жу</w:t>
      </w:r>
      <w:r w:rsidRPr="008127F8">
        <w:rPr>
          <w:rFonts w:ascii="Times New Roman" w:hAnsi="Times New Roman"/>
          <w:color w:val="000000" w:themeColor="text1"/>
          <w:sz w:val="16"/>
          <w:szCs w:val="16"/>
          <w:lang w:eastAsia="ru-RU" w:bidi="ru-RU"/>
        </w:rPr>
        <w:softHyphen/>
        <w:t>ковского под руководством профессора В.С. Кулебакина спешно создали новую модификацию - БСМ-14В, запущенную в серийное производство, но это прои</w:t>
      </w:r>
      <w:r w:rsidRPr="008127F8">
        <w:rPr>
          <w:rFonts w:ascii="Times New Roman" w:hAnsi="Times New Roman"/>
          <w:color w:val="000000" w:themeColor="text1"/>
          <w:sz w:val="16"/>
          <w:szCs w:val="16"/>
          <w:lang w:eastAsia="ru-RU" w:bidi="ru-RU"/>
        </w:rPr>
        <w:softHyphen/>
        <w:t>зошло уже после завершения первого этапа войсковых испытаний Ту-2.</w:t>
      </w:r>
    </w:p>
    <w:p w14:paraId="21ADC0C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Полеты прекратили в конце июля 1942 г., а итоговый отчет был утвержден 22 августа. Выводы испытателей в целом были одобрительными. В заключении от</w:t>
      </w:r>
      <w:r w:rsidRPr="008127F8">
        <w:rPr>
          <w:rFonts w:ascii="Times New Roman" w:hAnsi="Times New Roman"/>
          <w:color w:val="000000" w:themeColor="text1"/>
          <w:sz w:val="16"/>
          <w:szCs w:val="16"/>
          <w:lang w:eastAsia="ru-RU" w:bidi="ru-RU"/>
        </w:rPr>
        <w:softHyphen/>
        <w:t>чета записали: «Серийные самолеты Ту-2 постройки завода №166 по своим лет</w:t>
      </w:r>
      <w:r w:rsidRPr="008127F8">
        <w:rPr>
          <w:rFonts w:ascii="Times New Roman" w:hAnsi="Times New Roman"/>
          <w:color w:val="000000" w:themeColor="text1"/>
          <w:sz w:val="16"/>
          <w:szCs w:val="16"/>
          <w:lang w:eastAsia="ru-RU" w:bidi="ru-RU"/>
        </w:rPr>
        <w:softHyphen/>
        <w:t>ным свойствам, надежности работы мото</w:t>
      </w:r>
      <w:r w:rsidRPr="008127F8">
        <w:rPr>
          <w:rFonts w:ascii="Times New Roman" w:hAnsi="Times New Roman"/>
          <w:color w:val="000000" w:themeColor="text1"/>
          <w:sz w:val="16"/>
          <w:szCs w:val="16"/>
          <w:lang w:eastAsia="ru-RU" w:bidi="ru-RU"/>
        </w:rPr>
        <w:softHyphen/>
        <w:t>ров и вооружению могут быть использо</w:t>
      </w:r>
      <w:r w:rsidRPr="008127F8">
        <w:rPr>
          <w:rFonts w:ascii="Times New Roman" w:hAnsi="Times New Roman"/>
          <w:color w:val="000000" w:themeColor="text1"/>
          <w:sz w:val="16"/>
          <w:szCs w:val="16"/>
          <w:lang w:eastAsia="ru-RU" w:bidi="ru-RU"/>
        </w:rPr>
        <w:softHyphen/>
        <w:t>ваны в боевой работе...» Но вместе с тем высоту полета ограничили 5000 м (до ко</w:t>
      </w:r>
      <w:r w:rsidRPr="008127F8">
        <w:rPr>
          <w:rFonts w:ascii="Times New Roman" w:hAnsi="Times New Roman"/>
          <w:color w:val="000000" w:themeColor="text1"/>
          <w:sz w:val="16"/>
          <w:szCs w:val="16"/>
          <w:lang w:eastAsia="ru-RU" w:bidi="ru-RU"/>
        </w:rPr>
        <w:softHyphen/>
        <w:t>торой нормально работало БСМ-14). Ис</w:t>
      </w:r>
      <w:r w:rsidRPr="008127F8">
        <w:rPr>
          <w:rFonts w:ascii="Times New Roman" w:hAnsi="Times New Roman"/>
          <w:color w:val="000000" w:themeColor="text1"/>
          <w:sz w:val="16"/>
          <w:szCs w:val="16"/>
          <w:lang w:eastAsia="ru-RU" w:bidi="ru-RU"/>
        </w:rPr>
        <w:softHyphen/>
        <w:t>пользованию самолета в качестве пики</w:t>
      </w:r>
      <w:r w:rsidRPr="008127F8">
        <w:rPr>
          <w:rFonts w:ascii="Times New Roman" w:hAnsi="Times New Roman"/>
          <w:color w:val="000000" w:themeColor="text1"/>
          <w:sz w:val="16"/>
          <w:szCs w:val="16"/>
          <w:lang w:eastAsia="ru-RU" w:bidi="ru-RU"/>
        </w:rPr>
        <w:softHyphen/>
        <w:t>ровщика препятствовала перераскрутка винтов. Рекомендовали доработать не</w:t>
      </w:r>
      <w:r w:rsidRPr="008127F8">
        <w:rPr>
          <w:rFonts w:ascii="Times New Roman" w:hAnsi="Times New Roman"/>
          <w:color w:val="000000" w:themeColor="text1"/>
          <w:sz w:val="16"/>
          <w:szCs w:val="16"/>
          <w:lang w:eastAsia="ru-RU" w:bidi="ru-RU"/>
        </w:rPr>
        <w:softHyphen/>
        <w:t>надежные тормоза колес, а также уси</w:t>
      </w:r>
      <w:r w:rsidRPr="008127F8">
        <w:rPr>
          <w:rFonts w:ascii="Times New Roman" w:hAnsi="Times New Roman"/>
          <w:color w:val="000000" w:themeColor="text1"/>
          <w:sz w:val="16"/>
          <w:szCs w:val="16"/>
          <w:lang w:eastAsia="ru-RU" w:bidi="ru-RU"/>
        </w:rPr>
        <w:softHyphen/>
        <w:t>лить оборонительное вооружение. Дело в том, что огневая мощь пулеметов ШКАС уже считалась недостаточной. На пики</w:t>
      </w:r>
      <w:r w:rsidRPr="008127F8">
        <w:rPr>
          <w:rFonts w:ascii="Times New Roman" w:hAnsi="Times New Roman"/>
          <w:color w:val="000000" w:themeColor="text1"/>
          <w:sz w:val="16"/>
          <w:szCs w:val="16"/>
          <w:lang w:eastAsia="ru-RU" w:bidi="ru-RU"/>
        </w:rPr>
        <w:softHyphen/>
        <w:t>рующем бомбардировщике Пе-2 еще ле</w:t>
      </w:r>
      <w:r w:rsidRPr="008127F8">
        <w:rPr>
          <w:rFonts w:ascii="Times New Roman" w:hAnsi="Times New Roman"/>
          <w:color w:val="000000" w:themeColor="text1"/>
          <w:sz w:val="16"/>
          <w:szCs w:val="16"/>
          <w:lang w:eastAsia="ru-RU" w:bidi="ru-RU"/>
        </w:rPr>
        <w:softHyphen/>
        <w:t>том 1941 г. смонтировали два 12,7-мм пу</w:t>
      </w:r>
      <w:r w:rsidRPr="008127F8">
        <w:rPr>
          <w:rFonts w:ascii="Times New Roman" w:hAnsi="Times New Roman"/>
          <w:color w:val="000000" w:themeColor="text1"/>
          <w:sz w:val="16"/>
          <w:szCs w:val="16"/>
          <w:lang w:eastAsia="ru-RU" w:bidi="ru-RU"/>
        </w:rPr>
        <w:softHyphen/>
        <w:t>лемета - один неподвижный в носу фю</w:t>
      </w:r>
      <w:r w:rsidRPr="008127F8">
        <w:rPr>
          <w:rFonts w:ascii="Times New Roman" w:hAnsi="Times New Roman"/>
          <w:color w:val="000000" w:themeColor="text1"/>
          <w:sz w:val="16"/>
          <w:szCs w:val="16"/>
          <w:lang w:eastAsia="ru-RU" w:bidi="ru-RU"/>
        </w:rPr>
        <w:softHyphen/>
        <w:t>зеляжа, а второй - в люковой установке, стрелявшей вниз-назад. Позже к ним до</w:t>
      </w:r>
      <w:r w:rsidRPr="008127F8">
        <w:rPr>
          <w:rFonts w:ascii="Times New Roman" w:hAnsi="Times New Roman"/>
          <w:color w:val="000000" w:themeColor="text1"/>
          <w:sz w:val="16"/>
          <w:szCs w:val="16"/>
          <w:lang w:eastAsia="ru-RU" w:bidi="ru-RU"/>
        </w:rPr>
        <w:softHyphen/>
        <w:t>бавили еще один крупнокалиберный пу</w:t>
      </w:r>
      <w:r w:rsidRPr="008127F8">
        <w:rPr>
          <w:rFonts w:ascii="Times New Roman" w:hAnsi="Times New Roman"/>
          <w:color w:val="000000" w:themeColor="text1"/>
          <w:sz w:val="16"/>
          <w:szCs w:val="16"/>
          <w:lang w:eastAsia="ru-RU" w:bidi="ru-RU"/>
        </w:rPr>
        <w:softHyphen/>
        <w:t>лемет у штурмана и бортовой ШКАС у стрелка-радиста. Новое вооружение весьма эффективно использовалось на фронте, не позволяя немецким истреби</w:t>
      </w:r>
      <w:r w:rsidRPr="008127F8">
        <w:rPr>
          <w:rFonts w:ascii="Times New Roman" w:hAnsi="Times New Roman"/>
          <w:color w:val="000000" w:themeColor="text1"/>
          <w:sz w:val="16"/>
          <w:szCs w:val="16"/>
          <w:lang w:eastAsia="ru-RU" w:bidi="ru-RU"/>
        </w:rPr>
        <w:softHyphen/>
        <w:t>телям близко подходить к бомбардиров</w:t>
      </w:r>
      <w:r w:rsidRPr="008127F8">
        <w:rPr>
          <w:rFonts w:ascii="Times New Roman" w:hAnsi="Times New Roman"/>
          <w:color w:val="000000" w:themeColor="text1"/>
          <w:sz w:val="16"/>
          <w:szCs w:val="16"/>
          <w:lang w:eastAsia="ru-RU" w:bidi="ru-RU"/>
        </w:rPr>
        <w:softHyphen/>
        <w:t>щику. Усиление неподвижного вооруже</w:t>
      </w:r>
      <w:r w:rsidRPr="008127F8">
        <w:rPr>
          <w:rFonts w:ascii="Times New Roman" w:hAnsi="Times New Roman"/>
          <w:color w:val="000000" w:themeColor="text1"/>
          <w:sz w:val="16"/>
          <w:szCs w:val="16"/>
          <w:lang w:eastAsia="ru-RU" w:bidi="ru-RU"/>
        </w:rPr>
        <w:softHyphen/>
        <w:t>ния Ту-2 не требовалось: по секундному залпу он значительно превосходил Пе-2. Поэтому специалисты НИИ ВВС рекомен</w:t>
      </w:r>
      <w:r w:rsidRPr="008127F8">
        <w:rPr>
          <w:rFonts w:ascii="Times New Roman" w:hAnsi="Times New Roman"/>
          <w:color w:val="000000" w:themeColor="text1"/>
          <w:sz w:val="16"/>
          <w:szCs w:val="16"/>
          <w:lang w:eastAsia="ru-RU" w:bidi="ru-RU"/>
        </w:rPr>
        <w:softHyphen/>
        <w:t>довали поставить 12,7-мм пулеметы УБТ на обеих верхних установках - у штур</w:t>
      </w:r>
      <w:r w:rsidRPr="008127F8">
        <w:rPr>
          <w:rFonts w:ascii="Times New Roman" w:hAnsi="Times New Roman"/>
          <w:color w:val="000000" w:themeColor="text1"/>
          <w:sz w:val="16"/>
          <w:szCs w:val="16"/>
          <w:lang w:eastAsia="ru-RU" w:bidi="ru-RU"/>
        </w:rPr>
        <w:softHyphen/>
        <w:t>мана и стрелка-радиста.</w:t>
      </w:r>
    </w:p>
    <w:p w14:paraId="21C9983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Недостатки тормозной системы не</w:t>
      </w:r>
      <w:r w:rsidRPr="008127F8">
        <w:rPr>
          <w:rFonts w:ascii="Times New Roman" w:hAnsi="Times New Roman"/>
          <w:color w:val="000000" w:themeColor="text1"/>
          <w:sz w:val="16"/>
          <w:szCs w:val="16"/>
          <w:lang w:eastAsia="ru-RU" w:bidi="ru-RU"/>
        </w:rPr>
        <w:softHyphen/>
        <w:t>однократно приводили к неуправляе</w:t>
      </w:r>
      <w:r w:rsidRPr="008127F8">
        <w:rPr>
          <w:rFonts w:ascii="Times New Roman" w:hAnsi="Times New Roman"/>
          <w:color w:val="000000" w:themeColor="text1"/>
          <w:sz w:val="16"/>
          <w:szCs w:val="16"/>
          <w:lang w:eastAsia="ru-RU" w:bidi="ru-RU"/>
        </w:rPr>
        <w:softHyphen/>
        <w:t>мому развороту на посадке. Так, при сдаточных испытаниях два раза под</w:t>
      </w:r>
      <w:r w:rsidRPr="008127F8">
        <w:rPr>
          <w:rFonts w:ascii="Times New Roman" w:hAnsi="Times New Roman"/>
          <w:color w:val="000000" w:themeColor="text1"/>
          <w:sz w:val="16"/>
          <w:szCs w:val="16"/>
          <w:lang w:eastAsia="ru-RU" w:bidi="ru-RU"/>
        </w:rPr>
        <w:softHyphen/>
        <w:t>ряд, 7 и 16 июля, потерпели аварии но</w:t>
      </w:r>
      <w:r w:rsidRPr="008127F8">
        <w:rPr>
          <w:rFonts w:ascii="Times New Roman" w:hAnsi="Times New Roman"/>
          <w:color w:val="000000" w:themeColor="text1"/>
          <w:sz w:val="16"/>
          <w:szCs w:val="16"/>
          <w:lang w:eastAsia="ru-RU" w:bidi="ru-RU"/>
        </w:rPr>
        <w:softHyphen/>
        <w:t>венькие бомбардировщики. Экипажи (летчиков Котякова и Бакина) не постра</w:t>
      </w:r>
      <w:r w:rsidRPr="008127F8">
        <w:rPr>
          <w:rFonts w:ascii="Times New Roman" w:hAnsi="Times New Roman"/>
          <w:color w:val="000000" w:themeColor="text1"/>
          <w:sz w:val="16"/>
          <w:szCs w:val="16"/>
          <w:lang w:eastAsia="ru-RU" w:bidi="ru-RU"/>
        </w:rPr>
        <w:softHyphen/>
        <w:t>дали. Например, у майора В.Д. Бакина машину №100303 вывернуло вправо, что привело к поломке стойки шасси. Бы</w:t>
      </w:r>
      <w:r w:rsidRPr="008127F8">
        <w:rPr>
          <w:rFonts w:ascii="Times New Roman" w:hAnsi="Times New Roman"/>
          <w:color w:val="000000" w:themeColor="text1"/>
          <w:sz w:val="16"/>
          <w:szCs w:val="16"/>
          <w:lang w:eastAsia="ru-RU" w:bidi="ru-RU"/>
        </w:rPr>
        <w:softHyphen/>
        <w:t>вали случаи, когда бомбардировщик де</w:t>
      </w:r>
      <w:r w:rsidRPr="008127F8">
        <w:rPr>
          <w:rFonts w:ascii="Times New Roman" w:hAnsi="Times New Roman"/>
          <w:color w:val="000000" w:themeColor="text1"/>
          <w:sz w:val="16"/>
          <w:szCs w:val="16"/>
          <w:lang w:eastAsia="ru-RU" w:bidi="ru-RU"/>
        </w:rPr>
        <w:softHyphen/>
        <w:t>лал на поле до двух кругов и оставался цел. Но чаще ломали шасси, винты, за- концовки крыла, мяли мотогондолы. Са</w:t>
      </w:r>
      <w:r w:rsidRPr="008127F8">
        <w:rPr>
          <w:rFonts w:ascii="Times New Roman" w:hAnsi="Times New Roman"/>
          <w:color w:val="000000" w:themeColor="text1"/>
          <w:sz w:val="16"/>
          <w:szCs w:val="16"/>
          <w:lang w:eastAsia="ru-RU" w:bidi="ru-RU"/>
        </w:rPr>
        <w:softHyphen/>
        <w:t>молет летчика Полевого после посадки с разворотом вспыхнул; экипаж успел выбраться и отбежать.</w:t>
      </w:r>
    </w:p>
    <w:p w14:paraId="4DE059F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Дефекты серийных Ту-2 вызвали рас</w:t>
      </w:r>
      <w:r w:rsidRPr="008127F8">
        <w:rPr>
          <w:rFonts w:ascii="Times New Roman" w:hAnsi="Times New Roman"/>
          <w:color w:val="000000" w:themeColor="text1"/>
          <w:sz w:val="16"/>
          <w:szCs w:val="16"/>
          <w:lang w:eastAsia="ru-RU" w:bidi="ru-RU"/>
        </w:rPr>
        <w:softHyphen/>
        <w:t>поряжение командования ВВС прекра</w:t>
      </w:r>
      <w:r w:rsidRPr="008127F8">
        <w:rPr>
          <w:rFonts w:ascii="Times New Roman" w:hAnsi="Times New Roman"/>
          <w:color w:val="000000" w:themeColor="text1"/>
          <w:sz w:val="16"/>
          <w:szCs w:val="16"/>
          <w:lang w:eastAsia="ru-RU" w:bidi="ru-RU"/>
        </w:rPr>
        <w:softHyphen/>
        <w:t>тить приемку бомбардировщиков. НКАП направил на завод авторитетную комис</w:t>
      </w:r>
      <w:r w:rsidRPr="008127F8">
        <w:rPr>
          <w:rFonts w:ascii="Times New Roman" w:hAnsi="Times New Roman"/>
          <w:color w:val="000000" w:themeColor="text1"/>
          <w:sz w:val="16"/>
          <w:szCs w:val="16"/>
          <w:lang w:eastAsia="ru-RU" w:bidi="ru-RU"/>
        </w:rPr>
        <w:softHyphen/>
        <w:t>сию во главе с известным авиаконструк</w:t>
      </w:r>
      <w:r w:rsidRPr="008127F8">
        <w:rPr>
          <w:rFonts w:ascii="Times New Roman" w:hAnsi="Times New Roman"/>
          <w:color w:val="000000" w:themeColor="text1"/>
          <w:sz w:val="16"/>
          <w:szCs w:val="16"/>
          <w:lang w:eastAsia="ru-RU" w:bidi="ru-RU"/>
        </w:rPr>
        <w:softHyphen/>
        <w:t>тором Н.Н. Поликарповым. Члены комис</w:t>
      </w:r>
      <w:r w:rsidRPr="008127F8">
        <w:rPr>
          <w:rFonts w:ascii="Times New Roman" w:hAnsi="Times New Roman"/>
          <w:color w:val="000000" w:themeColor="text1"/>
          <w:sz w:val="16"/>
          <w:szCs w:val="16"/>
          <w:lang w:eastAsia="ru-RU" w:bidi="ru-RU"/>
        </w:rPr>
        <w:softHyphen/>
        <w:t>сии согласились с заводскими испытате</w:t>
      </w:r>
      <w:r w:rsidRPr="008127F8">
        <w:rPr>
          <w:rFonts w:ascii="Times New Roman" w:hAnsi="Times New Roman"/>
          <w:color w:val="000000" w:themeColor="text1"/>
          <w:sz w:val="16"/>
          <w:szCs w:val="16"/>
          <w:lang w:eastAsia="ru-RU" w:bidi="ru-RU"/>
        </w:rPr>
        <w:softHyphen/>
        <w:t>лями в том, что причиной разворотов на посадке является несинхронная работа тормозов правого и левого колес. Пред</w:t>
      </w:r>
      <w:r w:rsidRPr="008127F8">
        <w:rPr>
          <w:rFonts w:ascii="Times New Roman" w:hAnsi="Times New Roman"/>
          <w:color w:val="000000" w:themeColor="text1"/>
          <w:sz w:val="16"/>
          <w:szCs w:val="16"/>
          <w:lang w:eastAsia="ru-RU" w:bidi="ru-RU"/>
        </w:rPr>
        <w:softHyphen/>
        <w:t>ложено было заменить тормозную гидро</w:t>
      </w:r>
      <w:r w:rsidRPr="008127F8">
        <w:rPr>
          <w:rFonts w:ascii="Times New Roman" w:hAnsi="Times New Roman"/>
          <w:color w:val="000000" w:themeColor="text1"/>
          <w:sz w:val="16"/>
          <w:szCs w:val="16"/>
          <w:lang w:eastAsia="ru-RU" w:bidi="ru-RU"/>
        </w:rPr>
        <w:softHyphen/>
        <w:t>систему, скопированную туполевцами по настоянию ВВС с немецкого бомбарди</w:t>
      </w:r>
      <w:r w:rsidRPr="008127F8">
        <w:rPr>
          <w:rFonts w:ascii="Times New Roman" w:hAnsi="Times New Roman"/>
          <w:color w:val="000000" w:themeColor="text1"/>
          <w:sz w:val="16"/>
          <w:szCs w:val="16"/>
          <w:lang w:eastAsia="ru-RU" w:bidi="ru-RU"/>
        </w:rPr>
        <w:softHyphen/>
        <w:t xml:space="preserve">ровщика </w:t>
      </w:r>
      <w:r w:rsidRPr="008127F8">
        <w:rPr>
          <w:rFonts w:ascii="Times New Roman" w:hAnsi="Times New Roman"/>
          <w:color w:val="000000" w:themeColor="text1"/>
          <w:sz w:val="16"/>
          <w:szCs w:val="16"/>
          <w:lang w:val="en-US" w:bidi="en-US"/>
        </w:rPr>
        <w:t>Ju</w:t>
      </w:r>
      <w:r w:rsidRPr="008127F8">
        <w:rPr>
          <w:rFonts w:ascii="Times New Roman" w:hAnsi="Times New Roman"/>
          <w:color w:val="000000" w:themeColor="text1"/>
          <w:sz w:val="16"/>
          <w:szCs w:val="16"/>
          <w:lang w:bidi="en-US"/>
        </w:rPr>
        <w:t xml:space="preserve"> </w:t>
      </w:r>
      <w:r w:rsidRPr="008127F8">
        <w:rPr>
          <w:rFonts w:ascii="Times New Roman" w:hAnsi="Times New Roman"/>
          <w:color w:val="000000" w:themeColor="text1"/>
          <w:sz w:val="16"/>
          <w:szCs w:val="16"/>
          <w:lang w:eastAsia="ru-RU" w:bidi="ru-RU"/>
        </w:rPr>
        <w:t>88А, на более надежную, при</w:t>
      </w:r>
      <w:r w:rsidRPr="008127F8">
        <w:rPr>
          <w:rFonts w:ascii="Times New Roman" w:hAnsi="Times New Roman"/>
          <w:color w:val="000000" w:themeColor="text1"/>
          <w:sz w:val="16"/>
          <w:szCs w:val="16"/>
          <w:lang w:eastAsia="ru-RU" w:bidi="ru-RU"/>
        </w:rPr>
        <w:softHyphen/>
        <w:t>менявшуюся на самолетах фирмы «Дуг</w:t>
      </w:r>
      <w:r w:rsidRPr="008127F8">
        <w:rPr>
          <w:rFonts w:ascii="Times New Roman" w:hAnsi="Times New Roman"/>
          <w:color w:val="000000" w:themeColor="text1"/>
          <w:sz w:val="16"/>
          <w:szCs w:val="16"/>
          <w:lang w:eastAsia="ru-RU" w:bidi="ru-RU"/>
        </w:rPr>
        <w:softHyphen/>
        <w:t>лас». В качестве же временного решения попробовали на пробеге стопорить хво</w:t>
      </w:r>
      <w:r w:rsidRPr="008127F8">
        <w:rPr>
          <w:rFonts w:ascii="Times New Roman" w:hAnsi="Times New Roman"/>
          <w:color w:val="000000" w:themeColor="text1"/>
          <w:sz w:val="16"/>
          <w:szCs w:val="16"/>
          <w:lang w:eastAsia="ru-RU" w:bidi="ru-RU"/>
        </w:rPr>
        <w:softHyphen/>
        <w:t>стовое колесо. На Ту-2 имелся автомати</w:t>
      </w:r>
      <w:r w:rsidRPr="008127F8">
        <w:rPr>
          <w:rFonts w:ascii="Times New Roman" w:hAnsi="Times New Roman"/>
          <w:color w:val="000000" w:themeColor="text1"/>
          <w:sz w:val="16"/>
          <w:szCs w:val="16"/>
          <w:lang w:eastAsia="ru-RU" w:bidi="ru-RU"/>
        </w:rPr>
        <w:softHyphen/>
        <w:t>ческий стопор, который должен был фик</w:t>
      </w:r>
      <w:r w:rsidRPr="008127F8">
        <w:rPr>
          <w:rFonts w:ascii="Times New Roman" w:hAnsi="Times New Roman"/>
          <w:color w:val="000000" w:themeColor="text1"/>
          <w:sz w:val="16"/>
          <w:szCs w:val="16"/>
          <w:lang w:eastAsia="ru-RU" w:bidi="ru-RU"/>
        </w:rPr>
        <w:softHyphen/>
        <w:t>сировать стойку хвостового колеса при резких ее разворотах, но срабатывал он далеко не всегда. С 20 июля заводские испытатели стали садиться с включенным механическим стопором хвостового ко</w:t>
      </w:r>
      <w:r w:rsidRPr="008127F8">
        <w:rPr>
          <w:rFonts w:ascii="Times New Roman" w:hAnsi="Times New Roman"/>
          <w:color w:val="000000" w:themeColor="text1"/>
          <w:sz w:val="16"/>
          <w:szCs w:val="16"/>
          <w:lang w:eastAsia="ru-RU" w:bidi="ru-RU"/>
        </w:rPr>
        <w:softHyphen/>
        <w:t>леса. Управляемость машины на пробеге значительно улучшилась.</w:t>
      </w:r>
    </w:p>
    <w:p w14:paraId="32E8C54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lastRenderedPageBreak/>
        <w:t>Еще одной серьезной проблемой яв</w:t>
      </w:r>
      <w:r w:rsidRPr="008127F8">
        <w:rPr>
          <w:rFonts w:ascii="Times New Roman" w:hAnsi="Times New Roman"/>
          <w:color w:val="000000" w:themeColor="text1"/>
          <w:sz w:val="16"/>
          <w:szCs w:val="16"/>
          <w:lang w:eastAsia="ru-RU" w:bidi="ru-RU"/>
        </w:rPr>
        <w:softHyphen/>
        <w:t>лялись двигатели. Моторы М-82А, хотя и выпускались серийно, еще оставались достаточно «сырыми». На высоте более 6000 м они недодавали мощность, стра</w:t>
      </w:r>
      <w:r w:rsidRPr="008127F8">
        <w:rPr>
          <w:rFonts w:ascii="Times New Roman" w:hAnsi="Times New Roman"/>
          <w:color w:val="000000" w:themeColor="text1"/>
          <w:sz w:val="16"/>
          <w:szCs w:val="16"/>
          <w:lang w:eastAsia="ru-RU" w:bidi="ru-RU"/>
        </w:rPr>
        <w:softHyphen/>
        <w:t>дали значительными вибрациями и рас</w:t>
      </w:r>
      <w:r w:rsidRPr="008127F8">
        <w:rPr>
          <w:rFonts w:ascii="Times New Roman" w:hAnsi="Times New Roman"/>
          <w:color w:val="000000" w:themeColor="text1"/>
          <w:sz w:val="16"/>
          <w:szCs w:val="16"/>
          <w:lang w:eastAsia="ru-RU" w:bidi="ru-RU"/>
        </w:rPr>
        <w:softHyphen/>
        <w:t>ходовали много масла. Хотя за это отве</w:t>
      </w:r>
      <w:r w:rsidRPr="008127F8">
        <w:rPr>
          <w:rFonts w:ascii="Times New Roman" w:hAnsi="Times New Roman"/>
          <w:color w:val="000000" w:themeColor="text1"/>
          <w:sz w:val="16"/>
          <w:szCs w:val="16"/>
          <w:lang w:eastAsia="ru-RU" w:bidi="ru-RU"/>
        </w:rPr>
        <w:softHyphen/>
        <w:t>чал их конструктор А.Д. Швецов и завод №19, дефекты мотоустановки сильно ска</w:t>
      </w:r>
      <w:r w:rsidRPr="008127F8">
        <w:rPr>
          <w:rFonts w:ascii="Times New Roman" w:hAnsi="Times New Roman"/>
          <w:color w:val="000000" w:themeColor="text1"/>
          <w:sz w:val="16"/>
          <w:szCs w:val="16"/>
          <w:lang w:eastAsia="ru-RU" w:bidi="ru-RU"/>
        </w:rPr>
        <w:softHyphen/>
        <w:t>зывались на летных и эксплуатационных характеристиках Ту-2.</w:t>
      </w:r>
    </w:p>
    <w:p w14:paraId="26E51F7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Кроме того, комиссия подвергла кри</w:t>
      </w:r>
      <w:r w:rsidRPr="008127F8">
        <w:rPr>
          <w:rFonts w:ascii="Times New Roman" w:hAnsi="Times New Roman"/>
          <w:color w:val="000000" w:themeColor="text1"/>
          <w:sz w:val="16"/>
          <w:szCs w:val="16"/>
          <w:lang w:eastAsia="ru-RU" w:bidi="ru-RU"/>
        </w:rPr>
        <w:softHyphen/>
        <w:t>тике чрезмерный вес серийных машин. Весовая отдача у них при нормальной бомбовой нагрузке не превышала 27,5%, в то время как у других самолетов та</w:t>
      </w:r>
      <w:r w:rsidRPr="008127F8">
        <w:rPr>
          <w:rFonts w:ascii="Times New Roman" w:hAnsi="Times New Roman"/>
          <w:color w:val="000000" w:themeColor="text1"/>
          <w:sz w:val="16"/>
          <w:szCs w:val="16"/>
          <w:lang w:eastAsia="ru-RU" w:bidi="ru-RU"/>
        </w:rPr>
        <w:softHyphen/>
        <w:t>кого же класса она составляла около 30%. Это была плата за возможность бомбить с крутого пикирования.</w:t>
      </w:r>
    </w:p>
    <w:p w14:paraId="3EF5F16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Но в целом Поликарпов и его кол</w:t>
      </w:r>
      <w:r w:rsidRPr="008127F8">
        <w:rPr>
          <w:rFonts w:ascii="Times New Roman" w:hAnsi="Times New Roman"/>
          <w:color w:val="000000" w:themeColor="text1"/>
          <w:sz w:val="16"/>
          <w:szCs w:val="16"/>
          <w:lang w:eastAsia="ru-RU" w:bidi="ru-RU"/>
        </w:rPr>
        <w:softHyphen/>
        <w:t>леги поддержали Туполева. В Москву от</w:t>
      </w:r>
      <w:r w:rsidRPr="008127F8">
        <w:rPr>
          <w:rFonts w:ascii="Times New Roman" w:hAnsi="Times New Roman"/>
          <w:color w:val="000000" w:themeColor="text1"/>
          <w:sz w:val="16"/>
          <w:szCs w:val="16"/>
          <w:lang w:eastAsia="ru-RU" w:bidi="ru-RU"/>
        </w:rPr>
        <w:softHyphen/>
        <w:t>правили документ, в котором, в частно</w:t>
      </w:r>
      <w:r w:rsidRPr="008127F8">
        <w:rPr>
          <w:rFonts w:ascii="Times New Roman" w:hAnsi="Times New Roman"/>
          <w:color w:val="000000" w:themeColor="text1"/>
          <w:sz w:val="16"/>
          <w:szCs w:val="16"/>
          <w:lang w:eastAsia="ru-RU" w:bidi="ru-RU"/>
        </w:rPr>
        <w:softHyphen/>
        <w:t>сти, говорилось: «... самолет Ту-2 по своим летно-тактическим данным превосходит современные серийные советские и за</w:t>
      </w:r>
      <w:r w:rsidRPr="008127F8">
        <w:rPr>
          <w:rFonts w:ascii="Times New Roman" w:hAnsi="Times New Roman"/>
          <w:color w:val="000000" w:themeColor="text1"/>
          <w:sz w:val="16"/>
          <w:szCs w:val="16"/>
          <w:lang w:eastAsia="ru-RU" w:bidi="ru-RU"/>
        </w:rPr>
        <w:softHyphen/>
        <w:t>граничные бомбардировщики». Комиссия сочла, что при устранении основных де</w:t>
      </w:r>
      <w:r w:rsidRPr="008127F8">
        <w:rPr>
          <w:rFonts w:ascii="Times New Roman" w:hAnsi="Times New Roman"/>
          <w:color w:val="000000" w:themeColor="text1"/>
          <w:sz w:val="16"/>
          <w:szCs w:val="16"/>
          <w:lang w:eastAsia="ru-RU" w:bidi="ru-RU"/>
        </w:rPr>
        <w:softHyphen/>
        <w:t>фектов самолет сможет успешно выпол</w:t>
      </w:r>
      <w:r w:rsidRPr="008127F8">
        <w:rPr>
          <w:rFonts w:ascii="Times New Roman" w:hAnsi="Times New Roman"/>
          <w:color w:val="000000" w:themeColor="text1"/>
          <w:sz w:val="16"/>
          <w:szCs w:val="16"/>
          <w:lang w:eastAsia="ru-RU" w:bidi="ru-RU"/>
        </w:rPr>
        <w:softHyphen/>
        <w:t>нять боевые задачи.</w:t>
      </w:r>
    </w:p>
    <w:p w14:paraId="7C3BB57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Приемка бомбардировщиков возоб</w:t>
      </w:r>
      <w:r w:rsidRPr="008127F8">
        <w:rPr>
          <w:rFonts w:ascii="Times New Roman" w:hAnsi="Times New Roman"/>
          <w:color w:val="000000" w:themeColor="text1"/>
          <w:sz w:val="16"/>
          <w:szCs w:val="16"/>
          <w:lang w:eastAsia="ru-RU" w:bidi="ru-RU"/>
        </w:rPr>
        <w:softHyphen/>
        <w:t>новилась. Реагируя на требования воен</w:t>
      </w:r>
      <w:r w:rsidRPr="008127F8">
        <w:rPr>
          <w:rFonts w:ascii="Times New Roman" w:hAnsi="Times New Roman"/>
          <w:color w:val="000000" w:themeColor="text1"/>
          <w:sz w:val="16"/>
          <w:szCs w:val="16"/>
          <w:lang w:eastAsia="ru-RU" w:bidi="ru-RU"/>
        </w:rPr>
        <w:softHyphen/>
        <w:t>ных, завод вносил изменения в строящи</w:t>
      </w:r>
      <w:r w:rsidRPr="008127F8">
        <w:rPr>
          <w:rFonts w:ascii="Times New Roman" w:hAnsi="Times New Roman"/>
          <w:color w:val="000000" w:themeColor="text1"/>
          <w:sz w:val="16"/>
          <w:szCs w:val="16"/>
          <w:lang w:eastAsia="ru-RU" w:bidi="ru-RU"/>
        </w:rPr>
        <w:softHyphen/>
        <w:t>еся бомбардировщики. С 5-й серии (июль- август 1942 г.) внедрили тормоза типа «Дуглас» окончательно снявшие про</w:t>
      </w:r>
      <w:r w:rsidRPr="008127F8">
        <w:rPr>
          <w:rFonts w:ascii="Times New Roman" w:hAnsi="Times New Roman"/>
          <w:color w:val="000000" w:themeColor="text1"/>
          <w:sz w:val="16"/>
          <w:szCs w:val="16"/>
          <w:lang w:eastAsia="ru-RU" w:bidi="ru-RU"/>
        </w:rPr>
        <w:softHyphen/>
        <w:t>блемы с неуправляемым разворотом на посадке. Одновременно изменили управ</w:t>
      </w:r>
      <w:r w:rsidRPr="008127F8">
        <w:rPr>
          <w:rFonts w:ascii="Times New Roman" w:hAnsi="Times New Roman"/>
          <w:color w:val="000000" w:themeColor="text1"/>
          <w:sz w:val="16"/>
          <w:szCs w:val="16"/>
          <w:lang w:eastAsia="ru-RU" w:bidi="ru-RU"/>
        </w:rPr>
        <w:softHyphen/>
        <w:t>ление пуском реактивных снарядов. Ра</w:t>
      </w:r>
      <w:r w:rsidRPr="008127F8">
        <w:rPr>
          <w:rFonts w:ascii="Times New Roman" w:hAnsi="Times New Roman"/>
          <w:color w:val="000000" w:themeColor="text1"/>
          <w:sz w:val="16"/>
          <w:szCs w:val="16"/>
          <w:lang w:eastAsia="ru-RU" w:bidi="ru-RU"/>
        </w:rPr>
        <w:softHyphen/>
        <w:t>нее стрельба РС-82 велась с помощью бомбосбрасывателя ЭСБР-6, переклю</w:t>
      </w:r>
      <w:r w:rsidRPr="008127F8">
        <w:rPr>
          <w:rFonts w:ascii="Times New Roman" w:hAnsi="Times New Roman"/>
          <w:color w:val="000000" w:themeColor="text1"/>
          <w:sz w:val="16"/>
          <w:szCs w:val="16"/>
          <w:lang w:eastAsia="ru-RU" w:bidi="ru-RU"/>
        </w:rPr>
        <w:softHyphen/>
        <w:t>чавшегося на другой режим. Бомбы при этом сбрасывать было нельзя. С 5-й серии пуск ракет осуществлялся независимым устройством (21061).</w:t>
      </w:r>
    </w:p>
    <w:p w14:paraId="19AD926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2D5B90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мая</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w:t>
      </w:r>
    </w:p>
    <w:p w14:paraId="4C2926C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Суточные</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данные</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о</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самолетах,</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сданных военпредам</w:t>
      </w:r>
      <w:r>
        <w:rPr>
          <w:rFonts w:ascii="Times New Roman" w:hAnsi="Times New Roman"/>
          <w:color w:val="000000" w:themeColor="text1"/>
          <w:sz w:val="16"/>
          <w:szCs w:val="16"/>
        </w:rPr>
        <w:t xml:space="preserve">  </w:t>
      </w:r>
    </w:p>
    <w:tbl>
      <w:tblPr>
        <w:tblStyle w:val="afffff5"/>
        <w:tblW w:w="7196" w:type="dxa"/>
        <w:tblLook w:val="04A0" w:firstRow="1" w:lastRow="0" w:firstColumn="1" w:lastColumn="0" w:noHBand="0" w:noVBand="1"/>
      </w:tblPr>
      <w:tblGrid>
        <w:gridCol w:w="2957"/>
        <w:gridCol w:w="2113"/>
        <w:gridCol w:w="2126"/>
      </w:tblGrid>
      <w:tr w:rsidR="007C5583" w:rsidRPr="008127F8" w14:paraId="25B1A3BA" w14:textId="77777777" w:rsidTr="004C5D62">
        <w:tc>
          <w:tcPr>
            <w:tcW w:w="2957" w:type="dxa"/>
            <w:vAlign w:val="center"/>
          </w:tcPr>
          <w:p w14:paraId="61C262B5"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Авиазавод</w:t>
            </w:r>
          </w:p>
        </w:tc>
        <w:tc>
          <w:tcPr>
            <w:tcW w:w="2113" w:type="dxa"/>
            <w:vAlign w:val="center"/>
          </w:tcPr>
          <w:p w14:paraId="7951AA98"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Марка самолета</w:t>
            </w:r>
          </w:p>
        </w:tc>
        <w:tc>
          <w:tcPr>
            <w:tcW w:w="2126" w:type="dxa"/>
            <w:vAlign w:val="center"/>
          </w:tcPr>
          <w:p w14:paraId="4D0A7830"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Сдано</w:t>
            </w:r>
          </w:p>
        </w:tc>
      </w:tr>
      <w:tr w:rsidR="007C5583" w:rsidRPr="008127F8" w14:paraId="3B3138E1" w14:textId="77777777" w:rsidTr="004C5D62">
        <w:tc>
          <w:tcPr>
            <w:tcW w:w="2957" w:type="dxa"/>
            <w:vAlign w:val="center"/>
          </w:tcPr>
          <w:p w14:paraId="2AE2EBB1" w14:textId="77777777" w:rsidR="007C5583" w:rsidRPr="008127F8" w:rsidRDefault="007C5583" w:rsidP="004C5D62">
            <w:pPr>
              <w:spacing w:after="0" w:line="240" w:lineRule="auto"/>
              <w:jc w:val="both"/>
              <w:rPr>
                <w:color w:val="000000" w:themeColor="text1"/>
                <w:sz w:val="16"/>
                <w:szCs w:val="16"/>
              </w:rPr>
            </w:pPr>
          </w:p>
        </w:tc>
        <w:tc>
          <w:tcPr>
            <w:tcW w:w="2113" w:type="dxa"/>
          </w:tcPr>
          <w:p w14:paraId="5E78A5F6" w14:textId="77777777" w:rsidR="007C5583" w:rsidRPr="008127F8" w:rsidRDefault="007C5583" w:rsidP="004C5D62">
            <w:pPr>
              <w:spacing w:after="0" w:line="240" w:lineRule="auto"/>
              <w:jc w:val="both"/>
              <w:rPr>
                <w:color w:val="000000" w:themeColor="text1"/>
                <w:sz w:val="16"/>
                <w:szCs w:val="16"/>
              </w:rPr>
            </w:pPr>
          </w:p>
        </w:tc>
        <w:tc>
          <w:tcPr>
            <w:tcW w:w="2126" w:type="dxa"/>
          </w:tcPr>
          <w:p w14:paraId="5583C534" w14:textId="77777777" w:rsidR="007C5583" w:rsidRPr="008127F8" w:rsidRDefault="007C5583" w:rsidP="004C5D62">
            <w:pPr>
              <w:spacing w:after="0" w:line="240" w:lineRule="auto"/>
              <w:jc w:val="both"/>
              <w:rPr>
                <w:color w:val="000000" w:themeColor="text1"/>
                <w:sz w:val="16"/>
                <w:szCs w:val="16"/>
              </w:rPr>
            </w:pPr>
          </w:p>
        </w:tc>
      </w:tr>
      <w:tr w:rsidR="007C5583" w:rsidRPr="008127F8" w14:paraId="7362BF03" w14:textId="77777777" w:rsidTr="004C5D62">
        <w:tc>
          <w:tcPr>
            <w:tcW w:w="2957" w:type="dxa"/>
            <w:vAlign w:val="center"/>
          </w:tcPr>
          <w:p w14:paraId="6A5FD32C"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1</w:t>
            </w:r>
          </w:p>
        </w:tc>
        <w:tc>
          <w:tcPr>
            <w:tcW w:w="2113" w:type="dxa"/>
            <w:vAlign w:val="center"/>
          </w:tcPr>
          <w:p w14:paraId="79352B1A"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Ил-2</w:t>
            </w:r>
          </w:p>
        </w:tc>
        <w:tc>
          <w:tcPr>
            <w:tcW w:w="2126" w:type="dxa"/>
            <w:vAlign w:val="center"/>
          </w:tcPr>
          <w:p w14:paraId="07C388C6"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11</w:t>
            </w:r>
          </w:p>
        </w:tc>
      </w:tr>
      <w:tr w:rsidR="007C5583" w:rsidRPr="008127F8" w14:paraId="69628D35" w14:textId="77777777" w:rsidTr="004C5D62">
        <w:tc>
          <w:tcPr>
            <w:tcW w:w="2957" w:type="dxa"/>
            <w:vAlign w:val="center"/>
          </w:tcPr>
          <w:p w14:paraId="2E46C0F0"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18</w:t>
            </w:r>
          </w:p>
        </w:tc>
        <w:tc>
          <w:tcPr>
            <w:tcW w:w="2113" w:type="dxa"/>
            <w:vAlign w:val="center"/>
          </w:tcPr>
          <w:p w14:paraId="6B6491EC"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Ил-2</w:t>
            </w:r>
          </w:p>
        </w:tc>
        <w:tc>
          <w:tcPr>
            <w:tcW w:w="2126" w:type="dxa"/>
            <w:vAlign w:val="center"/>
          </w:tcPr>
          <w:p w14:paraId="0C3F09AB"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15</w:t>
            </w:r>
          </w:p>
        </w:tc>
      </w:tr>
      <w:tr w:rsidR="007C5583" w:rsidRPr="008127F8" w14:paraId="1D589286" w14:textId="77777777" w:rsidTr="004C5D62">
        <w:tc>
          <w:tcPr>
            <w:tcW w:w="2957" w:type="dxa"/>
            <w:vAlign w:val="center"/>
          </w:tcPr>
          <w:p w14:paraId="04D00AEA"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21</w:t>
            </w:r>
          </w:p>
        </w:tc>
        <w:tc>
          <w:tcPr>
            <w:tcW w:w="2113" w:type="dxa"/>
            <w:vAlign w:val="center"/>
          </w:tcPr>
          <w:p w14:paraId="3C3F729F"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ЛаГГ-3</w:t>
            </w:r>
          </w:p>
        </w:tc>
        <w:tc>
          <w:tcPr>
            <w:tcW w:w="2126" w:type="dxa"/>
            <w:vAlign w:val="center"/>
          </w:tcPr>
          <w:p w14:paraId="691D1FC4"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9</w:t>
            </w:r>
          </w:p>
        </w:tc>
      </w:tr>
      <w:tr w:rsidR="007C5583" w:rsidRPr="008127F8" w14:paraId="02D66362" w14:textId="77777777" w:rsidTr="004C5D62">
        <w:tc>
          <w:tcPr>
            <w:tcW w:w="2957" w:type="dxa"/>
            <w:vAlign w:val="center"/>
          </w:tcPr>
          <w:p w14:paraId="69F9DCDE"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22</w:t>
            </w:r>
          </w:p>
        </w:tc>
        <w:tc>
          <w:tcPr>
            <w:tcW w:w="2113" w:type="dxa"/>
            <w:vAlign w:val="center"/>
          </w:tcPr>
          <w:p w14:paraId="319B27B6"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Пе-2</w:t>
            </w:r>
          </w:p>
        </w:tc>
        <w:tc>
          <w:tcPr>
            <w:tcW w:w="2126" w:type="dxa"/>
            <w:vAlign w:val="center"/>
          </w:tcPr>
          <w:p w14:paraId="284F3CA6"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7</w:t>
            </w:r>
          </w:p>
        </w:tc>
      </w:tr>
      <w:tr w:rsidR="007C5583" w:rsidRPr="008127F8" w14:paraId="107CD2FE" w14:textId="77777777" w:rsidTr="004C5D62">
        <w:tc>
          <w:tcPr>
            <w:tcW w:w="2957" w:type="dxa"/>
            <w:vAlign w:val="center"/>
          </w:tcPr>
          <w:p w14:paraId="75AF471E"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30</w:t>
            </w:r>
          </w:p>
        </w:tc>
        <w:tc>
          <w:tcPr>
            <w:tcW w:w="2113" w:type="dxa"/>
            <w:vAlign w:val="center"/>
          </w:tcPr>
          <w:p w14:paraId="604843A8"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Ил-2</w:t>
            </w:r>
          </w:p>
        </w:tc>
        <w:tc>
          <w:tcPr>
            <w:tcW w:w="2126" w:type="dxa"/>
            <w:vAlign w:val="center"/>
          </w:tcPr>
          <w:p w14:paraId="4F587B3E"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1</w:t>
            </w:r>
          </w:p>
        </w:tc>
      </w:tr>
      <w:tr w:rsidR="007C5583" w:rsidRPr="008127F8" w14:paraId="004313C8" w14:textId="77777777" w:rsidTr="004C5D62">
        <w:tc>
          <w:tcPr>
            <w:tcW w:w="2957" w:type="dxa"/>
            <w:vAlign w:val="center"/>
          </w:tcPr>
          <w:p w14:paraId="1FB7091B"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31</w:t>
            </w:r>
          </w:p>
        </w:tc>
        <w:tc>
          <w:tcPr>
            <w:tcW w:w="2113" w:type="dxa"/>
            <w:vAlign w:val="center"/>
          </w:tcPr>
          <w:p w14:paraId="4BE51871"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ЛаГГ-3</w:t>
            </w:r>
          </w:p>
        </w:tc>
        <w:tc>
          <w:tcPr>
            <w:tcW w:w="2126" w:type="dxa"/>
            <w:vAlign w:val="center"/>
          </w:tcPr>
          <w:p w14:paraId="2EE77367"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4</w:t>
            </w:r>
          </w:p>
        </w:tc>
      </w:tr>
      <w:tr w:rsidR="007C5583" w:rsidRPr="008127F8" w14:paraId="658E9417" w14:textId="77777777" w:rsidTr="004C5D62">
        <w:tc>
          <w:tcPr>
            <w:tcW w:w="2957" w:type="dxa"/>
            <w:vAlign w:val="center"/>
          </w:tcPr>
          <w:p w14:paraId="285A9F92"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39</w:t>
            </w:r>
          </w:p>
        </w:tc>
        <w:tc>
          <w:tcPr>
            <w:tcW w:w="2113" w:type="dxa"/>
            <w:vAlign w:val="center"/>
          </w:tcPr>
          <w:p w14:paraId="37A87B8F"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Пе-2</w:t>
            </w:r>
          </w:p>
        </w:tc>
        <w:tc>
          <w:tcPr>
            <w:tcW w:w="2126" w:type="dxa"/>
            <w:vAlign w:val="center"/>
          </w:tcPr>
          <w:p w14:paraId="5598E4CE"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5</w:t>
            </w:r>
          </w:p>
        </w:tc>
      </w:tr>
      <w:tr w:rsidR="007C5583" w:rsidRPr="008127F8" w14:paraId="18A20C78" w14:textId="77777777" w:rsidTr="004C5D62">
        <w:tc>
          <w:tcPr>
            <w:tcW w:w="2957" w:type="dxa"/>
            <w:vAlign w:val="center"/>
          </w:tcPr>
          <w:p w14:paraId="29D42DB8"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47</w:t>
            </w:r>
          </w:p>
        </w:tc>
        <w:tc>
          <w:tcPr>
            <w:tcW w:w="2113" w:type="dxa"/>
            <w:vAlign w:val="center"/>
          </w:tcPr>
          <w:p w14:paraId="4BEAACE2"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УТ-2</w:t>
            </w:r>
          </w:p>
        </w:tc>
        <w:tc>
          <w:tcPr>
            <w:tcW w:w="2126" w:type="dxa"/>
            <w:vAlign w:val="center"/>
          </w:tcPr>
          <w:p w14:paraId="04F7270F"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2</w:t>
            </w:r>
          </w:p>
        </w:tc>
      </w:tr>
      <w:tr w:rsidR="007C5583" w:rsidRPr="008127F8" w14:paraId="5A751349" w14:textId="77777777" w:rsidTr="004C5D62">
        <w:tc>
          <w:tcPr>
            <w:tcW w:w="2957" w:type="dxa"/>
            <w:vAlign w:val="center"/>
          </w:tcPr>
          <w:p w14:paraId="1BC51CE8" w14:textId="77777777" w:rsidR="007C5583" w:rsidRPr="008127F8" w:rsidRDefault="007C5583" w:rsidP="004C5D62">
            <w:pPr>
              <w:spacing w:after="0" w:line="240" w:lineRule="auto"/>
              <w:jc w:val="both"/>
              <w:rPr>
                <w:color w:val="000000" w:themeColor="text1"/>
                <w:sz w:val="16"/>
                <w:szCs w:val="16"/>
              </w:rPr>
            </w:pPr>
            <w:r w:rsidRPr="008127F8">
              <w:rPr>
                <w:color w:val="000000" w:themeColor="text1"/>
                <w:sz w:val="16"/>
                <w:szCs w:val="16"/>
              </w:rPr>
              <w:t>Всего самолетов: 90, в том числе боевых — 72</w:t>
            </w:r>
          </w:p>
        </w:tc>
        <w:tc>
          <w:tcPr>
            <w:tcW w:w="2113" w:type="dxa"/>
            <w:vAlign w:val="center"/>
          </w:tcPr>
          <w:p w14:paraId="73F2A46E" w14:textId="77777777" w:rsidR="007C5583" w:rsidRPr="008127F8" w:rsidRDefault="007C5583" w:rsidP="004C5D62">
            <w:pPr>
              <w:spacing w:after="0" w:line="240" w:lineRule="auto"/>
              <w:jc w:val="both"/>
              <w:rPr>
                <w:color w:val="000000" w:themeColor="text1"/>
                <w:sz w:val="16"/>
                <w:szCs w:val="16"/>
              </w:rPr>
            </w:pPr>
          </w:p>
        </w:tc>
        <w:tc>
          <w:tcPr>
            <w:tcW w:w="2126" w:type="dxa"/>
            <w:vAlign w:val="center"/>
          </w:tcPr>
          <w:p w14:paraId="3E9AF9FC" w14:textId="77777777" w:rsidR="007C5583" w:rsidRPr="008127F8" w:rsidRDefault="007C5583" w:rsidP="004C5D62">
            <w:pPr>
              <w:spacing w:after="0" w:line="240" w:lineRule="auto"/>
              <w:jc w:val="both"/>
              <w:rPr>
                <w:color w:val="000000" w:themeColor="text1"/>
                <w:sz w:val="16"/>
                <w:szCs w:val="16"/>
              </w:rPr>
            </w:pPr>
          </w:p>
        </w:tc>
      </w:tr>
    </w:tbl>
    <w:p w14:paraId="5871B01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Тем не менее Сталин был недоволен. На ежедневной сводке НКАП, содержавшей воспроизведенные выше сведения, он жирно начертал: «Да подлости немало! Подлость! Подлецы!»(18305).</w:t>
      </w:r>
    </w:p>
    <w:p w14:paraId="1C7D0A4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400B1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29B83E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53D1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мая 1942 года были утверждены:</w:t>
      </w:r>
    </w:p>
    <w:p w14:paraId="569A45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Устав завода № 710 НКВ</w:t>
      </w:r>
    </w:p>
    <w:p w14:paraId="777357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Устав завода № 711 НКВ (9214)</w:t>
      </w:r>
    </w:p>
    <w:p w14:paraId="1EF4A2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мая 1942 года приказом НКВ № 266с на базе филиала завода № 188 был организован.Завод № 711. Завод предназначался для производства 7,62 мм пистолетных патронов. Первоначально завод производил пистолетный патрон с пулей со свинцовым сердечником и латунной гильзой. В июне 1944 года на заводе организуется производство 7,62 мм пистолетного патроны с трассирующей пулей по чертежам НИИ-44. В июне 1947 года завод включается в состав НИИ-44 с программой по опытной тематике НИИ-44 по отработке и совершенствованию патронов стрелкового оружия, гл. образом пиротехнических пуль.</w:t>
      </w:r>
    </w:p>
    <w:p w14:paraId="2A01AC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МА № 391сс от 9 июля 1949 года завод выделяется из состава НИИ-44 в самостоятельный завод с профилем производства патронов стрелкового оружия. В 1953 году построен корпус № 210, но использован для производства гильз быть не мог.</w:t>
      </w:r>
    </w:p>
    <w:p w14:paraId="1D4EDA6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западной части корпуса № 210 размещается ЦКБ-3 с одновременной перебазировкой с завода № 710.</w:t>
      </w:r>
    </w:p>
    <w:p w14:paraId="751CDE5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производственной площади корпуса № 210 размещается полностью переданное заводу производство Краснопресненского механического завода.</w:t>
      </w:r>
    </w:p>
    <w:p w14:paraId="6F8B337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организации завода № 711 директорами были: Максимов П.И. с 26 мая 1942 года, Локтионов Я.И. с 30 июня 1942 года, Кирьянов Н.И. с 10 ноября 1942 года, Подобрянский В.А. с 24 апреля 1946 года, Тарасенко А.Ф. с июня 1947 года, Баранов А.Е. с 21 октября 1947 года, Тарасенко А.Ф. с октября 1948 года, Володин К.А. с июня 1949 года и Бабенко П.А. с 9 декабря 1949 года по 1965 год (10264).</w:t>
      </w:r>
    </w:p>
    <w:p w14:paraId="4A41E6A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3A2B5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мая 1942 вышло Постановление ГКО № 1813 О возврате НКПС Чкаловского паровозоремонтного завода. РГАНИР, Фонд ГКО, д. 36, лл. 107 (11012).</w:t>
      </w:r>
    </w:p>
    <w:p w14:paraId="1B9EB6C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D6ACE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мая 1942 вышло Постановление ГКО № 1814 Об организации Всесоюзного социалистического соревнования строителей металлургических и оборонных заводов, осуществляемых Наркомстроем. (7036, 108,109-112).</w:t>
      </w:r>
    </w:p>
    <w:p w14:paraId="70B43E7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CD0A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мая 1942 вышло Постановление ГКО № 1815 Об организации Всесоюзного социалистического соревнования заводов Наркомата резиновой промышленности. РГАНИР, Фонд ГКО, д. 36, лл. 113, 114-116 (11012).</w:t>
      </w:r>
    </w:p>
    <w:p w14:paraId="4E0D8F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3DC86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мая 1942 вышло Постановление ГКО № 1816 Об организации Всесоюзного социалистического соревнования заводов Народного комиссариата электропромышленности. РГАНИР, Фонд ГКО, д. 36, лл. 117, 118-121 (11012).</w:t>
      </w:r>
    </w:p>
    <w:p w14:paraId="523E8AD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61F9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7DB187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A52B7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26 мая</w:t>
      </w:r>
      <w:r w:rsidRPr="008127F8">
        <w:rPr>
          <w:rFonts w:ascii="Times New Roman" w:hAnsi="Times New Roman"/>
          <w:color w:val="000000" w:themeColor="text1"/>
          <w:sz w:val="16"/>
          <w:szCs w:val="16"/>
        </w:rPr>
        <w:t xml:space="preserve"> в 1942 году утреннее сообщение Совинформбюро:</w:t>
      </w:r>
    </w:p>
    <w:p w14:paraId="4180C64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26 мая на Харьковском направлении наши войска закреплялись на занимаемых рубежах.</w:t>
      </w:r>
    </w:p>
    <w:p w14:paraId="0444448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Изюм-Барвенковском направлении наши войска вели оборонительные бои с танками и пехотой противника.</w:t>
      </w:r>
    </w:p>
    <w:p w14:paraId="4A06A12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существенных изменений не произошло.</w:t>
      </w:r>
    </w:p>
    <w:p w14:paraId="7B60228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Отражая атаки немецко-фашистских войск на Изюм-Барвенковском направлении,наши бойцы наносят тяжёлый урон танковым частям противника. На одном из участков расчёты противотанковых ружей тов. Нестерова метким огнём уничтожили 4 немецких танка. Бойцы под командованием тов. Полякова подорвали на минах 7 немецких танков. Несколько танков противника уничтожили зенитчики части тов. Шевелёва. Особенно большой урон наносят врагу наши танкисты. Одна наша танковая часть за два дня боевых действий уничтожила 27 немецких танков.</w:t>
      </w:r>
    </w:p>
    <w:p w14:paraId="3219E0C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части под командованием тов. Горбунова (Калининский фронт) успешно отбили атаку немцев. Противник потерял убитыми более 200 солдат и офицеров.</w:t>
      </w:r>
    </w:p>
    <w:p w14:paraId="25D0E14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нашей части (Северо-Западный фронт) за один день разрушили 12 немецких ДЗОТов, 14 блиндажей, подавили огонь 9 артиллерийских и 16 миномётных батарей.</w:t>
      </w:r>
    </w:p>
    <w:p w14:paraId="595F0FF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Подразделение лейтенанта тов. Ховалкина артиллерийским огнём вывело из строя расчёты 6 немецких орудий. Неоднократные попытки гитлеровцев увезти эти орудия не увенчались успехом. С наступлением темноты наши бойцы все 6 орудий доставилив свою часть.</w:t>
      </w:r>
    </w:p>
    <w:p w14:paraId="2EF5941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Красноармейцы подразделения младшего политрука тов. Глаголева заметили два вражеских самолёта и открыли по ним групповой огонь из винтовок. Один немецкий самолёт загорелся и разбился на нашей территории.</w:t>
      </w:r>
    </w:p>
    <w:p w14:paraId="1E3FD44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действующий в Смоленской области, 16 мая разгромил крупный карательный отряд немецко-фашистских оккупантов. Гитлеровцы потеряли убитыми до 200 солдат и офицеров.</w:t>
      </w:r>
    </w:p>
    <w:p w14:paraId="11BFAD6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1 роты 211 полка 71 немецкой пехотной дивизии Ульрих Вальтер рассказал: «Несколько дней назад русские неожиданно прорвали нашу линию обороны. Советские танки и следовавшая за ними пехота наводили ужас на наших солдат. Мы понесли очень большие потери. Первый батальон потерял три четверти своего состава. На другой день наш взвод находился в обороне. В нашем блиндаже было 8 человек. Мы решили сдаться. Обер-ефрейтор Лампель привязал белый платок к тесаку и поднял его высоко над головой. Русские заметили сигнал и взяли нас в плен».</w:t>
      </w:r>
    </w:p>
    <w:p w14:paraId="016BAA0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Пленный солдат 4 роты 78 полка 26 немецкой пехотной дивизии Юлиус Зайтерле сообщил: «26 апреля ефрейтор Ганс Майер и солдат Карл Вернер читали советскую листовку. В это время мимо проходил командир роты лейтенант Роммельскирхнер. Он выхватил листовку и разорвал её в клочья. Затем Роммельскирхнер приказал </w:t>
      </w:r>
      <w:r w:rsidRPr="008127F8">
        <w:rPr>
          <w:rFonts w:ascii="Times New Roman" w:hAnsi="Times New Roman"/>
          <w:color w:val="000000" w:themeColor="text1"/>
          <w:sz w:val="16"/>
          <w:szCs w:val="16"/>
        </w:rPr>
        <w:lastRenderedPageBreak/>
        <w:t>выстроить роту и перед строем застрелил Майера и Вернера. Несмотря на свирепый террор, солдаты с большим интересом читают советские листовки и хранят их у себя».</w:t>
      </w:r>
    </w:p>
    <w:p w14:paraId="1A657F3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Гитлеровцы насильно увозят рабочих прибалтийских республик в Германию и превращают их в своих рабов. Оккупанты бросают в концлагеря и тюрьмы всех, кто пытается уклониться от поездки на принудительные работы. В городе Таллин немногие малолетние дети остались беспризорными, так как их родители насильно увезены на принудительные работы в Германию.» (14903).</w:t>
      </w:r>
    </w:p>
    <w:p w14:paraId="42CE4A2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F00ACF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26 мая</w:t>
      </w:r>
      <w:r w:rsidRPr="008127F8">
        <w:rPr>
          <w:rFonts w:ascii="Times New Roman" w:hAnsi="Times New Roman"/>
          <w:color w:val="000000" w:themeColor="text1"/>
          <w:sz w:val="16"/>
          <w:szCs w:val="16"/>
        </w:rPr>
        <w:t xml:space="preserve"> в 1942 году вечернее сообщение Совинформбюро:</w:t>
      </w:r>
    </w:p>
    <w:p w14:paraId="57F7CD8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26 мая на Харьковском направлении наши войска закреплялись на занимаемых рубежах.</w:t>
      </w:r>
    </w:p>
    <w:p w14:paraId="5894999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Изюм-Барвенковском направлении наши войска отражали ожесточённые атаки танков и пехоты противника.</w:t>
      </w:r>
    </w:p>
    <w:p w14:paraId="57D4549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ничего существенного не произошло.</w:t>
      </w:r>
    </w:p>
    <w:p w14:paraId="07BE544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25 мая уничтожено 11 немецких самолётов. Наши потери — 8 самолётов.</w:t>
      </w:r>
    </w:p>
    <w:p w14:paraId="2BB370A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25 мая частями нашей авиации на разных участках фронта уничтожено или повреждено 25 немецких танков, 150 автомашин с войсками и грузами, 20 повозок с боеприпасами, 12 полевых и зенитных орудий, разбит железнодорожный эшелон, рассеяно и частью уничтожено до семи рот пехоты противника.</w:t>
      </w:r>
    </w:p>
    <w:p w14:paraId="1DF54FC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истекшую неделю с 17 по 23 мая уничтожено 332 немецких самолёта. Наши потери за это же время — 127 самолётов.</w:t>
      </w:r>
    </w:p>
    <w:p w14:paraId="67020CA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Харьковского направления, разгромила батальон немецкой пехоты. Противник потерял только убитыми более 250 человек. Артиллеристы подразделения части, которой командует тов. Ганиев, уничтожили до двух рот пехоты противника, 2 миномётные батареи и 2 автомашины с военным грузом. На другом участке наши бойцы отразили контратаку немцев и, преследуя противника, заняли один населённый пункт. Гитлеровцы потеряли убитыми 350 солдат и офицеров. Сожжено 4 немецких танка, захвачено 6 орудий, 11 пулемётов, 7 миномётов и склад с боеприпасами.</w:t>
      </w:r>
    </w:p>
    <w:p w14:paraId="54AB9B6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Северо-Западного фронта наши бойцы атаковали сильно укреплённый пункт. После непродолжительного уличного боя противник был вынужден отступить, оставив сотни трупов и вооружение. На другом участке танкисты под командованием тов. Охрименко уничтожили 4 противотанковых орудия и несколько вражеских ДЗОТов. Под развалинами только одного ДЗОТа обнаружено 30 трупов немецких солдат.</w:t>
      </w:r>
    </w:p>
    <w:p w14:paraId="5675EEF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Получено сообщение о боях между нашими частями, действующими в тылу противника совместно с партизанскими отрядами, с одной стороны, и значительными силами немцев — с другой стороны. Полк немецкой пехоты, поддержанный танками, перешёл в наступление на позиции одной нашей части. К исходу дня немецким оккупантам удалось потеснить наши войска и овладеть одним населённым пунктом. Однако, перейдя в контратаку, наши бойцы вскоре выбили немцев из деревни. Противник предпринял после этого много ожесточённых атак, но все они были отбиты. По предварительным данным, наши бойцы вместе с партизанами в двухдневных боях уничтожили 38 немецких танков, 2 бронемашины, 15 автомашин и не менее 3.000 немецких солдат и офицеров.</w:t>
      </w:r>
    </w:p>
    <w:p w14:paraId="055CB80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Наводчик тов. Овчаренко подпустил немецкие танки на близкое расстояние и первым же выстрелом из пушки вывел из строя головную машину. В течение нескольких минут метким огнём был подбит второй немецкий танк. Остальные танки противника быстро повернули обратно.</w:t>
      </w:r>
    </w:p>
    <w:p w14:paraId="510C663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наших разведчиков во главе со старшим лейтенантом Дробининым, выполняя боевое задание, вступила в бой с превосходящими силами противника. В короткой и ожесточённой схватке бойцы уничтожили до 40 белофинских солдат и офицеров и захватили трофеи.</w:t>
      </w:r>
    </w:p>
    <w:p w14:paraId="63B93F7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207 немецкой пехотной дивизии Фридрих М. заявил: «Я пробыл на фронте всего пять дней, а на шестой добровольно сдался в плен. За это непродолжительное время я убедился, что многие солдаты пускаются на самые различные уловки, чтобы вырваться в тыл. Солдаты выпивают большие дозы сырой воды, чтобы заболеть дизентерией и попасть в госпиталь. В роте много больных. Несколько солдат заболело сыпным тифом. Медицинского персонала в полку очень мало, в нашей роте не было даже фельдшера. В первый же день пребывания на фронте нам зачитали приказ о том, что дезертировавший солдат 12 роты заочно приговорён к расстрелу».</w:t>
      </w:r>
    </w:p>
    <w:p w14:paraId="54C5888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Германии производятся массовые аресты и расстрелы лиц, недовольных войной и гитлеровским режимом. В Эссене в ночь на 19 мая было расстреляно без суда свыше 100 человек. В Хамме гестапо арестовало 40 человек. Многие из них также расстреляны. Несмотря на кровавые расправы, антивоенные настроения в стране усиливаются. 21 мая фашистская газета «Националь цейтунг» была вынуждена сделать ценное признание: «В нашем народе,— пишет эта газета,— раздаются голоса, которые позволяют сделать вывод о существовании сомнений в возможности повторения нашей армией в этом году таких же ударов, какие были нанесены в прошлом году. Думают,что боевой дух нашей армии оказался подорванным...» В этих строках фашистского листка проглядывает животный страх гитлеровской шайки, которая видит, что тыл Германии трещит по всем швам.» (14903).</w:t>
      </w:r>
    </w:p>
    <w:p w14:paraId="3912C4D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016F96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мая 1942 штурмовики 230-й шад вследствие нечетко поставленной боевой задачи нанесли бомбоштурмовой удар в районе Чепеля по своим танкам, которые при поддержке пехоты вели бой с противником. Танкисты были вынуждены приостановить атаку. После ухода Ил-2 над полем боя появились немецкие бомбардировщики и группами по 20-30 самолетов бомбили боевые порядки советских танкистов (12020).</w:t>
      </w:r>
    </w:p>
    <w:p w14:paraId="2C6A90D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43CA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мая 1942 было проведено теоретическое занятие для летного и технического состава эскадрильи 4./ Sch.G.1 (аэродром Барвенково в 60 км северо-западнее Константиновки) по основам эксплуатации и боевого применения пушек МК101 против танков. Особое внимание обращалось на изучение вопросов применения и снаряжения 30мм снарядов из боекомплекта к пушке, включая и специальные подкалиберные снаряды с вольфрамовым сердечником (тип "101"). При обучении использовались макеты танков, схемы и рисунки самой пушки и снарядов к ней в разрезах (8907).</w:t>
      </w:r>
    </w:p>
    <w:p w14:paraId="36A9FE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A6A804" w14:textId="77777777" w:rsidR="007C5583" w:rsidRPr="008127F8" w:rsidRDefault="007C5583" w:rsidP="007C5583">
      <w:pPr>
        <w:pStyle w:val="194"/>
        <w:shd w:val="clear" w:color="auto" w:fill="auto"/>
        <w:spacing w:before="0" w:after="0"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26 мая 1942 г. при выходе с боем из окружения на Барвенковском плацдарме войск Юго-Западного фронта была сосредо</w:t>
      </w:r>
      <w:r w:rsidRPr="008127F8">
        <w:rPr>
          <w:rFonts w:ascii="Times New Roman" w:hAnsi="Times New Roman" w:cs="Times New Roman"/>
          <w:color w:val="000000" w:themeColor="text1"/>
          <w:sz w:val="16"/>
          <w:szCs w:val="16"/>
        </w:rPr>
        <w:softHyphen/>
        <w:t>точена группа из 60 боеспособных советских танков различных модификаций и 22 тысяч военнослужащих. К своим вышли лишь 5 тысяч человек и пять танков, а также одна зенитная пулеметная установка на базе ГАЗ- ААА, которая осуществляла прикрытие про</w:t>
      </w:r>
      <w:r w:rsidRPr="008127F8">
        <w:rPr>
          <w:rFonts w:ascii="Times New Roman" w:hAnsi="Times New Roman" w:cs="Times New Roman"/>
          <w:color w:val="000000" w:themeColor="text1"/>
          <w:sz w:val="16"/>
          <w:szCs w:val="16"/>
        </w:rPr>
        <w:softHyphen/>
        <w:t>рыва огнем «с хода»</w:t>
      </w:r>
      <w:r w:rsidRPr="008127F8">
        <w:rPr>
          <w:rFonts w:ascii="Times New Roman" w:hAnsi="Times New Roman" w:cs="Times New Roman"/>
          <w:color w:val="000000" w:themeColor="text1"/>
          <w:sz w:val="16"/>
          <w:szCs w:val="16"/>
          <w:lang w:val="ru-RU"/>
        </w:rPr>
        <w:t xml:space="preserve"> (19860)</w:t>
      </w:r>
      <w:r w:rsidRPr="008127F8">
        <w:rPr>
          <w:rFonts w:ascii="Times New Roman" w:hAnsi="Times New Roman" w:cs="Times New Roman"/>
          <w:color w:val="000000" w:themeColor="text1"/>
          <w:sz w:val="16"/>
          <w:szCs w:val="16"/>
        </w:rPr>
        <w:t>.</w:t>
      </w:r>
    </w:p>
    <w:p w14:paraId="3E885EF8" w14:textId="77777777" w:rsidR="007C5583" w:rsidRPr="008127F8" w:rsidRDefault="007C5583" w:rsidP="007C5583">
      <w:pPr>
        <w:pStyle w:val="194"/>
        <w:shd w:val="clear" w:color="auto" w:fill="auto"/>
        <w:spacing w:before="0" w:after="0" w:line="240" w:lineRule="auto"/>
        <w:jc w:val="both"/>
        <w:rPr>
          <w:rFonts w:ascii="Times New Roman" w:hAnsi="Times New Roman" w:cs="Times New Roman"/>
          <w:color w:val="000000" w:themeColor="text1"/>
          <w:sz w:val="16"/>
          <w:szCs w:val="16"/>
        </w:rPr>
      </w:pPr>
    </w:p>
    <w:p w14:paraId="10B02E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мая 1942 После вынужденного перерыва, с восстановлением нормальных погодных УСЛОВИЙ, возобновила активность истребительная авиация противника. 9 побед.заявили летчики JG 3. Продолжили увеличение личных счетов и пилоты JG 52. Сбив Ил-2 и ЛаГГ-3, Баркхорн достиг планки в 15 побед, а капитан Штайнхоф из штаб и о и эскадрильи II./JG 52. сбивший в этот день два Ил-2, перешагнул через барьер в 00 побед. Тяжелым оказался этот день для авиации 0-и армии, особенно досталось бомбардировщикам. При выполнении задания истребителями был сбит У-2 ст.л-та Перевозчикова из 033-го НБАП, а Су-2 13-го ГвБАП, вы-гюлнявшие боевое задание в районе Петровской, также были атакованы истребителями противника. В результате были сбиты 2 Cv-2 и еще один совершил вынужденную посадку на своей территории. В бою в районе Слабуновки был сбит ЛаГГ-3 командира эскадрильи 181-го ИАП ст.л-та Колоколова, а л-ту Ефименко пришлось садиться на вынужденную на поврежденном истребителе. Сел на вынужденную и л-т Шунялов после боя в районе Бригадировки. В районе Кунье был сбит И-153 л-та Матвеева из 92-го ИАП. Досталось и истребителям 512-го ИАП. После боя в районе Купянска пришлось идти на вынужденную командиру эскадрильи ст.л-ту Ивану Моторному. При посадке самолет был разбит. Получивший ранение в бою командир звена л-т Алексей Мозгов также совершил вынужденную посадку, а мл.л-т Алексей Васильев разбил самолет при попытке сесть на вынужденную. 26 мая 1942 в составе ВВС ЮФ вступили в бои на Изюм-Барвенковском направлении полки 230-й ШАД подполковника С.Г.Гетьмана. С ходу брошенные в бой. штурмовики сразу понесли серьезные потери. Только в 210-м ШАП, действовавшем с аэродрома Трехизбенки, за первые три дня погибло четыре летчика. 26 мая погиб ст.л-т С.В.Корниенко, на следующий день погибли л-т Г.К.Важакин и мл.л-т Е.Г.Мыльников, а третий день боев полка был омрачен гибелью зам. к-ра эскадрильи ст.л-та Ивана Иосифовича Раубе (9394,16).</w:t>
      </w:r>
    </w:p>
    <w:p w14:paraId="52005F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4CCF6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мая 1942 прорвав окружение у Вязьмы, 4-й воздушно-десантный корпус советских войск начал рейд по тылам немцев (4962).</w:t>
      </w:r>
    </w:p>
    <w:p w14:paraId="64BE227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3C62E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26 мая</w:t>
      </w:r>
      <w:r w:rsidRPr="008127F8">
        <w:rPr>
          <w:rFonts w:ascii="Times New Roman" w:hAnsi="Times New Roman"/>
          <w:color w:val="000000" w:themeColor="text1"/>
          <w:sz w:val="16"/>
          <w:szCs w:val="16"/>
        </w:rPr>
        <w:t xml:space="preserve"> в 1942 году прорвав фронт окружения, части 4-го воздушно-десантного корпуса, удерживавшие совместно с 1-м гвардейским кавалерийским корпусом (командующий генерал-майор П.А.Белов) и партизанскими отрядами значительный район южнее Вязьмы, начали рейд по немецким тылам (14903).</w:t>
      </w:r>
    </w:p>
    <w:p w14:paraId="40AA280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ACF848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с 26 на 27 мая 1942 17 бомбардировщиков Ил-4 747-го авиационного полка дальнего действия сбросили на цель №2 68 бомб ЗАБ-100цк и 102 ФАБ-100ГТТ. Еще три самолета бомбили Невель, Каунас и Двинск. В ходе налета были потеряны экипажи майора С.П. Казьмина, капитана С.К. Асатова, старшего лейтенанта Н.Д. Тарелкина. Старший лейтенант Тарелкин вместе со штурманом и стрелком-радистом смог через восемь суток перейти линию фронта и вернуться в часть. Воздушный стрелок сержант А.А. Терехин двигался отдельно от остального экипажа и был позже переправлен через линию фронта партизанами (22728).</w:t>
      </w:r>
    </w:p>
    <w:p w14:paraId="661B973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B84FBF6"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мая 1942 года была закончена подготовка орудия «Густав» к стрельбе в Севастополе. Непосредственное обслуживание железнодорожной артустановки «80 см К(Е)» было возложено на специально созданную для этого вой­ сковую часть — 672-й артдивизион численностью около 500 человек. Охрану осуществляла караульная рота в 300 человек, а также подразделение военной полиции с собаками. Кроме того, орудию было приданы военно-химическое подразделение в количестве 500 человек, предназначенное для постановки дымовой завесы, и усиленный артдивизион ПВО в 400 человек. Таким образом, общая численность личного состава, привлеченного к обслуживанию «сверхорудия», составляла более 4000 человек (11454).</w:t>
      </w:r>
    </w:p>
    <w:p w14:paraId="47C2E42F"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p>
    <w:p w14:paraId="1AB8B4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lastRenderedPageBreak/>
        <w:t>Внешняя политика:</w:t>
      </w:r>
    </w:p>
    <w:p w14:paraId="3AEE427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77AD2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мая 1942 В. Молотов в Англии подписал советско-английский договор о военном союзе (4962).</w:t>
      </w:r>
    </w:p>
    <w:p w14:paraId="473ADC01"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16F19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мая 1942 Молотову пришлось подписать советско-английский договор. В нем содержались обязательства по взаимопомощи, а также обязательство не заключать сепаратного мира. Вторая часть договора, которая должна была оставаться в силе 20 лет, закладывала основы для послевоенного сотрудничества как в предотвращении возможной агрессии, так и в послевоенном урегулировании. Обе стороны обязались не стремиться к территориальным приобретениям и не вмешиваться в дела других стран. Этот договор стал формальной основой для сотрудничества между Великобританией и СССР. Партнеры стали союзниками. Молотов тем не менее заявил Черчиллю, что он считает вопрос о втором фронте более важным, чем договор. Следующей остановкой на пути Молотова был Вашингтон. Рузвельт, на которого произвели впечатления, зловещие пророчества Молотова о том, что Советский Союз может отступить за Волгу, оставив экономически богатые районы Германии, если второй фронт не будет открыт, просил передать Сталину, что союзники планируют открыть второй фронт в 1942 г. Но Рузвельт не уточнил, где именно - в Северной Европе, как того хотела Москва, или в каком-то другом месте. Кроме того, Рузвельт развернул перед Молотовым блестящие перспективы послевоенного сотрудничества. Нынешние агрессоры должны быть разоружены и остаться разоруженными. Подобный контроль должен распространяться и на других нарушителей спокойствия, может быть, даже на Францию. Этот контроль должны осуществлять США, СССР, Великобритания и, возможно, Китай. Молотов заявил, что советское правительство полностью поддерживает эти предложения. Рузвельт перешел к колониальным владениям, принадлежащим слабым державам. Ради всеобщей безопасности они должны быть переданы под международную опеку. Молотов снова с энтузиазмом поддержал президента. Уклонившись от опасной темы признания новых границ СССР, американский президент открыл перед советскими лидерами головокружительные перспективы. СССР превращался в одного из трех мировых полицейских. Эта идея глубоко запала в голову Сталину, и дальнейшее взаимодействие с союзниками он будет строить на этой основе, все более переориентируясь на США как на главного партнера. Молотов вернулся в Лондон с коммюнике, требующим британского одобрения и констатирующим полное понимание в вопросе о необходимости открытия второго фронта в Европе в 1942 году. Иден сказал Молотову, что это коммюнике поможет напугать и обмануть немцев. Молотов согласился, ядовито добавив при этом, что между друзьями обмана быть не должно. По возвращении Молотова в Москву выяснилось, что Сталин намерен трактовать коммюнике как обязательство союзников действительно открыть второй фронт (3871).</w:t>
      </w:r>
    </w:p>
    <w:p w14:paraId="633F4F4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D02D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мая 1942 было подписано 20 летнее советско-английское соглашение (2261).</w:t>
      </w:r>
    </w:p>
    <w:p w14:paraId="637B07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D0A3B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26 мая</w:t>
      </w:r>
      <w:r w:rsidRPr="008127F8">
        <w:rPr>
          <w:rFonts w:ascii="Times New Roman" w:hAnsi="Times New Roman"/>
          <w:color w:val="000000" w:themeColor="text1"/>
          <w:sz w:val="16"/>
          <w:szCs w:val="16"/>
        </w:rPr>
        <w:t xml:space="preserve"> в 1942 году в Лондоне был подписан советско-английский договор сроком на 20 лет «О союзе в войне против фашистской Германии и ее сообщников в Европе и о сотрудничестве и взаимной помощи после завершения войны» (14903).</w:t>
      </w:r>
    </w:p>
    <w:p w14:paraId="3C25A26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AD4647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111E53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684A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мая 1942 первый полет выполнил ХР-61 Блэк Видоу (2255).</w:t>
      </w:r>
    </w:p>
    <w:p w14:paraId="630D08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14BED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мая 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Впервые поднялся в воздух с взлетной полосы аэродрома Northrop Field прототип XP-61, оснащенный двумя звездообразными двигателями Pratt&amp;Whitney R-2800-25 Double Wasp, летчик-испытатель компании Northrop Вэнс Брис (Vance Breese). Построено 742 экземпляра (22489).</w:t>
      </w:r>
    </w:p>
    <w:p w14:paraId="64EAB7F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BA15C5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26 мая</w:t>
      </w:r>
      <w:r w:rsidRPr="008127F8">
        <w:rPr>
          <w:rFonts w:ascii="Times New Roman" w:hAnsi="Times New Roman"/>
          <w:color w:val="000000" w:themeColor="text1"/>
          <w:sz w:val="16"/>
          <w:szCs w:val="16"/>
        </w:rPr>
        <w:t xml:space="preserve"> в 1942 году впервые поднялся в воздух с взлетной полосы аэродрома «Northrop Field» прототип </w:t>
      </w:r>
      <w:hyperlink r:id="rId36" w:tgtFrame="_blank" w:history="1">
        <w:r w:rsidRPr="008127F8">
          <w:rPr>
            <w:rFonts w:ascii="Times New Roman" w:hAnsi="Times New Roman"/>
            <w:color w:val="000000" w:themeColor="text1"/>
            <w:sz w:val="16"/>
            <w:szCs w:val="16"/>
          </w:rPr>
          <w:t xml:space="preserve">«XP-61», </w:t>
        </w:r>
      </w:hyperlink>
      <w:r w:rsidRPr="008127F8">
        <w:rPr>
          <w:rFonts w:ascii="Times New Roman" w:hAnsi="Times New Roman"/>
          <w:color w:val="000000" w:themeColor="text1"/>
          <w:sz w:val="16"/>
          <w:szCs w:val="16"/>
        </w:rPr>
        <w:t>оснащенный двумя звездообразными двигателями «Pratt&amp;Whitney» «R-2800-25» «Double Wasp», летчик-испытатель компании Northrop Вэнс Брис (Vance Breese) (14903).</w:t>
      </w:r>
    </w:p>
    <w:p w14:paraId="18608A5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AA7F46F" w14:textId="77777777" w:rsidR="007C5583" w:rsidRPr="008127F8" w:rsidRDefault="007C5583" w:rsidP="007C5583">
      <w:pPr>
        <w:spacing w:after="0" w:line="240" w:lineRule="auto"/>
        <w:jc w:val="both"/>
        <w:rPr>
          <w:rFonts w:ascii="Times New Roman" w:hAnsi="Times New Roman"/>
          <w:color w:val="000000" w:themeColor="text1"/>
          <w:sz w:val="16"/>
          <w:szCs w:val="16"/>
          <w:lang w:val="en-US"/>
        </w:rPr>
      </w:pPr>
      <w:r w:rsidRPr="008127F8">
        <w:rPr>
          <w:rFonts w:ascii="Times New Roman" w:hAnsi="Times New Roman"/>
          <w:bCs/>
          <w:color w:val="000000" w:themeColor="text1"/>
          <w:sz w:val="16"/>
          <w:szCs w:val="16"/>
        </w:rPr>
        <w:t>26 мая</w:t>
      </w:r>
      <w:r w:rsidRPr="008127F8">
        <w:rPr>
          <w:rFonts w:ascii="Times New Roman" w:hAnsi="Times New Roman"/>
          <w:color w:val="000000" w:themeColor="text1"/>
          <w:sz w:val="16"/>
          <w:szCs w:val="16"/>
        </w:rPr>
        <w:t xml:space="preserve"> в 1942 году подводная лодка «У-5» с четырьмя агентами-диверсантами Абвера на борту выходит из порта Бордо к атлантическому побережью США</w:t>
      </w:r>
      <w:r w:rsidRPr="008127F8">
        <w:rPr>
          <w:rFonts w:ascii="Times New Roman" w:hAnsi="Times New Roman"/>
          <w:color w:val="000000" w:themeColor="text1"/>
          <w:sz w:val="16"/>
          <w:szCs w:val="16"/>
          <w:lang w:val="en-US"/>
        </w:rPr>
        <w:t xml:space="preserve"> (</w:t>
      </w:r>
      <w:r w:rsidRPr="008127F8">
        <w:rPr>
          <w:rFonts w:ascii="Times New Roman" w:hAnsi="Times New Roman"/>
          <w:color w:val="000000" w:themeColor="text1"/>
          <w:sz w:val="16"/>
          <w:szCs w:val="16"/>
        </w:rPr>
        <w:t>операция</w:t>
      </w:r>
      <w:r w:rsidRPr="008127F8">
        <w:rPr>
          <w:rFonts w:ascii="Times New Roman" w:hAnsi="Times New Roman"/>
          <w:color w:val="000000" w:themeColor="text1"/>
          <w:sz w:val="16"/>
          <w:szCs w:val="16"/>
          <w:lang w:val="en-US"/>
        </w:rPr>
        <w:t xml:space="preserve"> «</w:t>
      </w:r>
      <w:r w:rsidRPr="008127F8">
        <w:rPr>
          <w:rFonts w:ascii="Times New Roman" w:hAnsi="Times New Roman"/>
          <w:color w:val="000000" w:themeColor="text1"/>
          <w:sz w:val="16"/>
          <w:szCs w:val="16"/>
        </w:rPr>
        <w:t>Пастух</w:t>
      </w:r>
      <w:r w:rsidRPr="008127F8">
        <w:rPr>
          <w:rFonts w:ascii="Times New Roman" w:hAnsi="Times New Roman"/>
          <w:color w:val="000000" w:themeColor="text1"/>
          <w:sz w:val="16"/>
          <w:szCs w:val="16"/>
          <w:lang w:val="en-US"/>
        </w:rPr>
        <w:t>») (14903).</w:t>
      </w:r>
    </w:p>
    <w:p w14:paraId="28593572" w14:textId="77777777" w:rsidR="007C5583" w:rsidRPr="008127F8" w:rsidRDefault="007C5583" w:rsidP="007C5583">
      <w:pPr>
        <w:spacing w:after="0" w:line="240" w:lineRule="auto"/>
        <w:jc w:val="both"/>
        <w:rPr>
          <w:rFonts w:ascii="Times New Roman" w:hAnsi="Times New Roman"/>
          <w:color w:val="000000" w:themeColor="text1"/>
          <w:sz w:val="16"/>
          <w:szCs w:val="16"/>
          <w:lang w:val="en-US"/>
        </w:rPr>
      </w:pPr>
    </w:p>
    <w:p w14:paraId="016418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May 26th, 1942: In Libya, the German Afrikakorps begins an attack against the British Gazala line (Operation Theseus), but is held up at Bir Hacheim which is defended by Free French forces (3819).</w:t>
      </w:r>
    </w:p>
    <w:p w14:paraId="780148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452A601"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мая 1942 войска Роммеля начали наступление на позиции 8-й британской армии у Эль-Газалы (4963 ).</w:t>
      </w:r>
    </w:p>
    <w:p w14:paraId="51B76F5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3679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May 26 1942 Rommel begins offensive against Gazala Line (1050).</w:t>
      </w:r>
    </w:p>
    <w:p w14:paraId="15DC2B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A78DC3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мая 1942 Роммель начал наступление против Линии Газала (1050) - Операция Тенссей (2245,4).</w:t>
      </w:r>
    </w:p>
    <w:p w14:paraId="49A5EC3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650FC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26 мая</w:t>
      </w:r>
      <w:r w:rsidRPr="008127F8">
        <w:rPr>
          <w:rFonts w:ascii="Times New Roman" w:hAnsi="Times New Roman"/>
          <w:color w:val="000000" w:themeColor="text1"/>
          <w:sz w:val="16"/>
          <w:szCs w:val="16"/>
        </w:rPr>
        <w:t xml:space="preserve"> в 1942 году войска Роммеля начали наступление на позиции 8-й британской армии у Эль-Газалы (14903).</w:t>
      </w:r>
    </w:p>
    <w:p w14:paraId="291BAF9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62C33C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26 мая</w:t>
      </w:r>
      <w:r w:rsidRPr="008127F8">
        <w:rPr>
          <w:rFonts w:ascii="Times New Roman" w:hAnsi="Times New Roman"/>
          <w:color w:val="000000" w:themeColor="text1"/>
          <w:sz w:val="16"/>
          <w:szCs w:val="16"/>
        </w:rPr>
        <w:t xml:space="preserve"> в 1942 году скончался от инфаркта мультимиллионер Джон Ромулус Бринкли. Америка – поистине страна неограниченных возможностей. И лучшим примером тому стал Джон Ромулус Бринкли, превратившийся из бедного деревенского мальчика в мультимиллионера, медиамагната и светило американской медицины. И самое интересное, что добился славы и денег Джон за счет козлиных яиц. Как говорится в одной русской сказке: «Есть яичко простое, е есть – золотое». Бринкли сделал сказку былью, а козлиные яйца – золотыми. На Бринкли работала целая индустрия по вживлению людям козлиных яиц. На операцию к нему ехали со всего света. Деньги он просто греб лопатой. К сорока годам некогда бедный деревенский мальчик стал настоящим богачом. Его состояние оценивалось в 12 миллионов долларов, он владел личным самолетом, 115-футовой яхтой, четырьмя кадиллаками, а его жена Минни купалась в драгоценностях. Однако такой сказочный жизненный взлет очень не нравился врачам из Американской медицинской ассоциации, которым их хлеб давался трудным исцелением больных людей. Эта ассоциация добилась, чтобы Бринкли лишили медицинской лицензии. Потом последовали несколько судебных исков от недовольных результатом операции пациентов. Затем Федеральная комиссия по радиовещанию отобрала частоты у его радиостанции. Нападки на Бринкли начались со всех сторон. Чтобы защититься от судебных исков, он объявил себя банкротом, а чтобы уберечь свободу стал баллотироваться на пост губернатора Канзаса. Однако власти не захотели пущать человека по прозвищу «козлиный хирург» в политический огород. Избирательная комиссия признала значительную часть бюллетеней, поданных за Бринкли неправильно оформленными и отмела их. В 1941 году Джон выставил свою кандидатуру на выборах в сенат, но опять потерпел неудачу. Это стало дня него последней каплей, подточившей его собственное здоровье. 26 мая 1942 года он скончался от инфаркта. Один из его бывших пациентов не смог сдержать слез: «Конечно, он обобрал меня... Но вы не представляете, каким удивительным человеком он был!» (14903).</w:t>
      </w:r>
    </w:p>
    <w:p w14:paraId="08CA75A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A0FD8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2CE1B7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397A77"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27 мая 1942 г. Приказом командующего ВВС КА генерал-лейте</w:t>
      </w:r>
      <w:r w:rsidRPr="008127F8">
        <w:rPr>
          <w:color w:val="000000" w:themeColor="text1"/>
          <w:sz w:val="16"/>
          <w:szCs w:val="16"/>
        </w:rPr>
        <w:softHyphen/>
        <w:t>нанта А. А. Новикова НИП АВ обя</w:t>
      </w:r>
      <w:r w:rsidRPr="008127F8">
        <w:rPr>
          <w:color w:val="000000" w:themeColor="text1"/>
          <w:sz w:val="16"/>
          <w:szCs w:val="16"/>
        </w:rPr>
        <w:softHyphen/>
        <w:t>зывался совместно с НИИ ВВС провести всесторон</w:t>
      </w:r>
      <w:r w:rsidRPr="008127F8">
        <w:rPr>
          <w:color w:val="000000" w:themeColor="text1"/>
          <w:sz w:val="16"/>
          <w:szCs w:val="16"/>
        </w:rPr>
        <w:softHyphen/>
        <w:t>ние исследования по оценке действенности состо</w:t>
      </w:r>
      <w:r w:rsidRPr="008127F8">
        <w:rPr>
          <w:color w:val="000000" w:themeColor="text1"/>
          <w:sz w:val="16"/>
          <w:szCs w:val="16"/>
        </w:rPr>
        <w:softHyphen/>
        <w:t>ящих на вооружении авиации средств поражения танков и разработать рациональную тактику и спо</w:t>
      </w:r>
      <w:r w:rsidRPr="008127F8">
        <w:rPr>
          <w:color w:val="000000" w:themeColor="text1"/>
          <w:sz w:val="16"/>
          <w:szCs w:val="16"/>
        </w:rPr>
        <w:softHyphen/>
        <w:t>собы боевого применения самолетов Ил-2, в том числе с пушками калибра 37 мм.</w:t>
      </w:r>
    </w:p>
    <w:p w14:paraId="3A1C1F44"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Руководил работами известный специалист по боевому применению штурмовой авиации подпол</w:t>
      </w:r>
      <w:r w:rsidRPr="008127F8">
        <w:rPr>
          <w:color w:val="000000" w:themeColor="text1"/>
          <w:sz w:val="16"/>
          <w:szCs w:val="16"/>
        </w:rPr>
        <w:softHyphen/>
        <w:t>ковник Н. И. Шауров. Он разрабатывал от ВВС так</w:t>
      </w:r>
      <w:r w:rsidRPr="008127F8">
        <w:rPr>
          <w:color w:val="000000" w:themeColor="text1"/>
          <w:sz w:val="16"/>
          <w:szCs w:val="16"/>
        </w:rPr>
        <w:softHyphen/>
        <w:t>тико-технические требования на самолеты-штур</w:t>
      </w:r>
      <w:r w:rsidRPr="008127F8">
        <w:rPr>
          <w:color w:val="000000" w:themeColor="text1"/>
          <w:sz w:val="16"/>
          <w:szCs w:val="16"/>
        </w:rPr>
        <w:softHyphen/>
        <w:t>мовики. Его заместителем на период испытаний являлся инженер-майор Л. И. Лось (НИИ ВВС). Ве</w:t>
      </w:r>
      <w:r w:rsidRPr="008127F8">
        <w:rPr>
          <w:color w:val="000000" w:themeColor="text1"/>
          <w:sz w:val="16"/>
          <w:szCs w:val="16"/>
        </w:rPr>
        <w:softHyphen/>
        <w:t>дущим инженером по испытаниям был назначен инженер-подполковник В. А. Чернорез (НИП АВ), ведущим инженером по броне — инженер-под</w:t>
      </w:r>
      <w:r w:rsidRPr="008127F8">
        <w:rPr>
          <w:color w:val="000000" w:themeColor="text1"/>
          <w:sz w:val="16"/>
          <w:szCs w:val="16"/>
        </w:rPr>
        <w:softHyphen/>
        <w:t>полковник П. С. Воротников (НИИ ВВС), ведущим летчиком — помощник начальника НИП АВ по летной части майор Н. И. Звонарев. Помощниками ведущего инженера были назначены: от НИП АВ — инженер-майор Филиппов и инженер-майор Мо- хов — по стрелковому вооружению, инженер-май</w:t>
      </w:r>
      <w:r w:rsidRPr="008127F8">
        <w:rPr>
          <w:color w:val="000000" w:themeColor="text1"/>
          <w:sz w:val="16"/>
          <w:szCs w:val="16"/>
        </w:rPr>
        <w:softHyphen/>
        <w:t>ор Галкин — по бомбардировочному вооружению, инженер-подполковник Прендовский — по прице</w:t>
      </w:r>
      <w:r w:rsidRPr="008127F8">
        <w:rPr>
          <w:color w:val="000000" w:themeColor="text1"/>
          <w:sz w:val="16"/>
          <w:szCs w:val="16"/>
        </w:rPr>
        <w:softHyphen/>
        <w:t>лам. Кроме того, в качестве специалиста по броне от ВИАМ к работе привлекался инженер-испыта</w:t>
      </w:r>
      <w:r w:rsidRPr="008127F8">
        <w:rPr>
          <w:color w:val="000000" w:themeColor="text1"/>
          <w:sz w:val="16"/>
          <w:szCs w:val="16"/>
        </w:rPr>
        <w:softHyphen/>
        <w:t>тель Ковалев.</w:t>
      </w:r>
    </w:p>
    <w:p w14:paraId="63E84D17"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Приказом по НИП АВ от 1 июля 1942 г. испы</w:t>
      </w:r>
      <w:r w:rsidRPr="008127F8">
        <w:rPr>
          <w:color w:val="000000" w:themeColor="text1"/>
          <w:sz w:val="16"/>
          <w:szCs w:val="16"/>
        </w:rPr>
        <w:softHyphen/>
        <w:t>тания требовалось «провести в период с 29 июня по 15 июля по программе, утвержденной зам. Ко</w:t>
      </w:r>
      <w:r w:rsidRPr="008127F8">
        <w:rPr>
          <w:color w:val="000000" w:themeColor="text1"/>
          <w:sz w:val="16"/>
          <w:szCs w:val="16"/>
        </w:rPr>
        <w:softHyphen/>
        <w:t>мандующего ВВС КА». Основная сумма «денежного вознаграждения согласно приказу НКО за № 0341 от 04.12.40 г.» была установлена «в сумме 2500 рублей».</w:t>
      </w:r>
    </w:p>
    <w:p w14:paraId="61E25FF1"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Основную часть летных испытаний провел по</w:t>
      </w:r>
      <w:r w:rsidRPr="008127F8">
        <w:rPr>
          <w:color w:val="000000" w:themeColor="text1"/>
          <w:sz w:val="16"/>
          <w:szCs w:val="16"/>
        </w:rPr>
        <w:softHyphen/>
        <w:t>мощник начальника НИП АВ по летной подготовке майор Н. И. Звонарев. Ему помогали летчики-испы</w:t>
      </w:r>
      <w:r w:rsidRPr="008127F8">
        <w:rPr>
          <w:color w:val="000000" w:themeColor="text1"/>
          <w:sz w:val="16"/>
          <w:szCs w:val="16"/>
        </w:rPr>
        <w:softHyphen/>
        <w:t>татели военком филиала НИП АВ старший политрук С. И. Лябихов и капитан В. М. Кравченко. Помимо них, к испытаниям привлекались строевые летчи</w:t>
      </w:r>
      <w:r w:rsidRPr="008127F8">
        <w:rPr>
          <w:color w:val="000000" w:themeColor="text1"/>
          <w:sz w:val="16"/>
          <w:szCs w:val="16"/>
        </w:rPr>
        <w:softHyphen/>
        <w:t>ки, имевшие боевой опыт: командир 2-й эскадри</w:t>
      </w:r>
      <w:r w:rsidRPr="008127F8">
        <w:rPr>
          <w:color w:val="000000" w:themeColor="text1"/>
          <w:sz w:val="16"/>
          <w:szCs w:val="16"/>
        </w:rPr>
        <w:softHyphen/>
        <w:t>льи капитан И. А. Яшанов, командир звена старший лейтенант Н. С. Канюко и летчик младший лейте</w:t>
      </w:r>
      <w:r w:rsidRPr="008127F8">
        <w:rPr>
          <w:color w:val="000000" w:themeColor="text1"/>
          <w:sz w:val="16"/>
          <w:szCs w:val="16"/>
        </w:rPr>
        <w:softHyphen/>
        <w:t>нант А. Л. Назаров — от 245-го шап, а также майор Н. А. Зуб — от 7-го гшап, который провел показа</w:t>
      </w:r>
      <w:r w:rsidRPr="008127F8">
        <w:rPr>
          <w:color w:val="000000" w:themeColor="text1"/>
          <w:sz w:val="16"/>
          <w:szCs w:val="16"/>
        </w:rPr>
        <w:softHyphen/>
        <w:t>тельные стрельбы ракетными снарядами.</w:t>
      </w:r>
    </w:p>
    <w:p w14:paraId="448792AB"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испытаниях были задействованы 3 самолета Ил-2 с пушками ВЯ и 8 РО-82, 1 Ил-2 с пушками ВЯ и 8 РО-132 и 1 Ил-2 с пушками ШВАК и 4 РО-203.</w:t>
      </w:r>
    </w:p>
    <w:p w14:paraId="2012761A"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lastRenderedPageBreak/>
        <w:t>Ввиду неподачи в установленные сроки само</w:t>
      </w:r>
      <w:r w:rsidRPr="008127F8">
        <w:rPr>
          <w:color w:val="000000" w:themeColor="text1"/>
          <w:sz w:val="16"/>
          <w:szCs w:val="16"/>
        </w:rPr>
        <w:softHyphen/>
        <w:t>летов Ил-2 войсковой серии с пушками Ш-37, для отработки программы испытаний привлекались 1 ЛаГГ-3 (зав. № 312197) с опытной пушкой 11П ка</w:t>
      </w:r>
      <w:r w:rsidRPr="008127F8">
        <w:rPr>
          <w:color w:val="000000" w:themeColor="text1"/>
          <w:sz w:val="16"/>
          <w:szCs w:val="16"/>
        </w:rPr>
        <w:softHyphen/>
        <w:t>либра 37 мм ОКБ-16 и 2 серийных ЛаГГ-3 с пушкой Ш-37, которые были взяты из 42-го иап.</w:t>
      </w:r>
    </w:p>
    <w:p w14:paraId="7F497DF6"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Противотанковый Ил-2 зав. № 1861704 с пушка</w:t>
      </w:r>
      <w:r w:rsidRPr="008127F8">
        <w:rPr>
          <w:color w:val="000000" w:themeColor="text1"/>
          <w:sz w:val="16"/>
          <w:szCs w:val="16"/>
        </w:rPr>
        <w:softHyphen/>
        <w:t>ми Ш-37 поступил в НИП АВ только в конце августа и проходил полигонные испытания в период с 11 по 14 сентября.</w:t>
      </w:r>
    </w:p>
    <w:p w14:paraId="41724140"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общей сложности в ходе испытаний было вы</w:t>
      </w:r>
      <w:r w:rsidRPr="008127F8">
        <w:rPr>
          <w:color w:val="000000" w:themeColor="text1"/>
          <w:sz w:val="16"/>
          <w:szCs w:val="16"/>
        </w:rPr>
        <w:softHyphen/>
        <w:t>полнено 136 полетов, из них 101 — на самолетах Ил-2 с пушками ВЯ и ШВАК, 16 — на Ил-2 с Ш-37 и 19 — на самолетах ЛаГГ-3. На самолетах ЛаГГ-3 летали майор Звонарев и капитан Кравченко, а на Ил-2 с Ш-37 — только Звонарев.</w:t>
      </w:r>
    </w:p>
    <w:p w14:paraId="573E09E4"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 ходе испытаний выполнялась стрельба в воз</w:t>
      </w:r>
      <w:r w:rsidRPr="008127F8">
        <w:rPr>
          <w:color w:val="000000" w:themeColor="text1"/>
          <w:sz w:val="16"/>
          <w:szCs w:val="16"/>
        </w:rPr>
        <w:softHyphen/>
        <w:t>духе из пушек калибра 20, 23 и 37 мм, а также ракет</w:t>
      </w:r>
      <w:r w:rsidRPr="008127F8">
        <w:rPr>
          <w:color w:val="000000" w:themeColor="text1"/>
          <w:sz w:val="16"/>
          <w:szCs w:val="16"/>
        </w:rPr>
        <w:softHyphen/>
        <w:t>ными снарядами типа РС-82 (осколочный), РБС-82 (бронебойный), РС-132 (осколочный), РОФС-132 (осколочно-фугасный) и РБТС-203 (бетонобойный), установленных на Ил-2, и бомбометание штатными фугасными и осколочными бомбами типа ФАБ-50, АО-25, АО-8 и АО-2,5.</w:t>
      </w:r>
    </w:p>
    <w:p w14:paraId="020E6146"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Кроме того, при наземных испытаниях опреде</w:t>
      </w:r>
      <w:r w:rsidRPr="008127F8">
        <w:rPr>
          <w:color w:val="000000" w:themeColor="text1"/>
          <w:sz w:val="16"/>
          <w:szCs w:val="16"/>
        </w:rPr>
        <w:softHyphen/>
        <w:t>лялась бронестойкость немецкой танковой брони путем обстрела из пулемета УБ калибра 12,7 мм, авиапушек ШВАК, ВЯ и Ш-37, а так</w:t>
      </w:r>
      <w:r w:rsidRPr="008127F8">
        <w:rPr>
          <w:color w:val="000000" w:themeColor="text1"/>
          <w:sz w:val="16"/>
          <w:szCs w:val="16"/>
        </w:rPr>
        <w:softHyphen/>
        <w:t>же подрывом бомб типа АО-25, ФАБ-50, ФАБ-100 и ФАБ-250 и ра</w:t>
      </w:r>
      <w:r w:rsidRPr="008127F8">
        <w:rPr>
          <w:color w:val="000000" w:themeColor="text1"/>
          <w:sz w:val="16"/>
          <w:szCs w:val="16"/>
        </w:rPr>
        <w:softHyphen/>
        <w:t>кетных снарядов всех типов не</w:t>
      </w:r>
      <w:r w:rsidRPr="008127F8">
        <w:rPr>
          <w:color w:val="000000" w:themeColor="text1"/>
          <w:sz w:val="16"/>
          <w:szCs w:val="16"/>
        </w:rPr>
        <w:softHyphen/>
        <w:t>посредственно около трофейных танков.</w:t>
      </w:r>
    </w:p>
    <w:p w14:paraId="7CB66E0D"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качестве мишеней использо</w:t>
      </w:r>
      <w:r w:rsidRPr="008127F8">
        <w:rPr>
          <w:color w:val="000000" w:themeColor="text1"/>
          <w:sz w:val="16"/>
          <w:szCs w:val="16"/>
        </w:rPr>
        <w:softHyphen/>
        <w:t>вались трофейные легкие и сред</w:t>
      </w:r>
      <w:r w:rsidRPr="008127F8">
        <w:rPr>
          <w:color w:val="000000" w:themeColor="text1"/>
          <w:sz w:val="16"/>
          <w:szCs w:val="16"/>
        </w:rPr>
        <w:softHyphen/>
        <w:t xml:space="preserve">ние танки типа </w:t>
      </w:r>
      <w:r w:rsidRPr="008127F8">
        <w:rPr>
          <w:color w:val="000000" w:themeColor="text1"/>
          <w:sz w:val="16"/>
          <w:szCs w:val="16"/>
          <w:lang w:val="en-US"/>
        </w:rPr>
        <w:t>Pz</w:t>
      </w:r>
      <w:r w:rsidRPr="008127F8">
        <w:rPr>
          <w:color w:val="000000" w:themeColor="text1"/>
          <w:sz w:val="16"/>
          <w:szCs w:val="16"/>
        </w:rPr>
        <w:t>.</w:t>
      </w:r>
      <w:r w:rsidRPr="008127F8">
        <w:rPr>
          <w:color w:val="000000" w:themeColor="text1"/>
          <w:sz w:val="16"/>
          <w:szCs w:val="16"/>
          <w:lang w:val="en-US"/>
        </w:rPr>
        <w:t>III</w:t>
      </w:r>
      <w:r w:rsidRPr="008127F8">
        <w:rPr>
          <w:color w:val="000000" w:themeColor="text1"/>
          <w:sz w:val="16"/>
          <w:szCs w:val="16"/>
        </w:rPr>
        <w:t>/</w:t>
      </w:r>
      <w:r w:rsidRPr="008127F8">
        <w:rPr>
          <w:color w:val="000000" w:themeColor="text1"/>
          <w:sz w:val="16"/>
          <w:szCs w:val="16"/>
          <w:lang w:val="en-US"/>
        </w:rPr>
        <w:t>G</w:t>
      </w:r>
      <w:r w:rsidRPr="008127F8">
        <w:rPr>
          <w:color w:val="000000" w:themeColor="text1"/>
          <w:sz w:val="16"/>
          <w:szCs w:val="16"/>
        </w:rPr>
        <w:t xml:space="preserve">, </w:t>
      </w:r>
      <w:r w:rsidRPr="008127F8">
        <w:rPr>
          <w:color w:val="000000" w:themeColor="text1"/>
          <w:sz w:val="16"/>
          <w:szCs w:val="16"/>
          <w:lang w:val="en-US"/>
        </w:rPr>
        <w:t>StuG</w:t>
      </w:r>
      <w:r w:rsidRPr="008127F8">
        <w:rPr>
          <w:color w:val="000000" w:themeColor="text1"/>
          <w:sz w:val="16"/>
          <w:szCs w:val="16"/>
        </w:rPr>
        <w:t>.</w:t>
      </w:r>
      <w:r w:rsidRPr="008127F8">
        <w:rPr>
          <w:color w:val="000000" w:themeColor="text1"/>
          <w:sz w:val="16"/>
          <w:szCs w:val="16"/>
          <w:lang w:val="en-US"/>
        </w:rPr>
        <w:t>III</w:t>
      </w:r>
      <w:r w:rsidRPr="008127F8">
        <w:rPr>
          <w:color w:val="000000" w:themeColor="text1"/>
          <w:sz w:val="16"/>
          <w:szCs w:val="16"/>
        </w:rPr>
        <w:t>/</w:t>
      </w:r>
      <w:r w:rsidRPr="008127F8">
        <w:rPr>
          <w:color w:val="000000" w:themeColor="text1"/>
          <w:sz w:val="16"/>
          <w:szCs w:val="16"/>
          <w:lang w:val="en-US"/>
        </w:rPr>
        <w:t>E</w:t>
      </w:r>
      <w:r w:rsidRPr="008127F8">
        <w:rPr>
          <w:color w:val="000000" w:themeColor="text1"/>
          <w:sz w:val="16"/>
          <w:szCs w:val="16"/>
        </w:rPr>
        <w:t xml:space="preserve">, </w:t>
      </w:r>
      <w:r w:rsidRPr="008127F8">
        <w:rPr>
          <w:color w:val="000000" w:themeColor="text1"/>
          <w:sz w:val="16"/>
          <w:szCs w:val="16"/>
          <w:lang w:val="en-US"/>
        </w:rPr>
        <w:t>Pz</w:t>
      </w:r>
      <w:r w:rsidRPr="008127F8">
        <w:rPr>
          <w:color w:val="000000" w:themeColor="text1"/>
          <w:sz w:val="16"/>
          <w:szCs w:val="16"/>
        </w:rPr>
        <w:t>.</w:t>
      </w:r>
      <w:r w:rsidRPr="008127F8">
        <w:rPr>
          <w:color w:val="000000" w:themeColor="text1"/>
          <w:sz w:val="16"/>
          <w:szCs w:val="16"/>
          <w:lang w:val="en-US"/>
        </w:rPr>
        <w:t>II</w:t>
      </w:r>
      <w:r w:rsidRPr="008127F8">
        <w:rPr>
          <w:color w:val="000000" w:themeColor="text1"/>
          <w:sz w:val="16"/>
          <w:szCs w:val="16"/>
        </w:rPr>
        <w:t>/</w:t>
      </w:r>
      <w:r w:rsidRPr="008127F8">
        <w:rPr>
          <w:color w:val="000000" w:themeColor="text1"/>
          <w:sz w:val="16"/>
          <w:szCs w:val="16"/>
          <w:lang w:val="en-US"/>
        </w:rPr>
        <w:t>F</w:t>
      </w:r>
      <w:r w:rsidRPr="008127F8">
        <w:rPr>
          <w:color w:val="000000" w:themeColor="text1"/>
          <w:sz w:val="16"/>
          <w:szCs w:val="16"/>
        </w:rPr>
        <w:t xml:space="preserve">, </w:t>
      </w:r>
      <w:r w:rsidRPr="008127F8">
        <w:rPr>
          <w:color w:val="000000" w:themeColor="text1"/>
          <w:sz w:val="16"/>
          <w:szCs w:val="16"/>
          <w:lang w:val="en-US"/>
        </w:rPr>
        <w:t>Pz</w:t>
      </w:r>
      <w:r w:rsidRPr="008127F8">
        <w:rPr>
          <w:color w:val="000000" w:themeColor="text1"/>
          <w:sz w:val="16"/>
          <w:szCs w:val="16"/>
        </w:rPr>
        <w:t>.38 (</w:t>
      </w:r>
      <w:r w:rsidRPr="008127F8">
        <w:rPr>
          <w:color w:val="000000" w:themeColor="text1"/>
          <w:sz w:val="16"/>
          <w:szCs w:val="16"/>
          <w:lang w:val="en-US"/>
        </w:rPr>
        <w:t>t</w:t>
      </w:r>
      <w:r w:rsidRPr="008127F8">
        <w:rPr>
          <w:color w:val="000000" w:themeColor="text1"/>
          <w:sz w:val="16"/>
          <w:szCs w:val="16"/>
        </w:rPr>
        <w:t>) /</w:t>
      </w:r>
      <w:r w:rsidRPr="008127F8">
        <w:rPr>
          <w:color w:val="000000" w:themeColor="text1"/>
          <w:sz w:val="16"/>
          <w:szCs w:val="16"/>
          <w:lang w:val="en-US"/>
        </w:rPr>
        <w:t>C</w:t>
      </w:r>
      <w:r w:rsidRPr="008127F8">
        <w:rPr>
          <w:color w:val="000000" w:themeColor="text1"/>
          <w:sz w:val="16"/>
          <w:szCs w:val="16"/>
        </w:rPr>
        <w:t xml:space="preserve"> и </w:t>
      </w:r>
      <w:r w:rsidRPr="008127F8">
        <w:rPr>
          <w:color w:val="000000" w:themeColor="text1"/>
          <w:sz w:val="16"/>
          <w:szCs w:val="16"/>
          <w:lang w:val="en-US"/>
        </w:rPr>
        <w:t>E</w:t>
      </w:r>
      <w:r w:rsidRPr="008127F8">
        <w:rPr>
          <w:color w:val="000000" w:themeColor="text1"/>
          <w:sz w:val="16"/>
          <w:szCs w:val="16"/>
        </w:rPr>
        <w:t>, а также бро</w:t>
      </w:r>
      <w:r w:rsidRPr="008127F8">
        <w:rPr>
          <w:color w:val="000000" w:themeColor="text1"/>
          <w:sz w:val="16"/>
          <w:szCs w:val="16"/>
        </w:rPr>
        <w:softHyphen/>
        <w:t xml:space="preserve">немашины типа </w:t>
      </w:r>
      <w:r w:rsidRPr="008127F8">
        <w:rPr>
          <w:color w:val="000000" w:themeColor="text1"/>
          <w:sz w:val="16"/>
          <w:szCs w:val="16"/>
          <w:lang w:val="en-US"/>
        </w:rPr>
        <w:t>Sd</w:t>
      </w:r>
      <w:r w:rsidRPr="008127F8">
        <w:rPr>
          <w:color w:val="000000" w:themeColor="text1"/>
          <w:sz w:val="16"/>
          <w:szCs w:val="16"/>
        </w:rPr>
        <w:t xml:space="preserve"> </w:t>
      </w:r>
      <w:r w:rsidRPr="008127F8">
        <w:rPr>
          <w:color w:val="000000" w:themeColor="text1"/>
          <w:sz w:val="16"/>
          <w:szCs w:val="16"/>
          <w:lang w:val="en-US"/>
        </w:rPr>
        <w:t>Kfz</w:t>
      </w:r>
      <w:r w:rsidRPr="008127F8">
        <w:rPr>
          <w:color w:val="000000" w:themeColor="text1"/>
          <w:sz w:val="16"/>
          <w:szCs w:val="16"/>
        </w:rPr>
        <w:t xml:space="preserve"> 250. 8 еди</w:t>
      </w:r>
      <w:r w:rsidRPr="008127F8">
        <w:rPr>
          <w:color w:val="000000" w:themeColor="text1"/>
          <w:sz w:val="16"/>
          <w:szCs w:val="16"/>
        </w:rPr>
        <w:softHyphen/>
        <w:t>ниц бронетехники составляли Т-образную колонну, что позволяло вести огонь и бомбометание под различными углами к броне танков.</w:t>
      </w:r>
    </w:p>
    <w:p w14:paraId="7DA8EEB1"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Кроме колонны танков, для испытания по отра</w:t>
      </w:r>
      <w:r w:rsidRPr="008127F8">
        <w:rPr>
          <w:color w:val="000000" w:themeColor="text1"/>
          <w:sz w:val="16"/>
          <w:szCs w:val="16"/>
        </w:rPr>
        <w:softHyphen/>
        <w:t>ботке методики бомбометания и стрельб была соз</w:t>
      </w:r>
      <w:r w:rsidRPr="008127F8">
        <w:rPr>
          <w:color w:val="000000" w:themeColor="text1"/>
          <w:sz w:val="16"/>
          <w:szCs w:val="16"/>
        </w:rPr>
        <w:softHyphen/>
        <w:t>дана специальная мишень, представляющая собой колонну из 9 танков и 200 макетов солдат.</w:t>
      </w:r>
    </w:p>
    <w:p w14:paraId="54DA0AE3"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Атаки немецких танков самолетами Ил-2 выпол</w:t>
      </w:r>
      <w:r w:rsidRPr="008127F8">
        <w:rPr>
          <w:color w:val="000000" w:themeColor="text1"/>
          <w:sz w:val="16"/>
          <w:szCs w:val="16"/>
        </w:rPr>
        <w:softHyphen/>
        <w:t>нялись как вдоль колонны, так и сбоку, а также спо</w:t>
      </w:r>
      <w:r w:rsidRPr="008127F8">
        <w:rPr>
          <w:color w:val="000000" w:themeColor="text1"/>
          <w:sz w:val="16"/>
          <w:szCs w:val="16"/>
        </w:rPr>
        <w:softHyphen/>
        <w:t>собами, установившимися к этому времени в строе</w:t>
      </w:r>
      <w:r w:rsidRPr="008127F8">
        <w:rPr>
          <w:color w:val="000000" w:themeColor="text1"/>
          <w:sz w:val="16"/>
          <w:szCs w:val="16"/>
        </w:rPr>
        <w:softHyphen/>
        <w:t>вых частях ВВС КА.</w:t>
      </w:r>
    </w:p>
    <w:p w14:paraId="4BE099C7"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Кроме этого, при атаке колонны танков и макетов солдат были проведены различные варианты комбинированной стрельбы из пу</w:t>
      </w:r>
      <w:r w:rsidRPr="008127F8">
        <w:rPr>
          <w:color w:val="000000" w:themeColor="text1"/>
          <w:sz w:val="16"/>
          <w:szCs w:val="16"/>
        </w:rPr>
        <w:softHyphen/>
        <w:t>леметов, пушек и ракетных снарядов с одно</w:t>
      </w:r>
      <w:r w:rsidRPr="008127F8">
        <w:rPr>
          <w:color w:val="000000" w:themeColor="text1"/>
          <w:sz w:val="16"/>
          <w:szCs w:val="16"/>
        </w:rPr>
        <w:softHyphen/>
        <w:t>временным бомбометанием на выходе из пикиро</w:t>
      </w:r>
      <w:r w:rsidRPr="008127F8">
        <w:rPr>
          <w:color w:val="000000" w:themeColor="text1"/>
          <w:sz w:val="16"/>
          <w:szCs w:val="16"/>
        </w:rPr>
        <w:softHyphen/>
        <w:t>вания.</w:t>
      </w:r>
    </w:p>
    <w:p w14:paraId="0278560B"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Стрельба и бомбометание производились с планирования под углами 5—10° (высота подхо</w:t>
      </w:r>
      <w:r w:rsidRPr="008127F8">
        <w:rPr>
          <w:color w:val="000000" w:themeColor="text1"/>
          <w:sz w:val="16"/>
          <w:szCs w:val="16"/>
        </w:rPr>
        <w:softHyphen/>
        <w:t>да 100 м) и с пикирования под углами до 25—30° (высота подхода 400—700 м), а также и на брею</w:t>
      </w:r>
      <w:r w:rsidRPr="008127F8">
        <w:rPr>
          <w:color w:val="000000" w:themeColor="text1"/>
          <w:sz w:val="16"/>
          <w:szCs w:val="16"/>
        </w:rPr>
        <w:softHyphen/>
        <w:t>щих полетах. Стрельба из пушек ШВАК и ВЯ велась очередями по 10—15 выстрелов с дистанции 400 м и ближе, а из пушек ОКБ-15 — очередями по 3—5 выстрелов с дистанции 600—400 м. Пуск ракетных снарядов производился одиночно и залпами по 2, 4 и 8 снарядов в залпе. Дистанция ведения огня для РС-82 и РБС-82 составляла 400—500 м, РС-132 и РОФС-132 — 500—600 м, а РБТС-203 — 700— 800 м.</w:t>
      </w:r>
    </w:p>
    <w:p w14:paraId="5D8982F1"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Как и следовало ожидать, наиболее эффектив</w:t>
      </w:r>
      <w:r w:rsidRPr="008127F8">
        <w:rPr>
          <w:color w:val="000000" w:themeColor="text1"/>
          <w:sz w:val="16"/>
          <w:szCs w:val="16"/>
        </w:rPr>
        <w:softHyphen/>
        <w:t>ным оружием оказались пушки калибра 37 мм: «...поражение легких танков с дистанции не бо</w:t>
      </w:r>
      <w:r w:rsidRPr="008127F8">
        <w:rPr>
          <w:color w:val="000000" w:themeColor="text1"/>
          <w:sz w:val="16"/>
          <w:szCs w:val="16"/>
        </w:rPr>
        <w:softHyphen/>
        <w:t>лее 500 м возможно при стрельбе с любых на</w:t>
      </w:r>
      <w:r w:rsidRPr="008127F8">
        <w:rPr>
          <w:color w:val="000000" w:themeColor="text1"/>
          <w:sz w:val="16"/>
          <w:szCs w:val="16"/>
        </w:rPr>
        <w:softHyphen/>
        <w:t>правлений, средние танки могут быть пораже ны стрельбой по борту или по кормовой части танка».</w:t>
      </w:r>
    </w:p>
    <w:p w14:paraId="7F713210"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Действительно, танковая броня толщиной 30 мм пробивалась бронебойно-зажигательным снаря</w:t>
      </w:r>
      <w:r w:rsidRPr="008127F8">
        <w:rPr>
          <w:color w:val="000000" w:themeColor="text1"/>
          <w:sz w:val="16"/>
          <w:szCs w:val="16"/>
        </w:rPr>
        <w:softHyphen/>
        <w:t>дом БЗТ-37 с дистанций до 500 м при углах встречи в пределах 45°. При этом снаряд выдавливал бро</w:t>
      </w:r>
      <w:r w:rsidRPr="008127F8">
        <w:rPr>
          <w:color w:val="000000" w:themeColor="text1"/>
          <w:sz w:val="16"/>
          <w:szCs w:val="16"/>
        </w:rPr>
        <w:softHyphen/>
        <w:t>ню по своему калибру и делал глубокую вмятину на противоположной внутренней стенке корпуса танка. Выдавленная же броня и оставшиеся части снаряда производили сильные разрушения внутри танка. Броня толщиной 50 мм пробивалась с дис</w:t>
      </w:r>
      <w:r w:rsidRPr="008127F8">
        <w:rPr>
          <w:color w:val="000000" w:themeColor="text1"/>
          <w:sz w:val="16"/>
          <w:szCs w:val="16"/>
        </w:rPr>
        <w:softHyphen/>
        <w:t>танций не более 200 м при углах встречи, не пре</w:t>
      </w:r>
      <w:r w:rsidRPr="008127F8">
        <w:rPr>
          <w:color w:val="000000" w:themeColor="text1"/>
          <w:sz w:val="16"/>
          <w:szCs w:val="16"/>
        </w:rPr>
        <w:softHyphen/>
        <w:t>вышающих 5°. Попадания снарядов в элементы ходовой части танка производили существенные разрушения, выводящие танк из строя.</w:t>
      </w:r>
    </w:p>
    <w:p w14:paraId="349A90D7"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Осколочно-зажигательный 37-мм снаряд ОЗТ-37 пробивал немецкую танковую броню толщиной не более 15 мм с дистанций, не превышающих 200 м, при углах встречи, близких к нормали.</w:t>
      </w:r>
    </w:p>
    <w:p w14:paraId="28B359DB"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То есть противотанковые Ил-2 и ЛаГГ-3 мог</w:t>
      </w:r>
      <w:r w:rsidRPr="008127F8">
        <w:rPr>
          <w:color w:val="000000" w:themeColor="text1"/>
          <w:sz w:val="16"/>
          <w:szCs w:val="16"/>
        </w:rPr>
        <w:softHyphen/>
        <w:t xml:space="preserve">ли поражать немецкие легкие танки типа </w:t>
      </w:r>
      <w:r w:rsidRPr="008127F8">
        <w:rPr>
          <w:color w:val="000000" w:themeColor="text1"/>
          <w:sz w:val="16"/>
          <w:szCs w:val="16"/>
          <w:lang w:val="en-US"/>
        </w:rPr>
        <w:t>Pz</w:t>
      </w:r>
      <w:r w:rsidRPr="008127F8">
        <w:rPr>
          <w:color w:val="000000" w:themeColor="text1"/>
          <w:sz w:val="16"/>
          <w:szCs w:val="16"/>
        </w:rPr>
        <w:t>.38 (</w:t>
      </w:r>
      <w:r w:rsidRPr="008127F8">
        <w:rPr>
          <w:color w:val="000000" w:themeColor="text1"/>
          <w:sz w:val="16"/>
          <w:szCs w:val="16"/>
          <w:lang w:val="en-US"/>
        </w:rPr>
        <w:t>t</w:t>
      </w:r>
      <w:r w:rsidRPr="008127F8">
        <w:rPr>
          <w:color w:val="000000" w:themeColor="text1"/>
          <w:sz w:val="16"/>
          <w:szCs w:val="16"/>
        </w:rPr>
        <w:t xml:space="preserve">) и </w:t>
      </w:r>
      <w:r w:rsidRPr="008127F8">
        <w:rPr>
          <w:color w:val="000000" w:themeColor="text1"/>
          <w:sz w:val="16"/>
          <w:szCs w:val="16"/>
          <w:lang w:val="en-US"/>
        </w:rPr>
        <w:t>Pz</w:t>
      </w:r>
      <w:r w:rsidRPr="008127F8">
        <w:rPr>
          <w:color w:val="000000" w:themeColor="text1"/>
          <w:sz w:val="16"/>
          <w:szCs w:val="16"/>
        </w:rPr>
        <w:t>.</w:t>
      </w:r>
      <w:r w:rsidRPr="008127F8">
        <w:rPr>
          <w:color w:val="000000" w:themeColor="text1"/>
          <w:sz w:val="16"/>
          <w:szCs w:val="16"/>
          <w:lang w:val="en-US"/>
        </w:rPr>
        <w:t>II</w:t>
      </w:r>
      <w:r w:rsidRPr="008127F8">
        <w:rPr>
          <w:color w:val="000000" w:themeColor="text1"/>
          <w:sz w:val="16"/>
          <w:szCs w:val="16"/>
        </w:rPr>
        <w:t xml:space="preserve"> с дистанций до 500 м с любого направления и при любых углах планирования. Средние танки типа </w:t>
      </w:r>
      <w:r w:rsidRPr="008127F8">
        <w:rPr>
          <w:color w:val="000000" w:themeColor="text1"/>
          <w:sz w:val="16"/>
          <w:szCs w:val="16"/>
          <w:lang w:val="en-US"/>
        </w:rPr>
        <w:t>StuG</w:t>
      </w:r>
      <w:r w:rsidRPr="008127F8">
        <w:rPr>
          <w:color w:val="000000" w:themeColor="text1"/>
          <w:sz w:val="16"/>
          <w:szCs w:val="16"/>
        </w:rPr>
        <w:t>.</w:t>
      </w:r>
      <w:r w:rsidRPr="008127F8">
        <w:rPr>
          <w:color w:val="000000" w:themeColor="text1"/>
          <w:sz w:val="16"/>
          <w:szCs w:val="16"/>
          <w:lang w:val="en-US"/>
        </w:rPr>
        <w:t>III</w:t>
      </w:r>
      <w:r w:rsidRPr="008127F8">
        <w:rPr>
          <w:color w:val="000000" w:themeColor="text1"/>
          <w:sz w:val="16"/>
          <w:szCs w:val="16"/>
        </w:rPr>
        <w:t xml:space="preserve"> и </w:t>
      </w:r>
      <w:r w:rsidRPr="008127F8">
        <w:rPr>
          <w:color w:val="000000" w:themeColor="text1"/>
          <w:sz w:val="16"/>
          <w:szCs w:val="16"/>
          <w:lang w:val="en-US"/>
        </w:rPr>
        <w:t>Pz</w:t>
      </w:r>
      <w:r w:rsidRPr="008127F8">
        <w:rPr>
          <w:color w:val="000000" w:themeColor="text1"/>
          <w:sz w:val="16"/>
          <w:szCs w:val="16"/>
        </w:rPr>
        <w:t>.</w:t>
      </w:r>
      <w:r w:rsidRPr="008127F8">
        <w:rPr>
          <w:color w:val="000000" w:themeColor="text1"/>
          <w:sz w:val="16"/>
          <w:szCs w:val="16"/>
          <w:lang w:val="en-US"/>
        </w:rPr>
        <w:t>III</w:t>
      </w:r>
      <w:r w:rsidRPr="008127F8">
        <w:rPr>
          <w:color w:val="000000" w:themeColor="text1"/>
          <w:sz w:val="16"/>
          <w:szCs w:val="16"/>
        </w:rPr>
        <w:t xml:space="preserve">, а также танки </w:t>
      </w:r>
      <w:r w:rsidRPr="008127F8">
        <w:rPr>
          <w:color w:val="000000" w:themeColor="text1"/>
          <w:sz w:val="16"/>
          <w:szCs w:val="16"/>
          <w:lang w:val="en-US"/>
        </w:rPr>
        <w:t>Pz</w:t>
      </w:r>
      <w:r w:rsidRPr="008127F8">
        <w:rPr>
          <w:color w:val="000000" w:themeColor="text1"/>
          <w:sz w:val="16"/>
          <w:szCs w:val="16"/>
        </w:rPr>
        <w:t>.38 (</w:t>
      </w:r>
      <w:r w:rsidRPr="008127F8">
        <w:rPr>
          <w:color w:val="000000" w:themeColor="text1"/>
          <w:sz w:val="16"/>
          <w:szCs w:val="16"/>
          <w:lang w:val="en-US"/>
        </w:rPr>
        <w:t>t</w:t>
      </w:r>
      <w:r w:rsidRPr="008127F8">
        <w:rPr>
          <w:color w:val="000000" w:themeColor="text1"/>
          <w:sz w:val="16"/>
          <w:szCs w:val="16"/>
        </w:rPr>
        <w:t>) с толщи</w:t>
      </w:r>
      <w:r w:rsidRPr="008127F8">
        <w:rPr>
          <w:color w:val="000000" w:themeColor="text1"/>
          <w:sz w:val="16"/>
          <w:szCs w:val="16"/>
        </w:rPr>
        <w:softHyphen/>
        <w:t>ной брони на бортах до 30 мм уверенно поража</w:t>
      </w:r>
      <w:r w:rsidRPr="008127F8">
        <w:rPr>
          <w:color w:val="000000" w:themeColor="text1"/>
          <w:sz w:val="16"/>
          <w:szCs w:val="16"/>
        </w:rPr>
        <w:softHyphen/>
        <w:t>лись снарядом БЗТ-37 с дистанций до 500 м при углах пикирования не более 30°. Стрельбу следо</w:t>
      </w:r>
      <w:r w:rsidRPr="008127F8">
        <w:rPr>
          <w:color w:val="000000" w:themeColor="text1"/>
          <w:sz w:val="16"/>
          <w:szCs w:val="16"/>
        </w:rPr>
        <w:softHyphen/>
        <w:t>вало вести по борту или по задней части корпуса и башни танков.</w:t>
      </w:r>
    </w:p>
    <w:p w14:paraId="038AE08F"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выводах отчета по испытаниям отмечалось, что самолеты Ил-2 и ЛаГГ-3, вооруженные пушками калибра 37 мм, являются эффективным средством борьбы с немецкими танками.</w:t>
      </w:r>
    </w:p>
    <w:p w14:paraId="01D571B2"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Однако возможности самолетов ЛаГГ-3 и Ил-2 с пушками калибра 37 мм по ряду причин были все же ограниченны.</w:t>
      </w:r>
    </w:p>
    <w:p w14:paraId="74775F6D"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Действительно, не всякое попадание в танк со</w:t>
      </w:r>
      <w:r w:rsidRPr="008127F8">
        <w:rPr>
          <w:color w:val="000000" w:themeColor="text1"/>
          <w:sz w:val="16"/>
          <w:szCs w:val="16"/>
        </w:rPr>
        <w:softHyphen/>
        <w:t>провождается пробитием брони. При этом проби</w:t>
      </w:r>
      <w:r w:rsidRPr="008127F8">
        <w:rPr>
          <w:color w:val="000000" w:themeColor="text1"/>
          <w:sz w:val="16"/>
          <w:szCs w:val="16"/>
        </w:rPr>
        <w:softHyphen/>
        <w:t>тие снарядом брони далеко не всегда выводило танк из строя, не говоря уже об его уничтожении. К тому же вероятность попадания в танк была все же невелика. Даже в условиях полигона при от</w:t>
      </w:r>
      <w:r w:rsidRPr="008127F8">
        <w:rPr>
          <w:color w:val="000000" w:themeColor="text1"/>
          <w:sz w:val="16"/>
          <w:szCs w:val="16"/>
        </w:rPr>
        <w:softHyphen/>
        <w:t>стреле всего боекомплекта пушки Ш-37 с самолета ЛаГГ-3 в среднем можно было рассчитывать только на 1—2 попадания в танк, а при рациональном рас</w:t>
      </w:r>
      <w:r w:rsidRPr="008127F8">
        <w:rPr>
          <w:color w:val="000000" w:themeColor="text1"/>
          <w:sz w:val="16"/>
          <w:szCs w:val="16"/>
        </w:rPr>
        <w:softHyphen/>
        <w:t>ходе 2 боекомплектов к пушкам Ш-37 на самолете Ил-2 — примерно на 5—7 попаданий.</w:t>
      </w:r>
    </w:p>
    <w:p w14:paraId="2294C76C"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Результаты стрельбы в боевых условиях по движущимся танкам, очевидно, могли быть толь</w:t>
      </w:r>
      <w:r w:rsidRPr="008127F8">
        <w:rPr>
          <w:color w:val="000000" w:themeColor="text1"/>
          <w:sz w:val="16"/>
          <w:szCs w:val="16"/>
        </w:rPr>
        <w:softHyphen/>
        <w:t>ко хуже, так как «подавляющая масса летчиков та</w:t>
      </w:r>
      <w:r w:rsidRPr="008127F8">
        <w:rPr>
          <w:color w:val="000000" w:themeColor="text1"/>
          <w:sz w:val="16"/>
          <w:szCs w:val="16"/>
        </w:rPr>
        <w:softHyphen/>
        <w:t>ких целей поражать не в состоянии». Прицельная стрельба по малоразмерным целям доступна «толь</w:t>
      </w:r>
      <w:r w:rsidRPr="008127F8">
        <w:rPr>
          <w:color w:val="000000" w:themeColor="text1"/>
          <w:sz w:val="16"/>
          <w:szCs w:val="16"/>
        </w:rPr>
        <w:softHyphen/>
        <w:t>ко отлично тренированным летчикам».</w:t>
      </w:r>
    </w:p>
    <w:p w14:paraId="40B33727"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За все время полигонных испытаний истреби</w:t>
      </w:r>
      <w:r w:rsidRPr="008127F8">
        <w:rPr>
          <w:color w:val="000000" w:themeColor="text1"/>
          <w:sz w:val="16"/>
          <w:szCs w:val="16"/>
        </w:rPr>
        <w:softHyphen/>
        <w:t>телей ЛаГГ-3 с крупнокалиберными пушками из 288 выстрелов, произведенных по немецким тан</w:t>
      </w:r>
      <w:r w:rsidRPr="008127F8">
        <w:rPr>
          <w:color w:val="000000" w:themeColor="text1"/>
          <w:sz w:val="16"/>
          <w:szCs w:val="16"/>
        </w:rPr>
        <w:softHyphen/>
        <w:t>кам, было получено 31 попадание (углы планиро</w:t>
      </w:r>
      <w:r w:rsidRPr="008127F8">
        <w:rPr>
          <w:color w:val="000000" w:themeColor="text1"/>
          <w:sz w:val="16"/>
          <w:szCs w:val="16"/>
        </w:rPr>
        <w:softHyphen/>
        <w:t xml:space="preserve">вания от 5—10° до 25—30°): 18 прямых попаданий в танк </w:t>
      </w:r>
      <w:r w:rsidRPr="008127F8">
        <w:rPr>
          <w:color w:val="000000" w:themeColor="text1"/>
          <w:sz w:val="16"/>
          <w:szCs w:val="16"/>
          <w:lang w:val="en-US"/>
        </w:rPr>
        <w:t>Pz</w:t>
      </w:r>
      <w:r w:rsidRPr="008127F8">
        <w:rPr>
          <w:color w:val="000000" w:themeColor="text1"/>
          <w:sz w:val="16"/>
          <w:szCs w:val="16"/>
        </w:rPr>
        <w:t>.</w:t>
      </w:r>
      <w:r w:rsidRPr="008127F8">
        <w:rPr>
          <w:color w:val="000000" w:themeColor="text1"/>
          <w:sz w:val="16"/>
          <w:szCs w:val="16"/>
          <w:lang w:val="en-US"/>
        </w:rPr>
        <w:t>III</w:t>
      </w:r>
      <w:r w:rsidRPr="008127F8">
        <w:rPr>
          <w:color w:val="000000" w:themeColor="text1"/>
          <w:sz w:val="16"/>
          <w:szCs w:val="16"/>
        </w:rPr>
        <w:t xml:space="preserve"> и 13 попаданий — в танк </w:t>
      </w:r>
      <w:r w:rsidRPr="008127F8">
        <w:rPr>
          <w:color w:val="000000" w:themeColor="text1"/>
          <w:sz w:val="16"/>
          <w:szCs w:val="16"/>
          <w:lang w:val="en-US"/>
        </w:rPr>
        <w:t>Pz</w:t>
      </w:r>
      <w:r w:rsidRPr="008127F8">
        <w:rPr>
          <w:color w:val="000000" w:themeColor="text1"/>
          <w:sz w:val="16"/>
          <w:szCs w:val="16"/>
        </w:rPr>
        <w:t>.38 (</w:t>
      </w:r>
      <w:r w:rsidRPr="008127F8">
        <w:rPr>
          <w:color w:val="000000" w:themeColor="text1"/>
          <w:sz w:val="16"/>
          <w:szCs w:val="16"/>
          <w:lang w:val="en-US"/>
        </w:rPr>
        <w:t>t</w:t>
      </w:r>
      <w:r w:rsidRPr="008127F8">
        <w:rPr>
          <w:color w:val="000000" w:themeColor="text1"/>
          <w:sz w:val="16"/>
          <w:szCs w:val="16"/>
        </w:rPr>
        <w:t>). При этом средний процент попаданий в танк точки на</w:t>
      </w:r>
      <w:r w:rsidRPr="008127F8">
        <w:rPr>
          <w:color w:val="000000" w:themeColor="text1"/>
          <w:sz w:val="16"/>
          <w:szCs w:val="16"/>
        </w:rPr>
        <w:softHyphen/>
        <w:t>водки ведущего летчика-испытателя НИП АВ май</w:t>
      </w:r>
      <w:r w:rsidRPr="008127F8">
        <w:rPr>
          <w:color w:val="000000" w:themeColor="text1"/>
          <w:sz w:val="16"/>
          <w:szCs w:val="16"/>
        </w:rPr>
        <w:softHyphen/>
        <w:t>ора Н. И. Звонарева, имевшего отличную летную и стрелковую подготовку, составлял 12% (16 попа</w:t>
      </w:r>
      <w:r w:rsidRPr="008127F8">
        <w:rPr>
          <w:color w:val="000000" w:themeColor="text1"/>
          <w:sz w:val="16"/>
          <w:szCs w:val="16"/>
        </w:rPr>
        <w:softHyphen/>
        <w:t>даний из 134 выстрелов в семи полетах) и 18% при стрельбе по колонне танков. Капитан В. М. Крав</w:t>
      </w:r>
      <w:r w:rsidRPr="008127F8">
        <w:rPr>
          <w:color w:val="000000" w:themeColor="text1"/>
          <w:sz w:val="16"/>
          <w:szCs w:val="16"/>
        </w:rPr>
        <w:softHyphen/>
        <w:t>ченко в 12 полетах при 154 выстрелах смог обе</w:t>
      </w:r>
      <w:r w:rsidRPr="008127F8">
        <w:rPr>
          <w:color w:val="000000" w:themeColor="text1"/>
          <w:sz w:val="16"/>
          <w:szCs w:val="16"/>
        </w:rPr>
        <w:softHyphen/>
        <w:t>спечить в этих же условиях лишь 2% попаданий в танк точки наводки и 6% попаданий в колонну танков.</w:t>
      </w:r>
    </w:p>
    <w:p w14:paraId="3657A07F"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Было зафиксировано всего 5 сквозных проби</w:t>
      </w:r>
      <w:r w:rsidRPr="008127F8">
        <w:rPr>
          <w:color w:val="000000" w:themeColor="text1"/>
          <w:sz w:val="16"/>
          <w:szCs w:val="16"/>
        </w:rPr>
        <w:softHyphen/>
        <w:t xml:space="preserve">тий верхней брони немецких танков: 4 — в 10-мм броне над моторным отделением легкого танка </w:t>
      </w:r>
      <w:r w:rsidRPr="008127F8">
        <w:rPr>
          <w:color w:val="000000" w:themeColor="text1"/>
          <w:sz w:val="16"/>
          <w:szCs w:val="16"/>
          <w:lang w:val="en-US"/>
        </w:rPr>
        <w:t>Pz</w:t>
      </w:r>
      <w:r w:rsidRPr="008127F8">
        <w:rPr>
          <w:color w:val="000000" w:themeColor="text1"/>
          <w:sz w:val="16"/>
          <w:szCs w:val="16"/>
        </w:rPr>
        <w:t>.38 (</w:t>
      </w:r>
      <w:r w:rsidRPr="008127F8">
        <w:rPr>
          <w:color w:val="000000" w:themeColor="text1"/>
          <w:sz w:val="16"/>
          <w:szCs w:val="16"/>
          <w:lang w:val="en-US"/>
        </w:rPr>
        <w:t>t</w:t>
      </w:r>
      <w:r w:rsidRPr="008127F8">
        <w:rPr>
          <w:color w:val="000000" w:themeColor="text1"/>
          <w:sz w:val="16"/>
          <w:szCs w:val="16"/>
        </w:rPr>
        <w:t xml:space="preserve">) и 1 — в 16-мм броне танка </w:t>
      </w:r>
      <w:r w:rsidRPr="008127F8">
        <w:rPr>
          <w:color w:val="000000" w:themeColor="text1"/>
          <w:sz w:val="16"/>
          <w:szCs w:val="16"/>
          <w:lang w:val="en-US"/>
        </w:rPr>
        <w:t>Pz</w:t>
      </w:r>
      <w:r w:rsidRPr="008127F8">
        <w:rPr>
          <w:color w:val="000000" w:themeColor="text1"/>
          <w:sz w:val="16"/>
          <w:szCs w:val="16"/>
        </w:rPr>
        <w:t>.</w:t>
      </w:r>
      <w:r w:rsidRPr="008127F8">
        <w:rPr>
          <w:color w:val="000000" w:themeColor="text1"/>
          <w:sz w:val="16"/>
          <w:szCs w:val="16"/>
          <w:lang w:val="en-US"/>
        </w:rPr>
        <w:t>III</w:t>
      </w:r>
      <w:r w:rsidRPr="008127F8">
        <w:rPr>
          <w:color w:val="000000" w:themeColor="text1"/>
          <w:sz w:val="16"/>
          <w:szCs w:val="16"/>
        </w:rPr>
        <w:t>. Во всех случаях атака производилась с пикирования под углом 30°.</w:t>
      </w:r>
    </w:p>
    <w:p w14:paraId="5AB4ECFF"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При стрельбе из пушек Ш-37 с самолета Ил-2 летчик с высокой квалификацией, каковым являл</w:t>
      </w:r>
      <w:r w:rsidRPr="008127F8">
        <w:rPr>
          <w:color w:val="000000" w:themeColor="text1"/>
          <w:sz w:val="16"/>
          <w:szCs w:val="16"/>
        </w:rPr>
        <w:softHyphen/>
        <w:t>ся майор Звонарев, при расходе в общей сложно</w:t>
      </w:r>
      <w:r w:rsidRPr="008127F8">
        <w:rPr>
          <w:color w:val="000000" w:themeColor="text1"/>
          <w:sz w:val="16"/>
          <w:szCs w:val="16"/>
        </w:rPr>
        <w:softHyphen/>
        <w:t xml:space="preserve">сти 153 снарядов обеспечил 23 попадания в танк (стрельба очередями по 3—5 выстрелов, углы планирования от 5—10° до 25—30°). При этом из 16 попаданий в легкие танки типа </w:t>
      </w:r>
      <w:r w:rsidRPr="008127F8">
        <w:rPr>
          <w:color w:val="000000" w:themeColor="text1"/>
          <w:sz w:val="16"/>
          <w:szCs w:val="16"/>
          <w:lang w:val="en-US"/>
        </w:rPr>
        <w:t>Pz</w:t>
      </w:r>
      <w:r w:rsidRPr="008127F8">
        <w:rPr>
          <w:color w:val="000000" w:themeColor="text1"/>
          <w:sz w:val="16"/>
          <w:szCs w:val="16"/>
        </w:rPr>
        <w:t>.</w:t>
      </w:r>
      <w:r w:rsidRPr="008127F8">
        <w:rPr>
          <w:color w:val="000000" w:themeColor="text1"/>
          <w:sz w:val="16"/>
          <w:szCs w:val="16"/>
          <w:lang w:val="en-US"/>
        </w:rPr>
        <w:t>II</w:t>
      </w:r>
      <w:r w:rsidRPr="008127F8">
        <w:rPr>
          <w:color w:val="000000" w:themeColor="text1"/>
          <w:sz w:val="16"/>
          <w:szCs w:val="16"/>
        </w:rPr>
        <w:t xml:space="preserve"> и </w:t>
      </w:r>
      <w:r w:rsidRPr="008127F8">
        <w:rPr>
          <w:color w:val="000000" w:themeColor="text1"/>
          <w:sz w:val="16"/>
          <w:szCs w:val="16"/>
          <w:lang w:val="en-US"/>
        </w:rPr>
        <w:t>Pz</w:t>
      </w:r>
      <w:r w:rsidRPr="008127F8">
        <w:rPr>
          <w:color w:val="000000" w:themeColor="text1"/>
          <w:sz w:val="16"/>
          <w:szCs w:val="16"/>
        </w:rPr>
        <w:t>.38 (</w:t>
      </w:r>
      <w:r w:rsidRPr="008127F8">
        <w:rPr>
          <w:color w:val="000000" w:themeColor="text1"/>
          <w:sz w:val="16"/>
          <w:szCs w:val="16"/>
          <w:lang w:val="en-US"/>
        </w:rPr>
        <w:t>t</w:t>
      </w:r>
      <w:r w:rsidRPr="008127F8">
        <w:rPr>
          <w:color w:val="000000" w:themeColor="text1"/>
          <w:sz w:val="16"/>
          <w:szCs w:val="16"/>
        </w:rPr>
        <w:t>) было получено 10 зачетных пробитий брони (борт и башня — толщина брони 15—30 мм), а из 7 по</w:t>
      </w:r>
      <w:r w:rsidRPr="008127F8">
        <w:rPr>
          <w:color w:val="000000" w:themeColor="text1"/>
          <w:sz w:val="16"/>
          <w:szCs w:val="16"/>
        </w:rPr>
        <w:softHyphen/>
        <w:t xml:space="preserve">паданий в средний танк типа </w:t>
      </w:r>
      <w:r w:rsidRPr="008127F8">
        <w:rPr>
          <w:color w:val="000000" w:themeColor="text1"/>
          <w:sz w:val="16"/>
          <w:szCs w:val="16"/>
          <w:lang w:val="en-US"/>
        </w:rPr>
        <w:t>Pz</w:t>
      </w:r>
      <w:r w:rsidRPr="008127F8">
        <w:rPr>
          <w:color w:val="000000" w:themeColor="text1"/>
          <w:sz w:val="16"/>
          <w:szCs w:val="16"/>
        </w:rPr>
        <w:t>.</w:t>
      </w:r>
      <w:r w:rsidRPr="008127F8">
        <w:rPr>
          <w:color w:val="000000" w:themeColor="text1"/>
          <w:sz w:val="16"/>
          <w:szCs w:val="16"/>
          <w:lang w:val="en-US"/>
        </w:rPr>
        <w:t>III</w:t>
      </w:r>
      <w:r w:rsidRPr="008127F8">
        <w:rPr>
          <w:color w:val="000000" w:themeColor="text1"/>
          <w:sz w:val="16"/>
          <w:szCs w:val="16"/>
        </w:rPr>
        <w:t xml:space="preserve"> пробитий было всего два (оба в борт — броня 30 мм).</w:t>
      </w:r>
    </w:p>
    <w:p w14:paraId="69F4C9B3"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Для получения наилучших результатов при стрельбе из пушек Ш-37 с самолета Ил-2 длина очереди ограничивалась 3—7 выстрелами. Более двух очередей за один заход делать не рекомен</w:t>
      </w:r>
      <w:r w:rsidRPr="008127F8">
        <w:rPr>
          <w:color w:val="000000" w:themeColor="text1"/>
          <w:sz w:val="16"/>
          <w:szCs w:val="16"/>
        </w:rPr>
        <w:softHyphen/>
        <w:t>довалось. Майор Звонарев указывал: «Дистанция прицеливания 800—600 м для летчика средней техники пилотирования на данном типе самолета дает вполне достаточное время для наведения са</w:t>
      </w:r>
      <w:r w:rsidRPr="008127F8">
        <w:rPr>
          <w:color w:val="000000" w:themeColor="text1"/>
          <w:sz w:val="16"/>
          <w:szCs w:val="16"/>
        </w:rPr>
        <w:softHyphen/>
        <w:t>молета на цель, и при заданной дистанции откры</w:t>
      </w:r>
      <w:r w:rsidRPr="008127F8">
        <w:rPr>
          <w:color w:val="000000" w:themeColor="text1"/>
          <w:sz w:val="16"/>
          <w:szCs w:val="16"/>
        </w:rPr>
        <w:softHyphen/>
        <w:t>тия огня 600—400 м возможно дать прицельную очередь от 5 до 7 выстрелов». Стрельба с самолета Ил-2 из одной пушки Ш-37 допускалась, но длина очереди при этом сокращалась до 2—3 выстрелов, так как «во время стрельбы точка наводки сбивает</w:t>
      </w:r>
      <w:r w:rsidRPr="008127F8">
        <w:rPr>
          <w:color w:val="000000" w:themeColor="text1"/>
          <w:sz w:val="16"/>
          <w:szCs w:val="16"/>
        </w:rPr>
        <w:softHyphen/>
        <w:t>ся» и «не хватает возможности парировать рулями уход самолета с точки наводки». Из-за того что про</w:t>
      </w:r>
      <w:r w:rsidRPr="008127F8">
        <w:rPr>
          <w:color w:val="000000" w:themeColor="text1"/>
          <w:sz w:val="16"/>
          <w:szCs w:val="16"/>
        </w:rPr>
        <w:softHyphen/>
        <w:t>садка Ил-2 с «большими пушками» на выводе из пи</w:t>
      </w:r>
      <w:r w:rsidRPr="008127F8">
        <w:rPr>
          <w:color w:val="000000" w:themeColor="text1"/>
          <w:sz w:val="16"/>
          <w:szCs w:val="16"/>
        </w:rPr>
        <w:softHyphen/>
        <w:t>кирования была несколько больше, чем у обычно</w:t>
      </w:r>
      <w:r w:rsidRPr="008127F8">
        <w:rPr>
          <w:color w:val="000000" w:themeColor="text1"/>
          <w:sz w:val="16"/>
          <w:szCs w:val="16"/>
        </w:rPr>
        <w:softHyphen/>
        <w:t>го серийного Ил-2, скорость ввода в пикирование ограничивалась 220 км/ч по прибору.</w:t>
      </w:r>
    </w:p>
    <w:p w14:paraId="6EEADAC6"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Испытание пушки ШВАК стрельбой по трофей</w:t>
      </w:r>
      <w:r w:rsidRPr="008127F8">
        <w:rPr>
          <w:color w:val="000000" w:themeColor="text1"/>
          <w:sz w:val="16"/>
          <w:szCs w:val="16"/>
        </w:rPr>
        <w:softHyphen/>
        <w:t xml:space="preserve">ным танкам показало, что бронебойно-зажигатель- ный снаряд БЗ-20 этой пушки может пробить броню толщиной до 15 мм (танки </w:t>
      </w:r>
      <w:r w:rsidRPr="008127F8">
        <w:rPr>
          <w:color w:val="000000" w:themeColor="text1"/>
          <w:sz w:val="16"/>
          <w:szCs w:val="16"/>
          <w:lang w:val="en-US"/>
        </w:rPr>
        <w:t>Pz</w:t>
      </w:r>
      <w:r w:rsidRPr="008127F8">
        <w:rPr>
          <w:color w:val="000000" w:themeColor="text1"/>
          <w:sz w:val="16"/>
          <w:szCs w:val="16"/>
        </w:rPr>
        <w:t>.</w:t>
      </w:r>
      <w:r w:rsidRPr="008127F8">
        <w:rPr>
          <w:color w:val="000000" w:themeColor="text1"/>
          <w:sz w:val="16"/>
          <w:szCs w:val="16"/>
          <w:lang w:val="en-US"/>
        </w:rPr>
        <w:t>II</w:t>
      </w:r>
      <w:r w:rsidRPr="008127F8">
        <w:rPr>
          <w:color w:val="000000" w:themeColor="text1"/>
          <w:sz w:val="16"/>
          <w:szCs w:val="16"/>
        </w:rPr>
        <w:t xml:space="preserve">, </w:t>
      </w:r>
      <w:r w:rsidRPr="008127F8">
        <w:rPr>
          <w:color w:val="000000" w:themeColor="text1"/>
          <w:sz w:val="16"/>
          <w:szCs w:val="16"/>
          <w:lang w:val="en-US"/>
        </w:rPr>
        <w:t>Pz</w:t>
      </w:r>
      <w:r w:rsidRPr="008127F8">
        <w:rPr>
          <w:color w:val="000000" w:themeColor="text1"/>
          <w:sz w:val="16"/>
          <w:szCs w:val="16"/>
        </w:rPr>
        <w:t>.38 (</w:t>
      </w:r>
      <w:r w:rsidRPr="008127F8">
        <w:rPr>
          <w:color w:val="000000" w:themeColor="text1"/>
          <w:sz w:val="16"/>
          <w:szCs w:val="16"/>
          <w:lang w:val="en-US"/>
        </w:rPr>
        <w:t>t</w:t>
      </w:r>
      <w:r w:rsidRPr="008127F8">
        <w:rPr>
          <w:color w:val="000000" w:themeColor="text1"/>
          <w:sz w:val="16"/>
          <w:szCs w:val="16"/>
        </w:rPr>
        <w:t>), бронема</w:t>
      </w:r>
      <w:r w:rsidRPr="008127F8">
        <w:rPr>
          <w:color w:val="000000" w:themeColor="text1"/>
          <w:sz w:val="16"/>
          <w:szCs w:val="16"/>
        </w:rPr>
        <w:softHyphen/>
        <w:t xml:space="preserve">шина </w:t>
      </w:r>
      <w:r w:rsidRPr="008127F8">
        <w:rPr>
          <w:color w:val="000000" w:themeColor="text1"/>
          <w:sz w:val="16"/>
          <w:szCs w:val="16"/>
          <w:lang w:val="en-US"/>
        </w:rPr>
        <w:t>Sd</w:t>
      </w:r>
      <w:r w:rsidRPr="008127F8">
        <w:rPr>
          <w:color w:val="000000" w:themeColor="text1"/>
          <w:sz w:val="16"/>
          <w:szCs w:val="16"/>
        </w:rPr>
        <w:t xml:space="preserve"> </w:t>
      </w:r>
      <w:r w:rsidRPr="008127F8">
        <w:rPr>
          <w:color w:val="000000" w:themeColor="text1"/>
          <w:sz w:val="16"/>
          <w:szCs w:val="16"/>
          <w:lang w:val="en-US"/>
        </w:rPr>
        <w:t>Kfz</w:t>
      </w:r>
      <w:r w:rsidRPr="008127F8">
        <w:rPr>
          <w:color w:val="000000" w:themeColor="text1"/>
          <w:sz w:val="16"/>
          <w:szCs w:val="16"/>
        </w:rPr>
        <w:t xml:space="preserve"> 250) с дистанции не более 250—300 м при углах встречи, близких к нормали. При откло</w:t>
      </w:r>
      <w:r w:rsidRPr="008127F8">
        <w:rPr>
          <w:color w:val="000000" w:themeColor="text1"/>
          <w:sz w:val="16"/>
          <w:szCs w:val="16"/>
        </w:rPr>
        <w:softHyphen/>
        <w:t>нении от этих условий стрельба становилась не</w:t>
      </w:r>
      <w:r w:rsidRPr="008127F8">
        <w:rPr>
          <w:color w:val="000000" w:themeColor="text1"/>
          <w:sz w:val="16"/>
          <w:szCs w:val="16"/>
        </w:rPr>
        <w:softHyphen/>
        <w:t>эффективной. При угле встречи снаряда с броней более 40° сплошные рикошеты получались даже на участках брони толщиной 6—8 мм.</w:t>
      </w:r>
    </w:p>
    <w:p w14:paraId="42D7DCB5"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 xml:space="preserve">При стрельбах с самолета Ил-2 из 19 попаданий по бронемашине </w:t>
      </w:r>
      <w:r w:rsidRPr="008127F8">
        <w:rPr>
          <w:color w:val="000000" w:themeColor="text1"/>
          <w:sz w:val="16"/>
          <w:szCs w:val="16"/>
          <w:lang w:val="en-US"/>
        </w:rPr>
        <w:t>Sd</w:t>
      </w:r>
      <w:r w:rsidRPr="008127F8">
        <w:rPr>
          <w:color w:val="000000" w:themeColor="text1"/>
          <w:sz w:val="16"/>
          <w:szCs w:val="16"/>
        </w:rPr>
        <w:t xml:space="preserve"> </w:t>
      </w:r>
      <w:r w:rsidRPr="008127F8">
        <w:rPr>
          <w:color w:val="000000" w:themeColor="text1"/>
          <w:sz w:val="16"/>
          <w:szCs w:val="16"/>
          <w:lang w:val="en-US"/>
        </w:rPr>
        <w:t>Kfz</w:t>
      </w:r>
      <w:r w:rsidRPr="008127F8">
        <w:rPr>
          <w:color w:val="000000" w:themeColor="text1"/>
          <w:sz w:val="16"/>
          <w:szCs w:val="16"/>
        </w:rPr>
        <w:t xml:space="preserve"> 250 (высота подхода 400 м, угол планирования 30°, дистанция открытия огня 400 м) было получено всего 6 сквозных пробоин в 8-мм броне и 4 — в броне крыши капота мото</w:t>
      </w:r>
      <w:r w:rsidRPr="008127F8">
        <w:rPr>
          <w:color w:val="000000" w:themeColor="text1"/>
          <w:sz w:val="16"/>
          <w:szCs w:val="16"/>
        </w:rPr>
        <w:softHyphen/>
        <w:t>ра толщиной 6 мм. В трех случаях имели место ри</w:t>
      </w:r>
      <w:r w:rsidRPr="008127F8">
        <w:rPr>
          <w:color w:val="000000" w:themeColor="text1"/>
          <w:sz w:val="16"/>
          <w:szCs w:val="16"/>
        </w:rPr>
        <w:softHyphen/>
        <w:t>кошеты и шесть попаданий пришлись на ходовую часть. Существенных повреждений бронемашине они не нанесли.</w:t>
      </w:r>
    </w:p>
    <w:p w14:paraId="6E3AF27A"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Из 15 попаданий, полученных при стрельбе по легким танкам (высота подхода 100 м, угол плани</w:t>
      </w:r>
      <w:r w:rsidRPr="008127F8">
        <w:rPr>
          <w:color w:val="000000" w:themeColor="text1"/>
          <w:sz w:val="16"/>
          <w:szCs w:val="16"/>
        </w:rPr>
        <w:softHyphen/>
        <w:t>рования 5—10°, дистанция открытия огня 400 м), только одно попадание в бортовую часть (толщи</w:t>
      </w:r>
      <w:r w:rsidRPr="008127F8">
        <w:rPr>
          <w:color w:val="000000" w:themeColor="text1"/>
          <w:sz w:val="16"/>
          <w:szCs w:val="16"/>
        </w:rPr>
        <w:softHyphen/>
        <w:t>на брони 15 мм) оказалось сквозным. Еще в од</w:t>
      </w:r>
      <w:r w:rsidRPr="008127F8">
        <w:rPr>
          <w:color w:val="000000" w:themeColor="text1"/>
          <w:sz w:val="16"/>
          <w:szCs w:val="16"/>
        </w:rPr>
        <w:softHyphen/>
        <w:t>ном случае сердечник застрял в броне толщиной 15 мм, что характеризует предельные возможности снаряда БЗ-20. Во всех остальных случаях снаря</w:t>
      </w:r>
      <w:r w:rsidRPr="008127F8">
        <w:rPr>
          <w:color w:val="000000" w:themeColor="text1"/>
          <w:sz w:val="16"/>
          <w:szCs w:val="16"/>
        </w:rPr>
        <w:softHyphen/>
        <w:t>ды либо рикошетировали, либо попали в ходовую часть.</w:t>
      </w:r>
    </w:p>
    <w:p w14:paraId="667533A5"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При стрельбе же по среднему немецкому тан</w:t>
      </w:r>
      <w:r w:rsidRPr="008127F8">
        <w:rPr>
          <w:color w:val="000000" w:themeColor="text1"/>
          <w:sz w:val="16"/>
          <w:szCs w:val="16"/>
        </w:rPr>
        <w:softHyphen/>
        <w:t xml:space="preserve">ку </w:t>
      </w:r>
      <w:r w:rsidRPr="008127F8">
        <w:rPr>
          <w:color w:val="000000" w:themeColor="text1"/>
          <w:sz w:val="16"/>
          <w:szCs w:val="16"/>
          <w:lang w:val="en-US"/>
        </w:rPr>
        <w:t>Pz</w:t>
      </w:r>
      <w:r w:rsidRPr="008127F8">
        <w:rPr>
          <w:color w:val="000000" w:themeColor="text1"/>
          <w:sz w:val="16"/>
          <w:szCs w:val="16"/>
        </w:rPr>
        <w:t>.</w:t>
      </w:r>
      <w:r w:rsidRPr="008127F8">
        <w:rPr>
          <w:color w:val="000000" w:themeColor="text1"/>
          <w:sz w:val="16"/>
          <w:szCs w:val="16"/>
          <w:lang w:val="en-US"/>
        </w:rPr>
        <w:t>III</w:t>
      </w:r>
      <w:r w:rsidRPr="008127F8">
        <w:rPr>
          <w:color w:val="000000" w:themeColor="text1"/>
          <w:sz w:val="16"/>
          <w:szCs w:val="16"/>
        </w:rPr>
        <w:t xml:space="preserve"> в этих же условиях во всех 24 попаданиях вообще не было получено ни одного пробития брони.</w:t>
      </w:r>
    </w:p>
    <w:p w14:paraId="394B2E90"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выводах отчета по испытаниям указывалось, что стрельба с самолета Ил-2 из пушек ШВАК по немецким легким и средним танкам совершен</w:t>
      </w:r>
      <w:r w:rsidRPr="008127F8">
        <w:rPr>
          <w:color w:val="000000" w:themeColor="text1"/>
          <w:sz w:val="16"/>
          <w:szCs w:val="16"/>
        </w:rPr>
        <w:softHyphen/>
        <w:t>но неэффективна: «Самолеты Ил-2, вооруженные пушками ШВАК, по танкам использовать неэффек тивно, а лучше использовать их на 5—10 км в тылу по пехоте и горю</w:t>
      </w:r>
      <w:r w:rsidRPr="008127F8">
        <w:rPr>
          <w:color w:val="000000" w:themeColor="text1"/>
          <w:sz w:val="16"/>
          <w:szCs w:val="16"/>
        </w:rPr>
        <w:softHyphen/>
        <w:t>чему, обеспечивающему танки».</w:t>
      </w:r>
    </w:p>
    <w:p w14:paraId="14461A30"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Стрельба с самолета Ил-2 из пу</w:t>
      </w:r>
      <w:r w:rsidRPr="008127F8">
        <w:rPr>
          <w:color w:val="000000" w:themeColor="text1"/>
          <w:sz w:val="16"/>
          <w:szCs w:val="16"/>
        </w:rPr>
        <w:softHyphen/>
        <w:t xml:space="preserve">шек ВЯ показала, что устойчивое поражение легких танков типа </w:t>
      </w:r>
      <w:r w:rsidRPr="008127F8">
        <w:rPr>
          <w:color w:val="000000" w:themeColor="text1"/>
          <w:sz w:val="16"/>
          <w:szCs w:val="16"/>
          <w:lang w:val="en-US"/>
        </w:rPr>
        <w:t>Pz</w:t>
      </w:r>
      <w:r w:rsidRPr="008127F8">
        <w:rPr>
          <w:color w:val="000000" w:themeColor="text1"/>
          <w:sz w:val="16"/>
          <w:szCs w:val="16"/>
        </w:rPr>
        <w:t>.</w:t>
      </w:r>
      <w:r w:rsidRPr="008127F8">
        <w:rPr>
          <w:color w:val="000000" w:themeColor="text1"/>
          <w:sz w:val="16"/>
          <w:szCs w:val="16"/>
          <w:lang w:val="en-US"/>
        </w:rPr>
        <w:t>II</w:t>
      </w:r>
      <w:r w:rsidRPr="008127F8">
        <w:rPr>
          <w:color w:val="000000" w:themeColor="text1"/>
          <w:sz w:val="16"/>
          <w:szCs w:val="16"/>
        </w:rPr>
        <w:t xml:space="preserve"> и </w:t>
      </w:r>
      <w:r w:rsidRPr="008127F8">
        <w:rPr>
          <w:color w:val="000000" w:themeColor="text1"/>
          <w:sz w:val="16"/>
          <w:szCs w:val="16"/>
          <w:lang w:val="en-US"/>
        </w:rPr>
        <w:t>Pz</w:t>
      </w:r>
      <w:r w:rsidRPr="008127F8">
        <w:rPr>
          <w:color w:val="000000" w:themeColor="text1"/>
          <w:sz w:val="16"/>
          <w:szCs w:val="16"/>
        </w:rPr>
        <w:t>.38 (</w:t>
      </w:r>
      <w:r w:rsidRPr="008127F8">
        <w:rPr>
          <w:color w:val="000000" w:themeColor="text1"/>
          <w:sz w:val="16"/>
          <w:szCs w:val="16"/>
          <w:lang w:val="en-US"/>
        </w:rPr>
        <w:t>t</w:t>
      </w:r>
      <w:r w:rsidRPr="008127F8">
        <w:rPr>
          <w:color w:val="000000" w:themeColor="text1"/>
          <w:sz w:val="16"/>
          <w:szCs w:val="16"/>
        </w:rPr>
        <w:t>) обеспечивалось лишь при стрельбе бронебойно-зажигатель- ными снарядами БЗ-23. При этом атаку следовало производить сбоку или сзади с дистанции 300—400 м и при углах пикирования до 30°.</w:t>
      </w:r>
    </w:p>
    <w:p w14:paraId="60676F0A"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 xml:space="preserve">Поражение танка </w:t>
      </w:r>
      <w:r w:rsidRPr="008127F8">
        <w:rPr>
          <w:color w:val="000000" w:themeColor="text1"/>
          <w:sz w:val="16"/>
          <w:szCs w:val="16"/>
          <w:lang w:val="en-US"/>
        </w:rPr>
        <w:t>Pz</w:t>
      </w:r>
      <w:r w:rsidRPr="008127F8">
        <w:rPr>
          <w:color w:val="000000" w:themeColor="text1"/>
          <w:sz w:val="16"/>
          <w:szCs w:val="16"/>
        </w:rPr>
        <w:t>.38 (</w:t>
      </w:r>
      <w:r w:rsidRPr="008127F8">
        <w:rPr>
          <w:color w:val="000000" w:themeColor="text1"/>
          <w:sz w:val="16"/>
          <w:szCs w:val="16"/>
          <w:lang w:val="en-US"/>
        </w:rPr>
        <w:t>t</w:t>
      </w:r>
      <w:r w:rsidRPr="008127F8">
        <w:rPr>
          <w:color w:val="000000" w:themeColor="text1"/>
          <w:sz w:val="16"/>
          <w:szCs w:val="16"/>
        </w:rPr>
        <w:t>) с уси</w:t>
      </w:r>
      <w:r w:rsidRPr="008127F8">
        <w:rPr>
          <w:color w:val="000000" w:themeColor="text1"/>
          <w:sz w:val="16"/>
          <w:szCs w:val="16"/>
        </w:rPr>
        <w:softHyphen/>
        <w:t>ленным бронированием при тех же условиях атаки было возмож</w:t>
      </w:r>
      <w:r w:rsidRPr="008127F8">
        <w:rPr>
          <w:color w:val="000000" w:themeColor="text1"/>
          <w:sz w:val="16"/>
          <w:szCs w:val="16"/>
        </w:rPr>
        <w:softHyphen/>
        <w:t>ным только в борт у ходовой части танка, где устанавливалась 15-мм броня. Но попадания в «чистую» броню были маловероятными, по</w:t>
      </w:r>
      <w:r w:rsidRPr="008127F8">
        <w:rPr>
          <w:color w:val="000000" w:themeColor="text1"/>
          <w:sz w:val="16"/>
          <w:szCs w:val="16"/>
        </w:rPr>
        <w:softHyphen/>
        <w:t>скольку большая ее часть закрыва</w:t>
      </w:r>
      <w:r w:rsidRPr="008127F8">
        <w:rPr>
          <w:color w:val="000000" w:themeColor="text1"/>
          <w:sz w:val="16"/>
          <w:szCs w:val="16"/>
        </w:rPr>
        <w:softHyphen/>
        <w:t>лась роликами, катками и гусеницами, а попадания в элементы ходовой части повреждений танку не на носили.</w:t>
      </w:r>
    </w:p>
    <w:p w14:paraId="7B1BB709"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 xml:space="preserve">Броня средних танков типа </w:t>
      </w:r>
      <w:r w:rsidRPr="008127F8">
        <w:rPr>
          <w:color w:val="000000" w:themeColor="text1"/>
          <w:sz w:val="16"/>
          <w:szCs w:val="16"/>
          <w:lang w:val="en-US"/>
        </w:rPr>
        <w:t>Pz</w:t>
      </w:r>
      <w:r w:rsidRPr="008127F8">
        <w:rPr>
          <w:color w:val="000000" w:themeColor="text1"/>
          <w:sz w:val="16"/>
          <w:szCs w:val="16"/>
        </w:rPr>
        <w:t>.</w:t>
      </w:r>
      <w:r w:rsidRPr="008127F8">
        <w:rPr>
          <w:color w:val="000000" w:themeColor="text1"/>
          <w:sz w:val="16"/>
          <w:szCs w:val="16"/>
          <w:lang w:val="en-US"/>
        </w:rPr>
        <w:t>III</w:t>
      </w:r>
      <w:r w:rsidRPr="008127F8">
        <w:rPr>
          <w:color w:val="000000" w:themeColor="text1"/>
          <w:sz w:val="16"/>
          <w:szCs w:val="16"/>
        </w:rPr>
        <w:t xml:space="preserve"> и </w:t>
      </w:r>
      <w:r w:rsidRPr="008127F8">
        <w:rPr>
          <w:color w:val="000000" w:themeColor="text1"/>
          <w:sz w:val="16"/>
          <w:szCs w:val="16"/>
          <w:lang w:val="en-US"/>
        </w:rPr>
        <w:t>StuG</w:t>
      </w:r>
      <w:r w:rsidRPr="008127F8">
        <w:rPr>
          <w:color w:val="000000" w:themeColor="text1"/>
          <w:sz w:val="16"/>
          <w:szCs w:val="16"/>
        </w:rPr>
        <w:t xml:space="preserve"> III с тол</w:t>
      </w:r>
      <w:r w:rsidRPr="008127F8">
        <w:rPr>
          <w:color w:val="000000" w:themeColor="text1"/>
          <w:sz w:val="16"/>
          <w:szCs w:val="16"/>
        </w:rPr>
        <w:softHyphen/>
        <w:t>щиной бортовой брони 30 мм и лобовой 50 мм при стрельбе с самолета Ил-2 из пушки ВЯ не поража</w:t>
      </w:r>
      <w:r w:rsidRPr="008127F8">
        <w:rPr>
          <w:color w:val="000000" w:themeColor="text1"/>
          <w:sz w:val="16"/>
          <w:szCs w:val="16"/>
        </w:rPr>
        <w:softHyphen/>
        <w:t>лась ни с одного направления атаки.</w:t>
      </w:r>
    </w:p>
    <w:p w14:paraId="7149BD64"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Поражение надмоторной брони и брони крыши башен немецких танков всех типов при стрельбе из пушек ВЯ и ШВАК получалось лишь при углах пи</w:t>
      </w:r>
      <w:r w:rsidRPr="008127F8">
        <w:rPr>
          <w:color w:val="000000" w:themeColor="text1"/>
          <w:sz w:val="16"/>
          <w:szCs w:val="16"/>
        </w:rPr>
        <w:softHyphen/>
        <w:t>кирования более 40°. Однако пилотирование Ил-2 на этих режимах было сложным, а вероятность по</w:t>
      </w:r>
      <w:r w:rsidRPr="008127F8">
        <w:rPr>
          <w:color w:val="000000" w:themeColor="text1"/>
          <w:sz w:val="16"/>
          <w:szCs w:val="16"/>
        </w:rPr>
        <w:softHyphen/>
        <w:t>падания в уязвимые части танков (из-за малой их площади) — небольшой.</w:t>
      </w:r>
    </w:p>
    <w:p w14:paraId="34F39F8A"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Другими словами, штурмовик Ил-2, вооружен</w:t>
      </w:r>
      <w:r w:rsidRPr="008127F8">
        <w:rPr>
          <w:color w:val="000000" w:themeColor="text1"/>
          <w:sz w:val="16"/>
          <w:szCs w:val="16"/>
        </w:rPr>
        <w:softHyphen/>
        <w:t>ный пушками ВЯ, мог наносить устойчивое пораже</w:t>
      </w:r>
      <w:r w:rsidRPr="008127F8">
        <w:rPr>
          <w:color w:val="000000" w:themeColor="text1"/>
          <w:sz w:val="16"/>
          <w:szCs w:val="16"/>
        </w:rPr>
        <w:softHyphen/>
        <w:t>ние только легким танкам и бронемашинам с тол</w:t>
      </w:r>
      <w:r w:rsidRPr="008127F8">
        <w:rPr>
          <w:color w:val="000000" w:themeColor="text1"/>
          <w:sz w:val="16"/>
          <w:szCs w:val="16"/>
        </w:rPr>
        <w:softHyphen/>
        <w:t>щиной брони до 20 мм. Причем в среднем только 30% попаданий бронебойно-зажигательных снаря</w:t>
      </w:r>
      <w:r w:rsidRPr="008127F8">
        <w:rPr>
          <w:color w:val="000000" w:themeColor="text1"/>
          <w:sz w:val="16"/>
          <w:szCs w:val="16"/>
        </w:rPr>
        <w:softHyphen/>
        <w:t>дов БЗ-23 в броню давали сквозные пробоины.</w:t>
      </w:r>
    </w:p>
    <w:p w14:paraId="013C2E81"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 мнению летчиков-испытателей НИП АВ, са</w:t>
      </w:r>
      <w:r w:rsidRPr="008127F8">
        <w:rPr>
          <w:color w:val="000000" w:themeColor="text1"/>
          <w:sz w:val="16"/>
          <w:szCs w:val="16"/>
        </w:rPr>
        <w:softHyphen/>
        <w:t>мой эффективной стрельбой из пушек по танкам с самолета Ил-2 с точки зрения лучших условий ориентировки, маневрирования, времени нахож</w:t>
      </w:r>
      <w:r w:rsidRPr="008127F8">
        <w:rPr>
          <w:color w:val="000000" w:themeColor="text1"/>
          <w:sz w:val="16"/>
          <w:szCs w:val="16"/>
        </w:rPr>
        <w:softHyphen/>
        <w:t>дения на боевом курсе, точности прицеливания и т.д. являлась стрельба с пикирования под углом 25—30°.</w:t>
      </w:r>
    </w:p>
    <w:p w14:paraId="7CD0B545"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lastRenderedPageBreak/>
        <w:t>При этом высота ввода в пикирование составля</w:t>
      </w:r>
      <w:r w:rsidRPr="008127F8">
        <w:rPr>
          <w:color w:val="000000" w:themeColor="text1"/>
          <w:sz w:val="16"/>
          <w:szCs w:val="16"/>
        </w:rPr>
        <w:softHyphen/>
        <w:t>ла 500—700 м, скорость на вводе — 240—220 км/ч по прибору, высота вывода — 200—150 м. Ско</w:t>
      </w:r>
      <w:r w:rsidRPr="008127F8">
        <w:rPr>
          <w:color w:val="000000" w:themeColor="text1"/>
          <w:sz w:val="16"/>
          <w:szCs w:val="16"/>
        </w:rPr>
        <w:softHyphen/>
        <w:t>рость Ил-2 на планировании при этих углах увели</w:t>
      </w:r>
      <w:r w:rsidRPr="008127F8">
        <w:rPr>
          <w:color w:val="000000" w:themeColor="text1"/>
          <w:sz w:val="16"/>
          <w:szCs w:val="16"/>
        </w:rPr>
        <w:softHyphen/>
        <w:t>чивалась незначительно — всего на 9—11 м/с, что допускало маневрирование для уточнения наводки по прицелу или трассе. Полное время атаки цели колебалось от 6 до 9 с. Это позволяло летчику сде</w:t>
      </w:r>
      <w:r w:rsidRPr="008127F8">
        <w:rPr>
          <w:color w:val="000000" w:themeColor="text1"/>
          <w:sz w:val="16"/>
          <w:szCs w:val="16"/>
        </w:rPr>
        <w:softHyphen/>
        <w:t>лать 2—3 прицельные очереди из пушек ВЯ и 1—2 очереди из пушек Ш-37.</w:t>
      </w:r>
    </w:p>
    <w:p w14:paraId="6DC710ED"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Действительно, на устранение бокового сколь</w:t>
      </w:r>
      <w:r w:rsidRPr="008127F8">
        <w:rPr>
          <w:color w:val="000000" w:themeColor="text1"/>
          <w:sz w:val="16"/>
          <w:szCs w:val="16"/>
        </w:rPr>
        <w:softHyphen/>
        <w:t>жения штурмовика при развороте на цель в сред</w:t>
      </w:r>
      <w:r w:rsidRPr="008127F8">
        <w:rPr>
          <w:color w:val="000000" w:themeColor="text1"/>
          <w:sz w:val="16"/>
          <w:szCs w:val="16"/>
        </w:rPr>
        <w:softHyphen/>
        <w:t>нем необходимо затратить около 1,5—2 с, на при</w:t>
      </w:r>
      <w:r w:rsidRPr="008127F8">
        <w:rPr>
          <w:color w:val="000000" w:themeColor="text1"/>
          <w:sz w:val="16"/>
          <w:szCs w:val="16"/>
        </w:rPr>
        <w:softHyphen/>
        <w:t>целивание и исправление наводки между очере</w:t>
      </w:r>
      <w:r w:rsidRPr="008127F8">
        <w:rPr>
          <w:color w:val="000000" w:themeColor="text1"/>
          <w:sz w:val="16"/>
          <w:szCs w:val="16"/>
        </w:rPr>
        <w:softHyphen/>
        <w:t>дями требуется также 1,5—2 с, длина очереди не должна превышать одной секунды. Ведение огня из пушек ВЯ и Ш-37 более 1—2 с приводило к суще</w:t>
      </w:r>
      <w:r w:rsidRPr="008127F8">
        <w:rPr>
          <w:color w:val="000000" w:themeColor="text1"/>
          <w:sz w:val="16"/>
          <w:szCs w:val="16"/>
        </w:rPr>
        <w:softHyphen/>
        <w:t>ственному нарушению наводки и к резкому увели</w:t>
      </w:r>
      <w:r w:rsidRPr="008127F8">
        <w:rPr>
          <w:color w:val="000000" w:themeColor="text1"/>
          <w:sz w:val="16"/>
          <w:szCs w:val="16"/>
        </w:rPr>
        <w:softHyphen/>
        <w:t>чению рассеивания снарядов, то есть к снижению точности стрельбы. Дистанция начала прицелива</w:t>
      </w:r>
      <w:r w:rsidRPr="008127F8">
        <w:rPr>
          <w:color w:val="000000" w:themeColor="text1"/>
          <w:sz w:val="16"/>
          <w:szCs w:val="16"/>
        </w:rPr>
        <w:softHyphen/>
        <w:t>ния — 600—800 м, минимальная дистанция откры</w:t>
      </w:r>
      <w:r w:rsidRPr="008127F8">
        <w:rPr>
          <w:color w:val="000000" w:themeColor="text1"/>
          <w:sz w:val="16"/>
          <w:szCs w:val="16"/>
        </w:rPr>
        <w:softHyphen/>
        <w:t>тия огня — около 300—400 м.</w:t>
      </w:r>
    </w:p>
    <w:p w14:paraId="08E13908"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Результаты наземных подрывов ракетных оско</w:t>
      </w:r>
      <w:r w:rsidRPr="008127F8">
        <w:rPr>
          <w:color w:val="000000" w:themeColor="text1"/>
          <w:sz w:val="16"/>
          <w:szCs w:val="16"/>
        </w:rPr>
        <w:softHyphen/>
        <w:t>лочных снарядов (РС-82, РС-132) подтвердили, что поражение танков боеприпасами этого типа возможно лишь при прямом попадании в танк. Во всех остальных случаях танк получал поврежде дения, серьезно не влиявшие на его боеспособ</w:t>
      </w:r>
      <w:r w:rsidRPr="008127F8">
        <w:rPr>
          <w:color w:val="000000" w:themeColor="text1"/>
          <w:sz w:val="16"/>
          <w:szCs w:val="16"/>
        </w:rPr>
        <w:softHyphen/>
        <w:t>ность.</w:t>
      </w:r>
    </w:p>
    <w:p w14:paraId="43558ECB"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Разрывы осколочно-фугасных ракетных снаря</w:t>
      </w:r>
      <w:r w:rsidRPr="008127F8">
        <w:rPr>
          <w:color w:val="000000" w:themeColor="text1"/>
          <w:sz w:val="16"/>
          <w:szCs w:val="16"/>
        </w:rPr>
        <w:softHyphen/>
        <w:t>дов РОФС-132 на расстоянии 3 м от легких танков вполне обеспечивали пробитие осколками брони толщиной 16 мм. Осколки бетонобойных ракетных снарядов РБТС-203 в этих же условиях устойчиво пробивали 30-мм броню средних немецких танков. Размер пробоин достигал 4—12 см в поперечнике. Более того, от воздействия взрывной волны разру</w:t>
      </w:r>
      <w:r w:rsidRPr="008127F8">
        <w:rPr>
          <w:color w:val="000000" w:themeColor="text1"/>
          <w:sz w:val="16"/>
          <w:szCs w:val="16"/>
        </w:rPr>
        <w:softHyphen/>
        <w:t>шались заклепочные и сварные швы и срывались с посадочных мест бронеплиты. Значительные по</w:t>
      </w:r>
      <w:r w:rsidRPr="008127F8">
        <w:rPr>
          <w:color w:val="000000" w:themeColor="text1"/>
          <w:sz w:val="16"/>
          <w:szCs w:val="16"/>
        </w:rPr>
        <w:softHyphen/>
        <w:t>ражения наносились ходовой части танков (про</w:t>
      </w:r>
      <w:r w:rsidRPr="008127F8">
        <w:rPr>
          <w:color w:val="000000" w:themeColor="text1"/>
          <w:sz w:val="16"/>
          <w:szCs w:val="16"/>
        </w:rPr>
        <w:softHyphen/>
        <w:t>битие гидравлических амортизаторов, разрушения зубьев ведущего колеса, пробитие и срыв роликов и ведущего колеса, срыв гусениц). Во всех случаях танк выходил из строя, но не уничтожался. Для по</w:t>
      </w:r>
      <w:r w:rsidRPr="008127F8">
        <w:rPr>
          <w:color w:val="000000" w:themeColor="text1"/>
          <w:sz w:val="16"/>
          <w:szCs w:val="16"/>
        </w:rPr>
        <w:softHyphen/>
        <w:t>ражения танка необходимо было только прямое попадание в танк.</w:t>
      </w:r>
    </w:p>
    <w:p w14:paraId="4453E600"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Между тем точность стрельбы в воздухе ракет</w:t>
      </w:r>
      <w:r w:rsidRPr="008127F8">
        <w:rPr>
          <w:color w:val="000000" w:themeColor="text1"/>
          <w:sz w:val="16"/>
          <w:szCs w:val="16"/>
        </w:rPr>
        <w:softHyphen/>
        <w:t>ными снарядами всех типов была невысокой. Веро</w:t>
      </w:r>
      <w:r w:rsidRPr="008127F8">
        <w:rPr>
          <w:color w:val="000000" w:themeColor="text1"/>
          <w:sz w:val="16"/>
          <w:szCs w:val="16"/>
        </w:rPr>
        <w:softHyphen/>
        <w:t>ятность попадания при стрельбе с самолета Ил-2 летчиком с отличной стрелковой и летной подго</w:t>
      </w:r>
      <w:r w:rsidRPr="008127F8">
        <w:rPr>
          <w:color w:val="000000" w:themeColor="text1"/>
          <w:sz w:val="16"/>
          <w:szCs w:val="16"/>
        </w:rPr>
        <w:softHyphen/>
        <w:t>товкой (майор Звонарев) по колонне из 4 танков общей длиной 58 м оказалась всего 6,4%. Из 3 бо</w:t>
      </w:r>
      <w:r w:rsidRPr="008127F8">
        <w:rPr>
          <w:color w:val="000000" w:themeColor="text1"/>
          <w:sz w:val="16"/>
          <w:szCs w:val="16"/>
        </w:rPr>
        <w:softHyphen/>
        <w:t>евых летчиков 245-го шап в колонну танков попал только старший лейтенант Канюко. При стрельбе по отдельным танкам результаты были еще хуже. Усредненная по всем летчикам вероятность попа</w:t>
      </w:r>
      <w:r w:rsidRPr="008127F8">
        <w:rPr>
          <w:color w:val="000000" w:themeColor="text1"/>
          <w:sz w:val="16"/>
          <w:szCs w:val="16"/>
        </w:rPr>
        <w:softHyphen/>
        <w:t>дания в колонну танков не превысила 3,7%, а по от</w:t>
      </w:r>
      <w:r w:rsidRPr="008127F8">
        <w:rPr>
          <w:color w:val="000000" w:themeColor="text1"/>
          <w:sz w:val="16"/>
          <w:szCs w:val="16"/>
        </w:rPr>
        <w:softHyphen/>
        <w:t>дельному танку — 1,1%. Эти результаты позволили специалистам НИП АВ сделать вывод, что «ведение стрельбы по отдель</w:t>
      </w:r>
      <w:r w:rsidRPr="008127F8">
        <w:rPr>
          <w:color w:val="000000" w:themeColor="text1"/>
          <w:sz w:val="16"/>
          <w:szCs w:val="16"/>
        </w:rPr>
        <w:softHyphen/>
        <w:t>ным танкам и целям малых размеров (или длины) с самолета Ил-2 ракетными снарядами всех калибров считать неэф</w:t>
      </w:r>
      <w:r w:rsidRPr="008127F8">
        <w:rPr>
          <w:color w:val="000000" w:themeColor="text1"/>
          <w:sz w:val="16"/>
          <w:szCs w:val="16"/>
        </w:rPr>
        <w:softHyphen/>
        <w:t>фективным». Вместе с этим отмечалось, что по площадным и линейно вытянутым целям применение РС дает определен</w:t>
      </w:r>
      <w:r w:rsidRPr="008127F8">
        <w:rPr>
          <w:color w:val="000000" w:themeColor="text1"/>
          <w:sz w:val="16"/>
          <w:szCs w:val="16"/>
        </w:rPr>
        <w:softHyphen/>
        <w:t>ный эффект.</w:t>
      </w:r>
    </w:p>
    <w:p w14:paraId="61AB6930"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Подрывы штатных бомб показали, что для борьбы с немецкими легкими танками могут использоваться только АО-25М-13, АО-25сл и ФАБ-50, которые наносят поражение танку с пробитием боковой брони толщиной 15—20 мм осколками при прямом попадании или в непосредственной близости от него. По средним танкам целесообразно применять фугасные бомбы типа ФАБ-100цк и ФАБ-250. При разрыве на рассто</w:t>
      </w:r>
      <w:r w:rsidRPr="008127F8">
        <w:rPr>
          <w:color w:val="000000" w:themeColor="text1"/>
          <w:sz w:val="16"/>
          <w:szCs w:val="16"/>
        </w:rPr>
        <w:softHyphen/>
        <w:t>янии 1—5 м осколки этих бомб пробивают броню толщиной 30 мм, а от взрывной волны разруша</w:t>
      </w:r>
      <w:r w:rsidRPr="008127F8">
        <w:rPr>
          <w:color w:val="000000" w:themeColor="text1"/>
          <w:sz w:val="16"/>
          <w:szCs w:val="16"/>
        </w:rPr>
        <w:softHyphen/>
        <w:t>ются заклепочные и сварные швы танков. Во всех случаях действия авиабомб осколки наносят суще</w:t>
      </w:r>
      <w:r w:rsidRPr="008127F8">
        <w:rPr>
          <w:color w:val="000000" w:themeColor="text1"/>
          <w:sz w:val="16"/>
          <w:szCs w:val="16"/>
        </w:rPr>
        <w:softHyphen/>
        <w:t>ственные поражения ходовой части танков. Однако поскольку «прямые попадания бомб в ограничен</w:t>
      </w:r>
      <w:r w:rsidRPr="008127F8">
        <w:rPr>
          <w:color w:val="000000" w:themeColor="text1"/>
          <w:sz w:val="16"/>
          <w:szCs w:val="16"/>
        </w:rPr>
        <w:softHyphen/>
        <w:t>ные цели (отдельный танк и их колонны) маловеро</w:t>
      </w:r>
      <w:r w:rsidRPr="008127F8">
        <w:rPr>
          <w:color w:val="000000" w:themeColor="text1"/>
          <w:sz w:val="16"/>
          <w:szCs w:val="16"/>
        </w:rPr>
        <w:softHyphen/>
        <w:t>ятно, то следует рассчитывать лишь на осколочное действие авиабомб и применять главным образом взрыватели мгновенного действия».</w:t>
      </w:r>
    </w:p>
    <w:p w14:paraId="07EF3274"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Действительно, при бомбометании с Ил-2 с го</w:t>
      </w:r>
      <w:r w:rsidRPr="008127F8">
        <w:rPr>
          <w:color w:val="000000" w:themeColor="text1"/>
          <w:sz w:val="16"/>
          <w:szCs w:val="16"/>
        </w:rPr>
        <w:softHyphen/>
        <w:t>ризонтального полета с прицеливанием по суще</w:t>
      </w:r>
      <w:r w:rsidRPr="008127F8">
        <w:rPr>
          <w:color w:val="000000" w:themeColor="text1"/>
          <w:sz w:val="16"/>
          <w:szCs w:val="16"/>
        </w:rPr>
        <w:softHyphen/>
        <w:t>ствующим меткам на бронекозырьке и бронека- поте вероятность попадания одной бомбы типа ФАБ-50 в полосу 20x100 м с высоты 50 м составила 3,5% при одиночном бомбометании и 8% — при бомбометании серией из 4 ФАБ-50. При увеличе</w:t>
      </w:r>
      <w:r w:rsidRPr="008127F8">
        <w:rPr>
          <w:color w:val="000000" w:themeColor="text1"/>
          <w:sz w:val="16"/>
          <w:szCs w:val="16"/>
        </w:rPr>
        <w:softHyphen/>
        <w:t>нии высоты бомбометания до 200 м вероятность попадания уменьшалась примерно в 1,5—2 раза.</w:t>
      </w:r>
    </w:p>
    <w:p w14:paraId="7E6F41B6"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отчете по испытаниям особо указывалось, что эти результаты получены при бомбометании по мягкому грунту, «при котором рикошеты незна</w:t>
      </w:r>
      <w:r w:rsidRPr="008127F8">
        <w:rPr>
          <w:color w:val="000000" w:themeColor="text1"/>
          <w:sz w:val="16"/>
          <w:szCs w:val="16"/>
        </w:rPr>
        <w:softHyphen/>
        <w:t>чительны». При бомбометании по более твердому грунту «результаты бомбометания из-за больших рикошетов, различных по величине, были бы хуже».</w:t>
      </w:r>
    </w:p>
    <w:p w14:paraId="0D38DE74"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 1,5—2 раза лучшие результаты получались, если бомбометание осуществлялось с помощью временного механизма штурмовика (ВМШ). Это устройство было разработано в апреле — мае 1942 г. преподавателем кафедры бомбомета</w:t>
      </w:r>
      <w:r w:rsidRPr="008127F8">
        <w:rPr>
          <w:color w:val="000000" w:themeColor="text1"/>
          <w:sz w:val="16"/>
          <w:szCs w:val="16"/>
        </w:rPr>
        <w:softHyphen/>
        <w:t>ния ВВА им. Н. Е. Жуковского инженер-майором М. К. Цветковым.</w:t>
      </w:r>
    </w:p>
    <w:p w14:paraId="59BABB04"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Работа с ВМШ Цветкова была простой и до</w:t>
      </w:r>
      <w:r w:rsidRPr="008127F8">
        <w:rPr>
          <w:color w:val="000000" w:themeColor="text1"/>
          <w:sz w:val="16"/>
          <w:szCs w:val="16"/>
        </w:rPr>
        <w:softHyphen/>
        <w:t>статочно удобной. Перед заходом на цель летчик заводил пружинный механизм и устанавливал вы</w:t>
      </w:r>
      <w:r w:rsidRPr="008127F8">
        <w:rPr>
          <w:color w:val="000000" w:themeColor="text1"/>
          <w:sz w:val="16"/>
          <w:szCs w:val="16"/>
        </w:rPr>
        <w:softHyphen/>
        <w:t>соту полета и скорость полета (совмещал кривую высоты бомбометания на поворотном диске с ри</w:t>
      </w:r>
      <w:r w:rsidRPr="008127F8">
        <w:rPr>
          <w:color w:val="000000" w:themeColor="text1"/>
          <w:sz w:val="16"/>
          <w:szCs w:val="16"/>
        </w:rPr>
        <w:softHyphen/>
        <w:t>ской путевой скорости на шкале прибора). Затем, соблюдая режим полета (скорость и высоту), в мо</w:t>
      </w:r>
      <w:r w:rsidRPr="008127F8">
        <w:rPr>
          <w:color w:val="000000" w:themeColor="text1"/>
          <w:sz w:val="16"/>
          <w:szCs w:val="16"/>
        </w:rPr>
        <w:softHyphen/>
        <w:t>мент совмещения с целью линии на бронекозырь- ке с оцифровкой 50—100 и мушки на бронекапоте летчик нажатием пускового рычага запускал ВМШ и далее соблюдал режим полета до момента заго</w:t>
      </w:r>
      <w:r w:rsidRPr="008127F8">
        <w:rPr>
          <w:color w:val="000000" w:themeColor="text1"/>
          <w:sz w:val="16"/>
          <w:szCs w:val="16"/>
        </w:rPr>
        <w:softHyphen/>
        <w:t>рания сигнальной лампочки, указывающей момент автоматического сбрасывания авиабомб. При этом за 5 с до сбрасывания бомб загоралась зеленая сигнальная лампочка, а в момент сбрасывания бомб — красная лампочка.</w:t>
      </w:r>
    </w:p>
    <w:p w14:paraId="6BA56F1A"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При разработке ВМШ в качестве основной рас</w:t>
      </w:r>
      <w:r w:rsidRPr="008127F8">
        <w:rPr>
          <w:color w:val="000000" w:themeColor="text1"/>
          <w:sz w:val="16"/>
          <w:szCs w:val="16"/>
        </w:rPr>
        <w:softHyphen/>
        <w:t>четной высоты боевого применения на самолете Ил-2 была принята высота 200 м, но на полигоне были отработаны и варианты бомбометания с вы</w:t>
      </w:r>
      <w:r w:rsidRPr="008127F8">
        <w:rPr>
          <w:color w:val="000000" w:themeColor="text1"/>
          <w:sz w:val="16"/>
          <w:szCs w:val="16"/>
        </w:rPr>
        <w:softHyphen/>
        <w:t>сот 70, 100, 300 и 400 м.</w:t>
      </w:r>
    </w:p>
    <w:p w14:paraId="44A432CE"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Во всех случаях результаты бомбометания ока</w:t>
      </w:r>
      <w:r w:rsidRPr="008127F8">
        <w:rPr>
          <w:color w:val="000000" w:themeColor="text1"/>
          <w:sz w:val="16"/>
          <w:szCs w:val="16"/>
        </w:rPr>
        <w:softHyphen/>
        <w:t>зались выше, чем при бомбометании по существу</w:t>
      </w:r>
      <w:r w:rsidRPr="008127F8">
        <w:rPr>
          <w:color w:val="000000" w:themeColor="text1"/>
          <w:sz w:val="16"/>
          <w:szCs w:val="16"/>
        </w:rPr>
        <w:softHyphen/>
        <w:t>ющим меткам на бронекозырьке и бронекапоте самолета.</w:t>
      </w:r>
    </w:p>
    <w:p w14:paraId="6A3DD423"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Летчиками НИП АВ был сделан вывод о целесо</w:t>
      </w:r>
      <w:r w:rsidRPr="008127F8">
        <w:rPr>
          <w:color w:val="000000" w:themeColor="text1"/>
          <w:sz w:val="16"/>
          <w:szCs w:val="16"/>
        </w:rPr>
        <w:softHyphen/>
        <w:t>образности применения ВМШ на Ил-2 при бомбо</w:t>
      </w:r>
      <w:r w:rsidRPr="008127F8">
        <w:rPr>
          <w:color w:val="000000" w:themeColor="text1"/>
          <w:sz w:val="16"/>
          <w:szCs w:val="16"/>
        </w:rPr>
        <w:softHyphen/>
        <w:t>метании с горизонтального полета в строевых ча</w:t>
      </w:r>
      <w:r w:rsidRPr="008127F8">
        <w:rPr>
          <w:color w:val="000000" w:themeColor="text1"/>
          <w:sz w:val="16"/>
          <w:szCs w:val="16"/>
        </w:rPr>
        <w:softHyphen/>
        <w:t>стях ВВС КА, поскольку работа летчика с ним в по</w:t>
      </w:r>
      <w:r w:rsidRPr="008127F8">
        <w:rPr>
          <w:color w:val="000000" w:themeColor="text1"/>
          <w:sz w:val="16"/>
          <w:szCs w:val="16"/>
        </w:rPr>
        <w:softHyphen/>
        <w:t>лете проста и он дает лучшие результаты.</w:t>
      </w:r>
    </w:p>
    <w:p w14:paraId="6100319B"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Кроме положительных сторон применения ВМШ на штурмовике, был отмечен и ряд существенных недостатков конструкции устройства, снижающих его боевую ценность. К основным недостаткам от</w:t>
      </w:r>
      <w:r w:rsidRPr="008127F8">
        <w:rPr>
          <w:color w:val="000000" w:themeColor="text1"/>
          <w:sz w:val="16"/>
          <w:szCs w:val="16"/>
        </w:rPr>
        <w:softHyphen/>
        <w:t>носились: дискретность выбора и ограниченность диапазона высот боевого применения, а также от</w:t>
      </w:r>
      <w:r w:rsidRPr="008127F8">
        <w:rPr>
          <w:color w:val="000000" w:themeColor="text1"/>
          <w:sz w:val="16"/>
          <w:szCs w:val="16"/>
        </w:rPr>
        <w:softHyphen/>
        <w:t>сутствие режима бомбометания на выходе из пи</w:t>
      </w:r>
      <w:r w:rsidRPr="008127F8">
        <w:rPr>
          <w:color w:val="000000" w:themeColor="text1"/>
          <w:sz w:val="16"/>
          <w:szCs w:val="16"/>
        </w:rPr>
        <w:softHyphen/>
        <w:t>кирования (планирования), который обеспечивал в 2—3 раза большую точность бомбометания.</w:t>
      </w:r>
    </w:p>
    <w:p w14:paraId="5F7C00EA"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Действительно, в ходе отработки методов бом</w:t>
      </w:r>
      <w:r w:rsidRPr="008127F8">
        <w:rPr>
          <w:color w:val="000000" w:themeColor="text1"/>
          <w:sz w:val="16"/>
          <w:szCs w:val="16"/>
        </w:rPr>
        <w:softHyphen/>
        <w:t>бометания с самолета Ил-2 усредненная вероят</w:t>
      </w:r>
      <w:r w:rsidRPr="008127F8">
        <w:rPr>
          <w:color w:val="000000" w:themeColor="text1"/>
          <w:sz w:val="16"/>
          <w:szCs w:val="16"/>
        </w:rPr>
        <w:softHyphen/>
        <w:t>ность попадания бомбы ФАБ-50 в полосу 20x100 м на выходе из крутого планирования (25—30°) равнялась 7%, а при серийном сбросе бомб (4 ФАБ-50) — 12,8%.</w:t>
      </w:r>
    </w:p>
    <w:p w14:paraId="333C09A5"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Сброс бомб производился в момент, когда верх</w:t>
      </w:r>
      <w:r w:rsidRPr="008127F8">
        <w:rPr>
          <w:color w:val="000000" w:themeColor="text1"/>
          <w:sz w:val="16"/>
          <w:szCs w:val="16"/>
        </w:rPr>
        <w:softHyphen/>
        <w:t>ний обрез кольца сетки прицела совпадал с гори</w:t>
      </w:r>
      <w:r w:rsidRPr="008127F8">
        <w:rPr>
          <w:color w:val="000000" w:themeColor="text1"/>
          <w:sz w:val="16"/>
          <w:szCs w:val="16"/>
        </w:rPr>
        <w:softHyphen/>
        <w:t>зонтом, при этом во время пикирования летчик должен был совместить перекрестие сетки прицела и мушку с целью.</w:t>
      </w:r>
    </w:p>
    <w:p w14:paraId="214AC35A"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Высота ввода в пикирование штурмовика со</w:t>
      </w:r>
      <w:r w:rsidRPr="008127F8">
        <w:rPr>
          <w:color w:val="000000" w:themeColor="text1"/>
          <w:sz w:val="16"/>
          <w:szCs w:val="16"/>
        </w:rPr>
        <w:softHyphen/>
        <w:t>ставляла 450 м, а высота сброса бомб — 200 м. Вывод из пикирования следовало начинать на вы</w:t>
      </w:r>
      <w:r w:rsidRPr="008127F8">
        <w:rPr>
          <w:color w:val="000000" w:themeColor="text1"/>
          <w:sz w:val="16"/>
          <w:szCs w:val="16"/>
        </w:rPr>
        <w:softHyphen/>
        <w:t>соте 300 м. Перед вводом самолета в пикирование требовалось «сбросить» скорость полета до 250— 270 км/ч по прибору. В противном случае штурмо</w:t>
      </w:r>
      <w:r w:rsidRPr="008127F8">
        <w:rPr>
          <w:color w:val="000000" w:themeColor="text1"/>
          <w:sz w:val="16"/>
          <w:szCs w:val="16"/>
        </w:rPr>
        <w:softHyphen/>
        <w:t>вик на выходе из пикирования терял слишком мно</w:t>
      </w:r>
      <w:r w:rsidRPr="008127F8">
        <w:rPr>
          <w:color w:val="000000" w:themeColor="text1"/>
          <w:sz w:val="16"/>
          <w:szCs w:val="16"/>
        </w:rPr>
        <w:softHyphen/>
        <w:t>го высоты, что было небезопасно.</w:t>
      </w:r>
    </w:p>
    <w:p w14:paraId="4C352751"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Надо сказать, что бомбометание на выходе из пикирования требовало от летчиков повышен</w:t>
      </w:r>
      <w:r w:rsidRPr="008127F8">
        <w:rPr>
          <w:color w:val="000000" w:themeColor="text1"/>
          <w:sz w:val="16"/>
          <w:szCs w:val="16"/>
        </w:rPr>
        <w:softHyphen/>
        <w:t>ной летной и стрелковой подготовки. Испыта</w:t>
      </w:r>
      <w:r w:rsidRPr="008127F8">
        <w:rPr>
          <w:color w:val="000000" w:themeColor="text1"/>
          <w:sz w:val="16"/>
          <w:szCs w:val="16"/>
        </w:rPr>
        <w:softHyphen/>
        <w:t>ния показали, что летчик с отличной подготовкой и большим опытом в прицельном бомбометании (майор Н.И. Звонарев) обеспечивал вероятность попадания бомбы в полосу 20х100 м при оди</w:t>
      </w:r>
      <w:r w:rsidRPr="008127F8">
        <w:rPr>
          <w:color w:val="000000" w:themeColor="text1"/>
          <w:sz w:val="16"/>
          <w:szCs w:val="16"/>
        </w:rPr>
        <w:softHyphen/>
        <w:t>ночном бомбометании 12,4%, тогда как строевые летчики из 245-го шап показали в 3 (!) раза худ</w:t>
      </w:r>
      <w:r w:rsidRPr="008127F8">
        <w:rPr>
          <w:color w:val="000000" w:themeColor="text1"/>
          <w:sz w:val="16"/>
          <w:szCs w:val="16"/>
        </w:rPr>
        <w:softHyphen/>
        <w:t>ший результат — в тех же условиях они добились средней вероятности попадания одной авиабомбы только 4,6%.</w:t>
      </w:r>
    </w:p>
    <w:p w14:paraId="2E321D2D"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 соответствии с результатами испытания дей</w:t>
      </w:r>
      <w:r w:rsidRPr="008127F8">
        <w:rPr>
          <w:color w:val="000000" w:themeColor="text1"/>
          <w:sz w:val="16"/>
          <w:szCs w:val="16"/>
        </w:rPr>
        <w:softHyphen/>
        <w:t>ственности вооружения самолета Ил-2 по немец</w:t>
      </w:r>
      <w:r w:rsidRPr="008127F8">
        <w:rPr>
          <w:color w:val="000000" w:themeColor="text1"/>
          <w:sz w:val="16"/>
          <w:szCs w:val="16"/>
        </w:rPr>
        <w:softHyphen/>
        <w:t>ким танкам специалистами НИП АВ ВВС были опре</w:t>
      </w:r>
      <w:r w:rsidRPr="008127F8">
        <w:rPr>
          <w:color w:val="000000" w:themeColor="text1"/>
          <w:sz w:val="16"/>
          <w:szCs w:val="16"/>
        </w:rPr>
        <w:softHyphen/>
        <w:t>делены наиболее эффективные способы атак танко</w:t>
      </w:r>
      <w:r w:rsidRPr="008127F8">
        <w:rPr>
          <w:color w:val="000000" w:themeColor="text1"/>
          <w:sz w:val="16"/>
          <w:szCs w:val="16"/>
        </w:rPr>
        <w:softHyphen/>
        <w:t>вых и мотомеханизированных колонн. Наилучшие результаты получились при атаке колонны сзади вдоль или сбоку при угле планирования 30° с вы</w:t>
      </w:r>
      <w:r w:rsidRPr="008127F8">
        <w:rPr>
          <w:color w:val="000000" w:themeColor="text1"/>
          <w:sz w:val="16"/>
          <w:szCs w:val="16"/>
        </w:rPr>
        <w:softHyphen/>
        <w:t>сот 500—700 м, дальность прицеливания порядка 800 м, а ведения огня — до 200—300 м. Прице</w:t>
      </w:r>
      <w:r w:rsidRPr="008127F8">
        <w:rPr>
          <w:color w:val="000000" w:themeColor="text1"/>
          <w:sz w:val="16"/>
          <w:szCs w:val="16"/>
        </w:rPr>
        <w:softHyphen/>
        <w:t>ливание необходимо производить по отдельному танку или автомашине из состава колонны. Атака должна была выполняться в нескольких заходах. Причем в первом заходе удар наносится по голо</w:t>
      </w:r>
      <w:r w:rsidRPr="008127F8">
        <w:rPr>
          <w:color w:val="000000" w:themeColor="text1"/>
          <w:sz w:val="16"/>
          <w:szCs w:val="16"/>
        </w:rPr>
        <w:softHyphen/>
        <w:t>ве колонны сначала стрельбой ракетными сна</w:t>
      </w:r>
      <w:r w:rsidRPr="008127F8">
        <w:rPr>
          <w:color w:val="000000" w:themeColor="text1"/>
          <w:sz w:val="16"/>
          <w:szCs w:val="16"/>
        </w:rPr>
        <w:softHyphen/>
        <w:t>рядами (дистанции пуска — 600—700 м), а затем стрельбой из пушек. В последующих заходах сбра</w:t>
      </w:r>
      <w:r w:rsidRPr="008127F8">
        <w:rPr>
          <w:color w:val="000000" w:themeColor="text1"/>
          <w:sz w:val="16"/>
          <w:szCs w:val="16"/>
        </w:rPr>
        <w:softHyphen/>
        <w:t>сываются бомбы и ведется огонь из пулеметов и пушек.</w:t>
      </w:r>
    </w:p>
    <w:p w14:paraId="53961D84"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Применительно к такому способу атаки в 12 самолето-вылетах средний процент попадания из пушек ВЯ в танк точки наводки составил 7%, а в колонну танков — 7,5% (общий расход — 426 снарядов). При этом летчик с лучшей стрелковой подготовкой (ведущий летчик-испытатель НИП АВ майор Н. И. Звонарев) обеспечил 7,4% попаданий в отдельный танк (или танк точки наводки) и 9,5% попаданий в колонну танков. Летчики с удовлет</w:t>
      </w:r>
      <w:r w:rsidRPr="008127F8">
        <w:rPr>
          <w:color w:val="000000" w:themeColor="text1"/>
          <w:sz w:val="16"/>
          <w:szCs w:val="16"/>
        </w:rPr>
        <w:softHyphen/>
        <w:t>ворительной подготовкой (строевые летчики из 245-го шап) отстрелялись заметно хуже. Средний процент попадания в танк точки наводки у них не превысил 4,2% (разброс от 1,5 до 6%), хотя процент попадания в колонну танков был довольно высо</w:t>
      </w:r>
      <w:r w:rsidRPr="008127F8">
        <w:rPr>
          <w:color w:val="000000" w:themeColor="text1"/>
          <w:sz w:val="16"/>
          <w:szCs w:val="16"/>
        </w:rPr>
        <w:softHyphen/>
        <w:t>ким — 12,6% (разброс от 6 до 20%).</w:t>
      </w:r>
    </w:p>
    <w:p w14:paraId="40F72672"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Атаку длинной небронированной цели реко</w:t>
      </w:r>
      <w:r w:rsidRPr="008127F8">
        <w:rPr>
          <w:color w:val="000000" w:themeColor="text1"/>
          <w:sz w:val="16"/>
          <w:szCs w:val="16"/>
        </w:rPr>
        <w:softHyphen/>
        <w:t>мендовалось производить с бреющего полета, об</w:t>
      </w:r>
      <w:r w:rsidRPr="008127F8">
        <w:rPr>
          <w:color w:val="000000" w:themeColor="text1"/>
          <w:sz w:val="16"/>
          <w:szCs w:val="16"/>
        </w:rPr>
        <w:softHyphen/>
        <w:t>стреливая цель сначала из РС с дистанции 600— 700 м, а затем из пулеметов и пушек с дистанции 400—600 м. Бомбометание в этом случае необхо димо было осуществлять в последующих заходах, сбрасывая бомбы серией с высоты 100—200 м, применяя взрыватель мгновенного действия.</w:t>
      </w:r>
    </w:p>
    <w:p w14:paraId="648AC6EB"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Причем для достижения наибольшего эффекта предлагалось действовать по цели двумя группа</w:t>
      </w:r>
      <w:r w:rsidRPr="008127F8">
        <w:rPr>
          <w:color w:val="000000" w:themeColor="text1"/>
          <w:sz w:val="16"/>
          <w:szCs w:val="16"/>
        </w:rPr>
        <w:softHyphen/>
        <w:t>ми, которые выходили на нее почти одновременно. Первая группа работала с бреющего полета, об</w:t>
      </w:r>
      <w:r w:rsidRPr="008127F8">
        <w:rPr>
          <w:color w:val="000000" w:themeColor="text1"/>
          <w:sz w:val="16"/>
          <w:szCs w:val="16"/>
        </w:rPr>
        <w:softHyphen/>
        <w:t>стреливая цель из РС и стрелково-пушечного во</w:t>
      </w:r>
      <w:r w:rsidRPr="008127F8">
        <w:rPr>
          <w:color w:val="000000" w:themeColor="text1"/>
          <w:sz w:val="16"/>
          <w:szCs w:val="16"/>
        </w:rPr>
        <w:softHyphen/>
        <w:t>оружения и сбрасывая бомбы серией (взрыватель замедленного действия АВ-1), а вторая — с пики</w:t>
      </w:r>
      <w:r w:rsidRPr="008127F8">
        <w:rPr>
          <w:color w:val="000000" w:themeColor="text1"/>
          <w:sz w:val="16"/>
          <w:szCs w:val="16"/>
        </w:rPr>
        <w:softHyphen/>
        <w:t>рования с высоты 500—700 м, ведя огонь сначала ракетными снарядами, затем из пушек и пулеме</w:t>
      </w:r>
      <w:r w:rsidRPr="008127F8">
        <w:rPr>
          <w:color w:val="000000" w:themeColor="text1"/>
          <w:sz w:val="16"/>
          <w:szCs w:val="16"/>
        </w:rPr>
        <w:softHyphen/>
        <w:t>тов и сбрасывая бомбы на выводе из пикирования (взрыватель мгновенного действия).</w:t>
      </w:r>
    </w:p>
    <w:p w14:paraId="3AFE079A"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Атаку самолетами Ил-2 скоплений пехоты и ав</w:t>
      </w:r>
      <w:r w:rsidRPr="008127F8">
        <w:rPr>
          <w:color w:val="000000" w:themeColor="text1"/>
          <w:sz w:val="16"/>
          <w:szCs w:val="16"/>
        </w:rPr>
        <w:softHyphen/>
        <w:t>тотранспорта лучше всего производить с бреющего полета и с планирования под углом 5—10° с высо</w:t>
      </w:r>
      <w:r w:rsidRPr="008127F8">
        <w:rPr>
          <w:color w:val="000000" w:themeColor="text1"/>
          <w:sz w:val="16"/>
          <w:szCs w:val="16"/>
        </w:rPr>
        <w:softHyphen/>
        <w:t>ты 100—200 м с последующим заходом на бомбо</w:t>
      </w:r>
      <w:r w:rsidRPr="008127F8">
        <w:rPr>
          <w:color w:val="000000" w:themeColor="text1"/>
          <w:sz w:val="16"/>
          <w:szCs w:val="16"/>
        </w:rPr>
        <w:softHyphen/>
        <w:t>метание на выводе из пикирования.</w:t>
      </w:r>
    </w:p>
    <w:p w14:paraId="3E767DCE"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 короткой цели, как бронированной, так и небронированной, а также по точечным целям (отдельный танк, автомашина и т.д.) атаку самоле</w:t>
      </w:r>
      <w:r w:rsidRPr="008127F8">
        <w:rPr>
          <w:color w:val="000000" w:themeColor="text1"/>
          <w:sz w:val="16"/>
          <w:szCs w:val="16"/>
        </w:rPr>
        <w:softHyphen/>
        <w:t>тами Ил-2 необходимо было производить только с пикирования под углом 25—30° с высоты 500— 700 м.</w:t>
      </w:r>
    </w:p>
    <w:p w14:paraId="62C52006"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Во всех случаях бомбометания с горизонтально</w:t>
      </w:r>
      <w:r w:rsidRPr="008127F8">
        <w:rPr>
          <w:color w:val="000000" w:themeColor="text1"/>
          <w:sz w:val="16"/>
          <w:szCs w:val="16"/>
        </w:rPr>
        <w:softHyphen/>
        <w:t>го полета считалось целесообразным применение временного механизма штурмовика ВМШ, посколь</w:t>
      </w:r>
      <w:r w:rsidRPr="008127F8">
        <w:rPr>
          <w:color w:val="000000" w:themeColor="text1"/>
          <w:sz w:val="16"/>
          <w:szCs w:val="16"/>
        </w:rPr>
        <w:softHyphen/>
        <w:t>ку обеспечивается более высокая точность, «чем при бомбометании по существующим меткам на капоте мотора».</w:t>
      </w:r>
    </w:p>
    <w:p w14:paraId="3F6A7E5D"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отчете по испытаниям особо указывалось, что бомбометание с горизонтального полета должно применяться лишь «в случае невозможности ис</w:t>
      </w:r>
      <w:r w:rsidRPr="008127F8">
        <w:rPr>
          <w:color w:val="000000" w:themeColor="text1"/>
          <w:sz w:val="16"/>
          <w:szCs w:val="16"/>
        </w:rPr>
        <w:softHyphen/>
        <w:t>пользования способа бомбометания на выходе из пикирования из-за условий боевой обстановки или погоды, а также может применяться по целям круп</w:t>
      </w:r>
      <w:r w:rsidRPr="008127F8">
        <w:rPr>
          <w:color w:val="000000" w:themeColor="text1"/>
          <w:sz w:val="16"/>
          <w:szCs w:val="16"/>
        </w:rPr>
        <w:softHyphen/>
        <w:t>ных размеров (ж.-д. станции, скопление войск, обо</w:t>
      </w:r>
      <w:r w:rsidRPr="008127F8">
        <w:rPr>
          <w:color w:val="000000" w:themeColor="text1"/>
          <w:sz w:val="16"/>
          <w:szCs w:val="16"/>
        </w:rPr>
        <w:softHyphen/>
        <w:t>зов, склады и т.д.)».</w:t>
      </w:r>
    </w:p>
    <w:p w14:paraId="737E9D1C"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lastRenderedPageBreak/>
        <w:t>Совмещение стрельбы и бомбометания в од</w:t>
      </w:r>
      <w:r w:rsidRPr="008127F8">
        <w:rPr>
          <w:color w:val="000000" w:themeColor="text1"/>
          <w:sz w:val="16"/>
          <w:szCs w:val="16"/>
        </w:rPr>
        <w:softHyphen/>
        <w:t>ном заходе запрещалось категорически. Исключе</w:t>
      </w:r>
      <w:r w:rsidRPr="008127F8">
        <w:rPr>
          <w:color w:val="000000" w:themeColor="text1"/>
          <w:sz w:val="16"/>
          <w:szCs w:val="16"/>
        </w:rPr>
        <w:softHyphen/>
        <w:t>ние делалось лишь в случае атаки «цели большой протяженности (например, колонны войск длиной свыше 500—700 м), когда перед выходом на го</w:t>
      </w:r>
      <w:r w:rsidRPr="008127F8">
        <w:rPr>
          <w:color w:val="000000" w:themeColor="text1"/>
          <w:sz w:val="16"/>
          <w:szCs w:val="16"/>
        </w:rPr>
        <w:softHyphen/>
        <w:t>ризонтальный полет и сбрасыванием бомб может производиться стрельба с планирования из пушек, пулеметов и ракетных орудий». Если цель имела протяженность свыше 1 км, то допускалось бом</w:t>
      </w:r>
      <w:r w:rsidRPr="008127F8">
        <w:rPr>
          <w:color w:val="000000" w:themeColor="text1"/>
          <w:sz w:val="16"/>
          <w:szCs w:val="16"/>
        </w:rPr>
        <w:softHyphen/>
        <w:t>бометание с планирования под углом 5—10°. При этом разрешалось «прицеливание по дальности не вести вовсе, а сохранять только направление поле</w:t>
      </w:r>
      <w:r w:rsidRPr="008127F8">
        <w:rPr>
          <w:color w:val="000000" w:themeColor="text1"/>
          <w:sz w:val="16"/>
          <w:szCs w:val="16"/>
        </w:rPr>
        <w:softHyphen/>
        <w:t>та перед целью».</w:t>
      </w:r>
    </w:p>
    <w:p w14:paraId="5B5E2784"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заключении отчета по полигонным испытани</w:t>
      </w:r>
      <w:r w:rsidRPr="008127F8">
        <w:rPr>
          <w:color w:val="000000" w:themeColor="text1"/>
          <w:sz w:val="16"/>
          <w:szCs w:val="16"/>
        </w:rPr>
        <w:softHyphen/>
        <w:t>ям вооружения самолетов Ил-2 от 24 июля 1942 г. специалисты НИП АВ отмечали, что «...для более рационального использования существующего во</w:t>
      </w:r>
      <w:r w:rsidRPr="008127F8">
        <w:rPr>
          <w:color w:val="000000" w:themeColor="text1"/>
          <w:sz w:val="16"/>
          <w:szCs w:val="16"/>
        </w:rPr>
        <w:softHyphen/>
        <w:t>оружения самолета Ил-2 в борьбе с немецкими тан</w:t>
      </w:r>
      <w:r w:rsidRPr="008127F8">
        <w:rPr>
          <w:color w:val="000000" w:themeColor="text1"/>
          <w:sz w:val="16"/>
          <w:szCs w:val="16"/>
        </w:rPr>
        <w:softHyphen/>
        <w:t>ками необходимо выделить штурмовые авиаполки, /.../ основной задачей которых должно быть дей</w:t>
      </w:r>
      <w:r w:rsidRPr="008127F8">
        <w:rPr>
          <w:color w:val="000000" w:themeColor="text1"/>
          <w:sz w:val="16"/>
          <w:szCs w:val="16"/>
        </w:rPr>
        <w:softHyphen/>
        <w:t>ствие по танкам. Летный состав этих частей дол</w:t>
      </w:r>
      <w:r w:rsidRPr="008127F8">
        <w:rPr>
          <w:color w:val="000000" w:themeColor="text1"/>
          <w:sz w:val="16"/>
          <w:szCs w:val="16"/>
        </w:rPr>
        <w:softHyphen/>
        <w:t>жен пройти спецподготовку. /.../ Наиболее эффек</w:t>
      </w:r>
      <w:r w:rsidRPr="008127F8">
        <w:rPr>
          <w:color w:val="000000" w:themeColor="text1"/>
          <w:sz w:val="16"/>
          <w:szCs w:val="16"/>
        </w:rPr>
        <w:softHyphen/>
        <w:t>тивным средством борьбы с немецкими танками, имеющими броню до 40 мм, оказались авиапушки 37 мм. В этой связи необходимо создать специаль</w:t>
      </w:r>
      <w:r w:rsidRPr="008127F8">
        <w:rPr>
          <w:color w:val="000000" w:themeColor="text1"/>
          <w:sz w:val="16"/>
          <w:szCs w:val="16"/>
        </w:rPr>
        <w:softHyphen/>
        <w:t>ные противотанковые части, вооруженные истре</w:t>
      </w:r>
      <w:r w:rsidRPr="008127F8">
        <w:rPr>
          <w:color w:val="000000" w:themeColor="text1"/>
          <w:sz w:val="16"/>
          <w:szCs w:val="16"/>
        </w:rPr>
        <w:softHyphen/>
        <w:t>бителями ЛаГГ-3 и Як с 37-мм авиапушками и уси</w:t>
      </w:r>
      <w:r w:rsidRPr="008127F8">
        <w:rPr>
          <w:color w:val="000000" w:themeColor="text1"/>
          <w:sz w:val="16"/>
          <w:szCs w:val="16"/>
        </w:rPr>
        <w:softHyphen/>
        <w:t>ленным бронированием. Летному составу этих частей дать специальную подготовку. /.../ Считать необходимым создание специального центра по отработке вопросов боевого применения АВ ВВС КА, на базе которого проводить систематическую подготовку летных кадров в ведении прицельной стрельбы и бомбометания. Обратить особое вни</w:t>
      </w:r>
      <w:r w:rsidRPr="008127F8">
        <w:rPr>
          <w:color w:val="000000" w:themeColor="text1"/>
          <w:sz w:val="16"/>
          <w:szCs w:val="16"/>
        </w:rPr>
        <w:softHyphen/>
        <w:t>мание на повышение качества боевой подготовки летного состава штурмовых частей в ЗАП в при</w:t>
      </w:r>
      <w:r w:rsidRPr="008127F8">
        <w:rPr>
          <w:color w:val="000000" w:themeColor="text1"/>
          <w:sz w:val="16"/>
          <w:szCs w:val="16"/>
        </w:rPr>
        <w:softHyphen/>
        <w:t>цельной стрельбе и бомбометании».</w:t>
      </w:r>
    </w:p>
    <w:p w14:paraId="461EE5F8"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Требовалось «поручить НКАП в срочном по</w:t>
      </w:r>
      <w:r w:rsidRPr="008127F8">
        <w:rPr>
          <w:color w:val="000000" w:themeColor="text1"/>
          <w:sz w:val="16"/>
          <w:szCs w:val="16"/>
        </w:rPr>
        <w:softHyphen/>
        <w:t>рядке создать штурмовик, вооруженный 37-мм пушкой, расположенной в плоскости оси само</w:t>
      </w:r>
      <w:r w:rsidRPr="008127F8">
        <w:rPr>
          <w:color w:val="000000" w:themeColor="text1"/>
          <w:sz w:val="16"/>
          <w:szCs w:val="16"/>
        </w:rPr>
        <w:softHyphen/>
        <w:t>лета».</w:t>
      </w:r>
    </w:p>
    <w:p w14:paraId="2A692DF7"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Кроме этого, считалось необходимым прове</w:t>
      </w:r>
      <w:r w:rsidRPr="008127F8">
        <w:rPr>
          <w:color w:val="000000" w:themeColor="text1"/>
          <w:sz w:val="16"/>
          <w:szCs w:val="16"/>
        </w:rPr>
        <w:softHyphen/>
        <w:t>дение работ по увеличению бронепробиваемости снарядов калибра 23 и 37 мм, а также создание «специальных противотанковых и зажигательных средств борьбы против танков».</w:t>
      </w:r>
    </w:p>
    <w:p w14:paraId="20153287"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Учитывая, что временной механизм штурмовика Цветкова во всех случаях позволяет получить луч</w:t>
      </w:r>
      <w:r w:rsidRPr="008127F8">
        <w:rPr>
          <w:color w:val="000000" w:themeColor="text1"/>
          <w:sz w:val="16"/>
          <w:szCs w:val="16"/>
        </w:rPr>
        <w:softHyphen/>
        <w:t>шие результаты при бомбометании и в некоторой степени компенсировать недостаточную подготов</w:t>
      </w:r>
      <w:r w:rsidRPr="008127F8">
        <w:rPr>
          <w:color w:val="000000" w:themeColor="text1"/>
          <w:sz w:val="16"/>
          <w:szCs w:val="16"/>
        </w:rPr>
        <w:softHyphen/>
        <w:t>ку летного состава боевых частей, рекомендова</w:t>
      </w:r>
      <w:r w:rsidRPr="008127F8">
        <w:rPr>
          <w:color w:val="000000" w:themeColor="text1"/>
          <w:sz w:val="16"/>
          <w:szCs w:val="16"/>
        </w:rPr>
        <w:softHyphen/>
        <w:t>лось срочно доработать ВМШ, обеспечив возмож</w:t>
      </w:r>
      <w:r w:rsidRPr="008127F8">
        <w:rPr>
          <w:color w:val="000000" w:themeColor="text1"/>
          <w:sz w:val="16"/>
          <w:szCs w:val="16"/>
        </w:rPr>
        <w:softHyphen/>
        <w:t>ность бомбометания с его помощью на выходе из пикирования.</w:t>
      </w:r>
    </w:p>
    <w:p w14:paraId="684017B1"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Акте «По полигонному отстрелу самолета Ил-2, вооруженного 2 крыльевыми пушками ка</w:t>
      </w:r>
      <w:r w:rsidRPr="008127F8">
        <w:rPr>
          <w:color w:val="000000" w:themeColor="text1"/>
          <w:sz w:val="16"/>
          <w:szCs w:val="16"/>
        </w:rPr>
        <w:softHyphen/>
        <w:t>либра 37 мм системы Шпитального (ОКБ-15)» от 2 октября 1942 г. отмечалось, что «для повышения эффективности стрельбы необходимо организо</w:t>
      </w:r>
      <w:r w:rsidRPr="008127F8">
        <w:rPr>
          <w:color w:val="000000" w:themeColor="text1"/>
          <w:sz w:val="16"/>
          <w:szCs w:val="16"/>
        </w:rPr>
        <w:softHyphen/>
        <w:t>вать систематическую тренировку летного состава в стрельбе по танкам».</w:t>
      </w:r>
    </w:p>
    <w:p w14:paraId="7DD9D968"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Общий вывод состоял в том, что штурмовик Ил-2 с пушками Ш-37 является мощным средством борьбы с немецкими легкими и средними танками. Для его эффективного боевого применения летный состав должен быть хорошо натренирован в веде</w:t>
      </w:r>
      <w:r w:rsidRPr="008127F8">
        <w:rPr>
          <w:color w:val="000000" w:themeColor="text1"/>
          <w:sz w:val="16"/>
          <w:szCs w:val="16"/>
        </w:rPr>
        <w:softHyphen/>
        <w:t>нии прицельного огня короткими очередями (3—5 снарядов в очереди) по малоразмерным целям (от</w:t>
      </w:r>
      <w:r w:rsidRPr="008127F8">
        <w:rPr>
          <w:color w:val="000000" w:themeColor="text1"/>
          <w:sz w:val="16"/>
          <w:szCs w:val="16"/>
        </w:rPr>
        <w:softHyphen/>
        <w:t>дельный танк, автомашина и т.д.) и иметь отличную летную подготовку.</w:t>
      </w:r>
    </w:p>
    <w:p w14:paraId="29767181"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Рекомендовалось построить небольшую серию таких самолетов для проведения войсковых испы</w:t>
      </w:r>
      <w:r w:rsidRPr="008127F8">
        <w:rPr>
          <w:color w:val="000000" w:themeColor="text1"/>
          <w:sz w:val="16"/>
          <w:szCs w:val="16"/>
        </w:rPr>
        <w:softHyphen/>
        <w:t>таний и сформировать в полках специальные груп</w:t>
      </w:r>
      <w:r w:rsidRPr="008127F8">
        <w:rPr>
          <w:color w:val="000000" w:themeColor="text1"/>
          <w:sz w:val="16"/>
          <w:szCs w:val="16"/>
        </w:rPr>
        <w:softHyphen/>
        <w:t>пы летчиков-штурмовиков, обученных прицельной стрельбе из крупнокалиберных пушек с Ил-2 по наземным целям и натренированных для борьбы с немецкими танками.</w:t>
      </w:r>
    </w:p>
    <w:p w14:paraId="3FED2C1E"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Попутно заметим, что последнее положение, например, нашло свое отражение в «Основных ука</w:t>
      </w:r>
      <w:r w:rsidRPr="008127F8">
        <w:rPr>
          <w:color w:val="000000" w:themeColor="text1"/>
          <w:sz w:val="16"/>
          <w:szCs w:val="16"/>
        </w:rPr>
        <w:softHyphen/>
        <w:t>заниях по использованию германской штурмовой авиации для действий по танкам» от 3 июня 1942 г., где указывается: «Для действий по танкам исполь</w:t>
      </w:r>
      <w:r w:rsidRPr="008127F8">
        <w:rPr>
          <w:color w:val="000000" w:themeColor="text1"/>
          <w:sz w:val="16"/>
          <w:szCs w:val="16"/>
        </w:rPr>
        <w:softHyphen/>
        <w:t>зуются специально подготовленные экипажи. Ис</w:t>
      </w:r>
      <w:r w:rsidRPr="008127F8">
        <w:rPr>
          <w:color w:val="000000" w:themeColor="text1"/>
          <w:sz w:val="16"/>
          <w:szCs w:val="16"/>
        </w:rPr>
        <w:softHyphen/>
        <w:t>пользование малоопытных летчиков запрещается в связи с необходимостью экономить боеприпасы. Специальные экипажи должны путем постоянных тренировок непрерывно повышать свою стрелко</w:t>
      </w:r>
      <w:r w:rsidRPr="008127F8">
        <w:rPr>
          <w:color w:val="000000" w:themeColor="text1"/>
          <w:sz w:val="16"/>
          <w:szCs w:val="16"/>
        </w:rPr>
        <w:softHyphen/>
        <w:t>вую подготовку».</w:t>
      </w:r>
    </w:p>
    <w:p w14:paraId="08C254F7"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После утверждения результатов по полигон</w:t>
      </w:r>
      <w:r w:rsidRPr="008127F8">
        <w:rPr>
          <w:color w:val="000000" w:themeColor="text1"/>
          <w:sz w:val="16"/>
          <w:szCs w:val="16"/>
        </w:rPr>
        <w:softHyphen/>
        <w:t>ным испытаниям вооружения самолета Ил-2 на эффективность действия по трофейным немец</w:t>
      </w:r>
      <w:r w:rsidRPr="008127F8">
        <w:rPr>
          <w:color w:val="000000" w:themeColor="text1"/>
          <w:sz w:val="16"/>
          <w:szCs w:val="16"/>
        </w:rPr>
        <w:softHyphen/>
        <w:t>ким танкам и бронемашинам начальником НИП АВ ВВС полковником Л. П. Лобачевым материалы 21 июля были направлены главному инженеру ВВС генерал-лейтенанту А. К. Репину, который ут</w:t>
      </w:r>
      <w:r w:rsidRPr="008127F8">
        <w:rPr>
          <w:color w:val="000000" w:themeColor="text1"/>
          <w:sz w:val="16"/>
          <w:szCs w:val="16"/>
        </w:rPr>
        <w:softHyphen/>
        <w:t>вердил отчет 24 июля. Уже через два дня, 26 июля, с отчетом ознакомился командующий ВВС гене</w:t>
      </w:r>
      <w:r w:rsidRPr="008127F8">
        <w:rPr>
          <w:color w:val="000000" w:themeColor="text1"/>
          <w:sz w:val="16"/>
          <w:szCs w:val="16"/>
        </w:rPr>
        <w:softHyphen/>
        <w:t>рал-лейтенант А. А. Новиков и утвердил результа</w:t>
      </w:r>
      <w:r w:rsidRPr="008127F8">
        <w:rPr>
          <w:color w:val="000000" w:themeColor="text1"/>
          <w:sz w:val="16"/>
          <w:szCs w:val="16"/>
        </w:rPr>
        <w:softHyphen/>
        <w:t>ты испытаний.</w:t>
      </w:r>
    </w:p>
    <w:p w14:paraId="224247F2"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 распоряжению командующего ВВС один эк</w:t>
      </w:r>
      <w:r w:rsidRPr="008127F8">
        <w:rPr>
          <w:color w:val="000000" w:themeColor="text1"/>
          <w:sz w:val="16"/>
          <w:szCs w:val="16"/>
        </w:rPr>
        <w:softHyphen/>
        <w:t>земпляр отчета 31 июля был направлен для озна</w:t>
      </w:r>
      <w:r w:rsidRPr="008127F8">
        <w:rPr>
          <w:color w:val="000000" w:themeColor="text1"/>
          <w:sz w:val="16"/>
          <w:szCs w:val="16"/>
        </w:rPr>
        <w:softHyphen/>
        <w:t>комления начальнику Генерального штаба Красной Армии маршалу Б. М. Шапошникову. По одному экземпляру получили начальник НИИ ВВС гене</w:t>
      </w:r>
      <w:r w:rsidRPr="008127F8">
        <w:rPr>
          <w:color w:val="000000" w:themeColor="text1"/>
          <w:sz w:val="16"/>
          <w:szCs w:val="16"/>
        </w:rPr>
        <w:softHyphen/>
        <w:t>рал-майор П. А. Лосюков и заместитель командую</w:t>
      </w:r>
      <w:r w:rsidRPr="008127F8">
        <w:rPr>
          <w:color w:val="000000" w:themeColor="text1"/>
          <w:sz w:val="16"/>
          <w:szCs w:val="16"/>
        </w:rPr>
        <w:softHyphen/>
        <w:t>щего ВВС КА по воздушно-стрелковой службе гене</w:t>
      </w:r>
      <w:r w:rsidRPr="008127F8">
        <w:rPr>
          <w:color w:val="000000" w:themeColor="text1"/>
          <w:sz w:val="16"/>
          <w:szCs w:val="16"/>
        </w:rPr>
        <w:softHyphen/>
        <w:t>рал-майор А. М. Рафалович.</w:t>
      </w:r>
    </w:p>
    <w:p w14:paraId="63CEDBF0"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Если подойти критически к оценке результатов полигонных испытаний, то можно сказать следую</w:t>
      </w:r>
      <w:r w:rsidRPr="008127F8">
        <w:rPr>
          <w:color w:val="000000" w:themeColor="text1"/>
          <w:sz w:val="16"/>
          <w:szCs w:val="16"/>
        </w:rPr>
        <w:softHyphen/>
        <w:t>щее. Испытание пушечного вооружения было про</w:t>
      </w:r>
      <w:r w:rsidRPr="008127F8">
        <w:rPr>
          <w:color w:val="000000" w:themeColor="text1"/>
          <w:sz w:val="16"/>
          <w:szCs w:val="16"/>
        </w:rPr>
        <w:softHyphen/>
        <w:t>ведено достаточно тщательно, а испытание бомб и ракетных снарядов — неполно.</w:t>
      </w:r>
    </w:p>
    <w:p w14:paraId="11D87BE7"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Так, например, с целью определения эффектив</w:t>
      </w:r>
      <w:r w:rsidRPr="008127F8">
        <w:rPr>
          <w:color w:val="000000" w:themeColor="text1"/>
          <w:sz w:val="16"/>
          <w:szCs w:val="16"/>
        </w:rPr>
        <w:softHyphen/>
        <w:t>ности действия были испытаны подрывом бом</w:t>
      </w:r>
      <w:r w:rsidRPr="008127F8">
        <w:rPr>
          <w:color w:val="000000" w:themeColor="text1"/>
          <w:sz w:val="16"/>
          <w:szCs w:val="16"/>
        </w:rPr>
        <w:softHyphen/>
        <w:t>бы типа АО-25сл, АО-25м13, ФАБ-50сч, ФАБ-100цк и ФАБ-250, тогда как наиболее успешно применя</w:t>
      </w:r>
      <w:r w:rsidRPr="008127F8">
        <w:rPr>
          <w:color w:val="000000" w:themeColor="text1"/>
          <w:sz w:val="16"/>
          <w:szCs w:val="16"/>
        </w:rPr>
        <w:softHyphen/>
        <w:t>ются в условиях боя бомбы ФАБ-50м2 и ФАБ-50м9. Опытные бомбы типа ФАБ-50—100 вообще не ис- пытывались.</w:t>
      </w:r>
    </w:p>
    <w:p w14:paraId="39160E1B"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Методика испытаний подрывами бомб на по</w:t>
      </w:r>
      <w:r w:rsidRPr="008127F8">
        <w:rPr>
          <w:color w:val="000000" w:themeColor="text1"/>
          <w:sz w:val="16"/>
          <w:szCs w:val="16"/>
        </w:rPr>
        <w:softHyphen/>
        <w:t>верхности грунта не отражает работу бомб при сбрасывании их с самолета в боевой обстановке. Действительно, бомба с взрывателем мгновенного действия, сброшенная с высоты, благодаря инерт</w:t>
      </w:r>
      <w:r w:rsidRPr="008127F8">
        <w:rPr>
          <w:color w:val="000000" w:themeColor="text1"/>
          <w:sz w:val="16"/>
          <w:szCs w:val="16"/>
        </w:rPr>
        <w:softHyphen/>
        <w:t>ности последнего успевает углубиться в преграду. При взрыве образуется воронка глубиной до 0,6 м и часть наиболее крупных осколков от головной части бомбы перехватывается преградой или ча</w:t>
      </w:r>
      <w:r w:rsidRPr="008127F8">
        <w:rPr>
          <w:color w:val="000000" w:themeColor="text1"/>
          <w:sz w:val="16"/>
          <w:szCs w:val="16"/>
        </w:rPr>
        <w:softHyphen/>
        <w:t>стично выбрасывается вместе с преградой со зна</w:t>
      </w:r>
      <w:r w:rsidRPr="008127F8">
        <w:rPr>
          <w:color w:val="000000" w:themeColor="text1"/>
          <w:sz w:val="16"/>
          <w:szCs w:val="16"/>
        </w:rPr>
        <w:softHyphen/>
        <w:t>чительно меньшей начальной скоростью, чем при открытом взрыве. Кроме того, выбранные значения углов места, при которых проводились подрывы бомб, не соответствуют углам падения бомб при сбросе с типовых высот боевого применения штур</w:t>
      </w:r>
      <w:r w:rsidRPr="008127F8">
        <w:rPr>
          <w:color w:val="000000" w:themeColor="text1"/>
          <w:sz w:val="16"/>
          <w:szCs w:val="16"/>
        </w:rPr>
        <w:softHyphen/>
        <w:t>мовика Ил-2.</w:t>
      </w:r>
    </w:p>
    <w:p w14:paraId="1E27FCB3"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Таким образом, предложенный метод подрыва бомб не давал полной картины действительных ус</w:t>
      </w:r>
      <w:r w:rsidRPr="008127F8">
        <w:rPr>
          <w:color w:val="000000" w:themeColor="text1"/>
          <w:sz w:val="16"/>
          <w:szCs w:val="16"/>
        </w:rPr>
        <w:softHyphen/>
        <w:t>ловий взрыва ни бомб, сброшенных с высоты, ни бомб, сброшенных на штурмовом полете, так как в последнем случае, как правило, бомбы рвутся в горизонтальном положении, после падения их на земле.</w:t>
      </w:r>
    </w:p>
    <w:p w14:paraId="7F161F2A"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Выводы о действии бомб и РОФС по танкам были сделаны, судя по отчету, на основании еди</w:t>
      </w:r>
      <w:r w:rsidRPr="008127F8">
        <w:rPr>
          <w:color w:val="000000" w:themeColor="text1"/>
          <w:sz w:val="16"/>
          <w:szCs w:val="16"/>
        </w:rPr>
        <w:softHyphen/>
        <w:t>ничных наблюдений, а потому не могут быть пол</w:t>
      </w:r>
      <w:r w:rsidRPr="008127F8">
        <w:rPr>
          <w:color w:val="000000" w:themeColor="text1"/>
          <w:sz w:val="16"/>
          <w:szCs w:val="16"/>
        </w:rPr>
        <w:softHyphen/>
        <w:t>ными и безупречными. В частности, РОФС-132 был подорван на удалении 1 м от танка и дал меньшее поражение танка по сравнению с АО-25м13 (явля</w:t>
      </w:r>
      <w:r w:rsidRPr="008127F8">
        <w:rPr>
          <w:color w:val="000000" w:themeColor="text1"/>
          <w:sz w:val="16"/>
          <w:szCs w:val="16"/>
        </w:rPr>
        <w:softHyphen/>
        <w:t>ющейся переделкой из головной части РОФС-132), подорванной на удалении 3 м от танка.</w:t>
      </w:r>
    </w:p>
    <w:p w14:paraId="0EB67AAF"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Кроме того, в рекомендациях строевым частям были значительно завышены дальности стрельбы ракетными снарядами и не совсем корректно обо</w:t>
      </w:r>
      <w:r w:rsidRPr="008127F8">
        <w:rPr>
          <w:color w:val="000000" w:themeColor="text1"/>
          <w:sz w:val="16"/>
          <w:szCs w:val="16"/>
        </w:rPr>
        <w:softHyphen/>
        <w:t>сновано использование двух видов вооружения (например, РС и пушек или пушек и бомб) в одном заходе.</w:t>
      </w:r>
    </w:p>
    <w:p w14:paraId="098D38C2"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Действительно, как следует из расчетов по ре</w:t>
      </w:r>
      <w:r w:rsidRPr="008127F8">
        <w:rPr>
          <w:color w:val="000000" w:themeColor="text1"/>
          <w:sz w:val="16"/>
          <w:szCs w:val="16"/>
        </w:rPr>
        <w:softHyphen/>
        <w:t>зультатам полигонных испытаний и анализа бое</w:t>
      </w:r>
      <w:r w:rsidRPr="008127F8">
        <w:rPr>
          <w:color w:val="000000" w:themeColor="text1"/>
          <w:sz w:val="16"/>
          <w:szCs w:val="16"/>
        </w:rPr>
        <w:softHyphen/>
        <w:t>вого опыта, выполнение одиночных или парных пусков РС-82 с дальности 600 м, как это рекомен</w:t>
      </w:r>
      <w:r w:rsidRPr="008127F8">
        <w:rPr>
          <w:color w:val="000000" w:themeColor="text1"/>
          <w:sz w:val="16"/>
          <w:szCs w:val="16"/>
        </w:rPr>
        <w:softHyphen/>
        <w:t>довалось НИП АВ, обеспечивало вероятность поражения танка в 6—7 раз меньше, чем стрельба залпом по 4—8 ракетных снарядов с дальности 400—300 м.</w:t>
      </w:r>
    </w:p>
    <w:p w14:paraId="09C73243"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 то же время использование двух видов во</w:t>
      </w:r>
      <w:r w:rsidRPr="008127F8">
        <w:rPr>
          <w:color w:val="000000" w:themeColor="text1"/>
          <w:sz w:val="16"/>
          <w:szCs w:val="16"/>
        </w:rPr>
        <w:softHyphen/>
        <w:t>оружения штурмовика в одном заходе не позволя</w:t>
      </w:r>
      <w:r w:rsidRPr="008127F8">
        <w:rPr>
          <w:color w:val="000000" w:themeColor="text1"/>
          <w:sz w:val="16"/>
          <w:szCs w:val="16"/>
        </w:rPr>
        <w:softHyphen/>
        <w:t>ло с максимальной эффективностью использовать второй по счету вид оружия, поскольку точность прицеливания для этого вида оружия снижалась примерно на 20—25% по сравнению с ситуацией, когда в одном заходе используется только одно оружие.</w:t>
      </w:r>
    </w:p>
    <w:p w14:paraId="39DFE844"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Анализ боевых возможностей Ил-2 показывает, что более правильным было бы атаковывать ко</w:t>
      </w:r>
      <w:r w:rsidRPr="008127F8">
        <w:rPr>
          <w:color w:val="000000" w:themeColor="text1"/>
          <w:sz w:val="16"/>
          <w:szCs w:val="16"/>
        </w:rPr>
        <w:softHyphen/>
        <w:t>роткую цель (бронированную или небронирован ную) как минимум в трех заходах с планирования под углом 25—30° с высоты 500—800 м, применяя в каждом заходе только один вид оружия. Напри</w:t>
      </w:r>
      <w:r w:rsidRPr="008127F8">
        <w:rPr>
          <w:color w:val="000000" w:themeColor="text1"/>
          <w:sz w:val="16"/>
          <w:szCs w:val="16"/>
        </w:rPr>
        <w:softHyphen/>
        <w:t>мер, в первом заходе осуществляется пуск реак</w:t>
      </w:r>
      <w:r w:rsidRPr="008127F8">
        <w:rPr>
          <w:color w:val="000000" w:themeColor="text1"/>
          <w:sz w:val="16"/>
          <w:szCs w:val="16"/>
        </w:rPr>
        <w:softHyphen/>
        <w:t>тивных снарядов залпом из 4 снарядов с дально</w:t>
      </w:r>
      <w:r w:rsidRPr="008127F8">
        <w:rPr>
          <w:color w:val="000000" w:themeColor="text1"/>
          <w:sz w:val="16"/>
          <w:szCs w:val="16"/>
        </w:rPr>
        <w:softHyphen/>
        <w:t>сти не более 400—300 м. Затем, во втором заходе, на выходе из планирования выполняется сброс бомб. Начиная с третьего захода, цель обстрели</w:t>
      </w:r>
      <w:r w:rsidRPr="008127F8">
        <w:rPr>
          <w:color w:val="000000" w:themeColor="text1"/>
          <w:sz w:val="16"/>
          <w:szCs w:val="16"/>
        </w:rPr>
        <w:softHyphen/>
        <w:t>вается пушечно-пулеметным огнем с дистанции до 400—300 м. Атака длинной цели вполне могла производиться с бреющего полета, как это реко</w:t>
      </w:r>
      <w:r w:rsidRPr="008127F8">
        <w:rPr>
          <w:color w:val="000000" w:themeColor="text1"/>
          <w:sz w:val="16"/>
          <w:szCs w:val="16"/>
        </w:rPr>
        <w:softHyphen/>
        <w:t>мендовали специалисты НИП АВ, но обязательно с раздельным использованием каждого вида во</w:t>
      </w:r>
      <w:r w:rsidRPr="008127F8">
        <w:rPr>
          <w:color w:val="000000" w:themeColor="text1"/>
          <w:sz w:val="16"/>
          <w:szCs w:val="16"/>
        </w:rPr>
        <w:softHyphen/>
        <w:t>оружения Ил-2 при дальностях залпового пуска РС и начала пулеметно-пушечной стрельбы не более 400 м.</w:t>
      </w:r>
    </w:p>
    <w:p w14:paraId="5DDE4DD2"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заключении от 12 сентября 1942 г. к отчету НИП АВ ВВС, подготовленном помощником началь</w:t>
      </w:r>
      <w:r w:rsidRPr="008127F8">
        <w:rPr>
          <w:color w:val="000000" w:themeColor="text1"/>
          <w:sz w:val="16"/>
          <w:szCs w:val="16"/>
        </w:rPr>
        <w:softHyphen/>
        <w:t>ника 2-го отдела Оперативного управления штаба ВВС КА военным инженером 2-го ранга И. В. Пиме- новым, отмечалась «необходимость самого срочно</w:t>
      </w:r>
      <w:r w:rsidRPr="008127F8">
        <w:rPr>
          <w:color w:val="000000" w:themeColor="text1"/>
          <w:sz w:val="16"/>
          <w:szCs w:val="16"/>
        </w:rPr>
        <w:softHyphen/>
        <w:t>го введения на вооружение Ил-2 с 37-мм пушками ОКБ-15 или ОКБ-16, лучше одной для стрельбы че</w:t>
      </w:r>
      <w:r w:rsidRPr="008127F8">
        <w:rPr>
          <w:color w:val="000000" w:themeColor="text1"/>
          <w:sz w:val="16"/>
          <w:szCs w:val="16"/>
        </w:rPr>
        <w:softHyphen/>
        <w:t>рез втулку редуктора». Предлагалось незамедли</w:t>
      </w:r>
      <w:r w:rsidRPr="008127F8">
        <w:rPr>
          <w:color w:val="000000" w:themeColor="text1"/>
          <w:sz w:val="16"/>
          <w:szCs w:val="16"/>
        </w:rPr>
        <w:softHyphen/>
        <w:t>тельно отработать и принять «на вооружение спе</w:t>
      </w:r>
      <w:r w:rsidRPr="008127F8">
        <w:rPr>
          <w:color w:val="000000" w:themeColor="text1"/>
          <w:sz w:val="16"/>
          <w:szCs w:val="16"/>
        </w:rPr>
        <w:softHyphen/>
        <w:t>циальных противотанковых авиапушек с началь</w:t>
      </w:r>
      <w:r w:rsidRPr="008127F8">
        <w:rPr>
          <w:color w:val="000000" w:themeColor="text1"/>
          <w:sz w:val="16"/>
          <w:szCs w:val="16"/>
        </w:rPr>
        <w:softHyphen/>
        <w:t>ной скоростью снаряда порядка 1300—1400 м/с (подобные скорости имеют немецкие противотан</w:t>
      </w:r>
      <w:r w:rsidRPr="008127F8">
        <w:rPr>
          <w:color w:val="000000" w:themeColor="text1"/>
          <w:sz w:val="16"/>
          <w:szCs w:val="16"/>
        </w:rPr>
        <w:softHyphen/>
        <w:t>ковые пушки с так называемыми термитными сна</w:t>
      </w:r>
      <w:r w:rsidRPr="008127F8">
        <w:rPr>
          <w:color w:val="000000" w:themeColor="text1"/>
          <w:sz w:val="16"/>
          <w:szCs w:val="16"/>
        </w:rPr>
        <w:softHyphen/>
        <w:t>рядами)». Кроме того, требовалось изыскание «но</w:t>
      </w:r>
      <w:r w:rsidRPr="008127F8">
        <w:rPr>
          <w:color w:val="000000" w:themeColor="text1"/>
          <w:sz w:val="16"/>
          <w:szCs w:val="16"/>
        </w:rPr>
        <w:softHyphen/>
        <w:t>вых методов применения зажигательных средств штурмовиками по танкам, так как зажиганием оди</w:t>
      </w:r>
      <w:r w:rsidRPr="008127F8">
        <w:rPr>
          <w:color w:val="000000" w:themeColor="text1"/>
          <w:sz w:val="16"/>
          <w:szCs w:val="16"/>
        </w:rPr>
        <w:softHyphen/>
        <w:t>наково достигается уничтожение как легкого, так и тяжелого танка, а горящий танк, как известно, является полностью безвозвратной потерей, чего нельзя сказать о танках, пораженных бомбой или пушечным огнем».</w:t>
      </w:r>
    </w:p>
    <w:p w14:paraId="345C5851"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Интересно отметить еще один результат иссле</w:t>
      </w:r>
      <w:r w:rsidRPr="008127F8">
        <w:rPr>
          <w:color w:val="000000" w:themeColor="text1"/>
          <w:sz w:val="16"/>
          <w:szCs w:val="16"/>
        </w:rPr>
        <w:softHyphen/>
        <w:t>довательской работы по оценке эффективности вооружения Ил-2. В августе 1942 г. с формулиров</w:t>
      </w:r>
      <w:r w:rsidRPr="008127F8">
        <w:rPr>
          <w:color w:val="000000" w:themeColor="text1"/>
          <w:sz w:val="16"/>
          <w:szCs w:val="16"/>
        </w:rPr>
        <w:softHyphen/>
        <w:t>кой «в связи с необходимостью проведения ин</w:t>
      </w:r>
      <w:r w:rsidRPr="008127F8">
        <w:rPr>
          <w:color w:val="000000" w:themeColor="text1"/>
          <w:sz w:val="16"/>
          <w:szCs w:val="16"/>
        </w:rPr>
        <w:softHyphen/>
        <w:t>структажа летного состава вновь формируемых штурмовых и истребительных противотанковых полков в стрельбе, бомбометании и выполнении атак по танкам» старший лейтенант Канюко и млад</w:t>
      </w:r>
      <w:r w:rsidRPr="008127F8">
        <w:rPr>
          <w:color w:val="000000" w:themeColor="text1"/>
          <w:sz w:val="16"/>
          <w:szCs w:val="16"/>
        </w:rPr>
        <w:softHyphen/>
        <w:t>ший лейтенант Назаров из 245-го шап были отко</w:t>
      </w:r>
      <w:r w:rsidRPr="008127F8">
        <w:rPr>
          <w:color w:val="000000" w:themeColor="text1"/>
          <w:sz w:val="16"/>
          <w:szCs w:val="16"/>
        </w:rPr>
        <w:softHyphen/>
        <w:t>мандированы в 4-й отдел НИИ ВВС. Утверждалось, что «указанные летчики прошли специальную тре</w:t>
      </w:r>
      <w:r w:rsidRPr="008127F8">
        <w:rPr>
          <w:color w:val="000000" w:themeColor="text1"/>
          <w:sz w:val="16"/>
          <w:szCs w:val="16"/>
        </w:rPr>
        <w:softHyphen/>
        <w:t>нировку в действии по танкам и являются вполне подготовленными инструкторами, которых можно с успехом использовать при переучивании летного состава противотанковых полков».</w:t>
      </w:r>
    </w:p>
    <w:p w14:paraId="55B4EBE6"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После получения из НИП АВ отчета с материала</w:t>
      </w:r>
      <w:r w:rsidRPr="008127F8">
        <w:rPr>
          <w:color w:val="000000" w:themeColor="text1"/>
          <w:sz w:val="16"/>
          <w:szCs w:val="16"/>
        </w:rPr>
        <w:softHyphen/>
        <w:t>ми испытаний вооружения самолетов Ил-2 и ЛаГГ-3 при действии по немецкой бронетехнике специ</w:t>
      </w:r>
      <w:r w:rsidRPr="008127F8">
        <w:rPr>
          <w:color w:val="000000" w:themeColor="text1"/>
          <w:sz w:val="16"/>
          <w:szCs w:val="16"/>
        </w:rPr>
        <w:softHyphen/>
        <w:t>алисты 2-го отдела (отдел по использованию опыта войны) Оперативного управления штаба ВВС в кон</w:t>
      </w:r>
      <w:r w:rsidRPr="008127F8">
        <w:rPr>
          <w:color w:val="000000" w:themeColor="text1"/>
          <w:sz w:val="16"/>
          <w:szCs w:val="16"/>
        </w:rPr>
        <w:softHyphen/>
        <w:t>це июля выехали на участки Брянского и Западного фронтов с целью оценки эффективности действия немецкой авиации по бронетанковым частям Крас</w:t>
      </w:r>
      <w:r w:rsidRPr="008127F8">
        <w:rPr>
          <w:color w:val="000000" w:themeColor="text1"/>
          <w:sz w:val="16"/>
          <w:szCs w:val="16"/>
        </w:rPr>
        <w:softHyphen/>
        <w:t>ной Армии (17500).</w:t>
      </w:r>
    </w:p>
    <w:p w14:paraId="18CAB38B"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lang w:eastAsia="ru-RU"/>
        </w:rPr>
      </w:pPr>
    </w:p>
    <w:p w14:paraId="33569EE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1942 вышел приказ НКАП N 406с:</w:t>
      </w:r>
    </w:p>
    <w:p w14:paraId="1D1BFC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улучшения эксплуатации АМ-38 на самолетах Ил-2 в условиях пыльных аэродромов:</w:t>
      </w:r>
    </w:p>
    <w:p w14:paraId="55B5BE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Директору завода 24 дать конструкцию воздушных фильтров... заводу 18 к 2 июня 1942</w:t>
      </w:r>
    </w:p>
    <w:p w14:paraId="384A49A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Директору завода 18 установить эти фильтры на два самолета Ил-2 и передать для прохождения испытаний директору завода 24 4 июня 1942</w:t>
      </w:r>
    </w:p>
    <w:p w14:paraId="14F8689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Директору завода 24 закончить испытания к 9 июня 1942</w:t>
      </w:r>
    </w:p>
    <w:p w14:paraId="18D0D89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Директорам заводов 1, 30, 381 и 18 немедленно приступить к подготовке производства с таким расчетом, чтобы при положительных результатах испытаний начать </w:t>
      </w:r>
      <w:r w:rsidRPr="008127F8">
        <w:rPr>
          <w:rFonts w:ascii="Times New Roman" w:hAnsi="Times New Roman"/>
          <w:color w:val="000000" w:themeColor="text1"/>
          <w:sz w:val="16"/>
          <w:szCs w:val="16"/>
        </w:rPr>
        <w:lastRenderedPageBreak/>
        <w:t>выпуск самолетов Ил-2 с воздушными фильтрами 20 июня 1942 и перейти на полный выпуск не позднее 1 июля 1942</w:t>
      </w:r>
    </w:p>
    <w:p w14:paraId="1F122F7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Обязать директоров заводов 1 и 18 установить на самолетах Ил-2 в запасных полках пылезащитные заслонки на 10 самолетах каждому заводу к 1 июня 1942 и остальные самолеты к 15 июня 1942 (1560,56).</w:t>
      </w:r>
    </w:p>
    <w:p w14:paraId="17B39F7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Интересно, что нет никакого упоминания ЦАГИ</w:t>
      </w:r>
    </w:p>
    <w:p w14:paraId="60F8F9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9A1D8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1942 С.В.И. и Дементьев писали А.И.Ш. письмо:</w:t>
      </w:r>
    </w:p>
    <w:p w14:paraId="156B58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"Сегодня 27 мая, для расследования причин поломки фюзеляжей самолетов Ил-2 выпуска 1 завода и по дефектам мотора АМ-38 выезжали на аэродромы ЗАП Папивина в Грачевке и Тростянке...</w:t>
      </w:r>
    </w:p>
    <w:p w14:paraId="522650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месте выяснили следующее:</w:t>
      </w:r>
    </w:p>
    <w:p w14:paraId="22FB18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Грачево 2 самолета с поломанными хвостами с 1 с деформированным</w:t>
      </w:r>
    </w:p>
    <w:p w14:paraId="15F6D4A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Тростянке 1 самолет с поломанным хвостом и 1 с трещинами внутренних слоев шпона и непроклейкой шпангоутов 1 и 3. По заявлению п Подольского имеется 1 самолет с поломанным хвостом на аэродроме ЗАП в Кинель-Черкасском.</w:t>
      </w:r>
    </w:p>
    <w:p w14:paraId="394894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Грачевке на самолете N 2603 при грубой посадке отломился хвост после 56 часов налета и 354 посадок. Восстанавливается на месте. На самолете N 2827 хвост отломился после того, как самолет встал на нос при обратном ударе. Самолет восстановлен и летает. На самолете 2905 хвост деформирован после 8 часов налета и 7 посадок. Восстанавливается. И т.п.</w:t>
      </w:r>
    </w:p>
    <w:p w14:paraId="30724B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моторам АМ-38 имеются большие жалобы на следующие дефекты: рвутся штоки клапанов, нарушается газораспределение, отрываются шатуны, плохо работают свечи на взлете, мотор дымит.</w:t>
      </w:r>
    </w:p>
    <w:p w14:paraId="2BB9C3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Дано указание заводу 24 принять немедленные меры по обеспечению ЗАП ремонтными бригадами и комплектом зап. частей.</w:t>
      </w:r>
    </w:p>
    <w:p w14:paraId="109A59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Установить усиленный контроль за изготовлением моторов.</w:t>
      </w:r>
    </w:p>
    <w:p w14:paraId="0C63D5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тренировочных самолетах Ил-2 Папивина установить пылезащитные заслонки на всасывающих патрубках - на первые 20 - к 10 июня, на остальных - к 1 июля (1680,84).</w:t>
      </w:r>
    </w:p>
    <w:p w14:paraId="6CFD96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7E93D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1942 был издан приказ по ВИАМу, направленный в куйбышевский филиал. В нём отмечалось, что при изготовлении хвостовой части фюзеляжа самолёта Ил-2 на заводах № 1 и № 18 были допущены нарушения технологического процесса, несоблюдение производственной инструкции ВИАМа, повлекшие за собой выпуск фюзеляжей с пониженной прочностью. В приказе</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было</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сказано:</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«Отмеченные</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факты, свидетельствуют о грубейших нарушениях технологии и производства конструкций и является совершенно недопустимым, особенно в военное время. Начальники и специалисты лабораторий ВИАМа, посещая заводы, не заметили вопиющих безобразий в технологии изготовления боевой машины и не приняли необходимых мер к их устранению»</w:t>
      </w:r>
      <w:bookmarkStart w:id="2" w:name="_ednref9"/>
      <w:r w:rsidRPr="008127F8">
        <w:rPr>
          <w:rFonts w:ascii="Times New Roman" w:hAnsi="Times New Roman"/>
          <w:color w:val="000000" w:themeColor="text1"/>
          <w:sz w:val="16"/>
          <w:szCs w:val="16"/>
        </w:rPr>
        <w:fldChar w:fldCharType="begin"/>
      </w:r>
      <w:r w:rsidRPr="008127F8">
        <w:rPr>
          <w:rFonts w:ascii="Times New Roman" w:hAnsi="Times New Roman"/>
          <w:color w:val="000000" w:themeColor="text1"/>
          <w:sz w:val="16"/>
          <w:szCs w:val="16"/>
        </w:rPr>
        <w:instrText xml:space="preserve"> HYPERLINK "http://www.rgantd-samara.ru/activity/articles/4410/" \l "_edn9" \o "" </w:instrText>
      </w:r>
      <w:r w:rsidRPr="008127F8">
        <w:rPr>
          <w:rFonts w:ascii="Times New Roman" w:hAnsi="Times New Roman"/>
          <w:color w:val="000000" w:themeColor="text1"/>
          <w:sz w:val="16"/>
          <w:szCs w:val="16"/>
        </w:rPr>
      </w:r>
      <w:r w:rsidRPr="008127F8">
        <w:rPr>
          <w:rFonts w:ascii="Times New Roman" w:hAnsi="Times New Roman"/>
          <w:color w:val="000000" w:themeColor="text1"/>
          <w:sz w:val="16"/>
          <w:szCs w:val="16"/>
        </w:rPr>
        <w:fldChar w:fldCharType="separate"/>
      </w:r>
      <w:r w:rsidRPr="008127F8">
        <w:rPr>
          <w:rStyle w:val="a6"/>
          <w:color w:val="000000" w:themeColor="text1"/>
        </w:rPr>
        <w:t>9</w:t>
      </w:r>
      <w:r w:rsidRPr="008127F8">
        <w:rPr>
          <w:rFonts w:ascii="Times New Roman" w:hAnsi="Times New Roman"/>
          <w:color w:val="000000" w:themeColor="text1"/>
          <w:sz w:val="16"/>
          <w:szCs w:val="16"/>
        </w:rPr>
        <w:fldChar w:fldCharType="end"/>
      </w:r>
      <w:bookmarkEnd w:id="2"/>
      <w:r w:rsidRPr="008127F8">
        <w:rPr>
          <w:rFonts w:ascii="Times New Roman" w:hAnsi="Times New Roman"/>
          <w:color w:val="000000" w:themeColor="text1"/>
          <w:sz w:val="16"/>
          <w:szCs w:val="16"/>
        </w:rPr>
        <w:t>. Обращалось внимание и на погрешности технологии склейки деревянных деталей.</w:t>
      </w:r>
    </w:p>
    <w:p w14:paraId="2DF9F34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ВИАМа А.Т. Туманов отдал распоряжение своей помощнице по научно-технической части М.В. Каюковой лично посещать заводы № 1 и № 18 и обеспечить быструю ликвидацию недостатков и контроль за работой бригады ВИАМ по налаживанию технологического процесса изготовления хвостовой части фюзеляжа самолёта Ил-2. К августу 1942 года все неполадки были устранены.</w:t>
      </w:r>
    </w:p>
    <w:p w14:paraId="68F6944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этом же году лабораторией № 13 ЦАГИ был составлен технический отчёт по теме «Предварительный анализ аварийных материалов семи боевых самолётов по рекламациям с фронта войны»</w:t>
      </w:r>
      <w:bookmarkStart w:id="3" w:name="_ednref10"/>
      <w:r w:rsidRPr="008127F8">
        <w:rPr>
          <w:rFonts w:ascii="Times New Roman" w:hAnsi="Times New Roman"/>
          <w:color w:val="000000" w:themeColor="text1"/>
          <w:sz w:val="16"/>
          <w:szCs w:val="16"/>
        </w:rPr>
        <w:fldChar w:fldCharType="begin"/>
      </w:r>
      <w:r w:rsidRPr="008127F8">
        <w:rPr>
          <w:rFonts w:ascii="Times New Roman" w:hAnsi="Times New Roman"/>
          <w:color w:val="000000" w:themeColor="text1"/>
          <w:sz w:val="16"/>
          <w:szCs w:val="16"/>
        </w:rPr>
        <w:instrText xml:space="preserve"> HYPERLINK "http://www.rgantd-samara.ru/activity/articles/4410/" \l "_edn10" \o "" </w:instrText>
      </w:r>
      <w:r w:rsidRPr="008127F8">
        <w:rPr>
          <w:rFonts w:ascii="Times New Roman" w:hAnsi="Times New Roman"/>
          <w:color w:val="000000" w:themeColor="text1"/>
          <w:sz w:val="16"/>
          <w:szCs w:val="16"/>
        </w:rPr>
      </w:r>
      <w:r w:rsidRPr="008127F8">
        <w:rPr>
          <w:rFonts w:ascii="Times New Roman" w:hAnsi="Times New Roman"/>
          <w:color w:val="000000" w:themeColor="text1"/>
          <w:sz w:val="16"/>
          <w:szCs w:val="16"/>
        </w:rPr>
        <w:fldChar w:fldCharType="separate"/>
      </w:r>
      <w:r w:rsidRPr="008127F8">
        <w:rPr>
          <w:rStyle w:val="a6"/>
          <w:color w:val="000000" w:themeColor="text1"/>
        </w:rPr>
        <w:t>10</w:t>
      </w:r>
      <w:r w:rsidRPr="008127F8">
        <w:rPr>
          <w:rFonts w:ascii="Times New Roman" w:hAnsi="Times New Roman"/>
          <w:color w:val="000000" w:themeColor="text1"/>
          <w:sz w:val="16"/>
          <w:szCs w:val="16"/>
        </w:rPr>
        <w:fldChar w:fldCharType="end"/>
      </w:r>
      <w:bookmarkEnd w:id="3"/>
      <w:r w:rsidRPr="008127F8">
        <w:rPr>
          <w:rFonts w:ascii="Times New Roman" w:hAnsi="Times New Roman"/>
          <w:color w:val="000000" w:themeColor="text1"/>
          <w:sz w:val="16"/>
          <w:szCs w:val="16"/>
        </w:rPr>
        <w:t>. В отчёте говорилось, что главная цель такого анализа – информация о фактической прочности самолётов. Были изучены данные Главного Управления ремонта и эксплуатации ВВС Красной Амии. Из отчёта следует, что наиболее благополучными в отношении прочности нужно считать самолёты Ил-2 и Як-7. В документе приводится таблица, где отражены случаи поломки агрегатов семи самолётов. Из неё видно, что на Ил-2 поломок меньше всего</w:t>
      </w:r>
      <w:bookmarkStart w:id="4" w:name="_ednref11"/>
      <w:r w:rsidRPr="008127F8">
        <w:rPr>
          <w:rFonts w:ascii="Times New Roman" w:hAnsi="Times New Roman"/>
          <w:color w:val="000000" w:themeColor="text1"/>
          <w:sz w:val="16"/>
          <w:szCs w:val="16"/>
        </w:rPr>
        <w:fldChar w:fldCharType="begin"/>
      </w:r>
      <w:r w:rsidRPr="008127F8">
        <w:rPr>
          <w:rFonts w:ascii="Times New Roman" w:hAnsi="Times New Roman"/>
          <w:color w:val="000000" w:themeColor="text1"/>
          <w:sz w:val="16"/>
          <w:szCs w:val="16"/>
        </w:rPr>
        <w:instrText xml:space="preserve"> HYPERLINK "http://www.rgantd-samara.ru/activity/articles/4410/" \l "_edn11" \o "" </w:instrText>
      </w:r>
      <w:r w:rsidRPr="008127F8">
        <w:rPr>
          <w:rFonts w:ascii="Times New Roman" w:hAnsi="Times New Roman"/>
          <w:color w:val="000000" w:themeColor="text1"/>
          <w:sz w:val="16"/>
          <w:szCs w:val="16"/>
        </w:rPr>
      </w:r>
      <w:r w:rsidRPr="008127F8">
        <w:rPr>
          <w:rFonts w:ascii="Times New Roman" w:hAnsi="Times New Roman"/>
          <w:color w:val="000000" w:themeColor="text1"/>
          <w:sz w:val="16"/>
          <w:szCs w:val="16"/>
        </w:rPr>
        <w:fldChar w:fldCharType="separate"/>
      </w:r>
      <w:r w:rsidRPr="008127F8">
        <w:rPr>
          <w:rStyle w:val="a6"/>
          <w:color w:val="000000" w:themeColor="text1"/>
        </w:rPr>
        <w:t>11</w:t>
      </w:r>
      <w:r w:rsidRPr="008127F8">
        <w:rPr>
          <w:rFonts w:ascii="Times New Roman" w:hAnsi="Times New Roman"/>
          <w:color w:val="000000" w:themeColor="text1"/>
          <w:sz w:val="16"/>
          <w:szCs w:val="16"/>
        </w:rPr>
        <w:fldChar w:fldCharType="end"/>
      </w:r>
      <w:bookmarkEnd w:id="4"/>
      <w:r w:rsidRPr="008127F8">
        <w:rPr>
          <w:rFonts w:ascii="Times New Roman" w:hAnsi="Times New Roman"/>
          <w:color w:val="000000" w:themeColor="text1"/>
          <w:sz w:val="16"/>
          <w:szCs w:val="16"/>
        </w:rPr>
        <w:t>. По самолёту Ил-2 было дано распоряжение детально изучить его с точки зрения выяснения внешних нагрузок и соответствия прочности фонаря пилота требованиям норм прочности</w:t>
      </w:r>
      <w:bookmarkStart w:id="5" w:name="_ednref12"/>
      <w:r w:rsidRPr="008127F8">
        <w:rPr>
          <w:rFonts w:ascii="Times New Roman" w:hAnsi="Times New Roman"/>
          <w:color w:val="000000" w:themeColor="text1"/>
          <w:sz w:val="16"/>
          <w:szCs w:val="16"/>
        </w:rPr>
        <w:t xml:space="preserve"> (Филиал РГАНТД. Ф. Р-217. Оп. 3-1. Д. 160. Лл. 1-15.) (12706).</w:t>
      </w:r>
      <w:bookmarkEnd w:id="5"/>
    </w:p>
    <w:p w14:paraId="56A43FF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635BE97"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27 мая 1942 был издан приказ по ВИАМу, направленный в куйбышевский филиал. В нём отмечалось, что при изготовлении хвостовой части фюзеляжа самолёта Ил-2 на заводах № 1 и № 18 были допущены нарушения технологического процесса, несоблюдение производственной инструкции ВИАМа, повлекшие за собой выпуск фюзеляжей с пониженной прочностью. В приказе</w:t>
      </w:r>
      <w:r>
        <w:rPr>
          <w:color w:val="000000" w:themeColor="text1"/>
          <w:sz w:val="16"/>
          <w:szCs w:val="16"/>
        </w:rPr>
        <w:t xml:space="preserve">    </w:t>
      </w:r>
      <w:r w:rsidRPr="008127F8">
        <w:rPr>
          <w:color w:val="000000" w:themeColor="text1"/>
          <w:sz w:val="16"/>
          <w:szCs w:val="16"/>
        </w:rPr>
        <w:t xml:space="preserve"> было</w:t>
      </w:r>
      <w:r>
        <w:rPr>
          <w:color w:val="000000" w:themeColor="text1"/>
          <w:sz w:val="16"/>
          <w:szCs w:val="16"/>
        </w:rPr>
        <w:t xml:space="preserve">    </w:t>
      </w:r>
      <w:r w:rsidRPr="008127F8">
        <w:rPr>
          <w:color w:val="000000" w:themeColor="text1"/>
          <w:sz w:val="16"/>
          <w:szCs w:val="16"/>
        </w:rPr>
        <w:t xml:space="preserve"> сказано:</w:t>
      </w:r>
      <w:r>
        <w:rPr>
          <w:color w:val="000000" w:themeColor="text1"/>
          <w:sz w:val="16"/>
          <w:szCs w:val="16"/>
        </w:rPr>
        <w:t xml:space="preserve">    </w:t>
      </w:r>
      <w:r w:rsidRPr="008127F8">
        <w:rPr>
          <w:color w:val="000000" w:themeColor="text1"/>
          <w:sz w:val="16"/>
          <w:szCs w:val="16"/>
        </w:rPr>
        <w:t xml:space="preserve"> «Отмеченные</w:t>
      </w:r>
      <w:r>
        <w:rPr>
          <w:color w:val="000000" w:themeColor="text1"/>
          <w:sz w:val="16"/>
          <w:szCs w:val="16"/>
        </w:rPr>
        <w:t xml:space="preserve">    </w:t>
      </w:r>
      <w:r w:rsidRPr="008127F8">
        <w:rPr>
          <w:color w:val="000000" w:themeColor="text1"/>
          <w:sz w:val="16"/>
          <w:szCs w:val="16"/>
        </w:rPr>
        <w:t xml:space="preserve"> факты, свидетельствуют о грубейших нарушениях технологии и производства конструкций и является совершенно недопустимым, особенно в военное время. Начальники и специалисты лабораторий ВИАМа, посещая заводы, не заметили вопиющих безобразий в технологии изготовления боевой машины и не приняли необходимых мер к их устранению»</w:t>
      </w:r>
      <w:hyperlink r:id="rId37" w:anchor="_edn9" w:history="1">
        <w:r w:rsidRPr="008127F8">
          <w:rPr>
            <w:rStyle w:val="a6"/>
            <w:rFonts w:eastAsiaTheme="majorEastAsia"/>
            <w:color w:val="000000" w:themeColor="text1"/>
            <w:vertAlign w:val="superscript"/>
          </w:rPr>
          <w:t>9</w:t>
        </w:r>
      </w:hyperlink>
      <w:r w:rsidRPr="008127F8">
        <w:rPr>
          <w:color w:val="000000" w:themeColor="text1"/>
          <w:sz w:val="16"/>
          <w:szCs w:val="16"/>
        </w:rPr>
        <w:t>. Обращалось внимание и на погрешности технологии склейки деревянных деталей (20717).</w:t>
      </w:r>
    </w:p>
    <w:p w14:paraId="06DD8FFC"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Начальник ВИАМа А.Т. Туманов отдал распоряжение своей помощнице по научно-технической части М.В. Каюковой лично посещать заводы № 1 и № 18 и обеспечить быструю ликвидацию недостатков и контроль за работой бригады ВИАМ по налаживанию технологического процесса изготовления хвостовой части фюзеляжа самолёта Ил-2. К августу 1942 года все неполадки были устранены (20717).</w:t>
      </w:r>
    </w:p>
    <w:p w14:paraId="7CE9640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0AF443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1942 г. вышел приказ командующего ВВС КА № 46 о проведении полигонные испытания пушек ШВАК и ВЯ при стрельбе по трофейным немецким танкам, которые прошли на НИП АВ ВВС КА в июне-июле 1942 (6467).</w:t>
      </w:r>
    </w:p>
    <w:p w14:paraId="7ED822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AFAD3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1942 г. вышел приказ командующего ВВС КА № 46, в соответствии с которым в июне-июле 1942 г. в НИП АВ ВВС КА были проведены полигонные испытания пушки ШВАК при стрельбе по трофейным немецким танкам. Испытания показали, что снаряд БЗ-20 пушки ШВАК может пробить броню из хромомолибденовой стали с повышенным (до 0,41%) содержанием углерода толщиной до 15 мм (танки Pz.ll Ausf F, Pz.38(t) Ausf С, БТР Sd Kfz 250) при углах встречи близких к нормали с дистанции не более 250-300 м. При отклонении от этих условий стрельба из пушки ШВАК становилась неэффективной.Так, при увеличении угла встречи снаряда с броней выше 40' получались сплошные рикошеты даже на участках брони толщиной 6-8 мм. Например, из 19 попаданий, полученных при стрельбах из этой пушки по Sd Kfz 250 (высота подхода 400 м, угол планирования 30°, дистанция открытия огня 400 м), имелось 6 сквозных пробоин в борту (толщина брони 8 мм), 4 - в крыше капота мотора (толщина брони 6 мм), 3 рикошета и 6 попаданий в ходовую часть. Попадания же в ходовую часть существенных поражений бронетехнике, как правило, не наносили. При стрельбе по легким танкам (высота подхода 100 м, угол планирования 5-10', дистанция открытия огня 400 м) из 15 попаданий 3 попадания пришлись в бортовую часть (толщина брони 15 мм) с одним застреванием сердечника, одним рикошетом и одним пробитием брони, что говорит о предельных возможностях снаряда БЗ-20, 7 попаданий в ходовую часть, а остальные 5 снарядов, попавшие в крышу башен танков (2 снаряда в башню танка Pz.38(t) Ausf С и 3 снаряда - в Pz.ll Ausf F, толщина брони 10 мм), дали рикошет. Кроме того, необходимо учитывать, что большая часть борта этих танков, в нижней ее части, закрыта роликами, колесами, гусеницей и другими деталями ходовой части, поэтому чистая бортовая броня (толщиной 15 мм) составляет малую площадь. При стрельбе же по среднему немецкому танку Pz.lll Ausf G в этих же условиях во всех 24 попаданиях вообще не было получено ни одного пробития брони. В выводах по испытаниям указывалось, что стрельба с самолета Ил-2 из пушек ШВАК по немецким легким и средним танкам совершенно неэффективна: "Самолеты Ил-2, вооруженные пушками ШВАК, по танкам использовать неэффективно, а лучше использовать их на 5-10 км в тылу по пехоте и горючему, обеспечивающему танки" (11812).</w:t>
      </w:r>
    </w:p>
    <w:p w14:paraId="2295CE0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0CFC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1942 г. приказом командующего ВВС КА генерал-лейтенанта А.А. Новикова НИП АВ предписывалось провести всесторонние исследования по оценке действенности стоящих на вооружении авиации средств поражения и разработать рациональную тактику и способы боевого применения истребителей ЛаГГ-3, вооруженных 37-мм пушками, и самолетов Ил-2.</w:t>
      </w:r>
    </w:p>
    <w:p w14:paraId="5533B8F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и следовало ожидать, наиболее эффективным ооужием оказались пушки калибра 37 мм: «...поражение тегких танков с дистанции не более 500 м возможно при стрельбе с любых на</w:t>
      </w:r>
      <w:r w:rsidRPr="008127F8">
        <w:rPr>
          <w:rFonts w:ascii="Times New Roman" w:hAnsi="Times New Roman"/>
          <w:color w:val="000000" w:themeColor="text1"/>
          <w:sz w:val="16"/>
          <w:szCs w:val="16"/>
        </w:rPr>
        <w:softHyphen/>
        <w:t>правлений, средние танки могут быть поражены стрельбой по борту или по кормовой части танка».</w:t>
      </w:r>
    </w:p>
    <w:p w14:paraId="3C4CD64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 же время вооружение серийных Ил-2 (2 пушки ШВАК или ВЯ-23, 2 пулемета ШКАС, 8 РС и 400 кг бомб) не отвечало требованиям надежного поражения бронетехники.</w:t>
      </w:r>
    </w:p>
    <w:p w14:paraId="6AC4E16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Устойчивое поражение легких танков типа Р</w:t>
      </w:r>
      <w:r w:rsidRPr="008127F8">
        <w:rPr>
          <w:rFonts w:ascii="Times New Roman" w:hAnsi="Times New Roman"/>
          <w:color w:val="000000" w:themeColor="text1"/>
          <w:sz w:val="16"/>
          <w:szCs w:val="16"/>
          <w:lang w:val="en-US"/>
        </w:rPr>
        <w:t>z</w:t>
      </w:r>
      <w:r w:rsidRPr="008127F8">
        <w:rPr>
          <w:rFonts w:ascii="Times New Roman" w:hAnsi="Times New Roman"/>
          <w:color w:val="000000" w:themeColor="text1"/>
          <w:sz w:val="16"/>
          <w:szCs w:val="16"/>
        </w:rPr>
        <w:t>.П и Р</w:t>
      </w:r>
      <w:r w:rsidRPr="008127F8">
        <w:rPr>
          <w:rFonts w:ascii="Times New Roman" w:hAnsi="Times New Roman"/>
          <w:color w:val="000000" w:themeColor="text1"/>
          <w:sz w:val="16"/>
          <w:szCs w:val="16"/>
          <w:lang w:val="en-US"/>
        </w:rPr>
        <w:t>z</w:t>
      </w:r>
      <w:r w:rsidRPr="008127F8">
        <w:rPr>
          <w:rFonts w:ascii="Times New Roman" w:hAnsi="Times New Roman"/>
          <w:color w:val="000000" w:themeColor="text1"/>
          <w:sz w:val="16"/>
          <w:szCs w:val="16"/>
        </w:rPr>
        <w:t>.38(1) обеспечивалось лишь при стрельбе из пушек ВЯ-23 бронебой-но-зажигательными снарядами. При этом атаку следовало производить сбоку или сзади с дистанции 300—400 м и при уг</w:t>
      </w:r>
      <w:r w:rsidRPr="008127F8">
        <w:rPr>
          <w:rFonts w:ascii="Times New Roman" w:hAnsi="Times New Roman"/>
          <w:color w:val="000000" w:themeColor="text1"/>
          <w:sz w:val="16"/>
          <w:szCs w:val="16"/>
        </w:rPr>
        <w:softHyphen/>
        <w:t>лах пикирования до 30°.</w:t>
      </w:r>
    </w:p>
    <w:p w14:paraId="1E08A33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Поражение танка Р</w:t>
      </w:r>
      <w:r w:rsidRPr="008127F8">
        <w:rPr>
          <w:rFonts w:ascii="Times New Roman" w:hAnsi="Times New Roman"/>
          <w:color w:val="000000" w:themeColor="text1"/>
          <w:sz w:val="16"/>
          <w:szCs w:val="16"/>
          <w:lang w:val="en-US"/>
        </w:rPr>
        <w:t>z</w:t>
      </w:r>
      <w:r w:rsidRPr="008127F8">
        <w:rPr>
          <w:rFonts w:ascii="Times New Roman" w:hAnsi="Times New Roman"/>
          <w:color w:val="000000" w:themeColor="text1"/>
          <w:sz w:val="16"/>
          <w:szCs w:val="16"/>
        </w:rPr>
        <w:t>.38(т) с усиленным бронированием при тех же условиях атаки было возможным только в борт у ходовой части танка, где устанавливалась 15-мм броня. Но попадания в «чистую» броню было маловероятным, поскольку большая ее часть закрывалась роликами, катками и гусеницами, а попадания в элементы ходовой части повреждений танку не наносили.</w:t>
      </w:r>
    </w:p>
    <w:p w14:paraId="4C6AF4D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Броня средних танков типа Р</w:t>
      </w:r>
      <w:r w:rsidRPr="008127F8">
        <w:rPr>
          <w:rFonts w:ascii="Times New Roman" w:hAnsi="Times New Roman"/>
          <w:color w:val="000000" w:themeColor="text1"/>
          <w:sz w:val="16"/>
          <w:szCs w:val="16"/>
          <w:lang w:val="en-US"/>
        </w:rPr>
        <w:t>z</w:t>
      </w:r>
      <w:r w:rsidRPr="008127F8">
        <w:rPr>
          <w:rFonts w:ascii="Times New Roman" w:hAnsi="Times New Roman"/>
          <w:color w:val="000000" w:themeColor="text1"/>
          <w:sz w:val="16"/>
          <w:szCs w:val="16"/>
        </w:rPr>
        <w:t>.1У, Р</w:t>
      </w:r>
      <w:r w:rsidRPr="008127F8">
        <w:rPr>
          <w:rFonts w:ascii="Times New Roman" w:hAnsi="Times New Roman"/>
          <w:color w:val="000000" w:themeColor="text1"/>
          <w:sz w:val="16"/>
          <w:szCs w:val="16"/>
          <w:lang w:val="en-US"/>
        </w:rPr>
        <w:t>z</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III</w:t>
      </w:r>
      <w:r w:rsidRPr="008127F8">
        <w:rPr>
          <w:rFonts w:ascii="Times New Roman" w:hAnsi="Times New Roman"/>
          <w:color w:val="000000" w:themeColor="text1"/>
          <w:sz w:val="16"/>
          <w:szCs w:val="16"/>
        </w:rPr>
        <w:t xml:space="preserve"> и </w:t>
      </w:r>
      <w:r w:rsidRPr="008127F8">
        <w:rPr>
          <w:rFonts w:ascii="Times New Roman" w:hAnsi="Times New Roman"/>
          <w:color w:val="000000" w:themeColor="text1"/>
          <w:sz w:val="16"/>
          <w:szCs w:val="16"/>
          <w:lang w:val="en-US"/>
        </w:rPr>
        <w:t>StuGIIII</w:t>
      </w:r>
      <w:r w:rsidRPr="008127F8">
        <w:rPr>
          <w:rFonts w:ascii="Times New Roman" w:hAnsi="Times New Roman"/>
          <w:color w:val="000000" w:themeColor="text1"/>
          <w:sz w:val="16"/>
          <w:szCs w:val="16"/>
        </w:rPr>
        <w:t xml:space="preserve"> с толщи</w:t>
      </w:r>
      <w:r w:rsidRPr="008127F8">
        <w:rPr>
          <w:rFonts w:ascii="Times New Roman" w:hAnsi="Times New Roman"/>
          <w:color w:val="000000" w:themeColor="text1"/>
          <w:sz w:val="16"/>
          <w:szCs w:val="16"/>
        </w:rPr>
        <w:softHyphen/>
        <w:t>ной бортовой брони 30 мм и лобовой 50 мм при стрельбе с са</w:t>
      </w:r>
      <w:r w:rsidRPr="008127F8">
        <w:rPr>
          <w:rFonts w:ascii="Times New Roman" w:hAnsi="Times New Roman"/>
          <w:color w:val="000000" w:themeColor="text1"/>
          <w:sz w:val="16"/>
          <w:szCs w:val="16"/>
        </w:rPr>
        <w:softHyphen/>
        <w:t>молета Ил-2 из пушки ВЯ-23 не поражалась ни с одного на</w:t>
      </w:r>
      <w:r w:rsidRPr="008127F8">
        <w:rPr>
          <w:rFonts w:ascii="Times New Roman" w:hAnsi="Times New Roman"/>
          <w:color w:val="000000" w:themeColor="text1"/>
          <w:sz w:val="16"/>
          <w:szCs w:val="16"/>
        </w:rPr>
        <w:softHyphen/>
        <w:t>правления атаки.</w:t>
      </w:r>
    </w:p>
    <w:p w14:paraId="3E40816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Поражение надмоторной брони и брони крыши башен не</w:t>
      </w:r>
      <w:r w:rsidRPr="008127F8">
        <w:rPr>
          <w:rFonts w:ascii="Times New Roman" w:hAnsi="Times New Roman"/>
          <w:color w:val="000000" w:themeColor="text1"/>
          <w:sz w:val="16"/>
          <w:szCs w:val="16"/>
        </w:rPr>
        <w:softHyphen/>
        <w:t>мецких танков всех типов при стрельбе из пушек ВЯ-23 и ШВАК получалось лишь при углах пикирования Ил-2 более 40°. Однако пилотирование штурмовика на этих режимах было сложным, а вероятность попадания в уязвимые части танков (из-за малой их площади) — небольшой.</w:t>
      </w:r>
    </w:p>
    <w:p w14:paraId="4BB0177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Другими словами, штурмовик Ил-2, вооруженный пушка</w:t>
      </w:r>
      <w:r w:rsidRPr="008127F8">
        <w:rPr>
          <w:rFonts w:ascii="Times New Roman" w:hAnsi="Times New Roman"/>
          <w:color w:val="000000" w:themeColor="text1"/>
          <w:sz w:val="16"/>
          <w:szCs w:val="16"/>
        </w:rPr>
        <w:softHyphen/>
        <w:t>ми ВЯ-23, мог наносить устойчивое поражение только легким танкам и бронемашинам с толщиной брони до 20 мм.</w:t>
      </w:r>
    </w:p>
    <w:p w14:paraId="3D81170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отношении пушек ШВАК в выводах по испытаниям ука</w:t>
      </w:r>
      <w:r w:rsidRPr="008127F8">
        <w:rPr>
          <w:rFonts w:ascii="Times New Roman" w:hAnsi="Times New Roman"/>
          <w:color w:val="000000" w:themeColor="text1"/>
          <w:sz w:val="16"/>
          <w:szCs w:val="16"/>
        </w:rPr>
        <w:softHyphen/>
        <w:t>зывалось следующее: «Самолеты Ил-2, вооруженные пушками ШВАК, по танкам использовать неэффективно, а лучше ис</w:t>
      </w:r>
      <w:r w:rsidRPr="008127F8">
        <w:rPr>
          <w:rFonts w:ascii="Times New Roman" w:hAnsi="Times New Roman"/>
          <w:color w:val="000000" w:themeColor="text1"/>
          <w:sz w:val="16"/>
          <w:szCs w:val="16"/>
        </w:rPr>
        <w:softHyphen/>
        <w:t>пользовать их на 5—10 км в тылу по пехоте и горючему, обес</w:t>
      </w:r>
      <w:r w:rsidRPr="008127F8">
        <w:rPr>
          <w:rFonts w:ascii="Times New Roman" w:hAnsi="Times New Roman"/>
          <w:color w:val="000000" w:themeColor="text1"/>
          <w:sz w:val="16"/>
          <w:szCs w:val="16"/>
        </w:rPr>
        <w:softHyphen/>
        <w:t>печивающему танки» (11474,324).</w:t>
      </w:r>
    </w:p>
    <w:p w14:paraId="1C5D6FD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984E17" w14:textId="77777777" w:rsidR="007C5583" w:rsidRPr="004A08DC" w:rsidRDefault="007C5583" w:rsidP="007C5583">
      <w:pPr>
        <w:pStyle w:val="36"/>
        <w:shd w:val="clear" w:color="auto" w:fill="auto"/>
        <w:spacing w:after="0" w:line="240" w:lineRule="auto"/>
        <w:jc w:val="both"/>
        <w:rPr>
          <w:rFonts w:ascii="Times New Roman" w:cs="Times New Roman"/>
          <w:i/>
          <w:iCs/>
          <w:color w:val="000000" w:themeColor="text1"/>
          <w:spacing w:val="0"/>
          <w:sz w:val="16"/>
          <w:szCs w:val="16"/>
        </w:rPr>
      </w:pPr>
      <w:r w:rsidRPr="008127F8">
        <w:rPr>
          <w:rFonts w:ascii="Times New Roman" w:cs="Times New Roman"/>
          <w:color w:val="000000" w:themeColor="text1"/>
          <w:spacing w:val="0"/>
          <w:sz w:val="16"/>
          <w:szCs w:val="16"/>
        </w:rPr>
        <w:t>27 мая 1942 г. ди</w:t>
      </w:r>
      <w:r w:rsidRPr="008127F8">
        <w:rPr>
          <w:rFonts w:ascii="Times New Roman" w:cs="Times New Roman"/>
          <w:color w:val="000000" w:themeColor="text1"/>
          <w:spacing w:val="0"/>
          <w:sz w:val="16"/>
          <w:szCs w:val="16"/>
        </w:rPr>
        <w:softHyphen/>
        <w:t>ректором завода №125 в Подольске Кисилевским был утвержден Отчет по результатам испытаний. Главной целью этой работы являлось</w:t>
      </w:r>
      <w:r w:rsidRPr="008127F8">
        <w:rPr>
          <w:rStyle w:val="aff8"/>
          <w:rFonts w:ascii="Times New Roman" w:eastAsia="Arial Narrow" w:cs="Times New Roman"/>
          <w:color w:val="000000" w:themeColor="text1"/>
          <w:spacing w:val="0"/>
        </w:rPr>
        <w:t xml:space="preserve"> </w:t>
      </w:r>
      <w:r w:rsidRPr="004A08DC">
        <w:rPr>
          <w:rStyle w:val="aff8"/>
          <w:rFonts w:ascii="Times New Roman" w:eastAsia="Arial Narrow" w:hAnsi="Times New Roman" w:cs="Times New Roman"/>
          <w:i w:val="0"/>
          <w:iCs w:val="0"/>
          <w:color w:val="000000" w:themeColor="text1"/>
          <w:spacing w:val="0"/>
        </w:rPr>
        <w:t>«изыскать броню, про</w:t>
      </w:r>
      <w:r w:rsidRPr="004A08DC">
        <w:rPr>
          <w:rStyle w:val="aff8"/>
          <w:rFonts w:ascii="Times New Roman" w:eastAsia="Arial Narrow" w:hAnsi="Times New Roman" w:cs="Times New Roman"/>
          <w:i w:val="0"/>
          <w:iCs w:val="0"/>
          <w:color w:val="000000" w:themeColor="text1"/>
          <w:spacing w:val="0"/>
        </w:rPr>
        <w:softHyphen/>
        <w:t>тивостоящую 15-мм бронебойной пули пуш</w:t>
      </w:r>
      <w:r w:rsidRPr="004A08DC">
        <w:rPr>
          <w:rStyle w:val="aff8"/>
          <w:rFonts w:ascii="Times New Roman" w:eastAsia="Arial Narrow" w:hAnsi="Times New Roman" w:cs="Times New Roman"/>
          <w:i w:val="0"/>
          <w:iCs w:val="0"/>
          <w:color w:val="000000" w:themeColor="text1"/>
          <w:spacing w:val="0"/>
        </w:rPr>
        <w:softHyphen/>
        <w:t>ки-пулемета МГ-151 с дистанции 100-200 м с последующей конструктивной разработкой бронезащиты на самолетах ВВС КА».</w:t>
      </w:r>
    </w:p>
    <w:p w14:paraId="38F8B108" w14:textId="77777777" w:rsidR="007C5583" w:rsidRPr="008127F8" w:rsidRDefault="007C5583" w:rsidP="007C5583">
      <w:pPr>
        <w:pStyle w:val="28"/>
        <w:shd w:val="clear" w:color="auto" w:fill="auto"/>
        <w:spacing w:before="0"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качестве основной брони использовалась 12-мм бронеспинка от Ил-2, экран - 4-мм гомогенная броня и цементованная броня толщиной 7, 8 и 12 мм. Обстрел велся с дистанции 100 м по нормали и под углом.</w:t>
      </w:r>
    </w:p>
    <w:p w14:paraId="37AC503B" w14:textId="77777777" w:rsidR="007C5583" w:rsidRPr="008127F8" w:rsidRDefault="007C5583" w:rsidP="007C5583">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Обстреливались различные варианты эк</w:t>
      </w:r>
      <w:r w:rsidRPr="008127F8">
        <w:rPr>
          <w:rFonts w:ascii="Times New Roman" w:cs="Times New Roman"/>
          <w:color w:val="000000" w:themeColor="text1"/>
          <w:spacing w:val="0"/>
          <w:sz w:val="16"/>
          <w:szCs w:val="16"/>
        </w:rPr>
        <w:softHyphen/>
        <w:t>ранированных систем: основная броня -12-мм бронеспинка от самолета Ил-2 (цементован</w:t>
      </w:r>
      <w:r w:rsidRPr="008127F8">
        <w:rPr>
          <w:rFonts w:ascii="Times New Roman" w:cs="Times New Roman"/>
          <w:color w:val="000000" w:themeColor="text1"/>
          <w:spacing w:val="0"/>
          <w:sz w:val="16"/>
          <w:szCs w:val="16"/>
        </w:rPr>
        <w:softHyphen/>
        <w:t>ная броня марки ХД), экран - из гомогенной брони толщиной 4 мм и цементованной брони толщиной 7,8 и 12 мм. Считалось, что наличие вязкой и сравнительно мягкой тыльной стороны цементованной брони обеспечит хорошую живучесть экрана:</w:t>
      </w:r>
      <w:r w:rsidRPr="008127F8">
        <w:rPr>
          <w:rStyle w:val="aff8"/>
          <w:rFonts w:ascii="Times New Roman" w:eastAsia="Arial Narrow" w:cs="Times New Roman"/>
          <w:color w:val="000000" w:themeColor="text1"/>
          <w:spacing w:val="0"/>
        </w:rPr>
        <w:t xml:space="preserve"> </w:t>
      </w:r>
      <w:r w:rsidRPr="004A08DC">
        <w:rPr>
          <w:rFonts w:ascii="Times New Roman" w:cs="Times New Roman"/>
          <w:spacing w:val="0"/>
          <w:sz w:val="16"/>
          <w:szCs w:val="16"/>
        </w:rPr>
        <w:t>«пуля, пробивая экран, не разрушает его, а дает чистую сквозную пробоину».</w:t>
      </w:r>
      <w:r w:rsidRPr="008127F8">
        <w:rPr>
          <w:rFonts w:ascii="Times New Roman" w:cs="Times New Roman"/>
          <w:color w:val="000000" w:themeColor="text1"/>
          <w:spacing w:val="0"/>
          <w:sz w:val="16"/>
          <w:szCs w:val="16"/>
        </w:rPr>
        <w:t xml:space="preserve"> Кроме этого, были обстреляны плиты 16-18 мм из гомогенной и цементован</w:t>
      </w:r>
      <w:r w:rsidRPr="008127F8">
        <w:rPr>
          <w:rFonts w:ascii="Times New Roman" w:cs="Times New Roman"/>
          <w:color w:val="000000" w:themeColor="text1"/>
          <w:spacing w:val="0"/>
          <w:sz w:val="16"/>
          <w:szCs w:val="16"/>
        </w:rPr>
        <w:softHyphen/>
        <w:t>ной брони.</w:t>
      </w:r>
    </w:p>
    <w:p w14:paraId="688EB67B" w14:textId="77777777" w:rsidR="007C5583" w:rsidRPr="008127F8" w:rsidRDefault="007C5583" w:rsidP="007C5583">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Во всех случаях стрельба велась с дистан</w:t>
      </w:r>
      <w:r w:rsidRPr="008127F8">
        <w:rPr>
          <w:rFonts w:ascii="Times New Roman" w:cs="Times New Roman"/>
          <w:color w:val="000000" w:themeColor="text1"/>
          <w:spacing w:val="0"/>
          <w:sz w:val="16"/>
          <w:szCs w:val="16"/>
        </w:rPr>
        <w:softHyphen/>
        <w:t>ции 100 м по нормали и под углом к нормали до 60° включительно. Все бронедетали обстре</w:t>
      </w:r>
      <w:r w:rsidRPr="008127F8">
        <w:rPr>
          <w:rFonts w:ascii="Times New Roman" w:cs="Times New Roman"/>
          <w:color w:val="000000" w:themeColor="text1"/>
          <w:spacing w:val="0"/>
          <w:sz w:val="16"/>
          <w:szCs w:val="16"/>
        </w:rPr>
        <w:softHyphen/>
        <w:t>ливались вне самолета. Специальная броне</w:t>
      </w:r>
      <w:r w:rsidRPr="008127F8">
        <w:rPr>
          <w:rFonts w:ascii="Times New Roman" w:cs="Times New Roman"/>
          <w:color w:val="000000" w:themeColor="text1"/>
          <w:spacing w:val="0"/>
          <w:sz w:val="16"/>
          <w:szCs w:val="16"/>
        </w:rPr>
        <w:softHyphen/>
        <w:t>бойная пуля калибра 15 мм к пушке М0151/15 по замерам имела твердость сердечника 55НС (по Роквеллу), твердость пояса - 42ПС, вес - 71,3 г и начальную скорость вылета из канала ствола - 930 м/с.</w:t>
      </w:r>
    </w:p>
    <w:p w14:paraId="45FB7EB9" w14:textId="77777777" w:rsidR="007C5583" w:rsidRPr="004A08DC" w:rsidRDefault="007C5583" w:rsidP="004A08DC">
      <w:pPr>
        <w:spacing w:after="0" w:line="240" w:lineRule="auto"/>
        <w:jc w:val="both"/>
        <w:rPr>
          <w:rFonts w:ascii="Times New Roman" w:hAnsi="Times New Roman"/>
          <w:sz w:val="16"/>
          <w:szCs w:val="16"/>
        </w:rPr>
      </w:pPr>
      <w:r w:rsidRPr="004A08DC">
        <w:rPr>
          <w:rFonts w:ascii="Times New Roman" w:hAnsi="Times New Roman"/>
          <w:sz w:val="16"/>
          <w:szCs w:val="16"/>
        </w:rPr>
        <w:t>Детали бронекорпуса Ил-2 из брони типа АБ-1 и АБ-2 толщиной 4-6 мм уверенно проти</w:t>
      </w:r>
      <w:r w:rsidRPr="004A08DC">
        <w:rPr>
          <w:rFonts w:ascii="Times New Roman" w:hAnsi="Times New Roman"/>
          <w:sz w:val="16"/>
          <w:szCs w:val="16"/>
        </w:rPr>
        <w:softHyphen/>
        <w:t>востояли бронебойным пулям калибра 7,62 мм типа Б-30 при обстреле под углами 60-35° от нормали, а 12-мм задняя бронестенка из це</w:t>
      </w:r>
      <w:r w:rsidRPr="004A08DC">
        <w:rPr>
          <w:rFonts w:ascii="Times New Roman" w:hAnsi="Times New Roman"/>
          <w:sz w:val="16"/>
          <w:szCs w:val="16"/>
        </w:rPr>
        <w:softHyphen/>
        <w:t>ментованной брони ХД такой пулей не проби</w:t>
      </w:r>
      <w:r w:rsidRPr="004A08DC">
        <w:rPr>
          <w:rFonts w:ascii="Times New Roman" w:hAnsi="Times New Roman"/>
          <w:sz w:val="16"/>
          <w:szCs w:val="16"/>
        </w:rPr>
        <w:softHyphen/>
        <w:t>валась и при нормальном попадании. Броне</w:t>
      </w:r>
      <w:r w:rsidRPr="004A08DC">
        <w:rPr>
          <w:rFonts w:ascii="Times New Roman" w:hAnsi="Times New Roman"/>
          <w:sz w:val="16"/>
          <w:szCs w:val="16"/>
        </w:rPr>
        <w:softHyphen/>
        <w:t>бойная пуля ДК калибра 12,7 мм от пулемета УБ пробивала бронестенку Ил-2 под углом 35' от нормали, а 15-мм бронебойная пуля от МС151/15- под углом 45'.</w:t>
      </w:r>
    </w:p>
    <w:p w14:paraId="5C396A94" w14:textId="77777777" w:rsidR="007C5583" w:rsidRPr="004A08DC" w:rsidRDefault="007C5583" w:rsidP="004A08DC">
      <w:pPr>
        <w:spacing w:after="0" w:line="240" w:lineRule="auto"/>
        <w:jc w:val="both"/>
        <w:rPr>
          <w:rFonts w:ascii="Times New Roman" w:hAnsi="Times New Roman"/>
          <w:sz w:val="16"/>
          <w:szCs w:val="16"/>
        </w:rPr>
      </w:pPr>
      <w:r w:rsidRPr="004A08DC">
        <w:rPr>
          <w:rFonts w:ascii="Times New Roman" w:hAnsi="Times New Roman"/>
          <w:sz w:val="16"/>
          <w:szCs w:val="16"/>
        </w:rPr>
        <w:t>Исследование влияния экрана на стой</w:t>
      </w:r>
      <w:r w:rsidRPr="004A08DC">
        <w:rPr>
          <w:rFonts w:ascii="Times New Roman" w:hAnsi="Times New Roman"/>
          <w:sz w:val="16"/>
          <w:szCs w:val="16"/>
        </w:rPr>
        <w:softHyphen/>
        <w:t>кость основной брони показало, что «экра</w:t>
      </w:r>
      <w:r w:rsidRPr="004A08DC">
        <w:rPr>
          <w:rFonts w:ascii="Times New Roman" w:hAnsi="Times New Roman"/>
          <w:sz w:val="16"/>
          <w:szCs w:val="16"/>
        </w:rPr>
        <w:softHyphen/>
        <w:t>нировка бронеспинки Ил-2 цементованной броней толщиной 8 мм обеспечивает полную непробиваемость основной брони и может быть рекомендована для модернизации Ил-2». При меньших толщинах брони экрана основная броня поражалась.</w:t>
      </w:r>
    </w:p>
    <w:p w14:paraId="21BA94C5" w14:textId="77777777" w:rsidR="007C5583" w:rsidRPr="004A08DC" w:rsidRDefault="007C5583" w:rsidP="004A08DC">
      <w:pPr>
        <w:spacing w:after="0" w:line="240" w:lineRule="auto"/>
        <w:jc w:val="both"/>
        <w:rPr>
          <w:rFonts w:ascii="Times New Roman" w:hAnsi="Times New Roman"/>
          <w:sz w:val="16"/>
          <w:szCs w:val="16"/>
        </w:rPr>
      </w:pPr>
      <w:r w:rsidRPr="004A08DC">
        <w:rPr>
          <w:rFonts w:ascii="Times New Roman" w:hAnsi="Times New Roman"/>
          <w:sz w:val="16"/>
          <w:szCs w:val="16"/>
        </w:rPr>
        <w:t>Экранированная броня толщиной 25 мм, состоящая из двух гомогенных бронеплит (экран - 9 мм, основная броня - 16 мм), пулей калибра 15 мм не пробивалась даже при нор</w:t>
      </w:r>
      <w:r w:rsidRPr="004A08DC">
        <w:rPr>
          <w:rFonts w:ascii="Times New Roman" w:hAnsi="Times New Roman"/>
          <w:sz w:val="16"/>
          <w:szCs w:val="16"/>
        </w:rPr>
        <w:softHyphen/>
        <w:t>мальном попадании, а экранная броня толщи</w:t>
      </w:r>
      <w:r w:rsidRPr="004A08DC">
        <w:rPr>
          <w:rFonts w:ascii="Times New Roman" w:hAnsi="Times New Roman"/>
          <w:sz w:val="16"/>
          <w:szCs w:val="16"/>
        </w:rPr>
        <w:softHyphen/>
        <w:t>ной 18 мм (гомогенная и цементованная - по 9 мм) по нормали пробивалась, но под углом 45' - нет.</w:t>
      </w:r>
    </w:p>
    <w:p w14:paraId="0DEA1DB7" w14:textId="77777777" w:rsidR="007C5583" w:rsidRPr="004A08DC" w:rsidRDefault="007C5583" w:rsidP="004A08DC">
      <w:pPr>
        <w:spacing w:after="0" w:line="240" w:lineRule="auto"/>
        <w:jc w:val="both"/>
        <w:rPr>
          <w:rFonts w:ascii="Times New Roman" w:hAnsi="Times New Roman"/>
          <w:sz w:val="16"/>
          <w:szCs w:val="16"/>
        </w:rPr>
      </w:pPr>
      <w:r w:rsidRPr="004A08DC">
        <w:rPr>
          <w:rFonts w:ascii="Times New Roman" w:hAnsi="Times New Roman"/>
          <w:sz w:val="16"/>
          <w:szCs w:val="16"/>
        </w:rPr>
        <w:t>Делался вывод, что «уверенная защита летчика Ил-2 с дистанции 100-200 м от не</w:t>
      </w:r>
      <w:r w:rsidRPr="004A08DC">
        <w:rPr>
          <w:rFonts w:ascii="Times New Roman" w:hAnsi="Times New Roman"/>
          <w:sz w:val="16"/>
          <w:szCs w:val="16"/>
        </w:rPr>
        <w:softHyphen/>
        <w:t>мецкой бронебойной пули калибра 15 мм осуществляется путем установки экрана с ли</w:t>
      </w:r>
      <w:r w:rsidRPr="004A08DC">
        <w:rPr>
          <w:rFonts w:ascii="Times New Roman" w:hAnsi="Times New Roman"/>
          <w:sz w:val="16"/>
          <w:szCs w:val="16"/>
        </w:rPr>
        <w:softHyphen/>
        <w:t>цевой стороны спинки». При этом в качестве экрана рекомендовалось применять цементо</w:t>
      </w:r>
      <w:r w:rsidRPr="004A08DC">
        <w:rPr>
          <w:rFonts w:ascii="Times New Roman" w:hAnsi="Times New Roman"/>
          <w:sz w:val="16"/>
          <w:szCs w:val="16"/>
        </w:rPr>
        <w:softHyphen/>
        <w:t>ванную броню марки ХД валового производ</w:t>
      </w:r>
      <w:r w:rsidRPr="004A08DC">
        <w:rPr>
          <w:rFonts w:ascii="Times New Roman" w:hAnsi="Times New Roman"/>
          <w:sz w:val="16"/>
          <w:szCs w:val="16"/>
        </w:rPr>
        <w:softHyphen/>
        <w:t>ства толщиной 8,5 мм. В сочетании с 12-мм бронестенкой эта система могла обеспечить надежную пулестойкость. Габариты экрана тре</w:t>
      </w:r>
      <w:r w:rsidRPr="004A08DC">
        <w:rPr>
          <w:rFonts w:ascii="Times New Roman" w:hAnsi="Times New Roman"/>
          <w:sz w:val="16"/>
          <w:szCs w:val="16"/>
        </w:rPr>
        <w:softHyphen/>
        <w:t>бовалось выбирать «из условия обеспечения полной защиты летчика».</w:t>
      </w:r>
    </w:p>
    <w:p w14:paraId="6982A848" w14:textId="77777777" w:rsidR="007C5583" w:rsidRPr="004A08DC" w:rsidRDefault="007C5583" w:rsidP="004A08DC">
      <w:pPr>
        <w:spacing w:after="0" w:line="240" w:lineRule="auto"/>
        <w:jc w:val="both"/>
        <w:rPr>
          <w:rFonts w:ascii="Times New Roman" w:hAnsi="Times New Roman"/>
          <w:sz w:val="16"/>
          <w:szCs w:val="16"/>
        </w:rPr>
      </w:pPr>
      <w:r w:rsidRPr="004A08DC">
        <w:rPr>
          <w:rFonts w:ascii="Times New Roman" w:hAnsi="Times New Roman"/>
          <w:sz w:val="16"/>
          <w:szCs w:val="16"/>
        </w:rPr>
        <w:t>Отмечалось, что, несмотря на «навеску экрана 34,5 кг», вес пустого Ил-2 почти не увеличился, «так как завод №30 в целях сни</w:t>
      </w:r>
      <w:r w:rsidRPr="004A08DC">
        <w:rPr>
          <w:rFonts w:ascii="Times New Roman" w:hAnsi="Times New Roman"/>
          <w:sz w:val="16"/>
          <w:szCs w:val="16"/>
        </w:rPr>
        <w:softHyphen/>
        <w:t>жения веса изменил чертежи хвостовой части фюзеляжа, достигнув снижения веса на 30 кг» при сохранении на прежнем уровне центровки самолета. С целью скорейшего использования разработанной системы бронирования пред</w:t>
      </w:r>
      <w:r w:rsidRPr="004A08DC">
        <w:rPr>
          <w:rFonts w:ascii="Times New Roman" w:hAnsi="Times New Roman"/>
          <w:sz w:val="16"/>
          <w:szCs w:val="16"/>
        </w:rPr>
        <w:softHyphen/>
        <w:t>лагалось «производство новой броневой защи</w:t>
      </w:r>
      <w:r w:rsidRPr="004A08DC">
        <w:rPr>
          <w:rFonts w:ascii="Times New Roman" w:hAnsi="Times New Roman"/>
          <w:sz w:val="16"/>
          <w:szCs w:val="16"/>
        </w:rPr>
        <w:softHyphen/>
        <w:t>ты организовать на заводах, изготавливающих бронекорпуса для самолетов Ил-2».</w:t>
      </w:r>
    </w:p>
    <w:p w14:paraId="547EB1D7" w14:textId="77777777" w:rsidR="007C5583" w:rsidRPr="004A08DC" w:rsidRDefault="007C5583" w:rsidP="004A08DC">
      <w:pPr>
        <w:spacing w:after="0" w:line="240" w:lineRule="auto"/>
        <w:jc w:val="both"/>
        <w:rPr>
          <w:rFonts w:ascii="Times New Roman" w:hAnsi="Times New Roman"/>
          <w:sz w:val="16"/>
          <w:szCs w:val="16"/>
        </w:rPr>
      </w:pPr>
      <w:r w:rsidRPr="004A08DC">
        <w:rPr>
          <w:rFonts w:ascii="Times New Roman" w:hAnsi="Times New Roman"/>
          <w:sz w:val="16"/>
          <w:szCs w:val="16"/>
        </w:rPr>
        <w:t>Заместитель начальника ВИАМ по научной работе С.Т. Кишкин и заместитель начальни</w:t>
      </w:r>
      <w:r w:rsidRPr="004A08DC">
        <w:rPr>
          <w:rFonts w:ascii="Times New Roman" w:hAnsi="Times New Roman"/>
          <w:sz w:val="16"/>
          <w:szCs w:val="16"/>
        </w:rPr>
        <w:softHyphen/>
        <w:t>ка бронелаборатории института Н.М. Скляров дали положительное заключение по резуль</w:t>
      </w:r>
      <w:r w:rsidRPr="004A08DC">
        <w:rPr>
          <w:rFonts w:ascii="Times New Roman" w:hAnsi="Times New Roman"/>
          <w:sz w:val="16"/>
          <w:szCs w:val="16"/>
        </w:rPr>
        <w:softHyphen/>
        <w:t>татам испытаний экранных броневых систем. «Предложение, сделанное инж. капитаном 5-го отдела т. Григорьевым, применить экраниро</w:t>
      </w:r>
      <w:r w:rsidRPr="004A08DC">
        <w:rPr>
          <w:rFonts w:ascii="Times New Roman" w:hAnsi="Times New Roman"/>
          <w:sz w:val="16"/>
          <w:szCs w:val="16"/>
        </w:rPr>
        <w:softHyphen/>
        <w:t>ванные системы для повышения пулестойкости спинки самолета Ил-2 и проверенное заводом №125 является, безусловно, правильным», - указывалось в письме начальнику Управления заказов самолетов и моторов ГУЗ ВВС КА инж. полковнику Алексееву от 17 июня 1942 г. (15776).</w:t>
      </w:r>
    </w:p>
    <w:p w14:paraId="1B795D39" w14:textId="77777777" w:rsidR="007C5583" w:rsidRPr="008127F8" w:rsidRDefault="007C5583" w:rsidP="007C5583">
      <w:pPr>
        <w:pStyle w:val="36"/>
        <w:shd w:val="clear" w:color="auto" w:fill="auto"/>
        <w:spacing w:after="0" w:line="240" w:lineRule="auto"/>
        <w:jc w:val="both"/>
        <w:rPr>
          <w:rFonts w:ascii="Times New Roman" w:cs="Times New Roman"/>
          <w:color w:val="000000" w:themeColor="text1"/>
          <w:spacing w:val="0"/>
          <w:sz w:val="16"/>
          <w:szCs w:val="16"/>
        </w:rPr>
      </w:pPr>
    </w:p>
    <w:p w14:paraId="19FA1E9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1942 вышло Постановление ГКО № 1823 Об обеспечении плана капитального строительства Куйбышевских авиационных заводов. РГАНИР, Фонд ГКО, д. 36, лл. 147-153, 154-165 (11012).</w:t>
      </w:r>
    </w:p>
    <w:p w14:paraId="2B733F6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981F06" w14:textId="77777777" w:rsidR="004A08DC" w:rsidRPr="008A2E5A" w:rsidRDefault="004A08DC" w:rsidP="004A08D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27 мая 1942 г. на Як-7В №1540, проходившим после государст</w:t>
      </w:r>
      <w:r w:rsidRPr="008A2E5A">
        <w:rPr>
          <w:rFonts w:ascii="Times New Roman" w:hAnsi="Times New Roman"/>
          <w:color w:val="0070C0"/>
          <w:sz w:val="16"/>
          <w:szCs w:val="16"/>
        </w:rPr>
        <w:softHyphen/>
        <w:t>венных испытаний испытания на износ, с комплектом из четы</w:t>
      </w:r>
      <w:r w:rsidRPr="008A2E5A">
        <w:rPr>
          <w:rFonts w:ascii="Times New Roman" w:hAnsi="Times New Roman"/>
          <w:color w:val="0070C0"/>
          <w:sz w:val="16"/>
          <w:szCs w:val="16"/>
        </w:rPr>
        <w:softHyphen/>
        <w:t>рех фибровых бензобаков выполнили 230 посадок и 2000 фигур пилотажа с общим налетом 38 часов 30 минут. При этом ни в процес</w:t>
      </w:r>
      <w:r w:rsidRPr="008A2E5A">
        <w:rPr>
          <w:rFonts w:ascii="Times New Roman" w:hAnsi="Times New Roman"/>
          <w:color w:val="0070C0"/>
          <w:sz w:val="16"/>
          <w:szCs w:val="16"/>
        </w:rPr>
        <w:softHyphen/>
        <w:t>се испытаний, ни после никаких дефектов бензобаков об</w:t>
      </w:r>
      <w:r w:rsidRPr="008A2E5A">
        <w:rPr>
          <w:rFonts w:ascii="Times New Roman" w:hAnsi="Times New Roman"/>
          <w:color w:val="0070C0"/>
          <w:sz w:val="16"/>
          <w:szCs w:val="16"/>
        </w:rPr>
        <w:softHyphen/>
        <w:t>наружено не было, а сами баки оставили на машине для дальнейшей эксплуатации (23381).</w:t>
      </w:r>
    </w:p>
    <w:p w14:paraId="6DEB0663" w14:textId="77777777" w:rsidR="004A08DC" w:rsidRPr="008A2E5A" w:rsidRDefault="004A08DC" w:rsidP="004A08DC">
      <w:pPr>
        <w:spacing w:after="0" w:line="240" w:lineRule="auto"/>
        <w:jc w:val="both"/>
        <w:rPr>
          <w:rFonts w:ascii="Times New Roman" w:hAnsi="Times New Roman"/>
          <w:color w:val="0070C0"/>
          <w:sz w:val="16"/>
          <w:szCs w:val="16"/>
        </w:rPr>
      </w:pPr>
    </w:p>
    <w:p w14:paraId="7F53F1A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1942 года был подготовлен Ра</w:t>
      </w:r>
      <w:r w:rsidRPr="008127F8">
        <w:rPr>
          <w:rFonts w:ascii="Times New Roman" w:hAnsi="Times New Roman"/>
          <w:color w:val="000000" w:themeColor="text1"/>
          <w:sz w:val="16"/>
          <w:szCs w:val="16"/>
        </w:rPr>
        <w:softHyphen/>
        <w:t>порт Н.Н. Поликарпова А.И.Шахурину по испытаниям И-185 М-82:</w:t>
      </w:r>
    </w:p>
    <w:p w14:paraId="526AD6C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«Докладываю, что мною получена информация из Новосибирска с за</w:t>
      </w:r>
      <w:r w:rsidRPr="008127F8">
        <w:rPr>
          <w:rFonts w:ascii="Times New Roman" w:hAnsi="Times New Roman"/>
          <w:color w:val="000000" w:themeColor="text1"/>
          <w:sz w:val="16"/>
          <w:szCs w:val="16"/>
        </w:rPr>
        <w:softHyphen/>
        <w:t>вода № 51 от 22 мая 1942 года с нижеследующими данными облета самолета И-185-М-82А. Скорость у земли на номинале Рк=950 мм рт.ст. - 508 км/ч на форсаже Рк=1110 мм рт.ст. - 535 Скорость по высотам: на 1000 м - 524 2000 - 544 3000 - 562 4000 - 552 5000 - 564 5900 - 583 7000 - 571</w:t>
      </w:r>
    </w:p>
    <w:p w14:paraId="67BE903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Отмечена неудовлетворительная работа мотора на 2-й скорости на</w:t>
      </w:r>
      <w:r w:rsidRPr="008127F8">
        <w:rPr>
          <w:rFonts w:ascii="Times New Roman" w:hAnsi="Times New Roman"/>
          <w:color w:val="000000" w:themeColor="text1"/>
          <w:sz w:val="16"/>
          <w:szCs w:val="16"/>
        </w:rPr>
        <w:softHyphen/>
        <w:t>гнетателя, что занизило на 15-17 км/ч скорость на 6000 м.</w:t>
      </w:r>
    </w:p>
    <w:p w14:paraId="14AEAA5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продолжаются» (10686).</w:t>
      </w:r>
    </w:p>
    <w:p w14:paraId="0BC91C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450545" w14:textId="77777777" w:rsidR="007C5583" w:rsidRPr="008127F8" w:rsidRDefault="007C5583" w:rsidP="007C5583">
      <w:pPr>
        <w:pStyle w:val="a4"/>
        <w:rPr>
          <w:color w:val="000000" w:themeColor="text1"/>
          <w:lang w:val="ru-RU"/>
        </w:rPr>
      </w:pPr>
      <w:r w:rsidRPr="008127F8">
        <w:rPr>
          <w:color w:val="000000" w:themeColor="text1"/>
          <w:lang w:val="ru-RU"/>
        </w:rPr>
        <w:t>27 мая 1942 г. был Рапорт Н.Н. Поликарпова Шахурину:</w:t>
      </w:r>
    </w:p>
    <w:p w14:paraId="1BE801E8" w14:textId="77777777" w:rsidR="007C5583" w:rsidRPr="008127F8" w:rsidRDefault="007C5583" w:rsidP="007C5583">
      <w:pPr>
        <w:pStyle w:val="a4"/>
        <w:rPr>
          <w:color w:val="000000" w:themeColor="text1"/>
          <w:lang w:val="ru-RU"/>
        </w:rPr>
      </w:pPr>
      <w:r w:rsidRPr="008127F8">
        <w:rPr>
          <w:color w:val="000000" w:themeColor="text1"/>
          <w:lang w:val="ru-RU"/>
        </w:rPr>
        <w:t>«Докладываю, что мною получена информация из Новосибирска с завода № 51 от 22 мая 1942 г. с нижеследующими данными облёта самолёта И-185-М-82А. Скорость у земли на номинале Р</w:t>
      </w:r>
      <w:r w:rsidRPr="008127F8">
        <w:rPr>
          <w:color w:val="000000" w:themeColor="text1"/>
          <w:vertAlign w:val="subscript"/>
          <w:lang w:val="ru-RU"/>
        </w:rPr>
        <w:t>к</w:t>
      </w:r>
      <w:r w:rsidRPr="008127F8">
        <w:rPr>
          <w:color w:val="000000" w:themeColor="text1"/>
          <w:lang w:val="ru-RU"/>
        </w:rPr>
        <w:t>=950 мм рт.ст.</w:t>
      </w:r>
      <w:r w:rsidRPr="008127F8">
        <w:rPr>
          <w:color w:val="000000" w:themeColor="text1"/>
          <w:lang w:val="ru-RU"/>
        </w:rPr>
        <w:tab/>
        <w:t>— 508 км/ч</w:t>
      </w:r>
    </w:p>
    <w:p w14:paraId="2E9DF2F4" w14:textId="77777777" w:rsidR="007C5583" w:rsidRPr="008127F8" w:rsidRDefault="007C5583" w:rsidP="007C5583">
      <w:pPr>
        <w:pStyle w:val="a4"/>
        <w:tabs>
          <w:tab w:val="left" w:pos="6489"/>
        </w:tabs>
        <w:rPr>
          <w:color w:val="000000" w:themeColor="text1"/>
          <w:lang w:val="ru-RU"/>
        </w:rPr>
      </w:pPr>
      <w:r w:rsidRPr="008127F8">
        <w:rPr>
          <w:color w:val="000000" w:themeColor="text1"/>
          <w:lang w:val="ru-RU"/>
        </w:rPr>
        <w:t>на форсаже Р</w:t>
      </w:r>
      <w:r w:rsidRPr="008127F8">
        <w:rPr>
          <w:color w:val="000000" w:themeColor="text1"/>
          <w:vertAlign w:val="subscript"/>
          <w:lang w:val="ru-RU"/>
        </w:rPr>
        <w:t>к</w:t>
      </w:r>
      <w:r w:rsidRPr="008127F8">
        <w:rPr>
          <w:color w:val="000000" w:themeColor="text1"/>
          <w:lang w:val="ru-RU"/>
        </w:rPr>
        <w:t>=1110 мм рт.ст.</w:t>
      </w:r>
      <w:r w:rsidRPr="008127F8">
        <w:rPr>
          <w:color w:val="000000" w:themeColor="text1"/>
          <w:lang w:val="ru-RU"/>
        </w:rPr>
        <w:tab/>
        <w:t>— 535 км/ч</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210"/>
        <w:gridCol w:w="1205"/>
      </w:tblGrid>
      <w:tr w:rsidR="007C5583" w:rsidRPr="008127F8" w14:paraId="3282351B" w14:textId="77777777" w:rsidTr="004C5D62">
        <w:trPr>
          <w:trHeight w:val="230"/>
        </w:trPr>
        <w:tc>
          <w:tcPr>
            <w:tcW w:w="1210" w:type="dxa"/>
            <w:shd w:val="clear" w:color="auto" w:fill="FFFFFF"/>
          </w:tcPr>
          <w:p w14:paraId="7C7E5407" w14:textId="77777777" w:rsidR="007C5583" w:rsidRPr="008127F8" w:rsidRDefault="007C5583" w:rsidP="004C5D62">
            <w:pPr>
              <w:pStyle w:val="a4"/>
              <w:rPr>
                <w:color w:val="000000" w:themeColor="text1"/>
              </w:rPr>
            </w:pPr>
            <w:r w:rsidRPr="008127F8">
              <w:rPr>
                <w:color w:val="000000" w:themeColor="text1"/>
              </w:rPr>
              <w:t>Скорость по</w:t>
            </w:r>
          </w:p>
        </w:tc>
        <w:tc>
          <w:tcPr>
            <w:tcW w:w="1205" w:type="dxa"/>
            <w:shd w:val="clear" w:color="auto" w:fill="FFFFFF"/>
          </w:tcPr>
          <w:p w14:paraId="156A8522" w14:textId="77777777" w:rsidR="007C5583" w:rsidRPr="008127F8" w:rsidRDefault="007C5583" w:rsidP="004C5D62">
            <w:pPr>
              <w:pStyle w:val="a4"/>
              <w:rPr>
                <w:color w:val="000000" w:themeColor="text1"/>
              </w:rPr>
            </w:pPr>
            <w:r w:rsidRPr="008127F8">
              <w:rPr>
                <w:color w:val="000000" w:themeColor="text1"/>
              </w:rPr>
              <w:t>высотам:</w:t>
            </w:r>
          </w:p>
        </w:tc>
      </w:tr>
      <w:tr w:rsidR="007C5583" w:rsidRPr="008127F8" w14:paraId="588EED70" w14:textId="77777777" w:rsidTr="004C5D62">
        <w:trPr>
          <w:trHeight w:val="211"/>
        </w:trPr>
        <w:tc>
          <w:tcPr>
            <w:tcW w:w="1210" w:type="dxa"/>
            <w:shd w:val="clear" w:color="auto" w:fill="FFFFFF"/>
          </w:tcPr>
          <w:p w14:paraId="483C18C9" w14:textId="77777777" w:rsidR="007C5583" w:rsidRPr="008127F8" w:rsidRDefault="007C5583" w:rsidP="004C5D62">
            <w:pPr>
              <w:pStyle w:val="a4"/>
              <w:rPr>
                <w:color w:val="000000" w:themeColor="text1"/>
              </w:rPr>
            </w:pPr>
            <w:r w:rsidRPr="008127F8">
              <w:rPr>
                <w:color w:val="000000" w:themeColor="text1"/>
              </w:rPr>
              <w:t>на 1000 м</w:t>
            </w:r>
          </w:p>
        </w:tc>
        <w:tc>
          <w:tcPr>
            <w:tcW w:w="1205" w:type="dxa"/>
            <w:shd w:val="clear" w:color="auto" w:fill="FFFFFF"/>
          </w:tcPr>
          <w:p w14:paraId="448FB7E7" w14:textId="77777777" w:rsidR="007C5583" w:rsidRPr="008127F8" w:rsidRDefault="007C5583" w:rsidP="004C5D62">
            <w:pPr>
              <w:pStyle w:val="a4"/>
              <w:rPr>
                <w:color w:val="000000" w:themeColor="text1"/>
              </w:rPr>
            </w:pPr>
            <w:r w:rsidRPr="008127F8">
              <w:rPr>
                <w:color w:val="000000" w:themeColor="text1"/>
              </w:rPr>
              <w:t>— 524</w:t>
            </w:r>
          </w:p>
        </w:tc>
      </w:tr>
      <w:tr w:rsidR="007C5583" w:rsidRPr="008127F8" w14:paraId="025B4B26" w14:textId="77777777" w:rsidTr="004C5D62">
        <w:trPr>
          <w:trHeight w:val="216"/>
        </w:trPr>
        <w:tc>
          <w:tcPr>
            <w:tcW w:w="1210" w:type="dxa"/>
            <w:shd w:val="clear" w:color="auto" w:fill="FFFFFF"/>
          </w:tcPr>
          <w:p w14:paraId="7E37B754" w14:textId="77777777" w:rsidR="007C5583" w:rsidRPr="008127F8" w:rsidRDefault="007C5583" w:rsidP="004C5D62">
            <w:pPr>
              <w:pStyle w:val="a4"/>
              <w:rPr>
                <w:color w:val="000000" w:themeColor="text1"/>
              </w:rPr>
            </w:pPr>
            <w:r w:rsidRPr="008127F8">
              <w:rPr>
                <w:color w:val="000000" w:themeColor="text1"/>
              </w:rPr>
              <w:t>2000</w:t>
            </w:r>
          </w:p>
        </w:tc>
        <w:tc>
          <w:tcPr>
            <w:tcW w:w="1205" w:type="dxa"/>
            <w:shd w:val="clear" w:color="auto" w:fill="FFFFFF"/>
          </w:tcPr>
          <w:p w14:paraId="3A8102F5" w14:textId="77777777" w:rsidR="007C5583" w:rsidRPr="008127F8" w:rsidRDefault="007C5583" w:rsidP="004C5D62">
            <w:pPr>
              <w:pStyle w:val="a4"/>
              <w:rPr>
                <w:color w:val="000000" w:themeColor="text1"/>
              </w:rPr>
            </w:pPr>
            <w:r w:rsidRPr="008127F8">
              <w:rPr>
                <w:color w:val="000000" w:themeColor="text1"/>
              </w:rPr>
              <w:t>— 544</w:t>
            </w:r>
          </w:p>
        </w:tc>
      </w:tr>
      <w:tr w:rsidR="007C5583" w:rsidRPr="008127F8" w14:paraId="11A7C9A0" w14:textId="77777777" w:rsidTr="004C5D62">
        <w:trPr>
          <w:trHeight w:val="221"/>
        </w:trPr>
        <w:tc>
          <w:tcPr>
            <w:tcW w:w="1210" w:type="dxa"/>
            <w:shd w:val="clear" w:color="auto" w:fill="FFFFFF"/>
          </w:tcPr>
          <w:p w14:paraId="035E91A1" w14:textId="77777777" w:rsidR="007C5583" w:rsidRPr="008127F8" w:rsidRDefault="007C5583" w:rsidP="004C5D62">
            <w:pPr>
              <w:pStyle w:val="a4"/>
              <w:rPr>
                <w:color w:val="000000" w:themeColor="text1"/>
              </w:rPr>
            </w:pPr>
            <w:r w:rsidRPr="008127F8">
              <w:rPr>
                <w:color w:val="000000" w:themeColor="text1"/>
              </w:rPr>
              <w:t>3000</w:t>
            </w:r>
          </w:p>
        </w:tc>
        <w:tc>
          <w:tcPr>
            <w:tcW w:w="1205" w:type="dxa"/>
            <w:shd w:val="clear" w:color="auto" w:fill="FFFFFF"/>
          </w:tcPr>
          <w:p w14:paraId="5E057008" w14:textId="77777777" w:rsidR="007C5583" w:rsidRPr="008127F8" w:rsidRDefault="007C5583" w:rsidP="004C5D62">
            <w:pPr>
              <w:pStyle w:val="a4"/>
              <w:rPr>
                <w:color w:val="000000" w:themeColor="text1"/>
              </w:rPr>
            </w:pPr>
            <w:r w:rsidRPr="008127F8">
              <w:rPr>
                <w:color w:val="000000" w:themeColor="text1"/>
              </w:rPr>
              <w:t>— 562</w:t>
            </w:r>
          </w:p>
        </w:tc>
      </w:tr>
      <w:tr w:rsidR="007C5583" w:rsidRPr="008127F8" w14:paraId="7CD8148B" w14:textId="77777777" w:rsidTr="004C5D62">
        <w:trPr>
          <w:trHeight w:val="226"/>
        </w:trPr>
        <w:tc>
          <w:tcPr>
            <w:tcW w:w="1210" w:type="dxa"/>
            <w:shd w:val="clear" w:color="auto" w:fill="FFFFFF"/>
          </w:tcPr>
          <w:p w14:paraId="6CEECACD" w14:textId="77777777" w:rsidR="007C5583" w:rsidRPr="008127F8" w:rsidRDefault="007C5583" w:rsidP="004C5D62">
            <w:pPr>
              <w:pStyle w:val="a4"/>
              <w:rPr>
                <w:color w:val="000000" w:themeColor="text1"/>
              </w:rPr>
            </w:pPr>
            <w:r w:rsidRPr="008127F8">
              <w:rPr>
                <w:color w:val="000000" w:themeColor="text1"/>
              </w:rPr>
              <w:t>4000</w:t>
            </w:r>
          </w:p>
        </w:tc>
        <w:tc>
          <w:tcPr>
            <w:tcW w:w="1205" w:type="dxa"/>
            <w:shd w:val="clear" w:color="auto" w:fill="FFFFFF"/>
          </w:tcPr>
          <w:p w14:paraId="1FE705D9" w14:textId="77777777" w:rsidR="007C5583" w:rsidRPr="008127F8" w:rsidRDefault="007C5583" w:rsidP="004C5D62">
            <w:pPr>
              <w:pStyle w:val="a4"/>
              <w:rPr>
                <w:color w:val="000000" w:themeColor="text1"/>
              </w:rPr>
            </w:pPr>
            <w:r w:rsidRPr="008127F8">
              <w:rPr>
                <w:color w:val="000000" w:themeColor="text1"/>
              </w:rPr>
              <w:t>— 552</w:t>
            </w:r>
          </w:p>
        </w:tc>
      </w:tr>
      <w:tr w:rsidR="007C5583" w:rsidRPr="008127F8" w14:paraId="5C7F208F" w14:textId="77777777" w:rsidTr="004C5D62">
        <w:trPr>
          <w:trHeight w:val="221"/>
        </w:trPr>
        <w:tc>
          <w:tcPr>
            <w:tcW w:w="1210" w:type="dxa"/>
            <w:shd w:val="clear" w:color="auto" w:fill="FFFFFF"/>
          </w:tcPr>
          <w:p w14:paraId="089919FA" w14:textId="77777777" w:rsidR="007C5583" w:rsidRPr="008127F8" w:rsidRDefault="007C5583" w:rsidP="004C5D62">
            <w:pPr>
              <w:pStyle w:val="a4"/>
              <w:rPr>
                <w:color w:val="000000" w:themeColor="text1"/>
              </w:rPr>
            </w:pPr>
            <w:r w:rsidRPr="008127F8">
              <w:rPr>
                <w:color w:val="000000" w:themeColor="text1"/>
              </w:rPr>
              <w:t>5000</w:t>
            </w:r>
          </w:p>
        </w:tc>
        <w:tc>
          <w:tcPr>
            <w:tcW w:w="1205" w:type="dxa"/>
            <w:shd w:val="clear" w:color="auto" w:fill="FFFFFF"/>
          </w:tcPr>
          <w:p w14:paraId="74863A7F" w14:textId="77777777" w:rsidR="007C5583" w:rsidRPr="008127F8" w:rsidRDefault="007C5583" w:rsidP="004C5D62">
            <w:pPr>
              <w:pStyle w:val="a4"/>
              <w:rPr>
                <w:color w:val="000000" w:themeColor="text1"/>
              </w:rPr>
            </w:pPr>
            <w:r w:rsidRPr="008127F8">
              <w:rPr>
                <w:color w:val="000000" w:themeColor="text1"/>
              </w:rPr>
              <w:t>- 564</w:t>
            </w:r>
          </w:p>
        </w:tc>
      </w:tr>
      <w:tr w:rsidR="007C5583" w:rsidRPr="008127F8" w14:paraId="293C8BE9" w14:textId="77777777" w:rsidTr="004C5D62">
        <w:trPr>
          <w:trHeight w:val="216"/>
        </w:trPr>
        <w:tc>
          <w:tcPr>
            <w:tcW w:w="1210" w:type="dxa"/>
            <w:shd w:val="clear" w:color="auto" w:fill="FFFFFF"/>
          </w:tcPr>
          <w:p w14:paraId="1410E2B2" w14:textId="77777777" w:rsidR="007C5583" w:rsidRPr="008127F8" w:rsidRDefault="007C5583" w:rsidP="004C5D62">
            <w:pPr>
              <w:pStyle w:val="a4"/>
              <w:rPr>
                <w:color w:val="000000" w:themeColor="text1"/>
              </w:rPr>
            </w:pPr>
            <w:r w:rsidRPr="008127F8">
              <w:rPr>
                <w:color w:val="000000" w:themeColor="text1"/>
              </w:rPr>
              <w:t>5900</w:t>
            </w:r>
          </w:p>
        </w:tc>
        <w:tc>
          <w:tcPr>
            <w:tcW w:w="1205" w:type="dxa"/>
            <w:shd w:val="clear" w:color="auto" w:fill="FFFFFF"/>
          </w:tcPr>
          <w:p w14:paraId="66D58AD9" w14:textId="77777777" w:rsidR="007C5583" w:rsidRPr="008127F8" w:rsidRDefault="007C5583" w:rsidP="004C5D62">
            <w:pPr>
              <w:pStyle w:val="a4"/>
              <w:rPr>
                <w:color w:val="000000" w:themeColor="text1"/>
              </w:rPr>
            </w:pPr>
            <w:r w:rsidRPr="008127F8">
              <w:rPr>
                <w:color w:val="000000" w:themeColor="text1"/>
              </w:rPr>
              <w:t>- 583</w:t>
            </w:r>
          </w:p>
        </w:tc>
      </w:tr>
      <w:tr w:rsidR="007C5583" w:rsidRPr="008127F8" w14:paraId="755D1D5F" w14:textId="77777777" w:rsidTr="004C5D62">
        <w:trPr>
          <w:trHeight w:val="221"/>
        </w:trPr>
        <w:tc>
          <w:tcPr>
            <w:tcW w:w="1210" w:type="dxa"/>
            <w:shd w:val="clear" w:color="auto" w:fill="FFFFFF"/>
          </w:tcPr>
          <w:p w14:paraId="12D044C3" w14:textId="77777777" w:rsidR="007C5583" w:rsidRPr="008127F8" w:rsidRDefault="007C5583" w:rsidP="004C5D62">
            <w:pPr>
              <w:pStyle w:val="a4"/>
              <w:rPr>
                <w:color w:val="000000" w:themeColor="text1"/>
              </w:rPr>
            </w:pPr>
            <w:r w:rsidRPr="008127F8">
              <w:rPr>
                <w:color w:val="000000" w:themeColor="text1"/>
              </w:rPr>
              <w:t>7000</w:t>
            </w:r>
          </w:p>
        </w:tc>
        <w:tc>
          <w:tcPr>
            <w:tcW w:w="1205" w:type="dxa"/>
            <w:shd w:val="clear" w:color="auto" w:fill="FFFFFF"/>
          </w:tcPr>
          <w:p w14:paraId="5AEA9B85" w14:textId="77777777" w:rsidR="007C5583" w:rsidRPr="008127F8" w:rsidRDefault="007C5583" w:rsidP="004C5D62">
            <w:pPr>
              <w:pStyle w:val="a4"/>
              <w:rPr>
                <w:color w:val="000000" w:themeColor="text1"/>
              </w:rPr>
            </w:pPr>
            <w:r w:rsidRPr="008127F8">
              <w:rPr>
                <w:color w:val="000000" w:themeColor="text1"/>
              </w:rPr>
              <w:t>— 571</w:t>
            </w:r>
          </w:p>
        </w:tc>
      </w:tr>
    </w:tbl>
    <w:p w14:paraId="103CC079" w14:textId="77777777" w:rsidR="007C5583" w:rsidRPr="008127F8" w:rsidRDefault="007C5583" w:rsidP="007C5583">
      <w:pPr>
        <w:pStyle w:val="a4"/>
        <w:tabs>
          <w:tab w:val="left" w:pos="6489"/>
        </w:tabs>
        <w:rPr>
          <w:color w:val="000000" w:themeColor="text1"/>
          <w:lang w:val="ru-RU"/>
        </w:rPr>
      </w:pPr>
      <w:r w:rsidRPr="008127F8">
        <w:rPr>
          <w:color w:val="000000" w:themeColor="text1"/>
          <w:lang w:val="ru-RU"/>
        </w:rPr>
        <w:t>Отмечена неудовлетвори тельная работа мотора на 2-й скорости нагнетателя, что занизило на 15-17 км/ч скорость на 6000 м.</w:t>
      </w:r>
    </w:p>
    <w:p w14:paraId="05B09849" w14:textId="77777777" w:rsidR="007C5583" w:rsidRPr="008127F8" w:rsidRDefault="007C5583" w:rsidP="007C5583">
      <w:pPr>
        <w:pStyle w:val="a4"/>
        <w:tabs>
          <w:tab w:val="left" w:pos="6489"/>
        </w:tabs>
        <w:rPr>
          <w:color w:val="000000" w:themeColor="text1"/>
          <w:lang w:val="ru-RU"/>
        </w:rPr>
      </w:pPr>
      <w:r w:rsidRPr="008127F8">
        <w:rPr>
          <w:color w:val="000000" w:themeColor="text1"/>
          <w:lang w:val="ru-RU"/>
        </w:rPr>
        <w:t>Испытания продолжаются (15788).</w:t>
      </w:r>
    </w:p>
    <w:p w14:paraId="62CED014" w14:textId="77777777" w:rsidR="007C5583" w:rsidRPr="008127F8" w:rsidRDefault="007C5583" w:rsidP="007C5583">
      <w:pPr>
        <w:pStyle w:val="911"/>
        <w:shd w:val="clear" w:color="auto" w:fill="auto"/>
        <w:spacing w:after="0" w:line="240" w:lineRule="auto"/>
        <w:jc w:val="both"/>
        <w:rPr>
          <w:rFonts w:ascii="Times New Roman" w:hAnsi="Times New Roman" w:cs="Times New Roman"/>
          <w:i w:val="0"/>
          <w:color w:val="000000" w:themeColor="text1"/>
          <w:sz w:val="16"/>
          <w:szCs w:val="16"/>
        </w:rPr>
      </w:pPr>
    </w:p>
    <w:p w14:paraId="04361989" w14:textId="77777777" w:rsidR="00DE66A6" w:rsidRPr="008A2E5A" w:rsidRDefault="00DE66A6" w:rsidP="00DE66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мая 1942</w:t>
      </w:r>
    </w:p>
    <w:p w14:paraId="2A7E6214" w14:textId="77777777" w:rsidR="00DE66A6" w:rsidRPr="008A2E5A" w:rsidRDefault="00DE66A6" w:rsidP="00DE66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Донесение наркома авиационной промышленности СССР А. И. Шахурина председателю ГКО СССР И. В. Сталину о сдаче моторов и самолетов за 26 мая 1942 г.</w:t>
      </w:r>
    </w:p>
    <w:p w14:paraId="4D8573C7" w14:textId="77777777" w:rsidR="00DE66A6" w:rsidRPr="008A2E5A" w:rsidRDefault="00DE66A6" w:rsidP="00DE66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мая 1942 г.</w:t>
      </w:r>
    </w:p>
    <w:p w14:paraId="13B78352" w14:textId="77777777" w:rsidR="00DE66A6" w:rsidRPr="008A2E5A" w:rsidRDefault="00DE66A6" w:rsidP="00DE66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tbl>
      <w:tblPr>
        <w:tblStyle w:val="afffff5"/>
        <w:tblW w:w="0" w:type="auto"/>
        <w:tblLook w:val="04A0" w:firstRow="1" w:lastRow="0" w:firstColumn="1" w:lastColumn="0" w:noHBand="0" w:noVBand="1"/>
      </w:tblPr>
      <w:tblGrid>
        <w:gridCol w:w="3560"/>
        <w:gridCol w:w="3561"/>
        <w:gridCol w:w="3561"/>
      </w:tblGrid>
      <w:tr w:rsidR="00DE66A6" w:rsidRPr="008A2E5A" w14:paraId="4561CA29" w14:textId="77777777" w:rsidTr="004C5D62">
        <w:tc>
          <w:tcPr>
            <w:tcW w:w="3560" w:type="dxa"/>
          </w:tcPr>
          <w:p w14:paraId="02359518" w14:textId="77777777" w:rsidR="00DE66A6" w:rsidRPr="008A2E5A" w:rsidRDefault="00DE66A6" w:rsidP="004C5D62">
            <w:pPr>
              <w:spacing w:after="0" w:line="240" w:lineRule="auto"/>
              <w:jc w:val="both"/>
              <w:rPr>
                <w:color w:val="0070C0"/>
                <w:sz w:val="16"/>
                <w:szCs w:val="16"/>
              </w:rPr>
            </w:pPr>
            <w:r w:rsidRPr="008A2E5A">
              <w:rPr>
                <w:color w:val="0070C0"/>
                <w:sz w:val="16"/>
                <w:szCs w:val="16"/>
              </w:rPr>
              <w:t>№ заводов</w:t>
            </w:r>
          </w:p>
        </w:tc>
        <w:tc>
          <w:tcPr>
            <w:tcW w:w="3561" w:type="dxa"/>
          </w:tcPr>
          <w:p w14:paraId="5CA564F3" w14:textId="77777777" w:rsidR="00DE66A6" w:rsidRPr="008A2E5A" w:rsidRDefault="00DE66A6" w:rsidP="004C5D62">
            <w:pPr>
              <w:spacing w:after="0" w:line="240" w:lineRule="auto"/>
              <w:jc w:val="both"/>
              <w:rPr>
                <w:color w:val="0070C0"/>
                <w:sz w:val="16"/>
                <w:szCs w:val="16"/>
              </w:rPr>
            </w:pPr>
            <w:r w:rsidRPr="008A2E5A">
              <w:rPr>
                <w:color w:val="0070C0"/>
                <w:sz w:val="16"/>
                <w:szCs w:val="16"/>
              </w:rPr>
              <w:t>Тип моторов и самолетов</w:t>
            </w:r>
          </w:p>
        </w:tc>
        <w:tc>
          <w:tcPr>
            <w:tcW w:w="3561" w:type="dxa"/>
          </w:tcPr>
          <w:p w14:paraId="501EB710" w14:textId="77777777" w:rsidR="00DE66A6" w:rsidRPr="008A2E5A" w:rsidRDefault="00DE66A6" w:rsidP="004C5D62">
            <w:pPr>
              <w:spacing w:after="0" w:line="240" w:lineRule="auto"/>
              <w:jc w:val="both"/>
              <w:rPr>
                <w:color w:val="0070C0"/>
                <w:sz w:val="16"/>
                <w:szCs w:val="16"/>
              </w:rPr>
            </w:pPr>
            <w:r w:rsidRPr="008A2E5A">
              <w:rPr>
                <w:color w:val="0070C0"/>
                <w:sz w:val="16"/>
                <w:szCs w:val="16"/>
              </w:rPr>
              <w:t>Количество, принятое военпредом</w:t>
            </w:r>
          </w:p>
        </w:tc>
      </w:tr>
      <w:tr w:rsidR="00DE66A6" w:rsidRPr="008A2E5A" w14:paraId="43A5076B" w14:textId="77777777" w:rsidTr="004C5D62">
        <w:tc>
          <w:tcPr>
            <w:tcW w:w="3560" w:type="dxa"/>
          </w:tcPr>
          <w:p w14:paraId="53956F92" w14:textId="77777777" w:rsidR="00DE66A6" w:rsidRPr="008A2E5A" w:rsidRDefault="00DE66A6" w:rsidP="004C5D62">
            <w:pPr>
              <w:spacing w:after="0" w:line="240" w:lineRule="auto"/>
              <w:jc w:val="both"/>
              <w:rPr>
                <w:color w:val="0070C0"/>
                <w:sz w:val="16"/>
                <w:szCs w:val="16"/>
              </w:rPr>
            </w:pPr>
          </w:p>
        </w:tc>
        <w:tc>
          <w:tcPr>
            <w:tcW w:w="3561" w:type="dxa"/>
          </w:tcPr>
          <w:p w14:paraId="26E6045D" w14:textId="77777777" w:rsidR="00DE66A6" w:rsidRPr="008A2E5A" w:rsidRDefault="00DE66A6" w:rsidP="004C5D62">
            <w:pPr>
              <w:spacing w:after="0" w:line="240" w:lineRule="auto"/>
              <w:jc w:val="both"/>
              <w:rPr>
                <w:color w:val="0070C0"/>
                <w:sz w:val="16"/>
                <w:szCs w:val="16"/>
              </w:rPr>
            </w:pPr>
            <w:r w:rsidRPr="008A2E5A">
              <w:rPr>
                <w:color w:val="0070C0"/>
                <w:sz w:val="16"/>
                <w:szCs w:val="16"/>
              </w:rPr>
              <w:t>I. Моторы</w:t>
            </w:r>
          </w:p>
        </w:tc>
        <w:tc>
          <w:tcPr>
            <w:tcW w:w="3561" w:type="dxa"/>
          </w:tcPr>
          <w:p w14:paraId="614232D5" w14:textId="77777777" w:rsidR="00DE66A6" w:rsidRPr="008A2E5A" w:rsidRDefault="00DE66A6" w:rsidP="004C5D62">
            <w:pPr>
              <w:spacing w:after="0" w:line="240" w:lineRule="auto"/>
              <w:jc w:val="both"/>
              <w:rPr>
                <w:color w:val="0070C0"/>
                <w:sz w:val="16"/>
                <w:szCs w:val="16"/>
              </w:rPr>
            </w:pPr>
          </w:p>
        </w:tc>
      </w:tr>
      <w:tr w:rsidR="00DE66A6" w:rsidRPr="008A2E5A" w14:paraId="562ADFAD" w14:textId="77777777" w:rsidTr="004C5D62">
        <w:tc>
          <w:tcPr>
            <w:tcW w:w="3560" w:type="dxa"/>
          </w:tcPr>
          <w:p w14:paraId="2D1A7F3F" w14:textId="77777777" w:rsidR="00DE66A6" w:rsidRPr="008A2E5A" w:rsidRDefault="00DE66A6" w:rsidP="004C5D62">
            <w:pPr>
              <w:spacing w:after="0" w:line="240" w:lineRule="auto"/>
              <w:jc w:val="both"/>
              <w:rPr>
                <w:color w:val="0070C0"/>
                <w:sz w:val="16"/>
                <w:szCs w:val="16"/>
              </w:rPr>
            </w:pPr>
            <w:r w:rsidRPr="008A2E5A">
              <w:rPr>
                <w:color w:val="0070C0"/>
                <w:sz w:val="16"/>
                <w:szCs w:val="16"/>
              </w:rPr>
              <w:t>16</w:t>
            </w:r>
          </w:p>
        </w:tc>
        <w:tc>
          <w:tcPr>
            <w:tcW w:w="3561" w:type="dxa"/>
          </w:tcPr>
          <w:p w14:paraId="6C905286" w14:textId="77777777" w:rsidR="00DE66A6" w:rsidRPr="008A2E5A" w:rsidRDefault="00DE66A6" w:rsidP="004C5D62">
            <w:pPr>
              <w:spacing w:after="0" w:line="240" w:lineRule="auto"/>
              <w:jc w:val="both"/>
              <w:rPr>
                <w:color w:val="0070C0"/>
                <w:sz w:val="16"/>
                <w:szCs w:val="16"/>
              </w:rPr>
            </w:pPr>
            <w:r w:rsidRPr="008A2E5A">
              <w:rPr>
                <w:color w:val="0070C0"/>
                <w:sz w:val="16"/>
                <w:szCs w:val="16"/>
              </w:rPr>
              <w:t>М-105Р</w:t>
            </w:r>
          </w:p>
        </w:tc>
        <w:tc>
          <w:tcPr>
            <w:tcW w:w="3561" w:type="dxa"/>
          </w:tcPr>
          <w:p w14:paraId="77BAD92F" w14:textId="77777777" w:rsidR="00DE66A6" w:rsidRPr="008A2E5A" w:rsidRDefault="00DE66A6" w:rsidP="004C5D62">
            <w:pPr>
              <w:spacing w:after="0" w:line="240" w:lineRule="auto"/>
              <w:jc w:val="both"/>
              <w:rPr>
                <w:color w:val="0070C0"/>
                <w:sz w:val="16"/>
                <w:szCs w:val="16"/>
              </w:rPr>
            </w:pPr>
            <w:r w:rsidRPr="008A2E5A">
              <w:rPr>
                <w:color w:val="0070C0"/>
                <w:sz w:val="16"/>
                <w:szCs w:val="16"/>
              </w:rPr>
              <w:t>8</w:t>
            </w:r>
          </w:p>
        </w:tc>
      </w:tr>
      <w:tr w:rsidR="00DE66A6" w:rsidRPr="008A2E5A" w14:paraId="5C378EFD" w14:textId="77777777" w:rsidTr="004C5D62">
        <w:tc>
          <w:tcPr>
            <w:tcW w:w="3560" w:type="dxa"/>
          </w:tcPr>
          <w:p w14:paraId="45D3D693" w14:textId="77777777" w:rsidR="00DE66A6" w:rsidRPr="008A2E5A" w:rsidRDefault="00DE66A6" w:rsidP="004C5D62">
            <w:pPr>
              <w:spacing w:after="0" w:line="240" w:lineRule="auto"/>
              <w:jc w:val="both"/>
              <w:rPr>
                <w:color w:val="0070C0"/>
                <w:sz w:val="16"/>
                <w:szCs w:val="16"/>
              </w:rPr>
            </w:pPr>
            <w:r w:rsidRPr="008A2E5A">
              <w:rPr>
                <w:color w:val="0070C0"/>
                <w:sz w:val="16"/>
                <w:szCs w:val="16"/>
              </w:rPr>
              <w:t>19</w:t>
            </w:r>
          </w:p>
        </w:tc>
        <w:tc>
          <w:tcPr>
            <w:tcW w:w="3561" w:type="dxa"/>
          </w:tcPr>
          <w:p w14:paraId="6ADBA05D" w14:textId="77777777" w:rsidR="00DE66A6" w:rsidRPr="008A2E5A" w:rsidRDefault="00DE66A6" w:rsidP="004C5D62">
            <w:pPr>
              <w:spacing w:after="0" w:line="240" w:lineRule="auto"/>
              <w:jc w:val="both"/>
              <w:rPr>
                <w:color w:val="0070C0"/>
                <w:sz w:val="16"/>
                <w:szCs w:val="16"/>
              </w:rPr>
            </w:pPr>
            <w:r w:rsidRPr="008A2E5A">
              <w:rPr>
                <w:color w:val="0070C0"/>
                <w:sz w:val="16"/>
                <w:szCs w:val="16"/>
              </w:rPr>
              <w:t>М-82</w:t>
            </w:r>
          </w:p>
        </w:tc>
        <w:tc>
          <w:tcPr>
            <w:tcW w:w="3561" w:type="dxa"/>
          </w:tcPr>
          <w:p w14:paraId="06A3FD42" w14:textId="77777777" w:rsidR="00DE66A6" w:rsidRPr="008A2E5A" w:rsidRDefault="00DE66A6" w:rsidP="004C5D62">
            <w:pPr>
              <w:spacing w:after="0" w:line="240" w:lineRule="auto"/>
              <w:jc w:val="both"/>
              <w:rPr>
                <w:color w:val="0070C0"/>
                <w:sz w:val="16"/>
                <w:szCs w:val="16"/>
              </w:rPr>
            </w:pPr>
            <w:r w:rsidRPr="008A2E5A">
              <w:rPr>
                <w:color w:val="0070C0"/>
                <w:sz w:val="16"/>
                <w:szCs w:val="16"/>
              </w:rPr>
              <w:t>9</w:t>
            </w:r>
          </w:p>
        </w:tc>
      </w:tr>
      <w:tr w:rsidR="00DE66A6" w:rsidRPr="008A2E5A" w14:paraId="6CB60EFC" w14:textId="77777777" w:rsidTr="004C5D62">
        <w:tc>
          <w:tcPr>
            <w:tcW w:w="3560" w:type="dxa"/>
          </w:tcPr>
          <w:p w14:paraId="5A755AB9" w14:textId="77777777" w:rsidR="00DE66A6" w:rsidRPr="008A2E5A" w:rsidRDefault="00DE66A6" w:rsidP="004C5D62">
            <w:pPr>
              <w:spacing w:after="0" w:line="240" w:lineRule="auto"/>
              <w:jc w:val="both"/>
              <w:rPr>
                <w:color w:val="0070C0"/>
                <w:sz w:val="16"/>
                <w:szCs w:val="16"/>
              </w:rPr>
            </w:pPr>
            <w:r w:rsidRPr="008A2E5A">
              <w:rPr>
                <w:color w:val="0070C0"/>
                <w:sz w:val="16"/>
                <w:szCs w:val="16"/>
              </w:rPr>
              <w:t>19</w:t>
            </w:r>
          </w:p>
        </w:tc>
        <w:tc>
          <w:tcPr>
            <w:tcW w:w="3561" w:type="dxa"/>
          </w:tcPr>
          <w:p w14:paraId="63264ABD" w14:textId="77777777" w:rsidR="00DE66A6" w:rsidRPr="008A2E5A" w:rsidRDefault="00DE66A6" w:rsidP="004C5D62">
            <w:pPr>
              <w:spacing w:after="0" w:line="240" w:lineRule="auto"/>
              <w:jc w:val="both"/>
              <w:rPr>
                <w:color w:val="0070C0"/>
                <w:sz w:val="16"/>
                <w:szCs w:val="16"/>
              </w:rPr>
            </w:pPr>
            <w:r w:rsidRPr="008A2E5A">
              <w:rPr>
                <w:color w:val="0070C0"/>
                <w:sz w:val="16"/>
                <w:szCs w:val="16"/>
              </w:rPr>
              <w:t>М-62ИР</w:t>
            </w:r>
          </w:p>
        </w:tc>
        <w:tc>
          <w:tcPr>
            <w:tcW w:w="3561" w:type="dxa"/>
          </w:tcPr>
          <w:p w14:paraId="4F0E2534" w14:textId="77777777" w:rsidR="00DE66A6" w:rsidRPr="008A2E5A" w:rsidRDefault="00DE66A6" w:rsidP="004C5D62">
            <w:pPr>
              <w:spacing w:after="0" w:line="240" w:lineRule="auto"/>
              <w:jc w:val="both"/>
              <w:rPr>
                <w:color w:val="0070C0"/>
                <w:sz w:val="16"/>
                <w:szCs w:val="16"/>
              </w:rPr>
            </w:pPr>
            <w:r w:rsidRPr="008A2E5A">
              <w:rPr>
                <w:color w:val="0070C0"/>
                <w:sz w:val="16"/>
                <w:szCs w:val="16"/>
              </w:rPr>
              <w:t>9</w:t>
            </w:r>
          </w:p>
        </w:tc>
      </w:tr>
      <w:tr w:rsidR="00DE66A6" w:rsidRPr="008A2E5A" w14:paraId="6C0E9227" w14:textId="77777777" w:rsidTr="004C5D62">
        <w:tc>
          <w:tcPr>
            <w:tcW w:w="3560" w:type="dxa"/>
          </w:tcPr>
          <w:p w14:paraId="1F69C43F" w14:textId="77777777" w:rsidR="00DE66A6" w:rsidRPr="008A2E5A" w:rsidRDefault="00DE66A6" w:rsidP="004C5D62">
            <w:pPr>
              <w:spacing w:after="0" w:line="240" w:lineRule="auto"/>
              <w:jc w:val="both"/>
              <w:rPr>
                <w:color w:val="0070C0"/>
                <w:sz w:val="16"/>
                <w:szCs w:val="16"/>
              </w:rPr>
            </w:pPr>
            <w:r w:rsidRPr="008A2E5A">
              <w:rPr>
                <w:color w:val="0070C0"/>
                <w:sz w:val="16"/>
                <w:szCs w:val="16"/>
              </w:rPr>
              <w:t>24</w:t>
            </w:r>
          </w:p>
        </w:tc>
        <w:tc>
          <w:tcPr>
            <w:tcW w:w="3561" w:type="dxa"/>
          </w:tcPr>
          <w:p w14:paraId="379A718A" w14:textId="77777777" w:rsidR="00DE66A6" w:rsidRPr="008A2E5A" w:rsidRDefault="00DE66A6" w:rsidP="004C5D62">
            <w:pPr>
              <w:spacing w:after="0" w:line="240" w:lineRule="auto"/>
              <w:jc w:val="both"/>
              <w:rPr>
                <w:color w:val="0070C0"/>
                <w:sz w:val="16"/>
                <w:szCs w:val="16"/>
              </w:rPr>
            </w:pPr>
            <w:r w:rsidRPr="008A2E5A">
              <w:rPr>
                <w:color w:val="0070C0"/>
                <w:sz w:val="16"/>
                <w:szCs w:val="16"/>
              </w:rPr>
              <w:t>АМ-38</w:t>
            </w:r>
          </w:p>
        </w:tc>
        <w:tc>
          <w:tcPr>
            <w:tcW w:w="3561" w:type="dxa"/>
          </w:tcPr>
          <w:p w14:paraId="3B028E01" w14:textId="77777777" w:rsidR="00DE66A6" w:rsidRPr="008A2E5A" w:rsidRDefault="00DE66A6" w:rsidP="004C5D62">
            <w:pPr>
              <w:spacing w:after="0" w:line="240" w:lineRule="auto"/>
              <w:jc w:val="both"/>
              <w:rPr>
                <w:color w:val="0070C0"/>
                <w:sz w:val="16"/>
                <w:szCs w:val="16"/>
              </w:rPr>
            </w:pPr>
            <w:r w:rsidRPr="008A2E5A">
              <w:rPr>
                <w:color w:val="0070C0"/>
                <w:sz w:val="16"/>
                <w:szCs w:val="16"/>
              </w:rPr>
              <w:t>251*</w:t>
            </w:r>
          </w:p>
        </w:tc>
      </w:tr>
      <w:tr w:rsidR="00DE66A6" w:rsidRPr="008A2E5A" w14:paraId="113E6D3A" w14:textId="77777777" w:rsidTr="004C5D62">
        <w:tc>
          <w:tcPr>
            <w:tcW w:w="3560" w:type="dxa"/>
          </w:tcPr>
          <w:p w14:paraId="0609E18D" w14:textId="77777777" w:rsidR="00DE66A6" w:rsidRPr="008A2E5A" w:rsidRDefault="00DE66A6" w:rsidP="004C5D62">
            <w:pPr>
              <w:spacing w:after="0" w:line="240" w:lineRule="auto"/>
              <w:jc w:val="both"/>
              <w:rPr>
                <w:color w:val="0070C0"/>
                <w:sz w:val="16"/>
                <w:szCs w:val="16"/>
              </w:rPr>
            </w:pPr>
            <w:r w:rsidRPr="008A2E5A">
              <w:rPr>
                <w:color w:val="0070C0"/>
                <w:sz w:val="16"/>
                <w:szCs w:val="16"/>
              </w:rPr>
              <w:t>24</w:t>
            </w:r>
          </w:p>
        </w:tc>
        <w:tc>
          <w:tcPr>
            <w:tcW w:w="3561" w:type="dxa"/>
          </w:tcPr>
          <w:p w14:paraId="441E899B" w14:textId="77777777" w:rsidR="00DE66A6" w:rsidRPr="008A2E5A" w:rsidRDefault="00DE66A6" w:rsidP="004C5D62">
            <w:pPr>
              <w:spacing w:after="0" w:line="240" w:lineRule="auto"/>
              <w:jc w:val="both"/>
              <w:rPr>
                <w:color w:val="0070C0"/>
                <w:sz w:val="16"/>
                <w:szCs w:val="16"/>
              </w:rPr>
            </w:pPr>
            <w:r w:rsidRPr="008A2E5A">
              <w:rPr>
                <w:color w:val="0070C0"/>
                <w:sz w:val="16"/>
                <w:szCs w:val="16"/>
              </w:rPr>
              <w:t>АМ-35А</w:t>
            </w:r>
          </w:p>
        </w:tc>
        <w:tc>
          <w:tcPr>
            <w:tcW w:w="3561" w:type="dxa"/>
          </w:tcPr>
          <w:p w14:paraId="6291DFAA" w14:textId="77777777" w:rsidR="00DE66A6" w:rsidRPr="008A2E5A" w:rsidRDefault="00DE66A6" w:rsidP="004C5D62">
            <w:pPr>
              <w:spacing w:after="0" w:line="240" w:lineRule="auto"/>
              <w:jc w:val="both"/>
              <w:rPr>
                <w:color w:val="0070C0"/>
                <w:sz w:val="16"/>
                <w:szCs w:val="16"/>
              </w:rPr>
            </w:pPr>
            <w:r w:rsidRPr="008A2E5A">
              <w:rPr>
                <w:color w:val="0070C0"/>
                <w:sz w:val="16"/>
                <w:szCs w:val="16"/>
              </w:rPr>
              <w:t>2</w:t>
            </w:r>
          </w:p>
        </w:tc>
      </w:tr>
      <w:tr w:rsidR="00DE66A6" w:rsidRPr="008A2E5A" w14:paraId="126EA20C" w14:textId="77777777" w:rsidTr="004C5D62">
        <w:tc>
          <w:tcPr>
            <w:tcW w:w="3560" w:type="dxa"/>
          </w:tcPr>
          <w:p w14:paraId="22F11633" w14:textId="77777777" w:rsidR="00DE66A6" w:rsidRPr="008A2E5A" w:rsidRDefault="00DE66A6" w:rsidP="004C5D62">
            <w:pPr>
              <w:spacing w:after="0" w:line="240" w:lineRule="auto"/>
              <w:jc w:val="both"/>
              <w:rPr>
                <w:color w:val="0070C0"/>
                <w:sz w:val="16"/>
                <w:szCs w:val="16"/>
              </w:rPr>
            </w:pPr>
            <w:r w:rsidRPr="008A2E5A">
              <w:rPr>
                <w:color w:val="0070C0"/>
                <w:sz w:val="16"/>
                <w:szCs w:val="16"/>
              </w:rPr>
              <w:t>26</w:t>
            </w:r>
          </w:p>
        </w:tc>
        <w:tc>
          <w:tcPr>
            <w:tcW w:w="3561" w:type="dxa"/>
          </w:tcPr>
          <w:p w14:paraId="15ED6AFC" w14:textId="77777777" w:rsidR="00DE66A6" w:rsidRPr="008A2E5A" w:rsidRDefault="00DE66A6" w:rsidP="004C5D62">
            <w:pPr>
              <w:spacing w:after="0" w:line="240" w:lineRule="auto"/>
              <w:jc w:val="both"/>
              <w:rPr>
                <w:color w:val="0070C0"/>
                <w:sz w:val="16"/>
                <w:szCs w:val="16"/>
              </w:rPr>
            </w:pPr>
            <w:r w:rsidRPr="008A2E5A">
              <w:rPr>
                <w:color w:val="0070C0"/>
                <w:sz w:val="16"/>
                <w:szCs w:val="16"/>
              </w:rPr>
              <w:t>М-105ПФ</w:t>
            </w:r>
          </w:p>
        </w:tc>
        <w:tc>
          <w:tcPr>
            <w:tcW w:w="3561" w:type="dxa"/>
          </w:tcPr>
          <w:p w14:paraId="502E11D3" w14:textId="77777777" w:rsidR="00DE66A6" w:rsidRPr="008A2E5A" w:rsidRDefault="00DE66A6" w:rsidP="004C5D62">
            <w:pPr>
              <w:spacing w:after="0" w:line="240" w:lineRule="auto"/>
              <w:jc w:val="both"/>
              <w:rPr>
                <w:color w:val="0070C0"/>
                <w:sz w:val="16"/>
                <w:szCs w:val="16"/>
              </w:rPr>
            </w:pPr>
            <w:r w:rsidRPr="008A2E5A">
              <w:rPr>
                <w:color w:val="0070C0"/>
                <w:sz w:val="16"/>
                <w:szCs w:val="16"/>
              </w:rPr>
              <w:t>27</w:t>
            </w:r>
          </w:p>
        </w:tc>
      </w:tr>
      <w:tr w:rsidR="00DE66A6" w:rsidRPr="008A2E5A" w14:paraId="3F186997" w14:textId="77777777" w:rsidTr="004C5D62">
        <w:tc>
          <w:tcPr>
            <w:tcW w:w="3560" w:type="dxa"/>
          </w:tcPr>
          <w:p w14:paraId="394B6A65" w14:textId="77777777" w:rsidR="00DE66A6" w:rsidRPr="008A2E5A" w:rsidRDefault="00DE66A6" w:rsidP="004C5D62">
            <w:pPr>
              <w:spacing w:after="0" w:line="240" w:lineRule="auto"/>
              <w:jc w:val="both"/>
              <w:rPr>
                <w:color w:val="0070C0"/>
                <w:sz w:val="16"/>
                <w:szCs w:val="16"/>
              </w:rPr>
            </w:pPr>
            <w:r w:rsidRPr="008A2E5A">
              <w:rPr>
                <w:color w:val="0070C0"/>
                <w:sz w:val="16"/>
                <w:szCs w:val="16"/>
              </w:rPr>
              <w:t>26</w:t>
            </w:r>
          </w:p>
        </w:tc>
        <w:tc>
          <w:tcPr>
            <w:tcW w:w="3561" w:type="dxa"/>
          </w:tcPr>
          <w:p w14:paraId="1D3D7BD6" w14:textId="77777777" w:rsidR="00DE66A6" w:rsidRPr="008A2E5A" w:rsidRDefault="00DE66A6" w:rsidP="004C5D62">
            <w:pPr>
              <w:spacing w:after="0" w:line="240" w:lineRule="auto"/>
              <w:jc w:val="both"/>
              <w:rPr>
                <w:color w:val="0070C0"/>
                <w:sz w:val="16"/>
                <w:szCs w:val="16"/>
              </w:rPr>
            </w:pPr>
            <w:r w:rsidRPr="008A2E5A">
              <w:rPr>
                <w:color w:val="0070C0"/>
                <w:sz w:val="16"/>
                <w:szCs w:val="16"/>
              </w:rPr>
              <w:t>М-105Р</w:t>
            </w:r>
          </w:p>
        </w:tc>
        <w:tc>
          <w:tcPr>
            <w:tcW w:w="3561" w:type="dxa"/>
          </w:tcPr>
          <w:p w14:paraId="5AC47DBC" w14:textId="77777777" w:rsidR="00DE66A6" w:rsidRPr="008A2E5A" w:rsidRDefault="00DE66A6" w:rsidP="004C5D62">
            <w:pPr>
              <w:spacing w:after="0" w:line="240" w:lineRule="auto"/>
              <w:jc w:val="both"/>
              <w:rPr>
                <w:color w:val="0070C0"/>
                <w:sz w:val="16"/>
                <w:szCs w:val="16"/>
              </w:rPr>
            </w:pPr>
            <w:r w:rsidRPr="008A2E5A">
              <w:rPr>
                <w:color w:val="0070C0"/>
                <w:sz w:val="16"/>
                <w:szCs w:val="16"/>
              </w:rPr>
              <w:t>3</w:t>
            </w:r>
          </w:p>
        </w:tc>
      </w:tr>
      <w:tr w:rsidR="00DE66A6" w:rsidRPr="008A2E5A" w14:paraId="4B5FDDF7" w14:textId="77777777" w:rsidTr="004C5D62">
        <w:tc>
          <w:tcPr>
            <w:tcW w:w="3560" w:type="dxa"/>
          </w:tcPr>
          <w:p w14:paraId="2697ACF5" w14:textId="77777777" w:rsidR="00DE66A6" w:rsidRPr="008A2E5A" w:rsidRDefault="00DE66A6" w:rsidP="004C5D62">
            <w:pPr>
              <w:spacing w:after="0" w:line="240" w:lineRule="auto"/>
              <w:jc w:val="both"/>
              <w:rPr>
                <w:color w:val="0070C0"/>
                <w:sz w:val="16"/>
                <w:szCs w:val="16"/>
              </w:rPr>
            </w:pPr>
            <w:r w:rsidRPr="008A2E5A">
              <w:rPr>
                <w:color w:val="0070C0"/>
                <w:sz w:val="16"/>
                <w:szCs w:val="16"/>
              </w:rPr>
              <w:t>29</w:t>
            </w:r>
          </w:p>
        </w:tc>
        <w:tc>
          <w:tcPr>
            <w:tcW w:w="3561" w:type="dxa"/>
          </w:tcPr>
          <w:p w14:paraId="23D30A73" w14:textId="77777777" w:rsidR="00DE66A6" w:rsidRPr="008A2E5A" w:rsidRDefault="00DE66A6" w:rsidP="004C5D62">
            <w:pPr>
              <w:spacing w:after="0" w:line="240" w:lineRule="auto"/>
              <w:jc w:val="both"/>
              <w:rPr>
                <w:color w:val="0070C0"/>
                <w:sz w:val="16"/>
                <w:szCs w:val="16"/>
              </w:rPr>
            </w:pPr>
            <w:r w:rsidRPr="008A2E5A">
              <w:rPr>
                <w:color w:val="0070C0"/>
                <w:sz w:val="16"/>
                <w:szCs w:val="16"/>
              </w:rPr>
              <w:t>М-88</w:t>
            </w:r>
          </w:p>
        </w:tc>
        <w:tc>
          <w:tcPr>
            <w:tcW w:w="3561" w:type="dxa"/>
          </w:tcPr>
          <w:p w14:paraId="72449047" w14:textId="77777777" w:rsidR="00DE66A6" w:rsidRPr="008A2E5A" w:rsidRDefault="00DE66A6" w:rsidP="004C5D62">
            <w:pPr>
              <w:spacing w:after="0" w:line="240" w:lineRule="auto"/>
              <w:jc w:val="both"/>
              <w:rPr>
                <w:color w:val="0070C0"/>
                <w:sz w:val="16"/>
                <w:szCs w:val="16"/>
              </w:rPr>
            </w:pPr>
            <w:r w:rsidRPr="008A2E5A">
              <w:rPr>
                <w:color w:val="0070C0"/>
                <w:sz w:val="16"/>
                <w:szCs w:val="16"/>
              </w:rPr>
              <w:t>14</w:t>
            </w:r>
          </w:p>
        </w:tc>
      </w:tr>
      <w:tr w:rsidR="00DE66A6" w:rsidRPr="008A2E5A" w14:paraId="12CB149A" w14:textId="77777777" w:rsidTr="004C5D62">
        <w:tc>
          <w:tcPr>
            <w:tcW w:w="3560" w:type="dxa"/>
          </w:tcPr>
          <w:p w14:paraId="37D33568" w14:textId="77777777" w:rsidR="00DE66A6" w:rsidRPr="008A2E5A" w:rsidRDefault="00DE66A6" w:rsidP="004C5D62">
            <w:pPr>
              <w:spacing w:after="0" w:line="240" w:lineRule="auto"/>
              <w:jc w:val="both"/>
              <w:rPr>
                <w:color w:val="0070C0"/>
                <w:sz w:val="16"/>
                <w:szCs w:val="16"/>
              </w:rPr>
            </w:pPr>
            <w:r w:rsidRPr="008A2E5A">
              <w:rPr>
                <w:color w:val="0070C0"/>
                <w:sz w:val="16"/>
                <w:szCs w:val="16"/>
              </w:rPr>
              <w:t>466</w:t>
            </w:r>
          </w:p>
        </w:tc>
        <w:tc>
          <w:tcPr>
            <w:tcW w:w="3561" w:type="dxa"/>
          </w:tcPr>
          <w:p w14:paraId="3CB4A71B" w14:textId="77777777" w:rsidR="00DE66A6" w:rsidRPr="008A2E5A" w:rsidRDefault="00DE66A6" w:rsidP="004C5D62">
            <w:pPr>
              <w:spacing w:after="0" w:line="240" w:lineRule="auto"/>
              <w:jc w:val="both"/>
              <w:rPr>
                <w:color w:val="0070C0"/>
                <w:sz w:val="16"/>
                <w:szCs w:val="16"/>
              </w:rPr>
            </w:pPr>
            <w:r w:rsidRPr="008A2E5A">
              <w:rPr>
                <w:color w:val="0070C0"/>
                <w:sz w:val="16"/>
                <w:szCs w:val="16"/>
              </w:rPr>
              <w:t>М-105Р</w:t>
            </w:r>
          </w:p>
        </w:tc>
        <w:tc>
          <w:tcPr>
            <w:tcW w:w="3561" w:type="dxa"/>
          </w:tcPr>
          <w:p w14:paraId="797B85DB" w14:textId="77777777" w:rsidR="00DE66A6" w:rsidRPr="008A2E5A" w:rsidRDefault="00DE66A6" w:rsidP="004C5D62">
            <w:pPr>
              <w:spacing w:after="0" w:line="240" w:lineRule="auto"/>
              <w:jc w:val="both"/>
              <w:rPr>
                <w:color w:val="0070C0"/>
                <w:sz w:val="16"/>
                <w:szCs w:val="16"/>
              </w:rPr>
            </w:pPr>
            <w:r w:rsidRPr="008A2E5A">
              <w:rPr>
                <w:color w:val="0070C0"/>
                <w:sz w:val="16"/>
                <w:szCs w:val="16"/>
              </w:rPr>
              <w:t>12*</w:t>
            </w:r>
          </w:p>
        </w:tc>
      </w:tr>
      <w:tr w:rsidR="00DE66A6" w:rsidRPr="008A2E5A" w14:paraId="56E1C490" w14:textId="77777777" w:rsidTr="004C5D62">
        <w:tc>
          <w:tcPr>
            <w:tcW w:w="3560" w:type="dxa"/>
          </w:tcPr>
          <w:p w14:paraId="13E21D1B" w14:textId="77777777" w:rsidR="00DE66A6" w:rsidRPr="008A2E5A" w:rsidRDefault="00DE66A6" w:rsidP="004C5D62">
            <w:pPr>
              <w:spacing w:after="0" w:line="240" w:lineRule="auto"/>
              <w:jc w:val="both"/>
              <w:rPr>
                <w:color w:val="0070C0"/>
                <w:sz w:val="16"/>
                <w:szCs w:val="16"/>
              </w:rPr>
            </w:pPr>
            <w:r w:rsidRPr="008A2E5A">
              <w:rPr>
                <w:color w:val="0070C0"/>
                <w:sz w:val="16"/>
                <w:szCs w:val="16"/>
              </w:rPr>
              <w:t>154</w:t>
            </w:r>
          </w:p>
        </w:tc>
        <w:tc>
          <w:tcPr>
            <w:tcW w:w="3561" w:type="dxa"/>
          </w:tcPr>
          <w:p w14:paraId="64836162" w14:textId="77777777" w:rsidR="00DE66A6" w:rsidRPr="008A2E5A" w:rsidRDefault="00DE66A6" w:rsidP="004C5D62">
            <w:pPr>
              <w:spacing w:after="0" w:line="240" w:lineRule="auto"/>
              <w:jc w:val="both"/>
              <w:rPr>
                <w:color w:val="0070C0"/>
                <w:sz w:val="16"/>
                <w:szCs w:val="16"/>
              </w:rPr>
            </w:pPr>
            <w:r w:rsidRPr="008A2E5A">
              <w:rPr>
                <w:color w:val="0070C0"/>
                <w:sz w:val="16"/>
                <w:szCs w:val="16"/>
              </w:rPr>
              <w:t>М-11</w:t>
            </w:r>
          </w:p>
        </w:tc>
        <w:tc>
          <w:tcPr>
            <w:tcW w:w="3561" w:type="dxa"/>
          </w:tcPr>
          <w:p w14:paraId="1F3BDEDF" w14:textId="77777777" w:rsidR="00DE66A6" w:rsidRPr="008A2E5A" w:rsidRDefault="00DE66A6" w:rsidP="004C5D62">
            <w:pPr>
              <w:spacing w:after="0" w:line="240" w:lineRule="auto"/>
              <w:jc w:val="both"/>
              <w:rPr>
                <w:color w:val="0070C0"/>
                <w:sz w:val="16"/>
                <w:szCs w:val="16"/>
              </w:rPr>
            </w:pPr>
            <w:r w:rsidRPr="008A2E5A">
              <w:rPr>
                <w:color w:val="0070C0"/>
                <w:sz w:val="16"/>
                <w:szCs w:val="16"/>
              </w:rPr>
              <w:t>3</w:t>
            </w:r>
          </w:p>
        </w:tc>
      </w:tr>
      <w:tr w:rsidR="00DE66A6" w:rsidRPr="008A2E5A" w14:paraId="7174DB1D" w14:textId="77777777" w:rsidTr="004C5D62">
        <w:tc>
          <w:tcPr>
            <w:tcW w:w="3560" w:type="dxa"/>
          </w:tcPr>
          <w:p w14:paraId="2E3EA0F4" w14:textId="77777777" w:rsidR="00DE66A6" w:rsidRPr="008A2E5A" w:rsidRDefault="00DE66A6" w:rsidP="004C5D62">
            <w:pPr>
              <w:spacing w:after="0" w:line="240" w:lineRule="auto"/>
              <w:jc w:val="both"/>
              <w:rPr>
                <w:color w:val="0070C0"/>
                <w:sz w:val="16"/>
                <w:szCs w:val="16"/>
              </w:rPr>
            </w:pPr>
            <w:r w:rsidRPr="008A2E5A">
              <w:rPr>
                <w:color w:val="0070C0"/>
                <w:sz w:val="16"/>
                <w:szCs w:val="16"/>
              </w:rPr>
              <w:t>Итого моторов</w:t>
            </w:r>
          </w:p>
        </w:tc>
        <w:tc>
          <w:tcPr>
            <w:tcW w:w="3561" w:type="dxa"/>
          </w:tcPr>
          <w:p w14:paraId="33B185E9" w14:textId="77777777" w:rsidR="00DE66A6" w:rsidRPr="008A2E5A" w:rsidRDefault="00DE66A6" w:rsidP="004C5D62">
            <w:pPr>
              <w:spacing w:after="0" w:line="240" w:lineRule="auto"/>
              <w:jc w:val="both"/>
              <w:rPr>
                <w:color w:val="0070C0"/>
                <w:sz w:val="16"/>
                <w:szCs w:val="16"/>
              </w:rPr>
            </w:pPr>
          </w:p>
        </w:tc>
        <w:tc>
          <w:tcPr>
            <w:tcW w:w="3561" w:type="dxa"/>
          </w:tcPr>
          <w:p w14:paraId="3C6B0A3F" w14:textId="77777777" w:rsidR="00DE66A6" w:rsidRPr="008A2E5A" w:rsidRDefault="00DE66A6" w:rsidP="004C5D62">
            <w:pPr>
              <w:spacing w:after="0" w:line="240" w:lineRule="auto"/>
              <w:jc w:val="both"/>
              <w:rPr>
                <w:color w:val="0070C0"/>
                <w:sz w:val="16"/>
                <w:szCs w:val="16"/>
              </w:rPr>
            </w:pPr>
            <w:r w:rsidRPr="008A2E5A">
              <w:rPr>
                <w:color w:val="0070C0"/>
                <w:sz w:val="16"/>
                <w:szCs w:val="16"/>
              </w:rPr>
              <w:t>101</w:t>
            </w:r>
          </w:p>
        </w:tc>
      </w:tr>
      <w:tr w:rsidR="00DE66A6" w:rsidRPr="008A2E5A" w14:paraId="08E91EBB" w14:textId="77777777" w:rsidTr="004C5D62">
        <w:tc>
          <w:tcPr>
            <w:tcW w:w="3560" w:type="dxa"/>
          </w:tcPr>
          <w:p w14:paraId="2B06EBA3" w14:textId="77777777" w:rsidR="00DE66A6" w:rsidRPr="008A2E5A" w:rsidRDefault="00DE66A6" w:rsidP="004C5D62">
            <w:pPr>
              <w:spacing w:after="0" w:line="240" w:lineRule="auto"/>
              <w:jc w:val="both"/>
              <w:rPr>
                <w:color w:val="0070C0"/>
                <w:sz w:val="16"/>
                <w:szCs w:val="16"/>
              </w:rPr>
            </w:pPr>
          </w:p>
        </w:tc>
        <w:tc>
          <w:tcPr>
            <w:tcW w:w="3561" w:type="dxa"/>
          </w:tcPr>
          <w:p w14:paraId="438A88AF" w14:textId="77777777" w:rsidR="00DE66A6" w:rsidRPr="008A2E5A" w:rsidRDefault="00DE66A6" w:rsidP="004C5D62">
            <w:pPr>
              <w:spacing w:after="0" w:line="240" w:lineRule="auto"/>
              <w:jc w:val="both"/>
              <w:rPr>
                <w:color w:val="0070C0"/>
                <w:sz w:val="16"/>
                <w:szCs w:val="16"/>
              </w:rPr>
            </w:pPr>
            <w:r w:rsidRPr="008A2E5A">
              <w:rPr>
                <w:color w:val="0070C0"/>
                <w:sz w:val="16"/>
                <w:szCs w:val="16"/>
              </w:rPr>
              <w:t>II. Самолеты</w:t>
            </w:r>
          </w:p>
        </w:tc>
        <w:tc>
          <w:tcPr>
            <w:tcW w:w="3561" w:type="dxa"/>
          </w:tcPr>
          <w:p w14:paraId="34AA6B74" w14:textId="77777777" w:rsidR="00DE66A6" w:rsidRPr="008A2E5A" w:rsidRDefault="00DE66A6" w:rsidP="004C5D62">
            <w:pPr>
              <w:spacing w:after="0" w:line="240" w:lineRule="auto"/>
              <w:jc w:val="both"/>
              <w:rPr>
                <w:color w:val="0070C0"/>
                <w:sz w:val="16"/>
                <w:szCs w:val="16"/>
              </w:rPr>
            </w:pPr>
          </w:p>
        </w:tc>
      </w:tr>
      <w:tr w:rsidR="00DE66A6" w:rsidRPr="008A2E5A" w14:paraId="60CB4302" w14:textId="77777777" w:rsidTr="004C5D62">
        <w:tc>
          <w:tcPr>
            <w:tcW w:w="3560" w:type="dxa"/>
          </w:tcPr>
          <w:p w14:paraId="724C9A63" w14:textId="77777777" w:rsidR="00DE66A6" w:rsidRPr="008A2E5A" w:rsidRDefault="00DE66A6" w:rsidP="004C5D62">
            <w:pPr>
              <w:spacing w:after="0" w:line="240" w:lineRule="auto"/>
              <w:jc w:val="both"/>
              <w:rPr>
                <w:color w:val="0070C0"/>
                <w:sz w:val="16"/>
                <w:szCs w:val="16"/>
              </w:rPr>
            </w:pPr>
            <w:r w:rsidRPr="008A2E5A">
              <w:rPr>
                <w:color w:val="0070C0"/>
                <w:sz w:val="16"/>
                <w:szCs w:val="16"/>
              </w:rPr>
              <w:t>21</w:t>
            </w:r>
          </w:p>
        </w:tc>
        <w:tc>
          <w:tcPr>
            <w:tcW w:w="3561" w:type="dxa"/>
          </w:tcPr>
          <w:p w14:paraId="7FCBB97A" w14:textId="77777777" w:rsidR="00DE66A6" w:rsidRPr="008A2E5A" w:rsidRDefault="00DE66A6" w:rsidP="004C5D62">
            <w:pPr>
              <w:spacing w:after="0" w:line="240" w:lineRule="auto"/>
              <w:jc w:val="both"/>
              <w:rPr>
                <w:color w:val="0070C0"/>
                <w:sz w:val="16"/>
                <w:szCs w:val="16"/>
              </w:rPr>
            </w:pPr>
            <w:r w:rsidRPr="008A2E5A">
              <w:rPr>
                <w:color w:val="0070C0"/>
                <w:sz w:val="16"/>
                <w:szCs w:val="16"/>
              </w:rPr>
              <w:t>Лагг-З</w:t>
            </w:r>
          </w:p>
        </w:tc>
        <w:tc>
          <w:tcPr>
            <w:tcW w:w="3561" w:type="dxa"/>
          </w:tcPr>
          <w:p w14:paraId="459784B7" w14:textId="77777777" w:rsidR="00DE66A6" w:rsidRPr="008A2E5A" w:rsidRDefault="00DE66A6" w:rsidP="004C5D62">
            <w:pPr>
              <w:spacing w:after="0" w:line="240" w:lineRule="auto"/>
              <w:jc w:val="both"/>
              <w:rPr>
                <w:color w:val="0070C0"/>
                <w:sz w:val="16"/>
                <w:szCs w:val="16"/>
              </w:rPr>
            </w:pPr>
            <w:r w:rsidRPr="008A2E5A">
              <w:rPr>
                <w:color w:val="0070C0"/>
                <w:sz w:val="16"/>
                <w:szCs w:val="16"/>
              </w:rPr>
              <w:t>9</w:t>
            </w:r>
          </w:p>
        </w:tc>
      </w:tr>
      <w:tr w:rsidR="00DE66A6" w:rsidRPr="008A2E5A" w14:paraId="0EDA6065" w14:textId="77777777" w:rsidTr="004C5D62">
        <w:tc>
          <w:tcPr>
            <w:tcW w:w="3560" w:type="dxa"/>
          </w:tcPr>
          <w:p w14:paraId="70D69E75" w14:textId="77777777" w:rsidR="00DE66A6" w:rsidRPr="008A2E5A" w:rsidRDefault="00DE66A6" w:rsidP="004C5D62">
            <w:pPr>
              <w:spacing w:after="0" w:line="240" w:lineRule="auto"/>
              <w:jc w:val="both"/>
              <w:rPr>
                <w:color w:val="0070C0"/>
                <w:sz w:val="16"/>
                <w:szCs w:val="16"/>
              </w:rPr>
            </w:pPr>
            <w:r w:rsidRPr="008A2E5A">
              <w:rPr>
                <w:color w:val="0070C0"/>
                <w:sz w:val="16"/>
                <w:szCs w:val="16"/>
              </w:rPr>
              <w:t>31</w:t>
            </w:r>
          </w:p>
        </w:tc>
        <w:tc>
          <w:tcPr>
            <w:tcW w:w="3561" w:type="dxa"/>
          </w:tcPr>
          <w:p w14:paraId="7489DC92" w14:textId="77777777" w:rsidR="00DE66A6" w:rsidRPr="008A2E5A" w:rsidRDefault="00DE66A6" w:rsidP="004C5D62">
            <w:pPr>
              <w:spacing w:after="0" w:line="240" w:lineRule="auto"/>
              <w:jc w:val="both"/>
              <w:rPr>
                <w:color w:val="0070C0"/>
                <w:sz w:val="16"/>
                <w:szCs w:val="16"/>
              </w:rPr>
            </w:pPr>
            <w:r w:rsidRPr="008A2E5A">
              <w:rPr>
                <w:color w:val="0070C0"/>
                <w:sz w:val="16"/>
                <w:szCs w:val="16"/>
              </w:rPr>
              <w:t>Лагг-3</w:t>
            </w:r>
          </w:p>
        </w:tc>
        <w:tc>
          <w:tcPr>
            <w:tcW w:w="3561" w:type="dxa"/>
          </w:tcPr>
          <w:p w14:paraId="67DFC6CC" w14:textId="77777777" w:rsidR="00DE66A6" w:rsidRPr="008A2E5A" w:rsidRDefault="00DE66A6" w:rsidP="004C5D62">
            <w:pPr>
              <w:spacing w:after="0" w:line="240" w:lineRule="auto"/>
              <w:jc w:val="both"/>
              <w:rPr>
                <w:color w:val="0070C0"/>
                <w:sz w:val="16"/>
                <w:szCs w:val="16"/>
              </w:rPr>
            </w:pPr>
            <w:r w:rsidRPr="008A2E5A">
              <w:rPr>
                <w:color w:val="0070C0"/>
                <w:sz w:val="16"/>
                <w:szCs w:val="16"/>
              </w:rPr>
              <w:t>4</w:t>
            </w:r>
          </w:p>
        </w:tc>
      </w:tr>
      <w:tr w:rsidR="00DE66A6" w:rsidRPr="008A2E5A" w14:paraId="54B0DCD1" w14:textId="77777777" w:rsidTr="004C5D62">
        <w:tc>
          <w:tcPr>
            <w:tcW w:w="3560" w:type="dxa"/>
          </w:tcPr>
          <w:p w14:paraId="6AB0C5D3" w14:textId="77777777" w:rsidR="00DE66A6" w:rsidRPr="008A2E5A" w:rsidRDefault="00DE66A6" w:rsidP="004C5D62">
            <w:pPr>
              <w:spacing w:after="0" w:line="240" w:lineRule="auto"/>
              <w:jc w:val="both"/>
              <w:rPr>
                <w:color w:val="0070C0"/>
                <w:sz w:val="16"/>
                <w:szCs w:val="16"/>
              </w:rPr>
            </w:pPr>
            <w:r w:rsidRPr="008A2E5A">
              <w:rPr>
                <w:color w:val="0070C0"/>
                <w:sz w:val="16"/>
                <w:szCs w:val="16"/>
              </w:rPr>
              <w:t>153</w:t>
            </w:r>
          </w:p>
        </w:tc>
        <w:tc>
          <w:tcPr>
            <w:tcW w:w="3561" w:type="dxa"/>
          </w:tcPr>
          <w:p w14:paraId="1AA22644" w14:textId="77777777" w:rsidR="00DE66A6" w:rsidRPr="008A2E5A" w:rsidRDefault="00DE66A6" w:rsidP="004C5D62">
            <w:pPr>
              <w:spacing w:after="0" w:line="240" w:lineRule="auto"/>
              <w:jc w:val="both"/>
              <w:rPr>
                <w:color w:val="0070C0"/>
                <w:sz w:val="16"/>
                <w:szCs w:val="16"/>
              </w:rPr>
            </w:pPr>
            <w:r w:rsidRPr="008A2E5A">
              <w:rPr>
                <w:color w:val="0070C0"/>
                <w:sz w:val="16"/>
                <w:szCs w:val="16"/>
              </w:rPr>
              <w:t>Як-7</w:t>
            </w:r>
          </w:p>
        </w:tc>
        <w:tc>
          <w:tcPr>
            <w:tcW w:w="3561" w:type="dxa"/>
          </w:tcPr>
          <w:p w14:paraId="59A2C6C8" w14:textId="77777777" w:rsidR="00DE66A6" w:rsidRPr="008A2E5A" w:rsidRDefault="00DE66A6" w:rsidP="004C5D62">
            <w:pPr>
              <w:spacing w:after="0" w:line="240" w:lineRule="auto"/>
              <w:jc w:val="both"/>
              <w:rPr>
                <w:color w:val="0070C0"/>
                <w:sz w:val="16"/>
                <w:szCs w:val="16"/>
              </w:rPr>
            </w:pPr>
            <w:r w:rsidRPr="008A2E5A">
              <w:rPr>
                <w:color w:val="0070C0"/>
                <w:sz w:val="16"/>
                <w:szCs w:val="16"/>
              </w:rPr>
              <w:t>8</w:t>
            </w:r>
          </w:p>
        </w:tc>
      </w:tr>
      <w:tr w:rsidR="00DE66A6" w:rsidRPr="008A2E5A" w14:paraId="62F290DC" w14:textId="77777777" w:rsidTr="004C5D62">
        <w:tc>
          <w:tcPr>
            <w:tcW w:w="3560" w:type="dxa"/>
          </w:tcPr>
          <w:p w14:paraId="201428ED" w14:textId="77777777" w:rsidR="00DE66A6" w:rsidRPr="008A2E5A" w:rsidRDefault="00DE66A6" w:rsidP="004C5D62">
            <w:pPr>
              <w:spacing w:after="0" w:line="240" w:lineRule="auto"/>
              <w:jc w:val="both"/>
              <w:rPr>
                <w:color w:val="0070C0"/>
                <w:sz w:val="16"/>
                <w:szCs w:val="16"/>
              </w:rPr>
            </w:pPr>
            <w:r w:rsidRPr="008A2E5A">
              <w:rPr>
                <w:color w:val="0070C0"/>
                <w:sz w:val="16"/>
                <w:szCs w:val="16"/>
              </w:rPr>
              <w:t>292</w:t>
            </w:r>
          </w:p>
        </w:tc>
        <w:tc>
          <w:tcPr>
            <w:tcW w:w="3561" w:type="dxa"/>
          </w:tcPr>
          <w:p w14:paraId="4072CE42" w14:textId="77777777" w:rsidR="00DE66A6" w:rsidRPr="008A2E5A" w:rsidRDefault="00DE66A6" w:rsidP="004C5D62">
            <w:pPr>
              <w:spacing w:after="0" w:line="240" w:lineRule="auto"/>
              <w:jc w:val="both"/>
              <w:rPr>
                <w:color w:val="0070C0"/>
                <w:sz w:val="16"/>
                <w:szCs w:val="16"/>
              </w:rPr>
            </w:pPr>
            <w:r w:rsidRPr="008A2E5A">
              <w:rPr>
                <w:color w:val="0070C0"/>
                <w:sz w:val="16"/>
                <w:szCs w:val="16"/>
              </w:rPr>
              <w:t>Як-1</w:t>
            </w:r>
          </w:p>
        </w:tc>
        <w:tc>
          <w:tcPr>
            <w:tcW w:w="3561" w:type="dxa"/>
          </w:tcPr>
          <w:p w14:paraId="0F5FA2BB" w14:textId="77777777" w:rsidR="00DE66A6" w:rsidRPr="008A2E5A" w:rsidRDefault="00DE66A6" w:rsidP="004C5D62">
            <w:pPr>
              <w:spacing w:after="0" w:line="240" w:lineRule="auto"/>
              <w:jc w:val="both"/>
              <w:rPr>
                <w:color w:val="0070C0"/>
                <w:sz w:val="16"/>
                <w:szCs w:val="16"/>
              </w:rPr>
            </w:pPr>
            <w:r w:rsidRPr="008A2E5A">
              <w:rPr>
                <w:color w:val="0070C0"/>
                <w:sz w:val="16"/>
                <w:szCs w:val="16"/>
              </w:rPr>
              <w:t>11</w:t>
            </w:r>
          </w:p>
        </w:tc>
      </w:tr>
      <w:tr w:rsidR="00DE66A6" w:rsidRPr="008A2E5A" w14:paraId="19F14BE1" w14:textId="77777777" w:rsidTr="004C5D62">
        <w:tc>
          <w:tcPr>
            <w:tcW w:w="3560" w:type="dxa"/>
          </w:tcPr>
          <w:p w14:paraId="0EAC3937" w14:textId="77777777" w:rsidR="00DE66A6" w:rsidRPr="008A2E5A" w:rsidRDefault="00DE66A6" w:rsidP="004C5D62">
            <w:pPr>
              <w:spacing w:after="0" w:line="240" w:lineRule="auto"/>
              <w:jc w:val="both"/>
              <w:rPr>
                <w:color w:val="0070C0"/>
                <w:sz w:val="16"/>
                <w:szCs w:val="16"/>
              </w:rPr>
            </w:pPr>
            <w:r w:rsidRPr="008A2E5A">
              <w:rPr>
                <w:color w:val="0070C0"/>
                <w:sz w:val="16"/>
                <w:szCs w:val="16"/>
              </w:rPr>
              <w:t>22</w:t>
            </w:r>
          </w:p>
        </w:tc>
        <w:tc>
          <w:tcPr>
            <w:tcW w:w="3561" w:type="dxa"/>
          </w:tcPr>
          <w:p w14:paraId="001BBF09" w14:textId="77777777" w:rsidR="00DE66A6" w:rsidRPr="008A2E5A" w:rsidRDefault="00DE66A6" w:rsidP="004C5D62">
            <w:pPr>
              <w:spacing w:after="0" w:line="240" w:lineRule="auto"/>
              <w:jc w:val="both"/>
              <w:rPr>
                <w:color w:val="0070C0"/>
                <w:sz w:val="16"/>
                <w:szCs w:val="16"/>
              </w:rPr>
            </w:pPr>
            <w:r w:rsidRPr="008A2E5A">
              <w:rPr>
                <w:color w:val="0070C0"/>
                <w:sz w:val="16"/>
                <w:szCs w:val="16"/>
              </w:rPr>
              <w:t>Пе-2</w:t>
            </w:r>
          </w:p>
        </w:tc>
        <w:tc>
          <w:tcPr>
            <w:tcW w:w="3561" w:type="dxa"/>
          </w:tcPr>
          <w:p w14:paraId="437C7DC2" w14:textId="77777777" w:rsidR="00DE66A6" w:rsidRPr="008A2E5A" w:rsidRDefault="00DE66A6" w:rsidP="004C5D62">
            <w:pPr>
              <w:spacing w:after="0" w:line="240" w:lineRule="auto"/>
              <w:jc w:val="both"/>
              <w:rPr>
                <w:color w:val="0070C0"/>
                <w:sz w:val="16"/>
                <w:szCs w:val="16"/>
              </w:rPr>
            </w:pPr>
            <w:r w:rsidRPr="008A2E5A">
              <w:rPr>
                <w:color w:val="0070C0"/>
                <w:sz w:val="16"/>
                <w:szCs w:val="16"/>
              </w:rPr>
              <w:t>7</w:t>
            </w:r>
          </w:p>
        </w:tc>
      </w:tr>
      <w:tr w:rsidR="00DE66A6" w:rsidRPr="008A2E5A" w14:paraId="0860B345" w14:textId="77777777" w:rsidTr="004C5D62">
        <w:tc>
          <w:tcPr>
            <w:tcW w:w="3560" w:type="dxa"/>
          </w:tcPr>
          <w:p w14:paraId="58F8B4C7" w14:textId="77777777" w:rsidR="00DE66A6" w:rsidRPr="008A2E5A" w:rsidRDefault="00DE66A6" w:rsidP="004C5D62">
            <w:pPr>
              <w:spacing w:after="0" w:line="240" w:lineRule="auto"/>
              <w:jc w:val="both"/>
              <w:rPr>
                <w:color w:val="0070C0"/>
                <w:sz w:val="16"/>
                <w:szCs w:val="16"/>
              </w:rPr>
            </w:pPr>
            <w:r w:rsidRPr="008A2E5A">
              <w:rPr>
                <w:color w:val="0070C0"/>
                <w:sz w:val="16"/>
                <w:szCs w:val="16"/>
              </w:rPr>
              <w:t>39</w:t>
            </w:r>
          </w:p>
        </w:tc>
        <w:tc>
          <w:tcPr>
            <w:tcW w:w="3561" w:type="dxa"/>
          </w:tcPr>
          <w:p w14:paraId="583C1F6B" w14:textId="77777777" w:rsidR="00DE66A6" w:rsidRPr="008A2E5A" w:rsidRDefault="00DE66A6" w:rsidP="004C5D62">
            <w:pPr>
              <w:spacing w:after="0" w:line="240" w:lineRule="auto"/>
              <w:jc w:val="both"/>
              <w:rPr>
                <w:color w:val="0070C0"/>
                <w:sz w:val="16"/>
                <w:szCs w:val="16"/>
              </w:rPr>
            </w:pPr>
            <w:r w:rsidRPr="008A2E5A">
              <w:rPr>
                <w:color w:val="0070C0"/>
                <w:sz w:val="16"/>
                <w:szCs w:val="16"/>
              </w:rPr>
              <w:t>Пе-2</w:t>
            </w:r>
          </w:p>
        </w:tc>
        <w:tc>
          <w:tcPr>
            <w:tcW w:w="3561" w:type="dxa"/>
          </w:tcPr>
          <w:p w14:paraId="158E1FA5" w14:textId="77777777" w:rsidR="00DE66A6" w:rsidRPr="008A2E5A" w:rsidRDefault="00DE66A6" w:rsidP="004C5D62">
            <w:pPr>
              <w:spacing w:after="0" w:line="240" w:lineRule="auto"/>
              <w:jc w:val="both"/>
              <w:rPr>
                <w:color w:val="0070C0"/>
                <w:sz w:val="16"/>
                <w:szCs w:val="16"/>
              </w:rPr>
            </w:pPr>
            <w:r w:rsidRPr="008A2E5A">
              <w:rPr>
                <w:color w:val="0070C0"/>
                <w:sz w:val="16"/>
                <w:szCs w:val="16"/>
              </w:rPr>
              <w:t>5</w:t>
            </w:r>
          </w:p>
        </w:tc>
      </w:tr>
      <w:tr w:rsidR="00DE66A6" w:rsidRPr="008A2E5A" w14:paraId="24FF668B" w14:textId="77777777" w:rsidTr="004C5D62">
        <w:tc>
          <w:tcPr>
            <w:tcW w:w="3560" w:type="dxa"/>
          </w:tcPr>
          <w:p w14:paraId="00CA05A2" w14:textId="77777777" w:rsidR="00DE66A6" w:rsidRPr="008A2E5A" w:rsidRDefault="00DE66A6" w:rsidP="004C5D62">
            <w:pPr>
              <w:spacing w:after="0" w:line="240" w:lineRule="auto"/>
              <w:jc w:val="both"/>
              <w:rPr>
                <w:color w:val="0070C0"/>
                <w:sz w:val="16"/>
                <w:szCs w:val="16"/>
              </w:rPr>
            </w:pPr>
            <w:r w:rsidRPr="008A2E5A">
              <w:rPr>
                <w:color w:val="0070C0"/>
                <w:sz w:val="16"/>
                <w:szCs w:val="16"/>
              </w:rPr>
              <w:t>1</w:t>
            </w:r>
          </w:p>
        </w:tc>
        <w:tc>
          <w:tcPr>
            <w:tcW w:w="3561" w:type="dxa"/>
          </w:tcPr>
          <w:p w14:paraId="6146C7BB" w14:textId="77777777" w:rsidR="00DE66A6" w:rsidRPr="008A2E5A" w:rsidRDefault="00DE66A6" w:rsidP="004C5D62">
            <w:pPr>
              <w:spacing w:after="0" w:line="240" w:lineRule="auto"/>
              <w:jc w:val="both"/>
              <w:rPr>
                <w:color w:val="0070C0"/>
                <w:sz w:val="16"/>
                <w:szCs w:val="16"/>
              </w:rPr>
            </w:pPr>
            <w:r w:rsidRPr="008A2E5A">
              <w:rPr>
                <w:color w:val="0070C0"/>
                <w:sz w:val="16"/>
                <w:szCs w:val="16"/>
              </w:rPr>
              <w:t>Ил-2</w:t>
            </w:r>
          </w:p>
        </w:tc>
        <w:tc>
          <w:tcPr>
            <w:tcW w:w="3561" w:type="dxa"/>
          </w:tcPr>
          <w:p w14:paraId="73692D65" w14:textId="77777777" w:rsidR="00DE66A6" w:rsidRPr="008A2E5A" w:rsidRDefault="00DE66A6" w:rsidP="004C5D62">
            <w:pPr>
              <w:spacing w:after="0" w:line="240" w:lineRule="auto"/>
              <w:jc w:val="both"/>
              <w:rPr>
                <w:color w:val="0070C0"/>
                <w:sz w:val="16"/>
                <w:szCs w:val="16"/>
              </w:rPr>
            </w:pPr>
            <w:r w:rsidRPr="008A2E5A">
              <w:rPr>
                <w:color w:val="0070C0"/>
                <w:sz w:val="16"/>
                <w:szCs w:val="16"/>
              </w:rPr>
              <w:t>11</w:t>
            </w:r>
          </w:p>
        </w:tc>
      </w:tr>
      <w:tr w:rsidR="00DE66A6" w:rsidRPr="008A2E5A" w14:paraId="2C7033A4" w14:textId="77777777" w:rsidTr="004C5D62">
        <w:tc>
          <w:tcPr>
            <w:tcW w:w="3560" w:type="dxa"/>
          </w:tcPr>
          <w:p w14:paraId="750D96DE" w14:textId="77777777" w:rsidR="00DE66A6" w:rsidRPr="008A2E5A" w:rsidRDefault="00DE66A6" w:rsidP="004C5D62">
            <w:pPr>
              <w:spacing w:after="0" w:line="240" w:lineRule="auto"/>
              <w:jc w:val="both"/>
              <w:rPr>
                <w:color w:val="0070C0"/>
                <w:sz w:val="16"/>
                <w:szCs w:val="16"/>
              </w:rPr>
            </w:pPr>
            <w:r w:rsidRPr="008A2E5A">
              <w:rPr>
                <w:color w:val="0070C0"/>
                <w:sz w:val="16"/>
                <w:szCs w:val="16"/>
              </w:rPr>
              <w:t>18</w:t>
            </w:r>
          </w:p>
        </w:tc>
        <w:tc>
          <w:tcPr>
            <w:tcW w:w="3561" w:type="dxa"/>
          </w:tcPr>
          <w:p w14:paraId="2561C194" w14:textId="77777777" w:rsidR="00DE66A6" w:rsidRPr="008A2E5A" w:rsidRDefault="00DE66A6" w:rsidP="004C5D62">
            <w:pPr>
              <w:spacing w:after="0" w:line="240" w:lineRule="auto"/>
              <w:jc w:val="both"/>
              <w:rPr>
                <w:color w:val="0070C0"/>
                <w:sz w:val="16"/>
                <w:szCs w:val="16"/>
              </w:rPr>
            </w:pPr>
            <w:r w:rsidRPr="008A2E5A">
              <w:rPr>
                <w:color w:val="0070C0"/>
                <w:sz w:val="16"/>
                <w:szCs w:val="16"/>
              </w:rPr>
              <w:t>Ил-2</w:t>
            </w:r>
          </w:p>
        </w:tc>
        <w:tc>
          <w:tcPr>
            <w:tcW w:w="3561" w:type="dxa"/>
          </w:tcPr>
          <w:p w14:paraId="324C1937" w14:textId="77777777" w:rsidR="00DE66A6" w:rsidRPr="008A2E5A" w:rsidRDefault="00DE66A6" w:rsidP="004C5D62">
            <w:pPr>
              <w:spacing w:after="0" w:line="240" w:lineRule="auto"/>
              <w:jc w:val="both"/>
              <w:rPr>
                <w:color w:val="0070C0"/>
                <w:sz w:val="16"/>
                <w:szCs w:val="16"/>
              </w:rPr>
            </w:pPr>
            <w:r w:rsidRPr="008A2E5A">
              <w:rPr>
                <w:color w:val="0070C0"/>
                <w:sz w:val="16"/>
                <w:szCs w:val="16"/>
              </w:rPr>
              <w:t>15</w:t>
            </w:r>
          </w:p>
        </w:tc>
      </w:tr>
      <w:tr w:rsidR="00DE66A6" w:rsidRPr="008A2E5A" w14:paraId="185DF2B9" w14:textId="77777777" w:rsidTr="004C5D62">
        <w:tc>
          <w:tcPr>
            <w:tcW w:w="3560" w:type="dxa"/>
          </w:tcPr>
          <w:p w14:paraId="6779DA31" w14:textId="77777777" w:rsidR="00DE66A6" w:rsidRPr="008A2E5A" w:rsidRDefault="00DE66A6" w:rsidP="004C5D62">
            <w:pPr>
              <w:spacing w:after="0" w:line="240" w:lineRule="auto"/>
              <w:jc w:val="both"/>
              <w:rPr>
                <w:color w:val="0070C0"/>
                <w:sz w:val="16"/>
                <w:szCs w:val="16"/>
              </w:rPr>
            </w:pPr>
            <w:r w:rsidRPr="008A2E5A">
              <w:rPr>
                <w:color w:val="0070C0"/>
                <w:sz w:val="16"/>
                <w:szCs w:val="16"/>
              </w:rPr>
              <w:t>30</w:t>
            </w:r>
          </w:p>
        </w:tc>
        <w:tc>
          <w:tcPr>
            <w:tcW w:w="3561" w:type="dxa"/>
          </w:tcPr>
          <w:p w14:paraId="48B46BCF" w14:textId="77777777" w:rsidR="00DE66A6" w:rsidRPr="008A2E5A" w:rsidRDefault="00DE66A6" w:rsidP="004C5D62">
            <w:pPr>
              <w:spacing w:after="0" w:line="240" w:lineRule="auto"/>
              <w:jc w:val="both"/>
              <w:rPr>
                <w:color w:val="0070C0"/>
                <w:sz w:val="16"/>
                <w:szCs w:val="16"/>
              </w:rPr>
            </w:pPr>
            <w:r w:rsidRPr="008A2E5A">
              <w:rPr>
                <w:color w:val="0070C0"/>
                <w:sz w:val="16"/>
                <w:szCs w:val="16"/>
              </w:rPr>
              <w:t>Ил-2</w:t>
            </w:r>
          </w:p>
        </w:tc>
        <w:tc>
          <w:tcPr>
            <w:tcW w:w="3561" w:type="dxa"/>
          </w:tcPr>
          <w:p w14:paraId="4C98AE27" w14:textId="77777777" w:rsidR="00DE66A6" w:rsidRPr="008A2E5A" w:rsidRDefault="00DE66A6" w:rsidP="004C5D62">
            <w:pPr>
              <w:spacing w:after="0" w:line="240" w:lineRule="auto"/>
              <w:jc w:val="both"/>
              <w:rPr>
                <w:color w:val="0070C0"/>
                <w:sz w:val="16"/>
                <w:szCs w:val="16"/>
              </w:rPr>
            </w:pPr>
            <w:r w:rsidRPr="008A2E5A">
              <w:rPr>
                <w:color w:val="0070C0"/>
                <w:sz w:val="16"/>
                <w:szCs w:val="16"/>
              </w:rPr>
              <w:t>1</w:t>
            </w:r>
          </w:p>
        </w:tc>
      </w:tr>
      <w:tr w:rsidR="00DE66A6" w:rsidRPr="008A2E5A" w14:paraId="326FD419" w14:textId="77777777" w:rsidTr="004C5D62">
        <w:tc>
          <w:tcPr>
            <w:tcW w:w="3560" w:type="dxa"/>
          </w:tcPr>
          <w:p w14:paraId="673573E7" w14:textId="77777777" w:rsidR="00DE66A6" w:rsidRPr="008A2E5A" w:rsidRDefault="00DE66A6" w:rsidP="004C5D62">
            <w:pPr>
              <w:spacing w:after="0" w:line="240" w:lineRule="auto"/>
              <w:jc w:val="both"/>
              <w:rPr>
                <w:color w:val="0070C0"/>
                <w:sz w:val="16"/>
                <w:szCs w:val="16"/>
              </w:rPr>
            </w:pPr>
            <w:r w:rsidRPr="008A2E5A">
              <w:rPr>
                <w:color w:val="0070C0"/>
                <w:sz w:val="16"/>
                <w:szCs w:val="16"/>
              </w:rPr>
              <w:t>381</w:t>
            </w:r>
          </w:p>
        </w:tc>
        <w:tc>
          <w:tcPr>
            <w:tcW w:w="3561" w:type="dxa"/>
          </w:tcPr>
          <w:p w14:paraId="08AC56D0" w14:textId="77777777" w:rsidR="00DE66A6" w:rsidRPr="008A2E5A" w:rsidRDefault="00DE66A6" w:rsidP="004C5D62">
            <w:pPr>
              <w:spacing w:after="0" w:line="240" w:lineRule="auto"/>
              <w:jc w:val="both"/>
              <w:rPr>
                <w:color w:val="0070C0"/>
                <w:sz w:val="16"/>
                <w:szCs w:val="16"/>
              </w:rPr>
            </w:pPr>
            <w:r w:rsidRPr="008A2E5A">
              <w:rPr>
                <w:color w:val="0070C0"/>
                <w:sz w:val="16"/>
                <w:szCs w:val="16"/>
              </w:rPr>
              <w:t>Ил-2</w:t>
            </w:r>
          </w:p>
        </w:tc>
        <w:tc>
          <w:tcPr>
            <w:tcW w:w="3561" w:type="dxa"/>
          </w:tcPr>
          <w:p w14:paraId="568B20A2" w14:textId="77777777" w:rsidR="00DE66A6" w:rsidRPr="008A2E5A" w:rsidRDefault="00DE66A6" w:rsidP="004C5D62">
            <w:pPr>
              <w:spacing w:after="0" w:line="240" w:lineRule="auto"/>
              <w:jc w:val="both"/>
              <w:rPr>
                <w:color w:val="0070C0"/>
                <w:sz w:val="16"/>
                <w:szCs w:val="16"/>
              </w:rPr>
            </w:pPr>
            <w:r w:rsidRPr="008A2E5A">
              <w:rPr>
                <w:color w:val="0070C0"/>
                <w:sz w:val="16"/>
                <w:szCs w:val="16"/>
              </w:rPr>
              <w:t>нет</w:t>
            </w:r>
          </w:p>
        </w:tc>
      </w:tr>
      <w:tr w:rsidR="00DE66A6" w:rsidRPr="008A2E5A" w14:paraId="7F71BAC5" w14:textId="77777777" w:rsidTr="004C5D62">
        <w:tc>
          <w:tcPr>
            <w:tcW w:w="3560" w:type="dxa"/>
          </w:tcPr>
          <w:p w14:paraId="0728967B" w14:textId="77777777" w:rsidR="00DE66A6" w:rsidRPr="008A2E5A" w:rsidRDefault="00DE66A6" w:rsidP="004C5D62">
            <w:pPr>
              <w:spacing w:after="0" w:line="240" w:lineRule="auto"/>
              <w:jc w:val="both"/>
              <w:rPr>
                <w:color w:val="0070C0"/>
                <w:sz w:val="16"/>
                <w:szCs w:val="16"/>
              </w:rPr>
            </w:pPr>
            <w:r w:rsidRPr="008A2E5A">
              <w:rPr>
                <w:color w:val="0070C0"/>
                <w:sz w:val="16"/>
                <w:szCs w:val="16"/>
              </w:rPr>
              <w:t>126</w:t>
            </w:r>
          </w:p>
        </w:tc>
        <w:tc>
          <w:tcPr>
            <w:tcW w:w="3561" w:type="dxa"/>
          </w:tcPr>
          <w:p w14:paraId="3B21A687" w14:textId="77777777" w:rsidR="00DE66A6" w:rsidRPr="008A2E5A" w:rsidRDefault="00DE66A6" w:rsidP="004C5D62">
            <w:pPr>
              <w:spacing w:after="0" w:line="240" w:lineRule="auto"/>
              <w:jc w:val="both"/>
              <w:rPr>
                <w:color w:val="0070C0"/>
                <w:sz w:val="16"/>
                <w:szCs w:val="16"/>
              </w:rPr>
            </w:pPr>
            <w:r w:rsidRPr="008A2E5A">
              <w:rPr>
                <w:color w:val="0070C0"/>
                <w:sz w:val="16"/>
                <w:szCs w:val="16"/>
              </w:rPr>
              <w:t>Ил-4</w:t>
            </w:r>
          </w:p>
        </w:tc>
        <w:tc>
          <w:tcPr>
            <w:tcW w:w="3561" w:type="dxa"/>
          </w:tcPr>
          <w:p w14:paraId="14FE6B94" w14:textId="77777777" w:rsidR="00DE66A6" w:rsidRPr="008A2E5A" w:rsidRDefault="00DE66A6" w:rsidP="004C5D62">
            <w:pPr>
              <w:spacing w:after="0" w:line="240" w:lineRule="auto"/>
              <w:jc w:val="both"/>
              <w:rPr>
                <w:color w:val="0070C0"/>
                <w:sz w:val="16"/>
                <w:szCs w:val="16"/>
              </w:rPr>
            </w:pPr>
            <w:r w:rsidRPr="008A2E5A">
              <w:rPr>
                <w:color w:val="0070C0"/>
                <w:sz w:val="16"/>
                <w:szCs w:val="16"/>
              </w:rPr>
              <w:t>нет</w:t>
            </w:r>
          </w:p>
        </w:tc>
      </w:tr>
      <w:tr w:rsidR="00DE66A6" w:rsidRPr="008A2E5A" w14:paraId="71B43344" w14:textId="77777777" w:rsidTr="004C5D62">
        <w:tc>
          <w:tcPr>
            <w:tcW w:w="3560" w:type="dxa"/>
          </w:tcPr>
          <w:p w14:paraId="491705A3" w14:textId="77777777" w:rsidR="00DE66A6" w:rsidRPr="008A2E5A" w:rsidRDefault="00DE66A6" w:rsidP="004C5D62">
            <w:pPr>
              <w:spacing w:after="0" w:line="240" w:lineRule="auto"/>
              <w:jc w:val="both"/>
              <w:rPr>
                <w:color w:val="0070C0"/>
                <w:sz w:val="16"/>
                <w:szCs w:val="16"/>
              </w:rPr>
            </w:pPr>
            <w:r w:rsidRPr="008A2E5A">
              <w:rPr>
                <w:color w:val="0070C0"/>
                <w:sz w:val="16"/>
                <w:szCs w:val="16"/>
              </w:rPr>
              <w:t>166</w:t>
            </w:r>
          </w:p>
        </w:tc>
        <w:tc>
          <w:tcPr>
            <w:tcW w:w="3561" w:type="dxa"/>
          </w:tcPr>
          <w:p w14:paraId="1340119D" w14:textId="77777777" w:rsidR="00DE66A6" w:rsidRPr="008A2E5A" w:rsidRDefault="00DE66A6" w:rsidP="004C5D62">
            <w:pPr>
              <w:spacing w:after="0" w:line="240" w:lineRule="auto"/>
              <w:jc w:val="both"/>
              <w:rPr>
                <w:color w:val="0070C0"/>
                <w:sz w:val="16"/>
                <w:szCs w:val="16"/>
              </w:rPr>
            </w:pPr>
            <w:r w:rsidRPr="008A2E5A">
              <w:rPr>
                <w:color w:val="0070C0"/>
                <w:sz w:val="16"/>
                <w:szCs w:val="16"/>
              </w:rPr>
              <w:t>Ту-2</w:t>
            </w:r>
          </w:p>
        </w:tc>
        <w:tc>
          <w:tcPr>
            <w:tcW w:w="3561" w:type="dxa"/>
          </w:tcPr>
          <w:p w14:paraId="1BF06DE2" w14:textId="77777777" w:rsidR="00DE66A6" w:rsidRPr="008A2E5A" w:rsidRDefault="00DE66A6" w:rsidP="004C5D62">
            <w:pPr>
              <w:spacing w:after="0" w:line="240" w:lineRule="auto"/>
              <w:jc w:val="both"/>
              <w:rPr>
                <w:color w:val="0070C0"/>
                <w:sz w:val="16"/>
                <w:szCs w:val="16"/>
              </w:rPr>
            </w:pPr>
            <w:r w:rsidRPr="008A2E5A">
              <w:rPr>
                <w:color w:val="0070C0"/>
                <w:sz w:val="16"/>
                <w:szCs w:val="16"/>
              </w:rPr>
              <w:t>1</w:t>
            </w:r>
          </w:p>
        </w:tc>
      </w:tr>
      <w:tr w:rsidR="00DE66A6" w:rsidRPr="008A2E5A" w14:paraId="4B7B081C" w14:textId="77777777" w:rsidTr="004C5D62">
        <w:tc>
          <w:tcPr>
            <w:tcW w:w="3560" w:type="dxa"/>
          </w:tcPr>
          <w:p w14:paraId="291FB270" w14:textId="77777777" w:rsidR="00DE66A6" w:rsidRPr="008A2E5A" w:rsidRDefault="00DE66A6" w:rsidP="004C5D62">
            <w:pPr>
              <w:spacing w:after="0" w:line="240" w:lineRule="auto"/>
              <w:jc w:val="both"/>
              <w:rPr>
                <w:color w:val="0070C0"/>
                <w:sz w:val="16"/>
                <w:szCs w:val="16"/>
              </w:rPr>
            </w:pPr>
            <w:r w:rsidRPr="008A2E5A">
              <w:rPr>
                <w:color w:val="0070C0"/>
                <w:sz w:val="16"/>
                <w:szCs w:val="16"/>
              </w:rPr>
              <w:t>Итого боевых</w:t>
            </w:r>
          </w:p>
        </w:tc>
        <w:tc>
          <w:tcPr>
            <w:tcW w:w="3561" w:type="dxa"/>
          </w:tcPr>
          <w:p w14:paraId="400D3A8B" w14:textId="77777777" w:rsidR="00DE66A6" w:rsidRPr="008A2E5A" w:rsidRDefault="00DE66A6" w:rsidP="004C5D62">
            <w:pPr>
              <w:spacing w:after="0" w:line="240" w:lineRule="auto"/>
              <w:jc w:val="both"/>
              <w:rPr>
                <w:color w:val="0070C0"/>
                <w:sz w:val="16"/>
                <w:szCs w:val="16"/>
              </w:rPr>
            </w:pPr>
          </w:p>
        </w:tc>
        <w:tc>
          <w:tcPr>
            <w:tcW w:w="3561" w:type="dxa"/>
          </w:tcPr>
          <w:p w14:paraId="568BC7C1" w14:textId="77777777" w:rsidR="00DE66A6" w:rsidRPr="008A2E5A" w:rsidRDefault="00DE66A6" w:rsidP="004C5D62">
            <w:pPr>
              <w:spacing w:after="0" w:line="240" w:lineRule="auto"/>
              <w:jc w:val="both"/>
              <w:rPr>
                <w:color w:val="0070C0"/>
                <w:sz w:val="16"/>
                <w:szCs w:val="16"/>
              </w:rPr>
            </w:pPr>
            <w:r w:rsidRPr="008A2E5A">
              <w:rPr>
                <w:color w:val="0070C0"/>
                <w:sz w:val="16"/>
                <w:szCs w:val="16"/>
              </w:rPr>
              <w:t>723*</w:t>
            </w:r>
          </w:p>
        </w:tc>
      </w:tr>
    </w:tbl>
    <w:p w14:paraId="49F30193" w14:textId="77777777" w:rsidR="00DE66A6" w:rsidRPr="008A2E5A" w:rsidRDefault="00DE66A6" w:rsidP="00DE66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Номер мотора и их количество обведены синим карандашом, внизу на полях помета: «До подлости</w:t>
      </w:r>
    </w:p>
    <w:p w14:paraId="0A90315B" w14:textId="77777777" w:rsidR="00DE66A6" w:rsidRPr="008A2E5A" w:rsidRDefault="00DE66A6" w:rsidP="00DE66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мало! Подлецы!»</w:t>
      </w:r>
    </w:p>
    <w:p w14:paraId="58C23870" w14:textId="77777777" w:rsidR="00DE66A6" w:rsidRPr="008A2E5A" w:rsidRDefault="00DE66A6" w:rsidP="00DE66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Строка обведена синим карандашом, сверху на полях помета: «Подлость!»</w:t>
      </w:r>
    </w:p>
    <w:p w14:paraId="2DFC0C5C" w14:textId="77777777" w:rsidR="00DE66A6" w:rsidRPr="008A2E5A" w:rsidRDefault="00DE66A6" w:rsidP="00DE66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Подчеркнуто карандашом (23604).</w:t>
      </w:r>
    </w:p>
    <w:p w14:paraId="3972FFF0" w14:textId="77777777" w:rsidR="00DE66A6" w:rsidRPr="008A2E5A" w:rsidRDefault="00DE66A6" w:rsidP="00DE66A6">
      <w:pPr>
        <w:spacing w:after="0" w:line="240" w:lineRule="auto"/>
        <w:jc w:val="both"/>
        <w:rPr>
          <w:rFonts w:ascii="Times New Roman" w:hAnsi="Times New Roman"/>
          <w:color w:val="0070C0"/>
          <w:sz w:val="16"/>
          <w:szCs w:val="16"/>
        </w:rPr>
      </w:pPr>
    </w:p>
    <w:p w14:paraId="33118B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432FC67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DDEF58"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27 мая 1942 года начались испытания ЗИС-41 стрельбой м продолжались они до 6 июня. Всего был произведен 371 выстрел, из них 163 – усиленным зарядом. Само орудие работало вполне удовлетворительно, а вот к самоходной установке накопился очередной набор вопросов. Фактическое отсутствие боеукладки привело к тому, что маневренность огня снизилась. К тому же заряжающему приходилось выходить за выстрелами из щитового прикрытия, что повышало риск поражения пулями и осколками снарядов. Еще одной проблемой стало то, что при стрельбе вылетающие из ствола пороховые газы разбивали фару, а также попадали в кабину.</w:t>
      </w:r>
    </w:p>
    <w:p w14:paraId="4F33BF36"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Большая высота линии огня привела к тому, что при стрельбе самоходная установка начинала раскачиваться. Особенно это ощущалось при стрельбе под углом 90 градусов по горизонтали. Страдал от раскачки и наводчик. В отчете указывалось, что его сиденье было неудобным, и чтобы не упасть, наводчику приходилось держаться за маховики механизмов наведения орудия.</w:t>
      </w:r>
    </w:p>
    <w:p w14:paraId="0F3B55F5"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Общий вывод оказался следующим:</w:t>
      </w:r>
    </w:p>
    <w:p w14:paraId="725D5B96"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«Исходя из результатов испытаний, Гороховецкий АНИОП считает, что 57 мм противотанковая самоходная установка «ЗИС-41» нуждается в дополнительной конструктивной доработке.</w:t>
      </w:r>
    </w:p>
    <w:p w14:paraId="028F838E"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Гороховецкий АНИОП отмечает, что основным недостатком СУ является неудовлетворительная устойчивость при стрельбе с борта при курсовом угле 90о (большой угол наклона платформы), неудовлетворительное охлаждение двигателя и отсутствие укладки для боеприпасов. Заводу необходимо устранить отмеченные недостатки, произвести повторный отстрел стрельбой с борта и дополнительную обкатку».</w:t>
      </w:r>
    </w:p>
    <w:p w14:paraId="56B68E04"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Несмотря на отрицательный в целом вердикт, на этом история ЗИС-41 не закончилась. Сама по себе идея установки противотанковой пушки на шасси ЗИС-42 ГАУ КА нравилась. Но машина требовала серьезной доработки. Кроме того, и с пушкой ЗИС-2 не все было хорошо. В конце 1941 года это орудие сняли с производства, и его место окончательно заняла 76-мм дивизионная пушка обр.1942 г, она же ЗИС-3. К слову, первоначально она создавалась как раз на лафете ЗИС-2 (17671).</w:t>
      </w:r>
    </w:p>
    <w:p w14:paraId="34730879"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lang w:eastAsia="ru-RU"/>
        </w:rPr>
      </w:pPr>
    </w:p>
    <w:p w14:paraId="5B84771E" w14:textId="32C85035" w:rsidR="001E1BC5" w:rsidRPr="008A2E5A" w:rsidRDefault="001E1BC5" w:rsidP="001E1BC5">
      <w:pPr>
        <w:spacing w:after="0" w:line="240" w:lineRule="auto"/>
        <w:jc w:val="both"/>
        <w:rPr>
          <w:rFonts w:ascii="Times New Roman" w:hAnsi="Times New Roman"/>
          <w:color w:val="0070C0"/>
          <w:sz w:val="16"/>
          <w:szCs w:val="16"/>
        </w:rPr>
      </w:pPr>
      <w:r>
        <w:rPr>
          <w:rFonts w:ascii="Times New Roman" w:hAnsi="Times New Roman"/>
          <w:color w:val="0070C0"/>
          <w:sz w:val="16"/>
          <w:szCs w:val="16"/>
        </w:rPr>
        <w:t>С</w:t>
      </w:r>
      <w:r w:rsidRPr="008A2E5A">
        <w:rPr>
          <w:rFonts w:ascii="Times New Roman" w:hAnsi="Times New Roman"/>
          <w:color w:val="0070C0"/>
          <w:sz w:val="16"/>
          <w:szCs w:val="16"/>
        </w:rPr>
        <w:t xml:space="preserve"> 27 мая по 6 июня 1942 года на Горохове</w:t>
      </w:r>
      <w:r>
        <w:rPr>
          <w:rFonts w:ascii="Times New Roman" w:hAnsi="Times New Roman"/>
          <w:color w:val="0070C0"/>
          <w:sz w:val="16"/>
          <w:szCs w:val="16"/>
        </w:rPr>
        <w:t>ц</w:t>
      </w:r>
      <w:r w:rsidRPr="008A2E5A">
        <w:rPr>
          <w:rFonts w:ascii="Times New Roman" w:hAnsi="Times New Roman"/>
          <w:color w:val="0070C0"/>
          <w:sz w:val="16"/>
          <w:szCs w:val="16"/>
        </w:rPr>
        <w:t>ком полигоне проводились непосредственно испытания стрельбой ЗИС-42. Попытки вести стрельбу с хода привели к закономерному результату. Из 60 выстрелов (6 серий по 10 выстрелов) попадание в цель удалось добиться только 3 раза. При этом в среднем на 10 выстрелов уходило 2-2,5 минуты, так себе результат. Предлагалось вести огонь с коротких остановок. Впрочем, та же проблема была и у других полугусеничных САУ. Чудес не бывает.</w:t>
      </w:r>
    </w:p>
    <w:p w14:paraId="03DA91CB" w14:textId="77777777" w:rsidR="001E1BC5" w:rsidRPr="008A2E5A" w:rsidRDefault="001E1BC5" w:rsidP="001E1B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общей сложности за время испытаний произвели 371 выстрел. Общее замечание заключалось в том, что у заряжающего отсутствовала укладка первой очереди. Рекомендовалось сделать ее на внутренней стороне щита. Что же касается остальной боеукладки, то иначе, как в снарядных ящиках, ее разместить оказалось некуда. Надо сказать, что разместить боезапас в 100 унитаров получалось, но при условии, что орудие стреляло в одну сторону. Также отмечалось, что при стрельбе вбок машину сильно шатало. Этот момент явно учитывали еще летом 1941 года, допуская возможность установки опускаемых сошников.</w:t>
      </w:r>
    </w:p>
    <w:p w14:paraId="7317CEB1" w14:textId="77777777" w:rsidR="001E1BC5" w:rsidRPr="008A2E5A" w:rsidRDefault="001E1BC5" w:rsidP="001E1B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то, что высота линии огня была не запредельной, всё же она повлияла на кучность. При стрельбе САУ раскачивало, кучность, по сравнению с буксируемой ЗИС-2, посчитали неудовлетворительной. Также при стрельбе вылетающие из ствола пороховые газы разбивали фару, а также попадали в кабину. Полностью ЗИС-41 полигон не забраковал, но требовал внести целый ряд замечаний. При этом сама концепция быстроходного истребителя танков с круговым сектором обстрела выглядела заманчивой.</w:t>
      </w:r>
    </w:p>
    <w:p w14:paraId="7361541C" w14:textId="77777777" w:rsidR="001E1BC5" w:rsidRPr="008A2E5A" w:rsidRDefault="001E1BC5" w:rsidP="001E1B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Проблема оказалась, впрочем, не только со стрельбой. Требования максимального снижение силуэта, а также необходимость бронировки кабины, сыграла свою роль и с точки зрения ходовых возможностей ЗИС-41. Если кратко, машина при езде перегревалась. Влияние оказало не только плохо проработанная система охлаждения, но и масса, на 2,5 тонны превысившая ЗИС-22М. Он и так, на определенных режимах, имел склонность к перегреву мотора, а тут дополнительные проблемы.</w:t>
      </w:r>
    </w:p>
    <w:p w14:paraId="77E4A117" w14:textId="77777777" w:rsidR="001E1BC5" w:rsidRPr="008A2E5A" w:rsidRDefault="001E1BC5" w:rsidP="001E1B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Проявились эти проблемы и в ходе специальных испытаний, которые проводились в период с 14 апреля по 27 апреля 1942 года. С ЗИС-41 временно сняли орудие и использовали как артиллерийский тягач. Инициаторами таких испытаний стали заместитель Наркома обороны генерал-полковник Н.Н. Воронов и начальник ГАУ КА генерал-полковник Н.Д. Яковлев. Причины прозаичны - необходимость иметь артиллерийский тягач, прежде всего для 122-мм гаубицы М-30. Наиболее активный этап испытаний проходил в период с 24 по 27 апреля 1942 года. За это время машина прошла 192 километра, из них 8 по снежной целине с лыжами на управляемых колесах, 145 по шоссе и еще 49 по бездорожью.</w:t>
      </w:r>
    </w:p>
    <w:p w14:paraId="1904F75A" w14:textId="77777777" w:rsidR="001E1BC5" w:rsidRPr="008A2E5A" w:rsidRDefault="001E1BC5" w:rsidP="001E1B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ходе испытаний на платформу погрузили 40 снарядных ящиков М-30, полный расчет (в общей сложности 10 человек), сзади прицепили гаубицу и передок к ней. Фактическая нагрузка оказалась еще больше, чем у САУ. В таких условиях ЗИС-41 разгонялась до 37 км/ч по шоссе и до 12–30 км/ч на грязном проселке. На шоссе расход топлива составлял 50 литров на 100 км пути, при переходе на бездорожье он возрастал до 200 литров. Кроме того, как уже говорилось выше, машина перегревалась. Неслучайно уже 26 апреля на испытания вышел ЗИС-22 (не М) с той же нагрузкой, который показал себя лучше. Выбор пал на небронированную версию, которую пустили в серию как ЗИС-42 (23521).</w:t>
      </w:r>
    </w:p>
    <w:p w14:paraId="6E92053E" w14:textId="77777777" w:rsidR="001E1BC5" w:rsidRPr="008A2E5A" w:rsidRDefault="001E1BC5" w:rsidP="001E1BC5">
      <w:pPr>
        <w:spacing w:after="0" w:line="240" w:lineRule="auto"/>
        <w:jc w:val="both"/>
        <w:rPr>
          <w:rFonts w:ascii="Times New Roman" w:hAnsi="Times New Roman"/>
          <w:color w:val="0070C0"/>
          <w:sz w:val="16"/>
          <w:szCs w:val="16"/>
        </w:rPr>
      </w:pPr>
    </w:p>
    <w:p w14:paraId="3C18CC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1942 года вышел приказ № 174 НКВ</w:t>
      </w:r>
    </w:p>
    <w:p w14:paraId="1E6423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от 19 мая 1942 года для передачи завода № 460 НК боеприпасов назначить комиссию ……….(9214).</w:t>
      </w:r>
    </w:p>
    <w:p w14:paraId="02A98C4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76FF1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1942 вышло Постановление ГКО № 1817 О введении на вооружение, изготовлении опытной серии и отработке технической документации на установку 82 мм БМ-37. на коляске мотоцикла М-72. РГАНИР, Фонд ГКО, д. 36, лл. 122 (11012).</w:t>
      </w:r>
    </w:p>
    <w:p w14:paraId="192609C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50F2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1942 вышло Постановление ГКО № 1818 Об изготовлении серийной партии 26 мм пистолетной гранаты. РГАНИР, Фонд ГКО, д. 36, лл. 123 (11012).</w:t>
      </w:r>
    </w:p>
    <w:p w14:paraId="33668F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8D60A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1942 вышло Постановление ГКО № 1819 Об изготовлении зенитных спаренных установок под пулеметы "Браунинг". РГАНИР, Фонд ГКО, д. 36, лл. 124-125 (11012).</w:t>
      </w:r>
    </w:p>
    <w:p w14:paraId="4AC15F4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6FF4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1942 вышло Постановление ГКО № 1820 О производстве серийной партии кумулятивных бронебойных снарядов калибра 76 мм. РГАНИР, Фонд ГКО, д. 36, лл. 126 (11012).</w:t>
      </w:r>
    </w:p>
    <w:p w14:paraId="1D0DD25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4AB32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1942 вышло Постановление ГКО № 1821 О принятии на вооружение Красной Армии глушителя звука к пулемету ДП. РГАНИР, Фонд ГКО, д. 36, лл. 127 (11012).</w:t>
      </w:r>
    </w:p>
    <w:p w14:paraId="6AC8132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9357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79CE3F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E32C7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27 мая</w:t>
      </w:r>
      <w:r w:rsidRPr="008127F8">
        <w:rPr>
          <w:rFonts w:ascii="Times New Roman" w:hAnsi="Times New Roman"/>
          <w:color w:val="000000" w:themeColor="text1"/>
          <w:sz w:val="16"/>
          <w:szCs w:val="16"/>
        </w:rPr>
        <w:t xml:space="preserve"> в 1942 году утреннее сообщение Совинформбюро:</w:t>
      </w:r>
    </w:p>
    <w:p w14:paraId="0E2CA22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27 мая на Харьковском направлении наши войска закреплялись на занимаемых рубежах.</w:t>
      </w:r>
    </w:p>
    <w:p w14:paraId="61546C8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 Изюм-Барвенковском направлении наши войска вели упорные бои с танками и пехотой противника.</w:t>
      </w:r>
    </w:p>
    <w:p w14:paraId="7ED38A9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существенных изменений, не произошло.</w:t>
      </w:r>
    </w:p>
    <w:p w14:paraId="1479D5F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Кавалерийская часть под командованием тов. Носкова (Южный фронт) совершила 60-километровый рейд по вражеским тылам. Наши кавалеристы в ожесточённых боях спротивником уничтожили 2.100 немецких солдат и офицеров.</w:t>
      </w:r>
    </w:p>
    <w:p w14:paraId="21126DA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Северо-Западного фронта в результате двухдневного сражения за безымянную высоту уничтожила 300 солдат иофицеров немецкой дивизии СС.</w:t>
      </w:r>
    </w:p>
    <w:p w14:paraId="5B04677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за два дня боевых действий уничтожили более 250 вражеских солдат и офицеров, 14 пулемётов, разрушили 2 ДЗОТа и несколько блиндажей.</w:t>
      </w:r>
    </w:p>
    <w:p w14:paraId="53033AD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наши позиции в районе Н. пытались совершить налёт немецкие самолёты. Гвардейцы-зенитчики части тов. Бузынина открыли огонь и несколькими залпами сбили три немецких бомбардировщика.</w:t>
      </w:r>
    </w:p>
    <w:p w14:paraId="3DF543C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товарища Николая Ш. (Ленинградская область) ночью внезапно напал на немецкий гарнизон, состоящий из 400 солдат и офицеров. Партизаны бесшумно сняли часовых и забросали гранатами дома, в которых спали гитлеровцы. Выбежавшие из домов немецко-фашистские оккупанты попали под огонь автоматов. Во время этой операции партизаны уничтожили 200 гитлеровцев.</w:t>
      </w:r>
    </w:p>
    <w:p w14:paraId="053675A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15 мотострелкового полка 29 немецкой мотодивизии Бруно М.рассказал: «В декабре 1941 года меня в составе маршевого батальона отправили на Восточный фронт. Мы ехали через Польшу. На вокзалах бродили измождённые женщины и дети, одетые в лохмотья. Они дрожали от холода и умоляли - дать хлеба. Солдаты пинками отгоняли их от вагонов. В январе я попал в Мценск. Ночью 3 февраля военные власти выгнали всех оставшихся в городе жителей, в том числе женщин идетей, на улицу и под конвоем отправили в тыл. Тех, кто не мог итти, сразу же расстреливали.</w:t>
      </w:r>
    </w:p>
    <w:p w14:paraId="154B3B6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 полк за последнее время несёт большие потери. Настроение у многих подавленное. Участились случаи дезертирства. Я присутствовал при расстреле двух немецких солдат за дезертирство. Два солдата и два унтер-офицера отказались выполнить приказание офицера. Их в тот же день увезли, и больше мы их не видели».</w:t>
      </w:r>
    </w:p>
    <w:p w14:paraId="0233258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Немецко-фашистские мерзавцы разорили село Старица, Харьковской области, замучили и убили многих жителей — стариков, женщин и детей. Гитлеровские палачи повесили колхозников Мазину, Балакиреву с сыном, Дильнина, Саратова и других. Они ограбили поголовно всех жителей села, отняли у них всё продовольствие, весь скот и птицу, одежду, посуду и домашнюю утварь. Отступая под ударами наших войск, немецкие оккупанты сожгли 200 колхозных домов, разрушили здание школы, больницу и ряд других общественных построек.</w:t>
      </w:r>
    </w:p>
    <w:p w14:paraId="7F32911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Преступность в Финляндии принимает огромные размеры. За последний год число заключённых в тюрьмы за воровство, по явно преуменьшенным данным министерства юстиции, возросло на 70 процентов. Газета «Кансалис сосиалисти» 16 мая пишет: «Преступность приняла невиданные размеры. Воруют всюду и всё, что только можно». Газета «Або ундерретельсер» заявляет: «Преступность в стране неуклонно растёт. Чуть ли не каждый день в магазинах происходят кражи. Кражи продуктов становятся ежедневным явлением. Воров почти никогда нельзя поймать. Среди граждан начинает распространяться чувство общей неуверенности». Газета «Аян суунта» признаёт, что «тюрьмы Финляндии переполнены». Все эти вопли финской печати лишний раз показывают, до какой степени обнищания и голода довела Финляндию преступная шайка гитлеровских холопов Рюти - Таннера - Маннергейма.» (14904).</w:t>
      </w:r>
    </w:p>
    <w:p w14:paraId="51F5074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025438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27 мая</w:t>
      </w:r>
      <w:r w:rsidRPr="008127F8">
        <w:rPr>
          <w:rFonts w:ascii="Times New Roman" w:hAnsi="Times New Roman"/>
          <w:color w:val="000000" w:themeColor="text1"/>
          <w:sz w:val="16"/>
          <w:szCs w:val="16"/>
        </w:rPr>
        <w:t xml:space="preserve"> в 1942 году вечернее сообщение Совинформбюро:</w:t>
      </w:r>
    </w:p>
    <w:p w14:paraId="709C5AD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27 мая на Харьковском направлении наши войска закреплялись на занимаемых рубежах и продолжали вести бои.</w:t>
      </w:r>
    </w:p>
    <w:p w14:paraId="39570C2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Изюм-Барвенковском направлении наши войска отражали ожесточённые атаки противника.</w:t>
      </w:r>
    </w:p>
    <w:p w14:paraId="5B79363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остальных участках фронта ничего существенного не произошло.</w:t>
      </w:r>
    </w:p>
    <w:p w14:paraId="5421A8D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26 мая уничтожено 82 немецких самолёта. Наши потери — 23 самолёта.</w:t>
      </w:r>
    </w:p>
    <w:p w14:paraId="2A57C15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26 мая частями нашей авиации на разных участках фронта уничтожено или повреждено 43 немецких танка, 2 бронемашины, 185 автомашин с войсками и грузами, несколько автоцистерн с горючим, 10 полевых и зенитных орудий, 8 миномётов, разбит железнодорожный состав, взорван склад с боеприпасами, рассеяно и частью уничтожено до восьми рот пехоты противника.</w:t>
      </w:r>
    </w:p>
    <w:p w14:paraId="03A0C9A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Изюм-Барвенковском направлении наши войска, отражая атаки противника, наносят ему огромный урон в живой силе и технике. Бойцы одной стрелковой части уничтожили 6 немецких танков и до 1.400 гитлеровцев. На другом участке крупные силы противника пытались форсировать реку. Гвардейцы-артиллеристы тов. Кротовича подпустили врага на близкое расстояние и открыли огонь из орудий. Немцы были вынуждены отступить. По показаниям захваченных в плен солдат и офицеров, противник потерял в этом бою более 1.000 человек убитыми и много вооружения.</w:t>
      </w:r>
    </w:p>
    <w:p w14:paraId="4A65A59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Харьковского направления, в боях с противником уничтожила не менее 300 гитлеровцев. В этих боях особенно отличились старшие лейтенанты Иванов и Казаков, командир танка старшина Махонин и лейтенант Джагур, уничтожившие 9 орудий и 14 немецких танков.</w:t>
      </w:r>
    </w:p>
    <w:p w14:paraId="388FB24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один наш объект на Севере 26 мая пыталось произвести налёт несколько десятков вражеских самолётов. Противника встретили наши истребители. В завязавшемся воздушном бою наши лётчики, по предварительным данным, сбили 5немецких самолётов. Батальонный комиссар тов. Дягин на самолёте «Харрикейн» таранил шестой немецкий самолёт. Последний упал и взорвался на своих бомбах. Тов. Дягин благополучно вернулся на свой аэродром.</w:t>
      </w:r>
    </w:p>
    <w:p w14:paraId="7BB8499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частей тов. Берзарина (Северо-Западный фронт) за один день разрушили 26 немецких ДЗОТов и блиндажей, подавили 24 артиллерийские иминометные батареи, уничтожили 48 огневых точек и 2 миномёта.</w:t>
      </w:r>
    </w:p>
    <w:p w14:paraId="67EC8F0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Двадцать два снайпера части, где командиром тов. Беззубов, за два месяца уничтожили 736 немецких солдат и офицеров. Снайпер тов. Чухряев истребил за этот срок 160 гитлеровцев, тов. Прохоров — 80, тов. Афанасьев - 64, тов. Гуляев — 73 и тов. Гребенков — 57 гитлеровцев.</w:t>
      </w:r>
    </w:p>
    <w:p w14:paraId="793809E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наших разведчиков под командой старшего лейтенанта тов. Барабанчикова внезапно ворвалась в занятую противником деревню К., уничтожила до 50немецко-фашистских оккупантов и сожгла два склада с боеприпасами.</w:t>
      </w:r>
    </w:p>
    <w:p w14:paraId="75E2027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Г., действующий в одном из районов Смоленской области, за последние три дня сжёг 2 немецких склада с зерном и 600 тонн горючего. Партизаны произвели налёт на немецкий пост, охранявший мост. Уничтожив 9 гитлеровцев, советские патриоты взорвали проходивший железнодорожный состав с боеприпасами и военным имуществом.</w:t>
      </w:r>
    </w:p>
    <w:p w14:paraId="7A859E1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унтер-офицер 294 артполка 294 немецкой пехотной дивизии Этвиль К. рассказал: «Наши батареи находились в селе П. Ночью части Красной Армии начали наступление. Вскоре командир нашей батареи и командир взвода лейтенант Байер были убиты. Остальные офицеры бежали. Часть солдат начала беспорядочно отступать по направлению к лесу. Все остальные решили сохранить себе жизнь и добровольно сдались в плен».</w:t>
      </w:r>
    </w:p>
    <w:p w14:paraId="730FCDB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военном заводе Хеншель в городе Кacсель (Германия) работает несколько тысяч поляков, чехов, бельгийцев и французов. Они размещены в бараках, обнесённых колючей проволокой. Рабочих заставляют работать 12—14 часов в сутки. В лагере ежедневно умирают от голода и непосильного каторжного труда десятки иностранцев. В начале мая группа рабочих потребовала от администрации улучшить условия жизни. В этот же день гестапо арестовало 25 человек. Как выяснилось, все арестованные были замучены насмерть.» (14904).</w:t>
      </w:r>
    </w:p>
    <w:p w14:paraId="4054108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40B72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рассвете 27 мая 6 Ил-2 от 431 -го шап в сопровождении 7 Як-1 от 273-го иап нанесли удар по аэродрому Чугуев, где противник сосредоточил до 50 боевых самолетов. Зенитный огонь противник смогли открыть огонь только вдогонку штурмовикам, которые, отбомбившись и отстрелявшись, уходили на свою территорию. Во время атаки аэродрома пара дежурных "мессершмиттов" сделала попытку атаковать Ил-2, но были сбиты истребителями прикрытия. По подсчетам летчиков-истребителей было уничтожено и повреждено около 20 немецких самолетов. В момент начала атаки летчики видели выстроенные перед самолетами экипажи (12020).</w:t>
      </w:r>
    </w:p>
    <w:p w14:paraId="762E8F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480E0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1942 на фронт прибыл и приступил к боевой работе женский лбп и вскоре М.М.Раскову сменила Е.Д.Бершанская (438,843).</w:t>
      </w:r>
    </w:p>
    <w:p w14:paraId="2E4F82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54259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27 мая "хеншели" из состава 4-й эскадрильи II. /She. G.I силами технического персонала были оснащены сменным противотанковым вариантом вооружения (так называемый второй "рустзатц" -R2), который включал 30-мм пушку МК101 в подфюзеляжном контейнере с боекомплектом в 30 снарядов (бомбовая нагрузка в этом случае ограничивалась 100 кг - 2 SC50 или 2 контейнера АВ24 с SD2 под консолями крыла на бомбодержателях ЕТС50) (8907).</w:t>
      </w:r>
    </w:p>
    <w:p w14:paraId="26332B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228E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1942 в 4./ Sch.G.1 (аэродром Барвенково в 60 км северо-западнее Константиновки) в течение дня четырьмя экипажами было выполнено 12 самолето-вылетов. Атаки выполнялись с пикирования под углами 10-30° строго поперек танка. Стрельба велась подкалиберными снарядами короткими очередями с дистанций 400-800 м по боковой части башни и корпуса танка (площадь цели примерно 15 м2). Минимальная высота над землей после выхода из атаки составляла 30-60 м.</w:t>
      </w:r>
    </w:p>
    <w:p w14:paraId="0CCBAE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Результаты испытаний оказались удручающими. В идеальных полигонных условиях, когда никто не мешал, ни в одном из вылетов "...не было достигнуто ни одного попадания из пушки МК101, так как обнаружилось, что при недостаточной тренировке и малой скорострельности пушки МК101 очень трудно добиться попаданий по небольшой цели" (8907).</w:t>
      </w:r>
    </w:p>
    <w:p w14:paraId="7CE4C37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2AA58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и 28 мая 1942 была организована прак</w:t>
      </w:r>
      <w:r w:rsidRPr="008127F8">
        <w:rPr>
          <w:rFonts w:ascii="Times New Roman" w:hAnsi="Times New Roman"/>
          <w:color w:val="000000" w:themeColor="text1"/>
          <w:sz w:val="16"/>
          <w:szCs w:val="16"/>
        </w:rPr>
        <w:softHyphen/>
        <w:t>тическая стрельба по находящимся неда</w:t>
      </w:r>
      <w:r w:rsidRPr="008127F8">
        <w:rPr>
          <w:rFonts w:ascii="Times New Roman" w:hAnsi="Times New Roman"/>
          <w:color w:val="000000" w:themeColor="text1"/>
          <w:sz w:val="16"/>
          <w:szCs w:val="16"/>
        </w:rPr>
        <w:softHyphen/>
        <w:t>леко от аэродрома танкам КВ-1, подбитых немецкими танкистами в ходе операции по окружению советских войск в районе Барвенковского выступа.</w:t>
      </w:r>
    </w:p>
    <w:p w14:paraId="521C55F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27 мая 1942 в течение дня четырьмя экипа</w:t>
      </w:r>
      <w:r w:rsidRPr="008127F8">
        <w:rPr>
          <w:rFonts w:ascii="Times New Roman" w:hAnsi="Times New Roman"/>
          <w:color w:val="000000" w:themeColor="text1"/>
          <w:sz w:val="16"/>
          <w:szCs w:val="16"/>
        </w:rPr>
        <w:softHyphen/>
        <w:t>жами было выполнено 12 самолето-вы</w:t>
      </w:r>
      <w:r w:rsidRPr="008127F8">
        <w:rPr>
          <w:rFonts w:ascii="Times New Roman" w:hAnsi="Times New Roman"/>
          <w:color w:val="000000" w:themeColor="text1"/>
          <w:sz w:val="16"/>
          <w:szCs w:val="16"/>
        </w:rPr>
        <w:softHyphen/>
        <w:t>летов. Атаки выполнялись с пикирования под углами 10-30' строго поперек танка. Стрельба велась подкалиберными снаря</w:t>
      </w:r>
      <w:r w:rsidRPr="008127F8">
        <w:rPr>
          <w:rFonts w:ascii="Times New Roman" w:hAnsi="Times New Roman"/>
          <w:color w:val="000000" w:themeColor="text1"/>
          <w:sz w:val="16"/>
          <w:szCs w:val="16"/>
        </w:rPr>
        <w:softHyphen/>
        <w:t>дами с вольфрамовым сердечником.</w:t>
      </w:r>
    </w:p>
    <w:p w14:paraId="241A308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испытаниям бронебойный снаряд 101 обладает достаточ</w:t>
      </w:r>
      <w:r w:rsidRPr="008127F8">
        <w:rPr>
          <w:rFonts w:ascii="Times New Roman" w:hAnsi="Times New Roman"/>
          <w:color w:val="000000" w:themeColor="text1"/>
          <w:sz w:val="16"/>
          <w:szCs w:val="16"/>
        </w:rPr>
        <w:softHyphen/>
        <w:t>ной бронепробиваемостью и может быть с успехом использован на Нз129 из МК101 для подавления тяжелых русских танков...».</w:t>
      </w:r>
    </w:p>
    <w:p w14:paraId="1BC3ADE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Анализ фотографий «расстрелянного» КВ-1 позволяет сделать вывод, что специ</w:t>
      </w:r>
      <w:r w:rsidRPr="008127F8">
        <w:rPr>
          <w:rFonts w:ascii="Times New Roman" w:hAnsi="Times New Roman"/>
          <w:color w:val="000000" w:themeColor="text1"/>
          <w:sz w:val="16"/>
          <w:szCs w:val="16"/>
        </w:rPr>
        <w:softHyphen/>
        <w:t>алисты генштаба люфтваффе и летный состав 4./5сН.С.1, мягко скажем, «втирали очки» своему начальству и выдавали жела</w:t>
      </w:r>
      <w:r w:rsidRPr="008127F8">
        <w:rPr>
          <w:rFonts w:ascii="Times New Roman" w:hAnsi="Times New Roman"/>
          <w:color w:val="000000" w:themeColor="text1"/>
          <w:sz w:val="16"/>
          <w:szCs w:val="16"/>
        </w:rPr>
        <w:softHyphen/>
        <w:t>емое за действительное.</w:t>
      </w:r>
    </w:p>
    <w:p w14:paraId="3CF3B6C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Свои выводы они построили на том факте, что один из снарядов попал в сварной шов соединения кормового бронелиста башни и прошел по шву на глуби</w:t>
      </w:r>
      <w:r w:rsidRPr="008127F8">
        <w:rPr>
          <w:rFonts w:ascii="Times New Roman" w:hAnsi="Times New Roman"/>
          <w:color w:val="000000" w:themeColor="text1"/>
          <w:sz w:val="16"/>
          <w:szCs w:val="16"/>
        </w:rPr>
        <w:softHyphen/>
        <w:t>ну около 120 мм. Ясно, что это весьма и весьма редкий случай. При этом никаких разрушений внутри танка быть не могло. То, что в других случаях не было и намека на сквозные пробоины и серьезные по</w:t>
      </w:r>
      <w:r w:rsidRPr="008127F8">
        <w:rPr>
          <w:rFonts w:ascii="Times New Roman" w:hAnsi="Times New Roman"/>
          <w:color w:val="000000" w:themeColor="text1"/>
          <w:sz w:val="16"/>
          <w:szCs w:val="16"/>
        </w:rPr>
        <w:softHyphen/>
        <w:t>вреждения элементов конструкции танка в расчет почему-то не принималось...</w:t>
      </w:r>
    </w:p>
    <w:p w14:paraId="6CB9040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Реально бронебойный снаряд к этой пушке с 300 м при угле встречи 0° снаряд пробивал только броню толщиной до 44 мм, а подкалиберный - до 52 мм.</w:t>
      </w:r>
    </w:p>
    <w:p w14:paraId="10DB8E4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 есть тяжелые советские танки не по</w:t>
      </w:r>
      <w:r w:rsidRPr="008127F8">
        <w:rPr>
          <w:rFonts w:ascii="Times New Roman" w:hAnsi="Times New Roman"/>
          <w:color w:val="000000" w:themeColor="text1"/>
          <w:sz w:val="16"/>
          <w:szCs w:val="16"/>
        </w:rPr>
        <w:softHyphen/>
        <w:t>ражались ни при каких условиях атаки.</w:t>
      </w:r>
    </w:p>
    <w:p w14:paraId="51EE13A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Вот поражение бортовой и башенной брони советских легких танков типа Т-60 и Т-70 специальными подкалиберными снарядами было возможным практически с любого направления атаки и дистанций стрельбы до 400-500 м. Правда, надмоторная броня и крыша башни при этом не поражались.</w:t>
      </w:r>
    </w:p>
    <w:p w14:paraId="3573FF8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Анализ схемы бронирования советско</w:t>
      </w:r>
      <w:r w:rsidRPr="008127F8">
        <w:rPr>
          <w:rFonts w:ascii="Times New Roman" w:hAnsi="Times New Roman"/>
          <w:color w:val="000000" w:themeColor="text1"/>
          <w:sz w:val="16"/>
          <w:szCs w:val="16"/>
        </w:rPr>
        <w:softHyphen/>
        <w:t>го среднего танка Т-34-76 и возможностей пушки МК101 показывает, что при углах пикирования Нз129 около 25-30° подкали</w:t>
      </w:r>
      <w:r w:rsidRPr="008127F8">
        <w:rPr>
          <w:rFonts w:ascii="Times New Roman" w:hAnsi="Times New Roman"/>
          <w:color w:val="000000" w:themeColor="text1"/>
          <w:sz w:val="16"/>
          <w:szCs w:val="16"/>
        </w:rPr>
        <w:softHyphen/>
        <w:t>берный снаряд к пушке мог пробить 52 мм броню башни «тридцатьчетверки» только при стрельбе с дистанции не более 250 м, а бортовую 40-мм броню - не более 600 м.</w:t>
      </w:r>
    </w:p>
    <w:p w14:paraId="3E1E911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при оценке эффективно</w:t>
      </w:r>
      <w:r w:rsidRPr="008127F8">
        <w:rPr>
          <w:rFonts w:ascii="Times New Roman" w:hAnsi="Times New Roman"/>
          <w:color w:val="000000" w:themeColor="text1"/>
          <w:sz w:val="16"/>
          <w:szCs w:val="16"/>
        </w:rPr>
        <w:softHyphen/>
        <w:t>сти атаки самолетов по танкам и другим типовым наземным целям необходимо учитывать следующие факторы.</w:t>
      </w:r>
    </w:p>
    <w:p w14:paraId="35B02DC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Если начинать стрельбу сразу же по</w:t>
      </w:r>
      <w:r w:rsidRPr="008127F8">
        <w:rPr>
          <w:rFonts w:ascii="Times New Roman" w:hAnsi="Times New Roman"/>
          <w:color w:val="000000" w:themeColor="text1"/>
          <w:sz w:val="16"/>
          <w:szCs w:val="16"/>
        </w:rPr>
        <w:softHyphen/>
        <w:t>сле разворота на цель, не выдерживая самолет в прямолинейном полете, то сна</w:t>
      </w:r>
      <w:r w:rsidRPr="008127F8">
        <w:rPr>
          <w:rFonts w:ascii="Times New Roman" w:hAnsi="Times New Roman"/>
          <w:color w:val="000000" w:themeColor="text1"/>
          <w:sz w:val="16"/>
          <w:szCs w:val="16"/>
        </w:rPr>
        <w:softHyphen/>
        <w:t>ряды в очереди будут отнесены от цели во внешнюю сторону разворота. Полигонные испытания, показывали, что относ снаря</w:t>
      </w:r>
      <w:r w:rsidRPr="008127F8">
        <w:rPr>
          <w:rFonts w:ascii="Times New Roman" w:hAnsi="Times New Roman"/>
          <w:color w:val="000000" w:themeColor="text1"/>
          <w:sz w:val="16"/>
          <w:szCs w:val="16"/>
        </w:rPr>
        <w:softHyphen/>
        <w:t>дов в типовых условиях атаки для Нз129В мог составлять 11-14 м. Это в 2-3 раза больше размеров любого советского танка. Для устранения этого явления, не</w:t>
      </w:r>
      <w:r w:rsidRPr="008127F8">
        <w:rPr>
          <w:rFonts w:ascii="Times New Roman" w:hAnsi="Times New Roman"/>
          <w:color w:val="000000" w:themeColor="text1"/>
          <w:sz w:val="16"/>
          <w:szCs w:val="16"/>
        </w:rPr>
        <w:softHyphen/>
        <w:t>обходимо в течение 1,5-2 с «задержать» крен и выдержать самолет в прямолиней</w:t>
      </w:r>
      <w:r w:rsidRPr="008127F8">
        <w:rPr>
          <w:rFonts w:ascii="Times New Roman" w:hAnsi="Times New Roman"/>
          <w:color w:val="000000" w:themeColor="text1"/>
          <w:sz w:val="16"/>
          <w:szCs w:val="16"/>
        </w:rPr>
        <w:softHyphen/>
        <w:t>ном полете.</w:t>
      </w:r>
    </w:p>
    <w:p w14:paraId="42D883F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прицеливание и исправление на</w:t>
      </w:r>
      <w:r w:rsidRPr="008127F8">
        <w:rPr>
          <w:rFonts w:ascii="Times New Roman" w:hAnsi="Times New Roman"/>
          <w:color w:val="000000" w:themeColor="text1"/>
          <w:sz w:val="16"/>
          <w:szCs w:val="16"/>
        </w:rPr>
        <w:softHyphen/>
        <w:t>водки между очередями летчику с хоро</w:t>
      </w:r>
      <w:r w:rsidRPr="008127F8">
        <w:rPr>
          <w:rFonts w:ascii="Times New Roman" w:hAnsi="Times New Roman"/>
          <w:color w:val="000000" w:themeColor="text1"/>
          <w:sz w:val="16"/>
          <w:szCs w:val="16"/>
        </w:rPr>
        <w:softHyphen/>
        <w:t>шей квалификацией требуется в среднем 1,5-2 с. То есть, при «правильном» выпол</w:t>
      </w:r>
      <w:r w:rsidRPr="008127F8">
        <w:rPr>
          <w:rFonts w:ascii="Times New Roman" w:hAnsi="Times New Roman"/>
          <w:color w:val="000000" w:themeColor="text1"/>
          <w:sz w:val="16"/>
          <w:szCs w:val="16"/>
        </w:rPr>
        <w:softHyphen/>
        <w:t>нении атаки наземной цели открытие огня должно происходить не раньше, чем через 3-4 с.</w:t>
      </w:r>
    </w:p>
    <w:p w14:paraId="074B19F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Поскольку ведение стрельбы из МК101 очередью свыше 4-5 снарядов из-за вли</w:t>
      </w:r>
      <w:r w:rsidRPr="008127F8">
        <w:rPr>
          <w:rFonts w:ascii="Times New Roman" w:hAnsi="Times New Roman"/>
          <w:color w:val="000000" w:themeColor="text1"/>
          <w:sz w:val="16"/>
          <w:szCs w:val="16"/>
        </w:rPr>
        <w:softHyphen/>
        <w:t>яния силы отдачи пушки на самолет при</w:t>
      </w:r>
      <w:r w:rsidRPr="008127F8">
        <w:rPr>
          <w:rFonts w:ascii="Times New Roman" w:hAnsi="Times New Roman"/>
          <w:color w:val="000000" w:themeColor="text1"/>
          <w:sz w:val="16"/>
          <w:szCs w:val="16"/>
        </w:rPr>
        <w:softHyphen/>
        <w:t>водит к нарушению наводки самолета на цель и к значительному увеличению рассе</w:t>
      </w:r>
      <w:r w:rsidRPr="008127F8">
        <w:rPr>
          <w:rFonts w:ascii="Times New Roman" w:hAnsi="Times New Roman"/>
          <w:color w:val="000000" w:themeColor="text1"/>
          <w:sz w:val="16"/>
          <w:szCs w:val="16"/>
        </w:rPr>
        <w:softHyphen/>
        <w:t>ивания снарядов, то длина одной очереди ограничивается 1 с.</w:t>
      </w:r>
    </w:p>
    <w:p w14:paraId="6730931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 есть, для гарантированного вы</w:t>
      </w:r>
      <w:r w:rsidRPr="008127F8">
        <w:rPr>
          <w:rFonts w:ascii="Times New Roman" w:hAnsi="Times New Roman"/>
          <w:color w:val="000000" w:themeColor="text1"/>
          <w:sz w:val="16"/>
          <w:szCs w:val="16"/>
        </w:rPr>
        <w:softHyphen/>
        <w:t>ведения из строя одного Т-34-76 коман</w:t>
      </w:r>
      <w:r w:rsidRPr="008127F8">
        <w:rPr>
          <w:rFonts w:ascii="Times New Roman" w:hAnsi="Times New Roman"/>
          <w:color w:val="000000" w:themeColor="text1"/>
          <w:sz w:val="16"/>
          <w:szCs w:val="16"/>
        </w:rPr>
        <w:softHyphen/>
        <w:t>дованию люфтваффе необходимо было выделять не менее четырех-пяти десятков бронированных «хеншелей». Такой резуль</w:t>
      </w:r>
      <w:r w:rsidRPr="008127F8">
        <w:rPr>
          <w:rFonts w:ascii="Times New Roman" w:hAnsi="Times New Roman"/>
          <w:color w:val="000000" w:themeColor="text1"/>
          <w:sz w:val="16"/>
          <w:szCs w:val="16"/>
        </w:rPr>
        <w:softHyphen/>
        <w:t>тат нельзя признать высоким (12728).</w:t>
      </w:r>
    </w:p>
    <w:p w14:paraId="4D86C7B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6A7CD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1942 И.В.С. расстроенный поражениями в Крыму и под Харьковом писал телеграмму руководству Юго-Западного фронта С.К.Тимошенко, Н.С.Хрущеву, И.Х.Багрямяну: "Имейте в виду, что у Ставки нет готовых к бою новых дивизий, что эти дивизии сырые, необученные и бросать их на фронт - значит доставлять врагу легкую победу... Не пора ли нам поучиться воевать малой кровью, как это делают немцы? Воевать надо не числом, а умением...(2144).</w:t>
      </w:r>
    </w:p>
    <w:p w14:paraId="2E7C1AC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1C1E4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Утро 27 мая 1942 началось пох Харьковом с проведенного в 5:20 удара самолетов 4-й РАГ по аэродрому Чугуев. Шесть штурмовиков Ил-2 из 431-го ТТТАП под прикрытием семи истребителей Як-1 273-го ИАП, взлетев с аэродрома Копенки, совершили налет на аэродром противника, где по предварительным разведывательным данным было сосредоточено свыше 50 самолетов. Атака оказалась до того неожиданной для противника, что зенитная артиллерия открыла огонь только вдогонку штурмовикам, уходившим на свою территорию. В момент атаки взлетело 2 дежуривших Me-109, которые были тут же сбиты советскими истребителями. В самом начале штурмовки летчики видели стоявшие перед самолетами экипажи, выстроенные для получения задачи. Заход был произведен вдоль стоянок с бреющего полета, каждый экипаж производил прицеливание индивидуально. В результате атаки штурмовики заявили об уничтожении не менее 20-25 самолетов противника разных типов.</w:t>
      </w:r>
    </w:p>
    <w:p w14:paraId="53C28F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Ввиду малочисленности бомбардировочной авиации ВВС ЮЗФ было принято решение о привлечении бомбардировщиков ВВС соседнего, Брянского фронта. Бомбардировщикам 223-й БАД (в составе 24, 138, 213 и 723-го ББАП) была поставлена задача нанести удар по танковой группировке противника в районе Изюма. Из-за большой продолжительности маршрута выделить для сопровождения истребители Брянского фронта не представлялось возможным. Воздушное прикрытие на маршруте должны были обеспечить истребители ВВС ЮЗФ. Но в назначенном районе встреча бомбардировщиков с истребителями не состоялась. Поставленная задача была выполнена, но очень дорогой ценой. На обратном пути группу бомбардировщиков атаковали три десятка Bf 109F из I./JG 52. Истребители противника безнаказанно сбивали один Пе-2 за другим. На свои аэродромы не вернулись многие, в том числе командир дивизии п-к И.К.Косенко и командир 24-го ББАП, Герой Советского Союза п-к Ю.Н.Горбко. Эскадрилья, которую вел командир полка, потеряла шесть Пе-2!</w:t>
      </w:r>
    </w:p>
    <w:p w14:paraId="6A1223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и 28 мая 1942 в 4./ Sch.G.1 (аэродром Барвенково в 60 км северо-западнее Константиновки) была организована практическая стрельба по находящимся недалеко от аэродрома танкам КВ-1, подбитых немецкими танкистами в ходе операции по окружению советских войск в районе Барвенковского выступа (8907).</w:t>
      </w:r>
    </w:p>
    <w:p w14:paraId="54E302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EA453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с 27 на 28 мая 1942, согласно «Журналу боевых действий» 747-го авиационного полка дальнего действия пять бомбардировщиков Ер-2 вылетели с заданием бомбить «дальнюю цель №2». Судя по времени полета (почти семь с половиной часов), это как раз и была Восточная Пруссия. По цели отбомбились только два экипажа, еще два бомбили Новоскольники и Вильно. Экипаж командира звена лейтенанта И.А. Морозова1 из этого вылета не возвратился и пропал без вести. В отчете 17-й авиационной дивизии дальнего действия (ад дд) за май месяц о бомбежке объектов Восточной Пруссии напрямую не сообщается (22728).</w:t>
      </w:r>
    </w:p>
    <w:p w14:paraId="6D6D584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6E119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1942 вышло Постановление ГКО № 1824 О сформировании новых артиллерийских полков в июне месяце 1942 года. РГАНИР, Фонд ГКО, д. 36, лл. 166 (11012).</w:t>
      </w:r>
    </w:p>
    <w:p w14:paraId="54AA7E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B5134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27 мая 1942 был подвиг экипажа парохода «Старый Большевик». </w:t>
      </w:r>
    </w:p>
    <w:p w14:paraId="5CB13E1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Пароход «Старый большевик», следуя из Рейкьявика в СССР в составе конвоя «PQ-16», был атакован бомбардировщиками противника. Его экипаж отразил 47-атак вражеских самолетов, но одна из бомб попала в носовую часть судна. Начался пожар, и возникла угроза взрыва (в трюмах находился груз — взрывчатые вещества, на палубе — самолеты). Командир английского флагманского корабля конвоя предложил экипажу «Старого большевика» покинуть судно и перейти на один из кораблей охранения, но получил ответ: «Мы не собираемся хоронить судно». Конвой ушел, оставив пароход и его экипаж в одиночку бороться с огнем. Героическими усилиями советских моряков пожар был ликвидирован, восстановлена способность судна идти своим ходом, спасен ценный военный груз. «Старого большевика», догнавшего конвой, английский флагман приветствовал сигналом «Сделано хорошо», который был отрепетован всеми транспортами и кораблями конвоя. А командир эскорта передал: «Поздравляю! Так могли поступить только русские» (11712).</w:t>
      </w:r>
    </w:p>
    <w:p w14:paraId="16A8EF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E58E4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268FBA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F4394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1942 вышло Постановление ГКО № 1822 Об окончании строительства Замоскворецкого радиуса III очереди Московского метрополитена. (7036, 128-132,133-146).</w:t>
      </w:r>
    </w:p>
    <w:p w14:paraId="1E46C11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1B69ACA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8127F8">
        <w:rPr>
          <w:rFonts w:ascii="Times New Roman" w:hAnsi="Times New Roman"/>
          <w:i/>
          <w:iCs/>
          <w:color w:val="000000" w:themeColor="text1"/>
          <w:sz w:val="16"/>
          <w:szCs w:val="16"/>
        </w:rPr>
        <w:t>Внешняя политика:</w:t>
      </w:r>
    </w:p>
    <w:p w14:paraId="40123A3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16505A3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1942 в 7 часов 20 минут корабль ТБ-7 №42066 взлетел. На подлете к аэродрому Рейкьявика к ТБ-7 пристроились две «Аэрокобры» и сопроводили до аэродро</w:t>
      </w:r>
      <w:r w:rsidRPr="008127F8">
        <w:rPr>
          <w:rFonts w:ascii="Times New Roman" w:hAnsi="Times New Roman"/>
          <w:color w:val="000000" w:themeColor="text1"/>
          <w:sz w:val="16"/>
          <w:szCs w:val="16"/>
        </w:rPr>
        <w:softHyphen/>
        <w:t>ма. В 11 часов 57 минут через 4 часа 37 минут после взлета, преодолев 1590 километров пути, самолет совершил посадку.</w:t>
      </w:r>
    </w:p>
    <w:p w14:paraId="23A21B6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прибытии выяснилось, что связи с Аме</w:t>
      </w:r>
      <w:r w:rsidRPr="008127F8">
        <w:rPr>
          <w:rFonts w:ascii="Times New Roman" w:hAnsi="Times New Roman"/>
          <w:color w:val="000000" w:themeColor="text1"/>
          <w:sz w:val="16"/>
          <w:szCs w:val="16"/>
        </w:rPr>
        <w:softHyphen/>
        <w:t>рикой нет - придется подождать и отложить полет. К ночи связь восстановили, однако выяснилось, что погода на маршруте нелет</w:t>
      </w:r>
      <w:r w:rsidRPr="008127F8">
        <w:rPr>
          <w:rFonts w:ascii="Times New Roman" w:hAnsi="Times New Roman"/>
          <w:color w:val="000000" w:themeColor="text1"/>
          <w:sz w:val="16"/>
          <w:szCs w:val="16"/>
        </w:rPr>
        <w:softHyphen/>
        <w:t>ная. В один из дней пребывания на аэродро</w:t>
      </w:r>
      <w:r w:rsidRPr="008127F8">
        <w:rPr>
          <w:rFonts w:ascii="Times New Roman" w:hAnsi="Times New Roman"/>
          <w:color w:val="000000" w:themeColor="text1"/>
          <w:sz w:val="16"/>
          <w:szCs w:val="16"/>
        </w:rPr>
        <w:softHyphen/>
        <w:t>ме Рейкьявика Э.К. Пусэп разговорился с американским полковником Арнольдом. За кружкой пива полковник сообщил, что пого</w:t>
      </w:r>
      <w:r w:rsidRPr="008127F8">
        <w:rPr>
          <w:rFonts w:ascii="Times New Roman" w:hAnsi="Times New Roman"/>
          <w:color w:val="000000" w:themeColor="text1"/>
          <w:sz w:val="16"/>
          <w:szCs w:val="16"/>
        </w:rPr>
        <w:softHyphen/>
        <w:t>да в районе аэродрома Тендер на острове Ньюфаундленд часто меняется, и показал на карте строящийся аэродром Гус-Бей в Кана</w:t>
      </w:r>
      <w:r w:rsidRPr="008127F8">
        <w:rPr>
          <w:rFonts w:ascii="Times New Roman" w:hAnsi="Times New Roman"/>
          <w:color w:val="000000" w:themeColor="text1"/>
          <w:sz w:val="16"/>
          <w:szCs w:val="16"/>
        </w:rPr>
        <w:softHyphen/>
        <w:t>де, сообщив, что в случае плохой погоды в Тендере можно и там приземлиться (19936).</w:t>
      </w:r>
    </w:p>
    <w:p w14:paraId="1D02A221"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09127FB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25B969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11B9F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1942 взамен потерянного ХР-39Е военное министерство заказало третий образец, опять с новым оперением. Он поднялся в воздух 19 сентября 1942 г. К этому времени из уцелевших обломков восстановили вторую машину, и тоже привлекли к испытаниям. Однако 8 февраля 1943 г. её «грохнули» во второй раз (12265).</w:t>
      </w:r>
    </w:p>
    <w:p w14:paraId="2418A18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FF9C5F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1942 108 немецких самолетов атакуют Convoy PQ 16 в Северном Ледовитом океане (20793).</w:t>
      </w:r>
    </w:p>
    <w:p w14:paraId="0C2C22E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4436B5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27-29 мая 1942, после того, как авианосец USS Йорктаун (CV-5) прибывает в Перл - Харбор, Территория Гавайи , с серьезным повреждением от битвы в Коралловом море, и по оценке командира его ремонт требует 90 дней, Pearl Военно-морская верфь гавани ремонтирует корабль за два дня, делая его способным принять участие в битве за Мидуэй (20793).</w:t>
      </w:r>
    </w:p>
    <w:p w14:paraId="797961E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0AF07A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1942 в Ливии впервые вступил в бой американский танк M-3 (4962).</w:t>
      </w:r>
    </w:p>
    <w:p w14:paraId="15C59F5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7F526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1942 членами Сопротивления в Праге смертельно ранен гитлеровский “протектор Чехии” обергруппенфюрер СС Р. Гейдрих (4962), чешские агенты британской разведки SIS Ян Кубиш и Йозеф Габчик совершили покушение на имперского протектора Чехии и Моравии обер-группенфюрера СС Рейнхарда Гейдриха. В результате покушения Гейдрих был смертельно ранен и умер через три дня. Агентам удалось скрыться с места покушения , но через два дня они были обнаружены Гестапо в одном из районов Праги и погибли в перестрелке. В ответ на покушение, в карательных целях фашисты уничтожили всех жителей посёлка Лидице близ Праги (4963 ).</w:t>
      </w:r>
    </w:p>
    <w:p w14:paraId="04892C4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74B17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27 мая</w:t>
      </w:r>
      <w:r w:rsidRPr="008127F8">
        <w:rPr>
          <w:rFonts w:ascii="Times New Roman" w:hAnsi="Times New Roman"/>
          <w:color w:val="000000" w:themeColor="text1"/>
          <w:sz w:val="16"/>
          <w:szCs w:val="16"/>
        </w:rPr>
        <w:t xml:space="preserve"> в 1942 году в Праге был убит идеолог массового истребления населения на оккупированных территориях, шеф СС, «имперский протектор» Богемии и Моравии, Рейнхард Гейдрих по прозвищу «Висельник». Гейдрих считался одним из самых кровавых фашистских палачей, именно он ввел газовые камеры в нацистских концлагерях. Его ликвидация была организована британской «Сикрет интеллидженс сервис» (МИ 6) и осуществлена двумя специально обученными чешскими диверсантами – Яном Кубишем и Йозефом Габчеком. Они подстерегли «Мерседес» Рейнхарда Гейдриха у моста на дороге Прага-Дрезден в предместье Голицовице, подорвали его и расстреляли из автоматов. В результате покушения Гейдрих был смертельно ранен и умер через три дня. Агентам удалось скрыться с места покушения, но через два дня они были обнаружены Гестапо в одном из районов Праги и погибли в перестрелке. В отместку за убийство руководителя СС, по личному распоряжению А.Гитлера, были расстреляны сотни участников чехословацкого сопротивления и уничтожены два населённых пункта – Лидице и Лежаки (14904).</w:t>
      </w:r>
    </w:p>
    <w:p w14:paraId="20C88D2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8DCCF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1942 у северного побережья Норвегии Люфтваффе потопили 5 транспортов конвоя Пику-16 (3819).</w:t>
      </w:r>
    </w:p>
    <w:p w14:paraId="5A1592D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AE8BD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May 27 1942 SS leader Heydrich attacked in Prague (1050).</w:t>
      </w:r>
    </w:p>
    <w:p w14:paraId="2B383D4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793BC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1942 в Праге состоялось покушение на главу СС Гейдриха (1050).</w:t>
      </w:r>
    </w:p>
    <w:p w14:paraId="69A561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96B2B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27 мая по 3 июля 1942 было наступление немецких войск в Ливии и поражение британской 8А, ее отход в Египет к Эль-Аламейну (3186).</w:t>
      </w:r>
    </w:p>
    <w:p w14:paraId="1851F6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7BF9D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1942 в Северной Африке армия Роммеля пыталась обойти британские войска, отступающие на восток в Египет, с флангов, и бои шли до 5 сентября (3907,236).</w:t>
      </w:r>
    </w:p>
    <w:p w14:paraId="7E2D33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0F5A6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May 27th, 1942: Off the northern coat of Norway, Luftwaffe bombers sink 5 ships of Convoy PQ-16 (3819).</w:t>
      </w:r>
    </w:p>
    <w:p w14:paraId="130BB3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2F6E049" w14:textId="77777777" w:rsidR="007C5583" w:rsidRPr="0014509B" w:rsidRDefault="007C5583" w:rsidP="0014509B">
      <w:pPr>
        <w:spacing w:after="0" w:line="240" w:lineRule="auto"/>
        <w:rPr>
          <w:rFonts w:ascii="Times New Roman" w:hAnsi="Times New Roman"/>
          <w:i/>
          <w:iCs/>
          <w:sz w:val="16"/>
          <w:szCs w:val="16"/>
        </w:rPr>
      </w:pPr>
      <w:r w:rsidRPr="0014509B">
        <w:rPr>
          <w:rFonts w:ascii="Times New Roman" w:hAnsi="Times New Roman"/>
          <w:i/>
          <w:iCs/>
          <w:sz w:val="16"/>
          <w:szCs w:val="16"/>
        </w:rPr>
        <w:t>Авиапромышленность:</w:t>
      </w:r>
    </w:p>
    <w:p w14:paraId="14071E39" w14:textId="77777777" w:rsidR="007C5583" w:rsidRPr="0014509B" w:rsidRDefault="007C5583" w:rsidP="0014509B">
      <w:pPr>
        <w:spacing w:after="0" w:line="240" w:lineRule="auto"/>
        <w:rPr>
          <w:rFonts w:ascii="Times New Roman" w:hAnsi="Times New Roman"/>
          <w:i/>
          <w:iCs/>
          <w:sz w:val="16"/>
          <w:szCs w:val="16"/>
        </w:rPr>
      </w:pPr>
    </w:p>
    <w:p w14:paraId="701F320B" w14:textId="77777777" w:rsidR="007C5583" w:rsidRPr="0014509B" w:rsidRDefault="007C5583" w:rsidP="0014509B">
      <w:pPr>
        <w:spacing w:after="0" w:line="240" w:lineRule="auto"/>
        <w:rPr>
          <w:rFonts w:ascii="Times New Roman" w:hAnsi="Times New Roman"/>
          <w:sz w:val="16"/>
          <w:szCs w:val="16"/>
        </w:rPr>
      </w:pPr>
      <w:r w:rsidRPr="0014509B">
        <w:rPr>
          <w:rFonts w:ascii="Times New Roman" w:hAnsi="Times New Roman"/>
          <w:sz w:val="16"/>
          <w:szCs w:val="16"/>
        </w:rPr>
        <w:t>28 мая 1942 са</w:t>
      </w:r>
      <w:r w:rsidRPr="0014509B">
        <w:rPr>
          <w:rFonts w:ascii="Times New Roman" w:hAnsi="Times New Roman"/>
          <w:sz w:val="16"/>
          <w:szCs w:val="16"/>
        </w:rPr>
        <w:softHyphen/>
        <w:t>молет Су-6 («82») благополучно перелетел на завод №289 в г. Молотов (19846).</w:t>
      </w:r>
    </w:p>
    <w:p w14:paraId="77CFB8D1" w14:textId="77777777" w:rsidR="007C5583" w:rsidRPr="0014509B" w:rsidRDefault="007C5583" w:rsidP="0014509B">
      <w:pPr>
        <w:spacing w:after="0" w:line="240" w:lineRule="auto"/>
        <w:rPr>
          <w:rFonts w:ascii="Times New Roman" w:hAnsi="Times New Roman"/>
          <w:sz w:val="16"/>
          <w:szCs w:val="16"/>
        </w:rPr>
      </w:pPr>
    </w:p>
    <w:p w14:paraId="76F22E9F" w14:textId="77777777" w:rsidR="007C5583" w:rsidRPr="0014509B" w:rsidRDefault="007C5583" w:rsidP="0014509B">
      <w:pPr>
        <w:spacing w:after="0" w:line="240" w:lineRule="auto"/>
        <w:rPr>
          <w:rFonts w:ascii="Times New Roman" w:hAnsi="Times New Roman"/>
          <w:sz w:val="16"/>
          <w:szCs w:val="16"/>
        </w:rPr>
      </w:pPr>
      <w:r w:rsidRPr="0014509B">
        <w:rPr>
          <w:rFonts w:ascii="Times New Roman" w:hAnsi="Times New Roman"/>
          <w:sz w:val="16"/>
          <w:szCs w:val="16"/>
        </w:rPr>
        <w:t>28 мая 1942 г.</w:t>
      </w:r>
    </w:p>
    <w:p w14:paraId="43F37DFA" w14:textId="77777777" w:rsidR="007C5583" w:rsidRPr="0014509B" w:rsidRDefault="007C5583" w:rsidP="0014509B">
      <w:pPr>
        <w:spacing w:after="0" w:line="240" w:lineRule="auto"/>
        <w:rPr>
          <w:rFonts w:ascii="Times New Roman" w:hAnsi="Times New Roman"/>
          <w:sz w:val="16"/>
          <w:szCs w:val="16"/>
        </w:rPr>
      </w:pPr>
      <w:r w:rsidRPr="0014509B">
        <w:rPr>
          <w:rFonts w:ascii="Times New Roman" w:hAnsi="Times New Roman"/>
          <w:sz w:val="16"/>
          <w:szCs w:val="16"/>
        </w:rPr>
        <w:t>Из постановления СНК СССР</w:t>
      </w:r>
    </w:p>
    <w:p w14:paraId="6F34AF2B" w14:textId="77777777" w:rsidR="007C5583" w:rsidRPr="0014509B" w:rsidRDefault="007C5583" w:rsidP="0014509B">
      <w:pPr>
        <w:spacing w:after="0" w:line="240" w:lineRule="auto"/>
        <w:rPr>
          <w:rFonts w:ascii="Times New Roman" w:hAnsi="Times New Roman"/>
          <w:sz w:val="16"/>
          <w:szCs w:val="16"/>
        </w:rPr>
      </w:pPr>
      <w:r w:rsidRPr="0014509B">
        <w:rPr>
          <w:rFonts w:ascii="Times New Roman" w:hAnsi="Times New Roman"/>
          <w:sz w:val="16"/>
          <w:szCs w:val="16"/>
        </w:rPr>
        <w:t>об обеспечении рабочей силой</w:t>
      </w:r>
    </w:p>
    <w:p w14:paraId="5330EC2C" w14:textId="77777777" w:rsidR="007C5583" w:rsidRPr="0014509B" w:rsidRDefault="007C5583" w:rsidP="0014509B">
      <w:pPr>
        <w:spacing w:after="0" w:line="240" w:lineRule="auto"/>
        <w:rPr>
          <w:rFonts w:ascii="Times New Roman" w:hAnsi="Times New Roman"/>
          <w:sz w:val="16"/>
          <w:szCs w:val="16"/>
        </w:rPr>
      </w:pPr>
      <w:r w:rsidRPr="0014509B">
        <w:rPr>
          <w:rFonts w:ascii="Times New Roman" w:hAnsi="Times New Roman"/>
          <w:sz w:val="16"/>
          <w:szCs w:val="16"/>
        </w:rPr>
        <w:t>завода № 525 Наркомвооружения</w:t>
      </w:r>
    </w:p>
    <w:p w14:paraId="16E12F06" w14:textId="77777777" w:rsidR="007C5583" w:rsidRPr="0014509B" w:rsidRDefault="007C5583" w:rsidP="0014509B">
      <w:pPr>
        <w:spacing w:after="0" w:line="240" w:lineRule="auto"/>
        <w:rPr>
          <w:rFonts w:ascii="Times New Roman" w:hAnsi="Times New Roman"/>
          <w:sz w:val="16"/>
          <w:szCs w:val="16"/>
        </w:rPr>
      </w:pPr>
      <w:r w:rsidRPr="0014509B">
        <w:rPr>
          <w:rFonts w:ascii="Times New Roman" w:hAnsi="Times New Roman"/>
          <w:sz w:val="16"/>
          <w:szCs w:val="16"/>
        </w:rPr>
        <w:t>28 мая 1942 г.</w:t>
      </w:r>
    </w:p>
    <w:p w14:paraId="57D5C741" w14:textId="77777777" w:rsidR="007C5583" w:rsidRPr="0014509B" w:rsidRDefault="007C5583" w:rsidP="0014509B">
      <w:pPr>
        <w:spacing w:after="0" w:line="240" w:lineRule="auto"/>
        <w:rPr>
          <w:rFonts w:ascii="Times New Roman" w:hAnsi="Times New Roman"/>
          <w:sz w:val="16"/>
          <w:szCs w:val="16"/>
        </w:rPr>
      </w:pPr>
      <w:r w:rsidRPr="0014509B">
        <w:rPr>
          <w:rFonts w:ascii="Times New Roman" w:hAnsi="Times New Roman"/>
          <w:sz w:val="16"/>
          <w:szCs w:val="16"/>
        </w:rPr>
        <w:t>Секретно</w:t>
      </w:r>
    </w:p>
    <w:p w14:paraId="3F49ECCB" w14:textId="77777777" w:rsidR="007C5583" w:rsidRPr="0014509B" w:rsidRDefault="007C5583" w:rsidP="0014509B">
      <w:pPr>
        <w:spacing w:after="0" w:line="240" w:lineRule="auto"/>
        <w:rPr>
          <w:rFonts w:ascii="Times New Roman" w:hAnsi="Times New Roman"/>
          <w:sz w:val="16"/>
          <w:szCs w:val="16"/>
        </w:rPr>
      </w:pPr>
      <w:r w:rsidRPr="0014509B">
        <w:rPr>
          <w:rFonts w:ascii="Times New Roman" w:hAnsi="Times New Roman"/>
          <w:sz w:val="16"/>
          <w:szCs w:val="16"/>
        </w:rPr>
        <w:t>Совет Народных Комиссаров Союза ССР ПОСТАНОВЛЯЕТ:</w:t>
      </w:r>
    </w:p>
    <w:p w14:paraId="120DFBF8" w14:textId="77777777" w:rsidR="007C5583" w:rsidRPr="0014509B" w:rsidRDefault="007C5583" w:rsidP="0014509B">
      <w:pPr>
        <w:spacing w:after="0" w:line="240" w:lineRule="auto"/>
        <w:rPr>
          <w:rFonts w:ascii="Times New Roman" w:hAnsi="Times New Roman"/>
          <w:sz w:val="16"/>
          <w:szCs w:val="16"/>
        </w:rPr>
      </w:pPr>
      <w:r w:rsidRPr="0014509B">
        <w:rPr>
          <w:rFonts w:ascii="Times New Roman" w:hAnsi="Times New Roman"/>
          <w:sz w:val="16"/>
          <w:szCs w:val="16"/>
        </w:rPr>
        <w:t>1. Разрешить Главному Управлению трудовых резервов при Сов</w:t>
      </w:r>
      <w:r w:rsidRPr="0014509B">
        <w:rPr>
          <w:rFonts w:ascii="Times New Roman" w:hAnsi="Times New Roman"/>
          <w:sz w:val="16"/>
          <w:szCs w:val="16"/>
        </w:rPr>
        <w:softHyphen/>
        <w:t>наркоме СССР (т. Москатову) в 5-дневный срок произвести выпуск 2000 учащихся школ ФЗО и направить их для работы на завод № 525 Наркомвооружения, в том числе 350 учащихся школ ФЗО, проходя</w:t>
      </w:r>
      <w:r w:rsidRPr="0014509B">
        <w:rPr>
          <w:rFonts w:ascii="Times New Roman" w:hAnsi="Times New Roman"/>
          <w:sz w:val="16"/>
          <w:szCs w:val="16"/>
        </w:rPr>
        <w:softHyphen/>
        <w:t>щих производственное обучение на этом заводе.</w:t>
      </w:r>
    </w:p>
    <w:p w14:paraId="3D8812DD" w14:textId="77777777" w:rsidR="007C5583" w:rsidRPr="0014509B" w:rsidRDefault="007C5583" w:rsidP="0014509B">
      <w:pPr>
        <w:spacing w:after="0" w:line="240" w:lineRule="auto"/>
        <w:rPr>
          <w:rFonts w:ascii="Times New Roman" w:hAnsi="Times New Roman"/>
          <w:sz w:val="16"/>
          <w:szCs w:val="16"/>
        </w:rPr>
      </w:pPr>
      <w:r w:rsidRPr="0014509B">
        <w:rPr>
          <w:rFonts w:ascii="Times New Roman" w:hAnsi="Times New Roman"/>
          <w:sz w:val="16"/>
          <w:szCs w:val="16"/>
        </w:rPr>
        <w:t>Выделение 2000 рабочих заводу № 525 произвести в счет плана распределения оканчивающих школы ФЗО в мае-июле 1942 г.</w:t>
      </w:r>
    </w:p>
    <w:p w14:paraId="284883D9" w14:textId="77777777" w:rsidR="007C5583" w:rsidRPr="0014509B" w:rsidRDefault="007C5583" w:rsidP="0014509B">
      <w:pPr>
        <w:spacing w:after="0" w:line="240" w:lineRule="auto"/>
        <w:rPr>
          <w:rFonts w:ascii="Times New Roman" w:hAnsi="Times New Roman"/>
          <w:sz w:val="16"/>
          <w:szCs w:val="16"/>
        </w:rPr>
      </w:pPr>
      <w:r w:rsidRPr="0014509B">
        <w:rPr>
          <w:rFonts w:ascii="Times New Roman" w:hAnsi="Times New Roman"/>
          <w:sz w:val="16"/>
          <w:szCs w:val="16"/>
        </w:rPr>
        <w:t>2. Обязать Куйбышевский облисполком (т. Васильева) немедлен</w:t>
      </w:r>
      <w:r w:rsidRPr="0014509B">
        <w:rPr>
          <w:rFonts w:ascii="Times New Roman" w:hAnsi="Times New Roman"/>
          <w:sz w:val="16"/>
          <w:szCs w:val="16"/>
        </w:rPr>
        <w:softHyphen/>
        <w:t>но предоставить Наркомвооружению сроком на 2 месяца здания двух школ Наркомпроса, расположенных вблизи завода № 525 для разме</w:t>
      </w:r>
      <w:r w:rsidRPr="0014509B">
        <w:rPr>
          <w:rFonts w:ascii="Times New Roman" w:hAnsi="Times New Roman"/>
          <w:sz w:val="16"/>
          <w:szCs w:val="16"/>
        </w:rPr>
        <w:softHyphen/>
        <w:t>щения 2000 рабочих, направляемых на завод...</w:t>
      </w:r>
    </w:p>
    <w:p w14:paraId="00F6F454" w14:textId="77777777" w:rsidR="007C5583" w:rsidRPr="0014509B" w:rsidRDefault="007C5583" w:rsidP="0014509B">
      <w:pPr>
        <w:spacing w:after="0" w:line="240" w:lineRule="auto"/>
        <w:rPr>
          <w:rFonts w:ascii="Times New Roman" w:hAnsi="Times New Roman"/>
          <w:sz w:val="16"/>
          <w:szCs w:val="16"/>
        </w:rPr>
      </w:pPr>
      <w:r w:rsidRPr="0014509B">
        <w:rPr>
          <w:rFonts w:ascii="Times New Roman" w:hAnsi="Times New Roman"/>
          <w:sz w:val="16"/>
          <w:szCs w:val="16"/>
        </w:rPr>
        <w:t>Зам. Председателя Совета</w:t>
      </w:r>
    </w:p>
    <w:p w14:paraId="1D07DB7D" w14:textId="77777777" w:rsidR="007C5583" w:rsidRPr="0014509B" w:rsidRDefault="007C5583" w:rsidP="0014509B">
      <w:pPr>
        <w:spacing w:after="0" w:line="240" w:lineRule="auto"/>
        <w:rPr>
          <w:rFonts w:ascii="Times New Roman" w:hAnsi="Times New Roman"/>
          <w:sz w:val="16"/>
          <w:szCs w:val="16"/>
        </w:rPr>
      </w:pPr>
      <w:r w:rsidRPr="0014509B">
        <w:rPr>
          <w:rFonts w:ascii="Times New Roman" w:hAnsi="Times New Roman"/>
          <w:sz w:val="16"/>
          <w:szCs w:val="16"/>
        </w:rPr>
        <w:t>Народных Комиссаров Союза ССР Н. Вознесенский</w:t>
      </w:r>
    </w:p>
    <w:p w14:paraId="517BFAE4" w14:textId="77777777" w:rsidR="007C5583" w:rsidRPr="0014509B" w:rsidRDefault="007C5583" w:rsidP="0014509B">
      <w:pPr>
        <w:spacing w:after="0" w:line="240" w:lineRule="auto"/>
        <w:rPr>
          <w:rFonts w:ascii="Times New Roman" w:hAnsi="Times New Roman"/>
          <w:sz w:val="16"/>
          <w:szCs w:val="16"/>
        </w:rPr>
      </w:pPr>
      <w:r w:rsidRPr="0014509B">
        <w:rPr>
          <w:rFonts w:ascii="Times New Roman" w:hAnsi="Times New Roman"/>
          <w:sz w:val="16"/>
          <w:szCs w:val="16"/>
        </w:rPr>
        <w:t>Управляющий Делами Совета</w:t>
      </w:r>
    </w:p>
    <w:p w14:paraId="1C54CFD0" w14:textId="77777777" w:rsidR="007C5583" w:rsidRPr="0014509B" w:rsidRDefault="007C5583" w:rsidP="0014509B">
      <w:pPr>
        <w:spacing w:after="0" w:line="240" w:lineRule="auto"/>
        <w:rPr>
          <w:rFonts w:ascii="Times New Roman" w:hAnsi="Times New Roman"/>
          <w:sz w:val="16"/>
          <w:szCs w:val="16"/>
        </w:rPr>
      </w:pPr>
      <w:r w:rsidRPr="0014509B">
        <w:rPr>
          <w:rFonts w:ascii="Times New Roman" w:hAnsi="Times New Roman"/>
          <w:sz w:val="16"/>
          <w:szCs w:val="16"/>
        </w:rPr>
        <w:t>Народных Комиссаров СССР</w:t>
      </w:r>
    </w:p>
    <w:p w14:paraId="7CB52B96" w14:textId="77777777" w:rsidR="007C5583" w:rsidRPr="0014509B" w:rsidRDefault="007C5583" w:rsidP="0014509B">
      <w:pPr>
        <w:spacing w:after="0" w:line="240" w:lineRule="auto"/>
        <w:rPr>
          <w:rFonts w:ascii="Times New Roman" w:hAnsi="Times New Roman"/>
          <w:sz w:val="16"/>
          <w:szCs w:val="16"/>
        </w:rPr>
      </w:pPr>
      <w:r w:rsidRPr="0014509B">
        <w:rPr>
          <w:rFonts w:ascii="Times New Roman" w:hAnsi="Times New Roman"/>
          <w:sz w:val="16"/>
          <w:szCs w:val="16"/>
        </w:rPr>
        <w:t>Я. Чадаев (19828).</w:t>
      </w:r>
    </w:p>
    <w:p w14:paraId="4D560F34" w14:textId="77777777" w:rsidR="007C5583" w:rsidRPr="0014509B" w:rsidRDefault="007C5583" w:rsidP="0014509B">
      <w:pPr>
        <w:spacing w:after="0" w:line="240" w:lineRule="auto"/>
        <w:rPr>
          <w:rFonts w:ascii="Times New Roman" w:hAnsi="Times New Roman"/>
          <w:sz w:val="16"/>
          <w:szCs w:val="16"/>
        </w:rPr>
      </w:pPr>
    </w:p>
    <w:p w14:paraId="7992258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28 мая по 12 октября 1942 г. пятый летающий И-185М-71 (так называемый «об</w:t>
      </w:r>
      <w:r w:rsidRPr="008127F8">
        <w:rPr>
          <w:rFonts w:ascii="Times New Roman" w:hAnsi="Times New Roman"/>
          <w:color w:val="000000" w:themeColor="text1"/>
          <w:sz w:val="16"/>
          <w:szCs w:val="16"/>
        </w:rPr>
        <w:softHyphen/>
        <w:t>разцовый»), построенный на заводе №51 проходил заводские испытания и совершил 21 полет с общим налетом 10 часов 35 минут. Была достигнута максимальная скорость 577 км/ч с форсажем у земли и 667 км/ч на вы</w:t>
      </w:r>
      <w:r w:rsidRPr="008127F8">
        <w:rPr>
          <w:rFonts w:ascii="Times New Roman" w:hAnsi="Times New Roman"/>
          <w:color w:val="000000" w:themeColor="text1"/>
          <w:sz w:val="16"/>
          <w:szCs w:val="16"/>
        </w:rPr>
        <w:softHyphen/>
        <w:t>соте 6100 м (9979).</w:t>
      </w:r>
    </w:p>
    <w:p w14:paraId="76B61AC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2F59B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мая 1942 г. на аэродром Толмачево вывели И-185 с М-71 - «эталон для серии» (другое обозначение И-186). Первый полет на нем совершили 10 июня 1942 г. Совме</w:t>
      </w:r>
      <w:r w:rsidRPr="008127F8">
        <w:rPr>
          <w:rFonts w:ascii="Times New Roman" w:hAnsi="Times New Roman"/>
          <w:color w:val="000000" w:themeColor="text1"/>
          <w:sz w:val="16"/>
          <w:szCs w:val="16"/>
        </w:rPr>
        <w:softHyphen/>
        <w:t>стные испытания проводил летчик А.И.Никашин. Были выявлены неудовлетворительная работа механизма уборки шасси, течь воздуха в пневмосистеме, разруше</w:t>
      </w:r>
      <w:r w:rsidRPr="008127F8">
        <w:rPr>
          <w:rFonts w:ascii="Times New Roman" w:hAnsi="Times New Roman"/>
          <w:color w:val="000000" w:themeColor="text1"/>
          <w:sz w:val="16"/>
          <w:szCs w:val="16"/>
        </w:rPr>
        <w:softHyphen/>
        <w:t>ние капота на скорости порядка 610 км/ч и др. Из-за это</w:t>
      </w:r>
      <w:r w:rsidRPr="008127F8">
        <w:rPr>
          <w:rFonts w:ascii="Times New Roman" w:hAnsi="Times New Roman"/>
          <w:color w:val="000000" w:themeColor="text1"/>
          <w:sz w:val="16"/>
          <w:szCs w:val="16"/>
        </w:rPr>
        <w:softHyphen/>
        <w:t>го, а также из-за перегрева цилиндров мотора 22 июля 1942 г. проведение испытаний приостановили до 10 ав</w:t>
      </w:r>
      <w:r w:rsidRPr="008127F8">
        <w:rPr>
          <w:rFonts w:ascii="Times New Roman" w:hAnsi="Times New Roman"/>
          <w:color w:val="000000" w:themeColor="text1"/>
          <w:sz w:val="16"/>
          <w:szCs w:val="16"/>
        </w:rPr>
        <w:softHyphen/>
        <w:t>густа для устранения дефектов. Между тем, возобновились наземные испытания И-185 с М-90. Безрезультатно меняли двигатель за дви</w:t>
      </w:r>
      <w:r w:rsidRPr="008127F8">
        <w:rPr>
          <w:rFonts w:ascii="Times New Roman" w:hAnsi="Times New Roman"/>
          <w:color w:val="000000" w:themeColor="text1"/>
          <w:sz w:val="16"/>
          <w:szCs w:val="16"/>
        </w:rPr>
        <w:softHyphen/>
        <w:t>гателем, зачастую на еще более худшего изготовления. Николай Николаевич был вынужден обратиться за со</w:t>
      </w:r>
      <w:r w:rsidRPr="008127F8">
        <w:rPr>
          <w:rFonts w:ascii="Times New Roman" w:hAnsi="Times New Roman"/>
          <w:color w:val="000000" w:themeColor="text1"/>
          <w:sz w:val="16"/>
          <w:szCs w:val="16"/>
        </w:rPr>
        <w:softHyphen/>
        <w:t>действием в соответствующий главк наркомата (10667).</w:t>
      </w:r>
    </w:p>
    <w:p w14:paraId="0A922F6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306AEA"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28 числа 1942 "Эталон №1" был закончен и передан на заводские испытания. Конкретной информации по этому периоду биографии И-185 мало, а то, что есть - противоречиво. По одним данным самолет выполнил первый полет в тот же день 28 мая 1942 г., но по другим его наземная отработка затянулась, и летчик НИИ ВВС А.И. Никашин выполнил первый полет на нем только 10 июня. В полетах участвовал и заводской пилот Логинов.</w:t>
      </w:r>
    </w:p>
    <w:p w14:paraId="4D826235"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М-71 имел больший диаметр, чем М-82, и под него был сделан очередной (который уж по счету!) новый капот, который слегка выступал за обводы фюзеляжа с боков и снизу. Но благодаря тому, что он стал глаже в зоне установки боковых пушек, а также за счет улучшенной внутренней аэродинамики (обтекатель картера, дефлекторы цилиндров и жалюзи системы охлаждения) сопротивление его не выросло. Пришлось несколько увеличить маслорадиатор, была изменена также конструкция патрубков подвода воздуха к приводному центробежному нагнетателю, расход воздуха которого был существенно больше. Внутреннюю герметизацию фюзеляжа и подгонку щитков шасси удалось улучшить. Наконец, были переделаны панели перед кабиной. Проектирование велось под общим руководством Поликарпова и его зама Жемчужина, ведущим конструктором самолета был Жилин, а начальниками групп были Зимин (силовая установка), Богословский (вооружение), Фадеев (оборудование) - на чертежах новой модификации самолета стояли уже другие фамилии конструкторов, и машина стала совершенно иной, не той, что была в 1941 г.</w:t>
      </w:r>
    </w:p>
    <w:p w14:paraId="1DFE64DF"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Задел агрегатов и деталей по заказу 1940 г. был уже израсходован, и два новых самолета стали строиться заводом №51 в Новосибирске "с нуля". Они получили наименование И -185 М-71 "Эталон" или "Образцовый", поскольку Поликарпов считал именно их образцом для возможного серийного изделия (17737).</w:t>
      </w:r>
    </w:p>
    <w:p w14:paraId="43707BC7"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lang w:eastAsia="ru-RU"/>
        </w:rPr>
      </w:pPr>
    </w:p>
    <w:p w14:paraId="0DE377E4" w14:textId="77777777" w:rsidR="0014509B" w:rsidRPr="008A2E5A" w:rsidRDefault="0014509B" w:rsidP="001450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мая 1942 г. на ежедневной сводке НКАП, содержавшей Суточные данные о самолетах, сданных военпредам 28 мая 1942 г. И.В.С. жирно начертал: «До подлости мало! Подлость! Подлецы!» (23472).</w:t>
      </w:r>
    </w:p>
    <w:p w14:paraId="6A7B121C" w14:textId="77777777" w:rsidR="0014509B" w:rsidRPr="008A2E5A" w:rsidRDefault="0014509B" w:rsidP="0014509B">
      <w:pPr>
        <w:spacing w:after="0" w:line="240" w:lineRule="auto"/>
        <w:jc w:val="both"/>
        <w:rPr>
          <w:rFonts w:ascii="Times New Roman" w:hAnsi="Times New Roman"/>
          <w:color w:val="0070C0"/>
          <w:sz w:val="16"/>
          <w:szCs w:val="16"/>
        </w:rPr>
      </w:pPr>
    </w:p>
    <w:p w14:paraId="4D4967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403047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CEF9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color w:val="000000" w:themeColor="text1"/>
          <w:sz w:val="16"/>
          <w:szCs w:val="16"/>
        </w:rPr>
        <w:t xml:space="preserve">28 мая 1942 вышло постановление Совета Народных Комиссаров </w:t>
      </w:r>
      <w:r w:rsidRPr="008127F8">
        <w:rPr>
          <w:rFonts w:ascii="Times New Roman" w:hAnsi="Times New Roman"/>
          <w:iCs/>
          <w:color w:val="000000" w:themeColor="text1"/>
          <w:sz w:val="16"/>
          <w:szCs w:val="16"/>
        </w:rPr>
        <w:t xml:space="preserve">об обеспечении рабочей силой завода № 525 Наркомвооружения </w:t>
      </w:r>
    </w:p>
    <w:p w14:paraId="693A638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 xml:space="preserve">28 мая 1942 г. Секретно </w:t>
      </w:r>
    </w:p>
    <w:p w14:paraId="0008272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 xml:space="preserve">Совет Народных Комиссаров Союза ССР ПОСТАНОВЛЯЕТ: </w:t>
      </w:r>
    </w:p>
    <w:p w14:paraId="53D1D9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lastRenderedPageBreak/>
        <w:t xml:space="preserve">1. Разрешить Главному Управлению трудовых резервов при Совнаркоме СССР (т. Москатову) в 5-дневный срок произвести выпуск 2000 учащихся школ ФЗО и направить их для работы на завод № 525 Наркомвооружения, в том числе 350 учащихся школ ФЗО, проходящих производственное обучение на этом заводе. </w:t>
      </w:r>
    </w:p>
    <w:p w14:paraId="3495E72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 xml:space="preserve">Выделение 2000 рабочих заводу № 525 произвести в счет плана распределения оканчивающих школы ФЗО в мае-июле 1942 г. </w:t>
      </w:r>
    </w:p>
    <w:p w14:paraId="75D099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 xml:space="preserve">2. Обязать Куйбышевский облисполком (т. Васильева) немедленно предоставить Наркомвооружению сроком на 2 месяца здания двух школ Наркомпроса, расположенных вблизи завода № 525 для размещения 2000 рабочих, направляемых на завод... </w:t>
      </w:r>
    </w:p>
    <w:p w14:paraId="5EA1A7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 xml:space="preserve">Зам. Председателя Совета Народных Комиссаров Союза ССР Н. Вознесенский </w:t>
      </w:r>
    </w:p>
    <w:p w14:paraId="7A954BF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Управляющий Делами Совета Народных Комиссаров СССР Я. Чадаев (11878).</w:t>
      </w:r>
    </w:p>
    <w:p w14:paraId="4C903EA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C0C4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022CB98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D53A7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28 мая</w:t>
      </w:r>
      <w:r w:rsidRPr="008127F8">
        <w:rPr>
          <w:rFonts w:ascii="Times New Roman" w:hAnsi="Times New Roman"/>
          <w:color w:val="000000" w:themeColor="text1"/>
          <w:sz w:val="16"/>
          <w:szCs w:val="16"/>
        </w:rPr>
        <w:t xml:space="preserve"> в 1942 году утреннее сообщение Совинформбюро:</w:t>
      </w:r>
    </w:p>
    <w:p w14:paraId="7731C93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28 мая на Харьковском направлении наши войска закреплялисьна занимаемых рубежах.</w:t>
      </w:r>
    </w:p>
    <w:p w14:paraId="4C00505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Изюм-Барвенковском направлении наши войска вели упорные бои с танками и пехотой противника.</w:t>
      </w:r>
    </w:p>
    <w:p w14:paraId="43169B0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существенных изменений не произошло.</w:t>
      </w:r>
    </w:p>
    <w:p w14:paraId="554646B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Харьковском направлении части под командованием тов. Терехова за три дня боевых действий сожгли 26 и подбили более 20 немецких танков. Противник потерял убитыми свыше 200 солдат и офицеров. В бою отличился экипаж танка капитана тов.Кулиша, уничтоживший 6 немецких танков. На другом участке гвардейское подразделение выбило противника с занимаемых им позиций и уничтожило 450 гитлеровцев.</w:t>
      </w:r>
    </w:p>
    <w:p w14:paraId="0412C46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Калининского фронта немцы предприняли атаку позиций одной нашей части. Наши бойцы успешно отбили атаку противника и продвинулись вперёд. Немцы потеряли только убитыми 600 солдат и офицеров. На другом участке гитлеровцы трижды безуспешно атаковали подразделение командира Юдинцева. Потеряв свыше 200 человек убитыми, противник отошёл на исходные позиции.</w:t>
      </w:r>
    </w:p>
    <w:p w14:paraId="5F055D9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Северо-Западного фронта, за два дня боевых действий уничтожила 400 немецких солдат и офицеров. Нашими бойцами подбито 3 немецких танка.</w:t>
      </w:r>
    </w:p>
    <w:p w14:paraId="6BE3355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Отделение наших бойцов под командованием сержанта тов. Устинова ночью пробралось в тыл противника. Бесшумно сняв двух немецких часовых, красноармейцы подползли к блиндажу и гранатами уничтожили 10 немецких солдат. Захватив 2 ручных пулемёта, винтовки и автоматы, бойцы вернулись в свою часть.</w:t>
      </w:r>
    </w:p>
    <w:p w14:paraId="0682A7F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«Бати», действующий в оккупированных немцами районах Смоленской области, с 5 по 20 мая истребил 480 немецких солдат и офицеров. Партизаны уничтожили 4 автомашины с боеприпасами, 2 легковые машины, один танк и пустили под откос железнодорожный состав немецко-фашистских оккупантов.</w:t>
      </w:r>
    </w:p>
    <w:p w14:paraId="5D71B84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унтер-офицер 217 полка 57 немецкой пехотной дивизии Гейнц Менцель рассказал: «Врач Рингельц мне говорил, что потери 57 дивизии составляют половину всего личного состава. Больше других пострадал 179 полк, в котором осталась одна пятая часть солдат. Среди солдат растут антивоенные настроения. В апреле и мае командование дивизии издало несколько приказов, в которых говорилось об имевших место попытках дезертирства и перехода на сторону Красной Армии. Многие солдаты ненавидят офицеров. Глухая затаённая вражда к офицерам всё чаще прорывается наружу. Обер-лейтенант Георг Шиндлер, командир 10 роты, гнал солдат в атаку, угрожая расстрелом. Через три дня он был убит выстрелом в спину. Все розыски виновников не дали никаких результатов. Не помогли ни угрозы, ни обещания отпуска на родину тем, кто укажет причастных к убийству».</w:t>
      </w:r>
    </w:p>
    <w:p w14:paraId="6EB7023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Добровольно сдавшийся в плен солдат 558 полка 331 немецкой пехотной дивизии Иосиф К. сообщил: «Я был свидетелем и очевидцем зверской расправы немецких военных властей над мирным советским населением. В деревне Крюково было расстреляно около 200 стариков, женщин и детей. В деревне Бельня немцы расстреляли свыше 50 жителей».</w:t>
      </w:r>
    </w:p>
    <w:p w14:paraId="7DDDA97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Патриоты Польши самоотверженно ведут борьбу с немецко-фашистскимиоккупантами. За последнее время в Краковском воеводстве произошло много пожаров, в результате которых уничтожено большое количество фуража, заготовленного для немецкой армии. Поляки разбрасывают на шоссейных дорогах острые шипы, которые прокалывают покрышки автомашин. Они подсыпают песок в буксы вагонов, на перегонах отвинчивают гайки у рельсов и т. д. 18 мая недалеко от Сохачёва произошло крушение воинского эшелона, направлявшегося на Восток. В результате крушения уничтожено и повреждено 8 немецких танков.» (14905).</w:t>
      </w:r>
    </w:p>
    <w:p w14:paraId="3BBB02D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068A60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28 мая</w:t>
      </w:r>
      <w:r w:rsidRPr="008127F8">
        <w:rPr>
          <w:rFonts w:ascii="Times New Roman" w:hAnsi="Times New Roman"/>
          <w:color w:val="000000" w:themeColor="text1"/>
          <w:sz w:val="16"/>
          <w:szCs w:val="16"/>
        </w:rPr>
        <w:t xml:space="preserve"> в 1942 году вечернее сообщение Совинформбюро:</w:t>
      </w:r>
    </w:p>
    <w:p w14:paraId="19B6560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28 мая па Изюм-Барвенковском направлении наши войска отражали ожесточённые атаки танков и пехоты противника.</w:t>
      </w:r>
    </w:p>
    <w:p w14:paraId="030F0B3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остальных участках фронта ничего существенного не произошло.</w:t>
      </w:r>
    </w:p>
    <w:p w14:paraId="732DC0B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27 мая уничтожено 28 немецких самолётов. Наши потери — 18 самолётов.</w:t>
      </w:r>
    </w:p>
    <w:p w14:paraId="3D477C8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27 мая частями нашей авиации на разных участках фронта уничтожено или повреждено 32 немецких танка, 235 автомашин с войсками и грузами, 35 подвод с боеприпасами, 7 полевых и зенитных орудий, 6 миномётов, разбито 4 железнодорожных состава, рассеяно и частью уничтожено до одиннадцати рот пехоты противника.</w:t>
      </w:r>
    </w:p>
    <w:p w14:paraId="7A82546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участке Северо-Западного фронта происходили упорные бои. Подразделения т.т. Коцюбинского и Мирошниченко взорвали 93 вражеских ДЗОТа и блиндажа, уничтожили один немецкий танк, 7 орудий, 16 пулемётов, 2 миномёта и 6 автомашин с пехотой. Противник потерял свыше 500 солдат и офицеров. На другом участке артиллеристы части тов. Стоякова, действуя с дальних позиций, произвели мощный огневой налёт на крупную железнодорожную станцию, котораянаходится в руках немцев. Прямыми попаданиями разбито 10 вагонов с боеприпасами.</w:t>
      </w:r>
    </w:p>
    <w:p w14:paraId="74EC3D0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Калининского фронта, выбили немцев из двух населённых пунктов. На поле боя остались сотни вражеских трупов. Захвачены трофеи: 4 пулемета, 4 миномёта, 100.000 патронов, радиостанция и другое военное имущество. На другом участке часть, где командиром тов. Горбунов, отбила атаку врага и уничтожила 300 немецких солдат и офицеров.</w:t>
      </w:r>
    </w:p>
    <w:p w14:paraId="25EDC7C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Сержанты Пугачёв и Баринов огнём из пулемёта сбили немецкий бомбардировщик. Охваченный пламенем самолёт рухнул на землю. Экипаж сгорел.</w:t>
      </w:r>
    </w:p>
    <w:p w14:paraId="2E14EFF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1942 года учащийся одной из немецких офицерских школ Вольфганг Френтцель написал в своей записной книжке: «Завтра отправляемся на Восточный фронт. Наконец! Наконец! Наконец! Всё прекрасно...» Ниже публикуются выдержки из записей фашистского офицера Френтцеля после того, как он пробыл три месяца на фронте: «Уже третью ночь я не сплю. Солдаты выглядят, как звери. Все унылы, разочарованы, нервны, циничны. У них нет ничего святого: ни родины, ни семьи.Они изранены физически и духовно, ибо очень многие уже лежат мёртвыми в русской земле. Нам здесь приходится переносить что-то невероятное. Совершенно теряешь рассудок. Русские почти беспрерывно атакуют наши позиции. Это самое ужасное, что мне до сих пор довелось пережить. Ежедневно много убитых и раненых, стоны и крики о помощи. Кажется, я научился думать и судить иначе. То, что я раньше писал о войне, мне сегодня кажется смешным и нелепым. Всё это было ужасно глупо..."</w:t>
      </w:r>
    </w:p>
    <w:p w14:paraId="74476B3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обер-ефрейтор 5 роты 191 полка 71 немецкой пехотной дивизии Эрвин Пипе рассказал: «Я попал в плен 17 мая утром, вскоре после нашей неудачной контратаки. Результаты этого боя меня ужаснули. Кругом лежали убитые и раненые немецкие солдаты и офицеры. Среди убитых командир роты лейтенант Шна, командир первого взвода фельдфебель Гольц, командир 2 взвода лейтенант Эльтен, командир 3 взвода фельдфебель Гойер. Из всей нашей роты в живых осталось лишь несколько человек, которые были захвачены в плен».</w:t>
      </w:r>
    </w:p>
    <w:p w14:paraId="72E9008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одном из кинотеатров города Мюнхена (Германия) во время демонстрации кинообзора с советско-германского фронта произошла стихийная демонстрация женщин. В зале раздались крики: «Верните домой наших мужей, им незачем погибать на Востоке, верните их домой!». Полиция пыталась арестовать нескольких женщин. Однако находившиеся в зале солдаты-фронтовики помешали этому. Когда удалось очистить кинотеатр от зрителей, на улице произошло столкновение между полицией и населением. Ранено много женщин и несколько солдат. В городе произведены многочисленные аресты.</w:t>
      </w:r>
    </w:p>
    <w:p w14:paraId="6FC7573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пункте П. (Югославия) произошёл ожесточённый бой партизанского отряда с превосходящими во много раз силами итальянских захватчиков. Оттеснив оккупантов на равнину, партизаны начали их косить ружейно-пулемётным огнём. Итальянцы в панике бросились к мосту через реку. В это время группа смельчаков-партизан, рискуя жизнью, прорвалась к мосту с пулемётами и преградила врагу дорогу. 300 итальянских солдат бросились через реку вплавь. Только нескольким из них удалось спастись, все остальные погибли.» (14905).</w:t>
      </w:r>
    </w:p>
    <w:p w14:paraId="4D6A077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1152BAB" w14:textId="77777777" w:rsidR="00723C2A" w:rsidRPr="008A2E5A" w:rsidRDefault="00723C2A" w:rsidP="00723C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ночь на 28 мая 1942 года удар по пункту стратегического управления и связи Вермахта в Альтенбурге, в Восточной Пруссии стал одной из первых дальних операций АДД. Поступили све</w:t>
      </w:r>
      <w:r w:rsidRPr="008A2E5A">
        <w:rPr>
          <w:rFonts w:ascii="Times New Roman" w:hAnsi="Times New Roman"/>
          <w:color w:val="0070C0"/>
          <w:sz w:val="16"/>
          <w:szCs w:val="16"/>
        </w:rPr>
        <w:softHyphen/>
        <w:t>дения, что якобы туда прибыл сам Гитлер, и Голованов получил приказ Ставки разбомбить штаб. Однако разведка давала лишь приблизительное расположение зданий, точных ориентиров не было — и удар 17- й авиадивизии дальнего действия оказался неточен. Немцы никого сбить не смогли, но на одном Ил-4 за 30 минут до цели выявилась течь масла на правом моторе, и в момент атаки он отказал. Опытный пилот Н. Тарелкин в силь</w:t>
      </w:r>
      <w:r w:rsidRPr="008A2E5A">
        <w:rPr>
          <w:rFonts w:ascii="Times New Roman" w:hAnsi="Times New Roman"/>
          <w:color w:val="0070C0"/>
          <w:sz w:val="16"/>
          <w:szCs w:val="16"/>
        </w:rPr>
        <w:softHyphen/>
        <w:t>нейшую грозу смог дотянуть до своей территории и совершил посадку на озеро. Второй Ил-4, пилотируемый бывшим летчиком-инструктором С.П. Казьминым, пропал без вести. Поскольку зенитный огонь был слабым, а истребители в ту грозовую ночь не летали, причиной катастрофы мог стать не выключенный при полете в турбулентной атмосфере автопилот, стоявший на ма</w:t>
      </w:r>
      <w:r w:rsidRPr="008A2E5A">
        <w:rPr>
          <w:rFonts w:ascii="Times New Roman" w:hAnsi="Times New Roman"/>
          <w:color w:val="0070C0"/>
          <w:sz w:val="16"/>
          <w:szCs w:val="16"/>
        </w:rPr>
        <w:softHyphen/>
        <w:t>шине Казьмина (24139).</w:t>
      </w:r>
    </w:p>
    <w:p w14:paraId="4439131E" w14:textId="77777777" w:rsidR="00723C2A" w:rsidRPr="008A2E5A" w:rsidRDefault="00723C2A" w:rsidP="00723C2A">
      <w:pPr>
        <w:spacing w:after="0" w:line="240" w:lineRule="auto"/>
        <w:jc w:val="both"/>
        <w:rPr>
          <w:rFonts w:ascii="Times New Roman" w:hAnsi="Times New Roman"/>
          <w:color w:val="0070C0"/>
          <w:sz w:val="16"/>
          <w:szCs w:val="16"/>
        </w:rPr>
      </w:pPr>
    </w:p>
    <w:p w14:paraId="77AE21E5"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28 мая 1942</w:t>
      </w:r>
      <w:r>
        <w:rPr>
          <w:color w:val="000000" w:themeColor="text1"/>
          <w:sz w:val="16"/>
          <w:szCs w:val="16"/>
        </w:rPr>
        <w:t xml:space="preserve">  </w:t>
      </w:r>
      <w:r w:rsidRPr="008127F8">
        <w:rPr>
          <w:color w:val="000000" w:themeColor="text1"/>
          <w:sz w:val="16"/>
          <w:szCs w:val="16"/>
        </w:rPr>
        <w:t xml:space="preserve">г. самолет-разведчик обнаружил в районе острова Большой Тютерс вражеский конвой. Для нанесения удара по нему были вскоре посланы четыре Ил-2 </w:t>
      </w:r>
      <w:r w:rsidRPr="008127F8">
        <w:rPr>
          <w:color w:val="000000" w:themeColor="text1"/>
          <w:sz w:val="16"/>
          <w:szCs w:val="16"/>
        </w:rPr>
        <w:lastRenderedPageBreak/>
        <w:t>из 57-го пшап в сопровождении шести истребителей И-153 «Чайка» и четырех Як-1. На маршруте полета они следовали парами в строю «пеленг». Вначале они шли на бреющем полете прямо над сверкающим морем, а потом постепенно набрали высоту до 800 метров.</w:t>
      </w:r>
    </w:p>
    <w:p w14:paraId="6E574613"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В 11.50 пилоты «горбатых» увидели на горизонте силуэты четырех небольших транспортов и шести, предположительно, сторожевых кораблей. Судя по курсу, те следовали к устью реки Нарвы. Ведущий штурмовиков заместитель командира эскадрильи майор Антон Карасев решил атаковать наиболее крупные суда, занимавшие место в конце походного ордера. С кораблей охранения и транспортов открыли интенсивный зенитный огонь по приближавшимся самолетам. В результате тем пришлось сбрасывать бомбы с пологого пикирования с высоты 800 метров с предсказуемой точностью, а точнее сказать, неточностью. Тем временем летчики истребителей патрулировали под нижней кромкой облаков, оглядывая горизонт.</w:t>
      </w:r>
    </w:p>
    <w:p w14:paraId="252838B8"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Ни разу не попав, «черные смерти» развернулись для второго захода и несколько снизились. На этот раз ими были выпущены реактивные снаряды, огненным веером устремившиеся в сторону кораблей. При этом каждый пилот целился в отдельное судно. Рассеивание «эрэсов» было грандиозным, как во время салюта, но кому-то все же показалось, что пара ракет попала в цель. После этого все Ил-2 вернулись на свой аэродром и доложили о повреждении двух транспортов. Однако воздушная разведка затем сообщила, что атакованные корабли спокойно продолжали путь (19522).</w:t>
      </w:r>
    </w:p>
    <w:p w14:paraId="1314C164" w14:textId="77777777" w:rsidR="007C5583" w:rsidRPr="008127F8" w:rsidRDefault="007C5583" w:rsidP="007C5583">
      <w:pPr>
        <w:pStyle w:val="af"/>
        <w:spacing w:before="0" w:after="0"/>
        <w:jc w:val="both"/>
        <w:textAlignment w:val="baseline"/>
        <w:rPr>
          <w:color w:val="000000" w:themeColor="text1"/>
          <w:sz w:val="16"/>
          <w:szCs w:val="16"/>
        </w:rPr>
      </w:pPr>
    </w:p>
    <w:p w14:paraId="1E4BC4F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28 мая</w:t>
      </w:r>
      <w:r w:rsidRPr="008127F8">
        <w:rPr>
          <w:rFonts w:ascii="Times New Roman" w:hAnsi="Times New Roman"/>
          <w:color w:val="000000" w:themeColor="text1"/>
          <w:sz w:val="16"/>
          <w:szCs w:val="16"/>
        </w:rPr>
        <w:t xml:space="preserve"> в 1942 году на Волховском фронте, при попытке деблокады Ленинграда, окружена советская 2-я ударная армия, которой командовал генерал А.Власов. Генерал Власов вместе со штабом сдался немцам. Вопреки упорным слухам, сама армия не капитулировала, а сражалась до конца. Почти все попавшие в окружение погибли при прорыве кольца (14905).</w:t>
      </w:r>
    </w:p>
    <w:p w14:paraId="5BCEFA1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E5D021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мая 1942 10 Ил-4 из 5-го Гв.МТАП выставили мины в районе Мариуполь-коса Кривая, 29 мая 19 Ил-4 из того же полка заминировали подходы к порту Осипенко (ныне Бердянск). 30 июля 9 Ил-4 из 36-го МТАП осуществили ночной налет на Севастополь, причем 7 самолетов несли мины, а два - авиабомбы. Удалось заминировать входной фарватер базы, но при этом зенитным огнем был сбит один самолет. 31 июля 6 Ил-4 из 36-го МТАП заминировали подходы к Геническу. 24 октября 5 самолетов 36-го МТАП осуществили налет на Феодосию, при этом 4 Ил-4 сбросили мины, а один, отвлекая противника, отбомбился 13-ю ФАБ-100 по портовым сооружениям. По советским данным, частично подтвержденным противником, в 1942 г. на авиаминах подорвались 2 десантные баржи, 2 буксира, паром, лихтер и нефтеналивное судно. В 1942 г. авиация флота была задействована, в основном, на сухопутном фронте, и минные постановки выполнялись эпизодически. Отмечено только 5 групповых вылетов, причем для отвлечения противника в состав таких групп начали включать бомбардировщики (2867,33).</w:t>
      </w:r>
    </w:p>
    <w:p w14:paraId="4126465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650F2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мая 1942 на ЛенФ 6 и под командой ст.л А.Татарчука, вылетев на разведку, встретила 70 самолетов. Сбили 6 и вернулись без потерь (438,844).</w:t>
      </w:r>
    </w:p>
    <w:p w14:paraId="6402668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24983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мая 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самолет</w:t>
      </w:r>
      <w:r w:rsidRPr="008127F8">
        <w:rPr>
          <w:rFonts w:ascii="Times New Roman" w:hAnsi="Times New Roman"/>
          <w:color w:val="000000" w:themeColor="text1"/>
          <w:sz w:val="16"/>
          <w:szCs w:val="16"/>
        </w:rPr>
        <w:noBreakHyphen/>
        <w:t>разведчик обнаружил в районе острова Большой Тютерс вражеский конвой. Для нанесения удара по нему были вскоре посланы четыре Ил</w:t>
      </w:r>
      <w:r w:rsidRPr="008127F8">
        <w:rPr>
          <w:rFonts w:ascii="Times New Roman" w:hAnsi="Times New Roman"/>
          <w:color w:val="000000" w:themeColor="text1"/>
          <w:sz w:val="16"/>
          <w:szCs w:val="16"/>
        </w:rPr>
        <w:noBreakHyphen/>
        <w:t>2 из 57</w:t>
      </w:r>
      <w:r w:rsidRPr="008127F8">
        <w:rPr>
          <w:rFonts w:ascii="Times New Roman" w:hAnsi="Times New Roman"/>
          <w:color w:val="000000" w:themeColor="text1"/>
          <w:sz w:val="16"/>
          <w:szCs w:val="16"/>
        </w:rPr>
        <w:noBreakHyphen/>
        <w:t>го пшап в сопровождении шести истребителей И</w:t>
      </w:r>
      <w:r w:rsidRPr="008127F8">
        <w:rPr>
          <w:rFonts w:ascii="Times New Roman" w:hAnsi="Times New Roman"/>
          <w:color w:val="000000" w:themeColor="text1"/>
          <w:sz w:val="16"/>
          <w:szCs w:val="16"/>
        </w:rPr>
        <w:noBreakHyphen/>
        <w:t>153 «Чайка» и четырех Як</w:t>
      </w:r>
      <w:r w:rsidRPr="008127F8">
        <w:rPr>
          <w:rFonts w:ascii="Times New Roman" w:hAnsi="Times New Roman"/>
          <w:color w:val="000000" w:themeColor="text1"/>
          <w:sz w:val="16"/>
          <w:szCs w:val="16"/>
        </w:rPr>
        <w:noBreakHyphen/>
        <w:t>1. На маршруте полета они следовали парами в строю «пеленг». Вначале они шли на бреющем полете прямо над сверкающим морем, а потом постепенно набрали высоту до 800 метров.</w:t>
      </w:r>
    </w:p>
    <w:p w14:paraId="55F07F4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11.50 пилоты «горбатых» увидели на горизонте силуэты четырех небольших транспортов и шести, предположительно, сторожевых кораблей. Судя по курсу, те следовали к устью реки Нарвы. Ведущий штурмовиков заместитель командира эскадрильи майор Антон Карасев решил атаковать наиболее крупные суда, занимавшие место в конце походного ордера. С кораблей охранения и транспортов открыли интенсивный зенитный огонь по приближавшимся самолетам. В результате тем пришлось сбрасывать бомбы с пологого пикирования с высоты 800 метров с предсказуемой точностью, а точнее сказать, неточностью. Тем временем летчики истребителей патрулировали под нижней кромкой облаков, оглядывая горизонт.</w:t>
      </w:r>
    </w:p>
    <w:p w14:paraId="064E8B1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 разу не попав, «черные смерти» развернулись для второго захода и несколько снизились. На этот раз ими были выпущены реактивные снаряды, огненным веером устремившиеся в сторону кораблей. При этом каждый пилот целился в отдельное судно. Рассеивание «эрэсов» было грандиозным, как во время салюта, но кому</w:t>
      </w:r>
      <w:r w:rsidRPr="008127F8">
        <w:rPr>
          <w:rFonts w:ascii="Times New Roman" w:hAnsi="Times New Roman"/>
          <w:color w:val="000000" w:themeColor="text1"/>
          <w:sz w:val="16"/>
          <w:szCs w:val="16"/>
        </w:rPr>
        <w:noBreakHyphen/>
        <w:t>то все же показалось, что пара ракет попала в цель. После этого все Ил</w:t>
      </w:r>
      <w:r w:rsidRPr="008127F8">
        <w:rPr>
          <w:rFonts w:ascii="Times New Roman" w:hAnsi="Times New Roman"/>
          <w:color w:val="000000" w:themeColor="text1"/>
          <w:sz w:val="16"/>
          <w:szCs w:val="16"/>
        </w:rPr>
        <w:noBreakHyphen/>
        <w:t>2 вернулись на свой аэродром и доложили о повреждении двух транспортов. Однако воздушная разведка затем сообщила, что атакованные корабли спокойно продолжали путь (23199).</w:t>
      </w:r>
    </w:p>
    <w:p w14:paraId="0E3B178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C032B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28 мая по 14 июля 1942 немецкая авиация потеряла в районе Кронштадта 24 самолета - 71-й иап насчитывающий около 20 истребителей И-153 и И-16потерь не имел. Комиссар полка И.И.Сербии за этот период сбил на И-153 три Не 111 лично и один в паре. В светлую "белую" ночь на 3 июня 1942 г. Сербии находился в зоне ожидания на высоте 1000 метров. Обнаружив "хейнкель", пилот атаковал его РСами. после чего немец упал в районе горы Пухтола и взорвался. Возвращаясь в свою зону в районе острова Котлин Сербии обнаружил еще один Не 111 и атаковал его с короткой дистанции, после чего вражеский бомбардировщик упал в воду на глазах у всего гарнизона Кронштадта (12014).</w:t>
      </w:r>
    </w:p>
    <w:p w14:paraId="70977F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0B823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28 May 1942 German victory at Kharkhov (270).</w:t>
      </w:r>
    </w:p>
    <w:p w14:paraId="778E959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40DFBE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мая 1942 немцы одержали победу под Харьковом (270) уничтожив значительные советские силы (2261).</w:t>
      </w:r>
    </w:p>
    <w:p w14:paraId="1785A75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7231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мая 1942 в 4./ Sch.G.1 (аэродром Барвенково в 60 км северо-западнее Константиновки) в первой половине дня те же четыре пилота выполнили на обстрел КВ-1 по три самолето-вылета каждый. "Снова выяснилось, что при углах пикирования 10-30^ без достаточной тренировки добиться попаданий очень трудно" - при расходе 102 снарядов не было получено ни одного попадания в танк.</w:t>
      </w:r>
    </w:p>
    <w:p w14:paraId="20D3045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Видимо, посчитав, что стоящий в поле у Барвенково советский КВ-1 заколдован и "расстрелу" не подвержен, немецкие летчики решили попытать счастье и "расстрелять" другой КВ-1, подбитый немецкими танкистами недалеко от Очеретино.</w:t>
      </w:r>
    </w:p>
    <w:p w14:paraId="5A598F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обеда четверка немецких летчиков выполнила по очеретиновскому КВ-1 12 самолето-вылетов. Углы пикирования остались прежними. Дистанция стрельбы была уменьшена до 300-500 м, а минимальная допустимая высота для маневра после выхода из атаки - до 15-25 м. В результате при расходе 94 снарядов было получено 12 попаданий в КВ-1. При этом в танк попали только три пилота, четвертому так и не удалось открыть счет.</w:t>
      </w:r>
    </w:p>
    <w:p w14:paraId="38D31BE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12 попаданий в КВ-1 б пришлись на боковую броню башни, 1 - в сварной шов соединения задней и боковой стенок башни, 2 - в боковую броню корпуса танка, 1 - в левый подкрылок и 2 попадания - в элементы ходовой части (гусеница и направляющее колесо).</w:t>
      </w:r>
    </w:p>
    <w:p w14:paraId="15E24FC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этом ни один из попавших в башню и корпус танка 30-мм снарядов броню не пробил и серьезных разрушений элементам конструкции танка не нанес. Во всех случаях снаряды разрушались и застревали внутри брони, образовывая несквозные пробоины, выбоины и вмятины разной глубины.</w:t>
      </w:r>
    </w:p>
    <w:p w14:paraId="261A42A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одном случае имелась сквозная пробоина при попадании снаряда в левый подкрылок. Однако каких-либо разрушений вертикальной броне корпуса танка, расположенной за подкрылком, осколки снаряда не нанесли.</w:t>
      </w:r>
    </w:p>
    <w:p w14:paraId="587AF81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трех случаях наблюдались рикошеты - от башни, от гусеницы и от направляющего колеса.</w:t>
      </w:r>
    </w:p>
    <w:p w14:paraId="008BC5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Самое интересное, что вышестоящему немецкому командованию лихо докладывалось: "С уверенностью можно сказать, что броня в 100 мм пробивается....30-мм бронебойный снаряд 101 обладает достаточной бронепробиваемостью и может быть с успехом использован на Нs129 из МК101 для подавления тяжелых русских танков...".</w:t>
      </w:r>
    </w:p>
    <w:p w14:paraId="0D2D155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Анализ фотографий "расстрелянного" КВ-1 позволяет сделать вывод, что специалисты генштаба люфтваффе и летный состав 4./Sch.G. 1, мягко скажем, "втирали очки" своему начальству и выдавали желаемое за действительное.</w:t>
      </w:r>
    </w:p>
    <w:p w14:paraId="15994B6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Свои выводы они построили на том факте, что один из снарядов попал в сварной шов соединения кормового бронелиста башни и прошел по шву на глубину около 120 мм. Ясно, что это весьма и весьма редкий случай, никаких разрушений внутри танка быть не могло и танк потерять боеспособность не мог. То, что в других случаях не было и намека на сквозные пробоины и серьезные повреждения элементов конструкции танка, в расчет ими почему-то не принималось...</w:t>
      </w:r>
    </w:p>
    <w:p w14:paraId="34EDAF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Оценки показывают, что под калиберный снаряд к МК101 при стрельбе в воздухе с самолета Hsl29B-l мог пробить советскую танковую броню толщиной до 52 мм с дистанции не более 300 м при угле встречи 0" (угол между направлением полета снаряда и нормалью к поверхности брони), а броню 45 мм - при угле встречи около 25".</w:t>
      </w:r>
    </w:p>
    <w:p w14:paraId="1D68243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Бронебойный снаряд из боекомплекта к этой пушке таким результатом похвастаться не мог - с 300 м при угле встречи 30" снаряд пробивал только 36мм броню, а при нормальном попадании - броню толщиной до 44 мм.</w:t>
      </w:r>
    </w:p>
    <w:p w14:paraId="3F432A6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 есть при стрельбе подкалиберными снарядами к пушке МК101 с Hsl29B-l тяжелые советские танки типа KB не поражались ни при каких условиях атаки.</w:t>
      </w:r>
    </w:p>
    <w:p w14:paraId="0EBE01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 же время при стрельбе с пикирования под углами 10-30° поражение бортовой и башенной брони советских легких танков типа Т-60 и Т-70 подкалиберными снарядами было возможным практически с любого направления атаки и дистанций стрельбы до 400-500 м. Надмоторная броня и броня крыши башни при этом не поражались (8907).</w:t>
      </w:r>
    </w:p>
    <w:p w14:paraId="2A4F524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131FA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первой половине дня 28 мая 1942 четыре немецких пилота выполнили на обстрел КВ-1 по три самолето-вылета каждый.</w:t>
      </w:r>
      <w:r w:rsidRPr="008127F8">
        <w:rPr>
          <w:rStyle w:val="ArialNarrow85pt"/>
          <w:rFonts w:ascii="Times New Roman" w:hAnsi="Times New Roman" w:cs="Times New Roman"/>
          <w:i w:val="0"/>
          <w:color w:val="000000" w:themeColor="text1"/>
          <w:sz w:val="16"/>
          <w:szCs w:val="16"/>
        </w:rPr>
        <w:t xml:space="preserve"> «Снова выяснилось, что при углах пикирования 10-30°, без достаточной тренировки до</w:t>
      </w:r>
      <w:r w:rsidRPr="008127F8">
        <w:rPr>
          <w:rStyle w:val="ArialNarrow85pt"/>
          <w:rFonts w:ascii="Times New Roman" w:hAnsi="Times New Roman" w:cs="Times New Roman"/>
          <w:i w:val="0"/>
          <w:color w:val="000000" w:themeColor="text1"/>
          <w:sz w:val="16"/>
          <w:szCs w:val="16"/>
        </w:rPr>
        <w:softHyphen/>
        <w:t>биться попаданий очень трудно»</w:t>
      </w:r>
      <w:r w:rsidRPr="008127F8">
        <w:rPr>
          <w:rFonts w:ascii="Times New Roman" w:hAnsi="Times New Roman"/>
          <w:color w:val="000000" w:themeColor="text1"/>
          <w:sz w:val="16"/>
          <w:szCs w:val="16"/>
        </w:rPr>
        <w:t xml:space="preserve"> - при расходе 102 снарядов не было получено ни одного попадания в танк.</w:t>
      </w:r>
    </w:p>
    <w:p w14:paraId="38B2A25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Видимо посчитав, что КВ-1, стоящий в поле у Барвенково, заколдован и «расстре</w:t>
      </w:r>
      <w:r w:rsidRPr="008127F8">
        <w:rPr>
          <w:rFonts w:ascii="Times New Roman" w:hAnsi="Times New Roman"/>
          <w:color w:val="000000" w:themeColor="text1"/>
          <w:sz w:val="16"/>
          <w:szCs w:val="16"/>
        </w:rPr>
        <w:softHyphen/>
        <w:t>лу» не подвержен, немецкие летчики реши</w:t>
      </w:r>
      <w:r w:rsidRPr="008127F8">
        <w:rPr>
          <w:rFonts w:ascii="Times New Roman" w:hAnsi="Times New Roman"/>
          <w:color w:val="000000" w:themeColor="text1"/>
          <w:sz w:val="16"/>
          <w:szCs w:val="16"/>
        </w:rPr>
        <w:softHyphen/>
        <w:t>ли попытать счастье и «расстрелять» другой танк, подбитый недалеко от Очеретино.</w:t>
      </w:r>
    </w:p>
    <w:p w14:paraId="380B88F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обеда, четверка немецких лет</w:t>
      </w:r>
      <w:r w:rsidRPr="008127F8">
        <w:rPr>
          <w:rFonts w:ascii="Times New Roman" w:hAnsi="Times New Roman"/>
          <w:color w:val="000000" w:themeColor="text1"/>
          <w:sz w:val="16"/>
          <w:szCs w:val="16"/>
        </w:rPr>
        <w:softHyphen/>
        <w:t>чиков выполнила по очеретиновскому КВ-1 12 самолето-вылетов. Углы пикирования остались прежними. Дистанция стрельбы была уменьшена до 300-500 м, а мини</w:t>
      </w:r>
      <w:r w:rsidRPr="008127F8">
        <w:rPr>
          <w:rFonts w:ascii="Times New Roman" w:hAnsi="Times New Roman"/>
          <w:color w:val="000000" w:themeColor="text1"/>
          <w:sz w:val="16"/>
          <w:szCs w:val="16"/>
        </w:rPr>
        <w:softHyphen/>
        <w:t>мальная допустимая высота для маневра после выхода из атаки - до 15-25 м. В ре</w:t>
      </w:r>
      <w:r w:rsidRPr="008127F8">
        <w:rPr>
          <w:rFonts w:ascii="Times New Roman" w:hAnsi="Times New Roman"/>
          <w:color w:val="000000" w:themeColor="text1"/>
          <w:sz w:val="16"/>
          <w:szCs w:val="16"/>
        </w:rPr>
        <w:softHyphen/>
        <w:t>зультате при расходе 94 снарядов было по</w:t>
      </w:r>
      <w:r w:rsidRPr="008127F8">
        <w:rPr>
          <w:rFonts w:ascii="Times New Roman" w:hAnsi="Times New Roman"/>
          <w:color w:val="000000" w:themeColor="text1"/>
          <w:sz w:val="16"/>
          <w:szCs w:val="16"/>
        </w:rPr>
        <w:softHyphen/>
        <w:t>лучено 12 попаданий. В танк попали только три пилота, четвертому так и не удалось открыть счет.</w:t>
      </w:r>
    </w:p>
    <w:p w14:paraId="2D91B0D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этом ни один из попавших в башню и корпус танка 30-мм снарядов броню не пробил и серьезных разрушений элемен</w:t>
      </w:r>
      <w:r w:rsidRPr="008127F8">
        <w:rPr>
          <w:rFonts w:ascii="Times New Roman" w:hAnsi="Times New Roman"/>
          <w:color w:val="000000" w:themeColor="text1"/>
          <w:sz w:val="16"/>
          <w:szCs w:val="16"/>
        </w:rPr>
        <w:softHyphen/>
        <w:t>там конструкции танка не нанес. Во всех случаях снаряды разрушались и застрева</w:t>
      </w:r>
      <w:r w:rsidRPr="008127F8">
        <w:rPr>
          <w:rFonts w:ascii="Times New Roman" w:hAnsi="Times New Roman"/>
          <w:color w:val="000000" w:themeColor="text1"/>
          <w:sz w:val="16"/>
          <w:szCs w:val="16"/>
        </w:rPr>
        <w:softHyphen/>
        <w:t>ли внутри брони, образовывая выбоины и вмятины разной глубины.</w:t>
      </w:r>
    </w:p>
    <w:p w14:paraId="4939E46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трех случаях наблюдались рикошеты - от башни, от гусеницы и от направляюще</w:t>
      </w:r>
      <w:r w:rsidRPr="008127F8">
        <w:rPr>
          <w:rFonts w:ascii="Times New Roman" w:hAnsi="Times New Roman"/>
          <w:color w:val="000000" w:themeColor="text1"/>
          <w:sz w:val="16"/>
          <w:szCs w:val="16"/>
        </w:rPr>
        <w:softHyphen/>
        <w:t>го колеса.</w:t>
      </w:r>
    </w:p>
    <w:p w14:paraId="4CFCE58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Самое интересное, что вышестоящему немецкому командованию лихо докладыва</w:t>
      </w:r>
      <w:r w:rsidRPr="008127F8">
        <w:rPr>
          <w:rFonts w:ascii="Times New Roman" w:hAnsi="Times New Roman"/>
          <w:color w:val="000000" w:themeColor="text1"/>
          <w:sz w:val="16"/>
          <w:szCs w:val="16"/>
        </w:rPr>
        <w:softHyphen/>
        <w:t>лось:</w:t>
      </w:r>
      <w:r w:rsidRPr="008127F8">
        <w:rPr>
          <w:rStyle w:val="ArialNarrow85pt"/>
          <w:rFonts w:ascii="Times New Roman" w:hAnsi="Times New Roman" w:cs="Times New Roman"/>
          <w:i w:val="0"/>
          <w:color w:val="000000" w:themeColor="text1"/>
          <w:sz w:val="16"/>
          <w:szCs w:val="16"/>
        </w:rPr>
        <w:t xml:space="preserve"> «С уверенностью можно сказать, что броня в 100 мм пробивается. ...30-мм бро</w:t>
      </w:r>
    </w:p>
    <w:p w14:paraId="1CFEC4F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Трофейные документы, найденные в Нз 129В-1, сбитом в июне 1942 г. на Юго- Западном фронте, проливают некоторый «свет» на реальные боевые свойства «хен- шеля» с пушкой МК101, как противотан</w:t>
      </w:r>
      <w:r w:rsidRPr="008127F8">
        <w:rPr>
          <w:rFonts w:ascii="Times New Roman" w:hAnsi="Times New Roman"/>
          <w:color w:val="000000" w:themeColor="text1"/>
          <w:sz w:val="16"/>
          <w:szCs w:val="16"/>
        </w:rPr>
        <w:softHyphen/>
        <w:t>кового самолета. Это был отчет № 210/42 от 5 июня 1942 г. на имя командующего истребительной авиации люфтваффе о проведении полигонных испытаний пушек МК101 стрельбой в воздухе с самолета Нз 129В-1 по танкам КВ-1.</w:t>
      </w:r>
    </w:p>
    <w:p w14:paraId="74D6E56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отчетных материалов следует, что в период с 25 по 29 мая 1942 г. в 4./5сИ.С.1 (аэродром Барвенково в 60 км северо- западнее Константиновки) находилась группа специалистов Генерального штаба люфтваффе. В их задачу входило оказание помощи личному составу 4-й эскадрильи в практическом применении для борьбы с советскими танками пушек МК101 и снаря</w:t>
      </w:r>
      <w:r w:rsidRPr="008127F8">
        <w:rPr>
          <w:rFonts w:ascii="Times New Roman" w:hAnsi="Times New Roman"/>
          <w:color w:val="000000" w:themeColor="text1"/>
          <w:sz w:val="16"/>
          <w:szCs w:val="16"/>
        </w:rPr>
        <w:softHyphen/>
        <w:t>дов к ним.</w:t>
      </w:r>
    </w:p>
    <w:p w14:paraId="732CCBE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и 28 мая была организована прак</w:t>
      </w:r>
      <w:r w:rsidRPr="008127F8">
        <w:rPr>
          <w:rFonts w:ascii="Times New Roman" w:hAnsi="Times New Roman"/>
          <w:color w:val="000000" w:themeColor="text1"/>
          <w:sz w:val="16"/>
          <w:szCs w:val="16"/>
        </w:rPr>
        <w:softHyphen/>
        <w:t>тическая стрельба по находящимся неда</w:t>
      </w:r>
      <w:r w:rsidRPr="008127F8">
        <w:rPr>
          <w:rFonts w:ascii="Times New Roman" w:hAnsi="Times New Roman"/>
          <w:color w:val="000000" w:themeColor="text1"/>
          <w:sz w:val="16"/>
          <w:szCs w:val="16"/>
        </w:rPr>
        <w:softHyphen/>
        <w:t>леко от аэродрома танкам КВ-1, подбитых немецкими танкистами в ходе операции по окружению советских войск в районе Барвенковского выступа.</w:t>
      </w:r>
    </w:p>
    <w:p w14:paraId="189680F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в течение дня четырьмя экипа</w:t>
      </w:r>
      <w:r w:rsidRPr="008127F8">
        <w:rPr>
          <w:rFonts w:ascii="Times New Roman" w:hAnsi="Times New Roman"/>
          <w:color w:val="000000" w:themeColor="text1"/>
          <w:sz w:val="16"/>
          <w:szCs w:val="16"/>
        </w:rPr>
        <w:softHyphen/>
        <w:t>жами было выполнено 12 самолето-вы</w:t>
      </w:r>
      <w:r w:rsidRPr="008127F8">
        <w:rPr>
          <w:rFonts w:ascii="Times New Roman" w:hAnsi="Times New Roman"/>
          <w:color w:val="000000" w:themeColor="text1"/>
          <w:sz w:val="16"/>
          <w:szCs w:val="16"/>
        </w:rPr>
        <w:softHyphen/>
        <w:t>летов. Атаки выполнялись с пикирования под углами 10-30' строго поперек танка. Стрельба велась подкалиберными снаря</w:t>
      </w:r>
      <w:r w:rsidRPr="008127F8">
        <w:rPr>
          <w:rFonts w:ascii="Times New Roman" w:hAnsi="Times New Roman"/>
          <w:color w:val="000000" w:themeColor="text1"/>
          <w:sz w:val="16"/>
          <w:szCs w:val="16"/>
        </w:rPr>
        <w:softHyphen/>
        <w:t>дами с вольфрамовым сердечником.</w:t>
      </w:r>
    </w:p>
    <w:p w14:paraId="60DEFBF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испытаниям бронебойный снаряд 101 обладает достаточ</w:t>
      </w:r>
      <w:r w:rsidRPr="008127F8">
        <w:rPr>
          <w:rFonts w:ascii="Times New Roman" w:hAnsi="Times New Roman"/>
          <w:color w:val="000000" w:themeColor="text1"/>
          <w:sz w:val="16"/>
          <w:szCs w:val="16"/>
        </w:rPr>
        <w:softHyphen/>
        <w:t>ной бронепробиваемостью и может быть с успехом использован на Нз129 из МК101 для подавления тяжелых русских танков...».</w:t>
      </w:r>
    </w:p>
    <w:p w14:paraId="65752A5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Анализ фотографий «расстрелянного» КВ-1 позволяет сделать вывод, что специ</w:t>
      </w:r>
      <w:r w:rsidRPr="008127F8">
        <w:rPr>
          <w:rFonts w:ascii="Times New Roman" w:hAnsi="Times New Roman"/>
          <w:color w:val="000000" w:themeColor="text1"/>
          <w:sz w:val="16"/>
          <w:szCs w:val="16"/>
        </w:rPr>
        <w:softHyphen/>
        <w:t>алисты генштаба люфтваффе и летный состав 4./5сН.С.1, мягко скажем, «втирали очки» своему начальству и выдавали жела</w:t>
      </w:r>
      <w:r w:rsidRPr="008127F8">
        <w:rPr>
          <w:rFonts w:ascii="Times New Roman" w:hAnsi="Times New Roman"/>
          <w:color w:val="000000" w:themeColor="text1"/>
          <w:sz w:val="16"/>
          <w:szCs w:val="16"/>
        </w:rPr>
        <w:softHyphen/>
        <w:t>емое за действительное.</w:t>
      </w:r>
    </w:p>
    <w:p w14:paraId="5AE53B5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Свои выводы они построили на том факте, что один из снарядов попал в сварной шов соединения кормового бро- нелиста башни и прошел по шву на глуби</w:t>
      </w:r>
      <w:r w:rsidRPr="008127F8">
        <w:rPr>
          <w:rFonts w:ascii="Times New Roman" w:hAnsi="Times New Roman"/>
          <w:color w:val="000000" w:themeColor="text1"/>
          <w:sz w:val="16"/>
          <w:szCs w:val="16"/>
        </w:rPr>
        <w:softHyphen/>
        <w:t>ну около 120 мм. Ясно, что это весьма и весьма редкий случай. При этом никаких разрушений внутри танка быть не могло. То, что в других случаях не было и намека на сквозные пробоины и серьезные по</w:t>
      </w:r>
      <w:r w:rsidRPr="008127F8">
        <w:rPr>
          <w:rFonts w:ascii="Times New Roman" w:hAnsi="Times New Roman"/>
          <w:color w:val="000000" w:themeColor="text1"/>
          <w:sz w:val="16"/>
          <w:szCs w:val="16"/>
        </w:rPr>
        <w:softHyphen/>
        <w:t>вреждения элементов конструкции танка в расчет почему-то не принималось...</w:t>
      </w:r>
    </w:p>
    <w:p w14:paraId="27236C1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Реально бронебойный снаряд к этой пушке с 300 м при угле встречи 0° снаряд пробивал только броню толщиной до 44 мм, а подкалиберный - до 52 мм.</w:t>
      </w:r>
    </w:p>
    <w:p w14:paraId="14F6EAF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 есть тяжелые советские танки не по</w:t>
      </w:r>
      <w:r w:rsidRPr="008127F8">
        <w:rPr>
          <w:rFonts w:ascii="Times New Roman" w:hAnsi="Times New Roman"/>
          <w:color w:val="000000" w:themeColor="text1"/>
          <w:sz w:val="16"/>
          <w:szCs w:val="16"/>
        </w:rPr>
        <w:softHyphen/>
        <w:t>ражались ни при каких условиях атаки.</w:t>
      </w:r>
    </w:p>
    <w:p w14:paraId="5FA04D6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Вот поражение бортовой и башенной брони советских легких танков типа Т-60 и Т-70 специальными подкалиберными снарядами было возможным практически с любого направления атаки и дистанций стрельбы до 400-500 м. Правда, надмо- торная броня и крыша башни при этом не поражались.</w:t>
      </w:r>
    </w:p>
    <w:p w14:paraId="23C5920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Анализ схемы бронирования советско</w:t>
      </w:r>
      <w:r w:rsidRPr="008127F8">
        <w:rPr>
          <w:rFonts w:ascii="Times New Roman" w:hAnsi="Times New Roman"/>
          <w:color w:val="000000" w:themeColor="text1"/>
          <w:sz w:val="16"/>
          <w:szCs w:val="16"/>
        </w:rPr>
        <w:softHyphen/>
        <w:t>го среднего танка Т-34-76 и возможностей пушки МК101 показывает, что при углах пикирования Нз129 около 25-30° подкали</w:t>
      </w:r>
      <w:r w:rsidRPr="008127F8">
        <w:rPr>
          <w:rFonts w:ascii="Times New Roman" w:hAnsi="Times New Roman"/>
          <w:color w:val="000000" w:themeColor="text1"/>
          <w:sz w:val="16"/>
          <w:szCs w:val="16"/>
        </w:rPr>
        <w:softHyphen/>
        <w:t>берный снаряд к пушке мог пробить 52 мм броню башни «тридцатьчетверки» только при стрельбе с дистанции не более 250 м, а бортовую 40-мм броню - не более 600 м.</w:t>
      </w:r>
    </w:p>
    <w:p w14:paraId="6D7FDFD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при оценке эффективно</w:t>
      </w:r>
      <w:r w:rsidRPr="008127F8">
        <w:rPr>
          <w:rFonts w:ascii="Times New Roman" w:hAnsi="Times New Roman"/>
          <w:color w:val="000000" w:themeColor="text1"/>
          <w:sz w:val="16"/>
          <w:szCs w:val="16"/>
        </w:rPr>
        <w:softHyphen/>
        <w:t>сти атаки самолетов по танкам и другим типовым наземным целям необходимо учитывать следующие факторы.</w:t>
      </w:r>
    </w:p>
    <w:p w14:paraId="5DBA6DD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Если начинать стрельбу сразу же по</w:t>
      </w:r>
      <w:r w:rsidRPr="008127F8">
        <w:rPr>
          <w:rFonts w:ascii="Times New Roman" w:hAnsi="Times New Roman"/>
          <w:color w:val="000000" w:themeColor="text1"/>
          <w:sz w:val="16"/>
          <w:szCs w:val="16"/>
        </w:rPr>
        <w:softHyphen/>
        <w:t>сле разворота на цель, не выдерживая самолет в прямолинейном полете, то сна</w:t>
      </w:r>
      <w:r w:rsidRPr="008127F8">
        <w:rPr>
          <w:rFonts w:ascii="Times New Roman" w:hAnsi="Times New Roman"/>
          <w:color w:val="000000" w:themeColor="text1"/>
          <w:sz w:val="16"/>
          <w:szCs w:val="16"/>
        </w:rPr>
        <w:softHyphen/>
        <w:t>ряды в очереди будут отнесены от цели во внешнюю сторону разворота. Полигонные испытания, показывали, что относ снаря</w:t>
      </w:r>
      <w:r w:rsidRPr="008127F8">
        <w:rPr>
          <w:rFonts w:ascii="Times New Roman" w:hAnsi="Times New Roman"/>
          <w:color w:val="000000" w:themeColor="text1"/>
          <w:sz w:val="16"/>
          <w:szCs w:val="16"/>
        </w:rPr>
        <w:softHyphen/>
        <w:t>дов в типовых условиях атаки для Нз129В мог составлять 11-14 м. Это в 2-3 раза больше размеров любого советского танка. Для устранения этого явления, не</w:t>
      </w:r>
      <w:r w:rsidRPr="008127F8">
        <w:rPr>
          <w:rFonts w:ascii="Times New Roman" w:hAnsi="Times New Roman"/>
          <w:color w:val="000000" w:themeColor="text1"/>
          <w:sz w:val="16"/>
          <w:szCs w:val="16"/>
        </w:rPr>
        <w:softHyphen/>
        <w:t>обходимо в течение 1,5-2 с «задержать» крен и выдержать самолет в прямолиней</w:t>
      </w:r>
      <w:r w:rsidRPr="008127F8">
        <w:rPr>
          <w:rFonts w:ascii="Times New Roman" w:hAnsi="Times New Roman"/>
          <w:color w:val="000000" w:themeColor="text1"/>
          <w:sz w:val="16"/>
          <w:szCs w:val="16"/>
        </w:rPr>
        <w:softHyphen/>
        <w:t>ном полете.</w:t>
      </w:r>
    </w:p>
    <w:p w14:paraId="54153A0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прицеливание и исправление на</w:t>
      </w:r>
      <w:r w:rsidRPr="008127F8">
        <w:rPr>
          <w:rFonts w:ascii="Times New Roman" w:hAnsi="Times New Roman"/>
          <w:color w:val="000000" w:themeColor="text1"/>
          <w:sz w:val="16"/>
          <w:szCs w:val="16"/>
        </w:rPr>
        <w:softHyphen/>
        <w:t>водки между очередями летчику с хоро</w:t>
      </w:r>
      <w:r w:rsidRPr="008127F8">
        <w:rPr>
          <w:rFonts w:ascii="Times New Roman" w:hAnsi="Times New Roman"/>
          <w:color w:val="000000" w:themeColor="text1"/>
          <w:sz w:val="16"/>
          <w:szCs w:val="16"/>
        </w:rPr>
        <w:softHyphen/>
        <w:t>шей квалификацией требуется в среднем 1,5-2 с. То есть, при «правильном» выпол</w:t>
      </w:r>
      <w:r w:rsidRPr="008127F8">
        <w:rPr>
          <w:rFonts w:ascii="Times New Roman" w:hAnsi="Times New Roman"/>
          <w:color w:val="000000" w:themeColor="text1"/>
          <w:sz w:val="16"/>
          <w:szCs w:val="16"/>
        </w:rPr>
        <w:softHyphen/>
        <w:t>нении атаки наземной цели открытие огня должно происходить не раньше, чем через 3-4 с.</w:t>
      </w:r>
    </w:p>
    <w:p w14:paraId="4D61209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Поскольку ведение стрельбы из МК101 очередью свыше 4-5 снарядов из-за вли</w:t>
      </w:r>
      <w:r w:rsidRPr="008127F8">
        <w:rPr>
          <w:rFonts w:ascii="Times New Roman" w:hAnsi="Times New Roman"/>
          <w:color w:val="000000" w:themeColor="text1"/>
          <w:sz w:val="16"/>
          <w:szCs w:val="16"/>
        </w:rPr>
        <w:softHyphen/>
        <w:t>яния силы отдачи пушки на самолет при</w:t>
      </w:r>
      <w:r w:rsidRPr="008127F8">
        <w:rPr>
          <w:rFonts w:ascii="Times New Roman" w:hAnsi="Times New Roman"/>
          <w:color w:val="000000" w:themeColor="text1"/>
          <w:sz w:val="16"/>
          <w:szCs w:val="16"/>
        </w:rPr>
        <w:softHyphen/>
        <w:t>водит к нарушению наводки самолета на цель и к значительному увеличению рассе</w:t>
      </w:r>
      <w:r w:rsidRPr="008127F8">
        <w:rPr>
          <w:rFonts w:ascii="Times New Roman" w:hAnsi="Times New Roman"/>
          <w:color w:val="000000" w:themeColor="text1"/>
          <w:sz w:val="16"/>
          <w:szCs w:val="16"/>
        </w:rPr>
        <w:softHyphen/>
        <w:t>ивания снарядов, то длина одной очереди ограничивается 1 с.</w:t>
      </w:r>
    </w:p>
    <w:p w14:paraId="222B7A0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 есть, для гарантированного вы</w:t>
      </w:r>
      <w:r w:rsidRPr="008127F8">
        <w:rPr>
          <w:rFonts w:ascii="Times New Roman" w:hAnsi="Times New Roman"/>
          <w:color w:val="000000" w:themeColor="text1"/>
          <w:sz w:val="16"/>
          <w:szCs w:val="16"/>
        </w:rPr>
        <w:softHyphen/>
        <w:t>ведения из строя одного Т-34-76 коман</w:t>
      </w:r>
      <w:r w:rsidRPr="008127F8">
        <w:rPr>
          <w:rFonts w:ascii="Times New Roman" w:hAnsi="Times New Roman"/>
          <w:color w:val="000000" w:themeColor="text1"/>
          <w:sz w:val="16"/>
          <w:szCs w:val="16"/>
        </w:rPr>
        <w:softHyphen/>
        <w:t>дованию люфтваффе необходимо было выделять не менее четырех-пяти десятков бронированных «хеншелей». Такой резуль</w:t>
      </w:r>
      <w:r w:rsidRPr="008127F8">
        <w:rPr>
          <w:rFonts w:ascii="Times New Roman" w:hAnsi="Times New Roman"/>
          <w:color w:val="000000" w:themeColor="text1"/>
          <w:sz w:val="16"/>
          <w:szCs w:val="16"/>
        </w:rPr>
        <w:softHyphen/>
        <w:t>тат нельзя признать высоким (12728).</w:t>
      </w:r>
    </w:p>
    <w:p w14:paraId="78F6059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14217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28 мая 1942, несмотря на упорную оборону на земле и в воздухе, продвижение немецких групп южнее Харькова продолжалось безостановочно. Все попытки прорыва окружения закончились провалом. По немецким данным, южнее Харькова было взято 239000 пленных, еще 75000 советских солдат было убито в ходе операции. Битва под Харьковом стала одной из классических операций окружения и уничтожения обороняющихся войск. И как показал анализ, вклад люфтваффе в эту операции был довольно весомый. Полковник Герман Плохер отмечал: “На способность к сопротивлению обороняющихся войск, находящихся в окружении западнее Изюма, сильно повлияла концентрированная и мощная поддержка 4 Воздушного корпуса. Огромные потери в людях и технике обороняющихся войск были следствием почти круглосуточных воздушных атак”. IV-й корпус люфтваффе заявил об уничтожении 596 советских самолетов в воздухе и 19 на земле, 227 танков, 3038 автомашин, 24 батарей полевой артиллерии, 2 батарей зенитной артиллерии, 49 орудий, 22 паровозов и 6 эшелонов. Потери самого IV-го корпуса оцениваются в 49 самолетов (9394,16).</w:t>
      </w:r>
    </w:p>
    <w:p w14:paraId="2F7B1E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4AE0C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мая 1942 на Волховском фронте окружена советская 2-я ударная армия, которой командовал генерал А. Власов (4962).</w:t>
      </w:r>
    </w:p>
    <w:p w14:paraId="509D764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CF48A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8127F8">
        <w:rPr>
          <w:rFonts w:ascii="Times New Roman" w:hAnsi="Times New Roman"/>
          <w:i/>
          <w:iCs/>
          <w:color w:val="000000" w:themeColor="text1"/>
          <w:sz w:val="16"/>
          <w:szCs w:val="16"/>
        </w:rPr>
        <w:t>Внешняя политика:</w:t>
      </w:r>
    </w:p>
    <w:p w14:paraId="0223E83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369172B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мая 1942 на второй день пребывания на аэродроме Рейкьявика с материка дали добро на полет. Вылет был назначен на полночь. Но как назло, именно в этот день перестал дуть ветер и над аэродромом насту</w:t>
      </w:r>
      <w:r w:rsidRPr="008127F8">
        <w:rPr>
          <w:rFonts w:ascii="Times New Roman" w:hAnsi="Times New Roman"/>
          <w:color w:val="000000" w:themeColor="text1"/>
          <w:sz w:val="16"/>
          <w:szCs w:val="16"/>
        </w:rPr>
        <w:softHyphen/>
        <w:t>пил штиль. Немного подождав и видя, что аэродромный ветроуказатель повис на мачте, командир все же принял решение взлетать. Была слита одна тонна горючего и принято решение взлетать в сторону залива, так как конец взлетной полосы, выходящий к заливу, заканчивался обрывом, противоположный же ее конец выходил прямо на город. Пыта</w:t>
      </w:r>
      <w:r w:rsidRPr="008127F8">
        <w:rPr>
          <w:rFonts w:ascii="Times New Roman" w:hAnsi="Times New Roman"/>
          <w:color w:val="000000" w:themeColor="text1"/>
          <w:sz w:val="16"/>
          <w:szCs w:val="16"/>
        </w:rPr>
        <w:softHyphen/>
        <w:t>ясь выиграть каждый метр, самолет зарулил в самый конец полосы, так, что дутик хвостово</w:t>
      </w:r>
      <w:r w:rsidRPr="008127F8">
        <w:rPr>
          <w:rFonts w:ascii="Times New Roman" w:hAnsi="Times New Roman"/>
          <w:color w:val="000000" w:themeColor="text1"/>
          <w:sz w:val="16"/>
          <w:szCs w:val="16"/>
        </w:rPr>
        <w:softHyphen/>
        <w:t>го колеса вышел за ее пределы. Трудность взлета состояла еще и в том, что вдоль полосы по обеим ее сторонам стояли самолеты. На взлете моторам был дан форсаж, но режим моторов был неровным, в результате чего самолет начал съезжать вправо в сторону стоящих вдоль правого края полосы летаю</w:t>
      </w:r>
      <w:r w:rsidRPr="008127F8">
        <w:rPr>
          <w:rFonts w:ascii="Times New Roman" w:hAnsi="Times New Roman"/>
          <w:color w:val="000000" w:themeColor="text1"/>
          <w:sz w:val="16"/>
          <w:szCs w:val="16"/>
        </w:rPr>
        <w:softHyphen/>
        <w:t>щих лодок «Каталин». Но командир, нажав на левую педаль руля поворота, заставил корабль прекратить съезжать в правый край полосы. Однако этого не хватило - рядом с законцовкой правого крыла опять замелька</w:t>
      </w:r>
      <w:r w:rsidRPr="008127F8">
        <w:rPr>
          <w:rFonts w:ascii="Times New Roman" w:hAnsi="Times New Roman"/>
          <w:color w:val="000000" w:themeColor="text1"/>
          <w:sz w:val="16"/>
          <w:szCs w:val="16"/>
        </w:rPr>
        <w:softHyphen/>
        <w:t>ли носы «Каталин», еще немного, и произош</w:t>
      </w:r>
      <w:r w:rsidRPr="008127F8">
        <w:rPr>
          <w:rFonts w:ascii="Times New Roman" w:hAnsi="Times New Roman"/>
          <w:color w:val="000000" w:themeColor="text1"/>
          <w:sz w:val="16"/>
          <w:szCs w:val="16"/>
        </w:rPr>
        <w:softHyphen/>
        <w:t>ло бы столкновение, но тут Пусэп резко кру</w:t>
      </w:r>
      <w:r w:rsidRPr="008127F8">
        <w:rPr>
          <w:rFonts w:ascii="Times New Roman" w:hAnsi="Times New Roman"/>
          <w:color w:val="000000" w:themeColor="text1"/>
          <w:sz w:val="16"/>
          <w:szCs w:val="16"/>
        </w:rPr>
        <w:softHyphen/>
        <w:t>танул штурвал влево, и правое крыло припод</w:t>
      </w:r>
      <w:r w:rsidRPr="008127F8">
        <w:rPr>
          <w:rFonts w:ascii="Times New Roman" w:hAnsi="Times New Roman"/>
          <w:color w:val="000000" w:themeColor="text1"/>
          <w:sz w:val="16"/>
          <w:szCs w:val="16"/>
        </w:rPr>
        <w:softHyphen/>
        <w:t>нялось - носы «Каталин» мелькали уже под законцовкой крыла. К концу взлетной поло</w:t>
      </w:r>
      <w:r w:rsidRPr="008127F8">
        <w:rPr>
          <w:rFonts w:ascii="Times New Roman" w:hAnsi="Times New Roman"/>
          <w:color w:val="000000" w:themeColor="text1"/>
          <w:sz w:val="16"/>
          <w:szCs w:val="16"/>
        </w:rPr>
        <w:softHyphen/>
        <w:t>сы корабль еще не набрал нужной скорости для отрыва от земли и стал проседать в обрыв, которым закончилась взлетная поло</w:t>
      </w:r>
      <w:r w:rsidRPr="008127F8">
        <w:rPr>
          <w:rFonts w:ascii="Times New Roman" w:hAnsi="Times New Roman"/>
          <w:color w:val="000000" w:themeColor="text1"/>
          <w:sz w:val="16"/>
          <w:szCs w:val="16"/>
        </w:rPr>
        <w:softHyphen/>
        <w:t>са, несясь к воде залива. Казалось бы, ката</w:t>
      </w:r>
      <w:r w:rsidRPr="008127F8">
        <w:rPr>
          <w:rFonts w:ascii="Times New Roman" w:hAnsi="Times New Roman"/>
          <w:color w:val="000000" w:themeColor="text1"/>
          <w:sz w:val="16"/>
          <w:szCs w:val="16"/>
        </w:rPr>
        <w:softHyphen/>
        <w:t xml:space="preserve">строфы не миновать, но ТБ-7 успел все же разогнаться и начал набирать высоту. Так прошел взлет </w:t>
      </w:r>
      <w:r w:rsidRPr="008127F8">
        <w:rPr>
          <w:rStyle w:val="400"/>
          <w:rFonts w:ascii="Times New Roman" w:eastAsiaTheme="minorHAnsi" w:hAnsi="Times New Roman" w:cs="Times New Roman"/>
          <w:color w:val="000000" w:themeColor="text1"/>
          <w:sz w:val="16"/>
          <w:szCs w:val="16"/>
        </w:rPr>
        <w:t xml:space="preserve">с </w:t>
      </w:r>
      <w:r w:rsidRPr="008127F8">
        <w:rPr>
          <w:rFonts w:ascii="Times New Roman" w:hAnsi="Times New Roman"/>
          <w:color w:val="000000" w:themeColor="text1"/>
          <w:sz w:val="16"/>
          <w:szCs w:val="16"/>
        </w:rPr>
        <w:t xml:space="preserve">аэродрома Рейкьявика, наверное, самая опасная часть перелета, и начался полет через «большую лужу» </w:t>
      </w:r>
      <w:r w:rsidRPr="008127F8">
        <w:rPr>
          <w:rStyle w:val="400"/>
          <w:rFonts w:ascii="Times New Roman" w:eastAsiaTheme="minorHAnsi" w:hAnsi="Times New Roman" w:cs="Times New Roman"/>
          <w:color w:val="000000" w:themeColor="text1"/>
          <w:sz w:val="16"/>
          <w:szCs w:val="16"/>
        </w:rPr>
        <w:t>-</w:t>
      </w:r>
      <w:r w:rsidRPr="008127F8">
        <w:rPr>
          <w:rStyle w:val="417"/>
          <w:rFonts w:ascii="Times New Roman" w:hAnsi="Times New Roman" w:cs="Times New Roman"/>
          <w:color w:val="000000" w:themeColor="text1"/>
          <w:sz w:val="16"/>
          <w:szCs w:val="16"/>
          <w:lang w:val="ru"/>
        </w:rPr>
        <w:t xml:space="preserve"> </w:t>
      </w:r>
      <w:r w:rsidRPr="008127F8">
        <w:rPr>
          <w:rFonts w:ascii="Times New Roman" w:hAnsi="Times New Roman"/>
          <w:color w:val="000000" w:themeColor="text1"/>
          <w:sz w:val="16"/>
          <w:szCs w:val="16"/>
        </w:rPr>
        <w:t>Атлантический океан. Во время полета дол</w:t>
      </w:r>
      <w:r w:rsidRPr="008127F8">
        <w:rPr>
          <w:rFonts w:ascii="Times New Roman" w:hAnsi="Times New Roman"/>
          <w:color w:val="000000" w:themeColor="text1"/>
          <w:sz w:val="16"/>
          <w:szCs w:val="16"/>
        </w:rPr>
        <w:softHyphen/>
        <w:t>гое время не могли связаться с аэродромом предполагаемой посадки. Используя выпуск</w:t>
      </w:r>
      <w:r w:rsidRPr="008127F8">
        <w:rPr>
          <w:rFonts w:ascii="Times New Roman" w:hAnsi="Times New Roman"/>
          <w:color w:val="000000" w:themeColor="text1"/>
          <w:sz w:val="16"/>
          <w:szCs w:val="16"/>
        </w:rPr>
        <w:softHyphen/>
        <w:t>ную восьмидесятиметровую антенну для настройки на радиомаяки и для связи узнали, что аэродром Тендер закрыт туманом, а над Гус-Бей ясная погода. Решили туда и лететь. Через 7 часов 32 минуты после взлета с аэро</w:t>
      </w:r>
      <w:r w:rsidRPr="008127F8">
        <w:rPr>
          <w:rFonts w:ascii="Times New Roman" w:hAnsi="Times New Roman"/>
          <w:color w:val="000000" w:themeColor="text1"/>
          <w:sz w:val="16"/>
          <w:szCs w:val="16"/>
        </w:rPr>
        <w:softHyphen/>
        <w:t xml:space="preserve">дрома Рейкьявика корабль сел на аэродроме Гус-Бей. Выйдя из самолета, они услышали русскую речь рабочих </w:t>
      </w:r>
      <w:r w:rsidRPr="008127F8">
        <w:rPr>
          <w:rStyle w:val="400"/>
          <w:rFonts w:ascii="Times New Roman" w:eastAsiaTheme="minorHAnsi" w:hAnsi="Times New Roman" w:cs="Times New Roman"/>
          <w:color w:val="000000" w:themeColor="text1"/>
          <w:sz w:val="16"/>
          <w:szCs w:val="16"/>
        </w:rPr>
        <w:t xml:space="preserve">- </w:t>
      </w:r>
      <w:r w:rsidRPr="008127F8">
        <w:rPr>
          <w:rFonts w:ascii="Times New Roman" w:hAnsi="Times New Roman"/>
          <w:color w:val="000000" w:themeColor="text1"/>
          <w:sz w:val="16"/>
          <w:szCs w:val="16"/>
        </w:rPr>
        <w:t>это были потомки русских людей, которые остались на Аляске после ее присоединения к США. И сейчас они приехали строить этот аэродром.</w:t>
      </w:r>
    </w:p>
    <w:p w14:paraId="04EB527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Пробыв недолго в Гус-Бее и подготовив корабль к новому полету, взлетели и взяли курс на Монреаль. Радист Кемпбелл не мог связаться с землей. Все дело в том, что он для связи использовал шифр военного времени, а американские радисты все еще пользова</w:t>
      </w:r>
      <w:r w:rsidRPr="008127F8">
        <w:rPr>
          <w:rFonts w:ascii="Times New Roman" w:hAnsi="Times New Roman"/>
          <w:color w:val="000000" w:themeColor="text1"/>
          <w:sz w:val="16"/>
          <w:szCs w:val="16"/>
        </w:rPr>
        <w:softHyphen/>
        <w:t>лись международным кодом. Наши радисты предложили ему попробовать воспользо</w:t>
      </w:r>
      <w:r w:rsidRPr="008127F8">
        <w:rPr>
          <w:rFonts w:ascii="Times New Roman" w:hAnsi="Times New Roman"/>
          <w:color w:val="000000" w:themeColor="text1"/>
          <w:sz w:val="16"/>
          <w:szCs w:val="16"/>
        </w:rPr>
        <w:softHyphen/>
        <w:t>ваться международным кодом, и в результате связь была налажена. Из Монреаля пришло предложение там и сесть. Но наши штурманы запротестовали и предложили лететь дальше до Вашингтона. Поблагодарив и отказавшись от предложения, продолжили полет до Вашингтона. С приближением к Вашингтону температура за бортом все поднималась вверх. Моторы стали перегреваться и из капотов по крылу начало литься моторное масло. Вскоре был выключен третий мотор, так как у него сгорели свечи. Через некото</w:t>
      </w:r>
      <w:r w:rsidRPr="008127F8">
        <w:rPr>
          <w:rFonts w:ascii="Times New Roman" w:hAnsi="Times New Roman"/>
          <w:color w:val="000000" w:themeColor="text1"/>
          <w:sz w:val="16"/>
          <w:szCs w:val="16"/>
        </w:rPr>
        <w:softHyphen/>
        <w:t>рое время был убран газ еще у одного мото</w:t>
      </w:r>
      <w:r w:rsidRPr="008127F8">
        <w:rPr>
          <w:rFonts w:ascii="Times New Roman" w:hAnsi="Times New Roman"/>
          <w:color w:val="000000" w:themeColor="text1"/>
          <w:sz w:val="16"/>
          <w:szCs w:val="16"/>
        </w:rPr>
        <w:softHyphen/>
        <w:t>ра. Так на двух с половиной моторах через 7 часов 50 минут после взлета с аэродрома Гус-Бей долетели и сели на одном из аэродромов в Вашингтоне. При посадке командир кораб</w:t>
      </w:r>
      <w:r w:rsidRPr="008127F8">
        <w:rPr>
          <w:rFonts w:ascii="Times New Roman" w:hAnsi="Times New Roman"/>
          <w:color w:val="000000" w:themeColor="text1"/>
          <w:sz w:val="16"/>
          <w:szCs w:val="16"/>
        </w:rPr>
        <w:softHyphen/>
        <w:t>ля немного промахнулся и самолет коснулся полосы аэродрома почти в ее середине. Чтобы не выкатиться за полосу, пришлось резко тормозить, в результате чего с протек</w:t>
      </w:r>
      <w:r w:rsidRPr="008127F8">
        <w:rPr>
          <w:rFonts w:ascii="Times New Roman" w:hAnsi="Times New Roman"/>
          <w:color w:val="000000" w:themeColor="text1"/>
          <w:sz w:val="16"/>
          <w:szCs w:val="16"/>
        </w:rPr>
        <w:softHyphen/>
        <w:t>тора левого колеса шасси было содрано несколько слоев резины. Так, взлетев в пол</w:t>
      </w:r>
      <w:r w:rsidRPr="008127F8">
        <w:rPr>
          <w:rFonts w:ascii="Times New Roman" w:hAnsi="Times New Roman"/>
          <w:color w:val="000000" w:themeColor="text1"/>
          <w:sz w:val="16"/>
          <w:szCs w:val="16"/>
        </w:rPr>
        <w:softHyphen/>
        <w:t>ночь с 28 на 29 мая с аэродрома Рейкьявик и совершив промежуточную посадку на Аэро</w:t>
      </w:r>
      <w:r w:rsidRPr="008127F8">
        <w:rPr>
          <w:rFonts w:ascii="Times New Roman" w:hAnsi="Times New Roman"/>
          <w:color w:val="000000" w:themeColor="text1"/>
          <w:sz w:val="16"/>
          <w:szCs w:val="16"/>
        </w:rPr>
        <w:softHyphen/>
        <w:t>дроме Гус-Бей для заправки, утром 30 мая ТБ- 7 прибыл в Вашингтон, пролетев за 15 часов 22 минуты 4700 километров. Весь перелет из Москвы в Вашингтон занял почти одинна</w:t>
      </w:r>
      <w:r w:rsidRPr="008127F8">
        <w:rPr>
          <w:rFonts w:ascii="Times New Roman" w:hAnsi="Times New Roman"/>
          <w:color w:val="000000" w:themeColor="text1"/>
          <w:sz w:val="16"/>
          <w:szCs w:val="16"/>
        </w:rPr>
        <w:softHyphen/>
        <w:t>дцать дней, полетное время составило 30 часов 46 минут (19936).</w:t>
      </w:r>
    </w:p>
    <w:p w14:paraId="52C78A9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C1D1AF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139FB0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3FF86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28 мая</w:t>
      </w:r>
      <w:r w:rsidRPr="008127F8">
        <w:rPr>
          <w:rFonts w:ascii="Times New Roman" w:hAnsi="Times New Roman"/>
          <w:color w:val="000000" w:themeColor="text1"/>
          <w:sz w:val="16"/>
          <w:szCs w:val="16"/>
        </w:rPr>
        <w:t xml:space="preserve"> в 1942 году сошел с поточной линии «Boeing» последний </w:t>
      </w:r>
      <w:hyperlink r:id="rId38" w:tgtFrame="_blank" w:history="1">
        <w:r w:rsidRPr="008127F8">
          <w:rPr>
            <w:rFonts w:ascii="Times New Roman" w:hAnsi="Times New Roman"/>
            <w:color w:val="000000" w:themeColor="text1"/>
            <w:sz w:val="16"/>
            <w:szCs w:val="16"/>
          </w:rPr>
          <w:t xml:space="preserve">«B-17E». </w:t>
        </w:r>
      </w:hyperlink>
      <w:r w:rsidRPr="008127F8">
        <w:rPr>
          <w:rFonts w:ascii="Times New Roman" w:hAnsi="Times New Roman"/>
          <w:color w:val="000000" w:themeColor="text1"/>
          <w:sz w:val="16"/>
          <w:szCs w:val="16"/>
        </w:rPr>
        <w:t>Экипаж «B-17E» обычно состоял из десяти человек: пилота, второго пилота, бомбардира, штурмана, бортинженера, радиооператора, хвостового стрелка, стрелка подфюзеляжной установки, и двух стрелков в боковых окнах. Носовой пулемет обслуживался или штурманом или бомбардиром когда они не были заняты выполнением своей первичной задачи. Попасть в «B-17Е» можно было тремя путями: через носовой люк, размещенный внизу слева, основную дверь перед правым стабилизатором, и аварийный люк хвостового стрелка под правым рулем высоты. Большинство экипажей «B-17Е» входило в самолет через основную дверь, поскольку этот вход был самым просторным, а члены экипажа были одеты в 18 кг летные костюмы из кожи и овчины и несли на себе парашюты. Рядом с носовым люком имелся стол штурмана для карт со всем необходимым оборудованием. Над столом располагался небольшой плексигласовый астрокупол (14905).</w:t>
      </w:r>
    </w:p>
    <w:p w14:paraId="612940B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6A56AD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28 мая</w:t>
      </w:r>
      <w:r w:rsidRPr="008127F8">
        <w:rPr>
          <w:rFonts w:ascii="Times New Roman" w:hAnsi="Times New Roman"/>
          <w:color w:val="000000" w:themeColor="text1"/>
          <w:sz w:val="16"/>
          <w:szCs w:val="16"/>
        </w:rPr>
        <w:t xml:space="preserve"> в 1942 году «Бранденбуржцы» радиоотделения «Черепаха» Аберле и Вебер схвачены в Каире сотрудниками британской военной полиции. Перекрыт один из каналов поступления оперативной развединформации в штаб-квартиру Роммеля в Северной Африке (14905).</w:t>
      </w:r>
    </w:p>
    <w:p w14:paraId="1300FF0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84423C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мая 1942 в Норвегии фашистами казнены 258 евреев (4962).</w:t>
      </w:r>
    </w:p>
    <w:p w14:paraId="591D75A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36E1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665A79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DA1D5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мая 1942 вышло Постановление ГКО № 1827 О ремонте моторов на самолетах Пе-2 в 223-й авиадивизии и наказании виновных в поставке дефектных моторов. РГАНИР, Фонд ГКО, д. 36, лл. 169 (11012).</w:t>
      </w:r>
    </w:p>
    <w:p w14:paraId="3EA4B79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24415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мая 1942 вышло Постановление ГКО № 1826 О выпуске самолетов Як-1 с моторами М-105ПФ. РГАНИР, Фонд ГКО, д. 36, лл. 168 (11012).</w:t>
      </w:r>
    </w:p>
    <w:p w14:paraId="19ECBC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10A5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29 мая 1942 292 завод стал делать Як-1 с М-105ПФ, но полный переход закончился лишь в июле из-за недостатка моторов (198,47).</w:t>
      </w:r>
    </w:p>
    <w:p w14:paraId="5B9E84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другим данным в этот день вышло только соответствующее постановление ГКО и выпуск должны были начать с 4 июня 1942 (65,59).</w:t>
      </w:r>
    </w:p>
    <w:p w14:paraId="6B5C35B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851A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мая 1942 вышло постановления ГКО N ГОКО-1826с о выпуске Як-1 только с М-105ПФ на 292 заводе (1359,39).</w:t>
      </w:r>
    </w:p>
    <w:p w14:paraId="4C4EC2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8D7F5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29 мая 1942 вышло постановления ГКО N ГОКО-1826с о выпуске Як-1 только с М-105ПФ на 292 заводе </w:t>
      </w:r>
    </w:p>
    <w:p w14:paraId="435B192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Обязать НКАП - тов.Шахурина и директора завода № 292 - тов.Левина с 4 июня 1942 года выпускать самолеты Як-1 толь</w:t>
      </w:r>
      <w:r w:rsidRPr="008127F8">
        <w:rPr>
          <w:rFonts w:ascii="Times New Roman" w:hAnsi="Times New Roman"/>
          <w:color w:val="000000" w:themeColor="text1"/>
          <w:sz w:val="16"/>
          <w:szCs w:val="16"/>
        </w:rPr>
        <w:softHyphen/>
        <w:t>ко с моторами М-105ПМ и с измененной входной частью туннеля водорадиатора (19337).</w:t>
      </w:r>
    </w:p>
    <w:p w14:paraId="18E1B4C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5E02F0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мая 1942 г. согласно постановлению ГКО, завод № 292 с 4 июня перешел на выпуск Як-1 с новым мотором. К сожалению, новые моторы поступали не в требуемом количестве, поэтому переход на установку М-105ПФ начался с самолета № 2769 и осуществился полностью с № 1570.</w:t>
      </w:r>
    </w:p>
    <w:p w14:paraId="2479BE8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новые формы гондол проблем с температурными режимами не решили. Как показали сравнительные летные испытания самолетов Як-1 № 3673, 1474, 4174, 2175, 2675, 0676, 1376, 1676, 2076, 2276 с новыми и старыми водо- и маслогондолами, закончившиеся 3 июля 1942 г., ощутимых улучшений в работе систем охлаждения мотора они не дали. Поэтому частям ВВС было дано указание ограничить обороты мотора в течение первых десяти часов его работы. В горизонтальном полете на максимальной скорости на высотах ниже высоты переключения скоростей нагнетателя обороты мотора ограничивались величиной 2250, а в наборе высоты 2600 об/мин. При этом частично терялось достигнутое преимущество от установки М-Ю5ПФ. проявлявшееся как раз на малых высотах.</w:t>
      </w:r>
    </w:p>
    <w:p w14:paraId="6D8EC2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Указанный недостаток системы охлаждения стал хроническим. Проведенные 12 марта 1943 г. испытания Як-1 № 02119, 20120, 10123, 17124. 38124, 17125, 25125, 11126, 29126 опять подтвердили вывод о том, что она не обеспечивает нормального температурного режима в полете на максимальной скорости. Плохая работа ВМГ стала одной из основных причин получения оценки "неудовлетворительно" при контрольных испытаниях вНИИ ВВС машин № 04111, 07127. Но, несмотря на это, выпуск самолетов не прекращался, и, соответственно, все проблемы опять легли на плечи летно-техничес- кого состава (12048).</w:t>
      </w:r>
    </w:p>
    <w:p w14:paraId="18B5FB2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70EFF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мая 1942 вышло Постановление ГКО № 1825 О комиссии. для проведения государственных испытаний мотора М-71, производства завода № 19. РГАНИР, Фонд ГКО, д. 36, лл. 167 (11012).</w:t>
      </w:r>
    </w:p>
    <w:p w14:paraId="3FB3C1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146B9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мая 1942 вышло Постановление ГКО № 1825 О комиссии. для проведения государственных испытаний мотора М-71, производства завода № 19</w:t>
      </w:r>
    </w:p>
    <w:p w14:paraId="206FD93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проведения государственных испытаний мотора М-71 на станке, производства завода № 19, назначить комиссию в следующем составе:</w:t>
      </w:r>
    </w:p>
    <w:p w14:paraId="7DEC112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 - Сеничкин Г.В. - ведущий инженер НИИ ВВС КА - военинженер 1 ранга</w:t>
      </w:r>
    </w:p>
    <w:p w14:paraId="645A012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Члены комиссии - Сабуров А.II. - старший военпред на заво де </w:t>
      </w:r>
      <w:r w:rsidRPr="008127F8">
        <w:rPr>
          <w:rFonts w:ascii="Times New Roman" w:hAnsi="Times New Roman"/>
          <w:color w:val="000000" w:themeColor="text1"/>
          <w:sz w:val="16"/>
          <w:szCs w:val="16"/>
          <w:lang w:val="en-US"/>
        </w:rPr>
        <w:t>w</w:t>
      </w:r>
      <w:r w:rsidRPr="008127F8">
        <w:rPr>
          <w:rFonts w:ascii="Times New Roman" w:hAnsi="Times New Roman"/>
          <w:color w:val="000000" w:themeColor="text1"/>
          <w:sz w:val="16"/>
          <w:szCs w:val="16"/>
        </w:rPr>
        <w:t xml:space="preserve"> 19 - военинженер П ранга</w:t>
      </w:r>
    </w:p>
    <w:p w14:paraId="6BEAC07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Четверик И.К. - военпред на заводе № 19- военинженер П ранга</w:t>
      </w:r>
    </w:p>
    <w:p w14:paraId="27E718E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Киселев А.И. - инженер ЦИАМ</w:t>
      </w:r>
    </w:p>
    <w:p w14:paraId="67B4522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Яковлевский В.В. - старший инженер 8 Главного Управления НКАП.</w:t>
      </w:r>
    </w:p>
    <w:p w14:paraId="0BC181E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Комиссии приступить к проведению государственных испытаний мотора М-71 на станке с 30 мая 1У42 года. Отчет выводы о результатах испытаний представить на утверждение ГОКО в десятижневный срок после окончания испытаний (19336).</w:t>
      </w:r>
    </w:p>
    <w:p w14:paraId="19A0866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E510C5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мая 1942 был захвачен Bf 109F-1 N 7640 желтая 12, который потом испытывался в НИИ ВВС, был передан США и 1 марта 1943 поступил на полигон Wright Field и получил код ЕВ-100 (2466,114).</w:t>
      </w:r>
    </w:p>
    <w:p w14:paraId="46522C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DCE35C" w14:textId="77777777" w:rsidR="00723C2A" w:rsidRPr="008A2E5A" w:rsidRDefault="00723C2A" w:rsidP="00723C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 мая 1942 г. унтер-офицер Э. Фолькман из группы III/JG3 вместе со своим ведомым, ефрейтором А. Куном, потеряли ориентиров</w:t>
      </w:r>
      <w:r w:rsidRPr="008A2E5A">
        <w:rPr>
          <w:rFonts w:ascii="Times New Roman" w:hAnsi="Times New Roman"/>
          <w:color w:val="0070C0"/>
          <w:sz w:val="16"/>
          <w:szCs w:val="16"/>
        </w:rPr>
        <w:softHyphen/>
        <w:t>ку и посадили на пашню в районе Чугуева два вполне исправных Bf 109F-4. Один из них, с зав. №. 7640 и желтым бортовым номером «12» на фюзеляже, отсняли в разных ракурсах и подготовили к проведению испытаний в НИИ ВВС. Однако выяснилось, что находив</w:t>
      </w:r>
      <w:r w:rsidRPr="008A2E5A">
        <w:rPr>
          <w:rFonts w:ascii="Times New Roman" w:hAnsi="Times New Roman"/>
          <w:color w:val="0070C0"/>
          <w:sz w:val="16"/>
          <w:szCs w:val="16"/>
        </w:rPr>
        <w:softHyphen/>
        <w:t>шийся в США трофейный «Фридрих» разбил</w:t>
      </w:r>
      <w:r w:rsidRPr="008A2E5A">
        <w:rPr>
          <w:rFonts w:ascii="Times New Roman" w:hAnsi="Times New Roman"/>
          <w:color w:val="0070C0"/>
          <w:sz w:val="16"/>
          <w:szCs w:val="16"/>
        </w:rPr>
        <w:softHyphen/>
        <w:t>ся, и союзники попросили уступить им анало</w:t>
      </w:r>
      <w:r w:rsidRPr="008A2E5A">
        <w:rPr>
          <w:rFonts w:ascii="Times New Roman" w:hAnsi="Times New Roman"/>
          <w:color w:val="0070C0"/>
          <w:sz w:val="16"/>
          <w:szCs w:val="16"/>
        </w:rPr>
        <w:softHyphen/>
        <w:t>гичную машину. Командующий ВВС КА генерал А.А. Новиков санкционировал от</w:t>
      </w:r>
      <w:r w:rsidRPr="008A2E5A">
        <w:rPr>
          <w:rFonts w:ascii="Times New Roman" w:hAnsi="Times New Roman"/>
          <w:color w:val="0070C0"/>
          <w:sz w:val="16"/>
          <w:szCs w:val="16"/>
        </w:rPr>
        <w:softHyphen/>
        <w:t>правку нового «мессершмитта» за океан. Из западных источников известно, что Bf 109F-4 (зав. № 7640) под тактическим обозначением ЕВ-1, а затем — ЕВ-100 успешно прошел пол</w:t>
      </w:r>
      <w:r w:rsidRPr="008A2E5A">
        <w:rPr>
          <w:rFonts w:ascii="Times New Roman" w:hAnsi="Times New Roman"/>
          <w:color w:val="0070C0"/>
          <w:sz w:val="16"/>
          <w:szCs w:val="16"/>
        </w:rPr>
        <w:softHyphen/>
        <w:t>ный комплекс летных испытаний (24195).</w:t>
      </w:r>
    </w:p>
    <w:p w14:paraId="310AF8D8" w14:textId="77777777" w:rsidR="00723C2A" w:rsidRPr="008A2E5A" w:rsidRDefault="00723C2A" w:rsidP="00723C2A">
      <w:pPr>
        <w:spacing w:after="0" w:line="240" w:lineRule="auto"/>
        <w:jc w:val="both"/>
        <w:rPr>
          <w:rFonts w:ascii="Times New Roman" w:hAnsi="Times New Roman"/>
          <w:color w:val="0070C0"/>
          <w:sz w:val="16"/>
          <w:szCs w:val="16"/>
        </w:rPr>
      </w:pPr>
    </w:p>
    <w:p w14:paraId="597AA4F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29 мая 1942 г. в районе Чугуева заблудились и совершили вынужденную посадку за линией фронта унтер-офицер Э. Фолькман и ефрейтор А. Кун. Советским солдатам достались два практически исправных </w:t>
      </w:r>
      <w:r w:rsidRPr="008127F8">
        <w:rPr>
          <w:rFonts w:ascii="Times New Roman" w:hAnsi="Times New Roman"/>
          <w:color w:val="000000" w:themeColor="text1"/>
          <w:sz w:val="16"/>
          <w:szCs w:val="16"/>
          <w:lang w:val="en-US"/>
        </w:rPr>
        <w:t>Bf</w:t>
      </w:r>
      <w:r w:rsidRPr="008127F8">
        <w:rPr>
          <w:rFonts w:ascii="Times New Roman" w:hAnsi="Times New Roman"/>
          <w:color w:val="000000" w:themeColor="text1"/>
          <w:sz w:val="16"/>
          <w:szCs w:val="16"/>
        </w:rPr>
        <w:t xml:space="preserve"> 109</w:t>
      </w:r>
      <w:r w:rsidRPr="008127F8">
        <w:rPr>
          <w:rFonts w:ascii="Times New Roman" w:hAnsi="Times New Roman"/>
          <w:color w:val="000000" w:themeColor="text1"/>
          <w:sz w:val="16"/>
          <w:szCs w:val="16"/>
          <w:lang w:val="en-US"/>
        </w:rPr>
        <w:t>F</w:t>
      </w:r>
      <w:r w:rsidRPr="008127F8">
        <w:rPr>
          <w:rFonts w:ascii="Times New Roman" w:hAnsi="Times New Roman"/>
          <w:color w:val="000000" w:themeColor="text1"/>
          <w:sz w:val="16"/>
          <w:szCs w:val="16"/>
        </w:rPr>
        <w:t xml:space="preserve">-4. Самолет №7640 эвакуировали и подготовили к испытаниям, однако, по просьбе представителей США эту машину отправили за океан. Изучением и осмотром трофейных истребителей не ограничивались. Еще летом 1942 г. в Новочеркасске сформировали специальное разведывательное подразделение под командованием майора Телегина. Оно включало два </w:t>
      </w:r>
      <w:r w:rsidRPr="008127F8">
        <w:rPr>
          <w:rFonts w:ascii="Times New Roman" w:hAnsi="Times New Roman"/>
          <w:color w:val="000000" w:themeColor="text1"/>
          <w:sz w:val="16"/>
          <w:szCs w:val="16"/>
          <w:lang w:val="en-US"/>
        </w:rPr>
        <w:t>Bf</w:t>
      </w:r>
      <w:r w:rsidRPr="008127F8">
        <w:rPr>
          <w:rFonts w:ascii="Times New Roman" w:hAnsi="Times New Roman"/>
          <w:color w:val="000000" w:themeColor="text1"/>
          <w:sz w:val="16"/>
          <w:szCs w:val="16"/>
        </w:rPr>
        <w:t xml:space="preserve"> 109</w:t>
      </w:r>
      <w:r w:rsidRPr="008127F8">
        <w:rPr>
          <w:rFonts w:ascii="Times New Roman" w:hAnsi="Times New Roman"/>
          <w:color w:val="000000" w:themeColor="text1"/>
          <w:sz w:val="16"/>
          <w:szCs w:val="16"/>
          <w:lang w:val="en-US"/>
        </w:rPr>
        <w:t>F</w:t>
      </w:r>
      <w:r w:rsidRPr="008127F8">
        <w:rPr>
          <w:rFonts w:ascii="Times New Roman" w:hAnsi="Times New Roman"/>
          <w:color w:val="000000" w:themeColor="text1"/>
          <w:sz w:val="16"/>
          <w:szCs w:val="16"/>
        </w:rPr>
        <w:t>, на которых на советскую сторону перелетели словацкие летчики. Аэродрома они не нашли и приземлились на поле с убранными шасси. После ремонта и нанесения красных звезд на фюзеляже и вертикальном оперении самолеты решили использовать для разведки в тылу врага. Фотоаппаратура не устанавливалась, разведку вели только визуально. Позже подразделению передали третий такой же трофейный истребитель. Кроме Телегина, для полетов на немецких машинах выделили еще двух опытных летчиков. Одним из них был прославленный ас А.И. Покрышкин, позднее трижды Герой Советского Союза. На изучение машины он потратил всего несколько часов и взлетел на ней. В своих мемуарах Покрышкин потом писал: «Надо отдать должное - самолет был хорош». Группа работала в районе Таганрога. Своих истребителей боялись и полагали, что звезды не спасут, рефлекторная реакция на знакомый силуэт окажется сильнее. Над своей территорией летели на предельно малой высоте, и каждый встречный солдат считал своим долгом стрельнуть вслед «проклятому фашисту». Мессершмитт капитана Попова был подбит немецкими зенитчиками. Пилоту удалось перетянуть через линию фронта и сесть на «живот» за передовым оборонительным рубежом. Попова чуть не избили подбежавшие солдаты, решившие, что перед ними предатель, служащий у немцев (23186).</w:t>
      </w:r>
    </w:p>
    <w:p w14:paraId="5117A8D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3B620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мая 1942 с письмом N 148с Зам. нач. 11 ГУ Антонов направил заключение о целесообразности постройки опытного планера ЛКПД по проекту и Черановского:</w:t>
      </w:r>
    </w:p>
    <w:p w14:paraId="4D00C5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"Предлагаемая автором схема представляет собой один из возможных вариантов бесхвостки типа парабола или треугольник и т.п. схем, культивируемых автором на протяжении 20 лет.</w:t>
      </w:r>
    </w:p>
    <w:p w14:paraId="31B1B91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Осуществить бесхвостый аэроплан, вообще говоря можно, как показывают работы самого к и в последнее время иностранных конструкторов.</w:t>
      </w:r>
    </w:p>
    <w:p w14:paraId="0A16A3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рассмотрение материалов, представленных Черановским, отзыва ЦАГИ на основании продувки модели, отзывов опытно-испытательного полигона ВДВ КА и ГК Гуревича и сравнения предлагаемого планера с нормальным с такой же полезной нагрузкой, показывает, что:</w:t>
      </w:r>
    </w:p>
    <w:p w14:paraId="218032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Потребная мощность для буксировки ЛКПД не меньше, чем для планера нормальной схемы, т.к. даже при особо высокой весовой отдаче площадь крыльев и </w:t>
      </w:r>
      <w:r w:rsidRPr="008127F8">
        <w:rPr>
          <w:rFonts w:ascii="Times New Roman" w:hAnsi="Times New Roman"/>
          <w:color w:val="000000" w:themeColor="text1"/>
          <w:sz w:val="16"/>
          <w:szCs w:val="16"/>
        </w:rPr>
        <w:lastRenderedPageBreak/>
        <w:t>рулевых поверхностей ЛКПД будет примерно такой же, что и у нормального, при значительно большей толщине профиля крыла, что приблизительно нейтрализует выгоду от отсутствия фюзеляжа.</w:t>
      </w:r>
    </w:p>
    <w:p w14:paraId="4E0FB1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Устойчивость и управляемость планера типа "летающее крыло" пока еще являются проблемой.</w:t>
      </w:r>
    </w:p>
    <w:p w14:paraId="4B190DA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Очень низкий диапазон возможных центровок крайне усложнят процесс загрузки аппарата.</w:t>
      </w:r>
    </w:p>
    <w:p w14:paraId="1B2CD80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Крайне ограниченный опыт эксплуатации бесхвосток не позволяет сделать каких либо заключений об их штопорных свойствах, и поведении в положениях могущих создаться в условиях боевого применения.</w:t>
      </w:r>
    </w:p>
    <w:p w14:paraId="2268EF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 производственной стороны схема летающего крыла неудобна, т.к. состоит из очень громоздких частей размерами до 6,32х5,0 метров не проходящие в габариты цехов наших заводов.</w:t>
      </w:r>
    </w:p>
    <w:p w14:paraId="2EC50C4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Необычная пространственная конструкция потребует значительного времени на освоение и сложных стапелей.</w:t>
      </w:r>
    </w:p>
    <w:p w14:paraId="5873DF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Работающая обшивка крыла из 5 мм фанеры очень дорога, стыковка листов потребует рабочих высокого разряда.</w:t>
      </w:r>
    </w:p>
    <w:p w14:paraId="7055BD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Стыковка консолей и центроплана, которая при работающей обливке должна осуществляться по большей части контура разъема представляет трудную проблему (особенно для деревянной конструкции), которая техникой мирового самолетостроения пока еще удовлетворительно не разрешена. Чертежей разъема автором не представлено.</w:t>
      </w:r>
    </w:p>
    <w:p w14:paraId="2443B9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 эксплуатации планер ЛКПД представит ряд неудобств.</w:t>
      </w:r>
    </w:p>
    <w:p w14:paraId="5540972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Размеры помещений для экипажа крайне ограничены (высота от 1300 мм до 950 мм по наружному размеру, ширина в свету - 470 мм).</w:t>
      </w:r>
    </w:p>
    <w:p w14:paraId="29F2CB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в помещение можно пробраться только ползком, что для десантника имеющего при себе автомат, и др. вооружение и снаряжение, не говоря уже о парашюте, представляет трудно выполнимую задачу.</w:t>
      </w:r>
    </w:p>
    <w:p w14:paraId="627A45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Последний боец должен пролезть на свое место через овальное отверстие в нервюре шириной 1350 и высотой 670 мм.</w:t>
      </w:r>
    </w:p>
    <w:p w14:paraId="07BD25A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Если посадка бойцов все же будет производиться таким образом, то в короткое время нервюры будут поломаны и крылья потеряют свою прочность.</w:t>
      </w:r>
    </w:p>
    <w:p w14:paraId="7E59F1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Добавочные люки в обшивке крыла предлагаемые автором для устранения неудобств посадки экипажа (в проекте не отражены не могут быть сделаны т.к. обшивка крыла по замыслу конструктора работающая.</w:t>
      </w:r>
    </w:p>
    <w:p w14:paraId="5B8ADF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Прорезание в обшивке люков достаточных для прохода бойца с вооружением совершенно включит обшивку из работы и заставит изменить силовую схему планера.</w:t>
      </w:r>
    </w:p>
    <w:p w14:paraId="79BE6A7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Схема "летающего крыла" по-видимому становится удобной при размерах соответствующих размещению 40-50 человек, но такой большой планер нечем буксировать.</w:t>
      </w:r>
    </w:p>
    <w:p w14:paraId="1907DE8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В таком отношении десантный планер типа "летающее крыло" невыгоден вследствие распределения десанта на площади квадрата со стороною 4 метра представляющего хорошую цель для врага.</w:t>
      </w:r>
    </w:p>
    <w:p w14:paraId="5DF0C5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Маскировка на местности широкого "летающего крыла" сложнее чем обычного планера имеющего крестообразную форму и узкие крылья.</w:t>
      </w:r>
    </w:p>
    <w:p w14:paraId="78E7AE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воздухе "летающее крыло" резко отличаясь по форме от нормальных схем будет быстро и издалека узнано неприятелем который будет принимать меры противодействия.</w:t>
      </w:r>
    </w:p>
    <w:p w14:paraId="6B235A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Десантный планер типа "ЛКПД" не имеет каких-либо преимуществ по сравнению с планерами обычной схемы, обладая целым рядом отрицательных особенностей.</w:t>
      </w:r>
    </w:p>
    <w:p w14:paraId="4645D01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Постройка, испытания и особенно доводка планера необычной схемы потребуют значительного времени и затрат, отвлекая средства производства от выполнения насущных оборонных задач.</w:t>
      </w:r>
    </w:p>
    <w:p w14:paraId="7F4D31C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Постройка опытного планера типа "ЛКПД" не целесообразна." (2503,5).</w:t>
      </w:r>
    </w:p>
    <w:p w14:paraId="4F7AE82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28B9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6A58602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6CF0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29 мая 1942 года ленинградским заводом им. Ленина было освоено производство снарядов ГМ-280 (МГВ-280, индекс А-25), опытная партия из семи изделий была доставлена на АНИОП в счет опытного заказа. Первую опытную пусковую установку из гвоздевого упаковочного ящика для нее изготовили к 30 мая на Третьей мебельной фабрикой (6403, 42).</w:t>
      </w:r>
    </w:p>
    <w:p w14:paraId="7D62FE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859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761F11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F96CD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29 мая</w:t>
      </w:r>
      <w:r w:rsidRPr="008127F8">
        <w:rPr>
          <w:rFonts w:ascii="Times New Roman" w:hAnsi="Times New Roman"/>
          <w:color w:val="000000" w:themeColor="text1"/>
          <w:sz w:val="16"/>
          <w:szCs w:val="16"/>
        </w:rPr>
        <w:t xml:space="preserve"> в 1942 году утреннее сообщение Совинформбюро:</w:t>
      </w:r>
    </w:p>
    <w:p w14:paraId="1BD21A0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29 мая на Изюм-Барвенковском направлении наши войска вели упорные бои с танками и пехотой противника.</w:t>
      </w:r>
    </w:p>
    <w:p w14:paraId="663E2E4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существенных изменений не произошло.</w:t>
      </w:r>
    </w:p>
    <w:p w14:paraId="7A83280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Западного фронта, отбила атаку немецкой пехоты, наступавшей при поддержке танков. Огнём нашей артиллерии уничтожено 5 немецких танков и одна бронемашина. На поле боя остались сотни вражеских трупов. На другом участке над расположением наших частей сбит немецкий бомбардировщик «Ю-88».</w:t>
      </w:r>
    </w:p>
    <w:p w14:paraId="14A439A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за один день боевых действий уничтожили несколько огневых точек и миномётных батарей и до 500 солдат и офицеров противника.</w:t>
      </w:r>
    </w:p>
    <w:p w14:paraId="7B44F86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 разведывательный отряд внезапно напал на гарнизоны противника в двух населённых пунктах. Наши бойцы в короткой схватке с врагом уничтожили 135 немецких солдат и офицеров. Взяты пленные. Захвачены трофеи: 3 миномёта, несколько пулемётов, 30.000 винтовочных патронов, 40 винтовок и штабные документы.</w:t>
      </w:r>
    </w:p>
    <w:p w14:paraId="1FFAC33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Снайперы стрелкового полка, действующего на Северо-Западном фронте, уничтожили 745 немецких солдат и офицеров. Из них 102 гитлеровца уничтожил снайпер-красноармеец т-ов. Номоканов 47 - лейтенант Самодуров и 30 гитлеровцев истребил красноармеец Санжеев.</w:t>
      </w:r>
    </w:p>
    <w:p w14:paraId="721EE9C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А., действующий в одном из оккупированных районов Курской области, в течение последних дней уничтожил 3 немецких танка и 13 автомашин. В другом районе партизаны отряда под командованием тов. В. истребили 27 гитлеровцев и захватили ценные документы.</w:t>
      </w:r>
    </w:p>
    <w:p w14:paraId="26FB028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немецкого солдата, фамилию которого установить не удалось, найдено письмо, в котором говорится: «...Брат Эльзы Лальхендорф находился в Югославии.Он там служил в полиции. 14 дней тому назад получено известие, что он вместе сдругими полицейскими попал в руки партизан и был убит».</w:t>
      </w:r>
    </w:p>
    <w:p w14:paraId="069CFED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действующий в одном из оккупированных немцами районовСмоленской области, захватил в плен врача-хирурга, лейтенанта 7 мотоциклетного батальона 7 немецкой танковой дивизии Пауля Пансгена. Доставленный в штаб Энской части, пленный рассказал: «За время войны против СССР наша танковая дивизия потеряла 15—16 тысяч человек. Из 300 танков осталось не больше десяти. Солдаты чрезвычайно устали. Многие доведены до состояния полной апатии. Им совершенно безразлично, как закончится война и кто победит. Они желают лишь одного, чтобы она кончилась как можно скорее. Медицинское обслуживание в армии поставленоплохо. Военные врачи, как правило, малоквалифицированные. Больных, ещё неоправившихся от ран или болезней солдат гонят на передовые позиции. Многие раненые умирают в пути». В заключение пленный заявил: «Партизаны обращались со мною хорошо. У них я беседовал с одним немецким солдатом, бежавшим из своей части. Он ярый противник гитлеровского режима. Этот солдат вместе с партизанами совершает нападения на немецкие обозы и воинские части» (14906).</w:t>
      </w:r>
    </w:p>
    <w:p w14:paraId="4FE9330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056905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29 мая</w:t>
      </w:r>
      <w:r w:rsidRPr="008127F8">
        <w:rPr>
          <w:rFonts w:ascii="Times New Roman" w:hAnsi="Times New Roman"/>
          <w:color w:val="000000" w:themeColor="text1"/>
          <w:sz w:val="16"/>
          <w:szCs w:val="16"/>
        </w:rPr>
        <w:t xml:space="preserve"> в 1942 году вечернее сообщение Совинформбюро:</w:t>
      </w:r>
    </w:p>
    <w:p w14:paraId="53EC57C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29 мая на Изюм-Барвенковском направлении наши войска продолжали вести оборонительные бои и отражали атаки танков и пехоты противника.</w:t>
      </w:r>
    </w:p>
    <w:p w14:paraId="2CF08F5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остальных участках фронта ничего существенного не произошло.</w:t>
      </w:r>
    </w:p>
    <w:p w14:paraId="23B8B85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уточнённым данным, за 27 мая уничтожено не 28 немецких самолётов, как обэтом сообщалось ранее, а 60.</w:t>
      </w:r>
    </w:p>
    <w:p w14:paraId="00853F2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28 мая уничтожено 53 немецких самолёта. Наши потери — 21 самолёт.</w:t>
      </w:r>
    </w:p>
    <w:p w14:paraId="12D532B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Баренцевом море потоплены немецкий тральщик водоизмещением в 800 тонн и транспорт противника водоизмещением в 12 тысяч тонн.</w:t>
      </w:r>
    </w:p>
    <w:p w14:paraId="18080F2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28 мая частями нашей авиации на разных участках фронта уничтожено или повреждено 15 немецких танков, 100 автомашин с войсками и грузами, 35 подвод с боеприпасами, 7 полевых и зенитных орудий, 10 зенитно-пулемётных точек, разбито два железнодорожных эшелона, взорвано 2 склада с боеприпасами, рассеяно и частью уничтожено до трёх рот пехоты противника.</w:t>
      </w:r>
    </w:p>
    <w:p w14:paraId="083AC4C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Немецкая авиация 28 мая дважды пыталась совершить налёт на город Мурманск. К городу прорвались только отдельные самолёты противника. Сброшенные бомбы упали в залив. Жертв и разрушений нет. Огнём зенитной артиллерии и нашими истребителями сбито 6 немецких самолётов.</w:t>
      </w:r>
    </w:p>
    <w:p w14:paraId="519C6B9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танковая часть, действующая на Изюм-Барвенковском направлении, ведя оборонительные бои, уничтожила 12 немецких танков, 10 орудий, 28 пулемётов и 4 миномёта. Противник потерял убитыми 300 солдат и офицеров.</w:t>
      </w:r>
    </w:p>
    <w:p w14:paraId="78D9294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Калининского фронта наши части заняли несколько населённых пунктов. На поле боя осталось 700 убитых немецких солдат и офицеров.Уничтожено 2 немецких танка, 6 миномётов, 3 орудия, 2 артиллерийские и 2 миномётные батареи, взорваны два склада с боеприпасами и склад горючего. На другом участке пьяные гитлеровцы предприняли атаку. Подразделение во главе со старшим политруком Батенковым встретило врага ружейно-пулемётным огнём. Оставив на поле боя более 700 трупов, немцы в беспорядке отступили.</w:t>
      </w:r>
    </w:p>
    <w:p w14:paraId="3E119D0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наших автоматчиков во главе с заместителем политрука Найда произвела налёт на деревню С, занятую немцами. Автоматчики уничтожили в деревне до 50 гитлеровцев.</w:t>
      </w:r>
    </w:p>
    <w:p w14:paraId="44C0EDE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Снайперское отделение тов. Кудели за два дня уничтожило 17 гитлеровцев. 8 из них уничтожил тов. Куделя. На его счету числится уже 60 уничтоженных немцев.</w:t>
      </w:r>
    </w:p>
    <w:p w14:paraId="387490A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течение десяти дней несколько партизанских отрядов, действующих в Орловскойобласти, вели ожесточённые бои против немецко-фашистских частей. Оккупанты потеряли в этих боях более 2.000 солдат и офицеров. Партизаны сбили три немецких самолёта, уничтожили 2 бронемашины и захватили трофеи и пленных.</w:t>
      </w:r>
    </w:p>
    <w:p w14:paraId="6ADD9A8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Добровольно перешедший на сторону наших войск ефрейтор 61 немецкой пехотнойдивизии Роберт К. рассказал: «Я мобилизован в армию в январе 1942 года. До этого проживал в городе Тильзите. В восьми километрах от города находился лагерь для русских военнопленных. Зимой многие военнопленные ночевали под открытым небом или в нетопленных сараях. Ежедневно там от холода и голода умирало по 30—40 человек. Пленных используют на тяжёлых работах, и вид у них ужасный. Истощённые и измождённые, они с трудом держатся на ногах. За малейшие проступки и за отказ от работы пленных расстреливают».</w:t>
      </w:r>
    </w:p>
    <w:p w14:paraId="527CFFC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лётчик-радист обер-ефрейтор Герман Кайзер рассказал: «На Восточном фронте я нахожусь с 14 апреля. Имею три боевых вылета. Четвёртый был последним. Самолёт сбила русская зенитная артиллерия. Из экипажа уцелел только я один, остальные погибли. Крестьяне меня задержали и доставили в штаб. За последнее время наш отряд терял в среднем по три самолёта в неделю. Советские лётчики несколько раз бомбили наш аэродром. Во время последней бомбёжки было подожжено 5 самолётов, находившихся на земле. В немецкой авиации ощущается острая нехватка опытных пилотов. Старых лётчиков становится всё меньше, а новые не имеют ни знаний, ни боевого опыта» (14906).</w:t>
      </w:r>
    </w:p>
    <w:p w14:paraId="206E83D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AC4883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мая 1942:</w:t>
      </w:r>
    </w:p>
    <w:p w14:paraId="70A9F61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советское командование осуществило многие важные организационные мероприятия. В частности, были упразднены ВВС общевойсковых армий и созданы управления авиационных дивизий. В частности, на Западном фронте из малочисленных ВВС 49-й армии создавалась 204-я сад (командир полковник В.А. Ушаков), которую очень скоро переформировали в 204-ю бад и решили полностью оснастить самолетами Пе-2. Военком соединения полковой комиссар J1.А. Дубровин вспоминал:</w:t>
      </w:r>
    </w:p>
    <w:p w14:paraId="43531AA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командование 204-й бад наше управление вступило 29 мая 1942 г. В самом начале дивизия состояла из трех полков: 2-го, 6-го и 130-го, а несколько позже в нее влились еше два - 38-й и 261-й бомбардировочные полки. До этого мне приходилось служить в смешанных авиасоединениях, иметь дело с разнотипными машинами, базироваться близко к линии фронта - в пределах слышимости артиллерийской канонады. Став бомбардировщиками и очутившись в нескольких десятках километров от переднего края, каждый из нас почувствовал себя едва ли не в глубоком тылу. Впечатление это, однако, оказалось ошибочным. Война доходила и сюда. Уже в конце первой недели базовый аэродром подвергся налету 14 "юнкерсов", в результате чего дивизия недосчиталась одного пикирующего бомбардировщика".</w:t>
      </w:r>
    </w:p>
    <w:p w14:paraId="6632AF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Ускоренными темпами формировались и другие бомбардировочные авиадивизии. В одних случаях, как при формировании 219-й бад (командир полковник И.Т. Батыгин), количество бомбардировщиков Петлякова было незначительным - на 11 июня только 8-й гв. (бывший 5-й) бап имел 11 Пе-2, в то время как для 20 переученных на современную технику экипажей 366-го бап не имелось ни одного бомбардировщика. В то же время четыре полка на "пешках" получила 222-я бад полковника Ф.В. Титова, но вскоре по приказу командования ее перевооружили самолетами В-25 "Митчелл".</w:t>
      </w:r>
    </w:p>
    <w:p w14:paraId="418BF6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Четыре "пешечных" полка (24-й, 138-й, 213-й и 723-й бап) входили в 223-ю бад подполковника И.К. Косенко, которую ввели в сражение в составе 2-й ВА на Брянском фронте. В начале лета здесь, а также на Западном фронте имелась наиболее внушительная группировка Пе-2, насчитывающая по 70-80 самолетов, без учета резервных соединений Ставки ВГК. Еще до начала своего летнего наступления на юге, противник, сосредоточивший против Брянского фронта сильную авиацию, нанес нам серьезные потери.</w:t>
      </w:r>
    </w:p>
    <w:p w14:paraId="3169DE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Серьезно пострадала, в частности, 223-я бад, терявшая в мае-июне 1942 г. один самолет Пе-2 примерно за 14 боевых вылетов. Становится понятно, почему в своих мемуарах генерал Ф.П. Полынин, тогда заместитель командующего воздушной армией, пишет о "трагедии с 223-й бомбардировочной дивизией". Например, вошедший в соединение 24-й Краснознаменный бомбардировочный авиаполк, имевший отлично слетан- ные, натренированные экипажи, за короткое время потерял и командира Героя Советского Союза Ю. Н. Горбко, и комиссара И. М. Бециса, и многих других. Редкий случай произошел 15 июня: в кабине "пешки" погиб комдив подполковник И.К. Косенко, и в командование соединением вступил подполковник Л.Н. Юзеев (12042).</w:t>
      </w:r>
    </w:p>
    <w:p w14:paraId="459A24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7287D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на 29 мая 1942 состоялся первый вылет на минные постановки 1-го ГМТАП по новому плану. В течение месяца, после чего задачи ВВС вновь изменились, вместо 171 запланированной мины успели поставить всего 29 (22 АМГ и семь английских), в т.ч. 16 - у Хельсинки, 11 - у Котки и две - у Выборга, гавань которого являлась запасной целью. Все постановки осуществлялись по ночам и, как правило, совмещались с бомбардировочным ударом по порту, что позволяло отвлекать внимание системы ПВО от действовавших на малой высоте самолётов-миноносцев. Противник противодействовал слабо, но и сам, надо признать, заметного ущерба не понёс (9965).</w:t>
      </w:r>
    </w:p>
    <w:p w14:paraId="55D2EE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2677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мая 1942 года произошел последний воздушный бой над Севастополем. Во время свободного патрулирования капитан И. Сапрыкин и лейтенант Н. Лавицкий сбили Ю-87. Это была последняя победа 3-й ОАГ (2691).</w:t>
      </w:r>
    </w:p>
    <w:p w14:paraId="16B35C6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ED04A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мая 1942 КА потерпела поражение под Харьковом (3481).</w:t>
      </w:r>
    </w:p>
    <w:p w14:paraId="14D96D9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4D0BF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мая 1942 полным разгромом советских войск завершилось Харьковское сражение (4962).</w:t>
      </w:r>
    </w:p>
    <w:p w14:paraId="4AD02C9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4A6EA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мая 1942 в составе Юго-Западного фронта начали боевые действия штур</w:t>
      </w:r>
      <w:r w:rsidRPr="008127F8">
        <w:rPr>
          <w:rFonts w:ascii="Times New Roman" w:hAnsi="Times New Roman"/>
          <w:color w:val="000000" w:themeColor="text1"/>
          <w:sz w:val="16"/>
          <w:szCs w:val="16"/>
        </w:rPr>
        <w:softHyphen/>
        <w:t xml:space="preserve">мовики Ил-2 211 -го и 505-го </w:t>
      </w:r>
      <w:r w:rsidRPr="008127F8">
        <w:rPr>
          <w:rFonts w:ascii="Times New Roman" w:hAnsi="Times New Roman"/>
          <w:iCs/>
          <w:color w:val="000000" w:themeColor="text1"/>
          <w:sz w:val="16"/>
          <w:szCs w:val="16"/>
        </w:rPr>
        <w:t>шап</w:t>
      </w:r>
      <w:r w:rsidRPr="008127F8">
        <w:rPr>
          <w:rFonts w:ascii="Times New Roman" w:hAnsi="Times New Roman"/>
          <w:color w:val="000000" w:themeColor="text1"/>
          <w:sz w:val="16"/>
          <w:szCs w:val="16"/>
        </w:rPr>
        <w:t xml:space="preserve"> 228-й </w:t>
      </w:r>
      <w:r w:rsidRPr="008127F8">
        <w:rPr>
          <w:rFonts w:ascii="Times New Roman" w:hAnsi="Times New Roman"/>
          <w:iCs/>
          <w:color w:val="000000" w:themeColor="text1"/>
          <w:sz w:val="16"/>
          <w:szCs w:val="16"/>
        </w:rPr>
        <w:t>шад</w:t>
      </w:r>
      <w:r w:rsidRPr="008127F8">
        <w:rPr>
          <w:rFonts w:ascii="Times New Roman" w:hAnsi="Times New Roman"/>
          <w:color w:val="000000" w:themeColor="text1"/>
          <w:sz w:val="16"/>
          <w:szCs w:val="16"/>
        </w:rPr>
        <w:t xml:space="preserve"> п-ка В.В.Степичева, которые унич</w:t>
      </w:r>
      <w:r w:rsidRPr="008127F8">
        <w:rPr>
          <w:rFonts w:ascii="Times New Roman" w:hAnsi="Times New Roman"/>
          <w:color w:val="000000" w:themeColor="text1"/>
          <w:sz w:val="16"/>
          <w:szCs w:val="16"/>
        </w:rPr>
        <w:softHyphen/>
        <w:t>тожали танки и мотопехоту противника в районах Валуйка, Купянск, Изюм (6467).</w:t>
      </w:r>
    </w:p>
    <w:p w14:paraId="5583A4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3A81F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мая 1942 командир эскадрильи пб А.К.Кондрашин обнаружил в Крыму и уничтожил 30 цистерн с горючим, состав с боеприпасами и пехотой (438,844).</w:t>
      </w:r>
    </w:p>
    <w:p w14:paraId="7D97928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DD23A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мая 1942 в бою с советскими истребителями в районе Изюма был сбит Me 109Ф-4 из 5./JG 52. Раненому оберлейтенанту удалось спастись с парашютом. Единственную потерю в ходе операции понесла в этот день первая группа той же 52-й эскадры. Ответным огнем с бомбардировщика СБ был убит л-т Карл Вебер. На счет летчиков третьей группы третьей истребительной эскадры “Удет” (III./JG 3) было записано 8 побед ценой потери двух своих пилотов. После боя с советскими истребителями не вернулись на аэродром ефрейтор Адальберт Кун и унтер-офицер Эрих Волкманн 9./JG 3. Оба сели на территории, контролируемой советскими войсками, и попали в плен. Как вспоминал комиссар 690-го БАО Е.В.Овчинников, как-то над аэродромом Нежеголь, который обслуживал его батальон, появился “Мессершмитт-109”. “Сделав круг, он пошел на посадку. Зарулил на стоянку, где в беспорядке валялисъ стремянки, баллоны со сжатым воздухом (отсюда час назад улетел после ремонта ЛаГГ-3). Воины, находившиеся на аэродроме, проявили выдержку, не бросились сразу к незваному гостю, решили проследить, что будет дальше. Выключив мотор, летчик вылез на крыло и уткнулся в планшет с картой. В этот момент и cхватили его наши бойцы. Пленного доставили в штаб стрелковой дивизии 21-й армии. Оказалось, этот ас летал с напарником на “свободную охоту”. Неподалеку от Волчанска их атаковали наши истребители, напарника сбили. А ему удалюсь удрать. Но с перепугу принял за свой аэродром, расположенный у деревни Терновая, что в 25 километрах от Волчанска, наш запасной. С удивлением пленный говорил, что ориентиром ему служила река, но, видно, его изрядно потрепали наши “ястребки”, коли он не разобрался, где правый, а где левый берег Северного Донца”. Вероятнее всего, речь шла именно об одном из пропавших летчиков, Адальберте Куне. Но его напарник, Эрих Волкманн, не был сбит, а тоже совершил посадку' на советской территории. Его Bf 109F-4 (W.Nr. 7640) с желтым номером “12” был захвачен также абсолютно невредимым. Судьба этого самолета оказалась довольно интересной. Истребитель испытывался в НИИ ВВС, а затем был передан США и 1 марта 1943 г., ПОЛУЧИВ код ЕВ-100. поступил на полигон Райт Филд (9394,16).</w:t>
      </w:r>
    </w:p>
    <w:p w14:paraId="50AE8D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79FF3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мая 1942 года Приказом НКО № 00106 состав танковых бригад корпуса изменили. Теперь он включал одну бригаду КВ и две Т-34, причем последние формировались по штату № 010/345, но по 48 танков (8 КВ, 20 Т-34 и 20 Т-60). Кроме того, бригады Т-34 некоторых корпусов имели по 65 танков - 44 Т-34 и 21 Т-60 (некоторые корпуса имели бригады, на вооружении которых вместо Т-34 были английские танки). Всего в корпусе насчитывалось от 149 до 183 танков, из которых от 40 до 88 (27 - 48%) составляли тридцатьчетверки (если они имелись на вооружении бригад). Именно в таком составе (бригада КВ и две бригады средних танков) танковые корпуса использовались в боях июня-июля 1942 года (12217).</w:t>
      </w:r>
    </w:p>
    <w:p w14:paraId="0A3FDCE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F099B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29 мая по 13 ноября была операция подводных сил БФ на коммуникациях противника в БФ (3186).</w:t>
      </w:r>
    </w:p>
    <w:p w14:paraId="3E8D15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82F9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4C9B6F2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05008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rPr>
        <w:t xml:space="preserve">29 мая 1942 вышло Постановление ГКО № 1828 [О выселении из Краснодарского края и Ростовской обл. социально-опасных, немцев, румын, крымских татар, иностранных граждан и о подготовке к выводу из строя объектов нефтяной промышленности.] </w:t>
      </w:r>
      <w:r w:rsidRPr="008127F8">
        <w:rPr>
          <w:rFonts w:ascii="Times New Roman" w:hAnsi="Times New Roman"/>
          <w:color w:val="000000" w:themeColor="text1"/>
          <w:sz w:val="16"/>
          <w:szCs w:val="16"/>
          <w:lang w:val="en-US"/>
        </w:rPr>
        <w:t>(7036, 170).</w:t>
      </w:r>
    </w:p>
    <w:p w14:paraId="14F29D41"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3A8788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8127F8">
        <w:rPr>
          <w:rFonts w:ascii="Times New Roman" w:hAnsi="Times New Roman"/>
          <w:i/>
          <w:iCs/>
          <w:color w:val="000000" w:themeColor="text1"/>
          <w:sz w:val="16"/>
          <w:szCs w:val="16"/>
        </w:rPr>
        <w:t>Внешняя</w:t>
      </w:r>
      <w:r w:rsidRPr="008127F8">
        <w:rPr>
          <w:rFonts w:ascii="Times New Roman" w:hAnsi="Times New Roman"/>
          <w:i/>
          <w:iCs/>
          <w:color w:val="000000" w:themeColor="text1"/>
          <w:sz w:val="16"/>
          <w:szCs w:val="16"/>
          <w:lang w:val="en-US"/>
        </w:rPr>
        <w:t xml:space="preserve"> </w:t>
      </w:r>
      <w:r w:rsidRPr="008127F8">
        <w:rPr>
          <w:rFonts w:ascii="Times New Roman" w:hAnsi="Times New Roman"/>
          <w:i/>
          <w:iCs/>
          <w:color w:val="000000" w:themeColor="text1"/>
          <w:sz w:val="16"/>
          <w:szCs w:val="16"/>
        </w:rPr>
        <w:t>политика</w:t>
      </w:r>
      <w:r w:rsidRPr="008127F8">
        <w:rPr>
          <w:rFonts w:ascii="Times New Roman" w:hAnsi="Times New Roman"/>
          <w:i/>
          <w:iCs/>
          <w:color w:val="000000" w:themeColor="text1"/>
          <w:sz w:val="16"/>
          <w:szCs w:val="16"/>
          <w:lang w:val="en-US"/>
        </w:rPr>
        <w:t>:</w:t>
      </w:r>
    </w:p>
    <w:p w14:paraId="7C88B4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237ADD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May 29 1942 FDR promises Molotov a Second Front "this year" (1052).</w:t>
      </w:r>
    </w:p>
    <w:p w14:paraId="3B8A69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7F5FA1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мая 1942 Ф.Д.Р. пообещал В.М.М. открыть второй фронт в 1942 (1052).</w:t>
      </w:r>
    </w:p>
    <w:p w14:paraId="42877B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9D8E7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второй половине дня 29 мая 1942 г. Пе- 8 №42066 благополучно доставил правительственную делегацию во главе с Вячеславом Молотовым в Вашингтон. После проведения переговоров, 4 июня боевая машина с пассажирами на борту стартовала в обратный путь и благополучно вернулась в Москву. Приземление состоялось на Центральном аэродроме. За выполнение этого полета весь экипаж бомбардировщика был удостоен боевых наград. Командир корабля Э.К.Пусэп, штурманы А.П.Штепенко и С.М.Романов были удостоены звания Героев Советского Союза. Второй пилот В.Обухов, борттехники А.Я.Золотарев и В.И.Дмитриев были награждены орденами Ленина.</w:t>
      </w:r>
    </w:p>
    <w:p w14:paraId="516F956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Перелет советской делегации во главе с В.М.Молотовым в США состоялся на стандартном бомбардировщике Пе-8. Доработки самолета были минимальными и касались в основном установки дополнительного кислородного оборудования для новых членов экипажа. Согласно воспоминаниям участников перелета, мягкие пассажирские сидения вообще установили во время промежуточной посадки в Шотландии. Впрочем, это было единственное усовершенствование. При температуре за бортом - 40°С в импровизированном салоне было также холодно, поэтому пассажирам необычного рейса пришлось облачиться в теплые меховые комбинезоны. Понятно, что в будущем для перевозки высокопоставленных делегаций требовалось либо найти самолеты с комфортабельными кабинами, либо произвести необходимую доработку имеющихся боевых кораблей.</w:t>
      </w:r>
    </w:p>
    <w:p w14:paraId="40C30A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Дальнейшая судьба "американского" самолета оказалась короткой. В итоговой сводке о состояния материальной части в 45-й авиадивизии за 1942-й год указывалось, что "По состоянию на 1 января 1943 г. по причине отказа и возникновения пожара на АМ-35А потерпели аварию и сгорели 3 самолета: №42027, 42066, 42068".</w:t>
      </w:r>
    </w:p>
    <w:p w14:paraId="15797CC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Пе-8 №42066 с четырьмя моторами АМ-35А был списан в расход 14 ноября 1942 г. на основании технического акта 45-й аддд за №00653 от 16 октября 1942 г. и соответствующего инспекторского свидетельства (12025).</w:t>
      </w:r>
    </w:p>
    <w:p w14:paraId="70B57E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BBCB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288C4A7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10EC8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мая 1942 проведено испытание первого собранного в Австралии военного самолета (4962).</w:t>
      </w:r>
    </w:p>
    <w:p w14:paraId="094ECD3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23661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мая 1942 года — первый полёт истребителя</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CAC Boomerang. /Австралия/</w:t>
      </w:r>
    </w:p>
    <w:p w14:paraId="7C1123A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1936 году при поддержке правительства Австралии была создана компания</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Commonwealth Aircraft Corporation</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(CAC). Главной её задачей были</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разработка и выпуск собственных самолётов вместо закупаемых у британских производителей. В конце 1941 года CAC начали разработку истребителя, названного Boomerang.</w:t>
      </w:r>
    </w:p>
    <w:p w14:paraId="3892861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Он представлял собой низкоплан с убираемым шасси. Разработан на базе многоцелевого самолёта</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CAC Wirraway</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(лицензионной копии американского</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North American Aviation NA</w:t>
      </w:r>
      <w:r w:rsidRPr="008127F8">
        <w:rPr>
          <w:rFonts w:ascii="Times New Roman" w:hAnsi="Times New Roman"/>
          <w:color w:val="000000" w:themeColor="text1"/>
          <w:sz w:val="16"/>
          <w:szCs w:val="16"/>
        </w:rPr>
        <w:noBreakHyphen/>
        <w:t>16). Оснащался двигателем Pratt &amp; Whitney R-1830 Twin Wasp (1200 л.с.) Максимальная скорость — 491 км/ч, дальность полёта — 1500 км. Вооружение — 2 × 20-мм пушки + 4 × 7,7-мм пулемёта Browning.</w:t>
      </w:r>
    </w:p>
    <w:p w14:paraId="682E8C3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Boomerang стал первым истребителем, разработанным и серийно производившимся в Австралии. Он</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проигрывал по скорости лучшим истребителям того времени и не одержал ни одной воздушной победы,</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но отлично использовался как лёгкий штурмовик. Выпустили 250 самолётов, стоявших на вооружении Королевских ВВС Австралии до конца Второй мировой войны (22300).</w:t>
      </w:r>
    </w:p>
    <w:p w14:paraId="5CC55FA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AF4B0A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29 мая</w:t>
      </w:r>
      <w:r w:rsidRPr="008127F8">
        <w:rPr>
          <w:rFonts w:ascii="Times New Roman" w:hAnsi="Times New Roman"/>
          <w:color w:val="000000" w:themeColor="text1"/>
          <w:sz w:val="16"/>
          <w:szCs w:val="16"/>
        </w:rPr>
        <w:t xml:space="preserve"> в 1942 году первый буксируемый полет (за едущим джипом) полноразмерной модели автожира-змея </w:t>
      </w:r>
      <w:hyperlink r:id="rId39" w:tgtFrame="_blank" w:history="1">
        <w:r w:rsidRPr="008127F8">
          <w:rPr>
            <w:rFonts w:ascii="Times New Roman" w:hAnsi="Times New Roman"/>
            <w:color w:val="000000" w:themeColor="text1"/>
            <w:sz w:val="16"/>
            <w:szCs w:val="16"/>
          </w:rPr>
          <w:t xml:space="preserve">«Роташют II». </w:t>
        </w:r>
      </w:hyperlink>
      <w:r w:rsidRPr="008127F8">
        <w:rPr>
          <w:rFonts w:ascii="Times New Roman" w:hAnsi="Times New Roman"/>
          <w:color w:val="000000" w:themeColor="text1"/>
          <w:sz w:val="16"/>
          <w:szCs w:val="16"/>
        </w:rPr>
        <w:t>Первым автожиром-змеем, предназначенным для использования в военных целях, был английский летательный аппарат «Роташют», созданный австрийцем Раулем Хафнером, работавшим в экспериментальном центре воздушно-десантных войск в Манчестере. Предполагалось, что автожир-змей будет буксироваться самолетом, а затем отцепляться, давая десантнику возможность бесшумно приземлиться позади вражеских позиций (заменяя, тем самым, парашют). Испытания закончились в 1943 году (14906).</w:t>
      </w:r>
    </w:p>
    <w:p w14:paraId="382944E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245ADD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мая 1942 командир немецкой подлодки приказал своим подчиненным спасти экипаж только что затопленного ими американского торгового судна (враги были напоены кофе и отправлены на берег) (4962).</w:t>
      </w:r>
    </w:p>
    <w:p w14:paraId="662AA2A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AE346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мая 1942 японская эскадра под командованием адмирала Ямамото ( 4 авианосца, 7 линкоров, 12 крейсеров , 44 эсминца) отплыла из главной базы японского флота Хашира Джима в направлении атолла Мидуэй (4963 ).</w:t>
      </w:r>
    </w:p>
    <w:p w14:paraId="121C866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5C8E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58D9A5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A2FA7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НКАП В.Кузнецов писал письмо N Н-36/2089 Нач. ГУЗ ТС ВВС Селезневу:</w:t>
      </w:r>
    </w:p>
    <w:p w14:paraId="7770049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имеющихся результатов летных испытаний винта АВ-5Л-158 и требования ГК С.В.И. о переходе на этот тип винта для Ил-2 прошу Вас дать согласие на запуск в производство на заводе 35 указанных винтов.</w:t>
      </w:r>
    </w:p>
    <w:p w14:paraId="1F6C1E3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35 в настоящее время имеет серийное производство винтов АВ-5Л-124, как переходный тип к винту АВ-5Л-158.</w:t>
      </w:r>
    </w:p>
    <w:p w14:paraId="11D11C3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Перевод завода с производства ВИШ-22Т на АВ-5Л-158 мы предполагаем произвести следующим образом: в течение июня завод изготавливает в основном ВИШ-22Т и АВ-5Л-158 лишь в количестве 50 шт. (в зависимости винт АВ-5Л-124 в количестве 150 шт. от получения лопастей).</w:t>
      </w:r>
    </w:p>
    <w:p w14:paraId="1E3384A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июле винты АВ-5Л-124 и АВ-5Л-158 будут иметь больший удельный вес, чем ВИШ-22Т.</w:t>
      </w:r>
    </w:p>
    <w:p w14:paraId="3975CA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Полный переход завода 35 с винта ВИШ-22Т на АВ-5Л-158 мы предполагаем в августе месяце.</w:t>
      </w:r>
    </w:p>
    <w:p w14:paraId="76F4A7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Следовательно, за время перехода полностью на АВ-5Л-158 будет изготовлено винтов АВ-5Л-124 600-700 шт и ВИШ-22Т - 1500-2000 шт." (1634,238).</w:t>
      </w:r>
    </w:p>
    <w:p w14:paraId="22D169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C70CE9"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30 мая 1942 на заводу № 18 был подготовлен</w:t>
      </w:r>
    </w:p>
    <w:p w14:paraId="2D471FF6"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bCs/>
          <w:color w:val="000000" w:themeColor="text1"/>
          <w:sz w:val="16"/>
          <w:szCs w:val="16"/>
          <w:lang w:eastAsia="ru-RU"/>
        </w:rPr>
        <w:t>Список группового комплекта запасных частей 1:10 на машину Ил-2</w:t>
      </w:r>
    </w:p>
    <w:tbl>
      <w:tblPr>
        <w:tblW w:w="9366" w:type="dxa"/>
        <w:shd w:val="clear" w:color="auto" w:fill="FFFFFF"/>
        <w:tblCellMar>
          <w:left w:w="0" w:type="dxa"/>
          <w:right w:w="0" w:type="dxa"/>
        </w:tblCellMar>
        <w:tblLook w:val="04A0" w:firstRow="1" w:lastRow="0" w:firstColumn="1" w:lastColumn="0" w:noHBand="0" w:noVBand="1"/>
      </w:tblPr>
      <w:tblGrid>
        <w:gridCol w:w="2890"/>
        <w:gridCol w:w="2790"/>
        <w:gridCol w:w="1276"/>
        <w:gridCol w:w="1134"/>
        <w:gridCol w:w="1276"/>
      </w:tblGrid>
      <w:tr w:rsidR="007C5583" w:rsidRPr="008127F8" w14:paraId="3504B35A" w14:textId="77777777" w:rsidTr="004C5D62">
        <w:trPr>
          <w:trHeight w:val="615"/>
        </w:trPr>
        <w:tc>
          <w:tcPr>
            <w:tcW w:w="2890" w:type="dxa"/>
            <w:tcBorders>
              <w:top w:val="single" w:sz="8"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1CA1E7A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Наименование агрегатов</w:t>
            </w:r>
          </w:p>
        </w:tc>
        <w:tc>
          <w:tcPr>
            <w:tcW w:w="2790"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0A3FB50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Наименование деталей</w:t>
            </w:r>
          </w:p>
        </w:tc>
        <w:tc>
          <w:tcPr>
            <w:tcW w:w="1276"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490F8C9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деталей</w:t>
            </w:r>
          </w:p>
        </w:tc>
        <w:tc>
          <w:tcPr>
            <w:tcW w:w="1134"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7491D45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количество на комплект</w:t>
            </w:r>
          </w:p>
        </w:tc>
        <w:tc>
          <w:tcPr>
            <w:tcW w:w="1276" w:type="dxa"/>
            <w:tcBorders>
              <w:top w:val="single" w:sz="8"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center"/>
            <w:hideMark/>
          </w:tcPr>
          <w:p w14:paraId="198C437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Примечание</w:t>
            </w:r>
          </w:p>
        </w:tc>
      </w:tr>
      <w:tr w:rsidR="007C5583" w:rsidRPr="008127F8" w14:paraId="241F755B"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06140F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Управление</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E06F3B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Тяга</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BC08A1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510010/1</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47EBA0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CB3430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36365A32"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5E5E9A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042152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Тяга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23205F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510010/5</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41C4A5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C5CFBD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27EEF3EF"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E2F0A0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D9F9A0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Тяга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EE524A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510010/6</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7BC359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4A61E08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041D083E"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510D25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1624E7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Тяга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369E70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510010/7</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0D1CF2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4C05586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764ED225"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8D1D51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4E7BCE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Тяга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946A79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510010/8</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697EBC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D3CF34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6F1672CC"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8E0DB5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54B62D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Тяга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81C6BF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510010/2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567894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00A1D6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5EE8EBE9"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B3EE46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6CD63F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Тяга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081C49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510010/1</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D5EB87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55D81D4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34150694"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8AF3AC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56F157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Тяга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198993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515300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63B3C1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297CCEC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1EA89EDE"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25AA194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0998BDD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Тяга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43B8B7E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515100/1</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2073F2F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1B3D6DC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5852D1D3"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5E379F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Тормозн. трубки разъема до …и.</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2CC133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Трубка</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A08F35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560000/5</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46B9DA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F8BFC1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6B1B704B"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C4872D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26A0D6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Трубка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991E35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56000/16</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CCB6B2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2DAB34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1467E4F4"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16AFE97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759CCD7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Трубка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1B82B6B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56000/17</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00A7F00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45B0382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4D05E273"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0C711F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Трубки управления шасси</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009532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Трубка</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0C8B76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550000/21</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F30738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0CE14F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2205BE14"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5CD368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lastRenderedPageBreak/>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CB1062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Трубка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E46A40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550000/22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70F2C1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2C1AFA6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132BCB38"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159CB9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CE5821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Трубка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BBD1C8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550000/16</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0FB3A7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70FF74A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2FDD5F5C"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121FEA0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6D60E6D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Трубка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398525C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550000/17</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4406B1A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4FDB6C7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7D8E6C97" w14:textId="77777777" w:rsidTr="004C5D62">
        <w:trPr>
          <w:trHeight w:val="315"/>
        </w:trPr>
        <w:tc>
          <w:tcPr>
            <w:tcW w:w="2890" w:type="dxa"/>
            <w:tcBorders>
              <w:top w:val="single" w:sz="8"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5AA01A7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Стекла подвижной части фонаря</w:t>
            </w:r>
          </w:p>
        </w:tc>
        <w:tc>
          <w:tcPr>
            <w:tcW w:w="2790"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4B255E5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Подвижное стекло</w:t>
            </w:r>
          </w:p>
        </w:tc>
        <w:tc>
          <w:tcPr>
            <w:tcW w:w="1276"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73A01DA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П040040</w:t>
            </w:r>
          </w:p>
        </w:tc>
        <w:tc>
          <w:tcPr>
            <w:tcW w:w="1134"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609E231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2DB46B8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23778985"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BE8C66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Трос управления рулем поворота</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C11414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трос</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D01258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520010/1</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00A118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D500FB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43AD6FAF"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BE3709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F63DA7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трос</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4C150F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520010/2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74AE02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2E851CC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3560BC75"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6FA2564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41D5BDF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Руль глубины</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3FE649A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А320000</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00A58FF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0,5 к</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6A901AC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65BF9C9E"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B2AAA3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Руль глубины</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ED11EC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Болт</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795A7F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783с8-28</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35A282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4C3C74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40B7D20E"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2E8465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3DF7BD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Болт</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F9F4AE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783с8-30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D08DE8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484CADE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 100 машин</w:t>
            </w:r>
          </w:p>
        </w:tc>
      </w:tr>
      <w:tr w:rsidR="007C5583" w:rsidRPr="008127F8" w14:paraId="4A294601"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7022ED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9CBBA1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Гайка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7AE988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3с8</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01DAE1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25</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DAD3DD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 100 машин</w:t>
            </w:r>
          </w:p>
        </w:tc>
      </w:tr>
      <w:tr w:rsidR="007C5583" w:rsidRPr="008127F8" w14:paraId="3DD8841D"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2C6F7CB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4C10818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Кольцо</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3045D3F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300001/1</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01E2506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623246F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57282AB1" w14:textId="77777777" w:rsidTr="004C5D62">
        <w:trPr>
          <w:trHeight w:val="45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65120F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Детали бензопроводки</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16B0BD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Гибкий шланг (бензопетрофлексов)</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2B2C61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610300/1</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F676CD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DC8B08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182C608A" w14:textId="77777777" w:rsidTr="004C5D62">
        <w:trPr>
          <w:trHeight w:val="45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AFA9C5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B4DBAB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Гибкий шланг (бензопетрофлексов)</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000958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610300/2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17666B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564E62A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1F4A4954" w14:textId="77777777" w:rsidTr="004C5D62">
        <w:trPr>
          <w:trHeight w:val="45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98051D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AD1934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Гибкий шланг (бензопетрофлексов)</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50BFEB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610700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8373F8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A8C9C0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3885BDA0" w14:textId="77777777" w:rsidTr="004C5D62">
        <w:trPr>
          <w:trHeight w:val="450"/>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7FEBE95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18648A6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Гибкий шланг (бензопетрофлексов)</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641F31F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610800</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1BCCBDA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189573B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5F90C118" w14:textId="77777777" w:rsidTr="004C5D62">
        <w:trPr>
          <w:trHeight w:val="45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DC8842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Детали маслосистемы 620000</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082D4F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Гибкий шланг (маслопетрофлексов)</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631BB7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620120/5</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CF177A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6874C8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6F77DF75" w14:textId="77777777" w:rsidTr="004C5D62">
        <w:trPr>
          <w:trHeight w:val="45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F4CA9E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B20051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Гибкий шланг (маслопетрофлексов)</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67070A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620120/6</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29F08C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6A202D5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5DF0E711" w14:textId="77777777" w:rsidTr="004C5D62">
        <w:trPr>
          <w:trHeight w:val="45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4C4739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F92DA2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Гибкий шланг (маслопетрофлексов)</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FC78E1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620120/7</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5A1E6B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6F1D9BD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4048F743" w14:textId="77777777" w:rsidTr="004C5D62">
        <w:trPr>
          <w:trHeight w:val="450"/>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7DDD4E2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2E0C9D0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Гибкий шланг (маслопетрофлексов)</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34F1652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620120/8</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2BC308F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743C16F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5A956CC3"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A42ABC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Детали водосистемы 630000</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AC463A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Дюритовые шланги Р11В 35х43=115</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B2FFB9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630000/1</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AD4E9A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513FB1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0EB9A240"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17A5DE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E70C0A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Дюритовые шланги Р11В 14х22 е=90</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69AC14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630000/2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9F64E2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792154A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3EC6176D"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292366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E3E26B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Дюритовые шланги Р11В 45х52 е=115</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160531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630000/3</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7614A1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A64240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475ED1BA"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07D7B0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8E496F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Дюритовые шланги Р11В 51х62 е=115</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481B95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630000/4</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FAFE61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A1AF61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138732CC"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BA0A77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D451A0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Дюритовые шланги Р11В 16х24 е=140</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F0384C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630000/5</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509E69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7DF107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1722F3C5"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4B46AD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874874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Болт крепления водорадиатора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977D88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633007</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5BADCC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7CB3C1E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567BAE65"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2EE843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353F06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Гайка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63B5E6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3с10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EA0DF2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2C9E785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5B871F68"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1DE3E2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602E90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Уплотняющее кольцо</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8B2BEB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57А13</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C4B07A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4572ADE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2873891E"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69CCCF7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713FFDA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Уплотняющее кольцо</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3EF26E9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57А20</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758A8EE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5F99C04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101DA897" w14:textId="77777777" w:rsidTr="004C5D62">
        <w:trPr>
          <w:trHeight w:val="6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360056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Группа шасси</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5BB775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Болты крепления амортизатора шасси к пирамиде</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3DF00E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411001</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D31864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4FF89FF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06B4A709"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5CD964D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1AFFABC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Гайка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5D6EF42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794с16</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0499286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02AECB2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03934DF7" w14:textId="77777777" w:rsidTr="004C5D62">
        <w:trPr>
          <w:trHeight w:val="6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B78AE2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Детали крепления вилки шасси 410, 411000</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FBE139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Болт крепления нижнего подкоса к амортиз.</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A02FF1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784с16-14-61</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0020B9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4984B7F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5B648859"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522A32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CDA896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Гайка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6D70E8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3с14</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354915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E591AC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69D024CE"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ACFB28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D01742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Шайба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BD11CE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234а2-16-25</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04FDBD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2B1608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6BB2BBDF"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7120DAE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147B18F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Штауфер</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5179094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с411040</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2B66C5C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20BF733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136D8A3D"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2DE462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Вилка шасси</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435646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Вилка</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F59023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411000</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4B76A3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4B72EFF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29D7C76D"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C5D0B0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87C95E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Перемычка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E8EDBA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521100/11</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98CE29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2CDCB35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46E53578"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560A5F6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66FA3B0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Цилиндр подъема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28B80C4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412000</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37BC069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43559FE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3868BDC9" w14:textId="77777777" w:rsidTr="004C5D62">
        <w:trPr>
          <w:trHeight w:val="6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241056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Детали цилиндра подъема шасси</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379EF5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Болт крепления цилиндра подъема с пр. 0,2 мм</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7E037D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414019</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FCB45E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4450F4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7E2322E6"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545A66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C0E9EB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Шайба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7EB49F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234а1-10-20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880616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7026088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7D1ED2AD"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24FEC06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5C26EF3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Гайка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5CB4616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3с10</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0F0A9F3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258BBEA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61DE944F"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285434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Детали установки костыля 471000</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D724A7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Болт крепления амортизатора костыля</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49F8B0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471005</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7A45BD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4763FC9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21A1D36D"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2EC77E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lastRenderedPageBreak/>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4C0FDF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Гайка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ADC8C4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3с12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9FF6B6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46C8D50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42FB8F52"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838BA9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35A087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Болт крепления фермы к раме</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003BB7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785с10-8-29</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A3C605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69497AD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0AC87557"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47B617E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2FBFCDF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Гайка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6C4D366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3с8</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692DC83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1C65DC7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56C84EF0"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74A3A7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Детали крепления</w:t>
            </w:r>
            <w:r>
              <w:rPr>
                <w:rFonts w:ascii="Times New Roman" w:eastAsia="Times New Roman" w:hAnsi="Times New Roman"/>
                <w:color w:val="000000" w:themeColor="text1"/>
                <w:sz w:val="16"/>
                <w:szCs w:val="16"/>
                <w:lang w:eastAsia="ru-RU"/>
              </w:rPr>
              <w:t xml:space="preserve">  </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5B2838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Болт</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C6BF19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590005</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420D04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9E30F2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394815EB"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D8920E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0BF53D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Болт</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6FF715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690014</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0ABC62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8DEE01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1F5AFCF6"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D7DB55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AA34DD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Шайба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5EEB6A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234а2-14-25</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1E30F4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4ECCBC2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1D38E26F"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00A7263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2771ABF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Гайка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4EDF5EC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3с16</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6A44C0A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6AA0285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04941BA9"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A5378B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Детали капота</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F4AEDC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Замок защелки брони капота</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88FE6D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690700</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396DAB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6D522CF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75C832A3"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0F5D5B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214DDF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Угольник крепления бронекоробки</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593482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П021000/10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E45008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832F40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20780E51"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1C4B9AB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1B7B2FE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Угольник крепления бронекоробки</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5FEA81F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П021000/11</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4287FB8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75C84E7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49428CB0"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8CA0B7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Детали для стыковки крыла</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A26F6D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Стыковочный болт</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3D7DCA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200002</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B3826D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436E6D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562E5F2F"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91C19D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6177DF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Гайка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E48E73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794с10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DDB0B7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752951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79E5F53E"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4C06610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2BC4D99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Шайба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39DBD7A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234а2-12-25</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41ED408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45D0E4C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3354345A"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5FE3FE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Детали корзинки шасси</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5E5C4C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Раскос внешний</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AB9D90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165200</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6C8F01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5AF5B7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71E69C1C"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06937E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F92CFF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Раскос внутренний</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E412D4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165300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572712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26CC5A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2E98B4C9"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6FFCA3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DFD9D7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Корзина шасси</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58F816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165000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D6420B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547CD3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0A6616E5"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35C5BE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93DD74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Шпилька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478810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1248с6-30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DFAD94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B6DB28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5F2F45CE"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98917B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B5FE77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Болт</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93F1F6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782с8-30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5A4EA1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2B46FB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0B06CB2C"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395C6C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3F6BF9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Болт</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C1FF54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782с8-22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111188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7E5EEC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35AF5A06"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EAD204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2BB9CE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Болт</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27F3FB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111002/1</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6BBCAE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6D64236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17EB2AA4"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31D5AC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830E39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Болт</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69789B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111002/2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E8A3ED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58999B6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3C3E64B9"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3CF8AD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C0EACA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Болт</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A026C3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111002/3</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9FF5DB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4BC05F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6DDCD5E0"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0AACE5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3B9F3B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Гайка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FC7516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111012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C89BBF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2AFE039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29FDCF0F"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C05F5A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BADC42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Гайка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44A3C9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23а5</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F0370C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220B63B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49EBDB6F"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08FD28E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7317C19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Гайка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716AD89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23а8</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2B03A96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468726E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7CF0FD6B"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84E0CA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Тормозные трубки на стойке шасси</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548995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Бронешланг</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D2F98D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3КШ-502</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606473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9E6F92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5BBFB916"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436F12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ACF163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Дюрит</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5938DF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Р11 15-8-600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8BA756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437CCF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3048924C"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652C5D2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71FE8B0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Трубка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4D28F1B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560000/1</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36CE200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1CB03E0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5A75C610"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B213BD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Ломающийся подкос шасси с замком</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5014C7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Втулка</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DE0703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414002/1</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63CC95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5505CC2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64748645"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33C421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9C0EE0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Втулка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9789C3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414002/2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30DFF1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AFFDAA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4FF82594"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54FEF1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694200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Болт</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B9D316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414035</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87D81E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21EE59C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5BE55F69" w14:textId="77777777" w:rsidTr="004C5D62">
        <w:trPr>
          <w:trHeight w:val="6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DC66E4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080F5D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Ломающийся подкос без трубок, но с крепежом для их установки</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E6398A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В414000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DE472A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00F095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4542DA21"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98A2A1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47CBD5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Трубки управления замком</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079AE4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414000/13</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71F4ED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7720ED7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4810811F"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0B6ED0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4B09CA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Трубки управления замком</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676B4D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414000/14</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303A36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DA041F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4D6EF9FF"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C36568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BA36CB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Трубки управления замком</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78D736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414000/15</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890291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D85B49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64726FA1"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5799B5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549C53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Трубки управления замком</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A2033B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414000/16</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06DA23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8F4050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7E294C9F"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5315E4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1FA03F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Обтекатель</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F76C31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435000а</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A282C1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522F5DA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6228FD6F"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16D785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FAF19F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Обтекатель</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B85046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485065</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907E40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6EC3A1F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11D2EA68"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98F657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D344D6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Тяга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A8AA46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485000/1</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3D2464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4E0095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3E6B1B7D"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3775A2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4CAFAE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Тяга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A08ADF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485000/2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A059C3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447B80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15BA7007"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E0A606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F22238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Упор</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BB96AB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465020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33F368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B1AFF2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7A841D91"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2C688A9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419AB39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Рычаг</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66E808F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ЭКМ-481</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6EAD8BA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12D46DC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2C9599AF"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96F3F4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Тяга и стрелка тех. указателя</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BDC887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Тяга</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66B79F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419010</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4320E8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F654F0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05BC9FDF"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023595C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5CBEFC6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Стрелка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25E50B5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419020</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5EF06A2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482670A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2BCEA4AE"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04DE26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Элероны</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6F2C88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Элерон</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B03D7B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П261000</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D770D7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0,5 к</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5B4CC92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50C27161"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31907F2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0F6BC4A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Элерон</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346321D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260000</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5A1513C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0,5 к</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75A4DD1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7AADB347" w14:textId="77777777" w:rsidTr="004C5D62">
        <w:trPr>
          <w:trHeight w:val="6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E846EB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lastRenderedPageBreak/>
              <w:t>Балансир элерона с гагами и обтекателем</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998C34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Обтекатель</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487DE8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204500/08</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B71685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78BCB66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11AB353E"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4C3975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E92AC4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Обтекатель</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BE792A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204500/09</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DF2FF3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E35D14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68BF03FE"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0263CD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5F8586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Обтекатель</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365051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204500/10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582409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20F4C1E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4E070136"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309220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06A6E7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Тяга передняя</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E1B6BA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ПТ43-22-25-520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CFD892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584ADA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5CEF79FA"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DC6662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F49074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Тяга задняя</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FAA3D5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ПТ43-22-25-546</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0FFEBB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25021BC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294714C5"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A2754D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1EFBBD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Труба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504FB5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204501</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B2C391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A960B9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39F97AA6"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26F4818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0D1A58E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Обтекатель</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46D1AAF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204503</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749810F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08D04BD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10F0D622"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2E3177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Съемный обтекатель</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D07C59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Обтекатель</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E33DC6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204500/01</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69BAEF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7D93249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00B210F4"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2539F4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D1176B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Концевой обтекатель</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203951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204400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E7A3DB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0,5 к</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29F349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270465FA"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4A4110A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3D295A8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Болт</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768282E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1818с4-10</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07E5731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20</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087C639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7897DAC0" w14:textId="77777777" w:rsidTr="004C5D62">
        <w:trPr>
          <w:trHeight w:val="315"/>
        </w:trPr>
        <w:tc>
          <w:tcPr>
            <w:tcW w:w="2890" w:type="dxa"/>
            <w:tcBorders>
              <w:top w:val="single" w:sz="8"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6EC8F96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Цилиндр щитков</w:t>
            </w:r>
          </w:p>
        </w:tc>
        <w:tc>
          <w:tcPr>
            <w:tcW w:w="2790"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2F15504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Цилиндр щитков</w:t>
            </w:r>
          </w:p>
        </w:tc>
        <w:tc>
          <w:tcPr>
            <w:tcW w:w="1276"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5FB61F9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571200</w:t>
            </w:r>
          </w:p>
        </w:tc>
        <w:tc>
          <w:tcPr>
            <w:tcW w:w="1134"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68E6D59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7A9D1E1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7DC7C272" w14:textId="77777777" w:rsidTr="004C5D62">
        <w:trPr>
          <w:trHeight w:val="315"/>
        </w:trPr>
        <w:tc>
          <w:tcPr>
            <w:tcW w:w="2890" w:type="dxa"/>
            <w:tcBorders>
              <w:top w:val="single" w:sz="8"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74AFF0C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Костыль</w:t>
            </w:r>
          </w:p>
        </w:tc>
        <w:tc>
          <w:tcPr>
            <w:tcW w:w="2790"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1CB429C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Костыль без амортизатора и колеса</w:t>
            </w:r>
          </w:p>
        </w:tc>
        <w:tc>
          <w:tcPr>
            <w:tcW w:w="1276"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46B489E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471000</w:t>
            </w:r>
          </w:p>
        </w:tc>
        <w:tc>
          <w:tcPr>
            <w:tcW w:w="1134"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171AE9A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7E82DF9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0E5F544A" w14:textId="77777777" w:rsidTr="004C5D62">
        <w:trPr>
          <w:trHeight w:val="315"/>
        </w:trPr>
        <w:tc>
          <w:tcPr>
            <w:tcW w:w="2890" w:type="dxa"/>
            <w:tcBorders>
              <w:top w:val="single" w:sz="8"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737B8A8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Ферма костыля</w:t>
            </w:r>
          </w:p>
        </w:tc>
        <w:tc>
          <w:tcPr>
            <w:tcW w:w="2790"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657DFAF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Ферма костыля</w:t>
            </w:r>
          </w:p>
        </w:tc>
        <w:tc>
          <w:tcPr>
            <w:tcW w:w="1276"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2D10B54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471200а</w:t>
            </w:r>
          </w:p>
        </w:tc>
        <w:tc>
          <w:tcPr>
            <w:tcW w:w="1134"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750875A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6096A5B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11770B74"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A315E5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Амортизатор костыля</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2FC358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Амортизатор костыля</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09F19E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472100</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2B13E7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44B5E74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48B3EFB3"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EFF278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D9B227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Болт</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3869F6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485с14-12-40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E9D05C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48F3B6A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2B9373E2"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39FF929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1CA7D8F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Гайка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6E3C40D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794с12</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18907DA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7A30575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138FB16A"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2D15F7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Трос триммера</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5486B8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Трос триммера</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6526B0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530010/1</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2E0692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62E917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5A4E9601"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A95FCE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714427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Трос триммера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F46EEE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530010/2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F47F0A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5E9181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02939DA7"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3DD882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4BDB15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Трос триммера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C4A0B2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530010/3</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F9AFD9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27FF274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68E5C776"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7413B9A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33C5248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Трос триммера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2D17A4D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530010/4</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7F1AA1D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3BC0A77A"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591C3561"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221F96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Детали крепления кронштейна</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C69775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Кронштейн</w:t>
            </w:r>
            <w:r>
              <w:rPr>
                <w:rFonts w:ascii="Times New Roman" w:eastAsia="Times New Roman" w:hAnsi="Times New Roman"/>
                <w:color w:val="000000" w:themeColor="text1"/>
                <w:sz w:val="16"/>
                <w:szCs w:val="16"/>
                <w:lang w:eastAsia="ru-RU"/>
              </w:rPr>
              <w:t xml:space="preserve">  </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51575F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ЭК-409/1</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35C5C2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947232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581BBF05"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A38BC8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DA47AC7"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Кронштейн</w:t>
            </w:r>
            <w:r>
              <w:rPr>
                <w:rFonts w:ascii="Times New Roman" w:eastAsia="Times New Roman" w:hAnsi="Times New Roman"/>
                <w:color w:val="000000" w:themeColor="text1"/>
                <w:sz w:val="16"/>
                <w:szCs w:val="16"/>
                <w:lang w:eastAsia="ru-RU"/>
              </w:rPr>
              <w:t xml:space="preserve">  </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A06FCF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ЭК-410/1</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922321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FE8915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13A5D3AD"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B7C008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F2E03F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Кронштейн</w:t>
            </w:r>
            <w:r>
              <w:rPr>
                <w:rFonts w:ascii="Times New Roman" w:eastAsia="Times New Roman" w:hAnsi="Times New Roman"/>
                <w:color w:val="000000" w:themeColor="text1"/>
                <w:sz w:val="16"/>
                <w:szCs w:val="16"/>
                <w:lang w:eastAsia="ru-RU"/>
              </w:rPr>
              <w:t xml:space="preserve">  </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35B771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ЭК-411/1</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6F4B56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4E0EB0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74743E05"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BB63CA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942DF2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Кронштейн</w:t>
            </w:r>
            <w:r>
              <w:rPr>
                <w:rFonts w:ascii="Times New Roman" w:eastAsia="Times New Roman" w:hAnsi="Times New Roman"/>
                <w:color w:val="000000" w:themeColor="text1"/>
                <w:sz w:val="16"/>
                <w:szCs w:val="16"/>
                <w:lang w:eastAsia="ru-RU"/>
              </w:rPr>
              <w:t xml:space="preserve">  </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579179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ЭК-409/2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189FB8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58257F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7F6239DF"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A7C299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855908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Кронштейн</w:t>
            </w:r>
            <w:r>
              <w:rPr>
                <w:rFonts w:ascii="Times New Roman" w:eastAsia="Times New Roman" w:hAnsi="Times New Roman"/>
                <w:color w:val="000000" w:themeColor="text1"/>
                <w:sz w:val="16"/>
                <w:szCs w:val="16"/>
                <w:lang w:eastAsia="ru-RU"/>
              </w:rPr>
              <w:t xml:space="preserve">  </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595733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ЭК-410/2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172C500"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AFC62A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6C064363"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7653149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6C4A23B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Кронштейн</w:t>
            </w:r>
            <w:r>
              <w:rPr>
                <w:rFonts w:ascii="Times New Roman" w:eastAsia="Times New Roman" w:hAnsi="Times New Roman"/>
                <w:color w:val="000000" w:themeColor="text1"/>
                <w:sz w:val="16"/>
                <w:szCs w:val="16"/>
                <w:lang w:eastAsia="ru-RU"/>
              </w:rPr>
              <w:t xml:space="preserve">  </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7348561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ЭК-411/2</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391B253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616EA03E"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38EA8327"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754172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Детали перезарядки</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008826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Трубка</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17F06A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816900/1</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12F03B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63AE832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32F6414D"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7B63F0B"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59D5499"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Трубка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FC355F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816900/2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3C68DA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335D34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5FF5E771"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C33F4E6"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046F1CC"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Трос</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CB6FB93"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П880100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2DDEF6D"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736E4D8"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8127F8" w14:paraId="4550702C"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77BCC3FF"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1FB807B2"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Кран</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720C0D74"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819300</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536D1A85"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1B9F3211" w14:textId="77777777" w:rsidR="007C5583" w:rsidRPr="008127F8" w:rsidRDefault="007C5583" w:rsidP="004C5D62">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bl>
    <w:p w14:paraId="39EC121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(10706).</w:t>
      </w:r>
    </w:p>
    <w:p w14:paraId="307EC87C" w14:textId="77777777" w:rsidR="007C5583" w:rsidRPr="008127F8" w:rsidRDefault="007C5583" w:rsidP="007C5583">
      <w:pPr>
        <w:spacing w:after="0" w:line="240" w:lineRule="auto"/>
        <w:jc w:val="both"/>
        <w:rPr>
          <w:rFonts w:ascii="Times New Roman" w:hAnsi="Times New Roman"/>
          <w:color w:val="000000" w:themeColor="text1"/>
          <w:sz w:val="16"/>
          <w:szCs w:val="16"/>
          <w:lang w:val="en-US"/>
        </w:rPr>
      </w:pPr>
    </w:p>
    <w:p w14:paraId="0ADE0582" w14:textId="77777777" w:rsidR="007C5583" w:rsidRPr="008127F8" w:rsidRDefault="007C5583" w:rsidP="007C5583">
      <w:pPr>
        <w:pStyle w:val="a4"/>
        <w:rPr>
          <w:color w:val="000000" w:themeColor="text1"/>
          <w:lang w:val="ru-RU"/>
        </w:rPr>
      </w:pPr>
      <w:r w:rsidRPr="008127F8">
        <w:rPr>
          <w:color w:val="000000" w:themeColor="text1"/>
          <w:lang w:val="ru-RU"/>
        </w:rPr>
        <w:t>30 мая 1942 на НИП АВ ВВС для прохождения полигонных испытаний поступил временной меха</w:t>
      </w:r>
      <w:r w:rsidRPr="008127F8">
        <w:rPr>
          <w:color w:val="000000" w:themeColor="text1"/>
          <w:lang w:val="ru-RU"/>
        </w:rPr>
        <w:softHyphen/>
        <w:t>низм штурмовика, сконструированный Цветковым. Ведущим инженером по испыта</w:t>
      </w:r>
      <w:r w:rsidRPr="008127F8">
        <w:rPr>
          <w:color w:val="000000" w:themeColor="text1"/>
          <w:lang w:val="ru-RU"/>
        </w:rPr>
        <w:softHyphen/>
        <w:t>ниям был назначен инженер-подпол- ковник Прендовский, ведущим лётчи</w:t>
      </w:r>
      <w:r w:rsidRPr="008127F8">
        <w:rPr>
          <w:color w:val="000000" w:themeColor="text1"/>
          <w:lang w:val="ru-RU"/>
        </w:rPr>
        <w:softHyphen/>
        <w:t>ком - старший лейтенант Кравченко. В испытательную бригаду входили: техни</w:t>
      </w:r>
      <w:r w:rsidRPr="008127F8">
        <w:rPr>
          <w:color w:val="000000" w:themeColor="text1"/>
          <w:lang w:val="ru-RU"/>
        </w:rPr>
        <w:softHyphen/>
        <w:t>ки-испытатели - техник-лейтенант Ви</w:t>
      </w:r>
      <w:r w:rsidRPr="008127F8">
        <w:rPr>
          <w:color w:val="000000" w:themeColor="text1"/>
          <w:lang w:val="ru-RU"/>
        </w:rPr>
        <w:softHyphen/>
        <w:t>нокуров и техник-лейтенант Вейнарех, авиатехник - инженер-капитан Кутняков, авиамеханик - старшина Сивцов.</w:t>
      </w:r>
    </w:p>
    <w:p w14:paraId="0285F225" w14:textId="77777777" w:rsidR="007C5583" w:rsidRPr="008127F8" w:rsidRDefault="007C5583" w:rsidP="007C5583">
      <w:pPr>
        <w:pStyle w:val="a4"/>
        <w:rPr>
          <w:color w:val="000000" w:themeColor="text1"/>
          <w:lang w:val="ru-RU"/>
        </w:rPr>
      </w:pPr>
      <w:r w:rsidRPr="008127F8">
        <w:rPr>
          <w:color w:val="000000" w:themeColor="text1"/>
          <w:lang w:val="ru-RU"/>
        </w:rPr>
        <w:t>После завершения программы ис</w:t>
      </w:r>
      <w:r w:rsidRPr="008127F8">
        <w:rPr>
          <w:color w:val="000000" w:themeColor="text1"/>
          <w:lang w:val="ru-RU"/>
        </w:rPr>
        <w:softHyphen/>
        <w:t>пытаний 8 июня механизм был возвра</w:t>
      </w:r>
      <w:r w:rsidRPr="008127F8">
        <w:rPr>
          <w:color w:val="000000" w:themeColor="text1"/>
          <w:lang w:val="ru-RU"/>
        </w:rPr>
        <w:softHyphen/>
        <w:t>щён на кафедру для устранения выяв</w:t>
      </w:r>
      <w:r w:rsidRPr="008127F8">
        <w:rPr>
          <w:color w:val="000000" w:themeColor="text1"/>
          <w:lang w:val="ru-RU"/>
        </w:rPr>
        <w:softHyphen/>
        <w:t>ленных недостатков (15978).</w:t>
      </w:r>
    </w:p>
    <w:p w14:paraId="67A72578" w14:textId="77777777" w:rsidR="007C5583" w:rsidRPr="008127F8" w:rsidRDefault="007C5583" w:rsidP="007C5583">
      <w:pPr>
        <w:pStyle w:val="a4"/>
        <w:rPr>
          <w:color w:val="000000" w:themeColor="text1"/>
          <w:lang w:val="ru-RU"/>
        </w:rPr>
      </w:pPr>
    </w:p>
    <w:p w14:paraId="125556F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года начальник Инспекции при наркоме Волоконский писал письмо N 5451с зам. наркома Авиапрома Дементьеву.</w:t>
      </w:r>
    </w:p>
    <w:p w14:paraId="6EF73C6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Справка о выполнении приказа НКАП N 197сс от 14.III-42 г. о поставке Наркомавиапромом ВВС ВМФ 58 самолетов ДБ3-Ф в варианте торпедоносца и миноносца.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7C5583" w:rsidRPr="008127F8" w14:paraId="020A72FE" w14:textId="77777777" w:rsidTr="004C5D62">
        <w:tc>
          <w:tcPr>
            <w:tcW w:w="3757" w:type="dxa"/>
            <w:tcBorders>
              <w:top w:val="single" w:sz="12" w:space="0" w:color="auto"/>
            </w:tcBorders>
          </w:tcPr>
          <w:p w14:paraId="1DD5AF2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состоянию на 20.II-42 г.</w:t>
            </w:r>
          </w:p>
        </w:tc>
        <w:tc>
          <w:tcPr>
            <w:tcW w:w="3757" w:type="dxa"/>
            <w:tcBorders>
              <w:top w:val="single" w:sz="12" w:space="0" w:color="auto"/>
            </w:tcBorders>
          </w:tcPr>
          <w:p w14:paraId="29AD8D1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736DB4F" w14:textId="77777777" w:rsidTr="004C5D62">
        <w:tc>
          <w:tcPr>
            <w:tcW w:w="3757" w:type="dxa"/>
          </w:tcPr>
          <w:p w14:paraId="65EA204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Требовалось</w:t>
            </w:r>
          </w:p>
        </w:tc>
        <w:tc>
          <w:tcPr>
            <w:tcW w:w="3757" w:type="dxa"/>
          </w:tcPr>
          <w:p w14:paraId="61E487B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Выполнение</w:t>
            </w:r>
          </w:p>
        </w:tc>
      </w:tr>
      <w:tr w:rsidR="007C5583" w:rsidRPr="008127F8" w14:paraId="15DE72D9" w14:textId="77777777" w:rsidTr="004C5D62">
        <w:tc>
          <w:tcPr>
            <w:tcW w:w="3757" w:type="dxa"/>
          </w:tcPr>
          <w:p w14:paraId="2E88342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Назначить местом сборки завод</w:t>
            </w:r>
          </w:p>
        </w:tc>
        <w:tc>
          <w:tcPr>
            <w:tcW w:w="3757" w:type="dxa"/>
          </w:tcPr>
          <w:p w14:paraId="3A45767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Выполняется работа заводами NN 81</w:t>
            </w:r>
          </w:p>
        </w:tc>
      </w:tr>
      <w:tr w:rsidR="007C5583" w:rsidRPr="008127F8" w14:paraId="3D3C65FC" w14:textId="77777777" w:rsidTr="004C5D62">
        <w:tc>
          <w:tcPr>
            <w:tcW w:w="3757" w:type="dxa"/>
          </w:tcPr>
          <w:p w14:paraId="11E8AA7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N 81 для доработки под вариант</w:t>
            </w:r>
          </w:p>
        </w:tc>
        <w:tc>
          <w:tcPr>
            <w:tcW w:w="3757" w:type="dxa"/>
          </w:tcPr>
          <w:p w14:paraId="25E0D44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23, согласно распоряжения зам. наркома</w:t>
            </w:r>
          </w:p>
        </w:tc>
      </w:tr>
      <w:tr w:rsidR="007C5583" w:rsidRPr="008127F8" w14:paraId="7D28B8F1" w14:textId="77777777" w:rsidTr="004C5D62">
        <w:tc>
          <w:tcPr>
            <w:tcW w:w="3757" w:type="dxa"/>
          </w:tcPr>
          <w:p w14:paraId="5121453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торпедоносца.</w:t>
            </w:r>
          </w:p>
        </w:tc>
        <w:tc>
          <w:tcPr>
            <w:tcW w:w="3757" w:type="dxa"/>
          </w:tcPr>
          <w:p w14:paraId="046A4D6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Воронина.</w:t>
            </w:r>
          </w:p>
        </w:tc>
      </w:tr>
      <w:tr w:rsidR="007C5583" w:rsidRPr="008127F8" w14:paraId="585617D0" w14:textId="77777777" w:rsidTr="004C5D62">
        <w:tc>
          <w:tcPr>
            <w:tcW w:w="3757" w:type="dxa"/>
          </w:tcPr>
          <w:p w14:paraId="1E4BE2C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Директору завода N 126</w:t>
            </w:r>
          </w:p>
        </w:tc>
        <w:tc>
          <w:tcPr>
            <w:tcW w:w="3757" w:type="dxa"/>
          </w:tcPr>
          <w:p w14:paraId="60487FA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Самолеты в количестве 6 штук были </w:t>
            </w:r>
          </w:p>
        </w:tc>
      </w:tr>
      <w:tr w:rsidR="007C5583" w:rsidRPr="008127F8" w14:paraId="3C87C417" w14:textId="77777777" w:rsidTr="004C5D62">
        <w:tc>
          <w:tcPr>
            <w:tcW w:w="3757" w:type="dxa"/>
          </w:tcPr>
          <w:p w14:paraId="79DC60D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Тимофееву 6 самолетов ДБ3-Ф</w:t>
            </w:r>
          </w:p>
        </w:tc>
        <w:tc>
          <w:tcPr>
            <w:tcW w:w="3757" w:type="dxa"/>
          </w:tcPr>
          <w:p w14:paraId="167C605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отправлены летом 21.III-42 г., но до сих</w:t>
            </w:r>
          </w:p>
        </w:tc>
      </w:tr>
      <w:tr w:rsidR="007C5583" w:rsidRPr="008127F8" w14:paraId="649469CC" w14:textId="77777777" w:rsidTr="004C5D62">
        <w:tc>
          <w:tcPr>
            <w:tcW w:w="3757" w:type="dxa"/>
          </w:tcPr>
          <w:p w14:paraId="3F7A76D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немедленно отправить летом по</w:t>
            </w:r>
          </w:p>
        </w:tc>
        <w:tc>
          <w:tcPr>
            <w:tcW w:w="3757" w:type="dxa"/>
          </w:tcPr>
          <w:p w14:paraId="582D800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пор не прибыли.</w:t>
            </w:r>
          </w:p>
        </w:tc>
      </w:tr>
      <w:tr w:rsidR="007C5583" w:rsidRPr="008127F8" w14:paraId="11F6AFFE" w14:textId="77777777" w:rsidTr="004C5D62">
        <w:tc>
          <w:tcPr>
            <w:tcW w:w="3757" w:type="dxa"/>
          </w:tcPr>
          <w:p w14:paraId="2CABA33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указанию ВВС. Остальные 34</w:t>
            </w:r>
          </w:p>
        </w:tc>
        <w:tc>
          <w:tcPr>
            <w:tcW w:w="3757" w:type="dxa"/>
          </w:tcPr>
          <w:p w14:paraId="4FA1EC6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запросы 10-го Гл. управления ВВС не</w:t>
            </w:r>
          </w:p>
        </w:tc>
      </w:tr>
      <w:tr w:rsidR="007C5583" w:rsidRPr="008127F8" w14:paraId="70455F23" w14:textId="77777777" w:rsidTr="004C5D62">
        <w:tc>
          <w:tcPr>
            <w:tcW w:w="3757" w:type="dxa"/>
          </w:tcPr>
          <w:p w14:paraId="3FCA59D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самолета отправить железной</w:t>
            </w:r>
          </w:p>
        </w:tc>
        <w:tc>
          <w:tcPr>
            <w:tcW w:w="3757" w:type="dxa"/>
          </w:tcPr>
          <w:p w14:paraId="50E4B01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дает справки, где находятся самолеты. Зам.</w:t>
            </w:r>
          </w:p>
        </w:tc>
      </w:tr>
      <w:tr w:rsidR="007C5583" w:rsidRPr="008127F8" w14:paraId="5246DBCA" w14:textId="77777777" w:rsidTr="004C5D62">
        <w:tc>
          <w:tcPr>
            <w:tcW w:w="3757" w:type="dxa"/>
          </w:tcPr>
          <w:p w14:paraId="305FC5A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дорогой. Отправить 1-й эшелон</w:t>
            </w:r>
          </w:p>
        </w:tc>
        <w:tc>
          <w:tcPr>
            <w:tcW w:w="3757" w:type="dxa"/>
          </w:tcPr>
          <w:p w14:paraId="652EDFA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наркома Воронин в курсе дела.</w:t>
            </w:r>
          </w:p>
        </w:tc>
      </w:tr>
      <w:tr w:rsidR="007C5583" w:rsidRPr="008127F8" w14:paraId="1BBEF842" w14:textId="77777777" w:rsidTr="004C5D62">
        <w:tc>
          <w:tcPr>
            <w:tcW w:w="3757" w:type="dxa"/>
          </w:tcPr>
          <w:p w14:paraId="036AB13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9 - 10 самолетов не позднее</w:t>
            </w:r>
          </w:p>
        </w:tc>
        <w:tc>
          <w:tcPr>
            <w:tcW w:w="3757" w:type="dxa"/>
          </w:tcPr>
          <w:p w14:paraId="2F1D8D3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 самолета прибыли на завод эшелонами,</w:t>
            </w:r>
          </w:p>
        </w:tc>
      </w:tr>
      <w:tr w:rsidR="007C5583" w:rsidRPr="008127F8" w14:paraId="12C99009" w14:textId="77777777" w:rsidTr="004C5D62">
        <w:tc>
          <w:tcPr>
            <w:tcW w:w="3757" w:type="dxa"/>
          </w:tcPr>
          <w:p w14:paraId="0846B2D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16.III-42 г.</w:t>
            </w:r>
          </w:p>
        </w:tc>
        <w:tc>
          <w:tcPr>
            <w:tcW w:w="3757" w:type="dxa"/>
          </w:tcPr>
          <w:p w14:paraId="1B4720F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эти самолеты переоборудованы и сданы ВВС -</w:t>
            </w:r>
          </w:p>
        </w:tc>
      </w:tr>
      <w:tr w:rsidR="007C5583" w:rsidRPr="008127F8" w14:paraId="5E77562F" w14:textId="77777777" w:rsidTr="004C5D62">
        <w:tc>
          <w:tcPr>
            <w:tcW w:w="3757" w:type="dxa"/>
          </w:tcPr>
          <w:p w14:paraId="59A761F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0567140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последние самолеты сданы 5.V.</w:t>
            </w:r>
          </w:p>
        </w:tc>
      </w:tr>
      <w:tr w:rsidR="007C5583" w:rsidRPr="008127F8" w14:paraId="1A316148" w14:textId="77777777" w:rsidTr="004C5D62">
        <w:tc>
          <w:tcPr>
            <w:tcW w:w="3757" w:type="dxa"/>
          </w:tcPr>
          <w:p w14:paraId="2332318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Директору завода N 81</w:t>
            </w:r>
          </w:p>
        </w:tc>
        <w:tc>
          <w:tcPr>
            <w:tcW w:w="3757" w:type="dxa"/>
          </w:tcPr>
          <w:p w14:paraId="57A2C37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График подачи самолетов был составлен,</w:t>
            </w:r>
          </w:p>
        </w:tc>
      </w:tr>
      <w:tr w:rsidR="007C5583" w:rsidRPr="008127F8" w14:paraId="0F5B168C" w14:textId="77777777" w:rsidTr="004C5D62">
        <w:tc>
          <w:tcPr>
            <w:tcW w:w="3757" w:type="dxa"/>
          </w:tcPr>
          <w:p w14:paraId="736DD1B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Филимончук немедленно связаться</w:t>
            </w:r>
          </w:p>
        </w:tc>
        <w:tc>
          <w:tcPr>
            <w:tcW w:w="3757" w:type="dxa"/>
          </w:tcPr>
          <w:p w14:paraId="571302B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ВВС представил только 6 самолетов,</w:t>
            </w:r>
          </w:p>
        </w:tc>
      </w:tr>
      <w:tr w:rsidR="007C5583" w:rsidRPr="008127F8" w14:paraId="6CBDD491" w14:textId="77777777" w:rsidTr="004C5D62">
        <w:tc>
          <w:tcPr>
            <w:tcW w:w="3757" w:type="dxa"/>
          </w:tcPr>
          <w:p w14:paraId="347CAEF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ВВС и установить график подачи</w:t>
            </w:r>
          </w:p>
        </w:tc>
        <w:tc>
          <w:tcPr>
            <w:tcW w:w="3757" w:type="dxa"/>
          </w:tcPr>
          <w:p w14:paraId="2E50CC6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которые переоборудованы и сданы.</w:t>
            </w:r>
          </w:p>
        </w:tc>
      </w:tr>
      <w:tr w:rsidR="007C5583" w:rsidRPr="008127F8" w14:paraId="61C8AE37" w14:textId="77777777" w:rsidTr="004C5D62">
        <w:tc>
          <w:tcPr>
            <w:tcW w:w="3757" w:type="dxa"/>
          </w:tcPr>
          <w:p w14:paraId="4990C06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воинских частей на завод 81</w:t>
            </w:r>
          </w:p>
        </w:tc>
        <w:tc>
          <w:tcPr>
            <w:tcW w:w="3757" w:type="dxa"/>
          </w:tcPr>
          <w:p w14:paraId="51310C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115F8CD" w14:textId="77777777" w:rsidTr="004C5D62">
        <w:tc>
          <w:tcPr>
            <w:tcW w:w="3757" w:type="dxa"/>
          </w:tcPr>
          <w:p w14:paraId="6AD06BF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самолетов ДБ3-Ф.</w:t>
            </w:r>
          </w:p>
        </w:tc>
        <w:tc>
          <w:tcPr>
            <w:tcW w:w="3757" w:type="dxa"/>
          </w:tcPr>
          <w:p w14:paraId="58C9CEF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20AB48CF" w14:textId="77777777" w:rsidTr="004C5D62">
        <w:tc>
          <w:tcPr>
            <w:tcW w:w="3757" w:type="dxa"/>
          </w:tcPr>
          <w:p w14:paraId="52F6C23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4. Нач. 2 Гл. управления</w:t>
            </w:r>
          </w:p>
        </w:tc>
        <w:tc>
          <w:tcPr>
            <w:tcW w:w="3757" w:type="dxa"/>
          </w:tcPr>
          <w:p w14:paraId="5F85877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Выполнено полностью на весь заказ и в срок.</w:t>
            </w:r>
          </w:p>
        </w:tc>
      </w:tr>
      <w:tr w:rsidR="007C5583" w:rsidRPr="008127F8" w14:paraId="1A97C039" w14:textId="77777777" w:rsidTr="004C5D62">
        <w:tc>
          <w:tcPr>
            <w:tcW w:w="3757" w:type="dxa"/>
          </w:tcPr>
          <w:p w14:paraId="6614FFD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Климовицкому обеспечить поставку</w:t>
            </w:r>
          </w:p>
        </w:tc>
        <w:tc>
          <w:tcPr>
            <w:tcW w:w="3757" w:type="dxa"/>
          </w:tcPr>
          <w:p w14:paraId="4EA7E8B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C71BA3E" w14:textId="77777777" w:rsidTr="004C5D62">
        <w:tc>
          <w:tcPr>
            <w:tcW w:w="3757" w:type="dxa"/>
          </w:tcPr>
          <w:p w14:paraId="4AB61B5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заводу N 81 Т-18 и МД-39 в сроки</w:t>
            </w:r>
          </w:p>
        </w:tc>
        <w:tc>
          <w:tcPr>
            <w:tcW w:w="3757" w:type="dxa"/>
          </w:tcPr>
          <w:p w14:paraId="474350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4DB54FE" w14:textId="77777777" w:rsidTr="004C5D62">
        <w:tc>
          <w:tcPr>
            <w:tcW w:w="3757" w:type="dxa"/>
          </w:tcPr>
          <w:p w14:paraId="3202C96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согласованные с заводом 81.</w:t>
            </w:r>
          </w:p>
        </w:tc>
        <w:tc>
          <w:tcPr>
            <w:tcW w:w="3757" w:type="dxa"/>
          </w:tcPr>
          <w:p w14:paraId="2FF4FEA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4184EB6" w14:textId="77777777" w:rsidTr="004C5D62">
        <w:tc>
          <w:tcPr>
            <w:tcW w:w="3757" w:type="dxa"/>
          </w:tcPr>
          <w:p w14:paraId="4D5870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Зам. начальника 12 Гл. </w:t>
            </w:r>
          </w:p>
        </w:tc>
        <w:tc>
          <w:tcPr>
            <w:tcW w:w="3757" w:type="dxa"/>
          </w:tcPr>
          <w:p w14:paraId="54EC9B8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Выполнено полностью на весь заказ и в срок.</w:t>
            </w:r>
          </w:p>
        </w:tc>
      </w:tr>
      <w:tr w:rsidR="007C5583" w:rsidRPr="008127F8" w14:paraId="4C2E9A7C" w14:textId="77777777" w:rsidTr="004C5D62">
        <w:tc>
          <w:tcPr>
            <w:tcW w:w="3757" w:type="dxa"/>
          </w:tcPr>
          <w:p w14:paraId="0390517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управления Васильеву обеспечить</w:t>
            </w:r>
          </w:p>
        </w:tc>
        <w:tc>
          <w:tcPr>
            <w:tcW w:w="3757" w:type="dxa"/>
          </w:tcPr>
          <w:p w14:paraId="529228A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7B5CD62" w14:textId="77777777" w:rsidTr="004C5D62">
        <w:tc>
          <w:tcPr>
            <w:tcW w:w="3757" w:type="dxa"/>
          </w:tcPr>
          <w:p w14:paraId="32E95E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поставку з-ду 81 готовых изделий</w:t>
            </w:r>
          </w:p>
        </w:tc>
        <w:tc>
          <w:tcPr>
            <w:tcW w:w="3757" w:type="dxa"/>
          </w:tcPr>
          <w:p w14:paraId="3DE07A0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3DF83F6" w14:textId="77777777" w:rsidTr="004C5D62">
        <w:tc>
          <w:tcPr>
            <w:tcW w:w="3757" w:type="dxa"/>
          </w:tcPr>
          <w:p w14:paraId="449511F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спецификации завода N 81 для</w:t>
            </w:r>
          </w:p>
        </w:tc>
        <w:tc>
          <w:tcPr>
            <w:tcW w:w="3757" w:type="dxa"/>
          </w:tcPr>
          <w:p w14:paraId="25DE7FF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2D984D41" w14:textId="77777777" w:rsidTr="004C5D62">
        <w:tc>
          <w:tcPr>
            <w:tcW w:w="3757" w:type="dxa"/>
          </w:tcPr>
          <w:p w14:paraId="10D669C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укомплектования самолетов,</w:t>
            </w:r>
          </w:p>
        </w:tc>
        <w:tc>
          <w:tcPr>
            <w:tcW w:w="3757" w:type="dxa"/>
          </w:tcPr>
          <w:p w14:paraId="0CA4E95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53775A5" w14:textId="77777777" w:rsidTr="004C5D62">
        <w:tc>
          <w:tcPr>
            <w:tcW w:w="3757" w:type="dxa"/>
          </w:tcPr>
          <w:p w14:paraId="46D8754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дорабатываемых в морском варианте.</w:t>
            </w:r>
          </w:p>
        </w:tc>
        <w:tc>
          <w:tcPr>
            <w:tcW w:w="3757" w:type="dxa"/>
          </w:tcPr>
          <w:p w14:paraId="791712C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452D523" w14:textId="77777777" w:rsidTr="004C5D62">
        <w:tc>
          <w:tcPr>
            <w:tcW w:w="3757" w:type="dxa"/>
          </w:tcPr>
          <w:p w14:paraId="3BA8F46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Начальнику Главснаба Гришину</w:t>
            </w:r>
          </w:p>
        </w:tc>
        <w:tc>
          <w:tcPr>
            <w:tcW w:w="3757" w:type="dxa"/>
          </w:tcPr>
          <w:p w14:paraId="5BB5463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Выполнено. Баллоны получены из наличия</w:t>
            </w:r>
          </w:p>
        </w:tc>
      </w:tr>
      <w:tr w:rsidR="007C5583" w:rsidRPr="008127F8" w14:paraId="7F862A93" w14:textId="77777777" w:rsidTr="004C5D62">
        <w:tc>
          <w:tcPr>
            <w:tcW w:w="3757" w:type="dxa"/>
          </w:tcPr>
          <w:p w14:paraId="08C78BE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поставить заводу N 81: 12 литров</w:t>
            </w:r>
          </w:p>
        </w:tc>
        <w:tc>
          <w:tcPr>
            <w:tcW w:w="3757" w:type="dxa"/>
          </w:tcPr>
          <w:p w14:paraId="6A4F4E9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Куйбышевск. контор Главснаба 22.III и доставлены</w:t>
            </w:r>
          </w:p>
        </w:tc>
      </w:tr>
      <w:tr w:rsidR="007C5583" w:rsidRPr="008127F8" w14:paraId="71B0AD69" w14:textId="77777777" w:rsidTr="004C5D62">
        <w:tc>
          <w:tcPr>
            <w:tcW w:w="3757" w:type="dxa"/>
          </w:tcPr>
          <w:p w14:paraId="591C4D0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кислородн. баллон - 210 шт.</w:t>
            </w:r>
          </w:p>
        </w:tc>
        <w:tc>
          <w:tcPr>
            <w:tcW w:w="3757" w:type="dxa"/>
          </w:tcPr>
          <w:p w14:paraId="2DC4CB1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завод.</w:t>
            </w:r>
          </w:p>
        </w:tc>
      </w:tr>
      <w:tr w:rsidR="007C5583" w:rsidRPr="008127F8" w14:paraId="0DF7AA71" w14:textId="77777777" w:rsidTr="004C5D62">
        <w:tc>
          <w:tcPr>
            <w:tcW w:w="3757" w:type="dxa"/>
          </w:tcPr>
          <w:p w14:paraId="21F996D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литров баллонов д/кислоты - 70 шт.</w:t>
            </w:r>
          </w:p>
        </w:tc>
        <w:tc>
          <w:tcPr>
            <w:tcW w:w="3757" w:type="dxa"/>
          </w:tcPr>
          <w:p w14:paraId="7F1CC67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1C179D4" w14:textId="77777777" w:rsidTr="004C5D62">
        <w:tc>
          <w:tcPr>
            <w:tcW w:w="3757" w:type="dxa"/>
          </w:tcPr>
          <w:p w14:paraId="71525C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Начальнику 2-го Гл.</w:t>
            </w:r>
          </w:p>
        </w:tc>
        <w:tc>
          <w:tcPr>
            <w:tcW w:w="3757" w:type="dxa"/>
          </w:tcPr>
          <w:p w14:paraId="7FB0EEA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Выполнено.</w:t>
            </w:r>
          </w:p>
        </w:tc>
      </w:tr>
      <w:tr w:rsidR="007C5583" w:rsidRPr="008127F8" w14:paraId="4CF2FA63" w14:textId="77777777" w:rsidTr="004C5D62">
        <w:tc>
          <w:tcPr>
            <w:tcW w:w="3757" w:type="dxa"/>
          </w:tcPr>
          <w:p w14:paraId="366B942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управления Климовицкому</w:t>
            </w:r>
          </w:p>
        </w:tc>
        <w:tc>
          <w:tcPr>
            <w:tcW w:w="3757" w:type="dxa"/>
          </w:tcPr>
          <w:p w14:paraId="581F89B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AFBB660" w14:textId="77777777" w:rsidTr="004C5D62">
        <w:tc>
          <w:tcPr>
            <w:tcW w:w="3757" w:type="dxa"/>
          </w:tcPr>
          <w:p w14:paraId="207C77B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поставить заводу N 81 баллонов</w:t>
            </w:r>
          </w:p>
        </w:tc>
        <w:tc>
          <w:tcPr>
            <w:tcW w:w="3757" w:type="dxa"/>
          </w:tcPr>
          <w:p w14:paraId="62087EF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A0D0038" w14:textId="77777777" w:rsidTr="004C5D62">
        <w:tc>
          <w:tcPr>
            <w:tcW w:w="3757" w:type="dxa"/>
          </w:tcPr>
          <w:p w14:paraId="2590694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сжатого воздуха...литровых</w:t>
            </w:r>
          </w:p>
        </w:tc>
        <w:tc>
          <w:tcPr>
            <w:tcW w:w="3757" w:type="dxa"/>
          </w:tcPr>
          <w:p w14:paraId="3022972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2A1FDFA5" w14:textId="77777777" w:rsidTr="004C5D62">
        <w:tc>
          <w:tcPr>
            <w:tcW w:w="3757" w:type="dxa"/>
          </w:tcPr>
          <w:p w14:paraId="1FCE2A6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 шт., 5 литр. - 35 шт.</w:t>
            </w:r>
          </w:p>
        </w:tc>
        <w:tc>
          <w:tcPr>
            <w:tcW w:w="3757" w:type="dxa"/>
          </w:tcPr>
          <w:p w14:paraId="433D84E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E730B37" w14:textId="77777777" w:rsidTr="004C5D62">
        <w:tc>
          <w:tcPr>
            <w:tcW w:w="3757" w:type="dxa"/>
          </w:tcPr>
          <w:p w14:paraId="23D374F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Конструктору Ильюшину к</w:t>
            </w:r>
          </w:p>
        </w:tc>
        <w:tc>
          <w:tcPr>
            <w:tcW w:w="3757" w:type="dxa"/>
          </w:tcPr>
          <w:p w14:paraId="023BE2A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Выполнено. Чертежи доставлены самолетом с</w:t>
            </w:r>
          </w:p>
        </w:tc>
      </w:tr>
      <w:tr w:rsidR="007C5583" w:rsidRPr="008127F8" w14:paraId="263405A8" w14:textId="77777777" w:rsidTr="004C5D62">
        <w:tc>
          <w:tcPr>
            <w:tcW w:w="3757" w:type="dxa"/>
          </w:tcPr>
          <w:p w14:paraId="2E82221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16.III подготовить чертежи</w:t>
            </w:r>
          </w:p>
        </w:tc>
        <w:tc>
          <w:tcPr>
            <w:tcW w:w="3757" w:type="dxa"/>
          </w:tcPr>
          <w:p w14:paraId="51618B9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опозданием 4 дня.</w:t>
            </w:r>
          </w:p>
        </w:tc>
      </w:tr>
      <w:tr w:rsidR="007C5583" w:rsidRPr="008127F8" w14:paraId="2816C7AB" w14:textId="77777777" w:rsidTr="004C5D62">
        <w:tc>
          <w:tcPr>
            <w:tcW w:w="3757" w:type="dxa"/>
          </w:tcPr>
          <w:p w14:paraId="34C9B88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 вариант торпедоносца и</w:t>
            </w:r>
          </w:p>
        </w:tc>
        <w:tc>
          <w:tcPr>
            <w:tcW w:w="3757" w:type="dxa"/>
          </w:tcPr>
          <w:p w14:paraId="39B9CD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8595390" w14:textId="77777777" w:rsidTr="004C5D62">
        <w:tc>
          <w:tcPr>
            <w:tcW w:w="3757" w:type="dxa"/>
          </w:tcPr>
          <w:p w14:paraId="0CF6B63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миноносца, а уполномоченному</w:t>
            </w:r>
          </w:p>
        </w:tc>
        <w:tc>
          <w:tcPr>
            <w:tcW w:w="3757" w:type="dxa"/>
          </w:tcPr>
          <w:p w14:paraId="6FB89C8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4F7782E" w14:textId="77777777" w:rsidTr="004C5D62">
        <w:tc>
          <w:tcPr>
            <w:tcW w:w="3757" w:type="dxa"/>
          </w:tcPr>
          <w:p w14:paraId="35E78C7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НКАП в Куйбышеве Кофман отправить</w:t>
            </w:r>
          </w:p>
        </w:tc>
        <w:tc>
          <w:tcPr>
            <w:tcW w:w="3757" w:type="dxa"/>
          </w:tcPr>
          <w:p w14:paraId="0F0459D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F755CF6" w14:textId="77777777" w:rsidTr="004C5D62">
        <w:tc>
          <w:tcPr>
            <w:tcW w:w="3757" w:type="dxa"/>
            <w:tcBorders>
              <w:bottom w:val="single" w:sz="12" w:space="0" w:color="auto"/>
            </w:tcBorders>
          </w:tcPr>
          <w:p w14:paraId="14CA45D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самолетом не позже 20.III.</w:t>
            </w:r>
          </w:p>
        </w:tc>
        <w:tc>
          <w:tcPr>
            <w:tcW w:w="3757" w:type="dxa"/>
            <w:tcBorders>
              <w:bottom w:val="single" w:sz="12" w:space="0" w:color="auto"/>
            </w:tcBorders>
          </w:tcPr>
          <w:p w14:paraId="2EE62DB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647C37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из 58 самолетов, подлежащих переоборудованию 40 самолетов переоборудованы и сданы ВВС, остальные 18 самолетов задерживаются ВВС. Об этом поставлен в известность зам. наркома Воронин.</w:t>
      </w:r>
    </w:p>
    <w:p w14:paraId="0C5C178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детали и агрегаты на заводе 81 подготовлены на остальные самолеты и ждут самолетов (1676,184).</w:t>
      </w:r>
    </w:p>
    <w:p w14:paraId="43FF59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15A9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года начальник Инспекции при наркоме писал письмо N 5452с Воронину.</w:t>
      </w:r>
    </w:p>
    <w:p w14:paraId="7817281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Справка О выполнении приказов НКАП N 233с от 27.III-42 г. и N 265с от 8.IV-42 г. по вопросу оборудования</w:t>
      </w:r>
    </w:p>
    <w:p w14:paraId="2B6AFE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самолетов Ил-4 дополнительными маслобаками и подвесными бензобаками.</w:t>
      </w:r>
    </w:p>
    <w:p w14:paraId="42A631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состоянию на 16.V-42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C5583" w:rsidRPr="008127F8" w14:paraId="6E0C7416" w14:textId="77777777" w:rsidTr="004C5D62">
        <w:tc>
          <w:tcPr>
            <w:tcW w:w="5636" w:type="dxa"/>
            <w:tcBorders>
              <w:top w:val="single" w:sz="12" w:space="0" w:color="auto"/>
            </w:tcBorders>
          </w:tcPr>
          <w:p w14:paraId="7CC6194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Требовалось</w:t>
            </w:r>
          </w:p>
        </w:tc>
        <w:tc>
          <w:tcPr>
            <w:tcW w:w="5636" w:type="dxa"/>
            <w:tcBorders>
              <w:top w:val="single" w:sz="12" w:space="0" w:color="auto"/>
            </w:tcBorders>
          </w:tcPr>
          <w:p w14:paraId="56C566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Выполнение</w:t>
            </w:r>
          </w:p>
        </w:tc>
      </w:tr>
      <w:tr w:rsidR="007C5583" w:rsidRPr="008127F8" w14:paraId="46EBB6F8" w14:textId="77777777" w:rsidTr="004C5D62">
        <w:tc>
          <w:tcPr>
            <w:tcW w:w="5636" w:type="dxa"/>
          </w:tcPr>
          <w:p w14:paraId="6ECE66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Заводу N 81 оборудование самолетов</w:t>
            </w:r>
          </w:p>
        </w:tc>
        <w:tc>
          <w:tcPr>
            <w:tcW w:w="5636" w:type="dxa"/>
          </w:tcPr>
          <w:p w14:paraId="7F2EF14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Самолеты оборудованы и сданы в количестве</w:t>
            </w:r>
          </w:p>
        </w:tc>
      </w:tr>
      <w:tr w:rsidR="007C5583" w:rsidRPr="008127F8" w14:paraId="447FFD05" w14:textId="77777777" w:rsidTr="004C5D62">
        <w:tc>
          <w:tcPr>
            <w:tcW w:w="5636" w:type="dxa"/>
          </w:tcPr>
          <w:p w14:paraId="5BD7112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произвести в Монино и Чкаловском в</w:t>
            </w:r>
          </w:p>
        </w:tc>
        <w:tc>
          <w:tcPr>
            <w:tcW w:w="5636" w:type="dxa"/>
          </w:tcPr>
          <w:p w14:paraId="64B9BC7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 машин, кроме того находятся в работе 11</w:t>
            </w:r>
          </w:p>
        </w:tc>
      </w:tr>
      <w:tr w:rsidR="007C5583" w:rsidRPr="008127F8" w14:paraId="4669584C" w14:textId="77777777" w:rsidTr="004C5D62">
        <w:tc>
          <w:tcPr>
            <w:tcW w:w="5636" w:type="dxa"/>
          </w:tcPr>
          <w:p w14:paraId="7D1A6FD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количестве... самолетов.</w:t>
            </w:r>
          </w:p>
        </w:tc>
        <w:tc>
          <w:tcPr>
            <w:tcW w:w="5636" w:type="dxa"/>
          </w:tcPr>
          <w:p w14:paraId="7A41B92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9 самолетов из 49 и 11 самолетов</w:t>
            </w:r>
          </w:p>
        </w:tc>
      </w:tr>
      <w:tr w:rsidR="007C5583" w:rsidRPr="008127F8" w14:paraId="12596B1E" w14:textId="77777777" w:rsidTr="004C5D62">
        <w:tc>
          <w:tcPr>
            <w:tcW w:w="5636" w:type="dxa"/>
          </w:tcPr>
          <w:p w14:paraId="526D45E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4520B1F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оборудуются по дополнительному заданию.</w:t>
            </w:r>
          </w:p>
        </w:tc>
      </w:tr>
      <w:tr w:rsidR="007C5583" w:rsidRPr="008127F8" w14:paraId="1EC263E4" w14:textId="77777777" w:rsidTr="004C5D62">
        <w:tc>
          <w:tcPr>
            <w:tcW w:w="5636" w:type="dxa"/>
          </w:tcPr>
          <w:p w14:paraId="0B6F0B7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Заводу N 23 - оборудование</w:t>
            </w:r>
          </w:p>
        </w:tc>
        <w:tc>
          <w:tcPr>
            <w:tcW w:w="5636" w:type="dxa"/>
          </w:tcPr>
          <w:p w14:paraId="3E174BC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 15.V оборудование и сдано 48 самолетов,</w:t>
            </w:r>
          </w:p>
        </w:tc>
      </w:tr>
      <w:tr w:rsidR="007C5583" w:rsidRPr="008127F8" w14:paraId="5BA2E545" w14:textId="77777777" w:rsidTr="004C5D62">
        <w:tc>
          <w:tcPr>
            <w:tcW w:w="5636" w:type="dxa"/>
          </w:tcPr>
          <w:p w14:paraId="227ED27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произвести в Раменском и Астафьево в</w:t>
            </w:r>
          </w:p>
        </w:tc>
        <w:tc>
          <w:tcPr>
            <w:tcW w:w="5636" w:type="dxa"/>
          </w:tcPr>
          <w:p w14:paraId="765CA7E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самолетов поступили дополнительно 16.V,</w:t>
            </w:r>
          </w:p>
        </w:tc>
      </w:tr>
      <w:tr w:rsidR="007C5583" w:rsidRPr="008127F8" w14:paraId="698931A9" w14:textId="77777777" w:rsidTr="004C5D62">
        <w:tc>
          <w:tcPr>
            <w:tcW w:w="5636" w:type="dxa"/>
          </w:tcPr>
          <w:p w14:paraId="13426E7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количестве 50 самолетов.</w:t>
            </w:r>
          </w:p>
        </w:tc>
        <w:tc>
          <w:tcPr>
            <w:tcW w:w="5636" w:type="dxa"/>
          </w:tcPr>
          <w:p w14:paraId="7695BD3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которые находятся на переоборудовании.</w:t>
            </w:r>
          </w:p>
        </w:tc>
      </w:tr>
      <w:tr w:rsidR="007C5583" w:rsidRPr="008127F8" w14:paraId="56C94AF5" w14:textId="77777777" w:rsidTr="004C5D62">
        <w:tc>
          <w:tcPr>
            <w:tcW w:w="5636" w:type="dxa"/>
          </w:tcPr>
          <w:p w14:paraId="4F43074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3. Ремонтному заводу в г. Воронеже</w:t>
            </w:r>
          </w:p>
        </w:tc>
        <w:tc>
          <w:tcPr>
            <w:tcW w:w="5636" w:type="dxa"/>
          </w:tcPr>
          <w:p w14:paraId="597ACAF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Все самолеты обеспечены деталями полностью.</w:t>
            </w:r>
          </w:p>
        </w:tc>
      </w:tr>
      <w:tr w:rsidR="007C5583" w:rsidRPr="008127F8" w14:paraId="746B2846" w14:textId="77777777" w:rsidTr="004C5D62">
        <w:tc>
          <w:tcPr>
            <w:tcW w:w="5636" w:type="dxa"/>
          </w:tcPr>
          <w:p w14:paraId="034D820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произвести оборудование... самолетов.</w:t>
            </w:r>
          </w:p>
        </w:tc>
        <w:tc>
          <w:tcPr>
            <w:tcW w:w="5636" w:type="dxa"/>
          </w:tcPr>
          <w:p w14:paraId="4F831FE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Имеются сведения на 7.V-42 г. о переоборудовании</w:t>
            </w:r>
          </w:p>
        </w:tc>
      </w:tr>
      <w:tr w:rsidR="007C5583" w:rsidRPr="008127F8" w14:paraId="5AC3B128" w14:textId="77777777" w:rsidTr="004C5D62">
        <w:tc>
          <w:tcPr>
            <w:tcW w:w="5636" w:type="dxa"/>
          </w:tcPr>
          <w:p w14:paraId="4DF4E9F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47C1396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только 7 самолетов. Инспекцией телеграфно</w:t>
            </w:r>
          </w:p>
        </w:tc>
      </w:tr>
      <w:tr w:rsidR="007C5583" w:rsidRPr="008127F8" w14:paraId="214C623F" w14:textId="77777777" w:rsidTr="004C5D62">
        <w:tc>
          <w:tcPr>
            <w:tcW w:w="5636" w:type="dxa"/>
          </w:tcPr>
          <w:p w14:paraId="207020B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8A4473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20.V-42 г. предложено директору завода сообщить</w:t>
            </w:r>
          </w:p>
        </w:tc>
      </w:tr>
      <w:tr w:rsidR="007C5583" w:rsidRPr="008127F8" w14:paraId="3D6E1DC1" w14:textId="77777777" w:rsidTr="004C5D62">
        <w:tc>
          <w:tcPr>
            <w:tcW w:w="5636" w:type="dxa"/>
          </w:tcPr>
          <w:p w14:paraId="0A61C1E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357E16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состояние выполнения задания.</w:t>
            </w:r>
          </w:p>
        </w:tc>
      </w:tr>
      <w:tr w:rsidR="007C5583" w:rsidRPr="008127F8" w14:paraId="0CA1C5B5" w14:textId="77777777" w:rsidTr="004C5D62">
        <w:tc>
          <w:tcPr>
            <w:tcW w:w="5636" w:type="dxa"/>
          </w:tcPr>
          <w:p w14:paraId="447854F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Всего по графику требовалось</w:t>
            </w:r>
          </w:p>
        </w:tc>
        <w:tc>
          <w:tcPr>
            <w:tcW w:w="5636" w:type="dxa"/>
          </w:tcPr>
          <w:p w14:paraId="575FADF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Из 130 самолетов сдано на 15.V 100 самолетов,</w:t>
            </w:r>
          </w:p>
        </w:tc>
      </w:tr>
      <w:tr w:rsidR="007C5583" w:rsidRPr="008127F8" w14:paraId="58852569" w14:textId="77777777" w:rsidTr="004C5D62">
        <w:tc>
          <w:tcPr>
            <w:tcW w:w="5636" w:type="dxa"/>
          </w:tcPr>
          <w:p w14:paraId="352A769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оборудовать 130 самолетов с 9.IV по</w:t>
            </w:r>
          </w:p>
        </w:tc>
        <w:tc>
          <w:tcPr>
            <w:tcW w:w="5636" w:type="dxa"/>
          </w:tcPr>
          <w:p w14:paraId="39143D6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остальные самолеты должны быть сданы в Воронеже.</w:t>
            </w:r>
          </w:p>
        </w:tc>
      </w:tr>
      <w:tr w:rsidR="007C5583" w:rsidRPr="008127F8" w14:paraId="1C2E1BB5" w14:textId="77777777" w:rsidTr="004C5D62">
        <w:tc>
          <w:tcPr>
            <w:tcW w:w="5636" w:type="dxa"/>
          </w:tcPr>
          <w:p w14:paraId="06F90A6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17.IV.</w:t>
            </w:r>
          </w:p>
        </w:tc>
        <w:tc>
          <w:tcPr>
            <w:tcW w:w="5636" w:type="dxa"/>
          </w:tcPr>
          <w:p w14:paraId="1B11FD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Инспекцией телеграфно запрошен завод о состоянии</w:t>
            </w:r>
          </w:p>
        </w:tc>
      </w:tr>
      <w:tr w:rsidR="007C5583" w:rsidRPr="008127F8" w14:paraId="70B081FF" w14:textId="77777777" w:rsidTr="004C5D62">
        <w:tc>
          <w:tcPr>
            <w:tcW w:w="5636" w:type="dxa"/>
          </w:tcPr>
          <w:p w14:paraId="2FE9A7D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31D9196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сдачи самолетов.</w:t>
            </w:r>
          </w:p>
        </w:tc>
      </w:tr>
      <w:tr w:rsidR="007C5583" w:rsidRPr="008127F8" w14:paraId="40DCF37B" w14:textId="77777777" w:rsidTr="004C5D62">
        <w:tc>
          <w:tcPr>
            <w:tcW w:w="5636" w:type="dxa"/>
          </w:tcPr>
          <w:p w14:paraId="3E77FDF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Всю комплектовку изделий для</w:t>
            </w:r>
          </w:p>
        </w:tc>
        <w:tc>
          <w:tcPr>
            <w:tcW w:w="5636" w:type="dxa"/>
          </w:tcPr>
          <w:p w14:paraId="1C56969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Выполнено.</w:t>
            </w:r>
          </w:p>
        </w:tc>
      </w:tr>
      <w:tr w:rsidR="007C5583" w:rsidRPr="008127F8" w14:paraId="6636BDBC" w14:textId="77777777" w:rsidTr="004C5D62">
        <w:tc>
          <w:tcPr>
            <w:tcW w:w="5636" w:type="dxa"/>
          </w:tcPr>
          <w:p w14:paraId="7775857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оборудования самолетов Ил-4</w:t>
            </w:r>
          </w:p>
        </w:tc>
        <w:tc>
          <w:tcPr>
            <w:tcW w:w="5636" w:type="dxa"/>
          </w:tcPr>
          <w:p w14:paraId="728EAAA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66BA07C" w14:textId="77777777" w:rsidTr="004C5D62">
        <w:tc>
          <w:tcPr>
            <w:tcW w:w="5636" w:type="dxa"/>
          </w:tcPr>
          <w:p w14:paraId="5D19BE1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возложить на завод N 81.</w:t>
            </w:r>
          </w:p>
        </w:tc>
        <w:tc>
          <w:tcPr>
            <w:tcW w:w="5636" w:type="dxa"/>
          </w:tcPr>
          <w:p w14:paraId="3F9F898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76F11B1" w14:textId="77777777" w:rsidTr="004C5D62">
        <w:tc>
          <w:tcPr>
            <w:tcW w:w="5636" w:type="dxa"/>
          </w:tcPr>
          <w:p w14:paraId="49F8A7D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Доработку основных маслобаков</w:t>
            </w:r>
          </w:p>
        </w:tc>
        <w:tc>
          <w:tcPr>
            <w:tcW w:w="5636" w:type="dxa"/>
          </w:tcPr>
          <w:p w14:paraId="634BA11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Выполнено. Доработку основных маслобаков</w:t>
            </w:r>
          </w:p>
        </w:tc>
      </w:tr>
      <w:tr w:rsidR="007C5583" w:rsidRPr="008127F8" w14:paraId="4FB5F900" w14:textId="77777777" w:rsidTr="004C5D62">
        <w:tc>
          <w:tcPr>
            <w:tcW w:w="5636" w:type="dxa"/>
          </w:tcPr>
          <w:p w14:paraId="2B06B18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производить заводами NN 23, 81,...</w:t>
            </w:r>
          </w:p>
        </w:tc>
        <w:tc>
          <w:tcPr>
            <w:tcW w:w="5636" w:type="dxa"/>
          </w:tcPr>
          <w:p w14:paraId="3AD670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производили и производят сами заводы.</w:t>
            </w:r>
          </w:p>
        </w:tc>
      </w:tr>
      <w:tr w:rsidR="007C5583" w:rsidRPr="008127F8" w14:paraId="06AE13DE" w14:textId="77777777" w:rsidTr="004C5D62">
        <w:tc>
          <w:tcPr>
            <w:tcW w:w="5636" w:type="dxa"/>
          </w:tcPr>
          <w:p w14:paraId="131E5FD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ремнотн. заводом на прикрепленных</w:t>
            </w:r>
          </w:p>
        </w:tc>
        <w:tc>
          <w:tcPr>
            <w:tcW w:w="5636" w:type="dxa"/>
          </w:tcPr>
          <w:p w14:paraId="0F4FE26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22029D0" w14:textId="77777777" w:rsidTr="004C5D62">
        <w:tc>
          <w:tcPr>
            <w:tcW w:w="5636" w:type="dxa"/>
          </w:tcPr>
          <w:p w14:paraId="5F3CDBD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машинах.</w:t>
            </w:r>
          </w:p>
        </w:tc>
        <w:tc>
          <w:tcPr>
            <w:tcW w:w="5636" w:type="dxa"/>
          </w:tcPr>
          <w:p w14:paraId="3CCA25F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2BE85C0" w14:textId="77777777" w:rsidTr="004C5D62">
        <w:tc>
          <w:tcPr>
            <w:tcW w:w="5636" w:type="dxa"/>
          </w:tcPr>
          <w:p w14:paraId="16F0CE4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Заводу N 30 дополнительно</w:t>
            </w:r>
          </w:p>
        </w:tc>
        <w:tc>
          <w:tcPr>
            <w:tcW w:w="5636" w:type="dxa"/>
          </w:tcPr>
          <w:p w14:paraId="2F27539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Выполнено.</w:t>
            </w:r>
          </w:p>
        </w:tc>
      </w:tr>
      <w:tr w:rsidR="007C5583" w:rsidRPr="008127F8" w14:paraId="71BE9871" w14:textId="77777777" w:rsidTr="004C5D62">
        <w:tc>
          <w:tcPr>
            <w:tcW w:w="5636" w:type="dxa"/>
          </w:tcPr>
          <w:p w14:paraId="321DCB9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изготовить:</w:t>
            </w:r>
          </w:p>
        </w:tc>
        <w:tc>
          <w:tcPr>
            <w:tcW w:w="5636" w:type="dxa"/>
          </w:tcPr>
          <w:p w14:paraId="3C17A26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81538C1" w14:textId="77777777" w:rsidTr="004C5D62">
        <w:tc>
          <w:tcPr>
            <w:tcW w:w="5636" w:type="dxa"/>
          </w:tcPr>
          <w:p w14:paraId="37EB226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бензокранов в кол-ве 72 шт.</w:t>
            </w:r>
          </w:p>
        </w:tc>
        <w:tc>
          <w:tcPr>
            <w:tcW w:w="5636" w:type="dxa"/>
          </w:tcPr>
          <w:p w14:paraId="5292E2D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2D5BBA00" w14:textId="77777777" w:rsidTr="004C5D62">
        <w:tc>
          <w:tcPr>
            <w:tcW w:w="5636" w:type="dxa"/>
          </w:tcPr>
          <w:p w14:paraId="112F3E7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ежедневной сдачей с 11.IV по</w:t>
            </w:r>
          </w:p>
        </w:tc>
        <w:tc>
          <w:tcPr>
            <w:tcW w:w="5636" w:type="dxa"/>
          </w:tcPr>
          <w:p w14:paraId="5C7C732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D2F4D4A" w14:textId="77777777" w:rsidTr="004C5D62">
        <w:tc>
          <w:tcPr>
            <w:tcW w:w="5636" w:type="dxa"/>
          </w:tcPr>
          <w:p w14:paraId="32FB695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шт.</w:t>
            </w:r>
          </w:p>
        </w:tc>
        <w:tc>
          <w:tcPr>
            <w:tcW w:w="5636" w:type="dxa"/>
          </w:tcPr>
          <w:p w14:paraId="72060D0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146EF02" w14:textId="77777777" w:rsidTr="004C5D62">
        <w:tc>
          <w:tcPr>
            <w:tcW w:w="5636" w:type="dxa"/>
          </w:tcPr>
          <w:p w14:paraId="4AB4F81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Тройник ЭРМ-245 в кол-ве</w:t>
            </w:r>
          </w:p>
        </w:tc>
        <w:tc>
          <w:tcPr>
            <w:tcW w:w="5636" w:type="dxa"/>
          </w:tcPr>
          <w:p w14:paraId="1B9F172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A8D36AF" w14:textId="77777777" w:rsidTr="004C5D62">
        <w:tc>
          <w:tcPr>
            <w:tcW w:w="5636" w:type="dxa"/>
          </w:tcPr>
          <w:p w14:paraId="594BE50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 шт. с ежедневной сдачей с</w:t>
            </w:r>
          </w:p>
        </w:tc>
        <w:tc>
          <w:tcPr>
            <w:tcW w:w="5636" w:type="dxa"/>
          </w:tcPr>
          <w:p w14:paraId="4F9E64C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812DFE1" w14:textId="77777777" w:rsidTr="004C5D62">
        <w:tc>
          <w:tcPr>
            <w:tcW w:w="5636" w:type="dxa"/>
          </w:tcPr>
          <w:p w14:paraId="66778BD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11.IV по 17 шт.</w:t>
            </w:r>
          </w:p>
        </w:tc>
        <w:tc>
          <w:tcPr>
            <w:tcW w:w="5636" w:type="dxa"/>
          </w:tcPr>
          <w:p w14:paraId="133DE1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0601C02" w14:textId="77777777" w:rsidTr="004C5D62">
        <w:tc>
          <w:tcPr>
            <w:tcW w:w="5636" w:type="dxa"/>
          </w:tcPr>
          <w:p w14:paraId="17238D1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Нормалей - 200 комплектов.</w:t>
            </w:r>
          </w:p>
        </w:tc>
        <w:tc>
          <w:tcPr>
            <w:tcW w:w="5636" w:type="dxa"/>
          </w:tcPr>
          <w:p w14:paraId="49E850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30F0F61" w14:textId="77777777" w:rsidTr="004C5D62">
        <w:tc>
          <w:tcPr>
            <w:tcW w:w="5636" w:type="dxa"/>
          </w:tcPr>
          <w:p w14:paraId="321F6E3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Заводу N 156 Гулянскому</w:t>
            </w:r>
          </w:p>
        </w:tc>
        <w:tc>
          <w:tcPr>
            <w:tcW w:w="5636" w:type="dxa"/>
          </w:tcPr>
          <w:p w14:paraId="7AD406A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Выполнено.</w:t>
            </w:r>
          </w:p>
        </w:tc>
      </w:tr>
      <w:tr w:rsidR="007C5583" w:rsidRPr="008127F8" w14:paraId="6C7F2580" w14:textId="77777777" w:rsidTr="004C5D62">
        <w:tc>
          <w:tcPr>
            <w:tcW w:w="5636" w:type="dxa"/>
          </w:tcPr>
          <w:p w14:paraId="63CDBB6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изготовить 250 шт. дополнит.</w:t>
            </w:r>
          </w:p>
        </w:tc>
        <w:tc>
          <w:tcPr>
            <w:tcW w:w="5636" w:type="dxa"/>
          </w:tcPr>
          <w:p w14:paraId="669B3C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Баки сданы в период с 11.IV по 24.IV-42 г.</w:t>
            </w:r>
          </w:p>
        </w:tc>
      </w:tr>
      <w:tr w:rsidR="007C5583" w:rsidRPr="008127F8" w14:paraId="5384CAD4" w14:textId="77777777" w:rsidTr="004C5D62">
        <w:tc>
          <w:tcPr>
            <w:tcW w:w="5636" w:type="dxa"/>
          </w:tcPr>
          <w:p w14:paraId="64CE81C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маслобаков, 40 шт. - основных</w:t>
            </w:r>
          </w:p>
        </w:tc>
        <w:tc>
          <w:tcPr>
            <w:tcW w:w="5636" w:type="dxa"/>
          </w:tcPr>
          <w:p w14:paraId="6156A1A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6E3B6F9" w14:textId="77777777" w:rsidTr="004C5D62">
        <w:tc>
          <w:tcPr>
            <w:tcW w:w="5636" w:type="dxa"/>
          </w:tcPr>
          <w:p w14:paraId="2865F93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маслобаков.</w:t>
            </w:r>
          </w:p>
        </w:tc>
        <w:tc>
          <w:tcPr>
            <w:tcW w:w="5636" w:type="dxa"/>
          </w:tcPr>
          <w:p w14:paraId="6B16706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1CD5555" w14:textId="77777777" w:rsidTr="004C5D62">
        <w:tc>
          <w:tcPr>
            <w:tcW w:w="5636" w:type="dxa"/>
          </w:tcPr>
          <w:p w14:paraId="78EF634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Подачу баков начать:</w:t>
            </w:r>
          </w:p>
        </w:tc>
        <w:tc>
          <w:tcPr>
            <w:tcW w:w="5636" w:type="dxa"/>
          </w:tcPr>
          <w:p w14:paraId="12C02EB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20E29E7" w14:textId="77777777" w:rsidTr="004C5D62">
        <w:tc>
          <w:tcPr>
            <w:tcW w:w="5636" w:type="dxa"/>
          </w:tcPr>
          <w:p w14:paraId="6D4F8DD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Дополнит. баков по 12 шт.</w:t>
            </w:r>
          </w:p>
        </w:tc>
        <w:tc>
          <w:tcPr>
            <w:tcW w:w="5636" w:type="dxa"/>
          </w:tcPr>
          <w:p w14:paraId="2000998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14E02B1" w14:textId="77777777" w:rsidTr="004C5D62">
        <w:tc>
          <w:tcPr>
            <w:tcW w:w="5636" w:type="dxa"/>
          </w:tcPr>
          <w:p w14:paraId="046A71A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8.IV.</w:t>
            </w:r>
          </w:p>
        </w:tc>
        <w:tc>
          <w:tcPr>
            <w:tcW w:w="5636" w:type="dxa"/>
          </w:tcPr>
          <w:p w14:paraId="02974C1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8B3764B" w14:textId="77777777" w:rsidTr="004C5D62">
        <w:tc>
          <w:tcPr>
            <w:tcW w:w="5636" w:type="dxa"/>
          </w:tcPr>
          <w:p w14:paraId="28CA03F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Основных баков по 6 шт. с</w:t>
            </w:r>
          </w:p>
        </w:tc>
        <w:tc>
          <w:tcPr>
            <w:tcW w:w="5636" w:type="dxa"/>
          </w:tcPr>
          <w:p w14:paraId="6906E60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49E43A1" w14:textId="77777777" w:rsidTr="004C5D62">
        <w:tc>
          <w:tcPr>
            <w:tcW w:w="5636" w:type="dxa"/>
          </w:tcPr>
          <w:p w14:paraId="27CDF20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8.IX.</w:t>
            </w:r>
          </w:p>
        </w:tc>
        <w:tc>
          <w:tcPr>
            <w:tcW w:w="5636" w:type="dxa"/>
          </w:tcPr>
          <w:p w14:paraId="22CA43F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9974B36" w14:textId="77777777" w:rsidTr="004C5D62">
        <w:tc>
          <w:tcPr>
            <w:tcW w:w="5636" w:type="dxa"/>
          </w:tcPr>
          <w:p w14:paraId="06955CB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Заводу N 23 Кузину изготовить</w:t>
            </w:r>
          </w:p>
        </w:tc>
        <w:tc>
          <w:tcPr>
            <w:tcW w:w="5636" w:type="dxa"/>
          </w:tcPr>
          <w:p w14:paraId="2B12C18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Выполнено. Баки изготовлены полностью, но</w:t>
            </w:r>
          </w:p>
        </w:tc>
      </w:tr>
      <w:tr w:rsidR="007C5583" w:rsidRPr="008127F8" w14:paraId="3521A98D" w14:textId="77777777" w:rsidTr="004C5D62">
        <w:tc>
          <w:tcPr>
            <w:tcW w:w="5636" w:type="dxa"/>
          </w:tcPr>
          <w:p w14:paraId="0C2D111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дополнит. маслобаков и 100</w:t>
            </w:r>
          </w:p>
        </w:tc>
        <w:tc>
          <w:tcPr>
            <w:tcW w:w="5636" w:type="dxa"/>
          </w:tcPr>
          <w:p w14:paraId="37F4605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заводу N 81 не сданы. Сдавать завод 23</w:t>
            </w:r>
          </w:p>
        </w:tc>
      </w:tr>
      <w:tr w:rsidR="007C5583" w:rsidRPr="008127F8" w14:paraId="77EE3B85" w14:textId="77777777" w:rsidTr="004C5D62">
        <w:tc>
          <w:tcPr>
            <w:tcW w:w="5636" w:type="dxa"/>
          </w:tcPr>
          <w:p w14:paraId="677250E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 бензокранов.</w:t>
            </w:r>
          </w:p>
        </w:tc>
        <w:tc>
          <w:tcPr>
            <w:tcW w:w="5636" w:type="dxa"/>
          </w:tcPr>
          <w:p w14:paraId="2797719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отказывается. Воронин поставлен об этом в</w:t>
            </w:r>
          </w:p>
        </w:tc>
      </w:tr>
      <w:tr w:rsidR="007C5583" w:rsidRPr="008127F8" w14:paraId="5AFF9875" w14:textId="77777777" w:rsidTr="004C5D62">
        <w:tc>
          <w:tcPr>
            <w:tcW w:w="5636" w:type="dxa"/>
          </w:tcPr>
          <w:p w14:paraId="096E52F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Подачу начать:</w:t>
            </w:r>
          </w:p>
        </w:tc>
        <w:tc>
          <w:tcPr>
            <w:tcW w:w="5636" w:type="dxa"/>
          </w:tcPr>
          <w:p w14:paraId="68713B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известность.</w:t>
            </w:r>
          </w:p>
        </w:tc>
      </w:tr>
      <w:tr w:rsidR="007C5583" w:rsidRPr="008127F8" w14:paraId="278B0A11" w14:textId="77777777" w:rsidTr="004C5D62">
        <w:tc>
          <w:tcPr>
            <w:tcW w:w="5636" w:type="dxa"/>
          </w:tcPr>
          <w:p w14:paraId="1A889E6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а) Дополнительных баков по 12</w:t>
            </w:r>
          </w:p>
        </w:tc>
        <w:tc>
          <w:tcPr>
            <w:tcW w:w="5636" w:type="dxa"/>
          </w:tcPr>
          <w:p w14:paraId="06312CA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48D956C" w14:textId="77777777" w:rsidTr="004C5D62">
        <w:tc>
          <w:tcPr>
            <w:tcW w:w="5636" w:type="dxa"/>
          </w:tcPr>
          <w:p w14:paraId="1C0DEA4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 с 10.IV.</w:t>
            </w:r>
          </w:p>
        </w:tc>
        <w:tc>
          <w:tcPr>
            <w:tcW w:w="5636" w:type="dxa"/>
          </w:tcPr>
          <w:p w14:paraId="5CE1267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45E8EDA" w14:textId="77777777" w:rsidTr="004C5D62">
        <w:tc>
          <w:tcPr>
            <w:tcW w:w="5636" w:type="dxa"/>
            <w:tcBorders>
              <w:bottom w:val="single" w:sz="12" w:space="0" w:color="auto"/>
            </w:tcBorders>
          </w:tcPr>
          <w:p w14:paraId="06AA232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Бензокранов по 10 с 10.IV.</w:t>
            </w:r>
          </w:p>
        </w:tc>
        <w:tc>
          <w:tcPr>
            <w:tcW w:w="5636" w:type="dxa"/>
            <w:tcBorders>
              <w:bottom w:val="single" w:sz="12" w:space="0" w:color="auto"/>
            </w:tcBorders>
          </w:tcPr>
          <w:p w14:paraId="4814787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4A9B13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приказом был установлен контроль Гл. инженером 10 Гл. управл. Лищенко и лично Ворониным (1676,189).</w:t>
      </w:r>
    </w:p>
    <w:p w14:paraId="3A40E7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F4D13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30 мая по 9 июня 1942 в НИИ ВВС летчики ОКБ А.С.Я. П.Я.Федрови и 153 завода А.Н.Лазарев проводили гос. испытания Як-7Б с М-105ПФ и выполнили 36 полетов (65,88) Это была машина N 22-41, переоборудованная для экспериментов по увеличению давления наддува двигателей до 1000 и 1050 мм рт. ст. (65,86).</w:t>
      </w:r>
    </w:p>
    <w:p w14:paraId="590A85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другим данным Як-7Б с М-105ПФ был готов и испытывался в январе-феврале 1942 (1046,37).</w:t>
      </w:r>
    </w:p>
    <w:p w14:paraId="03BF590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C7ACF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30 мая</w:t>
      </w:r>
      <w:r w:rsidRPr="008127F8">
        <w:rPr>
          <w:rFonts w:ascii="Times New Roman" w:hAnsi="Times New Roman"/>
          <w:color w:val="000000" w:themeColor="text1"/>
          <w:sz w:val="16"/>
          <w:szCs w:val="16"/>
        </w:rPr>
        <w:t xml:space="preserve"> в 1942 году начались (по 9 июня) госиспытания </w:t>
      </w:r>
      <w:hyperlink r:id="rId40" w:tgtFrame="_blank" w:history="1">
        <w:r w:rsidRPr="008127F8">
          <w:rPr>
            <w:rFonts w:ascii="Times New Roman" w:hAnsi="Times New Roman"/>
            <w:color w:val="000000" w:themeColor="text1"/>
            <w:sz w:val="16"/>
            <w:szCs w:val="16"/>
          </w:rPr>
          <w:t xml:space="preserve">«Як-7Б» </w:t>
        </w:r>
      </w:hyperlink>
      <w:r w:rsidRPr="008127F8">
        <w:rPr>
          <w:rFonts w:ascii="Times New Roman" w:hAnsi="Times New Roman"/>
          <w:color w:val="000000" w:themeColor="text1"/>
          <w:sz w:val="16"/>
          <w:szCs w:val="16"/>
        </w:rPr>
        <w:t>N22-41 с установленным на него форсированного двигателя «М-105ПФ» в НИИ ВВС. Было выполнено 36 полетов общей продолжительностью 23 ч. У «Як-7» с «М-105ПФ» стала меньше дальность полета на скоростях, близких к максимальным. Так, на скорости 0,9 максимальной на второй границе высотности дальность уменьшилась с 700 до 645 км. Однако на режимах работы форсированного двигателя, сходных с режимами «М-105ПА», дальность полета практически не изменилась. Самолетами, на которых впервые появился каплевидный фо¬нарь, были именно «Яки-7Б» с моторами «М-105 ПФ» (14907).</w:t>
      </w:r>
    </w:p>
    <w:p w14:paraId="2D43AC3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0C245A2" w14:textId="77777777" w:rsidR="00723C2A" w:rsidRPr="008A2E5A" w:rsidRDefault="00723C2A" w:rsidP="00723C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мая 1942 г. в целях ввода завода №82 в экс</w:t>
      </w:r>
      <w:r w:rsidRPr="008A2E5A">
        <w:rPr>
          <w:rFonts w:ascii="Times New Roman" w:hAnsi="Times New Roman"/>
          <w:color w:val="0070C0"/>
          <w:sz w:val="16"/>
          <w:szCs w:val="16"/>
        </w:rPr>
        <w:softHyphen/>
        <w:t>плуатацию с на нем первоначально организовали агрегатную (отверточную) сборку из деталей, поступающих с завода №153. (Соглас</w:t>
      </w:r>
      <w:r w:rsidRPr="008A2E5A">
        <w:rPr>
          <w:rFonts w:ascii="Times New Roman" w:hAnsi="Times New Roman"/>
          <w:color w:val="0070C0"/>
          <w:sz w:val="16"/>
          <w:szCs w:val="16"/>
        </w:rPr>
        <w:softHyphen/>
        <w:t>но постановлению ГКО №1659сс от 26.04.42 г. и дублиру</w:t>
      </w:r>
      <w:r w:rsidRPr="008A2E5A">
        <w:rPr>
          <w:rFonts w:ascii="Times New Roman" w:hAnsi="Times New Roman"/>
          <w:color w:val="0070C0"/>
          <w:sz w:val="16"/>
          <w:szCs w:val="16"/>
        </w:rPr>
        <w:softHyphen/>
        <w:t>ющему приказу НКАП №333сс от 30.04.42 г. в мае месяце завод должен был сдать по графику 26-го и 31-го числа первые две машины Як-7Б из запланированных на 1942 г. 400 штук. Однако, по более позднему приказу НКАП № 365с от 11.05.42 г. обе машины следовало представить на испытания для определения летных данных в ЛИИ НКАП уже к 15 мая 1942 г. Планировалось, что прибывающие из Новосибирска фюзеляжи в комплекте с различными де</w:t>
      </w:r>
      <w:r w:rsidRPr="008A2E5A">
        <w:rPr>
          <w:rFonts w:ascii="Times New Roman" w:hAnsi="Times New Roman"/>
          <w:color w:val="0070C0"/>
          <w:sz w:val="16"/>
          <w:szCs w:val="16"/>
        </w:rPr>
        <w:softHyphen/>
        <w:t>талями будут начиняться в Тушине моторами, винтами, радиаторами, вооружением и стыковаться с изготовлен</w:t>
      </w:r>
      <w:r w:rsidRPr="008A2E5A">
        <w:rPr>
          <w:rFonts w:ascii="Times New Roman" w:hAnsi="Times New Roman"/>
          <w:color w:val="0070C0"/>
          <w:sz w:val="16"/>
          <w:szCs w:val="16"/>
        </w:rPr>
        <w:softHyphen/>
        <w:t>ными на месте крыльями, сокращая, таким образом, цикл изготовления боевых машин на время, затрачиваемое на доставку комплектующих в Сибирь. Во-вторых, это позво</w:t>
      </w:r>
      <w:r w:rsidRPr="008A2E5A">
        <w:rPr>
          <w:rFonts w:ascii="Times New Roman" w:hAnsi="Times New Roman"/>
          <w:color w:val="0070C0"/>
          <w:sz w:val="16"/>
          <w:szCs w:val="16"/>
        </w:rPr>
        <w:softHyphen/>
        <w:t>ляло рационально использовать производственные мощ</w:t>
      </w:r>
      <w:r w:rsidRPr="008A2E5A">
        <w:rPr>
          <w:rFonts w:ascii="Times New Roman" w:hAnsi="Times New Roman"/>
          <w:color w:val="0070C0"/>
          <w:sz w:val="16"/>
          <w:szCs w:val="16"/>
        </w:rPr>
        <w:softHyphen/>
        <w:t>ности завода №153, разгружая цеха окончательной сбор</w:t>
      </w:r>
      <w:r w:rsidRPr="008A2E5A">
        <w:rPr>
          <w:rFonts w:ascii="Times New Roman" w:hAnsi="Times New Roman"/>
          <w:color w:val="0070C0"/>
          <w:sz w:val="16"/>
          <w:szCs w:val="16"/>
        </w:rPr>
        <w:softHyphen/>
        <w:t>ки, которые могли простаивать в связи с дефицитом мо</w:t>
      </w:r>
      <w:r w:rsidRPr="008A2E5A">
        <w:rPr>
          <w:rFonts w:ascii="Times New Roman" w:hAnsi="Times New Roman"/>
          <w:color w:val="0070C0"/>
          <w:sz w:val="16"/>
          <w:szCs w:val="16"/>
        </w:rPr>
        <w:softHyphen/>
        <w:t>торов, винтов и других готовых изделий. В-третьих, по мере укомплектования оборудованием, а также увеличе</w:t>
      </w:r>
      <w:r w:rsidRPr="008A2E5A">
        <w:rPr>
          <w:rFonts w:ascii="Times New Roman" w:hAnsi="Times New Roman"/>
          <w:color w:val="0070C0"/>
          <w:sz w:val="16"/>
          <w:szCs w:val="16"/>
        </w:rPr>
        <w:softHyphen/>
        <w:t>ния числа и повышения квалификации рабочей силы Ту</w:t>
      </w:r>
      <w:r w:rsidRPr="008A2E5A">
        <w:rPr>
          <w:rFonts w:ascii="Times New Roman" w:hAnsi="Times New Roman"/>
          <w:color w:val="0070C0"/>
          <w:sz w:val="16"/>
          <w:szCs w:val="16"/>
        </w:rPr>
        <w:softHyphen/>
        <w:t>шинский завод мог перейти на самостоятельное изготов</w:t>
      </w:r>
      <w:r w:rsidRPr="008A2E5A">
        <w:rPr>
          <w:rFonts w:ascii="Times New Roman" w:hAnsi="Times New Roman"/>
          <w:color w:val="0070C0"/>
          <w:sz w:val="16"/>
          <w:szCs w:val="16"/>
        </w:rPr>
        <w:softHyphen/>
        <w:t>ление самолетов. Проектная мощность завода планиро</w:t>
      </w:r>
      <w:r w:rsidRPr="008A2E5A">
        <w:rPr>
          <w:rFonts w:ascii="Times New Roman" w:hAnsi="Times New Roman"/>
          <w:color w:val="0070C0"/>
          <w:sz w:val="16"/>
          <w:szCs w:val="16"/>
        </w:rPr>
        <w:softHyphen/>
        <w:t>валась на выпуск 2,5 самолетов Як-7Б в день.</w:t>
      </w:r>
    </w:p>
    <w:p w14:paraId="47F638F5" w14:textId="77777777" w:rsidR="00723C2A" w:rsidRPr="008A2E5A" w:rsidRDefault="00723C2A" w:rsidP="00723C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Задание по комплектному изготовлению крыльев Як-7 для нового завода (включая деревянные части крыла, ме</w:t>
      </w:r>
      <w:r w:rsidRPr="008A2E5A">
        <w:rPr>
          <w:rFonts w:ascii="Times New Roman" w:hAnsi="Times New Roman"/>
          <w:color w:val="0070C0"/>
          <w:sz w:val="16"/>
          <w:szCs w:val="16"/>
        </w:rPr>
        <w:softHyphen/>
        <w:t>таллические узлы и элероны) передали вновь организо</w:t>
      </w:r>
      <w:r w:rsidRPr="008A2E5A">
        <w:rPr>
          <w:rFonts w:ascii="Times New Roman" w:hAnsi="Times New Roman"/>
          <w:color w:val="0070C0"/>
          <w:sz w:val="16"/>
          <w:szCs w:val="16"/>
        </w:rPr>
        <w:softHyphen/>
        <w:t>ванному в Химках заводу №301. После эвакуации основ</w:t>
      </w:r>
      <w:r w:rsidRPr="008A2E5A">
        <w:rPr>
          <w:rFonts w:ascii="Times New Roman" w:hAnsi="Times New Roman"/>
          <w:color w:val="0070C0"/>
          <w:sz w:val="16"/>
          <w:szCs w:val="16"/>
        </w:rPr>
        <w:softHyphen/>
        <w:t>ной части завода №301 в Новосибирск на площадях это</w:t>
      </w:r>
      <w:r w:rsidRPr="008A2E5A">
        <w:rPr>
          <w:rFonts w:ascii="Times New Roman" w:hAnsi="Times New Roman"/>
          <w:color w:val="0070C0"/>
          <w:sz w:val="16"/>
          <w:szCs w:val="16"/>
        </w:rPr>
        <w:softHyphen/>
        <w:t>го предприятия, используя остатки оборудования и пер</w:t>
      </w:r>
      <w:r w:rsidRPr="008A2E5A">
        <w:rPr>
          <w:rFonts w:ascii="Times New Roman" w:hAnsi="Times New Roman"/>
          <w:color w:val="0070C0"/>
          <w:sz w:val="16"/>
          <w:szCs w:val="16"/>
        </w:rPr>
        <w:softHyphen/>
        <w:t>сонала, в конце октября 1941 г. организовали фронтовые авиаремонтные мастерские. Февральским решением ГКО (№1285сс от 15.02.42 г.) мастерские организационно передали заводу №23, как филиал для изготовления кры</w:t>
      </w:r>
      <w:r w:rsidRPr="008A2E5A">
        <w:rPr>
          <w:rFonts w:ascii="Times New Roman" w:hAnsi="Times New Roman"/>
          <w:color w:val="0070C0"/>
          <w:sz w:val="16"/>
          <w:szCs w:val="16"/>
        </w:rPr>
        <w:softHyphen/>
        <w:t>льев для самолетов Як-3 (Як-7А), оставив за ним также за</w:t>
      </w:r>
      <w:r w:rsidRPr="008A2E5A">
        <w:rPr>
          <w:rFonts w:ascii="Times New Roman" w:hAnsi="Times New Roman"/>
          <w:color w:val="0070C0"/>
          <w:sz w:val="16"/>
          <w:szCs w:val="16"/>
        </w:rPr>
        <w:softHyphen/>
        <w:t>дачу по ремонту истребителей. 30 марта 1942 г. приказом наркома авиапромышленности №239с мастерские, при</w:t>
      </w:r>
      <w:r w:rsidRPr="008A2E5A">
        <w:rPr>
          <w:rFonts w:ascii="Times New Roman" w:hAnsi="Times New Roman"/>
          <w:color w:val="0070C0"/>
          <w:sz w:val="16"/>
          <w:szCs w:val="16"/>
        </w:rPr>
        <w:softHyphen/>
        <w:t>дав им статус завода, перевели в подчинение 6-му (авиа</w:t>
      </w:r>
      <w:r w:rsidRPr="008A2E5A">
        <w:rPr>
          <w:rFonts w:ascii="Times New Roman" w:hAnsi="Times New Roman"/>
          <w:color w:val="0070C0"/>
          <w:sz w:val="16"/>
          <w:szCs w:val="16"/>
        </w:rPr>
        <w:softHyphen/>
        <w:t>ремонтному) Главному управлению (ГУ) НКАП, а 16 апре</w:t>
      </w:r>
      <w:r w:rsidRPr="008A2E5A">
        <w:rPr>
          <w:rFonts w:ascii="Times New Roman" w:hAnsi="Times New Roman"/>
          <w:color w:val="0070C0"/>
          <w:sz w:val="16"/>
          <w:szCs w:val="16"/>
        </w:rPr>
        <w:softHyphen/>
        <w:t>ля (приказ НКАП №287с) присвоили наименование - «Го</w:t>
      </w:r>
      <w:r w:rsidRPr="008A2E5A">
        <w:rPr>
          <w:rFonts w:ascii="Times New Roman" w:hAnsi="Times New Roman"/>
          <w:color w:val="0070C0"/>
          <w:sz w:val="16"/>
          <w:szCs w:val="16"/>
        </w:rPr>
        <w:softHyphen/>
        <w:t>сударственный Союзный завод №301». В связи с отменой задания заводу №23 по выпуску истребителей Як-7А за</w:t>
      </w:r>
      <w:r w:rsidRPr="008A2E5A">
        <w:rPr>
          <w:rFonts w:ascii="Times New Roman" w:hAnsi="Times New Roman"/>
          <w:color w:val="0070C0"/>
          <w:sz w:val="16"/>
          <w:szCs w:val="16"/>
        </w:rPr>
        <w:softHyphen/>
        <w:t>воду №301, соответственно, оставили только задания по капитально-восстановительному ремонту истребителей Як-1, Як-7, ЛаГГ-3 и по состыковке, отладке и передаче ВВС самолетов Як-7, поступавших по железной дороге из Новосибирска. Однако 25 апреля (приказ НКАП №316сс) задание по изготовлению крыльев Як-7Б, теперь уже для завода №82, восстановили. Поставку деталей шасси для изготавливаемых крыльев поручили заводу №119.</w:t>
      </w:r>
    </w:p>
    <w:p w14:paraId="4BF3F86D" w14:textId="77777777" w:rsidR="00723C2A" w:rsidRPr="008A2E5A" w:rsidRDefault="00723C2A" w:rsidP="00723C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Согласно планам с завода № 153 на завод №82 в апреле 1942 г. должны были поставить 10 машин в агрегатах и 25 в деталях (плюс один эталонный самолет), аналогичная поставка (10+25) должна была произойти в мае, а в июне предусматривалось доставить детали в россыпи еще на 50 машин - всего на изготовление 120 Як-7Б. Фактиче</w:t>
      </w:r>
      <w:r w:rsidRPr="008A2E5A">
        <w:rPr>
          <w:rFonts w:ascii="Times New Roman" w:hAnsi="Times New Roman"/>
          <w:color w:val="0070C0"/>
          <w:sz w:val="16"/>
          <w:szCs w:val="16"/>
        </w:rPr>
        <w:softHyphen/>
        <w:t>ски завод получил в апреле 25 самолетов Як-7Б в агре</w:t>
      </w:r>
      <w:r w:rsidRPr="008A2E5A">
        <w:rPr>
          <w:rFonts w:ascii="Times New Roman" w:hAnsi="Times New Roman"/>
          <w:color w:val="0070C0"/>
          <w:sz w:val="16"/>
          <w:szCs w:val="16"/>
        </w:rPr>
        <w:softHyphen/>
        <w:t>гатах (без моторов, винтов, колес, радиаторов, вооруже</w:t>
      </w:r>
      <w:r w:rsidRPr="008A2E5A">
        <w:rPr>
          <w:rFonts w:ascii="Times New Roman" w:hAnsi="Times New Roman"/>
          <w:color w:val="0070C0"/>
          <w:sz w:val="16"/>
          <w:szCs w:val="16"/>
        </w:rPr>
        <w:softHyphen/>
        <w:t>ния) и 5 самолетов в виде задела деталей (без деревян</w:t>
      </w:r>
      <w:r w:rsidRPr="008A2E5A">
        <w:rPr>
          <w:rFonts w:ascii="Times New Roman" w:hAnsi="Times New Roman"/>
          <w:color w:val="0070C0"/>
          <w:sz w:val="16"/>
          <w:szCs w:val="16"/>
        </w:rPr>
        <w:softHyphen/>
        <w:t>ных частей крыла и фюзеляжа). К этому числу добавились заделы деталей, поступившие на завод №82 в конце мая после прекращения подготовки к серийному производ</w:t>
      </w:r>
      <w:r w:rsidRPr="008A2E5A">
        <w:rPr>
          <w:rFonts w:ascii="Times New Roman" w:hAnsi="Times New Roman"/>
          <w:color w:val="0070C0"/>
          <w:sz w:val="16"/>
          <w:szCs w:val="16"/>
        </w:rPr>
        <w:softHyphen/>
        <w:t>ству Як-7Б на Горьковском авиазаводе №21. Кроме того, в развитие постановления ГКО №1659сс от 26.04.42 г., Новосибирский авиазавод обязали оказать техническую помощь передачей к 1 июня необходимых комплектов оснастки для обеспечения авиавыпуска двух самолетов в день, а также полностью обеспечить программу заво</w:t>
      </w:r>
      <w:r w:rsidRPr="008A2E5A">
        <w:rPr>
          <w:rFonts w:ascii="Times New Roman" w:hAnsi="Times New Roman"/>
          <w:color w:val="0070C0"/>
          <w:sz w:val="16"/>
          <w:szCs w:val="16"/>
        </w:rPr>
        <w:softHyphen/>
        <w:t>да в Тушине штамповками и цветным литьем. Приказом НКАП № 386 с от 18 мая заводу № 21 поручалось пере</w:t>
      </w:r>
      <w:r w:rsidRPr="008A2E5A">
        <w:rPr>
          <w:rFonts w:ascii="Times New Roman" w:hAnsi="Times New Roman"/>
          <w:color w:val="0070C0"/>
          <w:sz w:val="16"/>
          <w:szCs w:val="16"/>
        </w:rPr>
        <w:softHyphen/>
        <w:t>дать к 25 и 28 мая 1942 г. по пять комплектов выверенных серийных чертежей. Для своевременной поставки радиа</w:t>
      </w:r>
      <w:r w:rsidRPr="008A2E5A">
        <w:rPr>
          <w:rFonts w:ascii="Times New Roman" w:hAnsi="Times New Roman"/>
          <w:color w:val="0070C0"/>
          <w:sz w:val="16"/>
          <w:szCs w:val="16"/>
        </w:rPr>
        <w:softHyphen/>
        <w:t>торов в Москве на площадях бывшего радиаторного заво</w:t>
      </w:r>
      <w:r w:rsidRPr="008A2E5A">
        <w:rPr>
          <w:rFonts w:ascii="Times New Roman" w:hAnsi="Times New Roman"/>
          <w:color w:val="0070C0"/>
          <w:sz w:val="16"/>
          <w:szCs w:val="16"/>
        </w:rPr>
        <w:softHyphen/>
        <w:t>да №34 организовали завод №124, который с июня 1942 г. приступил к серийному выпуску продукции для заводов №82 и №153.</w:t>
      </w:r>
    </w:p>
    <w:p w14:paraId="698E5D3D" w14:textId="77777777" w:rsidR="00723C2A" w:rsidRPr="008A2E5A" w:rsidRDefault="00723C2A" w:rsidP="00723C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Принятые меры были половинчатыми: при недостатке оборудования и квалифицированных кадров завод №82 не мог обеспечить сборочные цеха собственным заделом деталей, снабжая еще и завод №301 металлическими де</w:t>
      </w:r>
      <w:r w:rsidRPr="008A2E5A">
        <w:rPr>
          <w:rFonts w:ascii="Times New Roman" w:hAnsi="Times New Roman"/>
          <w:color w:val="0070C0"/>
          <w:sz w:val="16"/>
          <w:szCs w:val="16"/>
        </w:rPr>
        <w:softHyphen/>
        <w:t>талями и узлами для сборки крыльев. Поэтому, как толь</w:t>
      </w:r>
      <w:r w:rsidRPr="008A2E5A">
        <w:rPr>
          <w:rFonts w:ascii="Times New Roman" w:hAnsi="Times New Roman"/>
          <w:color w:val="0070C0"/>
          <w:sz w:val="16"/>
          <w:szCs w:val="16"/>
        </w:rPr>
        <w:softHyphen/>
        <w:t>ко появились первые трудности с поставкой комплектую</w:t>
      </w:r>
      <w:r w:rsidRPr="008A2E5A">
        <w:rPr>
          <w:rFonts w:ascii="Times New Roman" w:hAnsi="Times New Roman"/>
          <w:color w:val="0070C0"/>
          <w:sz w:val="16"/>
          <w:szCs w:val="16"/>
        </w:rPr>
        <w:softHyphen/>
        <w:t>щих, сборка на заводе №82 дала сбой. Если для выполне</w:t>
      </w:r>
      <w:r w:rsidRPr="008A2E5A">
        <w:rPr>
          <w:rFonts w:ascii="Times New Roman" w:hAnsi="Times New Roman"/>
          <w:color w:val="0070C0"/>
          <w:sz w:val="16"/>
          <w:szCs w:val="16"/>
        </w:rPr>
        <w:softHyphen/>
        <w:t>ния июльского задания в 28 машин заводу №82 не хвати</w:t>
      </w:r>
      <w:r w:rsidRPr="008A2E5A">
        <w:rPr>
          <w:rFonts w:ascii="Times New Roman" w:hAnsi="Times New Roman"/>
          <w:color w:val="0070C0"/>
          <w:sz w:val="16"/>
          <w:szCs w:val="16"/>
        </w:rPr>
        <w:softHyphen/>
        <w:t>ло всего трех фюзеляжей и шести крыльев, то по другим агрегатам (капоты, бензомаслотрубы и баки, покрыш</w:t>
      </w:r>
      <w:r w:rsidRPr="008A2E5A">
        <w:rPr>
          <w:rFonts w:ascii="Times New Roman" w:hAnsi="Times New Roman"/>
          <w:color w:val="0070C0"/>
          <w:sz w:val="16"/>
          <w:szCs w:val="16"/>
        </w:rPr>
        <w:softHyphen/>
        <w:t>ки и камеры) недостача составляла от 6 до 11 комплек</w:t>
      </w:r>
      <w:r w:rsidRPr="008A2E5A">
        <w:rPr>
          <w:rFonts w:ascii="Times New Roman" w:hAnsi="Times New Roman"/>
          <w:color w:val="0070C0"/>
          <w:sz w:val="16"/>
          <w:szCs w:val="16"/>
        </w:rPr>
        <w:softHyphen/>
        <w:t>тов. Положение усугубилось несвоевременной постав</w:t>
      </w:r>
      <w:r w:rsidRPr="008A2E5A">
        <w:rPr>
          <w:rFonts w:ascii="Times New Roman" w:hAnsi="Times New Roman"/>
          <w:color w:val="0070C0"/>
          <w:sz w:val="16"/>
          <w:szCs w:val="16"/>
        </w:rPr>
        <w:softHyphen/>
        <w:t>кой моторов (10 штук в начале месяца и еще 24 только 26 июля см.табл.4.). Ситуацию также усложняло то, что на завод №82 поставлялись агрегаты и детали от только еще внедряемой на «родительском» заводе модификации - Як-7Б, которая не успела пройти этап «детских болезней». Доводка чертежей, оснастки и технологии в Новосибирс</w:t>
      </w:r>
      <w:r w:rsidRPr="008A2E5A">
        <w:rPr>
          <w:rFonts w:ascii="Times New Roman" w:hAnsi="Times New Roman"/>
          <w:color w:val="0070C0"/>
          <w:sz w:val="16"/>
          <w:szCs w:val="16"/>
        </w:rPr>
        <w:softHyphen/>
        <w:t>ке (за счет удаленности) неизбежно тормозила производственные процессы в Тушине, создавая вынужденную не</w:t>
      </w:r>
      <w:r w:rsidRPr="008A2E5A">
        <w:rPr>
          <w:rFonts w:ascii="Times New Roman" w:hAnsi="Times New Roman"/>
          <w:color w:val="0070C0"/>
          <w:sz w:val="16"/>
          <w:szCs w:val="16"/>
        </w:rPr>
        <w:softHyphen/>
        <w:t>комплектность поставок из-за проводимых конструктив</w:t>
      </w:r>
      <w:r w:rsidRPr="008A2E5A">
        <w:rPr>
          <w:rFonts w:ascii="Times New Roman" w:hAnsi="Times New Roman"/>
          <w:color w:val="0070C0"/>
          <w:sz w:val="16"/>
          <w:szCs w:val="16"/>
        </w:rPr>
        <w:softHyphen/>
        <w:t>ных изменений. Тем не менее за срыв задания по произ</w:t>
      </w:r>
      <w:r w:rsidRPr="008A2E5A">
        <w:rPr>
          <w:rFonts w:ascii="Times New Roman" w:hAnsi="Times New Roman"/>
          <w:color w:val="0070C0"/>
          <w:sz w:val="16"/>
          <w:szCs w:val="16"/>
        </w:rPr>
        <w:softHyphen/>
        <w:t>водству крыльев 1.06.42 г. сняли с должности директора завода №301 С.Н. Уголькова. Вместо него назначили И.Н. Смирнова (23381).</w:t>
      </w:r>
    </w:p>
    <w:p w14:paraId="159BDFBA" w14:textId="77777777" w:rsidR="00723C2A" w:rsidRPr="008A2E5A" w:rsidRDefault="00723C2A" w:rsidP="00723C2A">
      <w:pPr>
        <w:spacing w:after="0" w:line="240" w:lineRule="auto"/>
        <w:jc w:val="both"/>
        <w:rPr>
          <w:rFonts w:ascii="Times New Roman" w:hAnsi="Times New Roman"/>
          <w:color w:val="0070C0"/>
          <w:sz w:val="16"/>
          <w:szCs w:val="16"/>
        </w:rPr>
      </w:pPr>
    </w:p>
    <w:p w14:paraId="17E2B1FF" w14:textId="77777777" w:rsidR="00723C2A" w:rsidRPr="008A2E5A" w:rsidRDefault="00723C2A" w:rsidP="00723C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30 мая по 9 июня 1942 г. летчик-испытатель военно</w:t>
      </w:r>
      <w:r w:rsidRPr="008A2E5A">
        <w:rPr>
          <w:rFonts w:ascii="Times New Roman" w:hAnsi="Times New Roman"/>
          <w:color w:val="0070C0"/>
          <w:sz w:val="16"/>
          <w:szCs w:val="16"/>
        </w:rPr>
        <w:softHyphen/>
        <w:t>го представительства завода № 153 майор П.И. Лазарев проводил контрольные ис</w:t>
      </w:r>
      <w:r w:rsidRPr="008A2E5A">
        <w:rPr>
          <w:rFonts w:ascii="Times New Roman" w:hAnsi="Times New Roman"/>
          <w:color w:val="0070C0"/>
          <w:sz w:val="16"/>
          <w:szCs w:val="16"/>
        </w:rPr>
        <w:softHyphen/>
        <w:t>пытания серийного Як-7Б № 2241 с мотором М-105ПФ. На этой машине не изменяли входной тоннель водорадиато</w:t>
      </w:r>
      <w:r w:rsidRPr="008A2E5A">
        <w:rPr>
          <w:rFonts w:ascii="Times New Roman" w:hAnsi="Times New Roman"/>
          <w:color w:val="0070C0"/>
          <w:sz w:val="16"/>
          <w:szCs w:val="16"/>
        </w:rPr>
        <w:softHyphen/>
        <w:t>ра, а только ввели увеличение угла его заслонки, поэтому в наборе высоты на режиме максимальной скороподъем</w:t>
      </w:r>
      <w:r w:rsidRPr="008A2E5A">
        <w:rPr>
          <w:rFonts w:ascii="Times New Roman" w:hAnsi="Times New Roman"/>
          <w:color w:val="0070C0"/>
          <w:sz w:val="16"/>
          <w:szCs w:val="16"/>
        </w:rPr>
        <w:softHyphen/>
        <w:t>ности (из-за наступления ограничения по температурным режимам) оказалось невозможным использовать полную мощность мотора. В своем заключении летчик отметил, что предложенные ОКБ А.С. Яковлева мероприятия по из</w:t>
      </w:r>
      <w:r w:rsidRPr="008A2E5A">
        <w:rPr>
          <w:rFonts w:ascii="Times New Roman" w:hAnsi="Times New Roman"/>
          <w:color w:val="0070C0"/>
          <w:sz w:val="16"/>
          <w:szCs w:val="16"/>
        </w:rPr>
        <w:softHyphen/>
        <w:t>менению входной части тоннеля следует ввести для всех серийных Як-7Б, но как временное решение.</w:t>
      </w:r>
    </w:p>
    <w:p w14:paraId="6ED34BCA" w14:textId="77777777" w:rsidR="00723C2A" w:rsidRPr="008A2E5A" w:rsidRDefault="00723C2A" w:rsidP="00723C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Правоту оценки Лазарева показали ис</w:t>
      </w:r>
      <w:r w:rsidRPr="008A2E5A">
        <w:rPr>
          <w:rFonts w:ascii="Times New Roman" w:hAnsi="Times New Roman"/>
          <w:color w:val="0070C0"/>
          <w:sz w:val="16"/>
          <w:szCs w:val="16"/>
        </w:rPr>
        <w:softHyphen/>
        <w:t>пытания Як-7Б №25113 и №2829 с из</w:t>
      </w:r>
      <w:r w:rsidRPr="008A2E5A">
        <w:rPr>
          <w:rFonts w:ascii="Times New Roman" w:hAnsi="Times New Roman"/>
          <w:color w:val="0070C0"/>
          <w:sz w:val="16"/>
          <w:szCs w:val="16"/>
        </w:rPr>
        <w:softHyphen/>
        <w:t>мененными тоннелями водорадиатора, проведенные в сентябре 1942 г. Новые тоннели в серийном исполнении вкупе с установкой замков и ухватов бомбового вооружения уменьшили максимальную скорость на 16 км/ч, а за счет ухудше</w:t>
      </w:r>
      <w:r w:rsidRPr="008A2E5A">
        <w:rPr>
          <w:rFonts w:ascii="Times New Roman" w:hAnsi="Times New Roman"/>
          <w:color w:val="0070C0"/>
          <w:sz w:val="16"/>
          <w:szCs w:val="16"/>
        </w:rPr>
        <w:softHyphen/>
        <w:t>ния качества изготовления и аэродина</w:t>
      </w:r>
      <w:r w:rsidRPr="008A2E5A">
        <w:rPr>
          <w:rFonts w:ascii="Times New Roman" w:hAnsi="Times New Roman"/>
          <w:color w:val="0070C0"/>
          <w:sz w:val="16"/>
          <w:szCs w:val="16"/>
        </w:rPr>
        <w:softHyphen/>
        <w:t>мики самолета по сравнению с эталоном скорость серийных машин упала еще на 15-20 км/ч. Для восстановления скоро</w:t>
      </w:r>
      <w:r w:rsidRPr="008A2E5A">
        <w:rPr>
          <w:rFonts w:ascii="Times New Roman" w:hAnsi="Times New Roman"/>
          <w:color w:val="0070C0"/>
          <w:sz w:val="16"/>
          <w:szCs w:val="16"/>
        </w:rPr>
        <w:softHyphen/>
        <w:t>стей до значения технических условий на поставку в 1942 г. (570-575 км/ч) истре</w:t>
      </w:r>
      <w:r w:rsidRPr="008A2E5A">
        <w:rPr>
          <w:rFonts w:ascii="Times New Roman" w:hAnsi="Times New Roman"/>
          <w:color w:val="0070C0"/>
          <w:sz w:val="16"/>
          <w:szCs w:val="16"/>
        </w:rPr>
        <w:softHyphen/>
        <w:t>битель Як-7Б №2829 передали в опытный цех ОКБ А.С. Яковлева (23381).</w:t>
      </w:r>
    </w:p>
    <w:p w14:paraId="3B0F8184" w14:textId="77777777" w:rsidR="00723C2A" w:rsidRPr="008A2E5A" w:rsidRDefault="00723C2A" w:rsidP="00723C2A">
      <w:pPr>
        <w:spacing w:after="0" w:line="240" w:lineRule="auto"/>
        <w:jc w:val="both"/>
        <w:rPr>
          <w:rFonts w:ascii="Times New Roman" w:hAnsi="Times New Roman"/>
          <w:color w:val="0070C0"/>
          <w:sz w:val="16"/>
          <w:szCs w:val="16"/>
        </w:rPr>
      </w:pPr>
    </w:p>
    <w:p w14:paraId="1832991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г. приказом НКАП № 412с в соответствии с пост. ГКО № 1786сс от 19.05.1942 г. уже размещенная на заводе № 31 часть ОКБ С.А.Л. и опытное производство были направлены обратно на завод № 21. Опытная база ОКБ на заводе № 21 была восстановлена лишь к 07.1942 г., а полностью коллектив возвратился из Тбилиси только осенью 1942 г. Эти непродуманные перемещения, виновником которых был прежде всего зам. наркома А.С. Яковлев, пагубно сказывались на работе коллектива. 2.11.1942 г. вышло постановление ГКО № 2467сс об улучшении летных данных самолета ЛаГГ-3. 15.11.1942 г. вышло постановление ГКО № 2514 об улучшении летных и эксплуатационных данных Ла-5. 9.12.1942 г. -новое постановление ГКО № 2604 об улучшении Ла-5.</w:t>
      </w:r>
    </w:p>
    <w:p w14:paraId="6826E7E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487с от 10.08.1943 г. для усиления опытной базы образован Филиал ОКБ-21 при заводе № 381. С 04.1944 г. по приказу № 209с от 22.03.1044 г. филиал ОКБ-21 (или ОКБ-381 НКАП) реорганизован в самостоятельный опытный Завод № 81 НКАП.</w:t>
      </w:r>
    </w:p>
    <w:p w14:paraId="379B9B1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 истребитель ЛаГГ-5 (в соответствии с пост. ГКО № 2249 от 6.09.1942 г. переименован в Ла-5), первый полет 21.03.1942 г. В годы войны- работы по освоению серии Ла-5, модификациям Ла-7.</w:t>
      </w:r>
    </w:p>
    <w:p w14:paraId="679A1C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12.1945 г. ОКБ-21 было возвращено на завод № 301 НКАП в Химки и воссоединено с переведенным туда заводом № 81 НКАП с присвоением названия ОКБ-301 НКАП. (Имеется информация, что ОКБ С.А. Лавочкина с 10.1944 г. базировалось на заводе № 81. Здесь ОКБ получило название КБ-81. А уже потом вернулось на завод №301).</w:t>
      </w:r>
    </w:p>
    <w:p w14:paraId="1E535EF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(11.1940-12.1945 г.)- С.А. Лавочкин.</w:t>
      </w:r>
    </w:p>
    <w:p w14:paraId="7F6F51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гл. конструктора (1941-43 г.)- П.Д. Грушин, (1943-45 г.-)- С.М. Алексеев.</w:t>
      </w:r>
    </w:p>
    <w:p w14:paraId="6CA4A29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М.И. Гудкова на заводе № 21 НКАП</w:t>
      </w:r>
    </w:p>
    <w:p w14:paraId="02FD645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12.1941 г. на завод № 21 с завода № 153 НКАП переведено КБ М.И. Гудкова для внедрения в серию самолетов Гу-37 (К-37) и Гу-82. Затем КБ переведено в Москву на территорию завода № 156 (было там весной 1943 г.) (11982).</w:t>
      </w:r>
    </w:p>
    <w:p w14:paraId="4DFEA1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7E65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вышло Постановление ГКО № 1831 Об увеличении выпуска моторов М-105Р на заводах № 466 и № 16.Наркомавиапрома. РГАНИР, Фонд ГКО, д. 36, лл. 176-178, 179-191 (11012).</w:t>
      </w:r>
    </w:p>
    <w:p w14:paraId="57FF69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7F02C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30 мая 1942 г. вышло постановление ГКО № 1831 об увеличении выпуска на заводе (Завод № 466 НКАП, Машиностроительное предприятие «Красный Октябрь», </w:t>
      </w:r>
      <w:r w:rsidRPr="008127F8">
        <w:rPr>
          <w:rFonts w:ascii="Times New Roman" w:hAnsi="Times New Roman"/>
          <w:color w:val="000000" w:themeColor="text1"/>
          <w:sz w:val="16"/>
          <w:szCs w:val="16"/>
        </w:rPr>
        <w:lastRenderedPageBreak/>
        <w:t>ЛМПО «Красный Октябрь», Санкт-Петербургское ОАО «Красный Октябрь» /г. Горький;  г. Ленинград/ /194100  г. Ленинград,  г. Санкт-Петербург ул. Политехническая, 13/15 тел. 247-72-09, -52-33/) мотора М-105Р. В соответствии с пост. ГКО № 2134сс от 3.08.1942 г. заводу предписано начать производство двигателей М-105ПФ.</w:t>
      </w:r>
    </w:p>
    <w:p w14:paraId="2F9A7D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10.07.1943 г. вышло постановление ГКО № 3724 о помощи заводу. По приказу № 369с/ 351с от 8.09.1945 г. часть кадров и оборудования завода передана ГАЗу. По приказу № 370с от 8.09.1945 г. завод № 466 НКАП переведен в Ленинград на территорию завода № 274 НКАП. В соответствии с приказом № 409с от 22.10.1945 г. завод № 274 НКАП влит в состав завода № 466.</w:t>
      </w:r>
    </w:p>
    <w:p w14:paraId="54D66F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начато освоение производства мотора Джемси Д-6 и воздушно-реактивных двигателей.</w:t>
      </w:r>
    </w:p>
    <w:p w14:paraId="417DE2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заводу выделено 2433 единицы трофейного оборудования (в т.ч. 1413 металлорежущих станков), в т.ч. из Чехословакии.</w:t>
      </w:r>
    </w:p>
    <w:p w14:paraId="15754D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1946-47 г. при заводе действовало ОКБ гл. конструктора В.Я. Климова, коллектив которого был переведен с завода № 26. Работы по ГТД. По приказам № 424сс от 3.07.1947 г. и № 434сс от 25.07.1947 г. ОКБ Климова преобразовано в самостоятельный ГС опытный завод № 117 МАП.</w:t>
      </w:r>
    </w:p>
    <w:p w14:paraId="503B001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завод имел две территории: площадка № 1 по 2-му Муринскому пр. (далее здесь- завод «Красный Октябрь») и площадка № 2 - пр. К. Маркса, Флюгов пер. (бывшая территория завода № 234, № 117, далее- НПО им. Климова).</w:t>
      </w:r>
    </w:p>
    <w:p w14:paraId="027F7CC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планировалось производство моторов У-5 для комбайнов.</w:t>
      </w:r>
    </w:p>
    <w:p w14:paraId="6FE198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неудачей в освоении производства АМ-9 решением ГКАТ в 12.1955 г. завод прекратил выпуск авиационных двигателей и переориентирован на производство вертолетных агрегатов.</w:t>
      </w:r>
    </w:p>
    <w:p w14:paraId="3C9253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 713-342 от 26.06.1957 г. передан в ведение СНХ РСФСР.</w:t>
      </w:r>
    </w:p>
    <w:p w14:paraId="5491E2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w:t>
      </w:r>
      <w:r w:rsidRPr="008127F8">
        <w:rPr>
          <w:rFonts w:ascii="Times New Roman" w:hAnsi="Times New Roman"/>
          <w:color w:val="000000" w:themeColor="text1"/>
          <w:sz w:val="16"/>
          <w:szCs w:val="16"/>
          <w:lang w:val="en-US"/>
        </w:rPr>
        <w:t>MAII</w:t>
      </w:r>
      <w:r w:rsidRPr="008127F8">
        <w:rPr>
          <w:rFonts w:ascii="Times New Roman" w:hAnsi="Times New Roman"/>
          <w:color w:val="000000" w:themeColor="text1"/>
          <w:sz w:val="16"/>
          <w:szCs w:val="16"/>
        </w:rPr>
        <w:t xml:space="preserve"> № 175 от 04.1966 г. заводу присвоено имя «Красный Октябрь». В 1974-86 г. завод входил в ЛНПО им. Климова. По приказу МАП № 473 от 09.1986 г. завод вышел из состава ЛНПО им. Климова и стал самостоятельным ЛМПО «Красный Октябрь», в состав объединения вошли также Боровичский завод «Двигатель», Новгородский завод «Энергия» и Зеленогорский завод «Автоматика». С 1994 г.- Санкт- Петербургское ОАО «МП «Красный Октябрь». В 1996 г. вошёл в ВПК «МАПО». По решению правительства № 22-р от 9.01.2004 г. вошло в перечень стратегических предприятий.</w:t>
      </w:r>
    </w:p>
    <w:p w14:paraId="7BBD40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1952 г. начался выпуск трансмиссий и автоматов перекоса, с 1970-х- главных редукторов для вертолетов, а с 1982 г.- коробок самолетных агрегатов.</w:t>
      </w:r>
    </w:p>
    <w:p w14:paraId="26708F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1958-91г,- производство ЖРД и бортовых источников питания для ЗУР и МБР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Исаева, А.С. Мевиуса, С.П. Изотова, А.Д. Конопатова.</w:t>
      </w:r>
    </w:p>
    <w:p w14:paraId="472EAB8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1960-е  г. на заводе действовал филиал МКБ «Красная звезда» (начальник (1968-69 г.)- А.С. Мевиус).</w:t>
      </w:r>
    </w:p>
    <w:p w14:paraId="6477B7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1998 г. при заводе образовано Авиационное КБ.</w:t>
      </w:r>
    </w:p>
    <w:p w14:paraId="5FD433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(2005 г.): разработка и производство: газотурбинных ВСУ самолетов, вертолетных трансмиссий, промышленных редукторов, мотоблоков, мотокультиваторов, ДВС мощностью до 8 л.с.</w:t>
      </w:r>
    </w:p>
    <w:p w14:paraId="6AB68C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А.А. Завитаев, (03.1942 г.-; 10.1945 г.) - А.П. Петров, (09.1944 г.-)- Н.Н. Алексеев, (10.1945-50 г.)- И.Н. Лукин, (1950-56 г.)- С. Г. Кондратов, (1956-59 г.)- В.И. Тарасов, (1959-76 г.)- М.Н. Ляпунов, (1976-86 г.)- А.Н. Фомичев. Гендиректор (1986-2005 г.-)- А.Н. Фомичев.</w:t>
      </w:r>
    </w:p>
    <w:p w14:paraId="784384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(1941 г.)- Н.А. Доллежаль, (10.1945 г.-)- М.А. Колосов, (1946-47 г.)- В</w:t>
      </w:r>
      <w:r w:rsidRPr="008127F8">
        <w:rPr>
          <w:rFonts w:ascii="Times New Roman" w:hAnsi="Times New Roman"/>
          <w:iCs/>
          <w:color w:val="000000" w:themeColor="text1"/>
          <w:sz w:val="16"/>
          <w:szCs w:val="16"/>
        </w:rPr>
        <w:t xml:space="preserve"> .Я.</w:t>
      </w:r>
      <w:r w:rsidRPr="008127F8">
        <w:rPr>
          <w:rFonts w:ascii="Times New Roman" w:hAnsi="Times New Roman"/>
          <w:color w:val="000000" w:themeColor="text1"/>
          <w:sz w:val="16"/>
          <w:szCs w:val="16"/>
        </w:rPr>
        <w:t xml:space="preserve"> Климов (одновременно- гл. конструктор ОКБ завода № 26).</w:t>
      </w:r>
    </w:p>
    <w:p w14:paraId="512F190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по маркетингу и сбыту (2002 г.)- А.Н. Павлов; по финансам (2005 г.)- Л.Н. Калугина.</w:t>
      </w:r>
    </w:p>
    <w:p w14:paraId="16DF33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Коммерческий директор (2005 г.)- В.А. Фомичев. Технический директор (2005 г.)- С.И. Дунаев.</w:t>
      </w:r>
    </w:p>
    <w:p w14:paraId="0BC689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цеха (1942-46 г.)- Н.А. Левченко.</w:t>
      </w:r>
    </w:p>
    <w:p w14:paraId="5A8EB28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 двигатели:</w:t>
      </w:r>
      <w:r w:rsidRPr="008127F8">
        <w:rPr>
          <w:rFonts w:ascii="Times New Roman" w:hAnsi="Times New Roman"/>
          <w:color w:val="000000" w:themeColor="text1"/>
          <w:sz w:val="16"/>
          <w:szCs w:val="16"/>
        </w:rPr>
        <w:t xml:space="preserve"> М-17Т (1941-42), М-105Р (1941-42), М-105ПФ (1942-45), ВК-105ПД (1944-45), ВК- 107 (1946), РД-10А (1950-52), АМ-9 (1954-55); РД-33 (1980-е); авиационная торпеда РАТ-52 (1950-56); трансмиссии и автоматы перекоса для Ми-1, Ми-4, Як-24, затем- для всех «Ми» (2002); главные редукторы: ВР- 14 для Ми-14, Ми-8МТ (-2002-04-), ВР-24 для Ми-24 (-2002-04-), ВР-252 для Ка-27</w:t>
      </w:r>
    </w:p>
    <w:p w14:paraId="2F63D7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(-2002-04-), ВР-80 для Ка-50 (-1995-2004-); хвостовые и промежуточные редукторы для вертолетов «Ми» (2002); коробки приводов для Ми-24 (-2002-04-); коробки самолетных агрегатов КСА-2, КСА-3 для МиГ-29 (- 2002-04-); энергоузел ГТДЭ-117 для МиГ-29, Су-27 (1980-е-2004-), ГТДЭ-117-1М (ВК-100-1М) (2003-); стартер СВ-65 для ТВ7-117 (1992-2004-);</w:t>
      </w:r>
      <w:r w:rsidRPr="008127F8">
        <w:rPr>
          <w:rFonts w:ascii="Times New Roman" w:hAnsi="Times New Roman"/>
          <w:iCs/>
          <w:color w:val="000000" w:themeColor="text1"/>
          <w:sz w:val="16"/>
          <w:szCs w:val="16"/>
        </w:rPr>
        <w:t xml:space="preserve"> ЖРД:</w:t>
      </w:r>
      <w:r w:rsidRPr="008127F8">
        <w:rPr>
          <w:rFonts w:ascii="Times New Roman" w:hAnsi="Times New Roman"/>
          <w:color w:val="000000" w:themeColor="text1"/>
          <w:sz w:val="16"/>
          <w:szCs w:val="16"/>
        </w:rPr>
        <w:t xml:space="preserve"> С2.711В1 для В-750В (1956-), С2.720, С2.726 для В-1000, 5Д12 для В-860, 5Д67 для В-880, 15Д13 и 15Д14 с ТНА 8Д419 для УР-100, 15Д113 и 15Д114 для УР-100Н, 5Д18 и 5Д22 для А-350; бортовые источники питания 5И28, 5И43, 5И47, 4Е60; мотоблоки «Нева», мотонасосы, бензиновые двигатели мощностью 1,1 ...5,5 л.с. (2002).</w:t>
      </w:r>
      <w:r w:rsidRPr="008127F8">
        <w:rPr>
          <w:rFonts w:ascii="Times New Roman" w:hAnsi="Times New Roman"/>
          <w:color w:val="000000" w:themeColor="text1"/>
          <w:sz w:val="16"/>
          <w:szCs w:val="16"/>
          <w:vertAlign w:val="superscript"/>
        </w:rPr>
        <w:t>69</w:t>
      </w:r>
    </w:p>
    <w:p w14:paraId="24506B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ОКБ-45, Филиал ОКБ-500, ОКБ завода № 466 МАП, ОКБ-466 МАП</w:t>
      </w:r>
    </w:p>
    <w:p w14:paraId="3C2E5C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1956 г. на заводе № 466 образуется Ленинградский филиал ОКБ-45. Работы по ГТД с диагональным входом в компрессор- изделия «С» и «У» (ведущий конструктор- Ю.М. Лерман).</w:t>
      </w:r>
    </w:p>
    <w:p w14:paraId="599998B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156 от 19.04.1957 г., в связи с передачей ОКБ-45 в подчинение ОКБ-165, Ленинградский филиал ОКБ-45 преобразован в филиал ОКБ-500. Приказом ГКАТ № 210 от 17.06.1958 г. филиал преобразован в самостоятельное ОКБ при заводе № 466. И.О. гл. конструктора назначен А.С. Мевиус. По приказу № 61/к от 20.04.1959 г. Мевиус стал гл. конструктором.</w:t>
      </w:r>
    </w:p>
    <w:p w14:paraId="7484DB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1958 г.- разработка ЖРД для ЗУР и ракет ПРО. Доработка и освоение производства С2.726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Исаева. В 1962 г. передан в производство доработанный вариант- Л/726. Созданы опытные ЖРД Л-2, Л-2А (5Д12), Л-6, Л- 6А для ЗУР В-860. Осенью 1960 г. выдано задание на разработку ЖРД 5Д16 для противоракеты А-350, в 1962 г. проведены испытания.</w:t>
      </w:r>
    </w:p>
    <w:p w14:paraId="27E9A07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895 от 19.12.1962 г. для дальнейшего развития работ по ЖРД ОКБ-466 было влито в ОКБ-117 ГКАТ. Мевиус назначен гл. конструктором по специзделиям (ЖРД). В соответствии с пост. СМ № 175 от 13.02.1963 г. он вместе с сотрудниками ОКБ переведен на завод № 117. Для сопровождения серийного выпуска двигателей разработки ОКБ-466 на заводе образован СКО.</w:t>
      </w:r>
    </w:p>
    <w:p w14:paraId="48BD3F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(20.04.1959-12.1962 г.)- А.С. Мевиус.</w:t>
      </w:r>
    </w:p>
    <w:p w14:paraId="1F2EAF8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(1956-59 г.)- А.С. Мевиус.</w:t>
      </w:r>
    </w:p>
    <w:p w14:paraId="5D103DE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Авиационное КБ</w:t>
      </w:r>
    </w:p>
    <w:p w14:paraId="5324D1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Образовано в 1998 г. при заводе «Красный Октябрь».</w:t>
      </w:r>
    </w:p>
    <w:p w14:paraId="468B55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(2005 г.): разработка главных редукторов ВР-38 для Ми-38, ВР-226Н для Ка-226, ВР-10 для «Актай» (11982).</w:t>
      </w:r>
    </w:p>
    <w:p w14:paraId="6A6C144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53B8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вышло Постановление ГКО № 1832 О развертывании производства моторов АМ-38 на заводе № 45 Наркомавиапрома в г.Москве. РГАНИР, Фонд ГКО, д. 36, лл. 192, 193-204 (11012).</w:t>
      </w:r>
    </w:p>
    <w:p w14:paraId="59D7CB8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A7B2E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вышло Постановление ГКО № 1832 О развертывании производства моторов АМ-38 на заводе № 45 Наркомавиапрома в г.Москве</w:t>
      </w:r>
    </w:p>
    <w:p w14:paraId="2A878FAE"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Государственный Комитет Обороны постановляет:</w:t>
      </w:r>
    </w:p>
    <w:p w14:paraId="2D9FC36E" w14:textId="77777777" w:rsidR="007C5583" w:rsidRPr="008127F8" w:rsidRDefault="007C5583" w:rsidP="007C5583">
      <w:pPr>
        <w:pStyle w:val="27"/>
        <w:shd w:val="clear" w:color="auto" w:fill="auto"/>
        <w:tabs>
          <w:tab w:val="left" w:pos="950"/>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1. Обязать Наркомавиапром т.Шахурина и директо</w:t>
      </w:r>
      <w:r w:rsidRPr="008127F8">
        <w:rPr>
          <w:rFonts w:ascii="Times New Roman" w:cs="Times New Roman"/>
          <w:color w:val="000000" w:themeColor="text1"/>
          <w:spacing w:val="0"/>
        </w:rPr>
        <w:softHyphen/>
        <w:t xml:space="preserve">ра завода № 45 т.Комарова обеспечить ежесуточный выпуск, начиная с 15 июля </w:t>
      </w:r>
      <w:r w:rsidRPr="008127F8">
        <w:rPr>
          <w:rStyle w:val="2pt0"/>
          <w:rFonts w:ascii="Times New Roman" w:hAnsi="Times New Roman" w:cs="Times New Roman"/>
          <w:color w:val="000000" w:themeColor="text1"/>
          <w:sz w:val="16"/>
          <w:szCs w:val="16"/>
        </w:rPr>
        <w:t>с.г.,</w:t>
      </w:r>
      <w:r w:rsidRPr="008127F8">
        <w:rPr>
          <w:rFonts w:ascii="Times New Roman" w:cs="Times New Roman"/>
          <w:color w:val="000000" w:themeColor="text1"/>
          <w:spacing w:val="0"/>
        </w:rPr>
        <w:t xml:space="preserve"> по одному мотору </w:t>
      </w:r>
      <w:r w:rsidRPr="008127F8">
        <w:rPr>
          <w:rFonts w:ascii="Times New Roman" w:cs="Times New Roman"/>
          <w:color w:val="000000" w:themeColor="text1"/>
          <w:spacing w:val="0"/>
          <w:lang w:val="en-US"/>
        </w:rPr>
        <w:t>A</w:t>
      </w:r>
      <w:r w:rsidRPr="008127F8">
        <w:rPr>
          <w:rFonts w:ascii="Times New Roman" w:cs="Times New Roman"/>
          <w:color w:val="000000" w:themeColor="text1"/>
          <w:spacing w:val="0"/>
        </w:rPr>
        <w:t>М-38, с 28 июля - по два и с 10 августа - по три мотора.</w:t>
      </w:r>
    </w:p>
    <w:p w14:paraId="651915CC" w14:textId="77777777" w:rsidR="007C5583" w:rsidRPr="008127F8" w:rsidRDefault="007C5583" w:rsidP="007C5583">
      <w:pPr>
        <w:pStyle w:val="27"/>
        <w:shd w:val="clear" w:color="auto" w:fill="auto"/>
        <w:tabs>
          <w:tab w:val="left" w:pos="958"/>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2. Утвердить мероприятия по обеспечению развер</w:t>
      </w:r>
      <w:r w:rsidRPr="008127F8">
        <w:rPr>
          <w:rFonts w:ascii="Times New Roman" w:cs="Times New Roman"/>
          <w:color w:val="000000" w:themeColor="text1"/>
          <w:spacing w:val="0"/>
        </w:rPr>
        <w:softHyphen/>
        <w:t xml:space="preserve">тывания производства и выполнению государственного плана выпуска авиамоторов </w:t>
      </w:r>
      <w:r w:rsidRPr="008127F8">
        <w:rPr>
          <w:rFonts w:ascii="Times New Roman" w:cs="Times New Roman"/>
          <w:color w:val="000000" w:themeColor="text1"/>
          <w:spacing w:val="0"/>
          <w:lang w:val="en-US"/>
        </w:rPr>
        <w:t>AM</w:t>
      </w:r>
      <w:r w:rsidRPr="008127F8">
        <w:rPr>
          <w:rFonts w:ascii="Times New Roman" w:cs="Times New Roman"/>
          <w:color w:val="000000" w:themeColor="text1"/>
          <w:spacing w:val="0"/>
        </w:rPr>
        <w:t>-38 на заводе 45 НКАП, согласно приложению  (19338).</w:t>
      </w:r>
    </w:p>
    <w:p w14:paraId="0E660DD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C2E166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г. специальным постановлением ГКО было предписано пере</w:t>
      </w:r>
      <w:r w:rsidRPr="008127F8">
        <w:rPr>
          <w:rFonts w:ascii="Times New Roman" w:hAnsi="Times New Roman"/>
          <w:color w:val="000000" w:themeColor="text1"/>
          <w:sz w:val="16"/>
          <w:szCs w:val="16"/>
        </w:rPr>
        <w:softHyphen/>
        <w:t>дать на завод № 45 350 инженерно-технических работников с других предприятий НКАП.</w:t>
      </w:r>
    </w:p>
    <w:p w14:paraId="0F1E155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Ситуации с кадрами можно считать положение на авиазаводе № 45 может служить удачным примером для 1942. Это предприятие, созданное на площадке эвакуированного завода № 24, за лето того года увеличило численность персонала более чем вдвое (РГАЭ. Ф. 8044. </w:t>
      </w:r>
      <w:r w:rsidRPr="008127F8">
        <w:rPr>
          <w:rFonts w:ascii="Times New Roman" w:hAnsi="Times New Roman"/>
          <w:color w:val="000000" w:themeColor="text1"/>
          <w:sz w:val="16"/>
          <w:szCs w:val="16"/>
          <w:lang w:val="en-US"/>
        </w:rPr>
        <w:t xml:space="preserve">On. </w:t>
      </w:r>
      <w:r w:rsidRPr="008127F8">
        <w:rPr>
          <w:rFonts w:ascii="Times New Roman" w:hAnsi="Times New Roman"/>
          <w:color w:val="000000" w:themeColor="text1"/>
          <w:sz w:val="16"/>
          <w:szCs w:val="16"/>
        </w:rPr>
        <w:t>1. Д. 2866. Л. 80):</w:t>
      </w:r>
    </w:p>
    <w:tbl>
      <w:tblPr>
        <w:tblW w:w="0" w:type="auto"/>
        <w:tblInd w:w="8" w:type="dxa"/>
        <w:tblLayout w:type="fixed"/>
        <w:tblCellMar>
          <w:left w:w="0" w:type="dxa"/>
          <w:right w:w="0" w:type="dxa"/>
        </w:tblCellMar>
        <w:tblLook w:val="0000" w:firstRow="0" w:lastRow="0" w:firstColumn="0" w:lastColumn="0" w:noHBand="0" w:noVBand="0"/>
      </w:tblPr>
      <w:tblGrid>
        <w:gridCol w:w="931"/>
        <w:gridCol w:w="4142"/>
        <w:gridCol w:w="1873"/>
      </w:tblGrid>
      <w:tr w:rsidR="007C5583" w:rsidRPr="008127F8" w14:paraId="7693F2BC" w14:textId="77777777" w:rsidTr="004C5D62">
        <w:trPr>
          <w:trHeight w:val="240"/>
        </w:trPr>
        <w:tc>
          <w:tcPr>
            <w:tcW w:w="5073" w:type="dxa"/>
            <w:gridSpan w:val="2"/>
            <w:tcBorders>
              <w:top w:val="single" w:sz="6" w:space="0" w:color="auto"/>
              <w:left w:val="single" w:sz="6" w:space="0" w:color="auto"/>
              <w:bottom w:val="single" w:sz="6" w:space="0" w:color="auto"/>
              <w:right w:val="single" w:sz="6" w:space="0" w:color="auto"/>
            </w:tcBorders>
            <w:shd w:val="clear" w:color="auto" w:fill="FFFFFF"/>
          </w:tcPr>
          <w:p w14:paraId="102616D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Работников н</w:t>
            </w:r>
            <w:r w:rsidRPr="008127F8">
              <w:rPr>
                <w:rFonts w:ascii="Times New Roman" w:hAnsi="Times New Roman"/>
                <w:color w:val="000000" w:themeColor="text1"/>
                <w:sz w:val="16"/>
                <w:szCs w:val="16"/>
                <w:lang w:val="en-US"/>
              </w:rPr>
              <w:t>a01.0</w:t>
            </w:r>
            <w:r w:rsidRPr="008127F8">
              <w:rPr>
                <w:rFonts w:ascii="Times New Roman" w:hAnsi="Times New Roman"/>
                <w:color w:val="000000" w:themeColor="text1"/>
                <w:sz w:val="16"/>
                <w:szCs w:val="16"/>
              </w:rPr>
              <w:t>8</w:t>
            </w:r>
            <w:r w:rsidRPr="008127F8">
              <w:rPr>
                <w:rFonts w:ascii="Times New Roman" w:hAnsi="Times New Roman"/>
                <w:color w:val="000000" w:themeColor="text1"/>
                <w:sz w:val="16"/>
                <w:szCs w:val="16"/>
                <w:lang w:val="en-US"/>
              </w:rPr>
              <w:t>.1941</w:t>
            </w:r>
          </w:p>
        </w:tc>
        <w:tc>
          <w:tcPr>
            <w:tcW w:w="1873" w:type="dxa"/>
            <w:tcBorders>
              <w:top w:val="single" w:sz="6" w:space="0" w:color="auto"/>
              <w:left w:val="single" w:sz="6" w:space="0" w:color="auto"/>
              <w:bottom w:val="single" w:sz="6" w:space="0" w:color="auto"/>
              <w:right w:val="single" w:sz="6" w:space="0" w:color="auto"/>
            </w:tcBorders>
            <w:shd w:val="clear" w:color="auto" w:fill="FFFFFF"/>
          </w:tcPr>
          <w:p w14:paraId="20479E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9126 (100 %)</w:t>
            </w:r>
          </w:p>
        </w:tc>
      </w:tr>
      <w:tr w:rsidR="007C5583" w:rsidRPr="008127F8" w14:paraId="7167B978" w14:textId="77777777" w:rsidTr="004C5D62">
        <w:trPr>
          <w:trHeight w:val="221"/>
        </w:trPr>
        <w:tc>
          <w:tcPr>
            <w:tcW w:w="5073" w:type="dxa"/>
            <w:gridSpan w:val="2"/>
            <w:tcBorders>
              <w:top w:val="single" w:sz="6" w:space="0" w:color="auto"/>
              <w:left w:val="single" w:sz="6" w:space="0" w:color="auto"/>
              <w:bottom w:val="single" w:sz="6" w:space="0" w:color="auto"/>
              <w:right w:val="single" w:sz="6" w:space="0" w:color="auto"/>
            </w:tcBorders>
            <w:shd w:val="clear" w:color="auto" w:fill="FFFFFF"/>
          </w:tcPr>
          <w:p w14:paraId="24D40E0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Работников на 01.03.1942</w:t>
            </w:r>
          </w:p>
        </w:tc>
        <w:tc>
          <w:tcPr>
            <w:tcW w:w="1873" w:type="dxa"/>
            <w:tcBorders>
              <w:top w:val="single" w:sz="6" w:space="0" w:color="auto"/>
              <w:left w:val="single" w:sz="6" w:space="0" w:color="auto"/>
              <w:bottom w:val="single" w:sz="6" w:space="0" w:color="auto"/>
              <w:right w:val="single" w:sz="6" w:space="0" w:color="auto"/>
            </w:tcBorders>
            <w:shd w:val="clear" w:color="auto" w:fill="FFFFFF"/>
          </w:tcPr>
          <w:p w14:paraId="762B2CE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4085(44,454)</w:t>
            </w:r>
          </w:p>
        </w:tc>
      </w:tr>
      <w:tr w:rsidR="007C5583" w:rsidRPr="008127F8" w14:paraId="75E8A377" w14:textId="77777777" w:rsidTr="004C5D62">
        <w:trPr>
          <w:trHeight w:val="221"/>
        </w:trPr>
        <w:tc>
          <w:tcPr>
            <w:tcW w:w="5073" w:type="dxa"/>
            <w:gridSpan w:val="2"/>
            <w:tcBorders>
              <w:top w:val="single" w:sz="6" w:space="0" w:color="auto"/>
              <w:left w:val="single" w:sz="6" w:space="0" w:color="auto"/>
              <w:bottom w:val="single" w:sz="6" w:space="0" w:color="auto"/>
              <w:right w:val="single" w:sz="6" w:space="0" w:color="auto"/>
            </w:tcBorders>
            <w:shd w:val="clear" w:color="auto" w:fill="FFFFFF"/>
          </w:tcPr>
          <w:p w14:paraId="3343191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Прирост</w:t>
            </w:r>
          </w:p>
        </w:tc>
        <w:tc>
          <w:tcPr>
            <w:tcW w:w="1873" w:type="dxa"/>
            <w:tcBorders>
              <w:top w:val="single" w:sz="6" w:space="0" w:color="auto"/>
              <w:left w:val="single" w:sz="6" w:space="0" w:color="auto"/>
              <w:bottom w:val="single" w:sz="6" w:space="0" w:color="auto"/>
              <w:right w:val="single" w:sz="6" w:space="0" w:color="auto"/>
            </w:tcBorders>
            <w:shd w:val="clear" w:color="auto" w:fill="FFFFFF"/>
          </w:tcPr>
          <w:p w14:paraId="30277CB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5041 (55,?%)</w:t>
            </w:r>
          </w:p>
        </w:tc>
      </w:tr>
      <w:tr w:rsidR="007C5583" w:rsidRPr="008127F8" w14:paraId="7816E819" w14:textId="77777777" w:rsidTr="004C5D62">
        <w:trPr>
          <w:trHeight w:val="221"/>
        </w:trPr>
        <w:tc>
          <w:tcPr>
            <w:tcW w:w="931" w:type="dxa"/>
            <w:tcBorders>
              <w:top w:val="single" w:sz="6" w:space="0" w:color="auto"/>
              <w:left w:val="single" w:sz="6" w:space="0" w:color="auto"/>
              <w:bottom w:val="nil"/>
              <w:right w:val="single" w:sz="6" w:space="0" w:color="auto"/>
            </w:tcBorders>
            <w:shd w:val="clear" w:color="auto" w:fill="FFFFFF"/>
          </w:tcPr>
          <w:p w14:paraId="78D3F96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Источника пополнения</w:t>
            </w:r>
          </w:p>
        </w:tc>
        <w:tc>
          <w:tcPr>
            <w:tcW w:w="4142" w:type="dxa"/>
            <w:tcBorders>
              <w:top w:val="single" w:sz="6" w:space="0" w:color="auto"/>
              <w:left w:val="single" w:sz="6" w:space="0" w:color="auto"/>
              <w:bottom w:val="single" w:sz="6" w:space="0" w:color="auto"/>
              <w:right w:val="single" w:sz="6" w:space="0" w:color="auto"/>
            </w:tcBorders>
            <w:shd w:val="clear" w:color="auto" w:fill="FFFFFF"/>
          </w:tcPr>
          <w:p w14:paraId="7713B0E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порадке свободного набора согласно указанию Президиума ВС</w:t>
            </w:r>
          </w:p>
        </w:tc>
        <w:tc>
          <w:tcPr>
            <w:tcW w:w="1873" w:type="dxa"/>
            <w:tcBorders>
              <w:top w:val="single" w:sz="6" w:space="0" w:color="auto"/>
              <w:left w:val="single" w:sz="6" w:space="0" w:color="auto"/>
              <w:bottom w:val="single" w:sz="6" w:space="0" w:color="auto"/>
              <w:right w:val="single" w:sz="6" w:space="0" w:color="auto"/>
            </w:tcBorders>
            <w:shd w:val="clear" w:color="auto" w:fill="FFFFFF"/>
          </w:tcPr>
          <w:p w14:paraId="497712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1796(35,4%)</w:t>
            </w:r>
          </w:p>
        </w:tc>
      </w:tr>
      <w:tr w:rsidR="007C5583" w:rsidRPr="008127F8" w14:paraId="0239BB7A" w14:textId="77777777" w:rsidTr="004C5D62">
        <w:trPr>
          <w:trHeight w:val="226"/>
        </w:trPr>
        <w:tc>
          <w:tcPr>
            <w:tcW w:w="931" w:type="dxa"/>
            <w:tcBorders>
              <w:top w:val="nil"/>
              <w:left w:val="single" w:sz="6" w:space="0" w:color="auto"/>
              <w:bottom w:val="nil"/>
              <w:right w:val="single" w:sz="6" w:space="0" w:color="auto"/>
            </w:tcBorders>
            <w:shd w:val="clear" w:color="auto" w:fill="FFFFFF"/>
          </w:tcPr>
          <w:p w14:paraId="21D3088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42" w:type="dxa"/>
            <w:tcBorders>
              <w:top w:val="single" w:sz="6" w:space="0" w:color="auto"/>
              <w:left w:val="single" w:sz="6" w:space="0" w:color="auto"/>
              <w:bottom w:val="single" w:sz="6" w:space="0" w:color="auto"/>
              <w:right w:val="single" w:sz="6" w:space="0" w:color="auto"/>
            </w:tcBorders>
            <w:shd w:val="clear" w:color="auto" w:fill="FFFFFF"/>
          </w:tcPr>
          <w:p w14:paraId="37FC2AF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мобилизации райсовета</w:t>
            </w:r>
          </w:p>
        </w:tc>
        <w:tc>
          <w:tcPr>
            <w:tcW w:w="1873" w:type="dxa"/>
            <w:tcBorders>
              <w:top w:val="single" w:sz="6" w:space="0" w:color="auto"/>
              <w:left w:val="single" w:sz="6" w:space="0" w:color="auto"/>
              <w:bottom w:val="single" w:sz="6" w:space="0" w:color="auto"/>
              <w:right w:val="single" w:sz="6" w:space="0" w:color="auto"/>
            </w:tcBorders>
            <w:shd w:val="clear" w:color="auto" w:fill="FFFFFF"/>
          </w:tcPr>
          <w:p w14:paraId="600A325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600(11,8%)</w:t>
            </w:r>
          </w:p>
        </w:tc>
      </w:tr>
      <w:tr w:rsidR="007C5583" w:rsidRPr="008127F8" w14:paraId="147C4176" w14:textId="77777777" w:rsidTr="004C5D62">
        <w:trPr>
          <w:trHeight w:val="216"/>
        </w:trPr>
        <w:tc>
          <w:tcPr>
            <w:tcW w:w="931" w:type="dxa"/>
            <w:tcBorders>
              <w:top w:val="nil"/>
              <w:left w:val="single" w:sz="6" w:space="0" w:color="auto"/>
              <w:bottom w:val="nil"/>
              <w:right w:val="single" w:sz="6" w:space="0" w:color="auto"/>
            </w:tcBorders>
            <w:shd w:val="clear" w:color="auto" w:fill="FFFFFF"/>
          </w:tcPr>
          <w:p w14:paraId="7BD9ED9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42" w:type="dxa"/>
            <w:tcBorders>
              <w:top w:val="single" w:sz="6" w:space="0" w:color="auto"/>
              <w:left w:val="single" w:sz="6" w:space="0" w:color="auto"/>
              <w:bottom w:val="single" w:sz="6" w:space="0" w:color="auto"/>
              <w:right w:val="single" w:sz="6" w:space="0" w:color="auto"/>
            </w:tcBorders>
            <w:shd w:val="clear" w:color="auto" w:fill="FFFFFF"/>
          </w:tcPr>
          <w:p w14:paraId="727BC0F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Переводом с заводов № 82 и 291</w:t>
            </w:r>
          </w:p>
        </w:tc>
        <w:tc>
          <w:tcPr>
            <w:tcW w:w="1873" w:type="dxa"/>
            <w:tcBorders>
              <w:top w:val="single" w:sz="6" w:space="0" w:color="auto"/>
              <w:left w:val="single" w:sz="6" w:space="0" w:color="auto"/>
              <w:bottom w:val="single" w:sz="6" w:space="0" w:color="auto"/>
              <w:right w:val="single" w:sz="6" w:space="0" w:color="auto"/>
            </w:tcBorders>
            <w:shd w:val="clear" w:color="auto" w:fill="FFFFFF"/>
          </w:tcPr>
          <w:p w14:paraId="10A7E80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2245(45%)</w:t>
            </w:r>
          </w:p>
        </w:tc>
      </w:tr>
      <w:tr w:rsidR="007C5583" w:rsidRPr="008127F8" w14:paraId="06CF55D1" w14:textId="77777777" w:rsidTr="004C5D62">
        <w:trPr>
          <w:trHeight w:val="245"/>
        </w:trPr>
        <w:tc>
          <w:tcPr>
            <w:tcW w:w="931" w:type="dxa"/>
            <w:tcBorders>
              <w:top w:val="nil"/>
              <w:left w:val="single" w:sz="6" w:space="0" w:color="auto"/>
              <w:bottom w:val="single" w:sz="6" w:space="0" w:color="auto"/>
              <w:right w:val="single" w:sz="6" w:space="0" w:color="auto"/>
            </w:tcBorders>
            <w:shd w:val="clear" w:color="auto" w:fill="FFFFFF"/>
          </w:tcPr>
          <w:p w14:paraId="7DE8103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42" w:type="dxa"/>
            <w:tcBorders>
              <w:top w:val="single" w:sz="6" w:space="0" w:color="auto"/>
              <w:left w:val="single" w:sz="6" w:space="0" w:color="auto"/>
              <w:bottom w:val="single" w:sz="6" w:space="0" w:color="auto"/>
              <w:right w:val="single" w:sz="6" w:space="0" w:color="auto"/>
            </w:tcBorders>
            <w:shd w:val="clear" w:color="auto" w:fill="FFFFFF"/>
          </w:tcPr>
          <w:p w14:paraId="4AC2678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счёт ремесленных училищ и шли ФЗУ</w:t>
            </w:r>
          </w:p>
        </w:tc>
        <w:tc>
          <w:tcPr>
            <w:tcW w:w="1873" w:type="dxa"/>
            <w:tcBorders>
              <w:top w:val="single" w:sz="6" w:space="0" w:color="auto"/>
              <w:left w:val="single" w:sz="6" w:space="0" w:color="auto"/>
              <w:bottom w:val="single" w:sz="6" w:space="0" w:color="auto"/>
              <w:right w:val="single" w:sz="6" w:space="0" w:color="auto"/>
            </w:tcBorders>
            <w:shd w:val="clear" w:color="auto" w:fill="FFFFFF"/>
          </w:tcPr>
          <w:p w14:paraId="1F0B127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400(7,8%)</w:t>
            </w:r>
          </w:p>
        </w:tc>
      </w:tr>
    </w:tbl>
    <w:p w14:paraId="5B1BE17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видим, новому заводу посчастливилось почти поло</w:t>
      </w:r>
      <w:r w:rsidRPr="008127F8">
        <w:rPr>
          <w:rFonts w:ascii="Times New Roman" w:hAnsi="Times New Roman"/>
          <w:color w:val="000000" w:themeColor="text1"/>
          <w:sz w:val="16"/>
          <w:szCs w:val="16"/>
        </w:rPr>
        <w:softHyphen/>
        <w:t>вину новых рабочих получить со старых авиапредприятий. Большинство заводов НКАП могли об этом только мечтать. Однако даже на заводе № 45 вторая половина «новеньких» явно не имела соответствующей квалификации («свободный набор» и «мобилизация райсовета») и нуждалась в переобу</w:t>
      </w:r>
      <w:r w:rsidRPr="008127F8">
        <w:rPr>
          <w:rFonts w:ascii="Times New Roman" w:hAnsi="Times New Roman"/>
          <w:color w:val="000000" w:themeColor="text1"/>
          <w:sz w:val="16"/>
          <w:szCs w:val="16"/>
        </w:rPr>
        <w:softHyphen/>
        <w:t>чении (12011).</w:t>
      </w:r>
    </w:p>
    <w:p w14:paraId="57A517A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8831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30 мая 1942 вышел приказ НКАП N 412с:</w:t>
      </w:r>
    </w:p>
    <w:p w14:paraId="4AF1863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реализации постановления ГКО N ГОКО-1786сс от 19 мая 1942:</w:t>
      </w:r>
    </w:p>
    <w:p w14:paraId="2EB753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Перевести часть КБ и опытное производство С.А.Л. с завода 31 на завод 21 (1559,17).</w:t>
      </w:r>
    </w:p>
    <w:p w14:paraId="4A0E66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7681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4E61E85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1B0349"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30 мая 1942 года комиссия представителей ГБТУ КА и наркомата танковой промыш</w:t>
      </w:r>
      <w:r w:rsidRPr="008127F8">
        <w:rPr>
          <w:rFonts w:ascii="Times New Roman" w:cs="Times New Roman"/>
          <w:color w:val="000000" w:themeColor="text1"/>
          <w:spacing w:val="0"/>
        </w:rPr>
        <w:softHyphen/>
        <w:t>ленности проверила выполнение постановле</w:t>
      </w:r>
      <w:r w:rsidRPr="008127F8">
        <w:rPr>
          <w:rFonts w:ascii="Times New Roman" w:cs="Times New Roman"/>
          <w:color w:val="000000" w:themeColor="text1"/>
          <w:spacing w:val="0"/>
        </w:rPr>
        <w:softHyphen/>
        <w:t>ния ГКО по улучшению качества танков КВ. В своем докладе, направленном председате</w:t>
      </w:r>
      <w:r w:rsidRPr="008127F8">
        <w:rPr>
          <w:rFonts w:ascii="Times New Roman" w:cs="Times New Roman"/>
          <w:color w:val="000000" w:themeColor="text1"/>
          <w:spacing w:val="0"/>
        </w:rPr>
        <w:softHyphen/>
        <w:t>лю ГКО И. Сталину, комиссия предлагала по</w:t>
      </w:r>
      <w:r w:rsidRPr="008127F8">
        <w:rPr>
          <w:rFonts w:ascii="Times New Roman" w:cs="Times New Roman"/>
          <w:color w:val="000000" w:themeColor="text1"/>
          <w:spacing w:val="0"/>
        </w:rPr>
        <w:softHyphen/>
        <w:t>требовать от Кировского завода следующее:</w:t>
      </w:r>
    </w:p>
    <w:p w14:paraId="3059CB68"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к 10 июня — закончить испытания восьми- скоростной коробки перемены передач, раз</w:t>
      </w:r>
      <w:r w:rsidRPr="008127F8">
        <w:rPr>
          <w:rFonts w:ascii="Times New Roman" w:cs="Times New Roman"/>
          <w:color w:val="000000" w:themeColor="text1"/>
          <w:spacing w:val="0"/>
        </w:rPr>
        <w:softHyphen/>
        <w:t>работать технологию их производства и изго</w:t>
      </w:r>
      <w:r w:rsidRPr="008127F8">
        <w:rPr>
          <w:rFonts w:ascii="Times New Roman" w:cs="Times New Roman"/>
          <w:color w:val="000000" w:themeColor="text1"/>
          <w:spacing w:val="0"/>
        </w:rPr>
        <w:softHyphen/>
        <w:t>товить 25 штук новых КПП с новым главным фрикционом для сборки установочной пар</w:t>
      </w:r>
      <w:r w:rsidRPr="008127F8">
        <w:rPr>
          <w:rFonts w:ascii="Times New Roman" w:cs="Times New Roman"/>
          <w:color w:val="000000" w:themeColor="text1"/>
          <w:spacing w:val="0"/>
        </w:rPr>
        <w:softHyphen/>
        <w:t xml:space="preserve">тии </w:t>
      </w:r>
      <w:r w:rsidRPr="008127F8">
        <w:rPr>
          <w:rFonts w:ascii="Times New Roman" w:cs="Times New Roman"/>
          <w:color w:val="000000" w:themeColor="text1"/>
          <w:spacing w:val="0"/>
          <w:lang w:val="en-US"/>
        </w:rPr>
        <w:t>KB</w:t>
      </w:r>
      <w:r w:rsidRPr="008127F8">
        <w:rPr>
          <w:rFonts w:ascii="Times New Roman" w:cs="Times New Roman"/>
          <w:color w:val="000000" w:themeColor="text1"/>
          <w:spacing w:val="0"/>
        </w:rPr>
        <w:t xml:space="preserve"> с этими агрегатами;</w:t>
      </w:r>
    </w:p>
    <w:p w14:paraId="7FDD1DFC"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к 15 июня - провести подготовку произ</w:t>
      </w:r>
      <w:r w:rsidRPr="008127F8">
        <w:rPr>
          <w:rFonts w:ascii="Times New Roman" w:cs="Times New Roman"/>
          <w:color w:val="000000" w:themeColor="text1"/>
          <w:spacing w:val="0"/>
        </w:rPr>
        <w:softHyphen/>
        <w:t>водства по новым радиаторам и новому вен</w:t>
      </w:r>
      <w:r w:rsidRPr="008127F8">
        <w:rPr>
          <w:rFonts w:ascii="Times New Roman" w:cs="Times New Roman"/>
          <w:color w:val="000000" w:themeColor="text1"/>
          <w:spacing w:val="0"/>
        </w:rPr>
        <w:softHyphen/>
        <w:t>тилятору системы охлаждения двигателя;</w:t>
      </w:r>
    </w:p>
    <w:p w14:paraId="60D43824"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к 15 июня - довести до рабочих мест в це</w:t>
      </w:r>
      <w:r w:rsidRPr="008127F8">
        <w:rPr>
          <w:rFonts w:ascii="Times New Roman" w:cs="Times New Roman"/>
          <w:color w:val="000000" w:themeColor="text1"/>
          <w:spacing w:val="0"/>
        </w:rPr>
        <w:softHyphen/>
        <w:t>хах технологию изготовления всех новых де</w:t>
      </w:r>
      <w:r w:rsidRPr="008127F8">
        <w:rPr>
          <w:rFonts w:ascii="Times New Roman" w:cs="Times New Roman"/>
          <w:color w:val="000000" w:themeColor="text1"/>
          <w:spacing w:val="0"/>
        </w:rPr>
        <w:softHyphen/>
        <w:t xml:space="preserve">талей и узлов </w:t>
      </w:r>
      <w:r w:rsidRPr="008127F8">
        <w:rPr>
          <w:rFonts w:ascii="Times New Roman" w:cs="Times New Roman"/>
          <w:color w:val="000000" w:themeColor="text1"/>
          <w:spacing w:val="0"/>
          <w:lang w:val="en-US"/>
        </w:rPr>
        <w:t>KB</w:t>
      </w:r>
      <w:r w:rsidRPr="008127F8">
        <w:rPr>
          <w:rFonts w:ascii="Times New Roman" w:cs="Times New Roman"/>
          <w:color w:val="000000" w:themeColor="text1"/>
          <w:spacing w:val="0"/>
        </w:rPr>
        <w:t xml:space="preserve"> с полной оснасткой, при</w:t>
      </w:r>
      <w:r w:rsidRPr="008127F8">
        <w:rPr>
          <w:rFonts w:ascii="Times New Roman" w:cs="Times New Roman"/>
          <w:color w:val="000000" w:themeColor="text1"/>
          <w:spacing w:val="0"/>
        </w:rPr>
        <w:softHyphen/>
        <w:t>способлениями и инструментами.</w:t>
      </w:r>
    </w:p>
    <w:p w14:paraId="487AB6FC"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Видимо этот доклад комиссии (а ее пред</w:t>
      </w:r>
      <w:r w:rsidRPr="008127F8">
        <w:rPr>
          <w:rFonts w:ascii="Times New Roman" w:cs="Times New Roman"/>
          <w:color w:val="000000" w:themeColor="text1"/>
          <w:spacing w:val="0"/>
        </w:rPr>
        <w:softHyphen/>
        <w:t>седателем был заместитель наркома танко</w:t>
      </w:r>
      <w:r w:rsidRPr="008127F8">
        <w:rPr>
          <w:rFonts w:ascii="Times New Roman" w:cs="Times New Roman"/>
          <w:color w:val="000000" w:themeColor="text1"/>
          <w:spacing w:val="0"/>
        </w:rPr>
        <w:softHyphen/>
        <w:t>вой промышленности П.М. Зернов) сыграл не последнюю роль в появлении подписан</w:t>
      </w:r>
      <w:r w:rsidRPr="008127F8">
        <w:rPr>
          <w:rFonts w:ascii="Times New Roman" w:cs="Times New Roman"/>
          <w:color w:val="000000" w:themeColor="text1"/>
          <w:spacing w:val="0"/>
        </w:rPr>
        <w:softHyphen/>
        <w:t>ного И.В. Сталиным 5 июня 1942 года по</w:t>
      </w:r>
      <w:r w:rsidRPr="008127F8">
        <w:rPr>
          <w:rFonts w:ascii="Times New Roman" w:cs="Times New Roman"/>
          <w:color w:val="000000" w:themeColor="text1"/>
          <w:spacing w:val="0"/>
        </w:rPr>
        <w:softHyphen/>
        <w:t>становления ГКО № 1878сс (15226).</w:t>
      </w:r>
    </w:p>
    <w:p w14:paraId="26CACFB1"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p>
    <w:p w14:paraId="4D8E939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вышло Постановление ГКО № 1829 Об общем плане погрузки народнохозяйственных и воинских грузов на июнь 1942 г. (7036, 171).</w:t>
      </w:r>
    </w:p>
    <w:p w14:paraId="71C0DCF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EA237D"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вышло Постановление ГКО № 1830 Условия Всесоюзного социалистического соревнования ремесленных, железнодорожных училищ и школ фабрично-заводского обучения. (7036, 172,173-175).</w:t>
      </w:r>
    </w:p>
    <w:p w14:paraId="47601C9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35D7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вышло Постановление ГКО № 1833 О возвращении на торфопредприятия Калининского треста эвакуированных материалов и оборудования. РГАНИР, Фонд ГКО, д. 36, лл. 205 (11012).</w:t>
      </w:r>
    </w:p>
    <w:p w14:paraId="258C98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C977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вышло Постановление ГКО № 1834 О возвращении на завод им.Сольца в г.Серпухове, Московский абразивный завод и Минерально-промышленный комбинат эвакуированного оборудования. РГАНИР, Фонд ГКО, д. 36, лл. 206 (11012).</w:t>
      </w:r>
    </w:p>
    <w:p w14:paraId="5509404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F353C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вышло Постановление ГКО № 1835 О восстановлении производства паровозов на заводах Наркомтяжмаша и НКПС. РГАНИР, Фонд ГКО, д. 36, лл. 207-216, 217-225 (11012).</w:t>
      </w:r>
    </w:p>
    <w:p w14:paraId="37E118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6C939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вышло Постановление ГКО № 1836 О сформировании подвижных ремонтных баз для ремонта танков. РГАНИР, Фонд ГКО, д. 36, лл. 226-228, 229-234 (11012).</w:t>
      </w:r>
    </w:p>
    <w:p w14:paraId="4D65D14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19919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2DF231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5592D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30 мая</w:t>
      </w:r>
      <w:r w:rsidRPr="008127F8">
        <w:rPr>
          <w:rFonts w:ascii="Times New Roman" w:hAnsi="Times New Roman"/>
          <w:color w:val="000000" w:themeColor="text1"/>
          <w:sz w:val="16"/>
          <w:szCs w:val="16"/>
        </w:rPr>
        <w:t xml:space="preserve"> в 1942 году оперативная сводка Совинформбюро:</w:t>
      </w:r>
    </w:p>
    <w:p w14:paraId="50EE455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«Танкисты Энского батальона (Северо-Западный фронт) в течение мая уничтожили 16 немецких орудий, 17 миномётов, 32 пулемёта, 10 автомашин, штабной автобус, разрушили 67 ДЗОТов. В результате боевых действий танкистов противник потерял убитыми более 300 солдат и офицеров.» (14907).</w:t>
      </w:r>
    </w:p>
    <w:p w14:paraId="5FE756F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90081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30 мая 1942 вступили в бой Ил-2 226-й </w:t>
      </w:r>
      <w:r w:rsidRPr="008127F8">
        <w:rPr>
          <w:rFonts w:ascii="Times New Roman" w:hAnsi="Times New Roman"/>
          <w:iCs/>
          <w:color w:val="000000" w:themeColor="text1"/>
          <w:sz w:val="16"/>
          <w:szCs w:val="16"/>
        </w:rPr>
        <w:t xml:space="preserve">шад </w:t>
      </w:r>
      <w:r w:rsidRPr="008127F8">
        <w:rPr>
          <w:rFonts w:ascii="Times New Roman" w:hAnsi="Times New Roman"/>
          <w:color w:val="000000" w:themeColor="text1"/>
          <w:sz w:val="16"/>
          <w:szCs w:val="16"/>
        </w:rPr>
        <w:t xml:space="preserve">п-ка М.И.Горлаченко в составе 504-го и 800-го </w:t>
      </w:r>
      <w:r w:rsidRPr="008127F8">
        <w:rPr>
          <w:rFonts w:ascii="Times New Roman" w:hAnsi="Times New Roman"/>
          <w:iCs/>
          <w:color w:val="000000" w:themeColor="text1"/>
          <w:sz w:val="16"/>
          <w:szCs w:val="16"/>
        </w:rPr>
        <w:t>шап,</w:t>
      </w:r>
      <w:r w:rsidRPr="008127F8">
        <w:rPr>
          <w:rFonts w:ascii="Times New Roman" w:hAnsi="Times New Roman"/>
          <w:color w:val="000000" w:themeColor="text1"/>
          <w:sz w:val="16"/>
          <w:szCs w:val="16"/>
        </w:rPr>
        <w:t xml:space="preserve"> прибывшие на пополнение ВВС фронта 24 мая. В 7.15 6 Ил-2 800-го </w:t>
      </w:r>
      <w:r w:rsidRPr="008127F8">
        <w:rPr>
          <w:rFonts w:ascii="Times New Roman" w:hAnsi="Times New Roman"/>
          <w:iCs/>
          <w:color w:val="000000" w:themeColor="text1"/>
          <w:sz w:val="16"/>
          <w:szCs w:val="16"/>
        </w:rPr>
        <w:t>шап</w:t>
      </w:r>
      <w:r w:rsidRPr="008127F8">
        <w:rPr>
          <w:rFonts w:ascii="Times New Roman" w:hAnsi="Times New Roman"/>
          <w:color w:val="000000" w:themeColor="text1"/>
          <w:sz w:val="16"/>
          <w:szCs w:val="16"/>
        </w:rPr>
        <w:t xml:space="preserve"> (ведущий к-н П.А.Русаков) нанесли весьма эффек</w:t>
      </w:r>
      <w:r w:rsidRPr="008127F8">
        <w:rPr>
          <w:rFonts w:ascii="Times New Roman" w:hAnsi="Times New Roman"/>
          <w:color w:val="000000" w:themeColor="text1"/>
          <w:sz w:val="16"/>
          <w:szCs w:val="16"/>
        </w:rPr>
        <w:softHyphen/>
        <w:t>тивный бомбоштурмовой удар по аэро</w:t>
      </w:r>
      <w:r w:rsidRPr="008127F8">
        <w:rPr>
          <w:rFonts w:ascii="Times New Roman" w:hAnsi="Times New Roman"/>
          <w:color w:val="000000" w:themeColor="text1"/>
          <w:sz w:val="16"/>
          <w:szCs w:val="16"/>
        </w:rPr>
        <w:softHyphen/>
        <w:t>дрому Курск-Западный, на котором на</w:t>
      </w:r>
      <w:r w:rsidRPr="008127F8">
        <w:rPr>
          <w:rFonts w:ascii="Times New Roman" w:hAnsi="Times New Roman"/>
          <w:color w:val="000000" w:themeColor="text1"/>
          <w:sz w:val="16"/>
          <w:szCs w:val="16"/>
        </w:rPr>
        <w:softHyphen/>
        <w:t xml:space="preserve">ходилось до 40 самолетов противника. Прикрытие обеспечивали 10 ЛаГГ-3 из 31-го </w:t>
      </w:r>
      <w:r w:rsidRPr="008127F8">
        <w:rPr>
          <w:rFonts w:ascii="Times New Roman" w:hAnsi="Times New Roman"/>
          <w:iCs/>
          <w:color w:val="000000" w:themeColor="text1"/>
          <w:sz w:val="16"/>
          <w:szCs w:val="16"/>
        </w:rPr>
        <w:t>иап.</w:t>
      </w:r>
      <w:r w:rsidRPr="008127F8">
        <w:rPr>
          <w:rFonts w:ascii="Times New Roman" w:hAnsi="Times New Roman"/>
          <w:color w:val="000000" w:themeColor="text1"/>
          <w:sz w:val="16"/>
          <w:szCs w:val="16"/>
        </w:rPr>
        <w:t xml:space="preserve"> Подход к цели и уход от нее осуществлялся на предельно малой вы</w:t>
      </w:r>
      <w:r w:rsidRPr="008127F8">
        <w:rPr>
          <w:rFonts w:ascii="Times New Roman" w:hAnsi="Times New Roman"/>
          <w:color w:val="000000" w:themeColor="text1"/>
          <w:sz w:val="16"/>
          <w:szCs w:val="16"/>
        </w:rPr>
        <w:softHyphen/>
        <w:t>соте. Удар производился в одном захо</w:t>
      </w:r>
      <w:r w:rsidRPr="008127F8">
        <w:rPr>
          <w:rFonts w:ascii="Times New Roman" w:hAnsi="Times New Roman"/>
          <w:color w:val="000000" w:themeColor="text1"/>
          <w:sz w:val="16"/>
          <w:szCs w:val="16"/>
        </w:rPr>
        <w:softHyphen/>
        <w:t>де вдоль стоянок немецких самолетов с выскакиванием на высоту 100-150 м. Несмотря на сильный огонь зенитной артиллерии, "Илы" и поддержавшие их атаку ЛаГГи (ввиду отсутствия в районе цели истребителей противника) по док</w:t>
      </w:r>
      <w:r w:rsidRPr="008127F8">
        <w:rPr>
          <w:rFonts w:ascii="Times New Roman" w:hAnsi="Times New Roman"/>
          <w:color w:val="000000" w:themeColor="text1"/>
          <w:sz w:val="16"/>
          <w:szCs w:val="16"/>
        </w:rPr>
        <w:softHyphen/>
        <w:t>ладам экипажей уничтожили и повреди</w:t>
      </w:r>
      <w:r w:rsidRPr="008127F8">
        <w:rPr>
          <w:rFonts w:ascii="Times New Roman" w:hAnsi="Times New Roman"/>
          <w:color w:val="000000" w:themeColor="text1"/>
          <w:sz w:val="16"/>
          <w:szCs w:val="16"/>
        </w:rPr>
        <w:softHyphen/>
        <w:t>ли до 15 самолетов Люфтваффе. Своих потерь не было (6467).</w:t>
      </w:r>
    </w:p>
    <w:p w14:paraId="336292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9F0C7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вступили в бой Ил-2 226-й ШАД п-ка М.Й.Горлаченко в составе 504-го и 800-ro ШАП, прибывших на пополнение ВВС фронта 24 мая, и истребители 206-й НАД п-ка Срывкина В.А. в составе 31-го, 515-го и 876-го ИАП. В 7.156 Ил-2 800-го ШАП (ведущий к-н П.А.Русаков) нанесли весьма эффективный бомбоштурмовой удар по аэродрому Курск-Западный, на котором находилось до 40 самолетов противника. Прикрытие обеспечивали 10 ЛаГГ-3 из 31-го ИАП. Подход к цели и УХОД от нее осуществлялся на предельно малой высоте. Удар производился в один заход вдоль стоянок немецких самолетов с выскакиванием на высоту 100-150 м. Несмотря на сильный огонь зенитной артиллерии, Илы и поддержавшие их атаку ЛаГГи уничтожили и повредили (по докладам экипажей) до 15 немецких самолетов. В отличие от штурмовиков, вернувшихся без потерь, сопровождающие ЛаГГи 31-го полка потеряли два самолета - в бою с Me-109 был сбит и спасся на парашюте к-н Краснов и пропал без вести после воздушного боя л-т Быстров.</w:t>
      </w:r>
    </w:p>
    <w:p w14:paraId="5BAE07F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тяжелом положении, в котором оказались советские войска под Харьковом, вспоминал Маршал Авиации Иван Иванович Пстыго, бывший в ту пору заместителем командира авиаэскадрильи 504-го ШАП: “Из-под Харькова сперва солдатский телеграф, а затем и официальные сводки приносили недобрые вести. Несколько дней наши войска на определенном участке фронта деиствительно теснили врага и продвигались вперед. Но тем самым они влезали в подготовленный противником мешок, который ему затем удалюсь “завязать”. Положение отгадывалось трагическое. В окружении оказалось много наших войск. Они несли огромные, бессмысленные потери и с тяжелыми боями пробивались на восток, к основным нашим силам. В те дни майор Болдырихин и объявил полку, что наша дивизия поступает в распоряжение командующего ВВС Юго-Западного фронта генерала Т.Т.Хрюкпна. Вскоре наш 504-и штурмовой перевели на полевую тыогаадку несколько южнее Уразова. Некоторое время всем полком летсиш сбрасывать мешки с сухарями оказавшимся в окружении войскам. Я лично сделал восемь вылетов под завязку груженный сухарями” (9394,16).</w:t>
      </w:r>
    </w:p>
    <w:p w14:paraId="3E75A8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CE927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в бой вступила 226-я шад полковника М. И. Горлаченко в составе 504-го и 800-го штурмовых авиаполков. В период с 7.15 до 7.20 6 Ил-2 от 800-го шап (ведущий капитан Русаков) нанесли весьма эффективный удар по аэродрому Курск-Западный, на котором находилось до 40 самолетов. Прикрытие обеспечивали 10 ЛаГГ-3 от 31-го иап. Несмотря на сильный зенитный огонь, штурмовики и поддержавшие их атаку летчики ЛаГГ-3 уничтожили и повредили до 15 самолетов Люфтваффе. На обратном пути ЛаГГи вели тяжелый бой с истребителями противника. Был сбит, но остался жив, капитан Краснов. Пропал без вести лейтенант Быстрое. Штурмовики потерь не имели (12020).</w:t>
      </w:r>
    </w:p>
    <w:p w14:paraId="09D6AA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5D184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вышло Постановление ГКО № 1838 Об усилении радиосредств штабов фронтов и армий и улучшении радиосвязи на фронтах. (7036, 237).</w:t>
      </w:r>
    </w:p>
    <w:p w14:paraId="0D78B58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D7F6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года вышел ПРИКАЗ СТАВКИ ВЕРХОВНОГО ГЛАВНОКОМАНДОВАНИЯ №00107 ОБ УЛУЧШЕНИИ ИСПОЛЬЗОВАНИЯ РАДИОСВЯЗИ ДЛЯ ОБЕСПЕЧЕНИЯ БЕСПЕРЕБОЙНОГО УПРАВЛЕНИЯ ВОЙСКАМИ</w:t>
      </w:r>
    </w:p>
    <w:p w14:paraId="7A1EF2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неоднократные требования Ставки об улучшении использования радиосвязи для обеспечения бесперебойного управления войсками с помощью радио, опыт последних боев (Крымский, Южный и Юго-Западный фронты) показывает, что:</w:t>
      </w:r>
    </w:p>
    <w:p w14:paraId="10381D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Радиосвязь, являющаяся основным и очень часто единственным средством связи и управления войсками в условиях современной войны, используется крайне плохо и большинством командиров и штабов игнорируется.</w:t>
      </w:r>
    </w:p>
    <w:p w14:paraId="53C18C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Имеющиеся в распоряжении штабов фронтов и армий радиостанции часто не используются, даже при отсутствии проводной связи, радиостанции отстают от штабов, отрываются от командования, не имеют при себе оперативных работников и шифровальщиков.</w:t>
      </w:r>
    </w:p>
    <w:p w14:paraId="4347F3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Командующие армиями и командиры дивизий не заботятся о том, чтобы при них всегда находились радиостанции, при помощи которых они могли бы управлять войсками и информировать о своих действиях высшие штабы. Более того, многие командующие армиями и командиры дивизий из-за боязни обнаружить место нахождения своих штабов запрещают работу радиостанций.</w:t>
      </w:r>
    </w:p>
    <w:p w14:paraId="3A5E170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Указанные причины, как правило, приводят к нарушению связи с высшими штабами и потере управления войсками.</w:t>
      </w:r>
    </w:p>
    <w:p w14:paraId="46A6A6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Отмечая совершенно недопустимое отношение к использованию радиосвязи со стороны военных советов фронтов и армий, Ставка Верховного Главнокомандования приказывает:</w:t>
      </w:r>
    </w:p>
    <w:p w14:paraId="02584F4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Военным советам фронтов и армий:</w:t>
      </w:r>
    </w:p>
    <w:p w14:paraId="10E6E2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решительно покончить с недооценкой радиосвязи и независимо от обстановки обеспечить бесперебойное управление войсками и непрерывную радиосвязь с </w:t>
      </w:r>
      <w:r w:rsidRPr="008127F8">
        <w:rPr>
          <w:rFonts w:ascii="Times New Roman" w:hAnsi="Times New Roman"/>
          <w:color w:val="000000" w:themeColor="text1"/>
          <w:sz w:val="16"/>
          <w:szCs w:val="16"/>
        </w:rPr>
        <w:lastRenderedPageBreak/>
        <w:t>высшими штабами;</w:t>
      </w:r>
    </w:p>
    <w:p w14:paraId="049AF4D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на основных командных пунктах, а при движении в колоннах штабов, иметь не менее 2 радиостанций типа РАФ или РСБ для связи с высшим штабом и управления своими войсками;</w:t>
      </w:r>
    </w:p>
    <w:p w14:paraId="47B076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ответственность за непрерывную связь с высшим штабом и систематическую информацию по радио о своих действиях возложить лично на начальников штабов фронтов и армий;</w:t>
      </w:r>
    </w:p>
    <w:p w14:paraId="57D0897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закрепить за' радиостанциями, работающими с высшим штабом, начиная от штаба дивизии, постоянного оперативного работника и не менее двух шифровальщиков, которые обязаны безотлучно находиться и обеспечивать на месте обработку поступающих боевых документов.</w:t>
      </w:r>
    </w:p>
    <w:p w14:paraId="763598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Фамилии прикрепляемых к радиостанциям оперативных командиров штаба должны быть известны высшему штабу, с которыми работает данная радиостанция;</w:t>
      </w:r>
    </w:p>
    <w:p w14:paraId="011DE3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для обслуживания радиостанций, работающих с высшими штабами, выделить лучших радистов 1-го класса.</w:t>
      </w:r>
    </w:p>
    <w:p w14:paraId="72B35D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 целях обеспечения устойчивой связи командующих армий с высшими штабами, в случае выхода из строя автомобильных радиостанций и невозможности заменить их другими, начальнику Главного управления связи Красной Армии:</w:t>
      </w:r>
    </w:p>
    <w:p w14:paraId="66225D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 срок до 15.06.42 г. выделить в личное распоряжение каждого командующего армией по две переносных радиостанции типа “Север” для связи их со штабами фронтов, а внутри армий для связи с дивизиями организовать дополнительную радиосвязь с помощью радиостанций РБ;</w:t>
      </w:r>
    </w:p>
    <w:p w14:paraId="4F5806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для обслуживания указанных радиостанций отобрать по два высококвалифицированных радиста и одному среднему командиру, которых ввести в штат полевых управлений армий.</w:t>
      </w:r>
    </w:p>
    <w:p w14:paraId="7EF67E4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указанными радиостанциями закрепить распоряжением военных советов армий по два опытных и проверенных шифровальщика.</w:t>
      </w:r>
    </w:p>
    <w:p w14:paraId="51566BF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 получением настоящего приказа военным советам армий выделить для перевозки радиостанций типа “Север” радистов и шифровальщиков, специальные автомашины с тем, чтобы указанная группа радистов и шифровальщиков находилась при командарме при всех его передвижениях.</w:t>
      </w:r>
    </w:p>
    <w:p w14:paraId="7B79A3C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ввести по телеграфу. Исполнение донести.</w:t>
      </w:r>
    </w:p>
    <w:p w14:paraId="048DAF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Ставка Верховного Главнокомандования</w:t>
      </w:r>
    </w:p>
    <w:p w14:paraId="4A96E01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И. СТАЛИН</w:t>
      </w:r>
    </w:p>
    <w:p w14:paraId="191FCC3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ВАСИЛЕВСКИЙ </w:t>
      </w:r>
      <w:r w:rsidRPr="008127F8">
        <w:rPr>
          <w:rFonts w:ascii="Times New Roman" w:hAnsi="Times New Roman"/>
          <w:color w:val="000000" w:themeColor="text1"/>
          <w:sz w:val="16"/>
          <w:szCs w:val="16"/>
        </w:rPr>
        <w:t>(9844).</w:t>
      </w:r>
    </w:p>
    <w:p w14:paraId="73E9349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9449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авиация немцев пыталась нанести массированный удар по судам, направлявшимся в Кольский залив, Сделала 330 вылетов, но прорвалось только 6. Сбили 9 (438,845).</w:t>
      </w:r>
    </w:p>
    <w:p w14:paraId="57D26F2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FF3C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из-за нелепой ошибки зенитчиков, прикрывавших аэродром Кратово, при заходе на посадку был сбит Ер-2 голубая "1". Погиб экипаж пилота Калинина (3322,24).</w:t>
      </w:r>
    </w:p>
    <w:p w14:paraId="60B0B0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69FB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в 00:30 союзный конвой PQ-16 разделился на две группы: шесть транспортов и несколько кораблей охранения взяли курс на Архангельск, а основная часть конвоя направилась в Мурманск. В это время на смену дальним истребителям Пе-3 95 АП пришли летчики 2 ГК АП и 78 ИАП. Ранним утром конвой уже находился в зоне действия нашей авиации. Хорошая видимость и большое количество транспортов, вынужденных растянуться и выстроиться в длинную колонну для прохода по протраленному фарватеру Кильдинского плеса, создавали благоприятные условия для атаки конвоя вражеской авиацией. В этот день командование 5-го Воздушного флота Люфтваффе и предприняло последнюю попытку атаковать конвой. До этого дня караваны судов в течение нескольких суток подвергались систематическим налетам авиации и торпедным атакам подводных лодок. Всего из состава конвоя в английской зоне было потоплено шесть транспортов и одно судно ПВО, четыре транспорта получили повреждения, один из них вскоре также затонул. В ночь с 29 на 30 мая и в течение всего дня Ju 88 KG 30 "Адлер" и Ju 87 из 1-й группы 5-й штурмовой эскадры под прикрытием "Мессершмиттов" наносили систематические удары по кораблям и транспортам PQ-16 на ближних и дальних подступах к Кольскому заливу. Всего было отмечено в налетах на конвой 16 Ju 87 и 27 Ju 88 под прикрытием 32 Bf 109 и Bf 110. Прикрытие осуществляли 16 Пе-3 и 64 "Харрикейна" и Р-40. Для противолодочного патрулирования были задействованы летающие лодки МБР-2 и ГСТ (3222,30).</w:t>
      </w:r>
    </w:p>
    <w:p w14:paraId="7DD229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958B9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30 мая по 9 июня 1942 в полосе от Пскова до Крыма провели удары по аэродромам (340,86).</w:t>
      </w:r>
    </w:p>
    <w:p w14:paraId="3E1A08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B320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г. летчиками 2 ГК АП, 78 ИАП и 95 АП было совершено 149 самолето-вылетов и заявлено об уничтожении в районе конвоя 5 Ju 88 и 2 Bf 109, кроме того, предположительно, были сбиты еще 2 Ju 88 и 2 Bf 109. На боевые счета североморских летчиков было записано: три сбитых Ju 88 - гв. подполковнику Сафонову, по одному Ju 88 - гв. капитану Орлову, гв. старшему лейтенанту Покровскому и летчику 95 АП лейтенанту Стрельцову. На аэродром не вернулись три наших истребителя. Немецкие источники подтверждают потерю 30 мая 1942 г. в районе конвоя одного самолета из 4./KG 30 "Adier" - Ju 88A-4 WNr.1760, экипаж числится в списках без вести пропавших. Один Ju 88D-5 WNr.430244 из 1-й эскадрильи 124 группы дальних разведчиков получил сильные повреждения, но самолет дотянул до аэродрома Хебуктен под Киркенесом и при посадке там потерпел аварию, экипаж удалось спасти (3222,31).</w:t>
      </w:r>
    </w:p>
    <w:p w14:paraId="7DFB802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6FFF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300 самолетов уничтожили 80% зданий Мурманска (1085,150).</w:t>
      </w:r>
    </w:p>
    <w:p w14:paraId="47BB1ED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9BDB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по постановлению ГКО при ставке ВГК образовали Центральный штаб партизанского движения (3398,197).</w:t>
      </w:r>
    </w:p>
    <w:p w14:paraId="263AE8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E646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был образован Центральный штаб партизанского движения (1094,23).</w:t>
      </w:r>
    </w:p>
    <w:p w14:paraId="691CDA9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FAD01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под руководством А. Сабурова создана “Группа объединенных партизанских отрядов Украины” (4962).</w:t>
      </w:r>
    </w:p>
    <w:p w14:paraId="3B0CBD4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C6CB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вышло Постановление ГКО № 1837 Вопросы партизанского движения. РГАНИР, Фонд ГКО, д. 36, лл. 235-236 (11012).</w:t>
      </w:r>
    </w:p>
    <w:p w14:paraId="4F678AC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4400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по решению ГКО при Ставке был создан Центральный штаб партизанского движения (512,231).</w:t>
      </w:r>
    </w:p>
    <w:p w14:paraId="15C7E9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ACE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года был создан Центральный Штаб партизанского движения (ЦШПД) при Ставке ВГК (8983).</w:t>
      </w:r>
    </w:p>
    <w:p w14:paraId="03B219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9140F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Б.Сафонов погиб на Р-40 серо-голубого цвета N 10 (1840,22).</w:t>
      </w:r>
    </w:p>
    <w:p w14:paraId="797557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Связь по радио Сафонов всегда держал хорошо. И в этот раз он также передавал сигналы и донесения на командный пункт полка: "Заметил противника, иду в атаку". Затем вскоре передал: "Одного сбил". Через несколько минут сообщил: "Двух трахнул", а еще через несколько минут: "Бью третьего". После короткой паузы: "Прикрой хвост, иду на вынужденную посадку, поврежден мотор". Эта последняя фраза была принята в 10:42. По докладу эскадренного миноносца "Сокрушительный", в 10:45 один "Киттихок" с высоты 300-200 метров на расстоянии около 30 каб. от корабля перешел в отвесное пике, врезался в воду и мгновенно утонул. Отправленный на место падения самолета эскадренный миноносец "Куйбышев" искал летчика около трех часов, но ничего не обнаружил (3222,32).</w:t>
      </w:r>
    </w:p>
    <w:p w14:paraId="25BD30B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 Ганс Мюллер (в действительности - оберфельдфебель Рудольф Мюллер (Rudolf Muller) из 6./JG 5) был вынужден сесть на лед Средне-Ваенгского озера, а затем взят в плен. При его допросе, на котором мне пришлось присутствовать вместе с И.С.Житинским, стали очевидны обстоятельства гибели дважды Героя Советского Союза Б.Ф. Сафонова. Оказывается, когда завопили о помощи фашистские бомбардировщики и торпедоносцы, с аэродрома Луостари были подняты одноместные истребители, среди которых был и Мюллер. Это он, прилетев на о. Килъдин для перехвата наших самолетов, заметил возвращающийся самолет "Киттихок" и сбил его. В то время на самолете "Киттихок" летал только Б. Ф. Сафонов..." (3222,32).</w:t>
      </w:r>
    </w:p>
    <w:p w14:paraId="6603CCE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D898A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30 мая</w:t>
      </w:r>
      <w:r w:rsidRPr="008127F8">
        <w:rPr>
          <w:rFonts w:ascii="Times New Roman" w:hAnsi="Times New Roman"/>
          <w:color w:val="000000" w:themeColor="text1"/>
          <w:sz w:val="16"/>
          <w:szCs w:val="16"/>
        </w:rPr>
        <w:t xml:space="preserve"> в 1942 году немецкие войска перерезали коридор, по которому осуществлялся отвод войск 2-й Ударной Армии Ленинградского фронта на восток, и завершил их окружение в районе Мясной Бор (14907).</w:t>
      </w:r>
    </w:p>
    <w:p w14:paraId="226422B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695AD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671E0B9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AEAD2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утром ТБ- 7 прибыл в Вашингтон, пролетев за 15 часов 22 минуты 4700 километров. Весь перелет из Москвы в Вашингтон занял почти одинна</w:t>
      </w:r>
      <w:r w:rsidRPr="008127F8">
        <w:rPr>
          <w:rFonts w:ascii="Times New Roman" w:hAnsi="Times New Roman"/>
          <w:color w:val="000000" w:themeColor="text1"/>
          <w:sz w:val="16"/>
          <w:szCs w:val="16"/>
        </w:rPr>
        <w:softHyphen/>
        <w:t>дцать дней, полетное время составило 30 часов 46 минут. Здесь они были приглашены в Белый дом на встречу с президентом США Ф.Д. Рузвель</w:t>
      </w:r>
      <w:r w:rsidRPr="008127F8">
        <w:rPr>
          <w:rFonts w:ascii="Times New Roman" w:hAnsi="Times New Roman"/>
          <w:color w:val="000000" w:themeColor="text1"/>
          <w:sz w:val="16"/>
          <w:szCs w:val="16"/>
        </w:rPr>
        <w:softHyphen/>
        <w:t>том. Тем временем на аэродроме занялись ремонтом корабля. Особую проблему вызва</w:t>
      </w:r>
      <w:r w:rsidRPr="008127F8">
        <w:rPr>
          <w:rFonts w:ascii="Times New Roman" w:hAnsi="Times New Roman"/>
          <w:color w:val="000000" w:themeColor="text1"/>
          <w:sz w:val="16"/>
          <w:szCs w:val="16"/>
        </w:rPr>
        <w:softHyphen/>
        <w:t>ла ободранная покрышка колеса шасси. Так как подходящей по форме и размеру покрыш</w:t>
      </w:r>
      <w:r w:rsidRPr="008127F8">
        <w:rPr>
          <w:rFonts w:ascii="Times New Roman" w:hAnsi="Times New Roman"/>
          <w:color w:val="000000" w:themeColor="text1"/>
          <w:sz w:val="16"/>
          <w:szCs w:val="16"/>
        </w:rPr>
        <w:softHyphen/>
        <w:t>ки в США не было, ее отправили специальным самолетом на завод фирмы «Гудрич» для ремонта. 3 июня она была доставлена обрат</w:t>
      </w:r>
      <w:r w:rsidRPr="008127F8">
        <w:rPr>
          <w:rFonts w:ascii="Times New Roman" w:hAnsi="Times New Roman"/>
          <w:color w:val="000000" w:themeColor="text1"/>
          <w:sz w:val="16"/>
          <w:szCs w:val="16"/>
        </w:rPr>
        <w:softHyphen/>
        <w:t>но на аэродром в Вашингтон. На месте, где была содрана резина, на заводе поставили резиновые заплатки, причем каждая заплат</w:t>
      </w:r>
      <w:r w:rsidRPr="008127F8">
        <w:rPr>
          <w:rFonts w:ascii="Times New Roman" w:hAnsi="Times New Roman"/>
          <w:color w:val="000000" w:themeColor="text1"/>
          <w:sz w:val="16"/>
          <w:szCs w:val="16"/>
        </w:rPr>
        <w:softHyphen/>
        <w:t>ка была отмечена фирменным знаком «Гуд</w:t>
      </w:r>
      <w:r w:rsidRPr="008127F8">
        <w:rPr>
          <w:rFonts w:ascii="Times New Roman" w:hAnsi="Times New Roman"/>
          <w:color w:val="000000" w:themeColor="text1"/>
          <w:sz w:val="16"/>
          <w:szCs w:val="16"/>
        </w:rPr>
        <w:softHyphen/>
        <w:t>рич»-для рекламы (19936).</w:t>
      </w:r>
    </w:p>
    <w:p w14:paraId="7635146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D5C4A1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Рузвельт встретился с экипажем Э.К.Пуссепа (1103,228).</w:t>
      </w:r>
    </w:p>
    <w:p w14:paraId="089462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9771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2FEE21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9A1F0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30 мая</w:t>
      </w:r>
      <w:r w:rsidRPr="008127F8">
        <w:rPr>
          <w:rFonts w:ascii="Times New Roman" w:hAnsi="Times New Roman"/>
          <w:color w:val="000000" w:themeColor="text1"/>
          <w:sz w:val="16"/>
          <w:szCs w:val="16"/>
        </w:rPr>
        <w:t xml:space="preserve"> в 1942 году был готов первый </w:t>
      </w:r>
      <w:hyperlink r:id="rId41" w:tgtFrame="_blank" w:history="1">
        <w:r w:rsidRPr="008127F8">
          <w:rPr>
            <w:rFonts w:ascii="Times New Roman" w:hAnsi="Times New Roman"/>
            <w:color w:val="000000" w:themeColor="text1"/>
            <w:sz w:val="16"/>
            <w:szCs w:val="16"/>
          </w:rPr>
          <w:t xml:space="preserve">«B-17F» </w:t>
        </w:r>
      </w:hyperlink>
      <w:r w:rsidRPr="008127F8">
        <w:rPr>
          <w:rFonts w:ascii="Times New Roman" w:hAnsi="Times New Roman"/>
          <w:color w:val="000000" w:themeColor="text1"/>
          <w:sz w:val="16"/>
          <w:szCs w:val="16"/>
        </w:rPr>
        <w:t>(№ 41-24340), то есть всего через два дня после прекращения производства модели «Е». Из-за большого числа относительно небольших изменений, постоянно представлявшихся на серийных «B-17F», была введена схема обозначения блока производства. Такая схема значительно облегчала работу частей технического обслуживания в полевых условиях, которым пригодилось обслуживать большое количество «B-17F». Первые 50 «B-17F» получили обозначение «B-17F-1-BO», следующие 50 – «B-17F-5-BO», последующие 50 машин – «B-17F-10-BO». «Boeing» изготовил всего 2300 «B-17F», последний блок производства имел номер «B-17F-130-BO». Главная «B-17E» и отличался лишь цельноштампованным коническим прозрачным носовым обтекателем. Носовой обтекатель не имел оплетки, за исключением заключенной в раму прозрачной плоской панели бомбоприцела. Однако имелись более чем 400 не видимых внешне внутренних изменений, предназначенных для повышения боевой эффективности бомбардировщика. На самолете применили наружные бомбодержатели, широколопастные винты «Hamilton Standard», установили усовершенствованную кислородную систему и пылевые фильтры на воздухозаборниках карбюраторов. Также на самолете появилась новая шаровая турель, усиленное шасси, дублированная тормозная система, дополнительное фотооборудование, электронная связь между автопилотом и бомбоприцелом Norden, дополнительная шаро-гнездовая пулеметная установка в носу. Изменения претерпела и силовая установка самолета: были установлены двигатели «Wright Cyclone» новой модели «R-1820-97», которые развивали военную кратковременную чрезвычайную мощность 1380 л.с. В связи с установкой новых винтов пришлось изменить капоты двигателей. Еще одним важным нововведением стали протектированные масляные баки двигателей. Усиленное шасси и увеличенная мощность двигателей позволили увеличить максимальный взлетный вес с 65000 фунтов до 72000 фунтов (14907).</w:t>
      </w:r>
    </w:p>
    <w:p w14:paraId="7CA62E8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E53039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Первый полет модифицированного B-17F Flying Fortress. B-17F-1-BO 41-24340 был первым из новой серии знаменитого бомбардировщика второй мировой войны. В то время как визуально практически ничем не отличается от B-17E, он имел более 400 улучшений на основе раннего опыта военного времени с B-17D и B-17E (22485).</w:t>
      </w:r>
    </w:p>
    <w:p w14:paraId="21BCE9D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7644D0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30 мая</w:t>
      </w:r>
      <w:r w:rsidRPr="008127F8">
        <w:rPr>
          <w:rFonts w:ascii="Times New Roman" w:hAnsi="Times New Roman"/>
          <w:color w:val="000000" w:themeColor="text1"/>
          <w:sz w:val="16"/>
          <w:szCs w:val="16"/>
        </w:rPr>
        <w:t xml:space="preserve"> в 1942 году американская армия официально приняла вертолет </w:t>
      </w:r>
      <w:hyperlink r:id="rId42" w:tgtFrame="_blank" w:history="1">
        <w:r w:rsidRPr="008127F8">
          <w:rPr>
            <w:rFonts w:ascii="Times New Roman" w:hAnsi="Times New Roman"/>
            <w:color w:val="000000" w:themeColor="text1"/>
            <w:sz w:val="16"/>
            <w:szCs w:val="16"/>
          </w:rPr>
          <w:t xml:space="preserve">«XR-4». </w:t>
        </w:r>
      </w:hyperlink>
      <w:r w:rsidRPr="008127F8">
        <w:rPr>
          <w:rFonts w:ascii="Times New Roman" w:hAnsi="Times New Roman"/>
          <w:color w:val="000000" w:themeColor="text1"/>
          <w:sz w:val="16"/>
          <w:szCs w:val="16"/>
        </w:rPr>
        <w:t>Военные испытатели официально признали его надежным и безопасным для полетов. Это был огромный успех в истории вертолетостроения. Поражает и другое. Машина была принята через 14 месяцев после подписания контракта, а с момента первого подъема в воздух прошло всего четыре с половиной месяца. Так быстро не доводились до практического использования даже самолеты, для создания которых имелась солидная база прежних наработок. В ходе государственных испытаний, завершившихся в январе 1943-го, на «XR-4» установили шесть неофициальных рекордов: скорости - 129 км/ч, высоты с одним (3650 м) и с двумя пилотами - 2800 м, дальности -180 км и скороподъемности 3,9 м/с при взлетном весе 1090 кг (14907).</w:t>
      </w:r>
    </w:p>
    <w:p w14:paraId="0DEBD08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AAC5DE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30 мая</w:t>
      </w:r>
      <w:r w:rsidRPr="008127F8">
        <w:rPr>
          <w:rFonts w:ascii="Times New Roman" w:hAnsi="Times New Roman"/>
          <w:color w:val="000000" w:themeColor="text1"/>
          <w:sz w:val="16"/>
          <w:szCs w:val="16"/>
        </w:rPr>
        <w:t xml:space="preserve"> в 1942 году включение Люксембурга в состав Германии (14907).</w:t>
      </w:r>
    </w:p>
    <w:p w14:paraId="319A647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B0D205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30–31 мая (ночь) 1942 Командование бомбардировщиков Королевских ВВС проводит операцию «Миллениум» - свой первый «налет тысячи бомбардировщиков», в ходе которого 1047 британских бомбардировщиков атаковали Кельн, Германия, в результате чего 480 человек погибли и 5000 человек были ранены, 13000 домов были разрушены, а 30 000 человек получили ранение. Сорок один бомбардировщик потерян. Еще 57 британских самолетов действуют в качестве ночных истребителей при поддержке атаки. Армстронг Whitworth Уитли, изъятые из бомбардировочного командования месяцем ранее, участвует в бомбежке в последний раз, так как Whitleys заимствованы из тренировочных подразделений для рейда.</w:t>
      </w:r>
    </w:p>
    <w:p w14:paraId="119F88A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049FB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May 30th, 1942: The RAF launches its first "Thousand Bomber Raid" against Cologne: 1,046 heavy bombers drop 1,455 tons of bombs, destroying 600 acres of built-up area, killing 486 civilians and making 59,000 people homeless (3819).</w:t>
      </w:r>
    </w:p>
    <w:p w14:paraId="2138DA3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D18FF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30 May 1942 (30-31-May) First RAF 1000 raid on Germany (270), on Cologne, Germany (1050).</w:t>
      </w:r>
    </w:p>
    <w:p w14:paraId="631535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FA2716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с 30 на 31 мая 1942 состоялся первый рейд 1000 (1047 - 2245,4) английских бомбардировщиков на Германию (270) и летали бомбить Кельн (1050).</w:t>
      </w:r>
    </w:p>
    <w:p w14:paraId="55E518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F5DDB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30 мая</w:t>
      </w:r>
      <w:r w:rsidRPr="008127F8">
        <w:rPr>
          <w:rFonts w:ascii="Times New Roman" w:hAnsi="Times New Roman"/>
          <w:color w:val="000000" w:themeColor="text1"/>
          <w:sz w:val="16"/>
          <w:szCs w:val="16"/>
        </w:rPr>
        <w:t xml:space="preserve"> в 1942 году первый из налетов "тысячи бомбардировщиков" британской авиации на Германию (ночь на 31 мая; бомбардировка Кельна) (14907).</w:t>
      </w:r>
    </w:p>
    <w:p w14:paraId="0346D25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F00949F" w14:textId="77777777" w:rsidR="007C5583" w:rsidRPr="008127F8" w:rsidRDefault="007C5583" w:rsidP="007C5583">
      <w:pPr>
        <w:pStyle w:val="a4"/>
        <w:rPr>
          <w:color w:val="000000" w:themeColor="text1"/>
          <w:lang w:val="ru-RU"/>
        </w:rPr>
      </w:pPr>
      <w:r w:rsidRPr="008127F8">
        <w:rPr>
          <w:color w:val="000000" w:themeColor="text1"/>
          <w:lang w:val="ru-RU"/>
        </w:rPr>
        <w:t>В ночь с 30 на 31 мая 1942 г. 1047 английских самолётов вылетели на Кёльн. Цели достигло около 900 машин, они сбросили 1350 тонн фугасных и 460 000 штук зажигатель</w:t>
      </w:r>
      <w:r w:rsidRPr="008127F8">
        <w:rPr>
          <w:color w:val="000000" w:themeColor="text1"/>
          <w:lang w:val="ru-RU"/>
        </w:rPr>
        <w:softHyphen/>
        <w:t>ных бомб. Вскоре к разрушению городов подключились и ВВС США - в отличие от Королевских ВВС янки летали днём. С каждым месяцем интенсивность налётов возрастала (15841).</w:t>
      </w:r>
    </w:p>
    <w:p w14:paraId="64526E01" w14:textId="77777777" w:rsidR="007C5583" w:rsidRPr="008127F8" w:rsidRDefault="007C5583" w:rsidP="007C5583">
      <w:pPr>
        <w:pStyle w:val="a4"/>
        <w:rPr>
          <w:color w:val="000000" w:themeColor="text1"/>
          <w:lang w:val="ru-RU"/>
        </w:rPr>
      </w:pPr>
    </w:p>
    <w:p w14:paraId="49530F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с 30 на 31 мая 1942 немецкие бомбардировщики бомбили Кентебери (2245,4).</w:t>
      </w:r>
    </w:p>
    <w:p w14:paraId="12930E5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99B6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на 30 мая 1942 г. «Ланкастеры» участвовали в налете 1000 бомбардировщиков на Кельн; правда, большую часть использованных в операции самолетов составляли двухмоторные «Хэмпдены», «Вел-лингтоны» («Wellington») и «Уитли» («Whit-ley»). Применялись «Ланкастеры» и в дневных налетах для обеспечения точного бомбометания . Так, 17 апреля 1942 г. двенадцать самолетов из 44-й и 97-й эскадрилий атаковали верфь фирмы MAN в Аугсбурге, где собирались подводные лодки. Плотный строй «Ланкастеров», шедших днем на небольшой высоте без прикрытия, представлял отличную мишень для истребителей Люфтваффе и зенитчиков. Неудивительно, что потери оказались значительными -7 бомбардирощиков из 12 обратно не вернулись. 3наменитый «Ланкастер» - несомненно лучший английский бомбардировщик времен второй мировой войны. Именно на долю этих машин приходится более 600000 тонн бомб, сброшенных по целям в Германии с 1942 по 1945 г. Среди других английских тяжелых бомбардировщиков «Ланкастер» отличает не только крупная серия (выпустили около 7300 экземпляров), но и тот факт, что только четырехмоторный самолет фирмы «Авро» поднимал самую большую бомбу-«Грэнд Cn3M»(«GrandSlam») весом почти в 10 тонн (11860).</w:t>
      </w:r>
    </w:p>
    <w:p w14:paraId="59F3CF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7DF3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мая 1942 Люксембург был включен в состав немецкого рейха (3186).</w:t>
      </w:r>
    </w:p>
    <w:p w14:paraId="6FED752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B408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2CA96F7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2559D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мая 1942 вышел приказ НКАП N 414с:</w:t>
      </w:r>
    </w:p>
    <w:p w14:paraId="62F5008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исполнение постановления ГКО N ГОКО-1826с от 29 мая 1942:</w:t>
      </w:r>
    </w:p>
    <w:p w14:paraId="6C22DA8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 ПГУ Шиц и директору завода 292 Левину с 4 июня выпускать самолеты Як-1 только с М-105ПФ и с измененной входной частью туннеля водорадиатора" (1559,39).</w:t>
      </w:r>
    </w:p>
    <w:p w14:paraId="1026DE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36F7E4"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31 мая 1942 года Начальником ГУВГМЧ СВГК КА инженер-полковника Кузнецова была подписана справка о технических данных 303 мм реактивного снаряда М-30 БМ, в которой указаны следующин данные снаряда: вес окончательно снаряженного снаряда - 82 кг; объем камеры для ВВ или ОВ - 19,7 литра, дальность - 2550 м. В примечании указано, что ракетная часть была взята от существовавшего снаряда М-13 (15981).</w:t>
      </w:r>
    </w:p>
    <w:p w14:paraId="5DD0AAE9"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p>
    <w:p w14:paraId="293998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21A0B5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5CC9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мая 1942 г. состоялся пожар на складе мобилизационного запаса ГСНИИ-42 (нынешний ГСНИИОХТ, г. Москва) (9067).</w:t>
      </w:r>
    </w:p>
    <w:p w14:paraId="5BB58D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F295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мая 1942 вышло Постановление ГКО № 1839 О плане производства и поставок патронов заводами Наркомата вооружения в июне 1942 года. РГАНИР, Фонд ГКО, д. 36, лл. 238-239, 240-243 (11012).</w:t>
      </w:r>
    </w:p>
    <w:p w14:paraId="1B53C52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BF8F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мая 1942 вышло Постановление ГКО № 1840 О плане производства металла на июнь 1942 г. РГАНИР, Фонд ГКО, д. 36, лл. 244-256 (11012).</w:t>
      </w:r>
    </w:p>
    <w:p w14:paraId="0AF9F0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9E33A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 31 мая 1942 года КБ завода №183 подготовило эскизный проект «модернизации танка Т-34». Судя по описанию из объяснительной записки к проекту, данная разработка стала результатом нескольких итераций работ. Иногда можно слышать, что разработка КБ-520, возглавляемая А.А. Морозовым, велась в инициативном </w:t>
      </w:r>
      <w:r w:rsidRPr="008127F8">
        <w:rPr>
          <w:rFonts w:ascii="Times New Roman" w:hAnsi="Times New Roman"/>
          <w:color w:val="000000" w:themeColor="text1"/>
          <w:sz w:val="16"/>
          <w:szCs w:val="16"/>
        </w:rPr>
        <w:lastRenderedPageBreak/>
        <w:t>порядке (об этом осенью 1942 года писал сам Морозов). Тем не менее то, что новый Т-34М не являлся инициативной разработкой, можно понять и по дальнейшему развитию событий. Не соответствует действительности и индекс Т-43, который Морозов якобы применил к новой разработке. Данное обозначение появилось существенно позже.</w:t>
      </w:r>
    </w:p>
    <w:p w14:paraId="1D2FAA0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объяснительной записке, от Т-34 заимствовался в общей сложности 21 пункт узлов и агрегатов. Без изменений брались двигатель, водяные радиаторы (за исключением коллектора), воздухоочистители «Циклон», главный фрикцион, КПП, бортовые фрикционы, бортовые передачи и тормозные ленты. Эти пункты могут сбить некоторых исследователей с толку. Во-первых, «Циклоны» на заводе №183 в то время ещё не ставились (единственным заводом, где на тот момент внедрили данные воздухоочистители, был СТЗ). Во-вторых, Морозов противоречит сам себе в отношении КПП. Дело в том, что далее по тексту следует: на Т-34М ставилась пятискоростная коробка передач, при этом испытания такой КПП на Т-34 начались только летом 1942 года.</w:t>
      </w:r>
    </w:p>
    <w:p w14:paraId="489A1EF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объяснительной записке, применение пятискоростной КПП обеспечивало лучшую динамику танка. Среди других узлов и агрегатов, которые брались с Т-34, оказалось электрооборудование, сиденья, инструменты, ящики снарядных укладок, ленивцы, опорные катки и траки. Отчасти оказалась унифицирована торсионная подвеска, но уже с другим проектом — артиллерийским тягачом АТ-45, который разрабатывался как замена «Ворошиловцу».</w:t>
      </w:r>
    </w:p>
    <w:p w14:paraId="5BA2B67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Первым существенным изменением нового Т-34М по сравнению с машиной 1941 года стал корпус. При сохранении того же угла наклона верхней лобовой плиты и наличии балки корпус конструктивно оказался сильно другим. От рациональных углов наклона корпуса отказались, что позволило снизить габариты и скомпенсировать рост толщины брони. Полная ширина корпуса оказалась меньше на 296 мм, на 78 мм он стал ниже и на 176 мм — короче. Диаметр башенного погона уменьшили до 1420 мм, то есть до диаметра погона обычного Т-34. Чтобы разместить башню, на крыше корпуса появились характерные выступы. Механик-водитель переместился вправо, а от стрелка-радиста и вовсе отказались.</w:t>
      </w:r>
    </w:p>
    <w:p w14:paraId="0C3E805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Курсовой пулемёт при этом сохранили, он находился справа от механика-водителя. Большой люк механика-водителя убрали, вместо него в верхнем лобовом листе корпуса разместили небольшой смотровой лючок. Теперь механик-водитель выбирался из отделения управления через башню. Изменилась и конструкция моторно-трансмиссионного отделения – по бортам появились «уши» воздухозаборников, выхлопные трубы также вывели вбок, существенно изменилась конструкция надмоторной плиты и верхнего кормового листа. Вслед за корпусом существенно изменилась конструкция крыльев и брызговиков, по бортам разместили большие ящики ЗИП. Одним словом, от Т-34М образца 1941 года осталось совсем немного.</w:t>
      </w:r>
    </w:p>
    <w:p w14:paraId="54CE81A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Существенно отличалась от Т-34М 1941 года и конструкция башни. Помимо того, что башня стала двухместной, а диаметр погона составил 1420 мм, изменился конструктивный подход. От выступающей неподвижной бронировки орудийной установки отказались, башня снова стала «единой». Вместо сварной подвижной бронировки орудийной системы её решили делать литой единой деталью. Аналогично корпусу, башня стала чуть меньше (точнее, ниже — на 100 мм). Следует также отметить, что и башню, и корпус максимально упрощали, снижался и общий объём применяемых деталей. В случае с серийным Т-34 использовалось 8118 деталей, а на Т-34М их число сократилось до 5985, причём доля новых деталей оказалась не столь и высокой — 1282 штуки.</w:t>
      </w:r>
    </w:p>
    <w:p w14:paraId="115049F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всех изменений Т-34М стал короче серийного танка на 145 мм, на 250 мм уже и на 94 мм ниже. Боекомплект сократился до 64 патронов калибра 76 мм и 35 дисков к пулемёту ДТ. При этом танк стал на 1,8 т тяжелее, достигнув боевой массы 30 т — причиной тому стал резкий рост защиты. Толщина лба и бортов корпуса выросла до 75 мм, а башни — до 90 мм. В результате танк стал едва ли не более защищённым, чем КВ-1. Особенно это касалось лобовой части корпуса, которая за счёт большого угла наклона лобового листа потенциально обеспечивала защиту от немецкой противотанковой пушки 7,5 cm Pak 40 со всех дистанций. Для производства корпусов планировалось использовать катаные листы из стали 8С. Несмотря на рост боевой массы, в КБ-520 считали, что динамические характеристики машины будут близки к серийному Т-34 (18420).</w:t>
      </w:r>
    </w:p>
    <w:p w14:paraId="50327D5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72F07FD" w14:textId="77777777" w:rsidR="00695EC5" w:rsidRPr="008A2E5A" w:rsidRDefault="00695EC5" w:rsidP="00695E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31 мая 1942 года был подготовлен "Проект модернизации Т-34", как он указывался в объяснительной записке. Создавался он если не с чистого листа, то, как уже говорилось, от Т-34М лета 1941 года осталось немного. В основу модернизации легли четыре требования. Это максимальное повышение броневой защиты, сохранение динамики Т-34, обеспечение полной надежности агрегатов и максимальное использование деталей серийного Т-34. Последний пункт повлиял на танк наиболее сильно. Всего от Т-34 планировалось использовать 21 элемент, включая двигатель (на Т-34М весны 1941 года планировался 600-сильный В-5, далее вернули В-2-34), КПП, воздухоочистители, некоторые элементы ходовой части, электрооборудование, часть внутренних элементов башни и отделения управления. Правда, по некоторым пунктам авторы проекта модернизации явно лукавили. 5-скоростная КПП действительно стояла в планах еще с начала 1942 года. Но по состоянию на конец мая 1942 года она еще в серии не находилась. Да и воздухочистители "Циклон" на тагильских Т-34 не стояло - только на сталинградской продукции. В любом случае, такая высокая унификация не могла не повлиять на конструкцию танка.</w:t>
      </w:r>
    </w:p>
    <w:p w14:paraId="22524336" w14:textId="77777777" w:rsidR="00695EC5" w:rsidRPr="008A2E5A" w:rsidRDefault="00695EC5" w:rsidP="00695E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Особенно унификация повлияла на башню. Еще в 1940 году появилось требование на расширение башенного погона до 1600 мм в свету. Далее в Т-34М прописался командир, как третий номер расчета башни. Так вот, у Т-34М весны 1942 года, как и у КВ-13, башня стала двухместной. Причем диаметр погона у тагильского танка стал 1420 мм, то есть как у штатной башни Т-34. От съемной установки орудия отказались, что было верным решением. В таком виде она представляла собой ослабленную зону. Переделали и установку орудия, теперь подвижная бронировка была литой конструкции. С одной стороны, башню упростили, а с другой, ее конструкция была улучшена.</w:t>
      </w:r>
    </w:p>
    <w:p w14:paraId="48E94156" w14:textId="77777777" w:rsidR="00695EC5" w:rsidRPr="008A2E5A" w:rsidRDefault="00695EC5" w:rsidP="00695E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Если башня выглядела как эволюционное развитие, то про корпус такое не сказать. С Т-34 и Т-34М у него было мало общего. Требование повысить броневую защиту означало, что масса танка вырастет. В результате было решено пойти на ряд вынужденных решений. От наклонных бортов подбашенной коробки отказались, что позволило снизить габаритную ширину корпуса и сэкономить массу. По сравнению с Т-34 корпус стал короче на 120 мм и уже на 230 мм. Это было крайне актуально, поскольку толщина листов корпуса выросла с 45 до 75 мм, а башни - с 52 до 90 мм. То есть теперь толщина брони оказалась равна КВ-1, причем лоб корпуса оказался защищен даже лучше. За счет рациональных углов наклона стойкость верхней лобовой детали оказалась выше, чем у "ступенчатого" лба КВ-1. Масса танка выросла, но незначительно - до 30 тонн. Серийный Т-34, кстати, вскоре добрался до этой планки.</w:t>
      </w:r>
    </w:p>
    <w:p w14:paraId="377C6E76" w14:textId="77777777" w:rsidR="00695EC5" w:rsidRPr="008A2E5A" w:rsidRDefault="00695EC5" w:rsidP="00695E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Изменилась не только конфигурация корпуса. Под башню сделали уширители (выступы), иначе организовали систему циркуляции воздуха в МТО, да и само моторное отделение сильно изменилось. Система с лобовыми листами, имеющими центральную балку, осталась. Но от люка механика-водителя отказались, теперь у него имелся только смотровой лючок. Стрелка-радиста из корпуса убрали, а механика-водителя снова сместили вправо (так упрощалось размещение тяг управления). Курсовой пулемет сохранили - теперь он неподвижно стоял в районе механика-водителя.</w:t>
      </w:r>
    </w:p>
    <w:p w14:paraId="3BA68620" w14:textId="77777777" w:rsidR="00695EC5" w:rsidRPr="008A2E5A" w:rsidRDefault="00695EC5" w:rsidP="00695E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Возможный сменщик КВ, которого притормозили</w:t>
      </w:r>
    </w:p>
    <w:p w14:paraId="7E744A9E" w14:textId="77777777" w:rsidR="00695EC5" w:rsidRPr="008A2E5A" w:rsidRDefault="00695EC5" w:rsidP="00695E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Результатом работы КБ завода №183 стал танк, который выглядел крайне интересно. Причем не только с точки зрения замены Т-34. Есть мнение, что третья итерация Т-34М создавалась под влиянием процессов, которые начались ближе к весне 1942 года. Связаны они, как не странно, с КВ-1. Выяснилось, что танк перегружен, а попытки поднять его подвижность, за счет более мощного мотора, привели к отрицательным результатам. Испытания проходили в феврале 1942 года, а КВ-13 стали разрабатывать с марта. Не исключено, что и Т-34М третьей итерации появился по итогам схожего задания. Есть распространенное мнение, что КВ-13 создавался для замены, в том числе, Т-34. Это не так, а вот то, что как минимум к началу июня Т-34М стали рассматривать и как замену КВ-1, вполне факт.</w:t>
      </w:r>
    </w:p>
    <w:p w14:paraId="4E5F9D2A" w14:textId="77777777" w:rsidR="00695EC5" w:rsidRPr="008A2E5A" w:rsidRDefault="00695EC5" w:rsidP="00695E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Первым делом проект модернизации Т-34 показали в ГАБТУ КА. Примерно в это же время прошла демонстрация КВ-13. Можно сказать, что ГАБТУ и руководство НКТП (а именно от него исходила инициатива по работам) нашли друг другая (23824).</w:t>
      </w:r>
    </w:p>
    <w:p w14:paraId="451D2136" w14:textId="77777777" w:rsidR="00695EC5" w:rsidRPr="008A2E5A" w:rsidRDefault="00695EC5" w:rsidP="00695EC5">
      <w:pPr>
        <w:spacing w:after="0" w:line="240" w:lineRule="auto"/>
        <w:jc w:val="both"/>
        <w:rPr>
          <w:rFonts w:ascii="Times New Roman" w:hAnsi="Times New Roman"/>
          <w:color w:val="0070C0"/>
          <w:sz w:val="16"/>
          <w:szCs w:val="16"/>
        </w:rPr>
      </w:pPr>
    </w:p>
    <w:p w14:paraId="3BFE7E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2D4966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ED10D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31 мая</w:t>
      </w:r>
      <w:r w:rsidRPr="008127F8">
        <w:rPr>
          <w:rFonts w:ascii="Times New Roman" w:hAnsi="Times New Roman"/>
          <w:color w:val="000000" w:themeColor="text1"/>
          <w:sz w:val="16"/>
          <w:szCs w:val="16"/>
        </w:rPr>
        <w:t xml:space="preserve"> в 1942 году утреннее сообщение Совинформбюро:</w:t>
      </w:r>
    </w:p>
    <w:p w14:paraId="68ABDC9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31 мая на Изюм-Барвенковском направлении наши войска вели оборонительные бои с танками и пехотой противника.</w:t>
      </w:r>
    </w:p>
    <w:p w14:paraId="243BBBC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существенных изменений не произошло.</w:t>
      </w:r>
    </w:p>
    <w:p w14:paraId="229F3FA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Калининского фронта наши части заняли важные рубежи противника. Стремясь вернуть потерянные позиции, немцы подтянули крупные резервы и в течение трёх дней неоднократно предпринимали контратаки, которые были отбиты с большими для них потерями. На поле боя осталось до 1.100 вражеских трупов. Взяты пленные. Сбиты два немецких самолёта. На другом участке фронта в результате двухдневного ожесточённого боя гитлеровцы потеряли убитыми более 500 солдат и офицеров. На этом же участке подбито 2 немецких танка.</w:t>
      </w:r>
    </w:p>
    <w:p w14:paraId="525976E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Ленинградокого фронта, разрушили несколько вражеских ДЗОТов и блиндажей, уничтожили 12 станковых пулемётов и 2 миномёта. Противник потерял убитыми свыше 200 солдат и офицеров.</w:t>
      </w:r>
    </w:p>
    <w:p w14:paraId="4D34681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Звено советских истребителей под командованием майора И.Гейба прикрывало боевые порядки наших войск. Неожиданно в воздухе появилась группа немецких самолётов. Наши лётчики смело атаковали и рассеяли самолёты противника. Майор Гейба сбил немецкий истребитель «Мессершмит-109» и бомбардировщик «Юнкерс-88». Наши лётчики потерь не имели.</w:t>
      </w:r>
    </w:p>
    <w:p w14:paraId="6E894BA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Танковый экипаж тов. Абашкина на днях .в бою с противником уничтожил 4 немецких танка.</w:t>
      </w:r>
    </w:p>
    <w:p w14:paraId="24296DE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снайперов подразделения тов. Белова за последние 2 месяца истребила 170 немецких солдат и офицеров. Руководитель этой группы т. Хохлов и снайпер т. Христиченко уничтожили по 31 гитлеровцу, снайпер т. Бычков — 23, т. Серёгин— 21, т. Воронцов — 19 гитлеровцев.</w:t>
      </w:r>
    </w:p>
    <w:p w14:paraId="646A6ED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«Лазо», действующий в одном из оккупированных немцами районов Смоленской области, в течение трёх дней вёл бой с крупными силами противника. Партизаны отбили несколько атак немецких частей и нанесли врагу серьёзный урон. Немецко-фашистские оккупанты потеряли убитыми 300 солдат и офицеров.</w:t>
      </w:r>
    </w:p>
    <w:p w14:paraId="622C11B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Добровольно сдавшийся в плен финский капрал Лайне рассказал: «В Финляндии многие тюрьмы переполнены дезертирами с фронта. Солдаты не хотят воевать. В некоторых частях были случаи коллективного отказа итти в бой. Финская армия испытывает острый недостаток в обмундировании. Всем мобилизованным в армию приказано явиться на сборные пункты со своей одеждой и обувью. Призванный получает только френч и ремень. Немцы постепенно прибирают всё к своим рукам. В Хельсинки имеется даже специальная немецкая полиция. Это вызывает еще большее возмущение финского населения и финских солдат».</w:t>
      </w:r>
    </w:p>
    <w:p w14:paraId="4FB075D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Немецко-фашистские мерзавцы превращают мирных жителей оккупированных советских районов в бесправных рабов. В селе Задонецкое, Харьковской области, гитлеровцы заставляют колхозников пахать землю, запрягая в плуг по 10—12 мужчини женщин. Работа длится с раннего утра до поздней ночи. За невыход в поле немцы накладывают штраф в 300 рублей и подвергают публичной порке.</w:t>
      </w:r>
    </w:p>
    <w:p w14:paraId="3FA69E1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Продовольственное положение Германии продолжает ухудшаться. Фашистская печать подготовляет население к новому сокращению продовольственных норм. Газета «Националь социалистише ландпост» сообщает, что «урожай этого года не улучшит продовольственного положения Германии. Вследствие необычайно больших холодов, нынешней зимой погибло значительно больше посевов, чем в прошлые годы». Огромные площади земель остались незасеянными. Скудные продовольственные запасы в стране иссякают. Во многих городах население не получает даже и половины установленной нормы выдачи хлеба.</w:t>
      </w:r>
    </w:p>
    <w:p w14:paraId="760AB28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Трудящиеся Казахской республики coбрали и отправили бойцам и трудящимся Ленинграда 135 вагонов продовольственных подарков. В числе подарков 310 тонн мяса, 400 тонн муки, 60 тонн крупы, 47 тонн риса, 30 тонн сушёных фруктов, масло, сало, яйца, сухари и другие продукты.» (14908).</w:t>
      </w:r>
    </w:p>
    <w:p w14:paraId="1370331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2650D5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31 мая</w:t>
      </w:r>
      <w:r w:rsidRPr="008127F8">
        <w:rPr>
          <w:rFonts w:ascii="Times New Roman" w:hAnsi="Times New Roman"/>
          <w:color w:val="000000" w:themeColor="text1"/>
          <w:sz w:val="16"/>
          <w:szCs w:val="16"/>
        </w:rPr>
        <w:t xml:space="preserve"> в 1942 году вечернее сообщение Совинформбюро:</w:t>
      </w:r>
    </w:p>
    <w:p w14:paraId="09BD927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31 мая на фронте ничего существенного не произошло.</w:t>
      </w:r>
    </w:p>
    <w:p w14:paraId="48A9444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уточнённым данным, за 29 мая уничтожено не 94 немецких самолёта, как об этом сообщалось ранее, а 143.</w:t>
      </w:r>
    </w:p>
    <w:p w14:paraId="20AD88E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Нашими кораблями и авиацией в Чёрном море потоплен транспорт противника водоизмещением в 8.000 тонн и в Финском заливе потоплены тральщик и транспорт противника.</w:t>
      </w:r>
    </w:p>
    <w:p w14:paraId="3C6AAED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30 мая частями нашей авиации на разных участках фронта уничтожено или повреждено 11 немецких танков, 70 автомашин с войскам и грузами, 45 повозок с боеприпасами, 12 автоцистерн с горючим, радиостанция, 16 полевых и зенитных орудий, 11 зенитно-пулемётных точек, разбито 32 железнодорожных вагона и паровоз, взорвано 2 склада с боеприпасами, рассеяно и частью уничтожено до восьми рот пехоты противника.</w:t>
      </w:r>
    </w:p>
    <w:p w14:paraId="63C301B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Ленинградского фронта батальон немецких автоматчиков пытался обойти наши подразделения, которыми командуют тт. Педа и Варанов. Нанеся врагу большой урон ружейно-пулемётным огнём, наши бойцы перешли в контратаку. В рукопашной схватке противник был отброшен с большими для него потерями. Только у переднего края обороны наши бойцы насчитали 160 вражеских трупов.</w:t>
      </w:r>
    </w:p>
    <w:p w14:paraId="4B24BFF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подразделения, действующего на Южном фронте, уничтожили 6немецких танков, несколько миномётов и пулемётов и не менее 150 немецких солдат и офицеров.</w:t>
      </w:r>
    </w:p>
    <w:p w14:paraId="5BE61AD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наших бойцов под командованием лейтенанта Дежкова заминировала дорогу, соединяющую два опорных пункта немецкой обороны. На следующий день на минах взорвался проходивший по дороге немецкий танк.</w:t>
      </w:r>
    </w:p>
    <w:p w14:paraId="25A059F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смоленских партизан «Смерть фашизму» под командованием тов. С. уничтожил немецкий танк, 5 автомашин, трактор-тягач и 35 гитлеровцев.</w:t>
      </w:r>
    </w:p>
    <w:p w14:paraId="13A8F50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4 немецкой танковой дивизии Иозеф С. рассказал: «В конце1940 года меня, в числе тысячи поляков, послали на принудительные работы в Германию, на строительство фабрики в Дудерштадте. Жили мы в лагере, обнесенном проволокой, кормили нас отбросами и гнилью. За 3 месяца от голода и болезней в лагере умерло около 90 человек. Через некоторое время я был призван в германскую армию. У меня не было никакого желания служить немцам, поработившим мою родину. Недавно, когда солдаты, строившие блиндажи, пошли обедать, я лесом направился в сторону русских. По дороге встретил красноармейца, отдал ему свой карабин и предъявил советскую листовку».</w:t>
      </w:r>
    </w:p>
    <w:p w14:paraId="53CC2D1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немецкого обер-ефрейтора Гимпела найдено неотправленное письмо к жене. В нём он писал: «...Вчера я присутствовал на похоронах 24 товарищей нашего полка. Среди них было три офицера. Когда мы сюда пришли, то похоронили 6 солдат, а через несколько дней число убитых солдат выросло до сотни. Больно и страшно сознавать, что всё больше и больше товарищей никогда не вернётся на родину...».</w:t>
      </w:r>
    </w:p>
    <w:p w14:paraId="5AEB6DC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немецкого лагеря военнопленных, расположенного близ города Луги, бежало 5 красноармейцев. Они рассказали о чудовищных издевательствах гитлеровцев над пленными красноармейцами. Немцы морят пленных голодом. Многие из них настолько ослабли, что не в состоянии передвигаться. За малейший проступок фашистские людоеды подвергают красноармейцев неслыханным мучениям и казни. Однажды за пропажу доски был наказан весь лагерь. Пленных заставили лечь в болото и долгое время не разрешали подниматься. Одного из красноармейцев немецкие изверги повесили челюстями на крючок и не снимали в течение нескольких дней.» (14908).</w:t>
      </w:r>
    </w:p>
    <w:p w14:paraId="14DF46A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3588521" w14:textId="77777777" w:rsidR="0002436F" w:rsidRPr="008A2E5A" w:rsidRDefault="0002436F" w:rsidP="0002436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 мая 1942 г. известный впоследст</w:t>
      </w:r>
      <w:r w:rsidRPr="008A2E5A">
        <w:rPr>
          <w:rFonts w:ascii="Times New Roman" w:hAnsi="Times New Roman"/>
          <w:color w:val="0070C0"/>
          <w:sz w:val="16"/>
          <w:szCs w:val="16"/>
        </w:rPr>
        <w:softHyphen/>
        <w:t>вии ас Амет-Хан Султан, расстреляв все патроны, таранил своим самолетом Харрикейн Ju 88. Истребитель ударился о немецкий бом</w:t>
      </w:r>
      <w:r w:rsidRPr="008A2E5A">
        <w:rPr>
          <w:rFonts w:ascii="Times New Roman" w:hAnsi="Times New Roman"/>
          <w:color w:val="0070C0"/>
          <w:sz w:val="16"/>
          <w:szCs w:val="16"/>
        </w:rPr>
        <w:softHyphen/>
        <w:t>бардировщик снизу, крыло вражеской ма</w:t>
      </w:r>
      <w:r w:rsidRPr="008A2E5A">
        <w:rPr>
          <w:rFonts w:ascii="Times New Roman" w:hAnsi="Times New Roman"/>
          <w:color w:val="0070C0"/>
          <w:sz w:val="16"/>
          <w:szCs w:val="16"/>
        </w:rPr>
        <w:softHyphen/>
        <w:t>шины смяло фонарь «Харрикейна», зажав пилота в кабине. Самолеты сцепились. Амет-Хану удалось отжать свой истреби</w:t>
      </w:r>
      <w:r w:rsidRPr="008A2E5A">
        <w:rPr>
          <w:rFonts w:ascii="Times New Roman" w:hAnsi="Times New Roman"/>
          <w:color w:val="0070C0"/>
          <w:sz w:val="16"/>
          <w:szCs w:val="16"/>
        </w:rPr>
        <w:softHyphen/>
        <w:t>тель руками, а затем выпрыгнуть из поко</w:t>
      </w:r>
      <w:r w:rsidRPr="008A2E5A">
        <w:rPr>
          <w:rFonts w:ascii="Times New Roman" w:hAnsi="Times New Roman"/>
          <w:color w:val="0070C0"/>
          <w:sz w:val="16"/>
          <w:szCs w:val="16"/>
        </w:rPr>
        <w:softHyphen/>
        <w:t>реженной машины (23513).</w:t>
      </w:r>
    </w:p>
    <w:p w14:paraId="75F7F077" w14:textId="77777777" w:rsidR="0002436F" w:rsidRPr="008A2E5A" w:rsidRDefault="0002436F" w:rsidP="0002436F">
      <w:pPr>
        <w:spacing w:after="0" w:line="240" w:lineRule="auto"/>
        <w:jc w:val="both"/>
        <w:rPr>
          <w:rFonts w:ascii="Times New Roman" w:hAnsi="Times New Roman"/>
          <w:color w:val="0070C0"/>
          <w:sz w:val="16"/>
          <w:szCs w:val="16"/>
        </w:rPr>
      </w:pPr>
    </w:p>
    <w:p w14:paraId="54A5787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31 мая по 4 июня 1942г. воздушную операцию по уничтожению немецкой авиа</w:t>
      </w:r>
      <w:r w:rsidRPr="008127F8">
        <w:rPr>
          <w:rFonts w:ascii="Times New Roman" w:hAnsi="Times New Roman"/>
          <w:color w:val="000000" w:themeColor="text1"/>
          <w:sz w:val="16"/>
          <w:szCs w:val="16"/>
        </w:rPr>
        <w:softHyphen/>
        <w:t>ции проводили ВВС Юго-Заподный фронт. В течение чсмырех суток 15 наиболее важных спродромов против</w:t>
      </w:r>
      <w:r w:rsidRPr="008127F8">
        <w:rPr>
          <w:rFonts w:ascii="Times New Roman" w:hAnsi="Times New Roman"/>
          <w:color w:val="000000" w:themeColor="text1"/>
          <w:sz w:val="16"/>
          <w:szCs w:val="16"/>
        </w:rPr>
        <w:softHyphen/>
        <w:t>ника подвергались ударам. Было выполне</w:t>
      </w:r>
      <w:r w:rsidRPr="008127F8">
        <w:rPr>
          <w:rFonts w:ascii="Times New Roman" w:hAnsi="Times New Roman"/>
          <w:color w:val="000000" w:themeColor="text1"/>
          <w:sz w:val="16"/>
          <w:szCs w:val="16"/>
        </w:rPr>
        <w:softHyphen/>
        <w:t>но 550 боевых вылетов (10783).</w:t>
      </w:r>
    </w:p>
    <w:p w14:paraId="6B0A346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8869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31 мая по 4 июня 1942 ВВС ЮЗФ провели воздушную операцию по уничтожению авиации противника на аэродромах. Бомбили 15 аэродромов (Основа, Рогань, Ахтырка, Чугуев, Полтава) и за 550 вылетов только во время дневных налетов 3 и 4 июня уничтожили 62 самолета (519,74).</w:t>
      </w:r>
    </w:p>
    <w:p w14:paraId="693D40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ED279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мая 1942 утром экипажи 800-го шап отработали по аэродрому Курск-Восточный, на котором базировалось до 50 бомбардировщиков Люфтваффе.</w:t>
      </w:r>
    </w:p>
    <w:p w14:paraId="3E1577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следующих 10 суток авиация Юго-Западного фронта нанесла три удара по шести немецким аэродромам. По трем из них работали штурмовики фронта.</w:t>
      </w:r>
    </w:p>
    <w:p w14:paraId="5887A60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ударов по аэродромам, штурмовики Ил-2 пытались остановить бомбоштурмовыми ударами танковые и моторизованные группы противника в районах Моспа- нова, Волчий Яр, Михайловка, Граково и переправ через реки Северский Донец, Тавол- жанка и Старица. Однако ничего из этого не получалось. Более того, в самих действиях штурмовиков фронта имелись серьезные просчеты, резко снижающие их боевую эффективность.</w:t>
      </w:r>
    </w:p>
    <w:p w14:paraId="66F8EB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качестве основных недостатков командующий авиацией Юго-Западного фронта генерал Фалалеев указывал следующие: "а) Стремление действовать мелкими группами. ...В этом одна из наших главных ошибок. Малочисленная группа в воздухе сковывалась противником, теряла инициативу в бою, рассыпалась, несла потери за счет одиночно действующих самолетов, г) Бомбардировщики и штурмовики не применяют маневра при атаках истребителей противника, идут по прямой, растягивают строй и нарушают огневое взаимодействие... д) ...Атака целей производится, как правило, с одного захода, боеприпасы сбрасываются залпом... ж) Наши штурмовики и бомбардировщики не всегда в первую очередь атакуют танки как основное и главное оружие противника, нередко предпочитают атаке танков удары по автомашинам, подводам и другим менее важным целям... з) Предполетная подготовка поставлена плохо. Постановка задач нечеткая, неконкретная. Как правило, перед полетом командирами полков указывается только район цели и какие экипажи пойдут на выполнение данной задачи, и) Должной ответственности за выполнение боевых задач командиры полков и соединений не чувствуют. Причины потерь не анализируются и не выясняются. За потери, явившиеся результатом плохой предполетной подготовки и боевого полета, а также огневого взаимодействия, командиры подразделений и полков к ответственности не привлекаются..." (12020).</w:t>
      </w:r>
    </w:p>
    <w:p w14:paraId="767A02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C237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мая 1942 Командующий ВВС КА в директиве писал: "Управление истребителями заключается не только в том, чтобы выделить наряд сил и проследить за их своевременным вылетом, а управление состоит главным образом в том, чтобы своевременно вводить в бой дополнительные силы истребителей, чем и завоевать господство в воздухе." Далее в отношении командующих ВА и командиров соединений, чтобы они: "организовали наблюдение за воздушной обстановкой на поле боя и обеспечили наведение и управление боем с земли по радио." (518,279).</w:t>
      </w:r>
    </w:p>
    <w:p w14:paraId="52E23D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4C4C2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мая 1942 немцы завершили окружение советских армий под Харьковым - одно из крупнейших поражений СССР в войне (4962).</w:t>
      </w:r>
    </w:p>
    <w:p w14:paraId="26122B6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1770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мая 1942 г. вышел ПРИКАЗ НКО №0439 ОБ УПРАЗДНЕНИИ ГЛАВНОГО УПРАВЛЕНИЯ ПВО ТЕРРИТОРИИ СТРАНЫ</w:t>
      </w:r>
    </w:p>
    <w:p w14:paraId="78362C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улучшения руководства войсками противовоздушной обороны территории страны приказываю:</w:t>
      </w:r>
    </w:p>
    <w:p w14:paraId="516793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Главное управление противовоздушной обороны территории страны, существующее по штату №01/208, упразднить, а входящие в него управления и отделы подчинить непосредственно Военному совету войск противовоздушной обороны территории страны.</w:t>
      </w:r>
    </w:p>
    <w:p w14:paraId="0DA4200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 связи с упразднением Главного управления противовоздушной обороны территории страны:</w:t>
      </w:r>
    </w:p>
    <w:p w14:paraId="6C6CA5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на заместителя командующего войсками ПВО территории страны по боевой подготовке и ВУЗ возложить руководство управлением боевой подготовки, отделом ВУЗ и стрелково-тактическим комитетом;</w:t>
      </w:r>
    </w:p>
    <w:p w14:paraId="1F2252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на заместителя командующего войсками ПВО территории страны по вооружению и материально-техническому обеспечению возложить руководство Управлением вооружения, Управлением снабжения и строительства связи, отделом материально-технического обеспечения, инженерным отделом, отделом перевозок и научно-</w:t>
      </w:r>
      <w:r w:rsidRPr="008127F8">
        <w:rPr>
          <w:rFonts w:ascii="Times New Roman" w:hAnsi="Times New Roman"/>
          <w:color w:val="000000" w:themeColor="text1"/>
          <w:sz w:val="16"/>
          <w:szCs w:val="16"/>
        </w:rPr>
        <w:lastRenderedPageBreak/>
        <w:t>исследовательским отделом.</w:t>
      </w:r>
    </w:p>
    <w:p w14:paraId="02D1BF9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Военного комиссара Главного управления ПВО территории страны считать военным комиссаром вооружения и материально-технического обеспечения войск ПВО территории страны.</w:t>
      </w:r>
    </w:p>
    <w:p w14:paraId="43AF5B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Военного комиссара Управления боевой подготовки ПВО территории страны считать военным комиссаром боевой подготовки и ВУЗ ПВО территории страны.</w:t>
      </w:r>
    </w:p>
    <w:p w14:paraId="395D87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Заместитель Народного комиссара обороны армейским комиссар 1 ранга Е. ЩАДЕНКО </w:t>
      </w:r>
      <w:r w:rsidRPr="008127F8">
        <w:rPr>
          <w:rFonts w:ascii="Times New Roman" w:hAnsi="Times New Roman"/>
          <w:color w:val="000000" w:themeColor="text1"/>
          <w:sz w:val="16"/>
          <w:szCs w:val="16"/>
        </w:rPr>
        <w:t>(9844).</w:t>
      </w:r>
    </w:p>
    <w:p w14:paraId="542C765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488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мая 1942 отличился комэск 4-го ИАП л-т Амет-Хан Султан, таранивший на “Харрикейне” враже-ский самолет над Ярославлем и сумевший посадить свой истребитель. Это была первая победа будущего дважды Героя Советского Союза, сбившего к концу войны 30 самолетов. Германские архивы подтверждают гибель в тех местах дальнего разведчика Ju 88D-1 (w/n 1604, борт 5T+DL) изЗ.(Р)/Оbа1 (10205).</w:t>
      </w:r>
    </w:p>
    <w:p w14:paraId="36B8463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6BA6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Утром 31 мая 1942 на аэродроме 721-го ИАП в ожидании разрешения на вылет летчик Амет-хан Султан уточнял свой маршрут патрулирования над Ярославлем. Вдруг по радио раздалось:  «Тревога! Обнаружен одиночный Ю-88!» Запуск мотора, выруливание на взлетную полосу, короткий разбег, и «Харрикейн» скрылся за верхушками деревьев. Поднявшись в воздух, Амет-хан набрал высоту 7300 м, на которой обычно пролетали самолеты-разведчики, и стал барражировать в указанной зоне. Вскоре с юго-запада на фоне серо-голубого неба появился знакомый силуэт, стремительно увеличивающийся в размерах. Это был Ju-88D-1 W.Nr.1604 «T5+DL» из 3-й эскадрильи Aifkl.Gr.Ob.d.L, в то утро вылетевший на разведку в район Ярославль – Рыбинск – Рыбинское водохранилище. Амет-хан направил свой «Харрикейн» навстречу противнику и предпринял попытку атаковать «Юнкере» с фронта. Не имея серьезного боевого опыта, он еще издали открыл огонь сразу из всех пулеметов, выпустив впустую почти весь боезапас. Естественно, разведчик не получил никаких повреждений и, маневрируя, начал на большой скорости уходить. С большим трудом советскому летчику удалось развернуть машину, не потеряв при этом противника из виду, и вновь выйти в атаку, на этот раз с задней полусферы. Теперь Амет-хан открыл шквальный огонь по кабине бортстрелка и израсходовал оставшиеся патроны. После этого ничего не оставалось, как идти на таран либо вернуться на аэродром ни с чем. Однако первая попытка срезать винтом часть хвостового оперения «Юнкерса» не удалась. В последний момент немецкий пилот отвернул самолет. Тогда, разогнав «Харрикейн» до максимальной скорости, Амет-хан просто пошел на столкновение и прорезал крылом фюзеляж разведчика. При этом плоскость истребителя буквально воткнулась в него, и самолеты далее летели, уже сцепившись друг с другом! С трудом вывалившись из кабины, советский пилот удачно приземлился на левом берегу Волги. Немецкий экипаж тоже успел покинуть самолет, и четыре человека опустились в разных местах, кто в реку, кто в прибрежные камыши. Первым повезло меньше: как только они выбрались на берег, то были сразу же задержаны подоспевшими патрулями. Двое других скрылись в прибрежных лесах. Обломки самолетов рухнули на поля колхозников в пяти километрах северо-восточнее. В свой полк Амет-хан вернулся уже героем, а через несколько дней его пригласили в Ярославль. По пути в городской комитет обороны его привезли на центральную площадь, где для общего обозрения были выставлены остатки сбитого самолета. В горкомитете обороны Амет-хана встретили торжественно. Молодому летчику вручили грамоту «Почетный гражданин города Ярославля» и именные часы с надписью:  «Лейтенанту Красной Армии т. Аметхану Султану, геройски сбившему немецко-фашистский самолет. ОтЯрославского городского комитета обороны. 31. V. 1942 г.». В пропагандистских целях «Юнкере», сбитый 31 мая, был объявлен  «бомбардировщиком, летевшим бомбить Ярославль», в таком свете таран Амет-хана,  «спасшего мирный город от бомбежки», выглядел более значимым и героическим (11774).</w:t>
      </w:r>
    </w:p>
    <w:p w14:paraId="7ADA48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2C91B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мая 1942 в 01.36 в городе Горьком была объявлена воздушная тревога, и через пятнадцать минут на большой высоте появились немецкие самолеты, идущие двумя мелкими группами с разных направлений для того, чтобы уничтожить рембазу № 97. В 1942 г. западные союзники во всевозрастающих количествах стали поставлять СССР разнообразную технику и вооружение, в частности танки и бронемашины. Импортная бронетехника приходила через Мурманский и Владивостокский порты в законсервированном виде и потому не годилась к немедленной отправке на фронт. Основным центром по расконсервации американских и английских танков был, как обычно, выбран Горький. Здесь же формировались танковые части, вооруженные «Матильдами», «Валлентайнами», «Черчиллями», М-3, а потом и «Шерманами». Вся эта огромная работа проходила в основном на территории Автозаводского района. Здесь «иномарки» обкатывали, проводили на них учебные стрельбы и учения. Сюда же привозили на ремонт танки, поврежденные в боях. Весной существовавших площадок стало не хватать, и в начале мая по распоряжению замнаркома обороны в Горьком была создана так называемая рембаза № 97, расположившаяся на территории танкоремонтного завода ГАЗа на ул. Кирова. Возглавил «рембазу» некий майор Петровский. В целях секретности всякое упоминание об объекте в документах и постановлениях местной власти запрещалось, а сам центр подчинялся непосредственно Наркомату обороны. Выйдя на цель, пилоты Ju-88 начали атаку. В Автозаводском районе в разных местах прогремели более 20 взрывов, в т.ч. несколько бомб попали в танкоремонтный завод. Пострадали также прилегающие к нему кварталы. Высланные на разведку команды МПВО позднее установили, что одна бомба взорвалась в районе Щиткового поселка, около трамвайной остановки «ул. Кирова», вторая – на ул. Депутатской, третья и четвертая упали между домами № 46 и № 3 и около магазина на проспекте Молотова, пятая – у дома № 41 на проспекте Кирова. Еще две взорвались около дома № 45 по проспекту Молотова. Все эти здания получили повреждения разной степени. В 02.15 бомбежке подвергся Сормовский район, на который были сброшены 13 фугасных бомб. В результате в жилом секторе возникли несколько очагов пожаров, были убитые и раненые. Сигнал «Отбой ВТ» был дан уже на рассвете, в 03.15 по местному времени. Зенитные батареи вели заградительный огонь с перерывами, израсходовав 3800 снарядов. На следующую ночь налет повторился. В 00.40 в Горьком вновь была объявлена воздушная тревога, и вскоре в небе показались «Юнкерсы». Основной удар вновь наносился по танкоремонтному заводу и прилегающим объектам, на которые были сброшены 30 фугасных бомб. При этом пострадали сортировочная железнодорожная станция автозавода и аэродром Стригино. Несколько бомб упали на Дзержинск. Среди гражданского населения имелись убитые и раненые. Пострадали также линии электропередач, ведущие от Балахнинской ГРЭС. В 00.43 в районе подстанции 0-6 произошло отключение электроэнергии, вызванное обрывом ЛЭП и повреждением фидеров. Вскоре со станции были высланы ремонтные бригады для осмотра повреждений. При обходе участков под линиями они обнаружили воронки диаметром от четырех до восьми метров. Повреждения получили ЛЭП №№ ПО, 112,117. Наперехват бомбардировщиков были подняты два МиГ-3 из 722-го ИАП, однако обнаружить противника им не удалось. 1 июня над Горьким прошел немецкий самолет-разведчик, который сфотографировал Автозаводский район. Полученные его экипажем снимки подтвердили, что цель была поражена (11774).</w:t>
      </w:r>
    </w:p>
    <w:p w14:paraId="7FDE65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EAD7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794C89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3B0C5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31 мая</w:t>
      </w:r>
      <w:r w:rsidRPr="008127F8">
        <w:rPr>
          <w:rFonts w:ascii="Times New Roman" w:hAnsi="Times New Roman"/>
          <w:color w:val="000000" w:themeColor="text1"/>
          <w:sz w:val="16"/>
          <w:szCs w:val="16"/>
        </w:rPr>
        <w:t xml:space="preserve"> в 1942 году проезд в Московском метрополитене стал стоить 40 копеек (14908).</w:t>
      </w:r>
    </w:p>
    <w:p w14:paraId="5C54106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007551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мая 1942 в осажденном Ленинграде на переполненном стадионе состоялся футбольный матч “Динамо” (Ленинград)-“Металлический завод”, трансляция которого шла на фронт (4962).</w:t>
      </w:r>
    </w:p>
    <w:p w14:paraId="5457C98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DB94D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70E9D08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F27FE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31 мая</w:t>
      </w:r>
      <w:r w:rsidRPr="008127F8">
        <w:rPr>
          <w:rFonts w:ascii="Times New Roman" w:hAnsi="Times New Roman"/>
          <w:color w:val="000000" w:themeColor="text1"/>
          <w:sz w:val="16"/>
          <w:szCs w:val="16"/>
        </w:rPr>
        <w:t xml:space="preserve"> в 1942 году английская бомбардировочная операции Millennium ("Тысячелетие"). То, что называлось "линией Каммхубера" (полоса прожекторных полей, батарей зенитной артиллерии и секторов перехвата ночных истребителей под управлением наземных РЛС обнаружения и наведения вдоль границ Рейха от Швейцарии до Норвегии) было просто дезорганизовано огромной массой бомбардировщиков (1047 машин), направленных на Кёльн (14908).</w:t>
      </w:r>
    </w:p>
    <w:p w14:paraId="762169E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AE8AA7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мая 1942 Бойцы чешского сопротивления совершили успешное покушение на Рейнхарда Гейдриха, нацистского "протектора Богемии и Моравии" (4963).</w:t>
      </w:r>
    </w:p>
    <w:p w14:paraId="4AE098A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4C4D0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May 31st, 1942: Sine the start of Operation Paukenschlag (Drum Beat) in January, German U-boats operating along the US eastern seaboard have sunk 111 vessels. The RAF launches another 1,000-bomber raid against Essen, but with minimal results. In Libya, the attack by the Afrikakorps against the British Gazala line is still stalled at Bir Hacheim (3819).</w:t>
      </w:r>
    </w:p>
    <w:p w14:paraId="7B32E42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A6755E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 31 мая с 1 мая 1942 немцы и итальянцы потеряли 40 самолетов над Мальтой в обмен на 25 британских самолетов, потерянных в бою. Британцы потеряли на земле всего шесть самолетов, что на 24 меньше, чем в предыдущем месяце. С 1 января бомбардировочное командование Королевских ВВС совершило 12 029 самолето-вылетов, потеряв 396 самолетов; Немецкие ночные истребители сбили 167 из них, в среднем 34 британских бомбардировщика в месяц. </w:t>
      </w:r>
    </w:p>
    <w:p w14:paraId="19575F8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 февраля потери самолетов в британских бомбардировках Германии составили в среднем 3,7 процента (20793).</w:t>
      </w:r>
    </w:p>
    <w:p w14:paraId="47F7908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F6FB15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мая 1942 с начала операции Удар Литавров в январе 1942 немецкие подлодки, действующие у побережья США, потопили 111 кораблей и судов. Королевские ВВС выполнили еще один налет 1000 бомбардировщиков на Эссен, но с незначительными результатами. В Ливии Бир Хашейм сдерживал наступление Африканского корпуса на Газалу (3819).</w:t>
      </w:r>
    </w:p>
    <w:p w14:paraId="7AF3B9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258A7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мая 1942 японский самолет с п/л И-10 осуществил разведку с бухты Диего-Суарес на Мадагаскаре и потом по этим данным успешно атаковали гавань мини п/л (3961, 110).</w:t>
      </w:r>
    </w:p>
    <w:p w14:paraId="023CDE0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1D94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2DE308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CC902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мая 1942 на летно-испытательную станцию завода № 18 по</w:t>
      </w:r>
      <w:r w:rsidRPr="008127F8">
        <w:rPr>
          <w:rFonts w:ascii="Times New Roman" w:hAnsi="Times New Roman"/>
          <w:color w:val="000000" w:themeColor="text1"/>
          <w:sz w:val="16"/>
          <w:szCs w:val="16"/>
        </w:rPr>
        <w:softHyphen/>
        <w:t>ступил одноместный серийный Ил-2 зав. № 1872412 с опыт</w:t>
      </w:r>
      <w:r w:rsidRPr="008127F8">
        <w:rPr>
          <w:rFonts w:ascii="Times New Roman" w:hAnsi="Times New Roman"/>
          <w:color w:val="000000" w:themeColor="text1"/>
          <w:sz w:val="16"/>
          <w:szCs w:val="16"/>
        </w:rPr>
        <w:softHyphen/>
        <w:t>ным мотором АМ-38ф и винтом АВ-5л-158 для снятия летных данных по программе сдаточных испытаний с дополнением по испытанию работы винтомоторной группы.</w:t>
      </w:r>
    </w:p>
    <w:p w14:paraId="37C2C3B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полетном весе 5873 кг (вес пустого самолета 4321 кг) одноместный Ил-2 АМ-38ф показал максимальную скорость у земли 373 км/ч и на высоте 1750 м — 391 км/ч.</w:t>
      </w:r>
    </w:p>
    <w:p w14:paraId="45DC23D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разбега штурмовика с форсированным мотором, как и ожидалось, сократилась и составила 375 м вместо 430—475 м у серийных Ил-2 с АМ-38 (11474,300).</w:t>
      </w:r>
    </w:p>
    <w:p w14:paraId="2958DF4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7B7D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мая 1942 М.Нюхтиков из НИИ ВВС проводил гос. испытания второго варианта Пе-3бис. Перенесли УБК под центроплан на место бомболюка и поставили серийную турель ВУБ-1 Торопова (Б-270) - не ФТ. Усилили бронирование (235,4). Этот вариант сделали уже в Иркутске и летали М.Нюхтиков, Н.Бушкевич, Б.Бидзиношвили (1722,52).</w:t>
      </w:r>
    </w:p>
    <w:p w14:paraId="097CA4B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C719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мая 1942 года Шахурин писал письмо Маленкову.</w:t>
      </w:r>
    </w:p>
    <w:p w14:paraId="2A2E1A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вопросу вооружения самолета Ил-4 докладываю:</w:t>
      </w:r>
    </w:p>
    <w:p w14:paraId="45ABA27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 соответствии с постановлением ГОКО N 1508сс от 29 марта 1942 года НКАП совместно с АДД провели испытания самолета Ил-4, вооруженного турельной и люковой установкой под пулемет Березина калибра 12,7 мм. Испытания закончены 19 апреля с положительными результатами.</w:t>
      </w:r>
    </w:p>
    <w:p w14:paraId="6484C5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Завод N 32 подготовил серийное производство турели УТК-1. До 17 мая изготовлено 151 шт. Отгружено заводу N 126 - 85 штук, заводу N 23 - 10 шт. и для ВВС - 50 шт.</w:t>
      </w:r>
    </w:p>
    <w:p w14:paraId="54A0C0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 связи с увеличением веса самолета Ил-4 и большой загрузкой завода N 32 по изготовлению турелей под пулеметы 12,7 для перевооружения самолетов Ил-4 в строю, считал бы целесообразным в люковой установке оставить пулемет Шкас-7,62. Гл. конструктор С.В.И. считает возможным применение люковой установки с пулемет 12,7 мм на самолетах Ил-4 с моторами М-82.</w:t>
      </w:r>
    </w:p>
    <w:p w14:paraId="360917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Прилагаю проект постановления ГОКО (1631,136).</w:t>
      </w:r>
    </w:p>
    <w:p w14:paraId="15D96CF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370D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мая 1942г. И.В. Сталин позвонил домой Окулову и поинтересовался, сохранилась ли в Казани сборочная оснастка для ТБ-7. Услышав положительный ответ, Сталин спросил, мог бы завод наряду с Пе-2 выпускать по пять ТБ-7 в месяц. Окулов подтвердил такую возможность, на этом разговор закончился. А через несколько дней Сталин лично сообщил Окулову, что есть решение о возобновлении выпуска ТБ-7 на заводе № 22, а сам он назначается директором предприятия.</w:t>
      </w:r>
    </w:p>
    <w:p w14:paraId="481D81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Предусмотрительность принесла свои плоды. За 1942 г. выпустили 20 ТБ-7, больше, чем за любой другой год серийного производства. Из них 15 машин оснащались двигателями АМ-35А, три - дизелями М-30, а две получили звездообразные моторы М-82. Применение последних стало вынужденным шагом.</w:t>
      </w:r>
    </w:p>
    <w:p w14:paraId="2F1047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Казалось бы, использование более надёжных, чем дизели, двигателей АМ-35А решило проблему с силовой установкой. Но для расширения выпуска моторов АМ-38 для штурмовиков Ил-2 близкий к нему АМ-35А строить прекратили.</w:t>
      </w:r>
    </w:p>
    <w:p w14:paraId="1EA570A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качестве альтернативы предложили попробовать двигатель воздушного охлаждения М-82 мощностью 1330 л.с. Конструкторское бюро Незваля приступило к работе. Для сокращения времени проектирования решили использовать с минимальными доработками мотоустановку, разработанную для Су-2. Документация на неё поступила от ильюшинцев, которые рассматривали возможность установки М-82 на штурмовик. От Су-2 взяли узлы подвески двигателя, капоты и выхлопную систему (11996).</w:t>
      </w:r>
    </w:p>
    <w:p w14:paraId="4BE05B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171F1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мая 1942 года Сталин позвонил домой бывшему директору завода №124 Окулову и спросил его, строил ли он на Казанском заводе бомбардировщик Пе-8 и сохранилась ли там сборочная оснастка. Когда Окулов сообщил, что сохранилась, Сталин спросил его, мог бы завод наряду с Пе-2 выпускать по 5 машин ТБ-7 в месяц. Окулов подтвердил такую возможность. На этом разговор закончился. Через несколько дней опять состоялся разговор Сталина с Окуловым, и Сталин сообщил что есть решение о возобновлении строительства ТБ-7 на заводе №22 и что Окулов назначается директором этого завода (12726).</w:t>
      </w:r>
    </w:p>
    <w:p w14:paraId="070FDF31" w14:textId="77777777" w:rsidR="007C5583" w:rsidRPr="008127F8" w:rsidRDefault="007C5583" w:rsidP="007C5583">
      <w:pPr>
        <w:pStyle w:val="af"/>
        <w:spacing w:before="0" w:after="0"/>
        <w:jc w:val="both"/>
        <w:rPr>
          <w:color w:val="000000" w:themeColor="text1"/>
          <w:sz w:val="16"/>
          <w:szCs w:val="16"/>
        </w:rPr>
      </w:pPr>
    </w:p>
    <w:p w14:paraId="06F212C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мая 1942 года, в связи возвращением ЦИАМ обратно на старую площадку, переданную заводу № 41, площади, запроектированные под завод были резко сокращены, вследствие чего встал вопрос о переводе завода на новую площадку.</w:t>
      </w:r>
    </w:p>
    <w:p w14:paraId="0FC703B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НКАП № 424 от 7 июня 1942 года завод № 41 был переведен на площадку завода № 451, ранее принадлежащую эвакуированному заводу № 20 (основанному в 1930 году по выпуску агрегатов для авиамоторов).</w:t>
      </w:r>
    </w:p>
    <w:p w14:paraId="60E5FF0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завод перебазировался на указанную площадку и окончательно был организован под продукцию авиамоторов.</w:t>
      </w:r>
    </w:p>
    <w:p w14:paraId="7276C7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выпуска серийных моторов, завод был обязан производить ремонт моторов М-62 и М-11, присылаемых с фронта.</w:t>
      </w:r>
    </w:p>
    <w:p w14:paraId="51C301C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4 квартала 1946 года завод продолжал выпуск серийных моторов.</w:t>
      </w:r>
    </w:p>
    <w:p w14:paraId="4128FF3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приказа МАП от 1 августа 1946 года за № 414сс, в соответствии с постановлением СМ за № 1409-622сс, завод № 41 с октября 1946 года был реорганизован в опытный завод для производства газотурбинных двигателей конструкции Уварова.</w:t>
      </w:r>
    </w:p>
    <w:p w14:paraId="5CD306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1948 году решением СМ от 12 июня 1948 года и приказом МАП, завод из опытных переведен в число серийных заводов по выпуску разных агрегатов для авиамоторов.</w:t>
      </w:r>
    </w:p>
    <w:p w14:paraId="26A633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А-130, п/я 198</w:t>
      </w:r>
    </w:p>
    <w:p w14:paraId="5112D3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МАП № 662сс от 6 августа 1949 года, завод был реконструирован для производства по выпуску стрелково-пушечного вооружения (Звезда) на самолет ТУ-4 (9584).</w:t>
      </w:r>
    </w:p>
    <w:p w14:paraId="5A3B393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73C9EA" w14:textId="77777777" w:rsidR="0002436F" w:rsidRPr="008A2E5A" w:rsidRDefault="0002436F" w:rsidP="0002436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мая 1942 после прекращения подготовки к серийному производ</w:t>
      </w:r>
      <w:r w:rsidRPr="008A2E5A">
        <w:rPr>
          <w:rFonts w:ascii="Times New Roman" w:hAnsi="Times New Roman"/>
          <w:color w:val="0070C0"/>
          <w:sz w:val="16"/>
          <w:szCs w:val="16"/>
        </w:rPr>
        <w:softHyphen/>
        <w:t>ству Як-7Б на Горьковском авиазаводе №21, в развитие постановления ГКО №1659сс от 26.04.42 г., Новосибирский авиазавод обязали оказать техническую помощь передачей к 1 июня необходимых комплектов оснастки для обеспечения авиавыпуска двух самолетов в день, а также полностью обеспечить программу заво</w:t>
      </w:r>
      <w:r w:rsidRPr="008A2E5A">
        <w:rPr>
          <w:rFonts w:ascii="Times New Roman" w:hAnsi="Times New Roman"/>
          <w:color w:val="0070C0"/>
          <w:sz w:val="16"/>
          <w:szCs w:val="16"/>
        </w:rPr>
        <w:softHyphen/>
        <w:t>да в Тушине штамповками и цветным литьем (23381).</w:t>
      </w:r>
    </w:p>
    <w:p w14:paraId="6815D8EB" w14:textId="77777777" w:rsidR="0002436F" w:rsidRPr="008A2E5A" w:rsidRDefault="0002436F" w:rsidP="0002436F">
      <w:pPr>
        <w:spacing w:after="0" w:line="240" w:lineRule="auto"/>
        <w:jc w:val="both"/>
        <w:rPr>
          <w:rFonts w:ascii="Times New Roman" w:hAnsi="Times New Roman"/>
          <w:color w:val="0070C0"/>
          <w:sz w:val="16"/>
          <w:szCs w:val="16"/>
        </w:rPr>
      </w:pPr>
    </w:p>
    <w:p w14:paraId="12DBC5C6" w14:textId="77777777" w:rsidR="0002436F" w:rsidRPr="008A2E5A" w:rsidRDefault="0002436F" w:rsidP="0002436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мая 1942 года в соответствии с совместным прика</w:t>
      </w:r>
      <w:r w:rsidRPr="008A2E5A">
        <w:rPr>
          <w:rFonts w:ascii="Times New Roman" w:hAnsi="Times New Roman"/>
          <w:color w:val="0070C0"/>
          <w:sz w:val="16"/>
          <w:szCs w:val="16"/>
        </w:rPr>
        <w:softHyphen/>
        <w:t>зом НКАП - ГУ ВВС № 081/396с от 20.05.1942 г. на аэродроме НИИ ВВС в Чкаловской прохо</w:t>
      </w:r>
      <w:r w:rsidRPr="008A2E5A">
        <w:rPr>
          <w:rFonts w:ascii="Times New Roman" w:hAnsi="Times New Roman"/>
          <w:color w:val="0070C0"/>
          <w:sz w:val="16"/>
          <w:szCs w:val="16"/>
        </w:rPr>
        <w:softHyphen/>
        <w:t>дили контрольные испытания истребителей с мотором М-105ПФ. Всего было предъявлено 8 машин - новосибирский Як-7 № 2202, два Як-1 №№ 1569 и 3569 производства саратовского завода, горьковчане выставили аж пять ЛаГГ-3 №№ 2879, 2887, 2891, 28100 и 2912. Правда, 2879 и 2887 в «зачет» не вошли из-за дефек</w:t>
      </w:r>
      <w:r w:rsidRPr="008A2E5A">
        <w:rPr>
          <w:rFonts w:ascii="Times New Roman" w:hAnsi="Times New Roman"/>
          <w:color w:val="0070C0"/>
          <w:sz w:val="16"/>
          <w:szCs w:val="16"/>
        </w:rPr>
        <w:softHyphen/>
        <w:t>тов двигателей. У всех пяти машин завода № 21 имелась одна интересная особенность. До</w:t>
      </w:r>
      <w:r w:rsidRPr="008A2E5A">
        <w:rPr>
          <w:rFonts w:ascii="Times New Roman" w:hAnsi="Times New Roman"/>
          <w:color w:val="0070C0"/>
          <w:sz w:val="16"/>
          <w:szCs w:val="16"/>
        </w:rPr>
        <w:softHyphen/>
        <w:t>словно из отчета: «На всех самолетах ЛаГГ-3 на входной части тоннеля водорадиатора стояли насадки, предложенные НИИ ВВС Крас</w:t>
      </w:r>
      <w:r w:rsidRPr="008A2E5A">
        <w:rPr>
          <w:rFonts w:ascii="Times New Roman" w:hAnsi="Times New Roman"/>
          <w:color w:val="0070C0"/>
          <w:sz w:val="16"/>
          <w:szCs w:val="16"/>
        </w:rPr>
        <w:softHyphen/>
        <w:t>ной Армии». Проще говоря, на тоннели водо- радиаторов вместо обычных были установле</w:t>
      </w:r>
      <w:r w:rsidRPr="008A2E5A">
        <w:rPr>
          <w:rFonts w:ascii="Times New Roman" w:hAnsi="Times New Roman"/>
          <w:color w:val="0070C0"/>
          <w:sz w:val="16"/>
          <w:szCs w:val="16"/>
        </w:rPr>
        <w:softHyphen/>
        <w:t>ны металлические воздухозаборники увели</w:t>
      </w:r>
      <w:r w:rsidRPr="008A2E5A">
        <w:rPr>
          <w:rFonts w:ascii="Times New Roman" w:hAnsi="Times New Roman"/>
          <w:color w:val="0070C0"/>
          <w:sz w:val="16"/>
          <w:szCs w:val="16"/>
        </w:rPr>
        <w:softHyphen/>
        <w:t>ченного проходного сечения. В выводах к от</w:t>
      </w:r>
      <w:r w:rsidRPr="008A2E5A">
        <w:rPr>
          <w:rFonts w:ascii="Times New Roman" w:hAnsi="Times New Roman"/>
          <w:color w:val="0070C0"/>
          <w:sz w:val="16"/>
          <w:szCs w:val="16"/>
        </w:rPr>
        <w:softHyphen/>
        <w:t>чету про такое конструктивное решение было сказано так: «В летних условиях в строевых частях полеты производятся с полностью открытыми заслонками водо- и маслорадиа- торов. Установка насадка на входную часть тоннеля водорадиатора самолета ЛаГГ-3 обеспечивает нормальные температуры воды и масла и позволяет в полете на макси</w:t>
      </w:r>
      <w:r w:rsidRPr="008A2E5A">
        <w:rPr>
          <w:rFonts w:ascii="Times New Roman" w:hAnsi="Times New Roman"/>
          <w:color w:val="0070C0"/>
          <w:sz w:val="16"/>
          <w:szCs w:val="16"/>
        </w:rPr>
        <w:softHyphen/>
        <w:t>мальной скорости на средних высотах дер</w:t>
      </w:r>
      <w:r w:rsidRPr="008A2E5A">
        <w:rPr>
          <w:rFonts w:ascii="Times New Roman" w:hAnsi="Times New Roman"/>
          <w:color w:val="0070C0"/>
          <w:sz w:val="16"/>
          <w:szCs w:val="16"/>
        </w:rPr>
        <w:softHyphen/>
        <w:t>жать заслонки водо- и маслорадиаторов по потоку, что приводит к увеличению макси</w:t>
      </w:r>
      <w:r w:rsidRPr="008A2E5A">
        <w:rPr>
          <w:rFonts w:ascii="Times New Roman" w:hAnsi="Times New Roman"/>
          <w:color w:val="0070C0"/>
          <w:sz w:val="16"/>
          <w:szCs w:val="16"/>
        </w:rPr>
        <w:softHyphen/>
        <w:t>мальной скорости до 25 км/ч по сравнению с самолетами с прежними туннелями водора- диатора».</w:t>
      </w:r>
    </w:p>
    <w:p w14:paraId="143EE7A4" w14:textId="77777777" w:rsidR="0002436F" w:rsidRPr="008A2E5A" w:rsidRDefault="0002436F" w:rsidP="0002436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Надо заметить, что на тот момент это была доработка, уже внедренная в серийное производство на 21-м заводе. Кроме того, 12 мая 1942 года ЭРО завода выпустил бюллетень № 33 по самолету ЛаГГ-3 по установке нового воздухозаборника водорадиатора в эксплуа</w:t>
      </w:r>
      <w:r w:rsidRPr="008A2E5A">
        <w:rPr>
          <w:rFonts w:ascii="Times New Roman" w:hAnsi="Times New Roman"/>
          <w:color w:val="0070C0"/>
          <w:sz w:val="16"/>
          <w:szCs w:val="16"/>
        </w:rPr>
        <w:softHyphen/>
        <w:t>тации. ГУЗ и ТС ВВС незамедлительно заказа</w:t>
      </w:r>
      <w:r w:rsidRPr="008A2E5A">
        <w:rPr>
          <w:rFonts w:ascii="Times New Roman" w:hAnsi="Times New Roman"/>
          <w:color w:val="0070C0"/>
          <w:sz w:val="16"/>
          <w:szCs w:val="16"/>
        </w:rPr>
        <w:softHyphen/>
        <w:t>ло 250 ремкомплектов воздухозаборников. На 19 июня в войска было отправлено 106 единиц. 26 июня Главный инженер ВВС гене</w:t>
      </w:r>
      <w:r w:rsidRPr="008A2E5A">
        <w:rPr>
          <w:rFonts w:ascii="Times New Roman" w:hAnsi="Times New Roman"/>
          <w:color w:val="0070C0"/>
          <w:sz w:val="16"/>
          <w:szCs w:val="16"/>
        </w:rPr>
        <w:softHyphen/>
        <w:t>рал-лейтенант Репин поручил только что на</w:t>
      </w:r>
      <w:r w:rsidRPr="008A2E5A">
        <w:rPr>
          <w:rFonts w:ascii="Times New Roman" w:hAnsi="Times New Roman"/>
          <w:color w:val="0070C0"/>
          <w:sz w:val="16"/>
          <w:szCs w:val="16"/>
        </w:rPr>
        <w:softHyphen/>
        <w:t>значенному начальнику ГУЗ и ТС ВВС генерал- майору Бибикову обеспечить все находящие</w:t>
      </w:r>
      <w:r w:rsidRPr="008A2E5A">
        <w:rPr>
          <w:rFonts w:ascii="Times New Roman" w:hAnsi="Times New Roman"/>
          <w:color w:val="0070C0"/>
          <w:sz w:val="16"/>
          <w:szCs w:val="16"/>
        </w:rPr>
        <w:softHyphen/>
        <w:t>ся в строю ЛаГГ-3 насадками, после чего до</w:t>
      </w:r>
      <w:r w:rsidRPr="008A2E5A">
        <w:rPr>
          <w:rFonts w:ascii="Times New Roman" w:hAnsi="Times New Roman"/>
          <w:color w:val="0070C0"/>
          <w:sz w:val="16"/>
          <w:szCs w:val="16"/>
        </w:rPr>
        <w:softHyphen/>
        <w:t>полнительно заказали еще 500 комплектов. То есть, измененные воздухозаборники с мая-июня 1942 года стали стандартными для всех ЛаГГ-3, в том числе и с 37-мм пушками, правда, только постройки завода № 21. Види</w:t>
      </w:r>
      <w:r w:rsidRPr="008A2E5A">
        <w:rPr>
          <w:rFonts w:ascii="Times New Roman" w:hAnsi="Times New Roman"/>
          <w:color w:val="0070C0"/>
          <w:sz w:val="16"/>
          <w:szCs w:val="16"/>
        </w:rPr>
        <w:softHyphen/>
        <w:t>мо, Главный конструктор тбилисского завода В.П. Горбунов сумел отстоять чистоту аэро</w:t>
      </w:r>
      <w:r w:rsidRPr="008A2E5A">
        <w:rPr>
          <w:rFonts w:ascii="Times New Roman" w:hAnsi="Times New Roman"/>
          <w:color w:val="0070C0"/>
          <w:sz w:val="16"/>
          <w:szCs w:val="16"/>
        </w:rPr>
        <w:softHyphen/>
        <w:t>динамических форм своих изделий (23409).</w:t>
      </w:r>
    </w:p>
    <w:p w14:paraId="4C494695" w14:textId="77777777" w:rsidR="0002436F" w:rsidRPr="008A2E5A" w:rsidRDefault="0002436F" w:rsidP="0002436F">
      <w:pPr>
        <w:spacing w:after="0" w:line="240" w:lineRule="auto"/>
        <w:jc w:val="both"/>
        <w:rPr>
          <w:rFonts w:ascii="Times New Roman" w:hAnsi="Times New Roman"/>
          <w:color w:val="0070C0"/>
          <w:sz w:val="16"/>
          <w:szCs w:val="16"/>
        </w:rPr>
      </w:pPr>
    </w:p>
    <w:p w14:paraId="3225B153" w14:textId="77777777" w:rsidR="0002436F" w:rsidRPr="008A2E5A" w:rsidRDefault="0002436F" w:rsidP="0002436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концу мая 1942 само</w:t>
      </w:r>
      <w:r w:rsidRPr="008A2E5A">
        <w:rPr>
          <w:rFonts w:ascii="Times New Roman" w:hAnsi="Times New Roman"/>
          <w:color w:val="0070C0"/>
          <w:sz w:val="16"/>
          <w:szCs w:val="16"/>
        </w:rPr>
        <w:softHyphen/>
        <w:t>леты подарочной эскадрильи «Новосибирский комсомолец» (первое звено из трех машин должно было получить наименование «Комсомол Нарыма», второе - «Комсомол Кузбасса», а в третьем звене две машины следовало назвать «Новосибирский комсо</w:t>
      </w:r>
      <w:r w:rsidRPr="008A2E5A">
        <w:rPr>
          <w:rFonts w:ascii="Times New Roman" w:hAnsi="Times New Roman"/>
          <w:color w:val="0070C0"/>
          <w:sz w:val="16"/>
          <w:szCs w:val="16"/>
        </w:rPr>
        <w:softHyphen/>
        <w:t>молец» и одну - «Новосибирский пионер») собрали, укомплектовали и передали в 12-й гвардейский истребительный авиаци</w:t>
      </w:r>
      <w:r w:rsidRPr="008A2E5A">
        <w:rPr>
          <w:rFonts w:ascii="Times New Roman" w:hAnsi="Times New Roman"/>
          <w:color w:val="0070C0"/>
          <w:sz w:val="16"/>
          <w:szCs w:val="16"/>
        </w:rPr>
        <w:softHyphen/>
        <w:t>онный полк ПВО. Официальная, торжественная (с кор</w:t>
      </w:r>
      <w:r w:rsidRPr="008A2E5A">
        <w:rPr>
          <w:rFonts w:ascii="Times New Roman" w:hAnsi="Times New Roman"/>
          <w:color w:val="0070C0"/>
          <w:sz w:val="16"/>
          <w:szCs w:val="16"/>
        </w:rPr>
        <w:softHyphen/>
        <w:t>респондентами центральных газет и фото-кинохрони</w:t>
      </w:r>
      <w:r w:rsidRPr="008A2E5A">
        <w:rPr>
          <w:rFonts w:ascii="Times New Roman" w:hAnsi="Times New Roman"/>
          <w:color w:val="0070C0"/>
          <w:sz w:val="16"/>
          <w:szCs w:val="16"/>
        </w:rPr>
        <w:softHyphen/>
        <w:t>ки) передача именных Як-7А состоялась несколько по</w:t>
      </w:r>
      <w:r w:rsidRPr="008A2E5A">
        <w:rPr>
          <w:rFonts w:ascii="Times New Roman" w:hAnsi="Times New Roman"/>
          <w:color w:val="0070C0"/>
          <w:sz w:val="16"/>
          <w:szCs w:val="16"/>
        </w:rPr>
        <w:softHyphen/>
        <w:t>зже - 4 июня 1942 г., когда они уже эксплуатировались полком и вылетали на боевые задания. Вручение лет</w:t>
      </w:r>
      <w:r w:rsidRPr="008A2E5A">
        <w:rPr>
          <w:rFonts w:ascii="Times New Roman" w:hAnsi="Times New Roman"/>
          <w:color w:val="0070C0"/>
          <w:sz w:val="16"/>
          <w:szCs w:val="16"/>
        </w:rPr>
        <w:softHyphen/>
        <w:t>чикам полка боевых машин происходило без участия представителей комсомола Новосибирска и области (самолеты передавал заведующий военным отделом ЦК ВЛКСМ Д.В. Постников и инженер завода №153 Белин</w:t>
      </w:r>
      <w:r w:rsidRPr="008A2E5A">
        <w:rPr>
          <w:rFonts w:ascii="Times New Roman" w:hAnsi="Times New Roman"/>
          <w:color w:val="0070C0"/>
          <w:sz w:val="16"/>
          <w:szCs w:val="16"/>
        </w:rPr>
        <w:softHyphen/>
        <w:t>ский). Истребители получили: гвардии старшие лейте</w:t>
      </w:r>
      <w:r w:rsidRPr="008A2E5A">
        <w:rPr>
          <w:rFonts w:ascii="Times New Roman" w:hAnsi="Times New Roman"/>
          <w:color w:val="0070C0"/>
          <w:sz w:val="16"/>
          <w:szCs w:val="16"/>
        </w:rPr>
        <w:softHyphen/>
        <w:t>нанты М.Е. Цыганов (1+1) - «Комсомол Кузбасса», Г.Е. Фастовец (5+3) - «Новосибирский комсомол» и Алек</w:t>
      </w:r>
      <w:r w:rsidRPr="008A2E5A">
        <w:rPr>
          <w:rFonts w:ascii="Times New Roman" w:hAnsi="Times New Roman"/>
          <w:color w:val="0070C0"/>
          <w:sz w:val="16"/>
          <w:szCs w:val="16"/>
        </w:rPr>
        <w:softHyphen/>
        <w:t>сандров (1+1), гвардии батальонный комиссар Д.Т. Про</w:t>
      </w:r>
      <w:r w:rsidRPr="008A2E5A">
        <w:rPr>
          <w:rFonts w:ascii="Times New Roman" w:hAnsi="Times New Roman"/>
          <w:color w:val="0070C0"/>
          <w:sz w:val="16"/>
          <w:szCs w:val="16"/>
        </w:rPr>
        <w:softHyphen/>
        <w:t>яненков - «Новосибирский пионер», гвардии лейтенан</w:t>
      </w:r>
      <w:r w:rsidRPr="008A2E5A">
        <w:rPr>
          <w:rFonts w:ascii="Times New Roman" w:hAnsi="Times New Roman"/>
          <w:color w:val="0070C0"/>
          <w:sz w:val="16"/>
          <w:szCs w:val="16"/>
        </w:rPr>
        <w:softHyphen/>
        <w:t>ты Ю.Я. Келейников (13+2), К.А. Крюков (5+10) - «Ком</w:t>
      </w:r>
      <w:r w:rsidRPr="008A2E5A">
        <w:rPr>
          <w:rFonts w:ascii="Times New Roman" w:hAnsi="Times New Roman"/>
          <w:color w:val="0070C0"/>
          <w:sz w:val="16"/>
          <w:szCs w:val="16"/>
        </w:rPr>
        <w:softHyphen/>
        <w:t xml:space="preserve">сомол Кузбасса», В.Г. Лебедев (5+0) - «Комсомол Нары- ма», Н.И. Яхненко (0+1), гвардии </w:t>
      </w:r>
      <w:r w:rsidRPr="008A2E5A">
        <w:rPr>
          <w:rFonts w:ascii="Times New Roman" w:hAnsi="Times New Roman"/>
          <w:color w:val="0070C0"/>
          <w:sz w:val="16"/>
          <w:szCs w:val="16"/>
        </w:rPr>
        <w:lastRenderedPageBreak/>
        <w:t>младшие лейтенанты А.А. Оже - «Комсомол Нарыма», В.М. Помогалов (4+2). В мае 1943 г. два Як-7А из оставшихся четырех прош</w:t>
      </w:r>
      <w:r w:rsidRPr="008A2E5A">
        <w:rPr>
          <w:rFonts w:ascii="Times New Roman" w:hAnsi="Times New Roman"/>
          <w:color w:val="0070C0"/>
          <w:sz w:val="16"/>
          <w:szCs w:val="16"/>
        </w:rPr>
        <w:softHyphen/>
        <w:t>ли полный ремонт лакокрасочного покрытия, при котором наименования машин на бортах самолетов не вос</w:t>
      </w:r>
      <w:r w:rsidRPr="008A2E5A">
        <w:rPr>
          <w:rFonts w:ascii="Times New Roman" w:hAnsi="Times New Roman"/>
          <w:color w:val="0070C0"/>
          <w:sz w:val="16"/>
          <w:szCs w:val="16"/>
        </w:rPr>
        <w:softHyphen/>
        <w:t>станавливались (23381).</w:t>
      </w:r>
    </w:p>
    <w:p w14:paraId="6B1085E8" w14:textId="77777777" w:rsidR="0002436F" w:rsidRPr="008A2E5A" w:rsidRDefault="0002436F" w:rsidP="0002436F">
      <w:pPr>
        <w:spacing w:after="0" w:line="240" w:lineRule="auto"/>
        <w:jc w:val="both"/>
        <w:rPr>
          <w:rFonts w:ascii="Times New Roman" w:hAnsi="Times New Roman"/>
          <w:color w:val="0070C0"/>
          <w:sz w:val="16"/>
          <w:szCs w:val="16"/>
        </w:rPr>
      </w:pPr>
    </w:p>
    <w:p w14:paraId="2D0FAA3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концу мая 1942 г. был готов проект оригинальной летающей танкетки-штурмовика “ЛТ” с мотором М-11 (имевшей также заводское обозначение “CAM-23”, перешедшее позже к планеру). Работы по машине на заводе № 499 вел конструктор Некрасов (7646).</w:t>
      </w:r>
    </w:p>
    <w:p w14:paraId="4D0287C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20B2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мая 1942 в НИИ ВВС попал опытный самолет второго варианта Пе-3бис (зав. № 40143900) завода № 39 из Иркутска. Контрольные испытания проводил летчик М.Нюхтиков. Отличия машины от первого варианта Пе-3бис заключались в следующем:</w:t>
      </w:r>
    </w:p>
    <w:p w14:paraId="027312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пулеметы УБК изъяли из носовой части фюзеляжа и разместили под центропланом на месте прежнего бомбоотсека Пе-2. Оба УБК закрепили на общей раме, закрытой легким открывающимся вбок люком. Передняя часть рамы имела цапфы, относительно которых могла поворачиваться при обслуживании пулеметов. При освобождении задних узлов крепления пулеметы вместе с патронными ящиками опускались казенной частью вниз, что существенно упрощало процесс подготовки вооружения. Боекомплект правого пулемета состоял из 230, а левого - из 265 патронов;</w:t>
      </w:r>
    </w:p>
    <w:p w14:paraId="13A803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вместо турели, разработанной для первого опытного Пе-3бис заводом № 39, у штурмана смонтировали серийную установку конструкции завода № 32 (так называемую “установку Торопова”, она же ВУБ-1, она же Б-270). Питание пулемета УБК (на турели устанавливался именно крыльевой, с электроспуском и пневмоперезарядкой, а не специальный турельный вариант пулемета Березина) было ленточным, боекомплект состоял из 200 патронов. Для повышения надежности установки пулемет оборудовали устройством электроподтяга ленты. В ходе испытаний выяснилось, что отклонение пулемета в стороны усилиями штурмана на угол свыше 40-50° при крейсерских скоростях полета невозможно из-за больших аэродинамических нагрузок. Для устранения этого явления на экран установили двухлепестковый компенсатор, оказавшийся, впрочем, недостаточно эффективным;</w:t>
      </w:r>
    </w:p>
    <w:p w14:paraId="2F9EF7D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 кабине экипажа в качестве вынужденной меры сняли противокапотажную раму для улучшения условий работы штурмана в полете;</w:t>
      </w:r>
    </w:p>
    <w:p w14:paraId="0096321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усилили бронирование экипажа, при этом общая масса стальной брони возросла до 148 кг. Спереди пилота прикрыли бронеплитками толщиной 4-6,5 мм, чего нельзя было сделать на первом варианте Пе-3бис, носовая часть которого оказалась буквально “нашпигована” оружием. Броне-спинку сиденья пилота выполнили из стали толщиной 13 мм, а лобовые стекла - из 45-миллиметрового сталинита. Кроме того, забронировали нижний люк кабины экипажа для защиты от случайного выстрела из УБК в момент посадки в самолет;</w:t>
      </w:r>
    </w:p>
    <w:p w14:paraId="1D0B9CE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остекление в носовой части фюзеляжа ликвидировали, оставив лишь небольшой смотровой люк перед штурманом для осуществления прицеливания при бомбометании с горизонтального полета;</w:t>
      </w:r>
    </w:p>
    <w:p w14:paraId="618F24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перенос оружия в центроплан потребовал уменьшения емкости бензобака № 7 и запаса горючего на 100 л. Для изоляции бака и предохранения его от нагрева ввели асбестовую перегородку, которая одновременно служила экраном, предохранявшим пулеметы от подтекания на них бензина;</w:t>
      </w:r>
    </w:p>
    <w:p w14:paraId="4B86C4B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площадь килей увеличили на 15 % для повышения путевой устойчивости (только на опытном самолете);</w:t>
      </w:r>
    </w:p>
    <w:p w14:paraId="0C354AB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установили противообледенительную систему на винты и лобовое стекло фонаря кабины;</w:t>
      </w:r>
    </w:p>
    <w:p w14:paraId="73811F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вместо регуляторов постоянных оборотов винта Р-3 с электродистанционным управлением, недостатком которых была возможность раскрутки винтов при выходе из пикирования, смонтировали агрегаты Р-7 со штурвальным управлением из кабины пилота.</w:t>
      </w:r>
    </w:p>
    <w:p w14:paraId="3BA578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Центр тяжести самолета, особенно при посадке с опустевшими баками, заметно сместился вперед из-за размещения в носовой части фюзеляжа пушки и брони. Все это привело к уменьшению противокапотажного угла и невозможности эффективного торможения - самолет так и норовил “встать на нос”. С целью устранения недостатка подкосы основных стоек удлинили, в результате чего колеса в выпущенном положении сместились вперед на 60 мм. Этого оказалось достаточно для некоторого улучшения поведения истребителя на посадке.</w:t>
      </w:r>
    </w:p>
    <w:p w14:paraId="5613BE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Нормальная полетная масса Пе-3бис составляла 8002 кг. Максимальная скорость полета по сравнению с машиной первого варианта немного уменьшилась: у земли до 438 км/ч, а на высоте - до 527 км/ч (из-за компенсатора турели, увеличенных килей и подфюзеляжных пулеметов). За боевой разворот самолет набирал 540 м, время виража на высоте 1000 м составляло 30 с, а высоту 5000 м истребитель набирал за 9,65 мин. Эти летно-технические данные можно считать типовыми для серийного Пе-3бис производства 1942 г. Заводские номера серийных машин были шестизначными, например, 400105, что означало - Пе-3бис (40), пятый самолет (05) первой серии (01). В некоторых документах второй “ноль” в заводском номере не указывался, так как количество серий Пе-3бис не превысило десятка (4476).</w:t>
      </w:r>
    </w:p>
    <w:p w14:paraId="4E83B21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5349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мая 1942 г. начались Летные испытания первого серийного Пе-Збис. Их проводили летчики М. Нюхтиков, Н. Бушкевич и III. Бидзинашвили. В декабре 1941 г. в Иркутске построили 35 штук Пе-3, в 1942 г. - 121 истребитель. В строевые части истребители Пе-3 поступили уже в конце августа 1941 года, а в сентябре уже приступили к несению службы в системе ПВО Москвы. 3 октября лейтенант Фортов добился первой победы на самолете Пе-3, сбив бомбардировщик Ju 88. Самолеты активно применялись и в составе авиации Северного флота, где на заключительном этапе боевых действий они использовались, в основном, в качестве разведчиков. Самолеты Пе-3 и Пе-Збис оставались на вооружение частей ВВС до окончания войны, а в морской авиации использовались вплоть до начала 1950-х гг., когда их сменили реактивные бомбардировщики Ил-28 (12037).</w:t>
      </w:r>
    </w:p>
    <w:p w14:paraId="6F2898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7244B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мая 1942 года Сталин позвонил домой бывшему директору завода №124 Окулову и спросил его, строил ли он на Казанском заводе бомбардировщик Пе-8 и сохранилась ли там сборочная оснастка. Когда Окулов сообщил, что сохранилась, Сталин спросил его, мог бы завод наряду с Пе-2 выпускать по 5 машин ТБ-7 в месяц. Окулов подтвердил такую возможность. На этом разговор закончился, Через несколько дней опять состоялся разговор Сталина с Окуловым, и Сталин сообщил, что есть решение о возобновлении строительства ТБ-7 на заводе №22 и что Окулов назначается директором этого завода (7685).</w:t>
      </w:r>
    </w:p>
    <w:p w14:paraId="51C266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D9ED0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мая 1942 г. на заводе № 166 в Омске изготовили полноразмерный макет фюзеляжа разведчика на базе Ту-2. На нем стояли фотоаппараты АФА-3с. 2 июня макет осмотрела и одобрила комиссия из</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НИИ</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ВВС. Уже через три дня, 5 мая, командование ВВС обратилось к Туполеву с просьбой изучить возможность сдать несколько серийных машин в разведывательном варианте. Предлагались две альтернативы: переделать уже готовые бомбардировщики или предусмотреть их выпуск в ближайших сериях. Для них была выбрана уже проработанная компоновка с двумя аппаратами АФА-3с (21059). </w:t>
      </w:r>
    </w:p>
    <w:p w14:paraId="2866494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7171E88"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конце мая 1942 г. "Эталон №1" был закончен и 28 числа передан на заводские испытания. Конкретной информации по этому периоду биографии И-185 мало, а то, что есть - противоречиво. По одним данным самолет выполнил первый полет в тот же день 28 мая 1942 г., но по другим его наземная отработка затянулась, и летчик НИИ ВВС А.И. Никашин выполнил первый полет на нем только 10 июня. В полетах участвовал и заводской пилот Логинов.</w:t>
      </w:r>
    </w:p>
    <w:p w14:paraId="4CFB4882"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М-71 имел больший диаметр, чем М-82, и под него был сделан очередной (который уж по счету!) новый капот, который слегка выступал за обводы фюзеляжа с боков и снизу. Но благодаря тому, что он стал глаже в зоне установки боковых пушек, а также за счет улучшенной внутренней аэродинамики (обтекатель картера, дефлекторы цилиндров и жалюзи системы охлаждения) сопротивление его не выросло. Пришлось несколько увеличить маслорадиатор, была изменена также конструкция патрубков подвода воздуха к приводному центробежному нагнетателю, расход воздуха которого был существенно больше. Внутреннюю герметизацию фюзеляжа и подгонку щитков шасси удалось улучшить. Наконец, были переделаны панели перед кабиной. Проектирование велось под общим руководством Поликарпова и его зама Жемчужина, ведущим конструктором самолета был Жилин, а начальниками групп были Зимин (силовая установка), Богословский (вооружение), Фадеев (оборудование) - на чертежах новой модификации самолета стояли уже другие фамилии конструкторов, и машина стала совершенно иной, не той, что была в 1941 г.</w:t>
      </w:r>
    </w:p>
    <w:p w14:paraId="5F197BDD"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Задел агрегатов и деталей по заказу 1940 г. был уже израсходован, и два новых самолета стали строиться заводом №51 в Новосибирске "с нуля". Они получили наименование И -185 М-71 "Эталон" или "Образцовый", поскольку Поликарпов считал именно их образцом для возможного серийного изделия (17737).</w:t>
      </w:r>
    </w:p>
    <w:p w14:paraId="6FB1C8EA"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lang w:eastAsia="ru-RU"/>
        </w:rPr>
      </w:pPr>
    </w:p>
    <w:p w14:paraId="1275AD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 концу мая 1942 года серийное производство самолётов удалось довести до 90 в день. Тем не менее, Сталин не был доволен. На ежедневной сводке НКАП, содержавшей воспроизведённые выше сведения, он жирно начертал: </w:t>
      </w:r>
      <w:r w:rsidRPr="008127F8">
        <w:rPr>
          <w:rFonts w:ascii="Times New Roman" w:hAnsi="Times New Roman"/>
          <w:iCs/>
          <w:color w:val="000000" w:themeColor="text1"/>
          <w:sz w:val="16"/>
          <w:szCs w:val="16"/>
        </w:rPr>
        <w:t xml:space="preserve">«До подлости мало! Подлость! Подлецы!» </w:t>
      </w:r>
      <w:r w:rsidRPr="008127F8">
        <w:rPr>
          <w:rFonts w:ascii="Times New Roman" w:hAnsi="Times New Roman"/>
          <w:color w:val="000000" w:themeColor="text1"/>
          <w:sz w:val="16"/>
          <w:szCs w:val="16"/>
        </w:rPr>
        <w:t>(12018).</w:t>
      </w:r>
    </w:p>
    <w:p w14:paraId="479FF1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0AAA8B"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конце мая 1942 года завершилось изготовление и испытание 24-М-8. Установка 24-М-8 (24 реактивных снаряда) относилась к башенно-палубному типу и состояла из качающейся части, основания, прицельного устройства, механизмов наведения и электрооборудования. Диапазон углов возвышения, скрепленной с основанием качающейся части составлял от 5 до 45°, а поворотная часть перемещалась в горизонтальной плоскости на 360°. Внутри поворотной части монтировались механизмы вертикального и горизонтального наведения, прицельное устройство и электрооборудование. Интервал между выстрелами составлял 0,3 с, а все 24 снаряда сходили с направляющих за 16 оборотов (7–8 с.) переключателя прибора управления огнем.</w:t>
      </w:r>
    </w:p>
    <w:p w14:paraId="5A3D7521"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Установка 16-М-13 (16 снарядов) – надпалубного типа: могла крепиться на крыше боевой рубки бронекатера (по предложению из СКБ) или устанавливалась вместо кормовой башни танка Т-34. Она наводилась на цель и заряжалась с надпалубной части пусковой установки. За один оборот маховика переключателя производился один выстрел, все 16 снарядов сходили с направляющих за 5–8 с (15982).</w:t>
      </w:r>
    </w:p>
    <w:p w14:paraId="02C35CA4"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p>
    <w:p w14:paraId="1BC5B7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0B19AA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A58D86"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До конца мая 1942 года шли с различными перерывами испытания двух усовершенствованных КВ № 10279 и № 10334. Снача</w:t>
      </w:r>
      <w:r w:rsidRPr="008127F8">
        <w:rPr>
          <w:rFonts w:ascii="Times New Roman" w:cs="Times New Roman"/>
          <w:color w:val="000000" w:themeColor="text1"/>
          <w:spacing w:val="0"/>
        </w:rPr>
        <w:softHyphen/>
        <w:t xml:space="preserve">ла не все было гладко, приходилось вносить изменения в конструкцию узлов и агрегатов для более надежной их работы. Параллельно с этими двумя </w:t>
      </w:r>
      <w:r w:rsidRPr="008127F8">
        <w:rPr>
          <w:rFonts w:ascii="Times New Roman" w:cs="Times New Roman"/>
          <w:color w:val="000000" w:themeColor="text1"/>
          <w:spacing w:val="0"/>
          <w:lang w:val="en-US"/>
        </w:rPr>
        <w:t>KB</w:t>
      </w:r>
      <w:r w:rsidRPr="008127F8">
        <w:rPr>
          <w:rFonts w:ascii="Times New Roman" w:cs="Times New Roman"/>
          <w:color w:val="000000" w:themeColor="text1"/>
          <w:spacing w:val="0"/>
        </w:rPr>
        <w:t>, еще три машины были направлены в Ташкент для испытаний новой системы охлаждения дви</w:t>
      </w:r>
      <w:r w:rsidRPr="008127F8">
        <w:rPr>
          <w:rFonts w:ascii="Times New Roman" w:cs="Times New Roman"/>
          <w:color w:val="000000" w:themeColor="text1"/>
          <w:spacing w:val="0"/>
        </w:rPr>
        <w:softHyphen/>
        <w:t>гателя в условиях высокой температуры (30-36 градусов). Но, несмотря на полу</w:t>
      </w:r>
      <w:r w:rsidRPr="008127F8">
        <w:rPr>
          <w:rFonts w:ascii="Times New Roman" w:cs="Times New Roman"/>
          <w:color w:val="000000" w:themeColor="text1"/>
          <w:spacing w:val="0"/>
        </w:rPr>
        <w:softHyphen/>
        <w:t>ченные положительные результаты, введе</w:t>
      </w:r>
      <w:r w:rsidRPr="008127F8">
        <w:rPr>
          <w:rFonts w:ascii="Times New Roman" w:cs="Times New Roman"/>
          <w:color w:val="000000" w:themeColor="text1"/>
          <w:spacing w:val="0"/>
        </w:rPr>
        <w:softHyphen/>
        <w:t>ние новых агрегатов в производство по ряду причин затягивалось - ЧКЗ был занят обе</w:t>
      </w:r>
      <w:r w:rsidRPr="008127F8">
        <w:rPr>
          <w:rFonts w:ascii="Times New Roman" w:cs="Times New Roman"/>
          <w:color w:val="000000" w:themeColor="text1"/>
          <w:spacing w:val="0"/>
        </w:rPr>
        <w:softHyphen/>
        <w:t>спечением серийного выпуска танков КВ-1 (15226).</w:t>
      </w:r>
    </w:p>
    <w:p w14:paraId="54334EEE"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p>
    <w:p w14:paraId="016AF5E1" w14:textId="77777777" w:rsidR="009D1910" w:rsidRPr="008A2E5A" w:rsidRDefault="009D1910" w:rsidP="009D19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мая 1942 года были пересмотрены первые характеристики КВ-13. Дальнейшие изменения случились осенью 1942 года, когда КВ-13 вышел на испытания. В результате машина сильно изменилась. Второй танк с тем же индексом оказался сильно другим. Ведущим инженером машины был Н.Ф. Шашмурин, который, после смерти Цейца в июле 1942 года, сменил его на столь ответственном посту. 26 июня исполнилось 112 лет со дня рождения Николая Федоровича, самое время вспомнить первый его танк, который он вел как фактический руководитель проекта (23354).</w:t>
      </w:r>
    </w:p>
    <w:p w14:paraId="7F6775BA" w14:textId="77777777" w:rsidR="009D1910" w:rsidRPr="008A2E5A" w:rsidRDefault="009D1910" w:rsidP="009D1910">
      <w:pPr>
        <w:spacing w:after="0" w:line="240" w:lineRule="auto"/>
        <w:jc w:val="both"/>
        <w:rPr>
          <w:rFonts w:ascii="Times New Roman" w:hAnsi="Times New Roman"/>
          <w:color w:val="0070C0"/>
          <w:sz w:val="16"/>
          <w:szCs w:val="16"/>
        </w:rPr>
      </w:pPr>
    </w:p>
    <w:p w14:paraId="3F1C5B3B" w14:textId="77777777" w:rsidR="009D1910" w:rsidRPr="008A2E5A" w:rsidRDefault="009D1910" w:rsidP="009D19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мая 1942 года после рассмотрения проекта и макета машины КВ-13 командование ГАБТУ КА скорректировало требования. Теперь экипаж состоял из 4 человек, башня становилась трехместной, а также появлялась командирская башенка. Требования заказчика выполнили быстро, очень скоро эскизный проект КВ-13 с трехместной башней был разработан, но дальше события пошли не по плану (23354).</w:t>
      </w:r>
    </w:p>
    <w:p w14:paraId="3DE4B2C9" w14:textId="77777777" w:rsidR="009D1910" w:rsidRPr="008A2E5A" w:rsidRDefault="009D1910" w:rsidP="009D1910">
      <w:pPr>
        <w:spacing w:after="0" w:line="240" w:lineRule="auto"/>
        <w:jc w:val="both"/>
        <w:rPr>
          <w:rFonts w:ascii="Times New Roman" w:hAnsi="Times New Roman"/>
          <w:color w:val="0070C0"/>
          <w:sz w:val="16"/>
          <w:szCs w:val="16"/>
        </w:rPr>
      </w:pPr>
    </w:p>
    <w:p w14:paraId="09ABA662" w14:textId="77777777" w:rsidR="009D1910" w:rsidRPr="008A2E5A" w:rsidRDefault="009D1910" w:rsidP="009D19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мая 1942 года военные четко сказали, что хотят для КВ-13 трехместную башню, причем ее даже нарисовали. Тем не менее, изготовили танк таким, как его задумывал покойный Цейц – с двухместной башней.</w:t>
      </w:r>
    </w:p>
    <w:p w14:paraId="191ABD85" w14:textId="77777777" w:rsidR="009D1910" w:rsidRPr="008A2E5A" w:rsidRDefault="009D1910" w:rsidP="009D19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Н.Ф. Шашмурин, который, после смерти Цейца, возглавил разработку КВ-13, неспроста невзлюбил данный танк. Тяжелый танк с массой и габаритами среднего выглядел не самой лучшей идеей. Поэтому второй вариант танка, разработанный к декабрю 1942 года, был заметно тяжелее предшественника. Кроме того, на нем реализовали ряд идей, который имели прямое отношение к КВ-1с. Эти два танка шли рука об руку практический с самого начала. При этом часть идей, которые изначально прорабатывались для КВ-1с, например, улучшенная командирская башенка, на него не попали. Зато их можно было видеть на втором варианте КВ-13, он же ИС-1. Ходовая часть КВ-13 второго варианта разрабатывалась с учетом доработок КВ-1с, с него же взяли траки (23365).</w:t>
      </w:r>
    </w:p>
    <w:p w14:paraId="31E54878" w14:textId="77777777" w:rsidR="009D1910" w:rsidRPr="008A2E5A" w:rsidRDefault="009D1910" w:rsidP="009D1910">
      <w:pPr>
        <w:spacing w:after="0" w:line="240" w:lineRule="auto"/>
        <w:jc w:val="both"/>
        <w:rPr>
          <w:rFonts w:ascii="Times New Roman" w:hAnsi="Times New Roman"/>
          <w:color w:val="0070C0"/>
          <w:sz w:val="16"/>
          <w:szCs w:val="16"/>
        </w:rPr>
      </w:pPr>
    </w:p>
    <w:p w14:paraId="4F67E70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В конце мая 1942 года Грабин обратился в ГАБТУ КА с просьбой выделить ему Т-70 для установки в него 45-мм пушки ЗИС-19-II. Речь шла об упрощенном варианте танковой пушки, с резким сокращением числа деталей. Инициативу не поддержали. Дело в том, что 45-мм пушку, что в танковом, что в буксируемом исполнении начали упрощать, так что число деталей всё равно снизилось. Поэтому смысла в ЗИС-19-II не имелось никакого (22879).</w:t>
      </w:r>
    </w:p>
    <w:p w14:paraId="601737A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5BF1DB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FE4E9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3F9BA3" w14:textId="77777777" w:rsidR="009D1910" w:rsidRPr="008A2E5A" w:rsidRDefault="009D1910" w:rsidP="009D19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мая 1942 г. на аэродроме Харь</w:t>
      </w:r>
      <w:r w:rsidRPr="008A2E5A">
        <w:rPr>
          <w:rFonts w:ascii="Times New Roman" w:hAnsi="Times New Roman"/>
          <w:color w:val="0070C0"/>
          <w:sz w:val="16"/>
          <w:szCs w:val="16"/>
        </w:rPr>
        <w:softHyphen/>
        <w:t>ков-Основа приземлился транспортный «Юнкере» Ju 52, прибывший из рейха. На его борту находились пушки МК 101, бое</w:t>
      </w:r>
      <w:r w:rsidRPr="008A2E5A">
        <w:rPr>
          <w:rFonts w:ascii="Times New Roman" w:hAnsi="Times New Roman"/>
          <w:color w:val="0070C0"/>
          <w:sz w:val="16"/>
          <w:szCs w:val="16"/>
        </w:rPr>
        <w:softHyphen/>
        <w:t>комплект к ним, включая бронебойные снаряды с сердечниками из карбида воль</w:t>
      </w:r>
      <w:r w:rsidRPr="008A2E5A">
        <w:rPr>
          <w:rFonts w:ascii="Times New Roman" w:hAnsi="Times New Roman"/>
          <w:color w:val="0070C0"/>
          <w:sz w:val="16"/>
          <w:szCs w:val="16"/>
        </w:rPr>
        <w:softHyphen/>
        <w:t>фрама, а также несколько инженеров из испытательного центра в Рехлине. Орудия оперативно установили на самолеты отря</w:t>
      </w:r>
      <w:r w:rsidRPr="008A2E5A">
        <w:rPr>
          <w:rFonts w:ascii="Times New Roman" w:hAnsi="Times New Roman"/>
          <w:color w:val="0070C0"/>
          <w:sz w:val="16"/>
          <w:szCs w:val="16"/>
        </w:rPr>
        <w:softHyphen/>
        <w:t>да 4./Sch.G 1. Никакого опыта примене</w:t>
      </w:r>
      <w:r w:rsidRPr="008A2E5A">
        <w:rPr>
          <w:rFonts w:ascii="Times New Roman" w:hAnsi="Times New Roman"/>
          <w:color w:val="0070C0"/>
          <w:sz w:val="16"/>
          <w:szCs w:val="16"/>
        </w:rPr>
        <w:softHyphen/>
        <w:t>ния пушек МК 101 личный состав отряда не имел. Поэтому 26 мая было проведено теоретическое занятие, а в два последую</w:t>
      </w:r>
      <w:r w:rsidRPr="008A2E5A">
        <w:rPr>
          <w:rFonts w:ascii="Times New Roman" w:hAnsi="Times New Roman"/>
          <w:color w:val="0070C0"/>
          <w:sz w:val="16"/>
          <w:szCs w:val="16"/>
        </w:rPr>
        <w:softHyphen/>
        <w:t>щих дня организована практическая стрельба по находящимся недалеко от аэродрома танкам КВ-1, подбитым не</w:t>
      </w:r>
      <w:r w:rsidRPr="008A2E5A">
        <w:rPr>
          <w:rFonts w:ascii="Times New Roman" w:hAnsi="Times New Roman"/>
          <w:color w:val="0070C0"/>
          <w:sz w:val="16"/>
          <w:szCs w:val="16"/>
        </w:rPr>
        <w:softHyphen/>
        <w:t>мецкими танкистами в ходе операции по окружению немецких войск в районе Бар- венковского выступа. 27 мая в течение дня четыре пилота выполнили 12 самоле</w:t>
      </w:r>
      <w:r w:rsidRPr="008A2E5A">
        <w:rPr>
          <w:rFonts w:ascii="Times New Roman" w:hAnsi="Times New Roman"/>
          <w:color w:val="0070C0"/>
          <w:sz w:val="16"/>
          <w:szCs w:val="16"/>
        </w:rPr>
        <w:softHyphen/>
        <w:t>товылетов. Атаки выполнялись с пикиро</w:t>
      </w:r>
      <w:r w:rsidRPr="008A2E5A">
        <w:rPr>
          <w:rFonts w:ascii="Times New Roman" w:hAnsi="Times New Roman"/>
          <w:color w:val="0070C0"/>
          <w:sz w:val="16"/>
          <w:szCs w:val="16"/>
        </w:rPr>
        <w:softHyphen/>
        <w:t>вания под углом 10-30° строго поперек танка. Стрельба велась короткими очере</w:t>
      </w:r>
      <w:r w:rsidRPr="008A2E5A">
        <w:rPr>
          <w:rFonts w:ascii="Times New Roman" w:hAnsi="Times New Roman"/>
          <w:color w:val="0070C0"/>
          <w:sz w:val="16"/>
          <w:szCs w:val="16"/>
        </w:rPr>
        <w:softHyphen/>
        <w:t>дями с дистанций 400-800 м по боковой поверхности цели (площадь примерно 15 кв. м). Результаты оказались удручающи</w:t>
      </w:r>
      <w:r w:rsidRPr="008A2E5A">
        <w:rPr>
          <w:rFonts w:ascii="Times New Roman" w:hAnsi="Times New Roman"/>
          <w:color w:val="0070C0"/>
          <w:sz w:val="16"/>
          <w:szCs w:val="16"/>
        </w:rPr>
        <w:softHyphen/>
        <w:t>ми: не было достигнуто ни одного попада</w:t>
      </w:r>
      <w:r w:rsidRPr="008A2E5A">
        <w:rPr>
          <w:rFonts w:ascii="Times New Roman" w:hAnsi="Times New Roman"/>
          <w:color w:val="0070C0"/>
          <w:sz w:val="16"/>
          <w:szCs w:val="16"/>
        </w:rPr>
        <w:softHyphen/>
        <w:t>ния! Списав все на недостаточную трени</w:t>
      </w:r>
      <w:r w:rsidRPr="008A2E5A">
        <w:rPr>
          <w:rFonts w:ascii="Times New Roman" w:hAnsi="Times New Roman"/>
          <w:color w:val="0070C0"/>
          <w:sz w:val="16"/>
          <w:szCs w:val="16"/>
        </w:rPr>
        <w:softHyphen/>
        <w:t>рованность пилотов, в первой половине дня 28 мая продолжили вылеты по той же цели - и снова результат нулевой: все 102 выпущенные снаряда пошли «в молоко». Сочтя танк у Барвенково «нефартовым» во второй половине дня летчики решили «расстрелять» другой КВ-1, подбитый не</w:t>
      </w:r>
      <w:r w:rsidRPr="008A2E5A">
        <w:rPr>
          <w:rFonts w:ascii="Times New Roman" w:hAnsi="Times New Roman"/>
          <w:color w:val="0070C0"/>
          <w:sz w:val="16"/>
          <w:szCs w:val="16"/>
        </w:rPr>
        <w:softHyphen/>
        <w:t>далеко от Очеретино. При этом дистан</w:t>
      </w:r>
      <w:r w:rsidRPr="008A2E5A">
        <w:rPr>
          <w:rFonts w:ascii="Times New Roman" w:hAnsi="Times New Roman"/>
          <w:color w:val="0070C0"/>
          <w:sz w:val="16"/>
          <w:szCs w:val="16"/>
        </w:rPr>
        <w:softHyphen/>
        <w:t>цию уменьшили до 300-500 м. В резуль</w:t>
      </w:r>
      <w:r w:rsidRPr="008A2E5A">
        <w:rPr>
          <w:rFonts w:ascii="Times New Roman" w:hAnsi="Times New Roman"/>
          <w:color w:val="0070C0"/>
          <w:sz w:val="16"/>
          <w:szCs w:val="16"/>
        </w:rPr>
        <w:softHyphen/>
        <w:t>тате в ходе 12 самолето-вылетов при рас</w:t>
      </w:r>
      <w:r w:rsidRPr="008A2E5A">
        <w:rPr>
          <w:rFonts w:ascii="Times New Roman" w:hAnsi="Times New Roman"/>
          <w:color w:val="0070C0"/>
          <w:sz w:val="16"/>
          <w:szCs w:val="16"/>
        </w:rPr>
        <w:softHyphen/>
        <w:t>ходе 94 снарядов было получено 12 попаданий. И хотя из попавших в башню и корпус танка 30-мм снарядов броню не пробил и серьезных разрушений элемен</w:t>
      </w:r>
      <w:r w:rsidRPr="008A2E5A">
        <w:rPr>
          <w:rFonts w:ascii="Times New Roman" w:hAnsi="Times New Roman"/>
          <w:color w:val="0070C0"/>
          <w:sz w:val="16"/>
          <w:szCs w:val="16"/>
        </w:rPr>
        <w:softHyphen/>
        <w:t>там конструкции не нанес, в штаб люфт</w:t>
      </w:r>
      <w:r w:rsidRPr="008A2E5A">
        <w:rPr>
          <w:rFonts w:ascii="Times New Roman" w:hAnsi="Times New Roman"/>
          <w:color w:val="0070C0"/>
          <w:sz w:val="16"/>
          <w:szCs w:val="16"/>
        </w:rPr>
        <w:softHyphen/>
        <w:t>ваффе было отправлено донесение: «С уверенностью можно сказать, что броня в 100 мм пробивается... 30-мм бронебой</w:t>
      </w:r>
      <w:r w:rsidRPr="008A2E5A">
        <w:rPr>
          <w:rFonts w:ascii="Times New Roman" w:hAnsi="Times New Roman"/>
          <w:color w:val="0070C0"/>
          <w:sz w:val="16"/>
          <w:szCs w:val="16"/>
        </w:rPr>
        <w:softHyphen/>
        <w:t>ный снаряд 101 обладает достаточной бронепробиваемостью и может быть с ус</w:t>
      </w:r>
      <w:r w:rsidRPr="008A2E5A">
        <w:rPr>
          <w:rFonts w:ascii="Times New Roman" w:hAnsi="Times New Roman"/>
          <w:color w:val="0070C0"/>
          <w:sz w:val="16"/>
          <w:szCs w:val="16"/>
        </w:rPr>
        <w:softHyphen/>
        <w:t>пехом использован на Hs 129 с МК 101 для подавления тяжелых русских тан</w:t>
      </w:r>
      <w:r w:rsidRPr="008A2E5A">
        <w:rPr>
          <w:rFonts w:ascii="Times New Roman" w:hAnsi="Times New Roman"/>
          <w:color w:val="0070C0"/>
          <w:sz w:val="16"/>
          <w:szCs w:val="16"/>
        </w:rPr>
        <w:softHyphen/>
        <w:t>ков...».</w:t>
      </w:r>
    </w:p>
    <w:p w14:paraId="6942C854" w14:textId="77777777" w:rsidR="009D1910" w:rsidRPr="008A2E5A" w:rsidRDefault="009D1910" w:rsidP="009D19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Новые пушки поступили на вооружение штурмовиков как раз вовремя, чтобы при</w:t>
      </w:r>
      <w:r w:rsidRPr="008A2E5A">
        <w:rPr>
          <w:rFonts w:ascii="Times New Roman" w:hAnsi="Times New Roman"/>
          <w:color w:val="0070C0"/>
          <w:sz w:val="16"/>
          <w:szCs w:val="16"/>
        </w:rPr>
        <w:softHyphen/>
        <w:t>нять участие в отражении очередной по</w:t>
      </w:r>
      <w:r w:rsidRPr="008A2E5A">
        <w:rPr>
          <w:rFonts w:ascii="Times New Roman" w:hAnsi="Times New Roman"/>
          <w:color w:val="0070C0"/>
          <w:sz w:val="16"/>
          <w:szCs w:val="16"/>
        </w:rPr>
        <w:softHyphen/>
        <w:t>пытки советского наступления в районе Харькова. Уже к середине месяца пилоты отряда записали на свой счет 23 уничто</w:t>
      </w:r>
      <w:r w:rsidRPr="008A2E5A">
        <w:rPr>
          <w:rFonts w:ascii="Times New Roman" w:hAnsi="Times New Roman"/>
          <w:color w:val="0070C0"/>
          <w:sz w:val="16"/>
          <w:szCs w:val="16"/>
        </w:rPr>
        <w:softHyphen/>
        <w:t>женных танка. Благодаря усилиям вермах</w:t>
      </w:r>
      <w:r w:rsidRPr="008A2E5A">
        <w:rPr>
          <w:rFonts w:ascii="Times New Roman" w:hAnsi="Times New Roman"/>
          <w:color w:val="0070C0"/>
          <w:sz w:val="16"/>
          <w:szCs w:val="16"/>
        </w:rPr>
        <w:softHyphen/>
        <w:t>та войска Юго-Западного фронта были отброшены к Воронежу. Пленные показа</w:t>
      </w:r>
      <w:r w:rsidRPr="008A2E5A">
        <w:rPr>
          <w:rFonts w:ascii="Times New Roman" w:hAnsi="Times New Roman"/>
          <w:color w:val="0070C0"/>
          <w:sz w:val="16"/>
          <w:szCs w:val="16"/>
        </w:rPr>
        <w:softHyphen/>
        <w:t>ли. что появление бронированных штур</w:t>
      </w:r>
      <w:r w:rsidRPr="008A2E5A">
        <w:rPr>
          <w:rFonts w:ascii="Times New Roman" w:hAnsi="Times New Roman"/>
          <w:color w:val="0070C0"/>
          <w:sz w:val="16"/>
          <w:szCs w:val="16"/>
        </w:rPr>
        <w:softHyphen/>
        <w:t>мовиков не прошло незамеченным - са</w:t>
      </w:r>
      <w:r w:rsidRPr="008A2E5A">
        <w:rPr>
          <w:rFonts w:ascii="Times New Roman" w:hAnsi="Times New Roman"/>
          <w:color w:val="0070C0"/>
          <w:sz w:val="16"/>
          <w:szCs w:val="16"/>
        </w:rPr>
        <w:softHyphen/>
        <w:t>молеты, неуязвимые к винтовочно-пуле</w:t>
      </w:r>
      <w:r w:rsidRPr="008A2E5A">
        <w:rPr>
          <w:rFonts w:ascii="Times New Roman" w:hAnsi="Times New Roman"/>
          <w:color w:val="0070C0"/>
          <w:sz w:val="16"/>
          <w:szCs w:val="16"/>
        </w:rPr>
        <w:softHyphen/>
        <w:t>метному огню, оказывали существенное деморализующее влияние на советскую пехоту.</w:t>
      </w:r>
    </w:p>
    <w:p w14:paraId="420C3221" w14:textId="77777777" w:rsidR="009D1910" w:rsidRPr="008A2E5A" w:rsidRDefault="009D1910" w:rsidP="009D19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течение июня и начала июля самоле</w:t>
      </w:r>
      <w:r w:rsidRPr="008A2E5A">
        <w:rPr>
          <w:rFonts w:ascii="Times New Roman" w:hAnsi="Times New Roman"/>
          <w:color w:val="0070C0"/>
          <w:sz w:val="16"/>
          <w:szCs w:val="16"/>
        </w:rPr>
        <w:softHyphen/>
        <w:t>ты ll/Sch.G 1 наносили удары по целям в районе Воронежа. Действуя в централь</w:t>
      </w:r>
      <w:r w:rsidRPr="008A2E5A">
        <w:rPr>
          <w:rFonts w:ascii="Times New Roman" w:hAnsi="Times New Roman"/>
          <w:color w:val="0070C0"/>
          <w:sz w:val="16"/>
          <w:szCs w:val="16"/>
        </w:rPr>
        <w:softHyphen/>
        <w:t>ном секторе южного участка советско- германского фронта, отряды группы ис</w:t>
      </w:r>
      <w:r w:rsidRPr="008A2E5A">
        <w:rPr>
          <w:rFonts w:ascii="Times New Roman" w:hAnsi="Times New Roman"/>
          <w:color w:val="0070C0"/>
          <w:sz w:val="16"/>
          <w:szCs w:val="16"/>
        </w:rPr>
        <w:softHyphen/>
        <w:t>пользовали аэродромы Харькова, Волчан- ска, Шаталовки, Орла и Курска (24189).</w:t>
      </w:r>
    </w:p>
    <w:p w14:paraId="68EC003D" w14:textId="77777777" w:rsidR="009D1910" w:rsidRPr="008A2E5A" w:rsidRDefault="009D1910" w:rsidP="009D1910">
      <w:pPr>
        <w:spacing w:after="0" w:line="240" w:lineRule="auto"/>
        <w:jc w:val="both"/>
        <w:rPr>
          <w:rFonts w:ascii="Times New Roman" w:hAnsi="Times New Roman"/>
          <w:color w:val="0070C0"/>
          <w:sz w:val="16"/>
          <w:szCs w:val="16"/>
        </w:rPr>
      </w:pPr>
    </w:p>
    <w:p w14:paraId="4BE1877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концу мая 1942 в состав 4-й воздушной армии Южного фронта, формирование которой началось 5 мая, вошли 230-я шад, 216-я, 217-я и 229-я иад, 218-я ночная и 219-я бомбардировочные авиадивизии, а также семь смешанных авиаполков. Отметим, что командиром вновь сформированной 230-й штурмовой авиадивизии 18 мая был назначен подполковник Гетьман. С целью снижения активности Люфтваффе было решено нанести несколько бомбоштурмовых ударов по аэродромам базирования немецкой авиации (12020).</w:t>
      </w:r>
    </w:p>
    <w:p w14:paraId="2615C82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AB57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мая 1942 на разных стадиях освоения "Бостонов" находились уже 11 полков (3457,100).</w:t>
      </w:r>
    </w:p>
    <w:p w14:paraId="44544E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434F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мая – начале июня 1942 г., в период относительного затишья, Москвин - командир 14 отдельного гвардейского минометного дивизиона - подытожил опыт борьбы с вражеской бронетехникой и нашел новый способ ее уничтожения. Его поддержал инспектор гвардейских минометных частей (ГМЧ) полковник А.И. Нестеренко. Устроили проверочные стрельбы. Для придания направляющим минимального угла возвышения “катюши” заезжали передними колесами в вырытые углубления, и снаряды, уходя параллельно земле, разносили фанерные макеты танков. “Ну и что из того, что вы разбиваете фанеру? – сомневались скептики. – Настоящие танки вам все равно не одолеть!”.</w:t>
      </w:r>
    </w:p>
    <w:p w14:paraId="3E42F2E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Доля истины в этих сомнениях присутствовала, ведь боевая часть снарядов М-13 была осколочно-фугасной, а не бронебойной. Однако оказалось, что при попадании их осколков в моторную часть или бензобаки возникает пожар, перебиваются гусеницы, заклинивает башни, а удар снаряда в лобовую броню выводит из строя экипаж из-за сильнейшей контузии (9632).</w:t>
      </w:r>
    </w:p>
    <w:p w14:paraId="296D86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DDE10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концу мая 1942 «хеншели» из состава 4-й эскадрильи М./ЗИс.СЗ. 1 силами технического персонала были оснащены сменным противотанко</w:t>
      </w:r>
      <w:r w:rsidRPr="008127F8">
        <w:rPr>
          <w:rFonts w:ascii="Times New Roman" w:hAnsi="Times New Roman"/>
          <w:color w:val="000000" w:themeColor="text1"/>
          <w:sz w:val="16"/>
          <w:szCs w:val="16"/>
        </w:rPr>
        <w:softHyphen/>
        <w:t>вым вариантом вооружения (так называ</w:t>
      </w:r>
      <w:r w:rsidRPr="008127F8">
        <w:rPr>
          <w:rFonts w:ascii="Times New Roman" w:hAnsi="Times New Roman"/>
          <w:color w:val="000000" w:themeColor="text1"/>
          <w:sz w:val="16"/>
          <w:szCs w:val="16"/>
        </w:rPr>
        <w:softHyphen/>
        <w:t>емый второй «рустзатц» - Н2), который включал 30-мм пушку МК101 в подфюзе- ляжном контейнере с боекомплектом в кими очередями с дистанций 400-800 м по боковой части башни и корпуса танка (пло</w:t>
      </w:r>
      <w:r w:rsidRPr="008127F8">
        <w:rPr>
          <w:rFonts w:ascii="Times New Roman" w:hAnsi="Times New Roman"/>
          <w:color w:val="000000" w:themeColor="text1"/>
          <w:sz w:val="16"/>
          <w:szCs w:val="16"/>
        </w:rPr>
        <w:softHyphen/>
        <w:t>щадь цели примерно 15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Минимальная высота над землей после выхода из атаки составляла 30-60 м.</w:t>
      </w:r>
    </w:p>
    <w:p w14:paraId="000DB1F8" w14:textId="77777777" w:rsidR="007C5583" w:rsidRPr="008127F8" w:rsidRDefault="007C5583" w:rsidP="007C5583">
      <w:pPr>
        <w:pStyle w:val="34"/>
        <w:shd w:val="clear" w:color="auto" w:fill="auto"/>
        <w:spacing w:line="240" w:lineRule="auto"/>
        <w:jc w:val="both"/>
        <w:rPr>
          <w:rFonts w:ascii="Times New Roman" w:cs="Times New Roman"/>
          <w:color w:val="000000" w:themeColor="text1"/>
          <w:spacing w:val="0"/>
          <w:sz w:val="16"/>
          <w:szCs w:val="16"/>
        </w:rPr>
      </w:pPr>
      <w:r w:rsidRPr="008127F8">
        <w:rPr>
          <w:rStyle w:val="3Tahoma8pt"/>
          <w:rFonts w:ascii="Times New Roman" w:hAnsi="Times New Roman" w:cs="Times New Roman"/>
          <w:i w:val="0"/>
          <w:color w:val="000000" w:themeColor="text1"/>
          <w:spacing w:val="0"/>
          <w:sz w:val="16"/>
          <w:szCs w:val="16"/>
        </w:rPr>
        <w:t>Результаты испытаний оказались удручающими. В идеальных полигонных условиях, когда никто не мешал, ни в од</w:t>
      </w:r>
      <w:r w:rsidRPr="008127F8">
        <w:rPr>
          <w:rStyle w:val="3Tahoma8pt"/>
          <w:rFonts w:ascii="Times New Roman" w:hAnsi="Times New Roman" w:cs="Times New Roman"/>
          <w:i w:val="0"/>
          <w:color w:val="000000" w:themeColor="text1"/>
          <w:spacing w:val="0"/>
          <w:sz w:val="16"/>
          <w:szCs w:val="16"/>
        </w:rPr>
        <w:softHyphen/>
        <w:t>ном из вылетов</w:t>
      </w:r>
      <w:r w:rsidRPr="008127F8">
        <w:rPr>
          <w:rFonts w:ascii="Times New Roman" w:cs="Times New Roman"/>
          <w:color w:val="000000" w:themeColor="text1"/>
          <w:spacing w:val="0"/>
          <w:sz w:val="16"/>
          <w:szCs w:val="16"/>
        </w:rPr>
        <w:t xml:space="preserve"> «...не было достигнуто ни одного попадания из пушки МК101, так как обнаружилось, что при недостаточной тре</w:t>
      </w:r>
      <w:r w:rsidRPr="008127F8">
        <w:rPr>
          <w:rFonts w:ascii="Times New Roman" w:cs="Times New Roman"/>
          <w:color w:val="000000" w:themeColor="text1"/>
          <w:spacing w:val="0"/>
          <w:sz w:val="16"/>
          <w:szCs w:val="16"/>
        </w:rPr>
        <w:softHyphen/>
        <w:t>нировке и малой скорострельности пушки МК101, очень трудно добиться попаданий по небольшой цели».</w:t>
      </w:r>
    </w:p>
    <w:p w14:paraId="287118F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первой половине дня 28 мая те же четыре пилота выполнили на обстрел КВ-1 по три самолето-вылета каждый.</w:t>
      </w:r>
      <w:r w:rsidRPr="008127F8">
        <w:rPr>
          <w:rStyle w:val="ArialNarrow85pt"/>
          <w:rFonts w:ascii="Times New Roman" w:hAnsi="Times New Roman" w:cs="Times New Roman"/>
          <w:i w:val="0"/>
          <w:color w:val="000000" w:themeColor="text1"/>
          <w:sz w:val="16"/>
          <w:szCs w:val="16"/>
        </w:rPr>
        <w:t xml:space="preserve"> «Снова выяснилось, что при углах пикирования 10-30°, без достаточной тренировки до</w:t>
      </w:r>
      <w:r w:rsidRPr="008127F8">
        <w:rPr>
          <w:rStyle w:val="ArialNarrow85pt"/>
          <w:rFonts w:ascii="Times New Roman" w:hAnsi="Times New Roman" w:cs="Times New Roman"/>
          <w:i w:val="0"/>
          <w:color w:val="000000" w:themeColor="text1"/>
          <w:sz w:val="16"/>
          <w:szCs w:val="16"/>
        </w:rPr>
        <w:softHyphen/>
        <w:t>биться попаданий очень трудно»</w:t>
      </w:r>
      <w:r w:rsidRPr="008127F8">
        <w:rPr>
          <w:rFonts w:ascii="Times New Roman" w:hAnsi="Times New Roman"/>
          <w:color w:val="000000" w:themeColor="text1"/>
          <w:sz w:val="16"/>
          <w:szCs w:val="16"/>
        </w:rPr>
        <w:t xml:space="preserve"> - при расходе 102 снарядов не было получено ни одного попадания в танк.</w:t>
      </w:r>
    </w:p>
    <w:p w14:paraId="15D7731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Видимо посчитав, что КВ-1, стоящий в поле у Барвенково, заколдован и «расстре</w:t>
      </w:r>
      <w:r w:rsidRPr="008127F8">
        <w:rPr>
          <w:rFonts w:ascii="Times New Roman" w:hAnsi="Times New Roman"/>
          <w:color w:val="000000" w:themeColor="text1"/>
          <w:sz w:val="16"/>
          <w:szCs w:val="16"/>
        </w:rPr>
        <w:softHyphen/>
        <w:t>лу» не подвержен, немецкие летчики реши</w:t>
      </w:r>
      <w:r w:rsidRPr="008127F8">
        <w:rPr>
          <w:rFonts w:ascii="Times New Roman" w:hAnsi="Times New Roman"/>
          <w:color w:val="000000" w:themeColor="text1"/>
          <w:sz w:val="16"/>
          <w:szCs w:val="16"/>
        </w:rPr>
        <w:softHyphen/>
        <w:t>ли попытать счастье и «расстрелять» другой танк, подбитый недалеко от Очеретино.</w:t>
      </w:r>
    </w:p>
    <w:p w14:paraId="05679CD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обеда, четверка немецких лет</w:t>
      </w:r>
      <w:r w:rsidRPr="008127F8">
        <w:rPr>
          <w:rFonts w:ascii="Times New Roman" w:hAnsi="Times New Roman"/>
          <w:color w:val="000000" w:themeColor="text1"/>
          <w:sz w:val="16"/>
          <w:szCs w:val="16"/>
        </w:rPr>
        <w:softHyphen/>
        <w:t>чиков выполнила по очеретиновскому КВ-1 12 самолето-вылетов. Углы пикирования остались прежними. Дистанция стрельбы была уменьшена до 300-500 м, а мини</w:t>
      </w:r>
      <w:r w:rsidRPr="008127F8">
        <w:rPr>
          <w:rFonts w:ascii="Times New Roman" w:hAnsi="Times New Roman"/>
          <w:color w:val="000000" w:themeColor="text1"/>
          <w:sz w:val="16"/>
          <w:szCs w:val="16"/>
        </w:rPr>
        <w:softHyphen/>
        <w:t>мальная допустимая высота для маневра после выхода из атаки - до 15-25 м. В ре</w:t>
      </w:r>
      <w:r w:rsidRPr="008127F8">
        <w:rPr>
          <w:rFonts w:ascii="Times New Roman" w:hAnsi="Times New Roman"/>
          <w:color w:val="000000" w:themeColor="text1"/>
          <w:sz w:val="16"/>
          <w:szCs w:val="16"/>
        </w:rPr>
        <w:softHyphen/>
        <w:t>зультате при расходе 94 снарядов было по</w:t>
      </w:r>
      <w:r w:rsidRPr="008127F8">
        <w:rPr>
          <w:rFonts w:ascii="Times New Roman" w:hAnsi="Times New Roman"/>
          <w:color w:val="000000" w:themeColor="text1"/>
          <w:sz w:val="16"/>
          <w:szCs w:val="16"/>
        </w:rPr>
        <w:softHyphen/>
        <w:t>лучено 12 попаданий. В танк попали только три пилота, четвертому так и не удалось открыть счет.</w:t>
      </w:r>
    </w:p>
    <w:p w14:paraId="72F8A94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этом ни один из попавших в башню и корпус танка 30-мм снарядов броню не пробил и серьезных разрушений элемен</w:t>
      </w:r>
      <w:r w:rsidRPr="008127F8">
        <w:rPr>
          <w:rFonts w:ascii="Times New Roman" w:hAnsi="Times New Roman"/>
          <w:color w:val="000000" w:themeColor="text1"/>
          <w:sz w:val="16"/>
          <w:szCs w:val="16"/>
        </w:rPr>
        <w:softHyphen/>
        <w:t>там конструкции танка не нанес. Во всех случаях снаряды разрушались и застрева</w:t>
      </w:r>
      <w:r w:rsidRPr="008127F8">
        <w:rPr>
          <w:rFonts w:ascii="Times New Roman" w:hAnsi="Times New Roman"/>
          <w:color w:val="000000" w:themeColor="text1"/>
          <w:sz w:val="16"/>
          <w:szCs w:val="16"/>
        </w:rPr>
        <w:softHyphen/>
        <w:t>ли внутри брони, образовывая выбоины и вмятины разной глубины.</w:t>
      </w:r>
    </w:p>
    <w:p w14:paraId="4882624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трех случаях наблюдались рикошеты - от башни, от гусеницы и от направляюще</w:t>
      </w:r>
      <w:r w:rsidRPr="008127F8">
        <w:rPr>
          <w:rFonts w:ascii="Times New Roman" w:hAnsi="Times New Roman"/>
          <w:color w:val="000000" w:themeColor="text1"/>
          <w:sz w:val="16"/>
          <w:szCs w:val="16"/>
        </w:rPr>
        <w:softHyphen/>
        <w:t>го колеса.</w:t>
      </w:r>
    </w:p>
    <w:p w14:paraId="4D01303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Самое интересное, что вышестоящему немецкому командованию лихо докладыва</w:t>
      </w:r>
      <w:r w:rsidRPr="008127F8">
        <w:rPr>
          <w:rFonts w:ascii="Times New Roman" w:hAnsi="Times New Roman"/>
          <w:color w:val="000000" w:themeColor="text1"/>
          <w:sz w:val="16"/>
          <w:szCs w:val="16"/>
        </w:rPr>
        <w:softHyphen/>
        <w:t>лось:</w:t>
      </w:r>
      <w:r w:rsidRPr="008127F8">
        <w:rPr>
          <w:rStyle w:val="ArialNarrow85pt"/>
          <w:rFonts w:ascii="Times New Roman" w:hAnsi="Times New Roman" w:cs="Times New Roman"/>
          <w:i w:val="0"/>
          <w:color w:val="000000" w:themeColor="text1"/>
          <w:sz w:val="16"/>
          <w:szCs w:val="16"/>
        </w:rPr>
        <w:t xml:space="preserve"> «С уверенностью можно сказать, что броня в 100 мм пробивается. ...30-мм броню.</w:t>
      </w:r>
    </w:p>
    <w:p w14:paraId="41A3491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Трофейные документы, найденные в Нз 129В-1, сбитом в июне 1942 г. на Юго- Западном фронте, проливают некоторый «свет» на реальные боевые свойства «хеншеля» с пушкой МК101, как противотан</w:t>
      </w:r>
      <w:r w:rsidRPr="008127F8">
        <w:rPr>
          <w:rFonts w:ascii="Times New Roman" w:hAnsi="Times New Roman"/>
          <w:color w:val="000000" w:themeColor="text1"/>
          <w:sz w:val="16"/>
          <w:szCs w:val="16"/>
        </w:rPr>
        <w:softHyphen/>
        <w:t>кового самолета. Это был отчет № 210/42 от 5 июня 1942 г. на имя командующего истребительной авиации люфтваффе о проведении полигонных испытаний пушек МК101 стрельбой в воздухе с самолета Нз 129В-1 по танкам КВ-1.</w:t>
      </w:r>
    </w:p>
    <w:p w14:paraId="3038613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отчетных материалов следует, что в период с 25 по 29 мая 1942 г. в 4./5сИ.С.1 (аэродром Барвенково в 60 км северо- западнее Константиновки) находилась группа специалистов Генерального штаба люфтваффе. В их задачу входило оказание помощи личному составу 4-й эскадрильи в практическом применении для борьбы с советскими танками пушек МК101 и снаря</w:t>
      </w:r>
      <w:r w:rsidRPr="008127F8">
        <w:rPr>
          <w:rFonts w:ascii="Times New Roman" w:hAnsi="Times New Roman"/>
          <w:color w:val="000000" w:themeColor="text1"/>
          <w:sz w:val="16"/>
          <w:szCs w:val="16"/>
        </w:rPr>
        <w:softHyphen/>
        <w:t>дов к ним.</w:t>
      </w:r>
    </w:p>
    <w:p w14:paraId="7DF6044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и 28 мая была организована прак</w:t>
      </w:r>
      <w:r w:rsidRPr="008127F8">
        <w:rPr>
          <w:rFonts w:ascii="Times New Roman" w:hAnsi="Times New Roman"/>
          <w:color w:val="000000" w:themeColor="text1"/>
          <w:sz w:val="16"/>
          <w:szCs w:val="16"/>
        </w:rPr>
        <w:softHyphen/>
        <w:t>тическая стрельба по находящимся неда</w:t>
      </w:r>
      <w:r w:rsidRPr="008127F8">
        <w:rPr>
          <w:rFonts w:ascii="Times New Roman" w:hAnsi="Times New Roman"/>
          <w:color w:val="000000" w:themeColor="text1"/>
          <w:sz w:val="16"/>
          <w:szCs w:val="16"/>
        </w:rPr>
        <w:softHyphen/>
        <w:t>леко от аэродрома танкам КВ-1, подбитых немецкими танкистами в ходе операции по окружению советских войск в районе Барвенковского выступа.</w:t>
      </w:r>
    </w:p>
    <w:p w14:paraId="620EB8F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в течение дня четырьмя экипа</w:t>
      </w:r>
      <w:r w:rsidRPr="008127F8">
        <w:rPr>
          <w:rFonts w:ascii="Times New Roman" w:hAnsi="Times New Roman"/>
          <w:color w:val="000000" w:themeColor="text1"/>
          <w:sz w:val="16"/>
          <w:szCs w:val="16"/>
        </w:rPr>
        <w:softHyphen/>
        <w:t>жами было выполнено 12 самолето-вы</w:t>
      </w:r>
      <w:r w:rsidRPr="008127F8">
        <w:rPr>
          <w:rFonts w:ascii="Times New Roman" w:hAnsi="Times New Roman"/>
          <w:color w:val="000000" w:themeColor="text1"/>
          <w:sz w:val="16"/>
          <w:szCs w:val="16"/>
        </w:rPr>
        <w:softHyphen/>
        <w:t>летов. Атаки выполнялись с пикирования под углами 10-30' строго поперек танка. Стрельба велась подкалиберными снаря</w:t>
      </w:r>
      <w:r w:rsidRPr="008127F8">
        <w:rPr>
          <w:rFonts w:ascii="Times New Roman" w:hAnsi="Times New Roman"/>
          <w:color w:val="000000" w:themeColor="text1"/>
          <w:sz w:val="16"/>
          <w:szCs w:val="16"/>
        </w:rPr>
        <w:softHyphen/>
        <w:t>дами с вольфрамовым сердечником.</w:t>
      </w:r>
    </w:p>
    <w:p w14:paraId="69DB875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испытаниям бронебойный снаряд 101 обладает достаточ</w:t>
      </w:r>
      <w:r w:rsidRPr="008127F8">
        <w:rPr>
          <w:rFonts w:ascii="Times New Roman" w:hAnsi="Times New Roman"/>
          <w:color w:val="000000" w:themeColor="text1"/>
          <w:sz w:val="16"/>
          <w:szCs w:val="16"/>
        </w:rPr>
        <w:softHyphen/>
        <w:t>ной бронепробиваемостью и может быть с успехом использован на Нз129 из МК101 для подавления тяжелых русских танков...».</w:t>
      </w:r>
    </w:p>
    <w:p w14:paraId="25E5099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Анализ фотографий «расстрелянного» КВ-1 позволяет сделать вывод, что специ</w:t>
      </w:r>
      <w:r w:rsidRPr="008127F8">
        <w:rPr>
          <w:rFonts w:ascii="Times New Roman" w:hAnsi="Times New Roman"/>
          <w:color w:val="000000" w:themeColor="text1"/>
          <w:sz w:val="16"/>
          <w:szCs w:val="16"/>
        </w:rPr>
        <w:softHyphen/>
        <w:t>алисты генштаба люфтваффе и летный состав 4./5сН.С.1, мягко скажем, «втирали очки» своему начальству и выдавали жела</w:t>
      </w:r>
      <w:r w:rsidRPr="008127F8">
        <w:rPr>
          <w:rFonts w:ascii="Times New Roman" w:hAnsi="Times New Roman"/>
          <w:color w:val="000000" w:themeColor="text1"/>
          <w:sz w:val="16"/>
          <w:szCs w:val="16"/>
        </w:rPr>
        <w:softHyphen/>
        <w:t>емое за действительное.</w:t>
      </w:r>
    </w:p>
    <w:p w14:paraId="5EAE145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Свои выводы они построили на том факте, что один из снарядов попал в сварной шов соединения кормового бронелиста башни и прошел по шву на глуби</w:t>
      </w:r>
      <w:r w:rsidRPr="008127F8">
        <w:rPr>
          <w:rFonts w:ascii="Times New Roman" w:hAnsi="Times New Roman"/>
          <w:color w:val="000000" w:themeColor="text1"/>
          <w:sz w:val="16"/>
          <w:szCs w:val="16"/>
        </w:rPr>
        <w:softHyphen/>
        <w:t>ну около 120 мм. Ясно, что это весьма и весьма редкий случай. При этом никаких разрушений внутри танка быть не могло. То, что в других случаях не было и намека на сквозные пробоины и серьезные по</w:t>
      </w:r>
      <w:r w:rsidRPr="008127F8">
        <w:rPr>
          <w:rFonts w:ascii="Times New Roman" w:hAnsi="Times New Roman"/>
          <w:color w:val="000000" w:themeColor="text1"/>
          <w:sz w:val="16"/>
          <w:szCs w:val="16"/>
        </w:rPr>
        <w:softHyphen/>
        <w:t>вреждения элементов конструкции танка в расчет почему-то не принималось...</w:t>
      </w:r>
    </w:p>
    <w:p w14:paraId="57500F3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Реально бронебойный снаряд к этой пушке с 300 м при угле встречи 0° снаряд пробивал только броню толщиной до 44 мм, а подкалиберный - до 52 мм.</w:t>
      </w:r>
    </w:p>
    <w:p w14:paraId="3563E21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 есть тяжелые советские танки не по</w:t>
      </w:r>
      <w:r w:rsidRPr="008127F8">
        <w:rPr>
          <w:rFonts w:ascii="Times New Roman" w:hAnsi="Times New Roman"/>
          <w:color w:val="000000" w:themeColor="text1"/>
          <w:sz w:val="16"/>
          <w:szCs w:val="16"/>
        </w:rPr>
        <w:softHyphen/>
        <w:t>ражались ни при каких условиях атаки.</w:t>
      </w:r>
    </w:p>
    <w:p w14:paraId="53E50F3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Вот поражение бортовой и башенной брони советских легких танков типа Т-60 и Т-70 специальными подкалиберными снарядами было возможным практически с любого направления атаки и дистанций стрельбы до 400-500 м. Правда, надмоторная броня и крыша башни при этом не поражались.</w:t>
      </w:r>
    </w:p>
    <w:p w14:paraId="158513F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Анализ схемы бронирования советско</w:t>
      </w:r>
      <w:r w:rsidRPr="008127F8">
        <w:rPr>
          <w:rFonts w:ascii="Times New Roman" w:hAnsi="Times New Roman"/>
          <w:color w:val="000000" w:themeColor="text1"/>
          <w:sz w:val="16"/>
          <w:szCs w:val="16"/>
        </w:rPr>
        <w:softHyphen/>
        <w:t>го среднего танка Т-34-76 и возможностей пушки МК101 показывает, что при углах пикирования Нз129 около 25-30° подкали</w:t>
      </w:r>
      <w:r w:rsidRPr="008127F8">
        <w:rPr>
          <w:rFonts w:ascii="Times New Roman" w:hAnsi="Times New Roman"/>
          <w:color w:val="000000" w:themeColor="text1"/>
          <w:sz w:val="16"/>
          <w:szCs w:val="16"/>
        </w:rPr>
        <w:softHyphen/>
        <w:t>берный снаряд к пушке мог пробить 52 мм броню башни «тридцатьчетверки» только при стрельбе с дистанции не более 250 м, а бортовую 40-мм броню - не более 600 м.</w:t>
      </w:r>
    </w:p>
    <w:p w14:paraId="2D5C791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при оценке эффективно</w:t>
      </w:r>
      <w:r w:rsidRPr="008127F8">
        <w:rPr>
          <w:rFonts w:ascii="Times New Roman" w:hAnsi="Times New Roman"/>
          <w:color w:val="000000" w:themeColor="text1"/>
          <w:sz w:val="16"/>
          <w:szCs w:val="16"/>
        </w:rPr>
        <w:softHyphen/>
        <w:t>сти атаки самолетов по танкам и другим типовым наземным целям необходимо учитывать следующие факторы.</w:t>
      </w:r>
    </w:p>
    <w:p w14:paraId="4F9D8F2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Если начинать стрельбу сразу же по</w:t>
      </w:r>
      <w:r w:rsidRPr="008127F8">
        <w:rPr>
          <w:rFonts w:ascii="Times New Roman" w:hAnsi="Times New Roman"/>
          <w:color w:val="000000" w:themeColor="text1"/>
          <w:sz w:val="16"/>
          <w:szCs w:val="16"/>
        </w:rPr>
        <w:softHyphen/>
        <w:t>сле разворота на цель, не выдерживая самолет в прямолинейном полете, то сна</w:t>
      </w:r>
      <w:r w:rsidRPr="008127F8">
        <w:rPr>
          <w:rFonts w:ascii="Times New Roman" w:hAnsi="Times New Roman"/>
          <w:color w:val="000000" w:themeColor="text1"/>
          <w:sz w:val="16"/>
          <w:szCs w:val="16"/>
        </w:rPr>
        <w:softHyphen/>
        <w:t>ряды в очереди будут отнесены от цели во внешнюю сторону разворота. Полигонные испытания, показывали, что относ снаря</w:t>
      </w:r>
      <w:r w:rsidRPr="008127F8">
        <w:rPr>
          <w:rFonts w:ascii="Times New Roman" w:hAnsi="Times New Roman"/>
          <w:color w:val="000000" w:themeColor="text1"/>
          <w:sz w:val="16"/>
          <w:szCs w:val="16"/>
        </w:rPr>
        <w:softHyphen/>
        <w:t>дов в типовых условиях атаки для Нз129В мог составлять 11-14 м. Это в 2-3 раза больше размеров любого советского танка. Для устранения этого явления, не</w:t>
      </w:r>
      <w:r w:rsidRPr="008127F8">
        <w:rPr>
          <w:rFonts w:ascii="Times New Roman" w:hAnsi="Times New Roman"/>
          <w:color w:val="000000" w:themeColor="text1"/>
          <w:sz w:val="16"/>
          <w:szCs w:val="16"/>
        </w:rPr>
        <w:softHyphen/>
        <w:t>обходимо в течение 1,5-2 с «задержать» крен и выдержать самолет в прямолиней</w:t>
      </w:r>
      <w:r w:rsidRPr="008127F8">
        <w:rPr>
          <w:rFonts w:ascii="Times New Roman" w:hAnsi="Times New Roman"/>
          <w:color w:val="000000" w:themeColor="text1"/>
          <w:sz w:val="16"/>
          <w:szCs w:val="16"/>
        </w:rPr>
        <w:softHyphen/>
        <w:t>ном полете.</w:t>
      </w:r>
    </w:p>
    <w:p w14:paraId="6A8A201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прицеливание и исправление на</w:t>
      </w:r>
      <w:r w:rsidRPr="008127F8">
        <w:rPr>
          <w:rFonts w:ascii="Times New Roman" w:hAnsi="Times New Roman"/>
          <w:color w:val="000000" w:themeColor="text1"/>
          <w:sz w:val="16"/>
          <w:szCs w:val="16"/>
        </w:rPr>
        <w:softHyphen/>
        <w:t>водки между очередями летчику с хоро</w:t>
      </w:r>
      <w:r w:rsidRPr="008127F8">
        <w:rPr>
          <w:rFonts w:ascii="Times New Roman" w:hAnsi="Times New Roman"/>
          <w:color w:val="000000" w:themeColor="text1"/>
          <w:sz w:val="16"/>
          <w:szCs w:val="16"/>
        </w:rPr>
        <w:softHyphen/>
        <w:t>шей квалификацией требуется в среднем 1,5-2 с. То есть, при «правильном» выпол</w:t>
      </w:r>
      <w:r w:rsidRPr="008127F8">
        <w:rPr>
          <w:rFonts w:ascii="Times New Roman" w:hAnsi="Times New Roman"/>
          <w:color w:val="000000" w:themeColor="text1"/>
          <w:sz w:val="16"/>
          <w:szCs w:val="16"/>
        </w:rPr>
        <w:softHyphen/>
        <w:t>нении атаки наземной цели открытие огня должно происходить не раньше, чем через 3-4 с.</w:t>
      </w:r>
    </w:p>
    <w:p w14:paraId="4FFEDAE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Поскольку ведение стрельбы из МК101 очередью свыше 4-5 снарядов из-за вли</w:t>
      </w:r>
      <w:r w:rsidRPr="008127F8">
        <w:rPr>
          <w:rFonts w:ascii="Times New Roman" w:hAnsi="Times New Roman"/>
          <w:color w:val="000000" w:themeColor="text1"/>
          <w:sz w:val="16"/>
          <w:szCs w:val="16"/>
        </w:rPr>
        <w:softHyphen/>
        <w:t>яния силы отдачи пушки на самолет при</w:t>
      </w:r>
      <w:r w:rsidRPr="008127F8">
        <w:rPr>
          <w:rFonts w:ascii="Times New Roman" w:hAnsi="Times New Roman"/>
          <w:color w:val="000000" w:themeColor="text1"/>
          <w:sz w:val="16"/>
          <w:szCs w:val="16"/>
        </w:rPr>
        <w:softHyphen/>
        <w:t>водит к нарушению наводки самолета на цель и к значительному увеличению рассе</w:t>
      </w:r>
      <w:r w:rsidRPr="008127F8">
        <w:rPr>
          <w:rFonts w:ascii="Times New Roman" w:hAnsi="Times New Roman"/>
          <w:color w:val="000000" w:themeColor="text1"/>
          <w:sz w:val="16"/>
          <w:szCs w:val="16"/>
        </w:rPr>
        <w:softHyphen/>
        <w:t>ивания снарядов, то длина одной очереди ограничивается 1 с.</w:t>
      </w:r>
    </w:p>
    <w:p w14:paraId="7F212FC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 есть, для гарантированного вы</w:t>
      </w:r>
      <w:r w:rsidRPr="008127F8">
        <w:rPr>
          <w:rFonts w:ascii="Times New Roman" w:hAnsi="Times New Roman"/>
          <w:color w:val="000000" w:themeColor="text1"/>
          <w:sz w:val="16"/>
          <w:szCs w:val="16"/>
        </w:rPr>
        <w:softHyphen/>
        <w:t>ведения из строя одного Т-34-76 коман</w:t>
      </w:r>
      <w:r w:rsidRPr="008127F8">
        <w:rPr>
          <w:rFonts w:ascii="Times New Roman" w:hAnsi="Times New Roman"/>
          <w:color w:val="000000" w:themeColor="text1"/>
          <w:sz w:val="16"/>
          <w:szCs w:val="16"/>
        </w:rPr>
        <w:softHyphen/>
        <w:t>дованию люфтваффе необходимо было выделять не менее четырех-пяти десятков бронированных «хеншелей». Такой резуль</w:t>
      </w:r>
      <w:r w:rsidRPr="008127F8">
        <w:rPr>
          <w:rFonts w:ascii="Times New Roman" w:hAnsi="Times New Roman"/>
          <w:color w:val="000000" w:themeColor="text1"/>
          <w:sz w:val="16"/>
          <w:szCs w:val="16"/>
        </w:rPr>
        <w:softHyphen/>
        <w:t>тат нельзя признать высоким (12728).</w:t>
      </w:r>
    </w:p>
    <w:p w14:paraId="3733C1C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79E0E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65A5770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67EF9E" w14:textId="77777777" w:rsidR="009D1910" w:rsidRPr="008A2E5A" w:rsidRDefault="009D1910" w:rsidP="009D19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второй половине мая 1942 самолет Як-1 заводской № 3560 выпуска завода № 292 после переоборудования, выполненного заводом № 115 () участвовал в совместных контрольных испытаниях НИИ ВВС КА и ЛИИ НКАП по определению летных данных самолетов ЛаГГ-3, Як-1 и Як-7 с моторами М-105П при наддувах 910 мм и 1050 мм. Однако, после третьего полета на горизонтальные площадки в фильтре Куно была обнаружена стружка и мотор пришлось снять. На самолет был поставлен М-105ПФ, которого хватило лишь ненамного дольше – на этот раз стружка в фильтре появилась после пятого полета (2 ч 10 мин работы в воздухе). После этого самолет был снят с испытаний и продемонстрированные им летные характеристики в отчет о результатах испытаний не включались.</w:t>
      </w:r>
    </w:p>
    <w:p w14:paraId="376037EC" w14:textId="77777777" w:rsidR="009D1910" w:rsidRPr="008A2E5A" w:rsidRDefault="009D1910" w:rsidP="009D19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3560 был одним из десяти облегченных Як-1, предназначенных для использования в качестве истребителей-перехватчиков ПВО, которые были собраны на заводе № 292 в конце марта 1942. Их основными отличиями от серийных машин было вооружение, сокращенное до одной 20-мм пушки ШВАК, а также металлическое хвостовое оперение от Як-7. Согласно постановлению ГКО всю партию нужно было сдать к 1.04.1942, но комплекты хвостового оперения поступили с завода № 153 только 7 апреля, поэтому самолеты задержались на заводе на целый месяц. 3560 был окончательно принят военной приемкой 27 апреля, а 30 апреля отправлен лётом в 6 ИАК ПВО. На самолете был установлен мотор М-105ПА, но еще на заводе он был отрегулирован на наддув 1050 мм. рт. ст.</w:t>
      </w:r>
    </w:p>
    <w:p w14:paraId="014E2311" w14:textId="77777777" w:rsidR="009D1910" w:rsidRPr="008A2E5A" w:rsidRDefault="009D1910" w:rsidP="009D19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июня 3560 был отправлен на завод № 115, где его переделали в эталон по вооружению, обзору и бронированию. На самолете был переделан гаргрот фюзеляжа, установлены сплошной козырек из гнутого плексигласа и задняя часть фонаря кабины с улучшенным обзором, переделана бронеспинка, установлены макетное заднее бронестекло и макетный бронещиток на подвижной части фонаря кабины, поставлено убирающееся хвостовое колесо, переделан тоннель водорадиатора, вентиляция кабины сделана по типу Як-7, а также внесены другие, менее значительные изменения. В дополнение к пушке ШВАК был установлен один синхронный 12,7-мм УБС, а неисправный М-105ПФ заменили на М-105ПА. В таком виде 3560 с 4 по 14 июля проходил испытания в НИИ ВВС КА. Во время испытаний выяснилось, что обзор через козырек из сплошного плексигласа оказался неудовлетворительным из-за больших искажений, которые давали изогнутые боковые части козырька. Поэтому 11-13 июля козырек был заменен на составной из плоских листов плексигласа. Испытания самолета проводил летчик-испытатель капитан Афанасий Прошаков, а в конце испытаний его облетали полковник Петр Стефановский, майор Валентин Хомяков, инженер-подполковник Андрей Кочетков, капитан Константин Кожевников и старший лейтенант Леонид Кувшинов. Всего за время испытаний было выполнено 16 полетов общей продолжительностью 8 ч 15 мин.</w:t>
      </w:r>
    </w:p>
    <w:p w14:paraId="2DA3FDD9" w14:textId="77777777" w:rsidR="009D1910" w:rsidRPr="008A2E5A" w:rsidRDefault="009D1910" w:rsidP="009D19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вес самолета во время испытаний составлял 2883 кг (без радиостанции и с макетной броней). От земли до второй границы высотности испытания проводились при 2550 об/мин, а выше – при 2550 и 2700 об/мин. Наддув у земли был отрегулирован на 910 мм. рт. ст. При испытаниях на максимальную скорость горизонтального полета заслонка водорадиатора устанавливалась по потоку, а на скороподъемность – была полностью открыта. Заслонка маслорадиатора не имела приспособления для изменения положения и всегда была полностью открыта. Максимальная скорость у земли составила 478 км/ч, на высоте 1000 м – 499 км/ч (при наддуве 915 мм. рт. ст.), на первой границе высотности (2600 м при наддуве 920 мм. рт. ст.) – 533 км/ч, на второй границе высотности при 2550 об/мин (4600 м при наддуве 930 мм. рт. ст.) – 558 км/ч, на второй границе высотности при 2700 об/мин (4850 м при наддуве 930 мм. рт. ст.) – 563 км/ч. Время набора высоты 5000 м при 2550 об/мин равнялось 6,5 мин, а в случае если с высоты 3500 м обороты увеличивались до 2700 об/мин, сокращалось до 5,9 мин. Во время работы мотора на 2700 об/мин при температуре наружного воздуха у земли 20-27 ˚C, температура воды превышала допустимую и достигала 107 ˚C как на режиме максимальной скороподъемности, так и после 4-5 минутных площадок на режиме максимальной горизонтальной скорости (23546).</w:t>
      </w:r>
      <w:bookmarkStart w:id="6" w:name="cutid1"/>
      <w:bookmarkEnd w:id="6"/>
    </w:p>
    <w:p w14:paraId="074E29EE" w14:textId="77777777" w:rsidR="009D1910" w:rsidRPr="008A2E5A" w:rsidRDefault="009D1910" w:rsidP="009D1910">
      <w:pPr>
        <w:spacing w:after="0" w:line="240" w:lineRule="auto"/>
        <w:jc w:val="both"/>
        <w:rPr>
          <w:rFonts w:ascii="Times New Roman" w:hAnsi="Times New Roman"/>
          <w:color w:val="0070C0"/>
          <w:sz w:val="16"/>
          <w:szCs w:val="16"/>
        </w:rPr>
      </w:pPr>
    </w:p>
    <w:p w14:paraId="17D36D1B"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Во второй половине мая 1942 года, учитывая специфические корабельные условия, советские конструкторы специального конструкторского бюро московского завода “Компрессор” под руководством главного конструктора В.П. Бармина разработали ряд морских экспериментальных пусковых установок, изготовление и испытание которых завершилось в конце мая того же года. Установка 24-М-8 (24 реактивных снаряда) относилась к башенно-палубному типу и состояла из качающейся части, основания, прицельного устройства, механизмов наведения и электрооборудования. Диапазон углов возвышения, скрепленной с основанием качающейся части составлял от 5 до 45°, а поворотная часть перемещалась в горизонтальной плоскости на 360°. Внутри поворотной части монтировались механизмы вертикального и горизонтального наведения, прицельное устройство и электрооборудование. Интервал между выстрелами составлял 0,3 с, а все 24 снаряда сходили с направляющих за 16 оборотов (7–8 с.) переключателя прибора управления огнем (15982).</w:t>
      </w:r>
    </w:p>
    <w:p w14:paraId="250D756F"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p>
    <w:p w14:paraId="105EE7E3" w14:textId="439B6465" w:rsidR="007C5583" w:rsidRPr="00E7026B" w:rsidRDefault="007C5583" w:rsidP="007C5583">
      <w:pPr>
        <w:widowControl w:val="0"/>
        <w:autoSpaceDE w:val="0"/>
        <w:autoSpaceDN w:val="0"/>
        <w:adjustRightInd w:val="0"/>
        <w:spacing w:after="0" w:line="240" w:lineRule="auto"/>
        <w:jc w:val="both"/>
        <w:rPr>
          <w:rFonts w:ascii="Times New Roman" w:hAnsi="Times New Roman"/>
          <w:i/>
          <w:color w:val="000000" w:themeColor="text1"/>
          <w:sz w:val="16"/>
          <w:szCs w:val="16"/>
        </w:rPr>
      </w:pPr>
      <w:r w:rsidRPr="00E7026B">
        <w:rPr>
          <w:rFonts w:ascii="Times New Roman" w:hAnsi="Times New Roman"/>
          <w:i/>
          <w:color w:val="000000" w:themeColor="text1"/>
          <w:sz w:val="16"/>
          <w:szCs w:val="16"/>
        </w:rPr>
        <w:t>Дру</w:t>
      </w:r>
      <w:r w:rsidR="00E7026B" w:rsidRPr="00E7026B">
        <w:rPr>
          <w:rFonts w:ascii="Times New Roman" w:hAnsi="Times New Roman"/>
          <w:i/>
          <w:color w:val="000000" w:themeColor="text1"/>
          <w:sz w:val="16"/>
          <w:szCs w:val="16"/>
        </w:rPr>
        <w:t>г</w:t>
      </w:r>
      <w:r w:rsidRPr="00E7026B">
        <w:rPr>
          <w:rFonts w:ascii="Times New Roman" w:hAnsi="Times New Roman"/>
          <w:i/>
          <w:color w:val="000000" w:themeColor="text1"/>
          <w:sz w:val="16"/>
          <w:szCs w:val="16"/>
        </w:rPr>
        <w:t>ие оборонные отрасли:</w:t>
      </w:r>
    </w:p>
    <w:p w14:paraId="23F2AAA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89DBE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второй половине мая 1942 года советские конструкторы специального конструкторского бюро московского завода “Компрессор” под руководством главного конструктора В.П. Бармина разработали ряд морских экспериментальных пусковых установок, изготовление и испытание которых завершилось в конце мая того же года. Установка 24-М-8 (24 реактивных снаряда) относилась к башенно-палубному типу и состояла из качающейся части, основания, прицельного устройства, механизмов наведения и электрооборудования. Диапазон углов возвышения, скрепленной с основанием качающейся части составлял от 5 до 45?, а поворотная часть перемещалась в горизонтальной плоскости на 360°. Внутри поворотной части монтировались механизмы вертикального и горизонтального наведения, прицельное устройство и электрооборудование. Интервал между выстрелами составлял 0,3 с, а все 24 снаряда сходили с направляющих за 16 оборотов (7–8 с.) переключателя прибора управления огнем. 29 ноября 1942 года приказом Наркома ВМФ установка 24-М-8 была принята в качестве штатного вооружения кораблей [5].</w:t>
      </w:r>
    </w:p>
    <w:p w14:paraId="56C603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Установка 16-М-13 (16 снарядов) – надпалубного типа: могла крепиться на крыше боевой рубки бронекатера (по предложению из СКБ) или устанавливалась вместо </w:t>
      </w:r>
      <w:r w:rsidRPr="008127F8">
        <w:rPr>
          <w:rFonts w:ascii="Times New Roman" w:hAnsi="Times New Roman"/>
          <w:color w:val="000000" w:themeColor="text1"/>
          <w:sz w:val="16"/>
          <w:szCs w:val="16"/>
        </w:rPr>
        <w:lastRenderedPageBreak/>
        <w:t>кормовой башни танка Т-34. Она наводилась на цель и заряжалась с надпалубной части пусковой установки. За один оборот маховика переключателя производился один выстрел, все 16 снарядов сходили с направляющих за 5–8 с. В мае 1942 г. опытные образцы установок 24-М-8 и 16-М-13, изготовленные на заводе, были поставлены на бронекатера № 350 и 314, входившие в состав Волжской военной флотилии. Испытания прошли успешно. 15 октября 1942 г. бронекатера-ракетоносцы № 41 и 51 получили задание поддержать огнем реактивных снарядов 138-ю стрелковую дивизию, отражавшую вражеские атаки у северной окраины поселка Латошинка. Впервые в истории советского ВМФ наземные цели поражались совместной залповой стрельбой реактивными снарядами М-13 с палуб бронекатеров. Большую помощь в подготовке к выполнению этой задачи оказал вступивший тогда в должность начальника штаба Волжской военной флотилии капитан 1 ранга М.И. Морозов (впоследствии контр-адмирал). Этот опытный артиллерист-новатор стал горячим сторонником внедрения реактивной техники на кораблях. 29 ноября 1942 года приказом Наркома ВМФ установка 16-М-13 была принята в качестве штатного вооружения кораблей (11772).</w:t>
      </w:r>
    </w:p>
    <w:p w14:paraId="058DF73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50F37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6698B57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67540D" w14:textId="77777777" w:rsidR="00E7026B" w:rsidRPr="008A2E5A" w:rsidRDefault="00E7026B" w:rsidP="00E702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1942 г. приказом наркома авиапрома Шахурина был снят с должности начальник серийного конструкторского отдела завода № 18 Н.П. Назаренко. Вместо него начальником СКО завода был назначен В.Н. Бугайский с сохранением за ним должности заме</w:t>
      </w:r>
      <w:r w:rsidRPr="008A2E5A">
        <w:rPr>
          <w:rFonts w:ascii="Times New Roman" w:hAnsi="Times New Roman"/>
          <w:color w:val="0070C0"/>
          <w:sz w:val="16"/>
          <w:szCs w:val="16"/>
        </w:rPr>
        <w:softHyphen/>
        <w:t>стителя главного конструктора по самолету Ил-2. Этим же приказом был освобожден от должности главный контролер завода, взыскания получили и ряд руководи</w:t>
      </w:r>
      <w:r w:rsidRPr="008A2E5A">
        <w:rPr>
          <w:rFonts w:ascii="Times New Roman" w:hAnsi="Times New Roman"/>
          <w:color w:val="0070C0"/>
          <w:sz w:val="16"/>
          <w:szCs w:val="16"/>
        </w:rPr>
        <w:softHyphen/>
        <w:t>телей завода.</w:t>
      </w:r>
    </w:p>
    <w:p w14:paraId="06105D01" w14:textId="77777777" w:rsidR="00E7026B" w:rsidRPr="008A2E5A" w:rsidRDefault="00E7026B" w:rsidP="00E702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воспоминаниям Бугайского, при обсуждении в НКАП положения дел с качеством изготовления само</w:t>
      </w:r>
      <w:r w:rsidRPr="008A2E5A">
        <w:rPr>
          <w:rFonts w:ascii="Times New Roman" w:hAnsi="Times New Roman"/>
          <w:color w:val="0070C0"/>
          <w:sz w:val="16"/>
          <w:szCs w:val="16"/>
        </w:rPr>
        <w:softHyphen/>
        <w:t>летов Ил-2, Ильюшин потребовал, чтобы начальником СКО завода № 18, от которого исходят все чертежи по самолету, был назначен его заместитель, которому он может доверять.</w:t>
      </w:r>
    </w:p>
    <w:p w14:paraId="3CCCA084" w14:textId="77777777" w:rsidR="00E7026B" w:rsidRPr="008A2E5A" w:rsidRDefault="00E7026B" w:rsidP="00E702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Одновременно усилили конструкторскую группу обеспечения серийного производства со стороны глав</w:t>
      </w:r>
      <w:r w:rsidRPr="008A2E5A">
        <w:rPr>
          <w:rFonts w:ascii="Times New Roman" w:hAnsi="Times New Roman"/>
          <w:color w:val="0070C0"/>
          <w:sz w:val="16"/>
          <w:szCs w:val="16"/>
        </w:rPr>
        <w:softHyphen/>
        <w:t>ного конструктора самолета. В эту группу вошли луч</w:t>
      </w:r>
      <w:r w:rsidRPr="008A2E5A">
        <w:rPr>
          <w:rFonts w:ascii="Times New Roman" w:hAnsi="Times New Roman"/>
          <w:color w:val="0070C0"/>
          <w:sz w:val="16"/>
          <w:szCs w:val="16"/>
        </w:rPr>
        <w:softHyphen/>
        <w:t>шие специалисты ОКБ Ильюшина: В.А. Борог, А.Я. Левин, В.Н. Семенов, Д.И. Коклин, В.А. Федоров, М.И. Никитин, Н.В. Зайкин и В.А. Ерофеев. По мере необходимости группа дополнялась другими конструкторами.</w:t>
      </w:r>
    </w:p>
    <w:p w14:paraId="1136C7CA" w14:textId="77777777" w:rsidR="00E7026B" w:rsidRPr="008A2E5A" w:rsidRDefault="00E7026B" w:rsidP="00E702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Серийными конструкторскими отделами руководили: на заводе № 18 - В.Н. Бугайский и М.А. Леонов, на заводе № 1 - В.П. Яценко и К.Д. Усиков.</w:t>
      </w:r>
    </w:p>
    <w:p w14:paraId="7D9B5012" w14:textId="77777777" w:rsidR="00E7026B" w:rsidRPr="008A2E5A" w:rsidRDefault="00E7026B" w:rsidP="00E702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довольно жесткую политику со сто</w:t>
      </w:r>
      <w:r w:rsidRPr="008A2E5A">
        <w:rPr>
          <w:rFonts w:ascii="Times New Roman" w:hAnsi="Times New Roman"/>
          <w:color w:val="0070C0"/>
          <w:sz w:val="16"/>
          <w:szCs w:val="16"/>
        </w:rPr>
        <w:softHyphen/>
        <w:t>роны НКАП в отношении заводов по вопросам серий</w:t>
      </w:r>
      <w:r w:rsidRPr="008A2E5A">
        <w:rPr>
          <w:rFonts w:ascii="Times New Roman" w:hAnsi="Times New Roman"/>
          <w:color w:val="0070C0"/>
          <w:sz w:val="16"/>
          <w:szCs w:val="16"/>
        </w:rPr>
        <w:softHyphen/>
        <w:t>ного производства, между ними имели место и весьма своеобразные договоренности. Так, заместитель глав</w:t>
      </w:r>
      <w:r w:rsidRPr="008A2E5A">
        <w:rPr>
          <w:rFonts w:ascii="Times New Roman" w:hAnsi="Times New Roman"/>
          <w:color w:val="0070C0"/>
          <w:sz w:val="16"/>
          <w:szCs w:val="16"/>
        </w:rPr>
        <w:softHyphen/>
        <w:t>ного конструктора по самолету Ил-2 Бугайский вспоми</w:t>
      </w:r>
      <w:r w:rsidRPr="008A2E5A">
        <w:rPr>
          <w:rFonts w:ascii="Times New Roman" w:hAnsi="Times New Roman"/>
          <w:color w:val="0070C0"/>
          <w:sz w:val="16"/>
          <w:szCs w:val="16"/>
        </w:rPr>
        <w:softHyphen/>
        <w:t>нал, что когда после своего назначения на должность начальника СКО завода № 18 он собрал пачку извеще</w:t>
      </w:r>
      <w:r w:rsidRPr="008A2E5A">
        <w:rPr>
          <w:rFonts w:ascii="Times New Roman" w:hAnsi="Times New Roman"/>
          <w:color w:val="0070C0"/>
          <w:sz w:val="16"/>
          <w:szCs w:val="16"/>
        </w:rPr>
        <w:softHyphen/>
        <w:t>ний и обратился за их утверждением к заместителю наркома Дементьеву, тот внимательно ознакомился с ними и сказал: «Давай с тобой договоримся так: то, что крайне необходимо, ты проводи, но тщательно прове</w:t>
      </w:r>
      <w:r w:rsidRPr="008A2E5A">
        <w:rPr>
          <w:rFonts w:ascii="Times New Roman" w:hAnsi="Times New Roman"/>
          <w:color w:val="0070C0"/>
          <w:sz w:val="16"/>
          <w:szCs w:val="16"/>
        </w:rPr>
        <w:softHyphen/>
        <w:t>ряй и не допусти до неприятности; а в случае чего я тебя защищу. А вот если я подпишу, и будут неприятно</w:t>
      </w:r>
      <w:r w:rsidRPr="008A2E5A">
        <w:rPr>
          <w:rFonts w:ascii="Times New Roman" w:hAnsi="Times New Roman"/>
          <w:color w:val="0070C0"/>
          <w:sz w:val="16"/>
          <w:szCs w:val="16"/>
        </w:rPr>
        <w:softHyphen/>
        <w:t>сти, меня защищать некому. Понял? Действуй! Мудрый человек Дементьев. Так мы и жили несколько лет, и как говорится, Бог миловал: ошибочных решений не было. Вопросы решались оперативно».</w:t>
      </w:r>
    </w:p>
    <w:p w14:paraId="4A5BAB83" w14:textId="77777777" w:rsidR="00E7026B" w:rsidRPr="008A2E5A" w:rsidRDefault="00E7026B" w:rsidP="00E702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Здесь следует сказать, что командованию ВВС тогда явно было не до серьезной борьбы с промыш</w:t>
      </w:r>
      <w:r w:rsidRPr="008A2E5A">
        <w:rPr>
          <w:rFonts w:ascii="Times New Roman" w:hAnsi="Times New Roman"/>
          <w:color w:val="0070C0"/>
          <w:sz w:val="16"/>
          <w:szCs w:val="16"/>
        </w:rPr>
        <w:softHyphen/>
        <w:t>ленностью за качество поставляемой на фронт авиа</w:t>
      </w:r>
      <w:r w:rsidRPr="008A2E5A">
        <w:rPr>
          <w:rFonts w:ascii="Times New Roman" w:hAnsi="Times New Roman"/>
          <w:color w:val="0070C0"/>
          <w:sz w:val="16"/>
          <w:szCs w:val="16"/>
        </w:rPr>
        <w:softHyphen/>
        <w:t>техники. В сложившейся обстановке на фронте тре</w:t>
      </w:r>
      <w:r w:rsidRPr="008A2E5A">
        <w:rPr>
          <w:rFonts w:ascii="Times New Roman" w:hAnsi="Times New Roman"/>
          <w:color w:val="0070C0"/>
          <w:sz w:val="16"/>
          <w:szCs w:val="16"/>
        </w:rPr>
        <w:softHyphen/>
        <w:t>бовалось в первую очередь решить количественную проблему - обеспечить восполнение убыли матчасти и летного состава и накопить достаточные резервы для проведения операций. И эта проблема промыш</w:t>
      </w:r>
      <w:r w:rsidRPr="008A2E5A">
        <w:rPr>
          <w:rFonts w:ascii="Times New Roman" w:hAnsi="Times New Roman"/>
          <w:color w:val="0070C0"/>
          <w:sz w:val="16"/>
          <w:szCs w:val="16"/>
        </w:rPr>
        <w:softHyphen/>
        <w:t>ленностью к концу 1942 г. была решена (23346).</w:t>
      </w:r>
    </w:p>
    <w:p w14:paraId="39CFACDD" w14:textId="77777777" w:rsidR="00E7026B" w:rsidRPr="008A2E5A" w:rsidRDefault="00E7026B" w:rsidP="00E7026B">
      <w:pPr>
        <w:spacing w:after="0" w:line="240" w:lineRule="auto"/>
        <w:jc w:val="both"/>
        <w:rPr>
          <w:rFonts w:ascii="Times New Roman" w:hAnsi="Times New Roman"/>
          <w:color w:val="0070C0"/>
          <w:sz w:val="16"/>
          <w:szCs w:val="16"/>
        </w:rPr>
      </w:pPr>
    </w:p>
    <w:p w14:paraId="0B7711B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на основании результатов полигонных испытаний Ил-2 с пушками ШФК-37 в ОКБ С. В. Ильюшина был разработан эскизный проект специального противотанкового штурмовика с мотором АМ-38 (рабочее обозначение МШ), имеющего мощное пушечное вооружение размещенное, с целью обеспечения высокой точности стрельбы в воздухе, вблизи оси самолета (9649).</w:t>
      </w:r>
    </w:p>
    <w:p w14:paraId="71EE7D4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480B2A" w14:textId="77777777" w:rsidR="007C5583" w:rsidRPr="008127F8" w:rsidRDefault="007C5583" w:rsidP="007C558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мае 1942 г. на основании результатов полигонных испытаний Ил-2 с пушками ШФК-37 в ОКБ С. В. Ильюшина был разработан эскизный проект специального противотанкового штурмовика с мотором АМ-38 (рабочее обозначение МШ), имеющего мощное пушечное вооружение, размещенное, с целью обеспечения высокой точности стрельбы в воздухе, вблизи оси самолета.</w:t>
      </w:r>
    </w:p>
    <w:p w14:paraId="17E14179" w14:textId="77777777" w:rsidR="007C5583" w:rsidRPr="008127F8" w:rsidRDefault="007C5583" w:rsidP="007C558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22 июля проект был направлен в адрес Главного инженера ВВС КА А. К. Репина.</w:t>
      </w:r>
    </w:p>
    <w:p w14:paraId="3799720F" w14:textId="77777777" w:rsidR="007C5583" w:rsidRPr="008127F8" w:rsidRDefault="007C5583" w:rsidP="007C558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сопроводительном письме к проекту С. В. Ильюшин писал:</w:t>
      </w:r>
    </w:p>
    <w:p w14:paraId="14B97EA5" w14:textId="77777777" w:rsidR="007C5583" w:rsidRPr="008127F8" w:rsidRDefault="007C5583" w:rsidP="007C558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bdr w:val="none" w:sz="0" w:space="0" w:color="auto" w:frame="1"/>
          <w:lang w:eastAsia="ru-RU"/>
        </w:rPr>
        <w:t>«В проект плана опытного строительства на 1942 г. вошел предложенный мной двухмоторный бронированный штурмовик. Принимая во внимание сегодня</w:t>
      </w:r>
      <w:r w:rsidRPr="008127F8">
        <w:rPr>
          <w:rFonts w:ascii="Times New Roman" w:eastAsia="Times New Roman" w:hAnsi="Times New Roman"/>
          <w:color w:val="000000" w:themeColor="text1"/>
          <w:sz w:val="16"/>
          <w:szCs w:val="16"/>
          <w:bdr w:val="none" w:sz="0" w:space="0" w:color="auto" w:frame="1"/>
          <w:lang w:eastAsia="ru-RU"/>
        </w:rPr>
        <w:softHyphen/>
        <w:t>шнюю обстановку и трудности осуществления подобного типа самолета, предложение по которому я снимаю, представляю одномоторный, развитие Ил-2…»</w:t>
      </w:r>
    </w:p>
    <w:p w14:paraId="2B3C4793" w14:textId="77777777" w:rsidR="007C5583" w:rsidRPr="008127F8" w:rsidRDefault="007C5583" w:rsidP="007C558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МШ представлял собой бронированный одноместный одномоторный низкоплан, главной особен</w:t>
      </w:r>
      <w:r w:rsidRPr="008127F8">
        <w:rPr>
          <w:rFonts w:ascii="Times New Roman" w:eastAsia="Times New Roman" w:hAnsi="Times New Roman"/>
          <w:color w:val="000000" w:themeColor="text1"/>
          <w:sz w:val="16"/>
          <w:szCs w:val="16"/>
          <w:lang w:eastAsia="ru-RU"/>
        </w:rPr>
        <w:softHyphen/>
        <w:t>ностью которого являлось мощное стрелково-пушечное вооружение, компактно расположенное в носу машины.</w:t>
      </w:r>
    </w:p>
    <w:p w14:paraId="42929EC1" w14:textId="77777777" w:rsidR="007C5583" w:rsidRPr="008127F8" w:rsidRDefault="007C5583" w:rsidP="007C558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 схеме МШ АМ-38 (модернизированный штурмовик с мотором АМ-38) напоминал американский истребитель Р-39 «Аэрокобра», но шасси было выполнено не с носовым, а с обычным хвостовым колесом.</w:t>
      </w:r>
    </w:p>
    <w:p w14:paraId="0DE12F7A" w14:textId="77777777" w:rsidR="007C5583" w:rsidRPr="008127F8" w:rsidRDefault="007C5583" w:rsidP="007C558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Мотор АМ-38 был размещен примерно в центре тяжести машины. Передача мощности на воздуш</w:t>
      </w:r>
      <w:r w:rsidRPr="008127F8">
        <w:rPr>
          <w:rFonts w:ascii="Times New Roman" w:eastAsia="Times New Roman" w:hAnsi="Times New Roman"/>
          <w:color w:val="000000" w:themeColor="text1"/>
          <w:sz w:val="16"/>
          <w:szCs w:val="16"/>
          <w:lang w:eastAsia="ru-RU"/>
        </w:rPr>
        <w:softHyphen/>
        <w:t>ный винт осуществлялась с помощью удлиненного вала, проходившего под бронированным полом кабины летчика.</w:t>
      </w:r>
    </w:p>
    <w:p w14:paraId="12E71B3D" w14:textId="77777777" w:rsidR="007C5583" w:rsidRPr="008127F8" w:rsidRDefault="007C5583" w:rsidP="007C558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Воздухозаборник мотора размещался в верхней части фюзеляжа. Кабина была выдвинута вперед, что обеспечивало летчику отличный обзор вперед-вниз – до 24°. Под кабиной летчика размещался отсек стрелково-пушечного вооружения.</w:t>
      </w:r>
    </w:p>
    <w:p w14:paraId="470CA450" w14:textId="77777777" w:rsidR="007C5583" w:rsidRPr="008127F8" w:rsidRDefault="007C5583" w:rsidP="007C558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Бензобак и маслобак находились между кабиной летчика и мотором в верхней части фюзеляжа.</w:t>
      </w:r>
    </w:p>
    <w:p w14:paraId="4B0870E5" w14:textId="77777777" w:rsidR="007C5583" w:rsidRPr="008127F8" w:rsidRDefault="007C5583" w:rsidP="007C558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Водяные и масляные радиаторы системы охлаждения и смазки мотора были установлены в подфюзеляжной части центроплана. Их охлаждение осуществлялось наружным воздухом, подво</w:t>
      </w:r>
      <w:r w:rsidRPr="008127F8">
        <w:rPr>
          <w:rFonts w:ascii="Times New Roman" w:eastAsia="Times New Roman" w:hAnsi="Times New Roman"/>
          <w:color w:val="000000" w:themeColor="text1"/>
          <w:sz w:val="16"/>
          <w:szCs w:val="16"/>
          <w:lang w:eastAsia="ru-RU"/>
        </w:rPr>
        <w:softHyphen/>
        <w:t>дившимся по изогнутым каналам из воздухозаборников в носках крыла у правого и левого бортов фюзеляжа.</w:t>
      </w:r>
    </w:p>
    <w:p w14:paraId="1DDFE73F" w14:textId="77777777" w:rsidR="007C5583" w:rsidRPr="008127F8" w:rsidRDefault="007C5583" w:rsidP="007C558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Бомбы, как и на Ил-2, размещались внутри центропланных бомбоотсеков. Основные колеса шасси убирались назад по полету в центроплан с поворотом колес вокруг оси на 90° в процессе уборки. Такая схема уборки шасси была впоследствии реализована на Ил-10. Убирающимся было и хвосто</w:t>
      </w:r>
      <w:r w:rsidRPr="008127F8">
        <w:rPr>
          <w:rFonts w:ascii="Times New Roman" w:eastAsia="Times New Roman" w:hAnsi="Times New Roman"/>
          <w:color w:val="000000" w:themeColor="text1"/>
          <w:sz w:val="16"/>
          <w:szCs w:val="16"/>
          <w:lang w:eastAsia="ru-RU"/>
        </w:rPr>
        <w:softHyphen/>
        <w:t>вое колесо.</w:t>
      </w:r>
    </w:p>
    <w:p w14:paraId="31B71E80" w14:textId="77777777" w:rsidR="007C5583" w:rsidRPr="008127F8" w:rsidRDefault="007C5583" w:rsidP="007C558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Необходимый диапазон центровок машины достигался применением крыла со стреловидностью по передней кромке в 15°.</w:t>
      </w:r>
    </w:p>
    <w:p w14:paraId="5919DA55" w14:textId="77777777" w:rsidR="007C5583" w:rsidRPr="008127F8" w:rsidRDefault="007C5583" w:rsidP="007C558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Бронирование летчика, бензо- и маслобаков, водяных и масляных радиаторов обеспечивалось бронекорпусом весьма сложной формы в основном с прямоугольными образующими, что хотя и упрощало технологию его изготовления, но несколько снижало пулестойкость брони.</w:t>
      </w:r>
    </w:p>
    <w:p w14:paraId="4FD9D3CF" w14:textId="77777777" w:rsidR="007C5583" w:rsidRPr="008127F8" w:rsidRDefault="007C5583" w:rsidP="007C558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Проект предусматривал два варианта вооружения: противотанковый и бомбардировочный.</w:t>
      </w:r>
    </w:p>
    <w:p w14:paraId="729F795F" w14:textId="77777777" w:rsidR="007C5583" w:rsidRPr="008127F8" w:rsidRDefault="007C5583" w:rsidP="007C558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Согласно первому варианту вооружения в носу самолета размещались втулковая пушка ШФК-37 с боезапасом в 40 снарядов, две синхронные пушки ШВАК с боекомплектом по 200 снарядов на каждую пушку и двух синхронных пулеметов ШКАС с общим боезапасом 1500 патронов.</w:t>
      </w:r>
    </w:p>
    <w:p w14:paraId="6B003529" w14:textId="77777777" w:rsidR="007C5583" w:rsidRPr="008127F8" w:rsidRDefault="007C5583" w:rsidP="007C558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Помимо стрелкового вооружения, на самолете предусматривалась подвеска 8 реактивных снарядов РС-82.</w:t>
      </w:r>
    </w:p>
    <w:p w14:paraId="02044548" w14:textId="77777777" w:rsidR="007C5583" w:rsidRPr="008127F8" w:rsidRDefault="007C5583" w:rsidP="007C558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Второй вариант вооружения предусматривал нормальную бомбовую нагрузку 400 кг (16×25 кг или 40×10 кг, или 160×2,5 кг АБ) и в перегрузку — 600 кг (6×100 кг или 2×250 кг, или 24×25 кг), две синхрон</w:t>
      </w:r>
      <w:r w:rsidRPr="008127F8">
        <w:rPr>
          <w:rFonts w:ascii="Times New Roman" w:eastAsia="Times New Roman" w:hAnsi="Times New Roman"/>
          <w:color w:val="000000" w:themeColor="text1"/>
          <w:sz w:val="16"/>
          <w:szCs w:val="16"/>
          <w:lang w:eastAsia="ru-RU"/>
        </w:rPr>
        <w:softHyphen/>
        <w:t>ные пушки ШВАК с боекомплектом по 200 снарядов на ствол и два синхронных пулемета ШКАС с боезапасом 750 патронов на пулемет.</w:t>
      </w:r>
    </w:p>
    <w:p w14:paraId="78E29778" w14:textId="77777777" w:rsidR="007C5583" w:rsidRPr="008127F8" w:rsidRDefault="007C5583" w:rsidP="007C558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Оценки показывают, что в случае реализации проекта летчик-штурмовик с хорошей летной и стрелковой подготовкой на МШ с противотанковым вариантом вооружения в реальных боевых условиях уже в первой атаке гарантированно поражал немецкий бронетранспортер типа Sd Kfz 250 (атака сбоку, угол планирования 25–30°, дистанция открытия огня 300–400 м) — вероятность поражения 0,96–0,7, а средний танк типа Pz. Ill Ausf G в этих же условиях — с вероятностью не более 0,1.</w:t>
      </w:r>
    </w:p>
    <w:p w14:paraId="27D9DF44" w14:textId="77777777" w:rsidR="007C5583" w:rsidRPr="008127F8" w:rsidRDefault="007C5583" w:rsidP="007C558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НИИ ВВС КА дало положительное заключение по проекту. Было рекомендовано пушки ШВАК заменить на более эффективные ВЯ-23.</w:t>
      </w:r>
    </w:p>
    <w:p w14:paraId="6C570A3E" w14:textId="77777777" w:rsidR="007C5583" w:rsidRPr="008127F8" w:rsidRDefault="007C5583" w:rsidP="007C558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Следует отметить, что масса пустого самолета, по сравнению с Ил-2, возросла. Вырос и полетный вес машины. Это привело к тому, что летные данные штурмовика при использовании мотора АМ-38, даже несмотря на некоторое улучшение аэродинамики самолета, были все же невысокими.</w:t>
      </w:r>
    </w:p>
    <w:p w14:paraId="6230E4DB" w14:textId="77777777" w:rsidR="007C5583" w:rsidRPr="008127F8" w:rsidRDefault="007C5583" w:rsidP="007C558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Кроме того, завод № 24 так и не смог быстро довести «до ума» мотор АМ-38 с удлиненным валом и к этому времени уже стала очевидной необходимость иметь на вооружении двухместный штурмо</w:t>
      </w:r>
      <w:r w:rsidRPr="008127F8">
        <w:rPr>
          <w:rFonts w:ascii="Times New Roman" w:eastAsia="Times New Roman" w:hAnsi="Times New Roman"/>
          <w:color w:val="000000" w:themeColor="text1"/>
          <w:sz w:val="16"/>
          <w:szCs w:val="16"/>
          <w:lang w:eastAsia="ru-RU"/>
        </w:rPr>
        <w:softHyphen/>
        <w:t>вик. В этой связи все дальнейшие работы по МШ были прекращены…(21242).</w:t>
      </w:r>
    </w:p>
    <w:p w14:paraId="08C89AF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2EE0E2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w:t>
      </w:r>
    </w:p>
    <w:p w14:paraId="51A119B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по заводу № 18</w:t>
      </w:r>
    </w:p>
    <w:p w14:paraId="2C64B336"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с 1.06.42 ставить на каждую третью машину по 2 шт. спецбалок с замком МДЗ-40</w:t>
      </w:r>
    </w:p>
    <w:p w14:paraId="2E3BF2C3"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shd w:val="clear" w:color="auto" w:fill="FFFFFF"/>
        </w:rPr>
        <w:t>(Опись 1/дело11. Приказы по заводу, с. 28)</w:t>
      </w:r>
      <w:r w:rsidRPr="008127F8">
        <w:rPr>
          <w:color w:val="000000" w:themeColor="text1"/>
          <w:sz w:val="16"/>
          <w:szCs w:val="16"/>
        </w:rPr>
        <w:t xml:space="preserve"> (19706).</w:t>
      </w:r>
    </w:p>
    <w:p w14:paraId="4CDCFC01" w14:textId="77777777" w:rsidR="007C5583" w:rsidRPr="008127F8" w:rsidRDefault="007C5583" w:rsidP="007C5583">
      <w:pPr>
        <w:pStyle w:val="af"/>
        <w:shd w:val="clear" w:color="auto" w:fill="FFFFFF"/>
        <w:spacing w:before="0" w:after="0"/>
        <w:jc w:val="both"/>
        <w:rPr>
          <w:color w:val="000000" w:themeColor="text1"/>
          <w:sz w:val="16"/>
          <w:szCs w:val="16"/>
        </w:rPr>
      </w:pPr>
    </w:p>
    <w:p w14:paraId="54BC920C"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В мае 1942 года Институт лётных испытаний по заданию Наркомата авиационной промышленности проводил испытания звучащих приспособлений (ЗП) на авиабомбах. Испытания проводились в городе Новосибирске под руководством ведущего инженера А.С. Огородникова. Они заключались в проверке в естественных условиях, на полигоне работы звучащих приспособлений конструкции ЦАГИ, установленных на авиабомбах с целью деморализации противника</w:t>
      </w:r>
      <w:bookmarkStart w:id="7" w:name="_ednref25"/>
      <w:r w:rsidRPr="008127F8">
        <w:rPr>
          <w:color w:val="000000" w:themeColor="text1"/>
          <w:sz w:val="16"/>
          <w:szCs w:val="16"/>
        </w:rPr>
        <w:t xml:space="preserve"> (</w:t>
      </w:r>
      <w:r w:rsidRPr="008127F8">
        <w:rPr>
          <w:color w:val="000000" w:themeColor="text1"/>
          <w:sz w:val="16"/>
          <w:szCs w:val="16"/>
          <w:shd w:val="clear" w:color="auto" w:fill="FFFFFF"/>
        </w:rPr>
        <w:t>Филиал РГАНТД. Ф. Р-220. Оп. 4-1. Д. 13. Л. 2</w:t>
      </w:r>
      <w:r w:rsidRPr="008127F8">
        <w:rPr>
          <w:color w:val="000000" w:themeColor="text1"/>
          <w:sz w:val="16"/>
          <w:szCs w:val="16"/>
        </w:rPr>
        <w:t>)</w:t>
      </w:r>
      <w:bookmarkEnd w:id="7"/>
      <w:r w:rsidRPr="008127F8">
        <w:rPr>
          <w:color w:val="000000" w:themeColor="text1"/>
          <w:sz w:val="16"/>
          <w:szCs w:val="16"/>
        </w:rPr>
        <w:t>.</w:t>
      </w:r>
    </w:p>
    <w:p w14:paraId="613BAE79"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 xml:space="preserve">В результате испытаний было решено усовершенствовать ЗП № 4 в звучащее приспособление особого типа (ЗПО), которое значительно превосходит силу звука предыдущего приспособления. В отчёте об испытаниях отмечалось, что «звук продолжительный и устойчивый, слышимость звука зарегистрирована на расстоянии </w:t>
      </w:r>
      <w:r w:rsidRPr="008127F8">
        <w:rPr>
          <w:color w:val="000000" w:themeColor="text1"/>
          <w:sz w:val="16"/>
          <w:szCs w:val="16"/>
        </w:rPr>
        <w:lastRenderedPageBreak/>
        <w:t>61 метр от места сбрасывания</w:t>
      </w:r>
      <w:bookmarkStart w:id="8" w:name="_ednref26"/>
      <w:r w:rsidRPr="008127F8">
        <w:rPr>
          <w:color w:val="000000" w:themeColor="text1"/>
          <w:sz w:val="16"/>
          <w:szCs w:val="16"/>
        </w:rPr>
        <w:t xml:space="preserve"> (</w:t>
      </w:r>
      <w:r w:rsidRPr="008127F8">
        <w:rPr>
          <w:color w:val="000000" w:themeColor="text1"/>
          <w:sz w:val="16"/>
          <w:szCs w:val="16"/>
          <w:shd w:val="clear" w:color="auto" w:fill="FFFFFF"/>
        </w:rPr>
        <w:t>Филиал РГАНТД. Ф. Р-220. Оп. 4-1. Д. 13. Л. 22</w:t>
      </w:r>
      <w:r w:rsidRPr="008127F8">
        <w:rPr>
          <w:color w:val="000000" w:themeColor="text1"/>
          <w:sz w:val="16"/>
          <w:szCs w:val="16"/>
        </w:rPr>
        <w:t>)</w:t>
      </w:r>
      <w:bookmarkEnd w:id="8"/>
      <w:r w:rsidRPr="008127F8">
        <w:rPr>
          <w:color w:val="000000" w:themeColor="text1"/>
          <w:sz w:val="16"/>
          <w:szCs w:val="16"/>
        </w:rPr>
        <w:t>. (20717).</w:t>
      </w:r>
    </w:p>
    <w:p w14:paraId="49A1492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B81086E"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В мае 1942 года из осажденного Ленинграда в Куйбышев была направлена большая группа детей – около 5000 человек. Многие подростки были учащимися ленинградских ремесленных училищ, поэтому их сразу определили в школы фабрично-заводского обучения и ремесленные училища при заводах. Авиационный завод № 18 принял 858 человек, завод № 1 – 977, завод № 24 – 2417.</w:t>
      </w:r>
    </w:p>
    <w:p w14:paraId="302D4FEF"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Свободных помещений для размещения ребят в городе не было. Детей пришлось устраивать в плохо приспособленных для жизни домах, из которых потом их переселяли. Например, РУ № 9, открытое на базе завода № 1 имени Сталина, три раза меняло свой адрес, потому что все прежние помещения из-за ветхости не годились для организации общежития - в некоторых не работали санузлы, не было отопления. Ремесленному училищу передали, наконец, хорошо оборудованное четырехэтажное здание 16-й средней школы на улице Федеративной.</w:t>
      </w:r>
    </w:p>
    <w:p w14:paraId="556053D9"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Но удивительное дело, ребята никогда, даже в худшие времена, не жаловались на условия жизни. В РУ № 9 не было неуспевающих, 84% учащихся были отличниками и хорошистами. Не имея собственных мастерских, ребята проходили практику на заводе № 1, выполняя государственные заказы. Они организовали четыре фронтовые бригады, средний процент выполнения их планов составлял 245,9%. Обо всем этом говорится в справке обкома ВЛКСМ от 9 января 1943 года. По решению обкома ВЛКСМ и областного управления трудовых резервов РУ № 9 было выдвинуто на присуждение первого места во Всесоюзном соревновании ремесленных училищ и школ ФЗО (19828).</w:t>
      </w:r>
    </w:p>
    <w:p w14:paraId="6B7D855E" w14:textId="77777777" w:rsidR="007C5583" w:rsidRPr="008127F8" w:rsidRDefault="007C5583" w:rsidP="007C5583">
      <w:pPr>
        <w:pStyle w:val="af"/>
        <w:shd w:val="clear" w:color="auto" w:fill="FFFFFF"/>
        <w:spacing w:before="0" w:after="0"/>
        <w:jc w:val="both"/>
        <w:rPr>
          <w:color w:val="000000" w:themeColor="text1"/>
          <w:sz w:val="16"/>
          <w:szCs w:val="16"/>
        </w:rPr>
      </w:pPr>
    </w:p>
    <w:p w14:paraId="497269A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эскизный проект САМ-14ш рассматривался специалистами НИИ ВВС. Основные выводы сводились к следующему: летные данные завышены (будет 188</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км/ч вместо 220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км/ч по проекту), нормальный полетный вес занижен (будет 1700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вместо 1293</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схема бронирования не обеспечивает надежную защиту от пуль калибра 15</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мм на дистанции 100–200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 Пулеметы ШКАС требовалось заменить пушками. Кроме того, отмечалось, что «представленный проект САМ-14 с М-11 выполнен небрежно. Материал представлен не полностью. В проекте совершенно нет материалов, которыми можно было бы обосновать весовые и летные данные». В итоге проект САМ-14ш отклонили.</w:t>
      </w:r>
    </w:p>
    <w:p w14:paraId="454CD58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Легкий ночной штурмовик САМ-14ш с мотором М-11д (или МВ-4) представлял собой ударный вариант уже существующего самолета САМ-14 (САМ-5-2 бис). Этот самолет с мотором МВ-4 мощностью 140 л.</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 был построен в 1939 году по заказу ГВФ, «прошел госиспытание и опытную эксплуатацию в отряде спец. применения» и «утвержден образцом для серийного производства».</w:t>
      </w:r>
    </w:p>
    <w:p w14:paraId="2FA7B6E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САМ-14ш характеризовался высокими показателями аэродинамического качества</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13,5, весовой отдачи</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48</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и небольшой нагрузкой на крыло</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всего 59,2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кг/м</w:t>
      </w:r>
    </w:p>
    <w:p w14:paraId="50201A6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 включало два крыльевых пулемета ШКАС (1000 патронов), 8 РО-132 и 4 РО-82 и 150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бомб калибра 25–100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внутри фюзеляжа. Без бомб число ракетных орудий возрастало до 16 РО-132. В перегрузку (за счет ракетных снарядов) бомбовая нагрузка составляла 400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в том числе можно было взять 4 ФАБ-100. Допускалось использование кассеты мелких бомб от самолета Ил-2. Для защиты от атак истребителей предусматривалась задняя шкворневая установка под пулемет ШКАС (500 патронов).</w:t>
      </w:r>
    </w:p>
    <w:p w14:paraId="7AA29A0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расчетам, максимальная скорость ожидалась 220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км/ч. Время подъема на высоту 2000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16</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мин. Посадочная скорость с выпущенными щитками-закрылками</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69</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км/ч. Дальность полета</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620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 (в перегрузку 1200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 Длина разбега</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180, пробега</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140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w:t>
      </w:r>
    </w:p>
    <w:p w14:paraId="4AFB842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Москалев пытался опротестовать заключение НИИ ВВС, мотивируя свою позицию тем, что прототип предлагаемого штурмовика</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САМ-14 МВ-4</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с заявленными летными данными и полетным весом уже давно летает, но ничего из этого не получилось. В ответе заместителя главного инженера ВВС КА бригинженера Лапина от 12 октября 1942 года сообщалось, что: «заключение НИИ ВВС КА, данное по этому предложению, остается в силе». Самолет САМ-14ш не строился (17490).</w:t>
      </w:r>
    </w:p>
    <w:p w14:paraId="2E0A0AB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249BE9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мае 1942 г. эскизный проект САМ-14ш рассматривался специалистами НИИ ВВС. сновные выводы сводились к следующему: лётные данные завышены (скорость будет 188 км/ч гшместо 220 км/ч по проекту), нормальный полётный вес занижен (будет 1700 кг вместо </w:t>
      </w:r>
      <w:r w:rsidRPr="008127F8">
        <w:rPr>
          <w:rStyle w:val="9pt0"/>
          <w:rFonts w:ascii="Times New Roman" w:hAnsi="Times New Roman"/>
          <w:color w:val="000000" w:themeColor="text1"/>
          <w:sz w:val="16"/>
          <w:szCs w:val="16"/>
        </w:rPr>
        <w:t>1293</w:t>
      </w:r>
      <w:r w:rsidRPr="008127F8">
        <w:rPr>
          <w:rFonts w:ascii="Times New Roman" w:hAnsi="Times New Roman"/>
          <w:color w:val="000000" w:themeColor="text1"/>
          <w:sz w:val="16"/>
          <w:szCs w:val="16"/>
        </w:rPr>
        <w:t xml:space="preserve"> кг), схема бронирования не обеспечивает надежную защиту от пуль калибра 15 мм |на дистанции 100-200 м. Пулемёты ШКАС требовалось заменить пушками. Кроме того, лечалось, что:</w:t>
      </w:r>
      <w:r w:rsidRPr="008127F8">
        <w:rPr>
          <w:rStyle w:val="aff8"/>
          <w:rFonts w:ascii="Times New Roman" w:eastAsia="Arial Unicode MS" w:hAnsi="Times New Roman"/>
          <w:color w:val="000000" w:themeColor="text1"/>
        </w:rPr>
        <w:t xml:space="preserve"> «Представленный проект САМ-14 с М-11 выполнен небрежно. Материал представлен не полностью. В проекте совершенно нет материалов, которыми можно было 1бы обосновать весовые и лётные данные».</w:t>
      </w:r>
      <w:r w:rsidRPr="008127F8">
        <w:rPr>
          <w:rFonts w:ascii="Times New Roman" w:hAnsi="Times New Roman"/>
          <w:color w:val="000000" w:themeColor="text1"/>
          <w:sz w:val="16"/>
          <w:szCs w:val="16"/>
        </w:rPr>
        <w:t xml:space="preserve"> В итоге предложение Москалёва отклонили. Как следует из документов, Москалёв пытался опротестовать заключение НИИ ВВС, этивируя свою позицию тем, что прототип предлагаемого штурмовика - САМ-14 МВ-4 с зявленными лётными данными и полётным весом уже давно летает, но ничего из этого не получилось. В ответе заместителя главного инженера ВВС КА бригинженера Лапина от 12 тября 1942 г. сообщалось, что:</w:t>
      </w:r>
      <w:r w:rsidRPr="008127F8">
        <w:rPr>
          <w:rStyle w:val="aff8"/>
          <w:rFonts w:ascii="Times New Roman" w:eastAsia="Arial Unicode MS" w:hAnsi="Times New Roman"/>
          <w:color w:val="000000" w:themeColor="text1"/>
        </w:rPr>
        <w:t xml:space="preserve"> «заключение НИИ ВВС КА, данное по этому предложе</w:t>
      </w:r>
      <w:r w:rsidRPr="008127F8">
        <w:rPr>
          <w:rStyle w:val="aff8"/>
          <w:rFonts w:ascii="Times New Roman" w:eastAsia="Arial Unicode MS" w:hAnsi="Times New Roman"/>
          <w:color w:val="000000" w:themeColor="text1"/>
        </w:rPr>
        <w:softHyphen/>
      </w:r>
      <w:r w:rsidRPr="008127F8">
        <w:rPr>
          <w:rStyle w:val="0pt4"/>
          <w:rFonts w:ascii="Times New Roman" w:eastAsia="Arial Unicode MS" w:hAnsi="Times New Roman" w:cs="Times New Roman"/>
          <w:i w:val="0"/>
          <w:color w:val="000000" w:themeColor="text1"/>
          <w:sz w:val="16"/>
          <w:szCs w:val="16"/>
        </w:rPr>
        <w:t>нию,</w:t>
      </w:r>
      <w:r w:rsidRPr="008127F8">
        <w:rPr>
          <w:rStyle w:val="aff8"/>
          <w:rFonts w:ascii="Times New Roman" w:eastAsia="Arial Unicode MS" w:hAnsi="Times New Roman"/>
          <w:color w:val="000000" w:themeColor="text1"/>
        </w:rPr>
        <w:t xml:space="preserve"> остается в силе».</w:t>
      </w:r>
      <w:r w:rsidRPr="008127F8">
        <w:rPr>
          <w:rFonts w:ascii="Times New Roman" w:hAnsi="Times New Roman"/>
          <w:color w:val="000000" w:themeColor="text1"/>
          <w:sz w:val="16"/>
          <w:szCs w:val="16"/>
        </w:rPr>
        <w:t xml:space="preserve"> Самолёт САМ-14ш не строился.</w:t>
      </w:r>
    </w:p>
    <w:p w14:paraId="72214B7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Самолёт САМ-14ш представлял собой двухместный (лётчик и воздушный стрелок) сво-| боднонесущий высокоплан, весьма дешёвый и технологичный в производстве. По конструкции - деревянный, с фанерной и полотняной обшивкой на эмалите. Сталь и дюраль при-! менялись ограниченно, только в ответственных местах. В передней части фюзеляжа кабина! лётчика, далее бомбовый отсек и стрелок. Бомбовый отсек при необходимости мог исполь-Г зоваться для перевозки четырёх пассажиров. По размаху крыла от фюзеляжа до элеронов располагались щитки. В местах установки ракетных орудий нижняя поверхность крыла защищена дюралевыми листами. Два крыльевых бензобака имели проектор. Винтомоторная! группа отделена от фюзеляжа противопожарной перегородкой. Лётчик и стрелок защища</w:t>
      </w:r>
      <w:r w:rsidRPr="008127F8">
        <w:rPr>
          <w:rFonts w:ascii="Times New Roman" w:hAnsi="Times New Roman"/>
          <w:color w:val="000000" w:themeColor="text1"/>
          <w:sz w:val="16"/>
          <w:szCs w:val="16"/>
        </w:rPr>
        <w:softHyphen/>
        <w:t>лись броней толщиной 4-7 мм общим весом 150 кг. Самолёт характеризовался высокими показателями аэродинамического качества - 13,5, весовой отдачи - 48% и небольшой нагрузкой на крыло - всего 59,2 кг/м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025A1A29" w14:textId="77777777" w:rsidR="007C5583" w:rsidRPr="009E183A" w:rsidRDefault="007C5583" w:rsidP="007C5583">
      <w:pPr>
        <w:spacing w:after="0" w:line="240" w:lineRule="auto"/>
        <w:jc w:val="both"/>
        <w:rPr>
          <w:rFonts w:ascii="Times New Roman" w:hAnsi="Times New Roman"/>
          <w:b/>
          <w:bCs/>
          <w:i/>
          <w:iCs/>
          <w:color w:val="000000" w:themeColor="text1"/>
          <w:sz w:val="16"/>
          <w:szCs w:val="16"/>
        </w:rPr>
      </w:pPr>
      <w:r w:rsidRPr="008127F8">
        <w:rPr>
          <w:rFonts w:ascii="Times New Roman" w:hAnsi="Times New Roman"/>
          <w:color w:val="000000" w:themeColor="text1"/>
          <w:sz w:val="16"/>
          <w:szCs w:val="16"/>
        </w:rPr>
        <w:t>Вооружение включало два крыльевых пулемёта ШКАС (1000 патронов), 8 РО-132 и</w:t>
      </w:r>
      <w:r w:rsidRPr="008127F8">
        <w:rPr>
          <w:rStyle w:val="PalatinoLinotype9pt"/>
          <w:rFonts w:ascii="Times New Roman" w:eastAsia="Calibri" w:hAnsi="Times New Roman" w:cs="Times New Roman"/>
          <w:b w:val="0"/>
          <w:color w:val="000000" w:themeColor="text1"/>
          <w:sz w:val="16"/>
          <w:szCs w:val="16"/>
        </w:rPr>
        <w:t xml:space="preserve"> 4 </w:t>
      </w:r>
      <w:r w:rsidRPr="008127F8">
        <w:rPr>
          <w:rFonts w:ascii="Times New Roman" w:hAnsi="Times New Roman"/>
          <w:color w:val="000000" w:themeColor="text1"/>
          <w:sz w:val="16"/>
          <w:szCs w:val="16"/>
        </w:rPr>
        <w:t xml:space="preserve">РО-82 и 150 кг бомб калибра 25-100 кг внутри фюзеляжа. Без бомб число ракетных орудий возрастало до 16 РО-132. В перегрузку (за счёт ракетных снарядов) бомбовая нагрузка </w:t>
      </w:r>
      <w:r w:rsidRPr="009E183A">
        <w:rPr>
          <w:rStyle w:val="9pt"/>
          <w:rFonts w:ascii="Times New Roman" w:hAnsi="Times New Roman" w:cs="Times New Roman"/>
          <w:b w:val="0"/>
          <w:bCs w:val="0"/>
          <w:i w:val="0"/>
          <w:iCs w:val="0"/>
          <w:color w:val="000000" w:themeColor="text1"/>
        </w:rPr>
        <w:t>составляла 400 кг, в том числе, можно было взять 4 ФАБ-100. Допускалось использование кассеты мелких бомб от самолёта Ил-2. Для защиты от атак истребителей предусматрива</w:t>
      </w:r>
      <w:r w:rsidRPr="009E183A">
        <w:rPr>
          <w:rFonts w:ascii="Times New Roman" w:hAnsi="Times New Roman"/>
          <w:b/>
          <w:bCs/>
          <w:i/>
          <w:iCs/>
          <w:color w:val="000000" w:themeColor="text1"/>
          <w:sz w:val="16"/>
          <w:szCs w:val="16"/>
        </w:rPr>
        <w:t xml:space="preserve">лась </w:t>
      </w:r>
      <w:r w:rsidRPr="009E183A">
        <w:rPr>
          <w:rFonts w:ascii="Times New Roman" w:hAnsi="Times New Roman"/>
          <w:color w:val="000000" w:themeColor="text1"/>
          <w:sz w:val="16"/>
          <w:szCs w:val="16"/>
        </w:rPr>
        <w:t>задняя шкворневая установка под пулемёт ШКАС (500 патронов).</w:t>
      </w:r>
    </w:p>
    <w:p w14:paraId="55AA544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расчётам максимальная скорость ожидалась 220 км/ч. Время подъёма на высоту </w:t>
      </w:r>
      <w:r w:rsidRPr="008127F8">
        <w:rPr>
          <w:rStyle w:val="9pt0"/>
          <w:rFonts w:ascii="Times New Roman" w:hAnsi="Times New Roman"/>
          <w:color w:val="000000" w:themeColor="text1"/>
          <w:sz w:val="16"/>
          <w:szCs w:val="16"/>
        </w:rPr>
        <w:t>2000</w:t>
      </w:r>
      <w:r w:rsidRPr="008127F8">
        <w:rPr>
          <w:rFonts w:ascii="Times New Roman" w:hAnsi="Times New Roman"/>
          <w:color w:val="000000" w:themeColor="text1"/>
          <w:sz w:val="16"/>
          <w:szCs w:val="16"/>
        </w:rPr>
        <w:t xml:space="preserve"> м - 16 мин. Посадочная скорость с выпущенными щитками-закрылками - 69 км/ч. Дальность полёта - 620 км (в перегрузку 1200 км). Практический потолок - 4200 м. Длина разбега - 180, пробега - 140 м.</w:t>
      </w:r>
    </w:p>
    <w:p w14:paraId="026F5F1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проекте особо указывалось, что нормальный полётный вес в штурмовой варианте </w:t>
      </w:r>
      <w:r w:rsidRPr="008127F8">
        <w:rPr>
          <w:rStyle w:val="0pt1"/>
          <w:rFonts w:eastAsia="Arial Unicode MS"/>
          <w:color w:val="000000" w:themeColor="text1"/>
          <w:spacing w:val="0"/>
          <w:sz w:val="16"/>
          <w:szCs w:val="16"/>
        </w:rPr>
        <w:t>не</w:t>
      </w:r>
      <w:r w:rsidRPr="008127F8">
        <w:rPr>
          <w:rFonts w:ascii="Times New Roman" w:hAnsi="Times New Roman"/>
          <w:color w:val="000000" w:themeColor="text1"/>
          <w:sz w:val="16"/>
          <w:szCs w:val="16"/>
        </w:rPr>
        <w:t xml:space="preserve"> превысит 1293 кг, с которым САМ-14 с МВ-4 проходил заводские и государственные испытания,</w:t>
      </w:r>
      <w:r w:rsidRPr="008127F8">
        <w:rPr>
          <w:rStyle w:val="aff8"/>
          <w:rFonts w:ascii="Times New Roman" w:eastAsia="Arial Unicode MS" w:hAnsi="Times New Roman"/>
          <w:color w:val="000000" w:themeColor="text1"/>
        </w:rPr>
        <w:t xml:space="preserve"> «следовательно, приведённые лётные данные самолёта в боевом варианте не смогут быть снижены».</w:t>
      </w:r>
      <w:r w:rsidRPr="008127F8">
        <w:rPr>
          <w:rFonts w:ascii="Times New Roman" w:hAnsi="Times New Roman"/>
          <w:color w:val="000000" w:themeColor="text1"/>
          <w:sz w:val="16"/>
          <w:szCs w:val="16"/>
        </w:rPr>
        <w:t xml:space="preserve"> Поскольку до войны планировалось организовать серийный выпуск |самолёта по заказам ГВФ и НКВД, то была подготовлена вся необходимая техническая экументация для его производства. Поэтому</w:t>
      </w:r>
      <w:r w:rsidRPr="008127F8">
        <w:rPr>
          <w:rStyle w:val="aff8"/>
          <w:rFonts w:ascii="Times New Roman" w:eastAsia="Arial Unicode MS" w:hAnsi="Times New Roman"/>
          <w:color w:val="000000" w:themeColor="text1"/>
        </w:rPr>
        <w:t xml:space="preserve"> «первые серийные образцы могут быть выпу- Ьщены через 1,5 месяца после дачи заказа».</w:t>
      </w:r>
      <w:r w:rsidRPr="008127F8">
        <w:rPr>
          <w:rFonts w:ascii="Times New Roman" w:hAnsi="Times New Roman"/>
          <w:color w:val="000000" w:themeColor="text1"/>
          <w:sz w:val="16"/>
          <w:szCs w:val="16"/>
        </w:rPr>
        <w:t xml:space="preserve"> Помимо боевого, были детально проработаны Iварианты пассажирского, санитарного, штабного и специального применения. Серийное эоизводство самолёта предлагалось развернуть на заводе № 499 (15846).</w:t>
      </w:r>
    </w:p>
    <w:p w14:paraId="05A0C50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3B3BA8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23-й начал со сборки, а потом и стал делать ДБ-3Ф целиком (10734,69).</w:t>
      </w:r>
    </w:p>
    <w:p w14:paraId="21075F6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E35D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ОКБ С.В.И., уезжавшее в Куйбышев, получило базу завода 240 в Москве (173,219).</w:t>
      </w:r>
    </w:p>
    <w:p w14:paraId="577A056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2DFE8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В.Н.Бугайский был назначен ГК завода 18 с сохранением должности Зам. ГК ОКБ С.В.И. (3846,17).</w:t>
      </w:r>
    </w:p>
    <w:p w14:paraId="228A978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E2D9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приказом НКАП В.Н.Бугайского назначили Нач. КБ завода 18 с сохранением должности зам. ГК по Ил-2 (1646,15).</w:t>
      </w:r>
    </w:p>
    <w:p w14:paraId="4EB163D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5106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трагически погиб М.Б.Шенкман и А.А.Белянского перевели с 30 завода директором на 18, а на 30 директором стал Шапиро (180,139).</w:t>
      </w:r>
    </w:p>
    <w:p w14:paraId="6D6208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F57F8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двухместный двухмоторный бронированный штурмовик с двигателями М-71 или М-90 П.О.С. был включен в проект плана опытного самолетостроения на 1942 год (11853).</w:t>
      </w:r>
    </w:p>
    <w:p w14:paraId="392AC55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E1B6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П.О.С., которое размещалось на 19 заводе в Молотове (Перми) было дано задание на проектирование и постройку бронированного штурмовика Су-8 с двумя М-71 или М-90 (1062,7).</w:t>
      </w:r>
    </w:p>
    <w:p w14:paraId="462738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BE61D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ОКБ П.О.Сухого было дано задание на проектирование и постройку бронированного штурмовика - ДДБШ (9649).</w:t>
      </w:r>
    </w:p>
    <w:p w14:paraId="47BC34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Планом опытного самолетостроения на 1942 г. предполагалась постройка сразу трех экземпляров этого самолета (два летных и один - для ста-тиспытаний).</w:t>
      </w:r>
    </w:p>
    <w:p w14:paraId="1A4518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Назначение машины - нанесение бомбоштурмовых ударов на всю глубину оперативного построения войск противника, огневая поддержка своих войск (главным образом танковых и мотомехкорпусов) в наступлении (прорыве) на большом удалении от своих аэродромов.</w:t>
      </w:r>
    </w:p>
    <w:p w14:paraId="67CD40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Наступательное вооружение по проекту включало подфюзеляжную батарею из двух 37-мм пушек ШФК-37 ОКБ-15 (80 снарядов) и двух 12,7-мм пулеметов УБК (500 патронов), 8 пулеметов ШКАС (5200 патронов) в консолях крыла, б PC-132 и 400 кг бомб (в перегрузку 1600 кг).</w:t>
      </w:r>
    </w:p>
    <w:p w14:paraId="4840CF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Оборонительное вооружение состояло из пулемета УБТ (200 патронов) на верхней турели для стрельбы назад в верхней полусфере и одного пулемета ШКАС (500 </w:t>
      </w:r>
      <w:r w:rsidRPr="008127F8">
        <w:rPr>
          <w:rFonts w:ascii="Times New Roman" w:hAnsi="Times New Roman"/>
          <w:color w:val="000000" w:themeColor="text1"/>
          <w:sz w:val="16"/>
          <w:szCs w:val="16"/>
        </w:rPr>
        <w:lastRenderedPageBreak/>
        <w:t>патронов) в люковой установке назад в нижней полусфере.</w:t>
      </w:r>
    </w:p>
    <w:p w14:paraId="796F5BD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по расчету составляла у земли 500 км/ч, на высоте 3700 м - 550 км/ч. Время подъема на высоту 5000 м - 10 мин. Посадочная скорость - 135 км/ч. Мак-симальная дальность полета на 0,9Vmax - 700 км (в перегрузочном варианте - 1000 км) (9649).</w:t>
      </w:r>
    </w:p>
    <w:p w14:paraId="4023CF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был подготовлен проект Постановления ГКО о постройке к 1 декабря 1942 г. войсковой серии Су-6 М-71 в количестве 25 машин для производства испытаний в боевых условиях. Одновременно была подготовлена докладная записка И.В.Сталину с положительной оценкой самолета: “самолет прост и доступен летчикам средней квалификации, допускает полет с брошенной ручкой на всех скоростях”.</w:t>
      </w:r>
    </w:p>
    <w:p w14:paraId="38E028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выпуск серии осуществлен не был, надо полагать, в основном из-за трудностей обеспечения серийными моторами М-71. Были и другие объективные и субъективные причины (9649).</w:t>
      </w:r>
    </w:p>
    <w:p w14:paraId="0A7603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7B0CC1" w14:textId="77777777" w:rsidR="007C5583" w:rsidRPr="009E183A" w:rsidRDefault="007C5583" w:rsidP="009E183A">
      <w:pPr>
        <w:spacing w:after="0" w:line="240" w:lineRule="auto"/>
        <w:jc w:val="both"/>
        <w:rPr>
          <w:rFonts w:ascii="Times New Roman" w:hAnsi="Times New Roman"/>
          <w:sz w:val="16"/>
          <w:szCs w:val="16"/>
        </w:rPr>
      </w:pPr>
      <w:r w:rsidRPr="009E183A">
        <w:rPr>
          <w:rFonts w:ascii="Times New Roman" w:hAnsi="Times New Roman"/>
          <w:sz w:val="16"/>
          <w:szCs w:val="16"/>
        </w:rPr>
        <w:t>В мае 1942 г, старший инженер 5-го отдела УЗСиМ ГУЗ ВВС инженер-капитан Григорьев, основываясь на результатах полигонных испы</w:t>
      </w:r>
      <w:r w:rsidRPr="009E183A">
        <w:rPr>
          <w:rFonts w:ascii="Times New Roman" w:hAnsi="Times New Roman"/>
          <w:sz w:val="16"/>
          <w:szCs w:val="16"/>
        </w:rPr>
        <w:softHyphen/>
        <w:t>таний валовой авиационной брони «на отстрел ее пулями калибра 15 мм и снарядами калибра 20 мм из немецкой пушки-пулемета МГ-151», предложил для повышения стойкости броне</w:t>
      </w:r>
      <w:r w:rsidRPr="009E183A">
        <w:rPr>
          <w:rFonts w:ascii="Times New Roman" w:hAnsi="Times New Roman"/>
          <w:sz w:val="16"/>
          <w:szCs w:val="16"/>
        </w:rPr>
        <w:softHyphen/>
        <w:t>спинок отечественных самолетов «применить экранированные системы брони», состоящие из двух бронеплит (основной и экранной бро</w:t>
      </w:r>
      <w:r w:rsidRPr="009E183A">
        <w:rPr>
          <w:rFonts w:ascii="Times New Roman" w:hAnsi="Times New Roman"/>
          <w:sz w:val="16"/>
          <w:szCs w:val="16"/>
        </w:rPr>
        <w:softHyphen/>
        <w:t>ни), между которыми имеется небольшой про</w:t>
      </w:r>
      <w:r w:rsidRPr="009E183A">
        <w:rPr>
          <w:rFonts w:ascii="Times New Roman" w:hAnsi="Times New Roman"/>
          <w:sz w:val="16"/>
          <w:szCs w:val="16"/>
        </w:rPr>
        <w:softHyphen/>
        <w:t>межуток воздуха.</w:t>
      </w:r>
    </w:p>
    <w:p w14:paraId="47A53BCD" w14:textId="77777777" w:rsidR="007C5583" w:rsidRPr="009E183A" w:rsidRDefault="007C5583" w:rsidP="009E183A">
      <w:pPr>
        <w:spacing w:after="0" w:line="240" w:lineRule="auto"/>
        <w:jc w:val="both"/>
        <w:rPr>
          <w:rFonts w:ascii="Times New Roman" w:hAnsi="Times New Roman"/>
          <w:sz w:val="16"/>
          <w:szCs w:val="16"/>
        </w:rPr>
      </w:pPr>
      <w:r w:rsidRPr="009E183A">
        <w:rPr>
          <w:rFonts w:ascii="Times New Roman" w:hAnsi="Times New Roman"/>
          <w:sz w:val="16"/>
          <w:szCs w:val="16"/>
        </w:rPr>
        <w:t>Предполагалось, что при прохождении боеприпаса через бронеэкран будет происходить частичное или полное раздробление сердечни</w:t>
      </w:r>
      <w:r w:rsidRPr="009E183A">
        <w:rPr>
          <w:rFonts w:ascii="Times New Roman" w:hAnsi="Times New Roman"/>
          <w:sz w:val="16"/>
          <w:szCs w:val="16"/>
        </w:rPr>
        <w:softHyphen/>
        <w:t>ка, а также снятие оболочки и зажигательного состава боеприпаса. При этом значительно уменьшалась скорость движения боеприпаса и изменялась его траектория. В итоге боеприпас подходил к основной броне уже частично раз</w:t>
      </w:r>
      <w:r w:rsidRPr="009E183A">
        <w:rPr>
          <w:rFonts w:ascii="Times New Roman" w:hAnsi="Times New Roman"/>
          <w:sz w:val="16"/>
          <w:szCs w:val="16"/>
        </w:rPr>
        <w:softHyphen/>
        <w:t>рушенным со сниженной энергетикой и под большим углом встречи или даже плашмя. Как следствие, при ударе по основной броне бое</w:t>
      </w:r>
      <w:r w:rsidRPr="009E183A">
        <w:rPr>
          <w:rFonts w:ascii="Times New Roman" w:hAnsi="Times New Roman"/>
          <w:sz w:val="16"/>
          <w:szCs w:val="16"/>
        </w:rPr>
        <w:softHyphen/>
        <w:t>припас окончательно разрушался, не пробивая броню.</w:t>
      </w:r>
    </w:p>
    <w:p w14:paraId="28F412B2" w14:textId="77777777" w:rsidR="007C5583" w:rsidRPr="009E183A" w:rsidRDefault="007C5583" w:rsidP="009E183A">
      <w:pPr>
        <w:spacing w:after="0" w:line="240" w:lineRule="auto"/>
        <w:jc w:val="both"/>
        <w:rPr>
          <w:rFonts w:ascii="Times New Roman" w:hAnsi="Times New Roman"/>
          <w:sz w:val="16"/>
          <w:szCs w:val="16"/>
        </w:rPr>
      </w:pPr>
      <w:r w:rsidRPr="009E183A">
        <w:rPr>
          <w:rFonts w:ascii="Times New Roman" w:hAnsi="Times New Roman"/>
          <w:sz w:val="16"/>
          <w:szCs w:val="16"/>
        </w:rPr>
        <w:t>Для проверки свойств экранной брони на заводе №125 в Подольске срочно провели полигонные испытания (15776).</w:t>
      </w:r>
    </w:p>
    <w:p w14:paraId="367E0DBB" w14:textId="77777777" w:rsidR="007C5583" w:rsidRPr="009E183A" w:rsidRDefault="007C5583" w:rsidP="009E183A">
      <w:pPr>
        <w:spacing w:after="0" w:line="240" w:lineRule="auto"/>
        <w:jc w:val="both"/>
        <w:rPr>
          <w:rFonts w:ascii="Times New Roman" w:hAnsi="Times New Roman"/>
          <w:sz w:val="16"/>
          <w:szCs w:val="16"/>
        </w:rPr>
      </w:pPr>
    </w:p>
    <w:p w14:paraId="1CE19B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на 153 заводе закончили выпуск Як-7А с М-105ПА, который велся с января 1942 и выпустили 277 (65,80).</w:t>
      </w:r>
    </w:p>
    <w:p w14:paraId="161071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D3BE9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на 153 заводе завершили выпуск Як-7А, начатый в январе 1942 (638,27).</w:t>
      </w:r>
    </w:p>
    <w:p w14:paraId="49448E5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164C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мая 1942 по декабрь 1943 на 153 заводе серийно выпускался Як-7Б и сделали 597 (65,101).</w:t>
      </w:r>
    </w:p>
    <w:p w14:paraId="0090AF2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9B58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началось строительство Як-7Д - дальнего разведчика истребительной авиации с пассажиром или фотоаппаратом в задней кабине на основе серийного Як-7В. Делали на 153 по чертежам ОКБ (65,104).</w:t>
      </w:r>
    </w:p>
    <w:p w14:paraId="67ABC7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FF798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мая 1942 по июль 1943 Як-7Б М-105ПФ серийно выпускался на 82 заводе в Москве (с 1 по 28 серию) (65,90).</w:t>
      </w:r>
    </w:p>
    <w:p w14:paraId="3AE671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A6018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мая 1942 по декабрь 1943 строили Як-7В и сделали 597 (в т.ч. 87 переделали из Як-7Б) (65,101).</w:t>
      </w:r>
    </w:p>
    <w:p w14:paraId="3C9575C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3D56FA" w14:textId="77777777" w:rsidR="009E183A" w:rsidRPr="008A2E5A" w:rsidRDefault="009E183A" w:rsidP="009E18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1942 на заводе № 153 начали выпуск варианта Як-7 с уси</w:t>
      </w:r>
      <w:r w:rsidRPr="008A2E5A">
        <w:rPr>
          <w:rFonts w:ascii="Times New Roman" w:hAnsi="Times New Roman"/>
          <w:color w:val="0070C0"/>
          <w:sz w:val="16"/>
          <w:szCs w:val="16"/>
        </w:rPr>
        <w:softHyphen/>
        <w:t>ленным крупнокалиберными пулеметами вооружением Як-7Б -, а в августе изготовили опытную серию из 22 самолетов Як-7Т, вооруженных 37-мм мотор-пушкой.</w:t>
      </w:r>
    </w:p>
    <w:p w14:paraId="7E3E983F" w14:textId="77777777" w:rsidR="009E183A" w:rsidRPr="008A2E5A" w:rsidRDefault="009E183A" w:rsidP="009E18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ОКБ А.С. Яковлева с момента эвакуации в Новосибирск и начала внедрения истребителей Як-7 на заводе №153 развернуло работу по улучшению конструкции самолета. Зимой 1941-1942 г. в металл и дерево воплотились проекты, начатые раз</w:t>
      </w:r>
      <w:r w:rsidRPr="008A2E5A">
        <w:rPr>
          <w:rFonts w:ascii="Times New Roman" w:hAnsi="Times New Roman"/>
          <w:color w:val="0070C0"/>
          <w:sz w:val="16"/>
          <w:szCs w:val="16"/>
        </w:rPr>
        <w:softHyphen/>
        <w:t>работкой в 1941 г: Як-7 с мотором М-82, улучшенный бо</w:t>
      </w:r>
      <w:r w:rsidRPr="008A2E5A">
        <w:rPr>
          <w:rFonts w:ascii="Times New Roman" w:hAnsi="Times New Roman"/>
          <w:color w:val="0070C0"/>
          <w:sz w:val="16"/>
          <w:szCs w:val="16"/>
        </w:rPr>
        <w:softHyphen/>
        <w:t>евой Як-7А, варианты с усиленным вооружением: Як-7Б (с пушкой ШВАК и двумя синхронными пулеметами кали</w:t>
      </w:r>
      <w:r w:rsidRPr="008A2E5A">
        <w:rPr>
          <w:rFonts w:ascii="Times New Roman" w:hAnsi="Times New Roman"/>
          <w:color w:val="0070C0"/>
          <w:sz w:val="16"/>
          <w:szCs w:val="16"/>
        </w:rPr>
        <w:softHyphen/>
        <w:t>бром 12,7 мм) и Як-7Т (с 37-мм пушкой и двумя синхрон</w:t>
      </w:r>
      <w:r w:rsidRPr="008A2E5A">
        <w:rPr>
          <w:rFonts w:ascii="Times New Roman" w:hAnsi="Times New Roman"/>
          <w:color w:val="0070C0"/>
          <w:sz w:val="16"/>
          <w:szCs w:val="16"/>
        </w:rPr>
        <w:softHyphen/>
        <w:t>ными пулеметами калибром 12,7-мм), невооруженный и с неубирающимся шасси Як-7В (23381).</w:t>
      </w:r>
    </w:p>
    <w:p w14:paraId="4263AA83" w14:textId="77777777" w:rsidR="009E183A" w:rsidRPr="008A2E5A" w:rsidRDefault="009E183A" w:rsidP="009E183A">
      <w:pPr>
        <w:spacing w:after="0" w:line="240" w:lineRule="auto"/>
        <w:jc w:val="both"/>
        <w:rPr>
          <w:rFonts w:ascii="Times New Roman" w:hAnsi="Times New Roman"/>
          <w:color w:val="0070C0"/>
          <w:sz w:val="16"/>
          <w:szCs w:val="16"/>
        </w:rPr>
      </w:pPr>
    </w:p>
    <w:p w14:paraId="049146B9" w14:textId="77777777" w:rsidR="009E183A" w:rsidRPr="008A2E5A" w:rsidRDefault="009E183A" w:rsidP="009E18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мая 1942 г. на за</w:t>
      </w:r>
      <w:r w:rsidRPr="008A2E5A">
        <w:rPr>
          <w:rFonts w:ascii="Times New Roman" w:hAnsi="Times New Roman"/>
          <w:color w:val="0070C0"/>
          <w:sz w:val="16"/>
          <w:szCs w:val="16"/>
        </w:rPr>
        <w:softHyphen/>
        <w:t xml:space="preserve">воде им. Чкалова начали нумеровать самолеты ЯК-7 – Як-7В с 1-й серии. </w:t>
      </w:r>
    </w:p>
    <w:p w14:paraId="5452E698" w14:textId="77777777" w:rsidR="009E183A" w:rsidRPr="008A2E5A" w:rsidRDefault="009E183A" w:rsidP="009E18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Машины Як-7А изготовляли на заводе №153 сериями по 40, а Як-7В - по 80 самолетов в каждой. В связи с от</w:t>
      </w:r>
      <w:r w:rsidRPr="008A2E5A">
        <w:rPr>
          <w:rFonts w:ascii="Times New Roman" w:hAnsi="Times New Roman"/>
          <w:color w:val="0070C0"/>
          <w:sz w:val="16"/>
          <w:szCs w:val="16"/>
        </w:rPr>
        <w:softHyphen/>
        <w:t>сутствием в конце 1941 г. - начале 1942 г. задания заво</w:t>
      </w:r>
      <w:r w:rsidRPr="008A2E5A">
        <w:rPr>
          <w:rFonts w:ascii="Times New Roman" w:hAnsi="Times New Roman"/>
          <w:color w:val="0070C0"/>
          <w:sz w:val="16"/>
          <w:szCs w:val="16"/>
        </w:rPr>
        <w:softHyphen/>
        <w:t>ду №153 по производству учебно-тренировочных само</w:t>
      </w:r>
      <w:r w:rsidRPr="008A2E5A">
        <w:rPr>
          <w:rFonts w:ascii="Times New Roman" w:hAnsi="Times New Roman"/>
          <w:color w:val="0070C0"/>
          <w:sz w:val="16"/>
          <w:szCs w:val="16"/>
        </w:rPr>
        <w:softHyphen/>
        <w:t>летов, выпущенные 25 машин с двойным управлением, засчитали в авиавыпуск Як-7А. При этом серийные но</w:t>
      </w:r>
      <w:r w:rsidRPr="008A2E5A">
        <w:rPr>
          <w:rFonts w:ascii="Times New Roman" w:hAnsi="Times New Roman"/>
          <w:color w:val="0070C0"/>
          <w:sz w:val="16"/>
          <w:szCs w:val="16"/>
        </w:rPr>
        <w:softHyphen/>
        <w:t>мера фактически изготовленных учебных машин не ме</w:t>
      </w:r>
      <w:r w:rsidRPr="008A2E5A">
        <w:rPr>
          <w:rFonts w:ascii="Times New Roman" w:hAnsi="Times New Roman"/>
          <w:color w:val="0070C0"/>
          <w:sz w:val="16"/>
          <w:szCs w:val="16"/>
        </w:rPr>
        <w:softHyphen/>
        <w:t>нялись. Производ</w:t>
      </w:r>
      <w:r w:rsidRPr="008A2E5A">
        <w:rPr>
          <w:rFonts w:ascii="Times New Roman" w:hAnsi="Times New Roman"/>
          <w:color w:val="0070C0"/>
          <w:sz w:val="16"/>
          <w:szCs w:val="16"/>
        </w:rPr>
        <w:softHyphen/>
        <w:t>ственные серии Як-7Б на заводе №153 насчитывали по 120 машин, однако в результате агрегатных поставок в Тушино недосчитались: 22-я серия - 32, 23-я серия - шесть, 24-я серия- 14, 25-я серия - одного, 26-я серия - 49, 27-я серия - 41, 28-я серия - 29 и 29-я серия - три Як-7Б. Отдельно стоит 30-я серия, в единственной кото</w:t>
      </w:r>
      <w:r w:rsidRPr="008A2E5A">
        <w:rPr>
          <w:rFonts w:ascii="Times New Roman" w:hAnsi="Times New Roman"/>
          <w:color w:val="0070C0"/>
          <w:sz w:val="16"/>
          <w:szCs w:val="16"/>
        </w:rPr>
        <w:softHyphen/>
        <w:t>рой (вероятно, в связи с прекращением поставок на за</w:t>
      </w:r>
      <w:r w:rsidRPr="008A2E5A">
        <w:rPr>
          <w:rFonts w:ascii="Times New Roman" w:hAnsi="Times New Roman"/>
          <w:color w:val="0070C0"/>
          <w:sz w:val="16"/>
          <w:szCs w:val="16"/>
        </w:rPr>
        <w:softHyphen/>
        <w:t>вод №82) выпустили 170 самолетов.</w:t>
      </w:r>
    </w:p>
    <w:p w14:paraId="0B6548B0" w14:textId="77777777" w:rsidR="009E183A" w:rsidRPr="008A2E5A" w:rsidRDefault="009E183A" w:rsidP="009E18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Результаты работы Новосибирского авиационного завода за 1942 г. приведе</w:t>
      </w:r>
      <w:r w:rsidRPr="008A2E5A">
        <w:rPr>
          <w:rFonts w:ascii="Times New Roman" w:hAnsi="Times New Roman"/>
          <w:color w:val="0070C0"/>
          <w:sz w:val="16"/>
          <w:szCs w:val="16"/>
        </w:rPr>
        <w:softHyphen/>
        <w:t>ны в таблице 5.</w:t>
      </w:r>
    </w:p>
    <w:p w14:paraId="47A237E4" w14:textId="77777777" w:rsidR="009E183A" w:rsidRPr="008A2E5A" w:rsidRDefault="009E183A" w:rsidP="009E18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Таблица №5. Выпуск самолетов Як-7 заводом № 153 в 1942 г. (составлена по данным ЦАМО ф.35 оп. 11287 дд.779, 795, 1632)</w:t>
      </w:r>
    </w:p>
    <w:tbl>
      <w:tblPr>
        <w:tblOverlap w:val="never"/>
        <w:tblW w:w="0" w:type="auto"/>
        <w:tblLayout w:type="fixed"/>
        <w:tblCellMar>
          <w:left w:w="10" w:type="dxa"/>
          <w:right w:w="10" w:type="dxa"/>
        </w:tblCellMar>
        <w:tblLook w:val="04A0" w:firstRow="1" w:lastRow="0" w:firstColumn="1" w:lastColumn="0" w:noHBand="0" w:noVBand="1"/>
      </w:tblPr>
      <w:tblGrid>
        <w:gridCol w:w="1627"/>
        <w:gridCol w:w="624"/>
        <w:gridCol w:w="624"/>
        <w:gridCol w:w="624"/>
        <w:gridCol w:w="624"/>
        <w:gridCol w:w="619"/>
        <w:gridCol w:w="624"/>
        <w:gridCol w:w="619"/>
        <w:gridCol w:w="619"/>
        <w:gridCol w:w="614"/>
        <w:gridCol w:w="619"/>
        <w:gridCol w:w="610"/>
        <w:gridCol w:w="610"/>
        <w:gridCol w:w="619"/>
      </w:tblGrid>
      <w:tr w:rsidR="009E183A" w:rsidRPr="008A2E5A" w14:paraId="20DCD5B1" w14:textId="77777777" w:rsidTr="004C5D62">
        <w:trPr>
          <w:trHeight w:val="902"/>
        </w:trPr>
        <w:tc>
          <w:tcPr>
            <w:tcW w:w="1627" w:type="dxa"/>
            <w:tcBorders>
              <w:top w:val="single" w:sz="4" w:space="0" w:color="auto"/>
              <w:left w:val="single" w:sz="4" w:space="0" w:color="auto"/>
            </w:tcBorders>
            <w:shd w:val="clear" w:color="auto" w:fill="auto"/>
          </w:tcPr>
          <w:p w14:paraId="35470942"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Производственные показатели</w:t>
            </w:r>
          </w:p>
        </w:tc>
        <w:tc>
          <w:tcPr>
            <w:tcW w:w="624" w:type="dxa"/>
            <w:tcBorders>
              <w:top w:val="single" w:sz="4" w:space="0" w:color="auto"/>
              <w:left w:val="single" w:sz="4" w:space="0" w:color="auto"/>
            </w:tcBorders>
            <w:shd w:val="clear" w:color="auto" w:fill="auto"/>
            <w:textDirection w:val="btLr"/>
          </w:tcPr>
          <w:p w14:paraId="013B043E"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Январь</w:t>
            </w:r>
          </w:p>
        </w:tc>
        <w:tc>
          <w:tcPr>
            <w:tcW w:w="624" w:type="dxa"/>
            <w:tcBorders>
              <w:top w:val="single" w:sz="4" w:space="0" w:color="auto"/>
              <w:left w:val="single" w:sz="4" w:space="0" w:color="auto"/>
            </w:tcBorders>
            <w:shd w:val="clear" w:color="auto" w:fill="auto"/>
            <w:textDirection w:val="btLr"/>
          </w:tcPr>
          <w:p w14:paraId="501E7B24"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Февраль</w:t>
            </w:r>
          </w:p>
        </w:tc>
        <w:tc>
          <w:tcPr>
            <w:tcW w:w="624" w:type="dxa"/>
            <w:tcBorders>
              <w:top w:val="single" w:sz="4" w:space="0" w:color="auto"/>
              <w:left w:val="single" w:sz="4" w:space="0" w:color="auto"/>
            </w:tcBorders>
            <w:shd w:val="clear" w:color="auto" w:fill="auto"/>
            <w:textDirection w:val="btLr"/>
          </w:tcPr>
          <w:p w14:paraId="3C66EBE5"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Март</w:t>
            </w:r>
          </w:p>
        </w:tc>
        <w:tc>
          <w:tcPr>
            <w:tcW w:w="624" w:type="dxa"/>
            <w:tcBorders>
              <w:top w:val="single" w:sz="4" w:space="0" w:color="auto"/>
              <w:left w:val="single" w:sz="4" w:space="0" w:color="auto"/>
            </w:tcBorders>
            <w:shd w:val="clear" w:color="auto" w:fill="auto"/>
            <w:textDirection w:val="btLr"/>
          </w:tcPr>
          <w:p w14:paraId="537490FF"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Апрель</w:t>
            </w:r>
          </w:p>
        </w:tc>
        <w:tc>
          <w:tcPr>
            <w:tcW w:w="619" w:type="dxa"/>
            <w:tcBorders>
              <w:top w:val="single" w:sz="4" w:space="0" w:color="auto"/>
              <w:left w:val="single" w:sz="4" w:space="0" w:color="auto"/>
            </w:tcBorders>
            <w:shd w:val="clear" w:color="auto" w:fill="auto"/>
            <w:textDirection w:val="btLr"/>
          </w:tcPr>
          <w:p w14:paraId="39EB7A8D"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Май</w:t>
            </w:r>
          </w:p>
        </w:tc>
        <w:tc>
          <w:tcPr>
            <w:tcW w:w="624" w:type="dxa"/>
            <w:tcBorders>
              <w:top w:val="single" w:sz="4" w:space="0" w:color="auto"/>
              <w:left w:val="single" w:sz="4" w:space="0" w:color="auto"/>
            </w:tcBorders>
            <w:shd w:val="clear" w:color="auto" w:fill="auto"/>
            <w:textDirection w:val="btLr"/>
          </w:tcPr>
          <w:p w14:paraId="19C94CFD"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Июнь</w:t>
            </w:r>
          </w:p>
        </w:tc>
        <w:tc>
          <w:tcPr>
            <w:tcW w:w="619" w:type="dxa"/>
            <w:tcBorders>
              <w:top w:val="single" w:sz="4" w:space="0" w:color="auto"/>
              <w:left w:val="single" w:sz="4" w:space="0" w:color="auto"/>
            </w:tcBorders>
            <w:shd w:val="clear" w:color="auto" w:fill="auto"/>
            <w:textDirection w:val="btLr"/>
          </w:tcPr>
          <w:p w14:paraId="5A9B509D"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Июль</w:t>
            </w:r>
          </w:p>
        </w:tc>
        <w:tc>
          <w:tcPr>
            <w:tcW w:w="619" w:type="dxa"/>
            <w:tcBorders>
              <w:top w:val="single" w:sz="4" w:space="0" w:color="auto"/>
              <w:left w:val="single" w:sz="4" w:space="0" w:color="auto"/>
            </w:tcBorders>
            <w:shd w:val="clear" w:color="auto" w:fill="auto"/>
            <w:textDirection w:val="btLr"/>
          </w:tcPr>
          <w:p w14:paraId="1370748C"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Август</w:t>
            </w:r>
          </w:p>
        </w:tc>
        <w:tc>
          <w:tcPr>
            <w:tcW w:w="614" w:type="dxa"/>
            <w:tcBorders>
              <w:top w:val="single" w:sz="4" w:space="0" w:color="auto"/>
              <w:left w:val="single" w:sz="4" w:space="0" w:color="auto"/>
            </w:tcBorders>
            <w:shd w:val="clear" w:color="auto" w:fill="auto"/>
            <w:textDirection w:val="btLr"/>
          </w:tcPr>
          <w:p w14:paraId="5C33ECB5"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Сентябрь</w:t>
            </w:r>
          </w:p>
        </w:tc>
        <w:tc>
          <w:tcPr>
            <w:tcW w:w="619" w:type="dxa"/>
            <w:tcBorders>
              <w:top w:val="single" w:sz="4" w:space="0" w:color="auto"/>
              <w:left w:val="single" w:sz="4" w:space="0" w:color="auto"/>
            </w:tcBorders>
            <w:shd w:val="clear" w:color="auto" w:fill="auto"/>
            <w:textDirection w:val="btLr"/>
          </w:tcPr>
          <w:p w14:paraId="4F0CD164"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Октябрь</w:t>
            </w:r>
          </w:p>
        </w:tc>
        <w:tc>
          <w:tcPr>
            <w:tcW w:w="610" w:type="dxa"/>
            <w:tcBorders>
              <w:top w:val="single" w:sz="4" w:space="0" w:color="auto"/>
              <w:left w:val="single" w:sz="4" w:space="0" w:color="auto"/>
            </w:tcBorders>
            <w:shd w:val="clear" w:color="auto" w:fill="auto"/>
            <w:textDirection w:val="btLr"/>
          </w:tcPr>
          <w:p w14:paraId="39C9C9E9"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Ноябрь</w:t>
            </w:r>
          </w:p>
        </w:tc>
        <w:tc>
          <w:tcPr>
            <w:tcW w:w="610" w:type="dxa"/>
            <w:tcBorders>
              <w:top w:val="single" w:sz="4" w:space="0" w:color="auto"/>
              <w:left w:val="single" w:sz="4" w:space="0" w:color="auto"/>
            </w:tcBorders>
            <w:shd w:val="clear" w:color="auto" w:fill="auto"/>
            <w:textDirection w:val="btLr"/>
          </w:tcPr>
          <w:p w14:paraId="0D53CEA8"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Декабрь</w:t>
            </w:r>
          </w:p>
        </w:tc>
        <w:tc>
          <w:tcPr>
            <w:tcW w:w="619" w:type="dxa"/>
            <w:tcBorders>
              <w:top w:val="single" w:sz="4" w:space="0" w:color="auto"/>
              <w:left w:val="single" w:sz="4" w:space="0" w:color="auto"/>
              <w:right w:val="single" w:sz="4" w:space="0" w:color="auto"/>
            </w:tcBorders>
            <w:shd w:val="clear" w:color="auto" w:fill="auto"/>
            <w:textDirection w:val="btLr"/>
          </w:tcPr>
          <w:p w14:paraId="632BC2CB"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w:t>
            </w:r>
          </w:p>
        </w:tc>
      </w:tr>
      <w:tr w:rsidR="009E183A" w:rsidRPr="008A2E5A" w14:paraId="012C441B" w14:textId="77777777" w:rsidTr="004C5D62">
        <w:trPr>
          <w:trHeight w:val="226"/>
        </w:trPr>
        <w:tc>
          <w:tcPr>
            <w:tcW w:w="1627" w:type="dxa"/>
            <w:tcBorders>
              <w:top w:val="single" w:sz="4" w:space="0" w:color="auto"/>
              <w:left w:val="single" w:sz="4" w:space="0" w:color="auto"/>
            </w:tcBorders>
            <w:shd w:val="clear" w:color="auto" w:fill="auto"/>
            <w:vAlign w:val="bottom"/>
          </w:tcPr>
          <w:p w14:paraId="52FEA903"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План выпуска1</w:t>
            </w:r>
          </w:p>
        </w:tc>
        <w:tc>
          <w:tcPr>
            <w:tcW w:w="624" w:type="dxa"/>
            <w:tcBorders>
              <w:top w:val="single" w:sz="4" w:space="0" w:color="auto"/>
              <w:left w:val="single" w:sz="4" w:space="0" w:color="auto"/>
            </w:tcBorders>
            <w:shd w:val="clear" w:color="auto" w:fill="auto"/>
          </w:tcPr>
          <w:p w14:paraId="0EA6BD65" w14:textId="77777777" w:rsidR="009E183A" w:rsidRPr="008A2E5A" w:rsidRDefault="009E183A" w:rsidP="004C5D62">
            <w:pPr>
              <w:spacing w:after="0" w:line="240" w:lineRule="auto"/>
              <w:jc w:val="both"/>
              <w:rPr>
                <w:rFonts w:ascii="Times New Roman" w:hAnsi="Times New Roman"/>
                <w:color w:val="0070C0"/>
                <w:sz w:val="16"/>
                <w:szCs w:val="16"/>
              </w:rPr>
            </w:pPr>
          </w:p>
        </w:tc>
        <w:tc>
          <w:tcPr>
            <w:tcW w:w="624" w:type="dxa"/>
            <w:tcBorders>
              <w:top w:val="single" w:sz="4" w:space="0" w:color="auto"/>
              <w:left w:val="single" w:sz="4" w:space="0" w:color="auto"/>
            </w:tcBorders>
            <w:shd w:val="clear" w:color="auto" w:fill="auto"/>
            <w:vAlign w:val="bottom"/>
          </w:tcPr>
          <w:p w14:paraId="2DBC9559"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w:t>
            </w:r>
          </w:p>
        </w:tc>
        <w:tc>
          <w:tcPr>
            <w:tcW w:w="624" w:type="dxa"/>
            <w:tcBorders>
              <w:top w:val="single" w:sz="4" w:space="0" w:color="auto"/>
              <w:left w:val="single" w:sz="4" w:space="0" w:color="auto"/>
            </w:tcBorders>
            <w:shd w:val="clear" w:color="auto" w:fill="auto"/>
            <w:vAlign w:val="bottom"/>
          </w:tcPr>
          <w:p w14:paraId="36BA4003"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96</w:t>
            </w:r>
          </w:p>
        </w:tc>
        <w:tc>
          <w:tcPr>
            <w:tcW w:w="624" w:type="dxa"/>
            <w:tcBorders>
              <w:top w:val="single" w:sz="4" w:space="0" w:color="auto"/>
              <w:left w:val="single" w:sz="4" w:space="0" w:color="auto"/>
            </w:tcBorders>
            <w:shd w:val="clear" w:color="auto" w:fill="auto"/>
            <w:vAlign w:val="bottom"/>
          </w:tcPr>
          <w:p w14:paraId="22369446"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140</w:t>
            </w:r>
          </w:p>
        </w:tc>
        <w:tc>
          <w:tcPr>
            <w:tcW w:w="619" w:type="dxa"/>
            <w:tcBorders>
              <w:top w:val="single" w:sz="4" w:space="0" w:color="auto"/>
              <w:left w:val="single" w:sz="4" w:space="0" w:color="auto"/>
            </w:tcBorders>
            <w:shd w:val="clear" w:color="auto" w:fill="auto"/>
            <w:vAlign w:val="bottom"/>
          </w:tcPr>
          <w:p w14:paraId="22E30B76"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175</w:t>
            </w:r>
          </w:p>
        </w:tc>
        <w:tc>
          <w:tcPr>
            <w:tcW w:w="624" w:type="dxa"/>
            <w:tcBorders>
              <w:top w:val="single" w:sz="4" w:space="0" w:color="auto"/>
              <w:left w:val="single" w:sz="4" w:space="0" w:color="auto"/>
            </w:tcBorders>
            <w:shd w:val="clear" w:color="auto" w:fill="auto"/>
            <w:vAlign w:val="bottom"/>
          </w:tcPr>
          <w:p w14:paraId="7B3B7306"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225</w:t>
            </w:r>
          </w:p>
        </w:tc>
        <w:tc>
          <w:tcPr>
            <w:tcW w:w="619" w:type="dxa"/>
            <w:tcBorders>
              <w:top w:val="single" w:sz="4" w:space="0" w:color="auto"/>
              <w:left w:val="single" w:sz="4" w:space="0" w:color="auto"/>
            </w:tcBorders>
            <w:shd w:val="clear" w:color="auto" w:fill="auto"/>
            <w:vAlign w:val="bottom"/>
          </w:tcPr>
          <w:p w14:paraId="32B8A01F"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270</w:t>
            </w:r>
          </w:p>
        </w:tc>
        <w:tc>
          <w:tcPr>
            <w:tcW w:w="619" w:type="dxa"/>
            <w:tcBorders>
              <w:top w:val="single" w:sz="4" w:space="0" w:color="auto"/>
              <w:left w:val="single" w:sz="4" w:space="0" w:color="auto"/>
            </w:tcBorders>
            <w:shd w:val="clear" w:color="auto" w:fill="auto"/>
            <w:vAlign w:val="bottom"/>
          </w:tcPr>
          <w:p w14:paraId="6FE39150"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300</w:t>
            </w:r>
          </w:p>
        </w:tc>
        <w:tc>
          <w:tcPr>
            <w:tcW w:w="614" w:type="dxa"/>
            <w:tcBorders>
              <w:top w:val="single" w:sz="4" w:space="0" w:color="auto"/>
              <w:left w:val="single" w:sz="4" w:space="0" w:color="auto"/>
            </w:tcBorders>
            <w:shd w:val="clear" w:color="auto" w:fill="auto"/>
            <w:vAlign w:val="bottom"/>
          </w:tcPr>
          <w:p w14:paraId="084A91EB"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315</w:t>
            </w:r>
          </w:p>
        </w:tc>
        <w:tc>
          <w:tcPr>
            <w:tcW w:w="619" w:type="dxa"/>
            <w:tcBorders>
              <w:top w:val="single" w:sz="4" w:space="0" w:color="auto"/>
              <w:left w:val="single" w:sz="4" w:space="0" w:color="auto"/>
            </w:tcBorders>
            <w:shd w:val="clear" w:color="auto" w:fill="auto"/>
            <w:vAlign w:val="bottom"/>
          </w:tcPr>
          <w:p w14:paraId="2FCC8E8F"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348</w:t>
            </w:r>
          </w:p>
        </w:tc>
        <w:tc>
          <w:tcPr>
            <w:tcW w:w="610" w:type="dxa"/>
            <w:tcBorders>
              <w:top w:val="single" w:sz="4" w:space="0" w:color="auto"/>
              <w:left w:val="single" w:sz="4" w:space="0" w:color="auto"/>
            </w:tcBorders>
            <w:shd w:val="clear" w:color="auto" w:fill="auto"/>
            <w:vAlign w:val="bottom"/>
          </w:tcPr>
          <w:p w14:paraId="5585C18A"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340</w:t>
            </w:r>
          </w:p>
        </w:tc>
        <w:tc>
          <w:tcPr>
            <w:tcW w:w="610" w:type="dxa"/>
            <w:tcBorders>
              <w:top w:val="single" w:sz="4" w:space="0" w:color="auto"/>
              <w:left w:val="single" w:sz="4" w:space="0" w:color="auto"/>
            </w:tcBorders>
            <w:shd w:val="clear" w:color="auto" w:fill="auto"/>
            <w:vAlign w:val="bottom"/>
          </w:tcPr>
          <w:p w14:paraId="075EB0D0"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380</w:t>
            </w:r>
          </w:p>
        </w:tc>
        <w:tc>
          <w:tcPr>
            <w:tcW w:w="619" w:type="dxa"/>
            <w:tcBorders>
              <w:top w:val="single" w:sz="4" w:space="0" w:color="auto"/>
              <w:left w:val="single" w:sz="4" w:space="0" w:color="auto"/>
              <w:right w:val="single" w:sz="4" w:space="0" w:color="auto"/>
            </w:tcBorders>
            <w:shd w:val="clear" w:color="auto" w:fill="auto"/>
            <w:vAlign w:val="bottom"/>
          </w:tcPr>
          <w:p w14:paraId="56B1E1B2"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2602</w:t>
            </w:r>
          </w:p>
        </w:tc>
      </w:tr>
      <w:tr w:rsidR="009E183A" w:rsidRPr="008A2E5A" w14:paraId="09BCC717" w14:textId="77777777" w:rsidTr="004C5D62">
        <w:trPr>
          <w:trHeight w:val="202"/>
        </w:trPr>
        <w:tc>
          <w:tcPr>
            <w:tcW w:w="1627" w:type="dxa"/>
            <w:tcBorders>
              <w:left w:val="single" w:sz="4" w:space="0" w:color="auto"/>
            </w:tcBorders>
            <w:shd w:val="clear" w:color="auto" w:fill="auto"/>
          </w:tcPr>
          <w:p w14:paraId="1A3D7C81"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вт.ч.Як-7В</w:t>
            </w:r>
          </w:p>
        </w:tc>
        <w:tc>
          <w:tcPr>
            <w:tcW w:w="624" w:type="dxa"/>
            <w:tcBorders>
              <w:left w:val="single" w:sz="4" w:space="0" w:color="auto"/>
            </w:tcBorders>
            <w:shd w:val="clear" w:color="auto" w:fill="auto"/>
          </w:tcPr>
          <w:p w14:paraId="43DE1949" w14:textId="77777777" w:rsidR="009E183A" w:rsidRPr="008A2E5A" w:rsidRDefault="009E183A" w:rsidP="004C5D62">
            <w:pPr>
              <w:spacing w:after="0" w:line="240" w:lineRule="auto"/>
              <w:jc w:val="both"/>
              <w:rPr>
                <w:rFonts w:ascii="Times New Roman" w:hAnsi="Times New Roman"/>
                <w:color w:val="0070C0"/>
                <w:sz w:val="16"/>
                <w:szCs w:val="16"/>
              </w:rPr>
            </w:pPr>
          </w:p>
        </w:tc>
        <w:tc>
          <w:tcPr>
            <w:tcW w:w="624" w:type="dxa"/>
            <w:tcBorders>
              <w:left w:val="single" w:sz="4" w:space="0" w:color="auto"/>
            </w:tcBorders>
            <w:shd w:val="clear" w:color="auto" w:fill="auto"/>
          </w:tcPr>
          <w:p w14:paraId="3A7CE23E"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w:t>
            </w:r>
          </w:p>
        </w:tc>
        <w:tc>
          <w:tcPr>
            <w:tcW w:w="624" w:type="dxa"/>
            <w:tcBorders>
              <w:left w:val="single" w:sz="4" w:space="0" w:color="auto"/>
            </w:tcBorders>
            <w:shd w:val="clear" w:color="auto" w:fill="auto"/>
          </w:tcPr>
          <w:p w14:paraId="64004913"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w:t>
            </w:r>
          </w:p>
        </w:tc>
        <w:tc>
          <w:tcPr>
            <w:tcW w:w="624" w:type="dxa"/>
            <w:tcBorders>
              <w:left w:val="single" w:sz="4" w:space="0" w:color="auto"/>
            </w:tcBorders>
            <w:shd w:val="clear" w:color="auto" w:fill="auto"/>
          </w:tcPr>
          <w:p w14:paraId="7A0054F6"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w:t>
            </w:r>
          </w:p>
        </w:tc>
        <w:tc>
          <w:tcPr>
            <w:tcW w:w="619" w:type="dxa"/>
            <w:tcBorders>
              <w:left w:val="single" w:sz="4" w:space="0" w:color="auto"/>
            </w:tcBorders>
            <w:shd w:val="clear" w:color="auto" w:fill="auto"/>
          </w:tcPr>
          <w:p w14:paraId="79C85341"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w:t>
            </w:r>
          </w:p>
        </w:tc>
        <w:tc>
          <w:tcPr>
            <w:tcW w:w="624" w:type="dxa"/>
            <w:tcBorders>
              <w:left w:val="single" w:sz="4" w:space="0" w:color="auto"/>
            </w:tcBorders>
            <w:shd w:val="clear" w:color="auto" w:fill="auto"/>
          </w:tcPr>
          <w:p w14:paraId="152EE86A"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w:t>
            </w:r>
          </w:p>
        </w:tc>
        <w:tc>
          <w:tcPr>
            <w:tcW w:w="619" w:type="dxa"/>
            <w:tcBorders>
              <w:left w:val="single" w:sz="4" w:space="0" w:color="auto"/>
            </w:tcBorders>
            <w:shd w:val="clear" w:color="auto" w:fill="auto"/>
          </w:tcPr>
          <w:p w14:paraId="4396F177"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w:t>
            </w:r>
          </w:p>
        </w:tc>
        <w:tc>
          <w:tcPr>
            <w:tcW w:w="619" w:type="dxa"/>
            <w:tcBorders>
              <w:left w:val="single" w:sz="4" w:space="0" w:color="auto"/>
            </w:tcBorders>
            <w:shd w:val="clear" w:color="auto" w:fill="auto"/>
          </w:tcPr>
          <w:p w14:paraId="10BA3C99"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w:t>
            </w:r>
          </w:p>
        </w:tc>
        <w:tc>
          <w:tcPr>
            <w:tcW w:w="614" w:type="dxa"/>
            <w:tcBorders>
              <w:left w:val="single" w:sz="4" w:space="0" w:color="auto"/>
            </w:tcBorders>
            <w:shd w:val="clear" w:color="auto" w:fill="auto"/>
          </w:tcPr>
          <w:p w14:paraId="53B36F4E"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w:t>
            </w:r>
          </w:p>
        </w:tc>
        <w:tc>
          <w:tcPr>
            <w:tcW w:w="619" w:type="dxa"/>
            <w:tcBorders>
              <w:left w:val="single" w:sz="4" w:space="0" w:color="auto"/>
            </w:tcBorders>
            <w:shd w:val="clear" w:color="auto" w:fill="auto"/>
          </w:tcPr>
          <w:p w14:paraId="25C1E63E"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w:t>
            </w:r>
          </w:p>
        </w:tc>
        <w:tc>
          <w:tcPr>
            <w:tcW w:w="610" w:type="dxa"/>
            <w:tcBorders>
              <w:left w:val="single" w:sz="4" w:space="0" w:color="auto"/>
            </w:tcBorders>
            <w:shd w:val="clear" w:color="auto" w:fill="auto"/>
          </w:tcPr>
          <w:p w14:paraId="1AAAA960"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w:t>
            </w:r>
          </w:p>
        </w:tc>
        <w:tc>
          <w:tcPr>
            <w:tcW w:w="610" w:type="dxa"/>
            <w:tcBorders>
              <w:left w:val="single" w:sz="4" w:space="0" w:color="auto"/>
            </w:tcBorders>
            <w:shd w:val="clear" w:color="auto" w:fill="auto"/>
          </w:tcPr>
          <w:p w14:paraId="20307AFA"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w:t>
            </w:r>
          </w:p>
        </w:tc>
        <w:tc>
          <w:tcPr>
            <w:tcW w:w="619" w:type="dxa"/>
            <w:tcBorders>
              <w:left w:val="single" w:sz="4" w:space="0" w:color="auto"/>
              <w:right w:val="single" w:sz="4" w:space="0" w:color="auto"/>
            </w:tcBorders>
            <w:shd w:val="clear" w:color="auto" w:fill="auto"/>
          </w:tcPr>
          <w:p w14:paraId="7EEA9E03"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210</w:t>
            </w:r>
          </w:p>
        </w:tc>
      </w:tr>
      <w:tr w:rsidR="009E183A" w:rsidRPr="008A2E5A" w14:paraId="3CAA8475" w14:textId="77777777" w:rsidTr="004C5D62">
        <w:trPr>
          <w:trHeight w:val="432"/>
        </w:trPr>
        <w:tc>
          <w:tcPr>
            <w:tcW w:w="1627" w:type="dxa"/>
            <w:tcBorders>
              <w:top w:val="single" w:sz="4" w:space="0" w:color="auto"/>
              <w:left w:val="single" w:sz="4" w:space="0" w:color="auto"/>
            </w:tcBorders>
            <w:shd w:val="clear" w:color="auto" w:fill="auto"/>
            <w:vAlign w:val="center"/>
          </w:tcPr>
          <w:p w14:paraId="2A2E6359"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Изменение плана</w:t>
            </w:r>
          </w:p>
        </w:tc>
        <w:tc>
          <w:tcPr>
            <w:tcW w:w="624" w:type="dxa"/>
            <w:tcBorders>
              <w:top w:val="single" w:sz="4" w:space="0" w:color="auto"/>
              <w:left w:val="single" w:sz="4" w:space="0" w:color="auto"/>
            </w:tcBorders>
            <w:shd w:val="clear" w:color="auto" w:fill="auto"/>
            <w:vAlign w:val="center"/>
          </w:tcPr>
          <w:p w14:paraId="50A60454"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24" w:type="dxa"/>
            <w:tcBorders>
              <w:top w:val="single" w:sz="4" w:space="0" w:color="auto"/>
              <w:left w:val="single" w:sz="4" w:space="0" w:color="auto"/>
            </w:tcBorders>
            <w:shd w:val="clear" w:color="auto" w:fill="auto"/>
            <w:vAlign w:val="center"/>
          </w:tcPr>
          <w:p w14:paraId="0C00F0CC"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24" w:type="dxa"/>
            <w:tcBorders>
              <w:top w:val="single" w:sz="4" w:space="0" w:color="auto"/>
              <w:left w:val="single" w:sz="4" w:space="0" w:color="auto"/>
            </w:tcBorders>
            <w:shd w:val="clear" w:color="auto" w:fill="auto"/>
            <w:vAlign w:val="center"/>
          </w:tcPr>
          <w:p w14:paraId="1B227344"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24" w:type="dxa"/>
            <w:tcBorders>
              <w:top w:val="single" w:sz="4" w:space="0" w:color="auto"/>
              <w:left w:val="single" w:sz="4" w:space="0" w:color="auto"/>
            </w:tcBorders>
            <w:shd w:val="clear" w:color="auto" w:fill="auto"/>
            <w:vAlign w:val="center"/>
          </w:tcPr>
          <w:p w14:paraId="13ACB12D"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9" w:type="dxa"/>
            <w:tcBorders>
              <w:top w:val="single" w:sz="4" w:space="0" w:color="auto"/>
              <w:left w:val="single" w:sz="4" w:space="0" w:color="auto"/>
            </w:tcBorders>
            <w:shd w:val="clear" w:color="auto" w:fill="auto"/>
            <w:vAlign w:val="center"/>
          </w:tcPr>
          <w:p w14:paraId="6315CB09"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175+ 60’</w:t>
            </w:r>
          </w:p>
        </w:tc>
        <w:tc>
          <w:tcPr>
            <w:tcW w:w="624" w:type="dxa"/>
            <w:tcBorders>
              <w:top w:val="single" w:sz="4" w:space="0" w:color="auto"/>
              <w:left w:val="single" w:sz="4" w:space="0" w:color="auto"/>
            </w:tcBorders>
            <w:shd w:val="clear" w:color="auto" w:fill="auto"/>
            <w:vAlign w:val="center"/>
          </w:tcPr>
          <w:p w14:paraId="561B013E"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9" w:type="dxa"/>
            <w:tcBorders>
              <w:top w:val="single" w:sz="4" w:space="0" w:color="auto"/>
              <w:left w:val="single" w:sz="4" w:space="0" w:color="auto"/>
            </w:tcBorders>
            <w:shd w:val="clear" w:color="auto" w:fill="auto"/>
            <w:vAlign w:val="center"/>
          </w:tcPr>
          <w:p w14:paraId="650B93B8"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174s</w:t>
            </w:r>
          </w:p>
        </w:tc>
        <w:tc>
          <w:tcPr>
            <w:tcW w:w="619" w:type="dxa"/>
            <w:tcBorders>
              <w:top w:val="single" w:sz="4" w:space="0" w:color="auto"/>
              <w:left w:val="single" w:sz="4" w:space="0" w:color="auto"/>
            </w:tcBorders>
            <w:shd w:val="clear" w:color="auto" w:fill="auto"/>
            <w:vAlign w:val="center"/>
          </w:tcPr>
          <w:p w14:paraId="082EDEC7"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210+ 90'’</w:t>
            </w:r>
          </w:p>
        </w:tc>
        <w:tc>
          <w:tcPr>
            <w:tcW w:w="614" w:type="dxa"/>
            <w:tcBorders>
              <w:top w:val="single" w:sz="4" w:space="0" w:color="auto"/>
              <w:left w:val="single" w:sz="4" w:space="0" w:color="auto"/>
            </w:tcBorders>
            <w:shd w:val="clear" w:color="auto" w:fill="auto"/>
            <w:vAlign w:val="center"/>
          </w:tcPr>
          <w:p w14:paraId="09251F1C"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160+</w:t>
            </w:r>
          </w:p>
          <w:p w14:paraId="70272C17"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1407</w:t>
            </w:r>
          </w:p>
        </w:tc>
        <w:tc>
          <w:tcPr>
            <w:tcW w:w="619" w:type="dxa"/>
            <w:tcBorders>
              <w:top w:val="single" w:sz="4" w:space="0" w:color="auto"/>
              <w:left w:val="single" w:sz="4" w:space="0" w:color="auto"/>
            </w:tcBorders>
            <w:shd w:val="clear" w:color="auto" w:fill="auto"/>
            <w:vAlign w:val="center"/>
          </w:tcPr>
          <w:p w14:paraId="29D37407"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276</w:t>
            </w:r>
          </w:p>
        </w:tc>
        <w:tc>
          <w:tcPr>
            <w:tcW w:w="610" w:type="dxa"/>
            <w:tcBorders>
              <w:top w:val="single" w:sz="4" w:space="0" w:color="auto"/>
              <w:left w:val="single" w:sz="4" w:space="0" w:color="auto"/>
            </w:tcBorders>
            <w:shd w:val="clear" w:color="auto" w:fill="auto"/>
            <w:vAlign w:val="center"/>
          </w:tcPr>
          <w:p w14:paraId="30170C2E"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290</w:t>
            </w:r>
          </w:p>
        </w:tc>
        <w:tc>
          <w:tcPr>
            <w:tcW w:w="610" w:type="dxa"/>
            <w:tcBorders>
              <w:top w:val="single" w:sz="4" w:space="0" w:color="auto"/>
              <w:left w:val="single" w:sz="4" w:space="0" w:color="auto"/>
            </w:tcBorders>
            <w:shd w:val="clear" w:color="auto" w:fill="auto"/>
            <w:vAlign w:val="center"/>
          </w:tcPr>
          <w:p w14:paraId="7F3B202B"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286</w:t>
            </w:r>
          </w:p>
        </w:tc>
        <w:tc>
          <w:tcPr>
            <w:tcW w:w="619" w:type="dxa"/>
            <w:tcBorders>
              <w:top w:val="single" w:sz="4" w:space="0" w:color="auto"/>
              <w:left w:val="single" w:sz="4" w:space="0" w:color="auto"/>
              <w:right w:val="single" w:sz="4" w:space="0" w:color="auto"/>
            </w:tcBorders>
            <w:shd w:val="clear" w:color="auto" w:fill="auto"/>
            <w:vAlign w:val="center"/>
          </w:tcPr>
          <w:p w14:paraId="1A4DFB33"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1985</w:t>
            </w:r>
          </w:p>
        </w:tc>
      </w:tr>
      <w:tr w:rsidR="009E183A" w:rsidRPr="008A2E5A" w14:paraId="6E4A0D80" w14:textId="77777777" w:rsidTr="004C5D62">
        <w:trPr>
          <w:trHeight w:val="226"/>
        </w:trPr>
        <w:tc>
          <w:tcPr>
            <w:tcW w:w="1627" w:type="dxa"/>
            <w:tcBorders>
              <w:top w:val="single" w:sz="4" w:space="0" w:color="auto"/>
              <w:left w:val="single" w:sz="4" w:space="0" w:color="auto"/>
            </w:tcBorders>
            <w:shd w:val="clear" w:color="auto" w:fill="auto"/>
            <w:vAlign w:val="bottom"/>
          </w:tcPr>
          <w:p w14:paraId="74A8476E"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Выпушено, в т.ч.:</w:t>
            </w:r>
          </w:p>
        </w:tc>
        <w:tc>
          <w:tcPr>
            <w:tcW w:w="624" w:type="dxa"/>
            <w:tcBorders>
              <w:top w:val="single" w:sz="4" w:space="0" w:color="auto"/>
              <w:left w:val="single" w:sz="4" w:space="0" w:color="auto"/>
            </w:tcBorders>
            <w:shd w:val="clear" w:color="auto" w:fill="auto"/>
            <w:vAlign w:val="bottom"/>
          </w:tcPr>
          <w:p w14:paraId="76C93960"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w:t>
            </w:r>
          </w:p>
        </w:tc>
        <w:tc>
          <w:tcPr>
            <w:tcW w:w="624" w:type="dxa"/>
            <w:tcBorders>
              <w:top w:val="single" w:sz="4" w:space="0" w:color="auto"/>
              <w:left w:val="single" w:sz="4" w:space="0" w:color="auto"/>
            </w:tcBorders>
            <w:shd w:val="clear" w:color="auto" w:fill="auto"/>
            <w:vAlign w:val="bottom"/>
          </w:tcPr>
          <w:p w14:paraId="20AAFFCE"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w:t>
            </w:r>
          </w:p>
        </w:tc>
        <w:tc>
          <w:tcPr>
            <w:tcW w:w="624" w:type="dxa"/>
            <w:tcBorders>
              <w:top w:val="single" w:sz="4" w:space="0" w:color="auto"/>
              <w:left w:val="single" w:sz="4" w:space="0" w:color="auto"/>
            </w:tcBorders>
            <w:shd w:val="clear" w:color="auto" w:fill="auto"/>
            <w:vAlign w:val="bottom"/>
          </w:tcPr>
          <w:p w14:paraId="5B2432EA"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96</w:t>
            </w:r>
          </w:p>
        </w:tc>
        <w:tc>
          <w:tcPr>
            <w:tcW w:w="624" w:type="dxa"/>
            <w:tcBorders>
              <w:top w:val="single" w:sz="4" w:space="0" w:color="auto"/>
              <w:left w:val="single" w:sz="4" w:space="0" w:color="auto"/>
            </w:tcBorders>
            <w:shd w:val="clear" w:color="auto" w:fill="auto"/>
            <w:vAlign w:val="bottom"/>
          </w:tcPr>
          <w:p w14:paraId="16C213E0"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65</w:t>
            </w:r>
          </w:p>
        </w:tc>
        <w:tc>
          <w:tcPr>
            <w:tcW w:w="619" w:type="dxa"/>
            <w:tcBorders>
              <w:top w:val="single" w:sz="4" w:space="0" w:color="auto"/>
              <w:left w:val="single" w:sz="4" w:space="0" w:color="auto"/>
            </w:tcBorders>
            <w:shd w:val="clear" w:color="auto" w:fill="auto"/>
            <w:vAlign w:val="bottom"/>
          </w:tcPr>
          <w:p w14:paraId="2E813C30"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185</w:t>
            </w:r>
          </w:p>
        </w:tc>
        <w:tc>
          <w:tcPr>
            <w:tcW w:w="624" w:type="dxa"/>
            <w:tcBorders>
              <w:top w:val="single" w:sz="4" w:space="0" w:color="auto"/>
              <w:left w:val="single" w:sz="4" w:space="0" w:color="auto"/>
            </w:tcBorders>
            <w:shd w:val="clear" w:color="auto" w:fill="auto"/>
            <w:vAlign w:val="bottom"/>
          </w:tcPr>
          <w:p w14:paraId="2EEEBFAD"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I4I4</w:t>
            </w:r>
          </w:p>
        </w:tc>
        <w:tc>
          <w:tcPr>
            <w:tcW w:w="619" w:type="dxa"/>
            <w:tcBorders>
              <w:top w:val="single" w:sz="4" w:space="0" w:color="auto"/>
              <w:left w:val="single" w:sz="4" w:space="0" w:color="auto"/>
            </w:tcBorders>
            <w:shd w:val="clear" w:color="auto" w:fill="auto"/>
            <w:vAlign w:val="bottom"/>
          </w:tcPr>
          <w:p w14:paraId="183C1935"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166</w:t>
            </w:r>
          </w:p>
        </w:tc>
        <w:tc>
          <w:tcPr>
            <w:tcW w:w="619" w:type="dxa"/>
            <w:tcBorders>
              <w:top w:val="single" w:sz="4" w:space="0" w:color="auto"/>
              <w:left w:val="single" w:sz="4" w:space="0" w:color="auto"/>
            </w:tcBorders>
            <w:shd w:val="clear" w:color="auto" w:fill="auto"/>
            <w:vAlign w:val="bottom"/>
          </w:tcPr>
          <w:p w14:paraId="549FB30F"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230</w:t>
            </w:r>
          </w:p>
        </w:tc>
        <w:tc>
          <w:tcPr>
            <w:tcW w:w="614" w:type="dxa"/>
            <w:tcBorders>
              <w:top w:val="single" w:sz="4" w:space="0" w:color="auto"/>
              <w:left w:val="single" w:sz="4" w:space="0" w:color="auto"/>
            </w:tcBorders>
            <w:shd w:val="clear" w:color="auto" w:fill="auto"/>
            <w:vAlign w:val="bottom"/>
          </w:tcPr>
          <w:p w14:paraId="0DA5381E"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245'"</w:t>
            </w:r>
          </w:p>
        </w:tc>
        <w:tc>
          <w:tcPr>
            <w:tcW w:w="619" w:type="dxa"/>
            <w:tcBorders>
              <w:top w:val="single" w:sz="4" w:space="0" w:color="auto"/>
              <w:left w:val="single" w:sz="4" w:space="0" w:color="auto"/>
            </w:tcBorders>
            <w:shd w:val="clear" w:color="auto" w:fill="auto"/>
            <w:vAlign w:val="bottom"/>
          </w:tcPr>
          <w:p w14:paraId="16669F6F"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315</w:t>
            </w:r>
          </w:p>
        </w:tc>
        <w:tc>
          <w:tcPr>
            <w:tcW w:w="610" w:type="dxa"/>
            <w:tcBorders>
              <w:top w:val="single" w:sz="4" w:space="0" w:color="auto"/>
              <w:left w:val="single" w:sz="4" w:space="0" w:color="auto"/>
            </w:tcBorders>
            <w:shd w:val="clear" w:color="auto" w:fill="auto"/>
            <w:vAlign w:val="bottom"/>
          </w:tcPr>
          <w:p w14:paraId="79FF1234"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361'-’</w:t>
            </w:r>
          </w:p>
        </w:tc>
        <w:tc>
          <w:tcPr>
            <w:tcW w:w="610" w:type="dxa"/>
            <w:tcBorders>
              <w:top w:val="single" w:sz="4" w:space="0" w:color="auto"/>
              <w:left w:val="single" w:sz="4" w:space="0" w:color="auto"/>
            </w:tcBorders>
            <w:shd w:val="clear" w:color="auto" w:fill="auto"/>
            <w:vAlign w:val="bottom"/>
          </w:tcPr>
          <w:p w14:paraId="496A4D86"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369</w:t>
            </w:r>
          </w:p>
        </w:tc>
        <w:tc>
          <w:tcPr>
            <w:tcW w:w="619" w:type="dxa"/>
            <w:tcBorders>
              <w:top w:val="single" w:sz="4" w:space="0" w:color="auto"/>
              <w:left w:val="single" w:sz="4" w:space="0" w:color="auto"/>
              <w:right w:val="single" w:sz="4" w:space="0" w:color="auto"/>
            </w:tcBorders>
            <w:shd w:val="clear" w:color="auto" w:fill="auto"/>
            <w:vAlign w:val="bottom"/>
          </w:tcPr>
          <w:p w14:paraId="0E2CF89B"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218613</w:t>
            </w:r>
          </w:p>
        </w:tc>
      </w:tr>
      <w:tr w:rsidR="009E183A" w:rsidRPr="008A2E5A" w14:paraId="143A3C90" w14:textId="77777777" w:rsidTr="004C5D62">
        <w:trPr>
          <w:trHeight w:val="178"/>
        </w:trPr>
        <w:tc>
          <w:tcPr>
            <w:tcW w:w="1627" w:type="dxa"/>
            <w:tcBorders>
              <w:left w:val="single" w:sz="4" w:space="0" w:color="auto"/>
            </w:tcBorders>
            <w:shd w:val="clear" w:color="auto" w:fill="auto"/>
          </w:tcPr>
          <w:p w14:paraId="29F4D45F"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Як-7А(Як-3)</w:t>
            </w:r>
          </w:p>
        </w:tc>
        <w:tc>
          <w:tcPr>
            <w:tcW w:w="624" w:type="dxa"/>
            <w:tcBorders>
              <w:left w:val="single" w:sz="4" w:space="0" w:color="auto"/>
            </w:tcBorders>
            <w:shd w:val="clear" w:color="auto" w:fill="auto"/>
          </w:tcPr>
          <w:p w14:paraId="30841781"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w:t>
            </w:r>
          </w:p>
        </w:tc>
        <w:tc>
          <w:tcPr>
            <w:tcW w:w="624" w:type="dxa"/>
            <w:tcBorders>
              <w:left w:val="single" w:sz="4" w:space="0" w:color="auto"/>
            </w:tcBorders>
            <w:shd w:val="clear" w:color="auto" w:fill="auto"/>
          </w:tcPr>
          <w:p w14:paraId="56868548"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p>
        </w:tc>
        <w:tc>
          <w:tcPr>
            <w:tcW w:w="624" w:type="dxa"/>
            <w:tcBorders>
              <w:left w:val="single" w:sz="4" w:space="0" w:color="auto"/>
            </w:tcBorders>
            <w:shd w:val="clear" w:color="auto" w:fill="auto"/>
          </w:tcPr>
          <w:p w14:paraId="01B3F7B2"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89</w:t>
            </w:r>
          </w:p>
        </w:tc>
        <w:tc>
          <w:tcPr>
            <w:tcW w:w="624" w:type="dxa"/>
            <w:tcBorders>
              <w:left w:val="single" w:sz="4" w:space="0" w:color="auto"/>
            </w:tcBorders>
            <w:shd w:val="clear" w:color="auto" w:fill="auto"/>
          </w:tcPr>
          <w:p w14:paraId="703227A6"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59</w:t>
            </w:r>
          </w:p>
        </w:tc>
        <w:tc>
          <w:tcPr>
            <w:tcW w:w="619" w:type="dxa"/>
            <w:tcBorders>
              <w:left w:val="single" w:sz="4" w:space="0" w:color="auto"/>
            </w:tcBorders>
            <w:shd w:val="clear" w:color="auto" w:fill="auto"/>
          </w:tcPr>
          <w:p w14:paraId="4F281027"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103</w:t>
            </w:r>
          </w:p>
        </w:tc>
        <w:tc>
          <w:tcPr>
            <w:tcW w:w="624" w:type="dxa"/>
            <w:tcBorders>
              <w:left w:val="single" w:sz="4" w:space="0" w:color="auto"/>
            </w:tcBorders>
            <w:shd w:val="clear" w:color="auto" w:fill="auto"/>
            <w:vAlign w:val="center"/>
          </w:tcPr>
          <w:p w14:paraId="4F009AE2"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9" w:type="dxa"/>
            <w:tcBorders>
              <w:left w:val="single" w:sz="4" w:space="0" w:color="auto"/>
            </w:tcBorders>
            <w:shd w:val="clear" w:color="auto" w:fill="auto"/>
            <w:vAlign w:val="center"/>
          </w:tcPr>
          <w:p w14:paraId="6542AD76"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9" w:type="dxa"/>
            <w:tcBorders>
              <w:left w:val="single" w:sz="4" w:space="0" w:color="auto"/>
            </w:tcBorders>
            <w:shd w:val="clear" w:color="auto" w:fill="auto"/>
            <w:vAlign w:val="center"/>
          </w:tcPr>
          <w:p w14:paraId="4A056E25"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4" w:type="dxa"/>
            <w:tcBorders>
              <w:left w:val="single" w:sz="4" w:space="0" w:color="auto"/>
            </w:tcBorders>
            <w:shd w:val="clear" w:color="auto" w:fill="auto"/>
            <w:vAlign w:val="center"/>
          </w:tcPr>
          <w:p w14:paraId="4D5F58F5"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9" w:type="dxa"/>
            <w:tcBorders>
              <w:left w:val="single" w:sz="4" w:space="0" w:color="auto"/>
            </w:tcBorders>
            <w:shd w:val="clear" w:color="auto" w:fill="auto"/>
            <w:vAlign w:val="center"/>
          </w:tcPr>
          <w:p w14:paraId="5DE48ED6"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0" w:type="dxa"/>
            <w:tcBorders>
              <w:left w:val="single" w:sz="4" w:space="0" w:color="auto"/>
            </w:tcBorders>
            <w:shd w:val="clear" w:color="auto" w:fill="auto"/>
            <w:vAlign w:val="center"/>
          </w:tcPr>
          <w:p w14:paraId="24488DCC"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0" w:type="dxa"/>
            <w:tcBorders>
              <w:left w:val="single" w:sz="4" w:space="0" w:color="auto"/>
            </w:tcBorders>
            <w:shd w:val="clear" w:color="auto" w:fill="auto"/>
            <w:vAlign w:val="center"/>
          </w:tcPr>
          <w:p w14:paraId="0E748DB9"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9" w:type="dxa"/>
            <w:tcBorders>
              <w:left w:val="single" w:sz="4" w:space="0" w:color="auto"/>
              <w:right w:val="single" w:sz="4" w:space="0" w:color="auto"/>
            </w:tcBorders>
            <w:shd w:val="clear" w:color="auto" w:fill="auto"/>
          </w:tcPr>
          <w:p w14:paraId="286DB80B"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262</w:t>
            </w:r>
          </w:p>
        </w:tc>
      </w:tr>
      <w:tr w:rsidR="009E183A" w:rsidRPr="008A2E5A" w14:paraId="607AFA5A" w14:textId="77777777" w:rsidTr="004C5D62">
        <w:trPr>
          <w:trHeight w:val="178"/>
        </w:trPr>
        <w:tc>
          <w:tcPr>
            <w:tcW w:w="1627" w:type="dxa"/>
            <w:tcBorders>
              <w:left w:val="single" w:sz="4" w:space="0" w:color="auto"/>
            </w:tcBorders>
            <w:shd w:val="clear" w:color="auto" w:fill="auto"/>
            <w:vAlign w:val="bottom"/>
          </w:tcPr>
          <w:p w14:paraId="19322D7E"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Як-7Б</w:t>
            </w:r>
          </w:p>
        </w:tc>
        <w:tc>
          <w:tcPr>
            <w:tcW w:w="624" w:type="dxa"/>
            <w:tcBorders>
              <w:left w:val="single" w:sz="4" w:space="0" w:color="auto"/>
            </w:tcBorders>
            <w:shd w:val="clear" w:color="auto" w:fill="auto"/>
            <w:vAlign w:val="bottom"/>
          </w:tcPr>
          <w:p w14:paraId="3507F1B2"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24" w:type="dxa"/>
            <w:tcBorders>
              <w:left w:val="single" w:sz="4" w:space="0" w:color="auto"/>
            </w:tcBorders>
            <w:shd w:val="clear" w:color="auto" w:fill="auto"/>
            <w:vAlign w:val="bottom"/>
          </w:tcPr>
          <w:p w14:paraId="0CD018FA"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24" w:type="dxa"/>
            <w:tcBorders>
              <w:left w:val="single" w:sz="4" w:space="0" w:color="auto"/>
            </w:tcBorders>
            <w:shd w:val="clear" w:color="auto" w:fill="auto"/>
            <w:vAlign w:val="bottom"/>
          </w:tcPr>
          <w:p w14:paraId="265AE419"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24" w:type="dxa"/>
            <w:tcBorders>
              <w:left w:val="single" w:sz="4" w:space="0" w:color="auto"/>
            </w:tcBorders>
            <w:shd w:val="clear" w:color="auto" w:fill="auto"/>
            <w:vAlign w:val="bottom"/>
          </w:tcPr>
          <w:p w14:paraId="07ED4C2E"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9" w:type="dxa"/>
            <w:tcBorders>
              <w:left w:val="single" w:sz="4" w:space="0" w:color="auto"/>
            </w:tcBorders>
            <w:shd w:val="clear" w:color="auto" w:fill="auto"/>
            <w:vAlign w:val="bottom"/>
          </w:tcPr>
          <w:p w14:paraId="359043EC"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w:t>
            </w:r>
          </w:p>
        </w:tc>
        <w:tc>
          <w:tcPr>
            <w:tcW w:w="624" w:type="dxa"/>
            <w:tcBorders>
              <w:left w:val="single" w:sz="4" w:space="0" w:color="auto"/>
            </w:tcBorders>
            <w:shd w:val="clear" w:color="auto" w:fill="auto"/>
            <w:vAlign w:val="bottom"/>
          </w:tcPr>
          <w:p w14:paraId="7A8A8BF3"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88</w:t>
            </w:r>
          </w:p>
        </w:tc>
        <w:tc>
          <w:tcPr>
            <w:tcW w:w="619" w:type="dxa"/>
            <w:tcBorders>
              <w:left w:val="single" w:sz="4" w:space="0" w:color="auto"/>
            </w:tcBorders>
            <w:shd w:val="clear" w:color="auto" w:fill="auto"/>
            <w:vAlign w:val="bottom"/>
          </w:tcPr>
          <w:p w14:paraId="3027D39A"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121</w:t>
            </w:r>
          </w:p>
        </w:tc>
        <w:tc>
          <w:tcPr>
            <w:tcW w:w="619" w:type="dxa"/>
            <w:tcBorders>
              <w:left w:val="single" w:sz="4" w:space="0" w:color="auto"/>
            </w:tcBorders>
            <w:shd w:val="clear" w:color="auto" w:fill="auto"/>
            <w:vAlign w:val="bottom"/>
          </w:tcPr>
          <w:p w14:paraId="02ED8B33"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228“</w:t>
            </w:r>
          </w:p>
        </w:tc>
        <w:tc>
          <w:tcPr>
            <w:tcW w:w="614" w:type="dxa"/>
            <w:tcBorders>
              <w:left w:val="single" w:sz="4" w:space="0" w:color="auto"/>
            </w:tcBorders>
            <w:shd w:val="clear" w:color="auto" w:fill="auto"/>
            <w:vAlign w:val="bottom"/>
          </w:tcPr>
          <w:p w14:paraId="6E01C53E"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244</w:t>
            </w:r>
          </w:p>
        </w:tc>
        <w:tc>
          <w:tcPr>
            <w:tcW w:w="619" w:type="dxa"/>
            <w:tcBorders>
              <w:left w:val="single" w:sz="4" w:space="0" w:color="auto"/>
            </w:tcBorders>
            <w:shd w:val="clear" w:color="auto" w:fill="auto"/>
            <w:vAlign w:val="bottom"/>
          </w:tcPr>
          <w:p w14:paraId="54F8D1B0"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290</w:t>
            </w:r>
          </w:p>
        </w:tc>
        <w:tc>
          <w:tcPr>
            <w:tcW w:w="610" w:type="dxa"/>
            <w:tcBorders>
              <w:left w:val="single" w:sz="4" w:space="0" w:color="auto"/>
            </w:tcBorders>
            <w:shd w:val="clear" w:color="auto" w:fill="auto"/>
            <w:vAlign w:val="bottom"/>
          </w:tcPr>
          <w:p w14:paraId="68912893"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354'2</w:t>
            </w:r>
          </w:p>
        </w:tc>
        <w:tc>
          <w:tcPr>
            <w:tcW w:w="610" w:type="dxa"/>
            <w:tcBorders>
              <w:left w:val="single" w:sz="4" w:space="0" w:color="auto"/>
            </w:tcBorders>
            <w:shd w:val="clear" w:color="auto" w:fill="auto"/>
            <w:vAlign w:val="bottom"/>
          </w:tcPr>
          <w:p w14:paraId="23CE6EDD"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369</w:t>
            </w:r>
          </w:p>
        </w:tc>
        <w:tc>
          <w:tcPr>
            <w:tcW w:w="619" w:type="dxa"/>
            <w:tcBorders>
              <w:left w:val="single" w:sz="4" w:space="0" w:color="auto"/>
              <w:right w:val="single" w:sz="4" w:space="0" w:color="auto"/>
            </w:tcBorders>
            <w:shd w:val="clear" w:color="auto" w:fill="auto"/>
            <w:vAlign w:val="bottom"/>
          </w:tcPr>
          <w:p w14:paraId="417FD77F"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1723</w:t>
            </w:r>
          </w:p>
        </w:tc>
      </w:tr>
      <w:tr w:rsidR="009E183A" w:rsidRPr="008A2E5A" w14:paraId="37C0B3C7" w14:textId="77777777" w:rsidTr="004C5D62">
        <w:trPr>
          <w:trHeight w:val="206"/>
        </w:trPr>
        <w:tc>
          <w:tcPr>
            <w:tcW w:w="1627" w:type="dxa"/>
            <w:tcBorders>
              <w:left w:val="single" w:sz="4" w:space="0" w:color="auto"/>
            </w:tcBorders>
            <w:shd w:val="clear" w:color="auto" w:fill="auto"/>
          </w:tcPr>
          <w:p w14:paraId="68E33904"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Як-7В(Як-7)</w:t>
            </w:r>
          </w:p>
        </w:tc>
        <w:tc>
          <w:tcPr>
            <w:tcW w:w="624" w:type="dxa"/>
            <w:tcBorders>
              <w:left w:val="single" w:sz="4" w:space="0" w:color="auto"/>
            </w:tcBorders>
            <w:shd w:val="clear" w:color="auto" w:fill="auto"/>
          </w:tcPr>
          <w:p w14:paraId="700F44FD"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24" w:type="dxa"/>
            <w:tcBorders>
              <w:left w:val="single" w:sz="4" w:space="0" w:color="auto"/>
            </w:tcBorders>
            <w:shd w:val="clear" w:color="auto" w:fill="auto"/>
          </w:tcPr>
          <w:p w14:paraId="14D68564"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624" w:type="dxa"/>
            <w:tcBorders>
              <w:left w:val="single" w:sz="4" w:space="0" w:color="auto"/>
            </w:tcBorders>
            <w:shd w:val="clear" w:color="auto" w:fill="auto"/>
          </w:tcPr>
          <w:p w14:paraId="04C7FAF7"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w:t>
            </w:r>
          </w:p>
        </w:tc>
        <w:tc>
          <w:tcPr>
            <w:tcW w:w="624" w:type="dxa"/>
            <w:tcBorders>
              <w:left w:val="single" w:sz="4" w:space="0" w:color="auto"/>
            </w:tcBorders>
            <w:shd w:val="clear" w:color="auto" w:fill="auto"/>
          </w:tcPr>
          <w:p w14:paraId="06F37A99"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w:t>
            </w:r>
          </w:p>
        </w:tc>
        <w:tc>
          <w:tcPr>
            <w:tcW w:w="619" w:type="dxa"/>
            <w:tcBorders>
              <w:left w:val="single" w:sz="4" w:space="0" w:color="auto"/>
            </w:tcBorders>
            <w:shd w:val="clear" w:color="auto" w:fill="auto"/>
          </w:tcPr>
          <w:p w14:paraId="45B30125"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53</w:t>
            </w:r>
          </w:p>
        </w:tc>
        <w:tc>
          <w:tcPr>
            <w:tcW w:w="624" w:type="dxa"/>
            <w:tcBorders>
              <w:left w:val="single" w:sz="4" w:space="0" w:color="auto"/>
            </w:tcBorders>
            <w:shd w:val="clear" w:color="auto" w:fill="auto"/>
          </w:tcPr>
          <w:p w14:paraId="7F3FBFCE"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53</w:t>
            </w:r>
          </w:p>
        </w:tc>
        <w:tc>
          <w:tcPr>
            <w:tcW w:w="619" w:type="dxa"/>
            <w:tcBorders>
              <w:left w:val="single" w:sz="4" w:space="0" w:color="auto"/>
            </w:tcBorders>
            <w:shd w:val="clear" w:color="auto" w:fill="auto"/>
          </w:tcPr>
          <w:p w14:paraId="4BAE3A18"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45</w:t>
            </w:r>
          </w:p>
        </w:tc>
        <w:tc>
          <w:tcPr>
            <w:tcW w:w="619" w:type="dxa"/>
            <w:tcBorders>
              <w:left w:val="single" w:sz="4" w:space="0" w:color="auto"/>
            </w:tcBorders>
            <w:shd w:val="clear" w:color="auto" w:fill="auto"/>
          </w:tcPr>
          <w:p w14:paraId="75F79916"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614" w:type="dxa"/>
            <w:tcBorders>
              <w:left w:val="single" w:sz="4" w:space="0" w:color="auto"/>
            </w:tcBorders>
            <w:shd w:val="clear" w:color="auto" w:fill="auto"/>
          </w:tcPr>
          <w:p w14:paraId="36B8D030"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tc>
        <w:tc>
          <w:tcPr>
            <w:tcW w:w="619" w:type="dxa"/>
            <w:tcBorders>
              <w:left w:val="single" w:sz="4" w:space="0" w:color="auto"/>
            </w:tcBorders>
            <w:shd w:val="clear" w:color="auto" w:fill="auto"/>
          </w:tcPr>
          <w:p w14:paraId="6B178A31"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w:t>
            </w:r>
          </w:p>
        </w:tc>
        <w:tc>
          <w:tcPr>
            <w:tcW w:w="610" w:type="dxa"/>
            <w:tcBorders>
              <w:left w:val="single" w:sz="4" w:space="0" w:color="auto"/>
            </w:tcBorders>
            <w:shd w:val="clear" w:color="auto" w:fill="auto"/>
          </w:tcPr>
          <w:p w14:paraId="011D61F5"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712</w:t>
            </w:r>
          </w:p>
        </w:tc>
        <w:tc>
          <w:tcPr>
            <w:tcW w:w="610" w:type="dxa"/>
            <w:tcBorders>
              <w:left w:val="single" w:sz="4" w:space="0" w:color="auto"/>
            </w:tcBorders>
            <w:shd w:val="clear" w:color="auto" w:fill="auto"/>
          </w:tcPr>
          <w:p w14:paraId="5F4393B2"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9" w:type="dxa"/>
            <w:tcBorders>
              <w:left w:val="single" w:sz="4" w:space="0" w:color="auto"/>
              <w:right w:val="single" w:sz="4" w:space="0" w:color="auto"/>
            </w:tcBorders>
            <w:shd w:val="clear" w:color="auto" w:fill="auto"/>
          </w:tcPr>
          <w:p w14:paraId="3E860D80"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201</w:t>
            </w:r>
          </w:p>
        </w:tc>
      </w:tr>
      <w:tr w:rsidR="009E183A" w:rsidRPr="008A2E5A" w14:paraId="381BDDAE" w14:textId="77777777" w:rsidTr="004C5D62">
        <w:trPr>
          <w:trHeight w:val="403"/>
        </w:trPr>
        <w:tc>
          <w:tcPr>
            <w:tcW w:w="1627" w:type="dxa"/>
            <w:tcBorders>
              <w:top w:val="single" w:sz="4" w:space="0" w:color="auto"/>
              <w:left w:val="single" w:sz="4" w:space="0" w:color="auto"/>
            </w:tcBorders>
            <w:shd w:val="clear" w:color="auto" w:fill="auto"/>
            <w:vAlign w:val="bottom"/>
          </w:tcPr>
          <w:p w14:paraId="76BDAFAF"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Сдано готовых к бою</w:t>
            </w:r>
          </w:p>
        </w:tc>
        <w:tc>
          <w:tcPr>
            <w:tcW w:w="624" w:type="dxa"/>
            <w:tcBorders>
              <w:top w:val="single" w:sz="4" w:space="0" w:color="auto"/>
              <w:left w:val="single" w:sz="4" w:space="0" w:color="auto"/>
            </w:tcBorders>
            <w:shd w:val="clear" w:color="auto" w:fill="auto"/>
            <w:vAlign w:val="bottom"/>
          </w:tcPr>
          <w:p w14:paraId="6609B6F8"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w:t>
            </w:r>
          </w:p>
        </w:tc>
        <w:tc>
          <w:tcPr>
            <w:tcW w:w="624" w:type="dxa"/>
            <w:tcBorders>
              <w:top w:val="single" w:sz="4" w:space="0" w:color="auto"/>
              <w:left w:val="single" w:sz="4" w:space="0" w:color="auto"/>
            </w:tcBorders>
            <w:shd w:val="clear" w:color="auto" w:fill="auto"/>
            <w:vAlign w:val="bottom"/>
          </w:tcPr>
          <w:p w14:paraId="1DBD459A"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tc>
        <w:tc>
          <w:tcPr>
            <w:tcW w:w="624" w:type="dxa"/>
            <w:tcBorders>
              <w:top w:val="single" w:sz="4" w:space="0" w:color="auto"/>
              <w:left w:val="single" w:sz="4" w:space="0" w:color="auto"/>
            </w:tcBorders>
            <w:shd w:val="clear" w:color="auto" w:fill="auto"/>
            <w:vAlign w:val="bottom"/>
          </w:tcPr>
          <w:p w14:paraId="0123E1F1"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68</w:t>
            </w:r>
          </w:p>
        </w:tc>
        <w:tc>
          <w:tcPr>
            <w:tcW w:w="624" w:type="dxa"/>
            <w:tcBorders>
              <w:top w:val="single" w:sz="4" w:space="0" w:color="auto"/>
              <w:left w:val="single" w:sz="4" w:space="0" w:color="auto"/>
            </w:tcBorders>
            <w:shd w:val="clear" w:color="auto" w:fill="auto"/>
            <w:vAlign w:val="bottom"/>
          </w:tcPr>
          <w:p w14:paraId="589F887B"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582</w:t>
            </w:r>
          </w:p>
        </w:tc>
        <w:tc>
          <w:tcPr>
            <w:tcW w:w="619" w:type="dxa"/>
            <w:tcBorders>
              <w:top w:val="single" w:sz="4" w:space="0" w:color="auto"/>
              <w:left w:val="single" w:sz="4" w:space="0" w:color="auto"/>
            </w:tcBorders>
            <w:shd w:val="clear" w:color="auto" w:fill="auto"/>
            <w:vAlign w:val="bottom"/>
          </w:tcPr>
          <w:p w14:paraId="7B43BDC8"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1752</w:t>
            </w:r>
          </w:p>
        </w:tc>
        <w:tc>
          <w:tcPr>
            <w:tcW w:w="624" w:type="dxa"/>
            <w:tcBorders>
              <w:top w:val="single" w:sz="4" w:space="0" w:color="auto"/>
              <w:left w:val="single" w:sz="4" w:space="0" w:color="auto"/>
            </w:tcBorders>
            <w:shd w:val="clear" w:color="auto" w:fill="auto"/>
            <w:vAlign w:val="bottom"/>
          </w:tcPr>
          <w:p w14:paraId="70D4AAEC"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1764</w:t>
            </w:r>
          </w:p>
        </w:tc>
        <w:tc>
          <w:tcPr>
            <w:tcW w:w="619" w:type="dxa"/>
            <w:tcBorders>
              <w:top w:val="single" w:sz="4" w:space="0" w:color="auto"/>
              <w:left w:val="single" w:sz="4" w:space="0" w:color="auto"/>
            </w:tcBorders>
            <w:shd w:val="clear" w:color="auto" w:fill="auto"/>
            <w:vAlign w:val="bottom"/>
          </w:tcPr>
          <w:p w14:paraId="29AE16F2"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177</w:t>
            </w:r>
          </w:p>
        </w:tc>
        <w:tc>
          <w:tcPr>
            <w:tcW w:w="619" w:type="dxa"/>
            <w:tcBorders>
              <w:top w:val="single" w:sz="4" w:space="0" w:color="auto"/>
              <w:left w:val="single" w:sz="4" w:space="0" w:color="auto"/>
            </w:tcBorders>
            <w:shd w:val="clear" w:color="auto" w:fill="auto"/>
            <w:vAlign w:val="bottom"/>
          </w:tcPr>
          <w:p w14:paraId="16B31B75"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230</w:t>
            </w:r>
          </w:p>
        </w:tc>
        <w:tc>
          <w:tcPr>
            <w:tcW w:w="614" w:type="dxa"/>
            <w:tcBorders>
              <w:top w:val="single" w:sz="4" w:space="0" w:color="auto"/>
              <w:left w:val="single" w:sz="4" w:space="0" w:color="auto"/>
            </w:tcBorders>
            <w:shd w:val="clear" w:color="auto" w:fill="auto"/>
            <w:vAlign w:val="bottom"/>
          </w:tcPr>
          <w:p w14:paraId="70310D4D"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235</w:t>
            </w:r>
          </w:p>
        </w:tc>
        <w:tc>
          <w:tcPr>
            <w:tcW w:w="619" w:type="dxa"/>
            <w:tcBorders>
              <w:top w:val="single" w:sz="4" w:space="0" w:color="auto"/>
              <w:left w:val="single" w:sz="4" w:space="0" w:color="auto"/>
            </w:tcBorders>
            <w:shd w:val="clear" w:color="auto" w:fill="auto"/>
            <w:vAlign w:val="bottom"/>
          </w:tcPr>
          <w:p w14:paraId="24D82CD9"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244</w:t>
            </w:r>
          </w:p>
        </w:tc>
        <w:tc>
          <w:tcPr>
            <w:tcW w:w="610" w:type="dxa"/>
            <w:tcBorders>
              <w:top w:val="single" w:sz="4" w:space="0" w:color="auto"/>
              <w:left w:val="single" w:sz="4" w:space="0" w:color="auto"/>
            </w:tcBorders>
            <w:shd w:val="clear" w:color="auto" w:fill="auto"/>
            <w:vAlign w:val="bottom"/>
          </w:tcPr>
          <w:p w14:paraId="143D4DA3"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214</w:t>
            </w:r>
          </w:p>
        </w:tc>
        <w:tc>
          <w:tcPr>
            <w:tcW w:w="610" w:type="dxa"/>
            <w:tcBorders>
              <w:top w:val="single" w:sz="4" w:space="0" w:color="auto"/>
              <w:left w:val="single" w:sz="4" w:space="0" w:color="auto"/>
            </w:tcBorders>
            <w:shd w:val="clear" w:color="auto" w:fill="auto"/>
            <w:vAlign w:val="bottom"/>
          </w:tcPr>
          <w:p w14:paraId="0ED820AA"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326</w:t>
            </w:r>
          </w:p>
        </w:tc>
        <w:tc>
          <w:tcPr>
            <w:tcW w:w="619" w:type="dxa"/>
            <w:tcBorders>
              <w:top w:val="single" w:sz="4" w:space="0" w:color="auto"/>
              <w:left w:val="single" w:sz="4" w:space="0" w:color="auto"/>
              <w:right w:val="single" w:sz="4" w:space="0" w:color="auto"/>
            </w:tcBorders>
            <w:shd w:val="clear" w:color="auto" w:fill="auto"/>
            <w:vAlign w:val="bottom"/>
          </w:tcPr>
          <w:p w14:paraId="1469C0F3"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191113</w:t>
            </w:r>
          </w:p>
        </w:tc>
      </w:tr>
      <w:tr w:rsidR="009E183A" w:rsidRPr="008A2E5A" w14:paraId="6EFB1B75" w14:textId="77777777" w:rsidTr="004C5D62">
        <w:trPr>
          <w:trHeight w:val="182"/>
        </w:trPr>
        <w:tc>
          <w:tcPr>
            <w:tcW w:w="1627" w:type="dxa"/>
            <w:tcBorders>
              <w:left w:val="single" w:sz="4" w:space="0" w:color="auto"/>
            </w:tcBorders>
            <w:shd w:val="clear" w:color="auto" w:fill="auto"/>
          </w:tcPr>
          <w:p w14:paraId="201426EB"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вт.ч. Як-7А (Як-3)</w:t>
            </w:r>
          </w:p>
        </w:tc>
        <w:tc>
          <w:tcPr>
            <w:tcW w:w="624" w:type="dxa"/>
            <w:tcBorders>
              <w:left w:val="single" w:sz="4" w:space="0" w:color="auto"/>
            </w:tcBorders>
            <w:shd w:val="clear" w:color="auto" w:fill="auto"/>
          </w:tcPr>
          <w:p w14:paraId="4025BC85"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p>
        </w:tc>
        <w:tc>
          <w:tcPr>
            <w:tcW w:w="624" w:type="dxa"/>
            <w:tcBorders>
              <w:left w:val="single" w:sz="4" w:space="0" w:color="auto"/>
            </w:tcBorders>
            <w:shd w:val="clear" w:color="auto" w:fill="auto"/>
            <w:vAlign w:val="center"/>
          </w:tcPr>
          <w:p w14:paraId="02BE082C"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24" w:type="dxa"/>
            <w:tcBorders>
              <w:left w:val="single" w:sz="4" w:space="0" w:color="auto"/>
            </w:tcBorders>
            <w:shd w:val="clear" w:color="auto" w:fill="auto"/>
          </w:tcPr>
          <w:p w14:paraId="4F4C28E5"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63</w:t>
            </w:r>
          </w:p>
        </w:tc>
        <w:tc>
          <w:tcPr>
            <w:tcW w:w="624" w:type="dxa"/>
            <w:tcBorders>
              <w:left w:val="single" w:sz="4" w:space="0" w:color="auto"/>
            </w:tcBorders>
            <w:shd w:val="clear" w:color="auto" w:fill="auto"/>
          </w:tcPr>
          <w:p w14:paraId="37C9B9C7"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54</w:t>
            </w:r>
          </w:p>
        </w:tc>
        <w:tc>
          <w:tcPr>
            <w:tcW w:w="619" w:type="dxa"/>
            <w:tcBorders>
              <w:left w:val="single" w:sz="4" w:space="0" w:color="auto"/>
            </w:tcBorders>
            <w:shd w:val="clear" w:color="auto" w:fill="auto"/>
          </w:tcPr>
          <w:p w14:paraId="50E8D6F1"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139</w:t>
            </w:r>
          </w:p>
        </w:tc>
        <w:tc>
          <w:tcPr>
            <w:tcW w:w="624" w:type="dxa"/>
            <w:tcBorders>
              <w:left w:val="single" w:sz="4" w:space="0" w:color="auto"/>
            </w:tcBorders>
            <w:shd w:val="clear" w:color="auto" w:fill="auto"/>
          </w:tcPr>
          <w:p w14:paraId="0F8AB89D"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p>
        </w:tc>
        <w:tc>
          <w:tcPr>
            <w:tcW w:w="619" w:type="dxa"/>
            <w:tcBorders>
              <w:left w:val="single" w:sz="4" w:space="0" w:color="auto"/>
            </w:tcBorders>
            <w:shd w:val="clear" w:color="auto" w:fill="auto"/>
            <w:vAlign w:val="center"/>
          </w:tcPr>
          <w:p w14:paraId="57D92970"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9" w:type="dxa"/>
            <w:tcBorders>
              <w:left w:val="single" w:sz="4" w:space="0" w:color="auto"/>
            </w:tcBorders>
            <w:shd w:val="clear" w:color="auto" w:fill="auto"/>
            <w:vAlign w:val="center"/>
          </w:tcPr>
          <w:p w14:paraId="411795B0"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4" w:type="dxa"/>
            <w:tcBorders>
              <w:left w:val="single" w:sz="4" w:space="0" w:color="auto"/>
            </w:tcBorders>
            <w:shd w:val="clear" w:color="auto" w:fill="auto"/>
            <w:vAlign w:val="center"/>
          </w:tcPr>
          <w:p w14:paraId="40D65F46"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9" w:type="dxa"/>
            <w:tcBorders>
              <w:left w:val="single" w:sz="4" w:space="0" w:color="auto"/>
            </w:tcBorders>
            <w:shd w:val="clear" w:color="auto" w:fill="auto"/>
            <w:vAlign w:val="center"/>
          </w:tcPr>
          <w:p w14:paraId="7B11CE34"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0" w:type="dxa"/>
            <w:tcBorders>
              <w:left w:val="single" w:sz="4" w:space="0" w:color="auto"/>
            </w:tcBorders>
            <w:shd w:val="clear" w:color="auto" w:fill="auto"/>
            <w:vAlign w:val="center"/>
          </w:tcPr>
          <w:p w14:paraId="75208F8F"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0" w:type="dxa"/>
            <w:tcBorders>
              <w:left w:val="single" w:sz="4" w:space="0" w:color="auto"/>
            </w:tcBorders>
            <w:shd w:val="clear" w:color="auto" w:fill="auto"/>
            <w:vAlign w:val="center"/>
          </w:tcPr>
          <w:p w14:paraId="7D3045B9"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9" w:type="dxa"/>
            <w:tcBorders>
              <w:left w:val="single" w:sz="4" w:space="0" w:color="auto"/>
              <w:right w:val="single" w:sz="4" w:space="0" w:color="auto"/>
            </w:tcBorders>
            <w:shd w:val="clear" w:color="auto" w:fill="auto"/>
          </w:tcPr>
          <w:p w14:paraId="3FEFD640"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262</w:t>
            </w:r>
          </w:p>
        </w:tc>
      </w:tr>
      <w:tr w:rsidR="009E183A" w:rsidRPr="008A2E5A" w14:paraId="302B947D" w14:textId="77777777" w:rsidTr="004C5D62">
        <w:trPr>
          <w:trHeight w:val="178"/>
        </w:trPr>
        <w:tc>
          <w:tcPr>
            <w:tcW w:w="1627" w:type="dxa"/>
            <w:tcBorders>
              <w:left w:val="single" w:sz="4" w:space="0" w:color="auto"/>
            </w:tcBorders>
            <w:shd w:val="clear" w:color="auto" w:fill="auto"/>
          </w:tcPr>
          <w:p w14:paraId="325938E9"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Як-7Б</w:t>
            </w:r>
          </w:p>
        </w:tc>
        <w:tc>
          <w:tcPr>
            <w:tcW w:w="624" w:type="dxa"/>
            <w:tcBorders>
              <w:left w:val="single" w:sz="4" w:space="0" w:color="auto"/>
            </w:tcBorders>
            <w:shd w:val="clear" w:color="auto" w:fill="auto"/>
            <w:vAlign w:val="bottom"/>
          </w:tcPr>
          <w:p w14:paraId="23E92195"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24" w:type="dxa"/>
            <w:tcBorders>
              <w:left w:val="single" w:sz="4" w:space="0" w:color="auto"/>
            </w:tcBorders>
            <w:shd w:val="clear" w:color="auto" w:fill="auto"/>
            <w:vAlign w:val="bottom"/>
          </w:tcPr>
          <w:p w14:paraId="41BA09ED"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24" w:type="dxa"/>
            <w:tcBorders>
              <w:left w:val="single" w:sz="4" w:space="0" w:color="auto"/>
            </w:tcBorders>
            <w:shd w:val="clear" w:color="auto" w:fill="auto"/>
            <w:vAlign w:val="bottom"/>
          </w:tcPr>
          <w:p w14:paraId="191B96CD"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24" w:type="dxa"/>
            <w:tcBorders>
              <w:left w:val="single" w:sz="4" w:space="0" w:color="auto"/>
            </w:tcBorders>
            <w:shd w:val="clear" w:color="auto" w:fill="auto"/>
            <w:vAlign w:val="bottom"/>
          </w:tcPr>
          <w:p w14:paraId="5274F7CF"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9" w:type="dxa"/>
            <w:tcBorders>
              <w:left w:val="single" w:sz="4" w:space="0" w:color="auto"/>
            </w:tcBorders>
            <w:shd w:val="clear" w:color="auto" w:fill="auto"/>
          </w:tcPr>
          <w:p w14:paraId="6C53A906"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p>
        </w:tc>
        <w:tc>
          <w:tcPr>
            <w:tcW w:w="624" w:type="dxa"/>
            <w:tcBorders>
              <w:left w:val="single" w:sz="4" w:space="0" w:color="auto"/>
            </w:tcBorders>
            <w:shd w:val="clear" w:color="auto" w:fill="auto"/>
          </w:tcPr>
          <w:p w14:paraId="60882970"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106</w:t>
            </w:r>
          </w:p>
        </w:tc>
        <w:tc>
          <w:tcPr>
            <w:tcW w:w="619" w:type="dxa"/>
            <w:tcBorders>
              <w:left w:val="single" w:sz="4" w:space="0" w:color="auto"/>
            </w:tcBorders>
            <w:shd w:val="clear" w:color="auto" w:fill="auto"/>
          </w:tcPr>
          <w:p w14:paraId="62AA9B02"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125</w:t>
            </w:r>
          </w:p>
        </w:tc>
        <w:tc>
          <w:tcPr>
            <w:tcW w:w="619" w:type="dxa"/>
            <w:tcBorders>
              <w:left w:val="single" w:sz="4" w:space="0" w:color="auto"/>
            </w:tcBorders>
            <w:shd w:val="clear" w:color="auto" w:fill="auto"/>
          </w:tcPr>
          <w:p w14:paraId="46097617"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228“</w:t>
            </w:r>
          </w:p>
        </w:tc>
        <w:tc>
          <w:tcPr>
            <w:tcW w:w="614" w:type="dxa"/>
            <w:tcBorders>
              <w:left w:val="single" w:sz="4" w:space="0" w:color="auto"/>
            </w:tcBorders>
            <w:shd w:val="clear" w:color="auto" w:fill="auto"/>
          </w:tcPr>
          <w:p w14:paraId="74042C71"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234</w:t>
            </w:r>
          </w:p>
        </w:tc>
        <w:tc>
          <w:tcPr>
            <w:tcW w:w="619" w:type="dxa"/>
            <w:tcBorders>
              <w:left w:val="single" w:sz="4" w:space="0" w:color="auto"/>
            </w:tcBorders>
            <w:shd w:val="clear" w:color="auto" w:fill="auto"/>
          </w:tcPr>
          <w:p w14:paraId="5F29CDF4"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222</w:t>
            </w:r>
          </w:p>
        </w:tc>
        <w:tc>
          <w:tcPr>
            <w:tcW w:w="610" w:type="dxa"/>
            <w:tcBorders>
              <w:left w:val="single" w:sz="4" w:space="0" w:color="auto"/>
            </w:tcBorders>
            <w:shd w:val="clear" w:color="auto" w:fill="auto"/>
          </w:tcPr>
          <w:p w14:paraId="61CF00DA"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204</w:t>
            </w:r>
          </w:p>
        </w:tc>
        <w:tc>
          <w:tcPr>
            <w:tcW w:w="610" w:type="dxa"/>
            <w:tcBorders>
              <w:left w:val="single" w:sz="4" w:space="0" w:color="auto"/>
            </w:tcBorders>
            <w:shd w:val="clear" w:color="auto" w:fill="auto"/>
          </w:tcPr>
          <w:p w14:paraId="5D6084A9"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326</w:t>
            </w:r>
          </w:p>
        </w:tc>
        <w:tc>
          <w:tcPr>
            <w:tcW w:w="619" w:type="dxa"/>
            <w:tcBorders>
              <w:left w:val="single" w:sz="4" w:space="0" w:color="auto"/>
              <w:right w:val="single" w:sz="4" w:space="0" w:color="auto"/>
            </w:tcBorders>
            <w:shd w:val="clear" w:color="auto" w:fill="auto"/>
          </w:tcPr>
          <w:p w14:paraId="5ACE1C96"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1449</w:t>
            </w:r>
          </w:p>
        </w:tc>
      </w:tr>
      <w:tr w:rsidR="009E183A" w:rsidRPr="008A2E5A" w14:paraId="5B017AD9" w14:textId="77777777" w:rsidTr="004C5D62">
        <w:trPr>
          <w:trHeight w:val="206"/>
        </w:trPr>
        <w:tc>
          <w:tcPr>
            <w:tcW w:w="1627" w:type="dxa"/>
            <w:tcBorders>
              <w:left w:val="single" w:sz="4" w:space="0" w:color="auto"/>
            </w:tcBorders>
            <w:shd w:val="clear" w:color="auto" w:fill="auto"/>
          </w:tcPr>
          <w:p w14:paraId="12EC4BC4"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Як-7В(Як-7)</w:t>
            </w:r>
          </w:p>
        </w:tc>
        <w:tc>
          <w:tcPr>
            <w:tcW w:w="624" w:type="dxa"/>
            <w:tcBorders>
              <w:left w:val="single" w:sz="4" w:space="0" w:color="auto"/>
            </w:tcBorders>
            <w:shd w:val="clear" w:color="auto" w:fill="auto"/>
          </w:tcPr>
          <w:p w14:paraId="0E235534"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p>
        </w:tc>
        <w:tc>
          <w:tcPr>
            <w:tcW w:w="624" w:type="dxa"/>
            <w:tcBorders>
              <w:left w:val="single" w:sz="4" w:space="0" w:color="auto"/>
            </w:tcBorders>
            <w:shd w:val="clear" w:color="auto" w:fill="auto"/>
          </w:tcPr>
          <w:p w14:paraId="7C886BCD"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tc>
        <w:tc>
          <w:tcPr>
            <w:tcW w:w="624" w:type="dxa"/>
            <w:tcBorders>
              <w:left w:val="single" w:sz="4" w:space="0" w:color="auto"/>
            </w:tcBorders>
            <w:shd w:val="clear" w:color="auto" w:fill="auto"/>
          </w:tcPr>
          <w:p w14:paraId="189C955B"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p>
        </w:tc>
        <w:tc>
          <w:tcPr>
            <w:tcW w:w="624" w:type="dxa"/>
            <w:tcBorders>
              <w:left w:val="single" w:sz="4" w:space="0" w:color="auto"/>
            </w:tcBorders>
            <w:shd w:val="clear" w:color="auto" w:fill="auto"/>
          </w:tcPr>
          <w:p w14:paraId="4A1A7D87"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p>
        </w:tc>
        <w:tc>
          <w:tcPr>
            <w:tcW w:w="619" w:type="dxa"/>
            <w:tcBorders>
              <w:left w:val="single" w:sz="4" w:space="0" w:color="auto"/>
            </w:tcBorders>
            <w:shd w:val="clear" w:color="auto" w:fill="auto"/>
          </w:tcPr>
          <w:p w14:paraId="754E8A18"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w:t>
            </w:r>
          </w:p>
        </w:tc>
        <w:tc>
          <w:tcPr>
            <w:tcW w:w="624" w:type="dxa"/>
            <w:tcBorders>
              <w:left w:val="single" w:sz="4" w:space="0" w:color="auto"/>
            </w:tcBorders>
            <w:shd w:val="clear" w:color="auto" w:fill="auto"/>
          </w:tcPr>
          <w:p w14:paraId="6114A3B1"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67</w:t>
            </w:r>
          </w:p>
        </w:tc>
        <w:tc>
          <w:tcPr>
            <w:tcW w:w="619" w:type="dxa"/>
            <w:tcBorders>
              <w:left w:val="single" w:sz="4" w:space="0" w:color="auto"/>
            </w:tcBorders>
            <w:shd w:val="clear" w:color="auto" w:fill="auto"/>
          </w:tcPr>
          <w:p w14:paraId="6FD8A992"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w:t>
            </w:r>
          </w:p>
        </w:tc>
        <w:tc>
          <w:tcPr>
            <w:tcW w:w="619" w:type="dxa"/>
            <w:tcBorders>
              <w:left w:val="single" w:sz="4" w:space="0" w:color="auto"/>
            </w:tcBorders>
            <w:shd w:val="clear" w:color="auto" w:fill="auto"/>
          </w:tcPr>
          <w:p w14:paraId="65EE31EF"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614" w:type="dxa"/>
            <w:tcBorders>
              <w:left w:val="single" w:sz="4" w:space="0" w:color="auto"/>
            </w:tcBorders>
            <w:shd w:val="clear" w:color="auto" w:fill="auto"/>
          </w:tcPr>
          <w:p w14:paraId="7DFE8D3D"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tc>
        <w:tc>
          <w:tcPr>
            <w:tcW w:w="619" w:type="dxa"/>
            <w:tcBorders>
              <w:left w:val="single" w:sz="4" w:space="0" w:color="auto"/>
            </w:tcBorders>
            <w:shd w:val="clear" w:color="auto" w:fill="auto"/>
          </w:tcPr>
          <w:p w14:paraId="297D612F"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w:t>
            </w:r>
          </w:p>
        </w:tc>
        <w:tc>
          <w:tcPr>
            <w:tcW w:w="610" w:type="dxa"/>
            <w:tcBorders>
              <w:left w:val="single" w:sz="4" w:space="0" w:color="auto"/>
            </w:tcBorders>
            <w:shd w:val="clear" w:color="auto" w:fill="auto"/>
          </w:tcPr>
          <w:p w14:paraId="4A062403"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w:t>
            </w:r>
          </w:p>
        </w:tc>
        <w:tc>
          <w:tcPr>
            <w:tcW w:w="610" w:type="dxa"/>
            <w:tcBorders>
              <w:left w:val="single" w:sz="4" w:space="0" w:color="auto"/>
            </w:tcBorders>
            <w:shd w:val="clear" w:color="auto" w:fill="auto"/>
          </w:tcPr>
          <w:p w14:paraId="68A05C0E"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9" w:type="dxa"/>
            <w:tcBorders>
              <w:left w:val="single" w:sz="4" w:space="0" w:color="auto"/>
              <w:right w:val="single" w:sz="4" w:space="0" w:color="auto"/>
            </w:tcBorders>
            <w:shd w:val="clear" w:color="auto" w:fill="auto"/>
          </w:tcPr>
          <w:p w14:paraId="6AF88489"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w:t>
            </w:r>
          </w:p>
        </w:tc>
      </w:tr>
      <w:tr w:rsidR="009E183A" w:rsidRPr="008A2E5A" w14:paraId="14103B00" w14:textId="77777777" w:rsidTr="004C5D62">
        <w:trPr>
          <w:trHeight w:val="230"/>
        </w:trPr>
        <w:tc>
          <w:tcPr>
            <w:tcW w:w="1627" w:type="dxa"/>
            <w:tcBorders>
              <w:top w:val="single" w:sz="4" w:space="0" w:color="auto"/>
              <w:left w:val="single" w:sz="4" w:space="0" w:color="auto"/>
            </w:tcBorders>
            <w:shd w:val="clear" w:color="auto" w:fill="auto"/>
            <w:vAlign w:val="bottom"/>
          </w:tcPr>
          <w:p w14:paraId="62D2B311"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Отправлено</w:t>
            </w:r>
          </w:p>
        </w:tc>
        <w:tc>
          <w:tcPr>
            <w:tcW w:w="624" w:type="dxa"/>
            <w:tcBorders>
              <w:top w:val="single" w:sz="4" w:space="0" w:color="auto"/>
              <w:left w:val="single" w:sz="4" w:space="0" w:color="auto"/>
            </w:tcBorders>
            <w:shd w:val="clear" w:color="auto" w:fill="auto"/>
            <w:vAlign w:val="bottom"/>
          </w:tcPr>
          <w:p w14:paraId="482C8405"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w:t>
            </w:r>
          </w:p>
        </w:tc>
        <w:tc>
          <w:tcPr>
            <w:tcW w:w="624" w:type="dxa"/>
            <w:tcBorders>
              <w:top w:val="single" w:sz="4" w:space="0" w:color="auto"/>
              <w:left w:val="single" w:sz="4" w:space="0" w:color="auto"/>
            </w:tcBorders>
            <w:shd w:val="clear" w:color="auto" w:fill="auto"/>
            <w:vAlign w:val="bottom"/>
          </w:tcPr>
          <w:p w14:paraId="6ED17C6B"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p>
        </w:tc>
        <w:tc>
          <w:tcPr>
            <w:tcW w:w="624" w:type="dxa"/>
            <w:tcBorders>
              <w:top w:val="single" w:sz="4" w:space="0" w:color="auto"/>
              <w:left w:val="single" w:sz="4" w:space="0" w:color="auto"/>
            </w:tcBorders>
            <w:shd w:val="clear" w:color="auto" w:fill="auto"/>
            <w:vAlign w:val="bottom"/>
          </w:tcPr>
          <w:p w14:paraId="759F1572"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68</w:t>
            </w:r>
          </w:p>
        </w:tc>
        <w:tc>
          <w:tcPr>
            <w:tcW w:w="624" w:type="dxa"/>
            <w:tcBorders>
              <w:top w:val="single" w:sz="4" w:space="0" w:color="auto"/>
              <w:left w:val="single" w:sz="4" w:space="0" w:color="auto"/>
            </w:tcBorders>
            <w:shd w:val="clear" w:color="auto" w:fill="auto"/>
            <w:vAlign w:val="bottom"/>
          </w:tcPr>
          <w:p w14:paraId="7306AAED"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42</w:t>
            </w:r>
          </w:p>
        </w:tc>
        <w:tc>
          <w:tcPr>
            <w:tcW w:w="619" w:type="dxa"/>
            <w:tcBorders>
              <w:top w:val="single" w:sz="4" w:space="0" w:color="auto"/>
              <w:left w:val="single" w:sz="4" w:space="0" w:color="auto"/>
            </w:tcBorders>
            <w:shd w:val="clear" w:color="auto" w:fill="auto"/>
            <w:vAlign w:val="bottom"/>
          </w:tcPr>
          <w:p w14:paraId="61D83151"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176</w:t>
            </w:r>
          </w:p>
        </w:tc>
        <w:tc>
          <w:tcPr>
            <w:tcW w:w="624" w:type="dxa"/>
            <w:tcBorders>
              <w:top w:val="single" w:sz="4" w:space="0" w:color="auto"/>
              <w:left w:val="single" w:sz="4" w:space="0" w:color="auto"/>
            </w:tcBorders>
            <w:shd w:val="clear" w:color="auto" w:fill="auto"/>
            <w:vAlign w:val="bottom"/>
          </w:tcPr>
          <w:p w14:paraId="3DE8EDEE"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164</w:t>
            </w:r>
          </w:p>
        </w:tc>
        <w:tc>
          <w:tcPr>
            <w:tcW w:w="619" w:type="dxa"/>
            <w:tcBorders>
              <w:top w:val="single" w:sz="4" w:space="0" w:color="auto"/>
              <w:left w:val="single" w:sz="4" w:space="0" w:color="auto"/>
            </w:tcBorders>
            <w:shd w:val="clear" w:color="auto" w:fill="auto"/>
            <w:vAlign w:val="bottom"/>
          </w:tcPr>
          <w:p w14:paraId="2BFCA6D1"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183</w:t>
            </w:r>
          </w:p>
        </w:tc>
        <w:tc>
          <w:tcPr>
            <w:tcW w:w="619" w:type="dxa"/>
            <w:tcBorders>
              <w:top w:val="single" w:sz="4" w:space="0" w:color="auto"/>
              <w:left w:val="single" w:sz="4" w:space="0" w:color="auto"/>
            </w:tcBorders>
            <w:shd w:val="clear" w:color="auto" w:fill="auto"/>
            <w:vAlign w:val="bottom"/>
          </w:tcPr>
          <w:p w14:paraId="16987439"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217</w:t>
            </w:r>
          </w:p>
        </w:tc>
        <w:tc>
          <w:tcPr>
            <w:tcW w:w="614" w:type="dxa"/>
            <w:tcBorders>
              <w:top w:val="single" w:sz="4" w:space="0" w:color="auto"/>
              <w:left w:val="single" w:sz="4" w:space="0" w:color="auto"/>
            </w:tcBorders>
            <w:shd w:val="clear" w:color="auto" w:fill="auto"/>
            <w:vAlign w:val="bottom"/>
          </w:tcPr>
          <w:p w14:paraId="71AF6F71"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254</w:t>
            </w:r>
          </w:p>
        </w:tc>
        <w:tc>
          <w:tcPr>
            <w:tcW w:w="619" w:type="dxa"/>
            <w:tcBorders>
              <w:top w:val="single" w:sz="4" w:space="0" w:color="auto"/>
              <w:left w:val="single" w:sz="4" w:space="0" w:color="auto"/>
            </w:tcBorders>
            <w:shd w:val="clear" w:color="auto" w:fill="auto"/>
            <w:vAlign w:val="bottom"/>
          </w:tcPr>
          <w:p w14:paraId="72533FDA"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212</w:t>
            </w:r>
          </w:p>
        </w:tc>
        <w:tc>
          <w:tcPr>
            <w:tcW w:w="610" w:type="dxa"/>
            <w:tcBorders>
              <w:top w:val="single" w:sz="4" w:space="0" w:color="auto"/>
              <w:left w:val="single" w:sz="4" w:space="0" w:color="auto"/>
            </w:tcBorders>
            <w:shd w:val="clear" w:color="auto" w:fill="auto"/>
            <w:vAlign w:val="bottom"/>
          </w:tcPr>
          <w:p w14:paraId="7EC58D7F"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282</w:t>
            </w:r>
          </w:p>
        </w:tc>
        <w:tc>
          <w:tcPr>
            <w:tcW w:w="610" w:type="dxa"/>
            <w:tcBorders>
              <w:top w:val="single" w:sz="4" w:space="0" w:color="auto"/>
              <w:left w:val="single" w:sz="4" w:space="0" w:color="auto"/>
            </w:tcBorders>
            <w:shd w:val="clear" w:color="auto" w:fill="auto"/>
            <w:vAlign w:val="bottom"/>
          </w:tcPr>
          <w:p w14:paraId="7BD2325A"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314</w:t>
            </w:r>
          </w:p>
        </w:tc>
        <w:tc>
          <w:tcPr>
            <w:tcW w:w="619" w:type="dxa"/>
            <w:tcBorders>
              <w:top w:val="single" w:sz="4" w:space="0" w:color="auto"/>
              <w:left w:val="single" w:sz="4" w:space="0" w:color="auto"/>
              <w:right w:val="single" w:sz="4" w:space="0" w:color="auto"/>
            </w:tcBorders>
            <w:shd w:val="clear" w:color="auto" w:fill="auto"/>
            <w:vAlign w:val="bottom"/>
          </w:tcPr>
          <w:p w14:paraId="49E29238"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1935</w:t>
            </w:r>
          </w:p>
        </w:tc>
      </w:tr>
      <w:tr w:rsidR="009E183A" w:rsidRPr="008A2E5A" w14:paraId="1F5B6642" w14:textId="77777777" w:rsidTr="004C5D62">
        <w:trPr>
          <w:trHeight w:val="173"/>
        </w:trPr>
        <w:tc>
          <w:tcPr>
            <w:tcW w:w="1627" w:type="dxa"/>
            <w:tcBorders>
              <w:left w:val="single" w:sz="4" w:space="0" w:color="auto"/>
            </w:tcBorders>
            <w:shd w:val="clear" w:color="auto" w:fill="auto"/>
          </w:tcPr>
          <w:p w14:paraId="4DB41B82"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вт.ч.: Як-7А (Як-3)</w:t>
            </w:r>
          </w:p>
        </w:tc>
        <w:tc>
          <w:tcPr>
            <w:tcW w:w="624" w:type="dxa"/>
            <w:tcBorders>
              <w:left w:val="single" w:sz="4" w:space="0" w:color="auto"/>
            </w:tcBorders>
            <w:shd w:val="clear" w:color="auto" w:fill="auto"/>
          </w:tcPr>
          <w:p w14:paraId="11902006"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w:t>
            </w:r>
          </w:p>
        </w:tc>
        <w:tc>
          <w:tcPr>
            <w:tcW w:w="624" w:type="dxa"/>
            <w:tcBorders>
              <w:left w:val="single" w:sz="4" w:space="0" w:color="auto"/>
            </w:tcBorders>
            <w:shd w:val="clear" w:color="auto" w:fill="auto"/>
          </w:tcPr>
          <w:p w14:paraId="612938D4"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p>
        </w:tc>
        <w:tc>
          <w:tcPr>
            <w:tcW w:w="624" w:type="dxa"/>
            <w:tcBorders>
              <w:left w:val="single" w:sz="4" w:space="0" w:color="auto"/>
            </w:tcBorders>
            <w:shd w:val="clear" w:color="auto" w:fill="auto"/>
          </w:tcPr>
          <w:p w14:paraId="05761521"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63</w:t>
            </w:r>
          </w:p>
        </w:tc>
        <w:tc>
          <w:tcPr>
            <w:tcW w:w="624" w:type="dxa"/>
            <w:tcBorders>
              <w:left w:val="single" w:sz="4" w:space="0" w:color="auto"/>
            </w:tcBorders>
            <w:shd w:val="clear" w:color="auto" w:fill="auto"/>
          </w:tcPr>
          <w:p w14:paraId="1E154CFC"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39</w:t>
            </w:r>
          </w:p>
        </w:tc>
        <w:tc>
          <w:tcPr>
            <w:tcW w:w="619" w:type="dxa"/>
            <w:tcBorders>
              <w:left w:val="single" w:sz="4" w:space="0" w:color="auto"/>
            </w:tcBorders>
            <w:shd w:val="clear" w:color="auto" w:fill="auto"/>
          </w:tcPr>
          <w:p w14:paraId="323729A7"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141</w:t>
            </w:r>
          </w:p>
        </w:tc>
        <w:tc>
          <w:tcPr>
            <w:tcW w:w="624" w:type="dxa"/>
            <w:tcBorders>
              <w:left w:val="single" w:sz="4" w:space="0" w:color="auto"/>
            </w:tcBorders>
            <w:shd w:val="clear" w:color="auto" w:fill="auto"/>
          </w:tcPr>
          <w:p w14:paraId="0945B7CC"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w:t>
            </w:r>
          </w:p>
        </w:tc>
        <w:tc>
          <w:tcPr>
            <w:tcW w:w="619" w:type="dxa"/>
            <w:tcBorders>
              <w:left w:val="single" w:sz="4" w:space="0" w:color="auto"/>
            </w:tcBorders>
            <w:shd w:val="clear" w:color="auto" w:fill="auto"/>
            <w:vAlign w:val="bottom"/>
          </w:tcPr>
          <w:p w14:paraId="52A8D590"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9" w:type="dxa"/>
            <w:tcBorders>
              <w:left w:val="single" w:sz="4" w:space="0" w:color="auto"/>
            </w:tcBorders>
            <w:shd w:val="clear" w:color="auto" w:fill="auto"/>
            <w:vAlign w:val="bottom"/>
          </w:tcPr>
          <w:p w14:paraId="3215E7F4"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4" w:type="dxa"/>
            <w:tcBorders>
              <w:left w:val="single" w:sz="4" w:space="0" w:color="auto"/>
            </w:tcBorders>
            <w:shd w:val="clear" w:color="auto" w:fill="auto"/>
            <w:vAlign w:val="bottom"/>
          </w:tcPr>
          <w:p w14:paraId="0D705209"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9" w:type="dxa"/>
            <w:tcBorders>
              <w:left w:val="single" w:sz="4" w:space="0" w:color="auto"/>
            </w:tcBorders>
            <w:shd w:val="clear" w:color="auto" w:fill="auto"/>
            <w:vAlign w:val="bottom"/>
          </w:tcPr>
          <w:p w14:paraId="2907E74E"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0" w:type="dxa"/>
            <w:tcBorders>
              <w:left w:val="single" w:sz="4" w:space="0" w:color="auto"/>
            </w:tcBorders>
            <w:shd w:val="clear" w:color="auto" w:fill="auto"/>
            <w:vAlign w:val="bottom"/>
          </w:tcPr>
          <w:p w14:paraId="2F41727B"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0" w:type="dxa"/>
            <w:tcBorders>
              <w:left w:val="single" w:sz="4" w:space="0" w:color="auto"/>
            </w:tcBorders>
            <w:shd w:val="clear" w:color="auto" w:fill="auto"/>
            <w:vAlign w:val="bottom"/>
          </w:tcPr>
          <w:p w14:paraId="7CD195AC"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9" w:type="dxa"/>
            <w:tcBorders>
              <w:left w:val="single" w:sz="4" w:space="0" w:color="auto"/>
              <w:right w:val="single" w:sz="4" w:space="0" w:color="auto"/>
            </w:tcBorders>
            <w:shd w:val="clear" w:color="auto" w:fill="auto"/>
          </w:tcPr>
          <w:p w14:paraId="0F67E225"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273</w:t>
            </w:r>
          </w:p>
        </w:tc>
      </w:tr>
      <w:tr w:rsidR="009E183A" w:rsidRPr="008A2E5A" w14:paraId="5C8F9C37" w14:textId="77777777" w:rsidTr="004C5D62">
        <w:trPr>
          <w:trHeight w:val="178"/>
        </w:trPr>
        <w:tc>
          <w:tcPr>
            <w:tcW w:w="1627" w:type="dxa"/>
            <w:tcBorders>
              <w:left w:val="single" w:sz="4" w:space="0" w:color="auto"/>
            </w:tcBorders>
            <w:shd w:val="clear" w:color="auto" w:fill="auto"/>
          </w:tcPr>
          <w:p w14:paraId="106EAA07"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 Б</w:t>
            </w:r>
          </w:p>
        </w:tc>
        <w:tc>
          <w:tcPr>
            <w:tcW w:w="624" w:type="dxa"/>
            <w:tcBorders>
              <w:left w:val="single" w:sz="4" w:space="0" w:color="auto"/>
            </w:tcBorders>
            <w:shd w:val="clear" w:color="auto" w:fill="auto"/>
            <w:vAlign w:val="bottom"/>
          </w:tcPr>
          <w:p w14:paraId="007D7CEE"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24" w:type="dxa"/>
            <w:tcBorders>
              <w:left w:val="single" w:sz="4" w:space="0" w:color="auto"/>
            </w:tcBorders>
            <w:shd w:val="clear" w:color="auto" w:fill="auto"/>
            <w:vAlign w:val="bottom"/>
          </w:tcPr>
          <w:p w14:paraId="692E5448"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24" w:type="dxa"/>
            <w:tcBorders>
              <w:left w:val="single" w:sz="4" w:space="0" w:color="auto"/>
            </w:tcBorders>
            <w:shd w:val="clear" w:color="auto" w:fill="auto"/>
            <w:vAlign w:val="bottom"/>
          </w:tcPr>
          <w:p w14:paraId="3164333D"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24" w:type="dxa"/>
            <w:tcBorders>
              <w:left w:val="single" w:sz="4" w:space="0" w:color="auto"/>
            </w:tcBorders>
            <w:shd w:val="clear" w:color="auto" w:fill="auto"/>
            <w:vAlign w:val="bottom"/>
          </w:tcPr>
          <w:p w14:paraId="6C0E6B5F"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9" w:type="dxa"/>
            <w:tcBorders>
              <w:left w:val="single" w:sz="4" w:space="0" w:color="auto"/>
            </w:tcBorders>
            <w:shd w:val="clear" w:color="auto" w:fill="auto"/>
          </w:tcPr>
          <w:p w14:paraId="003A0EE8"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624" w:type="dxa"/>
            <w:tcBorders>
              <w:left w:val="single" w:sz="4" w:space="0" w:color="auto"/>
            </w:tcBorders>
            <w:shd w:val="clear" w:color="auto" w:fill="auto"/>
          </w:tcPr>
          <w:p w14:paraId="4E5A8344"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92</w:t>
            </w:r>
          </w:p>
        </w:tc>
        <w:tc>
          <w:tcPr>
            <w:tcW w:w="619" w:type="dxa"/>
            <w:tcBorders>
              <w:left w:val="single" w:sz="4" w:space="0" w:color="auto"/>
            </w:tcBorders>
            <w:shd w:val="clear" w:color="auto" w:fill="auto"/>
          </w:tcPr>
          <w:p w14:paraId="016AAF42"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119</w:t>
            </w:r>
          </w:p>
        </w:tc>
        <w:tc>
          <w:tcPr>
            <w:tcW w:w="619" w:type="dxa"/>
            <w:tcBorders>
              <w:left w:val="single" w:sz="4" w:space="0" w:color="auto"/>
            </w:tcBorders>
            <w:shd w:val="clear" w:color="auto" w:fill="auto"/>
          </w:tcPr>
          <w:p w14:paraId="74D239E2"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215</w:t>
            </w:r>
          </w:p>
        </w:tc>
        <w:tc>
          <w:tcPr>
            <w:tcW w:w="614" w:type="dxa"/>
            <w:tcBorders>
              <w:left w:val="single" w:sz="4" w:space="0" w:color="auto"/>
            </w:tcBorders>
            <w:shd w:val="clear" w:color="auto" w:fill="auto"/>
          </w:tcPr>
          <w:p w14:paraId="40039B2C"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253“</w:t>
            </w:r>
          </w:p>
        </w:tc>
        <w:tc>
          <w:tcPr>
            <w:tcW w:w="619" w:type="dxa"/>
            <w:tcBorders>
              <w:left w:val="single" w:sz="4" w:space="0" w:color="auto"/>
            </w:tcBorders>
            <w:shd w:val="clear" w:color="auto" w:fill="auto"/>
          </w:tcPr>
          <w:p w14:paraId="6564C6F7"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197</w:t>
            </w:r>
          </w:p>
        </w:tc>
        <w:tc>
          <w:tcPr>
            <w:tcW w:w="610" w:type="dxa"/>
            <w:tcBorders>
              <w:left w:val="single" w:sz="4" w:space="0" w:color="auto"/>
            </w:tcBorders>
            <w:shd w:val="clear" w:color="auto" w:fill="auto"/>
          </w:tcPr>
          <w:p w14:paraId="6631E5B8"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265"</w:t>
            </w:r>
          </w:p>
        </w:tc>
        <w:tc>
          <w:tcPr>
            <w:tcW w:w="610" w:type="dxa"/>
            <w:tcBorders>
              <w:left w:val="single" w:sz="4" w:space="0" w:color="auto"/>
            </w:tcBorders>
            <w:shd w:val="clear" w:color="auto" w:fill="auto"/>
          </w:tcPr>
          <w:p w14:paraId="2346A494"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314</w:t>
            </w:r>
          </w:p>
        </w:tc>
        <w:tc>
          <w:tcPr>
            <w:tcW w:w="619" w:type="dxa"/>
            <w:tcBorders>
              <w:left w:val="single" w:sz="4" w:space="0" w:color="auto"/>
              <w:right w:val="single" w:sz="4" w:space="0" w:color="auto"/>
            </w:tcBorders>
            <w:shd w:val="clear" w:color="auto" w:fill="auto"/>
          </w:tcPr>
          <w:p w14:paraId="68248859"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1457</w:t>
            </w:r>
          </w:p>
        </w:tc>
      </w:tr>
      <w:tr w:rsidR="009E183A" w:rsidRPr="008A2E5A" w14:paraId="63C02BFA" w14:textId="77777777" w:rsidTr="004C5D62">
        <w:trPr>
          <w:trHeight w:val="211"/>
        </w:trPr>
        <w:tc>
          <w:tcPr>
            <w:tcW w:w="1627" w:type="dxa"/>
            <w:tcBorders>
              <w:left w:val="single" w:sz="4" w:space="0" w:color="auto"/>
            </w:tcBorders>
            <w:shd w:val="clear" w:color="auto" w:fill="auto"/>
          </w:tcPr>
          <w:p w14:paraId="0C68DAAD"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Як-7В(Як-7)</w:t>
            </w:r>
          </w:p>
        </w:tc>
        <w:tc>
          <w:tcPr>
            <w:tcW w:w="624" w:type="dxa"/>
            <w:tcBorders>
              <w:left w:val="single" w:sz="4" w:space="0" w:color="auto"/>
            </w:tcBorders>
            <w:shd w:val="clear" w:color="auto" w:fill="auto"/>
          </w:tcPr>
          <w:p w14:paraId="2D99D985"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w:t>
            </w:r>
          </w:p>
        </w:tc>
        <w:tc>
          <w:tcPr>
            <w:tcW w:w="624" w:type="dxa"/>
            <w:tcBorders>
              <w:left w:val="single" w:sz="4" w:space="0" w:color="auto"/>
            </w:tcBorders>
            <w:shd w:val="clear" w:color="auto" w:fill="auto"/>
          </w:tcPr>
          <w:p w14:paraId="023A7F6A"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24" w:type="dxa"/>
            <w:tcBorders>
              <w:left w:val="single" w:sz="4" w:space="0" w:color="auto"/>
            </w:tcBorders>
            <w:shd w:val="clear" w:color="auto" w:fill="auto"/>
          </w:tcPr>
          <w:p w14:paraId="1936AC8C"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p>
        </w:tc>
        <w:tc>
          <w:tcPr>
            <w:tcW w:w="624" w:type="dxa"/>
            <w:tcBorders>
              <w:left w:val="single" w:sz="4" w:space="0" w:color="auto"/>
            </w:tcBorders>
            <w:shd w:val="clear" w:color="auto" w:fill="auto"/>
          </w:tcPr>
          <w:p w14:paraId="618642B0"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p>
        </w:tc>
        <w:tc>
          <w:tcPr>
            <w:tcW w:w="619" w:type="dxa"/>
            <w:tcBorders>
              <w:left w:val="single" w:sz="4" w:space="0" w:color="auto"/>
            </w:tcBorders>
            <w:shd w:val="clear" w:color="auto" w:fill="auto"/>
          </w:tcPr>
          <w:p w14:paraId="76B943E2"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w:t>
            </w:r>
          </w:p>
        </w:tc>
        <w:tc>
          <w:tcPr>
            <w:tcW w:w="624" w:type="dxa"/>
            <w:tcBorders>
              <w:left w:val="single" w:sz="4" w:space="0" w:color="auto"/>
            </w:tcBorders>
            <w:shd w:val="clear" w:color="auto" w:fill="auto"/>
          </w:tcPr>
          <w:p w14:paraId="3C6E2F29"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w:t>
            </w:r>
          </w:p>
        </w:tc>
        <w:tc>
          <w:tcPr>
            <w:tcW w:w="619" w:type="dxa"/>
            <w:tcBorders>
              <w:left w:val="single" w:sz="4" w:space="0" w:color="auto"/>
            </w:tcBorders>
            <w:shd w:val="clear" w:color="auto" w:fill="auto"/>
          </w:tcPr>
          <w:p w14:paraId="6A140DAF"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64</w:t>
            </w:r>
          </w:p>
        </w:tc>
        <w:tc>
          <w:tcPr>
            <w:tcW w:w="619" w:type="dxa"/>
            <w:tcBorders>
              <w:left w:val="single" w:sz="4" w:space="0" w:color="auto"/>
            </w:tcBorders>
            <w:shd w:val="clear" w:color="auto" w:fill="auto"/>
          </w:tcPr>
          <w:p w14:paraId="1E5DF1F4"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614" w:type="dxa"/>
            <w:tcBorders>
              <w:left w:val="single" w:sz="4" w:space="0" w:color="auto"/>
            </w:tcBorders>
            <w:shd w:val="clear" w:color="auto" w:fill="auto"/>
          </w:tcPr>
          <w:p w14:paraId="1517EF64"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tc>
        <w:tc>
          <w:tcPr>
            <w:tcW w:w="619" w:type="dxa"/>
            <w:tcBorders>
              <w:left w:val="single" w:sz="4" w:space="0" w:color="auto"/>
            </w:tcBorders>
            <w:shd w:val="clear" w:color="auto" w:fill="auto"/>
          </w:tcPr>
          <w:p w14:paraId="52478952"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w:t>
            </w:r>
          </w:p>
        </w:tc>
        <w:tc>
          <w:tcPr>
            <w:tcW w:w="610" w:type="dxa"/>
            <w:tcBorders>
              <w:left w:val="single" w:sz="4" w:space="0" w:color="auto"/>
            </w:tcBorders>
            <w:shd w:val="clear" w:color="auto" w:fill="auto"/>
          </w:tcPr>
          <w:p w14:paraId="1D6BFF42"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w:t>
            </w:r>
          </w:p>
        </w:tc>
        <w:tc>
          <w:tcPr>
            <w:tcW w:w="610" w:type="dxa"/>
            <w:tcBorders>
              <w:left w:val="single" w:sz="4" w:space="0" w:color="auto"/>
            </w:tcBorders>
            <w:shd w:val="clear" w:color="auto" w:fill="auto"/>
          </w:tcPr>
          <w:p w14:paraId="532C531A"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19" w:type="dxa"/>
            <w:tcBorders>
              <w:left w:val="single" w:sz="4" w:space="0" w:color="auto"/>
              <w:right w:val="single" w:sz="4" w:space="0" w:color="auto"/>
            </w:tcBorders>
            <w:shd w:val="clear" w:color="auto" w:fill="auto"/>
          </w:tcPr>
          <w:p w14:paraId="667CFB43"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205</w:t>
            </w:r>
          </w:p>
        </w:tc>
      </w:tr>
      <w:tr w:rsidR="009E183A" w:rsidRPr="008A2E5A" w14:paraId="3A572BED" w14:textId="77777777" w:rsidTr="004C5D62">
        <w:trPr>
          <w:trHeight w:val="240"/>
        </w:trPr>
        <w:tc>
          <w:tcPr>
            <w:tcW w:w="1627" w:type="dxa"/>
            <w:tcBorders>
              <w:top w:val="single" w:sz="4" w:space="0" w:color="auto"/>
              <w:left w:val="single" w:sz="4" w:space="0" w:color="auto"/>
            </w:tcBorders>
            <w:shd w:val="clear" w:color="auto" w:fill="auto"/>
            <w:vAlign w:val="bottom"/>
          </w:tcPr>
          <w:p w14:paraId="5E641293"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Списаны</w:t>
            </w:r>
          </w:p>
        </w:tc>
        <w:tc>
          <w:tcPr>
            <w:tcW w:w="624" w:type="dxa"/>
            <w:tcBorders>
              <w:top w:val="single" w:sz="4" w:space="0" w:color="auto"/>
              <w:left w:val="single" w:sz="4" w:space="0" w:color="auto"/>
            </w:tcBorders>
            <w:shd w:val="clear" w:color="auto" w:fill="auto"/>
          </w:tcPr>
          <w:p w14:paraId="40297BCD" w14:textId="77777777" w:rsidR="009E183A" w:rsidRPr="008A2E5A" w:rsidRDefault="009E183A" w:rsidP="004C5D62">
            <w:pPr>
              <w:spacing w:after="0" w:line="240" w:lineRule="auto"/>
              <w:jc w:val="both"/>
              <w:rPr>
                <w:rFonts w:ascii="Times New Roman" w:hAnsi="Times New Roman"/>
                <w:color w:val="0070C0"/>
                <w:sz w:val="16"/>
                <w:szCs w:val="16"/>
              </w:rPr>
            </w:pPr>
          </w:p>
        </w:tc>
        <w:tc>
          <w:tcPr>
            <w:tcW w:w="624" w:type="dxa"/>
            <w:tcBorders>
              <w:top w:val="single" w:sz="4" w:space="0" w:color="auto"/>
              <w:left w:val="single" w:sz="4" w:space="0" w:color="auto"/>
            </w:tcBorders>
            <w:shd w:val="clear" w:color="auto" w:fill="auto"/>
          </w:tcPr>
          <w:p w14:paraId="127F3E9E" w14:textId="77777777" w:rsidR="009E183A" w:rsidRPr="008A2E5A" w:rsidRDefault="009E183A" w:rsidP="004C5D62">
            <w:pPr>
              <w:spacing w:after="0" w:line="240" w:lineRule="auto"/>
              <w:jc w:val="both"/>
              <w:rPr>
                <w:rFonts w:ascii="Times New Roman" w:hAnsi="Times New Roman"/>
                <w:color w:val="0070C0"/>
                <w:sz w:val="16"/>
                <w:szCs w:val="16"/>
              </w:rPr>
            </w:pPr>
          </w:p>
        </w:tc>
        <w:tc>
          <w:tcPr>
            <w:tcW w:w="624" w:type="dxa"/>
            <w:tcBorders>
              <w:top w:val="single" w:sz="4" w:space="0" w:color="auto"/>
              <w:left w:val="single" w:sz="4" w:space="0" w:color="auto"/>
            </w:tcBorders>
            <w:shd w:val="clear" w:color="auto" w:fill="auto"/>
          </w:tcPr>
          <w:p w14:paraId="3691F064" w14:textId="77777777" w:rsidR="009E183A" w:rsidRPr="008A2E5A" w:rsidRDefault="009E183A" w:rsidP="004C5D62">
            <w:pPr>
              <w:spacing w:after="0" w:line="240" w:lineRule="auto"/>
              <w:jc w:val="both"/>
              <w:rPr>
                <w:rFonts w:ascii="Times New Roman" w:hAnsi="Times New Roman"/>
                <w:color w:val="0070C0"/>
                <w:sz w:val="16"/>
                <w:szCs w:val="16"/>
              </w:rPr>
            </w:pPr>
          </w:p>
        </w:tc>
        <w:tc>
          <w:tcPr>
            <w:tcW w:w="624" w:type="dxa"/>
            <w:tcBorders>
              <w:top w:val="single" w:sz="4" w:space="0" w:color="auto"/>
              <w:left w:val="single" w:sz="4" w:space="0" w:color="auto"/>
            </w:tcBorders>
            <w:shd w:val="clear" w:color="auto" w:fill="auto"/>
          </w:tcPr>
          <w:p w14:paraId="17C000A0" w14:textId="77777777" w:rsidR="009E183A" w:rsidRPr="008A2E5A" w:rsidRDefault="009E183A"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tcPr>
          <w:p w14:paraId="3BE4BADD" w14:textId="77777777" w:rsidR="009E183A" w:rsidRPr="008A2E5A" w:rsidRDefault="009E183A" w:rsidP="004C5D62">
            <w:pPr>
              <w:spacing w:after="0" w:line="240" w:lineRule="auto"/>
              <w:jc w:val="both"/>
              <w:rPr>
                <w:rFonts w:ascii="Times New Roman" w:hAnsi="Times New Roman"/>
                <w:color w:val="0070C0"/>
                <w:sz w:val="16"/>
                <w:szCs w:val="16"/>
              </w:rPr>
            </w:pPr>
          </w:p>
        </w:tc>
        <w:tc>
          <w:tcPr>
            <w:tcW w:w="624" w:type="dxa"/>
            <w:tcBorders>
              <w:top w:val="single" w:sz="4" w:space="0" w:color="auto"/>
              <w:left w:val="single" w:sz="4" w:space="0" w:color="auto"/>
            </w:tcBorders>
            <w:shd w:val="clear" w:color="auto" w:fill="auto"/>
          </w:tcPr>
          <w:p w14:paraId="50E187BA" w14:textId="77777777" w:rsidR="009E183A" w:rsidRPr="008A2E5A" w:rsidRDefault="009E183A"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tcPr>
          <w:p w14:paraId="7720C36F" w14:textId="77777777" w:rsidR="009E183A" w:rsidRPr="008A2E5A" w:rsidRDefault="009E183A"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vAlign w:val="bottom"/>
          </w:tcPr>
          <w:p w14:paraId="3EF6637F"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tc>
        <w:tc>
          <w:tcPr>
            <w:tcW w:w="614" w:type="dxa"/>
            <w:tcBorders>
              <w:top w:val="single" w:sz="4" w:space="0" w:color="auto"/>
              <w:left w:val="single" w:sz="4" w:space="0" w:color="auto"/>
            </w:tcBorders>
            <w:shd w:val="clear" w:color="auto" w:fill="auto"/>
            <w:vAlign w:val="bottom"/>
          </w:tcPr>
          <w:p w14:paraId="0D53E7D1"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w:t>
            </w:r>
          </w:p>
        </w:tc>
        <w:tc>
          <w:tcPr>
            <w:tcW w:w="619" w:type="dxa"/>
            <w:tcBorders>
              <w:top w:val="single" w:sz="4" w:space="0" w:color="auto"/>
              <w:left w:val="single" w:sz="4" w:space="0" w:color="auto"/>
            </w:tcBorders>
            <w:shd w:val="clear" w:color="auto" w:fill="auto"/>
            <w:vAlign w:val="bottom"/>
          </w:tcPr>
          <w:p w14:paraId="66F0E6E2"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tc>
        <w:tc>
          <w:tcPr>
            <w:tcW w:w="610" w:type="dxa"/>
            <w:tcBorders>
              <w:top w:val="single" w:sz="4" w:space="0" w:color="auto"/>
              <w:left w:val="single" w:sz="4" w:space="0" w:color="auto"/>
            </w:tcBorders>
            <w:shd w:val="clear" w:color="auto" w:fill="auto"/>
            <w:vAlign w:val="bottom"/>
          </w:tcPr>
          <w:p w14:paraId="42D66184"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w:t>
            </w:r>
          </w:p>
        </w:tc>
        <w:tc>
          <w:tcPr>
            <w:tcW w:w="610" w:type="dxa"/>
            <w:tcBorders>
              <w:top w:val="single" w:sz="4" w:space="0" w:color="auto"/>
              <w:left w:val="single" w:sz="4" w:space="0" w:color="auto"/>
            </w:tcBorders>
            <w:shd w:val="clear" w:color="auto" w:fill="auto"/>
          </w:tcPr>
          <w:p w14:paraId="3567D0A2" w14:textId="77777777" w:rsidR="009E183A" w:rsidRPr="008A2E5A" w:rsidRDefault="009E183A"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right w:val="single" w:sz="4" w:space="0" w:color="auto"/>
            </w:tcBorders>
            <w:shd w:val="clear" w:color="auto" w:fill="auto"/>
          </w:tcPr>
          <w:p w14:paraId="6ABB9BDC" w14:textId="77777777" w:rsidR="009E183A" w:rsidRPr="008A2E5A" w:rsidRDefault="009E183A" w:rsidP="004C5D62">
            <w:pPr>
              <w:spacing w:after="0" w:line="240" w:lineRule="auto"/>
              <w:jc w:val="both"/>
              <w:rPr>
                <w:rFonts w:ascii="Times New Roman" w:hAnsi="Times New Roman"/>
                <w:color w:val="0070C0"/>
                <w:sz w:val="16"/>
                <w:szCs w:val="16"/>
              </w:rPr>
            </w:pPr>
          </w:p>
        </w:tc>
      </w:tr>
      <w:tr w:rsidR="009E183A" w:rsidRPr="008A2E5A" w14:paraId="1A038BDD" w14:textId="77777777" w:rsidTr="004C5D62">
        <w:trPr>
          <w:trHeight w:val="187"/>
        </w:trPr>
        <w:tc>
          <w:tcPr>
            <w:tcW w:w="1627" w:type="dxa"/>
            <w:tcBorders>
              <w:left w:val="single" w:sz="4" w:space="0" w:color="auto"/>
            </w:tcBorders>
            <w:shd w:val="clear" w:color="auto" w:fill="auto"/>
            <w:vAlign w:val="bottom"/>
          </w:tcPr>
          <w:p w14:paraId="3D3CF73E"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или переданы</w:t>
            </w:r>
          </w:p>
        </w:tc>
        <w:tc>
          <w:tcPr>
            <w:tcW w:w="624" w:type="dxa"/>
            <w:tcBorders>
              <w:left w:val="single" w:sz="4" w:space="0" w:color="auto"/>
            </w:tcBorders>
            <w:shd w:val="clear" w:color="auto" w:fill="auto"/>
          </w:tcPr>
          <w:p w14:paraId="66E5DEB0" w14:textId="77777777" w:rsidR="009E183A" w:rsidRPr="008A2E5A" w:rsidRDefault="009E183A" w:rsidP="004C5D62">
            <w:pPr>
              <w:spacing w:after="0" w:line="240" w:lineRule="auto"/>
              <w:jc w:val="both"/>
              <w:rPr>
                <w:rFonts w:ascii="Times New Roman" w:hAnsi="Times New Roman"/>
                <w:color w:val="0070C0"/>
                <w:sz w:val="16"/>
                <w:szCs w:val="16"/>
              </w:rPr>
            </w:pPr>
          </w:p>
        </w:tc>
        <w:tc>
          <w:tcPr>
            <w:tcW w:w="624" w:type="dxa"/>
            <w:tcBorders>
              <w:left w:val="single" w:sz="4" w:space="0" w:color="auto"/>
            </w:tcBorders>
            <w:shd w:val="clear" w:color="auto" w:fill="auto"/>
          </w:tcPr>
          <w:p w14:paraId="1B9CE5A0" w14:textId="77777777" w:rsidR="009E183A" w:rsidRPr="008A2E5A" w:rsidRDefault="009E183A" w:rsidP="004C5D62">
            <w:pPr>
              <w:spacing w:after="0" w:line="240" w:lineRule="auto"/>
              <w:jc w:val="both"/>
              <w:rPr>
                <w:rFonts w:ascii="Times New Roman" w:hAnsi="Times New Roman"/>
                <w:color w:val="0070C0"/>
                <w:sz w:val="16"/>
                <w:szCs w:val="16"/>
              </w:rPr>
            </w:pPr>
          </w:p>
        </w:tc>
        <w:tc>
          <w:tcPr>
            <w:tcW w:w="624" w:type="dxa"/>
            <w:tcBorders>
              <w:left w:val="single" w:sz="4" w:space="0" w:color="auto"/>
            </w:tcBorders>
            <w:shd w:val="clear" w:color="auto" w:fill="auto"/>
          </w:tcPr>
          <w:p w14:paraId="6D21DCE0" w14:textId="77777777" w:rsidR="009E183A" w:rsidRPr="008A2E5A" w:rsidRDefault="009E183A" w:rsidP="004C5D62">
            <w:pPr>
              <w:spacing w:after="0" w:line="240" w:lineRule="auto"/>
              <w:jc w:val="both"/>
              <w:rPr>
                <w:rFonts w:ascii="Times New Roman" w:hAnsi="Times New Roman"/>
                <w:color w:val="0070C0"/>
                <w:sz w:val="16"/>
                <w:szCs w:val="16"/>
              </w:rPr>
            </w:pPr>
          </w:p>
        </w:tc>
        <w:tc>
          <w:tcPr>
            <w:tcW w:w="624" w:type="dxa"/>
            <w:tcBorders>
              <w:left w:val="single" w:sz="4" w:space="0" w:color="auto"/>
            </w:tcBorders>
            <w:shd w:val="clear" w:color="auto" w:fill="auto"/>
          </w:tcPr>
          <w:p w14:paraId="47236E97" w14:textId="77777777" w:rsidR="009E183A" w:rsidRPr="008A2E5A" w:rsidRDefault="009E183A" w:rsidP="004C5D62">
            <w:pPr>
              <w:spacing w:after="0" w:line="240" w:lineRule="auto"/>
              <w:jc w:val="both"/>
              <w:rPr>
                <w:rFonts w:ascii="Times New Roman" w:hAnsi="Times New Roman"/>
                <w:color w:val="0070C0"/>
                <w:sz w:val="16"/>
                <w:szCs w:val="16"/>
              </w:rPr>
            </w:pPr>
          </w:p>
        </w:tc>
        <w:tc>
          <w:tcPr>
            <w:tcW w:w="619" w:type="dxa"/>
            <w:tcBorders>
              <w:left w:val="single" w:sz="4" w:space="0" w:color="auto"/>
            </w:tcBorders>
            <w:shd w:val="clear" w:color="auto" w:fill="auto"/>
          </w:tcPr>
          <w:p w14:paraId="35568261" w14:textId="77777777" w:rsidR="009E183A" w:rsidRPr="008A2E5A" w:rsidRDefault="009E183A" w:rsidP="004C5D62">
            <w:pPr>
              <w:spacing w:after="0" w:line="240" w:lineRule="auto"/>
              <w:jc w:val="both"/>
              <w:rPr>
                <w:rFonts w:ascii="Times New Roman" w:hAnsi="Times New Roman"/>
                <w:color w:val="0070C0"/>
                <w:sz w:val="16"/>
                <w:szCs w:val="16"/>
              </w:rPr>
            </w:pPr>
          </w:p>
        </w:tc>
        <w:tc>
          <w:tcPr>
            <w:tcW w:w="624" w:type="dxa"/>
            <w:tcBorders>
              <w:left w:val="single" w:sz="4" w:space="0" w:color="auto"/>
            </w:tcBorders>
            <w:shd w:val="clear" w:color="auto" w:fill="auto"/>
          </w:tcPr>
          <w:p w14:paraId="52D48FD0" w14:textId="77777777" w:rsidR="009E183A" w:rsidRPr="008A2E5A" w:rsidRDefault="009E183A" w:rsidP="004C5D62">
            <w:pPr>
              <w:spacing w:after="0" w:line="240" w:lineRule="auto"/>
              <w:jc w:val="both"/>
              <w:rPr>
                <w:rFonts w:ascii="Times New Roman" w:hAnsi="Times New Roman"/>
                <w:color w:val="0070C0"/>
                <w:sz w:val="16"/>
                <w:szCs w:val="16"/>
              </w:rPr>
            </w:pPr>
          </w:p>
        </w:tc>
        <w:tc>
          <w:tcPr>
            <w:tcW w:w="619" w:type="dxa"/>
            <w:tcBorders>
              <w:left w:val="single" w:sz="4" w:space="0" w:color="auto"/>
            </w:tcBorders>
            <w:shd w:val="clear" w:color="auto" w:fill="auto"/>
          </w:tcPr>
          <w:p w14:paraId="3F9E10D4" w14:textId="77777777" w:rsidR="009E183A" w:rsidRPr="008A2E5A" w:rsidRDefault="009E183A" w:rsidP="004C5D62">
            <w:pPr>
              <w:spacing w:after="0" w:line="240" w:lineRule="auto"/>
              <w:jc w:val="both"/>
              <w:rPr>
                <w:rFonts w:ascii="Times New Roman" w:hAnsi="Times New Roman"/>
                <w:color w:val="0070C0"/>
                <w:sz w:val="16"/>
                <w:szCs w:val="16"/>
              </w:rPr>
            </w:pPr>
          </w:p>
        </w:tc>
        <w:tc>
          <w:tcPr>
            <w:tcW w:w="619" w:type="dxa"/>
            <w:tcBorders>
              <w:left w:val="single" w:sz="4" w:space="0" w:color="auto"/>
            </w:tcBorders>
            <w:shd w:val="clear" w:color="auto" w:fill="auto"/>
          </w:tcPr>
          <w:p w14:paraId="2DF86EEE" w14:textId="77777777" w:rsidR="009E183A" w:rsidRPr="008A2E5A" w:rsidRDefault="009E183A" w:rsidP="004C5D62">
            <w:pPr>
              <w:spacing w:after="0" w:line="240" w:lineRule="auto"/>
              <w:jc w:val="both"/>
              <w:rPr>
                <w:rFonts w:ascii="Times New Roman" w:hAnsi="Times New Roman"/>
                <w:color w:val="0070C0"/>
                <w:sz w:val="16"/>
                <w:szCs w:val="16"/>
              </w:rPr>
            </w:pPr>
          </w:p>
        </w:tc>
        <w:tc>
          <w:tcPr>
            <w:tcW w:w="614" w:type="dxa"/>
            <w:tcBorders>
              <w:left w:val="single" w:sz="4" w:space="0" w:color="auto"/>
            </w:tcBorders>
            <w:shd w:val="clear" w:color="auto" w:fill="auto"/>
          </w:tcPr>
          <w:p w14:paraId="2EC4791A" w14:textId="77777777" w:rsidR="009E183A" w:rsidRPr="008A2E5A" w:rsidRDefault="009E183A" w:rsidP="004C5D62">
            <w:pPr>
              <w:spacing w:after="0" w:line="240" w:lineRule="auto"/>
              <w:jc w:val="both"/>
              <w:rPr>
                <w:rFonts w:ascii="Times New Roman" w:hAnsi="Times New Roman"/>
                <w:color w:val="0070C0"/>
                <w:sz w:val="16"/>
                <w:szCs w:val="16"/>
              </w:rPr>
            </w:pPr>
          </w:p>
        </w:tc>
        <w:tc>
          <w:tcPr>
            <w:tcW w:w="619" w:type="dxa"/>
            <w:tcBorders>
              <w:left w:val="single" w:sz="4" w:space="0" w:color="auto"/>
            </w:tcBorders>
            <w:shd w:val="clear" w:color="auto" w:fill="auto"/>
          </w:tcPr>
          <w:p w14:paraId="4266AFB7" w14:textId="77777777" w:rsidR="009E183A" w:rsidRPr="008A2E5A" w:rsidRDefault="009E183A" w:rsidP="004C5D62">
            <w:pPr>
              <w:spacing w:after="0" w:line="240" w:lineRule="auto"/>
              <w:jc w:val="both"/>
              <w:rPr>
                <w:rFonts w:ascii="Times New Roman" w:hAnsi="Times New Roman"/>
                <w:color w:val="0070C0"/>
                <w:sz w:val="16"/>
                <w:szCs w:val="16"/>
              </w:rPr>
            </w:pPr>
          </w:p>
        </w:tc>
        <w:tc>
          <w:tcPr>
            <w:tcW w:w="610" w:type="dxa"/>
            <w:tcBorders>
              <w:left w:val="single" w:sz="4" w:space="0" w:color="auto"/>
            </w:tcBorders>
            <w:shd w:val="clear" w:color="auto" w:fill="auto"/>
          </w:tcPr>
          <w:p w14:paraId="786FCE14" w14:textId="77777777" w:rsidR="009E183A" w:rsidRPr="008A2E5A" w:rsidRDefault="009E183A" w:rsidP="004C5D62">
            <w:pPr>
              <w:spacing w:after="0" w:line="240" w:lineRule="auto"/>
              <w:jc w:val="both"/>
              <w:rPr>
                <w:rFonts w:ascii="Times New Roman" w:hAnsi="Times New Roman"/>
                <w:color w:val="0070C0"/>
                <w:sz w:val="16"/>
                <w:szCs w:val="16"/>
              </w:rPr>
            </w:pPr>
          </w:p>
        </w:tc>
        <w:tc>
          <w:tcPr>
            <w:tcW w:w="610" w:type="dxa"/>
            <w:tcBorders>
              <w:left w:val="single" w:sz="4" w:space="0" w:color="auto"/>
            </w:tcBorders>
            <w:shd w:val="clear" w:color="auto" w:fill="auto"/>
          </w:tcPr>
          <w:p w14:paraId="7441C3DB" w14:textId="77777777" w:rsidR="009E183A" w:rsidRPr="008A2E5A" w:rsidRDefault="009E183A" w:rsidP="004C5D62">
            <w:pPr>
              <w:spacing w:after="0" w:line="240" w:lineRule="auto"/>
              <w:jc w:val="both"/>
              <w:rPr>
                <w:rFonts w:ascii="Times New Roman" w:hAnsi="Times New Roman"/>
                <w:color w:val="0070C0"/>
                <w:sz w:val="16"/>
                <w:szCs w:val="16"/>
              </w:rPr>
            </w:pPr>
          </w:p>
        </w:tc>
        <w:tc>
          <w:tcPr>
            <w:tcW w:w="619" w:type="dxa"/>
            <w:tcBorders>
              <w:left w:val="single" w:sz="4" w:space="0" w:color="auto"/>
              <w:right w:val="single" w:sz="4" w:space="0" w:color="auto"/>
            </w:tcBorders>
            <w:shd w:val="clear" w:color="auto" w:fill="auto"/>
          </w:tcPr>
          <w:p w14:paraId="1A03ACA9" w14:textId="77777777" w:rsidR="009E183A" w:rsidRPr="008A2E5A" w:rsidRDefault="009E183A" w:rsidP="004C5D62">
            <w:pPr>
              <w:spacing w:after="0" w:line="240" w:lineRule="auto"/>
              <w:jc w:val="both"/>
              <w:rPr>
                <w:rFonts w:ascii="Times New Roman" w:hAnsi="Times New Roman"/>
                <w:color w:val="0070C0"/>
                <w:sz w:val="16"/>
                <w:szCs w:val="16"/>
              </w:rPr>
            </w:pPr>
          </w:p>
        </w:tc>
      </w:tr>
      <w:tr w:rsidR="009E183A" w:rsidRPr="008A2E5A" w14:paraId="2F5B86E9" w14:textId="77777777" w:rsidTr="004C5D62">
        <w:trPr>
          <w:trHeight w:val="432"/>
        </w:trPr>
        <w:tc>
          <w:tcPr>
            <w:tcW w:w="1627" w:type="dxa"/>
            <w:tcBorders>
              <w:top w:val="single" w:sz="4" w:space="0" w:color="auto"/>
              <w:left w:val="single" w:sz="4" w:space="0" w:color="auto"/>
            </w:tcBorders>
            <w:shd w:val="clear" w:color="auto" w:fill="auto"/>
            <w:vAlign w:val="bottom"/>
          </w:tcPr>
          <w:p w14:paraId="1519672B"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Осталось на заводе всего</w:t>
            </w:r>
          </w:p>
        </w:tc>
        <w:tc>
          <w:tcPr>
            <w:tcW w:w="624" w:type="dxa"/>
            <w:tcBorders>
              <w:top w:val="single" w:sz="4" w:space="0" w:color="auto"/>
              <w:left w:val="single" w:sz="4" w:space="0" w:color="auto"/>
            </w:tcBorders>
            <w:shd w:val="clear" w:color="auto" w:fill="auto"/>
            <w:vAlign w:val="center"/>
          </w:tcPr>
          <w:p w14:paraId="0A9793D9"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p>
        </w:tc>
        <w:tc>
          <w:tcPr>
            <w:tcW w:w="624" w:type="dxa"/>
            <w:tcBorders>
              <w:top w:val="single" w:sz="4" w:space="0" w:color="auto"/>
              <w:left w:val="single" w:sz="4" w:space="0" w:color="auto"/>
            </w:tcBorders>
            <w:shd w:val="clear" w:color="auto" w:fill="auto"/>
            <w:vAlign w:val="center"/>
          </w:tcPr>
          <w:p w14:paraId="740F9A49"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w:t>
            </w:r>
          </w:p>
        </w:tc>
        <w:tc>
          <w:tcPr>
            <w:tcW w:w="624" w:type="dxa"/>
            <w:tcBorders>
              <w:top w:val="single" w:sz="4" w:space="0" w:color="auto"/>
              <w:left w:val="single" w:sz="4" w:space="0" w:color="auto"/>
            </w:tcBorders>
            <w:shd w:val="clear" w:color="auto" w:fill="auto"/>
            <w:vAlign w:val="center"/>
          </w:tcPr>
          <w:p w14:paraId="159ED40A"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w:t>
            </w:r>
          </w:p>
        </w:tc>
        <w:tc>
          <w:tcPr>
            <w:tcW w:w="624" w:type="dxa"/>
            <w:tcBorders>
              <w:top w:val="single" w:sz="4" w:space="0" w:color="auto"/>
              <w:left w:val="single" w:sz="4" w:space="0" w:color="auto"/>
            </w:tcBorders>
            <w:shd w:val="clear" w:color="auto" w:fill="auto"/>
            <w:vAlign w:val="center"/>
          </w:tcPr>
          <w:p w14:paraId="09393E4E"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57</w:t>
            </w:r>
          </w:p>
        </w:tc>
        <w:tc>
          <w:tcPr>
            <w:tcW w:w="619" w:type="dxa"/>
            <w:tcBorders>
              <w:top w:val="single" w:sz="4" w:space="0" w:color="auto"/>
              <w:left w:val="single" w:sz="4" w:space="0" w:color="auto"/>
            </w:tcBorders>
            <w:shd w:val="clear" w:color="auto" w:fill="auto"/>
            <w:vAlign w:val="center"/>
          </w:tcPr>
          <w:p w14:paraId="7417F26D"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66</w:t>
            </w:r>
          </w:p>
        </w:tc>
        <w:tc>
          <w:tcPr>
            <w:tcW w:w="624" w:type="dxa"/>
            <w:tcBorders>
              <w:top w:val="single" w:sz="4" w:space="0" w:color="auto"/>
              <w:left w:val="single" w:sz="4" w:space="0" w:color="auto"/>
            </w:tcBorders>
            <w:shd w:val="clear" w:color="auto" w:fill="auto"/>
            <w:vAlign w:val="center"/>
          </w:tcPr>
          <w:p w14:paraId="55BC335C"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434</w:t>
            </w:r>
          </w:p>
        </w:tc>
        <w:tc>
          <w:tcPr>
            <w:tcW w:w="619" w:type="dxa"/>
            <w:tcBorders>
              <w:top w:val="single" w:sz="4" w:space="0" w:color="auto"/>
              <w:left w:val="single" w:sz="4" w:space="0" w:color="auto"/>
            </w:tcBorders>
            <w:shd w:val="clear" w:color="auto" w:fill="auto"/>
            <w:vAlign w:val="center"/>
          </w:tcPr>
          <w:p w14:paraId="300B42B0"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w:t>
            </w:r>
          </w:p>
        </w:tc>
        <w:tc>
          <w:tcPr>
            <w:tcW w:w="619" w:type="dxa"/>
            <w:tcBorders>
              <w:top w:val="single" w:sz="4" w:space="0" w:color="auto"/>
              <w:left w:val="single" w:sz="4" w:space="0" w:color="auto"/>
            </w:tcBorders>
            <w:shd w:val="clear" w:color="auto" w:fill="auto"/>
            <w:vAlign w:val="center"/>
          </w:tcPr>
          <w:p w14:paraId="3B0A33DA"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w:t>
            </w:r>
          </w:p>
        </w:tc>
        <w:tc>
          <w:tcPr>
            <w:tcW w:w="614" w:type="dxa"/>
            <w:tcBorders>
              <w:top w:val="single" w:sz="4" w:space="0" w:color="auto"/>
              <w:left w:val="single" w:sz="4" w:space="0" w:color="auto"/>
            </w:tcBorders>
            <w:shd w:val="clear" w:color="auto" w:fill="auto"/>
            <w:vAlign w:val="center"/>
          </w:tcPr>
          <w:p w14:paraId="11740AD7"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w:t>
            </w:r>
          </w:p>
        </w:tc>
        <w:tc>
          <w:tcPr>
            <w:tcW w:w="619" w:type="dxa"/>
            <w:tcBorders>
              <w:top w:val="single" w:sz="4" w:space="0" w:color="auto"/>
              <w:left w:val="single" w:sz="4" w:space="0" w:color="auto"/>
            </w:tcBorders>
            <w:shd w:val="clear" w:color="auto" w:fill="auto"/>
            <w:vAlign w:val="center"/>
          </w:tcPr>
          <w:p w14:paraId="2BD08903"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130</w:t>
            </w:r>
          </w:p>
        </w:tc>
        <w:tc>
          <w:tcPr>
            <w:tcW w:w="610" w:type="dxa"/>
            <w:tcBorders>
              <w:top w:val="single" w:sz="4" w:space="0" w:color="auto"/>
              <w:left w:val="single" w:sz="4" w:space="0" w:color="auto"/>
            </w:tcBorders>
            <w:shd w:val="clear" w:color="auto" w:fill="auto"/>
            <w:vAlign w:val="center"/>
          </w:tcPr>
          <w:p w14:paraId="7A2506B0"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206</w:t>
            </w:r>
          </w:p>
        </w:tc>
        <w:tc>
          <w:tcPr>
            <w:tcW w:w="610" w:type="dxa"/>
            <w:tcBorders>
              <w:top w:val="single" w:sz="4" w:space="0" w:color="auto"/>
              <w:left w:val="single" w:sz="4" w:space="0" w:color="auto"/>
            </w:tcBorders>
            <w:shd w:val="clear" w:color="auto" w:fill="auto"/>
            <w:vAlign w:val="center"/>
          </w:tcPr>
          <w:p w14:paraId="797E7C87"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261</w:t>
            </w:r>
          </w:p>
        </w:tc>
        <w:tc>
          <w:tcPr>
            <w:tcW w:w="619" w:type="dxa"/>
            <w:tcBorders>
              <w:top w:val="single" w:sz="4" w:space="0" w:color="auto"/>
              <w:left w:val="single" w:sz="4" w:space="0" w:color="auto"/>
              <w:right w:val="single" w:sz="4" w:space="0" w:color="auto"/>
            </w:tcBorders>
            <w:shd w:val="clear" w:color="auto" w:fill="auto"/>
            <w:vAlign w:val="center"/>
          </w:tcPr>
          <w:p w14:paraId="047C4B25"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9E183A" w:rsidRPr="008A2E5A" w14:paraId="4AF79F8E" w14:textId="77777777" w:rsidTr="004C5D62">
        <w:trPr>
          <w:trHeight w:val="437"/>
        </w:trPr>
        <w:tc>
          <w:tcPr>
            <w:tcW w:w="1627" w:type="dxa"/>
            <w:tcBorders>
              <w:top w:val="single" w:sz="4" w:space="0" w:color="auto"/>
              <w:left w:val="single" w:sz="4" w:space="0" w:color="auto"/>
              <w:bottom w:val="single" w:sz="4" w:space="0" w:color="auto"/>
            </w:tcBorders>
            <w:shd w:val="clear" w:color="auto" w:fill="auto"/>
            <w:vAlign w:val="center"/>
          </w:tcPr>
          <w:p w14:paraId="65536286"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них готовых к бою</w:t>
            </w:r>
          </w:p>
        </w:tc>
        <w:tc>
          <w:tcPr>
            <w:tcW w:w="624" w:type="dxa"/>
            <w:tcBorders>
              <w:top w:val="single" w:sz="4" w:space="0" w:color="auto"/>
              <w:left w:val="single" w:sz="4" w:space="0" w:color="auto"/>
              <w:bottom w:val="single" w:sz="4" w:space="0" w:color="auto"/>
            </w:tcBorders>
            <w:shd w:val="clear" w:color="auto" w:fill="auto"/>
            <w:vAlign w:val="center"/>
          </w:tcPr>
          <w:p w14:paraId="4AF78C44"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p>
        </w:tc>
        <w:tc>
          <w:tcPr>
            <w:tcW w:w="624" w:type="dxa"/>
            <w:tcBorders>
              <w:top w:val="single" w:sz="4" w:space="0" w:color="auto"/>
              <w:left w:val="single" w:sz="4" w:space="0" w:color="auto"/>
              <w:bottom w:val="single" w:sz="4" w:space="0" w:color="auto"/>
            </w:tcBorders>
            <w:shd w:val="clear" w:color="auto" w:fill="auto"/>
            <w:vAlign w:val="center"/>
          </w:tcPr>
          <w:p w14:paraId="15CCE186"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tc>
        <w:tc>
          <w:tcPr>
            <w:tcW w:w="624" w:type="dxa"/>
            <w:tcBorders>
              <w:top w:val="single" w:sz="4" w:space="0" w:color="auto"/>
              <w:left w:val="single" w:sz="4" w:space="0" w:color="auto"/>
              <w:bottom w:val="single" w:sz="4" w:space="0" w:color="auto"/>
            </w:tcBorders>
            <w:shd w:val="clear" w:color="auto" w:fill="auto"/>
            <w:vAlign w:val="center"/>
          </w:tcPr>
          <w:p w14:paraId="6FF49CD5"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624" w:type="dxa"/>
            <w:tcBorders>
              <w:top w:val="single" w:sz="4" w:space="0" w:color="auto"/>
              <w:left w:val="single" w:sz="4" w:space="0" w:color="auto"/>
              <w:bottom w:val="single" w:sz="4" w:space="0" w:color="auto"/>
            </w:tcBorders>
            <w:shd w:val="clear" w:color="auto" w:fill="auto"/>
            <w:vAlign w:val="center"/>
          </w:tcPr>
          <w:p w14:paraId="16317857"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w:t>
            </w:r>
          </w:p>
        </w:tc>
        <w:tc>
          <w:tcPr>
            <w:tcW w:w="619" w:type="dxa"/>
            <w:tcBorders>
              <w:top w:val="single" w:sz="4" w:space="0" w:color="auto"/>
              <w:left w:val="single" w:sz="4" w:space="0" w:color="auto"/>
              <w:bottom w:val="single" w:sz="4" w:space="0" w:color="auto"/>
            </w:tcBorders>
            <w:shd w:val="clear" w:color="auto" w:fill="auto"/>
            <w:vAlign w:val="center"/>
          </w:tcPr>
          <w:p w14:paraId="02E256E2"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w:t>
            </w:r>
          </w:p>
        </w:tc>
        <w:tc>
          <w:tcPr>
            <w:tcW w:w="624" w:type="dxa"/>
            <w:tcBorders>
              <w:top w:val="single" w:sz="4" w:space="0" w:color="auto"/>
              <w:left w:val="single" w:sz="4" w:space="0" w:color="auto"/>
              <w:bottom w:val="single" w:sz="4" w:space="0" w:color="auto"/>
            </w:tcBorders>
            <w:shd w:val="clear" w:color="auto" w:fill="auto"/>
            <w:vAlign w:val="center"/>
          </w:tcPr>
          <w:p w14:paraId="402BD532"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264</w:t>
            </w:r>
          </w:p>
        </w:tc>
        <w:tc>
          <w:tcPr>
            <w:tcW w:w="619" w:type="dxa"/>
            <w:tcBorders>
              <w:top w:val="single" w:sz="4" w:space="0" w:color="auto"/>
              <w:left w:val="single" w:sz="4" w:space="0" w:color="auto"/>
              <w:bottom w:val="single" w:sz="4" w:space="0" w:color="auto"/>
            </w:tcBorders>
            <w:shd w:val="clear" w:color="auto" w:fill="auto"/>
            <w:vAlign w:val="center"/>
          </w:tcPr>
          <w:p w14:paraId="6C9EC8BD"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w:t>
            </w:r>
          </w:p>
        </w:tc>
        <w:tc>
          <w:tcPr>
            <w:tcW w:w="619" w:type="dxa"/>
            <w:tcBorders>
              <w:top w:val="single" w:sz="4" w:space="0" w:color="auto"/>
              <w:left w:val="single" w:sz="4" w:space="0" w:color="auto"/>
              <w:bottom w:val="single" w:sz="4" w:space="0" w:color="auto"/>
            </w:tcBorders>
            <w:shd w:val="clear" w:color="auto" w:fill="auto"/>
            <w:vAlign w:val="center"/>
          </w:tcPr>
          <w:p w14:paraId="2287E8E2"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w:t>
            </w:r>
          </w:p>
        </w:tc>
        <w:tc>
          <w:tcPr>
            <w:tcW w:w="614" w:type="dxa"/>
            <w:tcBorders>
              <w:top w:val="single" w:sz="4" w:space="0" w:color="auto"/>
              <w:left w:val="single" w:sz="4" w:space="0" w:color="auto"/>
              <w:bottom w:val="single" w:sz="4" w:space="0" w:color="auto"/>
            </w:tcBorders>
            <w:shd w:val="clear" w:color="auto" w:fill="auto"/>
            <w:vAlign w:val="center"/>
          </w:tcPr>
          <w:p w14:paraId="52FDE112"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w:t>
            </w:r>
          </w:p>
        </w:tc>
        <w:tc>
          <w:tcPr>
            <w:tcW w:w="619" w:type="dxa"/>
            <w:tcBorders>
              <w:top w:val="single" w:sz="4" w:space="0" w:color="auto"/>
              <w:left w:val="single" w:sz="4" w:space="0" w:color="auto"/>
              <w:bottom w:val="single" w:sz="4" w:space="0" w:color="auto"/>
            </w:tcBorders>
            <w:shd w:val="clear" w:color="auto" w:fill="auto"/>
            <w:vAlign w:val="center"/>
          </w:tcPr>
          <w:p w14:paraId="70B04781"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w:t>
            </w:r>
          </w:p>
        </w:tc>
        <w:tc>
          <w:tcPr>
            <w:tcW w:w="610" w:type="dxa"/>
            <w:tcBorders>
              <w:top w:val="single" w:sz="4" w:space="0" w:color="auto"/>
              <w:left w:val="single" w:sz="4" w:space="0" w:color="auto"/>
              <w:bottom w:val="single" w:sz="4" w:space="0" w:color="auto"/>
            </w:tcBorders>
            <w:shd w:val="clear" w:color="auto" w:fill="auto"/>
            <w:vAlign w:val="center"/>
          </w:tcPr>
          <w:p w14:paraId="35B40325"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w:t>
            </w:r>
          </w:p>
        </w:tc>
        <w:tc>
          <w:tcPr>
            <w:tcW w:w="610" w:type="dxa"/>
            <w:tcBorders>
              <w:top w:val="single" w:sz="4" w:space="0" w:color="auto"/>
              <w:left w:val="single" w:sz="4" w:space="0" w:color="auto"/>
              <w:bottom w:val="single" w:sz="4" w:space="0" w:color="auto"/>
            </w:tcBorders>
            <w:shd w:val="clear" w:color="auto" w:fill="auto"/>
            <w:vAlign w:val="center"/>
          </w:tcPr>
          <w:p w14:paraId="55E96FD7"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w:t>
            </w:r>
          </w:p>
        </w:tc>
        <w:tc>
          <w:tcPr>
            <w:tcW w:w="619" w:type="dxa"/>
            <w:tcBorders>
              <w:top w:val="single" w:sz="4" w:space="0" w:color="auto"/>
              <w:left w:val="single" w:sz="4" w:space="0" w:color="auto"/>
              <w:bottom w:val="single" w:sz="4" w:space="0" w:color="auto"/>
              <w:right w:val="single" w:sz="4" w:space="0" w:color="auto"/>
            </w:tcBorders>
            <w:shd w:val="clear" w:color="auto" w:fill="auto"/>
            <w:vAlign w:val="center"/>
          </w:tcPr>
          <w:p w14:paraId="77747D4B"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bl>
    <w:p w14:paraId="18B0E76D" w14:textId="77777777" w:rsidR="009E183A" w:rsidRPr="008A2E5A" w:rsidRDefault="009E183A" w:rsidP="009E18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 — первоначальное задание на I квартал, установленное постановлением ГКО №1054 от 23.12.41 г. в 300 самолетов (50 — в январе, 100 - в феврале и 150 — в марте), снижалось до 58 на февраль и до 96 машин на март постановлениями ГКО №1232сс от 02.02.42 г. и № 1363сс от 02.03.42 г. соответственно. Согласно постановлению ГКО №1522сс от 01.04.42 г. задание на первые три месяца плана 1942 г. скорректировано по фактическому авиавыпуску; 2 — со</w:t>
      </w:r>
      <w:r w:rsidRPr="008A2E5A">
        <w:rPr>
          <w:rFonts w:ascii="Times New Roman" w:hAnsi="Times New Roman"/>
          <w:color w:val="0070C0"/>
          <w:sz w:val="16"/>
          <w:szCs w:val="16"/>
        </w:rPr>
        <w:softHyphen/>
        <w:t xml:space="preserve">гласно ежедневным сводкам военпреда ГУ ВВС КА (ЦАМО ф.35 оп.11287 д.1302 л.207). Приведенные в его месячных и годовом отчетах цифры 49 и 184 за апрель и май соответственно, очевидно скорректированы задним числом по согласованию с руководством завода - сданные в апреле по готовности к бою 9 сверхплановых машин Як-7А перенесены в отчетности с апреля на май. Кроме самолетов, выпушенных в апреле, отправлено в этом же месяце деталей на 55 условных единиц машин в агрегатах и в россыпи для заводов №82 и №21; 3 — через плюс указан план по поставке самолетов в агрегатах и в россыпи для заводов №82 и №21, заданный постановлением ГКО№1690сс </w:t>
      </w:r>
      <w:r w:rsidRPr="008A2E5A">
        <w:rPr>
          <w:rFonts w:ascii="Times New Roman" w:hAnsi="Times New Roman"/>
          <w:color w:val="0070C0"/>
          <w:sz w:val="16"/>
          <w:szCs w:val="16"/>
        </w:rPr>
        <w:lastRenderedPageBreak/>
        <w:t>от03.05.42 г. 4— приведено поданным военпреда ГУ ВВС КА. Поданным НКАП выпущено и сдано готовых к бою 136 самолетов (недостающие пять штук по выпуску засчитаны в июле), а осталось на заводе 37 машин (в том числе 27 готовых к бою); 5 — задание уменьшено постановлением ГКО №1993сс от 6 июля 1942 г.; 6 — первоначальное задание изменено до 255 + 40 самолетов в агрегатах для завода № 82 постановлением ГКО №2143 от 6.8.42 и окончательно установлено постановлением ГКО №2169сс от 11.08.42 г.; 7 — первоначальное задание измене</w:t>
      </w:r>
      <w:r w:rsidRPr="008A2E5A">
        <w:rPr>
          <w:rFonts w:ascii="Times New Roman" w:hAnsi="Times New Roman"/>
          <w:color w:val="0070C0"/>
          <w:sz w:val="16"/>
          <w:szCs w:val="16"/>
        </w:rPr>
        <w:softHyphen/>
        <w:t>но до 180 + 140 самолетов в агрегатах для завода № 82 постановлением ГКО №2169сс от 11.8.42 г. и окончательно установлено постановлением ГКО №2230 от 30.08.42 г., согласно которому месячное задание по выпуску 180 самолетов складывалось из 160 Як-7Б и 20 Як-9; 8 — в том числе 22 самолета Як-7Т во</w:t>
      </w:r>
      <w:r w:rsidRPr="008A2E5A">
        <w:rPr>
          <w:rFonts w:ascii="Times New Roman" w:hAnsi="Times New Roman"/>
          <w:color w:val="0070C0"/>
          <w:sz w:val="16"/>
          <w:szCs w:val="16"/>
        </w:rPr>
        <w:softHyphen/>
        <w:t>оруженных мотор-пушкой калибром 37 мм; 9 — по докладу старшего военпреда ГУ ВВС КА на заводе №153 военинженера 3 ранга А.В. Быкова за август 1942 г. на аэродроме завода находилось еше 36 собранных машин Як-7В без моторов, которые НКАП запретил сдавать в связи с прекращением производ</w:t>
      </w:r>
      <w:r w:rsidRPr="008A2E5A">
        <w:rPr>
          <w:rFonts w:ascii="Times New Roman" w:hAnsi="Times New Roman"/>
          <w:color w:val="0070C0"/>
          <w:sz w:val="16"/>
          <w:szCs w:val="16"/>
        </w:rPr>
        <w:softHyphen/>
        <w:t>ства учебных машин; 10 — кроме того, отправлено деталей на 30 условных единиц машин в агрегатах и в россыпи для завода №82; 11 — в том числе 47 само</w:t>
      </w:r>
      <w:r w:rsidRPr="008A2E5A">
        <w:rPr>
          <w:rFonts w:ascii="Times New Roman" w:hAnsi="Times New Roman"/>
          <w:color w:val="0070C0"/>
          <w:sz w:val="16"/>
          <w:szCs w:val="16"/>
        </w:rPr>
        <w:softHyphen/>
        <w:t>летов на завод №301 без отстрела вооружения и облета; 12 — по донесению военпреда ВВС ВМФ выпушено в ноябре, втом числе 360Як-7Б и один Як-7В; 13 — поданным НКАП (РГАЭ ф.8044 оп.1 д.3228»ОВ») суммарный выпуск Як-7 за 1942 г. составил 2211 машин (на 25 больше - вероятно НКАП в выпуск завода засчитаны машины, переданные агрегатно заводу № 82 в апреле месяце), а сданных по готовности к бою - 1974 самолета (на 63 больше и все в де</w:t>
      </w:r>
      <w:r w:rsidRPr="008A2E5A">
        <w:rPr>
          <w:rFonts w:ascii="Times New Roman" w:hAnsi="Times New Roman"/>
          <w:color w:val="0070C0"/>
          <w:sz w:val="16"/>
          <w:szCs w:val="16"/>
        </w:rPr>
        <w:softHyphen/>
        <w:t>кабре месяце - по докладу военпреда ГУ ВВС КА 63 выпущенных самолета Як-7Б различных серий к приемке в 1942 г. не предъявлялись) (23381).</w:t>
      </w:r>
    </w:p>
    <w:p w14:paraId="55AAF618" w14:textId="77777777" w:rsidR="009E183A" w:rsidRPr="008A2E5A" w:rsidRDefault="009E183A" w:rsidP="009E183A">
      <w:pPr>
        <w:spacing w:after="0" w:line="240" w:lineRule="auto"/>
        <w:jc w:val="both"/>
        <w:rPr>
          <w:rFonts w:ascii="Times New Roman" w:hAnsi="Times New Roman"/>
          <w:color w:val="0070C0"/>
          <w:sz w:val="16"/>
          <w:szCs w:val="16"/>
        </w:rPr>
      </w:pPr>
    </w:p>
    <w:p w14:paraId="1AAFEB16" w14:textId="77777777" w:rsidR="009E183A" w:rsidRPr="008A2E5A" w:rsidRDefault="009E183A" w:rsidP="009E18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1942 г. на заводе № 153 запустили в производство доработанный Як-7В - вывозной, установив для этих ма</w:t>
      </w:r>
      <w:r w:rsidRPr="008A2E5A">
        <w:rPr>
          <w:rFonts w:ascii="Times New Roman" w:hAnsi="Times New Roman"/>
          <w:color w:val="0070C0"/>
          <w:sz w:val="16"/>
          <w:szCs w:val="16"/>
        </w:rPr>
        <w:softHyphen/>
        <w:t>шин собственную серийную нумерацию и включив их вы</w:t>
      </w:r>
      <w:r w:rsidRPr="008A2E5A">
        <w:rPr>
          <w:rFonts w:ascii="Times New Roman" w:hAnsi="Times New Roman"/>
          <w:color w:val="0070C0"/>
          <w:sz w:val="16"/>
          <w:szCs w:val="16"/>
        </w:rPr>
        <w:softHyphen/>
        <w:t>пуск в договор с ВВС КА (собранные ранее Як-7В не име</w:t>
      </w:r>
      <w:r w:rsidRPr="008A2E5A">
        <w:rPr>
          <w:rFonts w:ascii="Times New Roman" w:hAnsi="Times New Roman"/>
          <w:color w:val="0070C0"/>
          <w:sz w:val="16"/>
          <w:szCs w:val="16"/>
        </w:rPr>
        <w:softHyphen/>
        <w:t>ли собственной серийной нумерации и учитывались за</w:t>
      </w:r>
      <w:r w:rsidRPr="008A2E5A">
        <w:rPr>
          <w:rFonts w:ascii="Times New Roman" w:hAnsi="Times New Roman"/>
          <w:color w:val="0070C0"/>
          <w:sz w:val="16"/>
          <w:szCs w:val="16"/>
        </w:rPr>
        <w:softHyphen/>
        <w:t>водом в план по выпуску Як-7А). На машины первой се</w:t>
      </w:r>
      <w:r w:rsidRPr="008A2E5A">
        <w:rPr>
          <w:rFonts w:ascii="Times New Roman" w:hAnsi="Times New Roman"/>
          <w:color w:val="0070C0"/>
          <w:sz w:val="16"/>
          <w:szCs w:val="16"/>
        </w:rPr>
        <w:softHyphen/>
        <w:t>рии вернули установку компрессора АК-50 и генерато</w:t>
      </w:r>
      <w:r w:rsidRPr="008A2E5A">
        <w:rPr>
          <w:rFonts w:ascii="Times New Roman" w:hAnsi="Times New Roman"/>
          <w:color w:val="0070C0"/>
          <w:sz w:val="16"/>
          <w:szCs w:val="16"/>
        </w:rPr>
        <w:softHyphen/>
        <w:t>ра ГС-350 для полного обеспечения необходимых функ</w:t>
      </w:r>
      <w:r w:rsidRPr="008A2E5A">
        <w:rPr>
          <w:rFonts w:ascii="Times New Roman" w:hAnsi="Times New Roman"/>
          <w:color w:val="0070C0"/>
          <w:sz w:val="16"/>
          <w:szCs w:val="16"/>
        </w:rPr>
        <w:softHyphen/>
        <w:t>ций учебного самолета (для обеспечения многократного выпуска и уборки щитков при взлете и посадке и питания фары при полетах ночью соответственно). На приборные доски обеих кабин поставили часы. В отличие от эталона №1540 в передней кабине (обучаемого) установили лож</w:t>
      </w:r>
      <w:r w:rsidRPr="008A2E5A">
        <w:rPr>
          <w:rFonts w:ascii="Times New Roman" w:hAnsi="Times New Roman"/>
          <w:color w:val="0070C0"/>
          <w:sz w:val="16"/>
          <w:szCs w:val="16"/>
        </w:rPr>
        <w:softHyphen/>
        <w:t>ный кран шасси с красной и зеленой лампами сигнализа</w:t>
      </w:r>
      <w:r w:rsidRPr="008A2E5A">
        <w:rPr>
          <w:rFonts w:ascii="Times New Roman" w:hAnsi="Times New Roman"/>
          <w:color w:val="0070C0"/>
          <w:sz w:val="16"/>
          <w:szCs w:val="16"/>
        </w:rPr>
        <w:softHyphen/>
        <w:t>ции (для выработки навыка операций по выпуску и убор</w:t>
      </w:r>
      <w:r w:rsidRPr="008A2E5A">
        <w:rPr>
          <w:rFonts w:ascii="Times New Roman" w:hAnsi="Times New Roman"/>
          <w:color w:val="0070C0"/>
          <w:sz w:val="16"/>
          <w:szCs w:val="16"/>
        </w:rPr>
        <w:softHyphen/>
        <w:t>ке шасси), а в задней кабине - выключатель зажигания. Кроме этого, выключатель тормозов в кабине инструкто</w:t>
      </w:r>
      <w:r w:rsidRPr="008A2E5A">
        <w:rPr>
          <w:rFonts w:ascii="Times New Roman" w:hAnsi="Times New Roman"/>
          <w:color w:val="0070C0"/>
          <w:sz w:val="16"/>
          <w:szCs w:val="16"/>
        </w:rPr>
        <w:softHyphen/>
        <w:t>ра перенесли на ручку управления. В связи с отсутстви</w:t>
      </w:r>
      <w:r w:rsidRPr="008A2E5A">
        <w:rPr>
          <w:rFonts w:ascii="Times New Roman" w:hAnsi="Times New Roman"/>
          <w:color w:val="0070C0"/>
          <w:sz w:val="16"/>
          <w:szCs w:val="16"/>
        </w:rPr>
        <w:softHyphen/>
        <w:t>ем мотор-пушки на винт установили укороченный храпо</w:t>
      </w:r>
      <w:r w:rsidRPr="008A2E5A">
        <w:rPr>
          <w:rFonts w:ascii="Times New Roman" w:hAnsi="Times New Roman"/>
          <w:color w:val="0070C0"/>
          <w:sz w:val="16"/>
          <w:szCs w:val="16"/>
        </w:rPr>
        <w:softHyphen/>
        <w:t>вик. Машина Як-7В №0170 с введенными изменениями успешно прошла контрольные испытания.</w:t>
      </w:r>
    </w:p>
    <w:p w14:paraId="69DA61D6" w14:textId="77777777" w:rsidR="009E183A" w:rsidRPr="008A2E5A" w:rsidRDefault="009E183A" w:rsidP="009E18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Як-7В 2-й серии по результатам испытаний эталон</w:t>
      </w:r>
      <w:r w:rsidRPr="008A2E5A">
        <w:rPr>
          <w:rFonts w:ascii="Times New Roman" w:hAnsi="Times New Roman"/>
          <w:color w:val="0070C0"/>
          <w:sz w:val="16"/>
          <w:szCs w:val="16"/>
        </w:rPr>
        <w:softHyphen/>
        <w:t>ного самолета провели следующий этап доработки кон</w:t>
      </w:r>
      <w:r w:rsidRPr="008A2E5A">
        <w:rPr>
          <w:rFonts w:ascii="Times New Roman" w:hAnsi="Times New Roman"/>
          <w:color w:val="0070C0"/>
          <w:sz w:val="16"/>
          <w:szCs w:val="16"/>
        </w:rPr>
        <w:softHyphen/>
        <w:t>струкции. На этих машинах, как ранее на учебных Як-7, в бортовом люке задней кабины установили специальную подножку для удобства посадки в нее. Сиденья, наклон сидений и поручни в обеих кабинах сделали одинаковы</w:t>
      </w:r>
      <w:r w:rsidRPr="008A2E5A">
        <w:rPr>
          <w:rFonts w:ascii="Times New Roman" w:hAnsi="Times New Roman"/>
          <w:color w:val="0070C0"/>
          <w:sz w:val="16"/>
          <w:szCs w:val="16"/>
        </w:rPr>
        <w:softHyphen/>
        <w:t>ми. Лючки осмотра узлов шасси и крепления крыла для удобства обслуживания самолета изменили по форме, увеличили их число до шести и сделали легкосъемными на замках Дзус. В целях экономии цветных металлов при</w:t>
      </w:r>
      <w:r w:rsidRPr="008A2E5A">
        <w:rPr>
          <w:rFonts w:ascii="Times New Roman" w:hAnsi="Times New Roman"/>
          <w:color w:val="0070C0"/>
          <w:sz w:val="16"/>
          <w:szCs w:val="16"/>
        </w:rPr>
        <w:softHyphen/>
        <w:t>борные доски кабин выполнили из древесного пластика - балинита, а дюралевые бензобаки заменили фибровыми. Введение фибровых бензобаков устранило такой распространен</w:t>
      </w:r>
      <w:r w:rsidRPr="008A2E5A">
        <w:rPr>
          <w:rFonts w:ascii="Times New Roman" w:hAnsi="Times New Roman"/>
          <w:color w:val="0070C0"/>
          <w:sz w:val="16"/>
          <w:szCs w:val="16"/>
        </w:rPr>
        <w:softHyphen/>
        <w:t>ный дефект машин Як, как течь бензина по местам точеч</w:t>
      </w:r>
      <w:r w:rsidRPr="008A2E5A">
        <w:rPr>
          <w:rFonts w:ascii="Times New Roman" w:hAnsi="Times New Roman"/>
          <w:color w:val="0070C0"/>
          <w:sz w:val="16"/>
          <w:szCs w:val="16"/>
        </w:rPr>
        <w:softHyphen/>
        <w:t>ной сварки, особенно проявлявшийся на учебных маши</w:t>
      </w:r>
      <w:r w:rsidRPr="008A2E5A">
        <w:rPr>
          <w:rFonts w:ascii="Times New Roman" w:hAnsi="Times New Roman"/>
          <w:color w:val="0070C0"/>
          <w:sz w:val="16"/>
          <w:szCs w:val="16"/>
        </w:rPr>
        <w:softHyphen/>
        <w:t>нах, баки которых не протектировали. Кран переключе</w:t>
      </w:r>
      <w:r w:rsidRPr="008A2E5A">
        <w:rPr>
          <w:rFonts w:ascii="Times New Roman" w:hAnsi="Times New Roman"/>
          <w:color w:val="0070C0"/>
          <w:sz w:val="16"/>
          <w:szCs w:val="16"/>
        </w:rPr>
        <w:softHyphen/>
        <w:t>ния тормозов снабдили кнопкой, смонтированной на руч</w:t>
      </w:r>
      <w:r w:rsidRPr="008A2E5A">
        <w:rPr>
          <w:rFonts w:ascii="Times New Roman" w:hAnsi="Times New Roman"/>
          <w:color w:val="0070C0"/>
          <w:sz w:val="16"/>
          <w:szCs w:val="16"/>
        </w:rPr>
        <w:softHyphen/>
        <w:t>ке управления самолетом в задней кабине (для отключе</w:t>
      </w:r>
      <w:r w:rsidRPr="008A2E5A">
        <w:rPr>
          <w:rFonts w:ascii="Times New Roman" w:hAnsi="Times New Roman"/>
          <w:color w:val="0070C0"/>
          <w:sz w:val="16"/>
          <w:szCs w:val="16"/>
        </w:rPr>
        <w:softHyphen/>
        <w:t>ния тормозной системы в кабине обучаемого инструктору достаточно было нажать на кнопку). При этом полет</w:t>
      </w:r>
      <w:r w:rsidRPr="008A2E5A">
        <w:rPr>
          <w:rFonts w:ascii="Times New Roman" w:hAnsi="Times New Roman"/>
          <w:color w:val="0070C0"/>
          <w:sz w:val="16"/>
          <w:szCs w:val="16"/>
        </w:rPr>
        <w:softHyphen/>
        <w:t>ный вес самолета практически не изменился и даже стал чуть меньше. Машина Як-7В №0266 с 22 по 26 июля 1942 г. успешно прошла серийные испытания, проведенные военным представительством завода №153 совместно с ЛИИ НКАП. Как основной недостаток летчик-испытатель майор П.И. Лазарев отметил отсутствие переговорного устройства (введено с 4-й серии), а также несоответст</w:t>
      </w:r>
      <w:r w:rsidRPr="008A2E5A">
        <w:rPr>
          <w:rFonts w:ascii="Times New Roman" w:hAnsi="Times New Roman"/>
          <w:color w:val="0070C0"/>
          <w:sz w:val="16"/>
          <w:szCs w:val="16"/>
        </w:rPr>
        <w:softHyphen/>
        <w:t>вие максимальной скорости самолета договорной вели</w:t>
      </w:r>
      <w:r w:rsidRPr="008A2E5A">
        <w:rPr>
          <w:rFonts w:ascii="Times New Roman" w:hAnsi="Times New Roman"/>
          <w:color w:val="0070C0"/>
          <w:sz w:val="16"/>
          <w:szCs w:val="16"/>
        </w:rPr>
        <w:softHyphen/>
        <w:t>чине (таблица 18.)</w:t>
      </w:r>
    </w:p>
    <w:p w14:paraId="79E84D71" w14:textId="77777777" w:rsidR="009E183A" w:rsidRPr="008A2E5A" w:rsidRDefault="009E183A" w:rsidP="009E18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дальнейшем конструкция Як-7В претерпевала мини</w:t>
      </w:r>
      <w:r w:rsidRPr="008A2E5A">
        <w:rPr>
          <w:rFonts w:ascii="Times New Roman" w:hAnsi="Times New Roman"/>
          <w:color w:val="0070C0"/>
          <w:sz w:val="16"/>
          <w:szCs w:val="16"/>
        </w:rPr>
        <w:softHyphen/>
        <w:t>мальные изменения, имевшие целью максимальную уни</w:t>
      </w:r>
      <w:r w:rsidRPr="008A2E5A">
        <w:rPr>
          <w:rFonts w:ascii="Times New Roman" w:hAnsi="Times New Roman"/>
          <w:color w:val="0070C0"/>
          <w:sz w:val="16"/>
          <w:szCs w:val="16"/>
        </w:rPr>
        <w:softHyphen/>
        <w:t>фикацию с боевыми машинами. С 4-й серии ввели улуч</w:t>
      </w:r>
      <w:r w:rsidRPr="008A2E5A">
        <w:rPr>
          <w:rFonts w:ascii="Times New Roman" w:hAnsi="Times New Roman"/>
          <w:color w:val="0070C0"/>
          <w:sz w:val="16"/>
          <w:szCs w:val="16"/>
        </w:rPr>
        <w:softHyphen/>
        <w:t>шения, связанные с эксплуатацией моторной установ</w:t>
      </w:r>
      <w:r w:rsidRPr="008A2E5A">
        <w:rPr>
          <w:rFonts w:ascii="Times New Roman" w:hAnsi="Times New Roman"/>
          <w:color w:val="0070C0"/>
          <w:sz w:val="16"/>
          <w:szCs w:val="16"/>
        </w:rPr>
        <w:softHyphen/>
        <w:t>ки и введенные на боевых самолетах, а также новую руч</w:t>
      </w:r>
      <w:r w:rsidRPr="008A2E5A">
        <w:rPr>
          <w:rFonts w:ascii="Times New Roman" w:hAnsi="Times New Roman"/>
          <w:color w:val="0070C0"/>
          <w:sz w:val="16"/>
          <w:szCs w:val="16"/>
        </w:rPr>
        <w:softHyphen/>
        <w:t>ку управления. Следующий комплекс доработок произо</w:t>
      </w:r>
      <w:r w:rsidRPr="008A2E5A">
        <w:rPr>
          <w:rFonts w:ascii="Times New Roman" w:hAnsi="Times New Roman"/>
          <w:color w:val="0070C0"/>
          <w:sz w:val="16"/>
          <w:szCs w:val="16"/>
        </w:rPr>
        <w:softHyphen/>
        <w:t>шел с 7-й серии и включал в себя установку прицела ПБП- 1А в передней кабине и фотокинопулемета ПАУ-22 с про</w:t>
      </w:r>
      <w:r w:rsidRPr="008A2E5A">
        <w:rPr>
          <w:rFonts w:ascii="Times New Roman" w:hAnsi="Times New Roman"/>
          <w:color w:val="0070C0"/>
          <w:sz w:val="16"/>
          <w:szCs w:val="16"/>
        </w:rPr>
        <w:softHyphen/>
        <w:t>водкой управления, монтаж однопроводной электросети, введение унифицированной моторамы и рукояток штур</w:t>
      </w:r>
      <w:r w:rsidRPr="008A2E5A">
        <w:rPr>
          <w:rFonts w:ascii="Times New Roman" w:hAnsi="Times New Roman"/>
          <w:color w:val="0070C0"/>
          <w:sz w:val="16"/>
          <w:szCs w:val="16"/>
        </w:rPr>
        <w:softHyphen/>
        <w:t>валов, выполненных из пластмасс (23381).</w:t>
      </w:r>
    </w:p>
    <w:p w14:paraId="5FEFEE2C" w14:textId="77777777" w:rsidR="009E183A" w:rsidRPr="008A2E5A" w:rsidRDefault="009E183A" w:rsidP="009E183A">
      <w:pPr>
        <w:spacing w:after="0" w:line="240" w:lineRule="auto"/>
        <w:jc w:val="both"/>
        <w:rPr>
          <w:rFonts w:ascii="Times New Roman" w:hAnsi="Times New Roman"/>
          <w:color w:val="0070C0"/>
          <w:sz w:val="16"/>
          <w:szCs w:val="16"/>
        </w:rPr>
      </w:pPr>
    </w:p>
    <w:p w14:paraId="1290ED39" w14:textId="77777777" w:rsidR="009E183A" w:rsidRPr="008A2E5A" w:rsidRDefault="009E183A" w:rsidP="009E18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1942 г. в дейст</w:t>
      </w:r>
      <w:r w:rsidRPr="008A2E5A">
        <w:rPr>
          <w:rFonts w:ascii="Times New Roman" w:hAnsi="Times New Roman"/>
          <w:color w:val="0070C0"/>
          <w:sz w:val="16"/>
          <w:szCs w:val="16"/>
        </w:rPr>
        <w:softHyphen/>
        <w:t>вующую армию отправили вторую партию из 10 Як-7А завода № 153, которую получил 12-й гиап ПВО (23381).</w:t>
      </w:r>
    </w:p>
    <w:p w14:paraId="5CE95203" w14:textId="77777777" w:rsidR="009E183A" w:rsidRPr="008A2E5A" w:rsidRDefault="009E183A" w:rsidP="009E18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мая 1942 г. фибровые бензобаки на заводе №153 внедрили в серийное производство для установки на всех выпускае</w:t>
      </w:r>
      <w:r w:rsidRPr="008A2E5A">
        <w:rPr>
          <w:rFonts w:ascii="Times New Roman" w:hAnsi="Times New Roman"/>
          <w:color w:val="0070C0"/>
          <w:sz w:val="16"/>
          <w:szCs w:val="16"/>
        </w:rPr>
        <w:softHyphen/>
        <w:t>мых вывозных самолетах Як-7В. С июня 1942 г. такие баки стали монтировать и на всех Як-7Б. Кроме бензобаков на заводе №153 из фибры стали изготовлять чашку сиденья пилота. Благодаря применению материала-замените</w:t>
      </w:r>
      <w:r w:rsidRPr="008A2E5A">
        <w:rPr>
          <w:rFonts w:ascii="Times New Roman" w:hAnsi="Times New Roman"/>
          <w:color w:val="0070C0"/>
          <w:sz w:val="16"/>
          <w:szCs w:val="16"/>
        </w:rPr>
        <w:softHyphen/>
        <w:t>ля алюминия на самолетах Як-7 удалось сохранить цель</w:t>
      </w:r>
      <w:r w:rsidRPr="008A2E5A">
        <w:rPr>
          <w:rFonts w:ascii="Times New Roman" w:hAnsi="Times New Roman"/>
          <w:color w:val="0070C0"/>
          <w:sz w:val="16"/>
          <w:szCs w:val="16"/>
        </w:rPr>
        <w:softHyphen/>
        <w:t>нометаллическое оперение. Фибру ФЛАК в СССР выпу</w:t>
      </w:r>
      <w:r w:rsidRPr="008A2E5A">
        <w:rPr>
          <w:rFonts w:ascii="Times New Roman" w:hAnsi="Times New Roman"/>
          <w:color w:val="0070C0"/>
          <w:sz w:val="16"/>
          <w:szCs w:val="16"/>
        </w:rPr>
        <w:softHyphen/>
        <w:t>скало единственное в стране предприятие - Кинешем</w:t>
      </w:r>
      <w:r w:rsidRPr="008A2E5A">
        <w:rPr>
          <w:rFonts w:ascii="Times New Roman" w:hAnsi="Times New Roman"/>
          <w:color w:val="0070C0"/>
          <w:sz w:val="16"/>
          <w:szCs w:val="16"/>
        </w:rPr>
        <w:softHyphen/>
        <w:t>ская (Заволжская) фибровая фабрика в г.Заволжск Ива</w:t>
      </w:r>
      <w:r w:rsidRPr="008A2E5A">
        <w:rPr>
          <w:rFonts w:ascii="Times New Roman" w:hAnsi="Times New Roman"/>
          <w:color w:val="0070C0"/>
          <w:sz w:val="16"/>
          <w:szCs w:val="16"/>
        </w:rPr>
        <w:softHyphen/>
        <w:t>новской области. По мере роста производства самоле</w:t>
      </w:r>
      <w:r w:rsidRPr="008A2E5A">
        <w:rPr>
          <w:rFonts w:ascii="Times New Roman" w:hAnsi="Times New Roman"/>
          <w:color w:val="0070C0"/>
          <w:sz w:val="16"/>
          <w:szCs w:val="16"/>
        </w:rPr>
        <w:softHyphen/>
        <w:t>тов и бензобаков к ним на завод № 153 ста</w:t>
      </w:r>
      <w:r w:rsidRPr="008A2E5A">
        <w:rPr>
          <w:rFonts w:ascii="Times New Roman" w:hAnsi="Times New Roman"/>
          <w:color w:val="0070C0"/>
          <w:sz w:val="16"/>
          <w:szCs w:val="16"/>
        </w:rPr>
        <w:softHyphen/>
        <w:t>ли осуществляться дополнительные по</w:t>
      </w:r>
      <w:r w:rsidRPr="008A2E5A">
        <w:rPr>
          <w:rFonts w:ascii="Times New Roman" w:hAnsi="Times New Roman"/>
          <w:color w:val="0070C0"/>
          <w:sz w:val="16"/>
          <w:szCs w:val="16"/>
        </w:rPr>
        <w:softHyphen/>
        <w:t>ставки фибры по ленд-лизу. Поступающий из-за рубежа материал производства не</w:t>
      </w:r>
      <w:r w:rsidRPr="008A2E5A">
        <w:rPr>
          <w:rFonts w:ascii="Times New Roman" w:hAnsi="Times New Roman"/>
          <w:color w:val="0070C0"/>
          <w:sz w:val="16"/>
          <w:szCs w:val="16"/>
        </w:rPr>
        <w:softHyphen/>
        <w:t>скольких фирм, в отличие от советского, имел различные свойства и, частично, из- за повышенной жесткости не мог исполь</w:t>
      </w:r>
      <w:r w:rsidRPr="008A2E5A">
        <w:rPr>
          <w:rFonts w:ascii="Times New Roman" w:hAnsi="Times New Roman"/>
          <w:color w:val="0070C0"/>
          <w:sz w:val="16"/>
          <w:szCs w:val="16"/>
        </w:rPr>
        <w:softHyphen/>
        <w:t>зоваться для прессования баков (23381).</w:t>
      </w:r>
    </w:p>
    <w:p w14:paraId="7DFC20AB" w14:textId="77777777" w:rsidR="009E183A" w:rsidRPr="008A2E5A" w:rsidRDefault="009E183A" w:rsidP="009E183A">
      <w:pPr>
        <w:spacing w:after="0" w:line="240" w:lineRule="auto"/>
        <w:jc w:val="both"/>
        <w:rPr>
          <w:rFonts w:ascii="Times New Roman" w:hAnsi="Times New Roman"/>
          <w:color w:val="0070C0"/>
          <w:sz w:val="16"/>
          <w:szCs w:val="16"/>
        </w:rPr>
      </w:pPr>
    </w:p>
    <w:p w14:paraId="4CD436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закончился серийный выпускал Як-1 с М-105П и М-105ПА, который велся с сентября 1940 и всего было построено 2947 самолетов (65,50).</w:t>
      </w:r>
    </w:p>
    <w:p w14:paraId="042A53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D74F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проводились заводские испытания перехватчика для ПВО Як-1 с М-105ПФ N 33-60 и после испытаний 10 облегченных передали в 12 гв. иап 6 иак ПВО Москвы (65,63).</w:t>
      </w:r>
    </w:p>
    <w:p w14:paraId="6D13F56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B9F2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292 завод выпустил первый серийный облегченный Як-1 (198,44).</w:t>
      </w:r>
    </w:p>
    <w:p w14:paraId="4593CF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8C22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облегченный Як-1 серийный номер 3360 прошел заводские испытания и получил высокую оценку. Для сравнения его испытали и с серийным деревянным хвостовым оперением. При этом время виража и боевого разворота увеличилось на две секунды. Такое ухудшение характеристик, возможно, было связано с несколько худшим обтеканием деревянного оперения. Повышенное лобовое сопротивление приводило к более высокому темпу гашения скорости на маневре, что вынуждало летчика уменьшать перегрузку, вследствие чего и увеличивалось время маневра.</w:t>
      </w:r>
    </w:p>
    <w:p w14:paraId="651B94D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Примерно тогда же на завод поступила ведомость предполагаемого уменьшения веса, утвержденная Главным конструктором и заместителем командующего ВВС КА генерал-лейтенантом авиации И.Ф. Петровым, содержащая 25 мероприятий. (И.Ф. Петров был освобожден от должности Главного инженера и заместителя командующего ВВС КА постановлением ГКО от 27 апреля 1942 г. в связи с назначением начальником НИИ ВВС КА.) Из них после совещания с представителями заказчика и КБ для внедрения было рекомендовано 17 и еще 3 после испытаний на первой машине.</w:t>
      </w:r>
    </w:p>
    <w:p w14:paraId="6E2949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Этот вариант Як-1 был столь многообещающим, что постановлением от 10 мая 1942 г. саратовскому авиазаводу предписывалось с 20 мая приступить к серийному выпуску облегченных машин. Их производство организовывалось параллельно с обычными (по пять тех и других в сутки). Полностью перейти на выпуск облегченных "яков" завод должен был к 1 июня, а с 10 июня предписывалось увеличить боекомплект к пушке со 120 до 150 снарядов. Заводам № 82, 21 и 153 ставилась задача перебросить в Саратов до 14, 16 и 18 мая, соответственно, по 10, 40 и 100 (из них 50 в деталях) готовых комплектов металлического хвостового оперения (12048).</w:t>
      </w:r>
    </w:p>
    <w:p w14:paraId="40E8499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5BF96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в оккупированную японцами ма</w:t>
      </w:r>
      <w:r w:rsidRPr="008127F8">
        <w:rPr>
          <w:rFonts w:ascii="Times New Roman" w:hAnsi="Times New Roman"/>
          <w:color w:val="000000" w:themeColor="text1"/>
          <w:sz w:val="16"/>
          <w:szCs w:val="16"/>
        </w:rPr>
        <w:softHyphen/>
        <w:t>рионеточную Маньчжоу-Го то ли намеренно, то ли в результате потери ориентировки перелетел на ЛаГГ-3 летчик из состава контингента РККА в Мон</w:t>
      </w:r>
      <w:r w:rsidRPr="008127F8">
        <w:rPr>
          <w:rFonts w:ascii="Times New Roman" w:hAnsi="Times New Roman"/>
          <w:color w:val="000000" w:themeColor="text1"/>
          <w:sz w:val="16"/>
          <w:szCs w:val="16"/>
        </w:rPr>
        <w:softHyphen/>
        <w:t>голии. По некоторым данным, самолет был обстре</w:t>
      </w:r>
      <w:r w:rsidRPr="008127F8">
        <w:rPr>
          <w:rFonts w:ascii="Times New Roman" w:hAnsi="Times New Roman"/>
          <w:color w:val="000000" w:themeColor="text1"/>
          <w:sz w:val="16"/>
          <w:szCs w:val="16"/>
        </w:rPr>
        <w:softHyphen/>
        <w:t>лян японской ПВО и получил легкие повреждения. Не выпустив шасси, он совершил посадку на мест</w:t>
      </w:r>
      <w:r w:rsidRPr="008127F8">
        <w:rPr>
          <w:rFonts w:ascii="Times New Roman" w:hAnsi="Times New Roman"/>
          <w:color w:val="000000" w:themeColor="text1"/>
          <w:sz w:val="16"/>
          <w:szCs w:val="16"/>
        </w:rPr>
        <w:softHyphen/>
        <w:t>ности. Это была машина 8-й серии с 23-мм пушкой ВЯ-23.</w:t>
      </w:r>
    </w:p>
    <w:p w14:paraId="257BAC3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Японцы перевезли истребитель в мастерские в г. Муданзцянь, где привели в летное состояние. При этом были демонти</w:t>
      </w:r>
      <w:r w:rsidRPr="008127F8">
        <w:rPr>
          <w:rFonts w:ascii="Times New Roman" w:hAnsi="Times New Roman"/>
          <w:color w:val="000000" w:themeColor="text1"/>
          <w:sz w:val="16"/>
          <w:szCs w:val="16"/>
        </w:rPr>
        <w:softHyphen/>
        <w:t>рованы створки ниш основного шасси и некоторые другие дета</w:t>
      </w:r>
      <w:r w:rsidRPr="008127F8">
        <w:rPr>
          <w:rFonts w:ascii="Times New Roman" w:hAnsi="Times New Roman"/>
          <w:color w:val="000000" w:themeColor="text1"/>
          <w:sz w:val="16"/>
          <w:szCs w:val="16"/>
        </w:rPr>
        <w:softHyphen/>
        <w:t>ли. На борта фюзеляжа, крыло сверху и снизу нанесли круги хиномару — опознавательные знаки японской авиации, симво</w:t>
      </w:r>
      <w:r w:rsidRPr="008127F8">
        <w:rPr>
          <w:rFonts w:ascii="Times New Roman" w:hAnsi="Times New Roman"/>
          <w:color w:val="000000" w:themeColor="text1"/>
          <w:sz w:val="16"/>
          <w:szCs w:val="16"/>
        </w:rPr>
        <w:softHyphen/>
        <w:t>лизирующие восходящее солнце.</w:t>
      </w:r>
    </w:p>
    <w:p w14:paraId="1489FAD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сентября 1942 г. начались летные испытания, которые проводили летчики Исследовательского центра авиации Импе</w:t>
      </w:r>
      <w:r w:rsidRPr="008127F8">
        <w:rPr>
          <w:rFonts w:ascii="Times New Roman" w:hAnsi="Times New Roman"/>
          <w:color w:val="000000" w:themeColor="text1"/>
          <w:sz w:val="16"/>
          <w:szCs w:val="16"/>
        </w:rPr>
        <w:softHyphen/>
        <w:t>раторской армии, руководимые м-ром Ямамото. Сравнитель</w:t>
      </w:r>
      <w:r w:rsidRPr="008127F8">
        <w:rPr>
          <w:rFonts w:ascii="Times New Roman" w:hAnsi="Times New Roman"/>
          <w:color w:val="000000" w:themeColor="text1"/>
          <w:sz w:val="16"/>
          <w:szCs w:val="16"/>
        </w:rPr>
        <w:softHyphen/>
        <w:t>ные бои с маневренными Ки-27 и Ки-43 «ЛаГГ» проиграл вчи</w:t>
      </w:r>
      <w:r w:rsidRPr="008127F8">
        <w:rPr>
          <w:rFonts w:ascii="Times New Roman" w:hAnsi="Times New Roman"/>
          <w:color w:val="000000" w:themeColor="text1"/>
          <w:sz w:val="16"/>
          <w:szCs w:val="16"/>
        </w:rPr>
        <w:softHyphen/>
        <w:t>стую, но заслужил положительную оценку как устойчивая плат</w:t>
      </w:r>
      <w:r w:rsidRPr="008127F8">
        <w:rPr>
          <w:rFonts w:ascii="Times New Roman" w:hAnsi="Times New Roman"/>
          <w:color w:val="000000" w:themeColor="text1"/>
          <w:sz w:val="16"/>
          <w:szCs w:val="16"/>
        </w:rPr>
        <w:softHyphen/>
        <w:t>форма при стрельбе из пушки. Дальнейшая судьба этой машины неведома (19106).</w:t>
      </w:r>
    </w:p>
    <w:p w14:paraId="0C67F90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5953649" w14:textId="77777777" w:rsidR="009E183A" w:rsidRPr="008A2E5A" w:rsidRDefault="009E183A" w:rsidP="009E18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1942 г. облегченный Як-1 серийный номер 3360 292 завода прошел заводские испытания и получил высокую оценку. Для сравнения его испытали и с серийным деревянным хвостовым оперением. При этом время виража и боевого разворота увеличилось на две секунды. Такое ухудшение характеристик, возможно, было связано с несколько более худшим обтеканием деревянного оперения. Повышенное лобовое сопротивление приводило к более высокому темпу гашения скорости на маневре, что вынуждало летчика уменьшать перегрузку, вследствие чего и увеличивалось время маневра.</w:t>
      </w:r>
    </w:p>
    <w:p w14:paraId="58506F8D" w14:textId="77777777" w:rsidR="009E183A" w:rsidRPr="008A2E5A" w:rsidRDefault="009E183A" w:rsidP="009E18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Примерно тогда же на завод поступила ведомость предполагаемого уменьшения веса, утвержденная главным конструктором и заместителем командующего ВВС КА генерал-лейтенантом авиации И.О. Петровым, содержащая 25 мероприятий (И.Ф.Петров был освобожден от должности главного инженера и заместителя командующего ВВС КА постановлением ГКО от 27 апреля 1942 г. в связи с назначением начальником НИИ ВВС КА). Из них после совещания с представителями заказчика и КБ для внедрения было рекомендовано 17 и еще 3 после испытаний на первой машине.</w:t>
      </w:r>
    </w:p>
    <w:p w14:paraId="20D456AE" w14:textId="77777777" w:rsidR="009E183A" w:rsidRPr="008A2E5A" w:rsidRDefault="009E183A" w:rsidP="009E18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Этот вариант Як-1 был столь многообещающим, что постановлением от 10 мая 1942 г. саратовскому авиазаводу предписывалось с 20 мая приступить к серийному выпуску облегченных машин, вначале параллельно с обычными (по пять тех и других в сутки), а с 1 июня изготовлять только облегченные "яки", увеличив с 10 июня </w:t>
      </w:r>
      <w:r w:rsidRPr="008A2E5A">
        <w:rPr>
          <w:rFonts w:ascii="Times New Roman" w:hAnsi="Times New Roman"/>
          <w:color w:val="0070C0"/>
          <w:sz w:val="16"/>
          <w:szCs w:val="16"/>
        </w:rPr>
        <w:lastRenderedPageBreak/>
        <w:t>1942 г. боекомплект к пушке с 120 до 150 снарядов. Заводам ¦ 82, 21 и 153 ставилась задача перебросить в Саратов до 14, 16 и 18 мая, соответственно, по 10, 40 и 100 (из них 50 в деталях) готовых комплектов металлического хвостового оперения.</w:t>
      </w:r>
    </w:p>
    <w:p w14:paraId="0D0E1E9E" w14:textId="77777777" w:rsidR="009E183A" w:rsidRPr="008A2E5A" w:rsidRDefault="009E183A" w:rsidP="009E18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с 1 мая 1942 г. начался серийный выпуск моторов М-105ПФ, с которыми самолет мог иметь без ослабления вооружения такие же летные характеристики, как у облегченного Як-1. Это направление развития конструкции было выбрано как основное, а решение о серийном выпуске облегченного Як-1 отменили уже через девять дней после его принятия. Все десять изготовленных самолетов были переданы в 12-й гиап 6-го ИАК ПВО г. Москвы (23451).</w:t>
      </w:r>
    </w:p>
    <w:p w14:paraId="71B938DC" w14:textId="77777777" w:rsidR="009E183A" w:rsidRPr="008A2E5A" w:rsidRDefault="009E183A" w:rsidP="009E183A">
      <w:pPr>
        <w:spacing w:after="0" w:line="240" w:lineRule="auto"/>
        <w:jc w:val="both"/>
        <w:rPr>
          <w:rFonts w:ascii="Times New Roman" w:hAnsi="Times New Roman"/>
          <w:color w:val="0070C0"/>
          <w:sz w:val="16"/>
          <w:szCs w:val="16"/>
        </w:rPr>
      </w:pPr>
    </w:p>
    <w:p w14:paraId="6BE51634" w14:textId="77777777" w:rsidR="009E183A" w:rsidRPr="008A2E5A" w:rsidRDefault="009E183A" w:rsidP="009E18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1942 г. возможностью возоб</w:t>
      </w:r>
      <w:r w:rsidRPr="008A2E5A">
        <w:rPr>
          <w:rFonts w:ascii="Times New Roman" w:hAnsi="Times New Roman"/>
          <w:color w:val="0070C0"/>
          <w:sz w:val="16"/>
          <w:szCs w:val="16"/>
        </w:rPr>
        <w:softHyphen/>
        <w:t>новления выпуска Пе—8 заинтересовался т. Сталин. Вскоре на завод пришло офи</w:t>
      </w:r>
      <w:r w:rsidRPr="008A2E5A">
        <w:rPr>
          <w:rFonts w:ascii="Times New Roman" w:hAnsi="Times New Roman"/>
          <w:color w:val="0070C0"/>
          <w:sz w:val="16"/>
          <w:szCs w:val="16"/>
        </w:rPr>
        <w:softHyphen/>
        <w:t>циальное решение об этом. Выпуск машин продолжался до конца 1944 г. В декабре 1981 г. И.Ф. Незваль по своим записям составил список построенных машин по годам:</w:t>
      </w:r>
    </w:p>
    <w:tbl>
      <w:tblPr>
        <w:tblOverlap w:val="never"/>
        <w:tblW w:w="0" w:type="auto"/>
        <w:tblLayout w:type="fixed"/>
        <w:tblCellMar>
          <w:left w:w="10" w:type="dxa"/>
          <w:right w:w="10" w:type="dxa"/>
        </w:tblCellMar>
        <w:tblLook w:val="04A0" w:firstRow="1" w:lastRow="0" w:firstColumn="1" w:lastColumn="0" w:noHBand="0" w:noVBand="1"/>
      </w:tblPr>
      <w:tblGrid>
        <w:gridCol w:w="427"/>
        <w:gridCol w:w="437"/>
        <w:gridCol w:w="898"/>
        <w:gridCol w:w="413"/>
        <w:gridCol w:w="413"/>
        <w:gridCol w:w="422"/>
        <w:gridCol w:w="442"/>
      </w:tblGrid>
      <w:tr w:rsidR="009E183A" w:rsidRPr="008A2E5A" w14:paraId="448E1655" w14:textId="77777777" w:rsidTr="004C5D62">
        <w:trPr>
          <w:trHeight w:val="221"/>
        </w:trPr>
        <w:tc>
          <w:tcPr>
            <w:tcW w:w="427" w:type="dxa"/>
            <w:tcBorders>
              <w:top w:val="single" w:sz="4" w:space="0" w:color="auto"/>
              <w:left w:val="single" w:sz="4" w:space="0" w:color="auto"/>
            </w:tcBorders>
            <w:shd w:val="clear" w:color="auto" w:fill="auto"/>
          </w:tcPr>
          <w:p w14:paraId="4E91B457"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1936</w:t>
            </w:r>
          </w:p>
        </w:tc>
        <w:tc>
          <w:tcPr>
            <w:tcW w:w="437" w:type="dxa"/>
            <w:tcBorders>
              <w:top w:val="single" w:sz="4" w:space="0" w:color="auto"/>
              <w:left w:val="single" w:sz="4" w:space="0" w:color="auto"/>
            </w:tcBorders>
            <w:shd w:val="clear" w:color="auto" w:fill="auto"/>
          </w:tcPr>
          <w:p w14:paraId="46C0419A"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1938</w:t>
            </w:r>
          </w:p>
        </w:tc>
        <w:tc>
          <w:tcPr>
            <w:tcW w:w="898" w:type="dxa"/>
            <w:tcBorders>
              <w:top w:val="single" w:sz="4" w:space="0" w:color="auto"/>
              <w:left w:val="single" w:sz="4" w:space="0" w:color="auto"/>
            </w:tcBorders>
            <w:shd w:val="clear" w:color="auto" w:fill="auto"/>
          </w:tcPr>
          <w:p w14:paraId="58A17C2C"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1939-1940</w:t>
            </w:r>
          </w:p>
        </w:tc>
        <w:tc>
          <w:tcPr>
            <w:tcW w:w="413" w:type="dxa"/>
            <w:tcBorders>
              <w:top w:val="single" w:sz="4" w:space="0" w:color="auto"/>
              <w:left w:val="single" w:sz="4" w:space="0" w:color="auto"/>
            </w:tcBorders>
            <w:shd w:val="clear" w:color="auto" w:fill="auto"/>
          </w:tcPr>
          <w:p w14:paraId="46258BE9"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1941</w:t>
            </w:r>
          </w:p>
        </w:tc>
        <w:tc>
          <w:tcPr>
            <w:tcW w:w="413" w:type="dxa"/>
            <w:tcBorders>
              <w:top w:val="single" w:sz="4" w:space="0" w:color="auto"/>
              <w:left w:val="single" w:sz="4" w:space="0" w:color="auto"/>
            </w:tcBorders>
            <w:shd w:val="clear" w:color="auto" w:fill="auto"/>
          </w:tcPr>
          <w:p w14:paraId="29754103"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1942</w:t>
            </w:r>
          </w:p>
        </w:tc>
        <w:tc>
          <w:tcPr>
            <w:tcW w:w="422" w:type="dxa"/>
            <w:tcBorders>
              <w:top w:val="single" w:sz="4" w:space="0" w:color="auto"/>
              <w:left w:val="single" w:sz="4" w:space="0" w:color="auto"/>
            </w:tcBorders>
            <w:shd w:val="clear" w:color="auto" w:fill="auto"/>
          </w:tcPr>
          <w:p w14:paraId="124BE1FD"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w:t>
            </w:r>
          </w:p>
        </w:tc>
        <w:tc>
          <w:tcPr>
            <w:tcW w:w="442" w:type="dxa"/>
            <w:tcBorders>
              <w:top w:val="single" w:sz="4" w:space="0" w:color="auto"/>
              <w:left w:val="single" w:sz="4" w:space="0" w:color="auto"/>
              <w:right w:val="single" w:sz="4" w:space="0" w:color="auto"/>
            </w:tcBorders>
            <w:shd w:val="clear" w:color="auto" w:fill="auto"/>
          </w:tcPr>
          <w:p w14:paraId="04296ED8"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1944</w:t>
            </w:r>
          </w:p>
        </w:tc>
      </w:tr>
      <w:tr w:rsidR="009E183A" w:rsidRPr="008A2E5A" w14:paraId="20F59614" w14:textId="77777777" w:rsidTr="004C5D62">
        <w:trPr>
          <w:trHeight w:val="226"/>
        </w:trPr>
        <w:tc>
          <w:tcPr>
            <w:tcW w:w="427" w:type="dxa"/>
            <w:tcBorders>
              <w:top w:val="single" w:sz="4" w:space="0" w:color="auto"/>
              <w:left w:val="single" w:sz="4" w:space="0" w:color="auto"/>
              <w:bottom w:val="single" w:sz="4" w:space="0" w:color="auto"/>
            </w:tcBorders>
            <w:shd w:val="clear" w:color="auto" w:fill="auto"/>
          </w:tcPr>
          <w:p w14:paraId="19FB87C2"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tc>
        <w:tc>
          <w:tcPr>
            <w:tcW w:w="437" w:type="dxa"/>
            <w:tcBorders>
              <w:top w:val="single" w:sz="4" w:space="0" w:color="auto"/>
              <w:left w:val="single" w:sz="4" w:space="0" w:color="auto"/>
              <w:bottom w:val="single" w:sz="4" w:space="0" w:color="auto"/>
            </w:tcBorders>
            <w:shd w:val="clear" w:color="auto" w:fill="auto"/>
          </w:tcPr>
          <w:p w14:paraId="6193DEE3"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tc>
        <w:tc>
          <w:tcPr>
            <w:tcW w:w="898" w:type="dxa"/>
            <w:tcBorders>
              <w:top w:val="single" w:sz="4" w:space="0" w:color="auto"/>
              <w:left w:val="single" w:sz="4" w:space="0" w:color="auto"/>
              <w:bottom w:val="single" w:sz="4" w:space="0" w:color="auto"/>
            </w:tcBorders>
            <w:shd w:val="clear" w:color="auto" w:fill="auto"/>
          </w:tcPr>
          <w:p w14:paraId="00DA9A43"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w:t>
            </w:r>
          </w:p>
        </w:tc>
        <w:tc>
          <w:tcPr>
            <w:tcW w:w="413" w:type="dxa"/>
            <w:tcBorders>
              <w:top w:val="single" w:sz="4" w:space="0" w:color="auto"/>
              <w:left w:val="single" w:sz="4" w:space="0" w:color="auto"/>
              <w:bottom w:val="single" w:sz="4" w:space="0" w:color="auto"/>
            </w:tcBorders>
            <w:shd w:val="clear" w:color="auto" w:fill="auto"/>
          </w:tcPr>
          <w:p w14:paraId="5D5CB01D"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w:t>
            </w:r>
          </w:p>
        </w:tc>
        <w:tc>
          <w:tcPr>
            <w:tcW w:w="413" w:type="dxa"/>
            <w:tcBorders>
              <w:top w:val="single" w:sz="4" w:space="0" w:color="auto"/>
              <w:left w:val="single" w:sz="4" w:space="0" w:color="auto"/>
              <w:bottom w:val="single" w:sz="4" w:space="0" w:color="auto"/>
            </w:tcBorders>
            <w:shd w:val="clear" w:color="auto" w:fill="auto"/>
          </w:tcPr>
          <w:p w14:paraId="47DD3615"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w:t>
            </w:r>
          </w:p>
        </w:tc>
        <w:tc>
          <w:tcPr>
            <w:tcW w:w="422" w:type="dxa"/>
            <w:tcBorders>
              <w:top w:val="single" w:sz="4" w:space="0" w:color="auto"/>
              <w:left w:val="single" w:sz="4" w:space="0" w:color="auto"/>
              <w:bottom w:val="single" w:sz="4" w:space="0" w:color="auto"/>
            </w:tcBorders>
            <w:shd w:val="clear" w:color="auto" w:fill="auto"/>
          </w:tcPr>
          <w:p w14:paraId="0C709800"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w:t>
            </w:r>
          </w:p>
        </w:tc>
        <w:tc>
          <w:tcPr>
            <w:tcW w:w="442" w:type="dxa"/>
            <w:tcBorders>
              <w:top w:val="single" w:sz="4" w:space="0" w:color="auto"/>
              <w:left w:val="single" w:sz="4" w:space="0" w:color="auto"/>
              <w:bottom w:val="single" w:sz="4" w:space="0" w:color="auto"/>
              <w:right w:val="single" w:sz="4" w:space="0" w:color="auto"/>
            </w:tcBorders>
            <w:shd w:val="clear" w:color="auto" w:fill="auto"/>
          </w:tcPr>
          <w:p w14:paraId="5683FFB5" w14:textId="77777777" w:rsidR="009E183A" w:rsidRPr="008A2E5A" w:rsidRDefault="009E183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w:t>
            </w:r>
          </w:p>
        </w:tc>
      </w:tr>
    </w:tbl>
    <w:p w14:paraId="088B3025" w14:textId="77777777" w:rsidR="009E183A" w:rsidRPr="008A2E5A" w:rsidRDefault="009E183A" w:rsidP="009E18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(23474).</w:t>
      </w:r>
    </w:p>
    <w:p w14:paraId="5EC2BBBA" w14:textId="77777777" w:rsidR="009E183A" w:rsidRPr="008A2E5A" w:rsidRDefault="009E183A" w:rsidP="009E183A">
      <w:pPr>
        <w:spacing w:after="0" w:line="240" w:lineRule="auto"/>
        <w:jc w:val="both"/>
        <w:rPr>
          <w:rFonts w:ascii="Times New Roman" w:hAnsi="Times New Roman"/>
          <w:color w:val="0070C0"/>
          <w:sz w:val="16"/>
          <w:szCs w:val="16"/>
        </w:rPr>
      </w:pPr>
    </w:p>
    <w:p w14:paraId="0BCA02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увеличение выпуска Пе-2 (248, по сравнению со 125 - в январе) позволило ускоренно формировать новые авиаполки (3542).</w:t>
      </w:r>
    </w:p>
    <w:p w14:paraId="5FBC70A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3A93A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на испытания в ЛИИ НКАП поступил Пе-2 № 19/78. Эта серийная машина, оснащенная моторами М-105РА с винтами ВИШ-61Б, при полетном весе 7650 кг показала тогда у земли максимальную скорость полета 424 км/час, а на высоте 4650 м (вторая граница высотности двигателя) - 503 км/час, то есть на 27 км/час меньше принятого за эталон самолета № 10/35. Это обстоятельство стало предметом пристального исследования, а в сентябре 1942 г. самолет № 19/78 испытали уже в несколько усовершенствованном виде. Изменения сводились к следующему: была улучшена подгонка щитков, капотов, лючков, сопряжении частей фюзеляжа, крыльевых зализов. Обеспечили лучшую герметизацию всего самолета, изменили форму тоннелей маслорадиаторов, установили всасывающие патрубки карбюраторов с улучшенной аэродинамической формой. В результате перечисленных усовершенствований максимальная скорость полета у земли возросла на 25 км/час, а на второй границе высотности - на 28 км/час, достигнув 531 км/час (3542).</w:t>
      </w:r>
    </w:p>
    <w:p w14:paraId="713F577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0B5C5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на испытания в ЛИИ НКАП самолет № 19/78, на котором был реализован первый этап улучшений "пешки" (научный руководитель Г.С. Бюшгенс). Эта серийная машина, оснащенная моторами М-105РА с винтами ВИШ-61Б, при полетном весе 7650 кг показала тогда у земли максимальную скорость полета 424 км/ч, а на высоте 4650 м (вторая граница высотности двигателя) - 503 км/ч, то есть на 27 км/ч меньше принятого за эталон самолета № 10/35. Данное обстоятельство стало предметом пристального исследования, а в сентябре 1942 г. самолет № 19/78 испытали уже в несколько усовершенствованном виде. Изменения сводились к следующему: была улучшена подгонка щитков, капотов, лючков, сопряжений частей фюзеляжа, крыльевых зализов. Обеспечили лучшую герметизацию всего самолета, изменили форму тоннелей маслорадиаторов, установили всасывающие патрубки карбюраторов с улучшенной аэродинамической формой, а также выполнили ряд мероприятий по уменьшению сопротивления мелких деталей. Наконец, самолет заново окрасили.</w:t>
      </w:r>
    </w:p>
    <w:p w14:paraId="1CE2C6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внесения перечисленных выше усовершенствований максимальная скорость полета у земли возросла на 25 км/ч, а на второй границе высотности - на 28 км/ч, достигнув 531 км/ч. В марте 1943 г. этот же самолет был испытан в третий раз, причем на нем дополнительно сделали следующие изменения: установили индивидуальные реактивные выхлопные патрубки, а вместо жалюзи на входе тоннелей водоради- аторов - установили заслонки типа ЦАГИ, изменили форму входного отверстия тоннелей водорадиаторов, рамку антенны РПК-10 перенесли внутрь фанерного кока Ф-1. Крыло машины зашпаклевали и в третий раз окрасили. С такими улучшениями самолет добавил в скорости еше примерно 20 км/ч у земли (469 км/ч) и 16 км/ч на второй границе высотности (4650 м), перекрыв результат головного серийного Пе-2 на 7 км/ч.</w:t>
      </w:r>
    </w:p>
    <w:p w14:paraId="42EECC3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Полностью внедрить в серию все предложенные ЦАГИ изменения не удалось (да и не все они оправдали себя), однако часть улучшений была внедрена в производство с августа 1943 г. (главным образом, начиная с 205-й серии,). Помимо указанных выше изменений с того же времени на самолеты Пе- 2 стали устанавливать обтекатели на тормозные решетки и новый однолопастныи компенсатор турели ВУБ-1, а вот от шпатлевки крыла с целью улучшения качества поверхности пришлось отказаться - покрытие на тонкой металлической обшивке оказалось нестойким и начинало крошиться через 3-5 ч полета.</w:t>
      </w:r>
    </w:p>
    <w:p w14:paraId="5E1C99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этого на 205-й серии сделали другую нижнюю крышку капота мотора, поставили новые всасывающие патрубки, переместили вперед мачту радиоантенны вместе с трубкой приемника воздушного давления, улучшили стыковку фонаря и турели ВУБ-1. Начиная с этой же серии на 100 самолетах установили индивидуальные реактивные выхлопные патрубки (по два одиночных и два спаренных с каждой стороны) вместо стоявших ранее коллекторов. Чуть позднее, на 211-й серии, убрали внутрь крыла балки наружных бомбодержателей, ранее располагавшиеся в выступах под крылом (12042).</w:t>
      </w:r>
    </w:p>
    <w:p w14:paraId="0A329BA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895C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на заводе № 22 была достигнута та же трудоемкость, что и в Москве перед войной, несмотря на увеличившийся объём работ по машине на 10% за счёт изготовления тех деталей, что должны были получать от смежников. В течение всего 1942 г Пе-2 постоянно подвергался модернизации, прежде всего по замене двигателей М-105 на М-105ПФ и М-107, моторы с водяным охлаждением менялись на моторы с воздушным охлаждением. Каждая модернизация влекла за собой конструктивную переделку всей винтомоторной группы и основательную переделку технологической оснастки производства. Расход металлов всех видов был велик, перед заводом была поставлена задача изыскания его заменителей. Неоценимую помощь оказали конструкторы, нашедшие удачные конструктивные решения замены металла деревом и другими материалами. В серию были внедрены бензиновые баки из фибры, широкое применение в конструкции самолётов получили изделия из пластмасс (5764,39).</w:t>
      </w:r>
    </w:p>
    <w:p w14:paraId="7AA34C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BE604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мая и до конца 1942 года завод № 22 держал взятый темп производства, за исключением августа и сентября 1942, когда выпуск Пе-2 резко снизился по причине срыва смежниками поставок двигателей, воздушных винтов и маслорадиаторов. Если с первыми двумя позициями уже в начале 1943 проблема была решена, то с радиаторами было сложнее. Горьковский зод, выпускавший этот агрегат, планомерно срывал график поставок. инструкция его к тому же была ещё весьма сырой. Но была ещё одна тяжелейшая проблема, с которой столкнулся завод. По воспоминаниям Суханова (механик ЛИСа в годы войны) “это чума”, которая охватила практически все Пе-2”. Дефект появлялся время эксплуатации “пешек” в авиаполках. В огромном потоке рек-маций, хлынувшем на завод, инженеры полков с тревогой писали:..в процессе эксплуатации Пе-2 выявились многочисленные трещины местах сварки подмоторных рам...”. Весь конец 1942 года ушёл на решение этой острейшей проблемы. На помощь заводу пришли крупрейшие ученые в области металлургии и сварки. В результате их кропотливой работы этот дефект устранили и были даны соответствующие рекомендации. В действующую армию выехали специальные бригады, занимавшиеся доработками подмоторных рам. До 900 Пе-2 были доработаны в условиях фронта. Качество сборки Пе-2 было крайне низким, на то были свои объективные причины: отсутствие высококлассных специалистов-мужчин (на производстве их заменили женщины и подростки) 11-ти часовые полуголодные смены в холодных и продуваемых хах, хронические срывы комплектующих изделий заводами-смежними и множество других. Яркий пример: у самолёта Пе-2 зав. №14-11 при испытании бензосистемы на герметичность разорвало пять (!) бензобаков. Было выявлено только по группе электрооборудования и аэронавигации 13 дефектов. На этой машине погиб В.М. Петляков. Полуголодные, измотанные и дёрганные контрольные мастера и представители военной приемки, снимавшие самолёт, в силу вышеуказанных причин, физически не могли внимательно и досконально осматривать машину. Далее “пешку” выкатывали на аэродром, где она попадала в руки такого же полуголодного механика. Он производил осмотр, и если успевал, то опробовал игатели, если нет, то сразу же машину принимал лётчик-испытатель. На ней он делал 1 (ОДИН!) контрольный полёт, и если ничего не случалось, то её передавали БЦК, далее лётчикам-перегонщикам. По воспоминаниям того же Суханова, во время испытаний Пе-2, практически все летчики-испытатели завода садились на вынужденные посадки вследствии многочисленных дефектов и низкой надежности двигателя М-105. Незадолго до своей гибели заводской леётчик-испытатель Стрельников, испытывая Пе-2 (№9/12), сел на вынужденную из-за отказа выпуска лыж. Лётчик-испытатель Я.И. Моисеев, с ведущим инженером Сверановским облётывали Пе-2 (№9/9), испытывая моторные рамы с жёсткими вкладышами. Из-за ухудшения погоды лётчик решил прекратить полёт и идти на посадку. При пробеге самолёт скапотировал. Кстати, Моисеев вместе с Н.Г. Кастанаевым подняли в воздух первый ДБ-А. Лётчик-испытатель завода А.М. Осипов на Пе-2 (№9/90) садился на вынужденную из-за отказа выпуска шасси (6394).</w:t>
      </w:r>
    </w:p>
    <w:p w14:paraId="53803D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C0D92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мае 1942 г. на испытания в ЛИИ НКАП вышел самолет Пе-2 № 19/78, на котором был реализован первый этап улучшений (научный руководитель Г. С. Бюш - генс). Эта серийная машина, оснащенная моторами М-105РА с винтами ВИШ-61Б, при полетном весе 7650 кг показала тогда у земли максимальную скорость полета 424 км/ч, а на высоте 4650 м (вторая граница высотности двигателя) — 503 км/ч, то есть на 27 км/ч меньше принятого за эталон самолета № 10/35. Данное обстоятельство стало предметом пристального исследования, а в сентябре 1942 г. самолет № 19/78 испытали уже в несколько усовершенствованном виде. Изменения сводились к следующему: была улучшена подгонка щитков, капотов, лючков, сопряжений частей фюзеляжа, крыльевых зализов. Обеспечили лучшую герметизацию всего самолета, изменили форму тоннелей маслорадиаторов, установили всасывающие патрубки карбюраторов с улучшенной аэродинамической формой, а также выполнили ряд мероприятий по уменьшению сопротивления мелких деталей. Наконец, самолет заново окрасили. В результате внесения перечисленных выше усовершенствований максимальная скорость полета у земли возросла на 25 км/ч, а на второй границе высотности — на 28 км/ч. В марте 1943 г. этот же самолет был испытан в третий раз, причем на нем дополнительно сделали следующие изменения: установили индивидуальные реактивные выхлопные патрубки, а вместо жалюзи на входе тоннелей водорадиаторов — установили заслонки типа ЦАГИ, изменили форму входного отверстия тоннелей водорадиаторов, рамку антенны РПК-10 </w:t>
      </w:r>
      <w:r w:rsidRPr="008127F8">
        <w:rPr>
          <w:rFonts w:ascii="Times New Roman" w:hAnsi="Times New Roman"/>
          <w:color w:val="000000" w:themeColor="text1"/>
          <w:sz w:val="16"/>
          <w:szCs w:val="16"/>
        </w:rPr>
        <w:lastRenderedPageBreak/>
        <w:t>перенесли внутрь фанерного кока фюзеляжа. Крыло машины зашпаклевали и в третий раз окрасили. С такими улучшениями самолет добавил в скорости еще примерно 20 км/ч у земли (469 км/ч) и 16 км/ч на второй границе высотности (4650 м), перекрыв результат головного серийного Пе-2 на 7 км/ч. Полностью внедрить в серию все предложенные ЦАГИ изменения не удалось (да и не все они оправдали себя), однако часть улучшений была внедрена в производство с августа 1943 г. (главным образом, начиная с 205-й серии,). Помимо указанных выше изменений с того же времени на самолеты Пе-2 стали устанавливать обтекатели на тормозные решетки и новый однолопастный компенсатор турели ВУБ-1, а вот от шпатлевки крыла с целью улучшения качества поверхности пришлось отказаться — покрытие на тонкой металлической обшивке оказалось нестойким и начинало крошиться через 3—5 ч полета (19727).</w:t>
      </w:r>
    </w:p>
    <w:p w14:paraId="7656CE1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B2CE8A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у А.И. Путилова "дошли руки" до поэтапной реализации законсервированной идеи Пе-2 М-107. В течение лета разработали чертежи новой винтомоторной группы и договорились с руководством наркомата авиапромышленности о выделении дефицитных опытных моторов М-107, суливших солидный прирост скорости. Полномасштабную поддержку проект получил лишь осенью, когда Красная Армия с тяжелыми боями откатилась к Сталинграду. Руководство ВВС КА считало разработку машины крайне необходимой для достижения качественного превосходства над врагом и пыталось со своей стороны ее форсировать:</w:t>
      </w:r>
    </w:p>
    <w:p w14:paraId="04E60D3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"Старшему военпреду завода № 22 инженер-подполковнику Романову</w:t>
      </w:r>
    </w:p>
    <w:p w14:paraId="0896840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решением ГКО № 2346 от 25.9.42 г. директор завода № 22 В.А. Окулов и главный конструктор А.И. Путилов обязаны построить три модифицированных самолета Пе-2 с моторами M-I07 и закончить их летные испытания к 15 декабря 1942 г.</w:t>
      </w:r>
    </w:p>
    <w:p w14:paraId="1154A4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Обеспечьте решение ГКО.</w:t>
      </w:r>
    </w:p>
    <w:p w14:paraId="773BF63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Райинженер 1 отдела УЗСиМ ГУЗиТС ВВС КА инженер-майор М.А. Савкин" (12042).</w:t>
      </w:r>
    </w:p>
    <w:p w14:paraId="5261C4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C4A2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на завод № 124 пришел Акт из 9 ББАП по обнаружению в бензосистеме Пе-2 № 14/17 c двигателями М-105РА металлического шарика (положен умышленно) и, кроме того, факта отсоединения элеронной тяги, так как болт был поставлен без гайки.</w:t>
      </w:r>
    </w:p>
    <w:p w14:paraId="11A5A7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заводе непрерывно шла работа по устранению дефектов и улучшению характеристик, чему много сил отдавало ОКБ, которое с мая возглавлял Путилов, сменивший Изаксона, работавшего на этом посту после гибели Петлякова. Усиливалось бронирование экипажа (с 82-й серии), вводилось протектирование баков (со 103-й серии) и система отработанных газов в бензобаках. В мае предложено новое оружие - гранатница для поражения не только самолетов противника, но и его живой силы, а также тяжелые реактивные снаряды (6 штук калибра 132 мм) под фюзеляжем на замках наружной подвески. Кроме того, предлагались убирающиеся реактивные установки РС-82 для стрельбы вперед и назад, а также дистанционно управляемый 12,7 мм пулемет в хвостовом коке. Но на пути этих новшеств стояло одно препятствие, вернее один человек в лице слесаря по вооружению опытного цеха № 60. Ему, например, на изготовление опытной гранатницы понадобилось целых 3,5 месяца.</w:t>
      </w:r>
    </w:p>
    <w:p w14:paraId="1B1C7E3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самые большие претензии к Пе-2 были по части моторов. Уже к середине 1942 г. стало ясно, что моторы М-105Р не отвечают все возрастающим требованиям фронта. Об этом, например, пишет в июле на завод старший инженер-капитан 150 ББАП Авсеев. Хваля самолеты 84-88 серии, он пишет, что «матчасть действует безотказно, а единственный недостаток, это моторы, которых за два месяца заменено 14 штук». На заводе это прекрасно понимали. Делались попытки найти альтернативу моторам М-105 в виде более мощных двигателей М-82 и М-107. В июне поступил приказ испытать в июле первый Пе-2 № 15/95 с М-82 (пилот Пальчиков А.С.) и в августе Пе-2 с М-107. Но оказалось, что новые климовские двигатели в назначенный срок не поступили, а швецовские также капризничали, как и на соседнем по аэродрому ТБ-7. Поэтому полетов на этих моторах не было, а шла работа с модернизированными М-105Ф (с февраля) и М-105ПФ (с октября) (12049).</w:t>
      </w:r>
    </w:p>
    <w:p w14:paraId="2F22DC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7974E6"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на заводе № 39 в серию запустили истребитель Пе-3бис. В том же месяце из деталей, привезенных из Москвы, собрали еще 11 Пе-3 (15223).</w:t>
      </w:r>
    </w:p>
    <w:p w14:paraId="39868C66"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79C4ED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производство самолета ТБ-7 было восстановлено с выделением на заводе отдельного производства. При восстановлении производства самолета ТБ-7 в мае 1942 г. завод должен был выпускать по пять самолетов ежемесячно, однако это решение по существу выполнено не было. На протяжении всего времени производства этого самолета завод выпускал не более трех машин в месяц. Всего за годы войны здесь было выпущено 79 бомбардировщиков Пе-8 (11315).</w:t>
      </w:r>
    </w:p>
    <w:p w14:paraId="12DE469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479C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началось проектирование новой носовой установки Пе-8 по типу Ил-4. Прежняя, по типу СБ, совершенно не отвечала никаким требованиям, не говоря уже о стрелках, которые, скрючившись, должны были долгими часами ощущать все «прелести» ночного полета. Помимо нового вооружения, включавшего в себя 12,7 мм пулемет, на самолет установили новый бомбовый прицел, учитывающий собственную скорость самолета и скорость ветра. Этими работами руководил Поспелов, ставший в ОКБ Незваля одним из главных помощников Главного конструктора (12049).</w:t>
      </w:r>
    </w:p>
    <w:p w14:paraId="7A580F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550BF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три лучших Ту-2 из разных серий передали НИИ ВВС. Войсковые испытания разбивались на два этапа. На первом проверялись эксплуатационные характеристики бомбардировщика; он должен был проходить на аэродроме Чкаловская под Москвой. Машины перегоняли по воздуху. Вместе с ними из Омска прибыла бригада специалистов - конструкторов и ремонтников, во главе с Д.С. Марковым. Второй этап собирались проводить на фронте, выполняя различные боевые задания (11988).</w:t>
      </w:r>
    </w:p>
    <w:p w14:paraId="1CB7BE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0E0C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на заводе в Омске был построен натурный макет Ту-2 разведчика. В итоге в 2-й дальний разведывательный авиаполк (драп), дислоцировавшийся в подмосковном Монино, передали четыре Ту-2 в варианте бомбардировщика. Переоборудование их в разведчики было осуществлено специалистами передвижных авиаремонтных мастерских ВВС в Монино. При этом Ту-2 оснащались не только аэрофотокамерами, но и дополнительными топливными баками в грузовом отсеке.</w:t>
      </w:r>
    </w:p>
    <w:p w14:paraId="460B6F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машины свели в 1-ю авиаэскадрилью и в ноябре ее перебросили на аэродром Мигалово, откуда они начали разведывательные полеты в районе Демянска. Самолеты использовались по одиночке, сначала под прикрытием истребителей, а затем и без него.</w:t>
      </w:r>
    </w:p>
    <w:p w14:paraId="3FB4D3E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дополнение к этим машинам в начале 1943 года 2-й драп получил еще три Ту-2Р, построенных и оснащенных фотокамерами (без дополнительных топливных баков) в Омске.</w:t>
      </w:r>
    </w:p>
    <w:p w14:paraId="17316A5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Успехи полка были на лицо и в феврале 1943 года 2-й драп переименовали в 47-й гвардейский апдр, а через месяц 14 марта потеряли первый Ту-2. Произошло это под Старой Руссой, когда экипаж майора В.Ф. Столярова, выполнявший очередной боевой вылет, перехватила шестерка истребителей FW 190. Из экипажа спасся лишь штурман Хабеев (12035).</w:t>
      </w:r>
    </w:p>
    <w:p w14:paraId="5DC9019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4DE47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в Куломзино (г. Омск) прибыл летно-технический состав 132-го бап для переучивания с бомбардировщика СБ на Ту-2. В сентябре того же года первый полнокровный авиаполк Ту-2 под командованием майора А.С. Хлебникова вошел в состав 3-й воздушной армии, которой командовал М.М. Громов, и вылетел в Калинин (Тверь) на аэродром Мигалово.</w:t>
      </w:r>
    </w:p>
    <w:p w14:paraId="5E42FD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Почти одновременно со 132-м бап в Мигалово вылетели три Ту-2 с экипажами НИИ ВВС (ведущий инженер Н.И. Шауров) для проведения войсковых испытаний. 2 октября 1942 года начальник инспекции ВВС Красной Армии при заместителе наркома обороны СССР полковник В.И. Сталин докладывал наркому авиационной промышленности А.И. Шахурину:</w:t>
      </w:r>
    </w:p>
    <w:p w14:paraId="4AF5A8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18 сентября по 2 октября 1942 г. в 3-й Воздушной армии проведены войсковые испытания Ту-2. Полеты производились днем тремя самолетами с аэродрома Мигалово (Тверь. - Прим. авт.). Сделано 25 боевых вылетов с общим налетом 65 часов. Боевые вылеты выполнялись один раз в сутки. Радиус полета 180-500 км, высота 1600-4800 м, скорость по прибору 360-380 км/ч, бомбовая нагрузка 1000, 1500, 2000 кг (в зависимости от характера цели). За период полетов сброшено: ФАБ-1000 - 15 шт., ФАБ-500 - 4 шт., ФАБ-250 - 64 шт., ФАБ-100 60 шт. и ЗАБ-100 - 9 шт.</w:t>
      </w:r>
    </w:p>
    <w:p w14:paraId="4D4FA6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процессе полетов встреч с истребителями противника не было. Обстрелу ЗА (зенитной артиллерии - прим. авт.) подвергались почти в каждом полете. Самолеты имеют несколько пробоин и был случай вывода из строя мотора, летчик пришел на одном моторе и нормально произвел посадку.</w:t>
      </w:r>
    </w:p>
    <w:p w14:paraId="03C2AD8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Летный состав о самолете отзывается хорошо. По сравнению с Пе-2 Ту-2 имеет ряд положительных качеств. Основные из них следующие:</w:t>
      </w:r>
    </w:p>
    <w:p w14:paraId="5E88FE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Увеличена бомбовая нагрузка, за счет горючего он может брать до 3000 кг.</w:t>
      </w:r>
    </w:p>
    <w:p w14:paraId="48A871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Хорошее вооружение: имеет - две пушки, пару БС и три LLIKAC.</w:t>
      </w:r>
    </w:p>
    <w:p w14:paraId="011776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Скорость горизонтального полета больше, чем у самолета Пе-2, примерно на 100 км (470-480 км/ч по прибору на высоте 800-1000 м).</w:t>
      </w:r>
    </w:p>
    <w:p w14:paraId="7C3913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Самолет хорошо управляем, прост в технике пилотирования.</w:t>
      </w:r>
    </w:p>
    <w:p w14:paraId="34BD16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Легко пилотируется с одним неработающим мотором.</w:t>
      </w:r>
    </w:p>
    <w:p w14:paraId="552191E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На посадке допускает несколько высокое выравнивание и не валится на крыло как Пе-2.</w:t>
      </w:r>
    </w:p>
    <w:p w14:paraId="03E7A21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Недостатком Ту-2 является.</w:t>
      </w:r>
    </w:p>
    <w:p w14:paraId="6842FF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Трудность хождения в строю по причине тугого хода секторов газа (причина неустранима до смены карбюраторов на этом моторе).</w:t>
      </w:r>
    </w:p>
    <w:p w14:paraId="6D5BA6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После каждого полета на самолете обнаруживались неисправности, особенно в гидро- и маслосистеме, повторных вылетов не производилось.</w:t>
      </w:r>
    </w:p>
    <w:p w14:paraId="7006A6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Для эксплуатации Ту-2 требуется аэродром больших размеров, так как разбег при взлете с бомбовой нагрузкой в 2000 кг достигает 1100 м и пробег - в пределах 600-700 м.</w:t>
      </w:r>
    </w:p>
    <w:p w14:paraId="4A32D77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полетов по проведению войсковых испытаний привлекались экипажи из НИИ ВВС КА. Капитан Чернышенко - выполнил шесть боевых вылетов и экипажи 128-</w:t>
      </w:r>
      <w:r w:rsidRPr="008127F8">
        <w:rPr>
          <w:rFonts w:ascii="Times New Roman" w:hAnsi="Times New Roman"/>
          <w:color w:val="000000" w:themeColor="text1"/>
          <w:sz w:val="16"/>
          <w:szCs w:val="16"/>
        </w:rPr>
        <w:lastRenderedPageBreak/>
        <w:t>го бап (базировавшегося на аэродроме Мигалово. - Прим.авт.), которые выполнили: майор Лаухин - два боевых вылета, старший лейтенант Свиридов - семь, старший лейтенант Паршин - три, и лейтенант Мусин- ский - семь боевых вылетов" (12035).</w:t>
      </w:r>
    </w:p>
    <w:p w14:paraId="1B8193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F24B5C" w14:textId="77777777" w:rsidR="007C5583" w:rsidRPr="008127F8" w:rsidRDefault="007C5583" w:rsidP="007C5583">
      <w:pPr>
        <w:spacing w:after="0" w:line="240" w:lineRule="auto"/>
        <w:jc w:val="both"/>
        <w:rPr>
          <w:rFonts w:ascii="Times New Roman" w:hAnsi="Times New Roman"/>
          <w:color w:val="000000" w:themeColor="text1"/>
          <w:sz w:val="16"/>
          <w:szCs w:val="16"/>
          <w:lang w:eastAsia="ru-RU" w:bidi="ru-RU"/>
        </w:rPr>
      </w:pPr>
      <w:r w:rsidRPr="008127F8">
        <w:rPr>
          <w:rFonts w:ascii="Times New Roman" w:hAnsi="Times New Roman"/>
          <w:color w:val="000000" w:themeColor="text1"/>
          <w:sz w:val="16"/>
          <w:szCs w:val="16"/>
          <w:lang w:eastAsia="ru-RU" w:bidi="ru-RU"/>
        </w:rPr>
        <w:t>В мае 1942 г. три лучших Ту-2 завода 166 из разных серий передали НИИ ВВС. По-видимому, обстановка военного времени вынудила нарушить традици</w:t>
      </w:r>
      <w:r w:rsidRPr="008127F8">
        <w:rPr>
          <w:rFonts w:ascii="Times New Roman" w:hAnsi="Times New Roman"/>
          <w:color w:val="000000" w:themeColor="text1"/>
          <w:sz w:val="16"/>
          <w:szCs w:val="16"/>
          <w:lang w:eastAsia="ru-RU" w:bidi="ru-RU"/>
        </w:rPr>
        <w:softHyphen/>
        <w:t>онный порядок. Головной серийный са</w:t>
      </w:r>
      <w:r w:rsidRPr="008127F8">
        <w:rPr>
          <w:rFonts w:ascii="Times New Roman" w:hAnsi="Times New Roman"/>
          <w:color w:val="000000" w:themeColor="text1"/>
          <w:sz w:val="16"/>
          <w:szCs w:val="16"/>
          <w:lang w:eastAsia="ru-RU" w:bidi="ru-RU"/>
        </w:rPr>
        <w:softHyphen/>
        <w:t>молет завод в НИИ ВВС не представ</w:t>
      </w:r>
      <w:r w:rsidRPr="008127F8">
        <w:rPr>
          <w:rFonts w:ascii="Times New Roman" w:hAnsi="Times New Roman"/>
          <w:color w:val="000000" w:themeColor="text1"/>
          <w:sz w:val="16"/>
          <w:szCs w:val="16"/>
          <w:lang w:eastAsia="ru-RU" w:bidi="ru-RU"/>
        </w:rPr>
        <w:softHyphen/>
        <w:t>лял. Начали сразу с войсковых испы</w:t>
      </w:r>
      <w:r w:rsidRPr="008127F8">
        <w:rPr>
          <w:rFonts w:ascii="Times New Roman" w:hAnsi="Times New Roman"/>
          <w:color w:val="000000" w:themeColor="text1"/>
          <w:sz w:val="16"/>
          <w:szCs w:val="16"/>
          <w:lang w:eastAsia="ru-RU" w:bidi="ru-RU"/>
        </w:rPr>
        <w:softHyphen/>
        <w:t>таний.</w:t>
      </w:r>
    </w:p>
    <w:p w14:paraId="6E41DDC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Вой</w:t>
      </w:r>
      <w:r w:rsidRPr="008127F8">
        <w:rPr>
          <w:rFonts w:ascii="Times New Roman" w:hAnsi="Times New Roman"/>
          <w:color w:val="000000" w:themeColor="text1"/>
          <w:sz w:val="16"/>
          <w:szCs w:val="16"/>
          <w:lang w:eastAsia="ru-RU" w:bidi="ru-RU"/>
        </w:rPr>
        <w:softHyphen/>
        <w:t>сковые испытания разбивались на два этапа. На первом проверялись эксплуа</w:t>
      </w:r>
      <w:r w:rsidRPr="008127F8">
        <w:rPr>
          <w:rFonts w:ascii="Times New Roman" w:hAnsi="Times New Roman"/>
          <w:color w:val="000000" w:themeColor="text1"/>
          <w:sz w:val="16"/>
          <w:szCs w:val="16"/>
          <w:lang w:eastAsia="ru-RU" w:bidi="ru-RU"/>
        </w:rPr>
        <w:softHyphen/>
        <w:t>тационные характеристики бомбарди</w:t>
      </w:r>
      <w:r w:rsidRPr="008127F8">
        <w:rPr>
          <w:rFonts w:ascii="Times New Roman" w:hAnsi="Times New Roman"/>
          <w:color w:val="000000" w:themeColor="text1"/>
          <w:sz w:val="16"/>
          <w:szCs w:val="16"/>
          <w:lang w:eastAsia="ru-RU" w:bidi="ru-RU"/>
        </w:rPr>
        <w:softHyphen/>
        <w:t>ровщика; он должен был проходить на аэродроме Чкаловская под Москвой. Ма</w:t>
      </w:r>
      <w:r w:rsidRPr="008127F8">
        <w:rPr>
          <w:rFonts w:ascii="Times New Roman" w:hAnsi="Times New Roman"/>
          <w:color w:val="000000" w:themeColor="text1"/>
          <w:sz w:val="16"/>
          <w:szCs w:val="16"/>
          <w:lang w:eastAsia="ru-RU" w:bidi="ru-RU"/>
        </w:rPr>
        <w:softHyphen/>
        <w:t>шины перегоняли по воздуху. Вместе с ними из Омска прибыла бригада специ</w:t>
      </w:r>
      <w:r w:rsidRPr="008127F8">
        <w:rPr>
          <w:rFonts w:ascii="Times New Roman" w:hAnsi="Times New Roman"/>
          <w:color w:val="000000" w:themeColor="text1"/>
          <w:sz w:val="16"/>
          <w:szCs w:val="16"/>
          <w:lang w:eastAsia="ru-RU" w:bidi="ru-RU"/>
        </w:rPr>
        <w:softHyphen/>
        <w:t>алистов - конструкторов и ремонтников, во главе с Д.С. Марковым. Второй этап собирались проводить на фронте, вы</w:t>
      </w:r>
      <w:r w:rsidRPr="008127F8">
        <w:rPr>
          <w:rFonts w:ascii="Times New Roman" w:hAnsi="Times New Roman"/>
          <w:color w:val="000000" w:themeColor="text1"/>
          <w:sz w:val="16"/>
          <w:szCs w:val="16"/>
          <w:lang w:eastAsia="ru-RU" w:bidi="ru-RU"/>
        </w:rPr>
        <w:softHyphen/>
        <w:t>полняя различные боевые задания.</w:t>
      </w:r>
    </w:p>
    <w:p w14:paraId="6FE57DC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Но начало первого этапа оказалось не совсем удачным. К полетам присту</w:t>
      </w:r>
      <w:r w:rsidRPr="008127F8">
        <w:rPr>
          <w:rFonts w:ascii="Times New Roman" w:hAnsi="Times New Roman"/>
          <w:color w:val="000000" w:themeColor="text1"/>
          <w:sz w:val="16"/>
          <w:szCs w:val="16"/>
          <w:lang w:eastAsia="ru-RU" w:bidi="ru-RU"/>
        </w:rPr>
        <w:softHyphen/>
        <w:t>пили 17 мая, а уже 23 мая самолет, пило</w:t>
      </w:r>
      <w:r w:rsidRPr="008127F8">
        <w:rPr>
          <w:rFonts w:ascii="Times New Roman" w:hAnsi="Times New Roman"/>
          <w:color w:val="000000" w:themeColor="text1"/>
          <w:sz w:val="16"/>
          <w:szCs w:val="16"/>
          <w:lang w:eastAsia="ru-RU" w:bidi="ru-RU"/>
        </w:rPr>
        <w:softHyphen/>
        <w:t>тируемый лейтенантом Майоровым, по</w:t>
      </w:r>
      <w:r w:rsidRPr="008127F8">
        <w:rPr>
          <w:rFonts w:ascii="Times New Roman" w:hAnsi="Times New Roman"/>
          <w:color w:val="000000" w:themeColor="text1"/>
          <w:sz w:val="16"/>
          <w:szCs w:val="16"/>
          <w:lang w:eastAsia="ru-RU" w:bidi="ru-RU"/>
        </w:rPr>
        <w:softHyphen/>
        <w:t>терпел аварию на посадке. Машину нео</w:t>
      </w:r>
      <w:r w:rsidRPr="008127F8">
        <w:rPr>
          <w:rFonts w:ascii="Times New Roman" w:hAnsi="Times New Roman"/>
          <w:color w:val="000000" w:themeColor="text1"/>
          <w:sz w:val="16"/>
          <w:szCs w:val="16"/>
          <w:lang w:eastAsia="ru-RU" w:bidi="ru-RU"/>
        </w:rPr>
        <w:softHyphen/>
        <w:t>жиданно развернуло на пробеге. Спустя три дня, 26 мая, произошла катастрофа со вторым бомбардировщиком, на кото</w:t>
      </w:r>
      <w:r w:rsidRPr="008127F8">
        <w:rPr>
          <w:rFonts w:ascii="Times New Roman" w:hAnsi="Times New Roman"/>
          <w:color w:val="000000" w:themeColor="text1"/>
          <w:sz w:val="16"/>
          <w:szCs w:val="16"/>
          <w:lang w:eastAsia="ru-RU" w:bidi="ru-RU"/>
        </w:rPr>
        <w:softHyphen/>
        <w:t>ром летел экипаж пилота Ищенко. Спасся только стрелок, получивший тяжелые ра</w:t>
      </w:r>
      <w:r w:rsidRPr="008127F8">
        <w:rPr>
          <w:rFonts w:ascii="Times New Roman" w:hAnsi="Times New Roman"/>
          <w:color w:val="000000" w:themeColor="text1"/>
          <w:sz w:val="16"/>
          <w:szCs w:val="16"/>
          <w:lang w:eastAsia="ru-RU" w:bidi="ru-RU"/>
        </w:rPr>
        <w:softHyphen/>
        <w:t>нения. Комиссия не смогла определить причины трагедии. Существовало две вер</w:t>
      </w:r>
      <w:r w:rsidRPr="008127F8">
        <w:rPr>
          <w:rFonts w:ascii="Times New Roman" w:hAnsi="Times New Roman"/>
          <w:color w:val="000000" w:themeColor="text1"/>
          <w:sz w:val="16"/>
          <w:szCs w:val="16"/>
          <w:lang w:eastAsia="ru-RU" w:bidi="ru-RU"/>
        </w:rPr>
        <w:softHyphen/>
        <w:t>сии: ошибка летчика или неожиданный отказ левого мотора. Осталась одна ма</w:t>
      </w:r>
      <w:r w:rsidRPr="008127F8">
        <w:rPr>
          <w:rFonts w:ascii="Times New Roman" w:hAnsi="Times New Roman"/>
          <w:color w:val="000000" w:themeColor="text1"/>
          <w:sz w:val="16"/>
          <w:szCs w:val="16"/>
          <w:lang w:eastAsia="ru-RU" w:bidi="ru-RU"/>
        </w:rPr>
        <w:softHyphen/>
        <w:t>шина, третья.</w:t>
      </w:r>
    </w:p>
    <w:p w14:paraId="5216D93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Фактически на нее пришелся весь объем испытаний. В ходе полетов вы</w:t>
      </w:r>
      <w:r w:rsidRPr="008127F8">
        <w:rPr>
          <w:rFonts w:ascii="Times New Roman" w:hAnsi="Times New Roman"/>
          <w:color w:val="000000" w:themeColor="text1"/>
          <w:sz w:val="16"/>
          <w:szCs w:val="16"/>
          <w:lang w:eastAsia="ru-RU" w:bidi="ru-RU"/>
        </w:rPr>
        <w:softHyphen/>
        <w:t>яснилось, что на больших высотах ско</w:t>
      </w:r>
      <w:r w:rsidRPr="008127F8">
        <w:rPr>
          <w:rFonts w:ascii="Times New Roman" w:hAnsi="Times New Roman"/>
          <w:color w:val="000000" w:themeColor="text1"/>
          <w:sz w:val="16"/>
          <w:szCs w:val="16"/>
          <w:lang w:eastAsia="ru-RU" w:bidi="ru-RU"/>
        </w:rPr>
        <w:softHyphen/>
        <w:t>рость по непонятной причине резко па</w:t>
      </w:r>
      <w:r w:rsidRPr="008127F8">
        <w:rPr>
          <w:rFonts w:ascii="Times New Roman" w:hAnsi="Times New Roman"/>
          <w:color w:val="000000" w:themeColor="text1"/>
          <w:sz w:val="16"/>
          <w:szCs w:val="16"/>
          <w:lang w:eastAsia="ru-RU" w:bidi="ru-RU"/>
        </w:rPr>
        <w:softHyphen/>
        <w:t>дает. Оказалось, что моторы М-82 недо</w:t>
      </w:r>
      <w:r w:rsidRPr="008127F8">
        <w:rPr>
          <w:rFonts w:ascii="Times New Roman" w:hAnsi="Times New Roman"/>
          <w:color w:val="000000" w:themeColor="text1"/>
          <w:sz w:val="16"/>
          <w:szCs w:val="16"/>
          <w:lang w:eastAsia="ru-RU" w:bidi="ru-RU"/>
        </w:rPr>
        <w:softHyphen/>
        <w:t>дают мощность выше второй границы высотности, когда нагнетатель переклю</w:t>
      </w:r>
      <w:r w:rsidRPr="008127F8">
        <w:rPr>
          <w:rFonts w:ascii="Times New Roman" w:hAnsi="Times New Roman"/>
          <w:color w:val="000000" w:themeColor="text1"/>
          <w:sz w:val="16"/>
          <w:szCs w:val="16"/>
          <w:lang w:eastAsia="ru-RU" w:bidi="ru-RU"/>
        </w:rPr>
        <w:softHyphen/>
        <w:t>чался на вторую скорость. Но причина крылась не в нагнетателе, а в магнето БСМ-14. Это стало ясно, когда его опро</w:t>
      </w:r>
      <w:r w:rsidRPr="008127F8">
        <w:rPr>
          <w:rFonts w:ascii="Times New Roman" w:hAnsi="Times New Roman"/>
          <w:color w:val="000000" w:themeColor="text1"/>
          <w:sz w:val="16"/>
          <w:szCs w:val="16"/>
          <w:lang w:eastAsia="ru-RU" w:bidi="ru-RU"/>
        </w:rPr>
        <w:softHyphen/>
        <w:t>бовали в барокамере. Хорошо работая при нормальном давлении, в разрежен</w:t>
      </w:r>
      <w:r w:rsidRPr="008127F8">
        <w:rPr>
          <w:rFonts w:ascii="Times New Roman" w:hAnsi="Times New Roman"/>
          <w:color w:val="000000" w:themeColor="text1"/>
          <w:sz w:val="16"/>
          <w:szCs w:val="16"/>
          <w:lang w:eastAsia="ru-RU" w:bidi="ru-RU"/>
        </w:rPr>
        <w:softHyphen/>
        <w:t>ном воздухе оно начинало сбоить. В по</w:t>
      </w:r>
      <w:r w:rsidRPr="008127F8">
        <w:rPr>
          <w:rFonts w:ascii="Times New Roman" w:hAnsi="Times New Roman"/>
          <w:color w:val="000000" w:themeColor="text1"/>
          <w:sz w:val="16"/>
          <w:szCs w:val="16"/>
          <w:lang w:eastAsia="ru-RU" w:bidi="ru-RU"/>
        </w:rPr>
        <w:softHyphen/>
        <w:t>лете это вызывало тряску двигателей. В Военно-воздушной академии им. Жу</w:t>
      </w:r>
      <w:r w:rsidRPr="008127F8">
        <w:rPr>
          <w:rFonts w:ascii="Times New Roman" w:hAnsi="Times New Roman"/>
          <w:color w:val="000000" w:themeColor="text1"/>
          <w:sz w:val="16"/>
          <w:szCs w:val="16"/>
          <w:lang w:eastAsia="ru-RU" w:bidi="ru-RU"/>
        </w:rPr>
        <w:softHyphen/>
        <w:t>ковского под руководством профессора В.С. Кулебакина спешно создали новую модификацию - БСМ-14В, запущенную в серийное производство, но это прои</w:t>
      </w:r>
      <w:r w:rsidRPr="008127F8">
        <w:rPr>
          <w:rFonts w:ascii="Times New Roman" w:hAnsi="Times New Roman"/>
          <w:color w:val="000000" w:themeColor="text1"/>
          <w:sz w:val="16"/>
          <w:szCs w:val="16"/>
          <w:lang w:eastAsia="ru-RU" w:bidi="ru-RU"/>
        </w:rPr>
        <w:softHyphen/>
        <w:t>зошло уже после завершения первого этапа войсковых испытаний Ту-2.</w:t>
      </w:r>
    </w:p>
    <w:p w14:paraId="5196F28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Полеты прекратили в конце июля 1942 г., а итоговый отчет был утвержден 22 августа. Выводы испытателей в целом были одобрительными. В заключении от</w:t>
      </w:r>
      <w:r w:rsidRPr="008127F8">
        <w:rPr>
          <w:rFonts w:ascii="Times New Roman" w:hAnsi="Times New Roman"/>
          <w:color w:val="000000" w:themeColor="text1"/>
          <w:sz w:val="16"/>
          <w:szCs w:val="16"/>
          <w:lang w:eastAsia="ru-RU" w:bidi="ru-RU"/>
        </w:rPr>
        <w:softHyphen/>
        <w:t>чета записали: «Серийные самолеты Ту-2 постройки завода №166 по своим лет</w:t>
      </w:r>
      <w:r w:rsidRPr="008127F8">
        <w:rPr>
          <w:rFonts w:ascii="Times New Roman" w:hAnsi="Times New Roman"/>
          <w:color w:val="000000" w:themeColor="text1"/>
          <w:sz w:val="16"/>
          <w:szCs w:val="16"/>
          <w:lang w:eastAsia="ru-RU" w:bidi="ru-RU"/>
        </w:rPr>
        <w:softHyphen/>
        <w:t>ным свойствам, надежности работы мото</w:t>
      </w:r>
      <w:r w:rsidRPr="008127F8">
        <w:rPr>
          <w:rFonts w:ascii="Times New Roman" w:hAnsi="Times New Roman"/>
          <w:color w:val="000000" w:themeColor="text1"/>
          <w:sz w:val="16"/>
          <w:szCs w:val="16"/>
          <w:lang w:eastAsia="ru-RU" w:bidi="ru-RU"/>
        </w:rPr>
        <w:softHyphen/>
        <w:t>ров и вооружению могут быть использо</w:t>
      </w:r>
      <w:r w:rsidRPr="008127F8">
        <w:rPr>
          <w:rFonts w:ascii="Times New Roman" w:hAnsi="Times New Roman"/>
          <w:color w:val="000000" w:themeColor="text1"/>
          <w:sz w:val="16"/>
          <w:szCs w:val="16"/>
          <w:lang w:eastAsia="ru-RU" w:bidi="ru-RU"/>
        </w:rPr>
        <w:softHyphen/>
        <w:t>ваны в боевой работе...» Но вместе с тем высоту полета ограничили 5000 м (до ко</w:t>
      </w:r>
      <w:r w:rsidRPr="008127F8">
        <w:rPr>
          <w:rFonts w:ascii="Times New Roman" w:hAnsi="Times New Roman"/>
          <w:color w:val="000000" w:themeColor="text1"/>
          <w:sz w:val="16"/>
          <w:szCs w:val="16"/>
          <w:lang w:eastAsia="ru-RU" w:bidi="ru-RU"/>
        </w:rPr>
        <w:softHyphen/>
        <w:t>торой нормально работало БСМ-14). Ис</w:t>
      </w:r>
      <w:r w:rsidRPr="008127F8">
        <w:rPr>
          <w:rFonts w:ascii="Times New Roman" w:hAnsi="Times New Roman"/>
          <w:color w:val="000000" w:themeColor="text1"/>
          <w:sz w:val="16"/>
          <w:szCs w:val="16"/>
          <w:lang w:eastAsia="ru-RU" w:bidi="ru-RU"/>
        </w:rPr>
        <w:softHyphen/>
        <w:t>пользованию самолета в качестве пики</w:t>
      </w:r>
      <w:r w:rsidRPr="008127F8">
        <w:rPr>
          <w:rFonts w:ascii="Times New Roman" w:hAnsi="Times New Roman"/>
          <w:color w:val="000000" w:themeColor="text1"/>
          <w:sz w:val="16"/>
          <w:szCs w:val="16"/>
          <w:lang w:eastAsia="ru-RU" w:bidi="ru-RU"/>
        </w:rPr>
        <w:softHyphen/>
        <w:t>ровщика препятствовала перераскрутка винтов. Рекомендовали доработать не</w:t>
      </w:r>
      <w:r w:rsidRPr="008127F8">
        <w:rPr>
          <w:rFonts w:ascii="Times New Roman" w:hAnsi="Times New Roman"/>
          <w:color w:val="000000" w:themeColor="text1"/>
          <w:sz w:val="16"/>
          <w:szCs w:val="16"/>
          <w:lang w:eastAsia="ru-RU" w:bidi="ru-RU"/>
        </w:rPr>
        <w:softHyphen/>
        <w:t>надежные тормоза колес, а также уси</w:t>
      </w:r>
      <w:r w:rsidRPr="008127F8">
        <w:rPr>
          <w:rFonts w:ascii="Times New Roman" w:hAnsi="Times New Roman"/>
          <w:color w:val="000000" w:themeColor="text1"/>
          <w:sz w:val="16"/>
          <w:szCs w:val="16"/>
          <w:lang w:eastAsia="ru-RU" w:bidi="ru-RU"/>
        </w:rPr>
        <w:softHyphen/>
        <w:t>лить оборонительное вооружение. Дело в том, что огневая мощь пулеметов ШКАС уже считалась недостаточной. На пики</w:t>
      </w:r>
      <w:r w:rsidRPr="008127F8">
        <w:rPr>
          <w:rFonts w:ascii="Times New Roman" w:hAnsi="Times New Roman"/>
          <w:color w:val="000000" w:themeColor="text1"/>
          <w:sz w:val="16"/>
          <w:szCs w:val="16"/>
          <w:lang w:eastAsia="ru-RU" w:bidi="ru-RU"/>
        </w:rPr>
        <w:softHyphen/>
        <w:t>рующем бомбардировщике Пе-2 еще ле</w:t>
      </w:r>
      <w:r w:rsidRPr="008127F8">
        <w:rPr>
          <w:rFonts w:ascii="Times New Roman" w:hAnsi="Times New Roman"/>
          <w:color w:val="000000" w:themeColor="text1"/>
          <w:sz w:val="16"/>
          <w:szCs w:val="16"/>
          <w:lang w:eastAsia="ru-RU" w:bidi="ru-RU"/>
        </w:rPr>
        <w:softHyphen/>
        <w:t>том 1941 г. смонтировали два 12,7-мм пу</w:t>
      </w:r>
      <w:r w:rsidRPr="008127F8">
        <w:rPr>
          <w:rFonts w:ascii="Times New Roman" w:hAnsi="Times New Roman"/>
          <w:color w:val="000000" w:themeColor="text1"/>
          <w:sz w:val="16"/>
          <w:szCs w:val="16"/>
          <w:lang w:eastAsia="ru-RU" w:bidi="ru-RU"/>
        </w:rPr>
        <w:softHyphen/>
        <w:t>лемета - один неподвижный в носу фю</w:t>
      </w:r>
      <w:r w:rsidRPr="008127F8">
        <w:rPr>
          <w:rFonts w:ascii="Times New Roman" w:hAnsi="Times New Roman"/>
          <w:color w:val="000000" w:themeColor="text1"/>
          <w:sz w:val="16"/>
          <w:szCs w:val="16"/>
          <w:lang w:eastAsia="ru-RU" w:bidi="ru-RU"/>
        </w:rPr>
        <w:softHyphen/>
        <w:t>зеляжа, а второй - в люковой установке, стрелявшей вниз-назад. Позже к ним до</w:t>
      </w:r>
      <w:r w:rsidRPr="008127F8">
        <w:rPr>
          <w:rFonts w:ascii="Times New Roman" w:hAnsi="Times New Roman"/>
          <w:color w:val="000000" w:themeColor="text1"/>
          <w:sz w:val="16"/>
          <w:szCs w:val="16"/>
          <w:lang w:eastAsia="ru-RU" w:bidi="ru-RU"/>
        </w:rPr>
        <w:softHyphen/>
        <w:t>бавили еще один крупнокалиберный пу</w:t>
      </w:r>
      <w:r w:rsidRPr="008127F8">
        <w:rPr>
          <w:rFonts w:ascii="Times New Roman" w:hAnsi="Times New Roman"/>
          <w:color w:val="000000" w:themeColor="text1"/>
          <w:sz w:val="16"/>
          <w:szCs w:val="16"/>
          <w:lang w:eastAsia="ru-RU" w:bidi="ru-RU"/>
        </w:rPr>
        <w:softHyphen/>
        <w:t>лемет у штурмана и бортовой ШКАС у стрелка-радиста. Новое вооружение весьма эффективно использовалось на фронте, не позволяя немецким истреби</w:t>
      </w:r>
      <w:r w:rsidRPr="008127F8">
        <w:rPr>
          <w:rFonts w:ascii="Times New Roman" w:hAnsi="Times New Roman"/>
          <w:color w:val="000000" w:themeColor="text1"/>
          <w:sz w:val="16"/>
          <w:szCs w:val="16"/>
          <w:lang w:eastAsia="ru-RU" w:bidi="ru-RU"/>
        </w:rPr>
        <w:softHyphen/>
        <w:t>телям близко подходить к бомбардиров</w:t>
      </w:r>
      <w:r w:rsidRPr="008127F8">
        <w:rPr>
          <w:rFonts w:ascii="Times New Roman" w:hAnsi="Times New Roman"/>
          <w:color w:val="000000" w:themeColor="text1"/>
          <w:sz w:val="16"/>
          <w:szCs w:val="16"/>
          <w:lang w:eastAsia="ru-RU" w:bidi="ru-RU"/>
        </w:rPr>
        <w:softHyphen/>
        <w:t>щику. Усиление неподвижного вооруже</w:t>
      </w:r>
      <w:r w:rsidRPr="008127F8">
        <w:rPr>
          <w:rFonts w:ascii="Times New Roman" w:hAnsi="Times New Roman"/>
          <w:color w:val="000000" w:themeColor="text1"/>
          <w:sz w:val="16"/>
          <w:szCs w:val="16"/>
          <w:lang w:eastAsia="ru-RU" w:bidi="ru-RU"/>
        </w:rPr>
        <w:softHyphen/>
        <w:t>ния Ту-2 не требовалось: по секундному залпу он значительно превосходил Пе-2. Поэтому специалисты НИИ ВВС рекомен</w:t>
      </w:r>
      <w:r w:rsidRPr="008127F8">
        <w:rPr>
          <w:rFonts w:ascii="Times New Roman" w:hAnsi="Times New Roman"/>
          <w:color w:val="000000" w:themeColor="text1"/>
          <w:sz w:val="16"/>
          <w:szCs w:val="16"/>
          <w:lang w:eastAsia="ru-RU" w:bidi="ru-RU"/>
        </w:rPr>
        <w:softHyphen/>
        <w:t>довали поставить 12,7-мм пулеметы УБТ на обеих верхних установках - у штур</w:t>
      </w:r>
      <w:r w:rsidRPr="008127F8">
        <w:rPr>
          <w:rFonts w:ascii="Times New Roman" w:hAnsi="Times New Roman"/>
          <w:color w:val="000000" w:themeColor="text1"/>
          <w:sz w:val="16"/>
          <w:szCs w:val="16"/>
          <w:lang w:eastAsia="ru-RU" w:bidi="ru-RU"/>
        </w:rPr>
        <w:softHyphen/>
        <w:t>мана и стрелка-радиста.</w:t>
      </w:r>
    </w:p>
    <w:p w14:paraId="26E435E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Недостатки тормозной системы не</w:t>
      </w:r>
      <w:r w:rsidRPr="008127F8">
        <w:rPr>
          <w:rFonts w:ascii="Times New Roman" w:hAnsi="Times New Roman"/>
          <w:color w:val="000000" w:themeColor="text1"/>
          <w:sz w:val="16"/>
          <w:szCs w:val="16"/>
          <w:lang w:eastAsia="ru-RU" w:bidi="ru-RU"/>
        </w:rPr>
        <w:softHyphen/>
        <w:t>однократно приводили к неуправляе</w:t>
      </w:r>
      <w:r w:rsidRPr="008127F8">
        <w:rPr>
          <w:rFonts w:ascii="Times New Roman" w:hAnsi="Times New Roman"/>
          <w:color w:val="000000" w:themeColor="text1"/>
          <w:sz w:val="16"/>
          <w:szCs w:val="16"/>
          <w:lang w:eastAsia="ru-RU" w:bidi="ru-RU"/>
        </w:rPr>
        <w:softHyphen/>
        <w:t>мому развороту на посадке. Так, при сдаточных испытаниях два раза под</w:t>
      </w:r>
      <w:r w:rsidRPr="008127F8">
        <w:rPr>
          <w:rFonts w:ascii="Times New Roman" w:hAnsi="Times New Roman"/>
          <w:color w:val="000000" w:themeColor="text1"/>
          <w:sz w:val="16"/>
          <w:szCs w:val="16"/>
          <w:lang w:eastAsia="ru-RU" w:bidi="ru-RU"/>
        </w:rPr>
        <w:softHyphen/>
        <w:t>ряд, 7 и 16 июля, потерпели аварии но</w:t>
      </w:r>
      <w:r w:rsidRPr="008127F8">
        <w:rPr>
          <w:rFonts w:ascii="Times New Roman" w:hAnsi="Times New Roman"/>
          <w:color w:val="000000" w:themeColor="text1"/>
          <w:sz w:val="16"/>
          <w:szCs w:val="16"/>
          <w:lang w:eastAsia="ru-RU" w:bidi="ru-RU"/>
        </w:rPr>
        <w:softHyphen/>
        <w:t>венькие бомбардировщики. Экипажи (летчиков Котякова и Бакина) не постра</w:t>
      </w:r>
      <w:r w:rsidRPr="008127F8">
        <w:rPr>
          <w:rFonts w:ascii="Times New Roman" w:hAnsi="Times New Roman"/>
          <w:color w:val="000000" w:themeColor="text1"/>
          <w:sz w:val="16"/>
          <w:szCs w:val="16"/>
          <w:lang w:eastAsia="ru-RU" w:bidi="ru-RU"/>
        </w:rPr>
        <w:softHyphen/>
        <w:t>дали. Например, у майора В.Д. Бакина машину №100303 вывернуло вправо, что привело к поломке стойки шасси. Бы</w:t>
      </w:r>
      <w:r w:rsidRPr="008127F8">
        <w:rPr>
          <w:rFonts w:ascii="Times New Roman" w:hAnsi="Times New Roman"/>
          <w:color w:val="000000" w:themeColor="text1"/>
          <w:sz w:val="16"/>
          <w:szCs w:val="16"/>
          <w:lang w:eastAsia="ru-RU" w:bidi="ru-RU"/>
        </w:rPr>
        <w:softHyphen/>
        <w:t>вали случаи, когда бомбардировщик де</w:t>
      </w:r>
      <w:r w:rsidRPr="008127F8">
        <w:rPr>
          <w:rFonts w:ascii="Times New Roman" w:hAnsi="Times New Roman"/>
          <w:color w:val="000000" w:themeColor="text1"/>
          <w:sz w:val="16"/>
          <w:szCs w:val="16"/>
          <w:lang w:eastAsia="ru-RU" w:bidi="ru-RU"/>
        </w:rPr>
        <w:softHyphen/>
        <w:t>лал на поле до двух кругов и оставался цел. Но чаще ломали шасси, винты, за- концовки крыла, мяли мотогондолы. Са</w:t>
      </w:r>
      <w:r w:rsidRPr="008127F8">
        <w:rPr>
          <w:rFonts w:ascii="Times New Roman" w:hAnsi="Times New Roman"/>
          <w:color w:val="000000" w:themeColor="text1"/>
          <w:sz w:val="16"/>
          <w:szCs w:val="16"/>
          <w:lang w:eastAsia="ru-RU" w:bidi="ru-RU"/>
        </w:rPr>
        <w:softHyphen/>
        <w:t>молет летчика Полевого после посадки с разворотом вспыхнул; экипаж успел выбраться и отбежать.</w:t>
      </w:r>
    </w:p>
    <w:p w14:paraId="1BF4FCF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Дефекты серийных Ту-2 вызвали рас</w:t>
      </w:r>
      <w:r w:rsidRPr="008127F8">
        <w:rPr>
          <w:rFonts w:ascii="Times New Roman" w:hAnsi="Times New Roman"/>
          <w:color w:val="000000" w:themeColor="text1"/>
          <w:sz w:val="16"/>
          <w:szCs w:val="16"/>
          <w:lang w:eastAsia="ru-RU" w:bidi="ru-RU"/>
        </w:rPr>
        <w:softHyphen/>
        <w:t>поряжение командования ВВС прекра</w:t>
      </w:r>
      <w:r w:rsidRPr="008127F8">
        <w:rPr>
          <w:rFonts w:ascii="Times New Roman" w:hAnsi="Times New Roman"/>
          <w:color w:val="000000" w:themeColor="text1"/>
          <w:sz w:val="16"/>
          <w:szCs w:val="16"/>
          <w:lang w:eastAsia="ru-RU" w:bidi="ru-RU"/>
        </w:rPr>
        <w:softHyphen/>
        <w:t>тить приемку бомбардировщиков. НКАП направил на завод авторитетную комис</w:t>
      </w:r>
      <w:r w:rsidRPr="008127F8">
        <w:rPr>
          <w:rFonts w:ascii="Times New Roman" w:hAnsi="Times New Roman"/>
          <w:color w:val="000000" w:themeColor="text1"/>
          <w:sz w:val="16"/>
          <w:szCs w:val="16"/>
          <w:lang w:eastAsia="ru-RU" w:bidi="ru-RU"/>
        </w:rPr>
        <w:softHyphen/>
        <w:t>сию во главе с известным авиаконструк</w:t>
      </w:r>
      <w:r w:rsidRPr="008127F8">
        <w:rPr>
          <w:rFonts w:ascii="Times New Roman" w:hAnsi="Times New Roman"/>
          <w:color w:val="000000" w:themeColor="text1"/>
          <w:sz w:val="16"/>
          <w:szCs w:val="16"/>
          <w:lang w:eastAsia="ru-RU" w:bidi="ru-RU"/>
        </w:rPr>
        <w:softHyphen/>
        <w:t>тором Н.Н. Поликарповым. Члены комис</w:t>
      </w:r>
      <w:r w:rsidRPr="008127F8">
        <w:rPr>
          <w:rFonts w:ascii="Times New Roman" w:hAnsi="Times New Roman"/>
          <w:color w:val="000000" w:themeColor="text1"/>
          <w:sz w:val="16"/>
          <w:szCs w:val="16"/>
          <w:lang w:eastAsia="ru-RU" w:bidi="ru-RU"/>
        </w:rPr>
        <w:softHyphen/>
        <w:t>сии согласились с заводскими испытате</w:t>
      </w:r>
      <w:r w:rsidRPr="008127F8">
        <w:rPr>
          <w:rFonts w:ascii="Times New Roman" w:hAnsi="Times New Roman"/>
          <w:color w:val="000000" w:themeColor="text1"/>
          <w:sz w:val="16"/>
          <w:szCs w:val="16"/>
          <w:lang w:eastAsia="ru-RU" w:bidi="ru-RU"/>
        </w:rPr>
        <w:softHyphen/>
        <w:t>лями в том, что причиной разворотов на посадке является несинхронная работа тормозов правого и левого колес. Пред</w:t>
      </w:r>
      <w:r w:rsidRPr="008127F8">
        <w:rPr>
          <w:rFonts w:ascii="Times New Roman" w:hAnsi="Times New Roman"/>
          <w:color w:val="000000" w:themeColor="text1"/>
          <w:sz w:val="16"/>
          <w:szCs w:val="16"/>
          <w:lang w:eastAsia="ru-RU" w:bidi="ru-RU"/>
        </w:rPr>
        <w:softHyphen/>
        <w:t>ложено было заменить тормозную гидро</w:t>
      </w:r>
      <w:r w:rsidRPr="008127F8">
        <w:rPr>
          <w:rFonts w:ascii="Times New Roman" w:hAnsi="Times New Roman"/>
          <w:color w:val="000000" w:themeColor="text1"/>
          <w:sz w:val="16"/>
          <w:szCs w:val="16"/>
          <w:lang w:eastAsia="ru-RU" w:bidi="ru-RU"/>
        </w:rPr>
        <w:softHyphen/>
        <w:t>систему, скопированную туполевцами по настоянию ВВС с немецкого бомбарди</w:t>
      </w:r>
      <w:r w:rsidRPr="008127F8">
        <w:rPr>
          <w:rFonts w:ascii="Times New Roman" w:hAnsi="Times New Roman"/>
          <w:color w:val="000000" w:themeColor="text1"/>
          <w:sz w:val="16"/>
          <w:szCs w:val="16"/>
          <w:lang w:eastAsia="ru-RU" w:bidi="ru-RU"/>
        </w:rPr>
        <w:softHyphen/>
        <w:t xml:space="preserve">ровщика </w:t>
      </w:r>
      <w:r w:rsidRPr="008127F8">
        <w:rPr>
          <w:rFonts w:ascii="Times New Roman" w:hAnsi="Times New Roman"/>
          <w:color w:val="000000" w:themeColor="text1"/>
          <w:sz w:val="16"/>
          <w:szCs w:val="16"/>
          <w:lang w:val="en-US" w:bidi="en-US"/>
        </w:rPr>
        <w:t>Ju</w:t>
      </w:r>
      <w:r w:rsidRPr="008127F8">
        <w:rPr>
          <w:rFonts w:ascii="Times New Roman" w:hAnsi="Times New Roman"/>
          <w:color w:val="000000" w:themeColor="text1"/>
          <w:sz w:val="16"/>
          <w:szCs w:val="16"/>
          <w:lang w:bidi="en-US"/>
        </w:rPr>
        <w:t xml:space="preserve"> </w:t>
      </w:r>
      <w:r w:rsidRPr="008127F8">
        <w:rPr>
          <w:rFonts w:ascii="Times New Roman" w:hAnsi="Times New Roman"/>
          <w:color w:val="000000" w:themeColor="text1"/>
          <w:sz w:val="16"/>
          <w:szCs w:val="16"/>
          <w:lang w:eastAsia="ru-RU" w:bidi="ru-RU"/>
        </w:rPr>
        <w:t>88А, на более надежную, при</w:t>
      </w:r>
      <w:r w:rsidRPr="008127F8">
        <w:rPr>
          <w:rFonts w:ascii="Times New Roman" w:hAnsi="Times New Roman"/>
          <w:color w:val="000000" w:themeColor="text1"/>
          <w:sz w:val="16"/>
          <w:szCs w:val="16"/>
          <w:lang w:eastAsia="ru-RU" w:bidi="ru-RU"/>
        </w:rPr>
        <w:softHyphen/>
        <w:t>менявшуюся на самолетах фирмы «Дуг</w:t>
      </w:r>
      <w:r w:rsidRPr="008127F8">
        <w:rPr>
          <w:rFonts w:ascii="Times New Roman" w:hAnsi="Times New Roman"/>
          <w:color w:val="000000" w:themeColor="text1"/>
          <w:sz w:val="16"/>
          <w:szCs w:val="16"/>
          <w:lang w:eastAsia="ru-RU" w:bidi="ru-RU"/>
        </w:rPr>
        <w:softHyphen/>
        <w:t>лас». В качестве же временного решения попробовали на пробеге стопорить хво</w:t>
      </w:r>
      <w:r w:rsidRPr="008127F8">
        <w:rPr>
          <w:rFonts w:ascii="Times New Roman" w:hAnsi="Times New Roman"/>
          <w:color w:val="000000" w:themeColor="text1"/>
          <w:sz w:val="16"/>
          <w:szCs w:val="16"/>
          <w:lang w:eastAsia="ru-RU" w:bidi="ru-RU"/>
        </w:rPr>
        <w:softHyphen/>
        <w:t>стовое колесо. На Ту-2 имелся автомати</w:t>
      </w:r>
      <w:r w:rsidRPr="008127F8">
        <w:rPr>
          <w:rFonts w:ascii="Times New Roman" w:hAnsi="Times New Roman"/>
          <w:color w:val="000000" w:themeColor="text1"/>
          <w:sz w:val="16"/>
          <w:szCs w:val="16"/>
          <w:lang w:eastAsia="ru-RU" w:bidi="ru-RU"/>
        </w:rPr>
        <w:softHyphen/>
        <w:t>ческий стопор, который должен был фик</w:t>
      </w:r>
      <w:r w:rsidRPr="008127F8">
        <w:rPr>
          <w:rFonts w:ascii="Times New Roman" w:hAnsi="Times New Roman"/>
          <w:color w:val="000000" w:themeColor="text1"/>
          <w:sz w:val="16"/>
          <w:szCs w:val="16"/>
          <w:lang w:eastAsia="ru-RU" w:bidi="ru-RU"/>
        </w:rPr>
        <w:softHyphen/>
        <w:t>сировать стойку хвостового колеса при резких ее разворотах, но срабатывал он далеко не всегда. С 20 июля заводские испытатели стали садиться с включенным механическим стопором хвостового ко</w:t>
      </w:r>
      <w:r w:rsidRPr="008127F8">
        <w:rPr>
          <w:rFonts w:ascii="Times New Roman" w:hAnsi="Times New Roman"/>
          <w:color w:val="000000" w:themeColor="text1"/>
          <w:sz w:val="16"/>
          <w:szCs w:val="16"/>
          <w:lang w:eastAsia="ru-RU" w:bidi="ru-RU"/>
        </w:rPr>
        <w:softHyphen/>
        <w:t>леса. Управляемость машины на пробеге значительно улучшилась.</w:t>
      </w:r>
    </w:p>
    <w:p w14:paraId="2098867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Еще одной серьезной проблемой яв</w:t>
      </w:r>
      <w:r w:rsidRPr="008127F8">
        <w:rPr>
          <w:rFonts w:ascii="Times New Roman" w:hAnsi="Times New Roman"/>
          <w:color w:val="000000" w:themeColor="text1"/>
          <w:sz w:val="16"/>
          <w:szCs w:val="16"/>
          <w:lang w:eastAsia="ru-RU" w:bidi="ru-RU"/>
        </w:rPr>
        <w:softHyphen/>
        <w:t>лялись двигатели. Моторы М-82А, хотя и выпускались серийно, еще оставались достаточно «сырыми». На высоте более 6000 м они недодавали мощность, стра</w:t>
      </w:r>
      <w:r w:rsidRPr="008127F8">
        <w:rPr>
          <w:rFonts w:ascii="Times New Roman" w:hAnsi="Times New Roman"/>
          <w:color w:val="000000" w:themeColor="text1"/>
          <w:sz w:val="16"/>
          <w:szCs w:val="16"/>
          <w:lang w:eastAsia="ru-RU" w:bidi="ru-RU"/>
        </w:rPr>
        <w:softHyphen/>
        <w:t>дали значительными вибрациями и рас</w:t>
      </w:r>
      <w:r w:rsidRPr="008127F8">
        <w:rPr>
          <w:rFonts w:ascii="Times New Roman" w:hAnsi="Times New Roman"/>
          <w:color w:val="000000" w:themeColor="text1"/>
          <w:sz w:val="16"/>
          <w:szCs w:val="16"/>
          <w:lang w:eastAsia="ru-RU" w:bidi="ru-RU"/>
        </w:rPr>
        <w:softHyphen/>
        <w:t>ходовали много масла. Хотя за это отве</w:t>
      </w:r>
      <w:r w:rsidRPr="008127F8">
        <w:rPr>
          <w:rFonts w:ascii="Times New Roman" w:hAnsi="Times New Roman"/>
          <w:color w:val="000000" w:themeColor="text1"/>
          <w:sz w:val="16"/>
          <w:szCs w:val="16"/>
          <w:lang w:eastAsia="ru-RU" w:bidi="ru-RU"/>
        </w:rPr>
        <w:softHyphen/>
        <w:t>чал их конструктор А.Д. Швецов и завод №19, дефекты мотоустановки сильно ска</w:t>
      </w:r>
      <w:r w:rsidRPr="008127F8">
        <w:rPr>
          <w:rFonts w:ascii="Times New Roman" w:hAnsi="Times New Roman"/>
          <w:color w:val="000000" w:themeColor="text1"/>
          <w:sz w:val="16"/>
          <w:szCs w:val="16"/>
          <w:lang w:eastAsia="ru-RU" w:bidi="ru-RU"/>
        </w:rPr>
        <w:softHyphen/>
        <w:t>зывались на летных и эксплуатационных характеристиках Ту-2.</w:t>
      </w:r>
    </w:p>
    <w:p w14:paraId="166B3FB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Кроме того, комиссия подвергла кри</w:t>
      </w:r>
      <w:r w:rsidRPr="008127F8">
        <w:rPr>
          <w:rFonts w:ascii="Times New Roman" w:hAnsi="Times New Roman"/>
          <w:color w:val="000000" w:themeColor="text1"/>
          <w:sz w:val="16"/>
          <w:szCs w:val="16"/>
          <w:lang w:eastAsia="ru-RU" w:bidi="ru-RU"/>
        </w:rPr>
        <w:softHyphen/>
        <w:t>тике чрезмерный вес серийных машин. Весовая отдача у них при нормальной бомбовой нагрузке не превышала 27,5%, в то время как у других самолетов та</w:t>
      </w:r>
      <w:r w:rsidRPr="008127F8">
        <w:rPr>
          <w:rFonts w:ascii="Times New Roman" w:hAnsi="Times New Roman"/>
          <w:color w:val="000000" w:themeColor="text1"/>
          <w:sz w:val="16"/>
          <w:szCs w:val="16"/>
          <w:lang w:eastAsia="ru-RU" w:bidi="ru-RU"/>
        </w:rPr>
        <w:softHyphen/>
        <w:t>кого же класса она составляла около 30%. Это была плата за возможность бомбить с крутого пикирования.</w:t>
      </w:r>
    </w:p>
    <w:p w14:paraId="2B777FE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Но в целом Поликарпов и его кол</w:t>
      </w:r>
      <w:r w:rsidRPr="008127F8">
        <w:rPr>
          <w:rFonts w:ascii="Times New Roman" w:hAnsi="Times New Roman"/>
          <w:color w:val="000000" w:themeColor="text1"/>
          <w:sz w:val="16"/>
          <w:szCs w:val="16"/>
          <w:lang w:eastAsia="ru-RU" w:bidi="ru-RU"/>
        </w:rPr>
        <w:softHyphen/>
        <w:t>леги поддержали Туполева. В Москву от</w:t>
      </w:r>
      <w:r w:rsidRPr="008127F8">
        <w:rPr>
          <w:rFonts w:ascii="Times New Roman" w:hAnsi="Times New Roman"/>
          <w:color w:val="000000" w:themeColor="text1"/>
          <w:sz w:val="16"/>
          <w:szCs w:val="16"/>
          <w:lang w:eastAsia="ru-RU" w:bidi="ru-RU"/>
        </w:rPr>
        <w:softHyphen/>
        <w:t>правили документ, в котором, в частно</w:t>
      </w:r>
      <w:r w:rsidRPr="008127F8">
        <w:rPr>
          <w:rFonts w:ascii="Times New Roman" w:hAnsi="Times New Roman"/>
          <w:color w:val="000000" w:themeColor="text1"/>
          <w:sz w:val="16"/>
          <w:szCs w:val="16"/>
          <w:lang w:eastAsia="ru-RU" w:bidi="ru-RU"/>
        </w:rPr>
        <w:softHyphen/>
        <w:t>сти, говорилось: «... самолет Ту-2 по своим летно-тактическим данным превосходит современные серийные советские и за</w:t>
      </w:r>
      <w:r w:rsidRPr="008127F8">
        <w:rPr>
          <w:rFonts w:ascii="Times New Roman" w:hAnsi="Times New Roman"/>
          <w:color w:val="000000" w:themeColor="text1"/>
          <w:sz w:val="16"/>
          <w:szCs w:val="16"/>
          <w:lang w:eastAsia="ru-RU" w:bidi="ru-RU"/>
        </w:rPr>
        <w:softHyphen/>
        <w:t>граничные бомбардировщики». Комиссия сочла, что при устранении основных де</w:t>
      </w:r>
      <w:r w:rsidRPr="008127F8">
        <w:rPr>
          <w:rFonts w:ascii="Times New Roman" w:hAnsi="Times New Roman"/>
          <w:color w:val="000000" w:themeColor="text1"/>
          <w:sz w:val="16"/>
          <w:szCs w:val="16"/>
          <w:lang w:eastAsia="ru-RU" w:bidi="ru-RU"/>
        </w:rPr>
        <w:softHyphen/>
        <w:t>фектов самолет сможет успешно выпол</w:t>
      </w:r>
      <w:r w:rsidRPr="008127F8">
        <w:rPr>
          <w:rFonts w:ascii="Times New Roman" w:hAnsi="Times New Roman"/>
          <w:color w:val="000000" w:themeColor="text1"/>
          <w:sz w:val="16"/>
          <w:szCs w:val="16"/>
          <w:lang w:eastAsia="ru-RU" w:bidi="ru-RU"/>
        </w:rPr>
        <w:softHyphen/>
        <w:t>нять боевые задачи.</w:t>
      </w:r>
    </w:p>
    <w:p w14:paraId="2272C4D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Приемка бомбардировщиков возоб</w:t>
      </w:r>
      <w:r w:rsidRPr="008127F8">
        <w:rPr>
          <w:rFonts w:ascii="Times New Roman" w:hAnsi="Times New Roman"/>
          <w:color w:val="000000" w:themeColor="text1"/>
          <w:sz w:val="16"/>
          <w:szCs w:val="16"/>
          <w:lang w:eastAsia="ru-RU" w:bidi="ru-RU"/>
        </w:rPr>
        <w:softHyphen/>
        <w:t>новилась. Реагируя на требования воен</w:t>
      </w:r>
      <w:r w:rsidRPr="008127F8">
        <w:rPr>
          <w:rFonts w:ascii="Times New Roman" w:hAnsi="Times New Roman"/>
          <w:color w:val="000000" w:themeColor="text1"/>
          <w:sz w:val="16"/>
          <w:szCs w:val="16"/>
          <w:lang w:eastAsia="ru-RU" w:bidi="ru-RU"/>
        </w:rPr>
        <w:softHyphen/>
        <w:t>ных, завод вносил изменения в строящи</w:t>
      </w:r>
      <w:r w:rsidRPr="008127F8">
        <w:rPr>
          <w:rFonts w:ascii="Times New Roman" w:hAnsi="Times New Roman"/>
          <w:color w:val="000000" w:themeColor="text1"/>
          <w:sz w:val="16"/>
          <w:szCs w:val="16"/>
          <w:lang w:eastAsia="ru-RU" w:bidi="ru-RU"/>
        </w:rPr>
        <w:softHyphen/>
        <w:t>еся бомбардировщики. С 5-й серии (июль- август 1942 г.) внедрили тормоза типа «Дуглас» (21061).</w:t>
      </w:r>
    </w:p>
    <w:p w14:paraId="27F74D7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563BFB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мая 1942 началась практическая работа ОКБ-155 А.И.М в Москве (3952,3).</w:t>
      </w:r>
    </w:p>
    <w:p w14:paraId="6EBFE3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818275" w14:textId="77777777" w:rsidR="007C5583" w:rsidRPr="008127F8" w:rsidRDefault="007C5583" w:rsidP="007C5583">
      <w:pPr>
        <w:pStyle w:val="a4"/>
        <w:rPr>
          <w:color w:val="000000" w:themeColor="text1"/>
          <w:lang w:val="ru-RU"/>
        </w:rPr>
      </w:pPr>
      <w:r w:rsidRPr="008127F8">
        <w:rPr>
          <w:color w:val="000000" w:themeColor="text1"/>
          <w:lang w:val="ru-RU"/>
        </w:rPr>
        <w:t>С мая 1942 г. началась деятельность ОКБ МиГ во главе с А.И.М. на новом месте. Основные силы были направлены на совершенствование истребителя МиГ-3, а также на создание машин с более высокими лётно-тактическими данными, обладавших большими скоростями полёта, большим практическим потолком и мощным вооружением. Одновременно с развёртыванием опытно-конструкторских работ ОКБ занималось и развитием производственной базы.</w:t>
      </w:r>
    </w:p>
    <w:p w14:paraId="4D76941A" w14:textId="77777777" w:rsidR="007C5583" w:rsidRPr="008127F8" w:rsidRDefault="007C5583" w:rsidP="007C5583">
      <w:pPr>
        <w:pStyle w:val="a4"/>
        <w:rPr>
          <w:color w:val="000000" w:themeColor="text1"/>
          <w:lang w:val="ru-RU"/>
        </w:rPr>
      </w:pPr>
      <w:r w:rsidRPr="008127F8">
        <w:rPr>
          <w:color w:val="000000" w:themeColor="text1"/>
          <w:lang w:val="ru-RU"/>
        </w:rPr>
        <w:t>Кроме того, из полученных с авиазавода № 1 и рембазы заделов и готовых изделий с июня по ноябрь 1942 г. изготовили 30 истребителей МиГ-3, из них 27 передали представителям ГУ ВВС КА, а три - УВВС ВМФ. Сборочный цех завода № 155 каждый месяц покидало по пять машин. Все МиГи имели вооружение, состоящее из двух 20 мм пушек ШВАК и двух батарей ЗРОБ-82, а семь машин оснастили моторами АМ-38. По отзывам лётчиков строевых частей, качество выпущенных истребителей было хорошее. В 1942 г. и завод № 1 в Куйбышеве выпу</w:t>
      </w:r>
      <w:r w:rsidRPr="008127F8">
        <w:rPr>
          <w:color w:val="000000" w:themeColor="text1"/>
          <w:lang w:val="ru-RU"/>
        </w:rPr>
        <w:softHyphen/>
        <w:t>стил из оставшегося задела 22 самолёта МиГ-3 (15976).</w:t>
      </w:r>
    </w:p>
    <w:p w14:paraId="591C7BDD" w14:textId="77777777" w:rsidR="007C5583" w:rsidRPr="008127F8" w:rsidRDefault="007C5583" w:rsidP="007C5583">
      <w:pPr>
        <w:pStyle w:val="a4"/>
        <w:rPr>
          <w:color w:val="000000" w:themeColor="text1"/>
          <w:lang w:val="ru-RU"/>
        </w:rPr>
      </w:pPr>
    </w:p>
    <w:p w14:paraId="34C8C5F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ОКО А.И.М. начало работу на новом месте. 13 марта 1942 г. в соответ</w:t>
      </w:r>
      <w:r w:rsidRPr="008127F8">
        <w:rPr>
          <w:rFonts w:ascii="Times New Roman" w:hAnsi="Times New Roman"/>
          <w:color w:val="000000" w:themeColor="text1"/>
          <w:sz w:val="16"/>
          <w:szCs w:val="16"/>
        </w:rPr>
        <w:softHyphen/>
        <w:t>ствии с Постановлением ГКО №1436 и пос</w:t>
      </w:r>
      <w:r w:rsidRPr="008127F8">
        <w:rPr>
          <w:rFonts w:ascii="Times New Roman" w:hAnsi="Times New Roman"/>
          <w:color w:val="000000" w:themeColor="text1"/>
          <w:sz w:val="16"/>
          <w:szCs w:val="16"/>
        </w:rPr>
        <w:softHyphen/>
        <w:t>ледовавшим 16 марта приказом НКАП №207 коллектив ОКО А.И.М. вмес</w:t>
      </w:r>
      <w:r w:rsidRPr="008127F8">
        <w:rPr>
          <w:rFonts w:ascii="Times New Roman" w:hAnsi="Times New Roman"/>
          <w:color w:val="000000" w:themeColor="text1"/>
          <w:sz w:val="16"/>
          <w:szCs w:val="16"/>
        </w:rPr>
        <w:softHyphen/>
        <w:t>те с опытным производством воз</w:t>
      </w:r>
      <w:r w:rsidRPr="008127F8">
        <w:rPr>
          <w:rFonts w:ascii="Times New Roman" w:hAnsi="Times New Roman"/>
          <w:color w:val="000000" w:themeColor="text1"/>
          <w:sz w:val="16"/>
          <w:szCs w:val="16"/>
        </w:rPr>
        <w:softHyphen/>
        <w:t>вращался в Москву. Для организа</w:t>
      </w:r>
      <w:r w:rsidRPr="008127F8">
        <w:rPr>
          <w:rFonts w:ascii="Times New Roman" w:hAnsi="Times New Roman"/>
          <w:color w:val="000000" w:themeColor="text1"/>
          <w:sz w:val="16"/>
          <w:szCs w:val="16"/>
        </w:rPr>
        <w:softHyphen/>
        <w:t>ции нового опытного завода, полу</w:t>
      </w:r>
      <w:r w:rsidRPr="008127F8">
        <w:rPr>
          <w:rFonts w:ascii="Times New Roman" w:hAnsi="Times New Roman"/>
          <w:color w:val="000000" w:themeColor="text1"/>
          <w:sz w:val="16"/>
          <w:szCs w:val="16"/>
        </w:rPr>
        <w:softHyphen/>
        <w:t>чившего номер 155, выделили тер</w:t>
      </w:r>
      <w:r w:rsidRPr="008127F8">
        <w:rPr>
          <w:rFonts w:ascii="Times New Roman" w:hAnsi="Times New Roman"/>
          <w:color w:val="000000" w:themeColor="text1"/>
          <w:sz w:val="16"/>
          <w:szCs w:val="16"/>
        </w:rPr>
        <w:softHyphen/>
        <w:t>риторию завода №480. Директо</w:t>
      </w:r>
      <w:r w:rsidRPr="008127F8">
        <w:rPr>
          <w:rFonts w:ascii="Times New Roman" w:hAnsi="Times New Roman"/>
          <w:color w:val="000000" w:themeColor="text1"/>
          <w:sz w:val="16"/>
          <w:szCs w:val="16"/>
        </w:rPr>
        <w:softHyphen/>
        <w:t>ром и главным конструктором вновь организованного завода №155 (ОКБ-155) назначили А.И. Микояна, а его заместителем М.И. Гуревича. Также на завод №155 перевели и ремонтную базу по самолётам МиГ-3 с личным составом во главе с А.Т. Каревым. Основные силы были направлены на дальнейшее совершенствование истребителя МиГ-3, а также на со</w:t>
      </w:r>
      <w:r w:rsidRPr="008127F8">
        <w:rPr>
          <w:rFonts w:ascii="Times New Roman" w:hAnsi="Times New Roman"/>
          <w:color w:val="000000" w:themeColor="text1"/>
          <w:sz w:val="16"/>
          <w:szCs w:val="16"/>
        </w:rPr>
        <w:softHyphen/>
        <w:t>здание машин с более высокими лётно-тактическими данными, обла</w:t>
      </w:r>
      <w:r w:rsidRPr="008127F8">
        <w:rPr>
          <w:rFonts w:ascii="Times New Roman" w:hAnsi="Times New Roman"/>
          <w:color w:val="000000" w:themeColor="text1"/>
          <w:sz w:val="16"/>
          <w:szCs w:val="16"/>
        </w:rPr>
        <w:softHyphen/>
        <w:t>давших большими скоростями по</w:t>
      </w:r>
      <w:r w:rsidRPr="008127F8">
        <w:rPr>
          <w:rFonts w:ascii="Times New Roman" w:hAnsi="Times New Roman"/>
          <w:color w:val="000000" w:themeColor="text1"/>
          <w:sz w:val="16"/>
          <w:szCs w:val="16"/>
        </w:rPr>
        <w:softHyphen/>
        <w:t>лёта и большим практическим по</w:t>
      </w:r>
      <w:r w:rsidRPr="008127F8">
        <w:rPr>
          <w:rFonts w:ascii="Times New Roman" w:hAnsi="Times New Roman"/>
          <w:color w:val="000000" w:themeColor="text1"/>
          <w:sz w:val="16"/>
          <w:szCs w:val="16"/>
        </w:rPr>
        <w:softHyphen/>
        <w:t>толком. Одновременно с развёр</w:t>
      </w:r>
      <w:r w:rsidRPr="008127F8">
        <w:rPr>
          <w:rFonts w:ascii="Times New Roman" w:hAnsi="Times New Roman"/>
          <w:color w:val="000000" w:themeColor="text1"/>
          <w:sz w:val="16"/>
          <w:szCs w:val="16"/>
        </w:rPr>
        <w:softHyphen/>
        <w:t>тыванием опытно-конструкторских работ ОКБ занималось и развити</w:t>
      </w:r>
      <w:r w:rsidRPr="008127F8">
        <w:rPr>
          <w:rFonts w:ascii="Times New Roman" w:hAnsi="Times New Roman"/>
          <w:color w:val="000000" w:themeColor="text1"/>
          <w:sz w:val="16"/>
          <w:szCs w:val="16"/>
        </w:rPr>
        <w:softHyphen/>
        <w:t>ем производственной базы (11761).</w:t>
      </w:r>
    </w:p>
    <w:p w14:paraId="1560930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686A4A" w14:textId="77777777" w:rsidR="009E183A" w:rsidRPr="008A2E5A" w:rsidRDefault="009E183A" w:rsidP="009E18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1942 года руководством ВИАМ было принято решение о создании лаборатории самолётного остекления в г. Куйбышев, куда ВИАМ был эвакуирован в сентябре 1941 года. Начальником лаборатории был назначен доктор химических наук, профессор Б.В. Ерофеев, его заместителем — М.М. Гудимов.</w:t>
      </w:r>
    </w:p>
    <w:p w14:paraId="72C27019" w14:textId="77777777" w:rsidR="009E183A" w:rsidRPr="008A2E5A" w:rsidRDefault="009E183A" w:rsidP="009E18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Лабораторией ВИАМ была разработана так называемая таблетированная авиационная броня, которая представляла собой слоистую композицию с внешним слоем из закалённого стекла (сталинита) толщиной 34 мм — набранного из плиток 100 х 150 мм, и внутренним слоем, или «подушкой» из органического стекла 30 мм.</w:t>
      </w:r>
    </w:p>
    <w:p w14:paraId="28535968" w14:textId="77777777" w:rsidR="009E183A" w:rsidRPr="008A2E5A" w:rsidRDefault="009E183A" w:rsidP="009E183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Броня не только обеспечивала защиту лётчика, но и улучшала видимость в боевых условиях, не искажая предметы и их местонахождение. При толщине 64 мм и массе 120 кг/м² броня К-4 не пробивалась 7,62-мм бронебойной пулей при стрельбе практически в упор (Д = 30 м). Козырёк фонаря Ил-2 был выполнен из 64-мм стекла. Схожая деталь иной формы устанавливалась на фонаре сзади и обеспечивала обзор задней полусферы. Рядом с  6-мм бронёй сдвижной части фонаря предусматривались боковые бронестёкла (24303).</w:t>
      </w:r>
    </w:p>
    <w:p w14:paraId="2099BB08" w14:textId="77777777" w:rsidR="009E183A" w:rsidRPr="008A2E5A" w:rsidRDefault="009E183A" w:rsidP="009E183A">
      <w:pPr>
        <w:spacing w:after="0" w:line="240" w:lineRule="auto"/>
        <w:jc w:val="both"/>
        <w:rPr>
          <w:rFonts w:ascii="Times New Roman" w:hAnsi="Times New Roman"/>
          <w:color w:val="0070C0"/>
          <w:sz w:val="16"/>
          <w:szCs w:val="16"/>
        </w:rPr>
      </w:pPr>
    </w:p>
    <w:p w14:paraId="34F4CFF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 1942 года стал своеобраз</w:t>
      </w:r>
      <w:r w:rsidRPr="008127F8">
        <w:rPr>
          <w:rFonts w:ascii="Times New Roman" w:hAnsi="Times New Roman"/>
          <w:color w:val="000000" w:themeColor="text1"/>
          <w:sz w:val="16"/>
          <w:szCs w:val="16"/>
        </w:rPr>
        <w:softHyphen/>
        <w:t>ной переломной точкой в истории мотора М-82. С одной стороны, за</w:t>
      </w:r>
      <w:r w:rsidRPr="008127F8">
        <w:rPr>
          <w:rFonts w:ascii="Times New Roman" w:hAnsi="Times New Roman"/>
          <w:color w:val="000000" w:themeColor="text1"/>
          <w:sz w:val="16"/>
          <w:szCs w:val="16"/>
        </w:rPr>
        <w:softHyphen/>
        <w:t>вершилась эпопея с поиском подхо</w:t>
      </w:r>
      <w:r w:rsidRPr="008127F8">
        <w:rPr>
          <w:rFonts w:ascii="Times New Roman" w:hAnsi="Times New Roman"/>
          <w:color w:val="000000" w:themeColor="text1"/>
          <w:sz w:val="16"/>
          <w:szCs w:val="16"/>
        </w:rPr>
        <w:softHyphen/>
        <w:t>дящего объекта для крупносерийного применения мотора - им стал ис</w:t>
      </w:r>
      <w:r w:rsidRPr="008127F8">
        <w:rPr>
          <w:rFonts w:ascii="Times New Roman" w:hAnsi="Times New Roman"/>
          <w:color w:val="000000" w:themeColor="text1"/>
          <w:sz w:val="16"/>
          <w:szCs w:val="16"/>
        </w:rPr>
        <w:softHyphen/>
        <w:t>требитель Ла-5. В том же месяце М-82 получил первое боевое крещение. Параллельно продолжалась доводка мотора и карбюратора, а также раз</w:t>
      </w:r>
      <w:r w:rsidRPr="008127F8">
        <w:rPr>
          <w:rFonts w:ascii="Times New Roman" w:hAnsi="Times New Roman"/>
          <w:color w:val="000000" w:themeColor="text1"/>
          <w:sz w:val="16"/>
          <w:szCs w:val="16"/>
        </w:rPr>
        <w:softHyphen/>
        <w:t>вертывались работы по созданию но</w:t>
      </w:r>
      <w:r w:rsidRPr="008127F8">
        <w:rPr>
          <w:rFonts w:ascii="Times New Roman" w:hAnsi="Times New Roman"/>
          <w:color w:val="000000" w:themeColor="text1"/>
          <w:sz w:val="16"/>
          <w:szCs w:val="16"/>
        </w:rPr>
        <w:softHyphen/>
        <w:t>вых модификаций (10699). В процессе испытаний опыт</w:t>
      </w:r>
      <w:r w:rsidRPr="008127F8">
        <w:rPr>
          <w:rFonts w:ascii="Times New Roman" w:hAnsi="Times New Roman"/>
          <w:color w:val="000000" w:themeColor="text1"/>
          <w:sz w:val="16"/>
          <w:szCs w:val="16"/>
        </w:rPr>
        <w:softHyphen/>
        <w:t>ных самолетов были обнаружены дефекты мотора М-82. Согласно анализу, про</w:t>
      </w:r>
      <w:r w:rsidRPr="008127F8">
        <w:rPr>
          <w:rFonts w:ascii="Times New Roman" w:hAnsi="Times New Roman"/>
          <w:color w:val="000000" w:themeColor="text1"/>
          <w:sz w:val="16"/>
          <w:szCs w:val="16"/>
        </w:rPr>
        <w:softHyphen/>
        <w:t>веденному начальником группы отде</w:t>
      </w:r>
      <w:r w:rsidRPr="008127F8">
        <w:rPr>
          <w:rFonts w:ascii="Times New Roman" w:hAnsi="Times New Roman"/>
          <w:color w:val="000000" w:themeColor="text1"/>
          <w:sz w:val="16"/>
          <w:szCs w:val="16"/>
        </w:rPr>
        <w:softHyphen/>
        <w:t>лов Моторов и топлив НИИ ВВС ин</w:t>
      </w:r>
      <w:r w:rsidRPr="008127F8">
        <w:rPr>
          <w:rFonts w:ascii="Times New Roman" w:hAnsi="Times New Roman"/>
          <w:color w:val="000000" w:themeColor="text1"/>
          <w:sz w:val="16"/>
          <w:szCs w:val="16"/>
        </w:rPr>
        <w:softHyphen/>
        <w:t>женер-полковником Фокиным, эти дефекты сводились к следую</w:t>
      </w:r>
      <w:r w:rsidRPr="008127F8">
        <w:rPr>
          <w:rFonts w:ascii="Times New Roman" w:hAnsi="Times New Roman"/>
          <w:color w:val="000000" w:themeColor="text1"/>
          <w:sz w:val="16"/>
          <w:szCs w:val="16"/>
        </w:rPr>
        <w:softHyphen/>
        <w:t>щему:</w:t>
      </w:r>
    </w:p>
    <w:p w14:paraId="2EDA92C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выбрасывание масла из суфле</w:t>
      </w:r>
      <w:r w:rsidRPr="008127F8">
        <w:rPr>
          <w:rFonts w:ascii="Times New Roman" w:hAnsi="Times New Roman"/>
          <w:color w:val="000000" w:themeColor="text1"/>
          <w:sz w:val="16"/>
          <w:szCs w:val="16"/>
        </w:rPr>
        <w:softHyphen/>
        <w:t>ров мотора;</w:t>
      </w:r>
    </w:p>
    <w:p w14:paraId="123D3BD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разрыв дюритов и петрофлеко-сов откачивающей маслосистемы мотора перед фетровым фильтром;</w:t>
      </w:r>
    </w:p>
    <w:p w14:paraId="522DDB1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неудовлетворительная работа карбюратора по высотам, особенно на 2-й скорости нагнетателя;</w:t>
      </w:r>
    </w:p>
    <w:p w14:paraId="443A9A0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задиры поршней.</w:t>
      </w:r>
    </w:p>
    <w:p w14:paraId="17330F5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Заводом №19 проводились мероп</w:t>
      </w:r>
      <w:r w:rsidRPr="008127F8">
        <w:rPr>
          <w:rFonts w:ascii="Times New Roman" w:hAnsi="Times New Roman"/>
          <w:color w:val="000000" w:themeColor="text1"/>
          <w:sz w:val="16"/>
          <w:szCs w:val="16"/>
        </w:rPr>
        <w:softHyphen/>
        <w:t>риятия по устранению выявленных дефектов. Часто процесс доводки проходил методом проб и ошибок. Так, для борьбы</w:t>
      </w:r>
      <w:r w:rsidRPr="008127F8">
        <w:rPr>
          <w:rFonts w:ascii="Times New Roman" w:hAnsi="Times New Roman"/>
          <w:color w:val="000000" w:themeColor="text1"/>
          <w:sz w:val="16"/>
          <w:szCs w:val="16"/>
          <w:vertAlign w:val="superscript"/>
        </w:rPr>
        <w:t>1</w:t>
      </w:r>
      <w:r w:rsidRPr="008127F8">
        <w:rPr>
          <w:rFonts w:ascii="Times New Roman" w:hAnsi="Times New Roman"/>
          <w:color w:val="000000" w:themeColor="text1"/>
          <w:sz w:val="16"/>
          <w:szCs w:val="16"/>
        </w:rPr>
        <w:t xml:space="preserve"> с'задирами </w:t>
      </w:r>
      <w:r w:rsidRPr="008127F8">
        <w:rPr>
          <w:rFonts w:ascii="Times New Roman" w:hAnsi="Times New Roman"/>
          <w:color w:val="000000" w:themeColor="text1"/>
          <w:sz w:val="16"/>
          <w:szCs w:val="16"/>
        </w:rPr>
        <w:lastRenderedPageBreak/>
        <w:t>поршней были введены' увеличенные зазоры их в цилиндре (7,675-0,825 мм вмес</w:t>
      </w:r>
      <w:r w:rsidRPr="008127F8">
        <w:rPr>
          <w:rFonts w:ascii="Times New Roman" w:hAnsi="Times New Roman"/>
          <w:color w:val="000000" w:themeColor="text1"/>
          <w:sz w:val="16"/>
          <w:szCs w:val="16"/>
        </w:rPr>
        <w:softHyphen/>
        <w:t>то 0,575-0,725 мм), а также жиклеры увеличенного диаметра на коленвалу для улучшения смазки. После это</w:t>
      </w:r>
      <w:r w:rsidRPr="008127F8">
        <w:rPr>
          <w:rFonts w:ascii="Times New Roman" w:hAnsi="Times New Roman"/>
          <w:color w:val="000000" w:themeColor="text1"/>
          <w:sz w:val="16"/>
          <w:szCs w:val="16"/>
        </w:rPr>
        <w:softHyphen/>
        <w:t>го был выявлен новый дефект - дымление цилиндров, главным образом пе</w:t>
      </w:r>
      <w:r w:rsidRPr="008127F8">
        <w:rPr>
          <w:rFonts w:ascii="Times New Roman" w:hAnsi="Times New Roman"/>
          <w:color w:val="000000" w:themeColor="text1"/>
          <w:sz w:val="16"/>
          <w:szCs w:val="16"/>
        </w:rPr>
        <w:softHyphen/>
        <w:t>редней звезды (10699).</w:t>
      </w:r>
    </w:p>
    <w:p w14:paraId="1CE0B44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70032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май месяц 1942 из 136 моторов М-82, проходивших сдаточные и контрольные испытания, был снят по дымлению цилиндров 41 мотор, что вынудило завод искать меры по уст</w:t>
      </w:r>
      <w:r w:rsidRPr="008127F8">
        <w:rPr>
          <w:rFonts w:ascii="Times New Roman" w:hAnsi="Times New Roman"/>
          <w:color w:val="000000" w:themeColor="text1"/>
          <w:sz w:val="16"/>
          <w:szCs w:val="16"/>
        </w:rPr>
        <w:softHyphen/>
        <w:t>ранению дефекта. По-прежнему основной претензи</w:t>
      </w:r>
      <w:r w:rsidRPr="008127F8">
        <w:rPr>
          <w:rFonts w:ascii="Times New Roman" w:hAnsi="Times New Roman"/>
          <w:color w:val="000000" w:themeColor="text1"/>
          <w:sz w:val="16"/>
          <w:szCs w:val="16"/>
        </w:rPr>
        <w:softHyphen/>
        <w:t>ей к мотору М-82 являлась неста</w:t>
      </w:r>
      <w:r w:rsidRPr="008127F8">
        <w:rPr>
          <w:rFonts w:ascii="Times New Roman" w:hAnsi="Times New Roman"/>
          <w:color w:val="000000" w:themeColor="text1"/>
          <w:sz w:val="16"/>
          <w:szCs w:val="16"/>
        </w:rPr>
        <w:softHyphen/>
        <w:t>бильная работа карбюратора АК-82БП (беспоплавковый) — продукция завода №33, разработка главного конструктора Ф.А. Короткова. Карбюраторы АК-82БП изготовля</w:t>
      </w:r>
      <w:r w:rsidRPr="008127F8">
        <w:rPr>
          <w:rFonts w:ascii="Times New Roman" w:hAnsi="Times New Roman"/>
          <w:color w:val="000000" w:themeColor="text1"/>
          <w:sz w:val="16"/>
          <w:szCs w:val="16"/>
        </w:rPr>
        <w:softHyphen/>
        <w:t>лись сериями. Серии ОП и МС вы</w:t>
      </w:r>
      <w:r w:rsidRPr="008127F8">
        <w:rPr>
          <w:rFonts w:ascii="Times New Roman" w:hAnsi="Times New Roman"/>
          <w:color w:val="000000" w:themeColor="text1"/>
          <w:sz w:val="16"/>
          <w:szCs w:val="16"/>
        </w:rPr>
        <w:softHyphen/>
        <w:t>пускались в период внедрения в опыт</w:t>
      </w:r>
      <w:r w:rsidRPr="008127F8">
        <w:rPr>
          <w:rFonts w:ascii="Times New Roman" w:hAnsi="Times New Roman"/>
          <w:color w:val="000000" w:themeColor="text1"/>
          <w:sz w:val="16"/>
          <w:szCs w:val="16"/>
        </w:rPr>
        <w:softHyphen/>
        <w:t>ную эксплуатацию и практического распространения на моторах М-82 не имели. Основным типом конструк</w:t>
      </w:r>
      <w:r w:rsidRPr="008127F8">
        <w:rPr>
          <w:rFonts w:ascii="Times New Roman" w:hAnsi="Times New Roman"/>
          <w:color w:val="000000" w:themeColor="text1"/>
          <w:sz w:val="16"/>
          <w:szCs w:val="16"/>
        </w:rPr>
        <w:softHyphen/>
        <w:t>ции, запущенным в серийное произ</w:t>
      </w:r>
      <w:r w:rsidRPr="008127F8">
        <w:rPr>
          <w:rFonts w:ascii="Times New Roman" w:hAnsi="Times New Roman"/>
          <w:color w:val="000000" w:themeColor="text1"/>
          <w:sz w:val="16"/>
          <w:szCs w:val="16"/>
        </w:rPr>
        <w:softHyphen/>
        <w:t>водство, был карбюратор серии А-1. Вследствие обнаруженных недостат</w:t>
      </w:r>
      <w:r w:rsidRPr="008127F8">
        <w:rPr>
          <w:rFonts w:ascii="Times New Roman" w:hAnsi="Times New Roman"/>
          <w:color w:val="000000" w:themeColor="text1"/>
          <w:sz w:val="16"/>
          <w:szCs w:val="16"/>
        </w:rPr>
        <w:softHyphen/>
        <w:t>ков карбюраторы этой серии были либо изъяты из эксплуатации, либо переделаны на модификацию серии А-2, впервые пошедшую в широкую войсковую эксплуатацию весной 1942 года (10699).</w:t>
      </w:r>
    </w:p>
    <w:p w14:paraId="2B36757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4639C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Только в мае 1942 г. ОКБ-483 смогло представить в ЛИИ НКАП, находящийся в это время в Казани, модернизированный вариант самолета Та-3 - Та-Збис 2М-89. Отчет был утвержден начальником ЛИИ НКАП генерал-майором В.С. Молоковым 24 декабря 1942 г. Ответственные испол</w:t>
      </w:r>
      <w:r w:rsidRPr="008127F8">
        <w:rPr>
          <w:rFonts w:ascii="Times New Roman" w:hAnsi="Times New Roman"/>
          <w:color w:val="000000" w:themeColor="text1"/>
          <w:sz w:val="16"/>
          <w:szCs w:val="16"/>
        </w:rPr>
        <w:softHyphen/>
        <w:t>нители: ведущий инженер - В.Н. Елагин, ведущий летчик - В.Н. Юганов, летчики облета - В.Л. Расторгуев, Г.М. Шиянов.</w:t>
      </w:r>
    </w:p>
    <w:p w14:paraId="1822E9A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Та-Збис установили новые консоли площадью 28,1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xml:space="preserve"> (вместо 25,5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xml:space="preserve"> у Та-3) и дополнительными бензобаками. Кон</w:t>
      </w:r>
      <w:r w:rsidRPr="008127F8">
        <w:rPr>
          <w:rFonts w:ascii="Times New Roman" w:hAnsi="Times New Roman"/>
          <w:color w:val="000000" w:themeColor="text1"/>
          <w:sz w:val="16"/>
          <w:szCs w:val="16"/>
        </w:rPr>
        <w:softHyphen/>
        <w:t>соли выполнялись целиком из электрона. Поперечное «V» крыла уменьшили до 3° (вместо 6°30' у Та-3). Кроме этого, для сохранения центровки консолям была придана небольшая отрицательная стре</w:t>
      </w:r>
      <w:r w:rsidRPr="008127F8">
        <w:rPr>
          <w:rFonts w:ascii="Times New Roman" w:hAnsi="Times New Roman"/>
          <w:color w:val="000000" w:themeColor="text1"/>
          <w:sz w:val="16"/>
          <w:szCs w:val="16"/>
        </w:rPr>
        <w:softHyphen/>
        <w:t>ловидность. Удлинение крыла составило 6,38 (вместо 6,25 у Та-3). Проведенные доработки позволили увеличить запас топлива до 1405 кг, масла - до 100 кг. Полетный вес самолета возрос до 6626 кг, изменилась центровка (25,7-21,4% САХ). Тем не менее, результаты испытаний в целом были оценены как положительные.</w:t>
      </w:r>
    </w:p>
    <w:p w14:paraId="0E69554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Та-Збис у земли составила 452 км/ч, а на высоте 7050 м - 565 км/ч. Зато дальность полета на высоте 4200 м и скорости 406 км/ч достигала 2065 км, а на высоте 6900 м и скорости 446 км/ч - 1695 км.</w:t>
      </w:r>
    </w:p>
    <w:p w14:paraId="79FA2AF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Скоростные данные самолета на высоте 8000-9000 м оценивались теоретически, так как основной целью испытаний была проверка пилотажных качеств самолета после замены консолей. По этой же причине полноценные испытания на максимальные скорости по высотам, скороподъемность и практическую высоту не проводились.</w:t>
      </w:r>
    </w:p>
    <w:p w14:paraId="0D4EFDD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Отмечалось, что установка новых консолей не ухудшила пилотажных качеств самолета. Уменьшение поперечного «V» крыла понизило поперечную устойчивость, что благоприятно сказалось на технике пилотирования. Увеличение осевой ком</w:t>
      </w:r>
      <w:r w:rsidRPr="008127F8">
        <w:rPr>
          <w:rFonts w:ascii="Times New Roman" w:hAnsi="Times New Roman"/>
          <w:color w:val="000000" w:themeColor="text1"/>
          <w:sz w:val="16"/>
          <w:szCs w:val="16"/>
        </w:rPr>
        <w:softHyphen/>
        <w:t>пенсации элеронов резко снизило усилия от элеронов, доведя их до нормальных, и обеспечило гармоничность усилий при пилотировании. Пилотажные качества Та-Збис, по сравнению с Та-3, существенно упростились. По мнению летчиков, само</w:t>
      </w:r>
      <w:r w:rsidRPr="008127F8">
        <w:rPr>
          <w:rFonts w:ascii="Times New Roman" w:hAnsi="Times New Roman"/>
          <w:color w:val="000000" w:themeColor="text1"/>
          <w:sz w:val="16"/>
          <w:szCs w:val="16"/>
        </w:rPr>
        <w:softHyphen/>
        <w:t>лет стал приятным в пилотировании. Выполнение взлета, посадки и техника выполнения фигур высшего пилотажа на Та-Збис не отличались от таковых на Та-3. Взлет простой, при наборе высоты само</w:t>
      </w:r>
      <w:r w:rsidRPr="008127F8">
        <w:rPr>
          <w:rFonts w:ascii="Times New Roman" w:hAnsi="Times New Roman"/>
          <w:color w:val="000000" w:themeColor="text1"/>
          <w:sz w:val="16"/>
          <w:szCs w:val="16"/>
        </w:rPr>
        <w:softHyphen/>
        <w:t>лет устойчив. Эффективность рулей при выполнении всех эволюций достаточная. Нагрузки на рули нормальные по величине и направлению. Фигуры высшего пилотажа и боевые развороты Та-3 выполнял хорошо. На посадке простой. Конструкция фонаря, как и прежде, оценивалась отрицательно. На пикировании была достигнута скорость 665 км/ч по прибору - вибраций не было. Бензосистема позволяла обеспечить питание мотора от любого бензобака при помощи переключения трех кранов, управляемых летчиком. Предусматрива</w:t>
      </w:r>
      <w:r w:rsidRPr="008127F8">
        <w:rPr>
          <w:rFonts w:ascii="Times New Roman" w:hAnsi="Times New Roman"/>
          <w:color w:val="000000" w:themeColor="text1"/>
          <w:sz w:val="16"/>
          <w:szCs w:val="16"/>
        </w:rPr>
        <w:softHyphen/>
        <w:t>лась возможность заполнения бензобаков выхлопными газами. Все бензобаки про- тектировались.</w:t>
      </w:r>
    </w:p>
    <w:p w14:paraId="2A6D6FF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Благоприятное впечатление о самолете серьезно портила совершенно неудов</w:t>
      </w:r>
      <w:r w:rsidRPr="008127F8">
        <w:rPr>
          <w:rFonts w:ascii="Times New Roman" w:hAnsi="Times New Roman"/>
          <w:color w:val="000000" w:themeColor="text1"/>
          <w:sz w:val="16"/>
          <w:szCs w:val="16"/>
        </w:rPr>
        <w:softHyphen/>
        <w:t>летворительная работа моторов М-89. Достаточно сказать, что по этой причине Та-Збис из 66 дней испытаний простоял на земле 37 дней. Все это время на мото</w:t>
      </w:r>
      <w:r w:rsidRPr="008127F8">
        <w:rPr>
          <w:rFonts w:ascii="Times New Roman" w:hAnsi="Times New Roman"/>
          <w:color w:val="000000" w:themeColor="text1"/>
          <w:sz w:val="16"/>
          <w:szCs w:val="16"/>
        </w:rPr>
        <w:softHyphen/>
        <w:t>рах неоднократно регулировали зазоры, меняли свечи, поршневые кольца, поршни, цилиндры.</w:t>
      </w:r>
    </w:p>
    <w:p w14:paraId="436DDD9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конечном итоге, не добившись нормальной работы моторов, 15 августа летные испытания Та-Збис были пре</w:t>
      </w:r>
      <w:r w:rsidRPr="008127F8">
        <w:rPr>
          <w:rFonts w:ascii="Times New Roman" w:hAnsi="Times New Roman"/>
          <w:color w:val="000000" w:themeColor="text1"/>
          <w:sz w:val="16"/>
          <w:szCs w:val="16"/>
        </w:rPr>
        <w:softHyphen/>
        <w:t>кращены. Именно неустойчивая работа моторов М-89 не позволила рекомендовать самолет в большую серию. Определенные надежды связывались с установкой на Та-3 моторов АМ-37 (1200/1500 л.с.) и М-82А (1400/1700 л.е.), но ОКБ-483 в конце 1942 г. расформировали. Работы по самолету Та-3 закрыли.</w:t>
      </w:r>
    </w:p>
    <w:p w14:paraId="68DA581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Отметим, что еще в 1940 г. в раз</w:t>
      </w:r>
      <w:r w:rsidRPr="008127F8">
        <w:rPr>
          <w:rFonts w:ascii="Times New Roman" w:hAnsi="Times New Roman"/>
          <w:color w:val="000000" w:themeColor="text1"/>
          <w:sz w:val="16"/>
          <w:szCs w:val="16"/>
        </w:rPr>
        <w:softHyphen/>
        <w:t>витие боевой схемы самолета ОКО-6 Таировым был разработан эскизный проект двухмоторного истребителя ОКО-7 с моторами АМ-37 (или М-90) и улучшенной конструкцией. Назначение самолета: истребитель-перехватчик, истребитель сопровождения, самолет для борьбы с крупными наземными целями, легкий скоростной бомбардировщик.</w:t>
      </w:r>
    </w:p>
    <w:p w14:paraId="1B728F0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Нормальный полетный вес ОКО-7 с мотором АМ-37 равнялся 6700 кг (в пере</w:t>
      </w:r>
      <w:r w:rsidRPr="008127F8">
        <w:rPr>
          <w:rFonts w:ascii="Times New Roman" w:hAnsi="Times New Roman"/>
          <w:color w:val="000000" w:themeColor="text1"/>
          <w:sz w:val="16"/>
          <w:szCs w:val="16"/>
        </w:rPr>
        <w:softHyphen/>
        <w:t>грузку 7750 кг). Максимальная скорость у земли - 515 км/ч, на высоте 7000 м - 658 км/ч. Скоростная дальность полета - 1300 км (в перегрузку 1650 км).</w:t>
      </w:r>
    </w:p>
    <w:p w14:paraId="14E6A2A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мотором М-90 полетный вес самолета был выше - 6850 кг (в перегрузку 7720 кг). Максимальная скорость у земли - 513 км/ч, на высоте 7000 м - 647 км/ч.</w:t>
      </w:r>
    </w:p>
    <w:p w14:paraId="6EFA3AE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заключении на эскизный проект, утвержденный НИИ ВВС 9 декабря 1940 г., указывалось, что по летным данным и вооружению ОКО-7 превосходит все существующие боевые самолеты анало</w:t>
      </w:r>
      <w:r w:rsidRPr="008127F8">
        <w:rPr>
          <w:rFonts w:ascii="Times New Roman" w:hAnsi="Times New Roman"/>
          <w:color w:val="000000" w:themeColor="text1"/>
          <w:sz w:val="16"/>
          <w:szCs w:val="16"/>
        </w:rPr>
        <w:softHyphen/>
        <w:t>гичного назначения, но не соответствует полностью ТТТ. В частности, по заданию самолет должен был иметь скорость 650 км/ч на высоте 5000 м. После этого Таирову поставили задачу более подробно разработать эскизный проект ОКО-7 с моторами М-90, которые по живучести в бою имели преимущество, и подвесными бензобаками. Постройка самолета ОКО-7 рекомендовалась для включения в план опытного строительства на 1941 г.</w:t>
      </w:r>
    </w:p>
    <w:p w14:paraId="10B29B2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плане опытного самолетостроения на 1940-1941 гг. стоял и двухмоторный истребитель ОКО-8 с двумя моторами АМ-36 и толкающими винтами. Поскольку АМ-36 оказались нереальными, то в конце марта 1940 г. их решили заменить мото</w:t>
      </w:r>
      <w:r w:rsidRPr="008127F8">
        <w:rPr>
          <w:rFonts w:ascii="Times New Roman" w:hAnsi="Times New Roman"/>
          <w:color w:val="000000" w:themeColor="text1"/>
          <w:sz w:val="16"/>
          <w:szCs w:val="16"/>
        </w:rPr>
        <w:softHyphen/>
        <w:t>рами М-120, а затем М-90. Как следует из документов, к февралю 1941 г. по само</w:t>
      </w:r>
      <w:r w:rsidRPr="008127F8">
        <w:rPr>
          <w:rFonts w:ascii="Times New Roman" w:hAnsi="Times New Roman"/>
          <w:color w:val="000000" w:themeColor="text1"/>
          <w:sz w:val="16"/>
          <w:szCs w:val="16"/>
        </w:rPr>
        <w:softHyphen/>
        <w:t>лету ОКО-8 почти ничего не было сделано. В связи с сильной загрузкой конструктор</w:t>
      </w:r>
      <w:r w:rsidRPr="008127F8">
        <w:rPr>
          <w:rFonts w:ascii="Times New Roman" w:hAnsi="Times New Roman"/>
          <w:color w:val="000000" w:themeColor="text1"/>
          <w:sz w:val="16"/>
          <w:szCs w:val="16"/>
        </w:rPr>
        <w:softHyphen/>
        <w:t>ского бюро по Та-3 Таиров ходатайствовал «о замене задания».</w:t>
      </w:r>
    </w:p>
    <w:p w14:paraId="2EF68B3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Истребитель-штурмовик ОКО-ббис с двигателями М-88р, как никакой другой самолет ВВС КА, прошел большой цикл заводских испытаний, завершившихся в целом успешно. Был построен и всесторон</w:t>
      </w:r>
      <w:r w:rsidRPr="008127F8">
        <w:rPr>
          <w:rFonts w:ascii="Times New Roman" w:hAnsi="Times New Roman"/>
          <w:color w:val="000000" w:themeColor="text1"/>
          <w:sz w:val="16"/>
          <w:szCs w:val="16"/>
        </w:rPr>
        <w:softHyphen/>
        <w:t>не испытан самолет Та-3 с более мощными моторами М-89. Проведены серьезные проработки по дальнейшему совершенство</w:t>
      </w:r>
      <w:r w:rsidRPr="008127F8">
        <w:rPr>
          <w:rFonts w:ascii="Times New Roman" w:hAnsi="Times New Roman"/>
          <w:color w:val="000000" w:themeColor="text1"/>
          <w:sz w:val="16"/>
          <w:szCs w:val="16"/>
        </w:rPr>
        <w:softHyphen/>
        <w:t>ванию самолета и повышению его боевой эффективности. Необходимость принятия машины на вооружение хорошо понимало не только руководство ВВС, но и НКАП.</w:t>
      </w:r>
    </w:p>
    <w:p w14:paraId="4347C6B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Несомненным достоинством тяжелого истребителя Таирова являлись весьма высокие для своего времени скоростные качества, характеристики маневренности и боевые возможности. При сравнении, например, с такими известными двух</w:t>
      </w:r>
      <w:r w:rsidRPr="008127F8">
        <w:rPr>
          <w:rFonts w:ascii="Times New Roman" w:hAnsi="Times New Roman"/>
          <w:color w:val="000000" w:themeColor="text1"/>
          <w:sz w:val="16"/>
          <w:szCs w:val="16"/>
        </w:rPr>
        <w:softHyphen/>
        <w:t>моторными и одномоторными тяжелыми пушечными истребителями как В1110С, Ме410, Р-38Ц «Харрикейн» 11С и Як-9т, ОКО-ббис выпуска 1940 г. выглядел более чем достойно, не только не уступая им, но и превосходя их по ряду показателей.</w:t>
      </w:r>
    </w:p>
    <w:p w14:paraId="339E955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 по скорости горизонтального полета и скороподъемности ОКО-ббис был лучше немецкого двухмоторного истреби</w:t>
      </w:r>
      <w:r w:rsidRPr="008127F8">
        <w:rPr>
          <w:rFonts w:ascii="Times New Roman" w:hAnsi="Times New Roman"/>
          <w:color w:val="000000" w:themeColor="text1"/>
          <w:sz w:val="16"/>
          <w:szCs w:val="16"/>
        </w:rPr>
        <w:softHyphen/>
        <w:t>теля ВИ ЮС и английского одномоторного «Харрикейн» НС, практически не уступал американскому тяжелому истребителю Р-381. более поздней постройки. Проигры</w:t>
      </w:r>
      <w:r w:rsidRPr="008127F8">
        <w:rPr>
          <w:rFonts w:ascii="Times New Roman" w:hAnsi="Times New Roman"/>
          <w:color w:val="000000" w:themeColor="text1"/>
          <w:sz w:val="16"/>
          <w:szCs w:val="16"/>
        </w:rPr>
        <w:softHyphen/>
        <w:t>вал «бис» только Як-9т и Ме410 выпуска 1943-1944 гг.</w:t>
      </w:r>
    </w:p>
    <w:p w14:paraId="65D351E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предельной по тяге нормальной перегрузки на средних и малых высотах ОКО-ббис был несколько хуже ВШ0С (на 2%), сильно уступал Як-9т и Харрикейн ИС (на 8-9%), но превосходил Р-381.-1 иМе410, хотя и незначительно (на 1%).</w:t>
      </w:r>
    </w:p>
    <w:p w14:paraId="76F96F4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располагаемой продольной пере</w:t>
      </w:r>
      <w:r w:rsidRPr="008127F8">
        <w:rPr>
          <w:rFonts w:ascii="Times New Roman" w:hAnsi="Times New Roman"/>
          <w:color w:val="000000" w:themeColor="text1"/>
          <w:sz w:val="16"/>
          <w:szCs w:val="16"/>
        </w:rPr>
        <w:softHyphen/>
        <w:t>грузке ОКО-ббис проигрывал только «тан</w:t>
      </w:r>
      <w:r w:rsidRPr="008127F8">
        <w:rPr>
          <w:rFonts w:ascii="Times New Roman" w:hAnsi="Times New Roman"/>
          <w:color w:val="000000" w:themeColor="text1"/>
          <w:sz w:val="16"/>
          <w:szCs w:val="16"/>
        </w:rPr>
        <w:softHyphen/>
        <w:t xml:space="preserve">ковому» Як-9т (на 11%), опережая все остальные сравниваемые самолеты на </w:t>
      </w:r>
      <w:r w:rsidRPr="008127F8">
        <w:rPr>
          <w:rStyle w:val="8pt"/>
          <w:rFonts w:ascii="Times New Roman" w:hAnsi="Times New Roman" w:cs="Times New Roman"/>
          <w:color w:val="000000" w:themeColor="text1"/>
        </w:rPr>
        <w:t>10-20%.</w:t>
      </w:r>
    </w:p>
    <w:p w14:paraId="5A2E82E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Весьма высокие показателе перегрузки позволяли ОКО-ббис длительное время энергично маневрировать без потери пол</w:t>
      </w:r>
      <w:r w:rsidRPr="008127F8">
        <w:rPr>
          <w:rFonts w:ascii="Times New Roman" w:hAnsi="Times New Roman"/>
          <w:color w:val="000000" w:themeColor="text1"/>
          <w:sz w:val="16"/>
          <w:szCs w:val="16"/>
        </w:rPr>
        <w:softHyphen/>
        <w:t>ной энергии, быстро разгоняться, набирать высоту и увеличивать уровень энергии. В сочетании с достаточно неплохой защи</w:t>
      </w:r>
      <w:r w:rsidRPr="008127F8">
        <w:rPr>
          <w:rFonts w:ascii="Times New Roman" w:hAnsi="Times New Roman"/>
          <w:color w:val="000000" w:themeColor="text1"/>
          <w:sz w:val="16"/>
          <w:szCs w:val="16"/>
        </w:rPr>
        <w:softHyphen/>
        <w:t>щенностью с основных ракурсов обстрела (за счет бронирования кабины летчика и ее экранирования элементами конструкции машины) и мощным вооружением это резко повышало эффективность самолета в воз</w:t>
      </w:r>
      <w:r w:rsidRPr="008127F8">
        <w:rPr>
          <w:rFonts w:ascii="Times New Roman" w:hAnsi="Times New Roman"/>
          <w:color w:val="000000" w:themeColor="text1"/>
          <w:sz w:val="16"/>
          <w:szCs w:val="16"/>
        </w:rPr>
        <w:softHyphen/>
        <w:t>душном бою с противником и при действиях по наземным целям.</w:t>
      </w:r>
    </w:p>
    <w:p w14:paraId="4561CEC9" w14:textId="77777777" w:rsidR="007C5583" w:rsidRPr="008127F8" w:rsidRDefault="007C5583" w:rsidP="007C5583">
      <w:pPr>
        <w:tabs>
          <w:tab w:val="left" w:pos="219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Сравнение по комплексному критерию оценки маневренных качеств самолетов </w:t>
      </w:r>
      <w:r w:rsidRPr="008127F8">
        <w:rPr>
          <w:rFonts w:ascii="Times New Roman" w:hAnsi="Times New Roman"/>
          <w:color w:val="000000" w:themeColor="text1"/>
          <w:sz w:val="16"/>
          <w:szCs w:val="16"/>
          <w:vertAlign w:val="superscript"/>
        </w:rPr>
        <w:t>м=</w:t>
      </w:r>
      <w:r w:rsidRPr="008127F8">
        <w:rPr>
          <w:rFonts w:ascii="Times New Roman" w:hAnsi="Times New Roman"/>
          <w:color w:val="000000" w:themeColor="text1"/>
          <w:sz w:val="16"/>
          <w:szCs w:val="16"/>
        </w:rPr>
        <w:t>Ч™</w:t>
      </w:r>
      <w:r w:rsidRPr="008127F8">
        <w:rPr>
          <w:rFonts w:ascii="Times New Roman" w:hAnsi="Times New Roman"/>
          <w:color w:val="000000" w:themeColor="text1"/>
          <w:sz w:val="16"/>
          <w:szCs w:val="16"/>
          <w:vertAlign w:val="superscript"/>
        </w:rPr>
        <w:t>+10</w:t>
      </w:r>
      <w:r w:rsidRPr="008127F8">
        <w:rPr>
          <w:rFonts w:ascii="Times New Roman" w:hAnsi="Times New Roman"/>
          <w:color w:val="000000" w:themeColor="text1"/>
          <w:sz w:val="16"/>
          <w:szCs w:val="16"/>
        </w:rPr>
        <w:t>ЧгЧт,(Ч™</w:t>
      </w:r>
      <w:r w:rsidRPr="008127F8">
        <w:rPr>
          <w:rFonts w:ascii="Times New Roman" w:hAnsi="Times New Roman"/>
          <w:color w:val="000000" w:themeColor="text1"/>
          <w:sz w:val="16"/>
          <w:szCs w:val="16"/>
        </w:rPr>
        <w:tab/>
        <w:t>-максималь ная, минимальная и вертикальная скорости полета), предложенному в сентябре 1943 г. ведущим инженером НИИ ВВС КА кандида</w:t>
      </w:r>
      <w:r w:rsidRPr="008127F8">
        <w:rPr>
          <w:rFonts w:ascii="Times New Roman" w:hAnsi="Times New Roman"/>
          <w:color w:val="000000" w:themeColor="text1"/>
          <w:sz w:val="16"/>
          <w:szCs w:val="16"/>
        </w:rPr>
        <w:softHyphen/>
        <w:t>том технических наук (большая редкость в то время) инженер-майором В.Ф. Болотнико</w:t>
      </w:r>
      <w:r w:rsidRPr="008127F8">
        <w:rPr>
          <w:rFonts w:ascii="Times New Roman" w:hAnsi="Times New Roman"/>
          <w:color w:val="000000" w:themeColor="text1"/>
          <w:sz w:val="16"/>
          <w:szCs w:val="16"/>
        </w:rPr>
        <w:softHyphen/>
        <w:t>вым, показывает, что ОКО-ббис находился «на передовых рубежах развития мировой авиации». По этому показателю «бис» В. К. Таирова уступал лишь советскому Як-9т (на 19%), был равноценен германскому Ме410В-2 и превосходил все остальные сравниваемые самолеты (на 5-15%).</w:t>
      </w:r>
    </w:p>
    <w:p w14:paraId="5446C531" w14:textId="77777777" w:rsidR="007C5583" w:rsidRPr="008127F8" w:rsidRDefault="007C5583" w:rsidP="007C5583">
      <w:pPr>
        <w:tabs>
          <w:tab w:val="left" w:pos="219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тах у тт</w:t>
      </w:r>
      <w:r w:rsidRPr="008127F8">
        <w:rPr>
          <w:rFonts w:ascii="Times New Roman" w:hAnsi="Times New Roman"/>
          <w:color w:val="000000" w:themeColor="text1"/>
          <w:sz w:val="16"/>
          <w:szCs w:val="16"/>
          <w:vertAlign w:val="superscript"/>
        </w:rPr>
        <w:t>х</w:t>
      </w:r>
      <w:r w:rsidRPr="008127F8">
        <w:rPr>
          <w:rFonts w:ascii="Times New Roman" w:hAnsi="Times New Roman"/>
          <w:color w:val="000000" w:themeColor="text1"/>
          <w:sz w:val="16"/>
          <w:szCs w:val="16"/>
        </w:rPr>
        <w:t xml:space="preserve"> тах' тт у</w:t>
      </w:r>
    </w:p>
    <w:p w14:paraId="3A07D04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Положительным и весьма важным моментом являлось использование на ОКО-бис моторов воздушного охлаждения, лучше «державшими» попадания пуль и осколков, чем моторы с жидкостным охлаждением (12614).</w:t>
      </w:r>
    </w:p>
    <w:p w14:paraId="58CE07B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30ABBB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мая 1942 года оставшаяся часть завода №30 в Иваньково не работала, находилась под охраной в законсервированном состоянии.</w:t>
      </w:r>
    </w:p>
    <w:p w14:paraId="7DD12DB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приказом НКАП за № 372с от 11 мая 1942 года на базе завода № 30 был создан опытный завод № 458. Этим же приказом гл. конструктором и директором завода был назначен Четвериков.</w:t>
      </w:r>
    </w:p>
    <w:p w14:paraId="5CD34F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Перед заводом были поставлены задачи по опытному проектированию гидросамолетов и их ремонту.</w:t>
      </w:r>
    </w:p>
    <w:p w14:paraId="31ACE79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МАП № 288сс от 19 апреля 1946 года завод № 458 реорганизуется в опытный завод № 1 и подчиняется непосредственно министру авиапромышленности.</w:t>
      </w:r>
    </w:p>
    <w:p w14:paraId="513E9A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Решением СМ от 1 сентября 1951 года за № 3251-1545 на базе Опытного завода № 1 создается завод № 256 МАП.</w:t>
      </w:r>
    </w:p>
    <w:p w14:paraId="69A7BB2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Директора: С 1940 года – Загайнов, в том же году его сменил Руденко Я.К.</w:t>
      </w:r>
    </w:p>
    <w:p w14:paraId="62C3EBB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НКАП за № 372с от 11 мая 1942 года директором и гл. конструктором завода назначается Четвериков. В апреле 1946 года директором назначается Абрамов В.И. В январе 1950 года директором назначается Смирнов П.П. 29 августа 1959 года директором назначается Лисицын В.Н. В августе 1951 года директором назначается Белиловский С.И.</w:t>
      </w:r>
    </w:p>
    <w:p w14:paraId="11367A7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Иваньково Московской обл., п/я 6</w:t>
      </w:r>
    </w:p>
    <w:p w14:paraId="7204D6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Гл. конструкторы завода: Четвериков, с 13 ноября 1944 года – Горбунов. 21 декабря 1949 года приказом МАП № 724-К должность была упразднена.</w:t>
      </w:r>
    </w:p>
    <w:p w14:paraId="3EA34A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256 расположен на левом берегу Волги, северной Иваньковской плотины канала им. Москвы, на расстоянии 2-х км от Москвы (9595).</w:t>
      </w:r>
    </w:p>
    <w:p w14:paraId="197952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56ED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Д.Н.Колесников в ответе на замечания акта по испытаниям КЦ-2 выступил с предложением по установке на серийный вариант КЦ-20 двух М-11 (94,109).</w:t>
      </w:r>
    </w:p>
    <w:p w14:paraId="47E025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04C51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Колесников так</w:t>
      </w:r>
      <w:r w:rsidRPr="008127F8">
        <w:rPr>
          <w:rFonts w:ascii="Times New Roman" w:hAnsi="Times New Roman"/>
          <w:color w:val="000000" w:themeColor="text1"/>
          <w:sz w:val="16"/>
          <w:szCs w:val="16"/>
        </w:rPr>
        <w:softHyphen/>
        <w:t>же предложил превратить КЦ в мото</w:t>
      </w:r>
      <w:r w:rsidRPr="008127F8">
        <w:rPr>
          <w:rFonts w:ascii="Times New Roman" w:hAnsi="Times New Roman"/>
          <w:color w:val="000000" w:themeColor="text1"/>
          <w:sz w:val="16"/>
          <w:szCs w:val="16"/>
        </w:rPr>
        <w:softHyphen/>
        <w:t>планёр с установкой на нём двух дви</w:t>
      </w:r>
      <w:r w:rsidRPr="008127F8">
        <w:rPr>
          <w:rFonts w:ascii="Times New Roman" w:hAnsi="Times New Roman"/>
          <w:color w:val="000000" w:themeColor="text1"/>
          <w:sz w:val="16"/>
          <w:szCs w:val="16"/>
        </w:rPr>
        <w:softHyphen/>
        <w:t>гателей М-11. Позже это предложение проработали применительно к серийно</w:t>
      </w:r>
      <w:r w:rsidRPr="008127F8">
        <w:rPr>
          <w:rFonts w:ascii="Times New Roman" w:hAnsi="Times New Roman"/>
          <w:color w:val="000000" w:themeColor="text1"/>
          <w:sz w:val="16"/>
          <w:szCs w:val="16"/>
        </w:rPr>
        <w:softHyphen/>
        <w:t>му КЦ-20. Взлетать он должен был на буксире, но зато далее мог самостоя</w:t>
      </w:r>
      <w:r w:rsidRPr="008127F8">
        <w:rPr>
          <w:rFonts w:ascii="Times New Roman" w:hAnsi="Times New Roman"/>
          <w:color w:val="000000" w:themeColor="text1"/>
          <w:sz w:val="16"/>
          <w:szCs w:val="16"/>
        </w:rPr>
        <w:softHyphen/>
        <w:t>тельно выполнять полёт на дальность 1500 км. Но детально такой проект не разрабатывали (12266).</w:t>
      </w:r>
    </w:p>
    <w:p w14:paraId="3B0A827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D3CBB9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В.К.Грибовский закончил эскизный проект Г-11 с М-11 на пилоне - Г-11М. Построили, но испытать не смогли из-за отсутствия мотора (94,109).</w:t>
      </w:r>
    </w:p>
    <w:p w14:paraId="3DF67D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4526C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Грибовский подготовил эскизный проект мотоп</w:t>
      </w:r>
      <w:r w:rsidRPr="008127F8">
        <w:rPr>
          <w:rFonts w:ascii="Times New Roman" w:hAnsi="Times New Roman"/>
          <w:color w:val="000000" w:themeColor="text1"/>
          <w:sz w:val="16"/>
          <w:szCs w:val="16"/>
        </w:rPr>
        <w:softHyphen/>
        <w:t>ланёра Г-11М. такого ап</w:t>
      </w:r>
      <w:r w:rsidRPr="008127F8">
        <w:rPr>
          <w:rFonts w:ascii="Times New Roman" w:hAnsi="Times New Roman"/>
          <w:color w:val="000000" w:themeColor="text1"/>
          <w:sz w:val="16"/>
          <w:szCs w:val="16"/>
        </w:rPr>
        <w:softHyphen/>
        <w:t>парата с мотором М-11. Рассматрива</w:t>
      </w:r>
      <w:r w:rsidRPr="008127F8">
        <w:rPr>
          <w:rFonts w:ascii="Times New Roman" w:hAnsi="Times New Roman"/>
          <w:color w:val="000000" w:themeColor="text1"/>
          <w:sz w:val="16"/>
          <w:szCs w:val="16"/>
        </w:rPr>
        <w:softHyphen/>
        <w:t>лись два варианта монтажа двигателя: в носовой части фюзеляжа и на фер</w:t>
      </w:r>
      <w:r w:rsidRPr="008127F8">
        <w:rPr>
          <w:rFonts w:ascii="Times New Roman" w:hAnsi="Times New Roman"/>
          <w:color w:val="000000" w:themeColor="text1"/>
          <w:sz w:val="16"/>
          <w:szCs w:val="16"/>
        </w:rPr>
        <w:softHyphen/>
        <w:t>менном пилоне над крылом. Остано</w:t>
      </w:r>
      <w:r w:rsidRPr="008127F8">
        <w:rPr>
          <w:rFonts w:ascii="Times New Roman" w:hAnsi="Times New Roman"/>
          <w:color w:val="000000" w:themeColor="text1"/>
          <w:sz w:val="16"/>
          <w:szCs w:val="16"/>
        </w:rPr>
        <w:softHyphen/>
        <w:t>вились на последнем, поскольку это позволяло выполнить мотоустановку съёмной, унифицировав планёр и мото</w:t>
      </w:r>
      <w:r w:rsidRPr="008127F8">
        <w:rPr>
          <w:rFonts w:ascii="Times New Roman" w:hAnsi="Times New Roman"/>
          <w:color w:val="000000" w:themeColor="text1"/>
          <w:sz w:val="16"/>
          <w:szCs w:val="16"/>
        </w:rPr>
        <w:softHyphen/>
        <w:t>планёр. Кроме того, расчёты показыва</w:t>
      </w:r>
      <w:r w:rsidRPr="008127F8">
        <w:rPr>
          <w:rFonts w:ascii="Times New Roman" w:hAnsi="Times New Roman"/>
          <w:color w:val="000000" w:themeColor="text1"/>
          <w:sz w:val="16"/>
          <w:szCs w:val="16"/>
        </w:rPr>
        <w:softHyphen/>
        <w:t>ли, что центровка при этом сохраняется неизменной.</w:t>
      </w:r>
    </w:p>
    <w:p w14:paraId="5BED32B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Мотоустановка в гондоле каплевид</w:t>
      </w:r>
      <w:r w:rsidRPr="008127F8">
        <w:rPr>
          <w:rFonts w:ascii="Times New Roman" w:hAnsi="Times New Roman"/>
          <w:color w:val="000000" w:themeColor="text1"/>
          <w:sz w:val="16"/>
          <w:szCs w:val="16"/>
        </w:rPr>
        <w:softHyphen/>
        <w:t>ной формы крепилась на вершине фер</w:t>
      </w:r>
      <w:r w:rsidRPr="008127F8">
        <w:rPr>
          <w:rFonts w:ascii="Times New Roman" w:hAnsi="Times New Roman"/>
          <w:color w:val="000000" w:themeColor="text1"/>
          <w:sz w:val="16"/>
          <w:szCs w:val="16"/>
        </w:rPr>
        <w:softHyphen/>
        <w:t>мы из труб. В обтекателе за мотором размещались бензобак, маслобак и все необходимые агрегаты.</w:t>
      </w:r>
    </w:p>
    <w:p w14:paraId="35BFD74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расчётам, максимальный взлёт</w:t>
      </w:r>
      <w:r w:rsidRPr="008127F8">
        <w:rPr>
          <w:rFonts w:ascii="Times New Roman" w:hAnsi="Times New Roman"/>
          <w:color w:val="000000" w:themeColor="text1"/>
          <w:sz w:val="16"/>
          <w:szCs w:val="16"/>
        </w:rPr>
        <w:softHyphen/>
        <w:t>ный вес мотопланёра определялся в 2400 кг, полезная нагрузка - 900 кг. Мак</w:t>
      </w:r>
      <w:r w:rsidRPr="008127F8">
        <w:rPr>
          <w:rFonts w:ascii="Times New Roman" w:hAnsi="Times New Roman"/>
          <w:color w:val="000000" w:themeColor="text1"/>
          <w:sz w:val="16"/>
          <w:szCs w:val="16"/>
        </w:rPr>
        <w:softHyphen/>
        <w:t>симальная скорость без груза -150 км/ч, с грузом -130 км/ч, практический пото</w:t>
      </w:r>
      <w:r w:rsidRPr="008127F8">
        <w:rPr>
          <w:rFonts w:ascii="Times New Roman" w:hAnsi="Times New Roman"/>
          <w:color w:val="000000" w:themeColor="text1"/>
          <w:sz w:val="16"/>
          <w:szCs w:val="16"/>
        </w:rPr>
        <w:softHyphen/>
        <w:t>лок - 3000 м (с грузом - всего 500 м), радиус действия - 250 км.</w:t>
      </w:r>
    </w:p>
    <w:p w14:paraId="1BB259C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Опытный образец Г-11М доставили на аэродром для испытаний, но при пробе мотора он вышел из строя - не</w:t>
      </w:r>
      <w:r w:rsidRPr="008127F8">
        <w:rPr>
          <w:rFonts w:ascii="Times New Roman" w:hAnsi="Times New Roman"/>
          <w:color w:val="000000" w:themeColor="text1"/>
          <w:sz w:val="16"/>
          <w:szCs w:val="16"/>
        </w:rPr>
        <w:softHyphen/>
        <w:t>правильно смонтировали маслопро- водку. Другого двигателя Грибовскому не дали, мотоустановку с Г-11М сня</w:t>
      </w:r>
      <w:r w:rsidRPr="008127F8">
        <w:rPr>
          <w:rFonts w:ascii="Times New Roman" w:hAnsi="Times New Roman"/>
          <w:color w:val="000000" w:themeColor="text1"/>
          <w:sz w:val="16"/>
          <w:szCs w:val="16"/>
        </w:rPr>
        <w:softHyphen/>
        <w:t>ли и сдали его военным как обычный планёр (12266).</w:t>
      </w:r>
    </w:p>
    <w:p w14:paraId="242A9D0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1D6F3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на заводе 21 проходил испытания ЛаГГ-5 М-82 (796,13).</w:t>
      </w:r>
    </w:p>
    <w:p w14:paraId="7E53EC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AA42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директором завода № 19 был назначен Солдатов А.Г. В 1942 году завод выполнил производственную программу по выпуску мотора АШ-82. В 1943 году завод в большом количестве выпускал моторы АШ-82 и занимался доводкой моторов АШ-82ФН. Программа 1944 года была выполнена на 92,5%, завод выпустил 7639 моторов АШ-82ФН, АШ-82 и АШ-62ИР. В 1945 году завод выпускал эти же моторы. В 1945 году началось освоение производства моторов АШ-73. В 1946 году одновременно с производством моторов АШ-82ФН и АШ-62ИР развернулась работа по освоению и выпуску малой серии моторов АШ-73 и турбокомпрессоров. К концу года было выпущено 79 моторов АШ-73 и 18 турбокомпрессоров.</w:t>
      </w:r>
    </w:p>
    <w:p w14:paraId="42C0F4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Программа 1947 года характеризуется увеличением в три раза выпуска моторов АШ-82ФН и в два раза моторов АШ-73 и сокращением производства моторов АШ-62ИР. 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7F6FCE8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7C5583" w:rsidRPr="008127F8" w14:paraId="5CC754C3" w14:textId="77777777" w:rsidTr="004C5D62">
        <w:tc>
          <w:tcPr>
            <w:tcW w:w="1160" w:type="dxa"/>
          </w:tcPr>
          <w:p w14:paraId="7F53D6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Типы изделий</w:t>
            </w:r>
          </w:p>
        </w:tc>
        <w:tc>
          <w:tcPr>
            <w:tcW w:w="791" w:type="dxa"/>
          </w:tcPr>
          <w:p w14:paraId="4E48BBF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1950 год</w:t>
            </w:r>
          </w:p>
        </w:tc>
        <w:tc>
          <w:tcPr>
            <w:tcW w:w="851" w:type="dxa"/>
          </w:tcPr>
          <w:p w14:paraId="575FF8E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1951 год</w:t>
            </w:r>
          </w:p>
        </w:tc>
        <w:tc>
          <w:tcPr>
            <w:tcW w:w="850" w:type="dxa"/>
          </w:tcPr>
          <w:p w14:paraId="17DD822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1952 год</w:t>
            </w:r>
          </w:p>
        </w:tc>
        <w:tc>
          <w:tcPr>
            <w:tcW w:w="851" w:type="dxa"/>
          </w:tcPr>
          <w:p w14:paraId="27D6D4C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1953 год</w:t>
            </w:r>
          </w:p>
        </w:tc>
        <w:tc>
          <w:tcPr>
            <w:tcW w:w="850" w:type="dxa"/>
          </w:tcPr>
          <w:p w14:paraId="77ADC27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1954 год</w:t>
            </w:r>
          </w:p>
        </w:tc>
        <w:tc>
          <w:tcPr>
            <w:tcW w:w="851" w:type="dxa"/>
          </w:tcPr>
          <w:p w14:paraId="600B1A5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1955 год</w:t>
            </w:r>
          </w:p>
        </w:tc>
        <w:tc>
          <w:tcPr>
            <w:tcW w:w="850" w:type="dxa"/>
          </w:tcPr>
          <w:p w14:paraId="24FE48D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1956 год</w:t>
            </w:r>
          </w:p>
        </w:tc>
        <w:tc>
          <w:tcPr>
            <w:tcW w:w="851" w:type="dxa"/>
          </w:tcPr>
          <w:p w14:paraId="4A3DDDD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1957 год</w:t>
            </w:r>
          </w:p>
        </w:tc>
        <w:tc>
          <w:tcPr>
            <w:tcW w:w="850" w:type="dxa"/>
          </w:tcPr>
          <w:p w14:paraId="42734F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1958 год</w:t>
            </w:r>
          </w:p>
        </w:tc>
      </w:tr>
      <w:tr w:rsidR="007C5583" w:rsidRPr="008127F8" w14:paraId="5A58FE60" w14:textId="77777777" w:rsidTr="004C5D62">
        <w:tc>
          <w:tcPr>
            <w:tcW w:w="1160" w:type="dxa"/>
          </w:tcPr>
          <w:p w14:paraId="660B98C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АШ-82ФН</w:t>
            </w:r>
          </w:p>
        </w:tc>
        <w:tc>
          <w:tcPr>
            <w:tcW w:w="791" w:type="dxa"/>
          </w:tcPr>
          <w:p w14:paraId="65F0DF4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851" w:type="dxa"/>
          </w:tcPr>
          <w:p w14:paraId="64B1E66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510</w:t>
            </w:r>
          </w:p>
        </w:tc>
        <w:tc>
          <w:tcPr>
            <w:tcW w:w="850" w:type="dxa"/>
          </w:tcPr>
          <w:p w14:paraId="17E1E2A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C1E31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C318D7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40D238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71A258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1E7A3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94294F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66A1541" w14:textId="77777777" w:rsidTr="004C5D62">
        <w:tc>
          <w:tcPr>
            <w:tcW w:w="1160" w:type="dxa"/>
          </w:tcPr>
          <w:p w14:paraId="232394E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АШ-73</w:t>
            </w:r>
          </w:p>
        </w:tc>
        <w:tc>
          <w:tcPr>
            <w:tcW w:w="791" w:type="dxa"/>
          </w:tcPr>
          <w:p w14:paraId="271388C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1973</w:t>
            </w:r>
          </w:p>
        </w:tc>
        <w:tc>
          <w:tcPr>
            <w:tcW w:w="851" w:type="dxa"/>
          </w:tcPr>
          <w:p w14:paraId="3372281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1939</w:t>
            </w:r>
          </w:p>
        </w:tc>
        <w:tc>
          <w:tcPr>
            <w:tcW w:w="850" w:type="dxa"/>
          </w:tcPr>
          <w:p w14:paraId="3D79856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1207</w:t>
            </w:r>
          </w:p>
        </w:tc>
        <w:tc>
          <w:tcPr>
            <w:tcW w:w="851" w:type="dxa"/>
          </w:tcPr>
          <w:p w14:paraId="79FF81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A2A518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87604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8850CE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4E0C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44E2EE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D423372" w14:textId="77777777" w:rsidTr="004C5D62">
        <w:tc>
          <w:tcPr>
            <w:tcW w:w="1160" w:type="dxa"/>
          </w:tcPr>
          <w:p w14:paraId="6EBE476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ТК-19</w:t>
            </w:r>
          </w:p>
        </w:tc>
        <w:tc>
          <w:tcPr>
            <w:tcW w:w="791" w:type="dxa"/>
          </w:tcPr>
          <w:p w14:paraId="14C771F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6B3E3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3678</w:t>
            </w:r>
          </w:p>
        </w:tc>
        <w:tc>
          <w:tcPr>
            <w:tcW w:w="850" w:type="dxa"/>
          </w:tcPr>
          <w:p w14:paraId="273F5E2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2800</w:t>
            </w:r>
          </w:p>
        </w:tc>
        <w:tc>
          <w:tcPr>
            <w:tcW w:w="851" w:type="dxa"/>
          </w:tcPr>
          <w:p w14:paraId="450C26F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w:t>
            </w:r>
          </w:p>
        </w:tc>
        <w:tc>
          <w:tcPr>
            <w:tcW w:w="850" w:type="dxa"/>
          </w:tcPr>
          <w:p w14:paraId="7E404E1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00993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602396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620D2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29E482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C157B59" w14:textId="77777777" w:rsidTr="004C5D62">
        <w:tc>
          <w:tcPr>
            <w:tcW w:w="1160" w:type="dxa"/>
          </w:tcPr>
          <w:p w14:paraId="0FBC4FE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АШ-82В</w:t>
            </w:r>
          </w:p>
        </w:tc>
        <w:tc>
          <w:tcPr>
            <w:tcW w:w="791" w:type="dxa"/>
          </w:tcPr>
          <w:p w14:paraId="4651AF8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C69AE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C30EB0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183</w:t>
            </w:r>
          </w:p>
        </w:tc>
        <w:tc>
          <w:tcPr>
            <w:tcW w:w="851" w:type="dxa"/>
          </w:tcPr>
          <w:p w14:paraId="0BB643D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650</w:t>
            </w:r>
          </w:p>
        </w:tc>
        <w:tc>
          <w:tcPr>
            <w:tcW w:w="850" w:type="dxa"/>
          </w:tcPr>
          <w:p w14:paraId="6A555B1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93</w:t>
            </w:r>
          </w:p>
        </w:tc>
        <w:tc>
          <w:tcPr>
            <w:tcW w:w="851" w:type="dxa"/>
          </w:tcPr>
          <w:p w14:paraId="679415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850" w:type="dxa"/>
          </w:tcPr>
          <w:p w14:paraId="370A171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2562D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A4CB70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46AF406" w14:textId="77777777" w:rsidTr="004C5D62">
        <w:tc>
          <w:tcPr>
            <w:tcW w:w="1160" w:type="dxa"/>
          </w:tcPr>
          <w:p w14:paraId="5F2A0B4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АШ-82Т</w:t>
            </w:r>
          </w:p>
        </w:tc>
        <w:tc>
          <w:tcPr>
            <w:tcW w:w="791" w:type="dxa"/>
          </w:tcPr>
          <w:p w14:paraId="6B00807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4DE40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0317F0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E379B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850" w:type="dxa"/>
          </w:tcPr>
          <w:p w14:paraId="02C0A46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255</w:t>
            </w:r>
          </w:p>
        </w:tc>
        <w:tc>
          <w:tcPr>
            <w:tcW w:w="851" w:type="dxa"/>
          </w:tcPr>
          <w:p w14:paraId="33705D4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850" w:type="dxa"/>
          </w:tcPr>
          <w:p w14:paraId="78B7F7A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A4C9F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0E4CBC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3C2C653" w14:textId="77777777" w:rsidTr="004C5D62">
        <w:tc>
          <w:tcPr>
            <w:tcW w:w="1160" w:type="dxa"/>
          </w:tcPr>
          <w:p w14:paraId="76207C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ВК-1А</w:t>
            </w:r>
          </w:p>
        </w:tc>
        <w:tc>
          <w:tcPr>
            <w:tcW w:w="791" w:type="dxa"/>
          </w:tcPr>
          <w:p w14:paraId="575E86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52120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789A3C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5BF27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w:t>
            </w:r>
          </w:p>
        </w:tc>
        <w:tc>
          <w:tcPr>
            <w:tcW w:w="850" w:type="dxa"/>
          </w:tcPr>
          <w:p w14:paraId="1071806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954</w:t>
            </w:r>
          </w:p>
        </w:tc>
        <w:tc>
          <w:tcPr>
            <w:tcW w:w="851" w:type="dxa"/>
          </w:tcPr>
          <w:p w14:paraId="6D5863C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2F7EF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BE363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833BC1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0096EE8" w14:textId="77777777" w:rsidTr="004C5D62">
        <w:tc>
          <w:tcPr>
            <w:tcW w:w="1160" w:type="dxa"/>
          </w:tcPr>
          <w:p w14:paraId="323F12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w:t>
            </w:r>
          </w:p>
        </w:tc>
        <w:tc>
          <w:tcPr>
            <w:tcW w:w="791" w:type="dxa"/>
          </w:tcPr>
          <w:p w14:paraId="38A55E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22BCA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EAB3CF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4E865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185147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7011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435</w:t>
            </w:r>
          </w:p>
        </w:tc>
        <w:tc>
          <w:tcPr>
            <w:tcW w:w="850" w:type="dxa"/>
          </w:tcPr>
          <w:p w14:paraId="4B6B5C2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556</w:t>
            </w:r>
          </w:p>
        </w:tc>
        <w:tc>
          <w:tcPr>
            <w:tcW w:w="851" w:type="dxa"/>
          </w:tcPr>
          <w:p w14:paraId="70BB157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271</w:t>
            </w:r>
          </w:p>
        </w:tc>
        <w:tc>
          <w:tcPr>
            <w:tcW w:w="850" w:type="dxa"/>
          </w:tcPr>
          <w:p w14:paraId="5433532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44A78DA" w14:textId="77777777" w:rsidTr="004C5D62">
        <w:tc>
          <w:tcPr>
            <w:tcW w:w="1160" w:type="dxa"/>
          </w:tcPr>
          <w:p w14:paraId="14F0AA8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Редуктор Р-5</w:t>
            </w:r>
          </w:p>
        </w:tc>
        <w:tc>
          <w:tcPr>
            <w:tcW w:w="791" w:type="dxa"/>
          </w:tcPr>
          <w:p w14:paraId="6FCAB44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72698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64704D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w:t>
            </w:r>
          </w:p>
        </w:tc>
        <w:tc>
          <w:tcPr>
            <w:tcW w:w="851" w:type="dxa"/>
          </w:tcPr>
          <w:p w14:paraId="3D91405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588</w:t>
            </w:r>
          </w:p>
        </w:tc>
        <w:tc>
          <w:tcPr>
            <w:tcW w:w="850" w:type="dxa"/>
          </w:tcPr>
          <w:p w14:paraId="085DFEB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021D7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850" w:type="dxa"/>
          </w:tcPr>
          <w:p w14:paraId="0130DCF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w:t>
            </w:r>
          </w:p>
        </w:tc>
        <w:tc>
          <w:tcPr>
            <w:tcW w:w="851" w:type="dxa"/>
          </w:tcPr>
          <w:p w14:paraId="4A99797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325</w:t>
            </w:r>
          </w:p>
        </w:tc>
        <w:tc>
          <w:tcPr>
            <w:tcW w:w="850" w:type="dxa"/>
          </w:tcPr>
          <w:p w14:paraId="7CD5E1F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320</w:t>
            </w:r>
          </w:p>
        </w:tc>
      </w:tr>
      <w:tr w:rsidR="007C5583" w:rsidRPr="008127F8" w14:paraId="4FA4332A" w14:textId="77777777" w:rsidTr="004C5D62">
        <w:tc>
          <w:tcPr>
            <w:tcW w:w="1160" w:type="dxa"/>
          </w:tcPr>
          <w:p w14:paraId="280B1EF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Редуктор Р-3-4</w:t>
            </w:r>
          </w:p>
        </w:tc>
        <w:tc>
          <w:tcPr>
            <w:tcW w:w="791" w:type="dxa"/>
          </w:tcPr>
          <w:p w14:paraId="4DB0709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DBBF1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D3EFA0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w:t>
            </w:r>
          </w:p>
        </w:tc>
        <w:tc>
          <w:tcPr>
            <w:tcW w:w="851" w:type="dxa"/>
          </w:tcPr>
          <w:p w14:paraId="740B81A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w:t>
            </w:r>
          </w:p>
        </w:tc>
        <w:tc>
          <w:tcPr>
            <w:tcW w:w="850" w:type="dxa"/>
          </w:tcPr>
          <w:p w14:paraId="78793D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4B921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4302FF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AD8FC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8722FE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2ADD421" w14:textId="77777777" w:rsidTr="004C5D62">
        <w:tc>
          <w:tcPr>
            <w:tcW w:w="1160" w:type="dxa"/>
          </w:tcPr>
          <w:p w14:paraId="694BBD7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Редуктор ВР-1</w:t>
            </w:r>
          </w:p>
        </w:tc>
        <w:tc>
          <w:tcPr>
            <w:tcW w:w="791" w:type="dxa"/>
          </w:tcPr>
          <w:p w14:paraId="19B0EEC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C4182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4DECF2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BD0BB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977467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D64AA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AFB785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240</w:t>
            </w:r>
          </w:p>
        </w:tc>
        <w:tc>
          <w:tcPr>
            <w:tcW w:w="851" w:type="dxa"/>
          </w:tcPr>
          <w:p w14:paraId="4C452D0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320</w:t>
            </w:r>
          </w:p>
        </w:tc>
        <w:tc>
          <w:tcPr>
            <w:tcW w:w="850" w:type="dxa"/>
          </w:tcPr>
          <w:p w14:paraId="14DD23A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411</w:t>
            </w:r>
          </w:p>
        </w:tc>
      </w:tr>
      <w:tr w:rsidR="007C5583" w:rsidRPr="008127F8" w14:paraId="5020928E" w14:textId="77777777" w:rsidTr="004C5D62">
        <w:tc>
          <w:tcPr>
            <w:tcW w:w="1160" w:type="dxa"/>
          </w:tcPr>
          <w:p w14:paraId="61AF9F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РД-3М</w:t>
            </w:r>
          </w:p>
        </w:tc>
        <w:tc>
          <w:tcPr>
            <w:tcW w:w="791" w:type="dxa"/>
          </w:tcPr>
          <w:p w14:paraId="297E1D7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3E4C2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EFD5F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4B1C1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181DF4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6035E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BFFFFB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00BB9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617</w:t>
            </w:r>
          </w:p>
        </w:tc>
        <w:tc>
          <w:tcPr>
            <w:tcW w:w="850" w:type="dxa"/>
          </w:tcPr>
          <w:p w14:paraId="1229294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570</w:t>
            </w:r>
          </w:p>
        </w:tc>
      </w:tr>
      <w:tr w:rsidR="007C5583" w:rsidRPr="008127F8" w14:paraId="04AC4DA3" w14:textId="77777777" w:rsidTr="004C5D62">
        <w:tc>
          <w:tcPr>
            <w:tcW w:w="1160" w:type="dxa"/>
          </w:tcPr>
          <w:p w14:paraId="0CA339A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АИ-20</w:t>
            </w:r>
          </w:p>
        </w:tc>
        <w:tc>
          <w:tcPr>
            <w:tcW w:w="791" w:type="dxa"/>
          </w:tcPr>
          <w:p w14:paraId="6CE7EDB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96B5A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8C4C35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8655A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F91470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5EC37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57C8F1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8ADC7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838C36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r>
    </w:tbl>
    <w:p w14:paraId="612B21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(9731)</w:t>
      </w:r>
    </w:p>
    <w:p w14:paraId="4EA4E00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33C2EA"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За май 1942 г. из 136 моторов М-82, проходивших сдаточные и контрольные испытания, по дымле</w:t>
      </w:r>
      <w:r w:rsidRPr="008127F8">
        <w:rPr>
          <w:rFonts w:ascii="Times New Roman" w:cs="Times New Roman"/>
          <w:color w:val="000000" w:themeColor="text1"/>
          <w:spacing w:val="0"/>
        </w:rPr>
        <w:softHyphen/>
        <w:t>нию цилиндров сняли 41, что вынудило завод искать меры по устранению дефекта (15813).</w:t>
      </w:r>
    </w:p>
    <w:p w14:paraId="2AC95856"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p>
    <w:p w14:paraId="094EA01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мая 1942 на Урале, до первого полета само</w:t>
      </w:r>
      <w:r w:rsidRPr="008127F8">
        <w:rPr>
          <w:rFonts w:ascii="Times New Roman" w:hAnsi="Times New Roman"/>
          <w:color w:val="000000" w:themeColor="text1"/>
          <w:sz w:val="16"/>
          <w:szCs w:val="16"/>
        </w:rPr>
        <w:softHyphen/>
        <w:t>лета, заводом № 293 был отработан переход.с пускового режима на малую тягу (400 кг.) и работа двигателя до тяги. 600 кг., на которой и был совершен пер</w:t>
      </w:r>
      <w:r w:rsidRPr="008127F8">
        <w:rPr>
          <w:rFonts w:ascii="Times New Roman" w:hAnsi="Times New Roman"/>
          <w:color w:val="000000" w:themeColor="text1"/>
          <w:sz w:val="16"/>
          <w:szCs w:val="16"/>
        </w:rPr>
        <w:softHyphen/>
        <w:t>вый вылет. Вторым этапом работы над всей двигательной установкой были испы</w:t>
      </w:r>
      <w:r w:rsidRPr="008127F8">
        <w:rPr>
          <w:rFonts w:ascii="Times New Roman" w:hAnsi="Times New Roman"/>
          <w:color w:val="000000" w:themeColor="text1"/>
          <w:sz w:val="16"/>
          <w:szCs w:val="16"/>
        </w:rPr>
        <w:softHyphen/>
        <w:t>тания двигателя на продолжительность и доведение его тяги до 1100 кг. В резуль</w:t>
      </w:r>
      <w:r w:rsidRPr="008127F8">
        <w:rPr>
          <w:rFonts w:ascii="Times New Roman" w:hAnsi="Times New Roman"/>
          <w:color w:val="000000" w:themeColor="text1"/>
          <w:sz w:val="16"/>
          <w:szCs w:val="16"/>
        </w:rPr>
        <w:softHyphen/>
        <w:t>тате этих испытаний, окончившихся в октябре 1942 г., были получены регла</w:t>
      </w:r>
      <w:r w:rsidRPr="008127F8">
        <w:rPr>
          <w:rFonts w:ascii="Times New Roman" w:hAnsi="Times New Roman"/>
          <w:color w:val="000000" w:themeColor="text1"/>
          <w:sz w:val="16"/>
          <w:szCs w:val="16"/>
        </w:rPr>
        <w:softHyphen/>
        <w:t>менты на работу сопла (6 рабочих пусков) и головку с камерой двигателя (12 рабо</w:t>
      </w:r>
      <w:r w:rsidRPr="008127F8">
        <w:rPr>
          <w:rFonts w:ascii="Times New Roman" w:hAnsi="Times New Roman"/>
          <w:color w:val="000000" w:themeColor="text1"/>
          <w:sz w:val="16"/>
          <w:szCs w:val="16"/>
        </w:rPr>
        <w:softHyphen/>
        <w:t>чих пусков). После указанной работы завод приступил к снятию летных харак</w:t>
      </w:r>
      <w:r w:rsidRPr="008127F8">
        <w:rPr>
          <w:rFonts w:ascii="Times New Roman" w:hAnsi="Times New Roman"/>
          <w:color w:val="000000" w:themeColor="text1"/>
          <w:sz w:val="16"/>
          <w:szCs w:val="16"/>
        </w:rPr>
        <w:softHyphen/>
        <w:t>теристик самолета, которые закончил в марте 1943 года (1775,138)..</w:t>
      </w:r>
    </w:p>
    <w:p w14:paraId="2860DC8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F869F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заканчивались последние чертежи пред</w:t>
      </w:r>
      <w:r w:rsidRPr="008127F8">
        <w:rPr>
          <w:rFonts w:ascii="Times New Roman" w:hAnsi="Times New Roman"/>
          <w:color w:val="000000" w:themeColor="text1"/>
          <w:sz w:val="16"/>
          <w:szCs w:val="16"/>
        </w:rPr>
        <w:softHyphen/>
        <w:t>варительного проекта НБ (Т) Н.Н.П.. В связи с изъятием станков Николай Николаевич, чтобы вы</w:t>
      </w:r>
      <w:r w:rsidRPr="008127F8">
        <w:rPr>
          <w:rFonts w:ascii="Times New Roman" w:hAnsi="Times New Roman"/>
          <w:color w:val="000000" w:themeColor="text1"/>
          <w:sz w:val="16"/>
          <w:szCs w:val="16"/>
        </w:rPr>
        <w:softHyphen/>
        <w:t>держать заданные сроки, был вынужден немедленно за</w:t>
      </w:r>
      <w:r w:rsidRPr="008127F8">
        <w:rPr>
          <w:rFonts w:ascii="Times New Roman" w:hAnsi="Times New Roman"/>
          <w:color w:val="000000" w:themeColor="text1"/>
          <w:sz w:val="16"/>
          <w:szCs w:val="16"/>
        </w:rPr>
        <w:softHyphen/>
        <w:t>пускать отдельные агрегаты в производство. Но начавшаяся постройка опытного экземпляра вско</w:t>
      </w:r>
      <w:r w:rsidRPr="008127F8">
        <w:rPr>
          <w:rFonts w:ascii="Times New Roman" w:hAnsi="Times New Roman"/>
          <w:color w:val="000000" w:themeColor="text1"/>
          <w:sz w:val="16"/>
          <w:szCs w:val="16"/>
        </w:rPr>
        <w:softHyphen/>
        <w:t>ре прекратилась: на судьбу НБ оказала влияние цепочка других событий, происходивших примерно в то же вре</w:t>
      </w:r>
      <w:r w:rsidRPr="008127F8">
        <w:rPr>
          <w:rFonts w:ascii="Times New Roman" w:hAnsi="Times New Roman"/>
          <w:color w:val="000000" w:themeColor="text1"/>
          <w:sz w:val="16"/>
          <w:szCs w:val="16"/>
        </w:rPr>
        <w:softHyphen/>
        <w:t>мя, и внешне напрямую не связанных с самолетом (10667).</w:t>
      </w:r>
    </w:p>
    <w:p w14:paraId="2306743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A6088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чертежи планера БДП (С) передали на завод № 490 в Сталинграде для се</w:t>
      </w:r>
      <w:r w:rsidRPr="008127F8">
        <w:rPr>
          <w:rFonts w:ascii="Times New Roman" w:hAnsi="Times New Roman"/>
          <w:color w:val="000000" w:themeColor="text1"/>
          <w:sz w:val="16"/>
          <w:szCs w:val="16"/>
        </w:rPr>
        <w:softHyphen/>
        <w:t>рийного производства. Одновременно туда направили бригаду конструкторов и рабочих во главе с М.О.Фасолькиным. Наркомат назначил В.С.Вахмистрова главным конструктором завода. В связи с приближением линии фронта к городу бомбежки Сталинграда с возду</w:t>
      </w:r>
      <w:r w:rsidRPr="008127F8">
        <w:rPr>
          <w:rFonts w:ascii="Times New Roman" w:hAnsi="Times New Roman"/>
          <w:color w:val="000000" w:themeColor="text1"/>
          <w:sz w:val="16"/>
          <w:szCs w:val="16"/>
        </w:rPr>
        <w:softHyphen/>
        <w:t>ха усилились, и во время одной из них завод был прак</w:t>
      </w:r>
      <w:r w:rsidRPr="008127F8">
        <w:rPr>
          <w:rFonts w:ascii="Times New Roman" w:hAnsi="Times New Roman"/>
          <w:color w:val="000000" w:themeColor="text1"/>
          <w:sz w:val="16"/>
          <w:szCs w:val="16"/>
        </w:rPr>
        <w:softHyphen/>
        <w:t>тически уничтожен. Второй экземпляр отличался от прототипа немного удлиненной носовой частью и формой остекления ка</w:t>
      </w:r>
      <w:r w:rsidRPr="008127F8">
        <w:rPr>
          <w:rFonts w:ascii="Times New Roman" w:hAnsi="Times New Roman"/>
          <w:color w:val="000000" w:themeColor="text1"/>
          <w:sz w:val="16"/>
          <w:szCs w:val="16"/>
        </w:rPr>
        <w:softHyphen/>
        <w:t>бины, удлиненными посадочными полозьями, более широкими дверями. Он обозначался как БДП-2. У первого экземпляра также переделали носовую часть по типу БДП-2. 30 апреля 1942 г. его передали ВВС для летных испытаний, во время которых он разбился по независящим от конструкции причинам. В июле-ав</w:t>
      </w:r>
      <w:r w:rsidRPr="008127F8">
        <w:rPr>
          <w:rFonts w:ascii="Times New Roman" w:hAnsi="Times New Roman"/>
          <w:color w:val="000000" w:themeColor="text1"/>
          <w:sz w:val="16"/>
          <w:szCs w:val="16"/>
        </w:rPr>
        <w:softHyphen/>
        <w:t>густе 1942 г. на БДП-2 был выполнен беспосадочный перелет на дальность 845 км по маршруту Сверд</w:t>
      </w:r>
      <w:r w:rsidRPr="008127F8">
        <w:rPr>
          <w:rFonts w:ascii="Times New Roman" w:hAnsi="Times New Roman"/>
          <w:color w:val="000000" w:themeColor="text1"/>
          <w:sz w:val="16"/>
          <w:szCs w:val="16"/>
        </w:rPr>
        <w:softHyphen/>
        <w:t>ловск-Омск на буксире за самолетом ПС-40 со средней скоростью 270 км/ч. Ввиду прекращения работ на заводе № 490, серийную постройку машин наркомат возложил на завод №51. Ог</w:t>
      </w:r>
      <w:r w:rsidRPr="008127F8">
        <w:rPr>
          <w:rFonts w:ascii="Times New Roman" w:hAnsi="Times New Roman"/>
          <w:color w:val="000000" w:themeColor="text1"/>
          <w:sz w:val="16"/>
          <w:szCs w:val="16"/>
        </w:rPr>
        <w:softHyphen/>
        <w:t>раниченные мощности не позволили развернуть широ</w:t>
      </w:r>
      <w:r w:rsidRPr="008127F8">
        <w:rPr>
          <w:rFonts w:ascii="Times New Roman" w:hAnsi="Times New Roman"/>
          <w:color w:val="000000" w:themeColor="text1"/>
          <w:sz w:val="16"/>
          <w:szCs w:val="16"/>
        </w:rPr>
        <w:softHyphen/>
        <w:t>кое производство: до февраля 1944 г. заказчику сдали всего четыре планера и достраивался пятый. От дальнейшего выпуска БДП отказались (10667).</w:t>
      </w:r>
    </w:p>
    <w:p w14:paraId="01A1D7A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DA9C0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конструкторская группа Микулнна пере</w:t>
      </w:r>
      <w:r w:rsidRPr="008127F8">
        <w:rPr>
          <w:rFonts w:ascii="Times New Roman" w:hAnsi="Times New Roman"/>
          <w:color w:val="000000" w:themeColor="text1"/>
          <w:sz w:val="16"/>
          <w:szCs w:val="16"/>
        </w:rPr>
        <w:softHyphen/>
        <w:t>ехала из Перми в Куйбышев. Свежие идеи, возникшие в «перм</w:t>
      </w:r>
      <w:r w:rsidRPr="008127F8">
        <w:rPr>
          <w:rFonts w:ascii="Times New Roman" w:hAnsi="Times New Roman"/>
          <w:color w:val="000000" w:themeColor="text1"/>
          <w:sz w:val="16"/>
          <w:szCs w:val="16"/>
        </w:rPr>
        <w:softHyphen/>
        <w:t>ский» период, благотворно сказались на деятельности всего коллектива: началось их интенсивное внедрение в конструкцию двигателей «АМ» (10781).</w:t>
      </w:r>
    </w:p>
    <w:p w14:paraId="35A160A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0612B5"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мае 1942 г. специалисты НИИ ВВС пришли к выводу, что «подвижные пу</w:t>
      </w:r>
      <w:r w:rsidRPr="008127F8">
        <w:rPr>
          <w:rFonts w:ascii="Times New Roman" w:cs="Times New Roman"/>
          <w:color w:val="000000" w:themeColor="text1"/>
          <w:spacing w:val="0"/>
        </w:rPr>
        <w:softHyphen/>
        <w:t>леметы ШКАС на люковой установке и турели штурмана малоэффективны для отражения атак истребителей Необхо</w:t>
      </w:r>
      <w:r w:rsidRPr="008127F8">
        <w:rPr>
          <w:rFonts w:ascii="Times New Roman" w:cs="Times New Roman"/>
          <w:color w:val="000000" w:themeColor="text1"/>
          <w:spacing w:val="0"/>
        </w:rPr>
        <w:softHyphen/>
        <w:t>димо заменить их пулеметами Березина. Бомбовая нагрузка мала, в зимних усло</w:t>
      </w:r>
      <w:r w:rsidRPr="008127F8">
        <w:rPr>
          <w:rFonts w:ascii="Times New Roman" w:cs="Times New Roman"/>
          <w:color w:val="000000" w:themeColor="text1"/>
          <w:spacing w:val="0"/>
        </w:rPr>
        <w:softHyphen/>
        <w:t>виях самолет (на лыжах) берет не больше 380 - 400 кг.</w:t>
      </w:r>
    </w:p>
    <w:p w14:paraId="03085F08"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Бронирование штурмана и стрелка (в частях ВВС Юго-западного фронта... Су-2 летают на выполнение боевых заданий с третьим членом экипажа) не обеспечивает надежной защиты так, как устанавливалось в процессе войны на готовые самолеты.</w:t>
      </w:r>
    </w:p>
    <w:p w14:paraId="73326F00"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Для штурмана, в частности, желатель</w:t>
      </w:r>
      <w:r w:rsidRPr="008127F8">
        <w:rPr>
          <w:rFonts w:ascii="Times New Roman" w:cs="Times New Roman"/>
          <w:color w:val="000000" w:themeColor="text1"/>
          <w:spacing w:val="0"/>
        </w:rPr>
        <w:softHyphen/>
        <w:t>но поставить броневые щиты, так чтобы они закрывали его при атаке истребите</w:t>
      </w:r>
      <w:r w:rsidRPr="008127F8">
        <w:rPr>
          <w:rFonts w:ascii="Times New Roman" w:cs="Times New Roman"/>
          <w:color w:val="000000" w:themeColor="text1"/>
          <w:spacing w:val="0"/>
        </w:rPr>
        <w:softHyphen/>
        <w:t>лей противника с любого направления, т.е. сделать их подвижными, связав с верхним кольцом турели (если это не снизит маневренность турели)» Но этого так и не сделали (19102).</w:t>
      </w:r>
    </w:p>
    <w:p w14:paraId="70D93C93"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p>
    <w:p w14:paraId="58F5C19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мае 1942 на заводе № 387 разработали и испытали простейший визир для бомбометания с У-2 (4542, 14).</w:t>
      </w:r>
    </w:p>
    <w:p w14:paraId="6711D2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145CBF" w14:textId="77777777" w:rsidR="006149AB" w:rsidRPr="008A2E5A" w:rsidRDefault="006149AB" w:rsidP="006149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1942 года Институт лётных испытаний по заданию Наркомата авиационной промышленности проводил испытания звучащих приспособлений (ЗП) на авиабомбах. Испытания проводились в городе Новосибирске под руководством ведущего инженера. Они заключались в проверке в естественных условиях, на полигоне работы звучащих приспособлений конструкции ЦАГИ, установленных на авиабомбах с целью деморализации противника.</w:t>
      </w:r>
    </w:p>
    <w:p w14:paraId="6436ECDE" w14:textId="77777777" w:rsidR="006149AB" w:rsidRPr="008A2E5A" w:rsidRDefault="006149AB" w:rsidP="006149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результате испытаний было решено усовершенствовать ЗП № 4 в звучащее приспособление особого типа (ЗПО), которое значительно превосходит силу звука предыдущего приспособления. В отчёте об испытаниях отмечалось, что «звук продолжительный и устойчивый, слышимость звука зарегистрирована на расстоянии 61 метр от места сбрасывания (24278).</w:t>
      </w:r>
    </w:p>
    <w:p w14:paraId="2A29E6A1" w14:textId="77777777" w:rsidR="006149AB" w:rsidRPr="008A2E5A" w:rsidRDefault="006149AB" w:rsidP="006149AB">
      <w:pPr>
        <w:spacing w:after="0" w:line="240" w:lineRule="auto"/>
        <w:jc w:val="both"/>
        <w:rPr>
          <w:rFonts w:ascii="Times New Roman" w:hAnsi="Times New Roman"/>
          <w:color w:val="0070C0"/>
          <w:sz w:val="16"/>
          <w:szCs w:val="16"/>
        </w:rPr>
      </w:pPr>
    </w:p>
    <w:p w14:paraId="025C5AD5" w14:textId="77777777" w:rsidR="005E1E31" w:rsidRPr="008A2E5A" w:rsidRDefault="005E1E31" w:rsidP="005E1E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мая 1942 г. сборку самолетов на южном маршруте перенесли в Шуайбу, на более крупную базу в 20 милях от Басры. Туда же перебралась и советская приемка. Интересно, что в апреле 1940 г. этот аэродром входил в список целей, ко</w:t>
      </w:r>
      <w:r w:rsidRPr="008A2E5A">
        <w:rPr>
          <w:rFonts w:ascii="Times New Roman" w:hAnsi="Times New Roman"/>
          <w:color w:val="0070C0"/>
          <w:sz w:val="16"/>
          <w:szCs w:val="16"/>
        </w:rPr>
        <w:softHyphen/>
        <w:t>торые собирались бомбить в случае начала конфликта с Англией и Францией. Оттуда в Абадан в Иране самолеты перегоняли английские летчики. В Абадане самолеты уже окончательно проходили советскую приемку. Процедура была следующей. Са</w:t>
      </w:r>
      <w:r w:rsidRPr="008A2E5A">
        <w:rPr>
          <w:rFonts w:ascii="Times New Roman" w:hAnsi="Times New Roman"/>
          <w:color w:val="0070C0"/>
          <w:sz w:val="16"/>
          <w:szCs w:val="16"/>
        </w:rPr>
        <w:softHyphen/>
        <w:t>молет проходил доскональный осмотр. Если он допускался к полету, первым его облетывал англичанин. Затем то же самое повторял его советский коллега. Если за</w:t>
      </w:r>
      <w:r w:rsidRPr="008A2E5A">
        <w:rPr>
          <w:rFonts w:ascii="Times New Roman" w:hAnsi="Times New Roman"/>
          <w:color w:val="0070C0"/>
          <w:sz w:val="16"/>
          <w:szCs w:val="16"/>
        </w:rPr>
        <w:softHyphen/>
        <w:t>мечаний не имелось, машину готовили к перегонке, если были — возвращали для их устранения.</w:t>
      </w:r>
    </w:p>
    <w:p w14:paraId="2C1560AB" w14:textId="77777777" w:rsidR="005E1E31" w:rsidRPr="008A2E5A" w:rsidRDefault="005E1E31" w:rsidP="005E1E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Параллельно с этим американская фир</w:t>
      </w:r>
      <w:r w:rsidRPr="008A2E5A">
        <w:rPr>
          <w:rFonts w:ascii="Times New Roman" w:hAnsi="Times New Roman"/>
          <w:color w:val="0070C0"/>
          <w:sz w:val="16"/>
          <w:szCs w:val="16"/>
        </w:rPr>
        <w:softHyphen/>
        <w:t>ма «Дуглас» начала строить сборочное предприятие в Абадане. Суда, перевозив</w:t>
      </w:r>
      <w:r w:rsidRPr="008A2E5A">
        <w:rPr>
          <w:rFonts w:ascii="Times New Roman" w:hAnsi="Times New Roman"/>
          <w:color w:val="0070C0"/>
          <w:sz w:val="16"/>
          <w:szCs w:val="16"/>
        </w:rPr>
        <w:softHyphen/>
        <w:t>шие самолеты, стали разгружаться в иран</w:t>
      </w:r>
      <w:r w:rsidRPr="008A2E5A">
        <w:rPr>
          <w:rFonts w:ascii="Times New Roman" w:hAnsi="Times New Roman"/>
          <w:color w:val="0070C0"/>
          <w:sz w:val="16"/>
          <w:szCs w:val="16"/>
        </w:rPr>
        <w:softHyphen/>
        <w:t>ских портах, оттуда ящики перевозили автотранспортом в Абадан; там машины собирали и облетывали. Процедура была та же, что и с англичанами. Иногда техни</w:t>
      </w:r>
      <w:r w:rsidRPr="008A2E5A">
        <w:rPr>
          <w:rFonts w:ascii="Times New Roman" w:hAnsi="Times New Roman"/>
          <w:color w:val="0070C0"/>
          <w:sz w:val="16"/>
          <w:szCs w:val="16"/>
        </w:rPr>
        <w:softHyphen/>
        <w:t>ку возвращали заводу для устранения де дефектов. Так, партию «Кобр» забраковали из-за биения промежуточного вала.</w:t>
      </w:r>
    </w:p>
    <w:p w14:paraId="4B2A37F2" w14:textId="77777777" w:rsidR="005E1E31" w:rsidRPr="008A2E5A" w:rsidRDefault="005E1E31" w:rsidP="005E1E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этот завод занимался только само</w:t>
      </w:r>
      <w:r w:rsidRPr="008A2E5A">
        <w:rPr>
          <w:rFonts w:ascii="Times New Roman" w:hAnsi="Times New Roman"/>
          <w:color w:val="0070C0"/>
          <w:sz w:val="16"/>
          <w:szCs w:val="16"/>
        </w:rPr>
        <w:softHyphen/>
        <w:t>летами американского производства, да и то не всеми. Бомбардировщики В-25, обладавшие большой дальностью полета, летели по трассе США — Бразилия — западное побережье Африки — Ближний Восток — Иран. Перегонка бомбардиров</w:t>
      </w:r>
      <w:r w:rsidRPr="008A2E5A">
        <w:rPr>
          <w:rFonts w:ascii="Times New Roman" w:hAnsi="Times New Roman"/>
          <w:color w:val="0070C0"/>
          <w:sz w:val="16"/>
          <w:szCs w:val="16"/>
        </w:rPr>
        <w:softHyphen/>
        <w:t>щиков по воздуху из Флориды в Ирак не</w:t>
      </w:r>
      <w:r w:rsidRPr="008A2E5A">
        <w:rPr>
          <w:rFonts w:ascii="Times New Roman" w:hAnsi="Times New Roman"/>
          <w:color w:val="0070C0"/>
          <w:sz w:val="16"/>
          <w:szCs w:val="16"/>
        </w:rPr>
        <w:softHyphen/>
        <w:t>сколько ускорила процесс. Когда амери</w:t>
      </w:r>
      <w:r w:rsidRPr="008A2E5A">
        <w:rPr>
          <w:rFonts w:ascii="Times New Roman" w:hAnsi="Times New Roman"/>
          <w:color w:val="0070C0"/>
          <w:sz w:val="16"/>
          <w:szCs w:val="16"/>
        </w:rPr>
        <w:softHyphen/>
        <w:t>канцы построили промежуточную базу на острове Вознесения, по воздуху стали от</w:t>
      </w:r>
      <w:r w:rsidRPr="008A2E5A">
        <w:rPr>
          <w:rFonts w:ascii="Times New Roman" w:hAnsi="Times New Roman"/>
          <w:color w:val="0070C0"/>
          <w:sz w:val="16"/>
          <w:szCs w:val="16"/>
        </w:rPr>
        <w:softHyphen/>
        <w:t>правлять и А-20. За 1942 г. таким образом перебросили 900 самолетов.</w:t>
      </w:r>
    </w:p>
    <w:p w14:paraId="2DB115C2" w14:textId="77777777" w:rsidR="005E1E31" w:rsidRPr="008A2E5A" w:rsidRDefault="005E1E31" w:rsidP="005E1E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Небольшую часть машин отправляли в ящиках на автомобилях в иранский порт Пехлеви на Каспийском море, а оттуда па</w:t>
      </w:r>
      <w:r w:rsidRPr="008A2E5A">
        <w:rPr>
          <w:rFonts w:ascii="Times New Roman" w:hAnsi="Times New Roman"/>
          <w:color w:val="0070C0"/>
          <w:sz w:val="16"/>
          <w:szCs w:val="16"/>
        </w:rPr>
        <w:softHyphen/>
        <w:t>роходами в Баку или Красноводск. Но их доля была очень невелика. По советским документам, таким образом поступили все</w:t>
      </w:r>
      <w:r w:rsidRPr="008A2E5A">
        <w:rPr>
          <w:rFonts w:ascii="Times New Roman" w:hAnsi="Times New Roman"/>
          <w:color w:val="0070C0"/>
          <w:sz w:val="16"/>
          <w:szCs w:val="16"/>
        </w:rPr>
        <w:softHyphen/>
        <w:t>го 23 самолета: 22 в 1942 г. и один — в 1944 г.</w:t>
      </w:r>
    </w:p>
    <w:p w14:paraId="7D9C7AF4" w14:textId="77777777" w:rsidR="005E1E31" w:rsidRPr="008A2E5A" w:rsidRDefault="005E1E31" w:rsidP="005E1E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Подавляющую часть техники гнали в Азербайджан по воздуху. Через Иран шли самолеты «Харрикейн», «Спитфайр», Р-39, Р-40, Р-47, А-20, В-25 и АТ-6. До 1 апреля 1943 г. в Абадане приняли 1025 самолетов, а к 30 июня 1944 г. -— еще около 2900 ма</w:t>
      </w:r>
      <w:r w:rsidRPr="008A2E5A">
        <w:rPr>
          <w:rFonts w:ascii="Times New Roman" w:hAnsi="Times New Roman"/>
          <w:color w:val="0070C0"/>
          <w:sz w:val="16"/>
          <w:szCs w:val="16"/>
        </w:rPr>
        <w:softHyphen/>
        <w:t xml:space="preserve">шин. Всего перегнали 5648 самолетов: в 1942 г, — 680, в 1943 г. — 3 016, в 1944 г. — 1938. </w:t>
      </w:r>
    </w:p>
    <w:p w14:paraId="7725EDC8" w14:textId="77777777" w:rsidR="005E1E31" w:rsidRPr="008A2E5A" w:rsidRDefault="005E1E31" w:rsidP="005E1E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Советское представительство в Бас</w:t>
      </w:r>
      <w:r w:rsidRPr="008A2E5A">
        <w:rPr>
          <w:rFonts w:ascii="Times New Roman" w:hAnsi="Times New Roman"/>
          <w:color w:val="0070C0"/>
          <w:sz w:val="16"/>
          <w:szCs w:val="16"/>
        </w:rPr>
        <w:softHyphen/>
        <w:t>ре работало до октября 1944 г. 15 октября лагерь в Шуайбе ликвидировали, сборку машин прекратили еще в сентябре. Из Ирана последние самолеты (три истреби</w:t>
      </w:r>
      <w:r w:rsidRPr="008A2E5A">
        <w:rPr>
          <w:rFonts w:ascii="Times New Roman" w:hAnsi="Times New Roman"/>
          <w:color w:val="0070C0"/>
          <w:sz w:val="16"/>
          <w:szCs w:val="16"/>
        </w:rPr>
        <w:softHyphen/>
        <w:t>теля P-47D) перелетели в СССР в феврале 1945 г. Всего за этот год по южному марш</w:t>
      </w:r>
      <w:r w:rsidRPr="008A2E5A">
        <w:rPr>
          <w:rFonts w:ascii="Times New Roman" w:hAnsi="Times New Roman"/>
          <w:color w:val="0070C0"/>
          <w:sz w:val="16"/>
          <w:szCs w:val="16"/>
        </w:rPr>
        <w:softHyphen/>
        <w:t>руту доставили 14 машин.</w:t>
      </w:r>
    </w:p>
    <w:p w14:paraId="051FF756" w14:textId="77777777" w:rsidR="005E1E31" w:rsidRPr="008A2E5A" w:rsidRDefault="005E1E31" w:rsidP="005E1E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Только в 1944 г., когда в Шуайбе соби</w:t>
      </w:r>
      <w:r w:rsidRPr="008A2E5A">
        <w:rPr>
          <w:rFonts w:ascii="Times New Roman" w:hAnsi="Times New Roman"/>
          <w:color w:val="0070C0"/>
          <w:sz w:val="16"/>
          <w:szCs w:val="16"/>
        </w:rPr>
        <w:softHyphen/>
        <w:t>рали истребители «Спитфайр» IX, совет</w:t>
      </w:r>
      <w:r w:rsidRPr="008A2E5A">
        <w:rPr>
          <w:rFonts w:ascii="Times New Roman" w:hAnsi="Times New Roman"/>
          <w:color w:val="0070C0"/>
          <w:sz w:val="16"/>
          <w:szCs w:val="16"/>
        </w:rPr>
        <w:softHyphen/>
        <w:t>ские перегонщики из 71-го пиап забирали их прямо на месте. Из Абадана самолеты перегоняли в Тегеран, а оттуда в Азер</w:t>
      </w:r>
      <w:r w:rsidRPr="008A2E5A">
        <w:rPr>
          <w:rFonts w:ascii="Times New Roman" w:hAnsi="Times New Roman"/>
          <w:color w:val="0070C0"/>
          <w:sz w:val="16"/>
          <w:szCs w:val="16"/>
        </w:rPr>
        <w:softHyphen/>
        <w:t>байджан, на аэродром Аджикабул. Этим занимался летный состав 6-го пап майо</w:t>
      </w:r>
      <w:r w:rsidRPr="008A2E5A">
        <w:rPr>
          <w:rFonts w:ascii="Times New Roman" w:hAnsi="Times New Roman"/>
          <w:color w:val="0070C0"/>
          <w:sz w:val="16"/>
          <w:szCs w:val="16"/>
        </w:rPr>
        <w:softHyphen/>
        <w:t>ра Мищенко. Им приходилось лететь над горами и пустыней. Иногда машины в Те</w:t>
      </w:r>
      <w:r w:rsidRPr="008A2E5A">
        <w:rPr>
          <w:rFonts w:ascii="Times New Roman" w:hAnsi="Times New Roman"/>
          <w:color w:val="0070C0"/>
          <w:sz w:val="16"/>
          <w:szCs w:val="16"/>
        </w:rPr>
        <w:softHyphen/>
        <w:t>геране получали прямо летчики строевых полков. Так, например обеспечили «Аэро</w:t>
      </w:r>
      <w:r w:rsidRPr="008A2E5A">
        <w:rPr>
          <w:rFonts w:ascii="Times New Roman" w:hAnsi="Times New Roman"/>
          <w:color w:val="0070C0"/>
          <w:sz w:val="16"/>
          <w:szCs w:val="16"/>
        </w:rPr>
        <w:softHyphen/>
        <w:t>кобрами» 16-й гв. иап (23513).</w:t>
      </w:r>
    </w:p>
    <w:p w14:paraId="36606473" w14:textId="77777777" w:rsidR="005E1E31" w:rsidRPr="008A2E5A" w:rsidRDefault="005E1E31" w:rsidP="005E1E31">
      <w:pPr>
        <w:spacing w:after="0" w:line="240" w:lineRule="auto"/>
        <w:jc w:val="both"/>
        <w:rPr>
          <w:rFonts w:ascii="Times New Roman" w:hAnsi="Times New Roman"/>
          <w:color w:val="0070C0"/>
          <w:sz w:val="16"/>
          <w:szCs w:val="16"/>
        </w:rPr>
      </w:pPr>
    </w:p>
    <w:p w14:paraId="0CA601AC" w14:textId="77777777" w:rsidR="004F113F" w:rsidRPr="008A2E5A" w:rsidRDefault="004F113F" w:rsidP="004F11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1942 года огромная естественная равнина в Шуай</w:t>
      </w:r>
      <w:r w:rsidRPr="008A2E5A">
        <w:rPr>
          <w:rFonts w:ascii="Times New Roman" w:hAnsi="Times New Roman"/>
          <w:color w:val="0070C0"/>
          <w:sz w:val="16"/>
          <w:szCs w:val="16"/>
        </w:rPr>
        <w:softHyphen/>
        <w:t>бе была превращена в кратчайший срок в крупный военный аэродром с полевыми мастерскими. Обслуживающий персо</w:t>
      </w:r>
      <w:r w:rsidRPr="008A2E5A">
        <w:rPr>
          <w:rFonts w:ascii="Times New Roman" w:hAnsi="Times New Roman"/>
          <w:color w:val="0070C0"/>
          <w:sz w:val="16"/>
          <w:szCs w:val="16"/>
        </w:rPr>
        <w:softHyphen/>
        <w:t>нал аэродрома полностью был английским. Для ускорения процесса собранные в Маргиле самолеты перегонялись в Шуайбу для окончательной доукомплектовки вооружением, про</w:t>
      </w:r>
      <w:r w:rsidRPr="008A2E5A">
        <w:rPr>
          <w:rFonts w:ascii="Times New Roman" w:hAnsi="Times New Roman"/>
          <w:color w:val="0070C0"/>
          <w:sz w:val="16"/>
          <w:szCs w:val="16"/>
        </w:rPr>
        <w:softHyphen/>
        <w:t>верки в полете всех систем и оборудования и последующей передачи советским летчикам. Позднее управление авиаба</w:t>
      </w:r>
      <w:r w:rsidRPr="008A2E5A">
        <w:rPr>
          <w:rFonts w:ascii="Times New Roman" w:hAnsi="Times New Roman"/>
          <w:color w:val="0070C0"/>
          <w:sz w:val="16"/>
          <w:szCs w:val="16"/>
        </w:rPr>
        <w:softHyphen/>
        <w:t>зой перешло к американцам. Американцы сразу взялись за дело. В сравнении с английским руководством многие вопро</w:t>
      </w:r>
      <w:r w:rsidRPr="008A2E5A">
        <w:rPr>
          <w:rFonts w:ascii="Times New Roman" w:hAnsi="Times New Roman"/>
          <w:color w:val="0070C0"/>
          <w:sz w:val="16"/>
          <w:szCs w:val="16"/>
        </w:rPr>
        <w:softHyphen/>
        <w:t>сы стали решаться быстрее и с большим успехом (24342).</w:t>
      </w:r>
    </w:p>
    <w:p w14:paraId="579AEB57" w14:textId="77777777" w:rsidR="004F113F" w:rsidRPr="008A2E5A" w:rsidRDefault="004F113F" w:rsidP="004F113F">
      <w:pPr>
        <w:spacing w:after="0" w:line="240" w:lineRule="auto"/>
        <w:jc w:val="both"/>
        <w:rPr>
          <w:rFonts w:ascii="Times New Roman" w:hAnsi="Times New Roman"/>
          <w:color w:val="0070C0"/>
          <w:sz w:val="16"/>
          <w:szCs w:val="16"/>
        </w:rPr>
      </w:pPr>
    </w:p>
    <w:p w14:paraId="6D4349DC" w14:textId="77777777" w:rsidR="004F113F" w:rsidRPr="008A2E5A" w:rsidRDefault="004F113F" w:rsidP="004F11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мая 1942 года поставки через Иран составляли в среднем 80-90 тысяч тонн в месяц, а во второй половине 1943 года — до 200 тысяч тонн в месяц. От иранских портов Каспийского моря до совет</w:t>
      </w:r>
      <w:r w:rsidRPr="008A2E5A">
        <w:rPr>
          <w:rFonts w:ascii="Times New Roman" w:hAnsi="Times New Roman"/>
          <w:color w:val="0070C0"/>
          <w:sz w:val="16"/>
          <w:szCs w:val="16"/>
        </w:rPr>
        <w:softHyphen/>
        <w:t>ских портов доставка грузов осуществлялась судами Каспий</w:t>
      </w:r>
      <w:r w:rsidRPr="008A2E5A">
        <w:rPr>
          <w:rFonts w:ascii="Times New Roman" w:hAnsi="Times New Roman"/>
          <w:color w:val="0070C0"/>
          <w:sz w:val="16"/>
          <w:szCs w:val="16"/>
        </w:rPr>
        <w:softHyphen/>
        <w:t>ского морского пароходства. В перевозках участвовали суда Касптанкера и Рейдтанкера и технического флота. До конца 1942 года переход судов по Каспийскому морю не был безо</w:t>
      </w:r>
      <w:r w:rsidRPr="008A2E5A">
        <w:rPr>
          <w:rFonts w:ascii="Times New Roman" w:hAnsi="Times New Roman"/>
          <w:color w:val="0070C0"/>
          <w:sz w:val="16"/>
          <w:szCs w:val="16"/>
        </w:rPr>
        <w:softHyphen/>
        <w:t>пасным — оно находилось в радиусе действий немецкой авиа</w:t>
      </w:r>
      <w:r w:rsidRPr="008A2E5A">
        <w:rPr>
          <w:rFonts w:ascii="Times New Roman" w:hAnsi="Times New Roman"/>
          <w:color w:val="0070C0"/>
          <w:sz w:val="16"/>
          <w:szCs w:val="16"/>
        </w:rPr>
        <w:softHyphen/>
        <w:t>ции, которая пыталась помешать транспортировкам. Маршрут стал полностью безопасным только после завершения Ста</w:t>
      </w:r>
      <w:r w:rsidRPr="008A2E5A">
        <w:rPr>
          <w:rFonts w:ascii="Times New Roman" w:hAnsi="Times New Roman"/>
          <w:color w:val="0070C0"/>
          <w:sz w:val="16"/>
          <w:szCs w:val="16"/>
        </w:rPr>
        <w:softHyphen/>
        <w:t>линградской битвы.</w:t>
      </w:r>
    </w:p>
    <w:p w14:paraId="49757448" w14:textId="77777777" w:rsidR="004F113F" w:rsidRPr="008A2E5A" w:rsidRDefault="004F113F" w:rsidP="004F11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Южный маршрут ленд-лиза хотя и был длинен (морская часть пути от восточного побережья США до берегов Ирана вокруг мыса Доброй Надежды занимала около 75 дней), но проходил вне основной зоны действий немецкого флота (хотя на пути следования конвоев немецкие рейдеры все-таки появлялись). Транзит через страны Ближнего Востока в советское Закав</w:t>
      </w:r>
      <w:r w:rsidRPr="008A2E5A">
        <w:rPr>
          <w:rFonts w:ascii="Times New Roman" w:hAnsi="Times New Roman"/>
          <w:color w:val="0070C0"/>
          <w:sz w:val="16"/>
          <w:szCs w:val="16"/>
        </w:rPr>
        <w:softHyphen/>
        <w:t>казье все же был предпочтительнее северных конвоев. Важ</w:t>
      </w:r>
      <w:r w:rsidRPr="008A2E5A">
        <w:rPr>
          <w:rFonts w:ascii="Times New Roman" w:hAnsi="Times New Roman"/>
          <w:color w:val="0070C0"/>
          <w:sz w:val="16"/>
          <w:szCs w:val="16"/>
        </w:rPr>
        <w:softHyphen/>
        <w:t>ным было то, что южным путем можно было вести доставку всех видов грузов, от продовольствия до боевой техники, путь которой до фронта в этом случае все-таки был короче, чем с Дальнего Востока. Самолеты и автомобили могли после сборки перегоняться через сухопутную часть маршрута своим ходом (24342).</w:t>
      </w:r>
    </w:p>
    <w:p w14:paraId="39FAD5A2" w14:textId="77777777" w:rsidR="004F113F" w:rsidRPr="008A2E5A" w:rsidRDefault="004F113F" w:rsidP="004F113F">
      <w:pPr>
        <w:spacing w:after="0" w:line="240" w:lineRule="auto"/>
        <w:jc w:val="both"/>
        <w:rPr>
          <w:rFonts w:ascii="Times New Roman" w:hAnsi="Times New Roman"/>
          <w:color w:val="0070C0"/>
          <w:sz w:val="16"/>
          <w:szCs w:val="16"/>
        </w:rPr>
      </w:pPr>
    </w:p>
    <w:p w14:paraId="31B5BA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в КБ завода Компрессор была разработана пусковая установка для тяжелых снарядов М-30 (3114,25).</w:t>
      </w:r>
    </w:p>
    <w:p w14:paraId="23C7AED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8BD4E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группой под руководством Н.Н.Кузнецова был разработан реактивный снаряд М-30 с надкалиберной ГЧ (384,196).</w:t>
      </w:r>
    </w:p>
    <w:p w14:paraId="1572CD5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3BC0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согласно заданию АУ ВМФ, выданному в феврале 1942, СКБ завода Компрессор (733) спроектировало и построило корабельную АУ для 16 М-13 М-13-М1 и 24 М-8 М-8-М2. Их направили в Зеленодольск для установки на бронекатера проектов 1124 и 1125 соответственно (4305,34).</w:t>
      </w:r>
    </w:p>
    <w:p w14:paraId="3F4A00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0ADE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завод № 36 приступил к ремонту моторов водяного охлаждения М-100, М-103 и М-105.</w:t>
      </w:r>
    </w:p>
    <w:p w14:paraId="5D03C2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ускорения работ по доводке мотора М-250 приказом НКАП № 538сс от 6 сентября 1943 года предписывалось перевести из Уфы в Рыбинск на завод № 36 ОКБ-250, разместив его на площади ранее занимаемой ОКБ завода № 26. 17 ноября 1943 года НКАП во исполнение Постановления ГКО № 455сс от 12 ноября 1943 года был издан приказ № 698сс об организации на нашем заводе производства моторов М-62ИР для самолетов ЛИ-2 с постепенным переводом производства этих моторов с завода № 19 на завод № 36. В январе 1945 года завод был включен в число действующих предприятий и стал впервые работать по графику.</w:t>
      </w:r>
    </w:p>
    <w:p w14:paraId="7459FB4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с проведением работ по мотору М-251 (ОКБ) завод проводил работу по организации нового ОКБ.</w:t>
      </w:r>
    </w:p>
    <w:p w14:paraId="3B0AA6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ОКБ-2 создано в соответствии с постановлением СМ от 26 июня 1946 года за № 1409/622сс и приказа МАП и МВД за № 550сс/00774 от 15 августа 1946 года.</w:t>
      </w:r>
    </w:p>
    <w:p w14:paraId="22AE84D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Предназначалось ОКБ-2 для изготовления экспериментальных деталей и узлов опытного турбореактивного двигателя ТРД-7Б. Приказом МАП № 416сс от 17 июня 1948 года ОКБ-2 было ликвидировано.</w:t>
      </w:r>
    </w:p>
    <w:p w14:paraId="1C2B92B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Директора завода:</w:t>
      </w:r>
    </w:p>
    <w:p w14:paraId="4EA9139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Сова С.М. – с 1942 года по 1944 год</w:t>
      </w:r>
    </w:p>
    <w:p w14:paraId="47611A7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Григорьев Г.М. – с 1944 года по 1947 год</w:t>
      </w:r>
    </w:p>
    <w:p w14:paraId="7340165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Петров А.П. – с 1947 года по 1949 год</w:t>
      </w:r>
    </w:p>
    <w:p w14:paraId="7CA54D9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Субботин М.И. – с 1949 года по 1956 год</w:t>
      </w:r>
    </w:p>
    <w:p w14:paraId="6C9F436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Смирнов А.Д. – с 1956 года</w:t>
      </w:r>
    </w:p>
    <w:p w14:paraId="34E95E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Должность гл. конструктора с 1943 года занимает Добрынин В.А.</w:t>
      </w:r>
    </w:p>
    <w:p w14:paraId="77EB46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Смирнов</w:t>
      </w:r>
    </w:p>
    <w:p w14:paraId="17FC49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Рыбинск, п/я 20</w:t>
      </w:r>
    </w:p>
    <w:p w14:paraId="44AC261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авиационный моторостроительный завод (9825).</w:t>
      </w:r>
    </w:p>
    <w:p w14:paraId="1B3F28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0B8ED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А.М. Изаксону, специалиста по вертолетам и автожирам, сменил на посту главного конструктора ОКО-22 более опытный А.И. Путилов. В течение лета удалось разработать чертежи новой винтомоторной группы и договориться с руководством наркомата авиапромышленности о выделении дефицитных опытных моторов М-107. “Полномасштабная” поддержка пришла только осенью, когда Красная Армия с тяжелыми боями откатилась к Сталинграду (4476).</w:t>
      </w:r>
    </w:p>
    <w:p w14:paraId="1373AB5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801AC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на М-105ПФ (ВК-105ПФ), варианте М-105ПА, по инициативе ОКБ-115 и НИИ ВВС изменили регулировку нагнета</w:t>
      </w:r>
      <w:r w:rsidRPr="008127F8">
        <w:rPr>
          <w:rFonts w:ascii="Times New Roman" w:hAnsi="Times New Roman"/>
          <w:color w:val="000000" w:themeColor="text1"/>
          <w:sz w:val="16"/>
          <w:szCs w:val="16"/>
        </w:rPr>
        <w:softHyphen/>
        <w:t>теля (форсировали по наддуву). При этом возросла мощность у зем</w:t>
      </w:r>
      <w:r w:rsidRPr="008127F8">
        <w:rPr>
          <w:rFonts w:ascii="Times New Roman" w:hAnsi="Times New Roman"/>
          <w:color w:val="000000" w:themeColor="text1"/>
          <w:sz w:val="16"/>
          <w:szCs w:val="16"/>
        </w:rPr>
        <w:softHyphen/>
        <w:t>ли, но ухудшились высотные характеристики. При доводке М-105ПФ усилили поршневые пальцы и ПЦН и изменили коленвал, увеличили диаметр упругой муфты редуктора, ввели карбюратор К-105Ф (вместо К-105БП). На поздних сериях дополнительно усилили коленвал. Мощность 1180/1260 л.с., вес 600 кг. На двигателе могли устанав</w:t>
      </w:r>
      <w:r w:rsidRPr="008127F8">
        <w:rPr>
          <w:rFonts w:ascii="Times New Roman" w:hAnsi="Times New Roman"/>
          <w:color w:val="000000" w:themeColor="text1"/>
          <w:sz w:val="16"/>
          <w:szCs w:val="16"/>
        </w:rPr>
        <w:softHyphen/>
        <w:t>ливаться пушки ШВАК (20 мм), 1Ш-37 (37 мм), НС-37 (37 мм), НС-45 (45 мм). М-105ПФ — самая массовая модификация М-105. В М-105ПФ переделывались в полевых условиях также двигате</w:t>
      </w:r>
      <w:r w:rsidRPr="008127F8">
        <w:rPr>
          <w:rFonts w:ascii="Times New Roman" w:hAnsi="Times New Roman"/>
          <w:color w:val="000000" w:themeColor="text1"/>
          <w:sz w:val="16"/>
          <w:szCs w:val="16"/>
        </w:rPr>
        <w:softHyphen/>
        <w:t>ли М-105ПА выпуска 1942 г. В 1943 г. проводились эксперименты по впрыску воды во всасывающие патрубки М-105ПФ, в том числе велись летные испытания на бомбардировщике Пе-2. В мастерских учебных частей и летных училищ М-</w:t>
      </w:r>
      <w:r w:rsidRPr="008127F8">
        <w:rPr>
          <w:rFonts w:ascii="Times New Roman" w:hAnsi="Times New Roman"/>
          <w:color w:val="000000" w:themeColor="text1"/>
          <w:sz w:val="16"/>
          <w:szCs w:val="16"/>
        </w:rPr>
        <w:lastRenderedPageBreak/>
        <w:t>105ПФ (также как позднее М-105ПФ-2) иногда дорабатывали под поршни меньшего размера, уменьшая степень сжатия и мощность, но выигрывая в ресурсе. М-105РФ, аналог М-105ПФ с редуктором от М-105РА и без возмож</w:t>
      </w:r>
      <w:r w:rsidRPr="008127F8">
        <w:rPr>
          <w:rFonts w:ascii="Times New Roman" w:hAnsi="Times New Roman"/>
          <w:color w:val="000000" w:themeColor="text1"/>
          <w:sz w:val="16"/>
          <w:szCs w:val="16"/>
        </w:rPr>
        <w:softHyphen/>
        <w:t>ности установки пушки. Мощность 1180/1260 л.с., вес 580 кг. Из</w:t>
      </w:r>
      <w:r w:rsidRPr="008127F8">
        <w:rPr>
          <w:rFonts w:ascii="Times New Roman" w:hAnsi="Times New Roman"/>
          <w:color w:val="000000" w:themeColor="text1"/>
          <w:sz w:val="16"/>
          <w:szCs w:val="16"/>
        </w:rPr>
        <w:softHyphen/>
        <w:t>готовлены только опытные образцы (11852).</w:t>
      </w:r>
    </w:p>
    <w:p w14:paraId="688FB0F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84AC7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Камов пишет находящемуся на заводе начальнику летной станции и члену фронтовой бригады И.Г.Карпуну:</w:t>
      </w:r>
    </w:p>
    <w:p w14:paraId="5BD8A4D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«Иван Георгиевич!</w:t>
      </w:r>
    </w:p>
    <w:p w14:paraId="2139EAD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...Сейчас меня больше всего интересует юридическая сторона приказа Наркомата о ремонтном заводе, который Нарком подписал, как Вы пиши</w:t>
      </w:r>
      <w:r w:rsidRPr="008127F8">
        <w:rPr>
          <w:rFonts w:ascii="Times New Roman" w:hAnsi="Times New Roman"/>
          <w:color w:val="000000" w:themeColor="text1"/>
          <w:sz w:val="16"/>
          <w:szCs w:val="16"/>
        </w:rPr>
        <w:softHyphen/>
        <w:t>те, 30 марта, НО КОТОРОГО Я ДО СИХ ПОР НЕ ПОЛУЧИЛ.</w:t>
      </w:r>
    </w:p>
    <w:p w14:paraId="45F2D5D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Мне срочно нужно получить этот приказ — сделайте это.</w:t>
      </w:r>
    </w:p>
    <w:p w14:paraId="100207C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Мне нужно знать, как будет числиться завод в Ухтомской: № 290?, филиал завода № 290? Или как-нибудь иначе?</w:t>
      </w:r>
    </w:p>
    <w:p w14:paraId="38F1F88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Считаюсь ли я директором Ухтомской и Билимбая или нет и т.д.</w:t>
      </w:r>
    </w:p>
    <w:p w14:paraId="35D7F73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Конечно, для нас очень важно, чтобы я остался директором Завода № 290 и чтобы пока были два филиала — Ухтомский филиал и Билимбайский фи</w:t>
      </w:r>
      <w:r w:rsidRPr="008127F8">
        <w:rPr>
          <w:rFonts w:ascii="Times New Roman" w:hAnsi="Times New Roman"/>
          <w:color w:val="000000" w:themeColor="text1"/>
          <w:sz w:val="16"/>
          <w:szCs w:val="16"/>
        </w:rPr>
        <w:softHyphen/>
        <w:t>лиал. В случае, если это не так, нужно, чтобы Вы были директором или на</w:t>
      </w:r>
      <w:r w:rsidRPr="008127F8">
        <w:rPr>
          <w:rFonts w:ascii="Times New Roman" w:hAnsi="Times New Roman"/>
          <w:color w:val="000000" w:themeColor="text1"/>
          <w:sz w:val="16"/>
          <w:szCs w:val="16"/>
        </w:rPr>
        <w:softHyphen/>
        <w:t>чальником Ухтомского филиала с подчинением мне.</w:t>
      </w:r>
    </w:p>
    <w:p w14:paraId="3934885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Вам деликатно надо узнать в Наркомате, что помимо заказа ГАУведъ се</w:t>
      </w:r>
      <w:r w:rsidRPr="008127F8">
        <w:rPr>
          <w:rFonts w:ascii="Times New Roman" w:hAnsi="Times New Roman"/>
          <w:color w:val="000000" w:themeColor="text1"/>
          <w:sz w:val="16"/>
          <w:szCs w:val="16"/>
        </w:rPr>
        <w:softHyphen/>
        <w:t>рию мы начали делать по приказу нашего Наркомата, а приказа об останов</w:t>
      </w:r>
      <w:r w:rsidRPr="008127F8">
        <w:rPr>
          <w:rFonts w:ascii="Times New Roman" w:hAnsi="Times New Roman"/>
          <w:color w:val="000000" w:themeColor="text1"/>
          <w:sz w:val="16"/>
          <w:szCs w:val="16"/>
        </w:rPr>
        <w:softHyphen/>
        <w:t>ке ее не было. Серия может быть использована помимо ГАУ и в Военно-Хи</w:t>
      </w:r>
      <w:r w:rsidRPr="008127F8">
        <w:rPr>
          <w:rFonts w:ascii="Times New Roman" w:hAnsi="Times New Roman"/>
          <w:color w:val="000000" w:themeColor="text1"/>
          <w:sz w:val="16"/>
          <w:szCs w:val="16"/>
        </w:rPr>
        <w:softHyphen/>
        <w:t>мическом Управлении, в ВВС и др., а ведь мы материалы и заготовки для нее все равно заготовили. Моторы имеются, так что материальные ценности мы уже почти на 80% вложили. Имеет полный смысл окончить серию в этом го</w:t>
      </w:r>
      <w:r w:rsidRPr="008127F8">
        <w:rPr>
          <w:rFonts w:ascii="Times New Roman" w:hAnsi="Times New Roman"/>
          <w:color w:val="000000" w:themeColor="text1"/>
          <w:sz w:val="16"/>
          <w:szCs w:val="16"/>
        </w:rPr>
        <w:softHyphen/>
        <w:t>ду. Разговор нужно вести аккуратно, чтобы не ухудшить положение...» (10224,55).</w:t>
      </w:r>
    </w:p>
    <w:p w14:paraId="2F607A9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4C5AD6"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в Омске был создан завод-дублер № 451 по производству бензомасло</w:t>
      </w:r>
      <w:r w:rsidRPr="008127F8">
        <w:rPr>
          <w:rFonts w:ascii="Times New Roman" w:hAnsi="Times New Roman"/>
          <w:color w:val="000000" w:themeColor="text1"/>
          <w:sz w:val="16"/>
          <w:szCs w:val="16"/>
        </w:rPr>
        <w:softHyphen/>
        <w:t>насосов и фильтров. В годы войны велось изготовление насосов типа МПМ, МШ-3, МФШ-25 к автомоторам, бензонасосов БНК-12 А, БНК-10, агрегатов топливопитания для пускового воздушно-ракетного двигателя к снарядам «10 Х» (11896).</w:t>
      </w:r>
    </w:p>
    <w:p w14:paraId="4345850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0C593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Уже в мае 1942 г. было произведено в 3,6 раз больше самолётов, чем в декабре 1941 г. Если в I квартале 1942 г. среднемесячный авиавыпуск составлял 1,1 тыс. самолётов, то во II — уже 1,7 тыс. машин (Самолётостроение в СССР. 1917—1945. Кн. 2. М., 1994. С. 221). Уже к маю 1942 г. на доэвакуационный уровень авиавыоуска вышли заводы № 22,31,39 и 84. В августе к ним подтянулся и завод № 18 (Самолётостроение в СССР. 1917—1945. Кн. 2. М., 1994. С. 218). Выходили на доэвакуационные показатели и мо</w:t>
      </w:r>
      <w:r w:rsidRPr="008127F8">
        <w:rPr>
          <w:rFonts w:ascii="Times New Roman" w:hAnsi="Times New Roman"/>
          <w:color w:val="000000" w:themeColor="text1"/>
          <w:sz w:val="16"/>
          <w:szCs w:val="16"/>
        </w:rPr>
        <w:softHyphen/>
        <w:t>торостроительные заводы: № 29 — в феврале, № 24 — в мае, №16 и 154 — в июле, а №26 — в августе 1942 г.</w:t>
      </w:r>
    </w:p>
    <w:p w14:paraId="3DC79B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Выпуск самолётов и авиамоторов в первый период войны (РГАЭ. Ф. 8044. </w:t>
      </w:r>
      <w:r w:rsidRPr="008127F8">
        <w:rPr>
          <w:rFonts w:ascii="Times New Roman" w:hAnsi="Times New Roman"/>
          <w:color w:val="000000" w:themeColor="text1"/>
          <w:sz w:val="16"/>
          <w:szCs w:val="16"/>
          <w:lang w:val="en-US"/>
        </w:rPr>
        <w:t xml:space="preserve">On. </w:t>
      </w:r>
      <w:r w:rsidRPr="008127F8">
        <w:rPr>
          <w:rFonts w:ascii="Times New Roman" w:hAnsi="Times New Roman"/>
          <w:color w:val="000000" w:themeColor="text1"/>
          <w:sz w:val="16"/>
          <w:szCs w:val="16"/>
        </w:rPr>
        <w:t>1. Д. 2976. Л. 9).</w:t>
      </w:r>
    </w:p>
    <w:tbl>
      <w:tblPr>
        <w:tblW w:w="0" w:type="auto"/>
        <w:tblInd w:w="8" w:type="dxa"/>
        <w:tblLayout w:type="fixed"/>
        <w:tblCellMar>
          <w:left w:w="0" w:type="dxa"/>
          <w:right w:w="0" w:type="dxa"/>
        </w:tblCellMar>
        <w:tblLook w:val="0000" w:firstRow="0" w:lastRow="0" w:firstColumn="0" w:lastColumn="0" w:noHBand="0" w:noVBand="0"/>
      </w:tblPr>
      <w:tblGrid>
        <w:gridCol w:w="1819"/>
        <w:gridCol w:w="691"/>
        <w:gridCol w:w="682"/>
        <w:gridCol w:w="686"/>
        <w:gridCol w:w="682"/>
        <w:gridCol w:w="682"/>
        <w:gridCol w:w="696"/>
      </w:tblGrid>
      <w:tr w:rsidR="007C5583" w:rsidRPr="008127F8" w14:paraId="357B4923" w14:textId="77777777" w:rsidTr="004C5D62">
        <w:trPr>
          <w:trHeight w:val="235"/>
        </w:trPr>
        <w:tc>
          <w:tcPr>
            <w:tcW w:w="1819" w:type="dxa"/>
            <w:tcBorders>
              <w:top w:val="single" w:sz="6" w:space="0" w:color="auto"/>
              <w:left w:val="single" w:sz="6" w:space="0" w:color="auto"/>
              <w:bottom w:val="nil"/>
              <w:right w:val="single" w:sz="6" w:space="0" w:color="auto"/>
            </w:tcBorders>
            <w:shd w:val="clear" w:color="auto" w:fill="FFFFFF"/>
          </w:tcPr>
          <w:p w14:paraId="2DADF50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Аннпродукта</w:t>
            </w:r>
          </w:p>
        </w:tc>
        <w:tc>
          <w:tcPr>
            <w:tcW w:w="2059" w:type="dxa"/>
            <w:gridSpan w:val="3"/>
            <w:tcBorders>
              <w:top w:val="single" w:sz="6" w:space="0" w:color="auto"/>
              <w:left w:val="single" w:sz="6" w:space="0" w:color="auto"/>
              <w:bottom w:val="single" w:sz="6" w:space="0" w:color="auto"/>
              <w:right w:val="single" w:sz="6" w:space="0" w:color="auto"/>
            </w:tcBorders>
            <w:shd w:val="clear" w:color="auto" w:fill="FFFFFF"/>
          </w:tcPr>
          <w:p w14:paraId="059CF75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1941г.</w:t>
            </w:r>
          </w:p>
        </w:tc>
        <w:tc>
          <w:tcPr>
            <w:tcW w:w="2060" w:type="dxa"/>
            <w:gridSpan w:val="3"/>
            <w:tcBorders>
              <w:top w:val="single" w:sz="6" w:space="0" w:color="auto"/>
              <w:left w:val="single" w:sz="6" w:space="0" w:color="auto"/>
              <w:bottom w:val="single" w:sz="6" w:space="0" w:color="auto"/>
              <w:right w:val="single" w:sz="6" w:space="0" w:color="auto"/>
            </w:tcBorders>
            <w:shd w:val="clear" w:color="auto" w:fill="FFFFFF"/>
          </w:tcPr>
          <w:p w14:paraId="71C88AA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с</w:t>
            </w:r>
          </w:p>
        </w:tc>
      </w:tr>
      <w:tr w:rsidR="007C5583" w:rsidRPr="008127F8" w14:paraId="303B8DAF" w14:textId="77777777" w:rsidTr="004C5D62">
        <w:trPr>
          <w:trHeight w:val="221"/>
        </w:trPr>
        <w:tc>
          <w:tcPr>
            <w:tcW w:w="1819" w:type="dxa"/>
            <w:tcBorders>
              <w:top w:val="nil"/>
              <w:left w:val="single" w:sz="6" w:space="0" w:color="auto"/>
              <w:bottom w:val="single" w:sz="6" w:space="0" w:color="auto"/>
              <w:right w:val="single" w:sz="6" w:space="0" w:color="auto"/>
            </w:tcBorders>
            <w:shd w:val="clear" w:color="auto" w:fill="FFFFFF"/>
          </w:tcPr>
          <w:p w14:paraId="55B186E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shd w:val="clear" w:color="auto" w:fill="FFFFFF"/>
          </w:tcPr>
          <w:p w14:paraId="1692095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val="en-US"/>
              </w:rPr>
              <w:t>l</w:t>
            </w:r>
            <w:r w:rsidRPr="008127F8">
              <w:rPr>
                <w:rFonts w:ascii="Times New Roman" w:hAnsi="Times New Roman"/>
                <w:color w:val="000000" w:themeColor="text1"/>
                <w:sz w:val="16"/>
                <w:szCs w:val="16"/>
              </w:rPr>
              <w:t>1 кв</w:t>
            </w:r>
            <w:r w:rsidRPr="008127F8">
              <w:rPr>
                <w:rFonts w:ascii="Times New Roman" w:hAnsi="Times New Roman"/>
                <w:color w:val="000000" w:themeColor="text1"/>
                <w:sz w:val="16"/>
                <w:szCs w:val="16"/>
                <w:lang w:val="en-US"/>
              </w:rPr>
              <w:t>.</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7B7C2C6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 кв.</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5BFA22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IV ш.</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03BC005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 кв.</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5E65EB7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 кв.</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0706F04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Шп.</w:t>
            </w:r>
          </w:p>
        </w:tc>
      </w:tr>
      <w:tr w:rsidR="007C5583" w:rsidRPr="008127F8" w14:paraId="48458410" w14:textId="77777777" w:rsidTr="004C5D62">
        <w:trPr>
          <w:trHeight w:val="221"/>
        </w:trPr>
        <w:tc>
          <w:tcPr>
            <w:tcW w:w="1819" w:type="dxa"/>
            <w:tcBorders>
              <w:top w:val="single" w:sz="6" w:space="0" w:color="auto"/>
              <w:left w:val="single" w:sz="6" w:space="0" w:color="auto"/>
              <w:bottom w:val="single" w:sz="6" w:space="0" w:color="auto"/>
              <w:right w:val="single" w:sz="6" w:space="0" w:color="auto"/>
            </w:tcBorders>
            <w:shd w:val="clear" w:color="auto" w:fill="FFFFFF"/>
          </w:tcPr>
          <w:p w14:paraId="77B7428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Моторы</w:t>
            </w:r>
          </w:p>
        </w:tc>
        <w:tc>
          <w:tcPr>
            <w:tcW w:w="691" w:type="dxa"/>
            <w:tcBorders>
              <w:top w:val="single" w:sz="6" w:space="0" w:color="auto"/>
              <w:left w:val="single" w:sz="6" w:space="0" w:color="auto"/>
              <w:bottom w:val="single" w:sz="6" w:space="0" w:color="auto"/>
              <w:right w:val="single" w:sz="6" w:space="0" w:color="auto"/>
            </w:tcBorders>
            <w:shd w:val="clear" w:color="auto" w:fill="FFFFFF"/>
          </w:tcPr>
          <w:p w14:paraId="4C7FE14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7604</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60F134A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10168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07EEEA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3319</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40961E5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5039</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5A15ABE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8320</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0C7038F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11872</w:t>
            </w:r>
          </w:p>
        </w:tc>
      </w:tr>
      <w:tr w:rsidR="007C5583" w:rsidRPr="008127F8" w14:paraId="797D1E43" w14:textId="77777777" w:rsidTr="004C5D62">
        <w:trPr>
          <w:trHeight w:val="245"/>
        </w:trPr>
        <w:tc>
          <w:tcPr>
            <w:tcW w:w="1819" w:type="dxa"/>
            <w:tcBorders>
              <w:top w:val="single" w:sz="6" w:space="0" w:color="auto"/>
              <w:left w:val="single" w:sz="6" w:space="0" w:color="auto"/>
              <w:bottom w:val="single" w:sz="6" w:space="0" w:color="auto"/>
              <w:right w:val="single" w:sz="6" w:space="0" w:color="auto"/>
            </w:tcBorders>
            <w:shd w:val="clear" w:color="auto" w:fill="FFFFFF"/>
          </w:tcPr>
          <w:p w14:paraId="2DE8461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Самолёты</w:t>
            </w:r>
          </w:p>
        </w:tc>
        <w:tc>
          <w:tcPr>
            <w:tcW w:w="691" w:type="dxa"/>
            <w:tcBorders>
              <w:top w:val="single" w:sz="6" w:space="0" w:color="auto"/>
              <w:left w:val="single" w:sz="6" w:space="0" w:color="auto"/>
              <w:bottom w:val="single" w:sz="6" w:space="0" w:color="auto"/>
              <w:right w:val="single" w:sz="6" w:space="0" w:color="auto"/>
            </w:tcBorders>
            <w:shd w:val="clear" w:color="auto" w:fill="FFFFFF"/>
          </w:tcPr>
          <w:p w14:paraId="42D57F8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3546</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138A271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6608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60AC7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3171</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569D9F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3633</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7808B59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5964</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012B698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7433</w:t>
            </w:r>
          </w:p>
        </w:tc>
      </w:tr>
    </w:tbl>
    <w:p w14:paraId="4FFEDA9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данной таблицы очевидно, что Ш квартал 1942 г. стал моментом полного восстановления объёмов как самолёто</w:t>
      </w:r>
      <w:r w:rsidRPr="008127F8">
        <w:rPr>
          <w:rFonts w:ascii="Times New Roman" w:hAnsi="Times New Roman"/>
          <w:color w:val="000000" w:themeColor="text1"/>
          <w:sz w:val="16"/>
          <w:szCs w:val="16"/>
        </w:rPr>
        <w:softHyphen/>
        <w:t>строения, так и авиамоторостроения.</w:t>
      </w:r>
    </w:p>
    <w:p w14:paraId="7F14A79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настоящий момент в отечественной историографии об</w:t>
      </w:r>
      <w:r w:rsidRPr="008127F8">
        <w:rPr>
          <w:rFonts w:ascii="Times New Roman" w:hAnsi="Times New Roman"/>
          <w:color w:val="000000" w:themeColor="text1"/>
          <w:sz w:val="16"/>
          <w:szCs w:val="16"/>
        </w:rPr>
        <w:softHyphen/>
        <w:t>щепринятым считается двухчленное деление истории совет</w:t>
      </w:r>
      <w:r w:rsidRPr="008127F8">
        <w:rPr>
          <w:rFonts w:ascii="Times New Roman" w:hAnsi="Times New Roman"/>
          <w:color w:val="000000" w:themeColor="text1"/>
          <w:sz w:val="16"/>
          <w:szCs w:val="16"/>
        </w:rPr>
        <w:softHyphen/>
        <w:t>ской промышленности в ходе Великой Отечественной войны.</w:t>
      </w:r>
    </w:p>
    <w:p w14:paraId="566E832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первом этапе народное хозяйство прошло перестройку на военные рельсы, а на втором — наращивало темпы выпуска военной продукции уже в условиях существования слажен</w:t>
      </w:r>
      <w:r w:rsidRPr="008127F8">
        <w:rPr>
          <w:rFonts w:ascii="Times New Roman" w:hAnsi="Times New Roman"/>
          <w:color w:val="000000" w:themeColor="text1"/>
          <w:sz w:val="16"/>
          <w:szCs w:val="16"/>
        </w:rPr>
        <w:softHyphen/>
        <w:t>ного оборонного производства. Однако по поводу точной хронологической границы между этими периодами единой точки зрения нет. Скажем, если Г. А. Куманёв относит этот ру</w:t>
      </w:r>
      <w:r w:rsidRPr="008127F8">
        <w:rPr>
          <w:rFonts w:ascii="Times New Roman" w:hAnsi="Times New Roman"/>
          <w:color w:val="000000" w:themeColor="text1"/>
          <w:sz w:val="16"/>
          <w:szCs w:val="16"/>
        </w:rPr>
        <w:softHyphen/>
        <w:t>беж к середине 1942 г. (</w:t>
      </w:r>
      <w:r w:rsidRPr="008127F8">
        <w:rPr>
          <w:rFonts w:ascii="Times New Roman" w:hAnsi="Times New Roman"/>
          <w:iCs/>
          <w:color w:val="000000" w:themeColor="text1"/>
          <w:sz w:val="16"/>
          <w:szCs w:val="16"/>
        </w:rPr>
        <w:t>Куманев ГА.</w:t>
      </w:r>
      <w:r w:rsidRPr="008127F8">
        <w:rPr>
          <w:rFonts w:ascii="Times New Roman" w:hAnsi="Times New Roman"/>
          <w:color w:val="000000" w:themeColor="text1"/>
          <w:sz w:val="16"/>
          <w:szCs w:val="16"/>
        </w:rPr>
        <w:t xml:space="preserve"> Трудный путь к победе. 1941—1945 гг. М., 1995. С. 17; Эта же точка зрения высказывается и в других исследованиях: Вторая мировая война: Итоги и уроки. М.: Воениздат, 1985. С. 221; Великая Отечественная война Советского Союза 1941—1945: Краткая история. М.: Воениздат. 1984. С. 176;</w:t>
      </w:r>
      <w:r w:rsidRPr="008127F8">
        <w:rPr>
          <w:rFonts w:ascii="Times New Roman" w:hAnsi="Times New Roman"/>
          <w:iCs/>
          <w:color w:val="000000" w:themeColor="text1"/>
          <w:sz w:val="16"/>
          <w:szCs w:val="16"/>
        </w:rPr>
        <w:t xml:space="preserve"> Вещиков П.И.</w:t>
      </w:r>
      <w:r w:rsidRPr="008127F8">
        <w:rPr>
          <w:rFonts w:ascii="Times New Roman" w:hAnsi="Times New Roman"/>
          <w:color w:val="000000" w:themeColor="text1"/>
          <w:sz w:val="16"/>
          <w:szCs w:val="16"/>
        </w:rPr>
        <w:t xml:space="preserve"> Подвиг тыла // СОЦИС. 1995. № 5. С. 31; Основные проблемы истории упрочения и развитая социализма в СССР. В 2 т. Т. 1. М., 1984. С. 127 и мн. др.), то ряд других историков датируют за</w:t>
      </w:r>
      <w:r w:rsidRPr="008127F8">
        <w:rPr>
          <w:rFonts w:ascii="Times New Roman" w:hAnsi="Times New Roman"/>
          <w:color w:val="000000" w:themeColor="text1"/>
          <w:sz w:val="16"/>
          <w:szCs w:val="16"/>
        </w:rPr>
        <w:softHyphen/>
        <w:t xml:space="preserve">вершение перестройки советской экономики концом 1942 г. (Источники победы советского народа в Великой Отечественной войне. 1941—1945.И, 1985. С. 159; Великая Отечественная. Народная, 1941—1945: Краткий исторический очерк. М., 1985. С. 259; Велихая Отечественная война 1941—1945: Вопросы и ответы. М., 1984. С. 180. </w:t>
      </w:r>
      <w:r w:rsidRPr="008127F8">
        <w:rPr>
          <w:rFonts w:ascii="Times New Roman" w:hAnsi="Times New Roman"/>
          <w:iCs/>
          <w:color w:val="000000" w:themeColor="text1"/>
          <w:sz w:val="16"/>
          <w:szCs w:val="16"/>
        </w:rPr>
        <w:t>Вернидуб И.И.</w:t>
      </w:r>
      <w:r w:rsidRPr="008127F8">
        <w:rPr>
          <w:rFonts w:ascii="Times New Roman" w:hAnsi="Times New Roman"/>
          <w:color w:val="000000" w:themeColor="text1"/>
          <w:sz w:val="16"/>
          <w:szCs w:val="16"/>
        </w:rPr>
        <w:t xml:space="preserve"> Боеприпасы победы. М.,1998. С. 32.).Не вдаваясь в обсуждение этого вопроса в масштабах всей промышленности СССР, тем не менее отметим, что для авиа</w:t>
      </w:r>
      <w:r w:rsidRPr="008127F8">
        <w:rPr>
          <w:rFonts w:ascii="Times New Roman" w:hAnsi="Times New Roman"/>
          <w:color w:val="000000" w:themeColor="text1"/>
          <w:sz w:val="16"/>
          <w:szCs w:val="16"/>
        </w:rPr>
        <w:softHyphen/>
        <w:t>промышленности данный рубеж будет правомерно отнести именно к середине 1942 г. (12011).</w:t>
      </w:r>
    </w:p>
    <w:p w14:paraId="68A96E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F61D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наконец-то возобновил</w:t>
      </w:r>
      <w:r w:rsidRPr="008127F8">
        <w:rPr>
          <w:rFonts w:ascii="Times New Roman" w:hAnsi="Times New Roman"/>
          <w:color w:val="000000" w:themeColor="text1"/>
          <w:sz w:val="16"/>
          <w:szCs w:val="16"/>
        </w:rPr>
        <w:softHyphen/>
        <w:t>ся выпуск дюралюминиевого проката, прекращённый осе</w:t>
      </w:r>
      <w:r w:rsidRPr="008127F8">
        <w:rPr>
          <w:rFonts w:ascii="Times New Roman" w:hAnsi="Times New Roman"/>
          <w:color w:val="000000" w:themeColor="text1"/>
          <w:sz w:val="16"/>
          <w:szCs w:val="16"/>
        </w:rPr>
        <w:softHyphen/>
        <w:t>нью 1941 г. (История металлургии лёгких сплавов в СССР. 1917—1945. М., 1983. С. 317). Практически одновременно прокат алюминие</w:t>
      </w:r>
      <w:r w:rsidRPr="008127F8">
        <w:rPr>
          <w:rFonts w:ascii="Times New Roman" w:hAnsi="Times New Roman"/>
          <w:color w:val="000000" w:themeColor="text1"/>
          <w:sz w:val="16"/>
          <w:szCs w:val="16"/>
        </w:rPr>
        <w:softHyphen/>
        <w:t xml:space="preserve">вых сплавов был налажен на заводах № 95 в Верхней Салде и № </w:t>
      </w:r>
      <w:r w:rsidRPr="008127F8">
        <w:rPr>
          <w:rFonts w:ascii="Times New Roman" w:hAnsi="Times New Roman"/>
          <w:color w:val="000000" w:themeColor="text1"/>
          <w:sz w:val="16"/>
          <w:szCs w:val="16"/>
          <w:lang w:val="en-US"/>
        </w:rPr>
        <w:t>ISO</w:t>
      </w:r>
      <w:r w:rsidRPr="008127F8">
        <w:rPr>
          <w:rFonts w:ascii="Times New Roman" w:hAnsi="Times New Roman"/>
          <w:color w:val="000000" w:themeColor="text1"/>
          <w:sz w:val="16"/>
          <w:szCs w:val="16"/>
        </w:rPr>
        <w:t xml:space="preserve"> на ст. Кунцево. В апреле 1942 г. удалось восстановить выпуск заклёпочной проволоки (История металлургии лёгких сплавов в СССР. 1917—1945. М., 1983. С. 331).</w:t>
      </w:r>
    </w:p>
    <w:p w14:paraId="6AC488B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Рост производства алюминия и сплавов на его основе не</w:t>
      </w:r>
      <w:r w:rsidRPr="008127F8">
        <w:rPr>
          <w:rFonts w:ascii="Times New Roman" w:hAnsi="Times New Roman"/>
          <w:color w:val="000000" w:themeColor="text1"/>
          <w:sz w:val="16"/>
          <w:szCs w:val="16"/>
        </w:rPr>
        <w:softHyphen/>
        <w:t>медленно вызвал возрастание выпуска цельнометаллических самолётов.</w:t>
      </w:r>
    </w:p>
    <w:p w14:paraId="10BD689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цельнометаллических самолётов (Подсчитано по; Самолетостроение в СССР 1917—1945 гг. Кн. 1. М., 1992 С. 432—435; Кн. 2. М., 1994. С. 235—237)</w:t>
      </w:r>
    </w:p>
    <w:tbl>
      <w:tblPr>
        <w:tblW w:w="0" w:type="auto"/>
        <w:tblInd w:w="8" w:type="dxa"/>
        <w:tblLayout w:type="fixed"/>
        <w:tblCellMar>
          <w:left w:w="0" w:type="dxa"/>
          <w:right w:w="0" w:type="dxa"/>
        </w:tblCellMar>
        <w:tblLook w:val="0000" w:firstRow="0" w:lastRow="0" w:firstColumn="0" w:lastColumn="0" w:noHBand="0" w:noVBand="0"/>
      </w:tblPr>
      <w:tblGrid>
        <w:gridCol w:w="1925"/>
        <w:gridCol w:w="571"/>
        <w:gridCol w:w="576"/>
        <w:gridCol w:w="566"/>
        <w:gridCol w:w="571"/>
        <w:gridCol w:w="566"/>
        <w:gridCol w:w="571"/>
        <w:gridCol w:w="586"/>
      </w:tblGrid>
      <w:tr w:rsidR="007C5583" w:rsidRPr="008127F8" w14:paraId="0EEA841C" w14:textId="77777777" w:rsidTr="004C5D62">
        <w:trPr>
          <w:trHeight w:val="240"/>
        </w:trPr>
        <w:tc>
          <w:tcPr>
            <w:tcW w:w="1925" w:type="dxa"/>
            <w:tcBorders>
              <w:top w:val="single" w:sz="6" w:space="0" w:color="auto"/>
              <w:left w:val="single" w:sz="6" w:space="0" w:color="auto"/>
              <w:bottom w:val="single" w:sz="6" w:space="0" w:color="auto"/>
              <w:right w:val="single" w:sz="6" w:space="0" w:color="auto"/>
            </w:tcBorders>
            <w:shd w:val="clear" w:color="auto" w:fill="FFFFFF"/>
          </w:tcPr>
          <w:p w14:paraId="4D6129D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Год</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38FDD0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1939</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6120066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4A3611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AD13D0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81EDE7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348E8B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1944</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F14E03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1945</w:t>
            </w:r>
          </w:p>
        </w:tc>
      </w:tr>
      <w:tr w:rsidR="007C5583" w:rsidRPr="008127F8" w14:paraId="07BDBA30" w14:textId="77777777" w:rsidTr="004C5D62">
        <w:trPr>
          <w:trHeight w:val="221"/>
        </w:trPr>
        <w:tc>
          <w:tcPr>
            <w:tcW w:w="1925" w:type="dxa"/>
            <w:tcBorders>
              <w:top w:val="single" w:sz="6" w:space="0" w:color="auto"/>
              <w:left w:val="single" w:sz="6" w:space="0" w:color="auto"/>
              <w:bottom w:val="single" w:sz="6" w:space="0" w:color="auto"/>
              <w:right w:val="single" w:sz="6" w:space="0" w:color="auto"/>
            </w:tcBorders>
            <w:shd w:val="clear" w:color="auto" w:fill="FFFFFF"/>
          </w:tcPr>
          <w:p w14:paraId="55DAEFD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самолётов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B2F60B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2935</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739D6DD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3404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98BE7D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3196</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74ACE7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3802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BDEB81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4402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A48370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4448</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0F749D2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2818</w:t>
            </w:r>
          </w:p>
        </w:tc>
      </w:tr>
      <w:tr w:rsidR="007C5583" w:rsidRPr="008127F8" w14:paraId="4EF00B6C" w14:textId="77777777" w:rsidTr="004C5D62">
        <w:trPr>
          <w:trHeight w:val="245"/>
        </w:trPr>
        <w:tc>
          <w:tcPr>
            <w:tcW w:w="1925" w:type="dxa"/>
            <w:tcBorders>
              <w:top w:val="single" w:sz="6" w:space="0" w:color="auto"/>
              <w:left w:val="single" w:sz="6" w:space="0" w:color="auto"/>
              <w:bottom w:val="single" w:sz="6" w:space="0" w:color="auto"/>
              <w:right w:val="single" w:sz="6" w:space="0" w:color="auto"/>
            </w:tcBorders>
            <w:shd w:val="clear" w:color="auto" w:fill="FFFFFF"/>
          </w:tcPr>
          <w:p w14:paraId="149C6ED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динамика к прошлому году (К)</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0544EA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4D5A006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0CE88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E4EADE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B71A9B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289B46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17DB30E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w:t>
            </w:r>
          </w:p>
        </w:tc>
      </w:tr>
    </w:tbl>
    <w:p w14:paraId="69F311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Очевидно, что наибольший прирост выпуска цельноме</w:t>
      </w:r>
      <w:r w:rsidRPr="008127F8">
        <w:rPr>
          <w:rFonts w:ascii="Times New Roman" w:hAnsi="Times New Roman"/>
          <w:color w:val="000000" w:themeColor="text1"/>
          <w:sz w:val="16"/>
          <w:szCs w:val="16"/>
        </w:rPr>
        <w:softHyphen/>
        <w:t>таллических самолётов был достигнут именно в 1942 г. (12011).</w:t>
      </w:r>
    </w:p>
    <w:p w14:paraId="2CF6A2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B772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отдел авиационной промышленности ЦК ВКП(б) запрашивал НИИ ВВС о ходе заводских испытаний РЛС «Гнейс-2», предлагая всемерно их форсировать. С. А. Данилин предложил руководителю летных испытаний срочно представить отчет о состоянии работы по прибору «Гнейс-2». Было найдено приемлемое схемное решение, которое значительно сократило мертвую зону, и очередное испытание в воздухе показало, что «Гнейс-2» может обнаруживать самолет и наблюдать за ним до сближения на расстояние 300 м. В результате станция «Гнейс-2» была доработана и предъявлена на полигонные испытания НИИ ВВС (11026).</w:t>
      </w:r>
    </w:p>
    <w:p w14:paraId="74C005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A8631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мая 1942 г. начал производство РЗ для М-13 завод № 512 НКБ. Здесь шашки изготавливали из доставленных со складов ГАУ некондиционных артиллерийских нитроглицериновых порохов. Параллельно с выпуском РЗ из привозных порохов на заводе создавалась необходимая производствен</w:t>
      </w:r>
      <w:r w:rsidRPr="008127F8">
        <w:rPr>
          <w:rFonts w:ascii="Times New Roman" w:hAnsi="Times New Roman"/>
          <w:color w:val="000000" w:themeColor="text1"/>
          <w:sz w:val="16"/>
          <w:szCs w:val="16"/>
        </w:rPr>
        <w:softHyphen/>
        <w:t>ная база для изготовления порохов и зарядов по полному технологическому циклу. За годы войны завод изготовил около 550 тыс. РЗ к снарядам М-13.</w:t>
      </w:r>
    </w:p>
    <w:p w14:paraId="27ED93D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Революцией в технологии производства баллиститных порохов (в том числе, пороховых шашек для М-8, М-13 и их модификаций) яви</w:t>
      </w:r>
      <w:r w:rsidRPr="008127F8">
        <w:rPr>
          <w:rFonts w:ascii="Times New Roman" w:hAnsi="Times New Roman"/>
          <w:color w:val="000000" w:themeColor="text1"/>
          <w:sz w:val="16"/>
          <w:szCs w:val="16"/>
        </w:rPr>
        <w:softHyphen/>
        <w:t>лось создание и внедрение непрерывного способа формования порохо</w:t>
      </w:r>
      <w:r w:rsidRPr="008127F8">
        <w:rPr>
          <w:rFonts w:ascii="Times New Roman" w:hAnsi="Times New Roman"/>
          <w:color w:val="000000" w:themeColor="text1"/>
          <w:sz w:val="16"/>
          <w:szCs w:val="16"/>
        </w:rPr>
        <w:softHyphen/>
        <w:t>вых шашек на шнековых прессах специальной конструкции, сконструи</w:t>
      </w:r>
      <w:r w:rsidRPr="008127F8">
        <w:rPr>
          <w:rFonts w:ascii="Times New Roman" w:hAnsi="Times New Roman"/>
          <w:color w:val="000000" w:themeColor="text1"/>
          <w:sz w:val="16"/>
          <w:szCs w:val="16"/>
        </w:rPr>
        <w:softHyphen/>
        <w:t>рованных группой заключенных и вольнонаемных работников особого техбюро под руководством Бакаева. Это позволило исключить из техно</w:t>
      </w:r>
      <w:r w:rsidRPr="008127F8">
        <w:rPr>
          <w:rFonts w:ascii="Times New Roman" w:hAnsi="Times New Roman"/>
          <w:color w:val="000000" w:themeColor="text1"/>
          <w:sz w:val="16"/>
          <w:szCs w:val="16"/>
        </w:rPr>
        <w:softHyphen/>
        <w:t>логического процесса опасные и тяжелые операции вальцевания поро</w:t>
      </w:r>
      <w:r w:rsidRPr="008127F8">
        <w:rPr>
          <w:rFonts w:ascii="Times New Roman" w:hAnsi="Times New Roman"/>
          <w:color w:val="000000" w:themeColor="text1"/>
          <w:sz w:val="16"/>
          <w:szCs w:val="16"/>
        </w:rPr>
        <w:softHyphen/>
        <w:t>ховой массы и прессования шашек на гидравлических прессах. Идею поддержал заместитель НКБ К.С.Гамов, и в апреле 1943 г. на заводе №98 поточную линию запустили в эксплуатацию. Производительность труда выросла на 40%, а выпуск пороховых шашек к М-13 - вдвое. РС с поро</w:t>
      </w:r>
      <w:r w:rsidRPr="008127F8">
        <w:rPr>
          <w:rFonts w:ascii="Times New Roman" w:hAnsi="Times New Roman"/>
          <w:color w:val="000000" w:themeColor="text1"/>
          <w:sz w:val="16"/>
          <w:szCs w:val="16"/>
        </w:rPr>
        <w:softHyphen/>
        <w:t>ховыми шашками, изготовленными по новой технологии, летом этого же года применили в боях на Курской дуге (11402).</w:t>
      </w:r>
    </w:p>
    <w:p w14:paraId="604E557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3150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мая до конца 1942 г. английский завод изготовил только 1650 т ша</w:t>
      </w:r>
      <w:r w:rsidRPr="008127F8">
        <w:rPr>
          <w:rFonts w:ascii="Times New Roman" w:hAnsi="Times New Roman"/>
          <w:color w:val="000000" w:themeColor="text1"/>
          <w:sz w:val="16"/>
          <w:szCs w:val="16"/>
        </w:rPr>
        <w:softHyphen/>
        <w:t>шек К.8, а за первые 10 месяцев 1943 г. - 5575 т. К этому времени было от</w:t>
      </w:r>
      <w:r w:rsidRPr="008127F8">
        <w:rPr>
          <w:rFonts w:ascii="Times New Roman" w:hAnsi="Times New Roman"/>
          <w:color w:val="000000" w:themeColor="text1"/>
          <w:sz w:val="16"/>
          <w:szCs w:val="16"/>
        </w:rPr>
        <w:softHyphen/>
        <w:t>гружено в северные порты СССР 3235 т, в стадии погрузки на суда - 2500 и около 1500 т в пути к портам отгрузки. Пороховые РЗ из шашек НОД и НОД-4 состояли из семи шашек. Дальность стрельбы снарядами М-13 Л М-13УК с РЗ из этого пороха была такой же, как и при стрельбе с оте</w:t>
      </w:r>
      <w:r w:rsidRPr="008127F8">
        <w:rPr>
          <w:rFonts w:ascii="Times New Roman" w:hAnsi="Times New Roman"/>
          <w:color w:val="000000" w:themeColor="text1"/>
          <w:sz w:val="16"/>
          <w:szCs w:val="16"/>
        </w:rPr>
        <w:softHyphen/>
        <w:t>чественными.</w:t>
      </w:r>
    </w:p>
    <w:p w14:paraId="56FC811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Англии в СССР поставляли 40-мм шашки для РС из нитроглице</w:t>
      </w:r>
      <w:r w:rsidRPr="008127F8">
        <w:rPr>
          <w:rFonts w:ascii="Times New Roman" w:hAnsi="Times New Roman"/>
          <w:color w:val="000000" w:themeColor="text1"/>
          <w:sz w:val="16"/>
          <w:szCs w:val="16"/>
        </w:rPr>
        <w:softHyphen/>
        <w:t>ринового пороха состава Н, разработанного в предвоенные годы Б.П.Фоминым и сотрудниками ВХНИИ. В состав были внесены неболь</w:t>
      </w:r>
      <w:r w:rsidRPr="008127F8">
        <w:rPr>
          <w:rFonts w:ascii="Times New Roman" w:hAnsi="Times New Roman"/>
          <w:color w:val="000000" w:themeColor="text1"/>
          <w:sz w:val="16"/>
          <w:szCs w:val="16"/>
        </w:rPr>
        <w:softHyphen/>
        <w:t>шие изменения для облегчения переработки его на имевшихся на заво</w:t>
      </w:r>
      <w:r w:rsidRPr="008127F8">
        <w:rPr>
          <w:rFonts w:ascii="Times New Roman" w:hAnsi="Times New Roman"/>
          <w:color w:val="000000" w:themeColor="text1"/>
          <w:sz w:val="16"/>
          <w:szCs w:val="16"/>
        </w:rPr>
        <w:softHyphen/>
        <w:t>дах маломощных вальцах. Этот порох получил у англичан наименование К8 (</w:t>
      </w:r>
      <w:r w:rsidRPr="008127F8">
        <w:rPr>
          <w:rFonts w:ascii="Times New Roman" w:hAnsi="Times New Roman"/>
          <w:color w:val="000000" w:themeColor="text1"/>
          <w:sz w:val="16"/>
          <w:szCs w:val="16"/>
          <w:lang w:val="en-US"/>
        </w:rPr>
        <w:t>RussianSolventless</w:t>
      </w:r>
      <w:r w:rsidRPr="008127F8">
        <w:rPr>
          <w:rFonts w:ascii="Times New Roman" w:hAnsi="Times New Roman"/>
          <w:color w:val="000000" w:themeColor="text1"/>
          <w:sz w:val="16"/>
          <w:szCs w:val="16"/>
        </w:rPr>
        <w:t xml:space="preserve"> - русский без растворителя), и ракетные шашки из него производил Королевский пороховой завод в г.Бишоптоне.</w:t>
      </w:r>
    </w:p>
    <w:p w14:paraId="2FF1AD1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СССР поступавшим из Британии шашкам присвоили индекс НОД, то есть, порох рецептуры Н «особой доставки». Английское министерст</w:t>
      </w:r>
      <w:r w:rsidRPr="008127F8">
        <w:rPr>
          <w:rFonts w:ascii="Times New Roman" w:hAnsi="Times New Roman"/>
          <w:color w:val="000000" w:themeColor="text1"/>
          <w:sz w:val="16"/>
          <w:szCs w:val="16"/>
        </w:rPr>
        <w:softHyphen/>
        <w:t>во снабжения обязалось ежемесячно поставлять по 2000 т шашек из по</w:t>
      </w:r>
      <w:r w:rsidRPr="008127F8">
        <w:rPr>
          <w:rFonts w:ascii="Times New Roman" w:hAnsi="Times New Roman"/>
          <w:color w:val="000000" w:themeColor="text1"/>
          <w:sz w:val="16"/>
          <w:szCs w:val="16"/>
        </w:rPr>
        <w:softHyphen/>
        <w:t xml:space="preserve">роха </w:t>
      </w:r>
      <w:r w:rsidRPr="008127F8">
        <w:rPr>
          <w:rFonts w:ascii="Times New Roman" w:hAnsi="Times New Roman"/>
          <w:color w:val="000000" w:themeColor="text1"/>
          <w:sz w:val="16"/>
          <w:szCs w:val="16"/>
          <w:lang w:val="en-US"/>
        </w:rPr>
        <w:t>RS</w:t>
      </w:r>
      <w:r w:rsidRPr="008127F8">
        <w:rPr>
          <w:rFonts w:ascii="Times New Roman" w:hAnsi="Times New Roman"/>
          <w:color w:val="000000" w:themeColor="text1"/>
          <w:sz w:val="16"/>
          <w:szCs w:val="16"/>
        </w:rPr>
        <w:t>-НОД. Однако, эти обязательства не выполнялись. Доставка именно порохов была более чем особой - морские конвои англичан и американцев немецкие подводники нещадно топили. И если при попа</w:t>
      </w:r>
      <w:r w:rsidRPr="008127F8">
        <w:rPr>
          <w:rFonts w:ascii="Times New Roman" w:hAnsi="Times New Roman"/>
          <w:color w:val="000000" w:themeColor="text1"/>
          <w:sz w:val="16"/>
          <w:szCs w:val="16"/>
        </w:rPr>
        <w:softHyphen/>
        <w:t>дании торпеды в транспорт с боевой техникой, у моряков еще оставалась возможность прыгнуть за борт и быть подхваченным с проходящего сле</w:t>
      </w:r>
      <w:r w:rsidRPr="008127F8">
        <w:rPr>
          <w:rFonts w:ascii="Times New Roman" w:hAnsi="Times New Roman"/>
          <w:color w:val="000000" w:themeColor="text1"/>
          <w:sz w:val="16"/>
          <w:szCs w:val="16"/>
        </w:rPr>
        <w:softHyphen/>
        <w:t>дом другого судна, то взрыв торпеды в трюме груженого таким балли-ститным порохом транспорта не оставлял команде шанса на спасение Стрельба РС с РЗ из пороха рецептуры НОД допускалась в диапазоне температур от -25 до +20°С, а из пороха НОД-4 от -10 до +40°С. На РС, заряженных английскими шашками предписывалось наносить крупно белой краской вдоль корпуса двигателя: «НОД». Как видно из темпера</w:t>
      </w:r>
      <w:r w:rsidRPr="008127F8">
        <w:rPr>
          <w:rFonts w:ascii="Times New Roman" w:hAnsi="Times New Roman"/>
          <w:color w:val="000000" w:themeColor="text1"/>
          <w:sz w:val="16"/>
          <w:szCs w:val="16"/>
        </w:rPr>
        <w:softHyphen/>
        <w:t xml:space="preserve">турных диапазонов «работы» английских ракетных порохов, это были составы ограниченного применения, поэтому впоследствии РЗ для М-13 стали </w:t>
      </w:r>
      <w:r w:rsidRPr="008127F8">
        <w:rPr>
          <w:rFonts w:ascii="Times New Roman" w:hAnsi="Times New Roman"/>
          <w:color w:val="000000" w:themeColor="text1"/>
          <w:sz w:val="16"/>
          <w:szCs w:val="16"/>
        </w:rPr>
        <w:lastRenderedPageBreak/>
        <w:t>формировать из одной шашки НОД и шести НГВ. В этом случае РС можно было применять круглый год без ограничений по температуре РЗ и высоте полета носителя.</w:t>
      </w:r>
    </w:p>
    <w:p w14:paraId="6589513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Наряду с готовыми порохами, союзные страны поставили в годы вой</w:t>
      </w:r>
      <w:r w:rsidRPr="008127F8">
        <w:rPr>
          <w:rFonts w:ascii="Times New Roman" w:hAnsi="Times New Roman"/>
          <w:color w:val="000000" w:themeColor="text1"/>
          <w:sz w:val="16"/>
          <w:szCs w:val="16"/>
        </w:rPr>
        <w:softHyphen/>
        <w:t>ны значительное количество химических материалов, используемых в качестве исходных компонентов при изготовлении порохов - этилово</w:t>
      </w:r>
      <w:r w:rsidRPr="008127F8">
        <w:rPr>
          <w:rFonts w:ascii="Times New Roman" w:hAnsi="Times New Roman"/>
          <w:color w:val="000000" w:themeColor="text1"/>
          <w:sz w:val="16"/>
          <w:szCs w:val="16"/>
        </w:rPr>
        <w:softHyphen/>
        <w:t>го спирта, глицерина, дибутилфталата, централита, дифениламина, кам</w:t>
      </w:r>
      <w:r w:rsidRPr="008127F8">
        <w:rPr>
          <w:rFonts w:ascii="Times New Roman" w:hAnsi="Times New Roman"/>
          <w:color w:val="000000" w:themeColor="text1"/>
          <w:sz w:val="16"/>
          <w:szCs w:val="16"/>
        </w:rPr>
        <w:softHyphen/>
        <w:t>фары, калийной селитры и пр. Доля импортного спирта, глицерина и централита была особенно значительной в 1943-1944 гг. (11402)/</w:t>
      </w:r>
    </w:p>
    <w:p w14:paraId="5FFDCEB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EF7E7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по приказу наркомата в Московском филиале ГСКБ-47 (основная часть еще оставалась в Миассе) был организован новый научно-исследовательский отдел, на который возлагались весьма ответственные и сложные задачи: обезвреживание невзорвавшихся немецких боеприпасов, расснаряжение боеприпасов, захваченных на немецких складах, изучение и восстановление наиболее эффективных из них. Начальником отдела был назначен С. П. Стрелков; позднее, после перевода его в другую организацию, отдел возглавил Ф. И. Сидоров. Работали там А. П. Якушев, Е. Э. Гарф, И. А. Брыков, В. И. Кузнецов, Е. Б. Шмаенок и др. На Софринский полигон привозились бомбы, отказавшие при бомбежке, их расснаряжали, это была тяжелая и опасная работа – малейшая неосторожность грозила гибелью тем, кто ее выполнял. За время войны отделом было расснаряжено и обезврежено около 2500 образцов боеприпасов и взрывателей. Особенно много этой работой занимались С. М. Долин, Е. Э. Гарф (15794).</w:t>
      </w:r>
    </w:p>
    <w:p w14:paraId="4CD2B7F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AE7CBA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на московском заводе “Компрессор” был изготовлен опытный образец установки М-13-МI надпалубного типа, в июне 1942 года он был подвергнут испытаниям в составе Волжской военной флотилии. 17 июля 1942 года акт испытаний с положительными результатами был утвержден Народным комиссариатом Военно-морского флота. Промышленности был выдан заказ на изготовление партии из 20 установок (15982).</w:t>
      </w:r>
    </w:p>
    <w:p w14:paraId="397BBDF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B33D52B"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мае 1942 г. опытные образцы установок 24-М-8 и 16-М-13, изготовленные на заводе, были поставлены на бронекатера № 350 и 314, входившие в состав Волжской военной флотилии. Испытания прошли успешно. 15 октября 1942 г. бронекатера-ракетоносцы № 41 и 51 получили задание поддержать огнем реактивных снарядов 138-ю стрелковую дивизию, отражавшую вражеские атаки у северной окраины поселка Латошинка. Впервые в истории советского ВМФ наземные цели поражались совместной залповой стрельбой реактивными снарядами М-13 с палуб бронекатеров. Большую помощь в подготовке к выполнению этой задачи оказал вступивший тогда в должность начальника штаба Волжской военной флотилии капитан 1 ранга М.И. Морозов (впоследствии контр-адмирал). Этот опытный артиллерист-новатор стал горячим сторонником внедрения реактивной техники на кораблях (15982).</w:t>
      </w:r>
    </w:p>
    <w:p w14:paraId="6E85B90C"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p>
    <w:p w14:paraId="1B18E6D1"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мае 1942 года в СКБ при заводе “Компрессор” начались работы по созданию станка для пуска неуправляемых реактивных снарядов М-30 (индекс МЗО, назывался “ящик 30”, ящик М-30 или метательное устройство “М-30”. Для перевозки рам и боеприпасов М-30 были разработаны сани-волокуши (вероятно для зимних условий). Первоначально разрабатывались стационарные станки, а затем мобильные пусковые установки. Изготовленный на заводе снаряд транспортировался на пусковую позицию в укупорке, из нее же и запускался. Для осуществления пуска на внутренней поверхности укупорки имелись продольные деревянные бруски, обитые металлическими полосками, по которым скользили снаряды при пуске. С торца она имела съемное дно, что обеспечивало выход снаряда при стрельбе. Порой снаряды стартовали с укупорками (15981).</w:t>
      </w:r>
    </w:p>
    <w:p w14:paraId="255B914E"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p>
    <w:p w14:paraId="44E22BB6"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мае 1942 года на московском заводе “Компрессор” были изготовлены опытные образцы, которые успешно прошли испытания и были рекомендованы к принятию на вооружение Военно-Морского Флота. В августе 1942 года была изготовлена первая партия в количестве десяти боевых установок М-8-М для вооружения Волжской и других флотилий. Установки были применены в переломной для Великой Отечественной войны Сталинградской битве (15982).</w:t>
      </w:r>
    </w:p>
    <w:p w14:paraId="33B3BECF"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p>
    <w:p w14:paraId="11ABCEF0"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мае 1942 года группа офицеров Главного управления вооружений разработала неуправляемый реактивный снаряд М-30 калибра 300 мм с максимальной табличной дальностью полета 2800 м. К ракетному двигателю от неуправляемого реактивного снаряда М-13 калибра 132 мм была присоединена мощная надкалиберная головная часть, выполненная в виде эллипсоида с максимальным диаметром 300 мм (15981).</w:t>
      </w:r>
    </w:p>
    <w:p w14:paraId="072E8876"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p>
    <w:p w14:paraId="1F35BD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группа офицеров Главного управления вооружений разработала неуправляемый реактивный снаряд М-30 калибра 300 мм с максимальной табличной дальностью полета 2800 м. К ракетному двигателю от неуправляемого реактивного снаряда М-13 калибра 132 мм была присоединена мощная надкалиберная головная часть, выполненная в виде эллипсоида с максимальным диаметром 300 мм. Существенным недостатком снаряда М-30 была его малая дальность полета. Этот недостаток был частично устранен в конце 1942 года, когда был создан новый неуправляемый реактивный снаряд М-31 с фугасной головной частью с максимальной дальностью полета 4325 м.</w:t>
      </w:r>
    </w:p>
    <w:p w14:paraId="6BC618F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в СКБ при заводе “Компрессор” начались работы по созданию станка для пуска неуправляемых реактивных снарядов М-30 (индекс МЗО, назывался “ящик 30”, ящик М-30 или метательное устройство “М-30” [43]). Для перевозки рам и боеприпасов М-30 были разработаны сани-волокуши [44] (вероятно для зимних условий). Первоначально разрабатывались стационарные станки, а затем мобильные пусковые установки. Изготовленный на заводе снаряд транспортировался на пусковую позицию в укупорке, из нее же и запускался. Для осуществления пуска на внутренней поверхности укупорки имелись продольные деревянные бруски, обитые металлическими полосками, по которым скользили снаряды при пуске. С торца она имела съемное дно, что обеспечивало выход снаряда при стрельбе. Порой снаряды стартовали с укупорками.</w:t>
      </w:r>
    </w:p>
    <w:p w14:paraId="29B9240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Отметим, что для стрельбы минами ДМ-2 и ДМ-1 могла быть полностью использована вся материальная часть дивизионов, применяемых для мин М-31 м М-30 без каких-либо переделок, за исключением незначительной переделки ящика М-30 [45] (11772).</w:t>
      </w:r>
    </w:p>
    <w:p w14:paraId="3EA73DD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FD18A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маю 1942 года начиная с февраля была разработана пусковая установка М-8-М башенно-палубного типа для стрельбы неуправляемыми реактивными снарядами М-8 калибра 82 мм использованных для стрельбы с сухопутных установок М-8-36 и железнодорожных установок. Она предназначалась для обеспечения выполнения боевых задач по поражению массированным огнем незащищенных береговых и морских целей, а также защиты катера или корабля от низколетящих самолетов противника. В состав метательной установки входил пакет из 12 направляющих типа “балка” длиной 2000 мм каждая. Направляющие крепились на каркасной ферме, собранной из трубчатых заготовок. Наведение по углу возвышения в пределах от 0 до 45°. Залп производился в результате вращения маховичка ПУО. За один поворот маховичка с боевой установки сходили два неуправляемых реактивных снаряда М-8. Пуск снаряда (выстрел) производился после подачи импульса электрического тока от батареи через прибор управления огнем и электрический контакт пиротехнического пистолета к пиротехническому патрону, который взрываясь (срабатывая), воспламенял пороховой заряд ракетного двигателя реактивного снаряда М-8. Под палубой, в трюме, предусматривалось помещение для хранения комплекта снарядов. Ведущим конструктором был Александр Николаевич Васильев. В мае 1942 года на московском заводе “Компрессор” были изготовлены опытные образцы, которые успешно прошли испытания и были рекомендованы к принятию на вооружение Военно-Морского Флота. В августе 1942 года была изготовлена первая партия в количестве десяти боевых установок М-8-М для вооружения Волжской и других флотилий. Установки были применены в переломной для Великой Отечественной войны Сталинградской битве (11772).</w:t>
      </w:r>
    </w:p>
    <w:p w14:paraId="78A7C8E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D3715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маю 1942 года начиная с февраля по заданию Наркомата минометного вооружения и исходным данным, полученным из Артиллерийского Управления Военно-Морского Флота, была разработана установка М-13-МI надпалубного типа и затем смонтирована на речном катере. Ведущим конструктором был А.Н. Васильев. Запуск снарядов обеспечивался оператором, находившимся в рубке. При стрельбе неуправляемыми реактивными снарядами калибра 132 мм могло быть обеспечено уничтожение живой силы и боевой техники противника при подготовке к высадке десанта, а также при проведении оборонительных операций. Установка крепилась на крыше боевой рубки, огороженной защитным устройством. Метательная установка, за исключением фермы, была унифицированной метательной установкой установки М-13, монтировавшейся на модифицированном шасси грузового автомобиля ЗИС-6. Использовалась ферма от установки М-13, метательная установка которой монтировалась на модифицированном шасси трактора СТЗ-5. Снаряды М-13 запускались с помощью установок на модифицированных шасси грузовых автомобилей, танков и железнодорожных платформ.</w:t>
      </w:r>
    </w:p>
    <w:p w14:paraId="65B07A5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Метательная установка монтировалась на специальный подрамник в виде каркаса из швеллерных балок, в нижней части которого располагался шариковый погон. Нижняя часть шарикового погона крепилась на верхней части палубы бронекатера. Внутри нижней (неподвижной) части погона имелось цевочное зацепление, а на верхней (поворотной) части погона закреплялось колесо с приводом. Это позволяло осуществлять круговой поворот всей метательной установки по азимуту. Горизонтальный механизм наведения в поворотном устройстве в этом случае являлся доводочным. Система прицеливания была унифицирована с системой установки М-13 на модифицированном шасси трактора СТЗ-5. Электрооборудование метательной установки было максимально унифицировано с электрооборудованием серийной установки М-13 на модифицированном шасси грузового автомобиля ЗИС-6, с увеличением длины приводов и размещением аккумуляторных батарей и переключателя прибора управления огнем в подпалубном положении. В трюме имелось помещение для хранения боеприпасов. Опытный образец был изготовлен в мае 1942 года на московском заводе “Компрессор”, в июне 1942 года он был подвергнут испытаниям в составе Волжской военной флотилии. 17 июля 1942 года акт испытаний с положительными результатами был утвержден Народным комиссариатом Военно-морского флота. Промышленности был выдан заказ на изготовление партии из 20 установок (11772).</w:t>
      </w:r>
    </w:p>
    <w:p w14:paraId="3E5129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A39734" w14:textId="77777777" w:rsidR="007C5583" w:rsidRPr="008127F8" w:rsidRDefault="007C5583" w:rsidP="007C5583">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lastRenderedPageBreak/>
        <w:t>В мае 1942 года группа специалистов, подчинённых Наркомату нефтяной промышленности (НКНП), представили образец установки для борьбы с танками под названием «Система», которая позволяла</w:t>
      </w:r>
      <w:r>
        <w:rPr>
          <w:color w:val="000000" w:themeColor="text1"/>
          <w:sz w:val="16"/>
          <w:szCs w:val="16"/>
        </w:rPr>
        <w:t xml:space="preserve">  </w:t>
      </w:r>
      <w:hyperlink r:id="rId43" w:history="1">
        <w:r w:rsidRPr="005E1E31">
          <w:rPr>
            <w:rStyle w:val="a6"/>
            <w:rFonts w:eastAsia="Franklin Gothic Book"/>
            <w:color w:val="000000" w:themeColor="text1"/>
            <w:sz w:val="16"/>
            <w:szCs w:val="16"/>
            <w:u w:val="none"/>
            <w:bdr w:val="none" w:sz="0" w:space="0" w:color="auto" w:frame="1"/>
          </w:rPr>
          <w:t>запускать снаряды М-82 с плеча человека</w:t>
        </w:r>
      </w:hyperlink>
      <w:r w:rsidRPr="008127F8">
        <w:rPr>
          <w:color w:val="000000" w:themeColor="text1"/>
          <w:sz w:val="16"/>
          <w:szCs w:val="16"/>
        </w:rPr>
        <w:t>. При этом для уменьшения рассеивания было предложено сообщать снаряду вращение за счёт истечения газов через тангенциальные сопла (19941).</w:t>
      </w:r>
    </w:p>
    <w:p w14:paraId="00EC72EC" w14:textId="77777777" w:rsidR="007C5583" w:rsidRPr="008127F8" w:rsidRDefault="007C5583" w:rsidP="007C5583">
      <w:pPr>
        <w:pStyle w:val="af"/>
        <w:shd w:val="clear" w:color="auto" w:fill="FFFFFF"/>
        <w:spacing w:before="0" w:after="0"/>
        <w:jc w:val="both"/>
        <w:textAlignment w:val="baseline"/>
        <w:rPr>
          <w:color w:val="000000" w:themeColor="text1"/>
          <w:sz w:val="16"/>
          <w:szCs w:val="16"/>
        </w:rPr>
      </w:pPr>
    </w:p>
    <w:p w14:paraId="0A0170B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мая 1942 года на дирижабле СССР-В12 объемом 3000 куб.метров, который еще в 1940 году был разобран, законсервирован и находился на хранении в эллинге бывшего Дирижаблестроя в Долгопрудном, стали выполняться регулярные транспортные полеты по доставке водорода и других грузов в действующие воздухоплавательные отряды ВДВ.</w:t>
      </w:r>
    </w:p>
    <w:p w14:paraId="744E2A6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обеспечения действующих воздухоплавательных отрядов газом (водородом), горючим и другими эксплуатационными материалами, нужны были специальные высокоманевренные средства. И кто бы мог подумать, что этим уникальным средством в годы Великой Отечественной войны, станут малообъемные дирижабли. В составе 1-го Отдельного воздухоплавательного дивизиона ВДВ было создано подразделение дирижаблей. В короткое время была произведена сборка дирижабля СССР-В12.</w:t>
      </w:r>
    </w:p>
    <w:p w14:paraId="75BD4B1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период Великой Отечественной войны на дирижаблях было перевезено свыше 250.000 куб.метров водорода и около 300 тонн грузов, совершено более 1500 полетов. В ходе полетов, из состава офицеров дивизиона было подготовлено 3 командира дирижабля (капитаны Попов С.А., Рощин А.И., Прохоров П.Р.), которые в дальнейшем обеспечивали все транспортные полеты на дирижаблях.</w:t>
      </w:r>
    </w:p>
    <w:p w14:paraId="79F6338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период войны на дирижаблях выполнялись экспериментальные полеты по обеспечению заданий различных родов войск Советской армии. Введение в состав Воздушно-десантных войск воздухоплавательных частей позволило, начиная с 1942 года, полностью высвободить боевые самолеты ВВС и Дальней авиации от необходимости выполнять полеты для парашютной подготовки личного состава ВДВ и использовать их по прямому назначению - для нужд фронта.</w:t>
      </w:r>
    </w:p>
    <w:p w14:paraId="7523A63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Всю парашютную подготовку войск во время войны и послевоенный период выполняли специальные десантные аэростаты, работу которых обеспечивали дирижабли. Применение аэростатов и дирижаблей в Воздушно-десантных войсках было исключительно эффективным, стоимость человека-прыжка снизилась по сравнению с самолетами более чем в 60 раз, что приносило стране многомиллионную экономию. Кроме этого, возможность размещения и работы аэростатов непосредственно в местах дислокации частей ВДВ исключало необходимость транспортировки большого количества людей к самолетам на аэродромы ВВС (как это было в прошлом), что значительно упрощало всю организацию парашютных прыжков (19612).</w:t>
      </w:r>
    </w:p>
    <w:p w14:paraId="73ACAD0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275C02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A5A5C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A8331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на месте завода № 751 НКХП был организован Завод № 768 НКХП, Уфимский химический завод (УХЗ), ПО, ГП «Химпром», ОАО «Уфахимпром» /Черниковск  г. Уфа/ /Башкирия 450029  г. Уфа ул. Путейская, 25/. Совместным приказом НК нефти и НКХП № 303/351 от 22.09.1942 г. были приняты меры по обеспечению завода необходимыми материалами и оборудованием, дополнительно направлено более 1000 строителей. В 05.1942 г. введен в строй сернокислотный цех УХЗ, в 1943 г. выдал первую продукцию. В годы ВОВ была попытка организовать производство иприта.</w:t>
      </w:r>
    </w:p>
    <w:p w14:paraId="4ABCDFC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11.1942 г. на завод эвакуировано основное оборудование Рубежанского химкомбината (цехи № 1, 2, 9, 11, 23 и электроподстанция), где комбинат продолжил работу в виде отдельного производственного комплекса. Первый хлорбензол был получен на новом месте в конце апреля 1944 г. Затем оборудование комбината было включено в состав УХЗ. На базе производства хлорбензола организован цех № 2 УХЗ. В 1944 г. получен первый хлор.</w:t>
      </w:r>
    </w:p>
    <w:p w14:paraId="4AE1E1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УХЗ (ВОВ): цехи: № 1- хлора и электролитической щелочи; № 2- хлорбензола; № 3- соляной кислоты; № 4- хлораминов; № 5- хлорсульфоновой кислоты; № 6- контактной серной кислоты; № 7- сульфогидрата натрия; № 8- выпарки электролитической щелочи; № 10- синтетической соляной кислоты.</w:t>
      </w:r>
    </w:p>
    <w:p w14:paraId="5685C6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06.1946 г. завод был остановлен на капремонт на три месяца, пуск цехов хлорной группы был задержан до 11.1946 г. Полностью завод принят в эксплуатацию приказом МХП № 252 от 24.07.1947 г. В 1950 г. организовано первое в стране производство гербицидов, в 1952-53 г. оно было модернизировано. В 1954-55 г. построен новый цех по производству хлорбензола непрерывным методом.</w:t>
      </w:r>
    </w:p>
    <w:p w14:paraId="65270D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1957 г. Уфимский завод химреактивов был реорганизован в цех химреактивов в составе УХЗ.</w:t>
      </w:r>
    </w:p>
    <w:p w14:paraId="26432E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1960 г. пущена установка пиролизного ацетилена, освоен выпуск 27 новых химреактивов, общий их ассортимент составил 39 наименований. В 1960-63 г. проведена реконструкция комплекса гербицидных цехов.</w:t>
      </w:r>
    </w:p>
    <w:p w14:paraId="7A5C1A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1965-67 г. произведено 4000 т дефолианта «оранжевый агент» для использования в ВАП во Вьетнаме. В 1966-70 г. освоен выпуск 2,4,4-Т-бутилового эфира, 8 новых химреактивов. С 1968 г. начат выпуск ТИП.</w:t>
      </w:r>
    </w:p>
    <w:p w14:paraId="3A7462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1970-е  г. проведена реконструкция хлорного производства, впервые в стране были использованы методы защиты титанового оборудования от электрокоррозии. Введен в строй рассолопровод Стерлитамак-Уфа, проведена реконструкция производства хлорамина. В 1972-73 г. освоен выпуск эпоксидно-диановых смол. С 1980 г. начат выпуск ленацила. В 1987 г. введен в строй производственный комплекс по выпуску дифенилпропана. В 1988-89 г. проведена реконструкция предприятия с целью улучшения экологических характеристик.</w:t>
      </w:r>
    </w:p>
    <w:p w14:paraId="1DE369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«Химпром» было в 1983, 1995 г.</w:t>
      </w:r>
      <w:r w:rsidRPr="008127F8">
        <w:rPr>
          <w:rFonts w:ascii="Times New Roman" w:hAnsi="Times New Roman"/>
          <w:color w:val="000000" w:themeColor="text1"/>
          <w:sz w:val="16"/>
          <w:szCs w:val="16"/>
          <w:vertAlign w:val="superscript"/>
        </w:rPr>
        <w:t>71</w:t>
      </w:r>
      <w:r w:rsidRPr="008127F8">
        <w:rPr>
          <w:rFonts w:ascii="Times New Roman" w:hAnsi="Times New Roman"/>
          <w:color w:val="000000" w:themeColor="text1"/>
          <w:sz w:val="16"/>
          <w:szCs w:val="16"/>
        </w:rPr>
        <w:t xml:space="preserve"> В 1998 г. ГП «Химпром» преобразовано в ОАО «Уфахимпром».</w:t>
      </w:r>
    </w:p>
    <w:p w14:paraId="385974C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(2000-е): химические средства защиты растений; эпоксидные смолы и компаунды; дезинфицирующие средства; органические и неорганические кислоты; сода каустическая; бытовая химия.</w:t>
      </w:r>
    </w:p>
    <w:p w14:paraId="5AE1BDD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(05.1942-06.1945 г.)- П.М. Пурмаль, (06.1945-04.1970 г.)- С.Л. Орел, (04.1970-04.1972 г.)- М.С. Бакиров, (04.1972-85 г.)- А.И. Селезнев, (1985-87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Никитин, (1987-11.1995 г.)- В.Я. Железняк, (11.1995- 02.1998 г.)- Т. Г. Татлыбаев, (02.1998-06.2001 г.)- С.С. Азнаев, (06.2001-05.2003 г.)- В.М. Тимербулатов, (05.2003- 08.2005 г.)- К.Ш. Амирханов, (08.2005 г.-)- С.Н. Борисов.</w:t>
      </w:r>
    </w:p>
    <w:p w14:paraId="213D199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кислоты: серная, соляная, монохлоруксусная; хлоруглеводороды: хлорбензол, хлорацетилен, тетрахлорбензол, трихлорэтилен; эпоксидные смолы; сода каустическая; гербициды: метаксон, 2,4-Д натриевая соль (1951-), ленацил (1980-), «Чисталан» (1998-);</w:t>
      </w:r>
      <w:r w:rsidRPr="008127F8">
        <w:rPr>
          <w:rFonts w:ascii="Times New Roman" w:hAnsi="Times New Roman"/>
          <w:color w:val="000000" w:themeColor="text1"/>
          <w:sz w:val="16"/>
          <w:szCs w:val="16"/>
          <w:vertAlign w:val="superscript"/>
        </w:rPr>
        <w:t>118</w:t>
      </w:r>
      <w:r w:rsidRPr="008127F8">
        <w:rPr>
          <w:rFonts w:ascii="Times New Roman" w:hAnsi="Times New Roman"/>
          <w:color w:val="000000" w:themeColor="text1"/>
          <w:sz w:val="16"/>
          <w:szCs w:val="16"/>
        </w:rPr>
        <w:t xml:space="preserve"> детали для ППШ (1942) (11982).</w:t>
      </w:r>
    </w:p>
    <w:p w14:paraId="400B243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7A6AC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1942г. завод № 807 (Завод № 807 НКМВ, ММиП, 3-й Государственный часовой завод НКОМ, НКМВ, Ордена Отечественной Войны 1-й степени Пензенский часовой завод ММиП, ООО «Пензенские часы» /г. Пенза ул. Часовая п/я 33/6 «Час» (1948г.)/) - в ведении 5ГУ НКМВ.</w:t>
      </w:r>
      <w:r w:rsidRPr="008127F8">
        <w:rPr>
          <w:rFonts w:ascii="Times New Roman" w:hAnsi="Times New Roman"/>
          <w:color w:val="000000" w:themeColor="text1"/>
          <w:sz w:val="16"/>
          <w:szCs w:val="16"/>
          <w:vertAlign w:val="superscript"/>
        </w:rPr>
        <w:t>129</w:t>
      </w:r>
    </w:p>
    <w:p w14:paraId="215FA2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E6D7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ЗИС-21-11 была испытана на Гороховецком полигоне. Результаты испытаний:</w:t>
      </w:r>
    </w:p>
    <w:p w14:paraId="6EDED5E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стрельбе отмечена неудовлетворительная работа противооткатных устройств. Часты предельные откаты.</w:t>
      </w:r>
    </w:p>
    <w:p w14:paraId="75BFED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устранения некоторых дефектов пушка прошла повторные испытания (3861).</w:t>
      </w:r>
    </w:p>
    <w:p w14:paraId="5EF533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B58B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C мая 1942 года 76-мм кумулятивные снаряды изготавливались серийно. 76-мм кумулятивные снаряды пробивали по нормали (90) броню до 100 мм и под углом встречи 60 60 мм. За годы войны промышленность поставила около 1,1 млн. 76-мм кумулятивных снарядов. Правда, подавляющее большинство их пошло на комплектацию выстрелов 76-мм полевых пушек. В послевоенные годы для ЗИС-3 и танковых пушек был принят на вооружение кумулятивный не вращающейся снаряд БК-354 со стальной воронкой и БК-354М, имевший единственное отличие в виде медной воронки (3861).</w:t>
      </w:r>
    </w:p>
    <w:p w14:paraId="72A6B33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375E51"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lang w:val="en-US"/>
        </w:rPr>
        <w:t>C</w:t>
      </w:r>
      <w:r w:rsidRPr="008127F8">
        <w:rPr>
          <w:color w:val="000000" w:themeColor="text1"/>
          <w:sz w:val="16"/>
          <w:szCs w:val="16"/>
        </w:rPr>
        <w:t xml:space="preserve"> мая 1942 г. </w:t>
      </w:r>
      <w:r w:rsidRPr="008127F8">
        <w:rPr>
          <w:color w:val="000000" w:themeColor="text1"/>
          <w:sz w:val="16"/>
          <w:szCs w:val="16"/>
          <w:lang w:val="en-US"/>
        </w:rPr>
        <w:t>c</w:t>
      </w:r>
      <w:r w:rsidRPr="008127F8">
        <w:rPr>
          <w:color w:val="000000" w:themeColor="text1"/>
          <w:sz w:val="16"/>
          <w:szCs w:val="16"/>
        </w:rPr>
        <w:t>наряд (кумулятивный снаряд для 76-мм полковых пушек. Снаряд имел конусную выемку, облицованную стальной оболочкой, и авиационный головной взрыватель мгновенного действия АМ-Б. Снаряжал</w:t>
      </w:r>
      <w:r w:rsidRPr="008127F8">
        <w:rPr>
          <w:color w:val="000000" w:themeColor="text1"/>
          <w:sz w:val="16"/>
          <w:szCs w:val="16"/>
        </w:rPr>
        <w:softHyphen/>
        <w:t>ся снаряд мощным взрывчатым веществом — спла</w:t>
      </w:r>
      <w:r w:rsidRPr="008127F8">
        <w:rPr>
          <w:color w:val="000000" w:themeColor="text1"/>
          <w:sz w:val="16"/>
          <w:szCs w:val="16"/>
        </w:rPr>
        <w:softHyphen/>
        <w:t>вом 70/30 (70% тротила, 30% гексогена),. На испы</w:t>
      </w:r>
      <w:r w:rsidRPr="008127F8">
        <w:rPr>
          <w:color w:val="000000" w:themeColor="text1"/>
          <w:sz w:val="16"/>
          <w:szCs w:val="16"/>
        </w:rPr>
        <w:softHyphen/>
        <w:t>таниях снаряд надежно пробивал 100-мм броню по нормали и 60-мм под углом 30° к нормали) разработанный сотрудниками НИИ-6 НКБ М. Я. Ва</w:t>
      </w:r>
      <w:r w:rsidRPr="008127F8">
        <w:rPr>
          <w:color w:val="000000" w:themeColor="text1"/>
          <w:sz w:val="16"/>
          <w:szCs w:val="16"/>
        </w:rPr>
        <w:softHyphen/>
        <w:t>сильевым, З. В. Владимировым и Н. С. Житких, был принят на вооружение произво</w:t>
      </w:r>
      <w:r w:rsidRPr="008127F8">
        <w:rPr>
          <w:color w:val="000000" w:themeColor="text1"/>
          <w:sz w:val="16"/>
          <w:szCs w:val="16"/>
        </w:rPr>
        <w:softHyphen/>
        <w:t>дился серийно до конца войны.</w:t>
      </w:r>
    </w:p>
    <w:p w14:paraId="672A0897"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Действие кумулятивного боеприпаса заключа</w:t>
      </w:r>
      <w:r w:rsidRPr="008127F8">
        <w:rPr>
          <w:color w:val="000000" w:themeColor="text1"/>
          <w:sz w:val="16"/>
          <w:szCs w:val="16"/>
        </w:rPr>
        <w:softHyphen/>
        <w:t>лось в следующем. За счет наличия в заряде взрыв</w:t>
      </w:r>
      <w:r w:rsidRPr="008127F8">
        <w:rPr>
          <w:color w:val="000000" w:themeColor="text1"/>
          <w:sz w:val="16"/>
          <w:szCs w:val="16"/>
        </w:rPr>
        <w:softHyphen/>
        <w:t>чатого вещества кумулятивной выемки при его подрыве формировалась направленная от верши</w:t>
      </w:r>
      <w:r w:rsidRPr="008127F8">
        <w:rPr>
          <w:color w:val="000000" w:themeColor="text1"/>
          <w:sz w:val="16"/>
          <w:szCs w:val="16"/>
        </w:rPr>
        <w:softHyphen/>
        <w:t>ны выемки к ее основанию кумулятивная струя из металла облицовки выемки и продуктов взрыва бо</w:t>
      </w:r>
      <w:r w:rsidRPr="008127F8">
        <w:rPr>
          <w:color w:val="000000" w:themeColor="text1"/>
          <w:sz w:val="16"/>
          <w:szCs w:val="16"/>
        </w:rPr>
        <w:softHyphen/>
        <w:t>евого заряда. Мощный удар такой струи по броне танка приводил к образованию пробоины. Забро- невое действие сводилось к поражению экипажа, инициированию детонации боеприпасов, воспла</w:t>
      </w:r>
      <w:r w:rsidRPr="008127F8">
        <w:rPr>
          <w:color w:val="000000" w:themeColor="text1"/>
          <w:sz w:val="16"/>
          <w:szCs w:val="16"/>
        </w:rPr>
        <w:softHyphen/>
        <w:t>менению горючего или его паров (17500).</w:t>
      </w:r>
    </w:p>
    <w:p w14:paraId="5298676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BC43E93"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Согласно переписке за май 1943 года, в ГАУ КА было принято решение об изготовлении опытной серии из 30 орудий ЧК, которые предназначались для войсковых испытаний. Сразу следует сказать, что данные испытания выявили ряд недостатков, посему орудие продолжало видоизменяться. Поэтому серийная ЧК-37 (она же ЧК-М1) отличалась от орудия третьей итерации. Тем не менее, именно такие, более ранние системы, сохранились до наших дней. Иногда ЧК можно видеть на экспозиции Музея Победы на Поклонной Горе (20126).</w:t>
      </w:r>
    </w:p>
    <w:p w14:paraId="72A16AE9"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58F60D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майской сводке 1942 года о советской бронетехнике путаница продолжалась. С экипажем КВ разобрались, но у Т-34 командир остался заряжающим, а стрелка-радиста и наводчика совместили в одной персоне. Судя по весу и толщине брони, в документе приводились данные о Т-34 и КВ с литыми башнями, но никакой информации об этом в сводке нет. Также не упоминалась разница между КВ-1 и КВ-2 — 155-миллиметровая пушка просто указывалась как возможное вооружение КВ (18249).</w:t>
      </w:r>
    </w:p>
    <w:p w14:paraId="5883A74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DB4E9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5 Т-34 завода № 183 были испытаны на Абердинском поли</w:t>
      </w:r>
      <w:r w:rsidRPr="008127F8">
        <w:rPr>
          <w:rFonts w:ascii="Times New Roman" w:hAnsi="Times New Roman"/>
          <w:color w:val="000000" w:themeColor="text1"/>
          <w:sz w:val="16"/>
          <w:szCs w:val="16"/>
        </w:rPr>
        <w:softHyphen/>
        <w:t>гоне. Там Т-34, вызвавший наибольший интерес, подверг</w:t>
      </w:r>
      <w:r w:rsidRPr="008127F8">
        <w:rPr>
          <w:rFonts w:ascii="Times New Roman" w:hAnsi="Times New Roman"/>
          <w:color w:val="000000" w:themeColor="text1"/>
          <w:sz w:val="16"/>
          <w:szCs w:val="16"/>
        </w:rPr>
        <w:softHyphen/>
        <w:t>ся испытаниям длительным пробегом по пересеченной местности, совместно с колесно-гусеничным танком Т-4, характеристики которого ближе всего соответствовали ТТХ отечественного среднего танка.</w:t>
      </w:r>
    </w:p>
    <w:p w14:paraId="30732D4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Первая поломка Т-34 (лопнул трак) произошла прибли</w:t>
      </w:r>
      <w:r w:rsidRPr="008127F8">
        <w:rPr>
          <w:rFonts w:ascii="Times New Roman" w:hAnsi="Times New Roman"/>
          <w:color w:val="000000" w:themeColor="text1"/>
          <w:sz w:val="16"/>
          <w:szCs w:val="16"/>
        </w:rPr>
        <w:softHyphen/>
        <w:t>зительно на 60-м километре, а после преодоления 343 км танк вышел из строя и не мог быть отремонтирован.</w:t>
      </w:r>
    </w:p>
    <w:p w14:paraId="4D9D300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Поломка произошла из-за плохой работы воздухоочис</w:t>
      </w:r>
      <w:r w:rsidRPr="008127F8">
        <w:rPr>
          <w:rFonts w:ascii="Times New Roman" w:hAnsi="Times New Roman"/>
          <w:color w:val="000000" w:themeColor="text1"/>
          <w:sz w:val="16"/>
          <w:szCs w:val="16"/>
        </w:rPr>
        <w:softHyphen/>
        <w:t>тителя, почему в двигатель набилось много пыли и произош</w:t>
      </w:r>
      <w:r w:rsidRPr="008127F8">
        <w:rPr>
          <w:rFonts w:ascii="Times New Roman" w:hAnsi="Times New Roman"/>
          <w:color w:val="000000" w:themeColor="text1"/>
          <w:sz w:val="16"/>
          <w:szCs w:val="16"/>
        </w:rPr>
        <w:softHyphen/>
        <w:t>ло разрушение поршней и цилиндров. Танк был снят с испы</w:t>
      </w:r>
      <w:r w:rsidRPr="008127F8">
        <w:rPr>
          <w:rFonts w:ascii="Times New Roman" w:hAnsi="Times New Roman"/>
          <w:color w:val="000000" w:themeColor="text1"/>
          <w:sz w:val="16"/>
          <w:szCs w:val="16"/>
        </w:rPr>
        <w:softHyphen/>
        <w:t>таний пробегом, но испытан обстрелом из орудия танка КВ и 3-дюймового орудия самоходной пушки М-10, после чего нашел свое пристанище в коллекции испытательного полигона в Абердине. Танк же КВ, несмотря на наибольшие опасения со стороны наших танкостроителей, краткие испы</w:t>
      </w:r>
      <w:r w:rsidRPr="008127F8">
        <w:rPr>
          <w:rFonts w:ascii="Times New Roman" w:hAnsi="Times New Roman"/>
          <w:color w:val="000000" w:themeColor="text1"/>
          <w:sz w:val="16"/>
          <w:szCs w:val="16"/>
        </w:rPr>
        <w:softHyphen/>
        <w:t>тания пробегом в 50 км выдержал нормально.</w:t>
      </w:r>
    </w:p>
    <w:p w14:paraId="22481C3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Форма корпуса танка Т-34 очень понравилась всем американским экспертам, тогда как КВ - нет.</w:t>
      </w:r>
    </w:p>
    <w:p w14:paraId="437023A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Анализ брони показал, что на обоих танках броневые плиты, однородные по химсоставу, имели неглубокую повер</w:t>
      </w:r>
      <w:r w:rsidRPr="008127F8">
        <w:rPr>
          <w:rFonts w:ascii="Times New Roman" w:hAnsi="Times New Roman"/>
          <w:color w:val="000000" w:themeColor="text1"/>
          <w:sz w:val="16"/>
          <w:szCs w:val="16"/>
        </w:rPr>
        <w:softHyphen/>
        <w:t>хностную закалку, основная масса броневой плиты — вязкая.</w:t>
      </w:r>
    </w:p>
    <w:p w14:paraId="4013BEA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Американские специалисты полагали, что, изменив тех</w:t>
      </w:r>
      <w:r w:rsidRPr="008127F8">
        <w:rPr>
          <w:rFonts w:ascii="Times New Roman" w:hAnsi="Times New Roman"/>
          <w:color w:val="000000" w:themeColor="text1"/>
          <w:sz w:val="16"/>
          <w:szCs w:val="16"/>
        </w:rPr>
        <w:softHyphen/>
        <w:t>нологию закалки бронеплит, можно было уменьшить их тол</w:t>
      </w:r>
      <w:r w:rsidRPr="008127F8">
        <w:rPr>
          <w:rFonts w:ascii="Times New Roman" w:hAnsi="Times New Roman"/>
          <w:color w:val="000000" w:themeColor="text1"/>
          <w:sz w:val="16"/>
          <w:szCs w:val="16"/>
        </w:rPr>
        <w:softHyphen/>
        <w:t>щину, оставив ту же снарядостойкость. Однако это высказы</w:t>
      </w:r>
      <w:r w:rsidRPr="008127F8">
        <w:rPr>
          <w:rFonts w:ascii="Times New Roman" w:hAnsi="Times New Roman"/>
          <w:color w:val="000000" w:themeColor="text1"/>
          <w:sz w:val="16"/>
          <w:szCs w:val="16"/>
        </w:rPr>
        <w:softHyphen/>
        <w:t>вание впоследствие не подтвердилось практикой.</w:t>
      </w:r>
    </w:p>
    <w:p w14:paraId="50865E2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Основным недостатком корпуса была признана водопро</w:t>
      </w:r>
      <w:r w:rsidRPr="008127F8">
        <w:rPr>
          <w:rFonts w:ascii="Times New Roman" w:hAnsi="Times New Roman"/>
          <w:color w:val="000000" w:themeColor="text1"/>
          <w:sz w:val="16"/>
          <w:szCs w:val="16"/>
        </w:rPr>
        <w:softHyphen/>
        <w:t>ницаемость как его нижней части при преодолении водных преград, так и верхней во время дождя. В сильный дождь в танк через щели натекало много воды, что могло привести к выходу из строя электрооборудования и даже боеприпасов. Расположение боеприпасов признано удачным.</w:t>
      </w:r>
    </w:p>
    <w:p w14:paraId="4DD76C5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Основной отмеченный недостаток башни и боевого от</w:t>
      </w:r>
      <w:r w:rsidRPr="008127F8">
        <w:rPr>
          <w:rFonts w:ascii="Times New Roman" w:hAnsi="Times New Roman"/>
          <w:color w:val="000000" w:themeColor="text1"/>
          <w:sz w:val="16"/>
          <w:szCs w:val="16"/>
        </w:rPr>
        <w:softHyphen/>
        <w:t>деления в целом - теснота. Американцы не могли понять, каким образом наши танкисты помещались в танке зимой в полушубках. Отмечался плохой механизм поворота башни, тем более что мотор слаб, перегружен и страшно искрил, в результате чего сгорели сопротивления регулировки ско</w:t>
      </w:r>
      <w:r w:rsidRPr="008127F8">
        <w:rPr>
          <w:rFonts w:ascii="Times New Roman" w:hAnsi="Times New Roman"/>
          <w:color w:val="000000" w:themeColor="text1"/>
          <w:sz w:val="16"/>
          <w:szCs w:val="16"/>
        </w:rPr>
        <w:softHyphen/>
        <w:t>ростей поворота, выкрошились зубья шестеренок. Выдви</w:t>
      </w:r>
      <w:r w:rsidRPr="008127F8">
        <w:rPr>
          <w:rFonts w:ascii="Times New Roman" w:hAnsi="Times New Roman"/>
          <w:color w:val="000000" w:themeColor="text1"/>
          <w:sz w:val="16"/>
          <w:szCs w:val="16"/>
        </w:rPr>
        <w:softHyphen/>
        <w:t>галось пожелание сделать гидравлический механизм пово</w:t>
      </w:r>
      <w:r w:rsidRPr="008127F8">
        <w:rPr>
          <w:rFonts w:ascii="Times New Roman" w:hAnsi="Times New Roman"/>
          <w:color w:val="000000" w:themeColor="text1"/>
          <w:sz w:val="16"/>
          <w:szCs w:val="16"/>
        </w:rPr>
        <w:softHyphen/>
        <w:t>рота или оставить только двухступенчатый ручной.</w:t>
      </w:r>
    </w:p>
    <w:p w14:paraId="5C65165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Пушка Ф-34 понравилась артиллеристам за свою прос</w:t>
      </w:r>
      <w:r w:rsidRPr="008127F8">
        <w:rPr>
          <w:rFonts w:ascii="Times New Roman" w:hAnsi="Times New Roman"/>
          <w:color w:val="000000" w:themeColor="text1"/>
          <w:sz w:val="16"/>
          <w:szCs w:val="16"/>
        </w:rPr>
        <w:softHyphen/>
        <w:t>тоту, безотказность в работе и удобство в обслуживании. Не</w:t>
      </w:r>
      <w:r w:rsidRPr="008127F8">
        <w:rPr>
          <w:rFonts w:ascii="Times New Roman" w:hAnsi="Times New Roman"/>
          <w:color w:val="000000" w:themeColor="text1"/>
          <w:sz w:val="16"/>
          <w:szCs w:val="16"/>
        </w:rPr>
        <w:softHyphen/>
        <w:t>достатком орудия признана недостаточно высокая началь</w:t>
      </w:r>
      <w:r w:rsidRPr="008127F8">
        <w:rPr>
          <w:rFonts w:ascii="Times New Roman" w:hAnsi="Times New Roman"/>
          <w:color w:val="000000" w:themeColor="text1"/>
          <w:sz w:val="16"/>
          <w:szCs w:val="16"/>
        </w:rPr>
        <w:softHyphen/>
        <w:t>ная скорость (около 620 м/с против возможной 850 м/с), что связывалось с невысоким качеством советского пороха.</w:t>
      </w:r>
    </w:p>
    <w:p w14:paraId="2D169FF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Конструкция прицела признавалась прекрасной, даже лучшей в мире из известного американским конструкто</w:t>
      </w:r>
      <w:r w:rsidRPr="008127F8">
        <w:rPr>
          <w:rFonts w:ascii="Times New Roman" w:hAnsi="Times New Roman"/>
          <w:color w:val="000000" w:themeColor="text1"/>
          <w:sz w:val="16"/>
          <w:szCs w:val="16"/>
        </w:rPr>
        <w:softHyphen/>
        <w:t>рам, но качество стекла оставляло желать лучшего.</w:t>
      </w:r>
    </w:p>
    <w:p w14:paraId="5803551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Стальные траки Т-34 просты по конструкции, широки, но американские (резинометаллические), по их представле</w:t>
      </w:r>
      <w:r w:rsidRPr="008127F8">
        <w:rPr>
          <w:rFonts w:ascii="Times New Roman" w:hAnsi="Times New Roman"/>
          <w:color w:val="000000" w:themeColor="text1"/>
          <w:sz w:val="16"/>
          <w:szCs w:val="16"/>
        </w:rPr>
        <w:softHyphen/>
        <w:t>ниям, были лучше. Недостатком нашей гусеничной цепи американцы сочли малую прочность трака на разрыв. Это усугублялось плохим качеством гусеничных пальцев.</w:t>
      </w:r>
    </w:p>
    <w:p w14:paraId="12E534F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Подвеска на танке Т-34 признана плохой, ибо от под</w:t>
      </w:r>
      <w:r w:rsidRPr="008127F8">
        <w:rPr>
          <w:rFonts w:ascii="Times New Roman" w:hAnsi="Times New Roman"/>
          <w:color w:val="000000" w:themeColor="text1"/>
          <w:sz w:val="16"/>
          <w:szCs w:val="16"/>
        </w:rPr>
        <w:softHyphen/>
        <w:t>вески «Кристи» американцы уже безоговорочно отказались как от устаревшей. В то же время подвеска танка КВ (тор</w:t>
      </w:r>
      <w:r w:rsidRPr="008127F8">
        <w:rPr>
          <w:rFonts w:ascii="Times New Roman" w:hAnsi="Times New Roman"/>
          <w:color w:val="000000" w:themeColor="text1"/>
          <w:sz w:val="16"/>
          <w:szCs w:val="16"/>
        </w:rPr>
        <w:softHyphen/>
        <w:t>сионная) признана очень удачной.</w:t>
      </w:r>
    </w:p>
    <w:p w14:paraId="7E2CE19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Дизель В-2 легкий и быстрооборотный. Всем американским военным понравились дизельные танки, они сожалели, что все мощные дизели в США забирал флот для катеров, что не позволяло оснащать ими массово выпускаемые танки.</w:t>
      </w:r>
    </w:p>
    <w:p w14:paraId="1AD7F24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Недостатки дизеля В-2 - плохой воздухоочиститель, который:</w:t>
      </w:r>
    </w:p>
    <w:p w14:paraId="6975F76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вообще не очищает воздуха, попадающего в мотор;</w:t>
      </w:r>
    </w:p>
    <w:p w14:paraId="6DA0854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пропускная способность воздухоочистителя мала и не обеспечивает приток необходимого количества воздуха даже при работе мотора вхолостую.</w:t>
      </w:r>
    </w:p>
    <w:p w14:paraId="4224E4D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этого мотор не развивает полной мощности и попадающая в цилиндры пыль ведет к быстрому срабаты</w:t>
      </w:r>
      <w:r w:rsidRPr="008127F8">
        <w:rPr>
          <w:rFonts w:ascii="Times New Roman" w:hAnsi="Times New Roman"/>
          <w:color w:val="000000" w:themeColor="text1"/>
          <w:sz w:val="16"/>
          <w:szCs w:val="16"/>
        </w:rPr>
        <w:softHyphen/>
        <w:t>ванию их, падает компрессия и мотор теряет мощность.</w:t>
      </w:r>
    </w:p>
    <w:p w14:paraId="1C6C821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фильтр изготовлен с механической точки зрения очень примитивно: в местах точечной электросварки металл прожжен, что ведет к вытеканию масла и т. д.</w:t>
      </w:r>
    </w:p>
    <w:p w14:paraId="09C7B91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танке КВ фильтр изготовлен лучше, но и он не обес</w:t>
      </w:r>
      <w:r w:rsidRPr="008127F8">
        <w:rPr>
          <w:rFonts w:ascii="Times New Roman" w:hAnsi="Times New Roman"/>
          <w:color w:val="000000" w:themeColor="text1"/>
          <w:sz w:val="16"/>
          <w:szCs w:val="16"/>
        </w:rPr>
        <w:softHyphen/>
        <w:t>печивает притока в достаточном количестве нормально очищенного воздуха.</w:t>
      </w:r>
    </w:p>
    <w:p w14:paraId="4E13C60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обоих моторах плохие стартеры - маломощные и ненадежной конструкции.</w:t>
      </w:r>
    </w:p>
    <w:p w14:paraId="67A0AFE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Трансмиссия неудовлетворительная, явно устаревшей конструкции. Во время ее эксплуатации на испытаниях у нее полностью выкрошились зубья на всех шестернях.</w:t>
      </w:r>
    </w:p>
    <w:p w14:paraId="1A88A44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Танки Т-34 и КВ были, с американской точки зрения, тихоходны, правда из-за хорошего сцепления с фунтом пре</w:t>
      </w:r>
      <w:r w:rsidRPr="008127F8">
        <w:rPr>
          <w:rFonts w:ascii="Times New Roman" w:hAnsi="Times New Roman"/>
          <w:color w:val="000000" w:themeColor="text1"/>
          <w:sz w:val="16"/>
          <w:szCs w:val="16"/>
        </w:rPr>
        <w:softHyphen/>
        <w:t>одолевали склоны лучше, чем любой из американских тан</w:t>
      </w:r>
      <w:r w:rsidRPr="008127F8">
        <w:rPr>
          <w:rFonts w:ascii="Times New Roman" w:hAnsi="Times New Roman"/>
          <w:color w:val="000000" w:themeColor="text1"/>
          <w:sz w:val="16"/>
          <w:szCs w:val="16"/>
        </w:rPr>
        <w:softHyphen/>
        <w:t>ков. Сварка броневых плит чрезвычайно грубая и небреж</w:t>
      </w:r>
      <w:r w:rsidRPr="008127F8">
        <w:rPr>
          <w:rFonts w:ascii="Times New Roman" w:hAnsi="Times New Roman"/>
          <w:color w:val="000000" w:themeColor="text1"/>
          <w:sz w:val="16"/>
          <w:szCs w:val="16"/>
        </w:rPr>
        <w:softHyphen/>
        <w:t>ная. Радиостанции при лабораторных испытаниях оказа</w:t>
      </w:r>
      <w:r w:rsidRPr="008127F8">
        <w:rPr>
          <w:rFonts w:ascii="Times New Roman" w:hAnsi="Times New Roman"/>
          <w:color w:val="000000" w:themeColor="text1"/>
          <w:sz w:val="16"/>
          <w:szCs w:val="16"/>
        </w:rPr>
        <w:softHyphen/>
        <w:t>лись неплохими, однако из-за плохой экранировки и плохих защитных устройств после их установки в танки не удалось иметь нормальной связи на дистанцию большую чем 10 миль. Компактность радиостанций и их расположение в ма</w:t>
      </w:r>
      <w:r w:rsidRPr="008127F8">
        <w:rPr>
          <w:rFonts w:ascii="Times New Roman" w:hAnsi="Times New Roman"/>
          <w:color w:val="000000" w:themeColor="text1"/>
          <w:sz w:val="16"/>
          <w:szCs w:val="16"/>
        </w:rPr>
        <w:softHyphen/>
        <w:t>шинах очень удачны. Механообработка деталей оборудова</w:t>
      </w:r>
      <w:r w:rsidRPr="008127F8">
        <w:rPr>
          <w:rFonts w:ascii="Times New Roman" w:hAnsi="Times New Roman"/>
          <w:color w:val="000000" w:themeColor="text1"/>
          <w:sz w:val="16"/>
          <w:szCs w:val="16"/>
        </w:rPr>
        <w:softHyphen/>
        <w:t>ния и частей за редким исключением очень плохая.</w:t>
      </w:r>
    </w:p>
    <w:p w14:paraId="0712371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Итак, советские Т-34 и КВ не произвели фурора за океаном. Американские конструкторы нашли в них как достоинства, так и недостатки, что естественно. Но главное, что перевод этих отчетов уже мало что давал нашим танкостроителям. Ведь ознакомиться с ними представите</w:t>
      </w:r>
      <w:r w:rsidRPr="008127F8">
        <w:rPr>
          <w:rFonts w:ascii="Times New Roman" w:hAnsi="Times New Roman"/>
          <w:color w:val="000000" w:themeColor="text1"/>
          <w:sz w:val="16"/>
          <w:szCs w:val="16"/>
        </w:rPr>
        <w:softHyphen/>
        <w:t>ли ОГК НКТП смогли лишь осенью 1942 г., когда танки Т-34 и КВ изменились разительно (10782).</w:t>
      </w:r>
    </w:p>
    <w:p w14:paraId="60D75E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5B6C0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появился завод 174 в Омске, на который попала часть завода 174 им. Ворошилова из Ленинграда, но он не собирал до Т-34-85. УЗТМ им Орджоникидзе в мае 1942 начал производство корпусов для Т-34. Затем он собирал танки, а потом - самоходки (1031,13).</w:t>
      </w:r>
    </w:p>
    <w:p w14:paraId="6B4B444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9EADF6" w14:textId="77777777" w:rsidR="005E1E31" w:rsidRPr="008A2E5A" w:rsidRDefault="005E1E31" w:rsidP="005E1E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1942 года появилась задание на разработку танковой версии орудия М-42 М.Ю. Цирульникова. По непонятным причинам далее работы по длинноствольной 45-мм танковой пушке передали на завод №235 (г. Воткинск). Это привело к затягиванию работ по орудию, которое получило индекс ВТ-42. А далее появилась еще одна версия орудия - ВТ-43, уже для танка Т-80 (23475).</w:t>
      </w:r>
    </w:p>
    <w:p w14:paraId="2184A44A" w14:textId="77777777" w:rsidR="005E1E31" w:rsidRPr="008A2E5A" w:rsidRDefault="005E1E31" w:rsidP="005E1E31">
      <w:pPr>
        <w:spacing w:after="0" w:line="240" w:lineRule="auto"/>
        <w:jc w:val="both"/>
        <w:rPr>
          <w:rFonts w:ascii="Times New Roman" w:hAnsi="Times New Roman"/>
          <w:color w:val="0070C0"/>
          <w:sz w:val="16"/>
          <w:szCs w:val="16"/>
        </w:rPr>
      </w:pPr>
    </w:p>
    <w:p w14:paraId="4187DA98"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 xml:space="preserve">В мае 1942 ЧКЗ сдал 325, а в июне 300 </w:t>
      </w:r>
      <w:r w:rsidRPr="008127F8">
        <w:rPr>
          <w:rFonts w:ascii="Times New Roman" w:cs="Times New Roman"/>
          <w:color w:val="000000" w:themeColor="text1"/>
          <w:spacing w:val="0"/>
          <w:lang w:val="en-US"/>
        </w:rPr>
        <w:t>KB</w:t>
      </w:r>
      <w:r w:rsidRPr="008127F8">
        <w:rPr>
          <w:rFonts w:ascii="Times New Roman" w:cs="Times New Roman"/>
          <w:color w:val="000000" w:themeColor="text1"/>
          <w:spacing w:val="0"/>
        </w:rPr>
        <w:t xml:space="preserve"> (включая огнемет</w:t>
      </w:r>
      <w:r w:rsidRPr="008127F8">
        <w:rPr>
          <w:rFonts w:ascii="Times New Roman" w:cs="Times New Roman"/>
          <w:color w:val="000000" w:themeColor="text1"/>
          <w:spacing w:val="0"/>
        </w:rPr>
        <w:softHyphen/>
        <w:t>ные). В июле, в связи с разворачиванием выпуска Т-34, планировалось изготовить в два раза меньше (15226).</w:t>
      </w:r>
    </w:p>
    <w:p w14:paraId="13D9E20C"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p>
    <w:p w14:paraId="28C19E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танк КВ-13 (объект 233), который стал первой самостоятельной работой Опытного танкового завода, созданного в марте 1942 в Челябинске, поступил на заводские испытания. Так и не прошел их и на Опытном заводе начали сборку новых двух (4303).</w:t>
      </w:r>
    </w:p>
    <w:p w14:paraId="26E110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4DBB7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Маем 1942 г. датируется первый отчет испытаний КВ-13, но в это время танк еще не был изготовлен, а на серийном КВ-1 прошли испытания облегченных траков, а также опор</w:t>
      </w:r>
      <w:r w:rsidRPr="008127F8">
        <w:rPr>
          <w:rFonts w:ascii="Times New Roman" w:hAnsi="Times New Roman"/>
          <w:color w:val="000000" w:themeColor="text1"/>
          <w:sz w:val="16"/>
          <w:szCs w:val="16"/>
        </w:rPr>
        <w:softHyphen/>
        <w:t>ных и поддерживающих катков КВ-13. Но расчеты показы</w:t>
      </w:r>
      <w:r w:rsidRPr="008127F8">
        <w:rPr>
          <w:rFonts w:ascii="Times New Roman" w:hAnsi="Times New Roman"/>
          <w:color w:val="000000" w:themeColor="text1"/>
          <w:sz w:val="16"/>
          <w:szCs w:val="16"/>
        </w:rPr>
        <w:softHyphen/>
        <w:t>вали, что даже с ними масса танка превысит запланирован</w:t>
      </w:r>
      <w:r w:rsidRPr="008127F8">
        <w:rPr>
          <w:rFonts w:ascii="Times New Roman" w:hAnsi="Times New Roman"/>
          <w:color w:val="000000" w:themeColor="text1"/>
          <w:sz w:val="16"/>
          <w:szCs w:val="16"/>
        </w:rPr>
        <w:softHyphen/>
        <w:t>ную, и потому в конце июня 1942 г. был предусмотрен также вариант «переобувания» КВ-13 на траки среднего Т-34 ши</w:t>
      </w:r>
      <w:r w:rsidRPr="008127F8">
        <w:rPr>
          <w:rFonts w:ascii="Times New Roman" w:hAnsi="Times New Roman"/>
          <w:color w:val="000000" w:themeColor="text1"/>
          <w:sz w:val="16"/>
          <w:szCs w:val="16"/>
        </w:rPr>
        <w:softHyphen/>
        <w:t>риной 500 мм. В этом случае предусматривалось использо</w:t>
      </w:r>
      <w:r w:rsidRPr="008127F8">
        <w:rPr>
          <w:rFonts w:ascii="Times New Roman" w:hAnsi="Times New Roman"/>
          <w:color w:val="000000" w:themeColor="text1"/>
          <w:sz w:val="16"/>
          <w:szCs w:val="16"/>
        </w:rPr>
        <w:softHyphen/>
        <w:t>вать более широкие траки КВ в распутицу и зимой. Но в за</w:t>
      </w:r>
      <w:r w:rsidRPr="008127F8">
        <w:rPr>
          <w:rFonts w:ascii="Times New Roman" w:hAnsi="Times New Roman"/>
          <w:color w:val="000000" w:themeColor="text1"/>
          <w:sz w:val="16"/>
          <w:szCs w:val="16"/>
        </w:rPr>
        <w:softHyphen/>
        <w:t>данный вес, 30—32 т, все равно не укладывались. Сердцем силовой установки танка был дизель-мотор В-2К мощностью 600 л.с. Запуск двигателя осуществлялся инерционным стартером или сжатым воздухом. Для танка была разработана новая КПП и бортовые редукторы, с кото</w:t>
      </w:r>
      <w:r w:rsidRPr="008127F8">
        <w:rPr>
          <w:rFonts w:ascii="Times New Roman" w:hAnsi="Times New Roman"/>
          <w:color w:val="000000" w:themeColor="text1"/>
          <w:sz w:val="16"/>
          <w:szCs w:val="16"/>
        </w:rPr>
        <w:softHyphen/>
        <w:t>рыми планировалось достичь скорости движения в 60 км/ч на твердой почве и траках Т-34 (10782).</w:t>
      </w:r>
    </w:p>
    <w:p w14:paraId="781CE8B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19A32F"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мае 1942 года сформировался общий облик КВ-13. Специфические требования к машине привели к тому, что тяжелый танк имел размеры и боевую массу среднего танка. При разработке создатели КВ-13 оглядывались на Т-34. От среднего танка были взяты отдельные элементы ходовой части, в частности траки гусениц и несколько измененное ведущее колесо. Кроме того, башня тоже явно проектировалась с оглядкой на Т-34. Поначалу она создавалась двухместной, но уже к началу лета 1942 года башню решили переработать в трехместную. Одновременно предполагалось установить командирскую башенку и поставить кормовой пулемет. Хотя трехместная башня так и осталась проектом, эти работы не прошли даром. В несколько измененном виде эта конструкция стала башней КВ-1с.</w:t>
      </w:r>
    </w:p>
    <w:p w14:paraId="5A95F3C0"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Несмотря на то, что в индексе КВ-13 присутствовало обозначение «КВ», общего с КВ-1 у этой машины было немного. От родоначальника семейства КВ для нового танка брались двигатель, торсионные валы и ряд других элементов. Впрочем, говорить о том, что КВ-13 был машиной, целиком построенной с использованием новых технических решений, тоже не стоит. Инженеры ЧКЗ и завода №100 использовали уже имевшийся опыт в проектировании. Корпус с местом механика-водителя, расположенным по центру отделения управления, уже проектировался для легкого танка Т-50 конструкции Кировского завода. Оттуда же частично была позаимствована конструкция установки курсового пулемета, а также система охлаждения с характерным расположением радиаторов. Ради такой установки пришлось сделать на крыше моторно-трансмиссионного отделения хорошо заметный «горб». Воздухозаборники на крыше моторно-трансмиссионного отделения очень напоминали те, что использовались на нескольких проектах КВ-4.</w:t>
      </w:r>
    </w:p>
    <w:p w14:paraId="45B4F700"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Но хватало и новых решений. Например, предполагалось использовать 9-скоростную коробку передач с тройным демультипликатором, разработанную инженером Ф.А. Маришкиным. Также стоит отметить большой процент использования в конструкции корпуса и башни литых деталей. Это позволило упростить технологию производства и одновременно сократить заброневой объем. Высвободившаяся масса позволила значительно усилить бронирование. Согласно первому варианту, максимальная толщина брони корпуса и башни составляла 90 мм, к началу июля 1942 года она выросла до 100 мм, а в окончательном варианте броню корпуса удалось усилить до 120 мм. При этом проектная масса пустого корпуса составила 13 250 кг, а пустой башни – 4 150 кг (17537).</w:t>
      </w:r>
    </w:p>
    <w:p w14:paraId="4A748434"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lang w:eastAsia="ru-RU"/>
        </w:rPr>
      </w:pPr>
    </w:p>
    <w:p w14:paraId="7300AA7C" w14:textId="77777777" w:rsidR="007C5583" w:rsidRPr="008127F8" w:rsidRDefault="007C5583" w:rsidP="007C5583">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color w:val="000000" w:themeColor="text1"/>
          <w:sz w:val="16"/>
          <w:szCs w:val="16"/>
        </w:rPr>
        <w:lastRenderedPageBreak/>
        <w:t>В</w:t>
      </w:r>
      <w:r w:rsidRPr="008127F8">
        <w:rPr>
          <w:rFonts w:ascii="Times New Roman" w:hAnsi="Times New Roman"/>
          <w:noProof/>
          <w:color w:val="000000" w:themeColor="text1"/>
          <w:sz w:val="16"/>
          <w:szCs w:val="16"/>
        </w:rPr>
        <w:t xml:space="preserve"> мае 1942 г. первый опытный обра</w:t>
      </w:r>
      <w:r w:rsidRPr="008127F8">
        <w:rPr>
          <w:rFonts w:ascii="Times New Roman" w:hAnsi="Times New Roman"/>
          <w:noProof/>
          <w:color w:val="000000" w:themeColor="text1"/>
          <w:sz w:val="16"/>
          <w:szCs w:val="16"/>
        </w:rPr>
        <w:softHyphen/>
        <w:t xml:space="preserve">зец «Объект 233» </w:t>
      </w:r>
      <w:r w:rsidRPr="008127F8">
        <w:rPr>
          <w:rFonts w:ascii="Times New Roman" w:hAnsi="Times New Roman"/>
          <w:color w:val="000000" w:themeColor="text1"/>
          <w:sz w:val="16"/>
          <w:szCs w:val="16"/>
        </w:rPr>
        <w:t xml:space="preserve">(КВ-13) </w:t>
      </w:r>
      <w:r w:rsidRPr="008127F8">
        <w:rPr>
          <w:rFonts w:ascii="Times New Roman" w:hAnsi="Times New Roman"/>
          <w:noProof/>
          <w:color w:val="000000" w:themeColor="text1"/>
          <w:sz w:val="16"/>
          <w:szCs w:val="16"/>
        </w:rPr>
        <w:t>изготовили в металле и направили на заводские испытания.</w:t>
      </w:r>
    </w:p>
    <w:p w14:paraId="7B9950F4" w14:textId="77777777" w:rsidR="007C5583" w:rsidRPr="008127F8" w:rsidRDefault="007C5583" w:rsidP="007C5583">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Нет ничего удивительного в том, что раз</w:t>
      </w:r>
      <w:r w:rsidRPr="008127F8">
        <w:rPr>
          <w:rFonts w:ascii="Times New Roman" w:hAnsi="Times New Roman"/>
          <w:noProof/>
          <w:color w:val="000000" w:themeColor="text1"/>
          <w:sz w:val="16"/>
          <w:szCs w:val="16"/>
        </w:rPr>
        <w:softHyphen/>
        <w:t>работанный и изготовленный в такой спеш</w:t>
      </w:r>
      <w:r w:rsidRPr="008127F8">
        <w:rPr>
          <w:rFonts w:ascii="Times New Roman" w:hAnsi="Times New Roman"/>
          <w:noProof/>
          <w:color w:val="000000" w:themeColor="text1"/>
          <w:sz w:val="16"/>
          <w:szCs w:val="16"/>
        </w:rPr>
        <w:softHyphen/>
        <w:t>ке танк отличался целым рядом недостатков. Девятискоростная КПП с тройным демуль</w:t>
      </w:r>
      <w:r w:rsidRPr="008127F8">
        <w:rPr>
          <w:rFonts w:ascii="Times New Roman" w:hAnsi="Times New Roman"/>
          <w:noProof/>
          <w:color w:val="000000" w:themeColor="text1"/>
          <w:sz w:val="16"/>
          <w:szCs w:val="16"/>
        </w:rPr>
        <w:softHyphen/>
        <w:t>типликатором с трудом обеспечила разгон машины до максимальной скорости. Разру</w:t>
      </w:r>
      <w:r w:rsidRPr="008127F8">
        <w:rPr>
          <w:rFonts w:ascii="Times New Roman" w:hAnsi="Times New Roman"/>
          <w:noProof/>
          <w:color w:val="000000" w:themeColor="text1"/>
          <w:sz w:val="16"/>
          <w:szCs w:val="16"/>
        </w:rPr>
        <w:softHyphen/>
        <w:t>шались опорные катки и траки, на поворо</w:t>
      </w:r>
      <w:r w:rsidRPr="008127F8">
        <w:rPr>
          <w:rFonts w:ascii="Times New Roman" w:hAnsi="Times New Roman"/>
          <w:noProof/>
          <w:color w:val="000000" w:themeColor="text1"/>
          <w:sz w:val="16"/>
          <w:szCs w:val="16"/>
        </w:rPr>
        <w:softHyphen/>
        <w:t>тах спадала гусеница. Тяжело переживавший эти неприятности Н.В. Цейц в разгар испы</w:t>
      </w:r>
      <w:r w:rsidRPr="008127F8">
        <w:rPr>
          <w:rFonts w:ascii="Times New Roman" w:hAnsi="Times New Roman"/>
          <w:noProof/>
          <w:color w:val="000000" w:themeColor="text1"/>
          <w:sz w:val="16"/>
          <w:szCs w:val="16"/>
        </w:rPr>
        <w:softHyphen/>
        <w:t>таний скоропостижно скончался. Все это не на шутку встревожило Ж.Я. Котина.</w:t>
      </w:r>
    </w:p>
    <w:p w14:paraId="43C38EDC" w14:textId="77777777" w:rsidR="007C5583" w:rsidRPr="008127F8" w:rsidRDefault="007C5583" w:rsidP="007C5583">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И тут вновь пригодились смелость и техническая грамотность Н.Ф. Шашмурина. Назначенный на смену Н.В. Цейца ве</w:t>
      </w:r>
      <w:r w:rsidRPr="008127F8">
        <w:rPr>
          <w:rFonts w:ascii="Times New Roman" w:hAnsi="Times New Roman"/>
          <w:noProof/>
          <w:color w:val="000000" w:themeColor="text1"/>
          <w:sz w:val="16"/>
          <w:szCs w:val="16"/>
        </w:rPr>
        <w:softHyphen/>
        <w:t xml:space="preserve">дущим конструктором по танку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-13, Ни</w:t>
      </w:r>
      <w:r w:rsidRPr="008127F8">
        <w:rPr>
          <w:rFonts w:ascii="Times New Roman" w:hAnsi="Times New Roman"/>
          <w:noProof/>
          <w:color w:val="000000" w:themeColor="text1"/>
          <w:sz w:val="16"/>
          <w:szCs w:val="16"/>
        </w:rPr>
        <w:softHyphen/>
        <w:t>колай Федорович попытался быстро спас</w:t>
      </w:r>
      <w:r w:rsidRPr="008127F8">
        <w:rPr>
          <w:rFonts w:ascii="Times New Roman" w:hAnsi="Times New Roman"/>
          <w:noProof/>
          <w:color w:val="000000" w:themeColor="text1"/>
          <w:sz w:val="16"/>
          <w:szCs w:val="16"/>
        </w:rPr>
        <w:softHyphen/>
        <w:t>ти положение, приняв ряд срочных техни</w:t>
      </w:r>
      <w:r w:rsidRPr="008127F8">
        <w:rPr>
          <w:rFonts w:ascii="Times New Roman" w:hAnsi="Times New Roman"/>
          <w:noProof/>
          <w:color w:val="000000" w:themeColor="text1"/>
          <w:sz w:val="16"/>
          <w:szCs w:val="16"/>
        </w:rPr>
        <w:softHyphen/>
        <w:t xml:space="preserve">ческих и организационных решений. Так, вместо девятискоростной КПП с тройным демультипликатором он решил установить в танк проверенную на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-1С и подтвер</w:t>
      </w:r>
      <w:r w:rsidRPr="008127F8">
        <w:rPr>
          <w:rFonts w:ascii="Times New Roman" w:hAnsi="Times New Roman"/>
          <w:noProof/>
          <w:color w:val="000000" w:themeColor="text1"/>
          <w:sz w:val="16"/>
          <w:szCs w:val="16"/>
        </w:rPr>
        <w:softHyphen/>
        <w:t>дившую свою эффективность восьмиско- ростную КПП с демультипликатором. Вме</w:t>
      </w:r>
      <w:r w:rsidRPr="008127F8">
        <w:rPr>
          <w:rFonts w:ascii="Times New Roman" w:hAnsi="Times New Roman"/>
          <w:noProof/>
          <w:color w:val="000000" w:themeColor="text1"/>
          <w:sz w:val="16"/>
          <w:szCs w:val="16"/>
        </w:rPr>
        <w:softHyphen/>
        <w:t>сто новых узлов ходовой части, не выдер</w:t>
      </w:r>
      <w:r w:rsidRPr="008127F8">
        <w:rPr>
          <w:rFonts w:ascii="Times New Roman" w:hAnsi="Times New Roman"/>
          <w:noProof/>
          <w:color w:val="000000" w:themeColor="text1"/>
          <w:sz w:val="16"/>
          <w:szCs w:val="16"/>
        </w:rPr>
        <w:softHyphen/>
        <w:t xml:space="preserve">жавших испытание, в танке «Объект 233» также были установлены оправдавшие себя узлы, заимствованные от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-1С.</w:t>
      </w:r>
    </w:p>
    <w:p w14:paraId="404C6F41" w14:textId="77777777" w:rsidR="007C5583" w:rsidRPr="008127F8" w:rsidRDefault="007C5583" w:rsidP="007C5583">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Однако этих мер оказалось недостаточ</w:t>
      </w:r>
      <w:r w:rsidRPr="008127F8">
        <w:rPr>
          <w:rFonts w:ascii="Times New Roman" w:hAnsi="Times New Roman"/>
          <w:noProof/>
          <w:color w:val="000000" w:themeColor="text1"/>
          <w:sz w:val="16"/>
          <w:szCs w:val="16"/>
        </w:rPr>
        <w:softHyphen/>
        <w:t>но. Танк снова испытаний не выдержал. Тог</w:t>
      </w:r>
      <w:r w:rsidRPr="008127F8">
        <w:rPr>
          <w:rFonts w:ascii="Times New Roman" w:hAnsi="Times New Roman"/>
          <w:noProof/>
          <w:color w:val="000000" w:themeColor="text1"/>
          <w:sz w:val="16"/>
          <w:szCs w:val="16"/>
        </w:rPr>
        <w:softHyphen/>
        <w:t>да Шашмурин в инициативном порядке со своей группой занялся разработкой двух новых вариантов этого танка. Заново были спроектированы башни с двумя варианта</w:t>
      </w:r>
      <w:r w:rsidRPr="008127F8">
        <w:rPr>
          <w:rFonts w:ascii="Times New Roman" w:hAnsi="Times New Roman"/>
          <w:noProof/>
          <w:color w:val="000000" w:themeColor="text1"/>
          <w:sz w:val="16"/>
          <w:szCs w:val="16"/>
        </w:rPr>
        <w:softHyphen/>
        <w:t>ми вооружения: с 76-мм пушкой ЗИС-5 («Объект 233») и 122-мм гаубицей У-11 («Объект 234») в башне, заимствованной у опытного тяжелого танка КВ-9. Удачно были использованы двухступенчатые планетар</w:t>
      </w:r>
      <w:r w:rsidRPr="008127F8">
        <w:rPr>
          <w:rFonts w:ascii="Times New Roman" w:hAnsi="Times New Roman"/>
          <w:noProof/>
          <w:color w:val="000000" w:themeColor="text1"/>
          <w:sz w:val="16"/>
          <w:szCs w:val="16"/>
        </w:rPr>
        <w:softHyphen/>
        <w:t>ные механизмы поворота, разработанные А.И. Благонравовым. Подверглась допол</w:t>
      </w:r>
      <w:r w:rsidRPr="008127F8">
        <w:rPr>
          <w:rFonts w:ascii="Times New Roman" w:hAnsi="Times New Roman"/>
          <w:noProof/>
          <w:color w:val="000000" w:themeColor="text1"/>
          <w:sz w:val="16"/>
          <w:szCs w:val="16"/>
        </w:rPr>
        <w:softHyphen/>
        <w:t xml:space="preserve">нительному усовершенствованию система охлаждения двигателя. Заимствованный от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-1С гусеничный движитель был облег</w:t>
      </w:r>
      <w:r w:rsidRPr="008127F8">
        <w:rPr>
          <w:rFonts w:ascii="Times New Roman" w:hAnsi="Times New Roman"/>
          <w:noProof/>
          <w:color w:val="000000" w:themeColor="text1"/>
          <w:sz w:val="16"/>
          <w:szCs w:val="16"/>
        </w:rPr>
        <w:softHyphen/>
        <w:t>чен за счет применения в гусеницах нечет</w:t>
      </w:r>
      <w:r w:rsidRPr="008127F8">
        <w:rPr>
          <w:rFonts w:ascii="Times New Roman" w:hAnsi="Times New Roman"/>
          <w:noProof/>
          <w:color w:val="000000" w:themeColor="text1"/>
          <w:sz w:val="16"/>
          <w:szCs w:val="16"/>
        </w:rPr>
        <w:softHyphen/>
        <w:t>ных безгребневых траков.</w:t>
      </w:r>
    </w:p>
    <w:p w14:paraId="4F54E894"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noProof/>
          <w:color w:val="000000" w:themeColor="text1"/>
          <w:sz w:val="16"/>
          <w:szCs w:val="16"/>
        </w:rPr>
        <w:t>В течение второго полугодия 1942 г. Н.Ф. Шашмурин буквально «проталкивал» на Опытном танковом заводе изготовление из</w:t>
      </w:r>
      <w:r w:rsidRPr="008127F8">
        <w:rPr>
          <w:rFonts w:ascii="Times New Roman" w:hAnsi="Times New Roman"/>
          <w:noProof/>
          <w:color w:val="000000" w:themeColor="text1"/>
          <w:sz w:val="16"/>
          <w:szCs w:val="16"/>
        </w:rPr>
        <w:softHyphen/>
        <w:t>мененных узлов и агрегатов. Наконец, с де</w:t>
      </w:r>
      <w:r w:rsidRPr="008127F8">
        <w:rPr>
          <w:rFonts w:ascii="Times New Roman" w:hAnsi="Times New Roman"/>
          <w:noProof/>
          <w:color w:val="000000" w:themeColor="text1"/>
          <w:sz w:val="16"/>
          <w:szCs w:val="16"/>
        </w:rPr>
        <w:softHyphen/>
        <w:t>кабря началась сборка двух новых вариан</w:t>
      </w:r>
      <w:r w:rsidRPr="008127F8">
        <w:rPr>
          <w:rFonts w:ascii="Times New Roman" w:hAnsi="Times New Roman"/>
          <w:noProof/>
          <w:color w:val="000000" w:themeColor="text1"/>
          <w:sz w:val="16"/>
          <w:szCs w:val="16"/>
        </w:rPr>
        <w:softHyphen/>
        <w:t xml:space="preserve">тов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-13. Появление на советско-германс</w:t>
      </w:r>
      <w:r w:rsidRPr="008127F8">
        <w:rPr>
          <w:rFonts w:ascii="Times New Roman" w:hAnsi="Times New Roman"/>
          <w:noProof/>
          <w:color w:val="000000" w:themeColor="text1"/>
          <w:sz w:val="16"/>
          <w:szCs w:val="16"/>
        </w:rPr>
        <w:softHyphen/>
        <w:t xml:space="preserve">ком фронте новых немецких тяжелых танков </w:t>
      </w:r>
      <w:r w:rsidRPr="008127F8">
        <w:rPr>
          <w:rFonts w:ascii="Times New Roman" w:hAnsi="Times New Roman"/>
          <w:color w:val="000000" w:themeColor="text1"/>
          <w:sz w:val="16"/>
          <w:szCs w:val="16"/>
          <w:lang w:val="en-US"/>
        </w:rPr>
        <w:t>T</w:t>
      </w:r>
      <w:r w:rsidRPr="008127F8">
        <w:rPr>
          <w:rFonts w:ascii="Times New Roman" w:hAnsi="Times New Roman"/>
          <w:noProof/>
          <w:color w:val="000000" w:themeColor="text1"/>
          <w:sz w:val="16"/>
          <w:szCs w:val="16"/>
        </w:rPr>
        <w:t>-</w:t>
      </w:r>
      <w:r w:rsidRPr="008127F8">
        <w:rPr>
          <w:rFonts w:ascii="Times New Roman" w:hAnsi="Times New Roman"/>
          <w:color w:val="000000" w:themeColor="text1"/>
          <w:sz w:val="16"/>
          <w:szCs w:val="16"/>
          <w:lang w:val="en-US"/>
        </w:rPr>
        <w:t>VI</w:t>
      </w:r>
      <w:r w:rsidRPr="008127F8">
        <w:rPr>
          <w:rFonts w:ascii="Times New Roman" w:hAnsi="Times New Roman"/>
          <w:noProof/>
          <w:color w:val="000000" w:themeColor="text1"/>
          <w:sz w:val="16"/>
          <w:szCs w:val="16"/>
        </w:rPr>
        <w:t xml:space="preserve"> «Тигр» с 88-мм пушкой и 100-мм лобо</w:t>
      </w:r>
      <w:r w:rsidRPr="008127F8">
        <w:rPr>
          <w:rFonts w:ascii="Times New Roman" w:hAnsi="Times New Roman"/>
          <w:noProof/>
          <w:color w:val="000000" w:themeColor="text1"/>
          <w:sz w:val="16"/>
          <w:szCs w:val="16"/>
        </w:rPr>
        <w:softHyphen/>
        <w:t>вой броней и штурмовых орудий «Ферди</w:t>
      </w:r>
      <w:r w:rsidRPr="008127F8">
        <w:rPr>
          <w:rFonts w:ascii="Times New Roman" w:hAnsi="Times New Roman"/>
          <w:noProof/>
          <w:color w:val="000000" w:themeColor="text1"/>
          <w:sz w:val="16"/>
          <w:szCs w:val="16"/>
        </w:rPr>
        <w:softHyphen/>
        <w:t>нанд» с 88-мм пушкой и 200-мм лобовой броней стимулировало дальнейшие работы</w:t>
      </w:r>
      <w:r w:rsidRPr="008127F8">
        <w:rPr>
          <w:rFonts w:ascii="Times New Roman" w:hAnsi="Times New Roman"/>
          <w:color w:val="000000" w:themeColor="text1"/>
          <w:sz w:val="16"/>
          <w:szCs w:val="16"/>
        </w:rPr>
        <w:t xml:space="preserve"> (11897)</w:t>
      </w:r>
      <w:r w:rsidRPr="008127F8">
        <w:rPr>
          <w:rFonts w:ascii="Times New Roman" w:hAnsi="Times New Roman"/>
          <w:noProof/>
          <w:color w:val="000000" w:themeColor="text1"/>
          <w:sz w:val="16"/>
          <w:szCs w:val="16"/>
        </w:rPr>
        <w:t>.</w:t>
      </w:r>
    </w:p>
    <w:p w14:paraId="076B590D" w14:textId="77777777" w:rsidR="007C5583" w:rsidRPr="008127F8" w:rsidRDefault="007C5583" w:rsidP="007C5583">
      <w:pPr>
        <w:autoSpaceDE w:val="0"/>
        <w:autoSpaceDN w:val="0"/>
        <w:adjustRightInd w:val="0"/>
        <w:spacing w:after="0" w:line="240" w:lineRule="auto"/>
        <w:jc w:val="both"/>
        <w:rPr>
          <w:rFonts w:ascii="Times New Roman" w:hAnsi="Times New Roman"/>
          <w:noProof/>
          <w:color w:val="000000" w:themeColor="text1"/>
          <w:sz w:val="16"/>
          <w:szCs w:val="16"/>
        </w:rPr>
      </w:pPr>
    </w:p>
    <w:p w14:paraId="3C43EEB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был готов опытный образец КВ-7 со спаренной установки двух орудий калибра 76,2-мм в маске. Но и он показал низкую кучность при стрельбе, и потому рабо</w:t>
      </w:r>
      <w:r w:rsidRPr="008127F8">
        <w:rPr>
          <w:rFonts w:ascii="Times New Roman" w:hAnsi="Times New Roman"/>
          <w:color w:val="000000" w:themeColor="text1"/>
          <w:sz w:val="16"/>
          <w:szCs w:val="16"/>
        </w:rPr>
        <w:softHyphen/>
        <w:t>ты над ним были прекращены, а проект вооружения его спаренной установкой 107-мм и 45-мм пушек ЗИС-6А за</w:t>
      </w:r>
      <w:r w:rsidRPr="008127F8">
        <w:rPr>
          <w:rFonts w:ascii="Times New Roman" w:hAnsi="Times New Roman"/>
          <w:color w:val="000000" w:themeColor="text1"/>
          <w:sz w:val="16"/>
          <w:szCs w:val="16"/>
        </w:rPr>
        <w:softHyphen/>
        <w:t>вода № 92 отменен в пользу установки одного орудия (10782).</w:t>
      </w:r>
    </w:p>
    <w:p w14:paraId="15289AC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C75B2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первый образец КВ-13 поступил на заводские испытания. Масса танка составляла 31,7 тонн. Вооружение: 76-мм пушка ЗИС-5 и спаренный пулемет ДТ. Толщина лобовой брони корпуса достигала 120 мм, а башни - 85 мм..</w:t>
      </w:r>
    </w:p>
    <w:p w14:paraId="6801A9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Двигатель В-2К с максимальной мощностью 600 л.с. позволял развивать скорость до 55 км/ч. Элементы ходовой части, включая гусеницы, взяли у Т-34, а опорные катки позаимствовали от КВ..</w:t>
      </w:r>
    </w:p>
    <w:p w14:paraId="22D969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КВ-13 был применен подковообразный усовершенствованный радиатор по типу установленного ранее на легком танке Т-50 Кировского завода. Это дало возможность более плотно скомпоновать моторное отделение и значительно повысить коэффициент использования воздуха, нагнетаемого вентилятором..</w:t>
      </w:r>
    </w:p>
    <w:p w14:paraId="09B951D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первого образца КВ-13 выявили ряд недостатков, таких, как трудность обеспечения разгонных характеристик коробки передач, разрушение опорных катков и траков ходовой части, спадание гусениц на поворотах и т.д. (3862).</w:t>
      </w:r>
    </w:p>
    <w:p w14:paraId="2585A6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4EB76F" w14:textId="77777777" w:rsidR="007C5583" w:rsidRPr="008127F8" w:rsidRDefault="007C5583" w:rsidP="007C5583">
      <w:pPr>
        <w:pStyle w:val="1162"/>
        <w:shd w:val="clear" w:color="auto" w:fill="auto"/>
        <w:spacing w:after="0" w:line="240" w:lineRule="auto"/>
        <w:ind w:firstLine="0"/>
        <w:jc w:val="both"/>
        <w:rPr>
          <w:rStyle w:val="920"/>
          <w:rFonts w:ascii="Times New Roman" w:hAnsi="Times New Roman" w:cs="Times New Roman"/>
          <w:color w:val="000000" w:themeColor="text1"/>
          <w:sz w:val="16"/>
          <w:szCs w:val="16"/>
        </w:rPr>
      </w:pPr>
      <w:r w:rsidRPr="008127F8">
        <w:rPr>
          <w:rStyle w:val="920"/>
          <w:rFonts w:ascii="Times New Roman" w:hAnsi="Times New Roman" w:cs="Times New Roman"/>
          <w:color w:val="000000" w:themeColor="text1"/>
          <w:sz w:val="16"/>
          <w:szCs w:val="16"/>
          <w:lang w:val="ru-RU"/>
        </w:rPr>
        <w:t>В</w:t>
      </w:r>
      <w:r w:rsidRPr="008127F8">
        <w:rPr>
          <w:rStyle w:val="920"/>
          <w:rFonts w:ascii="Times New Roman" w:hAnsi="Times New Roman" w:cs="Times New Roman"/>
          <w:color w:val="000000" w:themeColor="text1"/>
          <w:sz w:val="16"/>
          <w:szCs w:val="16"/>
        </w:rPr>
        <w:t xml:space="preserve"> мае 1942 года проект </w:t>
      </w:r>
      <w:r w:rsidRPr="008127F8">
        <w:rPr>
          <w:rStyle w:val="920"/>
          <w:rFonts w:ascii="Times New Roman" w:hAnsi="Times New Roman" w:cs="Times New Roman"/>
          <w:color w:val="000000" w:themeColor="text1"/>
          <w:sz w:val="16"/>
          <w:szCs w:val="16"/>
          <w:lang w:val="ru-RU"/>
        </w:rPr>
        <w:t>КВ-13</w:t>
      </w:r>
      <w:r w:rsidRPr="008127F8">
        <w:rPr>
          <w:rStyle w:val="920"/>
          <w:rFonts w:ascii="Times New Roman" w:hAnsi="Times New Roman" w:cs="Times New Roman"/>
          <w:color w:val="000000" w:themeColor="text1"/>
          <w:sz w:val="16"/>
          <w:szCs w:val="16"/>
        </w:rPr>
        <w:t xml:space="preserve"> обрел очертания</w:t>
      </w:r>
      <w:r w:rsidRPr="008127F8">
        <w:rPr>
          <w:rStyle w:val="920"/>
          <w:rFonts w:ascii="Times New Roman" w:hAnsi="Times New Roman" w:cs="Times New Roman"/>
          <w:color w:val="000000" w:themeColor="text1"/>
          <w:sz w:val="16"/>
          <w:szCs w:val="16"/>
          <w:lang w:val="ru-RU"/>
        </w:rPr>
        <w:t>. Танк</w:t>
      </w:r>
      <w:r w:rsidRPr="008127F8">
        <w:rPr>
          <w:rStyle w:val="920"/>
          <w:rFonts w:ascii="Times New Roman" w:hAnsi="Times New Roman" w:cs="Times New Roman"/>
          <w:color w:val="000000" w:themeColor="text1"/>
          <w:sz w:val="16"/>
          <w:szCs w:val="16"/>
        </w:rPr>
        <w:t xml:space="preserve"> сильно напоминал Т-34. Подобное сходство породи</w:t>
      </w:r>
      <w:r w:rsidRPr="008127F8">
        <w:rPr>
          <w:rStyle w:val="920"/>
          <w:rFonts w:ascii="Times New Roman" w:hAnsi="Times New Roman" w:cs="Times New Roman"/>
          <w:color w:val="000000" w:themeColor="text1"/>
          <w:sz w:val="16"/>
          <w:szCs w:val="16"/>
        </w:rPr>
        <w:softHyphen/>
        <w:t>ло ошибочные теории о том, что на самом деле Цейц проектировал конкурента Т-34. Это не так: КВ-13 разрабатывался под требо</w:t>
      </w:r>
      <w:r w:rsidRPr="008127F8">
        <w:rPr>
          <w:rStyle w:val="920"/>
          <w:rFonts w:ascii="Times New Roman" w:hAnsi="Times New Roman" w:cs="Times New Roman"/>
          <w:color w:val="000000" w:themeColor="text1"/>
          <w:sz w:val="16"/>
          <w:szCs w:val="16"/>
        </w:rPr>
        <w:softHyphen/>
        <w:t>вания ГАБТУ КА на тяжелый танк, имевший массу и подвижность танка среднего</w:t>
      </w:r>
      <w:r w:rsidRPr="008127F8">
        <w:rPr>
          <w:rStyle w:val="920"/>
          <w:rFonts w:ascii="Times New Roman" w:hAnsi="Times New Roman" w:cs="Times New Roman"/>
          <w:color w:val="000000" w:themeColor="text1"/>
          <w:sz w:val="16"/>
          <w:szCs w:val="16"/>
          <w:lang w:val="ru-RU"/>
        </w:rPr>
        <w:t xml:space="preserve"> (19872)</w:t>
      </w:r>
      <w:r w:rsidRPr="008127F8">
        <w:rPr>
          <w:rStyle w:val="920"/>
          <w:rFonts w:ascii="Times New Roman" w:hAnsi="Times New Roman" w:cs="Times New Roman"/>
          <w:color w:val="000000" w:themeColor="text1"/>
          <w:sz w:val="16"/>
          <w:szCs w:val="16"/>
        </w:rPr>
        <w:t>.</w:t>
      </w:r>
    </w:p>
    <w:p w14:paraId="4DDFDF43" w14:textId="77777777" w:rsidR="007C5583" w:rsidRPr="008127F8" w:rsidRDefault="007C5583" w:rsidP="007C5583">
      <w:pPr>
        <w:pStyle w:val="1162"/>
        <w:shd w:val="clear" w:color="auto" w:fill="auto"/>
        <w:spacing w:after="0" w:line="240" w:lineRule="auto"/>
        <w:ind w:firstLine="0"/>
        <w:jc w:val="both"/>
        <w:rPr>
          <w:rStyle w:val="920"/>
          <w:rFonts w:ascii="Times New Roman" w:hAnsi="Times New Roman" w:cs="Times New Roman"/>
          <w:color w:val="000000" w:themeColor="text1"/>
          <w:sz w:val="16"/>
          <w:szCs w:val="16"/>
        </w:rPr>
      </w:pPr>
    </w:p>
    <w:p w14:paraId="30027FAF" w14:textId="77777777" w:rsidR="00D175FC" w:rsidRPr="008A2E5A" w:rsidRDefault="00D175FC" w:rsidP="00D175FC">
      <w:pPr>
        <w:spacing w:after="0" w:line="240" w:lineRule="auto"/>
        <w:jc w:val="both"/>
        <w:rPr>
          <w:rFonts w:ascii="Times New Roman" w:hAnsi="Times New Roman"/>
          <w:color w:val="0070C0"/>
          <w:sz w:val="16"/>
          <w:szCs w:val="16"/>
        </w:rPr>
      </w:pPr>
      <w:r>
        <w:rPr>
          <w:rFonts w:ascii="Times New Roman" w:hAnsi="Times New Roman"/>
          <w:color w:val="0070C0"/>
          <w:sz w:val="16"/>
          <w:szCs w:val="16"/>
        </w:rPr>
        <w:t>В</w:t>
      </w:r>
      <w:r w:rsidRPr="008A2E5A">
        <w:rPr>
          <w:rFonts w:ascii="Times New Roman" w:hAnsi="Times New Roman"/>
          <w:color w:val="0070C0"/>
          <w:sz w:val="16"/>
          <w:szCs w:val="16"/>
        </w:rPr>
        <w:t xml:space="preserve"> мае 1942 года КВ-13 видел</w:t>
      </w:r>
      <w:r>
        <w:rPr>
          <w:rFonts w:ascii="Times New Roman" w:hAnsi="Times New Roman"/>
          <w:color w:val="0070C0"/>
          <w:sz w:val="16"/>
          <w:szCs w:val="16"/>
        </w:rPr>
        <w:t>и</w:t>
      </w:r>
      <w:r w:rsidRPr="008A2E5A">
        <w:rPr>
          <w:rFonts w:ascii="Times New Roman" w:hAnsi="Times New Roman"/>
          <w:color w:val="0070C0"/>
          <w:sz w:val="16"/>
          <w:szCs w:val="16"/>
        </w:rPr>
        <w:t xml:space="preserve"> в ГАБТУ КА. Там дали указание переработать башню, увеличив расчет до 3 человек и установив командирскую башенку. В Челябинске оперативно подготовили проект КВ-13 с командирской башенкой, именно он и лег в основу башни КВ-1с. В дальнейшем КВ-13 и КВ-1с шли рука об руку: технические решения с одной машины переносились на другую, и наоборот. Именно поэтому более поздний КВ-13 был не похож на проектную документацию. Часть решений, которые планировались на КВ-1с, но остались только в бумаге, перенесли на новую машину (23351)..</w:t>
      </w:r>
    </w:p>
    <w:p w14:paraId="6AE92BC5" w14:textId="77777777" w:rsidR="00D175FC" w:rsidRPr="008A2E5A" w:rsidRDefault="00D175FC" w:rsidP="00D175FC">
      <w:pPr>
        <w:spacing w:after="0" w:line="240" w:lineRule="auto"/>
        <w:jc w:val="both"/>
        <w:rPr>
          <w:rFonts w:ascii="Times New Roman" w:hAnsi="Times New Roman"/>
          <w:color w:val="0070C0"/>
          <w:sz w:val="16"/>
          <w:szCs w:val="16"/>
        </w:rPr>
      </w:pPr>
    </w:p>
    <w:p w14:paraId="2084E1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мае 1942 года на заводе № 100 по предложению Академии механизации и моторизации им. Сталина приступили к проектированию монтажа на КВ-1 установок для запуска 132-мм реактивных снарядов от БМ-8 ("Катюша"). Установка получила заводское обозначение КРАСТ - 1 (короткая реактивная артиллерийская система танковая). Она представляла собой бронированную коробку с закрепленными внутри двумя направляющими для стрельбы реактивными снарядами. Четыре таких коробки крепились на крыльях КВ. Таким образом, КВ получал дополнительное вооружение из 8 132-мм реактивных снарядов. Управление огнем реактивной системы велось с места механика-водителя. </w:t>
      </w:r>
    </w:p>
    <w:p w14:paraId="24BFAB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КВ-1 с КРАСТ-1 успешно прошел испытания на Научно-исследовательском полигоне стрелкового вооружения (ст. Чебакуль). Испытания показали большую эффективность дополнительного вооружения танка КВ-1, причем это вооружение устанавливалось без больших производственных затрат.</w:t>
      </w:r>
    </w:p>
    <w:p w14:paraId="682BEE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началом выпуска КВ-1С КРАСТ-1 испытывалась на нем с августа до ноября 1942 года. По их результатам главный конструктор ЧКЗ Ж. Котин обратился к наркому танковой промышленности И. Зальцману с предложением о серийном изготовлении КРАСТ-1, готовые комплекты которых "могут рассылаться в войсковые части, где при наличии электросварочного аппарата в рембазах могут быть установлены на существующие танки" (следует отметить, что одновременно с установкой КРАСТ-1 на КВ завод № 100 разработал проект установки этой системы на Т-34). Однако, на вооружение система КРАСТ-1 так и не была принята (11056).</w:t>
      </w:r>
    </w:p>
    <w:p w14:paraId="78729F4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7CB305" w14:textId="77777777" w:rsidR="005E1E31" w:rsidRPr="008A2E5A" w:rsidRDefault="005E1E31" w:rsidP="005E1E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1942 г. по итогам Всесоюзного социалистического соревнования работников танковой промышленности победителями были признаны ведущие танковые заводы: завод № 183, УЗТМ и Кировский завод. Из протокола совместного рассмотрения ВЦСПС и НКТП СССР итогов всесоюзного соцсоревнования работников танковой промышленности за май 1942 г.: эти предприятия «...значительно перевыполнили Госплан... и равномерно работали по суточному графику»[478]. В приказе наркома танковой промышленности В. А. Малышева от 12 июня 1942 г. говорилось, что «коллективы заводов - Кировского, № 183 и Уралмаш - завода выполнили. свои обязательства по Всесоюзному социалистическому соревнованию, перевыполнили государственный план по выпуску танков, танковых дизелей и бронекорпусов, равномерно работали по графику[479], в результате чего вышли победителями во Всесоюзном социалистическом соревновании и удостоены высокой награды.»[480]. В июне 1942 г. за образцовое выполнение заданий правительства по производству бронетанковой техники завод № 76 был награжден орденом Ленина, а УЗТМ и УТЗ № 183 - орденом Трудового Красного Знамени[481] (23536).</w:t>
      </w:r>
    </w:p>
    <w:p w14:paraId="2EEC896E" w14:textId="77777777" w:rsidR="005E1E31" w:rsidRPr="008A2E5A" w:rsidRDefault="005E1E31" w:rsidP="005E1E31">
      <w:pPr>
        <w:spacing w:after="0" w:line="240" w:lineRule="auto"/>
        <w:jc w:val="both"/>
        <w:rPr>
          <w:rFonts w:ascii="Times New Roman" w:hAnsi="Times New Roman"/>
          <w:color w:val="0070C0"/>
          <w:sz w:val="16"/>
          <w:szCs w:val="16"/>
        </w:rPr>
      </w:pPr>
    </w:p>
    <w:p w14:paraId="436106CB" w14:textId="77777777" w:rsidR="005E1E31" w:rsidRPr="008A2E5A" w:rsidRDefault="005E1E31" w:rsidP="005E1E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1942 г. вышел приказ наркома В.А. Малышева, где, в частности, указывалось, что заводу, выполнившему план по запчастям, полагалась премия в размере 3 % от стоимости заказа. Согласно приказу по Наркомату танковой промышленности № 123сс от 18 февраля 1943 г. заводу засчитывались в производственный план каждые 2 танка из 3 восстановленных как новые, при условии, что завод выполнил задание по запчастям[1128]. В результате часть предприятий с этим заданием справились, и уже в мартовскую программу они смогли включить: завод № 183 - 20 танков Т-34, Кировский завод - 16 танков Т-34 и 8 КВ, завод № 76-50 моторов. Но в то же время УЗТМ лишился такой возможности, так как не смог выполнить план производства запасных частей[1129] (23536).</w:t>
      </w:r>
    </w:p>
    <w:p w14:paraId="7C4E7EAC" w14:textId="77777777" w:rsidR="005E1E31" w:rsidRPr="008A2E5A" w:rsidRDefault="005E1E31" w:rsidP="005E1E31">
      <w:pPr>
        <w:spacing w:after="0" w:line="240" w:lineRule="auto"/>
        <w:jc w:val="both"/>
        <w:rPr>
          <w:rFonts w:ascii="Times New Roman" w:hAnsi="Times New Roman"/>
          <w:color w:val="0070C0"/>
          <w:sz w:val="16"/>
          <w:szCs w:val="16"/>
        </w:rPr>
      </w:pPr>
    </w:p>
    <w:p w14:paraId="0A912BE8" w14:textId="77777777" w:rsidR="005E1E31" w:rsidRPr="008A2E5A" w:rsidRDefault="005E1E31" w:rsidP="005E1E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1942 г. завод № 183 не мог самостоятельно обеспечивать сборочное производство. За счет поставок Уралмаша выполнение программы по корпусному производству на УТЗ удалось довести во II и III кварталах 1942 г. в среднем до 88,5 %, но в то же время завод ни разу не выполнил бронекорпусную программу полностью, даже с учетом поставок УЗТМ (23536).</w:t>
      </w:r>
    </w:p>
    <w:p w14:paraId="7E4E1481" w14:textId="77777777" w:rsidR="005E1E31" w:rsidRPr="008A2E5A" w:rsidRDefault="005E1E31" w:rsidP="005E1E31">
      <w:pPr>
        <w:spacing w:after="0" w:line="240" w:lineRule="auto"/>
        <w:jc w:val="both"/>
        <w:rPr>
          <w:rFonts w:ascii="Times New Roman" w:hAnsi="Times New Roman"/>
          <w:color w:val="0070C0"/>
          <w:sz w:val="16"/>
          <w:szCs w:val="16"/>
        </w:rPr>
      </w:pPr>
    </w:p>
    <w:p w14:paraId="1475A608" w14:textId="77777777" w:rsidR="005E1E31" w:rsidRPr="008A2E5A" w:rsidRDefault="005E1E31" w:rsidP="005E1E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1942 г. Б.Г. Музруков обратил внимание руководящих органов (в частности, секретаря обкома ВКП(б) В.М. Андрианова) на то, что «в связи с получением... целого ряда новых дополнительных заданий оборудование завода, особенно заготовительных цехов, крайне перегружено»[500]. В конце 1943 г. этот факт признал Наркомат, говоря о том, что загрузка УЗТМ дополнительными заказами чрезмерна (приказ В.А. Малышева № 708сс от 23 ноября 1943 г.)[501]. Но никаких реальных действий не последовало. И не могло последовать, поскольку Уралмаш в годы войны остался единственным предприятием страны, способным выполнять такие сложные заказы, как выпуск металлургического оборудования и комплектующих к нему.</w:t>
      </w:r>
    </w:p>
    <w:p w14:paraId="006F3C7A" w14:textId="77777777" w:rsidR="005E1E31" w:rsidRPr="008A2E5A" w:rsidRDefault="005E1E31" w:rsidP="005E1E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Организация сборочного производства на УЗТМ была проведена в условиях постоянных штурмов и авралов. Первые 15 танков собрали в сентябре 1942 г. Но этот успех был преждевременным. Эти машины оказались непригодными для отправки на фронт и были использованы только в учебных частях[502]. Факт очень важный, поскольку существовавшие на тот момент условия сдачи боевых машин военной приемке совершенно не подразумевали высокого качества. Следовательно, первые уралмашевские Т-34 были действительно совершенно неудовлетворительного качества.</w:t>
      </w:r>
    </w:p>
    <w:p w14:paraId="466FD74E" w14:textId="77777777" w:rsidR="005E1E31" w:rsidRPr="008A2E5A" w:rsidRDefault="005E1E31" w:rsidP="005E1E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Резкое увеличение и усложнение программы выпуска основной продукции привело к тому, что ведущие танковые заводы с осени 1942 г. начали регулярно срывать программу по основному производству боевых машин и комплектов корпусов. Сентябрьский план среди заводов Наркомата танковой промышленности выполнили только заводы № 76 (дизельные двигатели В-2) и № 255 (электрооборудование для танков)[503]. В октябре 1942 г. бронекорпусному производству на У ЗТМ, заводу № 183 (корпус Т-34) и заводу № 200 (корпус КВ) наркомат поставил оценку «неудовлетворительно». В ноябре такая оценка была поставлена уже всем танковым заводам, и особенно выделялись Кировский завод и завод № 183, которые, по словам наркома И.М. Зальцмана, к концу месяца подошли «с позорными результатами»[504]. В целом в IV квартале 1942 г. Уралмаш выполнил план по корпусу Т-34 только на 72,5 % (1123 изготовленных корпуса из 1550 плановых), по </w:t>
      </w:r>
      <w:r w:rsidRPr="008A2E5A">
        <w:rPr>
          <w:rFonts w:ascii="Times New Roman" w:hAnsi="Times New Roman"/>
          <w:color w:val="0070C0"/>
          <w:sz w:val="16"/>
          <w:szCs w:val="16"/>
        </w:rPr>
        <w:lastRenderedPageBreak/>
        <w:t>танкам Т-34 - на 72 % (252 танка из 350); корпусной завод № 200 - по корпусу КВ на 49,5 % (312 из 630); Кировский завод - по двигателям В-2 на 78,4 % (3095 из 3950), по КВ на 72,5 %, Т-34 на 78,4 %[505] (23536).</w:t>
      </w:r>
    </w:p>
    <w:p w14:paraId="4BA3B403" w14:textId="77777777" w:rsidR="005E1E31" w:rsidRPr="008A2E5A" w:rsidRDefault="005E1E31" w:rsidP="005E1E31">
      <w:pPr>
        <w:spacing w:after="0" w:line="240" w:lineRule="auto"/>
        <w:jc w:val="both"/>
        <w:rPr>
          <w:rFonts w:ascii="Times New Roman" w:hAnsi="Times New Roman"/>
          <w:color w:val="0070C0"/>
          <w:sz w:val="16"/>
          <w:szCs w:val="16"/>
        </w:rPr>
      </w:pPr>
    </w:p>
    <w:p w14:paraId="60553FBB" w14:textId="77777777" w:rsidR="007C5583" w:rsidRPr="008127F8" w:rsidRDefault="007C5583" w:rsidP="007C5583">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мае </w:t>
      </w:r>
      <w:smartTag w:uri="urn:schemas-microsoft-com:office:smarttags" w:element="metricconverter">
        <w:smartTagPr>
          <w:attr w:name="ProductID" w:val="1945 г"/>
        </w:smartTagPr>
        <w:r w:rsidRPr="008127F8">
          <w:rPr>
            <w:rFonts w:ascii="Times New Roman" w:hAnsi="Times New Roman"/>
            <w:color w:val="000000" w:themeColor="text1"/>
            <w:sz w:val="16"/>
            <w:szCs w:val="16"/>
          </w:rPr>
          <w:t>1942 г</w:t>
        </w:r>
      </w:smartTag>
      <w:r w:rsidRPr="008127F8">
        <w:rPr>
          <w:rFonts w:ascii="Times New Roman" w:hAnsi="Times New Roman"/>
          <w:color w:val="000000" w:themeColor="text1"/>
          <w:sz w:val="16"/>
          <w:szCs w:val="16"/>
        </w:rPr>
        <w:t>. ОГК НКТП в лице начальника С. А. Гинзбурга выдвинул ТТТ на разработку зенитной башни, вооруженной 12.7-мм пулеметами для танка Т-60. Одновременно, поскольку на вооружение уже был принят танк Т-70, ГАЗ в лице главного конструктора Н.А. Астрова выступил с инициативой о проектировании такой же башни для танка Т-70. Инициатива была поддержана, причем интересно, что в рамках одинакового финансирования ГАЗ делал лишь один танк на шасси Т-70, завод же №37 – два, на шасси Т-60 и Т-70 (15218).</w:t>
      </w:r>
    </w:p>
    <w:p w14:paraId="417ADA27" w14:textId="77777777" w:rsidR="007C5583" w:rsidRPr="008127F8" w:rsidRDefault="007C5583" w:rsidP="007C5583">
      <w:pPr>
        <w:widowControl w:val="0"/>
        <w:spacing w:after="0" w:line="240" w:lineRule="auto"/>
        <w:jc w:val="both"/>
        <w:rPr>
          <w:rFonts w:ascii="Times New Roman" w:hAnsi="Times New Roman"/>
          <w:color w:val="000000" w:themeColor="text1"/>
          <w:sz w:val="16"/>
          <w:szCs w:val="16"/>
        </w:rPr>
      </w:pPr>
    </w:p>
    <w:p w14:paraId="210FCF41"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мае 1942 года на заводе № 264 было построено 275 танков Т-60, что соответствовало заданию. Подобные объёмы заводу давались с большим трудом. Из-за недостатка радиаторов 102 танка выпустили с оборотными радиаторами. Кроме того, двигатели с ГАЗ им. Молотова поступали неравномерно, из-за чего завод № 264 пять дней вообще простаивал. Никуда не делись и проблемы с обрезинкой и поставками траков. Несмотря на перебои с поставками радиаторов, в июне завод при задании в 300 танков построил 311 машин (17677).</w:t>
      </w:r>
    </w:p>
    <w:p w14:paraId="768EB63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494E7B1" w14:textId="77777777" w:rsidR="005E5BF5" w:rsidRPr="008A2E5A" w:rsidRDefault="005E5BF5" w:rsidP="005E5BF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май 1942 г. заводом № 37 было выпущено 300 корпусов и 280 танков Т-60, причем все машины оказались по вине завода №183 без гусениц. Кроме того, 10 дней мая завод простаивал без двигателей, после их поставки конвейер заработал так, что к концу месяца из сборочного цеха выходило по 20 танков в сутки. Завод №37, как и отдел "22", не сидели, сложа руки. Заводское КБ постепенно включалась в работы по новым разработкам. В их числе оказались легкий танк Т-45, а также САУ СУ-31 и СУ-32. Завод освоил автоматическую сварку, которая значительно облегчила сварку башен и корпусов, одновременно подняв качество их изготовления. Началось освоение автоматической сварки катков, что позволяло в перспективе отказаться от их заказа на стороне. В мае были отлиты первые пробные траки, к концу июня ожидалось начало их массового производства. Данное производство было особенно важным, поскольку завод №183 очень затянул с поставкой траков. Мало того, представители завода №183 прямо заявили, что траков для Т-60 отливать не собираются (стоит отметить, что в Нижнем Тагиле из-за брака с литьем по состоянию на 28 мая стояло 40 Т-34 без траков). Пришлось подключать руководство Свердловского обкома ВКП(б) и Наркомат Танковой Промышленности, чтобы заставить завод выполнять обязательства по кооперации (23355).</w:t>
      </w:r>
    </w:p>
    <w:p w14:paraId="2F892C32" w14:textId="77777777" w:rsidR="005E5BF5" w:rsidRPr="008A2E5A" w:rsidRDefault="005E5BF5" w:rsidP="005E5BF5">
      <w:pPr>
        <w:spacing w:after="0" w:line="240" w:lineRule="auto"/>
        <w:jc w:val="both"/>
        <w:rPr>
          <w:rFonts w:ascii="Times New Roman" w:hAnsi="Times New Roman"/>
          <w:color w:val="0070C0"/>
          <w:sz w:val="16"/>
          <w:szCs w:val="16"/>
        </w:rPr>
      </w:pPr>
    </w:p>
    <w:p w14:paraId="7F421356" w14:textId="77777777" w:rsidR="005E1E31" w:rsidRPr="008A2E5A" w:rsidRDefault="005E1E31" w:rsidP="005E1E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1942 года завод №264 сдал 275 Т-60, полностью выполнив план. В виду недопоставок радиаторов ставились "оборотные" радиаторы, таких поставили 102 штуки (в войска такие танки не пошли). Проблемы с поставкой радиаторов, а также неритмичные отправки моторов продолжали мешать заводу №264. Тем не менее, такой драмы, как на заводе №37 в Свердловске, не наблюдалось. Также СТЗ еще в апреле 1942 года завалил поставку опорных катков с обрезинкой. Поэтому с апреля было решено всё же запустить в серию опорные катки с внутренней амортизацией. Массово они пошли в серию с мая. Также в Красноармейск хлынули корпуса и башни заводов, которые ранее обеспечивали выпуск Т-60 на ГАЗ им. Молотова. Всё это привело к тому, что Т-60 завода №264 стали самыми разнообразными машинами данного типа. Несколько видов катков, корпусов, башен, ящиков ЗИП, число комбинаций внешнего вида достигало 300 (23360).</w:t>
      </w:r>
    </w:p>
    <w:p w14:paraId="24ECBF22" w14:textId="77777777" w:rsidR="005E1E31" w:rsidRPr="008A2E5A" w:rsidRDefault="005E1E31" w:rsidP="005E1E31">
      <w:pPr>
        <w:spacing w:after="0" w:line="240" w:lineRule="auto"/>
        <w:jc w:val="both"/>
        <w:rPr>
          <w:rFonts w:ascii="Times New Roman" w:hAnsi="Times New Roman"/>
          <w:color w:val="0070C0"/>
          <w:sz w:val="16"/>
          <w:szCs w:val="16"/>
        </w:rPr>
      </w:pPr>
    </w:p>
    <w:p w14:paraId="296D3C9E" w14:textId="77777777" w:rsidR="005E1E31" w:rsidRPr="008A2E5A" w:rsidRDefault="005E1E31" w:rsidP="005E1E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1942 года в ходе испытаний нескольких серийных машин Т-70, было зафиксировано 20 случаев разрыва траков и их пальцев. Еще большее количество траков имело трещины. Надо сказать, что и на Т-60 случаи разрушения траков не являлись редкостью. Особенно это стало проявляться в 1942 году. Причин тут несколько: помимо роста массы, свою лепту вносило и ухудшение качества изготовления траков. Следует также упомянуть тот факт, что и на Т-40 поначалу с траками дела обстояли не лучшим образом. То же самое касалось и выхода из строя резиновых бандажей опорных катков . Разумеется, вылезшие проблемы не остались без внимания ГАБТУ КА (23363).</w:t>
      </w:r>
    </w:p>
    <w:p w14:paraId="5EBB34E4" w14:textId="77777777" w:rsidR="005E1E31" w:rsidRPr="008A2E5A" w:rsidRDefault="005E1E31" w:rsidP="005E1E31">
      <w:pPr>
        <w:spacing w:after="0" w:line="240" w:lineRule="auto"/>
        <w:jc w:val="both"/>
        <w:rPr>
          <w:rFonts w:ascii="Times New Roman" w:hAnsi="Times New Roman"/>
          <w:color w:val="0070C0"/>
          <w:sz w:val="16"/>
          <w:szCs w:val="16"/>
        </w:rPr>
      </w:pPr>
    </w:p>
    <w:p w14:paraId="66570291" w14:textId="77777777" w:rsidR="009523D8" w:rsidRPr="007155F3" w:rsidRDefault="009523D8" w:rsidP="009523D8">
      <w:pPr>
        <w:spacing w:after="0" w:line="240" w:lineRule="auto"/>
        <w:jc w:val="both"/>
        <w:rPr>
          <w:rFonts w:ascii="Times New Roman" w:hAnsi="Times New Roman"/>
          <w:color w:val="0070C0"/>
          <w:sz w:val="16"/>
          <w:szCs w:val="16"/>
        </w:rPr>
      </w:pPr>
      <w:r w:rsidRPr="007155F3">
        <w:rPr>
          <w:rFonts w:ascii="Times New Roman" w:hAnsi="Times New Roman"/>
          <w:color w:val="0070C0"/>
          <w:sz w:val="16"/>
          <w:szCs w:val="16"/>
        </w:rPr>
        <w:t>В мае 1942 года в Горьком закончился выпуск Т-60, что позволило сконцентрироваться на Т-70. Корпусное производство постепенно подтягивалось к необходимому уровню. Продолжались и улучшения конструкции, в частичности, с 25 мая 1942 года началась установка ТПУ. Предполагалось, что к тому моменту появятся радиостанции (они ожидались еще в апреле 1942 года), но пока их не поставляли. В любом случае, завод уже был готов к установке 9-Р: с 12 апреля произошел переход с 6-вольтового на 12-вольтовое питание, связано это оказалось как раз с радиостанциями. Для связи с механиком-водителем с 19 мая стали ставить 2 сигнальные лампочки. Ряд изменений внесли в систему охлаждения, благодаря этому её эффективность значительно повысилась.</w:t>
      </w:r>
    </w:p>
    <w:p w14:paraId="330A5BDA" w14:textId="77777777" w:rsidR="009523D8" w:rsidRPr="007155F3" w:rsidRDefault="009523D8" w:rsidP="009523D8">
      <w:pPr>
        <w:spacing w:after="0" w:line="240" w:lineRule="auto"/>
        <w:jc w:val="both"/>
        <w:rPr>
          <w:rFonts w:ascii="Times New Roman" w:hAnsi="Times New Roman"/>
          <w:color w:val="0070C0"/>
          <w:sz w:val="16"/>
          <w:szCs w:val="16"/>
        </w:rPr>
      </w:pPr>
      <w:r w:rsidRPr="007155F3">
        <w:rPr>
          <w:rFonts w:ascii="Times New Roman" w:hAnsi="Times New Roman"/>
          <w:color w:val="0070C0"/>
          <w:sz w:val="16"/>
          <w:szCs w:val="16"/>
        </w:rPr>
        <w:t>По итогам вместо 250 танков (программу, по сравнению с исходным планом, снизили) за май 1942 года ГАЗ им. Молотова сдал 260 штук. С мая начал полноценную сдачу Т-70 и завод №38, который испытывал еще большие проблемы, поскольку зависел от поставок моторов и других агрегатов. Вместе с тем, за май завод № 38 сдал 51 танк при плане в 5 штук. Кировские Т-70 можно легко отличить по литым спицованным опорным каткам, такие же были на Т-60. Вместе с тем, уже в июне 1942 года на заводе № 38 начался выпуск штампованно-сварных опорных катков, посему далее отличия стали минимальными. Зависимость от СТЗ снизилась, но моторы оставались узким местом. Поэтому в июне 1942 года, при плане в 120 танков, завод №38 сдал 117. (24898).</w:t>
      </w:r>
    </w:p>
    <w:p w14:paraId="2F72989B" w14:textId="77777777" w:rsidR="009523D8" w:rsidRPr="007155F3" w:rsidRDefault="009523D8" w:rsidP="009523D8">
      <w:pPr>
        <w:spacing w:after="0" w:line="240" w:lineRule="auto"/>
        <w:jc w:val="both"/>
        <w:rPr>
          <w:rFonts w:ascii="Times New Roman" w:hAnsi="Times New Roman"/>
          <w:color w:val="0070C0"/>
          <w:sz w:val="16"/>
          <w:szCs w:val="16"/>
        </w:rPr>
      </w:pPr>
    </w:p>
    <w:p w14:paraId="32958935" w14:textId="77777777" w:rsidR="005E1E31" w:rsidRPr="008127F8" w:rsidRDefault="005E1E31" w:rsidP="005E1E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мае 1942 года конструктор А.А. Чирков при участии Щукина создал проект легкого танка. Машина, разработанная в двух вариантах, должна была оснащаться двумя авиационными двигателями М-11. В конструкции использовалась трансмиссия и ходовая часть Т-34. В качестве вооружения предполагалось использовать спаренную установка пушек калибра 20 и 45 мм, а также пулемет ДТ. Первая версия танка, имевшая боевую массу 14 тонн, должна была иметь толщину брони от 10 до 45 мм. Второй вариант отличался только толщиной брони, выросшей до 25–60 мм.</w:t>
      </w:r>
    </w:p>
    <w:p w14:paraId="2DBD7BF0" w14:textId="77777777" w:rsidR="005E1E31" w:rsidRPr="008127F8" w:rsidRDefault="005E1E31" w:rsidP="005E1E31">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Дальше эскизного проекта дело не продвинулось, не сохранилось и чертежей этой машины. На тот момент приоритетной задачей для завода и его КБ было освоение производства Т-70, а не проектирование новой бронетехники в инициативном порядке. Зато успехом закончились работы по переводу производства траков со стали Гадфильда на сталь 40. Уже в декабре 1942 года совместная разработка НИИ-48 и главного металлурга завода Носкова пошла в серию (17599).</w:t>
      </w:r>
    </w:p>
    <w:p w14:paraId="59487D2E" w14:textId="77777777" w:rsidR="005E1E31" w:rsidRPr="008127F8" w:rsidRDefault="005E1E31" w:rsidP="005E1E31">
      <w:pPr>
        <w:spacing w:after="0" w:line="240" w:lineRule="auto"/>
        <w:jc w:val="both"/>
        <w:rPr>
          <w:rFonts w:ascii="Times New Roman" w:hAnsi="Times New Roman"/>
          <w:color w:val="000000" w:themeColor="text1"/>
          <w:sz w:val="16"/>
          <w:szCs w:val="16"/>
        </w:rPr>
      </w:pPr>
    </w:p>
    <w:p w14:paraId="49391DC6"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мае 1942 года в НИИБТ в Казани был получен один из танков Light Tank M3, которые в советской переписке называли «М-3 лёгкий» или М3л с башней D38976.</w:t>
      </w:r>
    </w:p>
    <w:p w14:paraId="2F3801A8"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К испытаниям американского лёгкого танка в НИИБТ подошли очень серьёзно. Помимо обычной программы, были проведены сравнительные испытания с Medium Tank M3, Pz.Kpfw.38(t) Ausf.E, </w:t>
      </w:r>
      <w:hyperlink r:id="rId44" w:history="1">
        <w:r w:rsidRPr="008127F8">
          <w:rPr>
            <w:rFonts w:ascii="Times New Roman" w:eastAsia="Times New Roman" w:hAnsi="Times New Roman"/>
            <w:color w:val="000000" w:themeColor="text1"/>
            <w:sz w:val="16"/>
            <w:szCs w:val="16"/>
            <w:lang w:eastAsia="ru-RU"/>
          </w:rPr>
          <w:t>Pz.Kpfw.III</w:t>
        </w:r>
      </w:hyperlink>
      <w:r w:rsidRPr="008127F8">
        <w:rPr>
          <w:rFonts w:ascii="Times New Roman" w:eastAsia="Times New Roman" w:hAnsi="Times New Roman"/>
          <w:color w:val="000000" w:themeColor="text1"/>
          <w:sz w:val="16"/>
          <w:szCs w:val="16"/>
          <w:lang w:eastAsia="ru-RU"/>
        </w:rPr>
        <w:t xml:space="preserve"> Ausf.H и </w:t>
      </w:r>
      <w:hyperlink r:id="rId45" w:history="1">
        <w:r w:rsidRPr="008127F8">
          <w:rPr>
            <w:rFonts w:ascii="Times New Roman" w:eastAsia="Times New Roman" w:hAnsi="Times New Roman"/>
            <w:color w:val="000000" w:themeColor="text1"/>
            <w:sz w:val="16"/>
            <w:szCs w:val="16"/>
            <w:lang w:eastAsia="ru-RU"/>
          </w:rPr>
          <w:t>Valentine</w:t>
        </w:r>
      </w:hyperlink>
      <w:r w:rsidRPr="008127F8">
        <w:rPr>
          <w:rFonts w:ascii="Times New Roman" w:eastAsia="Times New Roman" w:hAnsi="Times New Roman"/>
          <w:color w:val="000000" w:themeColor="text1"/>
          <w:sz w:val="16"/>
          <w:szCs w:val="16"/>
          <w:lang w:eastAsia="ru-RU"/>
        </w:rPr>
        <w:t xml:space="preserve"> VII. Отдельно проводились испытания танков на проходимость по болотистой местности, где к ним присоединились </w:t>
      </w:r>
      <w:hyperlink r:id="rId46" w:history="1">
        <w:r w:rsidRPr="008127F8">
          <w:rPr>
            <w:rFonts w:ascii="Times New Roman" w:eastAsia="Times New Roman" w:hAnsi="Times New Roman"/>
            <w:color w:val="000000" w:themeColor="text1"/>
            <w:sz w:val="16"/>
            <w:szCs w:val="16"/>
            <w:lang w:eastAsia="ru-RU"/>
          </w:rPr>
          <w:t>Т-60</w:t>
        </w:r>
      </w:hyperlink>
      <w:r w:rsidRPr="008127F8">
        <w:rPr>
          <w:rFonts w:ascii="Times New Roman" w:eastAsia="Times New Roman" w:hAnsi="Times New Roman"/>
          <w:color w:val="000000" w:themeColor="text1"/>
          <w:sz w:val="16"/>
          <w:szCs w:val="16"/>
          <w:lang w:eastAsia="ru-RU"/>
        </w:rPr>
        <w:t xml:space="preserve"> и </w:t>
      </w:r>
      <w:hyperlink r:id="rId47" w:history="1">
        <w:r w:rsidRPr="008127F8">
          <w:rPr>
            <w:rFonts w:ascii="Times New Roman" w:eastAsia="Times New Roman" w:hAnsi="Times New Roman"/>
            <w:color w:val="000000" w:themeColor="text1"/>
            <w:sz w:val="16"/>
            <w:szCs w:val="16"/>
            <w:lang w:eastAsia="ru-RU"/>
          </w:rPr>
          <w:t>Т-70</w:t>
        </w:r>
      </w:hyperlink>
      <w:r w:rsidRPr="008127F8">
        <w:rPr>
          <w:rFonts w:ascii="Times New Roman" w:eastAsia="Times New Roman" w:hAnsi="Times New Roman"/>
          <w:color w:val="000000" w:themeColor="text1"/>
          <w:sz w:val="16"/>
          <w:szCs w:val="16"/>
          <w:lang w:eastAsia="ru-RU"/>
        </w:rPr>
        <w:t>. Ходовые испытания были дополнены изучением вооружения танка, которое включало обстрел его 37-мм пушкой трофейных машин. В заключение было проведено исследование конструкции корпуса танка, а также материалов, из которых его изготовили.</w:t>
      </w:r>
    </w:p>
    <w:p w14:paraId="12A463E0"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Первым делом танк отправился в пробег, протяжённость которого должна была составить 1000 километров, из них 300 по шоссе, 500 по просёлочным дорогам и 200 по бездорожью. Реально с 1 по 13 мая машина прошла 420 километров (225 по шоссе, 132 по проселку и 63 в условиях бездорожья). Этого оказалось вполне достаточно, чтобы оценить ходовые качества американского лёгкого танка.</w:t>
      </w:r>
    </w:p>
    <w:p w14:paraId="479833AF"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Тогда же и определили максимальную скорость М3л, составившую в одном случае 58 км/ч, а в другом – 59,2 км/ч. Это оказалось на уровне Light Tank M2A4. Американская машина оказалась самой быстрой из всех испытуемых вместе с ней танков. Средняя скорость танка по шоссе составила 37,5 км/ч, по просёлку 22,1 км/ч, а по бездорожью 17,3 км/ч. Топлива при этом М3л потреблял немало, особенно для лёгкого танка. По шоссе на 100 км расходовалось 135,5 литров, по просёлку 198, а по бездорожью – аж 347! С учётом того, что объём топливного бака составлял всего 200 литров, появлялся серьёзный повод для раздумий. Потреблял танк, к слову, бензин с более высоким, чем у топлива для советских машин, октановым числом.</w:t>
      </w:r>
    </w:p>
    <w:p w14:paraId="350399F7"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Весьма неприятный сюрприз преподнесли на испытаниях резино-металлические траки разработки Гарри Нокса. Дело в том, что опорная поверхность траков была гладкой, без каких-либо намёков на грунтозацепы. На глинистых грунтах и, особенно, на подъёмах конструкция трака сыграла с танком злую шутку. В виду недостаточного сцепления с грунтом M3л не смог преодолеть 25-градусный подъём. При этом было очевидно, что мощности двигателя хватало с большим запасом.</w:t>
      </w:r>
    </w:p>
    <w:p w14:paraId="663666F4"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Ещё одной проблемой для американского танка оказалось преодоление 25-градусного уклона. В ходе его прохождения произошло спадание гусеницы, причина чего также была в конструкции трака. Наблюдался и перегрев двигателя, имевший весьма занятные последствия. После 40-минутного марша мотор, у которого выключили зажигание, продолжал работать. Подсластил пилюлю тот факт, что управление танка оказалось лёгким, да и обзор с места механика-водителя был очень неплохим (17653).</w:t>
      </w:r>
    </w:p>
    <w:p w14:paraId="501890C1"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lang w:eastAsia="ru-RU"/>
        </w:rPr>
      </w:pPr>
    </w:p>
    <w:p w14:paraId="59762E74"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 xml:space="preserve">С мая 1942 года на советско-германском фронте начали применяться американские средние танки </w:t>
      </w:r>
      <w:hyperlink r:id="rId48" w:history="1">
        <w:r w:rsidRPr="008127F8">
          <w:rPr>
            <w:rStyle w:val="a6"/>
            <w:color w:val="000000" w:themeColor="text1"/>
          </w:rPr>
          <w:t>М3Ср</w:t>
        </w:r>
      </w:hyperlink>
      <w:r w:rsidRPr="008127F8">
        <w:rPr>
          <w:color w:val="000000" w:themeColor="text1"/>
          <w:sz w:val="16"/>
          <w:szCs w:val="16"/>
        </w:rPr>
        <w:t>. 37-мм орудие, находившееся в башне этих машин, имело большой максимальный угол возвышения, благодаря чему из него можно было вести зенитный огонь. Кроме того, столь высокие углы возвышения пригодились и в городских боях. Неудивительно, что появилась идея вооружить пушкой с высоким максимальным углом возвышения и новый танк. Интересно, что за 5 лет до этого похожая идея посещала советских конструкторов. Тогда желание увеличить угол вертикальной наводки танковых орудий появилось благодаря опыту, полученному во время боёв в Испании (17712).</w:t>
      </w:r>
    </w:p>
    <w:p w14:paraId="25E0F906"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lang w:eastAsia="ru-RU"/>
        </w:rPr>
      </w:pPr>
    </w:p>
    <w:p w14:paraId="42BE2FB3"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 xml:space="preserve">В мае 1942 года помимо ТД-200, на заводе №200 был разработан химический прицеп, получивший индекс ГХП (гусеничный химический прицеп). Предназначался он для заражения и дегазации местности, а также дымопуска. По конструкции ГХП во многом повторял ТД-20, но вместо бронекапсулы для десанта на гусеничной ходовой части устанавливался короб, внутри которого располагались резервуары для отравляющих веществ или дымовой смеси. Распыление газов происходило через </w:t>
      </w:r>
      <w:r w:rsidRPr="008127F8">
        <w:rPr>
          <w:color w:val="000000" w:themeColor="text1"/>
          <w:sz w:val="16"/>
          <w:szCs w:val="16"/>
        </w:rPr>
        <w:lastRenderedPageBreak/>
        <w:t>устройство, расположенное в кормовой части прицепа. ГХП предлагался в трёх вариантах исполнения, отличавшихся друг от друга внутренней компоновкой и объёмом внутренних баков.</w:t>
      </w:r>
    </w:p>
    <w:p w14:paraId="1538BBAC"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В конце июня 1942 года проект ГХП рассмотрели в 4-м отделе Главного военно-химического управления Красной армии (ГВХУ КА). Заключение, подготовленное к 3 июля, оказалось не в пользу идеи. Дело в том, что ходовая часть Т-60 оказалась дефицитной. Особенно это касалось траков, летом 1942 года не одна сотня Т-60 стояла в цехах без них. Кроме того, ГХП тоже оказался не дешёвым. От дальнейшей разработки химического прицепа военные отказались (17711).</w:t>
      </w:r>
    </w:p>
    <w:p w14:paraId="3C84809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244EE4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месяце 1942 г. на Кировском заводе НКТП, монтажно-технической конторой «Главподшипника» НКСМ проводилась совместно с конструкторским бюро завода работа по замене в танках КВ остродефицитных, весьма трудоемких в изготовлении роликовых сферических подшип</w:t>
      </w:r>
      <w:r w:rsidRPr="008127F8">
        <w:rPr>
          <w:rFonts w:ascii="Times New Roman" w:hAnsi="Times New Roman"/>
          <w:color w:val="000000" w:themeColor="text1"/>
          <w:sz w:val="16"/>
          <w:szCs w:val="16"/>
        </w:rPr>
        <w:softHyphen/>
        <w:t>ников на подшипники шариковые однорядные в следующих узлах:</w:t>
      </w:r>
    </w:p>
    <w:tbl>
      <w:tblPr>
        <w:tblW w:w="0" w:type="auto"/>
        <w:tblInd w:w="40" w:type="dxa"/>
        <w:tblLayout w:type="fixed"/>
        <w:tblCellMar>
          <w:left w:w="40" w:type="dxa"/>
          <w:right w:w="40" w:type="dxa"/>
        </w:tblCellMar>
        <w:tblLook w:val="0000" w:firstRow="0" w:lastRow="0" w:firstColumn="0" w:lastColumn="0" w:noHBand="0" w:noVBand="0"/>
      </w:tblPr>
      <w:tblGrid>
        <w:gridCol w:w="4022"/>
        <w:gridCol w:w="1987"/>
        <w:gridCol w:w="1997"/>
      </w:tblGrid>
      <w:tr w:rsidR="007C5583" w:rsidRPr="008127F8" w14:paraId="77B51973" w14:textId="77777777" w:rsidTr="004C5D62">
        <w:trPr>
          <w:trHeight w:val="278"/>
        </w:trPr>
        <w:tc>
          <w:tcPr>
            <w:tcW w:w="4022" w:type="dxa"/>
            <w:tcBorders>
              <w:top w:val="single" w:sz="6" w:space="0" w:color="auto"/>
              <w:left w:val="single" w:sz="6" w:space="0" w:color="auto"/>
              <w:bottom w:val="single" w:sz="6" w:space="0" w:color="auto"/>
              <w:right w:val="single" w:sz="6" w:space="0" w:color="auto"/>
            </w:tcBorders>
          </w:tcPr>
          <w:p w14:paraId="6976DF9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6C284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2051FAC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Установлено</w:t>
            </w:r>
          </w:p>
          <w:p w14:paraId="040E1C4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C5F98E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Заменено</w:t>
            </w:r>
          </w:p>
          <w:p w14:paraId="6A7A7A5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D925509" w14:textId="77777777" w:rsidTr="004C5D62">
        <w:trPr>
          <w:trHeight w:val="278"/>
        </w:trPr>
        <w:tc>
          <w:tcPr>
            <w:tcW w:w="4022" w:type="dxa"/>
            <w:tcBorders>
              <w:top w:val="single" w:sz="6" w:space="0" w:color="auto"/>
              <w:left w:val="single" w:sz="6" w:space="0" w:color="auto"/>
              <w:bottom w:val="single" w:sz="6" w:space="0" w:color="auto"/>
              <w:right w:val="single" w:sz="6" w:space="0" w:color="auto"/>
            </w:tcBorders>
          </w:tcPr>
          <w:p w14:paraId="799E3E8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 Сателлиты редуктора бортовой передачи</w:t>
            </w:r>
          </w:p>
          <w:p w14:paraId="46D25EB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0F898FC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№3610-16 шт.</w:t>
            </w:r>
          </w:p>
          <w:p w14:paraId="2B5E206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550D2DE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№310- 16шт.</w:t>
            </w:r>
          </w:p>
          <w:p w14:paraId="75A81DF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2DE83C7" w14:textId="77777777" w:rsidTr="004C5D62">
        <w:trPr>
          <w:trHeight w:val="269"/>
        </w:trPr>
        <w:tc>
          <w:tcPr>
            <w:tcW w:w="4022" w:type="dxa"/>
            <w:tcBorders>
              <w:top w:val="single" w:sz="6" w:space="0" w:color="auto"/>
              <w:left w:val="single" w:sz="6" w:space="0" w:color="auto"/>
              <w:bottom w:val="single" w:sz="6" w:space="0" w:color="auto"/>
              <w:right w:val="single" w:sz="6" w:space="0" w:color="auto"/>
            </w:tcBorders>
          </w:tcPr>
          <w:p w14:paraId="01D51F0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Ведущий вал бортовой передачи</w:t>
            </w:r>
          </w:p>
          <w:p w14:paraId="6814F4F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070666E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№3518 -4 шт.</w:t>
            </w:r>
          </w:p>
          <w:p w14:paraId="1BA654C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570E49B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№218-4 шт.</w:t>
            </w:r>
          </w:p>
          <w:p w14:paraId="5A2F47B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C363B98" w14:textId="77777777" w:rsidTr="004C5D62">
        <w:trPr>
          <w:trHeight w:val="278"/>
        </w:trPr>
        <w:tc>
          <w:tcPr>
            <w:tcW w:w="4022" w:type="dxa"/>
            <w:tcBorders>
              <w:top w:val="single" w:sz="6" w:space="0" w:color="auto"/>
              <w:left w:val="single" w:sz="6" w:space="0" w:color="auto"/>
              <w:bottom w:val="single" w:sz="6" w:space="0" w:color="auto"/>
              <w:right w:val="single" w:sz="6" w:space="0" w:color="auto"/>
            </w:tcBorders>
          </w:tcPr>
          <w:p w14:paraId="0D725CC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Подвижная солнечная шестерня</w:t>
            </w:r>
          </w:p>
          <w:p w14:paraId="775D54C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528AD32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№3518-2 шт.</w:t>
            </w:r>
          </w:p>
          <w:p w14:paraId="32D440B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13C2638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№218 -2 шт.</w:t>
            </w:r>
          </w:p>
          <w:p w14:paraId="2370DF6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22EB9A6" w14:textId="77777777" w:rsidTr="004C5D62">
        <w:trPr>
          <w:trHeight w:val="269"/>
        </w:trPr>
        <w:tc>
          <w:tcPr>
            <w:tcW w:w="4022" w:type="dxa"/>
            <w:tcBorders>
              <w:top w:val="single" w:sz="6" w:space="0" w:color="auto"/>
              <w:left w:val="single" w:sz="6" w:space="0" w:color="auto"/>
              <w:bottom w:val="single" w:sz="6" w:space="0" w:color="auto"/>
              <w:right w:val="single" w:sz="6" w:space="0" w:color="auto"/>
            </w:tcBorders>
          </w:tcPr>
          <w:p w14:paraId="0799084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Ведущий вал</w:t>
            </w:r>
          </w:p>
          <w:p w14:paraId="14DEEE9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4773370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№7308 - 1 шт.</w:t>
            </w:r>
          </w:p>
          <w:p w14:paraId="2A12AEC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9C8F59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№208 - 1 шт.</w:t>
            </w:r>
          </w:p>
          <w:p w14:paraId="1D81A8A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6FE028F" w14:textId="77777777" w:rsidTr="004C5D62">
        <w:trPr>
          <w:trHeight w:val="298"/>
        </w:trPr>
        <w:tc>
          <w:tcPr>
            <w:tcW w:w="8006" w:type="dxa"/>
            <w:gridSpan w:val="3"/>
            <w:tcBorders>
              <w:top w:val="single" w:sz="6" w:space="0" w:color="auto"/>
              <w:left w:val="single" w:sz="6" w:space="0" w:color="auto"/>
              <w:bottom w:val="single" w:sz="6" w:space="0" w:color="auto"/>
              <w:right w:val="single" w:sz="6" w:space="0" w:color="auto"/>
            </w:tcBorders>
          </w:tcPr>
          <w:p w14:paraId="2594DFA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 заменено 22 роликоподшипника</w:t>
            </w:r>
          </w:p>
          <w:p w14:paraId="5B542AE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9B4F55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Замена подшипников произведена без изменений существующих деталей узлов танка.</w:t>
      </w:r>
    </w:p>
    <w:p w14:paraId="4E35498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Предварительные испытания работы в танках КВ рекомендованных шариковых подшипников вместо применяемых роликовых сферических дали весьма положительные результаты.</w:t>
      </w:r>
    </w:p>
    <w:p w14:paraId="6D526C9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прилагаемого при этом отчета за №95 опытного завода №100 видно, что подопытный танк КВ прошел ряд серьезных испытаний в наитяжелых условиях работы механизмов танка, пройдя в общей сложности 1500 км без единой аварии с подшипниками.</w:t>
      </w:r>
    </w:p>
    <w:p w14:paraId="0E1E12E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что применение в танках КВ шариковых подшипников вместо роликовых при крупно</w:t>
      </w:r>
      <w:r w:rsidRPr="008127F8">
        <w:rPr>
          <w:rFonts w:ascii="Times New Roman" w:hAnsi="Times New Roman"/>
          <w:color w:val="000000" w:themeColor="text1"/>
          <w:sz w:val="16"/>
          <w:szCs w:val="16"/>
        </w:rPr>
        <w:softHyphen/>
        <w:t>серийном производстве дает весьма большой экономический эффект и что предварительное испы</w:t>
      </w:r>
      <w:r w:rsidRPr="008127F8">
        <w:rPr>
          <w:rFonts w:ascii="Times New Roman" w:hAnsi="Times New Roman"/>
          <w:color w:val="000000" w:themeColor="text1"/>
          <w:sz w:val="16"/>
          <w:szCs w:val="16"/>
        </w:rPr>
        <w:softHyphen/>
        <w:t>тание их работы вполне себя оправдало. Кировский завод считает необходимым, для окончательного разрешения данного вопроса выпустить партию танков КВ (5-6 танков) на шариковых подшипниках с тем, чтобы можно было проверить их работу в боевых условиях, взяв подопытную партию танков под особый контроль.</w:t>
      </w:r>
    </w:p>
    <w:p w14:paraId="32C7638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Ваше согласие просим подтвердить.</w:t>
      </w:r>
    </w:p>
    <w:p w14:paraId="2641524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Главный конструктор танкового производства Котин</w:t>
      </w:r>
    </w:p>
    <w:p w14:paraId="32FE8F1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11355а. Д. 3606. Л. 23. Подлинник (11403).</w:t>
      </w:r>
    </w:p>
    <w:p w14:paraId="6AC5282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A200C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объем выпуска танков на заводе № 264 составил 275 штук, что соответствовало заданию на данный месяц. Подобные объемы заводу удались с большим трудом: ввиду недостатка радиа</w:t>
      </w:r>
      <w:r w:rsidRPr="008127F8">
        <w:rPr>
          <w:rFonts w:ascii="Times New Roman" w:hAnsi="Times New Roman"/>
          <w:color w:val="000000" w:themeColor="text1"/>
          <w:sz w:val="16"/>
          <w:szCs w:val="16"/>
        </w:rPr>
        <w:softHyphen/>
        <w:t>торов 102 танка выпустили с оборотными радиаторами. Кроме того, двигатели с ГАЗ им. Молотова поступали неравномерно, в результате завод имел 5 дней простоя в производстве. Никуда не делись и проблемы с обрезинкой и поставками траков. В июне, несмотря на перебои с поставками радиаторов и траков, завод вышел наконец на требуе</w:t>
      </w:r>
      <w:r w:rsidRPr="008127F8">
        <w:rPr>
          <w:rFonts w:ascii="Times New Roman" w:hAnsi="Times New Roman"/>
          <w:color w:val="000000" w:themeColor="text1"/>
          <w:sz w:val="16"/>
          <w:szCs w:val="16"/>
        </w:rPr>
        <w:softHyphen/>
        <w:t>мую мощность выпуска: при задании в 300 танков удалось произвести 311 штук.</w:t>
      </w:r>
    </w:p>
    <w:p w14:paraId="6A04134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Выросшие объемы выпуска вселяли уверенность в том, что задан</w:t>
      </w:r>
      <w:r w:rsidRPr="008127F8">
        <w:rPr>
          <w:rFonts w:ascii="Times New Roman" w:hAnsi="Times New Roman"/>
          <w:color w:val="000000" w:themeColor="text1"/>
          <w:sz w:val="16"/>
          <w:szCs w:val="16"/>
        </w:rPr>
        <w:softHyphen/>
        <w:t>ный на июль 1942 года объем в 325 танков, установленный постановле</w:t>
      </w:r>
      <w:r w:rsidRPr="008127F8">
        <w:rPr>
          <w:rFonts w:ascii="Times New Roman" w:hAnsi="Times New Roman"/>
          <w:color w:val="000000" w:themeColor="text1"/>
          <w:sz w:val="16"/>
          <w:szCs w:val="16"/>
        </w:rPr>
        <w:softHyphen/>
        <w:t>нием ГКО № 1880сс от 5 июня, будет выполнен. Увы, к этому времениТ-60 уже окончательно устарел: Красной Армии требовались другие машины, более толстобронные и вооруженные более мощными пуш</w:t>
      </w:r>
      <w:r w:rsidRPr="008127F8">
        <w:rPr>
          <w:rFonts w:ascii="Times New Roman" w:hAnsi="Times New Roman"/>
          <w:color w:val="000000" w:themeColor="text1"/>
          <w:sz w:val="16"/>
          <w:szCs w:val="16"/>
        </w:rPr>
        <w:softHyphen/>
        <w:t>ками (17485).</w:t>
      </w:r>
    </w:p>
    <w:p w14:paraId="39646DD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CD6FC9D"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В мае 1942 началось массовое производство Т-70 на заводе № 38 в Кирове, что не могло не ска</w:t>
      </w:r>
      <w:r w:rsidRPr="008127F8">
        <w:rPr>
          <w:rFonts w:eastAsia="Calibri"/>
          <w:color w:val="000000" w:themeColor="text1"/>
          <w:sz w:val="16"/>
          <w:szCs w:val="16"/>
        </w:rPr>
        <w:softHyphen/>
        <w:t>заться на выпуске Т-60: всего за этот месяц приняли 109 танков дан</w:t>
      </w:r>
      <w:r w:rsidRPr="008127F8">
        <w:rPr>
          <w:rFonts w:eastAsia="Calibri"/>
          <w:color w:val="000000" w:themeColor="text1"/>
          <w:sz w:val="16"/>
          <w:szCs w:val="16"/>
        </w:rPr>
        <w:softHyphen/>
        <w:t>ного типа. Согласно отчету военпреда завода № 38, за июнь сверх пла</w:t>
      </w:r>
      <w:r w:rsidRPr="008127F8">
        <w:rPr>
          <w:rFonts w:eastAsia="Calibri"/>
          <w:color w:val="000000" w:themeColor="text1"/>
          <w:sz w:val="16"/>
          <w:szCs w:val="16"/>
        </w:rPr>
        <w:softHyphen/>
        <w:t>на было изготовлено 22 Т-60, из них 10 без башен (данные машины предназначались под монтаж установки М-8). Впрочем, согласно до</w:t>
      </w:r>
      <w:r w:rsidRPr="008127F8">
        <w:rPr>
          <w:rFonts w:eastAsia="Calibri"/>
          <w:color w:val="000000" w:themeColor="text1"/>
          <w:sz w:val="16"/>
          <w:szCs w:val="16"/>
        </w:rPr>
        <w:softHyphen/>
        <w:t>кументам, завод продолжал отгрузку Т-60 и в июле, например, 25 числа с эшелоном № 15258 в 1-е Горьковское танковое училище отправилось 9 Т-60 и 1 Т-30 (серийный номер 2071). Кроме того, судя по серийным номерам, единичные экземпляры Т-60 попадались и в отправках Т-70.</w:t>
      </w:r>
    </w:p>
    <w:p w14:paraId="3EA60A9F"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Стоит отметить, что с данными по производству танков на заво</w:t>
      </w:r>
      <w:r w:rsidRPr="008127F8">
        <w:rPr>
          <w:rFonts w:eastAsia="Calibri"/>
          <w:color w:val="000000" w:themeColor="text1"/>
          <w:sz w:val="16"/>
          <w:szCs w:val="16"/>
        </w:rPr>
        <w:softHyphen/>
        <w:t>де № 38 имела место большая путаница. Например, военпред завода доложил о выпуске в январе 1941 года 4 танков, в других документах проходит 5 машин. В июне по сводным документам ГАБТУ прохо</w:t>
      </w:r>
      <w:r w:rsidRPr="008127F8">
        <w:rPr>
          <w:rFonts w:eastAsia="Calibri"/>
          <w:color w:val="000000" w:themeColor="text1"/>
          <w:sz w:val="16"/>
          <w:szCs w:val="16"/>
        </w:rPr>
        <w:softHyphen/>
        <w:t>дит 2 принятых Т-60, по краткому отчету военпреда 22 штуки, из них 10 без башен. С мая завод № 38 поставлял заводу № 113 шасси Т-60 для установки систем М-8, данные поставки далеко не всегда учитывают</w:t>
      </w:r>
      <w:r w:rsidRPr="008127F8">
        <w:rPr>
          <w:rFonts w:eastAsia="Calibri"/>
          <w:color w:val="000000" w:themeColor="text1"/>
          <w:sz w:val="16"/>
          <w:szCs w:val="16"/>
        </w:rPr>
        <w:softHyphen/>
        <w:t>ся. Если добавить ко всему этому Т-30, проходящие и как Т-60, и как Т-70 (!), получается полная неразбериха. Хоть какую-то ясность в вопрос того, сколько же было сделано Т-60, включая шасси, вносит число изготовленных корпусов. Всего в Кирове с января по июнь 1942 года сварили 567 комплектов, из них изготовили как минимум 524 Т-60 и как минимум 10 шасси под установку М-8.</w:t>
      </w:r>
    </w:p>
    <w:p w14:paraId="02F24BB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отличие от заводской переписки, с конфигурацией выпускавших</w:t>
      </w:r>
      <w:r w:rsidRPr="008127F8">
        <w:rPr>
          <w:rFonts w:ascii="Times New Roman" w:hAnsi="Times New Roman"/>
          <w:color w:val="000000" w:themeColor="text1"/>
          <w:sz w:val="16"/>
          <w:szCs w:val="16"/>
        </w:rPr>
        <w:softHyphen/>
        <w:t>ся на заводе № 38 Т-60 особой неразберихи нет. Внешне кировские танки были практически идентичны машинам, выпускавшимся на за</w:t>
      </w:r>
      <w:r w:rsidRPr="008127F8">
        <w:rPr>
          <w:rFonts w:ascii="Times New Roman" w:hAnsi="Times New Roman"/>
          <w:color w:val="000000" w:themeColor="text1"/>
          <w:sz w:val="16"/>
          <w:szCs w:val="16"/>
        </w:rPr>
        <w:softHyphen/>
        <w:t>воде № 264 и ГАЗ до весны 1942 года. Подобно танкам завода № 264, Т-60 выпуска завода № 38 комплектовались литыми опорными катка</w:t>
      </w:r>
      <w:r w:rsidRPr="008127F8">
        <w:rPr>
          <w:rFonts w:ascii="Times New Roman" w:hAnsi="Times New Roman"/>
          <w:color w:val="000000" w:themeColor="text1"/>
          <w:sz w:val="16"/>
          <w:szCs w:val="16"/>
        </w:rPr>
        <w:softHyphen/>
        <w:t>ми. Кроме того, с весны 1942 года появилась модернизированная вы</w:t>
      </w:r>
      <w:r w:rsidRPr="008127F8">
        <w:rPr>
          <w:rFonts w:ascii="Times New Roman" w:hAnsi="Times New Roman"/>
          <w:color w:val="000000" w:themeColor="text1"/>
          <w:sz w:val="16"/>
          <w:szCs w:val="16"/>
        </w:rPr>
        <w:softHyphen/>
        <w:t>хлопная система с глушителем, впрочем, ставилась она не на все маши</w:t>
      </w:r>
      <w:r w:rsidRPr="008127F8">
        <w:rPr>
          <w:rFonts w:ascii="Times New Roman" w:hAnsi="Times New Roman"/>
          <w:color w:val="000000" w:themeColor="text1"/>
          <w:sz w:val="16"/>
          <w:szCs w:val="16"/>
        </w:rPr>
        <w:softHyphen/>
        <w:t>ны. Одновременно с введением глушителя на кировских танках стали появляться штампованные опорные катки производства ГАЗ, при этом ленивцы оставались литой конструкции. Также стоит отметить, что до самого конца сборки на заводе № 38 использовались корпуса и башни как с утолщенной броней, так и экранированные (17485).</w:t>
      </w:r>
    </w:p>
    <w:p w14:paraId="244F1F5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A723C7B"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В мае 1943 прогнозы относительно объемов выпуска танков Т-60 в Свердловске на заводе № 37 были весьма мрачными:</w:t>
      </w:r>
    </w:p>
    <w:p w14:paraId="5B86E61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готов выполнить план, но поставщики срывают его, так даль</w:t>
      </w:r>
      <w:r w:rsidRPr="008127F8">
        <w:rPr>
          <w:rFonts w:ascii="Times New Roman" w:hAnsi="Times New Roman"/>
          <w:color w:val="000000" w:themeColor="text1"/>
          <w:sz w:val="16"/>
          <w:szCs w:val="16"/>
        </w:rPr>
        <w:softHyphen/>
        <w:t>ше завод работать не может, каждый месяц большие простои из-за пло</w:t>
      </w:r>
      <w:r w:rsidRPr="008127F8">
        <w:rPr>
          <w:rFonts w:ascii="Times New Roman" w:hAnsi="Times New Roman"/>
          <w:color w:val="000000" w:themeColor="text1"/>
          <w:sz w:val="16"/>
          <w:szCs w:val="16"/>
        </w:rPr>
        <w:softHyphen/>
        <w:t>хой работы поставщиков.</w:t>
      </w:r>
    </w:p>
    <w:p w14:paraId="6134FA8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Майский план может быть сорван так же, как был сорван апрельский план из-за неподачи моторов. Первые дни мая завод стоит, нет моторов, и, видно, долго будет стоять.</w:t>
      </w:r>
    </w:p>
    <w:p w14:paraId="487C23E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Наркомат плохо помогает заводу, траков на заводе нет, перспектив получить — нет, около 100машин стоит готовых без траков, наркомат никаких мер не принимает. Заводу нужна помощь.</w:t>
      </w:r>
    </w:p>
    <w:p w14:paraId="5D79148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послал несколько телеграмм тов. Молотову о работе завода и попросил помочь заводу.</w:t>
      </w:r>
    </w:p>
    <w:p w14:paraId="0914615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взял сейчас правильную политику. Делать все у себя на заводе. Заводом освоен собственный ковкий чугун. Освоена обрезинка катков, на днях пускается в действие пятитонная электропечь для освоения соб</w:t>
      </w:r>
      <w:r w:rsidRPr="008127F8">
        <w:rPr>
          <w:rFonts w:ascii="Times New Roman" w:hAnsi="Times New Roman"/>
          <w:color w:val="000000" w:themeColor="text1"/>
          <w:sz w:val="16"/>
          <w:szCs w:val="16"/>
        </w:rPr>
        <w:softHyphen/>
        <w:t>ственного литья, в том числе и траков, завод думает и ведет расчеты, чтобы делать самому водяные радиаторы, тогда заводу остается полу</w:t>
      </w:r>
      <w:r w:rsidRPr="008127F8">
        <w:rPr>
          <w:rFonts w:ascii="Times New Roman" w:hAnsi="Times New Roman"/>
          <w:color w:val="000000" w:themeColor="text1"/>
          <w:sz w:val="16"/>
          <w:szCs w:val="16"/>
        </w:rPr>
        <w:softHyphen/>
        <w:t>чить со стороны только моторы и подшипники.</w:t>
      </w:r>
    </w:p>
    <w:p w14:paraId="6DE6531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пробегах по приемке машин обнаруживаются дефекты в основном по моторам. Трещины в бронекорпусах отсутствуют, термообработка за</w:t>
      </w:r>
      <w:r w:rsidRPr="008127F8">
        <w:rPr>
          <w:rFonts w:ascii="Times New Roman" w:hAnsi="Times New Roman"/>
          <w:color w:val="000000" w:themeColor="text1"/>
          <w:sz w:val="16"/>
          <w:szCs w:val="16"/>
        </w:rPr>
        <w:softHyphen/>
        <w:t>водом подобрана правильно. Корпуса принимаем только с экраном, также и экранированную граненую башню.</w:t>
      </w:r>
    </w:p>
    <w:p w14:paraId="380D899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сдаче машин пробегом и обстрелом маршевым ротам, машины ве</w:t>
      </w:r>
      <w:r w:rsidRPr="008127F8">
        <w:rPr>
          <w:rFonts w:ascii="Times New Roman" w:hAnsi="Times New Roman"/>
          <w:color w:val="000000" w:themeColor="text1"/>
          <w:sz w:val="16"/>
          <w:szCs w:val="16"/>
        </w:rPr>
        <w:softHyphen/>
        <w:t>дут себя хорошо. Пушки ШВАК также ведут себя хорошо. Отладка их на заводе отлажена. Акты рекламации из войсковых частей поступают в основном по дефектам мотора.</w:t>
      </w:r>
    </w:p>
    <w:p w14:paraId="7A636A2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Ввиду того что поставщик моторов находится от завода далеко (око</w:t>
      </w:r>
      <w:r w:rsidRPr="008127F8">
        <w:rPr>
          <w:rFonts w:ascii="Times New Roman" w:hAnsi="Times New Roman"/>
          <w:color w:val="000000" w:themeColor="text1"/>
          <w:sz w:val="16"/>
          <w:szCs w:val="16"/>
        </w:rPr>
        <w:softHyphen/>
        <w:t>ло 2000 км) и плохо снабжает завод моторами, прошу Вашего ходатай</w:t>
      </w:r>
      <w:r w:rsidRPr="008127F8">
        <w:rPr>
          <w:rFonts w:ascii="Times New Roman" w:hAnsi="Times New Roman"/>
          <w:color w:val="000000" w:themeColor="text1"/>
          <w:sz w:val="16"/>
          <w:szCs w:val="16"/>
        </w:rPr>
        <w:softHyphen/>
        <w:t>ства перед начальником ГАБТУ КА о постановке на танк Т-60 мотора ЗИС-5, этот мотор начал делаться в г. Миассе. В мае этот завод должен дать первые сто моторов.</w:t>
      </w:r>
    </w:p>
    <w:p w14:paraId="52EC11E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Постановка мотора ЗИС-5 на машины Т-60 требует мало переделки и будет работать лучше, чем мотор 202, и получение его с завода легче, чем с ГАЗа» (17485).</w:t>
      </w:r>
    </w:p>
    <w:p w14:paraId="45781D3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C06A832"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В мае 1942 года танки завода № 37 прошли ряд метаморфоз, до того момента свердловские машины мало чем отличались от горь- ковских, красноармейских или кировских собратьев. Танки имели ли</w:t>
      </w:r>
      <w:r w:rsidRPr="008127F8">
        <w:rPr>
          <w:rFonts w:eastAsia="Calibri"/>
          <w:color w:val="000000" w:themeColor="text1"/>
          <w:sz w:val="16"/>
          <w:szCs w:val="16"/>
        </w:rPr>
        <w:softHyphen/>
        <w:t>тые опорные катки и ленивцы (для упрощения производства ленивцы имели тот же диаметр, что и опорные катки), единственным отличием, появившимся с начала производства, стала ликвидация уголка слева от башни. Кроме того, для упрощения производства вместо клепаных со</w:t>
      </w:r>
      <w:r w:rsidRPr="008127F8">
        <w:rPr>
          <w:rFonts w:eastAsia="Calibri"/>
          <w:color w:val="000000" w:themeColor="text1"/>
          <w:sz w:val="16"/>
          <w:szCs w:val="16"/>
        </w:rPr>
        <w:softHyphen/>
        <w:t>единений петель башенного люка применялась сварка. Также стоит от</w:t>
      </w:r>
      <w:r w:rsidRPr="008127F8">
        <w:rPr>
          <w:rFonts w:eastAsia="Calibri"/>
          <w:color w:val="000000" w:themeColor="text1"/>
          <w:sz w:val="16"/>
          <w:szCs w:val="16"/>
        </w:rPr>
        <w:softHyphen/>
        <w:t>метить, что корпуса и башни танков завода № 37 имели довольно гру</w:t>
      </w:r>
      <w:r w:rsidRPr="008127F8">
        <w:rPr>
          <w:rFonts w:eastAsia="Calibri"/>
          <w:color w:val="000000" w:themeColor="text1"/>
          <w:sz w:val="16"/>
          <w:szCs w:val="16"/>
        </w:rPr>
        <w:softHyphen/>
        <w:t>бую сборку, что, впрочем, не сказывалось на боевых характеристиках.</w:t>
      </w:r>
    </w:p>
    <w:p w14:paraId="166F4362"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Проведенные в мае конструктивные изменения придали Т-60 заво</w:t>
      </w:r>
      <w:r w:rsidRPr="008127F8">
        <w:rPr>
          <w:rFonts w:eastAsia="Calibri"/>
          <w:color w:val="000000" w:themeColor="text1"/>
          <w:sz w:val="16"/>
          <w:szCs w:val="16"/>
        </w:rPr>
        <w:softHyphen/>
        <w:t xml:space="preserve">да № 37 облик, который заметно их отличал от машин других заводов. Для начала, танк получил башню измененной конструкции, созданной по мотивам опытных разработок КБ ГАЗ и завода № 264. Воздухоприток в лобовой части башни ликвидировали, сделав </w:t>
      </w:r>
      <w:r w:rsidRPr="008127F8">
        <w:rPr>
          <w:rFonts w:eastAsia="Calibri"/>
          <w:color w:val="000000" w:themeColor="text1"/>
          <w:sz w:val="16"/>
          <w:szCs w:val="16"/>
        </w:rPr>
        <w:lastRenderedPageBreak/>
        <w:t>верхний лобовой лист башни покатым и более защищенным от огня. Воздуховод перенесли с башни на башенный люк (одно из заблуждений ряда историков заключается в том, что они приняли воздуховод за вентилятор, которого там никогда не было). Кроме того, вместо штампованного башенного люка была введена плоская деталь с приваренной по периметру защитой от пуль и воды. Новый люк выглядел немного грубовато, зато был намного проще в изготовлении и не требовал штамповки. Козырьки над смотро</w:t>
      </w:r>
      <w:r w:rsidRPr="008127F8">
        <w:rPr>
          <w:rFonts w:eastAsia="Calibri"/>
          <w:color w:val="000000" w:themeColor="text1"/>
          <w:sz w:val="16"/>
          <w:szCs w:val="16"/>
        </w:rPr>
        <w:softHyphen/>
        <w:t>выми щелями сделали приварными, что упростило производство.</w:t>
      </w:r>
    </w:p>
    <w:p w14:paraId="4578C97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Довольно значительный объем изменений был внесен в корпус и ходовую часть. Подобно «Красному Октябрю», завод № 37 постарал</w:t>
      </w:r>
      <w:r w:rsidRPr="008127F8">
        <w:rPr>
          <w:rFonts w:ascii="Times New Roman" w:hAnsi="Times New Roman"/>
          <w:color w:val="000000" w:themeColor="text1"/>
          <w:sz w:val="16"/>
          <w:szCs w:val="16"/>
        </w:rPr>
        <w:softHyphen/>
        <w:t>ся свести к минимуму использование клепок. Вместо клепаного со</w:t>
      </w:r>
      <w:r w:rsidRPr="008127F8">
        <w:rPr>
          <w:rFonts w:ascii="Times New Roman" w:hAnsi="Times New Roman"/>
          <w:color w:val="000000" w:themeColor="text1"/>
          <w:sz w:val="16"/>
          <w:szCs w:val="16"/>
        </w:rPr>
        <w:softHyphen/>
        <w:t>единения бортов их стали сваривать, приварными сделали крепления внутренних агрегатов к корпусу и детали смотрового люка механика- водителя. Верхний люк механика-водителя, аналогично башенному, сделали плоским. Упрощенный стоп-сигнал заменили на автомобиль</w:t>
      </w:r>
      <w:r w:rsidRPr="008127F8">
        <w:rPr>
          <w:rFonts w:ascii="Times New Roman" w:hAnsi="Times New Roman"/>
          <w:color w:val="000000" w:themeColor="text1"/>
          <w:sz w:val="16"/>
          <w:szCs w:val="16"/>
        </w:rPr>
        <w:softHyphen/>
        <w:t>ный и перенесли с кормы на крышу корпуса (за башню). Кроме того, завод № 37 ввел на своих танках ведущее колесо упрощенной конструк</w:t>
      </w:r>
      <w:r w:rsidRPr="008127F8">
        <w:rPr>
          <w:rFonts w:ascii="Times New Roman" w:hAnsi="Times New Roman"/>
          <w:color w:val="000000" w:themeColor="text1"/>
          <w:sz w:val="16"/>
          <w:szCs w:val="16"/>
        </w:rPr>
        <w:softHyphen/>
        <w:t>ции. Вместо съемного венца ведущее колесо сделали цельным, а число отверстий увечили с двух до четырех.</w:t>
      </w:r>
    </w:p>
    <w:p w14:paraId="45D4A86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Параллельно с упрощением конструкции танка шла работа по мо</w:t>
      </w:r>
      <w:r w:rsidRPr="008127F8">
        <w:rPr>
          <w:rFonts w:ascii="Times New Roman" w:hAnsi="Times New Roman"/>
          <w:color w:val="000000" w:themeColor="text1"/>
          <w:sz w:val="16"/>
          <w:szCs w:val="16"/>
        </w:rPr>
        <w:softHyphen/>
        <w:t>дернизации производства. Завод освоил автоматическую сварку, ко</w:t>
      </w:r>
      <w:r w:rsidRPr="008127F8">
        <w:rPr>
          <w:rFonts w:ascii="Times New Roman" w:hAnsi="Times New Roman"/>
          <w:color w:val="000000" w:themeColor="text1"/>
          <w:sz w:val="16"/>
          <w:szCs w:val="16"/>
        </w:rPr>
        <w:softHyphen/>
        <w:t>торая значительно облегчила сварку башен и корпусов, одновременно подняв качество их изготовления. Началось освоение автоматической сварки катков, что позволяло в перспективе отказаться от их заказа на стороне. В мае были отлиты первые пробные траки, к концу июня ожи</w:t>
      </w:r>
      <w:r w:rsidRPr="008127F8">
        <w:rPr>
          <w:rFonts w:ascii="Times New Roman" w:hAnsi="Times New Roman"/>
          <w:color w:val="000000" w:themeColor="text1"/>
          <w:sz w:val="16"/>
          <w:szCs w:val="16"/>
        </w:rPr>
        <w:softHyphen/>
        <w:t>далось начало их массового производства. Данное производство было особенно важным, поскольку завод № 183 очень затянул с поставкой траков. Мало того, представители завода № 183 прямо заявили, что траков для Т-60 отливать не собираются (стоит отметить, что в Нижнем Тагиле из-за брака с литьем по состоянию на 28 мая стояло 40 Т-34 без траков). Пришлось подключать руководство Свердловского обкома ВКП(б) и Наркомат танковой промышленности, чтобы заставить за</w:t>
      </w:r>
      <w:r w:rsidRPr="008127F8">
        <w:rPr>
          <w:rFonts w:ascii="Times New Roman" w:hAnsi="Times New Roman"/>
          <w:color w:val="000000" w:themeColor="text1"/>
          <w:sz w:val="16"/>
          <w:szCs w:val="16"/>
        </w:rPr>
        <w:softHyphen/>
        <w:t>вод выполнять обязательства по кооперации. За май было выпущено 300 корпусов и 280 танков, причем все машины оказались по вине за</w:t>
      </w:r>
      <w:r w:rsidRPr="008127F8">
        <w:rPr>
          <w:rFonts w:ascii="Times New Roman" w:hAnsi="Times New Roman"/>
          <w:color w:val="000000" w:themeColor="text1"/>
          <w:sz w:val="16"/>
          <w:szCs w:val="16"/>
        </w:rPr>
        <w:softHyphen/>
        <w:t>вода № 183 без гусениц. Кроме того, 10 дней мая завод простаивал без двигателей, зато после их поставки конвейер заработал так, что к концу месяца из сборочного цеха выходило по 20 танков в сутки (17485).</w:t>
      </w:r>
    </w:p>
    <w:p w14:paraId="0A4E362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580B78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мая 1942 года один из трех захваченных в составе Panzerzug 27 танков Pz.Kpfw.35 S (f) точно проходил ремонт на БТРЗ №82. Сдали его месяцем спустя. Вполне возможно, что речь идет о танке №271. Тогда же, в 1942 году, НИБТ Полигон провел изучение одной из машин, скорее всего, речь идет о танке №272. Все машины были захвачены некомплектными, что отражалось в отчете. Тем не менее, общее представление полигон получил. Полноценных испытаний полигон не проводил, ограничившись лишь техническим описанием (22391).</w:t>
      </w:r>
    </w:p>
    <w:p w14:paraId="660EBBA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E427D5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ведущий инженер завода №222 М.С. Озерский разработал свой вариант огнемета, получившего обозначение ПОТОГ (поршневой ТОГ). Вместо сменных обтюраторов он поставил простейший поршень, что увеличивало надежность и обеспечивало надежную продувку после выстрела. Сам ПОТОГ был меньше в размере, объем снизился до 10 литров, зато таких огнеметов ставилось не 6, а 20. По тем же причинам, что и в случае с ТОГ, разработка Озерского оказалась не нужна. Тем не менее, позже именно Озерский работал по АТО-49, огнемету, который ставился в ОТ-54 (22299).</w:t>
      </w:r>
    </w:p>
    <w:p w14:paraId="37CF53D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7D11649"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В мае 1942 года на заводе № 200 был разработан ГХП (гусеничный химический прицеп). Предназначался он для заражения и дегазации местности, а также дымопуска. По конструкции ГХП во многом повторял ТД-200, но вместо бронекапсулы для десанта на гусеничной ходовой части устанавливался короб, внутри которого располагались резервуары для отравляющих веществ или дымовой смеси. Распыление газов происхо</w:t>
      </w:r>
      <w:r w:rsidRPr="008127F8">
        <w:rPr>
          <w:rFonts w:eastAsia="Calibri"/>
          <w:color w:val="000000" w:themeColor="text1"/>
          <w:sz w:val="16"/>
          <w:szCs w:val="16"/>
        </w:rPr>
        <w:softHyphen/>
        <w:t>дило через устройство, расположенное в кормовой части прицепа. ГХП предлагался в трех вариантах исполнения, отличавшихся друг от друга внутренней компоновкой и объемом внутренних баков.</w:t>
      </w:r>
    </w:p>
    <w:p w14:paraId="1B50AF8F"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В конце июня 1942 года проект ГХП рассмотрели в 4-м отделе ГВХУ КА (Главное военно-химическое управление Красной Армии), к 3 июля было готово заключение:</w:t>
      </w:r>
    </w:p>
    <w:p w14:paraId="016BCDE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завода 200 предлагает конструкцию гусеничного химического при</w:t>
      </w:r>
      <w:r w:rsidRPr="008127F8">
        <w:rPr>
          <w:rFonts w:ascii="Times New Roman" w:hAnsi="Times New Roman"/>
          <w:color w:val="000000" w:themeColor="text1"/>
          <w:sz w:val="16"/>
          <w:szCs w:val="16"/>
        </w:rPr>
        <w:softHyphen/>
        <w:t>цепа к танкам «КБ» и «Т-34». ГХП предназначен для заражения мест</w:t>
      </w:r>
      <w:r w:rsidRPr="008127F8">
        <w:rPr>
          <w:rFonts w:ascii="Times New Roman" w:hAnsi="Times New Roman"/>
          <w:color w:val="000000" w:themeColor="text1"/>
          <w:sz w:val="16"/>
          <w:szCs w:val="16"/>
        </w:rPr>
        <w:softHyphen/>
        <w:t>ности СОВ, газопуска ВОВ, туманопуска СОВ, нейтрального дымопуска и дегазации местности.</w:t>
      </w:r>
    </w:p>
    <w:p w14:paraId="1FC6DF4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Химическая аппаратура монтируется на прицепах типа десантных, разработанных и изготовленных заводом № 200 в виде опытных образцов.</w:t>
      </w:r>
    </w:p>
    <w:p w14:paraId="2B71524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консультации с БТУ ГАБТУ КА установлена дефицитность с тра</w:t>
      </w:r>
      <w:r w:rsidRPr="008127F8">
        <w:rPr>
          <w:rFonts w:ascii="Times New Roman" w:hAnsi="Times New Roman"/>
          <w:color w:val="000000" w:themeColor="text1"/>
          <w:sz w:val="16"/>
          <w:szCs w:val="16"/>
        </w:rPr>
        <w:softHyphen/>
        <w:t>ками, качественными сталями для подвесок и подшипников для танко</w:t>
      </w:r>
      <w:r w:rsidRPr="008127F8">
        <w:rPr>
          <w:rFonts w:ascii="Times New Roman" w:hAnsi="Times New Roman"/>
          <w:color w:val="000000" w:themeColor="text1"/>
          <w:sz w:val="16"/>
          <w:szCs w:val="16"/>
        </w:rPr>
        <w:softHyphen/>
        <w:t>строения Основным направлением к проектированию танковых прицепов решено идти по линии создания в массовом количестве танковых прицепов-воло- куш, с меньшей емкостью химической аппаратуры, чем можно получить на базе гусеничного прицепа, но с отсутствием дефицитных материалов, деталей и дешевизной в изготовлении.</w:t>
      </w:r>
    </w:p>
    <w:p w14:paraId="356E7A2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Химический прицеп-волокуша предполагает более широкое тактиче</w:t>
      </w:r>
      <w:r w:rsidRPr="008127F8">
        <w:rPr>
          <w:rFonts w:ascii="Times New Roman" w:hAnsi="Times New Roman"/>
          <w:color w:val="000000" w:themeColor="text1"/>
          <w:sz w:val="16"/>
          <w:szCs w:val="16"/>
        </w:rPr>
        <w:softHyphen/>
        <w:t>ское применение, чем ГХП.</w:t>
      </w:r>
    </w:p>
    <w:p w14:paraId="6A51BC4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Заключение</w:t>
      </w:r>
    </w:p>
    <w:p w14:paraId="5CB1645C" w14:textId="77777777" w:rsidR="007C5583" w:rsidRPr="008127F8" w:rsidRDefault="007C5583" w:rsidP="007C5583">
      <w:pPr>
        <w:tabs>
          <w:tab w:val="left" w:pos="547"/>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Предполагаемый гусеничный химический прицеп ввиду дефицитно</w:t>
      </w:r>
      <w:r w:rsidRPr="008127F8">
        <w:rPr>
          <w:rFonts w:ascii="Times New Roman" w:hAnsi="Times New Roman"/>
          <w:color w:val="000000" w:themeColor="text1"/>
          <w:sz w:val="16"/>
          <w:szCs w:val="16"/>
        </w:rPr>
        <w:softHyphen/>
        <w:t>сти ряда материалов и деталей ходовой части прицепа — принятым для изготовления опытных образцов быть не может.</w:t>
      </w:r>
    </w:p>
    <w:p w14:paraId="1C63F278" w14:textId="77777777" w:rsidR="007C5583" w:rsidRPr="008127F8" w:rsidRDefault="007C5583" w:rsidP="007C5583">
      <w:pPr>
        <w:tabs>
          <w:tab w:val="left" w:pos="514"/>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 утверждении ТТТ на прицепы-волокуши, заводу будет выслан 1 экземпляр для проектирования» (17485).</w:t>
      </w:r>
    </w:p>
    <w:p w14:paraId="41599F4A" w14:textId="77777777" w:rsidR="007C5583" w:rsidRPr="008127F8" w:rsidRDefault="007C5583" w:rsidP="007C5583">
      <w:pPr>
        <w:pStyle w:val="af"/>
        <w:spacing w:before="0" w:after="0"/>
        <w:jc w:val="both"/>
        <w:rPr>
          <w:color w:val="000000" w:themeColor="text1"/>
          <w:sz w:val="16"/>
          <w:szCs w:val="16"/>
        </w:rPr>
      </w:pPr>
    </w:p>
    <w:p w14:paraId="2640AE7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первый опытный образец легкой САУ семейства СУ-76 поступил на испытания, однако провалил их: ни шасси ни артсистема испытаний не выдержали. В конструкции САУ были использованы стандартные узлы шасси танка Т-60 (3862).</w:t>
      </w:r>
    </w:p>
    <w:p w14:paraId="1A725AE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1749C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пер</w:t>
      </w:r>
      <w:r w:rsidRPr="008127F8">
        <w:rPr>
          <w:rFonts w:ascii="Times New Roman" w:hAnsi="Times New Roman"/>
          <w:color w:val="000000" w:themeColor="text1"/>
          <w:sz w:val="16"/>
          <w:szCs w:val="16"/>
        </w:rPr>
        <w:softHyphen/>
        <w:t>вая отечественная зенитная самоходная установка вышла на испытания, но показала неудовлетворительный результат. В частности, в плане установки орудия рекомендовалось при</w:t>
      </w:r>
      <w:r w:rsidRPr="008127F8">
        <w:rPr>
          <w:rFonts w:ascii="Times New Roman" w:hAnsi="Times New Roman"/>
          <w:color w:val="000000" w:themeColor="text1"/>
          <w:sz w:val="16"/>
          <w:szCs w:val="16"/>
        </w:rPr>
        <w:softHyphen/>
        <w:t>дать большую жесткость дну машины, а также недостаточной признавалась скорость горизонтального наведения.</w:t>
      </w:r>
    </w:p>
    <w:p w14:paraId="0876580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Следующий шаг на этом пути сделали автозаводцы, ко</w:t>
      </w:r>
      <w:r w:rsidRPr="008127F8">
        <w:rPr>
          <w:rFonts w:ascii="Times New Roman" w:hAnsi="Times New Roman"/>
          <w:color w:val="000000" w:themeColor="text1"/>
          <w:sz w:val="16"/>
          <w:szCs w:val="16"/>
        </w:rPr>
        <w:softHyphen/>
        <w:t>торые в ноябре 1942 г. помимо штурмовой САУ ГАЗ-71 про</w:t>
      </w:r>
      <w:r w:rsidRPr="008127F8">
        <w:rPr>
          <w:rFonts w:ascii="Times New Roman" w:hAnsi="Times New Roman"/>
          <w:color w:val="000000" w:themeColor="text1"/>
          <w:sz w:val="16"/>
          <w:szCs w:val="16"/>
        </w:rPr>
        <w:softHyphen/>
        <w:t>вели демонстрацию также зенитной САУ ГАЗ-72. Ее конст</w:t>
      </w:r>
      <w:r w:rsidRPr="008127F8">
        <w:rPr>
          <w:rFonts w:ascii="Times New Roman" w:hAnsi="Times New Roman"/>
          <w:color w:val="000000" w:themeColor="text1"/>
          <w:sz w:val="16"/>
          <w:szCs w:val="16"/>
        </w:rPr>
        <w:softHyphen/>
        <w:t>рукция была во многом подобна штурмовой ГАЗ-71, но вместо рубки монтировалась вращающаяся платформа с " качающейся частью автомата 61-К, разработанная по эски</w:t>
      </w:r>
      <w:r w:rsidRPr="008127F8">
        <w:rPr>
          <w:rFonts w:ascii="Times New Roman" w:hAnsi="Times New Roman"/>
          <w:color w:val="000000" w:themeColor="text1"/>
          <w:sz w:val="16"/>
          <w:szCs w:val="16"/>
        </w:rPr>
        <w:softHyphen/>
        <w:t>зу орудийной зенитной башни Савина.</w:t>
      </w:r>
    </w:p>
    <w:p w14:paraId="3F1B93E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38 также продемонстрировал свой вариант зе</w:t>
      </w:r>
      <w:r w:rsidRPr="008127F8">
        <w:rPr>
          <w:rFonts w:ascii="Times New Roman" w:hAnsi="Times New Roman"/>
          <w:color w:val="000000" w:themeColor="text1"/>
          <w:sz w:val="16"/>
          <w:szCs w:val="16"/>
        </w:rPr>
        <w:softHyphen/>
        <w:t>нитной установки СУ-11, во многом повторяющей изделия конкурентов. Но ни один из предложенных образцов испытаний не выдержал по причине недостаточной прочности Инструкции и недостаточной маневренности орудий для со</w:t>
      </w:r>
      <w:r w:rsidRPr="008127F8">
        <w:rPr>
          <w:rFonts w:ascii="Times New Roman" w:hAnsi="Times New Roman"/>
          <w:color w:val="000000" w:themeColor="text1"/>
          <w:sz w:val="16"/>
          <w:szCs w:val="16"/>
        </w:rPr>
        <w:softHyphen/>
        <w:t>провождения самолетов. Кроме того, в 1942 г. 37-мм и 25-мм зенитные автоматы находились в жесточайшем дефи</w:t>
      </w:r>
      <w:r w:rsidRPr="008127F8">
        <w:rPr>
          <w:rFonts w:ascii="Times New Roman" w:hAnsi="Times New Roman"/>
          <w:color w:val="000000" w:themeColor="text1"/>
          <w:sz w:val="16"/>
          <w:szCs w:val="16"/>
        </w:rPr>
        <w:softHyphen/>
        <w:t>ците. Поэтому работы по зенитным САУ были отложены, а наркомат был больше заинтересован в выпуске легких зенитных танков с вооружением из крупнокалиберных пулеметов, так как таковое решение могло быстрее дать результат (11417).</w:t>
      </w:r>
    </w:p>
    <w:p w14:paraId="2005E7D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9B5A8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ОГК НКТП в лице начальника С. Гинзбур</w:t>
      </w:r>
      <w:r w:rsidRPr="008127F8">
        <w:rPr>
          <w:rFonts w:ascii="Times New Roman" w:hAnsi="Times New Roman"/>
          <w:color w:val="000000" w:themeColor="text1"/>
          <w:sz w:val="16"/>
          <w:szCs w:val="16"/>
        </w:rPr>
        <w:softHyphen/>
        <w:t>га выдвинул ТТТ на разработку зенитной башни, воору</w:t>
      </w:r>
      <w:r w:rsidRPr="008127F8">
        <w:rPr>
          <w:rFonts w:ascii="Times New Roman" w:hAnsi="Times New Roman"/>
          <w:color w:val="000000" w:themeColor="text1"/>
          <w:sz w:val="16"/>
          <w:szCs w:val="16"/>
        </w:rPr>
        <w:softHyphen/>
        <w:t>женной 12,7-мм пулеметами для танка Т-60. Одновремен</w:t>
      </w:r>
      <w:r w:rsidRPr="008127F8">
        <w:rPr>
          <w:rFonts w:ascii="Times New Roman" w:hAnsi="Times New Roman"/>
          <w:color w:val="000000" w:themeColor="text1"/>
          <w:sz w:val="16"/>
          <w:szCs w:val="16"/>
        </w:rPr>
        <w:softHyphen/>
        <w:t>но, поскольку на вооружение был уже принят танк Т-70, ГАЗ в лице главного конструктора заводов № 37 и ГАЗ по танку Т-70 Н. Астров выступил с инициативой о проекти</w:t>
      </w:r>
      <w:r w:rsidRPr="008127F8">
        <w:rPr>
          <w:rFonts w:ascii="Times New Roman" w:hAnsi="Times New Roman"/>
          <w:color w:val="000000" w:themeColor="text1"/>
          <w:sz w:val="16"/>
          <w:szCs w:val="16"/>
        </w:rPr>
        <w:softHyphen/>
        <w:t>ровании такой же башни для танка Т-70. Инициатива была поддержана, причем интересно, что в рамках одинакового финансирования ГАЗ делал лишь один танк на шасси Т-70, завод же № 37 — два, на шасси Т-60 и Т-70 (10782).</w:t>
      </w:r>
    </w:p>
    <w:p w14:paraId="6BEBB9F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4A0DE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ОГК НКТП в лице начальника С.А. Гинз</w:t>
      </w:r>
      <w:r w:rsidRPr="008127F8">
        <w:rPr>
          <w:rFonts w:ascii="Times New Roman" w:hAnsi="Times New Roman"/>
          <w:color w:val="000000" w:themeColor="text1"/>
          <w:sz w:val="16"/>
          <w:szCs w:val="16"/>
        </w:rPr>
        <w:softHyphen/>
        <w:t>бурга выдвинул группе И. Савина требования на разработ</w:t>
      </w:r>
      <w:r w:rsidRPr="008127F8">
        <w:rPr>
          <w:rFonts w:ascii="Times New Roman" w:hAnsi="Times New Roman"/>
          <w:color w:val="000000" w:themeColor="text1"/>
          <w:sz w:val="16"/>
          <w:szCs w:val="16"/>
        </w:rPr>
        <w:softHyphen/>
        <w:t>ку малой зенитной башни для установки на легкие танки с вооружением из одного или двух 12,7-мм пулеметов. Прак</w:t>
      </w:r>
      <w:r w:rsidRPr="008127F8">
        <w:rPr>
          <w:rFonts w:ascii="Times New Roman" w:hAnsi="Times New Roman"/>
          <w:color w:val="000000" w:themeColor="text1"/>
          <w:sz w:val="16"/>
          <w:szCs w:val="16"/>
        </w:rPr>
        <w:softHyphen/>
        <w:t>тически одновременно, поскольку на вооружение был уже принят танк Т-70, ГАЗ в лице главного конструктора заво</w:t>
      </w:r>
      <w:r w:rsidRPr="008127F8">
        <w:rPr>
          <w:rFonts w:ascii="Times New Roman" w:hAnsi="Times New Roman"/>
          <w:color w:val="000000" w:themeColor="text1"/>
          <w:sz w:val="16"/>
          <w:szCs w:val="16"/>
        </w:rPr>
        <w:softHyphen/>
        <w:t>дов № 37 и ГАЗ по танку Т-70 Н.А. Астров выступил с ини</w:t>
      </w:r>
      <w:r w:rsidRPr="008127F8">
        <w:rPr>
          <w:rFonts w:ascii="Times New Roman" w:hAnsi="Times New Roman"/>
          <w:color w:val="000000" w:themeColor="text1"/>
          <w:sz w:val="16"/>
          <w:szCs w:val="16"/>
        </w:rPr>
        <w:softHyphen/>
        <w:t>циативой о проектировании такой же башни для танка Т-70. Инициатива была поддержана, причем в рамках оди</w:t>
      </w:r>
      <w:r w:rsidRPr="008127F8">
        <w:rPr>
          <w:rFonts w:ascii="Times New Roman" w:hAnsi="Times New Roman"/>
          <w:color w:val="000000" w:themeColor="text1"/>
          <w:sz w:val="16"/>
          <w:szCs w:val="16"/>
        </w:rPr>
        <w:softHyphen/>
        <w:t>накового финансирования ГАЗ делал лишь один танк на шасси Т-70, завод же № 37 — два, на шасси Т-60 и Т-70 (11417).</w:t>
      </w:r>
    </w:p>
    <w:p w14:paraId="2D0504C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962628"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В мае 1942 года, когда в НИИ был получен один из танков с башней D38976, начались испытания «М-3 лёгкий» или М3л, которые прибыли в СССР ещё в декабре 1941 года.</w:t>
      </w:r>
    </w:p>
    <w:p w14:paraId="7F42A5C4"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 xml:space="preserve">К испытаниям американского лёгкого танка в НИИБТ подошли очень серьёзно. Помимо обычной программы, были проведены сравнительные испытания с Medium Tank M3, Pz.Kpfw.38(t) Ausf.E, </w:t>
      </w:r>
      <w:hyperlink r:id="rId49" w:history="1">
        <w:r w:rsidRPr="008127F8">
          <w:rPr>
            <w:rStyle w:val="a6"/>
            <w:rFonts w:eastAsia="Times New Roman"/>
            <w:color w:val="000000" w:themeColor="text1"/>
          </w:rPr>
          <w:t>Pz.Kpfw.III</w:t>
        </w:r>
      </w:hyperlink>
      <w:r w:rsidRPr="008127F8">
        <w:rPr>
          <w:color w:val="000000" w:themeColor="text1"/>
          <w:sz w:val="16"/>
          <w:szCs w:val="16"/>
        </w:rPr>
        <w:t xml:space="preserve"> Ausf.H и </w:t>
      </w:r>
      <w:hyperlink r:id="rId50" w:history="1">
        <w:r w:rsidRPr="008127F8">
          <w:rPr>
            <w:rStyle w:val="a6"/>
            <w:rFonts w:eastAsia="Times New Roman"/>
            <w:color w:val="000000" w:themeColor="text1"/>
          </w:rPr>
          <w:t>Valentine</w:t>
        </w:r>
      </w:hyperlink>
      <w:r w:rsidRPr="008127F8">
        <w:rPr>
          <w:color w:val="000000" w:themeColor="text1"/>
          <w:sz w:val="16"/>
          <w:szCs w:val="16"/>
        </w:rPr>
        <w:t xml:space="preserve"> VII. Отдельно проводились испытания танков на проходимость по болотистой местности, где к ним присоединились </w:t>
      </w:r>
      <w:hyperlink r:id="rId51" w:history="1">
        <w:r w:rsidRPr="008127F8">
          <w:rPr>
            <w:rStyle w:val="a6"/>
            <w:rFonts w:eastAsia="Times New Roman"/>
            <w:color w:val="000000" w:themeColor="text1"/>
          </w:rPr>
          <w:t>Т-60</w:t>
        </w:r>
      </w:hyperlink>
      <w:r w:rsidRPr="008127F8">
        <w:rPr>
          <w:color w:val="000000" w:themeColor="text1"/>
          <w:sz w:val="16"/>
          <w:szCs w:val="16"/>
        </w:rPr>
        <w:t xml:space="preserve"> и </w:t>
      </w:r>
      <w:hyperlink r:id="rId52" w:history="1">
        <w:r w:rsidRPr="008127F8">
          <w:rPr>
            <w:rStyle w:val="a6"/>
            <w:rFonts w:eastAsia="Times New Roman"/>
            <w:color w:val="000000" w:themeColor="text1"/>
          </w:rPr>
          <w:t>Т-70</w:t>
        </w:r>
      </w:hyperlink>
      <w:r w:rsidRPr="008127F8">
        <w:rPr>
          <w:color w:val="000000" w:themeColor="text1"/>
          <w:sz w:val="16"/>
          <w:szCs w:val="16"/>
        </w:rPr>
        <w:t>. Ходовые испытания были дополнены изучением вооружения танка, которое включало обстрел его 37-мм пушкой трофейных машин. В заключение было проведено исследование конструкции корпуса танка, а также материалов, из которых его изготовили.</w:t>
      </w:r>
    </w:p>
    <w:p w14:paraId="3ADE5D38"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Первым делом танк отправился в пробег, протяжённость которого должна была составить 1000 километров, из них 300 по шоссе, 500 по просёлочным дорогам и 200 по бездорожью. Реально с 1 по 13 мая машина прошла 420 километров (225 по шоссе, 132 по проселку и 63 в условиях бездорожья). Этого оказалось вполне достаточно, чтобы оценить ходовые качества американского лёгкого танка.</w:t>
      </w:r>
    </w:p>
    <w:p w14:paraId="7FAB017C"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Тогда же и определили максимальную скорость М3л, составившую в одном случае 58 км/ч, а в другом – 59,2 км/ч. Это оказалось на уровне Light Tank M2A4. Американская машина оказалась самой быстрой из всех испытуемых вместе с ней танков. Средняя скорость танка по шоссе составила 37,5 км/ч, по просёлку 22,1 км/ч, а по бездорожью 17,3 км/ч. Топлива при этом М3л потреблял немало, особенно для лёгкого танка. По шоссе на 100 км расходовалось 135,5 литров, по просёлку 198, а по бездорожью – аж 347! С учётом того, что объём топливного бака составлял всего 200 литров, появлялся серьёзный повод для раздумий. Потреблял танк, к слову, бензин с более высоким, чем у топлива для советских машин, октановым числом.</w:t>
      </w:r>
    </w:p>
    <w:p w14:paraId="5E64F193"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Весьма неприятный сюрприз преподнесли на испытаниях резино-металлические траки разработки Гарри Нокса. Дело в том, что опорная поверхность траков была гладкой, без каких-либо намёков на грунтозацепы. На глинистых грунтах и, особенно, на подъёмах конструкция трака сыграла с танком злую шутку. В виду недостаточного сцепления с грунтом M3л не смог преодолеть 25-градусный подъём. При этом было очевидно, что мощности двигателя хватало с большим запасом.</w:t>
      </w:r>
    </w:p>
    <w:p w14:paraId="6194743C"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Ещё одной проблемой для американского танка оказалось преодоление 25-градусного уклона. В ходе его прохождения произошло спадание гусеницы, причина чего также была в конструкции трака. Наблюдался и перегрев двигателя, имевший весьма занятные последствия. После 40-минутного марша мотор, у которого выключили зажигание, продолжал работать. Подсластил пилюлю тот факт, что управление танка оказалось лёгким, да и обзор с места механика-водителя был очень неплохим.</w:t>
      </w:r>
    </w:p>
    <w:p w14:paraId="173C07D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Следующим этапом стало сравнительное испытание, проведённое в июле 1942 года. В ходе него М3л разогнался ещё быстрее – до 60 км/ч. Средний расход топлива по шоссе, просёлку и бездорожью составил на этот раз 136, 176 и 246 литров соответственно. Это говорит о том, что на первом этапе, вероятно, существовали какие-то проблемы. Впрочем, запас хода по бездорожью всё равно оказался меньше 100 км. Неудивительно, что англичане в 1942 году затребовали для «Стюартов» дополнительные баки. Справедливости ради, отметим, что Pz.Kpfw.III Ausf.H на испытаниях показал расход топлива 215, 280 и 335 литров соответственно, а запас его хода по бездорожью составил всего 95 километров, что соответствовало паспортным данным.</w:t>
      </w:r>
    </w:p>
    <w:p w14:paraId="7505F8CE"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в летних условиях показали, что американский лёгкий танк имеет всё те же проблемы на подъёмах. Не помогла даже установка шпор, после которой машина стала не соскальзывать, а рыть грунт. Впрочем, у остальных танков характеристики по подъёму оказались не особо лучшими. На подъёмах круче 40 градусов у М3л наблюдалось недостаточное сцепление с грунтом.</w:t>
      </w:r>
    </w:p>
    <w:p w14:paraId="0126E309"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движении по броду глубиной 1,4 метра танк смог выбраться на берег только со второй попытки, и снова из-за недостаточного сцепления с грунтом. Между тем, Medium Tank M3 при попытке выхода из воды вовсе заглох, и его пришлось вытаскивать трактором. То же самое случилось и с Valentine VII. А Pz.Kpfw.III Ausf.H не смог и этого, поскольку его моторное отделение залило водой при прохождении брода глубиной 1,3 метра, и танк прошёл всего 30 метров. Pz.Kpfw.38(t) Ausf.E оказался чуть удачливее, преодолев 35 метров.</w:t>
      </w:r>
    </w:p>
    <w:p w14:paraId="4BE08ED6"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Отдельной программой стали испытания по передвижению в болотистой местности. Для них был выбран участок длиной 100 метров, проходимый человеком, сложный для лошади и непроходимый для колёсной техники. Американский лёгкий танк преодолел его в обоих направлениях, застряв в ходе движения по собственному следу. Medium Tank M3 застрял, преодолев 30 метров; Pz.Kpfw.III Ausf.H преодолел 50 метров и тоже завяз. Для Valentine VII и Pz.Kpfw.38(t) Ausf.E болото не оказалось проблемой, они также прошли по свежему болоту.</w:t>
      </w:r>
    </w:p>
    <w:p w14:paraId="00D474EC"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Позже был проведён второй этап, в котором вместо Pz.Kpfw.III Ausf.H и Valentine VII использовались лёгкие танки Т-60 и Т-70. Результаты оказались теми же. М3л снова был лидером. Что же касается «новичков», то они в принципе болото преодолевали, но в ходовую часть забивалась трава, что и стало причиной застревания Т-70 в ходе одной из попыток.</w:t>
      </w:r>
    </w:p>
    <w:p w14:paraId="7196441E"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Финалом испытаний стали стрельбы. В их ходе выяснилось, что советская 45-мм пушка, а также английская 2-фунтовая (40 мм) пушка не пробивают бронебойными снарядами плиты толщиной 50 мм. Что же касается 37-мм американской пушки M5, то она с дистанции 100 метров вполне спокойно пробивала и 50-мм лобовую плиту StuG III Ausf.B, и 50-мм (25+25 мм) лоб Pz.Kpfw.38(t) Ausf.E. Мощности орудия вполне хватало, чтобы успешно бороться со всеми танками противника, выпускавшимися в 1941 году.</w:t>
      </w:r>
    </w:p>
    <w:p w14:paraId="2CC0308E"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Изучение конструкции и химического состава корпуса американского танка советских инженеров не впечатлило. Корпус имел большое количество клёпаных соединений, а из-за большой удельной массы дефицитных присадок никеля и молибдена не вызвала интереса и сталь, из которой изготовлялся танк (17465).</w:t>
      </w:r>
    </w:p>
    <w:p w14:paraId="64138E20" w14:textId="77777777" w:rsidR="007C5583" w:rsidRPr="008127F8" w:rsidRDefault="007C5583" w:rsidP="007C5583">
      <w:pPr>
        <w:pStyle w:val="af"/>
        <w:shd w:val="clear" w:color="auto" w:fill="FFFFFF"/>
        <w:spacing w:before="0" w:after="0"/>
        <w:jc w:val="both"/>
        <w:rPr>
          <w:color w:val="000000" w:themeColor="text1"/>
          <w:sz w:val="16"/>
          <w:szCs w:val="16"/>
        </w:rPr>
      </w:pPr>
    </w:p>
    <w:p w14:paraId="5D4059F5"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В мае 1942 года, во время Харьковской операции впервые применялись Красной армией американские лёгкие танки. В дальнейшем М3л стали распространяться по другим участкам фронта, а по-настоящему массово их стали применять ближе к концу июля 1942 года, когда насыщенность этими машинами была высокой. Тема применения М3л в Красной армии сама по себе довольно обширная, поэтому в этой статье сконцентрируемся на вопросах эксплуатации и оценки машины в войсках (17465).</w:t>
      </w:r>
    </w:p>
    <w:p w14:paraId="08C80145" w14:textId="77777777" w:rsidR="007C5583" w:rsidRPr="008127F8" w:rsidRDefault="007C5583" w:rsidP="007C5583">
      <w:pPr>
        <w:pStyle w:val="af"/>
        <w:shd w:val="clear" w:color="auto" w:fill="FFFFFF"/>
        <w:spacing w:before="0" w:after="0"/>
        <w:jc w:val="both"/>
        <w:rPr>
          <w:color w:val="000000" w:themeColor="text1"/>
          <w:sz w:val="16"/>
          <w:szCs w:val="16"/>
        </w:rPr>
      </w:pPr>
    </w:p>
    <w:p w14:paraId="7BE571CE"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мая 1942 года на ГАЗ начался выпуск разработанного в январе 1943 на базе шасси ГАЗ-64 легкого бронеавтомобиля БА-64-125. В 1942 году их было выпущено всего 67 штук ГАЗ-64 и 2486 бронеавтомобилей (9638).</w:t>
      </w:r>
    </w:p>
    <w:p w14:paraId="2C4BDF74"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p>
    <w:p w14:paraId="75C8231A"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из бронепоезда “Народный мститель” и бронепоезда "Сталинец-28" был сформировали 71-й ОДБП. В его состав вошел и МБВ-2 № 02. Дивизион находился в оперативном подчинении 55-й армии (9634).</w:t>
      </w:r>
    </w:p>
    <w:p w14:paraId="19F7A4F8"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p>
    <w:p w14:paraId="4C806F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был составлен Акт от 22 апреля 1941 года о выделении цехов №№ 1, 2 и 16 завода № 5 в самостоятельный завод № 522.</w:t>
      </w:r>
    </w:p>
    <w:p w14:paraId="764CC2D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Малышев (10335).</w:t>
      </w:r>
    </w:p>
    <w:p w14:paraId="79DA952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Приемо-сдаточный акт завода № 20</w:t>
      </w:r>
    </w:p>
    <w:p w14:paraId="5197FEA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постановления ЦК ВКП(б) и Совнаркома СССР № 1510-621сс от 6 июня 1941 года, приказа НКХР и НКБ № 172/93с завод № 20 передан в НКБ.</w:t>
      </w:r>
    </w:p>
    <w:p w14:paraId="4F1173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ст. Рубежное Донецклй ж/д, п/я 10 (10335).</w:t>
      </w:r>
    </w:p>
    <w:p w14:paraId="6B9B55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1F75E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был разработан и на базе тапка КВ-1 в инициативном порядке специальной груп</w:t>
      </w:r>
      <w:r w:rsidRPr="008127F8">
        <w:rPr>
          <w:rFonts w:ascii="Times New Roman" w:hAnsi="Times New Roman"/>
          <w:color w:val="000000" w:themeColor="text1"/>
          <w:sz w:val="16"/>
          <w:szCs w:val="16"/>
        </w:rPr>
        <w:softHyphen/>
        <w:t>пой конструкторского бюро СКБ-2 Челябинского Кировского завода под руководством С.В. Федоренко и опытным заводом № 100 под общим руководством Ж.Я. Котина Химический танк КВ-12 ("Объект 232"). Был изготовлен опытный образец, который прошел заводские испытания. На вооружение танк не принимался. Химический танк отличался от линейного тайка КВ-1 наличием специальной аппаратуры для заражения местности стойкими (типа ип</w:t>
      </w:r>
      <w:r w:rsidRPr="008127F8">
        <w:rPr>
          <w:rFonts w:ascii="Times New Roman" w:hAnsi="Times New Roman"/>
          <w:color w:val="000000" w:themeColor="text1"/>
          <w:sz w:val="16"/>
          <w:szCs w:val="16"/>
        </w:rPr>
        <w:softHyphen/>
        <w:t>рит и люизит) и нестойкими (типа фосген) ОВ, постановки дымовых завес и дегазации местности. Небольшие конструктивные изменения корпуса машины были связаны с установкой резервуаров для боевых химических веществ (10703).</w:t>
      </w:r>
    </w:p>
    <w:p w14:paraId="6EFA7DD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BBD03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документация на двигатели В-4 вместе с документацией на полученные по ленд-лизу дизели «Джи-Эм-Си» (СМС 6046) мощностью 210 л.с. были пе</w:t>
      </w:r>
      <w:r w:rsidRPr="008127F8">
        <w:rPr>
          <w:rFonts w:ascii="Times New Roman" w:hAnsi="Times New Roman"/>
          <w:color w:val="000000" w:themeColor="text1"/>
          <w:sz w:val="16"/>
          <w:szCs w:val="16"/>
        </w:rPr>
        <w:softHyphen/>
        <w:t>реданы для освоения на Ярославский автозавод, который должен был начать их выпуск в 1943 г., но в 1942 г. завод подвергся внезапной ночной бомбардировке, в ходе кото</w:t>
      </w:r>
      <w:r w:rsidRPr="008127F8">
        <w:rPr>
          <w:rFonts w:ascii="Times New Roman" w:hAnsi="Times New Roman"/>
          <w:color w:val="000000" w:themeColor="text1"/>
          <w:sz w:val="16"/>
          <w:szCs w:val="16"/>
        </w:rPr>
        <w:softHyphen/>
        <w:t>рой и последовавшими за ней пожарами его цеха были практически полностью уничтожены (завод был деревян</w:t>
      </w:r>
      <w:r w:rsidRPr="008127F8">
        <w:rPr>
          <w:rFonts w:ascii="Times New Roman" w:hAnsi="Times New Roman"/>
          <w:color w:val="000000" w:themeColor="text1"/>
          <w:sz w:val="16"/>
          <w:szCs w:val="16"/>
        </w:rPr>
        <w:softHyphen/>
        <w:t>ным). Серийный выпуск дизелей мощностью 200-300 л.с. в СССР откладывался на неопределенное время (10782).</w:t>
      </w:r>
    </w:p>
    <w:p w14:paraId="3230BAA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759A9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в документах управления бронепоездов и бронемашин упоминается бронедрезина. Она имела на вооружении два 82-мм миномета и «пулемет ДП, установленный за щитом». В состав какого дивизиона бронепоездов она входила, пока установить не удалось.</w:t>
      </w:r>
      <w:r>
        <w:rPr>
          <w:rFonts w:ascii="Times New Roman" w:hAnsi="Times New Roman"/>
          <w:color w:val="000000" w:themeColor="text1"/>
          <w:sz w:val="16"/>
          <w:szCs w:val="16"/>
        </w:rPr>
        <w:t xml:space="preserve">  </w:t>
      </w:r>
    </w:p>
    <w:p w14:paraId="44B891B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7BABA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мае 1942г. на завод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(1939г.)/ /150040 г. Ярославль пр. Октября, 75 тел. 27-40-11) передана документация для освоения выпуска танковых дизелей В-4 и </w:t>
      </w:r>
      <w:r w:rsidRPr="008127F8">
        <w:rPr>
          <w:rFonts w:ascii="Times New Roman" w:hAnsi="Times New Roman"/>
          <w:color w:val="000000" w:themeColor="text1"/>
          <w:sz w:val="16"/>
          <w:szCs w:val="16"/>
          <w:lang w:val="en-US"/>
        </w:rPr>
        <w:t>GMC</w:t>
      </w:r>
      <w:r w:rsidRPr="008127F8">
        <w:rPr>
          <w:rFonts w:ascii="Times New Roman" w:hAnsi="Times New Roman"/>
          <w:color w:val="000000" w:themeColor="text1"/>
          <w:sz w:val="16"/>
          <w:szCs w:val="16"/>
        </w:rPr>
        <w:t xml:space="preserve"> 6046 (11982).</w:t>
      </w:r>
    </w:p>
    <w:p w14:paraId="518FA4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AB2F5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выпуск упрощенной модели, которая получила индекс ЗИС-5В, начался в Ульяновске, позже она сходила с конвейеров в Москве и Миассе. В конце 1941 г. с учетом сырьевых и технологических возможностей военного времени была пересмотрена конструкция грузовика ЗИС-5. Его компоновка и принципиальные технические решения остались прежними. Изменения преследовали цель упростить автомобиль. Дефицит стального листа с высокими характеристиками штампуемости заставил формовать заготовки крыльев на гибочной машине и сваривать их, а не штамповать с глубокой вытяжкой. Кабина водителя стала цельнодеревянной: каркас из деревянных брусьев, обшитый "вагонкой". Этот шаг позволил сэкономить на каждой машине 124 кг дефицитного металла. У грузовой платформы откидным оставили только задний борт, из дерева начали изготовлять и подножки. В целях уменьшения трудоемкости изготовления отказались от тормозов передних колес, упростили конструкцию глушителя. Кроме того, автомобили комплектовали только одной, левой, фарой. Такими же фарами оснащали танки и самоходки, и поскольку предприятия-смежники работали уже на пределе возможностей, пришлось скрепя сердце ставить по одной фаре на машину (12098).</w:t>
      </w:r>
    </w:p>
    <w:p w14:paraId="584322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82D37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мая 1942 г. по май 1945 г. ЗИС, "УльЗИС" и "УралЗИС" выпустили около 83 000 грузовиков ЗИС-5В (12098).</w:t>
      </w:r>
    </w:p>
    <w:p w14:paraId="0FF762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7C8D6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на заводе № 38 конструктором А.А. Чирковым при уча</w:t>
      </w:r>
      <w:r w:rsidRPr="008127F8">
        <w:rPr>
          <w:rFonts w:ascii="Times New Roman" w:hAnsi="Times New Roman"/>
          <w:color w:val="000000" w:themeColor="text1"/>
          <w:sz w:val="16"/>
          <w:szCs w:val="16"/>
        </w:rPr>
        <w:softHyphen/>
        <w:t>стии главного конструктора М.Н. Щукина был разработан эскизный проект легкого танка в двух вариантах (с боевой массой 14 и 17 т). В его |йжструкции предполагалось использовать узлы и агрегаты трансмис</w:t>
      </w:r>
      <w:r w:rsidRPr="008127F8">
        <w:rPr>
          <w:rFonts w:ascii="Times New Roman" w:hAnsi="Times New Roman"/>
          <w:color w:val="000000" w:themeColor="text1"/>
          <w:sz w:val="16"/>
          <w:szCs w:val="16"/>
        </w:rPr>
        <w:softHyphen/>
        <w:t>сии и ходовой части серийного танка Т-34-76. В силовой установке машины были использованы два авиационных звездообразных ррбюраторных двигателя М-11 воздушного охлаждения. В качестве основного оружия предполагалось использовать спаренную установку с пушек калибра 45 и 20 мм, а в качестве дополнительного оружия -2-мм пулемет ДТ. В первом варианте проекта противоснарядная бро-I защита танка была выполнена из броневых листов толщиной 10 — 45 мм, во втором - 25 - 60 мм. Проект развития не получил (10703).</w:t>
      </w:r>
    </w:p>
    <w:p w14:paraId="6549036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146A9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мае 1942 г. сборку грузовиков из эвакуированного вместе с оборудованием задела деталей освоил Ульяновский филиал ЗИСа ("УльЗИС", впоследствии УАЗ). И. А. Лихачев в годы войны фактически стал директором производственного объединения ЗИС, предприятия которого работали в пяти городах. 1942 В дальнейшем часть оборудования из Ульяновска и других городов реэвакуировали в Москву, где ЗИС с июня 1942 г. возобновил выпуск грузовиков. Позже оставшаяся часть оборудования из Ульяновска поступила в Миасс, где на базе автомоторного завода был образован Уральский филиал ЗИСа - "УралЗИС" (12098).</w:t>
      </w:r>
    </w:p>
    <w:p w14:paraId="534A43C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17EF9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Ульяновский завода (УльЗИС) начали соби</w:t>
      </w:r>
      <w:r w:rsidRPr="008127F8">
        <w:rPr>
          <w:rFonts w:ascii="Times New Roman" w:hAnsi="Times New Roman"/>
          <w:color w:val="000000" w:themeColor="text1"/>
          <w:sz w:val="16"/>
          <w:szCs w:val="16"/>
        </w:rPr>
        <w:softHyphen/>
        <w:t>рать ЗИС-5В (21624).</w:t>
      </w:r>
    </w:p>
    <w:p w14:paraId="284FE8D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CA58B8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ЗИС приступил к производству ЗИС-42. Конструкцию машины несколько упро</w:t>
      </w:r>
      <w:r w:rsidRPr="008127F8">
        <w:rPr>
          <w:rFonts w:ascii="Times New Roman" w:hAnsi="Times New Roman"/>
          <w:color w:val="000000" w:themeColor="text1"/>
          <w:sz w:val="16"/>
          <w:szCs w:val="16"/>
        </w:rPr>
        <w:softHyphen/>
        <w:t>стили применительно к требованиям военного времени. Внешне это проявилось в появлении угловатых крыльев и цельнодеревянной кабины. Серийное производство ЗИС-42 велось до 1946 г.</w:t>
      </w:r>
    </w:p>
    <w:p w14:paraId="15E59B3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Полугусеничная трехтонка послужила основой для создания самоходных артилле</w:t>
      </w:r>
      <w:r w:rsidRPr="008127F8">
        <w:rPr>
          <w:rFonts w:ascii="Times New Roman" w:hAnsi="Times New Roman"/>
          <w:color w:val="000000" w:themeColor="text1"/>
          <w:sz w:val="16"/>
          <w:szCs w:val="16"/>
        </w:rPr>
        <w:softHyphen/>
        <w:t>рийских установок, а также ряда специальных машин (12729).</w:t>
      </w:r>
    </w:p>
    <w:p w14:paraId="247FA40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FC3A8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ГКО решил прекратить призыв железнодорожников в армию (338,36).</w:t>
      </w:r>
    </w:p>
    <w:p w14:paraId="2018DE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0ABE8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завод № 616 получил задание ГКО на производство радиостанций «Север». В соответствии с этим решением предприятие было подключено к электроэнергии и возобновило свою производственную деятельность. Прежде всего внимание было уделено переустановке оборудования и его ремонту, а также комплектованию цехов и бригад трудоспособным персоналом. Станции «Север» стали основным изделием предприятия, их было выпущено более 5600 комплектов, а удельный вес в товарном выпуске 1942 г. составил 92%.</w:t>
      </w:r>
    </w:p>
    <w:p w14:paraId="383B66C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Первоначальный вариант этой рации в течение года подвергался модернизации и изменениям в соответствии с конкретными требования фронта. Так появились радиостанции «Кефаль», «Камбала», «Залп», «Заряд». Это требовало от завода существенно перестраивать производство и осваивать изготовление ряда трудоемких деталей1. Кроме станций «Север» и ее модификаций в 1942 г. было выпущено около 11 радиостанций морского типа, смонтированных из задела 1941 г., а также произведено различных деталей на сумму около 2 млн. руб.</w:t>
      </w:r>
    </w:p>
    <w:p w14:paraId="59E1D8B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Общий объем выпуска завода в стоимостном выражении за неполные восемь месяцев работы составил около 30 млн. руб. (в предвоенном 1940 г. продукции было произведено на сумму около 105 млн. руб.) (18297).</w:t>
      </w:r>
    </w:p>
    <w:p w14:paraId="4845010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A45947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при ВЭИ создается Особое конструкторское бюро во главе с В. Г. Бирюковым по разработке приборов ночного видения для флота, авиации, танковых и инженерных войск. Главным инженером ОКБ стал П. В. Тимофеев, а В. И. Архангельский — ведущим конструктором и начальником лаборатории № 1 этого Бюро (18157).</w:t>
      </w:r>
    </w:p>
    <w:p w14:paraId="7A5D0C5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EAF5C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мая 1942 г. завод № 191 НКЭП, реэвакуированный на старое место во Фрязино и получивший № 191а, начался выпуск радиоламп для миноискателей, приемных и передающих радиостанций. Вскоре завод переименован в завод № 747 НКЭП (Завод № 747 НКЭП /г. Фрязино Московской обл./).</w:t>
      </w:r>
    </w:p>
    <w:p w14:paraId="087D17F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пост. ГКО № 3686сс от 4.07.1943 г. и приказом НКЭП от 6.07.1943 г. на базе завода № 747 создан НИИ-160, а завод № 747 стал его опытным заводом в ведении ГУ </w:t>
      </w:r>
      <w:r w:rsidRPr="008127F8">
        <w:rPr>
          <w:rFonts w:ascii="Times New Roman" w:hAnsi="Times New Roman"/>
          <w:color w:val="000000" w:themeColor="text1"/>
          <w:sz w:val="16"/>
          <w:szCs w:val="16"/>
          <w:lang w:val="en-US"/>
        </w:rPr>
        <w:t>PJI</w:t>
      </w:r>
      <w:r w:rsidRPr="008127F8">
        <w:rPr>
          <w:rFonts w:ascii="Times New Roman" w:hAnsi="Times New Roman"/>
          <w:color w:val="000000" w:themeColor="text1"/>
          <w:sz w:val="16"/>
          <w:szCs w:val="16"/>
        </w:rPr>
        <w:t xml:space="preserve"> промышленности НКЭП (возможно, далее это- завод «Рений»). 6.08.1944 г. вышло постановление ГКО № 6328 об обеспечении строительства завода.</w:t>
      </w:r>
    </w:p>
    <w:p w14:paraId="420DE4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(1942-44 г.)- И.И. Каминский.</w:t>
      </w:r>
    </w:p>
    <w:p w14:paraId="2A10816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НИИ-160 НКЭП, п/я 17, Электровакуумный институт, НИИЭТ, НИИ «Исток» МЭП, ГНПП «Исток», А-7139, ГП «НПО «Исток», ФГУП «НПП «Исток» /г. Фрязино Московской обл. а/я 7/ /141120 (141190)  г. Фрязино Московской обл. ул. Вокзальная, 2А тел. 465-86-86/</w:t>
      </w:r>
    </w:p>
    <w:p w14:paraId="5640B4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3686сс от 4.07.1943 г. и приказом НКЭП от 6.07.1943 г. на базе завода № 747 создан Электровакуумный институт (НИИ-160) в ведении ГУ РЛ промышленности НКЭП для разработки и производства электронных приборов и устройств для связной и РЛ техники, а завод № 747 стал его опытным заводом. 23.09.1943 г. вышло постановление ГКО № 4189 о производстве в НИИ-160 и на заводе № 747 НКЭП специальных электронных приборов. 6.08.1944 г. вышло постановление ГКО № 6328 об обеспечении строительства института.</w:t>
      </w:r>
    </w:p>
    <w:p w14:paraId="0B4BA8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1949 г. создан первый в стране действующий макет транзистора (А.В. Красилов, С. Г. Мадоян), в 1950-52 г. - образцы промышленных точечных транзисторов (А.В. Красилов, Ф.А. Щиголь).</w:t>
      </w:r>
    </w:p>
    <w:p w14:paraId="709059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1966 г. имел наименование «предприятие- п/я 17». В 1973 г. назывался НИИ «Исток», в 1989 г.- ГНПП «Исток», имело наименование «п/я А-7139». При НИИ действовало ОКБ.</w:t>
      </w:r>
    </w:p>
    <w:p w14:paraId="6CBB661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1965 г. на базе отдела электронно-лучевых приборов создан самостоятельный НИИ электронных приборов.</w:t>
      </w:r>
    </w:p>
    <w:p w14:paraId="6C47D1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Выполнены НИР: по электронно-лучевым усилителям слабых сигналов СВЧ (В.А. Афанасьев); по изысканию методов снижения коэффициента шума усилителей СВЧ (В.А. Афанасьев); НИЭР «Союз-Синтез» (совместно с НИИАС) по РЛС для Су-27 и головке самонаведения для УР.</w:t>
      </w:r>
    </w:p>
    <w:p w14:paraId="1A43AD8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1993 г. создан филиал, а в 1995 г. - дочернее предприятие «Исток-Система». В него вошли подразделения микропроцессорной техники, программирования, спецэлектроники, медицинской электроники.</w:t>
      </w:r>
    </w:p>
    <w:p w14:paraId="316583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Ведущее предприятие страны по по разработке и производству электронных приборов СВЧ. Создана школа отечественного СВЧ-приборостроения (С.А. Зусмановский). Предприятию принадлежит мировой приоритет в создании ламп обратной волны миллиметрового и субмиллиметрового диапазона, лавинно-пролетных диодов, многолучевых клистронов и ламп бегущей волны, приборов на циклотронной волне. Создана единственная в мире серия (13 приборов) широкодиапазонных электрически перестраиваемых генераторов типа ЛОВ (А.А. Негирев). Создан новый класс источников электронной эмиссии - металлосплавных катодов. Разработан комплекс унифицированных микроволновых технологий.</w:t>
      </w:r>
    </w:p>
    <w:p w14:paraId="1E6A86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Крупнейший в стране производитель активных РЛ ГСН для УРВВ.</w:t>
      </w:r>
    </w:p>
    <w:p w14:paraId="77C5F7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правительства от 21.02.2002 г. «О государственном оборонном заказе на 2002 г.» начата реконструкция и техническое перевооружение предприятия.</w:t>
      </w:r>
    </w:p>
    <w:p w14:paraId="00AD255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2002 г.- ГП «НПО «Исток». По Указу Президента РФ № 1009 от 4.08.2004 г. ФГУП «НПП «Исток» вошло в число стратегических оборонных предприятий. В 2007 г. планировалось вхождение предприятия в холдинг «Электронные системы» ОПК «Оборонпром».</w:t>
      </w:r>
    </w:p>
    <w:p w14:paraId="0D7DF8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2005 г. создано более 600 типов электровакуумных и около 500 типов твердотельных СВЧ приборов для 200 различных систем вооружения, в т.ч . для С-25, С-23, С-23МЛ, С-75, С-125, С-200, С-225, С-300, С-400, А-35, «Тор», «Заслон», «Шмель», «Равенство», «Кинжал», «Кортик», «Фрегат», «Фара-1», «Кредо», «Зоопарк», РВВ- АЕ, «Горизонт», «Экран-М», «Форум», «Кристалл-БТ», «Метеор-ЗМ», Э-801СВ.</w:t>
      </w:r>
    </w:p>
    <w:p w14:paraId="34A50A6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(2002 г.): маршрутный компьютер; лампы бегущей волны для спутников связи; электронно- оптическое оборудование; радиоизмерительные приборы; медоборудование. Разработка и производство (2005 г.): медицинская электронная аппаратура; газовые лазеры, лазерные установки прецизионной обработки материалов; цифровые радиорелейные комплексы беспроводной связи; РЛ датчики уровня и скорости, РЛ маяки-ответчики; многоканальные регистраторы телефонной и видеоинформации.</w:t>
      </w:r>
      <w:r w:rsidRPr="008127F8">
        <w:rPr>
          <w:rFonts w:ascii="Times New Roman" w:hAnsi="Times New Roman"/>
          <w:color w:val="000000" w:themeColor="text1"/>
          <w:sz w:val="16"/>
          <w:szCs w:val="16"/>
          <w:vertAlign w:val="superscript"/>
        </w:rPr>
        <w:t>101</w:t>
      </w:r>
    </w:p>
    <w:p w14:paraId="3A8D76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(07.1943 г.-)- С.А. Векшинский, (1943 г.)- И.И. Каминский, (1945-47 г.)- А.А. Захаров. Директор (1953-61 г.)- М.М. Федоров, А.В. Потапов, (1966-89 г.)- С.И. Ребров. Гендиректор (1989-2007 г.-)- А.Н. Королев.</w:t>
      </w:r>
    </w:p>
    <w:p w14:paraId="600B342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Е.Н. Покровский. Зам. директора по научной работе (1943 г.-)- С.А. Зусмановский, по научной части- академик Н.Д. Девятков. Зам. гендиректора: по науке (-2002-07 г.-)- С.А. Зайцев;</w:t>
      </w:r>
      <w:r w:rsidRPr="008127F8">
        <w:rPr>
          <w:rFonts w:ascii="Times New Roman" w:hAnsi="Times New Roman"/>
          <w:color w:val="000000" w:themeColor="text1"/>
          <w:sz w:val="16"/>
          <w:szCs w:val="16"/>
          <w:vertAlign w:val="superscript"/>
        </w:rPr>
        <w:t>69</w:t>
      </w:r>
      <w:r w:rsidRPr="008127F8">
        <w:rPr>
          <w:rFonts w:ascii="Times New Roman" w:hAnsi="Times New Roman"/>
          <w:color w:val="000000" w:themeColor="text1"/>
          <w:sz w:val="16"/>
          <w:szCs w:val="16"/>
        </w:rPr>
        <w:t xml:space="preserve"> по производству- Е.Н. Покровский.</w:t>
      </w:r>
    </w:p>
    <w:p w14:paraId="28DD25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 конструктор (1980-е-2000-е)- С.И. Ребров.</w:t>
      </w:r>
    </w:p>
    <w:p w14:paraId="46EE84F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инженера- Н.Д. Девятков.</w:t>
      </w:r>
    </w:p>
    <w:p w14:paraId="4771174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производства (2007 г.)- Е.Н. Покровский. Начальник научно-производственного комплекса (НПК)- Э.А. Гельвич, С.А. Зайцев, С.П. Кантюк, А.Н. Королев, (2000-е)- Ю.А. Будзинский, (2000-е)- П.М. Мелешкевич, (2000-е)- А .В. Потапов.</w:t>
      </w:r>
    </w:p>
    <w:p w14:paraId="58970D8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завода- Е.Н. Покровский. Гл. технолог НПК (2007 г.)- Е.А. Котюргин.</w:t>
      </w:r>
    </w:p>
    <w:p w14:paraId="35EEF53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Э.А. Гельвич (магнетроны для СУ БР, ИСЗ), Е.В. Жарый, С.А. Зайцев, С.П. Кантюк (электростатические усилители, потенциалотроны), В. Г. Кармазин (умножительный клистрон, ЭВП СВЧ), А.Н. Королев (первый отечественный ВК с программируемой цифровой обработкой РЛ сигнала), Ю.П. Мякиньков (ЛБВ средней мощности для КА), А.А. Негирев (генераторы типа ЛОВ).</w:t>
      </w:r>
    </w:p>
    <w:p w14:paraId="2B4244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конструкторов: Е.В. Жарый.</w:t>
      </w:r>
    </w:p>
    <w:p w14:paraId="285935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отделений: С.А. Зайцев, С.П. Кантюк, А.В. Потапов.</w:t>
      </w:r>
    </w:p>
    <w:p w14:paraId="01764B7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секторов: Э.А. Гельвич, (2007 г.)- Е.В. Жарый, А.Н. Королев, А.А. Негирев.</w:t>
      </w:r>
    </w:p>
    <w:p w14:paraId="3239FE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В.А. Афанасьев, Э.А. Гельвич, М.Б. Голант, (2000-е)- Б.Ч. Дюбуа, С.А. Зайцев, (-1978 г.)- В. Г. Кармазин, Е.А. Котюргин, Ю.П. Мякиньков, В.И. Новоселец, А.С. Победоносцев, Е.Н. Покровский, А.В. Потапов, С.И. Ребров. Начальник ОКБ (-1959 г.)- К.П. Шахов.</w:t>
      </w:r>
    </w:p>
    <w:p w14:paraId="75F5BD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лабораторий: (1951 г.-)- В.А. Афанасьев, Ю.А. Будзинский, Э.А. Гельвич, М.Б. Голант, (-1970 г.)- А.А. Гугнин, Н.Д. Девятков, Б.Ч. Дюбуа, Е.В. Жарый, С.А. Зайцев, С.А. Зусмановский, С.П. Кантюк, В. Г. Кармазин, (1975 г.-)- А.Н. Королев, (-1983 г.)- С.В. Королев, Е.А. Котюргин, П.М. Мелешкевич, Ю.П. Мякиньков, А.А. Негирев, (1942-45 г.)- С.М. Никифоров, В.И. Новоселец, Л.А. Парышкуро, (1957-71 г.)- Д.М. Петров, А.С. Победоносцев, (1974 г.-)- А.В. Потапов, (1952 г.-)- </w:t>
      </w:r>
      <w:r w:rsidRPr="008127F8">
        <w:rPr>
          <w:rFonts w:ascii="Times New Roman" w:hAnsi="Times New Roman"/>
          <w:color w:val="000000" w:themeColor="text1"/>
          <w:sz w:val="16"/>
          <w:szCs w:val="16"/>
        </w:rPr>
        <w:lastRenderedPageBreak/>
        <w:t>С.И. Ребров, (-1965 г.)- В.А. Смирнов, (1945 г.-)- К.П. Шахов.</w:t>
      </w:r>
    </w:p>
    <w:p w14:paraId="6F64DFE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Е.Н. Покровский.</w:t>
      </w:r>
    </w:p>
    <w:p w14:paraId="0BEEAB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Научные руководители НИР: В.А. Афанасьев, Н.Д. Девятков, С.П. Кантюк, А.А. Негирев.</w:t>
      </w:r>
    </w:p>
    <w:p w14:paraId="5E4021A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участков: Е.Н. Покровский.</w:t>
      </w:r>
    </w:p>
    <w:p w14:paraId="5D578D8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электронные лампы: 6Ж1П, 6Ж2П. 6НЗП, СГ1П, 6П1П, 6А4П; генераторы шума ГШ-2, ГШ-3, ГШ-5; ЛБВ: УВ-5, УВ-13, УВ-35; клистроны К-41, К-42, К-83; генератор оптический квантовый ОКГ11; ЭЛТ: передающая ЛИ416, приемная 23ЛК9Б, запоминающие; атомно-лучевые трубки для ГЛОНАСС; тиратроны, кенотроны, импульсные магнетроны, ЛОВ; приборы СВЧ: «Аэробус», «Арарат», «Антрацит», «Атлас», «Шкала», «Шифон».</w:t>
      </w:r>
      <w:r w:rsidRPr="008127F8">
        <w:rPr>
          <w:rFonts w:ascii="Times New Roman" w:hAnsi="Times New Roman"/>
          <w:color w:val="000000" w:themeColor="text1"/>
          <w:sz w:val="16"/>
          <w:szCs w:val="16"/>
          <w:vertAlign w:val="superscript"/>
        </w:rPr>
        <w:t>130</w:t>
      </w:r>
    </w:p>
    <w:p w14:paraId="02DE7F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«Рений» /141190  г. Фрязино Московской обл. ул. Вокзальная, 2А/</w:t>
      </w:r>
    </w:p>
    <w:p w14:paraId="2CDD189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«Рений» создан в 1943 г. (возможно, это опытный завод НИИ-160). Затем вошел в состав ПО «Исток», ФГУП «НПП «Исток».</w:t>
      </w:r>
    </w:p>
    <w:p w14:paraId="3905D6C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магнитофон «Электроника ТА-004».</w:t>
      </w:r>
    </w:p>
    <w:p w14:paraId="300DE41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НИИ электронных приборов, ФГУП «НИИ «Платан» с заводом», Г-4937, ОАО «НИИ электронных приборов» /141190  г. Фрязино Московской обл. Заводской пр., 2 тел. 526-90-17/</w:t>
      </w:r>
    </w:p>
    <w:p w14:paraId="1FF5197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1965 г. на базе отдела электронно-лучевых приборов НИИ-160 создан самостоятельный НИИ электронных приборов. НИИ «Платан» имел наименование «п/я Г-4937».</w:t>
      </w:r>
    </w:p>
    <w:p w14:paraId="18DF61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2002 г. назывался ФГУП «НИИ «Платан» с заводом».</w:t>
      </w:r>
    </w:p>
    <w:p w14:paraId="4CAEE8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Головное предприятие России (2002 г.) по разработке и производству приборов отображения информации для ЛА (высокояркостные ЭЛТ, нашлемные системы, лазерные ЭЛТ, ЖКИ, видиконы, видеопроекторы).</w:t>
      </w:r>
    </w:p>
    <w:p w14:paraId="6D153F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 22-р от 9.01.2004 г. и Указу Президента РФ № 1009 от 4.08.2004 г. ОАО «НИИ электронных приборов» вошло в перечень стратегических предприятий. В 2007 г. планировалось вхождение предприятия в холдинг «Электронные системы» ОПК «Оборонпром».</w:t>
      </w:r>
    </w:p>
    <w:p w14:paraId="6325AA2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(2002 г.)- А. Г. Михальченков.</w:t>
      </w:r>
      <w:r w:rsidRPr="008127F8">
        <w:rPr>
          <w:rFonts w:ascii="Times New Roman" w:hAnsi="Times New Roman"/>
          <w:color w:val="000000" w:themeColor="text1"/>
          <w:sz w:val="16"/>
          <w:szCs w:val="16"/>
          <w:vertAlign w:val="superscript"/>
        </w:rPr>
        <w:t>69</w:t>
      </w:r>
    </w:p>
    <w:p w14:paraId="36FE01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ЖК дисплей ИЖЦ5-4/8 «Лещ» для дозиметров.</w:t>
      </w:r>
    </w:p>
    <w:p w14:paraId="497FCEC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НПО «Платан», А-7017 /г. Фрязино Московской обл./</w:t>
      </w:r>
    </w:p>
    <w:p w14:paraId="472B667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Имело наименование «п/я А-7017». В составе НПО - завод «п/я В-8419» ( г. Фрязино) (11982).</w:t>
      </w:r>
    </w:p>
    <w:p w14:paraId="67064DA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DDCD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у миноносца "Громкий" на волне отломился нос, но его спасли (3573).</w:t>
      </w:r>
    </w:p>
    <w:p w14:paraId="132236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951F9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опытные образцы установок 24-М-8 и 16-М-13, изготовленные на заводе, были поставлены на бронекатера № 350 и 314, входившие в состав Волжской военной флотилии. Испытания прошли успешно. 15 октября 1942 г. бронекатера-ракетоносцы № 41 и 51 получили задание поддержать огнем реактивных снарядов 138-ю стрелковую дивизию, отражавшую вражеские атаки у северной окраины поселка Латошинка. Впервые в истории советского ВМФ наземные цели поражались совместной залповой стрельбой реактивными снарядами М-13 с палуб бронекатеров. Большую помощь в подготовке к выполнению этой задачи оказал вступивший тогда в должность начальника штаба Волжской военной флотилии капитан 1 ранга М.И. Морозов (впоследствии контр-адмирал). Этот опытный артиллерист-новатор стал горячим сторонником внедрения реактивной техники на кораблях. 29 ноября 1942 года приказом Наркома ВМФ установка 16-М-13 была принята в качестве штатного вооружения кораблей (11772).</w:t>
      </w:r>
    </w:p>
    <w:p w14:paraId="4DE9AA7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3C68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08499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0A7BF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началась серьёзнейшая организационно-штатная реформа ВВС КА. С целью устранения ганизационной раздробленности и повышения эффективности применения авиации было едено единое управление ВВС и созданы крупные авиационные оперативные объедине- и соединения (15846).</w:t>
      </w:r>
    </w:p>
    <w:p w14:paraId="5F42952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8621FD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мая 1942 г. одновременно с отработкой авиаци</w:t>
      </w:r>
      <w:r w:rsidRPr="008127F8">
        <w:rPr>
          <w:rFonts w:ascii="Times New Roman" w:hAnsi="Times New Roman"/>
          <w:color w:val="000000" w:themeColor="text1"/>
          <w:sz w:val="16"/>
          <w:szCs w:val="16"/>
        </w:rPr>
        <w:softHyphen/>
        <w:t>онных средств поражения танков началась серьезнейшая организа</w:t>
      </w:r>
      <w:r w:rsidRPr="008127F8">
        <w:rPr>
          <w:rFonts w:ascii="Times New Roman" w:hAnsi="Times New Roman"/>
          <w:color w:val="000000" w:themeColor="text1"/>
          <w:sz w:val="16"/>
          <w:szCs w:val="16"/>
        </w:rPr>
        <w:softHyphen/>
        <w:t>ционно-штатная реформа ВВС КА. С це</w:t>
      </w:r>
      <w:r w:rsidRPr="008127F8">
        <w:rPr>
          <w:rFonts w:ascii="Times New Roman" w:hAnsi="Times New Roman"/>
          <w:color w:val="000000" w:themeColor="text1"/>
          <w:sz w:val="16"/>
          <w:szCs w:val="16"/>
        </w:rPr>
        <w:softHyphen/>
        <w:t>лью устранения организационной раздро</w:t>
      </w:r>
      <w:r w:rsidRPr="008127F8">
        <w:rPr>
          <w:rFonts w:ascii="Times New Roman" w:hAnsi="Times New Roman"/>
          <w:color w:val="000000" w:themeColor="text1"/>
          <w:sz w:val="16"/>
          <w:szCs w:val="16"/>
        </w:rPr>
        <w:softHyphen/>
        <w:t>бленности и повышения эффективности применения авиации было введено еди</w:t>
      </w:r>
      <w:r w:rsidRPr="008127F8">
        <w:rPr>
          <w:rFonts w:ascii="Times New Roman" w:hAnsi="Times New Roman"/>
          <w:color w:val="000000" w:themeColor="text1"/>
          <w:sz w:val="16"/>
          <w:szCs w:val="16"/>
        </w:rPr>
        <w:softHyphen/>
        <w:t>ное управление ВВС и созданы крупные авиационные оперативные объединения и соединения (23181).</w:t>
      </w:r>
    </w:p>
    <w:p w14:paraId="076C46F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FEA11C5"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В течение мая 1942 сформировали сразу одиннадцать штурмовых авиадивизий, которые получили обозначения — 204, 206, 224, 225, 226, 227, 228, 230, 231, 233 и 238-я шад. В следующем месяце к ним добавились еще семь, в августе — две, в сентябре — три и в ноябре — две. В итоге к концу 1942 года в советских ВВС насчитывалось уже 25 штурмовых авиадивизий. К концу же войны их число увеличилось почти вдвое и достигло 48 единиц, при этом тринадцати из них было присвоено звание «гвардейская» (19522).</w:t>
      </w:r>
    </w:p>
    <w:p w14:paraId="31B88F54" w14:textId="77777777" w:rsidR="007C5583" w:rsidRPr="008127F8" w:rsidRDefault="007C5583" w:rsidP="007C5583">
      <w:pPr>
        <w:pStyle w:val="af"/>
        <w:spacing w:before="0" w:after="0"/>
        <w:jc w:val="both"/>
        <w:textAlignment w:val="baseline"/>
        <w:rPr>
          <w:color w:val="000000" w:themeColor="text1"/>
          <w:sz w:val="16"/>
          <w:szCs w:val="16"/>
        </w:rPr>
      </w:pPr>
    </w:p>
    <w:p w14:paraId="105F5E6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штат шап был увеличен до трех эскадрилий по десять Ил</w:t>
      </w:r>
      <w:r w:rsidRPr="008127F8">
        <w:rPr>
          <w:rFonts w:ascii="Times New Roman" w:hAnsi="Times New Roman"/>
          <w:color w:val="000000" w:themeColor="text1"/>
          <w:sz w:val="16"/>
          <w:szCs w:val="16"/>
        </w:rPr>
        <w:noBreakHyphen/>
        <w:t>2. И с учетом еще двух самолетов, числившихся при штабе, штатная численность полка отныне составляла 32 штурмовика. Одновременно начали формироваться и более крупные соединения – штурмовые авиационные дивизии (шад). Соответствующий приказ устанавливал, что каждая такая дивизия должна иметь три штурмовых полка, а также отдельную штрафную штурмовую эскадрилью.</w:t>
      </w:r>
    </w:p>
    <w:p w14:paraId="35B5B44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мая их сформировали сразу одиннадцать штук, которые получили обозначения – 204, 206, 224, 225, 226, 227, 228, 230, 231, 233 и 238</w:t>
      </w:r>
      <w:r w:rsidRPr="008127F8">
        <w:rPr>
          <w:rFonts w:ascii="Times New Roman" w:hAnsi="Times New Roman"/>
          <w:color w:val="000000" w:themeColor="text1"/>
          <w:sz w:val="16"/>
          <w:szCs w:val="16"/>
        </w:rPr>
        <w:noBreakHyphen/>
        <w:t>я шад. В следующем месяце к ним добавились еще семь, в августе – две, в сентябре – три и в ноябре – две. В итоге к концу 1942 года в советских ВВС насчитывалось уже 25 штурмовых авиадивизий. К концу же войны их число увеличилось почти вдвое и достигло 48 единиц, при этом тринадцати из них было присвоено звание «гвардейская» (23199).</w:t>
      </w:r>
    </w:p>
    <w:p w14:paraId="16D1718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BFD96F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мая до августа 1942 г. на НИП АВ ВВС проводились исследования действенности стоящих на вооружении авиации средств поражения против танков и отрабатывались способы боевого применения самолётов Ил-2.</w:t>
      </w:r>
    </w:p>
    <w:p w14:paraId="4A9682A3" w14:textId="77777777" w:rsidR="007C5583" w:rsidRPr="008127F8" w:rsidRDefault="007C5583" w:rsidP="007C5583">
      <w:pPr>
        <w:pStyle w:val="45"/>
        <w:shd w:val="clear" w:color="auto" w:fill="auto"/>
        <w:spacing w:before="0" w:line="240" w:lineRule="auto"/>
        <w:jc w:val="both"/>
        <w:rPr>
          <w:rFonts w:ascii="Times New Roman" w:cs="Times New Roman"/>
          <w:color w:val="000000" w:themeColor="text1"/>
          <w:sz w:val="16"/>
          <w:szCs w:val="16"/>
        </w:rPr>
      </w:pPr>
      <w:r w:rsidRPr="008127F8">
        <w:rPr>
          <w:rStyle w:val="4f1"/>
          <w:rFonts w:ascii="Times New Roman" w:hAnsi="Times New Roman" w:cs="Times New Roman"/>
          <w:color w:val="000000" w:themeColor="text1"/>
          <w:sz w:val="16"/>
          <w:szCs w:val="16"/>
        </w:rPr>
        <w:t>Выводы сводились к следующему:</w:t>
      </w:r>
      <w:r w:rsidRPr="008127F8">
        <w:rPr>
          <w:rFonts w:ascii="Times New Roman" w:cs="Times New Roman"/>
          <w:color w:val="000000" w:themeColor="text1"/>
          <w:sz w:val="16"/>
          <w:szCs w:val="16"/>
        </w:rPr>
        <w:t xml:space="preserve"> «Для более рационального использования существующего вооружения самолёта Ил-2 в борьбе с немецкими танками необходимо выделить  штурмовые авиаполки, ... основной задачей которых должно быть действие по танкам. Лётный состав этих частей должен пройти спецподготовку. ... Наиболее эффективным сред</w:t>
      </w:r>
      <w:r w:rsidRPr="008127F8">
        <w:rPr>
          <w:rFonts w:ascii="Times New Roman" w:cs="Times New Roman"/>
          <w:color w:val="000000" w:themeColor="text1"/>
          <w:sz w:val="16"/>
          <w:szCs w:val="16"/>
        </w:rPr>
        <w:softHyphen/>
        <w:t xml:space="preserve">ством борьбы с немецкими танками, имеющими броню до 40 мм, показали авиапушки 37 </w:t>
      </w:r>
      <w:r w:rsidRPr="008127F8">
        <w:rPr>
          <w:rStyle w:val="40pt0"/>
          <w:rFonts w:ascii="Times New Roman" w:cs="Times New Roman"/>
          <w:color w:val="000000" w:themeColor="text1"/>
          <w:sz w:val="16"/>
          <w:szCs w:val="16"/>
        </w:rPr>
        <w:t>мм</w:t>
      </w:r>
      <w:r w:rsidRPr="008127F8">
        <w:rPr>
          <w:rStyle w:val="40pt0"/>
          <w:rFonts w:ascii="Times New Roman" w:cs="Times New Roman"/>
          <w:color w:val="000000" w:themeColor="text1"/>
          <w:sz w:val="16"/>
          <w:szCs w:val="16"/>
        </w:rPr>
        <w:t>.</w:t>
      </w:r>
      <w:r w:rsidRPr="008127F8">
        <w:rPr>
          <w:rFonts w:ascii="Times New Roman" w:cs="Times New Roman"/>
          <w:color w:val="000000" w:themeColor="text1"/>
          <w:sz w:val="16"/>
          <w:szCs w:val="16"/>
        </w:rPr>
        <w:t xml:space="preserve"> В этой связи необходимо создать специальные противотанковые части, вооружённые истребителями ЛаГГ-3 и Як с 37-мм авиапушками и усиленным бронированием. Лётному составу этих частей дать специальную подготовку. ... Считать необходимым создание специ</w:t>
      </w:r>
      <w:r w:rsidRPr="008127F8">
        <w:rPr>
          <w:rFonts w:ascii="Times New Roman" w:cs="Times New Roman"/>
          <w:color w:val="000000" w:themeColor="text1"/>
          <w:sz w:val="16"/>
          <w:szCs w:val="16"/>
        </w:rPr>
        <w:softHyphen/>
        <w:t>ального центра по отработке вопросов боевого применения АВ ВВС КА, на базе которого проводить систематическую подготовку лётных кадров в ведении прицельной стрельбы и бомбометания».</w:t>
      </w:r>
    </w:p>
    <w:p w14:paraId="0B1E8481" w14:textId="77777777" w:rsidR="007C5583" w:rsidRPr="008127F8" w:rsidRDefault="007C5583" w:rsidP="007C5583">
      <w:pPr>
        <w:pStyle w:val="45"/>
        <w:shd w:val="clear" w:color="auto" w:fill="auto"/>
        <w:spacing w:before="0" w:line="240" w:lineRule="auto"/>
        <w:jc w:val="both"/>
        <w:rPr>
          <w:rFonts w:ascii="Times New Roman" w:cs="Times New Roman"/>
          <w:color w:val="000000" w:themeColor="text1"/>
          <w:sz w:val="16"/>
          <w:szCs w:val="16"/>
        </w:rPr>
      </w:pPr>
      <w:r w:rsidRPr="008127F8">
        <w:rPr>
          <w:rStyle w:val="4f1"/>
          <w:rFonts w:ascii="Times New Roman" w:hAnsi="Times New Roman" w:cs="Times New Roman"/>
          <w:color w:val="000000" w:themeColor="text1"/>
          <w:sz w:val="16"/>
          <w:szCs w:val="16"/>
        </w:rPr>
        <w:t>Кроме этого, предлагалось</w:t>
      </w:r>
      <w:r w:rsidRPr="008127F8">
        <w:rPr>
          <w:rFonts w:ascii="Times New Roman" w:cs="Times New Roman"/>
          <w:color w:val="000000" w:themeColor="text1"/>
          <w:sz w:val="16"/>
          <w:szCs w:val="16"/>
        </w:rPr>
        <w:t xml:space="preserve"> «поручить НКАП, в срочном порядке создать штурмовик, вооруженный 37 мм пушкой, расположенной в плоскости оси самолёта».</w:t>
      </w:r>
    </w:p>
    <w:p w14:paraId="2CCE01C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Дело в том, что пушки Ш-37 при стрельбе давали сильную отдачу, и самолёт сбивался с линии прицеливания. Особенно негативно это проявлялось на Ил-2, у которого пушки размещались под крылом в больших обтекателях (из-за габаритов магазина пушки) на значительном расстоянии от оси самолёта, а сам штурмовик обладал малым запасом про</w:t>
      </w:r>
      <w:r w:rsidRPr="008127F8">
        <w:rPr>
          <w:rFonts w:ascii="Times New Roman" w:hAnsi="Times New Roman"/>
          <w:color w:val="000000" w:themeColor="text1"/>
          <w:sz w:val="16"/>
          <w:szCs w:val="16"/>
        </w:rPr>
        <w:softHyphen/>
        <w:t>дольной устойчивости. При стрельбе в воздухе из этих пушек очередью более 3-5 снарядов строевые лётчики, имевшие в большинстве своем среднюю и ниже квалификацию, не могли</w:t>
      </w:r>
    </w:p>
    <w:p w14:paraId="76283DD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удерживать линию визирования на цели. Рассеивание снарядов резко увеличивалось, сни</w:t>
      </w:r>
      <w:r w:rsidRPr="008127F8">
        <w:rPr>
          <w:rFonts w:ascii="Times New Roman" w:hAnsi="Times New Roman"/>
          <w:color w:val="000000" w:themeColor="text1"/>
          <w:sz w:val="16"/>
          <w:szCs w:val="16"/>
        </w:rPr>
        <w:softHyphen/>
        <w:t>жалась точность стрельбы. То есть для того, чтобы эффективно израсходовать весь боеком</w:t>
      </w:r>
      <w:r w:rsidRPr="008127F8">
        <w:rPr>
          <w:rFonts w:ascii="Times New Roman" w:hAnsi="Times New Roman"/>
          <w:color w:val="000000" w:themeColor="text1"/>
          <w:sz w:val="16"/>
          <w:szCs w:val="16"/>
        </w:rPr>
        <w:softHyphen/>
        <w:t>плект к пушкам, необходимо было сделать 10-13 прицельных заходов на цель. В реальных боевых условиях это практически невыполнимо.</w:t>
      </w:r>
    </w:p>
    <w:p w14:paraId="00D91A34" w14:textId="77777777" w:rsidR="007C5583" w:rsidRPr="008127F8" w:rsidRDefault="007C5583" w:rsidP="007C5583">
      <w:pPr>
        <w:pStyle w:val="45"/>
        <w:shd w:val="clear" w:color="auto" w:fill="auto"/>
        <w:spacing w:before="0" w:line="240" w:lineRule="auto"/>
        <w:jc w:val="both"/>
        <w:rPr>
          <w:rFonts w:ascii="Times New Roman" w:cs="Times New Roman"/>
          <w:color w:val="000000" w:themeColor="text1"/>
          <w:sz w:val="16"/>
          <w:szCs w:val="16"/>
        </w:rPr>
      </w:pPr>
      <w:r w:rsidRPr="008127F8">
        <w:rPr>
          <w:rFonts w:ascii="Times New Roman" w:cs="Times New Roman"/>
          <w:color w:val="000000" w:themeColor="text1"/>
          <w:sz w:val="16"/>
          <w:szCs w:val="16"/>
        </w:rPr>
        <w:t>В этой связи обращалось внимание на высокие бронепробивные свойства подкалиберных патронов со стальным и с вольфрамовым сердечником от 14,5-мм противотанкового ружья. Предлагалось создать под этот патрон авиационный автомат с начальной скоростью снаряда 1200-1300 м/сек и темпом стрельбы 700-800 выстр/сек. Вполне справедливо счи</w:t>
      </w:r>
      <w:r w:rsidRPr="008127F8">
        <w:rPr>
          <w:rFonts w:ascii="Times New Roman" w:cs="Times New Roman"/>
          <w:color w:val="000000" w:themeColor="text1"/>
          <w:sz w:val="16"/>
          <w:szCs w:val="16"/>
        </w:rPr>
        <w:softHyphen/>
        <w:t>талось, что пониженная сила отдачи пушки небольшого калибра - 14,5 мм, позволит получить и невысокое рассеивание при стрельбе в воздухе, в том числе и при установке такой пушки в крыле самолёта Ил-2, а значит, обеспечить высокую вероятность поражения бронетехники (15846).</w:t>
      </w:r>
    </w:p>
    <w:p w14:paraId="23CF0041" w14:textId="77777777" w:rsidR="007C5583" w:rsidRPr="008127F8" w:rsidRDefault="007C5583" w:rsidP="007C5583">
      <w:pPr>
        <w:pStyle w:val="45"/>
        <w:shd w:val="clear" w:color="auto" w:fill="auto"/>
        <w:spacing w:before="0" w:line="240" w:lineRule="auto"/>
        <w:jc w:val="both"/>
        <w:rPr>
          <w:rFonts w:ascii="Times New Roman" w:cs="Times New Roman"/>
          <w:color w:val="000000" w:themeColor="text1"/>
          <w:sz w:val="16"/>
          <w:szCs w:val="16"/>
        </w:rPr>
      </w:pPr>
    </w:p>
    <w:p w14:paraId="57497C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вместо ВВС фронтов и армий были сформированы воздушные армии. Как правило, на одном фронте действовала одна воздушная армия. Двухэскадрильные полки постепенно довели до трех эскадрилий. Обычный штат истребительного полка состоял из 40 самолетов, бомбардировочного - из 32. У истребителей, по немецкому образцу, звено стало включать две пары, эскадрилья - 12 машин. Эта структура сохранялась до конца Великой Отечественной войны.</w:t>
      </w:r>
    </w:p>
    <w:p w14:paraId="393669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Эскадрильей командовал старший лейтенант или капитан, полком - майор, реже подполковник. Дивизию возглавлял полковник, корпус - генерал-майор.</w:t>
      </w:r>
    </w:p>
    <w:p w14:paraId="776704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частей ВВС, на фронте находились также приданные подразделения ГВФ. Они именовались авиагруппами и авиаотрядами. С 1942 г. их переименовали в полки и дивизии (11989).</w:t>
      </w:r>
    </w:p>
    <w:p w14:paraId="4628A5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AE1F7" w14:textId="77777777" w:rsidR="004F113F" w:rsidRPr="008A2E5A" w:rsidRDefault="004F113F" w:rsidP="004F11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1942 г. немецкие фоторазвед</w:t>
      </w:r>
      <w:r w:rsidRPr="008A2E5A">
        <w:rPr>
          <w:rFonts w:ascii="Times New Roman" w:hAnsi="Times New Roman"/>
          <w:color w:val="0070C0"/>
          <w:sz w:val="16"/>
          <w:szCs w:val="16"/>
        </w:rPr>
        <w:softHyphen/>
        <w:t>чики засекли на одном из аэродромов в Карелии два самолета, которые иденти</w:t>
      </w:r>
      <w:r w:rsidRPr="008A2E5A">
        <w:rPr>
          <w:rFonts w:ascii="Times New Roman" w:hAnsi="Times New Roman"/>
          <w:color w:val="0070C0"/>
          <w:sz w:val="16"/>
          <w:szCs w:val="16"/>
        </w:rPr>
        <w:softHyphen/>
        <w:t>фицировали как «Кертис». Это действи</w:t>
      </w:r>
      <w:r w:rsidRPr="008A2E5A">
        <w:rPr>
          <w:rFonts w:ascii="Times New Roman" w:hAnsi="Times New Roman"/>
          <w:color w:val="0070C0"/>
          <w:sz w:val="16"/>
          <w:szCs w:val="16"/>
        </w:rPr>
        <w:softHyphen/>
        <w:t>тельно были американские машины 0-52 «Оул» («Сова») (23513),</w:t>
      </w:r>
    </w:p>
    <w:p w14:paraId="574BB804" w14:textId="77777777" w:rsidR="004F113F" w:rsidRPr="008A2E5A" w:rsidRDefault="004F113F" w:rsidP="004F113F">
      <w:pPr>
        <w:spacing w:after="0" w:line="240" w:lineRule="auto"/>
        <w:jc w:val="both"/>
        <w:rPr>
          <w:rFonts w:ascii="Times New Roman" w:hAnsi="Times New Roman"/>
          <w:color w:val="0070C0"/>
          <w:sz w:val="16"/>
          <w:szCs w:val="16"/>
        </w:rPr>
      </w:pPr>
    </w:p>
    <w:p w14:paraId="206E38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В мае 1942 г. летчики 288-го </w:t>
      </w:r>
      <w:r w:rsidRPr="008127F8">
        <w:rPr>
          <w:rFonts w:ascii="Times New Roman" w:hAnsi="Times New Roman"/>
          <w:iCs/>
          <w:color w:val="000000" w:themeColor="text1"/>
          <w:sz w:val="16"/>
          <w:szCs w:val="16"/>
        </w:rPr>
        <w:t>шап</w:t>
      </w:r>
      <w:r w:rsidRPr="008127F8">
        <w:rPr>
          <w:rFonts w:ascii="Times New Roman" w:hAnsi="Times New Roman"/>
          <w:color w:val="000000" w:themeColor="text1"/>
          <w:sz w:val="16"/>
          <w:szCs w:val="16"/>
        </w:rPr>
        <w:t xml:space="preserve"> 243-й </w:t>
      </w:r>
      <w:r w:rsidRPr="008127F8">
        <w:rPr>
          <w:rFonts w:ascii="Times New Roman" w:hAnsi="Times New Roman"/>
          <w:iCs/>
          <w:color w:val="000000" w:themeColor="text1"/>
          <w:sz w:val="16"/>
          <w:szCs w:val="16"/>
        </w:rPr>
        <w:t>шад</w:t>
      </w:r>
      <w:r w:rsidRPr="008127F8">
        <w:rPr>
          <w:rFonts w:ascii="Times New Roman" w:hAnsi="Times New Roman"/>
          <w:color w:val="000000" w:themeColor="text1"/>
          <w:sz w:val="16"/>
          <w:szCs w:val="16"/>
        </w:rPr>
        <w:t xml:space="preserve"> ВВС Северо-Западного фронта первыми восстановили уже предлагавшийся в декабре 41-го боевой порядок "круг самолетов". Восьмерка Ил-2 этого полка, построившись по одному с дистанцией между машинами 500-800 м, замкнула круг и посамолетно атаковала цель. При этом каждый экипаж имел достаточную свободу маневра для осу</w:t>
      </w:r>
      <w:r w:rsidRPr="008127F8">
        <w:rPr>
          <w:rFonts w:ascii="Times New Roman" w:hAnsi="Times New Roman"/>
          <w:color w:val="000000" w:themeColor="text1"/>
          <w:sz w:val="16"/>
          <w:szCs w:val="16"/>
        </w:rPr>
        <w:softHyphen/>
        <w:t>ществления как прицельного бомбоме</w:t>
      </w:r>
      <w:r w:rsidRPr="008127F8">
        <w:rPr>
          <w:rFonts w:ascii="Times New Roman" w:hAnsi="Times New Roman"/>
          <w:color w:val="000000" w:themeColor="text1"/>
          <w:sz w:val="16"/>
          <w:szCs w:val="16"/>
        </w:rPr>
        <w:softHyphen/>
        <w:t>тания и стрельбы из ракетного и стрелково-пушечного оружия по наземной цели, так и огневого воздействия на не</w:t>
      </w:r>
      <w:r w:rsidRPr="008127F8">
        <w:rPr>
          <w:rFonts w:ascii="Times New Roman" w:hAnsi="Times New Roman"/>
          <w:color w:val="000000" w:themeColor="text1"/>
          <w:sz w:val="16"/>
          <w:szCs w:val="16"/>
        </w:rPr>
        <w:softHyphen/>
        <w:t>мецкие истребители, атакующие штурмовик.</w:t>
      </w:r>
    </w:p>
    <w:p w14:paraId="3F742D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Боевой порядок "круг самолетов" стал основным тактическим приемом Ил-2 при нанесении бомбоштурмовых ударов по наземным целям.</w:t>
      </w:r>
    </w:p>
    <w:p w14:paraId="66FA0E8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Позже штурмовыми авиаполками стал применяться "свободный круг", в этом случае выдерживалось лишь общее направление "круга", дистанция между Ил-2 могла изменяться, а каждый "Ил" имел возможность делать довороты вле</w:t>
      </w:r>
      <w:r w:rsidRPr="008127F8">
        <w:rPr>
          <w:rFonts w:ascii="Times New Roman" w:hAnsi="Times New Roman"/>
          <w:color w:val="000000" w:themeColor="text1"/>
          <w:sz w:val="16"/>
          <w:szCs w:val="16"/>
        </w:rPr>
        <w:softHyphen/>
        <w:t>во и вправо на 30-40°. Во всем осталь</w:t>
      </w:r>
      <w:r w:rsidRPr="008127F8">
        <w:rPr>
          <w:rFonts w:ascii="Times New Roman" w:hAnsi="Times New Roman"/>
          <w:color w:val="000000" w:themeColor="text1"/>
          <w:sz w:val="16"/>
          <w:szCs w:val="16"/>
        </w:rPr>
        <w:softHyphen/>
        <w:t>ном каждому летчику предоставлялась •полная свобода действий. "Свободный круг" позволял осуществлять атаку на</w:t>
      </w:r>
      <w:r w:rsidRPr="008127F8">
        <w:rPr>
          <w:rFonts w:ascii="Times New Roman" w:hAnsi="Times New Roman"/>
          <w:color w:val="000000" w:themeColor="text1"/>
          <w:sz w:val="16"/>
          <w:szCs w:val="16"/>
        </w:rPr>
        <w:softHyphen/>
        <w:t>земной цели сразу двумя "Илами", что резко повышало эффективность удара, особенно в условиях сильного противо</w:t>
      </w:r>
      <w:r w:rsidRPr="008127F8">
        <w:rPr>
          <w:rFonts w:ascii="Times New Roman" w:hAnsi="Times New Roman"/>
          <w:color w:val="000000" w:themeColor="text1"/>
          <w:sz w:val="16"/>
          <w:szCs w:val="16"/>
        </w:rPr>
        <w:softHyphen/>
        <w:t>действия зенитной артиллерии. Однако успешное применение этого боевого порядка было под силу только летчикам, имеющим высокую квалификацию и от</w:t>
      </w:r>
      <w:r w:rsidRPr="008127F8">
        <w:rPr>
          <w:rFonts w:ascii="Times New Roman" w:hAnsi="Times New Roman"/>
          <w:color w:val="000000" w:themeColor="text1"/>
          <w:sz w:val="16"/>
          <w:szCs w:val="16"/>
        </w:rPr>
        <w:softHyphen/>
        <w:t>личную групповую слетанность.</w:t>
      </w:r>
    </w:p>
    <w:p w14:paraId="220C36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Отметим, что, несмотря на массу дос</w:t>
      </w:r>
      <w:r w:rsidRPr="008127F8">
        <w:rPr>
          <w:rFonts w:ascii="Times New Roman" w:hAnsi="Times New Roman"/>
          <w:color w:val="000000" w:themeColor="text1"/>
          <w:sz w:val="16"/>
          <w:szCs w:val="16"/>
        </w:rPr>
        <w:softHyphen/>
        <w:t>тоинств боевого порядка "круг", после</w:t>
      </w:r>
      <w:r w:rsidRPr="008127F8">
        <w:rPr>
          <w:rFonts w:ascii="Times New Roman" w:hAnsi="Times New Roman"/>
          <w:color w:val="000000" w:themeColor="text1"/>
          <w:sz w:val="16"/>
          <w:szCs w:val="16"/>
        </w:rPr>
        <w:softHyphen/>
        <w:t>дний все же не обеспечивал огневую поддержку экипажа, выходящего из ата</w:t>
      </w:r>
      <w:r w:rsidRPr="008127F8">
        <w:rPr>
          <w:rFonts w:ascii="Times New Roman" w:hAnsi="Times New Roman"/>
          <w:color w:val="000000" w:themeColor="text1"/>
          <w:sz w:val="16"/>
          <w:szCs w:val="16"/>
        </w:rPr>
        <w:softHyphen/>
        <w:t>ки, так как идущий следом штурмовик в это время был занят атакой цели и не мог эффективно противодействовать как зенитной артиллерии, так и немецким истребителям. Это позволяло противни</w:t>
      </w:r>
      <w:r w:rsidRPr="008127F8">
        <w:rPr>
          <w:rFonts w:ascii="Times New Roman" w:hAnsi="Times New Roman"/>
          <w:color w:val="000000" w:themeColor="text1"/>
          <w:sz w:val="16"/>
          <w:szCs w:val="16"/>
        </w:rPr>
        <w:softHyphen/>
        <w:t>ку концентрировать огонь зенитной ар</w:t>
      </w:r>
      <w:r w:rsidRPr="008127F8">
        <w:rPr>
          <w:rFonts w:ascii="Times New Roman" w:hAnsi="Times New Roman"/>
          <w:color w:val="000000" w:themeColor="text1"/>
          <w:sz w:val="16"/>
          <w:szCs w:val="16"/>
        </w:rPr>
        <w:softHyphen/>
        <w:t>тиллерии и усилия своих истребителей на самолете, выходящем из атаки.</w:t>
      </w:r>
    </w:p>
    <w:p w14:paraId="49823E8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этой связи в штурмовых авиачас</w:t>
      </w:r>
      <w:r w:rsidRPr="008127F8">
        <w:rPr>
          <w:rFonts w:ascii="Times New Roman" w:hAnsi="Times New Roman"/>
          <w:color w:val="000000" w:themeColor="text1"/>
          <w:sz w:val="16"/>
          <w:szCs w:val="16"/>
        </w:rPr>
        <w:softHyphen/>
        <w:t>тях сталинградского направления при небольшом количестве истребителей прикрытия или в отсутствии таковых с целью снижения боевых потерь от воз</w:t>
      </w:r>
      <w:r w:rsidRPr="008127F8">
        <w:rPr>
          <w:rFonts w:ascii="Times New Roman" w:hAnsi="Times New Roman"/>
          <w:color w:val="000000" w:themeColor="text1"/>
          <w:sz w:val="16"/>
          <w:szCs w:val="16"/>
        </w:rPr>
        <w:softHyphen/>
        <w:t>действия огня истребительной авиации противника в каждой группе из шести и более Ил-2 замыкающими стали назна</w:t>
      </w:r>
      <w:r w:rsidRPr="008127F8">
        <w:rPr>
          <w:rFonts w:ascii="Times New Roman" w:hAnsi="Times New Roman"/>
          <w:color w:val="000000" w:themeColor="text1"/>
          <w:sz w:val="16"/>
          <w:szCs w:val="16"/>
        </w:rPr>
        <w:softHyphen/>
        <w:t xml:space="preserve">чать два экипажа </w:t>
      </w:r>
      <w:r w:rsidRPr="008127F8">
        <w:rPr>
          <w:rFonts w:ascii="Times New Roman" w:hAnsi="Times New Roman"/>
          <w:iCs/>
          <w:color w:val="000000" w:themeColor="text1"/>
          <w:sz w:val="16"/>
          <w:szCs w:val="16"/>
        </w:rPr>
        <w:t>"из числа наиболее смелых и решительных летчиков с ис</w:t>
      </w:r>
      <w:r w:rsidRPr="008127F8">
        <w:rPr>
          <w:rFonts w:ascii="Times New Roman" w:hAnsi="Times New Roman"/>
          <w:iCs/>
          <w:color w:val="000000" w:themeColor="text1"/>
          <w:sz w:val="16"/>
          <w:szCs w:val="16"/>
        </w:rPr>
        <w:softHyphen/>
        <w:t>требительским духом, имеющих задачу охраны боевого порядка штурмовиков, а в удобных случаях и атаки бомбарди</w:t>
      </w:r>
      <w:r w:rsidRPr="008127F8">
        <w:rPr>
          <w:rFonts w:ascii="Times New Roman" w:hAnsi="Times New Roman"/>
          <w:iCs/>
          <w:color w:val="000000" w:themeColor="text1"/>
          <w:sz w:val="16"/>
          <w:szCs w:val="16"/>
        </w:rPr>
        <w:softHyphen/>
        <w:t>ровщиков противника".</w:t>
      </w:r>
      <w:r w:rsidRPr="008127F8">
        <w:rPr>
          <w:rFonts w:ascii="Times New Roman" w:hAnsi="Times New Roman"/>
          <w:color w:val="000000" w:themeColor="text1"/>
          <w:sz w:val="16"/>
          <w:szCs w:val="16"/>
        </w:rPr>
        <w:t xml:space="preserve"> Последним под</w:t>
      </w:r>
      <w:r w:rsidRPr="008127F8">
        <w:rPr>
          <w:rFonts w:ascii="Times New Roman" w:hAnsi="Times New Roman"/>
          <w:color w:val="000000" w:themeColor="text1"/>
          <w:sz w:val="16"/>
          <w:szCs w:val="16"/>
        </w:rPr>
        <w:softHyphen/>
        <w:t>вешивали PC-82 только с дистанцион</w:t>
      </w:r>
      <w:r w:rsidRPr="008127F8">
        <w:rPr>
          <w:rFonts w:ascii="Times New Roman" w:hAnsi="Times New Roman"/>
          <w:color w:val="000000" w:themeColor="text1"/>
          <w:sz w:val="16"/>
          <w:szCs w:val="16"/>
        </w:rPr>
        <w:softHyphen/>
        <w:t>ным взрывателем и снижали бомбовую нагрузку. Замыкающим пилотам запре</w:t>
      </w:r>
      <w:r w:rsidRPr="008127F8">
        <w:rPr>
          <w:rFonts w:ascii="Times New Roman" w:hAnsi="Times New Roman"/>
          <w:color w:val="000000" w:themeColor="text1"/>
          <w:sz w:val="16"/>
          <w:szCs w:val="16"/>
        </w:rPr>
        <w:softHyphen/>
        <w:t>щалось расходовать над целью весь бо</w:t>
      </w:r>
      <w:r w:rsidRPr="008127F8">
        <w:rPr>
          <w:rFonts w:ascii="Times New Roman" w:hAnsi="Times New Roman"/>
          <w:color w:val="000000" w:themeColor="text1"/>
          <w:sz w:val="16"/>
          <w:szCs w:val="16"/>
        </w:rPr>
        <w:softHyphen/>
        <w:t>екомплект к пушкам и пулеметам, а при</w:t>
      </w:r>
      <w:r w:rsidRPr="008127F8">
        <w:rPr>
          <w:rFonts w:ascii="Times New Roman" w:hAnsi="Times New Roman"/>
          <w:color w:val="000000" w:themeColor="text1"/>
          <w:sz w:val="16"/>
          <w:szCs w:val="16"/>
        </w:rPr>
        <w:softHyphen/>
        <w:t>казывалось беречь его для борьбы с истребителями противника.</w:t>
      </w:r>
    </w:p>
    <w:p w14:paraId="24A4B4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в боевой состав групп Ил-2 стали включать специальную группу, которая перед выходом на цель удар</w:t>
      </w:r>
      <w:r w:rsidRPr="008127F8">
        <w:rPr>
          <w:rFonts w:ascii="Times New Roman" w:hAnsi="Times New Roman"/>
          <w:color w:val="000000" w:themeColor="text1"/>
          <w:sz w:val="16"/>
          <w:szCs w:val="16"/>
        </w:rPr>
        <w:softHyphen/>
        <w:t>ной группы штурмовиков осуществляла подавление ПВО противника в районе цели.</w:t>
      </w:r>
    </w:p>
    <w:p w14:paraId="5D9B50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Боевой опыт штурмовых авиаполков 8-й ВА показал, что при действиях груп</w:t>
      </w:r>
      <w:r w:rsidRPr="008127F8">
        <w:rPr>
          <w:rFonts w:ascii="Times New Roman" w:hAnsi="Times New Roman"/>
          <w:color w:val="000000" w:themeColor="text1"/>
          <w:sz w:val="16"/>
          <w:szCs w:val="16"/>
        </w:rPr>
        <w:softHyphen/>
        <w:t>пы Ил-2 в составе 10 самолетов по це</w:t>
      </w:r>
      <w:r w:rsidRPr="008127F8">
        <w:rPr>
          <w:rFonts w:ascii="Times New Roman" w:hAnsi="Times New Roman"/>
          <w:color w:val="000000" w:themeColor="text1"/>
          <w:sz w:val="16"/>
          <w:szCs w:val="16"/>
        </w:rPr>
        <w:softHyphen/>
        <w:t>лям с сильной ПВО оптимальное коли</w:t>
      </w:r>
      <w:r w:rsidRPr="008127F8">
        <w:rPr>
          <w:rFonts w:ascii="Times New Roman" w:hAnsi="Times New Roman"/>
          <w:color w:val="000000" w:themeColor="text1"/>
          <w:sz w:val="16"/>
          <w:szCs w:val="16"/>
        </w:rPr>
        <w:softHyphen/>
        <w:t>чество штурмовиков, эффективно реша</w:t>
      </w:r>
      <w:r w:rsidRPr="008127F8">
        <w:rPr>
          <w:rFonts w:ascii="Times New Roman" w:hAnsi="Times New Roman"/>
          <w:color w:val="000000" w:themeColor="text1"/>
          <w:sz w:val="16"/>
          <w:szCs w:val="16"/>
        </w:rPr>
        <w:softHyphen/>
        <w:t>ющих задачу подавления зенитных средств противника, равнялось 4. Если по цели действовала группа в составе 6 Ил-2, то для подавления зенитных точек необходимо было выделять 2 штурмо</w:t>
      </w:r>
      <w:r w:rsidRPr="008127F8">
        <w:rPr>
          <w:rFonts w:ascii="Times New Roman" w:hAnsi="Times New Roman"/>
          <w:color w:val="000000" w:themeColor="text1"/>
          <w:sz w:val="16"/>
          <w:szCs w:val="16"/>
        </w:rPr>
        <w:softHyphen/>
        <w:t>вика. Если расположение зенитной ар</w:t>
      </w:r>
      <w:r w:rsidRPr="008127F8">
        <w:rPr>
          <w:rFonts w:ascii="Times New Roman" w:hAnsi="Times New Roman"/>
          <w:color w:val="000000" w:themeColor="text1"/>
          <w:sz w:val="16"/>
          <w:szCs w:val="16"/>
        </w:rPr>
        <w:softHyphen/>
        <w:t>тиллерии противника было заранее из</w:t>
      </w:r>
      <w:r w:rsidRPr="008127F8">
        <w:rPr>
          <w:rFonts w:ascii="Times New Roman" w:hAnsi="Times New Roman"/>
          <w:color w:val="000000" w:themeColor="text1"/>
          <w:sz w:val="16"/>
          <w:szCs w:val="16"/>
        </w:rPr>
        <w:softHyphen/>
        <w:t>вестно, то группа подавления следовала впереди ударной группы, если же неиз</w:t>
      </w:r>
      <w:r w:rsidRPr="008127F8">
        <w:rPr>
          <w:rFonts w:ascii="Times New Roman" w:hAnsi="Times New Roman"/>
          <w:color w:val="000000" w:themeColor="text1"/>
          <w:sz w:val="16"/>
          <w:szCs w:val="16"/>
        </w:rPr>
        <w:softHyphen/>
        <w:t>вестно, то сзади на расстоянии 400-500 м и с превышением на 100-150 м, при</w:t>
      </w:r>
      <w:r w:rsidRPr="008127F8">
        <w:rPr>
          <w:rFonts w:ascii="Times New Roman" w:hAnsi="Times New Roman"/>
          <w:color w:val="000000" w:themeColor="text1"/>
          <w:sz w:val="16"/>
          <w:szCs w:val="16"/>
        </w:rPr>
        <w:softHyphen/>
        <w:t>чем считалось, что боевой порядок груп</w:t>
      </w:r>
      <w:r w:rsidRPr="008127F8">
        <w:rPr>
          <w:rFonts w:ascii="Times New Roman" w:hAnsi="Times New Roman"/>
          <w:color w:val="000000" w:themeColor="text1"/>
          <w:sz w:val="16"/>
          <w:szCs w:val="16"/>
        </w:rPr>
        <w:softHyphen/>
        <w:t>пы подавления не должен быть связан с боевым порядком ударной группы.</w:t>
      </w:r>
    </w:p>
    <w:p w14:paraId="2A6199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подавления огня зенитных средств, расположенных непосредствен</w:t>
      </w:r>
      <w:r w:rsidRPr="008127F8">
        <w:rPr>
          <w:rFonts w:ascii="Times New Roman" w:hAnsi="Times New Roman"/>
          <w:color w:val="000000" w:themeColor="text1"/>
          <w:sz w:val="16"/>
          <w:szCs w:val="16"/>
        </w:rPr>
        <w:softHyphen/>
        <w:t>но у цели, рекомендовалось вести огонь всей группой (ударной и группой подав</w:t>
      </w:r>
      <w:r w:rsidRPr="008127F8">
        <w:rPr>
          <w:rFonts w:ascii="Times New Roman" w:hAnsi="Times New Roman"/>
          <w:color w:val="000000" w:themeColor="text1"/>
          <w:sz w:val="16"/>
          <w:szCs w:val="16"/>
        </w:rPr>
        <w:softHyphen/>
        <w:t>ления) из стрелково-пушечного оружия с дистанций 1200-1500 м. И хотя это расстояние превышало дальность дей</w:t>
      </w:r>
      <w:r w:rsidRPr="008127F8">
        <w:rPr>
          <w:rFonts w:ascii="Times New Roman" w:hAnsi="Times New Roman"/>
          <w:color w:val="000000" w:themeColor="text1"/>
          <w:sz w:val="16"/>
          <w:szCs w:val="16"/>
        </w:rPr>
        <w:softHyphen/>
        <w:t>ствительного огня (400-600 м) из стрел</w:t>
      </w:r>
      <w:r w:rsidRPr="008127F8">
        <w:rPr>
          <w:rFonts w:ascii="Times New Roman" w:hAnsi="Times New Roman"/>
          <w:color w:val="000000" w:themeColor="text1"/>
          <w:sz w:val="16"/>
          <w:szCs w:val="16"/>
        </w:rPr>
        <w:softHyphen/>
        <w:t>ково-пушечного вооружения самолета Ил-2, но как показал боевой опыт, такой прием, не давая высокой эффективнос</w:t>
      </w:r>
      <w:r w:rsidRPr="008127F8">
        <w:rPr>
          <w:rFonts w:ascii="Times New Roman" w:hAnsi="Times New Roman"/>
          <w:color w:val="000000" w:themeColor="text1"/>
          <w:sz w:val="16"/>
          <w:szCs w:val="16"/>
        </w:rPr>
        <w:softHyphen/>
        <w:t>ти подавления, серьезно мешал расче</w:t>
      </w:r>
      <w:r w:rsidRPr="008127F8">
        <w:rPr>
          <w:rFonts w:ascii="Times New Roman" w:hAnsi="Times New Roman"/>
          <w:color w:val="000000" w:themeColor="text1"/>
          <w:sz w:val="16"/>
          <w:szCs w:val="16"/>
        </w:rPr>
        <w:softHyphen/>
        <w:t>там зенитных средств противника вес</w:t>
      </w:r>
      <w:r w:rsidRPr="008127F8">
        <w:rPr>
          <w:rFonts w:ascii="Times New Roman" w:hAnsi="Times New Roman"/>
          <w:color w:val="000000" w:themeColor="text1"/>
          <w:sz w:val="16"/>
          <w:szCs w:val="16"/>
        </w:rPr>
        <w:softHyphen/>
        <w:t>ти прицельный огонь по штурмовикам. С выходом на дальность действитель</w:t>
      </w:r>
      <w:r w:rsidRPr="008127F8">
        <w:rPr>
          <w:rFonts w:ascii="Times New Roman" w:hAnsi="Times New Roman"/>
          <w:color w:val="000000" w:themeColor="text1"/>
          <w:sz w:val="16"/>
          <w:szCs w:val="16"/>
        </w:rPr>
        <w:softHyphen/>
        <w:t>ного огня ударная группа поражала ос</w:t>
      </w:r>
      <w:r w:rsidRPr="008127F8">
        <w:rPr>
          <w:rFonts w:ascii="Times New Roman" w:hAnsi="Times New Roman"/>
          <w:color w:val="000000" w:themeColor="text1"/>
          <w:sz w:val="16"/>
          <w:szCs w:val="16"/>
        </w:rPr>
        <w:softHyphen/>
        <w:t>новную цель, а группа подавления про</w:t>
      </w:r>
      <w:r w:rsidRPr="008127F8">
        <w:rPr>
          <w:rFonts w:ascii="Times New Roman" w:hAnsi="Times New Roman"/>
          <w:color w:val="000000" w:themeColor="text1"/>
          <w:sz w:val="16"/>
          <w:szCs w:val="16"/>
        </w:rPr>
        <w:softHyphen/>
        <w:t>должала "работать" по зенитным сред</w:t>
      </w:r>
      <w:r w:rsidRPr="008127F8">
        <w:rPr>
          <w:rFonts w:ascii="Times New Roman" w:hAnsi="Times New Roman"/>
          <w:color w:val="000000" w:themeColor="text1"/>
          <w:sz w:val="16"/>
          <w:szCs w:val="16"/>
        </w:rPr>
        <w:softHyphen/>
        <w:t>ствам противника (6467).</w:t>
      </w:r>
    </w:p>
    <w:p w14:paraId="7D3E91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58AF54"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rPr>
        <w:t>Первыми, кто применил этот боевой прием, были летчики 288-го шап 243-й шад ВВС Северо-Западного фронта. В мае 1942 г. восьмерка Ил-2 этого полка, построившись по одному с дистанцией между машинами 500-800 м, замкнула круг и посамолетно атаковала цель</w:t>
      </w:r>
      <w:r w:rsidRPr="008127F8">
        <w:rPr>
          <w:rFonts w:ascii="Times New Roman" w:eastAsia="Times New Roman" w:hAnsi="Times New Roman"/>
          <w:color w:val="000000" w:themeColor="text1"/>
          <w:sz w:val="16"/>
          <w:szCs w:val="16"/>
          <w:vertAlign w:val="superscript"/>
        </w:rPr>
        <w:t>1</w:t>
      </w:r>
      <w:r w:rsidRPr="008127F8">
        <w:rPr>
          <w:rFonts w:ascii="Times New Roman" w:eastAsia="Times New Roman" w:hAnsi="Times New Roman"/>
          <w:color w:val="000000" w:themeColor="text1"/>
          <w:sz w:val="16"/>
          <w:szCs w:val="16"/>
        </w:rPr>
        <w:t>. При этом каждый экипаж имел достаточную свободу маневра для осуществления как прицельного бомбометания и стрельбы из ракетного и стрелково-пушечного оружия по наземной цели, так и огневого воздействия на немецкие истребители, атакующие впередиидущий штурмовик. Боевой порядок «круг самолетов» стал основным тактическим приемом Ил-2 при нанесении бомбоштурмовых ударов по наземным целям.</w:t>
      </w:r>
    </w:p>
    <w:p w14:paraId="394B15A3"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rPr>
        <w:t>Необходимо отметить, что, несмотря на массу достоинств данного боевого порядка, последний все же не обеспечивал огневую поддержку экипажа, выходящего из атаки, так как идущий следом штурмовик в это время был занят атакой цели и не мог эффективно противодействовать как зенитной артиллерии, так и немецким истребителям. Это позволяло противнику концентрировать огонь зенитной артиллерии и усилия своих истребителей на самолете, выходящем из атаки.</w:t>
      </w:r>
    </w:p>
    <w:p w14:paraId="1089EC2E"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этой связи в штурмовых авиачастях сталинградского направления при небольшом количестве истребителей прикрытия или в отсутствии таковых с целью снижения боевых потерь от воздействия огня истребительной авиации противника в каждой группе замыкающими стали назначать два экипажа. Последним подвешивали РС-82 только с дистанцион</w:t>
      </w:r>
      <w:r w:rsidRPr="008127F8">
        <w:rPr>
          <w:rFonts w:ascii="Times New Roman" w:eastAsia="Times New Roman" w:hAnsi="Times New Roman"/>
          <w:color w:val="000000" w:themeColor="text1"/>
          <w:sz w:val="16"/>
          <w:szCs w:val="16"/>
        </w:rPr>
        <w:softHyphen/>
        <w:t>ным взрывателем и снижали бомбовую нагрузку. Замыкающим пилотам запрещалось</w:t>
      </w:r>
      <w:r w:rsidRPr="008127F8">
        <w:rPr>
          <w:rFonts w:ascii="Times New Roman" w:eastAsia="Times New Roman" w:hAnsi="Times New Roman"/>
          <w:color w:val="000000" w:themeColor="text1"/>
          <w:sz w:val="16"/>
          <w:szCs w:val="16"/>
          <w:vertAlign w:val="superscript"/>
        </w:rPr>
        <w:t>4</w:t>
      </w:r>
      <w:r w:rsidRPr="008127F8">
        <w:rPr>
          <w:rFonts w:ascii="Times New Roman" w:eastAsia="Times New Roman" w:hAnsi="Times New Roman"/>
          <w:color w:val="000000" w:themeColor="text1"/>
          <w:sz w:val="16"/>
          <w:szCs w:val="16"/>
        </w:rPr>
        <w:t xml:space="preserve"> расходовать над целью весь боекомплект к пушкам и пулеметам, а приказывалось беречь его для борьбы с истребителями противника.</w:t>
      </w:r>
    </w:p>
    <w:p w14:paraId="16364BA6"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rPr>
        <w:t>Кроме того, в боевой состав групп стали включать специальную группу, которая перед выходом на цель ударной группы штурмовиков осуществляла подавление ПВО противника в районе цели (20186).</w:t>
      </w:r>
    </w:p>
    <w:p w14:paraId="3C00D5DA"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0718EF08" w14:textId="77777777" w:rsidR="007C5583" w:rsidRPr="008127F8" w:rsidRDefault="007C5583" w:rsidP="007C5583">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В мае 1942 г. 218-й НЛБАП п-ка Н.Д. Попова бомбил немцев на подступах к Харькову. Летом того года на фронтах нахо</w:t>
      </w:r>
      <w:r w:rsidRPr="008127F8">
        <w:rPr>
          <w:rFonts w:ascii="Times New Roman" w:hAnsi="Times New Roman"/>
          <w:noProof/>
          <w:color w:val="000000" w:themeColor="text1"/>
          <w:sz w:val="16"/>
          <w:szCs w:val="16"/>
        </w:rPr>
        <w:softHyphen/>
        <w:t>дились в общей сложности 183 Р-5, в том числе 25 на Юго-Западном, 51 — на Брянском, 57 — на Южном. В частности, они действовали на Дону, а затем на подступах к Сталинграду. В Сталинградской битве участ</w:t>
      </w:r>
      <w:r w:rsidRPr="008127F8">
        <w:rPr>
          <w:rFonts w:ascii="Times New Roman" w:hAnsi="Times New Roman"/>
          <w:noProof/>
          <w:color w:val="000000" w:themeColor="text1"/>
          <w:sz w:val="16"/>
          <w:szCs w:val="16"/>
        </w:rPr>
        <w:softHyphen/>
        <w:t>вовали 623-й и 719-й НЛБАП. В январе 1943 г., во время наступления, Р-5 2-й воз</w:t>
      </w:r>
      <w:r w:rsidRPr="008127F8">
        <w:rPr>
          <w:rFonts w:ascii="Times New Roman" w:hAnsi="Times New Roman"/>
          <w:noProof/>
          <w:color w:val="000000" w:themeColor="text1"/>
          <w:sz w:val="16"/>
          <w:szCs w:val="16"/>
        </w:rPr>
        <w:softHyphen/>
        <w:t>душной армии доставляли горючее танкам Воронежского фронта</w:t>
      </w:r>
      <w:r w:rsidRPr="008127F8">
        <w:rPr>
          <w:rFonts w:ascii="Times New Roman" w:hAnsi="Times New Roman"/>
          <w:color w:val="000000" w:themeColor="text1"/>
          <w:sz w:val="16"/>
          <w:szCs w:val="16"/>
        </w:rPr>
        <w:t xml:space="preserve"> (11936)</w:t>
      </w:r>
      <w:r w:rsidRPr="008127F8">
        <w:rPr>
          <w:rFonts w:ascii="Times New Roman" w:hAnsi="Times New Roman"/>
          <w:noProof/>
          <w:color w:val="000000" w:themeColor="text1"/>
          <w:sz w:val="16"/>
          <w:szCs w:val="16"/>
        </w:rPr>
        <w:t>.</w:t>
      </w:r>
    </w:p>
    <w:p w14:paraId="6296A96C"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p>
    <w:p w14:paraId="48EE71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218-й нлбап полковника Н.Д. Попова (на Р-5) бомбил немцев на подступах к Харькову. Летом того года на фронте находились в общей сложности 183 Р-5 (в это число вошли и немногие ССС): 25 на Юго-Западном фронте, 51 - на Брянском, 57 - на Южном. Они действовали на Дону, а затем на подступах к Сталинграду. В Сталинградской битве участвовали 623-й и 719-й полки на Р-5. В ходе наступления там захватили большое количество немецких, румынских и итальянских авиабомб. Особенно оригинально выглядели 75-кг немецкие с сиренами. После небольших переделок эти боеприпасы вошли в ассортимент бомбовой нагрузки Р-5 (12034).</w:t>
      </w:r>
    </w:p>
    <w:p w14:paraId="7E915A1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3AAF5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два полка на "Бостонах" закончили переподготовку. Переучивание личного состава на американскую технику сразу поставили на широкую ногу. С фронта отводили полки, потерявшие в боях технику, из тыла прибывали части, оставившие за Уралом устаревшие СБ. формировались новые полки, в основном укомплектованные поспешно выпущенной из училищ молодежью. При переучивании экипажей на новые машины имелись некоторые трудности, так как на А-20 было одно пилотское место, а специальных учебно-тренировочных вариантов заводы не выпускали. Приходилось учить летчиков "вприглядку" - обучаемый ложился в отсеке за головой инструктора и наблюдал за его действиями, потом они менялись местами. Правда, все самолеты ранних модификации имели второе управление, но помещалось оно не у штурмана, а у стрелка, который почти ничего не видел вперед. Использовать его было практически невозможно и, в конце концов, американцы его упразднили. Впоследствии кое-где самостоятельно изготовляли машины со вторым управлением в кабине штурмана. Их называли УА-20 или УБ-3. Такой самолет имелся, например, в 1-м гвардейском минно-торпедном полку (3457,100).</w:t>
      </w:r>
    </w:p>
    <w:p w14:paraId="4B64E4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92C18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в составе фронтовой авиации числилось 72 И-15бис (из них 64 исправных). В июле были подведены итоги боевых действий ВВС КА за первый год войны (начиная с июля 1941 г.) Выяснилось, что в 6484 учтенных боевых вылетах было потеряно 60 "бисов", т.е. одна потеря приходилась на 108 самолетовылетов. Такие показатели оказались выше, чем у новых истребителей и штурмовиков Ил-2. Потери в результате аварий и катастроф составили всего 11 машин (12014).</w:t>
      </w:r>
    </w:p>
    <w:p w14:paraId="31174BC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C4101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в составе фронтовой ави</w:t>
      </w:r>
      <w:r w:rsidRPr="008127F8">
        <w:rPr>
          <w:rFonts w:ascii="Times New Roman" w:hAnsi="Times New Roman"/>
          <w:color w:val="000000" w:themeColor="text1"/>
          <w:sz w:val="16"/>
          <w:szCs w:val="16"/>
        </w:rPr>
        <w:softHyphen/>
        <w:t>ации ещё числились 72 И-15бис (из них 64 - исправных). Подобные же машины сохранялись в полках истребительной авиации ПВО в глубине страны. Когда немцы начали наступление на Сталин</w:t>
      </w:r>
      <w:r w:rsidRPr="008127F8">
        <w:rPr>
          <w:rFonts w:ascii="Times New Roman" w:hAnsi="Times New Roman"/>
          <w:color w:val="000000" w:themeColor="text1"/>
          <w:sz w:val="16"/>
          <w:szCs w:val="16"/>
        </w:rPr>
        <w:softHyphen/>
        <w:t>град, в частях 102-й иад, прикрывавшей город, ещё имелось небольшое количест</w:t>
      </w:r>
      <w:r w:rsidRPr="008127F8">
        <w:rPr>
          <w:rFonts w:ascii="Times New Roman" w:hAnsi="Times New Roman"/>
          <w:color w:val="000000" w:themeColor="text1"/>
          <w:sz w:val="16"/>
          <w:szCs w:val="16"/>
        </w:rPr>
        <w:softHyphen/>
        <w:t>во И-15бис (12294).</w:t>
      </w:r>
    </w:p>
    <w:p w14:paraId="2DAA8F5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34A951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на аэродроме Африканда 19 гиап получил 16 "Аэрокобр" и 10 "Киттихауков". Самолеты прибыли в разобранном виде, в ящиках. Инженерно-технический состав полка сам собирал незнакомые машины, а летчики но инструкциям (на английском языке) учились их пилотировать. Первой осваивала "Кобры" 1-я эскадрилья капитана Н.С.Кутахова, впоследствии - маршала авиации. Показывая личный пример, 26 апреля Кутахов выполнил три тренировочных полета. Переучивание личного состава прошло без единой аварии и завершилось к 15 мая. В этот день "Кобры" совершили первый боевой вылет с аэродрома Шонгуй, причем сразу же столкнулись с немецкими истребителями. Обе стороны потерь тогда не имели. Зато на следующий день в бою с восемью "мессершмиттами" получил повреждения самолет старшего лейтенанта И.Д.Гайдаенко. При вынужденной посадке машина была разбита и списана; летчик остался жив. Это первая "Аэрокобра", потерянная на советско-германском фронте. Впоследствии с аэродрома Мурмаши летчики 19-го полка летали на прикрытие Кировской железной дороги и Туломской ГЭС, помогали войскам Карельского фронта. Позднее "Аэрокобры" получил и входивший в ту же дивизию 20-й гвардейский полк. Советские авиаторы смело и решительно отражали удары, направленные на прифронтовой Мурманск. Например, 15 июня 1942 года шесть "Кобр" из 19-го полка западнее города перехватили шесть бомбардировщиков и 16 истребителей врага. Бой шел 45 минут. Действиями гвардейцев руководил капитан П. В. Бочков. Он же сбил первый "мессершмитт", а всего было уничтожено девять самолетов противника (3457,69).</w:t>
      </w:r>
    </w:p>
    <w:p w14:paraId="5F455C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EA603C"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lastRenderedPageBreak/>
        <w:t>В мае 1942 года, во время Харьковской операции Красной армией впервые применялись американские лёгкие танки. В дальнейшем М3л стали распространяться по другим участкам фронта, а по-настоящему массово их стали применять ближе к концу июля 1942 года, когда насыщенность этими машинами была высокой (17653).</w:t>
      </w:r>
    </w:p>
    <w:p w14:paraId="747A96AA"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1DF2F2C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торпеды начали применять на ЧФ, но не удачно (1085,167).</w:t>
      </w:r>
    </w:p>
    <w:p w14:paraId="0C592A0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AEA8B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на Черном море самолеты 5-го мтап сбросили 25 АМГ-1 у побережья Азовского моря. Но дальнейшее от</w:t>
      </w:r>
      <w:r w:rsidRPr="008127F8">
        <w:rPr>
          <w:rFonts w:ascii="Times New Roman" w:hAnsi="Times New Roman"/>
          <w:color w:val="000000" w:themeColor="text1"/>
          <w:sz w:val="16"/>
          <w:szCs w:val="16"/>
        </w:rPr>
        <w:softHyphen/>
        <w:t>ступление сорвало и эту операцию. Из-за перебазирования полка еще 25 мин установлены не были (10734,85).</w:t>
      </w:r>
    </w:p>
    <w:p w14:paraId="6E8C0BB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AB2A8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на ЧМ самолеты 5-го мтап сбросили 25 АМГ-1 у побережья Азовского моря. Но дальнейшее отступление сорвало и эту операцию. Из-за перебазирования полка еще 25 мин установлены не были. В июле, после оставления Севастополя, в одной из бухт сбросили шесть АМк. IV. Такие же мины затем использовались у о. Бирючий, в Керченском проливе и около Феодосии. За 1942 г. на Черном море сбросили 46 мин. Когда сошел лед, за боевую работу принялись и торпедоносцы. Но до конца года их деятельность протекала довольно вяло. 21 мая пара черноморских Ил-4 атаковала транспорт противника в районе Килийского гирла и повредила его. Чуть позже, в начале июня, начали действия и на Балтике. Два самолета (ведущим был Е.Н. Преображенский) безуспешно попытались поразить торпедами два сторожевика. Неудачу объяснили тем, что глубина хода торпед превышала осадку кораблей. Только в июле экипажи капитана Дронова и старшего лейтенанта Пяткова потопили первые два корабля противника (12021).</w:t>
      </w:r>
    </w:p>
    <w:p w14:paraId="7A8B41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49938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на СФ доста</w:t>
      </w:r>
      <w:r w:rsidRPr="008127F8">
        <w:rPr>
          <w:rFonts w:ascii="Times New Roman" w:hAnsi="Times New Roman"/>
          <w:color w:val="000000" w:themeColor="text1"/>
          <w:sz w:val="16"/>
          <w:szCs w:val="16"/>
        </w:rPr>
        <w:softHyphen/>
        <w:t>вили партию из 24 торпед 45-36АН (10734,85).</w:t>
      </w:r>
    </w:p>
    <w:p w14:paraId="60ADD66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06C2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когда войска противника развернули наступление в Крыму, Ставка ВГК в целях объединения усилий ВВС СК направления, ВВС Крымского фронта и АДД направила на Крымский фронт в качестве своего представителя г Н.С.Скрипко (518,270).</w:t>
      </w:r>
    </w:p>
    <w:p w14:paraId="0662573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B9AB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1942-го все 12 самолетов 4-я эскадрилья 1-й штурмовой авиационной эскадры, которая получила первые Hs 129B-1 (на Hs 129B-1 в носу оставили как и на Hs 129A-1 два пулемета MG 17, а две пушки MG FF заменили на MG 151 такого же калибра, но с лучшими характеристиками, и установили снизу узлы подвески для сменного вооружения) и базировалась на северо-западе Германии, направили на Восточный фронт. Эксплуатация штурмовиков на пыльных степных аэродромах стала серьезным испытанием для французских двигателей , и без того грешивших ненадежной работой. При полетах в Германии с бетонных ВПП карбюраторы моторов практически не забивались, а в полевых условиях слабые воздушные фильтры не справлялись с обильной пылью. Поэтому первый блин оказался комом, и почти пять месяцев эскадрилья бездействовала, дожидаясь установки новых фильтрующих элементов (3039,29).</w:t>
      </w:r>
    </w:p>
    <w:p w14:paraId="3F06A5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1954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появились воздушные армии, объединяющие ВВС фронтов и ВВС армий, а в общевойсковой армии появился смешанный авиаполк (2606,35).</w:t>
      </w:r>
    </w:p>
    <w:p w14:paraId="4FC07B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5E102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на Черном море организовали внештатную разведывательную эскадрилью, получившую два А-20В, пять Б-3 и три Пе-2 (3457,106).</w:t>
      </w:r>
    </w:p>
    <w:p w14:paraId="019D99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0B4A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C мая 1942 в морскую авиацию стали поступать А-20 Бостон (561,19).</w:t>
      </w:r>
    </w:p>
    <w:p w14:paraId="4A2AF02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4BFB2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на основе 434 иап и 150 бап была создана особая группа при командовании ВВС, которую возглавил полковник В.Сталин. Молодых летчиков заменили на опытные, а командиром 434 иап стал ГСС Иван Клещев (267).</w:t>
      </w:r>
    </w:p>
    <w:p w14:paraId="39EE9D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0BB0B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мая 1942 ГА подчинили ВВС (62,187).</w:t>
      </w:r>
    </w:p>
    <w:p w14:paraId="6586869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E708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мая 1942 ГКО принял решение об объединении авиации фронтов в воздушные армии (359,184).</w:t>
      </w:r>
    </w:p>
    <w:p w14:paraId="5E46C3A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CCAF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немецкие фоторазведчики засекли на одном из аэродромов в Карелии два самолета, которые идентифицировали как "Кертисс". Это действительно были американские Кертисс 0-52 "Оул" ("Сова") (3457,124).</w:t>
      </w:r>
    </w:p>
    <w:p w14:paraId="567DD5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6E97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794-й полк отправили на Южный фронт, под Ворошиловград, а в июне перебросили на Юго-западный фронт. Там шли ожесточенные бои (3457,100).</w:t>
      </w:r>
    </w:p>
    <w:p w14:paraId="11AFCC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33EF7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на ЧМ в дополнение к одной румынской ПЛ прибыла итальянская 11 флотилия из 6 малых ПЛ (45 т), а к концу года - еще 6 немецких. Всего за 1943 выполнили 30 походов на линию Батуми-Туапсе (1082,7).</w:t>
      </w:r>
    </w:p>
    <w:p w14:paraId="037622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0683E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вышла директива штаба ВВС по устранению недочетов в организации и осуществлении управления истребительной авиацией в ходе воздушного боя (340,85).</w:t>
      </w:r>
    </w:p>
    <w:p w14:paraId="22FE191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1482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когда войска противника развернули наступление в Крыму, Ставка ВГК в целях объединения усилий ВВС СК направления, ВВС Крымского фронта и АДД направила на Крымский фронт в качестве своего представителя г Н.С.Скрипко (518,270).</w:t>
      </w:r>
    </w:p>
    <w:p w14:paraId="72D40DB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1ECC8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наступление Юго-Западного фронта - удары наносились с так называемого Барвенковского выступа и из района Волочанск- (с целью освободить этот город) закончилось крупной неудачей.</w:t>
      </w:r>
    </w:p>
    <w:p w14:paraId="5498D63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операции было задействовано 925 танков, из которых 358 составляли тридцатьчетверки. К наступлению, помимо танковых бригад и батальонов, привлекалось три только что сформированных танковых корпуса- 21, 22 и 23-й.</w:t>
      </w:r>
    </w:p>
    <w:p w14:paraId="065EFC4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Сначала Красной Армии способствовал успех - части ударных группировок продвинулись на 30— 40 километров. Однако оправившись от неожиданности, немецкое командование нанесло контрудар под основание Барвенковского выступа, окружив к 19 мая основные силы находившихся там 6-й и 57-й армий и оперативной группы генерала Бобкина. К 29 мая советская окруженная группировка была разгромлена, потери составили 267 тыс. человек. Из кольца удалось вырваться 20 тыс., причем прорыв одной из групп возглавляли танки Т-34 из состава 5-й гвардейской танковой бригады (12217).</w:t>
      </w:r>
    </w:p>
    <w:p w14:paraId="0500489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6EEAA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начали создаваться танковые армии непостоянного состава, но имевшие обязательно два танковых корпуса. Всего тогда было сформировано четыре таких армии, причем 5-я танковая армия была сформирована дважды (3905).</w:t>
      </w:r>
    </w:p>
    <w:p w14:paraId="3D1630B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57F1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был сформирован второй полк, воевавший на УТ-16, - 46-й, тоже входивший в ВВС Черноморского флота. Его сформиро</w:t>
      </w:r>
      <w:r w:rsidRPr="008127F8">
        <w:rPr>
          <w:rFonts w:ascii="Times New Roman" w:hAnsi="Times New Roman"/>
          <w:color w:val="000000" w:themeColor="text1"/>
          <w:sz w:val="16"/>
          <w:szCs w:val="16"/>
        </w:rPr>
        <w:softHyphen/>
        <w:t>вали в Моздоке. Полком ко</w:t>
      </w:r>
      <w:r w:rsidRPr="008127F8">
        <w:rPr>
          <w:rFonts w:ascii="Times New Roman" w:hAnsi="Times New Roman"/>
          <w:color w:val="000000" w:themeColor="text1"/>
          <w:sz w:val="16"/>
          <w:szCs w:val="16"/>
        </w:rPr>
        <w:softHyphen/>
        <w:t>мандовал майор М.П. Михайлов. Всего эта часть получила 21 УТ-16, также пе</w:t>
      </w:r>
      <w:r w:rsidRPr="008127F8">
        <w:rPr>
          <w:rFonts w:ascii="Times New Roman" w:hAnsi="Times New Roman"/>
          <w:color w:val="000000" w:themeColor="text1"/>
          <w:sz w:val="16"/>
          <w:szCs w:val="16"/>
        </w:rPr>
        <w:softHyphen/>
        <w:t>ределанных мастерскими Ейского учи</w:t>
      </w:r>
      <w:r w:rsidRPr="008127F8">
        <w:rPr>
          <w:rFonts w:ascii="Times New Roman" w:hAnsi="Times New Roman"/>
          <w:color w:val="000000" w:themeColor="text1"/>
          <w:sz w:val="16"/>
          <w:szCs w:val="16"/>
        </w:rPr>
        <w:softHyphen/>
        <w:t>лища (3955).</w:t>
      </w:r>
    </w:p>
    <w:p w14:paraId="23D913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602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летчики 288-го шап 243-й шад ВВС Северо-Западного фронта впервые атаковали цель из "круга". То, что впервые - не совсем так. По всей видимости, боевой порядок "круг" впервые был применен где-то в ноябре-декабре 1941 г. Во всяком случае, особенности применения "круга" обсуждались уже в конце декабря 41-го на 1-й Военно-технической конференции в Куйбышеве. Но тогда у большей части летного состава "круг" и атаки со средних высот большого энтузиазма не вызвали. Слишком сильно верили летчики-штурмовики в бреющий полет как единственное средство спасения от истребителей люфтваффе - основного противника Ил-2 в тот период. Найти действительного автора "круга" пока не удалось.</w:t>
      </w:r>
    </w:p>
    <w:p w14:paraId="1C695B6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Боевой порядок "круг" самолетов стал основным тактическим приемом Ил-2 при нанесении бомбоштурмовых ударов по наземным целям.</w:t>
      </w:r>
    </w:p>
    <w:p w14:paraId="10E3C3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использовании боевого порядка "круг самолетов" атака цели производилась с пикирования под углами 25-30 со средних высот группами не менее 6-8 Ил-2 с дистанцией между машинами 500-800 м. При использовании этого боевого порядка существенно облегчался поиск малоразмерных и подвижных целей на поле боя, улучшались условия прицеливания, повышались точность стрельбы и бомбометания. При этом каждый экипаж имел достаточную свободу маневра для осуществления как прицельного бомбометания и стрельбы из ракетного и стрелково-пушечного оружия по наземной цели, так и огневого воздействия на немецкие истребители, атакующие впередиидущий штурмовик.</w:t>
      </w:r>
    </w:p>
    <w:p w14:paraId="0CC26F0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Позже штурмовыми авиаполками стал применяться "свободный круг", в этом случае выдерживалось лишь общее направление "круга", дистанция между Ил-2 могла изменяться, а каждый "Ил" имел возможность делать довороты влево и вправо на 30-40°. Во всем остальном каждому летчику предоставлялась полная свобода действий. "Свободный круг" позволял осуществлять атаку наземной цели сразу двумя "Илами", что резко повышало эффективность удара, особенно в условиях сильного противодействия зенитной артиллерии. Однако успешное применение этого боевого порядка было под силу только летчикам, имеющим высокую </w:t>
      </w:r>
      <w:r w:rsidRPr="008127F8">
        <w:rPr>
          <w:rFonts w:ascii="Times New Roman" w:hAnsi="Times New Roman"/>
          <w:color w:val="000000" w:themeColor="text1"/>
          <w:sz w:val="16"/>
          <w:szCs w:val="16"/>
        </w:rPr>
        <w:lastRenderedPageBreak/>
        <w:t>квалификацию и отличную групповую слетанность.</w:t>
      </w:r>
    </w:p>
    <w:p w14:paraId="1A2970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Отметим, что. несмотря на массу достоинств боевого порядка "круг", последний все же не обеспечивал огневую поддержку экипажа, выходящего из атаки. так как идущий следом штурмовик в это время был занят атакой цели и не мог эффективно противодействовать как зенитной артиллерии, так и немецким истребителям. Это позволяло противнику концентрировать огонь зенитной артиллерии и усилия своих истребителей на самолете, выходящем из атаки.</w:t>
      </w:r>
    </w:p>
    <w:p w14:paraId="42C5116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этой связи в штурмовых авиачастях в боевой состав групп Ил-2 стали включать специальную группу, которая перед выходом на цель ударной группы штурмовиков осуществляла подавление ПВО противника в районе цели.</w:t>
      </w:r>
    </w:p>
    <w:p w14:paraId="1D38C24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Боевой опыт штурмовых авиаполков 8-й ВА показал, что для эффективного подавления зенитных точек необходимо было выделять не менее двух-четырех экипажей из состава группы в 6-10 Ил-2, При этом если расположение зенитной артиллерии противника было заранее известно, то группа подавления следовала впереди ударной группы, если же неизвестно, то сзади на расстоянии 400-500 м и с превышением на 100-150 м группы подавления не должен быть связан с боевым порядком ударной группы.</w:t>
      </w:r>
    </w:p>
    <w:p w14:paraId="25820A4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случае особо сильной ПВО рекомендовалось подавлять зенитные расчеты огнем всей группы и только после этого атаковать цель.</w:t>
      </w:r>
    </w:p>
    <w:p w14:paraId="08D193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Оценки показывают, что в случае, когда штурмовики выделяли звено "Илов" из состава группы для огневого подавления позиции МЗА противника, вероятность поражения в одном заходе расчетом зенитной установки атакующих цель Ил-2 снижалась примерно в 1,7-2 раза.</w:t>
      </w:r>
    </w:p>
    <w:p w14:paraId="6B0D93D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Помимо отработки оптимальных способов атак наземных целей, в штурмовых авиачастях действующей армии и в запасных авиаполках широким фронтом развернулась работа по внедрению в сознание летного состава штурмовых авиачастей веры в боевые возможности Ил-2 и уверенности в своих силах при встрече с немецкими истребителями. На основании анализа боевого опыта, возможностей Ил-2 и немецких истребителей, а также показательных воздушных боев, были разработаны рекомендации по ведению воздушного боя на самолете Ил-2 с истребителями люфтваффе (8687).</w:t>
      </w:r>
    </w:p>
    <w:p w14:paraId="02EDA4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C322E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введение по специальному решению ГКО ЛИЧНЫХ радиостанций командующим фронтами и армиями, командирам корпусов и дивизий — за счет штатных радиосредств (11072).</w:t>
      </w:r>
    </w:p>
    <w:p w14:paraId="661F21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573E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был пролет «Юнкерса» под Окским мостом, соединяющим нагорную и заречную части Горького. Это случилось средь бела дня на глазах у сотен жителей, в т.ч. пассажиров трамваев, ехавших по мосту. Самолет появился с северо-востока со стороны Бора, снизился над рекой и прошел под центральным пролетом моста, после чего с набором высоты ушел за высокий берег Оки. При отсутствии каких-либо официальных сообщений местной власти по городу распространялись самые разнообразные и пугающие воображение слухи. Все горьковчане реагировали на эти события по-разному. Одни не обращали внимания, стараясь делать вид, что немецкие авиашоу лишь часть повседневной жизни, другие боялись пересекать Окский мост, всячески отговаривая от этого своих родственников и знакомых, третьи перемещались по улицам с опаской, стараясь избегать открытых мест и держаться поближе к стенам зданий (11774).</w:t>
      </w:r>
    </w:p>
    <w:p w14:paraId="550555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BDF2A9" w14:textId="77777777" w:rsidR="007C5583" w:rsidRPr="008127F8" w:rsidRDefault="007C5583" w:rsidP="007C5583">
      <w:pPr>
        <w:spacing w:after="0" w:line="240" w:lineRule="auto"/>
        <w:jc w:val="both"/>
        <w:rPr>
          <w:rFonts w:ascii="Times New Roman" w:hAnsi="Times New Roman"/>
          <w:color w:val="000000" w:themeColor="text1"/>
          <w:sz w:val="16"/>
          <w:szCs w:val="16"/>
        </w:rPr>
      </w:pPr>
      <w:bookmarkStart w:id="9" w:name="_Hlk77677722"/>
      <w:bookmarkStart w:id="10" w:name="_Hlk79043505"/>
      <w:r w:rsidRPr="008127F8">
        <w:rPr>
          <w:rFonts w:ascii="Times New Roman" w:hAnsi="Times New Roman"/>
          <w:color w:val="000000" w:themeColor="text1"/>
          <w:sz w:val="16"/>
          <w:szCs w:val="16"/>
          <w:shd w:val="clear" w:color="auto" w:fill="FFFFFF"/>
        </w:rPr>
        <w:t>В мае 1942 года был введен штат №010/366 отдельного огнеметного танкового батальона. Согласно ему, в батальон входило 10 КВ-8, также туда шло 9 Т-О34 и 2 обычных Т-34. Уже дальше три батальона (506-й, 508-й и 509-й) ушли на формирование 235-й огнеметной танковой бригады. Случилось это в сентябре 1942 года. К тому моменту уже состоялся боевой дебют КВ-8 (22806).</w:t>
      </w:r>
    </w:p>
    <w:p w14:paraId="3A131284" w14:textId="77777777" w:rsidR="007C5583" w:rsidRPr="008127F8" w:rsidRDefault="007C5583" w:rsidP="007C5583">
      <w:pPr>
        <w:spacing w:after="0" w:line="240" w:lineRule="auto"/>
        <w:jc w:val="both"/>
        <w:rPr>
          <w:rFonts w:ascii="Times New Roman" w:hAnsi="Times New Roman"/>
          <w:color w:val="000000" w:themeColor="text1"/>
          <w:sz w:val="16"/>
          <w:szCs w:val="16"/>
        </w:rPr>
      </w:pPr>
    </w:p>
    <w:bookmarkEnd w:id="9"/>
    <w:bookmarkEnd w:id="10"/>
    <w:p w14:paraId="08BA129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сформировали 1-й ОВДААН шестиотрядного состава, поступивший в опера</w:t>
      </w:r>
      <w:r w:rsidRPr="008127F8">
        <w:rPr>
          <w:rFonts w:ascii="Times New Roman" w:hAnsi="Times New Roman"/>
          <w:color w:val="000000" w:themeColor="text1"/>
          <w:sz w:val="16"/>
          <w:szCs w:val="16"/>
        </w:rPr>
        <w:softHyphen/>
        <w:t>тивное подчинение командующего артиллерией Ленинградского фронта генерала Г.Ф. Одинцова. Командиром дивизиона назначили подполков</w:t>
      </w:r>
      <w:r w:rsidRPr="008127F8">
        <w:rPr>
          <w:rFonts w:ascii="Times New Roman" w:hAnsi="Times New Roman"/>
          <w:color w:val="000000" w:themeColor="text1"/>
          <w:sz w:val="16"/>
          <w:szCs w:val="16"/>
        </w:rPr>
        <w:softHyphen/>
        <w:t>ника Виктора Васильевича Вавилонова, окончив</w:t>
      </w:r>
      <w:r w:rsidRPr="008127F8">
        <w:rPr>
          <w:rFonts w:ascii="Times New Roman" w:hAnsi="Times New Roman"/>
          <w:color w:val="000000" w:themeColor="text1"/>
          <w:sz w:val="16"/>
          <w:szCs w:val="16"/>
        </w:rPr>
        <w:softHyphen/>
        <w:t>шего в 1920-е годы ВВВШ.</w:t>
      </w:r>
    </w:p>
    <w:p w14:paraId="656907D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1942 г. воздухоплавательные отряды дивизи</w:t>
      </w:r>
      <w:r w:rsidRPr="008127F8">
        <w:rPr>
          <w:rFonts w:ascii="Times New Roman" w:hAnsi="Times New Roman"/>
          <w:color w:val="000000" w:themeColor="text1"/>
          <w:sz w:val="16"/>
          <w:szCs w:val="16"/>
        </w:rPr>
        <w:softHyphen/>
        <w:t>она распределялись следующим образом: три от</w:t>
      </w:r>
      <w:r w:rsidRPr="008127F8">
        <w:rPr>
          <w:rFonts w:ascii="Times New Roman" w:hAnsi="Times New Roman"/>
          <w:color w:val="000000" w:themeColor="text1"/>
          <w:sz w:val="16"/>
          <w:szCs w:val="16"/>
        </w:rPr>
        <w:softHyphen/>
        <w:t>ряда закреплялись за 42-й и 55-й армиями, один отряд придавался Невской оперативной группе, один — 23-й армии и один воздухоплавательный отряд вошёл в состав флота. Командирами отря</w:t>
      </w:r>
      <w:r w:rsidRPr="008127F8">
        <w:rPr>
          <w:rFonts w:ascii="Times New Roman" w:hAnsi="Times New Roman"/>
          <w:color w:val="000000" w:themeColor="text1"/>
          <w:sz w:val="16"/>
          <w:szCs w:val="16"/>
        </w:rPr>
        <w:softHyphen/>
        <w:t>дов назначили самых опытных воздухоплавате</w:t>
      </w:r>
      <w:r w:rsidRPr="008127F8">
        <w:rPr>
          <w:rFonts w:ascii="Times New Roman" w:hAnsi="Times New Roman"/>
          <w:color w:val="000000" w:themeColor="text1"/>
          <w:sz w:val="16"/>
          <w:szCs w:val="16"/>
        </w:rPr>
        <w:softHyphen/>
        <w:t>лей Ленинградского фронта — С.Д. Джилкише- ва, В.Г. Судакова, П. Степушкина, П.Г. Осадчего, А.Е. Шальопа и Г.Г. Галата.</w:t>
      </w:r>
    </w:p>
    <w:p w14:paraId="095FD30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Боевое крещение 1-го ОВДААН состоялось в ходе Синявинской наступательной операции (19 августа — 1 октября 1942 г.) войск Ленинград</w:t>
      </w:r>
      <w:r w:rsidRPr="008127F8">
        <w:rPr>
          <w:rFonts w:ascii="Times New Roman" w:hAnsi="Times New Roman"/>
          <w:color w:val="000000" w:themeColor="text1"/>
          <w:sz w:val="16"/>
          <w:szCs w:val="16"/>
        </w:rPr>
        <w:softHyphen/>
        <w:t>ского и Волховского фронтов, проводившейся с целью прорыва блокады Ленинграда. Три от</w:t>
      </w:r>
      <w:r w:rsidRPr="008127F8">
        <w:rPr>
          <w:rFonts w:ascii="Times New Roman" w:hAnsi="Times New Roman"/>
          <w:color w:val="000000" w:themeColor="text1"/>
          <w:sz w:val="16"/>
          <w:szCs w:val="16"/>
        </w:rPr>
        <w:softHyphen/>
        <w:t>ряда дивизиона действовали в интересах артил</w:t>
      </w:r>
      <w:r w:rsidRPr="008127F8">
        <w:rPr>
          <w:rFonts w:ascii="Times New Roman" w:hAnsi="Times New Roman"/>
          <w:color w:val="000000" w:themeColor="text1"/>
          <w:sz w:val="16"/>
          <w:szCs w:val="16"/>
        </w:rPr>
        <w:softHyphen/>
        <w:t>лерии Невской оперативной группы, ведя уси</w:t>
      </w:r>
      <w:r w:rsidRPr="008127F8">
        <w:rPr>
          <w:rFonts w:ascii="Times New Roman" w:hAnsi="Times New Roman"/>
          <w:color w:val="000000" w:themeColor="text1"/>
          <w:sz w:val="16"/>
          <w:szCs w:val="16"/>
        </w:rPr>
        <w:softHyphen/>
        <w:t>ленную разведку от Усть-Тосно до 8-й ГЭС. По приказу штаба артиллерии Невской оператив</w:t>
      </w:r>
      <w:r w:rsidRPr="008127F8">
        <w:rPr>
          <w:rFonts w:ascii="Times New Roman" w:hAnsi="Times New Roman"/>
          <w:color w:val="000000" w:themeColor="text1"/>
          <w:sz w:val="16"/>
          <w:szCs w:val="16"/>
        </w:rPr>
        <w:softHyphen/>
        <w:t>ной группы отряд С.Д. Джилкишева разместил</w:t>
      </w:r>
      <w:r w:rsidRPr="008127F8">
        <w:rPr>
          <w:rFonts w:ascii="Times New Roman" w:hAnsi="Times New Roman"/>
          <w:color w:val="000000" w:themeColor="text1"/>
          <w:sz w:val="16"/>
          <w:szCs w:val="16"/>
        </w:rPr>
        <w:softHyphen/>
        <w:t>ся в 3 км восточнее Большого Манушкино для работы в секторе 8-я ГЭС, Мга. Отряд П.Г. Осад- чего — у поселка Самарки для работы в секторе Мга, Отрадное. Отряд Г.Г. Галата первоначально занимал боевые порядки у посёлка Сифолово, а затем был переброшен к посёлку Ганнибаловка для разведки стрелявших по Дороге жизни ба</w:t>
      </w:r>
      <w:r w:rsidRPr="008127F8">
        <w:rPr>
          <w:rFonts w:ascii="Times New Roman" w:hAnsi="Times New Roman"/>
          <w:color w:val="000000" w:themeColor="text1"/>
          <w:sz w:val="16"/>
          <w:szCs w:val="16"/>
        </w:rPr>
        <w:softHyphen/>
        <w:t>тарей противника, а также для работы в секторе Шлиссельбург, 8-я ГЭС.</w:t>
      </w:r>
    </w:p>
    <w:p w14:paraId="3C2E6A7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сентября советские войска форсировали Неву и закрепились на плацдарме в районе Мо</w:t>
      </w:r>
      <w:r w:rsidRPr="008127F8">
        <w:rPr>
          <w:rFonts w:ascii="Times New Roman" w:hAnsi="Times New Roman"/>
          <w:color w:val="000000" w:themeColor="text1"/>
          <w:sz w:val="16"/>
          <w:szCs w:val="16"/>
        </w:rPr>
        <w:softHyphen/>
        <w:t>сковской Дубровки, но наступление 2-й удар</w:t>
      </w:r>
      <w:r w:rsidRPr="008127F8">
        <w:rPr>
          <w:rFonts w:ascii="Times New Roman" w:hAnsi="Times New Roman"/>
          <w:color w:val="000000" w:themeColor="text1"/>
          <w:sz w:val="16"/>
          <w:szCs w:val="16"/>
        </w:rPr>
        <w:softHyphen/>
        <w:t>ной армии Волховского фронта закончилось тяжёлым поражением. За время операции воз</w:t>
      </w:r>
      <w:r w:rsidRPr="008127F8">
        <w:rPr>
          <w:rFonts w:ascii="Times New Roman" w:hAnsi="Times New Roman"/>
          <w:color w:val="000000" w:themeColor="text1"/>
          <w:sz w:val="16"/>
          <w:szCs w:val="16"/>
        </w:rPr>
        <w:softHyphen/>
        <w:t>духоплаватели 148 раз поднимались в воздух, из них 57 раз корректировали огонь по врагу. Было разведано более 40 миномётных и артиллерий</w:t>
      </w:r>
      <w:r w:rsidRPr="008127F8">
        <w:rPr>
          <w:rFonts w:ascii="Times New Roman" w:hAnsi="Times New Roman"/>
          <w:color w:val="000000" w:themeColor="text1"/>
          <w:sz w:val="16"/>
          <w:szCs w:val="16"/>
        </w:rPr>
        <w:softHyphen/>
        <w:t>ских батарей, несколько автоколонн, уничтожено по корректировке с аэростатов 24 миномётных и одна артиллерийская батареи.</w:t>
      </w:r>
    </w:p>
    <w:p w14:paraId="5BB6107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целом в 1942 г. интенсивность боевых дей</w:t>
      </w:r>
      <w:r w:rsidRPr="008127F8">
        <w:rPr>
          <w:rFonts w:ascii="Times New Roman" w:hAnsi="Times New Roman"/>
          <w:color w:val="000000" w:themeColor="text1"/>
          <w:sz w:val="16"/>
          <w:szCs w:val="16"/>
        </w:rPr>
        <w:softHyphen/>
        <w:t>ствий на Ленинградском фронте заметно возросла, что отразилось на числе боевых подъёмов аэроста</w:t>
      </w:r>
      <w:r w:rsidRPr="008127F8">
        <w:rPr>
          <w:rFonts w:ascii="Times New Roman" w:hAnsi="Times New Roman"/>
          <w:color w:val="000000" w:themeColor="text1"/>
          <w:sz w:val="16"/>
          <w:szCs w:val="16"/>
        </w:rPr>
        <w:softHyphen/>
        <w:t>тов наблюдения. Если в 1941 г. аэростаты для веде</w:t>
      </w:r>
      <w:r w:rsidRPr="008127F8">
        <w:rPr>
          <w:rFonts w:ascii="Times New Roman" w:hAnsi="Times New Roman"/>
          <w:color w:val="000000" w:themeColor="text1"/>
          <w:sz w:val="16"/>
          <w:szCs w:val="16"/>
        </w:rPr>
        <w:softHyphen/>
        <w:t>ния разведки поднимали в среднем 40 раз в месяц, то в октябре 1942 г. произвели уже 258 подъёмов. После завершения Синявинской операции воздухо</w:t>
      </w:r>
      <w:r w:rsidRPr="008127F8">
        <w:rPr>
          <w:rFonts w:ascii="Times New Roman" w:hAnsi="Times New Roman"/>
          <w:color w:val="000000" w:themeColor="text1"/>
          <w:sz w:val="16"/>
          <w:szCs w:val="16"/>
        </w:rPr>
        <w:softHyphen/>
        <w:t>плавательные отряды остались на прежних позици</w:t>
      </w:r>
      <w:r w:rsidRPr="008127F8">
        <w:rPr>
          <w:rFonts w:ascii="Times New Roman" w:hAnsi="Times New Roman"/>
          <w:color w:val="000000" w:themeColor="text1"/>
          <w:sz w:val="16"/>
          <w:szCs w:val="16"/>
        </w:rPr>
        <w:softHyphen/>
        <w:t>ях. Одной из основных их задач стало обеспечение артиллерии дальнего действия разведданными для ведения контрбатарейной борьбы с артиллерией противника. Для этого на фронт протяженностью всего 25 км выделили пять ААН. Отряд Г.Г. Галата, находившийся у поселка Ганнибаловка, вёл раз</w:t>
      </w:r>
      <w:r w:rsidRPr="008127F8">
        <w:rPr>
          <w:rFonts w:ascii="Times New Roman" w:hAnsi="Times New Roman"/>
          <w:color w:val="000000" w:themeColor="text1"/>
          <w:sz w:val="16"/>
          <w:szCs w:val="16"/>
        </w:rPr>
        <w:softHyphen/>
        <w:t>ведку дальнобойных батарей противника, препят</w:t>
      </w:r>
      <w:r w:rsidRPr="008127F8">
        <w:rPr>
          <w:rFonts w:ascii="Times New Roman" w:hAnsi="Times New Roman"/>
          <w:color w:val="000000" w:themeColor="text1"/>
          <w:sz w:val="16"/>
          <w:szCs w:val="16"/>
        </w:rPr>
        <w:softHyphen/>
        <w:t>ствовавших навигации по Ладожскому озеру. Он имел в своём распоряжении два подъёмных поля, на одном из которых воздухоплаватели работали днем, а на другом — ночью. Воздухоплаватели ди</w:t>
      </w:r>
      <w:r w:rsidRPr="008127F8">
        <w:rPr>
          <w:rFonts w:ascii="Times New Roman" w:hAnsi="Times New Roman"/>
          <w:color w:val="000000" w:themeColor="text1"/>
          <w:sz w:val="16"/>
          <w:szCs w:val="16"/>
        </w:rPr>
        <w:softHyphen/>
        <w:t>визиона продолжали совершенствовать тактику применения аэростатов. Они разработали такти</w:t>
      </w:r>
      <w:r w:rsidRPr="008127F8">
        <w:rPr>
          <w:rFonts w:ascii="Times New Roman" w:hAnsi="Times New Roman"/>
          <w:color w:val="000000" w:themeColor="text1"/>
          <w:sz w:val="16"/>
          <w:szCs w:val="16"/>
        </w:rPr>
        <w:softHyphen/>
        <w:t>ческий приём, получивший название «укол»: аэро</w:t>
      </w:r>
      <w:r w:rsidRPr="008127F8">
        <w:rPr>
          <w:rFonts w:ascii="Times New Roman" w:hAnsi="Times New Roman"/>
          <w:color w:val="000000" w:themeColor="text1"/>
          <w:sz w:val="16"/>
          <w:szCs w:val="16"/>
        </w:rPr>
        <w:softHyphen/>
        <w:t>стат поднимался на 10-12 минут, в ходе которых производились разведка и пристрелка, после чего его с большой скоростью выбирали. Расчёт прятал</w:t>
      </w:r>
      <w:r w:rsidRPr="008127F8">
        <w:rPr>
          <w:rFonts w:ascii="Times New Roman" w:hAnsi="Times New Roman"/>
          <w:color w:val="000000" w:themeColor="text1"/>
          <w:sz w:val="16"/>
          <w:szCs w:val="16"/>
        </w:rPr>
        <w:softHyphen/>
        <w:t>ся в укрытие, корзина аэростата загружалась бал</w:t>
      </w:r>
      <w:r w:rsidRPr="008127F8">
        <w:rPr>
          <w:rFonts w:ascii="Times New Roman" w:hAnsi="Times New Roman"/>
          <w:color w:val="000000" w:themeColor="text1"/>
          <w:sz w:val="16"/>
          <w:szCs w:val="16"/>
        </w:rPr>
        <w:softHyphen/>
        <w:t>ластом, а сам аэростат по возможности маскировал</w:t>
      </w:r>
      <w:r w:rsidRPr="008127F8">
        <w:rPr>
          <w:rFonts w:ascii="Times New Roman" w:hAnsi="Times New Roman"/>
          <w:color w:val="000000" w:themeColor="text1"/>
          <w:sz w:val="16"/>
          <w:szCs w:val="16"/>
        </w:rPr>
        <w:softHyphen/>
        <w:t>ся в складках местности. После прекращения налёта самолётов противника или обстрела артиллерии аэростат вновь поднимали в воздух. Использова</w:t>
      </w:r>
      <w:r w:rsidRPr="008127F8">
        <w:rPr>
          <w:rFonts w:ascii="Times New Roman" w:hAnsi="Times New Roman"/>
          <w:color w:val="000000" w:themeColor="text1"/>
          <w:sz w:val="16"/>
          <w:szCs w:val="16"/>
        </w:rPr>
        <w:softHyphen/>
        <w:t>лись и аэростаты-ловушки. В воздух поднимались непригодные для боевой работы и списанные обо</w:t>
      </w:r>
      <w:r w:rsidRPr="008127F8">
        <w:rPr>
          <w:rFonts w:ascii="Times New Roman" w:hAnsi="Times New Roman"/>
          <w:color w:val="000000" w:themeColor="text1"/>
          <w:sz w:val="16"/>
          <w:szCs w:val="16"/>
        </w:rPr>
        <w:softHyphen/>
        <w:t>лочки, к которым подвешивали корзины с чучела</w:t>
      </w:r>
      <w:r w:rsidRPr="008127F8">
        <w:rPr>
          <w:rFonts w:ascii="Times New Roman" w:hAnsi="Times New Roman"/>
          <w:color w:val="000000" w:themeColor="text1"/>
          <w:sz w:val="16"/>
          <w:szCs w:val="16"/>
        </w:rPr>
        <w:softHyphen/>
        <w:t>ми, изображавшими воздухоплавателей, а артилле</w:t>
      </w:r>
      <w:r w:rsidRPr="008127F8">
        <w:rPr>
          <w:rFonts w:ascii="Times New Roman" w:hAnsi="Times New Roman"/>
          <w:color w:val="000000" w:themeColor="text1"/>
          <w:sz w:val="16"/>
          <w:szCs w:val="16"/>
        </w:rPr>
        <w:softHyphen/>
        <w:t>ристы делали по врагу два-три выстрела, имитируя пристрелку. В ответ следовали налёты вражеских самолётов и массированные обстрелы батарей, впу</w:t>
      </w:r>
      <w:r w:rsidRPr="008127F8">
        <w:rPr>
          <w:rFonts w:ascii="Times New Roman" w:hAnsi="Times New Roman"/>
          <w:color w:val="000000" w:themeColor="text1"/>
          <w:sz w:val="16"/>
          <w:szCs w:val="16"/>
        </w:rPr>
        <w:softHyphen/>
        <w:t>стую расходовавших снаряды. Мотористы манев</w:t>
      </w:r>
      <w:r w:rsidRPr="008127F8">
        <w:rPr>
          <w:rFonts w:ascii="Times New Roman" w:hAnsi="Times New Roman"/>
          <w:color w:val="000000" w:themeColor="text1"/>
          <w:sz w:val="16"/>
          <w:szCs w:val="16"/>
        </w:rPr>
        <w:softHyphen/>
        <w:t>рировали высотой и позицией ложных аэростатов, находясь в бронированной лебёдке, разработанной и изготовленной в мастерских дивизиона капита</w:t>
      </w:r>
      <w:r w:rsidRPr="008127F8">
        <w:rPr>
          <w:rFonts w:ascii="Times New Roman" w:hAnsi="Times New Roman"/>
          <w:color w:val="000000" w:themeColor="text1"/>
          <w:sz w:val="16"/>
          <w:szCs w:val="16"/>
        </w:rPr>
        <w:softHyphen/>
        <w:t>ном 1-го ОВДААН И.П. Торбой, а также техниками старшими лейтенантами Н.П. Чайко и С.В. Разумо- вым. За время боёв под Ленинградом немцы выпу</w:t>
      </w:r>
      <w:r w:rsidRPr="008127F8">
        <w:rPr>
          <w:rFonts w:ascii="Times New Roman" w:hAnsi="Times New Roman"/>
          <w:color w:val="000000" w:themeColor="text1"/>
          <w:sz w:val="16"/>
          <w:szCs w:val="16"/>
        </w:rPr>
        <w:softHyphen/>
        <w:t>стили по аэростатам-ловушкам 7780 снарядов кали</w:t>
      </w:r>
      <w:r w:rsidRPr="008127F8">
        <w:rPr>
          <w:rFonts w:ascii="Times New Roman" w:hAnsi="Times New Roman"/>
          <w:color w:val="000000" w:themeColor="text1"/>
          <w:sz w:val="16"/>
          <w:szCs w:val="16"/>
        </w:rPr>
        <w:softHyphen/>
        <w:t>бром свыше 150 мм, зенитчики сбили три самолёта, атаковавшие ложные аэростаты.</w:t>
      </w:r>
    </w:p>
    <w:p w14:paraId="72A1C35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второй половине осени 1942 г. В.В. Ва</w:t>
      </w:r>
      <w:r w:rsidRPr="008127F8">
        <w:rPr>
          <w:rFonts w:ascii="Times New Roman" w:hAnsi="Times New Roman"/>
          <w:color w:val="000000" w:themeColor="text1"/>
          <w:sz w:val="16"/>
          <w:szCs w:val="16"/>
        </w:rPr>
        <w:softHyphen/>
        <w:t>вилонов, назначенный командиром полка АЗ, отбыл для усиления ПВО Ленинграда, и коман</w:t>
      </w:r>
      <w:r w:rsidRPr="008127F8">
        <w:rPr>
          <w:rFonts w:ascii="Times New Roman" w:hAnsi="Times New Roman"/>
          <w:color w:val="000000" w:themeColor="text1"/>
          <w:sz w:val="16"/>
          <w:szCs w:val="16"/>
        </w:rPr>
        <w:softHyphen/>
        <w:t>диром 1-го ОВДААН назначили подполковника И.И. Зыкова. 1-й ОВДААН сыграл выдающуюся роль в операции «Искра» при прорыве блокады Ленинграда 12-30 января 1943 г. В первый день операции туман не позволял вести наблюдения с аэростатов, но уже на следующий день наблю</w:t>
      </w:r>
      <w:r w:rsidRPr="008127F8">
        <w:rPr>
          <w:rFonts w:ascii="Times New Roman" w:hAnsi="Times New Roman"/>
          <w:color w:val="000000" w:themeColor="text1"/>
          <w:sz w:val="16"/>
          <w:szCs w:val="16"/>
        </w:rPr>
        <w:softHyphen/>
        <w:t>датели работали с полным напряжением сил. Впервые за годы войны аэростатные посты раз</w:t>
      </w:r>
      <w:r w:rsidRPr="008127F8">
        <w:rPr>
          <w:rFonts w:ascii="Times New Roman" w:hAnsi="Times New Roman"/>
          <w:color w:val="000000" w:themeColor="text1"/>
          <w:sz w:val="16"/>
          <w:szCs w:val="16"/>
        </w:rPr>
        <w:softHyphen/>
        <w:t>вернули в боевых порядках наступающих войск, и они практически круглосуточно вели наблю</w:t>
      </w:r>
      <w:r w:rsidRPr="008127F8">
        <w:rPr>
          <w:rFonts w:ascii="Times New Roman" w:hAnsi="Times New Roman"/>
          <w:color w:val="000000" w:themeColor="text1"/>
          <w:sz w:val="16"/>
          <w:szCs w:val="16"/>
        </w:rPr>
        <w:softHyphen/>
        <w:t>дение за противником. С 12 по 14 января пять аэростатов 1-го ОВДААН на участке 67-й армии выполнили 82 подъёма общей продолжительно</w:t>
      </w:r>
      <w:r w:rsidRPr="008127F8">
        <w:rPr>
          <w:rFonts w:ascii="Times New Roman" w:hAnsi="Times New Roman"/>
          <w:color w:val="000000" w:themeColor="text1"/>
          <w:sz w:val="16"/>
          <w:szCs w:val="16"/>
        </w:rPr>
        <w:softHyphen/>
        <w:t>стью 182 часа. Имело место более ста корректи</w:t>
      </w:r>
      <w:r w:rsidRPr="008127F8">
        <w:rPr>
          <w:rFonts w:ascii="Times New Roman" w:hAnsi="Times New Roman"/>
          <w:color w:val="000000" w:themeColor="text1"/>
          <w:sz w:val="16"/>
          <w:szCs w:val="16"/>
        </w:rPr>
        <w:softHyphen/>
        <w:t>ровок, в 72 случаях артиллерию противника по</w:t>
      </w:r>
      <w:r w:rsidRPr="008127F8">
        <w:rPr>
          <w:rFonts w:ascii="Times New Roman" w:hAnsi="Times New Roman"/>
          <w:color w:val="000000" w:themeColor="text1"/>
          <w:sz w:val="16"/>
          <w:szCs w:val="16"/>
        </w:rPr>
        <w:softHyphen/>
        <w:t>давили, а десять батарей уничтожили18.</w:t>
      </w:r>
    </w:p>
    <w:p w14:paraId="42D10B2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Когда 16 января 1943 г. противник сильным огнём остановил наступление нашей пехоты, то для разведки вражеской батареи в воздух поднял</w:t>
      </w:r>
      <w:r w:rsidRPr="008127F8">
        <w:rPr>
          <w:rFonts w:ascii="Times New Roman" w:hAnsi="Times New Roman"/>
          <w:color w:val="000000" w:themeColor="text1"/>
          <w:sz w:val="16"/>
          <w:szCs w:val="16"/>
        </w:rPr>
        <w:softHyphen/>
        <w:t>ся опытный воздухоплаватель А.К. Ферцев из от</w:t>
      </w:r>
      <w:r w:rsidRPr="008127F8">
        <w:rPr>
          <w:rFonts w:ascii="Times New Roman" w:hAnsi="Times New Roman"/>
          <w:color w:val="000000" w:themeColor="text1"/>
          <w:sz w:val="16"/>
          <w:szCs w:val="16"/>
        </w:rPr>
        <w:softHyphen/>
        <w:t>ряда В.Г. Судакова. Несмотря на шквалистый ве</w:t>
      </w:r>
      <w:r w:rsidRPr="008127F8">
        <w:rPr>
          <w:rFonts w:ascii="Times New Roman" w:hAnsi="Times New Roman"/>
          <w:color w:val="000000" w:themeColor="text1"/>
          <w:sz w:val="16"/>
          <w:szCs w:val="16"/>
        </w:rPr>
        <w:softHyphen/>
        <w:t>тер и мороз, он провёл разведку вражеской бата</w:t>
      </w:r>
      <w:r w:rsidRPr="008127F8">
        <w:rPr>
          <w:rFonts w:ascii="Times New Roman" w:hAnsi="Times New Roman"/>
          <w:color w:val="000000" w:themeColor="text1"/>
          <w:sz w:val="16"/>
          <w:szCs w:val="16"/>
        </w:rPr>
        <w:softHyphen/>
        <w:t>реи, которую разбила наша артиллерия, и пехота снова поднялась в атаку. В бой вступили новые батареи врага. Погода ухудшилась, скорость ве</w:t>
      </w:r>
      <w:r w:rsidRPr="008127F8">
        <w:rPr>
          <w:rFonts w:ascii="Times New Roman" w:hAnsi="Times New Roman"/>
          <w:color w:val="000000" w:themeColor="text1"/>
          <w:sz w:val="16"/>
          <w:szCs w:val="16"/>
        </w:rPr>
        <w:softHyphen/>
        <w:t>тра превысила 20 м/с. Подъём аэростата в такой ветер запрещался инструкцией, но для спасения жизней солдат воздухоплаватель капитан Кар- чин поднялся в воздух. С его помощью накры</w:t>
      </w:r>
      <w:r w:rsidRPr="008127F8">
        <w:rPr>
          <w:rFonts w:ascii="Times New Roman" w:hAnsi="Times New Roman"/>
          <w:color w:val="000000" w:themeColor="text1"/>
          <w:sz w:val="16"/>
          <w:szCs w:val="16"/>
        </w:rPr>
        <w:softHyphen/>
        <w:t>ли вражескую батарею, однако осколок снаряда перебил трос, и аэростат понесло в направлении Ладожского озера. Карчин, стремясь спасти аэро</w:t>
      </w:r>
      <w:r w:rsidRPr="008127F8">
        <w:rPr>
          <w:rFonts w:ascii="Times New Roman" w:hAnsi="Times New Roman"/>
          <w:color w:val="000000" w:themeColor="text1"/>
          <w:sz w:val="16"/>
          <w:szCs w:val="16"/>
        </w:rPr>
        <w:softHyphen/>
        <w:t>стат, через клапан стравил газ и приземлился на лёд Ладоги. Ветер потащил аэростат по льду, корзина ударилась о торос, и Карчина выбросило на лёд. Всю ночь он, временами теряя сознание, шёл по льду наугад, и только утром его нашли моряки Ладожской военной флотилии. Воздухо</w:t>
      </w:r>
      <w:r w:rsidRPr="008127F8">
        <w:rPr>
          <w:rFonts w:ascii="Times New Roman" w:hAnsi="Times New Roman"/>
          <w:color w:val="000000" w:themeColor="text1"/>
          <w:sz w:val="16"/>
          <w:szCs w:val="16"/>
        </w:rPr>
        <w:softHyphen/>
        <w:t>плавателя наградили орденом Боевого Красного Знамени.</w:t>
      </w:r>
    </w:p>
    <w:p w14:paraId="68A673F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за январь 1943 г. дивизион выпол</w:t>
      </w:r>
      <w:r w:rsidRPr="008127F8">
        <w:rPr>
          <w:rFonts w:ascii="Times New Roman" w:hAnsi="Times New Roman"/>
          <w:color w:val="000000" w:themeColor="text1"/>
          <w:sz w:val="16"/>
          <w:szCs w:val="16"/>
        </w:rPr>
        <w:softHyphen/>
        <w:t>нил 411 подъёмов, обнаружил 97 батарей врага, провел 230 корректировок огня на подавление. Артиллеристы с помощью воздухоплавателей уничтожили 11 целей, бронепоезд и эшелон с боеприпасами.</w:t>
      </w:r>
    </w:p>
    <w:p w14:paraId="54BBDAE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Воздухоплаватели добились этих результа</w:t>
      </w:r>
      <w:r w:rsidRPr="008127F8">
        <w:rPr>
          <w:rFonts w:ascii="Times New Roman" w:hAnsi="Times New Roman"/>
          <w:color w:val="000000" w:themeColor="text1"/>
          <w:sz w:val="16"/>
          <w:szCs w:val="16"/>
        </w:rPr>
        <w:softHyphen/>
        <w:t>тов несмотря на активное противодействие вра</w:t>
      </w:r>
      <w:r w:rsidRPr="008127F8">
        <w:rPr>
          <w:rFonts w:ascii="Times New Roman" w:hAnsi="Times New Roman"/>
          <w:color w:val="000000" w:themeColor="text1"/>
          <w:sz w:val="16"/>
          <w:szCs w:val="16"/>
        </w:rPr>
        <w:softHyphen/>
        <w:t>га. 14 января немцы подожгли два аэростата, на следующий день — ещё три, но наблюдатели спаслись. 25 января самолёт врага у Московской Дубровки поджёг три аэростата. Лейтенанта А.А. Кузенка летчик расстрелял в гондоле аэро</w:t>
      </w:r>
      <w:r w:rsidRPr="008127F8">
        <w:rPr>
          <w:rFonts w:ascii="Times New Roman" w:hAnsi="Times New Roman"/>
          <w:color w:val="000000" w:themeColor="text1"/>
          <w:sz w:val="16"/>
          <w:szCs w:val="16"/>
        </w:rPr>
        <w:softHyphen/>
        <w:t>стата, лейтенант С.И. Перлович погиб, спасая аэростат. Благополучно приземлился только Е.А. Кириков.</w:t>
      </w:r>
    </w:p>
    <w:p w14:paraId="45C948F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марте 1943 г. противник подверг интенсив</w:t>
      </w:r>
      <w:r w:rsidRPr="008127F8">
        <w:rPr>
          <w:rFonts w:ascii="Times New Roman" w:hAnsi="Times New Roman"/>
          <w:color w:val="000000" w:themeColor="text1"/>
          <w:sz w:val="16"/>
          <w:szCs w:val="16"/>
        </w:rPr>
        <w:softHyphen/>
        <w:t>ному обстрелу ГРЭС-5, обеспечивавшую элек</w:t>
      </w:r>
      <w:r w:rsidRPr="008127F8">
        <w:rPr>
          <w:rFonts w:ascii="Times New Roman" w:hAnsi="Times New Roman"/>
          <w:color w:val="000000" w:themeColor="text1"/>
          <w:sz w:val="16"/>
          <w:szCs w:val="16"/>
        </w:rPr>
        <w:softHyphen/>
        <w:t>троэнергией крупнейшие оборонные заводы Ленинграда. 6 марта, когда противник начал оче</w:t>
      </w:r>
      <w:r w:rsidRPr="008127F8">
        <w:rPr>
          <w:rFonts w:ascii="Times New Roman" w:hAnsi="Times New Roman"/>
          <w:color w:val="000000" w:themeColor="text1"/>
          <w:sz w:val="16"/>
          <w:szCs w:val="16"/>
        </w:rPr>
        <w:softHyphen/>
        <w:t>редной обстрел, в воздух поднялись советские аэростат и самолёт-корректировщик. Сильный зенитный огонь заставил самолёт вернуться на аэродром, тогда как наблюдатель аэростата младший лейтенант Ф.Е. Иняев остался в воз</w:t>
      </w:r>
      <w:r w:rsidRPr="008127F8">
        <w:rPr>
          <w:rFonts w:ascii="Times New Roman" w:hAnsi="Times New Roman"/>
          <w:color w:val="000000" w:themeColor="text1"/>
          <w:sz w:val="16"/>
          <w:szCs w:val="16"/>
        </w:rPr>
        <w:softHyphen/>
        <w:t>духе и обнаружил батарею врага, которую по</w:t>
      </w:r>
      <w:r w:rsidRPr="008127F8">
        <w:rPr>
          <w:rFonts w:ascii="Times New Roman" w:hAnsi="Times New Roman"/>
          <w:color w:val="000000" w:themeColor="text1"/>
          <w:sz w:val="16"/>
          <w:szCs w:val="16"/>
        </w:rPr>
        <w:softHyphen/>
        <w:t>давили. За мужество при выполнении боевого задания командующий артиллерией фронта Г.Ф. Одинцов вручил Ф.Е. Иняеву орден Оте</w:t>
      </w:r>
      <w:r w:rsidRPr="008127F8">
        <w:rPr>
          <w:rFonts w:ascii="Times New Roman" w:hAnsi="Times New Roman"/>
          <w:color w:val="000000" w:themeColor="text1"/>
          <w:sz w:val="16"/>
          <w:szCs w:val="16"/>
        </w:rPr>
        <w:softHyphen/>
        <w:t>чественной войны. 12 марта по приказу коман</w:t>
      </w:r>
      <w:r w:rsidRPr="008127F8">
        <w:rPr>
          <w:rFonts w:ascii="Times New Roman" w:hAnsi="Times New Roman"/>
          <w:color w:val="000000" w:themeColor="text1"/>
          <w:sz w:val="16"/>
          <w:szCs w:val="16"/>
        </w:rPr>
        <w:softHyphen/>
        <w:t>дующего артиллерией 42-й армии полковника Н.С. Михалкина Иняев ночью поднялся в воз</w:t>
      </w:r>
      <w:r w:rsidRPr="008127F8">
        <w:rPr>
          <w:rFonts w:ascii="Times New Roman" w:hAnsi="Times New Roman"/>
          <w:color w:val="000000" w:themeColor="text1"/>
          <w:sz w:val="16"/>
          <w:szCs w:val="16"/>
        </w:rPr>
        <w:softHyphen/>
        <w:t>дух для наблюдения цели у Вороньей горы. Во время ночного налёта вражеской авиации на Ле</w:t>
      </w:r>
      <w:r w:rsidRPr="008127F8">
        <w:rPr>
          <w:rFonts w:ascii="Times New Roman" w:hAnsi="Times New Roman"/>
          <w:color w:val="000000" w:themeColor="text1"/>
          <w:sz w:val="16"/>
          <w:szCs w:val="16"/>
        </w:rPr>
        <w:softHyphen/>
        <w:t>нинград оболочку его аэростата пробил осколок нашего зенитного снаряда. Аэростат стал совер</w:t>
      </w:r>
      <w:r w:rsidRPr="008127F8">
        <w:rPr>
          <w:rFonts w:ascii="Times New Roman" w:hAnsi="Times New Roman"/>
          <w:color w:val="000000" w:themeColor="text1"/>
          <w:sz w:val="16"/>
          <w:szCs w:val="16"/>
        </w:rPr>
        <w:softHyphen/>
        <w:t xml:space="preserve">шать резкие рывки в вертикальной плоскости, появилась </w:t>
      </w:r>
      <w:r w:rsidRPr="008127F8">
        <w:rPr>
          <w:rFonts w:ascii="Times New Roman" w:hAnsi="Times New Roman"/>
          <w:color w:val="000000" w:themeColor="text1"/>
          <w:sz w:val="16"/>
          <w:szCs w:val="16"/>
        </w:rPr>
        <w:lastRenderedPageBreak/>
        <w:t>опасность обрыва троса. Направле</w:t>
      </w:r>
      <w:r w:rsidRPr="008127F8">
        <w:rPr>
          <w:rFonts w:ascii="Times New Roman" w:hAnsi="Times New Roman"/>
          <w:color w:val="000000" w:themeColor="text1"/>
          <w:sz w:val="16"/>
          <w:szCs w:val="16"/>
        </w:rPr>
        <w:softHyphen/>
        <w:t>ние ветра предвещало плен, и лейтенант выбро</w:t>
      </w:r>
      <w:r w:rsidRPr="008127F8">
        <w:rPr>
          <w:rFonts w:ascii="Times New Roman" w:hAnsi="Times New Roman"/>
          <w:color w:val="000000" w:themeColor="text1"/>
          <w:sz w:val="16"/>
          <w:szCs w:val="16"/>
        </w:rPr>
        <w:softHyphen/>
        <w:t>сился с парашютом. Воздухоплавателя нашли через полтора часа в очень тяжёлом состоянии. Купол парашюта на малой высоте не успел вы</w:t>
      </w:r>
      <w:r w:rsidRPr="008127F8">
        <w:rPr>
          <w:rFonts w:ascii="Times New Roman" w:hAnsi="Times New Roman"/>
          <w:color w:val="000000" w:themeColor="text1"/>
          <w:sz w:val="16"/>
          <w:szCs w:val="16"/>
        </w:rPr>
        <w:softHyphen/>
        <w:t>полниться, и Ф.Е. Иняев получил тяжёлые трав</w:t>
      </w:r>
      <w:r w:rsidRPr="008127F8">
        <w:rPr>
          <w:rFonts w:ascii="Times New Roman" w:hAnsi="Times New Roman"/>
          <w:color w:val="000000" w:themeColor="text1"/>
          <w:sz w:val="16"/>
          <w:szCs w:val="16"/>
        </w:rPr>
        <w:softHyphen/>
        <w:t>мы: у него были перебиты кости ступней обеих ног и повреждён позвоночник. Несмотря на по</w:t>
      </w:r>
      <w:r w:rsidRPr="008127F8">
        <w:rPr>
          <w:rFonts w:ascii="Times New Roman" w:hAnsi="Times New Roman"/>
          <w:color w:val="000000" w:themeColor="text1"/>
          <w:sz w:val="16"/>
          <w:szCs w:val="16"/>
        </w:rPr>
        <w:softHyphen/>
        <w:t>лученные тяжёлые ранения, Иняев после госпи</w:t>
      </w:r>
      <w:r w:rsidRPr="008127F8">
        <w:rPr>
          <w:rFonts w:ascii="Times New Roman" w:hAnsi="Times New Roman"/>
          <w:color w:val="000000" w:themeColor="text1"/>
          <w:sz w:val="16"/>
          <w:szCs w:val="16"/>
        </w:rPr>
        <w:softHyphen/>
        <w:t>таля вернулся в свой дивизион. В июне 1944 г. на Карельском перешейке его аэростат был сбит, а он выпрыгнул с парашютом. Вражеские летчи</w:t>
      </w:r>
      <w:r w:rsidRPr="008127F8">
        <w:rPr>
          <w:rFonts w:ascii="Times New Roman" w:hAnsi="Times New Roman"/>
          <w:color w:val="000000" w:themeColor="text1"/>
          <w:sz w:val="16"/>
          <w:szCs w:val="16"/>
        </w:rPr>
        <w:softHyphen/>
        <w:t>ки попытались расстрелять Ф.Е. Иняева в возду</w:t>
      </w:r>
      <w:r w:rsidRPr="008127F8">
        <w:rPr>
          <w:rFonts w:ascii="Times New Roman" w:hAnsi="Times New Roman"/>
          <w:color w:val="000000" w:themeColor="text1"/>
          <w:sz w:val="16"/>
          <w:szCs w:val="16"/>
        </w:rPr>
        <w:softHyphen/>
        <w:t>хе, но зенитным огнем были отогнаны с потерей одного самолёта.</w:t>
      </w:r>
    </w:p>
    <w:p w14:paraId="5600703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Два отряда 1-го ОВДААН охраняли желез</w:t>
      </w:r>
      <w:r w:rsidRPr="008127F8">
        <w:rPr>
          <w:rFonts w:ascii="Times New Roman" w:hAnsi="Times New Roman"/>
          <w:color w:val="000000" w:themeColor="text1"/>
          <w:sz w:val="16"/>
          <w:szCs w:val="16"/>
        </w:rPr>
        <w:softHyphen/>
        <w:t>ную дорогу, проложенную после прорыва бло</w:t>
      </w:r>
      <w:r w:rsidRPr="008127F8">
        <w:rPr>
          <w:rFonts w:ascii="Times New Roman" w:hAnsi="Times New Roman"/>
          <w:color w:val="000000" w:themeColor="text1"/>
          <w:sz w:val="16"/>
          <w:szCs w:val="16"/>
        </w:rPr>
        <w:softHyphen/>
        <w:t>кады к Ленинграду от ст. Поляны. В летние дни 1943 г. здесь совершил подвиг наблюдатель лей</w:t>
      </w:r>
      <w:r w:rsidRPr="008127F8">
        <w:rPr>
          <w:rFonts w:ascii="Times New Roman" w:hAnsi="Times New Roman"/>
          <w:color w:val="000000" w:themeColor="text1"/>
          <w:sz w:val="16"/>
          <w:szCs w:val="16"/>
        </w:rPr>
        <w:softHyphen/>
        <w:t>тенант М.И. Горин. Он корректировал огонь по позициям врага с аэростата, поднятого непода</w:t>
      </w:r>
      <w:r w:rsidRPr="008127F8">
        <w:rPr>
          <w:rFonts w:ascii="Times New Roman" w:hAnsi="Times New Roman"/>
          <w:color w:val="000000" w:themeColor="text1"/>
          <w:sz w:val="16"/>
          <w:szCs w:val="16"/>
        </w:rPr>
        <w:softHyphen/>
        <w:t>лёку от Синявинских высот. Осколок снаряда пе</w:t>
      </w:r>
      <w:r w:rsidRPr="008127F8">
        <w:rPr>
          <w:rFonts w:ascii="Times New Roman" w:hAnsi="Times New Roman"/>
          <w:color w:val="000000" w:themeColor="text1"/>
          <w:sz w:val="16"/>
          <w:szCs w:val="16"/>
        </w:rPr>
        <w:softHyphen/>
        <w:t>ребил трос, и аэростат, стало сносить в сторону позиций врага. Поднявшись на высоту 2500 м, он попал во встречный воздушный поток и начал дрейфовать уже в тыл советских войск. Немцы, прекратившие стрельбу, когда аэростат ветром несло в их сторону, возобновили огонь, уже не достигавший цели. Всё это время аэростат на</w:t>
      </w:r>
      <w:r w:rsidRPr="008127F8">
        <w:rPr>
          <w:rFonts w:ascii="Times New Roman" w:hAnsi="Times New Roman"/>
          <w:color w:val="000000" w:themeColor="text1"/>
          <w:sz w:val="16"/>
          <w:szCs w:val="16"/>
        </w:rPr>
        <w:softHyphen/>
        <w:t>ходился над Ладожским озером, и М.И. Горин не мог воспользоваться парашютом. Для спуска он открыл газовый клапан, однако аэростат про</w:t>
      </w:r>
      <w:r w:rsidRPr="008127F8">
        <w:rPr>
          <w:rFonts w:ascii="Times New Roman" w:hAnsi="Times New Roman"/>
          <w:color w:val="000000" w:themeColor="text1"/>
          <w:sz w:val="16"/>
          <w:szCs w:val="16"/>
        </w:rPr>
        <w:softHyphen/>
        <w:t>должал подниматься, пока на высоте 2850 м его оболочка не лопнула. Во время начавшегося па</w:t>
      </w:r>
      <w:r w:rsidRPr="008127F8">
        <w:rPr>
          <w:rFonts w:ascii="Times New Roman" w:hAnsi="Times New Roman"/>
          <w:color w:val="000000" w:themeColor="text1"/>
          <w:sz w:val="16"/>
          <w:szCs w:val="16"/>
        </w:rPr>
        <w:softHyphen/>
        <w:t>дения гондола перевернулась, но встречный по</w:t>
      </w:r>
      <w:r w:rsidRPr="008127F8">
        <w:rPr>
          <w:rFonts w:ascii="Times New Roman" w:hAnsi="Times New Roman"/>
          <w:color w:val="000000" w:themeColor="text1"/>
          <w:sz w:val="16"/>
          <w:szCs w:val="16"/>
        </w:rPr>
        <w:softHyphen/>
        <w:t>ток воздуха прижал воздухоплавателя ко дну корзины и не дал ему выпасть из неё. В какой-то момент гондолу накренило, и штормовой порыв ветра вытянул наблюдателя из корзины. М.И. Го</w:t>
      </w:r>
      <w:r w:rsidRPr="008127F8">
        <w:rPr>
          <w:rFonts w:ascii="Times New Roman" w:hAnsi="Times New Roman"/>
          <w:color w:val="000000" w:themeColor="text1"/>
          <w:sz w:val="16"/>
          <w:szCs w:val="16"/>
        </w:rPr>
        <w:softHyphen/>
        <w:t>рин инстинктивно дёрнул за кольцо парашюта, тот начал раскрываться, но запутался в оболочке и повис на такелаже. Неожиданно мощным воз</w:t>
      </w:r>
      <w:r w:rsidRPr="008127F8">
        <w:rPr>
          <w:rFonts w:ascii="Times New Roman" w:hAnsi="Times New Roman"/>
          <w:color w:val="000000" w:themeColor="text1"/>
          <w:sz w:val="16"/>
          <w:szCs w:val="16"/>
        </w:rPr>
        <w:softHyphen/>
        <w:t>душным потоком оболочку расправило, и она сама превратилась в парашют, так что корзина приняла правильное положение. Подтягиваясь на стропах парашюта, воздухоплаватель на высо</w:t>
      </w:r>
      <w:r w:rsidRPr="008127F8">
        <w:rPr>
          <w:rFonts w:ascii="Times New Roman" w:hAnsi="Times New Roman"/>
          <w:color w:val="000000" w:themeColor="text1"/>
          <w:sz w:val="16"/>
          <w:szCs w:val="16"/>
        </w:rPr>
        <w:softHyphen/>
        <w:t>те 1200 м вернулся в корзину. Он быстро распу</w:t>
      </w:r>
      <w:r w:rsidRPr="008127F8">
        <w:rPr>
          <w:rFonts w:ascii="Times New Roman" w:hAnsi="Times New Roman"/>
          <w:color w:val="000000" w:themeColor="text1"/>
          <w:sz w:val="16"/>
          <w:szCs w:val="16"/>
        </w:rPr>
        <w:softHyphen/>
        <w:t>тал парашют, но прыгать не стал, решив призем</w:t>
      </w:r>
      <w:r w:rsidRPr="008127F8">
        <w:rPr>
          <w:rFonts w:ascii="Times New Roman" w:hAnsi="Times New Roman"/>
          <w:color w:val="000000" w:themeColor="text1"/>
          <w:sz w:val="16"/>
          <w:szCs w:val="16"/>
        </w:rPr>
        <w:softHyphen/>
        <w:t>литься вместе с аэростатом. Перед ударом о зем</w:t>
      </w:r>
      <w:r w:rsidRPr="008127F8">
        <w:rPr>
          <w:rFonts w:ascii="Times New Roman" w:hAnsi="Times New Roman"/>
          <w:color w:val="000000" w:themeColor="text1"/>
          <w:sz w:val="16"/>
          <w:szCs w:val="16"/>
        </w:rPr>
        <w:softHyphen/>
        <w:t>лю М.И. Горин подтянулся к трапеции и лег на неё. Это самортизировало удар о землю, но обо</w:t>
      </w:r>
      <w:r w:rsidRPr="008127F8">
        <w:rPr>
          <w:rFonts w:ascii="Times New Roman" w:hAnsi="Times New Roman"/>
          <w:color w:val="000000" w:themeColor="text1"/>
          <w:sz w:val="16"/>
          <w:szCs w:val="16"/>
        </w:rPr>
        <w:softHyphen/>
        <w:t>лочка накрыла лейтенанта. Теперь ему грозила опасность задохнуться выходившим из оболочки водородом. Сбежавшиеся к аэростату колхозни</w:t>
      </w:r>
      <w:r w:rsidRPr="008127F8">
        <w:rPr>
          <w:rFonts w:ascii="Times New Roman" w:hAnsi="Times New Roman"/>
          <w:color w:val="000000" w:themeColor="text1"/>
          <w:sz w:val="16"/>
          <w:szCs w:val="16"/>
        </w:rPr>
        <w:softHyphen/>
        <w:t>ки освободили воздухоплавателя из страшного плена.</w:t>
      </w:r>
    </w:p>
    <w:p w14:paraId="69DEA57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1943 г. основную работу дивизиона пе</w:t>
      </w:r>
      <w:r w:rsidRPr="008127F8">
        <w:rPr>
          <w:rFonts w:ascii="Times New Roman" w:hAnsi="Times New Roman"/>
          <w:color w:val="000000" w:themeColor="text1"/>
          <w:sz w:val="16"/>
          <w:szCs w:val="16"/>
        </w:rPr>
        <w:softHyphen/>
        <w:t>ренесли на западное и юго-западное направление фронта. В отместку за прорыв блокады фашисты усилили обстрел города, и дивизион передисло</w:t>
      </w:r>
      <w:r w:rsidRPr="008127F8">
        <w:rPr>
          <w:rFonts w:ascii="Times New Roman" w:hAnsi="Times New Roman"/>
          <w:color w:val="000000" w:themeColor="text1"/>
          <w:sz w:val="16"/>
          <w:szCs w:val="16"/>
        </w:rPr>
        <w:softHyphen/>
        <w:t>цировали в район 42-й и 55-й армий для работы с 12-м и 14-м гвардейскими и 73-м артполками, которые вели контрбатарейную борьбу. Оставив для охраны дороги у Ладоги два отряда, диви</w:t>
      </w:r>
      <w:r w:rsidRPr="008127F8">
        <w:rPr>
          <w:rFonts w:ascii="Times New Roman" w:hAnsi="Times New Roman"/>
          <w:color w:val="000000" w:themeColor="text1"/>
          <w:sz w:val="16"/>
          <w:szCs w:val="16"/>
        </w:rPr>
        <w:softHyphen/>
        <w:t>зион расположились у Колпино, Мясокомбина</w:t>
      </w:r>
      <w:r w:rsidRPr="008127F8">
        <w:rPr>
          <w:rFonts w:ascii="Times New Roman" w:hAnsi="Times New Roman"/>
          <w:color w:val="000000" w:themeColor="text1"/>
          <w:sz w:val="16"/>
          <w:szCs w:val="16"/>
        </w:rPr>
        <w:softHyphen/>
        <w:t>та, Автово и Лисьего Носа. Начался последний этап контрбатарейной борьбы на Ленинградском фронте, характерной чертой которого было со</w:t>
      </w:r>
      <w:r w:rsidRPr="008127F8">
        <w:rPr>
          <w:rFonts w:ascii="Times New Roman" w:hAnsi="Times New Roman"/>
          <w:color w:val="000000" w:themeColor="text1"/>
          <w:sz w:val="16"/>
          <w:szCs w:val="16"/>
        </w:rPr>
        <w:softHyphen/>
        <w:t>здание мощных контрбатарейных групп, ра</w:t>
      </w:r>
      <w:r w:rsidRPr="008127F8">
        <w:rPr>
          <w:rFonts w:ascii="Times New Roman" w:hAnsi="Times New Roman"/>
          <w:color w:val="000000" w:themeColor="text1"/>
          <w:sz w:val="16"/>
          <w:szCs w:val="16"/>
        </w:rPr>
        <w:softHyphen/>
        <w:t>ботавших против осадной артиллерии врага. С июля по октябрь три воздухоплавательных отряда дивизиона провели 229 корректировок на подавление различных целей.</w:t>
      </w:r>
    </w:p>
    <w:p w14:paraId="1D7E566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Совершенствуя методы управления огнем для более точного учёта отклонения снарядов, В.В. Филиппов создал график определения цены деления бинокля по дальности в зависимости от высоты подъёма аэростата на расстояниях от 5 до 25 км. Воздухоплаватель 5-го отряда дивизиона старший лейтенант А.И. Выборнов по примеру морских артиллеристов разработал метод сопря</w:t>
      </w:r>
      <w:r w:rsidRPr="008127F8">
        <w:rPr>
          <w:rFonts w:ascii="Times New Roman" w:hAnsi="Times New Roman"/>
          <w:color w:val="000000" w:themeColor="text1"/>
          <w:sz w:val="16"/>
          <w:szCs w:val="16"/>
        </w:rPr>
        <w:softHyphen/>
        <w:t>жённого наблюдения разрывов с разнесённых на большое расстояние наблюдательных пунктов. Стратонавт профессор А.Б. Вериго обучил возду</w:t>
      </w:r>
      <w:r w:rsidRPr="008127F8">
        <w:rPr>
          <w:rFonts w:ascii="Times New Roman" w:hAnsi="Times New Roman"/>
          <w:color w:val="000000" w:themeColor="text1"/>
          <w:sz w:val="16"/>
          <w:szCs w:val="16"/>
        </w:rPr>
        <w:softHyphen/>
        <w:t>хоплавателей делать панорамные снимки фото</w:t>
      </w:r>
      <w:r w:rsidRPr="008127F8">
        <w:rPr>
          <w:rFonts w:ascii="Times New Roman" w:hAnsi="Times New Roman"/>
          <w:color w:val="000000" w:themeColor="text1"/>
          <w:sz w:val="16"/>
          <w:szCs w:val="16"/>
        </w:rPr>
        <w:softHyphen/>
        <w:t>аппаратом АФА-2ЭМ. Со временем метод аэро</w:t>
      </w:r>
      <w:r w:rsidRPr="008127F8">
        <w:rPr>
          <w:rFonts w:ascii="Times New Roman" w:hAnsi="Times New Roman"/>
          <w:color w:val="000000" w:themeColor="text1"/>
          <w:sz w:val="16"/>
          <w:szCs w:val="16"/>
        </w:rPr>
        <w:softHyphen/>
        <w:t>фотосъемки панорам стал обязательным во всех частях аэростатов наблюдения.</w:t>
      </w:r>
    </w:p>
    <w:p w14:paraId="12C6035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Командный пункт воздухоплавательного ди</w:t>
      </w:r>
      <w:r w:rsidRPr="008127F8">
        <w:rPr>
          <w:rFonts w:ascii="Times New Roman" w:hAnsi="Times New Roman"/>
          <w:color w:val="000000" w:themeColor="text1"/>
          <w:sz w:val="16"/>
          <w:szCs w:val="16"/>
        </w:rPr>
        <w:softHyphen/>
        <w:t>визиона перенесли в городскую квартиру его командира (с весны 1943 г.) В.В. Филиппова. По</w:t>
      </w:r>
      <w:r w:rsidRPr="008127F8">
        <w:rPr>
          <w:rFonts w:ascii="Times New Roman" w:hAnsi="Times New Roman"/>
          <w:color w:val="000000" w:themeColor="text1"/>
          <w:sz w:val="16"/>
          <w:szCs w:val="16"/>
        </w:rPr>
        <w:softHyphen/>
        <w:t>лучив возможность одновременно наблюдать с высоты пятого этажа аэростаты нескольких от</w:t>
      </w:r>
      <w:r w:rsidRPr="008127F8">
        <w:rPr>
          <w:rFonts w:ascii="Times New Roman" w:hAnsi="Times New Roman"/>
          <w:color w:val="000000" w:themeColor="text1"/>
          <w:sz w:val="16"/>
          <w:szCs w:val="16"/>
        </w:rPr>
        <w:softHyphen/>
        <w:t>рядов, в сентябре 1943 г. он внедрил новый спо</w:t>
      </w:r>
      <w:r w:rsidRPr="008127F8">
        <w:rPr>
          <w:rFonts w:ascii="Times New Roman" w:hAnsi="Times New Roman"/>
          <w:color w:val="000000" w:themeColor="text1"/>
          <w:sz w:val="16"/>
          <w:szCs w:val="16"/>
        </w:rPr>
        <w:softHyphen/>
        <w:t>соб корректировки артогня — метод радиальных сеток. С его помощью уничтожили цель № 203 — беззаботинскую артиллерийскую группу врага, обстреливавшую Кировский завод и цели № 373 и 373-а — пушкинско-слуцкую артиллерийскую группу, действовавшую по Ижорскому заводу и заводу «Большевик», а также по 5-й ГЭС.</w:t>
      </w:r>
    </w:p>
    <w:p w14:paraId="517AEA7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шла подготовка полного осво</w:t>
      </w:r>
      <w:r w:rsidRPr="008127F8">
        <w:rPr>
          <w:rFonts w:ascii="Times New Roman" w:hAnsi="Times New Roman"/>
          <w:color w:val="000000" w:themeColor="text1"/>
          <w:sz w:val="16"/>
          <w:szCs w:val="16"/>
        </w:rPr>
        <w:softHyphen/>
        <w:t>бождения Ленинграда от блокады. Условия для наземного наблюдения в полосе Ленинградского фронта были тяжёлыми. В расположении совет</w:t>
      </w:r>
      <w:r w:rsidRPr="008127F8">
        <w:rPr>
          <w:rFonts w:ascii="Times New Roman" w:hAnsi="Times New Roman"/>
          <w:color w:val="000000" w:themeColor="text1"/>
          <w:sz w:val="16"/>
          <w:szCs w:val="16"/>
        </w:rPr>
        <w:softHyphen/>
        <w:t>ских войск не было командных высот, поэтому артиллерийские наблюдательные пункты обо</w:t>
      </w:r>
      <w:r w:rsidRPr="008127F8">
        <w:rPr>
          <w:rFonts w:ascii="Times New Roman" w:hAnsi="Times New Roman"/>
          <w:color w:val="000000" w:themeColor="text1"/>
          <w:sz w:val="16"/>
          <w:szCs w:val="16"/>
        </w:rPr>
        <w:softHyphen/>
        <w:t>рудовались на деревьях, крышах домов, коло</w:t>
      </w:r>
      <w:r w:rsidRPr="008127F8">
        <w:rPr>
          <w:rFonts w:ascii="Times New Roman" w:hAnsi="Times New Roman"/>
          <w:color w:val="000000" w:themeColor="text1"/>
          <w:sz w:val="16"/>
          <w:szCs w:val="16"/>
        </w:rPr>
        <w:softHyphen/>
        <w:t>кольнях и заводских трубах. Перед фронтом 2-й Ударной армии противник занимал большие лесные массивы, не позволявшие просматривать не только глубину, но местами и передний край его обороны. В полосе 42-й армии в расположе</w:t>
      </w:r>
      <w:r w:rsidRPr="008127F8">
        <w:rPr>
          <w:rFonts w:ascii="Times New Roman" w:hAnsi="Times New Roman"/>
          <w:color w:val="000000" w:themeColor="text1"/>
          <w:sz w:val="16"/>
          <w:szCs w:val="16"/>
        </w:rPr>
        <w:softHyphen/>
        <w:t>нии противника имелось большое количество крупных населённых пунктов и лесных участ</w:t>
      </w:r>
      <w:r w:rsidRPr="008127F8">
        <w:rPr>
          <w:rFonts w:ascii="Times New Roman" w:hAnsi="Times New Roman"/>
          <w:color w:val="000000" w:themeColor="text1"/>
          <w:sz w:val="16"/>
          <w:szCs w:val="16"/>
        </w:rPr>
        <w:softHyphen/>
        <w:t>ков, особенно в районах Стрельны, Ропши, юж</w:t>
      </w:r>
      <w:r w:rsidRPr="008127F8">
        <w:rPr>
          <w:rFonts w:ascii="Times New Roman" w:hAnsi="Times New Roman"/>
          <w:color w:val="000000" w:themeColor="text1"/>
          <w:sz w:val="16"/>
          <w:szCs w:val="16"/>
        </w:rPr>
        <w:softHyphen/>
        <w:t>нее Красного Села и Павловска, обеспечивавших противнику скрытое размещение своих штабов, баз и резервов, а также скрытый манёвр живой силой и боевой техникой в тактической глубине своей обороны. Ввиду этого повышалась роль воздушной разведки и, прежде всего, аэрофо</w:t>
      </w:r>
      <w:r w:rsidRPr="008127F8">
        <w:rPr>
          <w:rFonts w:ascii="Times New Roman" w:hAnsi="Times New Roman"/>
          <w:color w:val="000000" w:themeColor="text1"/>
          <w:sz w:val="16"/>
          <w:szCs w:val="16"/>
        </w:rPr>
        <w:softHyphen/>
        <w:t>тосъёмки, для ведения которой 2-й Ударной ар</w:t>
      </w:r>
      <w:r w:rsidRPr="008127F8">
        <w:rPr>
          <w:rFonts w:ascii="Times New Roman" w:hAnsi="Times New Roman"/>
          <w:color w:val="000000" w:themeColor="text1"/>
          <w:sz w:val="16"/>
          <w:szCs w:val="16"/>
        </w:rPr>
        <w:softHyphen/>
        <w:t>мии придали один отряд 1-го ОВДААН, 42-й ар</w:t>
      </w:r>
      <w:r w:rsidRPr="008127F8">
        <w:rPr>
          <w:rFonts w:ascii="Times New Roman" w:hAnsi="Times New Roman"/>
          <w:color w:val="000000" w:themeColor="text1"/>
          <w:sz w:val="16"/>
          <w:szCs w:val="16"/>
        </w:rPr>
        <w:softHyphen/>
        <w:t>мии — три отряда 1-го ОВДААН, а 67-й армии — 8-й ОВДААН.</w:t>
      </w:r>
    </w:p>
    <w:p w14:paraId="738274A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Воздушная разведка отрядов ААН сыграла большую роль в успешном проведении Ленин- градско-Новгородской наступательной операции 14 января — 1 марта 1944 г. В директиве коман</w:t>
      </w:r>
      <w:r w:rsidRPr="008127F8">
        <w:rPr>
          <w:rFonts w:ascii="Times New Roman" w:hAnsi="Times New Roman"/>
          <w:color w:val="000000" w:themeColor="text1"/>
          <w:sz w:val="16"/>
          <w:szCs w:val="16"/>
        </w:rPr>
        <w:softHyphen/>
        <w:t>дующего артиллерией Красной Армии маршала артиллерии Н.Н. Воронова от 29 февраля 1944 г., обобщавшей опыт боевого применения возду</w:t>
      </w:r>
      <w:r w:rsidRPr="008127F8">
        <w:rPr>
          <w:rFonts w:ascii="Times New Roman" w:hAnsi="Times New Roman"/>
          <w:color w:val="000000" w:themeColor="text1"/>
          <w:sz w:val="16"/>
          <w:szCs w:val="16"/>
        </w:rPr>
        <w:softHyphen/>
        <w:t>хоплавательных дивизионов, особо отмечались действия 1-го и 8-го ОВДААН.</w:t>
      </w:r>
    </w:p>
    <w:p w14:paraId="6EC13FA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1944 г. 1-й ОВДААН передислоцировали из-под Пскова на Карельский перешеек для учас</w:t>
      </w:r>
      <w:r w:rsidRPr="008127F8">
        <w:rPr>
          <w:rFonts w:ascii="Times New Roman" w:hAnsi="Times New Roman"/>
          <w:color w:val="000000" w:themeColor="text1"/>
          <w:sz w:val="16"/>
          <w:szCs w:val="16"/>
        </w:rPr>
        <w:softHyphen/>
        <w:t>тия в штурме линии Маннергейма и освобожде</w:t>
      </w:r>
      <w:r w:rsidRPr="008127F8">
        <w:rPr>
          <w:rFonts w:ascii="Times New Roman" w:hAnsi="Times New Roman"/>
          <w:color w:val="000000" w:themeColor="text1"/>
          <w:sz w:val="16"/>
          <w:szCs w:val="16"/>
        </w:rPr>
        <w:softHyphen/>
        <w:t>нии Выборга. Для работы на четырёх точках сфор</w:t>
      </w:r>
      <w:r w:rsidRPr="008127F8">
        <w:rPr>
          <w:rFonts w:ascii="Times New Roman" w:hAnsi="Times New Roman"/>
          <w:color w:val="000000" w:themeColor="text1"/>
          <w:sz w:val="16"/>
          <w:szCs w:val="16"/>
        </w:rPr>
        <w:softHyphen/>
        <w:t>мировали три отряда и одно звено. Два отряда за</w:t>
      </w:r>
      <w:r w:rsidRPr="008127F8">
        <w:rPr>
          <w:rFonts w:ascii="Times New Roman" w:hAnsi="Times New Roman"/>
          <w:color w:val="000000" w:themeColor="text1"/>
          <w:sz w:val="16"/>
          <w:szCs w:val="16"/>
        </w:rPr>
        <w:softHyphen/>
        <w:t>крепили за 3-м артиллерийским корпусом, а отряд со звеном — за артиллерией 21-й армии.</w:t>
      </w:r>
    </w:p>
    <w:p w14:paraId="06B474A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Дивизиону поставили задачу вести разведку целей, а за день до начала артподготовки кор</w:t>
      </w:r>
      <w:r w:rsidRPr="008127F8">
        <w:rPr>
          <w:rFonts w:ascii="Times New Roman" w:hAnsi="Times New Roman"/>
          <w:color w:val="000000" w:themeColor="text1"/>
          <w:sz w:val="16"/>
          <w:szCs w:val="16"/>
        </w:rPr>
        <w:softHyphen/>
        <w:t>ректировать огонь на их уничтожение. Воздушной разведке на Карельском перешейке пре</w:t>
      </w:r>
      <w:r w:rsidRPr="008127F8">
        <w:rPr>
          <w:rFonts w:ascii="Times New Roman" w:hAnsi="Times New Roman"/>
          <w:color w:val="000000" w:themeColor="text1"/>
          <w:sz w:val="16"/>
          <w:szCs w:val="16"/>
        </w:rPr>
        <w:softHyphen/>
        <w:t>пятствовали густые леса и изрезанный рельеф, позволявшие противнику хорошо маскировать позиции. Кроме того, не успевала развернулся звукометрическая разведка. Поэтому основная тяжесть разведки в ходе Выборгской операции 10-20 июня 1944 г. легла на ААН. В ходе боёв воздухоплаватели понесли серьёзные потери. За первые пять дней наступления дивизион потерял шесть аэростатов. 14 июня при прорыве второй линии обороны противника немецкие летчики последовательно сожгли ещё два и повредили один аэростат дивизиона. При атаке одного из аэростатов немецкими истребителями с нарисо</w:t>
      </w:r>
      <w:r w:rsidRPr="008127F8">
        <w:rPr>
          <w:rFonts w:ascii="Times New Roman" w:hAnsi="Times New Roman"/>
          <w:color w:val="000000" w:themeColor="text1"/>
          <w:sz w:val="16"/>
          <w:szCs w:val="16"/>
        </w:rPr>
        <w:softHyphen/>
        <w:t>ванными на крыльях красными звездами в воз</w:t>
      </w:r>
      <w:r w:rsidRPr="008127F8">
        <w:rPr>
          <w:rFonts w:ascii="Times New Roman" w:hAnsi="Times New Roman"/>
          <w:color w:val="000000" w:themeColor="text1"/>
          <w:sz w:val="16"/>
          <w:szCs w:val="16"/>
        </w:rPr>
        <w:softHyphen/>
        <w:t>духе был расстрелян спускавшийся с парашютом командир батареи артполка капитан Позомик. Но воздухоплаватели продолжали разведку, вы</w:t>
      </w:r>
      <w:r w:rsidRPr="008127F8">
        <w:rPr>
          <w:rFonts w:ascii="Times New Roman" w:hAnsi="Times New Roman"/>
          <w:color w:val="000000" w:themeColor="text1"/>
          <w:sz w:val="16"/>
          <w:szCs w:val="16"/>
        </w:rPr>
        <w:softHyphen/>
        <w:t>полнив в этот день 11 подъёмов и 16 корректиро</w:t>
      </w:r>
      <w:r w:rsidRPr="008127F8">
        <w:rPr>
          <w:rFonts w:ascii="Times New Roman" w:hAnsi="Times New Roman"/>
          <w:color w:val="000000" w:themeColor="text1"/>
          <w:sz w:val="16"/>
          <w:szCs w:val="16"/>
        </w:rPr>
        <w:softHyphen/>
        <w:t>вок. Зенитчики, прикрывая аэростаты, сбили три самолёта врага. К шести часам вечера наши вой</w:t>
      </w:r>
      <w:r w:rsidRPr="008127F8">
        <w:rPr>
          <w:rFonts w:ascii="Times New Roman" w:hAnsi="Times New Roman"/>
          <w:color w:val="000000" w:themeColor="text1"/>
          <w:sz w:val="16"/>
          <w:szCs w:val="16"/>
        </w:rPr>
        <w:softHyphen/>
        <w:t>ска штурмом овладели Кутерселькя, Мустамяки и Сахакюля.</w:t>
      </w:r>
    </w:p>
    <w:p w14:paraId="53EB723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июня, при прорыве третьей полосы обо</w:t>
      </w:r>
      <w:r w:rsidRPr="008127F8">
        <w:rPr>
          <w:rFonts w:ascii="Times New Roman" w:hAnsi="Times New Roman"/>
          <w:color w:val="000000" w:themeColor="text1"/>
          <w:sz w:val="16"/>
          <w:szCs w:val="16"/>
        </w:rPr>
        <w:softHyphen/>
        <w:t>роны линии Маннергейма, воздухоплаватели 1-го ОВДААН Шестаков и Бауров выявили ко</w:t>
      </w:r>
      <w:r w:rsidRPr="008127F8">
        <w:rPr>
          <w:rFonts w:ascii="Times New Roman" w:hAnsi="Times New Roman"/>
          <w:color w:val="000000" w:themeColor="text1"/>
          <w:sz w:val="16"/>
          <w:szCs w:val="16"/>
        </w:rPr>
        <w:softHyphen/>
        <w:t>чующие батареи и отдельные кочующие орудия, с помощью которых противник пытался создать видимость насыщенности своей обороны артил</w:t>
      </w:r>
      <w:r w:rsidRPr="008127F8">
        <w:rPr>
          <w:rFonts w:ascii="Times New Roman" w:hAnsi="Times New Roman"/>
          <w:color w:val="000000" w:themeColor="text1"/>
          <w:sz w:val="16"/>
          <w:szCs w:val="16"/>
        </w:rPr>
        <w:softHyphen/>
        <w:t>лерией. Всего в ходе Выборгской операции воз</w:t>
      </w:r>
      <w:r w:rsidRPr="008127F8">
        <w:rPr>
          <w:rFonts w:ascii="Times New Roman" w:hAnsi="Times New Roman"/>
          <w:color w:val="000000" w:themeColor="text1"/>
          <w:sz w:val="16"/>
          <w:szCs w:val="16"/>
        </w:rPr>
        <w:softHyphen/>
        <w:t>духоплаватели провели 302 подъёма и 85 раз кор</w:t>
      </w:r>
      <w:r w:rsidRPr="008127F8">
        <w:rPr>
          <w:rFonts w:ascii="Times New Roman" w:hAnsi="Times New Roman"/>
          <w:color w:val="000000" w:themeColor="text1"/>
          <w:sz w:val="16"/>
          <w:szCs w:val="16"/>
        </w:rPr>
        <w:softHyphen/>
        <w:t>ректировали огонь артиллерии. При этом была подавлена 61 батарея противника и уничтожено 11 целей. 21 июня приказом Верховного Главно</w:t>
      </w:r>
      <w:r w:rsidRPr="008127F8">
        <w:rPr>
          <w:rFonts w:ascii="Times New Roman" w:hAnsi="Times New Roman"/>
          <w:color w:val="000000" w:themeColor="text1"/>
          <w:sz w:val="16"/>
          <w:szCs w:val="16"/>
        </w:rPr>
        <w:softHyphen/>
        <w:t>командующего 1-му ОВДААН было присвоено почётное наименование Выборгский.</w:t>
      </w:r>
    </w:p>
    <w:p w14:paraId="0A8ABD5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декабре 1944 г. 1-й ОВДААН придали ар</w:t>
      </w:r>
      <w:r w:rsidRPr="008127F8">
        <w:rPr>
          <w:rFonts w:ascii="Times New Roman" w:hAnsi="Times New Roman"/>
          <w:color w:val="000000" w:themeColor="text1"/>
          <w:sz w:val="16"/>
          <w:szCs w:val="16"/>
        </w:rPr>
        <w:softHyphen/>
        <w:t>тиллерии 2-го Белорусского фронта. 14 января 1945 г., как и планировалось, дивизион прибыл в г. Острув-Мазовецки, но операция, перенесён</w:t>
      </w:r>
      <w:r w:rsidRPr="008127F8">
        <w:rPr>
          <w:rFonts w:ascii="Times New Roman" w:hAnsi="Times New Roman"/>
          <w:color w:val="000000" w:themeColor="text1"/>
          <w:sz w:val="16"/>
          <w:szCs w:val="16"/>
        </w:rPr>
        <w:softHyphen/>
        <w:t>ная на более ранний срок, уже началась. В раз</w:t>
      </w:r>
      <w:r w:rsidRPr="008127F8">
        <w:rPr>
          <w:rFonts w:ascii="Times New Roman" w:hAnsi="Times New Roman"/>
          <w:color w:val="000000" w:themeColor="text1"/>
          <w:sz w:val="16"/>
          <w:szCs w:val="16"/>
        </w:rPr>
        <w:softHyphen/>
        <w:t>вернувшемся наступлении дивизион применил новые тактические приёмы взаимодействия с подвижной артиллерийской группой. Воздухо</w:t>
      </w:r>
      <w:r w:rsidRPr="008127F8">
        <w:rPr>
          <w:rFonts w:ascii="Times New Roman" w:hAnsi="Times New Roman"/>
          <w:color w:val="000000" w:themeColor="text1"/>
          <w:sz w:val="16"/>
          <w:szCs w:val="16"/>
        </w:rPr>
        <w:softHyphen/>
        <w:t>плаватели меняли позицию одновременно с ар</w:t>
      </w:r>
      <w:r w:rsidRPr="008127F8">
        <w:rPr>
          <w:rFonts w:ascii="Times New Roman" w:hAnsi="Times New Roman"/>
          <w:color w:val="000000" w:themeColor="text1"/>
          <w:sz w:val="16"/>
          <w:szCs w:val="16"/>
        </w:rPr>
        <w:softHyphen/>
        <w:t>тиллеристами. Аэростат приспускался на высоту 70-80 м, крепился манёвренным и боевым троса</w:t>
      </w:r>
      <w:r w:rsidRPr="008127F8">
        <w:rPr>
          <w:rFonts w:ascii="Times New Roman" w:hAnsi="Times New Roman"/>
          <w:color w:val="000000" w:themeColor="text1"/>
          <w:sz w:val="16"/>
          <w:szCs w:val="16"/>
        </w:rPr>
        <w:softHyphen/>
        <w:t>ми к лебёдке, двигавшейся с ним по фронтовым дорогам. Оболочка загружалась балластом, а на</w:t>
      </w:r>
      <w:r w:rsidRPr="008127F8">
        <w:rPr>
          <w:rFonts w:ascii="Times New Roman" w:hAnsi="Times New Roman"/>
          <w:color w:val="000000" w:themeColor="text1"/>
          <w:sz w:val="16"/>
          <w:szCs w:val="16"/>
        </w:rPr>
        <w:softHyphen/>
        <w:t>блюдатель оставался в корзине. Встречавшиеся линии электропередачи и телеграфные линии преодолевали, поочерёдно отсоединяя и переки</w:t>
      </w:r>
      <w:r w:rsidRPr="008127F8">
        <w:rPr>
          <w:rFonts w:ascii="Times New Roman" w:hAnsi="Times New Roman"/>
          <w:color w:val="000000" w:themeColor="text1"/>
          <w:sz w:val="16"/>
          <w:szCs w:val="16"/>
        </w:rPr>
        <w:softHyphen/>
        <w:t>дывая тросы через препятствие. При следовании в боевых порядках ААН поднимали не только для разведки целей и корректировки огня, но и по просьбе командиров отставших колонн, просивших узнать, в каком направлении ушли передовые части.</w:t>
      </w:r>
    </w:p>
    <w:p w14:paraId="078EA66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1945 г. отряды 1-го ОВДААН вели воздушную разведку Грауденица и Торна. В ходе Восточно-Померанской наступательной опера</w:t>
      </w:r>
      <w:r w:rsidRPr="008127F8">
        <w:rPr>
          <w:rFonts w:ascii="Times New Roman" w:hAnsi="Times New Roman"/>
          <w:color w:val="000000" w:themeColor="text1"/>
          <w:sz w:val="16"/>
          <w:szCs w:val="16"/>
        </w:rPr>
        <w:softHyphen/>
        <w:t>ции в феврале-марте 1945 г. 1-й ОВДААН при</w:t>
      </w:r>
      <w:r w:rsidRPr="008127F8">
        <w:rPr>
          <w:rFonts w:ascii="Times New Roman" w:hAnsi="Times New Roman"/>
          <w:color w:val="000000" w:themeColor="text1"/>
          <w:sz w:val="16"/>
          <w:szCs w:val="16"/>
        </w:rPr>
        <w:softHyphen/>
        <w:t>нял участие в боях за Данциг. Главная задача воздухоплавателей состояла в корректировке артиллерийской стрельбы по дотам. При обстре</w:t>
      </w:r>
      <w:r w:rsidRPr="008127F8">
        <w:rPr>
          <w:rFonts w:ascii="Times New Roman" w:hAnsi="Times New Roman"/>
          <w:color w:val="000000" w:themeColor="text1"/>
          <w:sz w:val="16"/>
          <w:szCs w:val="16"/>
        </w:rPr>
        <w:softHyphen/>
        <w:t>ле противником подъёмного поля они снижали аэростат и имитировали его возгорание, под</w:t>
      </w:r>
      <w:r w:rsidRPr="008127F8">
        <w:rPr>
          <w:rFonts w:ascii="Times New Roman" w:hAnsi="Times New Roman"/>
          <w:color w:val="000000" w:themeColor="text1"/>
          <w:sz w:val="16"/>
          <w:szCs w:val="16"/>
        </w:rPr>
        <w:softHyphen/>
        <w:t>жигая сараи, дрова и прошлогоднюю траву мет</w:t>
      </w:r>
      <w:r w:rsidRPr="008127F8">
        <w:rPr>
          <w:rFonts w:ascii="Times New Roman" w:hAnsi="Times New Roman"/>
          <w:color w:val="000000" w:themeColor="text1"/>
          <w:sz w:val="16"/>
          <w:szCs w:val="16"/>
        </w:rPr>
        <w:softHyphen/>
        <w:t>рах в ста от аэростата. После этого немцы, как правило, огонь по аэростату прекращали. Ког</w:t>
      </w:r>
      <w:r w:rsidRPr="008127F8">
        <w:rPr>
          <w:rFonts w:ascii="Times New Roman" w:hAnsi="Times New Roman"/>
          <w:color w:val="000000" w:themeColor="text1"/>
          <w:sz w:val="16"/>
          <w:szCs w:val="16"/>
        </w:rPr>
        <w:softHyphen/>
        <w:t>да для защиты левого фланга обороны Данцига немцы взорвали дамбы на Висле и затопили всю низменность района Прауста, отряды коррек</w:t>
      </w:r>
      <w:r w:rsidRPr="008127F8">
        <w:rPr>
          <w:rFonts w:ascii="Times New Roman" w:hAnsi="Times New Roman"/>
          <w:color w:val="000000" w:themeColor="text1"/>
          <w:sz w:val="16"/>
          <w:szCs w:val="16"/>
        </w:rPr>
        <w:softHyphen/>
        <w:t>тировали огонь артиллерии по образовавшим</w:t>
      </w:r>
      <w:r w:rsidRPr="008127F8">
        <w:rPr>
          <w:rFonts w:ascii="Times New Roman" w:hAnsi="Times New Roman"/>
          <w:color w:val="000000" w:themeColor="text1"/>
          <w:sz w:val="16"/>
          <w:szCs w:val="16"/>
        </w:rPr>
        <w:softHyphen/>
        <w:t>ся островкам обороны врага. Воздухоплаватель Смолянников под огнём корабельной артилле</w:t>
      </w:r>
      <w:r w:rsidRPr="008127F8">
        <w:rPr>
          <w:rFonts w:ascii="Times New Roman" w:hAnsi="Times New Roman"/>
          <w:color w:val="000000" w:themeColor="text1"/>
          <w:sz w:val="16"/>
          <w:szCs w:val="16"/>
        </w:rPr>
        <w:softHyphen/>
        <w:t>рии врага из Данцигской бухты обнаружил не</w:t>
      </w:r>
      <w:r w:rsidRPr="008127F8">
        <w:rPr>
          <w:rFonts w:ascii="Times New Roman" w:hAnsi="Times New Roman"/>
          <w:color w:val="000000" w:themeColor="text1"/>
          <w:sz w:val="16"/>
          <w:szCs w:val="16"/>
        </w:rPr>
        <w:softHyphen/>
        <w:t>мецкую взлётную полосу, которую затем раз</w:t>
      </w:r>
      <w:r w:rsidRPr="008127F8">
        <w:rPr>
          <w:rFonts w:ascii="Times New Roman" w:hAnsi="Times New Roman"/>
          <w:color w:val="000000" w:themeColor="text1"/>
          <w:sz w:val="16"/>
          <w:szCs w:val="16"/>
        </w:rPr>
        <w:softHyphen/>
        <w:t>бомбила наша авиация.</w:t>
      </w:r>
    </w:p>
    <w:p w14:paraId="0691565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последних числах марта перед самым штур</w:t>
      </w:r>
      <w:r w:rsidRPr="008127F8">
        <w:rPr>
          <w:rFonts w:ascii="Times New Roman" w:hAnsi="Times New Roman"/>
          <w:color w:val="000000" w:themeColor="text1"/>
          <w:sz w:val="16"/>
          <w:szCs w:val="16"/>
        </w:rPr>
        <w:softHyphen/>
        <w:t>мом Данцига и Гдыни 1-й ОВДААН перебросили в район Картхауз для корректировки стрельбы по крейсерам противника. Аэростат подвергся обстрелу с крейсеров, а затем его атаковали и по</w:t>
      </w:r>
      <w:r w:rsidRPr="008127F8">
        <w:rPr>
          <w:rFonts w:ascii="Times New Roman" w:hAnsi="Times New Roman"/>
          <w:color w:val="000000" w:themeColor="text1"/>
          <w:sz w:val="16"/>
          <w:szCs w:val="16"/>
        </w:rPr>
        <w:softHyphen/>
        <w:t>дожгли два истребителя. Наблюдатель Ибрагим Бишоков успел выброситься с парашютом, но в воздухе был ранен в обе ноги. 30 марта вой</w:t>
      </w:r>
      <w:r w:rsidRPr="008127F8">
        <w:rPr>
          <w:rFonts w:ascii="Times New Roman" w:hAnsi="Times New Roman"/>
          <w:color w:val="000000" w:themeColor="text1"/>
          <w:sz w:val="16"/>
          <w:szCs w:val="16"/>
        </w:rPr>
        <w:softHyphen/>
        <w:t>ска 2-го Белорусского фронта овладели городом и портом Данциг.</w:t>
      </w:r>
    </w:p>
    <w:p w14:paraId="10AA1A8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взятия Данцига дивизион совершил трёхсоткилометровый марш в район г. Штатгард (Кольтбац) для работы с 65-й, 70-й и 49-й арми</w:t>
      </w:r>
      <w:r w:rsidRPr="008127F8">
        <w:rPr>
          <w:rFonts w:ascii="Times New Roman" w:hAnsi="Times New Roman"/>
          <w:color w:val="000000" w:themeColor="text1"/>
          <w:sz w:val="16"/>
          <w:szCs w:val="16"/>
        </w:rPr>
        <w:softHyphen/>
        <w:t>ями, готовившимися форсировать Одер. Так как занятый противником западный берег господ</w:t>
      </w:r>
      <w:r w:rsidRPr="008127F8">
        <w:rPr>
          <w:rFonts w:ascii="Times New Roman" w:hAnsi="Times New Roman"/>
          <w:color w:val="000000" w:themeColor="text1"/>
          <w:sz w:val="16"/>
          <w:szCs w:val="16"/>
        </w:rPr>
        <w:softHyphen/>
        <w:t>ствовал над советскими позициями, то ввиду важности наблюдений с ААН командующий ар</w:t>
      </w:r>
      <w:r w:rsidRPr="008127F8">
        <w:rPr>
          <w:rFonts w:ascii="Times New Roman" w:hAnsi="Times New Roman"/>
          <w:color w:val="000000" w:themeColor="text1"/>
          <w:sz w:val="16"/>
          <w:szCs w:val="16"/>
        </w:rPr>
        <w:softHyphen/>
        <w:t>тиллерией генерал А.К. Сокольский приказал их результаты при наведении переправ и форсиро</w:t>
      </w:r>
      <w:r w:rsidRPr="008127F8">
        <w:rPr>
          <w:rFonts w:ascii="Times New Roman" w:hAnsi="Times New Roman"/>
          <w:color w:val="000000" w:themeColor="text1"/>
          <w:sz w:val="16"/>
          <w:szCs w:val="16"/>
        </w:rPr>
        <w:softHyphen/>
        <w:t>вании реки передавать непосредственно в штаб фронта. За шесть дней и ночей, пока воздухопла</w:t>
      </w:r>
      <w:r w:rsidRPr="008127F8">
        <w:rPr>
          <w:rFonts w:ascii="Times New Roman" w:hAnsi="Times New Roman"/>
          <w:color w:val="000000" w:themeColor="text1"/>
          <w:sz w:val="16"/>
          <w:szCs w:val="16"/>
        </w:rPr>
        <w:softHyphen/>
        <w:t>ватели находились на восточном берегу Одера, они выполнили более 100 подъёмов, обнаружи</w:t>
      </w:r>
      <w:r w:rsidRPr="008127F8">
        <w:rPr>
          <w:rFonts w:ascii="Times New Roman" w:hAnsi="Times New Roman"/>
          <w:color w:val="000000" w:themeColor="text1"/>
          <w:sz w:val="16"/>
          <w:szCs w:val="16"/>
        </w:rPr>
        <w:softHyphen/>
        <w:t>ли 160 целей, по которым 70 раз корректировали огонь. Особенно ответственным были коррек</w:t>
      </w:r>
      <w:r w:rsidRPr="008127F8">
        <w:rPr>
          <w:rFonts w:ascii="Times New Roman" w:hAnsi="Times New Roman"/>
          <w:color w:val="000000" w:themeColor="text1"/>
          <w:sz w:val="16"/>
          <w:szCs w:val="16"/>
        </w:rPr>
        <w:softHyphen/>
        <w:t>тировки огня по позициям тяжёлой артиллерии противника в укреплениях Штеттина, рядом с которым находился склад с ипритом.</w:t>
      </w:r>
    </w:p>
    <w:p w14:paraId="68C96FF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Даже после штурма Берлина 1-й ОВДААН продолжал воевать. Его наблюдатели корректи</w:t>
      </w:r>
      <w:r w:rsidRPr="008127F8">
        <w:rPr>
          <w:rFonts w:ascii="Times New Roman" w:hAnsi="Times New Roman"/>
          <w:color w:val="000000" w:themeColor="text1"/>
          <w:sz w:val="16"/>
          <w:szCs w:val="16"/>
        </w:rPr>
        <w:softHyphen/>
        <w:t>ровали огонь артиллеристов по очагам сопротив</w:t>
      </w:r>
      <w:r w:rsidRPr="008127F8">
        <w:rPr>
          <w:rFonts w:ascii="Times New Roman" w:hAnsi="Times New Roman"/>
          <w:color w:val="000000" w:themeColor="text1"/>
          <w:sz w:val="16"/>
          <w:szCs w:val="16"/>
        </w:rPr>
        <w:softHyphen/>
        <w:t>ления в Нойбранденбурге, Варене, Анкламе.</w:t>
      </w:r>
    </w:p>
    <w:p w14:paraId="12D9EB7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бои по форсированию Одера дивизиону 9 мая 1945 г. вручили орден Александра Невско</w:t>
      </w:r>
      <w:r w:rsidRPr="008127F8">
        <w:rPr>
          <w:rFonts w:ascii="Times New Roman" w:hAnsi="Times New Roman"/>
          <w:color w:val="000000" w:themeColor="text1"/>
          <w:sz w:val="16"/>
          <w:szCs w:val="16"/>
        </w:rPr>
        <w:softHyphen/>
        <w:t>го. Орденами и медалями наградили 39 воздухо</w:t>
      </w:r>
      <w:r w:rsidRPr="008127F8">
        <w:rPr>
          <w:rFonts w:ascii="Times New Roman" w:hAnsi="Times New Roman"/>
          <w:color w:val="000000" w:themeColor="text1"/>
          <w:sz w:val="16"/>
          <w:szCs w:val="16"/>
        </w:rPr>
        <w:softHyphen/>
        <w:t>плавателей.</w:t>
      </w:r>
    </w:p>
    <w:p w14:paraId="4D2A202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годы войны 1-й ОВДААН, в котором слу</w:t>
      </w:r>
      <w:r w:rsidRPr="008127F8">
        <w:rPr>
          <w:rFonts w:ascii="Times New Roman" w:hAnsi="Times New Roman"/>
          <w:color w:val="000000" w:themeColor="text1"/>
          <w:sz w:val="16"/>
          <w:szCs w:val="16"/>
        </w:rPr>
        <w:softHyphen/>
        <w:t>жили ветераны — участники советско-финской войны Н.Н. Басалаев, С.Д. Джилкишев, В.Г. Суда</w:t>
      </w:r>
      <w:r w:rsidRPr="008127F8">
        <w:rPr>
          <w:rFonts w:ascii="Times New Roman" w:hAnsi="Times New Roman"/>
          <w:color w:val="000000" w:themeColor="text1"/>
          <w:sz w:val="16"/>
          <w:szCs w:val="16"/>
        </w:rPr>
        <w:softHyphen/>
        <w:t>ков, С.Г. Трухин, стал кузницей кадров воздуш</w:t>
      </w:r>
      <w:r w:rsidRPr="008127F8">
        <w:rPr>
          <w:rFonts w:ascii="Times New Roman" w:hAnsi="Times New Roman"/>
          <w:color w:val="000000" w:themeColor="text1"/>
          <w:sz w:val="16"/>
          <w:szCs w:val="16"/>
        </w:rPr>
        <w:softHyphen/>
        <w:t>ных наблюдателей. В разное время из дивизиона на формирование новых воздухоплавательных частей откомандировали опытных офицеров Н.Н. Басалаева, В.Г. Судакова, А.И. Выборнова и многих других. В дивизионе выработали новые способы наблюдения за противником, ведения разведки переднего края и корректировки артил</w:t>
      </w:r>
      <w:r w:rsidRPr="008127F8">
        <w:rPr>
          <w:rFonts w:ascii="Times New Roman" w:hAnsi="Times New Roman"/>
          <w:color w:val="000000" w:themeColor="text1"/>
          <w:sz w:val="16"/>
          <w:szCs w:val="16"/>
        </w:rPr>
        <w:softHyphen/>
        <w:t>лерийского огня.</w:t>
      </w:r>
    </w:p>
    <w:p w14:paraId="642114D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ноябре 1945 г. 1-й ОВДААН расформировали (20120).</w:t>
      </w:r>
    </w:p>
    <w:p w14:paraId="6428982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461DE2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на базе 16-го и 17-го ОВОААН сформировали дивизион шестиотрядного состава 2-й ОВДААН. Первым командиром 2-го ОВДААН стал майор М. Солодовников. Штаб и тылы 2-го дивизиона находились в помещении Московской средней школы № 63 (Фили), а отряды — в укреп</w:t>
      </w:r>
      <w:r w:rsidRPr="008127F8">
        <w:rPr>
          <w:rFonts w:ascii="Times New Roman" w:hAnsi="Times New Roman"/>
          <w:color w:val="000000" w:themeColor="text1"/>
          <w:sz w:val="16"/>
          <w:szCs w:val="16"/>
        </w:rPr>
        <w:softHyphen/>
        <w:t>лённом районе Московской зоны обороны.</w:t>
      </w:r>
    </w:p>
    <w:p w14:paraId="3994F4D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Срочное формирование 2-го ОВДААН вы</w:t>
      </w:r>
      <w:r w:rsidRPr="008127F8">
        <w:rPr>
          <w:rFonts w:ascii="Times New Roman" w:hAnsi="Times New Roman"/>
          <w:color w:val="000000" w:themeColor="text1"/>
          <w:sz w:val="16"/>
          <w:szCs w:val="16"/>
        </w:rPr>
        <w:softHyphen/>
        <w:t>звалось обстановкой, сложившейся на запад</w:t>
      </w:r>
      <w:r w:rsidRPr="008127F8">
        <w:rPr>
          <w:rFonts w:ascii="Times New Roman" w:hAnsi="Times New Roman"/>
          <w:color w:val="000000" w:themeColor="text1"/>
          <w:sz w:val="16"/>
          <w:szCs w:val="16"/>
        </w:rPr>
        <w:softHyphen/>
        <w:t>ном стратегическом направлении. 8 февраля 1942 г. советские войска, развивая контрнасту</w:t>
      </w:r>
      <w:r w:rsidRPr="008127F8">
        <w:rPr>
          <w:rFonts w:ascii="Times New Roman" w:hAnsi="Times New Roman"/>
          <w:color w:val="000000" w:themeColor="text1"/>
          <w:sz w:val="16"/>
          <w:szCs w:val="16"/>
        </w:rPr>
        <w:softHyphen/>
        <w:t>пление под Москвой, окружили южнее Старой Руссы в районе Демянска шесть немецких диви</w:t>
      </w:r>
      <w:r w:rsidRPr="008127F8">
        <w:rPr>
          <w:rFonts w:ascii="Times New Roman" w:hAnsi="Times New Roman"/>
          <w:color w:val="000000" w:themeColor="text1"/>
          <w:sz w:val="16"/>
          <w:szCs w:val="16"/>
        </w:rPr>
        <w:softHyphen/>
        <w:t>зий (около 95 тыс. человек). В конце марта про</w:t>
      </w:r>
      <w:r w:rsidRPr="008127F8">
        <w:rPr>
          <w:rFonts w:ascii="Times New Roman" w:hAnsi="Times New Roman"/>
          <w:color w:val="000000" w:themeColor="text1"/>
          <w:sz w:val="16"/>
          <w:szCs w:val="16"/>
        </w:rPr>
        <w:softHyphen/>
        <w:t>тивник деблокировал окружённую группировку. Образовался так называемый Демянский «ме</w:t>
      </w:r>
      <w:r w:rsidRPr="008127F8">
        <w:rPr>
          <w:rFonts w:ascii="Times New Roman" w:hAnsi="Times New Roman"/>
          <w:color w:val="000000" w:themeColor="text1"/>
          <w:sz w:val="16"/>
          <w:szCs w:val="16"/>
        </w:rPr>
        <w:softHyphen/>
        <w:t>шок» — плацдарм, представлявший потенци</w:t>
      </w:r>
      <w:r w:rsidRPr="008127F8">
        <w:rPr>
          <w:rFonts w:ascii="Times New Roman" w:hAnsi="Times New Roman"/>
          <w:color w:val="000000" w:themeColor="text1"/>
          <w:sz w:val="16"/>
          <w:szCs w:val="16"/>
        </w:rPr>
        <w:softHyphen/>
        <w:t>альную угрозу для Москвы. Сразу же после фор</w:t>
      </w:r>
      <w:r w:rsidRPr="008127F8">
        <w:rPr>
          <w:rFonts w:ascii="Times New Roman" w:hAnsi="Times New Roman"/>
          <w:color w:val="000000" w:themeColor="text1"/>
          <w:sz w:val="16"/>
          <w:szCs w:val="16"/>
        </w:rPr>
        <w:softHyphen/>
        <w:t>мирования 2-го ОВДААН в район Демянского «мешка» направили 1-й и 4-й воздухоплаватель</w:t>
      </w:r>
      <w:r w:rsidRPr="008127F8">
        <w:rPr>
          <w:rFonts w:ascii="Times New Roman" w:hAnsi="Times New Roman"/>
          <w:color w:val="000000" w:themeColor="text1"/>
          <w:sz w:val="16"/>
          <w:szCs w:val="16"/>
        </w:rPr>
        <w:softHyphen/>
        <w:t>ные отряды дивизиона под общим командовани</w:t>
      </w:r>
      <w:r w:rsidRPr="008127F8">
        <w:rPr>
          <w:rFonts w:ascii="Times New Roman" w:hAnsi="Times New Roman"/>
          <w:color w:val="000000" w:themeColor="text1"/>
          <w:sz w:val="16"/>
          <w:szCs w:val="16"/>
        </w:rPr>
        <w:softHyphen/>
        <w:t>ем В.А. Подъюрова. (Противник на этом участке фронта также широко применял аэростаты для артиллерийской разведки). Наряду с чисто разве</w:t>
      </w:r>
      <w:r w:rsidRPr="008127F8">
        <w:rPr>
          <w:rFonts w:ascii="Times New Roman" w:hAnsi="Times New Roman"/>
          <w:color w:val="000000" w:themeColor="text1"/>
          <w:sz w:val="16"/>
          <w:szCs w:val="16"/>
        </w:rPr>
        <w:softHyphen/>
        <w:t>дывательными задачами, воздухоплаватели вели метеорологические наблюдения через каждые 100 м высоты.</w:t>
      </w:r>
    </w:p>
    <w:p w14:paraId="228167B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1943 г. в 22.00 в районе д. Дуплянка подняли аэростат. В его корзине находились ко</w:t>
      </w:r>
      <w:r w:rsidRPr="008127F8">
        <w:rPr>
          <w:rFonts w:ascii="Times New Roman" w:hAnsi="Times New Roman"/>
          <w:color w:val="000000" w:themeColor="text1"/>
          <w:sz w:val="16"/>
          <w:szCs w:val="16"/>
        </w:rPr>
        <w:softHyphen/>
        <w:t>мандир воздухоплавательного отряда Констан</w:t>
      </w:r>
      <w:r w:rsidRPr="008127F8">
        <w:rPr>
          <w:rFonts w:ascii="Times New Roman" w:hAnsi="Times New Roman"/>
          <w:color w:val="000000" w:themeColor="text1"/>
          <w:sz w:val="16"/>
          <w:szCs w:val="16"/>
        </w:rPr>
        <w:softHyphen/>
        <w:t>тин Павлович Ежов и командир артиллерийской батареи капитан А.И. Дёмин. Через четверть часа после подъёма в воздух сильным порывом ве</w:t>
      </w:r>
      <w:r w:rsidRPr="008127F8">
        <w:rPr>
          <w:rFonts w:ascii="Times New Roman" w:hAnsi="Times New Roman"/>
          <w:color w:val="000000" w:themeColor="text1"/>
          <w:sz w:val="16"/>
          <w:szCs w:val="16"/>
        </w:rPr>
        <w:softHyphen/>
        <w:t>тра оборвало крепление воздухоплавательного козырька аэростата АН-540Б. Нагнетание возду</w:t>
      </w:r>
      <w:r w:rsidRPr="008127F8">
        <w:rPr>
          <w:rFonts w:ascii="Times New Roman" w:hAnsi="Times New Roman"/>
          <w:color w:val="000000" w:themeColor="text1"/>
          <w:sz w:val="16"/>
          <w:szCs w:val="16"/>
        </w:rPr>
        <w:softHyphen/>
        <w:t>ха в баллонет прекратилось, и в носовой части оболочки образовалась «ложка». При попытке наземного расчёта выбрать аэростат оборвался привязной трос. Вскрыть разрывное полотни</w:t>
      </w:r>
      <w:r w:rsidRPr="008127F8">
        <w:rPr>
          <w:rFonts w:ascii="Times New Roman" w:hAnsi="Times New Roman"/>
          <w:color w:val="000000" w:themeColor="text1"/>
          <w:sz w:val="16"/>
          <w:szCs w:val="16"/>
        </w:rPr>
        <w:softHyphen/>
        <w:t>ще не удалось, так как разрывная вожжа и обо</w:t>
      </w:r>
      <w:r w:rsidRPr="008127F8">
        <w:rPr>
          <w:rFonts w:ascii="Times New Roman" w:hAnsi="Times New Roman"/>
          <w:color w:val="000000" w:themeColor="text1"/>
          <w:sz w:val="16"/>
          <w:szCs w:val="16"/>
        </w:rPr>
        <w:softHyphen/>
        <w:t>лочка пружинили (давление внутри оболочки сравнялось с атмосферным). По приказу Ежова Дёмин выбросился с парашютом и благополуч</w:t>
      </w:r>
      <w:r w:rsidRPr="008127F8">
        <w:rPr>
          <w:rFonts w:ascii="Times New Roman" w:hAnsi="Times New Roman"/>
          <w:color w:val="000000" w:themeColor="text1"/>
          <w:sz w:val="16"/>
          <w:szCs w:val="16"/>
        </w:rPr>
        <w:softHyphen/>
        <w:t>но приземлился в километре от переднего края. Облегчённый аэростат стал набирать высоту. По осветительным ракетам Ежов понял, что переле</w:t>
      </w:r>
      <w:r w:rsidRPr="008127F8">
        <w:rPr>
          <w:rFonts w:ascii="Times New Roman" w:hAnsi="Times New Roman"/>
          <w:color w:val="000000" w:themeColor="text1"/>
          <w:sz w:val="16"/>
          <w:szCs w:val="16"/>
        </w:rPr>
        <w:softHyphen/>
        <w:t>тел линию фронта. Он двумя руками рванул за вожжу разрывного полотнища, но оно остава</w:t>
      </w:r>
      <w:r w:rsidRPr="008127F8">
        <w:rPr>
          <w:rFonts w:ascii="Times New Roman" w:hAnsi="Times New Roman"/>
          <w:color w:val="000000" w:themeColor="text1"/>
          <w:sz w:val="16"/>
          <w:szCs w:val="16"/>
        </w:rPr>
        <w:softHyphen/>
        <w:t>лось на месте. Тогда воздухоплаватель намотал разрывную вожжу на руку и выпрыгнул из кор</w:t>
      </w:r>
      <w:r w:rsidRPr="008127F8">
        <w:rPr>
          <w:rFonts w:ascii="Times New Roman" w:hAnsi="Times New Roman"/>
          <w:color w:val="000000" w:themeColor="text1"/>
          <w:sz w:val="16"/>
          <w:szCs w:val="16"/>
        </w:rPr>
        <w:softHyphen/>
        <w:t>зины. Вожжа скользнула по ладони, разорвала перчатку и порезала руку, но сорвала разрывное полотнище. Приземлившись, К.П. Ежов собрал парашют и закопал его вместе с оболочкой и кор</w:t>
      </w:r>
      <w:r w:rsidRPr="008127F8">
        <w:rPr>
          <w:rFonts w:ascii="Times New Roman" w:hAnsi="Times New Roman"/>
          <w:color w:val="000000" w:themeColor="text1"/>
          <w:sz w:val="16"/>
          <w:szCs w:val="16"/>
        </w:rPr>
        <w:softHyphen/>
        <w:t>зиной в снег, так как сохранялась вероятность приземления в тылу врага. Только с рассветом он убедился, что находится на советской терри</w:t>
      </w:r>
      <w:r w:rsidRPr="008127F8">
        <w:rPr>
          <w:rFonts w:ascii="Times New Roman" w:hAnsi="Times New Roman"/>
          <w:color w:val="000000" w:themeColor="text1"/>
          <w:sz w:val="16"/>
          <w:szCs w:val="16"/>
        </w:rPr>
        <w:softHyphen/>
        <w:t>тории. За спасение аэростата, личное мужество и находчивость капитан К. П. Ежова наградили орденом Красной Звезды20.</w:t>
      </w:r>
    </w:p>
    <w:p w14:paraId="5974DD9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восстанови</w:t>
      </w:r>
      <w:r w:rsidRPr="008127F8">
        <w:rPr>
          <w:rFonts w:ascii="Times New Roman" w:hAnsi="Times New Roman"/>
          <w:color w:val="000000" w:themeColor="text1"/>
          <w:sz w:val="16"/>
          <w:szCs w:val="16"/>
        </w:rPr>
        <w:softHyphen/>
        <w:t>ли находившиеся на консервации «СССР В-1 бис» и «СССР В-12» для снабжения водородом частей ВДВ. Их успешная эксплуатация привела к созда</w:t>
      </w:r>
      <w:r w:rsidRPr="008127F8">
        <w:rPr>
          <w:rFonts w:ascii="Times New Roman" w:hAnsi="Times New Roman"/>
          <w:color w:val="000000" w:themeColor="text1"/>
          <w:sz w:val="16"/>
          <w:szCs w:val="16"/>
        </w:rPr>
        <w:softHyphen/>
        <w:t>нию новых дирижаблей мягкого типа (20120).</w:t>
      </w:r>
    </w:p>
    <w:p w14:paraId="73663C0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419C5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
          <w:color w:val="000000" w:themeColor="text1"/>
          <w:sz w:val="16"/>
          <w:szCs w:val="16"/>
        </w:rPr>
      </w:pPr>
      <w:r w:rsidRPr="008127F8">
        <w:rPr>
          <w:rFonts w:ascii="Times New Roman" w:hAnsi="Times New Roman"/>
          <w:i/>
          <w:color w:val="000000" w:themeColor="text1"/>
          <w:sz w:val="16"/>
          <w:szCs w:val="16"/>
        </w:rPr>
        <w:t>Внешняя политика:</w:t>
      </w:r>
    </w:p>
    <w:p w14:paraId="5BBFEA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
          <w:color w:val="000000" w:themeColor="text1"/>
          <w:sz w:val="16"/>
          <w:szCs w:val="16"/>
        </w:rPr>
      </w:pPr>
    </w:p>
    <w:p w14:paraId="6C8243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один из дней мая 1942 года состоялся запланированный полет Пе-8 в США с В.М.М. на борту. Командиром корабля был Пусеп, второй пилот - Обухов, штурман - Штопенко, инженер -Золотарев. Состав пассажиров и место первой посадки стали известны командиру и штурману перед самым вылетом. Самолет прошел через линию фронта, над оккупированной Европой и сел на один из аэродромов в Северной Шотландии. Из Шотландии Пе-8 перелетел в Рейкьявик в Исландии, затем, пройдя Ньюфаундлен, взял курс на Вашингтон, где благополучно совершил посадку. Экипаж встречали сотрудники посольства СССР в США во главе с послом Литвиновым, представители американских ВВС и властей. Прилетевший в США Пе-8 с большим интересом рассматривали офицеры ВВС США. Во время пребывания в США экипаж Пе-8 в полном составе был принят президентом Рузвельтом. Поздравляя экипаж со столь трудным перелетом через океан, Рузвельт особо отметил работу инженера корабля, обеспечившего безотказную работу самолета и штурмана, сумевшего безошибочно провести самолет по заданному маршруту в условиях войны. В Москву Пе-8 возвратился тем же путем. За успешное проведение спецперелета оба пилота и штурман были удостоены званий Героев Советского Союза, а остальные члены экипажа были награждены боевыми орденами. В ОКБ и на заводе №124 с большим удовлетворением восприняли результаты этого перелета. Ведь самолет с только что поступившими в активную эксплуатацию двигателями АМ-35А без всяких отказов и повреждений совершил многотысячекилометровый перелет, дважды пересек океан, дважды линию фронта и дважды летел над территорией противника. Этот перелет весьма убедительно продемонстрировал возможности Пе-8 как дальней машины и показал, что ОКБ удалось в основном справиться с тем валом болезней, которые преследовали самолет на начальном этапе эксплуатации (7685).</w:t>
      </w:r>
    </w:p>
    <w:p w14:paraId="5C6CCBA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CC94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года Ш. Радо получил список вопросов по атомной теме. Получить необходимые сведения он поручил Сиси, Пакбо и Пьеру. Правда, по оценкам советских ученых, добытая информация свидетельствовала об отставании Германии в этой сфере и больше аналогичных задач резидентуре не ставилось (Соловьев В. О. Сочинения: В 18 кн. Кн. V История России с древнейших времен. Т. 9—10. — М.: Мысль, 1990. — 718 с.) (11765).</w:t>
      </w:r>
    </w:p>
    <w:p w14:paraId="476E1C8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4A656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погиб теплоход "Циолковский", груженый лесом и следовавший в составе конвоя в Англию. Список погибших в 1942 г. судов пароходства пополнили пароходы "Субботник", "Куйбышев", "Щорс", "Сухона". Далеко не всегда торговые суда становились легкой добычей противника. Экипажи пароходов вступали в бой с кораблями и подлодками, отражали атаки самолетов, самоотверженно боролись за спасение судна и груза. Архивных документов, посвященных этому вопросу, немного, до 90-х годов многие из них имели гриф секретности. В основном, это документы, отложившиеся в фондах обкома и горкома ВКП(б): докладные записки, справки, отчеты о поступивших в Мурманский порт грузах, потерях судов, борьбе моряков за спасение грузов, сведения о боевых и трудовых подвигах экипажей судов пароходства, воспоминания ветеранов. Документы освещают события тех лет, начиная со встречи первых судов и заканчивая последними конвоями весны 1945 года. Предлагаемая публикация не претендует на исчерпывающее освещение темы, но позволяет познакомиться с различного характера архивными документами, которые могут быть использованы исследователями темы. Для публикации отобраны документы, в основном, относящиеся к самому суровому в истории войны 1942 году. Археографическая обработка документов проведена в соответствии с действующими Правилами издания исторических документов. Документы снабжены текстуальными примечаниями и комментарием по содержанию. Из-за большого объема ряда документов часть текстов дана в извлечении. Опущенные части текста отмечены отточием в квадратных скобках, оговорены в примечаниях и в заголовке предлогом "Из...". Названия иностранных кораблей, зарубежных стан, городов даны так, как указаны в документах. Стиль документов сохранен. Общеупотребительные сокращения слов унифицированы и даны без расшифровки. Грифы "Секретно" сняты (11910).</w:t>
      </w:r>
    </w:p>
    <w:p w14:paraId="4F20F6E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AC2D7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6E5927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5195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начались безмоторные полеты на Ме 163В2 и потом летом машину испытывали в моторных полетах в Пенемюнде (3973,21).</w:t>
      </w:r>
    </w:p>
    <w:p w14:paraId="6DEB51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213663" w14:textId="77777777" w:rsidR="004F113F" w:rsidRPr="008A2E5A" w:rsidRDefault="004F113F" w:rsidP="004F11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1942 г. фирмой «Гота» начался выпуск подварианта Bf 110F-4a — первого «стодесятого», обору</w:t>
      </w:r>
      <w:r w:rsidRPr="008A2E5A">
        <w:rPr>
          <w:rFonts w:ascii="Times New Roman" w:hAnsi="Times New Roman"/>
          <w:color w:val="0070C0"/>
          <w:sz w:val="16"/>
          <w:szCs w:val="16"/>
        </w:rPr>
        <w:softHyphen/>
        <w:t>дованного радаром. РЛС FuG 202 (Lichtenstein ВС) работала на частоте 490 МГц и имела мощность в импульсе 1,5 кВт. Дальность обнаружения воздушной цели составляла всего 1,5—2 км, но если самолеты взаимодействовали с наземны</w:t>
      </w:r>
      <w:r w:rsidRPr="008A2E5A">
        <w:rPr>
          <w:rFonts w:ascii="Times New Roman" w:hAnsi="Times New Roman"/>
          <w:color w:val="0070C0"/>
          <w:sz w:val="16"/>
          <w:szCs w:val="16"/>
        </w:rPr>
        <w:softHyphen/>
        <w:t>ми РЛС, предварительно выводящими их на цель, перехваты в большинстве случаев были успешными. На этой модификации встроенные пушки MG FF были заменены на MG 151/20 (боекомплект 300 снарядов для левого орудия и 360 — для правого). Дополнительное оборудование существен</w:t>
      </w:r>
      <w:r w:rsidRPr="008A2E5A">
        <w:rPr>
          <w:rFonts w:ascii="Times New Roman" w:hAnsi="Times New Roman"/>
          <w:color w:val="0070C0"/>
          <w:sz w:val="16"/>
          <w:szCs w:val="16"/>
        </w:rPr>
        <w:softHyphen/>
        <w:t>но увеличило взлетный вес машины, к тому же её аэродинамику портили дипольные антенны радара. Поэтому максимальная скорость Bf 110F-4a упала до 470 км/ч. Часть самолетов, получивших обозначение Bf 110F-4/U1, с лета 1943 г. оборудовалась установками Schrage Musik (буквально — «наклонная музыка», т.е. джаз). Такая уста</w:t>
      </w:r>
      <w:r w:rsidRPr="008A2E5A">
        <w:rPr>
          <w:rFonts w:ascii="Times New Roman" w:hAnsi="Times New Roman"/>
          <w:color w:val="0070C0"/>
          <w:sz w:val="16"/>
          <w:szCs w:val="16"/>
        </w:rPr>
        <w:softHyphen/>
        <w:t>новка состояла из двух пушек MG FF либо МК 108, установленных в задней кабине и стреляющих наклонно вперед-вверх. При этом пулемет MG 15 снимали. Стрельбу вел летчик при помощи модифицированно</w:t>
      </w:r>
      <w:r w:rsidRPr="008A2E5A">
        <w:rPr>
          <w:rFonts w:ascii="Times New Roman" w:hAnsi="Times New Roman"/>
          <w:color w:val="0070C0"/>
          <w:sz w:val="16"/>
          <w:szCs w:val="16"/>
        </w:rPr>
        <w:softHyphen/>
        <w:t>го прицела Revi C/12D. Самолет, оборудо</w:t>
      </w:r>
      <w:r w:rsidRPr="008A2E5A">
        <w:rPr>
          <w:rFonts w:ascii="Times New Roman" w:hAnsi="Times New Roman"/>
          <w:color w:val="0070C0"/>
          <w:sz w:val="16"/>
          <w:szCs w:val="16"/>
        </w:rPr>
        <w:softHyphen/>
        <w:t>ванный «Шраге Музик», атаковал вражес</w:t>
      </w:r>
      <w:r w:rsidRPr="008A2E5A">
        <w:rPr>
          <w:rFonts w:ascii="Times New Roman" w:hAnsi="Times New Roman"/>
          <w:color w:val="0070C0"/>
          <w:sz w:val="16"/>
          <w:szCs w:val="16"/>
        </w:rPr>
        <w:softHyphen/>
        <w:t>кого бомбардировщика снизу, сам нахо</w:t>
      </w:r>
      <w:r w:rsidRPr="008A2E5A">
        <w:rPr>
          <w:rFonts w:ascii="Times New Roman" w:hAnsi="Times New Roman"/>
          <w:color w:val="0070C0"/>
          <w:sz w:val="16"/>
          <w:szCs w:val="16"/>
        </w:rPr>
        <w:softHyphen/>
        <w:t>дясь в зоне наименьшего обстрела.</w:t>
      </w:r>
    </w:p>
    <w:p w14:paraId="4A305200" w14:textId="77777777" w:rsidR="004F113F" w:rsidRPr="008A2E5A" w:rsidRDefault="004F113F" w:rsidP="004F11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Вариант Bf 110F-4 строился с декабря 1941 г. по декабрь 1942 г. фирмой «Гота» (выпущено 279 самолетов) (24191).</w:t>
      </w:r>
    </w:p>
    <w:p w14:paraId="3AC6A244" w14:textId="77777777" w:rsidR="004F113F" w:rsidRPr="008A2E5A" w:rsidRDefault="004F113F" w:rsidP="004F113F">
      <w:pPr>
        <w:spacing w:after="0" w:line="240" w:lineRule="auto"/>
        <w:jc w:val="both"/>
        <w:rPr>
          <w:rFonts w:ascii="Times New Roman" w:hAnsi="Times New Roman"/>
          <w:color w:val="0070C0"/>
          <w:sz w:val="16"/>
          <w:szCs w:val="16"/>
        </w:rPr>
      </w:pPr>
    </w:p>
    <w:p w14:paraId="714BE37E" w14:textId="77777777" w:rsidR="004F113F" w:rsidRPr="008A2E5A" w:rsidRDefault="004F113F" w:rsidP="004F11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1942 г. «Боинг» получила заказ на серийное производство 250 бомбардировщиков В-29. С апреля 1943 г. начался выпуск серии.</w:t>
      </w:r>
    </w:p>
    <w:p w14:paraId="07633BFB" w14:textId="77777777" w:rsidR="004F113F" w:rsidRPr="008A2E5A" w:rsidRDefault="004F113F" w:rsidP="004F11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Первые сведения о новом бомбарди</w:t>
      </w:r>
      <w:r w:rsidRPr="008A2E5A">
        <w:rPr>
          <w:rFonts w:ascii="Times New Roman" w:hAnsi="Times New Roman"/>
          <w:color w:val="0070C0"/>
          <w:sz w:val="16"/>
          <w:szCs w:val="16"/>
        </w:rPr>
        <w:softHyphen/>
        <w:t>ровщике советским специалистам пре</w:t>
      </w:r>
      <w:r w:rsidRPr="008A2E5A">
        <w:rPr>
          <w:rFonts w:ascii="Times New Roman" w:hAnsi="Times New Roman"/>
          <w:color w:val="0070C0"/>
          <w:sz w:val="16"/>
          <w:szCs w:val="16"/>
        </w:rPr>
        <w:softHyphen/>
        <w:t>доставил советник президента Рузвельта Э. Рикенбейкер в ходе визита в СССР вес</w:t>
      </w:r>
      <w:r w:rsidRPr="008A2E5A">
        <w:rPr>
          <w:rFonts w:ascii="Times New Roman" w:hAnsi="Times New Roman"/>
          <w:color w:val="0070C0"/>
          <w:sz w:val="16"/>
          <w:szCs w:val="16"/>
        </w:rPr>
        <w:softHyphen/>
        <w:t>ной того же года. Сопровождавший совет</w:t>
      </w:r>
      <w:r w:rsidRPr="008A2E5A">
        <w:rPr>
          <w:rFonts w:ascii="Times New Roman" w:hAnsi="Times New Roman"/>
          <w:color w:val="0070C0"/>
          <w:sz w:val="16"/>
          <w:szCs w:val="16"/>
        </w:rPr>
        <w:softHyphen/>
        <w:t>ника капитан А.И. Смоляров упомянул об этом в отчете о поездке. Информация вызвала большой интерес. От капитана потребовали написать подробный рапорт обо всем услышанном о новом бомбарди</w:t>
      </w:r>
      <w:r w:rsidRPr="008A2E5A">
        <w:rPr>
          <w:rFonts w:ascii="Times New Roman" w:hAnsi="Times New Roman"/>
          <w:color w:val="0070C0"/>
          <w:sz w:val="16"/>
          <w:szCs w:val="16"/>
        </w:rPr>
        <w:softHyphen/>
        <w:t>ровщике (23513).</w:t>
      </w:r>
    </w:p>
    <w:p w14:paraId="0500D28C" w14:textId="77777777" w:rsidR="004F113F" w:rsidRPr="008A2E5A" w:rsidRDefault="004F113F" w:rsidP="004F113F">
      <w:pPr>
        <w:spacing w:after="0" w:line="240" w:lineRule="auto"/>
        <w:jc w:val="both"/>
        <w:rPr>
          <w:rFonts w:ascii="Times New Roman" w:hAnsi="Times New Roman"/>
          <w:color w:val="0070C0"/>
          <w:sz w:val="16"/>
          <w:szCs w:val="16"/>
        </w:rPr>
      </w:pPr>
    </w:p>
    <w:p w14:paraId="0B99E77B" w14:textId="77777777" w:rsidR="004F113F" w:rsidRPr="008A2E5A" w:rsidRDefault="004F113F" w:rsidP="004F11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мая 1942 г. в серию пошел вариант Hs 129В-2 с усовершенст</w:t>
      </w:r>
      <w:r w:rsidRPr="008A2E5A">
        <w:rPr>
          <w:rFonts w:ascii="Times New Roman" w:hAnsi="Times New Roman"/>
          <w:color w:val="0070C0"/>
          <w:sz w:val="16"/>
          <w:szCs w:val="16"/>
        </w:rPr>
        <w:softHyphen/>
        <w:t>вованной топливной системой: в топливо</w:t>
      </w:r>
      <w:r w:rsidRPr="008A2E5A">
        <w:rPr>
          <w:rFonts w:ascii="Times New Roman" w:hAnsi="Times New Roman"/>
          <w:color w:val="0070C0"/>
          <w:sz w:val="16"/>
          <w:szCs w:val="16"/>
        </w:rPr>
        <w:softHyphen/>
        <w:t>проводе между фильтром и топливным насосом был установлен регулятор давле</w:t>
      </w:r>
      <w:r w:rsidRPr="008A2E5A">
        <w:rPr>
          <w:rFonts w:ascii="Times New Roman" w:hAnsi="Times New Roman"/>
          <w:color w:val="0070C0"/>
          <w:sz w:val="16"/>
          <w:szCs w:val="16"/>
        </w:rPr>
        <w:softHyphen/>
        <w:t>ния, а в крыльевых топливных баках по</w:t>
      </w:r>
      <w:r w:rsidRPr="008A2E5A">
        <w:rPr>
          <w:rFonts w:ascii="Times New Roman" w:hAnsi="Times New Roman"/>
          <w:color w:val="0070C0"/>
          <w:sz w:val="16"/>
          <w:szCs w:val="16"/>
        </w:rPr>
        <w:softHyphen/>
        <w:t>явились дренажные отверстия для пре</w:t>
      </w:r>
      <w:r w:rsidRPr="008A2E5A">
        <w:rPr>
          <w:rFonts w:ascii="Times New Roman" w:hAnsi="Times New Roman"/>
          <w:color w:val="0070C0"/>
          <w:sz w:val="16"/>
          <w:szCs w:val="16"/>
        </w:rPr>
        <w:softHyphen/>
        <w:t>дотвращения разрыва полностью заправ</w:t>
      </w:r>
      <w:r w:rsidRPr="008A2E5A">
        <w:rPr>
          <w:rFonts w:ascii="Times New Roman" w:hAnsi="Times New Roman"/>
          <w:color w:val="0070C0"/>
          <w:sz w:val="16"/>
          <w:szCs w:val="16"/>
        </w:rPr>
        <w:softHyphen/>
        <w:t>ленных баков в условиях жары. До конца года изготовили 169 таких самолетов, причем для их выпуска задействовали не только завод в Шёнефельде, но и пред</w:t>
      </w:r>
      <w:r w:rsidRPr="008A2E5A">
        <w:rPr>
          <w:rFonts w:ascii="Times New Roman" w:hAnsi="Times New Roman"/>
          <w:color w:val="0070C0"/>
          <w:sz w:val="16"/>
          <w:szCs w:val="16"/>
        </w:rPr>
        <w:softHyphen/>
        <w:t>приятие в Иоханнистале. Самолеты позд</w:t>
      </w:r>
      <w:r w:rsidRPr="008A2E5A">
        <w:rPr>
          <w:rFonts w:ascii="Times New Roman" w:hAnsi="Times New Roman"/>
          <w:color w:val="0070C0"/>
          <w:sz w:val="16"/>
          <w:szCs w:val="16"/>
        </w:rPr>
        <w:softHyphen/>
        <w:t>них выпусков получили 13,2-мм пулеметы MG 131 вместо MG17. В некоторых публи</w:t>
      </w:r>
      <w:r w:rsidRPr="008A2E5A">
        <w:rPr>
          <w:rFonts w:ascii="Times New Roman" w:hAnsi="Times New Roman"/>
          <w:color w:val="0070C0"/>
          <w:sz w:val="16"/>
          <w:szCs w:val="16"/>
        </w:rPr>
        <w:softHyphen/>
        <w:t>кациях такая модификация обозначается Hs 129B/Wa (от немецкого Waffentrager - «носитель оружия»). В 1943 г. производст</w:t>
      </w:r>
      <w:r w:rsidRPr="008A2E5A">
        <w:rPr>
          <w:rFonts w:ascii="Times New Roman" w:hAnsi="Times New Roman"/>
          <w:color w:val="0070C0"/>
          <w:sz w:val="16"/>
          <w:szCs w:val="16"/>
        </w:rPr>
        <w:softHyphen/>
        <w:t>во Hs 129В-2 продолжилось - в течение года было сдано 414 самолетов. Наиболь</w:t>
      </w:r>
      <w:r w:rsidRPr="008A2E5A">
        <w:rPr>
          <w:rFonts w:ascii="Times New Roman" w:hAnsi="Times New Roman"/>
          <w:color w:val="0070C0"/>
          <w:sz w:val="16"/>
          <w:szCs w:val="16"/>
        </w:rPr>
        <w:softHyphen/>
        <w:t>ший месячный темп выпуска достигли в июне-ноябре - по 40 самолетов. Со сре</w:t>
      </w:r>
      <w:r w:rsidRPr="008A2E5A">
        <w:rPr>
          <w:rFonts w:ascii="Times New Roman" w:hAnsi="Times New Roman"/>
          <w:color w:val="0070C0"/>
          <w:sz w:val="16"/>
          <w:szCs w:val="16"/>
        </w:rPr>
        <w:softHyphen/>
        <w:t>дины 1943 г. самолеты получали новые шестизначные заводские номера в «бло</w:t>
      </w:r>
      <w:r w:rsidRPr="008A2E5A">
        <w:rPr>
          <w:rFonts w:ascii="Times New Roman" w:hAnsi="Times New Roman"/>
          <w:color w:val="0070C0"/>
          <w:sz w:val="16"/>
          <w:szCs w:val="16"/>
        </w:rPr>
        <w:softHyphen/>
        <w:t>ках» 140000 и 141000. Производство Hs 129 осуществлялось в кооперации с целым рядом германских и французских предприятий. Завод «Рёльц» в Грасилитце (Судеты) поставлял фюзеляжи, берлин</w:t>
      </w:r>
      <w:r w:rsidRPr="008A2E5A">
        <w:rPr>
          <w:rFonts w:ascii="Times New Roman" w:hAnsi="Times New Roman"/>
          <w:color w:val="0070C0"/>
          <w:sz w:val="16"/>
          <w:szCs w:val="16"/>
        </w:rPr>
        <w:softHyphen/>
        <w:t xml:space="preserve">ское </w:t>
      </w:r>
      <w:r w:rsidRPr="008A2E5A">
        <w:rPr>
          <w:rFonts w:ascii="Times New Roman" w:hAnsi="Times New Roman"/>
          <w:color w:val="0070C0"/>
          <w:sz w:val="16"/>
          <w:szCs w:val="16"/>
        </w:rPr>
        <w:lastRenderedPageBreak/>
        <w:t>предприятие «Амби» изготовляло центроплан, завод концерна AEG в Виль</w:t>
      </w:r>
      <w:r w:rsidRPr="008A2E5A">
        <w:rPr>
          <w:rFonts w:ascii="Times New Roman" w:hAnsi="Times New Roman"/>
          <w:color w:val="0070C0"/>
          <w:sz w:val="16"/>
          <w:szCs w:val="16"/>
        </w:rPr>
        <w:softHyphen/>
        <w:t>дау - электрооборудование и детали мо</w:t>
      </w:r>
      <w:r w:rsidRPr="008A2E5A">
        <w:rPr>
          <w:rFonts w:ascii="Times New Roman" w:hAnsi="Times New Roman"/>
          <w:color w:val="0070C0"/>
          <w:sz w:val="16"/>
          <w:szCs w:val="16"/>
        </w:rPr>
        <w:softHyphen/>
        <w:t>тогондол. Парижское предприятие SNCAN осуществляло доработку под германские стандарты моторов GR 14М и производи</w:t>
      </w:r>
      <w:r w:rsidRPr="008A2E5A">
        <w:rPr>
          <w:rFonts w:ascii="Times New Roman" w:hAnsi="Times New Roman"/>
          <w:color w:val="0070C0"/>
          <w:sz w:val="16"/>
          <w:szCs w:val="16"/>
        </w:rPr>
        <w:softHyphen/>
        <w:t>ло капоты для них, а ещё один завод в Па</w:t>
      </w:r>
      <w:r w:rsidRPr="008A2E5A">
        <w:rPr>
          <w:rFonts w:ascii="Times New Roman" w:hAnsi="Times New Roman"/>
          <w:color w:val="0070C0"/>
          <w:sz w:val="16"/>
          <w:szCs w:val="16"/>
        </w:rPr>
        <w:softHyphen/>
        <w:t>риже - «Шоссон» - поставлял шасси, хво</w:t>
      </w:r>
      <w:r w:rsidRPr="008A2E5A">
        <w:rPr>
          <w:rFonts w:ascii="Times New Roman" w:hAnsi="Times New Roman"/>
          <w:color w:val="0070C0"/>
          <w:sz w:val="16"/>
          <w:szCs w:val="16"/>
        </w:rPr>
        <w:softHyphen/>
        <w:t>стовое оперение и консоли крыла. Такое распределение было в значительной мере вызвано загруженностью предприятий «Хеншеля» производством бомбардиров</w:t>
      </w:r>
      <w:r w:rsidRPr="008A2E5A">
        <w:rPr>
          <w:rFonts w:ascii="Times New Roman" w:hAnsi="Times New Roman"/>
          <w:color w:val="0070C0"/>
          <w:sz w:val="16"/>
          <w:szCs w:val="16"/>
        </w:rPr>
        <w:softHyphen/>
        <w:t>щика Ju 88. По сути, «Хеншель» изготав</w:t>
      </w:r>
      <w:r w:rsidRPr="008A2E5A">
        <w:rPr>
          <w:rFonts w:ascii="Times New Roman" w:hAnsi="Times New Roman"/>
          <w:color w:val="0070C0"/>
          <w:sz w:val="16"/>
          <w:szCs w:val="16"/>
        </w:rPr>
        <w:softHyphen/>
        <w:t>ливал лишь бронированную кабину и часть бортового оборудования Hs 129. а также производил окончательную сборку самолетов.</w:t>
      </w:r>
    </w:p>
    <w:p w14:paraId="2A520A04" w14:textId="77777777" w:rsidR="004F113F" w:rsidRPr="008A2E5A" w:rsidRDefault="004F113F" w:rsidP="004F11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процессе производства Hs 129В в конструкцию вносили мелкие изменения. Так, с самолета W.Nr. 0189 поменяли рас</w:t>
      </w:r>
      <w:r w:rsidRPr="008A2E5A">
        <w:rPr>
          <w:rFonts w:ascii="Times New Roman" w:hAnsi="Times New Roman"/>
          <w:color w:val="0070C0"/>
          <w:sz w:val="16"/>
          <w:szCs w:val="16"/>
        </w:rPr>
        <w:softHyphen/>
        <w:t>положение выдвижной лесенки. С экземп</w:t>
      </w:r>
      <w:r w:rsidRPr="008A2E5A">
        <w:rPr>
          <w:rFonts w:ascii="Times New Roman" w:hAnsi="Times New Roman"/>
          <w:color w:val="0070C0"/>
          <w:sz w:val="16"/>
          <w:szCs w:val="16"/>
        </w:rPr>
        <w:softHyphen/>
        <w:t>ляра W.Nr. 0301 изменили очертания но</w:t>
      </w:r>
      <w:r w:rsidRPr="008A2E5A">
        <w:rPr>
          <w:rFonts w:ascii="Times New Roman" w:hAnsi="Times New Roman"/>
          <w:color w:val="0070C0"/>
          <w:sz w:val="16"/>
          <w:szCs w:val="16"/>
        </w:rPr>
        <w:softHyphen/>
        <w:t>совой части фюзеляжа. Начиная с маши</w:t>
      </w:r>
      <w:r w:rsidRPr="008A2E5A">
        <w:rPr>
          <w:rFonts w:ascii="Times New Roman" w:hAnsi="Times New Roman"/>
          <w:color w:val="0070C0"/>
          <w:sz w:val="16"/>
          <w:szCs w:val="16"/>
        </w:rPr>
        <w:softHyphen/>
        <w:t>ны W.Nr. 0331, усовершенствовали пневмосистему, а также перенесли фото</w:t>
      </w:r>
      <w:r w:rsidRPr="008A2E5A">
        <w:rPr>
          <w:rFonts w:ascii="Times New Roman" w:hAnsi="Times New Roman"/>
          <w:color w:val="0070C0"/>
          <w:sz w:val="16"/>
          <w:szCs w:val="16"/>
        </w:rPr>
        <w:softHyphen/>
        <w:t>пулемет Rb 24 из носовой части фюзеля</w:t>
      </w:r>
      <w:r w:rsidRPr="008A2E5A">
        <w:rPr>
          <w:rFonts w:ascii="Times New Roman" w:hAnsi="Times New Roman"/>
          <w:color w:val="0070C0"/>
          <w:sz w:val="16"/>
          <w:szCs w:val="16"/>
        </w:rPr>
        <w:softHyphen/>
        <w:t>жа на левую консоль крыла. С самолета W.Nr. 0351 часть машин Hs 129В-2 полу</w:t>
      </w:r>
      <w:r w:rsidRPr="008A2E5A">
        <w:rPr>
          <w:rFonts w:ascii="Times New Roman" w:hAnsi="Times New Roman"/>
          <w:color w:val="0070C0"/>
          <w:sz w:val="16"/>
          <w:szCs w:val="16"/>
        </w:rPr>
        <w:softHyphen/>
        <w:t>чила устройство для буксировки десант</w:t>
      </w:r>
      <w:r w:rsidRPr="008A2E5A">
        <w:rPr>
          <w:rFonts w:ascii="Times New Roman" w:hAnsi="Times New Roman"/>
          <w:color w:val="0070C0"/>
          <w:sz w:val="16"/>
          <w:szCs w:val="16"/>
        </w:rPr>
        <w:softHyphen/>
        <w:t>ного планера DFS 230. Также на поздних сериях вместо длинных выхлопных пат</w:t>
      </w:r>
      <w:r w:rsidRPr="008A2E5A">
        <w:rPr>
          <w:rFonts w:ascii="Times New Roman" w:hAnsi="Times New Roman"/>
          <w:color w:val="0070C0"/>
          <w:sz w:val="16"/>
          <w:szCs w:val="16"/>
        </w:rPr>
        <w:softHyphen/>
        <w:t>рубков двигателей установили короткие. Радиоантенна, которая раньше крепилась к мачте, теперь фиксировалась к неболь</w:t>
      </w:r>
      <w:r w:rsidRPr="008A2E5A">
        <w:rPr>
          <w:rFonts w:ascii="Times New Roman" w:hAnsi="Times New Roman"/>
          <w:color w:val="0070C0"/>
          <w:sz w:val="16"/>
          <w:szCs w:val="16"/>
        </w:rPr>
        <w:softHyphen/>
        <w:t>шому изолятору на фюзеляже, а в состав бортового оборудования ввели радиопо лукомпас с кольцевой антенной над фю</w:t>
      </w:r>
      <w:r w:rsidRPr="008A2E5A">
        <w:rPr>
          <w:rFonts w:ascii="Times New Roman" w:hAnsi="Times New Roman"/>
          <w:color w:val="0070C0"/>
          <w:sz w:val="16"/>
          <w:szCs w:val="16"/>
        </w:rPr>
        <w:softHyphen/>
        <w:t>зеляжем. Сверху фонаря пилота устано</w:t>
      </w:r>
      <w:r w:rsidRPr="008A2E5A">
        <w:rPr>
          <w:rFonts w:ascii="Times New Roman" w:hAnsi="Times New Roman"/>
          <w:color w:val="0070C0"/>
          <w:sz w:val="16"/>
          <w:szCs w:val="16"/>
        </w:rPr>
        <w:softHyphen/>
        <w:t>вили зеркало заднего вида - первона</w:t>
      </w:r>
      <w:r w:rsidRPr="008A2E5A">
        <w:rPr>
          <w:rFonts w:ascii="Times New Roman" w:hAnsi="Times New Roman"/>
          <w:color w:val="0070C0"/>
          <w:sz w:val="16"/>
          <w:szCs w:val="16"/>
        </w:rPr>
        <w:softHyphen/>
        <w:t>чально только на самолетах, оборудован</w:t>
      </w:r>
      <w:r w:rsidRPr="008A2E5A">
        <w:rPr>
          <w:rFonts w:ascii="Times New Roman" w:hAnsi="Times New Roman"/>
          <w:color w:val="0070C0"/>
          <w:sz w:val="16"/>
          <w:szCs w:val="16"/>
        </w:rPr>
        <w:softHyphen/>
        <w:t>ных для буксировки планеров, а позже - на всех машинах, в том числе и на тех, что были поставлены в части. Посадоч</w:t>
      </w:r>
      <w:r w:rsidRPr="008A2E5A">
        <w:rPr>
          <w:rFonts w:ascii="Times New Roman" w:hAnsi="Times New Roman"/>
          <w:color w:val="0070C0"/>
          <w:sz w:val="16"/>
          <w:szCs w:val="16"/>
        </w:rPr>
        <w:softHyphen/>
        <w:t>ную фару, ранее располагавшуюся в ле</w:t>
      </w:r>
      <w:r w:rsidRPr="008A2E5A">
        <w:rPr>
          <w:rFonts w:ascii="Times New Roman" w:hAnsi="Times New Roman"/>
          <w:color w:val="0070C0"/>
          <w:sz w:val="16"/>
          <w:szCs w:val="16"/>
        </w:rPr>
        <w:softHyphen/>
        <w:t>вой консоли крыла, упразднили. Воздухо</w:t>
      </w:r>
      <w:r w:rsidRPr="008A2E5A">
        <w:rPr>
          <w:rFonts w:ascii="Times New Roman" w:hAnsi="Times New Roman"/>
          <w:color w:val="0070C0"/>
          <w:sz w:val="16"/>
          <w:szCs w:val="16"/>
        </w:rPr>
        <w:softHyphen/>
        <w:t>заборники карбюраторов, ранее имев</w:t>
      </w:r>
      <w:r w:rsidRPr="008A2E5A">
        <w:rPr>
          <w:rFonts w:ascii="Times New Roman" w:hAnsi="Times New Roman"/>
          <w:color w:val="0070C0"/>
          <w:sz w:val="16"/>
          <w:szCs w:val="16"/>
        </w:rPr>
        <w:softHyphen/>
        <w:t>шие круглое сечение, стали квадратными и уже на заводе комплектовались фильт</w:t>
      </w:r>
      <w:r w:rsidRPr="008A2E5A">
        <w:rPr>
          <w:rFonts w:ascii="Times New Roman" w:hAnsi="Times New Roman"/>
          <w:color w:val="0070C0"/>
          <w:sz w:val="16"/>
          <w:szCs w:val="16"/>
        </w:rPr>
        <w:softHyphen/>
        <w:t>рами. Значительная часть доработок бы</w:t>
      </w:r>
      <w:r w:rsidRPr="008A2E5A">
        <w:rPr>
          <w:rFonts w:ascii="Times New Roman" w:hAnsi="Times New Roman"/>
          <w:color w:val="0070C0"/>
          <w:sz w:val="16"/>
          <w:szCs w:val="16"/>
        </w:rPr>
        <w:softHyphen/>
        <w:t>ла вызвана проблемами, вскрывшимися в ходе эксплуатации Hs 129В в строю. В частности, пришлось вносить изменения в гидравлическую систему, автомат из</w:t>
      </w:r>
      <w:r w:rsidRPr="008A2E5A">
        <w:rPr>
          <w:rFonts w:ascii="Times New Roman" w:hAnsi="Times New Roman"/>
          <w:color w:val="0070C0"/>
          <w:sz w:val="16"/>
          <w:szCs w:val="16"/>
        </w:rPr>
        <w:softHyphen/>
        <w:t>менения шага винта, колесные тормоза и пр. Дольше всего не удавалось справить</w:t>
      </w:r>
      <w:r w:rsidRPr="008A2E5A">
        <w:rPr>
          <w:rFonts w:ascii="Times New Roman" w:hAnsi="Times New Roman"/>
          <w:color w:val="0070C0"/>
          <w:sz w:val="16"/>
          <w:szCs w:val="16"/>
        </w:rPr>
        <w:softHyphen/>
        <w:t>ся с уязвимостью двигателей для пыли и песка передовых аэродромов - лишь упоминавшаяся комплектация воздухоза</w:t>
      </w:r>
      <w:r w:rsidRPr="008A2E5A">
        <w:rPr>
          <w:rFonts w:ascii="Times New Roman" w:hAnsi="Times New Roman"/>
          <w:color w:val="0070C0"/>
          <w:sz w:val="16"/>
          <w:szCs w:val="16"/>
        </w:rPr>
        <w:softHyphen/>
        <w:t>борников карбюраторов фильтрами поз</w:t>
      </w:r>
      <w:r w:rsidRPr="008A2E5A">
        <w:rPr>
          <w:rFonts w:ascii="Times New Roman" w:hAnsi="Times New Roman"/>
          <w:color w:val="0070C0"/>
          <w:sz w:val="16"/>
          <w:szCs w:val="16"/>
        </w:rPr>
        <w:softHyphen/>
        <w:t>волила снизить остроту этой проблемы. Некоторые предлагавшиеся изменения были отвергнуты по различным причи</w:t>
      </w:r>
      <w:r w:rsidRPr="008A2E5A">
        <w:rPr>
          <w:rFonts w:ascii="Times New Roman" w:hAnsi="Times New Roman"/>
          <w:color w:val="0070C0"/>
          <w:sz w:val="16"/>
          <w:szCs w:val="16"/>
        </w:rPr>
        <w:softHyphen/>
        <w:t>нам. Например, на самолете W.Nr. 0266 для улучшения обзора вместо плоских боковых панелей фонаря кабины устано</w:t>
      </w:r>
      <w:r w:rsidRPr="008A2E5A">
        <w:rPr>
          <w:rFonts w:ascii="Times New Roman" w:hAnsi="Times New Roman"/>
          <w:color w:val="0070C0"/>
          <w:sz w:val="16"/>
          <w:szCs w:val="16"/>
        </w:rPr>
        <w:softHyphen/>
        <w:t>вили выпуклые. Но на деле никакого улучшения не произошло - напротив, но</w:t>
      </w:r>
      <w:r w:rsidRPr="008A2E5A">
        <w:rPr>
          <w:rFonts w:ascii="Times New Roman" w:hAnsi="Times New Roman"/>
          <w:color w:val="0070C0"/>
          <w:sz w:val="16"/>
          <w:szCs w:val="16"/>
        </w:rPr>
        <w:softHyphen/>
        <w:t>вые панели имели недопустимый коэф</w:t>
      </w:r>
      <w:r w:rsidRPr="008A2E5A">
        <w:rPr>
          <w:rFonts w:ascii="Times New Roman" w:hAnsi="Times New Roman"/>
          <w:color w:val="0070C0"/>
          <w:sz w:val="16"/>
          <w:szCs w:val="16"/>
        </w:rPr>
        <w:softHyphen/>
        <w:t>фициент искажения, и самолеты продол</w:t>
      </w:r>
      <w:r w:rsidRPr="008A2E5A">
        <w:rPr>
          <w:rFonts w:ascii="Times New Roman" w:hAnsi="Times New Roman"/>
          <w:color w:val="0070C0"/>
          <w:sz w:val="16"/>
          <w:szCs w:val="16"/>
        </w:rPr>
        <w:softHyphen/>
        <w:t>жали выпускать со старыми фонарями (24189).</w:t>
      </w:r>
    </w:p>
    <w:p w14:paraId="2856F500" w14:textId="77777777" w:rsidR="004F113F" w:rsidRPr="008A2E5A" w:rsidRDefault="004F113F" w:rsidP="004F113F">
      <w:pPr>
        <w:spacing w:after="0" w:line="240" w:lineRule="auto"/>
        <w:jc w:val="both"/>
        <w:rPr>
          <w:rFonts w:ascii="Times New Roman" w:hAnsi="Times New Roman"/>
          <w:color w:val="0070C0"/>
          <w:sz w:val="16"/>
          <w:szCs w:val="16"/>
        </w:rPr>
      </w:pPr>
    </w:p>
    <w:p w14:paraId="2B01C7A9" w14:textId="77777777" w:rsidR="004F113F" w:rsidRPr="008A2E5A" w:rsidRDefault="004F113F" w:rsidP="004F11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мае 1942 г. выполнил первый полет двухмоторный истребитель </w:t>
      </w:r>
      <w:bookmarkStart w:id="11" w:name="bookmark85"/>
      <w:r w:rsidRPr="008A2E5A">
        <w:rPr>
          <w:rFonts w:ascii="Times New Roman" w:hAnsi="Times New Roman"/>
          <w:color w:val="0070C0"/>
          <w:sz w:val="16"/>
          <w:szCs w:val="16"/>
        </w:rPr>
        <w:t>IMAM Ro.58</w:t>
      </w:r>
      <w:bookmarkEnd w:id="11"/>
      <w:r w:rsidRPr="008A2E5A">
        <w:rPr>
          <w:rFonts w:ascii="Times New Roman" w:hAnsi="Times New Roman"/>
          <w:color w:val="0070C0"/>
          <w:sz w:val="16"/>
          <w:szCs w:val="16"/>
        </w:rPr>
        <w:t xml:space="preserve">. </w:t>
      </w:r>
    </w:p>
    <w:p w14:paraId="7E555CE2" w14:textId="77777777" w:rsidR="004F113F" w:rsidRPr="008A2E5A" w:rsidRDefault="004F113F" w:rsidP="004F11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Требования, согласованные с командо</w:t>
      </w:r>
      <w:r w:rsidRPr="008A2E5A">
        <w:rPr>
          <w:rFonts w:ascii="Times New Roman" w:hAnsi="Times New Roman"/>
          <w:color w:val="0070C0"/>
          <w:sz w:val="16"/>
          <w:szCs w:val="16"/>
        </w:rPr>
        <w:softHyphen/>
        <w:t>вание «Реджиа Аэронаутика», предусматривали созда</w:t>
      </w:r>
      <w:r w:rsidRPr="008A2E5A">
        <w:rPr>
          <w:rFonts w:ascii="Times New Roman" w:hAnsi="Times New Roman"/>
          <w:color w:val="0070C0"/>
          <w:sz w:val="16"/>
          <w:szCs w:val="16"/>
        </w:rPr>
        <w:softHyphen/>
        <w:t>ние двухмоторного истребителя с достаточно высоки</w:t>
      </w:r>
      <w:r w:rsidRPr="008A2E5A">
        <w:rPr>
          <w:rFonts w:ascii="Times New Roman" w:hAnsi="Times New Roman"/>
          <w:color w:val="0070C0"/>
          <w:sz w:val="16"/>
          <w:szCs w:val="16"/>
        </w:rPr>
        <w:softHyphen/>
        <w:t>ми летными данными - максимальной скоростью 600 км/ч, дальностью полета 1500 км и практическим по</w:t>
      </w:r>
      <w:r w:rsidRPr="008A2E5A">
        <w:rPr>
          <w:rFonts w:ascii="Times New Roman" w:hAnsi="Times New Roman"/>
          <w:color w:val="0070C0"/>
          <w:sz w:val="16"/>
          <w:szCs w:val="16"/>
        </w:rPr>
        <w:softHyphen/>
        <w:t>толком 10000 м. Самолет должен был получить брони</w:t>
      </w:r>
      <w:r w:rsidRPr="008A2E5A">
        <w:rPr>
          <w:rFonts w:ascii="Times New Roman" w:hAnsi="Times New Roman"/>
          <w:color w:val="0070C0"/>
          <w:sz w:val="16"/>
          <w:szCs w:val="16"/>
        </w:rPr>
        <w:softHyphen/>
        <w:t>рование и очень мощное наступательное вооружение - пять 20-мм пушек MG 151/20 (три в носовой части и две под пилотской кабиной). В отличие от Ro.57 новая машина, получившая обозначение Ro.58, была двух</w:t>
      </w:r>
      <w:r w:rsidRPr="008A2E5A">
        <w:rPr>
          <w:rFonts w:ascii="Times New Roman" w:hAnsi="Times New Roman"/>
          <w:color w:val="0070C0"/>
          <w:sz w:val="16"/>
          <w:szCs w:val="16"/>
        </w:rPr>
        <w:softHyphen/>
        <w:t>местной, и у стрелка-радиста имелась оборонитель</w:t>
      </w:r>
      <w:r w:rsidRPr="008A2E5A">
        <w:rPr>
          <w:rFonts w:ascii="Times New Roman" w:hAnsi="Times New Roman"/>
          <w:color w:val="0070C0"/>
          <w:sz w:val="16"/>
          <w:szCs w:val="16"/>
        </w:rPr>
        <w:softHyphen/>
        <w:t>ная установка с 12,7-мм пулеметом. Взамен прежних моторов «Фиат» A.74RC 38 применили немецкие «Даймлер-Бенц» DB 601А мощностью 1175 л.с.</w:t>
      </w:r>
    </w:p>
    <w:p w14:paraId="2BD936AD" w14:textId="77777777" w:rsidR="004F113F" w:rsidRPr="008A2E5A" w:rsidRDefault="004F113F" w:rsidP="004F11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Уже в первом полете возникли трудности, и только благодаря квали</w:t>
      </w:r>
      <w:r w:rsidRPr="008A2E5A">
        <w:rPr>
          <w:rFonts w:ascii="Times New Roman" w:hAnsi="Times New Roman"/>
          <w:color w:val="0070C0"/>
          <w:sz w:val="16"/>
          <w:szCs w:val="16"/>
        </w:rPr>
        <w:softHyphen/>
        <w:t>фикации пилота удалось посадить самолет без по</w:t>
      </w:r>
      <w:r w:rsidRPr="008A2E5A">
        <w:rPr>
          <w:rFonts w:ascii="Times New Roman" w:hAnsi="Times New Roman"/>
          <w:color w:val="0070C0"/>
          <w:sz w:val="16"/>
          <w:szCs w:val="16"/>
        </w:rPr>
        <w:softHyphen/>
        <w:t>вреждений. Следующий полет так же был прерван из- за перегрева обоих двигателей. После этого самолет подвергся значительной перестройке - была сущест</w:t>
      </w:r>
      <w:r w:rsidRPr="008A2E5A">
        <w:rPr>
          <w:rFonts w:ascii="Times New Roman" w:hAnsi="Times New Roman"/>
          <w:color w:val="0070C0"/>
          <w:sz w:val="16"/>
          <w:szCs w:val="16"/>
        </w:rPr>
        <w:softHyphen/>
        <w:t>венно переделана хвостовая часть и радиаторы двига</w:t>
      </w:r>
      <w:r w:rsidRPr="008A2E5A">
        <w:rPr>
          <w:rFonts w:ascii="Times New Roman" w:hAnsi="Times New Roman"/>
          <w:color w:val="0070C0"/>
          <w:sz w:val="16"/>
          <w:szCs w:val="16"/>
        </w:rPr>
        <w:softHyphen/>
        <w:t>телей. Однако и после этого самолет показал свой но</w:t>
      </w:r>
      <w:r w:rsidRPr="008A2E5A">
        <w:rPr>
          <w:rFonts w:ascii="Times New Roman" w:hAnsi="Times New Roman"/>
          <w:color w:val="0070C0"/>
          <w:sz w:val="16"/>
          <w:szCs w:val="16"/>
        </w:rPr>
        <w:softHyphen/>
        <w:t>ров - следующий полет закончился аварией, вышли из строя трубопроводы гидравлической системы.</w:t>
      </w:r>
    </w:p>
    <w:p w14:paraId="471345F7" w14:textId="77777777" w:rsidR="004F113F" w:rsidRPr="008A2E5A" w:rsidRDefault="004F113F" w:rsidP="004F11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вновь отремонтировали, и испытания были продолжены в Гуидонии. Там самолет прошел сравни</w:t>
      </w:r>
      <w:r w:rsidRPr="008A2E5A">
        <w:rPr>
          <w:rFonts w:ascii="Times New Roman" w:hAnsi="Times New Roman"/>
          <w:color w:val="0070C0"/>
          <w:sz w:val="16"/>
          <w:szCs w:val="16"/>
        </w:rPr>
        <w:softHyphen/>
        <w:t>тельные испытания с немецким Me 410 и показал не</w:t>
      </w:r>
      <w:r w:rsidRPr="008A2E5A">
        <w:rPr>
          <w:rFonts w:ascii="Times New Roman" w:hAnsi="Times New Roman"/>
          <w:color w:val="0070C0"/>
          <w:sz w:val="16"/>
          <w:szCs w:val="16"/>
        </w:rPr>
        <w:softHyphen/>
        <w:t>плохие летные качества. Однако машина была очень сложной в управлении, что выдвигало повышенные требования к уровню подготовки пилотов. Этот вывод и трудности с поставкой двигателей затянули испыта</w:t>
      </w:r>
      <w:r w:rsidRPr="008A2E5A">
        <w:rPr>
          <w:rFonts w:ascii="Times New Roman" w:hAnsi="Times New Roman"/>
          <w:color w:val="0070C0"/>
          <w:sz w:val="16"/>
          <w:szCs w:val="16"/>
        </w:rPr>
        <w:softHyphen/>
        <w:t>ния до 1943 г. В ходе этих испытаний рассматривался вопрос о превращения Ro.58 в специальный самолет для уничтожения бомбардировочных армад союзни</w:t>
      </w:r>
      <w:r w:rsidRPr="008A2E5A">
        <w:rPr>
          <w:rFonts w:ascii="Times New Roman" w:hAnsi="Times New Roman"/>
          <w:color w:val="0070C0"/>
          <w:sz w:val="16"/>
          <w:szCs w:val="16"/>
        </w:rPr>
        <w:softHyphen/>
        <w:t>ков. Согласно этим планам самолет с подвешенными бомбами должны был быть подорван посреди форми</w:t>
      </w:r>
      <w:r w:rsidRPr="008A2E5A">
        <w:rPr>
          <w:rFonts w:ascii="Times New Roman" w:hAnsi="Times New Roman"/>
          <w:color w:val="0070C0"/>
          <w:sz w:val="16"/>
          <w:szCs w:val="16"/>
        </w:rPr>
        <w:softHyphen/>
        <w:t>рования бомбардировщиков. Дальнейшим работам над самолетом помешала капитуляция Италии. Судьба единственного построенного самолета теряется после сентября 1943 г. Второй экземпляр (ММ432) так и не был закончен.</w:t>
      </w:r>
    </w:p>
    <w:p w14:paraId="496FFAA2" w14:textId="77777777" w:rsidR="004F113F" w:rsidRPr="008A2E5A" w:rsidRDefault="004F113F" w:rsidP="004F113F">
      <w:pPr>
        <w:spacing w:after="0" w:line="240" w:lineRule="auto"/>
        <w:jc w:val="both"/>
        <w:rPr>
          <w:rFonts w:ascii="Times New Roman" w:hAnsi="Times New Roman"/>
          <w:color w:val="0070C0"/>
          <w:sz w:val="16"/>
          <w:szCs w:val="16"/>
        </w:rPr>
      </w:pPr>
      <w:bookmarkStart w:id="12" w:name="bookmark87"/>
      <w:r w:rsidRPr="008A2E5A">
        <w:rPr>
          <w:rFonts w:ascii="Times New Roman" w:hAnsi="Times New Roman"/>
          <w:color w:val="0070C0"/>
          <w:sz w:val="16"/>
          <w:szCs w:val="16"/>
        </w:rPr>
        <w:t>Летно-тактические характеристики самолета Ro.58</w:t>
      </w:r>
      <w:bookmarkEnd w:id="12"/>
    </w:p>
    <w:tbl>
      <w:tblPr>
        <w:tblOverlap w:val="never"/>
        <w:tblW w:w="0" w:type="auto"/>
        <w:tblLayout w:type="fixed"/>
        <w:tblCellMar>
          <w:left w:w="10" w:type="dxa"/>
          <w:right w:w="10" w:type="dxa"/>
        </w:tblCellMar>
        <w:tblLook w:val="04A0" w:firstRow="1" w:lastRow="0" w:firstColumn="1" w:lastColumn="0" w:noHBand="0" w:noVBand="1"/>
      </w:tblPr>
      <w:tblGrid>
        <w:gridCol w:w="3168"/>
        <w:gridCol w:w="1536"/>
      </w:tblGrid>
      <w:tr w:rsidR="004F113F" w:rsidRPr="008A2E5A" w14:paraId="45136519" w14:textId="77777777" w:rsidTr="004C5D62">
        <w:trPr>
          <w:trHeight w:val="230"/>
        </w:trPr>
        <w:tc>
          <w:tcPr>
            <w:tcW w:w="3168" w:type="dxa"/>
            <w:tcBorders>
              <w:top w:val="single" w:sz="4" w:space="0" w:color="auto"/>
              <w:left w:val="single" w:sz="4" w:space="0" w:color="auto"/>
            </w:tcBorders>
            <w:shd w:val="clear" w:color="auto" w:fill="auto"/>
            <w:vAlign w:val="bottom"/>
          </w:tcPr>
          <w:p w14:paraId="67EEF3E3" w14:textId="77777777" w:rsidR="004F113F" w:rsidRPr="008A2E5A" w:rsidRDefault="004F11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крыла, м</w:t>
            </w:r>
          </w:p>
        </w:tc>
        <w:tc>
          <w:tcPr>
            <w:tcW w:w="1536" w:type="dxa"/>
            <w:tcBorders>
              <w:top w:val="single" w:sz="4" w:space="0" w:color="auto"/>
              <w:right w:val="single" w:sz="4" w:space="0" w:color="auto"/>
            </w:tcBorders>
            <w:shd w:val="clear" w:color="auto" w:fill="auto"/>
            <w:vAlign w:val="bottom"/>
          </w:tcPr>
          <w:p w14:paraId="550F3FE7" w14:textId="77777777" w:rsidR="004F113F" w:rsidRPr="008A2E5A" w:rsidRDefault="004F11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13,40</w:t>
            </w:r>
          </w:p>
        </w:tc>
      </w:tr>
      <w:tr w:rsidR="004F113F" w:rsidRPr="008A2E5A" w14:paraId="7B7ECD5E" w14:textId="77777777" w:rsidTr="004C5D62">
        <w:trPr>
          <w:trHeight w:val="178"/>
        </w:trPr>
        <w:tc>
          <w:tcPr>
            <w:tcW w:w="3168" w:type="dxa"/>
            <w:tcBorders>
              <w:left w:val="single" w:sz="4" w:space="0" w:color="auto"/>
            </w:tcBorders>
            <w:shd w:val="clear" w:color="auto" w:fill="auto"/>
            <w:vAlign w:val="bottom"/>
          </w:tcPr>
          <w:p w14:paraId="141A444E" w14:textId="77777777" w:rsidR="004F113F" w:rsidRPr="008A2E5A" w:rsidRDefault="004F11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самолета, м</w:t>
            </w:r>
          </w:p>
        </w:tc>
        <w:tc>
          <w:tcPr>
            <w:tcW w:w="1536" w:type="dxa"/>
            <w:tcBorders>
              <w:right w:val="single" w:sz="4" w:space="0" w:color="auto"/>
            </w:tcBorders>
            <w:shd w:val="clear" w:color="auto" w:fill="auto"/>
            <w:vAlign w:val="bottom"/>
          </w:tcPr>
          <w:p w14:paraId="4EBB1E1B" w14:textId="77777777" w:rsidR="004F113F" w:rsidRPr="008A2E5A" w:rsidRDefault="004F11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9,89</w:t>
            </w:r>
          </w:p>
        </w:tc>
      </w:tr>
      <w:tr w:rsidR="004F113F" w:rsidRPr="008A2E5A" w14:paraId="3C70FA61" w14:textId="77777777" w:rsidTr="004C5D62">
        <w:trPr>
          <w:trHeight w:val="178"/>
        </w:trPr>
        <w:tc>
          <w:tcPr>
            <w:tcW w:w="3168" w:type="dxa"/>
            <w:tcBorders>
              <w:left w:val="single" w:sz="4" w:space="0" w:color="auto"/>
            </w:tcBorders>
            <w:shd w:val="clear" w:color="auto" w:fill="auto"/>
            <w:vAlign w:val="bottom"/>
          </w:tcPr>
          <w:p w14:paraId="4A998E00" w14:textId="77777777" w:rsidR="004F113F" w:rsidRPr="008A2E5A" w:rsidRDefault="004F11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самолета, м</w:t>
            </w:r>
          </w:p>
        </w:tc>
        <w:tc>
          <w:tcPr>
            <w:tcW w:w="1536" w:type="dxa"/>
            <w:tcBorders>
              <w:right w:val="single" w:sz="4" w:space="0" w:color="auto"/>
            </w:tcBorders>
            <w:shd w:val="clear" w:color="auto" w:fill="auto"/>
            <w:vAlign w:val="bottom"/>
          </w:tcPr>
          <w:p w14:paraId="7FE983C4" w14:textId="77777777" w:rsidR="004F113F" w:rsidRPr="008A2E5A" w:rsidRDefault="004F11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3,39</w:t>
            </w:r>
          </w:p>
        </w:tc>
      </w:tr>
      <w:tr w:rsidR="004F113F" w:rsidRPr="008A2E5A" w14:paraId="6B67E660" w14:textId="77777777" w:rsidTr="004C5D62">
        <w:trPr>
          <w:trHeight w:val="187"/>
        </w:trPr>
        <w:tc>
          <w:tcPr>
            <w:tcW w:w="3168" w:type="dxa"/>
            <w:tcBorders>
              <w:left w:val="single" w:sz="4" w:space="0" w:color="auto"/>
            </w:tcBorders>
            <w:shd w:val="clear" w:color="auto" w:fill="auto"/>
            <w:vAlign w:val="bottom"/>
          </w:tcPr>
          <w:p w14:paraId="55421E99" w14:textId="77777777" w:rsidR="004F113F" w:rsidRPr="008A2E5A" w:rsidRDefault="004F11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Площадь крыла, кв. м</w:t>
            </w:r>
          </w:p>
        </w:tc>
        <w:tc>
          <w:tcPr>
            <w:tcW w:w="1536" w:type="dxa"/>
            <w:tcBorders>
              <w:right w:val="single" w:sz="4" w:space="0" w:color="auto"/>
            </w:tcBorders>
            <w:shd w:val="clear" w:color="auto" w:fill="auto"/>
            <w:vAlign w:val="bottom"/>
          </w:tcPr>
          <w:p w14:paraId="649CB8BC" w14:textId="77777777" w:rsidR="004F113F" w:rsidRPr="008A2E5A" w:rsidRDefault="004F11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26,20</w:t>
            </w:r>
          </w:p>
        </w:tc>
      </w:tr>
      <w:tr w:rsidR="004F113F" w:rsidRPr="008A2E5A" w14:paraId="3A636097" w14:textId="77777777" w:rsidTr="004C5D62">
        <w:trPr>
          <w:trHeight w:val="182"/>
        </w:trPr>
        <w:tc>
          <w:tcPr>
            <w:tcW w:w="3168" w:type="dxa"/>
            <w:tcBorders>
              <w:left w:val="single" w:sz="4" w:space="0" w:color="auto"/>
            </w:tcBorders>
            <w:shd w:val="clear" w:color="auto" w:fill="auto"/>
          </w:tcPr>
          <w:p w14:paraId="0BFDE82A" w14:textId="77777777" w:rsidR="004F113F" w:rsidRPr="008A2E5A" w:rsidRDefault="004F11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Масса, кг:</w:t>
            </w:r>
          </w:p>
        </w:tc>
        <w:tc>
          <w:tcPr>
            <w:tcW w:w="1536" w:type="dxa"/>
            <w:tcBorders>
              <w:right w:val="single" w:sz="4" w:space="0" w:color="auto"/>
            </w:tcBorders>
            <w:shd w:val="clear" w:color="auto" w:fill="auto"/>
          </w:tcPr>
          <w:p w14:paraId="26C04D54" w14:textId="77777777" w:rsidR="004F113F" w:rsidRPr="008A2E5A" w:rsidRDefault="004F113F" w:rsidP="004C5D62">
            <w:pPr>
              <w:spacing w:after="0" w:line="240" w:lineRule="auto"/>
              <w:jc w:val="both"/>
              <w:rPr>
                <w:rFonts w:ascii="Times New Roman" w:hAnsi="Times New Roman"/>
                <w:color w:val="0070C0"/>
                <w:sz w:val="16"/>
                <w:szCs w:val="16"/>
              </w:rPr>
            </w:pPr>
          </w:p>
        </w:tc>
      </w:tr>
      <w:tr w:rsidR="004F113F" w:rsidRPr="008A2E5A" w14:paraId="3C8DBAA8" w14:textId="77777777" w:rsidTr="004C5D62">
        <w:trPr>
          <w:trHeight w:val="182"/>
        </w:trPr>
        <w:tc>
          <w:tcPr>
            <w:tcW w:w="3168" w:type="dxa"/>
            <w:tcBorders>
              <w:left w:val="single" w:sz="4" w:space="0" w:color="auto"/>
            </w:tcBorders>
            <w:shd w:val="clear" w:color="auto" w:fill="auto"/>
          </w:tcPr>
          <w:p w14:paraId="117D48DD" w14:textId="77777777" w:rsidR="004F113F" w:rsidRPr="008A2E5A" w:rsidRDefault="004F11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пустого самолета</w:t>
            </w:r>
          </w:p>
        </w:tc>
        <w:tc>
          <w:tcPr>
            <w:tcW w:w="1536" w:type="dxa"/>
            <w:tcBorders>
              <w:right w:val="single" w:sz="4" w:space="0" w:color="auto"/>
            </w:tcBorders>
            <w:shd w:val="clear" w:color="auto" w:fill="auto"/>
          </w:tcPr>
          <w:p w14:paraId="0E610F1E" w14:textId="77777777" w:rsidR="004F113F" w:rsidRPr="008A2E5A" w:rsidRDefault="004F11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4350</w:t>
            </w:r>
          </w:p>
        </w:tc>
      </w:tr>
      <w:tr w:rsidR="004F113F" w:rsidRPr="008A2E5A" w14:paraId="24ED7010" w14:textId="77777777" w:rsidTr="004C5D62">
        <w:trPr>
          <w:trHeight w:val="168"/>
        </w:trPr>
        <w:tc>
          <w:tcPr>
            <w:tcW w:w="3168" w:type="dxa"/>
            <w:tcBorders>
              <w:left w:val="single" w:sz="4" w:space="0" w:color="auto"/>
            </w:tcBorders>
            <w:shd w:val="clear" w:color="auto" w:fill="auto"/>
          </w:tcPr>
          <w:p w14:paraId="243E80D2" w14:textId="77777777" w:rsidR="004F113F" w:rsidRPr="008A2E5A" w:rsidRDefault="004F11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взлетная</w:t>
            </w:r>
          </w:p>
        </w:tc>
        <w:tc>
          <w:tcPr>
            <w:tcW w:w="1536" w:type="dxa"/>
            <w:tcBorders>
              <w:right w:val="single" w:sz="4" w:space="0" w:color="auto"/>
            </w:tcBorders>
            <w:shd w:val="clear" w:color="auto" w:fill="auto"/>
          </w:tcPr>
          <w:p w14:paraId="0CE0BE33" w14:textId="77777777" w:rsidR="004F113F" w:rsidRPr="008A2E5A" w:rsidRDefault="004F11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6100</w:t>
            </w:r>
          </w:p>
        </w:tc>
      </w:tr>
      <w:tr w:rsidR="004F113F" w:rsidRPr="008A2E5A" w14:paraId="21EB5A7D" w14:textId="77777777" w:rsidTr="004C5D62">
        <w:trPr>
          <w:trHeight w:val="187"/>
        </w:trPr>
        <w:tc>
          <w:tcPr>
            <w:tcW w:w="3168" w:type="dxa"/>
            <w:tcBorders>
              <w:left w:val="single" w:sz="4" w:space="0" w:color="auto"/>
            </w:tcBorders>
            <w:shd w:val="clear" w:color="auto" w:fill="auto"/>
            <w:vAlign w:val="bottom"/>
          </w:tcPr>
          <w:p w14:paraId="43F0DEDE" w14:textId="77777777" w:rsidR="004F113F" w:rsidRPr="008A2E5A" w:rsidRDefault="004F11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км/ч</w:t>
            </w:r>
          </w:p>
        </w:tc>
        <w:tc>
          <w:tcPr>
            <w:tcW w:w="1536" w:type="dxa"/>
            <w:tcBorders>
              <w:right w:val="single" w:sz="4" w:space="0" w:color="auto"/>
            </w:tcBorders>
            <w:shd w:val="clear" w:color="auto" w:fill="auto"/>
            <w:vAlign w:val="bottom"/>
          </w:tcPr>
          <w:p w14:paraId="0AA2C850" w14:textId="77777777" w:rsidR="004F113F" w:rsidRPr="008A2E5A" w:rsidRDefault="004F11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605</w:t>
            </w:r>
          </w:p>
        </w:tc>
      </w:tr>
      <w:tr w:rsidR="004F113F" w:rsidRPr="008A2E5A" w14:paraId="246FEB92" w14:textId="77777777" w:rsidTr="004C5D62">
        <w:trPr>
          <w:trHeight w:val="178"/>
        </w:trPr>
        <w:tc>
          <w:tcPr>
            <w:tcW w:w="3168" w:type="dxa"/>
            <w:tcBorders>
              <w:left w:val="single" w:sz="4" w:space="0" w:color="auto"/>
            </w:tcBorders>
            <w:shd w:val="clear" w:color="auto" w:fill="auto"/>
          </w:tcPr>
          <w:p w14:paraId="5CFB3471" w14:textId="77777777" w:rsidR="004F113F" w:rsidRPr="008A2E5A" w:rsidRDefault="004F11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м</w:t>
            </w:r>
          </w:p>
        </w:tc>
        <w:tc>
          <w:tcPr>
            <w:tcW w:w="1536" w:type="dxa"/>
            <w:tcBorders>
              <w:right w:val="single" w:sz="4" w:space="0" w:color="auto"/>
            </w:tcBorders>
            <w:shd w:val="clear" w:color="auto" w:fill="auto"/>
          </w:tcPr>
          <w:p w14:paraId="2C17B462" w14:textId="77777777" w:rsidR="004F113F" w:rsidRPr="008A2E5A" w:rsidRDefault="004F11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9800</w:t>
            </w:r>
          </w:p>
        </w:tc>
      </w:tr>
      <w:tr w:rsidR="004F113F" w:rsidRPr="008A2E5A" w14:paraId="2B8C51BD" w14:textId="77777777" w:rsidTr="004C5D62">
        <w:trPr>
          <w:trHeight w:val="230"/>
        </w:trPr>
        <w:tc>
          <w:tcPr>
            <w:tcW w:w="3168" w:type="dxa"/>
            <w:tcBorders>
              <w:left w:val="single" w:sz="4" w:space="0" w:color="auto"/>
              <w:bottom w:val="single" w:sz="4" w:space="0" w:color="auto"/>
            </w:tcBorders>
            <w:shd w:val="clear" w:color="auto" w:fill="auto"/>
          </w:tcPr>
          <w:p w14:paraId="74ACFCF4" w14:textId="77777777" w:rsidR="004F113F" w:rsidRPr="008A2E5A" w:rsidRDefault="004F11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км</w:t>
            </w:r>
          </w:p>
        </w:tc>
        <w:tc>
          <w:tcPr>
            <w:tcW w:w="1536" w:type="dxa"/>
            <w:tcBorders>
              <w:bottom w:val="single" w:sz="4" w:space="0" w:color="auto"/>
              <w:right w:val="single" w:sz="4" w:space="0" w:color="auto"/>
            </w:tcBorders>
            <w:shd w:val="clear" w:color="auto" w:fill="auto"/>
          </w:tcPr>
          <w:p w14:paraId="2B711055" w14:textId="77777777" w:rsidR="004F113F" w:rsidRPr="008A2E5A" w:rsidRDefault="004F11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1500</w:t>
            </w:r>
          </w:p>
        </w:tc>
      </w:tr>
    </w:tbl>
    <w:p w14:paraId="412896BA" w14:textId="77777777" w:rsidR="004F113F" w:rsidRPr="008A2E5A" w:rsidRDefault="004F113F" w:rsidP="004F11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(24178).</w:t>
      </w:r>
    </w:p>
    <w:p w14:paraId="4D2B39F5" w14:textId="77777777" w:rsidR="004F113F" w:rsidRPr="008A2E5A" w:rsidRDefault="004F113F" w:rsidP="004F113F">
      <w:pPr>
        <w:spacing w:after="0" w:line="240" w:lineRule="auto"/>
        <w:jc w:val="both"/>
        <w:rPr>
          <w:rFonts w:ascii="Times New Roman" w:hAnsi="Times New Roman"/>
          <w:color w:val="0070C0"/>
          <w:sz w:val="16"/>
          <w:szCs w:val="16"/>
        </w:rPr>
      </w:pPr>
    </w:p>
    <w:p w14:paraId="779139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"Боинг" получила заказ на серийное производство 250 бомбардировщиков В-29 (3457,117).</w:t>
      </w:r>
    </w:p>
    <w:p w14:paraId="194E9B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B3475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Май 1942 года состоялся первый полет </w:t>
      </w:r>
      <w:r w:rsidRPr="008127F8">
        <w:rPr>
          <w:rFonts w:ascii="Times New Roman" w:hAnsi="Times New Roman"/>
          <w:color w:val="000000" w:themeColor="text1"/>
          <w:sz w:val="16"/>
          <w:szCs w:val="16"/>
          <w:lang w:val="en-US"/>
        </w:rPr>
        <w:t>Aichi</w:t>
      </w:r>
      <w:r w:rsidRP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7</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lang w:val="en-US"/>
        </w:rPr>
        <w:t>Ryusei</w:t>
      </w:r>
      <w:r w:rsidRPr="008127F8">
        <w:rPr>
          <w:rFonts w:ascii="Times New Roman" w:hAnsi="Times New Roman"/>
          <w:color w:val="000000" w:themeColor="text1"/>
          <w:sz w:val="16"/>
          <w:szCs w:val="16"/>
        </w:rPr>
        <w:t xml:space="preserve"> («Падающая звезда»), союзное имя «Грейс» (20793).</w:t>
      </w:r>
    </w:p>
    <w:p w14:paraId="33C3E45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D1C9A0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Май 1942 года состоялся первый полет </w:t>
      </w:r>
      <w:r w:rsidRPr="008127F8">
        <w:rPr>
          <w:rFonts w:ascii="Times New Roman" w:hAnsi="Times New Roman"/>
          <w:color w:val="000000" w:themeColor="text1"/>
          <w:sz w:val="16"/>
          <w:szCs w:val="16"/>
          <w:lang w:val="en-US"/>
        </w:rPr>
        <w:t>Aichi</w:t>
      </w:r>
      <w:r w:rsidRP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lang w:val="en-US"/>
        </w:rPr>
        <w:t>E</w:t>
      </w:r>
      <w:r w:rsidRPr="008127F8">
        <w:rPr>
          <w:rFonts w:ascii="Times New Roman" w:hAnsi="Times New Roman"/>
          <w:color w:val="000000" w:themeColor="text1"/>
          <w:sz w:val="16"/>
          <w:szCs w:val="16"/>
        </w:rPr>
        <w:t>16</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lang w:val="en-US"/>
        </w:rPr>
        <w:t>Zuiun</w:t>
      </w:r>
      <w:r w:rsidRPr="008127F8">
        <w:rPr>
          <w:rFonts w:ascii="Times New Roman" w:hAnsi="Times New Roman"/>
          <w:color w:val="000000" w:themeColor="text1"/>
          <w:sz w:val="16"/>
          <w:szCs w:val="16"/>
        </w:rPr>
        <w:t xml:space="preserve"> («Благоприятное Облако»), союзное имя в сообщении «Пол» (20793).</w:t>
      </w:r>
    </w:p>
    <w:p w14:paraId="4D4DDB0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B97F233" w14:textId="77777777" w:rsidR="004F113F" w:rsidRPr="008A2E5A" w:rsidRDefault="004F113F" w:rsidP="004F11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1942 г. несущие Харрикейн на катапульте «Эмпайр Морн» вместе с «Эмпайр Лоренс» включили в конвой PQ 16 На этот раз пилоту Кендалу с «Морна» пришлось ка</w:t>
      </w:r>
      <w:r w:rsidRPr="008A2E5A">
        <w:rPr>
          <w:rFonts w:ascii="Times New Roman" w:hAnsi="Times New Roman"/>
          <w:color w:val="0070C0"/>
          <w:sz w:val="16"/>
          <w:szCs w:val="16"/>
        </w:rPr>
        <w:softHyphen/>
        <w:t>тапультироваться. Сначала его послали сбить летающую лодку BV 138, следившую за суда</w:t>
      </w:r>
      <w:r w:rsidRPr="008A2E5A">
        <w:rPr>
          <w:rFonts w:ascii="Times New Roman" w:hAnsi="Times New Roman"/>
          <w:color w:val="0070C0"/>
          <w:sz w:val="16"/>
          <w:szCs w:val="16"/>
        </w:rPr>
        <w:softHyphen/>
        <w:t>ми. Но с подходом большой группы бомбар</w:t>
      </w:r>
      <w:r w:rsidRPr="008A2E5A">
        <w:rPr>
          <w:rFonts w:ascii="Times New Roman" w:hAnsi="Times New Roman"/>
          <w:color w:val="0070C0"/>
          <w:sz w:val="16"/>
          <w:szCs w:val="16"/>
        </w:rPr>
        <w:softHyphen/>
        <w:t>дировщиков Ju 88 Кендала перенацелили на нее. Пилот выбрал один из бомбардиров</w:t>
      </w:r>
      <w:r w:rsidRPr="008A2E5A">
        <w:rPr>
          <w:rFonts w:ascii="Times New Roman" w:hAnsi="Times New Roman"/>
          <w:color w:val="0070C0"/>
          <w:sz w:val="16"/>
          <w:szCs w:val="16"/>
        </w:rPr>
        <w:softHyphen/>
        <w:t>щиков и атаковал его сбоку. Первый заход оказался неудачным, но зато после второго, с хвоста, один мотор «юнкерса» встал, а из второго потянулся черный дым. С «Морна» видели, как «немец» упал в нескольких ми</w:t>
      </w:r>
      <w:r w:rsidRPr="008A2E5A">
        <w:rPr>
          <w:rFonts w:ascii="Times New Roman" w:hAnsi="Times New Roman"/>
          <w:color w:val="0070C0"/>
          <w:sz w:val="16"/>
          <w:szCs w:val="16"/>
        </w:rPr>
        <w:softHyphen/>
        <w:t>лях по правому борту. Когда бензин подошел к концу, Кендал выпрыгнул с парашютом; его подобрал эсминец «Боадисеа».</w:t>
      </w:r>
    </w:p>
    <w:p w14:paraId="2F3348AC" w14:textId="77777777" w:rsidR="004F113F" w:rsidRPr="008A2E5A" w:rsidRDefault="004F113F" w:rsidP="004F11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«Лоренса» стартовал пилот Хэй, пошед</w:t>
      </w:r>
      <w:r w:rsidRPr="008A2E5A">
        <w:rPr>
          <w:rFonts w:ascii="Times New Roman" w:hAnsi="Times New Roman"/>
          <w:color w:val="0070C0"/>
          <w:sz w:val="16"/>
          <w:szCs w:val="16"/>
        </w:rPr>
        <w:softHyphen/>
        <w:t>ший навстречу четверке Не 111Н. Он спикиро</w:t>
      </w:r>
      <w:r w:rsidRPr="008A2E5A">
        <w:rPr>
          <w:rFonts w:ascii="Times New Roman" w:hAnsi="Times New Roman"/>
          <w:color w:val="0070C0"/>
          <w:sz w:val="16"/>
          <w:szCs w:val="16"/>
        </w:rPr>
        <w:softHyphen/>
        <w:t>вал на один из них и увидел красную вспыш</w:t>
      </w:r>
      <w:r w:rsidRPr="008A2E5A">
        <w:rPr>
          <w:rFonts w:ascii="Times New Roman" w:hAnsi="Times New Roman"/>
          <w:color w:val="0070C0"/>
          <w:sz w:val="16"/>
          <w:szCs w:val="16"/>
        </w:rPr>
        <w:softHyphen/>
        <w:t>ку на одном из моторов, затем посыпались какие-то обломки, и «хейнкель» завалился в море. Ко второму бомбардировщику Хэй подошел справа. Несмотря на огонь стрел</w:t>
      </w:r>
      <w:r w:rsidRPr="008A2E5A">
        <w:rPr>
          <w:rFonts w:ascii="Times New Roman" w:hAnsi="Times New Roman"/>
          <w:color w:val="0070C0"/>
          <w:sz w:val="16"/>
          <w:szCs w:val="16"/>
        </w:rPr>
        <w:softHyphen/>
        <w:t>ков, он дал длинную очередь с близкого расстояния. На фюзеляже за кабиной по</w:t>
      </w:r>
      <w:r w:rsidRPr="008A2E5A">
        <w:rPr>
          <w:rFonts w:ascii="Times New Roman" w:hAnsi="Times New Roman"/>
          <w:color w:val="0070C0"/>
          <w:sz w:val="16"/>
          <w:szCs w:val="16"/>
        </w:rPr>
        <w:softHyphen/>
        <w:t>явились дыры. Хэй хотел дать еще очередь, но в этот момент ветровой козырек разлетелся, а контрольная лампа показала утечку глико</w:t>
      </w:r>
      <w:r w:rsidRPr="008A2E5A">
        <w:rPr>
          <w:rFonts w:ascii="Times New Roman" w:hAnsi="Times New Roman"/>
          <w:color w:val="0070C0"/>
          <w:sz w:val="16"/>
          <w:szCs w:val="16"/>
        </w:rPr>
        <w:softHyphen/>
        <w:t>ля. За бронеспинкой разорвался небольшой снаряд. Некоторые источники указывают, что истребитель в суматохе подбили зенитчики транспорта «Карлтон». Пилот все-таки прице</w:t>
      </w:r>
      <w:r w:rsidRPr="008A2E5A">
        <w:rPr>
          <w:rFonts w:ascii="Times New Roman" w:hAnsi="Times New Roman"/>
          <w:color w:val="0070C0"/>
          <w:sz w:val="16"/>
          <w:szCs w:val="16"/>
        </w:rPr>
        <w:softHyphen/>
        <w:t>лился в уходящий «хейнкель» и выпустил ему вслед все оставшиеся патроны. Затем Хэй, ра</w:t>
      </w:r>
      <w:r w:rsidRPr="008A2E5A">
        <w:rPr>
          <w:rFonts w:ascii="Times New Roman" w:hAnsi="Times New Roman"/>
          <w:color w:val="0070C0"/>
          <w:sz w:val="16"/>
          <w:szCs w:val="16"/>
        </w:rPr>
        <w:softHyphen/>
        <w:t>ненный в ногу, выпрыгнул с парашютом. Его спасательная лодка оказалась дырявой, но через шесть минут летчика выудили из воды матросы эсминца «Волонтир».</w:t>
      </w:r>
    </w:p>
    <w:p w14:paraId="5D77C686" w14:textId="77777777" w:rsidR="004F113F" w:rsidRPr="008A2E5A" w:rsidRDefault="004F113F" w:rsidP="004F11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следующий конвой, PQ 17, отправив</w:t>
      </w:r>
      <w:r w:rsidRPr="008A2E5A">
        <w:rPr>
          <w:rFonts w:ascii="Times New Roman" w:hAnsi="Times New Roman"/>
          <w:color w:val="0070C0"/>
          <w:sz w:val="16"/>
          <w:szCs w:val="16"/>
        </w:rPr>
        <w:softHyphen/>
        <w:t>шийся в путь в июле того же года, включили судно «Эмпайр Тайд» (новенькое — 1941 г. постройки). Интересно, что кроме штатного «Си Харрикейна» на нем имелся деревянный макет, который собирались поставить на ка</w:t>
      </w:r>
      <w:r w:rsidRPr="008A2E5A">
        <w:rPr>
          <w:rFonts w:ascii="Times New Roman" w:hAnsi="Times New Roman"/>
          <w:color w:val="0070C0"/>
          <w:sz w:val="16"/>
          <w:szCs w:val="16"/>
        </w:rPr>
        <w:softHyphen/>
        <w:t>тапульту после «израсходования» настоящей машины — для дезинформации противника. Но макет не понадобился. Истребитель два</w:t>
      </w:r>
      <w:r w:rsidRPr="008A2E5A">
        <w:rPr>
          <w:rFonts w:ascii="Times New Roman" w:hAnsi="Times New Roman"/>
          <w:color w:val="0070C0"/>
          <w:sz w:val="16"/>
          <w:szCs w:val="16"/>
        </w:rPr>
        <w:softHyphen/>
        <w:t>жды готовили к катапультированию, но уви</w:t>
      </w:r>
      <w:r w:rsidRPr="008A2E5A">
        <w:rPr>
          <w:rFonts w:ascii="Times New Roman" w:hAnsi="Times New Roman"/>
          <w:color w:val="0070C0"/>
          <w:sz w:val="16"/>
          <w:szCs w:val="16"/>
        </w:rPr>
        <w:softHyphen/>
        <w:t>дев вращение винта, немецкие воздушные разведчики тут же уходили прочь. Конвой был разгромлен немцами, но «Эмпайр Тайд» добрался до берегов Новой Земли, а затем пришел в Архангельск (24506).</w:t>
      </w:r>
    </w:p>
    <w:p w14:paraId="5707ECED" w14:textId="77777777" w:rsidR="004F113F" w:rsidRPr="008A2E5A" w:rsidRDefault="004F113F" w:rsidP="004F113F">
      <w:pPr>
        <w:spacing w:after="0" w:line="240" w:lineRule="auto"/>
        <w:jc w:val="both"/>
        <w:rPr>
          <w:rFonts w:ascii="Times New Roman" w:hAnsi="Times New Roman"/>
          <w:color w:val="0070C0"/>
          <w:sz w:val="16"/>
          <w:szCs w:val="16"/>
        </w:rPr>
      </w:pPr>
    </w:p>
    <w:p w14:paraId="3ED794E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мае 1942-го, когда «Боинг» заканчивал поставки В-17Е и был готов начать сдачу Заказчику следующего варианта «летающей крепости», у него появился неожиданный конкурент. Собственно говоря, он появился еще до войны, просто директорат «Боинга» не придал ему значения – Консолидейтед (22838). </w:t>
      </w:r>
    </w:p>
    <w:p w14:paraId="6F7805B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A80D06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мая 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в части ВВС США стали поступать 1</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600-фунтовые бомбы МК1 весом 721 кг. Бомба имела длину 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121</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мм и диаметр 356 мм. МК1 содержала 95 кг пикрата аммония, т.</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е. всего 13</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от общего веса бомбы. Эта бомба, сброшенная с высоты 2,9 км, могла пробить горизонтальную броню толщиной от 127 до 180 мм (в зависимости от качества брони). Бомба использовалась с палубных самолетов «Авен-джер» и «Хелдивер». Для других палубных машин она была слишком тяжела.</w:t>
      </w:r>
    </w:p>
    <w:p w14:paraId="6AC7771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1945</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принимается на вооружение тяжелая 4</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000-фунтовая бомба М63. Вес ее составлял 1</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758 кг, длина 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096 мм, диаметр 457 мм. Бомба содержала 147 кг пикрата аммония. Сброшенная с высоты 6</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100 м (20 тысяч футов), бомба М63 могла пробить горизонтальную броню толщиной до 305 мм. Это был наиболее крупный серийный авиационный боеприпас ВВС США, используемый в годы Второй мировой войны (22892).</w:t>
      </w:r>
    </w:p>
    <w:p w14:paraId="0130F41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E0FFEE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фирма «Мицубиси» получила задание создать Ki</w:t>
      </w:r>
      <w:r w:rsidRPr="008127F8">
        <w:rPr>
          <w:rFonts w:ascii="Times New Roman" w:hAnsi="Times New Roman"/>
          <w:color w:val="000000" w:themeColor="text1"/>
          <w:sz w:val="16"/>
          <w:szCs w:val="16"/>
        </w:rPr>
        <w:noBreakHyphen/>
        <w:t>46</w:t>
      </w:r>
      <w:r w:rsidRPr="008127F8">
        <w:rPr>
          <w:rFonts w:ascii="Times New Roman" w:hAnsi="Times New Roman"/>
          <w:color w:val="000000" w:themeColor="text1"/>
          <w:sz w:val="16"/>
          <w:szCs w:val="16"/>
        </w:rPr>
        <w:noBreakHyphen/>
        <w:t>III - модификацию самолета Ki</w:t>
      </w:r>
      <w:r w:rsidRPr="008127F8">
        <w:rPr>
          <w:rFonts w:ascii="Times New Roman" w:hAnsi="Times New Roman"/>
          <w:color w:val="000000" w:themeColor="text1"/>
          <w:sz w:val="16"/>
          <w:szCs w:val="16"/>
        </w:rPr>
        <w:noBreakHyphen/>
        <w:t>46</w:t>
      </w:r>
      <w:r w:rsidRPr="008127F8">
        <w:rPr>
          <w:rFonts w:ascii="Times New Roman" w:hAnsi="Times New Roman"/>
          <w:color w:val="000000" w:themeColor="text1"/>
          <w:sz w:val="16"/>
          <w:szCs w:val="16"/>
        </w:rPr>
        <w:noBreakHyphen/>
        <w:t>II с улучшенными ТТХ: скорость увеличена до 650 км/ч; продолжительность полета увеличена на 1 ч. Проектирование модификации начато в июле 1942 г.</w:t>
      </w:r>
    </w:p>
    <w:p w14:paraId="56B3A04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Построен в декабре 1942 г. и в том же месяце совершил первый полет.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Испытания показали существенный рост высотно-скоростных данных: максимальная скорость увеличилась с 604 до 630 км/ч на границе высотности 6000 м (была 5800 м). Это было больше, чем у нового стратегического разведчика Tachikawa Ki-70, из-за чего </w:t>
      </w:r>
      <w:r w:rsidRPr="008127F8">
        <w:rPr>
          <w:rFonts w:ascii="Times New Roman" w:hAnsi="Times New Roman"/>
          <w:color w:val="000000" w:themeColor="text1"/>
          <w:sz w:val="16"/>
          <w:szCs w:val="16"/>
        </w:rPr>
        <w:lastRenderedPageBreak/>
        <w:t xml:space="preserve">от запуска в серию этого самолета, который должен был сменить Ki-46, отказались.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Прошел испытания с положительной оценкой, но самолет был запущен в серийное производство еще до начала испытаний (23177).</w:t>
      </w:r>
    </w:p>
    <w:p w14:paraId="441831A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F35FB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танки серии PZ. IVG получили еще более мощную 75-мм пушку длиной 48 калибров. Толщина их лобовой брони путем экранировкой была увеличена до 80 мм. Эта модернизация более или менее уравняла Т-34 и его основного противника в бою PZ. IV - по вооружению и бронированию. Во всяком случае, новая немецкая танковая пушка превосходила наши 76-мм Ф-32, Ф-34, ЗИС-5 по бронебойности. Тем более, что к ней уже был разработан подкалиберный снаряд. Т-34-76 утратил свое огневое преимущество в бою с основным немецким танком 1942-43 гг. (3905).</w:t>
      </w:r>
    </w:p>
    <w:p w14:paraId="050CDE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56B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фирмы Даймлер-Бенц и МАН представили проекты будущего Т-5 Пантера. МАН победил (355,9).</w:t>
      </w:r>
    </w:p>
    <w:p w14:paraId="05BCE33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663FC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1942 г. фирмы "Даймлер-Бенц" (DB) и MAN представили свои проекты нового немецкого среднего танка. "DB" предложила танк даже внешне напоминавший Т-34 и с той же компоновкой: то есть моторно-трансмиссионное отделение и ведущее колесо заднего расположения, башня сдвинута вперед. Фирма предлагала даже установить дизель-мотор. Отличной от Т-34 была лишь ходовая часть - она состояла из 8 катков (на сторону) большого диаметра, расположенных в шахматном порядке с листовыми рессорами в качестве элемента подвески. Фирма MAN предложила традиционную немецкую компоновку, т.е. двигатель сзади, трансмиссия в передней части корпуса, башня - между ними. В ходовой части те же 8 больших катков в шахматном порядке, но уже с торсионной подвеской, к тому же двойной. Проект фирмы DB обещал более дешевую машину, более простую в изготовлении и обслуживании, однако при переднем расположении башни установить в ней новую длинноствольную пушку фирмы "Рейнметалл" не представлялось возможным. А первым требованием к нового танку была установка мощного вооружения - пушки с большой начальной скоростью бронебойного снаряда (3905).</w:t>
      </w:r>
    </w:p>
    <w:p w14:paraId="7FAA6E7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5DBB81" w14:textId="77777777" w:rsidR="007C5583" w:rsidRPr="008127F8" w:rsidRDefault="007C5583" w:rsidP="007C5583">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В мае 1942 г. на территории Вели</w:t>
      </w:r>
      <w:r w:rsidRPr="008127F8">
        <w:rPr>
          <w:rFonts w:ascii="Times New Roman" w:cs="Times New Roman"/>
          <w:color w:val="000000" w:themeColor="text1"/>
          <w:spacing w:val="0"/>
          <w:sz w:val="16"/>
          <w:szCs w:val="16"/>
        </w:rPr>
        <w:softHyphen/>
        <w:t>кобритании стала формироваться 8-я воздушная армия, с августа начавшая воздушное наступление на Германию (15772).</w:t>
      </w:r>
    </w:p>
    <w:p w14:paraId="4EEF14B6" w14:textId="77777777" w:rsidR="007C5583" w:rsidRPr="009234E5" w:rsidRDefault="007C5583" w:rsidP="007C5583">
      <w:pPr>
        <w:pStyle w:val="5f"/>
        <w:shd w:val="clear" w:color="auto" w:fill="auto"/>
        <w:spacing w:line="240" w:lineRule="auto"/>
        <w:rPr>
          <w:color w:val="000000" w:themeColor="text1"/>
          <w:sz w:val="16"/>
          <w:szCs w:val="16"/>
          <w:lang w:val="ru-RU"/>
        </w:rPr>
      </w:pPr>
    </w:p>
    <w:p w14:paraId="44FA6395"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мае 1942 года было начато производство Light Tank M3A1. По корпусу машина была очень похожа на предшественника, но некоторые изменения имели место. Прежде всего, военные отказались от двух дополнительных пулемётов, которые занимали место в надгусеничных полках и оказались малоэффективными. Их амбразуры закрыли заглушками, а благодаря высвободившемуся месту удалось разместить в танке рацию без сокращения боекомплекта. Уже в ходе производства при сборке корпуса стала применяться сварка, правда, в весьма ограниченных объёмах. Сваривались детали бортов подбашенной коробки, приварными были выполнены и петли люков. На более поздних машинах пулемётная амбразура с заглушкой осталась лишь на правом борту.</w:t>
      </w:r>
    </w:p>
    <w:p w14:paraId="54CB2052"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Век Light Tank M3A1 на конвейере оказался недолгим. Производство танка закончилось в январе 1943 года, за это время было выпущено 4410 машин с бензиновым мотором и 211 с дизельным. К слову, была попытка наладить производство M3A1 и со сварными корпусами из гомогенной брони. Такие танки предполагалось обозначить как Light Tank M3A2, но их производство так и не началось. Что же касается M3A1, то его звезда довольно быстро закатилась по вполне объективным причинам. В апреле 1942 года на заводе Cadillac началось производство Light Tank M5, который имел куда более удачную конструкцию корпуса, да и спарка автомобильных двигателей в качестве силовой установки оказалась более предпочтительной. На смену M3A1 пришёл другой танк на этой же базе</w:t>
      </w:r>
      <w:r w:rsidRPr="008127F8">
        <w:rPr>
          <w:rFonts w:ascii="Times New Roman" w:hAnsi="Times New Roman"/>
          <w:color w:val="000000" w:themeColor="text1"/>
          <w:sz w:val="16"/>
          <w:szCs w:val="16"/>
        </w:rPr>
        <w:t xml:space="preserve"> (17464)</w:t>
      </w:r>
      <w:r w:rsidRPr="008127F8">
        <w:rPr>
          <w:rFonts w:ascii="Times New Roman" w:eastAsia="Times New Roman" w:hAnsi="Times New Roman"/>
          <w:color w:val="000000" w:themeColor="text1"/>
          <w:sz w:val="16"/>
          <w:szCs w:val="16"/>
        </w:rPr>
        <w:t>.</w:t>
      </w:r>
    </w:p>
    <w:p w14:paraId="0FA3D7C9"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rPr>
      </w:pPr>
    </w:p>
    <w:p w14:paraId="1B9A066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7EF347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C8D07C" w14:textId="77777777" w:rsidR="005F19C5" w:rsidRPr="008A2E5A" w:rsidRDefault="005F19C5" w:rsidP="005F19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мая по июнь 1942 г. на заводах №№ 1, 18 и 24 по подсчетам А.В. Захарченко было зафиксировано 4150 случаев невыхода на работу по разным причинам, связанным в основном с дезертирством. Из этого числа не менее 1768 дел было передано в военную прокуратуру. Всего же в течение года с этих заводов дезертировали порядка 11500 человек (при</w:t>
      </w:r>
      <w:r w:rsidRPr="008A2E5A">
        <w:rPr>
          <w:rFonts w:ascii="Times New Roman" w:hAnsi="Times New Roman"/>
          <w:color w:val="0070C0"/>
          <w:sz w:val="16"/>
          <w:szCs w:val="16"/>
        </w:rPr>
        <w:softHyphen/>
        <w:t>мерно 20% среднесписочного состава или около 40% от количества мобилизованных на заводы рабочих за этот пе</w:t>
      </w:r>
      <w:r w:rsidRPr="008A2E5A">
        <w:rPr>
          <w:rFonts w:ascii="Times New Roman" w:hAnsi="Times New Roman"/>
          <w:color w:val="0070C0"/>
          <w:sz w:val="16"/>
          <w:szCs w:val="16"/>
        </w:rPr>
        <w:softHyphen/>
        <w:t>риод). Из них свыше 90% имели стаж работы менее одного года, а более 75% были в возрасте от 14 до 25 лет.</w:t>
      </w:r>
    </w:p>
    <w:p w14:paraId="7AF3185C" w14:textId="77777777" w:rsidR="005F19C5" w:rsidRPr="008A2E5A" w:rsidRDefault="005F19C5" w:rsidP="005F19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данным М.Ю. Мухина установленные специальными комиссиями причины этих явлений сводились в основном к недопустимо низкому уровню бытовых условий даже для военного времени. Так, обеспечение питанием рабочих (организация, калорийность, отпускные нормы) было ниже всякой критики. Антисанитария в столовых, нехватка по</w:t>
      </w:r>
      <w:r w:rsidRPr="008A2E5A">
        <w:rPr>
          <w:rFonts w:ascii="Times New Roman" w:hAnsi="Times New Roman"/>
          <w:color w:val="0070C0"/>
          <w:sz w:val="16"/>
          <w:szCs w:val="16"/>
        </w:rPr>
        <w:softHyphen/>
        <w:t>садочных мест, физическое отсутствие ложек и тарелок. Приходилось долго ждать или иметь свою посуду. Жилье для молодых работников, как правило, выделялось далеко не лучшего качества - грязные, неотапливаемые бараки и нары без постельных принадлежностей. Из-за отсутствия в магазинах ОРСа одежды и хозяйственного мыла промто</w:t>
      </w:r>
      <w:r w:rsidRPr="008A2E5A">
        <w:rPr>
          <w:rFonts w:ascii="Times New Roman" w:hAnsi="Times New Roman"/>
          <w:color w:val="0070C0"/>
          <w:sz w:val="16"/>
          <w:szCs w:val="16"/>
        </w:rPr>
        <w:softHyphen/>
        <w:t>варные карточки реализовать было нельзя. Как результат, рабочая молодежь вскоре после прихода на завод прио</w:t>
      </w:r>
      <w:r w:rsidRPr="008A2E5A">
        <w:rPr>
          <w:rFonts w:ascii="Times New Roman" w:hAnsi="Times New Roman"/>
          <w:color w:val="0070C0"/>
          <w:sz w:val="16"/>
          <w:szCs w:val="16"/>
        </w:rPr>
        <w:softHyphen/>
        <w:t>бретала вид оборванцев - ветхая одежда, разбитая обувь, вши, кожные и желудочно-кишечные заболевания.</w:t>
      </w:r>
    </w:p>
    <w:p w14:paraId="5AFA702A" w14:textId="77777777" w:rsidR="005F19C5" w:rsidRPr="008A2E5A" w:rsidRDefault="005F19C5" w:rsidP="005F19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этого, на моральное состояние молодых работ</w:t>
      </w:r>
      <w:r w:rsidRPr="008A2E5A">
        <w:rPr>
          <w:rFonts w:ascii="Times New Roman" w:hAnsi="Times New Roman"/>
          <w:color w:val="0070C0"/>
          <w:sz w:val="16"/>
          <w:szCs w:val="16"/>
        </w:rPr>
        <w:softHyphen/>
        <w:t>ников негативно влияли такие факторы, как жесткий рабо</w:t>
      </w:r>
      <w:r w:rsidRPr="008A2E5A">
        <w:rPr>
          <w:rFonts w:ascii="Times New Roman" w:hAnsi="Times New Roman"/>
          <w:color w:val="0070C0"/>
          <w:sz w:val="16"/>
          <w:szCs w:val="16"/>
        </w:rPr>
        <w:softHyphen/>
        <w:t>чий график, обязательные нормы, которые они поначалу не могли выполнить (отсюда массовый брак), давление со стороны мастеров, бригадиров, начальников цехов, а также, что немаловажно, оторванность от семьи и привычного жизненного уклада.</w:t>
      </w:r>
    </w:p>
    <w:p w14:paraId="54ADE714" w14:textId="77777777" w:rsidR="005F19C5" w:rsidRPr="008A2E5A" w:rsidRDefault="005F19C5" w:rsidP="005F19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Приказы и распоряжения НКАП требовали принимать самые решительные меры по укреплению трудовой дисци</w:t>
      </w:r>
      <w:r w:rsidRPr="008A2E5A">
        <w:rPr>
          <w:rFonts w:ascii="Times New Roman" w:hAnsi="Times New Roman"/>
          <w:color w:val="0070C0"/>
          <w:sz w:val="16"/>
          <w:szCs w:val="16"/>
        </w:rPr>
        <w:softHyphen/>
        <w:t>плины, расследовать каждый случай невыхода на работу, своевременно передавать дела в военную прокуратуру, доводить приговоры судов до сведения всех работников. Однако директора заводов №№ 1, 18 и 24 всеми силами пытались сдерживать репрессивный механизм борьбы с дезертирством и нарушениями трудовой дисциплины. Стара</w:t>
      </w:r>
      <w:r w:rsidRPr="008A2E5A">
        <w:rPr>
          <w:rFonts w:ascii="Times New Roman" w:hAnsi="Times New Roman"/>
          <w:color w:val="0070C0"/>
          <w:sz w:val="16"/>
          <w:szCs w:val="16"/>
        </w:rPr>
        <w:softHyphen/>
        <w:t>лись избирательно подойти к каждому случаю самовольного оставления рабочего места, ограничивались товарищескими судами в цехах, вынесением взысканий и т.д. С целью пре</w:t>
      </w:r>
      <w:r w:rsidRPr="008A2E5A">
        <w:rPr>
          <w:rFonts w:ascii="Times New Roman" w:hAnsi="Times New Roman"/>
          <w:color w:val="0070C0"/>
          <w:sz w:val="16"/>
          <w:szCs w:val="16"/>
        </w:rPr>
        <w:softHyphen/>
        <w:t>дупреждения случаев дезертирства практиковали изъятие у молодых работников паспортов, заменяя их временными удостоверениями. На руки паспорт выдавался только в слу</w:t>
      </w:r>
      <w:r w:rsidRPr="008A2E5A">
        <w:rPr>
          <w:rFonts w:ascii="Times New Roman" w:hAnsi="Times New Roman"/>
          <w:color w:val="0070C0"/>
          <w:sz w:val="16"/>
          <w:szCs w:val="16"/>
        </w:rPr>
        <w:softHyphen/>
        <w:t>чае регистрации брака и выезда в командировку.</w:t>
      </w:r>
    </w:p>
    <w:p w14:paraId="2E86D2B8" w14:textId="77777777" w:rsidR="005F19C5" w:rsidRPr="008A2E5A" w:rsidRDefault="005F19C5" w:rsidP="005F19C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показали дальнейшие события, случаи дезертирства продолжали иметь место и в 1943 г., и в 1944 г., и даже в 1945 г. (правда, в заметно меньшем масштабе и совсем по дру</w:t>
      </w:r>
      <w:r w:rsidRPr="008A2E5A">
        <w:rPr>
          <w:rFonts w:ascii="Times New Roman" w:hAnsi="Times New Roman"/>
          <w:color w:val="0070C0"/>
          <w:sz w:val="16"/>
          <w:szCs w:val="16"/>
        </w:rPr>
        <w:softHyphen/>
        <w:t>гим причинам). Качество же выпускаемой продукции пришло в некое подобие нормы лишь к началу 1944 г. после стабили</w:t>
      </w:r>
      <w:r w:rsidRPr="008A2E5A">
        <w:rPr>
          <w:rFonts w:ascii="Times New Roman" w:hAnsi="Times New Roman"/>
          <w:color w:val="0070C0"/>
          <w:sz w:val="16"/>
          <w:szCs w:val="16"/>
        </w:rPr>
        <w:softHyphen/>
        <w:t>зации основного кадрового состава заводов (что привело к повышению среднего уровня квалификации работников). (23346).</w:t>
      </w:r>
    </w:p>
    <w:p w14:paraId="054E9844" w14:textId="77777777" w:rsidR="005F19C5" w:rsidRPr="008A2E5A" w:rsidRDefault="005F19C5" w:rsidP="005F19C5">
      <w:pPr>
        <w:spacing w:after="0" w:line="240" w:lineRule="auto"/>
        <w:jc w:val="both"/>
        <w:rPr>
          <w:rFonts w:ascii="Times New Roman" w:hAnsi="Times New Roman"/>
          <w:color w:val="0070C0"/>
          <w:sz w:val="16"/>
          <w:szCs w:val="16"/>
        </w:rPr>
      </w:pPr>
    </w:p>
    <w:p w14:paraId="673A932C" w14:textId="77777777" w:rsidR="008A386F" w:rsidRPr="008127F8" w:rsidRDefault="008A386F" w:rsidP="008A386F">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мае-июне 1942 г. в строевых час</w:t>
      </w:r>
      <w:r w:rsidRPr="008127F8">
        <w:rPr>
          <w:rFonts w:ascii="Times New Roman" w:hAnsi="Times New Roman"/>
          <w:color w:val="000000" w:themeColor="text1"/>
          <w:sz w:val="16"/>
          <w:szCs w:val="16"/>
        </w:rPr>
        <w:softHyphen/>
        <w:t>тях выявились массовые дефекты мото</w:t>
      </w:r>
      <w:r w:rsidRPr="008127F8">
        <w:rPr>
          <w:rFonts w:ascii="Times New Roman" w:hAnsi="Times New Roman"/>
          <w:color w:val="000000" w:themeColor="text1"/>
          <w:sz w:val="16"/>
          <w:szCs w:val="16"/>
        </w:rPr>
        <w:softHyphen/>
        <w:t>ров АМ-38. Проверкой было установле</w:t>
      </w:r>
      <w:r w:rsidRPr="008127F8">
        <w:rPr>
          <w:rFonts w:ascii="Times New Roman" w:hAnsi="Times New Roman"/>
          <w:color w:val="000000" w:themeColor="text1"/>
          <w:sz w:val="16"/>
          <w:szCs w:val="16"/>
        </w:rPr>
        <w:softHyphen/>
        <w:t>но, что причиной отказов является... обычная пыль. Отсутствие на Ил-2 воз</w:t>
      </w:r>
      <w:r w:rsidRPr="008127F8">
        <w:rPr>
          <w:rFonts w:ascii="Times New Roman" w:hAnsi="Times New Roman"/>
          <w:color w:val="000000" w:themeColor="text1"/>
          <w:sz w:val="16"/>
          <w:szCs w:val="16"/>
        </w:rPr>
        <w:softHyphen/>
        <w:t>душного фильтра приводило к тому, что в условиях стоявшей жары и отсутствия дождей аэродромная пыль почти бес</w:t>
      </w:r>
      <w:r w:rsidRPr="008127F8">
        <w:rPr>
          <w:rFonts w:ascii="Times New Roman" w:hAnsi="Times New Roman"/>
          <w:color w:val="000000" w:themeColor="text1"/>
          <w:sz w:val="16"/>
          <w:szCs w:val="16"/>
        </w:rPr>
        <w:softHyphen/>
        <w:t>препятственно проникала в карбюратор, нагнетатель и цилиндры мотора. Сме</w:t>
      </w:r>
      <w:r w:rsidRPr="008127F8">
        <w:rPr>
          <w:rFonts w:ascii="Times New Roman" w:hAnsi="Times New Roman"/>
          <w:color w:val="000000" w:themeColor="text1"/>
          <w:sz w:val="16"/>
          <w:szCs w:val="16"/>
        </w:rPr>
        <w:softHyphen/>
        <w:t>шиваясь с моторным маслом, пыль об</w:t>
      </w:r>
      <w:r w:rsidRPr="008127F8">
        <w:rPr>
          <w:rFonts w:ascii="Times New Roman" w:hAnsi="Times New Roman"/>
          <w:color w:val="000000" w:themeColor="text1"/>
          <w:sz w:val="16"/>
          <w:szCs w:val="16"/>
        </w:rPr>
        <w:softHyphen/>
        <w:t>разовывала абразивную наждачную мас</w:t>
      </w:r>
      <w:r w:rsidRPr="008127F8">
        <w:rPr>
          <w:rFonts w:ascii="Times New Roman" w:hAnsi="Times New Roman"/>
          <w:color w:val="000000" w:themeColor="text1"/>
          <w:sz w:val="16"/>
          <w:szCs w:val="16"/>
        </w:rPr>
        <w:softHyphen/>
        <w:t>су, царапающую, задирающую зеркаль</w:t>
      </w:r>
      <w:r w:rsidRPr="008127F8">
        <w:rPr>
          <w:rFonts w:ascii="Times New Roman" w:hAnsi="Times New Roman"/>
          <w:color w:val="000000" w:themeColor="text1"/>
          <w:sz w:val="16"/>
          <w:szCs w:val="16"/>
        </w:rPr>
        <w:softHyphen/>
        <w:t>ную поверхность цилиндров и поршне</w:t>
      </w:r>
      <w:r w:rsidRPr="008127F8">
        <w:rPr>
          <w:rFonts w:ascii="Times New Roman" w:hAnsi="Times New Roman"/>
          <w:color w:val="000000" w:themeColor="text1"/>
          <w:sz w:val="16"/>
          <w:szCs w:val="16"/>
        </w:rPr>
        <w:softHyphen/>
        <w:t>вых колец. В результате моторы начи</w:t>
      </w:r>
      <w:r w:rsidRPr="008127F8">
        <w:rPr>
          <w:rFonts w:ascii="Times New Roman" w:hAnsi="Times New Roman"/>
          <w:color w:val="000000" w:themeColor="text1"/>
          <w:sz w:val="16"/>
          <w:szCs w:val="16"/>
        </w:rPr>
        <w:softHyphen/>
        <w:t>нали дымить... и выходить из строя. Только в 1 -и запасной авиабригаде пол</w:t>
      </w:r>
      <w:r w:rsidRPr="008127F8">
        <w:rPr>
          <w:rFonts w:ascii="Times New Roman" w:hAnsi="Times New Roman"/>
          <w:color w:val="000000" w:themeColor="text1"/>
          <w:sz w:val="16"/>
          <w:szCs w:val="16"/>
        </w:rPr>
        <w:softHyphen/>
        <w:t xml:space="preserve">ковника А. И. Подольского в июне 42-го по этой причине встали "на прикол" 250 Ил-2. Москва категорически запретила полеты на штурмовиках бригады: </w:t>
      </w:r>
      <w:r w:rsidRPr="008127F8">
        <w:rPr>
          <w:rFonts w:ascii="Times New Roman" w:hAnsi="Times New Roman"/>
          <w:iCs/>
          <w:color w:val="000000" w:themeColor="text1"/>
          <w:sz w:val="16"/>
          <w:szCs w:val="16"/>
        </w:rPr>
        <w:t>"...по</w:t>
      </w:r>
      <w:r w:rsidRPr="008127F8">
        <w:rPr>
          <w:rFonts w:ascii="Times New Roman" w:hAnsi="Times New Roman"/>
          <w:iCs/>
          <w:color w:val="000000" w:themeColor="text1"/>
          <w:sz w:val="16"/>
          <w:szCs w:val="16"/>
        </w:rPr>
        <w:softHyphen/>
        <w:t>леты на Ил-2 в запасных полках прекра</w:t>
      </w:r>
      <w:r w:rsidRPr="008127F8">
        <w:rPr>
          <w:rFonts w:ascii="Times New Roman" w:hAnsi="Times New Roman"/>
          <w:iCs/>
          <w:color w:val="000000" w:themeColor="text1"/>
          <w:sz w:val="16"/>
          <w:szCs w:val="16"/>
        </w:rPr>
        <w:softHyphen/>
        <w:t>тить,...заводу №24 в кратчайший срок отремонтировать или заменить вышед</w:t>
      </w:r>
      <w:r w:rsidRPr="008127F8">
        <w:rPr>
          <w:rFonts w:ascii="Times New Roman" w:hAnsi="Times New Roman"/>
          <w:iCs/>
          <w:color w:val="000000" w:themeColor="text1"/>
          <w:sz w:val="16"/>
          <w:szCs w:val="16"/>
        </w:rPr>
        <w:softHyphen/>
        <w:t>шие из строя моторы".</w:t>
      </w:r>
      <w:r w:rsidRPr="008127F8">
        <w:rPr>
          <w:rFonts w:ascii="Times New Roman" w:hAnsi="Times New Roman"/>
          <w:color w:val="000000" w:themeColor="text1"/>
          <w:sz w:val="16"/>
          <w:szCs w:val="16"/>
        </w:rPr>
        <w:t xml:space="preserve"> Такое же поло</w:t>
      </w:r>
      <w:r w:rsidRPr="008127F8">
        <w:rPr>
          <w:rFonts w:ascii="Times New Roman" w:hAnsi="Times New Roman"/>
          <w:color w:val="000000" w:themeColor="text1"/>
          <w:sz w:val="16"/>
          <w:szCs w:val="16"/>
        </w:rPr>
        <w:softHyphen/>
        <w:t>жение сложилось и в строевых частях действующей армии (6467). Работая круглосуточно, завод</w:t>
      </w:r>
      <w:r w:rsidRPr="008127F8">
        <w:rPr>
          <w:rFonts w:ascii="Times New Roman" w:hAnsi="Times New Roman"/>
          <w:color w:val="000000" w:themeColor="text1"/>
          <w:sz w:val="16"/>
          <w:szCs w:val="16"/>
        </w:rPr>
        <w:softHyphen/>
        <w:t>ские конструкторы под руководством В.И.Поликовского в считанные дни раз</w:t>
      </w:r>
      <w:r w:rsidRPr="008127F8">
        <w:rPr>
          <w:rFonts w:ascii="Times New Roman" w:hAnsi="Times New Roman"/>
          <w:color w:val="000000" w:themeColor="text1"/>
          <w:sz w:val="16"/>
          <w:szCs w:val="16"/>
        </w:rPr>
        <w:softHyphen/>
        <w:t>работали опытный образец воздушного фильтра, который позже успешно про</w:t>
      </w:r>
      <w:r w:rsidRPr="008127F8">
        <w:rPr>
          <w:rFonts w:ascii="Times New Roman" w:hAnsi="Times New Roman"/>
          <w:color w:val="000000" w:themeColor="text1"/>
          <w:sz w:val="16"/>
          <w:szCs w:val="16"/>
        </w:rPr>
        <w:softHyphen/>
        <w:t>шел летные испытания и стал устанав</w:t>
      </w:r>
      <w:r w:rsidRPr="008127F8">
        <w:rPr>
          <w:rFonts w:ascii="Times New Roman" w:hAnsi="Times New Roman"/>
          <w:color w:val="000000" w:themeColor="text1"/>
          <w:sz w:val="16"/>
          <w:szCs w:val="16"/>
        </w:rPr>
        <w:softHyphen/>
        <w:t>ливаться на всасывающий патрубок мо</w:t>
      </w:r>
      <w:r w:rsidRPr="008127F8">
        <w:rPr>
          <w:rFonts w:ascii="Times New Roman" w:hAnsi="Times New Roman"/>
          <w:color w:val="000000" w:themeColor="text1"/>
          <w:sz w:val="16"/>
          <w:szCs w:val="16"/>
        </w:rPr>
        <w:softHyphen/>
        <w:t>тора всех серийных Ил-2 (6467).</w:t>
      </w:r>
    </w:p>
    <w:p w14:paraId="4D2CE8A2" w14:textId="77777777" w:rsidR="008A386F" w:rsidRPr="008127F8" w:rsidRDefault="008A386F" w:rsidP="008A386F">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E56D09" w14:textId="77777777" w:rsidR="008A386F" w:rsidRPr="008127F8" w:rsidRDefault="008A386F" w:rsidP="008A386F">
      <w:pPr>
        <w:shd w:val="clear" w:color="auto" w:fill="FFFFFF"/>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rPr>
        <w:t>В мае-июне 1942 г. в строевых частях выявились массовые дефекты моторов АМ-38. Проверкой было установлено, что причиной отказов</w:t>
      </w:r>
    </w:p>
    <w:p w14:paraId="5294D879" w14:textId="77777777" w:rsidR="008A386F" w:rsidRPr="008127F8" w:rsidRDefault="008A386F" w:rsidP="008A386F">
      <w:pPr>
        <w:shd w:val="clear" w:color="auto" w:fill="FFFFFF"/>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rPr>
        <w:t>является обычная пыль. Отсутствие на Ил-2 воздушного фильтра приводило к тому, что в условиях стоявшей жары и отсутствия дождей аэродромная пыль почти беспрепятственно проникала в карбюратор, нагнетатель и цилиндры мотора. Смешиваясь с моторным маслом, пыль образовывала абразивную - наждачную массу, царапающую, задирающую зеркальную поверхность цилиндров и поршневых колец. В результате моторы начинали дымить и выходить из строя. Только в 1-й запасной авиабригаде полковника А.И. Подольского в июне 1942 г. по этой причине встали 250 Ил-2. Такое же положение сложилось и в строевых частях действующей армии (20186).</w:t>
      </w:r>
    </w:p>
    <w:p w14:paraId="33416A82" w14:textId="77777777" w:rsidR="008A386F" w:rsidRPr="008127F8" w:rsidRDefault="008A386F" w:rsidP="008A386F">
      <w:pPr>
        <w:shd w:val="clear" w:color="auto" w:fill="FFFFFF"/>
        <w:spacing w:after="0" w:line="240" w:lineRule="auto"/>
        <w:jc w:val="both"/>
        <w:rPr>
          <w:rFonts w:ascii="Times New Roman" w:hAnsi="Times New Roman"/>
          <w:color w:val="000000" w:themeColor="text1"/>
          <w:sz w:val="16"/>
          <w:szCs w:val="16"/>
        </w:rPr>
      </w:pPr>
    </w:p>
    <w:p w14:paraId="6F9FBAD1" w14:textId="77777777" w:rsidR="008A386F" w:rsidRPr="008127F8" w:rsidRDefault="008A386F" w:rsidP="008A386F">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мая-августа 1942 г. на НИП АВ ВВС проводились всесторонние иссле</w:t>
      </w:r>
      <w:r w:rsidRPr="008127F8">
        <w:rPr>
          <w:rFonts w:ascii="Times New Roman" w:hAnsi="Times New Roman"/>
          <w:color w:val="000000" w:themeColor="text1"/>
          <w:sz w:val="16"/>
          <w:szCs w:val="16"/>
        </w:rPr>
        <w:softHyphen/>
        <w:t>дования действенности стоящих на во</w:t>
      </w:r>
      <w:r w:rsidRPr="008127F8">
        <w:rPr>
          <w:rFonts w:ascii="Times New Roman" w:hAnsi="Times New Roman"/>
          <w:color w:val="000000" w:themeColor="text1"/>
          <w:sz w:val="16"/>
          <w:szCs w:val="16"/>
        </w:rPr>
        <w:softHyphen/>
        <w:t>оружении авиации средств поражения против танков и отрабатывались рацио</w:t>
      </w:r>
      <w:r w:rsidRPr="008127F8">
        <w:rPr>
          <w:rFonts w:ascii="Times New Roman" w:hAnsi="Times New Roman"/>
          <w:color w:val="000000" w:themeColor="text1"/>
          <w:sz w:val="16"/>
          <w:szCs w:val="16"/>
        </w:rPr>
        <w:softHyphen/>
        <w:t>нальные способы боевого применения самолетов Ил-2.</w:t>
      </w:r>
    </w:p>
    <w:p w14:paraId="5DCEC99A" w14:textId="77777777" w:rsidR="008A386F" w:rsidRPr="008127F8" w:rsidRDefault="008A386F" w:rsidP="008A386F">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выводы сводились к следу</w:t>
      </w:r>
      <w:r w:rsidRPr="008127F8">
        <w:rPr>
          <w:rFonts w:ascii="Times New Roman" w:hAnsi="Times New Roman"/>
          <w:color w:val="000000" w:themeColor="text1"/>
          <w:sz w:val="16"/>
          <w:szCs w:val="16"/>
        </w:rPr>
        <w:softHyphen/>
        <w:t>ющему: «Для более рационального исполь</w:t>
      </w:r>
      <w:r w:rsidRPr="008127F8">
        <w:rPr>
          <w:rFonts w:ascii="Times New Roman" w:hAnsi="Times New Roman"/>
          <w:color w:val="000000" w:themeColor="text1"/>
          <w:sz w:val="16"/>
          <w:szCs w:val="16"/>
        </w:rPr>
        <w:softHyphen/>
        <w:t>зования существующего вооружения са</w:t>
      </w:r>
      <w:r w:rsidRPr="008127F8">
        <w:rPr>
          <w:rFonts w:ascii="Times New Roman" w:hAnsi="Times New Roman"/>
          <w:color w:val="000000" w:themeColor="text1"/>
          <w:sz w:val="16"/>
          <w:szCs w:val="16"/>
        </w:rPr>
        <w:softHyphen/>
        <w:t>молета Ил-2 в борьбе с немецкими тан</w:t>
      </w:r>
      <w:r w:rsidRPr="008127F8">
        <w:rPr>
          <w:rFonts w:ascii="Times New Roman" w:hAnsi="Times New Roman"/>
          <w:color w:val="000000" w:themeColor="text1"/>
          <w:sz w:val="16"/>
          <w:szCs w:val="16"/>
        </w:rPr>
        <w:softHyphen/>
        <w:t>ками необходимо выделить штурмовые авиаполки, основной задачей которых должно быть действие по танкам. Лет</w:t>
      </w:r>
      <w:r w:rsidRPr="008127F8">
        <w:rPr>
          <w:rFonts w:ascii="Times New Roman" w:hAnsi="Times New Roman"/>
          <w:color w:val="000000" w:themeColor="text1"/>
          <w:sz w:val="16"/>
          <w:szCs w:val="16"/>
        </w:rPr>
        <w:softHyphen/>
        <w:t>ный состав этих частей должен пройти спецподготовку./.../ Наиболее эффектив</w:t>
      </w:r>
      <w:r w:rsidRPr="008127F8">
        <w:rPr>
          <w:rFonts w:ascii="Times New Roman" w:hAnsi="Times New Roman"/>
          <w:color w:val="000000" w:themeColor="text1"/>
          <w:sz w:val="16"/>
          <w:szCs w:val="16"/>
        </w:rPr>
        <w:softHyphen/>
        <w:t>ным средством борьбы с немецкими тан</w:t>
      </w:r>
      <w:r w:rsidRPr="008127F8">
        <w:rPr>
          <w:rFonts w:ascii="Times New Roman" w:hAnsi="Times New Roman"/>
          <w:color w:val="000000" w:themeColor="text1"/>
          <w:sz w:val="16"/>
          <w:szCs w:val="16"/>
        </w:rPr>
        <w:softHyphen/>
        <w:t>ками, имеющими броню до 40 мм, показали авиапушки 37 мм. В этой связи необходимо создать специальные противотанковые части, вооруженные истребителями ЛаГГ-3 и Як с 37-мм авиапушками и усиленным бронированием. Летному составу этих ча</w:t>
      </w:r>
      <w:r w:rsidRPr="008127F8">
        <w:rPr>
          <w:rFonts w:ascii="Times New Roman" w:hAnsi="Times New Roman"/>
          <w:color w:val="000000" w:themeColor="text1"/>
          <w:sz w:val="16"/>
          <w:szCs w:val="16"/>
        </w:rPr>
        <w:softHyphen/>
        <w:t>стей дать специальную подготовку/.У Считать необходимым создание специаль</w:t>
      </w:r>
      <w:r w:rsidRPr="008127F8">
        <w:rPr>
          <w:rFonts w:ascii="Times New Roman" w:hAnsi="Times New Roman"/>
          <w:color w:val="000000" w:themeColor="text1"/>
          <w:sz w:val="16"/>
          <w:szCs w:val="16"/>
        </w:rPr>
        <w:softHyphen/>
        <w:t>ного центра по отработке вопросов бое</w:t>
      </w:r>
      <w:r w:rsidRPr="008127F8">
        <w:rPr>
          <w:rFonts w:ascii="Times New Roman" w:hAnsi="Times New Roman"/>
          <w:color w:val="000000" w:themeColor="text1"/>
          <w:sz w:val="16"/>
          <w:szCs w:val="16"/>
        </w:rPr>
        <w:softHyphen/>
        <w:t>вого применения АВ ВВС КА, на базе кото</w:t>
      </w:r>
      <w:r w:rsidRPr="008127F8">
        <w:rPr>
          <w:rFonts w:ascii="Times New Roman" w:hAnsi="Times New Roman"/>
          <w:color w:val="000000" w:themeColor="text1"/>
          <w:sz w:val="16"/>
          <w:szCs w:val="16"/>
        </w:rPr>
        <w:softHyphen/>
        <w:t>рого проводить систематическую подго</w:t>
      </w:r>
      <w:r w:rsidRPr="008127F8">
        <w:rPr>
          <w:rFonts w:ascii="Times New Roman" w:hAnsi="Times New Roman"/>
          <w:color w:val="000000" w:themeColor="text1"/>
          <w:sz w:val="16"/>
          <w:szCs w:val="16"/>
        </w:rPr>
        <w:softHyphen/>
        <w:t>товку летных кадров в ведении прицель</w:t>
      </w:r>
      <w:r w:rsidRPr="008127F8">
        <w:rPr>
          <w:rFonts w:ascii="Times New Roman" w:hAnsi="Times New Roman"/>
          <w:color w:val="000000" w:themeColor="text1"/>
          <w:sz w:val="16"/>
          <w:szCs w:val="16"/>
        </w:rPr>
        <w:softHyphen/>
        <w:t>ной стрельбы и бомбометания».</w:t>
      </w:r>
    </w:p>
    <w:p w14:paraId="61190584" w14:textId="77777777" w:rsidR="008A386F" w:rsidRPr="008127F8" w:rsidRDefault="008A386F" w:rsidP="008A386F">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этого предлагалось «поручить НКАП, в срочном порядке создать штур</w:t>
      </w:r>
      <w:r w:rsidRPr="008127F8">
        <w:rPr>
          <w:rFonts w:ascii="Times New Roman" w:hAnsi="Times New Roman"/>
          <w:color w:val="000000" w:themeColor="text1"/>
          <w:sz w:val="16"/>
          <w:szCs w:val="16"/>
        </w:rPr>
        <w:softHyphen/>
        <w:t>мовик, вооруженный 37 мм пушкой, рас</w:t>
      </w:r>
      <w:r w:rsidRPr="008127F8">
        <w:rPr>
          <w:rFonts w:ascii="Times New Roman" w:hAnsi="Times New Roman"/>
          <w:color w:val="000000" w:themeColor="text1"/>
          <w:sz w:val="16"/>
          <w:szCs w:val="16"/>
        </w:rPr>
        <w:softHyphen/>
        <w:t>положенной в плоскости оси самолета».</w:t>
      </w:r>
    </w:p>
    <w:p w14:paraId="17F57A5D" w14:textId="77777777" w:rsidR="008A386F" w:rsidRPr="008127F8" w:rsidRDefault="008A386F" w:rsidP="008A386F">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Дело в том, что пушки Ш-37 при стрельбе давали сильную отдачу. Само</w:t>
      </w:r>
      <w:r w:rsidRPr="008127F8">
        <w:rPr>
          <w:rFonts w:ascii="Times New Roman" w:hAnsi="Times New Roman"/>
          <w:color w:val="000000" w:themeColor="text1"/>
          <w:sz w:val="16"/>
          <w:szCs w:val="16"/>
        </w:rPr>
        <w:softHyphen/>
        <w:t>лет испытывал толчки и сбивался с линии прицеливания. Особенно негативно это проявлялось на Ил-2, у которого пушки размещались под крылом в больших об</w:t>
      </w:r>
      <w:r w:rsidRPr="008127F8">
        <w:rPr>
          <w:rFonts w:ascii="Times New Roman" w:hAnsi="Times New Roman"/>
          <w:color w:val="000000" w:themeColor="text1"/>
          <w:sz w:val="16"/>
          <w:szCs w:val="16"/>
        </w:rPr>
        <w:softHyphen/>
        <w:t>текателях (из-за габаритов магазина пуш</w:t>
      </w:r>
      <w:r w:rsidRPr="008127F8">
        <w:rPr>
          <w:rFonts w:ascii="Times New Roman" w:hAnsi="Times New Roman"/>
          <w:color w:val="000000" w:themeColor="text1"/>
          <w:sz w:val="16"/>
          <w:szCs w:val="16"/>
        </w:rPr>
        <w:softHyphen/>
        <w:t>ки) на значительном расстоянии относи</w:t>
      </w:r>
      <w:r w:rsidRPr="008127F8">
        <w:rPr>
          <w:rFonts w:ascii="Times New Roman" w:hAnsi="Times New Roman"/>
          <w:color w:val="000000" w:themeColor="text1"/>
          <w:sz w:val="16"/>
          <w:szCs w:val="16"/>
        </w:rPr>
        <w:softHyphen/>
        <w:t xml:space="preserve">тельно оси самолета, </w:t>
      </w:r>
      <w:r w:rsidRPr="008127F8">
        <w:rPr>
          <w:rFonts w:ascii="Times New Roman" w:hAnsi="Times New Roman"/>
          <w:color w:val="000000" w:themeColor="text1"/>
          <w:sz w:val="16"/>
          <w:szCs w:val="16"/>
        </w:rPr>
        <w:lastRenderedPageBreak/>
        <w:t>а сам самолет обла</w:t>
      </w:r>
      <w:r w:rsidRPr="008127F8">
        <w:rPr>
          <w:rFonts w:ascii="Times New Roman" w:hAnsi="Times New Roman"/>
          <w:color w:val="000000" w:themeColor="text1"/>
          <w:sz w:val="16"/>
          <w:szCs w:val="16"/>
        </w:rPr>
        <w:softHyphen/>
        <w:t>дал малым запасом продольной устой</w:t>
      </w:r>
      <w:r w:rsidRPr="008127F8">
        <w:rPr>
          <w:rFonts w:ascii="Times New Roman" w:hAnsi="Times New Roman"/>
          <w:color w:val="000000" w:themeColor="text1"/>
          <w:sz w:val="16"/>
          <w:szCs w:val="16"/>
        </w:rPr>
        <w:softHyphen/>
        <w:t>чивости. При стрельбе в воздухе из этих пушек очередью более 3-5 снарядов строевые летчики, имевшие в большин</w:t>
      </w:r>
      <w:r w:rsidRPr="008127F8">
        <w:rPr>
          <w:rFonts w:ascii="Times New Roman" w:hAnsi="Times New Roman"/>
          <w:color w:val="000000" w:themeColor="text1"/>
          <w:sz w:val="16"/>
          <w:szCs w:val="16"/>
        </w:rPr>
        <w:softHyphen/>
        <w:t>стве своем среднюю и ниже квалифика</w:t>
      </w:r>
      <w:r w:rsidRPr="008127F8">
        <w:rPr>
          <w:rFonts w:ascii="Times New Roman" w:hAnsi="Times New Roman"/>
          <w:color w:val="000000" w:themeColor="text1"/>
          <w:sz w:val="16"/>
          <w:szCs w:val="16"/>
        </w:rPr>
        <w:softHyphen/>
        <w:t>цию, не могли удерживать линию визи</w:t>
      </w:r>
      <w:r w:rsidRPr="008127F8">
        <w:rPr>
          <w:rFonts w:ascii="Times New Roman" w:hAnsi="Times New Roman"/>
          <w:color w:val="000000" w:themeColor="text1"/>
          <w:sz w:val="16"/>
          <w:szCs w:val="16"/>
        </w:rPr>
        <w:softHyphen/>
        <w:t>рования на цели. Рассеивание снарядов резко увеличивалось, снижалась точность стрельбы. То есть, для того чтобы эффек</w:t>
      </w:r>
      <w:r w:rsidRPr="008127F8">
        <w:rPr>
          <w:rFonts w:ascii="Times New Roman" w:hAnsi="Times New Roman"/>
          <w:color w:val="000000" w:themeColor="text1"/>
          <w:sz w:val="16"/>
          <w:szCs w:val="16"/>
        </w:rPr>
        <w:softHyphen/>
        <w:t>тивно израсходовать весь боекомплект к пушкам, необходимо выполнить 10-13 прицельных заходов на цель. В реальных боевых условиях это было практически невыполнимо.</w:t>
      </w:r>
    </w:p>
    <w:p w14:paraId="3F63FA5B" w14:textId="77777777" w:rsidR="008A386F" w:rsidRPr="008127F8" w:rsidRDefault="008A386F" w:rsidP="008A386F">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В этой связи обращалось внимание на высокие бронепробивные свойства подкалиберных патронов со стальным и</w:t>
      </w:r>
      <w:r w:rsidRPr="008127F8">
        <w:rPr>
          <w:rFonts w:ascii="Times New Roman" w:hAnsi="Times New Roman"/>
          <w:i/>
          <w:iCs/>
          <w:color w:val="000000" w:themeColor="text1"/>
          <w:sz w:val="16"/>
          <w:szCs w:val="16"/>
          <w:lang w:eastAsia="ru-RU" w:bidi="ru-RU"/>
        </w:rPr>
        <w:t xml:space="preserve"> с</w:t>
      </w:r>
      <w:r w:rsidRPr="008127F8">
        <w:rPr>
          <w:rFonts w:ascii="Times New Roman" w:hAnsi="Times New Roman"/>
          <w:color w:val="000000" w:themeColor="text1"/>
          <w:sz w:val="16"/>
          <w:szCs w:val="16"/>
          <w:lang w:eastAsia="ru-RU" w:bidi="ru-RU"/>
        </w:rPr>
        <w:t xml:space="preserve"> вольфрамовым сердечником от 14,5-мм противотанкового ружья. Предлагалось создать под этот патрон авиационный ав</w:t>
      </w:r>
      <w:r w:rsidRPr="008127F8">
        <w:rPr>
          <w:rFonts w:ascii="Times New Roman" w:hAnsi="Times New Roman"/>
          <w:color w:val="000000" w:themeColor="text1"/>
          <w:sz w:val="16"/>
          <w:szCs w:val="16"/>
          <w:lang w:eastAsia="ru-RU" w:bidi="ru-RU"/>
        </w:rPr>
        <w:softHyphen/>
        <w:t>томат (с начальной скоростью снаряда 1200-1300 м/с и темпом стрельбы 700- 800 выстр./с). Вполне справедливо счи</w:t>
      </w:r>
      <w:r w:rsidRPr="008127F8">
        <w:rPr>
          <w:rFonts w:ascii="Times New Roman" w:hAnsi="Times New Roman"/>
          <w:color w:val="000000" w:themeColor="text1"/>
          <w:sz w:val="16"/>
          <w:szCs w:val="16"/>
          <w:lang w:eastAsia="ru-RU" w:bidi="ru-RU"/>
        </w:rPr>
        <w:softHyphen/>
        <w:t>талось, что пониженная сила отдачи пуш</w:t>
      </w:r>
      <w:r w:rsidRPr="008127F8">
        <w:rPr>
          <w:rFonts w:ascii="Times New Roman" w:hAnsi="Times New Roman"/>
          <w:color w:val="000000" w:themeColor="text1"/>
          <w:sz w:val="16"/>
          <w:szCs w:val="16"/>
          <w:lang w:eastAsia="ru-RU" w:bidi="ru-RU"/>
        </w:rPr>
        <w:softHyphen/>
        <w:t>ки небольшого калибра - 14,5 мм, по</w:t>
      </w:r>
      <w:r w:rsidRPr="008127F8">
        <w:rPr>
          <w:rFonts w:ascii="Times New Roman" w:hAnsi="Times New Roman"/>
          <w:color w:val="000000" w:themeColor="text1"/>
          <w:sz w:val="16"/>
          <w:szCs w:val="16"/>
          <w:lang w:eastAsia="ru-RU" w:bidi="ru-RU"/>
        </w:rPr>
        <w:softHyphen/>
        <w:t>зволит получить и невысокое рассеива</w:t>
      </w:r>
      <w:r w:rsidRPr="008127F8">
        <w:rPr>
          <w:rFonts w:ascii="Times New Roman" w:hAnsi="Times New Roman"/>
          <w:color w:val="000000" w:themeColor="text1"/>
          <w:sz w:val="16"/>
          <w:szCs w:val="16"/>
          <w:lang w:eastAsia="ru-RU" w:bidi="ru-RU"/>
        </w:rPr>
        <w:softHyphen/>
        <w:t>ние при стрельбе в воздухе, в том числе и при установке такой пушки в крыле само</w:t>
      </w:r>
      <w:r w:rsidRPr="008127F8">
        <w:rPr>
          <w:rFonts w:ascii="Times New Roman" w:hAnsi="Times New Roman"/>
          <w:color w:val="000000" w:themeColor="text1"/>
          <w:sz w:val="16"/>
          <w:szCs w:val="16"/>
          <w:lang w:eastAsia="ru-RU" w:bidi="ru-RU"/>
        </w:rPr>
        <w:softHyphen/>
        <w:t>лета Ил-2, а значит, обеспечить высокую вероятность поражения бронетехники.</w:t>
      </w:r>
      <w:r w:rsidRPr="008127F8">
        <w:rPr>
          <w:rFonts w:ascii="Times New Roman" w:hAnsi="Times New Roman"/>
          <w:color w:val="000000" w:themeColor="text1"/>
          <w:sz w:val="16"/>
          <w:szCs w:val="16"/>
        </w:rPr>
        <w:t xml:space="preserve"> (23181).</w:t>
      </w:r>
    </w:p>
    <w:p w14:paraId="79885437" w14:textId="77777777" w:rsidR="008A386F" w:rsidRPr="008127F8" w:rsidRDefault="008A386F" w:rsidP="008A386F">
      <w:pPr>
        <w:spacing w:after="0" w:line="240" w:lineRule="auto"/>
        <w:jc w:val="both"/>
        <w:rPr>
          <w:rFonts w:ascii="Times New Roman" w:hAnsi="Times New Roman"/>
          <w:color w:val="000000" w:themeColor="text1"/>
          <w:sz w:val="16"/>
          <w:szCs w:val="16"/>
        </w:rPr>
      </w:pPr>
    </w:p>
    <w:p w14:paraId="6A31AF4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мае-июне 1942 г. летчик Галицкий испытывал самолет Ил-4 с М-82. Но выигрыш в скорости оказался куда меньше ожидавшегося. Скорость не превышала 437 км/ч, при этом дальность упала до 2540 км. Вдобавок М-82 не отличался тогда высокой надежностью, особенно на высотах свыше 2,5 тыс. м. К тому же из-за недостаточной производительности маслорадиаторов двигатели грелись. Кроме того, шасси уже не соответствовало возросшей массе бомбардировщика. Отчет об испытаниях завершался выводом: “При необходимости срочного перехода на ДБ-3Ф с М-82 предъявленный самолет может быть временным эталоном с последующим устранением дефектов”. К этой идее вернулись в 1943 г. В план опытных работ опять включили Ил-4 с М-82, причем в качестве дневного бомбардировщика. Требования по максимальной скорости понизили до 450 км/ч, но зато предусмотрели вооружение из пяти пулеметов (в том числе четырех калибра 12,7 мм). В условиях свершившегося коренного перелома и начавшегося изгнания немецко-фашистских захватчиков, советские ВВС остро ощущали отсутствие современных фронтовых бомбардировщиков с боевой нагрузкой 2000-3000 кг, соединения которых могли эффективно взламывать долговременные укрепления противника. Находившийся на вооружении пикировщик Пе-2 удовлетворял этим требованиям не в полной мере, и в первую очередь по бомбовой нагрузке. К тому же, в составе ВВС лишь очень немногие полки смогли освоить бомбометание с пикирования. По эффективности ударов с горизонтального полета Пе-2 однозначно уступал Ил-4, который поднимал до 2500 кг бомб против максимум 1500 (реально - 1000) кг на Пе-2. В сравнении с германскими и американскими “фронтовиками”, такими как Do217, Ju88, Ju188, B-25 и В-26 “пешка” выглядела довольно бледно даже с учетом большей максимальной скорости (7666).</w:t>
      </w:r>
    </w:p>
    <w:p w14:paraId="0F1DB2D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620A7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мае-июне 1942 испытания Ил-4 с М-82 возобновили. Но выигрыш в скорости оказался куда меньше ожидавшегося. Скорость не превышала 437 км/ч, при этом даль</w:t>
      </w:r>
      <w:r w:rsidRPr="008127F8">
        <w:rPr>
          <w:rFonts w:ascii="Times New Roman" w:hAnsi="Times New Roman"/>
          <w:color w:val="000000" w:themeColor="text1"/>
          <w:sz w:val="16"/>
          <w:szCs w:val="16"/>
        </w:rPr>
        <w:softHyphen/>
        <w:t>ность упала до 2540 км. Вдобавок М-82 не отличался тогда высокой надежнос</w:t>
      </w:r>
      <w:r w:rsidRPr="008127F8">
        <w:rPr>
          <w:rFonts w:ascii="Times New Roman" w:hAnsi="Times New Roman"/>
          <w:color w:val="000000" w:themeColor="text1"/>
          <w:sz w:val="16"/>
          <w:szCs w:val="16"/>
        </w:rPr>
        <w:softHyphen/>
        <w:t>тью. Из-за недостаточной производи</w:t>
      </w:r>
      <w:r w:rsidRPr="008127F8">
        <w:rPr>
          <w:rFonts w:ascii="Times New Roman" w:hAnsi="Times New Roman"/>
          <w:color w:val="000000" w:themeColor="text1"/>
          <w:sz w:val="16"/>
          <w:szCs w:val="16"/>
        </w:rPr>
        <w:softHyphen/>
        <w:t>тельности маслорадиаторов двигатели грелись. Кроме того, шасси уже не со</w:t>
      </w:r>
      <w:r w:rsidRPr="008127F8">
        <w:rPr>
          <w:rFonts w:ascii="Times New Roman" w:hAnsi="Times New Roman"/>
          <w:color w:val="000000" w:themeColor="text1"/>
          <w:sz w:val="16"/>
          <w:szCs w:val="16"/>
        </w:rPr>
        <w:softHyphen/>
        <w:t>ответствовало возросшей массе бом</w:t>
      </w:r>
      <w:r w:rsidRPr="008127F8">
        <w:rPr>
          <w:rFonts w:ascii="Times New Roman" w:hAnsi="Times New Roman"/>
          <w:color w:val="000000" w:themeColor="text1"/>
          <w:sz w:val="16"/>
          <w:szCs w:val="16"/>
        </w:rPr>
        <w:softHyphen/>
        <w:t>бардировщика. Отчет об испытаниях завершался выводом: «При необходи</w:t>
      </w:r>
      <w:r w:rsidRPr="008127F8">
        <w:rPr>
          <w:rFonts w:ascii="Times New Roman" w:hAnsi="Times New Roman"/>
          <w:color w:val="000000" w:themeColor="text1"/>
          <w:sz w:val="16"/>
          <w:szCs w:val="16"/>
        </w:rPr>
        <w:softHyphen/>
        <w:t>мости срочного перехода на ДБ-3Ф с М-82 предъявленный самолет может быть временным эталоном с последую</w:t>
      </w:r>
      <w:r w:rsidRPr="008127F8">
        <w:rPr>
          <w:rFonts w:ascii="Times New Roman" w:hAnsi="Times New Roman"/>
          <w:color w:val="000000" w:themeColor="text1"/>
          <w:sz w:val="16"/>
          <w:szCs w:val="16"/>
        </w:rPr>
        <w:softHyphen/>
        <w:t>щим устранением дефектов» (10734,78).</w:t>
      </w:r>
    </w:p>
    <w:p w14:paraId="293756F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0FE0E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мае-июне 1942 прошли гос. испытания Пе-3бис и летал М.Нюхтиков. Вес серийной машины снизили до 8002 кг (2475,17).</w:t>
      </w:r>
    </w:p>
    <w:p w14:paraId="3B33D2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1E584E" w14:textId="77777777" w:rsidR="007C5583" w:rsidRPr="008127F8" w:rsidRDefault="007C5583" w:rsidP="007C5583">
      <w:pPr>
        <w:spacing w:after="0" w:line="240" w:lineRule="auto"/>
        <w:jc w:val="both"/>
        <w:rPr>
          <w:rFonts w:ascii="Times New Roman" w:hAnsi="Times New Roman"/>
          <w:color w:val="000000" w:themeColor="text1"/>
          <w:sz w:val="16"/>
          <w:szCs w:val="16"/>
          <w:lang w:eastAsia="ru-RU" w:bidi="ru-RU"/>
        </w:rPr>
      </w:pPr>
      <w:r w:rsidRPr="008127F8">
        <w:rPr>
          <w:rFonts w:ascii="Times New Roman" w:hAnsi="Times New Roman"/>
          <w:color w:val="000000" w:themeColor="text1"/>
          <w:sz w:val="16"/>
          <w:szCs w:val="16"/>
          <w:lang w:eastAsia="ru-RU" w:bidi="ru-RU"/>
        </w:rPr>
        <w:t>В мае-июне 1942 на заводе 166 вышла 3-я серия Ту-2 (десять машин)..</w:t>
      </w:r>
    </w:p>
    <w:p w14:paraId="7D2E74D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Все самолеты 1-й и 2-й серий комплек</w:t>
      </w:r>
      <w:r w:rsidRPr="008127F8">
        <w:rPr>
          <w:rFonts w:ascii="Times New Roman" w:hAnsi="Times New Roman"/>
          <w:color w:val="000000" w:themeColor="text1"/>
          <w:sz w:val="16"/>
          <w:szCs w:val="16"/>
          <w:lang w:eastAsia="ru-RU" w:bidi="ru-RU"/>
        </w:rPr>
        <w:softHyphen/>
        <w:t>товались двигателями М-82А 1-й серии, оборудованными электроинерционными стартерами РИМ-24, позднее завод начал получать моторы с пневмосамопуском. По</w:t>
      </w:r>
      <w:r w:rsidRPr="008127F8">
        <w:rPr>
          <w:rFonts w:ascii="Times New Roman" w:hAnsi="Times New Roman"/>
          <w:color w:val="000000" w:themeColor="text1"/>
          <w:sz w:val="16"/>
          <w:szCs w:val="16"/>
          <w:lang w:eastAsia="ru-RU" w:bidi="ru-RU"/>
        </w:rPr>
        <w:softHyphen/>
        <w:t>следние были легче и обеспечивали над</w:t>
      </w:r>
      <w:r w:rsidRPr="008127F8">
        <w:rPr>
          <w:rFonts w:ascii="Times New Roman" w:hAnsi="Times New Roman"/>
          <w:color w:val="000000" w:themeColor="text1"/>
          <w:sz w:val="16"/>
          <w:szCs w:val="16"/>
          <w:lang w:eastAsia="ru-RU" w:bidi="ru-RU"/>
        </w:rPr>
        <w:softHyphen/>
        <w:t>ежный запуск двигателей на морозе (21061).</w:t>
      </w:r>
    </w:p>
    <w:p w14:paraId="7A45210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9115A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мае-июне 1942 г. летчик-испытатель М.Л.Галлай опробовал в ЛИИ буксировку ВПИ за истребителем ЛаГГ-3 и «кукурузником» По-2. Прицеп поступил в серийное производство. Всего завод №388 построил 22 воздушных прицепа. К сожалению, практического применения воздушные прицепы не получили из-за сложности обучения их буксировке — планер сильно раскачивал самолет. Озабоченное загрузкой производственных мощностей завода №388 руководство НКАП решило, в соответствии с актуальной в то время программой замены дюралюминиевых частей самолетов на более дешевые деревянные, попутно выпускать на заводе какие-либо деревянные агрегаты. Сначала на завод пришел приказ об освоении выпуска крыльев для истребителя Як-7, но уже через несколько дней вместо него поступило распоряжение начать строительство фюзеляжей пикирующего бомбардировщика Пе-2 для казанского авиазавода №22. Однако испытания Пе-2, оснащенных тяжелыми деревянными фюзеляжами, показали их непригодность для боевого использования. После сдачи 36-го фюзеляжа их выпуск на заводе №388 прекратили. В конце августа 1942 г. опытный цех воздушно-десантного оборудования переехал с завода №388 на завод №464 в Тушино и вскоре завод на 2-й Рыбинской перестал существовать как самостоятельное предприятие (10752).</w:t>
      </w:r>
    </w:p>
    <w:p w14:paraId="39D02A7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F9D0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мае-июне 1942 г. летчик-испытатель М.Л.Галлай опробовал в ЛИИ буксировку ВПИ за истребителем ЛаГГ-3 и «кукурузником» По-2. Прицеп поступил в серийное производство. Всего завод №388 построил 22 воздушных прицепа. Концепция предусматривала буксировку боевым самолетом на жесткой штанге-«дышле» беспилотного планера с тяжелой авиабомбой на борту. При подлете к цели летчик самолета-буксировщика отцеплял воздушный прицеп или сбрасывал с него бомбу. За разработку такого нового вида оружия взялся главный конструктор О.К.Антонов, построивший и успешно испытавший в феврале 1942 г. в Тюмени первый прототип воздушного прицепа. Вскоре Антонов вернулся в Москву из эвакуации, и на заводе №388 был организован опытный цех под руководством инженера Синягина. Здесь создавались два летательных аппарата: воздушный прицеп истребительный ВПИ, или А-ИП, и воздушный прицеп бомбардировочный ВПБ, или А-БП. Они различались размерами и представляли собой бесфюзеляжные летательные аппараты с прямым крылом, вертикальным оперением и шасси на высоких стойках, закрытых обтекателями. Между стойками шасси к крылу подвешивалась бомба. Воздушные прицепы можно считать первыми летательными аппаратами, созданными на будущем ''МВЗ им. М.Л.Миля'' (11242).</w:t>
      </w:r>
    </w:p>
    <w:p w14:paraId="67C569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AA3B55" w14:textId="77777777" w:rsidR="008A386F" w:rsidRPr="008127F8" w:rsidRDefault="008A386F" w:rsidP="008A386F">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мая 1942 года по март 1944 года завод № 31 в Тбилиси выпускал самолеты ЛАГГ-3 с мотором М-105ПФ (с 1941 до конца 1943 гг. директорами завода работали Агаджанов и Саладзе, гл. конструкторами ЛАГГ-3 были Лавочкин, Горбунов и Гудков). В этот период завод также выполнял литье корпусов мин, выпускал стволы автоматов ППШ и др. В начале 1944 года заводу было поручено наладить выпуск новых истребителей ЯК-3 с мотором ВК-105ПФ. С апреля 1944 года завод приступил к серийному выпуску этого самолета. В 1944 году директор Саладзе В.Е. В начале 1945 года завод получил новое задание подготовиться к выпуску новой машины ЯК-3 с мотором ВК-107А с металлическими крыльями (директор Саладзе).</w:t>
      </w:r>
    </w:p>
    <w:p w14:paraId="26B2EC8B" w14:textId="77777777" w:rsidR="008A386F" w:rsidRPr="008127F8" w:rsidRDefault="008A386F" w:rsidP="008A386F">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Ввиду того. Что самолет ЯК-3 с ВК-107А не был доработан оказалось много конструктивных недостатков, приходилось несколько раз переделывать агрегаты, а иногда браковать готовые изделия.</w:t>
      </w:r>
    </w:p>
    <w:p w14:paraId="392960F8" w14:textId="77777777" w:rsidR="008A386F" w:rsidRPr="008127F8" w:rsidRDefault="008A386F" w:rsidP="008A386F">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от 12 сентября 1946 года за № 2049-846 заводу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 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 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0379E715" w14:textId="77777777" w:rsidR="008A386F" w:rsidRPr="008127F8" w:rsidRDefault="008A386F" w:rsidP="008A386F">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76A2D410" w14:textId="77777777" w:rsidR="008A386F" w:rsidRPr="008127F8" w:rsidRDefault="008A386F" w:rsidP="008A386F">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завода Хведелиани</w:t>
      </w:r>
    </w:p>
    <w:p w14:paraId="5FAE55EF" w14:textId="77777777" w:rsidR="008A386F" w:rsidRPr="008127F8" w:rsidRDefault="008A386F" w:rsidP="008A386F">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Тбилиси, п/я 51. С июля 1956 года завод приступил к освоению нового самолета МИГ-21 (9821).</w:t>
      </w:r>
    </w:p>
    <w:p w14:paraId="3E238FDC" w14:textId="77777777" w:rsidR="008A386F" w:rsidRPr="008127F8" w:rsidRDefault="008A386F" w:rsidP="008A386F">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52C32F" w14:textId="77777777" w:rsidR="008A386F" w:rsidRPr="008A2E5A" w:rsidRDefault="008A386F" w:rsidP="008A386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мая-июня 1942 года измененные воздухозаборники стали стандартными для всех ЛаГГ-3, в том числе и с 37-мм пушками, правда, только постройки завода № 21. Види</w:t>
      </w:r>
      <w:r w:rsidRPr="008A2E5A">
        <w:rPr>
          <w:rFonts w:ascii="Times New Roman" w:hAnsi="Times New Roman"/>
          <w:color w:val="0070C0"/>
          <w:sz w:val="16"/>
          <w:szCs w:val="16"/>
        </w:rPr>
        <w:softHyphen/>
        <w:t>мо, Главный конструктор тбилисского завода В.П. Горбунов сумел отстоять чистоту аэро</w:t>
      </w:r>
      <w:r w:rsidRPr="008A2E5A">
        <w:rPr>
          <w:rFonts w:ascii="Times New Roman" w:hAnsi="Times New Roman"/>
          <w:color w:val="0070C0"/>
          <w:sz w:val="16"/>
          <w:szCs w:val="16"/>
        </w:rPr>
        <w:softHyphen/>
        <w:t>динамических форм своих изделий (23409).</w:t>
      </w:r>
    </w:p>
    <w:p w14:paraId="0316E13B" w14:textId="77777777" w:rsidR="008A386F" w:rsidRPr="008A2E5A" w:rsidRDefault="008A386F" w:rsidP="008A386F">
      <w:pPr>
        <w:spacing w:after="0" w:line="240" w:lineRule="auto"/>
        <w:jc w:val="both"/>
        <w:rPr>
          <w:rFonts w:ascii="Times New Roman" w:hAnsi="Times New Roman"/>
          <w:color w:val="0070C0"/>
          <w:sz w:val="16"/>
          <w:szCs w:val="16"/>
        </w:rPr>
      </w:pPr>
    </w:p>
    <w:p w14:paraId="5A074D60" w14:textId="77777777" w:rsidR="002312A9" w:rsidRPr="008A2E5A" w:rsidRDefault="002312A9" w:rsidP="002312A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мае-июне 1942 с посту</w:t>
      </w:r>
      <w:r w:rsidRPr="008A2E5A">
        <w:rPr>
          <w:rFonts w:ascii="Times New Roman" w:hAnsi="Times New Roman"/>
          <w:color w:val="0070C0"/>
          <w:sz w:val="16"/>
          <w:szCs w:val="16"/>
        </w:rPr>
        <w:softHyphen/>
        <w:t>плением в ВВС истребителей Р-39 уже непосредственно из США на фронте появились первые авиа</w:t>
      </w:r>
      <w:r w:rsidRPr="008A2E5A">
        <w:rPr>
          <w:rFonts w:ascii="Times New Roman" w:hAnsi="Times New Roman"/>
          <w:color w:val="0070C0"/>
          <w:sz w:val="16"/>
          <w:szCs w:val="16"/>
        </w:rPr>
        <w:softHyphen/>
        <w:t>полки, вооруженные Р-39. И вот здесь необходимо отметить первый и очень важный факт: В ПОДАВЛЯЮЩЕМ СВОЕМ БОЛЬШИНСТВЕ НИКТО ИЗ НАШИХ ЛЕТЧИКОВ «АЭРОКОБРУ» НЕ ВЫБИРАЛ! Их назначали в приказном порядке! Специ</w:t>
      </w:r>
      <w:r w:rsidRPr="008A2E5A">
        <w:rPr>
          <w:rFonts w:ascii="Times New Roman" w:hAnsi="Times New Roman"/>
          <w:color w:val="0070C0"/>
          <w:sz w:val="16"/>
          <w:szCs w:val="16"/>
        </w:rPr>
        <w:softHyphen/>
        <w:t>ально отмечаю этот момент для тех, кто любит порассу</w:t>
      </w:r>
      <w:r w:rsidRPr="008A2E5A">
        <w:rPr>
          <w:rFonts w:ascii="Times New Roman" w:hAnsi="Times New Roman"/>
          <w:color w:val="0070C0"/>
          <w:sz w:val="16"/>
          <w:szCs w:val="16"/>
        </w:rPr>
        <w:softHyphen/>
        <w:t>ждать о том, что «наши асы-истребители выбирали только «Аэрокобру»! Не стоит, наверное, лишний раз говорить о том, что в той сложной военной обстановке в сражающейся армии царила абсолютная дисциплина и полное главен</w:t>
      </w:r>
      <w:r w:rsidRPr="008A2E5A">
        <w:rPr>
          <w:rFonts w:ascii="Times New Roman" w:hAnsi="Times New Roman"/>
          <w:color w:val="0070C0"/>
          <w:sz w:val="16"/>
          <w:szCs w:val="16"/>
        </w:rPr>
        <w:softHyphen/>
        <w:t>ство приказа. Ввиду высокой сложности и дороговизны импортной матчасти было принято вполне логичное, обо</w:t>
      </w:r>
      <w:r w:rsidRPr="008A2E5A">
        <w:rPr>
          <w:rFonts w:ascii="Times New Roman" w:hAnsi="Times New Roman"/>
          <w:color w:val="0070C0"/>
          <w:sz w:val="16"/>
          <w:szCs w:val="16"/>
        </w:rPr>
        <w:softHyphen/>
        <w:t>снованное решение - переучивать на Р-39 не выпускников летных школ, «желторотиков» класса «взлет-посадка», а опытных летчиков-истребителей, имеющих определен</w:t>
      </w:r>
      <w:r w:rsidRPr="008A2E5A">
        <w:rPr>
          <w:rFonts w:ascii="Times New Roman" w:hAnsi="Times New Roman"/>
          <w:color w:val="0070C0"/>
          <w:sz w:val="16"/>
          <w:szCs w:val="16"/>
        </w:rPr>
        <w:softHyphen/>
        <w:t xml:space="preserve">ный боевой опыт. Решение о </w:t>
      </w:r>
      <w:r w:rsidRPr="008A2E5A">
        <w:rPr>
          <w:rFonts w:ascii="Times New Roman" w:hAnsi="Times New Roman"/>
          <w:color w:val="0070C0"/>
          <w:sz w:val="16"/>
          <w:szCs w:val="16"/>
        </w:rPr>
        <w:lastRenderedPageBreak/>
        <w:t>переучивании того или иного авиаполка, авиадивизии на Р-39 принималось на самом высоком уровне - Ставке ВГК или в Генеральном штабе. В исключительных случаях могли прислушиваться к мнениям и пожеланиям командного состава ВВС - командиров пол</w:t>
      </w:r>
      <w:r w:rsidRPr="008A2E5A">
        <w:rPr>
          <w:rFonts w:ascii="Times New Roman" w:hAnsi="Times New Roman"/>
          <w:color w:val="0070C0"/>
          <w:sz w:val="16"/>
          <w:szCs w:val="16"/>
        </w:rPr>
        <w:softHyphen/>
        <w:t>ков, дивизий, корпусов. В частности, известен случай, когда назначенный командиром истребительной авиадивизии, на тот момент полковник, Е.Я. Савицкий, принимая дивизию, узнал, что один из авиаполков плани</w:t>
      </w:r>
      <w:r w:rsidRPr="008A2E5A">
        <w:rPr>
          <w:rFonts w:ascii="Times New Roman" w:hAnsi="Times New Roman"/>
          <w:color w:val="0070C0"/>
          <w:sz w:val="16"/>
          <w:szCs w:val="16"/>
        </w:rPr>
        <w:softHyphen/>
        <w:t>руется к перевооружению на «Аэро</w:t>
      </w:r>
      <w:r w:rsidRPr="008A2E5A">
        <w:rPr>
          <w:rFonts w:ascii="Times New Roman" w:hAnsi="Times New Roman"/>
          <w:color w:val="0070C0"/>
          <w:sz w:val="16"/>
          <w:szCs w:val="16"/>
        </w:rPr>
        <w:softHyphen/>
        <w:t>кобры». Будучи большим патриотом и приверженцем отечественных машин, Евгений Яковлевич настоял и добился того, чтобы все полки его дивизии комплектовались истребителями Яков</w:t>
      </w:r>
      <w:r w:rsidRPr="008A2E5A">
        <w:rPr>
          <w:rFonts w:ascii="Times New Roman" w:hAnsi="Times New Roman"/>
          <w:color w:val="0070C0"/>
          <w:sz w:val="16"/>
          <w:szCs w:val="16"/>
        </w:rPr>
        <w:softHyphen/>
        <w:t>лева и Лавочкина. Обычные советские летчики и даже асы сами ничего не решали и матчасть себе не выбирали. Они обязаны были выполнить приказ о перевооружении и переучивании, если таковой поступал. По приведенному выше случаю с дивизией Савицкого, можно говорить о том, что по крайней мере, не все советские летчики стреми</w:t>
      </w:r>
      <w:r w:rsidRPr="008A2E5A">
        <w:rPr>
          <w:rFonts w:ascii="Times New Roman" w:hAnsi="Times New Roman"/>
          <w:color w:val="0070C0"/>
          <w:sz w:val="16"/>
          <w:szCs w:val="16"/>
        </w:rPr>
        <w:softHyphen/>
        <w:t>лись пересесть на «Кобру» (23399).</w:t>
      </w:r>
    </w:p>
    <w:p w14:paraId="65303244" w14:textId="77777777" w:rsidR="002312A9" w:rsidRPr="008A2E5A" w:rsidRDefault="002312A9" w:rsidP="002312A9">
      <w:pPr>
        <w:spacing w:after="0" w:line="240" w:lineRule="auto"/>
        <w:jc w:val="both"/>
        <w:rPr>
          <w:rFonts w:ascii="Times New Roman" w:hAnsi="Times New Roman"/>
          <w:color w:val="0070C0"/>
          <w:sz w:val="16"/>
          <w:szCs w:val="16"/>
        </w:rPr>
      </w:pPr>
    </w:p>
    <w:p w14:paraId="1B62035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A2770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068D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мае-июне 1942 года согласно донесению АНИОП было изготовлено 1250 снарядов МГВ-280 и МГВ-320, а также другие необходимые составляющие реактивной системы (6403, 42).</w:t>
      </w:r>
    </w:p>
    <w:p w14:paraId="747F2C9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DF5E5F"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мае-июне 1942 испытали второй экземпляр спаренной установки вооружения на УЗТМ (за</w:t>
      </w:r>
      <w:r w:rsidRPr="008127F8">
        <w:rPr>
          <w:rFonts w:ascii="Times New Roman" w:cs="Times New Roman"/>
          <w:color w:val="000000" w:themeColor="text1"/>
          <w:spacing w:val="0"/>
        </w:rPr>
        <w:softHyphen/>
        <w:t>водской индекс У-14). Эту машину вооружили спаренной си</w:t>
      </w:r>
      <w:r w:rsidRPr="008127F8">
        <w:rPr>
          <w:rFonts w:ascii="Times New Roman" w:cs="Times New Roman"/>
          <w:color w:val="000000" w:themeColor="text1"/>
          <w:spacing w:val="0"/>
        </w:rPr>
        <w:softHyphen/>
        <w:t>стемой из двух 76-мм танковых пушек ЗИС-5, размещенных в общей люльке. Огонь мог вестись залпом из двух орудий или одиночными выстрелами из любой пушки. Скорострельность спаренной ус</w:t>
      </w:r>
      <w:r w:rsidRPr="008127F8">
        <w:rPr>
          <w:rFonts w:ascii="Times New Roman" w:cs="Times New Roman"/>
          <w:color w:val="000000" w:themeColor="text1"/>
          <w:spacing w:val="0"/>
        </w:rPr>
        <w:softHyphen/>
        <w:t>тановки достигала 15 выстр./мин. В бое</w:t>
      </w:r>
      <w:r w:rsidRPr="008127F8">
        <w:rPr>
          <w:rFonts w:ascii="Times New Roman" w:cs="Times New Roman"/>
          <w:color w:val="000000" w:themeColor="text1"/>
          <w:spacing w:val="0"/>
        </w:rPr>
        <w:softHyphen/>
        <w:t>комплект входили 150 выстрелов к пушкам и 2646 патронов к двум пулеметам ДТ, размещенным аналогично первому образцу КВ-7. Эту САУ продемонстриро</w:t>
      </w:r>
      <w:r w:rsidRPr="008127F8">
        <w:rPr>
          <w:rFonts w:ascii="Times New Roman" w:cs="Times New Roman"/>
          <w:color w:val="000000" w:themeColor="text1"/>
          <w:spacing w:val="0"/>
        </w:rPr>
        <w:softHyphen/>
        <w:t>вали высшему командованию РККА, но на вооружение не приняли. К этому вре</w:t>
      </w:r>
      <w:r w:rsidRPr="008127F8">
        <w:rPr>
          <w:rFonts w:ascii="Times New Roman" w:cs="Times New Roman"/>
          <w:color w:val="000000" w:themeColor="text1"/>
          <w:spacing w:val="0"/>
        </w:rPr>
        <w:softHyphen/>
        <w:t>мени стало ясно, что установка в танке или самоходке двух орудий не оправдана, и работы по КВ-7 прекратили (15232).</w:t>
      </w:r>
    </w:p>
    <w:p w14:paraId="0D344C8A"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p>
    <w:p w14:paraId="2A68FE6F" w14:textId="77777777" w:rsidR="007C5583" w:rsidRPr="008127F8" w:rsidRDefault="007C5583" w:rsidP="007C5583">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мае-июне </w:t>
      </w:r>
      <w:smartTag w:uri="urn:schemas-microsoft-com:office:smarttags" w:element="metricconverter">
        <w:smartTagPr>
          <w:attr w:name="ProductID" w:val="1945 г"/>
        </w:smartTagPr>
        <w:r w:rsidRPr="008127F8">
          <w:rPr>
            <w:rFonts w:ascii="Times New Roman" w:hAnsi="Times New Roman"/>
            <w:color w:val="000000" w:themeColor="text1"/>
            <w:sz w:val="16"/>
            <w:szCs w:val="16"/>
          </w:rPr>
          <w:t>1942 г</w:t>
        </w:r>
      </w:smartTag>
      <w:r w:rsidRPr="008127F8">
        <w:rPr>
          <w:rFonts w:ascii="Times New Roman" w:hAnsi="Times New Roman"/>
          <w:color w:val="000000" w:themeColor="text1"/>
          <w:sz w:val="16"/>
          <w:szCs w:val="16"/>
        </w:rPr>
        <w:t>. опытные образцы «штурмовой» и «зенитной» САУ были изготовлены и поступили на испытания (15218).</w:t>
      </w:r>
    </w:p>
    <w:p w14:paraId="18F5B9ED" w14:textId="77777777" w:rsidR="007C5583" w:rsidRPr="008127F8" w:rsidRDefault="007C5583" w:rsidP="007C5583">
      <w:pPr>
        <w:widowControl w:val="0"/>
        <w:spacing w:after="0" w:line="240" w:lineRule="auto"/>
        <w:jc w:val="both"/>
        <w:rPr>
          <w:rFonts w:ascii="Times New Roman" w:hAnsi="Times New Roman"/>
          <w:color w:val="000000" w:themeColor="text1"/>
          <w:sz w:val="16"/>
          <w:szCs w:val="16"/>
        </w:rPr>
      </w:pPr>
    </w:p>
    <w:p w14:paraId="25EA652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мае-июне 1942 г. опытные образцы “штурмовой” и “зенитной” САУ были изготовлены и поступили на испытания (6205, 14).</w:t>
      </w:r>
    </w:p>
    <w:p w14:paraId="2C3781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7E60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мае—июне 1942 г. опытные образцы «штурмовой» и «зенитной» САУ были из</w:t>
      </w:r>
      <w:r w:rsidRPr="008127F8">
        <w:rPr>
          <w:rFonts w:ascii="Times New Roman" w:hAnsi="Times New Roman"/>
          <w:color w:val="000000" w:themeColor="text1"/>
          <w:sz w:val="16"/>
          <w:szCs w:val="16"/>
        </w:rPr>
        <w:softHyphen/>
        <w:t>готовлены и поступили на испытания. К сожалению, отчет по испытаниям этих интересных самоходов пока не обнару</w:t>
      </w:r>
      <w:r w:rsidRPr="008127F8">
        <w:rPr>
          <w:rFonts w:ascii="Times New Roman" w:hAnsi="Times New Roman"/>
          <w:color w:val="000000" w:themeColor="text1"/>
          <w:sz w:val="16"/>
          <w:szCs w:val="16"/>
        </w:rPr>
        <w:softHyphen/>
        <w:t>жен, равно как неизвестен и их войсковой индекс. Но испытания судя по всему закончились успешно, так как в июне 1942 г. последовало распоряжение ГКО о скорейшей довод</w:t>
      </w:r>
      <w:r w:rsidRPr="008127F8">
        <w:rPr>
          <w:rFonts w:ascii="Times New Roman" w:hAnsi="Times New Roman"/>
          <w:color w:val="000000" w:themeColor="text1"/>
          <w:sz w:val="16"/>
          <w:szCs w:val="16"/>
        </w:rPr>
        <w:softHyphen/>
        <w:t>ке машины и подготовке серии для проведения войсковых Испытаний. Но начавшееся вскоре крупномасштабное сражение за Сталинград потребовало от завода № 37 срочного наращивания выпуска легких танков, и заказ на изготовле</w:t>
      </w:r>
      <w:r w:rsidRPr="008127F8">
        <w:rPr>
          <w:rFonts w:ascii="Times New Roman" w:hAnsi="Times New Roman"/>
          <w:color w:val="000000" w:themeColor="text1"/>
          <w:sz w:val="16"/>
          <w:szCs w:val="16"/>
        </w:rPr>
        <w:softHyphen/>
        <w:t>ние опытной серии самоходных пушек был отменен (11417).</w:t>
      </w:r>
    </w:p>
    <w:p w14:paraId="533A2E6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12CE2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 июне 1942 г. в КБ завода № 37 в Свердловске по про</w:t>
      </w:r>
      <w:r w:rsidRPr="008127F8">
        <w:rPr>
          <w:rFonts w:ascii="Times New Roman" w:hAnsi="Times New Roman"/>
          <w:color w:val="000000" w:themeColor="text1"/>
          <w:sz w:val="16"/>
          <w:szCs w:val="16"/>
        </w:rPr>
        <w:softHyphen/>
        <w:t>екту С.А. Гинзбурга было спроектировано и из</w:t>
      </w:r>
      <w:r w:rsidRPr="008127F8">
        <w:rPr>
          <w:rFonts w:ascii="Times New Roman" w:hAnsi="Times New Roman"/>
          <w:color w:val="000000" w:themeColor="text1"/>
          <w:sz w:val="16"/>
          <w:szCs w:val="16"/>
        </w:rPr>
        <w:softHyphen/>
        <w:t>готовлено 76,2-мм штурмовое орудие поддержки. Опытный образец установки летом 1942 г. прошел заводские испытания и в июне того же года был рекомендован к произ</w:t>
      </w:r>
      <w:r w:rsidRPr="008127F8">
        <w:rPr>
          <w:rFonts w:ascii="Times New Roman" w:hAnsi="Times New Roman"/>
          <w:color w:val="000000" w:themeColor="text1"/>
          <w:sz w:val="16"/>
          <w:szCs w:val="16"/>
        </w:rPr>
        <w:softHyphen/>
        <w:t>водству небольшой серии машин для проведения войсковых испыта</w:t>
      </w:r>
      <w:r w:rsidRPr="008127F8">
        <w:rPr>
          <w:rFonts w:ascii="Times New Roman" w:hAnsi="Times New Roman"/>
          <w:color w:val="000000" w:themeColor="text1"/>
          <w:sz w:val="16"/>
          <w:szCs w:val="16"/>
        </w:rPr>
        <w:softHyphen/>
        <w:t>ний. Дальнейшие работы по машине были прекращены в связи со сроч</w:t>
      </w:r>
      <w:r w:rsidRPr="008127F8">
        <w:rPr>
          <w:rFonts w:ascii="Times New Roman" w:hAnsi="Times New Roman"/>
          <w:color w:val="000000" w:themeColor="text1"/>
          <w:sz w:val="16"/>
          <w:szCs w:val="16"/>
        </w:rPr>
        <w:softHyphen/>
        <w:t>ным наращиванием производства легких танков на заводе. Машина была создана с использованием агрегатов трансмиссии и узлов ходовой части легкого танка Т-60. Она относилась к типу закры</w:t>
      </w:r>
      <w:r w:rsidRPr="008127F8">
        <w:rPr>
          <w:rFonts w:ascii="Times New Roman" w:hAnsi="Times New Roman"/>
          <w:color w:val="000000" w:themeColor="text1"/>
          <w:sz w:val="16"/>
          <w:szCs w:val="16"/>
        </w:rPr>
        <w:softHyphen/>
        <w:t>тых самоходных установок. Схема общей компоновки предусматривала переднее расположение трансмиссии и ведущих колес, кормовое разме</w:t>
      </w:r>
      <w:r w:rsidRPr="008127F8">
        <w:rPr>
          <w:rFonts w:ascii="Times New Roman" w:hAnsi="Times New Roman"/>
          <w:color w:val="000000" w:themeColor="text1"/>
          <w:sz w:val="16"/>
          <w:szCs w:val="16"/>
        </w:rPr>
        <w:softHyphen/>
        <w:t>щение неподвижной броневой рубки и установку двух двигателей, ра</w:t>
      </w:r>
      <w:r w:rsidRPr="008127F8">
        <w:rPr>
          <w:rFonts w:ascii="Times New Roman" w:hAnsi="Times New Roman"/>
          <w:color w:val="000000" w:themeColor="text1"/>
          <w:sz w:val="16"/>
          <w:szCs w:val="16"/>
        </w:rPr>
        <w:softHyphen/>
        <w:t>ботавших параллельно, по бортам в средней части корпуса (10703).</w:t>
      </w:r>
    </w:p>
    <w:p w14:paraId="3E7C8D5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47C36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мае-июне 1942 года проект вооружения танка Т-34 122-мм гаубицей во вращающейся башне был разработан по инициативе завода № 8. Однако этот проект также был отклонен ГАБТУ КА:</w:t>
      </w:r>
    </w:p>
    <w:p w14:paraId="1B1F72F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«Проектом предусматривается установка опытного образца 122-мм танковой гаубицы У-11 в новой башне танка Т-34 при сохранении существующего погона.</w:t>
      </w:r>
    </w:p>
    <w:p w14:paraId="2089A0C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Ввиду того, что при предложенной установке в боевом отделении имеется только два человека для обслуживания орудия, что совершенно недостаточно для нормальной работы при гаубице, данный проект интереса не представляет и подлежит отклонению.</w:t>
      </w:r>
    </w:p>
    <w:p w14:paraId="5AE9DD9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наличии образца установки этой гаубицы в более просторной башне танка КВ (речь идет об опытной машине КВ-9. - Прим. автора), неудовлетворяющего по удобству обслуживания и скорострельности предъявляемым требованиям, разработка присланного проекта явно нецелесообразна» (12217).</w:t>
      </w:r>
    </w:p>
    <w:p w14:paraId="58E6C7E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88F4E1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 июне 1942 г. заводом № 37 были изготовлены опытные образцы штурмовой и зенитной самоходных установок, которые прошли заводские и полигон</w:t>
      </w:r>
      <w:r w:rsidRPr="008127F8">
        <w:rPr>
          <w:rFonts w:ascii="Times New Roman" w:hAnsi="Times New Roman"/>
          <w:color w:val="000000" w:themeColor="text1"/>
          <w:sz w:val="16"/>
          <w:szCs w:val="16"/>
        </w:rPr>
        <w:softHyphen/>
        <w:t>ные испытания (10703).</w:t>
      </w:r>
    </w:p>
    <w:p w14:paraId="1CB3C78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F9A9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мае—июне 1942 г. с помощью специали</w:t>
      </w:r>
      <w:r w:rsidRPr="008127F8">
        <w:rPr>
          <w:rFonts w:ascii="Times New Roman" w:hAnsi="Times New Roman"/>
          <w:color w:val="000000" w:themeColor="text1"/>
          <w:sz w:val="16"/>
          <w:szCs w:val="16"/>
        </w:rPr>
        <w:softHyphen/>
        <w:t>стов завода 190 удалось провести наладку и регулировку главных турбин и котлов и впервые поднять пары. Вместо штатной руле</w:t>
      </w:r>
      <w:r w:rsidRPr="008127F8">
        <w:rPr>
          <w:rFonts w:ascii="Times New Roman" w:hAnsi="Times New Roman"/>
          <w:color w:val="000000" w:themeColor="text1"/>
          <w:sz w:val="16"/>
          <w:szCs w:val="16"/>
        </w:rPr>
        <w:softHyphen/>
        <w:t>вой машины на эскадренном траулере Владимир Полухин установили опытный образец (3898)</w:t>
      </w:r>
    </w:p>
    <w:p w14:paraId="7FE5CDA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107B8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 июле 1942 г. в КБ Уралмашзавода группой конструкторов под руководством Н.В. Курина был разработан проект легкого танка УТ-1, предназначавшегося для сопровождения пехоты и подавления ог</w:t>
      </w:r>
      <w:r w:rsidRPr="008127F8">
        <w:rPr>
          <w:rFonts w:ascii="Times New Roman" w:hAnsi="Times New Roman"/>
          <w:color w:val="000000" w:themeColor="text1"/>
          <w:sz w:val="16"/>
          <w:szCs w:val="16"/>
        </w:rPr>
        <w:softHyphen/>
        <w:t>невых точек противника. Конструкция танка отличалась простотой и была приспособлена для массового производства. КБ завода выполни</w:t>
      </w:r>
      <w:r w:rsidRPr="008127F8">
        <w:rPr>
          <w:rFonts w:ascii="Times New Roman" w:hAnsi="Times New Roman"/>
          <w:color w:val="000000" w:themeColor="text1"/>
          <w:sz w:val="16"/>
          <w:szCs w:val="16"/>
        </w:rPr>
        <w:softHyphen/>
        <w:t>ло все необходимые проектные работы, по рабочим чертежам был изго</w:t>
      </w:r>
      <w:r w:rsidRPr="008127F8">
        <w:rPr>
          <w:rFonts w:ascii="Times New Roman" w:hAnsi="Times New Roman"/>
          <w:color w:val="000000" w:themeColor="text1"/>
          <w:sz w:val="16"/>
          <w:szCs w:val="16"/>
        </w:rPr>
        <w:softHyphen/>
        <w:t>товлен деревянный макет танка УТ-1 в натуральную величину. Соглас</w:t>
      </w:r>
      <w:r w:rsidRPr="008127F8">
        <w:rPr>
          <w:rFonts w:ascii="Times New Roman" w:hAnsi="Times New Roman"/>
          <w:color w:val="000000" w:themeColor="text1"/>
          <w:sz w:val="16"/>
          <w:szCs w:val="16"/>
        </w:rPr>
        <w:softHyphen/>
        <w:t>но проекту танк имел боевую массу 10 - 12 т, броневую защиту с толщи</w:t>
      </w:r>
      <w:r w:rsidRPr="008127F8">
        <w:rPr>
          <w:rFonts w:ascii="Times New Roman" w:hAnsi="Times New Roman"/>
          <w:color w:val="000000" w:themeColor="text1"/>
          <w:sz w:val="16"/>
          <w:szCs w:val="16"/>
        </w:rPr>
        <w:softHyphen/>
        <w:t>ной броневых листов 30 — 35 мм и был вооружен 45-мм танковой пуш</w:t>
      </w:r>
      <w:r w:rsidRPr="008127F8">
        <w:rPr>
          <w:rFonts w:ascii="Times New Roman" w:hAnsi="Times New Roman"/>
          <w:color w:val="000000" w:themeColor="text1"/>
          <w:sz w:val="16"/>
          <w:szCs w:val="16"/>
        </w:rPr>
        <w:softHyphen/>
        <w:t>кой и двумя 7,62-мм пулеметами ДТ. Однако работа по созданию танка УТ-1 не была закончена ввиду перевода производства завода с сентября 1942 г. на выпуск среднего танка Т-34 (10703).</w:t>
      </w:r>
    </w:p>
    <w:p w14:paraId="4960CD6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B5BC72" w14:textId="77777777" w:rsidR="007C5583" w:rsidRPr="008127F8" w:rsidRDefault="007C5583" w:rsidP="007C5583">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 июне 1942 года, с началом их серийного производства, бронеавтомобили БА-64 стали вводиться в штат танковых частей Красной Армии. Они были включены в штаты танкового корпуса – 5 машин в управлении, по 3 в танковых и 17 в мотострелковых бригадах. Таким образом, в танковом корпусе числился 31 БА-64. Кроме того, в это же время началось формирование мотоциклетных полков (в каждом по штату 10 БА-64) и отдельных разведывательных батальонов (по 12 БА-64) (15218).</w:t>
      </w:r>
    </w:p>
    <w:p w14:paraId="540B1FD4" w14:textId="77777777" w:rsidR="007C5583" w:rsidRPr="008127F8" w:rsidRDefault="007C5583" w:rsidP="007C5583">
      <w:pPr>
        <w:widowControl w:val="0"/>
        <w:spacing w:after="0" w:line="240" w:lineRule="auto"/>
        <w:jc w:val="both"/>
        <w:rPr>
          <w:rFonts w:ascii="Times New Roman" w:hAnsi="Times New Roman"/>
          <w:color w:val="000000" w:themeColor="text1"/>
          <w:sz w:val="16"/>
          <w:szCs w:val="16"/>
        </w:rPr>
      </w:pPr>
    </w:p>
    <w:p w14:paraId="49D0ED9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мае-июне 1942 года была реэвакуирована из г. Саратова и направлена на работу в СКБ НКСП группа работников завода-205, среди них: Ф.С. Сметанников, А.Ж. Иевретдинов, К.И. Богданов, И.И. Дмитриев, И.О. Пименов, А.К. Баулин, А.Г. Аркин, И.А. Бобков, В.П. Иванов, В.В. Томский, З.Ш. Либуркин, И.И. Липовецкий и многие другие (15736).</w:t>
      </w:r>
    </w:p>
    <w:p w14:paraId="6F38ABE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C2881A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 августе 1942 г. на Ковровском заводе был проведен конкурс на лучшую конструкцию станкового пулемета. Одним из наиболее удачных с точки зрения оригинальности конструктивных решений и простоты устройства был признан 7,62-мм пулемет ГВЦ созданный учеником В.А. Дегтярева конструктором П.М. Горюновым вместе с мастером В.Е. Воронковым и слесарем М.М. Горюно-вым. Принцип работы автоматики был основан на использовании эне гии пороховых газов через поперечное отверстие в стенке ствола. Запирание канала ствола производилось перекосом затвора. В марте была изготовлена опытная партия пулеметов ГВГ, по результатам испытаний которых в доработанном виде 14 мая 1943 г. станковый пулемет конструкции Горюнова под маркой СГ-43 был принят на : РККА. Масса пулемета не превышала 13,5 кг. Наибольшая прице дальность стрельбы из спаренного пулемета составляла 2200 м. Темп стрельбы - 600 - 700 выстр./мин., а боевая скорострельность - 250-300 выстр./мин. Емкость пулеметной ленты была рассчитана на 2501 патронов. Начальная скорость полета пули составляла 800 м/с (10703).</w:t>
      </w:r>
    </w:p>
    <w:p w14:paraId="6902ECD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45A43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 октябре 1942 г. с целью повышения защищенности средне</w:t>
      </w:r>
      <w:r w:rsidRPr="008127F8">
        <w:rPr>
          <w:rFonts w:ascii="Times New Roman" w:hAnsi="Times New Roman"/>
          <w:color w:val="000000" w:themeColor="text1"/>
          <w:sz w:val="16"/>
          <w:szCs w:val="16"/>
        </w:rPr>
        <w:softHyphen/>
        <w:t>го танка при одновременном сохранении маневренных и огневых ка</w:t>
      </w:r>
      <w:r w:rsidRPr="008127F8">
        <w:rPr>
          <w:rFonts w:ascii="Times New Roman" w:hAnsi="Times New Roman"/>
          <w:color w:val="000000" w:themeColor="text1"/>
          <w:sz w:val="16"/>
          <w:szCs w:val="16"/>
        </w:rPr>
        <w:softHyphen/>
        <w:t>честв, присущих танку Т-34-76 и возможно полном использовании его основных узлов и агрегатов в КБ-520 завода № 183 в Нижнем Тагиле под руководством главного конструктора А.А. Моро</w:t>
      </w:r>
      <w:r w:rsidRPr="008127F8">
        <w:rPr>
          <w:rFonts w:ascii="Times New Roman" w:hAnsi="Times New Roman"/>
          <w:color w:val="000000" w:themeColor="text1"/>
          <w:sz w:val="16"/>
          <w:szCs w:val="16"/>
        </w:rPr>
        <w:softHyphen/>
        <w:t>зова был разработанк танк Т-43 (первый вариант). Опытный образец был изготовлен в опыт</w:t>
      </w:r>
      <w:r w:rsidRPr="008127F8">
        <w:rPr>
          <w:rFonts w:ascii="Times New Roman" w:hAnsi="Times New Roman"/>
          <w:color w:val="000000" w:themeColor="text1"/>
          <w:sz w:val="16"/>
          <w:szCs w:val="16"/>
        </w:rPr>
        <w:softHyphen/>
        <w:t>но-эксплуатационном отделе завода в декабре 1942 г. и до апреля 1943 г. проходил заводские испытания, по результатам которых было решено изготовить три опытных образца с учетом устранения выявленных не</w:t>
      </w:r>
      <w:r w:rsidRPr="008127F8">
        <w:rPr>
          <w:rFonts w:ascii="Times New Roman" w:hAnsi="Times New Roman"/>
          <w:color w:val="000000" w:themeColor="text1"/>
          <w:sz w:val="16"/>
          <w:szCs w:val="16"/>
        </w:rPr>
        <w:softHyphen/>
        <w:t>достатков. На вооружение танк не принимался и в серийном производ</w:t>
      </w:r>
      <w:r w:rsidRPr="008127F8">
        <w:rPr>
          <w:rFonts w:ascii="Times New Roman" w:hAnsi="Times New Roman"/>
          <w:color w:val="000000" w:themeColor="text1"/>
          <w:sz w:val="16"/>
          <w:szCs w:val="16"/>
        </w:rPr>
        <w:softHyphen/>
        <w:t>стве не состоял (10703).</w:t>
      </w:r>
    </w:p>
    <w:p w14:paraId="7ABA9CB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1AE92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777055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85C27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мае-июне 1942 были созданы первые шад, состоящие из 2-4 шап (до 80 машин) и ночные ббд (2606,37).</w:t>
      </w:r>
    </w:p>
    <w:p w14:paraId="4582385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B8CE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период с мая 1942 г. по октябрь 1943 г. по опыту боевых действий частей 225-й шад потери летчиков и воздушных стрелков составили 519 человек — или 11,8% к выполненным боевым самолето-вылетам, в том числе 6,9% безвозвратных и 4,9% санитарных потерь. Из 305 человек безвозвратных потерь 269 человек считались </w:t>
      </w:r>
      <w:r w:rsidRPr="008127F8">
        <w:rPr>
          <w:rFonts w:ascii="Times New Roman" w:hAnsi="Times New Roman"/>
          <w:color w:val="000000" w:themeColor="text1"/>
          <w:sz w:val="16"/>
          <w:szCs w:val="16"/>
        </w:rPr>
        <w:lastRenderedPageBreak/>
        <w:t>без вести пропавшими, остальные погибли. В общей сложности ранения получили 158 летчиков и 56 воздушных стрелков. Из числа санитарных потерь 36 человек (16,8%) были ранены в результате огня зенитной артиллерии, 101 авиатор (47,2%) — истребителями люфтваффе, 47 (22,0%) — в боевых летных происшествиях, 2 (0,9%) — при бомбардировках противником аэродромов, и причины ранений 28 человек (13,1%) установить не удалось. Дивизионный врач майор медицинской службы Попов зафиксировал за этот период времени 56 тяжелых и 158 легких ранений летного состава дивизии. При этом из 214 раненых 110 получили ранения первично (51,4%), 67 (31,3%) - вторично, 31 (14,5%) — третий раз, 6 (2,8%) — четвертый раз. В госпиталь было направлено 116 авиаторов и 64 — в войсковой лазарет БАО. Остальные летчики и воздушные стрелки проходили лечение в медпункте аэродрома. Впоследствии к боевой работе возвратилось 186 человек, 24 — летать больше не могли, но сохранили трудоспособность и в дальнейшем возвратились к труду, остальные 4 авиатора от полученных ранений стали инвалидами.</w:t>
      </w:r>
    </w:p>
    <w:p w14:paraId="5FE377B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Наибольшее количество ранений летчиков 225-й шад приходилось на нижние (30,4%) и верхние (22,8%) конечности и череп (24,7%). Примерно 6,9% составили ранения в лицо, 3,2% — в шею, 4,4% — в грудь, 3,8% — в живот, 2,5% — в позвоночник, и 1,3% ранений — в область таза.</w:t>
      </w:r>
    </w:p>
    <w:p w14:paraId="347402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Воздушные стрелки получали ранения главным образом в верхние (39,3%) и нижние конечности (32,1%). Остальные ранения почти равномерно распределялись по области локализации: череп (3,6%), лицо (3,6%), шея (3,5%), грудь (5,4%), живот (3,6%), позвоночник (3,5%), таз (5,4%).</w:t>
      </w:r>
    </w:p>
    <w:p w14:paraId="6189B3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Усредненные данные по локализации ранений летного состава штурмовой авиации по всем воздушным армиям и за весь период войны дает следующую картину: 8% всех ранений пришлось на череп, 14,5% — лицо, 1% — шею, 7,4% — грудную клетку и позвоночник, 2,7% — живот и таз, 23,3% — верхние конечности, 26,8% — нижние конечности, 16,4 — множественные ранения (повреждения).</w:t>
      </w:r>
    </w:p>
    <w:p w14:paraId="7ABE83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Локализация ранений летного состава истребительной и дневной бомбардировочной авиации, как оказалось, почти совпадает с распределением для штурмовой авиации: череп — 8% и 8,9%, лицо - 10,7% и 14,2%, шея - 1,5% и 0,8%, грудная клетка и позвоночник — 7,3% и 8%, живот и таз — 3,3% и 5,2%, верхние конечности — 20,1% и 24,1%, 32,7% и 27,5% - нижние конечности, 16,4 и 11,3 — множественные ранения (повреждения), соответственно.</w:t>
      </w:r>
    </w:p>
    <w:p w14:paraId="79CACA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Помощник командира 1-й гшад по воздушно-стрелковой службе инженер-капитан Дмитриевский докладывал, что в ходе боев по освобождению Донбасса по ранению вышли из строя 36 воздушных стрелков и 13 летчиков. Из этого числа возвратились в строй 8 летчиков и 23 воздушных стрелка.</w:t>
      </w:r>
    </w:p>
    <w:p w14:paraId="73C7E64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заключению врача дивизии наиболее частыми ранениями воздушных стрелков являются ранения в ноги, как от зенитной артиллерии, так и от истребительной авиации: «Стрелок не имеет броневой защиты снизу и с боков, что ведет к его поражению даже осколками снарядов, рвущихся в непосредственной близости от кабины».</w:t>
      </w:r>
    </w:p>
    <w:p w14:paraId="56D9C7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Второе место занимали ранения в спину, в бока, шею и затылок: «Эти ранения получаются от осколков, попадающих в бронеплиту, которые рикошетируют».</w:t>
      </w:r>
    </w:p>
    <w:p w14:paraId="7BC54D4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Менее частыми оказались ранения воздушных стрелков в руки, а также ранения головы, лица, полости живота, «так как весь торс, руки, голова защищены телом пулемета и турельной установкой». Открытыми зонами поражения стрелков является нижняя часть тела снизу, а также с боков (11921).</w:t>
      </w:r>
    </w:p>
    <w:p w14:paraId="5B32C0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0D572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мае-июне 1942 ДБ-3 (среди которых ста</w:t>
      </w:r>
      <w:r w:rsidRPr="008127F8">
        <w:rPr>
          <w:rFonts w:ascii="Times New Roman" w:hAnsi="Times New Roman"/>
          <w:color w:val="000000" w:themeColor="text1"/>
          <w:sz w:val="16"/>
          <w:szCs w:val="16"/>
        </w:rPr>
        <w:softHyphen/>
        <w:t>новилось все больше новых Ил-4) ста</w:t>
      </w:r>
      <w:r w:rsidRPr="008127F8">
        <w:rPr>
          <w:rFonts w:ascii="Times New Roman" w:hAnsi="Times New Roman"/>
          <w:color w:val="000000" w:themeColor="text1"/>
          <w:sz w:val="16"/>
          <w:szCs w:val="16"/>
        </w:rPr>
        <w:softHyphen/>
        <w:t>ли применять английские донные мины АМк. I и АМк. IV. Они были более со</w:t>
      </w:r>
      <w:r w:rsidRPr="008127F8">
        <w:rPr>
          <w:rFonts w:ascii="Times New Roman" w:hAnsi="Times New Roman"/>
          <w:color w:val="000000" w:themeColor="text1"/>
          <w:sz w:val="16"/>
          <w:szCs w:val="16"/>
        </w:rPr>
        <w:softHyphen/>
        <w:t>вершенны, нежели МИРАБ. Заряд до</w:t>
      </w:r>
      <w:r w:rsidRPr="008127F8">
        <w:rPr>
          <w:rFonts w:ascii="Times New Roman" w:hAnsi="Times New Roman"/>
          <w:color w:val="000000" w:themeColor="text1"/>
          <w:sz w:val="16"/>
          <w:szCs w:val="16"/>
        </w:rPr>
        <w:softHyphen/>
        <w:t>стигал 300 кг, а взрыватели — куда лучше советских. Сбрасывались анг</w:t>
      </w:r>
      <w:r w:rsidRPr="008127F8">
        <w:rPr>
          <w:rFonts w:ascii="Times New Roman" w:hAnsi="Times New Roman"/>
          <w:color w:val="000000" w:themeColor="text1"/>
          <w:sz w:val="16"/>
          <w:szCs w:val="16"/>
        </w:rPr>
        <w:softHyphen/>
        <w:t>лийские мины с высоты 150-200 м. Ос</w:t>
      </w:r>
      <w:r w:rsidRPr="008127F8">
        <w:rPr>
          <w:rFonts w:ascii="Times New Roman" w:hAnsi="Times New Roman"/>
          <w:color w:val="000000" w:themeColor="text1"/>
          <w:sz w:val="16"/>
          <w:szCs w:val="16"/>
        </w:rPr>
        <w:softHyphen/>
        <w:t>новным недостатком являлась значи</w:t>
      </w:r>
      <w:r w:rsidRPr="008127F8">
        <w:rPr>
          <w:rFonts w:ascii="Times New Roman" w:hAnsi="Times New Roman"/>
          <w:color w:val="000000" w:themeColor="text1"/>
          <w:sz w:val="16"/>
          <w:szCs w:val="16"/>
        </w:rPr>
        <w:softHyphen/>
        <w:t>тельная длина — 4,2 м. Позднее посту</w:t>
      </w:r>
      <w:r w:rsidRPr="008127F8">
        <w:rPr>
          <w:rFonts w:ascii="Times New Roman" w:hAnsi="Times New Roman"/>
          <w:color w:val="000000" w:themeColor="text1"/>
          <w:sz w:val="16"/>
          <w:szCs w:val="16"/>
        </w:rPr>
        <w:softHyphen/>
        <w:t>пили мины АМк. V, более компактные (около 2 м длиной), хотя имели заряд 250 кг. Ил-4 брали по одной такой ми</w:t>
      </w:r>
      <w:r w:rsidRPr="008127F8">
        <w:rPr>
          <w:rFonts w:ascii="Times New Roman" w:hAnsi="Times New Roman"/>
          <w:color w:val="000000" w:themeColor="text1"/>
          <w:sz w:val="16"/>
          <w:szCs w:val="16"/>
        </w:rPr>
        <w:softHyphen/>
        <w:t>не, затем после небольших переделок — две (10734,84).</w:t>
      </w:r>
    </w:p>
    <w:p w14:paraId="2BD4BA6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FEB4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мае-июне 1942 ДБ-3 (среди которых становилось все больше новых Ил-4) стали применять на Балтике английские донные мины АМк. I и АМк. IV. Они были более совершенны, нежели МИРАБ. Заряд достигал 300 кг, а взрыватели - куда лучше советских. Сбрасывались английские мины с высоты 150-200 м. Основным недостатком являлась значительная длина - 4,2 м. Позднее поступили мины АМк. V, более компактные (около 2 м длиной), хотя имели заряд 250 кг. Ил-4 брали по одной такой мине, затем после небольших переделок - две (12021).</w:t>
      </w:r>
    </w:p>
    <w:p w14:paraId="385F016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C62F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мае-июне 1942 года в СССР была быть передана первая партия из 25 С-47 и четырех С-53, но последовал ряд задержек, из-за которых первые семь С-47 доставили на авиабазу Лэдд-филд на Аляске только в сентябре 1942 (3457,134).</w:t>
      </w:r>
    </w:p>
    <w:p w14:paraId="612596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003FF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мае—декабре 1942 Формирование армейских частей связи для вновь развертываемых армий, в том числе отдельных полков связи для танковых армий (ПриВО — май 1942 г., МВО — ноябрь 1942 г.), и частей связи для вновь со здаваемых фронтов (11072).</w:t>
      </w:r>
    </w:p>
    <w:p w14:paraId="76A23F2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5E32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DB330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54E0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весны 1942 г. Пе-2 составляли значительную часть нашей бомбардировочной авиации, являясь самым распространенным типом среди дневных бомбардировщиков. Два оставшихся завода - № 22 и № 39 - постоянно наращивали их выпуск. За один только март завод № 22 изготовил 118 Пе-2. Количество полков, перевооружаемых на новую технику, все увеличивалось. В конструкцию машины непрерывно вносились многочисленные изменения. С одной стороны, упростилось производство и улучшилась работа масло-, бензосистемы и электрооборудования, а с другой, ситуация с летными данными Пе-2 вызывала тревогу. Скорость падала с каждой серией, с каждым месяцем. Если в сентябре 1941 г. Пе-2 35-й серии на контрольных испытаниях развивал на второй границе высотности максимальную скорость 530 км/час, то в марте 1942 г. - 520 км/час, а в мае - только 505 км/час (87-я серия). Из всех советских бомбардировщиков периода Великой Отечественной войны у Пе-2 во время серийного производства скорость снизилась наиболее значительно. Это было связано с ростом полетного веса и ухудшением качества сборки на заводах. Заводы укомплектовывались неопытными женщинами и подростками, которым при всем старании не хватало сноровки кадровых рабочих. Им физически трудно было справляться с неподатливым дюралем в течение долгого 11-часового рабочего дня. Поэтому военной приемкой отмечались плохая герметизация самолетов, некачественная пригонка листов обшивки, вмятины, искажение аэродинамического профиля крыла. Сказалось и ухудшение обтекания машины после снятия "черепахи" (3542).</w:t>
      </w:r>
    </w:p>
    <w:p w14:paraId="3927C78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1E68F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концу весны 1942 года на B-25 "Митчеллы" удалось перевооружить уже три полка (37-й, 125-й и 16-й) в составе 222-й дивизии, которая, в свою очередь, вошла в 1-ю армию генерала Судца. После расформирования этой армии дивизию отправили на Западный фронт (3457,91).</w:t>
      </w:r>
    </w:p>
    <w:p w14:paraId="17AD032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9D20DB" w14:textId="77777777" w:rsidR="002312A9" w:rsidRPr="008A2E5A" w:rsidRDefault="002312A9" w:rsidP="002312A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концу весны 1942 г. на «Митчеллы» удалось перевооружить уже три полка (37-й, 125-й и 16-й) в составе 222-й бад, которая, в свою очередь, вошла в 1-ю ар</w:t>
      </w:r>
      <w:r w:rsidRPr="008A2E5A">
        <w:rPr>
          <w:rFonts w:ascii="Times New Roman" w:hAnsi="Times New Roman"/>
          <w:color w:val="0070C0"/>
          <w:sz w:val="16"/>
          <w:szCs w:val="16"/>
        </w:rPr>
        <w:softHyphen/>
        <w:t>мию генерала В.А. Судца. Сначала обуча</w:t>
      </w:r>
      <w:r w:rsidRPr="008A2E5A">
        <w:rPr>
          <w:rFonts w:ascii="Times New Roman" w:hAnsi="Times New Roman"/>
          <w:color w:val="0070C0"/>
          <w:sz w:val="16"/>
          <w:szCs w:val="16"/>
        </w:rPr>
        <w:softHyphen/>
        <w:t>ли командный состав, а затем остальных летчиков. В первое время было немало вынужденных посадок. Летчики путались с переключением топливных баков, выра</w:t>
      </w:r>
      <w:r w:rsidRPr="008A2E5A">
        <w:rPr>
          <w:rFonts w:ascii="Times New Roman" w:hAnsi="Times New Roman"/>
          <w:color w:val="0070C0"/>
          <w:sz w:val="16"/>
          <w:szCs w:val="16"/>
        </w:rPr>
        <w:softHyphen/>
        <w:t>батывали все горючее, имевшееся на бор</w:t>
      </w:r>
      <w:r w:rsidRPr="008A2E5A">
        <w:rPr>
          <w:rFonts w:ascii="Times New Roman" w:hAnsi="Times New Roman"/>
          <w:color w:val="0070C0"/>
          <w:sz w:val="16"/>
          <w:szCs w:val="16"/>
        </w:rPr>
        <w:softHyphen/>
        <w:t>ту. Дело в том, что документация прибыла позже, чем самолеты. Описания и инструк</w:t>
      </w:r>
      <w:r w:rsidRPr="008A2E5A">
        <w:rPr>
          <w:rFonts w:ascii="Times New Roman" w:hAnsi="Times New Roman"/>
          <w:color w:val="0070C0"/>
          <w:sz w:val="16"/>
          <w:szCs w:val="16"/>
        </w:rPr>
        <w:softHyphen/>
        <w:t>ции, причем на английском языке, доста</w:t>
      </w:r>
      <w:r w:rsidRPr="008A2E5A">
        <w:rPr>
          <w:rFonts w:ascii="Times New Roman" w:hAnsi="Times New Roman"/>
          <w:color w:val="0070C0"/>
          <w:sz w:val="16"/>
          <w:szCs w:val="16"/>
        </w:rPr>
        <w:softHyphen/>
        <w:t>вили только на девятом по счету самолете. В общем, у инженера дивизии полковника А.М. Аквилянова хлопот хватало.</w:t>
      </w:r>
    </w:p>
    <w:p w14:paraId="5F023059" w14:textId="77777777" w:rsidR="002312A9" w:rsidRPr="008A2E5A" w:rsidRDefault="002312A9" w:rsidP="002312A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Название «Митчелл» у нас не прижи</w:t>
      </w:r>
      <w:r w:rsidRPr="008A2E5A">
        <w:rPr>
          <w:rFonts w:ascii="Times New Roman" w:hAnsi="Times New Roman"/>
          <w:color w:val="0070C0"/>
          <w:sz w:val="16"/>
          <w:szCs w:val="16"/>
        </w:rPr>
        <w:softHyphen/>
        <w:t>лось, бомбардировщики именовали про</w:t>
      </w:r>
      <w:r w:rsidRPr="008A2E5A">
        <w:rPr>
          <w:rFonts w:ascii="Times New Roman" w:hAnsi="Times New Roman"/>
          <w:color w:val="0070C0"/>
          <w:sz w:val="16"/>
          <w:szCs w:val="16"/>
        </w:rPr>
        <w:softHyphen/>
        <w:t>сто В-25. В документах, печатавшихся на машинке кириллицей, часто писали Б-25.</w:t>
      </w:r>
    </w:p>
    <w:p w14:paraId="7205A869" w14:textId="77777777" w:rsidR="002312A9" w:rsidRPr="008A2E5A" w:rsidRDefault="002312A9" w:rsidP="002312A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фронт армия И.О. Судца не попа</w:t>
      </w:r>
      <w:r w:rsidRPr="008A2E5A">
        <w:rPr>
          <w:rFonts w:ascii="Times New Roman" w:hAnsi="Times New Roman"/>
          <w:color w:val="0070C0"/>
          <w:sz w:val="16"/>
          <w:szCs w:val="16"/>
        </w:rPr>
        <w:softHyphen/>
        <w:t>ла, ее соединения поодиночке отправили в разные места. После расформирова</w:t>
      </w:r>
      <w:r w:rsidRPr="008A2E5A">
        <w:rPr>
          <w:rFonts w:ascii="Times New Roman" w:hAnsi="Times New Roman"/>
          <w:color w:val="0070C0"/>
          <w:sz w:val="16"/>
          <w:szCs w:val="16"/>
        </w:rPr>
        <w:softHyphen/>
        <w:t>ния армии 222-я бад попала на Западный фронт. С июля начал воевать 37-й бап, с ав</w:t>
      </w:r>
      <w:r w:rsidRPr="008A2E5A">
        <w:rPr>
          <w:rFonts w:ascii="Times New Roman" w:hAnsi="Times New Roman"/>
          <w:color w:val="0070C0"/>
          <w:sz w:val="16"/>
          <w:szCs w:val="16"/>
        </w:rPr>
        <w:softHyphen/>
        <w:t>густа — 16-й, с сентября — 125-й. Памятуя о неприятных инцидентах с другими са</w:t>
      </w:r>
      <w:r w:rsidRPr="008A2E5A">
        <w:rPr>
          <w:rFonts w:ascii="Times New Roman" w:hAnsi="Times New Roman"/>
          <w:color w:val="0070C0"/>
          <w:sz w:val="16"/>
          <w:szCs w:val="16"/>
        </w:rPr>
        <w:softHyphen/>
        <w:t>молетами новых типов, В-25 постарались предварительно показать летчикам-ис</w:t>
      </w:r>
      <w:r w:rsidRPr="008A2E5A">
        <w:rPr>
          <w:rFonts w:ascii="Times New Roman" w:hAnsi="Times New Roman"/>
          <w:color w:val="0070C0"/>
          <w:sz w:val="16"/>
          <w:szCs w:val="16"/>
        </w:rPr>
        <w:softHyphen/>
        <w:t>требителям и зенитчикам. С 11 июля эки</w:t>
      </w:r>
      <w:r w:rsidRPr="008A2E5A">
        <w:rPr>
          <w:rFonts w:ascii="Times New Roman" w:hAnsi="Times New Roman"/>
          <w:color w:val="0070C0"/>
          <w:sz w:val="16"/>
          <w:szCs w:val="16"/>
        </w:rPr>
        <w:softHyphen/>
        <w:t>паж старшего лейтенанта Б.В. Назарова из 37-го бап совершал показательные полеты на разных аэродромах.</w:t>
      </w:r>
    </w:p>
    <w:p w14:paraId="5E1ABB6E" w14:textId="77777777" w:rsidR="002312A9" w:rsidRPr="008A2E5A" w:rsidRDefault="002312A9" w:rsidP="002312A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Бомбардировщики стали действовать под Вязьмой, Дорогобужем, Ярцево. Было совершено много дневных вылетов оди</w:t>
      </w:r>
      <w:r w:rsidRPr="008A2E5A">
        <w:rPr>
          <w:rFonts w:ascii="Times New Roman" w:hAnsi="Times New Roman"/>
          <w:color w:val="0070C0"/>
          <w:sz w:val="16"/>
          <w:szCs w:val="16"/>
        </w:rPr>
        <w:softHyphen/>
        <w:t>ночными машинами и мелкими группами без прикрытия истребителями. Целями являлись автомобильные и танковые ко</w:t>
      </w:r>
      <w:r w:rsidRPr="008A2E5A">
        <w:rPr>
          <w:rFonts w:ascii="Times New Roman" w:hAnsi="Times New Roman"/>
          <w:color w:val="0070C0"/>
          <w:sz w:val="16"/>
          <w:szCs w:val="16"/>
        </w:rPr>
        <w:softHyphen/>
        <w:t>лонны, укрепленные позиции.</w:t>
      </w:r>
    </w:p>
    <w:p w14:paraId="42954B65" w14:textId="77777777" w:rsidR="002312A9" w:rsidRPr="008A2E5A" w:rsidRDefault="002312A9" w:rsidP="002312A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Почти сразу же выявился странный де</w:t>
      </w:r>
      <w:r w:rsidRPr="008A2E5A">
        <w:rPr>
          <w:rFonts w:ascii="Times New Roman" w:hAnsi="Times New Roman"/>
          <w:color w:val="0070C0"/>
          <w:sz w:val="16"/>
          <w:szCs w:val="16"/>
        </w:rPr>
        <w:softHyphen/>
        <w:t>фект — «раскисание» мягких бензобаков самолета. Оказалось, что советский бензин 4Б-78, богатый примесями ароматических углеводородов, быстро разрушает вну</w:t>
      </w:r>
      <w:r w:rsidRPr="008A2E5A">
        <w:rPr>
          <w:rFonts w:ascii="Times New Roman" w:hAnsi="Times New Roman"/>
          <w:color w:val="0070C0"/>
          <w:sz w:val="16"/>
          <w:szCs w:val="16"/>
        </w:rPr>
        <w:softHyphen/>
        <w:t>тренние слои резины. Уже 5 октября при</w:t>
      </w:r>
      <w:r w:rsidRPr="008A2E5A">
        <w:rPr>
          <w:rFonts w:ascii="Times New Roman" w:hAnsi="Times New Roman"/>
          <w:color w:val="0070C0"/>
          <w:sz w:val="16"/>
          <w:szCs w:val="16"/>
        </w:rPr>
        <w:softHyphen/>
        <w:t>казом главного инженера ВВС В-25 переве</w:t>
      </w:r>
      <w:r w:rsidRPr="008A2E5A">
        <w:rPr>
          <w:rFonts w:ascii="Times New Roman" w:hAnsi="Times New Roman"/>
          <w:color w:val="0070C0"/>
          <w:sz w:val="16"/>
          <w:szCs w:val="16"/>
        </w:rPr>
        <w:softHyphen/>
        <w:t>ли на импортное топливо Б-100. Большая часть его поступала из США в канистрах, и наземный состав мучился, сливая содер</w:t>
      </w:r>
      <w:r w:rsidRPr="008A2E5A">
        <w:rPr>
          <w:rFonts w:ascii="Times New Roman" w:hAnsi="Times New Roman"/>
          <w:color w:val="0070C0"/>
          <w:sz w:val="16"/>
          <w:szCs w:val="16"/>
        </w:rPr>
        <w:softHyphen/>
        <w:t>жимое канистр в бензозаправщики. Зато разъедание баков прекратилось.</w:t>
      </w:r>
    </w:p>
    <w:p w14:paraId="747A32C3" w14:textId="77777777" w:rsidR="002312A9" w:rsidRPr="008A2E5A" w:rsidRDefault="002312A9" w:rsidP="002312A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фронтовой авиации «Митчеллы» поработали недолго. На малых высотах довольно громоздкий В-25 вел себя инерт</w:t>
      </w:r>
      <w:r w:rsidRPr="008A2E5A">
        <w:rPr>
          <w:rFonts w:ascii="Times New Roman" w:hAnsi="Times New Roman"/>
          <w:color w:val="0070C0"/>
          <w:sz w:val="16"/>
          <w:szCs w:val="16"/>
        </w:rPr>
        <w:softHyphen/>
        <w:t>но и представлял неплохую мишень для немецких истребителей и зенитчиков. Потери начали расти. Ситуация усугубля</w:t>
      </w:r>
      <w:r w:rsidRPr="008A2E5A">
        <w:rPr>
          <w:rFonts w:ascii="Times New Roman" w:hAnsi="Times New Roman"/>
          <w:color w:val="0070C0"/>
          <w:sz w:val="16"/>
          <w:szCs w:val="16"/>
        </w:rPr>
        <w:softHyphen/>
        <w:t>лась тем, что самолеты применялись не</w:t>
      </w:r>
      <w:r w:rsidRPr="008A2E5A">
        <w:rPr>
          <w:rFonts w:ascii="Times New Roman" w:hAnsi="Times New Roman"/>
          <w:color w:val="0070C0"/>
          <w:sz w:val="16"/>
          <w:szCs w:val="16"/>
        </w:rPr>
        <w:softHyphen/>
        <w:t>большими группами или вообще пооди</w:t>
      </w:r>
      <w:r w:rsidRPr="008A2E5A">
        <w:rPr>
          <w:rFonts w:ascii="Times New Roman" w:hAnsi="Times New Roman"/>
          <w:color w:val="0070C0"/>
          <w:sz w:val="16"/>
          <w:szCs w:val="16"/>
        </w:rPr>
        <w:softHyphen/>
        <w:t>ночке, без прикрытия истребителями. Так, летчика Баленко отправили днем бомбить мост через Волгу недалеко от Калинина. На его машину накинулись сразу пять тяже</w:t>
      </w:r>
      <w:r w:rsidRPr="008A2E5A">
        <w:rPr>
          <w:rFonts w:ascii="Times New Roman" w:hAnsi="Times New Roman"/>
          <w:color w:val="0070C0"/>
          <w:sz w:val="16"/>
          <w:szCs w:val="16"/>
        </w:rPr>
        <w:softHyphen/>
        <w:t>лых истребителей Bf ПО, но И.О. Баленко сам пошел в атаку и сбил одного, а затем спрятался в облачности. Мост нашли и сбросили бомбы, но промахнулись. А на обратном пути И.О. Баленко опять напо</w:t>
      </w:r>
      <w:r w:rsidRPr="008A2E5A">
        <w:rPr>
          <w:rFonts w:ascii="Times New Roman" w:hAnsi="Times New Roman"/>
          <w:color w:val="0070C0"/>
          <w:sz w:val="16"/>
          <w:szCs w:val="16"/>
        </w:rPr>
        <w:softHyphen/>
        <w:t>ролся на вражеских истребителей. На этот раз их было три, и действовали они удач</w:t>
      </w:r>
      <w:r w:rsidRPr="008A2E5A">
        <w:rPr>
          <w:rFonts w:ascii="Times New Roman" w:hAnsi="Times New Roman"/>
          <w:color w:val="0070C0"/>
          <w:sz w:val="16"/>
          <w:szCs w:val="16"/>
        </w:rPr>
        <w:softHyphen/>
        <w:t>нее. Бомбардировщик получил тяжелые повреждения, стрелок — убит, радист — ранен. Пришлось вынужденно садиться на водохранилище; из тонущей машины выбирались вплавь в ледяной воде.</w:t>
      </w:r>
    </w:p>
    <w:p w14:paraId="0EFA5136" w14:textId="77777777" w:rsidR="002312A9" w:rsidRPr="008A2E5A" w:rsidRDefault="002312A9" w:rsidP="002312A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итоге пришли к выводу, что исполь</w:t>
      </w:r>
      <w:r w:rsidRPr="008A2E5A">
        <w:rPr>
          <w:rFonts w:ascii="Times New Roman" w:hAnsi="Times New Roman"/>
          <w:color w:val="0070C0"/>
          <w:sz w:val="16"/>
          <w:szCs w:val="16"/>
        </w:rPr>
        <w:softHyphen/>
        <w:t>зование В-25 по тактическим целям не</w:t>
      </w:r>
      <w:r w:rsidRPr="008A2E5A">
        <w:rPr>
          <w:rFonts w:ascii="Times New Roman" w:hAnsi="Times New Roman"/>
          <w:color w:val="0070C0"/>
          <w:sz w:val="16"/>
          <w:szCs w:val="16"/>
        </w:rPr>
        <w:softHyphen/>
        <w:t>эффективно. Кроме того, возникли про</w:t>
      </w:r>
      <w:r w:rsidRPr="008A2E5A">
        <w:rPr>
          <w:rFonts w:ascii="Times New Roman" w:hAnsi="Times New Roman"/>
          <w:color w:val="0070C0"/>
          <w:sz w:val="16"/>
          <w:szCs w:val="16"/>
        </w:rPr>
        <w:softHyphen/>
        <w:t>блемы, связанные с нехваткой запасных частей. Например, в сентябре довольно много бомбардировщиков простаива</w:t>
      </w:r>
      <w:r w:rsidRPr="008A2E5A">
        <w:rPr>
          <w:rFonts w:ascii="Times New Roman" w:hAnsi="Times New Roman"/>
          <w:color w:val="0070C0"/>
          <w:sz w:val="16"/>
          <w:szCs w:val="16"/>
        </w:rPr>
        <w:softHyphen/>
        <w:t>ло в ожидании получения новых колес. 29 сентября 1942 г. 222-ю дивизию офици</w:t>
      </w:r>
      <w:r w:rsidRPr="008A2E5A">
        <w:rPr>
          <w:rFonts w:ascii="Times New Roman" w:hAnsi="Times New Roman"/>
          <w:color w:val="0070C0"/>
          <w:sz w:val="16"/>
          <w:szCs w:val="16"/>
        </w:rPr>
        <w:softHyphen/>
        <w:t>ально передали в АДД (23513).</w:t>
      </w:r>
    </w:p>
    <w:p w14:paraId="340A4D86" w14:textId="77777777" w:rsidR="002312A9" w:rsidRPr="008A2E5A" w:rsidRDefault="002312A9" w:rsidP="002312A9">
      <w:pPr>
        <w:spacing w:after="0" w:line="240" w:lineRule="auto"/>
        <w:jc w:val="both"/>
        <w:rPr>
          <w:rFonts w:ascii="Times New Roman" w:hAnsi="Times New Roman"/>
          <w:color w:val="0070C0"/>
          <w:sz w:val="16"/>
          <w:szCs w:val="16"/>
        </w:rPr>
      </w:pPr>
    </w:p>
    <w:p w14:paraId="52FCE12A" w14:textId="5788CC2C" w:rsidR="002312A9" w:rsidRDefault="002312A9" w:rsidP="007C5583">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За рубежом:</w:t>
      </w:r>
    </w:p>
    <w:p w14:paraId="0185F242" w14:textId="77777777" w:rsidR="002312A9" w:rsidRDefault="002312A9" w:rsidP="007C558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0AAB89D9" w14:textId="77777777" w:rsidR="002312A9" w:rsidRPr="008A2E5A" w:rsidRDefault="002312A9" w:rsidP="002312A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К концу весны 1942 года в США начался полноценный выпуск Medium Tank M4 (точнее, M4A1), хотя первая серия  была изготовлены в феврале 1942 года. Очередная порция информации по М4А1 (его упорно называли М4) появилась к 1 июня 1942 года. Одновременно из ГАБТУ КА в Наркомат Внешней Торговли ушел запрос, не собираются ли американцы ставить в М4 дизельный двигатель.</w:t>
      </w:r>
    </w:p>
    <w:p w14:paraId="71D40254" w14:textId="77777777" w:rsidR="002312A9" w:rsidRPr="008A2E5A" w:rsidRDefault="002312A9" w:rsidP="002312A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Если бы об этом запросе знали американские военные, наверняка посмеялись. Они не просто собирались ставить дизельный мотор, а уже запустили такую версию Medium Tank M4 в производство. С дизельными моторами американцы экспериментировали со второй половины 30-х годов, но каждый получалось не лучшим образом. По-настоящему работающее решение помогли создать английские инженеры. Оказалось оно в чисто английском духе - спарка автобусных дизельных моторов. Получившийся мотор получил обозначение General Motors 6046. За счет установки инжекторов типа M суммарная мощность выросла до 375 лошадиных сил (410 на максимальных оборотах). Первым новый двигатель получил Medium Tank M3A3, стандартизированный в октябре 1941 года. Этот танк получил сварной корпус. Вскоре появился Medium Tank M3A5, то же самое, но с клепаным корпусом (23373).</w:t>
      </w:r>
    </w:p>
    <w:p w14:paraId="6D6A3435" w14:textId="77777777" w:rsidR="002312A9" w:rsidRPr="008A2E5A" w:rsidRDefault="002312A9" w:rsidP="002312A9">
      <w:pPr>
        <w:spacing w:after="0" w:line="240" w:lineRule="auto"/>
        <w:jc w:val="both"/>
        <w:rPr>
          <w:rFonts w:ascii="Times New Roman" w:hAnsi="Times New Roman"/>
          <w:color w:val="0070C0"/>
          <w:sz w:val="16"/>
          <w:szCs w:val="16"/>
        </w:rPr>
      </w:pPr>
    </w:p>
    <w:p w14:paraId="635DBC16" w14:textId="4A56DDC0"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E0593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7C61FA" w14:textId="77777777" w:rsidR="006F3649" w:rsidRPr="008A2E5A" w:rsidRDefault="006F3649" w:rsidP="006F36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директор завода № 1 Анатолий Третьяков поручил серийно-конструкторскому отделу завода разработать собственный вариант Ил-2, с кабиной стрелка. Коллектив конструкторов и технологов под руководством Яценко летом 1942 года сумел предложить оригинальную конструкцию. Для проведения испытаний изготовили три двухместные машины. Пробные полеты состоялись в начале сентября и были успешными. В конце 1942 года двухместные Ил-2 завода №1 прошли боевые испытания на Калининском фронте (24277).</w:t>
      </w:r>
    </w:p>
    <w:p w14:paraId="09C798D4" w14:textId="77777777" w:rsidR="006F3649" w:rsidRPr="008A2E5A" w:rsidRDefault="006F3649" w:rsidP="006F3649">
      <w:pPr>
        <w:spacing w:after="0" w:line="240" w:lineRule="auto"/>
        <w:jc w:val="both"/>
        <w:rPr>
          <w:rFonts w:ascii="Times New Roman" w:hAnsi="Times New Roman"/>
          <w:color w:val="0070C0"/>
          <w:sz w:val="16"/>
          <w:szCs w:val="16"/>
        </w:rPr>
      </w:pPr>
    </w:p>
    <w:p w14:paraId="56FA4FDA" w14:textId="77777777" w:rsidR="007C5583" w:rsidRPr="008127F8" w:rsidRDefault="007C5583" w:rsidP="007C5583">
      <w:pPr>
        <w:spacing w:after="0" w:line="240" w:lineRule="auto"/>
        <w:jc w:val="both"/>
        <w:rPr>
          <w:rFonts w:ascii="Times New Roman" w:hAnsi="Times New Roman"/>
          <w:color w:val="000000" w:themeColor="text1"/>
          <w:sz w:val="16"/>
          <w:szCs w:val="16"/>
          <w:shd w:val="clear" w:color="auto" w:fill="FFFFFF"/>
        </w:rPr>
      </w:pPr>
      <w:r w:rsidRPr="008127F8">
        <w:rPr>
          <w:rFonts w:ascii="Times New Roman" w:hAnsi="Times New Roman"/>
          <w:color w:val="000000" w:themeColor="text1"/>
          <w:sz w:val="16"/>
          <w:szCs w:val="16"/>
        </w:rPr>
        <w:t>Весной 1942 г. выявилась проблема сохранения остаточного магнетизма уже готовых бронекорпусов. Для её решения на УТЗ был создан специальный участок размагничивания и привлечены специалисты из Военно-воздушной инженерной академии имени Н.Е.Жуковского (19537).</w:t>
      </w:r>
    </w:p>
    <w:p w14:paraId="5BD650E9" w14:textId="77777777" w:rsidR="007C5583" w:rsidRPr="008127F8" w:rsidRDefault="007C5583" w:rsidP="007C5583">
      <w:pPr>
        <w:spacing w:after="0" w:line="240" w:lineRule="auto"/>
        <w:jc w:val="both"/>
        <w:rPr>
          <w:rFonts w:ascii="Times New Roman" w:hAnsi="Times New Roman"/>
          <w:color w:val="000000" w:themeColor="text1"/>
          <w:sz w:val="16"/>
          <w:szCs w:val="16"/>
          <w:shd w:val="clear" w:color="auto" w:fill="FFFFFF"/>
        </w:rPr>
      </w:pPr>
    </w:p>
    <w:p w14:paraId="47EAD80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весны 1942 Ил-2 стали оснащаться специальными более мощными бронебойными реактивными снарядами РБС 82 и РБС 132. В этом же году на штурмовиках стали использовать и снаряды М-8 и М-13, принятые на вооружение в 1942 году.</w:t>
      </w:r>
    </w:p>
    <w:p w14:paraId="176D84A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после возвращения в Москву Ермолаев сосредоточил основное внимание на дизеле М-30. Обстановка вокруг мотора А.Д.Чаромского в этот период складывалась непростая. Разочарованное результатами эксплуатации дизельных ТВ-7, руководство НКАП и страны в феврале-марте 1942 г. приняло решение ликвидировать последнее из занимавшихся авиационными дизелями предприятий - завод N 82. Это решение мотивировалось необходимостью укрепления производственной базы завода N 45, дублировавшего производство моторов АМ-38 для штурмовиков Ил-2. В сложной ситуации единственным союзником "дизелистов" выступили ВВС КА в лице начальника Главного управления заказов и технического снабжения бригинженера Н.П.Селезнева. Он обратился с письмом к заведующему авиационным отделом ЦК ВКП(б) Вавилову, в котором ходатайствовал об отмене "разгромного" решения ГКО N 1440сс от 14 марта 1942 г. В частности, Селезнев писал:</w:t>
      </w:r>
    </w:p>
    <w:p w14:paraId="5F865F1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"Авиадизель М-30, проверенный в боевых операциях на самолете ТБ-7, подтвердил положительные качества дизеля.</w:t>
      </w:r>
    </w:p>
    <w:p w14:paraId="40FAFB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устранения основного дефекта мотора: самовыключения при планировании на высотах более 4000 м завод N 82 спроектировал комбинированный наддув к мотору М-30: от турбокомпрессора и приводного центробежного нагнетателя. Мотор такой изготовлен и в начале марта 1942 г. успешно закончил 50-часовые стендовые испытания. Для решения о запуске М-30 с комбинированным наддувом в серию нужно провести лишь небольшие летные испытания.</w:t>
      </w:r>
    </w:p>
    <w:p w14:paraId="7791364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М-30 имеет перспективу развития и может быть доведен в течение 4-5 месяцев до мощности 1750 л. с.</w:t>
      </w:r>
    </w:p>
    <w:p w14:paraId="18DC04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Единственный в СССР по производству авиадизелей завод N 82 имеет большой опыт по доводке дизелей и изготовлению малых серий, имеет необходимое оборудование и технологию серийного производства, имеет квалифицированные кадры, впитавшие культуру авиадизелестроения и способные в ближайшие 4-5 месяцев наладить серийное производство" (3322,37).</w:t>
      </w:r>
    </w:p>
    <w:p w14:paraId="4BA1CF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A97ED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весны 1942 г. Ил-2 стали оснащаться специальными более мощными бронебойными реактивными снарядами РБС 82 и РБС 132. В этом же году на штурмовиках стали использовать и снаряды М-8 и М-13, принятые на вооружение в 1942 году.</w:t>
      </w:r>
    </w:p>
    <w:p w14:paraId="1673A0C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серийных самолетов, проведенные весной - летом 1942 г. показали, что летные данные одноместных Ил-2 упали по сравнению с машинами, выпущенными осенью 1941 г. не говоря уже о опытных модификациях, но оставались удовлетворительными для ВВС. При весе 5788 кг штурмовик развивал скорость (в зависимости от наружных подвесок бомб и РС) у земли 380-396 км/ч и на 2500 м - 414-426 км/ч. Высоту 1000 м он набирал за 2,2 мин (452).</w:t>
      </w:r>
    </w:p>
    <w:p w14:paraId="6CEC8F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54545A"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Весной 1942 года начали строить заводской аэродром завода № 1 и рождался он в трудных условиях. Строительные материалы были на вес золота, их не хватало даже для возведения заводских корпусов. Особенно трудно приходилось с бетоном. Поэтому ответственный за строительство летно-испытательной станции (ЛИС) Горбачев обратился в облисполком с секретным письмом.</w:t>
      </w:r>
    </w:p>
    <w:p w14:paraId="2034EE2B" w14:textId="77777777" w:rsidR="007C5583" w:rsidRPr="006F3649" w:rsidRDefault="007C5583" w:rsidP="007C5583">
      <w:pPr>
        <w:shd w:val="clear" w:color="auto" w:fill="FFFFFF"/>
        <w:spacing w:after="0" w:line="240" w:lineRule="auto"/>
        <w:jc w:val="both"/>
        <w:rPr>
          <w:rFonts w:ascii="Times New Roman" w:hAnsi="Times New Roman"/>
          <w:b/>
          <w:bCs/>
          <w:color w:val="000000" w:themeColor="text1"/>
          <w:sz w:val="16"/>
          <w:szCs w:val="16"/>
        </w:rPr>
      </w:pPr>
      <w:r w:rsidRPr="006F3649">
        <w:rPr>
          <w:rStyle w:val="a8"/>
          <w:rFonts w:ascii="Times New Roman" w:hAnsi="Times New Roman"/>
          <w:b w:val="0"/>
          <w:bCs w:val="0"/>
          <w:color w:val="000000" w:themeColor="text1"/>
          <w:sz w:val="16"/>
          <w:szCs w:val="16"/>
        </w:rPr>
        <w:t>Письмо заместителя начальника Управления</w:t>
      </w:r>
    </w:p>
    <w:p w14:paraId="29A1A98F" w14:textId="77777777" w:rsidR="007C5583" w:rsidRPr="006F3649" w:rsidRDefault="007C5583" w:rsidP="007C5583">
      <w:pPr>
        <w:shd w:val="clear" w:color="auto" w:fill="FFFFFF"/>
        <w:spacing w:after="0" w:line="240" w:lineRule="auto"/>
        <w:jc w:val="both"/>
        <w:rPr>
          <w:rFonts w:ascii="Times New Roman" w:hAnsi="Times New Roman"/>
          <w:b/>
          <w:bCs/>
          <w:color w:val="000000" w:themeColor="text1"/>
          <w:sz w:val="16"/>
          <w:szCs w:val="16"/>
        </w:rPr>
      </w:pPr>
      <w:r w:rsidRPr="006F3649">
        <w:rPr>
          <w:rStyle w:val="a8"/>
          <w:rFonts w:ascii="Times New Roman" w:hAnsi="Times New Roman"/>
          <w:b w:val="0"/>
          <w:bCs w:val="0"/>
          <w:color w:val="000000" w:themeColor="text1"/>
          <w:sz w:val="16"/>
          <w:szCs w:val="16"/>
        </w:rPr>
        <w:t>авиационного строительства УНКВД</w:t>
      </w:r>
    </w:p>
    <w:p w14:paraId="39F2A6CB" w14:textId="77777777" w:rsidR="007C5583" w:rsidRPr="006F3649" w:rsidRDefault="007C5583" w:rsidP="007C5583">
      <w:pPr>
        <w:shd w:val="clear" w:color="auto" w:fill="FFFFFF"/>
        <w:spacing w:after="0" w:line="240" w:lineRule="auto"/>
        <w:jc w:val="both"/>
        <w:rPr>
          <w:rFonts w:ascii="Times New Roman" w:hAnsi="Times New Roman"/>
          <w:b/>
          <w:bCs/>
          <w:color w:val="000000" w:themeColor="text1"/>
          <w:sz w:val="16"/>
          <w:szCs w:val="16"/>
        </w:rPr>
      </w:pPr>
      <w:r w:rsidRPr="006F3649">
        <w:rPr>
          <w:rStyle w:val="a8"/>
          <w:rFonts w:ascii="Times New Roman" w:hAnsi="Times New Roman"/>
          <w:b w:val="0"/>
          <w:bCs w:val="0"/>
          <w:color w:val="000000" w:themeColor="text1"/>
          <w:sz w:val="16"/>
          <w:szCs w:val="16"/>
        </w:rPr>
        <w:t>Куйбышевской области Горбачева</w:t>
      </w:r>
    </w:p>
    <w:p w14:paraId="2CF59D67" w14:textId="77777777" w:rsidR="007C5583" w:rsidRPr="006F3649" w:rsidRDefault="007C5583" w:rsidP="007C5583">
      <w:pPr>
        <w:shd w:val="clear" w:color="auto" w:fill="FFFFFF"/>
        <w:spacing w:after="0" w:line="240" w:lineRule="auto"/>
        <w:jc w:val="both"/>
        <w:rPr>
          <w:rFonts w:ascii="Times New Roman" w:hAnsi="Times New Roman"/>
          <w:b/>
          <w:bCs/>
          <w:color w:val="000000" w:themeColor="text1"/>
          <w:sz w:val="16"/>
          <w:szCs w:val="16"/>
        </w:rPr>
      </w:pPr>
      <w:r w:rsidRPr="006F3649">
        <w:rPr>
          <w:rStyle w:val="a8"/>
          <w:rFonts w:ascii="Times New Roman" w:hAnsi="Times New Roman"/>
          <w:b w:val="0"/>
          <w:bCs w:val="0"/>
          <w:color w:val="000000" w:themeColor="text1"/>
          <w:sz w:val="16"/>
          <w:szCs w:val="16"/>
        </w:rPr>
        <w:t>председателю Куйбышевского облисполкома Васильеву</w:t>
      </w:r>
    </w:p>
    <w:p w14:paraId="65A44238" w14:textId="77777777" w:rsidR="007C5583" w:rsidRPr="006F3649" w:rsidRDefault="007C5583" w:rsidP="007C5583">
      <w:pPr>
        <w:shd w:val="clear" w:color="auto" w:fill="FFFFFF"/>
        <w:spacing w:after="0" w:line="240" w:lineRule="auto"/>
        <w:jc w:val="both"/>
        <w:rPr>
          <w:rFonts w:ascii="Times New Roman" w:hAnsi="Times New Roman"/>
          <w:b/>
          <w:bCs/>
          <w:color w:val="000000" w:themeColor="text1"/>
          <w:sz w:val="16"/>
          <w:szCs w:val="16"/>
        </w:rPr>
      </w:pPr>
      <w:r w:rsidRPr="006F3649">
        <w:rPr>
          <w:rStyle w:val="a8"/>
          <w:rFonts w:ascii="Times New Roman" w:hAnsi="Times New Roman"/>
          <w:b w:val="0"/>
          <w:bCs w:val="0"/>
          <w:color w:val="000000" w:themeColor="text1"/>
          <w:sz w:val="16"/>
          <w:szCs w:val="16"/>
        </w:rPr>
        <w:t>об обеспечении кирпичом строительства аэродрома</w:t>
      </w:r>
    </w:p>
    <w:p w14:paraId="698D5B52" w14:textId="77777777" w:rsidR="007C5583" w:rsidRPr="006F3649" w:rsidRDefault="007C5583" w:rsidP="007C5583">
      <w:pPr>
        <w:shd w:val="clear" w:color="auto" w:fill="FFFFFF"/>
        <w:spacing w:after="0" w:line="240" w:lineRule="auto"/>
        <w:jc w:val="both"/>
        <w:rPr>
          <w:rFonts w:ascii="Times New Roman" w:hAnsi="Times New Roman"/>
          <w:b/>
          <w:bCs/>
          <w:color w:val="000000" w:themeColor="text1"/>
          <w:sz w:val="16"/>
          <w:szCs w:val="16"/>
        </w:rPr>
      </w:pPr>
      <w:r w:rsidRPr="006F3649">
        <w:rPr>
          <w:rStyle w:val="a8"/>
          <w:rFonts w:ascii="Times New Roman" w:hAnsi="Times New Roman"/>
          <w:b w:val="0"/>
          <w:bCs w:val="0"/>
          <w:color w:val="000000" w:themeColor="text1"/>
          <w:sz w:val="16"/>
          <w:szCs w:val="16"/>
        </w:rPr>
        <w:t>в районе станции Смышляевка</w:t>
      </w:r>
    </w:p>
    <w:p w14:paraId="6EF55817" w14:textId="77777777" w:rsidR="007C5583" w:rsidRPr="006F3649" w:rsidRDefault="007C5583" w:rsidP="007C5583">
      <w:pPr>
        <w:shd w:val="clear" w:color="auto" w:fill="FFFFFF"/>
        <w:spacing w:after="0" w:line="240" w:lineRule="auto"/>
        <w:jc w:val="both"/>
        <w:rPr>
          <w:rFonts w:ascii="Times New Roman" w:hAnsi="Times New Roman"/>
          <w:b/>
          <w:bCs/>
          <w:color w:val="000000" w:themeColor="text1"/>
          <w:sz w:val="16"/>
          <w:szCs w:val="16"/>
        </w:rPr>
      </w:pPr>
      <w:r w:rsidRPr="006F3649">
        <w:rPr>
          <w:rStyle w:val="a8"/>
          <w:rFonts w:ascii="Times New Roman" w:hAnsi="Times New Roman"/>
          <w:b w:val="0"/>
          <w:bCs w:val="0"/>
          <w:color w:val="000000" w:themeColor="text1"/>
          <w:sz w:val="16"/>
          <w:szCs w:val="16"/>
        </w:rPr>
        <w:t>4 мая 1942 г.</w:t>
      </w:r>
    </w:p>
    <w:p w14:paraId="55415B7F"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6F3649">
        <w:rPr>
          <w:rStyle w:val="a8"/>
          <w:rFonts w:ascii="Times New Roman" w:hAnsi="Times New Roman"/>
          <w:b w:val="0"/>
          <w:bCs w:val="0"/>
          <w:color w:val="000000" w:themeColor="text1"/>
          <w:sz w:val="16"/>
          <w:szCs w:val="16"/>
        </w:rPr>
        <w:t>Секретно</w:t>
      </w:r>
    </w:p>
    <w:p w14:paraId="475FFBC4"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По решению ГКО в районе ст. Смышляевка Куйбышевской обла</w:t>
      </w:r>
      <w:r w:rsidRPr="008127F8">
        <w:rPr>
          <w:color w:val="000000" w:themeColor="text1"/>
          <w:sz w:val="16"/>
          <w:szCs w:val="16"/>
        </w:rPr>
        <w:softHyphen/>
        <w:t>сти УАС УНКВД должен построить постоянный аэродром с бетон</w:t>
      </w:r>
      <w:r w:rsidRPr="008127F8">
        <w:rPr>
          <w:color w:val="000000" w:themeColor="text1"/>
          <w:sz w:val="16"/>
          <w:szCs w:val="16"/>
        </w:rPr>
        <w:softHyphen/>
        <w:t>ной взлетно-посадочной полосой.</w:t>
      </w:r>
    </w:p>
    <w:p w14:paraId="484A65DE"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Учитывая исключительно тяжелое положение с получением цемен</w:t>
      </w:r>
      <w:r w:rsidRPr="008127F8">
        <w:rPr>
          <w:color w:val="000000" w:themeColor="text1"/>
          <w:sz w:val="16"/>
          <w:szCs w:val="16"/>
        </w:rPr>
        <w:softHyphen/>
        <w:t>та, отсутствие инертных материалов в районе строительства и необхо</w:t>
      </w:r>
      <w:r w:rsidRPr="008127F8">
        <w:rPr>
          <w:color w:val="000000" w:themeColor="text1"/>
          <w:sz w:val="16"/>
          <w:szCs w:val="16"/>
        </w:rPr>
        <w:softHyphen/>
        <w:t>димость завоза их по железной дороге на расстояние 200 км, что в ус</w:t>
      </w:r>
      <w:r w:rsidRPr="008127F8">
        <w:rPr>
          <w:color w:val="000000" w:themeColor="text1"/>
          <w:sz w:val="16"/>
          <w:szCs w:val="16"/>
        </w:rPr>
        <w:softHyphen/>
        <w:t>ловиях военного времени при большой перегруженности ж.д. транс</w:t>
      </w:r>
      <w:r w:rsidRPr="008127F8">
        <w:rPr>
          <w:color w:val="000000" w:themeColor="text1"/>
          <w:sz w:val="16"/>
          <w:szCs w:val="16"/>
        </w:rPr>
        <w:softHyphen/>
        <w:t>порта военными перевозками совершенно нецелесообразно, УАСу раз</w:t>
      </w:r>
      <w:r w:rsidRPr="008127F8">
        <w:rPr>
          <w:color w:val="000000" w:themeColor="text1"/>
          <w:sz w:val="16"/>
          <w:szCs w:val="16"/>
        </w:rPr>
        <w:softHyphen/>
        <w:t>решено взамен бетонной полосы построить кирпичную. Для строитель</w:t>
      </w:r>
      <w:r w:rsidRPr="008127F8">
        <w:rPr>
          <w:color w:val="000000" w:themeColor="text1"/>
          <w:sz w:val="16"/>
          <w:szCs w:val="16"/>
        </w:rPr>
        <w:softHyphen/>
        <w:t>ства кирпичной полосы требуется 7,5 миллионов штук кирпича.</w:t>
      </w:r>
    </w:p>
    <w:p w14:paraId="6932E36B"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Замнаркома внутренних дел СССР тов. Чернышов дал разреше</w:t>
      </w:r>
      <w:r w:rsidRPr="008127F8">
        <w:rPr>
          <w:color w:val="000000" w:themeColor="text1"/>
          <w:sz w:val="16"/>
          <w:szCs w:val="16"/>
        </w:rPr>
        <w:softHyphen/>
        <w:t>ние на получение 3 миллионов штук кирпича с кирпичного завода Особстроя НКВД.</w:t>
      </w:r>
    </w:p>
    <w:p w14:paraId="604B5DAE"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Для покрытия полной потребности строительства не хватает 4,5 млн. шт.</w:t>
      </w:r>
    </w:p>
    <w:p w14:paraId="4655C5EF"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Прошу для обеспечения выполнения задания ГКО в установлен</w:t>
      </w:r>
      <w:r w:rsidRPr="008127F8">
        <w:rPr>
          <w:color w:val="000000" w:themeColor="text1"/>
          <w:sz w:val="16"/>
          <w:szCs w:val="16"/>
        </w:rPr>
        <w:softHyphen/>
        <w:t>ный срок отпустить с кирпичных заводов области в течение мая-июля месяцев 4,5 млн. штук кирпича.</w:t>
      </w:r>
    </w:p>
    <w:p w14:paraId="639746FA"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Зам. начальника УАС УНКВД КО</w:t>
      </w:r>
    </w:p>
    <w:p w14:paraId="3D8AC6E7"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главный инженер-военинженер 1 -го ранга</w:t>
      </w:r>
    </w:p>
    <w:p w14:paraId="0FFD5CD8"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Горбачев</w:t>
      </w:r>
    </w:p>
    <w:p w14:paraId="05DF848B" w14:textId="77777777" w:rsidR="007C5583" w:rsidRPr="006F3649" w:rsidRDefault="007C5583" w:rsidP="007C5583">
      <w:pPr>
        <w:pStyle w:val="af"/>
        <w:shd w:val="clear" w:color="auto" w:fill="FFFFFF"/>
        <w:spacing w:before="0" w:after="0"/>
        <w:jc w:val="both"/>
        <w:rPr>
          <w:rStyle w:val="af1"/>
          <w:i w:val="0"/>
          <w:iCs w:val="0"/>
          <w:color w:val="000000" w:themeColor="text1"/>
          <w:sz w:val="16"/>
          <w:szCs w:val="16"/>
        </w:rPr>
      </w:pPr>
      <w:r w:rsidRPr="006F3649">
        <w:rPr>
          <w:rStyle w:val="af1"/>
          <w:i w:val="0"/>
          <w:iCs w:val="0"/>
          <w:color w:val="000000" w:themeColor="text1"/>
          <w:sz w:val="16"/>
          <w:szCs w:val="16"/>
        </w:rPr>
        <w:t>(ГАСО. Ф. Р-2558. On. 6. Д. 66. Л. 118. Подлинник.) (19828).</w:t>
      </w:r>
    </w:p>
    <w:p w14:paraId="6AEC7334" w14:textId="77777777" w:rsidR="007C5583" w:rsidRPr="008127F8" w:rsidRDefault="007C5583" w:rsidP="007C5583">
      <w:pPr>
        <w:pStyle w:val="af"/>
        <w:shd w:val="clear" w:color="auto" w:fill="FFFFFF"/>
        <w:spacing w:before="0" w:after="0"/>
        <w:jc w:val="both"/>
        <w:rPr>
          <w:color w:val="000000" w:themeColor="text1"/>
          <w:sz w:val="16"/>
          <w:szCs w:val="16"/>
        </w:rPr>
      </w:pPr>
    </w:p>
    <w:p w14:paraId="0C0C80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в ОКБ С.В.Ильюшина разработали проект одноместного бронированного штурмовика МШ с двигателем АМ-38, главной особенностью которого являлось решение проблемы получения хорошего обзора. Это достигалось установкой двигателя в средней части фюзеляжа с передачей мощности на воздушный винт с помощью длинного вала, проходящего под бронированным полом пилотской кабины, размещавшейся в самом носу фюзеляжа перед крылом и позволявшей пилоту иметь обзор вниз до 24° вместо 8" на Ил-2. Кабину пилота расположили над отсеком стрел-ково-артиллерийского вооружения, состоявшего из одной крупнокалиберной пушки НС-37 со стволом, проходящим через редуктор и полый вал втулки винта, двух синхронных пушек ШВАК и двух синхронных пулеметов ШКАС. Все оружие находилось в плоскости прицеливания и благодаря большой кучности огня обеспечивало надежное поражение бронетанковой техники и живой силы противника. Стрелково-артилле-рийское вооружение дополняли бомбы на внутренней подвеске в центропланных отсеках. За кабиной пилота размещались баки бензина и масла. Водяные и масляные радиаторы системы охлаждения и смазки находились в подфюзеляжной части центроплана, наружный воздух подводился к ним по изогнутым каналам с воздухозаборниками в носках крыла по бокам фюзеляжа, как позже стали делать на Ил-10.</w:t>
      </w:r>
    </w:p>
    <w:p w14:paraId="56A1533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Требуемый диапазон эксплуатационных центровок достигался применением на МШ крыла со стреловидно стью 15° по передней кромке. Кабршу пилота, топливный бак, двигатель, водяные и масляные радиаторы закрывал бронекорпус весьма сложной формы с прямолинейными образующими, что, хотя и упрощало технологию сборки, но увеличивало поражаемость брони, усложняло ее включение в общую силовую схему конструкции самолета. Все это, в конечном счете, привело к значительному повышению веса пустого самолета и снижению его летно-технических данных. К тому же опыт боев требовал создать двухместный штурмовик с подвижной задней огневой точкой. Решить эту задачу тогда не удалось, и проектирование МШ прекратили (9528).</w:t>
      </w:r>
    </w:p>
    <w:p w14:paraId="060367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AAAFB3"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Весной 1942 г. в ОКБ Ильюшина был разработан проект одномоторного одноместного противотан</w:t>
      </w:r>
      <w:r w:rsidRPr="008127F8">
        <w:rPr>
          <w:color w:val="000000" w:themeColor="text1"/>
          <w:sz w:val="16"/>
          <w:szCs w:val="16"/>
        </w:rPr>
        <w:softHyphen/>
        <w:t>кового штурмовика МШ АМ-38 (модернизирован</w:t>
      </w:r>
      <w:r w:rsidRPr="008127F8">
        <w:rPr>
          <w:color w:val="000000" w:themeColor="text1"/>
          <w:sz w:val="16"/>
          <w:szCs w:val="16"/>
        </w:rPr>
        <w:softHyphen/>
        <w:t>ный штурмовик с мотором АМ-38).</w:t>
      </w:r>
    </w:p>
    <w:p w14:paraId="6E2352AC"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lastRenderedPageBreak/>
        <w:t>Главной особенностью самолета являлось раз</w:t>
      </w:r>
      <w:r w:rsidRPr="008127F8">
        <w:rPr>
          <w:color w:val="000000" w:themeColor="text1"/>
          <w:sz w:val="16"/>
          <w:szCs w:val="16"/>
        </w:rPr>
        <w:softHyphen/>
        <w:t>мещение мотора АМ-38 позади кабины пилота с пе</w:t>
      </w:r>
      <w:r w:rsidRPr="008127F8">
        <w:rPr>
          <w:color w:val="000000" w:themeColor="text1"/>
          <w:sz w:val="16"/>
          <w:szCs w:val="16"/>
        </w:rPr>
        <w:softHyphen/>
        <w:t>редачей мощности на воздушный винт с помощью длинного вала, проходящего под бронированным полом кабины летчика, располагавшейся в самом носу фюзеляжа над отсеком стрелково-пушечного вооружения. Это позволяло в носовой части вбли</w:t>
      </w:r>
      <w:r w:rsidRPr="008127F8">
        <w:rPr>
          <w:color w:val="000000" w:themeColor="text1"/>
          <w:sz w:val="16"/>
          <w:szCs w:val="16"/>
        </w:rPr>
        <w:softHyphen/>
        <w:t>зи продольной оси самолета компактно разместить мощное пушечное вооружение, что обеспечивало незначительное рассеивание при стрельбе в возду</w:t>
      </w:r>
      <w:r w:rsidRPr="008127F8">
        <w:rPr>
          <w:color w:val="000000" w:themeColor="text1"/>
          <w:sz w:val="16"/>
          <w:szCs w:val="16"/>
        </w:rPr>
        <w:softHyphen/>
        <w:t>хе. Одновременно летчик имел прекрасный обзор вперед-вниз и в стороны.</w:t>
      </w:r>
    </w:p>
    <w:p w14:paraId="5C2778DC"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Надо полагать, идея постройки бронированного штурмовика с такой компоновкой появилась после анализа результатов полигонных и войсковых ис</w:t>
      </w:r>
      <w:r w:rsidRPr="008127F8">
        <w:rPr>
          <w:color w:val="000000" w:themeColor="text1"/>
          <w:sz w:val="16"/>
          <w:szCs w:val="16"/>
        </w:rPr>
        <w:softHyphen/>
        <w:t>пытаний самолета Ил-2 с 37-мм пушками Ш-37.</w:t>
      </w:r>
    </w:p>
    <w:p w14:paraId="71546ACF"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МШ представлял собой бронированный одно</w:t>
      </w:r>
      <w:r w:rsidRPr="008127F8">
        <w:rPr>
          <w:color w:val="000000" w:themeColor="text1"/>
          <w:sz w:val="16"/>
          <w:szCs w:val="16"/>
        </w:rPr>
        <w:softHyphen/>
        <w:t>местный одномоторный низкоплан и по схеме на</w:t>
      </w:r>
      <w:r w:rsidRPr="008127F8">
        <w:rPr>
          <w:color w:val="000000" w:themeColor="text1"/>
          <w:sz w:val="16"/>
          <w:szCs w:val="16"/>
        </w:rPr>
        <w:softHyphen/>
        <w:t>поминал американский истребитель Р-39 «Аэро</w:t>
      </w:r>
      <w:r w:rsidRPr="008127F8">
        <w:rPr>
          <w:color w:val="000000" w:themeColor="text1"/>
          <w:sz w:val="16"/>
          <w:szCs w:val="16"/>
        </w:rPr>
        <w:softHyphen/>
        <w:t>кобра», но шасси было выполнено не с носовым, а с обычным хвостовым колесом.</w:t>
      </w:r>
    </w:p>
    <w:p w14:paraId="4E926DB3"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Мотор АМ-38 располагался примерно в центре тяжести машины. Передача мощности на воздуш</w:t>
      </w:r>
      <w:r w:rsidRPr="008127F8">
        <w:rPr>
          <w:color w:val="000000" w:themeColor="text1"/>
          <w:sz w:val="16"/>
          <w:szCs w:val="16"/>
        </w:rPr>
        <w:softHyphen/>
        <w:t>ный винт осуществлялась с помощью удлиненного вала, проходившего под бронированным полом ка</w:t>
      </w:r>
      <w:r w:rsidRPr="008127F8">
        <w:rPr>
          <w:color w:val="000000" w:themeColor="text1"/>
          <w:sz w:val="16"/>
          <w:szCs w:val="16"/>
        </w:rPr>
        <w:softHyphen/>
        <w:t>бины летчика. Воздухозаборник мотора находился в верхней части фюзеляжа. Кабина была выдвинута вперед, что обеспечивало летчику отличный об</w:t>
      </w:r>
      <w:r w:rsidRPr="008127F8">
        <w:rPr>
          <w:color w:val="000000" w:themeColor="text1"/>
          <w:sz w:val="16"/>
          <w:szCs w:val="16"/>
        </w:rPr>
        <w:softHyphen/>
        <w:t>зор вперед-вниз до 24°. Под кабиной летчика раз</w:t>
      </w:r>
      <w:r w:rsidRPr="008127F8">
        <w:rPr>
          <w:color w:val="000000" w:themeColor="text1"/>
          <w:sz w:val="16"/>
          <w:szCs w:val="16"/>
        </w:rPr>
        <w:softHyphen/>
        <w:t>мещался отсек стрелково-пушечного вооружения. Бомбы, как и на Ил-2, размещались внутри центро- планных бомбоотсеков.</w:t>
      </w:r>
    </w:p>
    <w:p w14:paraId="62875872"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Бензо- и маслобак находились между кабиной летчика и мотором в верхней части фюзеляжа. Во</w:t>
      </w:r>
      <w:r w:rsidRPr="008127F8">
        <w:rPr>
          <w:color w:val="000000" w:themeColor="text1"/>
          <w:sz w:val="16"/>
          <w:szCs w:val="16"/>
        </w:rPr>
        <w:softHyphen/>
        <w:t>дяные и масляные радиаторы системы охлаждения и смазки мотора были установлены в подфюзе- ляжной части центроплана. Их охлаждение осу</w:t>
      </w:r>
      <w:r w:rsidRPr="008127F8">
        <w:rPr>
          <w:color w:val="000000" w:themeColor="text1"/>
          <w:sz w:val="16"/>
          <w:szCs w:val="16"/>
        </w:rPr>
        <w:softHyphen/>
        <w:t>ществлялось наружным воздухом, подводившим</w:t>
      </w:r>
      <w:r w:rsidRPr="008127F8">
        <w:rPr>
          <w:color w:val="000000" w:themeColor="text1"/>
          <w:sz w:val="16"/>
          <w:szCs w:val="16"/>
        </w:rPr>
        <w:softHyphen/>
        <w:t>ся по изогнутым каналам из воздухозаборников в носках крыла у правого и левого бортов фюзе</w:t>
      </w:r>
      <w:r w:rsidRPr="008127F8">
        <w:rPr>
          <w:color w:val="000000" w:themeColor="text1"/>
          <w:sz w:val="16"/>
          <w:szCs w:val="16"/>
        </w:rPr>
        <w:softHyphen/>
        <w:t>ляжа.</w:t>
      </w:r>
    </w:p>
    <w:p w14:paraId="7D59073E"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Основные колеса шасси убирались назад по по</w:t>
      </w:r>
      <w:r w:rsidRPr="008127F8">
        <w:rPr>
          <w:color w:val="000000" w:themeColor="text1"/>
          <w:sz w:val="16"/>
          <w:szCs w:val="16"/>
        </w:rPr>
        <w:softHyphen/>
        <w:t>лету в центроплан с поворотом колес вокруг оси на 90° в процессе уборки. Такая схема уборки шасси была впоследствии реализована на Ил-10. Убираю</w:t>
      </w:r>
      <w:r w:rsidRPr="008127F8">
        <w:rPr>
          <w:color w:val="000000" w:themeColor="text1"/>
          <w:sz w:val="16"/>
          <w:szCs w:val="16"/>
        </w:rPr>
        <w:softHyphen/>
        <w:t>щимся было и хвостовое колесо.</w:t>
      </w:r>
    </w:p>
    <w:p w14:paraId="5B77E310"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Необходимый диапазон центровок машины до</w:t>
      </w:r>
      <w:r w:rsidRPr="008127F8">
        <w:rPr>
          <w:color w:val="000000" w:themeColor="text1"/>
          <w:sz w:val="16"/>
          <w:szCs w:val="16"/>
        </w:rPr>
        <w:softHyphen/>
        <w:t>стигался применением крыла со стреловидностью по передней кромке в 15°.</w:t>
      </w:r>
    </w:p>
    <w:p w14:paraId="214EBB4D"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Бронирование летчика, бензо- и маслобаков, водяных и масляных радиаторов обеспечивалось бронекорпусом весьма сложной формы в основ</w:t>
      </w:r>
      <w:r w:rsidRPr="008127F8">
        <w:rPr>
          <w:color w:val="000000" w:themeColor="text1"/>
          <w:sz w:val="16"/>
          <w:szCs w:val="16"/>
        </w:rPr>
        <w:softHyphen/>
        <w:t>ном с прямоугольными образующими, что хотя и упрощало технологию его изготовления, но не</w:t>
      </w:r>
      <w:r w:rsidRPr="008127F8">
        <w:rPr>
          <w:color w:val="000000" w:themeColor="text1"/>
          <w:sz w:val="16"/>
          <w:szCs w:val="16"/>
        </w:rPr>
        <w:softHyphen/>
        <w:t>сколько снижало пулестойкость брони. Толщина брони 5—8 мм считалась вполне достаточной для защиты от крупнокалиберных пуль. Дело в том, что, помимо бронекорпуса и бронеспинки, летчик за</w:t>
      </w:r>
      <w:r w:rsidRPr="008127F8">
        <w:rPr>
          <w:color w:val="000000" w:themeColor="text1"/>
          <w:sz w:val="16"/>
          <w:szCs w:val="16"/>
        </w:rPr>
        <w:softHyphen/>
        <w:t>щищался: со стороны задней полусферы — мото</w:t>
      </w:r>
      <w:r w:rsidRPr="008127F8">
        <w:rPr>
          <w:color w:val="000000" w:themeColor="text1"/>
          <w:sz w:val="16"/>
          <w:szCs w:val="16"/>
        </w:rPr>
        <w:softHyphen/>
        <w:t>ром, бензо- и маслобаками, спереди-снизу — отсе</w:t>
      </w:r>
      <w:r w:rsidRPr="008127F8">
        <w:rPr>
          <w:color w:val="000000" w:themeColor="text1"/>
          <w:sz w:val="16"/>
          <w:szCs w:val="16"/>
        </w:rPr>
        <w:softHyphen/>
        <w:t>ком стрелково-пушечного вооружения, а с боковых проекций снизу — бомбоотсеками, нишами шасси, воздушными каналами охлаждения водо- и масло- радиаторами. В передних стеклах фонаря кабины летчика устанавливались бронестекла толщиной 64 мм (в лобовой части) и 55 мм (в боковой части). Суммарный вес брони достигал 750 кг.</w:t>
      </w:r>
    </w:p>
    <w:p w14:paraId="64742E52"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Проект предусматривал 2 варианта вооруже</w:t>
      </w:r>
      <w:r w:rsidRPr="008127F8">
        <w:rPr>
          <w:color w:val="000000" w:themeColor="text1"/>
          <w:sz w:val="16"/>
          <w:szCs w:val="16"/>
        </w:rPr>
        <w:softHyphen/>
        <w:t>ния: противотанковый и бомбардировочный.</w:t>
      </w:r>
    </w:p>
    <w:p w14:paraId="5821E637"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Согласно первому варианту в носу самолета размещались мотор-пушка МПШ-37 ОКБ-15 кон</w:t>
      </w:r>
      <w:r w:rsidRPr="008127F8">
        <w:rPr>
          <w:color w:val="000000" w:themeColor="text1"/>
          <w:sz w:val="16"/>
          <w:szCs w:val="16"/>
        </w:rPr>
        <w:softHyphen/>
        <w:t>струкции Б. Г. Шпитального с боезапасом в 40 сна</w:t>
      </w:r>
      <w:r w:rsidRPr="008127F8">
        <w:rPr>
          <w:color w:val="000000" w:themeColor="text1"/>
          <w:sz w:val="16"/>
          <w:szCs w:val="16"/>
        </w:rPr>
        <w:softHyphen/>
        <w:t>рядов, 2 синхронные пушки ШВАК с боекомплектом по 200 снарядов на каждую пушку и 2 синхронных пулемета ШКАС с общим боезапасом 1500 патро</w:t>
      </w:r>
      <w:r w:rsidRPr="008127F8">
        <w:rPr>
          <w:color w:val="000000" w:themeColor="text1"/>
          <w:sz w:val="16"/>
          <w:szCs w:val="16"/>
        </w:rPr>
        <w:softHyphen/>
        <w:t>нов. Кроме этого, под крылом предусматривалась установка 8—10 ракетных орудий типа РО-82 или РО-132.</w:t>
      </w:r>
    </w:p>
    <w:p w14:paraId="2789B16F"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Второй вариант вооружения включал: 2 син</w:t>
      </w:r>
      <w:r w:rsidRPr="008127F8">
        <w:rPr>
          <w:color w:val="000000" w:themeColor="text1"/>
          <w:sz w:val="16"/>
          <w:szCs w:val="16"/>
        </w:rPr>
        <w:softHyphen/>
        <w:t>хронные пушки ШВАК (400 снарядов), 2 синхрон</w:t>
      </w:r>
      <w:r w:rsidRPr="008127F8">
        <w:rPr>
          <w:color w:val="000000" w:themeColor="text1"/>
          <w:sz w:val="16"/>
          <w:szCs w:val="16"/>
        </w:rPr>
        <w:softHyphen/>
        <w:t>ных пулемета ШКАС (1500 патронов) и 400 кг бомб (16x25 кг, или 40x10 кг, или 160x2,5 кг) или в перегрузку 600 кг (6x100 кг, или 2x250 кг, или 24</w:t>
      </w:r>
      <w:r w:rsidRPr="008127F8">
        <w:rPr>
          <w:color w:val="000000" w:themeColor="text1"/>
          <w:sz w:val="16"/>
          <w:szCs w:val="16"/>
          <w:lang w:val="en-US"/>
        </w:rPr>
        <w:t>x</w:t>
      </w:r>
      <w:r w:rsidRPr="008127F8">
        <w:rPr>
          <w:color w:val="000000" w:themeColor="text1"/>
          <w:sz w:val="16"/>
          <w:szCs w:val="16"/>
        </w:rPr>
        <w:t>25 кг).</w:t>
      </w:r>
    </w:p>
    <w:p w14:paraId="6868C6EA"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При нормальном полетном весе около 6000 кг максимальная скорость у земли оценивалась в 432 км/ч без подвески РС и 400 км/ч с РС, а на вы</w:t>
      </w:r>
      <w:r w:rsidRPr="008127F8">
        <w:rPr>
          <w:color w:val="000000" w:themeColor="text1"/>
          <w:sz w:val="16"/>
          <w:szCs w:val="16"/>
        </w:rPr>
        <w:softHyphen/>
        <w:t>соте 2000 м — 460 км/ч (без РС) и 438 км/ч (с РС). На высоту 3000 м самолет поднимался за 7 мин. Даль</w:t>
      </w:r>
      <w:r w:rsidRPr="008127F8">
        <w:rPr>
          <w:color w:val="000000" w:themeColor="text1"/>
          <w:sz w:val="16"/>
          <w:szCs w:val="16"/>
        </w:rPr>
        <w:softHyphen/>
        <w:t>ность полета на высоте 500 м и скорости 300 км/ч достигала 600 км. Посадочная скорость — 125 км/ч.</w:t>
      </w:r>
    </w:p>
    <w:p w14:paraId="16A3E5D0"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Согласно документам, передача самолета на государственные испытания ожидалась не позже 15 января 1943 г. На его постройку планировалось затратить около 15 млн рублей (17500).</w:t>
      </w:r>
    </w:p>
    <w:p w14:paraId="28B4182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00E9357" w14:textId="77777777" w:rsidR="007C5583" w:rsidRPr="008127F8" w:rsidRDefault="007C5583" w:rsidP="007C5583">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С весны 1942 года снача</w:t>
      </w:r>
      <w:r w:rsidRPr="008127F8">
        <w:rPr>
          <w:rFonts w:ascii="Times New Roman" w:hAnsi="Times New Roman" w:cs="Times New Roman"/>
          <w:color w:val="000000" w:themeColor="text1"/>
          <w:sz w:val="16"/>
          <w:szCs w:val="16"/>
        </w:rPr>
        <w:softHyphen/>
        <w:t>ла завод №1, а следом и №381 (примерно с середины этого же года) с №18 (с весны 1943 года) сразу стали наносить белое окаймление у звезд, наносимых на выпускаемые «Илы». Для всех других типов самолетов черное окаймление менялось белым только силами строевых частей и звезды, изображенные в таком виде, были все-таки нештатными, хотя и часто встречающимися (19932).</w:t>
      </w:r>
    </w:p>
    <w:p w14:paraId="6A3732EA"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62A931B1"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Style w:val="781"/>
          <w:rFonts w:ascii="Times New Roman" w:hAnsi="Times New Roman" w:cs="Times New Roman"/>
          <w:color w:val="000000" w:themeColor="text1"/>
          <w:sz w:val="16"/>
          <w:szCs w:val="16"/>
        </w:rPr>
        <w:t>Весной 1942 года опытно-конструктор</w:t>
      </w:r>
      <w:r w:rsidRPr="008127F8">
        <w:rPr>
          <w:rStyle w:val="781"/>
          <w:rFonts w:ascii="Times New Roman" w:hAnsi="Times New Roman" w:cs="Times New Roman"/>
          <w:color w:val="000000" w:themeColor="text1"/>
          <w:sz w:val="16"/>
          <w:szCs w:val="16"/>
        </w:rPr>
        <w:softHyphen/>
        <w:t>ские бюро Кочеригина, Грушина, Архангель</w:t>
      </w:r>
      <w:r w:rsidRPr="008127F8">
        <w:rPr>
          <w:rStyle w:val="781"/>
          <w:rFonts w:ascii="Times New Roman" w:hAnsi="Times New Roman" w:cs="Times New Roman"/>
          <w:color w:val="000000" w:themeColor="text1"/>
          <w:sz w:val="16"/>
          <w:szCs w:val="16"/>
        </w:rPr>
        <w:softHyphen/>
        <w:t>ского, Голубкова, Незваля, Камова и Горбу</w:t>
      </w:r>
      <w:r w:rsidRPr="008127F8">
        <w:rPr>
          <w:rStyle w:val="781"/>
          <w:rFonts w:ascii="Times New Roman" w:hAnsi="Times New Roman" w:cs="Times New Roman"/>
          <w:color w:val="000000" w:themeColor="text1"/>
          <w:sz w:val="16"/>
          <w:szCs w:val="16"/>
        </w:rPr>
        <w:softHyphen/>
        <w:t>нова были расформированы, но Томашевичу снова повезло. Одноместный истребитель «110» с мотором М-107 включили в план опытного самолетостроения на 1942 год со сроком предъявления на испытания 15 июля 1942 года. Достраивать самолет должен был завод № 288, в декабре 1941 года переве</w:t>
      </w:r>
      <w:r w:rsidRPr="008127F8">
        <w:rPr>
          <w:rStyle w:val="781"/>
          <w:rFonts w:ascii="Times New Roman" w:hAnsi="Times New Roman" w:cs="Times New Roman"/>
          <w:color w:val="000000" w:themeColor="text1"/>
          <w:sz w:val="16"/>
          <w:szCs w:val="16"/>
        </w:rPr>
        <w:softHyphen/>
        <w:t>денный на куломзинский филиал завода (19869).</w:t>
      </w:r>
    </w:p>
    <w:p w14:paraId="0FE448B7"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43C6602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весны 1942 на ДБ-3Ф вместо верхней турели МВ-3 стали ставить УТК-1 с крупнокалиберным пулеметом УБТ и запасом в 200 патронов к нему. УТК-1 являлась переделкой той же МВ-3, осуществленной под руководством инженера Шебанова. Ранние УТК-1 часто использовали детали и узлы разобранных МВ-3. Поэтому частям предписывалось при получении УТК-1 старые турели отправлять обратно на завод (7666).</w:t>
      </w:r>
    </w:p>
    <w:p w14:paraId="2C63C9E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8D3A54" w14:textId="77777777" w:rsidR="006F3649" w:rsidRPr="008A2E5A" w:rsidRDefault="006F3649" w:rsidP="006F36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г. построй</w:t>
      </w:r>
      <w:r w:rsidRPr="008A2E5A">
        <w:rPr>
          <w:rFonts w:ascii="Times New Roman" w:hAnsi="Times New Roman"/>
          <w:color w:val="0070C0"/>
          <w:sz w:val="16"/>
          <w:szCs w:val="16"/>
        </w:rPr>
        <w:softHyphen/>
        <w:t xml:space="preserve">ку Ил-4 поручили агрегатному заводу № 456 (Саратов), но там наладить производство Ил-4 не удалось (24139). </w:t>
      </w:r>
    </w:p>
    <w:p w14:paraId="0E03808F" w14:textId="77777777" w:rsidR="006F3649" w:rsidRPr="008A2E5A" w:rsidRDefault="006F3649" w:rsidP="006F3649">
      <w:pPr>
        <w:spacing w:after="0" w:line="240" w:lineRule="auto"/>
        <w:jc w:val="both"/>
        <w:rPr>
          <w:rFonts w:ascii="Times New Roman" w:hAnsi="Times New Roman"/>
          <w:color w:val="0070C0"/>
          <w:sz w:val="16"/>
          <w:szCs w:val="16"/>
        </w:rPr>
      </w:pPr>
    </w:p>
    <w:p w14:paraId="0B4587ED"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года, когда фронт отодвинулся от Москвы на значительное расстояние, началось восстановление завода № 240, однако на его прежних площадях разместили реэвакуированное из Куйбышева ОКБ С.В. Ильюшина. Только часть территории этого завода около Центрального аэродрома была передана В.Г. Ермолаеву, на которой в июле 1942 года, в соответствии с приказом НКАП, образован новый самостоятельный опытный завод № 134. Вернувшийся в Москву В.Г. Ермолаев окончательно остановил свой выбор на дизелях М-30Б (с 1944 г. – АЧ-30Б) конструкции А.Д. Чаромского (Прим. 59) (15223).</w:t>
      </w:r>
    </w:p>
    <w:p w14:paraId="057C3CE2"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0A385CE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года снова вернулись к идее транспортировки личного состава на Пе-8. С целью доставки в Англию летчиков- перегонщиков переоборудовали один Пе-8 4АМ-35А для перевозки 20 человек, которые размещались в бомбоотсеке в несколько ярусов. Эти полеты как раз и навели на мысль использовать в том же году Пе-8 для полетов через океан в США с миссией Молотова (12726).</w:t>
      </w:r>
    </w:p>
    <w:p w14:paraId="2F50E99A" w14:textId="77777777" w:rsidR="007C5583" w:rsidRPr="008127F8" w:rsidRDefault="007C5583" w:rsidP="007C5583">
      <w:pPr>
        <w:pStyle w:val="af"/>
        <w:spacing w:before="0" w:after="0"/>
        <w:jc w:val="both"/>
        <w:rPr>
          <w:color w:val="000000" w:themeColor="text1"/>
          <w:sz w:val="16"/>
          <w:szCs w:val="16"/>
        </w:rPr>
      </w:pPr>
    </w:p>
    <w:p w14:paraId="4E1E910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по заданию штаба ВВС группа специалистов Военно-воздушной академии им. Жуковского стала изучать причины раскрутки винтов на Пе-2. Выяснилось, что во всех случаях пострадали только самолеты с винтами ВИШ-61Б. Так, 745-й бап на аэродроме г. Будово только что получил новые Пе-2, но на пяти самолетах летчики отказывались летать, считая их неисправными. Аналогичная ситуация сложилась в 128-м и 132-м бап, причем там раскрутка появлялась не только на пикировании, но и на взлете, и при резких изменениях режимов работы моторов. В бою атакованный истребителями пилот Пе-2 начинал энергично маневрировать, не обращая внимания на положение регуляторов винтов, именно в этот момент моторы и заклинивало. Основными причинами явились недостаточная приемистость механизма поворота лопастей у ВИШ-б 1 Б и частые случаи замерзания масла в цилиндре винта. Выходом из создавшегося положения, кроме тщательной подготовки летчиков к эксплуатации винтомоторной установки, являлось более широкое применение винтов АВ-5 прямой схемы (3542).</w:t>
      </w:r>
    </w:p>
    <w:p w14:paraId="05AFDD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D7AE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начались испытания необычного Пе-2«КС» с моторами М-105РЕН и посадочными устройствами конструкции Надирадзе и Ефремова. В апреле при наземных испытаниях выяснилось, что помимо рулежек со скоростью до 120 км/ч, при наблюдаемой утечке воздуха, машина не может взлететь. Причину нашли в недостаточной длине заводской полосы (менее двух километров) (12049).</w:t>
      </w:r>
    </w:p>
    <w:p w14:paraId="5B42ECD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85AA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ОКБ А.Н.Т. в интересах фронта приступило к разработке проекта оборудования разведывательного варианта Ту-2 с установкой в бомбоотсеке фотоаппаратуры (АФА-3с) и дополнительного бака (1835,53).</w:t>
      </w:r>
    </w:p>
    <w:p w14:paraId="6FE3723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A26A5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А.Н. Туполев впервые взялся за создание самолета-разведчика на базе Ту-2 От бомбардировщика он должен был отличаться лишь дополнительным бензобаком и набором фотоаппаратуры. В последний входили два аппарата АФА-3с с различным фокусным расстоянием для плановой съемки. Взамен их можно было монтировать АФА-1 в вертикальном и наклонном положении, а также перспективную установку с камерой АФА-В. Дополнительный бензобак и фотоаппараты размещались в бомбоотсеке. В Главном управлении ВВС подготовили задание на разведывательную модификацию бомбардировщика. Согласно ему самолет, названный Ту-2р (позже стали писать Ту-2Р), должен был вести оперативную и стратегическую разведку днем и ночью, обладая дальностью 2000–2500 км. Предлагавшийся Туполевым набор аппаратуры в задании дополнили парой плановых аппаратов АФА-33, а также выставили требование о подвеске восьми–девяти осветительных бомб ФОТАБ-35 для съемки ночью. В кабине стрелка-радиста на бомбардировщике стоял штатный аппарат АФА-Б, который можно было заменять на ночной НАФА-19. Его решили оставить и на разведчике, но обеспечить ему возможность разворота вбок до 60| от вертикали (21059).</w:t>
      </w:r>
    </w:p>
    <w:p w14:paraId="08D5B5D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9ACC73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Весной 1942 г. командир полка написал рапорт в котором указывал, что максимальная скорость ЛаГГ меньше заявленной на целых 50 км/ч. В полк срочно вылетели летчик-испытатель НИИ ВВС Прошаков и ведущий инженер Рабкин. Опытные специалисты быстро разобрались в причинах: полеты со снятой сдвижной частью </w:t>
      </w:r>
      <w:r w:rsidRPr="008127F8">
        <w:rPr>
          <w:rFonts w:ascii="Times New Roman" w:hAnsi="Times New Roman"/>
          <w:color w:val="000000" w:themeColor="text1"/>
          <w:sz w:val="16"/>
          <w:szCs w:val="16"/>
        </w:rPr>
        <w:lastRenderedPageBreak/>
        <w:t>фонаря кабины, установка перед лобовой частью фонаря щитка для уменьшения забрыз-гиваемости маслом, на всасывающие патрубки воздухозаборников нагнетателя мотора установлены металлические сетки для предупреждения попадания пыли, летчики в полете ставили заслонку водорадиатора лишь в два положения - полностью открыта или полностью закрыта, пилоты слабо представляли на каком режиме работы мотора самолет развивает максимальную скорость. Из всех причин более-менее уважительной являлась одна - снятый фонарь кабины: устройства аварийного сброса на ЛаГГе не было, и летчики опасались, что, случись что - сдвижную часть заест и придется соприкасаться с земной поверхностью сидючи в кабине, а не болтаясь на стропах парашюта. Все остальные недоделки - прямое следствие ротозейства, если не личного состава полка, то - служб, ответственных за своевременное доведение до строевых подразделений изменений в инструкции по эксплуатации самолета. К примеру бороться с забрызгиванием козырька фонаря кабины следовало не путем установки щитка, "съедающего" несколько километров скорости, а заменой прокладок во втулке воздушного винта; указания о проведении такой доработки, "в принципе", было разослано в части, эксплуатирующие ЛаГГи (4707).</w:t>
      </w:r>
    </w:p>
    <w:p w14:paraId="4463CD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D5EB8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вышел отчете авиазавода №51 по про</w:t>
      </w:r>
      <w:r w:rsidRPr="008127F8">
        <w:rPr>
          <w:rFonts w:ascii="Times New Roman" w:hAnsi="Times New Roman"/>
          <w:color w:val="000000" w:themeColor="text1"/>
          <w:sz w:val="16"/>
          <w:szCs w:val="16"/>
        </w:rPr>
        <w:softHyphen/>
        <w:t>изводственной деятельности за 1941 г. В дан</w:t>
      </w:r>
      <w:r w:rsidRPr="008127F8">
        <w:rPr>
          <w:rFonts w:ascii="Times New Roman" w:hAnsi="Times New Roman"/>
          <w:color w:val="000000" w:themeColor="text1"/>
          <w:sz w:val="16"/>
          <w:szCs w:val="16"/>
        </w:rPr>
        <w:softHyphen/>
        <w:t>ном документе указывалось, что все пять эк</w:t>
      </w:r>
      <w:r w:rsidRPr="008127F8">
        <w:rPr>
          <w:rFonts w:ascii="Times New Roman" w:hAnsi="Times New Roman"/>
          <w:color w:val="000000" w:themeColor="text1"/>
          <w:sz w:val="16"/>
          <w:szCs w:val="16"/>
        </w:rPr>
        <w:softHyphen/>
        <w:t>земпляров были спроектированы в ОКБ со</w:t>
      </w:r>
      <w:r w:rsidRPr="008127F8">
        <w:rPr>
          <w:rFonts w:ascii="Times New Roman" w:hAnsi="Times New Roman"/>
          <w:color w:val="000000" w:themeColor="text1"/>
          <w:sz w:val="16"/>
          <w:szCs w:val="16"/>
        </w:rPr>
        <w:softHyphen/>
        <w:t>гласно постановлению правительства под мо</w:t>
      </w:r>
      <w:r w:rsidRPr="008127F8">
        <w:rPr>
          <w:rFonts w:ascii="Times New Roman" w:hAnsi="Times New Roman"/>
          <w:color w:val="000000" w:themeColor="text1"/>
          <w:sz w:val="16"/>
          <w:szCs w:val="16"/>
        </w:rPr>
        <w:softHyphen/>
        <w:t>тор М-90 со сроком выпуска в 1940 г. Распо</w:t>
      </w:r>
      <w:r w:rsidRPr="008127F8">
        <w:rPr>
          <w:rFonts w:ascii="Times New Roman" w:hAnsi="Times New Roman"/>
          <w:color w:val="000000" w:themeColor="text1"/>
          <w:sz w:val="16"/>
          <w:szCs w:val="16"/>
        </w:rPr>
        <w:softHyphen/>
        <w:t>ряжением А.И.Шахурина в 1940 г. четыре экземпляра были модифицированы: М-71 - 2, М-81 - 1 и М-90 - 1 (9979).</w:t>
      </w:r>
    </w:p>
    <w:p w14:paraId="00BA05D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7EFAD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весны 1942 г. продолжалась работа коллектива ОКО под руководством А.И. Микояна на авиазаводе №1. После разгрома не</w:t>
      </w:r>
      <w:r w:rsidRPr="008127F8">
        <w:rPr>
          <w:rFonts w:ascii="Times New Roman" w:hAnsi="Times New Roman"/>
          <w:color w:val="000000" w:themeColor="text1"/>
          <w:sz w:val="16"/>
          <w:szCs w:val="16"/>
        </w:rPr>
        <w:softHyphen/>
        <w:t>мецких войск под Москвой в столи</w:t>
      </w:r>
      <w:r w:rsidRPr="008127F8">
        <w:rPr>
          <w:rFonts w:ascii="Times New Roman" w:hAnsi="Times New Roman"/>
          <w:color w:val="000000" w:themeColor="text1"/>
          <w:sz w:val="16"/>
          <w:szCs w:val="16"/>
        </w:rPr>
        <w:softHyphen/>
        <w:t>це началось восстановление авиа</w:t>
      </w:r>
      <w:r w:rsidRPr="008127F8">
        <w:rPr>
          <w:rFonts w:ascii="Times New Roman" w:hAnsi="Times New Roman"/>
          <w:color w:val="000000" w:themeColor="text1"/>
          <w:sz w:val="16"/>
          <w:szCs w:val="16"/>
        </w:rPr>
        <w:softHyphen/>
        <w:t>ционного производства. В соответ</w:t>
      </w:r>
      <w:r w:rsidRPr="008127F8">
        <w:rPr>
          <w:rFonts w:ascii="Times New Roman" w:hAnsi="Times New Roman"/>
          <w:color w:val="000000" w:themeColor="text1"/>
          <w:sz w:val="16"/>
          <w:szCs w:val="16"/>
        </w:rPr>
        <w:softHyphen/>
        <w:t>ствии с Постановлением ГКО №1436 от 13 марта 1942 г. и пос</w:t>
      </w:r>
      <w:r w:rsidRPr="008127F8">
        <w:rPr>
          <w:rFonts w:ascii="Times New Roman" w:hAnsi="Times New Roman"/>
          <w:color w:val="000000" w:themeColor="text1"/>
          <w:sz w:val="16"/>
          <w:szCs w:val="16"/>
        </w:rPr>
        <w:softHyphen/>
        <w:t>ледовавшим 16 марта приказом НКАП №207 коллектив ОКО вмес</w:t>
      </w:r>
      <w:r w:rsidRPr="008127F8">
        <w:rPr>
          <w:rFonts w:ascii="Times New Roman" w:hAnsi="Times New Roman"/>
          <w:color w:val="000000" w:themeColor="text1"/>
          <w:sz w:val="16"/>
          <w:szCs w:val="16"/>
        </w:rPr>
        <w:softHyphen/>
        <w:t>те с опытным производством воз</w:t>
      </w:r>
      <w:r w:rsidRPr="008127F8">
        <w:rPr>
          <w:rFonts w:ascii="Times New Roman" w:hAnsi="Times New Roman"/>
          <w:color w:val="000000" w:themeColor="text1"/>
          <w:sz w:val="16"/>
          <w:szCs w:val="16"/>
        </w:rPr>
        <w:softHyphen/>
        <w:t>вращался в Москву. Для организа</w:t>
      </w:r>
      <w:r w:rsidRPr="008127F8">
        <w:rPr>
          <w:rFonts w:ascii="Times New Roman" w:hAnsi="Times New Roman"/>
          <w:color w:val="000000" w:themeColor="text1"/>
          <w:sz w:val="16"/>
          <w:szCs w:val="16"/>
        </w:rPr>
        <w:softHyphen/>
        <w:t>ции нового опытного завода, полу</w:t>
      </w:r>
      <w:r w:rsidRPr="008127F8">
        <w:rPr>
          <w:rFonts w:ascii="Times New Roman" w:hAnsi="Times New Roman"/>
          <w:color w:val="000000" w:themeColor="text1"/>
          <w:sz w:val="16"/>
          <w:szCs w:val="16"/>
        </w:rPr>
        <w:softHyphen/>
        <w:t>чившего номер 155, выделили тер</w:t>
      </w:r>
      <w:r w:rsidRPr="008127F8">
        <w:rPr>
          <w:rFonts w:ascii="Times New Roman" w:hAnsi="Times New Roman"/>
          <w:color w:val="000000" w:themeColor="text1"/>
          <w:sz w:val="16"/>
          <w:szCs w:val="16"/>
        </w:rPr>
        <w:softHyphen/>
        <w:t>риторию завода №480. Директо</w:t>
      </w:r>
      <w:r w:rsidRPr="008127F8">
        <w:rPr>
          <w:rFonts w:ascii="Times New Roman" w:hAnsi="Times New Roman"/>
          <w:color w:val="000000" w:themeColor="text1"/>
          <w:sz w:val="16"/>
          <w:szCs w:val="16"/>
        </w:rPr>
        <w:softHyphen/>
        <w:t>ром и главным конструктором вновь организованного завода №155 (ОКБ-155) назначили А.И. Микояна, а его заместителем М.И. Гуревича. Также на завод №155 перевели и ремонтную базу по самолётам МиГ-3 с личным составом во главе с А.Т. Каревым. Творческая деятельность ОКБ на новом месте началась в мае 1942 г. Основные силы были направлены на дальнейшее совершенствование истребителя МиГ-3, а также на со</w:t>
      </w:r>
      <w:r w:rsidRPr="008127F8">
        <w:rPr>
          <w:rFonts w:ascii="Times New Roman" w:hAnsi="Times New Roman"/>
          <w:color w:val="000000" w:themeColor="text1"/>
          <w:sz w:val="16"/>
          <w:szCs w:val="16"/>
        </w:rPr>
        <w:softHyphen/>
        <w:t>здание машин с более высокими лётно-тактическими данными, обла</w:t>
      </w:r>
      <w:r w:rsidRPr="008127F8">
        <w:rPr>
          <w:rFonts w:ascii="Times New Roman" w:hAnsi="Times New Roman"/>
          <w:color w:val="000000" w:themeColor="text1"/>
          <w:sz w:val="16"/>
          <w:szCs w:val="16"/>
        </w:rPr>
        <w:softHyphen/>
        <w:t>давших большими скоростями по</w:t>
      </w:r>
      <w:r w:rsidRPr="008127F8">
        <w:rPr>
          <w:rFonts w:ascii="Times New Roman" w:hAnsi="Times New Roman"/>
          <w:color w:val="000000" w:themeColor="text1"/>
          <w:sz w:val="16"/>
          <w:szCs w:val="16"/>
        </w:rPr>
        <w:softHyphen/>
        <w:t>лёта и большим практическим по</w:t>
      </w:r>
      <w:r w:rsidRPr="008127F8">
        <w:rPr>
          <w:rFonts w:ascii="Times New Roman" w:hAnsi="Times New Roman"/>
          <w:color w:val="000000" w:themeColor="text1"/>
          <w:sz w:val="16"/>
          <w:szCs w:val="16"/>
        </w:rPr>
        <w:softHyphen/>
        <w:t>толком. Одновременно с развёр</w:t>
      </w:r>
      <w:r w:rsidRPr="008127F8">
        <w:rPr>
          <w:rFonts w:ascii="Times New Roman" w:hAnsi="Times New Roman"/>
          <w:color w:val="000000" w:themeColor="text1"/>
          <w:sz w:val="16"/>
          <w:szCs w:val="16"/>
        </w:rPr>
        <w:softHyphen/>
        <w:t>тыванием опытно-конструкторских работ ОКБ занималось и развити</w:t>
      </w:r>
      <w:r w:rsidRPr="008127F8">
        <w:rPr>
          <w:rFonts w:ascii="Times New Roman" w:hAnsi="Times New Roman"/>
          <w:color w:val="000000" w:themeColor="text1"/>
          <w:sz w:val="16"/>
          <w:szCs w:val="16"/>
        </w:rPr>
        <w:softHyphen/>
        <w:t>ем производственной базы (11761).</w:t>
      </w:r>
    </w:p>
    <w:p w14:paraId="516A265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4D659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были построены еще три машины — зав. № 6503, 6504, 6505 помимо двух опытных истребителей МиГ—9. После возвращения в Москву из эвакуации кол</w:t>
      </w:r>
      <w:r w:rsidRPr="008127F8">
        <w:rPr>
          <w:rFonts w:ascii="Times New Roman" w:hAnsi="Times New Roman"/>
          <w:color w:val="000000" w:themeColor="text1"/>
          <w:sz w:val="16"/>
          <w:szCs w:val="16"/>
        </w:rPr>
        <w:softHyphen/>
        <w:t>лектив ОКБ—155 осуществил доводку всех пяти са</w:t>
      </w:r>
      <w:r w:rsidRPr="008127F8">
        <w:rPr>
          <w:rFonts w:ascii="Times New Roman" w:hAnsi="Times New Roman"/>
          <w:color w:val="000000" w:themeColor="text1"/>
          <w:sz w:val="16"/>
          <w:szCs w:val="16"/>
        </w:rPr>
        <w:softHyphen/>
        <w:t>молетов малой серии (9984).</w:t>
      </w:r>
    </w:p>
    <w:p w14:paraId="644036F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2983AD" w14:textId="77777777" w:rsidR="006F3649" w:rsidRPr="008A2E5A" w:rsidRDefault="006F3649" w:rsidP="006F36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г. Главный конструктор А.И. Микоян подписал распоряжение о проектирова</w:t>
      </w:r>
      <w:r w:rsidRPr="008A2E5A">
        <w:rPr>
          <w:rFonts w:ascii="Times New Roman" w:hAnsi="Times New Roman"/>
          <w:color w:val="0070C0"/>
          <w:sz w:val="16"/>
          <w:szCs w:val="16"/>
        </w:rPr>
        <w:softHyphen/>
        <w:t>нии новой высотной модификации само</w:t>
      </w:r>
      <w:r w:rsidRPr="008A2E5A">
        <w:rPr>
          <w:rFonts w:ascii="Times New Roman" w:hAnsi="Times New Roman"/>
          <w:color w:val="0070C0"/>
          <w:sz w:val="16"/>
          <w:szCs w:val="16"/>
        </w:rPr>
        <w:softHyphen/>
        <w:t>лета МиГ-3. В документации ОКБ-155 она получила шифр «Д», в Наркомате авиа</w:t>
      </w:r>
      <w:r w:rsidRPr="008A2E5A">
        <w:rPr>
          <w:rFonts w:ascii="Times New Roman" w:hAnsi="Times New Roman"/>
          <w:color w:val="0070C0"/>
          <w:sz w:val="16"/>
          <w:szCs w:val="16"/>
        </w:rPr>
        <w:softHyphen/>
        <w:t>промышленности ее обозначили И-230, а для военных она была объявлена как МиГ-3У, что означало «улучшенный».</w:t>
      </w:r>
    </w:p>
    <w:p w14:paraId="1DAD7391" w14:textId="77777777" w:rsidR="006F3649" w:rsidRPr="008A2E5A" w:rsidRDefault="006F3649" w:rsidP="006F36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Задача была поставлена сложная и противоречивая. Во-первых, надо было существенно повысить скорости и скоро</w:t>
      </w:r>
      <w:r w:rsidRPr="008A2E5A">
        <w:rPr>
          <w:rFonts w:ascii="Times New Roman" w:hAnsi="Times New Roman"/>
          <w:color w:val="0070C0"/>
          <w:sz w:val="16"/>
          <w:szCs w:val="16"/>
        </w:rPr>
        <w:softHyphen/>
        <w:t>подъемности на всех высотах при сохра</w:t>
      </w:r>
      <w:r w:rsidRPr="008A2E5A">
        <w:rPr>
          <w:rFonts w:ascii="Times New Roman" w:hAnsi="Times New Roman"/>
          <w:color w:val="0070C0"/>
          <w:sz w:val="16"/>
          <w:szCs w:val="16"/>
        </w:rPr>
        <w:softHyphen/>
        <w:t>нении практического потолка на уровне лучших МиГ-3. Далее требовалось улуч</w:t>
      </w:r>
      <w:r w:rsidRPr="008A2E5A">
        <w:rPr>
          <w:rFonts w:ascii="Times New Roman" w:hAnsi="Times New Roman"/>
          <w:color w:val="0070C0"/>
          <w:sz w:val="16"/>
          <w:szCs w:val="16"/>
        </w:rPr>
        <w:softHyphen/>
        <w:t>шить пилотажные свойства машины в ча</w:t>
      </w:r>
      <w:r w:rsidRPr="008A2E5A">
        <w:rPr>
          <w:rFonts w:ascii="Times New Roman" w:hAnsi="Times New Roman"/>
          <w:color w:val="0070C0"/>
          <w:sz w:val="16"/>
          <w:szCs w:val="16"/>
        </w:rPr>
        <w:softHyphen/>
        <w:t>сти срывных характеристик, но при этом как минимум не потерять маневренные качества. Летчики жаловались на недо</w:t>
      </w:r>
      <w:r w:rsidRPr="008A2E5A">
        <w:rPr>
          <w:rFonts w:ascii="Times New Roman" w:hAnsi="Times New Roman"/>
          <w:color w:val="0070C0"/>
          <w:sz w:val="16"/>
          <w:szCs w:val="16"/>
        </w:rPr>
        <w:softHyphen/>
        <w:t>статочный обзор из кабины МиГ-3 и на то, что фонарь плохо открывается в поле</w:t>
      </w:r>
      <w:r w:rsidRPr="008A2E5A">
        <w:rPr>
          <w:rFonts w:ascii="Times New Roman" w:hAnsi="Times New Roman"/>
          <w:color w:val="0070C0"/>
          <w:sz w:val="16"/>
          <w:szCs w:val="16"/>
        </w:rPr>
        <w:softHyphen/>
        <w:t>те, а на большой скорости его сдвинуть и вовсе невозможно, потому, дескать, его и снимают, теряя минимум 10-15 км/ч - это тоже предстояло исправить. Чисто пуле</w:t>
      </w:r>
      <w:r w:rsidRPr="008A2E5A">
        <w:rPr>
          <w:rFonts w:ascii="Times New Roman" w:hAnsi="Times New Roman"/>
          <w:color w:val="0070C0"/>
          <w:sz w:val="16"/>
          <w:szCs w:val="16"/>
        </w:rPr>
        <w:softHyphen/>
        <w:t>метное вооружение вообще не выдержи</w:t>
      </w:r>
      <w:r w:rsidRPr="008A2E5A">
        <w:rPr>
          <w:rFonts w:ascii="Times New Roman" w:hAnsi="Times New Roman"/>
          <w:color w:val="0070C0"/>
          <w:sz w:val="16"/>
          <w:szCs w:val="16"/>
        </w:rPr>
        <w:softHyphen/>
        <w:t>вало никакой критики - с трехлопастным воздушным винтом оно стало даже ме</w:t>
      </w:r>
      <w:r w:rsidRPr="008A2E5A">
        <w:rPr>
          <w:rFonts w:ascii="Times New Roman" w:hAnsi="Times New Roman"/>
          <w:color w:val="0070C0"/>
          <w:sz w:val="16"/>
          <w:szCs w:val="16"/>
        </w:rPr>
        <w:softHyphen/>
        <w:t>нее эффективным, чем у И-16 типа 29 из- за выросших потерь на синхронизацию в сравнении с винтом двухлопастным. Хотя самолет проектировался как пере</w:t>
      </w:r>
      <w:r w:rsidRPr="008A2E5A">
        <w:rPr>
          <w:rFonts w:ascii="Times New Roman" w:hAnsi="Times New Roman"/>
          <w:color w:val="0070C0"/>
          <w:sz w:val="16"/>
          <w:szCs w:val="16"/>
        </w:rPr>
        <w:softHyphen/>
        <w:t>хватчик, бомбы в его вооружении надо было оставить.</w:t>
      </w:r>
    </w:p>
    <w:p w14:paraId="223754D9" w14:textId="77777777" w:rsidR="006F3649" w:rsidRPr="008A2E5A" w:rsidRDefault="006F3649" w:rsidP="006F36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Техсостав жаловался на плохой до</w:t>
      </w:r>
      <w:r w:rsidRPr="008A2E5A">
        <w:rPr>
          <w:rFonts w:ascii="Times New Roman" w:hAnsi="Times New Roman"/>
          <w:color w:val="0070C0"/>
          <w:sz w:val="16"/>
          <w:szCs w:val="16"/>
        </w:rPr>
        <w:softHyphen/>
        <w:t>ступ в хвостовую часть фюзеляжа МиГ-3 для обслуживания оборудования, провод</w:t>
      </w:r>
      <w:r w:rsidRPr="008A2E5A">
        <w:rPr>
          <w:rFonts w:ascii="Times New Roman" w:hAnsi="Times New Roman"/>
          <w:color w:val="0070C0"/>
          <w:sz w:val="16"/>
          <w:szCs w:val="16"/>
        </w:rPr>
        <w:softHyphen/>
        <w:t>ки управления и хвостовой опоры шас</w:t>
      </w:r>
      <w:r w:rsidRPr="008A2E5A">
        <w:rPr>
          <w:rFonts w:ascii="Times New Roman" w:hAnsi="Times New Roman"/>
          <w:color w:val="0070C0"/>
          <w:sz w:val="16"/>
          <w:szCs w:val="16"/>
        </w:rPr>
        <w:softHyphen/>
        <w:t>си - там надо было прорезать люк. В про</w:t>
      </w:r>
      <w:r w:rsidRPr="008A2E5A">
        <w:rPr>
          <w:rFonts w:ascii="Times New Roman" w:hAnsi="Times New Roman"/>
          <w:color w:val="0070C0"/>
          <w:sz w:val="16"/>
          <w:szCs w:val="16"/>
        </w:rPr>
        <w:softHyphen/>
        <w:t>изводстве самолет оставался слишком металлоемким - из дюраля и стальных трубок изготавливался центроплан, тогда как на Як-1 и ЛаГГ-3 все крыло было де</w:t>
      </w:r>
      <w:r w:rsidRPr="008A2E5A">
        <w:rPr>
          <w:rFonts w:ascii="Times New Roman" w:hAnsi="Times New Roman"/>
          <w:color w:val="0070C0"/>
          <w:sz w:val="16"/>
          <w:szCs w:val="16"/>
        </w:rPr>
        <w:softHyphen/>
        <w:t>ревянным, и новый самолет лучше был бы таким. Фюзеляж оказалось сложно выкле</w:t>
      </w:r>
      <w:r w:rsidRPr="008A2E5A">
        <w:rPr>
          <w:rFonts w:ascii="Times New Roman" w:hAnsi="Times New Roman"/>
          <w:color w:val="0070C0"/>
          <w:sz w:val="16"/>
          <w:szCs w:val="16"/>
        </w:rPr>
        <w:softHyphen/>
        <w:t>ивать из шпона вместе с килем - техноло</w:t>
      </w:r>
      <w:r w:rsidRPr="008A2E5A">
        <w:rPr>
          <w:rFonts w:ascii="Times New Roman" w:hAnsi="Times New Roman"/>
          <w:color w:val="0070C0"/>
          <w:sz w:val="16"/>
          <w:szCs w:val="16"/>
        </w:rPr>
        <w:softHyphen/>
        <w:t>ги требовали ввести разъем в этом месте.</w:t>
      </w:r>
    </w:p>
    <w:p w14:paraId="3FBED423" w14:textId="77777777" w:rsidR="006F3649" w:rsidRPr="008A2E5A" w:rsidRDefault="006F3649" w:rsidP="006F36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Проблем было много, и все их надо было решить на одном самолете. Непро</w:t>
      </w:r>
      <w:r w:rsidRPr="008A2E5A">
        <w:rPr>
          <w:rFonts w:ascii="Times New Roman" w:hAnsi="Times New Roman"/>
          <w:color w:val="0070C0"/>
          <w:sz w:val="16"/>
          <w:szCs w:val="16"/>
        </w:rPr>
        <w:softHyphen/>
        <w:t>сто было начинать все сначала на необ</w:t>
      </w:r>
      <w:r w:rsidRPr="008A2E5A">
        <w:rPr>
          <w:rFonts w:ascii="Times New Roman" w:hAnsi="Times New Roman"/>
          <w:color w:val="0070C0"/>
          <w:sz w:val="16"/>
          <w:szCs w:val="16"/>
        </w:rPr>
        <w:softHyphen/>
        <w:t>житом еще после возвращения из эвакуа</w:t>
      </w:r>
      <w:r w:rsidRPr="008A2E5A">
        <w:rPr>
          <w:rFonts w:ascii="Times New Roman" w:hAnsi="Times New Roman"/>
          <w:color w:val="0070C0"/>
          <w:sz w:val="16"/>
          <w:szCs w:val="16"/>
        </w:rPr>
        <w:softHyphen/>
        <w:t>ции месте, в новом составе и в новой об</w:t>
      </w:r>
      <w:r w:rsidRPr="008A2E5A">
        <w:rPr>
          <w:rFonts w:ascii="Times New Roman" w:hAnsi="Times New Roman"/>
          <w:color w:val="0070C0"/>
          <w:sz w:val="16"/>
          <w:szCs w:val="16"/>
        </w:rPr>
        <w:softHyphen/>
        <w:t>становке. Но нет худа без добра. Микоян именно теперь наконец-то смог восполь</w:t>
      </w:r>
      <w:r w:rsidRPr="008A2E5A">
        <w:rPr>
          <w:rFonts w:ascii="Times New Roman" w:hAnsi="Times New Roman"/>
          <w:color w:val="0070C0"/>
          <w:sz w:val="16"/>
          <w:szCs w:val="16"/>
        </w:rPr>
        <w:softHyphen/>
        <w:t>зоваться некоторыми советами по улучше</w:t>
      </w:r>
      <w:r w:rsidRPr="008A2E5A">
        <w:rPr>
          <w:rFonts w:ascii="Times New Roman" w:hAnsi="Times New Roman"/>
          <w:color w:val="0070C0"/>
          <w:sz w:val="16"/>
          <w:szCs w:val="16"/>
        </w:rPr>
        <w:softHyphen/>
        <w:t>нию изначального проекта, которые давал ему Николай Николаевич Поликарпов еще в 1940 г., в то время, когда завершение его работы по самолету И-61 решением НКАП и партийных органов было поручено Ми</w:t>
      </w:r>
      <w:r w:rsidRPr="008A2E5A">
        <w:rPr>
          <w:rFonts w:ascii="Times New Roman" w:hAnsi="Times New Roman"/>
          <w:color w:val="0070C0"/>
          <w:sz w:val="16"/>
          <w:szCs w:val="16"/>
        </w:rPr>
        <w:softHyphen/>
        <w:t>кояну и Гуревичу, в результате чего и само</w:t>
      </w:r>
      <w:r w:rsidRPr="008A2E5A">
        <w:rPr>
          <w:rFonts w:ascii="Times New Roman" w:hAnsi="Times New Roman"/>
          <w:color w:val="0070C0"/>
          <w:sz w:val="16"/>
          <w:szCs w:val="16"/>
        </w:rPr>
        <w:softHyphen/>
        <w:t>лет и появился на свет уже под обозначе</w:t>
      </w:r>
      <w:r w:rsidRPr="008A2E5A">
        <w:rPr>
          <w:rFonts w:ascii="Times New Roman" w:hAnsi="Times New Roman"/>
          <w:color w:val="0070C0"/>
          <w:sz w:val="16"/>
          <w:szCs w:val="16"/>
        </w:rPr>
        <w:softHyphen/>
        <w:t>нием И-200. Тогда на улучшения времени не было, а теперь нашлось. На самолете МиГ-3 по бокам мото</w:t>
      </w:r>
      <w:r w:rsidRPr="008A2E5A">
        <w:rPr>
          <w:rFonts w:ascii="Times New Roman" w:hAnsi="Times New Roman"/>
          <w:color w:val="0070C0"/>
          <w:sz w:val="16"/>
          <w:szCs w:val="16"/>
        </w:rPr>
        <w:softHyphen/>
        <w:t>ра стояли два цилиндрических маслорадиатора, воздух в которые поступал че</w:t>
      </w:r>
      <w:r w:rsidRPr="008A2E5A">
        <w:rPr>
          <w:rFonts w:ascii="Times New Roman" w:hAnsi="Times New Roman"/>
          <w:color w:val="0070C0"/>
          <w:sz w:val="16"/>
          <w:szCs w:val="16"/>
        </w:rPr>
        <w:softHyphen/>
        <w:t>рез длинные «трубы» и выходил нагре</w:t>
      </w:r>
      <w:r w:rsidRPr="008A2E5A">
        <w:rPr>
          <w:rFonts w:ascii="Times New Roman" w:hAnsi="Times New Roman"/>
          <w:color w:val="0070C0"/>
          <w:sz w:val="16"/>
          <w:szCs w:val="16"/>
        </w:rPr>
        <w:softHyphen/>
        <w:t>тым вдоль бортов кабины. В ней стано</w:t>
      </w:r>
      <w:r w:rsidRPr="008A2E5A">
        <w:rPr>
          <w:rFonts w:ascii="Times New Roman" w:hAnsi="Times New Roman"/>
          <w:color w:val="0070C0"/>
          <w:sz w:val="16"/>
          <w:szCs w:val="16"/>
        </w:rPr>
        <w:softHyphen/>
        <w:t>вилось жарко, появлялся резкий запах, но на этом неприятности не кончались. В зоне этих теплых турбулентных пото</w:t>
      </w:r>
      <w:r w:rsidRPr="008A2E5A">
        <w:rPr>
          <w:rFonts w:ascii="Times New Roman" w:hAnsi="Times New Roman"/>
          <w:color w:val="0070C0"/>
          <w:sz w:val="16"/>
          <w:szCs w:val="16"/>
        </w:rPr>
        <w:softHyphen/>
        <w:t>ков оказывалось горизонтальное опере</w:t>
      </w:r>
      <w:r w:rsidRPr="008A2E5A">
        <w:rPr>
          <w:rFonts w:ascii="Times New Roman" w:hAnsi="Times New Roman"/>
          <w:color w:val="0070C0"/>
          <w:sz w:val="16"/>
          <w:szCs w:val="16"/>
        </w:rPr>
        <w:softHyphen/>
        <w:t>ние. На новой машине маслорадиаторы поставили под фюзеляжем по обеим сто</w:t>
      </w:r>
      <w:r w:rsidRPr="008A2E5A">
        <w:rPr>
          <w:rFonts w:ascii="Times New Roman" w:hAnsi="Times New Roman"/>
          <w:color w:val="0070C0"/>
          <w:sz w:val="16"/>
          <w:szCs w:val="16"/>
        </w:rPr>
        <w:softHyphen/>
        <w:t>ронам водяного сотового радиатора, ко</w:t>
      </w:r>
      <w:r w:rsidRPr="008A2E5A">
        <w:rPr>
          <w:rFonts w:ascii="Times New Roman" w:hAnsi="Times New Roman"/>
          <w:color w:val="0070C0"/>
          <w:sz w:val="16"/>
          <w:szCs w:val="16"/>
        </w:rPr>
        <w:softHyphen/>
        <w:t>торый сдвинули вперед и утопили глуб</w:t>
      </w:r>
      <w:r w:rsidRPr="008A2E5A">
        <w:rPr>
          <w:rFonts w:ascii="Times New Roman" w:hAnsi="Times New Roman"/>
          <w:color w:val="0070C0"/>
          <w:sz w:val="16"/>
          <w:szCs w:val="16"/>
        </w:rPr>
        <w:softHyphen/>
        <w:t>же в центроплан, благодаря чему ми</w:t>
      </w:r>
      <w:r w:rsidRPr="008A2E5A">
        <w:rPr>
          <w:rFonts w:ascii="Times New Roman" w:hAnsi="Times New Roman"/>
          <w:color w:val="0070C0"/>
          <w:sz w:val="16"/>
          <w:szCs w:val="16"/>
        </w:rPr>
        <w:softHyphen/>
        <w:t>дель и аэродинамическое сопротивление общего блока стало даже меньше, чем на МиГ-3. Носовая часть фюзеляжа стала идеально гладкой, к тому же доступ к мо</w:t>
      </w:r>
      <w:r w:rsidRPr="008A2E5A">
        <w:rPr>
          <w:rFonts w:ascii="Times New Roman" w:hAnsi="Times New Roman"/>
          <w:color w:val="0070C0"/>
          <w:sz w:val="16"/>
          <w:szCs w:val="16"/>
        </w:rPr>
        <w:softHyphen/>
        <w:t>тору улучшился.</w:t>
      </w:r>
    </w:p>
    <w:p w14:paraId="16DD0B40" w14:textId="77777777" w:rsidR="006F3649" w:rsidRPr="008A2E5A" w:rsidRDefault="006F3649" w:rsidP="006F36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Еще добавок почти в 5 км/ч скорости получили за счет замены старых длинных выхлопных патрубков (по одному на два цилиндра) отдельными «реактивными». Сечение их проточной части сначала су</w:t>
      </w:r>
      <w:r w:rsidRPr="008A2E5A">
        <w:rPr>
          <w:rFonts w:ascii="Times New Roman" w:hAnsi="Times New Roman"/>
          <w:color w:val="0070C0"/>
          <w:sz w:val="16"/>
          <w:szCs w:val="16"/>
        </w:rPr>
        <w:softHyphen/>
        <w:t>жалось, а затем расширялось к выходу, где скорость выбрасываемых газов росла и приобретаемая ими энергия превраща</w:t>
      </w:r>
      <w:r w:rsidRPr="008A2E5A">
        <w:rPr>
          <w:rFonts w:ascii="Times New Roman" w:hAnsi="Times New Roman"/>
          <w:color w:val="0070C0"/>
          <w:sz w:val="16"/>
          <w:szCs w:val="16"/>
        </w:rPr>
        <w:softHyphen/>
        <w:t>лась в силу тяги.</w:t>
      </w:r>
    </w:p>
    <w:p w14:paraId="39054322" w14:textId="77777777" w:rsidR="006F3649" w:rsidRPr="008A2E5A" w:rsidRDefault="006F3649" w:rsidP="006F36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некоторых источниках указано, что шифр самолета «Д» означал «дальность», однако вместо четырех металлических баков общей емкостью 643 л на И-230 установили один мягкий протектирован- ный на 440 л бензина с тем же, что и для обычного МиГ-3 октановым числом 95. Это дало существенный выигрыш в мас</w:t>
      </w:r>
      <w:r w:rsidRPr="008A2E5A">
        <w:rPr>
          <w:rFonts w:ascii="Times New Roman" w:hAnsi="Times New Roman"/>
          <w:color w:val="0070C0"/>
          <w:sz w:val="16"/>
          <w:szCs w:val="16"/>
        </w:rPr>
        <w:softHyphen/>
        <w:t>се, упростило конструкцию топливной си</w:t>
      </w:r>
      <w:r w:rsidRPr="008A2E5A">
        <w:rPr>
          <w:rFonts w:ascii="Times New Roman" w:hAnsi="Times New Roman"/>
          <w:color w:val="0070C0"/>
          <w:sz w:val="16"/>
          <w:szCs w:val="16"/>
        </w:rPr>
        <w:softHyphen/>
        <w:t>стемы и позволило сэкономить на алю</w:t>
      </w:r>
      <w:r w:rsidRPr="008A2E5A">
        <w:rPr>
          <w:rFonts w:ascii="Times New Roman" w:hAnsi="Times New Roman"/>
          <w:color w:val="0070C0"/>
          <w:sz w:val="16"/>
          <w:szCs w:val="16"/>
        </w:rPr>
        <w:softHyphen/>
        <w:t>миниевых, медных и резиновых трубках, ставших с началом войны дефицитом. Бак наддувался охлажденными выхлопными газами, создававшими над остатком то</w:t>
      </w:r>
      <w:r w:rsidRPr="008A2E5A">
        <w:rPr>
          <w:rFonts w:ascii="Times New Roman" w:hAnsi="Times New Roman"/>
          <w:color w:val="0070C0"/>
          <w:sz w:val="16"/>
          <w:szCs w:val="16"/>
        </w:rPr>
        <w:softHyphen/>
        <w:t>плива нейтральную среду, препятствую</w:t>
      </w:r>
      <w:r w:rsidRPr="008A2E5A">
        <w:rPr>
          <w:rFonts w:ascii="Times New Roman" w:hAnsi="Times New Roman"/>
          <w:color w:val="0070C0"/>
          <w:sz w:val="16"/>
          <w:szCs w:val="16"/>
        </w:rPr>
        <w:softHyphen/>
        <w:t>щую возгоранию и взрыву паров бензина при попадании пули. Такой системы, кста</w:t>
      </w:r>
      <w:r w:rsidRPr="008A2E5A">
        <w:rPr>
          <w:rFonts w:ascii="Times New Roman" w:hAnsi="Times New Roman"/>
          <w:color w:val="0070C0"/>
          <w:sz w:val="16"/>
          <w:szCs w:val="16"/>
        </w:rPr>
        <w:softHyphen/>
        <w:t>ти, и на новых «Мессершмиттах» все еще не было.</w:t>
      </w:r>
    </w:p>
    <w:p w14:paraId="19ED41A0" w14:textId="77777777" w:rsidR="006F3649" w:rsidRPr="008A2E5A" w:rsidRDefault="006F3649" w:rsidP="006F36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Микоян не имел первоочередно</w:t>
      </w:r>
      <w:r w:rsidRPr="008A2E5A">
        <w:rPr>
          <w:rFonts w:ascii="Times New Roman" w:hAnsi="Times New Roman"/>
          <w:color w:val="0070C0"/>
          <w:sz w:val="16"/>
          <w:szCs w:val="16"/>
        </w:rPr>
        <w:softHyphen/>
        <w:t>го доступа к аэродинамическим трубам и залу статических прочностных испытаний в Центральном аэрогидродинамическом институте - к тому же особо ценное обо</w:t>
      </w:r>
      <w:r w:rsidRPr="008A2E5A">
        <w:rPr>
          <w:rFonts w:ascii="Times New Roman" w:hAnsi="Times New Roman"/>
          <w:color w:val="0070C0"/>
          <w:sz w:val="16"/>
          <w:szCs w:val="16"/>
        </w:rPr>
        <w:softHyphen/>
        <w:t>рудование ЦАГИ было частично эвакуи</w:t>
      </w:r>
      <w:r w:rsidRPr="008A2E5A">
        <w:rPr>
          <w:rFonts w:ascii="Times New Roman" w:hAnsi="Times New Roman"/>
          <w:color w:val="0070C0"/>
          <w:sz w:val="16"/>
          <w:szCs w:val="16"/>
        </w:rPr>
        <w:softHyphen/>
        <w:t>ровано и все еще не работало в полном объеме. Внося изменения в базовую кон</w:t>
      </w:r>
      <w:r w:rsidRPr="008A2E5A">
        <w:rPr>
          <w:rFonts w:ascii="Times New Roman" w:hAnsi="Times New Roman"/>
          <w:color w:val="0070C0"/>
          <w:sz w:val="16"/>
          <w:szCs w:val="16"/>
        </w:rPr>
        <w:softHyphen/>
        <w:t>струкцию МиГ-3, он вынужден был учиты</w:t>
      </w:r>
      <w:r w:rsidRPr="008A2E5A">
        <w:rPr>
          <w:rFonts w:ascii="Times New Roman" w:hAnsi="Times New Roman"/>
          <w:color w:val="0070C0"/>
          <w:sz w:val="16"/>
          <w:szCs w:val="16"/>
        </w:rPr>
        <w:softHyphen/>
        <w:t>вать это обстоятельство, действуя по пра</w:t>
      </w:r>
      <w:r w:rsidRPr="008A2E5A">
        <w:rPr>
          <w:rFonts w:ascii="Times New Roman" w:hAnsi="Times New Roman"/>
          <w:color w:val="0070C0"/>
          <w:sz w:val="16"/>
          <w:szCs w:val="16"/>
        </w:rPr>
        <w:softHyphen/>
        <w:t>вилу «семь раз отмерь - один раз от</w:t>
      </w:r>
      <w:r w:rsidRPr="008A2E5A">
        <w:rPr>
          <w:rFonts w:ascii="Times New Roman" w:hAnsi="Times New Roman"/>
          <w:color w:val="0070C0"/>
          <w:sz w:val="16"/>
          <w:szCs w:val="16"/>
        </w:rPr>
        <w:softHyphen/>
        <w:t>режь». Где настоятельной необходимо</w:t>
      </w:r>
      <w:r w:rsidRPr="008A2E5A">
        <w:rPr>
          <w:rFonts w:ascii="Times New Roman" w:hAnsi="Times New Roman"/>
          <w:color w:val="0070C0"/>
          <w:sz w:val="16"/>
          <w:szCs w:val="16"/>
        </w:rPr>
        <w:softHyphen/>
        <w:t>сти в переделках не было, он стремился по возможности сохранить обводы и раз</w:t>
      </w:r>
      <w:r w:rsidRPr="008A2E5A">
        <w:rPr>
          <w:rFonts w:ascii="Times New Roman" w:hAnsi="Times New Roman"/>
          <w:color w:val="0070C0"/>
          <w:sz w:val="16"/>
          <w:szCs w:val="16"/>
        </w:rPr>
        <w:softHyphen/>
        <w:t>меры, вплоть до сечений основных сило</w:t>
      </w:r>
      <w:r w:rsidRPr="008A2E5A">
        <w:rPr>
          <w:rFonts w:ascii="Times New Roman" w:hAnsi="Times New Roman"/>
          <w:color w:val="0070C0"/>
          <w:sz w:val="16"/>
          <w:szCs w:val="16"/>
        </w:rPr>
        <w:softHyphen/>
        <w:t>вых элементов такими, как на проверен</w:t>
      </w:r>
      <w:r w:rsidRPr="008A2E5A">
        <w:rPr>
          <w:rFonts w:ascii="Times New Roman" w:hAnsi="Times New Roman"/>
          <w:color w:val="0070C0"/>
          <w:sz w:val="16"/>
          <w:szCs w:val="16"/>
        </w:rPr>
        <w:softHyphen/>
        <w:t>ном МиГ-3. Это позволило бы также ис</w:t>
      </w:r>
      <w:r w:rsidRPr="008A2E5A">
        <w:rPr>
          <w:rFonts w:ascii="Times New Roman" w:hAnsi="Times New Roman"/>
          <w:color w:val="0070C0"/>
          <w:sz w:val="16"/>
          <w:szCs w:val="16"/>
        </w:rPr>
        <w:softHyphen/>
        <w:t>пользовать ту производственную оснаст</w:t>
      </w:r>
      <w:r w:rsidRPr="008A2E5A">
        <w:rPr>
          <w:rFonts w:ascii="Times New Roman" w:hAnsi="Times New Roman"/>
          <w:color w:val="0070C0"/>
          <w:sz w:val="16"/>
          <w:szCs w:val="16"/>
        </w:rPr>
        <w:softHyphen/>
        <w:t>ку, которую удалось вернуть в Москву из Куйбышева. Тем не менее, для самоле</w:t>
      </w:r>
      <w:r w:rsidRPr="008A2E5A">
        <w:rPr>
          <w:rFonts w:ascii="Times New Roman" w:hAnsi="Times New Roman"/>
          <w:color w:val="0070C0"/>
          <w:sz w:val="16"/>
          <w:szCs w:val="16"/>
        </w:rPr>
        <w:softHyphen/>
        <w:t>та сделали полностью новый фюзеляж, за</w:t>
      </w:r>
      <w:r w:rsidRPr="008A2E5A">
        <w:rPr>
          <w:rFonts w:ascii="Times New Roman" w:hAnsi="Times New Roman"/>
          <w:color w:val="0070C0"/>
          <w:sz w:val="16"/>
          <w:szCs w:val="16"/>
        </w:rPr>
        <w:softHyphen/>
        <w:t>ставляющий усомниться в том, что МиГ-3У является модификацией серийного МиГ-3, а не новым типом.</w:t>
      </w:r>
    </w:p>
    <w:p w14:paraId="3DFB5B89" w14:textId="77777777" w:rsidR="006F3649" w:rsidRPr="008A2E5A" w:rsidRDefault="006F3649" w:rsidP="006F36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Изменение компоновки мотоотсека позволило уменьшить сечения фюзеля</w:t>
      </w:r>
      <w:r w:rsidRPr="008A2E5A">
        <w:rPr>
          <w:rFonts w:ascii="Times New Roman" w:hAnsi="Times New Roman"/>
          <w:color w:val="0070C0"/>
          <w:sz w:val="16"/>
          <w:szCs w:val="16"/>
        </w:rPr>
        <w:softHyphen/>
        <w:t>жа, что дало и дополнительное снижение сопротивления и улучшило обзор вперед и вниз, вызывавший нарекания летчиков. Соответственно стал уже и фонарь каби</w:t>
      </w:r>
      <w:r w:rsidRPr="008A2E5A">
        <w:rPr>
          <w:rFonts w:ascii="Times New Roman" w:hAnsi="Times New Roman"/>
          <w:color w:val="0070C0"/>
          <w:sz w:val="16"/>
          <w:szCs w:val="16"/>
        </w:rPr>
        <w:softHyphen/>
        <w:t>ны, его масса уменьшилась, сократился расход плексигласа, которого тоже посто</w:t>
      </w:r>
      <w:r w:rsidRPr="008A2E5A">
        <w:rPr>
          <w:rFonts w:ascii="Times New Roman" w:hAnsi="Times New Roman"/>
          <w:color w:val="0070C0"/>
          <w:sz w:val="16"/>
          <w:szCs w:val="16"/>
        </w:rPr>
        <w:softHyphen/>
        <w:t>янно не хватало. Сдвижная средняя и не</w:t>
      </w:r>
      <w:r w:rsidRPr="008A2E5A">
        <w:rPr>
          <w:rFonts w:ascii="Times New Roman" w:hAnsi="Times New Roman"/>
          <w:color w:val="0070C0"/>
          <w:sz w:val="16"/>
          <w:szCs w:val="16"/>
        </w:rPr>
        <w:softHyphen/>
        <w:t>подвижная задняя части фонаря кабины были полностью переделаны - отказались от двойной рамы в хвостовой секции и от выступающих листов «плекса», которые сглаживали переход к ней на сдвижной крышке. Сквозь эту зону летчик все рав</w:t>
      </w:r>
      <w:r w:rsidRPr="008A2E5A">
        <w:rPr>
          <w:rFonts w:ascii="Times New Roman" w:hAnsi="Times New Roman"/>
          <w:color w:val="0070C0"/>
          <w:sz w:val="16"/>
          <w:szCs w:val="16"/>
        </w:rPr>
        <w:softHyphen/>
        <w:t>но ничего не видел, а теперь обзор назад улучшился, открытие в полете стало лег</w:t>
      </w:r>
      <w:r w:rsidRPr="008A2E5A">
        <w:rPr>
          <w:rFonts w:ascii="Times New Roman" w:hAnsi="Times New Roman"/>
          <w:color w:val="0070C0"/>
          <w:sz w:val="16"/>
          <w:szCs w:val="16"/>
        </w:rPr>
        <w:softHyphen/>
        <w:t>че и надежнее.</w:t>
      </w:r>
    </w:p>
    <w:p w14:paraId="6EF36A63" w14:textId="77777777" w:rsidR="006F3649" w:rsidRPr="008A2E5A" w:rsidRDefault="006F3649" w:rsidP="006F36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Фюзеляж перед главным лонжероном центроплана удлинили всего на 20 мм, но за ним прибавка составила 350 мм. Это увеличило плечо и повысило эффек</w:t>
      </w:r>
      <w:r w:rsidRPr="008A2E5A">
        <w:rPr>
          <w:rFonts w:ascii="Times New Roman" w:hAnsi="Times New Roman"/>
          <w:color w:val="0070C0"/>
          <w:sz w:val="16"/>
          <w:szCs w:val="16"/>
        </w:rPr>
        <w:softHyphen/>
        <w:t>тивность вертикального оперения и од</w:t>
      </w:r>
      <w:r w:rsidRPr="008A2E5A">
        <w:rPr>
          <w:rFonts w:ascii="Times New Roman" w:hAnsi="Times New Roman"/>
          <w:color w:val="0070C0"/>
          <w:sz w:val="16"/>
          <w:szCs w:val="16"/>
        </w:rPr>
        <w:softHyphen/>
        <w:t>новременно снизило сопротивление фор</w:t>
      </w:r>
      <w:r w:rsidRPr="008A2E5A">
        <w:rPr>
          <w:rFonts w:ascii="Times New Roman" w:hAnsi="Times New Roman"/>
          <w:color w:val="0070C0"/>
          <w:sz w:val="16"/>
          <w:szCs w:val="16"/>
        </w:rPr>
        <w:softHyphen/>
        <w:t>мы на больших скоростях за счет осла</w:t>
      </w:r>
      <w:r w:rsidRPr="008A2E5A">
        <w:rPr>
          <w:rFonts w:ascii="Times New Roman" w:hAnsi="Times New Roman"/>
          <w:color w:val="0070C0"/>
          <w:sz w:val="16"/>
          <w:szCs w:val="16"/>
        </w:rPr>
        <w:softHyphen/>
        <w:t>бления вихревых потоков за миделевым сечением. Поскольку радиатор «поехал» вперед, центровка машины с удлинением хвостовой балки не нарушилась.</w:t>
      </w:r>
    </w:p>
    <w:p w14:paraId="0B454D15" w14:textId="77777777" w:rsidR="006F3649" w:rsidRPr="008A2E5A" w:rsidRDefault="006F3649" w:rsidP="006F36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Переделали и мотораму, но матери</w:t>
      </w:r>
      <w:r w:rsidRPr="008A2E5A">
        <w:rPr>
          <w:rFonts w:ascii="Times New Roman" w:hAnsi="Times New Roman"/>
          <w:color w:val="0070C0"/>
          <w:sz w:val="16"/>
          <w:szCs w:val="16"/>
        </w:rPr>
        <w:softHyphen/>
        <w:t>ал и способ сборки остались прежними - хромансилевые трубы на сварке (это ка</w:t>
      </w:r>
      <w:r w:rsidRPr="008A2E5A">
        <w:rPr>
          <w:rFonts w:ascii="Times New Roman" w:hAnsi="Times New Roman"/>
          <w:color w:val="0070C0"/>
          <w:sz w:val="16"/>
          <w:szCs w:val="16"/>
        </w:rPr>
        <w:softHyphen/>
        <w:t>чественная сталь марки 30ХГСА со стро</w:t>
      </w:r>
      <w:r w:rsidRPr="008A2E5A">
        <w:rPr>
          <w:rFonts w:ascii="Times New Roman" w:hAnsi="Times New Roman"/>
          <w:color w:val="0070C0"/>
          <w:sz w:val="16"/>
          <w:szCs w:val="16"/>
        </w:rPr>
        <w:softHyphen/>
        <w:t>го ограниченным содержанием вредных примесей серы и фосфора, легированная хромом, марганцем и кремнием). А вот от перехода ее в такую же силовую фер</w:t>
      </w:r>
      <w:r w:rsidRPr="008A2E5A">
        <w:rPr>
          <w:rFonts w:ascii="Times New Roman" w:hAnsi="Times New Roman"/>
          <w:color w:val="0070C0"/>
          <w:sz w:val="16"/>
          <w:szCs w:val="16"/>
        </w:rPr>
        <w:softHyphen/>
        <w:t>му в зоне от мотора до кабины отказа</w:t>
      </w:r>
      <w:r w:rsidRPr="008A2E5A">
        <w:rPr>
          <w:rFonts w:ascii="Times New Roman" w:hAnsi="Times New Roman"/>
          <w:color w:val="0070C0"/>
          <w:sz w:val="16"/>
          <w:szCs w:val="16"/>
        </w:rPr>
        <w:softHyphen/>
        <w:t>лись - там фюзеляж приобрел вид полно</w:t>
      </w:r>
      <w:r w:rsidRPr="008A2E5A">
        <w:rPr>
          <w:rFonts w:ascii="Times New Roman" w:hAnsi="Times New Roman"/>
          <w:color w:val="0070C0"/>
          <w:sz w:val="16"/>
          <w:szCs w:val="16"/>
        </w:rPr>
        <w:softHyphen/>
        <w:t>стью деревянного монокока, как и даль</w:t>
      </w:r>
      <w:r w:rsidRPr="008A2E5A">
        <w:rPr>
          <w:rFonts w:ascii="Times New Roman" w:hAnsi="Times New Roman"/>
          <w:color w:val="0070C0"/>
          <w:sz w:val="16"/>
          <w:szCs w:val="16"/>
        </w:rPr>
        <w:softHyphen/>
        <w:t>ше, в хвостовой части. Новая конструк</w:t>
      </w:r>
      <w:r w:rsidRPr="008A2E5A">
        <w:rPr>
          <w:rFonts w:ascii="Times New Roman" w:hAnsi="Times New Roman"/>
          <w:color w:val="0070C0"/>
          <w:sz w:val="16"/>
          <w:szCs w:val="16"/>
        </w:rPr>
        <w:softHyphen/>
        <w:t>ция получилась легче, при этом оставляла хороший запас прочности, позволив</w:t>
      </w:r>
      <w:r w:rsidRPr="008A2E5A">
        <w:rPr>
          <w:rFonts w:ascii="Times New Roman" w:hAnsi="Times New Roman"/>
          <w:color w:val="0070C0"/>
          <w:sz w:val="16"/>
          <w:szCs w:val="16"/>
        </w:rPr>
        <w:softHyphen/>
        <w:t>ший прорезать в левом борту большой люк для доступа к системам. Его подни</w:t>
      </w:r>
      <w:r w:rsidRPr="008A2E5A">
        <w:rPr>
          <w:rFonts w:ascii="Times New Roman" w:hAnsi="Times New Roman"/>
          <w:color w:val="0070C0"/>
          <w:sz w:val="16"/>
          <w:szCs w:val="16"/>
        </w:rPr>
        <w:softHyphen/>
        <w:t>мающуюся вверх крышку так тщательно пригнали к проему, что щель была почти не заметна.</w:t>
      </w:r>
    </w:p>
    <w:p w14:paraId="7CAACE81" w14:textId="77777777" w:rsidR="006F3649" w:rsidRPr="008A2E5A" w:rsidRDefault="006F3649" w:rsidP="006F36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не все было поставлено на эко</w:t>
      </w:r>
      <w:r w:rsidRPr="008A2E5A">
        <w:rPr>
          <w:rFonts w:ascii="Times New Roman" w:hAnsi="Times New Roman"/>
          <w:color w:val="0070C0"/>
          <w:sz w:val="16"/>
          <w:szCs w:val="16"/>
        </w:rPr>
        <w:softHyphen/>
        <w:t>номию дефицитного дюраля - в важней</w:t>
      </w:r>
      <w:r w:rsidRPr="008A2E5A">
        <w:rPr>
          <w:rFonts w:ascii="Times New Roman" w:hAnsi="Times New Roman"/>
          <w:color w:val="0070C0"/>
          <w:sz w:val="16"/>
          <w:szCs w:val="16"/>
        </w:rPr>
        <w:softHyphen/>
        <w:t>ших местах, там, где это могло дать цен</w:t>
      </w:r>
      <w:r w:rsidRPr="008A2E5A">
        <w:rPr>
          <w:rFonts w:ascii="Times New Roman" w:hAnsi="Times New Roman"/>
          <w:color w:val="0070C0"/>
          <w:sz w:val="16"/>
          <w:szCs w:val="16"/>
        </w:rPr>
        <w:softHyphen/>
        <w:t>ный эффект, пошли даже на расшире</w:t>
      </w:r>
      <w:r w:rsidRPr="008A2E5A">
        <w:rPr>
          <w:rFonts w:ascii="Times New Roman" w:hAnsi="Times New Roman"/>
          <w:color w:val="0070C0"/>
          <w:sz w:val="16"/>
          <w:szCs w:val="16"/>
        </w:rPr>
        <w:softHyphen/>
        <w:t>ние его применения. Тяжелые деревянные главные лонжероны консолей крыла были заменены металлическими, роль стенки в которых выполняли клепанные фермы из дюралевых труб, а изгиб крыла вос</w:t>
      </w:r>
      <w:r w:rsidRPr="008A2E5A">
        <w:rPr>
          <w:rFonts w:ascii="Times New Roman" w:hAnsi="Times New Roman"/>
          <w:color w:val="0070C0"/>
          <w:sz w:val="16"/>
          <w:szCs w:val="16"/>
        </w:rPr>
        <w:softHyphen/>
        <w:t>принимали стальные пояса, как это было в центроплане. Это снизило не только вес машины, но и ее инертность по крену, от которой зависела и горизонтальная ма</w:t>
      </w:r>
      <w:r w:rsidRPr="008A2E5A">
        <w:rPr>
          <w:rFonts w:ascii="Times New Roman" w:hAnsi="Times New Roman"/>
          <w:color w:val="0070C0"/>
          <w:sz w:val="16"/>
          <w:szCs w:val="16"/>
        </w:rPr>
        <w:softHyphen/>
        <w:t>невренность, ведь самолет начинает вход в вираж именно с крена.</w:t>
      </w:r>
    </w:p>
    <w:p w14:paraId="3FC12DB0" w14:textId="77777777" w:rsidR="006F3649" w:rsidRPr="008A2E5A" w:rsidRDefault="006F3649" w:rsidP="006F36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Чтобы управление по крену стало лег</w:t>
      </w:r>
      <w:r w:rsidRPr="008A2E5A">
        <w:rPr>
          <w:rFonts w:ascii="Times New Roman" w:hAnsi="Times New Roman"/>
          <w:color w:val="0070C0"/>
          <w:sz w:val="16"/>
          <w:szCs w:val="16"/>
        </w:rPr>
        <w:softHyphen/>
        <w:t>че, изменили балансировку элеронов. На МиГ-3 для компенсации неизбежно возникающей в производстве небольшой асимметрии правой и левой консолей крыла, которая вызывает непроизвольный крен, к внутренней секции левого элеро</w:t>
      </w:r>
      <w:r w:rsidRPr="008A2E5A">
        <w:rPr>
          <w:rFonts w:ascii="Times New Roman" w:hAnsi="Times New Roman"/>
          <w:color w:val="0070C0"/>
          <w:sz w:val="16"/>
          <w:szCs w:val="16"/>
        </w:rPr>
        <w:softHyphen/>
        <w:t>на была приклепана дюралевая пластина. В приемо-сдаточных полетах заводской испытатель оценивал поведение каждо</w:t>
      </w:r>
      <w:r w:rsidRPr="008A2E5A">
        <w:rPr>
          <w:rFonts w:ascii="Times New Roman" w:hAnsi="Times New Roman"/>
          <w:color w:val="0070C0"/>
          <w:sz w:val="16"/>
          <w:szCs w:val="16"/>
        </w:rPr>
        <w:softHyphen/>
        <w:t>го конкретного экземпляра в воздухе и давал команду отогнуть ее в нужную сто</w:t>
      </w:r>
      <w:r w:rsidRPr="008A2E5A">
        <w:rPr>
          <w:rFonts w:ascii="Times New Roman" w:hAnsi="Times New Roman"/>
          <w:color w:val="0070C0"/>
          <w:sz w:val="16"/>
          <w:szCs w:val="16"/>
        </w:rPr>
        <w:softHyphen/>
        <w:t>рону. Теперь ее сняли, заменив управляе</w:t>
      </w:r>
      <w:r w:rsidRPr="008A2E5A">
        <w:rPr>
          <w:rFonts w:ascii="Times New Roman" w:hAnsi="Times New Roman"/>
          <w:color w:val="0070C0"/>
          <w:sz w:val="16"/>
          <w:szCs w:val="16"/>
        </w:rPr>
        <w:softHyphen/>
        <w:t>мым в полете триммером на противопо</w:t>
      </w:r>
      <w:r w:rsidRPr="008A2E5A">
        <w:rPr>
          <w:rFonts w:ascii="Times New Roman" w:hAnsi="Times New Roman"/>
          <w:color w:val="0070C0"/>
          <w:sz w:val="16"/>
          <w:szCs w:val="16"/>
        </w:rPr>
        <w:softHyphen/>
        <w:t>ложном месте.</w:t>
      </w:r>
    </w:p>
    <w:p w14:paraId="71029878" w14:textId="77777777" w:rsidR="006F3649" w:rsidRPr="008A2E5A" w:rsidRDefault="006F3649" w:rsidP="006F36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Стремясь улучшить условия рабо</w:t>
      </w:r>
      <w:r w:rsidRPr="008A2E5A">
        <w:rPr>
          <w:rFonts w:ascii="Times New Roman" w:hAnsi="Times New Roman"/>
          <w:color w:val="0070C0"/>
          <w:sz w:val="16"/>
          <w:szCs w:val="16"/>
        </w:rPr>
        <w:softHyphen/>
        <w:t>ты стабилизатора, горизонтальное опере</w:t>
      </w:r>
      <w:r w:rsidRPr="008A2E5A">
        <w:rPr>
          <w:rFonts w:ascii="Times New Roman" w:hAnsi="Times New Roman"/>
          <w:color w:val="0070C0"/>
          <w:sz w:val="16"/>
          <w:szCs w:val="16"/>
        </w:rPr>
        <w:softHyphen/>
        <w:t>ние установили выше прежнего положе</w:t>
      </w:r>
      <w:r w:rsidRPr="008A2E5A">
        <w:rPr>
          <w:rFonts w:ascii="Times New Roman" w:hAnsi="Times New Roman"/>
          <w:color w:val="0070C0"/>
          <w:sz w:val="16"/>
          <w:szCs w:val="16"/>
        </w:rPr>
        <w:softHyphen/>
        <w:t>ния на 200 мм, чтобы вывести его из зоны воздействия потока, возмущенного вихря</w:t>
      </w:r>
      <w:r w:rsidRPr="008A2E5A">
        <w:rPr>
          <w:rFonts w:ascii="Times New Roman" w:hAnsi="Times New Roman"/>
          <w:color w:val="0070C0"/>
          <w:sz w:val="16"/>
          <w:szCs w:val="16"/>
        </w:rPr>
        <w:softHyphen/>
        <w:t>ми, стекающими с крыла. В ряде источни</w:t>
      </w:r>
      <w:r w:rsidRPr="008A2E5A">
        <w:rPr>
          <w:rFonts w:ascii="Times New Roman" w:hAnsi="Times New Roman"/>
          <w:color w:val="0070C0"/>
          <w:sz w:val="16"/>
          <w:szCs w:val="16"/>
        </w:rPr>
        <w:softHyphen/>
        <w:t>ков указано, что оно было еще и сдвину</w:t>
      </w:r>
      <w:r w:rsidRPr="008A2E5A">
        <w:rPr>
          <w:rFonts w:ascii="Times New Roman" w:hAnsi="Times New Roman"/>
          <w:color w:val="0070C0"/>
          <w:sz w:val="16"/>
          <w:szCs w:val="16"/>
        </w:rPr>
        <w:softHyphen/>
        <w:t xml:space="preserve">то вперед для сохранения моментных </w:t>
      </w:r>
      <w:r w:rsidRPr="008A2E5A">
        <w:rPr>
          <w:rFonts w:ascii="Times New Roman" w:hAnsi="Times New Roman"/>
          <w:color w:val="0070C0"/>
          <w:sz w:val="16"/>
          <w:szCs w:val="16"/>
        </w:rPr>
        <w:lastRenderedPageBreak/>
        <w:t>ха</w:t>
      </w:r>
      <w:r w:rsidRPr="008A2E5A">
        <w:rPr>
          <w:rFonts w:ascii="Times New Roman" w:hAnsi="Times New Roman"/>
          <w:color w:val="0070C0"/>
          <w:sz w:val="16"/>
          <w:szCs w:val="16"/>
        </w:rPr>
        <w:softHyphen/>
        <w:t>рактеристик самолета по тангажу на те же 350 мм, на которые удлинили «хвост» фюзеляжа. Но снимки машины этого не подтверждают, да и сами эти характе</w:t>
      </w:r>
      <w:r w:rsidRPr="008A2E5A">
        <w:rPr>
          <w:rFonts w:ascii="Times New Roman" w:hAnsi="Times New Roman"/>
          <w:color w:val="0070C0"/>
          <w:sz w:val="16"/>
          <w:szCs w:val="16"/>
        </w:rPr>
        <w:softHyphen/>
        <w:t>ристики, как мы говорили ранее, нужда</w:t>
      </w:r>
      <w:r w:rsidRPr="008A2E5A">
        <w:rPr>
          <w:rFonts w:ascii="Times New Roman" w:hAnsi="Times New Roman"/>
          <w:color w:val="0070C0"/>
          <w:sz w:val="16"/>
          <w:szCs w:val="16"/>
        </w:rPr>
        <w:softHyphen/>
        <w:t>лись не в сохранении, а в улучшении.</w:t>
      </w:r>
    </w:p>
    <w:p w14:paraId="0BA02424" w14:textId="77777777" w:rsidR="006F3649" w:rsidRPr="008A2E5A" w:rsidRDefault="006F3649" w:rsidP="006F36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получил полностью новое вертикальное оперение, более широ</w:t>
      </w:r>
      <w:r w:rsidRPr="008A2E5A">
        <w:rPr>
          <w:rFonts w:ascii="Times New Roman" w:hAnsi="Times New Roman"/>
          <w:color w:val="0070C0"/>
          <w:sz w:val="16"/>
          <w:szCs w:val="16"/>
        </w:rPr>
        <w:softHyphen/>
        <w:t>кий киль которого изготавливался отдель</w:t>
      </w:r>
      <w:r w:rsidRPr="008A2E5A">
        <w:rPr>
          <w:rFonts w:ascii="Times New Roman" w:hAnsi="Times New Roman"/>
          <w:color w:val="0070C0"/>
          <w:sz w:val="16"/>
          <w:szCs w:val="16"/>
        </w:rPr>
        <w:softHyphen/>
        <w:t>но и крепился к фюзеляжу ухо-вильчаты</w:t>
      </w:r>
      <w:r w:rsidRPr="008A2E5A">
        <w:rPr>
          <w:rFonts w:ascii="Times New Roman" w:hAnsi="Times New Roman"/>
          <w:color w:val="0070C0"/>
          <w:sz w:val="16"/>
          <w:szCs w:val="16"/>
        </w:rPr>
        <w:softHyphen/>
        <w:t>ми узлами, после чего проем закрывал</w:t>
      </w:r>
      <w:r w:rsidRPr="008A2E5A">
        <w:rPr>
          <w:rFonts w:ascii="Times New Roman" w:hAnsi="Times New Roman"/>
          <w:color w:val="0070C0"/>
          <w:sz w:val="16"/>
          <w:szCs w:val="16"/>
        </w:rPr>
        <w:softHyphen/>
        <w:t>ся дюралевым зализом на винтах. Руль направления также спроектировали за</w:t>
      </w:r>
      <w:r w:rsidRPr="008A2E5A">
        <w:rPr>
          <w:rFonts w:ascii="Times New Roman" w:hAnsi="Times New Roman"/>
          <w:color w:val="0070C0"/>
          <w:sz w:val="16"/>
          <w:szCs w:val="16"/>
        </w:rPr>
        <w:softHyphen/>
        <w:t>ново, сделав в средней части его перед</w:t>
      </w:r>
      <w:r w:rsidRPr="008A2E5A">
        <w:rPr>
          <w:rFonts w:ascii="Times New Roman" w:hAnsi="Times New Roman"/>
          <w:color w:val="0070C0"/>
          <w:sz w:val="16"/>
          <w:szCs w:val="16"/>
        </w:rPr>
        <w:softHyphen/>
        <w:t>ней кромки большой выступающий впе</w:t>
      </w:r>
      <w:r w:rsidRPr="008A2E5A">
        <w:rPr>
          <w:rFonts w:ascii="Times New Roman" w:hAnsi="Times New Roman"/>
          <w:color w:val="0070C0"/>
          <w:sz w:val="16"/>
          <w:szCs w:val="16"/>
        </w:rPr>
        <w:softHyphen/>
        <w:t>ред роговой компенсатор, снизивший уси</w:t>
      </w:r>
      <w:r w:rsidRPr="008A2E5A">
        <w:rPr>
          <w:rFonts w:ascii="Times New Roman" w:hAnsi="Times New Roman"/>
          <w:color w:val="0070C0"/>
          <w:sz w:val="16"/>
          <w:szCs w:val="16"/>
        </w:rPr>
        <w:softHyphen/>
        <w:t>лия на педалях.</w:t>
      </w:r>
    </w:p>
    <w:p w14:paraId="199725F6" w14:textId="77777777" w:rsidR="006F3649" w:rsidRPr="008A2E5A" w:rsidRDefault="006F3649" w:rsidP="006F36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Основные стойки шасси также были полностью новые с более эффектив</w:t>
      </w:r>
      <w:r w:rsidRPr="008A2E5A">
        <w:rPr>
          <w:rFonts w:ascii="Times New Roman" w:hAnsi="Times New Roman"/>
          <w:color w:val="0070C0"/>
          <w:sz w:val="16"/>
          <w:szCs w:val="16"/>
        </w:rPr>
        <w:softHyphen/>
        <w:t>ными и надежными жидкостно-газо</w:t>
      </w:r>
      <w:r w:rsidRPr="008A2E5A">
        <w:rPr>
          <w:rFonts w:ascii="Times New Roman" w:hAnsi="Times New Roman"/>
          <w:color w:val="0070C0"/>
          <w:sz w:val="16"/>
          <w:szCs w:val="16"/>
        </w:rPr>
        <w:softHyphen/>
        <w:t>выми амортизаторами. Заодно пере</w:t>
      </w:r>
      <w:r w:rsidRPr="008A2E5A">
        <w:rPr>
          <w:rFonts w:ascii="Times New Roman" w:hAnsi="Times New Roman"/>
          <w:color w:val="0070C0"/>
          <w:sz w:val="16"/>
          <w:szCs w:val="16"/>
        </w:rPr>
        <w:softHyphen/>
        <w:t>делали и створки их ниш, вернувшись к конструкции, сделанной на опыт</w:t>
      </w:r>
      <w:r w:rsidRPr="008A2E5A">
        <w:rPr>
          <w:rFonts w:ascii="Times New Roman" w:hAnsi="Times New Roman"/>
          <w:color w:val="0070C0"/>
          <w:sz w:val="16"/>
          <w:szCs w:val="16"/>
        </w:rPr>
        <w:softHyphen/>
        <w:t>ном И-200, но с учетом выявленных испытаниями недостатков.</w:t>
      </w:r>
    </w:p>
    <w:p w14:paraId="569820A3" w14:textId="77777777" w:rsidR="006F3649" w:rsidRPr="008A2E5A" w:rsidRDefault="006F3649" w:rsidP="006F36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Наконец, в носовой части постави</w:t>
      </w:r>
      <w:r w:rsidRPr="008A2E5A">
        <w:rPr>
          <w:rFonts w:ascii="Times New Roman" w:hAnsi="Times New Roman"/>
          <w:color w:val="0070C0"/>
          <w:sz w:val="16"/>
          <w:szCs w:val="16"/>
        </w:rPr>
        <w:softHyphen/>
        <w:t>ли две синхронных пушки ШВАК кали</w:t>
      </w:r>
      <w:r w:rsidRPr="008A2E5A">
        <w:rPr>
          <w:rFonts w:ascii="Times New Roman" w:hAnsi="Times New Roman"/>
          <w:color w:val="0070C0"/>
          <w:sz w:val="16"/>
          <w:szCs w:val="16"/>
        </w:rPr>
        <w:softHyphen/>
        <w:t>бра 20 мм - в этом исполнении они обо</w:t>
      </w:r>
      <w:r w:rsidRPr="008A2E5A">
        <w:rPr>
          <w:rFonts w:ascii="Times New Roman" w:hAnsi="Times New Roman"/>
          <w:color w:val="0070C0"/>
          <w:sz w:val="16"/>
          <w:szCs w:val="16"/>
        </w:rPr>
        <w:softHyphen/>
        <w:t>значались СП-20. Как мы уже говорили, такое вооружение уже было опробовано на некоторых МиГ-3, но компоновку «артбатареи» поменяли, а боекомплект ре</w:t>
      </w:r>
      <w:r w:rsidRPr="008A2E5A">
        <w:rPr>
          <w:rFonts w:ascii="Times New Roman" w:hAnsi="Times New Roman"/>
          <w:color w:val="0070C0"/>
          <w:sz w:val="16"/>
          <w:szCs w:val="16"/>
        </w:rPr>
        <w:softHyphen/>
        <w:t>шили увеличить вдвое - по 200 снарядов на ствол. Благодаря общему изменению капота их установку опустили чуть ниже так, что она почти не выступала за теоре</w:t>
      </w:r>
      <w:r w:rsidRPr="008A2E5A">
        <w:rPr>
          <w:rFonts w:ascii="Times New Roman" w:hAnsi="Times New Roman"/>
          <w:color w:val="0070C0"/>
          <w:sz w:val="16"/>
          <w:szCs w:val="16"/>
        </w:rPr>
        <w:softHyphen/>
        <w:t>тический обвод носовой части и вместо длинных выштамовок получились лишь две короткие каплевидные.</w:t>
      </w:r>
    </w:p>
    <w:p w14:paraId="2528F7FD" w14:textId="77777777" w:rsidR="006F3649" w:rsidRPr="008A2E5A" w:rsidRDefault="006F3649" w:rsidP="006F36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Бомбовое и ракетное вооружение должно было быть таким же, как и на се</w:t>
      </w:r>
      <w:r w:rsidRPr="008A2E5A">
        <w:rPr>
          <w:rFonts w:ascii="Times New Roman" w:hAnsi="Times New Roman"/>
          <w:color w:val="0070C0"/>
          <w:sz w:val="16"/>
          <w:szCs w:val="16"/>
        </w:rPr>
        <w:softHyphen/>
        <w:t>рийном МиГ-3. По вооружению химиче</w:t>
      </w:r>
      <w:r w:rsidRPr="008A2E5A">
        <w:rPr>
          <w:rFonts w:ascii="Times New Roman" w:hAnsi="Times New Roman"/>
          <w:color w:val="0070C0"/>
          <w:sz w:val="16"/>
          <w:szCs w:val="16"/>
        </w:rPr>
        <w:softHyphen/>
        <w:t>скому полной ясности нет - в начавшей</w:t>
      </w:r>
      <w:r w:rsidRPr="008A2E5A">
        <w:rPr>
          <w:rFonts w:ascii="Times New Roman" w:hAnsi="Times New Roman"/>
          <w:color w:val="0070C0"/>
          <w:sz w:val="16"/>
          <w:szCs w:val="16"/>
        </w:rPr>
        <w:softHyphen/>
        <w:t>ся войне на строевых истребителях оно не применялось и военные им соответ</w:t>
      </w:r>
      <w:r w:rsidRPr="008A2E5A">
        <w:rPr>
          <w:rFonts w:ascii="Times New Roman" w:hAnsi="Times New Roman"/>
          <w:color w:val="0070C0"/>
          <w:sz w:val="16"/>
          <w:szCs w:val="16"/>
        </w:rPr>
        <w:softHyphen/>
        <w:t>ственно не интересовались, но в требо</w:t>
      </w:r>
      <w:r w:rsidRPr="008A2E5A">
        <w:rPr>
          <w:rFonts w:ascii="Times New Roman" w:hAnsi="Times New Roman"/>
          <w:color w:val="0070C0"/>
          <w:sz w:val="16"/>
          <w:szCs w:val="16"/>
        </w:rPr>
        <w:softHyphen/>
        <w:t>ваниях к машине «химия» фигурировала. Очевидно, боевые отравляющие вещест</w:t>
      </w:r>
      <w:r w:rsidRPr="008A2E5A">
        <w:rPr>
          <w:rFonts w:ascii="Times New Roman" w:hAnsi="Times New Roman"/>
          <w:color w:val="0070C0"/>
          <w:sz w:val="16"/>
          <w:szCs w:val="16"/>
        </w:rPr>
        <w:softHyphen/>
        <w:t>ва не рассматривались, но Микоян плани</w:t>
      </w:r>
      <w:r w:rsidRPr="008A2E5A">
        <w:rPr>
          <w:rFonts w:ascii="Times New Roman" w:hAnsi="Times New Roman"/>
          <w:color w:val="0070C0"/>
          <w:sz w:val="16"/>
          <w:szCs w:val="16"/>
        </w:rPr>
        <w:softHyphen/>
        <w:t>ровал ставить кассеты с зажигательны</w:t>
      </w:r>
      <w:r w:rsidRPr="008A2E5A">
        <w:rPr>
          <w:rFonts w:ascii="Times New Roman" w:hAnsi="Times New Roman"/>
          <w:color w:val="0070C0"/>
          <w:sz w:val="16"/>
          <w:szCs w:val="16"/>
        </w:rPr>
        <w:softHyphen/>
        <w:t>ми ампулами и аппаратуру для постанов</w:t>
      </w:r>
      <w:r w:rsidRPr="008A2E5A">
        <w:rPr>
          <w:rFonts w:ascii="Times New Roman" w:hAnsi="Times New Roman"/>
          <w:color w:val="0070C0"/>
          <w:sz w:val="16"/>
          <w:szCs w:val="16"/>
        </w:rPr>
        <w:softHyphen/>
        <w:t>ки дымовых завес, а все это относилось к химвооружению (23396).</w:t>
      </w:r>
    </w:p>
    <w:p w14:paraId="2FBE7888" w14:textId="77777777" w:rsidR="006F3649" w:rsidRPr="008A2E5A" w:rsidRDefault="006F3649" w:rsidP="006F3649">
      <w:pPr>
        <w:spacing w:after="0" w:line="240" w:lineRule="auto"/>
        <w:jc w:val="both"/>
        <w:rPr>
          <w:rFonts w:ascii="Times New Roman" w:hAnsi="Times New Roman"/>
          <w:color w:val="0070C0"/>
          <w:sz w:val="16"/>
          <w:szCs w:val="16"/>
        </w:rPr>
      </w:pPr>
    </w:p>
    <w:p w14:paraId="0E8970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контрольные испытания, проведенные в НИИ ВВС, показали, что хотя полетный вес машины ЛаГГ-3 № 3121232, укомплектованной только пушкой ШВАК и пулеметом БС, уменьшился на 230 кг, максимальная скорость снизилась до 539 км/ч.</w:t>
      </w:r>
    </w:p>
    <w:p w14:paraId="49A175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Планер ЛаГГ-3, проектировавшийся в расчете на мощный мотор М-106, был слишком тяжел для М-105П. Самолету явно не хватало тяговооруженности. Несоответствие взлетного веса самолета мощности двигателя М-105 проявилось уже в первых полетах, и коллектив конструкторского бюро делал все возможное, чтобы привести в соответствие машину и ее мотоустановку. С одной стороны, искали пути облегчения планера, с другой - изучали возможности монтажа альтернативных двигателей. В плане опытных работ завода № 21 на 4-й квартал 1941 г. значились два истребителя с моторами М-107П, самолеты с нагнетателем Трескина и высотной кабиной, а также вариант ЛаГГ-3 со звездообразным мотором воздушного охлаждения М-82, разработанный под руководством М.И. Гудкова.</w:t>
      </w:r>
    </w:p>
    <w:p w14:paraId="52207D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Машина с двигателем М-107П должна была иметь посадочную скорость 140 км/ч, максимальную - не ниже 660 км/ч на высоте 6000 м; время набора высоты 5000 м - 5,5 мин, практический потолок - 11 000 м и дальность - 1000 км. Кроме пушки калибра 23 мм, в состав вооружения планировалось включить по паре пулеметов БС и ШКАС.</w:t>
      </w:r>
    </w:p>
    <w:p w14:paraId="436D16A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Первый опытный образец самолета с двигателем М-107П построили еще во 2-м квартале 1941 г., но лишь 8 августа приказом НКАП летчиком-испытателем этой машины назначили Г.А. Мищенко. До конца года успели определить летные характеристики до высоты 4500 м. С оснащением ЛаГГ-3 мотором М-107 явно поторопились, поскольку двигатель работал в очень напряженном тепловом режиме, а для его охлаждения не хватало площади ни водяных, ни масляных радиаторов. Более того, обнаружился задир поршней и ряд других дефектов самого мотора. К лету 1942 г. стало ясно, что двигатель еще нужно доводить, и все работы по установке М-107 на самолеты отложили до лучших времен.</w:t>
      </w:r>
    </w:p>
    <w:p w14:paraId="4B0A0E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Постройку ЛаГГ-3 с высотной кабиной прекратили в связи с эвакуацией завода № 482, который должен был ее изготовить, а вот двухскоростной нагнетатель Трескина действительно установили на самолет и облетали в 1-м квартале 1942 г. В ходе заводских испытаний нагнетатель заменили на трехскоростной типа Э-42А, успев снять летные характеристики лишь на двух его скоростях (11983).</w:t>
      </w:r>
    </w:p>
    <w:p w14:paraId="5BE6D9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2EA2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на заводе № 21 вместо ЛаГГ-3 начали внедрять истреби</w:t>
      </w:r>
      <w:r w:rsidRPr="008127F8">
        <w:rPr>
          <w:rFonts w:ascii="Times New Roman" w:hAnsi="Times New Roman"/>
          <w:color w:val="000000" w:themeColor="text1"/>
          <w:sz w:val="16"/>
          <w:szCs w:val="16"/>
        </w:rPr>
        <w:softHyphen/>
        <w:t>тель Як-7. Лавочкин, фактически «сидя на чемоданах», лихорадочно отрабатывал установку на «ЛаГГе» мотора М-82 вместо М-105. Новый двигатель улучшил характе</w:t>
      </w:r>
      <w:r w:rsidRPr="008127F8">
        <w:rPr>
          <w:rFonts w:ascii="Times New Roman" w:hAnsi="Times New Roman"/>
          <w:color w:val="000000" w:themeColor="text1"/>
          <w:sz w:val="16"/>
          <w:szCs w:val="16"/>
        </w:rPr>
        <w:softHyphen/>
        <w:t>ристики машины. Первый секретарь Горьковского об</w:t>
      </w:r>
      <w:r w:rsidRPr="008127F8">
        <w:rPr>
          <w:rFonts w:ascii="Times New Roman" w:hAnsi="Times New Roman"/>
          <w:color w:val="000000" w:themeColor="text1"/>
          <w:sz w:val="16"/>
          <w:szCs w:val="16"/>
        </w:rPr>
        <w:softHyphen/>
        <w:t>кома оперативно доложил в наркомат и Сталину о ЛаГГ-3 с М-82. Совместные испытания завершились к 5 мая 1942 г. Государственный Комитет Обороны при</w:t>
      </w:r>
      <w:r w:rsidRPr="008127F8">
        <w:rPr>
          <w:rFonts w:ascii="Times New Roman" w:hAnsi="Times New Roman"/>
          <w:color w:val="000000" w:themeColor="text1"/>
          <w:sz w:val="16"/>
          <w:szCs w:val="16"/>
        </w:rPr>
        <w:softHyphen/>
        <w:t>нял решение о запуске ЛаГ-5 (потом обозначение изменили на Ла-5) в производство на заводе №21, несмотря на более низкие летные характеристики машины по сравнению с И-185 (с М-82) и более слабое вооружение. Немалую роль в этом играли радужные перспективы развития самолета, обрисованные С.А.Лавочкиным под воздействием эйфории от столь удачного завершения, казалось, безнадежного дела (10667).</w:t>
      </w:r>
    </w:p>
    <w:p w14:paraId="120AB21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5E39F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один истребитель угнали из Забайкалья в контролировавшуюся тогда японцами Маньчжурию. Самолет совершил вынужденную посадку на поле с убранным шасси. После ремонта японцы решили испытать ЛаГГ-3. Полеты начались с 29 сентября. Проводилось определение основных характеристик машины и велись учебные бои с японскими истребителями. Дальнейшая судьба этого самолета неизвестна (11983).</w:t>
      </w:r>
    </w:p>
    <w:p w14:paraId="1CE2F2B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774EB1" w14:textId="77777777" w:rsidR="006F3649" w:rsidRPr="008A2E5A" w:rsidRDefault="006F3649" w:rsidP="006F36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в отчете Новосибирского филиала ЦАГИ за I квартал 1942 г. упоминается об окончании испытаний винтомотор</w:t>
      </w:r>
      <w:r w:rsidRPr="008A2E5A">
        <w:rPr>
          <w:rFonts w:ascii="Times New Roman" w:hAnsi="Times New Roman"/>
          <w:color w:val="0070C0"/>
          <w:sz w:val="16"/>
          <w:szCs w:val="16"/>
        </w:rPr>
        <w:softHyphen/>
        <w:t>ной группы Rolls Royce Merlin XX с винтом Rotol на одно</w:t>
      </w:r>
      <w:r w:rsidRPr="008A2E5A">
        <w:rPr>
          <w:rFonts w:ascii="Times New Roman" w:hAnsi="Times New Roman"/>
          <w:color w:val="0070C0"/>
          <w:sz w:val="16"/>
          <w:szCs w:val="16"/>
        </w:rPr>
        <w:softHyphen/>
        <w:t>моторном истребителе типа Як-7. Работа проводилась по заданию ОКБ А.С. Яковлева. Установка рядного мотора с взлетной мощностью 1280 л.с. дала значительное увели</w:t>
      </w:r>
      <w:r w:rsidRPr="008A2E5A">
        <w:rPr>
          <w:rFonts w:ascii="Times New Roman" w:hAnsi="Times New Roman"/>
          <w:color w:val="0070C0"/>
          <w:sz w:val="16"/>
          <w:szCs w:val="16"/>
        </w:rPr>
        <w:softHyphen/>
        <w:t>чение скорости по сравнению с моторами М-105 и М-82А. Из-за малой высоты шасси Як-7 диаметр винта Rotol при</w:t>
      </w:r>
      <w:r w:rsidRPr="008A2E5A">
        <w:rPr>
          <w:rFonts w:ascii="Times New Roman" w:hAnsi="Times New Roman"/>
          <w:color w:val="0070C0"/>
          <w:sz w:val="16"/>
          <w:szCs w:val="16"/>
        </w:rPr>
        <w:softHyphen/>
        <w:t>шлось уменьшить с 3,45 до 3,25 м. По расчетам, такое из</w:t>
      </w:r>
      <w:r w:rsidRPr="008A2E5A">
        <w:rPr>
          <w:rFonts w:ascii="Times New Roman" w:hAnsi="Times New Roman"/>
          <w:color w:val="0070C0"/>
          <w:sz w:val="16"/>
          <w:szCs w:val="16"/>
        </w:rPr>
        <w:softHyphen/>
        <w:t>менение практически не влияло на величину максималь</w:t>
      </w:r>
      <w:r w:rsidRPr="008A2E5A">
        <w:rPr>
          <w:rFonts w:ascii="Times New Roman" w:hAnsi="Times New Roman"/>
          <w:color w:val="0070C0"/>
          <w:sz w:val="16"/>
          <w:szCs w:val="16"/>
        </w:rPr>
        <w:softHyphen/>
        <w:t>ной скорости до первой границы высотности мотора. На высоте второй границы потеря скорости составила 10-11 км/ч. Было отмечено, что мотор Merlin XX и винт Rotol ди</w:t>
      </w:r>
      <w:r w:rsidRPr="008A2E5A">
        <w:rPr>
          <w:rFonts w:ascii="Times New Roman" w:hAnsi="Times New Roman"/>
          <w:color w:val="0070C0"/>
          <w:sz w:val="16"/>
          <w:szCs w:val="16"/>
        </w:rPr>
        <w:softHyphen/>
        <w:t>аметром 3,25 удлиняют разбег самолета Як-7 по сравне</w:t>
      </w:r>
      <w:r w:rsidRPr="008A2E5A">
        <w:rPr>
          <w:rFonts w:ascii="Times New Roman" w:hAnsi="Times New Roman"/>
          <w:color w:val="0070C0"/>
          <w:sz w:val="16"/>
          <w:szCs w:val="16"/>
        </w:rPr>
        <w:softHyphen/>
        <w:t>нию с аналогичной машиной с мотором М-105 примерно на 20-28%, и с мотором М-82А - на 2-4%.</w:t>
      </w:r>
    </w:p>
    <w:p w14:paraId="7512C173" w14:textId="77777777" w:rsidR="006F3649" w:rsidRPr="008A2E5A" w:rsidRDefault="006F3649" w:rsidP="006F36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Документы об испытаниях этой модификации самолета Як-7 пока не найдены, поэтому неизвестно, были ли ис</w:t>
      </w:r>
      <w:r w:rsidRPr="008A2E5A">
        <w:rPr>
          <w:rFonts w:ascii="Times New Roman" w:hAnsi="Times New Roman"/>
          <w:color w:val="0070C0"/>
          <w:sz w:val="16"/>
          <w:szCs w:val="16"/>
        </w:rPr>
        <w:softHyphen/>
        <w:t>пытания летными или, возможно, проводились натурны</w:t>
      </w:r>
      <w:r w:rsidRPr="008A2E5A">
        <w:rPr>
          <w:rFonts w:ascii="Times New Roman" w:hAnsi="Times New Roman"/>
          <w:color w:val="0070C0"/>
          <w:sz w:val="16"/>
          <w:szCs w:val="16"/>
        </w:rPr>
        <w:softHyphen/>
        <w:t>ми испытаниями в аэродинамической трубе. Дальнейшей разработки проект не получил по вполне очевидным при</w:t>
      </w:r>
      <w:r w:rsidRPr="008A2E5A">
        <w:rPr>
          <w:rFonts w:ascii="Times New Roman" w:hAnsi="Times New Roman"/>
          <w:color w:val="0070C0"/>
          <w:sz w:val="16"/>
          <w:szCs w:val="16"/>
        </w:rPr>
        <w:softHyphen/>
        <w:t>чинам. Выпуск таких машин находился бы в зависимости от поставок моторов и винтов (тем более что моторы дан</w:t>
      </w:r>
      <w:r w:rsidRPr="008A2E5A">
        <w:rPr>
          <w:rFonts w:ascii="Times New Roman" w:hAnsi="Times New Roman"/>
          <w:color w:val="0070C0"/>
          <w:sz w:val="16"/>
          <w:szCs w:val="16"/>
        </w:rPr>
        <w:softHyphen/>
        <w:t>ного типа, по оценке наркома внешней торговли А.И. Ми</w:t>
      </w:r>
      <w:r w:rsidRPr="008A2E5A">
        <w:rPr>
          <w:rFonts w:ascii="Times New Roman" w:hAnsi="Times New Roman"/>
          <w:color w:val="0070C0"/>
          <w:sz w:val="16"/>
          <w:szCs w:val="16"/>
        </w:rPr>
        <w:softHyphen/>
        <w:t>кояна, получить было бы проблематично из-за широкого их использования союзниками). Выигрыш в максималь</w:t>
      </w:r>
      <w:r w:rsidRPr="008A2E5A">
        <w:rPr>
          <w:rFonts w:ascii="Times New Roman" w:hAnsi="Times New Roman"/>
          <w:color w:val="0070C0"/>
          <w:sz w:val="16"/>
          <w:szCs w:val="16"/>
        </w:rPr>
        <w:softHyphen/>
        <w:t>ной скорости сводился на нет увеличением взлетной ди</w:t>
      </w:r>
      <w:r w:rsidRPr="008A2E5A">
        <w:rPr>
          <w:rFonts w:ascii="Times New Roman" w:hAnsi="Times New Roman"/>
          <w:color w:val="0070C0"/>
          <w:sz w:val="16"/>
          <w:szCs w:val="16"/>
        </w:rPr>
        <w:softHyphen/>
        <w:t>станции, наличием винта с предельным для Як-7 диаме</w:t>
      </w:r>
      <w:r w:rsidRPr="008A2E5A">
        <w:rPr>
          <w:rFonts w:ascii="Times New Roman" w:hAnsi="Times New Roman"/>
          <w:color w:val="0070C0"/>
          <w:sz w:val="16"/>
          <w:szCs w:val="16"/>
        </w:rPr>
        <w:softHyphen/>
        <w:t>тром (взлет был возможен только с трех точек) и невоз</w:t>
      </w:r>
      <w:r w:rsidRPr="008A2E5A">
        <w:rPr>
          <w:rFonts w:ascii="Times New Roman" w:hAnsi="Times New Roman"/>
          <w:color w:val="0070C0"/>
          <w:sz w:val="16"/>
          <w:szCs w:val="16"/>
        </w:rPr>
        <w:softHyphen/>
        <w:t>можностью установки мотор-пушки с синхронными пу</w:t>
      </w:r>
      <w:r w:rsidRPr="008A2E5A">
        <w:rPr>
          <w:rFonts w:ascii="Times New Roman" w:hAnsi="Times New Roman"/>
          <w:color w:val="0070C0"/>
          <w:sz w:val="16"/>
          <w:szCs w:val="16"/>
        </w:rPr>
        <w:softHyphen/>
        <w:t>леметами. Изменение расположения вооружения так</w:t>
      </w:r>
      <w:r w:rsidRPr="008A2E5A">
        <w:rPr>
          <w:rFonts w:ascii="Times New Roman" w:hAnsi="Times New Roman"/>
          <w:color w:val="0070C0"/>
          <w:sz w:val="16"/>
          <w:szCs w:val="16"/>
        </w:rPr>
        <w:softHyphen/>
        <w:t>же влекло за собой значительные изменения конструк</w:t>
      </w:r>
      <w:r w:rsidRPr="008A2E5A">
        <w:rPr>
          <w:rFonts w:ascii="Times New Roman" w:hAnsi="Times New Roman"/>
          <w:color w:val="0070C0"/>
          <w:sz w:val="16"/>
          <w:szCs w:val="16"/>
        </w:rPr>
        <w:softHyphen/>
        <w:t>ции крыла, внедрение которых в серийное производство условиях начала 1942 г. было невозможным (23381).</w:t>
      </w:r>
    </w:p>
    <w:p w14:paraId="6B946138" w14:textId="77777777" w:rsidR="006F3649" w:rsidRPr="008A2E5A" w:rsidRDefault="006F3649" w:rsidP="006F3649">
      <w:pPr>
        <w:spacing w:after="0" w:line="240" w:lineRule="auto"/>
        <w:jc w:val="both"/>
        <w:rPr>
          <w:rFonts w:ascii="Times New Roman" w:hAnsi="Times New Roman"/>
          <w:color w:val="0070C0"/>
          <w:sz w:val="16"/>
          <w:szCs w:val="16"/>
        </w:rPr>
      </w:pPr>
    </w:p>
    <w:p w14:paraId="4985B6C9" w14:textId="77777777" w:rsidR="007C5583" w:rsidRPr="008127F8" w:rsidRDefault="007C5583" w:rsidP="007C5583">
      <w:pPr>
        <w:pStyle w:val="a9"/>
        <w:jc w:val="both"/>
        <w:rPr>
          <w:rFonts w:ascii="Times New Roman" w:hAnsi="Times New Roman" w:cs="Times New Roman"/>
          <w:color w:val="000000" w:themeColor="text1"/>
        </w:rPr>
      </w:pPr>
      <w:r w:rsidRPr="008127F8">
        <w:rPr>
          <w:rFonts w:ascii="Times New Roman" w:hAnsi="Times New Roman" w:cs="Times New Roman"/>
          <w:color w:val="000000" w:themeColor="text1"/>
        </w:rPr>
        <w:t>Весной 1942 г. наибольшее количество И-16 числилось в ПВО, где собрали 333 самолета этого типа. Кроме 6-го ИАК, «ишачки» служили в 7-м ИАК ПВО Ленинграда; в 8-м и 105-м ИАК, входивших в ПВО Баку и Ростова-на-Дону; в 106-й и 102-й ИАД, охранявших Бологое и Сталинград. Летом количество И-16 в частях ПВО даже возросло до 348 единиц, однако уже осенью пошло на убыль — истребители передавали на фронт. В середине 1943 г. в ПВО числилось 143 И-16, а к концу года их осталось около четырех десятков. В следующем году все «ишачки» из состава противовоздушной обороны были выведены, и там остались лишь современные машины (19109).</w:t>
      </w:r>
    </w:p>
    <w:p w14:paraId="29C21D3B" w14:textId="77777777" w:rsidR="007C5583" w:rsidRPr="008127F8" w:rsidRDefault="007C5583" w:rsidP="007C5583">
      <w:pPr>
        <w:pStyle w:val="a9"/>
        <w:jc w:val="both"/>
        <w:rPr>
          <w:rFonts w:ascii="Times New Roman" w:hAnsi="Times New Roman" w:cs="Times New Roman"/>
          <w:color w:val="000000" w:themeColor="text1"/>
        </w:rPr>
      </w:pPr>
    </w:p>
    <w:p w14:paraId="16E81C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к идее перевозки людей на Пе-8 вернулись снова. Один самолёт с АМ-35А переоборудовали для транспортировки 20 человек, которые размещались в бомбоотсеке в несколько ярусов. Эта машина совершила два рейса в Англию, доставив туда лётчиков-перегонщиков.</w:t>
      </w:r>
    </w:p>
    <w:p w14:paraId="619E145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перелёта в Англию и США делегации во главе с наркомом иностранных дел В.М. Молотовым подготовили другую машину с АМ-35А, в задней кабине которой оборудовали шесть пассажирских мест с обеспечением кислородом (11996).</w:t>
      </w:r>
    </w:p>
    <w:p w14:paraId="087E2F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E2FE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сокращение производства боевых самолетов в связи с эвакуацией авиационных заводов, относительно большие потери авиационной техники в начальный период войны, а также неблагоприятная обстановка на фронте в 1942 г. потребовали мобилизовать все ресурсы для отпора врагу.</w:t>
      </w:r>
    </w:p>
    <w:p w14:paraId="7E50E5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следствие, стали искать возможности приспособления учебных самолетов для решения боевых задач. Непосредственно на фронтах делались попытки вооружать самолеты УТ-1 крыльевыми пулеметами ШКАС и реактивными снарядами PC-82.</w:t>
      </w:r>
    </w:p>
    <w:p w14:paraId="0089D0F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Наибольший интерес представляют сведения о вооружении самолетов УТ-1 и их боевом применении в ВВС Черноморского флота в период с мая по декабрь 1942 г. (9649).</w:t>
      </w:r>
    </w:p>
    <w:p w14:paraId="42213BD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30AB6F" w14:textId="77777777" w:rsidR="003A1E79" w:rsidRPr="008A2E5A" w:rsidRDefault="003A1E79" w:rsidP="003A1E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г. из-за отсутст</w:t>
      </w:r>
      <w:r w:rsidRPr="008A2E5A">
        <w:rPr>
          <w:rFonts w:ascii="Times New Roman" w:hAnsi="Times New Roman"/>
          <w:color w:val="0070C0"/>
          <w:sz w:val="16"/>
          <w:szCs w:val="16"/>
        </w:rPr>
        <w:softHyphen/>
        <w:t>вия ряда деталей и узлов из 18 самолетов Харрикей 488-го иап в воздух могли подняться лишь два. А в ноябре того же года 122-я иад, прикрывавшая Мурманск, из 69 своих «Харрикейнов» могла рассчитывать лишь на три боеспособных истребителя.</w:t>
      </w:r>
    </w:p>
    <w:p w14:paraId="2C2DC7E6" w14:textId="77777777" w:rsidR="003A1E79" w:rsidRPr="008A2E5A" w:rsidRDefault="003A1E79" w:rsidP="003A1E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Боеспособность «Харрикейнов» сни</w:t>
      </w:r>
      <w:r w:rsidRPr="008A2E5A">
        <w:rPr>
          <w:rFonts w:ascii="Times New Roman" w:hAnsi="Times New Roman"/>
          <w:color w:val="0070C0"/>
          <w:sz w:val="16"/>
          <w:szCs w:val="16"/>
        </w:rPr>
        <w:softHyphen/>
        <w:t>жалась и вследствие нехватки запчастей. Самым большим дефицитом были пропел</w:t>
      </w:r>
      <w:r w:rsidRPr="008A2E5A">
        <w:rPr>
          <w:rFonts w:ascii="Times New Roman" w:hAnsi="Times New Roman"/>
          <w:color w:val="0070C0"/>
          <w:sz w:val="16"/>
          <w:szCs w:val="16"/>
        </w:rPr>
        <w:softHyphen/>
        <w:t>леры «Ротол». Они не только ломались при капотировании, растрескивались от попа</w:t>
      </w:r>
      <w:r w:rsidRPr="008A2E5A">
        <w:rPr>
          <w:rFonts w:ascii="Times New Roman" w:hAnsi="Times New Roman"/>
          <w:color w:val="0070C0"/>
          <w:sz w:val="16"/>
          <w:szCs w:val="16"/>
        </w:rPr>
        <w:softHyphen/>
        <w:t>дания пуль, но и повреждались подсасы</w:t>
      </w:r>
      <w:r w:rsidRPr="008A2E5A">
        <w:rPr>
          <w:rFonts w:ascii="Times New Roman" w:hAnsi="Times New Roman"/>
          <w:color w:val="0070C0"/>
          <w:sz w:val="16"/>
          <w:szCs w:val="16"/>
        </w:rPr>
        <w:softHyphen/>
        <w:t>ваемыми на взлете камнями. Временами из-за винтов до половины поставленных самолетов стояло «на приколе». В ко</w:t>
      </w:r>
      <w:r w:rsidRPr="008A2E5A">
        <w:rPr>
          <w:rFonts w:ascii="Times New Roman" w:hAnsi="Times New Roman"/>
          <w:color w:val="0070C0"/>
          <w:sz w:val="16"/>
          <w:szCs w:val="16"/>
        </w:rPr>
        <w:softHyphen/>
        <w:t>нечном итоге в марте — апреле 1942 г. в Советском Союзе наладили выпуск за</w:t>
      </w:r>
      <w:r w:rsidRPr="008A2E5A">
        <w:rPr>
          <w:rFonts w:ascii="Times New Roman" w:hAnsi="Times New Roman"/>
          <w:color w:val="0070C0"/>
          <w:sz w:val="16"/>
          <w:szCs w:val="16"/>
        </w:rPr>
        <w:softHyphen/>
        <w:t>пасных лопастей к английским винтам (23513).</w:t>
      </w:r>
    </w:p>
    <w:p w14:paraId="735A7EB8" w14:textId="77777777" w:rsidR="003A1E79" w:rsidRPr="008A2E5A" w:rsidRDefault="003A1E79" w:rsidP="003A1E79">
      <w:pPr>
        <w:spacing w:after="0" w:line="240" w:lineRule="auto"/>
        <w:jc w:val="both"/>
        <w:rPr>
          <w:rFonts w:ascii="Times New Roman" w:hAnsi="Times New Roman"/>
          <w:color w:val="0070C0"/>
          <w:sz w:val="16"/>
          <w:szCs w:val="16"/>
        </w:rPr>
      </w:pPr>
    </w:p>
    <w:p w14:paraId="77AC1FE2" w14:textId="77777777" w:rsidR="003A1E79" w:rsidRPr="008A2E5A" w:rsidRDefault="003A1E79" w:rsidP="003A1E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С весны 1942 г. в нашу страну стали поступать самолеты Бостон модификации А-20В. Они, как и все ранние модификации для американской авиации, были лишены бронезащиты и протектирования бензобаков. С учетом уже появившегося у американ</w:t>
      </w:r>
      <w:r w:rsidRPr="008A2E5A">
        <w:rPr>
          <w:rFonts w:ascii="Times New Roman" w:hAnsi="Times New Roman"/>
          <w:color w:val="0070C0"/>
          <w:sz w:val="16"/>
          <w:szCs w:val="16"/>
        </w:rPr>
        <w:softHyphen/>
        <w:t>цев боевого опыта это стали расценивать как большой недостаток. Поэтому часть машин использовали как учебные, а боль</w:t>
      </w:r>
      <w:r w:rsidRPr="008A2E5A">
        <w:rPr>
          <w:rFonts w:ascii="Times New Roman" w:hAnsi="Times New Roman"/>
          <w:color w:val="0070C0"/>
          <w:sz w:val="16"/>
          <w:szCs w:val="16"/>
        </w:rPr>
        <w:softHyphen/>
        <w:t>ше двух третей (665 самолетов) отправили в Советский Союз. Зато за счет меньшего веса А-20В обладали большей максималь</w:t>
      </w:r>
      <w:r w:rsidRPr="008A2E5A">
        <w:rPr>
          <w:rFonts w:ascii="Times New Roman" w:hAnsi="Times New Roman"/>
          <w:color w:val="0070C0"/>
          <w:sz w:val="16"/>
          <w:szCs w:val="16"/>
        </w:rPr>
        <w:softHyphen/>
        <w:t>ной скоростью и потолком.</w:t>
      </w:r>
    </w:p>
    <w:p w14:paraId="21500C53" w14:textId="77777777" w:rsidR="003A1E79" w:rsidRPr="008A2E5A" w:rsidRDefault="003A1E79" w:rsidP="003A1E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Первые партии их прибыли через Иран, но большую часть А-20В в СССР доставили по АЛСИБу. 14 сентября советские прием</w:t>
      </w:r>
      <w:r w:rsidRPr="008A2E5A">
        <w:rPr>
          <w:rFonts w:ascii="Times New Roman" w:hAnsi="Times New Roman"/>
          <w:color w:val="0070C0"/>
          <w:sz w:val="16"/>
          <w:szCs w:val="16"/>
        </w:rPr>
        <w:softHyphen/>
        <w:t>щики в Фэрбенксе оформили первую пар</w:t>
      </w:r>
      <w:r w:rsidRPr="008A2E5A">
        <w:rPr>
          <w:rFonts w:ascii="Times New Roman" w:hAnsi="Times New Roman"/>
          <w:color w:val="0070C0"/>
          <w:sz w:val="16"/>
          <w:szCs w:val="16"/>
        </w:rPr>
        <w:softHyphen/>
        <w:t>тию «Бостонов», 29-го начались трениров</w:t>
      </w:r>
      <w:r w:rsidRPr="008A2E5A">
        <w:rPr>
          <w:rFonts w:ascii="Times New Roman" w:hAnsi="Times New Roman"/>
          <w:color w:val="0070C0"/>
          <w:sz w:val="16"/>
          <w:szCs w:val="16"/>
        </w:rPr>
        <w:softHyphen/>
        <w:t>ки наших летчиков-перегонщиков, а уже на следующий день группа из 12 А-20В, ведомая майором П.В. Недосекиным, взяла курс на Ном. Из-за плохой погоды лишь 7 октября эти самолеты прибыли в Марково, где проходила смена экипа</w:t>
      </w:r>
      <w:r w:rsidRPr="008A2E5A">
        <w:rPr>
          <w:rFonts w:ascii="Times New Roman" w:hAnsi="Times New Roman"/>
          <w:color w:val="0070C0"/>
          <w:sz w:val="16"/>
          <w:szCs w:val="16"/>
        </w:rPr>
        <w:softHyphen/>
        <w:t>жей. Первые два бомбардировщика сдали в Красноярске в ноябре. До конца 1942 г. «Бостонов» по АЛСИБу перегнали немно</w:t>
      </w:r>
      <w:r w:rsidRPr="008A2E5A">
        <w:rPr>
          <w:rFonts w:ascii="Times New Roman" w:hAnsi="Times New Roman"/>
          <w:color w:val="0070C0"/>
          <w:sz w:val="16"/>
          <w:szCs w:val="16"/>
        </w:rPr>
        <w:softHyphen/>
        <w:t>го — около полусотни машин, а сдали все</w:t>
      </w:r>
      <w:r w:rsidRPr="008A2E5A">
        <w:rPr>
          <w:rFonts w:ascii="Times New Roman" w:hAnsi="Times New Roman"/>
          <w:color w:val="0070C0"/>
          <w:sz w:val="16"/>
          <w:szCs w:val="16"/>
        </w:rPr>
        <w:softHyphen/>
        <w:t>го лишь шесть. Основной поток пошел на следующий год (23513).</w:t>
      </w:r>
    </w:p>
    <w:p w14:paraId="16F5A34C" w14:textId="77777777" w:rsidR="003A1E79" w:rsidRPr="008A2E5A" w:rsidRDefault="003A1E79" w:rsidP="003A1E79">
      <w:pPr>
        <w:spacing w:after="0" w:line="240" w:lineRule="auto"/>
        <w:jc w:val="both"/>
        <w:rPr>
          <w:rFonts w:ascii="Times New Roman" w:hAnsi="Times New Roman"/>
          <w:color w:val="0070C0"/>
          <w:sz w:val="16"/>
          <w:szCs w:val="16"/>
        </w:rPr>
      </w:pPr>
    </w:p>
    <w:p w14:paraId="68865799" w14:textId="77777777" w:rsidR="003A1E79" w:rsidRPr="008A2E5A" w:rsidRDefault="003A1E79" w:rsidP="003A1E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г. партия из десяти истре</w:t>
      </w:r>
      <w:r w:rsidRPr="008A2E5A">
        <w:rPr>
          <w:rFonts w:ascii="Times New Roman" w:hAnsi="Times New Roman"/>
          <w:color w:val="0070C0"/>
          <w:sz w:val="16"/>
          <w:szCs w:val="16"/>
        </w:rPr>
        <w:softHyphen/>
        <w:t>бителей «Мустанг» I поступила в Совет</w:t>
      </w:r>
      <w:r w:rsidRPr="008A2E5A">
        <w:rPr>
          <w:rFonts w:ascii="Times New Roman" w:hAnsi="Times New Roman"/>
          <w:color w:val="0070C0"/>
          <w:sz w:val="16"/>
          <w:szCs w:val="16"/>
        </w:rPr>
        <w:softHyphen/>
        <w:t>ский Союз из Великобритании. Никаких следов того, что у нас заказывали эти ма</w:t>
      </w:r>
      <w:r w:rsidRPr="008A2E5A">
        <w:rPr>
          <w:rFonts w:ascii="Times New Roman" w:hAnsi="Times New Roman"/>
          <w:color w:val="0070C0"/>
          <w:sz w:val="16"/>
          <w:szCs w:val="16"/>
        </w:rPr>
        <w:softHyphen/>
        <w:t>шины, не выявлено. В списках техники, рекомендуемой для приобретения у союз</w:t>
      </w:r>
      <w:r w:rsidRPr="008A2E5A">
        <w:rPr>
          <w:rFonts w:ascii="Times New Roman" w:hAnsi="Times New Roman"/>
          <w:color w:val="0070C0"/>
          <w:sz w:val="16"/>
          <w:szCs w:val="16"/>
        </w:rPr>
        <w:softHyphen/>
        <w:t>ников, составленных в сентябре 1941 г. Главным разведывательным управлени</w:t>
      </w:r>
      <w:r w:rsidRPr="008A2E5A">
        <w:rPr>
          <w:rFonts w:ascii="Times New Roman" w:hAnsi="Times New Roman"/>
          <w:color w:val="0070C0"/>
          <w:sz w:val="16"/>
          <w:szCs w:val="16"/>
        </w:rPr>
        <w:softHyphen/>
        <w:t>ем и Главным управлением ВВС Красной Армии, их нет. Похоже, у нас вообще тогда мало что знали о «Мустанге» и взяли эти машины просто, чтобы на них обстоятель</w:t>
      </w:r>
      <w:r w:rsidRPr="008A2E5A">
        <w:rPr>
          <w:rFonts w:ascii="Times New Roman" w:hAnsi="Times New Roman"/>
          <w:color w:val="0070C0"/>
          <w:sz w:val="16"/>
          <w:szCs w:val="16"/>
        </w:rPr>
        <w:softHyphen/>
        <w:t>но посмотреть (23513).</w:t>
      </w:r>
    </w:p>
    <w:p w14:paraId="04DB833E" w14:textId="77777777" w:rsidR="003A1E79" w:rsidRPr="008A2E5A" w:rsidRDefault="003A1E79" w:rsidP="003A1E79">
      <w:pPr>
        <w:spacing w:after="0" w:line="240" w:lineRule="auto"/>
        <w:jc w:val="both"/>
        <w:rPr>
          <w:rFonts w:ascii="Times New Roman" w:hAnsi="Times New Roman"/>
          <w:color w:val="0070C0"/>
          <w:sz w:val="16"/>
          <w:szCs w:val="16"/>
        </w:rPr>
      </w:pPr>
    </w:p>
    <w:p w14:paraId="10025B5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года из-за нехватки запасных двигателей много Р-40 оказалось "на приколе". Но инициативе командира 154-го полка А.А.Матвеева и инженер-полковника П.Маликова предприняли переделку Р-40 "Томагауков" под советские моторы М-105П и М-105Р. Для новых мотоустановок использовали детали и узлы, найденные на эвакуированном заводе № 23 в Ленинграде, где делали ЛаГГ-3. М-105 был меньше и легче "Аллисона" и достаточно просто уместился под капотом. Но сравнению с американским двигателем наш мотор сместили вверх. Кок отечественного винта ВИШ-61П был куда меньше исходного, поэтому поставили переходное кольцо, в котором сделали отверстия для подвода воздуха к нагнетателю. Выхлопную систему целиком взяли от ЛаГГ-3. Некоторое количество таких машин выпустила 1-я авиарембаза. Всего переделали более 40 истребителей. Мера эта являлась вынужденной, не хватало запасных двигателей. Характеристики самолета с М-105 и винтом ВИШ-61 И ухудшились по сравнению с исходными. В частности, максимальная скорость упала с 477 до 465 км/ч. Внешне переделанные машины отличались отсутствием гребня воздухозаборника над капотом, коллекторами на выхлопных патрубках и коком винта, намного меньшим но размеру. Их использовал на Ленинградском фронте 196-й полк, действовавший над Ладогой. Четыре истребителя из этого полка прикомандировали к 12-й корректировочной эскадрилье для сопровождения корректировщиков днем. Для ударов по наземным целям часть "Томагауков" у нас оборудовали четырьмя балками под реактивные снаряды PC-82. Для переучивания летчиков на новый тип истребителя и тренировки летного состава кустарно изготовили несколько двухместных самолетов, у которых вторая, довольно тесная, кабина располагалась в гаргроте (3457,62).</w:t>
      </w:r>
    </w:p>
    <w:p w14:paraId="4577C81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389CB4" w14:textId="77777777" w:rsidR="003A1E79" w:rsidRPr="008A2E5A" w:rsidRDefault="003A1E79" w:rsidP="003A1E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г. из-за нехватки запасных двигателей много Р-40 оказалось «на при</w:t>
      </w:r>
      <w:r w:rsidRPr="008A2E5A">
        <w:rPr>
          <w:rFonts w:ascii="Times New Roman" w:hAnsi="Times New Roman"/>
          <w:color w:val="0070C0"/>
          <w:sz w:val="16"/>
          <w:szCs w:val="16"/>
        </w:rPr>
        <w:softHyphen/>
        <w:t>коле». По инициативе командира 154-го иап А.А. Матвеева и инженер-полковни</w:t>
      </w:r>
      <w:r w:rsidRPr="008A2E5A">
        <w:rPr>
          <w:rFonts w:ascii="Times New Roman" w:hAnsi="Times New Roman"/>
          <w:color w:val="0070C0"/>
          <w:sz w:val="16"/>
          <w:szCs w:val="16"/>
        </w:rPr>
        <w:softHyphen/>
        <w:t>ка П. Маликова предприняли передел</w:t>
      </w:r>
      <w:r w:rsidRPr="008A2E5A">
        <w:rPr>
          <w:rFonts w:ascii="Times New Roman" w:hAnsi="Times New Roman"/>
          <w:color w:val="0070C0"/>
          <w:sz w:val="16"/>
          <w:szCs w:val="16"/>
        </w:rPr>
        <w:softHyphen/>
        <w:t>ку «Томагауков» под советские моторы М-105П и М-105Р. Для новых мотоуста</w:t>
      </w:r>
      <w:r w:rsidRPr="008A2E5A">
        <w:rPr>
          <w:rFonts w:ascii="Times New Roman" w:hAnsi="Times New Roman"/>
          <w:color w:val="0070C0"/>
          <w:sz w:val="16"/>
          <w:szCs w:val="16"/>
        </w:rPr>
        <w:softHyphen/>
        <w:t>новок использовали детали и узлы, най</w:t>
      </w:r>
      <w:r w:rsidRPr="008A2E5A">
        <w:rPr>
          <w:rFonts w:ascii="Times New Roman" w:hAnsi="Times New Roman"/>
          <w:color w:val="0070C0"/>
          <w:sz w:val="16"/>
          <w:szCs w:val="16"/>
        </w:rPr>
        <w:softHyphen/>
        <w:t>денные на эвакуированном заводе № 23 в Ленинграде, где делали ЛаГГ-3. М-105 был меньше и легче «аллисона» и доста</w:t>
      </w:r>
      <w:r w:rsidRPr="008A2E5A">
        <w:rPr>
          <w:rFonts w:ascii="Times New Roman" w:hAnsi="Times New Roman"/>
          <w:color w:val="0070C0"/>
          <w:sz w:val="16"/>
          <w:szCs w:val="16"/>
        </w:rPr>
        <w:softHyphen/>
        <w:t>точно просто уместился под капотом. По сравнению с американским двигате</w:t>
      </w:r>
      <w:r w:rsidRPr="008A2E5A">
        <w:rPr>
          <w:rFonts w:ascii="Times New Roman" w:hAnsi="Times New Roman"/>
          <w:color w:val="0070C0"/>
          <w:sz w:val="16"/>
          <w:szCs w:val="16"/>
        </w:rPr>
        <w:softHyphen/>
        <w:t>лем наш мотор сместили вверх. Кок оте</w:t>
      </w:r>
      <w:r w:rsidRPr="008A2E5A">
        <w:rPr>
          <w:rFonts w:ascii="Times New Roman" w:hAnsi="Times New Roman"/>
          <w:color w:val="0070C0"/>
          <w:sz w:val="16"/>
          <w:szCs w:val="16"/>
        </w:rPr>
        <w:softHyphen/>
        <w:t>чественного винта ВИШ-61П был куда меньше исходного, поэтому поставили переходное кольцо, в котором сделали отверстия для подвода воздуха к нагнета</w:t>
      </w:r>
      <w:r w:rsidRPr="008A2E5A">
        <w:rPr>
          <w:rFonts w:ascii="Times New Roman" w:hAnsi="Times New Roman"/>
          <w:color w:val="0070C0"/>
          <w:sz w:val="16"/>
          <w:szCs w:val="16"/>
        </w:rPr>
        <w:softHyphen/>
        <w:t>телю. Выхлопную систему целиком взяли от ЛаГГ-3. Некоторое количество таких машин выпустила 1-я авиарембаза. Их использовал на Ленинградском фронте 196-й иап (23513).</w:t>
      </w:r>
    </w:p>
    <w:p w14:paraId="75E0964E" w14:textId="77777777" w:rsidR="003A1E79" w:rsidRPr="008A2E5A" w:rsidRDefault="003A1E79" w:rsidP="003A1E79">
      <w:pPr>
        <w:spacing w:after="0" w:line="240" w:lineRule="auto"/>
        <w:jc w:val="both"/>
        <w:rPr>
          <w:rFonts w:ascii="Times New Roman" w:hAnsi="Times New Roman"/>
          <w:color w:val="0070C0"/>
          <w:sz w:val="16"/>
          <w:szCs w:val="16"/>
        </w:rPr>
      </w:pPr>
    </w:p>
    <w:p w14:paraId="43F32459" w14:textId="77777777" w:rsidR="003A1E79" w:rsidRPr="008A2E5A" w:rsidRDefault="003A1E79" w:rsidP="003A1E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года из-за нехватки запасных двигате</w:t>
      </w:r>
      <w:r w:rsidRPr="008A2E5A">
        <w:rPr>
          <w:rFonts w:ascii="Times New Roman" w:hAnsi="Times New Roman"/>
          <w:color w:val="0070C0"/>
          <w:sz w:val="16"/>
          <w:szCs w:val="16"/>
        </w:rPr>
        <w:softHyphen/>
        <w:t>лей много Р-40 оказалось «на приколе». По инициати</w:t>
      </w:r>
      <w:r w:rsidRPr="008A2E5A">
        <w:rPr>
          <w:rFonts w:ascii="Times New Roman" w:hAnsi="Times New Roman"/>
          <w:color w:val="0070C0"/>
          <w:sz w:val="16"/>
          <w:szCs w:val="16"/>
        </w:rPr>
        <w:softHyphen/>
        <w:t>ве командира 154-го полка А.А.Матвеева и инженер- полковника П. Маликова предприняли переделку «Томагауков» под советские моторы М-105П и М-105Р. Для новых мотоустановок использовали детали и узлы, найденные на эвакуированном заводе № 23 в Ленин</w:t>
      </w:r>
      <w:r w:rsidRPr="008A2E5A">
        <w:rPr>
          <w:rFonts w:ascii="Times New Roman" w:hAnsi="Times New Roman"/>
          <w:color w:val="0070C0"/>
          <w:sz w:val="16"/>
          <w:szCs w:val="16"/>
        </w:rPr>
        <w:softHyphen/>
        <w:t>граде, где делали ЛаГГ-3. М-105 был меньше и легче «Аллисона» и достаточно просто уместился под капотом. По сравнению с американским двигателем наш мотор сместили вверх. Кок отечественного винта ВИШ-61П был куда меньше исходного, поэтому поставили пере</w:t>
      </w:r>
      <w:r w:rsidRPr="008A2E5A">
        <w:rPr>
          <w:rFonts w:ascii="Times New Roman" w:hAnsi="Times New Roman"/>
          <w:color w:val="0070C0"/>
          <w:sz w:val="16"/>
          <w:szCs w:val="16"/>
        </w:rPr>
        <w:softHyphen/>
        <w:t>ходное кольцо, в котором сделали отверстия для подво</w:t>
      </w:r>
      <w:r w:rsidRPr="008A2E5A">
        <w:rPr>
          <w:rFonts w:ascii="Times New Roman" w:hAnsi="Times New Roman"/>
          <w:color w:val="0070C0"/>
          <w:sz w:val="16"/>
          <w:szCs w:val="16"/>
        </w:rPr>
        <w:softHyphen/>
        <w:t>да воздуха к нагнетателю. Выхлопную систему целиком взяли от ЛаГГ-3. Некоторое количество таких машин выпустила 1-я авиарембаза. Их использовал на Ленин</w:t>
      </w:r>
      <w:r w:rsidRPr="008A2E5A">
        <w:rPr>
          <w:rFonts w:ascii="Times New Roman" w:hAnsi="Times New Roman"/>
          <w:color w:val="0070C0"/>
          <w:sz w:val="16"/>
          <w:szCs w:val="16"/>
        </w:rPr>
        <w:softHyphen/>
        <w:t>градском фронте 196-й полк. Для ударов по наземным целям часть «Томагауков» у нас оборудовали четырьмя балками под реактивные снаряды РС-82.</w:t>
      </w:r>
    </w:p>
    <w:p w14:paraId="61C64777" w14:textId="77777777" w:rsidR="003A1E79" w:rsidRPr="008A2E5A" w:rsidRDefault="003A1E79" w:rsidP="003A1E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переучивания летчиков на новый тип истребите</w:t>
      </w:r>
      <w:r w:rsidRPr="008A2E5A">
        <w:rPr>
          <w:rFonts w:ascii="Times New Roman" w:hAnsi="Times New Roman"/>
          <w:color w:val="0070C0"/>
          <w:sz w:val="16"/>
          <w:szCs w:val="16"/>
        </w:rPr>
        <w:softHyphen/>
        <w:t>ля и тренировки летного состава кустарно изготовили несколько двухместных самолетов, у которых вторая, довольно тесная, кабина располагалась в гаргроте (23545).</w:t>
      </w:r>
    </w:p>
    <w:p w14:paraId="0EB097F8" w14:textId="77777777" w:rsidR="003A1E79" w:rsidRPr="008A2E5A" w:rsidRDefault="003A1E79" w:rsidP="003A1E79">
      <w:pPr>
        <w:spacing w:after="0" w:line="240" w:lineRule="auto"/>
        <w:jc w:val="both"/>
        <w:rPr>
          <w:rFonts w:ascii="Times New Roman" w:hAnsi="Times New Roman"/>
          <w:color w:val="0070C0"/>
          <w:sz w:val="16"/>
          <w:szCs w:val="16"/>
        </w:rPr>
      </w:pPr>
    </w:p>
    <w:p w14:paraId="1F43006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с целью стандартизации и унификации вооружения У-2 Главный инженер ВВС РККА А. И. Репин узаконил бомбовое вооружение самолета У-2 в виде шести бомбодержателей типа Дер-7 с максимальной бомбовой нагрузкой до 300 кг. Однако в строевых частях продолжали встречаться самые различные варианты вооружения У-2, выполненные как местными умельцами, так и на заводах (15142).</w:t>
      </w:r>
    </w:p>
    <w:p w14:paraId="687258A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5C039E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на левом бере</w:t>
      </w:r>
      <w:r w:rsidRPr="008127F8">
        <w:rPr>
          <w:rFonts w:ascii="Times New Roman" w:hAnsi="Times New Roman"/>
          <w:color w:val="000000" w:themeColor="text1"/>
          <w:sz w:val="16"/>
          <w:szCs w:val="16"/>
        </w:rPr>
        <w:softHyphen/>
        <w:t>гу Иртыша соорудили примитивный гидро</w:t>
      </w:r>
      <w:r w:rsidRPr="008127F8">
        <w:rPr>
          <w:rFonts w:ascii="Times New Roman" w:hAnsi="Times New Roman"/>
          <w:color w:val="000000" w:themeColor="text1"/>
          <w:sz w:val="16"/>
          <w:szCs w:val="16"/>
        </w:rPr>
        <w:softHyphen/>
        <w:t>спуск. Заводские летные испытания Бе-4 прово</w:t>
      </w:r>
      <w:r w:rsidRPr="008127F8">
        <w:rPr>
          <w:rFonts w:ascii="Times New Roman" w:hAnsi="Times New Roman"/>
          <w:color w:val="000000" w:themeColor="text1"/>
          <w:sz w:val="16"/>
          <w:szCs w:val="16"/>
        </w:rPr>
        <w:softHyphen/>
        <w:t>дил Котяков. Вооружение собранных в Омске машин было усилено: курсовой ШКАС заме</w:t>
      </w:r>
      <w:r w:rsidRPr="008127F8">
        <w:rPr>
          <w:rFonts w:ascii="Times New Roman" w:hAnsi="Times New Roman"/>
          <w:color w:val="000000" w:themeColor="text1"/>
          <w:sz w:val="16"/>
          <w:szCs w:val="16"/>
        </w:rPr>
        <w:softHyphen/>
        <w:t>нили двумя 12,7-мм пулеметами УБК, коли</w:t>
      </w:r>
      <w:r w:rsidRPr="008127F8">
        <w:rPr>
          <w:rFonts w:ascii="Times New Roman" w:hAnsi="Times New Roman"/>
          <w:color w:val="000000" w:themeColor="text1"/>
          <w:sz w:val="16"/>
          <w:szCs w:val="16"/>
        </w:rPr>
        <w:softHyphen/>
        <w:t>чество подкрыльевых бомбодержателей увеличили до четырех, и теперь самолет мог поднять 400 кг бомб (4 фугасные ФАБ-100 или 4 противолодочные ПЛАБ-100). Были также частично изменены конструкция лодки и устройство ряда систем (10685).</w:t>
      </w:r>
    </w:p>
    <w:p w14:paraId="3A7A9CC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D7C806" w14:textId="77777777" w:rsidR="00BE6E22" w:rsidRPr="008A2E5A" w:rsidRDefault="00BE6E22" w:rsidP="00BE6E2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г. в Омске на левом берегу Иртыша был сооружен примитивный гидроспуск, где и производились приемо-сдаточные полеты Бе-4. Вооружение этих машин было усилено, курсовой пулемет ШКАС заменили на два пулемета УБК калибра 12,7 мм. Количество подкрыльевых бомбодержателей увеличилось до четырех. Теперь самолет мог поднять бомбовую нагрузку в 400 кг (4 фугасных бомбы ФАБ-100 или 4 противолодочных бомбы ПЛАБ-100) (23541).</w:t>
      </w:r>
    </w:p>
    <w:p w14:paraId="7C214F97" w14:textId="77777777" w:rsidR="00BE6E22" w:rsidRPr="008A2E5A" w:rsidRDefault="00BE6E22" w:rsidP="00BE6E22">
      <w:pPr>
        <w:spacing w:after="0" w:line="240" w:lineRule="auto"/>
        <w:jc w:val="both"/>
        <w:rPr>
          <w:rFonts w:ascii="Times New Roman" w:hAnsi="Times New Roman"/>
          <w:color w:val="0070C0"/>
          <w:sz w:val="16"/>
          <w:szCs w:val="16"/>
        </w:rPr>
      </w:pPr>
    </w:p>
    <w:p w14:paraId="0CDD3EC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1940 г. построили второй опытный самолет МБР-2. Заводские испытания завершились в июне, но к этому времени ближний морской разведчик уже не интересовал Заказчика, его задачи должен был выполнять корабельный разведчик КОР-2 (19727).</w:t>
      </w:r>
    </w:p>
    <w:p w14:paraId="1EBF4DB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C160A8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Представитель завода № 471 по внесенным изменениям в Г-11 Н.Тарасов писал Дир. Заволда № 471 В.К.Грибовскому (копия Военпреду завода № 471 капитану Б.Н.Шпан)</w:t>
      </w:r>
    </w:p>
    <w:p w14:paraId="649E9FB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РАПОРТ</w:t>
      </w:r>
    </w:p>
    <w:p w14:paraId="346295B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прибытии в п. Тейков мною были осмотрены все планера Г-11, находящиеся на Тейковском аэродроме. После осмотра мною установлено следующее:</w:t>
      </w:r>
    </w:p>
    <w:p w14:paraId="45172E1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Все планеры Г-11 храняться под открытым небом в лесу. Часть машин на ко лесах, часть на зимних лыжах. Некоторые машины стоят без прокладок.Так, например, головная машина без подкосов находится в грязи а хвостовая .лыжа совершенно сгнила.</w:t>
      </w:r>
    </w:p>
    <w:p w14:paraId="25508F5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Большинство машин совершенно не обслуживаются и находятся без надзора. В машинах грязь, стены, и двери фюзеляжа запачка</w:t>
      </w:r>
      <w:r w:rsidRPr="008127F8">
        <w:rPr>
          <w:rFonts w:ascii="Times New Roman" w:hAnsi="Times New Roman"/>
          <w:color w:val="000000" w:themeColor="text1"/>
          <w:sz w:val="16"/>
          <w:szCs w:val="16"/>
        </w:rPr>
        <w:softHyphen/>
        <w:t>ны. Металлические части с момента прибытия не смазывались.</w:t>
      </w:r>
    </w:p>
    <w:p w14:paraId="1E98963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время дождей вода проникала во внутрь машин и. ни кем своевременно не убиралась. Это привело к тому, что на большин</w:t>
      </w:r>
      <w:r w:rsidRPr="008127F8">
        <w:rPr>
          <w:rFonts w:ascii="Times New Roman" w:hAnsi="Times New Roman"/>
          <w:color w:val="000000" w:themeColor="text1"/>
          <w:sz w:val="16"/>
          <w:szCs w:val="16"/>
        </w:rPr>
        <w:softHyphen/>
        <w:t>стве машин отклеилась обшивка лонжерона фюзеляжа, отстала фанера, на 13 шпангоуте 9-10-11-12 шпангоуты, и верхней части раеклеились. На -б мааинах порвало нижнюю полку центроплана .Вода и сырость из этих лонжеронов своевременно не удалялись.</w:t>
      </w:r>
    </w:p>
    <w:p w14:paraId="5EC67A2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некоторых машинах имеется грязь, даже на верхней части центроплана и фюзеляжа.</w:t>
      </w:r>
    </w:p>
    <w:p w14:paraId="7F48949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Часть машин имеют в заднем лонжероне центроплана и ниж</w:t>
      </w:r>
      <w:r w:rsidRPr="008127F8">
        <w:rPr>
          <w:rFonts w:ascii="Times New Roman" w:hAnsi="Times New Roman"/>
          <w:color w:val="000000" w:themeColor="text1"/>
          <w:sz w:val="16"/>
          <w:szCs w:val="16"/>
        </w:rPr>
        <w:softHyphen/>
        <w:t>них полках просверленные отверстия диаметром около 8 мм., что на</w:t>
      </w:r>
      <w:r w:rsidRPr="008127F8">
        <w:rPr>
          <w:rFonts w:ascii="Times New Roman" w:hAnsi="Times New Roman"/>
          <w:color w:val="000000" w:themeColor="text1"/>
          <w:sz w:val="16"/>
          <w:szCs w:val="16"/>
        </w:rPr>
        <w:softHyphen/>
        <w:t>рушило прочность планера.</w:t>
      </w:r>
    </w:p>
    <w:p w14:paraId="1E7932B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Две машины Г-11 оборудованы под каптерки, в которых скла</w:t>
      </w:r>
      <w:r w:rsidRPr="008127F8">
        <w:rPr>
          <w:rFonts w:ascii="Times New Roman" w:hAnsi="Times New Roman"/>
          <w:color w:val="000000" w:themeColor="text1"/>
          <w:sz w:val="16"/>
          <w:szCs w:val="16"/>
        </w:rPr>
        <w:softHyphen/>
        <w:t>дываются колеса, краски бидоны, инструмент, брезент и др. предметы.</w:t>
      </w:r>
    </w:p>
    <w:p w14:paraId="2A9B191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Все шторки на машинах оборваны. Часть машин оставлены с одной половиной.</w:t>
      </w:r>
    </w:p>
    <w:p w14:paraId="1B1EE20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После прибытия консоли несколько дней лежали без прокла</w:t>
      </w:r>
      <w:r w:rsidRPr="008127F8">
        <w:rPr>
          <w:rFonts w:ascii="Times New Roman" w:hAnsi="Times New Roman"/>
          <w:color w:val="000000" w:themeColor="text1"/>
          <w:sz w:val="16"/>
          <w:szCs w:val="16"/>
        </w:rPr>
        <w:softHyphen/>
        <w:t>док на земле, в результате чего побиты АНО и имеют рад повреждений.</w:t>
      </w:r>
    </w:p>
    <w:p w14:paraId="0AD0CE8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На одной машине оторваны все целлулоидные окна в пасса</w:t>
      </w:r>
      <w:r w:rsidRPr="008127F8">
        <w:rPr>
          <w:rFonts w:ascii="Times New Roman" w:hAnsi="Times New Roman"/>
          <w:color w:val="000000" w:themeColor="text1"/>
          <w:sz w:val="16"/>
          <w:szCs w:val="16"/>
        </w:rPr>
        <w:softHyphen/>
        <w:t>жирской кабине.</w:t>
      </w:r>
    </w:p>
    <w:p w14:paraId="078FD12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головной машине с правой стороны у фонаря пилота отор</w:t>
      </w:r>
      <w:r w:rsidRPr="008127F8">
        <w:rPr>
          <w:rFonts w:ascii="Times New Roman" w:hAnsi="Times New Roman"/>
          <w:color w:val="000000" w:themeColor="text1"/>
          <w:sz w:val="16"/>
          <w:szCs w:val="16"/>
        </w:rPr>
        <w:softHyphen/>
        <w:t>ваны лист целлулоида размером 600 х 500 и отверстие заделано фанерой. На одной из машин сломана левая форточка фонаря пилота.</w:t>
      </w:r>
    </w:p>
    <w:p w14:paraId="3358BE2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Засть машин не имеют столиков пилота.</w:t>
      </w:r>
    </w:p>
    <w:p w14:paraId="6E82F1D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На всех машинах сломаны нижние люки.</w:t>
      </w:r>
    </w:p>
    <w:p w14:paraId="3083EC7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Залюзы центроплана поставлены небрежно, на скорую руку.</w:t>
      </w:r>
    </w:p>
    <w:p w14:paraId="50136FB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На нескольких .машинах оторваны кабанчики триммера РГ.</w:t>
      </w:r>
    </w:p>
    <w:p w14:paraId="14B19B3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На машине №-71031 нет вильчатого болта 16 мм, вследствии чего элероны правой консоли не подсоединены к системе управления.</w:t>
      </w:r>
    </w:p>
    <w:p w14:paraId="7C9B8D3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13. На однойиз машин сорваны загрузки к оторвана электро</w:t>
      </w:r>
      <w:r w:rsidRPr="008127F8">
        <w:rPr>
          <w:rFonts w:ascii="Times New Roman" w:hAnsi="Times New Roman"/>
          <w:color w:val="000000" w:themeColor="text1"/>
          <w:sz w:val="16"/>
          <w:szCs w:val="16"/>
        </w:rPr>
        <w:softHyphen/>
        <w:t>проводка меаду 8 и 9 шпангоутом.</w:t>
      </w:r>
    </w:p>
    <w:p w14:paraId="7685CF8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Компаса на большинстве машин не имеют подсвета.</w:t>
      </w:r>
    </w:p>
    <w:p w14:paraId="06771F6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На одной из машин сняты верхие крышки переходных колодок для борт. АНО, отсутствуют гайки. Провода на некоторых машинах из центроплан не заведены в фпвеляж при стыковке.</w:t>
      </w:r>
    </w:p>
    <w:p w14:paraId="22FD40B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некоторых машинах электрика не подсоединена.</w:t>
      </w:r>
    </w:p>
    <w:p w14:paraId="68A75A3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Имеется машины, на. которых люки на борт АНО открыты и не заклеены.</w:t>
      </w:r>
    </w:p>
    <w:p w14:paraId="773D6F6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некоторых консолях порвана обшивка и полотно.</w:t>
      </w:r>
    </w:p>
    <w:p w14:paraId="0AE7F12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Имеются машины с.полоианными:противовесами на РП к РГ.</w:t>
      </w:r>
    </w:p>
    <w:p w14:paraId="7F1B2F1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одной из машин сломана ручка /аварийная/ фонаря пилота.</w:t>
      </w:r>
    </w:p>
    <w:p w14:paraId="50EB9CD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На машине № 71029 сломана трубка "ПИТО".</w:t>
      </w:r>
    </w:p>
    <w:p w14:paraId="79EBCEC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Одна из машин окончательно не собрана.Тросса щитков спутаны Управление триммерами не подведено.</w:t>
      </w:r>
    </w:p>
    <w:p w14:paraId="66685B6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При вскрытии верхнего пола на головной машине обнаружено:</w:t>
      </w:r>
    </w:p>
    <w:p w14:paraId="4C87070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Пробита нижняя обшивка фюзелфжа.</w:t>
      </w:r>
    </w:p>
    <w:p w14:paraId="7325B9D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Между</w:t>
      </w:r>
      <w:r w:rsidRPr="008127F8">
        <w:rPr>
          <w:rFonts w:ascii="Times New Roman" w:hAnsi="Times New Roman"/>
          <w:smallCaps/>
          <w:color w:val="000000" w:themeColor="text1"/>
          <w:sz w:val="16"/>
          <w:szCs w:val="16"/>
        </w:rPr>
        <w:t xml:space="preserve"> 10 и 11</w:t>
      </w:r>
      <w:r w:rsidRPr="008127F8">
        <w:rPr>
          <w:rFonts w:ascii="Times New Roman" w:hAnsi="Times New Roman"/>
          <w:color w:val="000000" w:themeColor="text1"/>
          <w:sz w:val="16"/>
          <w:szCs w:val="16"/>
        </w:rPr>
        <w:t xml:space="preserve"> шпангоутами набита земля до верхнего пола.</w:t>
      </w:r>
    </w:p>
    <w:p w14:paraId="0957313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Тяга управления РГ и тросса РП находились в земле.</w:t>
      </w:r>
    </w:p>
    <w:p w14:paraId="7107E92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Сашина лежала с поломанными подкосами на земле до момента наше приезда (2503,14).</w:t>
      </w:r>
    </w:p>
    <w:p w14:paraId="5788D67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983D6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года руководство ВВС КА поставило перед наркоматом авиа</w:t>
      </w:r>
      <w:r w:rsidRPr="008127F8">
        <w:rPr>
          <w:rFonts w:ascii="Times New Roman" w:hAnsi="Times New Roman"/>
          <w:color w:val="000000" w:themeColor="text1"/>
          <w:sz w:val="16"/>
          <w:szCs w:val="16"/>
        </w:rPr>
        <w:softHyphen/>
        <w:t>ционной промышленности вопрос о возобновлении работ по ТРД. В сво</w:t>
      </w:r>
      <w:r w:rsidRPr="008127F8">
        <w:rPr>
          <w:rFonts w:ascii="Times New Roman" w:hAnsi="Times New Roman"/>
          <w:color w:val="000000" w:themeColor="text1"/>
          <w:sz w:val="16"/>
          <w:szCs w:val="16"/>
        </w:rPr>
        <w:softHyphen/>
        <w:t>ем обращении к А.И.Шахурину ге</w:t>
      </w:r>
      <w:r w:rsidRPr="008127F8">
        <w:rPr>
          <w:rFonts w:ascii="Times New Roman" w:hAnsi="Times New Roman"/>
          <w:color w:val="000000" w:themeColor="text1"/>
          <w:sz w:val="16"/>
          <w:szCs w:val="16"/>
        </w:rPr>
        <w:softHyphen/>
        <w:t>нерал-полковник авиации П.Ф.Жигарев писал:</w:t>
      </w:r>
    </w:p>
    <w:p w14:paraId="6678EF7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До 15 июля 1941 года спе</w:t>
      </w:r>
      <w:r w:rsidRPr="008127F8">
        <w:rPr>
          <w:rFonts w:ascii="Times New Roman" w:hAnsi="Times New Roman"/>
          <w:color w:val="000000" w:themeColor="text1"/>
          <w:sz w:val="16"/>
          <w:szCs w:val="16"/>
        </w:rPr>
        <w:softHyphen/>
        <w:t>циальным конструкторским бюро (СКВ-1) Кировского завода в Ленинг</w:t>
      </w:r>
      <w:r w:rsidRPr="008127F8">
        <w:rPr>
          <w:rFonts w:ascii="Times New Roman" w:hAnsi="Times New Roman"/>
          <w:color w:val="000000" w:themeColor="text1"/>
          <w:sz w:val="16"/>
          <w:szCs w:val="16"/>
        </w:rPr>
        <w:softHyphen/>
        <w:t>раде проектировался и строился га</w:t>
      </w:r>
      <w:r w:rsidRPr="008127F8">
        <w:rPr>
          <w:rFonts w:ascii="Times New Roman" w:hAnsi="Times New Roman"/>
          <w:color w:val="000000" w:themeColor="text1"/>
          <w:sz w:val="16"/>
          <w:szCs w:val="16"/>
        </w:rPr>
        <w:softHyphen/>
        <w:t>зотурбинный реактивный двигатель инженера Люльки.</w:t>
      </w:r>
    </w:p>
    <w:p w14:paraId="4887678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Состояние работ по созданию ВРД инженера Люльки к 15.07.41 г. было следующим.</w:t>
      </w:r>
    </w:p>
    <w:p w14:paraId="0D9C2BF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Стендовый образец газотурбин</w:t>
      </w:r>
      <w:r w:rsidRPr="008127F8">
        <w:rPr>
          <w:rFonts w:ascii="Times New Roman" w:hAnsi="Times New Roman"/>
          <w:color w:val="000000" w:themeColor="text1"/>
          <w:sz w:val="16"/>
          <w:szCs w:val="16"/>
        </w:rPr>
        <w:softHyphen/>
        <w:t>ного реактивного двигателя (РД-1) мощ</w:t>
      </w:r>
      <w:r w:rsidRPr="008127F8">
        <w:rPr>
          <w:rFonts w:ascii="Times New Roman" w:hAnsi="Times New Roman"/>
          <w:color w:val="000000" w:themeColor="text1"/>
          <w:sz w:val="16"/>
          <w:szCs w:val="16"/>
        </w:rPr>
        <w:softHyphen/>
        <w:t>ностью 1000л.с. изготовлен на 70%.</w:t>
      </w:r>
    </w:p>
    <w:p w14:paraId="3B5089B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Рабочий проект модернизиро</w:t>
      </w:r>
      <w:r w:rsidRPr="008127F8">
        <w:rPr>
          <w:rFonts w:ascii="Times New Roman" w:hAnsi="Times New Roman"/>
          <w:color w:val="000000" w:themeColor="text1"/>
          <w:sz w:val="16"/>
          <w:szCs w:val="16"/>
        </w:rPr>
        <w:softHyphen/>
        <w:t>ванного РД-1 (МРД-1) мощностью ЮООл.с., предназначенного для лет</w:t>
      </w:r>
      <w:r w:rsidRPr="008127F8">
        <w:rPr>
          <w:rFonts w:ascii="Times New Roman" w:hAnsi="Times New Roman"/>
          <w:color w:val="000000" w:themeColor="text1"/>
          <w:sz w:val="16"/>
          <w:szCs w:val="16"/>
        </w:rPr>
        <w:softHyphen/>
        <w:t>ных испытаний, полностью закончен и был запущен в производство. Вы</w:t>
      </w:r>
      <w:r w:rsidRPr="008127F8">
        <w:rPr>
          <w:rFonts w:ascii="Times New Roman" w:hAnsi="Times New Roman"/>
          <w:color w:val="000000" w:themeColor="text1"/>
          <w:sz w:val="16"/>
          <w:szCs w:val="16"/>
        </w:rPr>
        <w:softHyphen/>
        <w:t>полнено 20% всего объема работ по этому проекту.</w:t>
      </w:r>
    </w:p>
    <w:p w14:paraId="1BBFEE2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Полностью закончен анализ схемы и дан эскизный проект газо</w:t>
      </w:r>
      <w:r w:rsidRPr="008127F8">
        <w:rPr>
          <w:rFonts w:ascii="Times New Roman" w:hAnsi="Times New Roman"/>
          <w:color w:val="000000" w:themeColor="text1"/>
          <w:sz w:val="16"/>
          <w:szCs w:val="16"/>
        </w:rPr>
        <w:softHyphen/>
        <w:t>турбинного реактивного двигателя РД-2 мощностью 2500л.с.</w:t>
      </w:r>
    </w:p>
    <w:p w14:paraId="2D20ECC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прекращения работ по со</w:t>
      </w:r>
      <w:r w:rsidRPr="008127F8">
        <w:rPr>
          <w:rFonts w:ascii="Times New Roman" w:hAnsi="Times New Roman"/>
          <w:color w:val="000000" w:themeColor="text1"/>
          <w:sz w:val="16"/>
          <w:szCs w:val="16"/>
        </w:rPr>
        <w:softHyphen/>
        <w:t>зданию РД весь инженерно-техни</w:t>
      </w:r>
      <w:r w:rsidRPr="008127F8">
        <w:rPr>
          <w:rFonts w:ascii="Times New Roman" w:hAnsi="Times New Roman"/>
          <w:color w:val="000000" w:themeColor="text1"/>
          <w:sz w:val="16"/>
          <w:szCs w:val="16"/>
        </w:rPr>
        <w:softHyphen/>
        <w:t>ческий состав СКБ-1 был передан в СКБ-2 Кировского завода, кото</w:t>
      </w:r>
      <w:r w:rsidRPr="008127F8">
        <w:rPr>
          <w:rFonts w:ascii="Times New Roman" w:hAnsi="Times New Roman"/>
          <w:color w:val="000000" w:themeColor="text1"/>
          <w:sz w:val="16"/>
          <w:szCs w:val="16"/>
        </w:rPr>
        <w:softHyphen/>
        <w:t>рое в настоящее время находится в Челябинске на ЧТЗ.</w:t>
      </w:r>
    </w:p>
    <w:p w14:paraId="632812C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Изготовленные детали реактив</w:t>
      </w:r>
      <w:r w:rsidRPr="008127F8">
        <w:rPr>
          <w:rFonts w:ascii="Times New Roman" w:hAnsi="Times New Roman"/>
          <w:color w:val="000000" w:themeColor="text1"/>
          <w:sz w:val="16"/>
          <w:szCs w:val="16"/>
        </w:rPr>
        <w:softHyphen/>
        <w:t>ных двигателей РД-1 и МРД-1, агре</w:t>
      </w:r>
      <w:r w:rsidRPr="008127F8">
        <w:rPr>
          <w:rFonts w:ascii="Times New Roman" w:hAnsi="Times New Roman"/>
          <w:color w:val="000000" w:themeColor="text1"/>
          <w:sz w:val="16"/>
          <w:szCs w:val="16"/>
        </w:rPr>
        <w:softHyphen/>
        <w:t>гаты установки, лабораторное обо</w:t>
      </w:r>
      <w:r w:rsidRPr="008127F8">
        <w:rPr>
          <w:rFonts w:ascii="Times New Roman" w:hAnsi="Times New Roman"/>
          <w:color w:val="000000" w:themeColor="text1"/>
          <w:sz w:val="16"/>
          <w:szCs w:val="16"/>
        </w:rPr>
        <w:softHyphen/>
        <w:t>рудование и рабочие чертежи ос</w:t>
      </w:r>
      <w:r w:rsidRPr="008127F8">
        <w:rPr>
          <w:rFonts w:ascii="Times New Roman" w:hAnsi="Times New Roman"/>
          <w:color w:val="000000" w:themeColor="text1"/>
          <w:sz w:val="16"/>
          <w:szCs w:val="16"/>
        </w:rPr>
        <w:softHyphen/>
        <w:t>тались в Ленинграде на Кировском заводе.</w:t>
      </w:r>
    </w:p>
    <w:p w14:paraId="1365A55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важность работ по окон</w:t>
      </w:r>
      <w:r w:rsidRPr="008127F8">
        <w:rPr>
          <w:rFonts w:ascii="Times New Roman" w:hAnsi="Times New Roman"/>
          <w:color w:val="000000" w:themeColor="text1"/>
          <w:sz w:val="16"/>
          <w:szCs w:val="16"/>
        </w:rPr>
        <w:softHyphen/>
        <w:t>чанию строительства и доводки ре</w:t>
      </w:r>
      <w:r w:rsidRPr="008127F8">
        <w:rPr>
          <w:rFonts w:ascii="Times New Roman" w:hAnsi="Times New Roman"/>
          <w:color w:val="000000" w:themeColor="text1"/>
          <w:sz w:val="16"/>
          <w:szCs w:val="16"/>
        </w:rPr>
        <w:softHyphen/>
        <w:t>активного двигателя инженера Люльки, а также необходимость бы</w:t>
      </w:r>
      <w:r w:rsidRPr="008127F8">
        <w:rPr>
          <w:rFonts w:ascii="Times New Roman" w:hAnsi="Times New Roman"/>
          <w:color w:val="000000" w:themeColor="text1"/>
          <w:sz w:val="16"/>
          <w:szCs w:val="16"/>
        </w:rPr>
        <w:softHyphen/>
        <w:t>стрейшего внедрения подобных ре</w:t>
      </w:r>
      <w:r w:rsidRPr="008127F8">
        <w:rPr>
          <w:rFonts w:ascii="Times New Roman" w:hAnsi="Times New Roman"/>
          <w:color w:val="000000" w:themeColor="text1"/>
          <w:sz w:val="16"/>
          <w:szCs w:val="16"/>
        </w:rPr>
        <w:softHyphen/>
        <w:t>активных двигателей в авиацию, про</w:t>
      </w:r>
      <w:r w:rsidRPr="008127F8">
        <w:rPr>
          <w:rFonts w:ascii="Times New Roman" w:hAnsi="Times New Roman"/>
          <w:color w:val="000000" w:themeColor="text1"/>
          <w:sz w:val="16"/>
          <w:szCs w:val="16"/>
        </w:rPr>
        <w:softHyphen/>
        <w:t>шу включить эту работу в тематику работ завода 293, а группу инже</w:t>
      </w:r>
      <w:r w:rsidRPr="008127F8">
        <w:rPr>
          <w:rFonts w:ascii="Times New Roman" w:hAnsi="Times New Roman"/>
          <w:color w:val="000000" w:themeColor="text1"/>
          <w:sz w:val="16"/>
          <w:szCs w:val="16"/>
        </w:rPr>
        <w:softHyphen/>
        <w:t>нера Люльки передать заводу и ис</w:t>
      </w:r>
      <w:r w:rsidRPr="008127F8">
        <w:rPr>
          <w:rFonts w:ascii="Times New Roman" w:hAnsi="Times New Roman"/>
          <w:color w:val="000000" w:themeColor="text1"/>
          <w:sz w:val="16"/>
          <w:szCs w:val="16"/>
        </w:rPr>
        <w:softHyphen/>
        <w:t>пользовать ее для окончания этой работы» (10706).</w:t>
      </w:r>
    </w:p>
    <w:p w14:paraId="3D84481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CEFD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на авиазаводе № 153 расценки были сни</w:t>
      </w:r>
      <w:r w:rsidRPr="008127F8">
        <w:rPr>
          <w:rFonts w:ascii="Times New Roman" w:hAnsi="Times New Roman"/>
          <w:color w:val="000000" w:themeColor="text1"/>
          <w:sz w:val="16"/>
          <w:szCs w:val="16"/>
        </w:rPr>
        <w:softHyphen/>
        <w:t>жены на 22,3 %, а нормы времени на изготовление изделий урезаны в среднем на 21 % (</w:t>
      </w:r>
      <w:r w:rsidRPr="008127F8">
        <w:rPr>
          <w:rFonts w:ascii="Times New Roman" w:hAnsi="Times New Roman"/>
          <w:iCs/>
          <w:color w:val="000000" w:themeColor="text1"/>
          <w:sz w:val="16"/>
          <w:szCs w:val="16"/>
        </w:rPr>
        <w:t>Савицкий ИМ.</w:t>
      </w:r>
      <w:r w:rsidRPr="008127F8">
        <w:rPr>
          <w:rFonts w:ascii="Times New Roman" w:hAnsi="Times New Roman"/>
          <w:color w:val="000000" w:themeColor="text1"/>
          <w:sz w:val="16"/>
          <w:szCs w:val="16"/>
        </w:rPr>
        <w:t xml:space="preserve"> Указ. соч. С. 280) (12011).</w:t>
      </w:r>
    </w:p>
    <w:p w14:paraId="1DD8C7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5DA60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весны 1942 г. установка радиооборудования на самолетах-истребителях (МиГ-3, Як-1, ЛаГТ-3) стала более-менее распространенной, а с августа - обязательной. При этом передатчики вначале имела лишь каждая десятая машина, с августа 42-го - каждая пятая, а с октября - каждая четвертая. На остальные ставили только приемники (15137).</w:t>
      </w:r>
    </w:p>
    <w:p w14:paraId="43B7E3A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0A4D6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начался возврат оборудования на завод 36 из Челябинска. Это позволило улучшить качество и увеличить ассортимент выпускаемой продукции (3092).</w:t>
      </w:r>
    </w:p>
    <w:p w14:paraId="4ED086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B49BCA" w14:textId="77777777" w:rsidR="007C5583" w:rsidRPr="008127F8" w:rsidRDefault="007C5583" w:rsidP="007C5583">
      <w:pPr>
        <w:pStyle w:val="a4"/>
        <w:rPr>
          <w:color w:val="000000" w:themeColor="text1"/>
          <w:lang w:val="ru-RU"/>
        </w:rPr>
      </w:pPr>
      <w:r w:rsidRPr="008127F8">
        <w:rPr>
          <w:color w:val="000000" w:themeColor="text1"/>
          <w:lang w:val="ru-RU"/>
        </w:rPr>
        <w:t xml:space="preserve">Весной 1942 г. в Люфтваффе стали поступать истребители Мессершмитт </w:t>
      </w:r>
      <w:r w:rsidRPr="008127F8">
        <w:rPr>
          <w:color w:val="000000" w:themeColor="text1"/>
        </w:rPr>
        <w:t>Bf</w:t>
      </w:r>
      <w:r w:rsidRPr="008127F8">
        <w:rPr>
          <w:color w:val="000000" w:themeColor="text1"/>
          <w:lang w:val="ru-RU"/>
        </w:rPr>
        <w:t xml:space="preserve"> 1 09</w:t>
      </w:r>
      <w:r w:rsidRPr="008127F8">
        <w:rPr>
          <w:color w:val="000000" w:themeColor="text1"/>
        </w:rPr>
        <w:t>G</w:t>
      </w:r>
      <w:r w:rsidRPr="008127F8">
        <w:rPr>
          <w:color w:val="000000" w:themeColor="text1"/>
          <w:lang w:val="ru-RU"/>
        </w:rPr>
        <w:t>-2, которые удивительным образом походили на МиГи. Не в плане внешнего вида, а в части лётно-тактических характеристик. Конечно, благодаря более мощному мотору (</w:t>
      </w:r>
      <w:r w:rsidRPr="008127F8">
        <w:rPr>
          <w:color w:val="000000" w:themeColor="text1"/>
        </w:rPr>
        <w:t>DB</w:t>
      </w:r>
      <w:r w:rsidRPr="008127F8">
        <w:rPr>
          <w:color w:val="000000" w:themeColor="text1"/>
          <w:lang w:val="ru-RU"/>
        </w:rPr>
        <w:t xml:space="preserve"> 605А, 1475 л.с. на взлёте и 1250 л.с. на расчётной высоте) они были лучше. Но если по</w:t>
      </w:r>
      <w:r w:rsidRPr="008127F8">
        <w:rPr>
          <w:color w:val="000000" w:themeColor="text1"/>
          <w:lang w:val="ru-RU"/>
        </w:rPr>
        <w:softHyphen/>
        <w:t>смотреть, то и максимальные скорости у них находились в диапазоне высот 6 - 8 км, и практи</w:t>
      </w:r>
      <w:r w:rsidRPr="008127F8">
        <w:rPr>
          <w:color w:val="000000" w:themeColor="text1"/>
          <w:lang w:val="ru-RU"/>
        </w:rPr>
        <w:softHyphen/>
        <w:t>ческий потолок под 1 2000 м, и вариант вооружения хочешь трёхточечный, а хочешь пятиточеч</w:t>
      </w:r>
      <w:r w:rsidRPr="008127F8">
        <w:rPr>
          <w:color w:val="000000" w:themeColor="text1"/>
          <w:lang w:val="ru-RU"/>
        </w:rPr>
        <w:softHyphen/>
        <w:t xml:space="preserve">ный, и время виража 20 - 22,6 с, да и взлётная масса достигла значения МиГ-1. Причём выпуск истребителей </w:t>
      </w:r>
      <w:r w:rsidRPr="008127F8">
        <w:rPr>
          <w:color w:val="000000" w:themeColor="text1"/>
        </w:rPr>
        <w:t>Bf</w:t>
      </w:r>
      <w:r w:rsidRPr="008127F8">
        <w:rPr>
          <w:color w:val="000000" w:themeColor="text1"/>
          <w:lang w:val="ru-RU"/>
        </w:rPr>
        <w:t xml:space="preserve"> 109</w:t>
      </w:r>
      <w:r w:rsidRPr="008127F8">
        <w:rPr>
          <w:color w:val="000000" w:themeColor="text1"/>
        </w:rPr>
        <w:t>G</w:t>
      </w:r>
      <w:r w:rsidRPr="008127F8">
        <w:rPr>
          <w:color w:val="000000" w:themeColor="text1"/>
          <w:lang w:val="ru-RU"/>
        </w:rPr>
        <w:t xml:space="preserve"> в различных вариантах составил 2/3 от общего объёма производства </w:t>
      </w:r>
      <w:r w:rsidRPr="008127F8">
        <w:rPr>
          <w:color w:val="000000" w:themeColor="text1"/>
        </w:rPr>
        <w:t>Bf</w:t>
      </w:r>
      <w:r w:rsidRPr="008127F8">
        <w:rPr>
          <w:color w:val="000000" w:themeColor="text1"/>
          <w:lang w:val="ru-RU"/>
        </w:rPr>
        <w:t xml:space="preserve"> 1 09 всех модификаций.</w:t>
      </w:r>
    </w:p>
    <w:p w14:paraId="1BC95041" w14:textId="77777777" w:rsidR="007C5583" w:rsidRPr="008127F8" w:rsidRDefault="007C5583" w:rsidP="007C5583">
      <w:pPr>
        <w:pStyle w:val="a4"/>
        <w:rPr>
          <w:color w:val="000000" w:themeColor="text1"/>
          <w:lang w:val="ru-RU"/>
        </w:rPr>
      </w:pPr>
      <w:r w:rsidRPr="008127F8">
        <w:rPr>
          <w:color w:val="000000" w:themeColor="text1"/>
          <w:lang w:val="ru-RU"/>
        </w:rPr>
        <w:t>Возможно, после испытания МиГ-3 в Германии немецкие специалисты сделали соответству</w:t>
      </w:r>
      <w:r w:rsidRPr="008127F8">
        <w:rPr>
          <w:color w:val="000000" w:themeColor="text1"/>
          <w:lang w:val="ru-RU"/>
        </w:rPr>
        <w:softHyphen/>
        <w:t>ющие выводы, так как понимали, что новый русский истребитель имеет большой потенциал для совершенствования и необходимо создавать ему своего рода противовес, впрочем, как и ан</w:t>
      </w:r>
      <w:r w:rsidRPr="008127F8">
        <w:rPr>
          <w:color w:val="000000" w:themeColor="text1"/>
          <w:lang w:val="ru-RU"/>
        </w:rPr>
        <w:softHyphen/>
        <w:t>глийскому «Спитфайру». Тем более, и МиГ-3, и «Спитфайр» как нельзя лучше подходили для борьбы с бомбардировщиками на больших высотах. В то же время Люфтваффе подобными вы</w:t>
      </w:r>
      <w:r w:rsidRPr="008127F8">
        <w:rPr>
          <w:color w:val="000000" w:themeColor="text1"/>
          <w:lang w:val="ru-RU"/>
        </w:rPr>
        <w:softHyphen/>
        <w:t>сотными машинами не располагало, а массированные налёты стратегической авиации наших союзников на Германию были не за горами (1 943 г.). Правда, не знали немецкие конструкторы, что уже в декабре 1941 г. МиГ-3 сняли с серийного производства, и его создатели так и не смогли воплотить в жизнь заложенные в него возможности (15976).</w:t>
      </w:r>
    </w:p>
    <w:p w14:paraId="1518861D" w14:textId="77777777" w:rsidR="007C5583" w:rsidRPr="008127F8" w:rsidRDefault="007C5583" w:rsidP="007C5583">
      <w:pPr>
        <w:pStyle w:val="a4"/>
        <w:rPr>
          <w:color w:val="000000" w:themeColor="text1"/>
          <w:lang w:val="ru-RU"/>
        </w:rPr>
      </w:pPr>
    </w:p>
    <w:p w14:paraId="68DDB85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Синьцзянский дубань Шэн Шицай резко изменил свою политическую «ориентацию», ступив на путь откро</w:t>
      </w:r>
      <w:r w:rsidRPr="008127F8">
        <w:rPr>
          <w:rFonts w:ascii="Times New Roman" w:hAnsi="Times New Roman"/>
          <w:color w:val="000000" w:themeColor="text1"/>
          <w:sz w:val="16"/>
          <w:szCs w:val="16"/>
        </w:rPr>
        <w:softHyphen/>
        <w:t>венного антисоветизма, впрочем, при негласной поддержке Чан Кайши.</w:t>
      </w:r>
    </w:p>
    <w:p w14:paraId="1CF6999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Что этому стало причиной— до конца неясно, в качестве основных версий могут вы</w:t>
      </w:r>
      <w:r w:rsidRPr="008127F8">
        <w:rPr>
          <w:rFonts w:ascii="Times New Roman" w:hAnsi="Times New Roman"/>
          <w:color w:val="000000" w:themeColor="text1"/>
          <w:sz w:val="16"/>
          <w:szCs w:val="16"/>
        </w:rPr>
        <w:softHyphen/>
        <w:t>ступать две. Первая — прекращение в 1941 г. транзита военных грузов из СССР в Ки</w:t>
      </w:r>
      <w:r w:rsidRPr="008127F8">
        <w:rPr>
          <w:rFonts w:ascii="Times New Roman" w:hAnsi="Times New Roman"/>
          <w:color w:val="000000" w:themeColor="text1"/>
          <w:sz w:val="16"/>
          <w:szCs w:val="16"/>
        </w:rPr>
        <w:softHyphen/>
        <w:t>тай из-за заключения с Японией пакта о ненападении и начала Великой Отечественной войны. Между тем в 1942-1944 гг. Китай не терял надежды вновь организовать транзит военных грузов из США и Англии через Иран, СССР и Синьцзян.</w:t>
      </w:r>
    </w:p>
    <w:p w14:paraId="3B6FB6A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Второй (и более вероятной) версией резкой смены отношений Шэн Шицая к СССР мог</w:t>
      </w:r>
      <w:r w:rsidRPr="008127F8">
        <w:rPr>
          <w:rFonts w:ascii="Times New Roman" w:hAnsi="Times New Roman"/>
          <w:color w:val="000000" w:themeColor="text1"/>
          <w:sz w:val="16"/>
          <w:szCs w:val="16"/>
        </w:rPr>
        <w:softHyphen/>
        <w:t>ло стать убийство его младшего брата Шэн Шици весной 1942 г. Кто и зачем это сделал, так до конца и не выяснили, но дубань обвинил во всем советские спецслужбы. 10 мая 1942 г. Шэн Шицай отправил в СНК СССР письмо на имя И.В. Сталина, В.М. Молотова и маршалов К.Е. Ворошилова и С.К. Тимошенко с изложением обвинений советских работ</w:t>
      </w:r>
      <w:r w:rsidRPr="008127F8">
        <w:rPr>
          <w:rFonts w:ascii="Times New Roman" w:hAnsi="Times New Roman"/>
          <w:color w:val="000000" w:themeColor="text1"/>
          <w:sz w:val="16"/>
          <w:szCs w:val="16"/>
        </w:rPr>
        <w:softHyphen/>
        <w:t>ников в Синьцзяне в провоцировании ухудшения советско-китайских отношений (15811).</w:t>
      </w:r>
    </w:p>
    <w:p w14:paraId="47BE513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B3DDE07" w14:textId="77777777" w:rsidR="007C5583" w:rsidRPr="008127F8" w:rsidRDefault="007C5583" w:rsidP="007C5583">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Весной 1942 года в Новороссийске, где базировалась 2-я бригада торпедных катеров, группа моряков во главе с инженером капитаном 3-го ранга Николаем Ивановичем Ясуловичем изучила армейскую установку для стрельбы снарядами М-8. Габариты не позволяли разместить её на торпедном катере типа Г-5, и Ясулович взялся сделать портативный вариант с четырьмя направляющими. Первый образец был изготовлен в течение восьми дней и смонтирован на ТКА №175. Испытания проходили с 10 по 15 мая в районе Цемесской бухты на глазах специальной комиссии из представителей штаба Черноморского флота. По итогам контр-адмирал Иван Дмитриевич Елисеев приказал командиру 2-й бригады снабдить «эрэсами» торпедные катера типа Д-3 и СМ-3.</w:t>
      </w:r>
    </w:p>
    <w:p w14:paraId="3F7B9DD7" w14:textId="77777777" w:rsidR="007C5583" w:rsidRPr="008127F8" w:rsidRDefault="007C5583" w:rsidP="007C5583">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Через месяц, в ночь с 17 на 18 июля, два катера старшего лейтенанта Кочнева приняли участие в набеге на Ялту с целью торпедирования вражеских судов. Благодаря реактивным установкам им удалось подавить наиболее опасные наземные огневые точки противника и даже обратить в бегство его дозорный корабль (19941).</w:t>
      </w:r>
    </w:p>
    <w:p w14:paraId="04631F25" w14:textId="77777777" w:rsidR="007C5583" w:rsidRPr="008127F8" w:rsidRDefault="007C5583" w:rsidP="007C5583">
      <w:pPr>
        <w:pStyle w:val="af"/>
        <w:shd w:val="clear" w:color="auto" w:fill="FFFFFF"/>
        <w:spacing w:before="0" w:after="0"/>
        <w:jc w:val="both"/>
        <w:textAlignment w:val="baseline"/>
        <w:rPr>
          <w:color w:val="000000" w:themeColor="text1"/>
          <w:sz w:val="16"/>
          <w:szCs w:val="16"/>
        </w:rPr>
      </w:pPr>
    </w:p>
    <w:p w14:paraId="69AE80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667E88C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D74C1A" w14:textId="77777777" w:rsidR="00E94A4B" w:rsidRPr="008A2E5A" w:rsidRDefault="00E94A4B" w:rsidP="00E94A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года на завод в Пермь приехал заместитель наркома боеприпа</w:t>
      </w:r>
      <w:r w:rsidRPr="008A2E5A">
        <w:rPr>
          <w:rFonts w:ascii="Times New Roman" w:hAnsi="Times New Roman"/>
          <w:color w:val="0070C0"/>
          <w:sz w:val="16"/>
          <w:szCs w:val="16"/>
        </w:rPr>
        <w:softHyphen/>
        <w:t>сов Кирилл Сергеевич Гамов. Осмотрев основное производство, он зашел в опытную мастерскую и сра</w:t>
      </w:r>
      <w:r w:rsidRPr="008A2E5A">
        <w:rPr>
          <w:rFonts w:ascii="Times New Roman" w:hAnsi="Times New Roman"/>
          <w:color w:val="0070C0"/>
          <w:sz w:val="16"/>
          <w:szCs w:val="16"/>
        </w:rPr>
        <w:softHyphen/>
        <w:t>зу понял, сколь нужное для страны дело затеяли конструкторы. Результаты экспериментов были более чем скромны, но Гамов принял смелое решение: одновременно организовать экспе</w:t>
      </w:r>
      <w:r w:rsidRPr="008A2E5A">
        <w:rPr>
          <w:rFonts w:ascii="Times New Roman" w:hAnsi="Times New Roman"/>
          <w:color w:val="0070C0"/>
          <w:sz w:val="16"/>
          <w:szCs w:val="16"/>
        </w:rPr>
        <w:softHyphen/>
        <w:t>риментальные работы на опытной установке, а также проек</w:t>
      </w:r>
      <w:r w:rsidRPr="008A2E5A">
        <w:rPr>
          <w:rFonts w:ascii="Times New Roman" w:hAnsi="Times New Roman"/>
          <w:color w:val="0070C0"/>
          <w:sz w:val="16"/>
          <w:szCs w:val="16"/>
        </w:rPr>
        <w:softHyphen/>
        <w:t>тирование и строительство производственного цеха большой мощности. Огромный цех с новым технологическим оборудо</w:t>
      </w:r>
      <w:r w:rsidRPr="008A2E5A">
        <w:rPr>
          <w:rFonts w:ascii="Times New Roman" w:hAnsi="Times New Roman"/>
          <w:color w:val="0070C0"/>
          <w:sz w:val="16"/>
          <w:szCs w:val="16"/>
        </w:rPr>
        <w:softHyphen/>
        <w:t>ванием решено было строить до отработки этого оборудова</w:t>
      </w:r>
      <w:r w:rsidRPr="008A2E5A">
        <w:rPr>
          <w:rFonts w:ascii="Times New Roman" w:hAnsi="Times New Roman"/>
          <w:color w:val="0070C0"/>
          <w:sz w:val="16"/>
          <w:szCs w:val="16"/>
        </w:rPr>
        <w:softHyphen/>
        <w:t>ния. За ошибки можно было поплатиться головой.</w:t>
      </w:r>
    </w:p>
    <w:p w14:paraId="788F7E93" w14:textId="77777777" w:rsidR="00E94A4B" w:rsidRPr="008A2E5A" w:rsidRDefault="00E94A4B" w:rsidP="00E94A4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Забрав с собой Бакаева, Гамов возвратился в Москву «пробивать» постановление ГКО. 18 мая 1942 года постановле</w:t>
      </w:r>
      <w:r w:rsidRPr="008A2E5A">
        <w:rPr>
          <w:rFonts w:ascii="Times New Roman" w:hAnsi="Times New Roman"/>
          <w:color w:val="0070C0"/>
          <w:sz w:val="16"/>
          <w:szCs w:val="16"/>
        </w:rPr>
        <w:softHyphen/>
        <w:t>ние вышло. К маю 1943 года новый цех должен был поставить первую продукцию фронту (23510).</w:t>
      </w:r>
    </w:p>
    <w:p w14:paraId="33F7B448" w14:textId="77777777" w:rsidR="00E94A4B" w:rsidRPr="008A2E5A" w:rsidRDefault="00E94A4B" w:rsidP="00E94A4B">
      <w:pPr>
        <w:spacing w:after="0" w:line="240" w:lineRule="auto"/>
        <w:jc w:val="both"/>
        <w:rPr>
          <w:rFonts w:ascii="Times New Roman" w:hAnsi="Times New Roman"/>
          <w:color w:val="0070C0"/>
          <w:sz w:val="16"/>
          <w:szCs w:val="16"/>
        </w:rPr>
      </w:pPr>
    </w:p>
    <w:p w14:paraId="1F515D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года на заводе № 172 был изготовлен опытный образец 45-мм ПТП М-42 (3861).</w:t>
      </w:r>
    </w:p>
    <w:p w14:paraId="0F83C8E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C041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Весной 1942 специалистами АНИОПа в инициативном порядке началась разработка реактивной системы большой мощности началась. Руководили разработкой </w:t>
      </w:r>
      <w:r w:rsidRPr="008127F8">
        <w:rPr>
          <w:rFonts w:ascii="Times New Roman" w:hAnsi="Times New Roman"/>
          <w:color w:val="000000" w:themeColor="text1"/>
          <w:sz w:val="16"/>
          <w:szCs w:val="16"/>
        </w:rPr>
        <w:lastRenderedPageBreak/>
        <w:t>С.М.Серебряков и М.Н.Алешков. В разработке принимали участие Галкин, Иевлева, Гликин. Проект разрабатывался на базе материалов, помещенных в технической литературе (информации из Разведывательного бюллетеня №8 за 1941 год), деталей 320-мм зажигательной мины, доставленной на полигон из артуправления Ленинградского фронта, и 280-мм фугасной мины от немецкого "метательного аппарата 40". Первоначально разрабатывался проект “тяжелого газомета ГМ-320”, в состав которого входили:</w:t>
      </w:r>
    </w:p>
    <w:p w14:paraId="63A9528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325-мм зажигательная мина реактивного действия ГМ-320;</w:t>
      </w:r>
    </w:p>
    <w:p w14:paraId="71CFE4F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упаковочный ящик ГМ-32-1;</w:t>
      </w:r>
    </w:p>
    <w:p w14:paraId="4F8F2B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рама ГМ-320-2, рассчитанная на два ящика.</w:t>
      </w:r>
    </w:p>
    <w:p w14:paraId="427CE78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Параллельно с этим в АНИОПе велась разработка других проектов: проект 280-мм фугасной мины; проект деревянных упаковочных ящиков к 280-мм фугасным минам, проект деревянных упаковочного ящика к 325-мм зажигательной мине; проект металлической рамы, рассчитанной на установку 4-х ящиков с минами.</w:t>
      </w:r>
    </w:p>
    <w:p w14:paraId="4CCB66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Конструкция “газоминометов” и их чертежи были разработаны в АНИОПе. Разработка двух типов снарядов калибра 280-мм и 320-мм велась на базе трофейного немецкого 280-мм реактивного фугасного снаряда. При этом возникло много трудностей при воспроизведении отдельных элементов в блокадном Ленинграде. Для реализации проекта было привлечено много ленинградских предприятий, мощности которых были значительно ослаблены эвакуацией специалистов и оборудования в глубь территории Советского Союза, малым количеством или отсутствием требуемых материалов, перебоями в подаче электроэнергии.</w:t>
      </w:r>
    </w:p>
    <w:p w14:paraId="3220C1F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280-мм фугасный реактивный снаряд получил обозначение ГМ-280 (МГВ-280), а вся система - “миномет тяжелого вооружения” или “минометное тяжелое вооружение” - МТВ. Корпус боевой части снаряда ГМ-280 штамповался из листовой стали толщиной 2-3 мм, а затем сваривался. В нарезное дно главной части ввинчивалась реактивная часть, выполненная в виде тонкостенного цилиндра с навинтным днищем - соплом, в котором имелось 26 сопловых отверстий, расположенных под углом к оси снаряда. Состав пороха, конструкцию заряда и технологию его изготовления разработали И.А. Чирков и специалисты Охтинского химического комбината.</w:t>
      </w:r>
    </w:p>
    <w:p w14:paraId="2DBEBFD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Снаряды транспортировались в упаковочных ящиках по одному. Для запуска снарядов использовались деревянные и металлические рамы, на которые устанавливались деревянные упаковочные ящики с PC ГМ-280*: по два ящика на деревянную или по четыре ящика на металлическую рамы. Снаряды выстреливались непосредственно из упаковочных ящиков (6403, 42).</w:t>
      </w:r>
    </w:p>
    <w:p w14:paraId="09D3103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212DA0"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С весны 1942 года начались работы по уменьшению массы танка КВ-1, причём это происходило по указанию сверху. В таких условиях почти 70-тонный КВ-3 однозначно оказывался не у дел (15614).</w:t>
      </w:r>
    </w:p>
    <w:p w14:paraId="70E01655"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rPr>
      </w:pPr>
    </w:p>
    <w:p w14:paraId="5FC5B87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на ЧТЗ родилась идея создать средний танк с параметрами тяжелого, т.е. при массе и вооружении среднего танка добиться защиты как у тяжелого и началась разработка этого танка под маркой KB-13 (ведущий конструктор Н. В. Цейц, а после его смерти летом того же года - Н. Ф. Шамшурин) (3905).</w:t>
      </w:r>
    </w:p>
    <w:p w14:paraId="3F4256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F8234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на ЧКЗ была начата работа по созданию другого варианта среднего танка с усиле броневой защитой. К разработке проекта среднего танка, получившего обозначение КВ-13, коллектив конрукторского бюро СКБ-2 завода приступил по своей инициативе в апреле 1942 г. Эта работа по проектированию среднего танка была вызвана, прежде всего, низкой надежностью трансмиссии тяжелого танка КВ-1, разработанного коллективом этого КБ в Ленинграде еще до войны. За счет более плотной компоновки агрегатов конструкторы предполагали уменьшить размеры и новой машины по сравнению с серийным танком КВ и таким путем решить проблему надежности работы агрегатов трансмиссии (10703).</w:t>
      </w:r>
    </w:p>
    <w:p w14:paraId="406E071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124B3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танк КВ-13 был разработан в Челябинске специальным конструкторским бюро СКБ-2 Кировского завода под руководством Ж.Я. Котина. Ведущим инженером машины являлся Н.В. Танк проектировался для замены среднего танка Т-34-76 и тяжелого 1 ка КВ-1С и был задуман как универсальный танк, сочетавший ; характеристики обоих типов танков, при боевой массе до 32 т. В сентябре 1942 г. был изготовлен опытный образец. В октябре 1942 г. танк прошел заводские испытания, в ходе которых выявилась низкая надежность узлов и агрегатов силовой установки, трансмиссии и ходовой части. Учитывая недостатки первого варианта, конструкторское бюро опытного завода № 100 в Челябинске, выпустило рабочие чертежи второго опытного танка КВ-13. В декабре 1942 г. завод № 100 приступил к изготовлению двух танков КВ-13 второго варианта. Оба опытных танка отличалисъ от первого варианта танка КВ-13 конструкцией башни и носовой части. Изготовленные корпуса и башни, опытных образцов КВ-13 послужили базой для создания в дальнейшем опытных обр новых тяжелых танков "Объект 233" и "Объект 234". На вооружение и серийное производство танк КВ-13 не принимался (10703).</w:t>
      </w:r>
    </w:p>
    <w:p w14:paraId="50DCDC6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00C15F"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 весны 1942 года немецкие части стали оснащаться противотанковой артиллерией, танками и самоходными установками, для которых броня КВ-1 не была большой проблемой. Наконец, с зимы 1943 года на полях сражений стали появляться немецкие тяжелые танки Pz.Kpfw. Tiger Ausf.E. 88-мм бронебойный снаряд их орудия пробивал броню КВ-1 на дистанции в 1,5 километра. А на Курской дуге в июле 1943 года дебютировали тяжелые танки Pz.Kpfw. Panther, чьи 75-мм орудия KwK 42 L/70 имели еще более высокие показатели бронепробития.</w:t>
      </w:r>
    </w:p>
    <w:p w14:paraId="6C0744CF"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Одним словом, более толстая брони КВ-1 перестала быть существенным преимуществом с развитием противотанковой артиллерии. При этом подвижность советского тяжелого танка оставляла желать лучшего. КВ-1с, обладавший более высокой подвижностью и менее «слепой», оказывался на поле боя лучше предшественника (17692).</w:t>
      </w:r>
    </w:p>
    <w:p w14:paraId="6DE7973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4D84FFD" w14:textId="77777777" w:rsidR="009A46FB" w:rsidRPr="008A2E5A" w:rsidRDefault="009A46FB" w:rsidP="009A46F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года появилось два направления развития тяжелого танка КВ. Первый, наиболее радикальный путь, предполагал создание совершенно нового танка, КВ-13 (ИС-1). Впрочем, на некоторое время это направление развития притормозили, поскольку потребовалось более быстрое и простое решение. Таковой стала программа КВ-1с. Поначалу речь шла о более подвижном КВ-1, но к лету 1942 года стало очевидно, что машину придется существенно облегчать. В результате на свет появился танк, несколько потерявший с точки зрения броневой защиты, но при этом ставший более подвижным (23364).</w:t>
      </w:r>
    </w:p>
    <w:p w14:paraId="1981570F" w14:textId="77777777" w:rsidR="009A46FB" w:rsidRPr="008A2E5A" w:rsidRDefault="009A46FB" w:rsidP="009A46FB">
      <w:pPr>
        <w:spacing w:after="0" w:line="240" w:lineRule="auto"/>
        <w:jc w:val="both"/>
        <w:rPr>
          <w:rFonts w:ascii="Times New Roman" w:hAnsi="Times New Roman"/>
          <w:color w:val="0070C0"/>
          <w:sz w:val="16"/>
          <w:szCs w:val="16"/>
        </w:rPr>
      </w:pPr>
    </w:p>
    <w:p w14:paraId="11F58C21" w14:textId="77777777" w:rsidR="009A46FB" w:rsidRPr="008A2E5A" w:rsidRDefault="009A46FB" w:rsidP="009A46F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года стали массово "сыпаться" коробки передач КВ-1. Связано это оказалось не только с перегрузом КВ-1, но и снижением качества изготовления КПП. Не в последнюю очередь на это обратили внимание благодаря активности Л.З. Мехлиса. К его личности можно относиться по-разному, но именно деятельность Мехлиса, в тот момент представителя Ставки Верховного Главнокомандования на Крымском фронте, сделала своё дело. На массовый выход из строя коробок передач КВ-1 он не просто обратил внимание, а требовал выслать в Крым руководство НКТП и ЧКЗ (23356).</w:t>
      </w:r>
    </w:p>
    <w:p w14:paraId="140D91E0" w14:textId="77777777" w:rsidR="009A46FB" w:rsidRPr="008A2E5A" w:rsidRDefault="009A46FB" w:rsidP="009A46FB">
      <w:pPr>
        <w:spacing w:after="0" w:line="240" w:lineRule="auto"/>
        <w:jc w:val="both"/>
        <w:rPr>
          <w:rFonts w:ascii="Times New Roman" w:hAnsi="Times New Roman"/>
          <w:color w:val="0070C0"/>
          <w:sz w:val="16"/>
          <w:szCs w:val="16"/>
        </w:rPr>
      </w:pPr>
    </w:p>
    <w:p w14:paraId="67A20794" w14:textId="77777777" w:rsidR="009A46FB" w:rsidRPr="008A2E5A" w:rsidRDefault="009A46FB" w:rsidP="009A46F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г. было решено развернуть ремонт танков КВ на заводе № 200. Но к концу августа того же года из 70 танков было отремонтировано только 10. Рабочей силой ремонтный участок был обеспечен только на 15-20 %, и специальных площадей под него не выделялось. Кроме того, производственная организация участка находилась в неудовлетворительном состоянии: в планово-производственном отделе и отделе кооперации отсутствовали специальные группы по ремонту, вследствие чего подготовка производства и кооперация с другими заводами совершенно не обеспечивали ремонт танков. Танки, подлежащие ремонту, стояли под открытым небом с неснятым вооружением и боеприпасами. Постепенно они приходили в негодность и частично расхищались (приборы управления, радио- и электрооборудование и т. д.). Поэтому Челябинским областным комитетом ВКП(б) было принято решение о возбуждении ходатайства о снятии с завода ремонта танков[477] (23536).</w:t>
      </w:r>
    </w:p>
    <w:p w14:paraId="4E09A45D" w14:textId="77777777" w:rsidR="009A46FB" w:rsidRPr="008A2E5A" w:rsidRDefault="009A46FB" w:rsidP="009A46FB">
      <w:pPr>
        <w:spacing w:after="0" w:line="240" w:lineRule="auto"/>
        <w:jc w:val="both"/>
        <w:rPr>
          <w:rFonts w:ascii="Times New Roman" w:hAnsi="Times New Roman"/>
          <w:color w:val="0070C0"/>
          <w:sz w:val="16"/>
          <w:szCs w:val="16"/>
        </w:rPr>
      </w:pPr>
    </w:p>
    <w:p w14:paraId="68A1B123"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 xml:space="preserve">Весной 1942 года, когда Красной армии потребовалась боевая машина с манёвренностью и габаритами Т-34, но лучше защищённая, в Челябинске начали проектировать новый танк </w:t>
      </w:r>
      <w:hyperlink r:id="rId53" w:history="1">
        <w:r w:rsidRPr="00E63CBF">
          <w:rPr>
            <w:rStyle w:val="a6"/>
            <w:color w:val="000000" w:themeColor="text1"/>
            <w:sz w:val="16"/>
            <w:szCs w:val="16"/>
            <w:u w:val="none"/>
          </w:rPr>
          <w:t>КВ-13</w:t>
        </w:r>
      </w:hyperlink>
      <w:r w:rsidRPr="008127F8">
        <w:rPr>
          <w:color w:val="000000" w:themeColor="text1"/>
          <w:sz w:val="16"/>
          <w:szCs w:val="16"/>
        </w:rPr>
        <w:t xml:space="preserve">. Но скорость запуска в серию во время войны была очень важным фактором, в связи с которым в серию и пошла «малая модернизация» КВ-1 в виде КВ-1с. При этом за время производства КВ-1с было создано два варианта КВ-13. КВ-1с остался на конвейере и после того, как на свет появился </w:t>
      </w:r>
      <w:hyperlink r:id="rId54" w:history="1">
        <w:r w:rsidRPr="00E63CBF">
          <w:rPr>
            <w:rStyle w:val="a6"/>
            <w:color w:val="000000" w:themeColor="text1"/>
            <w:sz w:val="16"/>
            <w:szCs w:val="16"/>
            <w:u w:val="none"/>
          </w:rPr>
          <w:t>Объект 237</w:t>
        </w:r>
      </w:hyperlink>
      <w:r w:rsidRPr="008127F8">
        <w:rPr>
          <w:color w:val="000000" w:themeColor="text1"/>
          <w:sz w:val="16"/>
          <w:szCs w:val="16"/>
        </w:rPr>
        <w:t>, позже превратился в ИС-85 (ИС-1) (17722).</w:t>
      </w:r>
    </w:p>
    <w:p w14:paraId="1E156B8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6CBBFE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опытный образец ЗИС-6А (Артсистема представляла собой установку 107-мм пушки ЗИС-6 (нач. скорость 830 м/с), 45-мм пушки типа 20-К (нач. скорость 757 м/с) и пулемета ДТ в единой маске танка КВ-3) был изготовлен в деталях, но окончательно собран не был ввиду прекращения всех работ над тапками КВ-2, КВ-3, КВ-4 и КВ-5 (10782).</w:t>
      </w:r>
    </w:p>
    <w:p w14:paraId="418E369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D2379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весны 1942 г. из-за отсутст</w:t>
      </w:r>
      <w:r w:rsidRPr="008127F8">
        <w:rPr>
          <w:rFonts w:ascii="Times New Roman" w:hAnsi="Times New Roman"/>
          <w:color w:val="000000" w:themeColor="text1"/>
          <w:sz w:val="16"/>
          <w:szCs w:val="16"/>
        </w:rPr>
        <w:softHyphen/>
        <w:t>вия поставок контрольно-измерительных приборов по кооперации на танках Т-34 не устанавливались: ампер</w:t>
      </w:r>
      <w:r w:rsidRPr="008127F8">
        <w:rPr>
          <w:rFonts w:ascii="Times New Roman" w:hAnsi="Times New Roman"/>
          <w:color w:val="000000" w:themeColor="text1"/>
          <w:sz w:val="16"/>
          <w:szCs w:val="16"/>
        </w:rPr>
        <w:softHyphen/>
        <w:t>метр, вольтметр и спидометр. В этот же период на танках не устанавли</w:t>
      </w:r>
      <w:r w:rsidRPr="008127F8">
        <w:rPr>
          <w:rFonts w:ascii="Times New Roman" w:hAnsi="Times New Roman"/>
          <w:color w:val="000000" w:themeColor="text1"/>
          <w:sz w:val="16"/>
          <w:szCs w:val="16"/>
        </w:rPr>
        <w:softHyphen/>
        <w:t>вались фары, стоп-сигнал, электромотор вентилятора, сигнал, танковое переговорное устройство, а также была значительно сокращена номенк</w:t>
      </w:r>
      <w:r w:rsidRPr="008127F8">
        <w:rPr>
          <w:rFonts w:ascii="Times New Roman" w:hAnsi="Times New Roman"/>
          <w:color w:val="000000" w:themeColor="text1"/>
          <w:sz w:val="16"/>
          <w:szCs w:val="16"/>
        </w:rPr>
        <w:softHyphen/>
        <w:t>латура запасных частей, инструмента и принадлежностей (ЗИП) (10703).</w:t>
      </w:r>
    </w:p>
    <w:p w14:paraId="26ABA72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899D7C" w14:textId="466FDA65"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из-за трудностей с изготовлением бронировки качающейся части пушки Ф-34 на заводах № 92 и № 9 (заводы могли увеличить отгрузку пушек, но без бронировки), на Сталинградской судоверфи был осво</w:t>
      </w:r>
      <w:r w:rsidRPr="008127F8">
        <w:rPr>
          <w:rFonts w:ascii="Times New Roman" w:hAnsi="Times New Roman"/>
          <w:color w:val="000000" w:themeColor="text1"/>
          <w:sz w:val="16"/>
          <w:szCs w:val="16"/>
        </w:rPr>
        <w:softHyphen/>
        <w:t>ен выпуск и этого необходимого компонента. Причем бро</w:t>
      </w:r>
      <w:r w:rsidRPr="008127F8">
        <w:rPr>
          <w:rFonts w:ascii="Times New Roman" w:hAnsi="Times New Roman"/>
          <w:color w:val="000000" w:themeColor="text1"/>
          <w:sz w:val="16"/>
          <w:szCs w:val="16"/>
        </w:rPr>
        <w:softHyphen/>
        <w:t>нировка подверглась значительному упр</w:t>
      </w:r>
      <w:r w:rsidRPr="007C5583">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ощению и получи</w:t>
      </w:r>
      <w:r w:rsidRPr="008127F8">
        <w:rPr>
          <w:rFonts w:ascii="Times New Roman" w:hAnsi="Times New Roman"/>
          <w:color w:val="000000" w:themeColor="text1"/>
          <w:sz w:val="16"/>
          <w:szCs w:val="16"/>
        </w:rPr>
        <w:softHyphen/>
        <w:t xml:space="preserve">ла характерную выступающую вперед «нижнюю скулу». Если прежде бронировка выступающих противооткатных приспособлений складывалась из трех </w:t>
      </w:r>
      <w:r w:rsidRPr="008127F8">
        <w:rPr>
          <w:rFonts w:ascii="Times New Roman" w:hAnsi="Times New Roman"/>
          <w:color w:val="000000" w:themeColor="text1"/>
          <w:sz w:val="16"/>
          <w:szCs w:val="16"/>
        </w:rPr>
        <w:lastRenderedPageBreak/>
        <w:t>штампованных де</w:t>
      </w:r>
      <w:r w:rsidRPr="008127F8">
        <w:rPr>
          <w:rFonts w:ascii="Times New Roman" w:hAnsi="Times New Roman"/>
          <w:color w:val="000000" w:themeColor="text1"/>
          <w:sz w:val="16"/>
          <w:szCs w:val="16"/>
        </w:rPr>
        <w:softHyphen/>
        <w:t>талей, каждая из которых имела криволинейные поверх</w:t>
      </w:r>
      <w:r w:rsidRPr="008127F8">
        <w:rPr>
          <w:rFonts w:ascii="Times New Roman" w:hAnsi="Times New Roman"/>
          <w:color w:val="000000" w:themeColor="text1"/>
          <w:sz w:val="16"/>
          <w:szCs w:val="16"/>
        </w:rPr>
        <w:softHyphen/>
        <w:t>ности, то теперь лишь одна деталь должна была изгибаться на гидравлическом прессе, а две другие представляли собой пластины, вырезаемые из броневого листа газовой резкой. По аналогии с башнями, маска орудия собиралась из сы</w:t>
      </w:r>
      <w:r w:rsidRPr="008127F8">
        <w:rPr>
          <w:rFonts w:ascii="Times New Roman" w:hAnsi="Times New Roman"/>
          <w:color w:val="000000" w:themeColor="text1"/>
          <w:sz w:val="16"/>
          <w:szCs w:val="16"/>
        </w:rPr>
        <w:softHyphen/>
        <w:t>рой брони и подвергалась термообработке уже в сборе, что улучшало качество изделия в целом (10782).</w:t>
      </w:r>
    </w:p>
    <w:p w14:paraId="486B810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2D970B" w14:textId="77777777" w:rsidR="00E63CBF" w:rsidRPr="008A2E5A" w:rsidRDefault="00E63CBF" w:rsidP="00E63CB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г. на УЗТМ начался выпуск комплектов корпусов танка Т-34, производство которого было подготовлено за 45 суток. В отечественной литературе этот факт до сих пор преподносился как безусловный успех уралмашевцев[428]. И если смотреть только на показатели выпуска продукции (начало производства, рост выпуска бронекорпусов и т. д.), то успех покажется очевидным. Однако реальность была такова, что результат оказался далеким от идеала (23536).</w:t>
      </w:r>
    </w:p>
    <w:p w14:paraId="7D0864CC" w14:textId="77777777" w:rsidR="00E63CBF" w:rsidRPr="008A2E5A" w:rsidRDefault="00E63CBF" w:rsidP="00E63CBF">
      <w:pPr>
        <w:spacing w:after="0" w:line="240" w:lineRule="auto"/>
        <w:jc w:val="both"/>
        <w:rPr>
          <w:rFonts w:ascii="Times New Roman" w:hAnsi="Times New Roman"/>
          <w:color w:val="0070C0"/>
          <w:sz w:val="16"/>
          <w:szCs w:val="16"/>
        </w:rPr>
      </w:pPr>
    </w:p>
    <w:p w14:paraId="461EAD14" w14:textId="77777777" w:rsidR="00E63CBF" w:rsidRPr="008A2E5A" w:rsidRDefault="00E63CBF" w:rsidP="00E63CB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года снова вспомнили о Т-34М. К тому моменту Т-34 выпускали на трех заводах - в Нижнем Тагиле, Сталинграде и Горьком. Готовилась площадка в Омске, куда перевели завод №174. Вместо Т-50, который так и не "взлетел", теперь собирались запускать в серию более нужный и универсальный танк. И тут вспомнили про Т-34М. Он был не совсем чтобы "бумажным": в переписке ГАБТУ КА упоминалось, что успели нарезать брони на 100 комплектов корпусов. Кроме того, Т-34М был легче, а 34-ка, кстати говоря, весьма так потяжелела. Случилось это по причине того, что танк упрощали, как по технологиям производства, так и по материалам. В результате 12 апреля 1942 года появилось предложение осваивать в Омске Т-34М. Правда, дальше предложений дело не продвинулось. Завод №174 не был готов к такому танку, да и мечты о меньшей массе выглядели сомнительными. Конструкцию танка тоже пришлось бы упрощать, с соответствующими результатами (23824).</w:t>
      </w:r>
    </w:p>
    <w:p w14:paraId="21E2B1A8" w14:textId="77777777" w:rsidR="00E63CBF" w:rsidRPr="008A2E5A" w:rsidRDefault="00E63CBF" w:rsidP="00E63CBF">
      <w:pPr>
        <w:spacing w:after="0" w:line="240" w:lineRule="auto"/>
        <w:jc w:val="both"/>
        <w:rPr>
          <w:rFonts w:ascii="Times New Roman" w:hAnsi="Times New Roman"/>
          <w:color w:val="0070C0"/>
          <w:sz w:val="16"/>
          <w:szCs w:val="16"/>
        </w:rPr>
      </w:pPr>
    </w:p>
    <w:p w14:paraId="5F41C15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завод № 112 экранирует кор</w:t>
      </w:r>
      <w:r w:rsidRPr="008127F8">
        <w:rPr>
          <w:rFonts w:ascii="Times New Roman" w:hAnsi="Times New Roman"/>
          <w:color w:val="000000" w:themeColor="text1"/>
          <w:sz w:val="16"/>
          <w:szCs w:val="16"/>
        </w:rPr>
        <w:softHyphen/>
        <w:t>пус и башню Т-34 по эталону «5-го варианта». Интересно отметить, что в этот период в связи с пере</w:t>
      </w:r>
      <w:r w:rsidRPr="008127F8">
        <w:rPr>
          <w:rFonts w:ascii="Times New Roman" w:hAnsi="Times New Roman"/>
          <w:color w:val="000000" w:themeColor="text1"/>
          <w:sz w:val="16"/>
          <w:szCs w:val="16"/>
        </w:rPr>
        <w:softHyphen/>
        <w:t>делками МТО под М-17 вдруг обнаружилось, что вообще Т-34, выпускаемые разными заводами, весьма слабо со</w:t>
      </w:r>
      <w:r w:rsidRPr="008127F8">
        <w:rPr>
          <w:rFonts w:ascii="Times New Roman" w:hAnsi="Times New Roman"/>
          <w:color w:val="000000" w:themeColor="text1"/>
          <w:sz w:val="16"/>
          <w:szCs w:val="16"/>
        </w:rPr>
        <w:softHyphen/>
        <w:t>прягаются друг с другом по оборудованию. Не раз случа</w:t>
      </w:r>
      <w:r w:rsidRPr="008127F8">
        <w:rPr>
          <w:rFonts w:ascii="Times New Roman" w:hAnsi="Times New Roman"/>
          <w:color w:val="000000" w:themeColor="text1"/>
          <w:sz w:val="16"/>
          <w:szCs w:val="16"/>
        </w:rPr>
        <w:softHyphen/>
        <w:t>лось так, что в ходе ремонта техники, поврежденной в бо</w:t>
      </w:r>
      <w:r w:rsidRPr="008127F8">
        <w:rPr>
          <w:rFonts w:ascii="Times New Roman" w:hAnsi="Times New Roman"/>
          <w:color w:val="000000" w:themeColor="text1"/>
          <w:sz w:val="16"/>
          <w:szCs w:val="16"/>
        </w:rPr>
        <w:softHyphen/>
        <w:t>ях под Москвой, не удавалось устанавливать башню Т-34 выпуска одного завода на корпус другого. Это известие вызвало гнев И. Сталина, который приказал «разобраться немедленно». Поэтому приказом № 50 от 7 февраля 1942 г. заводам СТЗ и № 112 предписывалось «срочно (в срок 5 дней) унифицировать электрооборудование танка А-34, об исполнении доложить*. Несмотря на то что совместная комиссия НИИ-48 и за</w:t>
      </w:r>
      <w:r w:rsidRPr="008127F8">
        <w:rPr>
          <w:rFonts w:ascii="Times New Roman" w:hAnsi="Times New Roman"/>
          <w:color w:val="000000" w:themeColor="text1"/>
          <w:sz w:val="16"/>
          <w:szCs w:val="16"/>
        </w:rPr>
        <w:softHyphen/>
        <w:t>вода № 264 под руководством ОГК НКТП прекратила свою работу в Сталинграде осенью 1941 г., сотрудники НИИ-48 постоянно курировали здесь производство изделий из брони. Так, после получения сообщений из-под Москвы о массовом применении немецкими войсками новых 50-мм и 76-мм противотанковых пушек, 25 декабря вышло постановление ГКО № 1062 о переходе на выпуск танка Т-34 с лобовой бро</w:t>
      </w:r>
      <w:r w:rsidRPr="008127F8">
        <w:rPr>
          <w:rFonts w:ascii="Times New Roman" w:hAnsi="Times New Roman"/>
          <w:color w:val="000000" w:themeColor="text1"/>
          <w:sz w:val="16"/>
          <w:szCs w:val="16"/>
        </w:rPr>
        <w:softHyphen/>
        <w:t>ней толщиной 60 мм. А уже 28 декабря группа НИИ-48 на за</w:t>
      </w:r>
      <w:r w:rsidRPr="008127F8">
        <w:rPr>
          <w:rFonts w:ascii="Times New Roman" w:hAnsi="Times New Roman"/>
          <w:color w:val="000000" w:themeColor="text1"/>
          <w:sz w:val="16"/>
          <w:szCs w:val="16"/>
        </w:rPr>
        <w:softHyphen/>
        <w:t>воде № 264 под руководством Кофмана провела исследова</w:t>
      </w:r>
      <w:r w:rsidRPr="008127F8">
        <w:rPr>
          <w:rFonts w:ascii="Times New Roman" w:hAnsi="Times New Roman"/>
          <w:color w:val="000000" w:themeColor="text1"/>
          <w:sz w:val="16"/>
          <w:szCs w:val="16"/>
        </w:rPr>
        <w:softHyphen/>
        <w:t>ния броневых листов толщиной 45 мм, применявшихся заво</w:t>
      </w:r>
      <w:r w:rsidRPr="008127F8">
        <w:rPr>
          <w:rFonts w:ascii="Times New Roman" w:hAnsi="Times New Roman"/>
          <w:color w:val="000000" w:themeColor="text1"/>
          <w:sz w:val="16"/>
          <w:szCs w:val="16"/>
        </w:rPr>
        <w:softHyphen/>
        <w:t>дами № 264 и № 112 при производстве бронекорпусов Т-34. Исследования показали, что хоть броневые листы име</w:t>
      </w:r>
      <w:r w:rsidRPr="008127F8">
        <w:rPr>
          <w:rFonts w:ascii="Times New Roman" w:hAnsi="Times New Roman"/>
          <w:color w:val="000000" w:themeColor="text1"/>
          <w:sz w:val="16"/>
          <w:szCs w:val="16"/>
        </w:rPr>
        <w:softHyphen/>
        <w:t>ли весьма высокую стойкость к воздействию малокалибер</w:t>
      </w:r>
      <w:r w:rsidRPr="008127F8">
        <w:rPr>
          <w:rFonts w:ascii="Times New Roman" w:hAnsi="Times New Roman"/>
          <w:color w:val="000000" w:themeColor="text1"/>
          <w:sz w:val="16"/>
          <w:szCs w:val="16"/>
        </w:rPr>
        <w:softHyphen/>
        <w:t>ных бронебойных снарядов (37-мм, 45-мм), они недоста</w:t>
      </w:r>
      <w:r w:rsidRPr="008127F8">
        <w:rPr>
          <w:rFonts w:ascii="Times New Roman" w:hAnsi="Times New Roman"/>
          <w:color w:val="000000" w:themeColor="text1"/>
          <w:sz w:val="16"/>
          <w:szCs w:val="16"/>
        </w:rPr>
        <w:softHyphen/>
        <w:t>точно вязки и не спасали от «тяжелых высокоскоростных» (50-мм, 75-мм, 76-мм и 88-мм), доля которых зимой-вес</w:t>
      </w:r>
      <w:r w:rsidRPr="008127F8">
        <w:rPr>
          <w:rFonts w:ascii="Times New Roman" w:hAnsi="Times New Roman"/>
          <w:color w:val="000000" w:themeColor="text1"/>
          <w:sz w:val="16"/>
          <w:szCs w:val="16"/>
        </w:rPr>
        <w:softHyphen/>
        <w:t>ной 1942 г. в немецких войсках начала возрастать. Причем изученная броня Т-34 отличалась еще и повышен</w:t>
      </w:r>
      <w:r w:rsidRPr="008127F8">
        <w:rPr>
          <w:rFonts w:ascii="Times New Roman" w:hAnsi="Times New Roman"/>
          <w:color w:val="000000" w:themeColor="text1"/>
          <w:sz w:val="16"/>
          <w:szCs w:val="16"/>
        </w:rPr>
        <w:softHyphen/>
        <w:t>ной хрупкостью. Для улучшения стойкости брони группа Кофмана предложила провести экранирование танка 10-15-мм бронелистами, использовавшимися на заводе № 264 в производстве бронекорпусов танка Т-60 (10782).</w:t>
      </w:r>
    </w:p>
    <w:p w14:paraId="78A3BBC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6723C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работы по ОТОГ были возобновлены. На вооружение огнемет не принимался и в серийном про</w:t>
      </w:r>
      <w:r w:rsidRPr="008127F8">
        <w:rPr>
          <w:rFonts w:ascii="Times New Roman" w:hAnsi="Times New Roman"/>
          <w:color w:val="000000" w:themeColor="text1"/>
          <w:sz w:val="16"/>
          <w:szCs w:val="16"/>
        </w:rPr>
        <w:softHyphen/>
        <w:t>изводстве не состоял. Огнемет ОТОГ разрабатывался для восполнения нехватки огнеме</w:t>
      </w:r>
      <w:r w:rsidRPr="008127F8">
        <w:rPr>
          <w:rFonts w:ascii="Times New Roman" w:hAnsi="Times New Roman"/>
          <w:color w:val="000000" w:themeColor="text1"/>
          <w:sz w:val="16"/>
          <w:szCs w:val="16"/>
        </w:rPr>
        <w:softHyphen/>
        <w:t>тов АТО-41 в первом периоде Великой Отечественной войны. Он пред</w:t>
      </w:r>
      <w:r w:rsidRPr="008127F8">
        <w:rPr>
          <w:rFonts w:ascii="Times New Roman" w:hAnsi="Times New Roman"/>
          <w:color w:val="000000" w:themeColor="text1"/>
          <w:sz w:val="16"/>
          <w:szCs w:val="16"/>
        </w:rPr>
        <w:softHyphen/>
        <w:t>ставлял собой резервуар емкостью 15 - 25 л. Для выбрасывания огне-смеси резервуар имел специальный цилиндр (трубу). Огнесмесь выбра</w:t>
      </w:r>
      <w:r w:rsidRPr="008127F8">
        <w:rPr>
          <w:rFonts w:ascii="Times New Roman" w:hAnsi="Times New Roman"/>
          <w:color w:val="000000" w:themeColor="text1"/>
          <w:sz w:val="16"/>
          <w:szCs w:val="16"/>
        </w:rPr>
        <w:softHyphen/>
        <w:t>сывалась из цилиндра под действием пороховых зарядов, в качестве ко</w:t>
      </w:r>
      <w:r w:rsidRPr="008127F8">
        <w:rPr>
          <w:rFonts w:ascii="Times New Roman" w:hAnsi="Times New Roman"/>
          <w:color w:val="000000" w:themeColor="text1"/>
          <w:sz w:val="16"/>
          <w:szCs w:val="16"/>
        </w:rPr>
        <w:softHyphen/>
        <w:t>торых использовались штатные пороховые заряды и зажигательные звездки от фугасного огнемета ФОГ. Воспламенение порохового заряда и звездки - электрическое. Дальность огнеметания составляла до 120 м. Наводка огнемета на цель осуществлялась поворотом танка. Угол воз</w:t>
      </w:r>
      <w:r w:rsidRPr="008127F8">
        <w:rPr>
          <w:rFonts w:ascii="Times New Roman" w:hAnsi="Times New Roman"/>
          <w:color w:val="000000" w:themeColor="text1"/>
          <w:sz w:val="16"/>
          <w:szCs w:val="16"/>
        </w:rPr>
        <w:softHyphen/>
        <w:t>вышения установки был постоянным и составлял +3°. На каждом борту танков Т-34 или КВ-1 устанавливалось по три огнемета ОТОГ. При установке ОТОГ основное оружие танков сохранялось, харак</w:t>
      </w:r>
      <w:r w:rsidRPr="008127F8">
        <w:rPr>
          <w:rFonts w:ascii="Times New Roman" w:hAnsi="Times New Roman"/>
          <w:color w:val="000000" w:themeColor="text1"/>
          <w:sz w:val="16"/>
          <w:szCs w:val="16"/>
        </w:rPr>
        <w:softHyphen/>
        <w:t>теристики подвижности оставались без изменений. На заводе № 183 в Нижнем Тагиле в марте 1942 г. были проведены испытания 15-литровых ОТОГ, смонтированных на танке Т-34, во вре</w:t>
      </w:r>
      <w:r w:rsidRPr="008127F8">
        <w:rPr>
          <w:rFonts w:ascii="Times New Roman" w:hAnsi="Times New Roman"/>
          <w:color w:val="000000" w:themeColor="text1"/>
          <w:sz w:val="16"/>
          <w:szCs w:val="16"/>
        </w:rPr>
        <w:softHyphen/>
        <w:t>мя которых было установлено, что огнеметы требуют доработки поро</w:t>
      </w:r>
      <w:r w:rsidRPr="008127F8">
        <w:rPr>
          <w:rFonts w:ascii="Times New Roman" w:hAnsi="Times New Roman"/>
          <w:color w:val="000000" w:themeColor="text1"/>
          <w:sz w:val="16"/>
          <w:szCs w:val="16"/>
        </w:rPr>
        <w:softHyphen/>
        <w:t>хового заряда и поджига огнесмеси. Дальнейшие работы по ОТОГ были прекращены ввиду освоения к тому времени серийного производства огнемета АТО-41. Огнеметный танк Т-34 с прибором ОП-34 (второй образец). Рабо</w:t>
      </w:r>
      <w:r w:rsidRPr="008127F8">
        <w:rPr>
          <w:rFonts w:ascii="Times New Roman" w:hAnsi="Times New Roman"/>
          <w:color w:val="000000" w:themeColor="text1"/>
          <w:sz w:val="16"/>
          <w:szCs w:val="16"/>
        </w:rPr>
        <w:softHyphen/>
        <w:t>ты по доработке первого опытного образца огнеметного прибора ОП-34, установленного на танке Т-34 еще до войны, были возобновлены в Нижнем Тагиле в сентябре 1942 г. инженером-исследователем Томаш-польским под руководством начальника отдела "530" завода № 183 Гут</w:t>
      </w:r>
      <w:r w:rsidRPr="008127F8">
        <w:rPr>
          <w:rFonts w:ascii="Times New Roman" w:hAnsi="Times New Roman"/>
          <w:color w:val="000000" w:themeColor="text1"/>
          <w:sz w:val="16"/>
          <w:szCs w:val="16"/>
        </w:rPr>
        <w:softHyphen/>
        <w:t>мана. Доработанный опытный образец прибора ОП-34 в январе-апреле 1943 г. прошел полигонные испытания. В марте 1943 г. установка огне</w:t>
      </w:r>
      <w:r w:rsidRPr="008127F8">
        <w:rPr>
          <w:rFonts w:ascii="Times New Roman" w:hAnsi="Times New Roman"/>
          <w:color w:val="000000" w:themeColor="text1"/>
          <w:sz w:val="16"/>
          <w:szCs w:val="16"/>
        </w:rPr>
        <w:softHyphen/>
        <w:t>мета ОП-34 была проверена работой на трех танках Т-34-76. Испытания показали целесообразность применения на танке Т-34 огнемета ОП-34 и после внесения соответствующих доработок по замечаниям комиссии он был рекомендован к принятию на вооружение. На вооружение танк Т-34-76 с огнеметом ОП-34 не принимался и в серийном производстве не состоял (10703).</w:t>
      </w:r>
    </w:p>
    <w:p w14:paraId="5BD4273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F0487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с учетом опыта всех работ, проводившихся по модернизации танка Т-34, в КБ завода № 183 под руководством главного конструктора А.А. 'Морозова был разработан проект нового среднего танка. Основной целью проекта являлось максимальное повышение защищенности машины при одновременном сохранении маневренных и огневых качеств, присущих танку Т-34, при полном использовании его основ</w:t>
      </w:r>
      <w:r w:rsidRPr="008127F8">
        <w:rPr>
          <w:rFonts w:ascii="Times New Roman" w:hAnsi="Times New Roman"/>
          <w:color w:val="000000" w:themeColor="text1"/>
          <w:sz w:val="16"/>
          <w:szCs w:val="16"/>
        </w:rPr>
        <w:softHyphen/>
        <w:t>ных узлов и механизмов. Согласно проекту новый танк имел более плотную компоновку, кото</w:t>
      </w:r>
      <w:r w:rsidRPr="008127F8">
        <w:rPr>
          <w:rFonts w:ascii="Times New Roman" w:hAnsi="Times New Roman"/>
          <w:color w:val="000000" w:themeColor="text1"/>
          <w:sz w:val="16"/>
          <w:szCs w:val="16"/>
        </w:rPr>
        <w:softHyphen/>
        <w:t>рая позволила получить резерв по массе, для увеличения броневой защи</w:t>
      </w:r>
      <w:r w:rsidRPr="008127F8">
        <w:rPr>
          <w:rFonts w:ascii="Times New Roman" w:hAnsi="Times New Roman"/>
          <w:color w:val="000000" w:themeColor="text1"/>
          <w:sz w:val="16"/>
          <w:szCs w:val="16"/>
        </w:rPr>
        <w:softHyphen/>
        <w:t>ты корпуса танка до 60 - 80 мм и цельнолитой башни - 58 - 80 мм. Разме</w:t>
      </w:r>
      <w:r w:rsidRPr="008127F8">
        <w:rPr>
          <w:rFonts w:ascii="Times New Roman" w:hAnsi="Times New Roman"/>
          <w:color w:val="000000" w:themeColor="text1"/>
          <w:sz w:val="16"/>
          <w:szCs w:val="16"/>
        </w:rPr>
        <w:softHyphen/>
        <w:t>щение экипажа отличалось от его расположения в серийном танке Т-34 оборудованием рабочего места механика-водителя у правого борта в носо</w:t>
      </w:r>
      <w:r w:rsidRPr="008127F8">
        <w:rPr>
          <w:rFonts w:ascii="Times New Roman" w:hAnsi="Times New Roman"/>
          <w:color w:val="000000" w:themeColor="text1"/>
          <w:sz w:val="16"/>
          <w:szCs w:val="16"/>
        </w:rPr>
        <w:softHyphen/>
        <w:t>вой части корпуса машины. Основное оружие танка было таким же, как у серийного танка Т-34. Лобовой пулемет, в забронированной шаровой ус</w:t>
      </w:r>
      <w:r w:rsidRPr="008127F8">
        <w:rPr>
          <w:rFonts w:ascii="Times New Roman" w:hAnsi="Times New Roman"/>
          <w:color w:val="000000" w:themeColor="text1"/>
          <w:sz w:val="16"/>
          <w:szCs w:val="16"/>
        </w:rPr>
        <w:softHyphen/>
        <w:t>тановке на верхнем носовом листе корпуса был заменен на курсовой пуле</w:t>
      </w:r>
      <w:r w:rsidRPr="008127F8">
        <w:rPr>
          <w:rFonts w:ascii="Times New Roman" w:hAnsi="Times New Roman"/>
          <w:color w:val="000000" w:themeColor="text1"/>
          <w:sz w:val="16"/>
          <w:szCs w:val="16"/>
        </w:rPr>
        <w:softHyphen/>
        <w:t>мет, установленный неподвижно справа от механика-водителя, который мог вести из него неприцельный огонь, осуществляя наведение пулемета в горизонтальной плоскости поворотом танка. Перед механиком-водителем в носовом листе корпуса имелся только небольшой смотровой лючок, за</w:t>
      </w:r>
      <w:r w:rsidRPr="008127F8">
        <w:rPr>
          <w:rFonts w:ascii="Times New Roman" w:hAnsi="Times New Roman"/>
          <w:color w:val="000000" w:themeColor="text1"/>
          <w:sz w:val="16"/>
          <w:szCs w:val="16"/>
        </w:rPr>
        <w:softHyphen/>
        <w:t>крывавшийся броневой крышкой на петлях, в которой был установлен смотровой перископический прибор. Посадка и выход экипажа произво</w:t>
      </w:r>
      <w:r w:rsidRPr="008127F8">
        <w:rPr>
          <w:rFonts w:ascii="Times New Roman" w:hAnsi="Times New Roman"/>
          <w:color w:val="000000" w:themeColor="text1"/>
          <w:sz w:val="16"/>
          <w:szCs w:val="16"/>
        </w:rPr>
        <w:softHyphen/>
        <w:t>дились через два круглых люка в крыше башни, закрывавшихся откидны</w:t>
      </w:r>
      <w:r w:rsidRPr="008127F8">
        <w:rPr>
          <w:rFonts w:ascii="Times New Roman" w:hAnsi="Times New Roman"/>
          <w:color w:val="000000" w:themeColor="text1"/>
          <w:sz w:val="16"/>
          <w:szCs w:val="16"/>
        </w:rPr>
        <w:softHyphen/>
        <w:t>ми крышками на петлях. Значительным переделкам подверглось, и мотор</w:t>
      </w:r>
      <w:r w:rsidRPr="008127F8">
        <w:rPr>
          <w:rFonts w:ascii="Times New Roman" w:hAnsi="Times New Roman"/>
          <w:color w:val="000000" w:themeColor="text1"/>
          <w:sz w:val="16"/>
          <w:szCs w:val="16"/>
        </w:rPr>
        <w:softHyphen/>
        <w:t>ное отделение танка в части изменения выхлопного тракта двигателя. В соответствии с техническим проектом был изготовлен макет ново</w:t>
      </w:r>
      <w:r w:rsidRPr="008127F8">
        <w:rPr>
          <w:rFonts w:ascii="Times New Roman" w:hAnsi="Times New Roman"/>
          <w:color w:val="000000" w:themeColor="text1"/>
          <w:sz w:val="16"/>
          <w:szCs w:val="16"/>
        </w:rPr>
        <w:softHyphen/>
        <w:t>го танка, который получил наименование Т-34М обр. 1942 г. В связи с необходимостью доработки конструкции серийного танка Т-34 приме</w:t>
      </w:r>
      <w:r w:rsidRPr="008127F8">
        <w:rPr>
          <w:rFonts w:ascii="Times New Roman" w:hAnsi="Times New Roman"/>
          <w:color w:val="000000" w:themeColor="text1"/>
          <w:sz w:val="16"/>
          <w:szCs w:val="16"/>
        </w:rPr>
        <w:softHyphen/>
        <w:t>нительно к условиям военного времени работы по новой машине были отложены на более поздний срок (10703).</w:t>
      </w:r>
    </w:p>
    <w:p w14:paraId="4119940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51192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большое количество нареканий на ка</w:t>
      </w:r>
      <w:r w:rsidRPr="008127F8">
        <w:rPr>
          <w:rFonts w:ascii="Times New Roman" w:hAnsi="Times New Roman"/>
          <w:color w:val="000000" w:themeColor="text1"/>
          <w:sz w:val="16"/>
          <w:szCs w:val="16"/>
        </w:rPr>
        <w:softHyphen/>
        <w:t>чество изготовления и боевые возможности Т-34 побудили НКТП и ГКО вновь обратиться к идее создания нового среднего танка с увеличенными боевыми возможностями. Главным требованием было увеличить толщину брони тан</w:t>
      </w:r>
      <w:r w:rsidRPr="008127F8">
        <w:rPr>
          <w:rFonts w:ascii="Times New Roman" w:hAnsi="Times New Roman"/>
          <w:color w:val="000000" w:themeColor="text1"/>
          <w:sz w:val="16"/>
          <w:szCs w:val="16"/>
        </w:rPr>
        <w:softHyphen/>
        <w:t>ка до 60-80 мм (для противодействия новым немецким 50-мм и 75-мм противотанковым орудиям) при сохранении маневренных качеств на уровне Т-34, поднять скорость движения до 50 км/ч (в 1942 г. серийный Т-34 разгонялся до скорости 45,8-48 км/ч) и увеличить гарантированный пробег до 1500-2000 км (против имеющихся 500-1000 км). Особо оговаривалось условие — новый танк должен был позаимствовать от Т-34 моторно-силовой агрегат, катки и траки, возимый ЗИП и элементы интерьера, особо пре</w:t>
      </w:r>
      <w:r w:rsidRPr="008127F8">
        <w:rPr>
          <w:rFonts w:ascii="Times New Roman" w:hAnsi="Times New Roman"/>
          <w:color w:val="000000" w:themeColor="text1"/>
          <w:sz w:val="16"/>
          <w:szCs w:val="16"/>
        </w:rPr>
        <w:softHyphen/>
        <w:t>дписывалось устранить ахиллесову пяту Т-34 — слепоту и ввести третьего члена экипажа в башню, снабдив его на</w:t>
      </w:r>
      <w:r w:rsidRPr="008127F8">
        <w:rPr>
          <w:rFonts w:ascii="Times New Roman" w:hAnsi="Times New Roman"/>
          <w:color w:val="000000" w:themeColor="text1"/>
          <w:sz w:val="16"/>
          <w:szCs w:val="16"/>
        </w:rPr>
        <w:softHyphen/>
        <w:t>блюдательной башенкой кругового обзора. Вооружение из 76-мм пушки и двух пулеметов считалось достаточным. Интересно то, что задание на новый танк, согласно рапор</w:t>
      </w:r>
      <w:r w:rsidRPr="008127F8">
        <w:rPr>
          <w:rFonts w:ascii="Times New Roman" w:hAnsi="Times New Roman"/>
          <w:color w:val="000000" w:themeColor="text1"/>
          <w:sz w:val="16"/>
          <w:szCs w:val="16"/>
        </w:rPr>
        <w:softHyphen/>
        <w:t>ту, было получено УТЗ лично из уст великого вождя всех народов - И. Сталина. Новый танк завода № 183 получил индекс Т-43 и во мно</w:t>
      </w:r>
      <w:r w:rsidRPr="008127F8">
        <w:rPr>
          <w:rFonts w:ascii="Times New Roman" w:hAnsi="Times New Roman"/>
          <w:color w:val="000000" w:themeColor="text1"/>
          <w:sz w:val="16"/>
          <w:szCs w:val="16"/>
        </w:rPr>
        <w:softHyphen/>
        <w:t>гом повторял недавно отвергнутый проект Т-34М (правда, до конца 1942 г. новый танк именовался в документах завода и НКТП Т-43 (Т-34М). Собственно, это и был Т-34М, только укомплектованный новой башней, с увеличенными топливными баками, улучшенной боеукладкой и радиостанцией типа 9Р. Второй вариант проекта был одоб</w:t>
      </w:r>
      <w:r w:rsidRPr="008127F8">
        <w:rPr>
          <w:rFonts w:ascii="Times New Roman" w:hAnsi="Times New Roman"/>
          <w:color w:val="000000" w:themeColor="text1"/>
          <w:sz w:val="16"/>
          <w:szCs w:val="16"/>
        </w:rPr>
        <w:softHyphen/>
        <w:t>рен в июне 1942 г. на коллегии НКТП, а затем и лично И. Сталиным, который (как сказано в рапорте) и установил срок изготовления опытного образца — к 7 ноября 1942 г. (10782).</w:t>
      </w:r>
    </w:p>
    <w:p w14:paraId="7B3DC42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9A083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весны 1942 г. в целях экономии дефицитной резины на Т-34 применялись катки с внутренней амортизацией (впрочем, это продолжалось не долго). Резиновый амортизатор ставился на подшипники на осях балансира. Экономия, впрочем, была "липовая" - внутренние амортизаторы очень быстро выходили из строя (3905).</w:t>
      </w:r>
    </w:p>
    <w:p w14:paraId="2F3A2B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9B21F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года в КБ завода № 183 разработали проект вооружения танка Т-34 одной 76-мм и двумя 45-мм пушками в общей вращающейся башне. Не совсем понятно, для чего предназначалась такая машина, о чем военпред и доложил в ГАБТУ КА: «Назначение этой машины мне не совсем ясно». Проект также остался только на бумаге (12217).</w:t>
      </w:r>
    </w:p>
    <w:p w14:paraId="0B725B5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D27004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конструктором завода № 183 М.А. Набутовским был разработан проект новой конструкции башни для танка Т-34, которая позволила перейти от отливок башен в формы, составленные из отдель</w:t>
      </w:r>
      <w:r w:rsidRPr="008127F8">
        <w:rPr>
          <w:rFonts w:ascii="Times New Roman" w:hAnsi="Times New Roman"/>
          <w:color w:val="000000" w:themeColor="text1"/>
          <w:sz w:val="16"/>
          <w:szCs w:val="16"/>
        </w:rPr>
        <w:softHyphen/>
        <w:t>ных брусков формовочной земли, к отливкам башен в формы, изготов</w:t>
      </w:r>
      <w:r w:rsidRPr="008127F8">
        <w:rPr>
          <w:rFonts w:ascii="Times New Roman" w:hAnsi="Times New Roman"/>
          <w:color w:val="000000" w:themeColor="text1"/>
          <w:sz w:val="16"/>
          <w:szCs w:val="16"/>
        </w:rPr>
        <w:softHyphen/>
        <w:t>ленные машинной формовкой. Модель новой башни состояла из трех частей, каждая из которых формовалась отдельно на формовочной ма</w:t>
      </w:r>
      <w:r w:rsidRPr="008127F8">
        <w:rPr>
          <w:rFonts w:ascii="Times New Roman" w:hAnsi="Times New Roman"/>
          <w:color w:val="000000" w:themeColor="text1"/>
          <w:sz w:val="16"/>
          <w:szCs w:val="16"/>
        </w:rPr>
        <w:softHyphen/>
        <w:t>шине, а затем собранные воедино части составляли форму для отливки. Несмотря на то, что новая башня уступала предыдущей в пластичности форм, она была более снарядостойкой и технологичной. В башне новой конструкции отсутствовал кормовой люк, а монтаж и демонтаж пушки Ф-34 осуществлялся через переднюю часть башни. Так окончательно на заводе № 183 была решена проблема качества и количества выпускае</w:t>
      </w:r>
      <w:r w:rsidRPr="008127F8">
        <w:rPr>
          <w:rFonts w:ascii="Times New Roman" w:hAnsi="Times New Roman"/>
          <w:color w:val="000000" w:themeColor="text1"/>
          <w:sz w:val="16"/>
          <w:szCs w:val="16"/>
        </w:rPr>
        <w:softHyphen/>
        <w:t>мых башен. Если до этого УВЗ был вынужден получать башни с Уралмашзавода (УЗТМ им. Орджоникидзе), то отныне завод № 183 сам стал поставлять башни танка Т-34 другим заводам-изготовителям (10703).</w:t>
      </w:r>
    </w:p>
    <w:p w14:paraId="1C43992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AF9836" w14:textId="77777777" w:rsidR="002A6CE5" w:rsidRPr="008A2E5A" w:rsidRDefault="002A6CE5" w:rsidP="002A6C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года, по инициативе НКТП, конструкторские бюро УЗТМ и завода №183 подготовили проект "артиллерийского" Т-34. Вооруженная 122-мм гаубицей У-22 (переработанная версия У-11) машина очень быстро ушла в небытие. Случилось это по той причине, что боевое отделение оказалось откровенно неудачным. Нарекания шли по КВ-1 с У-11, а здесь ситуация выглядела еще более запущенной. Поэтому от такого, башенного варианта штурмовой САУ на базе Т-34 очень быстро отказались (23358)</w:t>
      </w:r>
    </w:p>
    <w:p w14:paraId="026F1468" w14:textId="77777777" w:rsidR="002A6CE5" w:rsidRPr="008A2E5A" w:rsidRDefault="002A6CE5" w:rsidP="002A6CE5">
      <w:pPr>
        <w:spacing w:after="0" w:line="240" w:lineRule="auto"/>
        <w:jc w:val="both"/>
        <w:rPr>
          <w:rFonts w:ascii="Times New Roman" w:hAnsi="Times New Roman"/>
          <w:color w:val="0070C0"/>
          <w:sz w:val="16"/>
          <w:szCs w:val="16"/>
        </w:rPr>
      </w:pPr>
    </w:p>
    <w:p w14:paraId="7A6E8383" w14:textId="77777777" w:rsidR="002A6CE5" w:rsidRPr="008A2E5A" w:rsidRDefault="002A6CE5" w:rsidP="002A6C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года на заводе № 264 окончательно случился переход на утолщенные листы. Это позволило поднять стойкость корпусов с башнями, теперь их 3,7 cm Pak не пробивала со средних дистанций. А вот модернизированная башня в работу так и не пошла. Согласно проекту, с лобовой детали убирали воздуховод, а вместо него появлялся "грибок" на крышке башенного люка. Впрочем, некоторые видоизменения продукция "Красного Октября" всё же имела. Люки и воздуховоды стали еще более примитивной формы (23360).</w:t>
      </w:r>
    </w:p>
    <w:p w14:paraId="7CB83F76" w14:textId="77777777" w:rsidR="002A6CE5" w:rsidRPr="008A2E5A" w:rsidRDefault="002A6CE5" w:rsidP="002A6CE5">
      <w:pPr>
        <w:spacing w:after="0" w:line="240" w:lineRule="auto"/>
        <w:jc w:val="both"/>
        <w:rPr>
          <w:rFonts w:ascii="Times New Roman" w:hAnsi="Times New Roman"/>
          <w:color w:val="0070C0"/>
          <w:sz w:val="16"/>
          <w:szCs w:val="16"/>
        </w:rPr>
      </w:pPr>
    </w:p>
    <w:p w14:paraId="436780FC" w14:textId="77777777" w:rsidR="002A6CE5" w:rsidRPr="008A2E5A" w:rsidRDefault="002A6CE5" w:rsidP="002A6C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г. для экономии олова и цинка прекратили лужение топливных и масляных баков. Клепку в сборке узлов танка заменили по возможности точечной сваркой (Свирин, М.Н. Броневой щит Сталина. История советского танка. 1937-1943 /М.Н. Свирин. - М.: Яуза, Эксмо, 2006. - С. 388.). Стали устанавливать дополнительные поручни на лобовой броне и башне Т-34, о чём давно просили танкисты.</w:t>
      </w:r>
    </w:p>
    <w:p w14:paraId="74CC2BC5" w14:textId="77777777" w:rsidR="002A6CE5" w:rsidRPr="008A2E5A" w:rsidRDefault="002A6CE5" w:rsidP="002A6C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пленуме технического совета НКТП в марте 1943 г. было рассмотрено предложение конструктора Ревзина снабдить люк командира Т-34 приварной командно-наблюдательной башенкой диаметром 730 мм, изготовленной из полосы броневой стали толщиной 45 мм. В последствии, башенка завода № 112 была взята за основу головным предприятием (Свирин, М.В. Стальной кулак Сталина. История советского танка 1943-1955. - С. 59.).</w:t>
      </w:r>
    </w:p>
    <w:p w14:paraId="57B817CE" w14:textId="77777777" w:rsidR="002A6CE5" w:rsidRPr="008A2E5A" w:rsidRDefault="002A6CE5" w:rsidP="002A6C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течение войны завод № 112 постоянно совершенствовал конструкцию бронекорпуса и башни Т-34. Вводились изменения, упрощающие производство и повышающие эксплуатационные качества машины. Упростили конструкцию корпуса и фальшборта, изменили вентиляторную перегородку, упростив монтаж вентилятора. Для устранения заклинивания башни при обстреле стали устанавливать отражательные планки. Для установки огнемета АТО-41 внесли изменения в корпус (Коломиец, М.В. Т-34. Первая полная энциклопедия. - </w:t>
      </w:r>
      <w:r w:rsidRPr="008A2E5A">
        <w:rPr>
          <w:rFonts w:ascii="Times New Roman" w:hAnsi="Times New Roman"/>
          <w:color w:val="0070C0"/>
          <w:sz w:val="16"/>
          <w:szCs w:val="16"/>
        </w:rPr>
        <w:tab/>
        <w:t>С. 293). На броневой защите курсового пулемета ДТ уменьшили шов приварки в лобовом листе с 20 до 16 мм. Перешли на новую балку носа с уменьшенным радиусом в передней части и с увеличенным сечением, что дало увеличение бронестойкости (Коломиец, М.В. Т-34. Первая полная</w:t>
      </w:r>
      <w:r w:rsidRPr="008A2E5A">
        <w:rPr>
          <w:rFonts w:ascii="Times New Roman" w:hAnsi="Times New Roman"/>
          <w:color w:val="0070C0"/>
          <w:sz w:val="16"/>
          <w:szCs w:val="16"/>
        </w:rPr>
        <w:tab/>
        <w:t>энциклопедия. - С. 295.) (23540).</w:t>
      </w:r>
    </w:p>
    <w:p w14:paraId="4C7621C3" w14:textId="77777777" w:rsidR="002A6CE5" w:rsidRPr="008A2E5A" w:rsidRDefault="002A6CE5" w:rsidP="002A6CE5">
      <w:pPr>
        <w:spacing w:after="0" w:line="240" w:lineRule="auto"/>
        <w:jc w:val="both"/>
        <w:rPr>
          <w:rFonts w:ascii="Times New Roman" w:hAnsi="Times New Roman"/>
          <w:color w:val="0070C0"/>
          <w:sz w:val="16"/>
          <w:szCs w:val="16"/>
        </w:rPr>
      </w:pPr>
    </w:p>
    <w:p w14:paraId="6AFA0D34" w14:textId="77777777" w:rsidR="002A6CE5" w:rsidRPr="008A2E5A" w:rsidRDefault="002A6CE5" w:rsidP="002A6C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г. в танковой промышленности четко обозначилась проблема с обеспечением работников продуктами питания. По данным исследователя Вас. В. Запария, нарком танкопрома в письме И.В. Сталину подробно описал положение работников своей промышленности: «Рабочие и ИТР работают на танковых заводах по 11-13 часов в сутки, без выходных дней. Вместе со временем, затраченным на проход от дома до завода и обратно, а также на обеденный перерыв, рабочий находится вне дома 14</w:t>
      </w:r>
      <w:r w:rsidRPr="008A2E5A">
        <w:rPr>
          <w:rFonts w:ascii="Times New Roman" w:hAnsi="Times New Roman"/>
          <w:color w:val="0070C0"/>
          <w:sz w:val="16"/>
          <w:szCs w:val="16"/>
        </w:rPr>
        <w:softHyphen/>
        <w:t>15 ч. в сутки. Получают питание один раз в сутки с вырезкой талонов из продкарточек. Большинство рабочих остаток продуктов по карточке передают семье и не могут взять с собой на работу завтрак» [913] (23536).</w:t>
      </w:r>
    </w:p>
    <w:p w14:paraId="15D97C27" w14:textId="77777777" w:rsidR="002A6CE5" w:rsidRPr="008A2E5A" w:rsidRDefault="002A6CE5" w:rsidP="002A6CE5">
      <w:pPr>
        <w:spacing w:after="0" w:line="240" w:lineRule="auto"/>
        <w:jc w:val="both"/>
        <w:rPr>
          <w:rFonts w:ascii="Times New Roman" w:hAnsi="Times New Roman"/>
          <w:color w:val="0070C0"/>
          <w:sz w:val="16"/>
          <w:szCs w:val="16"/>
        </w:rPr>
      </w:pPr>
    </w:p>
    <w:p w14:paraId="537CAC2C" w14:textId="77777777" w:rsidR="002A6CE5" w:rsidRPr="008A2E5A" w:rsidRDefault="002A6CE5" w:rsidP="002A6C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г. слишком явно заявила о себе новая проблема советского танкостроения - низкая надежность выпускаемых машин. Уже с января 1942 г. участились случаи поступления из действующей армии актов рекламаций на низкое качество танков Т-34. Особенно много нареканий вызывали машины производства Сталинградского тракторного завода (СТЗ) и завода № 112 (Ермолов, А.Ю. Государственное управление военной промышленностью в 1940-е годы: Танковая промышленность. - С. 182-183; Мельников, Н.Н. Танковая промышленность СССР в годы Великой Отечественной войны. - С. 217-226.). Речь шла о трещинах в броне, возникавших на предприятиях в результате отклонения от технологического процесса в производстве броневых корпусов (23540).</w:t>
      </w:r>
    </w:p>
    <w:p w14:paraId="70E6032D" w14:textId="77777777" w:rsidR="002A6CE5" w:rsidRPr="008A2E5A" w:rsidRDefault="002A6CE5" w:rsidP="002A6CE5">
      <w:pPr>
        <w:spacing w:after="0" w:line="240" w:lineRule="auto"/>
        <w:jc w:val="both"/>
        <w:rPr>
          <w:rFonts w:ascii="Times New Roman" w:hAnsi="Times New Roman"/>
          <w:color w:val="0070C0"/>
          <w:sz w:val="16"/>
          <w:szCs w:val="16"/>
        </w:rPr>
      </w:pPr>
    </w:p>
    <w:p w14:paraId="6857982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в КБ завода № 37 под ру</w:t>
      </w:r>
      <w:r w:rsidRPr="008127F8">
        <w:rPr>
          <w:rFonts w:ascii="Times New Roman" w:hAnsi="Times New Roman"/>
          <w:color w:val="000000" w:themeColor="text1"/>
          <w:sz w:val="16"/>
          <w:szCs w:val="16"/>
        </w:rPr>
        <w:softHyphen/>
        <w:t>ководством Н.А. Попова на базе танка Т-60 был разработан Танк Т-60-2 с использованием конструк</w:t>
      </w:r>
      <w:r w:rsidRPr="008127F8">
        <w:rPr>
          <w:rFonts w:ascii="Times New Roman" w:hAnsi="Times New Roman"/>
          <w:color w:val="000000" w:themeColor="text1"/>
          <w:sz w:val="16"/>
          <w:szCs w:val="16"/>
        </w:rPr>
        <w:softHyphen/>
        <w:t>тивных проработок проекта легкого танка Т-45. Был изготовлен опыт</w:t>
      </w:r>
      <w:r w:rsidRPr="008127F8">
        <w:rPr>
          <w:rFonts w:ascii="Times New Roman" w:hAnsi="Times New Roman"/>
          <w:color w:val="000000" w:themeColor="text1"/>
          <w:sz w:val="16"/>
          <w:szCs w:val="16"/>
        </w:rPr>
        <w:softHyphen/>
        <w:t>ный образец машины, который имел заводское обозначение 0-62. На во</w:t>
      </w:r>
      <w:r w:rsidRPr="008127F8">
        <w:rPr>
          <w:rFonts w:ascii="Times New Roman" w:hAnsi="Times New Roman"/>
          <w:color w:val="000000" w:themeColor="text1"/>
          <w:sz w:val="16"/>
          <w:szCs w:val="16"/>
        </w:rPr>
        <w:softHyphen/>
        <w:t>оружение не принимался и в серийном производстве не состоял. Танк отличался от легкого танка Т-60 установкой вооружения в но</w:t>
      </w:r>
      <w:r w:rsidRPr="008127F8">
        <w:rPr>
          <w:rFonts w:ascii="Times New Roman" w:hAnsi="Times New Roman"/>
          <w:color w:val="000000" w:themeColor="text1"/>
          <w:sz w:val="16"/>
          <w:szCs w:val="16"/>
        </w:rPr>
        <w:softHyphen/>
        <w:t>вой башне, разработанной при проектировании легкого танка Т-45. Схе</w:t>
      </w:r>
      <w:r w:rsidRPr="008127F8">
        <w:rPr>
          <w:rFonts w:ascii="Times New Roman" w:hAnsi="Times New Roman"/>
          <w:color w:val="000000" w:themeColor="text1"/>
          <w:sz w:val="16"/>
          <w:szCs w:val="16"/>
        </w:rPr>
        <w:softHyphen/>
        <w:t>ма компоновки машины полностью повторяла схему компоновки танка Т-60. В состав экипажа машины входили два человека (10703).</w:t>
      </w:r>
    </w:p>
    <w:p w14:paraId="0374FD5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27BF0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весны 1942 г. на танке стали устанавливать два воздухоочистителя типа "Циклон" с двумя промасленными проволочными кассетами. Установка воздухоочистителей новой конст</w:t>
      </w:r>
      <w:r w:rsidRPr="008127F8">
        <w:rPr>
          <w:rFonts w:ascii="Times New Roman" w:hAnsi="Times New Roman"/>
          <w:color w:val="000000" w:themeColor="text1"/>
          <w:sz w:val="16"/>
          <w:szCs w:val="16"/>
        </w:rPr>
        <w:softHyphen/>
        <w:t>рукции позволила обеспечить степень очистки воздуха равную 99,3% (у воздухоочистителей старой конструкции степень очистки была на уровне 70%) и повысила надежность работы силовой установки танка (10703).</w:t>
      </w:r>
    </w:p>
    <w:p w14:paraId="21D87A3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D631F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в конструкторском бюро УЗТМ был разработан проект ЗСУ на базе танка Т-60 с 37-мм автоматической зе</w:t>
      </w:r>
      <w:r w:rsidRPr="008127F8">
        <w:rPr>
          <w:rFonts w:ascii="Times New Roman" w:hAnsi="Times New Roman"/>
          <w:color w:val="000000" w:themeColor="text1"/>
          <w:sz w:val="16"/>
          <w:szCs w:val="16"/>
        </w:rPr>
        <w:softHyphen/>
        <w:t>нитной пушкой (проект У-32). Непосредственная разработка проекта У-32 была выполнена конструкторами К.Н. Ильиным и А.Н. Шляковым совместно с конструкторами завода № 37, причем установку ору</w:t>
      </w:r>
      <w:r w:rsidRPr="008127F8">
        <w:rPr>
          <w:rFonts w:ascii="Times New Roman" w:hAnsi="Times New Roman"/>
          <w:color w:val="000000" w:themeColor="text1"/>
          <w:sz w:val="16"/>
          <w:szCs w:val="16"/>
        </w:rPr>
        <w:softHyphen/>
        <w:t>дий вел УЗТМ, а базу проектировал завод № 37. Во второй половине октября 1942 г. по решению правительства разработанный проект зе</w:t>
      </w:r>
      <w:r w:rsidRPr="008127F8">
        <w:rPr>
          <w:rFonts w:ascii="Times New Roman" w:hAnsi="Times New Roman"/>
          <w:color w:val="000000" w:themeColor="text1"/>
          <w:sz w:val="16"/>
          <w:szCs w:val="16"/>
        </w:rPr>
        <w:softHyphen/>
        <w:t>нитной самоходной установки У-32 был передан в КБ завода № 38 (10703).</w:t>
      </w:r>
    </w:p>
    <w:p w14:paraId="1C47358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DD7EB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ОГК завода № 92 под руководством В. Грабина была спроектирована для Т-60 и Т-70 37-мм пушка большой мощности ЗИС-19, но ввиду организации ЦАКБ и переезда ведущих конструкторских кадров из Горького в Москву рабо</w:t>
      </w:r>
      <w:r w:rsidRPr="008127F8">
        <w:rPr>
          <w:rFonts w:ascii="Times New Roman" w:hAnsi="Times New Roman"/>
          <w:color w:val="000000" w:themeColor="text1"/>
          <w:sz w:val="16"/>
          <w:szCs w:val="16"/>
        </w:rPr>
        <w:softHyphen/>
        <w:t>ты над укаанными проектами в 1943 г. не возобновлялись (11135).</w:t>
      </w:r>
    </w:p>
    <w:p w14:paraId="36532A4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8A43CF"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Весной 1942 года произошёл переход от производства Т-60 к гораздо более совершенному лёгкому танку Т-70. Это не первая машина, созданная в Горьком: ещё в 1936 году под руководством В. В. Данилова здесь был разработан разведывательный танк-</w:t>
      </w:r>
      <w:hyperlink r:id="rId55" w:history="1">
        <w:r w:rsidRPr="008127F8">
          <w:rPr>
            <w:rFonts w:ascii="Times New Roman" w:eastAsia="Times New Roman" w:hAnsi="Times New Roman"/>
            <w:color w:val="000000" w:themeColor="text1"/>
            <w:sz w:val="16"/>
            <w:szCs w:val="16"/>
            <w:lang w:eastAsia="ru-RU"/>
          </w:rPr>
          <w:t>амфибия</w:t>
        </w:r>
      </w:hyperlink>
      <w:r w:rsidRPr="008127F8">
        <w:rPr>
          <w:rFonts w:ascii="Times New Roman" w:eastAsia="Times New Roman" w:hAnsi="Times New Roman"/>
          <w:color w:val="000000" w:themeColor="text1"/>
          <w:sz w:val="16"/>
          <w:szCs w:val="16"/>
          <w:lang w:eastAsia="ru-RU"/>
        </w:rPr>
        <w:t xml:space="preserve"> ТМ («танк Молотова»), весьма примечательная машина, оснащённая спаркой двигателей ГАЗ АА. Но ТМ дальше опытного образца не продвинулся. А вот ГАЗ-70, он же Т-70, оказался настоящей палочкой-выручалочкой для советского танкостроения и для Красной армии. Благодаря этой машине удалось, наконец, ликвидировать пробел в системе танкового вооружения, образовавшийся после неудачи с запуском в серию лёгкого танка Т-50.</w:t>
      </w:r>
    </w:p>
    <w:p w14:paraId="66581764"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Разумеется, по совокупности характеристик Т-50 превосходил Т-70, но воюют обычно тем что есть. В крупную серию Т-50 так и не попал, а Т-70 был максимально ориентирован на возможности производства в военный период. Неудивительно, что этот танк стал вторым по массовости советским танком военного времени после Т-34. Кроме того, база Т-70 оказалась удачной для разработки самоходных установок (17660).</w:t>
      </w:r>
    </w:p>
    <w:p w14:paraId="5C86443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5F32F72"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Весной 1942 года завод №592 Народного комиссариата вооружения (НКВ), организованный на площадке Мытищинского машиностроительного завода, оказался в авангарде разработки советских средних САУ. В то время, как в Свердловске пытались довести до ума концепцию </w:t>
      </w:r>
      <w:hyperlink r:id="rId56" w:history="1">
        <w:r w:rsidRPr="008127F8">
          <w:rPr>
            <w:rFonts w:ascii="Times New Roman" w:eastAsia="Times New Roman" w:hAnsi="Times New Roman"/>
            <w:color w:val="000000" w:themeColor="text1"/>
            <w:sz w:val="16"/>
            <w:szCs w:val="16"/>
            <w:lang w:eastAsia="ru-RU"/>
          </w:rPr>
          <w:t>85-мм истребителя танков на базе Т-34</w:t>
        </w:r>
      </w:hyperlink>
      <w:r w:rsidRPr="008127F8">
        <w:rPr>
          <w:rFonts w:ascii="Times New Roman" w:eastAsia="Times New Roman" w:hAnsi="Times New Roman"/>
          <w:color w:val="000000" w:themeColor="text1"/>
          <w:sz w:val="16"/>
          <w:szCs w:val="16"/>
          <w:lang w:eastAsia="ru-RU"/>
        </w:rPr>
        <w:t xml:space="preserve">, в Мытищах шли работы по проектированию САУ на базе трофейной </w:t>
      </w:r>
      <w:hyperlink r:id="rId57" w:history="1">
        <w:r w:rsidRPr="008127F8">
          <w:rPr>
            <w:rFonts w:ascii="Times New Roman" w:eastAsia="Times New Roman" w:hAnsi="Times New Roman"/>
            <w:color w:val="000000" w:themeColor="text1"/>
            <w:sz w:val="16"/>
            <w:szCs w:val="16"/>
            <w:lang w:eastAsia="ru-RU"/>
          </w:rPr>
          <w:t>немецкой установки StuG III</w:t>
        </w:r>
      </w:hyperlink>
      <w:r w:rsidRPr="008127F8">
        <w:rPr>
          <w:rFonts w:ascii="Times New Roman" w:eastAsia="Times New Roman" w:hAnsi="Times New Roman"/>
          <w:color w:val="000000" w:themeColor="text1"/>
          <w:sz w:val="16"/>
          <w:szCs w:val="16"/>
          <w:lang w:eastAsia="ru-RU"/>
        </w:rPr>
        <w:t xml:space="preserve">. Разработка не носила инициативного характера – задание на нее выдал Артиллерийский комитет Главного артиллерийского управления Красной Армии (ГАУ КА). Разработанный под руководством Е. В. Синильщикова и С. Г. Перерушева проект </w:t>
      </w:r>
      <w:hyperlink r:id="rId58" w:history="1">
        <w:r w:rsidRPr="008127F8">
          <w:rPr>
            <w:rFonts w:ascii="Times New Roman" w:eastAsia="Times New Roman" w:hAnsi="Times New Roman"/>
            <w:color w:val="000000" w:themeColor="text1"/>
            <w:sz w:val="16"/>
            <w:szCs w:val="16"/>
            <w:lang w:eastAsia="ru-RU"/>
          </w:rPr>
          <w:t>САУ 122-СГ</w:t>
        </w:r>
      </w:hyperlink>
      <w:r w:rsidRPr="008127F8">
        <w:rPr>
          <w:rFonts w:ascii="Times New Roman" w:eastAsia="Times New Roman" w:hAnsi="Times New Roman"/>
          <w:color w:val="000000" w:themeColor="text1"/>
          <w:sz w:val="16"/>
          <w:szCs w:val="16"/>
          <w:lang w:eastAsia="ru-RU"/>
        </w:rPr>
        <w:t xml:space="preserve"> предусматривал перевооружение немецкой самоходки советской 122-мм гаубицей М-30. 6 апреля проект был рассмотрен Арткомом ГАУ и одобрен (17681).</w:t>
      </w:r>
    </w:p>
    <w:p w14:paraId="7D6FF6DC"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B5E5CF1"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Весной 1942 года Главное автобронетанковое управление (ГАБТУ) запустило программу создания тяжёлого танка массой 30 тонн. Работы вели челябинские инженеры. Машина получила заводской индекс КВ-13, но почти в то же время конструкторское бюро стало использовать и название ИС-1. Несмотря на индекс КВ, с серийным тяжёлым танком «Клим Ворошилов» новый танк имел очень мало общего (17638).</w:t>
      </w:r>
    </w:p>
    <w:p w14:paraId="7E206FA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D692FCB"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Весной 1942 года, еще до начала испытаний, появился план по выпуску 24-х ЗИС-41. Срок исполнения – октябрь 1942 года, исполнителями выступали Завод №92 и ЗИС, общий бюджет заказа 2 400 000 рублей, или 100 000 за одну установку. Мягко говоря, это недешево: легкие танки </w:t>
      </w:r>
      <w:hyperlink r:id="rId59" w:history="1">
        <w:r w:rsidRPr="008127F8">
          <w:rPr>
            <w:rFonts w:ascii="Times New Roman" w:eastAsia="Times New Roman" w:hAnsi="Times New Roman"/>
            <w:color w:val="000000" w:themeColor="text1"/>
            <w:sz w:val="16"/>
            <w:szCs w:val="16"/>
            <w:lang w:eastAsia="ru-RU"/>
          </w:rPr>
          <w:t>Т-60</w:t>
        </w:r>
      </w:hyperlink>
      <w:r w:rsidRPr="008127F8">
        <w:rPr>
          <w:rFonts w:ascii="Times New Roman" w:eastAsia="Times New Roman" w:hAnsi="Times New Roman"/>
          <w:color w:val="000000" w:themeColor="text1"/>
          <w:sz w:val="16"/>
          <w:szCs w:val="16"/>
          <w:lang w:eastAsia="ru-RU"/>
        </w:rPr>
        <w:t xml:space="preserve"> и Т-70 стоили меньше, как и самоходные установки на их базе.</w:t>
      </w:r>
    </w:p>
    <w:p w14:paraId="075B409D"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Так или иначе, приведенные документы однозначно говорят о том, что разработка ЗИС-41 в конце 1941 года не прекратилась. Да и испытаний этой САУ до конца 1941 года не проводилось (17671).</w:t>
      </w:r>
    </w:p>
    <w:p w14:paraId="52CA6D8C"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AD97BA3"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года на заводе №37 в Свердловске была реализована концепция легкого универсального шасси на агрегатах Т-60, предложенная Гинзбургом. Речь идет о самоходных артиллерийских установках</w:t>
      </w:r>
      <w:hyperlink r:id="rId60" w:tgtFrame="_self" w:history="1">
        <w:r w:rsidRPr="002A6CE5">
          <w:rPr>
            <w:rStyle w:val="a6"/>
            <w:bCs/>
            <w:color w:val="000000" w:themeColor="text1"/>
            <w:sz w:val="16"/>
            <w:szCs w:val="16"/>
            <w:u w:val="none"/>
          </w:rPr>
          <w:t xml:space="preserve">  СУ-31</w:t>
        </w:r>
      </w:hyperlink>
      <w:r w:rsidRPr="002A6CE5">
        <w:rPr>
          <w:rFonts w:ascii="Times New Roman" w:hAnsi="Times New Roman"/>
          <w:color w:val="000000" w:themeColor="text1"/>
          <w:sz w:val="16"/>
          <w:szCs w:val="16"/>
        </w:rPr>
        <w:t xml:space="preserve">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и СУ-32.</w:t>
      </w:r>
    </w:p>
    <w:p w14:paraId="4468E5A5"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основе шасси СУ-32 была разработана легкая самоходная артиллерийская установка СУ-12. Также изготовили ЗСУ СУ-11. Она стала опытной, в отличие от СУ-12, которую приняли на вооружение постановлением ГКО № 2559 от 2 декабря 1942 года. Гинзбург являлся главным конструктором машины, а основная нагрузка легла на плечи КБ завода №38 под руководством М.Н. Щукина. Увы, данная машина стала для Гинзбурга роковой. Выбранная схема с параллельно расположенными моторами и двумя КПП ГАЗ-ММ оказалась неудачной. В ходе маневрирования происходило разрушение КПП и бортовых передач, причем к весне это явление стало </w:t>
      </w:r>
      <w:r w:rsidRPr="008127F8">
        <w:rPr>
          <w:rFonts w:ascii="Times New Roman" w:hAnsi="Times New Roman"/>
          <w:color w:val="000000" w:themeColor="text1"/>
          <w:sz w:val="16"/>
          <w:szCs w:val="16"/>
        </w:rPr>
        <w:lastRenderedPageBreak/>
        <w:t>массовым. По-настоящему проблемы с коробками передач стали проявляться в феврале-марте 1943 года, когда началось по-настоящему массовое производство СУ-12. Если за январь отправка с завода №38 составила всего 35 машин, то в феврале Киров покинули 94 САУ, а в марте – 96. Тревогу забили в конце февраля 1943 года. Согласно докладу, датированному 25 числом, по причинам дефекта КПП из строя вышло 79 машин, то есть 45% от выпущенных на тот момент СУ-12! Из них 38 вышло из строя в ходе заводских испытаний, 19 в войсках, еще 4 (из 5 участвовавших) сломалось на испытаниях в Московском артцентре. И это ещё до того, как на машину установили крышу, которая добавила массы к уже имевшимся 11 тоннам.</w:t>
      </w:r>
    </w:p>
    <w:p w14:paraId="073EC515"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мнению Гинзбурга, проблема была связана с плохим качеством КПП. С этим не согласились на ГАЗ им. Молотова. И правда была на стороне ГАЗ. КБ завода №38 лихорадочно работало над улучшением ситуации. Благодаря введённым заводом №38 изменениям в конструкцию аварийность немного снизилась, но всё равно осталась высокой. Дело приняло настолько серьезный оборот, что по указанию Сталина СУ-12 были изъяты из самоходных артиллерийских полков. Согласно постановлению ГКО №3184 от 14 апреля 1943 года, на заводе №38 были созданы специальные бригады, которые ездили по частям, укомплектованным СУ-12 раннего выпуска и на месте производили их модернизацию. Тем не менее, стало ясно - проблема неустранимая. На сей раз виновным оказался Гинзбург. Точку в вопросе поставил Сталин. 7 июня 1943 года он подписал постановление ГКО №3530 «О самоходных установках СУ-76», где есть следующий пункт:</w:t>
      </w:r>
    </w:p>
    <w:p w14:paraId="0E1B7DD0"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i/>
          <w:iCs/>
          <w:color w:val="000000" w:themeColor="text1"/>
          <w:sz w:val="16"/>
          <w:szCs w:val="16"/>
        </w:rPr>
        <w:t xml:space="preserve">"«Конструктора самоходной артиллерийской установки СУ-76 т. Гинзбурга отстранить от работы в Наркомтанкопроме, запретить допущение его в дальнейшем к конструкторским работам и направить в распоряжение НКО для использования в войсках Действующей Армии»" </w:t>
      </w:r>
      <w:r w:rsidRPr="008127F8">
        <w:rPr>
          <w:rFonts w:ascii="Times New Roman" w:hAnsi="Times New Roman"/>
          <w:color w:val="000000" w:themeColor="text1"/>
          <w:sz w:val="16"/>
          <w:szCs w:val="16"/>
        </w:rPr>
        <w:t xml:space="preserve"> (19634).</w:t>
      </w:r>
    </w:p>
    <w:p w14:paraId="4FB65D78"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222C9452"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Весной 1942 года англичане предложили в дополнение к «Матильдам», «Валентайнам» и «Черчиллям» крейсерские танки Cruiser Tank Mk.VI, с весны 1941 года получившие обозначение </w:t>
      </w:r>
      <w:r w:rsidRPr="008127F8">
        <w:rPr>
          <w:rFonts w:ascii="Times New Roman" w:eastAsia="Times New Roman" w:hAnsi="Times New Roman"/>
          <w:color w:val="000000" w:themeColor="text1"/>
          <w:sz w:val="16"/>
          <w:szCs w:val="16"/>
          <w:lang w:val="en-US" w:eastAsia="ru-RU"/>
        </w:rPr>
        <w:t>Crusader</w:t>
      </w:r>
      <w:r w:rsidRPr="008127F8">
        <w:rPr>
          <w:rFonts w:ascii="Times New Roman" w:eastAsia="Times New Roman" w:hAnsi="Times New Roman"/>
          <w:color w:val="000000" w:themeColor="text1"/>
          <w:sz w:val="16"/>
          <w:szCs w:val="16"/>
          <w:lang w:eastAsia="ru-RU"/>
        </w:rPr>
        <w:t>. Эту машину, являвшуюся преемником Mk.I</w:t>
      </w:r>
      <w:r w:rsidRPr="008127F8">
        <w:rPr>
          <w:rFonts w:ascii="Times New Roman" w:eastAsia="Times New Roman" w:hAnsi="Times New Roman"/>
          <w:color w:val="000000" w:themeColor="text1"/>
          <w:sz w:val="16"/>
          <w:szCs w:val="16"/>
          <w:lang w:val="en-US" w:eastAsia="ru-RU"/>
        </w:rPr>
        <w:t>II</w:t>
      </w:r>
      <w:r w:rsidRPr="008127F8">
        <w:rPr>
          <w:rFonts w:ascii="Times New Roman" w:eastAsia="Times New Roman" w:hAnsi="Times New Roman"/>
          <w:color w:val="000000" w:themeColor="text1"/>
          <w:sz w:val="16"/>
          <w:szCs w:val="16"/>
          <w:lang w:eastAsia="ru-RU"/>
        </w:rPr>
        <w:t xml:space="preserve"> и Mk.IV, начали производить с конца 1940 года. По сути, это был совершенно новый танк, гораздо более удачный, чем его предшественники. При этом он сохранил некоторые их врождённые недостатки. Особенно это касалось слабого бронирования и не слишком надёжного двигателя Nuffield-Liberty.</w:t>
      </w:r>
    </w:p>
    <w:p w14:paraId="2342CB75"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ответ Главное автобронетанковое управление Красной Армии (ГАБТУ КА) через соответствующие органы запросило информацию по Crusader. Помимо официальных каналов, оказалась задействована и внешняя разведка, благодаря которой имелись точные сведения по объёму выпуска танков и было известно о заводах, на которых их производят. Прежде всего, от английского крейсерского танка отказались из-за бензинового двигателя. Остальные английские танки, поступавшие в СССР, имели дизельные моторы. Кроме того, была получена и проанализирована информация об использовании «Крусейдеров» в Африке: немцы считали эти машины быстрыми, но слабо бронированными (17645).</w:t>
      </w:r>
    </w:p>
    <w:p w14:paraId="54840DC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911C06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весны 1942 в СССР стал пребывать танк огневой поддержки МК.II Матильда CS, вооруженный 76-мм гаубицей, имеющей в боекомплекте фугасные снаряды К весне 1942 года 37-мм автоматы, как впрочем, и пушки калибра 76 и 85 мм были изъяты из противотанковой артиллерии (3861).</w:t>
      </w:r>
    </w:p>
    <w:p w14:paraId="690EBD8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88DD65"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Весной 1942 года поставки Medium Tank M3 набирали обороты. Если в марте их прибыло 44 штуки, то в апреле уже 62, а в мае 112 штук. Пик поставок первого полугодия пришёлся на июнь, когда прибыл 121 танк. Шли американские средние танки в СССР и в злополучном конвое PQ-17. В нём до места назначения добралось всего 57 танков, после чего поставки прекратились на месяц. Но уже в сентябре 1942 года в СССР прибыло рекордное количество танков – 256 штук. Всего же за 1942 год прибыло 812 М3Ср.</w:t>
      </w:r>
    </w:p>
    <w:p w14:paraId="1EA25C3C"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В отличие от М3л, которые массово поступали через Иран, М3Ср южным путём пришло совсем немного — за весь 1942 год их поступило всего 26 штук. В январе 1943 года прибыло 117 танков, и снова большинство из них северным маршрутом. На этом поставки М3Ср, производство которого завершалось, практически прекратились: 4 танка пришло в феврале, 8 в апреле, 2 в мае и последние 2 в сентябре.</w:t>
      </w:r>
    </w:p>
    <w:p w14:paraId="55B93D0B"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В общей сложности, в СССР официально поступило 945 М3Ср. Фактически же их оказалось на 12 машин больше. Дело в том, что в 1942 году недалеко от советских берегов затонул транспорт с американскими машинами. В 1943 году затонувшие танки удалось поднять и восстановить. Они попали в состав 429-го отдельного танкового батальона. Вместе с этими машинами общее число попавших в Красную армию американских средних танков достигло 957 штук (17705).</w:t>
      </w:r>
    </w:p>
    <w:p w14:paraId="3E67A145"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99A4E52" w14:textId="77777777" w:rsidR="002A6CE5" w:rsidRPr="008A2E5A" w:rsidRDefault="002A6CE5" w:rsidP="002A6C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года началась новая страница в истории советской самоходной артиллерии. В апреле 1942 году Артиллерийский комитет ГАУ КА утвердил основные направления развития САУ. В их числе оказались легкие штурмовые САУ, которые создавались с использованием агрегатов легких танков Т-60 и Т-70. Первые образцы САУ были разработаны КБ завода №37 (г. Свердловск) по концепции, предложенной С.А. Гинзбургом. Дальнейшее развитие темы шло на заводе №38 (г. Киров), результатом стало создание СУ-12, первой советской легкой САУ выпущенной по-настоящему крупной серией (24101).</w:t>
      </w:r>
    </w:p>
    <w:p w14:paraId="1FBB6F97" w14:textId="77777777" w:rsidR="002A6CE5" w:rsidRPr="008A2E5A" w:rsidRDefault="002A6CE5" w:rsidP="002A6CE5">
      <w:pPr>
        <w:spacing w:after="0" w:line="240" w:lineRule="auto"/>
        <w:jc w:val="both"/>
        <w:rPr>
          <w:rFonts w:ascii="Times New Roman" w:hAnsi="Times New Roman"/>
          <w:color w:val="0070C0"/>
          <w:sz w:val="16"/>
          <w:szCs w:val="16"/>
        </w:rPr>
      </w:pPr>
    </w:p>
    <w:p w14:paraId="74B4B87D" w14:textId="77777777" w:rsidR="002A6CE5" w:rsidRPr="008A2E5A" w:rsidRDefault="002A6CE5" w:rsidP="002A6C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года сформировалась концепция советских САУ, которая существенно отличалась от зарубежных аналогов. Получилось 3 штурмовых САУ и 1 ЗСУ. Ограничения по массе шасси легкой САУ привели к тому, что лобовая броня легкой штурмовой САУ обеспечивала защиту от крупнокалиберных пулеметов и 20-мм автоматических пушек. Средние и тяжелые САУ имели противоснарядную броню, причем на средних "штурмовиках" позже ее сократили до 45 мм. В любом случае, советская линейка САУ была "штурмовиками", от "самоходных лафетов" отказались.</w:t>
      </w:r>
    </w:p>
    <w:p w14:paraId="54167BEF" w14:textId="77777777" w:rsidR="002A6CE5" w:rsidRPr="008A2E5A" w:rsidRDefault="002A6CE5" w:rsidP="002A6C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 каждой танкостроительной школы были свои особенности и специфичный набор проблем. В полной мере это касалось и советской программы самоходной артиллерии. Во-первых, САУ находились в ведении ГАУ КА, а КБ завода №592 в ведении НКВ (Наркомат Вооружений). Там имели свой, крайне специфичный взгляд на то, как должно выглядеть шасси САУ, а также вооружение. "Минимум изменений" - этот слоган красной линией проходил по советской самоходной артиллерии. Собственно говоря, будущая СУ-76 сформировалась из агрегатов Т-60/Т-70 только потому, что работы шли по линии НКТП (Наркомат Танковой Промышленности), где понимали - некоторые изменения всё же нужны. Артиллеристы же жестко стояли на своём. В результате СУ-76 и СУ-122 получили чрезмерно громоздкое вооружение.</w:t>
      </w:r>
    </w:p>
    <w:p w14:paraId="7D9D68A5" w14:textId="6BBB477D" w:rsidR="002A6CE5" w:rsidRPr="008A2E5A" w:rsidRDefault="002A6CE5" w:rsidP="002A6C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Второй, не менее важный момент, связанный с отечественной самоходной артиллерией, имел прямое отношение к производственной базе. Наиболее показательным примером была ситуация с танкостроением на заводе №592. Шасси для изготовления САУ он получал по остаточному принципу. Во многом поэтому его, в декабре 1942 года, передали в НКТП, превратив в завод №</w:t>
      </w:r>
      <w:r>
        <w:rPr>
          <w:rFonts w:ascii="Times New Roman" w:hAnsi="Times New Roman"/>
          <w:color w:val="0070C0"/>
          <w:sz w:val="16"/>
          <w:szCs w:val="16"/>
        </w:rPr>
        <w:t xml:space="preserve"> </w:t>
      </w:r>
      <w:r w:rsidRPr="008A2E5A">
        <w:rPr>
          <w:rFonts w:ascii="Times New Roman" w:hAnsi="Times New Roman"/>
          <w:color w:val="0070C0"/>
          <w:sz w:val="16"/>
          <w:szCs w:val="16"/>
        </w:rPr>
        <w:t>40. При этом в Техническом совете НКВ на голубом глазу утверждали, что для производства САУ подойдет любой завод с крановым оборудованием. Как говорится, безумству храбрых поём мы песню. В-третьих, любой завод имел своё КБ, которое не очень-то горело желанием плясать под чужую дудку. Не стоит удивляться, что когда на завод №183 свалили задание на разработку штурмовой САУ, там сделали... танк. Им так было проще.</w:t>
      </w:r>
    </w:p>
    <w:p w14:paraId="1AC48691" w14:textId="77777777" w:rsidR="002A6CE5" w:rsidRPr="008A2E5A" w:rsidRDefault="002A6CE5" w:rsidP="002A6CE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Наконец, наверху частенько забывали про поговорку "ёж - птица гордая, не пнешь - не полетит". Если завод был заинтересован в задании, он проектировал быстро. Завод №37 НКТП (г. Свердловск) был заинтересованной стороной, поэтому СУ-31 и СУ-32 появились довольно быстро. В случае со средними САУ у завода №592 попросту не имелось шасси Т-34. Похожая ситуация была и с заводом №8, на который также свалили задание по разработке средней штурмовой САУ. А еще имелись срочные задания по другим разработкам. Поэтому средние "штурмовики" буксовали. Хуже всего развивалась ситуация с тяжелой штурмовой САУ. ЧКЗ, за которым закрепили разработку шасси и дальнейшее производство, было не до тяжелого "штурмовика". А заводу №8 и КБ УЗТМ хватало своих забот. Посему работы по тяжелой САУ шли очень медленно, а ЗИК-20 несколько отошла от исходной задумки использования корпусов КВ-7. Такое решение было ожидаемым, поскольку рубка КВ-7 не выглядела рациональной разработкой. Кроме того, Ф.Ф. Петров несколько переделал орудие МЛ-20, что только усложнило задачу (23382).</w:t>
      </w:r>
    </w:p>
    <w:p w14:paraId="006B2FA3" w14:textId="77777777" w:rsidR="002A6CE5" w:rsidRPr="008A2E5A" w:rsidRDefault="002A6CE5" w:rsidP="002A6CE5">
      <w:pPr>
        <w:spacing w:after="0" w:line="240" w:lineRule="auto"/>
        <w:jc w:val="both"/>
        <w:rPr>
          <w:rFonts w:ascii="Times New Roman" w:hAnsi="Times New Roman"/>
          <w:color w:val="0070C0"/>
          <w:sz w:val="16"/>
          <w:szCs w:val="16"/>
        </w:rPr>
      </w:pPr>
    </w:p>
    <w:p w14:paraId="28A2987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в конструкторском бюро УЗТМ был разработан проект САУ с установкой 76,2-мм пушки ЗИС-5 на ба</w:t>
      </w:r>
      <w:r w:rsidRPr="008127F8">
        <w:rPr>
          <w:rFonts w:ascii="Times New Roman" w:hAnsi="Times New Roman"/>
          <w:color w:val="000000" w:themeColor="text1"/>
          <w:sz w:val="16"/>
          <w:szCs w:val="16"/>
        </w:rPr>
        <w:softHyphen/>
        <w:t>зе танка Т-40 (проект У-31). Непосредственная разработка проекта са</w:t>
      </w:r>
      <w:r w:rsidRPr="008127F8">
        <w:rPr>
          <w:rFonts w:ascii="Times New Roman" w:hAnsi="Times New Roman"/>
          <w:color w:val="000000" w:themeColor="text1"/>
          <w:sz w:val="16"/>
          <w:szCs w:val="16"/>
        </w:rPr>
        <w:softHyphen/>
        <w:t>моходной артиллерийской установки была выполнена конструкторами К.Н. Ильиным и А.Н. Шляковым совместно с конструкторами завода № 37, причем установку орудия вел УЗТМ, а базу проектировал завод № 37. Во второй половине октября 1942 г. по решению правительства разработанный проект самоходной установки У-31 был передан в КБ завода № 38, где он был использован при разработке легкой самоходной артиллерийской установки СУ-76 (10703).</w:t>
      </w:r>
    </w:p>
    <w:p w14:paraId="00C053F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6113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года в КО УЗТМ разрабатывалась самоходная установка У-19 на базе танка КВ-1. По проекту на машине устанавливалась 203-мм гаубица Б-4 массой 12,7 т. Мощный фугасный снаряд (масса 100 кг, начальная скорость 600 м/с) являлся весьма эффективным средством для разрушения железобетонных укреплений противника. Размеры САУ с полностью забронированным боевым отделением получились слишком большими, а ее расчетная боевая масса достигала 66 т. Анализ этого проекта показал, что создание маневренной самоходной артиллерийской установки, вооруженной 203-мм орудием, — технически сложная задача, и поэтому в металле проект выполнен не был (11638).</w:t>
      </w:r>
    </w:p>
    <w:p w14:paraId="402E47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6C111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выполняя решения пленума артиллерий</w:t>
      </w:r>
      <w:r w:rsidRPr="008127F8">
        <w:rPr>
          <w:rFonts w:ascii="Times New Roman" w:hAnsi="Times New Roman"/>
          <w:color w:val="000000" w:themeColor="text1"/>
          <w:sz w:val="16"/>
          <w:szCs w:val="16"/>
        </w:rPr>
        <w:softHyphen/>
        <w:t>ского комитета, прошедшего 14-15 апреля 1942 г., конструк</w:t>
      </w:r>
      <w:r w:rsidRPr="008127F8">
        <w:rPr>
          <w:rFonts w:ascii="Times New Roman" w:hAnsi="Times New Roman"/>
          <w:color w:val="000000" w:themeColor="text1"/>
          <w:sz w:val="16"/>
          <w:szCs w:val="16"/>
        </w:rPr>
        <w:softHyphen/>
        <w:t>торами УЗТМ Н.В. Куриным и Г.Ф. Ксюниным был выпол</w:t>
      </w:r>
      <w:r w:rsidRPr="008127F8">
        <w:rPr>
          <w:rFonts w:ascii="Times New Roman" w:hAnsi="Times New Roman"/>
          <w:color w:val="000000" w:themeColor="text1"/>
          <w:sz w:val="16"/>
          <w:szCs w:val="16"/>
        </w:rPr>
        <w:softHyphen/>
        <w:t>нен проект безбашенного штурмового танка У-33. Этот танк должен был сохранить ходовую часть Т-34 и вооружение из 76-мм дивизионной пушки Ф-22УСВ (ЗИС-22) на тумбе при резком снижении сложности и стоимости танка в целом.</w:t>
      </w:r>
    </w:p>
    <w:p w14:paraId="2ED941A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Проект был интересен следующим:</w:t>
      </w:r>
    </w:p>
    <w:p w14:paraId="5FB78AE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Уменьшением общей высоты танка на 700 мм.</w:t>
      </w:r>
    </w:p>
    <w:p w14:paraId="1F5818A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Увеличением толщины лобовой брони до 60 мм с воз</w:t>
      </w:r>
      <w:r w:rsidRPr="008127F8">
        <w:rPr>
          <w:rFonts w:ascii="Times New Roman" w:hAnsi="Times New Roman"/>
          <w:color w:val="000000" w:themeColor="text1"/>
          <w:sz w:val="16"/>
          <w:szCs w:val="16"/>
        </w:rPr>
        <w:softHyphen/>
        <w:t>можностью доведения ее до 75 мм и более.</w:t>
      </w:r>
    </w:p>
    <w:p w14:paraId="11B6B7F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Уменьшением массы танка приблизительно на 1,8—2,1 т, что положительно сказывается на долговечности служ</w:t>
      </w:r>
      <w:r w:rsidRPr="008127F8">
        <w:rPr>
          <w:rFonts w:ascii="Times New Roman" w:hAnsi="Times New Roman"/>
          <w:color w:val="000000" w:themeColor="text1"/>
          <w:sz w:val="16"/>
          <w:szCs w:val="16"/>
        </w:rPr>
        <w:softHyphen/>
        <w:t>бы, проходимости, маневренности, запасе хода.</w:t>
      </w:r>
    </w:p>
    <w:p w14:paraId="29BCCE9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Но главное, значительным (до 27%) снижением трудо</w:t>
      </w:r>
      <w:r w:rsidRPr="008127F8">
        <w:rPr>
          <w:rFonts w:ascii="Times New Roman" w:hAnsi="Times New Roman"/>
          <w:color w:val="000000" w:themeColor="text1"/>
          <w:sz w:val="16"/>
          <w:szCs w:val="16"/>
        </w:rPr>
        <w:softHyphen/>
        <w:t>емкости изготовления машины вследствие отсутствия трудоемких узлов: башня, погон и т.д.</w:t>
      </w:r>
    </w:p>
    <w:p w14:paraId="4B4DFF0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Проект был внимательно изучен представителями НКТП, и по нему был составлен очень благожелательный отзыв. Но изготовление машины отменено ввиду получе</w:t>
      </w:r>
      <w:r w:rsidRPr="008127F8">
        <w:rPr>
          <w:rFonts w:ascii="Times New Roman" w:hAnsi="Times New Roman"/>
          <w:color w:val="000000" w:themeColor="text1"/>
          <w:sz w:val="16"/>
          <w:szCs w:val="16"/>
        </w:rPr>
        <w:softHyphen/>
        <w:t>ния заводом задания по выпуску танков Т-34 (11417).</w:t>
      </w:r>
    </w:p>
    <w:p w14:paraId="0A3D5B4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E475C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ранней весне 1942 г. относятся последние упоминания о ЗИС-30. Группа Муравьева оснастила находившуюся на заводе первую опытную машину ЗИС-30 76-мм пушкой ЗИС-3 (это орудие было поставлено на серийное производство в конце декабря 1941 г взамен 57-мм-пушки ЗИС-2). Однако результаты испытаний были признаны неудачными, и дальше заводского опробования этого образца дело не пошло. В марте был изготовлен деревянный макет аналогичной САУ на шасси танка Т-60, но даже невооруженным глазом было видно, что САУ получается со слишком «Высокой линией огня; больший динамический ход подвески обуславливал большее раскачивание на ходу. Поэтому опытный образец машины не изготавливали (11417).</w:t>
      </w:r>
    </w:p>
    <w:p w14:paraId="4D88621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26CDF7" w14:textId="77777777" w:rsidR="007C5583" w:rsidRPr="008127F8" w:rsidRDefault="007C5583" w:rsidP="007C5583">
      <w:pPr>
        <w:pStyle w:val="article-renderblock"/>
        <w:shd w:val="clear" w:color="auto" w:fill="FFFFFF"/>
        <w:spacing w:before="0" w:beforeAutospacing="0" w:after="0" w:afterAutospacing="0"/>
        <w:jc w:val="both"/>
        <w:rPr>
          <w:color w:val="000000" w:themeColor="text1"/>
          <w:sz w:val="16"/>
          <w:szCs w:val="16"/>
          <w:shd w:val="clear" w:color="auto" w:fill="FFFFFF"/>
        </w:rPr>
      </w:pPr>
      <w:r w:rsidRPr="008127F8">
        <w:rPr>
          <w:color w:val="000000" w:themeColor="text1"/>
          <w:sz w:val="16"/>
          <w:szCs w:val="16"/>
        </w:rPr>
        <w:t xml:space="preserve">Весной 1942 года шли работы по точно такой же САУ - GMC T35. Та самая, что известна как GMC M10. Вот только создавали ее "танкисты", безо всяких глупостей вроде ненужной унификации. Больше того, всё бы влезло и на шасси Т-34, достаточно было просто сделать установку по типу У-12. Но для осознания бестолковости идеи ненужной унификации пришлось ждать начала 1943 года, когда такая же "унифицированная" СУ-35 оказалась чересчур тесной. Только после этого НКТП развязали руки, а под руководством Петрова создали сначала Д-11, а затем Д-5. И, о чудо, 85-мм орудие влезло даже на шасси Т-34 </w:t>
      </w:r>
      <w:r w:rsidRPr="008127F8">
        <w:rPr>
          <w:color w:val="000000" w:themeColor="text1"/>
          <w:sz w:val="16"/>
          <w:szCs w:val="16"/>
          <w:shd w:val="clear" w:color="auto" w:fill="FFFFFF"/>
        </w:rPr>
        <w:t>(20877)</w:t>
      </w:r>
    </w:p>
    <w:p w14:paraId="5FB84183" w14:textId="77777777" w:rsidR="007C5583" w:rsidRPr="008127F8" w:rsidRDefault="007C5583" w:rsidP="007C5583">
      <w:pPr>
        <w:pStyle w:val="1162"/>
        <w:shd w:val="clear" w:color="auto" w:fill="auto"/>
        <w:spacing w:after="0" w:line="240" w:lineRule="auto"/>
        <w:ind w:firstLine="0"/>
        <w:jc w:val="both"/>
        <w:rPr>
          <w:rFonts w:ascii="Times New Roman" w:hAnsi="Times New Roman" w:cs="Times New Roman"/>
          <w:color w:val="000000" w:themeColor="text1"/>
          <w:sz w:val="16"/>
          <w:szCs w:val="16"/>
        </w:rPr>
      </w:pPr>
      <w:r w:rsidRPr="008127F8">
        <w:rPr>
          <w:rStyle w:val="920"/>
          <w:rFonts w:ascii="Times New Roman" w:hAnsi="Times New Roman" w:cs="Times New Roman"/>
          <w:color w:val="000000" w:themeColor="text1"/>
          <w:sz w:val="16"/>
          <w:szCs w:val="16"/>
          <w:lang w:val="ru-RU"/>
        </w:rPr>
        <w:t>С</w:t>
      </w:r>
      <w:r w:rsidRPr="008127F8">
        <w:rPr>
          <w:rStyle w:val="920"/>
          <w:rFonts w:ascii="Times New Roman" w:hAnsi="Times New Roman" w:cs="Times New Roman"/>
          <w:color w:val="000000" w:themeColor="text1"/>
          <w:sz w:val="16"/>
          <w:szCs w:val="16"/>
        </w:rPr>
        <w:t xml:space="preserve"> весны 1942 года </w:t>
      </w:r>
      <w:r w:rsidRPr="008127F8">
        <w:rPr>
          <w:rStyle w:val="920"/>
          <w:rFonts w:ascii="Times New Roman" w:hAnsi="Times New Roman" w:cs="Times New Roman"/>
          <w:color w:val="000000" w:themeColor="text1"/>
          <w:sz w:val="16"/>
          <w:szCs w:val="16"/>
          <w:lang w:val="ru-RU"/>
        </w:rPr>
        <w:t>р</w:t>
      </w:r>
      <w:r w:rsidRPr="008127F8">
        <w:rPr>
          <w:rStyle w:val="920"/>
          <w:rFonts w:ascii="Times New Roman" w:hAnsi="Times New Roman" w:cs="Times New Roman"/>
          <w:color w:val="000000" w:themeColor="text1"/>
          <w:sz w:val="16"/>
          <w:szCs w:val="16"/>
        </w:rPr>
        <w:t>азра</w:t>
      </w:r>
      <w:r w:rsidRPr="008127F8">
        <w:rPr>
          <w:rStyle w:val="920"/>
          <w:rFonts w:ascii="Times New Roman" w:hAnsi="Times New Roman" w:cs="Times New Roman"/>
          <w:color w:val="000000" w:themeColor="text1"/>
          <w:sz w:val="16"/>
          <w:szCs w:val="16"/>
        </w:rPr>
        <w:softHyphen/>
        <w:t xml:space="preserve">ботка танка </w:t>
      </w:r>
      <w:r w:rsidRPr="008127F8">
        <w:rPr>
          <w:rStyle w:val="920"/>
          <w:rFonts w:ascii="Times New Roman" w:hAnsi="Times New Roman" w:cs="Times New Roman"/>
          <w:color w:val="000000" w:themeColor="text1"/>
          <w:sz w:val="16"/>
          <w:szCs w:val="16"/>
          <w:lang w:val="ru-RU"/>
        </w:rPr>
        <w:t xml:space="preserve">КВ-13 </w:t>
      </w:r>
      <w:r w:rsidRPr="008127F8">
        <w:rPr>
          <w:rStyle w:val="920"/>
          <w:rFonts w:ascii="Times New Roman" w:hAnsi="Times New Roman" w:cs="Times New Roman"/>
          <w:color w:val="000000" w:themeColor="text1"/>
          <w:sz w:val="16"/>
          <w:szCs w:val="16"/>
        </w:rPr>
        <w:t>шла силами опытного завода № 100, который ор</w:t>
      </w:r>
      <w:r w:rsidRPr="008127F8">
        <w:rPr>
          <w:rStyle w:val="920"/>
          <w:rFonts w:ascii="Times New Roman" w:hAnsi="Times New Roman" w:cs="Times New Roman"/>
          <w:color w:val="000000" w:themeColor="text1"/>
          <w:sz w:val="16"/>
          <w:szCs w:val="16"/>
        </w:rPr>
        <w:softHyphen/>
        <w:t>ганизовали в марте месяце. Как уже говори</w:t>
      </w:r>
      <w:r w:rsidRPr="008127F8">
        <w:rPr>
          <w:rStyle w:val="920"/>
          <w:rFonts w:ascii="Times New Roman" w:hAnsi="Times New Roman" w:cs="Times New Roman"/>
          <w:color w:val="000000" w:themeColor="text1"/>
          <w:sz w:val="16"/>
          <w:szCs w:val="16"/>
        </w:rPr>
        <w:softHyphen/>
        <w:t>лось, в документах этого завода танк имено</w:t>
      </w:r>
      <w:r w:rsidRPr="008127F8">
        <w:rPr>
          <w:rStyle w:val="920"/>
          <w:rFonts w:ascii="Times New Roman" w:hAnsi="Times New Roman" w:cs="Times New Roman"/>
          <w:color w:val="000000" w:themeColor="text1"/>
          <w:sz w:val="16"/>
          <w:szCs w:val="16"/>
        </w:rPr>
        <w:softHyphen/>
        <w:t>вался ИС-1. Поскольку до наших дней дожили в основном документы ЧКЗ, где эта же самая машина называлась КВ-13, о том факте, что танк одновременно имел два индекса, почти никто не знал.</w:t>
      </w:r>
    </w:p>
    <w:p w14:paraId="3AB6350D" w14:textId="77777777" w:rsidR="007C5583" w:rsidRPr="008127F8" w:rsidRDefault="007C5583" w:rsidP="007C5583">
      <w:pPr>
        <w:shd w:val="clear" w:color="auto" w:fill="FFFFFF"/>
        <w:spacing w:after="0" w:line="240" w:lineRule="auto"/>
        <w:jc w:val="both"/>
        <w:rPr>
          <w:rStyle w:val="920"/>
          <w:rFonts w:ascii="Times New Roman" w:hAnsi="Times New Roman" w:cs="Times New Roman"/>
          <w:color w:val="000000" w:themeColor="text1"/>
          <w:sz w:val="16"/>
          <w:szCs w:val="16"/>
        </w:rPr>
      </w:pPr>
      <w:r w:rsidRPr="008127F8">
        <w:rPr>
          <w:rStyle w:val="920"/>
          <w:rFonts w:ascii="Times New Roman" w:hAnsi="Times New Roman" w:cs="Times New Roman"/>
          <w:color w:val="000000" w:themeColor="text1"/>
          <w:sz w:val="16"/>
          <w:szCs w:val="16"/>
        </w:rPr>
        <w:t>Нетривиальное техническое задание при</w:t>
      </w:r>
      <w:r w:rsidRPr="008127F8">
        <w:rPr>
          <w:rStyle w:val="920"/>
          <w:rFonts w:ascii="Times New Roman" w:hAnsi="Times New Roman" w:cs="Times New Roman"/>
          <w:color w:val="000000" w:themeColor="text1"/>
          <w:sz w:val="16"/>
          <w:szCs w:val="16"/>
        </w:rPr>
        <w:softHyphen/>
        <w:t>вело к созданию нетривиального танка. По длине корпуса КВ-13 был примерно равен Т-34, а боевая масса составила около 32 тонн. От Т-34 позаимствовали траки и отчасти ве</w:t>
      </w:r>
      <w:r w:rsidRPr="008127F8">
        <w:rPr>
          <w:rStyle w:val="920"/>
          <w:rFonts w:ascii="Times New Roman" w:hAnsi="Times New Roman" w:cs="Times New Roman"/>
          <w:color w:val="000000" w:themeColor="text1"/>
          <w:sz w:val="16"/>
          <w:szCs w:val="16"/>
        </w:rPr>
        <w:softHyphen/>
        <w:t>дущие колеса, число опорных катков также было таким же, как у Т-34. Что же касается КВ, то от него на новый танк перекочевали торсионные валы и мотор, в остальном же это был практически полностью новый танк. В нем массово применялись литые детали: если у КВ-1 литой была башня, то на КВ-13 методом литья изготавливали и носовую часть корпу</w:t>
      </w:r>
      <w:r w:rsidRPr="008127F8">
        <w:rPr>
          <w:rStyle w:val="920"/>
          <w:rFonts w:ascii="Times New Roman" w:hAnsi="Times New Roman" w:cs="Times New Roman"/>
          <w:color w:val="000000" w:themeColor="text1"/>
          <w:sz w:val="16"/>
          <w:szCs w:val="16"/>
        </w:rPr>
        <w:softHyphen/>
        <w:t>са, а также подбашенную коробку. Экипаж со</w:t>
      </w:r>
      <w:r w:rsidRPr="008127F8">
        <w:rPr>
          <w:rStyle w:val="920"/>
          <w:rFonts w:ascii="Times New Roman" w:hAnsi="Times New Roman" w:cs="Times New Roman"/>
          <w:color w:val="000000" w:themeColor="text1"/>
          <w:sz w:val="16"/>
          <w:szCs w:val="16"/>
        </w:rPr>
        <w:softHyphen/>
        <w:t>кратили до трех человек - столько же людей управляло и Т-34М 1942 года, который, кстати говоря, был прямым конкурентом КВ-13. Оба проекта, а также масштабные модели были представлены И.В. Сталину 5 июня 1942 года. Предполагалось изготовить два образца КВ-13, но Сталин не одобрил такое решение. В тот момент приоритетом было наращивание выпуска Т-34, что все же не помешало с июля 1942 года начать испытания элементов ходо</w:t>
      </w:r>
      <w:r w:rsidRPr="008127F8">
        <w:rPr>
          <w:rStyle w:val="920"/>
          <w:rFonts w:ascii="Times New Roman" w:hAnsi="Times New Roman" w:cs="Times New Roman"/>
          <w:color w:val="000000" w:themeColor="text1"/>
          <w:sz w:val="16"/>
          <w:szCs w:val="16"/>
        </w:rPr>
        <w:softHyphen/>
        <w:t xml:space="preserve">вой части на одном из КВ-1 (19872). </w:t>
      </w:r>
    </w:p>
    <w:p w14:paraId="7B1E143A" w14:textId="77777777" w:rsidR="007C5583" w:rsidRPr="008127F8" w:rsidRDefault="007C5583" w:rsidP="007C5583">
      <w:pPr>
        <w:shd w:val="clear" w:color="auto" w:fill="FFFFFF"/>
        <w:spacing w:after="0" w:line="240" w:lineRule="auto"/>
        <w:jc w:val="both"/>
        <w:rPr>
          <w:rStyle w:val="920"/>
          <w:rFonts w:ascii="Times New Roman" w:hAnsi="Times New Roman" w:cs="Times New Roman"/>
          <w:color w:val="000000" w:themeColor="text1"/>
          <w:sz w:val="16"/>
          <w:szCs w:val="16"/>
        </w:rPr>
      </w:pPr>
    </w:p>
    <w:p w14:paraId="4BFAF379"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 xml:space="preserve">Весной 1942 года впервые была озвучена идея поставлять в СССР крейсерские танки. Тогда англичане предложили в дополнение к «Матильдам», «Валентайнам» и «Черчиллям» крейсерские танки Cruiser Tank Mk.VI, с весны 1941 года получившие обозначение </w:t>
      </w:r>
      <w:hyperlink r:id="rId61" w:history="1">
        <w:r w:rsidRPr="008127F8">
          <w:rPr>
            <w:rStyle w:val="a6"/>
            <w:color w:val="000000" w:themeColor="text1"/>
          </w:rPr>
          <w:t>Crusader</w:t>
        </w:r>
      </w:hyperlink>
      <w:r w:rsidRPr="008127F8">
        <w:rPr>
          <w:color w:val="000000" w:themeColor="text1"/>
          <w:sz w:val="16"/>
          <w:szCs w:val="16"/>
        </w:rPr>
        <w:t xml:space="preserve">. Эту машину, являвшуюся преемником </w:t>
      </w:r>
      <w:hyperlink r:id="rId62" w:history="1">
        <w:r w:rsidRPr="008127F8">
          <w:rPr>
            <w:rStyle w:val="a6"/>
            <w:color w:val="000000" w:themeColor="text1"/>
          </w:rPr>
          <w:t>Cruiser Tank Mk.III</w:t>
        </w:r>
      </w:hyperlink>
      <w:r w:rsidRPr="008127F8">
        <w:rPr>
          <w:color w:val="000000" w:themeColor="text1"/>
          <w:sz w:val="16"/>
          <w:szCs w:val="16"/>
        </w:rPr>
        <w:t xml:space="preserve"> и Mk.IV, начали производить с конца 1940 года. По сути, это был совершенно новый танк, гораздо более удачный, чем его предшественники. При этом он сохранил некоторые их врождённые недостатки. Особенно это касалось слабого бронирования и не слишком надёжного двигателя Nuffield-Liberty.</w:t>
      </w:r>
    </w:p>
    <w:p w14:paraId="755B5347"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В ответ Главное автобронетанковое управление Красной Армии (ГАБТУ КА) через соответствующие органы запросило информацию по Crusader. Помимо официальных каналов, оказалась задействована и внешняя разведка, благодаря которой имелись точные сведения по объёму выпуска танков и было известно о заводах, на которых их производят. Прежде всего, от английского крейсерского танка отказались из-за бензинового двигателя. Остальные английские танки, поступавшие в СССР, имели дизельные моторы. Кроме того, была получена и проанализирована информация об использовании «Крусейдеров» в Африке: немцы считали эти машины быстрыми, но слабо бронированными (15737).</w:t>
      </w:r>
    </w:p>
    <w:p w14:paraId="4B96C154" w14:textId="77777777" w:rsidR="007C5583" w:rsidRPr="008127F8" w:rsidRDefault="007C5583" w:rsidP="007C5583">
      <w:pPr>
        <w:pStyle w:val="af"/>
        <w:shd w:val="clear" w:color="auto" w:fill="FFFFFF"/>
        <w:spacing w:before="0" w:after="0"/>
        <w:jc w:val="both"/>
        <w:rPr>
          <w:color w:val="000000" w:themeColor="text1"/>
          <w:sz w:val="16"/>
          <w:szCs w:val="16"/>
        </w:rPr>
      </w:pPr>
    </w:p>
    <w:p w14:paraId="71839B24" w14:textId="77777777" w:rsidR="007C5583" w:rsidRPr="008127F8" w:rsidRDefault="007C5583" w:rsidP="007C5583">
      <w:pPr>
        <w:pStyle w:val="book"/>
        <w:ind w:firstLine="0"/>
        <w:jc w:val="both"/>
        <w:rPr>
          <w:color w:val="000000" w:themeColor="text1"/>
          <w:sz w:val="16"/>
          <w:szCs w:val="16"/>
        </w:rPr>
      </w:pPr>
      <w:r w:rsidRPr="008127F8">
        <w:rPr>
          <w:color w:val="000000" w:themeColor="text1"/>
          <w:sz w:val="16"/>
          <w:szCs w:val="16"/>
        </w:rPr>
        <w:t>С весны 1942 г. и до конца года на Западном фронте воевали два батальона трофейных танков, которые в документах фронта значатся как «отдельные танковые батальоны литер «Б». Один из них входил в состав 31-й армии (на 1 августа 1942 г.: 9 Т-60 и 19 немецких, в основном T-III и T-IV), а другой — 20-й армии (на 1 августа 1942 г.: 7 T-IV, 12 T-III, 2 «Артштурма» (StuG III) и 10 38(t). Батальоном 20-й армии командовал майор Небылов, поэтому в документах он иногда называется «батальоном Небылова» (15225).</w:t>
      </w:r>
    </w:p>
    <w:p w14:paraId="60E395EF" w14:textId="77777777" w:rsidR="007C5583" w:rsidRPr="008127F8" w:rsidRDefault="007C5583" w:rsidP="007C5583">
      <w:pPr>
        <w:pStyle w:val="book"/>
        <w:ind w:firstLine="0"/>
        <w:jc w:val="both"/>
        <w:rPr>
          <w:color w:val="000000" w:themeColor="text1"/>
          <w:sz w:val="16"/>
          <w:szCs w:val="16"/>
        </w:rPr>
      </w:pPr>
    </w:p>
    <w:p w14:paraId="15FBD45C" w14:textId="77777777" w:rsidR="007C5583" w:rsidRPr="008127F8" w:rsidRDefault="007C5583" w:rsidP="007C5583">
      <w:pPr>
        <w:pStyle w:val="book"/>
        <w:ind w:firstLine="0"/>
        <w:jc w:val="both"/>
        <w:rPr>
          <w:color w:val="000000" w:themeColor="text1"/>
          <w:sz w:val="16"/>
          <w:szCs w:val="16"/>
        </w:rPr>
      </w:pPr>
      <w:r w:rsidRPr="008127F8">
        <w:rPr>
          <w:color w:val="000000" w:themeColor="text1"/>
          <w:sz w:val="16"/>
          <w:szCs w:val="16"/>
        </w:rPr>
        <w:t>Весной 1942 г. ГАБТУ провело сравнительные испытания трофейного немецкого тягача Sd.Kfz.2, который у нас попросту назывался НСУ, и нашего автомобиля ГАЗ-64. Согласно отчету от 6 мая 1942 г., «немецкий тягач НСУ и автомобиль ГАЗ-64 по силе тяги и проходимости могут буксировать 45-мм противотанковую пушку. Однако ни тягач, ни автомобиль ГАЗ-64 не в состоянии перевозить штатный расчет пушки, состоящий из 5 человек, и боекомплект. Буксировка 37-мм зенитной пушки с расчетом в 3 человека вместо семи немецким тягачом и ГАЗ-64 возможна только по хорошим шоссейным дорогам...</w:t>
      </w:r>
    </w:p>
    <w:p w14:paraId="790E7B6D" w14:textId="77777777" w:rsidR="007C5583" w:rsidRPr="008127F8" w:rsidRDefault="007C5583" w:rsidP="007C5583">
      <w:pPr>
        <w:pStyle w:val="book"/>
        <w:ind w:firstLine="0"/>
        <w:jc w:val="both"/>
        <w:rPr>
          <w:color w:val="000000" w:themeColor="text1"/>
          <w:sz w:val="16"/>
          <w:szCs w:val="16"/>
        </w:rPr>
      </w:pPr>
      <w:r w:rsidRPr="008127F8">
        <w:rPr>
          <w:color w:val="000000" w:themeColor="text1"/>
          <w:sz w:val="16"/>
          <w:szCs w:val="16"/>
        </w:rPr>
        <w:t>Проходимость тягача по проселочным и лесным дорогам в период весеннего бездорожья лучше, чем ГАЗ-64...</w:t>
      </w:r>
    </w:p>
    <w:p w14:paraId="3BA1F2AB" w14:textId="77777777" w:rsidR="007C5583" w:rsidRPr="008127F8" w:rsidRDefault="007C5583" w:rsidP="007C5583">
      <w:pPr>
        <w:pStyle w:val="book"/>
        <w:ind w:firstLine="0"/>
        <w:jc w:val="both"/>
        <w:rPr>
          <w:color w:val="000000" w:themeColor="text1"/>
          <w:sz w:val="16"/>
          <w:szCs w:val="16"/>
        </w:rPr>
      </w:pPr>
      <w:r w:rsidRPr="008127F8">
        <w:rPr>
          <w:color w:val="000000" w:themeColor="text1"/>
          <w:sz w:val="16"/>
          <w:szCs w:val="16"/>
        </w:rPr>
        <w:t>Отсутствие преимущества тягача НСУ в сравнении с ГАЗ-64 как по динамическим, так и по тяговым качествам, сложность конструкции тягача и трудности освоения его производства дают основания сделать вывод о нецелесообразности принятия его на производство» (15225).</w:t>
      </w:r>
    </w:p>
    <w:p w14:paraId="4EE75D84" w14:textId="77777777" w:rsidR="007C5583" w:rsidRPr="008127F8" w:rsidRDefault="007C5583" w:rsidP="007C5583">
      <w:pPr>
        <w:pStyle w:val="book"/>
        <w:ind w:firstLine="0"/>
        <w:jc w:val="both"/>
        <w:rPr>
          <w:color w:val="000000" w:themeColor="text1"/>
          <w:sz w:val="16"/>
          <w:szCs w:val="16"/>
        </w:rPr>
      </w:pPr>
    </w:p>
    <w:p w14:paraId="1CFB712A" w14:textId="77777777" w:rsidR="007C5583" w:rsidRPr="008127F8" w:rsidRDefault="007C5583" w:rsidP="007C5583">
      <w:pPr>
        <w:pStyle w:val="book"/>
        <w:ind w:firstLine="0"/>
        <w:jc w:val="both"/>
        <w:rPr>
          <w:color w:val="000000" w:themeColor="text1"/>
          <w:sz w:val="16"/>
          <w:szCs w:val="16"/>
        </w:rPr>
      </w:pPr>
      <w:r w:rsidRPr="008127F8">
        <w:rPr>
          <w:color w:val="000000" w:themeColor="text1"/>
          <w:sz w:val="16"/>
          <w:szCs w:val="16"/>
        </w:rPr>
        <w:t>С весны 1942 г. тыловые ремонтные предприятия начали получать разнарядки на ремонт трофейной автомототехиики. Так, план по ремонту трофейных мотоциклов предприятиями Наркомата среднего машиностроении на апрель—май 1943 г. составлял 350 и 150 штук соответственно (выполнено 315 и 98) (15225).</w:t>
      </w:r>
    </w:p>
    <w:p w14:paraId="7531146C" w14:textId="77777777" w:rsidR="007C5583" w:rsidRPr="008127F8" w:rsidRDefault="007C5583" w:rsidP="007C5583">
      <w:pPr>
        <w:pStyle w:val="book"/>
        <w:ind w:firstLine="0"/>
        <w:jc w:val="both"/>
        <w:rPr>
          <w:color w:val="000000" w:themeColor="text1"/>
          <w:sz w:val="16"/>
          <w:szCs w:val="16"/>
        </w:rPr>
      </w:pPr>
    </w:p>
    <w:p w14:paraId="76E96DF7" w14:textId="77777777" w:rsidR="007C5583" w:rsidRPr="00CC72C0" w:rsidRDefault="007C5583" w:rsidP="00CC72C0">
      <w:pPr>
        <w:spacing w:after="0" w:line="240" w:lineRule="auto"/>
        <w:jc w:val="both"/>
        <w:rPr>
          <w:rFonts w:ascii="Times New Roman" w:hAnsi="Times New Roman"/>
          <w:sz w:val="16"/>
          <w:szCs w:val="16"/>
        </w:rPr>
      </w:pPr>
      <w:r w:rsidRPr="00CC72C0">
        <w:rPr>
          <w:rFonts w:ascii="Times New Roman" w:hAnsi="Times New Roman"/>
          <w:sz w:val="16"/>
          <w:szCs w:val="16"/>
        </w:rPr>
        <w:t>С весны 1942 г. назаводе №183в Нижнем Тагиле под руководствомН.Г. Зуба</w:t>
      </w:r>
      <w:r w:rsidRPr="00CC72C0">
        <w:rPr>
          <w:rFonts w:ascii="Times New Roman" w:hAnsi="Times New Roman"/>
          <w:sz w:val="16"/>
          <w:szCs w:val="16"/>
        </w:rPr>
        <w:softHyphen/>
        <w:t>рева развернулось эскизноепроектирование нового тяжелого тягача для нуждГАУ и эвакуа</w:t>
      </w:r>
      <w:r w:rsidRPr="00CC72C0">
        <w:rPr>
          <w:rFonts w:ascii="Times New Roman" w:hAnsi="Times New Roman"/>
          <w:sz w:val="16"/>
          <w:szCs w:val="16"/>
        </w:rPr>
        <w:softHyphen/>
        <w:t>ции аварийных танков. При этом было решено максимально использовать удачныеконструк</w:t>
      </w:r>
      <w:r w:rsidRPr="00CC72C0">
        <w:rPr>
          <w:rFonts w:ascii="Times New Roman" w:hAnsi="Times New Roman"/>
          <w:sz w:val="16"/>
          <w:szCs w:val="16"/>
        </w:rPr>
        <w:softHyphen/>
        <w:t>тивные находки, реализованные в«Ворошиловце», а в ходовой части использовать хоро</w:t>
      </w:r>
      <w:r w:rsidRPr="00CC72C0">
        <w:rPr>
          <w:rFonts w:ascii="Times New Roman" w:hAnsi="Times New Roman"/>
          <w:sz w:val="16"/>
          <w:szCs w:val="16"/>
        </w:rPr>
        <w:softHyphen/>
        <w:t>шо освоенные в производстве ^рлы и агрегаты среднего танка Т-34. Первоначально проект тягача получил заводской индекс А-45, а за</w:t>
      </w:r>
      <w:r w:rsidRPr="00CC72C0">
        <w:rPr>
          <w:rFonts w:ascii="Times New Roman" w:hAnsi="Times New Roman"/>
          <w:sz w:val="16"/>
          <w:szCs w:val="16"/>
        </w:rPr>
        <w:softHyphen/>
        <w:t>тем -более привычный АТ-45. Требования к новому тягачу, призванному заменить «Ворошиловец», были следующие: боевая масса машины - не более 20 т; усилие на крюке (на 1 -й передаче) - до 25 тс (не ме</w:t>
      </w:r>
      <w:r w:rsidRPr="00CC72C0">
        <w:rPr>
          <w:rFonts w:ascii="Times New Roman" w:hAnsi="Times New Roman"/>
          <w:sz w:val="16"/>
          <w:szCs w:val="16"/>
        </w:rPr>
        <w:softHyphen/>
        <w:t>нее 15 тс); скорость движения по шоссе - не менее 30 км/ч, скорость движения при нагруз</w:t>
      </w:r>
      <w:r w:rsidRPr="00CC72C0">
        <w:rPr>
          <w:rFonts w:ascii="Times New Roman" w:hAnsi="Times New Roman"/>
          <w:sz w:val="16"/>
          <w:szCs w:val="16"/>
        </w:rPr>
        <w:softHyphen/>
        <w:t>ке 1-0-15 т - не менее 10 км/ч. В кузове должны были перевозиться не менее 16 человек (рас</w:t>
      </w:r>
      <w:r w:rsidRPr="00CC72C0">
        <w:rPr>
          <w:rFonts w:ascii="Times New Roman" w:hAnsi="Times New Roman"/>
          <w:sz w:val="16"/>
          <w:szCs w:val="16"/>
        </w:rPr>
        <w:softHyphen/>
        <w:t>чет тяжелой гаубицы) или 5-6 т груза. Следо</w:t>
      </w:r>
      <w:r w:rsidRPr="00CC72C0">
        <w:rPr>
          <w:rFonts w:ascii="Times New Roman" w:hAnsi="Times New Roman"/>
          <w:sz w:val="16"/>
          <w:szCs w:val="16"/>
        </w:rPr>
        <w:softHyphen/>
        <w:t>вало предусмотреть возможность установки лебедки такдаазываемого «немецкого типа» с тяговым усилием не менее 5 тс (15748).</w:t>
      </w:r>
    </w:p>
    <w:p w14:paraId="742C8AF2" w14:textId="77777777" w:rsidR="007C5583" w:rsidRPr="008127F8" w:rsidRDefault="007C5583" w:rsidP="007C5583">
      <w:pPr>
        <w:pStyle w:val="a4"/>
        <w:rPr>
          <w:color w:val="000000" w:themeColor="text1"/>
          <w:lang w:val="ru-RU"/>
        </w:rPr>
      </w:pPr>
    </w:p>
    <w:p w14:paraId="3697EB67" w14:textId="77777777" w:rsidR="00CC72C0" w:rsidRPr="008A2E5A" w:rsidRDefault="00CC72C0" w:rsidP="00CC72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года опыт войсковой эксплуатации С-2 и С-65 привел к тому, что возникла идея совместить два тягача. Так появился своеобразный гибрид - Сталинец С-10. Если говорить начистоту, то С-2 стал едва ли не самым неудачным советским артиллерийским тягачом первой половины XX века. Его эксплуатация в Красной Армии сопровождалась массой нареканий, а уж то, сколько этих машин дожило до мая 1945 года, говорит о многом (аж целых 81 штука, из них 43 исправных). Помимо всего прочего, имелись жалобы, очень похожие на те, которые шли по поводу СТЗ-5. Поскольку длина машины была ограниченной, капота у нее почти не имелось. Соответственно, и обслуживание мотора в полевых условиях оказалось не самым простым. В случае с тягачом СТЗ-5 последовала команда доработать машину, удлинив шасси и сделав капот. Дело дошло даже до опытных образцов и документации по дальнейшей модернизации, но в серию уже не успели. Другой вопрос, что после начала войны такой роскоши, как создание модернизированного шасси, у ЧТЗ (осенью 1941 года переименован в ЧКЗ) уже не было (23353).</w:t>
      </w:r>
    </w:p>
    <w:p w14:paraId="7D2EB07F" w14:textId="77777777" w:rsidR="00CC72C0" w:rsidRPr="008A2E5A" w:rsidRDefault="00CC72C0" w:rsidP="00CC72C0">
      <w:pPr>
        <w:spacing w:after="0" w:line="240" w:lineRule="auto"/>
        <w:jc w:val="both"/>
        <w:rPr>
          <w:rFonts w:ascii="Times New Roman" w:hAnsi="Times New Roman"/>
          <w:color w:val="0070C0"/>
          <w:sz w:val="16"/>
          <w:szCs w:val="16"/>
        </w:rPr>
      </w:pPr>
    </w:p>
    <w:p w14:paraId="0335EF6D" w14:textId="77777777" w:rsidR="00CC72C0" w:rsidRPr="008A2E5A" w:rsidRDefault="00CC72C0" w:rsidP="00CC72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года в Челябинске подготовили свой вариант решения животрепещущего вопроса "где взять гусеничный трактор для таскания корпусной артиллерии". Звалось это решение С-10. По большому счету, это ничто иное, как попытка скрестить С-2 и С-65. Шасси С-2 перекомпоновали под компоновку С-65, при этом сам мотор МТ-17 (форсированный до 125 л.с. мотор М-17) остался тот же. За счет изменения компоновки трактор стал чуть короче С-2, а его боевая масса снизилась до 10 тонн (масса С-65 составляла 10,5 тонн, а у С-2 она была 11,5 тонн). Динамические характеристики остались на уровне С-2 (скорость до 23,7 км/ч), чуть увеличилось усилие на крюке. Вместо кабины по типу ЗИС-5 и кузова автомобильного типа поставили кабину от С-65.</w:t>
      </w:r>
    </w:p>
    <w:p w14:paraId="472EE2AB" w14:textId="77777777" w:rsidR="00CC72C0" w:rsidRPr="008A2E5A" w:rsidRDefault="00CC72C0" w:rsidP="00CC72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Существовал и проектный вариант модернизации С-10, который именовался как С-11. На него ставился мотор Д-11 мощностью 160 лошадиных сил. Скорость возрастала до 25,85 км/ч, а усилие на крюке возрастало до 7400 кг (У С-10 оно составляло 6300 кг). С-11, впрочем, остался на бумаге, а вот С-10 построили. К началу июня 1942 года их изготовили 3 штуки, в период с 6 по 14 июня трактора №2 и №3 выдержали 400-километровые испытания. Таскали они 203-мм опытную корпусную пушку БЛ-39. Вместе с орудием они разгонялись до 16 км/ч, расход топлива составил 190 литров на 100 километров. Вполне приличные показатели. Другой вопрос, что вылезали дефекты, характерные для серийного С-2. По этому поводу военные развели руками, констатируя тот факт, что на ЧКЗ ничего для повышения качества не сделали. Не понравилось им и то, что машина не имела кузов. Требовался кузов на 8 человек (23353).</w:t>
      </w:r>
    </w:p>
    <w:p w14:paraId="6CBA8B32" w14:textId="77777777" w:rsidR="00CC72C0" w:rsidRPr="008A2E5A" w:rsidRDefault="00CC72C0" w:rsidP="00CC72C0">
      <w:pPr>
        <w:spacing w:after="0" w:line="240" w:lineRule="auto"/>
        <w:jc w:val="both"/>
        <w:rPr>
          <w:rFonts w:ascii="Times New Roman" w:hAnsi="Times New Roman"/>
          <w:color w:val="0070C0"/>
          <w:sz w:val="16"/>
          <w:szCs w:val="16"/>
        </w:rPr>
      </w:pPr>
    </w:p>
    <w:p w14:paraId="6BDB6D9B"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Весной 1942 года были предложены несколько вариантов сталей для замены И-1, причём, испытание сталей-заместителей делалось сразу на опытно-валовом производстве: из опытной стали выпускались огромные партии стальных шлемов, которые тут же шли в войска. Так была принята испытанная в 1939 году сталь 36СГА (36 СГ), получившая обозначение И-2. Эта сталь имела в своём составе гораздо меньше никеля, чем И-1, и незначительно уступала ей по пулестойкости. Всего предлагалось испытать и было испытано 14 вариантов марок сталей, но при улучшении обстановки со снабжением в конечном итоге вернулись к исходной И-1. Углеродистая кремний-марганцево-никелевая сталь 36СГНА (36СГН), ставшая основной для стальных шлемов РККА, на металлургическом завода г. Лысьва (в документах назывался по-разному: завод имени газеты «За индустриализацию», «ЗИ», «За Индустрию», «Имени газеты Индустрия», «Индустрия», завод №700 </w:t>
      </w:r>
      <w:r w:rsidRPr="008127F8">
        <w:rPr>
          <w:rFonts w:ascii="Times New Roman" w:eastAsia="Times New Roman" w:hAnsi="Times New Roman"/>
          <w:color w:val="000000" w:themeColor="text1"/>
          <w:sz w:val="16"/>
          <w:szCs w:val="16"/>
          <w:lang w:eastAsia="ru-RU"/>
        </w:rPr>
        <w:lastRenderedPageBreak/>
        <w:t>наркомата чёрной металлургии, ЛМЗ) получила обозначение И-1 и использовалась не только для касок, но и для стальных нагрудников. Сталь имела в своём составе дорогие и дефицитные легирующие добавки, в которых с началом войны стала ощущаться нехватка (17495).</w:t>
      </w:r>
    </w:p>
    <w:p w14:paraId="5C08D1B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9621D7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весны 1942 года рембаза (с 1943 года — танкоремонтный завод) № 8, которая перед войной база находилась в Киеве, являясь одним из крупнейших ремонтных предприятий ГАБТУ КА, а затем была эвакуирована в Казань, ориентировалась на ремонт трофейной матчасти. Сколько бронеединиц поступило в Казань за 1942 год автору неизвестно, но только с Западного фронта за девять месяцев поступило в ремонт 119 немецких танков. </w:t>
      </w:r>
    </w:p>
    <w:p w14:paraId="2410483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11 месяцев 1943 года на танкоремонтный завод № 8 завезли 356 трофейных машин (Pz. II — 88, Pz. III — 97, Pz. IV — 60, Pz.38(t) — 102. прочие типы — 12), из которых отремонтировали 349 (Pz. II — 86, Pz. III — 95, Pz. IV — 53, Pz.38(t) — 102, прочие типы — 12). Правда, далеко не все отремонтированные немецкие танки направляли в Действующую Армию. Например, в августе 1943 года с завода № 8 отгрузили 77 трофейных немецких танков пехотным, пулеметным и стрелково-миномётным училищам, 26 — запасным стрелковым полкам, а 65 — двенадцати танковым училищам. В мае — апреле 1944 года ремзавод № 8 вновь переехал в Киев.</w:t>
      </w:r>
    </w:p>
    <w:p w14:paraId="1FAF9A2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порядке использования внутренних ресурсов заводом в 1944 году переработаны несколько тонн болтов с трофейных танков, более 10 тонн трофейных деталей их листового железа и такое же количество утильного листа (битые кабины и кузова легковых машин) использовали для изготовления необходимых деталей. Кроме того, из резиновых бандажей танка «Тигр» были изготовлены подушки буфера балансира танка Т-34. </w:t>
      </w:r>
    </w:p>
    <w:p w14:paraId="2EBAD0F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Всего за первую половину 1944 года ремзавод № 8 отремонтировал 124 средних и 39 легких немецких танков, после чего ремонт трофейной матчасти с него сняли. Теперь предприятие занималось восстановлением только отечественной матчасти (за 1944 год сдано 620 Т-70, 507 СУ-76, 204 Т-34 и 138 Т-30/Т-60). </w:t>
      </w:r>
    </w:p>
    <w:p w14:paraId="4FF08AE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Таким образом, за 1942–1944 года танкоремонтный завод № 8 отремонтировал не менее 600 немецких танков различных типов. Правда, далеко не все они попали на фронт, много машин направлялись в учебные и запасные танки. Помимо ремонтных баз, танкоремонтных заводов ГБТУ КА и заводов промышленности, ремонтом трофейной матчасти занимались армейские и фронтовые ремонтные части. Прежде всего, эти работы велись там, где линия фронт оставалась долгое время без изменений. Пожалуй, наибольший объём работ проделали ремонтные части Западного фронта в 1942 году. Например, за июнь 22-й армейский ремонтно-восстановительный батальон фронта отремонтировал десять немецких танков (при плане в 20), а 132-й отдельный ремонтно-восстановительный батальон за этот же период — 30 трофейных машин Pz. II, Pz. III и Pz. IV (при плане в 40). Причём в месячной сводке за июнь 1942 года отмечалось, что «план по немецким танкам Т-2-3-4 не выполнен из-за недостаточного опыта ремонта их» (12688). </w:t>
      </w:r>
    </w:p>
    <w:p w14:paraId="5A0D5F3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E0B7E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начали выпуск БА-64, а летом новые машины уже приняли участие в боевых действиях на Брянском и Воронежском фронтах. Основу БА-64 составлял сварной корпус с бронелистами, которым был придан значительный наклон. Несмотря на небольшую их толщину (от 4 до 15 мм), он имел хорошую пулестойкость благодаря рикошетированию пуль и осколков. В стремлении максимально сократить поверхность поражения конструкторы сделали машину очень компактной. Так, водитель сидел по центру машины, а второй член экипажа - он же командир и стрелок, позади него и чуть выше. Малые передний и задний свесы корпуса, достаточно большой (210 мм) дорожный просвет, привод на все колеса и шины размером 7,00-16 дюймов с крупными грун-тозацепами обеспечили бронеавтомобилю хорошую проходимость. Он преодолевал на твердом грунте подъемы крутизной до 30°, а также косогоры 18° со скользким грунтом. Пулестойкие шины, наполненные губчатой резиной, и триплексные стекла обеспечивали живучесть автомобиля. Он был вооружен пулеметом калибра 7,62 мм, смонтированным в башне с круговым обстрелом. Часть машин получила вместо пулемета противотанковое 14,5-мм ружье. Большинство БА-64 имели дуплексную рацию. Виталий Андреевич Грачев. (1903-1978 гг.) Машины БА-64 на обкаточном пробеге после сборки. 1942 г. Двигатель ГАЗ-64 мощностью 50 л. с. обеспечивал бронеавтомобилю скорость до 80 км/ч и относительно большой запас тяги для движения по местности. Машина имела боевую массу 2425 кг и весьма скромный габарит: длина - 3660 мм, ширина - 1 680 мм, высота- 1900 мм. Колесная база составляла 2100 мм, а колея - 1250 мм. По причине узкой колеи БА-64 оказался недостаточно устойчивым в боковом направлении. Поэтому с весны 1943 г. на смену ему пришел БА-64Б, у которого колею (как и у ГАЗ-67) расширили до 1446 мм, а подвеску передних колес дополнили еще двумя амортизаторами. БА-64 и БА-64Б зарекомендовали себя удачными машинами, и за их создание В. А. Грачев в апреле 1942 г. был удостоен Государственной премии. Существовало немало модификаций БА-64Б: броневики-дрезины/БА-б4В и БА-64Г (декабрь 1942 г.), машина БА-64Д с крупнокалиберным (12,7 мм) пулеметом (весна 1943 г.), безбашенный бронетранспортер БА-64Е на шесть бойцов и другие разновидности. Выпуск БА-64Б прекращен в 1946 г. (12098).</w:t>
      </w:r>
    </w:p>
    <w:p w14:paraId="29F3739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A61E0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полубронированный артиллерий</w:t>
      </w:r>
      <w:r w:rsidRPr="008127F8">
        <w:rPr>
          <w:rFonts w:ascii="Times New Roman" w:hAnsi="Times New Roman"/>
          <w:color w:val="000000" w:themeColor="text1"/>
          <w:sz w:val="16"/>
          <w:szCs w:val="16"/>
        </w:rPr>
        <w:softHyphen/>
        <w:t>ский тягач ЗИС-41, предназначавшийся для буксирования122-мм гау</w:t>
      </w:r>
      <w:r w:rsidRPr="008127F8">
        <w:rPr>
          <w:rFonts w:ascii="Times New Roman" w:hAnsi="Times New Roman"/>
          <w:color w:val="000000" w:themeColor="text1"/>
          <w:sz w:val="16"/>
          <w:szCs w:val="16"/>
        </w:rPr>
        <w:softHyphen/>
        <w:t>биц М-30 прошел испытания на АНИОПе. По результатам испытаний машины, после устранения выявленных недо</w:t>
      </w:r>
      <w:r w:rsidRPr="008127F8">
        <w:rPr>
          <w:rFonts w:ascii="Times New Roman" w:hAnsi="Times New Roman"/>
          <w:color w:val="000000" w:themeColor="text1"/>
          <w:sz w:val="16"/>
          <w:szCs w:val="16"/>
        </w:rPr>
        <w:softHyphen/>
        <w:t>статков, была признана пригодной для использования в РККА в качест</w:t>
      </w:r>
      <w:r w:rsidRPr="008127F8">
        <w:rPr>
          <w:rFonts w:ascii="Times New Roman" w:hAnsi="Times New Roman"/>
          <w:color w:val="000000" w:themeColor="text1"/>
          <w:sz w:val="16"/>
          <w:szCs w:val="16"/>
        </w:rPr>
        <w:softHyphen/>
        <w:t>ве артиллерийского тягача для буксировки 122-мм гаубиц. Однако мас</w:t>
      </w:r>
      <w:r w:rsidRPr="008127F8">
        <w:rPr>
          <w:rFonts w:ascii="Times New Roman" w:hAnsi="Times New Roman"/>
          <w:color w:val="000000" w:themeColor="text1"/>
          <w:sz w:val="16"/>
          <w:szCs w:val="16"/>
        </w:rPr>
        <w:softHyphen/>
        <w:t>совое производство арттягача ЗИС-41 не было развернуто по причинам, не связанным с его техническим совершенством (10703).</w:t>
      </w:r>
    </w:p>
    <w:p w14:paraId="2EDAD8E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BFA7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недостаточное количество артиллерийских тягачей в Красной Армии и отсутствие грузовых автомобилей повышенной проходимости заставили вернуться к производству полугусеничных грузовиков. Взяв за основу довоенный образец ЗИС-22М, группа конструкторов во главе с Г. А. Сонкиным разработала машину ЗИС-42М с резиновыми гусеницами, более широкими (415 мм), чем на ЗИС-22. Крутящий момент к ним передавался не с помощью трения, как прежде, а посредством зацепления, а сами ленты имели металлические башмаки. ЗИС-42М оснащался либо 73-сильным двигателем ЗИС-5, либо 85-сильной его модификацией ЗИС-16. В отличие от базовой модели полугусеничный грузовик комплектовался защитной решеткой перед радиатором и фарами, щитками, предотвращавшими зары-вание в грунт клыков рамы, и увеличенными до 300 л бензобаками. Последнее обстоятельство объясняется тем, что весьма тяжелый (масса в снаряженном состоянии 5250 кг) ЗИС-42М даже на шоссе расходовал 55-60 л топлива на 100 км пути! Наибольшая скорость же-45 км/ч. Габарит: длина - 6095 мм, ширина - 2360 мм, высота - 2950 мм; дорожный просвет - 395 мм.</w:t>
      </w:r>
    </w:p>
    <w:p w14:paraId="7F9633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ЗИС-42 началось в сентябре 1942 г., и их первая партия поступила на Сталинградский фронт. Они использовались в дивизионной артиллерии и для перевозки военных грузов в условиях бездорожья и распутицы. За создание этой машины Г. А. Сонкин удостоен Государственной премии СССР. В период 1942-1944 гг. изготовлен 5931 автомобиль ЗИС-42 и ЗИС-42М. Кроме ЗИС-42 в 1942 г. ЗИС создал другую конструкцию полугусеничного тягача. На машине АТ-14 были установлены два силовых агрегата (двигатели с коробками передач) ЗИС-16 и узлы гусеничного хода от легкого танка Т-70. Тягачи получились громоздкими, и завод изготовил их только десять экземпляров. Горьковский автомобильный завод после начала военных действий выпускал грузовики ГАЗ-ММ и ГАЗ-ААА, санитарные машины ГАЗ-55, полугусеничные автомобили ГАЗ-60, штабные автобусы ГАЗ-05-193, а также и легковые машины ГАЗ-М1, ГАЗ-61, а также джипы ГАЗ-64 (12098).</w:t>
      </w:r>
    </w:p>
    <w:p w14:paraId="403AEF2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F5B7C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в связи с предпо</w:t>
      </w:r>
      <w:r w:rsidRPr="008127F8">
        <w:rPr>
          <w:rFonts w:ascii="Times New Roman" w:hAnsi="Times New Roman"/>
          <w:color w:val="000000" w:themeColor="text1"/>
          <w:sz w:val="16"/>
          <w:szCs w:val="16"/>
        </w:rPr>
        <w:softHyphen/>
        <w:t>лагавшимся возобновлением производства базовой машины, состоялись повторные испытания ЗИС-41 как в варианте САУ, так и в варианте полубронированного тягача.</w:t>
      </w:r>
    </w:p>
    <w:p w14:paraId="009957B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ЗИС-41 прошли на АНИОПе по раскисшему от весенних дождей бездо</w:t>
      </w:r>
      <w:r w:rsidRPr="008127F8">
        <w:rPr>
          <w:rFonts w:ascii="Times New Roman" w:hAnsi="Times New Roman"/>
          <w:color w:val="000000" w:themeColor="text1"/>
          <w:sz w:val="16"/>
          <w:szCs w:val="16"/>
        </w:rPr>
        <w:softHyphen/>
        <w:t>рожью. При испытании арттягача ЗИС-41 на платформу загрузили боекомплект гаубицы обр. 1938 г. (80 снарядов), на машине также ехали 10 человек (расчет и водитель), а на прицепе буксировалась гаубица М-30 с перед</w:t>
      </w:r>
      <w:r w:rsidRPr="008127F8">
        <w:rPr>
          <w:rFonts w:ascii="Times New Roman" w:hAnsi="Times New Roman"/>
          <w:color w:val="000000" w:themeColor="text1"/>
          <w:sz w:val="16"/>
          <w:szCs w:val="16"/>
        </w:rPr>
        <w:softHyphen/>
        <w:t>ком. Испытатели отметили излишне высокий радиус поворота на снежной целине и заболо</w:t>
      </w:r>
      <w:r w:rsidRPr="008127F8">
        <w:rPr>
          <w:rFonts w:ascii="Times New Roman" w:hAnsi="Times New Roman"/>
          <w:color w:val="000000" w:themeColor="text1"/>
          <w:sz w:val="16"/>
          <w:szCs w:val="16"/>
        </w:rPr>
        <w:softHyphen/>
        <w:t>ченном грунте - до 40 м. На обычном песчаном грунте радиус поворота составил 10-15 м. Кроме того, ЗИС-41 был оснащен неконди</w:t>
      </w:r>
      <w:r w:rsidRPr="008127F8">
        <w:rPr>
          <w:rFonts w:ascii="Times New Roman" w:hAnsi="Times New Roman"/>
          <w:color w:val="000000" w:themeColor="text1"/>
          <w:sz w:val="16"/>
          <w:szCs w:val="16"/>
        </w:rPr>
        <w:softHyphen/>
        <w:t>ционным радиатором от легковой машины, что в сочетании с броневым прикрытием, не обеспечивающим нормального притока воз</w:t>
      </w:r>
      <w:r w:rsidRPr="008127F8">
        <w:rPr>
          <w:rFonts w:ascii="Times New Roman" w:hAnsi="Times New Roman"/>
          <w:color w:val="000000" w:themeColor="text1"/>
          <w:sz w:val="16"/>
          <w:szCs w:val="16"/>
        </w:rPr>
        <w:softHyphen/>
        <w:t>духа во время движения, вызывало закипание воды через 2-3 км по бездорожью и 10-15 км по асфальтовому шоссе.</w:t>
      </w:r>
    </w:p>
    <w:p w14:paraId="15C6E75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Впрочем, выявившиеся при испытаниях дефекты определили как потенциально устра</w:t>
      </w:r>
      <w:r w:rsidRPr="008127F8">
        <w:rPr>
          <w:rFonts w:ascii="Times New Roman" w:hAnsi="Times New Roman"/>
          <w:color w:val="000000" w:themeColor="text1"/>
          <w:sz w:val="16"/>
          <w:szCs w:val="16"/>
        </w:rPr>
        <w:softHyphen/>
        <w:t>нимые, а сам ЗИС-41 признали пригодным для использования в качестве артиллерийского тягача для 122-мм гаубицы. Массовое произ</w:t>
      </w:r>
      <w:r w:rsidRPr="008127F8">
        <w:rPr>
          <w:rFonts w:ascii="Times New Roman" w:hAnsi="Times New Roman"/>
          <w:color w:val="000000" w:themeColor="text1"/>
          <w:sz w:val="16"/>
          <w:szCs w:val="16"/>
        </w:rPr>
        <w:softHyphen/>
        <w:t>водство ЗИС-41 не было освоено по причинам, не связанным с техническим совершенством машины (12729).</w:t>
      </w:r>
    </w:p>
    <w:p w14:paraId="0AA4CE1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F842302" w14:textId="77777777" w:rsidR="007C5583" w:rsidRPr="008127F8" w:rsidRDefault="007C5583" w:rsidP="007C5583">
      <w:pPr>
        <w:pStyle w:val="af"/>
        <w:spacing w:before="0" w:after="0"/>
        <w:jc w:val="both"/>
        <w:rPr>
          <w:color w:val="000000" w:themeColor="text1"/>
          <w:sz w:val="16"/>
          <w:szCs w:val="16"/>
        </w:rPr>
      </w:pPr>
      <w:r w:rsidRPr="008127F8">
        <w:rPr>
          <w:color w:val="000000" w:themeColor="text1"/>
          <w:sz w:val="16"/>
          <w:szCs w:val="16"/>
        </w:rPr>
        <w:t>Весной 1942 года на заводе № 700 в Лысьве под руководством М.И.Корюкова, совместно с НИИ-13, был разработан улучшенный стальной нагрудник 1942 года (СН-42). Совместно с ним, памятуя об указании Тимошенко, был разработан стальной щиток-нагрудник образца 1942 года (СЩН-42) с толщиной брони 4,9 мм. Конструктивно СЩН-42 представлял собой щиток и откидную ножку, которая была необходима для его установки на землю. На щитке имелся верхний и поясной ремни. Так же в щитке имелся фигурный вырез для стрельбы, который закрывался специальной заслонкой.</w:t>
      </w:r>
    </w:p>
    <w:p w14:paraId="3B3FFE92" w14:textId="77777777" w:rsidR="007C5583" w:rsidRPr="008127F8" w:rsidRDefault="007C5583" w:rsidP="007C5583">
      <w:pPr>
        <w:pStyle w:val="af"/>
        <w:spacing w:before="0" w:after="0"/>
        <w:jc w:val="both"/>
        <w:rPr>
          <w:bCs/>
          <w:color w:val="000000" w:themeColor="text1"/>
          <w:sz w:val="16"/>
          <w:szCs w:val="16"/>
        </w:rPr>
      </w:pPr>
      <w:r w:rsidRPr="008127F8">
        <w:rPr>
          <w:color w:val="000000" w:themeColor="text1"/>
          <w:sz w:val="16"/>
          <w:szCs w:val="16"/>
        </w:rPr>
        <w:t>Была изготовлена партия из 25 единиц СЩН-42. Далее, вероятно, проводились войсковые испытания СЩН-42. Данных о принятии на снабжение Красной Армии не имеется (12710).</w:t>
      </w:r>
    </w:p>
    <w:p w14:paraId="21160C6B" w14:textId="77777777" w:rsidR="007C5583" w:rsidRPr="008127F8" w:rsidRDefault="007C5583" w:rsidP="007C5583">
      <w:pPr>
        <w:pStyle w:val="af"/>
        <w:spacing w:before="0" w:after="0"/>
        <w:jc w:val="both"/>
        <w:rPr>
          <w:bCs/>
          <w:color w:val="000000" w:themeColor="text1"/>
          <w:sz w:val="16"/>
          <w:szCs w:val="16"/>
        </w:rPr>
      </w:pPr>
    </w:p>
    <w:p w14:paraId="65E735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весны 1942 началась поставка материалов по ленд-лизу (6,150), в т.ч. 12 тыс. т дюраля.</w:t>
      </w:r>
    </w:p>
    <w:p w14:paraId="71FC0D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A6473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по заданию штаба ОВРа передвижную теплопеленгаторную станцию АТП-39 установили в районе Лисьего Носа и она вела наблюдение за кораблями противника в секторе Петергоф — Кронштадт и, кроме того, контролировала проход по Северному фарватеру. Свою задачу подразделение теплопеленгаторной станции успешно выполнило.</w:t>
      </w:r>
    </w:p>
    <w:p w14:paraId="1F071C5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1942 г. спецстанция с личным составом была перебазирована на ораниенбаумский участок с подчинением Кронштадтскому укрепленному району (КУРу). Ее задачей было блокирование прохода южного фарватера в секторе Кронштадт — Б. Ижора — Шепелев маяк.</w:t>
      </w:r>
    </w:p>
    <w:p w14:paraId="6ED800B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Дополнительной задачей являлась охрана прилегающего побережья. Особенно важно это было в зимний период при замерзании залива и возможности выхода противника на лед. Подразделение спецстанции в тот период было единственной морской воинской частью в этом прибрежном районе. Наиболее эффективная боевая работа спецстанции АТП-39 была после перебазирования ее в конце 1943 г. на о. Лавенсаари (о. Мощный). За период боевой службы на о. Лавенсари с июля 1943 г. по 20 сентября 1944 г. спецстанция АТП-39 проработала свыше двух тысяч часов в ночное время, дав 1879 обнаружений объектов — надводных кораблей и подводных лодок в надводном положении</w:t>
      </w:r>
    </w:p>
    <w:p w14:paraId="6FA039A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момента освобождения г. Таллинна (22 сентября 1944 г.) спецстанция АТП-39 вместе с личным составом из ОВМБ КБФ была перебазирована в Таллиннский морской оборонительный район (18157).</w:t>
      </w:r>
    </w:p>
    <w:p w14:paraId="70D0BF7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34E25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И.В.С. собрал атомщиков (3304,187).</w:t>
      </w:r>
    </w:p>
    <w:p w14:paraId="38036CA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6C72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года этот образец счетверенной башенной 37-мм корабельной зенитной установки 46-К был установлен на линкор "Октябрьская Революция" и вел огонь по немецким самолетам (3861).</w:t>
      </w:r>
    </w:p>
    <w:p w14:paraId="396F849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3D59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началось восстановление лабораторий ЦНИИ-45, для чего очень пригодилось застрявшее в осажденном городе оборудование. К августу 1943 г. институт возоб</w:t>
      </w:r>
      <w:r w:rsidRPr="008127F8">
        <w:rPr>
          <w:rFonts w:ascii="Times New Roman" w:hAnsi="Times New Roman"/>
          <w:color w:val="000000" w:themeColor="text1"/>
          <w:sz w:val="16"/>
          <w:szCs w:val="16"/>
        </w:rPr>
        <w:softHyphen/>
        <w:t>новил экспериментальные работы в кавитационной трубе, а не</w:t>
      </w:r>
      <w:r w:rsidRPr="008127F8">
        <w:rPr>
          <w:rFonts w:ascii="Times New Roman" w:hAnsi="Times New Roman"/>
          <w:color w:val="000000" w:themeColor="text1"/>
          <w:sz w:val="16"/>
          <w:szCs w:val="16"/>
        </w:rPr>
        <w:softHyphen/>
        <w:t>сколько позже — и в опытовом бассейне (3898).</w:t>
      </w:r>
    </w:p>
    <w:p w14:paraId="7AA392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3B40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w:t>
      </w:r>
      <w:r w:rsidRPr="008127F8">
        <w:rPr>
          <w:rFonts w:ascii="Times New Roman" w:hAnsi="Times New Roman"/>
          <w:color w:val="000000" w:themeColor="text1"/>
          <w:sz w:val="16"/>
          <w:szCs w:val="16"/>
        </w:rPr>
        <w:softHyphen/>
        <w:t>ной 1942 г. возобновилась прерванная блокадной зимой достройка эсминцев на заводе № 190 и завершилась 22 сентября того же года приняти</w:t>
      </w:r>
      <w:r w:rsidRPr="008127F8">
        <w:rPr>
          <w:rFonts w:ascii="Times New Roman" w:hAnsi="Times New Roman"/>
          <w:color w:val="000000" w:themeColor="text1"/>
          <w:sz w:val="16"/>
          <w:szCs w:val="16"/>
        </w:rPr>
        <w:softHyphen/>
        <w:t>ем "Стройного" и "Строгого" во временную эксплуатацию без хо</w:t>
      </w:r>
      <w:r w:rsidRPr="008127F8">
        <w:rPr>
          <w:rFonts w:ascii="Times New Roman" w:hAnsi="Times New Roman"/>
          <w:color w:val="000000" w:themeColor="text1"/>
          <w:sz w:val="16"/>
          <w:szCs w:val="16"/>
        </w:rPr>
        <w:softHyphen/>
        <w:t>довых испытаний. Последние завершились только в октябре 1945 г. (3898).</w:t>
      </w:r>
    </w:p>
    <w:p w14:paraId="2C37E7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B2196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расстрелянные орудия линкора Марат были заменены на но</w:t>
      </w:r>
      <w:r w:rsidRPr="008127F8">
        <w:rPr>
          <w:rFonts w:ascii="Times New Roman" w:hAnsi="Times New Roman"/>
          <w:color w:val="000000" w:themeColor="text1"/>
          <w:sz w:val="16"/>
          <w:szCs w:val="16"/>
        </w:rPr>
        <w:softHyphen/>
        <w:t>вые. Орудия и артустановки линкоров в целом выдержали суровую проверку войной (3898).</w:t>
      </w:r>
    </w:p>
    <w:p w14:paraId="0685F5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2976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в бухте Гольсмана на берегу Ладожского озера была создана еще одна временная верфь и предназначалась для сборки барж для Дороги жизни. Первоначально ее предполагалось построить на "Большой земле" на территории пустующего Сясьско-го целлюлозно-бумажного комбината. Обследование территории, сооружений комбината и акватории специалистами привело к вы</w:t>
      </w:r>
      <w:r w:rsidRPr="008127F8">
        <w:rPr>
          <w:rFonts w:ascii="Times New Roman" w:hAnsi="Times New Roman"/>
          <w:color w:val="000000" w:themeColor="text1"/>
          <w:sz w:val="16"/>
          <w:szCs w:val="16"/>
        </w:rPr>
        <w:softHyphen/>
        <w:t>воду о невозможности создания здесь верфи. В результате на ком</w:t>
      </w:r>
      <w:r w:rsidRPr="008127F8">
        <w:rPr>
          <w:rFonts w:ascii="Times New Roman" w:hAnsi="Times New Roman"/>
          <w:color w:val="000000" w:themeColor="text1"/>
          <w:sz w:val="16"/>
          <w:szCs w:val="16"/>
        </w:rPr>
        <w:softHyphen/>
        <w:t>бинате все же организовали филиал завода 194, который приступил к изготовлению минометов, а верфь "перенесли" в бухту Гольсмана. На строительстве работало 20 бригад, насчитывающих около 300 строительньхх рабочих, большей частью женщин. Основ</w:t>
      </w:r>
      <w:r w:rsidRPr="008127F8">
        <w:rPr>
          <w:rFonts w:ascii="Times New Roman" w:hAnsi="Times New Roman"/>
          <w:color w:val="000000" w:themeColor="text1"/>
          <w:sz w:val="16"/>
          <w:szCs w:val="16"/>
        </w:rPr>
        <w:softHyphen/>
        <w:t>ные работы бьши завершены в течение двух месяцев, и в конце мая 1942 г. со стапелей верфи бьши спущены первые баржи. Всего здесь за навигацию 1942 г. было построено 14 стальньхх барж об</w:t>
      </w:r>
      <w:r w:rsidRPr="008127F8">
        <w:rPr>
          <w:rFonts w:ascii="Times New Roman" w:hAnsi="Times New Roman"/>
          <w:color w:val="000000" w:themeColor="text1"/>
          <w:sz w:val="16"/>
          <w:szCs w:val="16"/>
        </w:rPr>
        <w:softHyphen/>
        <w:t>щей грузоподъемностью около 13 тыс. т (3898).</w:t>
      </w:r>
    </w:p>
    <w:p w14:paraId="3DBB29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3B00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027DFEF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AC0AF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шап стали трехэскадрильными по 10 машин Ил-2 каждый (241,16).</w:t>
      </w:r>
    </w:p>
    <w:p w14:paraId="012CDA5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C1A9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весны 1942 легкобомбардировочные полки из У-2, Р-5 и Р-Z стали перевооружать на Ил-2, а оставшиеся переходили на менее изнашивающиеся У-2 (1805,13).</w:t>
      </w:r>
    </w:p>
    <w:p w14:paraId="109EE7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3302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и летом 1942 г. многие бывшие легкобомбардировочные полки превратили в штурмовые, переучив их на Ил-2. К концу 1943 г. части лёгких ночных бомбардировщиков, которые изрядно сократились в числе, постепенно полностью перешли на У-2. В составе ВВС P-Z становилось все меньше, и они переключились на различные вспомогательные задачи: связь, перевозка грузов, а в тылу ещё и буксировка мишеней для воздушной стрельбы. В морской авиации к январю 1944 г. осталось всего пять P-Z. Все "зеты" пошли на слом в том же 1944 г. (11995).</w:t>
      </w:r>
    </w:p>
    <w:p w14:paraId="2EEB94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B2C30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Наркомат ВМФ предпринял целый ряд шагов по усилению ВВС действующих флотов. Именно в этот период с Тихоокеанского флота на Север были переброшены два звена торпедоносцев, закончили подготовку к боевым действиям авиаполки ОМАГ. Не обошли вниманием и ВВС КБФ. В конце апреля 1-й гмтап получил на свое пополнение семь, в мае -девять ДБ-ЗФ. Это позволило временно восстановить в части 4-ю и 5-ю эскадрильи (приказом это изменение не проводилось). Своей рекордной численности в 1942 г. полк достиг 22 мая - в его составе числилось 10/8 Ил-4 и ДБ-ЗБ в Углово, 16/13 - в Новинках (кроме того, имелось еще пять СБ). Все это позволило с началом очередной навигации приступить к активным действиям, в том числе и на морском направлении (12002).</w:t>
      </w:r>
    </w:p>
    <w:p w14:paraId="4AEFCC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Движение Ил-4 и ДБ-ЗБ в 1-м гмтап в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7C5583" w:rsidRPr="008127F8" w14:paraId="7CBF8190" w14:textId="77777777" w:rsidTr="004C5D62">
        <w:tc>
          <w:tcPr>
            <w:tcW w:w="2802" w:type="dxa"/>
            <w:tcBorders>
              <w:top w:val="single" w:sz="12" w:space="0" w:color="auto"/>
            </w:tcBorders>
          </w:tcPr>
          <w:p w14:paraId="6C7C0A7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Месяц</w:t>
            </w:r>
          </w:p>
        </w:tc>
        <w:tc>
          <w:tcPr>
            <w:tcW w:w="2802" w:type="dxa"/>
            <w:tcBorders>
              <w:top w:val="single" w:sz="12" w:space="0" w:color="auto"/>
            </w:tcBorders>
          </w:tcPr>
          <w:p w14:paraId="6DA984A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наличие</w:t>
            </w:r>
          </w:p>
        </w:tc>
        <w:tc>
          <w:tcPr>
            <w:tcW w:w="2802" w:type="dxa"/>
            <w:tcBorders>
              <w:top w:val="single" w:sz="12" w:space="0" w:color="auto"/>
            </w:tcBorders>
          </w:tcPr>
          <w:p w14:paraId="1B53521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Поступление Потери Отвод</w:t>
            </w:r>
          </w:p>
        </w:tc>
        <w:tc>
          <w:tcPr>
            <w:tcW w:w="2802" w:type="dxa"/>
            <w:tcBorders>
              <w:top w:val="single" w:sz="12" w:space="0" w:color="auto"/>
            </w:tcBorders>
          </w:tcPr>
          <w:p w14:paraId="6680F83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2350E5A0" w14:textId="77777777" w:rsidTr="004C5D62">
        <w:tc>
          <w:tcPr>
            <w:tcW w:w="2802" w:type="dxa"/>
          </w:tcPr>
          <w:p w14:paraId="59DA6FD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2C02698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1-е число</w:t>
            </w:r>
          </w:p>
        </w:tc>
        <w:tc>
          <w:tcPr>
            <w:tcW w:w="2802" w:type="dxa"/>
          </w:tcPr>
          <w:p w14:paraId="7397E7C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Ил-4+ДБ-ЗБ боевые/ Ил-4+ДБ-ЗБ</w:t>
            </w:r>
          </w:p>
        </w:tc>
        <w:tc>
          <w:tcPr>
            <w:tcW w:w="2802" w:type="dxa"/>
          </w:tcPr>
          <w:p w14:paraId="25A4189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3002243" w14:textId="77777777" w:rsidTr="004C5D62">
        <w:tc>
          <w:tcPr>
            <w:tcW w:w="2802" w:type="dxa"/>
          </w:tcPr>
          <w:p w14:paraId="7185F38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3ADB878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Ил-4+ДБ-ЗБ</w:t>
            </w:r>
          </w:p>
        </w:tc>
        <w:tc>
          <w:tcPr>
            <w:tcW w:w="2802" w:type="dxa"/>
          </w:tcPr>
          <w:p w14:paraId="12EB6D5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6CCF2D0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эксплуатационные Ил-4+ДБ-ЗБ</w:t>
            </w:r>
          </w:p>
        </w:tc>
      </w:tr>
      <w:tr w:rsidR="007C5583" w:rsidRPr="008127F8" w14:paraId="4D01D2CD" w14:textId="77777777" w:rsidTr="004C5D62">
        <w:tc>
          <w:tcPr>
            <w:tcW w:w="2802" w:type="dxa"/>
          </w:tcPr>
          <w:p w14:paraId="172F5CC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1.42</w:t>
            </w:r>
          </w:p>
        </w:tc>
        <w:tc>
          <w:tcPr>
            <w:tcW w:w="2802" w:type="dxa"/>
          </w:tcPr>
          <w:p w14:paraId="0F06079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2802" w:type="dxa"/>
          </w:tcPr>
          <w:p w14:paraId="755F186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802" w:type="dxa"/>
          </w:tcPr>
          <w:p w14:paraId="5C37353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0/2+0</w:t>
            </w:r>
          </w:p>
        </w:tc>
      </w:tr>
      <w:tr w:rsidR="007C5583" w:rsidRPr="008127F8" w14:paraId="3FE2E32E" w14:textId="77777777" w:rsidTr="004C5D62">
        <w:tc>
          <w:tcPr>
            <w:tcW w:w="2802" w:type="dxa"/>
          </w:tcPr>
          <w:p w14:paraId="5A00EF6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2.42</w:t>
            </w:r>
          </w:p>
        </w:tc>
        <w:tc>
          <w:tcPr>
            <w:tcW w:w="2802" w:type="dxa"/>
          </w:tcPr>
          <w:p w14:paraId="70EDB9C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2802" w:type="dxa"/>
          </w:tcPr>
          <w:p w14:paraId="6AFC11C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802" w:type="dxa"/>
          </w:tcPr>
          <w:p w14:paraId="6343ECD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0/0+1</w:t>
            </w:r>
          </w:p>
        </w:tc>
      </w:tr>
      <w:tr w:rsidR="007C5583" w:rsidRPr="008127F8" w14:paraId="1566C1C5" w14:textId="77777777" w:rsidTr="004C5D62">
        <w:tc>
          <w:tcPr>
            <w:tcW w:w="2802" w:type="dxa"/>
          </w:tcPr>
          <w:p w14:paraId="7E3230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3.42</w:t>
            </w:r>
          </w:p>
        </w:tc>
        <w:tc>
          <w:tcPr>
            <w:tcW w:w="2802" w:type="dxa"/>
          </w:tcPr>
          <w:p w14:paraId="666B5D5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w:t>
            </w:r>
          </w:p>
        </w:tc>
        <w:tc>
          <w:tcPr>
            <w:tcW w:w="2802" w:type="dxa"/>
          </w:tcPr>
          <w:p w14:paraId="3FE87FA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802" w:type="dxa"/>
          </w:tcPr>
          <w:p w14:paraId="5575706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0/1 + 1</w:t>
            </w:r>
          </w:p>
        </w:tc>
      </w:tr>
      <w:tr w:rsidR="007C5583" w:rsidRPr="008127F8" w14:paraId="099F90D2" w14:textId="77777777" w:rsidTr="004C5D62">
        <w:tc>
          <w:tcPr>
            <w:tcW w:w="2802" w:type="dxa"/>
          </w:tcPr>
          <w:p w14:paraId="2224509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4.42</w:t>
            </w:r>
          </w:p>
        </w:tc>
        <w:tc>
          <w:tcPr>
            <w:tcW w:w="2802" w:type="dxa"/>
          </w:tcPr>
          <w:p w14:paraId="6633DF1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12/9</w:t>
            </w:r>
          </w:p>
        </w:tc>
        <w:tc>
          <w:tcPr>
            <w:tcW w:w="2802" w:type="dxa"/>
          </w:tcPr>
          <w:p w14:paraId="6F03087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2802" w:type="dxa"/>
          </w:tcPr>
          <w:p w14:paraId="6269A30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7C5583" w:rsidRPr="008127F8" w14:paraId="2964D440" w14:textId="77777777" w:rsidTr="004C5D62">
        <w:tc>
          <w:tcPr>
            <w:tcW w:w="2802" w:type="dxa"/>
          </w:tcPr>
          <w:p w14:paraId="49837CE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5.42</w:t>
            </w:r>
          </w:p>
        </w:tc>
        <w:tc>
          <w:tcPr>
            <w:tcW w:w="2802" w:type="dxa"/>
          </w:tcPr>
          <w:p w14:paraId="545AFDE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w:t>
            </w:r>
          </w:p>
        </w:tc>
        <w:tc>
          <w:tcPr>
            <w:tcW w:w="2802" w:type="dxa"/>
          </w:tcPr>
          <w:p w14:paraId="41CCA22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2802" w:type="dxa"/>
          </w:tcPr>
          <w:p w14:paraId="6274797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1+0/2+0</w:t>
            </w:r>
          </w:p>
        </w:tc>
      </w:tr>
      <w:tr w:rsidR="007C5583" w:rsidRPr="008127F8" w14:paraId="071B1E84" w14:textId="77777777" w:rsidTr="004C5D62">
        <w:tc>
          <w:tcPr>
            <w:tcW w:w="2802" w:type="dxa"/>
          </w:tcPr>
          <w:p w14:paraId="1C2F650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6.42</w:t>
            </w:r>
          </w:p>
        </w:tc>
        <w:tc>
          <w:tcPr>
            <w:tcW w:w="2802" w:type="dxa"/>
          </w:tcPr>
          <w:p w14:paraId="6144A0B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2802" w:type="dxa"/>
          </w:tcPr>
          <w:p w14:paraId="20D5F25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802" w:type="dxa"/>
          </w:tcPr>
          <w:p w14:paraId="4ABE71A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0/2+1</w:t>
            </w:r>
          </w:p>
        </w:tc>
      </w:tr>
      <w:tr w:rsidR="007C5583" w:rsidRPr="008127F8" w14:paraId="1D503B2C" w14:textId="77777777" w:rsidTr="004C5D62">
        <w:tc>
          <w:tcPr>
            <w:tcW w:w="2802" w:type="dxa"/>
          </w:tcPr>
          <w:p w14:paraId="366E515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7.42</w:t>
            </w:r>
          </w:p>
        </w:tc>
        <w:tc>
          <w:tcPr>
            <w:tcW w:w="2802" w:type="dxa"/>
          </w:tcPr>
          <w:p w14:paraId="413286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16+6</w:t>
            </w:r>
          </w:p>
        </w:tc>
        <w:tc>
          <w:tcPr>
            <w:tcW w:w="2802" w:type="dxa"/>
          </w:tcPr>
          <w:p w14:paraId="4A5C53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802" w:type="dxa"/>
          </w:tcPr>
          <w:p w14:paraId="5305B72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0/1 + 1</w:t>
            </w:r>
          </w:p>
        </w:tc>
      </w:tr>
      <w:tr w:rsidR="007C5583" w:rsidRPr="008127F8" w14:paraId="6E7E7D2C" w14:textId="77777777" w:rsidTr="004C5D62">
        <w:tc>
          <w:tcPr>
            <w:tcW w:w="2802" w:type="dxa"/>
          </w:tcPr>
          <w:p w14:paraId="29FABEF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8.42</w:t>
            </w:r>
          </w:p>
        </w:tc>
        <w:tc>
          <w:tcPr>
            <w:tcW w:w="2802" w:type="dxa"/>
          </w:tcPr>
          <w:p w14:paraId="137C8AC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15+6</w:t>
            </w:r>
          </w:p>
        </w:tc>
        <w:tc>
          <w:tcPr>
            <w:tcW w:w="2802" w:type="dxa"/>
          </w:tcPr>
          <w:p w14:paraId="2BE4E2F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802" w:type="dxa"/>
          </w:tcPr>
          <w:p w14:paraId="06E3DC1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1+0/0+1 1+0</w:t>
            </w:r>
          </w:p>
        </w:tc>
      </w:tr>
      <w:tr w:rsidR="007C5583" w:rsidRPr="008127F8" w14:paraId="1BEFFD3A" w14:textId="77777777" w:rsidTr="004C5D62">
        <w:tc>
          <w:tcPr>
            <w:tcW w:w="2802" w:type="dxa"/>
          </w:tcPr>
          <w:p w14:paraId="0594EAA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9.42</w:t>
            </w:r>
          </w:p>
        </w:tc>
        <w:tc>
          <w:tcPr>
            <w:tcW w:w="2802" w:type="dxa"/>
          </w:tcPr>
          <w:p w14:paraId="3CFA273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w:t>
            </w:r>
          </w:p>
        </w:tc>
        <w:tc>
          <w:tcPr>
            <w:tcW w:w="2802" w:type="dxa"/>
          </w:tcPr>
          <w:p w14:paraId="63BE2A3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802" w:type="dxa"/>
          </w:tcPr>
          <w:p w14:paraId="1166484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4+0/1+0</w:t>
            </w:r>
          </w:p>
        </w:tc>
      </w:tr>
      <w:tr w:rsidR="007C5583" w:rsidRPr="008127F8" w14:paraId="08F1A97C" w14:textId="77777777" w:rsidTr="004C5D62">
        <w:tc>
          <w:tcPr>
            <w:tcW w:w="2802" w:type="dxa"/>
          </w:tcPr>
          <w:p w14:paraId="60D2525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10.42</w:t>
            </w:r>
          </w:p>
        </w:tc>
        <w:tc>
          <w:tcPr>
            <w:tcW w:w="2802" w:type="dxa"/>
          </w:tcPr>
          <w:p w14:paraId="7FADBD4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9+4</w:t>
            </w:r>
          </w:p>
        </w:tc>
        <w:tc>
          <w:tcPr>
            <w:tcW w:w="2802" w:type="dxa"/>
          </w:tcPr>
          <w:p w14:paraId="474244C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802" w:type="dxa"/>
          </w:tcPr>
          <w:p w14:paraId="54562C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1+1/0</w:t>
            </w:r>
          </w:p>
        </w:tc>
      </w:tr>
      <w:tr w:rsidR="007C5583" w:rsidRPr="008127F8" w14:paraId="6EE5309D" w14:textId="77777777" w:rsidTr="004C5D62">
        <w:tc>
          <w:tcPr>
            <w:tcW w:w="2802" w:type="dxa"/>
          </w:tcPr>
          <w:p w14:paraId="39FFB38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11.42</w:t>
            </w:r>
          </w:p>
        </w:tc>
        <w:tc>
          <w:tcPr>
            <w:tcW w:w="2802" w:type="dxa"/>
          </w:tcPr>
          <w:p w14:paraId="2196B50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7+3</w:t>
            </w:r>
          </w:p>
        </w:tc>
        <w:tc>
          <w:tcPr>
            <w:tcW w:w="2802" w:type="dxa"/>
          </w:tcPr>
          <w:p w14:paraId="2DAAD05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802" w:type="dxa"/>
          </w:tcPr>
          <w:p w14:paraId="0D075F7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0/1+0</w:t>
            </w:r>
          </w:p>
        </w:tc>
      </w:tr>
      <w:tr w:rsidR="007C5583" w:rsidRPr="008127F8" w14:paraId="798DE548" w14:textId="77777777" w:rsidTr="004C5D62">
        <w:tc>
          <w:tcPr>
            <w:tcW w:w="2802" w:type="dxa"/>
          </w:tcPr>
          <w:p w14:paraId="6986EA9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12.42</w:t>
            </w:r>
          </w:p>
        </w:tc>
        <w:tc>
          <w:tcPr>
            <w:tcW w:w="2802" w:type="dxa"/>
          </w:tcPr>
          <w:p w14:paraId="77E1E6D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7+3</w:t>
            </w:r>
          </w:p>
        </w:tc>
        <w:tc>
          <w:tcPr>
            <w:tcW w:w="2802" w:type="dxa"/>
          </w:tcPr>
          <w:p w14:paraId="30618CF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802" w:type="dxa"/>
          </w:tcPr>
          <w:p w14:paraId="296A997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7C5583" w:rsidRPr="008127F8" w14:paraId="7845E539" w14:textId="77777777" w:rsidTr="004C5D62">
        <w:tc>
          <w:tcPr>
            <w:tcW w:w="2802" w:type="dxa"/>
            <w:tcBorders>
              <w:bottom w:val="single" w:sz="12" w:space="0" w:color="auto"/>
            </w:tcBorders>
          </w:tcPr>
          <w:p w14:paraId="53A1FB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w:t>
            </w:r>
          </w:p>
        </w:tc>
        <w:tc>
          <w:tcPr>
            <w:tcW w:w="2802" w:type="dxa"/>
            <w:tcBorders>
              <w:bottom w:val="single" w:sz="12" w:space="0" w:color="auto"/>
            </w:tcBorders>
          </w:tcPr>
          <w:p w14:paraId="0846096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bottom w:val="single" w:sz="12" w:space="0" w:color="auto"/>
            </w:tcBorders>
          </w:tcPr>
          <w:p w14:paraId="01E32F5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w:t>
            </w:r>
          </w:p>
        </w:tc>
        <w:tc>
          <w:tcPr>
            <w:tcW w:w="2802" w:type="dxa"/>
            <w:tcBorders>
              <w:bottom w:val="single" w:sz="12" w:space="0" w:color="auto"/>
            </w:tcBorders>
          </w:tcPr>
          <w:p w14:paraId="039B4F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7+1/10+5=8/15 1</w:t>
            </w:r>
          </w:p>
        </w:tc>
      </w:tr>
    </w:tbl>
    <w:p w14:paraId="2C77B8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(12002).</w:t>
      </w:r>
    </w:p>
    <w:p w14:paraId="0800348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EAD8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часть самолетов и личного состава 746-го полка послужила основой для формирования 890-го бомбардировочного авиаполка дальнего действия. Штаб и 3-я эскадрилья 890-го ап были практически полностью укомплектованы личным составом 746-го полка. В июне 1942 г. авиадивизия получила наименование 45-й авиадивизии АДД. Командиром дивизии назначили В.И.Лебедева. Командиром 746-го ап стал позднее В.А.Абрамов (до этого полком короткое время командовал майор Егоров), а командиром 890-го ап в октябре 1942 г. был назначен Э.К.Пусэп (12025).</w:t>
      </w:r>
    </w:p>
    <w:p w14:paraId="6E8599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568EF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на Волховском фронте был произведен анализ летных происшествий при выполнении учебной и боевой работы авиации с 1 января по 15 марта. Из отчета главного инженера ВВС объединения следовало: за истекшее время отмечались 542 отказа или других происшествий по вине материальной части. Почти половина всех неприятных фактов (256 случаев) произошла из-за производственных дефектов самолетов или моторов; летный и технический состав оказались виновны в 132 происшествиях, а остальные были обусловлены конструктивными дефектами.</w:t>
      </w:r>
    </w:p>
    <w:p w14:paraId="11B66C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Отчет принес неприятные статистические данные по надежности МиГ-3: он, наряду с Пе-2, оказался наиболее часто ломающимся самолетом на Волховском фронте.</w:t>
      </w:r>
    </w:p>
    <w:p w14:paraId="1E5EC0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74 дня на относительно малочисленные МиГи было составлено 232 акта о поломках, других отказах узлов или агрегатов (более чем по три поломки за сутки)! Понятно недовольство летно-технического состава: погода стояла плохая, но для всех одинаковая. Як-1, У-2 или, скажем, Р-5 поднимались в воздух, когда вылеты разрешали, а МиГ-3 непрерывно приходилось ремонтировать.</w:t>
      </w:r>
    </w:p>
    <w:p w14:paraId="3408BCF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Контрнаступление Красной Армии под Москвой начиналось при интенсивной поддержке советской авиации. Можно было часто видеть проносившиеся на малой высоте МиГи, принадлежавшие, прежде всего, 6-му иак ПВО. Но затем активность нашей авиации заметно сократилась, упала доля машин новых типов. Дело было не только в плохих погодных условиях (стужа, сильные снегопады), но, прежде всего, в отсутствии перебазирования частей ПВО вслед за наступающими войсками.</w:t>
      </w:r>
    </w:p>
    <w:p w14:paraId="4E45048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Оставаясь на стационарных аэродромах в окрестностях столицы, "пэвэошные" МиГи с их небольшой практической дальностью полета не могли эффективно поддерживать наземные войска. К концу января 1942 г. в двух "фронтовых" и одном "армейском" полках (10-м, 122-м и 519-м иап, командиры, соответственно, капитан Н.В. Терехин, майоры Г.М. Баяндин и К.Н. Мурга) насчитывалось 43 МиГ-3 из 872 самолетов ВВС Западного и Калининского фронтов. Все три части, защищая Москву, вступили в бой в октябре прошлого года.</w:t>
      </w:r>
    </w:p>
    <w:p w14:paraId="48CB718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Немногочисленные исправные МиГи выполнили в разгар зимы достаточно большой объем работы, о чем можно судить, например, по количеству вылетов на исправную машину в сутки при благоприятных метеоусловиях и благодарностям от наземных штабов. Так, 122-й иап, который с 15 января находился на аэродроме Кубинка, в ходе общего наступления советских войск последовательно поддерживал войска 33, 43 и 49-й армий, прикрывал конников группы П.А. Белова в тылу противника, сопровождал транспортные самолеты, обеспечивал ПВО железной дороги на участке Апрелевка, Калуга. При этом новых истребителей часть не получала - пополнение осуществлялось за счет МиГов, отремонтированных рембазами сначала ВВС Западного фронта, а затем 1-й воздушной армии (12045).</w:t>
      </w:r>
    </w:p>
    <w:p w14:paraId="3FCE40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7ED26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роль истребителей МиГ-3 в составе ВВС Юго-Западного фронта стала менее заметной. Если зимой и в начале весны 1942 г. они еще составляли боевой костяк истребителей фронта, выполняя преимущественно разведку и осуществляя сопровождение бомбардировщиков, то в конце весны МиГи встречались в небе лишь эпизодически. О наличии этих самолетов в ВВС фронта дает представление таблица.</w:t>
      </w:r>
    </w:p>
    <w:p w14:paraId="2A5BB8C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Эффективность боевых действий 148-го иап за год войны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7C5583" w:rsidRPr="008127F8" w14:paraId="78A87B9D" w14:textId="77777777" w:rsidTr="004C5D62">
        <w:tc>
          <w:tcPr>
            <w:tcW w:w="1868" w:type="dxa"/>
            <w:tcBorders>
              <w:top w:val="single" w:sz="12" w:space="0" w:color="auto"/>
            </w:tcBorders>
          </w:tcPr>
          <w:p w14:paraId="1BCB821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Период и район</w:t>
            </w:r>
          </w:p>
        </w:tc>
        <w:tc>
          <w:tcPr>
            <w:tcW w:w="1868" w:type="dxa"/>
            <w:tcBorders>
              <w:top w:val="single" w:sz="12" w:space="0" w:color="auto"/>
            </w:tcBorders>
          </w:tcPr>
          <w:p w14:paraId="694A1B6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5B0AD62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Вылетов</w:t>
            </w:r>
          </w:p>
        </w:tc>
        <w:tc>
          <w:tcPr>
            <w:tcW w:w="1868" w:type="dxa"/>
            <w:tcBorders>
              <w:top w:val="single" w:sz="12" w:space="0" w:color="auto"/>
            </w:tcBorders>
          </w:tcPr>
          <w:p w14:paraId="49C565F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Побед в боях</w:t>
            </w:r>
          </w:p>
        </w:tc>
        <w:tc>
          <w:tcPr>
            <w:tcW w:w="1868" w:type="dxa"/>
            <w:tcBorders>
              <w:top w:val="single" w:sz="12" w:space="0" w:color="auto"/>
            </w:tcBorders>
          </w:tcPr>
          <w:p w14:paraId="34E479A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Уничтожено</w:t>
            </w:r>
          </w:p>
        </w:tc>
        <w:tc>
          <w:tcPr>
            <w:tcW w:w="1868" w:type="dxa"/>
            <w:tcBorders>
              <w:top w:val="single" w:sz="12" w:space="0" w:color="auto"/>
            </w:tcBorders>
          </w:tcPr>
          <w:p w14:paraId="3C1B26B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Свои потери</w:t>
            </w:r>
          </w:p>
        </w:tc>
      </w:tr>
      <w:tr w:rsidR="007C5583" w:rsidRPr="008127F8" w14:paraId="2FEA5C38" w14:textId="77777777" w:rsidTr="004C5D62">
        <w:tc>
          <w:tcPr>
            <w:tcW w:w="1868" w:type="dxa"/>
          </w:tcPr>
          <w:p w14:paraId="729B270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действий</w:t>
            </w:r>
          </w:p>
        </w:tc>
        <w:tc>
          <w:tcPr>
            <w:tcW w:w="1868" w:type="dxa"/>
          </w:tcPr>
          <w:p w14:paraId="45350E1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F6A340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85B398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земле</w:t>
            </w:r>
          </w:p>
        </w:tc>
        <w:tc>
          <w:tcPr>
            <w:tcW w:w="1868" w:type="dxa"/>
          </w:tcPr>
          <w:p w14:paraId="6EB9C37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Самолеты</w:t>
            </w:r>
          </w:p>
        </w:tc>
        <w:tc>
          <w:tcPr>
            <w:tcW w:w="1868" w:type="dxa"/>
          </w:tcPr>
          <w:p w14:paraId="678D39A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Летчики</w:t>
            </w:r>
          </w:p>
        </w:tc>
      </w:tr>
      <w:tr w:rsidR="007C5583" w:rsidRPr="008127F8" w14:paraId="069FEF25" w14:textId="77777777" w:rsidTr="004C5D62">
        <w:tc>
          <w:tcPr>
            <w:tcW w:w="1868" w:type="dxa"/>
          </w:tcPr>
          <w:p w14:paraId="4CE096E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22.06 по 8.07.1941 г.</w:t>
            </w:r>
          </w:p>
        </w:tc>
        <w:tc>
          <w:tcPr>
            <w:tcW w:w="1868" w:type="dxa"/>
          </w:tcPr>
          <w:p w14:paraId="5F0ADFF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наЗФнаИ-153 475</w:t>
            </w:r>
          </w:p>
        </w:tc>
        <w:tc>
          <w:tcPr>
            <w:tcW w:w="1868" w:type="dxa"/>
          </w:tcPr>
          <w:p w14:paraId="3F3F90E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1868" w:type="dxa"/>
          </w:tcPr>
          <w:p w14:paraId="04A5C26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танка, 111 автомашин,</w:t>
            </w:r>
          </w:p>
        </w:tc>
        <w:tc>
          <w:tcPr>
            <w:tcW w:w="1868" w:type="dxa"/>
          </w:tcPr>
          <w:p w14:paraId="661FF23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868" w:type="dxa"/>
          </w:tcPr>
          <w:p w14:paraId="729CDB8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r>
      <w:tr w:rsidR="007C5583" w:rsidRPr="008127F8" w14:paraId="423E89DB" w14:textId="77777777" w:rsidTr="004C5D62">
        <w:tc>
          <w:tcPr>
            <w:tcW w:w="1868" w:type="dxa"/>
          </w:tcPr>
          <w:p w14:paraId="40A60B0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D01C1F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77A0F7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0AF5A8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орудий</w:t>
            </w:r>
          </w:p>
        </w:tc>
        <w:tc>
          <w:tcPr>
            <w:tcW w:w="1868" w:type="dxa"/>
          </w:tcPr>
          <w:p w14:paraId="1231169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03D144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BD48EB2" w14:textId="77777777" w:rsidTr="004C5D62">
        <w:tc>
          <w:tcPr>
            <w:tcW w:w="1868" w:type="dxa"/>
          </w:tcPr>
          <w:p w14:paraId="743B6FA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22.09 по 6.11.1941 г.</w:t>
            </w:r>
          </w:p>
        </w:tc>
        <w:tc>
          <w:tcPr>
            <w:tcW w:w="1868" w:type="dxa"/>
          </w:tcPr>
          <w:p w14:paraId="27371A6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на ЮЗФ на МиГ-3 435</w:t>
            </w:r>
          </w:p>
        </w:tc>
        <w:tc>
          <w:tcPr>
            <w:tcW w:w="1868" w:type="dxa"/>
          </w:tcPr>
          <w:p w14:paraId="07FCDF3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868" w:type="dxa"/>
          </w:tcPr>
          <w:p w14:paraId="0B0C669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самолетов, 2 танка,</w:t>
            </w:r>
          </w:p>
        </w:tc>
        <w:tc>
          <w:tcPr>
            <w:tcW w:w="1868" w:type="dxa"/>
          </w:tcPr>
          <w:p w14:paraId="75C7D93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1868" w:type="dxa"/>
          </w:tcPr>
          <w:p w14:paraId="0EE4D53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r>
      <w:tr w:rsidR="007C5583" w:rsidRPr="008127F8" w14:paraId="4233B24A" w14:textId="77777777" w:rsidTr="004C5D62">
        <w:tc>
          <w:tcPr>
            <w:tcW w:w="1868" w:type="dxa"/>
          </w:tcPr>
          <w:p w14:paraId="24733C3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3D93B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FDEE2A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4A9EBD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 автомашины, 4 орудия</w:t>
            </w:r>
          </w:p>
        </w:tc>
        <w:tc>
          <w:tcPr>
            <w:tcW w:w="1868" w:type="dxa"/>
          </w:tcPr>
          <w:p w14:paraId="15C8B85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054043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178B7D6" w14:textId="77777777" w:rsidTr="004C5D62">
        <w:tc>
          <w:tcPr>
            <w:tcW w:w="1868" w:type="dxa"/>
          </w:tcPr>
          <w:p w14:paraId="544B8CB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8.01 по 10.06.1942 г.</w:t>
            </w:r>
          </w:p>
        </w:tc>
        <w:tc>
          <w:tcPr>
            <w:tcW w:w="1868" w:type="dxa"/>
          </w:tcPr>
          <w:p w14:paraId="7161F50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на ЮЗФ на МиГ-3 560</w:t>
            </w:r>
          </w:p>
        </w:tc>
        <w:tc>
          <w:tcPr>
            <w:tcW w:w="1868" w:type="dxa"/>
          </w:tcPr>
          <w:p w14:paraId="5603439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868" w:type="dxa"/>
          </w:tcPr>
          <w:p w14:paraId="5644337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 автомашины, 9 орудий,</w:t>
            </w:r>
          </w:p>
        </w:tc>
        <w:tc>
          <w:tcPr>
            <w:tcW w:w="1868" w:type="dxa"/>
          </w:tcPr>
          <w:p w14:paraId="11767C7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1868" w:type="dxa"/>
          </w:tcPr>
          <w:p w14:paraId="0992028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r>
      <w:tr w:rsidR="007C5583" w:rsidRPr="008127F8" w14:paraId="69FAF5DF" w14:textId="77777777" w:rsidTr="004C5D62">
        <w:tc>
          <w:tcPr>
            <w:tcW w:w="1868" w:type="dxa"/>
            <w:tcBorders>
              <w:bottom w:val="single" w:sz="12" w:space="0" w:color="auto"/>
            </w:tcBorders>
          </w:tcPr>
          <w:p w14:paraId="4F3153B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3264D46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6134DC6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43F8B16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200 солдат и офицеров</w:t>
            </w:r>
          </w:p>
        </w:tc>
        <w:tc>
          <w:tcPr>
            <w:tcW w:w="1868" w:type="dxa"/>
            <w:tcBorders>
              <w:bottom w:val="single" w:sz="12" w:space="0" w:color="auto"/>
            </w:tcBorders>
          </w:tcPr>
          <w:p w14:paraId="36BB005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3F097C8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5BB75A0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Накануне советского весеннего наступления на Юго-Западном фронте, начавшегося 11 мая 1942 г., все исправные МиГи были собраны в 148-м иап. Боевая история этой авиачасти такова. Полк встретил войну на границе, базируясь неподалеку от Либавы (Лиепаи). Подобно многим другим частям, действовавшим на Северо-Западном фронте, он вскоре потерял всю материальную часть и был отправлен в тыл, где прошел переучивание на МиГ-3. В период с 8 августа по 9 сентября 1941 г. комполка майор Г.Н. Зайцев и часть его летчиков успешно выполнили поставленную задачу, освоив новую машину. Часть летчиков и техников полка направили на пополнение 183-го и 185-го иап.</w:t>
      </w:r>
    </w:p>
    <w:p w14:paraId="2404CB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сентября 1941 г. 148-й иап прибыл на Юго-Западный фронт, пополнив 4-ю РАГ. Наиболее яркой страницей в "миговской" истории полка, несомненно, являлось участие в Харьковской наступательной операции. По плану командования 4-й РАГ для улучшения организации боевых действий в первые дни наступления полк получил приказ перебазироваться на передовой аэродром Волоконовка. В течение 11 мая здесь, а также на площадке Больше-Троицкое сконцентрировалось 55 различных самолетов, среди них девять МиГ-3 (некоторые истребители только что получили из авиамастерских). В течение суток на усиление группы прибыли из тыловых баз еще 20 машин, среди которых один МиГ-3, накануне отремонтированный в Россоши.</w:t>
      </w:r>
    </w:p>
    <w:p w14:paraId="66EF9BA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148-й иап был на хорошем счету Полк сохранил примерно треть хорошо подготовленных летчиков, обученных действовать ночью и в плохих метеоусловиях. Еще одним плюсом стали плодотворные работы инженерно-технического состава по улучшению качества радиосвязи. В то время как во многих других частях летчики практически не пользовались рациями из-за совершенно незначительной дальности радиосвязи, шумов и помех в эфире, авиаторы 148-го иап</w:t>
      </w:r>
    </w:p>
    <w:p w14:paraId="11322F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получали с земли четкие, ясные команды.</w:t>
      </w:r>
    </w:p>
    <w:p w14:paraId="4D5159E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сказанное выше, итоги боевого применения МиГ-3 в майских боях трудно признать удовлетворительными. По докладу командира 4-й РАГ полковника М.Х. Борисенко, с 11 по 23 мая резервная группа недосчиталась 27 самолетов и 35 человек личного состава (боевые потери). Среди невернувшихся самолетов значатся и два МиГ-3. Завершая доклад командующему ВВС Юго-Западного фронта, Борисенко отметил: "Основная причина потерь - малое количество истребителей прикрытия.</w:t>
      </w:r>
    </w:p>
    <w:p w14:paraId="44F405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Несмотря на сказанное выше, итоги боевого применения МиГ-3 в майских боях трудно признать удовлетворительными. По докладу командира 4-й РАГ полковника М.Х. Борисенко, с 11 по 23 мая резервная группа недосчиталась 27 самолетов и 35 человек личного состава (боевые потери). Среди невернувшихся самолетов значатся и два МиГ-3. Завершая доклад командующему ВВС Юго-Западного фронта, Борисенко отметил: "Основная причина потерь - малое количество истребителей прикрытия. </w:t>
      </w:r>
    </w:p>
    <w:p w14:paraId="6089E4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Наличие МиГов в составе частей ВВС Юго-Западного фронта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7C5583" w:rsidRPr="008127F8" w14:paraId="71D36A9B" w14:textId="77777777" w:rsidTr="004C5D62">
        <w:tc>
          <w:tcPr>
            <w:tcW w:w="1601" w:type="dxa"/>
            <w:tcBorders>
              <w:top w:val="single" w:sz="12" w:space="0" w:color="auto"/>
            </w:tcBorders>
          </w:tcPr>
          <w:p w14:paraId="24FFE29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 самолета</w:t>
            </w:r>
          </w:p>
        </w:tc>
        <w:tc>
          <w:tcPr>
            <w:tcW w:w="1601" w:type="dxa"/>
            <w:tcBorders>
              <w:top w:val="single" w:sz="12" w:space="0" w:color="auto"/>
            </w:tcBorders>
          </w:tcPr>
          <w:p w14:paraId="07A51A2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1.12.41 г.</w:t>
            </w:r>
          </w:p>
        </w:tc>
        <w:tc>
          <w:tcPr>
            <w:tcW w:w="1601" w:type="dxa"/>
            <w:tcBorders>
              <w:top w:val="single" w:sz="12" w:space="0" w:color="auto"/>
            </w:tcBorders>
          </w:tcPr>
          <w:p w14:paraId="63E8BC0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1.01.42 г.</w:t>
            </w:r>
          </w:p>
        </w:tc>
        <w:tc>
          <w:tcPr>
            <w:tcW w:w="1601" w:type="dxa"/>
            <w:tcBorders>
              <w:top w:val="single" w:sz="12" w:space="0" w:color="auto"/>
            </w:tcBorders>
          </w:tcPr>
          <w:p w14:paraId="728165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1.02.42 г.</w:t>
            </w:r>
          </w:p>
        </w:tc>
        <w:tc>
          <w:tcPr>
            <w:tcW w:w="1601" w:type="dxa"/>
            <w:tcBorders>
              <w:top w:val="single" w:sz="12" w:space="0" w:color="auto"/>
            </w:tcBorders>
          </w:tcPr>
          <w:p w14:paraId="692F2C3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1.03.42 г.</w:t>
            </w:r>
          </w:p>
        </w:tc>
        <w:tc>
          <w:tcPr>
            <w:tcW w:w="1601" w:type="dxa"/>
            <w:tcBorders>
              <w:top w:val="single" w:sz="12" w:space="0" w:color="auto"/>
            </w:tcBorders>
          </w:tcPr>
          <w:p w14:paraId="51BFA6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10.04.42 г.</w:t>
            </w:r>
          </w:p>
        </w:tc>
        <w:tc>
          <w:tcPr>
            <w:tcW w:w="1601" w:type="dxa"/>
            <w:tcBorders>
              <w:top w:val="single" w:sz="12" w:space="0" w:color="auto"/>
            </w:tcBorders>
          </w:tcPr>
          <w:p w14:paraId="405AAE0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1.05.42 г.</w:t>
            </w:r>
          </w:p>
        </w:tc>
      </w:tr>
      <w:tr w:rsidR="007C5583" w:rsidRPr="008127F8" w14:paraId="34234381" w14:textId="77777777" w:rsidTr="004C5D62">
        <w:tc>
          <w:tcPr>
            <w:tcW w:w="1601" w:type="dxa"/>
          </w:tcPr>
          <w:p w14:paraId="56ADA64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истребителей</w:t>
            </w:r>
          </w:p>
        </w:tc>
        <w:tc>
          <w:tcPr>
            <w:tcW w:w="1601" w:type="dxa"/>
          </w:tcPr>
          <w:p w14:paraId="5ED005D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138/71</w:t>
            </w:r>
          </w:p>
        </w:tc>
        <w:tc>
          <w:tcPr>
            <w:tcW w:w="1601" w:type="dxa"/>
          </w:tcPr>
          <w:p w14:paraId="6D7C2CF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142/71</w:t>
            </w:r>
          </w:p>
        </w:tc>
        <w:tc>
          <w:tcPr>
            <w:tcW w:w="1601" w:type="dxa"/>
          </w:tcPr>
          <w:p w14:paraId="4FD509B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115/55</w:t>
            </w:r>
          </w:p>
        </w:tc>
        <w:tc>
          <w:tcPr>
            <w:tcW w:w="1601" w:type="dxa"/>
          </w:tcPr>
          <w:p w14:paraId="3AE2AE8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96/54</w:t>
            </w:r>
          </w:p>
        </w:tc>
        <w:tc>
          <w:tcPr>
            <w:tcW w:w="1601" w:type="dxa"/>
          </w:tcPr>
          <w:p w14:paraId="254E9DA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154/79</w:t>
            </w:r>
          </w:p>
        </w:tc>
        <w:tc>
          <w:tcPr>
            <w:tcW w:w="1601" w:type="dxa"/>
          </w:tcPr>
          <w:p w14:paraId="5403E2D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89/61</w:t>
            </w:r>
          </w:p>
        </w:tc>
      </w:tr>
      <w:tr w:rsidR="007C5583" w:rsidRPr="008127F8" w14:paraId="33A7B752" w14:textId="77777777" w:rsidTr="004C5D62">
        <w:tc>
          <w:tcPr>
            <w:tcW w:w="1601" w:type="dxa"/>
          </w:tcPr>
          <w:p w14:paraId="47E1721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них МиГ-3</w:t>
            </w:r>
          </w:p>
        </w:tc>
        <w:tc>
          <w:tcPr>
            <w:tcW w:w="1601" w:type="dxa"/>
          </w:tcPr>
          <w:p w14:paraId="2EE1FDF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20/18</w:t>
            </w:r>
          </w:p>
        </w:tc>
        <w:tc>
          <w:tcPr>
            <w:tcW w:w="1601" w:type="dxa"/>
          </w:tcPr>
          <w:p w14:paraId="2ED80BD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23/9</w:t>
            </w:r>
          </w:p>
        </w:tc>
        <w:tc>
          <w:tcPr>
            <w:tcW w:w="1601" w:type="dxa"/>
          </w:tcPr>
          <w:p w14:paraId="314B62F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19/20</w:t>
            </w:r>
          </w:p>
        </w:tc>
        <w:tc>
          <w:tcPr>
            <w:tcW w:w="1601" w:type="dxa"/>
          </w:tcPr>
          <w:p w14:paraId="342177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19/18</w:t>
            </w:r>
          </w:p>
        </w:tc>
        <w:tc>
          <w:tcPr>
            <w:tcW w:w="1601" w:type="dxa"/>
          </w:tcPr>
          <w:p w14:paraId="0304732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29/5</w:t>
            </w:r>
          </w:p>
        </w:tc>
        <w:tc>
          <w:tcPr>
            <w:tcW w:w="1601" w:type="dxa"/>
          </w:tcPr>
          <w:p w14:paraId="5CC2AE5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r>
      <w:tr w:rsidR="007C5583" w:rsidRPr="008127F8" w14:paraId="16A28C69" w14:textId="77777777" w:rsidTr="004C5D62">
        <w:tc>
          <w:tcPr>
            <w:tcW w:w="1601" w:type="dxa"/>
            <w:tcBorders>
              <w:bottom w:val="single" w:sz="12" w:space="0" w:color="auto"/>
            </w:tcBorders>
          </w:tcPr>
          <w:p w14:paraId="4430A29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Процент МиГов</w:t>
            </w:r>
          </w:p>
        </w:tc>
        <w:tc>
          <w:tcPr>
            <w:tcW w:w="1601" w:type="dxa"/>
            <w:tcBorders>
              <w:bottom w:val="single" w:sz="12" w:space="0" w:color="auto"/>
            </w:tcBorders>
          </w:tcPr>
          <w:p w14:paraId="18DAB14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18,2</w:t>
            </w:r>
          </w:p>
        </w:tc>
        <w:tc>
          <w:tcPr>
            <w:tcW w:w="1601" w:type="dxa"/>
            <w:tcBorders>
              <w:bottom w:val="single" w:sz="12" w:space="0" w:color="auto"/>
            </w:tcBorders>
          </w:tcPr>
          <w:p w14:paraId="18D0E27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tc>
        <w:tc>
          <w:tcPr>
            <w:tcW w:w="1601" w:type="dxa"/>
            <w:tcBorders>
              <w:bottom w:val="single" w:sz="12" w:space="0" w:color="auto"/>
            </w:tcBorders>
          </w:tcPr>
          <w:p w14:paraId="208DB77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23,0</w:t>
            </w:r>
          </w:p>
        </w:tc>
        <w:tc>
          <w:tcPr>
            <w:tcW w:w="1601" w:type="dxa"/>
            <w:tcBorders>
              <w:bottom w:val="single" w:sz="12" w:space="0" w:color="auto"/>
            </w:tcBorders>
          </w:tcPr>
          <w:p w14:paraId="77C52DB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24,7</w:t>
            </w:r>
          </w:p>
        </w:tc>
        <w:tc>
          <w:tcPr>
            <w:tcW w:w="1601" w:type="dxa"/>
            <w:tcBorders>
              <w:bottom w:val="single" w:sz="12" w:space="0" w:color="auto"/>
            </w:tcBorders>
          </w:tcPr>
          <w:p w14:paraId="6276E61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14,6</w:t>
            </w:r>
          </w:p>
        </w:tc>
        <w:tc>
          <w:tcPr>
            <w:tcW w:w="1601" w:type="dxa"/>
            <w:tcBorders>
              <w:bottom w:val="single" w:sz="12" w:space="0" w:color="auto"/>
            </w:tcBorders>
          </w:tcPr>
          <w:p w14:paraId="06661E3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w:t>
            </w:r>
          </w:p>
        </w:tc>
      </w:tr>
    </w:tbl>
    <w:p w14:paraId="74F15CD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высотах 1200-1500 м МиГ-3 оказались неспособны эффективно прикрыть Пе-2 (всего 4-я РАГ лишилась шести "пешек")". А ведь еще совсем недавно, в конце 1941 г., в отчетах о боевой работе 8-й сад утверждалось противоположное: "Сопровождение СБ является трудной задачей для МиГов, ввиду большой разницы в скоростях. Прикрытие Пе-2 сложностей не представляет" (12045).</w:t>
      </w:r>
    </w:p>
    <w:p w14:paraId="6A8406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E80EA4" w14:textId="77777777" w:rsidR="006D074D" w:rsidRPr="008A2E5A" w:rsidRDefault="006D074D" w:rsidP="006D0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г. основную работу по переучиванию на заграничные самолеты перенесли южнее, в окрестности Ива</w:t>
      </w:r>
      <w:r w:rsidRPr="008A2E5A">
        <w:rPr>
          <w:rFonts w:ascii="Times New Roman" w:hAnsi="Times New Roman"/>
          <w:color w:val="0070C0"/>
          <w:sz w:val="16"/>
          <w:szCs w:val="16"/>
        </w:rPr>
        <w:softHyphen/>
        <w:t>нова. В марте 22-й зап перевели на аэро</w:t>
      </w:r>
      <w:r w:rsidRPr="008A2E5A">
        <w:rPr>
          <w:rFonts w:ascii="Times New Roman" w:hAnsi="Times New Roman"/>
          <w:color w:val="0070C0"/>
          <w:sz w:val="16"/>
          <w:szCs w:val="16"/>
        </w:rPr>
        <w:softHyphen/>
        <w:t>дром Иваново-Южный. Там он состоял из трех эскадрилий, специализировавшихся на отдельных типах истребителей: 1-я — «Харрикейн», 2-я — Р-40, 3-я — Р-39. В мае 1942 г. к освоению иностранной техники подключили 14-й зап, сформированный в ноябре предыдущего года в Рыбинске под командованием майора Н.И. Бочаро</w:t>
      </w:r>
      <w:r w:rsidRPr="008A2E5A">
        <w:rPr>
          <w:rFonts w:ascii="Times New Roman" w:hAnsi="Times New Roman"/>
          <w:color w:val="0070C0"/>
          <w:sz w:val="16"/>
          <w:szCs w:val="16"/>
        </w:rPr>
        <w:softHyphen/>
        <w:t>ва. 16 мая из 22-го и 14-го зап образова</w:t>
      </w:r>
      <w:r w:rsidRPr="008A2E5A">
        <w:rPr>
          <w:rFonts w:ascii="Times New Roman" w:hAnsi="Times New Roman"/>
          <w:color w:val="0070C0"/>
          <w:sz w:val="16"/>
          <w:szCs w:val="16"/>
        </w:rPr>
        <w:softHyphen/>
        <w:t>ли 6-ю заб со штабом в Иваново. В ноябре 14-й полк тоже передислоцировали на Иваново-Южный.</w:t>
      </w:r>
    </w:p>
    <w:p w14:paraId="6D869A58" w14:textId="77777777" w:rsidR="006D074D" w:rsidRPr="008A2E5A" w:rsidRDefault="006D074D" w:rsidP="006D0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начала поставок техники через Ирак и Иран такой же учебный центр соз</w:t>
      </w:r>
      <w:r w:rsidRPr="008A2E5A">
        <w:rPr>
          <w:rFonts w:ascii="Times New Roman" w:hAnsi="Times New Roman"/>
          <w:color w:val="0070C0"/>
          <w:sz w:val="16"/>
          <w:szCs w:val="16"/>
        </w:rPr>
        <w:softHyphen/>
        <w:t>дали на юге, в Закавказье. Первоначально там разместили два полка — 11-й и 25-й. Эти части создали еще летом 1941 г., они первоначально специализировались на подготовке летчиков-истребителей на самолетах ЛаГГ-3. 11-й зап тогда дисло</w:t>
      </w:r>
      <w:r w:rsidRPr="008A2E5A">
        <w:rPr>
          <w:rFonts w:ascii="Times New Roman" w:hAnsi="Times New Roman"/>
          <w:color w:val="0070C0"/>
          <w:sz w:val="16"/>
          <w:szCs w:val="16"/>
        </w:rPr>
        <w:softHyphen/>
        <w:t>цировался под Ростовом-на-Дону, 25-й — в Вазиани. В 1942 г. первый из них переве</w:t>
      </w:r>
      <w:r w:rsidRPr="008A2E5A">
        <w:rPr>
          <w:rFonts w:ascii="Times New Roman" w:hAnsi="Times New Roman"/>
          <w:color w:val="0070C0"/>
          <w:sz w:val="16"/>
          <w:szCs w:val="16"/>
        </w:rPr>
        <w:softHyphen/>
        <w:t>ли в Кировабад. С марта 1942 г. 11-й полк занимался подготовкой на бомбардиров</w:t>
      </w:r>
      <w:r w:rsidRPr="008A2E5A">
        <w:rPr>
          <w:rFonts w:ascii="Times New Roman" w:hAnsi="Times New Roman"/>
          <w:color w:val="0070C0"/>
          <w:sz w:val="16"/>
          <w:szCs w:val="16"/>
        </w:rPr>
        <w:softHyphen/>
        <w:t>щиках А-20, 25-й пропускал через себя истребительные полки на Р-39. Затем до</w:t>
      </w:r>
      <w:r w:rsidRPr="008A2E5A">
        <w:rPr>
          <w:rFonts w:ascii="Times New Roman" w:hAnsi="Times New Roman"/>
          <w:color w:val="0070C0"/>
          <w:sz w:val="16"/>
          <w:szCs w:val="16"/>
        </w:rPr>
        <w:softHyphen/>
        <w:t>бавили 26-й зап, дислоцированный на аэ</w:t>
      </w:r>
      <w:r w:rsidRPr="008A2E5A">
        <w:rPr>
          <w:rFonts w:ascii="Times New Roman" w:hAnsi="Times New Roman"/>
          <w:color w:val="0070C0"/>
          <w:sz w:val="16"/>
          <w:szCs w:val="16"/>
        </w:rPr>
        <w:softHyphen/>
        <w:t>родроме у станции Сандары и обучавший летный и технический состав на ЛаГГ-3 и Р-39. Эта часть также занималась при</w:t>
      </w:r>
      <w:r w:rsidRPr="008A2E5A">
        <w:rPr>
          <w:rFonts w:ascii="Times New Roman" w:hAnsi="Times New Roman"/>
          <w:color w:val="0070C0"/>
          <w:sz w:val="16"/>
          <w:szCs w:val="16"/>
        </w:rPr>
        <w:softHyphen/>
        <w:t>емкой и отправкой истребителей ЛаГГ-3, поступавших с завода № 31 в Тбилиси. Все эти полки считались отдельными и под</w:t>
      </w:r>
      <w:r w:rsidRPr="008A2E5A">
        <w:rPr>
          <w:rFonts w:ascii="Times New Roman" w:hAnsi="Times New Roman"/>
          <w:color w:val="0070C0"/>
          <w:sz w:val="16"/>
          <w:szCs w:val="16"/>
        </w:rPr>
        <w:softHyphen/>
        <w:t>чинялись напрямую командующему ВВС Закавказского фронта (23513).</w:t>
      </w:r>
    </w:p>
    <w:p w14:paraId="5FDC0A0B" w14:textId="77777777" w:rsidR="006D074D" w:rsidRPr="008A2E5A" w:rsidRDefault="006D074D" w:rsidP="006D074D">
      <w:pPr>
        <w:spacing w:after="0" w:line="240" w:lineRule="auto"/>
        <w:jc w:val="both"/>
        <w:rPr>
          <w:rFonts w:ascii="Times New Roman" w:hAnsi="Times New Roman"/>
          <w:color w:val="0070C0"/>
          <w:sz w:val="16"/>
          <w:szCs w:val="16"/>
        </w:rPr>
      </w:pPr>
    </w:p>
    <w:p w14:paraId="177A2D60" w14:textId="77777777" w:rsidR="006D074D" w:rsidRPr="008A2E5A" w:rsidRDefault="006D074D" w:rsidP="006D0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года один ЛаГГ-3 8-й производственной серии дезертир угнал из Забайкалья в контролировавшуюся тогда японцами Маньчжурию. Полеты на ЛаГГе японцы начали 27 сентября 1942 года в Мутанчанге. С шасси сняли крышки, самолет оснастили новой трубкой Пито, изменили форму воздухозаборников радиатора. Проводилось определение основных характеристик машины и велись учебные бои с японскими истребителями A6M, Ки-43 и др. Дальнейшая судьба этого самолета неизвестна (23548).</w:t>
      </w:r>
    </w:p>
    <w:p w14:paraId="452B8C7F" w14:textId="77777777" w:rsidR="006D074D" w:rsidRPr="008A2E5A" w:rsidRDefault="006D074D" w:rsidP="006D074D">
      <w:pPr>
        <w:spacing w:after="0" w:line="240" w:lineRule="auto"/>
        <w:jc w:val="both"/>
        <w:rPr>
          <w:rFonts w:ascii="Times New Roman" w:hAnsi="Times New Roman"/>
          <w:color w:val="0070C0"/>
          <w:sz w:val="16"/>
          <w:szCs w:val="16"/>
        </w:rPr>
      </w:pPr>
    </w:p>
    <w:p w14:paraId="1BC261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ЦК признал целесообразным создать вместо и на базе существовавших до этого ВВС фронтов и ВВС армий ВА, но создали их в мае-ноябре 1942 - 3-4 ад и, ш, б - 800-1000 самолетов в 1942-43 и 2000-2500 в 1944-45 (505,196).</w:t>
      </w:r>
    </w:p>
    <w:p w14:paraId="0B299A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211DC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в организационную структуру ВВС КА были внесены коренные изменения. Вся авиация общевойсковых армий и фронта сводились в одно оперативное объединение - Воздушную армию, которая подчинялась Командующему фронта. Это позволяло централизовать управление всеми силами авиации фронта, используя их там, где требовала обстановка (3573).</w:t>
      </w:r>
    </w:p>
    <w:p w14:paraId="4F80E13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4DE1F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весне 1942 г. нехватка Пе-3 стала остро ощущаться в строевых частях ВВС и авиации ВМФ, ведь с ноября не поступило ни одной новой машины (4476).</w:t>
      </w:r>
    </w:p>
    <w:p w14:paraId="2CE27D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F277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для пополнения парка авиации ВМФ передали некоторое количество Ил-4 в варианте бомбардировщика из заказа ВВС. Ильюшинцы оперативно подготовили чертежи переделки их в торпедоносцы. Работу вел завод № 81. К 22 мая он уже модифицировал 40 самолетов, усиливших ВВС флотов (12021).</w:t>
      </w:r>
    </w:p>
    <w:p w14:paraId="7BCCCC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BC719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весны 1942 г. возобновились мин</w:t>
      </w:r>
      <w:r w:rsidRPr="008127F8">
        <w:rPr>
          <w:rFonts w:ascii="Times New Roman" w:hAnsi="Times New Roman"/>
          <w:color w:val="000000" w:themeColor="text1"/>
          <w:sz w:val="16"/>
          <w:szCs w:val="16"/>
        </w:rPr>
        <w:softHyphen/>
        <w:t>ные постановки. Балтийцам поставили задачу перекрыть фарватеры, пробитые во льду на подходах к Хельсинки, повто</w:t>
      </w:r>
      <w:r w:rsidRPr="008127F8">
        <w:rPr>
          <w:rFonts w:ascii="Times New Roman" w:hAnsi="Times New Roman"/>
          <w:color w:val="000000" w:themeColor="text1"/>
          <w:sz w:val="16"/>
          <w:szCs w:val="16"/>
        </w:rPr>
        <w:softHyphen/>
        <w:t>рив то, что делалось во время войны с Финляндией. Но теперь собирались сбрасывать АМГ-1. Решили проверить, что будет, если она упадет на лед. Ока</w:t>
      </w:r>
      <w:r w:rsidRPr="008127F8">
        <w:rPr>
          <w:rFonts w:ascii="Times New Roman" w:hAnsi="Times New Roman"/>
          <w:color w:val="000000" w:themeColor="text1"/>
          <w:sz w:val="16"/>
          <w:szCs w:val="16"/>
        </w:rPr>
        <w:softHyphen/>
        <w:t xml:space="preserve">залось, что мина с высоты </w:t>
      </w:r>
      <w:r w:rsidRPr="008127F8">
        <w:rPr>
          <w:rFonts w:ascii="Times New Roman" w:hAnsi="Times New Roman"/>
          <w:color w:val="000000" w:themeColor="text1"/>
          <w:sz w:val="16"/>
          <w:szCs w:val="16"/>
        </w:rPr>
        <w:lastRenderedPageBreak/>
        <w:t>300 м проби</w:t>
      </w:r>
      <w:r w:rsidRPr="008127F8">
        <w:rPr>
          <w:rFonts w:ascii="Times New Roman" w:hAnsi="Times New Roman"/>
          <w:color w:val="000000" w:themeColor="text1"/>
          <w:sz w:val="16"/>
          <w:szCs w:val="16"/>
        </w:rPr>
        <w:softHyphen/>
        <w:t>вала толщу льда до 80 см и вставала на заданное углубление; если же лед был мощнее, срабатывало устройство само</w:t>
      </w:r>
      <w:r w:rsidRPr="008127F8">
        <w:rPr>
          <w:rFonts w:ascii="Times New Roman" w:hAnsi="Times New Roman"/>
          <w:color w:val="000000" w:themeColor="text1"/>
          <w:sz w:val="16"/>
          <w:szCs w:val="16"/>
        </w:rPr>
        <w:softHyphen/>
        <w:t>подрыва (10734,84).</w:t>
      </w:r>
    </w:p>
    <w:p w14:paraId="2A5DFB6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837B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весну 1942 года, на момент образования АДД, роль ТБ-7 (Пе-8) в этом новом роде войск была крайне малозаметна. Все находившиеся в строю Пе-8 были сведены в 746 БАП в составе 45-й авиационной дивизии АДД (командир дивизии В.И.Лебедев) (7685).</w:t>
      </w:r>
    </w:p>
    <w:p w14:paraId="39260E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FAE0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года снова вернулись к идее транспортировки личного состава на Пе-8. С целью доставки в Англию летчиков-перегонщиков переоборудовали один Пе-8 4АМ-35А для перевозки 20 человек, которые размещались в бомбоотсеке в несколько ярусов. Эти полеты как раз и навели на мысль использовать в том же году Пе-8 для полетов через океан в США с миссией Молотова (7685).</w:t>
      </w:r>
    </w:p>
    <w:p w14:paraId="4A84E2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E6B7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сформированный ноябре 1941 г. на базе 25-й авиационной школы в городе Невиномыске Ставропольского 654-й ночной легкобомбардировоч-ный авиаполк (нлбап) на самолетах У-2 получила в дополнение к двум десяткам "кукурузников" эскадрилью из 8 самолетов И-153. Полк получил наименование 889-й смешанный авиаполк. Летом 1942 г. полк успешно действовал на южном направлении во время боев за Донбасс, затем, 25 августа его отвели на переформирование в город Насосный севернее Баку. "Чайки" передали в 8-й иак бакинской зоны ПВО, 889-й полк в течение зимы-весны 1943 г. действовал исключительно на У-2. Летом 1943 г. во время активизации боев в районе Керчи и Новороссийска "Чайки" вернули назад. Теперь их основной задачей стало подавление зенитных средств и уничтожение прожекторов. Подобным образом применялись И-153 авиации Черноморского флота. Активное использование истребителей-бипланов по ночам на этом участке фронта отмечалось в течение всего 1943 года (12014).</w:t>
      </w:r>
    </w:p>
    <w:p w14:paraId="3C0AAA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472BD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наибольшее количество И-16 числилось в ПВО - тыловые объекты и крупные города охраняли 333 самолета этого типа. Кроме уже упомянутых 6-го иак ПВО Москвы. 7-ю иак ПВО Ленинграда. 118 И-16 имелось в 8-мом иак ПВО Баку. 13 И-16 из состав;" 106-й над охраняли Бологое. 24 И-16 из состава 102-й над ПВО - Сталинград. 8 И-16 из состав;" 105-й ИАД ПВО - Ростов-на-Дону. Летом 1942 г. наличие И-16 в частях ПВО даже возросло до 348 единиц, однако уже осенью пошло на убыль - истребители передавались на фронт. В середине 1943 г. в ПВО числилось 143 И -16. а к концу года их оставалось около четырех десятков. В 1944 г. все И-16 из состава противовоздушной обороны были выведены, там теперь оставались лишь современные машины (12015).</w:t>
      </w:r>
    </w:p>
    <w:p w14:paraId="456A18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3D72BC"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Весной 1942 г. зафиксировали резкое увеличение аварийности ПС-43. Это было связано с тем, что группа лишилась наиболее опытных пилотов, отправленных в боевые части. За 2-й квартал произошло восемь аварий, при этом один самолет был полностью разбит. </w:t>
      </w:r>
    </w:p>
    <w:p w14:paraId="5A67420E"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1 мая 1942 г. три ПС-43 числились в Киевской авиагруппе, 13 - в ОАГС. Еще одна машина при эвакуации с Украины попала в Грозный, где ее присвоило летное училище ВВС. После долгой переписки самолет вернули в Северо-Кавказскую авиагруппу ГВФ. Но этот "Валти" оказался несчастливым. 27 июня 1942 г. у него на посадке не выпустилось шасси. Машина села на "брюхо" и попала в ремонт. А 24 октября при заходе на посадку в Сочи на "грозненский Валти" напали два "Мессершмитта". ПС-43 был сбит и упал в море, пилот Никонов и пассажир погибли. </w:t>
      </w:r>
    </w:p>
    <w:p w14:paraId="465DEFEC"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1942 году весьма оригинальную и эффективную, но непрактичную в эксплуатации американскую амортизацию шасси признали непригодной. Взамен начали ставить советские амортизаторы пневмо-гидравлического типа. К осени такую замену произвели на всех самолетах. Еще одной новинкой стало применение морозостойкой смазки в механизме уборки-выпуска шасси. Ранее пользовались американским маслом, которое при 15 градусах мороза загустевало. Поэтому зимой летали, не убирая колес, теряя 25-30 км/ч скорости (11470).</w:t>
      </w:r>
    </w:p>
    <w:p w14:paraId="1CCA0C99"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p>
    <w:p w14:paraId="0E5217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весны 1942 г. возобновились минные постановки. Балтийцам поставили задачу перекрыть фарватеры, пробитые во льду на подходах к Хельсинки, повторив то, что делалось во время войны с Финляндией. Но теперь собирались сбрасывать AM Г-1. Решили проверить, что будет, если она упадет на лед. Оказалось, что мина с высоты 300 м пробивала толщу льда до 80 см и встает на заданное углубление; если же лед был мощнее, срабатывало устройство самоподрыва.</w:t>
      </w:r>
    </w:p>
    <w:p w14:paraId="7E5F8C5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Первый боевой вылет с минами совершили 7 марта 1942 г. Хотя требовалось уложиться в полосу шириной 30-50 м - канал, пробитый ледоколом, экипажи успешно справились с задачей. ПВО финнов отвлекли одиночные бомбардировщики, атаковавшие цели в Хельсинки (12021).</w:t>
      </w:r>
    </w:p>
    <w:p w14:paraId="3297BDF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5ECCC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1942-го Т-60 начали поступать на Ленинградский фронт, когда для формирования 61-й танковой бригады Ставка выделила 60 машин с экипажами. Танки решили перевозить на баржах с углем. Это было неплохо с точки зрения маскировки. Баржи доставляли в Ленинград топливо, примелькались противнику, и не каждый раз за ними велась активная охота. К тому же уголь как балласт обеспечивал речным посудинам необходимую остойчивость. Грузили боевые машины с пирса выше Волховской гидроэлектростанции. На уголь укладывали бревенчатые настилы, на них размещались танки, и баржи отчаливали от берега. Вражеской авиации так и не удалось обнаружить перемещение нашей воинской части (3862).</w:t>
      </w:r>
    </w:p>
    <w:p w14:paraId="09E1A17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FB2E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года Т-60 воевали и на Южном фронте, особенно в Крыму. Участвовали в Харьковской операции, в обороне Сталинграда (3862).</w:t>
      </w:r>
    </w:p>
    <w:p w14:paraId="523A0C9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01A31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года сформировали первые танковые армии. При этом специальных штатов для соединений и частей, входивших в состав танковой армии, не создавалось. Первоначальный состав армий признали неудачным, и к 194З году их состав пересмотрели. Как правило, в танковую армию входили два танковых и механизированных корпуса, а также другие части (самоходно-артиллерийские полки и т.д.) При необходимости ей могли дополнительно придаваться танковые механизированные корпуса,</w:t>
      </w:r>
    </w:p>
    <w:p w14:paraId="11DB256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танковые бригады и т.п.</w:t>
      </w:r>
    </w:p>
    <w:p w14:paraId="1F372ED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Начиная с 1943 года соединения, входившие в состав танковых армий, комплектовались танками отечественного производства, а с конца года - только тридцатьчетверками (исключение составляла имевшиеся в армиях отдельные тяжелые танковые полки на ИС-2). Всего в годы войны сформировали шестьтанковых армий, хотя по первоначальному проекту, планировалось десять (12217).</w:t>
      </w:r>
    </w:p>
    <w:p w14:paraId="230CFE6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4892291"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года началась активная боевая работа бронепоездов ОБ-3. Они хорошо показали себя в тяжелых боях под Воронежем, Харьковом, Сталинградом и на Северном Кавказе. Причем помимо огневой поддержки войск ОБ-3 часто использовались для противовоздушной обороны железнодорожных узлов (9642).</w:t>
      </w:r>
    </w:p>
    <w:p w14:paraId="5BFFEA64"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p>
    <w:p w14:paraId="03CFF6BE"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весны 1942 года 30-й отдельный дивизион бронепоездов (ОДБП) находился в составе 34-й армии Северо-Западного фронта (9634).</w:t>
      </w:r>
    </w:p>
    <w:p w14:paraId="5C398687"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p>
    <w:p w14:paraId="25EAC907"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Весной 1942</w:t>
      </w:r>
      <w:r>
        <w:rPr>
          <w:color w:val="000000" w:themeColor="text1"/>
          <w:sz w:val="16"/>
          <w:szCs w:val="16"/>
        </w:rPr>
        <w:t xml:space="preserve">  </w:t>
      </w:r>
      <w:r w:rsidRPr="008127F8">
        <w:rPr>
          <w:color w:val="000000" w:themeColor="text1"/>
          <w:sz w:val="16"/>
          <w:szCs w:val="16"/>
        </w:rPr>
        <w:t>г., когда большое контрнаступление, развернутое Сталиным, уже выдыхалось, началась реорганизация структуры ВВС Красной армии. Приказами от 16 и 17 марта предписывалось сформировать десять так называемых «ударных авиационных групп» (уаг), которые должны были находиться в резерве и в случае необходимости могли быть брошены на нужный участок фронта.</w:t>
      </w:r>
    </w:p>
    <w:p w14:paraId="3B2EDF2B"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Предполагалось, что приблизительно треть этих групп составят именно Ил-2. Так, во 2-ю уаг генерал-майора Д.</w:t>
      </w:r>
      <w:r>
        <w:rPr>
          <w:color w:val="000000" w:themeColor="text1"/>
          <w:sz w:val="16"/>
          <w:szCs w:val="16"/>
        </w:rPr>
        <w:t xml:space="preserve">  </w:t>
      </w:r>
      <w:r w:rsidRPr="008127F8">
        <w:rPr>
          <w:color w:val="000000" w:themeColor="text1"/>
          <w:sz w:val="16"/>
          <w:szCs w:val="16"/>
        </w:rPr>
        <w:t>Ф.</w:t>
      </w:r>
      <w:r>
        <w:rPr>
          <w:color w:val="000000" w:themeColor="text1"/>
          <w:sz w:val="16"/>
          <w:szCs w:val="16"/>
        </w:rPr>
        <w:t xml:space="preserve">  </w:t>
      </w:r>
      <w:r w:rsidRPr="008127F8">
        <w:rPr>
          <w:color w:val="000000" w:themeColor="text1"/>
          <w:sz w:val="16"/>
          <w:szCs w:val="16"/>
        </w:rPr>
        <w:t>Кондратюка, действовавшую на Северо-Западном фронте, вошли пять истребительных, по одному легкобомбардировочному и дальнебомбардировочному и три штурмовых полка — 299-й, 567-й и 568-й шап. А из тринадцати полков 1-й уаг генерал-лейтенанта Ф.</w:t>
      </w:r>
      <w:r>
        <w:rPr>
          <w:color w:val="000000" w:themeColor="text1"/>
          <w:sz w:val="16"/>
          <w:szCs w:val="16"/>
        </w:rPr>
        <w:t xml:space="preserve">  </w:t>
      </w:r>
      <w:r w:rsidRPr="008127F8">
        <w:rPr>
          <w:color w:val="000000" w:themeColor="text1"/>
          <w:sz w:val="16"/>
          <w:szCs w:val="16"/>
        </w:rPr>
        <w:t>Г.</w:t>
      </w:r>
      <w:r>
        <w:rPr>
          <w:color w:val="000000" w:themeColor="text1"/>
          <w:sz w:val="16"/>
          <w:szCs w:val="16"/>
        </w:rPr>
        <w:t xml:space="preserve">  </w:t>
      </w:r>
      <w:r w:rsidRPr="008127F8">
        <w:rPr>
          <w:color w:val="000000" w:themeColor="text1"/>
          <w:sz w:val="16"/>
          <w:szCs w:val="16"/>
        </w:rPr>
        <w:t>Мичугина, участвовавшей в боях на Волховском фронте, штурмовых было пять — 175, 313, 448, 565 и 569-й шап (19522).</w:t>
      </w:r>
    </w:p>
    <w:p w14:paraId="1034555B" w14:textId="77777777" w:rsidR="007C5583" w:rsidRPr="008127F8" w:rsidRDefault="007C5583" w:rsidP="007C5583">
      <w:pPr>
        <w:pStyle w:val="af"/>
        <w:spacing w:before="0" w:after="0"/>
        <w:jc w:val="both"/>
        <w:textAlignment w:val="baseline"/>
        <w:rPr>
          <w:color w:val="000000" w:themeColor="text1"/>
          <w:sz w:val="16"/>
          <w:szCs w:val="16"/>
        </w:rPr>
      </w:pPr>
    </w:p>
    <w:p w14:paraId="42BB4A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Наркомат ВМФ предпринял целый ряд шагов по усилению ВВС действующих флотов. Именно в этот период с Тихоокеанского флота на Север были переброшены два звена торпедоносцев, закончили подготовку к боевым действиям авиаполки Особой морской авиационной группы (ОМАГ). Не обошли вниманием и ВВС КБФ (9965).</w:t>
      </w:r>
    </w:p>
    <w:p w14:paraId="262B537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2DC68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ВВС ВМС передали некоторое ко</w:t>
      </w:r>
      <w:r w:rsidRPr="008127F8">
        <w:rPr>
          <w:rFonts w:ascii="Times New Roman" w:hAnsi="Times New Roman"/>
          <w:color w:val="000000" w:themeColor="text1"/>
          <w:sz w:val="16"/>
          <w:szCs w:val="16"/>
        </w:rPr>
        <w:softHyphen/>
        <w:t>личество Ил-4 в варианте бомбарди</w:t>
      </w:r>
      <w:r w:rsidRPr="008127F8">
        <w:rPr>
          <w:rFonts w:ascii="Times New Roman" w:hAnsi="Times New Roman"/>
          <w:color w:val="000000" w:themeColor="text1"/>
          <w:sz w:val="16"/>
          <w:szCs w:val="16"/>
        </w:rPr>
        <w:softHyphen/>
        <w:t>ровщика из заказа ВВС. Ильюшинцы оперативно подготовили чертежи переделки их в торпедоносцы. Работу вел завод № 81. К 22 мая он уже модифици</w:t>
      </w:r>
      <w:r w:rsidRPr="008127F8">
        <w:rPr>
          <w:rFonts w:ascii="Times New Roman" w:hAnsi="Times New Roman"/>
          <w:color w:val="000000" w:themeColor="text1"/>
          <w:sz w:val="16"/>
          <w:szCs w:val="16"/>
        </w:rPr>
        <w:softHyphen/>
        <w:t>ровал 40 самолетов, усиливших ВВС флотов (10734,85).</w:t>
      </w:r>
    </w:p>
    <w:p w14:paraId="62273CF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5B4B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47719F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132C0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Весна 1942. Московский почтамт в весенние месяцы принял меры к ускорению доставки местных писем. Корреспонденцию, адресованную жителям столицы, стали доставлять в узлы связи специальные почтальоны-нарочные. Письма, опущенные в почтовые ящики до 18 часов, вручались адресатам на следующий день. Письмоносцы разносили их с утра до восьми-девяти часов вечера (18696).</w:t>
      </w:r>
    </w:p>
    <w:p w14:paraId="138C420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6CE30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весны 1942 г. в целях предотвращения пожаров от попаданий зажигательных бомб стало практиковаться еще одно нововведение – обмазка и пропитка деревянных поверхностей зданий огнезащитной обмазкой. Для ее приготовления был разработан следующий рецепт: тальк – 30%, молотый мел – 14%, жидкое стекло – 44% и </w:t>
      </w:r>
      <w:r w:rsidRPr="008127F8">
        <w:rPr>
          <w:rFonts w:ascii="Times New Roman" w:hAnsi="Times New Roman"/>
          <w:color w:val="000000" w:themeColor="text1"/>
          <w:sz w:val="16"/>
          <w:szCs w:val="16"/>
        </w:rPr>
        <w:lastRenderedPageBreak/>
        <w:t>вода – 12%. Подобное изобретение было отнюдь нелишним, обмазка могла по крайней мере замедлить возгорание деревянных поверхностей, а большинство жилого фонда тогдашних городов было именно деревянным. Многочисленные деревянные строения (склады, сараи, мастерские) имелись и на военных заводах. Недостатком этого средства был долгий процесс изготовления и большой расход времени на обмазку зданий (11774).</w:t>
      </w:r>
    </w:p>
    <w:p w14:paraId="2F1857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E82F7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весны 1942 аэростаты заграждения помимо Ленинграда и Москвы, появляться и в Поволжье. Один из отрядов A3 был размещен и в Горьком, в районе автозавода им. Молотова. Но для регулярного подъема в воздух требовался газ. Командование диврайона ПВО договорилось о поставках водорода с жиркомбинатом им. Кирова, последний обязался давать ежедневно не менее 500 куб. м, но впоследствии оказалось, что у предприятия не хватало для этого производственных мощностей. В результате в середине марта из имеющихся 16 точек в отряде A3 действовали только восемь, причем неполучение необходимого объема газа вело к дальнейшему сокращению количества действующих аэростатов. Тем не менее вскоре началось развертывание действующей части A3 в более крупную, на вооружение вводились т.н. мины воздушного заграждения. Суть этой технической новинки состояла в следующем. К тросам аэростата с помощью нехитрого приспособления подвешивалась 50-кг фугасная бомба. Были нередки случаи, когда бомбардировщики на большой высоте зацеплялись за трос, но тот, натягиваясь некоторое время, вскоре соскальзывал с крыла, нанеся лишь небольшие повреждения. В данном случае при контакте крыла с тросом бомба отцеплялась и, соскользнув вниз, падала на самолет. Недостатками системы были утяжеление аэростата и опасность в случае неравномерного подъема «уронить» бомбу на землю. В связи с этим пришлось организовать производство вентиляторов для равномерного подъема. Их изготовление было поручено ремесленному училищу при содействии Индустриального института и завода «Красное Сормово» (11774).</w:t>
      </w:r>
    </w:p>
    <w:p w14:paraId="0D7285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6F0D5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был введен в действие первый, рассчитанный на 20 лет военный заем. За ним последовали другие, по одному в год, на все большие суммы. Каждому взрослому человеку предлагалось прямо на месте подписаться на заем в объеме своей зарплаты за несколько недель. Организованное соревнование по размерам подписки на заем и возможность быть подвергнутым публичному осуждению как человек, отказывающийся помогать государству в трудную минуту, заставляли многих людей расходовать на очередной займ всю месячную зарплату, оставаясь без необходимых средств существования. В городе Чапаевске (Куйбышевская обл.) сумма подписки на государственный заем составила по предприятиям в 1942 г. 112,6% к месячному фонду зарплаты, на денежно-вещевую лотерею – 21,7% и др. Таким образом, в отличие от времени “военного коммунизма” партийно-государственное руководство страны не стремилось полностью заменить свободный обмен организованным государственным снабжением населения необходимыми ему продуктами и изделиями. Свободный обмен продолжал действовать в отношениях между городом и деревней. Несмотря на шумную борьбу с вольным рынком, у власти не было иного выхода, кроме как мириться с его существованием. Была разрешена легальная торговля по так называемым коммерческим ценам. Вытеснение спекулятивного рынка могло осуществляться лишь по мере укрепления продовольственной политики и насыщения официальных торговых структур товарами. Сочетание распределительно-карточной системы и относительно свободного обмена вело к формированию коалиционной экономики, в соответствии с которой один и тот же рубль имел разную покупательную силу для жителей центра и провинции, городов и сельской местности, для руководящих работников, рабочих и крестьян. Широкое распространение получила многомасштабная система цен. В 1944 г., по отношению к 1940 г., цены на колхозных рынках достигли 1069,7%, а в государственной торговле, реализовавшей продукты по карточкам, индексы цен на продовольствие составили 200,6%. Продовольственный кризис породил систему магазинов, торговавших по коммерческим ценам, которые были выше единых розничных государственных в 30-100 раз. Различались поясные цены. Цены на рынках республик Закавказья и Средней Азии, где существовало изобилие продуктов, временами были в 20 раз ниже цен в Москве, а в индустриальных городах Урала приходилось платить нередко больше среднемесячной заработной платы. Значительная разница в ценах существовала и в пределах одного города. Это создавало неограниченные возможности для обогащения одних слоев населения и обнищания других, поощряло стремление к наживе, давая возможность расходовать незаконные доходы в государственной коммерческой торговле. В годы войны власти пытались приукрасить ситуацию путем использования для измерения динамики цен таких методик, согласно которым имели место их стабилизация и даже некоторое снижение. Структура сводного индекса розничных цен в основном состояла из показателей по государственной и кооперативной торговле, где они из-за товарного дефицита зачастую носили номинальных характер: стабильные цены были, а товаров на прилавках не было. В подобных условиях действительная покупательная способность рубля могла проявиться лишь в сфере частной торговли, где цены определялись на реально существовавшие товары, но были гораздо выше и росли гораздо быстрее государственных и кооперативных (11121).</w:t>
      </w:r>
    </w:p>
    <w:p w14:paraId="285EBC3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6636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4D3E49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917E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года экипаж летчиков Асямова и Пусепа на Пе-8 летали в Англию. Там в одном из полетов в катастрофе на английском самолете Де-Хэвиленд "Фламинго" погиб Асямов. Домой Пе-8 возвращался под управлением Пусепа. Полет проходил вполне благополучно и лишь за линией фронта, уже над нашей территорией, Пе-8 был атакован каким-то шальным истребителем. Попав под огонь задних установок, истребитель прекратил атаку Из членов экипажа никто не пострадал, и Пе-8, получив несколько пробоин, приземлился на свой аэродром. Как раз в это время в правительстве рассматриваля вопрос о визите Наркома Иностранных дел Молотова в Англию и США. Решено было организовать визит воздушным путем. Выбор пал на Пе-8. Для того полета прежде всего требовалось, чтобы на этой машине стояли надежные двигатели (естественно, не дизеля). После анализа парка, имевшихся в наличии исправных машин выбрали Пе-8 4АМ-35А №42066. Дополнительно к штатному оборудованию на самолет установили в задней кабине кислородное оборудование на шесть пассажиров. После чего самолет опломбировали (7685).</w:t>
      </w:r>
    </w:p>
    <w:p w14:paraId="0DB78E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ECF64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7EB1E6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F3FA39"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года на несколько строевых Ju86P-2 установили новые моторы Jumo207B-3 с устройством впрыска закиси азота GM1 и четырехлопастными воздушными винтами. Мощность на высоте 12200 м достигла 750 л.с., а потолок увеличился до 14400 м. Запас топлива был увеличен до 1935 л. Наконец, сделали новые консоли крыла, с которыми размах достиг величины 32 м. Модернизированные самолеты, названные Ju86R, нормально прошли испытания, и началось переоборудование всего оставшегося парка Ju86P-1/P-2. Но бомбардировочное вооружение оставили только на трех Ju86R-2, которые были переданы в 14-ю эскадрилью 6-й бомбардировочной эскадры (14/KG6) III Воздушного Флота. К тому времени в магниевых корпусах гермокабин были обнаружены трещины, на поношенных машинах (ведь до доработки они долго летали в качестве обычных бомбардировщиков и тренировочных самолетов) стали разрушаться заклепочные и сварные швы, «трещали» кронштейны лонжеронов, шасси и крепления бомбодержателей. В октябре полеты на Ju86R-2 были запрещены, и вместо доукомплектования эскадрилью 14/KG6 расформировали. Итак, высотные Ju86, даже те, что имели бомбодержатели, использовались только для разведки (22850).</w:t>
      </w:r>
    </w:p>
    <w:p w14:paraId="6FD30923"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0E1278E8"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года по инициативе испытательного центра ВВС Великобритании в Боскомб-Даун моторостроительная фирма «Роллс-Ройс» на четырех «мустангах» поставила высотные моторы «Мерлин» 60. С ними начавшие летные испытания 12 октября 1942 года экспериментальные самолеты «Мустанг» Mk.Х показали превосходные качества. Дирекция фирмы «Роллс-Ройс» предложила выпустить сверх плана 500 улучшенных «Мерлин» 65 и установить их на строевые «Мустанг» I и IA, но американская сторона не утвердила доработку (22889).</w:t>
      </w:r>
    </w:p>
    <w:p w14:paraId="75B5130D"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3FAEAC86" w14:textId="77777777" w:rsidR="006D074D" w:rsidRPr="008A2E5A" w:rsidRDefault="006D074D" w:rsidP="006D0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весны 1942 г. немецкие самолеты, подводные лодки и надводные корабли начали упорную охоту за судами союзных конвоев. Самыми большими были и поте</w:t>
      </w:r>
      <w:r w:rsidRPr="008A2E5A">
        <w:rPr>
          <w:rFonts w:ascii="Times New Roman" w:hAnsi="Times New Roman"/>
          <w:color w:val="0070C0"/>
          <w:sz w:val="16"/>
          <w:szCs w:val="16"/>
        </w:rPr>
        <w:softHyphen/>
        <w:t>ри на северном маршруте. По мере совершенствования системы охранения и воздушного прикрытия кон</w:t>
      </w:r>
      <w:r w:rsidRPr="008A2E5A">
        <w:rPr>
          <w:rFonts w:ascii="Times New Roman" w:hAnsi="Times New Roman"/>
          <w:color w:val="0070C0"/>
          <w:sz w:val="16"/>
          <w:szCs w:val="16"/>
        </w:rPr>
        <w:softHyphen/>
        <w:t>воев и постепенного ослабления немецкой военной машины потери уменьшались. За 1944 г. и первую половину 1945 г. в Мур</w:t>
      </w:r>
      <w:r w:rsidRPr="008A2E5A">
        <w:rPr>
          <w:rFonts w:ascii="Times New Roman" w:hAnsi="Times New Roman"/>
          <w:color w:val="0070C0"/>
          <w:sz w:val="16"/>
          <w:szCs w:val="16"/>
        </w:rPr>
        <w:softHyphen/>
        <w:t>мански Архангельск доставили 1345 самолетов (23513).</w:t>
      </w:r>
    </w:p>
    <w:p w14:paraId="2B1D5A56" w14:textId="77777777" w:rsidR="006D074D" w:rsidRPr="008A2E5A" w:rsidRDefault="006D074D" w:rsidP="006D074D">
      <w:pPr>
        <w:spacing w:after="0" w:line="240" w:lineRule="auto"/>
        <w:jc w:val="both"/>
        <w:rPr>
          <w:rFonts w:ascii="Times New Roman" w:hAnsi="Times New Roman"/>
          <w:color w:val="0070C0"/>
          <w:sz w:val="16"/>
          <w:szCs w:val="16"/>
        </w:rPr>
      </w:pPr>
    </w:p>
    <w:p w14:paraId="201F5DED" w14:textId="77777777" w:rsidR="006D074D" w:rsidRPr="008A2E5A" w:rsidRDefault="006D074D" w:rsidP="006D0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г. фирма BMW наладила се</w:t>
      </w:r>
      <w:r w:rsidRPr="008A2E5A">
        <w:rPr>
          <w:rFonts w:ascii="Times New Roman" w:hAnsi="Times New Roman"/>
          <w:color w:val="0070C0"/>
          <w:sz w:val="16"/>
          <w:szCs w:val="16"/>
        </w:rPr>
        <w:softHyphen/>
        <w:t>рийное производство мотора BMW 801D-2 взлетной мощностью 1800л.с. На номиналь</w:t>
      </w:r>
      <w:r w:rsidRPr="008A2E5A">
        <w:rPr>
          <w:rFonts w:ascii="Times New Roman" w:hAnsi="Times New Roman"/>
          <w:color w:val="0070C0"/>
          <w:sz w:val="16"/>
          <w:szCs w:val="16"/>
        </w:rPr>
        <w:softHyphen/>
        <w:t>ном режиме у земли мотор развивал мощ</w:t>
      </w:r>
      <w:r w:rsidRPr="008A2E5A">
        <w:rPr>
          <w:rFonts w:ascii="Times New Roman" w:hAnsi="Times New Roman"/>
          <w:color w:val="0070C0"/>
          <w:sz w:val="16"/>
          <w:szCs w:val="16"/>
        </w:rPr>
        <w:softHyphen/>
        <w:t>ность 1570 л.с, а на высоте 5200 м — 1420 л.с. Мотор серии D-2 отличался от двигателей серии С-2 увеличенной степенью сжатия смеси в цилиндрах (с 6,5 до 7,22), иным пе</w:t>
      </w:r>
      <w:r w:rsidRPr="008A2E5A">
        <w:rPr>
          <w:rFonts w:ascii="Times New Roman" w:hAnsi="Times New Roman"/>
          <w:color w:val="0070C0"/>
          <w:sz w:val="16"/>
          <w:szCs w:val="16"/>
        </w:rPr>
        <w:softHyphen/>
        <w:t>редаточным отношением от коленвала к ва</w:t>
      </w:r>
      <w:r w:rsidRPr="008A2E5A">
        <w:rPr>
          <w:rFonts w:ascii="Times New Roman" w:hAnsi="Times New Roman"/>
          <w:color w:val="0070C0"/>
          <w:sz w:val="16"/>
          <w:szCs w:val="16"/>
        </w:rPr>
        <w:softHyphen/>
        <w:t>лу приводного центробежного нагнетателя, а также некоторыми другими усовершенст</w:t>
      </w:r>
      <w:r w:rsidRPr="008A2E5A">
        <w:rPr>
          <w:rFonts w:ascii="Times New Roman" w:hAnsi="Times New Roman"/>
          <w:color w:val="0070C0"/>
          <w:sz w:val="16"/>
          <w:szCs w:val="16"/>
        </w:rPr>
        <w:softHyphen/>
        <w:t>вованиями. Первое время оба варианта дви</w:t>
      </w:r>
      <w:r w:rsidRPr="008A2E5A">
        <w:rPr>
          <w:rFonts w:ascii="Times New Roman" w:hAnsi="Times New Roman"/>
          <w:color w:val="0070C0"/>
          <w:sz w:val="16"/>
          <w:szCs w:val="16"/>
        </w:rPr>
        <w:softHyphen/>
        <w:t>гателя выпускались параллельно (опять на</w:t>
      </w:r>
      <w:r w:rsidRPr="008A2E5A">
        <w:rPr>
          <w:rFonts w:ascii="Times New Roman" w:hAnsi="Times New Roman"/>
          <w:color w:val="0070C0"/>
          <w:sz w:val="16"/>
          <w:szCs w:val="16"/>
        </w:rPr>
        <w:softHyphen/>
        <w:t>прашиваются аналогии с советскими двига</w:t>
      </w:r>
      <w:r w:rsidRPr="008A2E5A">
        <w:rPr>
          <w:rFonts w:ascii="Times New Roman" w:hAnsi="Times New Roman"/>
          <w:color w:val="0070C0"/>
          <w:sz w:val="16"/>
          <w:szCs w:val="16"/>
        </w:rPr>
        <w:softHyphen/>
        <w:t>телями М-82Ф и М-82ФН, которые также определенное время строились одновремен</w:t>
      </w:r>
      <w:r w:rsidRPr="008A2E5A">
        <w:rPr>
          <w:rFonts w:ascii="Times New Roman" w:hAnsi="Times New Roman"/>
          <w:color w:val="0070C0"/>
          <w:sz w:val="16"/>
          <w:szCs w:val="16"/>
        </w:rPr>
        <w:softHyphen/>
        <w:t>но; ими оснащали Ла-5Ф и Ла-5ФН, соот</w:t>
      </w:r>
      <w:r w:rsidRPr="008A2E5A">
        <w:rPr>
          <w:rFonts w:ascii="Times New Roman" w:hAnsi="Times New Roman"/>
          <w:color w:val="0070C0"/>
          <w:sz w:val="16"/>
          <w:szCs w:val="16"/>
        </w:rPr>
        <w:softHyphen/>
        <w:t>ветственно). Это привело к существенным затруднениям в «распознавании» модифика</w:t>
      </w:r>
      <w:r w:rsidRPr="008A2E5A">
        <w:rPr>
          <w:rFonts w:ascii="Times New Roman" w:hAnsi="Times New Roman"/>
          <w:color w:val="0070C0"/>
          <w:sz w:val="16"/>
          <w:szCs w:val="16"/>
        </w:rPr>
        <w:softHyphen/>
        <w:t>ций истребителя «Фокке-Вульф».</w:t>
      </w:r>
    </w:p>
    <w:p w14:paraId="6E6307EA" w14:textId="77777777" w:rsidR="006D074D" w:rsidRPr="008A2E5A" w:rsidRDefault="006D074D" w:rsidP="006D0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Дело в том, что двигателями BMW 801D-2 стали оснащать истребители модификации А-3. Поскольку таких моторов какое-то вре</w:t>
      </w:r>
      <w:r w:rsidRPr="008A2E5A">
        <w:rPr>
          <w:rFonts w:ascii="Times New Roman" w:hAnsi="Times New Roman"/>
          <w:color w:val="0070C0"/>
          <w:sz w:val="16"/>
          <w:szCs w:val="16"/>
        </w:rPr>
        <w:softHyphen/>
        <w:t>мя не хватало, на одном конвейере одновре</w:t>
      </w:r>
      <w:r w:rsidRPr="008A2E5A">
        <w:rPr>
          <w:rFonts w:ascii="Times New Roman" w:hAnsi="Times New Roman"/>
          <w:color w:val="0070C0"/>
          <w:sz w:val="16"/>
          <w:szCs w:val="16"/>
        </w:rPr>
        <w:softHyphen/>
        <w:t>менно продолжали производить и самолеты серии А-2 с двигателями BMW 801 С-2….</w:t>
      </w:r>
    </w:p>
    <w:p w14:paraId="68338C66" w14:textId="77777777" w:rsidR="006D074D" w:rsidRPr="008A2E5A" w:rsidRDefault="006D074D" w:rsidP="006D0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некоторым данным, серия А-3 насчитывала 580 машин, в этом случае общее число изго</w:t>
      </w:r>
      <w:r w:rsidRPr="008A2E5A">
        <w:rPr>
          <w:rFonts w:ascii="Times New Roman" w:hAnsi="Times New Roman"/>
          <w:color w:val="0070C0"/>
          <w:sz w:val="16"/>
          <w:szCs w:val="16"/>
        </w:rPr>
        <w:softHyphen/>
        <w:t>товленных «сто девяностых» типа А-2 не превышает 329 единиц (в литературе встре</w:t>
      </w:r>
      <w:r w:rsidRPr="008A2E5A">
        <w:rPr>
          <w:rFonts w:ascii="Times New Roman" w:hAnsi="Times New Roman"/>
          <w:color w:val="0070C0"/>
          <w:sz w:val="16"/>
          <w:szCs w:val="16"/>
        </w:rPr>
        <w:softHyphen/>
        <w:t>чается информация об иных объемах выпус</w:t>
      </w:r>
      <w:r w:rsidRPr="008A2E5A">
        <w:rPr>
          <w:rFonts w:ascii="Times New Roman" w:hAnsi="Times New Roman"/>
          <w:color w:val="0070C0"/>
          <w:sz w:val="16"/>
          <w:szCs w:val="16"/>
        </w:rPr>
        <w:softHyphen/>
        <w:t>ка самолетов серий А-2 и А-3: 426 и 425 (24190).</w:t>
      </w:r>
    </w:p>
    <w:p w14:paraId="1C9E1094" w14:textId="77777777" w:rsidR="006D074D" w:rsidRPr="008A2E5A" w:rsidRDefault="006D074D" w:rsidP="006D074D">
      <w:pPr>
        <w:spacing w:after="0" w:line="240" w:lineRule="auto"/>
        <w:jc w:val="both"/>
        <w:rPr>
          <w:rFonts w:ascii="Times New Roman" w:hAnsi="Times New Roman"/>
          <w:color w:val="0070C0"/>
          <w:sz w:val="16"/>
          <w:szCs w:val="16"/>
        </w:rPr>
      </w:pPr>
    </w:p>
    <w:p w14:paraId="76EECA57" w14:textId="77777777" w:rsidR="006D074D" w:rsidRPr="008A2E5A" w:rsidRDefault="006D074D" w:rsidP="006D0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весны 1942 г. суда типа САМ сопровожда</w:t>
      </w:r>
      <w:r w:rsidRPr="008A2E5A">
        <w:rPr>
          <w:rFonts w:ascii="Times New Roman" w:hAnsi="Times New Roman"/>
          <w:color w:val="0070C0"/>
          <w:sz w:val="16"/>
          <w:szCs w:val="16"/>
        </w:rPr>
        <w:softHyphen/>
        <w:t>ли конвои в наши северные порты, Мурманск и Архангельск. На аэродроме Кегостров даже организовали небольшую базу, где хранили запасные самолеты и осуществляли ремонт. Первым был конвой PQ 15, шедший в апре</w:t>
      </w:r>
      <w:r w:rsidRPr="008A2E5A">
        <w:rPr>
          <w:rFonts w:ascii="Times New Roman" w:hAnsi="Times New Roman"/>
          <w:color w:val="0070C0"/>
          <w:sz w:val="16"/>
          <w:szCs w:val="16"/>
        </w:rPr>
        <w:softHyphen/>
        <w:t>ле, в состав которого входило судно «Эмпайр Морн». Но использовать истребитель в этом рейсе ему не пришлось (24506).</w:t>
      </w:r>
    </w:p>
    <w:p w14:paraId="41D55DDF" w14:textId="77777777" w:rsidR="006D074D" w:rsidRPr="008A2E5A" w:rsidRDefault="006D074D" w:rsidP="006D074D">
      <w:pPr>
        <w:spacing w:after="0" w:line="240" w:lineRule="auto"/>
        <w:jc w:val="both"/>
        <w:rPr>
          <w:rFonts w:ascii="Times New Roman" w:hAnsi="Times New Roman"/>
          <w:color w:val="0070C0"/>
          <w:sz w:val="16"/>
          <w:szCs w:val="16"/>
        </w:rPr>
      </w:pPr>
    </w:p>
    <w:p w14:paraId="317F0E00" w14:textId="77777777" w:rsidR="006D074D" w:rsidRPr="008A2E5A" w:rsidRDefault="006D074D" w:rsidP="006D0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С весны 1942 г. «Си Харрикейны» разме</w:t>
      </w:r>
      <w:r w:rsidRPr="008A2E5A">
        <w:rPr>
          <w:rFonts w:ascii="Times New Roman" w:hAnsi="Times New Roman"/>
          <w:color w:val="0070C0"/>
          <w:sz w:val="16"/>
          <w:szCs w:val="16"/>
        </w:rPr>
        <w:softHyphen/>
        <w:t>щались и на кораблях типа МАС, являвшихся торговыми судами, поверх надстроек кото</w:t>
      </w:r>
      <w:r w:rsidRPr="008A2E5A">
        <w:rPr>
          <w:rFonts w:ascii="Times New Roman" w:hAnsi="Times New Roman"/>
          <w:color w:val="0070C0"/>
          <w:sz w:val="16"/>
          <w:szCs w:val="16"/>
        </w:rPr>
        <w:softHyphen/>
        <w:t>рых настелили летную палубу. Ни ангаров, ни лифтов, ни катапульт на них не имелось. Такой эрзац-авианосец обычно брал полдю</w:t>
      </w:r>
      <w:r w:rsidRPr="008A2E5A">
        <w:rPr>
          <w:rFonts w:ascii="Times New Roman" w:hAnsi="Times New Roman"/>
          <w:color w:val="0070C0"/>
          <w:sz w:val="16"/>
          <w:szCs w:val="16"/>
        </w:rPr>
        <w:softHyphen/>
        <w:t>жины «Си Харрикейнов» и столько же боль</w:t>
      </w:r>
      <w:r w:rsidRPr="008A2E5A">
        <w:rPr>
          <w:rFonts w:ascii="Times New Roman" w:hAnsi="Times New Roman"/>
          <w:color w:val="0070C0"/>
          <w:sz w:val="16"/>
          <w:szCs w:val="16"/>
        </w:rPr>
        <w:softHyphen/>
        <w:t>ших бипланов «Суордфиш», оснащенных для поиска подводных лодок. Все они стояли в задней части полетной палубы, взлетали на полном газу моторов, когда корабль на всех парах шел против ветра. Применять ранние «Си Харрикейны» таким образом было выгод</w:t>
      </w:r>
      <w:r w:rsidRPr="008A2E5A">
        <w:rPr>
          <w:rFonts w:ascii="Times New Roman" w:hAnsi="Times New Roman"/>
          <w:color w:val="0070C0"/>
          <w:sz w:val="16"/>
          <w:szCs w:val="16"/>
        </w:rPr>
        <w:softHyphen/>
        <w:t>но, поскольку крылья у них не складывались и в лифт они все равно бы не вошли. Но на кораблях типа МАС самолеты быстро выходи</w:t>
      </w:r>
      <w:r w:rsidRPr="008A2E5A">
        <w:rPr>
          <w:rFonts w:ascii="Times New Roman" w:hAnsi="Times New Roman"/>
          <w:color w:val="0070C0"/>
          <w:sz w:val="16"/>
          <w:szCs w:val="16"/>
        </w:rPr>
        <w:softHyphen/>
        <w:t>ли из строя. Простояв весь поход на палубе под дождем, снегом и солеными брызгами, они требовали существенного ремонта уже после 30 часов налета (24506).</w:t>
      </w:r>
    </w:p>
    <w:p w14:paraId="7248F59B" w14:textId="77777777" w:rsidR="006D074D" w:rsidRPr="008A2E5A" w:rsidRDefault="006D074D" w:rsidP="006D074D">
      <w:pPr>
        <w:spacing w:after="0" w:line="240" w:lineRule="auto"/>
        <w:jc w:val="both"/>
        <w:rPr>
          <w:rFonts w:ascii="Times New Roman" w:hAnsi="Times New Roman"/>
          <w:color w:val="0070C0"/>
          <w:sz w:val="16"/>
          <w:szCs w:val="16"/>
        </w:rPr>
      </w:pPr>
    </w:p>
    <w:p w14:paraId="3EA8D175" w14:textId="77777777" w:rsidR="007C5583" w:rsidRPr="008127F8" w:rsidRDefault="007C5583" w:rsidP="007C5583">
      <w:pPr>
        <w:pStyle w:val="book"/>
        <w:ind w:firstLine="0"/>
        <w:jc w:val="both"/>
        <w:rPr>
          <w:color w:val="000000" w:themeColor="text1"/>
          <w:sz w:val="16"/>
          <w:szCs w:val="16"/>
        </w:rPr>
      </w:pPr>
      <w:r w:rsidRPr="008127F8">
        <w:rPr>
          <w:color w:val="000000" w:themeColor="text1"/>
          <w:sz w:val="16"/>
          <w:szCs w:val="16"/>
        </w:rPr>
        <w:t>Весной 1942 г. на полигоне «Юг» в Фодже на бомбардировщике Не 111 » были проведены войсковые испытания бомбы «Фриц-Х. в 1938 г. в Германском авиационном экспериментальном институте под руководством доктора Макса Крамера было начато проектирование планирующей бомбы (торпеды) «Фриц-Х». Вследствие того, что на бомбах системы Крамера крылья устанавливались не крестообразно, а Х-образно, они получили название Х-1, Х-2 и т.д. Эти разработки привели к созданию телеуправляемой планирующей бомбы SD-1400X («Фриц-Х»), которую с 1941 г. стала выпускать фирма «Рейнметалл-Борзиг». Хвостовая часть бомбы из легкого металла со смонтированной в ней радиоприемной частью системы управления изготовлялась «Обществом электрических установок» (GEA). В качестве серийной радиосистемы управления использовался комплекс «Кель—Страсбург» с радиостанцией FuG-203/230. Серийная бомба SD-1400X имела длину 3,2 м, максимальный диаметр корпуса 700 мм, размах крыла около 1,6 м. Вес бомбы 1400 кг, из них 270 кг взрывчатого вещества. Бомба сбрасывалась с самолета-носителя на высоте от 4-х до 7 км. Максимальная скорость падения бомбы — около 280 м/с. Точность попадания по германским данным — 50% бомб в квадрат 5 x 5 м. По мнению автора, эта величина сильно завышена. Основным назначением бомбы «Фриц-Х» являлось поражение крупных кораблей, включая линкоры. Наведение бомбы производилось методом оптического накрытия (совмещения), то есть после сброса бомбы ее траектория свободного падения лишь корректировалась, чтобы в прицеле постоянно происходило совмещение бомбы и цели. Для удобства наведения скорость самолета приходилось постепенно снижать, пока бомба не поразит цель. В качестве управляющих органов бомбы использовались интерцепторы, установленные в хвостовом оперении и приводившиеся в действие сдвоенными электромагнитами. Управление осуществлялось по радио или по проводам. Бортовые катушки с проводом длиной 8 км крепились по обеим сторонам бомбы на концевых шайбах хвостового оперения (15225).</w:t>
      </w:r>
    </w:p>
    <w:p w14:paraId="6D785988" w14:textId="77777777" w:rsidR="007C5583" w:rsidRPr="008127F8" w:rsidRDefault="007C5583" w:rsidP="007C5583">
      <w:pPr>
        <w:pStyle w:val="book"/>
        <w:ind w:firstLine="0"/>
        <w:jc w:val="both"/>
        <w:rPr>
          <w:color w:val="000000" w:themeColor="text1"/>
          <w:sz w:val="16"/>
          <w:szCs w:val="16"/>
        </w:rPr>
      </w:pPr>
    </w:p>
    <w:p w14:paraId="3D0FA30E"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Весной 1942 года на финском государ</w:t>
      </w:r>
      <w:r w:rsidRPr="008127F8">
        <w:rPr>
          <w:rFonts w:ascii="Times New Roman" w:cs="Times New Roman"/>
          <w:color w:val="000000" w:themeColor="text1"/>
          <w:spacing w:val="0"/>
        </w:rPr>
        <w:softHyphen/>
        <w:t>ственном арсенале приступили к проек</w:t>
      </w:r>
      <w:r w:rsidRPr="008127F8">
        <w:rPr>
          <w:rFonts w:ascii="Times New Roman" w:cs="Times New Roman"/>
          <w:color w:val="000000" w:themeColor="text1"/>
          <w:spacing w:val="0"/>
        </w:rPr>
        <w:softHyphen/>
        <w:t>тированию штурмового орудия поддерж</w:t>
      </w:r>
      <w:r w:rsidRPr="008127F8">
        <w:rPr>
          <w:rFonts w:ascii="Times New Roman" w:cs="Times New Roman"/>
          <w:color w:val="000000" w:themeColor="text1"/>
          <w:spacing w:val="0"/>
        </w:rPr>
        <w:softHyphen/>
        <w:t>ки. В качестве базы было решено ис</w:t>
      </w:r>
      <w:r w:rsidRPr="008127F8">
        <w:rPr>
          <w:rFonts w:ascii="Times New Roman" w:cs="Times New Roman"/>
          <w:color w:val="000000" w:themeColor="text1"/>
          <w:spacing w:val="0"/>
        </w:rPr>
        <w:softHyphen/>
        <w:t>пользовать несколько десятков трофейных советских танков БТ-7, боль</w:t>
      </w:r>
      <w:r w:rsidRPr="008127F8">
        <w:rPr>
          <w:rFonts w:ascii="Times New Roman" w:cs="Times New Roman"/>
          <w:color w:val="000000" w:themeColor="text1"/>
          <w:spacing w:val="0"/>
        </w:rPr>
        <w:softHyphen/>
        <w:t>шинство из которых находилось в неис</w:t>
      </w:r>
      <w:r w:rsidRPr="008127F8">
        <w:rPr>
          <w:rFonts w:ascii="Times New Roman" w:cs="Times New Roman"/>
          <w:color w:val="000000" w:themeColor="text1"/>
          <w:spacing w:val="0"/>
        </w:rPr>
        <w:softHyphen/>
        <w:t>правном состоянии. Корпуса, двигатели, трансмиссии и ходовые части тщательно отремонтировали. Для установки воору</w:t>
      </w:r>
      <w:r w:rsidRPr="008127F8">
        <w:rPr>
          <w:rFonts w:ascii="Times New Roman" w:cs="Times New Roman"/>
          <w:color w:val="000000" w:themeColor="text1"/>
          <w:spacing w:val="0"/>
        </w:rPr>
        <w:softHyphen/>
        <w:t>жения — 4.5-дюймовой (114-мм) англий</w:t>
      </w:r>
      <w:r w:rsidRPr="008127F8">
        <w:rPr>
          <w:rFonts w:ascii="Times New Roman" w:cs="Times New Roman"/>
          <w:color w:val="000000" w:themeColor="text1"/>
          <w:spacing w:val="0"/>
        </w:rPr>
        <w:softHyphen/>
        <w:t xml:space="preserve">ской гаубицы </w:t>
      </w:r>
      <w:r w:rsidRPr="008127F8">
        <w:rPr>
          <w:rFonts w:ascii="Times New Roman" w:cs="Times New Roman"/>
          <w:color w:val="000000" w:themeColor="text1"/>
          <w:spacing w:val="0"/>
          <w:lang w:val="en-US"/>
        </w:rPr>
        <w:t>Mk</w:t>
      </w:r>
      <w:r w:rsidRPr="008127F8">
        <w:rPr>
          <w:rFonts w:ascii="Times New Roman" w:cs="Times New Roman"/>
          <w:color w:val="000000" w:themeColor="text1"/>
          <w:spacing w:val="0"/>
        </w:rPr>
        <w:t xml:space="preserve"> II — была разработана новая, увеличенная по сравнению со штатной, башня. Для сокращения длины отката гаубицу пришлось оснастить дуль</w:t>
      </w:r>
      <w:r w:rsidRPr="008127F8">
        <w:rPr>
          <w:rFonts w:ascii="Times New Roman" w:cs="Times New Roman"/>
          <w:color w:val="000000" w:themeColor="text1"/>
          <w:spacing w:val="0"/>
        </w:rPr>
        <w:softHyphen/>
        <w:t>ным тормозом. Тем не менее огонь мож</w:t>
      </w:r>
      <w:r w:rsidRPr="008127F8">
        <w:rPr>
          <w:rFonts w:ascii="Times New Roman" w:cs="Times New Roman"/>
          <w:color w:val="000000" w:themeColor="text1"/>
          <w:spacing w:val="0"/>
        </w:rPr>
        <w:softHyphen/>
        <w:t>но было вести только с места.</w:t>
      </w:r>
    </w:p>
    <w:p w14:paraId="1BEF1240"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Начиная с февраля 1943 года на воору</w:t>
      </w:r>
      <w:r w:rsidRPr="008127F8">
        <w:rPr>
          <w:rFonts w:ascii="Times New Roman" w:cs="Times New Roman"/>
          <w:color w:val="000000" w:themeColor="text1"/>
          <w:spacing w:val="0"/>
        </w:rPr>
        <w:softHyphen/>
        <w:t>жение штурмового танкового батальона, входившего в состав единственной тан</w:t>
      </w:r>
      <w:r w:rsidRPr="008127F8">
        <w:rPr>
          <w:rFonts w:ascii="Times New Roman" w:cs="Times New Roman"/>
          <w:color w:val="000000" w:themeColor="text1"/>
          <w:spacing w:val="0"/>
        </w:rPr>
        <w:softHyphen/>
        <w:t>ковой бригады финской армии, поступи</w:t>
      </w:r>
      <w:r w:rsidRPr="008127F8">
        <w:rPr>
          <w:rFonts w:ascii="Times New Roman" w:cs="Times New Roman"/>
          <w:color w:val="000000" w:themeColor="text1"/>
          <w:spacing w:val="0"/>
        </w:rPr>
        <w:softHyphen/>
        <w:t>ло 18 штурмовых орудий поддержки ВТ-42. Однако, период их эксплуатации был недолгим, главным образом по при</w:t>
      </w:r>
      <w:r w:rsidRPr="008127F8">
        <w:rPr>
          <w:rFonts w:ascii="Times New Roman" w:cs="Times New Roman"/>
          <w:color w:val="000000" w:themeColor="text1"/>
          <w:spacing w:val="0"/>
        </w:rPr>
        <w:softHyphen/>
        <w:t>чине ненадежности ходовой части и дви</w:t>
      </w:r>
      <w:r w:rsidRPr="008127F8">
        <w:rPr>
          <w:rFonts w:ascii="Times New Roman" w:cs="Times New Roman"/>
          <w:color w:val="000000" w:themeColor="text1"/>
          <w:spacing w:val="0"/>
        </w:rPr>
        <w:softHyphen/>
        <w:t xml:space="preserve">гателя. Уже осенью 1943 года их начали заменять полученными из Германии штурмовыми орудиями </w:t>
      </w:r>
      <w:r w:rsidRPr="008127F8">
        <w:rPr>
          <w:rFonts w:ascii="Times New Roman" w:cs="Times New Roman"/>
          <w:color w:val="000000" w:themeColor="text1"/>
          <w:spacing w:val="0"/>
          <w:lang w:val="en-US"/>
        </w:rPr>
        <w:t>StuG</w:t>
      </w:r>
      <w:r w:rsidRPr="008127F8">
        <w:rPr>
          <w:rFonts w:ascii="Times New Roman" w:cs="Times New Roman"/>
          <w:color w:val="000000" w:themeColor="text1"/>
          <w:spacing w:val="0"/>
        </w:rPr>
        <w:t xml:space="preserve"> 40. В дека</w:t>
      </w:r>
      <w:r w:rsidRPr="008127F8">
        <w:rPr>
          <w:rFonts w:ascii="Times New Roman" w:cs="Times New Roman"/>
          <w:color w:val="000000" w:themeColor="text1"/>
          <w:spacing w:val="0"/>
        </w:rPr>
        <w:softHyphen/>
        <w:t>бре 1943 года ВТ-42 свели в отдельную танковую роту, в составе которой они приняли участие в боях 1944 года. В 1950 году в финской армии еще имелось 10 ВТ-42, которые использовались в учеб</w:t>
      </w:r>
      <w:r w:rsidRPr="008127F8">
        <w:rPr>
          <w:rFonts w:ascii="Times New Roman" w:cs="Times New Roman"/>
          <w:color w:val="000000" w:themeColor="text1"/>
          <w:spacing w:val="0"/>
        </w:rPr>
        <w:softHyphen/>
        <w:t>ных целях. Единственная сохранившаяся до наших дней машина этого типа нахо</w:t>
      </w:r>
      <w:r w:rsidRPr="008127F8">
        <w:rPr>
          <w:rFonts w:ascii="Times New Roman" w:cs="Times New Roman"/>
          <w:color w:val="000000" w:themeColor="text1"/>
          <w:spacing w:val="0"/>
        </w:rPr>
        <w:softHyphen/>
        <w:t>дится в танковом музее в Пароле (15232).</w:t>
      </w:r>
    </w:p>
    <w:p w14:paraId="3D9BE3A3"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p>
    <w:p w14:paraId="2078BB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года Гитлер распорядился начать массированные бомбардировки Англии с целью устрашения ее населения. Непосредственным поводом для начала воздушного террора послужила бомбардировка 28 марта 1942 года немецкого порта Любека. Этот налет английской авиации, в котором участвовало 234 самолета, вызвал бурную реакцию в Германии. Гитлер был взбешен. 14 апреля верховное главнокомандование вермахта отдало германским ВВС приказ, в котором говорилось: «Фюрер приказал в воздушной войне против Англии перейти к более агрессивным действиям. В соответствии с этим при выборе целей предпочтение отдавать таким объектам, налеты на которые в наибольшей степени скажутся на жизни гражданского населения. Кроме ударов по портам и промышленным объектам должны производиться террористические налеты возмездия по английским городам».</w:t>
      </w:r>
    </w:p>
    <w:p w14:paraId="52BE35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Конечно, термин «удары возмездия» был не более чем пропагандистским трюком, призванным внушить немецкому народу, что фюрер отомстит за бомбардировки немецких городов, поднять моральный дух немцев, подавленный поражением под Москвой, и повысить престиж нацистского руководства в глазах народа. Основной целью этих ударов было продолжение старой политики Гитлера по отношению к Англии – военным давлением заставить ее выйти из войны.</w:t>
      </w:r>
    </w:p>
    <w:p w14:paraId="660A0B9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Вспоминая свою беседу с Гитлером об «ударах возмездия» 27 апреля 1942 года, Геббельс писал: «Фюрер заявил, что он будет продолжать эти налеты ночь за ночью, пока не измотает англичан этими террористическими ударами. Он абсолютно разделяет мое мнение, что теперь ударам следует подвергнуть культурные центры, курорты, гражданское население городов. Это даст большой психологический эффект, а в настоящее время это наиболее важная вещь. &lt;…&gt; Это необходимо делать в возможно большем масштабе &lt;…&gt; Нет другого пути, чтобы привести англичан в чувство. Они относятся к такому типу людей, с которыми можно говорить только после того, как им дадут по зубам».</w:t>
      </w:r>
    </w:p>
    <w:p w14:paraId="2A6B3A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первые же «удары возмездия» немецкой авиации по английским городам показали их весьма малую эффективность. Точность бомбометания была крайне низкой, а потери в самолетах большими.</w:t>
      </w:r>
    </w:p>
    <w:p w14:paraId="6EC27F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Существовал еще один выход – увеличить массированность бомбардировок, но в отличие от 1940 и 1941 годов, когда в налетах участвовало по 300 – 700 самолетов, в 1942 году гитлеровские ВВС уже не могли этого сделать. Теперь для ударов по Англии привлекалось небольшое количество бомбардировщиков. Лишь однажды (25 апреля) наряд сил достиг 250 самолетов. Виноват был в этом восточный фронт, где перемалывалось огромное количество немецких самолетов, где гибли лучшие асы Геринга (11688).</w:t>
      </w:r>
    </w:p>
    <w:p w14:paraId="36A54D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8D725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года английская разведка получила информацию, будто бы Пенемюнде является важнейшим военным объектом. Информация требовала проверки, и командование английских ВВС стало посылать свои разведывательные самолеты в этот район Балтики, однако, чтобы не выдать немцам своих намерений, англичане фотографировали все побережье – от Киля до Ростока. Через некоторое время летчики сообщили, что немцы вполне примирились с частыми полетами над этим районом, а однажды один из разведчиков вернулся с фотоснимком, на котором было изображено. что-то похожее на небольшой самолет на наклонной пусковой установке. Это был первый вариант ракетного снаряда «Fi-103» (11688).</w:t>
      </w:r>
    </w:p>
    <w:p w14:paraId="13691F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DD964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на полигоне Фоджа в Южной Италии экипажи нескольких Не-111 сбрасывали радиоуправляемую бомбу Fritz X, планирующую бомбу BV 246 hagelkorn и крылатую торпеду L10 Friedensengel. Испытания шли несколько месяцев, но оружие было недоведенным (4270,24).</w:t>
      </w:r>
    </w:p>
    <w:p w14:paraId="49DA09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9B8A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1942 г. на</w:t>
      </w:r>
      <w:r w:rsidRPr="008127F8">
        <w:rPr>
          <w:rFonts w:ascii="Times New Roman" w:hAnsi="Times New Roman"/>
          <w:color w:val="000000" w:themeColor="text1"/>
          <w:sz w:val="16"/>
          <w:szCs w:val="16"/>
        </w:rPr>
        <w:softHyphen/>
        <w:t>ходившийся в Лондоне Французский Национальный комитет обратился к Советскому Союзу с предложением послать на советско-германский фронт 30 летчиков и 30 человек обслу</w:t>
      </w:r>
      <w:r w:rsidRPr="008127F8">
        <w:rPr>
          <w:rFonts w:ascii="Times New Roman" w:hAnsi="Times New Roman"/>
          <w:color w:val="000000" w:themeColor="text1"/>
          <w:sz w:val="16"/>
          <w:szCs w:val="16"/>
        </w:rPr>
        <w:softHyphen/>
        <w:t>живающего персонала. Вскоре после оккупации всей территории Франции группа французских авиаторов пред</w:t>
      </w:r>
      <w:r w:rsidRPr="008127F8">
        <w:rPr>
          <w:rFonts w:ascii="Times New Roman" w:hAnsi="Times New Roman"/>
          <w:color w:val="000000" w:themeColor="text1"/>
          <w:sz w:val="16"/>
          <w:szCs w:val="16"/>
        </w:rPr>
        <w:softHyphen/>
        <w:t>приняла многотысячекилометровое путешествие, чтобы сражаться бок о бок с русским союзником. Генерал Де Голль заявил тогда: “Сражающаяся Франция желает быть представлен</w:t>
      </w:r>
      <w:r w:rsidRPr="008127F8">
        <w:rPr>
          <w:rFonts w:ascii="Times New Roman" w:hAnsi="Times New Roman"/>
          <w:color w:val="000000" w:themeColor="text1"/>
          <w:sz w:val="16"/>
          <w:szCs w:val="16"/>
        </w:rPr>
        <w:softHyphen/>
        <w:t>ной всюду, где ведется борьба с об</w:t>
      </w:r>
      <w:r w:rsidRPr="008127F8">
        <w:rPr>
          <w:rFonts w:ascii="Times New Roman" w:hAnsi="Times New Roman"/>
          <w:color w:val="000000" w:themeColor="text1"/>
          <w:sz w:val="16"/>
          <w:szCs w:val="16"/>
        </w:rPr>
        <w:softHyphen/>
        <w:t>щим врагом” (3956).</w:t>
      </w:r>
    </w:p>
    <w:p w14:paraId="060FC8F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9E95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2CD6AE8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F1E1D5"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Весной-летом 1942 года на завод № 264 помимо "Красного Октября" стали отправлять продукцию ГАЗ, завод №176 (Муром), завод №177 (Выкса), завод №178 (Кулебаки), а также завод №180 (Саратов). То есть танк Т-60 из пригорода Сталинграда стал, мягко говоря, разнообразным. При этом и там машина могла быть без утолщения, экранированной, и с утолщением брони. Там и без скосов лба башни хватало разнообразия (23032).</w:t>
      </w:r>
    </w:p>
    <w:p w14:paraId="54718716"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22AE8C9C" w14:textId="77777777" w:rsidR="002C0D97" w:rsidRPr="008A2E5A" w:rsidRDefault="002C0D97" w:rsidP="002C0D9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Весной-летом 1942 года самым заметным отличием свердловских танков Т-60 стала башня. Аналогично другим проектам модернизации, первым делом убирался воздуховод в лобовой части башни, с его переносом на створку башенного люка. Если КБ ГАЗ им. Молотова проработало сложный штампованный воздуховод, а на заводе №264 предпочли "грибок" по типу Т-34, отдел "22" создал простую сварную конструкцию. Сам люк стал плоским, без штампованных деталей. От клепаных соединений отказались, снаружи торчали болты с пулестойкими головками. Такая башня оказалась более простой с точки зрения производства.</w:t>
      </w:r>
    </w:p>
    <w:p w14:paraId="1D550BE0" w14:textId="77777777" w:rsidR="002C0D97" w:rsidRPr="008A2E5A" w:rsidRDefault="002C0D97" w:rsidP="002C0D9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Схожие изменения происходили и с шасси танка. Заклепки убирали по-максимуму, переходя к сварным соединениям. Основание главной передачи стали приваривать, половинки бортов также стали сварными, похожие изменения можно видеть у корпусов Т-60 выпуска завода "Красный Октябрь", которые поставлялись на завод №264. Но в Свердловске пошли дальше: люк механика-водителя тоже стал плоским, чтобы внутрь не попадала вода, появилась отбортовка. Для упрощения комплектации стали использовать стоп-сигнал от "полуторки", перенеся его на заглушку антенного порта (радиостанции всё равно не ставили, их банально не было). Упростили и ведущие колеса, отказавшись от съемных венцов. Надо сказать, что новые башни появились раньше корпусов, поэтому нередко проскакивают танки со старыми корпусами (экранированными) и новыми башнями (23355).</w:t>
      </w:r>
    </w:p>
    <w:p w14:paraId="62B543A0" w14:textId="77777777" w:rsidR="002C0D97" w:rsidRPr="008A2E5A" w:rsidRDefault="002C0D97" w:rsidP="002C0D97">
      <w:pPr>
        <w:spacing w:after="0" w:line="240" w:lineRule="auto"/>
        <w:jc w:val="both"/>
        <w:rPr>
          <w:rFonts w:ascii="Times New Roman" w:hAnsi="Times New Roman"/>
          <w:color w:val="0070C0"/>
          <w:sz w:val="16"/>
          <w:szCs w:val="16"/>
        </w:rPr>
      </w:pPr>
    </w:p>
    <w:p w14:paraId="5EF03441" w14:textId="77777777" w:rsidR="002C0D97" w:rsidRPr="008A2E5A" w:rsidRDefault="002C0D97" w:rsidP="002C0D9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течение весны - начала лета 1942 г. над созданием совершенно иной машины на базе легкого танка активно работали представители ЦНИИ-48. Фактически у разработчиков получилась первая советская самоходная установка. Представители института назвали свою машину: легкий «безбашенный танк усиленного бронирования» Т-48. Впервые идея была предложена директором ЦНИИ-48 А. С. Завьяловым секретарю Свердловского обкома ВКП(б) В. М. Андрианову 1 апреля 1942 г., в сопровождении диаграммы, сравнивающей тактические данные Т-48 и Т-70. А. С. Завьялов отмечал один из главных недостатков Т-70 - уязвимость его бортов и кормы не только от немецких 37-миллиметровых противотанковых пушек, но даже от 15-миллиметровых пулеметов. Лоб Т-48 предполагал бронирование в 45 мм, борт - 40 мм, корма - 30 мм. Отказ от башни был вынужденной мерой, но, с одной стороны, позволял усилить бронирование почти до уровня Т-34, а с другой - сохранить вес машины - 6,5 тонн (например, вес Т-70 был уже более 9 тонн)[984].</w:t>
      </w:r>
    </w:p>
    <w:p w14:paraId="4011875E" w14:textId="77777777" w:rsidR="002C0D97" w:rsidRPr="008A2E5A" w:rsidRDefault="002C0D97" w:rsidP="002C0D9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Тактико-технические требования на Т-48 были подготовлены к 30 июня 1942 года. ЦНИИ-48 и Военный металлургический комитет Всесоюзного научного инженерно-технического общества на основании опыта использования самоходов противником считали, что основной тактической задачей Т-48 должна стать «подсобная работа» в помощь средним и тяжелым танкам при прорывах укреплений противника. Благодаря мощному бронированию и 45-миллиметровой пушке, «безбашенный танк» будет эффективно бороться с огневыми средствами и средними танками противника. Благодаря простоте конструкции и базе Т-60, новая машина могла быть быстро и легко запущена в серийное производство[985] (23536).</w:t>
      </w:r>
    </w:p>
    <w:p w14:paraId="7B82EE3F" w14:textId="77777777" w:rsidR="002C0D97" w:rsidRPr="008A2E5A" w:rsidRDefault="002C0D97" w:rsidP="002C0D97">
      <w:pPr>
        <w:spacing w:after="0" w:line="240" w:lineRule="auto"/>
        <w:jc w:val="both"/>
        <w:rPr>
          <w:rFonts w:ascii="Times New Roman" w:hAnsi="Times New Roman"/>
          <w:color w:val="0070C0"/>
          <w:sz w:val="16"/>
          <w:szCs w:val="16"/>
        </w:rPr>
      </w:pPr>
    </w:p>
    <w:p w14:paraId="68FAE391" w14:textId="77777777" w:rsidR="002C0D97" w:rsidRPr="008A2E5A" w:rsidRDefault="002C0D97" w:rsidP="002C0D9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Весной-летом 1942 года в СССР началась реализация программы создания легких самоходных артиллерийских установок. Если средние и тяжелые САУ долгое время оставались в стадии эскизных проектов, то с боевыми машинами легкого класса ситуация развивалась иначе. Под общим руководством С.А. Гинзбурга коллективом КБ завода №37 в Свердловске было разработано и построено две САУ. Зенитная СУ-31 и штурмовая СУ-32 отличались не только назначением, но и шасси. В первом случае использовались агрегаты Т-60, во втором - Т-70. В связи с тем, что в конце июля 1942 года было решено переориентировать завод №37 на выпуск танков Т-34, работы по легким САУ там прекратились. Далее разработка началась в Кирове, на заводе №38. Инициировали ее постановлением ГКО №2429сс "О производстве опытных образцов артиллерийских самоходных установок", подписанным 80 лет назад. Так на свет появилась СУ-12, принятая на вооружение Красной Армии еще до завершения испытаний (23367).</w:t>
      </w:r>
    </w:p>
    <w:p w14:paraId="7BF9151A" w14:textId="77777777" w:rsidR="002C0D97" w:rsidRPr="008A2E5A" w:rsidRDefault="002C0D97" w:rsidP="002C0D97">
      <w:pPr>
        <w:spacing w:after="0" w:line="240" w:lineRule="auto"/>
        <w:jc w:val="both"/>
        <w:rPr>
          <w:rFonts w:ascii="Times New Roman" w:hAnsi="Times New Roman"/>
          <w:color w:val="0070C0"/>
          <w:sz w:val="16"/>
          <w:szCs w:val="16"/>
        </w:rPr>
      </w:pPr>
    </w:p>
    <w:p w14:paraId="1DAB8813" w14:textId="77777777" w:rsidR="002C0D97" w:rsidRPr="008A2E5A" w:rsidRDefault="002C0D97" w:rsidP="002C0D9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Весной-летом 1942 года на заводе №37 в Свердловске были разработаны самоходные артиллерийские установки СУ-31 и СУ-32. В ходе их испытаний выяснилось, что более удачным является шасси СУ-31 с параллельным размещением моторов ГАЗ-11 модель 202. На износ КПП правого мотора внимания особо не обратили (и зря!), зато тепловой режим моторов был явно лучше, чем у СУ-32. В конце июля 1942 года было принято решение об организации на заводе №37 производства танков Т-34. По этой причине легкие штурмовые САУ остались без производственной базы. Наработки по СУ-31 и СУ-32 передали на завод №38 НКТП в Кирове. Вместе с тем, в НКТП осознавали имеющиеся риски, поэтому было решено подстраховаться. Аналогичное задание получил ГАЗ им. Молотова, где разработали легкие самоходные артиллерийские установки СУ-71 и СУ-72 (23369).</w:t>
      </w:r>
    </w:p>
    <w:p w14:paraId="588FFDAB" w14:textId="77777777" w:rsidR="002C0D97" w:rsidRPr="008A2E5A" w:rsidRDefault="002C0D97" w:rsidP="002C0D97">
      <w:pPr>
        <w:spacing w:after="0" w:line="240" w:lineRule="auto"/>
        <w:jc w:val="both"/>
        <w:rPr>
          <w:rFonts w:ascii="Times New Roman" w:hAnsi="Times New Roman"/>
          <w:color w:val="0070C0"/>
          <w:sz w:val="16"/>
          <w:szCs w:val="16"/>
        </w:rPr>
      </w:pPr>
    </w:p>
    <w:p w14:paraId="225847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2FC005B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4A8249" w14:textId="77777777" w:rsidR="002C0D97" w:rsidRPr="008127F8" w:rsidRDefault="002C0D97" w:rsidP="002C0D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Зимой и весной 1942 г. по-прежнему активно действовали авиаторы 146-го иап, входившего в состав то ВВС Юго-Западно- го, то Южного фронтов. Как следовало из документов части, 14 августа 1941 г. они сдали оставшиеся 14 МиГ-3 и приняли 22 новеньких машины того же типа, но более позднего выпуска. По мнению летчиков, пере- 34-го иап С.И. Платов ход к моторам с большей редукцией отрица тельно сказался на их тяге (двигатель хуже "тянул"), а введение предкрылков хотя и увеличило устойчивость на переходных режимах, но истребитель стал еще медленнее разворачиваться.</w:t>
      </w:r>
    </w:p>
    <w:p w14:paraId="317524CE" w14:textId="77777777" w:rsidR="002C0D97" w:rsidRPr="008127F8" w:rsidRDefault="002C0D97" w:rsidP="002C0D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Полк вернулся на фронт, когда противник завершал окружение наших войск восточнее Киева. Летчики едва успели перелететь 11 сентября из-под носа немцев на Центральный аэродром Харькова, а судьба большинства других бойцов и командиров сложилась трагически. Через четыре дня группа техсостава, руководимая военкомом 146-го иап батальонным комиссаром П.П. Черепковым, была настигнута наступающими танками противника. За 15 и 16 сентября в районе Слыча погибли или пропали без вести 98 военнослужащих.</w:t>
      </w:r>
    </w:p>
    <w:p w14:paraId="7611B718" w14:textId="77777777" w:rsidR="002C0D97" w:rsidRPr="008127F8" w:rsidRDefault="002C0D97" w:rsidP="002C0D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конца сентября 1941 г. полк входил в 19-ю сад, а с 10 декабря - в 76-ю сад. Базируясь западнее Ворошиловограда на аэродроме "Шахта № 6", 146-й иап прикрывал войска 37-й армии в ходе проведения Бар- венково-Лозовской операции, разворачивавшейся во второй половине января 1942 г. Серьезного противодействия в воздухе противник не оказывал, поэтому в списке успехов части значились уничтоженные автомашины, повозки, бензоцистерны, железнодорожные вагоны и другая техника неприятеля; десятки германских солдат и офицеров были убиты или ранены.</w:t>
      </w:r>
    </w:p>
    <w:p w14:paraId="20A9FFC5" w14:textId="77777777" w:rsidR="002C0D97" w:rsidRPr="008127F8" w:rsidRDefault="002C0D97" w:rsidP="002C0D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21 сентября по 10 марта 1942 г. полк выполнил 831 боевой вылет, в 451 из которых он штурмовал вражеские наземные войска. При этом боевые потери составили девять МиГ-3 и семь летчиков. А 23 марта 146-й иап приступил в тылу к изучению Як-1, сдав 14 оставшихся истребителей Микояна и Гуревича. По отчету старшего инженера полка военинженера 1 ранга Фоменко, за осенне- весеннюю кампанию на каждые два самолета приходилось примерно по три ремонта. При обслуживании машин было выполнено четыре восстановительных, 17 средних, 15 текущих и пять стационарных ремонтов с передачей МиГов в тыловые реморганы.</w:t>
      </w:r>
    </w:p>
    <w:p w14:paraId="34C5D959" w14:textId="77777777" w:rsidR="002C0D97" w:rsidRPr="008127F8" w:rsidRDefault="002C0D97" w:rsidP="002C0D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потрепанные истребители попали в 55-й иап (ставший 16-м гвардейским после разгрома противника под Ростовом), который во второй раз за недолгое время пополнялся самолетами, прошедшими серьезный ремонт. Зимой авиаторы летали мало, особенно в холодную погоду, так как не была освоена эксплуатация МиГов при низких температурах. Примерно половину моторесурса пришлось расходовать на прогрев моторов на земле, поскольку техники и механики не применяли разжижения масла бензином для облегчения последующего запуска.</w:t>
      </w:r>
    </w:p>
    <w:p w14:paraId="252FE853" w14:textId="77777777" w:rsidR="002C0D97" w:rsidRPr="008127F8" w:rsidRDefault="002C0D97" w:rsidP="002C0D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Состояние некоторых МиГ-3 из 27-го иап на 5 июля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2C0D97" w:rsidRPr="008127F8" w14:paraId="77640DD1" w14:textId="77777777" w:rsidTr="004C5D62">
        <w:tc>
          <w:tcPr>
            <w:tcW w:w="2242" w:type="dxa"/>
            <w:tcBorders>
              <w:top w:val="single" w:sz="12" w:space="0" w:color="auto"/>
            </w:tcBorders>
          </w:tcPr>
          <w:p w14:paraId="39F08C73"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2242" w:type="dxa"/>
            <w:tcBorders>
              <w:top w:val="single" w:sz="12" w:space="0" w:color="auto"/>
            </w:tcBorders>
          </w:tcPr>
          <w:p w14:paraId="5C48D884"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 Номер самолета</w:t>
            </w:r>
          </w:p>
        </w:tc>
        <w:tc>
          <w:tcPr>
            <w:tcW w:w="2242" w:type="dxa"/>
            <w:tcBorders>
              <w:top w:val="single" w:sz="12" w:space="0" w:color="auto"/>
            </w:tcBorders>
          </w:tcPr>
          <w:p w14:paraId="71A71764"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 номер мотора</w:t>
            </w:r>
          </w:p>
        </w:tc>
        <w:tc>
          <w:tcPr>
            <w:tcW w:w="2242" w:type="dxa"/>
            <w:tcBorders>
              <w:top w:val="single" w:sz="12" w:space="0" w:color="auto"/>
            </w:tcBorders>
          </w:tcPr>
          <w:p w14:paraId="3239568F"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Налет планера, ч</w:t>
            </w:r>
          </w:p>
        </w:tc>
        <w:tc>
          <w:tcPr>
            <w:tcW w:w="2242" w:type="dxa"/>
            <w:tcBorders>
              <w:top w:val="single" w:sz="12" w:space="0" w:color="auto"/>
            </w:tcBorders>
          </w:tcPr>
          <w:p w14:paraId="5CBA6FE8"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ремонтов</w:t>
            </w:r>
          </w:p>
        </w:tc>
      </w:tr>
      <w:tr w:rsidR="002C0D97" w:rsidRPr="008127F8" w14:paraId="2C4616CD" w14:textId="77777777" w:rsidTr="004C5D62">
        <w:tc>
          <w:tcPr>
            <w:tcW w:w="2242" w:type="dxa"/>
          </w:tcPr>
          <w:p w14:paraId="5472F267"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2242" w:type="dxa"/>
          </w:tcPr>
          <w:p w14:paraId="58CA2D69"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5171</w:t>
            </w:r>
          </w:p>
        </w:tc>
        <w:tc>
          <w:tcPr>
            <w:tcW w:w="2242" w:type="dxa"/>
          </w:tcPr>
          <w:p w14:paraId="5F3D06BC"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7Е 04983</w:t>
            </w:r>
          </w:p>
        </w:tc>
        <w:tc>
          <w:tcPr>
            <w:tcW w:w="2242" w:type="dxa"/>
          </w:tcPr>
          <w:p w14:paraId="43384239"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170</w:t>
            </w:r>
          </w:p>
        </w:tc>
        <w:tc>
          <w:tcPr>
            <w:tcW w:w="2242" w:type="dxa"/>
          </w:tcPr>
          <w:p w14:paraId="60515C12"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r>
      <w:tr w:rsidR="002C0D97" w:rsidRPr="008127F8" w14:paraId="61C4D86D" w14:textId="77777777" w:rsidTr="004C5D62">
        <w:tc>
          <w:tcPr>
            <w:tcW w:w="2242" w:type="dxa"/>
          </w:tcPr>
          <w:p w14:paraId="17E57E68"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2242" w:type="dxa"/>
          </w:tcPr>
          <w:p w14:paraId="5A2F1DA4"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4139</w:t>
            </w:r>
          </w:p>
        </w:tc>
        <w:tc>
          <w:tcPr>
            <w:tcW w:w="2242" w:type="dxa"/>
          </w:tcPr>
          <w:p w14:paraId="5C910FD1"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9Е 03072</w:t>
            </w:r>
          </w:p>
        </w:tc>
        <w:tc>
          <w:tcPr>
            <w:tcW w:w="2242" w:type="dxa"/>
          </w:tcPr>
          <w:p w14:paraId="4418ACB4"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tc>
        <w:tc>
          <w:tcPr>
            <w:tcW w:w="2242" w:type="dxa"/>
          </w:tcPr>
          <w:p w14:paraId="01A63ED3"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r>
      <w:tr w:rsidR="002C0D97" w:rsidRPr="008127F8" w14:paraId="1F3FAB8B" w14:textId="77777777" w:rsidTr="004C5D62">
        <w:tc>
          <w:tcPr>
            <w:tcW w:w="2242" w:type="dxa"/>
          </w:tcPr>
          <w:p w14:paraId="57AFBB25"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2242" w:type="dxa"/>
          </w:tcPr>
          <w:p w14:paraId="0BAB4ED0"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2430</w:t>
            </w:r>
          </w:p>
        </w:tc>
        <w:tc>
          <w:tcPr>
            <w:tcW w:w="2242" w:type="dxa"/>
          </w:tcPr>
          <w:p w14:paraId="45FB4945"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7Е 041206</w:t>
            </w:r>
          </w:p>
        </w:tc>
        <w:tc>
          <w:tcPr>
            <w:tcW w:w="2242" w:type="dxa"/>
          </w:tcPr>
          <w:p w14:paraId="5436AF63"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tc>
        <w:tc>
          <w:tcPr>
            <w:tcW w:w="2242" w:type="dxa"/>
          </w:tcPr>
          <w:p w14:paraId="50F34234"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r>
      <w:tr w:rsidR="002C0D97" w:rsidRPr="008127F8" w14:paraId="1C0A92AA" w14:textId="77777777" w:rsidTr="004C5D62">
        <w:tc>
          <w:tcPr>
            <w:tcW w:w="2242" w:type="dxa"/>
          </w:tcPr>
          <w:p w14:paraId="68A4C77D"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2242" w:type="dxa"/>
          </w:tcPr>
          <w:p w14:paraId="1485F801"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2473</w:t>
            </w:r>
          </w:p>
        </w:tc>
        <w:tc>
          <w:tcPr>
            <w:tcW w:w="2242" w:type="dxa"/>
          </w:tcPr>
          <w:p w14:paraId="7287FFEC"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7Е 041224</w:t>
            </w:r>
          </w:p>
        </w:tc>
        <w:tc>
          <w:tcPr>
            <w:tcW w:w="2242" w:type="dxa"/>
          </w:tcPr>
          <w:p w14:paraId="6671FE76"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tc>
        <w:tc>
          <w:tcPr>
            <w:tcW w:w="2242" w:type="dxa"/>
          </w:tcPr>
          <w:p w14:paraId="3E3BED47"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r>
      <w:tr w:rsidR="002C0D97" w:rsidRPr="008127F8" w14:paraId="621D95E1" w14:textId="77777777" w:rsidTr="004C5D62">
        <w:tc>
          <w:tcPr>
            <w:tcW w:w="2242" w:type="dxa"/>
            <w:tcBorders>
              <w:bottom w:val="single" w:sz="12" w:space="0" w:color="auto"/>
            </w:tcBorders>
          </w:tcPr>
          <w:p w14:paraId="5CA93D60"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2242" w:type="dxa"/>
            <w:tcBorders>
              <w:bottom w:val="single" w:sz="12" w:space="0" w:color="auto"/>
            </w:tcBorders>
          </w:tcPr>
          <w:p w14:paraId="63A47FDD"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4501</w:t>
            </w:r>
          </w:p>
        </w:tc>
        <w:tc>
          <w:tcPr>
            <w:tcW w:w="2242" w:type="dxa"/>
            <w:tcBorders>
              <w:bottom w:val="single" w:sz="12" w:space="0" w:color="auto"/>
            </w:tcBorders>
          </w:tcPr>
          <w:p w14:paraId="38CA2205"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7Е 041136</w:t>
            </w:r>
          </w:p>
        </w:tc>
        <w:tc>
          <w:tcPr>
            <w:tcW w:w="2242" w:type="dxa"/>
            <w:tcBorders>
              <w:bottom w:val="single" w:sz="12" w:space="0" w:color="auto"/>
            </w:tcBorders>
          </w:tcPr>
          <w:p w14:paraId="3D87E066"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w:t>
            </w:r>
          </w:p>
        </w:tc>
        <w:tc>
          <w:tcPr>
            <w:tcW w:w="2242" w:type="dxa"/>
            <w:tcBorders>
              <w:bottom w:val="single" w:sz="12" w:space="0" w:color="auto"/>
            </w:tcBorders>
          </w:tcPr>
          <w:p w14:paraId="20B886F1" w14:textId="77777777" w:rsidR="002C0D97" w:rsidRPr="008127F8" w:rsidRDefault="002C0D97"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r>
    </w:tbl>
    <w:p w14:paraId="240BB9C6" w14:textId="77777777" w:rsidR="002C0D97" w:rsidRPr="008127F8" w:rsidRDefault="002C0D97" w:rsidP="002C0D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редких вылетах отмечалось множество вынужденных посадок на "живот", обусловленных, прежде всего, потерями летчиками ориентировки и неисправностями моторов АМ-35А. По мнению помощника генерал-инспектора ВВС КА генерала М.В. Щербакова, основная причина заключалась в плохой подготовке боевых вылетов командиром майором В.П. Ивановым и штабом. Высказывалась резкая критика и в адрес техсостава: из 16 МиГ-3, имевшихся в 16-м гв. иап на 25 февраля, 14 являлись неисправными!</w:t>
      </w:r>
    </w:p>
    <w:p w14:paraId="70E29D05" w14:textId="77777777" w:rsidR="002C0D97" w:rsidRPr="008127F8" w:rsidRDefault="002C0D97" w:rsidP="002C0D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улучшилось положение дел и после пополнения полка МиГами из 146-го иап. Вероятно, трагическая гибель квалифицированного, накопившего большой опыт техсостава полка сказалась негативно: состоя- Майор Шокун ние основных узлов у многих истребителей из 12-го гв. иап оказалось в неудовлетворительном состоянии. Поэтому исправных машин остро не хватало и весной 1942 г. Обратимся к воспоминаниям А.И. Покрышкина, относящимся к этому времени:</w:t>
      </w:r>
    </w:p>
    <w:p w14:paraId="40AEBC95" w14:textId="77777777" w:rsidR="002C0D97" w:rsidRPr="008127F8" w:rsidRDefault="002C0D97" w:rsidP="002C0D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"Боевую работу эскадрильи затрудняла нехватка самолетов МиГ-3. Эта машина наиболее полно отвечала требованиям скоростного метода выхода к объекту разведки. Но новых МиГов к нам в часть не поступало. Выпуск их промышленностью к этому времени был полностью прекращен... Из-за нехватки техники на каждом самолете закреплялось два летчика. Моим напарником был Даниил Никитин. Летали на задания поочередно".</w:t>
      </w:r>
    </w:p>
    <w:p w14:paraId="0A856C09" w14:textId="77777777" w:rsidR="002C0D97" w:rsidRPr="008127F8" w:rsidRDefault="002C0D97" w:rsidP="002C0D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Самый знаменитый отечественный ас был, вероятно, самым горячим сторонником новой машины. "Знакомство с МиГами состоялось у меня перед самой войной и оставило след в моей летной практике, - вспоминал Александр Иванович. - МиГ-1 и МиГ-3 меня сразу же покорили стремительностью своих аэродинамических форм. Поднимаясь на таком истребителе в воздух, летчик чувствовал себя сильным, уверенным".</w:t>
      </w:r>
    </w:p>
    <w:p w14:paraId="3B8E48D2" w14:textId="77777777" w:rsidR="002C0D97" w:rsidRPr="008127F8" w:rsidRDefault="002C0D97" w:rsidP="002C0D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Другие черты нового истребителя, которые Покрышкин отметил в книге "Познать себя в бою", можно коротко сформулировать в следующем виде:</w:t>
      </w:r>
    </w:p>
    <w:p w14:paraId="5C8C78EE" w14:textId="77777777" w:rsidR="002C0D97" w:rsidRPr="008127F8" w:rsidRDefault="002C0D97" w:rsidP="002C0D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МиГ-3 по сравнению с Bf 109 имел лучшие пикирующие характеристики, быстрее переходил из крутого пикирования к выполнению восходящих вертикальных фигур;</w:t>
      </w:r>
    </w:p>
    <w:p w14:paraId="140817BB" w14:textId="77777777" w:rsidR="002C0D97" w:rsidRPr="008127F8" w:rsidRDefault="002C0D97" w:rsidP="002C0D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советский истребитель не терпел резких эволюций на малой скорости. Особенно быстро машина тормозилась при резком отвороте вверх и в сторону - в этом случае самолет мгновенно переворачивался и сваливался в штопор. Так погибли в катастрофах один из летчиков и инспектор полка по технике пилотирования ст. лейтенант Ф.Н. Ку- рилов - им не хватило высоты для вывода машины из неуправляемого вращения;</w:t>
      </w:r>
    </w:p>
    <w:p w14:paraId="15832F89" w14:textId="77777777" w:rsidR="002C0D97" w:rsidRPr="008127F8" w:rsidRDefault="002C0D97" w:rsidP="002C0D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 целом личный состав не успел как следует освоить перед войной новый самолет. Отсюда - многочисленные ошибки и, как следствие, потери;</w:t>
      </w:r>
    </w:p>
    <w:p w14:paraId="64C36300" w14:textId="77777777" w:rsidR="002C0D97" w:rsidRPr="008127F8" w:rsidRDefault="002C0D97" w:rsidP="002C0D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недостатком МиГ-3 было отсутствие переднего бронестекла (в отличие от Bf 109); наличие бронестекла могло бы спасти немало жизней летчиков, особенно при атаках вражеских бомбардировщиков;</w:t>
      </w:r>
    </w:p>
    <w:p w14:paraId="36B9D4BC" w14:textId="77777777" w:rsidR="002C0D97" w:rsidRPr="008127F8" w:rsidRDefault="002C0D97" w:rsidP="002C0D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еще более серьезным недостатком являлась неудачная конструкция сдвижной части фонаря кабины. Если при пикировании до приборной скорости 400 км/ч летчику еще удавалось (хотя и с большим трудом) сдвинуть ее и освободить достаточное пространство, чтобы выбраться с парашютом из кабины, то при увеличении скорости до 500 км/ч даже физически сильные пилоты не могли покинуть кабины;</w:t>
      </w:r>
    </w:p>
    <w:p w14:paraId="1223130E" w14:textId="77777777" w:rsidR="002C0D97" w:rsidRPr="008127F8" w:rsidRDefault="002C0D97" w:rsidP="002C0D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при прикрытии бомбардировщиков, в частности, устаревших СБ, МиГи вынужденно летели рядом с малой скоростью. С атаковавшими группу "мессершмиттами" они вынуждены были вступать в бой на виражах и при этом несли большие потери;</w:t>
      </w:r>
    </w:p>
    <w:p w14:paraId="669EC2FF" w14:textId="77777777" w:rsidR="002C0D97" w:rsidRPr="008127F8" w:rsidRDefault="002C0D97" w:rsidP="002C0D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МиГ-3 уступал Bf 109Е (действовали на юге Украины и в Молдавии) по таким критериям, как мощность вооружения и удобство работы с радиостанцией.</w:t>
      </w:r>
    </w:p>
    <w:p w14:paraId="73AB9257" w14:textId="77777777" w:rsidR="002C0D97" w:rsidRPr="008127F8" w:rsidRDefault="002C0D97" w:rsidP="002C0D97">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Скажем несколько слов о том, как оценивал МиГ-3 противник. С нотками нескрываемого превосходства германские асы сообщали о преимуществах "мессершмиттов" в скорости, скороподъемности, вооружении, других важных характеристиках над основными типами советских истребителей. В то же время они вынуждены были признать, что начатая русскими перед войной модернизация ВВС уже осенью 1941 г. стала приносить плоды. Большое количество самолетов новых типов, особенно МиГ-3, оказалось неприятным сюрпризом для немцев (12045).</w:t>
      </w:r>
    </w:p>
    <w:p w14:paraId="181A0E6A" w14:textId="77777777" w:rsidR="002C0D97" w:rsidRPr="008127F8" w:rsidRDefault="002C0D97" w:rsidP="002C0D9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A8E3DF" w14:textId="77777777" w:rsidR="007C5583" w:rsidRPr="008127F8" w:rsidRDefault="007C5583" w:rsidP="007C5583">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Весной и летом 1942 г. многие бывшие легкобомбардировочные полки, летавшие на Р-5, превратили в штурмовые, перево</w:t>
      </w:r>
      <w:r w:rsidRPr="008127F8">
        <w:rPr>
          <w:rFonts w:ascii="Times New Roman" w:hAnsi="Times New Roman"/>
          <w:noProof/>
          <w:color w:val="000000" w:themeColor="text1"/>
          <w:sz w:val="16"/>
          <w:szCs w:val="16"/>
        </w:rPr>
        <w:softHyphen/>
        <w:t>оружив на Ил-2. Однако ряд полков сохранял прежнюю материальную часть и ту же такти</w:t>
      </w:r>
      <w:r w:rsidRPr="008127F8">
        <w:rPr>
          <w:rFonts w:ascii="Times New Roman" w:hAnsi="Times New Roman"/>
          <w:noProof/>
          <w:color w:val="000000" w:themeColor="text1"/>
          <w:sz w:val="16"/>
          <w:szCs w:val="16"/>
        </w:rPr>
        <w:softHyphen/>
        <w:t>ку. Более того, на фронт прибыли новые полки на Р-5. Так, в Челябинске на этих ма</w:t>
      </w:r>
      <w:r w:rsidRPr="008127F8">
        <w:rPr>
          <w:rFonts w:ascii="Times New Roman" w:hAnsi="Times New Roman"/>
          <w:noProof/>
          <w:color w:val="000000" w:themeColor="text1"/>
          <w:sz w:val="16"/>
          <w:szCs w:val="16"/>
        </w:rPr>
        <w:softHyphen/>
        <w:t>шинах сформировали 373-й НЛБАП м-ра И.В. Сильвестрова, который 19 ноября от</w:t>
      </w:r>
      <w:r w:rsidRPr="008127F8">
        <w:rPr>
          <w:rFonts w:ascii="Times New Roman" w:hAnsi="Times New Roman"/>
          <w:noProof/>
          <w:color w:val="000000" w:themeColor="text1"/>
          <w:sz w:val="16"/>
          <w:szCs w:val="16"/>
        </w:rPr>
        <w:softHyphen/>
        <w:t>правили на запад</w:t>
      </w:r>
      <w:r w:rsidRPr="008127F8">
        <w:rPr>
          <w:rFonts w:ascii="Times New Roman" w:hAnsi="Times New Roman"/>
          <w:color w:val="000000" w:themeColor="text1"/>
          <w:sz w:val="16"/>
          <w:szCs w:val="16"/>
        </w:rPr>
        <w:t xml:space="preserve"> (11936)</w:t>
      </w:r>
      <w:r w:rsidRPr="008127F8">
        <w:rPr>
          <w:rFonts w:ascii="Times New Roman" w:hAnsi="Times New Roman"/>
          <w:noProof/>
          <w:color w:val="000000" w:themeColor="text1"/>
          <w:sz w:val="16"/>
          <w:szCs w:val="16"/>
        </w:rPr>
        <w:t>.</w:t>
      </w:r>
    </w:p>
    <w:p w14:paraId="0E3AD568"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p>
    <w:p w14:paraId="02199F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Весной и летом 1942 г. в районе Ленинграда командир 7-го иак возложил ответственность за уничтожение одиночных вражеских самолетов на 124-й иап. МиГи этого полка использовались для несения круглосуточного дежурства двумя-тремя машинами. Был сделан вывод: при достаточной подготовке летного состава эти истребители являлись наиболее подходящими для действий на высотах 8 000-10 000 м. Все же, очень многое зависело от своевременного поступления сигнала от постов ВНОС - ведь в лучшем случае для взлета и набора высоты 10 000 м требовалось 15 минут (12045).</w:t>
      </w:r>
    </w:p>
    <w:p w14:paraId="2C1309C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6A0C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C5B59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B6E4A8" w14:textId="77777777" w:rsidR="00CF4E58" w:rsidRPr="008A2E5A" w:rsidRDefault="00CF4E58" w:rsidP="00CF4E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лету 1942 г. сформировались три про</w:t>
      </w:r>
      <w:r w:rsidRPr="008A2E5A">
        <w:rPr>
          <w:rFonts w:ascii="Times New Roman" w:hAnsi="Times New Roman"/>
          <w:color w:val="0070C0"/>
          <w:sz w:val="16"/>
          <w:szCs w:val="16"/>
        </w:rPr>
        <w:softHyphen/>
        <w:t>изводственных базы по выпуску Ил-2: московская - заводы №№ 30, 45 и 125, куйбышевская - заводы №№ 1, 18, 24 и 207, и нижнетагильская - заводы №№ 381 и 183.</w:t>
      </w:r>
    </w:p>
    <w:p w14:paraId="446EDFE4" w14:textId="77777777" w:rsidR="00CF4E58" w:rsidRPr="008A2E5A" w:rsidRDefault="00CF4E58" w:rsidP="00CF4E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сожалению, организация массового выпуска Ил-2 и моторов АМ-38 на новых производственных площадках сопровождалась резким ухудшением качества их изготов</w:t>
      </w:r>
      <w:r w:rsidRPr="008A2E5A">
        <w:rPr>
          <w:rFonts w:ascii="Times New Roman" w:hAnsi="Times New Roman"/>
          <w:color w:val="0070C0"/>
          <w:sz w:val="16"/>
          <w:szCs w:val="16"/>
        </w:rPr>
        <w:softHyphen/>
        <w:t>ления, что серьезно сказывалось на летных данных самоле</w:t>
      </w:r>
      <w:r w:rsidRPr="008A2E5A">
        <w:rPr>
          <w:rFonts w:ascii="Times New Roman" w:hAnsi="Times New Roman"/>
          <w:color w:val="0070C0"/>
          <w:sz w:val="16"/>
          <w:szCs w:val="16"/>
        </w:rPr>
        <w:softHyphen/>
        <w:t>тов, усложняло эксплуатацию и приводило к многочислен</w:t>
      </w:r>
      <w:r w:rsidRPr="008A2E5A">
        <w:rPr>
          <w:rFonts w:ascii="Times New Roman" w:hAnsi="Times New Roman"/>
          <w:color w:val="0070C0"/>
          <w:sz w:val="16"/>
          <w:szCs w:val="16"/>
        </w:rPr>
        <w:softHyphen/>
        <w:t>ным летным происшествиям (23346).</w:t>
      </w:r>
    </w:p>
    <w:p w14:paraId="6C900604" w14:textId="77777777" w:rsidR="00CF4E58" w:rsidRPr="008A2E5A" w:rsidRDefault="00CF4E58" w:rsidP="00CF4E58">
      <w:pPr>
        <w:spacing w:after="0" w:line="240" w:lineRule="auto"/>
        <w:jc w:val="both"/>
        <w:rPr>
          <w:rFonts w:ascii="Times New Roman" w:hAnsi="Times New Roman"/>
          <w:color w:val="0070C0"/>
          <w:sz w:val="16"/>
          <w:szCs w:val="16"/>
        </w:rPr>
      </w:pPr>
    </w:p>
    <w:p w14:paraId="69B60178" w14:textId="77777777" w:rsidR="007E06D7" w:rsidRPr="008127F8" w:rsidRDefault="007E06D7" w:rsidP="007E06D7">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лету 1942 г. высоты боевого применения Ил-2 АМ-38 были повышены до 600–1200 м. Действия штурмовиков со средних высот без прикрытия своих истребителей стали практически невозможными, так как при уходе группы от цели замыкающие самолеты обычно отставали, подвергались атакам противника и, как правило, сбивались. Даже при наличии прикрывающих истребителей было трудно обеспечить защиту штурмовиков в растянутом боевом порядке. Особенно тяжелое положение сложилось на сталинградском направлении, где потери Ил-2 от действий истребителей доходили до 50–60% от общего количества не вернувшихся штурмовиков. По воспоминаниям командира 11-й гшад полковника Наконечникова, у летного состава штурмовых авиаполков в это время «было такое настроение, что штурмовику драться с истребителями противника вообще невозможно /…/ мол «летчик-штурмовик – это смертник», а у некоторых слабых духом, которые боялись за свою жизнь, появлялась трусость». По этим причинам «группы штурмовиков при встрече с истребителями противника в бой не вступали, а чаще всего по существу бежали с поля боя на бреющей высоте, в результате чего несли колоссальные потери, нередко теряя полные группы». Штаб ВВС КА буквально захлестнул вал требований командного и летного состава штурмовых авиаполков и дивизий обеспечить надежную огневую защиту Ил-2 от атак истребителей со стороны задней полусферы. В этой связи командир испытательного бомбардировочного отряда НИП АВ ВВС капитан Слуцков предложил установить на плоскость Ил-2 ракетные орудия для стрельбы назад осколочными снарядами с дистанционным взрывателем. Предполагалось, что разрывы снарядов позади штурмовика будут создавать на пути немецких истребителей осколочное поле, достаточное для их поражения или срыва атаки. С целью проверки эффективности самой идеи и оценки безопасности стрельбы РС назад на одном из серийных Ил-2 на левой плоскости крыла сверху смонтировали установку РО-82 и в период с 25 по 30 июля провели испытания в воздухе. Ракетная установка представляла собой батарею из трех РО-82, перевернутых на 180° в горизонтальной плоскости и закрепленных на двух кронштейнах (ракетные снаряды «не висят на штифте, а находятся сверху балки, обращенные своим стабилизатором вперед по направлению полета»). Кронштейны крепились сверху к силовым элементам крыла. Расстояние от оси самолета до среднего ракетного орудия составляло 3,5 м и находилось вне плоскости, ометаемой воздушным винтом. В вертикальной плоскости ось правого (по направлению полета) орудия составляла +5°, ось среднего – +4,5°, ось левого – +6° с осью самолета. В горизонтальной плоскости оси орудий отстояли от строительной оси самолета на следующие углы: правое – +1°, среднее – +2,5°, левое – +4°. Электропроводка от штатных РО-82 (под левой плоскостью) на время испытаний была «перекинута к опытной батарее 3РО-82». Поэтому управление стрельбой ничем не отличалось от стрельбы из ракетных орудий, расположенных под крылом, и осуществлялось при помощи ЭСБР-3п. Прицеливание выполнялось «на глаз», что называется, «в сторону противника». Максимальная скорость полета Ил-2 с батареей 3РО-82 уменьшилась на 12 км/ч. В то же время конструкция установки позволяла выполнять все допустимые фигуры пилотажа. В воздухе стреляли РСами как одиночно, так и залпом из трех снарядов. Замедление срабатывания взрывателей АГДТ устанавливалось на 4 и 2,2 с. Все ракетные снаряды сработали после пуска штатно. Стрельбы показали, что газовая струя от РС «вредного воздействия на обшивку крыла не оказывала», дефектов крепления батареи на самолете не обнаружили. Рассеивание разрывов снарядов при стрельбе назад с Ил-2 получилось заметно меньше, чем при стрельбе из аналогичной установки с самолета Пе-2 (установка проходила испытания на НИП АВ с 20 по 25 июня 1942 г.), но все равно было слишком велико для обеспечения приемлемой эффективности действия по неприятельским истребителям. Это объяснялось неэффективностью стабилизатора ракетного снаряда «на первом метре его полета с момента схода РС с РО и до момента увеличения собственной скорости РС свыше 90–95 м/с, когда воздушный поток воздействует на стабилизатор в направлении обратном нормальному». Кроме того, при минимальной установке АГДТ на 2,2 с ракетные снаряды разрывались на удалении 380–420 м от самолета. Угол превышения точки разрыва над самолетом лежал в пределах 24°. Делалось заключение, что «данная батарея РО не может защитить Ил-2 от атаки сзади с близких дистанций (менее 400 м) со стороны верхней задней полусферы под углом большим 25°». В то же время увеличить установочный угол ракетных орудий более 8–10° не представлялось возможным, так как при этом резко ухудшалась аэродинамика самолета и возрастало рассеивание при стрельбе. Был сделан следующий вывод: «Применение батареи РО-82 в целях поражения истребителей противника является тактически нецелесообразным, так как: а) невозможно в воздухе вести прицельную стрельбу из-за большого рассеивания даже при наличии специальных прицелов; б) атаки истребителей с близких дистанций и с пикирования отразить нельзя; в) боекомплект 3 РС-82 не обеспечивает защиты Ил-2 при многократных атаках». Соответственно, заключение полигона по установке на самолет Ил-2 ракетных орудий для стрельбы назад было отрицательным. При этом считалось необходимым «ускорить разработку установки создающей эффективную огневую защиту самолета Ил-2 в области верхней задней полусферы» (19776).</w:t>
      </w:r>
    </w:p>
    <w:p w14:paraId="06635A99" w14:textId="77777777" w:rsidR="007E06D7" w:rsidRPr="008127F8" w:rsidRDefault="007E06D7" w:rsidP="007E06D7">
      <w:pPr>
        <w:spacing w:after="0" w:line="240" w:lineRule="auto"/>
        <w:jc w:val="both"/>
        <w:rPr>
          <w:rFonts w:ascii="Times New Roman" w:hAnsi="Times New Roman"/>
          <w:color w:val="000000" w:themeColor="text1"/>
          <w:sz w:val="16"/>
          <w:szCs w:val="16"/>
        </w:rPr>
      </w:pPr>
    </w:p>
    <w:p w14:paraId="27858D4C" w14:textId="77777777" w:rsidR="007C5583" w:rsidRPr="00CF4E58" w:rsidRDefault="007C5583" w:rsidP="00CF4E58">
      <w:pPr>
        <w:pStyle w:val="5f"/>
        <w:shd w:val="clear" w:color="auto" w:fill="auto"/>
        <w:spacing w:line="240" w:lineRule="auto"/>
        <w:jc w:val="both"/>
        <w:rPr>
          <w:rFonts w:ascii="Times New Roman" w:hAnsi="Times New Roman" w:cs="Times New Roman"/>
          <w:color w:val="000000" w:themeColor="text1"/>
          <w:sz w:val="16"/>
          <w:szCs w:val="16"/>
          <w:lang w:val="ru-RU"/>
        </w:rPr>
      </w:pPr>
      <w:r w:rsidRPr="00CF4E58">
        <w:rPr>
          <w:rFonts w:ascii="Times New Roman" w:hAnsi="Times New Roman" w:cs="Times New Roman"/>
          <w:color w:val="000000" w:themeColor="text1"/>
          <w:sz w:val="16"/>
          <w:szCs w:val="16"/>
          <w:lang w:val="ru-RU"/>
        </w:rPr>
        <w:t>К лету 1942 г. высоты боевого применения Ил-2 АМ-38 были повышены до 600-1200 м. Как следствие, резко увеличилась угроза со стороны истребителей люфтваффе. Действия штурмовиков со средних высот без прикрытия своих истребителей стали практически невоз</w:t>
      </w:r>
      <w:r w:rsidRPr="00CF4E58">
        <w:rPr>
          <w:rFonts w:ascii="Times New Roman" w:hAnsi="Times New Roman" w:cs="Times New Roman"/>
          <w:color w:val="000000" w:themeColor="text1"/>
          <w:sz w:val="16"/>
          <w:szCs w:val="16"/>
          <w:lang w:val="ru-RU"/>
        </w:rPr>
        <w:softHyphen/>
        <w:t>можными, так как при уходе группы от цели замыкающие самолеты обычно отставали, подвергались атакам противника и, как пра</w:t>
      </w:r>
      <w:r w:rsidRPr="00CF4E58">
        <w:rPr>
          <w:rFonts w:ascii="Times New Roman" w:hAnsi="Times New Roman" w:cs="Times New Roman"/>
          <w:color w:val="000000" w:themeColor="text1"/>
          <w:sz w:val="16"/>
          <w:szCs w:val="16"/>
          <w:lang w:val="ru-RU"/>
        </w:rPr>
        <w:softHyphen/>
        <w:t>вило, сбивались. Но даже при наличии истре</w:t>
      </w:r>
      <w:r w:rsidRPr="00CF4E58">
        <w:rPr>
          <w:rFonts w:ascii="Times New Roman" w:hAnsi="Times New Roman" w:cs="Times New Roman"/>
          <w:color w:val="000000" w:themeColor="text1"/>
          <w:sz w:val="16"/>
          <w:szCs w:val="16"/>
          <w:lang w:val="ru-RU"/>
        </w:rPr>
        <w:softHyphen/>
        <w:t>бителей прикрытия обеспечить защиту штур</w:t>
      </w:r>
      <w:r w:rsidRPr="00CF4E58">
        <w:rPr>
          <w:rFonts w:ascii="Times New Roman" w:hAnsi="Times New Roman" w:cs="Times New Roman"/>
          <w:color w:val="000000" w:themeColor="text1"/>
          <w:sz w:val="16"/>
          <w:szCs w:val="16"/>
          <w:lang w:val="ru-RU"/>
        </w:rPr>
        <w:softHyphen/>
        <w:t>мовиков в растянутом боевом порядке было крайне трудно. Особенно тяжелое положение сложилось на сталинградском направлении, где потери Ил-2 в воздушных боях доходили до 50-60% от общего количества не вер</w:t>
      </w:r>
      <w:r w:rsidRPr="00CF4E58">
        <w:rPr>
          <w:rFonts w:ascii="Times New Roman" w:hAnsi="Times New Roman" w:cs="Times New Roman"/>
          <w:color w:val="000000" w:themeColor="text1"/>
          <w:sz w:val="16"/>
          <w:szCs w:val="16"/>
          <w:lang w:val="ru-RU"/>
        </w:rPr>
        <w:softHyphen/>
        <w:t>нувшихся штурмовиков. Штаб ВВС Красной Армии буквально захлестнул вал обращений командного и летного состава штурмовых авиаполков и дивизий с требованием обеспе</w:t>
      </w:r>
      <w:r w:rsidRPr="00CF4E58">
        <w:rPr>
          <w:rFonts w:ascii="Times New Roman" w:hAnsi="Times New Roman" w:cs="Times New Roman"/>
          <w:color w:val="000000" w:themeColor="text1"/>
          <w:sz w:val="16"/>
          <w:szCs w:val="16"/>
          <w:lang w:val="ru-RU"/>
        </w:rPr>
        <w:softHyphen/>
        <w:t>чить надежную огневую защиту Ил-2 от атак истребителей со стороны задней полусферы (19877).</w:t>
      </w:r>
    </w:p>
    <w:p w14:paraId="498A5182" w14:textId="77777777" w:rsidR="007C5583" w:rsidRPr="00CF4E58" w:rsidRDefault="007C5583" w:rsidP="00CF4E58">
      <w:pPr>
        <w:pStyle w:val="5f"/>
        <w:shd w:val="clear" w:color="auto" w:fill="auto"/>
        <w:spacing w:line="240" w:lineRule="auto"/>
        <w:jc w:val="both"/>
        <w:rPr>
          <w:rFonts w:ascii="Times New Roman" w:hAnsi="Times New Roman" w:cs="Times New Roman"/>
          <w:color w:val="000000" w:themeColor="text1"/>
          <w:sz w:val="16"/>
          <w:szCs w:val="16"/>
          <w:lang w:val="ru-RU"/>
        </w:rPr>
      </w:pPr>
    </w:p>
    <w:p w14:paraId="5A65CB35" w14:textId="77777777" w:rsidR="007C5583" w:rsidRPr="008127F8" w:rsidRDefault="007C5583" w:rsidP="007C5583">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К лету 1942 г. заводы №№ 1, 18, 24 и 207 образо</w:t>
      </w:r>
      <w:r w:rsidRPr="008127F8">
        <w:rPr>
          <w:rFonts w:ascii="Times New Roman" w:cs="Times New Roman"/>
          <w:color w:val="000000" w:themeColor="text1"/>
          <w:spacing w:val="0"/>
          <w:sz w:val="16"/>
          <w:szCs w:val="16"/>
        </w:rPr>
        <w:softHyphen/>
        <w:t>вали куйбышевский «куст» предприятий по выпуску Ил-2, а за</w:t>
      </w:r>
      <w:r w:rsidRPr="008127F8">
        <w:rPr>
          <w:rFonts w:ascii="Times New Roman" w:cs="Times New Roman"/>
          <w:color w:val="000000" w:themeColor="text1"/>
          <w:spacing w:val="0"/>
          <w:sz w:val="16"/>
          <w:szCs w:val="16"/>
        </w:rPr>
        <w:softHyphen/>
        <w:t>воды №№ 30, 45 и 125 — московский. Кроме того, бронекорпуса для штурмовиков делал танковый завод № 183 им. Коминтерна в Нижнем Тагиле. Производственных проблем оставалось все еще много, условия работы и быта людей вообще мало кого интересовали, тем не менее производство Ил-2 нарастало. В общей сложности в 1942 г. удалось выпу</w:t>
      </w:r>
      <w:r w:rsidRPr="008127F8">
        <w:rPr>
          <w:rFonts w:ascii="Times New Roman" w:cs="Times New Roman"/>
          <w:color w:val="000000" w:themeColor="text1"/>
          <w:spacing w:val="0"/>
          <w:sz w:val="16"/>
          <w:szCs w:val="16"/>
        </w:rPr>
        <w:softHyphen/>
        <w:t>стить 8229 штурмовиков (19854).</w:t>
      </w:r>
    </w:p>
    <w:p w14:paraId="0E318813" w14:textId="77777777" w:rsidR="007C5583" w:rsidRPr="008127F8" w:rsidRDefault="007C5583" w:rsidP="007C5583">
      <w:pPr>
        <w:pStyle w:val="36"/>
        <w:shd w:val="clear" w:color="auto" w:fill="auto"/>
        <w:spacing w:after="0" w:line="240" w:lineRule="auto"/>
        <w:jc w:val="both"/>
        <w:rPr>
          <w:rFonts w:ascii="Times New Roman" w:cs="Times New Roman"/>
          <w:color w:val="000000" w:themeColor="text1"/>
          <w:spacing w:val="0"/>
          <w:sz w:val="16"/>
          <w:szCs w:val="16"/>
        </w:rPr>
      </w:pPr>
    </w:p>
    <w:p w14:paraId="1D3DEFE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лету 1942 года завод №381 (директор В.И. Журавлев) занимал около 17 000 кв.м. в третьем и пятых пролетах главного корпуса УВЗ, и около 3 000 кв.м. в здании прессового цеха, кузнечно-пружинного цеха, малярного цеха. Цеха разместили на территории УВЗ, а семьи рабочих поселили в разных районах города, даже в селах Лая, Покровске и в деревне Северной, одинокие жили в общежитии (33673).</w:t>
      </w:r>
    </w:p>
    <w:p w14:paraId="6C2886A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9C3389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лету 1942 года завод №381 (директор В.И. Журавлев) занимал около 17 000 кв.м. в третьем и пятых пролетах главного корпуса УВЗ, и около 3000 кв.м. в здании прессового цеха, кузнечно-пружинного цеха, малярного цеха [Устьянцев С.В., Очерки истории Отечественной индустриальной культуры 20 века, часть 2., Уральский танковый завод №183., Нижний Тагил 2010., С. 24-25, 88, 128-129]. Цеха разместили на территории УВЗ, а семьи рабочих поселили в разных районах города, даже в селах Лая, Покровске и в деревне Северной, одинокие жили в общежитии.</w:t>
      </w:r>
    </w:p>
    <w:p w14:paraId="015EFD6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Часть ленинградских цехов разместилась в вагонных корпусах, а для некоторых использовали привезенные ленинградцами в разобранном виде ангары. Пару таких ангаров смонтировали на аэродроме, сооруженном в Валегином Бору. Создали летно-испы- тательную станцию. Завод №381 Народного комиссариата авиационной промышленности выпускал самолеты-штурмовики Ил2. Перед эвакуацией на Урал 381-й авиазавод только-только начал разворачивать выпуск Илов, так как только строился и находился в стадии организации. Директором завода был Т.М. Филимончук (18250).</w:t>
      </w:r>
    </w:p>
    <w:p w14:paraId="342C3E9F" w14:textId="77777777" w:rsidR="007C5583" w:rsidRPr="008127F8" w:rsidRDefault="007C5583" w:rsidP="007C5583">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206B2A5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К лету 1942 года завод №381 (директор В.И. Журавлев) занимал около 17 000 кв.м. в третьем и пятых пролетах главного корпуса УВЗ, и около 3000 кв.м. в здании прессового цеха, кузнечно-пружинного цеха, малярного цеха. Цеха разместили на территории УВЗ, а семьи рабочих по- селили в разных районах города, даже в селах Лая, Покровске и в деревне Северной, одинокие жили в общежитии. Ветеран завода Эйно Кальвиняйнен вспоминал: «Размещенные в Лае утром ждали рабочего поезда и порядка 2-х часов ехали в промороженных вагонах. Я же, как настоящий природный финн, с детства дру- жил с лыжами. Расстояние от Лаи до своего цеха я отмахивал по прямой через заснеженный лес на лыжах за 25-30 минут вместо физзарядки. Это занятие не составляло мне тягость, тем более что природа Урала очень напоминала родную Карелию». Часть ленинградских цехов разместилась в вагонных корпусах, а для некоторых использовали привезенные ленинградцами в разобранном виде ангары. Пару таких ангаров смонтировали на аэродроме, сооруженном в Валегином Бору. Создали летно-испытательную станцию. Завод №381 Народного комиссариата авиа- ционной промышленности выпускал самолеты-штурмовики Ил-2. Перед эвакуацией на Урал 381-й авиазавод только-только начал разворачивать выпуск Илов, так как только строился и находился в стадии организации. Директором завода был Т.М. Филимончук (19535).</w:t>
      </w:r>
    </w:p>
    <w:p w14:paraId="4A43082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89CB47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лету 1943 г. контрольные испытания серийных самолетов Пе-2 в Летно-испытательном институте Наркомата авиапромышленности (ЛИИ) и НИИ ВВС Красной Армии показали, что скорость самолета у земли действительно упала с 446 до 424 км/ч на худших машинах, а максимальная — с 530 до 482 км/ч с понижением высоты ее достижения с 5 000 до 3 250 … 3 700 м. Помимо вынужденного перехода на моторы М-105ПФ и винты ВИШ-61П, здесь сыграли свою роль рост полетного веса на 500 … 700 кг, ухудшение аэродинамики из-за усиления оборонительного вооружения, упрощение конструкции с целью экономии трудоемкости, применение неподходящих полуфабрикатов и снижение качества продукции — попросту брак.</w:t>
      </w:r>
    </w:p>
    <w:p w14:paraId="7EC532B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Его причины заключались в упрощении технологии, часто самовольном при ослаблении контроля со стороны ОТК и военприемки, ухудшении условий труда, нехватке материала, инструмента и энергоресурсов, но был и человеческий фактор. Сменившие профессиональных промышленных рабочих, женщины и пенсионеры имели худшую квалификацию, которую никто не повышал, они быстрее уставали и часто просто были физически слабее, что проявилось на ручных гибочных, выколоточных и подгоночных операциях, а также на клепке, которые и определяли гладкость обшивки и стыков.</w:t>
      </w:r>
    </w:p>
    <w:p w14:paraId="6E379AB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Было решено активизировать критикующую бракоделов наглядную агитацию, вернуть большую часть сокращенных контрольных операций, принять меры по улучшению материального снабжения авиационного производства, наладить на предприятиях систему начального профессионального обучения и повышения квалификации, улучшить условия труда работников и ввести для участков с тяжелым физическим трудом УДП — усиленное дополнительное питание. Последнее осуществить оказалось сложнее всего, и часто этот пункт оставался на бумаге, но многое было сделано (22828).</w:t>
      </w:r>
    </w:p>
    <w:p w14:paraId="6637C25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5BC5906" w14:textId="77777777" w:rsidR="00CF4E58" w:rsidRPr="008A2E5A" w:rsidRDefault="00CF4E58" w:rsidP="00CF4E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лету 1942 г. сборка МиГ-3У была завершена, но обещанный мотор АМ-37 с завода №24 не поступил - Микулин опять подвел...Микоян обратился к товарищам - дру</w:t>
      </w:r>
      <w:r w:rsidRPr="008A2E5A">
        <w:rPr>
          <w:rFonts w:ascii="Times New Roman" w:hAnsi="Times New Roman"/>
          <w:color w:val="0070C0"/>
          <w:sz w:val="16"/>
          <w:szCs w:val="16"/>
        </w:rPr>
        <w:softHyphen/>
        <w:t>гим главным конструкторам НКАП. Такой же двигатель использовали на своих ма</w:t>
      </w:r>
      <w:r w:rsidRPr="008A2E5A">
        <w:rPr>
          <w:rFonts w:ascii="Times New Roman" w:hAnsi="Times New Roman"/>
          <w:color w:val="0070C0"/>
          <w:sz w:val="16"/>
          <w:szCs w:val="16"/>
        </w:rPr>
        <w:softHyphen/>
        <w:t>шинах Ильюшин, Туполев, Ермолаев и По</w:t>
      </w:r>
      <w:r w:rsidRPr="008A2E5A">
        <w:rPr>
          <w:rFonts w:ascii="Times New Roman" w:hAnsi="Times New Roman"/>
          <w:color w:val="0070C0"/>
          <w:sz w:val="16"/>
          <w:szCs w:val="16"/>
        </w:rPr>
        <w:softHyphen/>
        <w:t>ликарпов, но первые три ОКБ уже пере</w:t>
      </w:r>
      <w:r w:rsidRPr="008A2E5A">
        <w:rPr>
          <w:rFonts w:ascii="Times New Roman" w:hAnsi="Times New Roman"/>
          <w:color w:val="0070C0"/>
          <w:sz w:val="16"/>
          <w:szCs w:val="16"/>
        </w:rPr>
        <w:softHyphen/>
        <w:t>ключились на силовые установки других типов, а последний так и не смог добить</w:t>
      </w:r>
      <w:r w:rsidRPr="008A2E5A">
        <w:rPr>
          <w:rFonts w:ascii="Times New Roman" w:hAnsi="Times New Roman"/>
          <w:color w:val="0070C0"/>
          <w:sz w:val="16"/>
          <w:szCs w:val="16"/>
        </w:rPr>
        <w:softHyphen/>
        <w:t>ся устойчивой его работы на самоле</w:t>
      </w:r>
      <w:r w:rsidRPr="008A2E5A">
        <w:rPr>
          <w:rFonts w:ascii="Times New Roman" w:hAnsi="Times New Roman"/>
          <w:color w:val="0070C0"/>
          <w:sz w:val="16"/>
          <w:szCs w:val="16"/>
        </w:rPr>
        <w:softHyphen/>
        <w:t>те ИТП, и ни у кого работоспособного экземпляра не нашлось. Самое обидное, что свой собственный ИП-201 с мотором АМ-37, переоборудованный из опытно</w:t>
      </w:r>
      <w:r w:rsidRPr="008A2E5A">
        <w:rPr>
          <w:rFonts w:ascii="Times New Roman" w:hAnsi="Times New Roman"/>
          <w:color w:val="0070C0"/>
          <w:sz w:val="16"/>
          <w:szCs w:val="16"/>
        </w:rPr>
        <w:softHyphen/>
        <w:t>го И-200 №3, год назад Микоян передал Микулину на завод №24 для доводки си</w:t>
      </w:r>
      <w:r w:rsidRPr="008A2E5A">
        <w:rPr>
          <w:rFonts w:ascii="Times New Roman" w:hAnsi="Times New Roman"/>
          <w:color w:val="0070C0"/>
          <w:sz w:val="16"/>
          <w:szCs w:val="16"/>
        </w:rPr>
        <w:softHyphen/>
        <w:t>ловой установки и теперь не мог его по</w:t>
      </w:r>
      <w:r w:rsidRPr="008A2E5A">
        <w:rPr>
          <w:rFonts w:ascii="Times New Roman" w:hAnsi="Times New Roman"/>
          <w:color w:val="0070C0"/>
          <w:sz w:val="16"/>
          <w:szCs w:val="16"/>
        </w:rPr>
        <w:softHyphen/>
        <w:t>лучить обратно. Но даже если бы этот са</w:t>
      </w:r>
      <w:r w:rsidRPr="008A2E5A">
        <w:rPr>
          <w:rFonts w:ascii="Times New Roman" w:hAnsi="Times New Roman"/>
          <w:color w:val="0070C0"/>
          <w:sz w:val="16"/>
          <w:szCs w:val="16"/>
        </w:rPr>
        <w:softHyphen/>
        <w:t>молет сейчас и вернули, вряд ли бы мо</w:t>
      </w:r>
      <w:r w:rsidRPr="008A2E5A">
        <w:rPr>
          <w:rFonts w:ascii="Times New Roman" w:hAnsi="Times New Roman"/>
          <w:color w:val="0070C0"/>
          <w:sz w:val="16"/>
          <w:szCs w:val="16"/>
        </w:rPr>
        <w:softHyphen/>
        <w:t>тор сохранял еще остаток ресурса, доста</w:t>
      </w:r>
      <w:r w:rsidRPr="008A2E5A">
        <w:rPr>
          <w:rFonts w:ascii="Times New Roman" w:hAnsi="Times New Roman"/>
          <w:color w:val="0070C0"/>
          <w:sz w:val="16"/>
          <w:szCs w:val="16"/>
        </w:rPr>
        <w:softHyphen/>
        <w:t>точный хотя бы для начала испытаний самолета «Д». Найти рабочий АМ-37 ни</w:t>
      </w:r>
      <w:r w:rsidRPr="008A2E5A">
        <w:rPr>
          <w:rFonts w:ascii="Times New Roman" w:hAnsi="Times New Roman"/>
          <w:color w:val="0070C0"/>
          <w:sz w:val="16"/>
          <w:szCs w:val="16"/>
        </w:rPr>
        <w:softHyphen/>
        <w:t>где не удавалось, и тогда нарком авиа</w:t>
      </w:r>
      <w:r w:rsidRPr="008A2E5A">
        <w:rPr>
          <w:rFonts w:ascii="Times New Roman" w:hAnsi="Times New Roman"/>
          <w:color w:val="0070C0"/>
          <w:sz w:val="16"/>
          <w:szCs w:val="16"/>
        </w:rPr>
        <w:softHyphen/>
        <w:t>промышленности А.И. Шахурин сам пред</w:t>
      </w:r>
      <w:r w:rsidRPr="008A2E5A">
        <w:rPr>
          <w:rFonts w:ascii="Times New Roman" w:hAnsi="Times New Roman"/>
          <w:color w:val="0070C0"/>
          <w:sz w:val="16"/>
          <w:szCs w:val="16"/>
        </w:rPr>
        <w:softHyphen/>
        <w:t>ложил использовать на первом этапе ста</w:t>
      </w:r>
      <w:r w:rsidRPr="008A2E5A">
        <w:rPr>
          <w:rFonts w:ascii="Times New Roman" w:hAnsi="Times New Roman"/>
          <w:color w:val="0070C0"/>
          <w:sz w:val="16"/>
          <w:szCs w:val="16"/>
        </w:rPr>
        <w:softHyphen/>
        <w:t>рый АМ-35А.</w:t>
      </w:r>
    </w:p>
    <w:p w14:paraId="55B0250D" w14:textId="77777777" w:rsidR="00CF4E58" w:rsidRPr="008A2E5A" w:rsidRDefault="00CF4E58" w:rsidP="00CF4E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новое место он становился нор</w:t>
      </w:r>
      <w:r w:rsidRPr="008A2E5A">
        <w:rPr>
          <w:rFonts w:ascii="Times New Roman" w:hAnsi="Times New Roman"/>
          <w:color w:val="0070C0"/>
          <w:sz w:val="16"/>
          <w:szCs w:val="16"/>
        </w:rPr>
        <w:softHyphen/>
        <w:t>мально, промежуточный радиатор на воз</w:t>
      </w:r>
      <w:r w:rsidRPr="008A2E5A">
        <w:rPr>
          <w:rFonts w:ascii="Times New Roman" w:hAnsi="Times New Roman"/>
          <w:color w:val="0070C0"/>
          <w:sz w:val="16"/>
          <w:szCs w:val="16"/>
        </w:rPr>
        <w:softHyphen/>
        <w:t>душном тракте «ПЦН - карбюратор» был не нужен, и в таком виде самолет до</w:t>
      </w:r>
      <w:r w:rsidRPr="008A2E5A">
        <w:rPr>
          <w:rFonts w:ascii="Times New Roman" w:hAnsi="Times New Roman"/>
          <w:color w:val="0070C0"/>
          <w:sz w:val="16"/>
          <w:szCs w:val="16"/>
        </w:rPr>
        <w:softHyphen/>
        <w:t>строили. Из вооружения он получил толь</w:t>
      </w:r>
      <w:r w:rsidRPr="008A2E5A">
        <w:rPr>
          <w:rFonts w:ascii="Times New Roman" w:hAnsi="Times New Roman"/>
          <w:color w:val="0070C0"/>
          <w:sz w:val="16"/>
          <w:szCs w:val="16"/>
        </w:rPr>
        <w:softHyphen/>
        <w:t>ко пушки, но их боекомплект пришлось уменьшить до 150 снарядов на каждую - два ящика по 200 штук в зауженный нос все же не поместились. Ракетное воору</w:t>
      </w:r>
      <w:r w:rsidRPr="008A2E5A">
        <w:rPr>
          <w:rFonts w:ascii="Times New Roman" w:hAnsi="Times New Roman"/>
          <w:color w:val="0070C0"/>
          <w:sz w:val="16"/>
          <w:szCs w:val="16"/>
        </w:rPr>
        <w:softHyphen/>
        <w:t>жение решили установить позже по до</w:t>
      </w:r>
      <w:r w:rsidRPr="008A2E5A">
        <w:rPr>
          <w:rFonts w:ascii="Times New Roman" w:hAnsi="Times New Roman"/>
          <w:color w:val="0070C0"/>
          <w:sz w:val="16"/>
          <w:szCs w:val="16"/>
        </w:rPr>
        <w:softHyphen/>
        <w:t>полнительному требованию Заказчика, а о бомбовом и химическом пока вооб</w:t>
      </w:r>
      <w:r w:rsidRPr="008A2E5A">
        <w:rPr>
          <w:rFonts w:ascii="Times New Roman" w:hAnsi="Times New Roman"/>
          <w:color w:val="0070C0"/>
          <w:sz w:val="16"/>
          <w:szCs w:val="16"/>
        </w:rPr>
        <w:softHyphen/>
        <w:t>ще никто не вспоминал. Бомбодержатели с ухватами не ставили, но силовые узлы под них в самом крыле были.</w:t>
      </w:r>
    </w:p>
    <w:p w14:paraId="618A56E3" w14:textId="77777777" w:rsidR="00CF4E58" w:rsidRPr="008A2E5A" w:rsidRDefault="00CF4E58" w:rsidP="00CF4E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Более серьезным недостатком было отсутствие предусмотренной проек</w:t>
      </w:r>
      <w:r w:rsidRPr="008A2E5A">
        <w:rPr>
          <w:rFonts w:ascii="Times New Roman" w:hAnsi="Times New Roman"/>
          <w:color w:val="0070C0"/>
          <w:sz w:val="16"/>
          <w:szCs w:val="16"/>
        </w:rPr>
        <w:softHyphen/>
        <w:t>том радиостанции и мачты антенны, а в остальном все было сделано по до</w:t>
      </w:r>
      <w:r w:rsidRPr="008A2E5A">
        <w:rPr>
          <w:rFonts w:ascii="Times New Roman" w:hAnsi="Times New Roman"/>
          <w:color w:val="0070C0"/>
          <w:sz w:val="16"/>
          <w:szCs w:val="16"/>
        </w:rPr>
        <w:softHyphen/>
        <w:t>кументации. Качество сборки опытной машины получилось на удивление хо</w:t>
      </w:r>
      <w:r w:rsidRPr="008A2E5A">
        <w:rPr>
          <w:rFonts w:ascii="Times New Roman" w:hAnsi="Times New Roman"/>
          <w:color w:val="0070C0"/>
          <w:sz w:val="16"/>
          <w:szCs w:val="16"/>
        </w:rPr>
        <w:softHyphen/>
        <w:t>рошим. Съемные панели капота и зали</w:t>
      </w:r>
      <w:r w:rsidRPr="008A2E5A">
        <w:rPr>
          <w:rFonts w:ascii="Times New Roman" w:hAnsi="Times New Roman"/>
          <w:color w:val="0070C0"/>
          <w:sz w:val="16"/>
          <w:szCs w:val="16"/>
        </w:rPr>
        <w:softHyphen/>
        <w:t>зы были тщательно пригнаны, ниши шас</w:t>
      </w:r>
      <w:r w:rsidRPr="008A2E5A">
        <w:rPr>
          <w:rFonts w:ascii="Times New Roman" w:hAnsi="Times New Roman"/>
          <w:color w:val="0070C0"/>
          <w:sz w:val="16"/>
          <w:szCs w:val="16"/>
        </w:rPr>
        <w:softHyphen/>
        <w:t>си закрывались при уборке стоек плот</w:t>
      </w:r>
      <w:r w:rsidRPr="008A2E5A">
        <w:rPr>
          <w:rFonts w:ascii="Times New Roman" w:hAnsi="Times New Roman"/>
          <w:color w:val="0070C0"/>
          <w:sz w:val="16"/>
          <w:szCs w:val="16"/>
        </w:rPr>
        <w:softHyphen/>
        <w:t>но, но без затирания, щитки-закрылки хо</w:t>
      </w:r>
      <w:r w:rsidRPr="008A2E5A">
        <w:rPr>
          <w:rFonts w:ascii="Times New Roman" w:hAnsi="Times New Roman"/>
          <w:color w:val="0070C0"/>
          <w:sz w:val="16"/>
          <w:szCs w:val="16"/>
        </w:rPr>
        <w:softHyphen/>
        <w:t>рошо прилегали к задней кромке крыла, деревянную обшивку тщательно зашпатлевали и отполировали. Самолет покра</w:t>
      </w:r>
      <w:r w:rsidRPr="008A2E5A">
        <w:rPr>
          <w:rFonts w:ascii="Times New Roman" w:hAnsi="Times New Roman"/>
          <w:color w:val="0070C0"/>
          <w:sz w:val="16"/>
          <w:szCs w:val="16"/>
        </w:rPr>
        <w:softHyphen/>
        <w:t>сили стандартно для большинства МиГ-3 последних серий - сверху и с боков зе</w:t>
      </w:r>
      <w:r w:rsidRPr="008A2E5A">
        <w:rPr>
          <w:rFonts w:ascii="Times New Roman" w:hAnsi="Times New Roman"/>
          <w:color w:val="0070C0"/>
          <w:sz w:val="16"/>
          <w:szCs w:val="16"/>
        </w:rPr>
        <w:softHyphen/>
        <w:t>леной краской, а снизу - голубой, но по</w:t>
      </w:r>
      <w:r w:rsidRPr="008A2E5A">
        <w:rPr>
          <w:rFonts w:ascii="Times New Roman" w:hAnsi="Times New Roman"/>
          <w:color w:val="0070C0"/>
          <w:sz w:val="16"/>
          <w:szCs w:val="16"/>
        </w:rPr>
        <w:softHyphen/>
        <w:t>верх покрыли хорошим слоем полуматового бесцветного лака, придав обшивке «яичный блеск» (23396).</w:t>
      </w:r>
    </w:p>
    <w:p w14:paraId="13342346" w14:textId="77777777" w:rsidR="00CF4E58" w:rsidRPr="008A2E5A" w:rsidRDefault="00CF4E58" w:rsidP="00CF4E58">
      <w:pPr>
        <w:spacing w:after="0" w:line="240" w:lineRule="auto"/>
        <w:jc w:val="both"/>
        <w:rPr>
          <w:rFonts w:ascii="Times New Roman" w:hAnsi="Times New Roman"/>
          <w:color w:val="0070C0"/>
          <w:sz w:val="16"/>
          <w:szCs w:val="16"/>
        </w:rPr>
      </w:pPr>
    </w:p>
    <w:p w14:paraId="0427455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лету 1942 года на планерном заводе в Тюмени построили установку, которая получила название КТ ("Крылья танка"), а также обозначалась индексами А-Т, АТ-1 или планер A-40. Крылья с размахом 18 метров и двухбалочное хвостовое оперение были выполнены по бипланной схеме для уменьшения размеров планера. Длина его составляла всего 12,06 м. Тросовое управление подвели к месту механика-водителя танка, дополнительно оборудовав его зеркалами бокового и заднего обзоров. Саму машину предельно облегчили (до массы 5800 кг), сняв вооружение, боекомплект, фары, крылья и слив почти все топливо. Полетная масса танка-планера составила 7804 кг, удельная нагрузка на крыло составила всего 91 кг/м2 (3862).</w:t>
      </w:r>
    </w:p>
    <w:p w14:paraId="719B19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36E49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лету 1942 года была завершена постройкой на планерном заводе в Тюмени машина, получившая название КТ («Крылья танка», другие названия – А-Т, АТ, АТ-1 или А-40). Для крыла и оперения, размещавшегося на двух балках, Антонов избрал бипланную схему. Это позволило получить достаточно компактные размеры – размах крыла составлял 18 метров, длина аппарата – 12,00 м. Вся конструкция планера выполнялась из дерева, носки крыльев обшивались фанерой, остальное обтягивалось полотном. Экипаж планёра «АТ» состоял из двух человек и размещался на тех же местах, что и в боевой обстановке на танке на земле. Роль пилота выполнял механик-водитель, к рабочему месту которого было подведено тросовое управление планёром, включавшее ручку, педали и рычаг управления закрылками. Обзор по бокам и назад обеспечивался с помощью зеркал (перископа). Расчётная полётная масса танка-планёра составила 7804 кг, в том числе на массу самого танка приходилось 5800 кг, остальное – крыло и оперение. При испытаниях для облегчения с танка сняли вооружение. По отчёту, на танке не было: 1. Бронелиста. 2. Щитка водителя. 3. Люка водителя. 4. Оружия и боеприпасов. 5. Башни стрелка с поворотным механизмом. Фактический полётный вес с одним пилотом получился 6710 кг при запасе бензина в танке 100 кг. Планер и танк перевезли на аэродром ЛИИ в Кратово, где 22 июля 1942 года конструкцию собрали. Осенью 1942 г. планер КТ впервые поднялся в воздух. Увы, этот первый испытательный полёт оказался единственным. Командиром самолёта-буксировщика – четырёхмоторного ТБ-3 с двигателями АМ-34РНВ – был П.А.Еремеев. Пилотом танка-планёра, а одновременно и механиком-водителем, стал лётчик-испытатель С.Н.Анохин. Согласно отчёту, разбег и отрыв производился при взлётном форсаже моторов. Вес самолёта был равен 17500 кг. Планёр оторвался на скорости 110-115 км/час, самолёт на скорости 120 км/час. Как оказалось, мощность четырёх двигателей самолёта ТБ-3 явно не обеспечивала уверенного полёта. Процитируем отчёт об испытаниях: «При форсированных оборотах мотора была набрана высота 30-40 м. После частичной уборки форсажа /…/ поезд сохранил горизонтальный полёт на скорости 130 км/час. При увеличении скорости до 140 км/час поезд снижался с вертикальной скоростью 0,5 м/сек. Не имея возможности набрать высоту, было принято решение сделать отцепку планера с прямой над аэродромом Быково. Посадка был сделана благополучно. /…/ После приземления планер немного развернуло. Длина пробега около 20 метров /…/. С быковского аэродрома на аэродром (название замазано, речь идёт о Монино) (8 км) планер «АТ» без разборки был доставлен самоходом. Ввиду недостатка мощности на самолете ТБ-3 4АМ34РНВ для буксировки планера «АТ», дальнейшие испытания были приостановлены». «Летающий танк» Антонова вернули в Кратово (на аэродром ЛИИ), и более он никогда не поднимался в воздух. Результаты могли бы быть более успешными в случае использовании в качестве буксировщика самолёта ТБ-7 (Пе-8). Однако это было бы непозволительной роскошью – таких самолётов насчитывалось в строю всего около 40, и они были остро необходимы для других целей. По этой причине работа над «летающим танком» КТ (А-40) не получила продолжения (19165).</w:t>
      </w:r>
    </w:p>
    <w:p w14:paraId="62EC3D9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C0471D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718F718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C95FDE" w14:textId="77777777" w:rsidR="00CF4E58" w:rsidRPr="008A2E5A" w:rsidRDefault="00CF4E58" w:rsidP="00CF4E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лету 1942 года работы по КВ-7 затихли. С одной стороны, испытания, проведенные 14 мая 1942 года на Копейском полигоне, показали, что ОКБ-3 УЗТМ зря времени не теряло. По крайней мере, кучность установки У-14 была выше, чем в случае с У-13. Другой вопрос, что система всё равно имела проблему со сбиваемостью при стрельбе, поскольку синхронность залпа удавалось получить не всегда. Скорострельность составила 6-7 выстрелов в минуту, примерно на уровне КВ-1. Имелись замечания к механизму наводки по горизонтали, требовалось крутить его двумя руками. Всего набралось 6 пунктов замечаний.</w:t>
      </w:r>
    </w:p>
    <w:p w14:paraId="196F7129" w14:textId="77777777" w:rsidR="00CF4E58" w:rsidRPr="008A2E5A" w:rsidRDefault="00CF4E58" w:rsidP="00CF4E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этом работы по КВ-7, в его текущем виде, прекратились. Помимо всего прочего, уже стало понятно, что лучше поставить орудие побольше, чем городить двухстволку. Снова о КВ-7 вспомнили в октябре 1942 года, когда провели дополнительные испытания. Предполагалось поставить на машину смотровую башенку КВ-1с, доработать установку и отправить на фронт. Но этого так и не случилось. Далее КВ-7 использовался как стенд для испытания планетарной трансмиссии разработки Московского Машиностроительного Института им. Баумана под руководством Г.И. Зайчика. Всего с февраля по апрель 1943 года танк прошел 843 километра, но далее работы застопорились. В любом случае, победил планетарный механизм поворота, разработанный под руководством инженера-полковника А.И. Благонравова (23551).</w:t>
      </w:r>
    </w:p>
    <w:p w14:paraId="6354FD7F" w14:textId="77777777" w:rsidR="00CF4E58" w:rsidRPr="008A2E5A" w:rsidRDefault="00CF4E58" w:rsidP="00CF4E58">
      <w:pPr>
        <w:spacing w:after="0" w:line="240" w:lineRule="auto"/>
        <w:jc w:val="both"/>
        <w:rPr>
          <w:rFonts w:ascii="Times New Roman" w:hAnsi="Times New Roman"/>
          <w:color w:val="0070C0"/>
          <w:sz w:val="16"/>
          <w:szCs w:val="16"/>
        </w:rPr>
      </w:pPr>
    </w:p>
    <w:p w14:paraId="4E8DD58A" w14:textId="77777777" w:rsidR="00CF4E58" w:rsidRPr="008A2E5A" w:rsidRDefault="00CF4E58" w:rsidP="00CF4E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лету 1942 г. все производство башен КВ было переведено на литье) вместо сварных из катаного металла дало огромный положительный экономический эффект:</w:t>
      </w:r>
    </w:p>
    <w:p w14:paraId="3245F842" w14:textId="77777777" w:rsidR="00CF4E58" w:rsidRPr="008A2E5A" w:rsidRDefault="00CF4E58" w:rsidP="00CF4E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был резко снижен объем работ по механической обработке башен (с 231 нормо-часа до 140, т. е. на 40 %);</w:t>
      </w:r>
    </w:p>
    <w:p w14:paraId="4151CFBF" w14:textId="77777777" w:rsidR="00CF4E58" w:rsidRPr="008A2E5A" w:rsidRDefault="00CF4E58" w:rsidP="00CF4E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 снижено потребление дефицитной катаной броневой стали для танка КВ на 20 %, снижен объем прессо-гибочных работ в целом по танку на 50 %, а следовательно, высвобождено прокатное, прессовое и гибочное оборудование в танковой и металлургической отраслях промышленности;</w:t>
      </w:r>
    </w:p>
    <w:p w14:paraId="7A9BAF12" w14:textId="77777777" w:rsidR="00CF4E58" w:rsidRPr="008A2E5A" w:rsidRDefault="00CF4E58" w:rsidP="00CF4E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был ускорен процесс сварки башен в 2-3 раза и снижен объем сварочных работ на 75 %;</w:t>
      </w:r>
    </w:p>
    <w:p w14:paraId="419839D4" w14:textId="77777777" w:rsidR="00CF4E58" w:rsidRPr="008A2E5A" w:rsidRDefault="00CF4E58" w:rsidP="00CF4E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достигнута существенная экономия жидкого металла, кислорода и карбида кальция[425] (23536).</w:t>
      </w:r>
    </w:p>
    <w:p w14:paraId="07EF5043" w14:textId="77777777" w:rsidR="00CF4E58" w:rsidRPr="008A2E5A" w:rsidRDefault="00CF4E58" w:rsidP="00CF4E58">
      <w:pPr>
        <w:spacing w:after="0" w:line="240" w:lineRule="auto"/>
        <w:jc w:val="both"/>
        <w:rPr>
          <w:rFonts w:ascii="Times New Roman" w:hAnsi="Times New Roman"/>
          <w:color w:val="0070C0"/>
          <w:sz w:val="16"/>
          <w:szCs w:val="16"/>
        </w:rPr>
      </w:pPr>
    </w:p>
    <w:p w14:paraId="270466D9"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К лету 1942 года конструкторские бюро УЗТМ и № 8 начали прямую конкуренцию друг с другом. Особую пикантность происходящему добавлял тот факт, что КБ УЗТМ, возглавляемое Горлицким, и КБ завода №8, возглавляемое Петровым, располагалось, соответственно, на пятом и четвертом этажах одного и того же здания заводоуправления УЗТМ. Наиболее плотной оказалась конкуренция между КБ по самоходным установкам. И УЗТМ, и завод №8 работали по широкому спектру самоходной артиллерии. В их разработке находились легкие, средние и тяжелые САУ, а также зенитные самоходные установки. Если КБ УЗТМ работало по заданию сверху, то коллектив Петрова часть работ проводило в инициативном порядке.</w:t>
      </w:r>
    </w:p>
    <w:p w14:paraId="6EEA5BE2"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Оказался среди работ КБ завода №8 и проект установки 152 мм гаубицы-пушки МЛ-20 в корпусе штурмового танка КВ-7. Согласно документам, задание №5400072 на проектирование «установки качающейся части 152,4 мм гаубицы образца 1937 г. (МЛ-20) в танке КВ-7» было выдано Артиллерийским комитетом ГАУ КА 4 июня 1942 года.</w:t>
      </w:r>
    </w:p>
    <w:p w14:paraId="2FD3F120"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Эта дата несколько не согласуется с письмом начальника Артиллерийского Комитета ГАУ КА генерал-полковника В.И. Хохлова в адрес председателя Технического Совета НКВ профессора Э.А. Сателя. Письмо это также датировано 4 июня 1942 года. Согласно этому письму, самоходная установка по состоянию на начало июня уже была в работе. Вместе с ней КБ завода №8 проектировало установки с 122-мм гаубицей М-30 и 122-мм гаубицей У-11 на базе танка Т-34, известные как ЗИК-11 и ЗИК-10. Сроки завершения упомянутых проектов на тот момент установлены не были, и работа шла, что называется, самотеком. Ввиду важности этих работ в письме было предложено установить сроком для завершения эскизных проектов 15 июня, а к 20 числу планировалось доставить их в Москву на утверждение. Однако сроки эти соблюдены не были — реально документация на ЗИК-10 и ЗИК-11 была закончена в августе.</w:t>
      </w:r>
    </w:p>
    <w:p w14:paraId="70D6348F"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Что же касается тяжелой САУ, получившей заводское обозначение ЗИК-20, то работы по ней затянулись на еще больший срок. В значительной степени виной этому стала попытка Главного артиллерийского управления (ГАУ) и Главного автобронетанкового управления (ГАБТУ) переложить на КБ завода №8 разработку столь желаемого ими истребителя ДОТов с орудием БР-2. 23 июня 1942 года заместитель Народного Комиссара Танковой Промышленности А.А. Горегляда написал письмо в адрес начальника ГАУ КА генерал-полковника Н.Д. Яковлева. В нем предлагалось возложить на НКВ изготовление двух образцов 152-мм пушки образца 1937 года с увеличением начальной скорости снаряда до 750–780 м/с за счет удлинения ствола и применения дульного тормоза. Впрочем, и Петров к срывам работ имеет самое прямое отношение, поскольку упомянутую систему разработали в его КБ (15806).</w:t>
      </w:r>
    </w:p>
    <w:p w14:paraId="64AB4D47" w14:textId="77777777" w:rsidR="007C5583" w:rsidRPr="008127F8" w:rsidRDefault="007C5583" w:rsidP="007C5583">
      <w:pPr>
        <w:pStyle w:val="af"/>
        <w:shd w:val="clear" w:color="auto" w:fill="FFFFFF"/>
        <w:spacing w:before="0" w:after="0"/>
        <w:jc w:val="both"/>
        <w:rPr>
          <w:color w:val="000000" w:themeColor="text1"/>
          <w:sz w:val="16"/>
          <w:szCs w:val="16"/>
        </w:rPr>
      </w:pPr>
    </w:p>
    <w:p w14:paraId="1AC09C66"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 лету 1942 года конструкторские УЗТМ и № 8 начали прямую конкуренцию друг с другом. Особую пикантность происходящему добавлял тот факт, что КБ УЗТМ, возглавляемое Горлицким, и КБ завода №8, возглавляемое Петровым, располагалось, соответственно, на пятом и четвёртом этажах одного и того же здания заводоуправления УЗТМ. Наиболее плотной оказалась конкуренция между КБ по самоходным установкам. И УЗТМ, и завод №8 работали по широкому спектру самоходной артиллерии. В их разработке находились лёгкие, средние и тяжёлые САУ, а также зенитные самоходные установки. Если КБ УЗТМ работало по заданию сверху, то коллектив Петрова часть работ проводил в инициативном порядке (17649).</w:t>
      </w:r>
    </w:p>
    <w:p w14:paraId="6A3CB55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605C4F7" w14:textId="77777777" w:rsidR="007C5583" w:rsidRPr="008127F8" w:rsidRDefault="007C5583" w:rsidP="007C5583">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К лету 1942 года совместная разработка КБ завода №8 и завода №183 обрела очертания. Согласно проекту, экипаж танка составлял 5 человек, но при этом в боевом отделении находилось двое. Куда собирались девать второго заряжающего (замкового), большой вопрос. В боевом положении сиденье заряжающего складывалось, что облегчало его работу. Согласно расчетам, боекомплект "Т-34 артиллерийского" составлял 50 выстрелов, из них в корпусе 34, остальные в кормовой нише башни. Сохранялся и спаренный пулемет. Боевая масса, по сравнению с серийным Т-34, возрастала незначительно - до 30700 кг. С учетом бурного роста массы Т-34, реально гаубичный Т-34 имел бы массу около 32 тонн. Потенциально запуск данного проекта в серию не составил бы больших проблем. Шасси сохранялось то же, что и у обычного Т-34, а орудие У-11 уже предварительно освоили на заводе №8 (20881).</w:t>
      </w:r>
    </w:p>
    <w:p w14:paraId="166202F6" w14:textId="77777777" w:rsidR="007C5583" w:rsidRPr="008127F8" w:rsidRDefault="007C5583" w:rsidP="007C5583">
      <w:pPr>
        <w:pStyle w:val="article-renderblock"/>
        <w:shd w:val="clear" w:color="auto" w:fill="FFFFFF"/>
        <w:spacing w:before="0" w:beforeAutospacing="0" w:after="0" w:afterAutospacing="0"/>
        <w:jc w:val="both"/>
        <w:rPr>
          <w:color w:val="000000" w:themeColor="text1"/>
          <w:sz w:val="16"/>
          <w:szCs w:val="16"/>
        </w:rPr>
      </w:pPr>
    </w:p>
    <w:p w14:paraId="491858E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лету 1942 года стабилизировалась ситуация с выпуском дизелей В-2. Осенью 1941 года дизельное производство завода № 75 эвакуировали из Харькова в Челябинск, на Челябинский Кировский завод. В это же время начали выпуск дизелей В-2 на СТЗ. Но все равно их не хватало и на тридцатьчетверки, как говорилось выше, пришлось ставить карбюраторные моторы М-17. Для выправления положения с двигателями эвакуированное с Кировского завода в Ленинграде двигательное производство разместили на Уральском турбинном заводе в Свердловске. Новое предприятие получило № 76 и было ориентировано на выпуск В-2. Их серийный выпуск начался тут с февраля 1942 года.</w:t>
      </w:r>
    </w:p>
    <w:p w14:paraId="461879D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в Барнауле, на базе двигательного производства Харьковского тракторного завода и ЗИСа был создан еще один завод - №77 - по производству дизелей, с запланированной мощностью 35 В-2 в сутки. Первую продукцию он выдал в ноябре 1942 года.</w:t>
      </w:r>
    </w:p>
    <w:p w14:paraId="34068BE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в феврале 1942 года ситуация была еще не очень обнадеживающей, о чем заместитель наркома танковой промышленности Котин докладывал В. Молотову:</w:t>
      </w:r>
    </w:p>
    <w:p w14:paraId="7A3257F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«Рост выпуска КВ и Т-34 за последние 4-5 месяцев тормозится т.о. недостатком танковых дизелей В-2.</w:t>
      </w:r>
    </w:p>
    <w:p w14:paraId="78647A6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эвакуации танковых заводов из Харькова и Ленинграда производство В-2 несколько опережало производство танков КВ и Т-34. В последующий период все время производство В-2 отстает от производства танков».</w:t>
      </w:r>
    </w:p>
    <w:p w14:paraId="41B9017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уже в марте 1942 года ситуация выправилась — заводы № 76 и Челябинский Кировский стали отгружать дизеля в нужных количествах, что позволило прекратить установку моторов М-17 на Т-34. Напомним, что специализировался на этом завод № 112 «Красное Сормово», поставивший в начале 1942 года Красной Армии 540 танков Т-34 с карбюраторными двигателями.</w:t>
      </w:r>
    </w:p>
    <w:p w14:paraId="7179D45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1942 года директора заводов № 112 и № 113 в Горьком получили приказ наркома танковой промышленности № 268. в котором говорилось:</w:t>
      </w:r>
    </w:p>
    <w:p w14:paraId="69D3406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прекращением по решению ГОКО от 14 марта 1942 гола производства моторов М-17 на заводе ГАЗ, и указанием правительства перейти на заводе № 112 на выпуск Т-34 с В-2 приказываю:</w:t>
      </w:r>
    </w:p>
    <w:p w14:paraId="685B928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Директору завода № 112 т. Михалеву немедленно начать подготовку производства Т-34 с В-2 и с 1 апреля 1942 года перейти на выпуск танков Т-34 с В-2.</w:t>
      </w:r>
    </w:p>
    <w:p w14:paraId="1C1030D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Директору завода № 113т. Рябову перейти к изготовлению главных фрикционов для танков с дизелем В-2».</w:t>
      </w:r>
    </w:p>
    <w:p w14:paraId="342E50A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апреля 1942 года заместитель наркома танковой промышленности А. Горегляд направил на имя заместителя председателя ГКО В. Молотова письмо, в котором сообщал:</w:t>
      </w:r>
    </w:p>
    <w:p w14:paraId="6FD887A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«Изготовление Т-34 с мотором М-17 на заводе № 112 НКТП прекращено в соответствии с решением ГКО. Выпуск танков с В-2 задерживался из-за отсутствия указанных моторов. Отгруженные с Кировского завода 86 моторов в адрес завода еще не прибыли. В настоящее время на заводе имеется в наличии 51 машина с М-17 прошедшая пробег, но требу- юшие небольших доделок.</w:t>
      </w:r>
    </w:p>
    <w:p w14:paraId="60DA11D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Вас обязать НКПС т. Хру- лева обеспечить немедленную доставку заводу 112 находящихся в пути моторов.</w:t>
      </w:r>
    </w:p>
    <w:p w14:paraId="28EAAFF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ТанкТ-34 выпуска завода №183 апреля 1943года (ЦАМО).</w:t>
      </w:r>
    </w:p>
    <w:p w14:paraId="4E6E125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Разрешить НКТП сдачу Т-34 с двигателем М-17, имеющихся в наличии, но не принятых военпредом» (12217).</w:t>
      </w:r>
    </w:p>
    <w:p w14:paraId="6FC26B7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0A2C37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лету 1942 года в войсках практически не осталось САУ ЗИС-30. Часть машин была потеряна в боях, а часть, вышла из строя по техническим причинам.</w:t>
      </w:r>
    </w:p>
    <w:p w14:paraId="4F30E43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B0498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 лету </w:t>
      </w:r>
      <w:r w:rsidRPr="008127F8">
        <w:rPr>
          <w:rFonts w:ascii="Times New Roman" w:hAnsi="Times New Roman"/>
          <w:iCs/>
          <w:color w:val="000000" w:themeColor="text1"/>
          <w:sz w:val="16"/>
          <w:szCs w:val="16"/>
        </w:rPr>
        <w:t xml:space="preserve">1942 </w:t>
      </w:r>
      <w:r w:rsidRPr="008127F8">
        <w:rPr>
          <w:rFonts w:ascii="Times New Roman" w:hAnsi="Times New Roman"/>
          <w:color w:val="000000" w:themeColor="text1"/>
          <w:sz w:val="16"/>
          <w:szCs w:val="16"/>
        </w:rPr>
        <w:t>года в войсках практически не осталось ЗИС-30. Часть из них была потеряна в бо</w:t>
      </w:r>
      <w:r w:rsidRPr="008127F8">
        <w:rPr>
          <w:rFonts w:ascii="Times New Roman" w:hAnsi="Times New Roman"/>
          <w:color w:val="000000" w:themeColor="text1"/>
          <w:sz w:val="16"/>
          <w:szCs w:val="16"/>
        </w:rPr>
        <w:softHyphen/>
        <w:t>ях, а часть вышла из строя по причине по</w:t>
      </w:r>
      <w:r w:rsidRPr="008127F8">
        <w:rPr>
          <w:rFonts w:ascii="Times New Roman" w:hAnsi="Times New Roman"/>
          <w:color w:val="000000" w:themeColor="text1"/>
          <w:sz w:val="16"/>
          <w:szCs w:val="16"/>
        </w:rPr>
        <w:softHyphen/>
        <w:t>ломок.(11089).</w:t>
      </w:r>
    </w:p>
    <w:p w14:paraId="0302A72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D433FB"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 лету 1942 года, когда появилась вторая итерация ЧКШ (уже ЧК) выпуск ГАЗ-64 возобновили, но в таких объемах, что скорее они являлись статистической погрешностью.</w:t>
      </w:r>
    </w:p>
    <w:p w14:paraId="42DAD45D"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Изначально предполагалось, что перевозить орудие предполагалось либо силами расчета, либо на мотоцикле. Между тем, эти требования разрабатывались до того, как на вооружении Красной Армии появился новый тип автомобиля - полноприводной автомобиль-разведчик, он же "Пигмей", он же ГАЗ-64. Данная машина имела небольшую боевую массу, могла перевозиться силами военно-транспортной авиации и отлично подходила как легкий артиллерийский тягач.</w:t>
      </w:r>
    </w:p>
    <w:p w14:paraId="6011DCC2"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Поэтому ОКБЛ-46 стало рассматривать другую машину - Bantam BRC40, данные командирские машины поставлялись по программе ленд-лиза с конца 1941 по весну 1942 года, всего прибыло около 500 таких автомобилей. Но и с ним как-то не очень задалось: пока в ОКБЛ-46 прорабатывали вопрос установки ЧК в "бантик", его поставки прекратились. Поэтому проект установки в него пушки так и остался проектом (20126).</w:t>
      </w:r>
    </w:p>
    <w:p w14:paraId="284EEAAD"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551CDD5" w14:textId="77777777" w:rsidR="00CF4E58" w:rsidRPr="008A2E5A" w:rsidRDefault="00CF4E58" w:rsidP="00CF4E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лету 1942 г. большинство эвакуированных в уральский регион предприятий стали систематически выполнять свои задания[483]. Вслед за советской историографией идут авторы современной коллективной монографии «Экономический фундамент Победы»[484]. Этой же точки зрения придерживается исследователь истории танковой промышленности А.Ю. Ермолов[485].</w:t>
      </w:r>
    </w:p>
    <w:p w14:paraId="0E5258F8" w14:textId="77777777" w:rsidR="00CF4E58" w:rsidRPr="008A2E5A" w:rsidRDefault="00CF4E58" w:rsidP="00CF4E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Если воспользоваться только количественными данными, то окажется, что танковая промышленность и страны, и Урала к середине 1942 года достигла действительно впечатляющих результатов. Уралмаш успешно освоил выпуск бронекорпусов Т-34 параллельно с выпуском корпусов КВ и во II квартале в целом успешно справлялся </w:t>
      </w:r>
      <w:r w:rsidRPr="008A2E5A">
        <w:rPr>
          <w:rFonts w:ascii="Times New Roman" w:hAnsi="Times New Roman"/>
          <w:color w:val="0070C0"/>
          <w:sz w:val="16"/>
          <w:szCs w:val="16"/>
        </w:rPr>
        <w:lastRenderedPageBreak/>
        <w:t>с плановыми заданиями (см. таблицу 5.1 приложения). Кировский завод постоянно наращивал производство танка КВ и уже к маю вышел на полное выполнение и перевыполнение планов (см. таблицу 5.2 приложения). Выпуск двигателя В-2 Кировский завод увеличил с января по март более чем в 4 раза и точно так же, как и в танковом производстве, с мая стал стабильно перевыполнять план (см. таблицу 5.3 приложения). Челябинский бронекорпусной завод № 200 тоже добился впечатляющих успехов, уже в апреле перевыполнив план почти на 30 %. Правда, этот успех во многом был достигнут за счет полного провала программы предыдущего месяца, когда выпуск корпусов был равен 0. Но в течение следующих двух месяцев в целом положительная динамика выполнения программы сохранилась (см. таблицу 5.6 приложения). УТЗ нарастил выпуск бронекорпусов и танков с января по май примерно в 3 раза[486]. Завод № 37 за первое полугодие увеличил выпуск легких танков более чем в 3 раза. К маю он приблизился к выполнению программы, а в июне даже смог ее перевыполнить (см. таблицу 5.7 приложения).</w:t>
      </w:r>
    </w:p>
    <w:p w14:paraId="082BEDDA" w14:textId="77777777" w:rsidR="00CF4E58" w:rsidRPr="008A2E5A" w:rsidRDefault="00CF4E58" w:rsidP="00CF4E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мы видим, что в целом в течение II квартала 1942 г. танковая промышленность работала успешно, зачастую перевыполняя плановые показатели. Это было серьезное достижение. На этом можно было бы поставить точку и сказать, что период восстановления эвакуированного производства закончен. Дальше заводы должны ждать следующие достижения и успехи. Но беда в том, что ограничиться только количественными показателями мы не можем. Важно также принимать в расчет качество бронетанковой продукции.</w:t>
      </w:r>
    </w:p>
    <w:p w14:paraId="185069D0" w14:textId="77777777" w:rsidR="00CF4E58" w:rsidRPr="008A2E5A" w:rsidRDefault="00CF4E58" w:rsidP="00CF4E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Более детальный анализ событий 1942 г. не позволяет нам согласиться с уже устоявшейся точкой зрения. Заводы постоянно работали на увеличение количества выпускаемой продукции - это было главное требование, которое к ним предъявляло руководство страны. И именно за выполнение этого показателя заводы получали указанные награды. В то же время качество продукции танкостроения оставалось предельно низким (23536).</w:t>
      </w:r>
    </w:p>
    <w:p w14:paraId="5FF80B14" w14:textId="77777777" w:rsidR="00CF4E58" w:rsidRPr="008A2E5A" w:rsidRDefault="00CF4E58" w:rsidP="00CF4E58">
      <w:pPr>
        <w:spacing w:after="0" w:line="240" w:lineRule="auto"/>
        <w:jc w:val="both"/>
        <w:rPr>
          <w:rFonts w:ascii="Times New Roman" w:hAnsi="Times New Roman"/>
          <w:color w:val="0070C0"/>
          <w:sz w:val="16"/>
          <w:szCs w:val="16"/>
        </w:rPr>
      </w:pPr>
    </w:p>
    <w:p w14:paraId="768DAD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44288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827F02" w14:textId="77777777" w:rsidR="007C5583" w:rsidRPr="008127F8" w:rsidRDefault="007C5583" w:rsidP="007C5583">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К лету 1942 г. высоты боевого применения Ил-2 АМ-38 были повышены до 600-1200 м. Как следствие, резко обо</w:t>
      </w:r>
      <w:r w:rsidRPr="008127F8">
        <w:rPr>
          <w:rFonts w:ascii="Times New Roman" w:hAnsi="Times New Roman" w:cs="Times New Roman"/>
          <w:color w:val="000000" w:themeColor="text1"/>
          <w:sz w:val="16"/>
          <w:szCs w:val="16"/>
        </w:rPr>
        <w:softHyphen/>
        <w:t>стрилась проблема истребителей люфт</w:t>
      </w:r>
      <w:r w:rsidRPr="008127F8">
        <w:rPr>
          <w:rFonts w:ascii="Times New Roman" w:hAnsi="Times New Roman" w:cs="Times New Roman"/>
          <w:color w:val="000000" w:themeColor="text1"/>
          <w:sz w:val="16"/>
          <w:szCs w:val="16"/>
        </w:rPr>
        <w:softHyphen/>
        <w:t>ваффе. Действия штурмовиков со средних высот без прикрытия своих истребителей стали практически невозможными,так как при уходе группы от цели замыкающие самолеты обычно отставали, подвергались атакам истребителей противника и, «как закон», сбивались. Даже при наличии прикрывающих истребителей было очень трудно обеспечить защиту штурмовиков в растянутом боевом порядке. Особенно тяжелое положение сложилось на сталин</w:t>
      </w:r>
      <w:r w:rsidRPr="008127F8">
        <w:rPr>
          <w:rFonts w:ascii="Times New Roman" w:hAnsi="Times New Roman" w:cs="Times New Roman"/>
          <w:color w:val="000000" w:themeColor="text1"/>
          <w:sz w:val="16"/>
          <w:szCs w:val="16"/>
        </w:rPr>
        <w:softHyphen/>
        <w:t>градском направлении, где потери Ил-2 от воздействия истребительной авиации противника доходили до 50-60% от об</w:t>
      </w:r>
      <w:r w:rsidRPr="008127F8">
        <w:rPr>
          <w:rFonts w:ascii="Times New Roman" w:hAnsi="Times New Roman" w:cs="Times New Roman"/>
          <w:color w:val="000000" w:themeColor="text1"/>
          <w:sz w:val="16"/>
          <w:szCs w:val="16"/>
        </w:rPr>
        <w:softHyphen/>
        <w:t>щего числа не вернувшихся штурмовиков.</w:t>
      </w:r>
    </w:p>
    <w:p w14:paraId="644F5CF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силу огромных потерь от истребите</w:t>
      </w:r>
      <w:r w:rsidRPr="008127F8">
        <w:rPr>
          <w:rFonts w:ascii="Times New Roman" w:hAnsi="Times New Roman"/>
          <w:color w:val="000000" w:themeColor="text1"/>
          <w:sz w:val="16"/>
          <w:szCs w:val="16"/>
        </w:rPr>
        <w:softHyphen/>
        <w:t>лей у летного состава штурмовых полков в это время, как выразился командир 11-го гшад полковник Наконечников, «было такое настроение, что штурмовику драться с истребителями противника вообще невозможно /.../ мол «летчик- штурмовик - это смертник», а у некоторых слабых духом, которые боялись за свою жизнь, появлялась трусость». По этим причинам «группы штурмовиков при встрече с истребителями противника в бой не вступали, а чаще всего по существу бежали с поля боя на бреющей высоте, в результате чего несли колоссальные потери, нередко теряя полные группы».</w:t>
      </w:r>
    </w:p>
    <w:p w14:paraId="53AE9000" w14:textId="77777777" w:rsidR="007C5583" w:rsidRPr="008127F8" w:rsidRDefault="007C5583" w:rsidP="007C5583">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Штаб ВВС КА буквально захлестнул вал требований командного и летного состава штурмовых авиаполков и дивизий действующей армии «обеспечить надежную огневую защиту Ил-2 от атак истребителей со стороны задней полусферы».</w:t>
      </w:r>
    </w:p>
    <w:p w14:paraId="6AD73E24" w14:textId="77777777" w:rsidR="007C5583" w:rsidRPr="008127F8" w:rsidRDefault="007C5583" w:rsidP="007C5583">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Здесь следует учитывать, что в это время наша истребительная авиация еще не могла на равных вести воздушные бои с истребителями люфтваффе. Уровень технического совершенства советских ис</w:t>
      </w:r>
      <w:r w:rsidRPr="008127F8">
        <w:rPr>
          <w:rFonts w:ascii="Times New Roman" w:hAnsi="Times New Roman" w:cs="Times New Roman"/>
          <w:color w:val="000000" w:themeColor="text1"/>
          <w:sz w:val="16"/>
          <w:szCs w:val="16"/>
        </w:rPr>
        <w:softHyphen/>
        <w:t>требителей заметно отставал от немецких самолетов, а летно-боевая и тактическая подготовка летного и командного состава ВВС КА оставляла желать лучшего (19111).</w:t>
      </w:r>
    </w:p>
    <w:p w14:paraId="5E77EBBA" w14:textId="77777777" w:rsidR="007C5583" w:rsidRPr="008127F8" w:rsidRDefault="007C5583" w:rsidP="007C5583">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399B3A2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лету 1942 г. удалось подготовить и отправить в действующую армию 77 экипажей, из которых 52 летали на Су-2, а остальные на импортных "Кертисах" 0-52. Постоянная нехватка Су-2 тормозила работу запасного полка. К тому же, П.О. Сухой получил указание прекратить все дальнейшие работы по совершенствованию Су-2-корректировшика. Все же, в апреле - мае удалось подготовить две первых эскадрильи - 12-ю для действий на Ленинградском фронте и 13-ю для Калининского фронта (12028).</w:t>
      </w:r>
    </w:p>
    <w:p w14:paraId="1311CB9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BD5F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лету 1942 из-за потерь самолетов на фронте ПС-84 стали использовать как бомбардировщики, поднимавшие до 4 ФАБ-250. На правом борту установили визир, точность была низкой, но экипажу было удобнее, чем в Ил-4. Летом выпускали до 50-55 машин в месяц (1168,19).</w:t>
      </w:r>
    </w:p>
    <w:p w14:paraId="77F6B8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200F7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1BFE46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D75F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лету 1942 г. Япония захватила все главные колонии и базы Великобритании, США и Голландии в регионе: Малайю, Бирму, Филиппины, Голландскую Ост-Индию, Индокитай, ряд островов в Алеутской гряде. Готовилась японская высадка в Австралии и Новой Зеландии. Преобладание Японии на море было явным.</w:t>
      </w:r>
    </w:p>
    <w:p w14:paraId="5585F64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Соединенные Штаты проводили на Тихом океане "периферийную стратегию": избегая столкновения с главными силами Японии, готовить силы для нанесения по ней решительного удара, который бы раз и навсегда сокрушил японскую угрозы для американских интересов. США не пытались высадиться, например, в Китае для удара по японским оккупационным войскам или даже выдвинуть свои силы непосредственно к японской территории.</w:t>
      </w:r>
    </w:p>
    <w:p w14:paraId="0F46F7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Против такого сценария говорили стратегические расчеты американских военных. Считалось, что в Европе высадка более или менее крупного американского экспедиционного корпуса в Северной Франции позволяла рассчитывать на быстрый захват Рейнской области, обладание давало контроль над экономической жизнью Германии и было мощным средством воздействия на нацистское руководство. Напротив, в условиях огромного и относительно слабо развитого Китая контроль над какой-то одной из частей страны не позволял рассчитывать на преобладание в масштабах всей страны. Экспедиционный корпус численностью, достаточной для решающего успеха в Европе в условиях Китая, просто бы потерялся на его перенаселенных пространствах. Американские войска заведомо оказались бы втянутыми в затяжную, вяло текущую войну, опасность которой уже была продемонстрирована неспособностью Японии добиться решающей победы над гораздо более слабо подготовленным к войне режимом Чан Кайши (3871).</w:t>
      </w:r>
    </w:p>
    <w:p w14:paraId="3098DD4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6CB0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2BBEC67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D01B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лету 1942 г. большая часть сотрудников ОТБ была сосредоточена в Перми (город с 1940 г. по 1957 г. назывался Молотов, но я буду использовать более привычное для читателей название). В Перми сотрудники ОТБ были разбросаны по нескольким зданиям в разных частях города, по крайней мере одно из них находилось на территории артиллерийского завода № 172 им. Молотова. По названию этого завода ОТБ было переименовано в ОКБ-172. Сразу замечу, что на заводе № 172 и до 1942 г., и после функционировало свое КБ, где работали вольнонаемные инженеры. Чтобы их различать, я в «Энциклопедии отечественной артиллерии» писал ОКБ-172 и ОКБ завода № 172.</w:t>
      </w:r>
    </w:p>
    <w:p w14:paraId="5ACAEC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декабре 1944 г. ОКБ-172 вернулось в Ленинград в свои старые помещения в «Крестах». Туда же в мае 1945 г. из Молотова был переведен в полном составе 20-й отдел завода № 402.</w:t>
      </w:r>
    </w:p>
    <w:p w14:paraId="35D30E8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 в ОКБ велась напряженная, приходилось трудиться по 10 часов в сутки. Первое время после возвращения в Ленинград снабжение и питание заключенных специалистов было скудным, но после 9 мая 1945 г. все нормализовалось. Рабочий день сократился до 8 часов, питание улучшилось, появились выходные и праздничные дни, дватри раза в месяц для заключенных устраивалась баня. Распорядок дня был примерно следующий: подъем в 7 ч., завтрак в 8 ч., обед в 14 ч., ужин в 19 ч., отбой в 23 ч. Жилые комнаты были на 3–4 человека.</w:t>
      </w:r>
    </w:p>
    <w:p w14:paraId="7CE03F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ОКБ имелась замечательная техническая библиотека, которая получала технические журналы как на русском, так и на иностранных языках. Газет библиотека не получала, но радио там работало (12091).</w:t>
      </w:r>
    </w:p>
    <w:p w14:paraId="41EC683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68040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226FD4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3B80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летней компании 1942 на фронте было 183 Р-5 и в течение лета 1942 их количество удерживалось в пределах 200. действовали в основном ночами, снабжая и обеспечивая войска (3551,19).</w:t>
      </w:r>
    </w:p>
    <w:p w14:paraId="00B781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EF8A3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лета 1942 года немецкое командование приступило к разработке новых наступательных операций на восточном фронте, получивших условное наименование «Блау» («Синяя») и «Клаузевиц».</w:t>
      </w:r>
    </w:p>
    <w:p w14:paraId="7296A98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Планом предусматривалось частями 1-й танковой и 17-й полевой армиям группы армий «А» в ходе наступления из района Славянска и Артемовска прорвать фронт ударом на Старобельск, Верхнетарасов- ку и Ворошиловград соединиться с частями 4-й танковой и 6-й полевой армий, завершив окружение и разгром войск Юго-Западного и Южного фронтов. Тем самым командование вермахта рассчитывало, после уничтожения основных сил советских войск на юге, овладеть правым берегом Дона, прорваться к Волге и, перерезав эту важную водную артерию, наступать на Кавказ.</w:t>
      </w:r>
    </w:p>
    <w:p w14:paraId="18F2E9A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Кроме того, удар из района Щигров на Воронеж наносился силами армейской группы «Вейхс». Главный удар на Воронеж наносила 4-я танковая армия, которая после выхода к реке Дон в районе Воронежа должна была наступать совместно с 6-й полевой армией на Кантемировку, а затем на юго-восток и, соединившись с 1-й танковой армией, окружить силы Юго-Западного и Южного фронтов.</w:t>
      </w:r>
    </w:p>
    <w:p w14:paraId="39F9F3F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Противостоять немецким ударным группировкам должны были войска Брянского, Юго-Западного и Южного фронтов. При этом в боях в большой излучине Дона 28 июня - 23 июля 1942 года принимали участие новосформированные объединения и соединения: 5-я танковая армия и 13 танковых корпусов (из них три в составе 5-й танковой армии) (12217).</w:t>
      </w:r>
    </w:p>
    <w:p w14:paraId="4512590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4414FAD" w14:textId="6CA787EB" w:rsidR="00CF4E58" w:rsidRDefault="00CF4E58" w:rsidP="007C5583">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Авиапромышленность:</w:t>
      </w:r>
    </w:p>
    <w:p w14:paraId="463BA924" w14:textId="77777777" w:rsidR="00CF4E58" w:rsidRDefault="00CF4E58" w:rsidP="007C558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9D49740" w14:textId="77777777" w:rsidR="00CF4E58" w:rsidRPr="008A2E5A" w:rsidRDefault="00CF4E58" w:rsidP="00CF4E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июню 1942 г. завершилось стро</w:t>
      </w:r>
      <w:r w:rsidRPr="008A2E5A">
        <w:rPr>
          <w:rFonts w:ascii="Times New Roman" w:hAnsi="Times New Roman"/>
          <w:color w:val="0070C0"/>
          <w:sz w:val="16"/>
          <w:szCs w:val="16"/>
        </w:rPr>
        <w:softHyphen/>
        <w:t>ительство основных аэродромов Красноярской трассы США-СССР. На всем маршруте протяженностью свыше 6 000 км реконструировали или построили заново полтора десятка основных и запасных пло</w:t>
      </w:r>
      <w:r w:rsidRPr="008A2E5A">
        <w:rPr>
          <w:rFonts w:ascii="Times New Roman" w:hAnsi="Times New Roman"/>
          <w:color w:val="0070C0"/>
          <w:sz w:val="16"/>
          <w:szCs w:val="16"/>
        </w:rPr>
        <w:softHyphen/>
        <w:t>щадок. Они появились даже в таких диких местах, как Хандыга, Чайбуха и Уэлькаль.</w:t>
      </w:r>
    </w:p>
    <w:p w14:paraId="6BBB75E6" w14:textId="77777777" w:rsidR="00CF4E58" w:rsidRPr="008A2E5A" w:rsidRDefault="00CF4E58" w:rsidP="00CF4E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 в Уэлькале аэродром располагал</w:t>
      </w:r>
      <w:r w:rsidRPr="008A2E5A">
        <w:rPr>
          <w:rFonts w:ascii="Times New Roman" w:hAnsi="Times New Roman"/>
          <w:color w:val="0070C0"/>
          <w:sz w:val="16"/>
          <w:szCs w:val="16"/>
        </w:rPr>
        <w:softHyphen/>
        <w:t>ся на галечной косе в заливе Креста. Его решили построить из деревянных реек, укрепленных глиной. На Чукотке тундра, лесов нет, все дерево привозное. Рейки в сентябре 1942 г. доставили морем из Владивостока. Но из-за мелководья суда к берегу пристать не могли. Рейки сбро</w:t>
      </w:r>
      <w:r w:rsidRPr="008A2E5A">
        <w:rPr>
          <w:rFonts w:ascii="Times New Roman" w:hAnsi="Times New Roman"/>
          <w:color w:val="0070C0"/>
          <w:sz w:val="16"/>
          <w:szCs w:val="16"/>
        </w:rPr>
        <w:softHyphen/>
        <w:t>сили за борт, и их волной прибило к бе</w:t>
      </w:r>
      <w:r w:rsidRPr="008A2E5A">
        <w:rPr>
          <w:rFonts w:ascii="Times New Roman" w:hAnsi="Times New Roman"/>
          <w:color w:val="0070C0"/>
          <w:sz w:val="16"/>
          <w:szCs w:val="16"/>
        </w:rPr>
        <w:softHyphen/>
        <w:t>регу. Немногочисленные местные жители и привлеченные к работе заключенные собирали рейки и таскали на место стро</w:t>
      </w:r>
      <w:r w:rsidRPr="008A2E5A">
        <w:rPr>
          <w:rFonts w:ascii="Times New Roman" w:hAnsi="Times New Roman"/>
          <w:color w:val="0070C0"/>
          <w:sz w:val="16"/>
          <w:szCs w:val="16"/>
        </w:rPr>
        <w:softHyphen/>
        <w:t>ительства. Для обслуживающего персо</w:t>
      </w:r>
      <w:r w:rsidRPr="008A2E5A">
        <w:rPr>
          <w:rFonts w:ascii="Times New Roman" w:hAnsi="Times New Roman"/>
          <w:color w:val="0070C0"/>
          <w:sz w:val="16"/>
          <w:szCs w:val="16"/>
        </w:rPr>
        <w:softHyphen/>
        <w:t>нала установили металлический барак и несколько яранг со стенками из фанеры, обложенными снаружи для тепла снежны</w:t>
      </w:r>
      <w:r w:rsidRPr="008A2E5A">
        <w:rPr>
          <w:rFonts w:ascii="Times New Roman" w:hAnsi="Times New Roman"/>
          <w:color w:val="0070C0"/>
          <w:sz w:val="16"/>
          <w:szCs w:val="16"/>
        </w:rPr>
        <w:softHyphen/>
        <w:t>ми кирпичами. Спали там на деревянных нарах, застеленных оленьими шкурами. Позже из Канады самолетами доставили несколько сборных домиков.</w:t>
      </w:r>
    </w:p>
    <w:p w14:paraId="11A6D7F1" w14:textId="77777777" w:rsidR="00CF4E58" w:rsidRPr="008A2E5A" w:rsidRDefault="00CF4E58" w:rsidP="00CF4E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Киренске аэродром строили вруч</w:t>
      </w:r>
      <w:r w:rsidRPr="008A2E5A">
        <w:rPr>
          <w:rFonts w:ascii="Times New Roman" w:hAnsi="Times New Roman"/>
          <w:color w:val="0070C0"/>
          <w:sz w:val="16"/>
          <w:szCs w:val="16"/>
        </w:rPr>
        <w:softHyphen/>
        <w:t>ную — лопатами и кирками. Грунт перево</w:t>
      </w:r>
      <w:r w:rsidRPr="008A2E5A">
        <w:rPr>
          <w:rFonts w:ascii="Times New Roman" w:hAnsi="Times New Roman"/>
          <w:color w:val="0070C0"/>
          <w:sz w:val="16"/>
          <w:szCs w:val="16"/>
        </w:rPr>
        <w:softHyphen/>
        <w:t>зили на лошадях, трамбовали его ручны</w:t>
      </w:r>
      <w:r w:rsidRPr="008A2E5A">
        <w:rPr>
          <w:rFonts w:ascii="Times New Roman" w:hAnsi="Times New Roman"/>
          <w:color w:val="0070C0"/>
          <w:sz w:val="16"/>
          <w:szCs w:val="16"/>
        </w:rPr>
        <w:softHyphen/>
        <w:t>ми колотушками.</w:t>
      </w:r>
    </w:p>
    <w:p w14:paraId="48B6F4DE" w14:textId="77777777" w:rsidR="00CF4E58" w:rsidRPr="008A2E5A" w:rsidRDefault="00CF4E58" w:rsidP="00CF4E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Работы по созданию и обслуживанию трассы возлагались на несколько ведомств. Главное управление ГВФ отвечало за стро</w:t>
      </w:r>
      <w:r w:rsidRPr="008A2E5A">
        <w:rPr>
          <w:rFonts w:ascii="Times New Roman" w:hAnsi="Times New Roman"/>
          <w:color w:val="0070C0"/>
          <w:sz w:val="16"/>
          <w:szCs w:val="16"/>
        </w:rPr>
        <w:softHyphen/>
        <w:t>ительство аэродромов и дальнейшее об</w:t>
      </w:r>
      <w:r w:rsidRPr="008A2E5A">
        <w:rPr>
          <w:rFonts w:ascii="Times New Roman" w:hAnsi="Times New Roman"/>
          <w:color w:val="0070C0"/>
          <w:sz w:val="16"/>
          <w:szCs w:val="16"/>
        </w:rPr>
        <w:softHyphen/>
        <w:t>служивание трассы. Ему должны были помогать военные и НКВД, выделявшие рабочих. НКВТ оформлял получение тех</w:t>
      </w:r>
      <w:r w:rsidRPr="008A2E5A">
        <w:rPr>
          <w:rFonts w:ascii="Times New Roman" w:hAnsi="Times New Roman"/>
          <w:color w:val="0070C0"/>
          <w:sz w:val="16"/>
          <w:szCs w:val="16"/>
        </w:rPr>
        <w:softHyphen/>
        <w:t>ники от американской стороны. Приемку самолетов обеспечивали ВВС, которые направляли в США инженеров и техни</w:t>
      </w:r>
      <w:r w:rsidRPr="008A2E5A">
        <w:rPr>
          <w:rFonts w:ascii="Times New Roman" w:hAnsi="Times New Roman"/>
          <w:color w:val="0070C0"/>
          <w:sz w:val="16"/>
          <w:szCs w:val="16"/>
        </w:rPr>
        <w:softHyphen/>
        <w:t>ков. Они же предоставляли часть летного состава, которому предстояло перегонять технику в Красноярск. Другим ведомствам дали задания по снабжению трассы всем необходимым. Общее руководство Крас</w:t>
      </w:r>
      <w:r w:rsidRPr="008A2E5A">
        <w:rPr>
          <w:rFonts w:ascii="Times New Roman" w:hAnsi="Times New Roman"/>
          <w:color w:val="0070C0"/>
          <w:sz w:val="16"/>
          <w:szCs w:val="16"/>
        </w:rPr>
        <w:softHyphen/>
        <w:t>ноярской трассой сначала осуществлялось Главным управлением ВВС, потом недолго она подчинялась Авиации дальнего дейст</w:t>
      </w:r>
      <w:r w:rsidRPr="008A2E5A">
        <w:rPr>
          <w:rFonts w:ascii="Times New Roman" w:hAnsi="Times New Roman"/>
          <w:color w:val="0070C0"/>
          <w:sz w:val="16"/>
          <w:szCs w:val="16"/>
        </w:rPr>
        <w:softHyphen/>
        <w:t>вия (АДД), а с 15 июня 1943 г. — Главному управлению ГВФ.</w:t>
      </w:r>
    </w:p>
    <w:p w14:paraId="2DDCCAF5" w14:textId="77777777" w:rsidR="00CF4E58" w:rsidRPr="008A2E5A" w:rsidRDefault="00CF4E58" w:rsidP="00CF4E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Предполагалось, что американцы бу</w:t>
      </w:r>
      <w:r w:rsidRPr="008A2E5A">
        <w:rPr>
          <w:rFonts w:ascii="Times New Roman" w:hAnsi="Times New Roman"/>
          <w:color w:val="0070C0"/>
          <w:sz w:val="16"/>
          <w:szCs w:val="16"/>
        </w:rPr>
        <w:softHyphen/>
        <w:t>дут доставлять самолеты на Аляску, где их подготовят к дальнейшей перегонке. В качестве основной базы на Аляске аме</w:t>
      </w:r>
      <w:r w:rsidRPr="008A2E5A">
        <w:rPr>
          <w:rFonts w:ascii="Times New Roman" w:hAnsi="Times New Roman"/>
          <w:color w:val="0070C0"/>
          <w:sz w:val="16"/>
          <w:szCs w:val="16"/>
        </w:rPr>
        <w:softHyphen/>
        <w:t>риканская сторона сперва намеревалась выбрать аэродром Маркс-филд в Номе, но побоялась возможного удара японской авиации с Алеутских островов. Останови</w:t>
      </w:r>
      <w:r w:rsidRPr="008A2E5A">
        <w:rPr>
          <w:rFonts w:ascii="Times New Roman" w:hAnsi="Times New Roman"/>
          <w:color w:val="0070C0"/>
          <w:sz w:val="16"/>
          <w:szCs w:val="16"/>
        </w:rPr>
        <w:softHyphen/>
        <w:t>лись на базе Лэдд-филд возле Фэрбенкса. Там размещались советская военная мис</w:t>
      </w:r>
      <w:r w:rsidRPr="008A2E5A">
        <w:rPr>
          <w:rFonts w:ascii="Times New Roman" w:hAnsi="Times New Roman"/>
          <w:color w:val="0070C0"/>
          <w:sz w:val="16"/>
          <w:szCs w:val="16"/>
        </w:rPr>
        <w:softHyphen/>
        <w:t>сия и база перегонщиков. Оттуда машины должны были вести в Красноярск совет</w:t>
      </w:r>
      <w:r w:rsidRPr="008A2E5A">
        <w:rPr>
          <w:rFonts w:ascii="Times New Roman" w:hAnsi="Times New Roman"/>
          <w:color w:val="0070C0"/>
          <w:sz w:val="16"/>
          <w:szCs w:val="16"/>
        </w:rPr>
        <w:softHyphen/>
        <w:t>ские экипажи.</w:t>
      </w:r>
    </w:p>
    <w:p w14:paraId="0A62D879" w14:textId="77777777" w:rsidR="00CF4E58" w:rsidRPr="008A2E5A" w:rsidRDefault="00CF4E58" w:rsidP="00CF4E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Американцы назвали трассу АЛСИБ (от «Аляска — Сибирь»), а в СССР она официально именовалась Краснояр</w:t>
      </w:r>
      <w:r w:rsidRPr="008A2E5A">
        <w:rPr>
          <w:rFonts w:ascii="Times New Roman" w:hAnsi="Times New Roman"/>
          <w:color w:val="0070C0"/>
          <w:sz w:val="16"/>
          <w:szCs w:val="16"/>
        </w:rPr>
        <w:softHyphen/>
        <w:t>ской трассой — поскольку заканчивалась в Красноярске. В некоторых советских документах она фигурирует также как Се</w:t>
      </w:r>
      <w:r w:rsidRPr="008A2E5A">
        <w:rPr>
          <w:rFonts w:ascii="Times New Roman" w:hAnsi="Times New Roman"/>
          <w:color w:val="0070C0"/>
          <w:sz w:val="16"/>
          <w:szCs w:val="16"/>
        </w:rPr>
        <w:softHyphen/>
        <w:t>верная воздушная трасса.</w:t>
      </w:r>
    </w:p>
    <w:p w14:paraId="0D1747AB" w14:textId="77777777" w:rsidR="00CF4E58" w:rsidRPr="008A2E5A" w:rsidRDefault="00CF4E58" w:rsidP="00CF4E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Специальная авиагруппа перегонщи</w:t>
      </w:r>
      <w:r w:rsidRPr="008A2E5A">
        <w:rPr>
          <w:rFonts w:ascii="Times New Roman" w:hAnsi="Times New Roman"/>
          <w:color w:val="0070C0"/>
          <w:sz w:val="16"/>
          <w:szCs w:val="16"/>
        </w:rPr>
        <w:softHyphen/>
        <w:t>ков формировалась в 6-й заб в Иваново. Должны были быть сформированы семь перегоночных полков и 8-й транспортный полк для обслуживания трассы. Летчиков старались брать из строевых полков, уже повоевавших на импортной технике, из числа перегонщиков, работавших на юж</w:t>
      </w:r>
      <w:r w:rsidRPr="008A2E5A">
        <w:rPr>
          <w:rFonts w:ascii="Times New Roman" w:hAnsi="Times New Roman"/>
          <w:color w:val="0070C0"/>
          <w:sz w:val="16"/>
          <w:szCs w:val="16"/>
        </w:rPr>
        <w:softHyphen/>
        <w:t>ной трассе из Ирана, но часть пополне</w:t>
      </w:r>
      <w:r w:rsidRPr="008A2E5A">
        <w:rPr>
          <w:rFonts w:ascii="Times New Roman" w:hAnsi="Times New Roman"/>
          <w:color w:val="0070C0"/>
          <w:sz w:val="16"/>
          <w:szCs w:val="16"/>
        </w:rPr>
        <w:softHyphen/>
        <w:t>ния прибыла прямо из летных школ. Для получения опыта обращения с иностран</w:t>
      </w:r>
      <w:r w:rsidRPr="008A2E5A">
        <w:rPr>
          <w:rFonts w:ascii="Times New Roman" w:hAnsi="Times New Roman"/>
          <w:color w:val="0070C0"/>
          <w:sz w:val="16"/>
          <w:szCs w:val="16"/>
        </w:rPr>
        <w:softHyphen/>
        <w:t>ными самолетами проводились полеты на истребителях Р-39, Р-40 и «Мустанг» I. Специально пригнали несколько бомбар</w:t>
      </w:r>
      <w:r w:rsidRPr="008A2E5A">
        <w:rPr>
          <w:rFonts w:ascii="Times New Roman" w:hAnsi="Times New Roman"/>
          <w:color w:val="0070C0"/>
          <w:sz w:val="16"/>
          <w:szCs w:val="16"/>
        </w:rPr>
        <w:softHyphen/>
        <w:t>дировщиков А-20 и В-25. На истребителях обучали в Иваново, а на бомбардировщи</w:t>
      </w:r>
      <w:r w:rsidRPr="008A2E5A">
        <w:rPr>
          <w:rFonts w:ascii="Times New Roman" w:hAnsi="Times New Roman"/>
          <w:color w:val="0070C0"/>
          <w:sz w:val="16"/>
          <w:szCs w:val="16"/>
        </w:rPr>
        <w:softHyphen/>
        <w:t>ках — в Ундоле (Горьковская область). Об</w:t>
      </w:r>
      <w:r w:rsidRPr="008A2E5A">
        <w:rPr>
          <w:rFonts w:ascii="Times New Roman" w:hAnsi="Times New Roman"/>
          <w:color w:val="0070C0"/>
          <w:sz w:val="16"/>
          <w:szCs w:val="16"/>
        </w:rPr>
        <w:softHyphen/>
        <w:t>учением руководил полковник Н.К. Рома</w:t>
      </w:r>
      <w:r w:rsidRPr="008A2E5A">
        <w:rPr>
          <w:rFonts w:ascii="Times New Roman" w:hAnsi="Times New Roman"/>
          <w:color w:val="0070C0"/>
          <w:sz w:val="16"/>
          <w:szCs w:val="16"/>
        </w:rPr>
        <w:softHyphen/>
        <w:t>нов. Особое внимание уделялось технике взлета и посадки на самолетах с носовым колесом, которое на отечественных маши</w:t>
      </w:r>
      <w:r w:rsidRPr="008A2E5A">
        <w:rPr>
          <w:rFonts w:ascii="Times New Roman" w:hAnsi="Times New Roman"/>
          <w:color w:val="0070C0"/>
          <w:sz w:val="16"/>
          <w:szCs w:val="16"/>
        </w:rPr>
        <w:softHyphen/>
        <w:t>нах тогда еще не встречалось.</w:t>
      </w:r>
    </w:p>
    <w:p w14:paraId="512516F4" w14:textId="77777777" w:rsidR="00CF4E58" w:rsidRPr="008A2E5A" w:rsidRDefault="00CF4E58" w:rsidP="00CF4E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Отбор летного состава велся довольно строго. Три серьезные ошибки — и кан</w:t>
      </w:r>
      <w:r w:rsidRPr="008A2E5A">
        <w:rPr>
          <w:rFonts w:ascii="Times New Roman" w:hAnsi="Times New Roman"/>
          <w:color w:val="0070C0"/>
          <w:sz w:val="16"/>
          <w:szCs w:val="16"/>
        </w:rPr>
        <w:softHyphen/>
        <w:t>дидат отчислялся обратно. В результате взяли лучших, из числа прибывших в Ива</w:t>
      </w:r>
      <w:r w:rsidRPr="008A2E5A">
        <w:rPr>
          <w:rFonts w:ascii="Times New Roman" w:hAnsi="Times New Roman"/>
          <w:color w:val="0070C0"/>
          <w:sz w:val="16"/>
          <w:szCs w:val="16"/>
        </w:rPr>
        <w:softHyphen/>
        <w:t>ново в перегоночные полки зачислили только каждого пятого.</w:t>
      </w:r>
    </w:p>
    <w:p w14:paraId="16EE7273" w14:textId="77777777" w:rsidR="00CF4E58" w:rsidRPr="008A2E5A" w:rsidRDefault="00CF4E58" w:rsidP="00CF4E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8-й транспортный полк укомплекто</w:t>
      </w:r>
      <w:r w:rsidRPr="008A2E5A">
        <w:rPr>
          <w:rFonts w:ascii="Times New Roman" w:hAnsi="Times New Roman"/>
          <w:color w:val="0070C0"/>
          <w:sz w:val="16"/>
          <w:szCs w:val="16"/>
        </w:rPr>
        <w:softHyphen/>
        <w:t>вали опытными экипажами из ГВФ и По</w:t>
      </w:r>
      <w:r w:rsidRPr="008A2E5A">
        <w:rPr>
          <w:rFonts w:ascii="Times New Roman" w:hAnsi="Times New Roman"/>
          <w:color w:val="0070C0"/>
          <w:sz w:val="16"/>
          <w:szCs w:val="16"/>
        </w:rPr>
        <w:softHyphen/>
        <w:t>лярной авиации. Оттуда же для него взяли самолеты ПС-84 (Ли-2) (23513).</w:t>
      </w:r>
    </w:p>
    <w:p w14:paraId="54A95727" w14:textId="77777777" w:rsidR="00CF4E58" w:rsidRPr="008A2E5A" w:rsidRDefault="00CF4E58" w:rsidP="00CF4E58">
      <w:pPr>
        <w:spacing w:after="0" w:line="240" w:lineRule="auto"/>
        <w:jc w:val="both"/>
        <w:rPr>
          <w:rFonts w:ascii="Times New Roman" w:hAnsi="Times New Roman"/>
          <w:color w:val="0070C0"/>
          <w:sz w:val="16"/>
          <w:szCs w:val="16"/>
        </w:rPr>
      </w:pPr>
    </w:p>
    <w:p w14:paraId="6BEF1246" w14:textId="289A65AF"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4D9CFD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B0D565"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К июню 1942 года Т-45, как и Т-60 с пушкой ЗИС-19, выглядели безнадежно устаревшими по сравнению с Т-70. Тем не ме</w:t>
      </w:r>
      <w:r w:rsidRPr="008127F8">
        <w:rPr>
          <w:rFonts w:eastAsia="Calibri"/>
          <w:color w:val="000000" w:themeColor="text1"/>
          <w:sz w:val="16"/>
          <w:szCs w:val="16"/>
        </w:rPr>
        <w:softHyphen/>
        <w:t>нее опытному танку все же довелось повоевать: согласно переписке, в конце сентября 1942 года Т-45 был отправлен на Западный фронт (17485).</w:t>
      </w:r>
    </w:p>
    <w:p w14:paraId="0CF739C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370D9C5" w14:textId="77777777" w:rsidR="007C5583" w:rsidRPr="008127F8" w:rsidRDefault="007C5583" w:rsidP="007C5583">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К июню 1942 г. броневагон «Красная звезда» удалось довести до рабочего состояния. Однако она не вызвала энтузиазма у военных, которые отмечали, что «принципиальным недостатком построенного образца является неправильное решение задачи реверсирования хода». Дальнейшие работы по «Красной звезде» были признаны неперспективными, хотя и отмечалось, что создание бронепоездной единицы с широким использованием танковых и паровозных агрегатов в перспективе представляет интерес.</w:t>
      </w:r>
    </w:p>
    <w:p w14:paraId="1B5F16D0" w14:textId="77777777" w:rsidR="007C5583" w:rsidRPr="008127F8" w:rsidRDefault="007C5583" w:rsidP="007C5583">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Броневагон «Красная звезда» (в документах именовался КЗ-1) был построенный в инициативном порядке на Коломенском машиностроительном заводе зимой 1941/1942 гг., где с декабря 1941 г. начал производиться ремонт танков KB и их дизельных двигателей В-2К. Именно с использованием агрегатов этого танка был под руководством Лебедянского (известный конструктор паровозов) спроектирован и построен моторный броневагон «Красная звезда». Так как завод был не в состоянии изготовить реверсную передачу (основное оборудование было уже эвакуировано), которая обеспечивала бы движение вагону вперед и назад с одинаковой скоростью, что считалось обязательным, то конструкторы решили эту задачу «в лоб» — установив спереди и сзади по двигателю В-2К с коробкой перемены передач и бортовой передачей от танка KB, с которой крутящий момент предавался при помощи цепной передачи на переднюю и заднюю колесные тележки. Такое решение явно было нерациональным, что существенным образом повлияло на дальнейшую судьбу «Красной звезды». Другие элементы подвески были заимствованы от тендера паровоза Су. Водитель размещался в центральной части корпуса и наблюдал за местностью через специальные окошки. Приборы управления движением в основном использовались от танка КВ, правда, отключение главных фрикционов двигателей осуществлялось педалями. Основное вооружение «Красной звезды» состояло из 76-мм пушки ЗИС-5, в башне танка КВ-1. Кроме этого, имелось четыре пулемета ДТ — два в башне (один спаренный с пушкой) и два в бортах корпуса. Испытания моторного броневагона выявили ряд существенных недостатков в конструкции ведущих тележек и силовой установки в целом (22752).</w:t>
      </w:r>
    </w:p>
    <w:p w14:paraId="29FADE8A" w14:textId="77777777" w:rsidR="007C5583" w:rsidRPr="008127F8" w:rsidRDefault="007C5583" w:rsidP="007C5583">
      <w:pPr>
        <w:pStyle w:val="article-renderblock"/>
        <w:shd w:val="clear" w:color="auto" w:fill="FFFFFF"/>
        <w:spacing w:before="0" w:beforeAutospacing="0" w:after="0" w:afterAutospacing="0"/>
        <w:jc w:val="both"/>
        <w:rPr>
          <w:color w:val="000000" w:themeColor="text1"/>
          <w:sz w:val="16"/>
          <w:szCs w:val="16"/>
        </w:rPr>
      </w:pPr>
    </w:p>
    <w:p w14:paraId="183817B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AF2C18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F7A0D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июню 1942 наши потери самолетов составили 9000, включая 6000 в первые 5 месяцев войны (315,33).</w:t>
      </w:r>
    </w:p>
    <w:p w14:paraId="6FE29D3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B7296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июню 1942 г. в состав АДД уже входили 27 авиаполков, сведенных в 10 авиационных дивизий. А к концу года численность дальних бомбардировщиков возросла с 350 до 1000 боевых единиц. В основном это были самолеты Ил-4 (9528).</w:t>
      </w:r>
    </w:p>
    <w:p w14:paraId="04BBC17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F9A76E"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К июню 1942 года Красная Армия получила по ленд-лизу 267 бомбардировщиков, 278 истребителей, около 800 средних и легких танков и 16</w:t>
      </w:r>
      <w:r>
        <w:rPr>
          <w:color w:val="000000" w:themeColor="text1"/>
          <w:sz w:val="16"/>
          <w:szCs w:val="16"/>
        </w:rPr>
        <w:t xml:space="preserve">  </w:t>
      </w:r>
      <w:r w:rsidRPr="008127F8">
        <w:rPr>
          <w:color w:val="000000" w:themeColor="text1"/>
          <w:sz w:val="16"/>
          <w:szCs w:val="16"/>
        </w:rPr>
        <w:t>500 автомобилей иностранного производства (19828).</w:t>
      </w:r>
    </w:p>
    <w:p w14:paraId="5198FF73" w14:textId="77777777" w:rsidR="007C5583" w:rsidRPr="008127F8" w:rsidRDefault="007C5583" w:rsidP="007C5583">
      <w:pPr>
        <w:pStyle w:val="af"/>
        <w:shd w:val="clear" w:color="auto" w:fill="FFFFFF"/>
        <w:spacing w:before="0" w:after="0"/>
        <w:jc w:val="both"/>
        <w:rPr>
          <w:color w:val="000000" w:themeColor="text1"/>
          <w:sz w:val="16"/>
          <w:szCs w:val="16"/>
        </w:rPr>
      </w:pPr>
    </w:p>
    <w:p w14:paraId="6DA06A97" w14:textId="77777777" w:rsidR="00336229" w:rsidRPr="008127F8" w:rsidRDefault="00336229" w:rsidP="00336229">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E2601B7" w14:textId="77777777" w:rsidR="00336229" w:rsidRPr="008127F8" w:rsidRDefault="00336229" w:rsidP="00336229">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597D7D" w14:textId="77777777" w:rsidR="00336229" w:rsidRPr="008A2E5A" w:rsidRDefault="00336229" w:rsidP="003362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началу июня 1942 года на ЧТЗ изготовили 3 штуки тягачей С-11, в период с 6 по 14 июня трактора №2 и №3 выдержали 400-километровые испытания. Таскали они 203-мм опытную корпусную пушку БЛ-39. Вместе с орудием они разгонялись до 16 км/ч, расход топлива составил 190 литров на 100 километров. Вполне приличные показатели. Другой вопрос, что вылезали дефекты, характерные для серийного С-2. По этому поводу военные развели руками, констатируя тот факт, что на ЧКЗ ничего для повышения качества не сделали. Не понравилось им и то, что машина не имела кузов. Требовался кузов на 8 человек (23353).</w:t>
      </w:r>
    </w:p>
    <w:p w14:paraId="68300045" w14:textId="77777777" w:rsidR="00336229" w:rsidRPr="008A2E5A" w:rsidRDefault="00336229" w:rsidP="00336229">
      <w:pPr>
        <w:spacing w:after="0" w:line="240" w:lineRule="auto"/>
        <w:jc w:val="both"/>
        <w:rPr>
          <w:rFonts w:ascii="Times New Roman" w:hAnsi="Times New Roman"/>
          <w:color w:val="0070C0"/>
          <w:sz w:val="16"/>
          <w:szCs w:val="16"/>
        </w:rPr>
      </w:pPr>
    </w:p>
    <w:p w14:paraId="758CCC7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358D14C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63C4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состоянию на 1 июня по вине моторов АМ-38 и М-105 в частях ВВС произошла 31 катастрофа, 36 аварий и 36 поломок самолетов, зарегистрировано 104 случая вынужденных посадок, 112 аварий моторов, 141 случай преждевременных съемок моторов. Массовые аварии моторов имели место не только в строю, но и на самолетных и моторных заводах НКАП (12020).</w:t>
      </w:r>
    </w:p>
    <w:p w14:paraId="0E642C4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03F4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июня 1942 года Приказом по НКАП за № 18 филиалу завода № 478, организованному на базе эвакуированного завода № 3 Оргавиапрома, заводу было присвоено наименование “Завод № 3 Оргавиапрома НКАП”.</w:t>
      </w:r>
    </w:p>
    <w:p w14:paraId="16C2880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по НКАП от 1 июня 1944 года за № 377 завод был переименован в завод № 492.</w:t>
      </w:r>
    </w:p>
    <w:p w14:paraId="3FEA5F3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Поскольку завод № 492 организован лишь на территории ранее занимаемой 3-м инструментальным заводом и никакой организационной связи с этим заводом не имел, то официальной датой организации завода № 492 следует считать 17 декабря 1941 года. В 1951 году завод был реорганизован под выпуск пневматического инструмента.</w:t>
      </w:r>
    </w:p>
    <w:p w14:paraId="1D52E06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от 2 сентября 1957 года за № 5 завод № 492 был передан из Управления авиапромышленности Мосгорсовнархоза в Управление межотраслевых организаций и производств с сохранением производства пневматического инструмента.</w:t>
      </w:r>
    </w:p>
    <w:p w14:paraId="0F777D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А. Терехин</w:t>
      </w:r>
    </w:p>
    <w:p w14:paraId="761F05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Большой Трехгорный пер., д. 3 (9859).</w:t>
      </w:r>
    </w:p>
    <w:p w14:paraId="1F2DD93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F31415"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hAnsi="Times New Roman"/>
          <w:color w:val="000000" w:themeColor="text1"/>
          <w:sz w:val="16"/>
          <w:szCs w:val="16"/>
        </w:rPr>
        <w:t xml:space="preserve">1 июня 1942 года в письме Аборенкова в адрес Маленкова указывается, что проведенные испытания первых образцов </w:t>
      </w:r>
      <w:r w:rsidRPr="008127F8">
        <w:rPr>
          <w:rFonts w:ascii="Times New Roman" w:eastAsia="Times New Roman" w:hAnsi="Times New Roman"/>
          <w:color w:val="000000" w:themeColor="text1"/>
          <w:sz w:val="16"/>
          <w:szCs w:val="16"/>
        </w:rPr>
        <w:t>М-30 БМ</w:t>
      </w:r>
      <w:r w:rsidRPr="008127F8">
        <w:rPr>
          <w:rFonts w:ascii="Times New Roman" w:hAnsi="Times New Roman"/>
          <w:color w:val="000000" w:themeColor="text1"/>
          <w:sz w:val="16"/>
          <w:szCs w:val="16"/>
        </w:rPr>
        <w:t xml:space="preserve"> показали, что снаряд обладает исключительной мощностью, не требуется дефицитный тротил по причине снаряжения недефицитным нитролом (жидкое взрывчатое вещество – смесь нитробензола и окислов азота). При разрыве снаряда образовывалась воронка диаметром 7 метров и глубиной 2,5 м. По результатам испытаний было установлено, что снаряд М-30 немедленно может быть принят на валовое производство. В своем письме Аборенков просил о принятии снаряда М-30 на вооружение гвардейских минометных частей и технических бригад. Применение снарядов М-30 в гвардейских минометных частях было наиболее целесообразно использовать путем включения в состав полков четвертых дивизионов М-30. В технических бригадах было необходимо сформировать четвертые батальоны М-30. Фугасный тяжелый реактивный снаряд М-30 был принят на вооружение Красной Армии Постановлением </w:t>
      </w:r>
      <w:r w:rsidRPr="008127F8">
        <w:rPr>
          <w:rFonts w:ascii="Times New Roman" w:eastAsia="Times New Roman" w:hAnsi="Times New Roman"/>
          <w:color w:val="000000" w:themeColor="text1"/>
          <w:sz w:val="16"/>
          <w:szCs w:val="16"/>
        </w:rPr>
        <w:t>от 4 июня 1942 года "О принятии на вооружение Красной Армии и о производстве снарядов М-30". Существенным недостатком снаряда М-30 была его малая дальность полета. Этот недостаток был частично устранен в конце 1942 года, когда был создан новый неуправляемый реактивный снаряд М-31 с фугасной головной частью с максимальной дальностью полета 4325 м. Также был разработан реактивный снаряд МХ-30 с химической головной частью (15981).</w:t>
      </w:r>
    </w:p>
    <w:p w14:paraId="54564231"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p>
    <w:p w14:paraId="0C36467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93A15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271E18" w14:textId="77777777" w:rsidR="009161BF" w:rsidRPr="008A2E5A" w:rsidRDefault="009161BF" w:rsidP="009161B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июня 1942 появился документ, посвященный проблемам с КВ-1. И там упомянули завод №183, которому, как и ЧКЗ, давалось задание на проработку скоростного 30-тонного тяжелого танка. Толщину брони увеличивали до 90 мм, башня делалась трехместной, силовой установкой становились либо В-2-34, либо В-2К. Впрочем, решающее слово было за Сталиным. На совещании 5 июня 1942 года ему показали макет Т-34М, что было дальше, известно из дневника В.А. Малышева, на тот момент наркома танковой промышлености:</w:t>
      </w:r>
    </w:p>
    <w:p w14:paraId="64BA6478" w14:textId="77777777" w:rsidR="009161BF" w:rsidRPr="008A2E5A" w:rsidRDefault="009161BF" w:rsidP="009161B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последние дни т. Сталин вызывает к себе каждый день. Он крепко занялся улучшением качества танков. Сегодня были у т. Сталина вместе с тт. Зальцманом, Котиным, Морозовым.</w:t>
      </w:r>
    </w:p>
    <w:p w14:paraId="5DAD430F" w14:textId="77777777" w:rsidR="009161BF" w:rsidRPr="008A2E5A" w:rsidRDefault="009161BF" w:rsidP="009161B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 Сталин сказал: «Наши танки превосходят заграничные, в том числе и немецкие, по своим техническим показателям, но уступают им в ходовой части. Особенно танк KB – он тяжёл и малоподвижен. А сегодня танки должны прежде всего много ходить, делать переходы по 150 - 200 км, ходить без дорог. Танк KB этого делать не может... Надо улучшать, модернизировать танки, и особенно ходовой механизм. Надо иметь в виду, что теперь танкисты менее квалифицированны, и поэтому танки надо делать проще, надежнее, а не рассчитывать на виртуозов.</w:t>
      </w:r>
    </w:p>
    <w:p w14:paraId="5AF26CC4" w14:textId="77777777" w:rsidR="009161BF" w:rsidRPr="008A2E5A" w:rsidRDefault="009161BF" w:rsidP="009161B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Надо улучшить видимость наших танков. Вот мы даём вам, танкистам, задачу - улучшить коробку скоростей танков Т-34 и KB, облегчить вес танка KB и делать оба танка с хорошей видимостью».</w:t>
      </w:r>
    </w:p>
    <w:p w14:paraId="21437EA3" w14:textId="77777777" w:rsidR="009161BF" w:rsidRPr="008A2E5A" w:rsidRDefault="009161BF" w:rsidP="009161B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Мы показали т. Сталину макеты двух новых танков, которые полностью решают те пожелания, которые высказал т. Сталин, но т. Сталин ответил: «Новые танки делать пока не будем. Не будем отвлекать конструкторов от задачи улучшать и модернизировать выпускаемые танки.</w:t>
      </w:r>
    </w:p>
    <w:p w14:paraId="355DE81D" w14:textId="77777777" w:rsidR="009161BF" w:rsidRPr="008A2E5A" w:rsidRDefault="009161BF" w:rsidP="009161B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Конечно, конструкторам хочется делать новые машины, каждый конструктор ищет славы. Но надо обождать. К новым машинам вернёмся месяца через полтора-два, когда конструктора закончат работу по улучшению существующих танков" (23824).</w:t>
      </w:r>
    </w:p>
    <w:p w14:paraId="6E9E8383" w14:textId="77777777" w:rsidR="009161BF" w:rsidRPr="008A2E5A" w:rsidRDefault="009161BF" w:rsidP="009161BF">
      <w:pPr>
        <w:spacing w:after="0" w:line="240" w:lineRule="auto"/>
        <w:jc w:val="both"/>
        <w:rPr>
          <w:rFonts w:ascii="Times New Roman" w:hAnsi="Times New Roman"/>
          <w:color w:val="0070C0"/>
          <w:sz w:val="16"/>
          <w:szCs w:val="16"/>
        </w:rPr>
      </w:pPr>
    </w:p>
    <w:p w14:paraId="48FD10C1" w14:textId="77777777" w:rsidR="009161BF" w:rsidRPr="008A2E5A" w:rsidRDefault="009161BF" w:rsidP="009161B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 июня 1942 года в ГАБТУ появилась очередная порция информации по М4А1 (его упорно называли М4) появилась. Одновременно из ГАБТУ КА в Наркомат Внешней Торговли ушел запрос, не собираются ли американцы ставить в М4 дизельный двигатель.</w:t>
      </w:r>
    </w:p>
    <w:p w14:paraId="2F789401" w14:textId="77777777" w:rsidR="009161BF" w:rsidRPr="008A2E5A" w:rsidRDefault="009161BF" w:rsidP="009161B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Если бы об этом запросе знали американские военные, наверняка посмеялись. Они не просто собирались ставить дизельный мотор, а уже запустили такую версию Medium Tank M4 в производство. С дизельными моторами американцы экспериментировали со второй половины 30-х годов, но каждый получалось не лучшим образом. По-настоящему работающее решение помогли создать английские инженеры. Оказалось оно в чисто английском духе - спарка автобусных дизельных моторов. Получившийся мотор получил обозначение General Motors 6046. За счет установки инжекторов типа M суммарная мощность выросла до 375 лошадиных сил (410 на максимальных оборотах). Первым новый двигатель получил Medium Tank M3A3, стандартизированный в октябре 1941 года. Этот танк получил сварной корпус. Вскоре появился Medium Tank M3A5, то же самое, но с клепаным корпусом (23373).</w:t>
      </w:r>
    </w:p>
    <w:p w14:paraId="3FD2C6AD" w14:textId="77777777" w:rsidR="009161BF" w:rsidRPr="008A2E5A" w:rsidRDefault="009161BF" w:rsidP="009161BF">
      <w:pPr>
        <w:spacing w:after="0" w:line="240" w:lineRule="auto"/>
        <w:jc w:val="both"/>
        <w:rPr>
          <w:rFonts w:ascii="Times New Roman" w:hAnsi="Times New Roman"/>
          <w:color w:val="0070C0"/>
          <w:sz w:val="16"/>
          <w:szCs w:val="16"/>
        </w:rPr>
      </w:pPr>
    </w:p>
    <w:p w14:paraId="6468F9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 июня 1942 Паспорт завода № 23 на 1942 года</w:t>
      </w:r>
    </w:p>
    <w:p w14:paraId="2A385E6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Кузин (9479).</w:t>
      </w:r>
    </w:p>
    <w:p w14:paraId="4F8A19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085C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состоянию на 1 июня 1942 были подготовлены Производственно-технические паспорта заводов НКМВ за 1942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7C5583" w:rsidRPr="008127F8" w14:paraId="6ADBFFD2" w14:textId="77777777" w:rsidTr="004C5D62">
        <w:tc>
          <w:tcPr>
            <w:tcW w:w="4261" w:type="dxa"/>
            <w:tcBorders>
              <w:top w:val="single" w:sz="12" w:space="0" w:color="auto"/>
            </w:tcBorders>
          </w:tcPr>
          <w:p w14:paraId="5BCB428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701</w:t>
            </w:r>
          </w:p>
        </w:tc>
        <w:tc>
          <w:tcPr>
            <w:tcW w:w="4261" w:type="dxa"/>
            <w:tcBorders>
              <w:top w:val="single" w:sz="12" w:space="0" w:color="auto"/>
            </w:tcBorders>
          </w:tcPr>
          <w:p w14:paraId="1FC5305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Челябинск, п/я № 239 (9733)</w:t>
            </w:r>
          </w:p>
        </w:tc>
      </w:tr>
      <w:tr w:rsidR="007C5583" w:rsidRPr="008127F8" w14:paraId="4BFA0A48" w14:textId="77777777" w:rsidTr="004C5D62">
        <w:tc>
          <w:tcPr>
            <w:tcW w:w="4261" w:type="dxa"/>
          </w:tcPr>
          <w:p w14:paraId="14F21E6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702 им. Ворошилова</w:t>
            </w:r>
          </w:p>
        </w:tc>
        <w:tc>
          <w:tcPr>
            <w:tcW w:w="4261" w:type="dxa"/>
          </w:tcPr>
          <w:p w14:paraId="27859D8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Ташкент, ул. Сельмаша, д. 2</w:t>
            </w:r>
          </w:p>
        </w:tc>
      </w:tr>
      <w:tr w:rsidR="007C5583" w:rsidRPr="008127F8" w14:paraId="5029D0BE" w14:textId="77777777" w:rsidTr="004C5D62">
        <w:tc>
          <w:tcPr>
            <w:tcW w:w="4261" w:type="dxa"/>
          </w:tcPr>
          <w:p w14:paraId="526940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704</w:t>
            </w:r>
          </w:p>
        </w:tc>
        <w:tc>
          <w:tcPr>
            <w:tcW w:w="4261" w:type="dxa"/>
          </w:tcPr>
          <w:p w14:paraId="2AE5E25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ст. Белинская Пензенской обл., п/я 200</w:t>
            </w:r>
          </w:p>
        </w:tc>
      </w:tr>
      <w:tr w:rsidR="007C5583" w:rsidRPr="008127F8" w14:paraId="7E94BAB3" w14:textId="77777777" w:rsidTr="004C5D62">
        <w:tc>
          <w:tcPr>
            <w:tcW w:w="4261" w:type="dxa"/>
          </w:tcPr>
          <w:p w14:paraId="6F39E36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707 на базе площадей бывш. Машзавода Главпродмаша и оборудования эвакуированных заводов “Гомсельмаш” и части Люберецкого им. Ухтомского</w:t>
            </w:r>
          </w:p>
        </w:tc>
        <w:tc>
          <w:tcPr>
            <w:tcW w:w="4261" w:type="dxa"/>
          </w:tcPr>
          <w:p w14:paraId="1AD5290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П/я № 49</w:t>
            </w:r>
          </w:p>
        </w:tc>
      </w:tr>
      <w:tr w:rsidR="007C5583" w:rsidRPr="008127F8" w14:paraId="25DB6C27" w14:textId="77777777" w:rsidTr="004C5D62">
        <w:tc>
          <w:tcPr>
            <w:tcW w:w="4261" w:type="dxa"/>
          </w:tcPr>
          <w:p w14:paraId="2ACB633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Курганский машиностроительный завод № 709 на базе площадей Музыкальной фабрики Облместпрома и литейной артели “Металлист” и оборудования Черкасского им. Петровского</w:t>
            </w:r>
          </w:p>
        </w:tc>
        <w:tc>
          <w:tcPr>
            <w:tcW w:w="4261" w:type="dxa"/>
          </w:tcPr>
          <w:p w14:paraId="57A9BD9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Курган Челябинской области</w:t>
            </w:r>
          </w:p>
        </w:tc>
      </w:tr>
      <w:tr w:rsidR="007C5583" w:rsidRPr="008127F8" w14:paraId="0050F228" w14:textId="77777777" w:rsidTr="004C5D62">
        <w:tc>
          <w:tcPr>
            <w:tcW w:w="4261" w:type="dxa"/>
          </w:tcPr>
          <w:p w14:paraId="6DD0D8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711 им. Ухтомского</w:t>
            </w:r>
          </w:p>
        </w:tc>
        <w:tc>
          <w:tcPr>
            <w:tcW w:w="4261" w:type="dxa"/>
          </w:tcPr>
          <w:p w14:paraId="0005F9E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Люберцы, п/я № 66</w:t>
            </w:r>
          </w:p>
        </w:tc>
      </w:tr>
      <w:tr w:rsidR="007C5583" w:rsidRPr="008127F8" w14:paraId="3C21D78E" w14:textId="77777777" w:rsidTr="004C5D62">
        <w:tc>
          <w:tcPr>
            <w:tcW w:w="4261" w:type="dxa"/>
          </w:tcPr>
          <w:p w14:paraId="3C6696D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Болшевский машиностроительный завод № 715</w:t>
            </w:r>
          </w:p>
        </w:tc>
        <w:tc>
          <w:tcPr>
            <w:tcW w:w="4261" w:type="dxa"/>
          </w:tcPr>
          <w:p w14:paraId="46B580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Болшево, п/я 65</w:t>
            </w:r>
          </w:p>
        </w:tc>
      </w:tr>
      <w:tr w:rsidR="007C5583" w:rsidRPr="008127F8" w14:paraId="049229A2" w14:textId="77777777" w:rsidTr="004C5D62">
        <w:tc>
          <w:tcPr>
            <w:tcW w:w="4261" w:type="dxa"/>
          </w:tcPr>
          <w:p w14:paraId="7957292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743</w:t>
            </w:r>
          </w:p>
        </w:tc>
        <w:tc>
          <w:tcPr>
            <w:tcW w:w="4261" w:type="dxa"/>
          </w:tcPr>
          <w:p w14:paraId="1FD334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Иваново, Загородная, 28</w:t>
            </w:r>
          </w:p>
        </w:tc>
      </w:tr>
      <w:tr w:rsidR="007C5583" w:rsidRPr="008127F8" w14:paraId="5738173C" w14:textId="77777777" w:rsidTr="004C5D62">
        <w:tc>
          <w:tcPr>
            <w:tcW w:w="4261" w:type="dxa"/>
          </w:tcPr>
          <w:p w14:paraId="7653ED7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744 на базе площадей Пензенского спирто-водочного завода и оборудования Воронежского машиностроительного завода им. Ленина</w:t>
            </w:r>
          </w:p>
        </w:tc>
        <w:tc>
          <w:tcPr>
            <w:tcW w:w="4261" w:type="dxa"/>
          </w:tcPr>
          <w:p w14:paraId="0CCAB2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Пенза, п/я 13/6</w:t>
            </w:r>
          </w:p>
        </w:tc>
      </w:tr>
      <w:tr w:rsidR="007C5583" w:rsidRPr="008127F8" w14:paraId="16E71B4B" w14:textId="77777777" w:rsidTr="004C5D62">
        <w:tc>
          <w:tcPr>
            <w:tcW w:w="4261" w:type="dxa"/>
          </w:tcPr>
          <w:p w14:paraId="1DE04E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 1 августа № 749. Организован в 1926 году</w:t>
            </w:r>
          </w:p>
        </w:tc>
        <w:tc>
          <w:tcPr>
            <w:tcW w:w="4261" w:type="dxa"/>
          </w:tcPr>
          <w:p w14:paraId="412DD8E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Варшавское шоссе, д. 15</w:t>
            </w:r>
          </w:p>
        </w:tc>
      </w:tr>
      <w:tr w:rsidR="007C5583" w:rsidRPr="008127F8" w14:paraId="65178032" w14:textId="77777777" w:rsidTr="004C5D62">
        <w:tc>
          <w:tcPr>
            <w:tcW w:w="4261" w:type="dxa"/>
          </w:tcPr>
          <w:p w14:paraId="3B0ECC0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750 организован в 1942 году на базе площадей прежнего Климовского завода и оборудования частично возвращенного и полученного с заводов №№ 768, 792, 798</w:t>
            </w:r>
          </w:p>
        </w:tc>
        <w:tc>
          <w:tcPr>
            <w:tcW w:w="4261" w:type="dxa"/>
          </w:tcPr>
          <w:p w14:paraId="41B558A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Климовск Московской области, п/я 45</w:t>
            </w:r>
          </w:p>
        </w:tc>
      </w:tr>
      <w:tr w:rsidR="007C5583" w:rsidRPr="008127F8" w14:paraId="09102BEF" w14:textId="77777777" w:rsidTr="004C5D62">
        <w:tc>
          <w:tcPr>
            <w:tcW w:w="4261" w:type="dxa"/>
          </w:tcPr>
          <w:p w14:paraId="519DE37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755</w:t>
            </w:r>
          </w:p>
        </w:tc>
        <w:tc>
          <w:tcPr>
            <w:tcW w:w="4261" w:type="dxa"/>
          </w:tcPr>
          <w:p w14:paraId="312C3C4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22, 2-я Звенигородская ул., д. 7</w:t>
            </w:r>
          </w:p>
        </w:tc>
      </w:tr>
      <w:tr w:rsidR="007C5583" w:rsidRPr="008127F8" w14:paraId="2DE9A69E" w14:textId="77777777" w:rsidTr="004C5D62">
        <w:tc>
          <w:tcPr>
            <w:tcW w:w="4261" w:type="dxa"/>
          </w:tcPr>
          <w:p w14:paraId="4C722A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849</w:t>
            </w:r>
          </w:p>
        </w:tc>
        <w:tc>
          <w:tcPr>
            <w:tcW w:w="4261" w:type="dxa"/>
          </w:tcPr>
          <w:p w14:paraId="52DAC5F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Орехово-Зуево, Ликинское шоссе</w:t>
            </w:r>
          </w:p>
        </w:tc>
      </w:tr>
      <w:tr w:rsidR="007C5583" w:rsidRPr="008127F8" w14:paraId="376ECC32" w14:textId="77777777" w:rsidTr="004C5D62">
        <w:tc>
          <w:tcPr>
            <w:tcW w:w="4261" w:type="dxa"/>
          </w:tcPr>
          <w:p w14:paraId="77A9C7F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Горьковский машиностроительный завод № 729 организован в 1942 году на базе площадей строящегося Вагоноремонтного завода и оборудования завода “Красный Профинтерн”</w:t>
            </w:r>
          </w:p>
        </w:tc>
        <w:tc>
          <w:tcPr>
            <w:tcW w:w="4261" w:type="dxa"/>
          </w:tcPr>
          <w:p w14:paraId="47698DB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Горький, Чебоксарская ул., 9</w:t>
            </w:r>
          </w:p>
        </w:tc>
      </w:tr>
      <w:tr w:rsidR="007C5583" w:rsidRPr="008127F8" w14:paraId="3F3D383E" w14:textId="77777777" w:rsidTr="004C5D62">
        <w:tc>
          <w:tcPr>
            <w:tcW w:w="4261" w:type="dxa"/>
          </w:tcPr>
          <w:p w14:paraId="309C79C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761 организован в 1941 году на базе площадей бывш. Нардома</w:t>
            </w:r>
          </w:p>
        </w:tc>
        <w:tc>
          <w:tcPr>
            <w:tcW w:w="4261" w:type="dxa"/>
          </w:tcPr>
          <w:p w14:paraId="7DF8721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Курган Челябинской обл., п/я 62</w:t>
            </w:r>
          </w:p>
        </w:tc>
      </w:tr>
      <w:tr w:rsidR="007C5583" w:rsidRPr="008127F8" w14:paraId="00610983" w14:textId="77777777" w:rsidTr="004C5D62">
        <w:tc>
          <w:tcPr>
            <w:tcW w:w="4261" w:type="dxa"/>
          </w:tcPr>
          <w:p w14:paraId="2AA3676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762 организован в 1941 году на базе площадей завода “Механик” и оборудования заводов “Механик”, “Красный экскаватор” и “10-летие Октября”</w:t>
            </w:r>
          </w:p>
        </w:tc>
        <w:tc>
          <w:tcPr>
            <w:tcW w:w="4261" w:type="dxa"/>
          </w:tcPr>
          <w:p w14:paraId="59C1F1A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Тюмень, п/я 54</w:t>
            </w:r>
          </w:p>
        </w:tc>
      </w:tr>
      <w:tr w:rsidR="007C5583" w:rsidRPr="008127F8" w14:paraId="5A6743AF" w14:textId="77777777" w:rsidTr="004C5D62">
        <w:tc>
          <w:tcPr>
            <w:tcW w:w="4261" w:type="dxa"/>
          </w:tcPr>
          <w:p w14:paraId="25B698A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765</w:t>
            </w:r>
          </w:p>
        </w:tc>
        <w:tc>
          <w:tcPr>
            <w:tcW w:w="4261" w:type="dxa"/>
          </w:tcPr>
          <w:p w14:paraId="690AB24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ст. Рыбинск, п/я 128</w:t>
            </w:r>
          </w:p>
        </w:tc>
      </w:tr>
      <w:tr w:rsidR="007C5583" w:rsidRPr="008127F8" w14:paraId="02C04275" w14:textId="77777777" w:rsidTr="004C5D62">
        <w:tc>
          <w:tcPr>
            <w:tcW w:w="4261" w:type="dxa"/>
          </w:tcPr>
          <w:p w14:paraId="469C794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Завод № 766 организован на базе площадей новостр. завода “Механик” и оборудования бывш. завода им. 10-летия Октября, эвакуированного из Одессы</w:t>
            </w:r>
          </w:p>
        </w:tc>
        <w:tc>
          <w:tcPr>
            <w:tcW w:w="4261" w:type="dxa"/>
          </w:tcPr>
          <w:p w14:paraId="7BE45C9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Тюмень</w:t>
            </w:r>
          </w:p>
        </w:tc>
      </w:tr>
      <w:tr w:rsidR="007C5583" w:rsidRPr="008127F8" w14:paraId="45BA9182" w14:textId="77777777" w:rsidTr="004C5D62">
        <w:tc>
          <w:tcPr>
            <w:tcW w:w="4261" w:type="dxa"/>
          </w:tcPr>
          <w:p w14:paraId="24C227E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Тюменский экскаваторный завод № 769 организован в 1942 году на базе площадей Тюменских государственных конюшен и оборудования бывш. Дмитровского механического завода</w:t>
            </w:r>
          </w:p>
        </w:tc>
        <w:tc>
          <w:tcPr>
            <w:tcW w:w="4261" w:type="dxa"/>
          </w:tcPr>
          <w:p w14:paraId="4781482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Тюмень Омской области, ул. Семакова, д. 22 (9733)</w:t>
            </w:r>
          </w:p>
        </w:tc>
      </w:tr>
      <w:tr w:rsidR="007C5583" w:rsidRPr="008127F8" w14:paraId="39D14E37" w14:textId="77777777" w:rsidTr="004C5D62">
        <w:tc>
          <w:tcPr>
            <w:tcW w:w="4261" w:type="dxa"/>
          </w:tcPr>
          <w:p w14:paraId="216CF3A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770 экскаваторный</w:t>
            </w:r>
          </w:p>
        </w:tc>
        <w:tc>
          <w:tcPr>
            <w:tcW w:w="4261" w:type="dxa"/>
          </w:tcPr>
          <w:p w14:paraId="6BCD30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Ташкент, Огородная, 25</w:t>
            </w:r>
          </w:p>
        </w:tc>
      </w:tr>
      <w:tr w:rsidR="007C5583" w:rsidRPr="008127F8" w14:paraId="36ED9699" w14:textId="77777777" w:rsidTr="004C5D62">
        <w:tc>
          <w:tcPr>
            <w:tcW w:w="4261" w:type="dxa"/>
          </w:tcPr>
          <w:p w14:paraId="2DB267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771</w:t>
            </w:r>
          </w:p>
        </w:tc>
        <w:tc>
          <w:tcPr>
            <w:tcW w:w="4261" w:type="dxa"/>
          </w:tcPr>
          <w:p w14:paraId="30292E9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Ярославль, п/я 135</w:t>
            </w:r>
          </w:p>
        </w:tc>
      </w:tr>
      <w:tr w:rsidR="007C5583" w:rsidRPr="008127F8" w14:paraId="36FA52D7" w14:textId="77777777" w:rsidTr="004C5D62">
        <w:tc>
          <w:tcPr>
            <w:tcW w:w="4261" w:type="dxa"/>
          </w:tcPr>
          <w:p w14:paraId="53B73E7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772 “Северный коммунар”</w:t>
            </w:r>
          </w:p>
        </w:tc>
        <w:tc>
          <w:tcPr>
            <w:tcW w:w="4261" w:type="dxa"/>
          </w:tcPr>
          <w:p w14:paraId="37E3BDE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Вологда, Малые кожевники, д. 13</w:t>
            </w:r>
          </w:p>
        </w:tc>
      </w:tr>
      <w:tr w:rsidR="007C5583" w:rsidRPr="008127F8" w14:paraId="43443BB1" w14:textId="77777777" w:rsidTr="004C5D62">
        <w:tc>
          <w:tcPr>
            <w:tcW w:w="4261" w:type="dxa"/>
          </w:tcPr>
          <w:p w14:paraId="3C48D3D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773 “Рабочий металлист”</w:t>
            </w:r>
          </w:p>
        </w:tc>
        <w:tc>
          <w:tcPr>
            <w:tcW w:w="4261" w:type="dxa"/>
          </w:tcPr>
          <w:p w14:paraId="50F4328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Кострома</w:t>
            </w:r>
          </w:p>
        </w:tc>
      </w:tr>
      <w:tr w:rsidR="007C5583" w:rsidRPr="008127F8" w14:paraId="13AD1227" w14:textId="77777777" w:rsidTr="004C5D62">
        <w:tc>
          <w:tcPr>
            <w:tcW w:w="4261" w:type="dxa"/>
          </w:tcPr>
          <w:p w14:paraId="2BB2C1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777 “Красный маяк” организован в 1934 году на базе площадей Лакокрасочного завода</w:t>
            </w:r>
          </w:p>
        </w:tc>
        <w:tc>
          <w:tcPr>
            <w:tcW w:w="4261" w:type="dxa"/>
          </w:tcPr>
          <w:p w14:paraId="03B3616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Ярославль 3, п/я 7</w:t>
            </w:r>
          </w:p>
        </w:tc>
      </w:tr>
      <w:tr w:rsidR="007C5583" w:rsidRPr="008127F8" w14:paraId="4F625574" w14:textId="77777777" w:rsidTr="004C5D62">
        <w:tc>
          <w:tcPr>
            <w:tcW w:w="4261" w:type="dxa"/>
          </w:tcPr>
          <w:p w14:paraId="719E123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788 им. Маленкова</w:t>
            </w:r>
          </w:p>
        </w:tc>
        <w:tc>
          <w:tcPr>
            <w:tcW w:w="4261" w:type="dxa"/>
          </w:tcPr>
          <w:p w14:paraId="582CF29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113, М. Красносельская, д. 2/8</w:t>
            </w:r>
          </w:p>
        </w:tc>
      </w:tr>
      <w:tr w:rsidR="007C5583" w:rsidRPr="008127F8" w14:paraId="3D612510" w14:textId="77777777" w:rsidTr="004C5D62">
        <w:tc>
          <w:tcPr>
            <w:tcW w:w="4261" w:type="dxa"/>
          </w:tcPr>
          <w:p w14:paraId="0A75268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802 организован в 1852 году</w:t>
            </w:r>
          </w:p>
        </w:tc>
        <w:tc>
          <w:tcPr>
            <w:tcW w:w="4261" w:type="dxa"/>
          </w:tcPr>
          <w:p w14:paraId="4B52AA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Гусь-Хрустальный Ивановской области</w:t>
            </w:r>
          </w:p>
        </w:tc>
      </w:tr>
      <w:tr w:rsidR="007C5583" w:rsidRPr="008127F8" w14:paraId="65654E7E" w14:textId="77777777" w:rsidTr="004C5D62">
        <w:tc>
          <w:tcPr>
            <w:tcW w:w="4261" w:type="dxa"/>
          </w:tcPr>
          <w:p w14:paraId="52D7AE4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822</w:t>
            </w:r>
          </w:p>
        </w:tc>
        <w:tc>
          <w:tcPr>
            <w:tcW w:w="4261" w:type="dxa"/>
          </w:tcPr>
          <w:p w14:paraId="3744CC7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пос. Сысерть Свердловской области, п/я 102</w:t>
            </w:r>
          </w:p>
        </w:tc>
      </w:tr>
      <w:tr w:rsidR="007C5583" w:rsidRPr="008127F8" w14:paraId="607EC6AD" w14:textId="77777777" w:rsidTr="004C5D62">
        <w:tc>
          <w:tcPr>
            <w:tcW w:w="4261" w:type="dxa"/>
          </w:tcPr>
          <w:p w14:paraId="7A8120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Московский завод трикотажных машин № 738 на базе Московского завода трикотажных машин и оборудования оставшегося от эвакуации МЗТМ</w:t>
            </w:r>
          </w:p>
        </w:tc>
        <w:tc>
          <w:tcPr>
            <w:tcW w:w="4261" w:type="dxa"/>
          </w:tcPr>
          <w:p w14:paraId="46C3CC3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Калужский пер., д. 4</w:t>
            </w:r>
          </w:p>
        </w:tc>
      </w:tr>
      <w:tr w:rsidR="007C5583" w:rsidRPr="008127F8" w14:paraId="1F7C5C33" w14:textId="77777777" w:rsidTr="004C5D62">
        <w:tc>
          <w:tcPr>
            <w:tcW w:w="4261" w:type="dxa"/>
          </w:tcPr>
          <w:p w14:paraId="7A98D37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740 организован в 1941 году на базе площадей Пензенской бисквитной фабрики и оборудования Харьковского завода им. Шевченко и др. заводов</w:t>
            </w:r>
          </w:p>
        </w:tc>
        <w:tc>
          <w:tcPr>
            <w:tcW w:w="4261" w:type="dxa"/>
          </w:tcPr>
          <w:p w14:paraId="53F6007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Пенза, п/я 250</w:t>
            </w:r>
          </w:p>
        </w:tc>
      </w:tr>
      <w:tr w:rsidR="007C5583" w:rsidRPr="008127F8" w14:paraId="408636B2" w14:textId="77777777" w:rsidTr="004C5D62">
        <w:tc>
          <w:tcPr>
            <w:tcW w:w="4261" w:type="dxa"/>
          </w:tcPr>
          <w:p w14:paraId="00E9E64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745 им. Фрунзе</w:t>
            </w:r>
          </w:p>
        </w:tc>
        <w:tc>
          <w:tcPr>
            <w:tcW w:w="4261" w:type="dxa"/>
          </w:tcPr>
          <w:p w14:paraId="2832D0E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Шуя Ивановской области, 1-я Нагорная ул., д. 6</w:t>
            </w:r>
          </w:p>
        </w:tc>
      </w:tr>
      <w:tr w:rsidR="007C5583" w:rsidRPr="008127F8" w14:paraId="392C8454" w14:textId="77777777" w:rsidTr="004C5D62">
        <w:tc>
          <w:tcPr>
            <w:tcW w:w="4261" w:type="dxa"/>
          </w:tcPr>
          <w:p w14:paraId="77ED0FC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748 завод организован в 1941 году на базе площадей завода “Возрождение” НКТП и оборудования заводов “Возрождение” НКТП, № 9 НКМВ “им. Калинина” НКТП</w:t>
            </w:r>
          </w:p>
        </w:tc>
        <w:tc>
          <w:tcPr>
            <w:tcW w:w="4261" w:type="dxa"/>
          </w:tcPr>
          <w:p w14:paraId="5C836E5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Кузнецк Пензенской области, п/я 8</w:t>
            </w:r>
          </w:p>
        </w:tc>
      </w:tr>
      <w:tr w:rsidR="007C5583" w:rsidRPr="008127F8" w14:paraId="6C40A48E" w14:textId="77777777" w:rsidTr="004C5D62">
        <w:tc>
          <w:tcPr>
            <w:tcW w:w="4261" w:type="dxa"/>
          </w:tcPr>
          <w:p w14:paraId="7BDD4EF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760 временно расположен в здании учебного корпуса Уральского индустриального института им. Кирова</w:t>
            </w:r>
          </w:p>
        </w:tc>
        <w:tc>
          <w:tcPr>
            <w:tcW w:w="4261" w:type="dxa"/>
          </w:tcPr>
          <w:p w14:paraId="742C8D9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Свердловск, Втузгородок</w:t>
            </w:r>
          </w:p>
        </w:tc>
      </w:tr>
      <w:tr w:rsidR="007C5583" w:rsidRPr="008127F8" w14:paraId="479BCEE1" w14:textId="77777777" w:rsidTr="004C5D62">
        <w:tc>
          <w:tcPr>
            <w:tcW w:w="4261" w:type="dxa"/>
          </w:tcPr>
          <w:p w14:paraId="06F5DF8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 1 завода № 760 организован в 1942 году на базе площадей Дормашзавода Гушосдора НКВД и оборудования Дормашзавода, Смоленского завода Дормаш и Воронежского им. Коминтерна</w:t>
            </w:r>
          </w:p>
        </w:tc>
        <w:tc>
          <w:tcPr>
            <w:tcW w:w="4261" w:type="dxa"/>
          </w:tcPr>
          <w:p w14:paraId="218D5FA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Свердловск</w:t>
            </w:r>
          </w:p>
        </w:tc>
      </w:tr>
      <w:tr w:rsidR="007C5583" w:rsidRPr="008127F8" w14:paraId="3446AFB4" w14:textId="77777777" w:rsidTr="004C5D62">
        <w:tc>
          <w:tcPr>
            <w:tcW w:w="4261" w:type="dxa"/>
          </w:tcPr>
          <w:p w14:paraId="3F5C6A9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768</w:t>
            </w:r>
          </w:p>
        </w:tc>
        <w:tc>
          <w:tcPr>
            <w:tcW w:w="4261" w:type="dxa"/>
          </w:tcPr>
          <w:p w14:paraId="5771654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п/я 133</w:t>
            </w:r>
          </w:p>
        </w:tc>
      </w:tr>
      <w:tr w:rsidR="007C5583" w:rsidRPr="008127F8" w14:paraId="2C8AFD48" w14:textId="77777777" w:rsidTr="004C5D62">
        <w:tc>
          <w:tcPr>
            <w:tcW w:w="4261" w:type="dxa"/>
          </w:tcPr>
          <w:p w14:paraId="16CF699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798 (машиностроительный)</w:t>
            </w:r>
          </w:p>
        </w:tc>
        <w:tc>
          <w:tcPr>
            <w:tcW w:w="4261" w:type="dxa"/>
          </w:tcPr>
          <w:p w14:paraId="2E13114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22, п/я 2259</w:t>
            </w:r>
          </w:p>
        </w:tc>
      </w:tr>
      <w:tr w:rsidR="007C5583" w:rsidRPr="008127F8" w14:paraId="7B84B06A" w14:textId="77777777" w:rsidTr="004C5D62">
        <w:tc>
          <w:tcPr>
            <w:tcW w:w="4261" w:type="dxa"/>
          </w:tcPr>
          <w:p w14:paraId="6B236BE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808</w:t>
            </w:r>
          </w:p>
        </w:tc>
        <w:tc>
          <w:tcPr>
            <w:tcW w:w="4261" w:type="dxa"/>
          </w:tcPr>
          <w:p w14:paraId="48EE5D7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Рыбинск, п/я 40</w:t>
            </w:r>
          </w:p>
        </w:tc>
      </w:tr>
      <w:tr w:rsidR="007C5583" w:rsidRPr="008127F8" w14:paraId="3C98FC2D" w14:textId="77777777" w:rsidTr="004C5D62">
        <w:tc>
          <w:tcPr>
            <w:tcW w:w="4261" w:type="dxa"/>
          </w:tcPr>
          <w:p w14:paraId="2C70BAF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815 организован в 1941 году на базе площадей Шадринского моторо-ремонтного завода НКЗ и оборудования Прилукского завода треста ППО, Московского завода им. Калинина, частично МРЗ</w:t>
            </w:r>
          </w:p>
        </w:tc>
        <w:tc>
          <w:tcPr>
            <w:tcW w:w="4261" w:type="dxa"/>
          </w:tcPr>
          <w:p w14:paraId="7BC12AE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Шадринск Челябинской обл., ул. Короткая, д. 4, п/я 38</w:t>
            </w:r>
          </w:p>
        </w:tc>
      </w:tr>
      <w:tr w:rsidR="007C5583" w:rsidRPr="008127F8" w14:paraId="0D6E58AE" w14:textId="77777777" w:rsidTr="004C5D62">
        <w:tc>
          <w:tcPr>
            <w:tcW w:w="4261" w:type="dxa"/>
          </w:tcPr>
          <w:p w14:paraId="540F0C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819 на базе площадей бывш. Грамофонного завода и оборудования вновь приобретенного и старого</w:t>
            </w:r>
          </w:p>
        </w:tc>
        <w:tc>
          <w:tcPr>
            <w:tcW w:w="4261" w:type="dxa"/>
          </w:tcPr>
          <w:p w14:paraId="606B3F7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Коломна Московской области</w:t>
            </w:r>
          </w:p>
        </w:tc>
      </w:tr>
      <w:tr w:rsidR="007C5583" w:rsidRPr="008127F8" w14:paraId="59F22AA2" w14:textId="77777777" w:rsidTr="004C5D62">
        <w:tc>
          <w:tcPr>
            <w:tcW w:w="4261" w:type="dxa"/>
          </w:tcPr>
          <w:p w14:paraId="5D4CB1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Пензенский литейно-механический завод № 821 завод организован в 1941 году на базе площадей Чугунно-литейного завода Росглавпищеснаба НК пищепрома РСФСР и оборудования чугунно-литейного завода, завода им. М. Гельца и Роменского завода Глафполиграфмаша</w:t>
            </w:r>
          </w:p>
        </w:tc>
        <w:tc>
          <w:tcPr>
            <w:tcW w:w="4261" w:type="dxa"/>
          </w:tcPr>
          <w:p w14:paraId="6239AEC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Пенза, Коракозовская ул., д. 26</w:t>
            </w:r>
          </w:p>
        </w:tc>
      </w:tr>
      <w:tr w:rsidR="007C5583" w:rsidRPr="008127F8" w14:paraId="4590F5B0" w14:textId="77777777" w:rsidTr="004C5D62">
        <w:tc>
          <w:tcPr>
            <w:tcW w:w="4261" w:type="dxa"/>
          </w:tcPr>
          <w:p w14:paraId="3A5A60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828</w:t>
            </w:r>
          </w:p>
        </w:tc>
        <w:tc>
          <w:tcPr>
            <w:tcW w:w="4261" w:type="dxa"/>
          </w:tcPr>
          <w:p w14:paraId="383E355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5, п/я 1543</w:t>
            </w:r>
          </w:p>
        </w:tc>
      </w:tr>
      <w:tr w:rsidR="007C5583" w:rsidRPr="008127F8" w14:paraId="6E6E834C" w14:textId="77777777" w:rsidTr="004C5D62">
        <w:tc>
          <w:tcPr>
            <w:tcW w:w="4261" w:type="dxa"/>
          </w:tcPr>
          <w:p w14:paraId="652E4BC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829</w:t>
            </w:r>
          </w:p>
        </w:tc>
        <w:tc>
          <w:tcPr>
            <w:tcW w:w="4261" w:type="dxa"/>
          </w:tcPr>
          <w:p w14:paraId="3C1E389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5, Ольховская 27</w:t>
            </w:r>
          </w:p>
        </w:tc>
      </w:tr>
      <w:tr w:rsidR="007C5583" w:rsidRPr="008127F8" w14:paraId="2944B6DF" w14:textId="77777777" w:rsidTr="004C5D62">
        <w:tc>
          <w:tcPr>
            <w:tcW w:w="4261" w:type="dxa"/>
          </w:tcPr>
          <w:p w14:paraId="20AFF78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830 организован в 1934 году</w:t>
            </w:r>
          </w:p>
        </w:tc>
        <w:tc>
          <w:tcPr>
            <w:tcW w:w="4261" w:type="dxa"/>
          </w:tcPr>
          <w:p w14:paraId="19B7550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71, 4-й Верхне-Михайловский проезд, д. 8а</w:t>
            </w:r>
          </w:p>
        </w:tc>
      </w:tr>
      <w:tr w:rsidR="007C5583" w:rsidRPr="008127F8" w14:paraId="3AE53F0E" w14:textId="77777777" w:rsidTr="004C5D62">
        <w:tc>
          <w:tcPr>
            <w:tcW w:w="4261" w:type="dxa"/>
          </w:tcPr>
          <w:p w14:paraId="4C2842A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847</w:t>
            </w:r>
          </w:p>
        </w:tc>
        <w:tc>
          <w:tcPr>
            <w:tcW w:w="4261" w:type="dxa"/>
          </w:tcPr>
          <w:p w14:paraId="3F910E7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23, Б. Семеновская ул., д. 11</w:t>
            </w:r>
          </w:p>
        </w:tc>
      </w:tr>
      <w:tr w:rsidR="007C5583" w:rsidRPr="008127F8" w14:paraId="75BF2F0D" w14:textId="77777777" w:rsidTr="004C5D62">
        <w:tc>
          <w:tcPr>
            <w:tcW w:w="4261" w:type="dxa"/>
          </w:tcPr>
          <w:p w14:paraId="07B0C2A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718</w:t>
            </w:r>
          </w:p>
        </w:tc>
        <w:tc>
          <w:tcPr>
            <w:tcW w:w="4261" w:type="dxa"/>
          </w:tcPr>
          <w:p w14:paraId="2328F80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Горький, Ленинский район</w:t>
            </w:r>
          </w:p>
        </w:tc>
      </w:tr>
      <w:tr w:rsidR="007C5583" w:rsidRPr="008127F8" w14:paraId="3E9BC255" w14:textId="77777777" w:rsidTr="004C5D62">
        <w:tc>
          <w:tcPr>
            <w:tcW w:w="4261" w:type="dxa"/>
          </w:tcPr>
          <w:p w14:paraId="427D0D1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720 им. М.И. Калинина</w:t>
            </w:r>
          </w:p>
        </w:tc>
        <w:tc>
          <w:tcPr>
            <w:tcW w:w="4261" w:type="dxa"/>
          </w:tcPr>
          <w:p w14:paraId="526D1A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17, п/я 414</w:t>
            </w:r>
          </w:p>
        </w:tc>
      </w:tr>
      <w:tr w:rsidR="007C5583" w:rsidRPr="008127F8" w14:paraId="1C846BCE" w14:textId="77777777" w:rsidTr="004C5D62">
        <w:tc>
          <w:tcPr>
            <w:tcW w:w="4261" w:type="dxa"/>
          </w:tcPr>
          <w:p w14:paraId="787AFE9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721 организован в 1941 году на базе площадей гаража Облавтотранспорта и склада ГУТАП и оборудования Московского завода “Компрессор”</w:t>
            </w:r>
          </w:p>
        </w:tc>
        <w:tc>
          <w:tcPr>
            <w:tcW w:w="4261" w:type="dxa"/>
          </w:tcPr>
          <w:p w14:paraId="218593D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Челябинск, п/я 241</w:t>
            </w:r>
          </w:p>
        </w:tc>
      </w:tr>
      <w:tr w:rsidR="007C5583" w:rsidRPr="008127F8" w14:paraId="6BF64FFD" w14:textId="77777777" w:rsidTr="004C5D62">
        <w:tc>
          <w:tcPr>
            <w:tcW w:w="4261" w:type="dxa"/>
          </w:tcPr>
          <w:p w14:paraId="1F287E2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724 им. Фрунзе организован в 1941 году на базе площадей Ремонтно-механического завода Чирч. Электрохимического комбината им. Сталина и оборудования Эвакуированного из Сумм завода им. Фрунзе</w:t>
            </w:r>
          </w:p>
        </w:tc>
        <w:tc>
          <w:tcPr>
            <w:tcW w:w="4261" w:type="dxa"/>
          </w:tcPr>
          <w:p w14:paraId="6F7B659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Чирчик Ташкентской области, п/я 2</w:t>
            </w:r>
          </w:p>
        </w:tc>
      </w:tr>
      <w:tr w:rsidR="007C5583" w:rsidRPr="008127F8" w14:paraId="19B52CF1" w14:textId="77777777" w:rsidTr="004C5D62">
        <w:tc>
          <w:tcPr>
            <w:tcW w:w="4261" w:type="dxa"/>
          </w:tcPr>
          <w:p w14:paraId="636784D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726 организован в 1941 году на базе площадей строительства Уралтяжхиммаша и оборудования Киевского завода “Большевик”</w:t>
            </w:r>
          </w:p>
        </w:tc>
        <w:tc>
          <w:tcPr>
            <w:tcW w:w="4261" w:type="dxa"/>
          </w:tcPr>
          <w:p w14:paraId="155FDD3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Свердловск, Н. Исетск</w:t>
            </w:r>
          </w:p>
        </w:tc>
      </w:tr>
      <w:tr w:rsidR="007C5583" w:rsidRPr="008127F8" w14:paraId="0793DE8A" w14:textId="77777777" w:rsidTr="004C5D62">
        <w:tc>
          <w:tcPr>
            <w:tcW w:w="4261" w:type="dxa"/>
          </w:tcPr>
          <w:p w14:paraId="5689DD5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733 на базе площадей бывш. завода “Компрессор”</w:t>
            </w:r>
          </w:p>
        </w:tc>
        <w:tc>
          <w:tcPr>
            <w:tcW w:w="4261" w:type="dxa"/>
          </w:tcPr>
          <w:p w14:paraId="01FDFB0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24, п/я 3093 (Донгауэровская слобода, д. 20)</w:t>
            </w:r>
          </w:p>
        </w:tc>
      </w:tr>
      <w:tr w:rsidR="007C5583" w:rsidRPr="008127F8" w14:paraId="79C8FE5F" w14:textId="77777777" w:rsidTr="004C5D62">
        <w:tc>
          <w:tcPr>
            <w:tcW w:w="4261" w:type="dxa"/>
          </w:tcPr>
          <w:p w14:paraId="4ECD00F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746 организован в 1941 году на базе площадей фабрики им. 13 годовщины Октября</w:t>
            </w:r>
          </w:p>
        </w:tc>
        <w:tc>
          <w:tcPr>
            <w:tcW w:w="4261" w:type="dxa"/>
          </w:tcPr>
          <w:p w14:paraId="29A9FFD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п/я 1121</w:t>
            </w:r>
          </w:p>
        </w:tc>
      </w:tr>
      <w:tr w:rsidR="007C5583" w:rsidRPr="008127F8" w14:paraId="20149AC8" w14:textId="77777777" w:rsidTr="004C5D62">
        <w:tc>
          <w:tcPr>
            <w:tcW w:w="4261" w:type="dxa"/>
          </w:tcPr>
          <w:p w14:paraId="2ED37AD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792</w:t>
            </w:r>
          </w:p>
        </w:tc>
        <w:tc>
          <w:tcPr>
            <w:tcW w:w="4261" w:type="dxa"/>
          </w:tcPr>
          <w:p w14:paraId="021CA5E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47, Александро-Невская ул., д. 1</w:t>
            </w:r>
          </w:p>
        </w:tc>
      </w:tr>
      <w:tr w:rsidR="007C5583" w:rsidRPr="008127F8" w14:paraId="394F1248" w14:textId="77777777" w:rsidTr="004C5D62">
        <w:tc>
          <w:tcPr>
            <w:tcW w:w="4261" w:type="dxa"/>
          </w:tcPr>
          <w:p w14:paraId="5182AFA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742 организован в 1941 году на базе площадей эвакуированного Игольно-пластин. завода им. КИМ</w:t>
            </w:r>
          </w:p>
        </w:tc>
        <w:tc>
          <w:tcPr>
            <w:tcW w:w="4261" w:type="dxa"/>
          </w:tcPr>
          <w:p w14:paraId="1D9A08C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Кунцево Московской области, п/я 78</w:t>
            </w:r>
          </w:p>
        </w:tc>
      </w:tr>
      <w:tr w:rsidR="007C5583" w:rsidRPr="008127F8" w14:paraId="7CE0C0DE" w14:textId="77777777" w:rsidTr="004C5D62">
        <w:tc>
          <w:tcPr>
            <w:tcW w:w="4261" w:type="dxa"/>
          </w:tcPr>
          <w:p w14:paraId="297D2E2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753 им. Калинина на базе площадей завода им. Калинина Главпродмаша</w:t>
            </w:r>
          </w:p>
        </w:tc>
        <w:tc>
          <w:tcPr>
            <w:tcW w:w="4261" w:type="dxa"/>
          </w:tcPr>
          <w:p w14:paraId="4260210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83, 2-я Хуторская, д. 38а</w:t>
            </w:r>
          </w:p>
        </w:tc>
      </w:tr>
      <w:tr w:rsidR="007C5583" w:rsidRPr="008127F8" w14:paraId="472B13A2" w14:textId="77777777" w:rsidTr="004C5D62">
        <w:tc>
          <w:tcPr>
            <w:tcW w:w="4261" w:type="dxa"/>
          </w:tcPr>
          <w:p w14:paraId="5553F9F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825 организован в 1942 году на базе площадей Кусинского дома Совета и оборудования части Углического завода ТТК-2</w:t>
            </w:r>
          </w:p>
        </w:tc>
        <w:tc>
          <w:tcPr>
            <w:tcW w:w="4261" w:type="dxa"/>
          </w:tcPr>
          <w:p w14:paraId="11AA23C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р-н Куса Челябинской области, п/я 01</w:t>
            </w:r>
          </w:p>
        </w:tc>
      </w:tr>
      <w:tr w:rsidR="007C5583" w:rsidRPr="008127F8" w14:paraId="41365421" w14:textId="77777777" w:rsidTr="004C5D62">
        <w:tc>
          <w:tcPr>
            <w:tcW w:w="4261" w:type="dxa"/>
          </w:tcPr>
          <w:p w14:paraId="5A9D0A3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834 (4-й часовой завод) организован в 1942 году на базе площадей бывш. Городского театра и школы № 21 г. Златоуста и оборудования 1-го Московского часового завода</w:t>
            </w:r>
          </w:p>
        </w:tc>
        <w:tc>
          <w:tcPr>
            <w:tcW w:w="4261" w:type="dxa"/>
          </w:tcPr>
          <w:p w14:paraId="559E9E9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Златоуст Челябинской области, 1-й часовой завод им. Кирова</w:t>
            </w:r>
          </w:p>
        </w:tc>
      </w:tr>
      <w:tr w:rsidR="007C5583" w:rsidRPr="008127F8" w14:paraId="5B44F2B0" w14:textId="77777777" w:rsidTr="004C5D62">
        <w:tc>
          <w:tcPr>
            <w:tcW w:w="4261" w:type="dxa"/>
          </w:tcPr>
          <w:p w14:paraId="5C4650F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835 (2-й часовой завод)</w:t>
            </w:r>
          </w:p>
        </w:tc>
        <w:tc>
          <w:tcPr>
            <w:tcW w:w="4261" w:type="dxa"/>
          </w:tcPr>
          <w:p w14:paraId="109C67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Чистополь ТАССР, ул. Маркса, 15</w:t>
            </w:r>
          </w:p>
        </w:tc>
      </w:tr>
      <w:tr w:rsidR="007C5583" w:rsidRPr="008127F8" w14:paraId="41297804" w14:textId="77777777" w:rsidTr="004C5D62">
        <w:tc>
          <w:tcPr>
            <w:tcW w:w="4261" w:type="dxa"/>
          </w:tcPr>
          <w:p w14:paraId="7F1F1DC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Завод № 836 организован в 1942 году на базе площадей эвакуированного завода “Манометр”</w:t>
            </w:r>
          </w:p>
        </w:tc>
        <w:tc>
          <w:tcPr>
            <w:tcW w:w="4261" w:type="dxa"/>
          </w:tcPr>
          <w:p w14:paraId="67C6654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120, п/я 1532</w:t>
            </w:r>
          </w:p>
        </w:tc>
      </w:tr>
      <w:tr w:rsidR="007C5583" w:rsidRPr="008127F8" w14:paraId="2A5BF034" w14:textId="77777777" w:rsidTr="004C5D62">
        <w:tc>
          <w:tcPr>
            <w:tcW w:w="4261" w:type="dxa"/>
          </w:tcPr>
          <w:p w14:paraId="6EEE160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837 организован в 1942 году на базе площадей завода ТТК-2</w:t>
            </w:r>
          </w:p>
        </w:tc>
        <w:tc>
          <w:tcPr>
            <w:tcW w:w="4261" w:type="dxa"/>
          </w:tcPr>
          <w:p w14:paraId="3ECF1B6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Углмч Ярославской области, п/я 1</w:t>
            </w:r>
          </w:p>
        </w:tc>
      </w:tr>
      <w:tr w:rsidR="007C5583" w:rsidRPr="008127F8" w14:paraId="0C6D2D44" w14:textId="77777777" w:rsidTr="004C5D62">
        <w:tc>
          <w:tcPr>
            <w:tcW w:w="4261" w:type="dxa"/>
          </w:tcPr>
          <w:p w14:paraId="241AB8E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838 организован в 1941 году на базе площадей Ликеро-водочного завода и оборудования Московского завода “Манометр” и Ленинградских заводов ОМЗ № 5, ЛенГЗИП и Молодой Ударник</w:t>
            </w:r>
          </w:p>
        </w:tc>
        <w:tc>
          <w:tcPr>
            <w:tcW w:w="4261" w:type="dxa"/>
          </w:tcPr>
          <w:p w14:paraId="30356B9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Томск, пр. Тимирязева, 68</w:t>
            </w:r>
          </w:p>
        </w:tc>
      </w:tr>
      <w:tr w:rsidR="007C5583" w:rsidRPr="008127F8" w14:paraId="245343D7" w14:textId="77777777" w:rsidTr="004C5D62">
        <w:tc>
          <w:tcPr>
            <w:tcW w:w="4261" w:type="dxa"/>
          </w:tcPr>
          <w:p w14:paraId="536E400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839 организован в 1942 году на базе площадей Алтайской кр. конторы Союзсовхозтранса и оборудования Л-ского завода им. Матвеева, завода Грампластина г. Белов</w:t>
            </w:r>
          </w:p>
        </w:tc>
        <w:tc>
          <w:tcPr>
            <w:tcW w:w="4261" w:type="dxa"/>
          </w:tcPr>
          <w:p w14:paraId="479B1A7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Барнаул, п/я 135</w:t>
            </w:r>
          </w:p>
        </w:tc>
      </w:tr>
      <w:tr w:rsidR="007C5583" w:rsidRPr="008127F8" w14:paraId="11CA4F0A" w14:textId="77777777" w:rsidTr="004C5D62">
        <w:tc>
          <w:tcPr>
            <w:tcW w:w="4261" w:type="dxa"/>
          </w:tcPr>
          <w:p w14:paraId="295E453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840</w:t>
            </w:r>
          </w:p>
        </w:tc>
        <w:tc>
          <w:tcPr>
            <w:tcW w:w="4261" w:type="dxa"/>
          </w:tcPr>
          <w:p w14:paraId="2091BB4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п/я 2304, Кудринский пер., д. 10</w:t>
            </w:r>
          </w:p>
        </w:tc>
      </w:tr>
      <w:tr w:rsidR="007C5583" w:rsidRPr="008127F8" w14:paraId="5EC62AAB" w14:textId="77777777" w:rsidTr="004C5D62">
        <w:tc>
          <w:tcPr>
            <w:tcW w:w="4261" w:type="dxa"/>
          </w:tcPr>
          <w:p w14:paraId="1946E79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843 “Готовальня” организован в 1935 году на базе площадей бывш. ОКБ-3 и оборудования ОКБ-3 и частично завода “Тизприбор”</w:t>
            </w:r>
          </w:p>
        </w:tc>
        <w:tc>
          <w:tcPr>
            <w:tcW w:w="4261" w:type="dxa"/>
          </w:tcPr>
          <w:p w14:paraId="50300F4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Электрозаводская ул., д. 52</w:t>
            </w:r>
          </w:p>
        </w:tc>
      </w:tr>
      <w:tr w:rsidR="007C5583" w:rsidRPr="008127F8" w14:paraId="0000C722" w14:textId="77777777" w:rsidTr="004C5D62">
        <w:tc>
          <w:tcPr>
            <w:tcW w:w="4261" w:type="dxa"/>
          </w:tcPr>
          <w:p w14:paraId="735FDE3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 № 845 (1-й Московский часовой) организован в 1942 году </w:t>
            </w:r>
          </w:p>
        </w:tc>
        <w:tc>
          <w:tcPr>
            <w:tcW w:w="4261" w:type="dxa"/>
          </w:tcPr>
          <w:p w14:paraId="3FDC42F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4, Воронцовская ул., д. 35б</w:t>
            </w:r>
          </w:p>
        </w:tc>
      </w:tr>
      <w:tr w:rsidR="007C5583" w:rsidRPr="008127F8" w14:paraId="74136DFA" w14:textId="77777777" w:rsidTr="004C5D62">
        <w:tc>
          <w:tcPr>
            <w:tcW w:w="4261" w:type="dxa"/>
          </w:tcPr>
          <w:p w14:paraId="38E423F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 № 846 </w:t>
            </w:r>
          </w:p>
        </w:tc>
        <w:tc>
          <w:tcPr>
            <w:tcW w:w="4261" w:type="dxa"/>
          </w:tcPr>
          <w:p w14:paraId="23439E0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15, Панская ул., д. 14</w:t>
            </w:r>
          </w:p>
        </w:tc>
      </w:tr>
      <w:tr w:rsidR="007C5583" w:rsidRPr="008127F8" w14:paraId="3E250914" w14:textId="77777777" w:rsidTr="004C5D62">
        <w:tc>
          <w:tcPr>
            <w:tcW w:w="4261" w:type="dxa"/>
          </w:tcPr>
          <w:p w14:paraId="286F09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853 организован в 1941 году на базе площадей 2-го Часового завода в Москве</w:t>
            </w:r>
          </w:p>
        </w:tc>
        <w:tc>
          <w:tcPr>
            <w:tcW w:w="4261" w:type="dxa"/>
          </w:tcPr>
          <w:p w14:paraId="46C9934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п/я 3005</w:t>
            </w:r>
          </w:p>
        </w:tc>
      </w:tr>
      <w:tr w:rsidR="007C5583" w:rsidRPr="008127F8" w14:paraId="69800A29" w14:textId="77777777" w:rsidTr="004C5D62">
        <w:tc>
          <w:tcPr>
            <w:tcW w:w="4261" w:type="dxa"/>
          </w:tcPr>
          <w:p w14:paraId="2DDA13C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856 организован в 1932 году на базе площадей Старой текстильной фабрики</w:t>
            </w:r>
          </w:p>
        </w:tc>
        <w:tc>
          <w:tcPr>
            <w:tcW w:w="4261" w:type="dxa"/>
          </w:tcPr>
          <w:p w14:paraId="2235155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Орехово-Зуево Московской области, ул. Техники безопасности, д. 15</w:t>
            </w:r>
          </w:p>
        </w:tc>
      </w:tr>
      <w:tr w:rsidR="007C5583" w:rsidRPr="008127F8" w14:paraId="489F96FD" w14:textId="77777777" w:rsidTr="004C5D62">
        <w:tc>
          <w:tcPr>
            <w:tcW w:w="4261" w:type="dxa"/>
          </w:tcPr>
          <w:p w14:paraId="7012AE2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857</w:t>
            </w:r>
          </w:p>
        </w:tc>
        <w:tc>
          <w:tcPr>
            <w:tcW w:w="4261" w:type="dxa"/>
          </w:tcPr>
          <w:p w14:paraId="17AFA6D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4-й Рощинский пер., д. 21 (9733)</w:t>
            </w:r>
          </w:p>
        </w:tc>
      </w:tr>
      <w:tr w:rsidR="007C5583" w:rsidRPr="008127F8" w14:paraId="6B39EB81" w14:textId="77777777" w:rsidTr="004C5D62">
        <w:tc>
          <w:tcPr>
            <w:tcW w:w="4261" w:type="dxa"/>
          </w:tcPr>
          <w:p w14:paraId="2D7033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61" w:type="dxa"/>
          </w:tcPr>
          <w:p w14:paraId="44722D2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AC8C87F" w14:textId="77777777" w:rsidTr="004C5D62">
        <w:tc>
          <w:tcPr>
            <w:tcW w:w="4261" w:type="dxa"/>
          </w:tcPr>
          <w:p w14:paraId="280CADA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61" w:type="dxa"/>
          </w:tcPr>
          <w:p w14:paraId="096D8D0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2E2F8229" w14:textId="77777777" w:rsidTr="004C5D62">
        <w:tc>
          <w:tcPr>
            <w:tcW w:w="4261" w:type="dxa"/>
          </w:tcPr>
          <w:p w14:paraId="13C080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 были подготовлены Производственно-технические паспорта заводов НКМВ за 1943-4 год</w:t>
            </w:r>
          </w:p>
        </w:tc>
        <w:tc>
          <w:tcPr>
            <w:tcW w:w="4261" w:type="dxa"/>
          </w:tcPr>
          <w:p w14:paraId="5B0A1E0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AB9D581" w14:textId="77777777" w:rsidTr="004C5D62">
        <w:tc>
          <w:tcPr>
            <w:tcW w:w="4261" w:type="dxa"/>
          </w:tcPr>
          <w:p w14:paraId="6FA1238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701</w:t>
            </w:r>
          </w:p>
        </w:tc>
        <w:tc>
          <w:tcPr>
            <w:tcW w:w="4261" w:type="dxa"/>
          </w:tcPr>
          <w:p w14:paraId="13DCDA9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Продукция: мины 120 мм, снаряды М-13</w:t>
            </w:r>
          </w:p>
        </w:tc>
      </w:tr>
      <w:tr w:rsidR="007C5583" w:rsidRPr="008127F8" w14:paraId="614FE4BB" w14:textId="77777777" w:rsidTr="004C5D62">
        <w:tc>
          <w:tcPr>
            <w:tcW w:w="4261" w:type="dxa"/>
          </w:tcPr>
          <w:p w14:paraId="66406DC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702 им. Ворошилова</w:t>
            </w:r>
          </w:p>
        </w:tc>
        <w:tc>
          <w:tcPr>
            <w:tcW w:w="4261" w:type="dxa"/>
          </w:tcPr>
          <w:p w14:paraId="50BF98A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Ташкент, ул. Сельмаша, д. 2, п/я 237</w:t>
            </w:r>
          </w:p>
        </w:tc>
      </w:tr>
      <w:tr w:rsidR="007C5583" w:rsidRPr="008127F8" w14:paraId="340CCA07" w14:textId="77777777" w:rsidTr="004C5D62">
        <w:tc>
          <w:tcPr>
            <w:tcW w:w="4261" w:type="dxa"/>
          </w:tcPr>
          <w:p w14:paraId="5106BE43" w14:textId="77777777" w:rsidR="007C5583" w:rsidRPr="008127F8" w:rsidRDefault="007C5583" w:rsidP="004C5D62">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Продукция: осколочная 82 мм мина, дымная 82 мм мина, миномет 82 мм, передки 45 мм, передки 76 мм и др.</w:t>
            </w:r>
          </w:p>
        </w:tc>
        <w:tc>
          <w:tcPr>
            <w:tcW w:w="4261" w:type="dxa"/>
          </w:tcPr>
          <w:p w14:paraId="0ABDF280" w14:textId="77777777" w:rsidR="007C5583" w:rsidRPr="008127F8" w:rsidRDefault="007C5583" w:rsidP="004C5D62">
            <w:pPr>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B166236" w14:textId="77777777" w:rsidTr="004C5D62">
        <w:tc>
          <w:tcPr>
            <w:tcW w:w="4261" w:type="dxa"/>
          </w:tcPr>
          <w:p w14:paraId="69AF4AD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707 на базе площадей бывш. Машзавода Главпродмаша и оборудования эвакуированных заводов “Гомсельмаш” и части Люберецкого им. Ухтомского</w:t>
            </w:r>
          </w:p>
        </w:tc>
        <w:tc>
          <w:tcPr>
            <w:tcW w:w="4261" w:type="dxa"/>
          </w:tcPr>
          <w:p w14:paraId="04D7850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Курган П/я № 49</w:t>
            </w:r>
          </w:p>
        </w:tc>
      </w:tr>
      <w:tr w:rsidR="007C5583" w:rsidRPr="008127F8" w14:paraId="57948FA5" w14:textId="77777777" w:rsidTr="004C5D62">
        <w:tc>
          <w:tcPr>
            <w:tcW w:w="4261" w:type="dxa"/>
          </w:tcPr>
          <w:p w14:paraId="04C28C36" w14:textId="77777777" w:rsidR="007C5583" w:rsidRPr="008127F8" w:rsidRDefault="007C5583" w:rsidP="004C5D62">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Продукция: мины 82 мм, минометы 82 мм и др.</w:t>
            </w:r>
          </w:p>
        </w:tc>
        <w:tc>
          <w:tcPr>
            <w:tcW w:w="4261" w:type="dxa"/>
          </w:tcPr>
          <w:p w14:paraId="368997E2" w14:textId="77777777" w:rsidR="007C5583" w:rsidRPr="008127F8" w:rsidRDefault="007C5583" w:rsidP="004C5D62">
            <w:pPr>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6659975" w14:textId="77777777" w:rsidTr="004C5D62">
        <w:tc>
          <w:tcPr>
            <w:tcW w:w="4261" w:type="dxa"/>
          </w:tcPr>
          <w:p w14:paraId="79577EE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708 им. Сталина</w:t>
            </w:r>
          </w:p>
        </w:tc>
        <w:tc>
          <w:tcPr>
            <w:tcW w:w="4261" w:type="dxa"/>
          </w:tcPr>
          <w:p w14:paraId="2CACA5E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Ташкент 13, Текстильная, 7, п/я 243</w:t>
            </w:r>
          </w:p>
        </w:tc>
      </w:tr>
      <w:tr w:rsidR="007C5583" w:rsidRPr="008127F8" w14:paraId="2FA97B30" w14:textId="77777777" w:rsidTr="004C5D62">
        <w:tc>
          <w:tcPr>
            <w:tcW w:w="4261" w:type="dxa"/>
          </w:tcPr>
          <w:p w14:paraId="32BD181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Продукция: мина 82 мм, мина 120 мм, миномет 50 мм и др.</w:t>
            </w:r>
          </w:p>
        </w:tc>
        <w:tc>
          <w:tcPr>
            <w:tcW w:w="4261" w:type="dxa"/>
          </w:tcPr>
          <w:p w14:paraId="1B51E42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2851C797" w14:textId="77777777" w:rsidTr="004C5D62">
        <w:tc>
          <w:tcPr>
            <w:tcW w:w="4261" w:type="dxa"/>
          </w:tcPr>
          <w:p w14:paraId="13E7B8E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711</w:t>
            </w:r>
          </w:p>
        </w:tc>
        <w:tc>
          <w:tcPr>
            <w:tcW w:w="4261" w:type="dxa"/>
          </w:tcPr>
          <w:p w14:paraId="3BAE49C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3C0D86C" w14:textId="77777777" w:rsidTr="004C5D62">
        <w:tc>
          <w:tcPr>
            <w:tcW w:w="4261" w:type="dxa"/>
            <w:tcBorders>
              <w:bottom w:val="single" w:sz="12" w:space="0" w:color="auto"/>
            </w:tcBorders>
          </w:tcPr>
          <w:p w14:paraId="6462B35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Продукция: мина сухопутная 82 мм, мина сухопутная 120 мм (9751).</w:t>
            </w:r>
          </w:p>
        </w:tc>
        <w:tc>
          <w:tcPr>
            <w:tcW w:w="4261" w:type="dxa"/>
            <w:tcBorders>
              <w:bottom w:val="single" w:sz="12" w:space="0" w:color="auto"/>
            </w:tcBorders>
          </w:tcPr>
          <w:p w14:paraId="3986CF0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183B66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D4359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 по 10 июня 1942, согласно планам опытных работ по организованному в марте 1942 года Опытному танковому заводу №100 НКТП (г. Челябинск), должны были пройти заводские испытания модерни</w:t>
      </w:r>
      <w:r w:rsidRPr="008127F8">
        <w:rPr>
          <w:rFonts w:ascii="Times New Roman" w:hAnsi="Times New Roman"/>
          <w:color w:val="000000" w:themeColor="text1"/>
          <w:sz w:val="16"/>
          <w:szCs w:val="16"/>
        </w:rPr>
        <w:softHyphen/>
        <w:t>зированного КВ-7, после чего машина поступала на государственные испытания. Этого так и не произошло: к тому моменту интерес к штур</w:t>
      </w:r>
      <w:r w:rsidRPr="008127F8">
        <w:rPr>
          <w:rFonts w:ascii="Times New Roman" w:hAnsi="Times New Roman"/>
          <w:color w:val="000000" w:themeColor="text1"/>
          <w:sz w:val="16"/>
          <w:szCs w:val="16"/>
        </w:rPr>
        <w:softHyphen/>
        <w:t>мовому танку угас, кроме того, на заводе №100 полным ходом шли ра</w:t>
      </w:r>
      <w:r w:rsidRPr="008127F8">
        <w:rPr>
          <w:rFonts w:ascii="Times New Roman" w:hAnsi="Times New Roman"/>
          <w:color w:val="000000" w:themeColor="text1"/>
          <w:sz w:val="16"/>
          <w:szCs w:val="16"/>
        </w:rPr>
        <w:softHyphen/>
        <w:t xml:space="preserve">боты по теме </w:t>
      </w:r>
      <w:r w:rsidRPr="008127F8">
        <w:rPr>
          <w:rFonts w:ascii="Times New Roman" w:hAnsi="Times New Roman"/>
          <w:color w:val="000000" w:themeColor="text1"/>
          <w:sz w:val="16"/>
          <w:szCs w:val="16"/>
          <w:lang w:val="en-US"/>
        </w:rPr>
        <w:t>KB</w:t>
      </w:r>
      <w:r w:rsidRPr="008127F8">
        <w:rPr>
          <w:rFonts w:ascii="Times New Roman" w:hAnsi="Times New Roman"/>
          <w:color w:val="000000" w:themeColor="text1"/>
          <w:sz w:val="16"/>
          <w:szCs w:val="16"/>
        </w:rPr>
        <w:t xml:space="preserve">-1С, из-за чего пришлось сдвигать сроки по другим опытным разработкам. Главной же причиной остановки работ по теме КВ-7 стало то, что к июню 1942 года уже полным ходом шли работы попроектированию установки в нем 152-мм пушки-гаубицы </w:t>
      </w:r>
      <w:r w:rsidRPr="008127F8">
        <w:rPr>
          <w:rFonts w:ascii="Times New Roman" w:hAnsi="Times New Roman"/>
          <w:color w:val="000000" w:themeColor="text1"/>
          <w:sz w:val="16"/>
          <w:szCs w:val="16"/>
          <w:lang w:val="en-US"/>
        </w:rPr>
        <w:t>MJI</w:t>
      </w:r>
      <w:r w:rsidRPr="008127F8">
        <w:rPr>
          <w:rFonts w:ascii="Times New Roman" w:hAnsi="Times New Roman"/>
          <w:color w:val="000000" w:themeColor="text1"/>
          <w:sz w:val="16"/>
          <w:szCs w:val="16"/>
        </w:rPr>
        <w:t>-20 (17484).</w:t>
      </w:r>
    </w:p>
    <w:p w14:paraId="1D19AAB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CB710C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июня 1942 года в докладной записке начальнику ГАБТУ КА генерал-лейтенанту Федоренко КВ-1 подвергся критике за его медлительность и низкую надежность, одновременно предлагалось дать задание ЧКЗ и заводу №183 разработать сменщика тяжёлого танка. При этом предлагались тактико-технические требования на развитие обоих проектов. Согласно им, толщина лобовой брони корпуса возрастала до 90 мм, а экипаж увеличивался до 4 человек за счёт добавления командира в башне. Именно эти требования стали отправной точкой в разработке КВ-13 с трёхместной башней (18420).</w:t>
      </w:r>
    </w:p>
    <w:p w14:paraId="160BD4D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EF15CF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июня 1942 члены Военных советов фронта и КБФ А. А. Жданов, В. Ф. Трибуц, А. А. Кузнецов и Я. Ф. Капустин присутствовали на испытаниях головных тендера и самоходного плашкоута, построенных на Петрозаводе и "Судомехе" для ладожской Дороги жизни. Была рекомендована их серийная постройка. На Неве вступила в строй первая станция безмоточного размагничивания судов (СБР) (10671).</w:t>
      </w:r>
    </w:p>
    <w:p w14:paraId="6C88BBF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A0923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2F16B9A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DC00F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июня</w:t>
      </w:r>
      <w:r w:rsidRPr="008127F8">
        <w:rPr>
          <w:rFonts w:ascii="Times New Roman" w:hAnsi="Times New Roman"/>
          <w:color w:val="000000" w:themeColor="text1"/>
          <w:sz w:val="16"/>
          <w:szCs w:val="16"/>
        </w:rPr>
        <w:t xml:space="preserve"> в 1942 году оперативная сводка Совинформбюро:</w:t>
      </w:r>
    </w:p>
    <w:p w14:paraId="341D2B3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«Часть под командованием тов. Серебрякова (Калининский фронт) отразила атаку немецкой пехоты, пытавшейся занять наш оборонительный пункт. Немцы оставили на поле боя более 200 трупов. Подбито 2 вражеских танка. Нашими бойцами захвачено 14 пулеметов, винтовки и автоматическая пушка.» (14909).</w:t>
      </w:r>
    </w:p>
    <w:p w14:paraId="5E10AF8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129DAB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июня</w:t>
      </w:r>
      <w:r w:rsidRPr="008127F8">
        <w:rPr>
          <w:rFonts w:ascii="Times New Roman" w:hAnsi="Times New Roman"/>
          <w:color w:val="000000" w:themeColor="text1"/>
          <w:sz w:val="16"/>
          <w:szCs w:val="16"/>
        </w:rPr>
        <w:t xml:space="preserve"> в 1942 году объединенный Путивльский партизанский отряд С.А.Ковпака совместно с партизанами Сумской области освободил от немецких войск Путивльский район (14909).</w:t>
      </w:r>
    </w:p>
    <w:p w14:paraId="7DB8FCD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CC9AE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июня 1942 бомбоштурмовой удар штурмовиков 800-го </w:t>
      </w:r>
      <w:r w:rsidRPr="008127F8">
        <w:rPr>
          <w:rFonts w:ascii="Times New Roman" w:hAnsi="Times New Roman"/>
          <w:iCs/>
          <w:color w:val="000000" w:themeColor="text1"/>
          <w:sz w:val="16"/>
          <w:szCs w:val="16"/>
        </w:rPr>
        <w:t>шап,</w:t>
      </w:r>
      <w:r w:rsidRPr="008127F8">
        <w:rPr>
          <w:rFonts w:ascii="Times New Roman" w:hAnsi="Times New Roman"/>
          <w:color w:val="000000" w:themeColor="text1"/>
          <w:sz w:val="16"/>
          <w:szCs w:val="16"/>
        </w:rPr>
        <w:t xml:space="preserve"> нанесенный ранним утром по аэродрому Курск-Восточный, на котором базировалось до 50 бомбардировщиков Люфтваффе, вы</w:t>
      </w:r>
      <w:r w:rsidRPr="008127F8">
        <w:rPr>
          <w:rFonts w:ascii="Times New Roman" w:hAnsi="Times New Roman"/>
          <w:color w:val="000000" w:themeColor="text1"/>
          <w:sz w:val="16"/>
          <w:szCs w:val="16"/>
        </w:rPr>
        <w:softHyphen/>
        <w:t>нудил командование немецкого 4-го ВФ перебазировать самолеты Курского аэроузла подальше от линии фронта (6467).</w:t>
      </w:r>
    </w:p>
    <w:p w14:paraId="203F47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B6BB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 по 10 июня 1941 авиа</w:t>
      </w:r>
      <w:r w:rsidRPr="008127F8">
        <w:rPr>
          <w:rFonts w:ascii="Times New Roman" w:hAnsi="Times New Roman"/>
          <w:color w:val="000000" w:themeColor="text1"/>
          <w:sz w:val="16"/>
          <w:szCs w:val="16"/>
        </w:rPr>
        <w:softHyphen/>
        <w:t>ция Юго-Западного фронта с целью снижения активности Люфтваффе на</w:t>
      </w:r>
      <w:r w:rsidRPr="008127F8">
        <w:rPr>
          <w:rFonts w:ascii="Times New Roman" w:hAnsi="Times New Roman"/>
          <w:color w:val="000000" w:themeColor="text1"/>
          <w:sz w:val="16"/>
          <w:szCs w:val="16"/>
        </w:rPr>
        <w:softHyphen/>
        <w:t>несла три массированных удара по ше</w:t>
      </w:r>
      <w:r w:rsidRPr="008127F8">
        <w:rPr>
          <w:rFonts w:ascii="Times New Roman" w:hAnsi="Times New Roman"/>
          <w:color w:val="000000" w:themeColor="text1"/>
          <w:sz w:val="16"/>
          <w:szCs w:val="16"/>
        </w:rPr>
        <w:softHyphen/>
        <w:t>сти аэродромам: Харьков (Центральный), Харьков (Основа), Рогань, Чугуев, Мал. Камышеваха, Марьевка, Ахтырка, Полта</w:t>
      </w:r>
      <w:r w:rsidRPr="008127F8">
        <w:rPr>
          <w:rFonts w:ascii="Times New Roman" w:hAnsi="Times New Roman"/>
          <w:color w:val="000000" w:themeColor="text1"/>
          <w:sz w:val="16"/>
          <w:szCs w:val="16"/>
        </w:rPr>
        <w:softHyphen/>
        <w:t xml:space="preserve">ва, Лебедин и Б.Даниловка. Из этого числа по трем аэродромам работали штурмовики фронта. "Илы" 619-го и 285-го </w:t>
      </w:r>
      <w:r w:rsidRPr="008127F8">
        <w:rPr>
          <w:rFonts w:ascii="Times New Roman" w:hAnsi="Times New Roman"/>
          <w:iCs/>
          <w:color w:val="000000" w:themeColor="text1"/>
          <w:sz w:val="16"/>
          <w:szCs w:val="16"/>
        </w:rPr>
        <w:t>шап</w:t>
      </w:r>
      <w:r w:rsidRPr="008127F8">
        <w:rPr>
          <w:rFonts w:ascii="Times New Roman" w:hAnsi="Times New Roman"/>
          <w:color w:val="000000" w:themeColor="text1"/>
          <w:sz w:val="16"/>
          <w:szCs w:val="16"/>
        </w:rPr>
        <w:t xml:space="preserve"> из маневренной авиагруппы дей</w:t>
      </w:r>
      <w:r w:rsidRPr="008127F8">
        <w:rPr>
          <w:rFonts w:ascii="Times New Roman" w:hAnsi="Times New Roman"/>
          <w:color w:val="000000" w:themeColor="text1"/>
          <w:sz w:val="16"/>
          <w:szCs w:val="16"/>
        </w:rPr>
        <w:softHyphen/>
        <w:t xml:space="preserve">ствовали по аэродрому Харьков (Центральный), а экипажи 505-го и 211 -го </w:t>
      </w:r>
      <w:r w:rsidRPr="008127F8">
        <w:rPr>
          <w:rFonts w:ascii="Times New Roman" w:hAnsi="Times New Roman"/>
          <w:iCs/>
          <w:color w:val="000000" w:themeColor="text1"/>
          <w:sz w:val="16"/>
          <w:szCs w:val="16"/>
        </w:rPr>
        <w:t xml:space="preserve">шап </w:t>
      </w:r>
      <w:r w:rsidRPr="008127F8">
        <w:rPr>
          <w:rFonts w:ascii="Times New Roman" w:hAnsi="Times New Roman"/>
          <w:color w:val="000000" w:themeColor="text1"/>
          <w:sz w:val="16"/>
          <w:szCs w:val="16"/>
        </w:rPr>
        <w:t xml:space="preserve">228-й </w:t>
      </w:r>
      <w:r w:rsidRPr="008127F8">
        <w:rPr>
          <w:rFonts w:ascii="Times New Roman" w:hAnsi="Times New Roman"/>
          <w:iCs/>
          <w:color w:val="000000" w:themeColor="text1"/>
          <w:sz w:val="16"/>
          <w:szCs w:val="16"/>
        </w:rPr>
        <w:t>шад -</w:t>
      </w:r>
      <w:r w:rsidRPr="008127F8">
        <w:rPr>
          <w:rFonts w:ascii="Times New Roman" w:hAnsi="Times New Roman"/>
          <w:color w:val="000000" w:themeColor="text1"/>
          <w:sz w:val="16"/>
          <w:szCs w:val="16"/>
        </w:rPr>
        <w:t xml:space="preserve"> по аэродромам Рогань и Чугуев. Удары по всем трем аэродро</w:t>
      </w:r>
      <w:r w:rsidRPr="008127F8">
        <w:rPr>
          <w:rFonts w:ascii="Times New Roman" w:hAnsi="Times New Roman"/>
          <w:color w:val="000000" w:themeColor="text1"/>
          <w:sz w:val="16"/>
          <w:szCs w:val="16"/>
        </w:rPr>
        <w:softHyphen/>
        <w:t>мам производились одновременно. Кроме этого, штурмовики Ил-2 бомбоштурмовыми ударами пытались оста</w:t>
      </w:r>
      <w:r w:rsidRPr="008127F8">
        <w:rPr>
          <w:rFonts w:ascii="Times New Roman" w:hAnsi="Times New Roman"/>
          <w:color w:val="000000" w:themeColor="text1"/>
          <w:sz w:val="16"/>
          <w:szCs w:val="16"/>
        </w:rPr>
        <w:softHyphen/>
        <w:t>новить поддерживаемые массированны</w:t>
      </w:r>
      <w:r w:rsidRPr="008127F8">
        <w:rPr>
          <w:rFonts w:ascii="Times New Roman" w:hAnsi="Times New Roman"/>
          <w:color w:val="000000" w:themeColor="text1"/>
          <w:sz w:val="16"/>
          <w:szCs w:val="16"/>
        </w:rPr>
        <w:softHyphen/>
        <w:t>ми действиями Люфтваффе танковые и моторизованные группы противника в районах Моспанова, Волчий Яр, Михайловка, Граково и переправ через реки Северский Донец, Таволжанка и Стари</w:t>
      </w:r>
      <w:r w:rsidRPr="008127F8">
        <w:rPr>
          <w:rFonts w:ascii="Times New Roman" w:hAnsi="Times New Roman"/>
          <w:color w:val="000000" w:themeColor="text1"/>
          <w:sz w:val="16"/>
          <w:szCs w:val="16"/>
        </w:rPr>
        <w:softHyphen/>
        <w:t>ца. Однако ничего из этого не получалось (6467).</w:t>
      </w:r>
    </w:p>
    <w:p w14:paraId="1B4E2D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2C369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июня 1942 г. над Черным морем в 230 км от Ге</w:t>
      </w:r>
      <w:r w:rsidRPr="008127F8">
        <w:rPr>
          <w:rFonts w:ascii="Times New Roman" w:hAnsi="Times New Roman"/>
          <w:color w:val="000000" w:themeColor="text1"/>
          <w:sz w:val="16"/>
          <w:szCs w:val="16"/>
        </w:rPr>
        <w:softHyphen/>
        <w:t>ленджика, вылетевший на разведку ги</w:t>
      </w:r>
      <w:r w:rsidRPr="008127F8">
        <w:rPr>
          <w:rFonts w:ascii="Times New Roman" w:hAnsi="Times New Roman"/>
          <w:color w:val="000000" w:themeColor="text1"/>
          <w:sz w:val="16"/>
          <w:szCs w:val="16"/>
        </w:rPr>
        <w:softHyphen/>
        <w:t>дросамолет, пилотируемый капитаном Малаховым, был атакован самолетом про</w:t>
      </w:r>
      <w:r w:rsidRPr="008127F8">
        <w:rPr>
          <w:rFonts w:ascii="Times New Roman" w:hAnsi="Times New Roman"/>
          <w:color w:val="000000" w:themeColor="text1"/>
          <w:sz w:val="16"/>
          <w:szCs w:val="16"/>
        </w:rPr>
        <w:softHyphen/>
        <w:t>тивника, опознанный нашим экипажем как Ме-110. Однако огнем стрелка-радиста Божко и борттехника Дегтярева атаку</w:t>
      </w:r>
      <w:r w:rsidRPr="008127F8">
        <w:rPr>
          <w:rFonts w:ascii="Times New Roman" w:hAnsi="Times New Roman"/>
          <w:color w:val="000000" w:themeColor="text1"/>
          <w:sz w:val="16"/>
          <w:szCs w:val="16"/>
        </w:rPr>
        <w:softHyphen/>
        <w:t>ющий был сбит сам. Самолет противника и плавающий на воде его экипаж удалось сфотографировать. Наш ГСТ тоже получил несколько пробоин хвостовой части от вражеского пушечного огня. Именно эти повреждения помешали нашим летчикам приводниться и подобрать экипаж повер</w:t>
      </w:r>
      <w:r w:rsidRPr="008127F8">
        <w:rPr>
          <w:rFonts w:ascii="Times New Roman" w:hAnsi="Times New Roman"/>
          <w:color w:val="000000" w:themeColor="text1"/>
          <w:sz w:val="16"/>
          <w:szCs w:val="16"/>
        </w:rPr>
        <w:softHyphen/>
        <w:t>женной вражеской машины.</w:t>
      </w:r>
    </w:p>
    <w:p w14:paraId="383810D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немецким же данным был потерян торпедоносец Хейнкель-111Н-6 из 7-го отряда 11-й группы 26-й бомбардировоч</w:t>
      </w:r>
      <w:r w:rsidRPr="008127F8">
        <w:rPr>
          <w:rFonts w:ascii="Times New Roman" w:hAnsi="Times New Roman"/>
          <w:color w:val="000000" w:themeColor="text1"/>
          <w:sz w:val="16"/>
          <w:szCs w:val="16"/>
        </w:rPr>
        <w:softHyphen/>
        <w:t>ной эскадры «Львиная» (зав. номер 4381). При этом ошибка наших летчиков в иден</w:t>
      </w:r>
      <w:r w:rsidRPr="008127F8">
        <w:rPr>
          <w:rFonts w:ascii="Times New Roman" w:hAnsi="Times New Roman"/>
          <w:color w:val="000000" w:themeColor="text1"/>
          <w:sz w:val="16"/>
          <w:szCs w:val="16"/>
        </w:rPr>
        <w:softHyphen/>
        <w:t>тификации не должна нас особо смущать, дело на войне обычное. Экипаж сбитого «хейнкеля», в том числе и раненого пи</w:t>
      </w:r>
      <w:r w:rsidRPr="008127F8">
        <w:rPr>
          <w:rFonts w:ascii="Times New Roman" w:hAnsi="Times New Roman"/>
          <w:color w:val="000000" w:themeColor="text1"/>
          <w:sz w:val="16"/>
          <w:szCs w:val="16"/>
        </w:rPr>
        <w:softHyphen/>
        <w:t>лота обер-лейтенанта Фрингса, немцам удалось спасти. Подробностей боя и по</w:t>
      </w:r>
      <w:r w:rsidRPr="008127F8">
        <w:rPr>
          <w:rFonts w:ascii="Times New Roman" w:hAnsi="Times New Roman"/>
          <w:color w:val="000000" w:themeColor="text1"/>
          <w:sz w:val="16"/>
          <w:szCs w:val="16"/>
        </w:rPr>
        <w:softHyphen/>
        <w:t>следовавшей за ним спасательной опе</w:t>
      </w:r>
      <w:r w:rsidRPr="008127F8">
        <w:rPr>
          <w:rFonts w:ascii="Times New Roman" w:hAnsi="Times New Roman"/>
          <w:color w:val="000000" w:themeColor="text1"/>
          <w:sz w:val="16"/>
          <w:szCs w:val="16"/>
        </w:rPr>
        <w:softHyphen/>
        <w:t>рации с немецкой стороны, к сожалению, найти не удалось.</w:t>
      </w:r>
    </w:p>
    <w:p w14:paraId="59EB8A0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За первые полтора года войны эки</w:t>
      </w:r>
      <w:r w:rsidRPr="008127F8">
        <w:rPr>
          <w:rFonts w:ascii="Times New Roman" w:hAnsi="Times New Roman"/>
          <w:color w:val="000000" w:themeColor="text1"/>
          <w:sz w:val="16"/>
          <w:szCs w:val="16"/>
        </w:rPr>
        <w:softHyphen/>
        <w:t>пажи ГСТ провели 11 воздушных боев.</w:t>
      </w:r>
    </w:p>
    <w:p w14:paraId="3C1A508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мнению экипажей, ГСТ показал себя прекрасным дальним морским раз</w:t>
      </w:r>
      <w:r w:rsidRPr="008127F8">
        <w:rPr>
          <w:rFonts w:ascii="Times New Roman" w:hAnsi="Times New Roman"/>
          <w:color w:val="000000" w:themeColor="text1"/>
          <w:sz w:val="16"/>
          <w:szCs w:val="16"/>
        </w:rPr>
        <w:softHyphen/>
        <w:t>ведчиком, но его оборонительное воору</w:t>
      </w:r>
      <w:r w:rsidRPr="008127F8">
        <w:rPr>
          <w:rFonts w:ascii="Times New Roman" w:hAnsi="Times New Roman"/>
          <w:color w:val="000000" w:themeColor="text1"/>
          <w:sz w:val="16"/>
          <w:szCs w:val="16"/>
        </w:rPr>
        <w:softHyphen/>
        <w:t>жение было откровенно слабым. Поэтому высказывалось пожелание добавить хотя бы один крупнокалиберный пулемет.</w:t>
      </w:r>
    </w:p>
    <w:p w14:paraId="588F66A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еще как бомбардировщик, ГСТ был «слепой» (именно так говорилось в от</w:t>
      </w:r>
      <w:r w:rsidRPr="008127F8">
        <w:rPr>
          <w:rFonts w:ascii="Times New Roman" w:hAnsi="Times New Roman"/>
          <w:color w:val="000000" w:themeColor="text1"/>
          <w:sz w:val="16"/>
          <w:szCs w:val="16"/>
        </w:rPr>
        <w:softHyphen/>
        <w:t>чете 1942 г.). Для того чтобы прицелиться, штурман должен был перейти из пилот</w:t>
      </w:r>
      <w:r w:rsidRPr="008127F8">
        <w:rPr>
          <w:rFonts w:ascii="Times New Roman" w:hAnsi="Times New Roman"/>
          <w:color w:val="000000" w:themeColor="text1"/>
          <w:sz w:val="16"/>
          <w:szCs w:val="16"/>
        </w:rPr>
        <w:softHyphen/>
        <w:t>ской кабины в нос лодки, а чтобы по</w:t>
      </w:r>
      <w:r w:rsidRPr="008127F8">
        <w:rPr>
          <w:rFonts w:ascii="Times New Roman" w:hAnsi="Times New Roman"/>
          <w:color w:val="000000" w:themeColor="text1"/>
          <w:sz w:val="16"/>
          <w:szCs w:val="16"/>
        </w:rPr>
        <w:softHyphen/>
        <w:t>том сбросить бомбы - вернуться обратно. В то же время летающие лодки вполне достойно выглядели даже на фоне даль</w:t>
      </w:r>
      <w:r w:rsidRPr="008127F8">
        <w:rPr>
          <w:rFonts w:ascii="Times New Roman" w:hAnsi="Times New Roman"/>
          <w:color w:val="000000" w:themeColor="text1"/>
          <w:sz w:val="16"/>
          <w:szCs w:val="16"/>
        </w:rPr>
        <w:softHyphen/>
        <w:t>них бомбардировщиков, поскольку бое</w:t>
      </w:r>
      <w:r w:rsidRPr="008127F8">
        <w:rPr>
          <w:rFonts w:ascii="Times New Roman" w:hAnsi="Times New Roman"/>
          <w:color w:val="000000" w:themeColor="text1"/>
          <w:sz w:val="16"/>
          <w:szCs w:val="16"/>
        </w:rPr>
        <w:softHyphen/>
        <w:t>вая нагрузка ДБ-3, как правило, состав</w:t>
      </w:r>
      <w:r w:rsidRPr="008127F8">
        <w:rPr>
          <w:rFonts w:ascii="Times New Roman" w:hAnsi="Times New Roman"/>
          <w:color w:val="000000" w:themeColor="text1"/>
          <w:sz w:val="16"/>
          <w:szCs w:val="16"/>
        </w:rPr>
        <w:softHyphen/>
        <w:t>ляла десять ФАБ-100, а вот ГСТ мог под</w:t>
      </w:r>
      <w:r w:rsidRPr="008127F8">
        <w:rPr>
          <w:rFonts w:ascii="Times New Roman" w:hAnsi="Times New Roman"/>
          <w:color w:val="000000" w:themeColor="text1"/>
          <w:sz w:val="16"/>
          <w:szCs w:val="16"/>
        </w:rPr>
        <w:softHyphen/>
        <w:t>нять и до 17 «соток» (19852).</w:t>
      </w:r>
    </w:p>
    <w:p w14:paraId="10616C2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47E23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июня 1942 начались ленд-лизовские поставки в СССР из США (2100).</w:t>
      </w:r>
    </w:p>
    <w:p w14:paraId="763511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E153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1B467EC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7A7A3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июня 1942 г. специальный помощник президента США Г. Гопкинс заверил Молотова в том, что «президент хочет второго фронта в 1942 г., и его предложение о сокращении в целях ускорения создания второго фронта в 1942 г. поставок СССР надо рассматривать самым серьезным образом». «На месте Молотова, - подчеркнул специальный помощник президента США, - он, Гопкинс, был бы доволен результатами переговоров», так как «шансы на успешное разрешение задачи второго фронта в 1942 г. поднялись далеко за 50%» (15). Однако в 1942 г. высадка союзников во Франции так и не состоялась. Дело ограничилось неким подобием репетиции: 19 августа 1942 г. канадские части и английские десантные отряды «коммандос» общей численностью в 6000 тыс. чел. высадились на побережье Франции в районе г. Дьеппа, где и находились в течение суток (16). В 1943 г. на проходившей в Вашингтоне с 12 по 15 мая конференции «Трайдент» руководители США и Великобритании вообще приняли решение о переносе начала операции на весну 1944 г. Примерно тогда данная операция («Оверлорд») и началась - 1 июня 1944 г. (19151).</w:t>
      </w:r>
    </w:p>
    <w:p w14:paraId="47AFC60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D4DEF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71F99BE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DEDA1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июня</w:t>
      </w:r>
      <w:r w:rsidRPr="008127F8">
        <w:rPr>
          <w:rFonts w:ascii="Times New Roman" w:hAnsi="Times New Roman"/>
          <w:color w:val="000000" w:themeColor="text1"/>
          <w:sz w:val="16"/>
          <w:szCs w:val="16"/>
        </w:rPr>
        <w:t xml:space="preserve"> в 1942 году совершил первый полет опытный самолет с заводским номером «DZ434», на котором смонтировали форсированные, но невысотные моторы "Мерлин" 25 с взлетной мощностью по 1620 л.с. Эта машина, стала прототипом истребителя-бомбардировщика </w:t>
      </w:r>
      <w:hyperlink r:id="rId63" w:tgtFrame="_blank" w:history="1">
        <w:r w:rsidRPr="008127F8">
          <w:rPr>
            <w:rFonts w:ascii="Times New Roman" w:hAnsi="Times New Roman"/>
            <w:color w:val="000000" w:themeColor="text1"/>
            <w:sz w:val="16"/>
            <w:szCs w:val="16"/>
          </w:rPr>
          <w:t xml:space="preserve">"Москито" «FB.VI», </w:t>
        </w:r>
      </w:hyperlink>
      <w:r w:rsidRPr="008127F8">
        <w:rPr>
          <w:rFonts w:ascii="Times New Roman" w:hAnsi="Times New Roman"/>
          <w:color w:val="000000" w:themeColor="text1"/>
          <w:sz w:val="16"/>
          <w:szCs w:val="16"/>
        </w:rPr>
        <w:t>в октябре ее испытание успешно завершились. Внедрение модификации в серию задерживалось в связи с необходимостью разработки нового усиленного крыла (так называемого "базового" или "универсального") с узлами подвески дополнительных бензобаков, бомб и реактивных снарядов. Ранние серийные истребители-бомбардировщики «FB.VI» имели нормальную взлетную массу 9000 кг и оснащались моторами "Мерлин" 21, 23 или 25 (последних первое время не хватало). С боевой нагрузкой из четырех 113-кг бомб (две в бомбоотсеке и две под крылом), боезапасом (по 150 снарядов на пушку и по 500 патанов на пулемет) и с 1825 л топлива в баках самолет мог пролететь 1950 км. У земли машина с двигателями "Мерлин" 25 летала с максимальной скоростью 541 км/ч, на высоте 1550 м развивала 577 км/ч, а на второй границе высотности (3960 м) - 608 км/ч. Постройкой "шестерок", помимо завода в Хатфилде, занимались фирмы "Стандарт Моторс" и "Эрспид". Всего было выпушено 2140 самолетов «FB.VI» (14909).</w:t>
      </w:r>
    </w:p>
    <w:p w14:paraId="736170D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C336CD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июня 1942 г. первые два опытных ТРД компании Junkersmotoren, несколько уступавшие по удельным параметрам BMW, поступили в Аугсбург и вскоре были установлены на Me 262V-3. При выполнении первого полета только на реактивной тяге также не обошлось без проблем. Во время скоростных пробежек Венделю «не хватало рулей» для поднятия хвостового колеса перед взлетом — по причине затенения стабилизатора крылом. Недостаточный обдув руля высоты делал его малоэффективным. Аэродинамики порекомендовали создать тормозной импульс, после чего самолет должен был «кивнуть», при этом стабилизатор поднимался вверх, в набегающий поток. Примененное ухищрение сработало — самолет стал управляемым по тангажу (22776).</w:t>
      </w:r>
    </w:p>
    <w:p w14:paraId="5BE3EB9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1D1FE8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июня</w:t>
      </w:r>
      <w:r w:rsidRPr="008127F8">
        <w:rPr>
          <w:rFonts w:ascii="Times New Roman" w:hAnsi="Times New Roman"/>
          <w:color w:val="000000" w:themeColor="text1"/>
          <w:sz w:val="16"/>
          <w:szCs w:val="16"/>
        </w:rPr>
        <w:t xml:space="preserve"> в 1942 году на верфи "Виккерс-Армстронг" в Тайне заложен первый легкий авианосец проекта "Колоссус". До конца 1945 года в строй вошли 10 кораблей проекта. На 70% корпуса сооружались по гражданским стандартам Ллойда, потому как после войны корабли планировалось переоборудовать в быстроходные транспорта: корпус не имел ПТЗ, был лишь локально бронирован, максимальная скорость составляла всего 25 узлов. ГЭУ корабля мощностью в 40 тысяч л.с. составляла половину от машинной установки легкого крейсера типа "Фиджи", полное водоизмещение чуть превышало 18 тысяч тонн. Готовый банановоз. Однако проект оказался настолько удачным, что карьера кораблей оказалась долгой, а два вымпела, "Венерейбл" и "Венженс", прослужили в составе флотов соответственно Бразилии (под названим "Минас Жераис") и Аргентины ("25 де Майо") до середины 1990-х годов - 50 лет, установив рекорд службы кораблей этого класса (14909).</w:t>
      </w:r>
    </w:p>
    <w:p w14:paraId="001F93B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67265D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июня 1942 из-за сходства красного диска в центре национальных знаков различия военных самолетов США с японскими знаками , Соединенные Штаты принимают новый национальный знак отличия без красного диска, состоящий просто из белой звезды в центре синего круга. . Новая маркировка будет использоваться до июля 1943 года (20793).</w:t>
      </w:r>
    </w:p>
    <w:p w14:paraId="7DB9AFD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79B9EF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июня (ночь) 1942- Командование бомбардировщиков Королевских ВВС совершает то, что номинально является вторым «налетом тысячи бомбардировщиков» - фактически участвуют 956 бомбардировщиков - нацелившись на Эссен, Германия. Промышленная дымка портит атаку; британские бомбардировщики смогли убить только 15 человек в Эссене и разрушили там только 11 домов, в то время как широко разбросанные бомбы поражают Оберхаузен, Дуйсбург и, по крайней мере, еще одиннадцать других городов и поселков, которые пострадали больше, чем сам Эссен (20793).</w:t>
      </w:r>
    </w:p>
    <w:p w14:paraId="082DB40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C5F81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1 June 1942 Worst month for Allied shipping losses in the Atlantic (624000 tons) (270).</w:t>
      </w:r>
    </w:p>
    <w:p w14:paraId="56F7DDF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E0C58F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июня 1942 союзники понесли самые тяжелые потери судов в Атлантике (624 тыс. т) (270).</w:t>
      </w:r>
    </w:p>
    <w:p w14:paraId="3ABD4F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AEFA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июня 1942 956 английских бомбардировщиков атаковали район Рура и Эссена (2245,5).</w:t>
      </w:r>
    </w:p>
    <w:p w14:paraId="52CCF9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89F79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июня 1942 Мексика объявила войну странам оси (2443,423).</w:t>
      </w:r>
    </w:p>
    <w:p w14:paraId="73ECDE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2C7B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val="en-US"/>
        </w:rPr>
        <w:t xml:space="preserve">June 1st, 1942: The RAF launches another 1,000-bomber night raid against Essen in the Ruhr, but with minimal effect. In the East, the siege of the Crimean fortress of Sevastopol by 11.Armee (von Manstein) continues with a round-the-clock bombardment by heavy artillery and Luftwaffe bombers. </w:t>
      </w:r>
      <w:r w:rsidRPr="008127F8">
        <w:rPr>
          <w:rFonts w:ascii="Times New Roman" w:hAnsi="Times New Roman"/>
          <w:color w:val="000000" w:themeColor="text1"/>
          <w:sz w:val="16"/>
          <w:szCs w:val="16"/>
        </w:rPr>
        <w:t>Mexico declares war on Germany, Italy and Japan (3819).</w:t>
      </w:r>
    </w:p>
    <w:p w14:paraId="0288B2F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45519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июня 1942 Королевские ВВС выполнили еще один налет 1000 бомбардировщиков на Эссен в Руре, но опять с минимальными результатами (3819).</w:t>
      </w:r>
    </w:p>
    <w:p w14:paraId="6B57F4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54A9D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июня 1942 фашисты обязали евреев европейских оккупированных стран носить звезду Давида на одежде (4962).</w:t>
      </w:r>
    </w:p>
    <w:p w14:paraId="530452F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F031A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июня 1942 между США и Китаем было заключено соглашение о передаче Китаю вооружений (3186).</w:t>
      </w:r>
    </w:p>
    <w:p w14:paraId="04AE0F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903D0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июня</w:t>
      </w:r>
      <w:r w:rsidRPr="008127F8">
        <w:rPr>
          <w:rFonts w:ascii="Times New Roman" w:hAnsi="Times New Roman"/>
          <w:color w:val="000000" w:themeColor="text1"/>
          <w:sz w:val="16"/>
          <w:szCs w:val="16"/>
        </w:rPr>
        <w:t xml:space="preserve"> в 1942 году три японские мини-подводные лодки напали на австралийские суда в гавани Сиднея. Хотя все они были потоплены, им удалось пустить ко дну один торговый корабль (14909).</w:t>
      </w:r>
    </w:p>
    <w:p w14:paraId="4C80F72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A9657F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 июня</w:t>
      </w:r>
      <w:r w:rsidRPr="008127F8">
        <w:rPr>
          <w:rFonts w:ascii="Times New Roman" w:hAnsi="Times New Roman"/>
          <w:color w:val="000000" w:themeColor="text1"/>
          <w:sz w:val="16"/>
          <w:szCs w:val="16"/>
        </w:rPr>
        <w:t xml:space="preserve"> в 1942 году в Канаде введены ограничения на торговлю сахаром </w:t>
      </w:r>
    </w:p>
    <w:p w14:paraId="44B8FBB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79E62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6228E3A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B2B4A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июня 1942 по некоторым данным Ил-2М выполнил, первый полет. Все полеты проводились при полетном весе 6570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(без бомб и боезапаса к пушкам и пулеметам).</w:t>
      </w:r>
    </w:p>
    <w:p w14:paraId="43C8E72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летным данным Ил-2М оказался значительно лучше серийного Ил-2 АМ-38ф. Максимальная скорость горизонтального полета достигала 470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км/ч</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на границе высотности 2500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 и 440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км/ч</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у земли. Вертикальная скорость у земли оценивалась примерно на уровне 10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м/с.</w:t>
      </w:r>
    </w:p>
    <w:p w14:paraId="0D58620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Из-за сильной тряски мотора и винта, которая обнаружилась в первом же полете, летные данные самолета в полном объеме снять не удалось. Тряска появлялась при оборотах винта 2220 об/мин и ниже. Причем «при утяжелении винта» тряска увеличивалась «до размеров, препятствующих нормальному полету». Кроме этого, «при резкой даче газа наблюдался заброс оборотов винта на 150–200 об/мин при очень быстром восстановлении (3–4</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сек)». Раскрутки винта не было.</w:t>
      </w:r>
    </w:p>
    <w:p w14:paraId="12B5ED2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Самолет демонстрировал вполне приличные пилотажные качества. При наборе высоты, в горизонтальном полете и на планировании штурмовик был устойчив во всех плоскостях. Устойчивость оказалась даже несколько излишней. В отчете по испытаниям отмечалось, что «при возникновении крена при болтанке самолет не быстро </w:t>
      </w:r>
      <w:r w:rsidRPr="008127F8">
        <w:rPr>
          <w:rFonts w:ascii="Times New Roman" w:hAnsi="Times New Roman"/>
          <w:color w:val="000000" w:themeColor="text1"/>
          <w:sz w:val="16"/>
          <w:szCs w:val="16"/>
        </w:rPr>
        <w:lastRenderedPageBreak/>
        <w:t>возвращается в горизонтальное положение и требует значительных усилий для выравнивания». Эффективность триммера элерона оценивалась как недостаточная. При вводе самолета в разворот для создания крена необходимо было приложить большие усилия. Заметного запаздывания в реагировании на отклонение рулей не наблюдалось. Посадка, даже без щитков, производилась без затруднений. Отклонение рулей было вполне достаточным.</w:t>
      </w:r>
    </w:p>
    <w:p w14:paraId="6858C57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рулежке и взлете самолет хорошо выдерживал прямолинейное движение, был «послушен к тормозам», тенденций к подъему хвоста и развороту не имел. Самолет быстро набирал скорость и отрывался от земли.</w:t>
      </w:r>
    </w:p>
    <w:p w14:paraId="309D4D1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работал устойчиво без признаков детонации, показывая хорошую приемистость. Новая схема размещения водо- и маслорадиаторов оказалась вполне удачной: температура воды и масла на всех режимах полета находилась в пределах нормы. В то же время воздушный пылефильтр ЦАГИ не обеспечивал требуемых значений наддува воздуха на номинальном и взлетном режимах. Требовалось изменить его конструкцию. Для надежной работы системы охлаждения предлагалось повысить давление воды на входе в помпу путем увеличения диаметра пароотводящих трубок от блоков цилиндров до 14–16</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мм (вместо 12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мм) и диаметра компенсационной трубки до 40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мм (вместо 33</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мм). Кроме этого, в маслосистему самолета было необходимо ввести приспособление, обеспечивавшее «зашпринцовку масла в систему мотора перед запуском». Дело в том, что в связи с введением поддона картера «мотор значительно осушился» и</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при запуске работал без подачи масла (по манометру) в течение 5–10 с.</w:t>
      </w:r>
    </w:p>
    <w:p w14:paraId="1DA233E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летным, пилотажным и эксплуатационным возможностям новый штурмовик производил вполне благоприятное впечатление, но постоянная тряска не позволяла нормально летать (17490).</w:t>
      </w:r>
    </w:p>
    <w:p w14:paraId="72AF187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24B43E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июня 1942 подписанием отчета закончились совместные испытания Ил-4 (ДБ-3Ф) с М-82 по программе, которые начались 5 апреля 1942. Хотя первый вылет был 10 февраля 1942 испытания прервали из-за сильного выброса масла. Доводки заняли 2 месяца. После первого вылета на N 7102 несмотря на выбрасывание масла, с которым постоянно боролись, при устранении дефекта сделали 17 полетов налетав 10:30, но на 18 полете 8 февраля оба мотора потерпели аварию и машина, по-видимому, была разбита. 9 марта 1942 продолжились совместные гос. и заводские испытания, но на ДБ-3Ф 2М-82 N 7103. Вообще на испытания поступило 3 машины (+ N 6614), но при наземных испытаниях еще до полетов на 6614 была повреждена крыльчатка нагнетателя левого мотора. К 5 апреля 1942 дефект выбрасывания масла на М-82 устранили. Участвовали ви Г.В.Грибакин, ви Н.Н.Фингеров, нач. сер. КБ А.М.Вульман, ви ЛИИ С.С.Юданов (2084). Из-за отсутствия вместо штатных АВ-5 поставили втулки от ВИШ-22 с лопастями от ВИШ-21 диаметром 3.4 м и летали на такой машине до 11 апреля. Всего на машине 7103 сделали 37 полетов налетав 33 час., а всего за время испытаний - 54 с налетом 43:30 из них 25 для устранения выбрасывания масла из суфлеров (2084). Летные характеристики были лучше, но ниже расчетных и при возросшем нормальном полетном весе 8850 кг дальность выросла на 900 км, а скорость - на 45 км/час. Улучшились взлетные характеристики и скороподъемность. В серию не рекомендовали из-за неудовлетворительного охлаждения и слабости имеющегося шасси и мелочей в серию не рекомендовали (2467,7).</w:t>
      </w:r>
    </w:p>
    <w:p w14:paraId="5C78123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607F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июня 1942 вышел приказ НКАП N 415сс о проектировании фильтров пылеуловителей на Ил-2 и Ил-4 (2212,64).</w:t>
      </w:r>
    </w:p>
    <w:p w14:paraId="620968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F2973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июня 1942 комиссия ВВС осмотрела и утвердила макет разведчика Ту-2Р 2М-82 и ОКБ начало изготовление документации (1835,53).</w:t>
      </w:r>
    </w:p>
    <w:p w14:paraId="7EA07C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DC460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июня 1942 макет Ту-2Р осмотрела и одобрила комиссия из</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НИИ</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ВВС. Уже через три дня, 5 июня, командование ВВС обратилось к Туполеву с просьбой изучить возможность сдать несколько серийных машин в разведывательном варианте. Предлагались две альтернативы: переделать уже готовые бомбардировщики или предусмотреть их выпуск в ближайших сериях. Для них была выбрана уже проработанная компоновка с двумя аппаратами АФА-3с (21059). </w:t>
      </w:r>
    </w:p>
    <w:p w14:paraId="367654B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49D3E9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 июня</w:t>
      </w:r>
      <w:r w:rsidRPr="008127F8">
        <w:rPr>
          <w:rFonts w:ascii="Times New Roman" w:hAnsi="Times New Roman"/>
          <w:color w:val="000000" w:themeColor="text1"/>
          <w:sz w:val="16"/>
          <w:szCs w:val="16"/>
        </w:rPr>
        <w:t xml:space="preserve"> в 1942 году макет </w:t>
      </w:r>
      <w:hyperlink r:id="rId64" w:tgtFrame="_blank" w:history="1">
        <w:r w:rsidRPr="008127F8">
          <w:rPr>
            <w:rFonts w:ascii="Times New Roman" w:hAnsi="Times New Roman"/>
            <w:color w:val="000000" w:themeColor="text1"/>
            <w:sz w:val="16"/>
            <w:szCs w:val="16"/>
          </w:rPr>
          <w:t xml:space="preserve">«Ту-2Р» </w:t>
        </w:r>
      </w:hyperlink>
      <w:r w:rsidRPr="008127F8">
        <w:rPr>
          <w:rFonts w:ascii="Times New Roman" w:hAnsi="Times New Roman"/>
          <w:color w:val="000000" w:themeColor="text1"/>
          <w:sz w:val="16"/>
          <w:szCs w:val="16"/>
        </w:rPr>
        <w:t>предъявили на рассмотрение комиссии. "Протокол рассмотрения макета самолета «Ту-2» в варианте разведчика.</w:t>
      </w:r>
    </w:p>
    <w:p w14:paraId="4F77B4B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Предъявленное на макете самолета размещение аэрофотоаппаратов «АФА-Зс» с фокусным расстоянием 300, 500 и 600 мм с возможностью установки взамен их аэрофотоаппаратов «АФА-1» с фокусным расстоянием 300 и 500 мм в плановом положении и под углами 7 и 13 градусов утвердить.</w:t>
      </w:r>
    </w:p>
    <w:p w14:paraId="3E5DE7B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Признать самолет «Ту-2» в комплексе с предъявленным на макете указанном в п.1 фотооборудованием и добавочным бензобаком, а также предъявленной в чертежах перспективной установкой для «АФА-В», удовлетворяющим требованиям, предъявляемым к разведчикам".</w:t>
      </w:r>
    </w:p>
    <w:p w14:paraId="338F39A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Протокол подписали от НИИ ВВС ведущий инженер 3-го отдела инженер-подполковник Мируц и подполковник Житов, от завода №766 - главный военпред инженер-подполковник Бровко, главный конструктор Туполезв, начальник бригады АНО Френкель и начальник бригады общих видов Егер (14910).</w:t>
      </w:r>
    </w:p>
    <w:p w14:paraId="18A2FA1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F61BA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июня 1942 г. четыре машины из опытной серии из пяти самолетов Як-1 с двумя синхронными ШКАС, замененными на 2 синхронных УБ (№№ 3752, 3852, 4252, 4352, 4452) на которых были устранены замечания, полученные на полигонных испытаниях, с хорошим результатом закончили войсковые испытания в 182 иап (командир полка Герой Советского Союза майор Нога) 105 над ПВО г. Ростова, которые проходили с 12 мая. Распространения этот вариант Як-1 не получил. Его полетный вес возрос, а компенсировать связанное с этим ухудшение летных данных было нечем. На фронте же все шире стала применяться новая модификация Мессершмитта - Bf. 109F, которой уступал в скорости и вертикальном маневре даже Як-1 с обычным вооружением (12048).</w:t>
      </w:r>
    </w:p>
    <w:p w14:paraId="232E08B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90DCB0" w14:textId="77777777" w:rsidR="003610D8" w:rsidRPr="008A2E5A" w:rsidRDefault="003610D8" w:rsidP="003610D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июня 1942 г. в соответствии с постановлением ГКО № 1271сс от 10 мая 1942 г. (дублирующий приказ на</w:t>
      </w:r>
      <w:r w:rsidRPr="008A2E5A">
        <w:rPr>
          <w:rFonts w:ascii="Times New Roman" w:hAnsi="Times New Roman"/>
          <w:color w:val="0070C0"/>
          <w:sz w:val="16"/>
          <w:szCs w:val="16"/>
        </w:rPr>
        <w:softHyphen/>
        <w:t>ркома авиапромышленности № 370Асс от 12 мая 1942 г.) на Як-7Б № 2202 силами ОКБ А.С. Яковлева заменили мотор, уста</w:t>
      </w:r>
      <w:r w:rsidRPr="008A2E5A">
        <w:rPr>
          <w:rFonts w:ascii="Times New Roman" w:hAnsi="Times New Roman"/>
          <w:color w:val="0070C0"/>
          <w:sz w:val="16"/>
          <w:szCs w:val="16"/>
        </w:rPr>
        <w:softHyphen/>
        <w:t>новив доработанный М-105ПФ с усиленными пальцами поршней, и продолжили его летные испытания.</w:t>
      </w:r>
    </w:p>
    <w:p w14:paraId="036F22C9" w14:textId="77777777" w:rsidR="003610D8" w:rsidRPr="008A2E5A" w:rsidRDefault="003610D8" w:rsidP="003610D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Еще при испытаниях машин Як-7 № 1411 и № 1413 было от</w:t>
      </w:r>
      <w:r w:rsidRPr="008A2E5A">
        <w:rPr>
          <w:rFonts w:ascii="Times New Roman" w:hAnsi="Times New Roman"/>
          <w:color w:val="0070C0"/>
          <w:sz w:val="16"/>
          <w:szCs w:val="16"/>
        </w:rPr>
        <w:softHyphen/>
        <w:t>мечено, что водорадиатор не обеспечивает нормальной эксплуатации мотора на повышенном наддуве при высо</w:t>
      </w:r>
      <w:r w:rsidRPr="008A2E5A">
        <w:rPr>
          <w:rFonts w:ascii="Times New Roman" w:hAnsi="Times New Roman"/>
          <w:color w:val="0070C0"/>
          <w:sz w:val="16"/>
          <w:szCs w:val="16"/>
        </w:rPr>
        <w:softHyphen/>
        <w:t>ких температурах наружного воздуха. Для повышения эф</w:t>
      </w:r>
      <w:r w:rsidRPr="008A2E5A">
        <w:rPr>
          <w:rFonts w:ascii="Times New Roman" w:hAnsi="Times New Roman"/>
          <w:color w:val="0070C0"/>
          <w:sz w:val="16"/>
          <w:szCs w:val="16"/>
        </w:rPr>
        <w:softHyphen/>
        <w:t>фективности водорадиатора на одном из серийных Як-7Б № 2202 решением главного конструктора увеличили пло</w:t>
      </w:r>
      <w:r w:rsidRPr="008A2E5A">
        <w:rPr>
          <w:rFonts w:ascii="Times New Roman" w:hAnsi="Times New Roman"/>
          <w:color w:val="0070C0"/>
          <w:sz w:val="16"/>
          <w:szCs w:val="16"/>
        </w:rPr>
        <w:softHyphen/>
        <w:t>щадь входного отверстия тоннеля радиатора с 0,13 до 0,15 м2, изменили форму входной части тоннеля, а откло</w:t>
      </w:r>
      <w:r w:rsidRPr="008A2E5A">
        <w:rPr>
          <w:rFonts w:ascii="Times New Roman" w:hAnsi="Times New Roman"/>
          <w:color w:val="0070C0"/>
          <w:sz w:val="16"/>
          <w:szCs w:val="16"/>
        </w:rPr>
        <w:softHyphen/>
        <w:t>нение заслонки на выходе из тоннеля довели до 350 мм (с 220 мм). В практическом плане доработки представляли собой заострение и опускание передней кромки водора</w:t>
      </w:r>
      <w:r w:rsidRPr="008A2E5A">
        <w:rPr>
          <w:rFonts w:ascii="Times New Roman" w:hAnsi="Times New Roman"/>
          <w:color w:val="0070C0"/>
          <w:sz w:val="16"/>
          <w:szCs w:val="16"/>
        </w:rPr>
        <w:softHyphen/>
        <w:t>диатора на 45 мм, а также подстрожку задней кромки пе</w:t>
      </w:r>
      <w:r w:rsidRPr="008A2E5A">
        <w:rPr>
          <w:rFonts w:ascii="Times New Roman" w:hAnsi="Times New Roman"/>
          <w:color w:val="0070C0"/>
          <w:sz w:val="16"/>
          <w:szCs w:val="16"/>
        </w:rPr>
        <w:softHyphen/>
        <w:t>реднего лонжерона крыла на участке по 300 мм в обе сто</w:t>
      </w:r>
      <w:r w:rsidRPr="008A2E5A">
        <w:rPr>
          <w:rFonts w:ascii="Times New Roman" w:hAnsi="Times New Roman"/>
          <w:color w:val="0070C0"/>
          <w:sz w:val="16"/>
          <w:szCs w:val="16"/>
        </w:rPr>
        <w:softHyphen/>
        <w:t>роны от продольной оси самолета с таким расчетом, что</w:t>
      </w:r>
      <w:r w:rsidRPr="008A2E5A">
        <w:rPr>
          <w:rFonts w:ascii="Times New Roman" w:hAnsi="Times New Roman"/>
          <w:color w:val="0070C0"/>
          <w:sz w:val="16"/>
          <w:szCs w:val="16"/>
        </w:rPr>
        <w:softHyphen/>
        <w:t>бы максимальное снятие древесины в плоскости симме</w:t>
      </w:r>
      <w:r w:rsidRPr="008A2E5A">
        <w:rPr>
          <w:rFonts w:ascii="Times New Roman" w:hAnsi="Times New Roman"/>
          <w:color w:val="0070C0"/>
          <w:sz w:val="16"/>
          <w:szCs w:val="16"/>
        </w:rPr>
        <w:softHyphen/>
        <w:t>трии самолета составляло 15 мм (23381).</w:t>
      </w:r>
    </w:p>
    <w:p w14:paraId="59961A23" w14:textId="77777777" w:rsidR="003610D8" w:rsidRPr="008A2E5A" w:rsidRDefault="003610D8" w:rsidP="003610D8">
      <w:pPr>
        <w:spacing w:after="0" w:line="240" w:lineRule="auto"/>
        <w:jc w:val="both"/>
        <w:rPr>
          <w:rFonts w:ascii="Times New Roman" w:hAnsi="Times New Roman"/>
          <w:color w:val="0070C0"/>
          <w:sz w:val="16"/>
          <w:szCs w:val="16"/>
        </w:rPr>
      </w:pPr>
    </w:p>
    <w:p w14:paraId="0427A729" w14:textId="77777777" w:rsidR="003610D8" w:rsidRPr="008A2E5A" w:rsidRDefault="003610D8" w:rsidP="003610D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июня 1942 г., при</w:t>
      </w:r>
      <w:r w:rsidRPr="008A2E5A">
        <w:rPr>
          <w:rFonts w:ascii="Times New Roman" w:hAnsi="Times New Roman"/>
          <w:color w:val="0070C0"/>
          <w:sz w:val="16"/>
          <w:szCs w:val="16"/>
        </w:rPr>
        <w:softHyphen/>
        <w:t>знавая исключительное значение внедрению итогов науч</w:t>
      </w:r>
      <w:r w:rsidRPr="008A2E5A">
        <w:rPr>
          <w:rFonts w:ascii="Times New Roman" w:hAnsi="Times New Roman"/>
          <w:color w:val="0070C0"/>
          <w:sz w:val="16"/>
          <w:szCs w:val="16"/>
        </w:rPr>
        <w:softHyphen/>
        <w:t>ных изысканий, А.И. Шахурин издал приказ № 415с, согласно которому ЦАГИ, ЛИИ НКАП и ЦИАМ сле</w:t>
      </w:r>
      <w:r w:rsidRPr="008A2E5A">
        <w:rPr>
          <w:rFonts w:ascii="Times New Roman" w:hAnsi="Times New Roman"/>
          <w:color w:val="0070C0"/>
          <w:sz w:val="16"/>
          <w:szCs w:val="16"/>
        </w:rPr>
        <w:softHyphen/>
        <w:t>довало довести материалы исследований по пылефильтрам до конструктор</w:t>
      </w:r>
      <w:r w:rsidRPr="008A2E5A">
        <w:rPr>
          <w:rFonts w:ascii="Times New Roman" w:hAnsi="Times New Roman"/>
          <w:color w:val="0070C0"/>
          <w:sz w:val="16"/>
          <w:szCs w:val="16"/>
        </w:rPr>
        <w:softHyphen/>
        <w:t>ских бюро заводов и оказать им техническую помощь при изготовлении фильтров. Одновременно ЦАГИ поручалось спроектировать, изготовить и передать к 12 июня в ЛИИ НКАП (а последнему испытать до 15 июня 1942 г.) образцы воздушных фильтров-пылеулавливателей для самолетов Ил-2, Як-1 и ЛАГГ-3. Натурные испытания пылефильтров, после изготовления опытных образцов начиная с июня 1942 г., проводили в Московском филиале ЛИИ НКАП. Ру</w:t>
      </w:r>
      <w:r w:rsidRPr="008A2E5A">
        <w:rPr>
          <w:rFonts w:ascii="Times New Roman" w:hAnsi="Times New Roman"/>
          <w:color w:val="0070C0"/>
          <w:sz w:val="16"/>
          <w:szCs w:val="16"/>
        </w:rPr>
        <w:softHyphen/>
        <w:t>ководили испытаниями Е.И. Погосский и Я.Ю. Бутан.</w:t>
      </w:r>
    </w:p>
    <w:p w14:paraId="004493DC" w14:textId="77777777" w:rsidR="003610D8" w:rsidRPr="008A2E5A" w:rsidRDefault="003610D8" w:rsidP="003610D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Один из первых фильтров, разработанный в ЛИИ НКАП и изготовленный заводом №115 для истребителей Як-7Б, представлял собой рамку с четырьмя слоями сетки ЗИС- 5, расположенными на расстоянии один миллиметр друг от друга, смонтированную вертикально во всасывающем патрубке под обтекателем. При этом аэродинамические формы крыла оставались без изменений. При пробе мо</w:t>
      </w:r>
      <w:r w:rsidRPr="008A2E5A">
        <w:rPr>
          <w:rFonts w:ascii="Times New Roman" w:hAnsi="Times New Roman"/>
          <w:color w:val="0070C0"/>
          <w:sz w:val="16"/>
          <w:szCs w:val="16"/>
        </w:rPr>
        <w:softHyphen/>
        <w:t>тора на земле установили, что фильтр уменьшает рас</w:t>
      </w:r>
      <w:r w:rsidRPr="008A2E5A">
        <w:rPr>
          <w:rFonts w:ascii="Times New Roman" w:hAnsi="Times New Roman"/>
          <w:color w:val="0070C0"/>
          <w:sz w:val="16"/>
          <w:szCs w:val="16"/>
        </w:rPr>
        <w:softHyphen/>
        <w:t>ход воздуха настолько, что при оборотах 2550 об/мин с открытой заслонкой фильтра наддув не превышает 1020 вместо положенных 1045 мм рт.ст. Одновременно с испы</w:t>
      </w:r>
      <w:r w:rsidRPr="008A2E5A">
        <w:rPr>
          <w:rFonts w:ascii="Times New Roman" w:hAnsi="Times New Roman"/>
          <w:color w:val="0070C0"/>
          <w:sz w:val="16"/>
          <w:szCs w:val="16"/>
        </w:rPr>
        <w:softHyphen/>
        <w:t>таниями этого типа фильтра на самолете в ЛИИ НКАП по</w:t>
      </w:r>
      <w:r w:rsidRPr="008A2E5A">
        <w:rPr>
          <w:rFonts w:ascii="Times New Roman" w:hAnsi="Times New Roman"/>
          <w:color w:val="0070C0"/>
          <w:sz w:val="16"/>
          <w:szCs w:val="16"/>
        </w:rPr>
        <w:softHyphen/>
        <w:t>ступили результаты испытания сетки типа ЗИС-5 в ЦАГИ. Оказалось, что сетка очищает пыль в нужной степени только при расположении ее в потоке воздуха параллель</w:t>
      </w:r>
      <w:r w:rsidRPr="008A2E5A">
        <w:rPr>
          <w:rFonts w:ascii="Times New Roman" w:hAnsi="Times New Roman"/>
          <w:color w:val="0070C0"/>
          <w:sz w:val="16"/>
          <w:szCs w:val="16"/>
        </w:rPr>
        <w:softHyphen/>
        <w:t>но или под выбранным продувкой углом. В связи с этими результатами изготовленные фильтры с дальнейших ис</w:t>
      </w:r>
      <w:r w:rsidRPr="008A2E5A">
        <w:rPr>
          <w:rFonts w:ascii="Times New Roman" w:hAnsi="Times New Roman"/>
          <w:color w:val="0070C0"/>
          <w:sz w:val="16"/>
          <w:szCs w:val="16"/>
        </w:rPr>
        <w:softHyphen/>
        <w:t>пытаний сняли.</w:t>
      </w:r>
    </w:p>
    <w:p w14:paraId="61E908BB" w14:textId="77777777" w:rsidR="003610D8" w:rsidRPr="008A2E5A" w:rsidRDefault="003610D8" w:rsidP="003610D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 одновременно на испытания поступил пылефильтр конструкции ЦАГИ, представлявший со</w:t>
      </w:r>
      <w:r w:rsidRPr="008A2E5A">
        <w:rPr>
          <w:rFonts w:ascii="Times New Roman" w:hAnsi="Times New Roman"/>
          <w:color w:val="0070C0"/>
          <w:sz w:val="16"/>
          <w:szCs w:val="16"/>
        </w:rPr>
        <w:softHyphen/>
        <w:t>бой прямоугольные насадки, закрепленные на перед</w:t>
      </w:r>
      <w:r w:rsidRPr="008A2E5A">
        <w:rPr>
          <w:rFonts w:ascii="Times New Roman" w:hAnsi="Times New Roman"/>
          <w:color w:val="0070C0"/>
          <w:sz w:val="16"/>
          <w:szCs w:val="16"/>
        </w:rPr>
        <w:softHyphen/>
        <w:t>ней кромке крыла впереди всасывающих патрубков. Бо</w:t>
      </w:r>
      <w:r w:rsidRPr="008A2E5A">
        <w:rPr>
          <w:rFonts w:ascii="Times New Roman" w:hAnsi="Times New Roman"/>
          <w:color w:val="0070C0"/>
          <w:sz w:val="16"/>
          <w:szCs w:val="16"/>
        </w:rPr>
        <w:softHyphen/>
        <w:t>ковые поверхности фильтра выполнялись из пяти сло</w:t>
      </w:r>
      <w:r w:rsidRPr="008A2E5A">
        <w:rPr>
          <w:rFonts w:ascii="Times New Roman" w:hAnsi="Times New Roman"/>
          <w:color w:val="0070C0"/>
          <w:sz w:val="16"/>
          <w:szCs w:val="16"/>
        </w:rPr>
        <w:softHyphen/>
        <w:t>ев стальной перфорированной сетки по типу ЗИС-5. На торцах фильтра монтировались деревянные носки-об</w:t>
      </w:r>
      <w:r w:rsidRPr="008A2E5A">
        <w:rPr>
          <w:rFonts w:ascii="Times New Roman" w:hAnsi="Times New Roman"/>
          <w:color w:val="0070C0"/>
          <w:sz w:val="16"/>
          <w:szCs w:val="16"/>
        </w:rPr>
        <w:softHyphen/>
        <w:t>текатели с заслонкой, управляемой от шасси и располо</w:t>
      </w:r>
      <w:r w:rsidRPr="008A2E5A">
        <w:rPr>
          <w:rFonts w:ascii="Times New Roman" w:hAnsi="Times New Roman"/>
          <w:color w:val="0070C0"/>
          <w:sz w:val="16"/>
          <w:szCs w:val="16"/>
        </w:rPr>
        <w:softHyphen/>
        <w:t>женной горизонтально во входном канале. Ось враще</w:t>
      </w:r>
      <w:r w:rsidRPr="008A2E5A">
        <w:rPr>
          <w:rFonts w:ascii="Times New Roman" w:hAnsi="Times New Roman"/>
          <w:color w:val="0070C0"/>
          <w:sz w:val="16"/>
          <w:szCs w:val="16"/>
        </w:rPr>
        <w:softHyphen/>
        <w:t>ния заслонки находилась посередине входного сечения фильтра. Испытания (ведущий инженер Хейфец) пока</w:t>
      </w:r>
      <w:r w:rsidRPr="008A2E5A">
        <w:rPr>
          <w:rFonts w:ascii="Times New Roman" w:hAnsi="Times New Roman"/>
          <w:color w:val="0070C0"/>
          <w:sz w:val="16"/>
          <w:szCs w:val="16"/>
        </w:rPr>
        <w:softHyphen/>
        <w:t>зали, что такая заслонка в полностью открытом положе</w:t>
      </w:r>
      <w:r w:rsidRPr="008A2E5A">
        <w:rPr>
          <w:rFonts w:ascii="Times New Roman" w:hAnsi="Times New Roman"/>
          <w:color w:val="0070C0"/>
          <w:sz w:val="16"/>
          <w:szCs w:val="16"/>
        </w:rPr>
        <w:softHyphen/>
        <w:t>нии уменьшает скорость на 6-8 км/ч, а высотность мо</w:t>
      </w:r>
      <w:r w:rsidRPr="008A2E5A">
        <w:rPr>
          <w:rFonts w:ascii="Times New Roman" w:hAnsi="Times New Roman"/>
          <w:color w:val="0070C0"/>
          <w:sz w:val="16"/>
          <w:szCs w:val="16"/>
        </w:rPr>
        <w:softHyphen/>
        <w:t>тора - на 150-200 м. При пробах мотора на земле уста</w:t>
      </w:r>
      <w:r w:rsidRPr="008A2E5A">
        <w:rPr>
          <w:rFonts w:ascii="Times New Roman" w:hAnsi="Times New Roman"/>
          <w:color w:val="0070C0"/>
          <w:sz w:val="16"/>
          <w:szCs w:val="16"/>
        </w:rPr>
        <w:softHyphen/>
        <w:t>новили, что с включенным фильтром при оборотах 2550 об/мин наддув снижается до 1035 вместо 1050 мм рт.ст. при выключенном фильтре. В результате максимальная скорость самолета с включенными воздушными филь</w:t>
      </w:r>
      <w:r w:rsidRPr="008A2E5A">
        <w:rPr>
          <w:rFonts w:ascii="Times New Roman" w:hAnsi="Times New Roman"/>
          <w:color w:val="0070C0"/>
          <w:sz w:val="16"/>
          <w:szCs w:val="16"/>
        </w:rPr>
        <w:softHyphen/>
        <w:t>трами из-за резкого (не менее 500 м) снижения высот</w:t>
      </w:r>
      <w:r w:rsidRPr="008A2E5A">
        <w:rPr>
          <w:rFonts w:ascii="Times New Roman" w:hAnsi="Times New Roman"/>
          <w:color w:val="0070C0"/>
          <w:sz w:val="16"/>
          <w:szCs w:val="16"/>
        </w:rPr>
        <w:softHyphen/>
        <w:t>ности мотора, аэродинамического сопротивления са</w:t>
      </w:r>
      <w:r w:rsidRPr="008A2E5A">
        <w:rPr>
          <w:rFonts w:ascii="Times New Roman" w:hAnsi="Times New Roman"/>
          <w:color w:val="0070C0"/>
          <w:sz w:val="16"/>
          <w:szCs w:val="16"/>
        </w:rPr>
        <w:softHyphen/>
        <w:t>мого фильтра и неудачной его компоновки на самоле</w:t>
      </w:r>
      <w:r w:rsidRPr="008A2E5A">
        <w:rPr>
          <w:rFonts w:ascii="Times New Roman" w:hAnsi="Times New Roman"/>
          <w:color w:val="0070C0"/>
          <w:sz w:val="16"/>
          <w:szCs w:val="16"/>
        </w:rPr>
        <w:softHyphen/>
        <w:t>те оказалась меньше на 12 км/ч. Дальнейшие испытания этого фильтра прекратили.</w:t>
      </w:r>
    </w:p>
    <w:p w14:paraId="4400D569" w14:textId="77777777" w:rsidR="003610D8" w:rsidRPr="008A2E5A" w:rsidRDefault="003610D8" w:rsidP="003610D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Следующий предложенный ЛИИ НКАП фильтр скон</w:t>
      </w:r>
      <w:r w:rsidRPr="008A2E5A">
        <w:rPr>
          <w:rFonts w:ascii="Times New Roman" w:hAnsi="Times New Roman"/>
          <w:color w:val="0070C0"/>
          <w:sz w:val="16"/>
          <w:szCs w:val="16"/>
        </w:rPr>
        <w:softHyphen/>
        <w:t>струировали с учетом рекомендаций ЦАГИ по испытани</w:t>
      </w:r>
      <w:r w:rsidRPr="008A2E5A">
        <w:rPr>
          <w:rFonts w:ascii="Times New Roman" w:hAnsi="Times New Roman"/>
          <w:color w:val="0070C0"/>
          <w:sz w:val="16"/>
          <w:szCs w:val="16"/>
        </w:rPr>
        <w:softHyphen/>
        <w:t>ям фильтрующей сетки. При этом сетка вписывалась в нижнюю часть переднего зализа крыла самолета, а стан</w:t>
      </w:r>
      <w:r w:rsidRPr="008A2E5A">
        <w:rPr>
          <w:rFonts w:ascii="Times New Roman" w:hAnsi="Times New Roman"/>
          <w:color w:val="0070C0"/>
          <w:sz w:val="16"/>
          <w:szCs w:val="16"/>
        </w:rPr>
        <w:softHyphen/>
        <w:t>дартные прямоугольные воздухозаборники Як-7Б снаб</w:t>
      </w:r>
      <w:r w:rsidRPr="008A2E5A">
        <w:rPr>
          <w:rFonts w:ascii="Times New Roman" w:hAnsi="Times New Roman"/>
          <w:color w:val="0070C0"/>
          <w:sz w:val="16"/>
          <w:szCs w:val="16"/>
        </w:rPr>
        <w:softHyphen/>
        <w:t>жались поворотными створками, приводимыми в дейст</w:t>
      </w:r>
      <w:r w:rsidRPr="008A2E5A">
        <w:rPr>
          <w:rFonts w:ascii="Times New Roman" w:hAnsi="Times New Roman"/>
          <w:color w:val="0070C0"/>
          <w:sz w:val="16"/>
          <w:szCs w:val="16"/>
        </w:rPr>
        <w:softHyphen/>
        <w:t>вие от шасси (23381).</w:t>
      </w:r>
    </w:p>
    <w:p w14:paraId="6F07FF73" w14:textId="77777777" w:rsidR="003610D8" w:rsidRPr="008A2E5A" w:rsidRDefault="003610D8" w:rsidP="003610D8">
      <w:pPr>
        <w:spacing w:after="0" w:line="240" w:lineRule="auto"/>
        <w:jc w:val="both"/>
        <w:rPr>
          <w:rFonts w:ascii="Times New Roman" w:hAnsi="Times New Roman"/>
          <w:color w:val="0070C0"/>
          <w:sz w:val="16"/>
          <w:szCs w:val="16"/>
        </w:rPr>
      </w:pPr>
    </w:p>
    <w:p w14:paraId="3810F2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7D37D88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7ACA6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июня 1942 года вышел приказ № 327 НКБ</w:t>
      </w:r>
    </w:p>
    <w:p w14:paraId="1BB3819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Учитывая, что строящийся завод № 594 предназначается исключительно для производства промышленной взрывчатки, а также необходимости создания промышленной базы Г/С треста “АРТСБЫТ”:</w:t>
      </w:r>
    </w:p>
    <w:p w14:paraId="507F9C8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Начальнику 3 Гл. управления НКБ передать строящийся завод № 594 Г/С тресту “АРТСБЫТ” НКБ (5903, 25).</w:t>
      </w:r>
    </w:p>
    <w:p w14:paraId="4AA5C27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22F3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5BD6EC6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38A92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 июня</w:t>
      </w:r>
      <w:r w:rsidRPr="008127F8">
        <w:rPr>
          <w:rFonts w:ascii="Times New Roman" w:hAnsi="Times New Roman"/>
          <w:color w:val="000000" w:themeColor="text1"/>
          <w:sz w:val="16"/>
          <w:szCs w:val="16"/>
        </w:rPr>
        <w:t xml:space="preserve"> в 1942 году утреннее сообщение Совинформбюро:</w:t>
      </w:r>
    </w:p>
    <w:p w14:paraId="1BBD0BD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 июня на фронте существенных изменений не произошло.</w:t>
      </w:r>
    </w:p>
    <w:p w14:paraId="3E7B069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Южного фронта батальон пехоты противника, поддержанный танками, атаковал наше подразделение. Наши бойцы огнём из пехотного оружия прижали немцев к земле, а затем перешли в контратаку и отбросили противника. На поле боя осталось более 200 трупов гитлеровцев. Сожжено 4 немецких танка. Захвачено 8 пулемётов, 2 миномёта, 30 автоматов и 80 винтовок.</w:t>
      </w:r>
    </w:p>
    <w:p w14:paraId="10B8115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в тылу немецко-фашистских войск (Западный фронт), в течение четырёх дней уничтожила до 600 солдат и офицеров противника.</w:t>
      </w:r>
    </w:p>
    <w:p w14:paraId="007E0B9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Калининского фронта наша часть ночью атаковала немцев и улучшила свои позиции. Противник потерял убитыми 140 солдат и офицеров. Нашими бойцами захвачены 2 противотанковых орудия, склад с боеприпасами, миномётная батарея и 5 автомашин.</w:t>
      </w:r>
    </w:p>
    <w:p w14:paraId="7E8EDF7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Немецкая авиация в течение двух дней пыталась произвести налёты на ряд наших военных объектов на Ленинградском фронте. Лётчики авиаподразделений под командованием тт. Ерлыкина, Андреева и Баранова, а также зенитчики не допустили вражеских самолётов к объектам. Нашими истребителями в воздушных боях и зенитной артиллерией сбито 47 немецких самолётов.</w:t>
      </w:r>
    </w:p>
    <w:p w14:paraId="4A20BD7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С., действующий в одном из оккупированных немцамирайонов Украины, совершил успешный налёт на село, зашитое итальянцами. Партизаны истребили 125 итальянских оккупантов, сожгли 2 танка и захватили 5 пулемётов, 3миномёта, радиостанцию, 40 винтовок и боеприпасы.</w:t>
      </w:r>
    </w:p>
    <w:p w14:paraId="65124C2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прапорщик 108 венгерской бригады Карой Надьшваб рассказал: «Когда нас отправляли в Россию, солдатам говорили, что бригада будет нести охранную службув тылу немецких войск. Вскоре мы увидели, что нас обманули. Начиная с марта, бригада непрерывно находится на фронте. Наш полк получил приказ любой ценой удержать лес у села Б. Русские сломали нашу оборону и ворвались в лес. Все три батальона понесли очень большие потери и поспешно отступили. Меня и ещё нескольких солдат настигли советские танки, и мы сдались в плен».</w:t>
      </w:r>
    </w:p>
    <w:p w14:paraId="0A0196D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унтер-офицер Иозеф Лериг писал недавно унтер-офицеру Штайнеру: «Вчера мы ходили в атаку. Дорогой ценой мы заплатили за эту попытку. Фельдфебель Геринг убит. Вилли Шерльц получил пять пуль. Если всех перечислять, то это займёт много времени. Что с нами будет? Я меньше всего верю, что нам удастся когда-нибудь вернуться отсюда».</w:t>
      </w:r>
    </w:p>
    <w:p w14:paraId="7A059CC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Немецко-фашистские мерзавцы замучили, повесили и расстреляли свыше 300 стариков, женщин и детей — жителей села Верхний Бишкин, Харьковской области.</w:t>
      </w:r>
    </w:p>
    <w:p w14:paraId="445CB89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сообщают осведомлённые швейцарские круги, в Венгрии царит беспокойство в связи с военными приготовлениями Румынии у венгерской границы. Венгерские руководящие круги считают, что румыны в любой момент могут напасть на Венгрию. В конце мая в районе Клужа произошло новое столкновение между румынскими и венгерскими пограничниками.</w:t>
      </w:r>
    </w:p>
    <w:p w14:paraId="34215BB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Колхозы 64 районов Кубани посеяли сверх плана 10.614 гектаров зерновых в фонд помощи колхозникам районов, освобождённых от немецко-фашистских оккупантов.» (14910).</w:t>
      </w:r>
    </w:p>
    <w:p w14:paraId="7EC8F29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E0F8D0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 июня</w:t>
      </w:r>
      <w:r w:rsidRPr="008127F8">
        <w:rPr>
          <w:rFonts w:ascii="Times New Roman" w:hAnsi="Times New Roman"/>
          <w:color w:val="000000" w:themeColor="text1"/>
          <w:sz w:val="16"/>
          <w:szCs w:val="16"/>
        </w:rPr>
        <w:t xml:space="preserve"> в 1942 году вечернее сообщение Совинформбюро:</w:t>
      </w:r>
    </w:p>
    <w:p w14:paraId="35A14CD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 июня на фронте ничего существенного не произошло. На некоторых участках фронта происходили бои местного значения и поиски разведчиков.</w:t>
      </w:r>
    </w:p>
    <w:p w14:paraId="080D6FC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 июня частями нашей авиации на разных участках фронта уничтожено или повреждено 11 немецких танков, 150 автомашин с войсками и грузами, автоцистерна с горючим, 195 повозок с боеприпасами, 16 полевых и зенитных орудий, 12 пулемётов, 3 прожектора, взорван склад с боеприпасами, повреждено 2 сторожевых корабля и транспорт, рассеяно и частью уничтожено до пяти рот пехоты противника.</w:t>
      </w:r>
    </w:p>
    <w:p w14:paraId="068519E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Юго-Западного фронта, отбила несколько атак противника, пытавшегося вклиниться в расположение наших войск. Немцы потеряли убитыми 270 солдат и офицеров. Артиллерийским огнём уничтожено несколько вражеских танков, миномётная батарея и 7 пулемётов.</w:t>
      </w:r>
    </w:p>
    <w:p w14:paraId="3B4078A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бойцы, действующие на одном из участков Брянского фронта, разрушили 8 немецких ДЗОТов и уничтожили артиллерийскую батарею противника. Захвачено 8 миномётов, 5 станковых пулемётов, орудие и радиостанция. Гитлеровцы оставили на поле боя свыше 150 трупов. Взяты пленные.</w:t>
      </w:r>
    </w:p>
    <w:p w14:paraId="3360A90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Миномётчики Кравцов и Дурманов несколькими выстрелами уничтожили 4 огневые точки и 25 гитлеровцев.</w:t>
      </w:r>
    </w:p>
    <w:p w14:paraId="1E416B0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калининских партизан под командованием тов. Р. был окружён численно превосходящими силами немцев. В течение нескольких часов отряд вёл бой в окружении. Ночью партизаны неожиданно атаковали гитлеровцев, прорвали вражеское кольцо и вышли из окружения. Немецко-фашистские оккупанты потеряли убитыми не менее 100 солдат и офицеров. Этот же отряд партизан несколько дней спустя совершил нападение на немецкую автоколонну, сжёг 7 грузовиков и истребил 30 гитлеровцев.</w:t>
      </w:r>
    </w:p>
    <w:p w14:paraId="4EB2C9B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Карельского фронта наши бойцы выбили противника из занимаемых им позиций. У вражеских блиндажей был обнаружен труп красноармейца Деницевича Ф.А. Несколько дней тому назад Деницевич в бою был ранен и захвачен противником. Белофинны зверски замучили раненого красноармейца: отрезали ему уши, вырезали щёки и нанесли десятки ножевых ран.</w:t>
      </w:r>
    </w:p>
    <w:p w14:paraId="3BF0A4A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Гитлеровцы готовят новую кровавую расправу над народами оккупированных стран. Об этом публично заявил отъявленный палач Далюге, назначенный на днях протектором Чехии и Моравии. Как сообщает германское информационное бюро, Далюге говорил: «Те, кто в нынешней великой борьбе являются только пассивными наблюдателями, будут считаться противниками, и с ними будут обращаться как с таковыми. Этот принцип относится как к отдельным лицам, так и к целым народам... Кто только смотрит выжидающе на эту решающую борьбу, тот враг, и с ним будут обращаться как с врагом».</w:t>
      </w:r>
    </w:p>
    <w:p w14:paraId="19EA7A1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Гитлеровские мерзавцы угрожают всем порабощённым ими народам полным истреблением. Однако фашистской шайке бандитов не удастся истребить свободолюбивые народы, воля которых к сопротивлению немецким оккупантам крепнет с каждым днём. Массовые казни в Чехословакии, Голландии, Франции и других странах лишний раз свидетельствуют о том, что гитлеровский режим находится накануне своей неизбежной гибели.» (14910).</w:t>
      </w:r>
    </w:p>
    <w:p w14:paraId="535A4D6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A59014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 июня</w:t>
      </w:r>
      <w:r w:rsidRPr="008127F8">
        <w:rPr>
          <w:rFonts w:ascii="Times New Roman" w:hAnsi="Times New Roman"/>
          <w:color w:val="000000" w:themeColor="text1"/>
          <w:sz w:val="16"/>
          <w:szCs w:val="16"/>
        </w:rPr>
        <w:t xml:space="preserve"> в 1942 году (2-6 июня) массированная артиллерийско-авиационная бомбардировка немецкими войсками Севастополя (14910).</w:t>
      </w:r>
    </w:p>
    <w:p w14:paraId="5391C5F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A65A7F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июня 1942 в качестве основных недостатков в действиях Ил-2 командующий ВВС фронта генерал Ф.Я.Фалалеев в указа</w:t>
      </w:r>
      <w:r w:rsidRPr="008127F8">
        <w:rPr>
          <w:rFonts w:ascii="Times New Roman" w:hAnsi="Times New Roman"/>
          <w:color w:val="000000" w:themeColor="text1"/>
          <w:sz w:val="16"/>
          <w:szCs w:val="16"/>
        </w:rPr>
        <w:softHyphen/>
        <w:t>ниях по боевому применению авиации от (исх. № 0229), составлен</w:t>
      </w:r>
      <w:r w:rsidRPr="008127F8">
        <w:rPr>
          <w:rFonts w:ascii="Times New Roman" w:hAnsi="Times New Roman"/>
          <w:color w:val="000000" w:themeColor="text1"/>
          <w:sz w:val="16"/>
          <w:szCs w:val="16"/>
        </w:rPr>
        <w:softHyphen/>
        <w:t>ных на основе опыта боевых действий в период с 11.05 по 31.05.42 г., отмечал следующие:</w:t>
      </w:r>
    </w:p>
    <w:p w14:paraId="48EAABB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"...а)...Средний состав групп бы</w:t>
      </w:r>
      <w:r w:rsidRPr="008127F8">
        <w:rPr>
          <w:rFonts w:ascii="Times New Roman" w:hAnsi="Times New Roman"/>
          <w:iCs/>
          <w:color w:val="000000" w:themeColor="text1"/>
          <w:sz w:val="16"/>
          <w:szCs w:val="16"/>
        </w:rPr>
        <w:softHyphen/>
        <w:t>вает 6-10 и редко 15-20 самолетов. В этом одна из наших главных ошибок. Малочисленная группа в воздухе ско</w:t>
      </w:r>
      <w:r w:rsidRPr="008127F8">
        <w:rPr>
          <w:rFonts w:ascii="Times New Roman" w:hAnsi="Times New Roman"/>
          <w:iCs/>
          <w:color w:val="000000" w:themeColor="text1"/>
          <w:sz w:val="16"/>
          <w:szCs w:val="16"/>
        </w:rPr>
        <w:softHyphen/>
        <w:t>вывалась противником, теряла иници</w:t>
      </w:r>
      <w:r w:rsidRPr="008127F8">
        <w:rPr>
          <w:rFonts w:ascii="Times New Roman" w:hAnsi="Times New Roman"/>
          <w:iCs/>
          <w:color w:val="000000" w:themeColor="text1"/>
          <w:sz w:val="16"/>
          <w:szCs w:val="16"/>
        </w:rPr>
        <w:softHyphen/>
        <w:t>ативу в бою, рассыпалась, несла поте</w:t>
      </w:r>
      <w:r w:rsidRPr="008127F8">
        <w:rPr>
          <w:rFonts w:ascii="Times New Roman" w:hAnsi="Times New Roman"/>
          <w:iCs/>
          <w:color w:val="000000" w:themeColor="text1"/>
          <w:sz w:val="16"/>
          <w:szCs w:val="16"/>
        </w:rPr>
        <w:softHyphen/>
        <w:t>ри за счет одиночно действующих са</w:t>
      </w:r>
      <w:r w:rsidRPr="008127F8">
        <w:rPr>
          <w:rFonts w:ascii="Times New Roman" w:hAnsi="Times New Roman"/>
          <w:iCs/>
          <w:color w:val="000000" w:themeColor="text1"/>
          <w:sz w:val="16"/>
          <w:szCs w:val="16"/>
        </w:rPr>
        <w:softHyphen/>
        <w:t>молетов....д) По-прежнему пребыва</w:t>
      </w:r>
      <w:r w:rsidRPr="008127F8">
        <w:rPr>
          <w:rFonts w:ascii="Times New Roman" w:hAnsi="Times New Roman"/>
          <w:iCs/>
          <w:color w:val="000000" w:themeColor="text1"/>
          <w:sz w:val="16"/>
          <w:szCs w:val="16"/>
        </w:rPr>
        <w:softHyphen/>
        <w:t>ние наших самолетов над целью, осо</w:t>
      </w:r>
      <w:r w:rsidRPr="008127F8">
        <w:rPr>
          <w:rFonts w:ascii="Times New Roman" w:hAnsi="Times New Roman"/>
          <w:iCs/>
          <w:color w:val="000000" w:themeColor="text1"/>
          <w:sz w:val="16"/>
          <w:szCs w:val="16"/>
        </w:rPr>
        <w:softHyphen/>
        <w:t>бенно над полем боя, бывает непро</w:t>
      </w:r>
      <w:r w:rsidRPr="008127F8">
        <w:rPr>
          <w:rFonts w:ascii="Times New Roman" w:hAnsi="Times New Roman"/>
          <w:iCs/>
          <w:color w:val="000000" w:themeColor="text1"/>
          <w:sz w:val="16"/>
          <w:szCs w:val="16"/>
        </w:rPr>
        <w:softHyphen/>
        <w:t>должительным. Атака целей произво</w:t>
      </w:r>
      <w:r w:rsidRPr="008127F8">
        <w:rPr>
          <w:rFonts w:ascii="Times New Roman" w:hAnsi="Times New Roman"/>
          <w:iCs/>
          <w:color w:val="000000" w:themeColor="text1"/>
          <w:sz w:val="16"/>
          <w:szCs w:val="16"/>
        </w:rPr>
        <w:softHyphen/>
        <w:t>дится, как правило, с одного захода, бо</w:t>
      </w:r>
      <w:r w:rsidRPr="008127F8">
        <w:rPr>
          <w:rFonts w:ascii="Times New Roman" w:hAnsi="Times New Roman"/>
          <w:iCs/>
          <w:color w:val="000000" w:themeColor="text1"/>
          <w:sz w:val="16"/>
          <w:szCs w:val="16"/>
        </w:rPr>
        <w:softHyphen/>
        <w:t>еприпасы сбрасываются залпом... ж) Наши штурмовики...не всегда в пер</w:t>
      </w:r>
      <w:r w:rsidRPr="008127F8">
        <w:rPr>
          <w:rFonts w:ascii="Times New Roman" w:hAnsi="Times New Roman"/>
          <w:iCs/>
          <w:color w:val="000000" w:themeColor="text1"/>
          <w:sz w:val="16"/>
          <w:szCs w:val="16"/>
        </w:rPr>
        <w:softHyphen/>
        <w:t>вую очередь атакуют танки как основ</w:t>
      </w:r>
      <w:r w:rsidRPr="008127F8">
        <w:rPr>
          <w:rFonts w:ascii="Times New Roman" w:hAnsi="Times New Roman"/>
          <w:iCs/>
          <w:color w:val="000000" w:themeColor="text1"/>
          <w:sz w:val="16"/>
          <w:szCs w:val="16"/>
        </w:rPr>
        <w:softHyphen/>
        <w:t>ное и главное оружие противника, не</w:t>
      </w:r>
      <w:r w:rsidRPr="008127F8">
        <w:rPr>
          <w:rFonts w:ascii="Times New Roman" w:hAnsi="Times New Roman"/>
          <w:iCs/>
          <w:color w:val="000000" w:themeColor="text1"/>
          <w:sz w:val="16"/>
          <w:szCs w:val="16"/>
        </w:rPr>
        <w:softHyphen/>
        <w:t>редко предпочитают атаке танков уда</w:t>
      </w:r>
      <w:r w:rsidRPr="008127F8">
        <w:rPr>
          <w:rFonts w:ascii="Times New Roman" w:hAnsi="Times New Roman"/>
          <w:iCs/>
          <w:color w:val="000000" w:themeColor="text1"/>
          <w:sz w:val="16"/>
          <w:szCs w:val="16"/>
        </w:rPr>
        <w:softHyphen/>
        <w:t>ры по автомашинам, подводам и дру</w:t>
      </w:r>
      <w:r w:rsidRPr="008127F8">
        <w:rPr>
          <w:rFonts w:ascii="Times New Roman" w:hAnsi="Times New Roman"/>
          <w:iCs/>
          <w:color w:val="000000" w:themeColor="text1"/>
          <w:sz w:val="16"/>
          <w:szCs w:val="16"/>
        </w:rPr>
        <w:softHyphen/>
        <w:t>гим менее важным целям... з) Пред</w:t>
      </w:r>
      <w:r w:rsidRPr="008127F8">
        <w:rPr>
          <w:rFonts w:ascii="Times New Roman" w:hAnsi="Times New Roman"/>
          <w:iCs/>
          <w:color w:val="000000" w:themeColor="text1"/>
          <w:sz w:val="16"/>
          <w:szCs w:val="16"/>
        </w:rPr>
        <w:softHyphen/>
        <w:t>полетная подготовка поставлена пло</w:t>
      </w:r>
      <w:r w:rsidRPr="008127F8">
        <w:rPr>
          <w:rFonts w:ascii="Times New Roman" w:hAnsi="Times New Roman"/>
          <w:iCs/>
          <w:color w:val="000000" w:themeColor="text1"/>
          <w:sz w:val="16"/>
          <w:szCs w:val="16"/>
        </w:rPr>
        <w:softHyphen/>
        <w:t>хо. Постановка задач нечеткая, некон</w:t>
      </w:r>
      <w:r w:rsidRPr="008127F8">
        <w:rPr>
          <w:rFonts w:ascii="Times New Roman" w:hAnsi="Times New Roman"/>
          <w:iCs/>
          <w:color w:val="000000" w:themeColor="text1"/>
          <w:sz w:val="16"/>
          <w:szCs w:val="16"/>
        </w:rPr>
        <w:softHyphen/>
        <w:t xml:space="preserve">кретная... и)... Причины потерь не анализируются и не выясняются,...л) На аэродромах отсутствует четкий порядок... не организованы отдых, учеба, подготовка к полету летного состава и материальной части.... Все пущено на самотек и не способствует организации боевой деятельности на аэродромах..." </w:t>
      </w:r>
      <w:r w:rsidRPr="008127F8">
        <w:rPr>
          <w:rFonts w:ascii="Times New Roman" w:hAnsi="Times New Roman"/>
          <w:color w:val="000000" w:themeColor="text1"/>
          <w:sz w:val="16"/>
          <w:szCs w:val="16"/>
        </w:rPr>
        <w:t>(6467).</w:t>
      </w:r>
    </w:p>
    <w:p w14:paraId="6DCB64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CDF4A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июня 1942, положительно оценивания столь сме</w:t>
      </w:r>
      <w:r w:rsidRPr="008127F8">
        <w:rPr>
          <w:rFonts w:ascii="Times New Roman" w:hAnsi="Times New Roman"/>
          <w:color w:val="000000" w:themeColor="text1"/>
          <w:sz w:val="16"/>
          <w:szCs w:val="16"/>
        </w:rPr>
        <w:softHyphen/>
        <w:t xml:space="preserve">лое начинание командира 233-й </w:t>
      </w:r>
      <w:r w:rsidRPr="008127F8">
        <w:rPr>
          <w:rFonts w:ascii="Times New Roman" w:hAnsi="Times New Roman"/>
          <w:iCs/>
          <w:color w:val="000000" w:themeColor="text1"/>
          <w:sz w:val="16"/>
          <w:szCs w:val="16"/>
        </w:rPr>
        <w:t>шад</w:t>
      </w:r>
      <w:r w:rsidRPr="008127F8">
        <w:rPr>
          <w:rFonts w:ascii="Times New Roman" w:hAnsi="Times New Roman"/>
          <w:color w:val="000000" w:themeColor="text1"/>
          <w:sz w:val="16"/>
          <w:szCs w:val="16"/>
        </w:rPr>
        <w:t xml:space="preserve"> п-ка О.В.Толстикова, командующий 1-й ВА генерал-майор авиации С.А.Худяков своим приказом № 0153 ввел в действие "Инструкцию по исполь</w:t>
      </w:r>
      <w:r w:rsidRPr="008127F8">
        <w:rPr>
          <w:rFonts w:ascii="Times New Roman" w:hAnsi="Times New Roman"/>
          <w:color w:val="000000" w:themeColor="text1"/>
          <w:sz w:val="16"/>
          <w:szCs w:val="16"/>
        </w:rPr>
        <w:softHyphen/>
        <w:t>зованию Ил-2 для переброски техсостава при перебазировании", самому Толстикову объявил благодарность, а от ко</w:t>
      </w:r>
      <w:r w:rsidRPr="008127F8">
        <w:rPr>
          <w:rFonts w:ascii="Times New Roman" w:hAnsi="Times New Roman"/>
          <w:color w:val="000000" w:themeColor="text1"/>
          <w:sz w:val="16"/>
          <w:szCs w:val="16"/>
        </w:rPr>
        <w:softHyphen/>
        <w:t>мандиров штурмовых авиадивизий по</w:t>
      </w:r>
      <w:r w:rsidRPr="008127F8">
        <w:rPr>
          <w:rFonts w:ascii="Times New Roman" w:hAnsi="Times New Roman"/>
          <w:color w:val="000000" w:themeColor="text1"/>
          <w:sz w:val="16"/>
          <w:szCs w:val="16"/>
        </w:rPr>
        <w:softHyphen/>
        <w:t xml:space="preserve">требовал в срок </w:t>
      </w:r>
      <w:r w:rsidRPr="008127F8">
        <w:rPr>
          <w:rFonts w:ascii="Times New Roman" w:hAnsi="Times New Roman"/>
          <w:iCs/>
          <w:color w:val="000000" w:themeColor="text1"/>
          <w:sz w:val="16"/>
          <w:szCs w:val="16"/>
        </w:rPr>
        <w:t>"до 10.06.42 г. прове</w:t>
      </w:r>
      <w:r w:rsidRPr="008127F8">
        <w:rPr>
          <w:rFonts w:ascii="Times New Roman" w:hAnsi="Times New Roman"/>
          <w:iCs/>
          <w:color w:val="000000" w:themeColor="text1"/>
          <w:sz w:val="16"/>
          <w:szCs w:val="16"/>
        </w:rPr>
        <w:softHyphen/>
        <w:t>рить опыт 233 шад в своих полках и до</w:t>
      </w:r>
      <w:r w:rsidRPr="008127F8">
        <w:rPr>
          <w:rFonts w:ascii="Times New Roman" w:hAnsi="Times New Roman"/>
          <w:iCs/>
          <w:color w:val="000000" w:themeColor="text1"/>
          <w:sz w:val="16"/>
          <w:szCs w:val="16"/>
        </w:rPr>
        <w:softHyphen/>
        <w:t xml:space="preserve"> нести результаты". </w:t>
      </w:r>
      <w:r w:rsidRPr="008127F8">
        <w:rPr>
          <w:rFonts w:ascii="Times New Roman" w:hAnsi="Times New Roman"/>
          <w:color w:val="000000" w:themeColor="text1"/>
          <w:sz w:val="16"/>
          <w:szCs w:val="16"/>
        </w:rPr>
        <w:t>В дальнейшем опыт перевозки на Ил-2 техсостава получил широкое распро</w:t>
      </w:r>
      <w:r w:rsidRPr="008127F8">
        <w:rPr>
          <w:rFonts w:ascii="Times New Roman" w:hAnsi="Times New Roman"/>
          <w:color w:val="000000" w:themeColor="text1"/>
          <w:sz w:val="16"/>
          <w:szCs w:val="16"/>
        </w:rPr>
        <w:softHyphen/>
        <w:t>странение в штурмовых авиадивизиях на всех фронтах...(6467).</w:t>
      </w:r>
    </w:p>
    <w:p w14:paraId="2E2E6A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B7A7A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 17 июня 1942 на СФ на ДБ-3Ф пытались применять низкие торпеды и как и на БФ тоже без толку (1085,166).</w:t>
      </w:r>
    </w:p>
    <w:p w14:paraId="31A8A47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BB26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июня 1942 г. командующий ВВС ЮЗФ генерал-лейтенант Фалалеев выпустил “Указаниях по боевому использованию авиации на основе опыта боевых действий частей ВВС ЮЗФ в период с 11 мая по 31 мая 1942 года” и отметил в них: "Воздушные бои показали, что противник бросает в бой свой слабо подготовленный летный состав. Из числа сбитых и взятых в плен немецких летчиков имеются недоучки, совершившие всего после окончания школы 1-2 боевых вылета. Из показаний пленных установлено, что прослойка этой недоученной части летных кадров в частях и подразделениях фашистских ВВС. действующих против нашего фронта, очень высокая (до 50-60 %). Даже насыщеиие на некоторых участках фронта новым типом истребителей Ме-l09ф не уменьшает количество потерь противника: из числа 200 самолетов, сбитых в воздушных боях, имеется свыше 30 Ме-109ф. Можно сделать вывод, что нам противостоит численно превосходящий противник, но качественно значительно уступающий нам, потерявший уже значительную часть своих опытных летчиков. Опираясь в воздухе на количественное превосходство, противник, напрягая усилия, стремится возместить утерянное былое качество летных кадров”. В значительной мере эти выводы касались немецкой истребительной эскадры </w:t>
      </w:r>
      <w:r w:rsidRPr="008127F8">
        <w:rPr>
          <w:rFonts w:ascii="Times New Roman" w:hAnsi="Times New Roman"/>
          <w:color w:val="000000" w:themeColor="text1"/>
          <w:sz w:val="16"/>
          <w:szCs w:val="16"/>
        </w:rPr>
        <w:lastRenderedPageBreak/>
        <w:t>“Улет”, потерявшей в боях под Харьковом 18 истребителей менее чем за две недели. Еще 28 Bf 109F числятся как “небоевые потери”. Боевые потери JG 52 составили 8 Bf 109F, а JG 77 - 6 Bf 109F. Еще три Bf 109E потеряла Sch.G 1.</w:t>
      </w:r>
    </w:p>
    <w:p w14:paraId="7FD131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Противостояние в воздухе, возраставшее с каждым днем, привело к значительной концентрации авиации противоборствующих сторон на отдельном участке фронта. Об интенсивности боев говорит цифра, приводимая в бюллетене, выпущенном штабом ПВО (“Противовоздушная оборона территории страны за год Отечественной войны. Июнь 1941 - июнь 1942 г.”): за май месяц в полосе действия Юго-Западного фронта было зафиксировано максимально количество самолето-пролетов противника- 13486, что явилось максимальным количеством для всех фронтов на советско-германском фронте. В тяжелых боях погибли многие опытные летчики, воевавшие с первых дней войны. Некоторые полки ВВС были полностью обескровлены и выводились в тыл на переформирование. Максимальные потери за время операции понесли: 282 ИАП (было потеряно 23 И-16), 164 ИАП (потерял 18 ЛаГГ-3). Во 2-м ИАП потери составили 12 ЛаГГов. По 10-11 самолетов потеряли и многие другие полки.</w:t>
      </w:r>
    </w:p>
    <w:p w14:paraId="17755D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Рассматривая действия авиации под Харьковом в целом, можно сделать выводы о практически равноценном противостоянии сторон. Несмотря на то, что в отдельные дни потери авиации ЮЗФ были довольно высоки и порой превышали потерн противника вдвое, нельзя назвать действия советской авиации безуспешными и малоэффективными. Только Маневренная авиагруппа ЮЗФ за май месяц уничтожила на аэродромах и в воздухе 77 самолетов противника. Следующей по счету уничтоженных самолетов шла авиация ВВС 6-и армии, заявившая о 52 сбитых и 8 поврежденных вражеских самолетах в проведенных 67 ВОЗДУШНЫХ боях. Всего же на счету авиации ЮЗФ было более 200 побед. И эта цифра ненамного превышает реальные потери люфтваффе под Харьковом. Приводимое в различных источниках количество боевых потерь IV-го корпуса (не более 50 самолетов) не учитывает потерь разведчиков и корректировщиков, а также реальных потерь пикировщиков из St.G 77, данные по которым отсутствуют и, скорее всего, не сохранились''". Заявленные же люфтваффе почти шестьсот побед - как минимум, в три раза превысили реальное количество советских самолетов, сбитых в воздушных боях (9394,16).</w:t>
      </w:r>
    </w:p>
    <w:p w14:paraId="0C9153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45674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июня 1942 вышло Постановление ГКО № 1841 О сформировании. восьми армейских полков ПВО для Юго-Западного фронта. РГАНИР, Фонд ГКО, д. 37, лл. 1 (11012).</w:t>
      </w:r>
    </w:p>
    <w:p w14:paraId="0796DEF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F36B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июня 1942 г. вышел ПРИКАЗ НКО №0442 О БОЕВОМ ПРИМЕНЕНИИ АРМЕЙСКИХ ПОЛКОВ ПВО В АРМИЯХ</w:t>
      </w:r>
      <w:r w:rsidRPr="008127F8">
        <w:rPr>
          <w:rFonts w:ascii="Times New Roman" w:hAnsi="Times New Roman"/>
          <w:color w:val="000000" w:themeColor="text1"/>
          <w:sz w:val="16"/>
          <w:szCs w:val="16"/>
        </w:rPr>
        <w:br/>
        <w:t>Для более успешного противодействия массированным ударам авиации противника по боевым порядкам наших войск для четырех армий Юго-Западного фронта придаются по два армейских полка ПВО (по 12 37-мм зенорудий, 12 крупнокалиберных пулеметов и 8 счетверенных зенитно-пуле-метных установок 7,62 мм каждый).</w:t>
      </w:r>
    </w:p>
    <w:p w14:paraId="32610DC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Полки подчиняются заместителям начальников артиллерии армий по ПВО.</w:t>
      </w:r>
    </w:p>
    <w:p w14:paraId="505A67C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Боевой задачей армейских полков ПВО является прикрытие наиболее уязвимых с воздуха группировок и боевых порядков наземных войск. Полки должны прикрывать наземные войска на направлениях активных действий авиации противника.</w:t>
      </w:r>
    </w:p>
    <w:p w14:paraId="374B36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Армейские полки ПВО должны использоваться в бою, как правило, массированно, обладая высокой подвижностью, должны широко маневрировать в границах армий для своевременного противодействия авиации противника и нанесения ей поражения.</w:t>
      </w:r>
    </w:p>
    <w:p w14:paraId="5B7688B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Находясь в боевых порядках своих войск, полки ПВО всегда должны быть готовы также к стрельбе настильным огнем по наземным целям (пулеметные роты — для отражения атак пехоты противника и зенбатареи — для отражения атак вражеских танков и живой силы).</w:t>
      </w:r>
    </w:p>
    <w:p w14:paraId="6D68BC5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Народный комиссар обороны И. СТАЛИН </w:t>
      </w:r>
      <w:r w:rsidRPr="008127F8">
        <w:rPr>
          <w:rFonts w:ascii="Times New Roman" w:hAnsi="Times New Roman"/>
          <w:color w:val="000000" w:themeColor="text1"/>
          <w:sz w:val="16"/>
          <w:szCs w:val="16"/>
        </w:rPr>
        <w:t>(9844).</w:t>
      </w:r>
    </w:p>
    <w:p w14:paraId="660EFF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67B35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июня 1942 г. вышел ПРИКАЗ НКО №0443 О ПОДЧИНЕНИИ СРЕДСТВ ПВО ВОЙСК НАЧАЛЬНИКУ АРТИЛЛЕРИИ КРАСНОЙ АРМИИ</w:t>
      </w:r>
    </w:p>
    <w:p w14:paraId="6D588DB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целью наиболее правильного и полного использования средств ПВО войск приказываю:</w:t>
      </w:r>
    </w:p>
    <w:p w14:paraId="79416F4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Все средства противовоздушной обороны войск: зенитную артиллерию, зенитные пулеметы и средства ВНОС подчинить начальнику артиллерии Красной Армии.</w:t>
      </w:r>
    </w:p>
    <w:p w14:paraId="5E571A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Начальников управлений ПВО войск фронтов и начальников отделов ПВО войск армий* подчинить начальникам артиллерии фронтов и армий и именовать их заместителями начальников артиллерии по ПВО войск фронта и армии.</w:t>
      </w:r>
    </w:p>
    <w:p w14:paraId="4E9569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Аппарат начальников управлений ПВО войск фронтов и отделов ПВО войск армий ввести в состав управлений артиллерии фронтов и армий.</w:t>
      </w:r>
    </w:p>
    <w:p w14:paraId="550106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 состав Главного управления начальника артиллерии Красной Армии ввести:</w:t>
      </w:r>
    </w:p>
    <w:p w14:paraId="2365EF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 штаб — отдел ПВО войск: начальник отдела — он же помощник начальника штаба и три помощника начальника отдела;</w:t>
      </w:r>
    </w:p>
    <w:p w14:paraId="18AC45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 Управление формирований — отдел формирования частей ПВО войск в составе семи человек;</w:t>
      </w:r>
    </w:p>
    <w:p w14:paraId="23F390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 Управление кадров — отдел войсковых зенитных частей — 7 человек.</w:t>
      </w:r>
    </w:p>
    <w:p w14:paraId="51FA62A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Для комплектования действующих частей зенитной артиллерии три запасных зенитно-артиллерийских полка и один запасный зенитно-пуле-метный батальон передать в распоряжение начальника артиллерии Красной Армии. Для формирования новых частей сформировать учебный центр войсковой зенитной артиллерии. Формирование войсковой зенитной артиллерии, зенитно-пулеметных частей и частей ВНОС возложить на начальника артиллерии Красной Армии.</w:t>
      </w:r>
    </w:p>
    <w:p w14:paraId="0DA75B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Командующему войсками ПВО территории страны генерал-лейтенанту тов. Громадину кадры командного состава готовить в зенитных артиллерийских и пулеметных училищах. По заявке начальника артиллерии Красной Армии обеспечивать новые формирования и пополнять убыль на фронте.</w:t>
      </w:r>
    </w:p>
    <w:p w14:paraId="6867D4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Генерал-лейтенанту тов. Громадину передать к 6.06.42 г. личные дела на весь командно-начальствующий состав войсковых зенитных частей.</w:t>
      </w:r>
    </w:p>
    <w:p w14:paraId="7257A4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Ввести в действие объявляемое при сем “Положение о заместителях начальников артиллерии по ПВО войск”.</w:t>
      </w:r>
    </w:p>
    <w:p w14:paraId="274BDBC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Народный комиссар обороны И. СТАЛИН</w:t>
      </w:r>
      <w:r w:rsidRPr="008127F8">
        <w:rPr>
          <w:rFonts w:ascii="Times New Roman" w:hAnsi="Times New Roman"/>
          <w:color w:val="000000" w:themeColor="text1"/>
          <w:sz w:val="16"/>
          <w:szCs w:val="16"/>
        </w:rPr>
        <w:t xml:space="preserve"> (9844).</w:t>
      </w:r>
    </w:p>
    <w:p w14:paraId="243BA75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8F1E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 xml:space="preserve">2 </w:t>
      </w:r>
      <w:r w:rsidRPr="008127F8">
        <w:rPr>
          <w:rFonts w:ascii="Times New Roman" w:hAnsi="Times New Roman"/>
          <w:color w:val="000000" w:themeColor="text1"/>
          <w:sz w:val="16"/>
          <w:szCs w:val="16"/>
        </w:rPr>
        <w:t xml:space="preserve">июня 1942 г. Народный комиссар обороны СССР </w:t>
      </w:r>
      <w:r w:rsidRPr="008127F8">
        <w:rPr>
          <w:rFonts w:ascii="Times New Roman" w:hAnsi="Times New Roman"/>
          <w:iCs/>
          <w:color w:val="000000" w:themeColor="text1"/>
          <w:sz w:val="16"/>
          <w:szCs w:val="16"/>
        </w:rPr>
        <w:t>И. СТАЛИН утвердил</w:t>
      </w:r>
    </w:p>
    <w:p w14:paraId="50895E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ПОЛОЖЕНИЕ О ЗАМЕСТИТЕЛЯХ НАЧАЛЬНИКОВ АРТИЛЛЕРИИ ФРОНТА И АРМИИ ПО ПВО ВОЙСК</w:t>
      </w:r>
    </w:p>
    <w:p w14:paraId="4102580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Заместитель начальника артиллерии по ПВО войск непосредственно подчиняется начальнику артиллерии.</w:t>
      </w:r>
    </w:p>
    <w:p w14:paraId="11F914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Заместитель начальника артиллерии по ПВО войск руководит боевой подготовкой и боевой деятельностью частей зенитной артиллерии, зенитных пулеметов и ВНОС, выделенных для противовоздушной обороны войск.</w:t>
      </w:r>
    </w:p>
    <w:p w14:paraId="1B8C106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Заместитель начальника артиллерии по ПВО войск разрабатывает:</w:t>
      </w:r>
    </w:p>
    <w:p w14:paraId="675D4D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план ПВО войск и тыла, исходя из общей задачи войск основной группировки артиллерии и танков;</w:t>
      </w:r>
    </w:p>
    <w:p w14:paraId="0176EA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мероприятия по взаимодействию с ВВС.</w:t>
      </w:r>
    </w:p>
    <w:p w14:paraId="4A01D8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Заместителю начальника артиллерии по ПВО войск подчиняются:</w:t>
      </w:r>
    </w:p>
    <w:p w14:paraId="43E9C2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все войсковые зенитные средства;</w:t>
      </w:r>
    </w:p>
    <w:p w14:paraId="79E1EA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части, несущие службу ВНОС, входящие в состав общевойсковых соединений и приданные для ПВО войск.</w:t>
      </w:r>
    </w:p>
    <w:p w14:paraId="6ADF3F9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На заместителя начальника артиллерии по ПВО войск возлагается:</w:t>
      </w:r>
    </w:p>
    <w:p w14:paraId="119845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ведение оперативной и разведывательной работы;</w:t>
      </w:r>
    </w:p>
    <w:p w14:paraId="19A477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изучение и обобщение действий авиации противника, изучение стрельбы, организации, тактики и техники войсковых зенитных средств противника;</w:t>
      </w:r>
    </w:p>
    <w:p w14:paraId="559489A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изучение и обобщение действий своих войсковых средств ПВО;</w:t>
      </w:r>
    </w:p>
    <w:p w14:paraId="3E719C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 ответственность </w:t>
      </w:r>
      <w:r w:rsidRPr="008127F8">
        <w:rPr>
          <w:rFonts w:ascii="Times New Roman" w:hAnsi="Times New Roman"/>
          <w:bCs/>
          <w:color w:val="000000" w:themeColor="text1"/>
          <w:sz w:val="16"/>
          <w:szCs w:val="16"/>
        </w:rPr>
        <w:t xml:space="preserve">за </w:t>
      </w:r>
      <w:r w:rsidRPr="008127F8">
        <w:rPr>
          <w:rFonts w:ascii="Times New Roman" w:hAnsi="Times New Roman"/>
          <w:color w:val="000000" w:themeColor="text1"/>
          <w:sz w:val="16"/>
          <w:szCs w:val="16"/>
        </w:rPr>
        <w:t>массированное применение всех средств войсковой ПВО при прикрытии боевых порядков войск;</w:t>
      </w:r>
    </w:p>
    <w:p w14:paraId="278E4D6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контроль и ответственность за боевую подготовку войск фронта (армии) по ПВО;</w:t>
      </w:r>
    </w:p>
    <w:p w14:paraId="193CD71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аттестование и представление лиц начальствующего состава подчиненных частей к назначениям, наградам и военным званиям.</w:t>
      </w:r>
    </w:p>
    <w:p w14:paraId="4E136EC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Заместитель Народного комиссара обороны генерал-полковник артиллерии ВОРОНОВ </w:t>
      </w:r>
      <w:r w:rsidRPr="008127F8">
        <w:rPr>
          <w:rFonts w:ascii="Times New Roman" w:hAnsi="Times New Roman"/>
          <w:color w:val="000000" w:themeColor="text1"/>
          <w:sz w:val="16"/>
          <w:szCs w:val="16"/>
        </w:rPr>
        <w:t>(9844).</w:t>
      </w:r>
    </w:p>
    <w:p w14:paraId="5A8EC7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8A49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июня 1942 года ЭПРОН, часть которой с началом Великой Отечественной войны, сохранив название, вошла в структуру морского флота, была переименована в Аварийно-спасательную и судоподъемную службу ВМФ (ныне это служба Поисковых и аварийно-спасательных работ ВМФ) (11628).</w:t>
      </w:r>
    </w:p>
    <w:p w14:paraId="7E35BF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FCD0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73CFD37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EF7C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июня 1942 (13 июня - 237,199) (13 июля - 272,383) Э.К.Пуссеп привез В.М.Молотова из Англию и США (4,162).</w:t>
      </w:r>
    </w:p>
    <w:p w14:paraId="2C7BBA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A970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7C5A563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A9AC8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вышел приказ НКАП N 337 с:</w:t>
      </w:r>
    </w:p>
    <w:p w14:paraId="784DAF1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обеспечения работ по сборке, облету и сдаче самолетов Ил-4 на заводе 456:</w:t>
      </w:r>
    </w:p>
    <w:p w14:paraId="574391B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Завод 456 подчинить 10 ГУ (1716,169).</w:t>
      </w:r>
    </w:p>
    <w:p w14:paraId="563B3EC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E526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3 июня 1942 Нач. 7 ГУ Шишикин и Нач. 8 ГУ Поликовский подготовили для НКАП А.И.Ш. об установке на самолетах ТБ-7, 102 и истребителе МиГ х-образного мотора МБ-100. Пришли к выводу, что на ТБ-7 и истребители - нецелесообразно, но стоит поставить на 102 и новый ДБ весом 50 т (1684,110).</w:t>
      </w:r>
    </w:p>
    <w:p w14:paraId="26FC0E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Где-то в это же время были подготовлены Сравнительные расчетные данные самолета ТБ-7 с моторами МБ-100, АМ-35А и М-30 (1684,101).</w:t>
      </w:r>
    </w:p>
    <w:p w14:paraId="2EC70D3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53CB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года начальник 7 главного управления Шишкин и начальник 8 главного управления Поликовский писали письмо Шахурину.</w:t>
      </w:r>
    </w:p>
    <w:p w14:paraId="1AA2AA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установке на самолетах мотора МБ-100.</w:t>
      </w:r>
    </w:p>
    <w:p w14:paraId="6D6116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выявления летных данных самолетов с Х-образным мотором МБ-100 произведены аэродинамические расчеты самолетов: Тб-7, "102" и нового одномоторного одноместного истребителя под этот мотор.</w:t>
      </w:r>
    </w:p>
    <w:p w14:paraId="40ABC4F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самолету ТБ-7.</w:t>
      </w:r>
    </w:p>
    <w:p w14:paraId="18AF2C9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Расчет Тб-7, произведенный главным конструктором Незваль и подтвержденный ЦАГИ, показывает, что установка двух моторов МБ-100 увеличивает дальность самолета на 900 км против дальности с четырьмя моторами Ам-35-А, но влечет за собой ухудшение всех остальных летных данных и особенно разбега.</w:t>
      </w:r>
    </w:p>
    <w:p w14:paraId="134E6AE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Ухудшение данных происходит в основном из-за меньшей суммарной мощности двух моторов МБ-100 по сравнению с мощностью четырех моторов Ам-35А, устанавливаемых на самолете в данное время. По сравнению с самолетом ТБ-7 с 4 дизелями М-30 самолет при постановке 2 МБ-100 ухудшается и по дальности на 200 км.</w:t>
      </w:r>
    </w:p>
    <w:p w14:paraId="426910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случае установки на самолете ТБ-7 четырех моторов МБ-100, согласно расчетам, сделанным ЦАГИ, максимальная скорость на высоте возрастает на 80-85 км/час против скорости с моторами Ам-35А или М-30. Дальность полета на скорости 0,8 от максимальной, при перегрузочном весе 35 тонн, сокращается до 2700 км и при крейсерской скорости 0,67 мак. будет 3200 км, вместо 4100 км при моторах АМ-35А и 5200 км при 4 дизелях М-30. Уменьшение дальности происходит в основном за счет сокращения запаса горючего вследствие значительно большего веса винтомоторных групп.</w:t>
      </w:r>
    </w:p>
    <w:p w14:paraId="53B037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Разбег и скороподъемность самолета с четырьмя МБ-100 значительно улучшаются.</w:t>
      </w:r>
    </w:p>
    <w:p w14:paraId="2A596D3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самолету "102".</w:t>
      </w:r>
    </w:p>
    <w:p w14:paraId="43C0BF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эскизного проекта модификации дальнего бомбардировщика "102" под два горизонтальных мотора МБ-100, разработанного 4-м спецотделом НКВД, видно, что данные самолета с этими моторами несколько ниже расчетных летных данных с моторами М-120ТК. особенно резко снижается высотность (с 10000 м до 5000 м), что очень невыгодно для дальнего бомбардировщика.</w:t>
      </w:r>
    </w:p>
    <w:p w14:paraId="546F877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Установленный на самолете "102" мотор М-120 не включается в план опытного моторостроения на 1942 год и требует больших доводочных работ; в то же время мотор МБ-100 удовлетворительно прошел 50-ти часовые совместные испытания и может быть подан в нескольких экземплярах на летные испытания.</w:t>
      </w:r>
    </w:p>
    <w:p w14:paraId="55AD67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Поэтому целесообразно дать задание заводу N 288, главному конструктору Мясищеву на оборудование самолета "102" под моторы МБ-100 с целью проверки мотора в полете и получения летных данных самолета "102" с этими моторами. Параллельно с проведением летных испытаний самолета "102" с МБ-100 существующего образца, следует поднять мотору высотность теми же методами, какие применяются для моторов М-105.</w:t>
      </w:r>
    </w:p>
    <w:p w14:paraId="7863CB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Применяя, например двухступенчатый нагнетатель, можно поднять высотность самолета до 7000-7500 м и получить максимальную скорость на этой высоте свыше 600 км/час.</w:t>
      </w:r>
    </w:p>
    <w:p w14:paraId="2772AC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Сравнительные летные данные самолета "102" с разными моторами ясны из следующей таблицы: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1244"/>
        <w:gridCol w:w="1244"/>
        <w:gridCol w:w="4458"/>
      </w:tblGrid>
      <w:tr w:rsidR="007C5583" w:rsidRPr="008127F8" w14:paraId="33F9C469" w14:textId="77777777" w:rsidTr="004C5D62">
        <w:tc>
          <w:tcPr>
            <w:tcW w:w="3652" w:type="dxa"/>
            <w:tcBorders>
              <w:top w:val="single" w:sz="12" w:space="0" w:color="auto"/>
            </w:tcBorders>
          </w:tcPr>
          <w:p w14:paraId="7541931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Данные самолета - "102"</w:t>
            </w:r>
          </w:p>
        </w:tc>
        <w:tc>
          <w:tcPr>
            <w:tcW w:w="1244" w:type="dxa"/>
            <w:tcBorders>
              <w:top w:val="single" w:sz="12" w:space="0" w:color="auto"/>
            </w:tcBorders>
          </w:tcPr>
          <w:p w14:paraId="6FB5199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2МБ-100</w:t>
            </w:r>
          </w:p>
        </w:tc>
        <w:tc>
          <w:tcPr>
            <w:tcW w:w="1244" w:type="dxa"/>
            <w:tcBorders>
              <w:top w:val="single" w:sz="12" w:space="0" w:color="auto"/>
            </w:tcBorders>
          </w:tcPr>
          <w:p w14:paraId="11A4C63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2М-120ТК</w:t>
            </w:r>
          </w:p>
        </w:tc>
        <w:tc>
          <w:tcPr>
            <w:tcW w:w="4458" w:type="dxa"/>
            <w:tcBorders>
              <w:top w:val="single" w:sz="12" w:space="0" w:color="auto"/>
            </w:tcBorders>
          </w:tcPr>
          <w:p w14:paraId="7954597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6C8853E" w14:textId="77777777" w:rsidTr="004C5D62">
        <w:tc>
          <w:tcPr>
            <w:tcW w:w="3652" w:type="dxa"/>
          </w:tcPr>
          <w:p w14:paraId="0FF0CC6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4" w:type="dxa"/>
          </w:tcPr>
          <w:p w14:paraId="23DD961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4" w:type="dxa"/>
          </w:tcPr>
          <w:p w14:paraId="06D36C3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серийным</w:t>
            </w:r>
          </w:p>
        </w:tc>
        <w:tc>
          <w:tcPr>
            <w:tcW w:w="4458" w:type="dxa"/>
          </w:tcPr>
          <w:p w14:paraId="77EC140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двухст.</w:t>
            </w:r>
          </w:p>
        </w:tc>
      </w:tr>
      <w:tr w:rsidR="007C5583" w:rsidRPr="008127F8" w14:paraId="378D06CF" w14:textId="77777777" w:rsidTr="004C5D62">
        <w:tc>
          <w:tcPr>
            <w:tcW w:w="3652" w:type="dxa"/>
          </w:tcPr>
          <w:p w14:paraId="45AC606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4" w:type="dxa"/>
          </w:tcPr>
          <w:p w14:paraId="00FA66A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4" w:type="dxa"/>
          </w:tcPr>
          <w:p w14:paraId="21418A8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нагнетат.</w:t>
            </w:r>
          </w:p>
        </w:tc>
        <w:tc>
          <w:tcPr>
            <w:tcW w:w="4458" w:type="dxa"/>
          </w:tcPr>
          <w:p w14:paraId="6A6B75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нагн. гл.</w:t>
            </w:r>
          </w:p>
        </w:tc>
      </w:tr>
      <w:tr w:rsidR="007C5583" w:rsidRPr="008127F8" w14:paraId="12FBBFCC" w14:textId="77777777" w:rsidTr="004C5D62">
        <w:tc>
          <w:tcPr>
            <w:tcW w:w="3652" w:type="dxa"/>
          </w:tcPr>
          <w:p w14:paraId="384AF67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4" w:type="dxa"/>
          </w:tcPr>
          <w:p w14:paraId="2EDED13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4" w:type="dxa"/>
          </w:tcPr>
          <w:p w14:paraId="350DAAA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М105</w:t>
            </w:r>
          </w:p>
        </w:tc>
        <w:tc>
          <w:tcPr>
            <w:tcW w:w="4458" w:type="dxa"/>
          </w:tcPr>
          <w:p w14:paraId="6857FFC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w:t>
            </w:r>
          </w:p>
        </w:tc>
      </w:tr>
      <w:tr w:rsidR="007C5583" w:rsidRPr="008127F8" w14:paraId="2200379D" w14:textId="77777777" w:rsidTr="004C5D62">
        <w:tc>
          <w:tcPr>
            <w:tcW w:w="3652" w:type="dxa"/>
          </w:tcPr>
          <w:p w14:paraId="5EF9B46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4" w:type="dxa"/>
          </w:tcPr>
          <w:p w14:paraId="2C8B7FB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4" w:type="dxa"/>
          </w:tcPr>
          <w:p w14:paraId="7EB0035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58" w:type="dxa"/>
          </w:tcPr>
          <w:p w14:paraId="417E369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Доллежаля</w:t>
            </w:r>
          </w:p>
        </w:tc>
      </w:tr>
      <w:tr w:rsidR="007C5583" w:rsidRPr="008127F8" w14:paraId="7FCBD8BC" w14:textId="77777777" w:rsidTr="004C5D62">
        <w:tc>
          <w:tcPr>
            <w:tcW w:w="3652" w:type="dxa"/>
          </w:tcPr>
          <w:p w14:paraId="7D623AD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Суммарная мощность моторов на расчетной</w:t>
            </w:r>
          </w:p>
        </w:tc>
        <w:tc>
          <w:tcPr>
            <w:tcW w:w="1244" w:type="dxa"/>
          </w:tcPr>
          <w:p w14:paraId="3C77CB1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4" w:type="dxa"/>
          </w:tcPr>
          <w:p w14:paraId="5AB6A60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58" w:type="dxa"/>
          </w:tcPr>
          <w:p w14:paraId="2C0CBD6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45740BA" w14:textId="77777777" w:rsidTr="004C5D62">
        <w:tc>
          <w:tcPr>
            <w:tcW w:w="3652" w:type="dxa"/>
          </w:tcPr>
          <w:p w14:paraId="4A4691D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высоте л.с./м</w:t>
            </w:r>
          </w:p>
        </w:tc>
        <w:tc>
          <w:tcPr>
            <w:tcW w:w="1244" w:type="dxa"/>
          </w:tcPr>
          <w:p w14:paraId="1055D48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4200/4000</w:t>
            </w:r>
          </w:p>
        </w:tc>
        <w:tc>
          <w:tcPr>
            <w:tcW w:w="1244" w:type="dxa"/>
          </w:tcPr>
          <w:p w14:paraId="47C6F65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4200/7000</w:t>
            </w:r>
          </w:p>
        </w:tc>
        <w:tc>
          <w:tcPr>
            <w:tcW w:w="4458" w:type="dxa"/>
          </w:tcPr>
          <w:p w14:paraId="36E5436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2840/10000</w:t>
            </w:r>
          </w:p>
        </w:tc>
      </w:tr>
      <w:tr w:rsidR="007C5583" w:rsidRPr="008127F8" w14:paraId="02456454" w14:textId="77777777" w:rsidTr="004C5D62">
        <w:tc>
          <w:tcPr>
            <w:tcW w:w="3652" w:type="dxa"/>
          </w:tcPr>
          <w:p w14:paraId="725ADA8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у земли км/час</w:t>
            </w:r>
          </w:p>
        </w:tc>
        <w:tc>
          <w:tcPr>
            <w:tcW w:w="1244" w:type="dxa"/>
          </w:tcPr>
          <w:p w14:paraId="227EB81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487</w:t>
            </w:r>
          </w:p>
        </w:tc>
        <w:tc>
          <w:tcPr>
            <w:tcW w:w="1244" w:type="dxa"/>
          </w:tcPr>
          <w:p w14:paraId="72697A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487</w:t>
            </w:r>
          </w:p>
        </w:tc>
        <w:tc>
          <w:tcPr>
            <w:tcW w:w="4458" w:type="dxa"/>
          </w:tcPr>
          <w:p w14:paraId="538DCED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460-480</w:t>
            </w:r>
          </w:p>
        </w:tc>
      </w:tr>
      <w:tr w:rsidR="007C5583" w:rsidRPr="008127F8" w14:paraId="5F833D2B" w14:textId="77777777" w:rsidTr="004C5D62">
        <w:tc>
          <w:tcPr>
            <w:tcW w:w="3652" w:type="dxa"/>
          </w:tcPr>
          <w:p w14:paraId="3B26A9E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Максимальная скорость на расчетной </w:t>
            </w:r>
          </w:p>
        </w:tc>
        <w:tc>
          <w:tcPr>
            <w:tcW w:w="1244" w:type="dxa"/>
          </w:tcPr>
          <w:p w14:paraId="5550F66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4" w:type="dxa"/>
          </w:tcPr>
          <w:p w14:paraId="1E08FAE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58" w:type="dxa"/>
          </w:tcPr>
          <w:p w14:paraId="598F0A1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D82A8AF" w14:textId="77777777" w:rsidTr="004C5D62">
        <w:tc>
          <w:tcPr>
            <w:tcW w:w="3652" w:type="dxa"/>
          </w:tcPr>
          <w:p w14:paraId="48CE7D8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высоте км/час/м</w:t>
            </w:r>
          </w:p>
        </w:tc>
        <w:tc>
          <w:tcPr>
            <w:tcW w:w="1244" w:type="dxa"/>
          </w:tcPr>
          <w:p w14:paraId="34B274E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573/5000</w:t>
            </w:r>
          </w:p>
        </w:tc>
        <w:tc>
          <w:tcPr>
            <w:tcW w:w="1244" w:type="dxa"/>
          </w:tcPr>
          <w:p w14:paraId="3D3B284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615/7500</w:t>
            </w:r>
          </w:p>
        </w:tc>
        <w:tc>
          <w:tcPr>
            <w:tcW w:w="4458" w:type="dxa"/>
          </w:tcPr>
          <w:p w14:paraId="21859A7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610/10000</w:t>
            </w:r>
          </w:p>
        </w:tc>
      </w:tr>
      <w:tr w:rsidR="007C5583" w:rsidRPr="008127F8" w14:paraId="6288E7D1" w14:textId="77777777" w:rsidTr="004C5D62">
        <w:tc>
          <w:tcPr>
            <w:tcW w:w="3652" w:type="dxa"/>
          </w:tcPr>
          <w:p w14:paraId="388E0DE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Практический потолок м</w:t>
            </w:r>
          </w:p>
        </w:tc>
        <w:tc>
          <w:tcPr>
            <w:tcW w:w="1244" w:type="dxa"/>
          </w:tcPr>
          <w:p w14:paraId="3CB91A7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9050</w:t>
            </w:r>
          </w:p>
        </w:tc>
        <w:tc>
          <w:tcPr>
            <w:tcW w:w="1244" w:type="dxa"/>
          </w:tcPr>
          <w:p w14:paraId="2438E0C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10500</w:t>
            </w:r>
          </w:p>
        </w:tc>
        <w:tc>
          <w:tcPr>
            <w:tcW w:w="4458" w:type="dxa"/>
          </w:tcPr>
          <w:p w14:paraId="3514302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11400</w:t>
            </w:r>
          </w:p>
        </w:tc>
      </w:tr>
      <w:tr w:rsidR="007C5583" w:rsidRPr="008127F8" w14:paraId="4C4AE1DC" w14:textId="77777777" w:rsidTr="004C5D62">
        <w:tc>
          <w:tcPr>
            <w:tcW w:w="3652" w:type="dxa"/>
          </w:tcPr>
          <w:p w14:paraId="393222F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 максимальная на 0,8 Vmax км</w:t>
            </w:r>
          </w:p>
        </w:tc>
        <w:tc>
          <w:tcPr>
            <w:tcW w:w="1244" w:type="dxa"/>
          </w:tcPr>
          <w:p w14:paraId="5374B9C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3300</w:t>
            </w:r>
          </w:p>
        </w:tc>
        <w:tc>
          <w:tcPr>
            <w:tcW w:w="1244" w:type="dxa"/>
          </w:tcPr>
          <w:p w14:paraId="40088CF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3300</w:t>
            </w:r>
          </w:p>
        </w:tc>
        <w:tc>
          <w:tcPr>
            <w:tcW w:w="4458" w:type="dxa"/>
          </w:tcPr>
          <w:p w14:paraId="2313DE7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3200</w:t>
            </w:r>
          </w:p>
        </w:tc>
      </w:tr>
      <w:tr w:rsidR="007C5583" w:rsidRPr="008127F8" w14:paraId="5F7703DF" w14:textId="77777777" w:rsidTr="004C5D62">
        <w:tc>
          <w:tcPr>
            <w:tcW w:w="3652" w:type="dxa"/>
            <w:tcBorders>
              <w:bottom w:val="single" w:sz="12" w:space="0" w:color="auto"/>
            </w:tcBorders>
          </w:tcPr>
          <w:p w14:paraId="6FC7923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Разбег м</w:t>
            </w:r>
          </w:p>
        </w:tc>
        <w:tc>
          <w:tcPr>
            <w:tcW w:w="1244" w:type="dxa"/>
            <w:tcBorders>
              <w:bottom w:val="single" w:sz="12" w:space="0" w:color="auto"/>
            </w:tcBorders>
          </w:tcPr>
          <w:p w14:paraId="5640DA9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1244" w:type="dxa"/>
            <w:tcBorders>
              <w:bottom w:val="single" w:sz="12" w:space="0" w:color="auto"/>
            </w:tcBorders>
          </w:tcPr>
          <w:p w14:paraId="110DA1F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4458" w:type="dxa"/>
            <w:tcBorders>
              <w:bottom w:val="single" w:sz="12" w:space="0" w:color="auto"/>
            </w:tcBorders>
          </w:tcPr>
          <w:p w14:paraId="530AC6B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575</w:t>
            </w:r>
          </w:p>
        </w:tc>
      </w:tr>
    </w:tbl>
    <w:p w14:paraId="73DC59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новым самолетам.</w:t>
      </w:r>
    </w:p>
    <w:p w14:paraId="6757F06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Истребители:</w:t>
      </w:r>
    </w:p>
    <w:p w14:paraId="33AE22F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Произведенные ЦАГИ и КБ Микоян расчеты показали, что мотор МБ-100 как в существующем горизонтальном, так и в вертикальном варианте непригоден для истребителя, давая скорость всего 630 км/час при одновременном повышении веса истребителя до 5000 кг.</w:t>
      </w:r>
    </w:p>
    <w:p w14:paraId="3A7F3FA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Бомбардировщики:</w:t>
      </w:r>
    </w:p>
    <w:p w14:paraId="3EB8F9A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тяжелом 4-х моторном бомбардировщике весом около 50 тонн, если его специально спроектировать под МБ-100, возможно с успехом применить эти моторы.</w:t>
      </w:r>
    </w:p>
    <w:p w14:paraId="594E404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Такой самолет сможет иметь бомбовую нагрузку порядка 4000-6000 кг бомб, дальность 5000-6000 км и максимальную скорость 450-500 км/час.</w:t>
      </w:r>
    </w:p>
    <w:p w14:paraId="2A05B28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с такими данными представляет несомненно интерес.</w:t>
      </w:r>
    </w:p>
    <w:p w14:paraId="379D9AE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Выводы:</w:t>
      </w:r>
    </w:p>
    <w:p w14:paraId="344BCDC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Мотор МБ-100 может быть установлен на самолет "102", вместо снятых с плана строительства моторов М-120 ТК. Летные испытания можно проводить с моторами существующего образца. Одновременно необходимо принять меры к поднятию высотности мотора теми же методами, какие разрабатываются для М-105.</w:t>
      </w:r>
    </w:p>
    <w:p w14:paraId="5B2156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этом условии самолет получает достаточно хорошие летные данные и будет являться вполне современным бомбардировщиком.</w:t>
      </w:r>
    </w:p>
    <w:p w14:paraId="28FC9FD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Мотор МБ-100 может быть применен на новом тяжелом 4 моторном бомбардировщике весом около 50 тонн, с бомбовой нагрузкой 4000-6000 кг, с дальностью 5000-6000 км и скоростью 450-500 км/час на высоте порядка 7500 м.</w:t>
      </w:r>
    </w:p>
    <w:p w14:paraId="7E8C96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Установка моторов МБ-100 как двух, так и четырех на самолет ТБ-7 ввиду ухудшения тактико-технических данных - является нецелесообразной.</w:t>
      </w:r>
    </w:p>
    <w:p w14:paraId="726C25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Также нецелесообразна установка МБ-100 на истребитель.</w:t>
      </w:r>
    </w:p>
    <w:p w14:paraId="39F4327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Наиболее быстро летная отработка самих моторов МБ-100 может быть проведена на самолете ТБ-7 (1684,110).</w:t>
      </w:r>
    </w:p>
    <w:p w14:paraId="68411A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A4A8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на 153 был готов Як-7Д и начались заводские испытания, которые шли до 16 июня 1942. Летал П.Я.Федрови, ви был Н.К.Скржинский, м - Ф.З.Сбитнев. Выполнили 15 полетов продолжительностью 13:15. На гос. испытания не передавали и работы прекратили и по указанию А.С.Я. он был переведен в цех для модификации в Як-7ДИ (65,105).</w:t>
      </w:r>
    </w:p>
    <w:p w14:paraId="5BD4CA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другим данным Як-7Д был готов только в июле 1942 (1046,37).</w:t>
      </w:r>
    </w:p>
    <w:p w14:paraId="0D675A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FB0CE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 июня</w:t>
      </w:r>
      <w:r w:rsidRPr="008127F8">
        <w:rPr>
          <w:rFonts w:ascii="Times New Roman" w:hAnsi="Times New Roman"/>
          <w:color w:val="000000" w:themeColor="text1"/>
          <w:sz w:val="16"/>
          <w:szCs w:val="16"/>
        </w:rPr>
        <w:t xml:space="preserve"> в 1942 году официально закончено производство </w:t>
      </w:r>
      <w:hyperlink r:id="rId65" w:tgtFrame="_blank" w:history="1">
        <w:r w:rsidRPr="008127F8">
          <w:rPr>
            <w:rFonts w:ascii="Times New Roman" w:hAnsi="Times New Roman"/>
            <w:color w:val="000000" w:themeColor="text1"/>
            <w:sz w:val="16"/>
            <w:szCs w:val="16"/>
          </w:rPr>
          <w:t xml:space="preserve">«Як-7Д». </w:t>
        </w:r>
      </w:hyperlink>
      <w:r w:rsidRPr="008127F8">
        <w:rPr>
          <w:rFonts w:ascii="Times New Roman" w:hAnsi="Times New Roman"/>
          <w:color w:val="000000" w:themeColor="text1"/>
          <w:sz w:val="16"/>
          <w:szCs w:val="16"/>
        </w:rPr>
        <w:t>Заводские испытания и доводка производились с 3 по 16 июня 1942 года. Испытания проводила бригада ОКБ А.С.Яковлева в составе: летчик П.Я.Федрови, ведущий инженер Н.К.Скржинский, бортмеханик Ф.3.Сбитнев. Было выполнено 15 полетов общей продолжительностью 13 ч 15 мин. На государственные испытания «Як-7Д» не предъявлялся и в серии не строился. По указанию главного конструктора А.С.Яковлева 16 июня 1942 г. заводские испытания «Як-7Д» были прекращены, и самолет был переведен в цех завода для модификации его в одноместный дальний истребитель «Як-7ДИ». Хотя «Як-7Д» серийно не строился, он сыграл важную роль, так как, по-существу, положил начало созданию семейства самолетов «Як-9», в том числе «Як-9Д» и «Як-9ДД» (14911).</w:t>
      </w:r>
    </w:p>
    <w:p w14:paraId="4A2A8EE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BA34DF7" w14:textId="77777777" w:rsidR="00E139B9" w:rsidRPr="008A2E5A" w:rsidRDefault="00E139B9" w:rsidP="00E139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3 июня 1942 г. закончили строительство машины, получившей наименование Як-7Д (дальний) - Як-7 в варианте ско</w:t>
      </w:r>
      <w:r w:rsidRPr="008A2E5A">
        <w:rPr>
          <w:rFonts w:ascii="Times New Roman" w:hAnsi="Times New Roman"/>
          <w:color w:val="0070C0"/>
          <w:sz w:val="16"/>
          <w:szCs w:val="16"/>
        </w:rPr>
        <w:softHyphen/>
        <w:t>ростного разведчика с дальностью полета 1300 км на ско</w:t>
      </w:r>
      <w:r w:rsidRPr="008A2E5A">
        <w:rPr>
          <w:rFonts w:ascii="Times New Roman" w:hAnsi="Times New Roman"/>
          <w:color w:val="0070C0"/>
          <w:sz w:val="16"/>
          <w:szCs w:val="16"/>
        </w:rPr>
        <w:softHyphen/>
        <w:t>рости, равной 0,9 от максимальной. Предложено модифи</w:t>
      </w:r>
      <w:r w:rsidRPr="008A2E5A">
        <w:rPr>
          <w:rFonts w:ascii="Times New Roman" w:hAnsi="Times New Roman"/>
          <w:color w:val="0070C0"/>
          <w:sz w:val="16"/>
          <w:szCs w:val="16"/>
        </w:rPr>
        <w:softHyphen/>
        <w:t>цировать одноместный истребитель в такую машину поступило от ОКБ А.С. Яковлева при рассмотрении плана строительства опытных само</w:t>
      </w:r>
      <w:r w:rsidRPr="008A2E5A">
        <w:rPr>
          <w:rFonts w:ascii="Times New Roman" w:hAnsi="Times New Roman"/>
          <w:color w:val="0070C0"/>
          <w:sz w:val="16"/>
          <w:szCs w:val="16"/>
        </w:rPr>
        <w:softHyphen/>
        <w:t>летов на 1942 г. в Наркомате авиационной промышленно</w:t>
      </w:r>
      <w:r w:rsidRPr="008A2E5A">
        <w:rPr>
          <w:rFonts w:ascii="Times New Roman" w:hAnsi="Times New Roman"/>
          <w:color w:val="0070C0"/>
          <w:sz w:val="16"/>
          <w:szCs w:val="16"/>
        </w:rPr>
        <w:softHyphen/>
        <w:t>сти СССР.</w:t>
      </w:r>
    </w:p>
    <w:p w14:paraId="62F2C782" w14:textId="77777777" w:rsidR="00E139B9" w:rsidRPr="008A2E5A" w:rsidRDefault="00E139B9" w:rsidP="00E139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модификации в соответствии с заданной специ</w:t>
      </w:r>
      <w:r w:rsidRPr="008A2E5A">
        <w:rPr>
          <w:rFonts w:ascii="Times New Roman" w:hAnsi="Times New Roman"/>
          <w:color w:val="0070C0"/>
          <w:sz w:val="16"/>
          <w:szCs w:val="16"/>
        </w:rPr>
        <w:softHyphen/>
        <w:t>ализацией самолета больше всего подходил фюзеляж учебного Як-7В серийного выпуска, к которому присты</w:t>
      </w:r>
      <w:r w:rsidRPr="008A2E5A">
        <w:rPr>
          <w:rFonts w:ascii="Times New Roman" w:hAnsi="Times New Roman"/>
          <w:color w:val="0070C0"/>
          <w:sz w:val="16"/>
          <w:szCs w:val="16"/>
        </w:rPr>
        <w:softHyphen/>
        <w:t>ковали крыло, изготовленное филиалом завода №115 в Новосибирске. Исходная конструкция фюзеляжа под</w:t>
      </w:r>
      <w:r w:rsidRPr="008A2E5A">
        <w:rPr>
          <w:rFonts w:ascii="Times New Roman" w:hAnsi="Times New Roman"/>
          <w:color w:val="0070C0"/>
          <w:sz w:val="16"/>
          <w:szCs w:val="16"/>
        </w:rPr>
        <w:softHyphen/>
        <w:t>верглась незначительным изменениям. Для обеспече</w:t>
      </w:r>
      <w:r w:rsidRPr="008A2E5A">
        <w:rPr>
          <w:rFonts w:ascii="Times New Roman" w:hAnsi="Times New Roman"/>
          <w:color w:val="0070C0"/>
          <w:sz w:val="16"/>
          <w:szCs w:val="16"/>
        </w:rPr>
        <w:softHyphen/>
        <w:t>ния длительной работы мотора при полетах на предель</w:t>
      </w:r>
      <w:r w:rsidRPr="008A2E5A">
        <w:rPr>
          <w:rFonts w:ascii="Times New Roman" w:hAnsi="Times New Roman"/>
          <w:color w:val="0070C0"/>
          <w:sz w:val="16"/>
          <w:szCs w:val="16"/>
        </w:rPr>
        <w:softHyphen/>
        <w:t>ную дальность емкость маслобака увеличили с 38 до 55 кг. Воздушные баллоны емкостью по 7 л перенесли из пе</w:t>
      </w:r>
      <w:r w:rsidRPr="008A2E5A">
        <w:rPr>
          <w:rFonts w:ascii="Times New Roman" w:hAnsi="Times New Roman"/>
          <w:color w:val="0070C0"/>
          <w:sz w:val="16"/>
          <w:szCs w:val="16"/>
        </w:rPr>
        <w:softHyphen/>
        <w:t>редней кабины в заднюю и разместили за вновь установ</w:t>
      </w:r>
      <w:r w:rsidRPr="008A2E5A">
        <w:rPr>
          <w:rFonts w:ascii="Times New Roman" w:hAnsi="Times New Roman"/>
          <w:color w:val="0070C0"/>
          <w:sz w:val="16"/>
          <w:szCs w:val="16"/>
        </w:rPr>
        <w:softHyphen/>
        <w:t>ленной на переднем сидении бронеспинкой (место уста</w:t>
      </w:r>
      <w:r w:rsidRPr="008A2E5A">
        <w:rPr>
          <w:rFonts w:ascii="Times New Roman" w:hAnsi="Times New Roman"/>
          <w:color w:val="0070C0"/>
          <w:sz w:val="16"/>
          <w:szCs w:val="16"/>
        </w:rPr>
        <w:softHyphen/>
        <w:t>новки аварийного баллона в задней кабине не менялось). Слева по полету от воздушных баллонов установили кис</w:t>
      </w:r>
      <w:r w:rsidRPr="008A2E5A">
        <w:rPr>
          <w:rFonts w:ascii="Times New Roman" w:hAnsi="Times New Roman"/>
          <w:color w:val="0070C0"/>
          <w:sz w:val="16"/>
          <w:szCs w:val="16"/>
        </w:rPr>
        <w:softHyphen/>
        <w:t>лородный баллон, обеспечивавший летчика в течение двух часов при полете на высоте 8000 м.</w:t>
      </w:r>
    </w:p>
    <w:p w14:paraId="16DCAAB5" w14:textId="77777777" w:rsidR="00E139B9" w:rsidRPr="008A2E5A" w:rsidRDefault="00E139B9" w:rsidP="00E139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Основные изменения претерпело крыло, в котором за счет замены деревянных лонжеронов металлически</w:t>
      </w:r>
      <w:r w:rsidRPr="008A2E5A">
        <w:rPr>
          <w:rFonts w:ascii="Times New Roman" w:hAnsi="Times New Roman"/>
          <w:color w:val="0070C0"/>
          <w:sz w:val="16"/>
          <w:szCs w:val="16"/>
        </w:rPr>
        <w:softHyphen/>
        <w:t>ми дюралевыми, изменения схемы управления элерона</w:t>
      </w:r>
      <w:r w:rsidRPr="008A2E5A">
        <w:rPr>
          <w:rFonts w:ascii="Times New Roman" w:hAnsi="Times New Roman"/>
          <w:color w:val="0070C0"/>
          <w:sz w:val="16"/>
          <w:szCs w:val="16"/>
        </w:rPr>
        <w:softHyphen/>
        <w:t xml:space="preserve">ми (вынос тяг за задний лонжерон) и использования всех свободных объемов удалось разместить 11 бензобаков (два фюзеляжных под полом кабины пилота, шесть </w:t>
      </w:r>
      <w:r w:rsidRPr="008A2E5A">
        <w:rPr>
          <w:rFonts w:ascii="Times New Roman" w:hAnsi="Times New Roman"/>
          <w:color w:val="0070C0"/>
          <w:sz w:val="16"/>
          <w:szCs w:val="16"/>
        </w:rPr>
        <w:lastRenderedPageBreak/>
        <w:t>кры</w:t>
      </w:r>
      <w:r w:rsidRPr="008A2E5A">
        <w:rPr>
          <w:rFonts w:ascii="Times New Roman" w:hAnsi="Times New Roman"/>
          <w:color w:val="0070C0"/>
          <w:sz w:val="16"/>
          <w:szCs w:val="16"/>
        </w:rPr>
        <w:softHyphen/>
        <w:t>льевых, два размещенных в носках крыла и один фюзе</w:t>
      </w:r>
      <w:r w:rsidRPr="008A2E5A">
        <w:rPr>
          <w:rFonts w:ascii="Times New Roman" w:hAnsi="Times New Roman"/>
          <w:color w:val="0070C0"/>
          <w:sz w:val="16"/>
          <w:szCs w:val="16"/>
        </w:rPr>
        <w:softHyphen/>
        <w:t>ляжный расходный перед задним лонжероном), увели</w:t>
      </w:r>
      <w:r w:rsidRPr="008A2E5A">
        <w:rPr>
          <w:rFonts w:ascii="Times New Roman" w:hAnsi="Times New Roman"/>
          <w:color w:val="0070C0"/>
          <w:sz w:val="16"/>
          <w:szCs w:val="16"/>
        </w:rPr>
        <w:softHyphen/>
        <w:t>чив запас горючего более чем вдвое - с 414 до 925 л. Ем</w:t>
      </w:r>
      <w:r w:rsidRPr="008A2E5A">
        <w:rPr>
          <w:rFonts w:ascii="Times New Roman" w:hAnsi="Times New Roman"/>
          <w:color w:val="0070C0"/>
          <w:sz w:val="16"/>
          <w:szCs w:val="16"/>
        </w:rPr>
        <w:softHyphen/>
        <w:t>кость крыльевых баков составляла по 50, 135 и 206, но</w:t>
      </w:r>
      <w:r w:rsidRPr="008A2E5A">
        <w:rPr>
          <w:rFonts w:ascii="Times New Roman" w:hAnsi="Times New Roman"/>
          <w:color w:val="0070C0"/>
          <w:sz w:val="16"/>
          <w:szCs w:val="16"/>
        </w:rPr>
        <w:softHyphen/>
        <w:t>сковых - по 44, фюзеляжных - по 43 литра и расходного - 9 л. Все бензобаки, за исключением расходного, не про</w:t>
      </w:r>
      <w:r w:rsidRPr="008A2E5A">
        <w:rPr>
          <w:rFonts w:ascii="Times New Roman" w:hAnsi="Times New Roman"/>
          <w:color w:val="0070C0"/>
          <w:sz w:val="16"/>
          <w:szCs w:val="16"/>
        </w:rPr>
        <w:softHyphen/>
        <w:t>тежировались. Крыльевые баки изготовлялись из фибры, а все фюзеляжные - из дюралюминия. Для обеспечения равномерности выработки основные баки межбаковыми соединениями делились на четыре группы. В обеих по</w:t>
      </w:r>
      <w:r w:rsidRPr="008A2E5A">
        <w:rPr>
          <w:rFonts w:ascii="Times New Roman" w:hAnsi="Times New Roman"/>
          <w:color w:val="0070C0"/>
          <w:sz w:val="16"/>
          <w:szCs w:val="16"/>
        </w:rPr>
        <w:softHyphen/>
        <w:t>ловинах крыла одна группа состояла из двух консольных баков и бака в носке крыла, а другая - из корневого бака вместе с фюзеляжным. По расчетам, этого топлива долж</w:t>
      </w:r>
      <w:r w:rsidRPr="008A2E5A">
        <w:rPr>
          <w:rFonts w:ascii="Times New Roman" w:hAnsi="Times New Roman"/>
          <w:color w:val="0070C0"/>
          <w:sz w:val="16"/>
          <w:szCs w:val="16"/>
        </w:rPr>
        <w:softHyphen/>
        <w:t>но было хватить на 1600 км полета на режиме скоростной дальности на высоте 5000 м. Формой в плане новое крыло было аналогично крыльям опытных машин Як-5 (И-28), Як- 7М, Як-7-37, чтобы в случае необходимости разместить на консолях крыла предкрылки. Из-за отсутствия дюрале</w:t>
      </w:r>
      <w:r w:rsidRPr="008A2E5A">
        <w:rPr>
          <w:rFonts w:ascii="Times New Roman" w:hAnsi="Times New Roman"/>
          <w:color w:val="0070C0"/>
          <w:sz w:val="16"/>
          <w:szCs w:val="16"/>
        </w:rPr>
        <w:softHyphen/>
        <w:t>вых тавровых профилей нужного размера верхняя и ниж</w:t>
      </w:r>
      <w:r w:rsidRPr="008A2E5A">
        <w:rPr>
          <w:rFonts w:ascii="Times New Roman" w:hAnsi="Times New Roman"/>
          <w:color w:val="0070C0"/>
          <w:sz w:val="16"/>
          <w:szCs w:val="16"/>
        </w:rPr>
        <w:softHyphen/>
        <w:t>няя полки переднего лонжерона изготовлены из уголков, накрытых сверху и снизу дюралевыми полосами. Элемен</w:t>
      </w:r>
      <w:r w:rsidRPr="008A2E5A">
        <w:rPr>
          <w:rFonts w:ascii="Times New Roman" w:hAnsi="Times New Roman"/>
          <w:color w:val="0070C0"/>
          <w:sz w:val="16"/>
          <w:szCs w:val="16"/>
        </w:rPr>
        <w:softHyphen/>
        <w:t>ты полок соединялись между собой и со стенкой лонже</w:t>
      </w:r>
      <w:r w:rsidRPr="008A2E5A">
        <w:rPr>
          <w:rFonts w:ascii="Times New Roman" w:hAnsi="Times New Roman"/>
          <w:color w:val="0070C0"/>
          <w:sz w:val="16"/>
          <w:szCs w:val="16"/>
        </w:rPr>
        <w:softHyphen/>
        <w:t>рона при помощи клепки. Полки заднего лонжерона пред</w:t>
      </w:r>
      <w:r w:rsidRPr="008A2E5A">
        <w:rPr>
          <w:rFonts w:ascii="Times New Roman" w:hAnsi="Times New Roman"/>
          <w:color w:val="0070C0"/>
          <w:sz w:val="16"/>
          <w:szCs w:val="16"/>
        </w:rPr>
        <w:softHyphen/>
        <w:t>ставляли собой отбортованные части стенки, подкреплен</w:t>
      </w:r>
      <w:r w:rsidRPr="008A2E5A">
        <w:rPr>
          <w:rFonts w:ascii="Times New Roman" w:hAnsi="Times New Roman"/>
          <w:color w:val="0070C0"/>
          <w:sz w:val="16"/>
          <w:szCs w:val="16"/>
        </w:rPr>
        <w:softHyphen/>
        <w:t>ные с внутренней стороны угольниками. Передний и зад</w:t>
      </w:r>
      <w:r w:rsidRPr="008A2E5A">
        <w:rPr>
          <w:rFonts w:ascii="Times New Roman" w:hAnsi="Times New Roman"/>
          <w:color w:val="0070C0"/>
          <w:sz w:val="16"/>
          <w:szCs w:val="16"/>
        </w:rPr>
        <w:softHyphen/>
        <w:t>ний лонжероны скреплялись между собой шестью основ</w:t>
      </w:r>
      <w:r w:rsidRPr="008A2E5A">
        <w:rPr>
          <w:rFonts w:ascii="Times New Roman" w:hAnsi="Times New Roman"/>
          <w:color w:val="0070C0"/>
          <w:sz w:val="16"/>
          <w:szCs w:val="16"/>
        </w:rPr>
        <w:softHyphen/>
        <w:t>ными металлическими и двумя деревянными нервюрами. Остальной силовой набор крыла оставался деревянным. Для облегчения процесса изготовления, сборки и ремон</w:t>
      </w:r>
      <w:r w:rsidRPr="008A2E5A">
        <w:rPr>
          <w:rFonts w:ascii="Times New Roman" w:hAnsi="Times New Roman"/>
          <w:color w:val="0070C0"/>
          <w:sz w:val="16"/>
          <w:szCs w:val="16"/>
        </w:rPr>
        <w:softHyphen/>
        <w:t>та крыло выполнили разъемным из двух половин, соеди</w:t>
      </w:r>
      <w:r w:rsidRPr="008A2E5A">
        <w:rPr>
          <w:rFonts w:ascii="Times New Roman" w:hAnsi="Times New Roman"/>
          <w:color w:val="0070C0"/>
          <w:sz w:val="16"/>
          <w:szCs w:val="16"/>
        </w:rPr>
        <w:softHyphen/>
        <w:t>ненных стальными стыковыми узлами в плоскости сим</w:t>
      </w:r>
      <w:r w:rsidRPr="008A2E5A">
        <w:rPr>
          <w:rFonts w:ascii="Times New Roman" w:hAnsi="Times New Roman"/>
          <w:color w:val="0070C0"/>
          <w:sz w:val="16"/>
          <w:szCs w:val="16"/>
        </w:rPr>
        <w:softHyphen/>
        <w:t>метрии самолета. Несмотря на проведенную ВИАМ ра</w:t>
      </w:r>
      <w:r w:rsidRPr="008A2E5A">
        <w:rPr>
          <w:rFonts w:ascii="Times New Roman" w:hAnsi="Times New Roman"/>
          <w:color w:val="0070C0"/>
          <w:sz w:val="16"/>
          <w:szCs w:val="16"/>
        </w:rPr>
        <w:softHyphen/>
        <w:t>боту по разработке клеевых соединений древесины с ме</w:t>
      </w:r>
      <w:r w:rsidRPr="008A2E5A">
        <w:rPr>
          <w:rFonts w:ascii="Times New Roman" w:hAnsi="Times New Roman"/>
          <w:color w:val="0070C0"/>
          <w:sz w:val="16"/>
          <w:szCs w:val="16"/>
        </w:rPr>
        <w:softHyphen/>
        <w:t>таллом, удовлетворительного результата получить не уда</w:t>
      </w:r>
      <w:r w:rsidRPr="008A2E5A">
        <w:rPr>
          <w:rFonts w:ascii="Times New Roman" w:hAnsi="Times New Roman"/>
          <w:color w:val="0070C0"/>
          <w:sz w:val="16"/>
          <w:szCs w:val="16"/>
        </w:rPr>
        <w:softHyphen/>
        <w:t>лось. Поэтому к металлическим полкам лонжеронов и не</w:t>
      </w:r>
      <w:r w:rsidRPr="008A2E5A">
        <w:rPr>
          <w:rFonts w:ascii="Times New Roman" w:hAnsi="Times New Roman"/>
          <w:color w:val="0070C0"/>
          <w:sz w:val="16"/>
          <w:szCs w:val="16"/>
        </w:rPr>
        <w:softHyphen/>
        <w:t>рвюр вначале приклепывались фанерные полосы, к кото</w:t>
      </w:r>
      <w:r w:rsidRPr="008A2E5A">
        <w:rPr>
          <w:rFonts w:ascii="Times New Roman" w:hAnsi="Times New Roman"/>
          <w:color w:val="0070C0"/>
          <w:sz w:val="16"/>
          <w:szCs w:val="16"/>
        </w:rPr>
        <w:softHyphen/>
        <w:t>рым приклеивалась непосредственно сама обшивка. Сты</w:t>
      </w:r>
      <w:r w:rsidRPr="008A2E5A">
        <w:rPr>
          <w:rFonts w:ascii="Times New Roman" w:hAnsi="Times New Roman"/>
          <w:color w:val="0070C0"/>
          <w:sz w:val="16"/>
          <w:szCs w:val="16"/>
        </w:rPr>
        <w:softHyphen/>
        <w:t>ковые узлы крыла, получившего собственное наименование - «Д», выполнили таким образом, чтобы его можно было присоединить к любому фюзеляжу машин типа Як-7.</w:t>
      </w:r>
    </w:p>
    <w:p w14:paraId="2A8DAB7C" w14:textId="77777777" w:rsidR="00E139B9" w:rsidRPr="008A2E5A" w:rsidRDefault="00E139B9" w:rsidP="00E139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разведчик, самолет штатно оборудовался аэро</w:t>
      </w:r>
      <w:r w:rsidRPr="008A2E5A">
        <w:rPr>
          <w:rFonts w:ascii="Times New Roman" w:hAnsi="Times New Roman"/>
          <w:color w:val="0070C0"/>
          <w:sz w:val="16"/>
          <w:szCs w:val="16"/>
        </w:rPr>
        <w:softHyphen/>
        <w:t>фотоаппаратом АФА-Б, расположенном в задней каби</w:t>
      </w:r>
      <w:r w:rsidRPr="008A2E5A">
        <w:rPr>
          <w:rFonts w:ascii="Times New Roman" w:hAnsi="Times New Roman"/>
          <w:color w:val="0070C0"/>
          <w:sz w:val="16"/>
          <w:szCs w:val="16"/>
        </w:rPr>
        <w:softHyphen/>
        <w:t>не. (АФА-Б представлял собой фотоаппарат типа АФА- ИМ, снабженный телеобъективом Ф-3 с фокусным рас</w:t>
      </w:r>
      <w:r w:rsidRPr="008A2E5A">
        <w:rPr>
          <w:rFonts w:ascii="Times New Roman" w:hAnsi="Times New Roman"/>
          <w:color w:val="0070C0"/>
          <w:sz w:val="16"/>
          <w:szCs w:val="16"/>
        </w:rPr>
        <w:softHyphen/>
        <w:t>стоянием 400 мм и увеличенным до трех секунд време</w:t>
      </w:r>
      <w:r w:rsidRPr="008A2E5A">
        <w:rPr>
          <w:rFonts w:ascii="Times New Roman" w:hAnsi="Times New Roman"/>
          <w:color w:val="0070C0"/>
          <w:sz w:val="16"/>
          <w:szCs w:val="16"/>
        </w:rPr>
        <w:softHyphen/>
        <w:t>нем цикла съемки.) Управление затвором, обогрев, счет снимков осуществляются при помощи командного щит</w:t>
      </w:r>
      <w:r w:rsidRPr="008A2E5A">
        <w:rPr>
          <w:rFonts w:ascii="Times New Roman" w:hAnsi="Times New Roman"/>
          <w:color w:val="0070C0"/>
          <w:sz w:val="16"/>
          <w:szCs w:val="16"/>
        </w:rPr>
        <w:softHyphen/>
        <w:t>ка, установленного на правом борту над пультом в каби</w:t>
      </w:r>
      <w:r w:rsidRPr="008A2E5A">
        <w:rPr>
          <w:rFonts w:ascii="Times New Roman" w:hAnsi="Times New Roman"/>
          <w:color w:val="0070C0"/>
          <w:sz w:val="16"/>
          <w:szCs w:val="16"/>
        </w:rPr>
        <w:softHyphen/>
        <w:t>не летчика. Люк в полу фюзеляжа открывался с помощью штурвальчика выбиранием троса, закрывался - пружи</w:t>
      </w:r>
      <w:r w:rsidRPr="008A2E5A">
        <w:rPr>
          <w:rFonts w:ascii="Times New Roman" w:hAnsi="Times New Roman"/>
          <w:color w:val="0070C0"/>
          <w:sz w:val="16"/>
          <w:szCs w:val="16"/>
        </w:rPr>
        <w:softHyphen/>
        <w:t>ной. Штурвальчик управления устанавливался на левом борту под пультом. Фотоустановка позволяла сделать до 50 фотоснимков с высоты не более 8000 м. Для разме</w:t>
      </w:r>
      <w:r w:rsidRPr="008A2E5A">
        <w:rPr>
          <w:rFonts w:ascii="Times New Roman" w:hAnsi="Times New Roman"/>
          <w:color w:val="0070C0"/>
          <w:sz w:val="16"/>
          <w:szCs w:val="16"/>
        </w:rPr>
        <w:softHyphen/>
        <w:t>щения объектива АФА-Б тросы управления рулем пово</w:t>
      </w:r>
      <w:r w:rsidRPr="008A2E5A">
        <w:rPr>
          <w:rFonts w:ascii="Times New Roman" w:hAnsi="Times New Roman"/>
          <w:color w:val="0070C0"/>
          <w:sz w:val="16"/>
          <w:szCs w:val="16"/>
        </w:rPr>
        <w:softHyphen/>
        <w:t>рота со второй по четвертую раму сведены к центру вто</w:t>
      </w:r>
      <w:r w:rsidRPr="008A2E5A">
        <w:rPr>
          <w:rFonts w:ascii="Times New Roman" w:hAnsi="Times New Roman"/>
          <w:color w:val="0070C0"/>
          <w:sz w:val="16"/>
          <w:szCs w:val="16"/>
        </w:rPr>
        <w:softHyphen/>
        <w:t>рой кабины.</w:t>
      </w:r>
    </w:p>
    <w:p w14:paraId="17F883B3" w14:textId="77777777" w:rsidR="00E139B9" w:rsidRPr="008A2E5A" w:rsidRDefault="00E139B9" w:rsidP="00E139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также мог использоваться как дальний самолет свя</w:t>
      </w:r>
      <w:r w:rsidRPr="008A2E5A">
        <w:rPr>
          <w:rFonts w:ascii="Times New Roman" w:hAnsi="Times New Roman"/>
          <w:color w:val="0070C0"/>
          <w:sz w:val="16"/>
          <w:szCs w:val="16"/>
        </w:rPr>
        <w:softHyphen/>
        <w:t>зи, для чего на месте фотоаппарата могло устанавливаться лег</w:t>
      </w:r>
      <w:r w:rsidRPr="008A2E5A">
        <w:rPr>
          <w:rFonts w:ascii="Times New Roman" w:hAnsi="Times New Roman"/>
          <w:color w:val="0070C0"/>
          <w:sz w:val="16"/>
          <w:szCs w:val="16"/>
        </w:rPr>
        <w:softHyphen/>
        <w:t>косъемное сиденье для пассажира. Для за</w:t>
      </w:r>
      <w:r w:rsidRPr="008A2E5A">
        <w:rPr>
          <w:rFonts w:ascii="Times New Roman" w:hAnsi="Times New Roman"/>
          <w:color w:val="0070C0"/>
          <w:sz w:val="16"/>
          <w:szCs w:val="16"/>
        </w:rPr>
        <w:softHyphen/>
        <w:t>щиты самолета уста</w:t>
      </w:r>
      <w:r w:rsidRPr="008A2E5A">
        <w:rPr>
          <w:rFonts w:ascii="Times New Roman" w:hAnsi="Times New Roman"/>
          <w:color w:val="0070C0"/>
          <w:sz w:val="16"/>
          <w:szCs w:val="16"/>
        </w:rPr>
        <w:softHyphen/>
        <w:t>новили мотор-пуш</w:t>
      </w:r>
      <w:r w:rsidRPr="008A2E5A">
        <w:rPr>
          <w:rFonts w:ascii="Times New Roman" w:hAnsi="Times New Roman"/>
          <w:color w:val="0070C0"/>
          <w:sz w:val="16"/>
          <w:szCs w:val="16"/>
        </w:rPr>
        <w:softHyphen/>
        <w:t>ку ШBAK. Патронный ящик на 60 снарядов крепился на специаль</w:t>
      </w:r>
      <w:r w:rsidRPr="008A2E5A">
        <w:rPr>
          <w:rFonts w:ascii="Times New Roman" w:hAnsi="Times New Roman"/>
          <w:color w:val="0070C0"/>
          <w:sz w:val="16"/>
          <w:szCs w:val="16"/>
        </w:rPr>
        <w:softHyphen/>
        <w:t>ных кронштейнах (из- за отсутствия на Як-7В спецфермы под воору</w:t>
      </w:r>
      <w:r w:rsidRPr="008A2E5A">
        <w:rPr>
          <w:rFonts w:ascii="Times New Roman" w:hAnsi="Times New Roman"/>
          <w:color w:val="0070C0"/>
          <w:sz w:val="16"/>
          <w:szCs w:val="16"/>
        </w:rPr>
        <w:softHyphen/>
        <w:t>жение), идущих от син</w:t>
      </w:r>
      <w:r w:rsidRPr="008A2E5A">
        <w:rPr>
          <w:rFonts w:ascii="Times New Roman" w:hAnsi="Times New Roman"/>
          <w:color w:val="0070C0"/>
          <w:sz w:val="16"/>
          <w:szCs w:val="16"/>
        </w:rPr>
        <w:softHyphen/>
        <w:t>хронизаторов мотора. Звенья собирались в специальный брезен</w:t>
      </w:r>
      <w:r w:rsidRPr="008A2E5A">
        <w:rPr>
          <w:rFonts w:ascii="Times New Roman" w:hAnsi="Times New Roman"/>
          <w:color w:val="0070C0"/>
          <w:sz w:val="16"/>
          <w:szCs w:val="16"/>
        </w:rPr>
        <w:softHyphen/>
        <w:t>товый мешок справа от пушки (опоражни</w:t>
      </w:r>
      <w:r w:rsidRPr="008A2E5A">
        <w:rPr>
          <w:rFonts w:ascii="Times New Roman" w:hAnsi="Times New Roman"/>
          <w:color w:val="0070C0"/>
          <w:sz w:val="16"/>
          <w:szCs w:val="16"/>
        </w:rPr>
        <w:softHyphen/>
        <w:t>вался при снятой верх</w:t>
      </w:r>
      <w:r w:rsidRPr="008A2E5A">
        <w:rPr>
          <w:rFonts w:ascii="Times New Roman" w:hAnsi="Times New Roman"/>
          <w:color w:val="0070C0"/>
          <w:sz w:val="16"/>
          <w:szCs w:val="16"/>
        </w:rPr>
        <w:softHyphen/>
        <w:t>ней крышке капота), а гильзы отводились в стандартный для Як-7Б гильзосборник под полом кабины пилота. Пулеметного вооружения самолет не нес.</w:t>
      </w:r>
    </w:p>
    <w:p w14:paraId="33E120BA" w14:textId="77777777" w:rsidR="00E139B9" w:rsidRPr="008A2E5A" w:rsidRDefault="00E139B9" w:rsidP="00E139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Этой машине было суждено разделить судьбу тех нем</w:t>
      </w:r>
      <w:r w:rsidRPr="008A2E5A">
        <w:rPr>
          <w:rFonts w:ascii="Times New Roman" w:hAnsi="Times New Roman"/>
          <w:color w:val="0070C0"/>
          <w:sz w:val="16"/>
          <w:szCs w:val="16"/>
        </w:rPr>
        <w:softHyphen/>
        <w:t>ногих самолетов ОКБ, которые никогда не поднялись в воздух. А.Т. Степанец в своей книге пишет о проведен</w:t>
      </w:r>
      <w:r w:rsidRPr="008A2E5A">
        <w:rPr>
          <w:rFonts w:ascii="Times New Roman" w:hAnsi="Times New Roman"/>
          <w:color w:val="0070C0"/>
          <w:sz w:val="16"/>
          <w:szCs w:val="16"/>
        </w:rPr>
        <w:softHyphen/>
        <w:t>ных на Як-7Д испытательных полетах, однако, согласно дневнику испытаний, в варианте разведчика машина не летала. 16 июня 1942 г. в процессе заводских наземных испытаний, во время которых в основном определялись эксплуатационные характеристики бензосистемы (вре</w:t>
      </w:r>
      <w:r w:rsidRPr="008A2E5A">
        <w:rPr>
          <w:rFonts w:ascii="Times New Roman" w:hAnsi="Times New Roman"/>
          <w:color w:val="0070C0"/>
          <w:sz w:val="16"/>
          <w:szCs w:val="16"/>
        </w:rPr>
        <w:softHyphen/>
        <w:t>мя полной и частичной заправки, время слива топлива, герметичность и другие параметры) и проводилось взве</w:t>
      </w:r>
      <w:r w:rsidRPr="008A2E5A">
        <w:rPr>
          <w:rFonts w:ascii="Times New Roman" w:hAnsi="Times New Roman"/>
          <w:color w:val="0070C0"/>
          <w:sz w:val="16"/>
          <w:szCs w:val="16"/>
        </w:rPr>
        <w:softHyphen/>
        <w:t>шивание, поступило указание главного конструктора А.С. Яковлева о переделке данной модификации самоле</w:t>
      </w:r>
      <w:r w:rsidRPr="008A2E5A">
        <w:rPr>
          <w:rFonts w:ascii="Times New Roman" w:hAnsi="Times New Roman"/>
          <w:color w:val="0070C0"/>
          <w:sz w:val="16"/>
          <w:szCs w:val="16"/>
        </w:rPr>
        <w:softHyphen/>
        <w:t>та Як-7 из дальнего разведчика в дальний истребитель с запасом топлива 600 кг и вооружением - мотор-пушка ШВАК и один пулемет УБС. Опытную машину перевезли из ангара на аэродроме обратно в цех, где ее расстыко</w:t>
      </w:r>
      <w:r w:rsidRPr="008A2E5A">
        <w:rPr>
          <w:rFonts w:ascii="Times New Roman" w:hAnsi="Times New Roman"/>
          <w:color w:val="0070C0"/>
          <w:sz w:val="16"/>
          <w:szCs w:val="16"/>
        </w:rPr>
        <w:softHyphen/>
        <w:t>вали для установки крыла на другую машину (23381).</w:t>
      </w:r>
    </w:p>
    <w:p w14:paraId="5EB149F9" w14:textId="77777777" w:rsidR="00E139B9" w:rsidRPr="008A2E5A" w:rsidRDefault="00E139B9" w:rsidP="00E139B9">
      <w:pPr>
        <w:spacing w:after="0" w:line="240" w:lineRule="auto"/>
        <w:jc w:val="both"/>
        <w:rPr>
          <w:rFonts w:ascii="Times New Roman" w:hAnsi="Times New Roman"/>
          <w:color w:val="0070C0"/>
          <w:sz w:val="16"/>
          <w:szCs w:val="16"/>
        </w:rPr>
      </w:pPr>
    </w:p>
    <w:p w14:paraId="5DB8E1F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вышел приказ НКАП N 417сс:</w:t>
      </w:r>
    </w:p>
    <w:p w14:paraId="18C2E8A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обеспечения развертывания серийного производства и выпуска самолетов ЛаГГ-5 с мотором М-82 на заводах 21 и 31:</w:t>
      </w:r>
    </w:p>
    <w:p w14:paraId="0865040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И.о. нач. ПГУ Шиц и ГК С.А.Л. и директору завода 21 Гостинцеву...(1559,66).</w:t>
      </w:r>
    </w:p>
    <w:p w14:paraId="265919F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DF591F" w14:textId="426B8DE7" w:rsidR="005E42EC" w:rsidRPr="008A2E5A" w:rsidRDefault="005E42EC" w:rsidP="005E42E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ию</w:t>
      </w:r>
      <w:r>
        <w:rPr>
          <w:rFonts w:ascii="Times New Roman" w:hAnsi="Times New Roman"/>
          <w:color w:val="0070C0"/>
          <w:sz w:val="16"/>
          <w:szCs w:val="16"/>
        </w:rPr>
        <w:t>н</w:t>
      </w:r>
      <w:r w:rsidRPr="008A2E5A">
        <w:rPr>
          <w:rFonts w:ascii="Times New Roman" w:hAnsi="Times New Roman"/>
          <w:color w:val="0070C0"/>
          <w:sz w:val="16"/>
          <w:szCs w:val="16"/>
        </w:rPr>
        <w:t>я 1942 года военпреды приняли первый серийный истребитель ЛаГ-5 (как его обозначили в рукописном техническом описании ЭРО горьков</w:t>
      </w:r>
      <w:r w:rsidRPr="008A2E5A">
        <w:rPr>
          <w:rFonts w:ascii="Times New Roman" w:hAnsi="Times New Roman"/>
          <w:color w:val="0070C0"/>
          <w:sz w:val="16"/>
          <w:szCs w:val="16"/>
        </w:rPr>
        <w:softHyphen/>
        <w:t>ского авиазавода № 21), а уже 12 числа того же месяца был потерян первый «Лавочкин», правда, пока еще не в бою. По злой иронии судьбы в районе заводского аэродрома потерпел катастрофу тот самый «нулевой Ла-5» - самолет с заводским № 372100-00. Погиб летчик перего</w:t>
      </w:r>
      <w:r w:rsidRPr="008A2E5A">
        <w:rPr>
          <w:rFonts w:ascii="Times New Roman" w:hAnsi="Times New Roman"/>
          <w:color w:val="0070C0"/>
          <w:sz w:val="16"/>
          <w:szCs w:val="16"/>
        </w:rPr>
        <w:softHyphen/>
        <w:t>ночной эскадрильи лейтенант Третьяков. Тем не менее, серийное производство новых истребителей наби</w:t>
      </w:r>
      <w:r w:rsidRPr="008A2E5A">
        <w:rPr>
          <w:rFonts w:ascii="Times New Roman" w:hAnsi="Times New Roman"/>
          <w:color w:val="0070C0"/>
          <w:sz w:val="16"/>
          <w:szCs w:val="16"/>
        </w:rPr>
        <w:softHyphen/>
        <w:t>рало обороты. В июле было выпущено 37 машин. Этого количества самолетов с лихвой хватило для уком</w:t>
      </w:r>
      <w:r w:rsidRPr="008A2E5A">
        <w:rPr>
          <w:rFonts w:ascii="Times New Roman" w:hAnsi="Times New Roman"/>
          <w:color w:val="0070C0"/>
          <w:sz w:val="16"/>
          <w:szCs w:val="16"/>
        </w:rPr>
        <w:softHyphen/>
        <w:t>плектования 49 Краснознаменного ИАП, вскоре отправленного на Западный фронт, однако пунктом назначения основной массы истребителей «Лавочкина» первых серий стал Сталинград. Участь этих машин и их пилотов оказалась весьма трагичной, чем-то схожей с судьбой спартанских героев битвы у Фермопил, отгремевшей более двух с половиной тысяч лет тому назад (23587).</w:t>
      </w:r>
    </w:p>
    <w:p w14:paraId="7F6AE69B" w14:textId="77777777" w:rsidR="005E42EC" w:rsidRPr="008A2E5A" w:rsidRDefault="005E42EC" w:rsidP="005E42EC">
      <w:pPr>
        <w:spacing w:after="0" w:line="240" w:lineRule="auto"/>
        <w:jc w:val="both"/>
        <w:rPr>
          <w:rFonts w:ascii="Times New Roman" w:hAnsi="Times New Roman"/>
          <w:color w:val="0070C0"/>
          <w:sz w:val="16"/>
          <w:szCs w:val="16"/>
        </w:rPr>
      </w:pPr>
    </w:p>
    <w:p w14:paraId="4346489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 июня</w:t>
      </w:r>
      <w:r w:rsidRPr="008127F8">
        <w:rPr>
          <w:rFonts w:ascii="Times New Roman" w:hAnsi="Times New Roman"/>
          <w:color w:val="000000" w:themeColor="text1"/>
          <w:sz w:val="16"/>
          <w:szCs w:val="16"/>
        </w:rPr>
        <w:t xml:space="preserve"> в 1942 году приказ НКАП о выпуске «ЛаГГ-5» (так первоначально называли </w:t>
      </w:r>
      <w:hyperlink r:id="rId66" w:tgtFrame="_blank" w:history="1">
        <w:r w:rsidRPr="008127F8">
          <w:rPr>
            <w:rFonts w:ascii="Times New Roman" w:hAnsi="Times New Roman"/>
            <w:color w:val="000000" w:themeColor="text1"/>
            <w:sz w:val="16"/>
            <w:szCs w:val="16"/>
          </w:rPr>
          <w:t xml:space="preserve">«ЛаГГ-3» </w:t>
        </w:r>
      </w:hyperlink>
      <w:r w:rsidRPr="008127F8">
        <w:rPr>
          <w:rFonts w:ascii="Times New Roman" w:hAnsi="Times New Roman"/>
          <w:color w:val="000000" w:themeColor="text1"/>
          <w:sz w:val="16"/>
          <w:szCs w:val="16"/>
        </w:rPr>
        <w:t>с мотором «М-82») на заводах № 21 и № 31.Мотор «М-82» пытались устанавливать также на истребители «МиГ-3», «Як-7», на штурмовик «Ил-2» и бомбардировщик «Пе-2». Но удачно заменить мотор с V-образным расположением цилиндров на звездообразный удалось лишь С.А.Лавочкину (14911).</w:t>
      </w:r>
    </w:p>
    <w:p w14:paraId="7A5B883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486A5FD"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3 июня 1942 г. начальник 8-го (моторного) главка НКАП Поликовский потребовал от завода №29 прекратить работы по М-90 и заменить отправленный заводу №51 отправленный и оплаченный М-90 (одна штука) на двигатель другого типа без дополнительных денежных вознаграждений (17735).</w:t>
      </w:r>
    </w:p>
    <w:p w14:paraId="5C9AB14D"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3590C15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3 июня по 11 июня 1942 на заводе 19 были проведены 50 часовые испытания М-82 с увеличенным количеством часов работы на взлетном режиме. Проработал 61 час на износ на взлетном режиме. Заключение: Разрешить пользоваться режимом 5 минут и в особых случаях 10 мин. В пределах ресурса взлетного режима (737,9).</w:t>
      </w:r>
    </w:p>
    <w:p w14:paraId="0D5730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F25A0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3 по 11 июня 1942 года было про</w:t>
      </w:r>
      <w:r w:rsidRPr="008127F8">
        <w:rPr>
          <w:rFonts w:ascii="Times New Roman" w:hAnsi="Times New Roman"/>
          <w:color w:val="000000" w:themeColor="text1"/>
          <w:sz w:val="16"/>
          <w:szCs w:val="16"/>
        </w:rPr>
        <w:softHyphen/>
        <w:t>ведено 50-часовое испытание мото</w:t>
      </w:r>
      <w:r w:rsidRPr="008127F8">
        <w:rPr>
          <w:rFonts w:ascii="Times New Roman" w:hAnsi="Times New Roman"/>
          <w:color w:val="000000" w:themeColor="text1"/>
          <w:sz w:val="16"/>
          <w:szCs w:val="16"/>
        </w:rPr>
        <w:softHyphen/>
        <w:t>ра М-82 з-да № 19 на станке по проверке надежнос</w:t>
      </w:r>
      <w:r w:rsidRPr="008127F8">
        <w:rPr>
          <w:rFonts w:ascii="Times New Roman" w:hAnsi="Times New Roman"/>
          <w:color w:val="000000" w:themeColor="text1"/>
          <w:sz w:val="16"/>
          <w:szCs w:val="16"/>
        </w:rPr>
        <w:softHyphen/>
        <w:t>ти работы с увеличенным временем режима взлета (форсажа). Результа</w:t>
      </w:r>
      <w:r w:rsidRPr="008127F8">
        <w:rPr>
          <w:rFonts w:ascii="Times New Roman" w:hAnsi="Times New Roman"/>
          <w:color w:val="000000" w:themeColor="text1"/>
          <w:sz w:val="16"/>
          <w:szCs w:val="16"/>
        </w:rPr>
        <w:softHyphen/>
        <w:t>ты оказались удовлетворительные, и завод №19 выпустил бюллетень, в котором разрешил пользоваться взлетным режимом на 1-й скорости нагнетателя в полете этапами по 5, а в исключительных случаях — до 10 минут в пределах общей продолжи</w:t>
      </w:r>
      <w:r w:rsidRPr="008127F8">
        <w:rPr>
          <w:rFonts w:ascii="Times New Roman" w:hAnsi="Times New Roman"/>
          <w:color w:val="000000" w:themeColor="text1"/>
          <w:sz w:val="16"/>
          <w:szCs w:val="16"/>
        </w:rPr>
        <w:softHyphen/>
        <w:t>тельности работы на этом режиме до первой переборки 6 часов. Это было очень важно для истребителя, посколь</w:t>
      </w:r>
      <w:r w:rsidRPr="008127F8">
        <w:rPr>
          <w:rFonts w:ascii="Times New Roman" w:hAnsi="Times New Roman"/>
          <w:color w:val="000000" w:themeColor="text1"/>
          <w:sz w:val="16"/>
          <w:szCs w:val="16"/>
        </w:rPr>
        <w:softHyphen/>
        <w:t>ку форсаж давал прирост скорости до 40 км/ч. Кроме этого, в конструкцию мото</w:t>
      </w:r>
      <w:r w:rsidRPr="008127F8">
        <w:rPr>
          <w:rFonts w:ascii="Times New Roman" w:hAnsi="Times New Roman"/>
          <w:color w:val="000000" w:themeColor="text1"/>
          <w:sz w:val="16"/>
          <w:szCs w:val="16"/>
        </w:rPr>
        <w:softHyphen/>
        <w:t>ра вместо электроинерционного стар</w:t>
      </w:r>
      <w:r w:rsidRPr="008127F8">
        <w:rPr>
          <w:rFonts w:ascii="Times New Roman" w:hAnsi="Times New Roman"/>
          <w:color w:val="000000" w:themeColor="text1"/>
          <w:sz w:val="16"/>
          <w:szCs w:val="16"/>
        </w:rPr>
        <w:softHyphen/>
        <w:t>тера (так называемый эклипс) был вве</w:t>
      </w:r>
      <w:r w:rsidRPr="008127F8">
        <w:rPr>
          <w:rFonts w:ascii="Times New Roman" w:hAnsi="Times New Roman"/>
          <w:color w:val="000000" w:themeColor="text1"/>
          <w:sz w:val="16"/>
          <w:szCs w:val="16"/>
        </w:rPr>
        <w:softHyphen/>
        <w:t>ден воздушный самопуск, что упрос</w:t>
      </w:r>
      <w:r w:rsidRPr="008127F8">
        <w:rPr>
          <w:rFonts w:ascii="Times New Roman" w:hAnsi="Times New Roman"/>
          <w:color w:val="000000" w:themeColor="text1"/>
          <w:sz w:val="16"/>
          <w:szCs w:val="16"/>
        </w:rPr>
        <w:softHyphen/>
        <w:t>тило и облегчило мотор примерно на 40 кг, но потребовало увеличения за</w:t>
      </w:r>
      <w:r w:rsidRPr="008127F8">
        <w:rPr>
          <w:rFonts w:ascii="Times New Roman" w:hAnsi="Times New Roman"/>
          <w:color w:val="000000" w:themeColor="text1"/>
          <w:sz w:val="16"/>
          <w:szCs w:val="16"/>
        </w:rPr>
        <w:softHyphen/>
        <w:t>паса сжатого воздуха на борту для обеспечения запуска. Ранее выпущен</w:t>
      </w:r>
      <w:r w:rsidRPr="008127F8">
        <w:rPr>
          <w:rFonts w:ascii="Times New Roman" w:hAnsi="Times New Roman"/>
          <w:color w:val="000000" w:themeColor="text1"/>
          <w:sz w:val="16"/>
          <w:szCs w:val="16"/>
        </w:rPr>
        <w:softHyphen/>
        <w:t>ные моторы 1-й серии с эклипсами стали постепенно переделываться под воздушный самопуск. В таком виде М-82 пошел в се</w:t>
      </w:r>
      <w:r w:rsidRPr="008127F8">
        <w:rPr>
          <w:rFonts w:ascii="Times New Roman" w:hAnsi="Times New Roman"/>
          <w:color w:val="000000" w:themeColor="text1"/>
          <w:sz w:val="16"/>
          <w:szCs w:val="16"/>
        </w:rPr>
        <w:softHyphen/>
        <w:t>рию на ЛаГГ-5 завода №21. Отме</w:t>
      </w:r>
      <w:r w:rsidRPr="008127F8">
        <w:rPr>
          <w:rFonts w:ascii="Times New Roman" w:hAnsi="Times New Roman"/>
          <w:color w:val="000000" w:themeColor="text1"/>
          <w:sz w:val="16"/>
          <w:szCs w:val="16"/>
        </w:rPr>
        <w:softHyphen/>
        <w:t>тим, что в это же время в Тбилиси на заводе №31 также была проведена подготовка производства для выпуска ЛаГГ-5, и в июле 1942 года началась его серийная постройка. На завод №31 были доставлены моторы М-82 первых серий с эклипсами, в резуль</w:t>
      </w:r>
      <w:r w:rsidRPr="008127F8">
        <w:rPr>
          <w:rFonts w:ascii="Times New Roman" w:hAnsi="Times New Roman"/>
          <w:color w:val="000000" w:themeColor="text1"/>
          <w:sz w:val="16"/>
          <w:szCs w:val="16"/>
        </w:rPr>
        <w:softHyphen/>
        <w:t>тате самолеты производства завода №31 имели некоторые отличия в конструкции ВМГ, да и других агрега</w:t>
      </w:r>
      <w:r w:rsidRPr="008127F8">
        <w:rPr>
          <w:rFonts w:ascii="Times New Roman" w:hAnsi="Times New Roman"/>
          <w:color w:val="000000" w:themeColor="text1"/>
          <w:sz w:val="16"/>
          <w:szCs w:val="16"/>
        </w:rPr>
        <w:softHyphen/>
        <w:t>тов. Но в августе 1942 года ГКО при</w:t>
      </w:r>
      <w:r w:rsidRPr="008127F8">
        <w:rPr>
          <w:rFonts w:ascii="Times New Roman" w:hAnsi="Times New Roman"/>
          <w:color w:val="000000" w:themeColor="text1"/>
          <w:sz w:val="16"/>
          <w:szCs w:val="16"/>
        </w:rPr>
        <w:softHyphen/>
        <w:t>нял решение оставить в производ</w:t>
      </w:r>
      <w:r w:rsidRPr="008127F8">
        <w:rPr>
          <w:rFonts w:ascii="Times New Roman" w:hAnsi="Times New Roman"/>
          <w:color w:val="000000" w:themeColor="text1"/>
          <w:sz w:val="16"/>
          <w:szCs w:val="16"/>
        </w:rPr>
        <w:softHyphen/>
        <w:t>стве на заводе №31 только самолет ЛаГГ-3, поэтому выпуск ЛаГГ-5 на нем быстро свернули. Взамен 31-го заво</w:t>
      </w:r>
      <w:r w:rsidRPr="008127F8">
        <w:rPr>
          <w:rFonts w:ascii="Times New Roman" w:hAnsi="Times New Roman"/>
          <w:color w:val="000000" w:themeColor="text1"/>
          <w:sz w:val="16"/>
          <w:szCs w:val="16"/>
        </w:rPr>
        <w:softHyphen/>
        <w:t>да в том же августе к выпуску Ла-5 был подключен завод №99 в Улан-Удэ, а в октябре 1942 года - завод №381 в Нижнем Тагиле, в 1943 году переведенный в Москву (10699).</w:t>
      </w:r>
    </w:p>
    <w:p w14:paraId="40746C7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72450F"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С 3 по 11 июня 1942 г. на заводе № 19 провели 50-часовое испы</w:t>
      </w:r>
      <w:r w:rsidRPr="008127F8">
        <w:rPr>
          <w:rFonts w:ascii="Times New Roman" w:cs="Times New Roman"/>
          <w:color w:val="000000" w:themeColor="text1"/>
          <w:spacing w:val="0"/>
        </w:rPr>
        <w:softHyphen/>
        <w:t>тание мотора М-82 на станке по проверке надежности работы с увеличенным временем ре</w:t>
      </w:r>
      <w:r w:rsidRPr="008127F8">
        <w:rPr>
          <w:rFonts w:ascii="Times New Roman" w:cs="Times New Roman"/>
          <w:color w:val="000000" w:themeColor="text1"/>
          <w:spacing w:val="0"/>
        </w:rPr>
        <w:softHyphen/>
        <w:t>жима взлёта (форсажа). Результаты оказались удовлетворительные, и завод № 19 выпус</w:t>
      </w:r>
      <w:r w:rsidRPr="008127F8">
        <w:rPr>
          <w:rFonts w:ascii="Times New Roman" w:cs="Times New Roman"/>
          <w:color w:val="000000" w:themeColor="text1"/>
          <w:spacing w:val="0"/>
        </w:rPr>
        <w:softHyphen/>
        <w:t>тил бюллетень, разрешая пользоваться взлётным режимом на 1-й скорости нагнетате</w:t>
      </w:r>
      <w:r w:rsidRPr="008127F8">
        <w:rPr>
          <w:rFonts w:ascii="Times New Roman" w:cs="Times New Roman"/>
          <w:color w:val="000000" w:themeColor="text1"/>
          <w:spacing w:val="0"/>
        </w:rPr>
        <w:softHyphen/>
        <w:t>ля в полёте этапами по 5, а в исключительных случаях — до 10 минут в пределах общей продолжительности работы на этом режиме до первой переборки 6 часов. Это было очень важно для истребителя, поскольку форсаж давал прирост скорости до 40 км/ч.</w:t>
      </w:r>
    </w:p>
    <w:p w14:paraId="33D027E4"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Кроме этого, в конструкцию мотора вместо электроинерционного стартера (так назы</w:t>
      </w:r>
      <w:r w:rsidRPr="008127F8">
        <w:rPr>
          <w:rFonts w:ascii="Times New Roman" w:cs="Times New Roman"/>
          <w:color w:val="000000" w:themeColor="text1"/>
          <w:spacing w:val="0"/>
        </w:rPr>
        <w:softHyphen/>
        <w:t>ваемый эклипс) ввели воздушный самопуск, что упростило и облегчило мотор пример</w:t>
      </w:r>
      <w:r w:rsidRPr="008127F8">
        <w:rPr>
          <w:rFonts w:ascii="Times New Roman" w:cs="Times New Roman"/>
          <w:color w:val="000000" w:themeColor="text1"/>
          <w:spacing w:val="0"/>
        </w:rPr>
        <w:softHyphen/>
        <w:t>но на 40 кг, но потребовало увеличения запаса сжатого воздуха на борту для обеспе</w:t>
      </w:r>
      <w:r w:rsidRPr="008127F8">
        <w:rPr>
          <w:rFonts w:ascii="Times New Roman" w:cs="Times New Roman"/>
          <w:color w:val="000000" w:themeColor="text1"/>
          <w:spacing w:val="0"/>
        </w:rPr>
        <w:softHyphen/>
        <w:t>чения запуска. Ранее выпущенные моторы 1-й серии с экпипсами стали постепенно переделывать под воздушный самопуск.</w:t>
      </w:r>
    </w:p>
    <w:p w14:paraId="53972EB1"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таком виде М-82 пошёл в серию на ЛаГГ-5 завода № 21. Отметим, что в это же вре</w:t>
      </w:r>
      <w:r w:rsidRPr="008127F8">
        <w:rPr>
          <w:rFonts w:ascii="Times New Roman" w:cs="Times New Roman"/>
          <w:color w:val="000000" w:themeColor="text1"/>
          <w:spacing w:val="0"/>
        </w:rPr>
        <w:softHyphen/>
        <w:t>мя в Тбилиси на заводе № 31 также провели подготовку производства для выпуска ЛаГГ-5, и в июле 1942 г. началась его серийная постройка. На завод № 31 доставили моторы М-82 первых серий с экпипсами, в результате самолёты производства завода № 31 имели некоторые отличия в конструкции ВМГ, да и других агрегатов. Но в августе 1942 г. ГКО принял решение оставить в производстве на заводе № 31 только самолёт ЛаГГ-3, поэтому выпуск ЛаГГ-5 на нём быстро свернули. Взамен 31-го завода в том же августе к выпуску Ла-5 подключили завод № 99 в Улан-Удэ, а в октябре 1942 г. — за</w:t>
      </w:r>
      <w:r w:rsidRPr="008127F8">
        <w:rPr>
          <w:rFonts w:ascii="Times New Roman" w:cs="Times New Roman"/>
          <w:color w:val="000000" w:themeColor="text1"/>
          <w:spacing w:val="0"/>
        </w:rPr>
        <w:softHyphen/>
        <w:t>вод № 381 в Нижнем Тагиле, в 1943 г. переведенный в Москву (15813).</w:t>
      </w:r>
    </w:p>
    <w:p w14:paraId="69E72679"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p>
    <w:p w14:paraId="63BBD8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самозваный профессор Г.Торчинский в письме А.И.Ш. критиковал заключение ЦАГИ по его предложению ракеты на водороде (1684,157). Заключение ЦАГИ на имя Секретаря Алтайского Крайкома ВКП(б) было подписано Христиановичем, Абрамовичем и Остославским (1684,153). Предложение проф. Торчинского было т. подписано преп. МВТУ им. Менжинского С.Жидовецким и лаборантом М.Жидовецким (1684,154).</w:t>
      </w:r>
    </w:p>
    <w:p w14:paraId="386FAF4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A5168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г. начальник 8-го главного (мо</w:t>
      </w:r>
      <w:r w:rsidRPr="008127F8">
        <w:rPr>
          <w:rFonts w:ascii="Times New Roman" w:hAnsi="Times New Roman"/>
          <w:color w:val="000000" w:themeColor="text1"/>
          <w:sz w:val="16"/>
          <w:szCs w:val="16"/>
        </w:rPr>
        <w:softHyphen/>
        <w:t>торного) управления НКАП В.Поликовский отписал директору завода № 29 Борисову и главному конструк</w:t>
      </w:r>
      <w:r w:rsidRPr="008127F8">
        <w:rPr>
          <w:rFonts w:ascii="Times New Roman" w:hAnsi="Times New Roman"/>
          <w:color w:val="000000" w:themeColor="text1"/>
          <w:sz w:val="16"/>
          <w:szCs w:val="16"/>
        </w:rPr>
        <w:softHyphen/>
        <w:t>тору Урмину:</w:t>
      </w:r>
    </w:p>
    <w:p w14:paraId="6B5D448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«Выданный Вами заводу № 51 мотор М-90 для лет</w:t>
      </w:r>
      <w:r w:rsidRPr="008127F8">
        <w:rPr>
          <w:rFonts w:ascii="Times New Roman" w:hAnsi="Times New Roman"/>
          <w:color w:val="000000" w:themeColor="text1"/>
          <w:sz w:val="16"/>
          <w:szCs w:val="16"/>
        </w:rPr>
        <w:softHyphen/>
        <w:t>ных испытаний на самолете И-185 резко отличается по конструкции и мощности от последнего образца дове</w:t>
      </w:r>
      <w:r w:rsidRPr="008127F8">
        <w:rPr>
          <w:rFonts w:ascii="Times New Roman" w:hAnsi="Times New Roman"/>
          <w:color w:val="000000" w:themeColor="text1"/>
          <w:sz w:val="16"/>
          <w:szCs w:val="16"/>
        </w:rPr>
        <w:softHyphen/>
        <w:t>денного мотора М-90.</w:t>
      </w:r>
    </w:p>
    <w:p w14:paraId="741ADDE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Проведение летных испытаний самолета И-185 со старым типом мотора нецелесообразно.</w:t>
      </w:r>
    </w:p>
    <w:p w14:paraId="45C1136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этим предлагаю заменить конструк</w:t>
      </w:r>
      <w:r w:rsidRPr="008127F8">
        <w:rPr>
          <w:rFonts w:ascii="Times New Roman" w:hAnsi="Times New Roman"/>
          <w:color w:val="000000" w:themeColor="text1"/>
          <w:sz w:val="16"/>
          <w:szCs w:val="16"/>
        </w:rPr>
        <w:softHyphen/>
        <w:t>тору Поликарпову мотор М-90 на новый тип без допол</w:t>
      </w:r>
      <w:r w:rsidRPr="008127F8">
        <w:rPr>
          <w:rFonts w:ascii="Times New Roman" w:hAnsi="Times New Roman"/>
          <w:color w:val="000000" w:themeColor="text1"/>
          <w:sz w:val="16"/>
          <w:szCs w:val="16"/>
        </w:rPr>
        <w:softHyphen/>
        <w:t>нительных денежных вознаграждений».</w:t>
      </w:r>
    </w:p>
    <w:p w14:paraId="1B135BA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подобные воззвания на темпы доводки М-90 повлиять никак не могли.</w:t>
      </w:r>
    </w:p>
    <w:p w14:paraId="50B0A0D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же наземные испытания И-185 с М-90 опять во</w:t>
      </w:r>
      <w:r w:rsidRPr="008127F8">
        <w:rPr>
          <w:rFonts w:ascii="Times New Roman" w:hAnsi="Times New Roman"/>
          <w:color w:val="000000" w:themeColor="text1"/>
          <w:sz w:val="16"/>
          <w:szCs w:val="16"/>
        </w:rPr>
        <w:softHyphen/>
        <w:t>зобновились. По воспоминаниям ветеранов ОКБ Н.Н.Поликарпова, во время одной из пробежек летчик поднял самолет в воздух и сделал на нем круг над аэро</w:t>
      </w:r>
      <w:r w:rsidRPr="008127F8">
        <w:rPr>
          <w:rFonts w:ascii="Times New Roman" w:hAnsi="Times New Roman"/>
          <w:color w:val="000000" w:themeColor="text1"/>
          <w:sz w:val="16"/>
          <w:szCs w:val="16"/>
        </w:rPr>
        <w:softHyphen/>
        <w:t>дромом. Естественно, об этом никому не сообщалось, так как за полет с фактически некондиционным мотором от руководства НКАП мог последовать сильный на</w:t>
      </w:r>
      <w:r w:rsidRPr="008127F8">
        <w:rPr>
          <w:rFonts w:ascii="Times New Roman" w:hAnsi="Times New Roman"/>
          <w:color w:val="000000" w:themeColor="text1"/>
          <w:sz w:val="16"/>
          <w:szCs w:val="16"/>
        </w:rPr>
        <w:softHyphen/>
        <w:t>гоняй (10667). Испытания И-185 с М-71 и М-82А начали проводить форсированными темпами. Они показали, что с мото</w:t>
      </w:r>
      <w:r w:rsidRPr="008127F8">
        <w:rPr>
          <w:rFonts w:ascii="Times New Roman" w:hAnsi="Times New Roman"/>
          <w:color w:val="000000" w:themeColor="text1"/>
          <w:sz w:val="16"/>
          <w:szCs w:val="16"/>
        </w:rPr>
        <w:softHyphen/>
        <w:t>ром М-82А самолет смог полностью реализовать зало</w:t>
      </w:r>
      <w:r w:rsidRPr="008127F8">
        <w:rPr>
          <w:rFonts w:ascii="Times New Roman" w:hAnsi="Times New Roman"/>
          <w:color w:val="000000" w:themeColor="text1"/>
          <w:sz w:val="16"/>
          <w:szCs w:val="16"/>
        </w:rPr>
        <w:softHyphen/>
        <w:t>женные в нем возможности. При взлетном весе 3448 кг (пустой вес 2429 кг) он развивал у земли скорость 515 км/ч (549 км/ч на форсаже), на высоте 3430 м (первая граница высотности) - 590 км/ч, на высоте 6470 м (вто</w:t>
      </w:r>
      <w:r w:rsidRPr="008127F8">
        <w:rPr>
          <w:rFonts w:ascii="Times New Roman" w:hAnsi="Times New Roman"/>
          <w:color w:val="000000" w:themeColor="text1"/>
          <w:sz w:val="16"/>
          <w:szCs w:val="16"/>
        </w:rPr>
        <w:softHyphen/>
        <w:t>рая граница высотности) - 615 км/ч. Высоту 5000 м на форсаже И-185 набирал за 5,48 мин, время выполнения виража на высоте 1000 м составляло 22 секунды. За бое</w:t>
      </w:r>
      <w:r w:rsidRPr="008127F8">
        <w:rPr>
          <w:rFonts w:ascii="Times New Roman" w:hAnsi="Times New Roman"/>
          <w:color w:val="000000" w:themeColor="text1"/>
          <w:sz w:val="16"/>
          <w:szCs w:val="16"/>
        </w:rPr>
        <w:softHyphen/>
        <w:t>вой разворот самолет мог набрать 1500 м высоты. Указанные характеристики получены с мо</w:t>
      </w:r>
      <w:r w:rsidRPr="008127F8">
        <w:rPr>
          <w:rFonts w:ascii="Times New Roman" w:hAnsi="Times New Roman"/>
          <w:color w:val="000000" w:themeColor="text1"/>
          <w:sz w:val="16"/>
          <w:szCs w:val="16"/>
        </w:rPr>
        <w:softHyphen/>
        <w:t>тором, не добирающим мощности (10667).</w:t>
      </w:r>
    </w:p>
    <w:p w14:paraId="23180DC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D5A7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письмо Люлька и Вольпера И.В.С. было зарегистрировано в секретариате НКАП. Шахурин, в свою очередь, направил письмо начальнику ЦИАМ В.И. Поликовскому с резолюцией: "Доложите, что нужно сделать". Круг замкнулся (9016).</w:t>
      </w:r>
    </w:p>
    <w:p w14:paraId="5B7A09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BB785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в секретариате НКАП было зарегистрировано письмо Люлька и Вольпера в адрес Председателя ГКО СССР И.В.Сталина от 18 мая 1942:</w:t>
      </w:r>
    </w:p>
    <w:p w14:paraId="7A03A7C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«Мы знаем, чем вызвана такая мед</w:t>
      </w:r>
      <w:r w:rsidRPr="008127F8">
        <w:rPr>
          <w:rFonts w:ascii="Times New Roman" w:hAnsi="Times New Roman"/>
          <w:color w:val="000000" w:themeColor="text1"/>
          <w:sz w:val="16"/>
          <w:szCs w:val="16"/>
        </w:rPr>
        <w:softHyphen/>
        <w:t>лительность к подобного рода вопро</w:t>
      </w:r>
      <w:r w:rsidRPr="008127F8">
        <w:rPr>
          <w:rFonts w:ascii="Times New Roman" w:hAnsi="Times New Roman"/>
          <w:color w:val="000000" w:themeColor="text1"/>
          <w:sz w:val="16"/>
          <w:szCs w:val="16"/>
        </w:rPr>
        <w:softHyphen/>
        <w:t>сам. Может быть, Наркомату Авиапро</w:t>
      </w:r>
      <w:r w:rsidRPr="008127F8">
        <w:rPr>
          <w:rFonts w:ascii="Times New Roman" w:hAnsi="Times New Roman"/>
          <w:color w:val="000000" w:themeColor="text1"/>
          <w:sz w:val="16"/>
          <w:szCs w:val="16"/>
        </w:rPr>
        <w:softHyphen/>
        <w:t>мышленности неудобно признать тем самым свою ошибку за прекращение работы по наиболее перспективному реактивному двигателю.</w:t>
      </w:r>
    </w:p>
    <w:p w14:paraId="7948239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эти «мероприятия», которые проводил Наркомат Авиапромышленно</w:t>
      </w:r>
      <w:r w:rsidRPr="008127F8">
        <w:rPr>
          <w:rFonts w:ascii="Times New Roman" w:hAnsi="Times New Roman"/>
          <w:color w:val="000000" w:themeColor="text1"/>
          <w:sz w:val="16"/>
          <w:szCs w:val="16"/>
        </w:rPr>
        <w:softHyphen/>
        <w:t>сти в области создания реактивного двигателя, совершенно неправильны и вредны, особенно теперь, когда вопро</w:t>
      </w:r>
      <w:r w:rsidRPr="008127F8">
        <w:rPr>
          <w:rFonts w:ascii="Times New Roman" w:hAnsi="Times New Roman"/>
          <w:color w:val="000000" w:themeColor="text1"/>
          <w:sz w:val="16"/>
          <w:szCs w:val="16"/>
        </w:rPr>
        <w:softHyphen/>
        <w:t>сы увеличения скоростей полета само</w:t>
      </w:r>
      <w:r w:rsidRPr="008127F8">
        <w:rPr>
          <w:rFonts w:ascii="Times New Roman" w:hAnsi="Times New Roman"/>
          <w:color w:val="000000" w:themeColor="text1"/>
          <w:sz w:val="16"/>
          <w:szCs w:val="16"/>
        </w:rPr>
        <w:softHyphen/>
        <w:t>летов играют исключительную роль.</w:t>
      </w:r>
    </w:p>
    <w:p w14:paraId="5F89DE1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работа, проделанная нами рань</w:t>
      </w:r>
      <w:r w:rsidRPr="008127F8">
        <w:rPr>
          <w:rFonts w:ascii="Times New Roman" w:hAnsi="Times New Roman"/>
          <w:color w:val="000000" w:themeColor="text1"/>
          <w:sz w:val="16"/>
          <w:szCs w:val="16"/>
        </w:rPr>
        <w:softHyphen/>
        <w:t>ше, так и наши последние исследова</w:t>
      </w:r>
      <w:r w:rsidRPr="008127F8">
        <w:rPr>
          <w:rFonts w:ascii="Times New Roman" w:hAnsi="Times New Roman"/>
          <w:color w:val="000000" w:themeColor="text1"/>
          <w:sz w:val="16"/>
          <w:szCs w:val="16"/>
        </w:rPr>
        <w:softHyphen/>
        <w:t>ния по реактивному двигателю дают основание утверждать, что может быть создан реактивный двигатель мощностью в 4000-5000 л.с. в одном агрегате. Этот двигатель по своим га</w:t>
      </w:r>
      <w:r w:rsidRPr="008127F8">
        <w:rPr>
          <w:rFonts w:ascii="Times New Roman" w:hAnsi="Times New Roman"/>
          <w:color w:val="000000" w:themeColor="text1"/>
          <w:sz w:val="16"/>
          <w:szCs w:val="16"/>
        </w:rPr>
        <w:softHyphen/>
        <w:t>баритам и по размеру своего лба не бу</w:t>
      </w:r>
      <w:r w:rsidRPr="008127F8">
        <w:rPr>
          <w:rFonts w:ascii="Times New Roman" w:hAnsi="Times New Roman"/>
          <w:color w:val="000000" w:themeColor="text1"/>
          <w:sz w:val="16"/>
          <w:szCs w:val="16"/>
        </w:rPr>
        <w:softHyphen/>
        <w:t>дет превосходить современный авиа</w:t>
      </w:r>
      <w:r w:rsidRPr="008127F8">
        <w:rPr>
          <w:rFonts w:ascii="Times New Roman" w:hAnsi="Times New Roman"/>
          <w:color w:val="000000" w:themeColor="text1"/>
          <w:sz w:val="16"/>
          <w:szCs w:val="16"/>
        </w:rPr>
        <w:softHyphen/>
        <w:t>ционный бензиновый мотор мощнос</w:t>
      </w:r>
      <w:r w:rsidRPr="008127F8">
        <w:rPr>
          <w:rFonts w:ascii="Times New Roman" w:hAnsi="Times New Roman"/>
          <w:color w:val="000000" w:themeColor="text1"/>
          <w:sz w:val="16"/>
          <w:szCs w:val="16"/>
        </w:rPr>
        <w:softHyphen/>
        <w:t>тью в 2000 л.с.</w:t>
      </w:r>
    </w:p>
    <w:p w14:paraId="47195BB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преимущество реак</w:t>
      </w:r>
      <w:r w:rsidRPr="008127F8">
        <w:rPr>
          <w:rFonts w:ascii="Times New Roman" w:hAnsi="Times New Roman"/>
          <w:color w:val="000000" w:themeColor="text1"/>
          <w:sz w:val="16"/>
          <w:szCs w:val="16"/>
        </w:rPr>
        <w:softHyphen/>
        <w:t>тивного двигателя состоит в том, что он легче бензинового мотора и может</w:t>
      </w:r>
    </w:p>
    <w:p w14:paraId="32E13D8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быть выполнен в весовых показателях, равных 0,3-0,35 кг/л.с. Технически же реактивный двигатель значительно проще бензинового мотора.</w:t>
      </w:r>
    </w:p>
    <w:p w14:paraId="06020BA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Мы обращаемся к Вам, товарищ Ста</w:t>
      </w:r>
      <w:r w:rsidRPr="008127F8">
        <w:rPr>
          <w:rFonts w:ascii="Times New Roman" w:hAnsi="Times New Roman"/>
          <w:color w:val="000000" w:themeColor="text1"/>
          <w:sz w:val="16"/>
          <w:szCs w:val="16"/>
        </w:rPr>
        <w:softHyphen/>
        <w:t>лин, помочь нам восстановить ошибочно законсервированную работу по реактив</w:t>
      </w:r>
      <w:r w:rsidRPr="008127F8">
        <w:rPr>
          <w:rFonts w:ascii="Times New Roman" w:hAnsi="Times New Roman"/>
          <w:color w:val="000000" w:themeColor="text1"/>
          <w:sz w:val="16"/>
          <w:szCs w:val="16"/>
        </w:rPr>
        <w:softHyphen/>
        <w:t>ному двигателю, являющуюся необходи</w:t>
      </w:r>
      <w:r w:rsidRPr="008127F8">
        <w:rPr>
          <w:rFonts w:ascii="Times New Roman" w:hAnsi="Times New Roman"/>
          <w:color w:val="000000" w:themeColor="text1"/>
          <w:sz w:val="16"/>
          <w:szCs w:val="16"/>
        </w:rPr>
        <w:softHyphen/>
        <w:t>мой предпосылкой для создания современ-ныхсверхскоростныхсамолетовсоскоро-стями порядка 900 км/ч и выше.</w:t>
      </w:r>
    </w:p>
    <w:p w14:paraId="1786EF6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этого мы имеем еще старый коллектив находящийся в основном на Кировском заводе в г. Челябинске (под</w:t>
      </w:r>
      <w:r w:rsidRPr="008127F8">
        <w:rPr>
          <w:rFonts w:ascii="Times New Roman" w:hAnsi="Times New Roman"/>
          <w:color w:val="000000" w:themeColor="text1"/>
          <w:sz w:val="16"/>
          <w:szCs w:val="16"/>
        </w:rPr>
        <w:softHyphen/>
        <w:t>робный список был послан нами в Нар</w:t>
      </w:r>
      <w:r w:rsidRPr="008127F8">
        <w:rPr>
          <w:rFonts w:ascii="Times New Roman" w:hAnsi="Times New Roman"/>
          <w:color w:val="000000" w:themeColor="text1"/>
          <w:sz w:val="16"/>
          <w:szCs w:val="16"/>
        </w:rPr>
        <w:softHyphen/>
        <w:t>комат Авиапромышленности),кадры которого собирались, отбирались и вы</w:t>
      </w:r>
      <w:r w:rsidRPr="008127F8">
        <w:rPr>
          <w:rFonts w:ascii="Times New Roman" w:hAnsi="Times New Roman"/>
          <w:color w:val="000000" w:themeColor="text1"/>
          <w:sz w:val="16"/>
          <w:szCs w:val="16"/>
        </w:rPr>
        <w:softHyphen/>
        <w:t>ращивались со значительным трудом, так как разработка реактивного дви</w:t>
      </w:r>
      <w:r w:rsidRPr="008127F8">
        <w:rPr>
          <w:rFonts w:ascii="Times New Roman" w:hAnsi="Times New Roman"/>
          <w:color w:val="000000" w:themeColor="text1"/>
          <w:sz w:val="16"/>
          <w:szCs w:val="16"/>
        </w:rPr>
        <w:softHyphen/>
        <w:t>гателя требовала очень квалифициро</w:t>
      </w:r>
      <w:r w:rsidRPr="008127F8">
        <w:rPr>
          <w:rFonts w:ascii="Times New Roman" w:hAnsi="Times New Roman"/>
          <w:color w:val="000000" w:themeColor="text1"/>
          <w:sz w:val="16"/>
          <w:szCs w:val="16"/>
        </w:rPr>
        <w:softHyphen/>
        <w:t>ванных кадров.</w:t>
      </w:r>
    </w:p>
    <w:p w14:paraId="2E9BDA9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Этот коллектив с энтузиазмом в любую минуту готов вернуться к ра</w:t>
      </w:r>
      <w:r w:rsidRPr="008127F8">
        <w:rPr>
          <w:rFonts w:ascii="Times New Roman" w:hAnsi="Times New Roman"/>
          <w:color w:val="000000" w:themeColor="text1"/>
          <w:sz w:val="16"/>
          <w:szCs w:val="16"/>
        </w:rPr>
        <w:softHyphen/>
        <w:t>боте по реактивному двигателю».</w:t>
      </w:r>
    </w:p>
    <w:p w14:paraId="2C1D192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Письмо Сталин тут же переадресо</w:t>
      </w:r>
      <w:r w:rsidRPr="008127F8">
        <w:rPr>
          <w:rFonts w:ascii="Times New Roman" w:hAnsi="Times New Roman"/>
          <w:color w:val="000000" w:themeColor="text1"/>
          <w:sz w:val="16"/>
          <w:szCs w:val="16"/>
        </w:rPr>
        <w:softHyphen/>
        <w:t>вал Г.М.Маленкову, а тот А.И.Шахурину. Шахурин, в свою очередь, направил письмо начальнику ЦИАМ В.И.Поликовскому с резолюцией: «Доложите, что нужно сделать» (11158).</w:t>
      </w:r>
    </w:p>
    <w:p w14:paraId="735B18F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DA1BE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г. был образован ГНПЦ "Звезда-Стрела", г. Королев</w:t>
      </w:r>
    </w:p>
    <w:p w14:paraId="326DCB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316C7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года постановлением ГКО на базе филиала завода № 145 был образован Союзный завод № 455 Второго главного управления НКАП. Именно от этой даты ведёт свою официальную историю «Корпорация «Тактическое ракетное вооружение». Директором вновь образованного предприятия был назначен Николай Сорокин, главным инженером – Иван Терехов. Число рабочих составило 596 человек.</w:t>
      </w:r>
    </w:p>
    <w:p w14:paraId="381AF30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Законсервированное оборудование было вновь запущено, установлены новые станки и производственные линии. Уже к осени 1942 года предприятие начало выпускать свою продукцию – корпуса выливных авиационных приборов ВАП-200, ВАП-400, ВАП-500. В этот период работало три производственных и два вспомогательных цеха.</w:t>
      </w:r>
    </w:p>
    <w:p w14:paraId="7CE9958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 году приказом заместителя народного комиссара авиапромышленности № 359 от 27 апреля директором завода № 455 назначен Михаил Петрович Горбунов.</w:t>
      </w:r>
    </w:p>
    <w:p w14:paraId="2819406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концу войны, в 1944-1945 годах НКАП дополнил номенклатуру выпускаемых предприятием изделий аварийными механическими сбрасывателями для самолётов бомбардировочной авиации.</w:t>
      </w:r>
    </w:p>
    <w:p w14:paraId="6BC918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Приказом НКАП от 19 мая 1944 года главным инженером завода № 455 назначен Александр Георгиевич Александров. </w:t>
      </w:r>
    </w:p>
    <w:p w14:paraId="1CBE83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окончания Великой Отечественной войны многие рабочие и специалисты, эвакуированные в 1941 году в г. Кузнецк, вернулись в Костино и стали работать на заводе № 455. В первые послевоенные годы предприятие производило угнетающее впечатление. Его производственные, жилые и складские помещения находились в полуразрушенном состоянии. На территории лишь кое-где имелась булыжная мостовая. Основным транспортным средством были лошадиные упряжки.</w:t>
      </w:r>
    </w:p>
    <w:p w14:paraId="53C2EAC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году Министерство авиационной промышленности включает в план завода новую продукцию: кассетные двигатели КД4-456А, КДЗ-246А, замков Б-4, В-10-У и электроприводов Б-4-А-2 для самолётов бомбардировочной авиации, разработанных в КБ А.Н.Туполева. Приказом министра авиапрома от 2 апреля 1946 года главным инженером предприятия назначен Василий Иванович Кузьмин.</w:t>
      </w:r>
    </w:p>
    <w:p w14:paraId="77B63D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Основной задачей коллектива в послевоенные годы было восстановление и расширение завода № 455. В рамках этого проекта в 1946 году были созданы испытательный цех, горячий цех с литейным, кузнечным и термическим участками, организован отдел заводских лабораторий. В период с 1947 по 1949 годы реконструированы механический цех, цеха нормалей и гальванопокрытий. </w:t>
      </w:r>
    </w:p>
    <w:p w14:paraId="255B48E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50-е годы завод № 455 активно развивался. Расширялись производственные площади, создавались новые службы, решались социальные вопросы. Огромная заслуга в успешном развитии предприятия принадлежит Михаилу Петровичу Аржакову, который 13 мая 1950 года был назначен директором завода № 455. Под его руководством в 1950 году восстановлен корпус 16, где располагались цех № 4, отдел главного технолога (ОГТ), отдел главного металлурга (ОГМет), а также инструментальный отдел. Кроме этого, была создана рентгеновская лаборатория ОГМет, реконструирован участок сборки узлов цеха № 15.</w:t>
      </w:r>
    </w:p>
    <w:p w14:paraId="3A07D4B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1950 года по инициативе Михаила Аржакова началось расширение выпуска товаров народного потребления с целью создания их серийного производства. До этого момента на заводе небольшими партиями производилась металлическая посуда и другие изделия из металла. К 1953 году был разработан и запущен в серию чайно-кофейный сервиз, впоследствии удостоившийся государственного Знака качества.</w:t>
      </w:r>
    </w:p>
    <w:p w14:paraId="5977C59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декабре 1951 года приказом Министра авиапрома главным инженером предприятия назначен Михаил Ильич Муромцев.</w:t>
      </w:r>
    </w:p>
    <w:p w14:paraId="62E542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1953-1955 годах продолжалось расширение завода, а также его социальной инфраструктуры. Создан цех окончательной сборки, образована контрольно-испытательная станция (КИС), построен пионерский лагерь «Лесное озеро» на 200 мест. К 1955 году, после выполнения заказа на изготовление турельных установок с автоматическим наведением для бомбардировщиков Мясищева, предприятие становится одним из основных поставщиков вооружений для авиации. </w:t>
      </w:r>
    </w:p>
    <w:p w14:paraId="1034E4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то, что концепция конструкции и назначения крылатой ракеты была сформулирована еще до Первой мировой войны, лишь боевые действия во время Второй мировой войны 1939-1945 гг. показали, что пришло время реактивных двигателей и тактических крылатых ракет в частности.</w:t>
      </w:r>
    </w:p>
    <w:p w14:paraId="583DE8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1955 году завод № 455 получил задание правительства на создание ракетных систем класса «воздух-воздух». Коллектив предприятия приступил к созданию производственной базы для их разработки и выпуска, одновременно начались работы по проектированию ракет.</w:t>
      </w:r>
    </w:p>
    <w:p w14:paraId="59FE0F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Серийное производство первой отечественной управляемой ракеты класса «воздух-воздух» РС-1-У было освоено на предприятии в 1956 году. Она разработана известным конструктором Дмитрием Людвиговичем Томашевичем в ОКБ-2 и предназначалась для оснащения истребителей МиГ-17ПФУ и Як-25П.</w:t>
      </w:r>
    </w:p>
    <w:p w14:paraId="02981F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созданию управляемых ракет расширялись и 17 мая 1957 года приказом МАП на базе серийного конструкторского отдела завода № 455 было образовано конструкторское бюро. Его возглавил Михаил Ефимович Едидович, работавший до этого главным технологом предприятия. Коллектив КБ приступил к созданию ракеты класса «воздух-воздух» Р-55 для оснащения самолётов МиГ-21 бис, Су-9, Су-15.</w:t>
      </w:r>
    </w:p>
    <w:p w14:paraId="210198B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проведения испытаний ракеты РС-1-У и принятия её на вооружение в военно-воздушные силы Советской Армии началась разработка более совершенных моделей РС-2-У и РС-2-УС, которые предназначались как для обычной, так и для сверхзвуковой авиации. Они наводились на цель по линии, образованной сканирующим лучом радиолокационной станции самолёта перехватчика.</w:t>
      </w:r>
    </w:p>
    <w:p w14:paraId="554C4D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Продолжалась реконструкция и расширение производственных мощностей, осваивались новые технологии. В 1956 году освоена ковка и штамповка деталей из цветных металлов. В период 1958-1959 годов внедрена автоматическая аргонно-дуговая сварка алюминиевых сплавов, организованы эксплуатационно-ремонтный отдел и участок магниевого литья. Летом 1958 года руководители завода и КБ во главе с Михаилом Аржаковым совершили предварительную поездку в г. Ахтубинск, Астраханской области для определения места под строительство собственного испытательного центра. </w:t>
      </w:r>
    </w:p>
    <w:p w14:paraId="6B3F0D0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Новая продукция требовала привлечения квалифицированных специалистов. Коллектив завода пополнялся выпускниками Днепропетровского государственного университета и авиационных институтов. В 1959 году на базе предприятия открылся филиал Всесоюзного заочного политехнического института.</w:t>
      </w:r>
    </w:p>
    <w:p w14:paraId="6CE4390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Кроме продукции военного назначения, на предприятии активно развивалось производство товаров народного потребления. Под руководством Михаила Аржакова в 1958 году был введён в строй отдельный цех ТНП, где началось серийное производство чайно-кофейных сервизов. </w:t>
      </w:r>
    </w:p>
    <w:p w14:paraId="0A6DDB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В 60-е годы завод № 455 продолжал расширять основное и вспомогательные производства и ассортимент продукции. В это время, кроме уже серийно выпускавшихся ракет РС-1-У, РС-2-У и РС-2-УС, была освоена сборка зенитной управляемой ракеты (ЗУР) с интегральной двигательной установкой 3М9 для зенитного ракетного комплекса «Куб». ЗРК разработан под руководством главного конструктора И.И. Торопова в ОКБ завода № 134 МАП. Кроме этого, предприятие производило ракеты класса «воздух-воздух» Р-8М, Р-8М1Р, Р-8М1Т, К-98, К-98МР, К-98МТ, Р-4, Р-40, разработанные ОКБ-4, которым руководил легендарный разработчик советских управляемых ракет Матус Рувимович Бисноват. </w:t>
      </w:r>
    </w:p>
    <w:p w14:paraId="337E28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с боевыми ракетами, с начала 60-х годов завод изготавливал малоразмерные ракеты-мишени ИЦ-59 («Олень»), ИЦ-60 («Заяц»), которые предназначались для обучения лётного состава строевых частей применению ракет «воздух-воздух». Они имели программное управление и запускались с истребителя. К примеру, мишень ИЦ-59 («Олень») оснащалась автопилотом и аппаратурой радиоуправления, измерения траектории и пролёта, поиска и передачи данных на наземные измерительные пункты. Запуск «Оленя» осуществлялся с самолёта ТУ-16НКРМ, после чего мишень выполняла программный полёт на высоте свыше 15 км и корректировалась по курсу и высоте с наземного пункта управления. Для повторного использования на ИЦ-59 имелась парашютно-реактивная система спасения. По итогам государственных лётных испытаний ракета принята на вооружение в 1964 году.</w:t>
      </w:r>
    </w:p>
    <w:p w14:paraId="09E02C0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базе ракеты РС-2-УС была разработана и запущена в серийное производство новая ракета класса «воздух-воздух» Р-55 для вооружения истребителей МиГ-21 бис, Су-9 и Су-15. На этой модели использовалась тепловая головка самонаведения, которая имела повышенную помехозащищённость. Это обеспечивало эффективное применение ракеты на высотах от 0 до 22 км и перехват воздушных целей на дальности от 1,2 до 10 км.</w:t>
      </w:r>
    </w:p>
    <w:p w14:paraId="78065FC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1963 году были проведены первые испытания по применению ракеты РС-2-УС по наземным целям. Как сказано в акте № 50: «Пуски ракет РС-2-УС по наземным целям возможны, но нецелесообразны в виду недостаточной точности попадания ракеты при малой её боевой части». Кроме этого, в 1965 году Советскому правительству поступил запрос от Вьетнама на разработку и поставку ракет класса «воздух-поверхность». Технические предложения по созданию такой ракеты были разработаны совместно ОКБ им. Микояна и Государственным научно-исследовательским институтом авиационных систем. После одобрения коллегией МАП технические предложения были переданы на завод № 455.</w:t>
      </w:r>
    </w:p>
    <w:p w14:paraId="279682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Для разработки конструкторской документации ракеты Х-66 приказом министра авиапрома № 100 от 12 марта 1966 года на предприятии создаётся Опытно-конструкторское бюро (ОКБ), которое возглавил Юрий Николаевич Королёв. Лётная отработка Х-66 проводилась с 1967 по 1968 год и приказом министра обороны № 0075 от 20 июня 1968 года ракета была принята на вооружение. Во время проведения испытаний в ОКБ началась разработка новой ракеты класса «воздух-поверхность» Х-23, которая была готова к заводским лётным испытаниям к концу 1967 года. </w:t>
      </w:r>
    </w:p>
    <w:p w14:paraId="542412C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апреля 1966 г. завод № 455 переименован в Калининградский машиностроительный завод (КМЗ). В 1967 году началось строительство собственного испытательного комплекса в г. Ахтубинске, Астраханской области.</w:t>
      </w:r>
    </w:p>
    <w:p w14:paraId="06F1AAF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сентябре 1968 года главным инженером завода стал Николай Сергеевич Жучков.</w:t>
      </w:r>
    </w:p>
    <w:p w14:paraId="0037DE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60-х годов коллектив КМЗ освоил производство ряда ракет класса «воздух-воздух» - Р-40, Р-40Д, Р-40Д1.</w:t>
      </w:r>
    </w:p>
    <w:p w14:paraId="7A5C03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 десять лет с 1960 по 1969 годы предприятие значительно расширилось. Построен учебный корпус, цех пластмасс, создана химико-технологическая лаборатория, закончилась реконструкция литейного цеха. Внедрены аргонно-дуговая, контактная и роликовая сварка титановых сплавов, а также литьё и изготовление деталей из них. В производстве начали применяться новые материалы – эпоксидные клеи, компаунды, герметики и пеногерметики. </w:t>
      </w:r>
    </w:p>
    <w:p w14:paraId="36F046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Государственные испытания ракеты Х-23 на самолётах МиГ-23 и МиГ-23Б начались 20 марта 1970 года и продолжались по 3 октября 1973. По результатам большого количества пробных пусков Х-23 в 1974 году была принята на вооружение. </w:t>
      </w:r>
    </w:p>
    <w:p w14:paraId="3AC8CD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70-х годов возникла необходимость в усовершенствовании управляемого тактического оружия, и в 1971 году специалистами ОКБ была создана принципиально новая система наведения авиационных ракет класса «воздух-поверхность» при помощи лазерного луча. На цель, находящуюся на земле, наводился узкий лазерный луч, являющийся ориентиром для головки самонаведения (ГСН). Луч вырабатывался генератором лазерной системы, которой оснащались самолёты Су-17М-2, Су-17-М-3, МиГ-27. Новая ракета с лазерной ГСН получила индекс Х-25 и была отнесена к приоритетным направлениям развития ракетного производства. Государственные лётные испытания этой модели проводились с августа по 24 ноября 1974 года, а в 1975 году ракета была запущена в серийное производство.</w:t>
      </w:r>
    </w:p>
    <w:p w14:paraId="447444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расширению возможностей управляемых ракет шли в нескольких направлениях. В 1972 году инженеры ОКБ приступили к созданию противорадиолокационной ракеты Х-27, оснащённой пассивной радиолокационной головкой самонаведения (ПРГС), способной пеленговать цель – радиолокационные станции противника различного типа. К 1975 году ракета и разработанный для неё автопилот СУР-73 были готовы и 8 августа начались государственные лётные испытания Х-27 на самолёте МиГ-27.</w:t>
      </w:r>
    </w:p>
    <w:p w14:paraId="3B7AF7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1973 году главным конструктором ОКБ назначен доктор технических наук Виктор Никифорович Бугайский, который уже имел до этого большой практический опыт создания авиационной и ракетной техники. Под его руководством были проанализированы конструкции ракет Х-66, Х-23 и Х-25, что привело к созданию концепции модульного проектирования управляемых авиационных ракет. В 1973 году начались работы по формированию рациональной системы модулей.</w:t>
      </w:r>
    </w:p>
    <w:p w14:paraId="776CA6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1974 году директором Калининградского машиностроительного завода назначен Вячеслав Александрович Беляков, занимавшийся до этого активной профсоюзной и партийной деятельностью.</w:t>
      </w:r>
    </w:p>
    <w:p w14:paraId="1E3A4CD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период проведения лётных испытаний ракеты Х-27 в ОКБ предприятия начались работы по созданию ещё одной противорадиолокационной ракеты Х-31. Её проектирование началось еще в 1972 году. Ракета была уникальной для своего времени. Использование принципиально нового двигателя позволяло ей развивать очень высокую скорость и поражать зенитно-ракетный комплекс противника прежде, чем тот успеет обнаружить и сбить самолёт-носитель.</w:t>
      </w:r>
    </w:p>
    <w:p w14:paraId="3DA29D7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период с 1970 по 1975 год продолжалось расширение и модернизация основного производства. Построены несколько новых цехов, в том числе цех защитных покрытий и лаборатория рентгеноконтроля, складские помещения. Началось оснащение предприятия новейшими станками с числовым программным управлением (ЧПУ), а также строительство нового участка титанового литья. В 1974 году ОКБ было оснащено первой отечественной ЭВМ – БЭСМ-4), которая занимала большое помещение в конструкторском бюро. </w:t>
      </w:r>
    </w:p>
    <w:p w14:paraId="227F8B0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Кроме этого, развивалось производство ТНП. Так, в 1972 году было создано отдельное конструкторское бюро отдела ТНП, в 1974 году внедрён процесс блестящего никелирования изделий из металла, а в 1975 году принято решение о разработке первой отечественной электрической бытовой гладильной машины. </w:t>
      </w:r>
    </w:p>
    <w:p w14:paraId="1205C9F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период с 1975 по 1980 год продолжалось активное расширение производства и модельного ряда выпускаемого ракетного оружия. В 1976 году был введён в строй новый корпус сборочного цеха, построен склад химикатов и лабораторный комплекс в Ахтубинске, реконструирован отдел главного металлурга.</w:t>
      </w:r>
    </w:p>
    <w:p w14:paraId="0320C4B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1976 году на вооружение принята модель Х-25, в течение всего года и всю первую половину 1977 года продолжались испытания противорадиолокационной ракеты Х-27.</w:t>
      </w:r>
    </w:p>
    <w:p w14:paraId="1B279A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этого, впервые в мировой практике в 1977 году были проведены реальные пуски тактической ракеты Х-23 с вертолёта соосной системы несущих винтов Ка-252ТБ. В этом же году коллектив ОКБ разработал и представил техническое предложение по созданию противокорабельной ракеты Х-35 (в дальнейшем ими оснащался ракетный комплекс «Уран»).</w:t>
      </w:r>
    </w:p>
    <w:p w14:paraId="594F36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Расширение КМЗ привело к созданию на его базе «Калининградского производственно-конструкторского объединения «Стрела» («КПКО «Стрела»). Приказ № 459 министра авиационной промышленности о преобразовании предприятия подписан 2 ноября 1976 года. В новое объединение вошли КМЗ, ОКБ «Звезда», Костромской механический и Бендерский машиностроительный заводы.</w:t>
      </w:r>
    </w:p>
    <w:p w14:paraId="4EEF99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1978 года вышло решение ВПК Совета Министров № 17, а в феврале того же года приказ МАП № 60 о создании на базе модели Х-31 её противокорабельного варианта Х-31А. Новая ракета, предназначенная для поражения надводных кораблей водоизмещением до 4500 тонн, комплектовалась активной радиолокационной системой наведения и проникающей боевой частью. 7 августа 1978 года КПКО «Стрела» переименовано в Калининградское производственное объединение «Стрела» («КПО «Стрела»).</w:t>
      </w:r>
    </w:p>
    <w:p w14:paraId="58EFFD7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Одним из основных направлений развития ракетного оружия являлась разработка модульной ракеты класса «воздух-поверхность». Необходимость такой ракеты диктовало развитие всего мирового ракетостроения. При очень быстрых темпах роста рынка тактического оружия увеличивалось количество моделей ракет, что требовало постоянного расширения производства и, соответственно, серьёзных капиталовложений. В конце 1978 года, после выхода постановления Правительства, на КПО начались практические работы по созданию такой ракеты. Основными принципами, заложенными в идеологию её построения, были:</w:t>
      </w:r>
    </w:p>
    <w:p w14:paraId="09DBDA89" w14:textId="77777777" w:rsidR="007C5583" w:rsidRPr="008127F8" w:rsidRDefault="007C5583" w:rsidP="007C5583">
      <w:pPr>
        <w:widowControl w:val="0"/>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rPr>
        <w:tab/>
        <w:t>замена находящихся в производстве трёх ракет Х-23М, Х-25 и Х-27 одной моделью со сменными системами наведения;</w:t>
      </w:r>
    </w:p>
    <w:p w14:paraId="525B6980" w14:textId="77777777" w:rsidR="007C5583" w:rsidRPr="008127F8" w:rsidRDefault="007C5583" w:rsidP="007C5583">
      <w:pPr>
        <w:widowControl w:val="0"/>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rPr>
        <w:tab/>
        <w:t>возможность формирования в строевых частях необходимого облика ракеты;</w:t>
      </w:r>
    </w:p>
    <w:p w14:paraId="17EB2207" w14:textId="77777777" w:rsidR="007C5583" w:rsidRPr="008127F8" w:rsidRDefault="007C5583" w:rsidP="007C5583">
      <w:pPr>
        <w:widowControl w:val="0"/>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rPr>
        <w:tab/>
        <w:t>возможность совершенствования этого класса тактического оружия за счёт применения новых типов боевых частей и систем наведения.</w:t>
      </w:r>
    </w:p>
    <w:p w14:paraId="328527C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Создание модульной ракеты Х-25М должно было позволить предприятию уменьшить количество типов ракет «воздух-поверхность», снизить затраты и сроки на разработку новых моделей, повысить надёжность и упростить их эксплуатацию.</w:t>
      </w:r>
    </w:p>
    <w:p w14:paraId="3954EBB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итоге были сформированы три варианта модульной ракеты Х-25М:</w:t>
      </w:r>
    </w:p>
    <w:p w14:paraId="09E2C7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Х-25МП – противорадиолокационная ракета с двумя модулями ПРГСН, работающими в различных диапазонах.</w:t>
      </w:r>
    </w:p>
    <w:p w14:paraId="5C134B0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Х-25МЛ – многоцелевая ракета с лазерной ГСН;</w:t>
      </w:r>
    </w:p>
    <w:p w14:paraId="6B315B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Х-25МР – многоцелевая ракета с радиокомандной аппаратурой наведения.</w:t>
      </w:r>
    </w:p>
    <w:p w14:paraId="5F96CE6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Кроме выпуска ракетного оружия собственной разработки, КПО «Стрела» занималась также изготовлением ракет по государственным заказам. Так, в 1979 году была получена для подготовки к производству ракета нового поколения Р-33, разработанная Государственным машиностроительным конструкторским бюро «Вымпел». Несмотря на конструктивные и технологические решения, которые были отработанны другой конструкторской школой, предприятие к весне 1981 года выпустило и </w:t>
      </w:r>
      <w:r w:rsidRPr="008127F8">
        <w:rPr>
          <w:rFonts w:ascii="Times New Roman" w:hAnsi="Times New Roman"/>
          <w:color w:val="000000" w:themeColor="text1"/>
          <w:sz w:val="16"/>
          <w:szCs w:val="16"/>
        </w:rPr>
        <w:lastRenderedPageBreak/>
        <w:t>сдало заказчику необходимую партию ракет.</w:t>
      </w:r>
    </w:p>
    <w:p w14:paraId="3779BF4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80-е годы на объединении продолжались работы сразу по нескольким направлениям – разработка и создание тактических управляемых ракет как классического, так и модульного типа, ракет-мишеней, ракетных комплексов, а также товаров народного потребления.</w:t>
      </w:r>
    </w:p>
    <w:p w14:paraId="54ACE4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успешных испытаний постановлением Совета Министров СССР от 2 сентября 1980 года на вооружение советских ВВС была принята противорадиолокационная ракета Х-27. Одновременно, в январе 1980 года, завершилась наземная отработка и начались лётные испытания мишени ИЦ-59В «Магнит», которая являлась дальнейшим развитием модели ИЦ-59 «Олень». ИЦ-59В отличалась от предшественницы большей высотой и дальностью полёта, а также увеличенной стартовой массой. В ОКБ продолжались также работы над следующим поколением мишеней – М-31, МА-31, ИЦ-35.</w:t>
      </w:r>
    </w:p>
    <w:p w14:paraId="07C3582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Успешные работы КПО «Стрела» в деле повышения обороноспособности страны были по достоинству оценены правительством. Указом Президиума Верховного Совета СССР от 16 сентября 1981 года за заслуги в создании отечественных авиационных ракет класса «воздух-поверхность» объединение награждено орденом Трудового Красного Знамени.</w:t>
      </w:r>
    </w:p>
    <w:p w14:paraId="6C1998F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1981 году завершились государственные испытания модульной ракеты Х-25М, после которых она была принята на вооружение. Серийно её стали выпускать в 1982 году. В мае того же года специалисты завода приступили к лётным испытаниям противорадиолокационной сверхзвуковой ракеты Х-31П.</w:t>
      </w:r>
    </w:p>
    <w:p w14:paraId="2D0F5DC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марте 1983 года на должность главного конструктора объединения назначен Виктор Георгиевич Галушко. В том же году, 16 марта подписано Правительственное постановление о начале опытно-конструкторских работ по созданию корабельного ракетного комплекса «Уран» с противокорабельной ракетой Х-35Э, конструкторская документация по которой была практически готова. Для испытаний комплекса в реальных морских условиях на побережье Чёрного моря, в окрестностях г. Феодосии в ноябре 1983 года был оборудован полигон, являвшийся филиалом «Стрелы». </w:t>
      </w:r>
    </w:p>
    <w:p w14:paraId="418C9D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успешно проведённых испытаний в 1985 году КПО «Стрела» приступило к серийному производству ракеты Х-31П. Одновременно с этим 5 ноября 1985 года начался первый этап предварительных испытаний ракеты Х-35Э, завершившийся в 1987 году.</w:t>
      </w:r>
    </w:p>
    <w:p w14:paraId="4A7CDF7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1986 главным конструктором ОКБ стал Георгий Иванович Хохлов, а в январе 1987 года генеральным директором КПО «Стрела» назначен Вячеслав Анатольевич Шаповалов. Тогда же начались лётно-конструкторские испытания КРК «Уран-Э».</w:t>
      </w:r>
    </w:p>
    <w:p w14:paraId="3396597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Государственные испытания ракеты Х-31П завершились в 1988 году, а через год – противокорабельной сверхзвуковой ракеты Х-31А на самолёте Су-24М и началось её серийное производство.</w:t>
      </w:r>
    </w:p>
    <w:p w14:paraId="29F2CD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этого в 1989 году были проведены лётные испытания ракеты-мишени М-31 и завершён второй этап лётных испытаний ракеты Х-35Э. Выполнен большой заказ по изготовлению линз Люнеберга. Опытно-конструкторское бюро выделено из состава объединения в самостоятельное юридическое лицо – ОКБ «Звезда».</w:t>
      </w:r>
    </w:p>
    <w:p w14:paraId="62BAB6B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1990 году на должность генерального директора предприятия назначен Николай Сергеевич Жучков, главного инженера – Сергей Павлович Яковлев.</w:t>
      </w:r>
    </w:p>
    <w:p w14:paraId="3001AAE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Кроме разработки боевых ракет, на предприятии полным ходом шли работы по ракетам-мишеням. В 1993 году начались работы над моделью МА-31, которая была уже совершенно новым поколением ракет со значительно расширенными возможностями. Первые пуски этой модели проведены в 1996 году одновременно в России и в США, куда по контракту поставлялись МА-31. </w:t>
      </w:r>
    </w:p>
    <w:p w14:paraId="4B075B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1994 году генеральным директором производства стал Сергей Павлович Яковлев, главным инженером – Иван Дмитриевич Тесля. В этом же году успешно завершились государственные испытания ракеты-мишени ИЦ-35 01, а также заключён первый контракт на поставку ракет Х-35Э для КРК «Уран-Э». А 26 декабря 1994 года произошло слияние ГУП «КМЗ «Стрела» и ОКБ «Звезда». В результате было образовано ГУП «Звезда-Стрела». В следующем, 1995 году, ГУП «Звезда-Стрела» становится Федеральным государственным унитарным предприятием «Государственный научно-производственный центр «Звезда-Стрела» (ФГУП «ГНПЦ «Звезда-Стрела»). Генеральным директором - генеральным конструктором предприятия назначен Сергей Павлович Яковлев, главным конструктором – Юрий Дмитриевич Новиков.</w:t>
      </w:r>
    </w:p>
    <w:p w14:paraId="7456E4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период с 1992 по 1997 год проводился второй этап лётно-конструкторских испытаний «Уран-Э». К 1999 году конструкция комплекса была окончательно отработана, и начались государственные испытания ракеты Х-35Э в составе КРК «Уран-Э». В том же году главным конструктором ГНПЦ стал Алексей Иванович Бельских.</w:t>
      </w:r>
    </w:p>
    <w:p w14:paraId="448EE51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Параллельно с работами над корабельным комплексом ОКБ отрабатывало вопрос использования ракеты Х-35Э в составе берегового ракетного комплекса «Бал-Э», сконструированного «КБ Машиностроения». В 2000 году были проведены первые испытания этого комплекса.</w:t>
      </w:r>
    </w:p>
    <w:p w14:paraId="38F65D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Хотя основной задачей ГНПЦ «Звезда-Стрела» было создание тактического ракетного оружия, деятельность ОКБ охватывала и вопросы обороны практически от всех видов стратегической угрозы. Разрабатывались проекты защиты от крылатых ракет, от подводных лодок с межконтинентальными баллистическими ракетами, от межконтинентальных управляемых ракет.</w:t>
      </w:r>
    </w:p>
    <w:p w14:paraId="5E6129F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2000 году на должность главного инженера назначен Юрий Павлович Галкин. Организована редакция заводской многотиражной газеты «Звезда-Стрела» (10776).</w:t>
      </w:r>
    </w:p>
    <w:p w14:paraId="5093BF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2372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года Постановлением Правительства и 16 июня 1942 года согласно приказу НКАП за № 533 на базе филиала завода № 145 в Костино создается завод № 455 НКАП с выпуском в 1942-1943 гг. деталей самолета – лент-расчалок и химических приборов: ВАП-6, ВАП-100 и ВАП-250.</w:t>
      </w:r>
    </w:p>
    <w:p w14:paraId="1DDEBC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1944-45 гг. несколько изменился профиль завода: стали преобладать изделия бомбардировочного вооружения – ававрийные механические сбрасыватели пяти типов и предметы снаряжения (привязные ремни пилота и стрелка) с одновременным выпуском химприборов (ВАП-100, АБКН-500 и ХАРП-500) и деталей самолета – ленточных расчалок.</w:t>
      </w:r>
    </w:p>
    <w:p w14:paraId="04E2EFF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году приказом МАП № 738 от 19 ноября – профилирован как завод электромашин и агрегатов бомбардировочного вооружения.</w:t>
      </w:r>
    </w:p>
    <w:p w14:paraId="111B906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МАП от 22 января 1954 года за № 43сс профиль завода дополнен изделиями стрелково-пушечного вооружения конструкции ОКБ-476.</w:t>
      </w:r>
    </w:p>
    <w:p w14:paraId="697F541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МАП от 25 апреля 1955 года за № 283 заводу поручено освоение изделий ракетной техники с освобождением его от производства стрелково-пушечного и бомбардировочного вооружения и электроагрегатов.</w:t>
      </w:r>
    </w:p>
    <w:p w14:paraId="54CA22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Костино Мытищинского района Московской области</w:t>
      </w:r>
    </w:p>
    <w:p w14:paraId="6987D29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Первый директор – Сорокин</w:t>
      </w:r>
    </w:p>
    <w:p w14:paraId="1AA79EB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апреля 1943 года – директор Горбунов М.П.</w:t>
      </w:r>
    </w:p>
    <w:p w14:paraId="2B817A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мая 1950 года – директор Аржаков М.П. (9616).</w:t>
      </w:r>
    </w:p>
    <w:p w14:paraId="2132147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47D12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 июня</w:t>
      </w:r>
      <w:r w:rsidRPr="008127F8">
        <w:rPr>
          <w:rFonts w:ascii="Times New Roman" w:hAnsi="Times New Roman"/>
          <w:color w:val="000000" w:themeColor="text1"/>
          <w:sz w:val="16"/>
          <w:szCs w:val="16"/>
        </w:rPr>
        <w:t xml:space="preserve"> в 1942 году образован Болшевский (Московская область) завод №455 - Государственный научно-производственный центр (ГНПЦ) "Звезда-Стрела" - ведущее головное предприятие по разработке и производству авиационных, морских и общевойсковых тактических крылатых ракет класса "воздух-поверхность" (семейства «Х-25», «Х-27», «Х-31», «Х-35». "Уран" и др.), предназначенных для высокоточного поражения различных подвижных и неподвижных наземных и наводных целей. За время существования Центра было создано более 30 типов управляемых ракет различного назначения. Эти ракеты могут решать задачи поражения целей в простых и сложных погодных условиях, днем и ночью при полной автономности наведения оружия после пуска, в условиях радиоэлектронного противодействия со стороны противника. Ракеты, производимые ГНЦП "Звезда - Стрела", экспортируются во многие страны мира. Предприятие объединяет опытное конструкторское бюро и серийный завод, на нем реализован полный цикл создания оружия: от формирования технических предложений на разработку до летных испытаний и развертывания серийного производства. В Центре ведутся работы по созданию перспективного тактического оружия по трем базовым техническим направлениям: модульные ракеты малой дальности; сверхзвуковые ракеты средней дальности; дозвуковые, унифицированные по носителям, маловысотные крылатые ракеты средней дальности. 24 января 2002 г. Президент Российской Федерации подписал Указ № 84 "Об открытом акционерном обществе "Корпорация "Тактическое ракетное вооружение". В соответствии с Указом ФГУП "Государственный научно-производственный центр "Звезда-Стрела" преобразуется в ОАО "Корпорация "Тактическое ракетное вооружение". ФГУП ГНПЦ "Звезда-Стрела" (город Королев, Московская область) является головной компанией корпорации "Тактическое ракетное вооружение" (14911).</w:t>
      </w:r>
    </w:p>
    <w:p w14:paraId="732EA5C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F9B4F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вышло Постановление ГКО № 1842 О принятии на вооружение зажигательных авиационных бомб с жидким горючим в капсулах из бумажного литья. РГАНИР, Фонд ГКО, д. 37, лл. 2-5, 6-7 (11012).</w:t>
      </w:r>
    </w:p>
    <w:p w14:paraId="64471F1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80E43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вышло Постановление ГКО № 1842 О принятии на вооружение зажигательных авиационных бомб с жидким горючим в капсулах из бумажного литья</w:t>
      </w:r>
    </w:p>
    <w:p w14:paraId="46C0D00D"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1. Утвердить предложение ГУ ВВС КА о принятии на вооружение ВВС КА зажигательных авиационных бомб с жидким горючим в корпусах иэ бумажного литья конструкции НКПиаде- прома СССР, имеющих следующую характеристику:</w:t>
      </w:r>
    </w:p>
    <w:p w14:paraId="6DFA5F08" w14:textId="77777777" w:rsidR="007C5583" w:rsidRPr="008127F8" w:rsidRDefault="007C5583" w:rsidP="007C5583">
      <w:pPr>
        <w:pStyle w:val="27"/>
        <w:shd w:val="clear" w:color="auto" w:fill="auto"/>
        <w:tabs>
          <w:tab w:val="left" w:pos="3725"/>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а) зажигатсльная авиационная бомба ЗАБ-1С0-40-П отвечает габаритным размерам ФАБ-100, а зажигательная авиационная .бомба ЗАБ-25С-100-П отвечает габаритным раз</w:t>
      </w:r>
      <w:r w:rsidRPr="008127F8">
        <w:rPr>
          <w:rFonts w:ascii="Times New Roman" w:cs="Times New Roman"/>
          <w:color w:val="000000" w:themeColor="text1"/>
          <w:spacing w:val="0"/>
        </w:rPr>
        <w:softHyphen/>
        <w:t>мерам ФАБ-250;</w:t>
      </w:r>
    </w:p>
    <w:p w14:paraId="391CADB8" w14:textId="77777777" w:rsidR="007C5583" w:rsidRPr="008127F8" w:rsidRDefault="007C5583" w:rsidP="007C5583">
      <w:pPr>
        <w:pStyle w:val="27"/>
        <w:shd w:val="clear" w:color="auto" w:fill="auto"/>
        <w:tabs>
          <w:tab w:val="left" w:pos="2998"/>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б) корпуса ЗАБ-10С-40-П и ЗАБ-250-100-П изготовля</w:t>
      </w:r>
      <w:r w:rsidRPr="008127F8">
        <w:rPr>
          <w:rFonts w:ascii="Times New Roman" w:cs="Times New Roman"/>
          <w:color w:val="000000" w:themeColor="text1"/>
          <w:spacing w:val="0"/>
        </w:rPr>
        <w:softHyphen/>
        <w:t>ются из бумажного литья, а стабилизаторы из фанеры;</w:t>
      </w:r>
    </w:p>
    <w:p w14:paraId="1C413068" w14:textId="77777777" w:rsidR="007C5583" w:rsidRPr="008127F8" w:rsidRDefault="007C5583" w:rsidP="007C5583">
      <w:pPr>
        <w:pStyle w:val="27"/>
        <w:shd w:val="clear" w:color="auto" w:fill="auto"/>
        <w:tabs>
          <w:tab w:val="left" w:pos="3365"/>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снаряжение зажигательных бомб производится на аэродромах отвержденным горючим (бензином всех сортов, бензольной головкой), смешанным с порошком "НА" (нафте- нат алюминия) и с горючей жидкостью "КС";</w:t>
      </w:r>
    </w:p>
    <w:p w14:paraId="0BEAC0FA" w14:textId="77777777" w:rsidR="007C5583" w:rsidRPr="008127F8" w:rsidRDefault="007C5583" w:rsidP="007C5583">
      <w:pPr>
        <w:pStyle w:val="27"/>
        <w:shd w:val="clear" w:color="auto" w:fill="auto"/>
        <w:tabs>
          <w:tab w:val="left" w:pos="2293"/>
        </w:tabs>
        <w:spacing w:after="0" w:line="240" w:lineRule="auto"/>
        <w:ind w:firstLine="0"/>
        <w:rPr>
          <w:rFonts w:ascii="Times New Roman" w:cs="Times New Roman"/>
          <w:color w:val="000000" w:themeColor="text1"/>
          <w:spacing w:val="0"/>
        </w:rPr>
      </w:pPr>
      <w:r w:rsidRPr="008127F8">
        <w:rPr>
          <w:rStyle w:val="16"/>
          <w:rFonts w:ascii="Times New Roman" w:cs="Times New Roman"/>
          <w:color w:val="000000" w:themeColor="text1"/>
          <w:spacing w:val="0"/>
        </w:rPr>
        <w:t xml:space="preserve">г) в </w:t>
      </w:r>
      <w:r w:rsidRPr="008127F8">
        <w:rPr>
          <w:rFonts w:ascii="Times New Roman" w:cs="Times New Roman"/>
          <w:color w:val="000000" w:themeColor="text1"/>
          <w:spacing w:val="0"/>
        </w:rPr>
        <w:t>качестве воспламенителя применяются зажига</w:t>
      </w:r>
      <w:r w:rsidRPr="008127F8">
        <w:rPr>
          <w:rFonts w:ascii="Times New Roman" w:cs="Times New Roman"/>
          <w:color w:val="000000" w:themeColor="text1"/>
          <w:spacing w:val="0"/>
        </w:rPr>
        <w:softHyphen/>
        <w:t>тельные ампулы,, дистанционные трубки и жидкость "КС".</w:t>
      </w:r>
    </w:p>
    <w:p w14:paraId="47F9FD54"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2. Обязать Наркомпищепром СССР т.Пронина изгото</w:t>
      </w:r>
      <w:r w:rsidRPr="008127F8">
        <w:rPr>
          <w:rFonts w:ascii="Times New Roman" w:cs="Times New Roman"/>
          <w:color w:val="000000" w:themeColor="text1"/>
          <w:spacing w:val="0"/>
        </w:rPr>
        <w:softHyphen/>
        <w:t>вить и поставить ГУ ВВС КА в июне и июле 1942 года кор</w:t>
      </w:r>
      <w:r w:rsidRPr="008127F8">
        <w:rPr>
          <w:rFonts w:ascii="Times New Roman" w:cs="Times New Roman"/>
          <w:color w:val="000000" w:themeColor="text1"/>
          <w:spacing w:val="0"/>
        </w:rPr>
        <w:softHyphen/>
        <w:t>пуса зажигательных бомб из бумажного литья в следующих количествах: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685"/>
        <w:gridCol w:w="1898"/>
        <w:gridCol w:w="2250"/>
      </w:tblGrid>
      <w:tr w:rsidR="007C5583" w:rsidRPr="008127F8" w14:paraId="13B6DA79" w14:textId="77777777" w:rsidTr="004C5D62">
        <w:trPr>
          <w:trHeight w:val="300"/>
        </w:trPr>
        <w:tc>
          <w:tcPr>
            <w:tcW w:w="2685" w:type="dxa"/>
            <w:shd w:val="clear" w:color="auto" w:fill="FFFFFF"/>
          </w:tcPr>
          <w:p w14:paraId="5C78566E" w14:textId="77777777" w:rsidR="007C5583" w:rsidRPr="008127F8" w:rsidRDefault="007C5583" w:rsidP="004C5D62">
            <w:pPr>
              <w:pStyle w:val="27"/>
              <w:shd w:val="clear" w:color="auto" w:fill="auto"/>
              <w:spacing w:after="0" w:line="240" w:lineRule="auto"/>
              <w:ind w:firstLine="0"/>
              <w:rPr>
                <w:rFonts w:ascii="Times New Roman" w:cs="Times New Roman"/>
                <w:color w:val="000000" w:themeColor="text1"/>
                <w:spacing w:val="0"/>
              </w:rPr>
            </w:pPr>
            <w:r w:rsidRPr="008127F8">
              <w:rPr>
                <w:rStyle w:val="6pt"/>
                <w:rFonts w:ascii="Times New Roman" w:cs="Times New Roman"/>
                <w:color w:val="000000" w:themeColor="text1"/>
                <w:spacing w:val="0"/>
              </w:rPr>
              <w:lastRenderedPageBreak/>
              <w:t>Месяц</w:t>
            </w:r>
          </w:p>
        </w:tc>
        <w:tc>
          <w:tcPr>
            <w:tcW w:w="1898" w:type="dxa"/>
            <w:shd w:val="clear" w:color="auto" w:fill="FFFFFF"/>
          </w:tcPr>
          <w:p w14:paraId="0F98AEC7" w14:textId="77777777" w:rsidR="007C5583" w:rsidRPr="008127F8" w:rsidRDefault="007C5583" w:rsidP="004C5D62">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ЗАБ-100-40-П</w:t>
            </w:r>
          </w:p>
        </w:tc>
        <w:tc>
          <w:tcPr>
            <w:tcW w:w="2250" w:type="dxa"/>
            <w:shd w:val="clear" w:color="auto" w:fill="FFFFFF"/>
          </w:tcPr>
          <w:p w14:paraId="6F75C296" w14:textId="77777777" w:rsidR="007C5583" w:rsidRPr="008127F8" w:rsidRDefault="007C5583" w:rsidP="004C5D62">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ЗАБ-250-100-П</w:t>
            </w:r>
          </w:p>
        </w:tc>
      </w:tr>
      <w:tr w:rsidR="007C5583" w:rsidRPr="008127F8" w14:paraId="67CB8F12" w14:textId="77777777" w:rsidTr="004C5D62">
        <w:trPr>
          <w:trHeight w:val="308"/>
        </w:trPr>
        <w:tc>
          <w:tcPr>
            <w:tcW w:w="2685" w:type="dxa"/>
            <w:shd w:val="clear" w:color="auto" w:fill="FFFFFF"/>
          </w:tcPr>
          <w:p w14:paraId="68E80FAC" w14:textId="77777777" w:rsidR="007C5583" w:rsidRPr="008127F8" w:rsidRDefault="007C5583" w:rsidP="004C5D62">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Июнь</w:t>
            </w:r>
          </w:p>
        </w:tc>
        <w:tc>
          <w:tcPr>
            <w:tcW w:w="1898" w:type="dxa"/>
            <w:shd w:val="clear" w:color="auto" w:fill="FFFFFF"/>
          </w:tcPr>
          <w:p w14:paraId="29AE30C6" w14:textId="77777777" w:rsidR="007C5583" w:rsidRPr="008127F8" w:rsidRDefault="007C5583" w:rsidP="004C5D62">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1000</w:t>
            </w:r>
          </w:p>
        </w:tc>
        <w:tc>
          <w:tcPr>
            <w:tcW w:w="2250" w:type="dxa"/>
            <w:shd w:val="clear" w:color="auto" w:fill="FFFFFF"/>
          </w:tcPr>
          <w:p w14:paraId="1A91D600" w14:textId="77777777" w:rsidR="007C5583" w:rsidRPr="008127F8" w:rsidRDefault="007C5583" w:rsidP="004C5D62">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4000</w:t>
            </w:r>
          </w:p>
        </w:tc>
      </w:tr>
      <w:tr w:rsidR="007C5583" w:rsidRPr="008127F8" w14:paraId="4E80580D" w14:textId="77777777" w:rsidTr="004C5D62">
        <w:trPr>
          <w:trHeight w:val="383"/>
        </w:trPr>
        <w:tc>
          <w:tcPr>
            <w:tcW w:w="2685" w:type="dxa"/>
            <w:shd w:val="clear" w:color="auto" w:fill="FFFFFF"/>
          </w:tcPr>
          <w:p w14:paraId="073C93EA" w14:textId="77777777" w:rsidR="007C5583" w:rsidRPr="008127F8" w:rsidRDefault="007C5583" w:rsidP="004C5D62">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Июль</w:t>
            </w:r>
          </w:p>
        </w:tc>
        <w:tc>
          <w:tcPr>
            <w:tcW w:w="1898" w:type="dxa"/>
            <w:shd w:val="clear" w:color="auto" w:fill="FFFFFF"/>
          </w:tcPr>
          <w:p w14:paraId="3A031A7A" w14:textId="77777777" w:rsidR="007C5583" w:rsidRPr="008127F8" w:rsidRDefault="007C5583" w:rsidP="004C5D62">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4000</w:t>
            </w:r>
          </w:p>
        </w:tc>
        <w:tc>
          <w:tcPr>
            <w:tcW w:w="2250" w:type="dxa"/>
            <w:shd w:val="clear" w:color="auto" w:fill="FFFFFF"/>
          </w:tcPr>
          <w:p w14:paraId="241B8314" w14:textId="77777777" w:rsidR="007C5583" w:rsidRPr="008127F8" w:rsidRDefault="007C5583" w:rsidP="004C5D62">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6000</w:t>
            </w:r>
          </w:p>
        </w:tc>
      </w:tr>
    </w:tbl>
    <w:p w14:paraId="2CBED6FF"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З. Для обеспечения указанной в пункте 2 программы и даль</w:t>
      </w:r>
      <w:r w:rsidRPr="008127F8">
        <w:rPr>
          <w:rFonts w:ascii="Times New Roman" w:cs="Times New Roman"/>
          <w:color w:val="000000" w:themeColor="text1"/>
          <w:spacing w:val="0"/>
        </w:rPr>
        <w:softHyphen/>
        <w:t>нейшего развития производства зажигательных авиационных бомб из бумажного литья обязать Наркоммясоыблпром тов.Смирнова передать Наркомпшцепрому СССР завод</w:t>
      </w:r>
      <w:r w:rsidRPr="008127F8">
        <w:rPr>
          <w:rStyle w:val="MicrosoftSansSerif8pt1pt60"/>
          <w:rFonts w:ascii="Times New Roman" w:eastAsia="Gungsuh" w:hAnsi="Times New Roman" w:cs="Times New Roman"/>
          <w:color w:val="000000" w:themeColor="text1"/>
          <w:spacing w:val="0"/>
        </w:rPr>
        <w:t xml:space="preserve"> "</w:t>
      </w:r>
      <w:r w:rsidRPr="008127F8">
        <w:rPr>
          <w:rFonts w:ascii="Times New Roman" w:cs="Times New Roman"/>
          <w:color w:val="000000" w:themeColor="text1"/>
          <w:spacing w:val="0"/>
        </w:rPr>
        <w:t xml:space="preserve">Клейтук" не поэднее 6.У1.1942 г. по балансу на 1.1У </w:t>
      </w:r>
      <w:r w:rsidRPr="008127F8">
        <w:rPr>
          <w:rStyle w:val="2pt0"/>
          <w:rFonts w:ascii="Times New Roman" w:hAnsi="Times New Roman" w:cs="Times New Roman"/>
          <w:color w:val="000000" w:themeColor="text1"/>
          <w:sz w:val="16"/>
          <w:szCs w:val="16"/>
        </w:rPr>
        <w:t>с.г.</w:t>
      </w:r>
      <w:r w:rsidRPr="008127F8">
        <w:rPr>
          <w:rFonts w:ascii="Times New Roman" w:cs="Times New Roman"/>
          <w:color w:val="000000" w:themeColor="text1"/>
          <w:spacing w:val="0"/>
        </w:rPr>
        <w:t xml:space="preserve"> с возложением на НКПП СССР тов.Пронина обязанностей принять на себя выполнение ос</w:t>
      </w:r>
      <w:r w:rsidRPr="008127F8">
        <w:rPr>
          <w:rFonts w:ascii="Times New Roman" w:cs="Times New Roman"/>
          <w:color w:val="000000" w:themeColor="text1"/>
          <w:spacing w:val="0"/>
        </w:rPr>
        <w:softHyphen/>
        <w:t>новной программы завода "Клейтук".</w:t>
      </w:r>
    </w:p>
    <w:p w14:paraId="304ABA2C"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4. Обязать ГУ ВВС КА тов.Новикова организовать снаряже</w:t>
      </w:r>
      <w:r w:rsidRPr="008127F8">
        <w:rPr>
          <w:rFonts w:ascii="Times New Roman" w:cs="Times New Roman"/>
          <w:color w:val="000000" w:themeColor="text1"/>
          <w:spacing w:val="0"/>
        </w:rPr>
        <w:softHyphen/>
        <w:t>ние зажигательных авиабомб в корпусах из бумажного литья не</w:t>
      </w:r>
      <w:r w:rsidRPr="008127F8">
        <w:rPr>
          <w:rFonts w:ascii="Times New Roman" w:cs="Times New Roman"/>
          <w:color w:val="000000" w:themeColor="text1"/>
          <w:spacing w:val="0"/>
        </w:rPr>
        <w:softHyphen/>
        <w:t>посредственно в авиачастях.</w:t>
      </w:r>
    </w:p>
    <w:p w14:paraId="3DD4F30A"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5. Обязать Наркомбумпром тов.Чеботарева до 5.У1.1941г. передать Наркомпищепрому СССР пять ролл-машин для установки их на заводах бумлитья НКПищепрома СССР.</w:t>
      </w:r>
    </w:p>
    <w:p w14:paraId="2D7CA44B"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6. Обязать Наркомавиапрсм тов.Шахурина изготовить и по</w:t>
      </w:r>
      <w:r w:rsidRPr="008127F8">
        <w:rPr>
          <w:rFonts w:ascii="Times New Roman" w:cs="Times New Roman"/>
          <w:color w:val="000000" w:themeColor="text1"/>
          <w:spacing w:val="0"/>
        </w:rPr>
        <w:softHyphen/>
        <w:t>ставить Нвркомпищепрому СССР матрицы и болванки:</w:t>
      </w:r>
    </w:p>
    <w:p w14:paraId="21B7AD09" w14:textId="77777777" w:rsidR="007C5583" w:rsidRPr="008127F8" w:rsidRDefault="007C5583" w:rsidP="007C5583">
      <w:pPr>
        <w:pStyle w:val="27"/>
        <w:shd w:val="clear" w:color="auto" w:fill="auto"/>
        <w:tabs>
          <w:tab w:val="left" w:pos="3793"/>
          <w:tab w:val="left" w:pos="6035"/>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ab/>
        <w:t>к 20.У1</w:t>
      </w:r>
      <w:r w:rsidRPr="008127F8">
        <w:rPr>
          <w:rFonts w:ascii="Times New Roman" w:cs="Times New Roman"/>
          <w:color w:val="000000" w:themeColor="text1"/>
          <w:spacing w:val="0"/>
        </w:rPr>
        <w:tab/>
        <w:t>к 15.УП</w:t>
      </w:r>
    </w:p>
    <w:p w14:paraId="1E75F94E" w14:textId="77777777" w:rsidR="007C5583" w:rsidRPr="008127F8" w:rsidRDefault="007C5583" w:rsidP="007C5583">
      <w:pPr>
        <w:pStyle w:val="27"/>
        <w:shd w:val="clear" w:color="auto" w:fill="auto"/>
        <w:tabs>
          <w:tab w:val="left" w:pos="3793"/>
          <w:tab w:val="left" w:pos="6035"/>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Матрицы к ЗА5-100-40-П</w:t>
      </w:r>
      <w:r w:rsidRPr="008127F8">
        <w:rPr>
          <w:rFonts w:ascii="Times New Roman" w:cs="Times New Roman"/>
          <w:color w:val="000000" w:themeColor="text1"/>
          <w:spacing w:val="0"/>
        </w:rPr>
        <w:tab/>
        <w:t>20 штук</w:t>
      </w:r>
      <w:r w:rsidRPr="008127F8">
        <w:rPr>
          <w:rFonts w:ascii="Times New Roman" w:cs="Times New Roman"/>
          <w:color w:val="000000" w:themeColor="text1"/>
          <w:spacing w:val="0"/>
        </w:rPr>
        <w:tab/>
        <w:t>25 штук</w:t>
      </w:r>
    </w:p>
    <w:p w14:paraId="2EE9E04E" w14:textId="77777777" w:rsidR="007C5583" w:rsidRPr="008127F8" w:rsidRDefault="007C5583" w:rsidP="007C5583">
      <w:pPr>
        <w:pStyle w:val="27"/>
        <w:shd w:val="clear" w:color="auto" w:fill="auto"/>
        <w:tabs>
          <w:tab w:val="left" w:pos="3793"/>
          <w:tab w:val="left" w:pos="5938"/>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Болванки к ЗАБ-10и-40-П</w:t>
      </w:r>
      <w:r w:rsidRPr="008127F8">
        <w:rPr>
          <w:rFonts w:ascii="Times New Roman" w:cs="Times New Roman"/>
          <w:color w:val="000000" w:themeColor="text1"/>
          <w:spacing w:val="0"/>
        </w:rPr>
        <w:tab/>
        <w:t>50 штук</w:t>
      </w:r>
      <w:r w:rsidRPr="008127F8">
        <w:rPr>
          <w:rFonts w:ascii="Times New Roman" w:cs="Times New Roman"/>
          <w:color w:val="000000" w:themeColor="text1"/>
          <w:spacing w:val="0"/>
        </w:rPr>
        <w:tab/>
        <w:t>100 штук</w:t>
      </w:r>
    </w:p>
    <w:p w14:paraId="5D4EE84D" w14:textId="77777777" w:rsidR="007C5583" w:rsidRPr="008127F8" w:rsidRDefault="007C5583" w:rsidP="007C5583">
      <w:pPr>
        <w:pStyle w:val="27"/>
        <w:shd w:val="clear" w:color="auto" w:fill="auto"/>
        <w:tabs>
          <w:tab w:val="left" w:pos="3800"/>
          <w:tab w:val="left" w:pos="6035"/>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Матрицы к ЗАБ-250-100-П</w:t>
      </w:r>
      <w:r w:rsidRPr="008127F8">
        <w:rPr>
          <w:rFonts w:ascii="Times New Roman" w:cs="Times New Roman"/>
          <w:color w:val="000000" w:themeColor="text1"/>
          <w:spacing w:val="0"/>
        </w:rPr>
        <w:tab/>
        <w:t>20 штук</w:t>
      </w:r>
      <w:r w:rsidRPr="008127F8">
        <w:rPr>
          <w:rFonts w:ascii="Times New Roman" w:cs="Times New Roman"/>
          <w:color w:val="000000" w:themeColor="text1"/>
          <w:spacing w:val="0"/>
        </w:rPr>
        <w:tab/>
        <w:t>20 штук</w:t>
      </w:r>
    </w:p>
    <w:p w14:paraId="3732B541" w14:textId="77777777" w:rsidR="007C5583" w:rsidRPr="008127F8" w:rsidRDefault="007C5583" w:rsidP="007C5583">
      <w:pPr>
        <w:pStyle w:val="27"/>
        <w:shd w:val="clear" w:color="auto" w:fill="auto"/>
        <w:tabs>
          <w:tab w:val="left" w:pos="3785"/>
          <w:tab w:val="left" w:pos="5930"/>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Болванки к ЗАБ-250-Ю0-П</w:t>
      </w:r>
      <w:r w:rsidRPr="008127F8">
        <w:rPr>
          <w:rFonts w:ascii="Times New Roman" w:cs="Times New Roman"/>
          <w:color w:val="000000" w:themeColor="text1"/>
          <w:spacing w:val="0"/>
        </w:rPr>
        <w:tab/>
        <w:t>50 штук</w:t>
      </w:r>
      <w:r w:rsidRPr="008127F8">
        <w:rPr>
          <w:rFonts w:ascii="Times New Roman" w:cs="Times New Roman"/>
          <w:color w:val="000000" w:themeColor="text1"/>
          <w:spacing w:val="0"/>
        </w:rPr>
        <w:tab/>
        <w:t>100 штук</w:t>
      </w:r>
    </w:p>
    <w:p w14:paraId="2F604BF1"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7. Обязать Управление Промысловой Кооперации при СНК РСФСР изготовить в июне и июле 1942 года для Наркомпищепрома СССР 20 тысяч комплектов металлических деталей для зажи</w:t>
      </w:r>
      <w:r w:rsidRPr="008127F8">
        <w:rPr>
          <w:rFonts w:ascii="Times New Roman" w:cs="Times New Roman"/>
          <w:color w:val="000000" w:themeColor="text1"/>
          <w:spacing w:val="0"/>
        </w:rPr>
        <w:softHyphen/>
        <w:t>гательных авиационных бумажно-литых бомб.</w:t>
      </w:r>
    </w:p>
    <w:p w14:paraId="1C4E216A"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б. Обязать Наркомуголь тов.Вахрушева отгружать уголь за</w:t>
      </w:r>
      <w:r w:rsidRPr="008127F8">
        <w:rPr>
          <w:rFonts w:ascii="Times New Roman" w:cs="Times New Roman"/>
          <w:color w:val="000000" w:themeColor="text1"/>
          <w:spacing w:val="0"/>
        </w:rPr>
        <w:softHyphen/>
        <w:t>водам Наркомпищепрома СССР, производящим корпуса зажигатель</w:t>
      </w:r>
      <w:r w:rsidRPr="008127F8">
        <w:rPr>
          <w:rFonts w:ascii="Times New Roman" w:cs="Times New Roman"/>
          <w:color w:val="000000" w:themeColor="text1"/>
          <w:spacing w:val="0"/>
        </w:rPr>
        <w:softHyphen/>
        <w:t>ных авиабомб из бумлитья, в сче.т их фондов в первую очередь.</w:t>
      </w:r>
    </w:p>
    <w:p w14:paraId="7C649035"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9. Обязать Наркомбумпром тоз.Чеботарева, Наркоммясомолпром СССР тов.Смирнова, Нарномхимпроы тоз.Первухина, Нарком- чермет тов.Тевосяна, Главлесосбыт при СНК СССР тов.Лопухова, Наркомэлектропром тов.Кабанова,Наркомлегпром СССР товЛукина,</w:t>
      </w:r>
    </w:p>
    <w:p w14:paraId="38FD440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Главнефтесбыт при СНК СССР тов.Широкова поставить в июне и июле 1</w:t>
      </w:r>
      <w:r w:rsidRPr="008127F8">
        <w:rPr>
          <w:rFonts w:ascii="Times New Roman" w:hAnsi="Times New Roman"/>
          <w:color w:val="000000" w:themeColor="text1"/>
          <w:sz w:val="16"/>
          <w:szCs w:val="16"/>
          <w:lang w:val="en-US"/>
        </w:rPr>
        <w:t>S</w:t>
      </w:r>
      <w:r w:rsidRPr="008127F8">
        <w:rPr>
          <w:rFonts w:ascii="Times New Roman" w:hAnsi="Times New Roman"/>
          <w:color w:val="000000" w:themeColor="text1"/>
          <w:sz w:val="16"/>
          <w:szCs w:val="16"/>
        </w:rPr>
        <w:t>42 г. Наркомпищепрому СССР материалы согласно приложе</w:t>
      </w:r>
      <w:r w:rsidRPr="008127F8">
        <w:rPr>
          <w:rFonts w:ascii="Times New Roman" w:hAnsi="Times New Roman"/>
          <w:color w:val="000000" w:themeColor="text1"/>
          <w:sz w:val="16"/>
          <w:szCs w:val="16"/>
        </w:rPr>
        <w:softHyphen/>
        <w:t>нию .</w:t>
      </w:r>
    </w:p>
    <w:p w14:paraId="6726B2DA" w14:textId="77777777" w:rsidR="007C5583" w:rsidRPr="008127F8" w:rsidRDefault="007C5583" w:rsidP="007C5583">
      <w:pPr>
        <w:tabs>
          <w:tab w:val="left" w:pos="170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Обязать Наркомцветмет тов.Ломако выделить Наркомэлектропрому в счет резерва СНК СССР в июне месяце 1942 года 2 тонны алюминия целевым назначением для изготовления алюми</w:t>
      </w:r>
      <w:r w:rsidRPr="008127F8">
        <w:rPr>
          <w:rFonts w:ascii="Times New Roman" w:hAnsi="Times New Roman"/>
          <w:color w:val="000000" w:themeColor="text1"/>
          <w:sz w:val="16"/>
          <w:szCs w:val="16"/>
        </w:rPr>
        <w:softHyphen/>
        <w:t>ниевой проволоки.</w:t>
      </w:r>
    </w:p>
    <w:p w14:paraId="52A842E4" w14:textId="77777777" w:rsidR="007C5583" w:rsidRPr="008127F8" w:rsidRDefault="007C5583" w:rsidP="007C5583">
      <w:pPr>
        <w:tabs>
          <w:tab w:val="left" w:pos="170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Обязать НКПС тов. Хрулева отправлять грузы, идущие в адреса заводов Наркомпищепрома СССР, изготовляющих корпуса авиационных зажигательных бомб из бумлитья, первыми отходя</w:t>
      </w:r>
      <w:r w:rsidRPr="008127F8">
        <w:rPr>
          <w:rFonts w:ascii="Times New Roman" w:hAnsi="Times New Roman"/>
          <w:color w:val="000000" w:themeColor="text1"/>
          <w:sz w:val="16"/>
          <w:szCs w:val="16"/>
        </w:rPr>
        <w:softHyphen/>
        <w:t>щими поездами (пассажирскими, воинскими) и принимать в адре</w:t>
      </w:r>
      <w:r w:rsidRPr="008127F8">
        <w:rPr>
          <w:rFonts w:ascii="Times New Roman" w:hAnsi="Times New Roman"/>
          <w:color w:val="000000" w:themeColor="text1"/>
          <w:sz w:val="16"/>
          <w:szCs w:val="16"/>
        </w:rPr>
        <w:softHyphen/>
        <w:t>са этих заводов грузы дс 5 тонн для отправки багажом.</w:t>
      </w:r>
    </w:p>
    <w:p w14:paraId="1C1AFBA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Обязать Совнарком Татарской АССР:</w:t>
      </w:r>
    </w:p>
    <w:p w14:paraId="5235BCF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в декадный срок обеспечить освобождение 3-го этажа помещения Казанского завода экспериментальных изделий (Тукаевская ул. д.115) и переселить школу </w:t>
      </w:r>
      <w:r w:rsidRPr="008127F8">
        <w:rPr>
          <w:rStyle w:val="-1pt"/>
          <w:rFonts w:ascii="Times New Roman" w:hAnsi="Times New Roman" w:cs="Times New Roman"/>
          <w:color w:val="000000" w:themeColor="text1"/>
          <w:sz w:val="16"/>
          <w:szCs w:val="16"/>
        </w:rPr>
        <w:t>ФЗУ</w:t>
      </w:r>
      <w:r w:rsidRPr="008127F8">
        <w:rPr>
          <w:rFonts w:ascii="Times New Roman" w:hAnsi="Times New Roman"/>
          <w:color w:val="000000" w:themeColor="text1"/>
          <w:sz w:val="16"/>
          <w:szCs w:val="16"/>
        </w:rPr>
        <w:t xml:space="preserve"> в другое поме</w:t>
      </w:r>
      <w:r w:rsidRPr="008127F8">
        <w:rPr>
          <w:rFonts w:ascii="Times New Roman" w:hAnsi="Times New Roman"/>
          <w:color w:val="000000" w:themeColor="text1"/>
          <w:sz w:val="16"/>
          <w:szCs w:val="16"/>
        </w:rPr>
        <w:softHyphen/>
        <w:t>щение ;</w:t>
      </w:r>
    </w:p>
    <w:p w14:paraId="729F3482" w14:textId="77777777" w:rsidR="007C5583" w:rsidRPr="008127F8" w:rsidRDefault="007C5583" w:rsidP="007C5583">
      <w:pPr>
        <w:tabs>
          <w:tab w:val="left" w:pos="172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 декадный срок освободить складочное помещение Ка</w:t>
      </w:r>
      <w:r w:rsidRPr="008127F8">
        <w:rPr>
          <w:rFonts w:ascii="Times New Roman" w:hAnsi="Times New Roman"/>
          <w:color w:val="000000" w:themeColor="text1"/>
          <w:sz w:val="16"/>
          <w:szCs w:val="16"/>
        </w:rPr>
        <w:softHyphen/>
        <w:t>занского завода экспериментальных изделий, частично занятое под овощехранилище;</w:t>
      </w:r>
    </w:p>
    <w:p w14:paraId="60AE44D4" w14:textId="77777777" w:rsidR="007C5583" w:rsidRPr="008127F8" w:rsidRDefault="007C5583" w:rsidP="007C5583">
      <w:pPr>
        <w:tabs>
          <w:tab w:val="left" w:pos="172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до 10-го июня выделить звводу экспериментальных изделий по его заявке </w:t>
      </w:r>
      <w:r w:rsidRPr="008127F8">
        <w:rPr>
          <w:rStyle w:val="-1pt"/>
          <w:rFonts w:ascii="Times New Roman" w:hAnsi="Times New Roman" w:cs="Times New Roman"/>
          <w:color w:val="000000" w:themeColor="text1"/>
          <w:sz w:val="16"/>
          <w:szCs w:val="16"/>
        </w:rPr>
        <w:t>300</w:t>
      </w:r>
      <w:r w:rsidRPr="008127F8">
        <w:rPr>
          <w:rFonts w:ascii="Times New Roman" w:hAnsi="Times New Roman"/>
          <w:color w:val="000000" w:themeColor="text1"/>
          <w:sz w:val="16"/>
          <w:szCs w:val="16"/>
        </w:rPr>
        <w:t xml:space="preserve"> человек рабочих за счет их переброс</w:t>
      </w:r>
      <w:r w:rsidRPr="008127F8">
        <w:rPr>
          <w:rFonts w:ascii="Times New Roman" w:hAnsi="Times New Roman"/>
          <w:color w:val="000000" w:themeColor="text1"/>
          <w:sz w:val="16"/>
          <w:szCs w:val="16"/>
        </w:rPr>
        <w:softHyphen/>
        <w:t>ки с других предприятий;</w:t>
      </w:r>
    </w:p>
    <w:p w14:paraId="18935E8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полностью обеспечить потребность завода эксперимен</w:t>
      </w:r>
      <w:r w:rsidRPr="008127F8">
        <w:rPr>
          <w:rFonts w:ascii="Times New Roman" w:hAnsi="Times New Roman"/>
          <w:color w:val="000000" w:themeColor="text1"/>
          <w:sz w:val="16"/>
          <w:szCs w:val="16"/>
        </w:rPr>
        <w:softHyphen/>
        <w:t>тальных иэделий в технологическом паре и электроэнергии по его заявке.</w:t>
      </w:r>
    </w:p>
    <w:p w14:paraId="689ED90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13.Обязать Наркомат Авиационной Промышленности СССР в декадный срок возвратить Наркомпищепрому СССР территорию и бездействующее производственное </w:t>
      </w:r>
      <w:r w:rsidRPr="008127F8">
        <w:rPr>
          <w:rFonts w:ascii="Times New Roman" w:hAnsi="Times New Roman"/>
          <w:color w:val="000000" w:themeColor="text1"/>
          <w:sz w:val="16"/>
          <w:szCs w:val="16"/>
          <w:lang w:val="en-US"/>
        </w:rPr>
        <w:t>p</w:t>
      </w:r>
      <w:r w:rsidRPr="008127F8">
        <w:rPr>
          <w:rFonts w:ascii="Times New Roman" w:hAnsi="Times New Roman"/>
          <w:color w:val="000000" w:themeColor="text1"/>
          <w:sz w:val="16"/>
          <w:szCs w:val="16"/>
        </w:rPr>
        <w:t>дание бывшего Лесотарного завода (Старо-Петровский проезд, д. 3), переданных заводу № 20 до его эвакуации.</w:t>
      </w:r>
    </w:p>
    <w:p w14:paraId="30F9D0C5" w14:textId="77777777" w:rsidR="007C5583" w:rsidRPr="008127F8" w:rsidRDefault="007C5583" w:rsidP="007C5583">
      <w:pPr>
        <w:tabs>
          <w:tab w:val="left" w:pos="239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Разрешить НКПП СССР организовать на предприятиях бу</w:t>
      </w:r>
      <w:r w:rsidRPr="008127F8">
        <w:rPr>
          <w:rFonts w:ascii="Times New Roman" w:hAnsi="Times New Roman"/>
          <w:color w:val="000000" w:themeColor="text1"/>
          <w:sz w:val="16"/>
          <w:szCs w:val="16"/>
        </w:rPr>
        <w:softHyphen/>
        <w:t>мажного литья, вырабатывающих авиационные зажигательные бомбы, Отделы Рабочего Снабжения.</w:t>
      </w:r>
    </w:p>
    <w:p w14:paraId="7ACAD18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15. Разрешить Наркомпищепрому </w:t>
      </w:r>
      <w:r w:rsidRPr="008127F8">
        <w:rPr>
          <w:rFonts w:ascii="Times New Roman" w:hAnsi="Times New Roman"/>
          <w:color w:val="000000" w:themeColor="text1"/>
          <w:sz w:val="16"/>
          <w:szCs w:val="16"/>
          <w:lang w:val="en-US"/>
        </w:rPr>
        <w:t>CCCF</w:t>
      </w:r>
      <w:r w:rsidRPr="008127F8">
        <w:rPr>
          <w:rFonts w:ascii="Times New Roman" w:hAnsi="Times New Roman"/>
          <w:color w:val="000000" w:themeColor="text1"/>
          <w:sz w:val="16"/>
          <w:szCs w:val="16"/>
        </w:rPr>
        <w:t xml:space="preserve"> организовать Научно- Исследовательскую лабораторию по изучению вопросов, связан</w:t>
      </w:r>
      <w:r w:rsidRPr="008127F8">
        <w:rPr>
          <w:rFonts w:ascii="Times New Roman" w:hAnsi="Times New Roman"/>
          <w:color w:val="000000" w:themeColor="text1"/>
          <w:sz w:val="16"/>
          <w:szCs w:val="16"/>
        </w:rPr>
        <w:softHyphen/>
        <w:t>ных с широким применением бумажного литья для оборонных це</w:t>
      </w:r>
      <w:r w:rsidRPr="008127F8">
        <w:rPr>
          <w:rFonts w:ascii="Times New Roman" w:hAnsi="Times New Roman"/>
          <w:color w:val="000000" w:themeColor="text1"/>
          <w:sz w:val="16"/>
          <w:szCs w:val="16"/>
        </w:rPr>
        <w:softHyphen/>
        <w:t>лей (19339).</w:t>
      </w:r>
    </w:p>
    <w:p w14:paraId="51D44E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C3433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июля 1942 г. последовал ответ В.М. Молотова на письмо Шэн Шицай на имя И.В. Сталина, В.М. Молотова и маршалов К.Е. Ворошилова и С.К. Тимошенко от 10 мая 1942 г. с изложением обвинений советских работ</w:t>
      </w:r>
      <w:r w:rsidRPr="008127F8">
        <w:rPr>
          <w:rFonts w:ascii="Times New Roman" w:hAnsi="Times New Roman"/>
          <w:color w:val="000000" w:themeColor="text1"/>
          <w:sz w:val="16"/>
          <w:szCs w:val="16"/>
        </w:rPr>
        <w:softHyphen/>
        <w:t>ников в Синьцзяне в провоцировании ухудшения советско-китайских отношений, подчеркнувшего, что с письмом озна</w:t>
      </w:r>
      <w:r w:rsidRPr="008127F8">
        <w:rPr>
          <w:rFonts w:ascii="Times New Roman" w:hAnsi="Times New Roman"/>
          <w:color w:val="000000" w:themeColor="text1"/>
          <w:sz w:val="16"/>
          <w:szCs w:val="16"/>
        </w:rPr>
        <w:softHyphen/>
        <w:t>комился также и И.В. Сталин. Молотов ответил, что «в присланных материалах и в пись</w:t>
      </w:r>
      <w:r w:rsidRPr="008127F8">
        <w:rPr>
          <w:rFonts w:ascii="Times New Roman" w:hAnsi="Times New Roman"/>
          <w:color w:val="000000" w:themeColor="text1"/>
          <w:sz w:val="16"/>
          <w:szCs w:val="16"/>
        </w:rPr>
        <w:softHyphen/>
        <w:t>ме возводятся неслыханные и совершенно бездоказательные обвинения... [которые] основываются на каких-то провокационных слухах, и... Вы, г. Дубань, попали в плен этих слухов. Если верить слухам, то, например, по слухам, циркулирующим в Синьцзяне и в Москве, виновником смерти Шэн Шици называют Вас, г. Дубань. При этом утверждают, что Вы организовали убийство Шэн Шици, считая последнего своим соперником в деле управления Синьцзяном...</w:t>
      </w:r>
    </w:p>
    <w:p w14:paraId="55F7079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нас вызывает также большое сомнение правильность таких Ваших действий, как не</w:t>
      </w:r>
      <w:r w:rsidRPr="008127F8">
        <w:rPr>
          <w:rFonts w:ascii="Times New Roman" w:hAnsi="Times New Roman"/>
          <w:color w:val="000000" w:themeColor="text1"/>
          <w:sz w:val="16"/>
          <w:szCs w:val="16"/>
        </w:rPr>
        <w:softHyphen/>
        <w:t>прекращающиеся репрессии, снятие с постов и аресты крупных деятелей Синьцзяна, что приобрело крайне широкий и опасный характер. Есть угроза, что такими действиями будет ликвидирована большая часть гражданских и военных кадров в Синьцзяне.</w:t>
      </w:r>
    </w:p>
    <w:p w14:paraId="00EB584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Нам кажется, что в среду окружающих Вас деятелей в Синьцзяне затесались скрытые агенты враждебной Китаю империалистической державы, которые хотят испортить от</w:t>
      </w:r>
      <w:r w:rsidRPr="008127F8">
        <w:rPr>
          <w:rFonts w:ascii="Times New Roman" w:hAnsi="Times New Roman"/>
          <w:color w:val="000000" w:themeColor="text1"/>
          <w:sz w:val="16"/>
          <w:szCs w:val="16"/>
        </w:rPr>
        <w:softHyphen/>
        <w:t>ношения между Китаем и СССР, подорвать положение в Синьцзяне, а Вас — превратить в свое орудие...»</w:t>
      </w:r>
    </w:p>
    <w:p w14:paraId="5FA600D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Затем Молотов напомнил Шэн Шицаю о ранее допущенных «серьёзных ошибках, вредных для Китая и выгодных для врагов Китая, навеянных, по-видимому, какими-то скрытыми агентами врагов Китая», которые помогло исправить Правительство СССР.</w:t>
      </w:r>
    </w:p>
    <w:p w14:paraId="7E7A432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Далее в документе речь шла о том, как «ещё в 1934 г. Шэн Шицай обратился к СССР с предложением о «скорейшем осуществлении коммунизма в Синьцзяне и распростра</w:t>
      </w:r>
      <w:r w:rsidRPr="008127F8">
        <w:rPr>
          <w:rFonts w:ascii="Times New Roman" w:hAnsi="Times New Roman"/>
          <w:color w:val="000000" w:themeColor="text1"/>
          <w:sz w:val="16"/>
          <w:szCs w:val="16"/>
        </w:rPr>
        <w:softHyphen/>
        <w:t>нении его на [соседние провинции] Ганьсу и Шэньси», при этом указывая, что это «единственный путь для спасения Китая и Синьцзяна в свержении Центрального Прави</w:t>
      </w:r>
      <w:r w:rsidRPr="008127F8">
        <w:rPr>
          <w:rFonts w:ascii="Times New Roman" w:hAnsi="Times New Roman"/>
          <w:color w:val="000000" w:themeColor="text1"/>
          <w:sz w:val="16"/>
          <w:szCs w:val="16"/>
        </w:rPr>
        <w:softHyphen/>
        <w:t>тельства Китая во главе с Чан Кайши». Правительство СССР, считая эту позицию оши</w:t>
      </w:r>
      <w:r w:rsidRPr="008127F8">
        <w:rPr>
          <w:rFonts w:ascii="Times New Roman" w:hAnsi="Times New Roman"/>
          <w:color w:val="000000" w:themeColor="text1"/>
          <w:sz w:val="16"/>
          <w:szCs w:val="16"/>
        </w:rPr>
        <w:softHyphen/>
        <w:t>бочной и вредной, заявило тогда, что «оно ни в коем случае не может одобрить политику скорейшего осуществления коммунизма в такой отсталой стране, как Синьцзян. Тогда же Советское Правительство... настаивало на проведении политики полной лояльности к Центральному Правительству и единого фронта с ним в борьбе с империализмом» (15811).</w:t>
      </w:r>
    </w:p>
    <w:p w14:paraId="336EB2F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8D577F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70671E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16B9C1"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На 3 июня 1942 года на ЧКЗ находилось 534 броне корпуса КВ (389 производства Уралмашзавода и 145 за</w:t>
      </w:r>
      <w:r w:rsidRPr="008127F8">
        <w:rPr>
          <w:rFonts w:ascii="Times New Roman" w:cs="Times New Roman"/>
          <w:color w:val="000000" w:themeColor="text1"/>
          <w:spacing w:val="0"/>
        </w:rPr>
        <w:softHyphen/>
        <w:t>вода № 200). Легко видеть, что даже этого количества хвалило бы на обеспечение про</w:t>
      </w:r>
      <w:r w:rsidRPr="008127F8">
        <w:rPr>
          <w:rFonts w:ascii="Times New Roman" w:cs="Times New Roman"/>
          <w:color w:val="000000" w:themeColor="text1"/>
          <w:spacing w:val="0"/>
        </w:rPr>
        <w:softHyphen/>
        <w:t>граммы КВ-1 июня — августа, и это без учета поступления новых бронекорпусов с УЗТМ и завода № 200 в течение этих месяцев (15226).</w:t>
      </w:r>
    </w:p>
    <w:p w14:paraId="65E0FC00"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p>
    <w:p w14:paraId="0330728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г. был подготовлен ПРОТОКОЛ ТЕХНИЧЕСКОГО СОВЕЩАНИЯ В ГАБТУ ПО ВОПРОСУ РЕАЛИЗАЦИИ ПРЕДЛОЖЕНИЯ О СОЗДАНИИ ТЯЖЕЛОГО БРОНИРОВАННОГО ТЯГАЧА НА БАЗЕ ТАНКА КВ</w:t>
      </w:r>
    </w:p>
    <w:p w14:paraId="74A584E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УТВЕРЖДАЮ</w:t>
      </w:r>
    </w:p>
    <w:p w14:paraId="0CE9253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Заместитель начальника ГАБТУ КА генерал-майор технических войск</w:t>
      </w:r>
    </w:p>
    <w:p w14:paraId="67453A2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Лебедев</w:t>
      </w:r>
    </w:p>
    <w:p w14:paraId="65D479C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УТВЕРЖДАЮ</w:t>
      </w:r>
    </w:p>
    <w:p w14:paraId="234FB29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ГАБТУ КА армейский комиссар 2 ранга</w:t>
      </w:r>
    </w:p>
    <w:p w14:paraId="438202C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Бирюков</w:t>
      </w:r>
    </w:p>
    <w:p w14:paraId="6DB226B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ПРОТОКОЛ</w:t>
      </w:r>
    </w:p>
    <w:p w14:paraId="66836BA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Присутствовали: инженер-подполковник Ковалев</w:t>
      </w:r>
    </w:p>
    <w:p w14:paraId="5AC5E29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инженер-подполковник Чиков,</w:t>
      </w:r>
    </w:p>
    <w:p w14:paraId="7491F35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инженер-полковник Дацюк,</w:t>
      </w:r>
    </w:p>
    <w:p w14:paraId="1E3278C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инженер-подполковник Олейников,</w:t>
      </w:r>
    </w:p>
    <w:p w14:paraId="1150281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инженер-майор Слонов.</w:t>
      </w:r>
    </w:p>
    <w:p w14:paraId="4B1F8E6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Постановили. Для удовлетворения нужд фронтов в тяжелых бронированных тягачах считать це</w:t>
      </w:r>
      <w:r w:rsidRPr="008127F8">
        <w:rPr>
          <w:rFonts w:ascii="Times New Roman" w:hAnsi="Times New Roman"/>
          <w:color w:val="000000" w:themeColor="text1"/>
          <w:sz w:val="16"/>
          <w:szCs w:val="16"/>
        </w:rPr>
        <w:softHyphen/>
        <w:t>лесообразным использовать для этих целей базу танков КВ или Т-34.</w:t>
      </w:r>
    </w:p>
    <w:p w14:paraId="14A6727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Отсутствие бронированных тягачей ставит в тяжелое положение танковые части, которые вы</w:t>
      </w:r>
      <w:r w:rsidRPr="008127F8">
        <w:rPr>
          <w:rFonts w:ascii="Times New Roman" w:hAnsi="Times New Roman"/>
          <w:color w:val="000000" w:themeColor="text1"/>
          <w:sz w:val="16"/>
          <w:szCs w:val="16"/>
        </w:rPr>
        <w:softHyphen/>
        <w:t>нуждены эвакуацию аварийных танков КВ и Т-34 производить боевыми танками.</w:t>
      </w:r>
    </w:p>
    <w:p w14:paraId="5081F46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что постройка на заводе № 183 специальных тягачей на базе танка Т-34 и их испыта</w:t>
      </w:r>
      <w:r w:rsidRPr="008127F8">
        <w:rPr>
          <w:rFonts w:ascii="Times New Roman" w:hAnsi="Times New Roman"/>
          <w:color w:val="000000" w:themeColor="text1"/>
          <w:sz w:val="16"/>
          <w:szCs w:val="16"/>
        </w:rPr>
        <w:softHyphen/>
        <w:t>ний займет максимум 3-4 месяца, а потребность танковых частей в мощных бронированных эвакос-редствах продолжает оставаться неудовлетворительной, а поэтому единственным выходом из соз</w:t>
      </w:r>
      <w:r w:rsidRPr="008127F8">
        <w:rPr>
          <w:rFonts w:ascii="Times New Roman" w:hAnsi="Times New Roman"/>
          <w:color w:val="000000" w:themeColor="text1"/>
          <w:sz w:val="16"/>
          <w:szCs w:val="16"/>
        </w:rPr>
        <w:softHyphen/>
        <w:t xml:space="preserve">давшегося положения является </w:t>
      </w:r>
      <w:r w:rsidRPr="008127F8">
        <w:rPr>
          <w:rFonts w:ascii="Times New Roman" w:hAnsi="Times New Roman"/>
          <w:color w:val="000000" w:themeColor="text1"/>
          <w:sz w:val="16"/>
          <w:szCs w:val="16"/>
        </w:rPr>
        <w:lastRenderedPageBreak/>
        <w:t>использование танков КВ и Т-34 с поврежденными корпусами и осо</w:t>
      </w:r>
      <w:r w:rsidRPr="008127F8">
        <w:rPr>
          <w:rFonts w:ascii="Times New Roman" w:hAnsi="Times New Roman"/>
          <w:color w:val="000000" w:themeColor="text1"/>
          <w:sz w:val="16"/>
          <w:szCs w:val="16"/>
        </w:rPr>
        <w:softHyphen/>
        <w:t>бенно башнями и вооружением в качестве тягачей.</w:t>
      </w:r>
    </w:p>
    <w:p w14:paraId="248AF87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этого необходимо разрешить фронтам переоборудовать по 10 танков КВ и Т-34 под тягачи, привлекая для этого имеющиеся ремонтные средства фронтов. Разрешение на переоборудование танков под тягачи производится каждый раз с санкции ГАБТУ КА после представления утвержден</w:t>
      </w:r>
      <w:r w:rsidRPr="008127F8">
        <w:rPr>
          <w:rFonts w:ascii="Times New Roman" w:hAnsi="Times New Roman"/>
          <w:color w:val="000000" w:themeColor="text1"/>
          <w:sz w:val="16"/>
          <w:szCs w:val="16"/>
        </w:rPr>
        <w:softHyphen/>
        <w:t>ных военным советом фронта актов техсостояния машин.</w:t>
      </w:r>
    </w:p>
    <w:p w14:paraId="026A417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Считать целесообразным использовать эти тягачи в качестве армейских эвакуационных средств, не распыляя их по частям.</w:t>
      </w:r>
    </w:p>
    <w:p w14:paraId="415E95C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АТУ и РЭУ ГАБТУ КА к 7 июня с.г. разработать технические условия и табель оборудования и вооружения тягачей КВ и Т-34.</w:t>
      </w:r>
    </w:p>
    <w:p w14:paraId="64A5A0F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БТУ КА - инженер-подполковник Ковалев,</w:t>
      </w:r>
    </w:p>
    <w:p w14:paraId="411CAC6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инженер-подполковник Чиков,</w:t>
      </w:r>
    </w:p>
    <w:p w14:paraId="040F87C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АТУ КА - инженер-полковник Дацюк,</w:t>
      </w:r>
    </w:p>
    <w:p w14:paraId="62D876E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РЭУ КА - инженер-подполковник Олейников,</w:t>
      </w:r>
    </w:p>
    <w:p w14:paraId="2556F3D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инженер-майор Слонов.</w:t>
      </w:r>
    </w:p>
    <w:p w14:paraId="13D5F44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ЗАМЕЧАНИЯ</w:t>
      </w:r>
    </w:p>
    <w:p w14:paraId="1208E17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Вопрос о создании универсальных тяжелых бронированных тягачей стоял еще в 1939-1941 г.г.</w:t>
      </w:r>
    </w:p>
    <w:p w14:paraId="79BF843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Кировский завод в Ленинграде сделал технический проект и макет в дереве специального бронирован</w:t>
      </w:r>
      <w:r w:rsidRPr="008127F8">
        <w:rPr>
          <w:rFonts w:ascii="Times New Roman" w:hAnsi="Times New Roman"/>
          <w:color w:val="000000" w:themeColor="text1"/>
          <w:sz w:val="16"/>
          <w:szCs w:val="16"/>
        </w:rPr>
        <w:softHyphen/>
        <w:t>ного тягача, но вследствие ограниченных производственных возможностей эта работа была не окончена.</w:t>
      </w:r>
    </w:p>
    <w:p w14:paraId="43407CA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танки КВ, Т-34, иностранные М-3 средние и в недалеком будущем «Черчилль» нуждаются в специальных бронированных мощных тягачах.</w:t>
      </w:r>
    </w:p>
    <w:p w14:paraId="1BFB464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сих пор задачу эвакуации тяжелых танков с поля боя под огнем противника выполняли одно</w:t>
      </w:r>
      <w:r w:rsidRPr="008127F8">
        <w:rPr>
          <w:rFonts w:ascii="Times New Roman" w:hAnsi="Times New Roman"/>
          <w:color w:val="000000" w:themeColor="text1"/>
          <w:sz w:val="16"/>
          <w:szCs w:val="16"/>
        </w:rPr>
        <w:softHyphen/>
        <w:t>типными танками или сцепом 2 и боле танков Т-28 или других.</w:t>
      </w:r>
    </w:p>
    <w:p w14:paraId="11C3ADF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недостатках боевых машин и необходимостях использования их по прямому назначению вопрос эвакуации тяжелых танков с поля боя до сих пор не решен.</w:t>
      </w:r>
    </w:p>
    <w:p w14:paraId="1AF5C1F6"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Предложение Ленинградцев об использовании некондиционных танков КВ со снятой башней для целей эвакуации не является новым. Отсутствие некондиционных танков КВ и необходимость выпуска в первую очередь боевых танков мешали нам выпустить тягачи КВ.</w:t>
      </w:r>
    </w:p>
    <w:p w14:paraId="611EBD0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Вследствие того, что сейчас фронты имеют все большее количество тяжелых танков, назрел во</w:t>
      </w:r>
      <w:r w:rsidRPr="008127F8">
        <w:rPr>
          <w:rFonts w:ascii="Times New Roman" w:hAnsi="Times New Roman"/>
          <w:color w:val="000000" w:themeColor="text1"/>
          <w:sz w:val="16"/>
          <w:szCs w:val="16"/>
        </w:rPr>
        <w:softHyphen/>
        <w:t>прос о выпуске подобных тягачей.</w:t>
      </w:r>
    </w:p>
    <w:p w14:paraId="73478EE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Танки КВ со снятыми башнями можно легко приспособить для целей эвакуации подбитых танков.</w:t>
      </w:r>
    </w:p>
    <w:p w14:paraId="1B417B4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Тягового усилия на грунте не всегда будет достаточно для эвакуации танков КВ. Величина тяго</w:t>
      </w:r>
      <w:r w:rsidRPr="008127F8">
        <w:rPr>
          <w:rFonts w:ascii="Times New Roman" w:hAnsi="Times New Roman"/>
          <w:color w:val="000000" w:themeColor="text1"/>
          <w:sz w:val="16"/>
          <w:szCs w:val="16"/>
        </w:rPr>
        <w:softHyphen/>
        <w:t>вых усилий на сыром грунте и в случаях сильно пересеченной местности будут недостаточны, но, не</w:t>
      </w:r>
      <w:r w:rsidRPr="008127F8">
        <w:rPr>
          <w:rFonts w:ascii="Times New Roman" w:hAnsi="Times New Roman"/>
          <w:color w:val="000000" w:themeColor="text1"/>
          <w:sz w:val="16"/>
          <w:szCs w:val="16"/>
        </w:rPr>
        <w:softHyphen/>
        <w:t>смотря на это, подобные тягачи сейчас нужны.</w:t>
      </w:r>
    </w:p>
    <w:p w14:paraId="3A22F9F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Считаю, необходимо поставить вопрос о перестройке под тягачи те танки КВ, которые имеют де</w:t>
      </w:r>
      <w:r w:rsidRPr="008127F8">
        <w:rPr>
          <w:rFonts w:ascii="Times New Roman" w:hAnsi="Times New Roman"/>
          <w:color w:val="000000" w:themeColor="text1"/>
          <w:sz w:val="16"/>
          <w:szCs w:val="16"/>
        </w:rPr>
        <w:softHyphen/>
        <w:t>фектные агрегаты (корпус, ходовую часть, трансмиссию), с вооружением пушками Л-10 и Л-11. На</w:t>
      </w:r>
      <w:r w:rsidRPr="008127F8">
        <w:rPr>
          <w:rFonts w:ascii="Times New Roman" w:hAnsi="Times New Roman"/>
          <w:color w:val="000000" w:themeColor="text1"/>
          <w:sz w:val="16"/>
          <w:szCs w:val="16"/>
        </w:rPr>
        <w:softHyphen/>
        <w:t>личие хотя бы одного такого тягача на бригаду сильно поможет делу эвакуации танков, освободит от эвакуационных работ боевые танки.</w:t>
      </w:r>
    </w:p>
    <w:p w14:paraId="6ADCEBF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первых порах целесообразно эту работу поручить рембазам НКО с выпуском 20 штук тяга</w:t>
      </w:r>
      <w:r w:rsidRPr="008127F8">
        <w:rPr>
          <w:rFonts w:ascii="Times New Roman" w:hAnsi="Times New Roman"/>
          <w:color w:val="000000" w:themeColor="text1"/>
          <w:sz w:val="16"/>
          <w:szCs w:val="16"/>
        </w:rPr>
        <w:softHyphen/>
        <w:t>чей с набором инструмента и размещением рем. бригады из 5-6 человек. После боевой эксплуатации этих тягачей решить вопрос о дальнейшем.</w:t>
      </w:r>
    </w:p>
    <w:p w14:paraId="385493F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Старший помощник начальника 5 отдела БТУ ГАБТУ КА инженер-подполковник Ковалев</w:t>
      </w:r>
    </w:p>
    <w:p w14:paraId="1FBDE1C5"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11355. Д. 935. Л. 147-148. Подлинник (11211).</w:t>
      </w:r>
    </w:p>
    <w:p w14:paraId="528B1762"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kern w:val="65535"/>
          <w:sz w:val="16"/>
          <w:szCs w:val="16"/>
        </w:rPr>
      </w:pPr>
    </w:p>
    <w:p w14:paraId="3D0CFC1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вышло Постановление ГКО № 1843 Об увеличении выпуска пушек УСВ на заводе № 221 НКВ. РГАНИР, Фонд ГКО, д. 37, лл. 8 (11012).</w:t>
      </w:r>
    </w:p>
    <w:p w14:paraId="3630EBD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D50C0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вышло Постановление ГКО № 1844 Об условиях Всесоюзного социалистического соревнования строителей металлургических заводов и цехов, осуществляемых Наркомчерметом. РГАНИР, Фонд ГКО, д. 37, лл. 9 (11012).</w:t>
      </w:r>
    </w:p>
    <w:p w14:paraId="413BF9E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EE1E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вышло Постановление ГКО № 1845 О плане производства и поставок артиллерийского и стрелкового вооружения и военных приборов на июнь месяц 1942 года. РГАНИР, Фонд ГКО, д. 37, лл. 10-18, 19-25 (11012).</w:t>
      </w:r>
    </w:p>
    <w:p w14:paraId="2E1704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0358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вышло Постановление ГКО № 1846 О плане производства минометов на июнь месяц 1942 года. РГАНИР, Фонд ГКО, д. 37, лл. 26-33, 34-37 (11012).</w:t>
      </w:r>
    </w:p>
    <w:p w14:paraId="4F573D6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DA6F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вышло Постановление ГКО № 1847 О плане производства и поставок пулеметов-пистолетов Шпагина на июнь месяц 1942 года. РГАНИР, Фонд ГКО, д. 37, лл. 38-42, 43-45 (11012).</w:t>
      </w:r>
    </w:p>
    <w:p w14:paraId="36F85E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3E1E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вышло Постановление ГКО № 1848 О плане производства на июнь месяц 1942 г. РГАНИР, Фонд ГКО, д. 37, лл. 46-59, 60-216 (11012).</w:t>
      </w:r>
    </w:p>
    <w:p w14:paraId="77168AF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DD06C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вышло Постановление ГКО № 1849 О плане производства 82 мм мин на июнь и июль месяцы 1942 года. РГАНИР, Фонд ГКО, д. 37, лл. 217-225, 226-297 (11012).</w:t>
      </w:r>
    </w:p>
    <w:p w14:paraId="585B03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949B6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7E19922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08F20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 июня</w:t>
      </w:r>
      <w:r w:rsidRPr="008127F8">
        <w:rPr>
          <w:rFonts w:ascii="Times New Roman" w:hAnsi="Times New Roman"/>
          <w:color w:val="000000" w:themeColor="text1"/>
          <w:sz w:val="16"/>
          <w:szCs w:val="16"/>
        </w:rPr>
        <w:t xml:space="preserve"> в 1942 году утреннее сообщение Совинформбюро:</w:t>
      </w:r>
    </w:p>
    <w:p w14:paraId="1039ED2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3 июня на фронте существенных изменений не произошло.</w:t>
      </w:r>
    </w:p>
    <w:p w14:paraId="194BDF9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Калининского фронта, в течение двух дней отразила несколько атак немецкой пехоты. В результате боя сожжены 3 немецких танка и броневик, уничтожено 4 орудия, 6 пулемётов, взорван складе боеприпасами. Нашими бойцами захвачены трофеи: 5 автомашин со снарядами, 8 мотоциклов, 3 пулемета, 5 миномётов и 20.000 патронов. Немцы потеряли убитыми 650 солдат и офицеров. Взяты пленные.</w:t>
      </w:r>
    </w:p>
    <w:p w14:paraId="0ECE59D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части, действующей на одном из участков Южного фронта, уничтожили 9 немецких артиллерийских батарей и, кроме того, 100 орудий, склад сбоеприпасами и до 300 солдат и офицеров противника.</w:t>
      </w:r>
    </w:p>
    <w:p w14:paraId="1D592B6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части, где командиром тов. Сазонов, разрушили 20 блиндажей и уничтожили находившихся в них 150 гитлеровцев.</w:t>
      </w:r>
    </w:p>
    <w:p w14:paraId="00E1EA6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разведчиков под командованием тов. Чамуркина обстреляла из засады отряд немецких автоматчиков. Убито 9 и ранено 12 гитлеровцев.</w:t>
      </w:r>
    </w:p>
    <w:p w14:paraId="75EA33C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Б., действующий в одном из оккупированных немцами районов Украины, заминировал участок железной дороги. Направлявшийся на фронт эшелон с румынскими солдатами подорвался на минах. Разбито 9 вагонов и паровоз. Партизаны обстреляли из пулемётов и автоматов румын, выскакивавших из вагонов. В результате крушения поезда и обстрела погибло более 300 румынских солдат и офицеров.</w:t>
      </w:r>
    </w:p>
    <w:p w14:paraId="34D23D2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выдержки из записной книжки убитого немецкого унтер-офицера Густава Маркворта:</w:t>
      </w:r>
    </w:p>
    <w:p w14:paraId="007FF18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«Нападение русских. Несём кровавые потери. До отхода из деревни мы сожгли её дотла и расстреляли всех жителей, будь то женщина или ребёнок...</w:t>
      </w:r>
    </w:p>
    <w:p w14:paraId="4761C06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День и ночь идёт борьба с русскими солдатами и партизанами. Мы не имеем ни сна, ни покоя. Командир роты ранен, большинство командиров взводов и отделений убито или ранено. Ночью я вынужден был оставить важный пункт, так как люди моего отделения не выдержали натиска русских и разбежались... Русские танки прорвались, и мы должны были отойти под сильным артиллерийским и пулемётным огнём. Я потерял всех своих людей. Во время дневного патрулирования был ранен теперешний командир роты штабс-фельдфебель Грюнерт. Старый хауптфельдфебель Гельмбрехт принял командование на себя, но не надолго. Через полчаса он был убит...</w:t>
      </w:r>
    </w:p>
    <w:p w14:paraId="0C1E182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Настроение очень подавленное. Ночь опять стоила многих жертв... При смене постов на передовой позиции мы потеряли 50 человек, 2 танка выведены из строя. Выстрелом в голову убит Гене. Многие солдаты безудержно плакали: значит, все силы уже израсходованы. Каждый день умирают десятки тяжело раненных и больных. Нервы напряжены до предела. Потери дивизии: 1.000 убитых и 1.400 раненых. Наши силы иссякают. Полки и батальоны тают с каждым днём. От нашего батальона осталось всего 16 человек. Мы приходим в отчаяние. Будет ли этому конец?».</w:t>
      </w:r>
    </w:p>
    <w:p w14:paraId="7990E64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селе Старая Таволжанка, Харьковской области, немецко-фашистские изверги ограбили всех жителей, забрав у них продовольствие, скот, одежду и обувь. Гитлеровские бандиты замучили Бондаренёва В. П., расстреляли Верещагина К.Б., Зубасову А.М., Полыцикова В.П. и многих других жителей села. Немецкие снайперы тренировались в стрельбе, расстреливая первых попавших им на глаза мирных жителей.</w:t>
      </w:r>
    </w:p>
    <w:p w14:paraId="46DF43C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Французские патриоты в конце мая напали на немецкие склады с боеприпасами и вооружением, расположенные недалеко от города Азебрука. Они перебили охрану и взорвали боеприпасы. Большое количество оружия увезено. Предпринятые гитлеровцами розыски не дали никаких результатов.» (14911).</w:t>
      </w:r>
    </w:p>
    <w:p w14:paraId="7E3716A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26D192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 июня</w:t>
      </w:r>
      <w:r w:rsidRPr="008127F8">
        <w:rPr>
          <w:rFonts w:ascii="Times New Roman" w:hAnsi="Times New Roman"/>
          <w:color w:val="000000" w:themeColor="text1"/>
          <w:sz w:val="16"/>
          <w:szCs w:val="16"/>
        </w:rPr>
        <w:t xml:space="preserve"> в 1942 году вечернее сообщение Совинформбюро:</w:t>
      </w:r>
    </w:p>
    <w:p w14:paraId="4E6BADC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3 июня на фронте ничего существенного не произошло. На некоторых участках фронта происходили бои местного значения.</w:t>
      </w:r>
    </w:p>
    <w:p w14:paraId="13F6DB1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За 2 июня частями нашей авиации на разных участках фронта уничтожено или повреждено несколько немецких танков, 40 автомашин с войсками и грузами, 9 полевых и зенитных орудий, взорван склад с боеприпасами, потоплено 2 торпедных катера, повреждены сторожевой корабль и 2 транспорта, рассеяно и частью уничтожено до четырёх рот пехоты противника.</w:t>
      </w:r>
    </w:p>
    <w:p w14:paraId="003F46B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уничтожили тяжелую артиллерийскую батарею противника, 8 пулемётов, разрушили несколько блиндажей с засевшими в них гитлеровцами. Противник потерял до 500 солдат и офицеров.</w:t>
      </w:r>
    </w:p>
    <w:p w14:paraId="16879F2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Калининского фронта противник предпринял атаку против части, где командиром тов. Рябухин. Нашими бойцами атака была отбита. На поле боя осталось около 200 вражеских трупов. Уничтожено 3 немецких танка.</w:t>
      </w:r>
    </w:p>
    <w:p w14:paraId="6BF1BDD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Артиллерийская разведка донесла, что в населённом пункте К. на вражеском аэродроме приземлились два транспортных самолёта. Батарея лейтенанта Быстранова открыла огонь и несколькими выстрелами уничтожила оба немецких самолёта.</w:t>
      </w:r>
    </w:p>
    <w:p w14:paraId="340CB01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Несколько партизанских отрядов, действующих в оккупированных немцами районах Ленинградской области, в течение истекшей недели уничтожили 537 немецко-фашистских оккупантов, 6 немецких танков, 5 огневых точек, 2 пулемета и автомашину с военным грузом. Партизаны в ряде мест взорвали железнодорожное полотно и пустили под откос 2 воинских эшелона с немецкой пехотой, вооружением и боеприпасами.</w:t>
      </w:r>
    </w:p>
    <w:p w14:paraId="65CB227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днях на один из наших аэродромов приземлились два немецких истребителя «Мессершмитт-109-Ф». При приближении красноармейцев немецкие летчики подняли руки и сдались в плен. Оба самолёта оказались исправными. В баках обнаружено достаточное количество горючего. Боекомплект не израсходован. Один самолёт выпуска 1942 года, заводской номер 13233, второй самолёт—выпуска 1941 года, заводской номер 7646. Сдавшиеся в плен лётчики—унтер-офицер Эрих Фолькман и ефрейтор Адальберт Кун из 9 отряда 3 группы 3 истребительной эскадры — заявили, что они не желают воевать с русскими, так как считают, что Германия неизбежно потерпит поражение. Ефрейтор Адальберт Кун сообщил: «Начиная с 26 мая, наш аэродром подвергался ежедневным эффективным налётам русской авиации. Во время бомбардировок было уничтожено из одной только 3 группы до 12 самолётов. Имелись жертвы среди технического и лётного состава. Я давно решил перелететь на сторону русских и, как только мне представился удобный случай, осуществил своё намерение. Я был послан, чтобы в составе патруля сопровождать бомбардировщики. Вскоре ко мне в воздухе пристроился Эрих Фолькман, с которым я связан узами дружбы. Мы с ним заранее сговорились о перелёте. Выбрав посадочную площадку, мы благополучно приземлились».</w:t>
      </w:r>
    </w:p>
    <w:p w14:paraId="3CF6021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Римское радио 2 июня передало сенсационное сообщение о боях под городом Калинином. Итальянские врали с серьёзным видом уверяют, что «германские войска, находящиеся в предместье города Калинина, пытаются очистить город от советских войск». В этом «сообщении» столько же правды, сколько воды в решете, и вряд ли есть надобность опровергать подобный бред. Красная Армия ещё зимой выбила немцев из Калинина и отбросила их далеко на запад. В предместьях Калинина, правда,осталось более десяти тысяч трупов германских солдат, но они лежат в земле, поэтому никак не могут пытаться «очистить город от советских войск».</w:t>
      </w:r>
    </w:p>
    <w:p w14:paraId="44BB753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Цель, которую преследуют гитлеровцы и их итальянские подпевалы, распуская всякого рода небылицы, очевидна. В течение всей зимы фашисты на всех перекрёстках кричали о том, что весна принесёт странам оси решающие победы. Весна уже прошла, а решающих побед нет как нет. И обанкротившиеся гитлеровские жулики приступили к фабрикации новых лживых сообщений об успехах немецко-фашистских войск. Так появились в свет фантастические цифры якобы захваченных в плен советских солдат и уничтоженной советской техники в Керчи и под Харьковом. По такому же рецепту состряпано сообщение и о боях в предместьях города Калинина. Известно, что гитлеровцы набили руку на фальшивках и брехне. Однако у вранья короткий век, и на нём далеко не уедешь.» (14911).</w:t>
      </w:r>
    </w:p>
    <w:p w14:paraId="668D7E2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D2E561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г. ьыла первая операция торпедоносцев на Балтике и машины, пилотируемые командиром полка Е.Н.Преображенским и командиром 3-й эскадрильи капитаном А.Т.Дроздовым безуспешно атаковали в Нарвском заливе «2000-тонный транспорт» противника (9965).</w:t>
      </w:r>
    </w:p>
    <w:p w14:paraId="55A9B71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E144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Ночью 3 июня 1942 машины, пилотируемые командиром полка Преображенским и командиром 3-й эскадрильи капитаном А.Т. Дроздовым, безуспешно атаковали в Нарвском заливе "2000-тонный транспорт" противника. Изначально торпедоносцам ставилась задача атаковать транспорта на внешнем рейде Таллина, но в связи с ухудшением погодных условий командир полка от выполнения этого плана отказался. Противник этой атаки не зафиксировал. По его данным, в эти сутки в данном районе находились четыре бывших рыболовных траулера: два из 3-й флотилии сторожевиков и два из 12-й флотилии охотников. Тому, что атака осталась незамеченной, удивляться не приходится: взрывов не было, а сброс торпед с корабля скорей всего не заметили, а даже если и заметили, то вряд ли поняли, что это торпеды, - ведь раньше русские такого оружия на Балтике не применяли. Вечером 16 июня тройка ДБ (Дроздов, летчики А.В. Пресняков и Ю.Э. Бунимович) атаковала вражеские корабли на якорной стоянке у западного побережья Гогланда, после чего наблюдала пожар на одном из "транспортов". Через сутки Пресняков и Бунимович наблюдали взрывы своих торпед на той же стоянке, но и на этот раз данных, подтверждающих достижение успеха, нет. Противник зафиксировал лишь последнюю атаку, правда, достаточно своеобразно. В журнале боевых действий FdM Ost имеется донесение от командира 12-й флотилии охотников, который наблюдал минную постановку с советских самолетов в районе Гогланда. Иными словами, немцы заметили, что с самолетов что-то сбрасывают, но, поскольку ни попаданий, ни следов торпед они не видели, было решено, что с самолетов сбрасывают мины. Косвенный результат эти акции все-таки имели: противник прислал для траления в район Гогланда моторные тральщики, которые несколько раз попадали под удары наших штурмовиков и понесли при этом некоторые потери (21002).</w:t>
      </w:r>
    </w:p>
    <w:p w14:paraId="5F08BC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39A808" w14:textId="77777777" w:rsidR="007C5583" w:rsidRPr="008127F8" w:rsidRDefault="007C5583" w:rsidP="007C5583">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3 июня 1942 г. именно МиГ-3 у Липецка «достал» шед</w:t>
      </w:r>
      <w:r w:rsidRPr="008127F8">
        <w:rPr>
          <w:rFonts w:ascii="Times New Roman" w:hAnsi="Times New Roman"/>
          <w:noProof/>
          <w:color w:val="000000" w:themeColor="text1"/>
          <w:sz w:val="16"/>
          <w:szCs w:val="16"/>
        </w:rPr>
        <w:softHyphen/>
        <w:t xml:space="preserve">ший на высоте 7500 м разведчик </w:t>
      </w:r>
      <w:r w:rsidRPr="008127F8">
        <w:rPr>
          <w:rFonts w:ascii="Times New Roman" w:hAnsi="Times New Roman"/>
          <w:color w:val="000000" w:themeColor="text1"/>
          <w:sz w:val="16"/>
          <w:szCs w:val="16"/>
          <w:lang w:val="en-US"/>
        </w:rPr>
        <w:t>Ju</w:t>
      </w:r>
      <w:r w:rsidRPr="008127F8">
        <w:rPr>
          <w:rFonts w:ascii="Times New Roman" w:hAnsi="Times New Roman"/>
          <w:color w:val="000000" w:themeColor="text1"/>
          <w:sz w:val="16"/>
          <w:szCs w:val="16"/>
        </w:rPr>
        <w:t xml:space="preserve"> 88</w:t>
      </w:r>
      <w:r w:rsidRPr="008127F8">
        <w:rPr>
          <w:rFonts w:ascii="Times New Roman" w:hAnsi="Times New Roman"/>
          <w:color w:val="000000" w:themeColor="text1"/>
          <w:sz w:val="16"/>
          <w:szCs w:val="16"/>
          <w:lang w:val="en-US"/>
        </w:rPr>
        <w:t>D</w:t>
      </w:r>
      <w:r w:rsidRPr="008127F8">
        <w:rPr>
          <w:rFonts w:ascii="Times New Roman" w:hAnsi="Times New Roman"/>
          <w:noProof/>
          <w:color w:val="000000" w:themeColor="text1"/>
          <w:sz w:val="16"/>
          <w:szCs w:val="16"/>
        </w:rPr>
        <w:t xml:space="preserve">из эскадрильи </w:t>
      </w:r>
      <w:r w:rsidRPr="008127F8">
        <w:rPr>
          <w:rFonts w:ascii="Times New Roman" w:hAnsi="Times New Roman"/>
          <w:color w:val="000000" w:themeColor="text1"/>
          <w:sz w:val="16"/>
          <w:szCs w:val="16"/>
        </w:rPr>
        <w:t>3(</w:t>
      </w:r>
      <w:r w:rsidRPr="008127F8">
        <w:rPr>
          <w:rFonts w:ascii="Times New Roman" w:hAnsi="Times New Roman"/>
          <w:color w:val="000000" w:themeColor="text1"/>
          <w:sz w:val="16"/>
          <w:szCs w:val="16"/>
          <w:lang w:val="en-US"/>
        </w:rPr>
        <w:t>F</w:t>
      </w:r>
      <w:r w:rsidRPr="008127F8">
        <w:rPr>
          <w:rFonts w:ascii="Times New Roman" w:hAnsi="Times New Roman"/>
          <w:color w:val="000000" w:themeColor="text1"/>
          <w:sz w:val="16"/>
          <w:szCs w:val="16"/>
        </w:rPr>
        <w:t>)/10 (11938).</w:t>
      </w:r>
    </w:p>
    <w:p w14:paraId="57F02D8C"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p>
    <w:p w14:paraId="34102A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г. германские сводки сообщили о пропавшем без вести со всем экипажем в районе Полтавы разведчике Ju 88D (w/n 721) из 3.(F)/10. Однако Полтава в то время находилась на оккупированной немцами территории, и вести там разведку смысла, вроде бы, и не было, разве что выискивать партизан. И уж совсем невероятным кажется бесследное исчезновение самолета в этом районе. Зато в тот день недалеко от Липецка таранил “Юнкере” летчик 487-го ИАП л-т Проскурин Михаил Алексеевич, который благополучно приземлился на своей машине, был награжден орденом Ленина и довоевал до Победы. Пережил войну и очутившийся в плену командир немецкого экипажа Д.Пюттер, который несколько лет назад опубликовал мемуары, позволившие разобраться в этой истории (10205).</w:t>
      </w:r>
    </w:p>
    <w:p w14:paraId="6B3783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B862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7B9D2F3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2A7E7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Профессор Добротвор описывает интересный случай, увиденный им в центре Горького: «Дикая картина около универмага. Там сегодня выдают шерстяную материю. Это зверинец спекулянтов всякого рода. Один купил отрез на костюм за 900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руб. и тут же продал за 3500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руб. Около магазина драка. 50 милиционеров, но не для порядка, а чтобы тоже получить материал. Вакханалия спекуляции и блата. Жутко честному человеку». [430 — Забвению не подлежит, с. 528.]. В этой сцене показательно то, что, несмотря на тяжелое материальное положение большинства граждан, в стране все же имелись люди, готовые только за отрез на костюм выложить 3500 рублей. Впрочем, профессору нередко приходилось убеждаться в том, что далеко не все живут плохо. Сходив через четыре дня после «вакханалии» около универмага в баню, он был поражен тем, что большинство посетителей совершенно свободно без экономии «размыливают» мыло. А ведь это тоже был дефицитный и дорогостоящий товар, отпускаемый по карточкам (11741).</w:t>
      </w:r>
    </w:p>
    <w:p w14:paraId="7142A1B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43382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8127F8">
        <w:rPr>
          <w:rFonts w:ascii="Times New Roman" w:hAnsi="Times New Roman"/>
          <w:i/>
          <w:iCs/>
          <w:color w:val="000000" w:themeColor="text1"/>
          <w:sz w:val="16"/>
          <w:szCs w:val="16"/>
        </w:rPr>
        <w:t>Внешняя политика:</w:t>
      </w:r>
    </w:p>
    <w:p w14:paraId="41CD48F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B760D8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вечером самолет был готов к полету. Тем временем наша делегация про</w:t>
      </w:r>
      <w:r w:rsidRPr="008127F8">
        <w:rPr>
          <w:rFonts w:ascii="Times New Roman" w:hAnsi="Times New Roman"/>
          <w:color w:val="000000" w:themeColor="text1"/>
          <w:sz w:val="16"/>
          <w:szCs w:val="16"/>
        </w:rPr>
        <w:softHyphen/>
        <w:t>вела переговоры. Вылет в обратный путь был назначен наутро 4 июня. Утром 4 июня Э.К. Пусэп решил совершить пробный полет, чтобы проверить, как поведут себя моторы и агрегаты в воздухе. Все рабо</w:t>
      </w:r>
      <w:r w:rsidRPr="008127F8">
        <w:rPr>
          <w:rFonts w:ascii="Times New Roman" w:hAnsi="Times New Roman"/>
          <w:color w:val="000000" w:themeColor="text1"/>
          <w:sz w:val="16"/>
          <w:szCs w:val="16"/>
        </w:rPr>
        <w:softHyphen/>
        <w:t>тало нормально, но, когда пришло время садиться, аэродром накрыл туман. Попытка сесть ни к чему не приводила - все время проходили рядом с полосой или под углом к ней. Выручил штурман А.П. Штепенко. Он включил радиокомпас, настроился на радио</w:t>
      </w:r>
      <w:r w:rsidRPr="008127F8">
        <w:rPr>
          <w:rFonts w:ascii="Times New Roman" w:hAnsi="Times New Roman"/>
          <w:color w:val="000000" w:themeColor="text1"/>
          <w:sz w:val="16"/>
          <w:szCs w:val="16"/>
        </w:rPr>
        <w:softHyphen/>
        <w:t>маяк аэродрома и вывел корабль точно в начало полосы. Посадка прошла успешно. К полудню корабль был готов к взлету. Погода была жаркая и солнечная, температура воз</w:t>
      </w:r>
      <w:r w:rsidRPr="008127F8">
        <w:rPr>
          <w:rFonts w:ascii="Times New Roman" w:hAnsi="Times New Roman"/>
          <w:color w:val="000000" w:themeColor="text1"/>
          <w:sz w:val="16"/>
          <w:szCs w:val="16"/>
        </w:rPr>
        <w:softHyphen/>
        <w:t>духа достигала 35 градусов по Цельсию. По просьбе экипажа время от времени самолет обливала холодной водой пожарная машина (19936).</w:t>
      </w:r>
    </w:p>
    <w:p w14:paraId="7AF25C1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EC3F3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7E5D01B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18BBA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г. вышли в «Основные указания по использованию германской штурмовой авиации для действий по танкам», где указывается: «Для действий по танкам используются специально подготовленные экипажи. Исполь</w:t>
      </w:r>
      <w:r w:rsidRPr="008127F8">
        <w:rPr>
          <w:rFonts w:ascii="Times New Roman" w:hAnsi="Times New Roman"/>
          <w:color w:val="000000" w:themeColor="text1"/>
          <w:sz w:val="16"/>
          <w:szCs w:val="16"/>
        </w:rPr>
        <w:softHyphen/>
        <w:t>зование малоопытных летчиков запрещается в связи с необхо</w:t>
      </w:r>
      <w:r w:rsidRPr="008127F8">
        <w:rPr>
          <w:rFonts w:ascii="Times New Roman" w:hAnsi="Times New Roman"/>
          <w:color w:val="000000" w:themeColor="text1"/>
          <w:sz w:val="16"/>
          <w:szCs w:val="16"/>
        </w:rPr>
        <w:softHyphen/>
        <w:t>димостью экономить боеприпасы. Специальные экипажи должны путем постоянных тренировок непрерывно повышать свою стрелковую подготовку» (11474,329).</w:t>
      </w:r>
    </w:p>
    <w:p w14:paraId="3CE2CEA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1EBB3A"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3 июня 1942 г. в Германии вышли «Основных ука</w:t>
      </w:r>
      <w:r w:rsidRPr="008127F8">
        <w:rPr>
          <w:color w:val="000000" w:themeColor="text1"/>
          <w:sz w:val="16"/>
          <w:szCs w:val="16"/>
        </w:rPr>
        <w:softHyphen/>
        <w:t>заниях по использованию германской штурмовой авиации для действий по танкам», где указывалосб: «Для действий по танкам исполь</w:t>
      </w:r>
      <w:r w:rsidRPr="008127F8">
        <w:rPr>
          <w:color w:val="000000" w:themeColor="text1"/>
          <w:sz w:val="16"/>
          <w:szCs w:val="16"/>
        </w:rPr>
        <w:softHyphen/>
        <w:t>зуются специально подготовленные экипажи. Ис</w:t>
      </w:r>
      <w:r w:rsidRPr="008127F8">
        <w:rPr>
          <w:color w:val="000000" w:themeColor="text1"/>
          <w:sz w:val="16"/>
          <w:szCs w:val="16"/>
        </w:rPr>
        <w:softHyphen/>
        <w:t>пользование малоопытных летчиков запрещается в связи с необходимостью экономить боеприпасы. Специальные экипажи должны путем постоянных тренировок непрерывно повышать свою стрелко</w:t>
      </w:r>
      <w:r w:rsidRPr="008127F8">
        <w:rPr>
          <w:color w:val="000000" w:themeColor="text1"/>
          <w:sz w:val="16"/>
          <w:szCs w:val="16"/>
        </w:rPr>
        <w:softHyphen/>
        <w:t>вую подготовку» (17500).</w:t>
      </w:r>
    </w:p>
    <w:p w14:paraId="0A0182C1"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7701E2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японские самолеты атаковали американскую базу Dutch Harbor на Алеутских островах (2100).</w:t>
      </w:r>
    </w:p>
    <w:p w14:paraId="1E4A18E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AA9D2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в попытке вывести американские войска от запланированной японской высадки на атолле Мидуэй и прикрыть запланированную высадку японцев на Атту и Киска, самолеты с авианосцев « Джунё» и «Рюдзё» наносят удар по гавани Голландии на Алеутских островах. Хотя только 12 самолетов, все с Рюдзё, достигают Голландской гавани, они наносят значительный урон (20793).</w:t>
      </w:r>
    </w:p>
    <w:p w14:paraId="7B5BBA5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9082E9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 3-6 1942 The Battle of Midway 1942 A strong Japanese thrust in the Central Pacific to occupy Midway Island, was led by a four- carrier Mobile Force, supported by heavy units of the Main Body (First Fleet) and covered by a diversionary carrier raid on Dutch Harbor in the Aleutians. This attack was met by a greatly outnumbered United States carrier force composed of Task Force 17 (Rear Admiral F. J. Fletcher) with Yorktown, and Task Force 16 (Rear Admiral R. A. Spruance) with Hornet and Enterprise, and by Navy, Marine Corps, and Army air units based on Midway. Planes from Midway located and attacked ships of the Japanese Occupation Force 600 miles to the west (3 June), and of the mobile Force (4 June) as it sent its aircraft against defensive installations on Midway. Concentrating on the destruction of Midway air forces and diverted by their torpedo, horizontal, and dive bombing attacks, the Japanese carriers were caught unprepared for the carrier air attack which began at 0930 with the heroic but unsuccessful effort of Torpedo Squadron 8, and were hit in full force at 1030 when dive bombers hit and sank the carriers Akagi, Kaga, and Soryu. A Japanese counter attack at noon and another 2 hours later, damaged Yorktown with bombs and torpedoes so severely that she was abandoned. In the late afternoon, U.S. carrier air hit the Mobile Force again, sinking Hiryu, the fourth and last of the Japanese carriers in action. With control of the air irretrievably lost, the Japanese retired under the attack of Midway-based aircraft (5 June) and of carrier air (6 June) in which the heavy cruiser Mikuma was sunk and the Mogami severely damaged. Japanese losses totaled two heavy and two light carriers, one heavy cruiser, 258 aircraft, and a large percentage of their experienced carrier pilots. United States losses were 40 shore-based and 92 carrier aircraft, the destroyer Hammann and the carrier the Yorktown, which sank 6 and 7 June respectively, the result of a single submarine attack. The decisive defeat administered to the Japanese put an end to their successful offensive and effectively turned the tide of the Pacific War (1090).</w:t>
      </w:r>
    </w:p>
    <w:p w14:paraId="19EF228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60B80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3 по 8 июня 1942 состоялась Мидуэй-Алеутская операция японцев. захватили о. Кыска и Атту, но не достигли успеха у Мидуэй (2438,406).</w:t>
      </w:r>
    </w:p>
    <w:p w14:paraId="0254A0E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AD83E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июня 1942 в районе атолла Мидуэй в Тихом океане началось сражение между японской эскадрой под командованием адмирала Ямомото Исороку (4 авианосца, 7 линкоров, 12 крейсеров , 44 эсминца) и американской эскадрой под командованием адмирала Честера Нимица(3 авианосца , 8 крейсеров , 15 эсминцев). Сражение свелось к нанесению взаимных авиаударов. Сражение закончилось 8-го июня поражением японцев. Потери японской эскадры - 4 авианосца ,7 других кораблей , 338 самолётов. Потери американцев - 1 авианосец,1 эсминец , 150 самолётов (4963 ).</w:t>
      </w:r>
    </w:p>
    <w:p w14:paraId="32AA016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05682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 июня</w:t>
      </w:r>
      <w:r w:rsidRPr="008127F8">
        <w:rPr>
          <w:rFonts w:ascii="Times New Roman" w:hAnsi="Times New Roman"/>
          <w:color w:val="000000" w:themeColor="text1"/>
          <w:sz w:val="16"/>
          <w:szCs w:val="16"/>
        </w:rPr>
        <w:t xml:space="preserve"> в 1942 году добыча угля в Великобритании полностью перешла под государственный контроль (14911).</w:t>
      </w:r>
    </w:p>
    <w:p w14:paraId="4D79D8F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685DC8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 июня</w:t>
      </w:r>
      <w:r w:rsidRPr="008127F8">
        <w:rPr>
          <w:rFonts w:ascii="Times New Roman" w:hAnsi="Times New Roman"/>
          <w:color w:val="000000" w:themeColor="text1"/>
          <w:sz w:val="16"/>
          <w:szCs w:val="16"/>
        </w:rPr>
        <w:t xml:space="preserve"> в 1942 году (3-10 июня) оберлейтенант Витцель, он же Патан, отправляет кавалерийские разъезды для рекогносцировки стратегического караванного пути Кабул — Бараки-Бара — Саидабад — Газни — Кабул. В ходе рейда уточняются карты, составленные «Организацией Тодта» в 1940 (14911).</w:t>
      </w:r>
    </w:p>
    <w:p w14:paraId="68698AC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3FE7B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44D834A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681075"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было отпечатано Предварительное заключение по “103” В 2М-82А (Ту-2) с винтом АВ-5-167 - совместные заводские и госиспытания.</w:t>
      </w:r>
    </w:p>
    <w:p w14:paraId="744C17AA"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Отв. исполнитель от 166 завода Нач. ЛЭС, ви Стоман</w:t>
      </w:r>
    </w:p>
    <w:p w14:paraId="2634D9AF"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Отв. исполнитель от НИИ В.А.Ми.., М.П.Васякин</w:t>
      </w:r>
    </w:p>
    <w:p w14:paraId="548FCB0A"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испытаниях приняли участие л м-р Жданов, штурман п/п Цветков, и по вооружению Седин, и/км Шубранов, и по ВМГ Пол.., и по с/обор. Лебедев, вт1р Г.А.Петров, ст. борттехник М.Ф.Жилин</w:t>
      </w:r>
    </w:p>
    <w:p w14:paraId="2B6D2EE1"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крыла 48,52</w:t>
      </w:r>
    </w:p>
    <w:p w14:paraId="16AC24F7"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Размах 18,8</w:t>
      </w:r>
    </w:p>
    <w:p w14:paraId="6512C62F"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13,71</w:t>
      </w:r>
    </w:p>
    <w:p w14:paraId="1C49EA98"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 103У прошел госиспытания в январе-июне 1041</w:t>
      </w:r>
    </w:p>
    <w:p w14:paraId="5AB983D0"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РПК-2 заменен на РПК-7, установлена броня</w:t>
      </w:r>
    </w:p>
    <w:p w14:paraId="1A029E0D"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Бомбовая нагрузка 1000 кг, прицел ПС-1</w:t>
      </w:r>
    </w:p>
    <w:p w14:paraId="71762A3E"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w:t>
      </w:r>
    </w:p>
    <w:p w14:paraId="5D3F7E57"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Вперед - неподвижные 2-ШКАС (600), 2-ШВАК (2х150)</w:t>
      </w:r>
    </w:p>
    <w:p w14:paraId="67DEA625"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РС-132</w:t>
      </w:r>
    </w:p>
    <w:p w14:paraId="6398D1C6"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Задняя полусфера защищена 3хпулеметы. 2хШКАС наверху + 1хБС + 4 неподвижных РО под РС-82</w:t>
      </w:r>
    </w:p>
    <w:p w14:paraId="78B48E30"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 пустого - 7335, нормальный полетный - 10320, перегрузочный - полные баки - 2300, масло 230, бомб 1000 - 11710</w:t>
      </w:r>
    </w:p>
    <w:p w14:paraId="41BFD1E8"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Экипаж - 4</w:t>
      </w:r>
    </w:p>
    <w:p w14:paraId="76E47E87"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 скорости</w:t>
      </w:r>
    </w:p>
    <w:p w14:paraId="36D70BA9"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0 - 460, Рк-950, обороты - 2400</w:t>
      </w:r>
    </w:p>
    <w:p w14:paraId="72E72DBB"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3200 - 528</w:t>
      </w:r>
    </w:p>
    <w:p w14:paraId="29D248E2"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5000 - 506 Рк-700, оборотов 2400</w:t>
      </w:r>
    </w:p>
    <w:p w14:paraId="0342D9F3"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Верт. Скорости</w:t>
      </w:r>
    </w:p>
    <w:p w14:paraId="36AFFC92"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0 - 9</w:t>
      </w:r>
    </w:p>
    <w:p w14:paraId="187936D9"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3000 - 6,3</w:t>
      </w:r>
    </w:p>
    <w:p w14:paraId="7D39EA16"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4000 - 7,5</w:t>
      </w:r>
    </w:p>
    <w:p w14:paraId="31D6443B"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Разбег - 516 с форсажем 1050</w:t>
      </w:r>
    </w:p>
    <w:p w14:paraId="04045731"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Скорость отрыва - 168-180</w:t>
      </w:r>
    </w:p>
    <w:p w14:paraId="3591986A"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Разбег - 626</w:t>
      </w:r>
    </w:p>
    <w:p w14:paraId="2D90FB64"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Пробег - 640</w:t>
      </w:r>
    </w:p>
    <w:p w14:paraId="2E08FFD9"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Посадочная скорость 152</w:t>
      </w:r>
    </w:p>
    <w:p w14:paraId="2A4BFD7A"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Заключение:</w:t>
      </w:r>
    </w:p>
    <w:p w14:paraId="4047FC66"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 В 2М-82В по своей управляемости, устойчивости, взлетно-посадочным свойствам, а также маневренности и температурам ВМГ удовлетворяет ТТТ</w:t>
      </w:r>
    </w:p>
    <w:p w14:paraId="24AAAF0C"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Стоман, Ми..., Васякин</w:t>
      </w:r>
    </w:p>
    <w:p w14:paraId="430A189B"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8692"/>
      </w:tblGrid>
      <w:tr w:rsidR="007C5583" w:rsidRPr="008127F8" w14:paraId="106CE98C" w14:textId="77777777" w:rsidTr="004C5D62">
        <w:tc>
          <w:tcPr>
            <w:tcW w:w="2518" w:type="dxa"/>
            <w:tcBorders>
              <w:top w:val="single" w:sz="12" w:space="0" w:color="auto"/>
            </w:tcBorders>
          </w:tcPr>
          <w:p w14:paraId="755EC374" w14:textId="77777777" w:rsidR="007C5583" w:rsidRPr="008127F8" w:rsidRDefault="007C5583" w:rsidP="004C5D62">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Дата</w:t>
            </w:r>
          </w:p>
        </w:tc>
        <w:tc>
          <w:tcPr>
            <w:tcW w:w="8692" w:type="dxa"/>
            <w:tcBorders>
              <w:top w:val="single" w:sz="12" w:space="0" w:color="auto"/>
            </w:tcBorders>
          </w:tcPr>
          <w:p w14:paraId="4F7D2E7A" w14:textId="77777777" w:rsidR="007C5583" w:rsidRPr="008127F8" w:rsidRDefault="007C5583" w:rsidP="004C5D62">
            <w:pPr>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4212B71" w14:textId="77777777" w:rsidTr="004C5D62">
        <w:tc>
          <w:tcPr>
            <w:tcW w:w="2518" w:type="dxa"/>
          </w:tcPr>
          <w:p w14:paraId="3D485090" w14:textId="77777777" w:rsidR="007C5583" w:rsidRPr="008127F8" w:rsidRDefault="007C5583" w:rsidP="004C5D62">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декабря 1941</w:t>
            </w:r>
          </w:p>
        </w:tc>
        <w:tc>
          <w:tcPr>
            <w:tcW w:w="8692" w:type="dxa"/>
          </w:tcPr>
          <w:p w14:paraId="1A4780B4" w14:textId="77777777" w:rsidR="007C5583" w:rsidRPr="008127F8" w:rsidRDefault="007C5583" w:rsidP="004C5D62">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Первый вылет</w:t>
            </w:r>
          </w:p>
        </w:tc>
      </w:tr>
      <w:tr w:rsidR="007C5583" w:rsidRPr="008127F8" w14:paraId="3A309816" w14:textId="77777777" w:rsidTr="004C5D62">
        <w:tc>
          <w:tcPr>
            <w:tcW w:w="2518" w:type="dxa"/>
          </w:tcPr>
          <w:p w14:paraId="478C74C7" w14:textId="77777777" w:rsidR="007C5583" w:rsidRPr="008127F8" w:rsidRDefault="007C5583" w:rsidP="004C5D62">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января 1942</w:t>
            </w:r>
          </w:p>
        </w:tc>
        <w:tc>
          <w:tcPr>
            <w:tcW w:w="8692" w:type="dxa"/>
          </w:tcPr>
          <w:p w14:paraId="7268D141" w14:textId="77777777" w:rsidR="007C5583" w:rsidRPr="008127F8" w:rsidRDefault="007C5583" w:rsidP="004C5D62">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вынужденная посадка</w:t>
            </w:r>
          </w:p>
        </w:tc>
      </w:tr>
      <w:tr w:rsidR="007C5583" w:rsidRPr="008127F8" w14:paraId="4A96F0E2" w14:textId="77777777" w:rsidTr="004C5D62">
        <w:tc>
          <w:tcPr>
            <w:tcW w:w="2518" w:type="dxa"/>
          </w:tcPr>
          <w:p w14:paraId="75474600" w14:textId="77777777" w:rsidR="007C5583" w:rsidRPr="008127F8" w:rsidRDefault="007C5583" w:rsidP="004C5D62">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25 января - 26 февраля 1942 </w:t>
            </w:r>
          </w:p>
        </w:tc>
        <w:tc>
          <w:tcPr>
            <w:tcW w:w="8692" w:type="dxa"/>
          </w:tcPr>
          <w:p w14:paraId="4A556F2D" w14:textId="77777777" w:rsidR="007C5583" w:rsidRPr="008127F8" w:rsidRDefault="007C5583" w:rsidP="004C5D62">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стоял без моторов (33 дня)</w:t>
            </w:r>
          </w:p>
        </w:tc>
      </w:tr>
      <w:tr w:rsidR="007C5583" w:rsidRPr="008127F8" w14:paraId="461522F3" w14:textId="77777777" w:rsidTr="004C5D62">
        <w:tc>
          <w:tcPr>
            <w:tcW w:w="2518" w:type="dxa"/>
          </w:tcPr>
          <w:p w14:paraId="1BA3D848" w14:textId="77777777" w:rsidR="007C5583" w:rsidRPr="008127F8" w:rsidRDefault="007C5583" w:rsidP="004C5D62">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февраля - 13 марта 1942</w:t>
            </w:r>
          </w:p>
        </w:tc>
        <w:tc>
          <w:tcPr>
            <w:tcW w:w="8692" w:type="dxa"/>
          </w:tcPr>
          <w:p w14:paraId="77AD1540" w14:textId="77777777" w:rsidR="007C5583" w:rsidRPr="008127F8" w:rsidRDefault="007C5583" w:rsidP="004C5D62">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установка моторов</w:t>
            </w:r>
          </w:p>
        </w:tc>
      </w:tr>
      <w:tr w:rsidR="007C5583" w:rsidRPr="008127F8" w14:paraId="0DC00BAD" w14:textId="77777777" w:rsidTr="004C5D62">
        <w:tc>
          <w:tcPr>
            <w:tcW w:w="2518" w:type="dxa"/>
          </w:tcPr>
          <w:p w14:paraId="33EA90EE" w14:textId="77777777" w:rsidR="007C5583" w:rsidRPr="008127F8" w:rsidRDefault="007C5583" w:rsidP="004C5D62">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марта 1942</w:t>
            </w:r>
          </w:p>
        </w:tc>
        <w:tc>
          <w:tcPr>
            <w:tcW w:w="8692" w:type="dxa"/>
          </w:tcPr>
          <w:p w14:paraId="48C6CD55" w14:textId="77777777" w:rsidR="007C5583" w:rsidRPr="008127F8" w:rsidRDefault="007C5583" w:rsidP="004C5D62">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пробный полет</w:t>
            </w:r>
          </w:p>
        </w:tc>
      </w:tr>
      <w:tr w:rsidR="007C5583" w:rsidRPr="008127F8" w14:paraId="09C45F40" w14:textId="77777777" w:rsidTr="004C5D62">
        <w:tc>
          <w:tcPr>
            <w:tcW w:w="2518" w:type="dxa"/>
          </w:tcPr>
          <w:p w14:paraId="1B8C9E80" w14:textId="77777777" w:rsidR="007C5583" w:rsidRPr="008127F8" w:rsidRDefault="007C5583" w:rsidP="004C5D62">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15 -17 марта 1942</w:t>
            </w:r>
          </w:p>
        </w:tc>
        <w:tc>
          <w:tcPr>
            <w:tcW w:w="8692" w:type="dxa"/>
          </w:tcPr>
          <w:p w14:paraId="7CA9663E" w14:textId="77777777" w:rsidR="007C5583" w:rsidRPr="008127F8" w:rsidRDefault="007C5583" w:rsidP="004C5D62">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замена цилиндра № 5 мотора</w:t>
            </w:r>
          </w:p>
        </w:tc>
      </w:tr>
      <w:tr w:rsidR="007C5583" w:rsidRPr="008127F8" w14:paraId="411E5CA8" w14:textId="77777777" w:rsidTr="004C5D62">
        <w:tc>
          <w:tcPr>
            <w:tcW w:w="2518" w:type="dxa"/>
            <w:tcBorders>
              <w:bottom w:val="single" w:sz="12" w:space="0" w:color="auto"/>
            </w:tcBorders>
          </w:tcPr>
          <w:p w14:paraId="4D86BE24" w14:textId="77777777" w:rsidR="007C5583" w:rsidRPr="008127F8" w:rsidRDefault="007C5583" w:rsidP="004C5D62">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мая и 1 июня 1942</w:t>
            </w:r>
          </w:p>
        </w:tc>
        <w:tc>
          <w:tcPr>
            <w:tcW w:w="8692" w:type="dxa"/>
            <w:tcBorders>
              <w:bottom w:val="single" w:sz="12" w:space="0" w:color="auto"/>
            </w:tcBorders>
          </w:tcPr>
          <w:p w14:paraId="45394524" w14:textId="77777777" w:rsidR="007C5583" w:rsidRPr="008127F8" w:rsidRDefault="007C5583" w:rsidP="004C5D62">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подготовка с-та к испытанию на пикирование и ремонт мотора (замена РПД на Р-8)</w:t>
            </w:r>
          </w:p>
        </w:tc>
      </w:tr>
    </w:tbl>
    <w:p w14:paraId="44D5660F"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(826).</w:t>
      </w:r>
    </w:p>
    <w:p w14:paraId="49B91CCC"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p>
    <w:p w14:paraId="5D92A5A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согласно постановлению ГКО от 29 мая 1942 г., завод № 292 с перешел на выпуск Як-1 с новым мотором. К сожалению, новые моторы поступали не в требуемом количестве, поэтому переход на установку М-105ПФ начался с самолета № 2769 и осуществился полностью с № 1570.</w:t>
      </w:r>
    </w:p>
    <w:p w14:paraId="5DEA1F4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новые формы гондол проблем с температурными режимами не решили. Как показали сравнительные летные испытания самолетов Як-1 № 3673, 1474, 4174, 2175, 2675, 0676, 1376, 1676, 2076, 2276 с новыми и старыми водо- и маслогондолами, закончившиеся 3 июля 1942 г., ощутимых улучшений в работе систем охлаждения мотора они не дали. Поэтому частям ВВС было дано указание ограничить обороты мотора в течение первых десяти часов его работы. В горизонтальном полете на максимальной скорости на высотах ниже высоты переключения скоростей нагнетателя обороты мотора ограничивались величиной 2250, а в наборе высоты 2600 об/мин. При этом частично терялось достигнутое преимущество от установки М-105ПФ. проявлявшееся как раз на малых высотах.</w:t>
      </w:r>
    </w:p>
    <w:p w14:paraId="79BEF3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Указанный недостаток системы охлаждения стал хроническим. Проведенные 12 марта 1943 г. испытания Як-1 № 02119, 20120, 10123, 17124. 38124, 17125, 25125, 11126, 29126 опять подтвердили вывод о том, что она не обеспечивает нормального температурного режима в полете на максимальной скорости. Плохая работа ВМГ стала одной из основных причин получения оценки "неудовлетворительно" при контрольных испытаниях вНИИ ВВС машин № 04111, 07127. Но, несмотря на это, выпуск самолетов не прекращался, и, соответственно, все проблемы опять легли на плечи летно-техничес- кого состава (12048).</w:t>
      </w:r>
    </w:p>
    <w:p w14:paraId="2D96607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FF15A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4 июня</w:t>
      </w:r>
      <w:r w:rsidRPr="008127F8">
        <w:rPr>
          <w:rFonts w:ascii="Times New Roman" w:hAnsi="Times New Roman"/>
          <w:color w:val="000000" w:themeColor="text1"/>
          <w:sz w:val="16"/>
          <w:szCs w:val="16"/>
        </w:rPr>
        <w:t xml:space="preserve"> в 1942 году согласно постановлению ГКО от 29 мая 1942 года завод № 292 перешел на выпуск </w:t>
      </w:r>
      <w:hyperlink r:id="rId67" w:tgtFrame="_blank" w:history="1">
        <w:r w:rsidRPr="008127F8">
          <w:rPr>
            <w:rFonts w:ascii="Times New Roman" w:hAnsi="Times New Roman"/>
            <w:color w:val="000000" w:themeColor="text1"/>
            <w:sz w:val="16"/>
            <w:szCs w:val="16"/>
          </w:rPr>
          <w:t xml:space="preserve">«Як-1» </w:t>
        </w:r>
      </w:hyperlink>
      <w:r w:rsidRPr="008127F8">
        <w:rPr>
          <w:rFonts w:ascii="Times New Roman" w:hAnsi="Times New Roman"/>
          <w:color w:val="000000" w:themeColor="text1"/>
          <w:sz w:val="16"/>
          <w:szCs w:val="16"/>
        </w:rPr>
        <w:t>с новым мотором «М-105ПФ». К сожалению, новые моторы поступали не в требуемом количестве, и полный переход на установку «М-105ПФ» произошел лишь в июле 1942 года, с десятого самолета 79-й серии (№ 1079) (14912).</w:t>
      </w:r>
    </w:p>
    <w:p w14:paraId="60EFC8B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9F4154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г.</w:t>
      </w:r>
    </w:p>
    <w:p w14:paraId="53E14E3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ПИСЬМА КОМАНДУЮЩЕГО ВВС СибВО ГЕНЕРАЛ-МАЙОРА АВИАЦИИ ШЕЛУХИНА, ВОЕННОГО КОМИССАРА ВВС СибВО БАТАЛЬОННОГО КОМИССАРА РЕЙДЕРА, НАЧАЛЬНИКА ШТАБА ВВС СибВО ГЕНЕРАЛ-МАЙОРА АВИАЦИИ ТЕПЛИНСКОГО - ЧЛЕНУ ВОЕННОГО СОВЕТА СибВО М.В. КУЛАГИНУ О ЗАКЛЮЧЕНИИ ЛЕТЧИКОВ 18-ГО ГВАРДЕЙСКОГО АВИАПОЛКА ПО САМОЛЕТУ ЯК-7</w:t>
      </w:r>
    </w:p>
    <w:p w14:paraId="05824C6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г.</w:t>
      </w:r>
    </w:p>
    <w:p w14:paraId="72B9DCA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Вашему приказанию докладываю заключения летчиков 18[-го] Гвардейского истребительного авиаполка по самолету ЯК-7.</w:t>
      </w:r>
    </w:p>
    <w:p w14:paraId="5F52558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обобщенном виде необходимо доложить, что ЯК-7 — вполне современный истребитель, обладающий хорошими летными качествами.</w:t>
      </w:r>
    </w:p>
    <w:p w14:paraId="74A7B65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технике пилотирования самолет прост, прощает довольно грубые ошибки летчика при выполнении полета, что дает возможность на этом самолете выпускать летчиков со средними летными качествами.</w:t>
      </w:r>
    </w:p>
    <w:p w14:paraId="610B1E7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имеет хорошие летно-тактические данные, дающие ему преимущество перед немецким истребителем МЕ-109, но имеет и ряд недостатков, как-то: недостаточный маневр по вертикали вследствие малого запаса мощности мотора и большой нагрузки на один квадратный метр несущей поверхности. Вооружение недостаточно мощное, так как кроме пушки ШВАК стоят два пулемета ШКАС нормального калибра, что в современных условиях явно недостаточно (нужны крупнокалиберные пулеметы). Кроме того, пулеметы ШКАС дают частые отказы в работе. Обзор летчика в полете затруднен. Самолет имеет большой пробег, а при энергичном торможении вследствие малого угла капотажа самолет охотно идет на нос, что часто выводит из строя воздушные винты. Самолет уязвим в воздушном бою вследствие установленного на нем мотора жидкостного охлаждения. Горизонтальная скорость самолета по сравнению с новыми типами немецких истребителей (МЕ-109ф или МЕ-115) недостаточна.</w:t>
      </w:r>
    </w:p>
    <w:p w14:paraId="029BB23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Оборудование самолета удовлетворяет требованиям современного истребителя, но также имеет ряд недостатков, например: прицел расположен  далеко от летчика, пожарный кран мешает включать и выключать зажигание мотора, привязные ремни неудобны, гашетки оружия расположены так, что затрудняют ведение огня в бою, сидение и спинка расположены относительно друг друга так, что при перегрузках  в полете быстро утомляют пилота.</w:t>
      </w:r>
    </w:p>
    <w:p w14:paraId="2A0FACD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своей конструкции самолет создает трудности в сборке, разборке, погрузке и транспортировке его, а также при ремонте в полевых условиях. Температурный режим мотора находится на верхнем пределе, что затрудняет, а в жару исключает возможность работы на малых высотах на больших скоростях.</w:t>
      </w:r>
    </w:p>
    <w:p w14:paraId="3665651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процессе эксплуатации самолета выявлен ряд дефектов ... которые усложняют поддержание самолета в постоянной боевой готовности. Кроме дефектов конструктивного характера, при приемке самолетов с завода № 153 отмечается ряд дефектов ... в основном монтажного характера, легко устранимых контролем военной приемки на заводе за выпуском продукции.</w:t>
      </w:r>
    </w:p>
    <w:p w14:paraId="6AE3A5F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ОБЩИЙ ВЫВОД: самолет ЯК-7 вполне пригоден для боевых действий в современной войне, устранение вышеуказанных недостатков значительно повысит боевые качества самолета.</w:t>
      </w:r>
    </w:p>
    <w:p w14:paraId="3A634F5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на 11 листах. Только адресату. Вход. № политуправления 05674.</w:t>
      </w:r>
    </w:p>
    <w:p w14:paraId="0EE8CA8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Командующий ВВС СибВО генерал-майор авиации Шелухин</w:t>
      </w:r>
    </w:p>
    <w:p w14:paraId="13AF514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ВВС СибВО батальонный комиссар Рейдер</w:t>
      </w:r>
    </w:p>
    <w:p w14:paraId="47CEB4C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штаба ВВС СибВО генерал-майор авиации Теплинский</w:t>
      </w:r>
    </w:p>
    <w:p w14:paraId="5FFA7D9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ГАНО. Ф. П—4. Оп. 34. Д. 159. Л. 8-10. Подлинник.</w:t>
      </w:r>
    </w:p>
    <w:p w14:paraId="27B15D1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 документом имеются три подписи-автографа. Документ написан на фирменном бланке управления Военно-Воздушных Сил Сибирского военного округа. Датирован 4 июня 1942 года, № 21001290. Слева под штампом резолюция: «Тов. Хромову. Обсудить</w:t>
      </w:r>
    </w:p>
    <w:p w14:paraId="5A4CA3D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эти замечания с главным инженером и технологическим ... (слово нечитаемо). 13.VI.</w:t>
      </w:r>
    </w:p>
    <w:p w14:paraId="4935D48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Подпись-росчерк Кулагина (20481).</w:t>
      </w:r>
    </w:p>
    <w:p w14:paraId="3126468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7187137" w14:textId="77777777" w:rsidR="00E139B9" w:rsidRPr="008A2E5A" w:rsidRDefault="00E139B9" w:rsidP="00E139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июня 1942 г.</w:t>
      </w:r>
    </w:p>
    <w:p w14:paraId="7FBC53B9" w14:textId="77777777" w:rsidR="00E139B9" w:rsidRPr="008A2E5A" w:rsidRDefault="00E139B9" w:rsidP="00E139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Письмо командующего ВВС СибВО генерал-майо</w:t>
      </w:r>
      <w:r w:rsidRPr="008A2E5A">
        <w:rPr>
          <w:rFonts w:ascii="Times New Roman" w:hAnsi="Times New Roman"/>
          <w:color w:val="0070C0"/>
          <w:sz w:val="16"/>
          <w:szCs w:val="16"/>
        </w:rPr>
        <w:softHyphen/>
        <w:t>ра авиации Шелухина, военного комиссара ВВС Сиб</w:t>
      </w:r>
      <w:r w:rsidRPr="008A2E5A">
        <w:rPr>
          <w:rFonts w:ascii="Times New Roman" w:hAnsi="Times New Roman"/>
          <w:color w:val="0070C0"/>
          <w:sz w:val="16"/>
          <w:szCs w:val="16"/>
        </w:rPr>
        <w:softHyphen/>
        <w:t>ВО батальонного комиссара Рейдера, начальника штаба ВВС СибВО генерал-майора авиации Теплинского чле</w:t>
      </w:r>
      <w:r w:rsidRPr="008A2E5A">
        <w:rPr>
          <w:rFonts w:ascii="Times New Roman" w:hAnsi="Times New Roman"/>
          <w:color w:val="0070C0"/>
          <w:sz w:val="16"/>
          <w:szCs w:val="16"/>
        </w:rPr>
        <w:softHyphen/>
        <w:t>ну Военного совета СибВО М. В. Кулагину №21001290 от 4 июня 1942 г. О заключении летчиков 18-го гиап по са</w:t>
      </w:r>
      <w:r w:rsidRPr="008A2E5A">
        <w:rPr>
          <w:rFonts w:ascii="Times New Roman" w:hAnsi="Times New Roman"/>
          <w:color w:val="0070C0"/>
          <w:sz w:val="16"/>
          <w:szCs w:val="16"/>
        </w:rPr>
        <w:softHyphen/>
        <w:t>молету Як-7, ГАНОф.П-4 оп.34д. 159л.8-10</w:t>
      </w:r>
    </w:p>
    <w:p w14:paraId="76E4CD13" w14:textId="77777777" w:rsidR="00E139B9" w:rsidRPr="008A2E5A" w:rsidRDefault="00E139B9" w:rsidP="00E139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Вашему приказанию докладываю заключения лет</w:t>
      </w:r>
      <w:r w:rsidRPr="008A2E5A">
        <w:rPr>
          <w:rFonts w:ascii="Times New Roman" w:hAnsi="Times New Roman"/>
          <w:color w:val="0070C0"/>
          <w:sz w:val="16"/>
          <w:szCs w:val="16"/>
        </w:rPr>
        <w:softHyphen/>
        <w:t>чиков 18-го гиап по самолету Як-7.</w:t>
      </w:r>
    </w:p>
    <w:p w14:paraId="429C4F42" w14:textId="77777777" w:rsidR="00E139B9" w:rsidRPr="008A2E5A" w:rsidRDefault="00E139B9" w:rsidP="00E139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обобщенном виде необходимо доложить, что Як-7 - вполне современный истребитель, обладающий хороши</w:t>
      </w:r>
      <w:r w:rsidRPr="008A2E5A">
        <w:rPr>
          <w:rFonts w:ascii="Times New Roman" w:hAnsi="Times New Roman"/>
          <w:color w:val="0070C0"/>
          <w:sz w:val="16"/>
          <w:szCs w:val="16"/>
        </w:rPr>
        <w:softHyphen/>
        <w:t>ми летными качествами. В технике пилотирования самолет прост, прощает довольно грубые ошибки летчика при вы</w:t>
      </w:r>
      <w:r w:rsidRPr="008A2E5A">
        <w:rPr>
          <w:rFonts w:ascii="Times New Roman" w:hAnsi="Times New Roman"/>
          <w:color w:val="0070C0"/>
          <w:sz w:val="16"/>
          <w:szCs w:val="16"/>
        </w:rPr>
        <w:softHyphen/>
        <w:t>полнении полета, что дает возможность на этом самолете выпускать летчиков со средними летными качествами.</w:t>
      </w:r>
    </w:p>
    <w:p w14:paraId="01996C79" w14:textId="77777777" w:rsidR="00E139B9" w:rsidRPr="008A2E5A" w:rsidRDefault="00E139B9" w:rsidP="00E139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имеет хорошие летно-тактические данные, дающие ему преимущество перед немецким истребите</w:t>
      </w:r>
      <w:r w:rsidRPr="008A2E5A">
        <w:rPr>
          <w:rFonts w:ascii="Times New Roman" w:hAnsi="Times New Roman"/>
          <w:color w:val="0070C0"/>
          <w:sz w:val="16"/>
          <w:szCs w:val="16"/>
        </w:rPr>
        <w:softHyphen/>
        <w:t>лем Bf 109, но имеет и ряд недостатков, как-то: недоста</w:t>
      </w:r>
      <w:r w:rsidRPr="008A2E5A">
        <w:rPr>
          <w:rFonts w:ascii="Times New Roman" w:hAnsi="Times New Roman"/>
          <w:color w:val="0070C0"/>
          <w:sz w:val="16"/>
          <w:szCs w:val="16"/>
        </w:rPr>
        <w:softHyphen/>
        <w:t>точный маневр по вертикали вследствие малого запаса мощности мотора и большой нагрузки на один квадрат</w:t>
      </w:r>
      <w:r w:rsidRPr="008A2E5A">
        <w:rPr>
          <w:rFonts w:ascii="Times New Roman" w:hAnsi="Times New Roman"/>
          <w:color w:val="0070C0"/>
          <w:sz w:val="16"/>
          <w:szCs w:val="16"/>
        </w:rPr>
        <w:softHyphen/>
        <w:t>ный метр несущей поверхности. Вооружение недоста</w:t>
      </w:r>
      <w:r w:rsidRPr="008A2E5A">
        <w:rPr>
          <w:rFonts w:ascii="Times New Roman" w:hAnsi="Times New Roman"/>
          <w:color w:val="0070C0"/>
          <w:sz w:val="16"/>
          <w:szCs w:val="16"/>
        </w:rPr>
        <w:softHyphen/>
        <w:t>точно мощное, так как кроме пушки ШВАК стоят два пу</w:t>
      </w:r>
      <w:r w:rsidRPr="008A2E5A">
        <w:rPr>
          <w:rFonts w:ascii="Times New Roman" w:hAnsi="Times New Roman"/>
          <w:color w:val="0070C0"/>
          <w:sz w:val="16"/>
          <w:szCs w:val="16"/>
        </w:rPr>
        <w:softHyphen/>
        <w:t>лемета ШКАС нормального калибра, что в современных условиях явно недостаточно (нужны крупнокалиберные пулеметы). Кроме того, пулеметы ШКАС дают частые от</w:t>
      </w:r>
      <w:r w:rsidRPr="008A2E5A">
        <w:rPr>
          <w:rFonts w:ascii="Times New Roman" w:hAnsi="Times New Roman"/>
          <w:color w:val="0070C0"/>
          <w:sz w:val="16"/>
          <w:szCs w:val="16"/>
        </w:rPr>
        <w:softHyphen/>
        <w:t>казы в работе. Обзор летчика в полете затруднен. Са</w:t>
      </w:r>
      <w:r w:rsidRPr="008A2E5A">
        <w:rPr>
          <w:rFonts w:ascii="Times New Roman" w:hAnsi="Times New Roman"/>
          <w:color w:val="0070C0"/>
          <w:sz w:val="16"/>
          <w:szCs w:val="16"/>
        </w:rPr>
        <w:softHyphen/>
        <w:t>молет имеет большой пробег, а при энергичном тормо</w:t>
      </w:r>
      <w:r w:rsidRPr="008A2E5A">
        <w:rPr>
          <w:rFonts w:ascii="Times New Roman" w:hAnsi="Times New Roman"/>
          <w:color w:val="0070C0"/>
          <w:sz w:val="16"/>
          <w:szCs w:val="16"/>
        </w:rPr>
        <w:softHyphen/>
        <w:t>жении вследствие малого угла капотажа самолет охот</w:t>
      </w:r>
      <w:r w:rsidRPr="008A2E5A">
        <w:rPr>
          <w:rFonts w:ascii="Times New Roman" w:hAnsi="Times New Roman"/>
          <w:color w:val="0070C0"/>
          <w:sz w:val="16"/>
          <w:szCs w:val="16"/>
        </w:rPr>
        <w:softHyphen/>
        <w:t>но идет на нос, что часто выводит из строя воздушные винты. Самолет уязвим в воздушном бою вследствие установленного на нем мотора жидкостного охлажде</w:t>
      </w:r>
      <w:r w:rsidRPr="008A2E5A">
        <w:rPr>
          <w:rFonts w:ascii="Times New Roman" w:hAnsi="Times New Roman"/>
          <w:color w:val="0070C0"/>
          <w:sz w:val="16"/>
          <w:szCs w:val="16"/>
        </w:rPr>
        <w:softHyphen/>
        <w:t>ния. Горизонтальная скорость самолета по сравнению с новыми типами немецких истребителей (Ме-109Ф или Ме-115) недостаточна.</w:t>
      </w:r>
    </w:p>
    <w:p w14:paraId="75E31B18" w14:textId="77777777" w:rsidR="00E139B9" w:rsidRPr="008A2E5A" w:rsidRDefault="00E139B9" w:rsidP="00E139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Оборудование самолета удовлетворяет требованиям современного истребителя, но также имеет ряд недо</w:t>
      </w:r>
      <w:r w:rsidRPr="008A2E5A">
        <w:rPr>
          <w:rFonts w:ascii="Times New Roman" w:hAnsi="Times New Roman"/>
          <w:color w:val="0070C0"/>
          <w:sz w:val="16"/>
          <w:szCs w:val="16"/>
        </w:rPr>
        <w:softHyphen/>
        <w:t>статков, например: прицел расположен далеко от летчи</w:t>
      </w:r>
      <w:r w:rsidRPr="008A2E5A">
        <w:rPr>
          <w:rFonts w:ascii="Times New Roman" w:hAnsi="Times New Roman"/>
          <w:color w:val="0070C0"/>
          <w:sz w:val="16"/>
          <w:szCs w:val="16"/>
        </w:rPr>
        <w:softHyphen/>
        <w:t>ка, пожарный кран мешает включать и выключать зажи</w:t>
      </w:r>
      <w:r w:rsidRPr="008A2E5A">
        <w:rPr>
          <w:rFonts w:ascii="Times New Roman" w:hAnsi="Times New Roman"/>
          <w:color w:val="0070C0"/>
          <w:sz w:val="16"/>
          <w:szCs w:val="16"/>
        </w:rPr>
        <w:softHyphen/>
        <w:t>гание мотора, привязные ремни неудобны, гашетки ору</w:t>
      </w:r>
      <w:r w:rsidRPr="008A2E5A">
        <w:rPr>
          <w:rFonts w:ascii="Times New Roman" w:hAnsi="Times New Roman"/>
          <w:color w:val="0070C0"/>
          <w:sz w:val="16"/>
          <w:szCs w:val="16"/>
        </w:rPr>
        <w:softHyphen/>
        <w:t>жия расположены так, что затрудняют ведение огня в бою, сиденье и спинка расположены относительно друг друга так, что при перегрузках в полете быстро утомля</w:t>
      </w:r>
      <w:r w:rsidRPr="008A2E5A">
        <w:rPr>
          <w:rFonts w:ascii="Times New Roman" w:hAnsi="Times New Roman"/>
          <w:color w:val="0070C0"/>
          <w:sz w:val="16"/>
          <w:szCs w:val="16"/>
        </w:rPr>
        <w:softHyphen/>
        <w:t>ют пилота.</w:t>
      </w:r>
    </w:p>
    <w:p w14:paraId="24937051" w14:textId="77777777" w:rsidR="00E139B9" w:rsidRPr="008A2E5A" w:rsidRDefault="00E139B9" w:rsidP="00E139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своей конструкции самолет создает трудности в сборке, разборке, погрузке и транспортировке его, а так</w:t>
      </w:r>
      <w:r w:rsidRPr="008A2E5A">
        <w:rPr>
          <w:rFonts w:ascii="Times New Roman" w:hAnsi="Times New Roman"/>
          <w:color w:val="0070C0"/>
          <w:sz w:val="16"/>
          <w:szCs w:val="16"/>
        </w:rPr>
        <w:softHyphen/>
        <w:t>же при ремонте в полевых условиях. Температурный ре</w:t>
      </w:r>
      <w:r w:rsidRPr="008A2E5A">
        <w:rPr>
          <w:rFonts w:ascii="Times New Roman" w:hAnsi="Times New Roman"/>
          <w:color w:val="0070C0"/>
          <w:sz w:val="16"/>
          <w:szCs w:val="16"/>
        </w:rPr>
        <w:softHyphen/>
        <w:t>жим мотора находится на верхнем пределе, что затруд</w:t>
      </w:r>
      <w:r w:rsidRPr="008A2E5A">
        <w:rPr>
          <w:rFonts w:ascii="Times New Roman" w:hAnsi="Times New Roman"/>
          <w:color w:val="0070C0"/>
          <w:sz w:val="16"/>
          <w:szCs w:val="16"/>
        </w:rPr>
        <w:softHyphen/>
        <w:t>няет, а в жару исключает возможность работы на малых высотах на больших скоростях.</w:t>
      </w:r>
    </w:p>
    <w:p w14:paraId="47489789" w14:textId="77777777" w:rsidR="00E139B9" w:rsidRPr="008A2E5A" w:rsidRDefault="00E139B9" w:rsidP="00E139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процессе эксплуатации самолета выявлен ряд де</w:t>
      </w:r>
      <w:r w:rsidRPr="008A2E5A">
        <w:rPr>
          <w:rFonts w:ascii="Times New Roman" w:hAnsi="Times New Roman"/>
          <w:color w:val="0070C0"/>
          <w:sz w:val="16"/>
          <w:szCs w:val="16"/>
        </w:rPr>
        <w:softHyphen/>
        <w:t>фектов ... которые усложняют поддержание самолета в постоянной боевой готовности. Кроме дефектов кон</w:t>
      </w:r>
      <w:r w:rsidRPr="008A2E5A">
        <w:rPr>
          <w:rFonts w:ascii="Times New Roman" w:hAnsi="Times New Roman"/>
          <w:color w:val="0070C0"/>
          <w:sz w:val="16"/>
          <w:szCs w:val="16"/>
        </w:rPr>
        <w:softHyphen/>
        <w:t>структивного характера, при приемке самолетов с заво</w:t>
      </w:r>
      <w:r w:rsidRPr="008A2E5A">
        <w:rPr>
          <w:rFonts w:ascii="Times New Roman" w:hAnsi="Times New Roman"/>
          <w:color w:val="0070C0"/>
          <w:sz w:val="16"/>
          <w:szCs w:val="16"/>
        </w:rPr>
        <w:softHyphen/>
        <w:t>да №153 отмечается ряд дефектов ... в основном мон</w:t>
      </w:r>
      <w:r w:rsidRPr="008A2E5A">
        <w:rPr>
          <w:rFonts w:ascii="Times New Roman" w:hAnsi="Times New Roman"/>
          <w:color w:val="0070C0"/>
          <w:sz w:val="16"/>
          <w:szCs w:val="16"/>
        </w:rPr>
        <w:softHyphen/>
        <w:t>тажного характера, легко устранимых контролем воен</w:t>
      </w:r>
      <w:r w:rsidRPr="008A2E5A">
        <w:rPr>
          <w:rFonts w:ascii="Times New Roman" w:hAnsi="Times New Roman"/>
          <w:color w:val="0070C0"/>
          <w:sz w:val="16"/>
          <w:szCs w:val="16"/>
        </w:rPr>
        <w:softHyphen/>
        <w:t>ной приемки на заводе за выпуском продукции.</w:t>
      </w:r>
    </w:p>
    <w:p w14:paraId="46EA40E1" w14:textId="77777777" w:rsidR="00E139B9" w:rsidRPr="008A2E5A" w:rsidRDefault="00E139B9" w:rsidP="00E139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Общий вывод: самолет Як-7 вполне пригоден для бо</w:t>
      </w:r>
      <w:r w:rsidRPr="008A2E5A">
        <w:rPr>
          <w:rFonts w:ascii="Times New Roman" w:hAnsi="Times New Roman"/>
          <w:color w:val="0070C0"/>
          <w:sz w:val="16"/>
          <w:szCs w:val="16"/>
        </w:rPr>
        <w:softHyphen/>
        <w:t>евых действий в современной войне, устранение вышеуказанных недостатков значительно повысит боевые ка</w:t>
      </w:r>
      <w:r w:rsidRPr="008A2E5A">
        <w:rPr>
          <w:rFonts w:ascii="Times New Roman" w:hAnsi="Times New Roman"/>
          <w:color w:val="0070C0"/>
          <w:sz w:val="16"/>
          <w:szCs w:val="16"/>
        </w:rPr>
        <w:softHyphen/>
        <w:t>чества самолета.</w:t>
      </w:r>
    </w:p>
    <w:p w14:paraId="23C7D6F9" w14:textId="77777777" w:rsidR="00E139B9" w:rsidRPr="008A2E5A" w:rsidRDefault="00E139B9" w:rsidP="00E139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Командующий ВВС СибВО генерал-майор авиации Шелухин Военный комиссар ВВС СибВО ба</w:t>
      </w:r>
      <w:r w:rsidRPr="008A2E5A">
        <w:rPr>
          <w:rFonts w:ascii="Times New Roman" w:hAnsi="Times New Roman"/>
          <w:color w:val="0070C0"/>
          <w:sz w:val="16"/>
          <w:szCs w:val="16"/>
        </w:rPr>
        <w:softHyphen/>
        <w:t>тальонный комиссар Рейдер Начальник штаба ВВС СибВО генерал-майор авиации Теплинский (23381).</w:t>
      </w:r>
    </w:p>
    <w:p w14:paraId="448EE320" w14:textId="77777777" w:rsidR="00E139B9" w:rsidRPr="008A2E5A" w:rsidRDefault="00E139B9" w:rsidP="00E139B9">
      <w:pPr>
        <w:spacing w:after="0" w:line="240" w:lineRule="auto"/>
        <w:jc w:val="both"/>
        <w:rPr>
          <w:rFonts w:ascii="Times New Roman" w:hAnsi="Times New Roman"/>
          <w:color w:val="0070C0"/>
          <w:sz w:val="16"/>
          <w:szCs w:val="16"/>
        </w:rPr>
      </w:pPr>
    </w:p>
    <w:p w14:paraId="4BB17C09" w14:textId="77777777" w:rsidR="00E139B9" w:rsidRPr="008A2E5A" w:rsidRDefault="00E139B9" w:rsidP="00E139B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июня 1942 г. состоялась официальная, торжественная (с кор</w:t>
      </w:r>
      <w:r w:rsidRPr="008A2E5A">
        <w:rPr>
          <w:rFonts w:ascii="Times New Roman" w:hAnsi="Times New Roman"/>
          <w:color w:val="0070C0"/>
          <w:sz w:val="16"/>
          <w:szCs w:val="16"/>
        </w:rPr>
        <w:softHyphen/>
        <w:t>респондентами центральных газет и фото-кинохрони</w:t>
      </w:r>
      <w:r w:rsidRPr="008A2E5A">
        <w:rPr>
          <w:rFonts w:ascii="Times New Roman" w:hAnsi="Times New Roman"/>
          <w:color w:val="0070C0"/>
          <w:sz w:val="16"/>
          <w:szCs w:val="16"/>
        </w:rPr>
        <w:softHyphen/>
        <w:t>ки) передача именных Як-7А эскадрильи «Новосибирский комсомолец» (первое звено из трех машин должно было получить наименование «Комсомол Нарыма», второе - «Комсомол Кузбасса», а в третьем звене две машины следовало назвать «Новосибирский комсо</w:t>
      </w:r>
      <w:r w:rsidRPr="008A2E5A">
        <w:rPr>
          <w:rFonts w:ascii="Times New Roman" w:hAnsi="Times New Roman"/>
          <w:color w:val="0070C0"/>
          <w:sz w:val="16"/>
          <w:szCs w:val="16"/>
        </w:rPr>
        <w:softHyphen/>
        <w:t>молец» и одну - «Новосибирский пионер»), когда они уже эксплуатировались полком и вылетали на боевые задания. Вручение лет</w:t>
      </w:r>
      <w:r w:rsidRPr="008A2E5A">
        <w:rPr>
          <w:rFonts w:ascii="Times New Roman" w:hAnsi="Times New Roman"/>
          <w:color w:val="0070C0"/>
          <w:sz w:val="16"/>
          <w:szCs w:val="16"/>
        </w:rPr>
        <w:softHyphen/>
        <w:t>чикам полка боевых машин происходило без участия представителей комсомола Новосибирска и области (самолеты передавал заведующий военным отделом ЦК ВЛКСМ Д.В. Постников и инженер завода №153 Белин</w:t>
      </w:r>
      <w:r w:rsidRPr="008A2E5A">
        <w:rPr>
          <w:rFonts w:ascii="Times New Roman" w:hAnsi="Times New Roman"/>
          <w:color w:val="0070C0"/>
          <w:sz w:val="16"/>
          <w:szCs w:val="16"/>
        </w:rPr>
        <w:softHyphen/>
        <w:t>ский). Истребители получили: гвардии старшие лейте</w:t>
      </w:r>
      <w:r w:rsidRPr="008A2E5A">
        <w:rPr>
          <w:rFonts w:ascii="Times New Roman" w:hAnsi="Times New Roman"/>
          <w:color w:val="0070C0"/>
          <w:sz w:val="16"/>
          <w:szCs w:val="16"/>
        </w:rPr>
        <w:softHyphen/>
        <w:t>нанты М.Е. Цыганов (1+1) - «Комсомол Кузбасса», Г.Е. Фастовец (5+3) - «Новосибирский комсомол» и Алек</w:t>
      </w:r>
      <w:r w:rsidRPr="008A2E5A">
        <w:rPr>
          <w:rFonts w:ascii="Times New Roman" w:hAnsi="Times New Roman"/>
          <w:color w:val="0070C0"/>
          <w:sz w:val="16"/>
          <w:szCs w:val="16"/>
        </w:rPr>
        <w:softHyphen/>
        <w:t>сандров (1+1), гвардии батальонный комиссар Д.Т. Про</w:t>
      </w:r>
      <w:r w:rsidRPr="008A2E5A">
        <w:rPr>
          <w:rFonts w:ascii="Times New Roman" w:hAnsi="Times New Roman"/>
          <w:color w:val="0070C0"/>
          <w:sz w:val="16"/>
          <w:szCs w:val="16"/>
        </w:rPr>
        <w:softHyphen/>
        <w:t>яненков - «Новосибирский пионер», гвардии лейтенан</w:t>
      </w:r>
      <w:r w:rsidRPr="008A2E5A">
        <w:rPr>
          <w:rFonts w:ascii="Times New Roman" w:hAnsi="Times New Roman"/>
          <w:color w:val="0070C0"/>
          <w:sz w:val="16"/>
          <w:szCs w:val="16"/>
        </w:rPr>
        <w:softHyphen/>
        <w:t>ты Ю.Я. Келейников (13+2), К.А. Крюков (5+10) - «Ком</w:t>
      </w:r>
      <w:r w:rsidRPr="008A2E5A">
        <w:rPr>
          <w:rFonts w:ascii="Times New Roman" w:hAnsi="Times New Roman"/>
          <w:color w:val="0070C0"/>
          <w:sz w:val="16"/>
          <w:szCs w:val="16"/>
        </w:rPr>
        <w:softHyphen/>
        <w:t>сомол Кузбасса», В.Г. Лебедев (5+0) - «Комсомол Нары- ма», Н.И. Яхненко (0+1), гвардии младшие лейтенанты А.А. Оже - «Комсомол Нарыма», В.М. Помогалов (4+2). В мае 1943 г. два Як-7А из оставшихся четырех прош</w:t>
      </w:r>
      <w:r w:rsidRPr="008A2E5A">
        <w:rPr>
          <w:rFonts w:ascii="Times New Roman" w:hAnsi="Times New Roman"/>
          <w:color w:val="0070C0"/>
          <w:sz w:val="16"/>
          <w:szCs w:val="16"/>
        </w:rPr>
        <w:softHyphen/>
        <w:t>ли полный ремонт лакокрасочного покрытия, при котором наименования машин на бортах самолетов не вос</w:t>
      </w:r>
      <w:r w:rsidRPr="008A2E5A">
        <w:rPr>
          <w:rFonts w:ascii="Times New Roman" w:hAnsi="Times New Roman"/>
          <w:color w:val="0070C0"/>
          <w:sz w:val="16"/>
          <w:szCs w:val="16"/>
        </w:rPr>
        <w:softHyphen/>
        <w:t>станавливались (23381).</w:t>
      </w:r>
    </w:p>
    <w:p w14:paraId="72F047A6" w14:textId="77777777" w:rsidR="00E139B9" w:rsidRPr="008A2E5A" w:rsidRDefault="00E139B9" w:rsidP="00E139B9">
      <w:pPr>
        <w:spacing w:after="0" w:line="240" w:lineRule="auto"/>
        <w:jc w:val="both"/>
        <w:rPr>
          <w:rFonts w:ascii="Times New Roman" w:hAnsi="Times New Roman"/>
          <w:color w:val="0070C0"/>
          <w:sz w:val="16"/>
          <w:szCs w:val="16"/>
        </w:rPr>
      </w:pPr>
    </w:p>
    <w:p w14:paraId="246DB2C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4 июня</w:t>
      </w:r>
      <w:r w:rsidRPr="008127F8">
        <w:rPr>
          <w:rFonts w:ascii="Times New Roman" w:hAnsi="Times New Roman"/>
          <w:color w:val="000000" w:themeColor="text1"/>
          <w:sz w:val="16"/>
          <w:szCs w:val="16"/>
        </w:rPr>
        <w:t xml:space="preserve"> в 1942 году приказ НКАП №419 для проведения заводских испытаний </w:t>
      </w:r>
      <w:hyperlink r:id="rId68" w:tgtFrame="_blank" w:history="1">
        <w:r w:rsidRPr="008127F8">
          <w:rPr>
            <w:rFonts w:ascii="Times New Roman" w:hAnsi="Times New Roman"/>
            <w:color w:val="000000" w:themeColor="text1"/>
            <w:sz w:val="16"/>
            <w:szCs w:val="16"/>
          </w:rPr>
          <w:t xml:space="preserve">«ДИС-200» </w:t>
        </w:r>
      </w:hyperlink>
      <w:r w:rsidRPr="008127F8">
        <w:rPr>
          <w:rFonts w:ascii="Times New Roman" w:hAnsi="Times New Roman"/>
          <w:color w:val="000000" w:themeColor="text1"/>
          <w:sz w:val="16"/>
          <w:szCs w:val="16"/>
        </w:rPr>
        <w:t>с двумя двигателями «М-82» были назначены ведущий летчик-испытатель Г.М.Шиянов, ведущие инженеры Уткин (от ЛИИ) и В.Н.Сорокин (от ОКБ-155) (14912).</w:t>
      </w:r>
    </w:p>
    <w:p w14:paraId="1F70DD3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7E3DED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г. Приказом по МАИ № 161/Л была утверждена тема «Доработка и испытание дополнительных моторов специального типа», и группа, возглавляемая К. А. Путиловым, смогла выполнить исследования прямоточных двигателей ДМ-4 в аэродинамической трубе и после доработки подготовить их к летным испытаниям. В 1944 г. доработанные ВРД ДМ-4 были установлены на самолете Як-7Б. Летные испытания двигателей проводил известный летчик-испытатель С.Н.Анохин. Во время полета на высоте 2340 м Як-7Б без реактивных двигателей имел максимальную скорость 494 км/ч, при установке неработающих двигателей скорость снизилась до 460 км/ч. При включении прямоточных ВРД максимальная скорость достигла 513 км/ч, т.е. увеличилась на 19 км/ч (15730).</w:t>
      </w:r>
    </w:p>
    <w:p w14:paraId="0BE9107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72857D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состоялось совещание по рассмотрению проекта самолета 302, в котором приняли участие Тихонравов, Победоносцев, Душкин и от ВВА Юрьев, Шишмарев, Пышнов, Терещенко, Померанцев и др. Вынесли решение:</w:t>
      </w:r>
    </w:p>
    <w:p w14:paraId="31BF24C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Проект представляет совершенно новый вид ЛА, открывающий перспективы для развития скоростной авиации;</w:t>
      </w:r>
    </w:p>
    <w:p w14:paraId="0CF1E2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Проект осуществим;</w:t>
      </w:r>
    </w:p>
    <w:p w14:paraId="369668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Проект является ценным вкладом (2928,58).</w:t>
      </w:r>
    </w:p>
    <w:p w14:paraId="4322A0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76154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вышло Постановление ГКО № 1866 Об авиационном дизеле М-30. РГАНИР, Фонд ГКО, д. 38, лл. 87-88 (11012).</w:t>
      </w:r>
    </w:p>
    <w:p w14:paraId="271BB0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4CC2D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вышло Постановление ГКО № 1866 Об авиационном дизеле М-30</w:t>
      </w:r>
    </w:p>
    <w:p w14:paraId="57DC234C"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 xml:space="preserve">Для увеличения в кратчайшие сроки дальности бомбардировоч ной авиации, что обеспечивается постановкой на самолеты ТБ-7 и Ер-2 авиадизелей </w:t>
      </w:r>
      <w:r w:rsidRPr="008127F8">
        <w:rPr>
          <w:rStyle w:val="0pt"/>
          <w:rFonts w:ascii="Times New Roman" w:cs="Times New Roman"/>
          <w:color w:val="000000" w:themeColor="text1"/>
          <w:sz w:val="16"/>
          <w:szCs w:val="16"/>
        </w:rPr>
        <w:t>М-30,</w:t>
      </w:r>
      <w:r w:rsidRPr="008127F8">
        <w:rPr>
          <w:rFonts w:ascii="Times New Roman" w:cs="Times New Roman"/>
          <w:color w:val="000000" w:themeColor="text1"/>
          <w:spacing w:val="0"/>
        </w:rPr>
        <w:t xml:space="preserve"> Государственный Комитет Обороны поста новляет:</w:t>
      </w:r>
    </w:p>
    <w:p w14:paraId="33430F6C" w14:textId="77777777" w:rsidR="007C5583" w:rsidRPr="008127F8" w:rsidRDefault="007C5583" w:rsidP="007C5583">
      <w:pPr>
        <w:pStyle w:val="27"/>
        <w:shd w:val="clear" w:color="auto" w:fill="auto"/>
        <w:tabs>
          <w:tab w:val="left" w:pos="1010"/>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1. Объединить кадры конструкторов, работающих в настоящее время над разными авиадизелями, для работы в едином опытно-кон стр&amp;кторском бюро, поставив об единенному опытно-конструктор</w:t>
      </w:r>
      <w:r w:rsidRPr="008127F8">
        <w:rPr>
          <w:rFonts w:ascii="Times New Roman" w:cs="Times New Roman"/>
          <w:color w:val="000000" w:themeColor="text1"/>
          <w:spacing w:val="0"/>
        </w:rPr>
        <w:softHyphen/>
        <w:t xml:space="preserve">скому бюро по авиационному дизелестроению в качестве основной эадачи быстрейшую доводку авиадизелям, М-ЗО и обеспечение надеж ной работы этого дизеля на самолетах, с взлетной мощностью </w:t>
      </w:r>
      <w:r w:rsidRPr="008127F8">
        <w:rPr>
          <w:rStyle w:val="0pt"/>
          <w:rFonts w:ascii="Times New Roman" w:cs="Times New Roman"/>
          <w:color w:val="000000" w:themeColor="text1"/>
          <w:sz w:val="16"/>
          <w:szCs w:val="16"/>
        </w:rPr>
        <w:t>1500</w:t>
      </w:r>
      <w:r w:rsidRPr="008127F8">
        <w:rPr>
          <w:rFonts w:ascii="Times New Roman" w:cs="Times New Roman"/>
          <w:color w:val="000000" w:themeColor="text1"/>
          <w:spacing w:val="0"/>
        </w:rPr>
        <w:t xml:space="preserve"> л.с. и номинальной мощностью </w:t>
      </w:r>
      <w:r w:rsidRPr="008127F8">
        <w:rPr>
          <w:rStyle w:val="0pt"/>
          <w:rFonts w:ascii="Times New Roman" w:cs="Times New Roman"/>
          <w:color w:val="000000" w:themeColor="text1"/>
          <w:sz w:val="16"/>
          <w:szCs w:val="16"/>
        </w:rPr>
        <w:t>1250</w:t>
      </w:r>
      <w:r w:rsidRPr="008127F8">
        <w:rPr>
          <w:rFonts w:ascii="Times New Roman" w:cs="Times New Roman"/>
          <w:color w:val="000000" w:themeColor="text1"/>
          <w:spacing w:val="0"/>
        </w:rPr>
        <w:t xml:space="preserve"> л.с. на 60С0 метров.</w:t>
      </w:r>
    </w:p>
    <w:p w14:paraId="2EB382E5" w14:textId="77777777" w:rsidR="007C5583" w:rsidRPr="008127F8" w:rsidRDefault="007C5583" w:rsidP="007C5583">
      <w:pPr>
        <w:pStyle w:val="27"/>
        <w:shd w:val="clear" w:color="auto" w:fill="auto"/>
        <w:tabs>
          <w:tab w:val="left" w:pos="1013"/>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2. Главным конструктором опытно-конструкторского бюро по авиационному дизелестроению назначить т.Чаромского, соеди</w:t>
      </w:r>
      <w:r w:rsidRPr="008127F8">
        <w:rPr>
          <w:rFonts w:ascii="Times New Roman" w:cs="Times New Roman"/>
          <w:color w:val="000000" w:themeColor="text1"/>
          <w:spacing w:val="0"/>
        </w:rPr>
        <w:softHyphen/>
        <w:t>нив под его руководство конструкторское бюро т.Тулупова, кон</w:t>
      </w:r>
      <w:r w:rsidRPr="008127F8">
        <w:rPr>
          <w:rFonts w:ascii="Times New Roman" w:cs="Times New Roman"/>
          <w:color w:val="000000" w:themeColor="text1"/>
          <w:spacing w:val="0"/>
        </w:rPr>
        <w:softHyphen/>
        <w:t>структорскую группу т.Яковлева и дизельную группу 4-го Спецот-</w:t>
      </w:r>
    </w:p>
    <w:p w14:paraId="37B14ACE" w14:textId="77777777" w:rsidR="007C5583" w:rsidRPr="008127F8" w:rsidRDefault="007C5583" w:rsidP="007C5583">
      <w:pPr>
        <w:pStyle w:val="27"/>
        <w:shd w:val="clear" w:color="auto" w:fill="auto"/>
        <w:tabs>
          <w:tab w:val="left" w:pos="1025"/>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3. Обязать Наркомавиапром т.Шахурина. главного конструкто ра т.Чаромского, директора завода № 22 т.Окулова и главного конструктора т.Невваль постановкой дизелей М</w:t>
      </w:r>
      <w:r w:rsidRPr="008127F8">
        <w:rPr>
          <w:rStyle w:val="0pt"/>
          <w:rFonts w:ascii="Times New Roman" w:cs="Times New Roman"/>
          <w:color w:val="000000" w:themeColor="text1"/>
          <w:sz w:val="16"/>
          <w:szCs w:val="16"/>
        </w:rPr>
        <w:t>-30</w:t>
      </w:r>
      <w:r w:rsidRPr="008127F8">
        <w:rPr>
          <w:rFonts w:ascii="Times New Roman" w:cs="Times New Roman"/>
          <w:color w:val="000000" w:themeColor="text1"/>
          <w:spacing w:val="0"/>
        </w:rPr>
        <w:t xml:space="preserve"> на самолет ТБ-7 обеспечить получение следующих летных данных самолета:</w:t>
      </w:r>
    </w:p>
    <w:p w14:paraId="278FA2D8" w14:textId="77777777" w:rsidR="007C5583" w:rsidRPr="008127F8" w:rsidRDefault="007C5583" w:rsidP="007C5583">
      <w:pPr>
        <w:pStyle w:val="27"/>
        <w:shd w:val="clear" w:color="auto" w:fill="auto"/>
        <w:tabs>
          <w:tab w:val="left" w:leader="dot" w:pos="5053"/>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 xml:space="preserve">максимальная скорость у земли </w:t>
      </w:r>
      <w:r w:rsidRPr="008127F8">
        <w:rPr>
          <w:rStyle w:val="0pt"/>
          <w:rFonts w:ascii="Times New Roman" w:cs="Times New Roman"/>
          <w:color w:val="000000" w:themeColor="text1"/>
          <w:sz w:val="16"/>
          <w:szCs w:val="16"/>
        </w:rPr>
        <w:t>360</w:t>
      </w:r>
      <w:r w:rsidRPr="008127F8">
        <w:rPr>
          <w:rFonts w:ascii="Times New Roman" w:cs="Times New Roman"/>
          <w:color w:val="000000" w:themeColor="text1"/>
          <w:spacing w:val="0"/>
        </w:rPr>
        <w:t xml:space="preserve"> клм/час;</w:t>
      </w:r>
    </w:p>
    <w:p w14:paraId="4C67026C"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 xml:space="preserve">максимальная скорость на высоте </w:t>
      </w:r>
      <w:r w:rsidRPr="008127F8">
        <w:rPr>
          <w:rStyle w:val="0pt"/>
          <w:rFonts w:ascii="Times New Roman" w:cs="Times New Roman"/>
          <w:color w:val="000000" w:themeColor="text1"/>
          <w:sz w:val="16"/>
          <w:szCs w:val="16"/>
        </w:rPr>
        <w:t>6000</w:t>
      </w:r>
      <w:r w:rsidRPr="008127F8">
        <w:rPr>
          <w:rFonts w:ascii="Times New Roman" w:cs="Times New Roman"/>
          <w:color w:val="000000" w:themeColor="text1"/>
          <w:spacing w:val="0"/>
        </w:rPr>
        <w:t xml:space="preserve"> мтр, </w:t>
      </w:r>
      <w:r w:rsidRPr="008127F8">
        <w:rPr>
          <w:rStyle w:val="0pt"/>
          <w:rFonts w:ascii="Times New Roman" w:cs="Times New Roman"/>
          <w:color w:val="000000" w:themeColor="text1"/>
          <w:sz w:val="16"/>
          <w:szCs w:val="16"/>
        </w:rPr>
        <w:t>435</w:t>
      </w:r>
      <w:r w:rsidRPr="008127F8">
        <w:rPr>
          <w:rFonts w:ascii="Times New Roman" w:cs="Times New Roman"/>
          <w:color w:val="000000" w:themeColor="text1"/>
          <w:spacing w:val="0"/>
        </w:rPr>
        <w:t xml:space="preserve"> клм/час;</w:t>
      </w:r>
    </w:p>
    <w:p w14:paraId="26D4CDCA" w14:textId="77777777" w:rsidR="007C5583" w:rsidRPr="008127F8" w:rsidRDefault="007C5583" w:rsidP="007C5583">
      <w:pPr>
        <w:pStyle w:val="27"/>
        <w:shd w:val="clear" w:color="auto" w:fill="auto"/>
        <w:tabs>
          <w:tab w:val="left" w:leader="dot" w:pos="5060"/>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 xml:space="preserve">практический потолок </w:t>
      </w:r>
      <w:r w:rsidRPr="008127F8">
        <w:rPr>
          <w:rStyle w:val="0pt"/>
          <w:rFonts w:ascii="Times New Roman" w:cs="Times New Roman"/>
          <w:color w:val="000000" w:themeColor="text1"/>
          <w:sz w:val="16"/>
          <w:szCs w:val="16"/>
        </w:rPr>
        <w:t>10000</w:t>
      </w:r>
      <w:r w:rsidRPr="008127F8">
        <w:rPr>
          <w:rFonts w:ascii="Times New Roman" w:cs="Times New Roman"/>
          <w:color w:val="000000" w:themeColor="text1"/>
          <w:spacing w:val="0"/>
        </w:rPr>
        <w:t xml:space="preserve"> метров;</w:t>
      </w:r>
    </w:p>
    <w:p w14:paraId="4CE78F15"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 xml:space="preserve">максимальная дальность при полетном весе 35 тонн,с бомбовой нагрузкой </w:t>
      </w:r>
      <w:r w:rsidRPr="008127F8">
        <w:rPr>
          <w:rStyle w:val="0pt"/>
          <w:rFonts w:ascii="Times New Roman" w:cs="Times New Roman"/>
          <w:color w:val="000000" w:themeColor="text1"/>
          <w:sz w:val="16"/>
          <w:szCs w:val="16"/>
        </w:rPr>
        <w:t xml:space="preserve">1.5 </w:t>
      </w:r>
      <w:r w:rsidRPr="008127F8">
        <w:rPr>
          <w:rFonts w:ascii="Times New Roman" w:cs="Times New Roman"/>
          <w:color w:val="000000" w:themeColor="text1"/>
          <w:spacing w:val="0"/>
        </w:rPr>
        <w:t xml:space="preserve">тонн </w:t>
      </w:r>
      <w:r w:rsidRPr="008127F8">
        <w:rPr>
          <w:rStyle w:val="0pt"/>
          <w:rFonts w:ascii="Times New Roman" w:cs="Times New Roman"/>
          <w:color w:val="000000" w:themeColor="text1"/>
          <w:sz w:val="16"/>
          <w:szCs w:val="16"/>
        </w:rPr>
        <w:t>на 0,75</w:t>
      </w:r>
      <w:r w:rsidRPr="008127F8">
        <w:rPr>
          <w:rFonts w:ascii="Times New Roman" w:cs="Times New Roman"/>
          <w:color w:val="000000" w:themeColor="text1"/>
          <w:spacing w:val="0"/>
        </w:rPr>
        <w:t xml:space="preserve"> максимальн.скорости (325 клм/час).. 6000 клм.;</w:t>
      </w:r>
    </w:p>
    <w:p w14:paraId="6A68E428"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 xml:space="preserve">максимальная дальность при полетном весе 35 тонн, с бомбовой нагрузкой 2 тонны на </w:t>
      </w:r>
      <w:r w:rsidRPr="008127F8">
        <w:rPr>
          <w:rStyle w:val="0pt"/>
          <w:rFonts w:ascii="Times New Roman" w:cs="Times New Roman"/>
          <w:color w:val="000000" w:themeColor="text1"/>
          <w:sz w:val="16"/>
          <w:szCs w:val="16"/>
        </w:rPr>
        <w:t>0,75</w:t>
      </w:r>
      <w:r w:rsidRPr="008127F8">
        <w:rPr>
          <w:rFonts w:ascii="Times New Roman" w:cs="Times New Roman"/>
          <w:color w:val="000000" w:themeColor="text1"/>
          <w:spacing w:val="0"/>
        </w:rPr>
        <w:t xml:space="preserve"> максимальн.скорости (325 клм/час)  </w:t>
      </w:r>
      <w:r w:rsidRPr="008127F8">
        <w:rPr>
          <w:rStyle w:val="0pt"/>
          <w:rFonts w:ascii="Times New Roman" w:cs="Times New Roman"/>
          <w:color w:val="000000" w:themeColor="text1"/>
          <w:sz w:val="16"/>
          <w:szCs w:val="16"/>
        </w:rPr>
        <w:t>5700-6000</w:t>
      </w:r>
      <w:r w:rsidRPr="008127F8">
        <w:rPr>
          <w:rFonts w:ascii="Times New Roman" w:cs="Times New Roman"/>
          <w:color w:val="000000" w:themeColor="text1"/>
          <w:spacing w:val="0"/>
        </w:rPr>
        <w:t xml:space="preserve"> клм</w:t>
      </w:r>
    </w:p>
    <w:p w14:paraId="5505AFF7" w14:textId="77777777" w:rsidR="007C5583" w:rsidRPr="008127F8" w:rsidRDefault="007C5583" w:rsidP="007C5583">
      <w:pPr>
        <w:pStyle w:val="27"/>
        <w:shd w:val="clear" w:color="auto" w:fill="auto"/>
        <w:tabs>
          <w:tab w:val="left" w:pos="1003"/>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4. Обязать Наркомавиапром (т.Шахурина) организовать производственную базу для опытно-конструкторского бюро т.Ча</w:t>
      </w:r>
      <w:r w:rsidRPr="008127F8">
        <w:rPr>
          <w:rFonts w:ascii="Times New Roman" w:cs="Times New Roman"/>
          <w:color w:val="000000" w:themeColor="text1"/>
          <w:spacing w:val="0"/>
        </w:rPr>
        <w:softHyphen/>
        <w:t>ромского на площади бывшего моторного завода 1Г 82 в г.Москве, присвоив этому опытному эаводу №'500.</w:t>
      </w:r>
    </w:p>
    <w:p w14:paraId="563C83FA" w14:textId="77777777" w:rsidR="007C5583" w:rsidRPr="008127F8" w:rsidRDefault="007C5583" w:rsidP="007C5583">
      <w:pPr>
        <w:pStyle w:val="27"/>
        <w:shd w:val="clear" w:color="auto" w:fill="auto"/>
        <w:tabs>
          <w:tab w:val="left" w:pos="1003"/>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5. Обязать Наркомавиапром (т.Шахурина), главного конст</w:t>
      </w:r>
      <w:r w:rsidRPr="008127F8">
        <w:rPr>
          <w:rFonts w:ascii="Times New Roman" w:cs="Times New Roman"/>
          <w:color w:val="000000" w:themeColor="text1"/>
          <w:spacing w:val="0"/>
        </w:rPr>
        <w:softHyphen/>
        <w:t>руктора т.Чаромского:</w:t>
      </w:r>
    </w:p>
    <w:p w14:paraId="6A9FE137" w14:textId="77777777" w:rsidR="007C5583" w:rsidRPr="008127F8" w:rsidRDefault="007C5583" w:rsidP="007C5583">
      <w:pPr>
        <w:pStyle w:val="27"/>
        <w:shd w:val="clear" w:color="auto" w:fill="auto"/>
        <w:tabs>
          <w:tab w:val="left" w:pos="1010"/>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 xml:space="preserve">а) установить на мотор </w:t>
      </w:r>
      <w:r w:rsidRPr="008127F8">
        <w:rPr>
          <w:rStyle w:val="0pt"/>
          <w:rFonts w:ascii="Times New Roman" w:cs="Times New Roman"/>
          <w:color w:val="000000" w:themeColor="text1"/>
          <w:sz w:val="16"/>
          <w:szCs w:val="16"/>
        </w:rPr>
        <w:t>М-30</w:t>
      </w:r>
      <w:r w:rsidRPr="008127F8">
        <w:rPr>
          <w:rFonts w:ascii="Times New Roman" w:cs="Times New Roman"/>
          <w:color w:val="000000" w:themeColor="text1"/>
          <w:spacing w:val="0"/>
        </w:rPr>
        <w:t xml:space="preserve"> приводной центробежный наг</w:t>
      </w:r>
      <w:r w:rsidRPr="008127F8">
        <w:rPr>
          <w:rFonts w:ascii="Times New Roman" w:cs="Times New Roman"/>
          <w:color w:val="000000" w:themeColor="text1"/>
          <w:spacing w:val="0"/>
        </w:rPr>
        <w:softHyphen/>
        <w:t>нетатель для устранения самовыключения мотора на высотах бо</w:t>
      </w:r>
      <w:r w:rsidRPr="008127F8">
        <w:rPr>
          <w:rFonts w:ascii="Times New Roman" w:cs="Times New Roman"/>
          <w:color w:val="000000" w:themeColor="text1"/>
          <w:spacing w:val="0"/>
        </w:rPr>
        <w:softHyphen/>
        <w:t xml:space="preserve">лее </w:t>
      </w:r>
      <w:r w:rsidRPr="008127F8">
        <w:rPr>
          <w:rStyle w:val="0pt"/>
          <w:rFonts w:ascii="Times New Roman" w:cs="Times New Roman"/>
          <w:color w:val="000000" w:themeColor="text1"/>
          <w:sz w:val="16"/>
          <w:szCs w:val="16"/>
        </w:rPr>
        <w:t>3.500</w:t>
      </w:r>
      <w:r w:rsidRPr="008127F8">
        <w:rPr>
          <w:rFonts w:ascii="Times New Roman" w:cs="Times New Roman"/>
          <w:color w:val="000000" w:themeColor="text1"/>
          <w:spacing w:val="0"/>
        </w:rPr>
        <w:t xml:space="preserve"> метров и для улучшения его приемистости;</w:t>
      </w:r>
    </w:p>
    <w:p w14:paraId="128FDB31" w14:textId="77777777" w:rsidR="007C5583" w:rsidRPr="008127F8" w:rsidRDefault="007C5583" w:rsidP="007C5583">
      <w:pPr>
        <w:pStyle w:val="27"/>
        <w:shd w:val="clear" w:color="auto" w:fill="auto"/>
        <w:tabs>
          <w:tab w:val="left" w:pos="995"/>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б) установить на мотор специальный прибор,контролирующий нагрузку мотора в полете;</w:t>
      </w:r>
    </w:p>
    <w:p w14:paraId="33D8A2F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 вновь установленными на дизель К-30 нагнетателями и контрольными приборами провести 100 часовые испытания на станке и летные на двух самолетЬс Ер-2 к 1 июля с.г,</w:t>
      </w:r>
    </w:p>
    <w:p w14:paraId="18F0D877" w14:textId="77777777" w:rsidR="007C5583" w:rsidRPr="008127F8" w:rsidRDefault="007C5583" w:rsidP="007C5583">
      <w:pPr>
        <w:tabs>
          <w:tab w:val="left" w:pos="99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Обязать Наркомавиапром (т.Шахурина) и директора вавода ™ 22 т.Окулова:</w:t>
      </w:r>
    </w:p>
    <w:p w14:paraId="6AAD14EF" w14:textId="77777777" w:rsidR="007C5583" w:rsidRPr="008127F8" w:rsidRDefault="007C5583" w:rsidP="007C5583">
      <w:pPr>
        <w:tabs>
          <w:tab w:val="left" w:pos="100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оборудовать один самолет ТБ-7 моторами М-30 к 15 июля 1942 г. и передать этот самолет для опытной эксплоатации в авиа</w:t>
      </w:r>
      <w:r w:rsidRPr="008127F8">
        <w:rPr>
          <w:rFonts w:ascii="Times New Roman" w:hAnsi="Times New Roman"/>
          <w:color w:val="000000" w:themeColor="text1"/>
          <w:sz w:val="16"/>
          <w:szCs w:val="16"/>
        </w:rPr>
        <w:softHyphen/>
        <w:t>часть т.Голованова;</w:t>
      </w:r>
    </w:p>
    <w:p w14:paraId="0D090E83" w14:textId="77777777" w:rsidR="007C5583" w:rsidRPr="008127F8" w:rsidRDefault="007C5583" w:rsidP="007C5583">
      <w:pPr>
        <w:tabs>
          <w:tab w:val="left" w:pos="99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оборудовать 5 самолетов ТБ-7 моторами М-30 в августе 1942 года и не позднее 1 сентября передать их в авиачасть т.Го</w:t>
      </w:r>
      <w:r w:rsidRPr="008127F8">
        <w:rPr>
          <w:rFonts w:ascii="Times New Roman" w:hAnsi="Times New Roman"/>
          <w:color w:val="000000" w:themeColor="text1"/>
          <w:sz w:val="16"/>
          <w:szCs w:val="16"/>
        </w:rPr>
        <w:softHyphen/>
        <w:t>лованова.</w:t>
      </w:r>
    </w:p>
    <w:p w14:paraId="2F7E6A78" w14:textId="77777777" w:rsidR="007C5583" w:rsidRPr="008127F8" w:rsidRDefault="007C5583" w:rsidP="007C5583">
      <w:pPr>
        <w:tabs>
          <w:tab w:val="left" w:pos="97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Разрешить т.Чаромскому продолжать опытно-эксперименталь</w:t>
      </w:r>
      <w:r w:rsidRPr="008127F8">
        <w:rPr>
          <w:rFonts w:ascii="Times New Roman" w:hAnsi="Times New Roman"/>
          <w:color w:val="000000" w:themeColor="text1"/>
          <w:sz w:val="16"/>
          <w:szCs w:val="16"/>
        </w:rPr>
        <w:softHyphen/>
        <w:t>ную работу по мотору М-20 и его модификации, для чего имеющееся оборудование и заделы по этому мотору перевести из Казани в Мо</w:t>
      </w:r>
      <w:r w:rsidRPr="008127F8">
        <w:rPr>
          <w:rFonts w:ascii="Times New Roman" w:hAnsi="Times New Roman"/>
          <w:color w:val="000000" w:themeColor="text1"/>
          <w:sz w:val="16"/>
          <w:szCs w:val="16"/>
        </w:rPr>
        <w:softHyphen/>
        <w:t>скву.</w:t>
      </w:r>
    </w:p>
    <w:p w14:paraId="1FC73DE2" w14:textId="77777777" w:rsidR="007C5583" w:rsidRPr="008127F8" w:rsidRDefault="007C5583" w:rsidP="007C5583">
      <w:pPr>
        <w:tabs>
          <w:tab w:val="left" w:pos="97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Во изменение постановления Г0К0 № 1465сс от 15 марта 1942 года обязать Наркомавиапром (т.Шахурина) передать до 20 июня 1942 года заводу № 500, из числа имеющегося*оборудования в ЦИАМ в г.Уфе, 70 единиц станочного оборудования, предназначен</w:t>
      </w:r>
      <w:r w:rsidRPr="008127F8">
        <w:rPr>
          <w:rFonts w:ascii="Times New Roman" w:hAnsi="Times New Roman"/>
          <w:color w:val="000000" w:themeColor="text1"/>
          <w:sz w:val="16"/>
          <w:szCs w:val="16"/>
        </w:rPr>
        <w:softHyphen/>
        <w:t>ных к передаче заводу № 45.</w:t>
      </w:r>
    </w:p>
    <w:p w14:paraId="399DDB19" w14:textId="77777777" w:rsidR="007C5583" w:rsidRPr="008127F8" w:rsidRDefault="007C5583" w:rsidP="007C5583">
      <w:pPr>
        <w:tabs>
          <w:tab w:val="left" w:pos="97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Для создания завода по производству мелких серий авиа</w:t>
      </w:r>
      <w:bookmarkStart w:id="13" w:name="bookmark1"/>
      <w:r w:rsidRPr="008127F8">
        <w:rPr>
          <w:rFonts w:ascii="Times New Roman" w:hAnsi="Times New Roman"/>
          <w:color w:val="000000" w:themeColor="text1"/>
          <w:sz w:val="16"/>
          <w:szCs w:val="16"/>
        </w:rPr>
        <w:t>дизелей М-30:</w:t>
      </w:r>
      <w:bookmarkEnd w:id="13"/>
    </w:p>
    <w:p w14:paraId="77EB194F" w14:textId="77777777" w:rsidR="007C5583" w:rsidRPr="008127F8" w:rsidRDefault="007C5583" w:rsidP="007C5583">
      <w:pPr>
        <w:tabs>
          <w:tab w:val="left" w:pos="157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обязать Госплан СССР (т.Сабурова) предусмотреть выделение целевым назначением для завода ГО 500 100 единиц станочного обо</w:t>
      </w:r>
      <w:r w:rsidRPr="008127F8">
        <w:rPr>
          <w:rFonts w:ascii="Times New Roman" w:hAnsi="Times New Roman"/>
          <w:color w:val="000000" w:themeColor="text1"/>
          <w:sz w:val="16"/>
          <w:szCs w:val="16"/>
        </w:rPr>
        <w:softHyphen/>
        <w:t>рудования, в том числе: токарных станков 40, револьверных стан</w:t>
      </w:r>
      <w:r w:rsidRPr="008127F8">
        <w:rPr>
          <w:rFonts w:ascii="Times New Roman" w:hAnsi="Times New Roman"/>
          <w:color w:val="000000" w:themeColor="text1"/>
          <w:sz w:val="16"/>
          <w:szCs w:val="16"/>
        </w:rPr>
        <w:softHyphen/>
        <w:t>ков 15, горизонтально-фрезерных 15, вертикально-фрезерных 20 и токарных автоматов 10, с поставкой равномерными частями в 3-м и 4-м кварталах 1942 года;</w:t>
      </w:r>
    </w:p>
    <w:p w14:paraId="1136D3A1" w14:textId="77777777" w:rsidR="007C5583" w:rsidRPr="008127F8" w:rsidRDefault="007C5583" w:rsidP="007C5583">
      <w:pPr>
        <w:tabs>
          <w:tab w:val="left" w:pos="1585"/>
        </w:tabs>
        <w:spacing w:after="0" w:line="240" w:lineRule="auto"/>
        <w:jc w:val="both"/>
        <w:rPr>
          <w:rFonts w:ascii="Times New Roman" w:hAnsi="Times New Roman"/>
          <w:color w:val="000000" w:themeColor="text1"/>
          <w:sz w:val="16"/>
          <w:szCs w:val="16"/>
        </w:rPr>
      </w:pPr>
      <w:r w:rsidRPr="008127F8">
        <w:rPr>
          <w:rStyle w:val="95pt0"/>
          <w:rFonts w:ascii="Times New Roman" w:eastAsia="Calibri" w:hAnsi="Times New Roman"/>
          <w:color w:val="000000" w:themeColor="text1"/>
          <w:sz w:val="16"/>
          <w:szCs w:val="16"/>
        </w:rPr>
        <w:t>б</w:t>
      </w:r>
      <w:r w:rsidRPr="008127F8">
        <w:rPr>
          <w:rFonts w:ascii="Times New Roman" w:hAnsi="Times New Roman"/>
          <w:color w:val="000000" w:themeColor="text1"/>
          <w:sz w:val="16"/>
          <w:szCs w:val="16"/>
        </w:rPr>
        <w:t>) обязать Наркомвнешторг (т.Микояна)</w:t>
      </w:r>
      <w:r w:rsidRPr="008127F8">
        <w:rPr>
          <w:rStyle w:val="95pt0"/>
          <w:rFonts w:ascii="Times New Roman" w:eastAsia="Calibri" w:hAnsi="Times New Roman"/>
          <w:color w:val="000000" w:themeColor="text1"/>
          <w:sz w:val="16"/>
          <w:szCs w:val="16"/>
        </w:rPr>
        <w:t xml:space="preserve"> И8</w:t>
      </w:r>
      <w:r w:rsidRPr="008127F8">
        <w:rPr>
          <w:rFonts w:ascii="Times New Roman" w:hAnsi="Times New Roman"/>
          <w:color w:val="000000" w:themeColor="text1"/>
          <w:sz w:val="16"/>
          <w:szCs w:val="16"/>
        </w:rPr>
        <w:t xml:space="preserve"> поступающего в</w:t>
      </w:r>
      <w:r w:rsidRPr="008127F8">
        <w:rPr>
          <w:rStyle w:val="95pt0"/>
          <w:rFonts w:ascii="Times New Roman" w:eastAsia="Calibri" w:hAnsi="Times New Roman"/>
          <w:color w:val="000000" w:themeColor="text1"/>
          <w:sz w:val="16"/>
          <w:szCs w:val="16"/>
        </w:rPr>
        <w:t xml:space="preserve"> 1942 </w:t>
      </w:r>
      <w:r w:rsidRPr="008127F8">
        <w:rPr>
          <w:rFonts w:ascii="Times New Roman" w:hAnsi="Times New Roman"/>
          <w:color w:val="000000" w:themeColor="text1"/>
          <w:sz w:val="16"/>
          <w:szCs w:val="16"/>
        </w:rPr>
        <w:t>году импортного оборудования, выделить заводу № 500 по его спе</w:t>
      </w:r>
      <w:r w:rsidRPr="008127F8">
        <w:rPr>
          <w:rFonts w:ascii="Times New Roman" w:hAnsi="Times New Roman"/>
          <w:color w:val="000000" w:themeColor="text1"/>
          <w:sz w:val="16"/>
          <w:szCs w:val="16"/>
        </w:rPr>
        <w:softHyphen/>
        <w:t>цификации 300 металлорежущих станков, в том числе: в 3-м квар</w:t>
      </w:r>
      <w:r w:rsidRPr="008127F8">
        <w:rPr>
          <w:rFonts w:ascii="Times New Roman" w:hAnsi="Times New Roman"/>
          <w:color w:val="000000" w:themeColor="text1"/>
          <w:sz w:val="16"/>
          <w:szCs w:val="16"/>
        </w:rPr>
        <w:softHyphen/>
        <w:t>тале 200 и в 4-м квартале 100 станков.</w:t>
      </w:r>
    </w:p>
    <w:p w14:paraId="7F617890" w14:textId="77777777" w:rsidR="007C5583" w:rsidRPr="008127F8" w:rsidRDefault="007C5583" w:rsidP="007C5583">
      <w:pPr>
        <w:tabs>
          <w:tab w:val="left" w:pos="110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Обязать Наркомавиапром (т.Шахурина) к 20 июня 1942г.:</w:t>
      </w:r>
    </w:p>
    <w:p w14:paraId="595B2B8A" w14:textId="77777777" w:rsidR="007C5583" w:rsidRPr="008127F8" w:rsidRDefault="007C5583" w:rsidP="007C5583">
      <w:pPr>
        <w:tabs>
          <w:tab w:val="left" w:pos="194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передать заводу № 500 с завода № 45 специализированные станки, специальный инструмент и приспособления, также оборудо</w:t>
      </w:r>
      <w:r w:rsidRPr="008127F8">
        <w:rPr>
          <w:rFonts w:ascii="Times New Roman" w:hAnsi="Times New Roman"/>
          <w:color w:val="000000" w:themeColor="text1"/>
          <w:sz w:val="16"/>
          <w:szCs w:val="16"/>
        </w:rPr>
        <w:softHyphen/>
        <w:t>вание цеха топливной аппаратуры для производства насосов и фор</w:t>
      </w:r>
      <w:r w:rsidRPr="008127F8">
        <w:rPr>
          <w:rFonts w:ascii="Times New Roman" w:hAnsi="Times New Roman"/>
          <w:color w:val="000000" w:themeColor="text1"/>
          <w:sz w:val="16"/>
          <w:szCs w:val="16"/>
        </w:rPr>
        <w:softHyphen/>
        <w:t>сунок;</w:t>
      </w:r>
    </w:p>
    <w:p w14:paraId="19A23775" w14:textId="77777777" w:rsidR="007C5583" w:rsidRPr="008127F8" w:rsidRDefault="007C5583" w:rsidP="007C5583">
      <w:pPr>
        <w:tabs>
          <w:tab w:val="left" w:pos="194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передать 18 штук металлорежущих станков с завода 335;</w:t>
      </w:r>
    </w:p>
    <w:p w14:paraId="7F3653AC" w14:textId="77777777" w:rsidR="007C5583" w:rsidRPr="008127F8" w:rsidRDefault="007C5583" w:rsidP="007C5583">
      <w:pPr>
        <w:tabs>
          <w:tab w:val="left" w:pos="195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выделить заводу № 500 в 3-м квартале 1942 года куэнечно- прессовое, термическое, литейное, энергетическое оборудование в ко</w:t>
      </w:r>
      <w:r w:rsidRPr="008127F8">
        <w:rPr>
          <w:rFonts w:ascii="Times New Roman" w:hAnsi="Times New Roman"/>
          <w:color w:val="000000" w:themeColor="text1"/>
          <w:sz w:val="16"/>
          <w:szCs w:val="16"/>
        </w:rPr>
        <w:softHyphen/>
        <w:t>личествах, обеспечивающих нормальную работу завода.</w:t>
      </w:r>
    </w:p>
    <w:p w14:paraId="6234FB52" w14:textId="77777777" w:rsidR="007C5583" w:rsidRPr="008127F8" w:rsidRDefault="007C5583" w:rsidP="007C5583">
      <w:pPr>
        <w:tabs>
          <w:tab w:val="left" w:pos="109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Обязать т.Микояна в 10-дневный срок рассмотреть и решить вопрос о выделении заводу № 500 10 грузовых автомашин.</w:t>
      </w:r>
    </w:p>
    <w:p w14:paraId="259A7326" w14:textId="77777777" w:rsidR="007C5583" w:rsidRPr="008127F8" w:rsidRDefault="007C5583" w:rsidP="007C5583">
      <w:pPr>
        <w:tabs>
          <w:tab w:val="left" w:pos="109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Обязать Наркомторг СССР (т.Любимова) производить снаб</w:t>
      </w:r>
      <w:r w:rsidRPr="008127F8">
        <w:rPr>
          <w:rFonts w:ascii="Times New Roman" w:hAnsi="Times New Roman"/>
          <w:color w:val="000000" w:themeColor="text1"/>
          <w:sz w:val="16"/>
          <w:szCs w:val="16"/>
        </w:rPr>
        <w:softHyphen/>
        <w:t>жение работников вавода НГ 500 и их иждивенцев наравне с авиа</w:t>
      </w:r>
      <w:r w:rsidRPr="008127F8">
        <w:rPr>
          <w:rFonts w:ascii="Times New Roman" w:hAnsi="Times New Roman"/>
          <w:color w:val="000000" w:themeColor="text1"/>
          <w:sz w:val="16"/>
          <w:szCs w:val="16"/>
        </w:rPr>
        <w:softHyphen/>
        <w:t>ционными заводами г.Москвы.</w:t>
      </w:r>
    </w:p>
    <w:p w14:paraId="3140440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13. Обяэать Наркомфин (т.Зверева) выделить заводу № 500 из резервного фонда СнК СССР на постановку производства мотора </w:t>
      </w:r>
      <w:r w:rsidRPr="008127F8">
        <w:rPr>
          <w:rStyle w:val="-1pt"/>
          <w:rFonts w:ascii="Times New Roman" w:hAnsi="Times New Roman" w:cs="Times New Roman"/>
          <w:color w:val="000000" w:themeColor="text1"/>
          <w:sz w:val="16"/>
          <w:szCs w:val="16"/>
        </w:rPr>
        <w:t>'три миллиона рубл</w:t>
      </w:r>
      <w:r w:rsidRPr="008127F8">
        <w:rPr>
          <w:rFonts w:ascii="Times New Roman" w:hAnsi="Times New Roman"/>
          <w:color w:val="000000" w:themeColor="text1"/>
          <w:sz w:val="16"/>
          <w:szCs w:val="16"/>
        </w:rPr>
        <w:t>ей (19340).</w:t>
      </w:r>
    </w:p>
    <w:p w14:paraId="097ECED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г. ГКО выпустил решение N 1866сс, в котором НКАПу предлагалось организовать новый завод №500... "по производству мелких серий авиационных дизелей". При этом теперь уже заводу N 45 было предписано срочно передать специальное "дизельное" оборудование на новый завод, а последнему - переоборудовать к июлю два Ер-2 и к августу 1942 пять ТБ-7 под М-30! Впрочем, ни НКАП, ни Госплан СССР, ни завод N 45 не выполнили предписаний высшего руководящего органа страны. Чаромскому и его коллегам пришлось "отдуваться" самим, по крохам собирая необходимые станки и инструменты. Естественно, что эффективность работ на протяжении 1942 г. оказалась чрезвычайно низкой (3322,38).</w:t>
      </w:r>
    </w:p>
    <w:p w14:paraId="60D198B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DDA94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года Постановлением ГОКО на площадях бывш. завода № 82 организован опытный завод № 500 по доводке и производству мелких серийных моторов М-30. Завод начал свою деятельность в июне 1942 года. Постановлением ГОКО от 4 июня 1942 года кадры конструкторов, работающие над разными дизелями (КБ Тулупова, группа Яковлева, дизельная группа 4-го спецотдела НКВД) были объединены в одно КБ завода № 500, на которое возлагалась задача быстрейшей доводки мотора М-30. Директором завода был назначен Вовк, гл. конструктором Чаромский. 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(авиадизелей).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49B41D7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1DDAAD0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692BCC3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Тушино. Производственный профиль – авиамоторный (9861).</w:t>
      </w:r>
    </w:p>
    <w:p w14:paraId="504727E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D3EB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4-го июня 1942 Назначенный в соответствии с указанием И.В.С. главным конструктором завода № 500 НКАП А.Д. Чаромский приступил к работе по доводке дизеля М-30. Одновременно Берия было дано указание о командировании на этот завод группы специалистов 4-го Спецотдела НКВД СССР, работающих под руководством А.Д. ЧАРОМСКОГО по проектированию и производству дизеля М-20 и знающих также производство дизеля М-30 (11430).</w:t>
      </w:r>
    </w:p>
    <w:p w14:paraId="6102E6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5303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вышло Постановление ГКО № 1868 О мероприятиях по обеспечению самолетов выливными авиационными приборами (ВАП). РГАНИР, Фонд ГКО, д. 38, лл. 92-93 (11012).</w:t>
      </w:r>
    </w:p>
    <w:p w14:paraId="56B3035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93A39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вышло Постановление ГКО № 1868 О мероприятиях по обеспечению самолетов выливными авиационными приборами (ВАП)</w:t>
      </w:r>
    </w:p>
    <w:p w14:paraId="36F82EF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Государственный Комитет Обороны постановляет:</w:t>
      </w:r>
    </w:p>
    <w:p w14:paraId="6A2EF31A" w14:textId="77777777" w:rsidR="007C5583" w:rsidRPr="008127F8" w:rsidRDefault="007C5583" w:rsidP="007C5583">
      <w:pPr>
        <w:tabs>
          <w:tab w:val="left" w:pos="167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Принять к сведению заключение ВВС Красной Армии (т.т.Новикова и Репина) о возможности применения вылив- ных авиационных приборов на бомбодержателях самолетов, без всякого изменения'последних:</w:t>
      </w:r>
    </w:p>
    <w:p w14:paraId="263114D3" w14:textId="77777777" w:rsidR="007C5583" w:rsidRPr="008127F8" w:rsidRDefault="007C5583" w:rsidP="007C5583">
      <w:pPr>
        <w:tabs>
          <w:tab w:val="left" w:pos="167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Л&amp;гг-З - подвешивается по два серийных прибора ВАП-6Ы с однозамочным приспособлением;</w:t>
      </w:r>
    </w:p>
    <w:p w14:paraId="43F8971A" w14:textId="77777777" w:rsidR="007C5583" w:rsidRPr="008127F8" w:rsidRDefault="007C5583" w:rsidP="007C5583">
      <w:pPr>
        <w:tabs>
          <w:tab w:val="left" w:pos="166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Ил-2 - подвешиваются два серийных прибора ВАП-200 или ВАП-250, на специальные подвесные балки, комплектуе</w:t>
      </w:r>
      <w:r w:rsidRPr="008127F8">
        <w:rPr>
          <w:rFonts w:ascii="Times New Roman" w:hAnsi="Times New Roman"/>
          <w:color w:val="000000" w:themeColor="text1"/>
          <w:sz w:val="16"/>
          <w:szCs w:val="16"/>
        </w:rPr>
        <w:softHyphen/>
        <w:t>мые с прибором;</w:t>
      </w:r>
    </w:p>
    <w:p w14:paraId="32C99FFB" w14:textId="77777777" w:rsidR="007C5583" w:rsidRPr="008127F8" w:rsidRDefault="007C5583" w:rsidP="007C5583">
      <w:pPr>
        <w:tabs>
          <w:tab w:val="left" w:pos="168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Пе-2 - подвешиваются по два серийных прибора ВАП-250;</w:t>
      </w:r>
    </w:p>
    <w:p w14:paraId="7C0B2A5C" w14:textId="77777777" w:rsidR="007C5583" w:rsidRPr="008127F8" w:rsidRDefault="007C5583" w:rsidP="007C5583">
      <w:pPr>
        <w:tabs>
          <w:tab w:val="left" w:pos="166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Ил-4 - подвешиваются три серийных прибора ВАП-500;</w:t>
      </w:r>
    </w:p>
    <w:p w14:paraId="536504E1" w14:textId="77777777" w:rsidR="007C5583" w:rsidRPr="008127F8" w:rsidRDefault="007C5583" w:rsidP="007C5583">
      <w:pPr>
        <w:tabs>
          <w:tab w:val="left" w:pos="167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ТБ-7 - подвешиваются два серийных псибора ВАП-1000:</w:t>
      </w:r>
    </w:p>
    <w:p w14:paraId="65791682" w14:textId="77777777" w:rsidR="007C5583" w:rsidRPr="008127F8" w:rsidRDefault="007C5583" w:rsidP="007C5583">
      <w:pPr>
        <w:tabs>
          <w:tab w:val="left" w:pos="168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У-2 - имеющих бомбардировочное вооружение, могут подвешиваться два серийных прибора ВАП-бМ с однозамочным приспособлением;</w:t>
      </w:r>
    </w:p>
    <w:p w14:paraId="71617335" w14:textId="77777777" w:rsidR="007C5583" w:rsidRPr="008127F8" w:rsidRDefault="007C5583" w:rsidP="007C5583">
      <w:pPr>
        <w:tabs>
          <w:tab w:val="left" w:pos="167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Уиг-З, И-</w:t>
      </w:r>
      <w:r w:rsidRPr="008127F8">
        <w:rPr>
          <w:rStyle w:val="0pt6"/>
          <w:rFonts w:ascii="Times New Roman" w:hAnsi="Times New Roman"/>
          <w:color w:val="000000" w:themeColor="text1"/>
          <w:sz w:val="16"/>
          <w:szCs w:val="16"/>
        </w:rPr>
        <w:t>153</w:t>
      </w:r>
      <w:r w:rsidRPr="008127F8">
        <w:rPr>
          <w:rFonts w:ascii="Times New Roman" w:hAnsi="Times New Roman"/>
          <w:color w:val="000000" w:themeColor="text1"/>
          <w:sz w:val="16"/>
          <w:szCs w:val="16"/>
        </w:rPr>
        <w:t xml:space="preserve"> и И-15 "бис" - подвешивается по два серийных прибора ВАЛ-6М;</w:t>
      </w:r>
    </w:p>
    <w:p w14:paraId="428DAD5E" w14:textId="77777777" w:rsidR="007C5583" w:rsidRPr="008127F8" w:rsidRDefault="007C5583" w:rsidP="007C5583">
      <w:pPr>
        <w:tabs>
          <w:tab w:val="left" w:pos="167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 Су-2 - подвешиваются два серийных прибора ВАП-200;</w:t>
      </w:r>
    </w:p>
    <w:p w14:paraId="5040C564" w14:textId="77777777" w:rsidR="007C5583" w:rsidRPr="008127F8" w:rsidRDefault="007C5583" w:rsidP="007C5583">
      <w:pPr>
        <w:tabs>
          <w:tab w:val="left" w:pos="167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Ар-2 и СБ - имеющих наружные бомбардировочные замки, подвешиваются шва серийных прибора ЗАП-500;</w:t>
      </w:r>
    </w:p>
    <w:p w14:paraId="5FE169C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ТБ-3 с Ы-34 РН - подвешиваюся три серийные при</w:t>
      </w:r>
      <w:r w:rsidRPr="008127F8">
        <w:rPr>
          <w:rFonts w:ascii="Times New Roman" w:hAnsi="Times New Roman"/>
          <w:color w:val="000000" w:themeColor="text1"/>
          <w:sz w:val="16"/>
          <w:szCs w:val="16"/>
        </w:rPr>
        <w:softHyphen/>
        <w:t>бора ВАП-1000 или четыре прибора ВАП-500;</w:t>
      </w:r>
    </w:p>
    <w:p w14:paraId="65A449C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 Як-7 - подвешиваются два серийных прибора ВАП-бМ с однозамочным приспособлением.</w:t>
      </w:r>
    </w:p>
    <w:p w14:paraId="6AAEC6CE" w14:textId="77777777" w:rsidR="007C5583" w:rsidRPr="008127F8" w:rsidRDefault="007C5583" w:rsidP="007C5583">
      <w:pPr>
        <w:tabs>
          <w:tab w:val="left" w:pos="168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Обязать Наркомавиапром (т.Шахурина) и директора завода .. 43 Н1САП т.Дворкина", Наркомат" Минометного Воору</w:t>
      </w:r>
      <w:r w:rsidRPr="008127F8">
        <w:rPr>
          <w:rFonts w:ascii="Times New Roman" w:hAnsi="Times New Roman"/>
          <w:color w:val="000000" w:themeColor="text1"/>
          <w:sz w:val="16"/>
          <w:szCs w:val="16"/>
        </w:rPr>
        <w:softHyphen/>
        <w:t>жения (т.Паршина) и директора завода "Красный Аксай" (т.Гланцова;- изготовить и сдать ВВС КА 3.000 добавоч</w:t>
      </w:r>
      <w:r w:rsidRPr="008127F8">
        <w:rPr>
          <w:rFonts w:ascii="Times New Roman" w:hAnsi="Times New Roman"/>
          <w:color w:val="000000" w:themeColor="text1"/>
          <w:sz w:val="16"/>
          <w:szCs w:val="16"/>
        </w:rPr>
        <w:softHyphen/>
        <w:t>ных однозамочных приспособлений к ВАП-бМ в следующие сроки:</w:t>
      </w:r>
    </w:p>
    <w:p w14:paraId="4E0DCE89" w14:textId="77777777" w:rsidR="007C5583" w:rsidRPr="008127F8" w:rsidRDefault="007C5583" w:rsidP="007C5583">
      <w:pPr>
        <w:tabs>
          <w:tab w:val="left" w:pos="168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ab/>
      </w:r>
      <w:r w:rsidRPr="008127F8">
        <w:rPr>
          <w:rStyle w:val="16"/>
          <w:rFonts w:ascii="Times New Roman" w:hAnsi="Times New Roman"/>
          <w:color w:val="000000" w:themeColor="text1"/>
        </w:rPr>
        <w:t>к 10.У1</w:t>
      </w:r>
      <w:r w:rsidRPr="008127F8">
        <w:rPr>
          <w:rStyle w:val="16"/>
          <w:rFonts w:ascii="Times New Roman" w:hAnsi="Times New Roman"/>
          <w:color w:val="000000" w:themeColor="text1"/>
        </w:rPr>
        <w:tab/>
      </w:r>
      <w:r w:rsidRPr="008127F8">
        <w:rPr>
          <w:rFonts w:ascii="Times New Roman" w:hAnsi="Times New Roman"/>
          <w:color w:val="000000" w:themeColor="text1"/>
          <w:sz w:val="16"/>
          <w:szCs w:val="16"/>
        </w:rPr>
        <w:t>к 10.У1</w:t>
      </w:r>
      <w:r w:rsidRPr="008127F8">
        <w:rPr>
          <w:rFonts w:ascii="Times New Roman" w:hAnsi="Times New Roman"/>
          <w:color w:val="000000" w:themeColor="text1"/>
          <w:sz w:val="16"/>
          <w:szCs w:val="16"/>
        </w:rPr>
        <w:tab/>
      </w:r>
      <w:r w:rsidRPr="008127F8">
        <w:rPr>
          <w:rStyle w:val="16"/>
          <w:rFonts w:ascii="Times New Roman" w:hAnsi="Times New Roman"/>
          <w:color w:val="000000" w:themeColor="text1"/>
        </w:rPr>
        <w:t>к 1.УП</w:t>
      </w:r>
    </w:p>
    <w:p w14:paraId="02B947B9" w14:textId="77777777" w:rsidR="007C5583" w:rsidRPr="008127F8" w:rsidRDefault="007C5583" w:rsidP="007C5583">
      <w:pPr>
        <w:tabs>
          <w:tab w:val="left" w:pos="426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43 НКАП</w:t>
      </w:r>
      <w:r w:rsidRPr="008127F8">
        <w:rPr>
          <w:rFonts w:ascii="Times New Roman" w:hAnsi="Times New Roman"/>
          <w:color w:val="000000" w:themeColor="text1"/>
          <w:sz w:val="16"/>
          <w:szCs w:val="16"/>
        </w:rPr>
        <w:tab/>
        <w:t>200</w:t>
      </w:r>
      <w:r w:rsidRPr="008127F8">
        <w:rPr>
          <w:rFonts w:ascii="Times New Roman" w:hAnsi="Times New Roman"/>
          <w:color w:val="000000" w:themeColor="text1"/>
          <w:sz w:val="16"/>
          <w:szCs w:val="16"/>
        </w:rPr>
        <w:tab/>
        <w:t xml:space="preserve"> 500</w:t>
      </w:r>
      <w:r w:rsidRPr="008127F8">
        <w:rPr>
          <w:rFonts w:ascii="Times New Roman" w:hAnsi="Times New Roman"/>
          <w:color w:val="000000" w:themeColor="text1"/>
          <w:sz w:val="16"/>
          <w:szCs w:val="16"/>
        </w:rPr>
        <w:tab/>
        <w:t xml:space="preserve"> 800</w:t>
      </w:r>
    </w:p>
    <w:p w14:paraId="1901318B" w14:textId="77777777" w:rsidR="007C5583" w:rsidRPr="008127F8" w:rsidRDefault="007C5583" w:rsidP="007C5583">
      <w:pPr>
        <w:tabs>
          <w:tab w:val="left" w:pos="520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"Красный Аксай</w:t>
      </w:r>
      <w:r w:rsidRPr="008127F8">
        <w:rPr>
          <w:rFonts w:ascii="Times New Roman" w:hAnsi="Times New Roman"/>
          <w:color w:val="000000" w:themeColor="text1"/>
          <w:sz w:val="16"/>
          <w:szCs w:val="16"/>
        </w:rPr>
        <w:tab/>
        <w:t>-</w:t>
      </w:r>
      <w:r w:rsidRPr="008127F8">
        <w:rPr>
          <w:rFonts w:ascii="Times New Roman" w:hAnsi="Times New Roman"/>
          <w:color w:val="000000" w:themeColor="text1"/>
          <w:sz w:val="16"/>
          <w:szCs w:val="16"/>
        </w:rPr>
        <w:tab/>
        <w:t>500</w:t>
      </w:r>
      <w:r w:rsidRPr="008127F8">
        <w:rPr>
          <w:rFonts w:ascii="Times New Roman" w:hAnsi="Times New Roman"/>
          <w:color w:val="000000" w:themeColor="text1"/>
          <w:sz w:val="16"/>
          <w:szCs w:val="16"/>
        </w:rPr>
        <w:tab/>
        <w:t>1000</w:t>
      </w:r>
    </w:p>
    <w:p w14:paraId="5DD650D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Обязать Наркомавиапром (т.Шахурина) и директора завода 43 НКАП т.Дворкина с 5 нюня </w:t>
      </w:r>
      <w:r w:rsidRPr="008127F8">
        <w:rPr>
          <w:rStyle w:val="0pt"/>
          <w:rFonts w:ascii="Times New Roman" w:hAnsi="Times New Roman" w:cs="Times New Roman"/>
          <w:color w:val="000000" w:themeColor="text1"/>
          <w:sz w:val="16"/>
          <w:szCs w:val="16"/>
        </w:rPr>
        <w:t>1942</w:t>
      </w:r>
      <w:r w:rsidRPr="008127F8">
        <w:rPr>
          <w:rFonts w:ascii="Times New Roman" w:hAnsi="Times New Roman"/>
          <w:color w:val="000000" w:themeColor="text1"/>
          <w:sz w:val="16"/>
          <w:szCs w:val="16"/>
        </w:rPr>
        <w:t xml:space="preserve"> года, а Нар</w:t>
      </w:r>
      <w:r w:rsidRPr="008127F8">
        <w:rPr>
          <w:rFonts w:ascii="Times New Roman" w:hAnsi="Times New Roman"/>
          <w:color w:val="000000" w:themeColor="text1"/>
          <w:sz w:val="16"/>
          <w:szCs w:val="16"/>
        </w:rPr>
        <w:softHyphen/>
        <w:t xml:space="preserve">комат Минометного Вооружения (т.Паршина) и директора завода "Красный Аксай" т.Гланцова с 20 июня </w:t>
      </w:r>
      <w:r w:rsidRPr="008127F8">
        <w:rPr>
          <w:rStyle w:val="0pt"/>
          <w:rFonts w:ascii="Times New Roman" w:hAnsi="Times New Roman" w:cs="Times New Roman"/>
          <w:color w:val="000000" w:themeColor="text1"/>
          <w:sz w:val="16"/>
          <w:szCs w:val="16"/>
        </w:rPr>
        <w:t xml:space="preserve">1942 </w:t>
      </w:r>
      <w:r w:rsidRPr="008127F8">
        <w:rPr>
          <w:rFonts w:ascii="Times New Roman" w:hAnsi="Times New Roman"/>
          <w:color w:val="000000" w:themeColor="text1"/>
          <w:sz w:val="16"/>
          <w:szCs w:val="16"/>
        </w:rPr>
        <w:t>года выпу</w:t>
      </w:r>
      <w:r w:rsidRPr="008127F8">
        <w:rPr>
          <w:rFonts w:ascii="Times New Roman" w:hAnsi="Times New Roman"/>
          <w:color w:val="000000" w:themeColor="text1"/>
          <w:sz w:val="16"/>
          <w:szCs w:val="16"/>
        </w:rPr>
        <w:softHyphen/>
        <w:t>скать сеоийные приборы ВАП-6М с добавочным однозамочным при</w:t>
      </w:r>
      <w:r w:rsidRPr="008127F8">
        <w:rPr>
          <w:rFonts w:ascii="Times New Roman" w:hAnsi="Times New Roman"/>
          <w:color w:val="000000" w:themeColor="text1"/>
          <w:sz w:val="16"/>
          <w:szCs w:val="16"/>
        </w:rPr>
        <w:softHyphen/>
        <w:t xml:space="preserve">способлением (по*чертежам, утвержденным ВВС </w:t>
      </w:r>
      <w:r w:rsidRPr="008127F8">
        <w:rPr>
          <w:rStyle w:val="0pt"/>
          <w:rFonts w:ascii="Times New Roman" w:hAnsi="Times New Roman" w:cs="Times New Roman"/>
          <w:color w:val="000000" w:themeColor="text1"/>
          <w:sz w:val="16"/>
          <w:szCs w:val="16"/>
        </w:rPr>
        <w:t>КА).</w:t>
      </w:r>
    </w:p>
    <w:p w14:paraId="01E8A440" w14:textId="77777777" w:rsidR="007C5583" w:rsidRPr="008127F8" w:rsidRDefault="007C5583" w:rsidP="007C5583">
      <w:pPr>
        <w:tabs>
          <w:tab w:val="left" w:pos="95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Обязать Наркомавиапром (т.Шахурина) и директоров эа- водов № $ </w:t>
      </w:r>
      <w:r w:rsidRPr="008127F8">
        <w:rPr>
          <w:rStyle w:val="0pt"/>
          <w:rFonts w:ascii="Times New Roman" w:hAnsi="Times New Roman" w:cs="Times New Roman"/>
          <w:color w:val="000000" w:themeColor="text1"/>
          <w:sz w:val="16"/>
          <w:szCs w:val="16"/>
        </w:rPr>
        <w:t>1,18, 30 и 381</w:t>
      </w:r>
      <w:r w:rsidRPr="008127F8">
        <w:rPr>
          <w:rFonts w:ascii="Times New Roman" w:hAnsi="Times New Roman"/>
          <w:color w:val="000000" w:themeColor="text1"/>
          <w:sz w:val="16"/>
          <w:szCs w:val="16"/>
        </w:rPr>
        <w:t xml:space="preserve"> НКАП с 1 июня </w:t>
      </w:r>
      <w:r w:rsidRPr="008127F8">
        <w:rPr>
          <w:rStyle w:val="0pt"/>
          <w:rFonts w:ascii="Times New Roman" w:hAnsi="Times New Roman" w:cs="Times New Roman"/>
          <w:color w:val="000000" w:themeColor="text1"/>
          <w:sz w:val="16"/>
          <w:szCs w:val="16"/>
        </w:rPr>
        <w:t>1942</w:t>
      </w:r>
      <w:r w:rsidRPr="008127F8">
        <w:rPr>
          <w:rFonts w:ascii="Times New Roman" w:hAnsi="Times New Roman"/>
          <w:color w:val="000000" w:themeColor="text1"/>
          <w:sz w:val="16"/>
          <w:szCs w:val="16"/>
        </w:rPr>
        <w:t xml:space="preserve"> года комплектовать самолеты Ил-2 специальными балками для подвески ВАП-250 и ФАБ-250 по две балки на каждый третий самолет.</w:t>
      </w:r>
    </w:p>
    <w:p w14:paraId="54F1D1B0" w14:textId="77777777" w:rsidR="007C5583" w:rsidRPr="008127F8" w:rsidRDefault="007C5583" w:rsidP="007C5583">
      <w:pPr>
        <w:tabs>
          <w:tab w:val="left" w:pos="94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Обязать Наркомавиапром (т.Шахурина) и директооа за</w:t>
      </w:r>
      <w:r w:rsidRPr="008127F8">
        <w:rPr>
          <w:rFonts w:ascii="Times New Roman" w:hAnsi="Times New Roman"/>
          <w:color w:val="000000" w:themeColor="text1"/>
          <w:sz w:val="16"/>
          <w:szCs w:val="16"/>
        </w:rPr>
        <w:softHyphen/>
        <w:t xml:space="preserve">вода $ </w:t>
      </w:r>
      <w:r w:rsidRPr="008127F8">
        <w:rPr>
          <w:rStyle w:val="0pt"/>
          <w:rFonts w:ascii="Times New Roman" w:hAnsi="Times New Roman" w:cs="Times New Roman"/>
          <w:color w:val="000000" w:themeColor="text1"/>
          <w:sz w:val="16"/>
          <w:szCs w:val="16"/>
        </w:rPr>
        <w:t>145</w:t>
      </w:r>
      <w:r w:rsidRPr="008127F8">
        <w:rPr>
          <w:rFonts w:ascii="Times New Roman" w:hAnsi="Times New Roman"/>
          <w:color w:val="000000" w:themeColor="text1"/>
          <w:sz w:val="16"/>
          <w:szCs w:val="16"/>
        </w:rPr>
        <w:t xml:space="preserve"> т.Крупнова во П-м кваотале доукомплектовать пои- бооы ВАП-250 для Ил-2, сданные ВВС КА до 1 июня </w:t>
      </w:r>
      <w:r w:rsidRPr="008127F8">
        <w:rPr>
          <w:rStyle w:val="0pt"/>
          <w:rFonts w:ascii="Times New Roman" w:hAnsi="Times New Roman" w:cs="Times New Roman"/>
          <w:color w:val="000000" w:themeColor="text1"/>
          <w:sz w:val="16"/>
          <w:szCs w:val="16"/>
        </w:rPr>
        <w:t>1942</w:t>
      </w:r>
      <w:r w:rsidRPr="008127F8">
        <w:rPr>
          <w:rFonts w:ascii="Times New Roman" w:hAnsi="Times New Roman"/>
          <w:color w:val="000000" w:themeColor="text1"/>
          <w:sz w:val="16"/>
          <w:szCs w:val="16"/>
        </w:rPr>
        <w:t xml:space="preserve"> года, специальными балками с замком в количестве </w:t>
      </w:r>
      <w:r w:rsidRPr="008127F8">
        <w:rPr>
          <w:rStyle w:val="0pt"/>
          <w:rFonts w:ascii="Times New Roman" w:hAnsi="Times New Roman" w:cs="Times New Roman"/>
          <w:color w:val="000000" w:themeColor="text1"/>
          <w:sz w:val="16"/>
          <w:szCs w:val="16"/>
        </w:rPr>
        <w:t>900</w:t>
      </w:r>
      <w:r w:rsidRPr="008127F8">
        <w:rPr>
          <w:rFonts w:ascii="Times New Roman" w:hAnsi="Times New Roman"/>
          <w:color w:val="000000" w:themeColor="text1"/>
          <w:sz w:val="16"/>
          <w:szCs w:val="16"/>
        </w:rPr>
        <w:t xml:space="preserve"> штук, из расче</w:t>
      </w:r>
      <w:r w:rsidRPr="008127F8">
        <w:rPr>
          <w:rFonts w:ascii="Times New Roman" w:hAnsi="Times New Roman"/>
          <w:color w:val="000000" w:themeColor="text1"/>
          <w:sz w:val="16"/>
          <w:szCs w:val="16"/>
        </w:rPr>
        <w:softHyphen/>
        <w:t>та по одной балке на каждый прибор.</w:t>
      </w:r>
    </w:p>
    <w:p w14:paraId="5C062DBF" w14:textId="77777777" w:rsidR="007C5583" w:rsidRPr="008127F8" w:rsidRDefault="007C5583" w:rsidP="007C5583">
      <w:pPr>
        <w:tabs>
          <w:tab w:val="left" w:pos="93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Изменить задание Наркомавиапрому на П-й квартал </w:t>
      </w:r>
      <w:r w:rsidRPr="008127F8">
        <w:rPr>
          <w:rStyle w:val="0pt"/>
          <w:rFonts w:ascii="Times New Roman" w:hAnsi="Times New Roman" w:cs="Times New Roman"/>
          <w:color w:val="000000" w:themeColor="text1"/>
          <w:sz w:val="16"/>
          <w:szCs w:val="16"/>
        </w:rPr>
        <w:t xml:space="preserve">1942 </w:t>
      </w:r>
      <w:r w:rsidRPr="008127F8">
        <w:rPr>
          <w:rFonts w:ascii="Times New Roman" w:hAnsi="Times New Roman"/>
          <w:color w:val="000000" w:themeColor="text1"/>
          <w:sz w:val="16"/>
          <w:szCs w:val="16"/>
        </w:rPr>
        <w:t>года по выпуску приборов ВАП-500 и ВАП-6М в следующих количе</w:t>
      </w:r>
      <w:r w:rsidRPr="008127F8">
        <w:rPr>
          <w:rFonts w:ascii="Times New Roman" w:hAnsi="Times New Roman"/>
          <w:color w:val="000000" w:themeColor="text1"/>
          <w:sz w:val="16"/>
          <w:szCs w:val="16"/>
        </w:rPr>
        <w:softHyphen/>
        <w:t>ствах:</w:t>
      </w:r>
    </w:p>
    <w:p w14:paraId="7415DCF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приборы ВАП-500 - </w:t>
      </w:r>
      <w:r w:rsidRPr="008127F8">
        <w:rPr>
          <w:rStyle w:val="0pt"/>
          <w:rFonts w:ascii="Times New Roman" w:hAnsi="Times New Roman" w:cs="Times New Roman"/>
          <w:color w:val="000000" w:themeColor="text1"/>
          <w:sz w:val="16"/>
          <w:szCs w:val="16"/>
        </w:rPr>
        <w:t>900</w:t>
      </w:r>
      <w:r w:rsidRPr="008127F8">
        <w:rPr>
          <w:rFonts w:ascii="Times New Roman" w:hAnsi="Times New Roman"/>
          <w:color w:val="000000" w:themeColor="text1"/>
          <w:sz w:val="16"/>
          <w:szCs w:val="16"/>
        </w:rPr>
        <w:t xml:space="preserve"> штук вместо </w:t>
      </w:r>
      <w:r w:rsidRPr="008127F8">
        <w:rPr>
          <w:rStyle w:val="0pt"/>
          <w:rFonts w:ascii="Times New Roman" w:hAnsi="Times New Roman" w:cs="Times New Roman"/>
          <w:color w:val="000000" w:themeColor="text1"/>
          <w:sz w:val="16"/>
          <w:szCs w:val="16"/>
        </w:rPr>
        <w:t>2500</w:t>
      </w:r>
    </w:p>
    <w:p w14:paraId="05C9DA4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приборы ВАП-6М - </w:t>
      </w:r>
      <w:r w:rsidRPr="008127F8">
        <w:rPr>
          <w:rStyle w:val="0pt"/>
          <w:rFonts w:ascii="Times New Roman" w:hAnsi="Times New Roman" w:cs="Times New Roman"/>
          <w:color w:val="000000" w:themeColor="text1"/>
          <w:sz w:val="16"/>
          <w:szCs w:val="16"/>
        </w:rPr>
        <w:t>3000</w:t>
      </w:r>
      <w:r w:rsidRPr="008127F8">
        <w:rPr>
          <w:rFonts w:ascii="Times New Roman" w:hAnsi="Times New Roman"/>
          <w:color w:val="000000" w:themeColor="text1"/>
          <w:sz w:val="16"/>
          <w:szCs w:val="16"/>
        </w:rPr>
        <w:t xml:space="preserve"> штук вместо </w:t>
      </w:r>
      <w:r w:rsidRPr="008127F8">
        <w:rPr>
          <w:rStyle w:val="0pt"/>
          <w:rFonts w:ascii="Times New Roman" w:hAnsi="Times New Roman" w:cs="Times New Roman"/>
          <w:color w:val="000000" w:themeColor="text1"/>
          <w:sz w:val="16"/>
          <w:szCs w:val="16"/>
        </w:rPr>
        <w:t>2000</w:t>
      </w:r>
    </w:p>
    <w:p w14:paraId="2BC694D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Соответственно создать мощности на заводах НКАП, обеспе</w:t>
      </w:r>
      <w:r w:rsidRPr="008127F8">
        <w:rPr>
          <w:rFonts w:ascii="Times New Roman" w:hAnsi="Times New Roman"/>
          <w:color w:val="000000" w:themeColor="text1"/>
          <w:sz w:val="16"/>
          <w:szCs w:val="16"/>
        </w:rPr>
        <w:softHyphen/>
        <w:t>чивающие поставку в месяц:</w:t>
      </w:r>
    </w:p>
    <w:p w14:paraId="7C49539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приборов ВАП-500 - 400штук вместо </w:t>
      </w:r>
      <w:r w:rsidRPr="008127F8">
        <w:rPr>
          <w:rStyle w:val="0pt"/>
          <w:rFonts w:ascii="Times New Roman" w:hAnsi="Times New Roman" w:cs="Times New Roman"/>
          <w:color w:val="000000" w:themeColor="text1"/>
          <w:sz w:val="16"/>
          <w:szCs w:val="16"/>
        </w:rPr>
        <w:t>1000</w:t>
      </w:r>
    </w:p>
    <w:p w14:paraId="2418FDB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приборов ВАП-6М - 2000штук вместо </w:t>
      </w:r>
      <w:r w:rsidRPr="008127F8">
        <w:rPr>
          <w:rStyle w:val="0pt"/>
          <w:rFonts w:ascii="Times New Roman" w:hAnsi="Times New Roman" w:cs="Times New Roman"/>
          <w:color w:val="000000" w:themeColor="text1"/>
          <w:sz w:val="16"/>
          <w:szCs w:val="16"/>
        </w:rPr>
        <w:t>1200</w:t>
      </w:r>
    </w:p>
    <w:p w14:paraId="6DC9DC99" w14:textId="77777777" w:rsidR="007C5583" w:rsidRPr="008127F8" w:rsidRDefault="007C5583" w:rsidP="007C5583">
      <w:pPr>
        <w:tabs>
          <w:tab w:val="left" w:pos="92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Разрешить Наркомавиапрому организовать на площадях бывшего завода № 472 (Болшево") дублер завода № </w:t>
      </w:r>
      <w:r w:rsidRPr="008127F8">
        <w:rPr>
          <w:rStyle w:val="0pt"/>
          <w:rFonts w:ascii="Times New Roman" w:hAnsi="Times New Roman" w:cs="Times New Roman"/>
          <w:color w:val="000000" w:themeColor="text1"/>
          <w:sz w:val="16"/>
          <w:szCs w:val="16"/>
        </w:rPr>
        <w:t>145</w:t>
      </w:r>
      <w:r w:rsidRPr="008127F8">
        <w:rPr>
          <w:rFonts w:ascii="Times New Roman" w:hAnsi="Times New Roman"/>
          <w:color w:val="000000" w:themeColor="text1"/>
          <w:sz w:val="16"/>
          <w:szCs w:val="16"/>
        </w:rPr>
        <w:t xml:space="preserve"> по произ</w:t>
      </w:r>
      <w:r w:rsidRPr="008127F8">
        <w:rPr>
          <w:rFonts w:ascii="Times New Roman" w:hAnsi="Times New Roman"/>
          <w:color w:val="000000" w:themeColor="text1"/>
          <w:sz w:val="16"/>
          <w:szCs w:val="16"/>
        </w:rPr>
        <w:softHyphen/>
        <w:t xml:space="preserve">водству выливных авиационных прибооов, для чего перебросить с заводов № 472 (Кузнецк), № 145 (Куйбышев) и № 481 (Сызрань) </w:t>
      </w:r>
      <w:r w:rsidRPr="008127F8">
        <w:rPr>
          <w:rStyle w:val="0pt"/>
          <w:rFonts w:ascii="Times New Roman" w:hAnsi="Times New Roman" w:cs="Times New Roman"/>
          <w:color w:val="000000" w:themeColor="text1"/>
          <w:sz w:val="16"/>
          <w:szCs w:val="16"/>
        </w:rPr>
        <w:t>120</w:t>
      </w:r>
      <w:r w:rsidRPr="008127F8">
        <w:rPr>
          <w:rFonts w:ascii="Times New Roman" w:hAnsi="Times New Roman"/>
          <w:color w:val="000000" w:themeColor="text1"/>
          <w:sz w:val="16"/>
          <w:szCs w:val="16"/>
        </w:rPr>
        <w:t xml:space="preserve"> единиц оборудования и </w:t>
      </w:r>
      <w:r w:rsidRPr="008127F8">
        <w:rPr>
          <w:rStyle w:val="0pt"/>
          <w:rFonts w:ascii="Times New Roman" w:hAnsi="Times New Roman" w:cs="Times New Roman"/>
          <w:color w:val="000000" w:themeColor="text1"/>
          <w:sz w:val="16"/>
          <w:szCs w:val="16"/>
        </w:rPr>
        <w:t>150</w:t>
      </w:r>
      <w:r w:rsidRPr="008127F8">
        <w:rPr>
          <w:rFonts w:ascii="Times New Roman" w:hAnsi="Times New Roman"/>
          <w:color w:val="000000" w:themeColor="text1"/>
          <w:sz w:val="16"/>
          <w:szCs w:val="16"/>
        </w:rPr>
        <w:t xml:space="preserve"> человек рабочих и ИТР.</w:t>
      </w:r>
    </w:p>
    <w:p w14:paraId="7420BD3C" w14:textId="77777777" w:rsidR="007C5583" w:rsidRPr="008127F8" w:rsidRDefault="007C5583" w:rsidP="007C5583">
      <w:pPr>
        <w:tabs>
          <w:tab w:val="left" w:pos="95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8. Обяэать Наркомат Минометного Вооружения (т.Паршина) дополнительно изготовить и сдать ВВС КА до 1 июля </w:t>
      </w:r>
      <w:r w:rsidRPr="008127F8">
        <w:rPr>
          <w:rStyle w:val="0pt"/>
          <w:rFonts w:ascii="Times New Roman" w:hAnsi="Times New Roman" w:cs="Times New Roman"/>
          <w:color w:val="000000" w:themeColor="text1"/>
          <w:sz w:val="16"/>
          <w:szCs w:val="16"/>
        </w:rPr>
        <w:t>1942</w:t>
      </w:r>
      <w:r w:rsidRPr="008127F8">
        <w:rPr>
          <w:rFonts w:ascii="Times New Roman" w:hAnsi="Times New Roman"/>
          <w:color w:val="000000" w:themeColor="text1"/>
          <w:sz w:val="16"/>
          <w:szCs w:val="16"/>
        </w:rPr>
        <w:t xml:space="preserve"> года </w:t>
      </w:r>
      <w:r w:rsidRPr="008127F8">
        <w:rPr>
          <w:rStyle w:val="0pt"/>
          <w:rFonts w:ascii="Times New Roman" w:hAnsi="Times New Roman" w:cs="Times New Roman"/>
          <w:color w:val="000000" w:themeColor="text1"/>
          <w:sz w:val="16"/>
          <w:szCs w:val="16"/>
        </w:rPr>
        <w:t>350</w:t>
      </w:r>
      <w:r w:rsidRPr="008127F8">
        <w:rPr>
          <w:rFonts w:ascii="Times New Roman" w:hAnsi="Times New Roman"/>
          <w:color w:val="000000" w:themeColor="text1"/>
          <w:sz w:val="16"/>
          <w:szCs w:val="16"/>
        </w:rPr>
        <w:t xml:space="preserve"> комплектов ВАП-6М.</w:t>
      </w:r>
    </w:p>
    <w:p w14:paraId="2708971E" w14:textId="77777777" w:rsidR="007C5583" w:rsidRPr="008127F8" w:rsidRDefault="007C5583" w:rsidP="007C5583">
      <w:pPr>
        <w:tabs>
          <w:tab w:val="left" w:pos="167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Обязать Госплан при СНК СССР выделить дополнитель</w:t>
      </w:r>
      <w:r w:rsidRPr="008127F8">
        <w:rPr>
          <w:rFonts w:ascii="Times New Roman" w:hAnsi="Times New Roman"/>
          <w:color w:val="000000" w:themeColor="text1"/>
          <w:sz w:val="16"/>
          <w:szCs w:val="16"/>
        </w:rPr>
        <w:softHyphen/>
        <w:t xml:space="preserve">но во 2-м квартале целевым назначением фонды на материалы для Наркомата. Минометного Вооружения на </w:t>
      </w:r>
      <w:r w:rsidRPr="008127F8">
        <w:rPr>
          <w:rStyle w:val="0pt"/>
          <w:rFonts w:ascii="Times New Roman" w:hAnsi="Times New Roman" w:cs="Times New Roman"/>
          <w:color w:val="000000" w:themeColor="text1"/>
          <w:sz w:val="16"/>
          <w:szCs w:val="16"/>
        </w:rPr>
        <w:t>350</w:t>
      </w:r>
      <w:r w:rsidRPr="008127F8">
        <w:rPr>
          <w:rFonts w:ascii="Times New Roman" w:hAnsi="Times New Roman"/>
          <w:color w:val="000000" w:themeColor="text1"/>
          <w:sz w:val="16"/>
          <w:szCs w:val="16"/>
        </w:rPr>
        <w:t xml:space="preserve"> приборов ВАП-6М (19341).</w:t>
      </w:r>
    </w:p>
    <w:p w14:paraId="0F9A18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9DDA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3E47D8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AF9BAC"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4 июня 1942 года Артиллерийским комитетом ГАУ КА было выдано задание №5400072 на проектирование «установки качающейся части 152,4 мм гаубицы образца 1937 г. (МЛ-20) в танке КВ-7».</w:t>
      </w:r>
    </w:p>
    <w:p w14:paraId="6EF3FF35"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Эта дата несколько не согласуется с письмом начальника Артиллерийского Комитета ГАУ КА генерал-полковника В.И. Хохлова в адрес председателя Технического Совета НКВ профессора Э.А. Сателя. Письмо это также датировано 4 июня 1942 года. Согласно этому письму, самоходная установка по состоянию на начало июня уже была в работе. Вместе с ней КБ завода №8 проектировало установки с 122-мм гаубицей М-30 и 122-мм гаубицей У-11 на базе танка Т-34, известные как ЗИК-11 и ЗИК-10. Сроки завершения упомянутых проектов на тот момент установлены не были, и работа шла, что называется, самотеком. Ввиду важности этих работ в письме было предложено установить сроком для завершения эскизных проектов 15 июня, а к 20 числу планировалось доставить их в Москву на утверждение. Однако сроки эти соблюдены не были — реально документация на ЗИК-10 и ЗИК-11 была закончена в августе.</w:t>
      </w:r>
    </w:p>
    <w:p w14:paraId="21927969"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Что же касается тяжелой САУ, получившей заводское обозначение ЗИК-20, то работы по ней затянулись на еще больший срок. В значительной степени виной этому стала попытка Главного артиллерийского управления (ГАУ) и Главного автобронетанкового управления (ГАБТУ) переложить на КБ завода №8 разработку столь желаемого ими истребителя ДОТов с орудием БР-2. 23 июня 1942 года заместитель Народного Комиссара Танковой Промышленности А.А. Горегляда написал письмо в адрес начальника ГАУ КА генерал-полковника Н.Д. Яковлева. В нем предлагалось возложить на НКВ изготовление двух образцов 152-мм пушки образца 1937 года с увеличением начальной скорости снаряда до 750–780 м/с за счет удлинения ствола и применения дульного тормоза. Впрочем, и Петров к срывам работ имеет самое прямое отношение, поскольку упомянутую систему разработали в его КБ (15806).</w:t>
      </w:r>
    </w:p>
    <w:p w14:paraId="0B486D04" w14:textId="77777777" w:rsidR="007C5583" w:rsidRPr="008127F8" w:rsidRDefault="007C5583" w:rsidP="007C5583">
      <w:pPr>
        <w:pStyle w:val="af"/>
        <w:shd w:val="clear" w:color="auto" w:fill="FFFFFF"/>
        <w:spacing w:before="0" w:after="0"/>
        <w:jc w:val="both"/>
        <w:rPr>
          <w:color w:val="000000" w:themeColor="text1"/>
          <w:sz w:val="16"/>
          <w:szCs w:val="16"/>
        </w:rPr>
      </w:pPr>
    </w:p>
    <w:p w14:paraId="748AEAF2"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4 июня 1942 года было письмо начальника Артиллерийского Комитета ГАУ КА генерал-полковника В.И. Хохлова в адрес председателя Технического Совета НКВ профессора Э.А. Сателя. Согласно этому письму, самоходная установка («установки качающейся части 152,4 мм гаубицы образца 1937 г. (МЛ-20) в танке КВ-7») по состоянию на начало июня уже была в работе. Вместе с ней КБ завода №8 проектировало установки с 122-мм гаубицей М-30 и 122-мм гаубицей У-11 на базе танка Т-34, известные как ЗИК-11 и ЗИК-10. Сроки завершения упомянутых проектов на тот момент установлены не были, и работа шла, что называется, самотеком. Ввиду важности этих работ в письме было предложено установить сроком для завершения эскизных проектов 15 июня, а к 20 числу планировалось доставить их в Москву на утверждение. Однако сроки эти соблюдены не были — реально документация на ЗИК-10 и ЗИК-11 была закончена в августе.</w:t>
      </w:r>
    </w:p>
    <w:p w14:paraId="10644479"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Что же касается тяжелой САУ, получившей заводское обозначение ЗИК-20, то работы по ней затянулись на еще больший срок. В значительной степени виной этому стала попытка Главного артиллерийского управления (ГАУ) и Главного автобронетанкового управления (ГАБТУ) переложить на КБ завода №8 разработку столь желаемого ими истребителя ДОТов с орудием БР-2. 23 июня 1942 года заместитель Народного Комиссара Танковой Промышленности А.А. Горегляда написал письмо в адрес начальника ГАУ КА генерал-полковника Н.Д. Яковлева. В нем предлагалось возложить на НКВ изготовление двух образцов 152-мм пушки образца 1937 года с увеличением начальной скорости снаряда до 750–780 м/с за счет удлинения ствола и применения дульного тормоза. Впрочем, и Петров к срывам работ имеет самое прямое отношение, поскольку упомянутую систему разработали в его КБ (15806).</w:t>
      </w:r>
    </w:p>
    <w:p w14:paraId="71A3817D" w14:textId="77777777" w:rsidR="007C5583" w:rsidRPr="008127F8" w:rsidRDefault="007C5583" w:rsidP="007C5583">
      <w:pPr>
        <w:pStyle w:val="af"/>
        <w:shd w:val="clear" w:color="auto" w:fill="FFFFFF"/>
        <w:spacing w:before="0" w:after="0"/>
        <w:jc w:val="both"/>
        <w:rPr>
          <w:color w:val="000000" w:themeColor="text1"/>
          <w:sz w:val="16"/>
          <w:szCs w:val="16"/>
        </w:rPr>
      </w:pPr>
    </w:p>
    <w:p w14:paraId="28AB86B5"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4 июня 1942 года Артиллерийским комитетом ГАУ КА было выдано задание №5400072 на проектирование «установки качающейся части 152,4 мм гаубицы образца 1937 г. (МЛ-20) в танке КВ-7».</w:t>
      </w:r>
    </w:p>
    <w:p w14:paraId="575B8F9D"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Эта дата несколько не согласуется с письмом начальника Артиллерийского Комитета ГАУ КА генерал-полковника В. И. Хохлова в адрес председателя Технического Совета НКВ профессора Э. А. Сателя. Письмо это также датировано 4 июня 1942 года. Согласно этому письму, самоходная установка по состоянию на начало июня уже была в работе. Вместе с ней КБ завода №8 проектировало установки со 122-мм гаубицей М-30 и 122-мм гаубицей У-11 на базе танка Т-34, известные как ЗИК-11 и ЗИК-10. Сроки завершения упомянутых проектов на тот момент установлены не были, и работа шла, что называется, самотёком. Ввиду важности этих работ в письме было предложено установить сроком для завершения эскизных проектов 15 июня, а к 20 числу планировалось доставить их в Москву на утверждение. Однако сроки эти соблюдены не были — реально документация на ЗИК-10 и ЗИК-11 была закончена в августе.</w:t>
      </w:r>
    </w:p>
    <w:p w14:paraId="6EA16D46"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lastRenderedPageBreak/>
        <w:t>Что же касается тяжёлой САУ, получившей заводское обозначение ЗИК-20, то работы по ней затянулись на ещё больший срок. В значительной степени виной этому стала попытка Главного артиллерийского управления (ГАУ) и Главного автобронетанкового управления (ГАБТУ) переложить на КБ завода №8 разработку столь желаемого ими истребителя ДОТов с орудием БР-2. 23 июня 1942 года заместитель Народного Комиссара Танковой Промышленности А. А. Горегляда написал письмо в адрес начальника ГАУ КА генерал-полковника Н. Д. Яковлева. В нём предлагалось возложить на НКВ изготовление двух образцов 152-мм пушки образца 1937 года с увеличением начальной скорости снаряда до 750–780 м/с за счёт удлинения ствола и применения дульного тормоза. Впрочем, и Петров к срывам работ имеет самое прямое отношение, поскольку упомянутую систему разработали в его КБ.</w:t>
      </w:r>
    </w:p>
    <w:p w14:paraId="41E9FE35"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Инициатива, поддержанная сверху, сыграла с проектом злую шутку. Как уже упоминалось, КБ завода №8 работало по целому ряду направлений, и в результате оно оказалось перегружено проектами. Неудивительно, что при такой загруженности разработка ЗИК-20 значительно затянулась. Более того, тема 152-мм истребителей ДОТов в июле 1942 года вообще исчезла из планов опытных работ ГАУ и ГАБТУ, вернувшись в них только к середине августа.</w:t>
      </w:r>
    </w:p>
    <w:p w14:paraId="48CA00C2"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отличие от САУ У-18, переписка по которой практически отсутствует, тема ЗИК-20 активно обсуждалась как в ГАУ, так и в ГАБТУ. Работы по тяжёлой самоходной установке возглавлял Т. А. Сандлер, главный конструктор завода №8 (до эвакуации работал на заводе №8 начальником ОТК). Поскольку индекс ЗИК-20 в этой переписке не упоминался, в последующем возникла путаница. По документам Арткома ГАУ КА, датированным второй половиной 1943 года, проекты УЗТМ и завода №8 стали восприниматься как единое целое, и эта позиция пошла в последующую переписку и в сводный отчёт УЗТМ. В результате ЗИК-20 многие исследователи восприняли как У-18. Поскольку графические материалы по обеим САУ практически отсутствовали, возникла ещё большая путаница.</w:t>
      </w:r>
    </w:p>
    <w:p w14:paraId="088BF396"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Отличием ЗИК-20 от конкурента, разрабатывавшегося КБ УЗТМ, стало крайне условное использование базы, указанной в тактико-технических требованиях. В Свердловске проектировали непосредственно артиллерийскую установку, шасси же разрабатывало ЧКЗ. В качестве технического задания как база указывалась КВ-7, готовые корпуса которой и предполагалось использовать. Так поступили в случае с У-18, но у проектировщиков ЗИК-20 оказалось иное мнение по этому вопросу (17649).</w:t>
      </w:r>
    </w:p>
    <w:p w14:paraId="7C0C848D"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074604DF" w14:textId="77777777" w:rsidR="007C5583" w:rsidRPr="008127F8" w:rsidRDefault="007C5583" w:rsidP="007C5583">
      <w:pPr>
        <w:pStyle w:val="a4"/>
        <w:rPr>
          <w:color w:val="000000" w:themeColor="text1"/>
          <w:lang w:val="ru-RU"/>
        </w:rPr>
      </w:pPr>
      <w:r w:rsidRPr="008127F8">
        <w:rPr>
          <w:color w:val="000000" w:themeColor="text1"/>
          <w:lang w:val="ru-RU"/>
        </w:rPr>
        <w:t>4 июня 1942 года, согласно документам, было выдано Артиллерийским комитетом ГАУ КА задание №5400072 на проекти</w:t>
      </w:r>
      <w:r w:rsidRPr="008127F8">
        <w:rPr>
          <w:color w:val="000000" w:themeColor="text1"/>
          <w:lang w:val="ru-RU"/>
        </w:rPr>
        <w:softHyphen/>
        <w:t>рование «установки качающейся части 152,4-мм гаубицы обр. 1937 г. (</w:t>
      </w:r>
      <w:r w:rsidRPr="008127F8">
        <w:rPr>
          <w:color w:val="000000" w:themeColor="text1"/>
        </w:rPr>
        <w:t>MJ</w:t>
      </w:r>
      <w:r w:rsidRPr="008127F8">
        <w:rPr>
          <w:color w:val="000000" w:themeColor="text1"/>
          <w:lang w:val="ru-RU"/>
        </w:rPr>
        <w:t>1-20) в танке „КВ-7". Другое дело, что эта дата несколько не со</w:t>
      </w:r>
      <w:r w:rsidRPr="008127F8">
        <w:rPr>
          <w:color w:val="000000" w:themeColor="text1"/>
          <w:lang w:val="ru-RU"/>
        </w:rPr>
        <w:softHyphen/>
        <w:t>гласуется с письмом начальника Артиллерийского комитета ГАУ КА генерал-полковника В.И. Хохлова в адрес председателя Технического совета НКВ, профессора Э.А. Сателя. Письмо это также датировано 4 июня 1942 года:</w:t>
      </w:r>
    </w:p>
    <w:p w14:paraId="24358501" w14:textId="77777777" w:rsidR="007C5583" w:rsidRPr="008127F8" w:rsidRDefault="007C5583" w:rsidP="007C5583">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«В настоящее время конструкторским отделом завода №8разрабаты</w:t>
      </w:r>
      <w:r w:rsidRPr="008127F8">
        <w:rPr>
          <w:rStyle w:val="Bodytext145"/>
          <w:i w:val="0"/>
          <w:iCs w:val="0"/>
          <w:color w:val="000000" w:themeColor="text1"/>
          <w:sz w:val="16"/>
          <w:szCs w:val="16"/>
        </w:rPr>
        <w:softHyphen/>
        <w:t>ваются эскизные проекты следующих гаубичных самоходных установок:</w:t>
      </w:r>
    </w:p>
    <w:p w14:paraId="343C2E5D" w14:textId="77777777" w:rsidR="007C5583" w:rsidRPr="008127F8" w:rsidRDefault="007C5583" w:rsidP="007C5583">
      <w:pPr>
        <w:pStyle w:val="Bodytext141"/>
        <w:shd w:val="clear" w:color="auto" w:fill="auto"/>
        <w:tabs>
          <w:tab w:val="left" w:pos="598"/>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а) 122мм дивизионной гаубицы «М-30» в корпусе танка «Т-34»;</w:t>
      </w:r>
    </w:p>
    <w:p w14:paraId="03CB65B4" w14:textId="77777777" w:rsidR="007C5583" w:rsidRPr="008127F8" w:rsidRDefault="007C5583" w:rsidP="007C5583">
      <w:pPr>
        <w:pStyle w:val="Bodytext141"/>
        <w:shd w:val="clear" w:color="auto" w:fill="auto"/>
        <w:tabs>
          <w:tab w:val="left" w:pos="589"/>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б) 122мм танковой гаубицы «У-11» в корпусе танка «Т-34»;</w:t>
      </w:r>
    </w:p>
    <w:p w14:paraId="2D095B8C" w14:textId="77777777" w:rsidR="007C5583" w:rsidRPr="008127F8" w:rsidRDefault="007C5583" w:rsidP="007C5583">
      <w:pPr>
        <w:pStyle w:val="Bodytext141"/>
        <w:shd w:val="clear" w:color="auto" w:fill="auto"/>
        <w:tabs>
          <w:tab w:val="left" w:pos="584"/>
        </w:tabs>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в) 152мм гаубицы-пушки «МЛ-20» в корпусе танка «КВ-7».</w:t>
      </w:r>
    </w:p>
    <w:p w14:paraId="5B09C354" w14:textId="77777777" w:rsidR="007C5583" w:rsidRPr="008127F8" w:rsidRDefault="007C5583" w:rsidP="007C5583">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Сроки на разработку этих самоходных установок, как эскизных про</w:t>
      </w:r>
      <w:r w:rsidRPr="008127F8">
        <w:rPr>
          <w:rStyle w:val="Bodytext145"/>
          <w:i w:val="0"/>
          <w:iCs w:val="0"/>
          <w:color w:val="000000" w:themeColor="text1"/>
          <w:sz w:val="16"/>
          <w:szCs w:val="16"/>
        </w:rPr>
        <w:softHyphen/>
        <w:t>ектов, так и последующих этапов разработки не установлены, работа идет самотеком.</w:t>
      </w:r>
    </w:p>
    <w:p w14:paraId="20975392" w14:textId="77777777" w:rsidR="007C5583" w:rsidRPr="008127F8" w:rsidRDefault="007C5583" w:rsidP="007C5583">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В виду большой важности и срочности разработки гаубичных самоход</w:t>
      </w:r>
      <w:r w:rsidRPr="008127F8">
        <w:rPr>
          <w:rStyle w:val="Bodytext145"/>
          <w:i w:val="0"/>
          <w:iCs w:val="0"/>
          <w:color w:val="000000" w:themeColor="text1"/>
          <w:sz w:val="16"/>
          <w:szCs w:val="16"/>
        </w:rPr>
        <w:softHyphen/>
        <w:t>ных установок как средства подавления и разрушения ДЗОТ-ов и ДОТ-ов необходимо установить конструкторскому отделу завода №8 жесткие сроки, а именно, выполнение эскизных проектов закончить к 15.6.42 года, и не позднее 20 июня сего года доставить их в Москву для рассмотрения Арткомом ГАУ КА совместно с НКВ и НКТП.</w:t>
      </w:r>
    </w:p>
    <w:p w14:paraId="686DCAA6" w14:textId="77777777" w:rsidR="007C5583" w:rsidRPr="008127F8" w:rsidRDefault="007C5583" w:rsidP="007C5583">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Решение и составление общего плана реализации проектов вышеука</w:t>
      </w:r>
      <w:r w:rsidRPr="008127F8">
        <w:rPr>
          <w:rStyle w:val="Bodytext145"/>
          <w:i w:val="0"/>
          <w:iCs w:val="0"/>
          <w:color w:val="000000" w:themeColor="text1"/>
          <w:sz w:val="16"/>
          <w:szCs w:val="16"/>
        </w:rPr>
        <w:softHyphen/>
        <w:t>занных самоходных установок будет принято после их рассмотрения.</w:t>
      </w:r>
    </w:p>
    <w:p w14:paraId="57042E80" w14:textId="77777777" w:rsidR="007C5583" w:rsidRPr="008127F8" w:rsidRDefault="007C5583" w:rsidP="007C5583">
      <w:pPr>
        <w:spacing w:after="0" w:line="240" w:lineRule="auto"/>
        <w:jc w:val="both"/>
        <w:rPr>
          <w:rStyle w:val="Bodytext145"/>
          <w:rFonts w:ascii="Times New Roman" w:hAnsi="Times New Roman"/>
          <w:color w:val="000000" w:themeColor="text1"/>
          <w:sz w:val="16"/>
          <w:szCs w:val="16"/>
        </w:rPr>
      </w:pPr>
      <w:r w:rsidRPr="008127F8">
        <w:rPr>
          <w:rStyle w:val="Bodytext145"/>
          <w:rFonts w:ascii="Times New Roman" w:hAnsi="Times New Roman"/>
          <w:color w:val="000000" w:themeColor="text1"/>
          <w:sz w:val="16"/>
          <w:szCs w:val="16"/>
        </w:rPr>
        <w:t>Прошу соответствующих указаний директора завода №8».</w:t>
      </w:r>
    </w:p>
    <w:p w14:paraId="5678C96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Другими словами, темой тяжелого истребителя ДОТов КБ завода №8 занималось еще весной 1942 года.</w:t>
      </w:r>
    </w:p>
    <w:p w14:paraId="72D44E2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тяжелой са</w:t>
      </w:r>
      <w:r w:rsidRPr="008127F8">
        <w:rPr>
          <w:rFonts w:ascii="Times New Roman" w:hAnsi="Times New Roman"/>
          <w:color w:val="000000" w:themeColor="text1"/>
          <w:sz w:val="16"/>
          <w:szCs w:val="16"/>
        </w:rPr>
        <w:softHyphen/>
        <w:t>моходной установке возглавлял Т.А. Сандлер, главный конструктор за</w:t>
      </w:r>
      <w:r w:rsidRPr="008127F8">
        <w:rPr>
          <w:rFonts w:ascii="Times New Roman" w:hAnsi="Times New Roman"/>
          <w:color w:val="000000" w:themeColor="text1"/>
          <w:sz w:val="16"/>
          <w:szCs w:val="16"/>
        </w:rPr>
        <w:softHyphen/>
        <w:t>вода №8 (до эвакуации работал на заводе №8 начальником ОТК). По</w:t>
      </w:r>
      <w:r w:rsidRPr="008127F8">
        <w:rPr>
          <w:rFonts w:ascii="Times New Roman" w:hAnsi="Times New Roman"/>
          <w:color w:val="000000" w:themeColor="text1"/>
          <w:sz w:val="16"/>
          <w:szCs w:val="16"/>
        </w:rPr>
        <w:softHyphen/>
        <w:t>скольку индекс ЗИК-20 в переписке не упоминался, в последующем возникла путаница. По документам Арткома ГАУ КА, датированным второй половиной 1943 года, проекты УЗТМ и завода №8 стали вос</w:t>
      </w:r>
      <w:r w:rsidRPr="008127F8">
        <w:rPr>
          <w:rFonts w:ascii="Times New Roman" w:hAnsi="Times New Roman"/>
          <w:color w:val="000000" w:themeColor="text1"/>
          <w:sz w:val="16"/>
          <w:szCs w:val="16"/>
        </w:rPr>
        <w:softHyphen/>
        <w:t>приниматься как единое целое, и эта позиция пошла в последующую переписку и сводный отчет УЗТМ</w:t>
      </w:r>
      <w:r w:rsidRPr="008127F8">
        <w:rPr>
          <w:rStyle w:val="Bodytext145"/>
          <w:rFonts w:ascii="Times New Roman" w:hAnsi="Times New Roman"/>
          <w:color w:val="000000" w:themeColor="text1"/>
          <w:sz w:val="16"/>
          <w:szCs w:val="16"/>
        </w:rPr>
        <w:t xml:space="preserve"> (17484).</w:t>
      </w:r>
    </w:p>
    <w:p w14:paraId="55C6720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9104962"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4 июня 1942 года руководство ГАБТУ КА утвердило заключе</w:t>
      </w:r>
      <w:r w:rsidRPr="008127F8">
        <w:rPr>
          <w:rFonts w:eastAsia="Calibri"/>
          <w:color w:val="000000" w:themeColor="text1"/>
          <w:sz w:val="16"/>
          <w:szCs w:val="16"/>
        </w:rPr>
        <w:softHyphen/>
        <w:t>ние «по пояснительной записке проекта нового безбашенного танка, спроектированного НИИ-48»:</w:t>
      </w:r>
    </w:p>
    <w:p w14:paraId="40DC1735" w14:textId="77777777" w:rsidR="007C5583" w:rsidRPr="008127F8" w:rsidRDefault="007C5583" w:rsidP="007C5583">
      <w:pPr>
        <w:pStyle w:val="af"/>
        <w:spacing w:before="0" w:after="0"/>
        <w:jc w:val="both"/>
        <w:rPr>
          <w:color w:val="000000" w:themeColor="text1"/>
          <w:sz w:val="16"/>
          <w:szCs w:val="16"/>
        </w:rPr>
      </w:pPr>
      <w:r w:rsidRPr="008127F8">
        <w:rPr>
          <w:color w:val="000000" w:themeColor="text1"/>
          <w:sz w:val="16"/>
          <w:szCs w:val="16"/>
        </w:rPr>
        <w:t>«Предусмотренные проектом преимущества безбашенного танка, в сравнении с танком Т-60 и Т-70, не оправдываются следующими пока</w:t>
      </w:r>
      <w:r w:rsidRPr="008127F8">
        <w:rPr>
          <w:color w:val="000000" w:themeColor="text1"/>
          <w:sz w:val="16"/>
          <w:szCs w:val="16"/>
        </w:rPr>
        <w:softHyphen/>
        <w:t>зателями:</w:t>
      </w:r>
    </w:p>
    <w:p w14:paraId="56732797" w14:textId="77777777" w:rsidR="007C5583" w:rsidRPr="008127F8" w:rsidRDefault="007C5583" w:rsidP="007C5583">
      <w:pPr>
        <w:tabs>
          <w:tab w:val="left" w:pos="562"/>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Сектор обстрела пушки 30° снижает огневую маневренность танка и лишает возможности маневрирования танка в зависимости от мест</w:t>
      </w:r>
      <w:r w:rsidRPr="008127F8">
        <w:rPr>
          <w:rFonts w:ascii="Times New Roman" w:hAnsi="Times New Roman"/>
          <w:color w:val="000000" w:themeColor="text1"/>
          <w:sz w:val="16"/>
          <w:szCs w:val="16"/>
        </w:rPr>
        <w:softHyphen/>
        <w:t>ности (танк будет вынужден двигаться только в направлениях целей по</w:t>
      </w:r>
      <w:r w:rsidRPr="008127F8">
        <w:rPr>
          <w:rFonts w:ascii="Times New Roman" w:hAnsi="Times New Roman"/>
          <w:color w:val="000000" w:themeColor="text1"/>
          <w:sz w:val="16"/>
          <w:szCs w:val="16"/>
        </w:rPr>
        <w:softHyphen/>
        <w:t>ражения, направления же не всегда будут проходимы для танка).</w:t>
      </w:r>
    </w:p>
    <w:p w14:paraId="1AC2B5C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Предусмотренная высота боевого отделения 1100 мм позволяет ко</w:t>
      </w:r>
      <w:r w:rsidRPr="008127F8">
        <w:rPr>
          <w:rFonts w:ascii="Times New Roman" w:hAnsi="Times New Roman"/>
          <w:color w:val="000000" w:themeColor="text1"/>
          <w:sz w:val="16"/>
          <w:szCs w:val="16"/>
        </w:rPr>
        <w:softHyphen/>
        <w:t>мандиру танка вести огонь только в положении сидя, что приводит к бы строи утомляемости и снижает темп стрельбы, а также устойчивость его огневой платформы.</w:t>
      </w:r>
    </w:p>
    <w:p w14:paraId="3AC57388" w14:textId="77777777" w:rsidR="007C5583" w:rsidRPr="008127F8" w:rsidRDefault="007C5583" w:rsidP="007C5583">
      <w:pPr>
        <w:tabs>
          <w:tab w:val="left" w:pos="567"/>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Размещение вооружения в передней части танка на сравнительно большом расстоянии от центра тяжести танка снижает устойчивость его огневой платформы.</w:t>
      </w:r>
    </w:p>
    <w:p w14:paraId="43EDFE20" w14:textId="77777777" w:rsidR="007C5583" w:rsidRPr="008127F8" w:rsidRDefault="007C5583" w:rsidP="007C5583">
      <w:pPr>
        <w:tabs>
          <w:tab w:val="left" w:pos="591"/>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Предусмотренное бронирование безбашенного танка по снарядо- стойкости не будет отличаться от танка Т-70 с утолщенными бортами до 35мм.</w:t>
      </w:r>
    </w:p>
    <w:p w14:paraId="1C3AE3AD" w14:textId="77777777" w:rsidR="007C5583" w:rsidRPr="008127F8" w:rsidRDefault="007C5583" w:rsidP="007C5583">
      <w:pPr>
        <w:tabs>
          <w:tab w:val="left" w:pos="529"/>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Динамические и эксплуатационные показатели безбашенного танка равны танку Т-60 и ниже, чем у танка Т- 70.</w:t>
      </w:r>
    </w:p>
    <w:p w14:paraId="1A3D135B" w14:textId="77777777" w:rsidR="007C5583" w:rsidRPr="008127F8" w:rsidRDefault="007C5583" w:rsidP="007C5583">
      <w:pPr>
        <w:tabs>
          <w:tab w:val="left" w:pos="51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Компоновка силовых установок меняется по сравнению с танком Т-60, а системы охлаждения и питания двигателя меняются конструктивно.</w:t>
      </w:r>
    </w:p>
    <w:p w14:paraId="341C43A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Снижение веса в 300 кг против веса танка Т-60 и на 3000 кг против веса танка Т- 70 не дает преимущества в сравнении с танком Т- 70. Из</w:t>
      </w:r>
      <w:r w:rsidRPr="008127F8">
        <w:rPr>
          <w:rFonts w:ascii="Times New Roman" w:hAnsi="Times New Roman"/>
          <w:color w:val="000000" w:themeColor="text1"/>
          <w:sz w:val="16"/>
          <w:szCs w:val="16"/>
        </w:rPr>
        <w:softHyphen/>
        <w:t>готовление корпуса танка Т- 70 не представляет сложности в производ</w:t>
      </w:r>
      <w:r w:rsidRPr="008127F8">
        <w:rPr>
          <w:rFonts w:ascii="Times New Roman" w:hAnsi="Times New Roman"/>
          <w:color w:val="000000" w:themeColor="text1"/>
          <w:sz w:val="16"/>
          <w:szCs w:val="16"/>
        </w:rPr>
        <w:softHyphen/>
        <w:t>стве и не требует станочного оборудования, кроме изготовления погонов, так как все бронедетали плоскодонные, за исключением крышек люков, которые также имеются в предполагаемом танке. Бронедетали танка Т-70 механической обработке не подвергаются.</w:t>
      </w:r>
    </w:p>
    <w:p w14:paraId="3B5D37D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Предлагаемый НИИ-48 безбашенный танк строить вместо танков Т-60 и Т-70 нецелесообразно» (17485).</w:t>
      </w:r>
    </w:p>
    <w:p w14:paraId="0233ED7B" w14:textId="77777777" w:rsidR="007C5583" w:rsidRPr="008127F8" w:rsidRDefault="007C5583" w:rsidP="007C5583">
      <w:pPr>
        <w:pStyle w:val="af"/>
        <w:spacing w:before="0" w:after="0"/>
        <w:jc w:val="both"/>
        <w:rPr>
          <w:color w:val="000000" w:themeColor="text1"/>
          <w:sz w:val="16"/>
          <w:szCs w:val="16"/>
        </w:rPr>
      </w:pPr>
    </w:p>
    <w:p w14:paraId="1D2A27E8" w14:textId="77777777" w:rsidR="007C5583" w:rsidRPr="008127F8" w:rsidRDefault="007C5583" w:rsidP="007C5583">
      <w:pPr>
        <w:pStyle w:val="a4"/>
        <w:rPr>
          <w:color w:val="000000" w:themeColor="text1"/>
          <w:lang w:val="ru-RU"/>
        </w:rPr>
      </w:pPr>
      <w:r w:rsidRPr="008127F8">
        <w:rPr>
          <w:color w:val="000000" w:themeColor="text1"/>
          <w:lang w:val="ru-RU"/>
        </w:rPr>
        <w:t>4 июня 1942 года ГАБТУ и ГАУ Красной Армии был утвержден Технический проект трактора АТ-45 (взамен «Ворошиловец») на базе танка Т-34, раз</w:t>
      </w:r>
      <w:r w:rsidRPr="008127F8">
        <w:rPr>
          <w:color w:val="000000" w:themeColor="text1"/>
          <w:lang w:val="ru-RU"/>
        </w:rPr>
        <w:softHyphen/>
        <w:t>работанный заводом №183. В компоновке тягача, выполненной конструкторами бывшего отдела «200» под руководством Н.Г. Зубарева, явно прослеживалось влияние довоенных разра</w:t>
      </w:r>
      <w:r w:rsidRPr="008127F8">
        <w:rPr>
          <w:color w:val="000000" w:themeColor="text1"/>
          <w:lang w:val="ru-RU"/>
        </w:rPr>
        <w:softHyphen/>
        <w:t>боток ХПЗ. В этом нет ничего удивительного, так как конструктивно-силовая схема, реали</w:t>
      </w:r>
      <w:r w:rsidRPr="008127F8">
        <w:rPr>
          <w:color w:val="000000" w:themeColor="text1"/>
          <w:lang w:val="ru-RU"/>
        </w:rPr>
        <w:softHyphen/>
        <w:t>зованная в том же «Ворошиловце», себя впол</w:t>
      </w:r>
      <w:r w:rsidRPr="008127F8">
        <w:rPr>
          <w:color w:val="000000" w:themeColor="text1"/>
          <w:lang w:val="ru-RU"/>
        </w:rPr>
        <w:softHyphen/>
        <w:t>не оправдала. Даже первоначальный внешний облик АТ-45, сформировавшийся еще весной 1942 г., по сути, повторял довоенный тягач (15748).</w:t>
      </w:r>
    </w:p>
    <w:p w14:paraId="7549A6CD" w14:textId="77777777" w:rsidR="007C5583" w:rsidRPr="008127F8" w:rsidRDefault="007C5583" w:rsidP="007C5583">
      <w:pPr>
        <w:pStyle w:val="a4"/>
        <w:rPr>
          <w:color w:val="000000" w:themeColor="text1"/>
          <w:lang w:val="ru-RU"/>
        </w:rPr>
      </w:pPr>
    </w:p>
    <w:p w14:paraId="25910E2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вышло Постановление ГКО № 1851 Об организации Всесоюзного социалистического соревнования пароходов, судов, портов (пристаней), перекачечных пунктов, управлений и технических участков пути, заводов и верфей и узлов связи Народного комиссариата речного флота. (7037, 5,6-9).</w:t>
      </w:r>
    </w:p>
    <w:p w14:paraId="48D95FA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37C0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вышло Постановление ГКО № 1853 Об организации Всесоюзного социалистического соревнования пароходов, судов, портов и предприятий Hародного комиссариата морского флота. РГАНИР, Фонд ГКО, д. 38, лл. 15, 16-19 (11012).</w:t>
      </w:r>
    </w:p>
    <w:p w14:paraId="33E643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AACE0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вышло Постановление ГКО № 1854 О возвращении на завод им. л. М. Кагановича ст. Люблино Дзержинской ж.д. эвакуированного московского завода "Инжектор" (7037, 20).</w:t>
      </w:r>
    </w:p>
    <w:p w14:paraId="6AAF292D"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CB917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вышло Постановление ГКО № 1855 Об организации Управления Северо-Печорской железной дороги. (7037, 21-22).</w:t>
      </w:r>
    </w:p>
    <w:p w14:paraId="08996911"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605FE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вышло Постановление ГКО № 1857 Об обеспечении строительства ж.-д. линии Сталинград - Саратов - Сызрань - Ульяновск - Свияжск. (7037, 24-25).</w:t>
      </w:r>
    </w:p>
    <w:p w14:paraId="0C4D147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17CFE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вышло Постановление ГКО № 1858 Об организации Всесоюзного социалистического соревнования заводов Народного комиссариата тяжелого машиностроения. (7037, 26,27-29).</w:t>
      </w:r>
    </w:p>
    <w:p w14:paraId="208EFC7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7836F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вышло Постановление ГКО № 1859 Об организации Всесоюзного социалистического соревнования предприятий и строительств Народного комиссариата электростанций СССР. РГАНИР, Фонд ГКО, д. 38, лл. 30, 31-34 (11012).</w:t>
      </w:r>
    </w:p>
    <w:p w14:paraId="26E1EE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7F3B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вышло Постановление ГКО № 1860 Об организации Всесоюзного социалистического соревнования предприятий Народного комиссариата легкой промышленности СССР. РГАНИР, Фонд ГКО, д. 38, лл. 35, 36-43 (11012).</w:t>
      </w:r>
    </w:p>
    <w:p w14:paraId="6022A3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D85BE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вышло Постановление ГКО № 1861 Об организации Всесоюзного социалистического соревнования предприятий Наркомпищепрома СССР. РГАНИР, Фонд ГКО, д. 38, лл. 44, 45-50 (11012).</w:t>
      </w:r>
    </w:p>
    <w:p w14:paraId="2649F0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A8B4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вышло Постановление ГКО № 1862 Об организации Всесоюзного социалистического соревнования предприятий и заготовительных организаций системы Наркоммясомолпрома СССР. РГАНИР, Фонд ГКО, д. 38, лл. 51, 52-55 (11012).</w:t>
      </w:r>
    </w:p>
    <w:p w14:paraId="4C31E5F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087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4 июня 1942 г. вышло Постановление ГКО № 1865 «О производстве и поставках основных химических продуктов, средств противохимической защиты и химического вооружения в июне месяце 1942 года» (Д. 68. Л. 9–29, 31–32).</w:t>
      </w:r>
    </w:p>
    <w:p w14:paraId="7970F7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DC36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вышло Постановление ГКО № 1867 О принятии на вооружение Красной Армии и о производстве снарядов М-30. РГАНИР, Фонд ГКО, д. 38, лл. 89, 90-91 (11012).</w:t>
      </w:r>
    </w:p>
    <w:p w14:paraId="042FDC3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1F56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вышло Постановление ГКО № 1869 О плане снабжения горюче-смазочными материалами и топливом Красной Армии и Военно-Морского флота на июнь 1942 года. РГАНИР, Фонд ГКО, д. 38, лл. 94, 95-101 (11012).</w:t>
      </w:r>
    </w:p>
    <w:p w14:paraId="3C384CB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E4C83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21E128B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E2D1C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4 июня</w:t>
      </w:r>
      <w:r w:rsidRPr="008127F8">
        <w:rPr>
          <w:rFonts w:ascii="Times New Roman" w:hAnsi="Times New Roman"/>
          <w:color w:val="000000" w:themeColor="text1"/>
          <w:sz w:val="16"/>
          <w:szCs w:val="16"/>
        </w:rPr>
        <w:t xml:space="preserve"> в 1942 году утреннее сообщение Совинформбюро:</w:t>
      </w:r>
    </w:p>
    <w:p w14:paraId="7997E54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4 июня на фронте существенных изменений не произошло.</w:t>
      </w:r>
    </w:p>
    <w:p w14:paraId="534421B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в тылу противника (Западный фронт), отразила атаку немецкой пехоты, наступавшей при поддержке танков. Уничтожено 300 солдат и офицеров противника. Подбито 3 немецких танка.</w:t>
      </w:r>
    </w:p>
    <w:p w14:paraId="77CE87F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Разведка одной нашей стрелковой части ночью проникла в тыл противника и атаковала немецкое подразделение. Разведчики уничтожили 150 гитлеровцев, 5 пулемётных гнезд и разрушили 5 ДЗОТов.</w:t>
      </w:r>
    </w:p>
    <w:p w14:paraId="49427C0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Немецкая авиация 2 июня дважды пыталась совершить налёт на один наш объект на Севере. Самолёты противника были отогнаны. Огнём зенитной артиллерии и нашими истребителями сбито 12 немецких самолётов.</w:t>
      </w:r>
    </w:p>
    <w:p w14:paraId="169BD64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Красноармейцы-снайперы одной нашей части (Калининский фронт) в течение дня уничтожили 69 гитлеровцев.</w:t>
      </w:r>
    </w:p>
    <w:p w14:paraId="737755A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Лейтенант Зайцев открыл огонь из ручного пулемёта по немецкому транспортному самолёту. После нескольких очередей самолёт загорелся и рухнул на землю.</w:t>
      </w:r>
    </w:p>
    <w:p w14:paraId="441EB46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Получено сообщение об успешных операциях отряда украинских партизан под командованием товарища З. Партизаны напали на вражескую автоколонну, сожгли 9 грузовиков с боеприпасами и броневик. Истреблено 60 немецко-фашистских оккупантов.</w:t>
      </w:r>
    </w:p>
    <w:p w14:paraId="68FC86B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Перешедший на сторону Красной Армии солдат миномётной роты 32 финского пехотного полка Лене К. рассказал: «В конце апреля солдаты 2 батальона 32 пехотного полка вручили командиру полка полковнику Вуокко коллективноезаявление, в котором требовали отпустить их домой. Солдаты писали, что, если ихтребование не будет удовлетворено, они самовольно разойдутся по домам.Командование жестоко расправилось с солдатами, которые подписали это заявление. Свыше 100 человек арестовано. Многим солдатам удалось скрыться и избежать ареста. Мой брат дезертировал уже давно и скрывается в лесах. Многие солдаты ушли с оружием. Крестьяне не только не выдают дезертиров, но укрывают их от полиции».</w:t>
      </w:r>
    </w:p>
    <w:p w14:paraId="3AC8575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обер-ефрейтор Е.Райхерт писал недавно отцу в Германию: «Большая часть земли здесь на Украине осталась необработанной. Крестьяне посеяли только немного картофеля для себя».</w:t>
      </w:r>
    </w:p>
    <w:p w14:paraId="32CBAE6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Италии произведены аресты членов фашистской партии, сторонников разрыва с гитлеровской Германией. Как сообщают, в Риме, Венеции, Милане, Неаполе и других городах раскрыты оппозиционные группы, ставившие своей целью устранить Муссолини, Чиано и создать правительство, способное проводить независимую от Германии политику.</w:t>
      </w:r>
    </w:p>
    <w:p w14:paraId="4AEE5A5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крупном металлообрабатывающем заводе, расположенном вблизи Берлина, рабочие объявили забастовку протеста против 14-часового рабочего дня. Они потребовали сократить рабочий день и улучшить питание. Агенты гестапо арестовали многих рабочих, окружили завод и в течение 10 дней никого оттуда не выпускали. Несколько человек расстреляно, и это вызвало новый взрыв возмущения рабочих.» (14912).</w:t>
      </w:r>
    </w:p>
    <w:p w14:paraId="350BB86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DAE459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4 июня</w:t>
      </w:r>
      <w:r w:rsidRPr="008127F8">
        <w:rPr>
          <w:rFonts w:ascii="Times New Roman" w:hAnsi="Times New Roman"/>
          <w:color w:val="000000" w:themeColor="text1"/>
          <w:sz w:val="16"/>
          <w:szCs w:val="16"/>
        </w:rPr>
        <w:t xml:space="preserve"> в 1942 году вечернее сообщение Совинформбюро:</w:t>
      </w:r>
    </w:p>
    <w:p w14:paraId="41B0D3E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4 июня на некоторых участках фронта происходили бои местного значения и активные действия авиации.</w:t>
      </w:r>
    </w:p>
    <w:p w14:paraId="37BF00A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3 июня частями нашей авиации на разных участках фронта уничтожено или повреждено 115 немецких автомашин с войсками и грузами, 40 подвод с боеприпасами, 9 полевых и зенитных орудий, 8 зенитно-пулемётных точек, 4 прожектора, взорвано 4 склада с боеприпасами, разбито два железнодорожных эшелона, рассеяно и частью уничтожено до шести рот пехоты противника.</w:t>
      </w:r>
    </w:p>
    <w:p w14:paraId="3589643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Юго-Западного фронта наша часть отразила атаку противника. Перед передним краем нашей обороны немцы оставили 240 трупов. На другом участке разведывательный отряд совершил внезапное нападение на один из пунктов вражеской обороны. Разведчики взорвали 3 ДЗОТа, захватили 8 пулемётов, 3миномёта, противотанковое орудие и уничтожили 100 гитлеровцев. Взяты пленные.</w:t>
      </w:r>
    </w:p>
    <w:p w14:paraId="72D7098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авиаразведка донесла, что на одном из прифронтовых аэродромов противника сосредоточено до 20 самолётов. Лётчики Энского гвардейского полка под командованием майора Нестеренко (Калининский фронт) прорвались сквозь завесу зенитного огня и вражескому аэродрому и уничтожили 10 немецких самолётов и бензинохранилище.</w:t>
      </w:r>
    </w:p>
    <w:p w14:paraId="3E95F8B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Командиру батареи старшему лейтенанту Баландину стало известно, что по одной дороге проходит большая колонна войск противника. Внезапным огневым налётом колонна была рассеяна и частью уничтожена.</w:t>
      </w:r>
    </w:p>
    <w:p w14:paraId="1A73F2A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Отрад курских партизан недавно провёл несколько успешных операций против немецко-фашистских оккупантов. Партизаны совершили нападение на крупный склад с горючим и сожгли его. Охрана склада, состоявшая из 24 гитлеровцев, уничтожена. Партизаны устроили несколько засад на дорогах, ведущих к фронту. Гранатами и бутылками с горючей жидкостью они подожгли 2 немецких танка, 5 автомашин с боеприпасами и истребили до 50 немецких солдат и офицеров.</w:t>
      </w:r>
    </w:p>
    <w:p w14:paraId="6D31C16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1 роты 515 полка 294 немецкой пехотной дивизии Эрнст Поланд рассказал: «Настроение солдат нашего полка подавленное. Им надоела война, и они хотят вернуться домой. Почти все солдаты подбирают и читают советские листовки. Большое впечатление произвела листовка, в которой была напечатана нота Молотова о зверствах немецких военных властей в оккупированных районах Советского Союза. Командование всполошилось и учинило тщательный обыск. Перетрясли все личные вещи солдат. Мы, новоприбывшие из Германии солдаты, лично убедились в том, что всё написанное в ноте Молотова правда. По дороге на фронт наш эшелон долго стоял на станции Кременчуг, и мы там видели 25 изуродованных трупов. Из расспросов мы узнали, что все замученные и убитые — это местные жители и пленные русские солдаты».</w:t>
      </w:r>
    </w:p>
    <w:p w14:paraId="28D524C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выдержки из письма, найденного у убитого немецкого солдата: «Почти невозможно выдержать мучений. Сапоги, чулки, брюки и бельё превратились в лохмотья. Ты не можешь себе представить, как плохи наши дела. Я не стану подробно описывать нашу жизнь, ибо ты будешь ещё больше беспокоиться за меня. Скажу коротко: мы но горло сыты этой нищенской жизнью вооружённых бродяг...»</w:t>
      </w:r>
    </w:p>
    <w:p w14:paraId="13F074C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Немецкие и итальянские захватчики поработили и обрекли на вымирание население Греции. От голода умерли десятки тысяч греков. Оккупанты чинят зверские расправы над мирным населением, но им не удалось покорить свободолюбивых греков. Партизанские отряды и в центре, и на юге Пелопонеса, в районе Олимпа, и в горах Крита беспощадно мстят оккупантам за все их злодеяния. В одном городе партизаны убили итальянского губернатора и захватили нескольких немецких солдат и офицеров в качестве заложников. Некоторое время назад в районе Парнаса партизаны напали на поезд, в котором везли английских военнопленных. Партизаны освободили 300 военнопленных и увели их с собой в горы. Расположенные на побережье острова Крит гарнизоны оккупантов, опасаясь партизан, боятся появляться ночью за пределами города. Население оказывает помощь и поддержку партизанам в их борьбе с немецкими и итальянскими оккупантами.» (14912).</w:t>
      </w:r>
    </w:p>
    <w:p w14:paraId="0ABBEC2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65E638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был удар 12 Ил-2 от 7 гвардейского и 210-го шап по аэродрому Сталино. Немецкие самолеты были атакованы в момент подготовки к боевому вылету. По докладам летчиков на аэродроме скученно находилось около 50 двухмоторных бомбардировщиков типа Не 111 и Ju 88, между которыми сновали бензозаправщики. Удар наносился со стороны солнца с бреющего полета с выскакиванием на высоту 100-150 м. Вылетевший вслед за Ил-2 разведчик-контролер подтвердил, что штурмовики в двух заходах сожгли около 20 немецких самолетов. Еще два Bf 109 при попытке взлететь были сбиты ведущим группы майором Н. А. Зубом (12020).</w:t>
      </w:r>
    </w:p>
    <w:p w14:paraId="4E1E604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60833E" w14:textId="77777777" w:rsidR="007C5583" w:rsidRPr="008127F8" w:rsidRDefault="007C5583" w:rsidP="007C5583">
      <w:pPr>
        <w:pStyle w:val="319"/>
        <w:shd w:val="clear" w:color="auto" w:fill="auto"/>
        <w:spacing w:after="0"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ночь с 4 на 5 июня 1942 корабль ТБ-7 № 42015 совершил вылет на ж.д. станцию Брянск. В разделе состояние матчасти отмечено:</w:t>
      </w:r>
    </w:p>
    <w:p w14:paraId="5797E09A" w14:textId="77777777" w:rsidR="007C5583" w:rsidRPr="008127F8" w:rsidRDefault="007C5583" w:rsidP="007C5583">
      <w:pPr>
        <w:pStyle w:val="109"/>
        <w:shd w:val="clear" w:color="auto" w:fill="auto"/>
        <w:spacing w:line="240" w:lineRule="auto"/>
        <w:jc w:val="both"/>
        <w:rPr>
          <w:color w:val="000000" w:themeColor="text1"/>
          <w:sz w:val="16"/>
          <w:szCs w:val="16"/>
        </w:rPr>
      </w:pPr>
      <w:r w:rsidRPr="008127F8">
        <w:rPr>
          <w:color w:val="000000" w:themeColor="text1"/>
          <w:sz w:val="16"/>
          <w:szCs w:val="16"/>
        </w:rPr>
        <w:t>Матчасть самолетов, вылетавших на боевое задание: на самолете № 42015 выбило масло на 4-м моторе. После выполнения задания, полет от цели и посадка выполнялись на 3-х моторах.</w:t>
      </w:r>
    </w:p>
    <w:p w14:paraId="7890502E" w14:textId="77777777" w:rsidR="007C5583" w:rsidRPr="008127F8" w:rsidRDefault="007C5583" w:rsidP="007C5583">
      <w:pPr>
        <w:pStyle w:val="109"/>
        <w:shd w:val="clear" w:color="auto" w:fill="auto"/>
        <w:spacing w:line="240" w:lineRule="auto"/>
        <w:jc w:val="both"/>
        <w:rPr>
          <w:color w:val="000000" w:themeColor="text1"/>
          <w:sz w:val="16"/>
          <w:szCs w:val="16"/>
        </w:rPr>
      </w:pPr>
    </w:p>
    <w:p w14:paraId="5360E58D"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в Севастополе начали использовать тяжелые мортиры Карл. За первые два дня сделали 16 выстрелов снарядами калибра 615 мм длиной 2.4 м против 305 мм батареи № 30.Быстро обнаружили и повредили так, что пришлось отправить в Германию для ремонта (3961, 265).</w:t>
      </w:r>
    </w:p>
    <w:p w14:paraId="4753415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FE8EC1"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за поражение в Крыму Сталин снял с поста начальника Полит. Управления Красной Армии генерала Мехлиса (4962).</w:t>
      </w:r>
    </w:p>
    <w:p w14:paraId="43B76E6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1291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вышло Постановление ГКО № 1856 О передаче поступающих из США автомашин "Виллис" в распоряжение начальника артиллерии Красной Армии в качестве артиллерийских тягачей. РГАНИР, Фонд ГКО, д. 38, лл. 23 (11012).</w:t>
      </w:r>
    </w:p>
    <w:p w14:paraId="3664A4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09B95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1943 года была переброшена венгерская группа (3 чел.) (8983).</w:t>
      </w:r>
    </w:p>
    <w:p w14:paraId="661761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5FA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4272394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0C06E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года был выпущен Первый Государственный военный заем на 10 миллиардов рублей, второй - 1 августа 1943 года. Его сумма составляла 12 миллиардов рублей. Третий военный заем на 25 миллиардов рублей был выпущен 1 ноября 1944 года. Сумма четвертого займа, выпущенного 1 сентября 1945 года, также составляла 25 миллиардов рублей. Общая сумма подписки на займы во время Великой Отечественной войны была почти вдвое больше суммы всех займов, размещенных в СССР в предвоенные годы. Она составила 90 миллиардов рублей (19635).</w:t>
      </w:r>
    </w:p>
    <w:p w14:paraId="6F708E0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C0657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вышло Постановление ГКО № 1850 Об организации Всесоюзного социалистического соревнования предприятий целлюлозной и бумажной промышленности. РГАНИР, Фонд ГКО, д. 38, лл. 1, 2-4 (11012).</w:t>
      </w:r>
    </w:p>
    <w:p w14:paraId="2A67D2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00635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вышло Постановление ГКО № 1852 Об организации Всесоюзного социалистического соревнования заготовительных организаций, мельничных и крупяных предприятий Наркомата заготовок. РГАНИР, Фонд ГКО, д. 38, лл. 10, 11-14 (11012).</w:t>
      </w:r>
    </w:p>
    <w:p w14:paraId="65EF95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4790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вышло Постановление ГКО № 1863 Об организации Всесоюзного социалистического соревнования предприятий Народного комиссариата рыбной промышленности и рыболовецких колхозов. РГАНИР, Фонд ГКО, д. 38, лл. 56, 57-61 (11012).</w:t>
      </w:r>
    </w:p>
    <w:p w14:paraId="5B718ED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81BF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вышло Постановление ГКО № 1864 Об организации Всесоюзного социалистического соревнования совхозов. РГАНИР, Фонд ГКО, д. 38, лл. 62, 63-68 (11012).</w:t>
      </w:r>
    </w:p>
    <w:p w14:paraId="428FD8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714DF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8127F8">
        <w:rPr>
          <w:rFonts w:ascii="Times New Roman" w:hAnsi="Times New Roman"/>
          <w:i/>
          <w:iCs/>
          <w:color w:val="000000" w:themeColor="text1"/>
          <w:sz w:val="16"/>
          <w:szCs w:val="16"/>
        </w:rPr>
        <w:t>Внешняя политика:</w:t>
      </w:r>
    </w:p>
    <w:p w14:paraId="4CC9B2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0C595A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ТБ-7 с пассажирами на борту стартовала в обратный путь и благополучно вернулась в Москву. Приземление состоялось на Центральном аэродроме. За выполнение этого полета весь экипаж бомбардировщика был удостоен боевых наград. Командир корабля Э.К.Пусэп, штурманы А.П.Штепенко и С.М.Романов были удостоены звания Героев Советского Союза. Второй пилот В.Обухов, борттехники А.Я.Золотарев и В.И.Дмитриев были награждены орденами Ленина.</w:t>
      </w:r>
    </w:p>
    <w:p w14:paraId="670B2D0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Перелет советской делегации во главе с В.М.Молотовым в США состоялся на стандартном бомбардировщике Пе-8. Доработки самолета были минимальными и касались в основном установки дополнительного кислородного оборудования для новых членов экипажа. Согласно воспоминаниям участников перелета, мягкие пассажирские сидения вообще установили во время промежуточной посадки в Шотландии. Впрочем, это было единственное усовершенствование. При температуре за бортом - 40°С в импровизированном салоне было также холодно, поэтому пассажирам необычного рейса пришлось облачиться в теплые меховые комбинезоны. Понятно, что в будущем для перевозки высокопоставленных делегаций требовалось либо найти самолеты с комфортабельными кабинами, либо произвести необходимую доработку имеющихся боевых кораблей.</w:t>
      </w:r>
    </w:p>
    <w:p w14:paraId="32CBBE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Дальнейшая судьба "американского" самолета оказалась короткой. В итоговой сводке о состояния материальной части в 45-й авиадивизии за 1942-й год указывалось, что "По состоянию на 1 января 1943 г. по причине отказа и возникновения пожара на АМ-35А потерпели аварию и сгорели 3 самолета: №42027, 42066, 42068".</w:t>
      </w:r>
    </w:p>
    <w:p w14:paraId="4D62086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Пе-8 №42066 с четырьмя моторами АМ-35А был списан в расход 14 ноября 1942 г. на основании технического акта 45-й аддд за №00653 от 16 октября 1942 г. и соответствующего инспекторского свидетельства (12025).</w:t>
      </w:r>
    </w:p>
    <w:p w14:paraId="44E9D8F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34A13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около полудня ТБ-7 Пусэпа взлетел и взял курс на аэродром Тендер на острове Ньюфаундленд. Полет проходил при плохой погоде, но все же через 7 часов 11 минут они там приземли</w:t>
      </w:r>
      <w:r w:rsidRPr="008127F8">
        <w:rPr>
          <w:rFonts w:ascii="Times New Roman" w:hAnsi="Times New Roman"/>
          <w:color w:val="000000" w:themeColor="text1"/>
          <w:sz w:val="16"/>
          <w:szCs w:val="16"/>
        </w:rPr>
        <w:softHyphen/>
        <w:t>лись. На аэродроме Тендер синоптики сообщили, что погода на маршруте плохая. Пришлось ждать 7 июня, когда погода улуч</w:t>
      </w:r>
      <w:r w:rsidRPr="008127F8">
        <w:rPr>
          <w:rFonts w:ascii="Times New Roman" w:hAnsi="Times New Roman"/>
          <w:color w:val="000000" w:themeColor="text1"/>
          <w:sz w:val="16"/>
          <w:szCs w:val="16"/>
        </w:rPr>
        <w:softHyphen/>
        <w:t>шилась. Корабль взлетел и взял курс на аэро</w:t>
      </w:r>
      <w:r w:rsidRPr="008127F8">
        <w:rPr>
          <w:rFonts w:ascii="Times New Roman" w:hAnsi="Times New Roman"/>
          <w:color w:val="000000" w:themeColor="text1"/>
          <w:sz w:val="16"/>
          <w:szCs w:val="16"/>
        </w:rPr>
        <w:softHyphen/>
        <w:t>дром Рейкьявик в Исландии. Над Атлантикой, пытаясь набрать высоту, самолет обледенел. Пришлось снижаться и лететь ниже облаков. Через 5 часов 50 минут бомбардировщик приземлился на аэродроме в Рейкьявике.</w:t>
      </w:r>
    </w:p>
    <w:p w14:paraId="3019AB0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следующий день 8 июня они стартовали и взяли курс на Прествик в Шотландии и через 4 часа 15 минут там приземлились. Здесь на самолет поставили обратно бронеспинки, бронеплиты и погрузили боеприпасы. Анг</w:t>
      </w:r>
      <w:r w:rsidRPr="008127F8">
        <w:rPr>
          <w:rFonts w:ascii="Times New Roman" w:hAnsi="Times New Roman"/>
          <w:color w:val="000000" w:themeColor="text1"/>
          <w:sz w:val="16"/>
          <w:szCs w:val="16"/>
        </w:rPr>
        <w:softHyphen/>
        <w:t>личане предложили лететь домой через Афри</w:t>
      </w:r>
      <w:r w:rsidRPr="008127F8">
        <w:rPr>
          <w:rFonts w:ascii="Times New Roman" w:hAnsi="Times New Roman"/>
          <w:color w:val="000000" w:themeColor="text1"/>
          <w:sz w:val="16"/>
          <w:szCs w:val="16"/>
        </w:rPr>
        <w:softHyphen/>
        <w:t>ку и Иран, так как о перелете стало известно немецкой разведке и они наверняка сделают все возможное, чтобы перехватить самолет. Однако такой вариант перелета был отклонен, а для дезинформации немцев решили опубли</w:t>
      </w:r>
      <w:r w:rsidRPr="008127F8">
        <w:rPr>
          <w:rFonts w:ascii="Times New Roman" w:hAnsi="Times New Roman"/>
          <w:color w:val="000000" w:themeColor="text1"/>
          <w:sz w:val="16"/>
          <w:szCs w:val="16"/>
        </w:rPr>
        <w:softHyphen/>
        <w:t>ковать сообщение о проведенных перегово</w:t>
      </w:r>
      <w:r w:rsidRPr="008127F8">
        <w:rPr>
          <w:rFonts w:ascii="Times New Roman" w:hAnsi="Times New Roman"/>
          <w:color w:val="000000" w:themeColor="text1"/>
          <w:sz w:val="16"/>
          <w:szCs w:val="16"/>
        </w:rPr>
        <w:softHyphen/>
        <w:t>рах, чтобы разведка Германии думала, что делегация уже вернулась в Москву (19936).</w:t>
      </w:r>
    </w:p>
    <w:p w14:paraId="63C1E7A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0E1DF6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1443EFB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50515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4 июня</w:t>
      </w:r>
      <w:r w:rsidRPr="008127F8">
        <w:rPr>
          <w:rFonts w:ascii="Times New Roman" w:hAnsi="Times New Roman"/>
          <w:color w:val="000000" w:themeColor="text1"/>
          <w:sz w:val="16"/>
          <w:szCs w:val="16"/>
        </w:rPr>
        <w:t xml:space="preserve"> в 1942 году биплан «Бреге» «Br.19» совершил первый в истории авиации Народно-освободительной армии Югославии (НОАЮ) боевой вылет. 23 мая 1942 г. экипажи двух хорватских бипланов – «Br.19» и столь же древнего «Потэ 25» - получили приказ на бомбежку партизанского лагеря. Однако летчики совершили посадку рядом с лагерем и заявили о своем желании присоединиться к Народно-освободительной армии. Это были первые самолеты новых югославских ВВС. Самолет сбросил бомбы, на свой бывший аэродром в городе Баня-Лука. Затем летчики прошли над городом, разбрасывая листовки. Здесь их подстерегли зенитчики. Подбитая машина совершила вынужденную посадку. Пилот застрелился, летнаба схватили и расстреляли (14912).</w:t>
      </w:r>
    </w:p>
    <w:p w14:paraId="5D4E4FB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0555E7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4 июня</w:t>
      </w:r>
      <w:r w:rsidRPr="008127F8">
        <w:rPr>
          <w:rFonts w:ascii="Times New Roman" w:hAnsi="Times New Roman"/>
          <w:color w:val="000000" w:themeColor="text1"/>
          <w:sz w:val="16"/>
          <w:szCs w:val="16"/>
        </w:rPr>
        <w:t xml:space="preserve"> в 1942 году в Берлине имперским министром вооружения и боеприпасов Шпеером по рекомендации руководителя вооружения вермахта генерал-полковника Фромма и президента Общества кайзера Вильгельма, руководителя «Стального треста» Феглера было созвано совещание по вопросам ядерной физики. Председательствовал имперский министр вооружения и боеприпасов Шпеер. Присутствовали представители всех родов войск: фельдмаршал Мильх, генерал Фромм, адмирал Витцель, прямой заказчик ядерных разработок начальник Управления армейского вооружения генерал фон Лееб, руководители Общества кайзера Вильгельма Фёглер и Тельшов. Ученые были представлены В.Гейзенбергом, О.Ганом, К.Дибнером, П.Хартеком, К.Виртцем и др. Докладывал Гейзенберг как научный руководитель Уранового проекта. Были предложены варианты применения атомной энергии и обсуждена перспектива получения взрывчатого вещества. Гейзенберг указал, что научное решение не будет трудным, но решение производственно-технических проблем должно занять не менее двух лет, при условии, если каждое требование ученых будет выполняться. (Примерно такой же срок потребовался американским ученым от момента подписания приказа о приобретении земель для строительства реакторов и плутониевого завода (8 февраля 1943 г.) до взрыва плутониевой бомбы (9 августа 1945 г.)). Решение, об интенсивном развитии Уранового проекта не было принято. Причиной было неверие военных властей в осуществимости планов создания атомного оружия, предложенных учеными. Хотя в дальнейшем проекту оказывалась поддержка (были выделены денежные средства, фонды на дефицитные материалы) Шпеер и Совет вооружения не решились безоговорочно принять и поддержать программу Гейзенберга в условиях поражений немецко-фашистских войск на Восточном фронте, перегруженности промышлености военными заказами, учащающихся бомбардировок союзников. В Германии сложилась ситуация, исключющая возможность создания атомной бомбы (14912).</w:t>
      </w:r>
    </w:p>
    <w:p w14:paraId="061621E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A1E40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прошло совещание по инициативе министра вооружений и военного производства А.Шпеера в присутствии представителей всех родов войск и ученых Уранового проекта. По поводу сроков изготовления урановой бомбы В.Гейзенберг заверяет, что научное решение не будет трудным, а для решения производственно-технических проблем потребуются годы, или не менее двух лет при условии выполнения всех требований ученых. – А-Бомба. – С.98–102 (11321).</w:t>
      </w:r>
    </w:p>
    <w:p w14:paraId="15A31BF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7394C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состоялась секретная встреча в Dahlem, в которой принял участие министр оборонной промышленности Шпеер и ведущие специалисты в области атомной энергии. Гейзенберг рассказал об атомной бомбе как возможной, но не в ближайшем будущем. Шпеер согласился со всеми требованиями ученых, включая создание бункера для большого реактора, но проект получил низший приоритет, который только мог быть для его продолжения (2221).</w:t>
      </w:r>
    </w:p>
    <w:p w14:paraId="461FD1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B951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 4 1942 Heydrich dies of wounds (1050).</w:t>
      </w:r>
    </w:p>
    <w:p w14:paraId="5982D55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B3E941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Гейдрих умер от ран (1050).</w:t>
      </w:r>
    </w:p>
    <w:p w14:paraId="7AC30B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9DC1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In June 1942 Mass murder of Jews by gassing begins at Auschwitz concentration camp (1050).</w:t>
      </w:r>
    </w:p>
    <w:p w14:paraId="6A1F24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7CB8B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началось массовое использование газовых камер в Освенциме (1050).</w:t>
      </w:r>
    </w:p>
    <w:p w14:paraId="66A13A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54BBF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lastRenderedPageBreak/>
        <w:t>June 4th, 1942: Hitler flies to Finland to meet with the Finnish head of state, Marshal Mannerheim (3819).</w:t>
      </w:r>
    </w:p>
    <w:p w14:paraId="17BCBB2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E6432F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А.Г. летал в Финляндию для встречи с Маннергеймом (3819).</w:t>
      </w:r>
    </w:p>
    <w:p w14:paraId="2502F9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25D00E" w14:textId="77777777" w:rsidR="007C5583" w:rsidRPr="00263CCD"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4 июня</w:t>
      </w:r>
      <w:r w:rsidRPr="008127F8">
        <w:rPr>
          <w:rFonts w:ascii="Times New Roman" w:hAnsi="Times New Roman"/>
          <w:color w:val="000000" w:themeColor="text1"/>
          <w:sz w:val="16"/>
          <w:szCs w:val="16"/>
        </w:rPr>
        <w:t xml:space="preserve"> в 1942 году визит Адольфа Гитлера в Финляндию </w:t>
      </w:r>
      <w:r w:rsidRPr="00263CCD">
        <w:rPr>
          <w:rFonts w:ascii="Times New Roman" w:hAnsi="Times New Roman"/>
          <w:color w:val="000000" w:themeColor="text1"/>
          <w:sz w:val="16"/>
          <w:szCs w:val="16"/>
        </w:rPr>
        <w:t>(14912).</w:t>
      </w:r>
    </w:p>
    <w:p w14:paraId="0BABB6C7" w14:textId="77777777" w:rsidR="007C5583" w:rsidRPr="00263CCD" w:rsidRDefault="007C5583" w:rsidP="007C5583">
      <w:pPr>
        <w:spacing w:after="0" w:line="240" w:lineRule="auto"/>
        <w:jc w:val="both"/>
        <w:rPr>
          <w:rFonts w:ascii="Times New Roman" w:hAnsi="Times New Roman"/>
          <w:color w:val="000000" w:themeColor="text1"/>
          <w:sz w:val="16"/>
          <w:szCs w:val="16"/>
        </w:rPr>
      </w:pPr>
    </w:p>
    <w:p w14:paraId="558FB65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32 самолета с Джунио и Рюдзё наносят еще один разрушительный удар по Датч-Харбор. Небольшие удары летающих лодок Consolidated PBY Catalina ВМС США и бомбардировщиков ВВС США по двум японским авианосцам неэффективны. Битва за Мидуэй начинается с предрассветных ударов торпедоносцев Consolidated PBY Каталине ВМС США по японским судам. После восхода солнца, 108 самолетов со всех четыре японских авианосцев - Акадж, Каг, Hiryu и Soryu  провели разрушительный удар по Мидуэй, сбив 17 и серьезно повредив семь истребителей. Серия ударов самолетов различных типов по японским авианосцам с Midway представляет собой боевой дебют Grumman TBF Avenger, но не приносит попаданий и ведет к большим потерям. Все три авианосца США - USS Enterprise (CV-6), USS Hornet (CV-8) и USS Yorktown (CV-5) - наносят удары по японским авианосцам; 41 торпедоносец Дуглас TBD Разрушитель прибывают первыми, но не достигают ни одного попадания и потеряны все, кроме четырех из их числа, но пикировщики Douglas SBD Dauntless с Enterprise и Йорктаун прибывают и наносят смертельные повреждения Акаги (который тонет 5 июня) и Кага и Сорю (оба тонут позже, 4 июня). Ответный удар Хирю смертельно повреждает Йорктаун (который тонет 7 июня), но пикирующие бомбардировщики Enterprise и Yorktown затем смертельно повреждают Хирю (который тонет 5 июня). Потеря всех четырех авианосцев заставила японцев отменить операцию на полпути и уйти. Это принято считать поворотным моментом Второй мировой войны на Тихом океане (20793).</w:t>
      </w:r>
    </w:p>
    <w:p w14:paraId="05536E2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CB628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val="en-US"/>
        </w:rPr>
        <w:t xml:space="preserve">4 June 1942 Battle of Midway in the Pacific. American carrier-based bombers sink 4 Japanese aircraft carriers, costing Japan many of its best naval pilots, with American losing one carrier. </w:t>
      </w:r>
      <w:r w:rsidRPr="008127F8">
        <w:rPr>
          <w:rFonts w:ascii="Times New Roman" w:hAnsi="Times New Roman"/>
          <w:color w:val="000000" w:themeColor="text1"/>
          <w:sz w:val="16"/>
          <w:szCs w:val="16"/>
        </w:rPr>
        <w:t>End of Japanese expansion in WWII (1769).</w:t>
      </w:r>
    </w:p>
    <w:p w14:paraId="233A08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6DE90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(3) июня 1942 на Тихоокеанском театре началась битва за Мидуэй. Самолеты с американских авианосцев потопили 4 японских авианосца и погибли лучшие японские пилоты. Американцы потеряли один авианосец. Это было концом японской экспансии в ходе второй мировой войны (1769) и шла до 6 июня (2245,5).</w:t>
      </w:r>
    </w:p>
    <w:p w14:paraId="07920F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5D3CC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 4 1942 The TBF Grumman Avenger flown by pilots of a shore-based element of Torpedo Squadron 8, began its combat career with attacks on the Japanese Fleet during the Battle of Midway (1090).</w:t>
      </w:r>
    </w:p>
    <w:p w14:paraId="58F1EC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40A99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в ходе битвы за Мидуэй началось боевое применение Grumman Avenger (1090).</w:t>
      </w:r>
    </w:p>
    <w:p w14:paraId="35A359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B7AF2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4 июня</w:t>
      </w:r>
      <w:r w:rsidRPr="008127F8">
        <w:rPr>
          <w:rFonts w:ascii="Times New Roman" w:hAnsi="Times New Roman"/>
          <w:color w:val="000000" w:themeColor="text1"/>
          <w:sz w:val="16"/>
          <w:szCs w:val="16"/>
        </w:rPr>
        <w:t xml:space="preserve"> в 1942 году произошло сражение у атолла Мидуэй. Утром 108 японских самолетов атаковали аэродром и пррочие сооружения на острове. Сражение было проиграно японцами с потерей 4 авианосцев, 322 самолетов и около 3,5 тысяч человек. Американцы потеряли только один авианосец и немало самолетов, однако имели лучше возможности восстановить свои силы. База продолжала функционировать и впоследствии играла важную роль в американских операциях. Сражение считается поворотной точкой в борьбе за господство на море и положило конец японскому наступлению на море (14912).</w:t>
      </w:r>
    </w:p>
    <w:p w14:paraId="5FC7948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69906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июня 1942 японцы начали наступление против китайцев (2245,6).</w:t>
      </w:r>
    </w:p>
    <w:p w14:paraId="378F137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E98BC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4 июня</w:t>
      </w:r>
      <w:r w:rsidRPr="008127F8">
        <w:rPr>
          <w:rFonts w:ascii="Times New Roman" w:hAnsi="Times New Roman"/>
          <w:color w:val="000000" w:themeColor="text1"/>
          <w:sz w:val="16"/>
          <w:szCs w:val="16"/>
        </w:rPr>
        <w:t xml:space="preserve"> в 1942 году Гленну Уоллису из фирмы грамзаписи «Capitol Records» приходит в голову идея разослать новые пластинки на все влиятельные радиостанции страны в надежде, что те будут передавать эту музыку в эфир. Вскоре это станет обычной практикой для всех фирм грамзаписи (14912).</w:t>
      </w:r>
    </w:p>
    <w:p w14:paraId="48A40DD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8B39B9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7D64C9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8C23F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июня 1942 командование ВВС обратилось к Туполеву с просьбой изучить возможность сдать несколько серийных машин в разведывательном варианте. Предлагались две альтернативы: переделать уже готовые бомбардировщики или предусмотреть их выпуск в ближайших сериях. Для них была выбрана уже проработанная компоновка с двумя аппаратами АФА-3с (21059). </w:t>
      </w:r>
    </w:p>
    <w:p w14:paraId="014D424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BF38AF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состоянию на 5 июня 1942 для восстановления материальной части на фронтах не хватало 728 моторов, в том числе 178 моторов АМ-38. Это серьезно затрудняло работу фронтов, «так как отсутствие обо</w:t>
      </w:r>
      <w:r w:rsidRPr="008127F8">
        <w:rPr>
          <w:rFonts w:ascii="Times New Roman" w:hAnsi="Times New Roman"/>
          <w:color w:val="000000" w:themeColor="text1"/>
          <w:sz w:val="16"/>
          <w:szCs w:val="16"/>
        </w:rPr>
        <w:softHyphen/>
        <w:t>ротного фонда моторов и групп комплектов к ним не дает воз</w:t>
      </w:r>
      <w:r w:rsidRPr="008127F8">
        <w:rPr>
          <w:rFonts w:ascii="Times New Roman" w:hAnsi="Times New Roman"/>
          <w:color w:val="000000" w:themeColor="text1"/>
          <w:sz w:val="16"/>
          <w:szCs w:val="16"/>
        </w:rPr>
        <w:softHyphen/>
        <w:t>можности восстанавливать материальную часть». Уже к началу июля на фронтах и в запасных авиаполках на</w:t>
      </w:r>
      <w:r w:rsidRPr="008127F8">
        <w:rPr>
          <w:rFonts w:ascii="Times New Roman" w:hAnsi="Times New Roman"/>
          <w:color w:val="000000" w:themeColor="text1"/>
          <w:sz w:val="16"/>
          <w:szCs w:val="16"/>
        </w:rPr>
        <w:softHyphen/>
        <w:t>считывалось 579 исправных современных самолетов без мото</w:t>
      </w:r>
      <w:r w:rsidRPr="008127F8">
        <w:rPr>
          <w:rFonts w:ascii="Times New Roman" w:hAnsi="Times New Roman"/>
          <w:color w:val="000000" w:themeColor="text1"/>
          <w:sz w:val="16"/>
          <w:szCs w:val="16"/>
        </w:rPr>
        <w:softHyphen/>
        <w:t>ров и 122 самолета без винтов, а также 1364 мотора, требующих ремонта (11474,264).</w:t>
      </w:r>
    </w:p>
    <w:p w14:paraId="1925CC1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1273F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второй экз. опытного экз. тяжелого грузового планера (25 чел., 76 мм пушка с расчетом или танкетка К-27 с экипажем) Л.П.Курбалы КГ - Курбала-грузовой был доставлен на место испытаний (94,86).</w:t>
      </w:r>
    </w:p>
    <w:p w14:paraId="10F7AD6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C3078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Зав. 2-й частью Техсекретариата ОБ ЦК ВКП /б/ был подготовлен СПИСОК</w:t>
      </w:r>
    </w:p>
    <w:p w14:paraId="3D05979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материалов, направленных из ЦК ВКП/б/ т. ШАХУРИНУ (Подлежат возврату со спра вкой о рассмотрении).</w:t>
      </w:r>
    </w:p>
    <w:tbl>
      <w:tblPr>
        <w:tblW w:w="0" w:type="auto"/>
        <w:tblInd w:w="40" w:type="dxa"/>
        <w:tblLayout w:type="fixed"/>
        <w:tblCellMar>
          <w:left w:w="40" w:type="dxa"/>
          <w:right w:w="40" w:type="dxa"/>
        </w:tblCellMar>
        <w:tblLook w:val="0000" w:firstRow="0" w:lastRow="0" w:firstColumn="0" w:lastColumn="0" w:noHBand="0" w:noVBand="0"/>
      </w:tblPr>
      <w:tblGrid>
        <w:gridCol w:w="394"/>
        <w:gridCol w:w="1450"/>
        <w:gridCol w:w="2294"/>
        <w:gridCol w:w="4013"/>
      </w:tblGrid>
      <w:tr w:rsidR="007C5583" w:rsidRPr="008127F8" w14:paraId="621E97BB"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1A95873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п/п</w:t>
            </w:r>
          </w:p>
        </w:tc>
        <w:tc>
          <w:tcPr>
            <w:tcW w:w="1450" w:type="dxa"/>
            <w:tcBorders>
              <w:top w:val="single" w:sz="12" w:space="0" w:color="auto"/>
              <w:left w:val="single" w:sz="6" w:space="0" w:color="auto"/>
              <w:bottom w:val="single" w:sz="6" w:space="0" w:color="auto"/>
              <w:right w:val="single" w:sz="6" w:space="0" w:color="auto"/>
            </w:tcBorders>
          </w:tcPr>
          <w:p w14:paraId="757169D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и дата поступления</w:t>
            </w:r>
          </w:p>
        </w:tc>
        <w:tc>
          <w:tcPr>
            <w:tcW w:w="2294" w:type="dxa"/>
            <w:tcBorders>
              <w:top w:val="single" w:sz="12" w:space="0" w:color="auto"/>
              <w:left w:val="single" w:sz="6" w:space="0" w:color="auto"/>
              <w:bottom w:val="single" w:sz="6" w:space="0" w:color="auto"/>
              <w:right w:val="single" w:sz="6" w:space="0" w:color="auto"/>
            </w:tcBorders>
          </w:tcPr>
          <w:p w14:paraId="1AF6A95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кого</w:t>
            </w:r>
          </w:p>
          <w:p w14:paraId="03CC0E4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single" w:sz="12" w:space="0" w:color="auto"/>
              <w:left w:val="single" w:sz="6" w:space="0" w:color="auto"/>
              <w:bottom w:val="single" w:sz="6" w:space="0" w:color="auto"/>
              <w:right w:val="single" w:sz="12" w:space="0" w:color="auto"/>
            </w:tcBorders>
          </w:tcPr>
          <w:p w14:paraId="464BB9A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Краткое содержание</w:t>
            </w:r>
          </w:p>
        </w:tc>
      </w:tr>
      <w:tr w:rsidR="007C5583" w:rsidRPr="008127F8" w14:paraId="719F91D3"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4AAFCD2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450" w:type="dxa"/>
            <w:tcBorders>
              <w:top w:val="single" w:sz="12" w:space="0" w:color="auto"/>
              <w:left w:val="single" w:sz="6" w:space="0" w:color="auto"/>
              <w:bottom w:val="single" w:sz="6" w:space="0" w:color="auto"/>
              <w:right w:val="single" w:sz="6" w:space="0" w:color="auto"/>
            </w:tcBorders>
          </w:tcPr>
          <w:p w14:paraId="555D4FE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12194 - 27.У</w:t>
            </w:r>
          </w:p>
        </w:tc>
        <w:tc>
          <w:tcPr>
            <w:tcW w:w="2294" w:type="dxa"/>
            <w:tcBorders>
              <w:top w:val="single" w:sz="12" w:space="0" w:color="auto"/>
              <w:left w:val="single" w:sz="6" w:space="0" w:color="auto"/>
              <w:bottom w:val="single" w:sz="6" w:space="0" w:color="auto"/>
              <w:right w:val="single" w:sz="6" w:space="0" w:color="auto"/>
            </w:tcBorders>
          </w:tcPr>
          <w:p w14:paraId="77CFB78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Метзавод - Дмитриев Златоустовский ГК ВКП(б)-Смирнов.</w:t>
            </w:r>
          </w:p>
        </w:tc>
        <w:tc>
          <w:tcPr>
            <w:tcW w:w="4013" w:type="dxa"/>
            <w:tcBorders>
              <w:top w:val="single" w:sz="12" w:space="0" w:color="auto"/>
              <w:left w:val="single" w:sz="6" w:space="0" w:color="auto"/>
              <w:bottom w:val="single" w:sz="6" w:space="0" w:color="auto"/>
              <w:right w:val="single" w:sz="12" w:space="0" w:color="auto"/>
            </w:tcBorders>
          </w:tcPr>
          <w:p w14:paraId="76C1532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ходе отгрузки Новотрубнону заводу хромансиля.</w:t>
            </w:r>
          </w:p>
        </w:tc>
      </w:tr>
      <w:tr w:rsidR="007C5583" w:rsidRPr="008127F8" w14:paraId="5182324F" w14:textId="77777777" w:rsidTr="004C5D62">
        <w:trPr>
          <w:trHeight w:val="432"/>
        </w:trPr>
        <w:tc>
          <w:tcPr>
            <w:tcW w:w="394" w:type="dxa"/>
            <w:tcBorders>
              <w:top w:val="single" w:sz="12" w:space="0" w:color="auto"/>
              <w:left w:val="single" w:sz="12" w:space="0" w:color="auto"/>
              <w:bottom w:val="single" w:sz="12" w:space="0" w:color="auto"/>
              <w:right w:val="single" w:sz="6" w:space="0" w:color="auto"/>
            </w:tcBorders>
          </w:tcPr>
          <w:p w14:paraId="11AA2E5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450" w:type="dxa"/>
            <w:tcBorders>
              <w:top w:val="single" w:sz="12" w:space="0" w:color="auto"/>
              <w:left w:val="single" w:sz="6" w:space="0" w:color="auto"/>
              <w:bottom w:val="single" w:sz="12" w:space="0" w:color="auto"/>
              <w:right w:val="single" w:sz="6" w:space="0" w:color="auto"/>
            </w:tcBorders>
          </w:tcPr>
          <w:p w14:paraId="48C0554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12073 - 26.У</w:t>
            </w:r>
          </w:p>
        </w:tc>
        <w:tc>
          <w:tcPr>
            <w:tcW w:w="2294" w:type="dxa"/>
            <w:tcBorders>
              <w:top w:val="single" w:sz="12" w:space="0" w:color="auto"/>
              <w:left w:val="single" w:sz="6" w:space="0" w:color="auto"/>
              <w:bottom w:val="single" w:sz="12" w:space="0" w:color="auto"/>
              <w:right w:val="single" w:sz="6" w:space="0" w:color="auto"/>
            </w:tcBorders>
          </w:tcPr>
          <w:p w14:paraId="1593B1C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166 НКАП-Соколов Упр. Омского Стрс— ителъс тв а-Альпов</w:t>
            </w:r>
          </w:p>
        </w:tc>
        <w:tc>
          <w:tcPr>
            <w:tcW w:w="4013" w:type="dxa"/>
            <w:tcBorders>
              <w:top w:val="single" w:sz="12" w:space="0" w:color="auto"/>
              <w:left w:val="single" w:sz="6" w:space="0" w:color="auto"/>
              <w:bottom w:val="single" w:sz="12" w:space="0" w:color="auto"/>
              <w:right w:val="single" w:sz="12" w:space="0" w:color="auto"/>
            </w:tcBorders>
          </w:tcPr>
          <w:p w14:paraId="5E17C8E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включении стр-ва за</w:t>
            </w:r>
            <w:r w:rsidRPr="008127F8">
              <w:rPr>
                <w:rFonts w:ascii="Times New Roman" w:hAnsi="Times New Roman"/>
                <w:color w:val="000000" w:themeColor="text1"/>
                <w:sz w:val="16"/>
                <w:szCs w:val="16"/>
              </w:rPr>
              <w:softHyphen/>
              <w:t>вода № 166 В СПИСОК стр-в авиапромышлен</w:t>
            </w:r>
            <w:r w:rsidRPr="008127F8">
              <w:rPr>
                <w:rFonts w:ascii="Times New Roman" w:hAnsi="Times New Roman"/>
                <w:color w:val="000000" w:themeColor="text1"/>
                <w:sz w:val="16"/>
                <w:szCs w:val="16"/>
              </w:rPr>
              <w:softHyphen/>
              <w:t>ности.</w:t>
            </w:r>
          </w:p>
        </w:tc>
      </w:tr>
      <w:tr w:rsidR="007C5583" w:rsidRPr="008127F8" w14:paraId="3D0C9919" w14:textId="77777777" w:rsidTr="004C5D62">
        <w:trPr>
          <w:trHeight w:val="432"/>
        </w:trPr>
        <w:tc>
          <w:tcPr>
            <w:tcW w:w="394" w:type="dxa"/>
            <w:tcBorders>
              <w:top w:val="single" w:sz="12" w:space="0" w:color="auto"/>
              <w:left w:val="single" w:sz="12" w:space="0" w:color="auto"/>
              <w:bottom w:val="single" w:sz="12" w:space="0" w:color="auto"/>
              <w:right w:val="single" w:sz="6" w:space="0" w:color="auto"/>
            </w:tcBorders>
          </w:tcPr>
          <w:p w14:paraId="0AD0E0F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1450" w:type="dxa"/>
            <w:tcBorders>
              <w:top w:val="single" w:sz="12" w:space="0" w:color="auto"/>
              <w:left w:val="single" w:sz="6" w:space="0" w:color="auto"/>
              <w:bottom w:val="single" w:sz="12" w:space="0" w:color="auto"/>
              <w:right w:val="single" w:sz="6" w:space="0" w:color="auto"/>
            </w:tcBorders>
          </w:tcPr>
          <w:p w14:paraId="0A53E6B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11811 - 23. У</w:t>
            </w:r>
          </w:p>
        </w:tc>
        <w:tc>
          <w:tcPr>
            <w:tcW w:w="2294" w:type="dxa"/>
            <w:tcBorders>
              <w:top w:val="single" w:sz="12" w:space="0" w:color="auto"/>
              <w:left w:val="single" w:sz="6" w:space="0" w:color="auto"/>
              <w:bottom w:val="single" w:sz="12" w:space="0" w:color="auto"/>
              <w:right w:val="single" w:sz="6" w:space="0" w:color="auto"/>
            </w:tcBorders>
          </w:tcPr>
          <w:p w14:paraId="4FC597D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Упр. Кадров ЦК ВКПб-Вавилов.</w:t>
            </w:r>
          </w:p>
        </w:tc>
        <w:tc>
          <w:tcPr>
            <w:tcW w:w="4013" w:type="dxa"/>
            <w:tcBorders>
              <w:top w:val="single" w:sz="12" w:space="0" w:color="auto"/>
              <w:left w:val="single" w:sz="6" w:space="0" w:color="auto"/>
              <w:bottom w:val="single" w:sz="12" w:space="0" w:color="auto"/>
              <w:right w:val="single" w:sz="12" w:space="0" w:color="auto"/>
            </w:tcBorders>
          </w:tcPr>
          <w:p w14:paraId="6A5E41B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Справка об освобождении т. Чеблукова Н.И. от должности директора за</w:t>
            </w:r>
            <w:r w:rsidRPr="008127F8">
              <w:rPr>
                <w:rFonts w:ascii="Times New Roman" w:hAnsi="Times New Roman"/>
                <w:color w:val="000000" w:themeColor="text1"/>
                <w:sz w:val="16"/>
                <w:szCs w:val="16"/>
              </w:rPr>
              <w:softHyphen/>
              <w:t>вода № 494 НКАП.</w:t>
            </w:r>
          </w:p>
        </w:tc>
      </w:tr>
      <w:tr w:rsidR="007C5583" w:rsidRPr="008127F8" w14:paraId="091FAAF3" w14:textId="77777777" w:rsidTr="004C5D62">
        <w:trPr>
          <w:trHeight w:val="432"/>
        </w:trPr>
        <w:tc>
          <w:tcPr>
            <w:tcW w:w="394" w:type="dxa"/>
            <w:tcBorders>
              <w:top w:val="single" w:sz="12" w:space="0" w:color="auto"/>
              <w:left w:val="single" w:sz="12" w:space="0" w:color="auto"/>
              <w:bottom w:val="single" w:sz="12" w:space="0" w:color="auto"/>
              <w:right w:val="single" w:sz="6" w:space="0" w:color="auto"/>
            </w:tcBorders>
          </w:tcPr>
          <w:p w14:paraId="275A18B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tc>
        <w:tc>
          <w:tcPr>
            <w:tcW w:w="1450" w:type="dxa"/>
            <w:tcBorders>
              <w:top w:val="single" w:sz="12" w:space="0" w:color="auto"/>
              <w:left w:val="single" w:sz="6" w:space="0" w:color="auto"/>
              <w:bottom w:val="single" w:sz="12" w:space="0" w:color="auto"/>
              <w:right w:val="single" w:sz="6" w:space="0" w:color="auto"/>
            </w:tcBorders>
          </w:tcPr>
          <w:p w14:paraId="46730D0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5774 -2.71</w:t>
            </w:r>
          </w:p>
        </w:tc>
        <w:tc>
          <w:tcPr>
            <w:tcW w:w="2294" w:type="dxa"/>
            <w:tcBorders>
              <w:top w:val="single" w:sz="12" w:space="0" w:color="auto"/>
              <w:left w:val="single" w:sz="6" w:space="0" w:color="auto"/>
              <w:bottom w:val="single" w:sz="12" w:space="0" w:color="auto"/>
              <w:right w:val="single" w:sz="6" w:space="0" w:color="auto"/>
            </w:tcBorders>
          </w:tcPr>
          <w:p w14:paraId="46C6C81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Упр. Кадров ЦК ВКП(б)-Шиманов</w:t>
            </w:r>
          </w:p>
        </w:tc>
        <w:tc>
          <w:tcPr>
            <w:tcW w:w="4013" w:type="dxa"/>
            <w:tcBorders>
              <w:top w:val="single" w:sz="12" w:space="0" w:color="auto"/>
              <w:left w:val="single" w:sz="6" w:space="0" w:color="auto"/>
              <w:bottom w:val="single" w:sz="12" w:space="0" w:color="auto"/>
              <w:right w:val="single" w:sz="12" w:space="0" w:color="auto"/>
            </w:tcBorders>
          </w:tcPr>
          <w:p w14:paraId="52F7D7D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Справка об итогах отп</w:t>
            </w:r>
            <w:r w:rsidRPr="008127F8">
              <w:rPr>
                <w:rFonts w:ascii="Times New Roman" w:hAnsi="Times New Roman"/>
                <w:color w:val="000000" w:themeColor="text1"/>
                <w:sz w:val="16"/>
                <w:szCs w:val="16"/>
              </w:rPr>
              <w:softHyphen/>
              <w:t>равки и подготовки боеготовых самолетов за 30 и 31 мая 1942 г.</w:t>
            </w:r>
          </w:p>
        </w:tc>
      </w:tr>
      <w:tr w:rsidR="007C5583" w:rsidRPr="008127F8" w14:paraId="4293D65F" w14:textId="77777777" w:rsidTr="004C5D62">
        <w:trPr>
          <w:trHeight w:val="432"/>
        </w:trPr>
        <w:tc>
          <w:tcPr>
            <w:tcW w:w="394" w:type="dxa"/>
            <w:tcBorders>
              <w:top w:val="single" w:sz="12" w:space="0" w:color="auto"/>
              <w:left w:val="single" w:sz="12" w:space="0" w:color="auto"/>
              <w:bottom w:val="single" w:sz="12" w:space="0" w:color="auto"/>
              <w:right w:val="single" w:sz="6" w:space="0" w:color="auto"/>
            </w:tcBorders>
          </w:tcPr>
          <w:p w14:paraId="1EEDD1F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1450" w:type="dxa"/>
            <w:tcBorders>
              <w:top w:val="single" w:sz="12" w:space="0" w:color="auto"/>
              <w:left w:val="single" w:sz="6" w:space="0" w:color="auto"/>
              <w:bottom w:val="single" w:sz="12" w:space="0" w:color="auto"/>
              <w:right w:val="single" w:sz="6" w:space="0" w:color="auto"/>
            </w:tcBorders>
          </w:tcPr>
          <w:p w14:paraId="249CD89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5773 - 2.У1</w:t>
            </w:r>
          </w:p>
        </w:tc>
        <w:tc>
          <w:tcPr>
            <w:tcW w:w="2294" w:type="dxa"/>
            <w:tcBorders>
              <w:top w:val="single" w:sz="12" w:space="0" w:color="auto"/>
              <w:left w:val="single" w:sz="6" w:space="0" w:color="auto"/>
              <w:bottom w:val="single" w:sz="12" w:space="0" w:color="auto"/>
              <w:right w:val="single" w:sz="6" w:space="0" w:color="auto"/>
            </w:tcBorders>
          </w:tcPr>
          <w:p w14:paraId="302D9C8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Упр. вооружения Гл. упр. ПВО тер.страны-Алексеев.</w:t>
            </w:r>
          </w:p>
        </w:tc>
        <w:tc>
          <w:tcPr>
            <w:tcW w:w="4013" w:type="dxa"/>
            <w:tcBorders>
              <w:top w:val="single" w:sz="12" w:space="0" w:color="auto"/>
              <w:left w:val="single" w:sz="6" w:space="0" w:color="auto"/>
              <w:bottom w:val="single" w:sz="12" w:space="0" w:color="auto"/>
              <w:right w:val="single" w:sz="12" w:space="0" w:color="auto"/>
            </w:tcBorders>
          </w:tcPr>
          <w:p w14:paraId="60DABD0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использовании кисло</w:t>
            </w:r>
            <w:r w:rsidRPr="008127F8">
              <w:rPr>
                <w:rFonts w:ascii="Times New Roman" w:hAnsi="Times New Roman"/>
                <w:color w:val="000000" w:themeColor="text1"/>
                <w:sz w:val="16"/>
                <w:szCs w:val="16"/>
              </w:rPr>
              <w:softHyphen/>
              <w:t>рода на Московском электролизном заводе.</w:t>
            </w:r>
          </w:p>
        </w:tc>
      </w:tr>
      <w:tr w:rsidR="007C5583" w:rsidRPr="008127F8" w14:paraId="262F3671" w14:textId="77777777" w:rsidTr="004C5D62">
        <w:trPr>
          <w:trHeight w:val="432"/>
        </w:trPr>
        <w:tc>
          <w:tcPr>
            <w:tcW w:w="394" w:type="dxa"/>
            <w:tcBorders>
              <w:top w:val="single" w:sz="12" w:space="0" w:color="auto"/>
              <w:left w:val="single" w:sz="12" w:space="0" w:color="auto"/>
              <w:bottom w:val="single" w:sz="12" w:space="0" w:color="auto"/>
              <w:right w:val="single" w:sz="6" w:space="0" w:color="auto"/>
            </w:tcBorders>
          </w:tcPr>
          <w:p w14:paraId="3C93BFE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1450" w:type="dxa"/>
            <w:tcBorders>
              <w:top w:val="single" w:sz="12" w:space="0" w:color="auto"/>
              <w:left w:val="single" w:sz="6" w:space="0" w:color="auto"/>
              <w:bottom w:val="single" w:sz="12" w:space="0" w:color="auto"/>
              <w:right w:val="single" w:sz="6" w:space="0" w:color="auto"/>
            </w:tcBorders>
          </w:tcPr>
          <w:p w14:paraId="0B3595A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5744 - 1.У1</w:t>
            </w:r>
          </w:p>
        </w:tc>
        <w:tc>
          <w:tcPr>
            <w:tcW w:w="2294" w:type="dxa"/>
            <w:tcBorders>
              <w:top w:val="single" w:sz="12" w:space="0" w:color="auto"/>
              <w:left w:val="single" w:sz="6" w:space="0" w:color="auto"/>
              <w:bottom w:val="single" w:sz="12" w:space="0" w:color="auto"/>
              <w:right w:val="single" w:sz="6" w:space="0" w:color="auto"/>
            </w:tcBorders>
          </w:tcPr>
          <w:p w14:paraId="21BBCD6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282 Стационарная Авиамас терская</w:t>
            </w:r>
          </w:p>
        </w:tc>
        <w:tc>
          <w:tcPr>
            <w:tcW w:w="4013" w:type="dxa"/>
            <w:tcBorders>
              <w:top w:val="single" w:sz="12" w:space="0" w:color="auto"/>
              <w:left w:val="single" w:sz="6" w:space="0" w:color="auto"/>
              <w:bottom w:val="single" w:sz="12" w:space="0" w:color="auto"/>
              <w:right w:val="single" w:sz="12" w:space="0" w:color="auto"/>
            </w:tcBorders>
          </w:tcPr>
          <w:p w14:paraId="3CC32A0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Проект принципиально</w:t>
            </w:r>
            <w:r w:rsidRPr="008127F8">
              <w:rPr>
                <w:rFonts w:ascii="Times New Roman" w:hAnsi="Times New Roman"/>
                <w:color w:val="000000" w:themeColor="text1"/>
                <w:sz w:val="16"/>
                <w:szCs w:val="16"/>
              </w:rPr>
              <w:softHyphen/>
              <w:t>го расчета по самоле</w:t>
            </w:r>
            <w:r w:rsidRPr="008127F8">
              <w:rPr>
                <w:rFonts w:ascii="Times New Roman" w:hAnsi="Times New Roman"/>
                <w:color w:val="000000" w:themeColor="text1"/>
                <w:sz w:val="16"/>
                <w:szCs w:val="16"/>
              </w:rPr>
              <w:softHyphen/>
              <w:t>ту ГБ, рекомендуемого т.Гриневецким и Борис.</w:t>
            </w:r>
          </w:p>
        </w:tc>
      </w:tr>
      <w:tr w:rsidR="007C5583" w:rsidRPr="008127F8" w14:paraId="385E46C8" w14:textId="77777777" w:rsidTr="004C5D62">
        <w:trPr>
          <w:trHeight w:val="432"/>
        </w:trPr>
        <w:tc>
          <w:tcPr>
            <w:tcW w:w="394" w:type="dxa"/>
            <w:tcBorders>
              <w:top w:val="single" w:sz="12" w:space="0" w:color="auto"/>
              <w:left w:val="single" w:sz="12" w:space="0" w:color="auto"/>
              <w:bottom w:val="single" w:sz="12" w:space="0" w:color="auto"/>
              <w:right w:val="single" w:sz="6" w:space="0" w:color="auto"/>
            </w:tcBorders>
          </w:tcPr>
          <w:p w14:paraId="7C484AD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1450" w:type="dxa"/>
            <w:tcBorders>
              <w:top w:val="single" w:sz="12" w:space="0" w:color="auto"/>
              <w:left w:val="single" w:sz="6" w:space="0" w:color="auto"/>
              <w:bottom w:val="single" w:sz="12" w:space="0" w:color="auto"/>
              <w:right w:val="single" w:sz="6" w:space="0" w:color="auto"/>
            </w:tcBorders>
          </w:tcPr>
          <w:p w14:paraId="7C6CFAD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5742 - 1.У1</w:t>
            </w:r>
          </w:p>
        </w:tc>
        <w:tc>
          <w:tcPr>
            <w:tcW w:w="2294" w:type="dxa"/>
            <w:tcBorders>
              <w:top w:val="single" w:sz="12" w:space="0" w:color="auto"/>
              <w:left w:val="single" w:sz="6" w:space="0" w:color="auto"/>
              <w:bottom w:val="single" w:sz="12" w:space="0" w:color="auto"/>
              <w:right w:val="single" w:sz="6" w:space="0" w:color="auto"/>
            </w:tcBorders>
          </w:tcPr>
          <w:p w14:paraId="7BE0F6C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381 НКАП-Журавлев.</w:t>
            </w:r>
          </w:p>
        </w:tc>
        <w:tc>
          <w:tcPr>
            <w:tcW w:w="4013" w:type="dxa"/>
            <w:tcBorders>
              <w:top w:val="single" w:sz="12" w:space="0" w:color="auto"/>
              <w:left w:val="single" w:sz="6" w:space="0" w:color="auto"/>
              <w:bottom w:val="single" w:sz="12" w:space="0" w:color="auto"/>
              <w:right w:val="single" w:sz="12" w:space="0" w:color="auto"/>
            </w:tcBorders>
          </w:tcPr>
          <w:p w14:paraId="0068324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строительстве заво</w:t>
            </w:r>
            <w:r w:rsidRPr="008127F8">
              <w:rPr>
                <w:rFonts w:ascii="Times New Roman" w:hAnsi="Times New Roman"/>
                <w:color w:val="000000" w:themeColor="text1"/>
                <w:sz w:val="16"/>
                <w:szCs w:val="16"/>
              </w:rPr>
              <w:softHyphen/>
              <w:t>да № 381 НКАП в Н.Таги</w:t>
            </w:r>
            <w:r w:rsidRPr="008127F8">
              <w:rPr>
                <w:rFonts w:ascii="Times New Roman" w:hAnsi="Times New Roman"/>
                <w:color w:val="000000" w:themeColor="text1"/>
                <w:sz w:val="16"/>
                <w:szCs w:val="16"/>
              </w:rPr>
              <w:softHyphen/>
              <w:t>ле.</w:t>
            </w:r>
          </w:p>
        </w:tc>
      </w:tr>
      <w:tr w:rsidR="007C5583" w:rsidRPr="008127F8" w14:paraId="0EF66232" w14:textId="77777777" w:rsidTr="004C5D62">
        <w:trPr>
          <w:trHeight w:val="432"/>
        </w:trPr>
        <w:tc>
          <w:tcPr>
            <w:tcW w:w="394" w:type="dxa"/>
            <w:tcBorders>
              <w:top w:val="single" w:sz="12" w:space="0" w:color="auto"/>
              <w:left w:val="single" w:sz="12" w:space="0" w:color="auto"/>
              <w:bottom w:val="single" w:sz="12" w:space="0" w:color="auto"/>
              <w:right w:val="single" w:sz="6" w:space="0" w:color="auto"/>
            </w:tcBorders>
          </w:tcPr>
          <w:p w14:paraId="13CE30D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w:t>
            </w:r>
          </w:p>
        </w:tc>
        <w:tc>
          <w:tcPr>
            <w:tcW w:w="1450" w:type="dxa"/>
            <w:tcBorders>
              <w:top w:val="single" w:sz="12" w:space="0" w:color="auto"/>
              <w:left w:val="single" w:sz="6" w:space="0" w:color="auto"/>
              <w:bottom w:val="single" w:sz="12" w:space="0" w:color="auto"/>
              <w:right w:val="single" w:sz="6" w:space="0" w:color="auto"/>
            </w:tcBorders>
          </w:tcPr>
          <w:p w14:paraId="6834633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5741 - 1.У1</w:t>
            </w:r>
          </w:p>
        </w:tc>
        <w:tc>
          <w:tcPr>
            <w:tcW w:w="2294" w:type="dxa"/>
            <w:tcBorders>
              <w:top w:val="single" w:sz="12" w:space="0" w:color="auto"/>
              <w:left w:val="single" w:sz="6" w:space="0" w:color="auto"/>
              <w:bottom w:val="single" w:sz="12" w:space="0" w:color="auto"/>
              <w:right w:val="single" w:sz="6" w:space="0" w:color="auto"/>
            </w:tcBorders>
          </w:tcPr>
          <w:p w14:paraId="3CCF679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Парткомис. 210 Ист</w:t>
            </w:r>
            <w:r w:rsidRPr="008127F8">
              <w:rPr>
                <w:rFonts w:ascii="Times New Roman" w:hAnsi="Times New Roman"/>
                <w:color w:val="000000" w:themeColor="text1"/>
                <w:sz w:val="16"/>
                <w:szCs w:val="16"/>
              </w:rPr>
              <w:softHyphen/>
              <w:t>ребит . Авиацией. Дивизии-Матлахов</w:t>
            </w:r>
          </w:p>
        </w:tc>
        <w:tc>
          <w:tcPr>
            <w:tcW w:w="4013" w:type="dxa"/>
            <w:tcBorders>
              <w:top w:val="single" w:sz="12" w:space="0" w:color="auto"/>
              <w:left w:val="single" w:sz="6" w:space="0" w:color="auto"/>
              <w:bottom w:val="single" w:sz="12" w:space="0" w:color="auto"/>
              <w:right w:val="single" w:sz="12" w:space="0" w:color="auto"/>
            </w:tcBorders>
          </w:tcPr>
          <w:p w14:paraId="7BC6A6B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получении 8-ми авиа</w:t>
            </w:r>
            <w:r w:rsidRPr="008127F8">
              <w:rPr>
                <w:rFonts w:ascii="Times New Roman" w:hAnsi="Times New Roman"/>
                <w:color w:val="000000" w:themeColor="text1"/>
                <w:sz w:val="16"/>
                <w:szCs w:val="16"/>
              </w:rPr>
              <w:softHyphen/>
              <w:t>моторов с дефектами с завода № 45.</w:t>
            </w:r>
          </w:p>
        </w:tc>
      </w:tr>
      <w:tr w:rsidR="007C5583" w:rsidRPr="008127F8" w14:paraId="4850533F" w14:textId="77777777" w:rsidTr="004C5D62">
        <w:trPr>
          <w:trHeight w:val="432"/>
        </w:trPr>
        <w:tc>
          <w:tcPr>
            <w:tcW w:w="394" w:type="dxa"/>
            <w:tcBorders>
              <w:top w:val="single" w:sz="12" w:space="0" w:color="auto"/>
              <w:left w:val="single" w:sz="12" w:space="0" w:color="auto"/>
              <w:bottom w:val="single" w:sz="12" w:space="0" w:color="auto"/>
              <w:right w:val="single" w:sz="6" w:space="0" w:color="auto"/>
            </w:tcBorders>
          </w:tcPr>
          <w:p w14:paraId="1D21D62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1450" w:type="dxa"/>
            <w:tcBorders>
              <w:top w:val="single" w:sz="12" w:space="0" w:color="auto"/>
              <w:left w:val="single" w:sz="6" w:space="0" w:color="auto"/>
              <w:bottom w:val="single" w:sz="12" w:space="0" w:color="auto"/>
              <w:right w:val="single" w:sz="6" w:space="0" w:color="auto"/>
            </w:tcBorders>
          </w:tcPr>
          <w:p w14:paraId="3620922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5666 - 30. У</w:t>
            </w:r>
          </w:p>
        </w:tc>
        <w:tc>
          <w:tcPr>
            <w:tcW w:w="2294" w:type="dxa"/>
            <w:tcBorders>
              <w:top w:val="single" w:sz="12" w:space="0" w:color="auto"/>
              <w:left w:val="single" w:sz="6" w:space="0" w:color="auto"/>
              <w:bottom w:val="single" w:sz="12" w:space="0" w:color="auto"/>
              <w:right w:val="single" w:sz="6" w:space="0" w:color="auto"/>
            </w:tcBorders>
          </w:tcPr>
          <w:p w14:paraId="1A936D5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МГК ВКП(б) -Попов.</w:t>
            </w:r>
          </w:p>
        </w:tc>
        <w:tc>
          <w:tcPr>
            <w:tcW w:w="4013" w:type="dxa"/>
            <w:tcBorders>
              <w:top w:val="single" w:sz="12" w:space="0" w:color="auto"/>
              <w:left w:val="single" w:sz="6" w:space="0" w:color="auto"/>
              <w:bottom w:val="single" w:sz="12" w:space="0" w:color="auto"/>
              <w:right w:val="single" w:sz="12" w:space="0" w:color="auto"/>
            </w:tcBorders>
          </w:tcPr>
          <w:p w14:paraId="24D6323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срыве поставок цвет</w:t>
            </w:r>
            <w:r w:rsidRPr="008127F8">
              <w:rPr>
                <w:rFonts w:ascii="Times New Roman" w:hAnsi="Times New Roman"/>
                <w:color w:val="000000" w:themeColor="text1"/>
                <w:sz w:val="16"/>
                <w:szCs w:val="16"/>
              </w:rPr>
              <w:softHyphen/>
              <w:t>ного проката, прутков -и труб авиамоторным заводам со стороны за</w:t>
            </w:r>
            <w:r w:rsidRPr="008127F8">
              <w:rPr>
                <w:rFonts w:ascii="Times New Roman" w:hAnsi="Times New Roman"/>
                <w:color w:val="000000" w:themeColor="text1"/>
                <w:sz w:val="16"/>
                <w:szCs w:val="16"/>
              </w:rPr>
              <w:softHyphen/>
              <w:t>водов №№ 515,517 и 519</w:t>
            </w:r>
          </w:p>
        </w:tc>
      </w:tr>
      <w:tr w:rsidR="007C5583" w:rsidRPr="008127F8" w14:paraId="13C7F650" w14:textId="77777777" w:rsidTr="004C5D62">
        <w:trPr>
          <w:trHeight w:val="432"/>
        </w:trPr>
        <w:tc>
          <w:tcPr>
            <w:tcW w:w="394" w:type="dxa"/>
            <w:tcBorders>
              <w:top w:val="single" w:sz="12" w:space="0" w:color="auto"/>
              <w:left w:val="single" w:sz="12" w:space="0" w:color="auto"/>
              <w:bottom w:val="single" w:sz="12" w:space="0" w:color="auto"/>
              <w:right w:val="single" w:sz="6" w:space="0" w:color="auto"/>
            </w:tcBorders>
          </w:tcPr>
          <w:p w14:paraId="4C9682B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1450" w:type="dxa"/>
            <w:tcBorders>
              <w:top w:val="single" w:sz="12" w:space="0" w:color="auto"/>
              <w:left w:val="single" w:sz="6" w:space="0" w:color="auto"/>
              <w:bottom w:val="single" w:sz="12" w:space="0" w:color="auto"/>
              <w:right w:val="single" w:sz="6" w:space="0" w:color="auto"/>
            </w:tcBorders>
          </w:tcPr>
          <w:p w14:paraId="452240E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5558 - 28. У</w:t>
            </w:r>
          </w:p>
        </w:tc>
        <w:tc>
          <w:tcPr>
            <w:tcW w:w="2294" w:type="dxa"/>
            <w:tcBorders>
              <w:top w:val="single" w:sz="12" w:space="0" w:color="auto"/>
              <w:left w:val="single" w:sz="6" w:space="0" w:color="auto"/>
              <w:bottom w:val="single" w:sz="12" w:space="0" w:color="auto"/>
              <w:right w:val="single" w:sz="6" w:space="0" w:color="auto"/>
            </w:tcBorders>
          </w:tcPr>
          <w:p w14:paraId="4E200F1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Упр. кадров ЦК ЗКПб-Гафаров.</w:t>
            </w:r>
          </w:p>
        </w:tc>
        <w:tc>
          <w:tcPr>
            <w:tcW w:w="4013" w:type="dxa"/>
            <w:tcBorders>
              <w:top w:val="single" w:sz="12" w:space="0" w:color="auto"/>
              <w:left w:val="single" w:sz="6" w:space="0" w:color="auto"/>
              <w:bottom w:val="single" w:sz="12" w:space="0" w:color="auto"/>
              <w:right w:val="single" w:sz="12" w:space="0" w:color="auto"/>
            </w:tcBorders>
          </w:tcPr>
          <w:p w14:paraId="3EEFE24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Мероприятия по улучше</w:t>
            </w:r>
            <w:r w:rsidRPr="008127F8">
              <w:rPr>
                <w:rFonts w:ascii="Times New Roman" w:hAnsi="Times New Roman"/>
                <w:color w:val="000000" w:themeColor="text1"/>
                <w:sz w:val="16"/>
                <w:szCs w:val="16"/>
              </w:rPr>
              <w:softHyphen/>
              <w:t>нию работы снабженческих органов НКАП и его заводов (2728,58)</w:t>
            </w:r>
          </w:p>
        </w:tc>
      </w:tr>
    </w:tbl>
    <w:p w14:paraId="794129F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F3A67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5 июня 1942 г. подписали Акт о полном завершении проекта строительства и о дополнительных сооружениях для самолётосборочного завода № 600 в Урумчи. Его производительность к этому вре</w:t>
      </w:r>
      <w:r w:rsidRPr="008127F8">
        <w:rPr>
          <w:rFonts w:ascii="Times New Roman" w:hAnsi="Times New Roman"/>
          <w:color w:val="000000" w:themeColor="text1"/>
          <w:sz w:val="16"/>
          <w:szCs w:val="16"/>
        </w:rPr>
        <w:softHyphen/>
        <w:t>мени уже доходила до 450 собран</w:t>
      </w:r>
      <w:r w:rsidRPr="008127F8">
        <w:rPr>
          <w:rFonts w:ascii="Times New Roman" w:hAnsi="Times New Roman"/>
          <w:color w:val="000000" w:themeColor="text1"/>
          <w:sz w:val="16"/>
          <w:szCs w:val="16"/>
        </w:rPr>
        <w:softHyphen/>
        <w:t>ных машин в год, причем освоили и сборку новых типов истребителей.</w:t>
      </w:r>
    </w:p>
    <w:p w14:paraId="45463D3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Между тем в конечном итоге пра</w:t>
      </w:r>
      <w:r w:rsidRPr="008127F8">
        <w:rPr>
          <w:rFonts w:ascii="Times New Roman" w:hAnsi="Times New Roman"/>
          <w:color w:val="000000" w:themeColor="text1"/>
          <w:sz w:val="16"/>
          <w:szCs w:val="16"/>
        </w:rPr>
        <w:softHyphen/>
        <w:t>вительство Чан Кайши отказалось ратифицировать Протокол о созда</w:t>
      </w:r>
      <w:r w:rsidRPr="008127F8">
        <w:rPr>
          <w:rFonts w:ascii="Times New Roman" w:hAnsi="Times New Roman"/>
          <w:color w:val="000000" w:themeColor="text1"/>
          <w:sz w:val="16"/>
          <w:szCs w:val="16"/>
        </w:rPr>
        <w:softHyphen/>
        <w:t>нии самолётосборочного завода. Парадоксальность ситуации заклю</w:t>
      </w:r>
      <w:r w:rsidRPr="008127F8">
        <w:rPr>
          <w:rFonts w:ascii="Times New Roman" w:hAnsi="Times New Roman"/>
          <w:color w:val="000000" w:themeColor="text1"/>
          <w:sz w:val="16"/>
          <w:szCs w:val="16"/>
        </w:rPr>
        <w:softHyphen/>
        <w:t>чалась в том, что китайцы, отказав</w:t>
      </w:r>
      <w:r w:rsidRPr="008127F8">
        <w:rPr>
          <w:rFonts w:ascii="Times New Roman" w:hAnsi="Times New Roman"/>
          <w:color w:val="000000" w:themeColor="text1"/>
          <w:sz w:val="16"/>
          <w:szCs w:val="16"/>
        </w:rPr>
        <w:softHyphen/>
        <w:t>шись от «родных» И-16, в это же время на других авиазаводах пыта</w:t>
      </w:r>
      <w:r w:rsidRPr="008127F8">
        <w:rPr>
          <w:rFonts w:ascii="Times New Roman" w:hAnsi="Times New Roman"/>
          <w:color w:val="000000" w:themeColor="text1"/>
          <w:sz w:val="16"/>
          <w:szCs w:val="16"/>
        </w:rPr>
        <w:softHyphen/>
        <w:t>лись скопировать и самостоятельно воспроизвести советские самолёты СБ, И-15, и всё тот же И-16.</w:t>
      </w:r>
    </w:p>
    <w:p w14:paraId="32A6FE8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ряде источников отказ от совет</w:t>
      </w:r>
      <w:r w:rsidRPr="008127F8">
        <w:rPr>
          <w:rFonts w:ascii="Times New Roman" w:hAnsi="Times New Roman"/>
          <w:color w:val="000000" w:themeColor="text1"/>
          <w:sz w:val="16"/>
          <w:szCs w:val="16"/>
        </w:rPr>
        <w:softHyphen/>
        <w:t>ского завода связали с обострением в 1940 г. внутриполитической обста</w:t>
      </w:r>
      <w:r w:rsidRPr="008127F8">
        <w:rPr>
          <w:rFonts w:ascii="Times New Roman" w:hAnsi="Times New Roman"/>
          <w:color w:val="000000" w:themeColor="text1"/>
          <w:sz w:val="16"/>
          <w:szCs w:val="16"/>
        </w:rPr>
        <w:softHyphen/>
        <w:t>новки в Китае и началом войны на Тихом океане, из-за чего Чан Кайши, определив курс на сближение с США, стал свертывать связи с СССР.</w:t>
      </w:r>
    </w:p>
    <w:p w14:paraId="4B7E9C6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самом деле ликвидация завода обусловливалась не столько поли</w:t>
      </w:r>
      <w:r w:rsidRPr="008127F8">
        <w:rPr>
          <w:rFonts w:ascii="Times New Roman" w:hAnsi="Times New Roman"/>
          <w:color w:val="000000" w:themeColor="text1"/>
          <w:sz w:val="16"/>
          <w:szCs w:val="16"/>
        </w:rPr>
        <w:softHyphen/>
        <w:t>тикой Чан Кайши, сколько резким изменением политических взглядов Синьцзянского дубаня Шэн Шицая. Просоветски настроенный и актив</w:t>
      </w:r>
      <w:r w:rsidRPr="008127F8">
        <w:rPr>
          <w:rFonts w:ascii="Times New Roman" w:hAnsi="Times New Roman"/>
          <w:color w:val="000000" w:themeColor="text1"/>
          <w:sz w:val="16"/>
          <w:szCs w:val="16"/>
        </w:rPr>
        <w:softHyphen/>
        <w:t>ный поборник сближения с СССР, он неоднократно предлагал сделать Синьцзян 16-й советской республи</w:t>
      </w:r>
      <w:r w:rsidRPr="008127F8">
        <w:rPr>
          <w:rFonts w:ascii="Times New Roman" w:hAnsi="Times New Roman"/>
          <w:color w:val="000000" w:themeColor="text1"/>
          <w:sz w:val="16"/>
          <w:szCs w:val="16"/>
        </w:rPr>
        <w:softHyphen/>
        <w:t>кой. В 1935 г. или в 1936 г., как ни удивительно, его, по личной настоятельной просьбе, приняли в ряды ВКП(б), причём со</w:t>
      </w:r>
      <w:r w:rsidRPr="008127F8">
        <w:rPr>
          <w:rFonts w:ascii="Times New Roman" w:hAnsi="Times New Roman"/>
          <w:color w:val="000000" w:themeColor="text1"/>
          <w:sz w:val="16"/>
          <w:szCs w:val="16"/>
        </w:rPr>
        <w:softHyphen/>
        <w:t>гласие на его приём в партию в то время дал сам И.В. Сталин (15811).</w:t>
      </w:r>
    </w:p>
    <w:p w14:paraId="53436A8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C5A4C4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0F2C2E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03E338"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 июня 1942 года состоялось совещание, в котором принимал участие Сталин и занимавший должность наркома танковой промышленности В.А. Малышев. В ходе совещания был окончательно утвержден запуск работ по тяжелому танку КВ-1с. Также здесь были показаны макеты перспективных тяжелых танков завода №183 и ЧКЗ. Об этом в своих воспоминаниях упоминает Малышев:</w:t>
      </w:r>
    </w:p>
    <w:p w14:paraId="0930B410"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iCs/>
          <w:color w:val="000000" w:themeColor="text1"/>
          <w:sz w:val="16"/>
          <w:szCs w:val="16"/>
          <w:lang w:eastAsia="ru-RU"/>
        </w:rPr>
        <w:t>«Мы показали т. Сталину макеты двух новых танков, которые полностью решают те пожелания… но т. Сталин ответил: «Новые танки делать пока не будем. Не будем отвлекать конструкторов от задачи улучшать и модернизировать выпускаемые танки. Конечно, конструкторам хочется делать новые машины, каждый конструктор ищет славы. Но надо обождать. К новым машинам вернемся месяца через полтора-два, когда конструктора закончат работу по улучшению существующих танков».</w:t>
      </w:r>
    </w:p>
    <w:p w14:paraId="2C787FB0"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Решение Сталина в полной мере было отражено в постановлении ГКО №1878 «Об улучшении танков КВ», подписанном 5 июня 1942 года. 9-й и 10-й пункты этого документа касались именно КВ-13. Согласно им, к 10 августа 1942 года предполагалось изготовить два опытных образца машины. Оба пункта из текста постановления вычеркнул сам Сталин.</w:t>
      </w:r>
    </w:p>
    <w:p w14:paraId="25C74D6B"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Несмотря на такое решение, работы по КВ-13 все же продолжались, но уже в куда меньшем объеме. В основном над ним в тот момент работали на заводе №100, а сотрудники СКБ-2 ЧКЗ в форсированном темпе разрабатывали КВ-1с. Опыт проектирования КВ-13 сильно пригодился при создании модернизированного тяжелого танка. С другой стороны, и на перспективный танк перешли некоторые решения, которые отрабатывались для КВ-1с.</w:t>
      </w:r>
    </w:p>
    <w:p w14:paraId="69F1CA79"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Решение о заморозке программы КВ-13 не помешало работать над отдельными элементами танка. Для этого был взят КВ-1 с серийным номером 25810. На нем с июля 1942 года стали прорабатывать элементы ходовой части КВ-13, в частности опорные и поддерживающие катки.</w:t>
      </w:r>
    </w:p>
    <w:p w14:paraId="7BF18488"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B7649EB"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5 июня 1942 года после совещания с участием Сталина началось форсирование работ по новым КПП КВ-1. Это совещание стало в своем роде отправной точкой для перехода от КВ-1 к КВ-1с. Первый танк с таким индексом, тот самый, на котором отрабатывалась 8-скоростная КПП, впервые вышел на испытания в апреле 1942 года. При этом отличался он не облегченной конструкцией, а более мощным двигателем. Теперь же перед коллективом ЧКЗ встала задача создать глубоко модернизированный КВ-1, который должен был стать более надежным, более быстрым, но лишиться главного козыря тяжелого танка – мощного бронирования. Результаты совещания были оформлены в виде постановление ГКО №1878 «Об улучшении танков КВ», подписанного 5 июня 1942 года (17682).</w:t>
      </w:r>
    </w:p>
    <w:p w14:paraId="03FEA799"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6A73EAD" w14:textId="77777777" w:rsidR="00D175FC" w:rsidRPr="008A2E5A" w:rsidRDefault="00D175FC" w:rsidP="00D175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июня 1942 года Сталин подписал постановление ГКО №1878 "Об улучшении танков КВ", которое положило начало работ по еще более существенному облегчению КВ-1. Оно привело к появлению тяжелого танка КВ-1с. Недавно этому событию исполнилось 80 лет, стоит поговорить про историю появления "скоростного" КВ.</w:t>
      </w:r>
    </w:p>
    <w:p w14:paraId="591C3083" w14:textId="77777777" w:rsidR="00D175FC" w:rsidRPr="008A2E5A" w:rsidRDefault="00D175FC" w:rsidP="00D175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целый букет постановлений ГКО в 20-х числах февраля, можно сказать, что их проигнорировали. По факту масса КВ-1 не снижалась, в лучшем случае усилился контроль изготовления литых башен, которые и были самыми тяжелыми. Именно с ними боевая масса порой превосходила 50 тонн. Основной же задачей стало повышение надежности коробок передач. Особенно это стало актуально после того, как в начале марта 1942 года посыпались жалобы с Крымского фронта. Пикантность момента заключалась в том, что как раз там находился Л.З. Мехлис. Со свойственной ему прямотой Мехлис начал разбираться самыми жесткими мерами, вплоть до требований прислать в Крым конструкторов ЧКЗ и лично Котина. Такой мощный пинок возымел действие: 20 марта 1942 года вышло постановление ГКО №1472 "О качестве танков КВ". В нем прямо указывалось на запущенность ситуации с коробками передач на ЧКЗ. Еще до того, 16 марта, в Челябинске приступили к работам по улучшению ситуации с КПП. Но этого оказалось мало: в постановлении ГКО №1472 указывалось о необходимости изготовления 8-скоростной КПП, сроком ее изготовления и испытаний установили 1 мая (23351).</w:t>
      </w:r>
    </w:p>
    <w:p w14:paraId="297DFE3D" w14:textId="77777777" w:rsidR="00D175FC" w:rsidRPr="008A2E5A" w:rsidRDefault="00D175FC" w:rsidP="00D175FC">
      <w:pPr>
        <w:spacing w:after="0" w:line="240" w:lineRule="auto"/>
        <w:jc w:val="both"/>
        <w:rPr>
          <w:rFonts w:ascii="Times New Roman" w:hAnsi="Times New Roman"/>
          <w:color w:val="0070C0"/>
          <w:sz w:val="16"/>
          <w:szCs w:val="16"/>
        </w:rPr>
      </w:pPr>
    </w:p>
    <w:p w14:paraId="618F2C2C" w14:textId="77777777" w:rsidR="00D175FC" w:rsidRPr="008A2E5A" w:rsidRDefault="00D175FC" w:rsidP="00D175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июня 1942 года вышло постановление ГКО №1878, согласно которому боевая масса машины КВ-1с снижалась до 42,5 тонн, при этом толщина корпуса спереди составляла 75 мм, а бортов и кормы - 60 мм. Может показаться, что это огромная ошибка, но далее выяснилось, что не всё так просто. Как раз к лету 1942 года немецкая армия стала массово получать 75-мм противотанковые пушки Pak 40 и танковые/самоходные орудия KwK 40/StuK 40. Для них броня КВ-1 не являлась столь проблематичной. Тоньше становилась и броня башни - 80-85 мм. Сама башня делалась меньше, при сохранении текущего диаметра погона. На КВ-1с и КВ-1 вводились пластинчатые радиаторы, также, с 1 сентября 1942 года, вводилась командирская башенка. Следует также отметить, что идею по столь радикальному снижению толщины брони еще в марте 1942 года предлагал НИИ-48. Тогда их подсчеты показали, что что выигрыш в массе только по корпусу и башне составит 4,05 тонн (23351).</w:t>
      </w:r>
    </w:p>
    <w:p w14:paraId="4C9E6ECC" w14:textId="77777777" w:rsidR="00D175FC" w:rsidRPr="008A2E5A" w:rsidRDefault="00D175FC" w:rsidP="00D175FC">
      <w:pPr>
        <w:spacing w:after="0" w:line="240" w:lineRule="auto"/>
        <w:jc w:val="both"/>
        <w:rPr>
          <w:rFonts w:ascii="Times New Roman" w:hAnsi="Times New Roman"/>
          <w:color w:val="0070C0"/>
          <w:sz w:val="16"/>
          <w:szCs w:val="16"/>
        </w:rPr>
      </w:pPr>
    </w:p>
    <w:p w14:paraId="750D67A4" w14:textId="77777777" w:rsidR="00D175FC" w:rsidRPr="008A2E5A" w:rsidRDefault="00D175FC" w:rsidP="00D175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июня 1942 года на совещании макет КВ-1с был показан Сталину. Но Сталин его отклонил, сказав наркому танковой промышленности В.А. Малышеву, что запускать в работу такой танк преждевременно. Одновременно из постановления ГКО №1878 пункты, связанные с КВ-13, вычекнули.</w:t>
      </w:r>
    </w:p>
    <w:p w14:paraId="1E4DEF1F" w14:textId="77777777" w:rsidR="00D175FC" w:rsidRPr="008A2E5A" w:rsidRDefault="00D175FC" w:rsidP="00D175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данном случае со Сталиным спорить как минимум не очень разумно. Даже не очень знакомому с танкостроением человеку было очевидно, что внедрение КВ-13 - это минимум полгода, а по факту еще больше. В случае же с КВ-1с имелось готовое шасси, которое требовалось "обстругать". Но 5 июня 1942 года Сталин подписал постановление ГКО №1878 "Об улучшении танков КВ". Вместо "ускоренного" КВ-1 в работу шел другой танк, с уменьшенной башней, облегченной ходовой частью, сниженной толщиной брони и 8-скоростной коробкой передач. Это был уже второй танк с обозначением КВ-1с. В августе 1942 года началось его серийное производство. Запускалось производство КВ-1с в спешке, что привело к ряду проблем, тем не менее, появление "облегченного" КВ стало правильным решением. Аварийность машин снизилась, а подвижность, наоборот, повысилась. Несмотря на то, что командирская башенка была далека от идеала, она всё равно стала большим плюсом, как и перемещение места командира назад-влево, за наводчиком. Командир стал видеть намного лучше, частично решили проблему со "слепотой" КВ (23365).</w:t>
      </w:r>
    </w:p>
    <w:p w14:paraId="2EDB4B82" w14:textId="77777777" w:rsidR="00D175FC" w:rsidRPr="008A2E5A" w:rsidRDefault="00D175FC" w:rsidP="00D175FC">
      <w:pPr>
        <w:spacing w:after="0" w:line="240" w:lineRule="auto"/>
        <w:jc w:val="both"/>
        <w:rPr>
          <w:rFonts w:ascii="Times New Roman" w:hAnsi="Times New Roman"/>
          <w:color w:val="0070C0"/>
          <w:sz w:val="16"/>
          <w:szCs w:val="16"/>
        </w:rPr>
      </w:pPr>
    </w:p>
    <w:p w14:paraId="2525A4D7" w14:textId="77777777" w:rsidR="00D175FC" w:rsidRPr="008A2E5A" w:rsidRDefault="00D175FC" w:rsidP="00D175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июня 1942 года Сталин подписал постановление ГКО №1878 "Об улучшении танков КВ", откуда он КВ-13 собственноручно вычеркнул. По мнению Сталина, запускать машину в работу было преждевременно. Несмотря на это, разработка танка продолжалась, кроме того, трехместная башня прямым образом повлияла на другую машину - КВ-1с. Далее, в июле 1942 года, не стало Цейца, после чего ведущим инженером машины стал Шашмурин (23354).</w:t>
      </w:r>
    </w:p>
    <w:p w14:paraId="303188A6" w14:textId="77777777" w:rsidR="00D175FC" w:rsidRPr="008A2E5A" w:rsidRDefault="00D175FC" w:rsidP="00D175FC">
      <w:pPr>
        <w:spacing w:after="0" w:line="240" w:lineRule="auto"/>
        <w:jc w:val="both"/>
        <w:rPr>
          <w:rFonts w:ascii="Times New Roman" w:hAnsi="Times New Roman"/>
          <w:color w:val="0070C0"/>
          <w:sz w:val="16"/>
          <w:szCs w:val="16"/>
        </w:rPr>
      </w:pPr>
    </w:p>
    <w:p w14:paraId="77541926" w14:textId="77777777" w:rsidR="00D175FC" w:rsidRPr="008A2E5A" w:rsidRDefault="00D175FC" w:rsidP="00D175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июня 1942 года, случился эпизод, который описан в военных дневниках В.А. Малышева, на тот момент наркома танковой промышленности:</w:t>
      </w:r>
    </w:p>
    <w:p w14:paraId="7055C6A1" w14:textId="77777777" w:rsidR="00D175FC" w:rsidRPr="008A2E5A" w:rsidRDefault="00D175FC" w:rsidP="00D175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последние дни т.Сталин вызывает к себе каждый день. Он крепко занялся улучшением качества танков. Сегодня были у т.Сталина, вместе с тт. Зальцманом, Котиным, Морозовым. Тов.Сталин сказал, что "наши танки превосходят заграничные, в том числе и немецкие", по своим техническим показателям, но уступают им в ходовой части. Особенно танк КВ - он тяжел и малоподвижен. А сегодня танки должны прежде всего много ходить, делать переходы по 150-200 км, ходить без дорог. Мы перетяжелили танк КВ. Я тоже в этом виноват, а вы виноваты в том, что не одернули меня"." (23365)</w:t>
      </w:r>
    </w:p>
    <w:p w14:paraId="25B20A32" w14:textId="77777777" w:rsidR="00D175FC" w:rsidRPr="008A2E5A" w:rsidRDefault="00D175FC" w:rsidP="00D175FC">
      <w:pPr>
        <w:spacing w:after="0" w:line="240" w:lineRule="auto"/>
        <w:jc w:val="both"/>
        <w:rPr>
          <w:rFonts w:ascii="Times New Roman" w:hAnsi="Times New Roman"/>
          <w:color w:val="0070C0"/>
          <w:sz w:val="16"/>
          <w:szCs w:val="16"/>
        </w:rPr>
      </w:pPr>
    </w:p>
    <w:p w14:paraId="3A3DF5CF" w14:textId="77777777" w:rsidR="00D175FC" w:rsidRPr="008A2E5A" w:rsidRDefault="00D175FC" w:rsidP="00D175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июня 1942 г. В.А. Малышев записал в свой дневник сказанное И.В. Сталиным о недостатках ходовой части советских танков: «Наши танки превосходят заграничные, в том числе и немецкие, по своим техническим показателям, но уступают им в ходовой части. Особенно танк КВ - он тяжел и малоподвижен. Надо улучшать, модернизировать танки, особенно, ходовой механизм. Надо улучшать видимость наших танков. Вот мы даем вам, танкистам, задачу - улучшить коробку скоростей танков Т-34 и КВ, облегчить вес танка КВ и делать оба танка с хорошей видимостью. Новые танки делать пока не будем. Не надо отвлекать конструкторов от задачи улучшать и модернизировать выпускаемые танки. Конечно, конструкторам хочется делать новые машины, каждый конструктор ищет славы. К новым машинам вернемся через месяц - полтора, когда конструкторы закончат работу по улучшению существующих танков» (Ермолов, А.Ю. Государственное управление военной промышленностью в 1940-е годы: Танковая промышленность. - С. 185.) (23540).</w:t>
      </w:r>
    </w:p>
    <w:p w14:paraId="760BD146" w14:textId="77777777" w:rsidR="00D175FC" w:rsidRPr="008A2E5A" w:rsidRDefault="00D175FC" w:rsidP="00D175FC">
      <w:pPr>
        <w:spacing w:after="0" w:line="240" w:lineRule="auto"/>
        <w:jc w:val="both"/>
        <w:rPr>
          <w:rFonts w:ascii="Times New Roman" w:hAnsi="Times New Roman"/>
          <w:color w:val="0070C0"/>
          <w:sz w:val="16"/>
          <w:szCs w:val="16"/>
        </w:rPr>
      </w:pPr>
    </w:p>
    <w:p w14:paraId="5B70495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вышло Постановление ГКО № 1870 О мерах по увеличению производства танковых дизелей В-2. РГАНИР, Фонд ГКО, д. 38, лл. 102-111, 112-155 (11012).</w:t>
      </w:r>
    </w:p>
    <w:p w14:paraId="7DBB31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71739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вышло Постановление ГКО № 1871 Об увеличении производства алюминия и магния. (7037, 156-164,165-209).</w:t>
      </w:r>
    </w:p>
    <w:p w14:paraId="486C28A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61068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вышло Постановление ГКО № 1872 О перевозе Северным морским путем из Тихоокеанского флота в Северный флот одного лидера и 3 миноносцев в навигацию 1942 г. (7037, 210-211).</w:t>
      </w:r>
    </w:p>
    <w:p w14:paraId="3D44642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C2F06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вышло Постановление ГКО № 1873 О мобилизации для Красной Армии 500 легковых автомашин М-1. (7037, 212).</w:t>
      </w:r>
    </w:p>
    <w:p w14:paraId="688E71A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AA9DE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вышло Постановление ГКО № 1874 Об улучшении работы паровозного парка железных дорог. (7037, 213-225,226-245).</w:t>
      </w:r>
    </w:p>
    <w:p w14:paraId="1B79AF3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44BA1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вышло Постановление ГКО № 1875 О вывозе хлеба из глубинных пунктов. (7037, 246-249,250-257).</w:t>
      </w:r>
    </w:p>
    <w:p w14:paraId="35A2B7CD"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7211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вышло Постановление ГКО № 1877 О дополнительной эвакуации оборудования завода "Красная заря" Наркомэлектропрома. РГАНИР, Фонд ГКО, д. 38, лл. 259 (11012).</w:t>
      </w:r>
    </w:p>
    <w:p w14:paraId="3927BF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F2B5E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вышло Постановление ГКО № 1878 Об улучшении танков КВ-1. РГАНИР, Фонд ГКО, д. 38, лл. 260-263 (11012).</w:t>
      </w:r>
    </w:p>
    <w:p w14:paraId="2E396A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C085E3"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noProof/>
          <w:color w:val="000000" w:themeColor="text1"/>
          <w:sz w:val="16"/>
          <w:szCs w:val="16"/>
        </w:rPr>
        <w:t xml:space="preserve">5 июня 1942 г. </w:t>
      </w:r>
      <w:r w:rsidRPr="008127F8">
        <w:rPr>
          <w:rFonts w:ascii="Times New Roman" w:hAnsi="Times New Roman"/>
          <w:color w:val="000000" w:themeColor="text1"/>
          <w:sz w:val="16"/>
          <w:szCs w:val="16"/>
        </w:rPr>
        <w:t>вышло постановление ГКО</w:t>
      </w:r>
      <w:r w:rsidRPr="008127F8">
        <w:rPr>
          <w:rFonts w:ascii="Times New Roman" w:hAnsi="Times New Roman"/>
          <w:noProof/>
          <w:color w:val="000000" w:themeColor="text1"/>
          <w:sz w:val="16"/>
          <w:szCs w:val="16"/>
        </w:rPr>
        <w:t>№1878сс</w:t>
      </w:r>
      <w:r w:rsidRPr="008127F8">
        <w:rPr>
          <w:rFonts w:ascii="Times New Roman" w:hAnsi="Times New Roman"/>
          <w:color w:val="000000" w:themeColor="text1"/>
          <w:sz w:val="16"/>
          <w:szCs w:val="16"/>
        </w:rPr>
        <w:t>,</w:t>
      </w:r>
      <w:r w:rsidRPr="008127F8">
        <w:rPr>
          <w:rFonts w:ascii="Times New Roman" w:hAnsi="Times New Roman"/>
          <w:noProof/>
          <w:color w:val="000000" w:themeColor="text1"/>
          <w:sz w:val="16"/>
          <w:szCs w:val="16"/>
        </w:rPr>
        <w:t xml:space="preserve"> подписанном его председателем И.В. Сталиным. </w:t>
      </w:r>
      <w:r w:rsidRPr="008127F8">
        <w:rPr>
          <w:rFonts w:ascii="Times New Roman" w:hAnsi="Times New Roman"/>
          <w:color w:val="000000" w:themeColor="text1"/>
          <w:sz w:val="16"/>
          <w:szCs w:val="16"/>
        </w:rPr>
        <w:t>В нем был приведен д</w:t>
      </w:r>
      <w:r w:rsidRPr="008127F8">
        <w:rPr>
          <w:rFonts w:ascii="Times New Roman" w:hAnsi="Times New Roman"/>
          <w:noProof/>
          <w:color w:val="000000" w:themeColor="text1"/>
          <w:sz w:val="16"/>
          <w:szCs w:val="16"/>
        </w:rPr>
        <w:t>овольно четкий анализ основных недо</w:t>
      </w:r>
      <w:r w:rsidRPr="008127F8">
        <w:rPr>
          <w:rFonts w:ascii="Times New Roman" w:hAnsi="Times New Roman"/>
          <w:noProof/>
          <w:color w:val="000000" w:themeColor="text1"/>
          <w:sz w:val="16"/>
          <w:szCs w:val="16"/>
        </w:rPr>
        <w:softHyphen/>
        <w:t xml:space="preserve">статков в конструкции танков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 xml:space="preserve"> был приве</w:t>
      </w:r>
      <w:r w:rsidRPr="008127F8">
        <w:rPr>
          <w:rFonts w:ascii="Times New Roman" w:hAnsi="Times New Roman"/>
          <w:noProof/>
          <w:color w:val="000000" w:themeColor="text1"/>
          <w:sz w:val="16"/>
          <w:szCs w:val="16"/>
        </w:rPr>
        <w:softHyphen/>
        <w:t>ден в постановлении Э</w:t>
      </w:r>
      <w:r w:rsidRPr="008127F8">
        <w:rPr>
          <w:rFonts w:ascii="Times New Roman" w:hAnsi="Times New Roman"/>
          <w:color w:val="000000" w:themeColor="text1"/>
          <w:sz w:val="16"/>
          <w:szCs w:val="16"/>
        </w:rPr>
        <w:t>ти</w:t>
      </w:r>
      <w:r w:rsidRPr="008127F8">
        <w:rPr>
          <w:rFonts w:ascii="Times New Roman" w:hAnsi="Times New Roman"/>
          <w:noProof/>
          <w:color w:val="000000" w:themeColor="text1"/>
          <w:sz w:val="16"/>
          <w:szCs w:val="16"/>
        </w:rPr>
        <w:t>м же документом ЧКЗ пред</w:t>
      </w:r>
      <w:r w:rsidRPr="008127F8">
        <w:rPr>
          <w:rFonts w:ascii="Times New Roman" w:hAnsi="Times New Roman"/>
          <w:noProof/>
          <w:color w:val="000000" w:themeColor="text1"/>
          <w:sz w:val="16"/>
          <w:szCs w:val="16"/>
        </w:rPr>
        <w:softHyphen/>
        <w:t>писывалось перейти с 1 августа на выпуск тан</w:t>
      </w:r>
      <w:r w:rsidRPr="008127F8">
        <w:rPr>
          <w:rFonts w:ascii="Times New Roman" w:hAnsi="Times New Roman"/>
          <w:noProof/>
          <w:color w:val="000000" w:themeColor="text1"/>
          <w:sz w:val="16"/>
          <w:szCs w:val="16"/>
        </w:rPr>
        <w:softHyphen/>
        <w:t xml:space="preserve">ков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 xml:space="preserve"> массой не более 42,5 т. Данный доку</w:t>
      </w:r>
      <w:r w:rsidRPr="008127F8">
        <w:rPr>
          <w:rFonts w:ascii="Times New Roman" w:hAnsi="Times New Roman"/>
          <w:noProof/>
          <w:color w:val="000000" w:themeColor="text1"/>
          <w:sz w:val="16"/>
          <w:szCs w:val="16"/>
        </w:rPr>
        <w:softHyphen/>
        <w:t>мент стал официальным основанием для на</w:t>
      </w:r>
      <w:r w:rsidRPr="008127F8">
        <w:rPr>
          <w:rFonts w:ascii="Times New Roman" w:hAnsi="Times New Roman"/>
          <w:noProof/>
          <w:color w:val="000000" w:themeColor="text1"/>
          <w:sz w:val="16"/>
          <w:szCs w:val="16"/>
        </w:rPr>
        <w:softHyphen/>
        <w:t xml:space="preserve">чала работ по созданию танка </w:t>
      </w:r>
      <w:r w:rsidRPr="008127F8">
        <w:rPr>
          <w:rFonts w:ascii="Times New Roman" w:hAnsi="Times New Roman"/>
          <w:color w:val="000000" w:themeColor="text1"/>
          <w:sz w:val="16"/>
          <w:szCs w:val="16"/>
          <w:lang w:val="en-US"/>
        </w:rPr>
        <w:t>KB</w:t>
      </w:r>
      <w:r w:rsidRPr="008127F8">
        <w:rPr>
          <w:rFonts w:ascii="Times New Roman" w:hAnsi="Times New Roman"/>
          <w:noProof/>
          <w:color w:val="000000" w:themeColor="text1"/>
          <w:sz w:val="16"/>
          <w:szCs w:val="16"/>
        </w:rPr>
        <w:t>-1С (буква «с» в названии танка означает «скоростной»)</w:t>
      </w:r>
      <w:r w:rsidRPr="008127F8">
        <w:rPr>
          <w:rFonts w:ascii="Times New Roman" w:hAnsi="Times New Roman"/>
          <w:color w:val="000000" w:themeColor="text1"/>
          <w:sz w:val="16"/>
          <w:szCs w:val="16"/>
        </w:rPr>
        <w:t xml:space="preserve"> (11897)</w:t>
      </w:r>
      <w:r w:rsidRPr="008127F8">
        <w:rPr>
          <w:rFonts w:ascii="Times New Roman" w:hAnsi="Times New Roman"/>
          <w:noProof/>
          <w:color w:val="000000" w:themeColor="text1"/>
          <w:sz w:val="16"/>
          <w:szCs w:val="16"/>
        </w:rPr>
        <w:t>.</w:t>
      </w:r>
    </w:p>
    <w:p w14:paraId="53DD3C44"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p>
    <w:p w14:paraId="695DDEA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вышло Постановление ГКО № 1879 Об улучшении танков Т-34. РГАНИР, Фонд ГКО, д. 38, лл. 264-265 (11012).</w:t>
      </w:r>
    </w:p>
    <w:p w14:paraId="5132D63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504B3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года макет Т-34М и КВ-13 показали Сталину. По итогам Сталин сказал следующее:</w:t>
      </w:r>
    </w:p>
    <w:p w14:paraId="7161DA3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«Новые танки делать пока не будем. Не будем отвлекать конструкторов от задачи улучшать и модернизировать выпускаемые танки. Конечно, конструкторам хочется делать новые машины, каждый конструктор ищет славы. Но надо обождать. К новым машинам вернёмся месяца через полтора-два, когда конструкторы закончат работу».</w:t>
      </w:r>
    </w:p>
    <w:p w14:paraId="51FD3F0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Впрочем, это совсем не означало, что Т-34М и КВ-13 тут же забросили. Данными машинами заинтересовались в ГАБТУ КА, где наверняка знали о данных разработках. Более того, автор этой статьи считает, что и появились данные машины с санкции ГАБТУ КА. Создаётся впечатление, что оба танка разрабатывались по одному техническому заданию. Правда, и Т-34М, и КВ-13 заинтересовали ГАБТУ КА скорее как потенциальные сменщики</w:t>
      </w:r>
      <w:r>
        <w:rPr>
          <w:rFonts w:ascii="Times New Roman" w:hAnsi="Times New Roman"/>
          <w:color w:val="000000" w:themeColor="text1"/>
          <w:sz w:val="16"/>
          <w:szCs w:val="16"/>
        </w:rPr>
        <w:t xml:space="preserve">  </w:t>
      </w:r>
      <w:hyperlink r:id="rId69" w:history="1">
        <w:r w:rsidRPr="008127F8">
          <w:rPr>
            <w:rStyle w:val="a6"/>
            <w:color w:val="000000" w:themeColor="text1"/>
          </w:rPr>
          <w:t>КВ-1</w:t>
        </w:r>
      </w:hyperlink>
      <w:r w:rsidRPr="008127F8">
        <w:rPr>
          <w:rFonts w:ascii="Times New Roman" w:hAnsi="Times New Roman"/>
          <w:color w:val="000000" w:themeColor="text1"/>
          <w:sz w:val="16"/>
          <w:szCs w:val="16"/>
        </w:rPr>
        <w:t>. Об этом говорит докладная записка начальнику ГАБТУ КА генерал-лейтенанту Федоренко от 1 июня 1942 года. В ней КВ-1 подвергся критике за его медлительность и низкую надежность, одновременно предлагалось дать задание ЧКЗ и заводу №183 разработать сменщика тяжёлого танка. При этом предлагались тактико-технические требования на развитие обоих проектов. Согласно им, толщина лобовой брони корпуса возрастала до 90 мм, а экипаж увеличивался до 4 человек за счёт добавления командира в башне. Именно эти требования стали отправной точкой в разработке КВ-13 с трёхместной башней. Что же касается Т-34М, то спустя несколько дней появился документ, в котором вариант машины с трёхместной башней именовался как Т-44. Позже, 1 июля 1941 года, появился проект постановления ГКО «Об изготовлении опытных образцов танков Т-44 и модернизации танка Т-34» (18420).</w:t>
      </w:r>
    </w:p>
    <w:p w14:paraId="7B67E1A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B48DC5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года Сталин подписал постановления ГКО №1879сс «Об улучшении танков Т-34». Именно этим закончилось совещание с участием Сталина и Малышева, на котором показывали макет Т-34М. Вместо внедрения совершенно новой машины планировалось улучшить старую. В числе улучшений значилась замена четырёхскоростной коробки передач на пятискоростную, а также внедрение командирской башенки. Не менее интересен пункт 5, вычеркнутый лично Сталиным. В нём упоминается тот самый Т-44, который предлагали в самом начале июля 1942 года.</w:t>
      </w:r>
    </w:p>
    <w:p w14:paraId="153B098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Т-44 прекратили, даже толком не начав, а модернизация Т-34 шла совсем по иному сценарию. В постановлении ГКО №1879сс сроки были довольно жёсткие: подготовить к 15 июля 2 новых танка, а к 10 августа их испытать. На практике танков было три: первый, оснащённый пятискоростной КПП, вышел на испытания 22 июля, второй, также с пятискоростной КПП, начал испытания 31 июля, и, наконец, третья машина, с командирской башенкой, появилась 9 августа. Как показали испытания танков с пятискоростной КПП, управление танков улучшалось, одновременно повышалась надёжность конструкции. По итогам испытаний было рекомендовано запустить новую КПП в серийное производство.</w:t>
      </w:r>
    </w:p>
    <w:p w14:paraId="14E9FBF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Ситуация с командирской башенкой оказалась не столь однозначной. Для её установки была спроектирована и построена новая башня, которая хоть и создавалась на базе серийной шестигранной предшественницы, но имела целый ряд отличий. Она получилась более «обтекаемой», неподвижная бронировка орудийной маски расширялась на полную ширину башни, а воздуховод перенесли вперёд. В кормовой части башни, подобно Т-50 и первым вариантам Т-34М, оборудовали место командира, размещавшегося сразу же за пушкой; там же размещалась и литая командирская башенка.</w:t>
      </w:r>
    </w:p>
    <w:p w14:paraId="6F738D0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Проектировщики башни постарались выкроить для командира максимум пространства, но всё равно его место было крайне неудобным. Башенка не имела люка, а её габариты оказались таковы, что находиться в ней мог человек не выше среднего роста. Чтобы попасть на своё место, командиру требовалось опускать гильзоулавливатель и снова его поднимать. Подножки не обеспечивали устойчивой опоры для ног, а в командирской башенке отсутствовала необходимая защита для лица командира от ушибов. Кроме того, командир при 1,5-2 часах езды сильно утомлялся, а обзор признали не самым лучшим из-за некачественного монтажа призм. В результате сама идея командирской башенки была признана удачной, но требовалось существенно улучшить её конструкцию. На практике же от идеи трёхместной башни с размещением командира сзади пришлось отказаться (18420).</w:t>
      </w:r>
    </w:p>
    <w:p w14:paraId="3EF6AAD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80433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8127F8">
        <w:rPr>
          <w:rFonts w:ascii="Times New Roman" w:hAnsi="Times New Roman"/>
          <w:color w:val="000000" w:themeColor="text1"/>
          <w:kern w:val="36"/>
          <w:sz w:val="16"/>
          <w:szCs w:val="16"/>
        </w:rPr>
        <w:t>5 июня 1942 вышло:</w:t>
      </w:r>
    </w:p>
    <w:p w14:paraId="743C51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8127F8">
        <w:rPr>
          <w:rFonts w:ascii="Times New Roman" w:hAnsi="Times New Roman"/>
          <w:color w:val="000000" w:themeColor="text1"/>
          <w:kern w:val="36"/>
          <w:sz w:val="16"/>
          <w:szCs w:val="16"/>
        </w:rPr>
        <w:t>ПОСТАНОВЛЕНИЕ ГОСУДАРСТВЕННОГО КОМИТЕТА ОБОРОНЫ № 1879 сс от 5VI-42 г.</w:t>
      </w:r>
    </w:p>
    <w:p w14:paraId="490971D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улучшении танков Т-34</w:t>
      </w:r>
    </w:p>
    <w:p w14:paraId="0A61FD7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Государственный Комитет Обороны устанавливает, что танк Т-34, обладая достаточной для среднего танка толщиной брони (45 мм) и имея хорошее соотношение между мощность мотора и весом танка (удельная мощность 18,2 л.с. на тонну веса), требует в то же время улучшения механизмов передачи и улучшения обзорности танка. Поэтому важнейшей задачей Наркомтанкопрома и директоров танковых заводов, изготовляющих танки Т-34, является быстрое проведение работ по улучшению механизмов передачи и обзорности танков Т-34.</w:t>
      </w:r>
    </w:p>
    <w:p w14:paraId="6C463B7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дальнейшего улучшения боевых качеств танков Т-34, Государственный Комитет Обороны постановляет:</w:t>
      </w:r>
    </w:p>
    <w:p w14:paraId="5D6502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Учитывая, что 4-скоростная коробка перемены передач затрудняет управление танком и ограничивает возможности полного использования дизеля, а также, что конструкция коробки перемены передач с подвижными шестернями не исключает возможности скола шестерен при недостаточно умелом вождении танка, обязать Наркомтанкопром (т. Малышева), директора завода № 183 (т. Максарева) и главного конструктора завода (т. Морозова):</w:t>
      </w:r>
    </w:p>
    <w:p w14:paraId="0710609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 15 июля с.г. изготовить на заводе № 183 3 образца 5-скоростной коробки перемены передач с постоянным зацепление и 5 комплектов новой конструкции ленивца для танка Т-34;</w:t>
      </w:r>
    </w:p>
    <w:p w14:paraId="1A576E0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к 10 августа с.г. совместно с ГАВТУ КА провести испытания 2 танков Т-34 с 5-скоростными коробками перемены передач и новыми ленивцами и к 15 августа с.г. представить в ГОКО отчет об испытании и предложения о внедрении новых коробок и ленивцев на серийных танках Т-34;</w:t>
      </w:r>
    </w:p>
    <w:p w14:paraId="2725F51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одновременно улучшения обзорности танка, обязать Наркомтанкопром (т. Малышев) и директоров заводов - № 183 т. Максарева, № 112 т. Рубинчика, СТЗ т. Задорожного, № 174 т. Коцнельсона, Уралмашзавода т. Музрукова, № 200 т. Сочивко и № 264 т. Кордунера обеспечить с 1 сентября с.г. выпуск танков Т-34 с командирскими башенками, расположенными на башне танка позади стреляющего. Допустить при этом, чтобы наружные габариты командирской башенки выступали из пределов крыши башни танка.</w:t>
      </w:r>
    </w:p>
    <w:p w14:paraId="763748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Учитывая, что в результате упущений при изготовлении брони на металлургических заводах и при изготовлении корпусов на танковых заводах на отдельных корпусах танков Т-34 имели место случаи появления трещин, обязать Наркомчермет (т. Тевосяна) строго соблюдать технические условия на броню, а Наркомтанкопром (т. Малышева) обеспечить на танковых и корпусных заводах строгое соблюдение технологии изготовления корпусов и башен.</w:t>
      </w:r>
    </w:p>
    <w:p w14:paraId="41F16A3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Обязать т.т. Малышева, Тевосяна и Федоренко в декадный срок пересмотреть технические условия на броню с тем, чтобы восстановить качество брони, там где это необходимо, до довоенного качества.</w:t>
      </w:r>
    </w:p>
    <w:p w14:paraId="6585B1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Обязать Наркомтанкопром (т. Малышева) и директоров заводов - № 183 т. Максарева и СТЗ т. Задорожного к 10 июля с.г. провести сравнительные испытания улучшенных гусениц танков Т-34 конструкций заводов № 183 и СТЗ, отобрать лучшую конструкцию, утвердить технологию изготовления трактов и внедрить новую единую конструкцию гусеницы на производство по всем заводам. </w:t>
      </w:r>
    </w:p>
    <w:p w14:paraId="54E9FC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 ГОСУДАРСТВЕННОГО КОМИТЕТА ОБОРОНЫ (11813).</w:t>
      </w:r>
    </w:p>
    <w:p w14:paraId="2F9565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5640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вышло Постановление ГКО № 1880 О производстве танков Т-34. РГАНИР, Фонд ГКО, д. 38, лл. 266-269 (11012).</w:t>
      </w:r>
    </w:p>
    <w:p w14:paraId="34F9B0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FEE7A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г. вышло по</w:t>
      </w:r>
      <w:r w:rsidRPr="008127F8">
        <w:rPr>
          <w:rFonts w:ascii="Times New Roman" w:hAnsi="Times New Roman"/>
          <w:color w:val="000000" w:themeColor="text1"/>
          <w:sz w:val="16"/>
          <w:szCs w:val="16"/>
        </w:rPr>
        <w:softHyphen/>
        <w:t>становление ГКО "О по</w:t>
      </w:r>
      <w:r w:rsidRPr="008127F8">
        <w:rPr>
          <w:rFonts w:ascii="Times New Roman" w:hAnsi="Times New Roman"/>
          <w:color w:val="000000" w:themeColor="text1"/>
          <w:sz w:val="16"/>
          <w:szCs w:val="16"/>
        </w:rPr>
        <w:softHyphen/>
        <w:t>вышении качества танков Т-34" (10703).</w:t>
      </w:r>
    </w:p>
    <w:p w14:paraId="7308ED9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8ECA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г. вышло постановление ГКО, согласно которому на Т-34 вводились такие усовершенствования, как командирская башенка и пятискоростная коробка передач (3905).</w:t>
      </w:r>
    </w:p>
    <w:p w14:paraId="590D1F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89CC8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Госкомитет обороны СССР принял постановление «О повышении качества танков Т-34», однако оно так и осталось на бумаге. В рамках его исполнения была разработана пятискоростная коробка передач с постоянным зацеплением шестерен, но никаких синхронизаторов на ней по-прежнему не было (11741).</w:t>
      </w:r>
    </w:p>
    <w:p w14:paraId="2C78DED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0AB37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года И. В. Сталин в беседе с В. А. Малышевым говорил о недостатках ходовой части советских танков. Особенной критике подвергся танк КВ. В. А. Малышев записал в свой дневник следующие слова И. В. Сталина: «наши танки превосходят заграничные, в том числе и немецкие, по своим техническим показателям, но уступают им в ходовой части. Особенно танк КВ - он тяжел и малоподвижен. Надо улучшать, модернизировать танки, и, особенно, ходовой механизм. Надо иметь в виду, что теперь танкисты менее квалифицированы и поэтому танки надо делать проще, надёжнее, а не рассчитывать на виртуозов. Надо улучшить видимость наших танков. Вот мы даём вам, танкистам, задачу - улучшить коробку скоростей танков Т-34 и КВ, облегчить вес танка КВ и делать оба танка с хорошей видимостью. Новые танки делать пока не будем. Не надо отвлекать конструкторов от задачи улучшать и модернизировать выпускаемые танки. Конечно, конструкторам хочется делать новые машины, каждый конструктор ищет славы. К новым машинам вернёмся через месяц - полтора, когда конструкторы закончат работу по улучшению существующих танков» («Пройдёт десяток лет, и эти встречи не восстановишь уже в памяти»// Источник. 1997. №5. С. 118-119) (12290).</w:t>
      </w:r>
    </w:p>
    <w:p w14:paraId="19943E7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72C36D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года в постановлении Государственного Комитета Обороны № 1879 сс отмечалось, что «Т-34 наряду с их положительными качествами требуют улучшения механизмов передачи и улучшения обзорности танка». Для устранения этих недостатков директору завода № 183 Максареву и главному конструктору Морозову приказывалось провести испытания двух танков Т-34 с 5-скоростной коробкой перемены передач и новой конструкцией ленивца, после чего подготовить документацию для других заводов, которые должны были с 1 сентября 1942 года перейти на выпуск Т-34 с новой коробкой передач и ленивцем. Кроме того, предписывалось «в целях улучшения обзорности директорам заводов № 183, 112, 174, СТЗ с 15 августа обеспечить выпуск Т-34 с командирскими башенками».</w:t>
      </w:r>
    </w:p>
    <w:p w14:paraId="26409C0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Следует сказать, что задание на проектирование 5-скоростной коробки перемены передач было выдано еще в феврале 1942 года, так что постановление ГКО фактически только дало «добро» на ее введение в производство. По тактико-техническим требованиям новая коробка должна была полностью взаимозаменять- ся со старой 4-скоростной. Основным отличием 5-скоростной КПП от прежней стало наличие постоянного зацепления шестерен, большая легкость переключения и, соответственно, дополнительная скорость (12217).</w:t>
      </w:r>
    </w:p>
    <w:p w14:paraId="17AE0AF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AE854F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1941 года Совет народных комиссаров СССР и ЦК ВКП (б) подписали постановление «Об увеличении выпуска танков КВ, Т-34, Т-50, артиллерийских тягачей и танковых дизелей на III и IV квартал 1941 года». Этот документ предусматривал резкое увеличение выпуска танков заводами промышленности (12217).</w:t>
      </w:r>
    </w:p>
    <w:p w14:paraId="0E10656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60E891E" w14:textId="77777777" w:rsidR="007C5583" w:rsidRPr="008127F8" w:rsidRDefault="007C5583" w:rsidP="007C5583">
      <w:pPr>
        <w:shd w:val="clear" w:color="auto" w:fill="FFFFFF"/>
        <w:spacing w:after="0" w:line="240" w:lineRule="auto"/>
        <w:jc w:val="both"/>
        <w:rPr>
          <w:rStyle w:val="920"/>
          <w:rFonts w:ascii="Times New Roman" w:hAnsi="Times New Roman" w:cs="Times New Roman"/>
          <w:color w:val="000000" w:themeColor="text1"/>
          <w:sz w:val="16"/>
          <w:szCs w:val="16"/>
        </w:rPr>
      </w:pPr>
      <w:r w:rsidRPr="008127F8">
        <w:rPr>
          <w:rStyle w:val="920"/>
          <w:rFonts w:ascii="Times New Roman" w:hAnsi="Times New Roman" w:cs="Times New Roman"/>
          <w:color w:val="000000" w:themeColor="text1"/>
          <w:sz w:val="16"/>
          <w:szCs w:val="16"/>
        </w:rPr>
        <w:t>5 июня 1942 года оба проекта – КВ-13 и Т-34М, а также масштабные модели были представлены И.В. Сталину. Предполагалось изготовить два образца КВ-13, но Сталин не одобрил такое решение. В тот момент приоритетом было наращивание выпуска Т-34, что все же не помешало с июля 1942 года начать испытания элементов ходо</w:t>
      </w:r>
      <w:r w:rsidRPr="008127F8">
        <w:rPr>
          <w:rStyle w:val="920"/>
          <w:rFonts w:ascii="Times New Roman" w:hAnsi="Times New Roman" w:cs="Times New Roman"/>
          <w:color w:val="000000" w:themeColor="text1"/>
          <w:sz w:val="16"/>
          <w:szCs w:val="16"/>
        </w:rPr>
        <w:softHyphen/>
        <w:t xml:space="preserve">вой части на одном из КВ-1 (19872). </w:t>
      </w:r>
    </w:p>
    <w:p w14:paraId="16AF0AEF" w14:textId="77777777" w:rsidR="007C5583" w:rsidRPr="008127F8" w:rsidRDefault="007C5583" w:rsidP="007C5583">
      <w:pPr>
        <w:shd w:val="clear" w:color="auto" w:fill="FFFFFF"/>
        <w:spacing w:after="0" w:line="240" w:lineRule="auto"/>
        <w:jc w:val="both"/>
        <w:rPr>
          <w:rStyle w:val="920"/>
          <w:rFonts w:ascii="Times New Roman" w:hAnsi="Times New Roman" w:cs="Times New Roman"/>
          <w:color w:val="000000" w:themeColor="text1"/>
          <w:sz w:val="16"/>
          <w:szCs w:val="16"/>
        </w:rPr>
      </w:pPr>
    </w:p>
    <w:p w14:paraId="54432DC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г. председатель ГКО И. Сталин подписал постановление № 1878сс следующего содержания:</w:t>
      </w:r>
    </w:p>
    <w:p w14:paraId="30409CB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 боевого применения КВ-1 в воинских частях вскрыл следующие недостатки КВ:</w:t>
      </w:r>
    </w:p>
    <w:p w14:paraId="39C8D56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Большой вес танка (47,5т), что сокращает его боевую оперативность и усложняет условия боевой эксплуатации;</w:t>
      </w:r>
    </w:p>
    <w:p w14:paraId="68AF776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Недостаточная надежность коробки перемены пере</w:t>
      </w:r>
      <w:r w:rsidRPr="008127F8">
        <w:rPr>
          <w:rFonts w:ascii="Times New Roman" w:hAnsi="Times New Roman"/>
          <w:color w:val="000000" w:themeColor="text1"/>
          <w:sz w:val="16"/>
          <w:szCs w:val="16"/>
        </w:rPr>
        <w:softHyphen/>
        <w:t>дач вследствие недостаточной прочности шестерен первой и замедленной передач и картера;</w:t>
      </w:r>
    </w:p>
    <w:p w14:paraId="2E83AF7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Недостаточно интенсивная работа системы охлаж</w:t>
      </w:r>
      <w:r w:rsidRPr="008127F8">
        <w:rPr>
          <w:rFonts w:ascii="Times New Roman" w:hAnsi="Times New Roman"/>
          <w:color w:val="000000" w:themeColor="text1"/>
          <w:sz w:val="16"/>
          <w:szCs w:val="16"/>
        </w:rPr>
        <w:softHyphen/>
        <w:t>дения двигателя, вследствие чего приходится часто произ</w:t>
      </w:r>
      <w:r w:rsidRPr="008127F8">
        <w:rPr>
          <w:rFonts w:ascii="Times New Roman" w:hAnsi="Times New Roman"/>
          <w:color w:val="000000" w:themeColor="text1"/>
          <w:sz w:val="16"/>
          <w:szCs w:val="16"/>
        </w:rPr>
        <w:softHyphen/>
        <w:t>водить переключение скоростей с высших на низшие, что приводит к сокращению средних скоростей движения и ограничивает возможность наиболее полного использова</w:t>
      </w:r>
      <w:r w:rsidRPr="008127F8">
        <w:rPr>
          <w:rFonts w:ascii="Times New Roman" w:hAnsi="Times New Roman"/>
          <w:color w:val="000000" w:themeColor="text1"/>
          <w:sz w:val="16"/>
          <w:szCs w:val="16"/>
        </w:rPr>
        <w:softHyphen/>
        <w:t>ния мощности двигателя;</w:t>
      </w:r>
    </w:p>
    <w:p w14:paraId="0CEF18F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Недостаточная круговая обзорность танка из-за не</w:t>
      </w:r>
      <w:r w:rsidRPr="008127F8">
        <w:rPr>
          <w:rFonts w:ascii="Times New Roman" w:hAnsi="Times New Roman"/>
          <w:color w:val="000000" w:themeColor="text1"/>
          <w:sz w:val="16"/>
          <w:szCs w:val="16"/>
        </w:rPr>
        <w:softHyphen/>
        <w:t>удобного расположения смотровых приборов и отсутствия командирской башенки.</w:t>
      </w:r>
    </w:p>
    <w:p w14:paraId="4B9C653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этих основных дефектов из армии поступают со</w:t>
      </w:r>
      <w:r w:rsidRPr="008127F8">
        <w:rPr>
          <w:rFonts w:ascii="Times New Roman" w:hAnsi="Times New Roman"/>
          <w:color w:val="000000" w:themeColor="text1"/>
          <w:sz w:val="16"/>
          <w:szCs w:val="16"/>
        </w:rPr>
        <w:softHyphen/>
        <w:t>общения о дефектах сборки и изготовления отдельных узлов, в особенности дизеля танка, что свидетельствует о еще не</w:t>
      </w:r>
      <w:r w:rsidRPr="008127F8">
        <w:rPr>
          <w:rFonts w:ascii="Times New Roman" w:hAnsi="Times New Roman"/>
          <w:color w:val="000000" w:themeColor="text1"/>
          <w:sz w:val="16"/>
          <w:szCs w:val="16"/>
        </w:rPr>
        <w:softHyphen/>
        <w:t>достаточном контроле за изготовлением и сборкой танков и нарушении техпроцесса».</w:t>
      </w:r>
    </w:p>
    <w:p w14:paraId="49E3A10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Теперь предписывалось перейти к выпуску танка КВ массой не свыше 42,5 т, для чего допускалось уменьшить толщину брони корпуса с 75 мм до 60 мм, толщину днища до 30 мм, стенок литой башни до 80-85 мм, а также умень</w:t>
      </w:r>
      <w:r w:rsidRPr="008127F8">
        <w:rPr>
          <w:rFonts w:ascii="Times New Roman" w:hAnsi="Times New Roman"/>
          <w:color w:val="000000" w:themeColor="text1"/>
          <w:sz w:val="16"/>
          <w:szCs w:val="16"/>
        </w:rPr>
        <w:softHyphen/>
        <w:t>шить ее габариты при сохранении диаметра башенного по</w:t>
      </w:r>
      <w:r w:rsidRPr="008127F8">
        <w:rPr>
          <w:rFonts w:ascii="Times New Roman" w:hAnsi="Times New Roman"/>
          <w:color w:val="000000" w:themeColor="text1"/>
          <w:sz w:val="16"/>
          <w:szCs w:val="16"/>
        </w:rPr>
        <w:softHyphen/>
        <w:t>гона, облегчить траки за счет зауживания гусеничных ие пей до 650 мм. Кроме того, на танк должна была устанавливаться но</w:t>
      </w:r>
      <w:r w:rsidRPr="008127F8">
        <w:rPr>
          <w:rFonts w:ascii="Times New Roman" w:hAnsi="Times New Roman"/>
          <w:color w:val="000000" w:themeColor="text1"/>
          <w:sz w:val="16"/>
          <w:szCs w:val="16"/>
        </w:rPr>
        <w:softHyphen/>
        <w:t>вая восьмискоростная КПП и новые бортредукторы. Новые КПП были спроектированы еще зимой, а их ис</w:t>
      </w:r>
      <w:r w:rsidRPr="008127F8">
        <w:rPr>
          <w:rFonts w:ascii="Times New Roman" w:hAnsi="Times New Roman"/>
          <w:color w:val="000000" w:themeColor="text1"/>
          <w:sz w:val="16"/>
          <w:szCs w:val="16"/>
        </w:rPr>
        <w:softHyphen/>
        <w:t>пытания начались в первых числах апреля, в мае прошли опробование новые радиаторы системы охлаждения, об</w:t>
      </w:r>
      <w:r w:rsidRPr="008127F8">
        <w:rPr>
          <w:rFonts w:ascii="Times New Roman" w:hAnsi="Times New Roman"/>
          <w:color w:val="000000" w:themeColor="text1"/>
          <w:sz w:val="16"/>
          <w:szCs w:val="16"/>
        </w:rPr>
        <w:softHyphen/>
        <w:t>легченные гусеничные цепи (10782).</w:t>
      </w:r>
    </w:p>
    <w:p w14:paraId="3CA596A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909FD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г. ГКО в своем постановлении указал на недостатки танков КВ-1, выявленные в ходе эксплуатации низкая подвижность из-за большой боевой массы 47,5 т; некачественная сборка, особенно дизе</w:t>
      </w:r>
      <w:r w:rsidRPr="008127F8">
        <w:rPr>
          <w:rFonts w:ascii="Times New Roman" w:hAnsi="Times New Roman"/>
          <w:color w:val="000000" w:themeColor="text1"/>
          <w:sz w:val="16"/>
          <w:szCs w:val="16"/>
        </w:rPr>
        <w:softHyphen/>
        <w:t>ля; ненадежная коробка передач; низкая скорость движения из-за час</w:t>
      </w:r>
      <w:r w:rsidRPr="008127F8">
        <w:rPr>
          <w:rFonts w:ascii="Times New Roman" w:hAnsi="Times New Roman"/>
          <w:color w:val="000000" w:themeColor="text1"/>
          <w:sz w:val="16"/>
          <w:szCs w:val="16"/>
        </w:rPr>
        <w:softHyphen/>
        <w:t>тых переключений с высших на низшие передачи, вызванных недоста</w:t>
      </w:r>
      <w:r w:rsidRPr="008127F8">
        <w:rPr>
          <w:rFonts w:ascii="Times New Roman" w:hAnsi="Times New Roman"/>
          <w:color w:val="000000" w:themeColor="text1"/>
          <w:sz w:val="16"/>
          <w:szCs w:val="16"/>
        </w:rPr>
        <w:softHyphen/>
        <w:t>точно эффективной системой охлаждения; недостаточная круговая об</w:t>
      </w:r>
      <w:r w:rsidRPr="008127F8">
        <w:rPr>
          <w:rFonts w:ascii="Times New Roman" w:hAnsi="Times New Roman"/>
          <w:color w:val="000000" w:themeColor="text1"/>
          <w:sz w:val="16"/>
          <w:szCs w:val="16"/>
        </w:rPr>
        <w:softHyphen/>
        <w:t>зорность из-за неудобства расположения смотровых приборов и отсут</w:t>
      </w:r>
      <w:r w:rsidRPr="008127F8">
        <w:rPr>
          <w:rFonts w:ascii="Times New Roman" w:hAnsi="Times New Roman"/>
          <w:color w:val="000000" w:themeColor="text1"/>
          <w:sz w:val="16"/>
          <w:szCs w:val="16"/>
        </w:rPr>
        <w:softHyphen/>
        <w:t>ствия командирской башенки. Практически весь 1942 г. конструкторы по требованию ГКО устра</w:t>
      </w:r>
      <w:r w:rsidRPr="008127F8">
        <w:rPr>
          <w:rFonts w:ascii="Times New Roman" w:hAnsi="Times New Roman"/>
          <w:color w:val="000000" w:themeColor="text1"/>
          <w:sz w:val="16"/>
          <w:szCs w:val="16"/>
        </w:rPr>
        <w:softHyphen/>
        <w:t>няли различные конструктивные и производственные дефекты танка КВ-1. Возможности по усилению броневой защиты танка КВ-1 были исчерпаны, так как его масса уже достигла предельных значений. Мо</w:t>
      </w:r>
      <w:r w:rsidRPr="008127F8">
        <w:rPr>
          <w:rFonts w:ascii="Times New Roman" w:hAnsi="Times New Roman"/>
          <w:color w:val="000000" w:themeColor="text1"/>
          <w:sz w:val="16"/>
          <w:szCs w:val="16"/>
        </w:rPr>
        <w:softHyphen/>
        <w:t>дернизированный танк КВ-1 С с уменьшенной до 42,5 т боевой массой, с точки зрения броневой защиты, был вынужденным шагом назад. По</w:t>
      </w:r>
      <w:r w:rsidRPr="008127F8">
        <w:rPr>
          <w:rFonts w:ascii="Times New Roman" w:hAnsi="Times New Roman"/>
          <w:color w:val="000000" w:themeColor="text1"/>
          <w:sz w:val="16"/>
          <w:szCs w:val="16"/>
        </w:rPr>
        <w:softHyphen/>
        <w:t>этому параллельно с модернизацией танка КВ-1 конструкторы решали целый комплекс технических задач по созданию нового танка с усилен</w:t>
      </w:r>
      <w:r w:rsidRPr="008127F8">
        <w:rPr>
          <w:rFonts w:ascii="Times New Roman" w:hAnsi="Times New Roman"/>
          <w:color w:val="000000" w:themeColor="text1"/>
          <w:sz w:val="16"/>
          <w:szCs w:val="16"/>
        </w:rPr>
        <w:softHyphen/>
        <w:t>ным бронированием (10703).</w:t>
      </w:r>
    </w:p>
    <w:p w14:paraId="424FDC0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B90736"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5 июня 1942 года по</w:t>
      </w:r>
      <w:r w:rsidRPr="008127F8">
        <w:rPr>
          <w:rFonts w:ascii="Times New Roman" w:cs="Times New Roman"/>
          <w:color w:val="000000" w:themeColor="text1"/>
          <w:spacing w:val="0"/>
        </w:rPr>
        <w:softHyphen/>
        <w:t>становления ГКО № 1878сс следующего со</w:t>
      </w:r>
      <w:r w:rsidRPr="008127F8">
        <w:rPr>
          <w:rFonts w:ascii="Times New Roman" w:cs="Times New Roman"/>
          <w:color w:val="000000" w:themeColor="text1"/>
          <w:spacing w:val="0"/>
        </w:rPr>
        <w:softHyphen/>
        <w:t>держания:</w:t>
      </w:r>
    </w:p>
    <w:p w14:paraId="3156501A"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«Опыт боевого применения КВ-1 в воин</w:t>
      </w:r>
      <w:r w:rsidRPr="008127F8">
        <w:rPr>
          <w:rFonts w:ascii="Times New Roman" w:cs="Times New Roman"/>
          <w:color w:val="000000" w:themeColor="text1"/>
          <w:spacing w:val="0"/>
        </w:rPr>
        <w:softHyphen/>
        <w:t>ских частях вскрыл следующие недостат</w:t>
      </w:r>
      <w:r w:rsidRPr="008127F8">
        <w:rPr>
          <w:rFonts w:ascii="Times New Roman" w:cs="Times New Roman"/>
          <w:color w:val="000000" w:themeColor="text1"/>
          <w:spacing w:val="0"/>
        </w:rPr>
        <w:softHyphen/>
        <w:t xml:space="preserve">ки </w:t>
      </w:r>
      <w:r w:rsidRPr="008127F8">
        <w:rPr>
          <w:rFonts w:ascii="Times New Roman" w:cs="Times New Roman"/>
          <w:color w:val="000000" w:themeColor="text1"/>
          <w:spacing w:val="0"/>
          <w:lang w:val="en-US"/>
        </w:rPr>
        <w:t>KB</w:t>
      </w:r>
      <w:r w:rsidRPr="008127F8">
        <w:rPr>
          <w:rFonts w:ascii="Times New Roman" w:cs="Times New Roman"/>
          <w:color w:val="000000" w:themeColor="text1"/>
          <w:spacing w:val="0"/>
        </w:rPr>
        <w:t>:</w:t>
      </w:r>
    </w:p>
    <w:p w14:paraId="574BB2BC" w14:textId="77777777" w:rsidR="007C5583" w:rsidRPr="008127F8" w:rsidRDefault="007C5583" w:rsidP="007C5583">
      <w:pPr>
        <w:pStyle w:val="27"/>
        <w:shd w:val="clear" w:color="auto" w:fill="auto"/>
        <w:tabs>
          <w:tab w:val="left" w:pos="394"/>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1) Большой вес танка (47,5 т), что сокраща</w:t>
      </w:r>
      <w:r w:rsidRPr="008127F8">
        <w:rPr>
          <w:rFonts w:ascii="Times New Roman" w:cs="Times New Roman"/>
          <w:color w:val="000000" w:themeColor="text1"/>
          <w:spacing w:val="0"/>
        </w:rPr>
        <w:softHyphen/>
        <w:t>ет его боевую оперативность и усложняет ус</w:t>
      </w:r>
      <w:r w:rsidRPr="008127F8">
        <w:rPr>
          <w:rFonts w:ascii="Times New Roman" w:cs="Times New Roman"/>
          <w:color w:val="000000" w:themeColor="text1"/>
          <w:spacing w:val="0"/>
        </w:rPr>
        <w:softHyphen/>
        <w:t>ловия боевой эксплуатации;</w:t>
      </w:r>
    </w:p>
    <w:p w14:paraId="0E14C678" w14:textId="77777777" w:rsidR="007C5583" w:rsidRPr="008127F8" w:rsidRDefault="007C5583" w:rsidP="007C5583">
      <w:pPr>
        <w:pStyle w:val="27"/>
        <w:shd w:val="clear" w:color="auto" w:fill="auto"/>
        <w:tabs>
          <w:tab w:val="left" w:pos="418"/>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2) Недостаточная надежность коробки пе</w:t>
      </w:r>
      <w:r w:rsidRPr="008127F8">
        <w:rPr>
          <w:rFonts w:ascii="Times New Roman" w:cs="Times New Roman"/>
          <w:color w:val="000000" w:themeColor="text1"/>
          <w:spacing w:val="0"/>
        </w:rPr>
        <w:softHyphen/>
        <w:t>ремены передач вследствие недостаточной прочности шестерен первой и замедленной передач и картера;</w:t>
      </w:r>
    </w:p>
    <w:p w14:paraId="4E0E99D9"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3) Недостаточно интенсивная работа си</w:t>
      </w:r>
      <w:r w:rsidRPr="008127F8">
        <w:rPr>
          <w:rFonts w:ascii="Times New Roman" w:cs="Times New Roman"/>
          <w:color w:val="000000" w:themeColor="text1"/>
          <w:spacing w:val="0"/>
        </w:rPr>
        <w:softHyphen/>
        <w:t>стемы охлаждения двигателя, вследствие чего приходится часто производить переключе ние скоростей с высших на низшие, что при</w:t>
      </w:r>
      <w:r w:rsidRPr="008127F8">
        <w:rPr>
          <w:rFonts w:ascii="Times New Roman" w:cs="Times New Roman"/>
          <w:color w:val="000000" w:themeColor="text1"/>
          <w:spacing w:val="0"/>
        </w:rPr>
        <w:softHyphen/>
        <w:t>водит к сокращению средних скоростей дви</w:t>
      </w:r>
      <w:r w:rsidRPr="008127F8">
        <w:rPr>
          <w:rFonts w:ascii="Times New Roman" w:cs="Times New Roman"/>
          <w:color w:val="000000" w:themeColor="text1"/>
          <w:spacing w:val="0"/>
        </w:rPr>
        <w:softHyphen/>
        <w:t>жения и ограничивает возможность полного использования мощности двигателя;</w:t>
      </w:r>
    </w:p>
    <w:p w14:paraId="2130F2C6"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4) Недостаточная круговая обзорность тан</w:t>
      </w:r>
      <w:r w:rsidRPr="008127F8">
        <w:rPr>
          <w:rFonts w:ascii="Times New Roman" w:cs="Times New Roman"/>
          <w:color w:val="000000" w:themeColor="text1"/>
          <w:spacing w:val="0"/>
        </w:rPr>
        <w:softHyphen/>
        <w:t>ка из-за неудобного расположения смотро</w:t>
      </w:r>
      <w:r w:rsidRPr="008127F8">
        <w:rPr>
          <w:rFonts w:ascii="Times New Roman" w:cs="Times New Roman"/>
          <w:color w:val="000000" w:themeColor="text1"/>
          <w:spacing w:val="0"/>
        </w:rPr>
        <w:softHyphen/>
        <w:t>вых приборов и отсутствия командирской башенки.</w:t>
      </w:r>
    </w:p>
    <w:p w14:paraId="6DDE60B5"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Кроме этих основных дефектов из ар</w:t>
      </w:r>
      <w:r w:rsidRPr="008127F8">
        <w:rPr>
          <w:rFonts w:ascii="Times New Roman" w:cs="Times New Roman"/>
          <w:color w:val="000000" w:themeColor="text1"/>
          <w:spacing w:val="0"/>
        </w:rPr>
        <w:softHyphen/>
        <w:t>мии поступают сообщения о дефектах сбор</w:t>
      </w:r>
      <w:r w:rsidRPr="008127F8">
        <w:rPr>
          <w:rFonts w:ascii="Times New Roman" w:cs="Times New Roman"/>
          <w:color w:val="000000" w:themeColor="text1"/>
          <w:spacing w:val="0"/>
        </w:rPr>
        <w:softHyphen/>
        <w:t>ки и изготовления отдельных узлов, в осо</w:t>
      </w:r>
      <w:r w:rsidRPr="008127F8">
        <w:rPr>
          <w:rFonts w:ascii="Times New Roman" w:cs="Times New Roman"/>
          <w:color w:val="000000" w:themeColor="text1"/>
          <w:spacing w:val="0"/>
        </w:rPr>
        <w:softHyphen/>
        <w:t>бенности дизеля танка, что свидетельствует о еще недостаточном контроле за изготов</w:t>
      </w:r>
      <w:r w:rsidRPr="008127F8">
        <w:rPr>
          <w:rFonts w:ascii="Times New Roman" w:cs="Times New Roman"/>
          <w:color w:val="000000" w:themeColor="text1"/>
          <w:spacing w:val="0"/>
        </w:rPr>
        <w:softHyphen/>
        <w:t>лением и сборкой танков и нарушении тех</w:t>
      </w:r>
      <w:r w:rsidRPr="008127F8">
        <w:rPr>
          <w:rFonts w:ascii="Times New Roman" w:cs="Times New Roman"/>
          <w:color w:val="000000" w:themeColor="text1"/>
          <w:spacing w:val="0"/>
        </w:rPr>
        <w:softHyphen/>
        <w:t>процесса».</w:t>
      </w:r>
    </w:p>
    <w:p w14:paraId="0730E43D"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Согласно этому постановлению Челябин</w:t>
      </w:r>
      <w:r w:rsidRPr="008127F8">
        <w:rPr>
          <w:rFonts w:ascii="Times New Roman" w:cs="Times New Roman"/>
          <w:color w:val="000000" w:themeColor="text1"/>
          <w:spacing w:val="0"/>
        </w:rPr>
        <w:softHyphen/>
        <w:t xml:space="preserve">ский Кировский завод должен был с I августа перейти на выпуск танков </w:t>
      </w:r>
      <w:r w:rsidRPr="008127F8">
        <w:rPr>
          <w:rFonts w:ascii="Times New Roman" w:cs="Times New Roman"/>
          <w:color w:val="000000" w:themeColor="text1"/>
          <w:spacing w:val="0"/>
          <w:lang w:val="en-US"/>
        </w:rPr>
        <w:t>KB</w:t>
      </w:r>
      <w:r w:rsidRPr="008127F8">
        <w:rPr>
          <w:rFonts w:ascii="Times New Roman" w:cs="Times New Roman"/>
          <w:color w:val="000000" w:themeColor="text1"/>
          <w:spacing w:val="0"/>
        </w:rPr>
        <w:t xml:space="preserve"> массой не бо</w:t>
      </w:r>
      <w:r w:rsidRPr="008127F8">
        <w:rPr>
          <w:rFonts w:ascii="Times New Roman" w:cs="Times New Roman"/>
          <w:color w:val="000000" w:themeColor="text1"/>
          <w:spacing w:val="0"/>
        </w:rPr>
        <w:softHyphen/>
        <w:t>лее 42,5 т (15226).</w:t>
      </w:r>
    </w:p>
    <w:p w14:paraId="79B09B99"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p>
    <w:p w14:paraId="074E399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появилось постановление ГКО № 1878сс «Об улучшении танков КВ-1» (РГАСПИ. Ф. 644. Оп. 1. Д. 38. Л. 260-263). Это постановление повторяло те мысли, которые И. В. Сталин изложил в тот день В. А. Малышеву. В конструкцию Т-34 и КВ должны были быть внесены изменения. КВ должен был иметь меньший вес, новую восьмискоростную коробку передач, новый радиатор и обязательно командирскую башенку. В данном случае имелся в виду уже существовавший проект танка КВ-1С, испытания опытного образца которого начались в мае 42 года. Согласно вышеупомянутому приказу, выпуск модифицированного танка должен был начаться 1 августа 1942 года. Реальные сроки оказались немножко иными. Танк был принят на вооружение только 20 августа 1942 года, а его производство началось уже в конце года. Т-34 тоже должен был быть модифицирован и оснащен новой 5-скоростной коробкой передач и командирской башенкой (специальное устройство на крыше танка для размещения приборов наблюдения, облегчающее командиру танка поиск целей и наблюдение за ситуацией на поле боя). Эти изменения требовалось внести в танк тоже в течение августа. Но в действительности эта задача была решена только в следующем, 1943 году, когда на заводе № 112 конструктором Ревзиным будет разработана технологически простая командирская башенка, которую в марте 1943 одобрил техсовет НКТП. Производство танков с такой башенкой на основном производителе Т-34 заводе № 183 началось только в июне-июле 1943. Пятискоростная коробка передач была внедрена в конце 1942 года, но довольно долго устанавливалась не на всех танках (12290).</w:t>
      </w:r>
    </w:p>
    <w:p w14:paraId="5F03224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645E265"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июня 1942 года Артком ГАУ КА. постановил, что работы над танковой версией М-42 будут проводиться ОКБ-4 при заводе №235 в Воткинске. Это была еще одна "шарашка", являвшаяся филиалом ОКБ-172. Логика ГАУ КА была в том, что с 1941 года в Воткинске стали выпускать 45-мм противотанковые пушки. Итогом такого решения стало то, что на полгода работы попросту встали колом. Сначала КБ завода №37 было не до того, а потом такого завода фактически не стало. В конце июля </w:t>
      </w:r>
      <w:r w:rsidRPr="008127F8">
        <w:rPr>
          <w:rFonts w:ascii="Times New Roman" w:hAnsi="Times New Roman"/>
          <w:color w:val="000000" w:themeColor="text1"/>
          <w:sz w:val="16"/>
          <w:szCs w:val="16"/>
        </w:rPr>
        <w:lastRenderedPageBreak/>
        <w:t>1942 года его переименовали в завод №50, влили в состав УЗТМ и начали там организацию выпуска Т-34. Ну а завод №235 попросту не имел надлежащих кадров. (20344).</w:t>
      </w:r>
    </w:p>
    <w:p w14:paraId="120AFACF"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3D0E1BDB" w14:textId="77777777" w:rsidR="00026A64" w:rsidRPr="008A2E5A" w:rsidRDefault="00026A64" w:rsidP="00026A6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июня 1942 г. Постановление ГКО СССР № 1879сс «Об улучшении танков Т-34»</w:t>
      </w:r>
    </w:p>
    <w:p w14:paraId="614F68F0" w14:textId="77777777" w:rsidR="00026A64" w:rsidRPr="008A2E5A" w:rsidRDefault="00026A64" w:rsidP="00026A6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3E79AADC" w14:textId="77777777" w:rsidR="00026A64" w:rsidRPr="008A2E5A" w:rsidRDefault="00026A64" w:rsidP="00026A6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обороны устанавливает, что танк Т-34, обладая достаточной для среднего танка толщиной брони (45 мм) и имея хорошее соотношение между мощностью мотора и весом танка (удельная мощность 18,2 л. с. на 1 т веса), требует в то же время улучшения механизмов передачи и улучшения обзорности танка.</w:t>
      </w:r>
    </w:p>
    <w:p w14:paraId="5C9C946F" w14:textId="77777777" w:rsidR="00026A64" w:rsidRPr="008A2E5A" w:rsidRDefault="00026A64" w:rsidP="00026A6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Поэтому важнейшей задачей Наркомтанкопрома и директоров танковых заводов, изготовляющих танки Т-34, является быстрое проведение работ по улучшению механизмов передачи и обзорности танков Т-34.</w:t>
      </w:r>
    </w:p>
    <w:p w14:paraId="7DF75058" w14:textId="77777777" w:rsidR="00026A64" w:rsidRPr="008A2E5A" w:rsidRDefault="00026A64" w:rsidP="00026A6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целях дальнейшего улучшения боевых качеств танков Т-34 Государственный комитет обороны постановляет:</w:t>
      </w:r>
    </w:p>
    <w:p w14:paraId="13D24100" w14:textId="77777777" w:rsidR="00026A64" w:rsidRPr="008A2E5A" w:rsidRDefault="00026A64" w:rsidP="00026A6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Учитывая, что 4-скоростная коробка перемены передач затрудняет управление танком и ограничивает возможности полного использования дизеля, а также, что конструкция коробки перемены передач с подвижными шестернями не исключает возможности скола шестерен при недостаточно умелом вождении танка, обязать Наркомтанкопром (т. Малышева), директора завода № 183 (т. Максарева) и главного конструктора завода (т. Морозова): а) к 15 июля с. г. изготовить на заводе № 183 три образца 5-скоростной коробки перемены передач с постоянным зацеплением и 5 комплектов новой конструкции ленивца для танка Т-34; б) к 10 августа с. г. совместно с ГАБТУ КА провести испытания двух танков Т-34 с 5-скоростными коробками перемены передач и новыми ленивцами и к 15 августа с. г. представить в ГОКО отчет об испытании и предложения о внедрении новых коробок и ленивцев на серийных танках Т-34; в) одновременно на заводе № 183 провести необходимую работу по обеспечению, начиная с 1 сентября, выпуска танков Т-34 с новыми 5-скоростными коробками перемены передач и новыми ленивцами.</w:t>
      </w:r>
    </w:p>
    <w:p w14:paraId="04144863" w14:textId="77777777" w:rsidR="00026A64" w:rsidRPr="008A2E5A" w:rsidRDefault="00026A64" w:rsidP="00026A6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В целях улучшения обзорности танка обязать Наркомтанкопром (т. Малышева) и директоров заводов № 183 т. Максарева, № 112 т. Рубинчика, СТЗ т. Задорожного, № 174 т. Кацнельсона, Уралмашзавода т. Музрукова, № 200 т. Сочивко и № 264 т. Кордунера обеспечить к 1 сентября с. г. выпуск танков Т-34 с командирскими башенками, расположенными на башне танка позади стреляющего, допустить при этом, чтобы наружные габариты командирской башенки выступали из пределов крыши башни танка.</w:t>
      </w:r>
    </w:p>
    <w:p w14:paraId="1929B7F6" w14:textId="77777777" w:rsidR="00026A64" w:rsidRPr="008A2E5A" w:rsidRDefault="00026A64" w:rsidP="00026A6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Учитывая, что в результате упущений при изготовлении брони на металлургических заводах и при изготовлении корпусов на танковых заводах на отдельных корпусах танков Т-34 имели место случаи появления трещин, обязать Наркомчермет (т. Тевосяна) строго соблюдать технические условия на броню, а Наркомтанкопром (т. Малышева) обеспечить на танковых и корпусных заводах строгое соблюдение технологии изготовления корпусов и башен. Обязать т. Малышева, Тевосяна и Федоренко в декадный срок пересмотреть технические условия на броню с тем, чтобы восстановить качество брони там, где это необходимо, до довоенного качества.</w:t>
      </w:r>
    </w:p>
    <w:p w14:paraId="70832278" w14:textId="77777777" w:rsidR="00026A64" w:rsidRPr="008A2E5A" w:rsidRDefault="00026A64" w:rsidP="00026A6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Обязать Наркомтанкопром (т. Малышева) и директоров заводов № 183 т. Максарева и СТЗ т. Задорожного к 10 июля с. г. провести сравнительные испытания улучшенных гусениц танков Т-34 конструкций заводов № 183 и СТЗ, отобрать лучшую конструкцию, утвердить технологию изготовления траков и внедрить единую конструкцию гусеницы на производство по всем заводам122.</w:t>
      </w:r>
    </w:p>
    <w:p w14:paraId="71CE4815" w14:textId="77777777" w:rsidR="00026A64" w:rsidRPr="008A2E5A" w:rsidRDefault="00026A64" w:rsidP="00026A6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Государственного комитета обороны И. Сталин</w:t>
      </w:r>
    </w:p>
    <w:p w14:paraId="11B03C73" w14:textId="77777777" w:rsidR="00026A64" w:rsidRPr="008A2E5A" w:rsidRDefault="00026A64" w:rsidP="00026A6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1. Д. 38. Л. 264-265. Подлинник (23766).</w:t>
      </w:r>
    </w:p>
    <w:p w14:paraId="310BD421" w14:textId="77777777" w:rsidR="00026A64" w:rsidRPr="008A2E5A" w:rsidRDefault="00026A64" w:rsidP="00026A64">
      <w:pPr>
        <w:spacing w:after="0" w:line="240" w:lineRule="auto"/>
        <w:jc w:val="both"/>
        <w:rPr>
          <w:rFonts w:ascii="Times New Roman" w:hAnsi="Times New Roman"/>
          <w:color w:val="0070C0"/>
          <w:sz w:val="16"/>
          <w:szCs w:val="16"/>
        </w:rPr>
      </w:pPr>
    </w:p>
    <w:p w14:paraId="4A44A0E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г. постановлением ГКО от был установлен план выпуска в июне и III квартале 1942 г. 1230 и 4650 танков Т-34 соответственно. Июньский план производства был выполнен только на 79% [15, оп.1, д. 38, л. 266-269]. Как не обеспечивший выполнение программы по танку Т-34 В.А. Малышев 1 июля 1942 г. был освобождён от обязанностей наркома танко</w:t>
      </w:r>
      <w:r w:rsidRPr="008127F8">
        <w:rPr>
          <w:rFonts w:ascii="Times New Roman" w:hAnsi="Times New Roman"/>
          <w:color w:val="000000" w:themeColor="text1"/>
          <w:sz w:val="16"/>
          <w:szCs w:val="16"/>
        </w:rPr>
        <w:softHyphen/>
        <w:t>вой промышленности [14, оп. 3, д. 1044, л. 67]. C освобождением от обязанностей директора Ки</w:t>
      </w:r>
      <w:r w:rsidRPr="008127F8">
        <w:rPr>
          <w:rFonts w:ascii="Times New Roman" w:hAnsi="Times New Roman"/>
          <w:color w:val="000000" w:themeColor="text1"/>
          <w:sz w:val="16"/>
          <w:szCs w:val="16"/>
        </w:rPr>
        <w:softHyphen/>
        <w:t>ровского завода его место занял И.М. Зальцман. 7 июня 1943 г. ГКО сделал вывод, что проведён</w:t>
      </w:r>
      <w:r w:rsidRPr="008127F8">
        <w:rPr>
          <w:rFonts w:ascii="Times New Roman" w:hAnsi="Times New Roman"/>
          <w:color w:val="000000" w:themeColor="text1"/>
          <w:sz w:val="16"/>
          <w:szCs w:val="16"/>
        </w:rPr>
        <w:softHyphen/>
        <w:t>ные Наркомтанкопромом и Главным артилле</w:t>
      </w:r>
      <w:r w:rsidRPr="008127F8">
        <w:rPr>
          <w:rFonts w:ascii="Times New Roman" w:hAnsi="Times New Roman"/>
          <w:color w:val="000000" w:themeColor="text1"/>
          <w:sz w:val="16"/>
          <w:szCs w:val="16"/>
        </w:rPr>
        <w:softHyphen/>
        <w:t>рийским управлением Красной армии (ГАУ КА) мероприятия по устранению недостатков СУ-76 не внесли серьёзных улучшений и не обеспечили удовлетворительного качества самоходных ар</w:t>
      </w:r>
      <w:r w:rsidRPr="008127F8">
        <w:rPr>
          <w:rFonts w:ascii="Times New Roman" w:hAnsi="Times New Roman"/>
          <w:color w:val="000000" w:themeColor="text1"/>
          <w:sz w:val="16"/>
          <w:szCs w:val="16"/>
        </w:rPr>
        <w:softHyphen/>
        <w:t>тиллерийских установок (САУ). Исходя из этого, было принято следующее решение: немедленно прекратить их выпуск на заводе № 38 НКТП; указать наркому Зальцману на допущенное им безответственное отношение к делу [15, оп.1, д. 125, л. 14-17] (21521).</w:t>
      </w:r>
    </w:p>
    <w:p w14:paraId="45DE9A1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7CB013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5 июня 1942 года во время учебных занятий по огнеметанию в 500-м отдельном огнеметном танковом батальоне выявились следующие дефекты АТО-41. смонтированной на четырех танках Т-34 завода № 112: не обеспечено безотказное зажигание струи, течь бензина через форсунки, негерметичность жидкостного трубопровода, пропуск огнесмеси через задвижку. Кроме того, на всех машинах насадка с бронировкой смещались с установленного угла от сотрясений на ходу и от нажатия на спусковой рычаг, из-за чего прицельное огнеметание сильно затруднялось. На одном танке после девяти выстрелов произошла самопроизвольная автоматическая перезарядка с выбросом горящих патронов внутрь машины (12217).</w:t>
      </w:r>
    </w:p>
    <w:p w14:paraId="11FB253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7B5E12B"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июня 1942 года были подготовлены тактико-технические требования на артиллерийский трактор корпусной артиллерии. Он предполагался полубронированным, с максимальной скоростью 35-35 км/ч, 3-местной кабиной и местами для 12 номеров расчета. Таскать он должен был орудийные системы массой 13 тонн. Вопрос в том, что хотелки требовалось синхронизировать с реальностью. Где они собирались получать такой тягач, уже отдельный разговор (23353).</w:t>
      </w:r>
    </w:p>
    <w:p w14:paraId="678BF4E7" w14:textId="77777777" w:rsidR="00460619" w:rsidRPr="008A2E5A" w:rsidRDefault="00460619" w:rsidP="00460619">
      <w:pPr>
        <w:spacing w:after="0" w:line="240" w:lineRule="auto"/>
        <w:jc w:val="both"/>
        <w:rPr>
          <w:rFonts w:ascii="Times New Roman" w:hAnsi="Times New Roman"/>
          <w:color w:val="0070C0"/>
          <w:sz w:val="16"/>
          <w:szCs w:val="16"/>
        </w:rPr>
      </w:pPr>
    </w:p>
    <w:p w14:paraId="6ACEFD8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г. было издано постановление ГКО № 1877 «О дополнительной эвакуации оборудования завода «Красная заря» Наркомэлектропрома». В развитие этого документа Военный совет Ленинградского фронта 16 июня 1942 г. издал свое постановление «Об эвакуации из Ленинграда завода «Красная заря» НКЭП». Эвакуацию предполагалось осуществить с 17 июня по 5 июля 1942 г. Значительная часть оборудование, инструментальное хозяйство и большой отряд работников предприятия был вывезен в Уфу на завод № 697, который благодаря этой помощи во второй половине 1942 г. смог наладить выпуск военно-полевых телефонных аппаратов УНА-И-31.</w:t>
      </w:r>
    </w:p>
    <w:p w14:paraId="21E1026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Также в Уфу, в Государственный союзный производственный экспериментальный институт (ГСПЭИ) № 56, с «Красной зари» были переброшены специалисты, занимавшиеся до войны разработкой и производством засекречивающей аппаратуры по заказам Отдела правительственной связи (ОПС) НКВД. Наконец, ленинградские специалисты пополнили ряды сотрудников московского завода № 418.</w:t>
      </w:r>
    </w:p>
    <w:p w14:paraId="5025111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Фактически с различной интенсивностью эвакуация электрослаботочных предприятий Ленинграда продолжалась вплоть до выхода 12 ноября 1942 г. постановления ГКО «О прекращении эвакуации оборудования из г. Ленинграда» (18297).</w:t>
      </w:r>
    </w:p>
    <w:p w14:paraId="390D6EA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A181D09"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июня 1942 г. Постановление ГКО СССР № 1871сс «Об увеличении производства алюминия и магния»</w:t>
      </w:r>
    </w:p>
    <w:p w14:paraId="5A1E91FF"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61D3D886"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целях обеспечения производства самолетов, танков, вооружения и боеприпасов алюминием и магнием Государственный комитет обороны постановляет:</w:t>
      </w:r>
    </w:p>
    <w:p w14:paraId="1726744F"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Обязать Наркомцветмет (т. Ломако) и Наркомавиапром (т. Шахурина) обеспечить производство алюминия в 1942 г. в следующих количествах:</w:t>
      </w:r>
    </w:p>
    <w:p w14:paraId="3948B631"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первичного алюминия (включая силумин):</w:t>
      </w:r>
    </w:p>
    <w:p w14:paraId="3582582F"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Уральский  алюминиевый завод, в т</w:t>
      </w:r>
      <w:r w:rsidRPr="008A2E5A">
        <w:rPr>
          <w:rFonts w:ascii="Times New Roman" w:hAnsi="Times New Roman"/>
          <w:color w:val="0070C0"/>
          <w:sz w:val="16"/>
          <w:szCs w:val="16"/>
        </w:rPr>
        <w:tab/>
        <w:t>Сталинский алюминиевый завод, в т</w:t>
      </w:r>
    </w:p>
    <w:p w14:paraId="647DC981"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w:t>
      </w:r>
      <w:r w:rsidRPr="008A2E5A">
        <w:rPr>
          <w:rFonts w:ascii="Times New Roman" w:hAnsi="Times New Roman"/>
          <w:color w:val="0070C0"/>
          <w:sz w:val="16"/>
          <w:szCs w:val="16"/>
        </w:rPr>
        <w:tab/>
        <w:t>4300</w:t>
      </w:r>
      <w:r w:rsidRPr="008A2E5A">
        <w:rPr>
          <w:rFonts w:ascii="Times New Roman" w:hAnsi="Times New Roman"/>
          <w:color w:val="0070C0"/>
          <w:sz w:val="16"/>
          <w:szCs w:val="16"/>
        </w:rPr>
        <w:tab/>
      </w:r>
    </w:p>
    <w:p w14:paraId="48A8502D"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w:t>
      </w:r>
      <w:r w:rsidRPr="008A2E5A">
        <w:rPr>
          <w:rFonts w:ascii="Times New Roman" w:hAnsi="Times New Roman"/>
          <w:color w:val="0070C0"/>
          <w:sz w:val="16"/>
          <w:szCs w:val="16"/>
        </w:rPr>
        <w:tab/>
        <w:t>4600</w:t>
      </w:r>
      <w:r w:rsidRPr="008A2E5A">
        <w:rPr>
          <w:rFonts w:ascii="Times New Roman" w:hAnsi="Times New Roman"/>
          <w:color w:val="0070C0"/>
          <w:sz w:val="16"/>
          <w:szCs w:val="16"/>
        </w:rPr>
        <w:tab/>
        <w:t>-</w:t>
      </w:r>
    </w:p>
    <w:p w14:paraId="7C18A0EA"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w:t>
      </w:r>
      <w:r w:rsidRPr="008A2E5A">
        <w:rPr>
          <w:rFonts w:ascii="Times New Roman" w:hAnsi="Times New Roman"/>
          <w:color w:val="0070C0"/>
          <w:sz w:val="16"/>
          <w:szCs w:val="16"/>
        </w:rPr>
        <w:tab/>
        <w:t>4750</w:t>
      </w:r>
      <w:r w:rsidRPr="008A2E5A">
        <w:rPr>
          <w:rFonts w:ascii="Times New Roman" w:hAnsi="Times New Roman"/>
          <w:color w:val="0070C0"/>
          <w:sz w:val="16"/>
          <w:szCs w:val="16"/>
        </w:rPr>
        <w:tab/>
        <w:t>Щ</w:t>
      </w:r>
    </w:p>
    <w:p w14:paraId="57E237A7"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сентябре</w:t>
      </w:r>
      <w:r w:rsidRPr="008A2E5A">
        <w:rPr>
          <w:rFonts w:ascii="Times New Roman" w:hAnsi="Times New Roman"/>
          <w:color w:val="0070C0"/>
          <w:sz w:val="16"/>
          <w:szCs w:val="16"/>
        </w:rPr>
        <w:tab/>
        <w:t>5250</w:t>
      </w:r>
      <w:r w:rsidRPr="008A2E5A">
        <w:rPr>
          <w:rFonts w:ascii="Times New Roman" w:hAnsi="Times New Roman"/>
          <w:color w:val="0070C0"/>
          <w:sz w:val="16"/>
          <w:szCs w:val="16"/>
        </w:rPr>
        <w:tab/>
        <w:t>шв</w:t>
      </w:r>
    </w:p>
    <w:p w14:paraId="1C7DEB3F"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октябре</w:t>
      </w:r>
      <w:r w:rsidRPr="008A2E5A">
        <w:rPr>
          <w:rFonts w:ascii="Times New Roman" w:hAnsi="Times New Roman"/>
          <w:color w:val="0070C0"/>
          <w:sz w:val="16"/>
          <w:szCs w:val="16"/>
        </w:rPr>
        <w:tab/>
        <w:t>5900</w:t>
      </w:r>
      <w:r w:rsidRPr="008A2E5A">
        <w:rPr>
          <w:rFonts w:ascii="Times New Roman" w:hAnsi="Times New Roman"/>
          <w:color w:val="0070C0"/>
          <w:sz w:val="16"/>
          <w:szCs w:val="16"/>
        </w:rPr>
        <w:tab/>
        <w:t>. - \</w:t>
      </w:r>
    </w:p>
    <w:p w14:paraId="25B680BE"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ноябре</w:t>
      </w:r>
      <w:r w:rsidRPr="008A2E5A">
        <w:rPr>
          <w:rFonts w:ascii="Times New Roman" w:hAnsi="Times New Roman"/>
          <w:color w:val="0070C0"/>
          <w:sz w:val="16"/>
          <w:szCs w:val="16"/>
        </w:rPr>
        <w:tab/>
        <w:t>6700</w:t>
      </w:r>
      <w:r w:rsidRPr="008A2E5A">
        <w:rPr>
          <w:rFonts w:ascii="Times New Roman" w:hAnsi="Times New Roman"/>
          <w:color w:val="0070C0"/>
          <w:sz w:val="16"/>
          <w:szCs w:val="16"/>
        </w:rPr>
        <w:tab/>
        <w:t>500</w:t>
      </w:r>
    </w:p>
    <w:p w14:paraId="6575BCFB"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декабре</w:t>
      </w:r>
      <w:r w:rsidRPr="008A2E5A">
        <w:rPr>
          <w:rFonts w:ascii="Times New Roman" w:hAnsi="Times New Roman"/>
          <w:color w:val="0070C0"/>
          <w:sz w:val="16"/>
          <w:szCs w:val="16"/>
        </w:rPr>
        <w:tab/>
        <w:t>7200</w:t>
      </w:r>
      <w:r w:rsidRPr="008A2E5A">
        <w:rPr>
          <w:rFonts w:ascii="Times New Roman" w:hAnsi="Times New Roman"/>
          <w:color w:val="0070C0"/>
          <w:sz w:val="16"/>
          <w:szCs w:val="16"/>
        </w:rPr>
        <w:tab/>
        <w:t>1200</w:t>
      </w:r>
    </w:p>
    <w:p w14:paraId="70DFDFB8"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вторичного алюминия:</w:t>
      </w:r>
    </w:p>
    <w:p w14:paraId="57967D52"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Наркомцветмет, в т</w:t>
      </w:r>
      <w:r w:rsidRPr="008A2E5A">
        <w:rPr>
          <w:rFonts w:ascii="Times New Roman" w:hAnsi="Times New Roman"/>
          <w:color w:val="0070C0"/>
          <w:sz w:val="16"/>
          <w:szCs w:val="16"/>
        </w:rPr>
        <w:tab/>
        <w:t>Наркомавиапром, в т</w:t>
      </w:r>
    </w:p>
    <w:p w14:paraId="435286C9"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w:t>
      </w:r>
      <w:r w:rsidRPr="008A2E5A">
        <w:rPr>
          <w:rFonts w:ascii="Times New Roman" w:hAnsi="Times New Roman"/>
          <w:color w:val="0070C0"/>
          <w:sz w:val="16"/>
          <w:szCs w:val="16"/>
        </w:rPr>
        <w:tab/>
        <w:t>1200</w:t>
      </w:r>
      <w:r w:rsidRPr="008A2E5A">
        <w:rPr>
          <w:rFonts w:ascii="Times New Roman" w:hAnsi="Times New Roman"/>
          <w:color w:val="0070C0"/>
          <w:sz w:val="16"/>
          <w:szCs w:val="16"/>
        </w:rPr>
        <w:tab/>
        <w:t>1000</w:t>
      </w:r>
    </w:p>
    <w:p w14:paraId="5009983F"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w:t>
      </w:r>
      <w:r w:rsidRPr="008A2E5A">
        <w:rPr>
          <w:rFonts w:ascii="Times New Roman" w:hAnsi="Times New Roman"/>
          <w:color w:val="0070C0"/>
          <w:sz w:val="16"/>
          <w:szCs w:val="16"/>
        </w:rPr>
        <w:tab/>
        <w:t>1300</w:t>
      </w:r>
      <w:r w:rsidRPr="008A2E5A">
        <w:rPr>
          <w:rFonts w:ascii="Times New Roman" w:hAnsi="Times New Roman"/>
          <w:color w:val="0070C0"/>
          <w:sz w:val="16"/>
          <w:szCs w:val="16"/>
        </w:rPr>
        <w:tab/>
        <w:t>1100</w:t>
      </w:r>
    </w:p>
    <w:p w14:paraId="1B2290D1"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w:t>
      </w:r>
      <w:r w:rsidRPr="008A2E5A">
        <w:rPr>
          <w:rFonts w:ascii="Times New Roman" w:hAnsi="Times New Roman"/>
          <w:color w:val="0070C0"/>
          <w:sz w:val="16"/>
          <w:szCs w:val="16"/>
        </w:rPr>
        <w:tab/>
        <w:t>1400</w:t>
      </w:r>
      <w:r w:rsidRPr="008A2E5A">
        <w:rPr>
          <w:rFonts w:ascii="Times New Roman" w:hAnsi="Times New Roman"/>
          <w:color w:val="0070C0"/>
          <w:sz w:val="16"/>
          <w:szCs w:val="16"/>
        </w:rPr>
        <w:tab/>
        <w:t>1200</w:t>
      </w:r>
    </w:p>
    <w:p w14:paraId="181A52EF"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сентябре</w:t>
      </w:r>
      <w:r w:rsidRPr="008A2E5A">
        <w:rPr>
          <w:rFonts w:ascii="Times New Roman" w:hAnsi="Times New Roman"/>
          <w:color w:val="0070C0"/>
          <w:sz w:val="16"/>
          <w:szCs w:val="16"/>
        </w:rPr>
        <w:tab/>
        <w:t>1500</w:t>
      </w:r>
      <w:r w:rsidRPr="008A2E5A">
        <w:rPr>
          <w:rFonts w:ascii="Times New Roman" w:hAnsi="Times New Roman"/>
          <w:color w:val="0070C0"/>
          <w:sz w:val="16"/>
          <w:szCs w:val="16"/>
        </w:rPr>
        <w:tab/>
        <w:t>1300</w:t>
      </w:r>
    </w:p>
    <w:p w14:paraId="44EC465C"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октябре</w:t>
      </w:r>
      <w:r w:rsidRPr="008A2E5A">
        <w:rPr>
          <w:rFonts w:ascii="Times New Roman" w:hAnsi="Times New Roman"/>
          <w:color w:val="0070C0"/>
          <w:sz w:val="16"/>
          <w:szCs w:val="16"/>
        </w:rPr>
        <w:tab/>
        <w:t>1600</w:t>
      </w:r>
      <w:r w:rsidRPr="008A2E5A">
        <w:rPr>
          <w:rFonts w:ascii="Times New Roman" w:hAnsi="Times New Roman"/>
          <w:color w:val="0070C0"/>
          <w:sz w:val="16"/>
          <w:szCs w:val="16"/>
        </w:rPr>
        <w:tab/>
        <w:t>1400</w:t>
      </w:r>
    </w:p>
    <w:p w14:paraId="3753FF5B"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ноябре</w:t>
      </w:r>
      <w:r w:rsidRPr="008A2E5A">
        <w:rPr>
          <w:rFonts w:ascii="Times New Roman" w:hAnsi="Times New Roman"/>
          <w:color w:val="0070C0"/>
          <w:sz w:val="16"/>
          <w:szCs w:val="16"/>
        </w:rPr>
        <w:tab/>
        <w:t>1700</w:t>
      </w:r>
      <w:r w:rsidRPr="008A2E5A">
        <w:rPr>
          <w:rFonts w:ascii="Times New Roman" w:hAnsi="Times New Roman"/>
          <w:color w:val="0070C0"/>
          <w:sz w:val="16"/>
          <w:szCs w:val="16"/>
        </w:rPr>
        <w:tab/>
        <w:t>1500</w:t>
      </w:r>
    </w:p>
    <w:p w14:paraId="2C7807EC"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декабре</w:t>
      </w:r>
      <w:r w:rsidRPr="008A2E5A">
        <w:rPr>
          <w:rFonts w:ascii="Times New Roman" w:hAnsi="Times New Roman"/>
          <w:color w:val="0070C0"/>
          <w:sz w:val="16"/>
          <w:szCs w:val="16"/>
        </w:rPr>
        <w:tab/>
        <w:t>1800</w:t>
      </w:r>
      <w:r w:rsidRPr="008A2E5A">
        <w:rPr>
          <w:rFonts w:ascii="Times New Roman" w:hAnsi="Times New Roman"/>
          <w:color w:val="0070C0"/>
          <w:sz w:val="16"/>
          <w:szCs w:val="16"/>
        </w:rPr>
        <w:tab/>
        <w:t>1600</w:t>
      </w:r>
    </w:p>
    <w:p w14:paraId="13D4B59D"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всего выдать первичного и вторичного алюминия за период июнь-декабрь 1942 г. 60 тыс. т, в том числе: в июне — 6,5 тыс. т, в июле — 7 тыс. т, в августе — 7,35 тыс. т, в сентябре — 8,05 тыс. т, в октябре — 8,9 тыс. т, в ноябре — 10,4 тыс. т, в декабре — 11,8 тыс. т.</w:t>
      </w:r>
    </w:p>
    <w:p w14:paraId="62480972"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Обязать Наркомцветмет (т. Ломако) и Наркомавиапром (т. Шахурина) произвести за период июнь-декабрь 1942 г. 3485 т магния, в том числе:</w:t>
      </w:r>
    </w:p>
    <w:p w14:paraId="009F4A36"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Соликамский магниевый завод, в т</w:t>
      </w:r>
      <w:r w:rsidRPr="008A2E5A">
        <w:rPr>
          <w:rFonts w:ascii="Times New Roman" w:hAnsi="Times New Roman"/>
          <w:color w:val="0070C0"/>
          <w:sz w:val="16"/>
          <w:szCs w:val="16"/>
        </w:rPr>
        <w:tab/>
        <w:t>Березниковский магниевый завод, в т</w:t>
      </w:r>
      <w:r w:rsidRPr="008A2E5A">
        <w:rPr>
          <w:rFonts w:ascii="Times New Roman" w:hAnsi="Times New Roman"/>
          <w:color w:val="0070C0"/>
          <w:sz w:val="16"/>
          <w:szCs w:val="16"/>
        </w:rPr>
        <w:tab/>
        <w:t>Вторичного магния в магниевых сплавах на предприятиях НКАвиапрома, в т</w:t>
      </w:r>
    </w:p>
    <w:p w14:paraId="79EEAD64"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w:t>
      </w:r>
      <w:r w:rsidRPr="008A2E5A">
        <w:rPr>
          <w:rFonts w:ascii="Times New Roman" w:hAnsi="Times New Roman"/>
          <w:color w:val="0070C0"/>
          <w:sz w:val="16"/>
          <w:szCs w:val="16"/>
        </w:rPr>
        <w:tab/>
        <w:t>330</w:t>
      </w:r>
      <w:r w:rsidRPr="008A2E5A">
        <w:rPr>
          <w:rFonts w:ascii="Times New Roman" w:hAnsi="Times New Roman"/>
          <w:color w:val="0070C0"/>
          <w:sz w:val="16"/>
          <w:szCs w:val="16"/>
        </w:rPr>
        <w:tab/>
      </w:r>
      <w:r w:rsidRPr="008A2E5A">
        <w:rPr>
          <w:rFonts w:ascii="Times New Roman" w:hAnsi="Times New Roman"/>
          <w:color w:val="0070C0"/>
          <w:sz w:val="16"/>
          <w:szCs w:val="16"/>
        </w:rPr>
        <w:tab/>
        <w:t>30</w:t>
      </w:r>
    </w:p>
    <w:p w14:paraId="547EC2E0"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w:t>
      </w:r>
      <w:r w:rsidRPr="008A2E5A">
        <w:rPr>
          <w:rFonts w:ascii="Times New Roman" w:hAnsi="Times New Roman"/>
          <w:color w:val="0070C0"/>
          <w:sz w:val="16"/>
          <w:szCs w:val="16"/>
        </w:rPr>
        <w:tab/>
        <w:t>340</w:t>
      </w:r>
      <w:r w:rsidRPr="008A2E5A">
        <w:rPr>
          <w:rFonts w:ascii="Times New Roman" w:hAnsi="Times New Roman"/>
          <w:color w:val="0070C0"/>
          <w:sz w:val="16"/>
          <w:szCs w:val="16"/>
        </w:rPr>
        <w:tab/>
      </w:r>
      <w:r w:rsidRPr="008A2E5A">
        <w:rPr>
          <w:rFonts w:ascii="Times New Roman" w:hAnsi="Times New Roman"/>
          <w:color w:val="0070C0"/>
          <w:sz w:val="16"/>
          <w:szCs w:val="16"/>
        </w:rPr>
        <w:tab/>
        <w:t>35</w:t>
      </w:r>
    </w:p>
    <w:p w14:paraId="1E06DFD2"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w:t>
      </w:r>
      <w:r w:rsidRPr="008A2E5A">
        <w:rPr>
          <w:rFonts w:ascii="Times New Roman" w:hAnsi="Times New Roman"/>
          <w:color w:val="0070C0"/>
          <w:sz w:val="16"/>
          <w:szCs w:val="16"/>
        </w:rPr>
        <w:tab/>
        <w:t>375</w:t>
      </w:r>
      <w:r w:rsidRPr="008A2E5A">
        <w:rPr>
          <w:rFonts w:ascii="Times New Roman" w:hAnsi="Times New Roman"/>
          <w:color w:val="0070C0"/>
          <w:sz w:val="16"/>
          <w:szCs w:val="16"/>
        </w:rPr>
        <w:tab/>
        <w:t>,-".</w:t>
      </w:r>
      <w:r w:rsidRPr="008A2E5A">
        <w:rPr>
          <w:rFonts w:ascii="Times New Roman" w:hAnsi="Times New Roman"/>
          <w:color w:val="0070C0"/>
          <w:sz w:val="16"/>
          <w:szCs w:val="16"/>
        </w:rPr>
        <w:tab/>
        <w:t>40</w:t>
      </w:r>
    </w:p>
    <w:p w14:paraId="08C549F8"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сентябре</w:t>
      </w:r>
      <w:r w:rsidRPr="008A2E5A">
        <w:rPr>
          <w:rFonts w:ascii="Times New Roman" w:hAnsi="Times New Roman"/>
          <w:color w:val="0070C0"/>
          <w:sz w:val="16"/>
          <w:szCs w:val="16"/>
        </w:rPr>
        <w:tab/>
        <w:t>400</w:t>
      </w:r>
      <w:r w:rsidRPr="008A2E5A">
        <w:rPr>
          <w:rFonts w:ascii="Times New Roman" w:hAnsi="Times New Roman"/>
          <w:color w:val="0070C0"/>
          <w:sz w:val="16"/>
          <w:szCs w:val="16"/>
        </w:rPr>
        <w:tab/>
      </w:r>
      <w:r w:rsidRPr="008A2E5A">
        <w:rPr>
          <w:rFonts w:ascii="Times New Roman" w:hAnsi="Times New Roman"/>
          <w:color w:val="0070C0"/>
          <w:sz w:val="16"/>
          <w:szCs w:val="16"/>
        </w:rPr>
        <w:tab/>
        <w:t>45</w:t>
      </w:r>
    </w:p>
    <w:p w14:paraId="13B357EF"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октябре</w:t>
      </w:r>
      <w:r w:rsidRPr="008A2E5A">
        <w:rPr>
          <w:rFonts w:ascii="Times New Roman" w:hAnsi="Times New Roman"/>
          <w:color w:val="0070C0"/>
          <w:sz w:val="16"/>
          <w:szCs w:val="16"/>
        </w:rPr>
        <w:tab/>
        <w:t>420</w:t>
      </w:r>
      <w:r w:rsidRPr="008A2E5A">
        <w:rPr>
          <w:rFonts w:ascii="Times New Roman" w:hAnsi="Times New Roman"/>
          <w:color w:val="0070C0"/>
          <w:sz w:val="16"/>
          <w:szCs w:val="16"/>
        </w:rPr>
        <w:tab/>
      </w:r>
      <w:r w:rsidRPr="008A2E5A">
        <w:rPr>
          <w:rFonts w:ascii="Times New Roman" w:hAnsi="Times New Roman"/>
          <w:color w:val="0070C0"/>
          <w:sz w:val="16"/>
          <w:szCs w:val="16"/>
        </w:rPr>
        <w:tab/>
        <w:t>55</w:t>
      </w:r>
    </w:p>
    <w:p w14:paraId="62411F13"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ноябре</w:t>
      </w:r>
      <w:r w:rsidRPr="008A2E5A">
        <w:rPr>
          <w:rFonts w:ascii="Times New Roman" w:hAnsi="Times New Roman"/>
          <w:color w:val="0070C0"/>
          <w:sz w:val="16"/>
          <w:szCs w:val="16"/>
        </w:rPr>
        <w:tab/>
        <w:t>500</w:t>
      </w:r>
      <w:r w:rsidRPr="008A2E5A">
        <w:rPr>
          <w:rFonts w:ascii="Times New Roman" w:hAnsi="Times New Roman"/>
          <w:color w:val="0070C0"/>
          <w:sz w:val="16"/>
          <w:szCs w:val="16"/>
        </w:rPr>
        <w:tab/>
      </w:r>
      <w:r w:rsidRPr="008A2E5A">
        <w:rPr>
          <w:rFonts w:ascii="Times New Roman" w:hAnsi="Times New Roman"/>
          <w:color w:val="0070C0"/>
          <w:sz w:val="16"/>
          <w:szCs w:val="16"/>
        </w:rPr>
        <w:tab/>
        <w:t>65</w:t>
      </w:r>
    </w:p>
    <w:p w14:paraId="7751FF08"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декабре</w:t>
      </w:r>
      <w:r w:rsidRPr="008A2E5A">
        <w:rPr>
          <w:rFonts w:ascii="Times New Roman" w:hAnsi="Times New Roman"/>
          <w:color w:val="0070C0"/>
          <w:sz w:val="16"/>
          <w:szCs w:val="16"/>
        </w:rPr>
        <w:tab/>
        <w:t>600</w:t>
      </w:r>
      <w:r w:rsidRPr="008A2E5A">
        <w:rPr>
          <w:rFonts w:ascii="Times New Roman" w:hAnsi="Times New Roman"/>
          <w:color w:val="0070C0"/>
          <w:sz w:val="16"/>
          <w:szCs w:val="16"/>
        </w:rPr>
        <w:tab/>
        <w:t>175</w:t>
      </w:r>
      <w:r w:rsidRPr="008A2E5A">
        <w:rPr>
          <w:rFonts w:ascii="Times New Roman" w:hAnsi="Times New Roman"/>
          <w:color w:val="0070C0"/>
          <w:sz w:val="16"/>
          <w:szCs w:val="16"/>
        </w:rPr>
        <w:tab/>
        <w:t>75</w:t>
      </w:r>
    </w:p>
    <w:p w14:paraId="1FB1BBA9"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Отметить, что в результате недооценки со стороны Наркомата электростанций (т. Жимерина), Наркомата химической промышленности (т. Первухина) и Главнефтесбыта при СНК СССР (т. Широкова) обеспечения бесперебойной работы алюминиевого и магниевого заводов в военное время имело место резкое ограничение отпуска электроэнергии, пара и невыполнение решений Государственного комитета обороны и Совнаркома СССР о поставках химикатов, топлива и материалов.</w:t>
      </w:r>
    </w:p>
    <w:p w14:paraId="00790FA6"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Считать абсолютно недопустимым нарушение нормального снабжения предприятий алюминиево-магниевой промышленности и вменить всем наркоматам-поставщикам безусловно выполнять все обязательства по отпуску предприятиям Главалюминия энергии, пара, химикатов, топлива и материалов.</w:t>
      </w:r>
    </w:p>
    <w:p w14:paraId="3F5A1132"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Обязать Наркомэлектростанций (т. Жимерина): а) запретить применять даже кратковременные ограничения отпуска электроэнергии и пара Уральскому алюминиевому и Соликамскому магниевому заводам против установленного лимита; б) обеспечить бесперебойный отпуск алюминиевому и магниевому заводам электроэнергии частотой 50 периодов в секунду и пара для технологических нужд давлением 7 и 15 атм.; в) закрепить за Уральским алюминиевым заводом первоочередно перед всеми потребителями энергию, вырабатываемую Красногорской ТЭЦ.</w:t>
      </w:r>
    </w:p>
    <w:p w14:paraId="7D528659"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Утвердить сроки ввода в действие пусковых объектов и цехов по отдельным заводам:</w:t>
      </w:r>
    </w:p>
    <w:p w14:paraId="61F9122B"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Уральский алюминиевый завод: 2-й глиноземный цех — 1-я нитка — 36 тыс. т глинозема — 15 августа 1942 г.; 2-й глиноземный цех — 2-я нитка — 36 тыс. т глинозема — 15 сентября 1942 г.; 2-й глиноземный цех — 3-я нитка — 36 тыс. т глинозема — октябрь 1942 г.; 7-й корпус электролиза алюминия — 10,5 тыс. т алюминия — 15 сентября 1942 г.; 8-й корпус электролиза алюминия — 10,5 тыс. т алюминия — октябрь 1942 г.; ртутно-преобразовательная подстанция IV серии — 15 сентября 1942 г.;</w:t>
      </w:r>
    </w:p>
    <w:p w14:paraId="2B3AF5FB"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Сталинский алюминиевый завод: 1 серия электролиза алюминия — 8 тыс. т алюминия — октябрь 1942 г.; 2 серия электролиза алюминия — 8 тыс. т алюминия — ноябрь 1942 г.;</w:t>
      </w:r>
    </w:p>
    <w:p w14:paraId="0FFB696A"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Соликамский магниевый завод: интенсификация двух действующих серий ванн — 1 тыс. т магния — сентябрь 1942 г.; 3 серия электролиза магния — 2,4 тыс. т магния — ноябрь 1942 г.;</w:t>
      </w:r>
    </w:p>
    <w:p w14:paraId="3B07C912"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Березниковский магниевый завод: 1 серия электролиза магния (1-я очередь) —</w:t>
      </w:r>
    </w:p>
    <w:p w14:paraId="34B98EE8"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 тыс. т магния — ноябрь 1942 г.</w:t>
      </w:r>
    </w:p>
    <w:p w14:paraId="4DAC2C2D"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Утвердить следующие мероприятия по увеличению производства алюминия и магния: а) по увеличению выпуска алюминия и глинозема на Уральском алюминиевом заводе (приложение № I1 ); б) по обеспечению строительства Сталинского алюминиевого завода (приложение № 2); в) по обеспечению строительства Богословского алюминиевого завода (приложение № 3); г) по расширению рудной базы алюминиевой промышленности (приложение № 4); д) по увеличению производства магния на Соликамском магниевом заводе (приложение № 5); е) по обеспечению строительства Березниковского магниевого завода (приложение № 6); ж) по обеспечению алюминиевых и магниевых заводов электроэнергией (приложение № 7); з) по обеспечению алюминиевых и магниевых строек и заводов оборудованием (приложение № 8).</w:t>
      </w:r>
    </w:p>
    <w:p w14:paraId="6127A8A4"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Поручить т. Сабурову, Шахурину и Ломако представить в ГОКО в 10-дневный срок предложения об увеличении сбора и выплавки вторичного алюминия и магния согласно программе, установленной в п. 1 и 2 настоящего постановления.</w:t>
      </w:r>
    </w:p>
    <w:p w14:paraId="497D83CE"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Обязать народного комиссара химической промышленности (т. Первухина) под его личную ответственность: а) при всех условиях обеспечить поставку Уральскому алюминиевому заводу каустической соды:-в июне — 4 тыс. т, в III квартале — 16 тыс. т и в IV квартале 1942 г. — 12 тыс. т; б) представить в 10-дневный срок в ГОКО отчет о мерах, принимаемых Наркомхимпромом для удовлетворения потребности в соде Уральского алюминиевого завода и вводимого в строй в 1942 г. Богословского алюминиевого завода.</w:t>
      </w:r>
    </w:p>
    <w:p w14:paraId="6F3642B6"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Обязать Госплан СССР (т. Сабурова), Наркомцветмет (т. Ломако), Наркомхимпром (т. Первухина), Наркомуголь (т. Вахрушева), Главнефтесбыт при СНК СССР (т. Широкова) довести к 1 октября с. г. неснижаемые запасы: а) на Уральском алюминиевом заводе: бокситов — на 45 дней, каустической соды — на 25 дней, каменного угля и мазута — на 30 дней, нефтяного и пекового кокса и фильтровальной ткани — на 60 дней; б) на Североуральских бокситовых рудниках: кузнецкого угля — на 30 дней и богословского — на 15 дней.</w:t>
      </w:r>
    </w:p>
    <w:p w14:paraId="0FAA27E5"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Установить, что поставки топлива и материалов для предприятий и строек алюминиево-магниевой промышленности производятся наравне с поставками для предприятий и строек черной металлургии в порядке, установленном постановлениями Государственного комитета обороны от 21 февраля 1942 г. (для действующих предприятий) и 13 апреля 1942 г. (для строек).</w:t>
      </w:r>
    </w:p>
    <w:p w14:paraId="0DC945B3"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Запретить кому бы то ни было производить сокращение количеств и изменения сроков поставки материалов и оборудования стройкам и действующим предприятиям алюминиевой и магниевой промышленности, установленных настоящим постановлением.</w:t>
      </w:r>
    </w:p>
    <w:p w14:paraId="7D839EC5"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Обязать Наркомэлектропром (т. Кабанова) отремонтировать 14 мотор-генераторов, эвакуированных с днепровских алюминиевого и магниевого заводов и Волховского алюминиевого завода, в том числе: для Сталинского алюминиевого завода — 2 шт. к 1 сентября 1942 г., 2 шт. к 15 октября и 1 шт. к 1 января 1943 г.; для Березниковского магниевого завода — 2 шт. к 1 сентября и 2 шт. к 1 декабря; для Богословского алюминиевого завода — 2 шт. к 1 октября и 2 шт. к 1 декабря и для Соликамского маг-ниевого завода — 1 шт. к 1 августа, обеспечив осуществление указанного ремонта всеми необходимыми запчастями, изоляционными и другими материалами.</w:t>
      </w:r>
    </w:p>
    <w:p w14:paraId="3D6ED4FE"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Обязать Наркомстройматериалов (т. Соснина) отгружать в 1942 г. Наркомцветмету и Наркомстрою для строек алюминиево-магниевых предприятий не менее 40% продукции Невьянского и Сухоложского цементных заводов, начиная с июня сего года, ежемесячно. Госплану СССР (т. Сабурову), Наркомэлектростанций (т. Жимерину ) и Наркомуголь (т. Вахрушеву) обеспечить Невьянский и Сухоложский цементные заводы полностью необходимым количеством электроэнергии и угля для бесперебойной работы.</w:t>
      </w:r>
    </w:p>
    <w:p w14:paraId="5FEDDDA0"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Обязать НКПС (т. Хрулева): а) производить перевозки грузов для строек и заводов алюминиево-магниевой промышленности наравне с перевозками для строек и заводов черной металлургии; б) выделить в июне-июле 1942 г. в счет плана перевозок 200 вагонов Уралалюминстрою и 200 вагонов строительству Скопинского трубопруткового завода Наркомцветмета для переброски с этих строек металла, материалов, строймеханизмов и оборудования на другие стройки алюминиево-магниевой промышленности; в) выделить Наркомцветмету в июне-июле 1942 г. в счет плана перевозок 200 вагонов для перевозки леса собственных заготовок со ст. Хребет Уральский (Пермской ж. д.) на строительство алюминиево-магниевой промышленности. В дальнейшем выделять Наркомцветмету по его заявкам ежемесячно 100 вагонов для перевозки леса собственных заготовок Главалюминстроя; г) обеспечить перевозку 15 тыс. куб. м дров для алюминиевых печей со ст. Товатуй железной дороги им. Кагановича до ст. ВерхНейвинск той же дороги в адрес завода «Б» в течение июня-июля 1942 г.; д) принимать перевозку массовых грузов для строек и предприятий алюминиево-магниевой промышленности на расстоянии менее 30 км.</w:t>
      </w:r>
    </w:p>
    <w:p w14:paraId="435C3CA9"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Обязать наркоматы-поставщики предусматривать в своих планах перевозки всех грузов для действующих предприятий и строек алюминиево-магниевой промышленности и выделять для этой цели из представленных им по плану необходимое количество вагонов.</w:t>
      </w:r>
    </w:p>
    <w:p w14:paraId="448FEAB3"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Обязать Комитет по учету и распределению рабочей силы при СНК СССР (т. Москатова), Рязанский облисполком (т. Мамонова), Тамбовский облисполком (т. Козырькова) и Совнарком Башкирской АССР (т. Вагапова) мобилизовать в июне 1942 г. 8 тыс. чел. из числа городского, согласно указу Президиума Верховного Совета СССР, а также за счет эвакуированного населения (в том числе из Ленинграда) для работы: на Уральский алюминиевый завод — 5 тыс. чел., Североуральские бокситовые рудники Наркомцветмета (на производство) — 1 тыс. чел., на строительство Березниковского магниевого завода (Наркомстрою) — 1,5 тыс. чел. и на строительство Североуральских бокситовых рудников (Наркомстрою) — 500 чел. Обязать НКПС (т. Хрулева) обеспечить перевозку мобилизованных к месту работы по заявке Комитета по учету и распределению рабочей силы при СНК СССР.</w:t>
      </w:r>
    </w:p>
    <w:p w14:paraId="602B9D8E"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Обязать Главное управление трудовых резервов при СНК СССР (т. Москатова) направить для работы на предприятиях алюминиево-магниевой промышленности в III квартале 1942 г. 3,2 тыс. чел. из ремесленных училищ и школ ФЗО по профессиям согласно заявке Наркомцветмета.</w:t>
      </w:r>
    </w:p>
    <w:p w14:paraId="04484A33"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Распространить на стройки алюминиево-магниевой промышленности порядок премирования руководящих кадров и ИТР, а также прогрессивно-сдельную оплату труда строительных и монтажных рабочих, установленную постановлением ГОКО от 13 апреля 1942 г. № 1592с.</w:t>
      </w:r>
    </w:p>
    <w:p w14:paraId="6453326F"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20. Разрешить Наркомцветмету (т. Ломако), Наркомстрою (т. Гинзбургу) и Наркомвнуделу СССР (т. Берии) израсходовать на премирование наиболее отличившихся рабочих, ИТР и служащих алюминиево-магниевых предприятий 5,5 млн руб., предусмотрев указанные средства в сметах предприятий и строек. Из них: по Наркомцветмету за выполнение плана производства: по Уральскому алюминиевому заводу — 1 млн руб., по Соликамскому магниевому заводу — 0,5 млн руб., по </w:t>
      </w:r>
      <w:r w:rsidRPr="008A2E5A">
        <w:rPr>
          <w:rFonts w:ascii="Times New Roman" w:hAnsi="Times New Roman"/>
          <w:color w:val="0070C0"/>
          <w:sz w:val="16"/>
          <w:szCs w:val="16"/>
        </w:rPr>
        <w:lastRenderedPageBreak/>
        <w:t>Североуральским бокситовым рудникам — 0,5 млн руб.; за выполнение плана строительства: по Уральскому алюминиевому заводу и Красногорской ТЭЦ — 1 млн руб., по Соликамскому магниевому заводу — 0,5 млн руб.; по Наркомстрою за выполнение плана строительства: по Сталинскому алюминиевому заводу — 0,450 млн руб., по Сталинской ТЭЦ — 0,450 млн руб., по Березниковскому магниевому заводу — 0,450 млн руб., по Североуральским бокситовым рудникам — 0,150 млн руб.; по Наркомвнуделу за выполнение плана строительства: по Богословскому алюминиевому заводу — 0,5 млн руб.</w:t>
      </w:r>
    </w:p>
    <w:p w14:paraId="66C2B718"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Разрешить Наркомцветмету, НКВД СССР и Наркомстрою продавать на заводах и стройках алюминиево-магниевой промышленности сверх установленной нормы снабжения, без вырезки талонов, вторые дополнительные блюда и 100 г хлеба рабочим и ИТР, выполняющим норму и работающим не менее 11 часов.</w:t>
      </w:r>
    </w:p>
    <w:p w14:paraId="56F70DB3"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Обязать Наркомторг СССР включить предприятия и стройки алюминиевомагниевой промышленности на продовольственное снабжение по нормам особого списка предприятий согласно постановлению Совнаркома СССР № 2148 от 19 октября 1941 г.1*</w:t>
      </w:r>
    </w:p>
    <w:p w14:paraId="5ED58124"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Запретить мобилизацию в армию или на какие-либо другие работы рабочих, инженерно-технических и административно-хозяйственных работников строек и предприятий алюминиево-магниевой промышленности, кроме лиц рождения 1922-1923 гг.</w:t>
      </w:r>
    </w:p>
    <w:p w14:paraId="3FC8183F"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Запретить мобилизацию в армию или на какие-либо другие работы автогужтранспорта, резины, запасных частей к автотранспорту, горючего и фуража со строек и предприятий алюминиевой и магниевой промышленности.</w:t>
      </w:r>
    </w:p>
    <w:p w14:paraId="7A56FE60"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Обязать Наркомвнешторг (т. Микояна): а) поставить Наркомцветмету для алюминиево-магниевой промышленности за счет импорта в IV квартале 1942 г. шесть 1,5-кубовых экскаваторов, в I квартале 1943 г. — стальную арматуру на 200 тыс. руб. и контрольно-измерительные приборы на 50 тыс. руб., а также в кратчайший срок 115 автомашин. В том числе 50 машин из первого поступления; б) выделить 600 лошадей из</w:t>
      </w:r>
    </w:p>
    <w:p w14:paraId="7669B2BD"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числа закупленных в Монголии и не пригодных для нужд Красной армии для строек алюминиево-магниевых предприятий, из них: Наркомцветмету — 200 лошадей и Наркомстрою — 400 лошадей.</w:t>
      </w:r>
    </w:p>
    <w:p w14:paraId="4FFB0541"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Поручить Наркомату госконтроля (т. Попову) привлекать к ответственности, вплоть до судебной, директоров предприятий, начальников главсбытов и управляющих сбытовыми конторами за срыв поставок материалов и оборудования стройкам, заводам и ТЭЦ алюминиево-магниевой промышленности.</w:t>
      </w:r>
    </w:p>
    <w:p w14:paraId="6C056D8C"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Возложить ответственность по Наркомату цветной металлургии за своевременный ввод в эксплуатацию дополнительных мощностей на заводах и стройках алюминиево-магниевой промышленности лично на народного комиссара т. Ломако, по НКВД СССР за строительство и своевременный ввод в эксплуатацию Богословского алюминиевого завода — на заместителя народного комиссара внутренних дел т. Завенягина и по Наркомстрою за своевременный ввод в эксплуатацию Сталинского алюминиевого завода — на заместителя народного комиссара по строительству т. Бургмана Березниковского магниевого завода — на заместителя народного комиссара по строительству т. Юдина.</w:t>
      </w:r>
    </w:p>
    <w:p w14:paraId="27487305"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Считать важнейшей политической и хозяйственной задачей областных комитетов ВКП(б) и лично первых секретарей обкомов — Челябинского (т. Патоличева), Свердловского (т. Андрианова), Молотовского (т. Гусарова) и Новосибирского (т. Кулагина) — обеспечение бесперебойной работы алюминиевых и магниевых заводов и ввод в эксплуатацию алюминиевых и магниевых строек.</w:t>
      </w:r>
    </w:p>
    <w:p w14:paraId="217154AB"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Государственного комитета обороны И. Сталин</w:t>
      </w:r>
    </w:p>
    <w:p w14:paraId="13C9F366" w14:textId="77777777" w:rsidR="00460619" w:rsidRPr="008A2E5A" w:rsidRDefault="00460619" w:rsidP="0046061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1. Д. 38. Л. 156-164. Подлинник (24015).</w:t>
      </w:r>
    </w:p>
    <w:p w14:paraId="458B4A46" w14:textId="77777777" w:rsidR="00460619" w:rsidRPr="008A2E5A" w:rsidRDefault="00460619" w:rsidP="00460619">
      <w:pPr>
        <w:spacing w:after="0" w:line="240" w:lineRule="auto"/>
        <w:jc w:val="both"/>
        <w:rPr>
          <w:rFonts w:ascii="Times New Roman" w:hAnsi="Times New Roman"/>
          <w:color w:val="0070C0"/>
          <w:sz w:val="16"/>
          <w:szCs w:val="16"/>
        </w:rPr>
      </w:pPr>
    </w:p>
    <w:p w14:paraId="5359F71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D684C8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4D7CF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5 июня</w:t>
      </w:r>
      <w:r w:rsidRPr="008127F8">
        <w:rPr>
          <w:rFonts w:ascii="Times New Roman" w:hAnsi="Times New Roman"/>
          <w:color w:val="000000" w:themeColor="text1"/>
          <w:sz w:val="16"/>
          <w:szCs w:val="16"/>
        </w:rPr>
        <w:t xml:space="preserve"> в 1942 году утреннее сообщение Совинформбюро:</w:t>
      </w:r>
    </w:p>
    <w:p w14:paraId="68C0BF7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5 июня на фронте существенных изменений не произошло.</w:t>
      </w:r>
    </w:p>
    <w:p w14:paraId="457F067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Калининского фронта, отразила несколько атак немецкой пехоты. Противник потерял убитыми и ранеными до 400 солдат и офицеров. На другом участке наши бойцы уничтожили 170 гитлеровцев, несколько орудий, пулемётов и подбили 3 немецких танка.</w:t>
      </w:r>
    </w:p>
    <w:p w14:paraId="3528A85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Лётчики под командованием капитана Марковцева и старшего лейтенанта Салова нанесли удар по крупному вражескому аэродрому. В результате налёта уничтожено свыше 20 немецких самолётов. Кроме того, много самолётов противника получило повреждения. Все наши самолёты вернулись на свою базу.</w:t>
      </w:r>
    </w:p>
    <w:p w14:paraId="73CF4E5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Брянского фронта пехота противника пыталась вклиниться в боевые порядки нашей части. Подпустив гитлеровцев на близкое расстояние, наши артиллеристы и пулемётчики открыли сосредоточенный огонь. Потеряв 280 человек убитыми и ранеными, немцы были отброшены на исходные позиции.</w:t>
      </w:r>
    </w:p>
    <w:p w14:paraId="72FD9B5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Эскадрилья советских лётчиков-гвардейцев под командованием старшего лейтенанта Романова совершила налёт на железнодорожную станцию, занятую немцами. На станции в это время шла разгрузка трёх вражеских эшелонов. Кроме того, два немецких эшелона стояли на подходе к станции. Разбившись на звенья, лётчики-гвардейцы начали штурмовку. После первого же захода возникли пожары и взрывы. Немецкие эшелоны были уничтожены.</w:t>
      </w:r>
    </w:p>
    <w:p w14:paraId="063E933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Красноармейцы т.т. Бородин и Курькин проникли в тыл врага и перерезали телефонную связь противника. Вскоре показались три немецких солдата, направлявшиеся к месту повреждения проводов. Наши бойцы уничтожили гитлеровцев, забрали их документы, оружие и вернулись в своё подразделение.</w:t>
      </w:r>
    </w:p>
    <w:p w14:paraId="29A2304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немецкий лейтенант Герберт Позер рассказал: «Раньше в нашем полку было два батальона самокатчиков. Первый батальон участвовал в ожесточённых бояху пункта В. и в результате колоссальных потерь был ликвидирован. Солдаты теперь уже не те, какими они были в первые дни похода против России. Затянувшаяся война измотала и измучила солдат. Это сказывается на каждом шагу. По-иному начинают думать и некоторые офицеры. Раньше мы верили в победу Германии, но теперь былой уверенности уже нет. Приходится признать, что мы просчитались и недооценили силу русской армии и прочность советского тыла. За время войны я лично убедился, что население России жило хорошо. Я убедился и в том, что советские люди очень большие патриоты, они любят свою родину и своих руководителей».</w:t>
      </w:r>
    </w:p>
    <w:p w14:paraId="4E23977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Немецкие захватчики ограбили все продовольственные запасы Румынии и обрекли на голод румынский народ. Уже давно норма выдачи хлеба установлена в 214 граммовв день на человека. Но и эту голодную норму население, как правило, полностью не получает. В осведомлённых кругах считают, что после сбора нового урожая положение с продовольствием не улучшится. По официальным данным, свыше 20 процентов земли в Румынии осталось незасеянной. Фактически же незасеянной земли значительно больше.» (14913).</w:t>
      </w:r>
    </w:p>
    <w:p w14:paraId="4677AC5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81B713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5 июня</w:t>
      </w:r>
      <w:r w:rsidRPr="008127F8">
        <w:rPr>
          <w:rFonts w:ascii="Times New Roman" w:hAnsi="Times New Roman"/>
          <w:color w:val="000000" w:themeColor="text1"/>
          <w:sz w:val="16"/>
          <w:szCs w:val="16"/>
        </w:rPr>
        <w:t xml:space="preserve"> в 1942 году вечернее сообщение Совинформбюро:</w:t>
      </w:r>
    </w:p>
    <w:p w14:paraId="4FD2AB6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5 июня на ряде участков фронта происходили бои местного значения и активные действия разведчиков.</w:t>
      </w:r>
    </w:p>
    <w:p w14:paraId="6007AF8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4 июня частями нашей авиации на разных участках фронта уничтожено или повреждено 20 немецких танков, 75 автомашин с войсками и грузами, 3 автоцистерныс горючим, 60 подвод с боеприпасами, 18 полевых и зенитных орудий, 5 миномётов, взорван склад с боеприпасами, разрушен ангар, разбито 40 железнодорожных вагонов, рассеяно и частью уничтожено до пяти рот пехоты противника.</w:t>
      </w:r>
    </w:p>
    <w:p w14:paraId="21E648C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Северо-Западного фронта, втечение дня отбила несколько атак немецкой пехоты, наступавшей при поддержке танков. Противник понёс большие потери. Подбито 11 немецких танков. На другом участке фронта наши бойцы, ведя оборонительные бои, уничтожили 5 немецких танков.</w:t>
      </w:r>
    </w:p>
    <w:p w14:paraId="1A81E51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Часть под командованием тов. Бусарова (Калининский фронт) овладела укреплённым населённым пунктом. Немцы потеряли убитыми свыше 100 солдат и офицеров. Позднее гитлеровцы подтянули подкрепления и предприняли несколько контратак. Все контратаки немцев были отбиты. Противник отступил, оставив на поле боя 250 трупов. Захвачены трофеи и пленные.</w:t>
      </w:r>
    </w:p>
    <w:p w14:paraId="043F4A9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танкисты, действующие на одном из участков Южного фронта, внезапно ворвались в расположение противника. В завязавшемся бою уничтожено 2 немецких танка, несколько орудий и пулемётов. В районе одного населённого пункта немцыпотеряли убитыми до 400 солдат и офицеров.</w:t>
      </w:r>
    </w:p>
    <w:p w14:paraId="0B1CB65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Несколько групп наших самолётов совершили успешный налёт на вражеский аэродром (Юго-Западный фронт). Зенитки противника открыли огонь уже после того, как наши лётчики начали штурмовать 60 немецких самолётов, находившихся на земле. Когда операция подходила к концу, в воздухе появились вражеские истребители. Завязался воздушный бой, во время которого было сбито три «Мессершмитта». В результате налёта наших истребителей на аэродром уничтожено 40 немецких самолётов. Наши потери — 2 самолёта.</w:t>
      </w:r>
    </w:p>
    <w:p w14:paraId="678C897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бойцов под командованием старшего лейтенанта Филимоненкова, проникнув в тыл противника, встретила 30 немецких автоматчиков. Внезапным ударом нашибойцы полностью уничтожили всю группу гитлеровцев.</w:t>
      </w:r>
    </w:p>
    <w:p w14:paraId="1581795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«Деда Фомы», действующий в одном из оккупированных немцами районов Калининской области, днём проник в населённый пункт Г. Партизаны забросали гранатами столовую, в которой обедало 30 гитлеровцев. Воспользовавшись паникой среди немецко-фашистских оккупантов, партизаны захватили вещевой склад и на немецких повозках вывезли обмундирование и обувь.</w:t>
      </w:r>
    </w:p>
    <w:p w14:paraId="231998F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обер-фельдфебель лётчик 55 немецкой эскадры Альфред Гоберг заявил: «Несколько дней назад три бомбардировщика 55 эскадры получили задание разведать движение русских пехотных колонн. Во время разведки мы попали под обстрел зениток. Первый залп батарей накрыл мой самолёт, второй самолёт сгорел в воздухе, а третий повернул обратно. Советских лётчиков мы рассматриваем как самых смелых и опасных противников, Недавно мне пришлось участвовать в одном воздушном бою. Немецких самолётов было 10, а русских только три. Несмотря на то, что на нашей стороне было численное превосходство, русские ввязались в бой. Им удалось сбить один самолёт, после чего остальные наши машины вернулись обратно, не выполнив задания».</w:t>
      </w:r>
    </w:p>
    <w:p w14:paraId="280CF2D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последнее время участились нападения на немецкие отряды, занятые на строительстве укреплений в Северной Норвегии. Недавно около Нарвика норвежские патриоты перебили немецкую охрану и освободили 60 военнопленных, работавших на строительстве.» (14913).</w:t>
      </w:r>
    </w:p>
    <w:p w14:paraId="13CD498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5895EBC" w14:textId="77777777" w:rsidR="007C5583" w:rsidRPr="008127F8" w:rsidRDefault="007C5583" w:rsidP="007C5583">
      <w:pPr>
        <w:pStyle w:val="book"/>
        <w:ind w:firstLine="0"/>
        <w:jc w:val="both"/>
        <w:rPr>
          <w:color w:val="000000" w:themeColor="text1"/>
          <w:sz w:val="16"/>
          <w:szCs w:val="16"/>
        </w:rPr>
      </w:pPr>
      <w:r w:rsidRPr="008127F8">
        <w:rPr>
          <w:color w:val="000000" w:themeColor="text1"/>
          <w:sz w:val="16"/>
          <w:szCs w:val="16"/>
        </w:rPr>
        <w:lastRenderedPageBreak/>
        <w:t>С 5 по 17 июня 1942 г. пушка Дора вела стрельбу по Севастополю, всего сделано 48 выстрелов (15225).</w:t>
      </w:r>
    </w:p>
    <w:p w14:paraId="420424B8" w14:textId="77777777" w:rsidR="007C5583" w:rsidRPr="008127F8" w:rsidRDefault="007C5583" w:rsidP="007C5583">
      <w:pPr>
        <w:pStyle w:val="book"/>
        <w:ind w:firstLine="0"/>
        <w:jc w:val="both"/>
        <w:rPr>
          <w:color w:val="000000" w:themeColor="text1"/>
          <w:sz w:val="16"/>
          <w:szCs w:val="16"/>
        </w:rPr>
      </w:pPr>
    </w:p>
    <w:p w14:paraId="3401793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на ЮЗФ несколько групп самолетов совершили успешный налет на аэродром, на котором было 60 самолетов. Уничтожили 40 и сбили 3, а потеряли 2 (438,843).</w:t>
      </w:r>
    </w:p>
    <w:p w14:paraId="379318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136C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г. был подготовлен отчет № 210/42 на имя командующего истребительной авиации люфтваффе о проведении полигонных испытаний пушек МК101 стрельбой в воздухе с самолета Hsl29B-l по тяжелым советским танкам КВ-1. Этот отчет был найден в Hsl29B-l, сбитом в июне 1942 г. на Юго-Западном фронте (8907).</w:t>
      </w:r>
    </w:p>
    <w:p w14:paraId="012B22B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E0A5A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г. был подготовлен отчет № 210/42 от на имя командующего истребительной авиации люфтваффе о проведении полигонных испытаний пушек МК101 стрельбой в воздухе с самолета Нз 129В-1 по танкам КВ-1.</w:t>
      </w:r>
    </w:p>
    <w:p w14:paraId="3B40786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отчетных материалов следует, что в период с 25 по 29 мая 1942 г. в 4./5сИ.С.1 (аэродром Барвенково в 60 км северо- западнее Константиновки) находилась группа специалистов Генерального штаба люфтваффе. В их задачу входило оказание помощи личному составу 4-й эскадрильи в практическом применении для борьбы с советскими танками пушек МК101 и снаря</w:t>
      </w:r>
      <w:r w:rsidRPr="008127F8">
        <w:rPr>
          <w:rFonts w:ascii="Times New Roman" w:hAnsi="Times New Roman"/>
          <w:color w:val="000000" w:themeColor="text1"/>
          <w:sz w:val="16"/>
          <w:szCs w:val="16"/>
        </w:rPr>
        <w:softHyphen/>
        <w:t>дов к ним.</w:t>
      </w:r>
    </w:p>
    <w:p w14:paraId="3356C56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и 28 мая была организована прак</w:t>
      </w:r>
      <w:r w:rsidRPr="008127F8">
        <w:rPr>
          <w:rFonts w:ascii="Times New Roman" w:hAnsi="Times New Roman"/>
          <w:color w:val="000000" w:themeColor="text1"/>
          <w:sz w:val="16"/>
          <w:szCs w:val="16"/>
        </w:rPr>
        <w:softHyphen/>
        <w:t>тическая стрельба по находящимся неда</w:t>
      </w:r>
      <w:r w:rsidRPr="008127F8">
        <w:rPr>
          <w:rFonts w:ascii="Times New Roman" w:hAnsi="Times New Roman"/>
          <w:color w:val="000000" w:themeColor="text1"/>
          <w:sz w:val="16"/>
          <w:szCs w:val="16"/>
        </w:rPr>
        <w:softHyphen/>
        <w:t>леко от аэродрома танкам КВ-1, подбитых немецкими танкистами в ходе операции по окружению советских войск в районе Барвенковского выступа.</w:t>
      </w:r>
    </w:p>
    <w:p w14:paraId="22E0DC8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в течение дня четырьмя экипа</w:t>
      </w:r>
      <w:r w:rsidRPr="008127F8">
        <w:rPr>
          <w:rFonts w:ascii="Times New Roman" w:hAnsi="Times New Roman"/>
          <w:color w:val="000000" w:themeColor="text1"/>
          <w:sz w:val="16"/>
          <w:szCs w:val="16"/>
        </w:rPr>
        <w:softHyphen/>
        <w:t>жами было выполнено 12 самолето-вы</w:t>
      </w:r>
      <w:r w:rsidRPr="008127F8">
        <w:rPr>
          <w:rFonts w:ascii="Times New Roman" w:hAnsi="Times New Roman"/>
          <w:color w:val="000000" w:themeColor="text1"/>
          <w:sz w:val="16"/>
          <w:szCs w:val="16"/>
        </w:rPr>
        <w:softHyphen/>
        <w:t>летов. Атаки выполнялись с пикирования под углами 10-30' строго поперек танка. Стрельба велась подкалиберными снаря</w:t>
      </w:r>
      <w:r w:rsidRPr="008127F8">
        <w:rPr>
          <w:rFonts w:ascii="Times New Roman" w:hAnsi="Times New Roman"/>
          <w:color w:val="000000" w:themeColor="text1"/>
          <w:sz w:val="16"/>
          <w:szCs w:val="16"/>
        </w:rPr>
        <w:softHyphen/>
        <w:t>дами с вольфрамовым сердечником.</w:t>
      </w:r>
    </w:p>
    <w:p w14:paraId="277949D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испытаниям бронебойный снаряд 101 обладает достаточ</w:t>
      </w:r>
      <w:r w:rsidRPr="008127F8">
        <w:rPr>
          <w:rFonts w:ascii="Times New Roman" w:hAnsi="Times New Roman"/>
          <w:color w:val="000000" w:themeColor="text1"/>
          <w:sz w:val="16"/>
          <w:szCs w:val="16"/>
        </w:rPr>
        <w:softHyphen/>
        <w:t>ной бронепробиваемостью и может быть с успехом использован на Нз129 из МК101 для подавления тяжелых русских танков...».</w:t>
      </w:r>
    </w:p>
    <w:p w14:paraId="731371C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Анализ фотографий «расстрелянного» КВ-1 позволяет сделать вывод, что специ</w:t>
      </w:r>
      <w:r w:rsidRPr="008127F8">
        <w:rPr>
          <w:rFonts w:ascii="Times New Roman" w:hAnsi="Times New Roman"/>
          <w:color w:val="000000" w:themeColor="text1"/>
          <w:sz w:val="16"/>
          <w:szCs w:val="16"/>
        </w:rPr>
        <w:softHyphen/>
        <w:t>алисты генштаба люфтваффе и летный состав 4./5сН.С.1, мягко скажем, «втирали очки» своему начальству и выдавали жела</w:t>
      </w:r>
      <w:r w:rsidRPr="008127F8">
        <w:rPr>
          <w:rFonts w:ascii="Times New Roman" w:hAnsi="Times New Roman"/>
          <w:color w:val="000000" w:themeColor="text1"/>
          <w:sz w:val="16"/>
          <w:szCs w:val="16"/>
        </w:rPr>
        <w:softHyphen/>
        <w:t>емое за действительное.</w:t>
      </w:r>
    </w:p>
    <w:p w14:paraId="4C01F9D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Свои выводы они построили на том факте, что один из снарядов попал в сварной шов соединения кормового бро- нелиста башни и прошел по шву на глуби</w:t>
      </w:r>
      <w:r w:rsidRPr="008127F8">
        <w:rPr>
          <w:rFonts w:ascii="Times New Roman" w:hAnsi="Times New Roman"/>
          <w:color w:val="000000" w:themeColor="text1"/>
          <w:sz w:val="16"/>
          <w:szCs w:val="16"/>
        </w:rPr>
        <w:softHyphen/>
        <w:t>ну около 120 мм. Ясно, что это весьма и весьма редкий случай. При этом никаких разрушений внутри танка быть не могло. То, что в других случаях не было и намека на сквозные пробоины и серьезные по</w:t>
      </w:r>
      <w:r w:rsidRPr="008127F8">
        <w:rPr>
          <w:rFonts w:ascii="Times New Roman" w:hAnsi="Times New Roman"/>
          <w:color w:val="000000" w:themeColor="text1"/>
          <w:sz w:val="16"/>
          <w:szCs w:val="16"/>
        </w:rPr>
        <w:softHyphen/>
        <w:t>вреждения элементов конструкции танка в расчет почему-то не принималось...</w:t>
      </w:r>
    </w:p>
    <w:p w14:paraId="02D9F59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Реально бронебойный снаряд к этой пушке с 300 м при угле встречи 0° снаряд пробивал только броню толщиной до 44 мм, а подкалиберный - до 52 мм.</w:t>
      </w:r>
    </w:p>
    <w:p w14:paraId="7EAF3E7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 есть тяжелые советские танки не по</w:t>
      </w:r>
      <w:r w:rsidRPr="008127F8">
        <w:rPr>
          <w:rFonts w:ascii="Times New Roman" w:hAnsi="Times New Roman"/>
          <w:color w:val="000000" w:themeColor="text1"/>
          <w:sz w:val="16"/>
          <w:szCs w:val="16"/>
        </w:rPr>
        <w:softHyphen/>
        <w:t>ражались ни при каких условиях атаки.</w:t>
      </w:r>
    </w:p>
    <w:p w14:paraId="23FCB70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Вот поражение бортовой и башенной брони советских легких танков типа Т-60 и Т-70 специальными подкалиберными снарядами было возможным практически с любого направления атаки и дистанций стрельбы до 400-500 м. Правда, надмо- торная броня и крыша башни при этом не поражались.</w:t>
      </w:r>
    </w:p>
    <w:p w14:paraId="31053BF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Анализ схемы бронирования советско</w:t>
      </w:r>
      <w:r w:rsidRPr="008127F8">
        <w:rPr>
          <w:rFonts w:ascii="Times New Roman" w:hAnsi="Times New Roman"/>
          <w:color w:val="000000" w:themeColor="text1"/>
          <w:sz w:val="16"/>
          <w:szCs w:val="16"/>
        </w:rPr>
        <w:softHyphen/>
        <w:t>го среднего танка Т-34-76 и возможностей пушки МК101 показывает, что при углах пикирования Нз129 около 25-30° подкали</w:t>
      </w:r>
      <w:r w:rsidRPr="008127F8">
        <w:rPr>
          <w:rFonts w:ascii="Times New Roman" w:hAnsi="Times New Roman"/>
          <w:color w:val="000000" w:themeColor="text1"/>
          <w:sz w:val="16"/>
          <w:szCs w:val="16"/>
        </w:rPr>
        <w:softHyphen/>
        <w:t>берный снаряд к пушке мог пробить 52 мм броню башни «тридцатьчетверки» только при стрельбе с дистанции не более 250 м, а бортовую 40-мм броню - не более 600 м.</w:t>
      </w:r>
    </w:p>
    <w:p w14:paraId="30DA38B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при оценке эффективно</w:t>
      </w:r>
      <w:r w:rsidRPr="008127F8">
        <w:rPr>
          <w:rFonts w:ascii="Times New Roman" w:hAnsi="Times New Roman"/>
          <w:color w:val="000000" w:themeColor="text1"/>
          <w:sz w:val="16"/>
          <w:szCs w:val="16"/>
        </w:rPr>
        <w:softHyphen/>
        <w:t>сти атаки самолетов по танкам и другим типовым наземным целям необходимо учитывать следующие факторы.</w:t>
      </w:r>
    </w:p>
    <w:p w14:paraId="3EBE90F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Если начинать стрельбу сразу же по</w:t>
      </w:r>
      <w:r w:rsidRPr="008127F8">
        <w:rPr>
          <w:rFonts w:ascii="Times New Roman" w:hAnsi="Times New Roman"/>
          <w:color w:val="000000" w:themeColor="text1"/>
          <w:sz w:val="16"/>
          <w:szCs w:val="16"/>
        </w:rPr>
        <w:softHyphen/>
        <w:t>сле разворота на цель, не выдерживая самолет в прямолинейном полете, то сна</w:t>
      </w:r>
      <w:r w:rsidRPr="008127F8">
        <w:rPr>
          <w:rFonts w:ascii="Times New Roman" w:hAnsi="Times New Roman"/>
          <w:color w:val="000000" w:themeColor="text1"/>
          <w:sz w:val="16"/>
          <w:szCs w:val="16"/>
        </w:rPr>
        <w:softHyphen/>
        <w:t>ряды в очереди будут отнесены от цели во внешнюю сторону разворота. Полигонные испытания, показывали, что относ снаря</w:t>
      </w:r>
      <w:r w:rsidRPr="008127F8">
        <w:rPr>
          <w:rFonts w:ascii="Times New Roman" w:hAnsi="Times New Roman"/>
          <w:color w:val="000000" w:themeColor="text1"/>
          <w:sz w:val="16"/>
          <w:szCs w:val="16"/>
        </w:rPr>
        <w:softHyphen/>
        <w:t>дов в типовых условиях атаки для Нз129В мог составлять 11-14 м. Это в 2-3 раза больше размеров любого советского танка. Для устранения этого явления, не</w:t>
      </w:r>
      <w:r w:rsidRPr="008127F8">
        <w:rPr>
          <w:rFonts w:ascii="Times New Roman" w:hAnsi="Times New Roman"/>
          <w:color w:val="000000" w:themeColor="text1"/>
          <w:sz w:val="16"/>
          <w:szCs w:val="16"/>
        </w:rPr>
        <w:softHyphen/>
        <w:t>обходимо в течение 1,5-2 с «задержать» крен и выдержать самолет в прямолиней</w:t>
      </w:r>
      <w:r w:rsidRPr="008127F8">
        <w:rPr>
          <w:rFonts w:ascii="Times New Roman" w:hAnsi="Times New Roman"/>
          <w:color w:val="000000" w:themeColor="text1"/>
          <w:sz w:val="16"/>
          <w:szCs w:val="16"/>
        </w:rPr>
        <w:softHyphen/>
        <w:t>ном полете.</w:t>
      </w:r>
    </w:p>
    <w:p w14:paraId="2FCCD87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прицеливание и исправление на</w:t>
      </w:r>
      <w:r w:rsidRPr="008127F8">
        <w:rPr>
          <w:rFonts w:ascii="Times New Roman" w:hAnsi="Times New Roman"/>
          <w:color w:val="000000" w:themeColor="text1"/>
          <w:sz w:val="16"/>
          <w:szCs w:val="16"/>
        </w:rPr>
        <w:softHyphen/>
        <w:t>водки между очередями летчику с хоро</w:t>
      </w:r>
      <w:r w:rsidRPr="008127F8">
        <w:rPr>
          <w:rFonts w:ascii="Times New Roman" w:hAnsi="Times New Roman"/>
          <w:color w:val="000000" w:themeColor="text1"/>
          <w:sz w:val="16"/>
          <w:szCs w:val="16"/>
        </w:rPr>
        <w:softHyphen/>
        <w:t>шей квалификацией требуется в среднем 1,5-2 с. То есть, при «правильном» выпол</w:t>
      </w:r>
      <w:r w:rsidRPr="008127F8">
        <w:rPr>
          <w:rFonts w:ascii="Times New Roman" w:hAnsi="Times New Roman"/>
          <w:color w:val="000000" w:themeColor="text1"/>
          <w:sz w:val="16"/>
          <w:szCs w:val="16"/>
        </w:rPr>
        <w:softHyphen/>
        <w:t>нении атаки наземной цели открытие огня должно происходить не раньше, чем через 3-4 с.</w:t>
      </w:r>
    </w:p>
    <w:p w14:paraId="6099C4B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Поскольку ведение стрельбы из МК101 очередью свыше 4-5 снарядов из-за вли</w:t>
      </w:r>
      <w:r w:rsidRPr="008127F8">
        <w:rPr>
          <w:rFonts w:ascii="Times New Roman" w:hAnsi="Times New Roman"/>
          <w:color w:val="000000" w:themeColor="text1"/>
          <w:sz w:val="16"/>
          <w:szCs w:val="16"/>
        </w:rPr>
        <w:softHyphen/>
        <w:t>яния силы отдачи пушки на самолет при</w:t>
      </w:r>
      <w:r w:rsidRPr="008127F8">
        <w:rPr>
          <w:rFonts w:ascii="Times New Roman" w:hAnsi="Times New Roman"/>
          <w:color w:val="000000" w:themeColor="text1"/>
          <w:sz w:val="16"/>
          <w:szCs w:val="16"/>
        </w:rPr>
        <w:softHyphen/>
        <w:t>водит к нарушению наводки самолета на цель и к значительному увеличению рассе</w:t>
      </w:r>
      <w:r w:rsidRPr="008127F8">
        <w:rPr>
          <w:rFonts w:ascii="Times New Roman" w:hAnsi="Times New Roman"/>
          <w:color w:val="000000" w:themeColor="text1"/>
          <w:sz w:val="16"/>
          <w:szCs w:val="16"/>
        </w:rPr>
        <w:softHyphen/>
        <w:t>ивания снарядов, то длина одной очереди ограничивается 1 с.</w:t>
      </w:r>
    </w:p>
    <w:p w14:paraId="061C9F1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 есть, для гарантированного вы</w:t>
      </w:r>
      <w:r w:rsidRPr="008127F8">
        <w:rPr>
          <w:rFonts w:ascii="Times New Roman" w:hAnsi="Times New Roman"/>
          <w:color w:val="000000" w:themeColor="text1"/>
          <w:sz w:val="16"/>
          <w:szCs w:val="16"/>
        </w:rPr>
        <w:softHyphen/>
        <w:t>ведения из строя одного Т-34-76 коман</w:t>
      </w:r>
      <w:r w:rsidRPr="008127F8">
        <w:rPr>
          <w:rFonts w:ascii="Times New Roman" w:hAnsi="Times New Roman"/>
          <w:color w:val="000000" w:themeColor="text1"/>
          <w:sz w:val="16"/>
          <w:szCs w:val="16"/>
        </w:rPr>
        <w:softHyphen/>
        <w:t>дованию люфтваффе необходимо было выделять не менее четырех-пяти десятков бронированных «хеншелей». Такой резуль</w:t>
      </w:r>
      <w:r w:rsidRPr="008127F8">
        <w:rPr>
          <w:rFonts w:ascii="Times New Roman" w:hAnsi="Times New Roman"/>
          <w:color w:val="000000" w:themeColor="text1"/>
          <w:sz w:val="16"/>
          <w:szCs w:val="16"/>
        </w:rPr>
        <w:softHyphen/>
        <w:t>тат нельзя признать высоким (12728).</w:t>
      </w:r>
    </w:p>
    <w:p w14:paraId="1310CDF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6BA39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June 5 1942 Germans besiege Sevastopol (1050).</w:t>
      </w:r>
    </w:p>
    <w:p w14:paraId="313F82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883B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немцы блокировали Севастополь (1050).</w:t>
      </w:r>
    </w:p>
    <w:p w14:paraId="416BBD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64262A"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года в 5 часов 35 минут утра «Густав» начал свою первую бомбардировку. Восемь снарядов были нацелены на двухбашенную 305-мм батарею № 30. На следующий день было произведено еще семь выстрелов. В частности, был уничтожен склад боеприпасов, располагавшийся неподалеку от Северной бухты на глубине 27 метров (11454).</w:t>
      </w:r>
    </w:p>
    <w:p w14:paraId="66190D3F"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p>
    <w:p w14:paraId="6A1E0A9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в Белоруссии и на Украине немецкие войска начали военную операцию по уничтожению советских партизан (4962).</w:t>
      </w:r>
    </w:p>
    <w:p w14:paraId="1D8A3C5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39D9D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556770E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6295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вышло Постановление ГКО № 1876 О переселении из прифронтовых районов Смоленской области городского и сельского населения. РГАНИР, Фонд ГКО, д. 38, лл. 258 (11012).</w:t>
      </w:r>
    </w:p>
    <w:p w14:paraId="6D0E0B9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DF93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7234C6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AC5573"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г. был утвержден предварительный проект Госслау P55 и получил обозначение Fi.103. Всю дальнейшую работу по проектированию и испытаниям перевели в E-центр Карлсхаген и Пенемюнде-Вест (остров Узедом в Балтийском море).</w:t>
      </w:r>
    </w:p>
    <w:p w14:paraId="07571CAF"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Министерства авиации координатором проекта стал штаб-инженер Брее. Для руководства разработкой из фирмы «Хейнкель» был переведен один из опытнейших немецких конструкторов Р. Луссер.</w:t>
      </w:r>
    </w:p>
    <w:p w14:paraId="33F41B73"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Принятию решения фельдмаршалом Мильхом создать как можно скорее крылатую ракету Fi.103 способствовало несколько обстоятельств, основными из которых были следующие:</w:t>
      </w:r>
    </w:p>
    <w:p w14:paraId="36CDD542"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Геринг считал, что он должен руководить «всем, что летает». Руководство ВВС расценивало стремление командования сухопутных войск создать ракетное оружие дальнего действия как некомпетентное вмешательство в область авиации и требовало передачи проекта А4 в ведение ВВС и вывода его из-под контроля «проклятой пехоты».</w:t>
      </w:r>
    </w:p>
    <w:p w14:paraId="117B0D96"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руководство ВВС прилагало все усилия, чтобы создать свою ракету в качестве альтернативы А4.</w:t>
      </w:r>
    </w:p>
    <w:p w14:paraId="38C4E758"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К 1942 г. в Пенемюнде все заметнее стал проявляться антагонизм между ракетными научно-исследовательскими организациями сухопутных войск и ВВС. Идея научного сотрудничества, которая мыслилась при строительстве ракетного центра, потерпела фиаско.</w:t>
      </w:r>
    </w:p>
    <w:p w14:paraId="74EBE91E"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Командующий ВМС Германии адмирал Редер при подготовке к вторжению на Британские острова не смог обеспечить вермахт достаточным количеством переправочных средств. Он постоянно просил изменить сроки начала операции «Морской лев». Вермахт также опасался столкновения с ожесточенным сопротивлением англичан на первом этапе высадки десанта. Одни только самолеты Геринга наносили удары по Англии, подготавливая вторжение. Это дало повод Герингу заявить, что ВВС способны в одиночку покорить Великобританию. Командующие другими видами войск в присутствии Гитлера с облегчением поддержали Геринга. Геринг же таким заявлением преследовал политические цели. Результатом его амбициозных планов по увеличению влияния на Гитлера стало то, что германские военно-воздушные силы несли необоснованно большие потери, они были измотаны и обескровлены. Промышленность, насколько это было в ее силах, возмещала потери, но военным специалистам уже требовалось совершенно новое оружие. Кроме того, началась переброска авиации на Восточный фронт. Германия проиграла «Битву за Англию». Подходящим оружием для продолжения воздушной войны и достижения коренного перелома немецким военным специалистам стали представляться беспилотные боевые средства («самолеты-роботы») (11686).</w:t>
      </w:r>
    </w:p>
    <w:p w14:paraId="195B0F0C"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p>
    <w:p w14:paraId="399BB19F" w14:textId="705B2164" w:rsidR="007B5FE2" w:rsidRPr="008A2E5A" w:rsidRDefault="007B5FE2" w:rsidP="007B5F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5 июня 1942 г Люссер и  Госслау представили в  ИМА детально разработанный проект «самолета-снаряда» с  однокилевым хвостовым оперением. По проекту, он мог доставить 500 кг ВВ со скоростью 600 км/ч на дальность до 300 км. Проект был одобрен. Министерство авиации поручило компании «Физелер», известной своими легкомоторными самолетами, построить прототип и представить его на испытания. Эта фирма (Gerhard Fieseler Werke GmbH) в то время выпускала для ВВС серию </w:t>
      </w:r>
      <w:r w:rsidRPr="008A2E5A">
        <w:rPr>
          <w:rFonts w:ascii="Times New Roman" w:hAnsi="Times New Roman"/>
          <w:color w:val="0070C0"/>
          <w:sz w:val="16"/>
          <w:szCs w:val="16"/>
        </w:rPr>
        <w:lastRenderedPageBreak/>
        <w:t>беспилотных мишеней As 292 (FZG 43), поэтому ради секретности проект назвали «мишенью зенитной артиллерии» (Flakzielgerat — FZG), а в служебной переписке чиновники использовали шифр «Вишнёвая косточка» (Kirschkern) (23372).</w:t>
      </w:r>
    </w:p>
    <w:p w14:paraId="24F9FE93" w14:textId="77777777" w:rsidR="007B5FE2" w:rsidRPr="008A2E5A" w:rsidRDefault="007B5FE2" w:rsidP="007B5FE2">
      <w:pPr>
        <w:spacing w:after="0" w:line="240" w:lineRule="auto"/>
        <w:jc w:val="both"/>
        <w:rPr>
          <w:rFonts w:ascii="Times New Roman" w:hAnsi="Times New Roman"/>
          <w:color w:val="0070C0"/>
          <w:sz w:val="16"/>
          <w:szCs w:val="16"/>
        </w:rPr>
      </w:pPr>
    </w:p>
    <w:p w14:paraId="555D0F9B" w14:textId="5FA3CCCF" w:rsidR="007C5583" w:rsidRPr="007B5FE2" w:rsidRDefault="007C5583" w:rsidP="007B5FE2">
      <w:pPr>
        <w:spacing w:after="0" w:line="240" w:lineRule="auto"/>
        <w:jc w:val="both"/>
        <w:rPr>
          <w:rFonts w:ascii="Times New Roman" w:hAnsi="Times New Roman"/>
          <w:sz w:val="16"/>
          <w:szCs w:val="16"/>
        </w:rPr>
      </w:pPr>
      <w:r w:rsidRPr="007B5FE2">
        <w:rPr>
          <w:rFonts w:ascii="Times New Roman" w:hAnsi="Times New Roman"/>
          <w:sz w:val="16"/>
          <w:szCs w:val="16"/>
        </w:rPr>
        <w:t xml:space="preserve">5 июня 1942 года Техническому управлению </w:t>
      </w:r>
      <w:r w:rsidR="007B5FE2">
        <w:rPr>
          <w:rFonts w:ascii="Times New Roman" w:hAnsi="Times New Roman"/>
          <w:sz w:val="16"/>
          <w:szCs w:val="16"/>
        </w:rPr>
        <w:t>Министерства авиации</w:t>
      </w:r>
      <w:r w:rsidRPr="007B5FE2">
        <w:rPr>
          <w:rFonts w:ascii="Times New Roman" w:hAnsi="Times New Roman"/>
          <w:sz w:val="16"/>
          <w:szCs w:val="16"/>
        </w:rPr>
        <w:t xml:space="preserve"> была представлена окончательная разработка проекта Фау-1, получив одобрение и официальное обозначение Fi 103. RLM поставило компании «Fieseler» задачу — предоставить прототип для оценок. Фирма «Fieseler» (Gerhard Fieseler Werke GmbH) выпускала беспилотные летательные аппараты-мишени для тренировки расчётов зениток и для секретности работ над Фау-1 проект был назван  — «мишень зенитной артиллерии Flakzielgerat», а в служебной переписке было использовано кодовое обозначение «Kirschkern» (нем.: вишнёвая косточка). 19 июня </w:t>
      </w:r>
      <w:r w:rsidR="007B5FE2">
        <w:rPr>
          <w:rFonts w:ascii="Times New Roman" w:hAnsi="Times New Roman"/>
          <w:sz w:val="16"/>
          <w:szCs w:val="16"/>
        </w:rPr>
        <w:t>генерал-фельдмаршал Эохард Мильх</w:t>
      </w:r>
      <w:r w:rsidRPr="007B5FE2">
        <w:rPr>
          <w:rFonts w:ascii="Times New Roman" w:hAnsi="Times New Roman"/>
          <w:sz w:val="16"/>
          <w:szCs w:val="16"/>
        </w:rPr>
        <w:t xml:space="preserve">  дал Fi 103 наивысший приоритет, чтобы начать производство как можно скорее, и программа развития была передана экспериментальному центру Люфтваффе в Карлсхагене.</w:t>
      </w:r>
    </w:p>
    <w:p w14:paraId="6E2C9BC0" w14:textId="2A7E519A" w:rsidR="007C5583" w:rsidRPr="007B5FE2" w:rsidRDefault="007C5583" w:rsidP="007B5FE2">
      <w:pPr>
        <w:spacing w:after="0" w:line="240" w:lineRule="auto"/>
        <w:jc w:val="both"/>
        <w:rPr>
          <w:rFonts w:ascii="Times New Roman" w:hAnsi="Times New Roman"/>
          <w:sz w:val="16"/>
          <w:szCs w:val="16"/>
        </w:rPr>
      </w:pPr>
      <w:r w:rsidRPr="007B5FE2">
        <w:rPr>
          <w:rFonts w:ascii="Times New Roman" w:hAnsi="Times New Roman"/>
          <w:sz w:val="16"/>
          <w:szCs w:val="16"/>
        </w:rPr>
        <w:t xml:space="preserve">Во время работ по проектированию, а позже и на испытаниях, возникла необходимость в стабилизации ракеты в полёте, поэтому её оснастили </w:t>
      </w:r>
      <w:r w:rsidR="007B5FE2">
        <w:rPr>
          <w:rFonts w:ascii="Times New Roman" w:hAnsi="Times New Roman"/>
          <w:sz w:val="16"/>
          <w:szCs w:val="16"/>
        </w:rPr>
        <w:t>гтроскопом</w:t>
      </w:r>
      <w:r w:rsidRPr="007B5FE2">
        <w:rPr>
          <w:rFonts w:ascii="Times New Roman" w:hAnsi="Times New Roman"/>
          <w:sz w:val="16"/>
          <w:szCs w:val="16"/>
        </w:rPr>
        <w:t xml:space="preserve">  и установили </w:t>
      </w:r>
      <w:r w:rsidR="007B5FE2">
        <w:rPr>
          <w:rFonts w:ascii="Times New Roman" w:hAnsi="Times New Roman"/>
          <w:sz w:val="16"/>
          <w:szCs w:val="16"/>
        </w:rPr>
        <w:t>стабидизаторы</w:t>
      </w:r>
      <w:r w:rsidRPr="007B5FE2">
        <w:rPr>
          <w:rFonts w:ascii="Times New Roman" w:hAnsi="Times New Roman"/>
          <w:sz w:val="16"/>
          <w:szCs w:val="16"/>
        </w:rPr>
        <w:t xml:space="preserve">. К 30 августа Fieseler завершил первый фюзеляж и первый полет Fi 103 V7 состоялся 10 декабря 1942 года, когда он был сброшен с самолёта </w:t>
      </w:r>
      <w:r w:rsidR="007B5FE2">
        <w:rPr>
          <w:rFonts w:ascii="Times New Roman" w:hAnsi="Times New Roman"/>
          <w:sz w:val="16"/>
          <w:szCs w:val="16"/>
        </w:rPr>
        <w:t>ФВ 200</w:t>
      </w:r>
      <w:r w:rsidRPr="007B5FE2">
        <w:rPr>
          <w:rFonts w:ascii="Times New Roman" w:hAnsi="Times New Roman"/>
          <w:sz w:val="16"/>
          <w:szCs w:val="16"/>
        </w:rPr>
        <w:t xml:space="preserve"> (19631).</w:t>
      </w:r>
    </w:p>
    <w:p w14:paraId="40600AEA" w14:textId="77777777" w:rsidR="007C5583" w:rsidRPr="007B5FE2" w:rsidRDefault="007C5583" w:rsidP="007B5FE2">
      <w:pPr>
        <w:spacing w:after="0" w:line="240" w:lineRule="auto"/>
        <w:jc w:val="both"/>
        <w:rPr>
          <w:rFonts w:ascii="Times New Roman" w:hAnsi="Times New Roman"/>
          <w:sz w:val="16"/>
          <w:szCs w:val="16"/>
        </w:rPr>
      </w:pPr>
    </w:p>
    <w:p w14:paraId="3F8F77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 июня 1942 японские войска оккупировали острова Атту и Киска Алеутского архипелага (3907,237).</w:t>
      </w:r>
    </w:p>
    <w:p w14:paraId="7DF096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DCB3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 5th, 1942: The United States declares war on Rumania, Hungary and Bulgaria (3819).</w:t>
      </w:r>
    </w:p>
    <w:p w14:paraId="5ACF2A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8A73C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США объявили войну Румынии, Венгрии и Болгарии (3819).</w:t>
      </w:r>
    </w:p>
    <w:p w14:paraId="22CF6C2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75BE1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США объявили войну Румынии, Болгарии и Венгрии (4962).</w:t>
      </w:r>
    </w:p>
    <w:p w14:paraId="620A0D4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AB90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Мексика присоединилась к Декларации объединенных наций (3186).</w:t>
      </w:r>
    </w:p>
    <w:p w14:paraId="6EDF74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8DAC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F0D8C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C2535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6 июня</w:t>
      </w:r>
      <w:r w:rsidRPr="008127F8">
        <w:rPr>
          <w:rFonts w:ascii="Times New Roman" w:hAnsi="Times New Roman"/>
          <w:color w:val="000000" w:themeColor="text1"/>
          <w:sz w:val="16"/>
          <w:szCs w:val="16"/>
        </w:rPr>
        <w:t xml:space="preserve"> в 1942 году первый полет </w:t>
      </w:r>
      <w:hyperlink r:id="rId70" w:tgtFrame="_blank" w:history="1">
        <w:r w:rsidRPr="008127F8">
          <w:rPr>
            <w:rFonts w:ascii="Times New Roman" w:hAnsi="Times New Roman"/>
            <w:color w:val="000000" w:themeColor="text1"/>
            <w:sz w:val="16"/>
            <w:szCs w:val="16"/>
          </w:rPr>
          <w:t xml:space="preserve">«Як-7ДИ» </w:t>
        </w:r>
      </w:hyperlink>
      <w:r w:rsidRPr="008127F8">
        <w:rPr>
          <w:rFonts w:ascii="Times New Roman" w:hAnsi="Times New Roman"/>
          <w:color w:val="000000" w:themeColor="text1"/>
          <w:sz w:val="16"/>
          <w:szCs w:val="16"/>
        </w:rPr>
        <w:t>- прототипа «Як-9» (14914).</w:t>
      </w:r>
    </w:p>
    <w:p w14:paraId="5B05210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ED0E84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июня 1942 вышел приказ НКАП N 423с о проведении совместных гос. испытаний планера КТ конструкции и Курбала (1558,70).</w:t>
      </w:r>
    </w:p>
    <w:p w14:paraId="5F6ACF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B551C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июня 1942 на заводе № 21 состоялось совещание по постановке производства ЛаГ-5 или ЛаГГ-5 на заводе № 21 в соответствии с постановлением ГКО. Отмечалось, что ЛаГ-5 имеет ряд конструктивных особенностей по сравнению с ЛаГГ-3. “В связи с постановкой мотора воздушного охлаждения вводится новой конструкции лафет с установкой нового вооружения, новая моторама, изменяется бензо- и маслопроводка, доска приборов, управление самолетом и вооружением, вводится новый выхлопной коллектор весьма сложной конструкции и новый капотаж машины. В целях улучшения летных качеств машины, маневренности и управляемости вводится новое хвостовое оперение. Также вводится предкрылок и изменяется элерон. Эти нововведения влекут за собой изменение в управлении самолетом, нервюрах крыла и др.</w:t>
      </w:r>
    </w:p>
    <w:p w14:paraId="0A0F799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Изменения претерпевают также конструкция фюзеляжа, исключается тоннель водорадиатора и меняется рама фюзеляжа..., носки нервюр центроплана и многое другое”. “Из 36 конструктивных групп самолета не меняются шесть групп, как-то: шасси, закрылки, сиденье, руль поворота, щитки и радиооборудование. Вновь введено 35% новых чертежей”.</w:t>
      </w:r>
    </w:p>
    <w:p w14:paraId="0EB778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вызвало смену генеральной рас-цеховки основных агрегатов по цехам завода. Вновь организовывался дюралево-сборочный цех по изготовлению каркаса капота. Было необходимо изготовить вновь 67 стапелей, переделать 90 и т.д. Сконструировать и изготовить новую оснастку, переделать старую, проверить и восстановить снятую в связи с началом производства самолета Як-7.</w:t>
      </w:r>
    </w:p>
    <w:p w14:paraId="2F99BBD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Заводу недоставало для выполнения полной программы 1853 человека, особенно слесарей и дюральщиков, а график производства ЛаГ-5 предусматривал выпуск 20 самолетов, начиная с 12 июня 1942-го ежемесячно (4573).</w:t>
      </w:r>
    </w:p>
    <w:p w14:paraId="37C87E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9F3D5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июня 1942 после устранения дефек</w:t>
      </w:r>
      <w:r w:rsidRPr="008127F8">
        <w:rPr>
          <w:rFonts w:ascii="Times New Roman" w:hAnsi="Times New Roman"/>
          <w:color w:val="000000" w:themeColor="text1"/>
          <w:sz w:val="16"/>
          <w:szCs w:val="16"/>
        </w:rPr>
        <w:softHyphen/>
        <w:t>тов М-82 с НВ сно</w:t>
      </w:r>
      <w:r w:rsidRPr="008127F8">
        <w:rPr>
          <w:rFonts w:ascii="Times New Roman" w:hAnsi="Times New Roman"/>
          <w:color w:val="000000" w:themeColor="text1"/>
          <w:sz w:val="16"/>
          <w:szCs w:val="16"/>
        </w:rPr>
        <w:softHyphen/>
        <w:t>ва был поставлен на 100-часовое испытание, закончив</w:t>
      </w:r>
      <w:r w:rsidRPr="008127F8">
        <w:rPr>
          <w:rFonts w:ascii="Times New Roman" w:hAnsi="Times New Roman"/>
          <w:color w:val="000000" w:themeColor="text1"/>
          <w:sz w:val="16"/>
          <w:szCs w:val="16"/>
        </w:rPr>
        <w:softHyphen/>
        <w:t>шееся 27 числа. Мотор за время испытаний наработал 137 ч 50 мин, из них 110 ч 06 мин режимных. Насос НБ-ЗУ показал удовлетворительную ра</w:t>
      </w:r>
      <w:r w:rsidRPr="008127F8">
        <w:rPr>
          <w:rFonts w:ascii="Times New Roman" w:hAnsi="Times New Roman"/>
          <w:color w:val="000000" w:themeColor="text1"/>
          <w:sz w:val="16"/>
          <w:szCs w:val="16"/>
        </w:rPr>
        <w:softHyphen/>
        <w:t>боту и не имел дефектов. Автомат РС-2 в процессе испытаний три раза подрегулировывался и потребовал замены материала крышки, выгибав</w:t>
      </w:r>
      <w:r w:rsidRPr="008127F8">
        <w:rPr>
          <w:rFonts w:ascii="Times New Roman" w:hAnsi="Times New Roman"/>
          <w:color w:val="000000" w:themeColor="text1"/>
          <w:sz w:val="16"/>
          <w:szCs w:val="16"/>
        </w:rPr>
        <w:softHyphen/>
        <w:t>шейся под действием нагрева. Фор</w:t>
      </w:r>
      <w:r w:rsidRPr="008127F8">
        <w:rPr>
          <w:rFonts w:ascii="Times New Roman" w:hAnsi="Times New Roman"/>
          <w:color w:val="000000" w:themeColor="text1"/>
          <w:sz w:val="16"/>
          <w:szCs w:val="16"/>
        </w:rPr>
        <w:softHyphen/>
        <w:t>сунки ФБ-10 работали хорошо. Установка НВ на М-82 дала при</w:t>
      </w:r>
      <w:r w:rsidRPr="008127F8">
        <w:rPr>
          <w:rFonts w:ascii="Times New Roman" w:hAnsi="Times New Roman"/>
          <w:color w:val="000000" w:themeColor="text1"/>
          <w:sz w:val="16"/>
          <w:szCs w:val="16"/>
        </w:rPr>
        <w:softHyphen/>
        <w:t>рост мощности 45 л.с. (2,7%) на взлет</w:t>
      </w:r>
      <w:r w:rsidRPr="008127F8">
        <w:rPr>
          <w:rFonts w:ascii="Times New Roman" w:hAnsi="Times New Roman"/>
          <w:color w:val="000000" w:themeColor="text1"/>
          <w:sz w:val="16"/>
          <w:szCs w:val="16"/>
        </w:rPr>
        <w:softHyphen/>
        <w:t>ном режиме, 55 л.с. (4%) на номинале 1-й скорости и 75 л.с. (6,8%) на но</w:t>
      </w:r>
      <w:r w:rsidRPr="008127F8">
        <w:rPr>
          <w:rFonts w:ascii="Times New Roman" w:hAnsi="Times New Roman"/>
          <w:color w:val="000000" w:themeColor="text1"/>
          <w:sz w:val="16"/>
          <w:szCs w:val="16"/>
        </w:rPr>
        <w:softHyphen/>
        <w:t>минале 2-й скорости. Увеличение эффективной мощности мотора с НВ объяснялось тремя факторами:</w:t>
      </w:r>
    </w:p>
    <w:p w14:paraId="75018E1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Уменьшением затраты мощнос</w:t>
      </w:r>
      <w:r w:rsidRPr="008127F8">
        <w:rPr>
          <w:rFonts w:ascii="Times New Roman" w:hAnsi="Times New Roman"/>
          <w:color w:val="000000" w:themeColor="text1"/>
          <w:sz w:val="16"/>
          <w:szCs w:val="16"/>
        </w:rPr>
        <w:softHyphen/>
        <w:t>ти на нагнетатель (сжатие одного воз</w:t>
      </w:r>
      <w:r w:rsidRPr="008127F8">
        <w:rPr>
          <w:rFonts w:ascii="Times New Roman" w:hAnsi="Times New Roman"/>
          <w:color w:val="000000" w:themeColor="text1"/>
          <w:sz w:val="16"/>
          <w:szCs w:val="16"/>
        </w:rPr>
        <w:softHyphen/>
        <w:t>духа меньшей плотности, а не паров топлива);</w:t>
      </w:r>
    </w:p>
    <w:p w14:paraId="57B4235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Понижением температуры сме</w:t>
      </w:r>
      <w:r w:rsidRPr="008127F8">
        <w:rPr>
          <w:rFonts w:ascii="Times New Roman" w:hAnsi="Times New Roman"/>
          <w:color w:val="000000" w:themeColor="text1"/>
          <w:sz w:val="16"/>
          <w:szCs w:val="16"/>
        </w:rPr>
        <w:softHyphen/>
        <w:t>си в конце наполнения (т.е. увеличе</w:t>
      </w:r>
      <w:r w:rsidRPr="008127F8">
        <w:rPr>
          <w:rFonts w:ascii="Times New Roman" w:hAnsi="Times New Roman"/>
          <w:color w:val="000000" w:themeColor="text1"/>
          <w:sz w:val="16"/>
          <w:szCs w:val="16"/>
        </w:rPr>
        <w:softHyphen/>
        <w:t>нием расхода воздуха) в результате уменьшения работы, сообщаемой от колеса нагнетателя;</w:t>
      </w:r>
    </w:p>
    <w:p w14:paraId="34BD133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Уменьшением гидравлических потерь во всасывающих трубопрово</w:t>
      </w:r>
      <w:r w:rsidRPr="008127F8">
        <w:rPr>
          <w:rFonts w:ascii="Times New Roman" w:hAnsi="Times New Roman"/>
          <w:color w:val="000000" w:themeColor="text1"/>
          <w:sz w:val="16"/>
          <w:szCs w:val="16"/>
        </w:rPr>
        <w:softHyphen/>
        <w:t>дах и клапане всасывания вследствие отсутствия топлива (подача одного воздуха).</w:t>
      </w:r>
    </w:p>
    <w:p w14:paraId="5497889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Преимуществом НВ являлась так</w:t>
      </w:r>
      <w:r w:rsidRPr="008127F8">
        <w:rPr>
          <w:rFonts w:ascii="Times New Roman" w:hAnsi="Times New Roman"/>
          <w:color w:val="000000" w:themeColor="text1"/>
          <w:sz w:val="16"/>
          <w:szCs w:val="16"/>
        </w:rPr>
        <w:softHyphen/>
        <w:t>же меньшая неравномерность состава смеси по цилиндрам мотора, особен</w:t>
      </w:r>
      <w:r w:rsidRPr="008127F8">
        <w:rPr>
          <w:rFonts w:ascii="Times New Roman" w:hAnsi="Times New Roman"/>
          <w:color w:val="000000" w:themeColor="text1"/>
          <w:sz w:val="16"/>
          <w:szCs w:val="16"/>
        </w:rPr>
        <w:softHyphen/>
        <w:t>но при низких температурах, когда испаряемость топлива резко понижа</w:t>
      </w:r>
      <w:r w:rsidRPr="008127F8">
        <w:rPr>
          <w:rFonts w:ascii="Times New Roman" w:hAnsi="Times New Roman"/>
          <w:color w:val="000000" w:themeColor="text1"/>
          <w:sz w:val="16"/>
          <w:szCs w:val="16"/>
        </w:rPr>
        <w:softHyphen/>
        <w:t>лась.</w:t>
      </w:r>
    </w:p>
    <w:p w14:paraId="5460C22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взлетное давление надду</w:t>
      </w:r>
      <w:r w:rsidRPr="008127F8">
        <w:rPr>
          <w:rFonts w:ascii="Times New Roman" w:hAnsi="Times New Roman"/>
          <w:color w:val="000000" w:themeColor="text1"/>
          <w:sz w:val="16"/>
          <w:szCs w:val="16"/>
        </w:rPr>
        <w:softHyphen/>
        <w:t>ва у мотора с НВ было ниже, чем у мотора с карбюратором, так как на</w:t>
      </w:r>
      <w:r w:rsidRPr="008127F8">
        <w:rPr>
          <w:rFonts w:ascii="Times New Roman" w:hAnsi="Times New Roman"/>
          <w:color w:val="000000" w:themeColor="text1"/>
          <w:sz w:val="16"/>
          <w:szCs w:val="16"/>
        </w:rPr>
        <w:softHyphen/>
        <w:t>гнетатель сжимал один воздух, а так</w:t>
      </w:r>
      <w:r w:rsidRPr="008127F8">
        <w:rPr>
          <w:rFonts w:ascii="Times New Roman" w:hAnsi="Times New Roman"/>
          <w:color w:val="000000" w:themeColor="text1"/>
          <w:sz w:val="16"/>
          <w:szCs w:val="16"/>
        </w:rPr>
        <w:softHyphen/>
        <w:t>же отсутствовал охлаждающий эффект испаряющегося топлива в смеси. А это в свою очередь понижало высот</w:t>
      </w:r>
      <w:r w:rsidRPr="008127F8">
        <w:rPr>
          <w:rFonts w:ascii="Times New Roman" w:hAnsi="Times New Roman"/>
          <w:color w:val="000000" w:themeColor="text1"/>
          <w:sz w:val="16"/>
          <w:szCs w:val="16"/>
        </w:rPr>
        <w:softHyphen/>
        <w:t>ность мотора с НВ на 1-й скорости на 130 м, на 2-й скорости - на 300-320 м (10705).</w:t>
      </w:r>
    </w:p>
    <w:p w14:paraId="1F0456B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7E6A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июня 1942 вышло Постановление ГКО № 1881 Об обеспечении заводов авиационной промышленности в июне месяце 1942 года балинитом, дельта-древесиной, авиафанерой, смолой ВИАМ-Б и изделиями из пластических масс. РГАНИР, Фонд ГКО, д. 39, лл. 1, 2-5 (11012).</w:t>
      </w:r>
    </w:p>
    <w:p w14:paraId="00CBF5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9EB65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июня 1942 г. на заводе НКАП № 286 приступила к работе особая подконвойная смена в составе 37 литейщиков, а с 8 июня того же года к ним присоединились ещё 28 токарей и слесарей (РГАЭ. Ф. 8044. </w:t>
      </w:r>
      <w:r w:rsidRPr="008127F8">
        <w:rPr>
          <w:rFonts w:ascii="Times New Roman" w:hAnsi="Times New Roman"/>
          <w:color w:val="000000" w:themeColor="text1"/>
          <w:sz w:val="16"/>
          <w:szCs w:val="16"/>
          <w:lang w:val="en-US"/>
        </w:rPr>
        <w:t>On</w:t>
      </w:r>
      <w:r w:rsidRPr="008127F8">
        <w:rPr>
          <w:rFonts w:ascii="Times New Roman" w:hAnsi="Times New Roman"/>
          <w:color w:val="000000" w:themeColor="text1"/>
          <w:sz w:val="16"/>
          <w:szCs w:val="16"/>
        </w:rPr>
        <w:t>. 1. Д. 4468. Л. 47). Директор завода НКАП № 286 договорился с руководством расположенной непода</w:t>
      </w:r>
      <w:r w:rsidRPr="008127F8">
        <w:rPr>
          <w:rFonts w:ascii="Times New Roman" w:hAnsi="Times New Roman"/>
          <w:color w:val="000000" w:themeColor="text1"/>
          <w:sz w:val="16"/>
          <w:szCs w:val="16"/>
        </w:rPr>
        <w:softHyphen/>
        <w:t>лёку ИТК о выделении в распоряжение заводоуправления квалифицированных рабочих из числа заключённых (12011).</w:t>
      </w:r>
    </w:p>
    <w:p w14:paraId="02C6E6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9123B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21438D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D5E4B7"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6 июня 1942 года А. К. Сердюк из СКБ-35 в письме начальнику арткома ГАУ генерал-майору Хохлна писал:</w:t>
      </w:r>
    </w:p>
    <w:p w14:paraId="24B416B0" w14:textId="77777777" w:rsidR="007C5583" w:rsidRPr="008127F8" w:rsidRDefault="007C5583" w:rsidP="007C5583">
      <w:pPr>
        <w:pStyle w:val="af"/>
        <w:spacing w:before="0" w:after="0"/>
        <w:jc w:val="both"/>
        <w:textAlignment w:val="baseline"/>
        <w:rPr>
          <w:iCs/>
          <w:color w:val="000000" w:themeColor="text1"/>
          <w:sz w:val="16"/>
          <w:szCs w:val="16"/>
        </w:rPr>
      </w:pPr>
      <w:r w:rsidRPr="008127F8">
        <w:rPr>
          <w:iCs/>
          <w:color w:val="000000" w:themeColor="text1"/>
          <w:sz w:val="16"/>
          <w:szCs w:val="16"/>
        </w:rPr>
        <w:t>«</w:t>
      </w:r>
      <w:r w:rsidRPr="008127F8">
        <w:rPr>
          <w:iCs/>
          <w:color w:val="000000" w:themeColor="text1"/>
          <w:sz w:val="16"/>
          <w:szCs w:val="16"/>
          <w:bdr w:val="none" w:sz="0" w:space="0" w:color="auto" w:frame="1"/>
        </w:rPr>
        <w:t>Недостаточное техническое руководство и военпредский контроль над производством привели к вопиющим отклонениям от чертежей и технических условий, что в основном свелось к следующему: случайный выбор материалов (по фактическому наличию), безграмотная термообработка, полное пренебрежение антикорозийным покрытием, грубые отклонения в допусках и размерах, замена пороха 41 порохом ВТ и т.п.</w:t>
      </w:r>
    </w:p>
    <w:p w14:paraId="2BD723BC" w14:textId="77777777" w:rsidR="007C5583" w:rsidRPr="008127F8" w:rsidRDefault="007C5583" w:rsidP="007C5583">
      <w:pPr>
        <w:pStyle w:val="af"/>
        <w:spacing w:before="0" w:after="0"/>
        <w:jc w:val="both"/>
        <w:textAlignment w:val="baseline"/>
        <w:rPr>
          <w:iCs/>
          <w:color w:val="000000" w:themeColor="text1"/>
          <w:sz w:val="16"/>
          <w:szCs w:val="16"/>
        </w:rPr>
      </w:pPr>
      <w:r w:rsidRPr="008127F8">
        <w:rPr>
          <w:iCs/>
          <w:color w:val="000000" w:themeColor="text1"/>
          <w:sz w:val="16"/>
          <w:szCs w:val="16"/>
          <w:bdr w:val="none" w:sz="0" w:space="0" w:color="auto" w:frame="1"/>
        </w:rPr>
        <w:t>Можно с уверенностью сказать, что ни один вид боеприпасов не выпускается грубо-кустарно, как это имело место с ВПГС-41</w:t>
      </w:r>
    </w:p>
    <w:p w14:paraId="7782B18E" w14:textId="77777777" w:rsidR="007C5583" w:rsidRPr="008127F8" w:rsidRDefault="007C5583" w:rsidP="007C5583">
      <w:pPr>
        <w:pStyle w:val="af"/>
        <w:spacing w:before="0" w:after="0"/>
        <w:jc w:val="both"/>
        <w:textAlignment w:val="baseline"/>
        <w:rPr>
          <w:iCs/>
          <w:color w:val="000000" w:themeColor="text1"/>
          <w:sz w:val="16"/>
          <w:szCs w:val="16"/>
        </w:rPr>
      </w:pPr>
      <w:r w:rsidRPr="008127F8">
        <w:rPr>
          <w:iCs/>
          <w:color w:val="000000" w:themeColor="text1"/>
          <w:sz w:val="16"/>
          <w:szCs w:val="16"/>
          <w:bdr w:val="none" w:sz="0" w:space="0" w:color="auto" w:frame="1"/>
        </w:rPr>
        <w:t>…</w:t>
      </w:r>
    </w:p>
    <w:p w14:paraId="6BE29D5D" w14:textId="77777777" w:rsidR="007C5583" w:rsidRPr="008127F8" w:rsidRDefault="007C5583" w:rsidP="007C5583">
      <w:pPr>
        <w:pStyle w:val="af"/>
        <w:spacing w:before="0" w:after="0"/>
        <w:jc w:val="both"/>
        <w:textAlignment w:val="baseline"/>
        <w:rPr>
          <w:iCs/>
          <w:color w:val="000000" w:themeColor="text1"/>
          <w:sz w:val="16"/>
          <w:szCs w:val="16"/>
        </w:rPr>
      </w:pPr>
      <w:r w:rsidRPr="008127F8">
        <w:rPr>
          <w:iCs/>
          <w:color w:val="000000" w:themeColor="text1"/>
          <w:sz w:val="16"/>
          <w:szCs w:val="16"/>
          <w:bdr w:val="none" w:sz="0" w:space="0" w:color="auto" w:frame="1"/>
        </w:rPr>
        <w:t>Однако применение гранаты ВПГС-41 на фронте вызвало ряд отрицательных отзывов о ней, что явилось следствием, главным образом, того хаоса в производстве, о котором я докладывал выше.</w:t>
      </w:r>
    </w:p>
    <w:p w14:paraId="6FBBFC48" w14:textId="77777777" w:rsidR="007C5583" w:rsidRPr="008127F8" w:rsidRDefault="007C5583" w:rsidP="007C5583">
      <w:pPr>
        <w:pStyle w:val="af"/>
        <w:spacing w:before="0" w:after="0"/>
        <w:jc w:val="both"/>
        <w:textAlignment w:val="baseline"/>
        <w:rPr>
          <w:iCs/>
          <w:color w:val="000000" w:themeColor="text1"/>
          <w:sz w:val="16"/>
          <w:szCs w:val="16"/>
        </w:rPr>
      </w:pPr>
      <w:r w:rsidRPr="008127F8">
        <w:rPr>
          <w:iCs/>
          <w:color w:val="000000" w:themeColor="text1"/>
          <w:sz w:val="16"/>
          <w:szCs w:val="16"/>
          <w:bdr w:val="none" w:sz="0" w:space="0" w:color="auto" w:frame="1"/>
        </w:rPr>
        <w:t>Скромная баллистика гранаты (малая начальная скорость и дальность) усугубилась плохим качеством изготовления: срывы стабилизаторов, массовые отказы, засорения патронника из-за сгорания гильзы (результат применения вместо пороха 41 по проекту – пороха ВТ) и т.п.</w:t>
      </w:r>
    </w:p>
    <w:p w14:paraId="19CA4DF8" w14:textId="77777777" w:rsidR="007C5583" w:rsidRPr="008127F8" w:rsidRDefault="007C5583" w:rsidP="007C5583">
      <w:pPr>
        <w:pStyle w:val="af"/>
        <w:spacing w:before="0" w:after="0"/>
        <w:jc w:val="both"/>
        <w:textAlignment w:val="baseline"/>
        <w:rPr>
          <w:iCs/>
          <w:color w:val="000000" w:themeColor="text1"/>
          <w:sz w:val="16"/>
          <w:szCs w:val="16"/>
        </w:rPr>
      </w:pPr>
      <w:r w:rsidRPr="008127F8">
        <w:rPr>
          <w:iCs/>
          <w:color w:val="000000" w:themeColor="text1"/>
          <w:sz w:val="16"/>
          <w:szCs w:val="16"/>
          <w:bdr w:val="none" w:sz="0" w:space="0" w:color="auto" w:frame="1"/>
        </w:rPr>
        <w:t>Следует добавить и такие отрицательные явления, как отсутствие разработанной тактики применения, способа хранения и переноски, необученность бойцов обращению с гранатой</w:t>
      </w:r>
      <w:r w:rsidRPr="008127F8">
        <w:rPr>
          <w:iCs/>
          <w:color w:val="000000" w:themeColor="text1"/>
          <w:sz w:val="16"/>
          <w:szCs w:val="16"/>
        </w:rPr>
        <w:t>».</w:t>
      </w:r>
    </w:p>
    <w:p w14:paraId="011DE7A8"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А именно: неправильный подбор материалов (точнее, замену того что надо, на то, что есть под рукой), безграмотная термическая обработка деталей, полное пренебрежение антикоррозийным покрытием, хаос в размерах и допусках, порох другого сорта. Высшее начальство, разобравшись в ситуации, поняло, что в 1941–1942 годах никаких улучшений качества добиться не выйдет. Так что и ВПГС-41, и её более мощная наследница с номером 42 вскоре были сняты с производства (18987).</w:t>
      </w:r>
    </w:p>
    <w:p w14:paraId="734CD339" w14:textId="77777777" w:rsidR="007C5583" w:rsidRPr="008127F8" w:rsidRDefault="007C5583" w:rsidP="007C5583">
      <w:pPr>
        <w:pStyle w:val="af"/>
        <w:spacing w:before="0" w:after="0"/>
        <w:jc w:val="both"/>
        <w:textAlignment w:val="baseline"/>
        <w:rPr>
          <w:color w:val="000000" w:themeColor="text1"/>
          <w:sz w:val="16"/>
          <w:szCs w:val="16"/>
        </w:rPr>
      </w:pPr>
    </w:p>
    <w:p w14:paraId="65501E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июня 1942 года на Гороховецкий полигон для проведения полигонных испытаний был подан опытный образец 57-мм ПТпушки ИС-1. Фактически ИС-1 </w:t>
      </w:r>
      <w:r w:rsidRPr="008127F8">
        <w:rPr>
          <w:rFonts w:ascii="Times New Roman" w:hAnsi="Times New Roman"/>
          <w:color w:val="000000" w:themeColor="text1"/>
          <w:sz w:val="16"/>
          <w:szCs w:val="16"/>
        </w:rPr>
        <w:lastRenderedPageBreak/>
        <w:t>представляла собой ЗИС-2 со стволом, укороченным на 10 калибров (до 63,5 клб). Вес ствола немного уменьшался (до 317,5 кг), нарезка и внутреннее устройство ствола остались без изменений. Однако на вооружение ПТП ИС-1 так и не поступила. С появлением новых немецких танков "Тигр" и "Пантера" срочно потребовались мощные противотанковые пушки (3861).</w:t>
      </w:r>
    </w:p>
    <w:p w14:paraId="4DB1F6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4295FB" w14:textId="77777777" w:rsidR="007C5583" w:rsidRPr="008127F8" w:rsidRDefault="007C5583" w:rsidP="007C5583">
      <w:pPr>
        <w:pStyle w:val="af"/>
        <w:spacing w:before="0" w:after="0"/>
        <w:jc w:val="both"/>
        <w:rPr>
          <w:color w:val="000000" w:themeColor="text1"/>
          <w:sz w:val="16"/>
          <w:szCs w:val="16"/>
        </w:rPr>
      </w:pPr>
      <w:r w:rsidRPr="008127F8">
        <w:rPr>
          <w:color w:val="000000" w:themeColor="text1"/>
          <w:sz w:val="16"/>
          <w:szCs w:val="16"/>
        </w:rPr>
        <w:t>С 6 по 13 июня 1942 проводились испытания пробегом Т-45. Всего танк прошел 1505 км, из них 189 км по асфальту, 805 км по булыжнику, 410 км по щебенке и 110 км по проселочной дороге. В ходе ходовых испытаний имелись нарекания на конструкцию крепления вентилятора, дважды выходившего из строя. Также двигатель часто работал на повышенных оборотах, что в итоге могло привести к его преждевременной поломке. Кроме того, имелось несколько случаев поломок траков, что, впрочем, говорит не о ненадежности самого танка, а о качестве их изготовления заводом №183. Имелась тенденция к отслоению бандажей от катков. Несмотря на ряд замечаний, в целом испытания были признаны успешными, тем более что танк ездил на нештатном двигателе, к тому же еще и не новом.</w:t>
      </w:r>
    </w:p>
    <w:p w14:paraId="788085E3" w14:textId="77777777" w:rsidR="007C5583" w:rsidRPr="008127F8" w:rsidRDefault="007C5583" w:rsidP="007C5583">
      <w:pPr>
        <w:pStyle w:val="af"/>
        <w:spacing w:before="0" w:after="0"/>
        <w:jc w:val="both"/>
        <w:rPr>
          <w:color w:val="000000" w:themeColor="text1"/>
          <w:sz w:val="16"/>
          <w:szCs w:val="16"/>
        </w:rPr>
      </w:pPr>
      <w:r w:rsidRPr="008127F8">
        <w:rPr>
          <w:color w:val="000000" w:themeColor="text1"/>
          <w:sz w:val="16"/>
          <w:szCs w:val="16"/>
        </w:rPr>
        <w:t>Отчет об испытаниях Т-60 с ЗИС-16, а также Т-45 был отправлен в ГАБТУ ближе к концу июня. К тому моменту эта машина, как и Т-60 с пушкой ЗИС-19, выглядела безнадежно устаревшей по сравнению с Т-70. Тем не менее, опытному танку довелось повоевать: согласно переписке, в конце сентября 1942 года единственный Т-45 был отправлен на переработку (17468).</w:t>
      </w:r>
    </w:p>
    <w:p w14:paraId="759D4F2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EF23E0C"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 6 по 13 июня 1942 проводились испытания Т-45 пробегом. Всего танк прошел 1505 км, из них 189 км по асфальту, 805 км по булыжнику, 410 км по щебенке и 110 км по проселочной дороге. В ходе ходовых испытаний имелись нарекания на конструкцию крепления вентилятора, дважды выходившего из строя. Также двигатель часто работал на повышенных оборотах, что в итоге могло привести к его преждевременной поломке. Кроме того, имелось несколько случаев поломок траков, что, впрочем, говорит не о ненадежности самого танка, а о качестве их изготовления заводом №183. Имелась тенденция к отслоению бандажей от катков. Несмотря на ряд замечаний, в целом испытания были признаны успешными, тем более что танк ездил на нештатном двигателе, к тому же еще и не новом.</w:t>
      </w:r>
    </w:p>
    <w:p w14:paraId="1E4312BA"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Отчет об испытаниях Т-60 с ЗИС-16, а также Т-45 был отправлен в ГАБТУ ближе к концу июня. К тому моменту эта машина, как и Т-60 с пушкой ЗИС-19, выглядела безнадежно устаревшей по сравнению с Т-70. Тем не менее, опытному танку довелось повоевать: согласно переписке, в конце сентября 1942 года единственный Т-45 был отправлен на Западный фронт (17636).</w:t>
      </w:r>
    </w:p>
    <w:p w14:paraId="0E321E2C"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166A63F1" w14:textId="77777777" w:rsidR="002B41CE" w:rsidRPr="008A2E5A" w:rsidRDefault="002B41CE" w:rsidP="002B41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6 по 13 июня 1942 на испытаниях танк Т-45 преодолел 1505 километров. На него поставили мотор ЗИС-5, тоже подержанный. Впрочем, более интересным были испытания вооружения. Указывалось, что удобство работы командира башни выше, чем в Т-60. На испытаниях скорострельность достигла 9 выстрелов в минуту, неплохой результат. Правда, всё равно возникал вопрос по тепловому режиму. Не менее важным вопросом стали перспективы Т-45 летом 1942 года. Дело в том, что на ГАЗ и на заводе №38 начался массовый выпуск Т-70. Появись Т-45 на полгода раньше, еще какие-то шансы у него имелись. В июне 1942 года, да еще и без выпуска моторов ЗИС-16, танк выглядел уже не актуальным. В начале июля завод №37 получил приказ прекратить выпуск Т-60 и срочно приступить к производству Т-70. Звезда Т-45 закатилась окончательно (23347).</w:t>
      </w:r>
    </w:p>
    <w:p w14:paraId="0A88E075" w14:textId="77777777" w:rsidR="002B41CE" w:rsidRPr="008A2E5A" w:rsidRDefault="002B41CE" w:rsidP="002B41CE">
      <w:pPr>
        <w:spacing w:after="0" w:line="240" w:lineRule="auto"/>
        <w:jc w:val="both"/>
        <w:rPr>
          <w:rFonts w:ascii="Times New Roman" w:hAnsi="Times New Roman"/>
          <w:color w:val="0070C0"/>
          <w:sz w:val="16"/>
          <w:szCs w:val="16"/>
        </w:rPr>
      </w:pPr>
    </w:p>
    <w:p w14:paraId="33BC4518" w14:textId="77777777" w:rsidR="007C5583" w:rsidRPr="008127F8" w:rsidRDefault="007C5583" w:rsidP="007C5583">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июня 1942 года вышел приказ Наркомата среднего машиностроения (НКСМ) об обеспечении в июне сборки импортных машин на ГАЗ им. Молотова в количестве 3768 шт., в том числе 37 шт. 2,5-тонных грузовиков «Студебеккер», 3506 шт. 1,5-тонных грузовиков «Форд», «Додж» и «Шевроле», 213 шт. разведывательных легковых автомобилей «Виллис» и «Бантам» (15218).</w:t>
      </w:r>
    </w:p>
    <w:p w14:paraId="58B36BA8" w14:textId="77777777" w:rsidR="007C5583" w:rsidRPr="008127F8" w:rsidRDefault="007C5583" w:rsidP="007C5583">
      <w:pPr>
        <w:widowControl w:val="0"/>
        <w:spacing w:after="0" w:line="240" w:lineRule="auto"/>
        <w:jc w:val="both"/>
        <w:rPr>
          <w:rFonts w:ascii="Times New Roman" w:hAnsi="Times New Roman"/>
          <w:color w:val="000000" w:themeColor="text1"/>
          <w:sz w:val="16"/>
          <w:szCs w:val="16"/>
        </w:rPr>
      </w:pPr>
    </w:p>
    <w:p w14:paraId="76DCDB3C" w14:textId="77777777" w:rsidR="002B41CE" w:rsidRPr="008A2E5A" w:rsidRDefault="002B41CE" w:rsidP="002B41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период с 6 по 14 июня 1942 трактора ЧТЗ С-10 №2 и №3, изготовленные на ЧТЗ в начале июня,  выдержали 400-километровые испытания. Таскали они 203-мм опытную корпусную пушку БЛ-39. Вместе с орудием они разгонялись до 16 км/ч, расход топлива составил 190 литров на 100 километров. Вполне приличные показатели. Другой вопрос, что вылезали дефекты, характерные для серийного С-2. По этому поводу военные развели руками, констатируя тот факт, что на ЧКЗ ничего для повышения качества не сделали. Не понравилось им и то, что машина не имела кузов. Требовался кузов на 8 человек (23353).</w:t>
      </w:r>
    </w:p>
    <w:p w14:paraId="11D3825A" w14:textId="77777777" w:rsidR="002B41CE" w:rsidRPr="008A2E5A" w:rsidRDefault="002B41CE" w:rsidP="002B41CE">
      <w:pPr>
        <w:spacing w:after="0" w:line="240" w:lineRule="auto"/>
        <w:jc w:val="both"/>
        <w:rPr>
          <w:rFonts w:ascii="Times New Roman" w:hAnsi="Times New Roman"/>
          <w:color w:val="0070C0"/>
          <w:sz w:val="16"/>
          <w:szCs w:val="16"/>
        </w:rPr>
      </w:pPr>
    </w:p>
    <w:p w14:paraId="7635DFD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июня 1942 вышло Постановление ГКО № 1890 О проектировании жел.-дор. линии [в МНР] Байн - Тумен - Томцаг - Булак - Хамарадаба с ветвями Дзин - Булак - Угольные копи и Томцаг - Булак - Яковлевский городок. (7038, 44).</w:t>
      </w:r>
    </w:p>
    <w:p w14:paraId="0BDA780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3B94D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июня 1942 вышло Постановление ГКО № 1882 Об организации Всесоюзного социалистического соревнования нефтебаз и предприятий Главнефтесбыта при Совнаркоме Союза ССР. РГАНИР, Фонд ГКО, д. 39, лл. 6, 7-11 (11012).</w:t>
      </w:r>
    </w:p>
    <w:p w14:paraId="23CAA0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7B390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июня 1942 вышло Постановление ГКО № 1883 О производстве дымовых шашек на июнь 1942 года. РГАНИР, Фонд ГКО, д. 39, лл. 12-15 (11012).</w:t>
      </w:r>
    </w:p>
    <w:p w14:paraId="254740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7C4D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вышло Постановление ГКО № 1884 О плане отпуска боеприпасов на июнь 1942 г. РГАНИР, Фонд ГКО, д. 39, лл. 16-17, 18-29 (11012).</w:t>
      </w:r>
    </w:p>
    <w:p w14:paraId="70B255A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8D2E2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июня 1942 вышло Постановление ГКО № 1888 О строительстве на Доргомиловском химическом заводе им.Фрунзе. Наркомхимпрома цеха производства резорцина. РГАНИР, Фонд ГКО, д. 39, лл. 38-39, 40-42 (11012).</w:t>
      </w:r>
    </w:p>
    <w:p w14:paraId="37306E7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0A1B4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июня 1942 вышло Постановление ГКО № 1891 О структуре центрального аппарата Народного комиссариата путей сообщения. (7038, 45-47).</w:t>
      </w:r>
    </w:p>
    <w:p w14:paraId="16C5430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A9C5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13FA601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4430D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6 июня</w:t>
      </w:r>
      <w:r w:rsidRPr="008127F8">
        <w:rPr>
          <w:rFonts w:ascii="Times New Roman" w:hAnsi="Times New Roman"/>
          <w:color w:val="000000" w:themeColor="text1"/>
          <w:sz w:val="16"/>
          <w:szCs w:val="16"/>
        </w:rPr>
        <w:t xml:space="preserve"> в 1942 году утреннее сообщение Совинформбюро:</w:t>
      </w:r>
    </w:p>
    <w:p w14:paraId="5E115DB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6 июня на фронте ничего существенного не произошло.</w:t>
      </w:r>
    </w:p>
    <w:p w14:paraId="5B456AF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Лётчики-истребители противовоздушной обороны активно ведут борьбу с немецкими разведчиками и бомбардировщиками. За последние два дня истребительной авиациейПВО сбито 15 самолётов противника. Лейтенант Проскурин таранил немецкий самолёт «Хейнкель-111». Младший лейтенант Родионов таранил бомбардировщик «Ю-88». Как установлено, на этом самолёте весь экипаж состоял из немецких офицеров. Захвачены ценные документы.</w:t>
      </w:r>
    </w:p>
    <w:p w14:paraId="1125104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в тылу противника (Западный фронт), отразила ожесточённые атаки немецкой пехоты, поддержанной танками. Противник потерял убитыми и ранеными несколько сот солдат и офицеров. Уничтожено 8 немецких танков.</w:t>
      </w:r>
    </w:p>
    <w:p w14:paraId="55EEFE8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Калининского фронта наши разведчики атаковали населенныйпункт К. и полностью уничтожили немецкий гарнизон численностью в 100человек.</w:t>
      </w:r>
    </w:p>
    <w:p w14:paraId="4CA7C02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Пять наших истребителей под командой лейтенанта Орешина штурмовали колонну автомашин с пехотой противника. В это время в воздухе появилось 30 немецких «Мессершмиттов». Наши лётчики, ни на минуту не теряя инициативы, вступили в бойи сбили 3 «Мессершмитта». Наши потери — один самолёт.</w:t>
      </w:r>
    </w:p>
    <w:p w14:paraId="5A84B2E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Южного фронта наш разведывательный отряд подкомандованием тов. Плужникова ворвался в окопы противника и уничтожил 16 гитлеровцев. Захвачено в плен несколько немецких солдат.</w:t>
      </w:r>
    </w:p>
    <w:p w14:paraId="2FD0FE7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немецких самолётов пытались бомбить одну нашу кавалерийскую часть. Старший лейтенант Ганжа и сержант Иванников открыли огонь из зенитных орудий и сбили четыре немецких самолёта «Юнкерс-88». Остальные самолёты противника быстро скрылись.</w:t>
      </w:r>
    </w:p>
    <w:p w14:paraId="7FC0242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смоленских партизан под командованием тов. Г. организовал крушение немецкого воинского эшелона. В результате крушения 10 вагонов разбито и 15 повреждено. Уничтожено 8 автомашин, 4 танка и цистерна с горючим. Под обломками вагонов погибли 250 немецко-фашистских оккупантов. На следующий день отряд совершил успешный налёт на крупную железнодорожную станцию. Перебив охрану, партизаны взорвали склад с боеприпасами и разрушили 1200 метров железнодорожного полотна.</w:t>
      </w:r>
    </w:p>
    <w:p w14:paraId="0937DA1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командир 3 роты 260 полка 113 немецкой пехотной дивизии лейтенант Оскар Рехенбах показал: «Русские танки прорвали нашу оборону и отрезали роте путь к отходу. Я увидел, что мы окружены, и приказал солдатам сложить оружие и сдаться. Не только солдаты, но и офицеры уже устали от войны. Всем хочется домой. Настроение офицеров заметно ухудшилось, как только стало ясно, что «блицкриг» не получается и война приняла затяжной характер. Все сходятся на том, что мы недооценили силу Красной Армии. Войну надо кончать, так как второй русской зимы германская армия не выдержит». В заключение Рехенбах сделал следующее заявление: «Я должен признать, что лично видел, как эсэсовцы на улицах Киева расстреливали невинных жителей».</w:t>
      </w:r>
    </w:p>
    <w:p w14:paraId="3EB669D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городе Бреслау (Германия) произошла стихийная демонстрация женщин. Демонстранты требовали вернуть мужей с фронта и прекратить войну. Полицейские дубинками разогнали толпу, арестовали и бросили в тюрьму несколько десятков женщин.</w:t>
      </w:r>
    </w:p>
    <w:p w14:paraId="7706390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Недалеко от города Праги чешские патриоты сожгли железнодорожный состав немецких оккупантов с бензином. Огнём уничтожено 18 цистерн.» (14914).</w:t>
      </w:r>
    </w:p>
    <w:p w14:paraId="44C609D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C758B7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6 июня</w:t>
      </w:r>
      <w:r w:rsidRPr="008127F8">
        <w:rPr>
          <w:rFonts w:ascii="Times New Roman" w:hAnsi="Times New Roman"/>
          <w:color w:val="000000" w:themeColor="text1"/>
          <w:sz w:val="16"/>
          <w:szCs w:val="16"/>
        </w:rPr>
        <w:t xml:space="preserve"> в 1942 году вечернее сообщение Совинформбюро:</w:t>
      </w:r>
    </w:p>
    <w:p w14:paraId="44757F0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6 июня на некоторых участках фронта имели место бои местного значения и активные действия разведывательных отрядов и авиации.</w:t>
      </w:r>
    </w:p>
    <w:p w14:paraId="6A96D4A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За 5 июня частями нашей авиации на различных участках фронта уничтожено или повреждено 15 немецких танков, 120 автомашин с войсками и грузами, 20 повозок с боеприпасами, взорвано 6 бензозаправщиков и 7 железнодорожных цистерн с горючим, разбито 2 железнодорожных состава, рассеяно и частью уничтожено до батальона пехоты противника.</w:t>
      </w:r>
    </w:p>
    <w:p w14:paraId="3768215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Немецкая пехота при поддержке танков пыталась овладеть важным рубежом на одном из участков Северо-Западного фронта. Наши бойцы встретили противника огнём из всех видав пехотного оружия в вынудили его отойти на исходные позиции. На поле боя немцы оставили более 300 трупов и 6 подбитых танков.</w:t>
      </w:r>
    </w:p>
    <w:p w14:paraId="30D311C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 разведывательный отряд (Калининский фронт) проник в тыл противника и напал на вражеский аэродром. Разведчики уничтожили 50 немецких солдат и офицеров из обслуживающего персонала и охраны аэродрома, взорвали склад с горючим и сожгли 4 планёра. Другой отряд разведчиков совместно с партизанским отрядом тов.В. заминировал железнодорожное полотно. Немецкий воинский эшелон наскочил на мины и свалился под откос.</w:t>
      </w:r>
    </w:p>
    <w:p w14:paraId="2C5E6BC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Лётчик младший лейтенант тов. Рутковский вступил в бой с 7 истребителями противника. Тов. Рутковский был дважды ранен. Гитлеровцам удалось поджечь его самолёт. Однако отважный советский лётчик не вышел из боя: на горящем самолётеон врезался в строй вражеских истребителей и сбил «Мессершмитт-109». И только тогда, когда самолёт потерял управление, тов. Рутковский спрыгнул на парашюте и приземлился на своей территории.</w:t>
      </w:r>
    </w:p>
    <w:p w14:paraId="3D5921E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Красноармеец тов. Гришин из части, которой командует тов. Анисимов, пулемётным огнём сбил три немецких самолёта — два «Ю-52» и один «Хейнкель-111».</w:t>
      </w:r>
    </w:p>
    <w:p w14:paraId="1F779E9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X., действующий в тылу противника на Западном фронте, отбил несколько ожесточённых атак немецких оккупантов и сжёг 4 танка противника.</w:t>
      </w:r>
    </w:p>
    <w:p w14:paraId="4B0C261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капрал 5 роты 2 батальона 33 румынского полка Александр Якоб сообщил: «В ночь на 3 мая из нашего подразделения исчезли солдаты Аврам Стериан и Петре Дорожан. Никто не знал, куда они пропали. Через несколько дней во время передачи русской звуковещательной станции мы услышали голоса Стериана и Дорожана. Они призывали нас кончать войну и сдаваться в плен. Весь батальон жадно ловил каждое слово. Эти выступления произвели на всех огромное впечатление и вызвали оживлённые разговоры среди солдат. На другой день командир батальона майор Ботеску выстроил батальон и принялся нас ругать. Он сказал, что многие солдаты стали на путь бегства с фронта. Указав на то, что солдаты мечтают о плене или о лёгкой ране, чтобы таким образом отделаться от войны, Ботеску пригрозил, что таких «мечтателей» он будет расстреливать».</w:t>
      </w:r>
    </w:p>
    <w:p w14:paraId="2C1DA69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заключение пленный Александр Якоб сообщил, что население Румынии бедствует и голодает. «В небольших городах Румынии жители фактически получают в неделю всего лишь 600 граммов суррогатного хлеба на человека».</w:t>
      </w:r>
    </w:p>
    <w:p w14:paraId="088C696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Добровольно перешедший на сторону Красной Армии немецкий унтер-офицер Альберт Г. сообщил: «В Подберезье, Ленинградской области, были доставлены 50 советских военнопленных. Немецкий офицер, фамилия которого я не знаю, приказал по пленным открыть огонь из пулемёта. Все советские военнопленные были перебиты» (14914).</w:t>
      </w:r>
    </w:p>
    <w:p w14:paraId="0DB3CAD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57965B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июня 1942 г. немцы применили при стрельбе по 30-й батареи сверхмощную артиллерию. Ими были подвезены к Севастополю мортирные батареи калибра до 420 мм, а также два специальных орудия</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типа «Карл» калибра 600 мм и знаменитая пушка</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«Дора», спроектированная для поражения укреплений французской линии Мажино. Длина её ствола с</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казёнником составляла около 30 м, вес снаряда около 7 т, калибр 800 мм. Известно мнение начальника</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немецкого генерального штаба сухопутных войск</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генерала Ф. Гальдера, охарактеризовавшего эту</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пушку как «настоящее произведение искусства, однако бесполезное», но документально применение</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этого орудия под Севастополем не подтверждается. Врагу удалось вывести из строя вторую башню, в которой была пробита броня и повреждено одно</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орудие. Авиация противника сбросила на позицию</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батареи 1000-кг бомбы. В ночь на 7 июня башня усилиями бригады рабочих под руководством бригадира С. И. Прокуды и личного состава батареи была ішедена в строй, но</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могла действовать только одним орудием. 9 июня батарея получила серьёзное повреждение. Мощный снаряд попал в одну из башен, пробил броню и повредил орудие. К 10 июня батарея могла стрелять только двумя орудиями, по одному из каждой башни. Все инженерные сооружения сухопутной обороны батареи</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были разрушены. Противник всеми силами старался уничтожить 30-ю батарею и ежедневно обстреливал её из тяжёлых орудий. Только 14 июня противник выпустил по батарее свыше 700 снарядов.</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Немецкая авиация с ожесточением бомбила её, но</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успеха не имела. 15 июня на батарею было произведено до 600 самолёто-вылетов. В тот же день, 15 июня, группа немецких автоматчиков перерезала воздушную и подземную линии связи 30-й батареи с городом. На следующий день перестала действовать и радиосвязь, так как</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были уничтожены все наружные антенны. 17 июня батарея была окончательно блокирована противником. В подземных помещениях батареи остались около 250 человек личного состава, бойцов</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95-й стрелковой дивизии и морских пехотинцев. В</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соответствие с указаниями командования личный</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состав должен был вырываться из окружения тремя</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группами, причём последняя группа должна была</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взорвать батарею. Первая группа в количестве 75 человек при прорыве была частично перебита, а прорвавшиеся доложили командованию о положении на батарее. Немцы, определив места выхода бойцов из батареи, усилили огонь в этих местах и сделали дальнейший прорыв невозможным. 17 июня немцам удалось блокировать батарею. В окружённой батарее осталось около 200 человек.</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У артиллеристов осталось всего 40 снарядов главного калибра, но и будучи блокированной, батарея</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продолжала вести огонь по врагу. 18 июня, израсходовав боеприпасы, бойцы запёрлись в башнях и</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железобетонных блоках, ожидая подхода немцев.</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Немцы захватили на поверхности весь район батареи. Командир батареи Александер пытался организовать ночной прорыв бойцов, но они попали</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под сильный пулемётный огонь. Многие погибли,</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остальные вынуждены были вернуться под массив</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бетона. Немцы неоднократно предлагали морякам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сдаться, но те ответили отказом. Забив песком выхлопные трубы дизелей, немцы обесточили батарею, пустили под бетонный массив</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ядовитый дым. Затем подорвали входные двери и</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ворвались внутрь батареи. Начались рукопашные</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бои. Тогда командир батареи принял решение взорвать башни, дизеля, силовую станцию, приборы</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управления стрельбой. Это было выполнено 21</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июня. Оставшиеся бойцы решили прорываться к</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партизанам в горы, но это удалось не всем. 25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июня командир батареи майор Г. А. Александер</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вышел из башни через водосток, но на следующий</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день он был схвачен немцами и затем расстрелян. 26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июня немцы ворвались в башни и захватили</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около 40 пленных. Бульшая часть гарнизона задохнулась в дыму или погибла от взрывов. С падением батареи № 30 судьба Севастополя была решена (15132).</w:t>
      </w:r>
    </w:p>
    <w:p w14:paraId="5D3FB52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015A8A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июня 1942 группа штурмовиков П.И.Зуба уничтожила 22 и повредила 20 самолетов на аэродроме (438,846).</w:t>
      </w:r>
    </w:p>
    <w:p w14:paraId="09F408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027D4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июня 1942 был один из последних крупных налетов на Москву. 62 бомбардировщика встретили в районе Кубинки и за 19 минут рассеяли (3417,23).</w:t>
      </w:r>
    </w:p>
    <w:p w14:paraId="648E1B8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C4317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июня 1942 мл. л Ю.А.Рутковский вступил в бой с 7 и, был дважды ранен, не вышел из боя, врезался на горящем самолете в строй и сбил один, но выбросился на парашюте и приземлился (438,846).</w:t>
      </w:r>
    </w:p>
    <w:p w14:paraId="13AA670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3ED4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июня 1942 вышло Постановление ГКО № 1885 Об утверждении плана отпуска вещевого имущества для Красной Армии на июнь месяц 1942 года. РГАНИР, Фонд ГКО, д. 39, лл. 30, 31-34 (11012).</w:t>
      </w:r>
    </w:p>
    <w:p w14:paraId="046D05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81AE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июня 1942 вышло Постановление ГКО № 1886 О сформировании. десяти армейских полков ПВО для Брянского фронта. РГАНИР, Фонд ГКО, д. 39, лл. 35-35об (11012).</w:t>
      </w:r>
    </w:p>
    <w:p w14:paraId="3B2270B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4A98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июня 1942 вышло Постановление ГКО № 1887 О сформировании. шестнадцати армейских полков ПВО для Западного фронта. РГАНИР, Фонд ГКО, д. 39, лл. 36-37 (11012).</w:t>
      </w:r>
    </w:p>
    <w:p w14:paraId="4FDADA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0119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июня 1942 вышло Постановление ГКО № 1889 О порядке выдачи водки войскам действующей армии. РГАНИР, Фонд ГКО, д. 39, лл. 43 (11012).</w:t>
      </w:r>
    </w:p>
    <w:p w14:paraId="373BBE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0A27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42A891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E275C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июня 1942 года пять Пьяджи Р.108В с аэродрома Децимоманну на Сардинии предприняли попытку бомбить английскую военно-морскую базу Гибралтар. Один из них из-за отказа мотора был вынужден вернуться, но остальные сбросили 6 бомб калибра 250 и 66 бомб калибра 100 кг. Из-за нехватки топлива три экипажа были вынуждены запросить экстренную посадку на испанском острове Пальма де Майорка, и два из них сели аварийно. Исправный третий самолет срочно был заправлен и продолжил полет в Италию — испанский диктатор Франко симпатизировал итальянскому диктатору Муссолини, но воевать с Великобританией не собирался. И только один Р.108В из всей группы выполнил задание и вернулся на свою базу (22873).</w:t>
      </w:r>
    </w:p>
    <w:p w14:paraId="25CE09F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C6065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июня 1942 США объявили войну Болгарии, Венгрии и Румынии (3186).</w:t>
      </w:r>
    </w:p>
    <w:p w14:paraId="4932125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F6F2D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июня 1942 в ходе четырехдневной морской битвы у атолла Мидуэй (Тихий океан) американцы разгромили японский флот, потерявший 17 кораблей (4962).</w:t>
      </w:r>
    </w:p>
    <w:p w14:paraId="3CCE19E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C3EAC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6 июня</w:t>
      </w:r>
      <w:r w:rsidRPr="008127F8">
        <w:rPr>
          <w:rFonts w:ascii="Times New Roman" w:hAnsi="Times New Roman"/>
          <w:color w:val="000000" w:themeColor="text1"/>
          <w:sz w:val="16"/>
          <w:szCs w:val="16"/>
        </w:rPr>
        <w:t xml:space="preserve"> в 1942 году завершается длящееся 4 дня сражение за атолл Мидуэй в Тихом океане между флотами США и Японии. Боевые действия в основном ведет авиация с авианосцев, которые станут после этой битвы главной ударной силой океанских флотов. Несмотря на первоначальные успехи японцев, сражение завершается их </w:t>
      </w:r>
      <w:r w:rsidRPr="008127F8">
        <w:rPr>
          <w:rFonts w:ascii="Times New Roman" w:hAnsi="Times New Roman"/>
          <w:color w:val="000000" w:themeColor="text1"/>
          <w:sz w:val="16"/>
          <w:szCs w:val="16"/>
        </w:rPr>
        <w:lastRenderedPageBreak/>
        <w:t>поражением. Японцы теряют 4 авианосца, 1 крейсер и 253 самолета. Вместе с флагманским кораблем погибает и японский адмирал Тамон Ямагучи. Потери американцев составляют 1 авианосец, 1 эскадренный миноносец и 150 самолетов. Мощь японских военно-морских сил после этого сражения будет подорвана (14914).</w:t>
      </w:r>
    </w:p>
    <w:p w14:paraId="7C1217B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D26039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июня 1942, совершив 112 боевых вылетов, самолеты с «Энтерпрайз» и «Хорнет» потопили японский тяжелый крейсер «Микума», когда он уходил из района Мидуэй, завершив битву за Мидуэй. Участвуют три Дугласа TBD Devastators; это была их последняя боевая. Четыре бомбардировщика ВВС США Consolidated B-24 Liberator под командованием генерал-майора Кларенса Л. Тинкера взлетают с Мидуэя, чтобы атаковать базу японских бомбардировщиков на острове Уэйк. Самолет Тинкера исчезает после взлета и не обломки или тела не были либо найденны (20793).</w:t>
      </w:r>
    </w:p>
    <w:p w14:paraId="1664351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D554B2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6 июня</w:t>
      </w:r>
      <w:r w:rsidRPr="008127F8">
        <w:rPr>
          <w:rFonts w:ascii="Times New Roman" w:hAnsi="Times New Roman"/>
          <w:color w:val="000000" w:themeColor="text1"/>
          <w:sz w:val="16"/>
          <w:szCs w:val="16"/>
        </w:rPr>
        <w:t xml:space="preserve"> в 1942 году первый прыжок с нейлоновым парашютом (Hartford Ct-Adeline Gray) (14914).</w:t>
      </w:r>
    </w:p>
    <w:p w14:paraId="6C321AC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939E97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июня 1942 совершен первый прыжок на синтетическом парашюте (4962).</w:t>
      </w:r>
    </w:p>
    <w:p w14:paraId="1DBE0AF1"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B686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5B5023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772A0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июня 1942 самолет ИЛ-2 с М-82, построенный в одном экземпляре на заводе № 381 в одноместном варианте 28 апреля, прошел заводские испыта</w:t>
      </w:r>
      <w:r w:rsidRPr="008127F8">
        <w:rPr>
          <w:rFonts w:ascii="Times New Roman" w:hAnsi="Times New Roman"/>
          <w:color w:val="000000" w:themeColor="text1"/>
          <w:sz w:val="16"/>
          <w:szCs w:val="16"/>
        </w:rPr>
        <w:softHyphen/>
        <w:t>ния, перелетел на аэродром НИИ ВВС в Колъцово, где доводился в течение августа — сентября. Самолет летал с полной загрузкой горючим и маслом, безбомб и боеприпасов. Общий налет к 17 августа составил 6 ч 6 мин (8 полетов). В воздухе самолет вел себя устойчиво. Макси</w:t>
      </w:r>
      <w:r w:rsidRPr="008127F8">
        <w:rPr>
          <w:rFonts w:ascii="Times New Roman" w:hAnsi="Times New Roman"/>
          <w:color w:val="000000" w:themeColor="text1"/>
          <w:sz w:val="16"/>
          <w:szCs w:val="16"/>
        </w:rPr>
        <w:softHyphen/>
        <w:t>мальная скорость у земли достигала 375 км/ч. Мотор работал хо</w:t>
      </w:r>
      <w:r w:rsidRPr="008127F8">
        <w:rPr>
          <w:rFonts w:ascii="Times New Roman" w:hAnsi="Times New Roman"/>
          <w:color w:val="000000" w:themeColor="text1"/>
          <w:sz w:val="16"/>
          <w:szCs w:val="16"/>
        </w:rPr>
        <w:softHyphen/>
        <w:t>рошо. Однако после каждого полета появлялись трещины на сек</w:t>
      </w:r>
      <w:r w:rsidRPr="008127F8">
        <w:rPr>
          <w:rFonts w:ascii="Times New Roman" w:hAnsi="Times New Roman"/>
          <w:color w:val="000000" w:themeColor="text1"/>
          <w:sz w:val="16"/>
          <w:szCs w:val="16"/>
        </w:rPr>
        <w:softHyphen/>
        <w:t>циях выхлопного коллектора. Пришлось поставить коллектор из нержавеющей стали толщиной 1,5 мм. Усилили крепление бро</w:t>
      </w:r>
      <w:r w:rsidRPr="008127F8">
        <w:rPr>
          <w:rFonts w:ascii="Times New Roman" w:hAnsi="Times New Roman"/>
          <w:color w:val="000000" w:themeColor="text1"/>
          <w:sz w:val="16"/>
          <w:szCs w:val="16"/>
        </w:rPr>
        <w:softHyphen/>
        <w:t>невых нижних крышек капота мотора. 25 августа при проведении испытаний на определение границ высотности прогорел выхлоп</w:t>
      </w:r>
      <w:r w:rsidRPr="008127F8">
        <w:rPr>
          <w:rFonts w:ascii="Times New Roman" w:hAnsi="Times New Roman"/>
          <w:color w:val="000000" w:themeColor="text1"/>
          <w:sz w:val="16"/>
          <w:szCs w:val="16"/>
        </w:rPr>
        <w:softHyphen/>
        <w:t>ной клапан и обнаружился задир поршня. «Пропала» компрессия. Мотор признали непригодным к эксплуатации. Планирова</w:t>
      </w:r>
      <w:r w:rsidRPr="008127F8">
        <w:rPr>
          <w:rFonts w:ascii="Times New Roman" w:hAnsi="Times New Roman"/>
          <w:color w:val="000000" w:themeColor="text1"/>
          <w:sz w:val="16"/>
          <w:szCs w:val="16"/>
        </w:rPr>
        <w:softHyphen/>
        <w:t>лась его замена и продолжение полетов. Что с самолетом стало в дальнейшем — неясно (11474,285).</w:t>
      </w:r>
    </w:p>
    <w:p w14:paraId="7295174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A9ECF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июня 1942 г. самолет Су-6 с новым мотором М-71 и с небольшими доработками, включающими некоторое улуч</w:t>
      </w:r>
      <w:r w:rsidRPr="008127F8">
        <w:rPr>
          <w:rFonts w:ascii="Times New Roman" w:hAnsi="Times New Roman"/>
          <w:color w:val="000000" w:themeColor="text1"/>
          <w:sz w:val="16"/>
          <w:szCs w:val="16"/>
        </w:rPr>
        <w:softHyphen/>
        <w:t>шение бронирования и обзора вперед-вниз летчика (сиденье летчика было поднято на 35 мм), снова проходил совместные с заводом № 289 государственные испытания. Ответственным исполнителем был К.А. Калилец, ведущий инженер А.В. Си</w:t>
      </w:r>
      <w:r w:rsidRPr="008127F8">
        <w:rPr>
          <w:rFonts w:ascii="Times New Roman" w:hAnsi="Times New Roman"/>
          <w:color w:val="000000" w:themeColor="text1"/>
          <w:sz w:val="16"/>
          <w:szCs w:val="16"/>
        </w:rPr>
        <w:softHyphen/>
        <w:t>нельников и ведущий летчик майор А.К. Долгов. Самолет об</w:t>
      </w:r>
      <w:r w:rsidRPr="008127F8">
        <w:rPr>
          <w:rFonts w:ascii="Times New Roman" w:hAnsi="Times New Roman"/>
          <w:color w:val="000000" w:themeColor="text1"/>
          <w:sz w:val="16"/>
          <w:szCs w:val="16"/>
        </w:rPr>
        <w:softHyphen/>
        <w:t>летали майор Нюхтиков и капитан Коробов.</w:t>
      </w:r>
    </w:p>
    <w:p w14:paraId="7DF5476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нормальном полетном весе (10 РС-132, 200 кг бомб и боекомплект к стрелково-пушечному вооружению) самолет развивал у земли скорость 445 км/ч, на высоте 2500 м — 491 км/ч. Время подъема на высоту 1000 м составляло 1,7 мин. Летные данные и маневренные качества Су-6 оказались значительно выше, чем у серийного штурмовика Ил-2. С нор</w:t>
      </w:r>
      <w:r w:rsidRPr="008127F8">
        <w:rPr>
          <w:rFonts w:ascii="Times New Roman" w:hAnsi="Times New Roman"/>
          <w:color w:val="000000" w:themeColor="text1"/>
          <w:sz w:val="16"/>
          <w:szCs w:val="16"/>
        </w:rPr>
        <w:softHyphen/>
        <w:t>мальной боевой нагрузкой (10 РС-132, 200 кг бомб и боеком</w:t>
      </w:r>
      <w:r w:rsidRPr="008127F8">
        <w:rPr>
          <w:rFonts w:ascii="Times New Roman" w:hAnsi="Times New Roman"/>
          <w:color w:val="000000" w:themeColor="text1"/>
          <w:sz w:val="16"/>
          <w:szCs w:val="16"/>
        </w:rPr>
        <w:softHyphen/>
        <w:t>плект к пушкам и пулеметам) самолет развивал у земли ско</w:t>
      </w:r>
      <w:r w:rsidRPr="008127F8">
        <w:rPr>
          <w:rFonts w:ascii="Times New Roman" w:hAnsi="Times New Roman"/>
          <w:color w:val="000000" w:themeColor="text1"/>
          <w:sz w:val="16"/>
          <w:szCs w:val="16"/>
        </w:rPr>
        <w:softHyphen/>
        <w:t>рость 445 км/ч, на высоте 2500 м — 491 км/ч. Время подъема на высоту 1000 м было не более 1,7 мин. Вираж на высоте 1000 м выполнялся за 24—25 с.</w:t>
      </w:r>
    </w:p>
    <w:p w14:paraId="45C11BA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Даже с 400 кг бомб и 10 РС-132 Су-6 превосходил Ил-2 по всем определяющим летно-боевым показателям. Только по дальности полета Су-6 уступал Ил-2: на высоте 670 м и скоро</w:t>
      </w:r>
      <w:r w:rsidRPr="008127F8">
        <w:rPr>
          <w:rFonts w:ascii="Times New Roman" w:hAnsi="Times New Roman"/>
          <w:color w:val="000000" w:themeColor="text1"/>
          <w:sz w:val="16"/>
          <w:szCs w:val="16"/>
        </w:rPr>
        <w:softHyphen/>
        <w:t>сти 360 км/ч он мог пролететь 576 км.</w:t>
      </w:r>
    </w:p>
    <w:p w14:paraId="1C4F8CF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Отмечалось, что кабина летчика достаточно просторная, расположение приборов удобное. Козырек кабины целесооб</w:t>
      </w:r>
      <w:r w:rsidRPr="008127F8">
        <w:rPr>
          <w:rFonts w:ascii="Times New Roman" w:hAnsi="Times New Roman"/>
          <w:color w:val="000000" w:themeColor="text1"/>
          <w:sz w:val="16"/>
          <w:szCs w:val="16"/>
        </w:rPr>
        <w:softHyphen/>
        <w:t>разно сделать по типу Ил-2. Дело в том, что козырек летчика на Су-6 был выполнен из плексигласа, а прозрачное броне</w:t>
      </w:r>
      <w:r w:rsidRPr="008127F8">
        <w:rPr>
          <w:rFonts w:ascii="Times New Roman" w:hAnsi="Times New Roman"/>
          <w:color w:val="000000" w:themeColor="text1"/>
          <w:sz w:val="16"/>
          <w:szCs w:val="16"/>
        </w:rPr>
        <w:softHyphen/>
        <w:t>стекло устанавливалось внутри кабины.</w:t>
      </w:r>
    </w:p>
    <w:p w14:paraId="32E0E19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технике пилотирования штурмовик был доступен лет</w:t>
      </w:r>
      <w:r w:rsidRPr="008127F8">
        <w:rPr>
          <w:rFonts w:ascii="Times New Roman" w:hAnsi="Times New Roman"/>
          <w:color w:val="000000" w:themeColor="text1"/>
          <w:sz w:val="16"/>
          <w:szCs w:val="16"/>
        </w:rPr>
        <w:softHyphen/>
        <w:t>чикам средней квалификации. Во всем диапазоне скоростей от минимальной (скорость сваливания 270 км/ч) до максималь</w:t>
      </w:r>
      <w:r w:rsidRPr="008127F8">
        <w:rPr>
          <w:rFonts w:ascii="Times New Roman" w:hAnsi="Times New Roman"/>
          <w:color w:val="000000" w:themeColor="text1"/>
          <w:sz w:val="16"/>
          <w:szCs w:val="16"/>
        </w:rPr>
        <w:softHyphen/>
        <w:t>ной самолет был устойчив по всем трем осям. Вираж самолет выполнял устойчиво. Оптимальной скоростью при выполнении виража или восьмерки с креном до 60° являлась скорость в 310—320 км/ч по прибору.</w:t>
      </w:r>
    </w:p>
    <w:p w14:paraId="783C08B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Управляемость и маневренность машины (как в горизон</w:t>
      </w:r>
      <w:r w:rsidRPr="008127F8">
        <w:rPr>
          <w:rFonts w:ascii="Times New Roman" w:hAnsi="Times New Roman"/>
          <w:color w:val="000000" w:themeColor="text1"/>
          <w:sz w:val="16"/>
          <w:szCs w:val="16"/>
        </w:rPr>
        <w:softHyphen/>
        <w:t>тальной, так и в вертикальной плоскости) были замечательны</w:t>
      </w:r>
      <w:r w:rsidRPr="008127F8">
        <w:rPr>
          <w:rFonts w:ascii="Times New Roman" w:hAnsi="Times New Roman"/>
          <w:color w:val="000000" w:themeColor="text1"/>
          <w:sz w:val="16"/>
          <w:szCs w:val="16"/>
        </w:rPr>
        <w:softHyphen/>
        <w:t>ми. Наличие на самолете автоматических предкрылков и щит</w:t>
      </w:r>
      <w:r w:rsidRPr="008127F8">
        <w:rPr>
          <w:rFonts w:ascii="Times New Roman" w:hAnsi="Times New Roman"/>
          <w:color w:val="000000" w:themeColor="text1"/>
          <w:sz w:val="16"/>
          <w:szCs w:val="16"/>
        </w:rPr>
        <w:softHyphen/>
        <w:t>ков Шренка обеспечивало устойчивое поведение самолета на больших углах атаки и хорошие взлетно-посадочные свойства. Вертикальная скорость с полной боевой нагрузкой у земли равнялась 9,8 м/с. За один боевой разворот штурмовик без бомб и РС набирал 600—700 м высоты (скорость ввода 390 км/ч, ско</w:t>
      </w:r>
      <w:r w:rsidRPr="008127F8">
        <w:rPr>
          <w:rFonts w:ascii="Times New Roman" w:hAnsi="Times New Roman"/>
          <w:color w:val="000000" w:themeColor="text1"/>
          <w:sz w:val="16"/>
          <w:szCs w:val="16"/>
        </w:rPr>
        <w:softHyphen/>
        <w:t>рость выхода в горизонтальное положение 270 км/ч).</w:t>
      </w:r>
    </w:p>
    <w:p w14:paraId="3228508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Су-6 М-71 устойчиво планировал (как с газом, так и без га</w:t>
      </w:r>
      <w:r w:rsidRPr="008127F8">
        <w:rPr>
          <w:rFonts w:ascii="Times New Roman" w:hAnsi="Times New Roman"/>
          <w:color w:val="000000" w:themeColor="text1"/>
          <w:sz w:val="16"/>
          <w:szCs w:val="16"/>
        </w:rPr>
        <w:softHyphen/>
        <w:t>за) под углами до 40—45° — стремления к переходу в пикиро</w:t>
      </w:r>
      <w:r w:rsidRPr="008127F8">
        <w:rPr>
          <w:rFonts w:ascii="Times New Roman" w:hAnsi="Times New Roman"/>
          <w:color w:val="000000" w:themeColor="text1"/>
          <w:sz w:val="16"/>
          <w:szCs w:val="16"/>
        </w:rPr>
        <w:softHyphen/>
        <w:t>вание под большими углами не проявлял. Скорость ввода в пикирование 270—380 км/ч.</w:t>
      </w:r>
    </w:p>
    <w:p w14:paraId="4FA5BC9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Взлет и посадка были простыми, но несколько сложнее, чем у </w:t>
      </w:r>
      <w:r w:rsidRPr="008127F8">
        <w:rPr>
          <w:rFonts w:ascii="Times New Roman" w:hAnsi="Times New Roman"/>
          <w:iCs/>
          <w:color w:val="000000" w:themeColor="text1"/>
          <w:sz w:val="16"/>
          <w:szCs w:val="16"/>
        </w:rPr>
        <w:t xml:space="preserve">Ил-2, </w:t>
      </w:r>
      <w:r w:rsidRPr="008127F8">
        <w:rPr>
          <w:rFonts w:ascii="Times New Roman" w:hAnsi="Times New Roman"/>
          <w:color w:val="000000" w:themeColor="text1"/>
          <w:sz w:val="16"/>
          <w:szCs w:val="16"/>
        </w:rPr>
        <w:t>самолет на пробеге вел себя устойчиво. Из-за большого «лба» мотора обзор из кабины на рулежке был не</w:t>
      </w:r>
      <w:r w:rsidRPr="008127F8">
        <w:rPr>
          <w:rFonts w:ascii="Times New Roman" w:hAnsi="Times New Roman"/>
          <w:color w:val="000000" w:themeColor="text1"/>
          <w:sz w:val="16"/>
          <w:szCs w:val="16"/>
        </w:rPr>
        <w:softHyphen/>
        <w:t>достаточен, вследствие этого руление приходилось произво</w:t>
      </w:r>
      <w:r w:rsidRPr="008127F8">
        <w:rPr>
          <w:rFonts w:ascii="Times New Roman" w:hAnsi="Times New Roman"/>
          <w:color w:val="000000" w:themeColor="text1"/>
          <w:sz w:val="16"/>
          <w:szCs w:val="16"/>
        </w:rPr>
        <w:softHyphen/>
        <w:t>дить змейкой. В воздухе обзор оценивался удовлетворительно. Весьма важным преимуществом Су-6 М-71 перед Ил-2 с АМ-38 являлись более высокие величины маневренной перегрузки (на 36%) и скороподъемности (на 20%), а также лучшая приемистость (примерно на 17%). Это позволяло значительно дольше маневрировать без потери энергии, что повышало эф-Цфективность противозенитного и противоистребительного маневров.</w:t>
      </w:r>
    </w:p>
    <w:p w14:paraId="244077C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качестве достоинства отмечалось, что схема бронирова-я штурмовика (общий вес брони 660 кг) надежно защищает пуль калибра 12,7 мм и осколков зенитных снарядов. При ом удельный вес брони к полетному весу самолета у Су-6 со-звлял 12,7% против 13,8% у самолета Ил-2 АМ-38. По весо-эй отдаче, то есть по отношению веса полезной нагрузки к (Юлетному весу самолета, Су-6 также превосходил Ил-2 — на 12,38.</w:t>
      </w:r>
    </w:p>
    <w:p w14:paraId="5840948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недостаткам Су-6 М-71, пожалуй, можно отнести приме -ение гидравлической системы выпуска и уборки шасси, которая в пожарном отношении уступала воздушной системе, сто</w:t>
      </w:r>
      <w:r w:rsidRPr="008127F8">
        <w:rPr>
          <w:rFonts w:ascii="Times New Roman" w:hAnsi="Times New Roman"/>
          <w:color w:val="000000" w:themeColor="text1"/>
          <w:sz w:val="16"/>
          <w:szCs w:val="16"/>
        </w:rPr>
        <w:softHyphen/>
        <w:t xml:space="preserve">ки на Ил-2. Не совсем удачным оказался выбор скоростно-аэродинамического профиля ЦАГИ типа «В» для крыла Р-6. Тогда как крыло Ил-2, где использовался профиль </w:t>
      </w:r>
      <w:r w:rsidRPr="008127F8">
        <w:rPr>
          <w:rFonts w:ascii="Times New Roman" w:hAnsi="Times New Roman"/>
          <w:color w:val="000000" w:themeColor="text1"/>
          <w:sz w:val="16"/>
          <w:szCs w:val="16"/>
          <w:lang w:val="en-US"/>
        </w:rPr>
        <w:t>Cl</w:t>
      </w:r>
      <w:r w:rsidRPr="008127F8">
        <w:rPr>
          <w:rFonts w:ascii="Times New Roman" w:hAnsi="Times New Roman"/>
          <w:color w:val="000000" w:themeColor="text1"/>
          <w:sz w:val="16"/>
          <w:szCs w:val="16"/>
        </w:rPr>
        <w:t>агк-УН, не теряло несущих свойств даже при значительном крушении обшивки. Кроме этого, отсутствовало дублирова-Ие в системе управления самолетом, и в первую очередь в ка нале управления рулем высоты. Впрочем, этим же недостатком страдал и Ил-2.</w:t>
      </w:r>
    </w:p>
    <w:p w14:paraId="408E69C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Акте по результатам государственных испытаний указы</w:t>
      </w:r>
      <w:r w:rsidRPr="008127F8">
        <w:rPr>
          <w:rFonts w:ascii="Times New Roman" w:hAnsi="Times New Roman"/>
          <w:color w:val="000000" w:themeColor="text1"/>
          <w:sz w:val="16"/>
          <w:szCs w:val="16"/>
        </w:rPr>
        <w:softHyphen/>
        <w:t>валось: «...Самолет Су-6 с мотором М-71 по максимальной скорости горизонтального полета стоит выше штурмовика Ил-2 АМ-38; ...После выполнения задания (сбрасывания бомб и РС-132) самолет Су-6 М-71 обладает максимальной скоро</w:t>
      </w:r>
      <w:r w:rsidRPr="008127F8">
        <w:rPr>
          <w:rFonts w:ascii="Times New Roman" w:hAnsi="Times New Roman"/>
          <w:color w:val="000000" w:themeColor="text1"/>
          <w:sz w:val="16"/>
          <w:szCs w:val="16"/>
        </w:rPr>
        <w:softHyphen/>
        <w:t>стью 483 км/час на 10-минутном форсаже. Эта скорость делает самолет Су-6 труднодосягаемым для истребителей противни</w:t>
      </w:r>
      <w:r w:rsidRPr="008127F8">
        <w:rPr>
          <w:rFonts w:ascii="Times New Roman" w:hAnsi="Times New Roman"/>
          <w:color w:val="000000" w:themeColor="text1"/>
          <w:sz w:val="16"/>
          <w:szCs w:val="16"/>
        </w:rPr>
        <w:softHyphen/>
        <w:t>ка, имеющих незначительное преимущество в скорости. ...Считать целесообразным постройку небольшой войсковой серии самолетов Су-6 М-71, как представляющих интерес по сравнительно большой максимальной горизонтальной скоро</w:t>
      </w:r>
      <w:r w:rsidRPr="008127F8">
        <w:rPr>
          <w:rFonts w:ascii="Times New Roman" w:hAnsi="Times New Roman"/>
          <w:color w:val="000000" w:themeColor="text1"/>
          <w:sz w:val="16"/>
          <w:szCs w:val="16"/>
        </w:rPr>
        <w:softHyphen/>
        <w:t>сти и имеющих мощное стрелково-пушечное и реактивное вооружение» (11478,408).</w:t>
      </w:r>
    </w:p>
    <w:p w14:paraId="327C479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D24477" w14:textId="77777777" w:rsidR="007C5583" w:rsidRPr="008127F8" w:rsidRDefault="007C5583" w:rsidP="007C5583">
      <w:pPr>
        <w:pStyle w:val="232"/>
        <w:shd w:val="clear" w:color="auto" w:fill="auto"/>
        <w:spacing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начале июня 1942 по устному распоряжению наркома Шахурина (надо полагать, для страховки) завод №289 на</w:t>
      </w:r>
      <w:r w:rsidRPr="008127F8">
        <w:rPr>
          <w:rFonts w:ascii="Times New Roman" w:hAnsi="Times New Roman" w:cs="Times New Roman"/>
          <w:color w:val="000000" w:themeColor="text1"/>
          <w:sz w:val="16"/>
          <w:szCs w:val="16"/>
        </w:rPr>
        <w:softHyphen/>
        <w:t>чал строить пять самолетов войсковой се</w:t>
      </w:r>
      <w:r w:rsidRPr="008127F8">
        <w:rPr>
          <w:rFonts w:ascii="Times New Roman" w:hAnsi="Times New Roman" w:cs="Times New Roman"/>
          <w:color w:val="000000" w:themeColor="text1"/>
          <w:sz w:val="16"/>
          <w:szCs w:val="16"/>
        </w:rPr>
        <w:softHyphen/>
        <w:t>рии Су-6 со сроком сдачи на испытания не позже 15 октября.</w:t>
      </w:r>
    </w:p>
    <w:p w14:paraId="71996B4F" w14:textId="77777777" w:rsidR="007C5583" w:rsidRPr="008127F8" w:rsidRDefault="007C5583" w:rsidP="007C5583">
      <w:pPr>
        <w:pStyle w:val="232"/>
        <w:shd w:val="clear" w:color="auto" w:fill="auto"/>
        <w:spacing w:line="240" w:lineRule="auto"/>
        <w:jc w:val="both"/>
        <w:rPr>
          <w:rStyle w:val="aff8"/>
          <w:rFonts w:ascii="Times New Roman" w:hAnsi="Times New Roman" w:cs="Times New Roman"/>
          <w:i w:val="0"/>
          <w:iCs w:val="0"/>
          <w:color w:val="000000" w:themeColor="text1"/>
        </w:rPr>
      </w:pPr>
      <w:r w:rsidRPr="008127F8">
        <w:rPr>
          <w:rFonts w:ascii="Times New Roman" w:hAnsi="Times New Roman" w:cs="Times New Roman"/>
          <w:color w:val="000000" w:themeColor="text1"/>
          <w:sz w:val="16"/>
          <w:szCs w:val="16"/>
        </w:rPr>
        <w:t>Тогда же по указанию Шахурина на имя Сталина было подготовлено и на</w:t>
      </w:r>
      <w:r w:rsidRPr="008127F8">
        <w:rPr>
          <w:rFonts w:ascii="Times New Roman" w:hAnsi="Times New Roman" w:cs="Times New Roman"/>
          <w:color w:val="000000" w:themeColor="text1"/>
          <w:sz w:val="16"/>
          <w:szCs w:val="16"/>
        </w:rPr>
        <w:softHyphen/>
        <w:t>правлено письмо, в котором, помимо ко</w:t>
      </w:r>
      <w:r w:rsidRPr="008127F8">
        <w:rPr>
          <w:rFonts w:ascii="Times New Roman" w:hAnsi="Times New Roman" w:cs="Times New Roman"/>
          <w:color w:val="000000" w:themeColor="text1"/>
          <w:sz w:val="16"/>
          <w:szCs w:val="16"/>
        </w:rPr>
        <w:softHyphen/>
        <w:t>роткой сводки по результатам государ</w:t>
      </w:r>
      <w:r w:rsidRPr="008127F8">
        <w:rPr>
          <w:rFonts w:ascii="Times New Roman" w:hAnsi="Times New Roman" w:cs="Times New Roman"/>
          <w:color w:val="000000" w:themeColor="text1"/>
          <w:sz w:val="16"/>
          <w:szCs w:val="16"/>
        </w:rPr>
        <w:softHyphen/>
        <w:t>ственных испытаний Су-6 М-71, указы</w:t>
      </w:r>
      <w:r w:rsidRPr="008127F8">
        <w:rPr>
          <w:rFonts w:ascii="Times New Roman" w:hAnsi="Times New Roman" w:cs="Times New Roman"/>
          <w:color w:val="000000" w:themeColor="text1"/>
          <w:sz w:val="16"/>
          <w:szCs w:val="16"/>
        </w:rPr>
        <w:softHyphen/>
        <w:t>валось</w:t>
      </w:r>
      <w:r w:rsidRPr="008127F8">
        <w:rPr>
          <w:rFonts w:ascii="Times New Roman" w:hAnsi="Times New Roman" w:cs="Times New Roman"/>
          <w:i/>
          <w:iCs/>
          <w:color w:val="000000" w:themeColor="text1"/>
          <w:sz w:val="16"/>
          <w:szCs w:val="16"/>
        </w:rPr>
        <w:t>:</w:t>
      </w:r>
      <w:r w:rsidRPr="008127F8">
        <w:rPr>
          <w:rStyle w:val="aff8"/>
          <w:rFonts w:ascii="Times New Roman" w:hAnsi="Times New Roman" w:cs="Times New Roman"/>
          <w:color w:val="000000" w:themeColor="text1"/>
        </w:rPr>
        <w:t xml:space="preserve"> «В настоящее время ведутся ра</w:t>
      </w:r>
      <w:r w:rsidRPr="008127F8">
        <w:rPr>
          <w:rStyle w:val="aff8"/>
          <w:rFonts w:ascii="Times New Roman" w:hAnsi="Times New Roman" w:cs="Times New Roman"/>
          <w:color w:val="000000" w:themeColor="text1"/>
        </w:rPr>
        <w:softHyphen/>
        <w:t>боты по доводке до 100 часового ресурса и сдаче на госиспытания мотора М-71 на заводе №19. В случае получения положи</w:t>
      </w:r>
      <w:r w:rsidRPr="008127F8">
        <w:rPr>
          <w:rStyle w:val="aff8"/>
          <w:rFonts w:ascii="Times New Roman" w:hAnsi="Times New Roman" w:cs="Times New Roman"/>
          <w:color w:val="000000" w:themeColor="text1"/>
        </w:rPr>
        <w:softHyphen/>
        <w:t>тельных результатов по М-71 можно бу</w:t>
      </w:r>
      <w:r w:rsidRPr="008127F8">
        <w:rPr>
          <w:rStyle w:val="aff8"/>
          <w:rFonts w:ascii="Times New Roman" w:hAnsi="Times New Roman" w:cs="Times New Roman"/>
          <w:color w:val="000000" w:themeColor="text1"/>
        </w:rPr>
        <w:softHyphen/>
        <w:t>дет поставить вопрос о целесообразно</w:t>
      </w:r>
      <w:r w:rsidRPr="008127F8">
        <w:rPr>
          <w:rStyle w:val="aff8"/>
          <w:rFonts w:ascii="Times New Roman" w:hAnsi="Times New Roman" w:cs="Times New Roman"/>
          <w:color w:val="000000" w:themeColor="text1"/>
        </w:rPr>
        <w:softHyphen/>
        <w:t>сти постройки серии самолетов Су-6» (19846).</w:t>
      </w:r>
    </w:p>
    <w:p w14:paraId="25B6ACFD" w14:textId="77777777" w:rsidR="007C5583" w:rsidRPr="008127F8" w:rsidRDefault="007C5583" w:rsidP="007C5583">
      <w:pPr>
        <w:pStyle w:val="232"/>
        <w:shd w:val="clear" w:color="auto" w:fill="auto"/>
        <w:spacing w:line="240" w:lineRule="auto"/>
        <w:jc w:val="both"/>
        <w:rPr>
          <w:rFonts w:ascii="Times New Roman" w:hAnsi="Times New Roman" w:cs="Times New Roman"/>
          <w:color w:val="000000" w:themeColor="text1"/>
          <w:sz w:val="16"/>
          <w:szCs w:val="16"/>
        </w:rPr>
      </w:pPr>
    </w:p>
    <w:p w14:paraId="6C171FFA" w14:textId="77777777" w:rsidR="007C5583" w:rsidRPr="008127F8" w:rsidRDefault="007C5583" w:rsidP="007C5583">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В начале июня 1942 г. главному инженеру ВВС КА генерал-лейтенанту А.К. Репину по</w:t>
      </w:r>
      <w:r w:rsidRPr="008127F8">
        <w:rPr>
          <w:rFonts w:ascii="Times New Roman" w:cs="Times New Roman"/>
          <w:color w:val="000000" w:themeColor="text1"/>
          <w:spacing w:val="0"/>
          <w:sz w:val="16"/>
          <w:szCs w:val="16"/>
        </w:rPr>
        <w:softHyphen/>
        <w:t>ступила докладная записка начальника УОС ГУ ВВС бригинженера Г.П. Лешукова, в которой он просил дать указание</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«о</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срочном</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заказе</w:t>
      </w:r>
      <w:r w:rsidRPr="008127F8">
        <w:rPr>
          <w:rStyle w:val="aff8"/>
          <w:rFonts w:ascii="Times New Roman" w:eastAsia="Arial Narrow" w:cs="Times New Roman"/>
          <w:color w:val="000000" w:themeColor="text1"/>
          <w:spacing w:val="0"/>
        </w:rPr>
        <w:t xml:space="preserve">, /.../ </w:t>
      </w:r>
      <w:r w:rsidRPr="008127F8">
        <w:rPr>
          <w:rStyle w:val="aff8"/>
          <w:rFonts w:ascii="Times New Roman" w:eastAsia="Arial Narrow" w:cs="Times New Roman"/>
          <w:color w:val="000000" w:themeColor="text1"/>
          <w:spacing w:val="0"/>
        </w:rPr>
        <w:t>экранов</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для</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экранизации</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бронеспинок</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само</w:t>
      </w:r>
      <w:r w:rsidRPr="008127F8">
        <w:rPr>
          <w:rStyle w:val="aff8"/>
          <w:rFonts w:ascii="Times New Roman" w:eastAsia="Arial Narrow" w:cs="Times New Roman"/>
          <w:color w:val="000000" w:themeColor="text1"/>
          <w:spacing w:val="0"/>
        </w:rPr>
        <w:softHyphen/>
      </w:r>
      <w:r w:rsidRPr="008127F8">
        <w:rPr>
          <w:rStyle w:val="aff8"/>
          <w:rFonts w:ascii="Times New Roman" w:eastAsia="Arial Narrow" w:cs="Times New Roman"/>
          <w:color w:val="000000" w:themeColor="text1"/>
          <w:spacing w:val="0"/>
        </w:rPr>
        <w:t>летов</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Пе</w:t>
      </w:r>
      <w:r w:rsidRPr="008127F8">
        <w:rPr>
          <w:rStyle w:val="aff8"/>
          <w:rFonts w:ascii="Times New Roman" w:eastAsia="Arial Narrow" w:cs="Times New Roman"/>
          <w:color w:val="000000" w:themeColor="text1"/>
          <w:spacing w:val="0"/>
        </w:rPr>
        <w:t xml:space="preserve">-2 </w:t>
      </w:r>
      <w:r w:rsidRPr="008127F8">
        <w:rPr>
          <w:rStyle w:val="aff8"/>
          <w:rFonts w:ascii="Times New Roman" w:eastAsia="Arial Narrow" w:cs="Times New Roman"/>
          <w:color w:val="000000" w:themeColor="text1"/>
          <w:spacing w:val="0"/>
        </w:rPr>
        <w:t>и</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Пе</w:t>
      </w:r>
      <w:r w:rsidRPr="008127F8">
        <w:rPr>
          <w:rStyle w:val="aff8"/>
          <w:rFonts w:ascii="Times New Roman" w:eastAsia="Arial Narrow" w:cs="Times New Roman"/>
          <w:color w:val="000000" w:themeColor="text1"/>
          <w:spacing w:val="0"/>
        </w:rPr>
        <w:t xml:space="preserve">-3, </w:t>
      </w:r>
      <w:r w:rsidRPr="008127F8">
        <w:rPr>
          <w:rStyle w:val="aff8"/>
          <w:rFonts w:ascii="Times New Roman" w:eastAsia="Arial Narrow" w:cs="Times New Roman"/>
          <w:color w:val="000000" w:themeColor="text1"/>
          <w:spacing w:val="0"/>
        </w:rPr>
        <w:t>и</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отправке</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их</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для</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установки</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на</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самолеты</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в</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воинские</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части»</w:t>
      </w:r>
      <w:r w:rsidRPr="008127F8">
        <w:rPr>
          <w:rStyle w:val="aff8"/>
          <w:rFonts w:ascii="Times New Roman" w:eastAsia="Arial Narrow" w:cs="Times New Roman"/>
          <w:color w:val="000000" w:themeColor="text1"/>
          <w:spacing w:val="0"/>
        </w:rPr>
        <w:t>.</w:t>
      </w:r>
    </w:p>
    <w:p w14:paraId="4E32B141" w14:textId="77777777" w:rsidR="007C5583" w:rsidRPr="000B4AED" w:rsidRDefault="007C5583" w:rsidP="007C5583">
      <w:pPr>
        <w:pStyle w:val="36"/>
        <w:shd w:val="clear" w:color="auto" w:fill="auto"/>
        <w:spacing w:after="0" w:line="240" w:lineRule="auto"/>
        <w:jc w:val="both"/>
        <w:rPr>
          <w:rFonts w:ascii="Times New Roman" w:cs="Times New Roman"/>
          <w:i/>
          <w:iCs/>
          <w:color w:val="000000" w:themeColor="text1"/>
          <w:spacing w:val="0"/>
          <w:sz w:val="16"/>
          <w:szCs w:val="16"/>
        </w:rPr>
      </w:pPr>
      <w:r w:rsidRPr="008127F8">
        <w:rPr>
          <w:rFonts w:ascii="Times New Roman" w:cs="Times New Roman"/>
          <w:color w:val="000000" w:themeColor="text1"/>
          <w:spacing w:val="0"/>
          <w:sz w:val="16"/>
          <w:szCs w:val="16"/>
        </w:rPr>
        <w:t>Дело в том, что на самолетах Пе-2 и Пе-3 штурман-бомбардир располагался уступом позади бронеспинки летчика. При попада</w:t>
      </w:r>
      <w:r w:rsidRPr="008127F8">
        <w:rPr>
          <w:rFonts w:ascii="Times New Roman" w:cs="Times New Roman"/>
          <w:color w:val="000000" w:themeColor="text1"/>
          <w:spacing w:val="0"/>
          <w:sz w:val="16"/>
          <w:szCs w:val="16"/>
        </w:rPr>
        <w:softHyphen/>
        <w:t>нии пули или осколочно-фугасного снаряда в бронеспинку</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«штурман</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неизбежно</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поражался</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осколками</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и</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брызгами</w:t>
      </w:r>
      <w:r w:rsidRPr="008127F8">
        <w:rPr>
          <w:rStyle w:val="aff8"/>
          <w:rFonts w:ascii="Times New Roman" w:eastAsia="Arial Narrow" w:cs="Times New Roman"/>
          <w:color w:val="000000" w:themeColor="text1"/>
          <w:spacing w:val="0"/>
        </w:rPr>
        <w:t xml:space="preserve"> </w:t>
      </w:r>
      <w:r w:rsidRPr="008127F8">
        <w:rPr>
          <w:rStyle w:val="aff8"/>
          <w:rFonts w:ascii="Times New Roman" w:eastAsia="Arial Narrow" w:cs="Times New Roman"/>
          <w:color w:val="000000" w:themeColor="text1"/>
          <w:spacing w:val="0"/>
        </w:rPr>
        <w:t>пуль»</w:t>
      </w:r>
      <w:r w:rsidRPr="008127F8">
        <w:rPr>
          <w:rStyle w:val="aff8"/>
          <w:rFonts w:ascii="Times New Roman" w:eastAsia="Arial Narrow" w:cs="Times New Roman"/>
          <w:color w:val="000000" w:themeColor="text1"/>
          <w:spacing w:val="0"/>
        </w:rPr>
        <w:t>.</w:t>
      </w:r>
      <w:r w:rsidRPr="008127F8">
        <w:rPr>
          <w:rFonts w:ascii="Times New Roman" w:cs="Times New Roman"/>
          <w:color w:val="000000" w:themeColor="text1"/>
          <w:spacing w:val="0"/>
          <w:sz w:val="16"/>
          <w:szCs w:val="16"/>
        </w:rPr>
        <w:t xml:space="preserve"> Для его защиты бронеспинку предложили экранировать так называемой «шлемовой» броней толщиной 1,2е1,5 мм. Вес такого экрана с креплением составлял около 4 кг, а его установка занима</w:t>
      </w:r>
      <w:r w:rsidRPr="008127F8">
        <w:rPr>
          <w:rFonts w:ascii="Times New Roman" w:cs="Times New Roman"/>
          <w:color w:val="000000" w:themeColor="text1"/>
          <w:spacing w:val="0"/>
          <w:sz w:val="16"/>
          <w:szCs w:val="16"/>
        </w:rPr>
        <w:softHyphen/>
        <w:t>ла у двух техников всего 10е15 мин, что по</w:t>
      </w:r>
      <w:r w:rsidRPr="008127F8">
        <w:rPr>
          <w:rFonts w:ascii="Times New Roman" w:cs="Times New Roman"/>
          <w:color w:val="000000" w:themeColor="text1"/>
          <w:spacing w:val="0"/>
          <w:sz w:val="16"/>
          <w:szCs w:val="16"/>
        </w:rPr>
        <w:softHyphen/>
        <w:t>зволяло выполнять доработку силами самих воинских частей. Броня, необходимая для из</w:t>
      </w:r>
      <w:r w:rsidRPr="008127F8">
        <w:rPr>
          <w:rFonts w:ascii="Times New Roman" w:cs="Times New Roman"/>
          <w:color w:val="000000" w:themeColor="text1"/>
          <w:spacing w:val="0"/>
          <w:sz w:val="16"/>
          <w:szCs w:val="16"/>
        </w:rPr>
        <w:softHyphen/>
        <w:t>готовления шлемовых экранов,</w:t>
      </w:r>
      <w:r w:rsidRPr="008127F8">
        <w:rPr>
          <w:rStyle w:val="aff8"/>
          <w:rFonts w:ascii="Times New Roman" w:eastAsia="Arial Narrow" w:cs="Times New Roman"/>
          <w:color w:val="000000" w:themeColor="text1"/>
          <w:spacing w:val="0"/>
        </w:rPr>
        <w:t xml:space="preserve"> </w:t>
      </w:r>
      <w:r w:rsidRPr="000B4AED">
        <w:rPr>
          <w:rStyle w:val="aff8"/>
          <w:rFonts w:ascii="Times New Roman" w:eastAsia="Arial Narrow" w:hAnsi="Times New Roman" w:cs="Times New Roman"/>
          <w:i w:val="0"/>
          <w:iCs w:val="0"/>
          <w:color w:val="000000" w:themeColor="text1"/>
          <w:spacing w:val="0"/>
        </w:rPr>
        <w:t>«на броневых заводах имелась в достаточном количестве».</w:t>
      </w:r>
    </w:p>
    <w:p w14:paraId="09C6F923" w14:textId="77777777" w:rsidR="007C5583" w:rsidRPr="008127F8" w:rsidRDefault="007C5583" w:rsidP="007C5583">
      <w:pPr>
        <w:pStyle w:val="45"/>
        <w:shd w:val="clear" w:color="auto" w:fill="auto"/>
        <w:spacing w:before="0" w:line="240" w:lineRule="auto"/>
        <w:jc w:val="both"/>
        <w:rPr>
          <w:rStyle w:val="4f1"/>
          <w:rFonts w:ascii="Times New Roman" w:hAnsi="Times New Roman" w:cs="Times New Roman"/>
          <w:i w:val="0"/>
          <w:color w:val="000000" w:themeColor="text1"/>
          <w:sz w:val="16"/>
          <w:szCs w:val="16"/>
        </w:rPr>
      </w:pPr>
      <w:r w:rsidRPr="008127F8">
        <w:rPr>
          <w:rStyle w:val="4f1"/>
          <w:rFonts w:ascii="Times New Roman" w:hAnsi="Times New Roman" w:cs="Times New Roman"/>
          <w:color w:val="000000" w:themeColor="text1"/>
          <w:sz w:val="16"/>
          <w:szCs w:val="16"/>
        </w:rPr>
        <w:lastRenderedPageBreak/>
        <w:t>Кроме того, Лешуков просил</w:t>
      </w:r>
      <w:r w:rsidRPr="008127F8">
        <w:rPr>
          <w:rFonts w:ascii="Times New Roman" w:cs="Times New Roman"/>
          <w:color w:val="000000" w:themeColor="text1"/>
          <w:sz w:val="16"/>
          <w:szCs w:val="16"/>
        </w:rPr>
        <w:t xml:space="preserve"> «потребовать от НКАП установки экранов на бронеспинках летчиков на всех вновь выпускаемых само</w:t>
      </w:r>
      <w:r w:rsidRPr="008127F8">
        <w:rPr>
          <w:rFonts w:ascii="Times New Roman" w:cs="Times New Roman"/>
          <w:color w:val="000000" w:themeColor="text1"/>
          <w:sz w:val="16"/>
          <w:szCs w:val="16"/>
        </w:rPr>
        <w:softHyphen/>
        <w:t>летах Пе-2 и Пе-3, а военпредам запретить принимать эти самолеты без экранизации бронеспинок».</w:t>
      </w:r>
      <w:r w:rsidRPr="008127F8">
        <w:rPr>
          <w:rStyle w:val="4f1"/>
          <w:rFonts w:ascii="Times New Roman" w:hAnsi="Times New Roman" w:cs="Times New Roman"/>
          <w:color w:val="000000" w:themeColor="text1"/>
          <w:sz w:val="16"/>
          <w:szCs w:val="16"/>
        </w:rPr>
        <w:t xml:space="preserve"> Отметим, что к этому времени на самолетах Ту-2 такая система уже имелась: бронеспинка летчика экранировалась броне</w:t>
      </w:r>
      <w:r w:rsidRPr="008127F8">
        <w:rPr>
          <w:rStyle w:val="4f1"/>
          <w:rFonts w:ascii="Times New Roman" w:hAnsi="Times New Roman" w:cs="Times New Roman"/>
          <w:color w:val="000000" w:themeColor="text1"/>
          <w:sz w:val="16"/>
          <w:szCs w:val="16"/>
        </w:rPr>
        <w:softHyphen/>
        <w:t>вым листом толщиной 1,5 мм (15778).</w:t>
      </w:r>
    </w:p>
    <w:p w14:paraId="3150641F" w14:textId="77777777" w:rsidR="007C5583" w:rsidRPr="008127F8" w:rsidRDefault="007C5583" w:rsidP="007C5583">
      <w:pPr>
        <w:pStyle w:val="45"/>
        <w:shd w:val="clear" w:color="auto" w:fill="auto"/>
        <w:spacing w:before="0" w:line="240" w:lineRule="auto"/>
        <w:jc w:val="both"/>
        <w:rPr>
          <w:rFonts w:ascii="Times New Roman" w:cs="Times New Roman"/>
          <w:color w:val="000000" w:themeColor="text1"/>
          <w:sz w:val="16"/>
          <w:szCs w:val="16"/>
        </w:rPr>
      </w:pPr>
    </w:p>
    <w:p w14:paraId="741DB9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июня 1942 Ф.Опадчий и И.Квитко выполнили первый полет на ДВБ-102 (684,28).</w:t>
      </w:r>
    </w:p>
    <w:p w14:paraId="336CC9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87AF3E" w14:textId="77777777" w:rsidR="007C5583" w:rsidRPr="00371732" w:rsidRDefault="007C5583" w:rsidP="00371732">
      <w:pPr>
        <w:spacing w:after="0" w:line="240" w:lineRule="auto"/>
        <w:rPr>
          <w:rFonts w:ascii="Times New Roman" w:hAnsi="Times New Roman"/>
          <w:sz w:val="16"/>
          <w:szCs w:val="16"/>
        </w:rPr>
      </w:pPr>
      <w:r w:rsidRPr="00371732">
        <w:rPr>
          <w:rFonts w:ascii="Times New Roman" w:hAnsi="Times New Roman"/>
          <w:sz w:val="16"/>
          <w:szCs w:val="16"/>
        </w:rPr>
        <w:t>В начале июня 1942 возобновились испытания ДВБ-102 с новыми мото</w:t>
      </w:r>
      <w:r w:rsidRPr="00371732">
        <w:rPr>
          <w:rFonts w:ascii="Times New Roman" w:hAnsi="Times New Roman"/>
          <w:sz w:val="16"/>
          <w:szCs w:val="16"/>
        </w:rPr>
        <w:softHyphen/>
        <w:t>рами М-120 и свой первый по</w:t>
      </w:r>
      <w:r w:rsidRPr="00371732">
        <w:rPr>
          <w:rFonts w:ascii="Times New Roman" w:hAnsi="Times New Roman"/>
          <w:sz w:val="16"/>
          <w:szCs w:val="16"/>
        </w:rPr>
        <w:softHyphen/>
        <w:t>лет выполнил новый экипаж в составе летчика-испытателя Ф.Ф. Опадчего и шженера-испытателя И.Н. Квитко. Они оба раньше служили в НИИ ВВС, но по</w:t>
      </w:r>
      <w:r w:rsidRPr="00371732">
        <w:rPr>
          <w:rFonts w:ascii="Times New Roman" w:hAnsi="Times New Roman"/>
          <w:sz w:val="16"/>
          <w:szCs w:val="16"/>
        </w:rPr>
        <w:softHyphen/>
        <w:t>сле возвращения с фронта вернулись не в свой институт, а были переведены в ОКБ-288 Мясищева. Жданов же отзывался из Куломзино, получив другое задание.</w:t>
      </w:r>
    </w:p>
    <w:p w14:paraId="435AC693" w14:textId="77777777" w:rsidR="007C5583" w:rsidRPr="008127F8" w:rsidRDefault="007C5583" w:rsidP="007C5583">
      <w:pPr>
        <w:pStyle w:val="a4"/>
        <w:rPr>
          <w:color w:val="000000" w:themeColor="text1"/>
          <w:lang w:val="ru-RU"/>
        </w:rPr>
      </w:pPr>
      <w:r w:rsidRPr="008127F8">
        <w:rPr>
          <w:color w:val="000000" w:themeColor="text1"/>
          <w:lang w:val="ru-RU"/>
        </w:rPr>
        <w:t>Летные данные с моторами без тур</w:t>
      </w:r>
      <w:r w:rsidRPr="008127F8">
        <w:rPr>
          <w:color w:val="000000" w:themeColor="text1"/>
          <w:lang w:val="ru-RU"/>
        </w:rPr>
        <w:softHyphen/>
        <w:t>бокомпрессоров ожидаемо снизились. Климов был лишен возможности зани</w:t>
      </w:r>
      <w:r w:rsidRPr="008127F8">
        <w:rPr>
          <w:color w:val="000000" w:themeColor="text1"/>
          <w:lang w:val="ru-RU"/>
        </w:rPr>
        <w:softHyphen/>
        <w:t>маться М-120, поскольку был загружен М-105, -106 и -107 для фронтовой ави</w:t>
      </w:r>
      <w:r w:rsidRPr="008127F8">
        <w:rPr>
          <w:color w:val="000000" w:themeColor="text1"/>
          <w:lang w:val="ru-RU"/>
        </w:rPr>
        <w:softHyphen/>
        <w:t>ации. Шахурин распорядился руковод</w:t>
      </w:r>
      <w:r w:rsidRPr="008127F8">
        <w:rPr>
          <w:color w:val="000000" w:themeColor="text1"/>
          <w:lang w:val="ru-RU"/>
        </w:rPr>
        <w:softHyphen/>
        <w:t>ству ЦАГИ, ЦИАМ и ЛИИ оказать помощь Мясищеву, но его приказ НКАП №194сс от 11.03.42 г. был так сказать «оптом» и касался всех ОКБ, а ДВБ-102 оказался последним в списке, в одной «клеточке» с Ту-2. Правда, оба эти самолета должен был «опекать» один из лучших специа</w:t>
      </w:r>
      <w:r w:rsidRPr="008127F8">
        <w:rPr>
          <w:color w:val="000000" w:themeColor="text1"/>
          <w:lang w:val="ru-RU"/>
        </w:rPr>
        <w:softHyphen/>
        <w:t>листов ЛИИ - Николай Сергеевич Строев, в будущем профессор, дважды Герой социалистического труда и первый зам. председателя комиссии по военно-про- мышленным вопросам при Совете ми</w:t>
      </w:r>
      <w:r w:rsidRPr="008127F8">
        <w:rPr>
          <w:color w:val="000000" w:themeColor="text1"/>
          <w:lang w:val="ru-RU"/>
        </w:rPr>
        <w:softHyphen/>
        <w:t>нистров СССР.</w:t>
      </w:r>
    </w:p>
    <w:p w14:paraId="0C80C25B" w14:textId="77777777" w:rsidR="007C5583" w:rsidRPr="008127F8" w:rsidRDefault="007C5583" w:rsidP="007C5583">
      <w:pPr>
        <w:pStyle w:val="a4"/>
        <w:rPr>
          <w:color w:val="000000" w:themeColor="text1"/>
          <w:lang w:val="ru-RU"/>
        </w:rPr>
      </w:pPr>
      <w:r w:rsidRPr="008127F8">
        <w:rPr>
          <w:color w:val="000000" w:themeColor="text1"/>
          <w:lang w:val="ru-RU"/>
        </w:rPr>
        <w:t>Хотя до сих пор все поломки М-120 обходились без аварии самолета, было понятно, что везение когда-то кончится. Фактически, доводкой этого мотора за</w:t>
      </w:r>
      <w:r w:rsidRPr="008127F8">
        <w:rPr>
          <w:color w:val="000000" w:themeColor="text1"/>
          <w:lang w:val="ru-RU"/>
        </w:rPr>
        <w:softHyphen/>
        <w:t>нимался один Мясищев. Его ДВБ-102 был включен в план опытного строительства НКАП на 1942 г. и на него было ассиг</w:t>
      </w:r>
      <w:r w:rsidRPr="008127F8">
        <w:rPr>
          <w:color w:val="000000" w:themeColor="text1"/>
          <w:lang w:val="ru-RU"/>
        </w:rPr>
        <w:softHyphen/>
        <w:t>новано 3,5 млн рублей, но в том виде, в котором был самолет, на вооружение он идти не мог - моторы М-120 в серию не запускались.</w:t>
      </w:r>
    </w:p>
    <w:p w14:paraId="42ACE571" w14:textId="77777777" w:rsidR="007C5583" w:rsidRPr="008127F8" w:rsidRDefault="007C5583" w:rsidP="007C5583">
      <w:pPr>
        <w:pStyle w:val="a4"/>
        <w:rPr>
          <w:color w:val="000000" w:themeColor="text1"/>
          <w:lang w:val="ru-RU"/>
        </w:rPr>
      </w:pPr>
      <w:r w:rsidRPr="008127F8">
        <w:rPr>
          <w:color w:val="000000" w:themeColor="text1"/>
          <w:lang w:val="ru-RU"/>
        </w:rPr>
        <w:t>Еще на стадии эскизного проектиро</w:t>
      </w:r>
      <w:r w:rsidRPr="008127F8">
        <w:rPr>
          <w:color w:val="000000" w:themeColor="text1"/>
          <w:lang w:val="ru-RU"/>
        </w:rPr>
        <w:softHyphen/>
        <w:t>вания Мясищев предложил модифика</w:t>
      </w:r>
      <w:r w:rsidRPr="008127F8">
        <w:rPr>
          <w:color w:val="000000" w:themeColor="text1"/>
          <w:lang w:val="ru-RU"/>
        </w:rPr>
        <w:softHyphen/>
        <w:t>цию М-120Н. За счет понижения границы высотности он надеялся поднять мощ</w:t>
      </w:r>
      <w:r w:rsidRPr="008127F8">
        <w:rPr>
          <w:color w:val="000000" w:themeColor="text1"/>
          <w:lang w:val="ru-RU"/>
        </w:rPr>
        <w:softHyphen/>
        <w:t>ность двигателей и скорость у земли, а без гермокабин фюзеляж становился легче, расширялись сектора обстрела оборонительного вооружения. Заинтере</w:t>
      </w:r>
      <w:r w:rsidRPr="008127F8">
        <w:rPr>
          <w:color w:val="000000" w:themeColor="text1"/>
          <w:lang w:val="ru-RU"/>
        </w:rPr>
        <w:softHyphen/>
        <w:t>сованы в таком самолете были и моряки, нуждавшиеся в замене тихоходных тор- педоносцов Ил-4Т и недостаточно даль</w:t>
      </w:r>
      <w:r w:rsidRPr="008127F8">
        <w:rPr>
          <w:color w:val="000000" w:themeColor="text1"/>
          <w:lang w:val="ru-RU"/>
        </w:rPr>
        <w:softHyphen/>
        <w:t>них А-20. Однако в 1942 г. считалось, что такой самолет уже не сможет преодолеть ПВО ни на суше, ни на море. Англичане применяли свои «Москито» и у земли, но они были легче и маневреннее, Мясищев понимал это, а потому вновь решил воз</w:t>
      </w:r>
      <w:r w:rsidRPr="008127F8">
        <w:rPr>
          <w:color w:val="000000" w:themeColor="text1"/>
          <w:lang w:val="ru-RU"/>
        </w:rPr>
        <w:softHyphen/>
        <w:t>вращаться к высотной силовой установке.</w:t>
      </w:r>
    </w:p>
    <w:p w14:paraId="7DEAE55B" w14:textId="77777777" w:rsidR="007C5583" w:rsidRPr="008127F8" w:rsidRDefault="007C5583" w:rsidP="007C5583">
      <w:pPr>
        <w:pStyle w:val="a4"/>
        <w:rPr>
          <w:color w:val="000000" w:themeColor="text1"/>
          <w:lang w:val="ru-RU"/>
        </w:rPr>
      </w:pPr>
      <w:r w:rsidRPr="008127F8">
        <w:rPr>
          <w:color w:val="000000" w:themeColor="text1"/>
          <w:lang w:val="ru-RU"/>
        </w:rPr>
        <w:t>Возможно, в аппарате НКАП смо</w:t>
      </w:r>
      <w:r w:rsidRPr="008127F8">
        <w:rPr>
          <w:color w:val="000000" w:themeColor="text1"/>
          <w:lang w:val="ru-RU"/>
        </w:rPr>
        <w:softHyphen/>
        <w:t>трели на ДВБ-102 не как на боевой са</w:t>
      </w:r>
      <w:r w:rsidRPr="008127F8">
        <w:rPr>
          <w:color w:val="000000" w:themeColor="text1"/>
          <w:lang w:val="ru-RU"/>
        </w:rPr>
        <w:softHyphen/>
        <w:t>молет, а скорее как на единственную ле</w:t>
      </w:r>
      <w:r w:rsidRPr="008127F8">
        <w:rPr>
          <w:color w:val="000000" w:themeColor="text1"/>
          <w:lang w:val="ru-RU"/>
        </w:rPr>
        <w:softHyphen/>
        <w:t>тающую лабораторию такого рода? Там вполне могли задумываться о необхо</w:t>
      </w:r>
      <w:r w:rsidRPr="008127F8">
        <w:rPr>
          <w:color w:val="000000" w:themeColor="text1"/>
          <w:lang w:val="ru-RU"/>
        </w:rPr>
        <w:softHyphen/>
        <w:t>димости высотных бомбардировщиков, а ведь начатые еще до войны работы по Ил-4ТК были возобновлены только в ноябре 1942 г. Но Мясищев так не ду</w:t>
      </w:r>
      <w:r w:rsidRPr="008127F8">
        <w:rPr>
          <w:color w:val="000000" w:themeColor="text1"/>
          <w:lang w:val="ru-RU"/>
        </w:rPr>
        <w:softHyphen/>
        <w:t>мал и для него самолет «102» оставался только дальним высотным бомбарди</w:t>
      </w:r>
      <w:r w:rsidRPr="008127F8">
        <w:rPr>
          <w:color w:val="000000" w:themeColor="text1"/>
          <w:lang w:val="ru-RU"/>
        </w:rPr>
        <w:softHyphen/>
        <w:t>ровщиком.</w:t>
      </w:r>
    </w:p>
    <w:p w14:paraId="376DD4F0" w14:textId="77777777" w:rsidR="007C5583" w:rsidRPr="008127F8" w:rsidRDefault="007C5583" w:rsidP="007C5583">
      <w:pPr>
        <w:pStyle w:val="a4"/>
        <w:rPr>
          <w:color w:val="000000" w:themeColor="text1"/>
          <w:lang w:val="ru-RU"/>
        </w:rPr>
      </w:pPr>
      <w:r w:rsidRPr="008127F8">
        <w:rPr>
          <w:color w:val="000000" w:themeColor="text1"/>
          <w:lang w:val="ru-RU"/>
        </w:rPr>
        <w:t>Опять же до войны уже Мясищев производил расчеты оснащения ДВБ-102 дизелями М-20 или М-30 с меньшим рас</w:t>
      </w:r>
      <w:r w:rsidRPr="008127F8">
        <w:rPr>
          <w:color w:val="000000" w:themeColor="text1"/>
          <w:lang w:val="ru-RU"/>
        </w:rPr>
        <w:softHyphen/>
        <w:t>ходом топлива чем у М-120. Такой са</w:t>
      </w:r>
      <w:r w:rsidRPr="008127F8">
        <w:rPr>
          <w:color w:val="000000" w:themeColor="text1"/>
          <w:lang w:val="ru-RU"/>
        </w:rPr>
        <w:softHyphen/>
        <w:t>молет должен был развивать скорость до 640 км/ч на высоте 9000 м и иметь дальность 4500 км. Эскизный проект был утвержден 26 июля 1940 г., через 6 дней после основного. В серию пошли М-30, но на самолете ТБ-7 они показали себя ненадежными, а их запуск после аварий</w:t>
      </w:r>
      <w:r w:rsidRPr="008127F8">
        <w:rPr>
          <w:color w:val="000000" w:themeColor="text1"/>
          <w:lang w:val="ru-RU"/>
        </w:rPr>
        <w:softHyphen/>
        <w:t>ного останова на большой высоте был крайне труден и моторы вскоре сняли с производства.</w:t>
      </w:r>
    </w:p>
    <w:p w14:paraId="0B8EBEDA" w14:textId="77777777" w:rsidR="007C5583" w:rsidRPr="008127F8" w:rsidRDefault="007C5583" w:rsidP="007C5583">
      <w:pPr>
        <w:pStyle w:val="a4"/>
        <w:rPr>
          <w:color w:val="000000" w:themeColor="text1"/>
          <w:lang w:val="ru-RU"/>
        </w:rPr>
      </w:pPr>
      <w:r w:rsidRPr="008127F8">
        <w:rPr>
          <w:color w:val="000000" w:themeColor="text1"/>
          <w:lang w:val="ru-RU"/>
        </w:rPr>
        <w:t>Как альтернативу М-120 Мясищев рассматривал и высотный вариант с тур</w:t>
      </w:r>
      <w:r w:rsidRPr="008127F8">
        <w:rPr>
          <w:color w:val="000000" w:themeColor="text1"/>
          <w:lang w:val="ru-RU"/>
        </w:rPr>
        <w:softHyphen/>
        <w:t>бокомпрессором серийной 14-цилиндро</w:t>
      </w:r>
      <w:r w:rsidRPr="008127F8">
        <w:rPr>
          <w:color w:val="000000" w:themeColor="text1"/>
          <w:lang w:val="ru-RU"/>
        </w:rPr>
        <w:softHyphen/>
        <w:t>вой «двойной звезды» М-82 конструкции Швецова. На самолетах Ил-4ТК и Ла-5 М-82 ТК-3 они работали более-менее нормально (вопросы касались в основ</w:t>
      </w:r>
      <w:r w:rsidRPr="008127F8">
        <w:rPr>
          <w:color w:val="000000" w:themeColor="text1"/>
          <w:lang w:val="ru-RU"/>
        </w:rPr>
        <w:softHyphen/>
        <w:t>ном охлаждения - капотов и радиаторов, но не моторов и турбокомпрессоров), но не дали достаточного прироста летных качеств.</w:t>
      </w:r>
    </w:p>
    <w:p w14:paraId="7E3C657E" w14:textId="77777777" w:rsidR="007C5583" w:rsidRPr="008127F8" w:rsidRDefault="007C5583" w:rsidP="007C5583">
      <w:pPr>
        <w:pStyle w:val="a4"/>
        <w:rPr>
          <w:color w:val="000000" w:themeColor="text1"/>
          <w:lang w:val="ru-RU"/>
        </w:rPr>
      </w:pPr>
      <w:r w:rsidRPr="008127F8">
        <w:rPr>
          <w:color w:val="000000" w:themeColor="text1"/>
          <w:lang w:val="ru-RU"/>
        </w:rPr>
        <w:t>Наконец, появился доработанный М-30Б, который осенью 1942 г. поставили на Ер-2 - его надежность Чаромский об</w:t>
      </w:r>
      <w:r w:rsidRPr="008127F8">
        <w:rPr>
          <w:color w:val="000000" w:themeColor="text1"/>
          <w:lang w:val="ru-RU"/>
        </w:rPr>
        <w:softHyphen/>
        <w:t>ещал улучшить. Забегая вперед, скажем, что это ему практически удалось - Ер-2 2М-30Б был принят на вооружение и вновь начал выпускаться с осени 1943 г., но тогда, летом 1942 г., это был еще «жу</w:t>
      </w:r>
      <w:r w:rsidRPr="008127F8">
        <w:rPr>
          <w:color w:val="000000" w:themeColor="text1"/>
          <w:lang w:val="ru-RU"/>
        </w:rPr>
        <w:softHyphen/>
        <w:t>равль в небе».</w:t>
      </w:r>
    </w:p>
    <w:p w14:paraId="6E0E8ABB" w14:textId="77777777" w:rsidR="007C5583" w:rsidRPr="008127F8" w:rsidRDefault="007C5583" w:rsidP="007C5583">
      <w:pPr>
        <w:pStyle w:val="a4"/>
        <w:rPr>
          <w:color w:val="000000" w:themeColor="text1"/>
          <w:lang w:val="ru-RU"/>
        </w:rPr>
      </w:pPr>
      <w:r w:rsidRPr="008127F8">
        <w:rPr>
          <w:color w:val="000000" w:themeColor="text1"/>
          <w:lang w:val="ru-RU"/>
        </w:rPr>
        <w:t>Дальше всех продвинулась работа над силовой установкой с 24-цилиндро</w:t>
      </w:r>
      <w:r w:rsidRPr="008127F8">
        <w:rPr>
          <w:color w:val="000000" w:themeColor="text1"/>
          <w:lang w:val="ru-RU"/>
        </w:rPr>
        <w:softHyphen/>
        <w:t>выми (четыре блока цилиндров мотора М-103, установленных Х-образно) мото</w:t>
      </w:r>
      <w:r w:rsidRPr="008127F8">
        <w:rPr>
          <w:color w:val="000000" w:themeColor="text1"/>
          <w:lang w:val="ru-RU"/>
        </w:rPr>
        <w:softHyphen/>
        <w:t>рами водяного охлаждения МБ-100, ко</w:t>
      </w:r>
      <w:r w:rsidRPr="008127F8">
        <w:rPr>
          <w:color w:val="000000" w:themeColor="text1"/>
          <w:lang w:val="ru-RU"/>
        </w:rPr>
        <w:softHyphen/>
        <w:t xml:space="preserve">торые спроектировали на заводе №26 ЦКБ НКВД под руководством </w:t>
      </w:r>
      <w:r w:rsidRPr="008127F8">
        <w:rPr>
          <w:color w:val="000000" w:themeColor="text1"/>
        </w:rPr>
        <w:t>A</w:t>
      </w:r>
      <w:r w:rsidRPr="008127F8">
        <w:rPr>
          <w:color w:val="000000" w:themeColor="text1"/>
          <w:lang w:val="ru-RU"/>
        </w:rPr>
        <w:t>.</w:t>
      </w:r>
      <w:r w:rsidRPr="008127F8">
        <w:rPr>
          <w:color w:val="000000" w:themeColor="text1"/>
        </w:rPr>
        <w:t>M</w:t>
      </w:r>
      <w:r w:rsidRPr="008127F8">
        <w:rPr>
          <w:color w:val="000000" w:themeColor="text1"/>
          <w:lang w:val="ru-RU"/>
        </w:rPr>
        <w:t>. Добротворского. Суммарная взлетная мощ</w:t>
      </w:r>
      <w:r w:rsidRPr="008127F8">
        <w:rPr>
          <w:color w:val="000000" w:themeColor="text1"/>
          <w:lang w:val="ru-RU"/>
        </w:rPr>
        <w:softHyphen/>
        <w:t>ность 4400 л.с. позволяла увеличить вес, запас топлива и дальность, но мотор МБ-100 был невысотным. Чтобы обеспе</w:t>
      </w:r>
      <w:r w:rsidRPr="008127F8">
        <w:rPr>
          <w:color w:val="000000" w:themeColor="text1"/>
          <w:lang w:val="ru-RU"/>
        </w:rPr>
        <w:softHyphen/>
        <w:t>чить прорыв ПВО на меньших скоростях и высотах, Мясищев предлагал усилить вооружение до пяти пушек ШВАК-20.</w:t>
      </w:r>
    </w:p>
    <w:p w14:paraId="3EED20CB" w14:textId="77777777" w:rsidR="007C5583" w:rsidRPr="008127F8" w:rsidRDefault="007C5583" w:rsidP="007C5583">
      <w:pPr>
        <w:pStyle w:val="a4"/>
        <w:rPr>
          <w:color w:val="000000" w:themeColor="text1"/>
          <w:lang w:val="ru-RU"/>
        </w:rPr>
      </w:pPr>
      <w:r w:rsidRPr="008127F8">
        <w:rPr>
          <w:color w:val="000000" w:themeColor="text1"/>
          <w:lang w:val="ru-RU"/>
        </w:rPr>
        <w:t>Под МБ-100 начали переделывать второй опытный ДВБ-102, детали и от</w:t>
      </w:r>
      <w:r w:rsidRPr="008127F8">
        <w:rPr>
          <w:color w:val="000000" w:themeColor="text1"/>
          <w:lang w:val="ru-RU"/>
        </w:rPr>
        <w:softHyphen/>
        <w:t>дельные узлы которого были изготов</w:t>
      </w:r>
      <w:r w:rsidRPr="008127F8">
        <w:rPr>
          <w:color w:val="000000" w:themeColor="text1"/>
          <w:lang w:val="ru-RU"/>
        </w:rPr>
        <w:softHyphen/>
        <w:t>лены еще до эвакуации на заводе №156. МБ-100 имел очень большой мидель, что влекло полную переделку капотов мо</w:t>
      </w:r>
      <w:r w:rsidRPr="008127F8">
        <w:rPr>
          <w:color w:val="000000" w:themeColor="text1"/>
          <w:lang w:val="ru-RU"/>
        </w:rPr>
        <w:softHyphen/>
        <w:t>торов, радиаторов и даже крыла в части усилений под моторы, а также переделку тоннелей радиаторов и размещения уве</w:t>
      </w:r>
      <w:r w:rsidRPr="008127F8">
        <w:rPr>
          <w:color w:val="000000" w:themeColor="text1"/>
          <w:lang w:val="ru-RU"/>
        </w:rPr>
        <w:softHyphen/>
        <w:t>личенных уве</w:t>
      </w:r>
      <w:r w:rsidRPr="008127F8">
        <w:rPr>
          <w:color w:val="000000" w:themeColor="text1"/>
          <w:lang w:val="ru-RU"/>
        </w:rPr>
        <w:softHyphen/>
        <w:t>личенных баков (17739).</w:t>
      </w:r>
    </w:p>
    <w:p w14:paraId="2A0FE523"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32A11EE" w14:textId="77777777" w:rsidR="00371732" w:rsidRPr="008A2E5A" w:rsidRDefault="00371732" w:rsidP="0037173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июня 1942 г. самолет ДВБ-102 первый опытный был передан на I этап Государственных испытаний, которые приводились как совместные (заводской этап СГИ) силами завода №288 и НИИ ВВС – полеты выполнял экипаж заводского летчика Ф.Ф. Опадчего, ведущим инженером на этом этапе был И.Н. Квитко.</w:t>
      </w:r>
    </w:p>
    <w:p w14:paraId="1FFE8F96" w14:textId="77777777" w:rsidR="00371732" w:rsidRPr="008A2E5A" w:rsidRDefault="00371732" w:rsidP="0037173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сентября 1942 г. заводской этап СГИ приостановлен из-за необходимости замены двигателей М-120, а завод №26 поставить их не мог, поскольку испытаний они не выдержали и с производства уже были сняты – сделано 19 полетов с частичной загрузкой и 11 с полным взлетным весом. Главными замечаниями были:</w:t>
      </w:r>
    </w:p>
    <w:p w14:paraId="03D722D8" w14:textId="77777777" w:rsidR="00371732" w:rsidRPr="008A2E5A" w:rsidRDefault="00371732" w:rsidP="0037173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низкая надежность двигателей М-120 (как первого, так и второго комплектов, было предложено заменить их на М-71 или другие);</w:t>
      </w:r>
    </w:p>
    <w:p w14:paraId="6F607888" w14:textId="77777777" w:rsidR="00371732" w:rsidRPr="008A2E5A" w:rsidRDefault="00371732" w:rsidP="0037173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запотевание стекол ГК (установлены двойные стекла, которые не запотевали);</w:t>
      </w:r>
    </w:p>
    <w:p w14:paraId="62FCDEDB" w14:textId="77777777" w:rsidR="00371732" w:rsidRPr="008A2E5A" w:rsidRDefault="00371732" w:rsidP="0037173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плохая работа нагнетателей наддува ГК;</w:t>
      </w:r>
    </w:p>
    <w:p w14:paraId="19FE75AA" w14:textId="77777777" w:rsidR="00371732" w:rsidRPr="008A2E5A" w:rsidRDefault="00371732" w:rsidP="0037173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невозможность реализовать заложенную в проект максимальную бомбовую нагрузку в 4 т (уже по данным эскизного проекта, утвержденного ВВС в 1940 г. значилась нагрузка в 3 т при нормальной 1 т);</w:t>
      </w:r>
    </w:p>
    <w:p w14:paraId="51F4C922" w14:textId="77777777" w:rsidR="00371732" w:rsidRPr="008A2E5A" w:rsidRDefault="00371732" w:rsidP="0037173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неудовлетворительная работа стрелкового вооружения в дистанционно-управляемых установках и др.</w:t>
      </w:r>
    </w:p>
    <w:p w14:paraId="36D4F70B" w14:textId="77777777" w:rsidR="00371732" w:rsidRPr="008A2E5A" w:rsidRDefault="00371732" w:rsidP="0037173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создавшихся условиях принято решение о замене трехрядных Y-образных двигателей жидкостного охлаждения М-120 разработки КБ-26 В.Я. Климова на двухрядные звездообразные М-71 конструкции КБ-19 А.Д. Швецова, что требовало значительных переделок многих систем силовой установки. Одновременно было решено внести и другие доработки (23552).</w:t>
      </w:r>
    </w:p>
    <w:p w14:paraId="231624BC" w14:textId="77777777" w:rsidR="00371732" w:rsidRPr="008A2E5A" w:rsidRDefault="00371732" w:rsidP="00371732">
      <w:pPr>
        <w:spacing w:after="0" w:line="240" w:lineRule="auto"/>
        <w:jc w:val="both"/>
        <w:rPr>
          <w:rFonts w:ascii="Times New Roman" w:hAnsi="Times New Roman"/>
          <w:color w:val="0070C0"/>
          <w:sz w:val="16"/>
          <w:szCs w:val="16"/>
        </w:rPr>
      </w:pPr>
    </w:p>
    <w:p w14:paraId="3ED63DF1"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начале июня 1942 из-за отсутствия летных эк</w:t>
      </w:r>
      <w:r w:rsidRPr="008127F8">
        <w:rPr>
          <w:rFonts w:ascii="Times New Roman" w:cs="Times New Roman"/>
          <w:color w:val="000000" w:themeColor="text1"/>
          <w:spacing w:val="0"/>
        </w:rPr>
        <w:softHyphen/>
        <w:t>земпляров мотора АМ-37 самолет ТИС (2А) был законсервиро</w:t>
      </w:r>
      <w:r w:rsidRPr="008127F8">
        <w:rPr>
          <w:rFonts w:ascii="Times New Roman" w:cs="Times New Roman"/>
          <w:color w:val="000000" w:themeColor="text1"/>
          <w:spacing w:val="0"/>
        </w:rPr>
        <w:softHyphen/>
        <w:t>ван. Работы по доводке машины по пе</w:t>
      </w:r>
      <w:r w:rsidRPr="008127F8">
        <w:rPr>
          <w:rFonts w:ascii="Times New Roman" w:cs="Times New Roman"/>
          <w:color w:val="000000" w:themeColor="text1"/>
          <w:spacing w:val="0"/>
        </w:rPr>
        <w:softHyphen/>
        <w:t>речню недостатков и дефектов согласно отчету ЛИИ НКАП начались только в ав</w:t>
      </w:r>
      <w:r w:rsidRPr="008127F8">
        <w:rPr>
          <w:rFonts w:ascii="Times New Roman" w:cs="Times New Roman"/>
          <w:color w:val="000000" w:themeColor="text1"/>
          <w:spacing w:val="0"/>
        </w:rPr>
        <w:softHyphen/>
        <w:t>густе (15755).</w:t>
      </w:r>
    </w:p>
    <w:p w14:paraId="3C13124E"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p>
    <w:p w14:paraId="42B2065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июня 1942 г. для проведения войсковых испытаний в 34 иап 6 ИАК ПВО были переданы три МиГ-9 войсковой серии №№6503, 6504, 6505, которые приняли участие в боевых действиях. Кроме того. самолет №6502 был передан в летную инспекцию ВВС, которая затем передала его в 12 гв.иап 6 ИАК ПВО (5485,30).</w:t>
      </w:r>
    </w:p>
    <w:p w14:paraId="42A90BF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3C176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июня 1942 г. в 34-й иап 6-го истребительного авиакорпуса ПВО для про</w:t>
      </w:r>
      <w:r w:rsidRPr="008127F8">
        <w:rPr>
          <w:rFonts w:ascii="Times New Roman" w:hAnsi="Times New Roman"/>
          <w:color w:val="000000" w:themeColor="text1"/>
          <w:sz w:val="16"/>
          <w:szCs w:val="16"/>
        </w:rPr>
        <w:softHyphen/>
        <w:t>ведения войсковых испытаний были направле</w:t>
      </w:r>
      <w:r w:rsidRPr="008127F8">
        <w:rPr>
          <w:rFonts w:ascii="Times New Roman" w:hAnsi="Times New Roman"/>
          <w:color w:val="000000" w:themeColor="text1"/>
          <w:sz w:val="16"/>
          <w:szCs w:val="16"/>
        </w:rPr>
        <w:softHyphen/>
        <w:t>ны три истребителя МиГ-9 (первые с таким на</w:t>
      </w:r>
      <w:r w:rsidRPr="008127F8">
        <w:rPr>
          <w:rFonts w:ascii="Times New Roman" w:hAnsi="Times New Roman"/>
          <w:color w:val="000000" w:themeColor="text1"/>
          <w:sz w:val="16"/>
          <w:szCs w:val="16"/>
        </w:rPr>
        <w:softHyphen/>
        <w:t>званием), являющиеся модификацией МиГ-3 с двигателем М-82. Самолеты с заводскими №№ 6503, 6504 и 6505 из состава войсковой серии по сути были опытными машинами, обладающими рядом де</w:t>
      </w:r>
      <w:r w:rsidRPr="008127F8">
        <w:rPr>
          <w:rFonts w:ascii="Times New Roman" w:hAnsi="Times New Roman"/>
          <w:color w:val="000000" w:themeColor="text1"/>
          <w:sz w:val="16"/>
          <w:szCs w:val="16"/>
        </w:rPr>
        <w:softHyphen/>
        <w:t>фектов (9979).</w:t>
      </w:r>
    </w:p>
    <w:p w14:paraId="1E5BD2F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B93F2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июня 1942 г. три МиГ-9 (зав. № 6503, 6504, 6505), были переданы для проведения войсковых испытаний в 34-й иап 6-го иак ПВО. Вторую опытную машину отправили в летную инспекцию ВВС, которая затем передала ее в 12-й гв. иап 6-го иак ПВО. Впрочем, из-за выявив</w:t>
      </w:r>
      <w:r w:rsidRPr="008127F8">
        <w:rPr>
          <w:rFonts w:ascii="Times New Roman" w:hAnsi="Times New Roman"/>
          <w:color w:val="000000" w:themeColor="text1"/>
          <w:sz w:val="16"/>
          <w:szCs w:val="16"/>
        </w:rPr>
        <w:softHyphen/>
        <w:t>шихся дефектов винтомоторной группы в конце ок</w:t>
      </w:r>
      <w:r w:rsidRPr="008127F8">
        <w:rPr>
          <w:rFonts w:ascii="Times New Roman" w:hAnsi="Times New Roman"/>
          <w:color w:val="000000" w:themeColor="text1"/>
          <w:sz w:val="16"/>
          <w:szCs w:val="16"/>
        </w:rPr>
        <w:softHyphen/>
        <w:t>тября 1942 г. полеты в 34-м иап были прекращены, и самолеты вернулись в ОКБ—155 для доработки. О сбитых самолетах врага информации нет (9984).</w:t>
      </w:r>
    </w:p>
    <w:p w14:paraId="34B954F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FDB41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июня 1942 г. три опытных МиГ-9 передали для проведения войсковых испытаний в 34-й иап 6-го иак ПВО, а еще одну машину - в летную инспекцию ВВС, которая затем отправила ее в 12-й гв. иап 6-го иак ПВО. Из-за выявившихся дефектов винтомоторной группы в конце октября 1942 г. полеты в 34-м иап были прекращены, и самолеты вернулись в ОКБ-155 для доработки (12045).</w:t>
      </w:r>
    </w:p>
    <w:p w14:paraId="53F1C15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925C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июня 1942 на заводе № 21 состоялось совещание по вопросу развертывания серийного производства ЛаГГ-3 с двигателем М-82. В протоколе совещания отмечалось, что установка мотора воздушного охлаждения привела к замене на новые: орудийного лафета, топливной и масляной систем, выхлопных коллекторов, системы управления самолетом и приборной доски летчика. Изменилась конструкция фюзеляжа и центроплана. Увеличилась доля деталей из алюминиевых сплавов. Это потребовало пересмотреть технологический процесс производства машины и изготовления новых стапелей и оснастки. </w:t>
      </w:r>
    </w:p>
    <w:p w14:paraId="15E522B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документах самолет иногда обозначался как Л-82. Пользуясь случаем, надо сказать, что еще раньше (в приказе НКАП от 25 апреля 1941 года) под обозначением Л-5 фигурировал самолет ЛаГГ-3 № 3121121 с двумя нагнетателями С.А. Трескина. Позже в отчете завода № 21 за 1942 год встретился Л-7 (без расшифровки), выпущенный в двух экземплярах. Видимо, индекс "Л" не что иное, как заводское обозначение самолетов, создававшихся в Горьком под руководством Лавочкина.</w:t>
      </w:r>
    </w:p>
    <w:p w14:paraId="1270F63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 подготовке к серийному производству самолеты со звездообразным мотором обозначались сначала как ЛаГГ-3 М-82, а затем ЛаГ-5. Об этом свидетельствуют "синьки" технических описаний истребителя завода № 21. Последняя, подписанная в печать осенью 1942 года, видимо, была связана с возможным дуэтом Лавочкин - Горбунов. Но события развивались по иному сценарию. В соответствии с годовой программой завод № 31 должен был во втором квартале 1942 года прекратить выпуск ЛаГГ-3 и перейти полностью на ЛаГ-5. Производственной программой предусматривался выпуск в Тбилиси восьми Ла-5. Завод же построил 21 самолет, сдав </w:t>
      </w:r>
      <w:r w:rsidRPr="008127F8">
        <w:rPr>
          <w:rFonts w:ascii="Times New Roman" w:hAnsi="Times New Roman"/>
          <w:color w:val="000000" w:themeColor="text1"/>
          <w:sz w:val="16"/>
          <w:szCs w:val="16"/>
        </w:rPr>
        <w:lastRenderedPageBreak/>
        <w:t>первые девять машин в сентябре. Но в августе НКАП принял решение прекратить производство самолета с мотором М-82А и возобновить выпуск ЛаГГ-3. Более того, спустя два месяца в соответствии с постановлением ГКО заводу предложили перейти на выпуск облегченного ЛаГГ-3, первую такую машину заложили лишь 13 ноября (12032).</w:t>
      </w:r>
    </w:p>
    <w:p w14:paraId="12A321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37037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июня 1942 г. на заводе № 45 был собран первый мо</w:t>
      </w:r>
      <w:r w:rsidRPr="008127F8">
        <w:rPr>
          <w:rFonts w:ascii="Times New Roman" w:hAnsi="Times New Roman"/>
          <w:color w:val="000000" w:themeColor="text1"/>
          <w:sz w:val="16"/>
          <w:szCs w:val="16"/>
        </w:rPr>
        <w:softHyphen/>
        <w:t>тор АМ-38. Вслед за первым изготови</w:t>
      </w:r>
      <w:r w:rsidRPr="008127F8">
        <w:rPr>
          <w:rFonts w:ascii="Times New Roman" w:hAnsi="Times New Roman"/>
          <w:color w:val="000000" w:themeColor="text1"/>
          <w:sz w:val="16"/>
          <w:szCs w:val="16"/>
        </w:rPr>
        <w:softHyphen/>
        <w:t>ли и сдали еще три мотора. С пятым получилась задержка, но все же мотор удалось сдать до конца июня. Таким образом, завод выполнил не только месячный план, но и план второго квар</w:t>
      </w:r>
      <w:r w:rsidRPr="008127F8">
        <w:rPr>
          <w:rFonts w:ascii="Times New Roman" w:hAnsi="Times New Roman"/>
          <w:color w:val="000000" w:themeColor="text1"/>
          <w:sz w:val="16"/>
          <w:szCs w:val="16"/>
        </w:rPr>
        <w:softHyphen/>
        <w:t>тала. В июле 1942 г. завод вновь вы</w:t>
      </w:r>
      <w:r w:rsidRPr="008127F8">
        <w:rPr>
          <w:rFonts w:ascii="Times New Roman" w:hAnsi="Times New Roman"/>
          <w:color w:val="000000" w:themeColor="text1"/>
          <w:sz w:val="16"/>
          <w:szCs w:val="16"/>
        </w:rPr>
        <w:softHyphen/>
        <w:t>полнил план, изготовив требуемые 28 двигателей. Конечно, этого было не</w:t>
      </w:r>
      <w:r w:rsidRPr="008127F8">
        <w:rPr>
          <w:rFonts w:ascii="Times New Roman" w:hAnsi="Times New Roman"/>
          <w:color w:val="000000" w:themeColor="text1"/>
          <w:sz w:val="16"/>
          <w:szCs w:val="16"/>
        </w:rPr>
        <w:softHyphen/>
        <w:t>достаточно. Положение на фронте ос</w:t>
      </w:r>
      <w:r w:rsidRPr="008127F8">
        <w:rPr>
          <w:rFonts w:ascii="Times New Roman" w:hAnsi="Times New Roman"/>
          <w:color w:val="000000" w:themeColor="text1"/>
          <w:sz w:val="16"/>
          <w:szCs w:val="16"/>
        </w:rPr>
        <w:softHyphen/>
        <w:t>тавалось очень серьезным, на юге стра</w:t>
      </w:r>
      <w:r w:rsidRPr="008127F8">
        <w:rPr>
          <w:rFonts w:ascii="Times New Roman" w:hAnsi="Times New Roman"/>
          <w:color w:val="000000" w:themeColor="text1"/>
          <w:sz w:val="16"/>
          <w:szCs w:val="16"/>
        </w:rPr>
        <w:softHyphen/>
        <w:t>ны Красная Армия отступала. Работни</w:t>
      </w:r>
      <w:r w:rsidRPr="008127F8">
        <w:rPr>
          <w:rFonts w:ascii="Times New Roman" w:hAnsi="Times New Roman"/>
          <w:color w:val="000000" w:themeColor="text1"/>
          <w:sz w:val="16"/>
          <w:szCs w:val="16"/>
        </w:rPr>
        <w:softHyphen/>
        <w:t>ки завода отлично понимали, как нуж</w:t>
      </w:r>
      <w:r w:rsidRPr="008127F8">
        <w:rPr>
          <w:rFonts w:ascii="Times New Roman" w:hAnsi="Times New Roman"/>
          <w:color w:val="000000" w:themeColor="text1"/>
          <w:sz w:val="16"/>
          <w:szCs w:val="16"/>
        </w:rPr>
        <w:softHyphen/>
        <w:t>ны «Илы». В августе на самолетострои</w:t>
      </w:r>
      <w:r w:rsidRPr="008127F8">
        <w:rPr>
          <w:rFonts w:ascii="Times New Roman" w:hAnsi="Times New Roman"/>
          <w:color w:val="000000" w:themeColor="text1"/>
          <w:sz w:val="16"/>
          <w:szCs w:val="16"/>
        </w:rPr>
        <w:softHyphen/>
        <w:t>тельные предприятия были отправле</w:t>
      </w:r>
      <w:r w:rsidRPr="008127F8">
        <w:rPr>
          <w:rFonts w:ascii="Times New Roman" w:hAnsi="Times New Roman"/>
          <w:color w:val="000000" w:themeColor="text1"/>
          <w:sz w:val="16"/>
          <w:szCs w:val="16"/>
        </w:rPr>
        <w:softHyphen/>
        <w:t>ны уже 52 двигателя - на один больше плана. В сентябре завод перевыполнил программу, предусматривавшую изго</w:t>
      </w:r>
      <w:r w:rsidRPr="008127F8">
        <w:rPr>
          <w:rFonts w:ascii="Times New Roman" w:hAnsi="Times New Roman"/>
          <w:color w:val="000000" w:themeColor="text1"/>
          <w:sz w:val="16"/>
          <w:szCs w:val="16"/>
        </w:rPr>
        <w:softHyphen/>
        <w:t>товление 85 моторов, и занял третье место среди предприятий наркомата. Так же уверенно завод работал и в ок</w:t>
      </w:r>
      <w:r w:rsidRPr="008127F8">
        <w:rPr>
          <w:rFonts w:ascii="Times New Roman" w:hAnsi="Times New Roman"/>
          <w:color w:val="000000" w:themeColor="text1"/>
          <w:sz w:val="16"/>
          <w:szCs w:val="16"/>
        </w:rPr>
        <w:softHyphen/>
        <w:t>тябре, доведя месячную производитель</w:t>
      </w:r>
      <w:r w:rsidRPr="008127F8">
        <w:rPr>
          <w:rFonts w:ascii="Times New Roman" w:hAnsi="Times New Roman"/>
          <w:color w:val="000000" w:themeColor="text1"/>
          <w:sz w:val="16"/>
          <w:szCs w:val="16"/>
        </w:rPr>
        <w:softHyphen/>
        <w:t>ность до 130 единиц (11159). Однако в конце года из-за проблем с кадрами и плохих погодных условий ситуация ухудшилась. Достаточно ска</w:t>
      </w:r>
      <w:r w:rsidRPr="008127F8">
        <w:rPr>
          <w:rFonts w:ascii="Times New Roman" w:hAnsi="Times New Roman"/>
          <w:color w:val="000000" w:themeColor="text1"/>
          <w:sz w:val="16"/>
          <w:szCs w:val="16"/>
        </w:rPr>
        <w:softHyphen/>
        <w:t>зать, что за 1942 г. на завод было при</w:t>
      </w:r>
      <w:r w:rsidRPr="008127F8">
        <w:rPr>
          <w:rFonts w:ascii="Times New Roman" w:hAnsi="Times New Roman"/>
          <w:color w:val="000000" w:themeColor="text1"/>
          <w:sz w:val="16"/>
          <w:szCs w:val="16"/>
        </w:rPr>
        <w:softHyphen/>
        <w:t>нято 14 238 человек, в том числе 7260 рабочих и 1769 инженеров и техни</w:t>
      </w:r>
      <w:r w:rsidRPr="008127F8">
        <w:rPr>
          <w:rFonts w:ascii="Times New Roman" w:hAnsi="Times New Roman"/>
          <w:color w:val="000000" w:themeColor="text1"/>
          <w:sz w:val="16"/>
          <w:szCs w:val="16"/>
        </w:rPr>
        <w:softHyphen/>
        <w:t>ков. Из указанного числа рабочих толь</w:t>
      </w:r>
      <w:r w:rsidRPr="008127F8">
        <w:rPr>
          <w:rFonts w:ascii="Times New Roman" w:hAnsi="Times New Roman"/>
          <w:color w:val="000000" w:themeColor="text1"/>
          <w:sz w:val="16"/>
          <w:szCs w:val="16"/>
        </w:rPr>
        <w:softHyphen/>
        <w:t>ко 40 % имели опыт работы на заводе, остальные были «зелеными» новичка</w:t>
      </w:r>
      <w:r w:rsidRPr="008127F8">
        <w:rPr>
          <w:rFonts w:ascii="Times New Roman" w:hAnsi="Times New Roman"/>
          <w:color w:val="000000" w:themeColor="text1"/>
          <w:sz w:val="16"/>
          <w:szCs w:val="16"/>
        </w:rPr>
        <w:softHyphen/>
        <w:t>ми. В течение года на предприятии прошло обучен-и'ё специальности 4176 человек (в том числе 1265 тока</w:t>
      </w:r>
      <w:r w:rsidRPr="008127F8">
        <w:rPr>
          <w:rFonts w:ascii="Times New Roman" w:hAnsi="Times New Roman"/>
          <w:color w:val="000000" w:themeColor="text1"/>
          <w:sz w:val="16"/>
          <w:szCs w:val="16"/>
        </w:rPr>
        <w:softHyphen/>
        <w:t>рей, 82 слесаря, 273 шлифовщика и 360 фрезеровщиков).</w:t>
      </w:r>
    </w:p>
    <w:p w14:paraId="348C40E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Недостаточная квалификация ра</w:t>
      </w:r>
      <w:r w:rsidRPr="008127F8">
        <w:rPr>
          <w:rFonts w:ascii="Times New Roman" w:hAnsi="Times New Roman"/>
          <w:color w:val="000000" w:themeColor="text1"/>
          <w:sz w:val="16"/>
          <w:szCs w:val="16"/>
        </w:rPr>
        <w:softHyphen/>
        <w:t>ботников грозила срывом производ</w:t>
      </w:r>
      <w:r w:rsidRPr="008127F8">
        <w:rPr>
          <w:rFonts w:ascii="Times New Roman" w:hAnsi="Times New Roman"/>
          <w:color w:val="000000" w:themeColor="text1"/>
          <w:sz w:val="16"/>
          <w:szCs w:val="16"/>
        </w:rPr>
        <w:softHyphen/>
        <w:t>ственных планов. Три мотора, постав</w:t>
      </w:r>
      <w:r w:rsidRPr="008127F8">
        <w:rPr>
          <w:rFonts w:ascii="Times New Roman" w:hAnsi="Times New Roman"/>
          <w:color w:val="000000" w:themeColor="text1"/>
          <w:sz w:val="16"/>
          <w:szCs w:val="16"/>
        </w:rPr>
        <w:softHyphen/>
        <w:t>ленные на длительные испытания осе</w:t>
      </w:r>
      <w:r w:rsidRPr="008127F8">
        <w:rPr>
          <w:rFonts w:ascii="Times New Roman" w:hAnsi="Times New Roman"/>
          <w:color w:val="000000" w:themeColor="text1"/>
          <w:sz w:val="16"/>
          <w:szCs w:val="16"/>
        </w:rPr>
        <w:softHyphen/>
        <w:t>нью 1942 г., не отработали установлен</w:t>
      </w:r>
      <w:r w:rsidRPr="008127F8">
        <w:rPr>
          <w:rFonts w:ascii="Times New Roman" w:hAnsi="Times New Roman"/>
          <w:color w:val="000000" w:themeColor="text1"/>
          <w:sz w:val="16"/>
          <w:szCs w:val="16"/>
        </w:rPr>
        <w:softHyphen/>
        <w:t>ного 100-часового срока. Четвертый двигатель АМ-38 честно «отбарабанил» 100 часов, но на 104-м у него оборвался равноправный шатун. Вообще, наи</w:t>
      </w:r>
      <w:r w:rsidRPr="008127F8">
        <w:rPr>
          <w:rFonts w:ascii="Times New Roman" w:hAnsi="Times New Roman"/>
          <w:color w:val="000000" w:themeColor="text1"/>
          <w:sz w:val="16"/>
          <w:szCs w:val="16"/>
        </w:rPr>
        <w:softHyphen/>
        <w:t>более характерными поломками АМ-38 в тот период были разрушения шесте</w:t>
      </w:r>
      <w:r w:rsidRPr="008127F8">
        <w:rPr>
          <w:rFonts w:ascii="Times New Roman" w:hAnsi="Times New Roman"/>
          <w:color w:val="000000" w:themeColor="text1"/>
          <w:sz w:val="16"/>
          <w:szCs w:val="16"/>
        </w:rPr>
        <w:softHyphen/>
        <w:t>рен и поломки клапанов, что было выз</w:t>
      </w:r>
      <w:r w:rsidRPr="008127F8">
        <w:rPr>
          <w:rFonts w:ascii="Times New Roman" w:hAnsi="Times New Roman"/>
          <w:color w:val="000000" w:themeColor="text1"/>
          <w:sz w:val="16"/>
          <w:szCs w:val="16"/>
        </w:rPr>
        <w:softHyphen/>
        <w:t>вано нетолько невысоким качеством из</w:t>
      </w:r>
      <w:r w:rsidRPr="008127F8">
        <w:rPr>
          <w:rFonts w:ascii="Times New Roman" w:hAnsi="Times New Roman"/>
          <w:color w:val="000000" w:themeColor="text1"/>
          <w:sz w:val="16"/>
          <w:szCs w:val="16"/>
        </w:rPr>
        <w:softHyphen/>
        <w:t>готовления моторов, но и низкокаче</w:t>
      </w:r>
      <w:r w:rsidRPr="008127F8">
        <w:rPr>
          <w:rFonts w:ascii="Times New Roman" w:hAnsi="Times New Roman"/>
          <w:color w:val="000000" w:themeColor="text1"/>
          <w:sz w:val="16"/>
          <w:szCs w:val="16"/>
        </w:rPr>
        <w:softHyphen/>
        <w:t>ственным третьесортным бензином, которым снабжался завод (11159).</w:t>
      </w:r>
    </w:p>
    <w:p w14:paraId="03A3780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93E2FC" w14:textId="77777777" w:rsidR="00C41C32" w:rsidRPr="008A2E5A" w:rsidRDefault="00C41C32" w:rsidP="00C41C3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июня 1942 г. американцы предложили гнать са</w:t>
      </w:r>
      <w:r w:rsidRPr="008A2E5A">
        <w:rPr>
          <w:rFonts w:ascii="Times New Roman" w:hAnsi="Times New Roman"/>
          <w:color w:val="0070C0"/>
          <w:sz w:val="16"/>
          <w:szCs w:val="16"/>
        </w:rPr>
        <w:softHyphen/>
        <w:t>молеты напрямую с Аляски на Чукотку. 17 июня президент США Ф. Рузвельт писал И.В. Сталину: «Посол Литвинов инфор</w:t>
      </w:r>
      <w:r w:rsidRPr="008A2E5A">
        <w:rPr>
          <w:rFonts w:ascii="Times New Roman" w:hAnsi="Times New Roman"/>
          <w:color w:val="0070C0"/>
          <w:sz w:val="16"/>
          <w:szCs w:val="16"/>
        </w:rPr>
        <w:softHyphen/>
        <w:t>мировал меня, что Вы одобрили переброс</w:t>
      </w:r>
      <w:r w:rsidRPr="008A2E5A">
        <w:rPr>
          <w:rFonts w:ascii="Times New Roman" w:hAnsi="Times New Roman"/>
          <w:color w:val="0070C0"/>
          <w:sz w:val="16"/>
          <w:szCs w:val="16"/>
        </w:rPr>
        <w:softHyphen/>
        <w:t>ку американских самолетов через Аляску и Северную Сибирь на западный фронт, и я рад узнать об этом». Новая схема обе</w:t>
      </w:r>
      <w:r w:rsidRPr="008A2E5A">
        <w:rPr>
          <w:rFonts w:ascii="Times New Roman" w:hAnsi="Times New Roman"/>
          <w:color w:val="0070C0"/>
          <w:sz w:val="16"/>
          <w:szCs w:val="16"/>
        </w:rPr>
        <w:softHyphen/>
        <w:t>щала экономию времени и давала воз</w:t>
      </w:r>
      <w:r w:rsidRPr="008A2E5A">
        <w:rPr>
          <w:rFonts w:ascii="Times New Roman" w:hAnsi="Times New Roman"/>
          <w:color w:val="0070C0"/>
          <w:sz w:val="16"/>
          <w:szCs w:val="16"/>
        </w:rPr>
        <w:softHyphen/>
        <w:t>можность перегонять по воздуху также самолеты с небольшой дальностью поле</w:t>
      </w:r>
      <w:r w:rsidRPr="008A2E5A">
        <w:rPr>
          <w:rFonts w:ascii="Times New Roman" w:hAnsi="Times New Roman"/>
          <w:color w:val="0070C0"/>
          <w:sz w:val="16"/>
          <w:szCs w:val="16"/>
        </w:rPr>
        <w:softHyphen/>
        <w:t>та, в частности, истребители, для которых перелет через океан был недоступен (23513).</w:t>
      </w:r>
    </w:p>
    <w:p w14:paraId="3C77CCBE" w14:textId="77777777" w:rsidR="00C41C32" w:rsidRPr="008A2E5A" w:rsidRDefault="00C41C32" w:rsidP="00C41C32">
      <w:pPr>
        <w:spacing w:after="0" w:line="240" w:lineRule="auto"/>
        <w:jc w:val="both"/>
        <w:rPr>
          <w:rFonts w:ascii="Times New Roman" w:hAnsi="Times New Roman"/>
          <w:color w:val="0070C0"/>
          <w:sz w:val="16"/>
          <w:szCs w:val="16"/>
        </w:rPr>
      </w:pPr>
    </w:p>
    <w:p w14:paraId="3140534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0BC871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BC4AB1"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начале июня 1942 во исполнение принятого 5 июня 1942 года по</w:t>
      </w:r>
      <w:r w:rsidRPr="008127F8">
        <w:rPr>
          <w:rFonts w:ascii="Times New Roman" w:cs="Times New Roman"/>
          <w:color w:val="000000" w:themeColor="text1"/>
          <w:spacing w:val="0"/>
        </w:rPr>
        <w:softHyphen/>
        <w:t>становления ГКО № 1878сс нар</w:t>
      </w:r>
      <w:r w:rsidRPr="008127F8">
        <w:rPr>
          <w:rFonts w:ascii="Times New Roman" w:cs="Times New Roman"/>
          <w:color w:val="000000" w:themeColor="text1"/>
          <w:spacing w:val="0"/>
        </w:rPr>
        <w:softHyphen/>
        <w:t>ком танковой промышленности подписал соответствующий приказ, согласно которому для уменьшения массы танка заводам УЗТМ и № 200 (они производили корпуса и баш</w:t>
      </w:r>
      <w:r w:rsidRPr="008127F8">
        <w:rPr>
          <w:rFonts w:ascii="Times New Roman" w:cs="Times New Roman"/>
          <w:color w:val="000000" w:themeColor="text1"/>
          <w:spacing w:val="0"/>
        </w:rPr>
        <w:softHyphen/>
        <w:t xml:space="preserve">ни для танков </w:t>
      </w:r>
      <w:r w:rsidRPr="008127F8">
        <w:rPr>
          <w:rFonts w:ascii="Times New Roman" w:cs="Times New Roman"/>
          <w:color w:val="000000" w:themeColor="text1"/>
          <w:spacing w:val="0"/>
          <w:lang w:val="en-US"/>
        </w:rPr>
        <w:t>KB</w:t>
      </w:r>
      <w:r w:rsidRPr="008127F8">
        <w:rPr>
          <w:rFonts w:ascii="Times New Roman" w:cs="Times New Roman"/>
          <w:color w:val="000000" w:themeColor="text1"/>
          <w:spacing w:val="0"/>
        </w:rPr>
        <w:t>) разрешалось уменьшить толшину следующих броневых листов: бор</w:t>
      </w:r>
      <w:r w:rsidRPr="008127F8">
        <w:rPr>
          <w:rFonts w:ascii="Times New Roman" w:cs="Times New Roman"/>
          <w:color w:val="000000" w:themeColor="text1"/>
          <w:spacing w:val="0"/>
        </w:rPr>
        <w:softHyphen/>
        <w:t>товых лобового и нижнего сварной башни с 75 до 60 мм, толшину стенок литой башни и бронезащиты пушки до 80-85 мм, а так</w:t>
      </w:r>
      <w:r w:rsidRPr="008127F8">
        <w:rPr>
          <w:rFonts w:ascii="Times New Roman" w:cs="Times New Roman"/>
          <w:color w:val="000000" w:themeColor="text1"/>
          <w:spacing w:val="0"/>
        </w:rPr>
        <w:softHyphen/>
        <w:t>же уменьшить ее габариты за счет литейных форм (сохранив существующий диаметр по</w:t>
      </w:r>
      <w:r w:rsidRPr="008127F8">
        <w:rPr>
          <w:rFonts w:ascii="Times New Roman" w:cs="Times New Roman"/>
          <w:color w:val="000000" w:themeColor="text1"/>
          <w:spacing w:val="0"/>
        </w:rPr>
        <w:softHyphen/>
        <w:t>гона), днища корпуса - до 30 мм, а также от</w:t>
      </w:r>
      <w:r w:rsidRPr="008127F8">
        <w:rPr>
          <w:rFonts w:ascii="Times New Roman" w:cs="Times New Roman"/>
          <w:color w:val="000000" w:themeColor="text1"/>
          <w:spacing w:val="0"/>
        </w:rPr>
        <w:softHyphen/>
        <w:t>казаться от экранировки лобового листа. Со</w:t>
      </w:r>
      <w:r w:rsidRPr="008127F8">
        <w:rPr>
          <w:rFonts w:ascii="Times New Roman" w:cs="Times New Roman"/>
          <w:color w:val="000000" w:themeColor="text1"/>
          <w:spacing w:val="0"/>
        </w:rPr>
        <w:softHyphen/>
        <w:t xml:space="preserve">гласно этому же приказу, ЧКЗ должен был устанавливать на </w:t>
      </w:r>
      <w:r w:rsidRPr="008127F8">
        <w:rPr>
          <w:rFonts w:ascii="Times New Roman" w:cs="Times New Roman"/>
          <w:color w:val="000000" w:themeColor="text1"/>
          <w:spacing w:val="0"/>
          <w:lang w:val="en-US"/>
        </w:rPr>
        <w:t>KB</w:t>
      </w:r>
      <w:r w:rsidRPr="008127F8">
        <w:rPr>
          <w:rFonts w:ascii="Times New Roman" w:cs="Times New Roman"/>
          <w:color w:val="000000" w:themeColor="text1"/>
          <w:spacing w:val="0"/>
        </w:rPr>
        <w:t xml:space="preserve"> более узкие гусеницы с траками шириной 650 мм (для уменьшения массы), а также новую восьмискоростную коробку перемены передач, новые радиато</w:t>
      </w:r>
      <w:r w:rsidRPr="008127F8">
        <w:rPr>
          <w:rFonts w:ascii="Times New Roman" w:cs="Times New Roman"/>
          <w:color w:val="000000" w:themeColor="text1"/>
          <w:spacing w:val="0"/>
        </w:rPr>
        <w:softHyphen/>
        <w:t>ры и вентиляторы. Этим же приказом выпуск КВ-1 массой 47, 5 т сокращался (15226).</w:t>
      </w:r>
    </w:p>
    <w:p w14:paraId="098A1EED"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p>
    <w:p w14:paraId="12D12D89"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начале июня 1942 года шасси "32" было готово, а системы для него не имело. В июле 1942 года деталями для ЗИК-7 загрузили завод №37. К тому моменту выпуск Т-60 на нем прекратили, поэтому шасси "32" становилось приоритетным. Тем более что вместо Т-60 в Свердловске предполагалось выпускать Т-70. Но подобная ситуация продолжалось всего несколько недель. 28 июля 1942 года Сталин подписал постановление ГКО №2120сс "Об организации производства танков Т-34 на Уралмашзаводе и заводе № 37 Наркомтанкопрома". Таким образом, с изготовлением деталей завод ЗИК-7 завод №37 мог уже не торопиться.</w:t>
      </w:r>
    </w:p>
    <w:p w14:paraId="7DCCA686"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попытке спасти положение КБ завода №8 подготовило упрощенный вариант системы, получивший обозначение ЗИК-7-II. Теперь люлька бралась без изменений от серийных ЗИС-5, имелись дополнительные элементы унификации. Панорамный прицел брался от 76-мм полковой пушки обр.1927 года, подъемный и поворотный механизмы заимствовались у серийной ЗИС-5. Более простой стала и бронировка маски, частично повторявшая форму бронировки ЗИС-5 для КВ-1. Главная проблема заключалась в том, что время уже ушло. Завод №37 теперь именовался заводом №50 и готовился выпускать Т-34. Дополнительное "веселье" случилось в сентябре 1942 года, когда из НКВ (Наркомат Вооружений) сообщили, что теперь надо проект переделать под шасси "31". На всякий пожарный, выпускать СУ-31 уже никто не собирался. Вишенкой на торте стало письмо председателя технического совета НКВ Э.А. Сателя, в котором он обвинил КБ завода №8 в имитации работы. Якобы проекты делались в стол. С учетом всего происходящего это письмо выглядело как минимум не очень красиво.</w:t>
      </w:r>
    </w:p>
    <w:p w14:paraId="2F1D6701"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Понимая, что работы по ЗИК-7 затягиваются, на заводе №37 решили пойти другим путем. Совместно с КБ УЗТМ был разработан запасной вариант БГС-5. На УЗТМ он получил обозначение У-32, работы шли под руководством Л.И. Горлицкого, ведущими инженерами являлись К.Н. Ильин и А.Н. Шляков. В основу был взят исходный проект БГС-5, но с 76-мм дивизионной пушкой ЗИС-3 в качестве вооружения. Рубку сделали более просторной, что позволило разместить те же 60 патронов к ЗИС-3, что и на ЗИК-7. Аналогичным образом крепилось и орудие. Для этого использовали тумбу. Правда, при этом имелся один нюанс. ЗИС-3 ставилась вместе с элементами лафета и фрагментами станин, из-за чего занимала внутри боевого отделения больше места.</w:t>
      </w:r>
    </w:p>
    <w:p w14:paraId="160562D0"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Окончательно машина, получившая обозначение СУ-32, была готова в июле 1942 года (21099).</w:t>
      </w:r>
    </w:p>
    <w:p w14:paraId="67AC8A0B"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138C8F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июня 1942 года под патронажем ГАУ КА и НКВ, КБ завода №8 начало проектировать "нормальную" САУ. В отличие от гаубичного Т-34, который проектировался по линии НКТП, разработка рубочной САУ велась по линии Артиллерийского Комитета ГАУ КА. Точнее, рубочных. Несмотря на то, что ГАУ КА всеми способами пыталось избавиться от орудия У-11, НКТП настойчиво требовал включить его в список вооружения САУ. И вот тут сложно с Ж.Я. Котиным, который и являлся главным идеологом У-11, поспорить. Как бы артиллеристы не противились, но Жозеф Яковлевич был прав. У-11 оказалась легче, компактнее, оснащалась телескопическим прицелом и ее можно было поставить в рамке, избавившись от тумбы. Это дополнительно снижало массу машины. Так что проектов оказалось два - ЗИК-10 с орудием У-11 и ЗИК-11 со 122-мм гаубицей М-30. Оба орудия собирались ставить без изменения конструкции качающейся части. Первые отголоски по данной теме появились в начале июня 1942 года. В это время шли уточнения требований по машине. Согласно полученным 4 июня 1942 года ответам, шасси Т-34 запрещалось переделывать. Изменениям могли подвергаться подбашенная коробка, борта боевого отделения, топливные баки, также допускался рост массы, по сравнению с базовым Т-34, до 3%. Оптимальным был боекомплект в 50 выстрелов, но нижняя планка оказалась более скромной - не менее 30. Сроком предоставления проектов значилось 15 июня 1942 года.</w:t>
      </w:r>
    </w:p>
    <w:p w14:paraId="5A81DCE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Сроки эти, откровенно говоря, были изначально нереальными. Дело в том, что КБ завода №8 оказалось буквально перегружено различными проектами, связанными как с буксируемой, так и с самоходной артиллерией. Одновременно шла работа по 76-мм орудийной установке ЗИК-5, предполагавшейся на САУ У-31, а также 25-мм ЗСУ ЗИК-7, базой для нее служило другое легкое шасси - У-32. По этой причине работы по обоим проектам, ведущим инженером которых являлся М.Е. Безусов, несколько затянулись. При этом приоритетным являлся ЗИК-10. Документация по нему была готова в начале июля 1942 года. Надо сказать, что на заводе №8 весьма вольно отнеслись к требованиям по поводу неизменности У-11. Это вполне логично, ибо граждане артиллеристы явно забыли - танковая пушка по горизонтали поворачивалась за счет башни, а тут ее не имелось. Бронировки системы выполнили заново, а сама она крепилась на рамке. Переделка орудийной установки позволила увеличить угол вертикальной наводки до 30 градусов. Вполне достаточным оказался и сектор обстрела по горизонтали – по 10 градусов влево и вправо. Сохранялся спаренный с орудием пулемет, а также телескопический прицел. В дополнение к нему ставился панорамный прицел, что обеспечивало стрельбу с закрытых позиций. Подобно СГ-122, ставился лоток. Одним словом, с точки зрения орудийной системы ЗИК-10 получилась весьма удачной.</w:t>
      </w:r>
    </w:p>
    <w:p w14:paraId="430486D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Вот со всем остальным явно была беда. Не факт, что на заводе №8 видели проект СГ-122, зато они видели У-31 и У-32, а также собственную разработку - У-20 (она хоть и с буковкой У, но фактически проектировалась "восьмеркой"). Перечисленные проекты имели открытое сверху боевое отделение, вот и ЗИК-10 создавалась аналогичным образом. Требования не трогать лобовой лист корпуса также сыграли злую шутку. В результате проект имел ступеньку в лобовой части, причем верхняя ее часть имела угол наклона всего 15 градусов. Наверное, так выпускать проще, но с точки зрения снарядостойкости решение весьма спорное. Не менее спорно выглядели и люки в бортах рубки, предназначались они для загрузки боекомплекта. Сам он составил 32 выстрела, причем размещался где попало. Машина получилась довольно тесной, причем КБ завода №8 ситуацию усугубило. Боекомплект разместили на полу, в результате чего высота боевого отделения составила всего 1520 мм. Да и идея разместить кормовой пулемет в заднем листе рубки была не очень.</w:t>
      </w:r>
    </w:p>
    <w:p w14:paraId="1FB51EA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точки зрения ГАУ КА более подходящим был второй проект - ЗИК-11. Он также предполагал наличие открытого сверху боевого отделения, даже общая геометрия рубки оказалась похожей, но с массой нюансов. Во-первых, объем открытого пространства оказался меньше, как и шанс прилета осколков сверху (а также гранат). Во-вторых, размещение боекомплекта выглядело более рациональным. В отличие от ЗИК-10, пол боевого отделения не был полностью заставлен укладками. Также вторую установку пулемета ДТ перенесли из кормовой части в лоб рубки. Тоже так себе идея, но пол крайней мере теперь пулемет не мешал заряжать орудие. Общая высота машины оказалась меньше – 2100 мм против 2270 мм у ЗИК-10. Также, за счет более рационального размещения боекомплекта внутри оказалось просторнее. Впрочем, на особый комфорт расчет всё равно не рассчитывал. Достаточно сказать, что сиденья были только у механика-водителя и наводчика.</w:t>
      </w:r>
    </w:p>
    <w:p w14:paraId="0264AF0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Отсутствие сидений, впрочем, было не единственной проблемой. Главная проблема именовалась "122-мм гаубица М-30". Ставилась она на тумбу, так что съедалась часть места, а заодно и прибавлялась масса. Гаубица практически не переделывалась, и в этом таился один минус. Дело в том, что отсутствовало ограждение, роль которого в других проектах частично исполнял лоток. В результате возникал риск несчастных случаев при стрельбе. Откатные механизмы гаубицы прикрывались </w:t>
      </w:r>
      <w:r w:rsidRPr="008127F8">
        <w:rPr>
          <w:rFonts w:ascii="Times New Roman" w:hAnsi="Times New Roman"/>
          <w:color w:val="000000" w:themeColor="text1"/>
          <w:sz w:val="16"/>
          <w:szCs w:val="16"/>
        </w:rPr>
        <w:lastRenderedPageBreak/>
        <w:t>подвижной бронировкой. Угла вертикальной и горизонтальной наводки остались на уровне ЗИК-10. Недостатком являлось то, что система имела внутреннюю маску, а это повышало риск попадания вражеских пуль и осколков. В общем-то, если бы в рубку ЗИК-11 поставить орудие ЗИК-10, ценность у проекта выросла. Но такого варианта не предусматривалось (20931).</w:t>
      </w:r>
    </w:p>
    <w:p w14:paraId="6B9B5D4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25686C6"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начале июня 1942 года наверху было принято решение о том, что танк КВ-13 должен получить трёхместную башню. Был разработан её эскизный проект, отчасти эта башня позже повлияла и на башню </w:t>
      </w:r>
      <w:hyperlink r:id="rId71" w:history="1">
        <w:r w:rsidRPr="008127F8">
          <w:rPr>
            <w:rFonts w:ascii="Times New Roman" w:eastAsia="Times New Roman" w:hAnsi="Times New Roman"/>
            <w:color w:val="000000" w:themeColor="text1"/>
            <w:sz w:val="16"/>
            <w:szCs w:val="16"/>
            <w:lang w:eastAsia="ru-RU"/>
          </w:rPr>
          <w:t>КВ-1с</w:t>
        </w:r>
      </w:hyperlink>
      <w:r w:rsidRPr="008127F8">
        <w:rPr>
          <w:rFonts w:ascii="Times New Roman" w:eastAsia="Times New Roman" w:hAnsi="Times New Roman"/>
          <w:color w:val="000000" w:themeColor="text1"/>
          <w:sz w:val="16"/>
          <w:szCs w:val="16"/>
          <w:lang w:eastAsia="ru-RU"/>
        </w:rPr>
        <w:t>. Однако в условиях, когда для конструкторов Челябинского тракторного завода больший приоритет имела разработка КВ-1с, а позже появилось и срочное задание на освоение производства Т-34, проект КВ-13 с трёхместной башней оказался не у дел (17688).</w:t>
      </w:r>
    </w:p>
    <w:p w14:paraId="0C7D2ED4"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397A26C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июня 1942 появился документ, в котором вариант машины Т-34М с трёхместной башней именовался как Т-44. Позже, 1 июля 1941 года, появился проект постановления ГКО «Об изготовлении опытных образцов танков Т-44 и модернизации танка Т-34» (18420).</w:t>
      </w:r>
    </w:p>
    <w:p w14:paraId="1E2E56C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2C3791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июня 1942 в связи с усилившейся угрозой налетов на города Поволжья в Саратов прибыл замнаркома среднего машиностроения Н. Митькин. Он посетил шарикоподшипниковый завод ГПЗ-3 и установил, что состояние МПВО на этом важнейшем объекте оборонного значения находится в совершенно неудовлетворительном состоянии. В связи с этим 11 июня им был издан приказ, в котором, в частности, говорилось:</w:t>
      </w:r>
    </w:p>
    <w:p w14:paraId="50084F2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а) личный состав укрытиями, убежищами и средствами индивидуальной ПХЗ не обеспечен; </w:t>
      </w:r>
    </w:p>
    <w:p w14:paraId="69D24EA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б) проведение мероприятий по светомаскировке не обеспечивает бесперебойной работы завода в условиях воздушного нападения; </w:t>
      </w:r>
    </w:p>
    <w:p w14:paraId="441F7C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в) отсутствует не только основной КП, нет даже помещения, приспособленного для временного КП; </w:t>
      </w:r>
    </w:p>
    <w:p w14:paraId="06EB0C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г) не создано условий для боевой подготовки личного состава формирований МПВО и слабо реализуется постановление СНКСССР от 2.6.41 г. «О всеобщей и обязательной подготовке к ПВ и ПХ обороне», такому состоянию подготовки к ПВО объекта способствует бездеятельность руководящего состава объекта и штаба МПВО».  Директору завода А. Н. Бурову было приказано закончить строительство укрытий полевого типа (щелей) к 20 июня, газоубежищ, дегазационной камеры и командного пункта МПВО – к 1 июля, а также к 20 июня 1942 г. обеспечить надежную светомаскировку завода, согласно разработанному техническому проекту. Аналогичная ситуация наблюдалась и на других предприятиях. Так, на заводе № 602 Наркомата боеприпасов, занимавшемся снаряжением 37-мм и 45-мм снарядов, а также ручных гранат, готовая продукция в количестве 400 тыс. выстрелов хранилась в двух гнилых деревянных складах и на деревянных настилах, закрытых брезентом. При этом предприятие окружали цеха и жилые здания завода им. Ленина, которые в случае удачного попадания тоже могли взлететь на воздух. Как показали дальнейшие события, беспокойство начальства оказалось отнюдь не излишним (11774).</w:t>
      </w:r>
    </w:p>
    <w:p w14:paraId="024C9C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2AB3D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1142D62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1DFE0A"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В начале июня 1942</w:t>
      </w:r>
      <w:r>
        <w:rPr>
          <w:color w:val="000000" w:themeColor="text1"/>
          <w:sz w:val="16"/>
          <w:szCs w:val="16"/>
        </w:rPr>
        <w:t xml:space="preserve">  </w:t>
      </w:r>
      <w:r w:rsidRPr="008127F8">
        <w:rPr>
          <w:color w:val="000000" w:themeColor="text1"/>
          <w:sz w:val="16"/>
          <w:szCs w:val="16"/>
        </w:rPr>
        <w:t>г. командующий ВВС Юго-Западного фронта генерал-лейтенант Ф.</w:t>
      </w:r>
      <w:r>
        <w:rPr>
          <w:color w:val="000000" w:themeColor="text1"/>
          <w:sz w:val="16"/>
          <w:szCs w:val="16"/>
        </w:rPr>
        <w:t xml:space="preserve">  </w:t>
      </w:r>
      <w:r w:rsidRPr="008127F8">
        <w:rPr>
          <w:color w:val="000000" w:themeColor="text1"/>
          <w:sz w:val="16"/>
          <w:szCs w:val="16"/>
        </w:rPr>
        <w:t>Я.</w:t>
      </w:r>
      <w:r>
        <w:rPr>
          <w:color w:val="000000" w:themeColor="text1"/>
          <w:sz w:val="16"/>
          <w:szCs w:val="16"/>
        </w:rPr>
        <w:t xml:space="preserve">  </w:t>
      </w:r>
      <w:r w:rsidRPr="008127F8">
        <w:rPr>
          <w:color w:val="000000" w:themeColor="text1"/>
          <w:sz w:val="16"/>
          <w:szCs w:val="16"/>
        </w:rPr>
        <w:t>Фалалеев подписал секретные указания по боевому использованию авиации. Они были составлены на основе опыта действий подчиненных ему частей в период с 11 по 31 мая.</w:t>
      </w:r>
    </w:p>
    <w:p w14:paraId="35A7B31B"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Вот что в них, помимо прочего, говорилось:</w:t>
      </w:r>
    </w:p>
    <w:p w14:paraId="7D8ED4BE" w14:textId="77777777" w:rsidR="007C5583" w:rsidRPr="008127F8" w:rsidRDefault="007C5583" w:rsidP="007C5583">
      <w:pPr>
        <w:pStyle w:val="af"/>
        <w:spacing w:before="0" w:after="0"/>
        <w:jc w:val="both"/>
        <w:textAlignment w:val="baseline"/>
        <w:rPr>
          <w:iCs/>
          <w:color w:val="000000" w:themeColor="text1"/>
          <w:sz w:val="16"/>
          <w:szCs w:val="16"/>
          <w:bdr w:val="none" w:sz="0" w:space="0" w:color="auto" w:frame="1"/>
        </w:rPr>
      </w:pPr>
      <w:r w:rsidRPr="008127F8">
        <w:rPr>
          <w:iCs/>
          <w:color w:val="000000" w:themeColor="text1"/>
          <w:sz w:val="16"/>
          <w:szCs w:val="16"/>
          <w:bdr w:val="none" w:sz="0" w:space="0" w:color="auto" w:frame="1"/>
        </w:rPr>
        <w:t>«Бомбардировщики и штурмовики не применяют маневра при атаках противника, идут по прямой, растягивают строй и нарушают огневое взаимодействие. По-прежнему пребывание наших самолетов над целью, особенно над полем боя, бывает непродолжительным. Атака цели производится, как правило, с одного захода, боеприпасы сбрасываются залпом. Командиры полков, высылая самолеты на прикрытие, бомбометание и для штурмовых действий, не указывают командирам групп, сколько времени находиться над целью, сколько производить заходов и когда по времени уходить на свой аэродром» (19522).</w:t>
      </w:r>
    </w:p>
    <w:p w14:paraId="6B84773B" w14:textId="77777777" w:rsidR="007C5583" w:rsidRPr="008127F8" w:rsidRDefault="007C5583" w:rsidP="007C5583">
      <w:pPr>
        <w:pStyle w:val="af"/>
        <w:spacing w:before="0" w:after="0"/>
        <w:jc w:val="both"/>
        <w:textAlignment w:val="baseline"/>
        <w:rPr>
          <w:iCs/>
          <w:color w:val="000000" w:themeColor="text1"/>
          <w:sz w:val="16"/>
          <w:szCs w:val="16"/>
          <w:bdr w:val="none" w:sz="0" w:space="0" w:color="auto" w:frame="1"/>
        </w:rPr>
      </w:pPr>
    </w:p>
    <w:p w14:paraId="53DEF62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начала июня 1942 г. отмечается реальное боевое применение пушек МК101 с Нс-129. Действуя против советских войск южнее Харькова в районе Барвенковского вы</w:t>
      </w:r>
      <w:r w:rsidRPr="008127F8">
        <w:rPr>
          <w:rFonts w:ascii="Times New Roman" w:hAnsi="Times New Roman"/>
          <w:color w:val="000000" w:themeColor="text1"/>
          <w:sz w:val="16"/>
          <w:szCs w:val="16"/>
        </w:rPr>
        <w:softHyphen/>
        <w:t>ступа, только пилоты 4./5сИ.С1.1 к 18 июня доложили об уничтожении 23 советских танков и большого количества пехоты, что представляется весьма и весьма завы</w:t>
      </w:r>
      <w:r w:rsidRPr="008127F8">
        <w:rPr>
          <w:rFonts w:ascii="Times New Roman" w:hAnsi="Times New Roman"/>
          <w:color w:val="000000" w:themeColor="text1"/>
          <w:sz w:val="16"/>
          <w:szCs w:val="16"/>
        </w:rPr>
        <w:softHyphen/>
        <w:t>шенным и не соответствующим действи</w:t>
      </w:r>
      <w:r w:rsidRPr="008127F8">
        <w:rPr>
          <w:rFonts w:ascii="Times New Roman" w:hAnsi="Times New Roman"/>
          <w:color w:val="000000" w:themeColor="text1"/>
          <w:sz w:val="16"/>
          <w:szCs w:val="16"/>
        </w:rPr>
        <w:softHyphen/>
        <w:t>тельности.</w:t>
      </w:r>
    </w:p>
    <w:p w14:paraId="2B967A1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началом активных боевых действий боеспособность «хейншелей» снижалась с ужасающей скоростью и вскоре упала почти до нуля.</w:t>
      </w:r>
    </w:p>
    <w:p w14:paraId="46D7374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Оказалось, что установленные на Нз 129В французские моторы воздушного охлаждения Споте-Ропе 14М 4/5, помимо дурной славы глохнуть без предупреж</w:t>
      </w:r>
      <w:r w:rsidRPr="008127F8">
        <w:rPr>
          <w:rFonts w:ascii="Times New Roman" w:hAnsi="Times New Roman"/>
          <w:color w:val="000000" w:themeColor="text1"/>
          <w:sz w:val="16"/>
          <w:szCs w:val="16"/>
        </w:rPr>
        <w:softHyphen/>
        <w:t>дения, не выносили практически никаких боевых повреждений и были очень чув</w:t>
      </w:r>
      <w:r w:rsidRPr="008127F8">
        <w:rPr>
          <w:rFonts w:ascii="Times New Roman" w:hAnsi="Times New Roman"/>
          <w:color w:val="000000" w:themeColor="text1"/>
          <w:sz w:val="16"/>
          <w:szCs w:val="16"/>
        </w:rPr>
        <w:softHyphen/>
        <w:t>ствительны к пыли и песку.</w:t>
      </w:r>
    </w:p>
    <w:p w14:paraId="49704D9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Немецкие летчики докладывали, что винтомоторная группа крайне ненадежна и уязвима от ружейно-пулеметного огня. Установленная снизу капотов моторов 5-мм броня пробивалась даже обычными пулями винтовочного калибра.</w:t>
      </w:r>
    </w:p>
    <w:p w14:paraId="745EBAC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этого, имели место серьезные дефекты пушек МК101 в системе подачи снарядов, сильно ограничивавшие боевое применение штурмовиков. Ни в одном боевом вылете боекомплект полностью не расстреливался по причине отказов пушки. Впоследствии выяснилось, что «хеншели» оказались также совершенно не приспосо</w:t>
      </w:r>
      <w:r w:rsidRPr="008127F8">
        <w:rPr>
          <w:rFonts w:ascii="Times New Roman" w:hAnsi="Times New Roman"/>
          <w:color w:val="000000" w:themeColor="text1"/>
          <w:sz w:val="16"/>
          <w:szCs w:val="16"/>
        </w:rPr>
        <w:softHyphen/>
        <w:t>бленными к русским морозам. От морозов лопалась резина на колесах шасси, смаз</w:t>
      </w:r>
      <w:r w:rsidRPr="008127F8">
        <w:rPr>
          <w:rFonts w:ascii="Times New Roman" w:hAnsi="Times New Roman"/>
          <w:color w:val="000000" w:themeColor="text1"/>
          <w:sz w:val="16"/>
          <w:szCs w:val="16"/>
        </w:rPr>
        <w:softHyphen/>
        <w:t>ка каменела, маслопроводы замерзали и т.д. Поршневая группа настолько быстро изнашивалась, что моторы уже через 40 ч налета требовали полной переборки и капитального ремонта, хотя в нормальных условиях эксплуатации «Гном-Роны» от</w:t>
      </w:r>
      <w:r w:rsidRPr="008127F8">
        <w:rPr>
          <w:rFonts w:ascii="Times New Roman" w:hAnsi="Times New Roman"/>
          <w:color w:val="000000" w:themeColor="text1"/>
          <w:sz w:val="16"/>
          <w:szCs w:val="16"/>
        </w:rPr>
        <w:softHyphen/>
        <w:t>рабатывали до 200 ч. (12728).</w:t>
      </w:r>
    </w:p>
    <w:p w14:paraId="712F70D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408527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июня 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командующий ВВС Юго</w:t>
      </w:r>
      <w:r w:rsidRPr="008127F8">
        <w:rPr>
          <w:rFonts w:ascii="Times New Roman" w:hAnsi="Times New Roman"/>
          <w:color w:val="000000" w:themeColor="text1"/>
          <w:sz w:val="16"/>
          <w:szCs w:val="16"/>
        </w:rPr>
        <w:noBreakHyphen/>
        <w:t>Западного фронта генерал</w:t>
      </w:r>
      <w:r w:rsidRPr="008127F8">
        <w:rPr>
          <w:rFonts w:ascii="Times New Roman" w:hAnsi="Times New Roman"/>
          <w:color w:val="000000" w:themeColor="text1"/>
          <w:sz w:val="16"/>
          <w:szCs w:val="16"/>
        </w:rPr>
        <w:noBreakHyphen/>
        <w:t>лейтенант Ф.Я. Фалалеев подписал секретные указания по боевому использованию авиации. Они были составлены на основе опыта действий подчиненных ему частей в период с 11 по 31 мая.</w:t>
      </w:r>
    </w:p>
    <w:p w14:paraId="0E4FF31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Вот что в них, помимо прочего, говорилось: «Бомбардировщики и штурмовики не применяют маневра при атаках противника, идут по прямой, растягивают строй и нарушают огневое взаимодействие. По</w:t>
      </w:r>
      <w:r w:rsidRPr="008127F8">
        <w:rPr>
          <w:rFonts w:ascii="Times New Roman" w:hAnsi="Times New Roman"/>
          <w:color w:val="000000" w:themeColor="text1"/>
          <w:sz w:val="16"/>
          <w:szCs w:val="16"/>
        </w:rPr>
        <w:noBreakHyphen/>
        <w:t>прежнему пребывание наших самолетов над целью, особенно над полем боя, бывает непродолжительным. Атака цели производится, как правило, с одного захода, боеприпасы сбрасываются залпом. Командиры полков, высылая самолеты на прикрытие, бомбометание и для штурмовых действий, не указывают командирам групп, сколько времени находиться над целью, сколько производить заходов и когда по времени уходить на свой аэродром» (23199).</w:t>
      </w:r>
    </w:p>
    <w:p w14:paraId="2C2DE07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70851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июня 1942 для борьбы мифическими «транспортами», почти через год после начала войны, на Балтике были впервые использованы торпедоносцы. Из-за скудности наших сил вылеты обычно совершались в светлое время суток (в т.ч. в «белые» ночи) группами от двух до четырех самолетов (последнее всего в двух случаях) с небольшим истребительным прикрытием, хотя в условиях низкой облачности утром или вечером могли высылаться и одиночные неохраняемые машины. Поскольку торпедоносцы летали с ленинградского аэродрома Углово, а истребители сопровождения базировались на острове Лавенсаари, встречи с эскортом происходили далеко не всегда, а даже когда происходили, слетанность самолетов из разных частей оставляла желать много лучшего. Из-за малочисленности ударных групп в вылетах использовались исключительно «низкие» торпеды, которые сбрасывались прицельно (9965).</w:t>
      </w:r>
    </w:p>
    <w:p w14:paraId="152B7E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9D2CA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июня 1942 начали действия и на Балтике. Два самолета (ведущим был Е.Н. Преображенский) безуспешно попытались поразить тор</w:t>
      </w:r>
      <w:r w:rsidRPr="008127F8">
        <w:rPr>
          <w:rFonts w:ascii="Times New Roman" w:hAnsi="Times New Roman"/>
          <w:color w:val="000000" w:themeColor="text1"/>
          <w:sz w:val="16"/>
          <w:szCs w:val="16"/>
        </w:rPr>
        <w:softHyphen/>
        <w:t>педами два сторожевика. Неудачу объ</w:t>
      </w:r>
      <w:r w:rsidRPr="008127F8">
        <w:rPr>
          <w:rFonts w:ascii="Times New Roman" w:hAnsi="Times New Roman"/>
          <w:color w:val="000000" w:themeColor="text1"/>
          <w:sz w:val="16"/>
          <w:szCs w:val="16"/>
        </w:rPr>
        <w:softHyphen/>
        <w:t>яснили тем, что глубина хода торпед превышала осадку кораблей (10734,85).</w:t>
      </w:r>
    </w:p>
    <w:p w14:paraId="68C5F5F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7966D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56AE7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3B1A39"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7 июня 1942 49-й Краснознаменный иап (командир майор Л.И. Сорокин, военком батальонный ко</w:t>
      </w:r>
      <w:r w:rsidRPr="008127F8">
        <w:rPr>
          <w:rFonts w:ascii="Times New Roman" w:cs="Times New Roman"/>
          <w:color w:val="000000" w:themeColor="text1"/>
          <w:spacing w:val="0"/>
        </w:rPr>
        <w:softHyphen/>
        <w:t>миссар В.Е. Лукьянов) получил приказ осваивать ЛаГТ-5. Для переучивания прибывший непосредственно на завод № 21. Лётный состав около месяца изучал новую матчасть на земле, а с 15 июля начал полу</w:t>
      </w:r>
      <w:r w:rsidRPr="008127F8">
        <w:rPr>
          <w:rFonts w:ascii="Times New Roman" w:cs="Times New Roman"/>
          <w:color w:val="000000" w:themeColor="text1"/>
          <w:spacing w:val="0"/>
        </w:rPr>
        <w:softHyphen/>
        <w:t>чать матчасть на аэродроме города Богородск и проводить тренировки в воздухе, но поскольку дефектов в первых самолётах оказалось много, лётной практики пилотам не</w:t>
      </w:r>
      <w:r w:rsidRPr="008127F8">
        <w:rPr>
          <w:rFonts w:ascii="Times New Roman" w:cs="Times New Roman"/>
          <w:color w:val="000000" w:themeColor="text1"/>
          <w:spacing w:val="0"/>
        </w:rPr>
        <w:softHyphen/>
        <w:t>доставало. Налёт на одного лётчика составил 10-12 часов (15813).</w:t>
      </w:r>
    </w:p>
    <w:p w14:paraId="036A006F"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p>
    <w:p w14:paraId="149F626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C 7 июня по 15 июля 1942 в ЦАГИ в трубе Т-104 исследовалось лобовое сопротивление спецподвески (РО-82 и РС-82) и изыскивались способы его снижения для Як-1, Як-7, ЛаГГ-3 и МиГ-3 при подвеске шести. Оказалось, что с обтекателями скорость падала на 3-4 или 5-6 км/час и при изменении подвески - на 13.5-16 км/час по сравнению с обычными 16-20, а на Ил-2 существующая установка отнимала 20-26 км/час (762).</w:t>
      </w:r>
    </w:p>
    <w:p w14:paraId="418E556B"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Отчет по исследованию в аэродинамической трубе Т-104 ЦАГИ лобового сопротивления спецподвески (РО-82 и РС-82) и некоторых способов уго уменьшения.</w:t>
      </w:r>
    </w:p>
    <w:p w14:paraId="0C6FC177"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Исполнители: А.М.Симман, Д.А.Сорокин</w:t>
      </w:r>
    </w:p>
    <w:p w14:paraId="365DB2AB"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Выводы:</w:t>
      </w:r>
    </w:p>
    <w:p w14:paraId="439C2C0D"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Обтекатели РО уменьшают лобовое сопротивление на 70%</w:t>
      </w:r>
    </w:p>
    <w:p w14:paraId="5952D812" w14:textId="77777777" w:rsidR="007C5583" w:rsidRPr="008127F8" w:rsidRDefault="007C5583" w:rsidP="007C5583">
      <w:pPr>
        <w:autoSpaceDE w:val="0"/>
        <w:autoSpaceDN w:val="0"/>
        <w:adjustRightInd w:val="0"/>
        <w:spacing w:after="0" w:line="240" w:lineRule="auto"/>
        <w:jc w:val="both"/>
        <w:rPr>
          <w:rFonts w:ascii="Times New Roman" w:hAnsi="Times New Roman"/>
          <w:iCs/>
          <w:color w:val="000000" w:themeColor="text1"/>
          <w:kern w:val="65535"/>
          <w:sz w:val="16"/>
          <w:szCs w:val="16"/>
        </w:rPr>
      </w:pPr>
      <w:r w:rsidRPr="008127F8">
        <w:rPr>
          <w:rFonts w:ascii="Times New Roman" w:hAnsi="Times New Roman"/>
          <w:color w:val="000000" w:themeColor="text1"/>
          <w:sz w:val="16"/>
          <w:szCs w:val="16"/>
        </w:rPr>
        <w:t xml:space="preserve">Благодаря этому уменьшение макусимальной скорости с-тов Як-1, Як-7, ЛаГГ-3 и МиГ-3 при наличии 6 РО-82 с обтекателями составляет по расчетам, при существующей установке - 5-6 км/час, а при измененной установке - 3-4 км/час вместо 16-20 км/час без обтекателей при существующей схеме. А при 6 РО-82 + 6 РС - при существующей 13,5-16, а измененной - 11,5-13,5 вместо 25-30 км/час без обтекателей </w:t>
      </w:r>
      <w:r w:rsidRPr="008127F8">
        <w:rPr>
          <w:rFonts w:ascii="Times New Roman" w:hAnsi="Times New Roman"/>
          <w:iCs/>
          <w:color w:val="000000" w:themeColor="text1"/>
          <w:kern w:val="65535"/>
          <w:sz w:val="16"/>
          <w:szCs w:val="16"/>
        </w:rPr>
        <w:t>(762).</w:t>
      </w:r>
    </w:p>
    <w:p w14:paraId="5A3813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45F54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7 ию</w:t>
      </w:r>
      <w:r w:rsidRPr="008127F8">
        <w:rPr>
          <w:rFonts w:ascii="Times New Roman" w:hAnsi="Times New Roman"/>
          <w:color w:val="000000" w:themeColor="text1"/>
          <w:sz w:val="16"/>
          <w:szCs w:val="16"/>
        </w:rPr>
        <w:softHyphen/>
        <w:t>ня по 15 июля 1942 г. в аэродинамической трубе Т-104 ЦАГИ провели ис</w:t>
      </w:r>
      <w:r w:rsidRPr="008127F8">
        <w:rPr>
          <w:rFonts w:ascii="Times New Roman" w:hAnsi="Times New Roman"/>
          <w:color w:val="000000" w:themeColor="text1"/>
          <w:sz w:val="16"/>
          <w:szCs w:val="16"/>
        </w:rPr>
        <w:softHyphen/>
        <w:t>следования по уменьшению лобового сопротивления штатного РО-82 и РС-82 (отчет утвердил начальник ЦАГИ доктор технических наук С.Шишкин). В ходе экспериментов натурные образцы РО и РС устанав</w:t>
      </w:r>
      <w:r w:rsidRPr="008127F8">
        <w:rPr>
          <w:rFonts w:ascii="Times New Roman" w:hAnsi="Times New Roman"/>
          <w:color w:val="000000" w:themeColor="text1"/>
          <w:sz w:val="16"/>
          <w:szCs w:val="16"/>
        </w:rPr>
        <w:softHyphen/>
        <w:t>ливали под углом 3° к хорде, каждое РО подвешивали индивидуально.</w:t>
      </w:r>
    </w:p>
    <w:p w14:paraId="7AE0806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РО спроектировали два обтекателя. Первый представлял собой об</w:t>
      </w:r>
      <w:r w:rsidRPr="008127F8">
        <w:rPr>
          <w:rFonts w:ascii="Times New Roman" w:hAnsi="Times New Roman"/>
          <w:color w:val="000000" w:themeColor="text1"/>
          <w:sz w:val="16"/>
          <w:szCs w:val="16"/>
        </w:rPr>
        <w:softHyphen/>
        <w:t>щий кожух, закрывающий РО и два болта его крепления к крылу. Второй состоял из двух половин, закрывающих установочные болты РО и план</w:t>
      </w:r>
      <w:r w:rsidRPr="008127F8">
        <w:rPr>
          <w:rFonts w:ascii="Times New Roman" w:hAnsi="Times New Roman"/>
          <w:color w:val="000000" w:themeColor="text1"/>
          <w:sz w:val="16"/>
          <w:szCs w:val="16"/>
        </w:rPr>
        <w:softHyphen/>
        <w:t>ки, а также все выступающие детали направляющей. Передней и конце</w:t>
      </w:r>
      <w:r w:rsidRPr="008127F8">
        <w:rPr>
          <w:rFonts w:ascii="Times New Roman" w:hAnsi="Times New Roman"/>
          <w:color w:val="000000" w:themeColor="text1"/>
          <w:sz w:val="16"/>
          <w:szCs w:val="16"/>
        </w:rPr>
        <w:softHyphen/>
        <w:t>вой частям направляющей придали обтекаемую форму.</w:t>
      </w:r>
    </w:p>
    <w:p w14:paraId="11AA21A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Обтекатель №1 снизил лобовое сопротивление РО на 70%. Обтека</w:t>
      </w:r>
      <w:r w:rsidRPr="008127F8">
        <w:rPr>
          <w:rFonts w:ascii="Times New Roman" w:hAnsi="Times New Roman"/>
          <w:color w:val="000000" w:themeColor="text1"/>
          <w:sz w:val="16"/>
          <w:szCs w:val="16"/>
        </w:rPr>
        <w:softHyphen/>
        <w:t>тель №2 практически не уменьшил его. Установка же с обтекателями №1 по измененной схеме подвески (с РО, смещенными на 100 мм вперед и на 20 мм вверх) снизили лобовое сопротивление РО на 82%. Величина сопротивления РС на РО при этом (даже после уменьшения зазора меж</w:t>
      </w:r>
      <w:r w:rsidRPr="008127F8">
        <w:rPr>
          <w:rFonts w:ascii="Times New Roman" w:hAnsi="Times New Roman"/>
          <w:color w:val="000000" w:themeColor="text1"/>
          <w:sz w:val="16"/>
          <w:szCs w:val="16"/>
        </w:rPr>
        <w:softHyphen/>
        <w:t>ду боеприпасом и крылом носителя на 20 мм) практически не измени</w:t>
      </w:r>
      <w:r w:rsidRPr="008127F8">
        <w:rPr>
          <w:rFonts w:ascii="Times New Roman" w:hAnsi="Times New Roman"/>
          <w:color w:val="000000" w:themeColor="text1"/>
          <w:sz w:val="16"/>
          <w:szCs w:val="16"/>
        </w:rPr>
        <w:softHyphen/>
        <w:t>лась.</w:t>
      </w:r>
    </w:p>
    <w:p w14:paraId="46D97C1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Благодаря обтекателям, расчетное падение максимальной скорости самолетов-ракетоносцев Як-1, Як-7, ЛаГТ-3 и МиГ-3 при наличии шести РО-82 новой конструкции должно было составить 5-6 км/ч, а с доработанными обтекателями - всего 3-4 км/ч (вместо 16-20 км/ч у РО прежних моделей без обтекателей). При наличии РС на пусковых, эти показатели возрастали до 13,5-16 км/ч и 11,5-13,5 км/ч (вместо прежних 25-30 км/ч) соответственно. На штурмовиках Ил-2 падение ма</w:t>
      </w:r>
      <w:r w:rsidRPr="008127F8">
        <w:rPr>
          <w:rFonts w:ascii="Times New Roman" w:hAnsi="Times New Roman"/>
          <w:color w:val="000000" w:themeColor="text1"/>
          <w:sz w:val="16"/>
          <w:szCs w:val="16"/>
        </w:rPr>
        <w:softHyphen/>
        <w:t>ксимальной скорости составляло 20-26 км/ч при наличии четырех РО прежней конструкции без обтекателей, заряженных РС-132.</w:t>
      </w:r>
    </w:p>
    <w:p w14:paraId="207ABE0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Обтекатели к РО были просты в изготовлении и не требовали изме</w:t>
      </w:r>
      <w:r w:rsidRPr="008127F8">
        <w:rPr>
          <w:rFonts w:ascii="Times New Roman" w:hAnsi="Times New Roman"/>
          <w:color w:val="000000" w:themeColor="text1"/>
          <w:sz w:val="16"/>
          <w:szCs w:val="16"/>
        </w:rPr>
        <w:softHyphen/>
        <w:t>нять конструкцию орудия или крыла, поэтому их признали пригодными для установки на существующих машинах, рекомендуя изготавливать пустотелыми металлическими или деревянными (фанерными) с метал</w:t>
      </w:r>
      <w:r w:rsidRPr="008127F8">
        <w:rPr>
          <w:rFonts w:ascii="Times New Roman" w:hAnsi="Times New Roman"/>
          <w:color w:val="000000" w:themeColor="text1"/>
          <w:sz w:val="16"/>
          <w:szCs w:val="16"/>
        </w:rPr>
        <w:softHyphen/>
        <w:t>лическим носком. При этом крепления обтекателей должны были поз</w:t>
      </w:r>
      <w:r w:rsidRPr="008127F8">
        <w:rPr>
          <w:rFonts w:ascii="Times New Roman" w:hAnsi="Times New Roman"/>
          <w:color w:val="000000" w:themeColor="text1"/>
          <w:sz w:val="16"/>
          <w:szCs w:val="16"/>
        </w:rPr>
        <w:softHyphen/>
        <w:t>волять быстро их демонтировать для заряжания пиропистолетов и ста</w:t>
      </w:r>
      <w:r w:rsidRPr="008127F8">
        <w:rPr>
          <w:rFonts w:ascii="Times New Roman" w:hAnsi="Times New Roman"/>
          <w:color w:val="000000" w:themeColor="text1"/>
          <w:sz w:val="16"/>
          <w:szCs w:val="16"/>
        </w:rPr>
        <w:softHyphen/>
        <w:t>вить на место. Очевидно, именно это последнее и сдерживало возвраще</w:t>
      </w:r>
      <w:r w:rsidRPr="008127F8">
        <w:rPr>
          <w:rFonts w:ascii="Times New Roman" w:hAnsi="Times New Roman"/>
          <w:color w:val="000000" w:themeColor="text1"/>
          <w:sz w:val="16"/>
          <w:szCs w:val="16"/>
        </w:rPr>
        <w:softHyphen/>
        <w:t>ние ракетного оружия в истребительную авиацию.</w:t>
      </w:r>
    </w:p>
    <w:p w14:paraId="1FD8B81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Между тем, наработки ученых не прошли даром и очень пригодились в штурмовой авиации. Если там орудия без пиропистолетов для стрель</w:t>
      </w:r>
      <w:r w:rsidRPr="008127F8">
        <w:rPr>
          <w:rFonts w:ascii="Times New Roman" w:hAnsi="Times New Roman"/>
          <w:color w:val="000000" w:themeColor="text1"/>
          <w:sz w:val="16"/>
          <w:szCs w:val="16"/>
        </w:rPr>
        <w:softHyphen/>
        <w:t>бы 132-мм снарядами РОФС-132 и М-13 и без того не доставляли боль</w:t>
      </w:r>
      <w:r w:rsidRPr="008127F8">
        <w:rPr>
          <w:rFonts w:ascii="Times New Roman" w:hAnsi="Times New Roman"/>
          <w:color w:val="000000" w:themeColor="text1"/>
          <w:sz w:val="16"/>
          <w:szCs w:val="16"/>
        </w:rPr>
        <w:softHyphen/>
        <w:t>ших хлопот, то, будучи «одетыми» в компактные обтекатели, вообще не требовали демонтажа при заряжании. Подобным образом в штурмовой авиации решили проблему и с РО для стрельбы 82-мм РС-82 и М-8. Про</w:t>
      </w:r>
      <w:r w:rsidRPr="008127F8">
        <w:rPr>
          <w:rFonts w:ascii="Times New Roman" w:hAnsi="Times New Roman"/>
          <w:color w:val="000000" w:themeColor="text1"/>
          <w:sz w:val="16"/>
          <w:szCs w:val="16"/>
        </w:rPr>
        <w:softHyphen/>
        <w:t>сто, тонкостенный штампованный из жести обтекатель стал более гро</w:t>
      </w:r>
      <w:r w:rsidRPr="008127F8">
        <w:rPr>
          <w:rFonts w:ascii="Times New Roman" w:hAnsi="Times New Roman"/>
          <w:color w:val="000000" w:themeColor="text1"/>
          <w:sz w:val="16"/>
          <w:szCs w:val="16"/>
        </w:rPr>
        <w:softHyphen/>
        <w:t>моздким, но аэродинамичной формы. А для доступа к пиропистолету орудия в стенке выполнили небольшой откидной запираемый лючок.</w:t>
      </w:r>
    </w:p>
    <w:p w14:paraId="581AD7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Г.А.Речкалов «Дымное небо войны»: «...Во второй атаке я обнаружил исчезновение РС. Глянул на указатель сброса и не поверил своим глазам - он показывал сброс всей серии - восьми снарядов, что категорически запрещалось инструкцией. Быстро перевел взгляд на крылья: обшивка вздулась!». На пульте ЭСБР-3 управления огнем РС не было индикации числа отстрелянных снарядов и наличия остатка. За это пилоты неодно</w:t>
      </w:r>
      <w:r w:rsidRPr="008127F8">
        <w:rPr>
          <w:rFonts w:ascii="Times New Roman" w:hAnsi="Times New Roman"/>
          <w:color w:val="000000" w:themeColor="text1"/>
          <w:sz w:val="16"/>
          <w:szCs w:val="16"/>
        </w:rPr>
        <w:softHyphen/>
        <w:t>кратно пеняли конструкторам еще в предвоенный период. Между тем в первой атаке при залповом отстреле всех восьми РС самолет должно было очень сильно тряхнуть. Этот толчок отличался от подобных при разрыве зенитных снарядов, поскольку вектор его воздействия был на</w:t>
      </w:r>
      <w:r w:rsidRPr="008127F8">
        <w:rPr>
          <w:rFonts w:ascii="Times New Roman" w:hAnsi="Times New Roman"/>
          <w:color w:val="000000" w:themeColor="text1"/>
          <w:sz w:val="16"/>
          <w:szCs w:val="16"/>
        </w:rPr>
        <w:softHyphen/>
        <w:t>правлен не снизу вверх, а спереди назад. Так что пилот несколько слука</w:t>
      </w:r>
      <w:r w:rsidRPr="008127F8">
        <w:rPr>
          <w:rFonts w:ascii="Times New Roman" w:hAnsi="Times New Roman"/>
          <w:color w:val="000000" w:themeColor="text1"/>
          <w:sz w:val="16"/>
          <w:szCs w:val="16"/>
        </w:rPr>
        <w:softHyphen/>
        <w:t>вил. В то же время, пример Речкалова иллюстрирует, что при старте все</w:t>
      </w:r>
      <w:r w:rsidRPr="008127F8">
        <w:rPr>
          <w:rFonts w:ascii="Times New Roman" w:hAnsi="Times New Roman"/>
          <w:color w:val="000000" w:themeColor="text1"/>
          <w:sz w:val="16"/>
          <w:szCs w:val="16"/>
        </w:rPr>
        <w:softHyphen/>
        <w:t>го боезапаса даже деревянные крылья истребителя, как видим, не «скла</w:t>
      </w:r>
      <w:r w:rsidRPr="008127F8">
        <w:rPr>
          <w:rFonts w:ascii="Times New Roman" w:hAnsi="Times New Roman"/>
          <w:color w:val="000000" w:themeColor="text1"/>
          <w:sz w:val="16"/>
          <w:szCs w:val="16"/>
        </w:rPr>
        <w:softHyphen/>
        <w:t>дывались» силой отдачи. Подобные случаи происходили и с другими летчиками (11402).</w:t>
      </w:r>
    </w:p>
    <w:p w14:paraId="18CBC824" w14:textId="77777777" w:rsidR="007C5583" w:rsidRPr="00C85277" w:rsidRDefault="007C5583" w:rsidP="00C85277">
      <w:pPr>
        <w:spacing w:after="0" w:line="240" w:lineRule="auto"/>
        <w:rPr>
          <w:rFonts w:ascii="Times New Roman" w:hAnsi="Times New Roman"/>
          <w:sz w:val="16"/>
          <w:szCs w:val="16"/>
        </w:rPr>
      </w:pPr>
    </w:p>
    <w:p w14:paraId="5CC9BBFB" w14:textId="77777777" w:rsidR="007C5583" w:rsidRPr="00C85277" w:rsidRDefault="007C5583" w:rsidP="00C85277">
      <w:pPr>
        <w:spacing w:after="0" w:line="240" w:lineRule="auto"/>
        <w:rPr>
          <w:rFonts w:ascii="Times New Roman" w:hAnsi="Times New Roman"/>
          <w:sz w:val="16"/>
          <w:szCs w:val="16"/>
        </w:rPr>
      </w:pPr>
      <w:r w:rsidRPr="00C85277">
        <w:rPr>
          <w:rFonts w:ascii="Times New Roman" w:hAnsi="Times New Roman"/>
          <w:sz w:val="16"/>
          <w:szCs w:val="16"/>
        </w:rPr>
        <w:t>7 июня 1942 вышло Постановление ГКО № 1895 О самолетах ЛаГГ-3. РГАНИР, Фонд ГКО, д. 39, лл. 82 (11012).</w:t>
      </w:r>
    </w:p>
    <w:p w14:paraId="423D8126" w14:textId="77777777" w:rsidR="007C5583" w:rsidRPr="00C85277" w:rsidRDefault="007C5583" w:rsidP="00C85277">
      <w:pPr>
        <w:spacing w:after="0" w:line="240" w:lineRule="auto"/>
        <w:rPr>
          <w:rFonts w:ascii="Times New Roman" w:hAnsi="Times New Roman"/>
          <w:sz w:val="16"/>
          <w:szCs w:val="16"/>
        </w:rPr>
      </w:pPr>
    </w:p>
    <w:p w14:paraId="4C905709" w14:textId="77777777" w:rsidR="007C5583" w:rsidRPr="00C85277" w:rsidRDefault="007C5583" w:rsidP="00C85277">
      <w:pPr>
        <w:spacing w:after="0" w:line="240" w:lineRule="auto"/>
        <w:rPr>
          <w:rFonts w:ascii="Times New Roman" w:hAnsi="Times New Roman"/>
          <w:sz w:val="16"/>
          <w:szCs w:val="16"/>
        </w:rPr>
      </w:pPr>
      <w:r w:rsidRPr="00C85277">
        <w:rPr>
          <w:rFonts w:ascii="Times New Roman" w:hAnsi="Times New Roman"/>
          <w:sz w:val="16"/>
          <w:szCs w:val="16"/>
        </w:rPr>
        <w:t>7 июня 1942 вышло постановление ГКО № 1895сс «О самолетах ЛаГГ-3». Завод № 21 с 1 июля 1942 года должен был перейти на выпуск самолетов с предкрылками, убирающимся костылем, рулями высоты и элеронами с улучшенной аэродинамической компенсацией. В Тбилиси такие машины должны были начать строить с 15 июля.</w:t>
      </w:r>
    </w:p>
    <w:p w14:paraId="5867D201" w14:textId="77777777" w:rsidR="007C5583" w:rsidRPr="00C85277" w:rsidRDefault="007C5583" w:rsidP="00C85277">
      <w:pPr>
        <w:spacing w:after="0" w:line="240" w:lineRule="auto"/>
        <w:rPr>
          <w:rFonts w:ascii="Times New Roman" w:hAnsi="Times New Roman"/>
          <w:sz w:val="16"/>
          <w:szCs w:val="16"/>
        </w:rPr>
      </w:pPr>
      <w:r w:rsidRPr="00C85277">
        <w:rPr>
          <w:rFonts w:ascii="Times New Roman" w:hAnsi="Times New Roman"/>
          <w:sz w:val="16"/>
          <w:szCs w:val="16"/>
        </w:rPr>
        <w:t>Точно сроки выдержать не удалось, но на 12 июля 21-м заводом с предкрылками было сдано 7 ЛаГГ-3 и 8 ЛаГГ-5 (в соответствии с постановлением ГКО № 2249с от 6.09.1942 г. переименован в Ла-5). Логика событий вроде бы подсказывала, что Ла-5 должны были заменить ЛаГГи в производстве. И, действительно, 21-й завод осенью 42-го года полностью перешел на выпуск истребителей со швецовскими моторами. В сентябре-октябре и на 31-м авиазаводе построили так называемую 50-ю серию из 27 Ла-5, причем, они имели ряд конструктивных отличий от базовой модели, но дальше дело не пошло: то ли моторов М-82 не хватало, то ли М-105 в избытке были. Правда, на этот раз «Яки» в Тбилиси на поток поставить не предлагали. Напротив, Владимиру Петровичу Горбунову было предложено заняться совершенствованием ЛаГГ-3 (23197).</w:t>
      </w:r>
    </w:p>
    <w:p w14:paraId="21F0531F" w14:textId="77777777" w:rsidR="007C5583" w:rsidRPr="00C85277" w:rsidRDefault="007C5583" w:rsidP="00C85277">
      <w:pPr>
        <w:spacing w:after="0" w:line="240" w:lineRule="auto"/>
        <w:rPr>
          <w:rFonts w:ascii="Times New Roman" w:hAnsi="Times New Roman"/>
          <w:sz w:val="16"/>
          <w:szCs w:val="16"/>
        </w:rPr>
      </w:pPr>
    </w:p>
    <w:p w14:paraId="1BB18F2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июня 1942 вышло Постановление ГКО № 1895 О самолетах ЛаГГ-3</w:t>
      </w:r>
    </w:p>
    <w:p w14:paraId="05CE6CB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Style w:val="7pt"/>
          <w:rFonts w:ascii="Times New Roman" w:hAnsi="Times New Roman" w:cs="Times New Roman"/>
          <w:color w:val="000000" w:themeColor="text1"/>
          <w:sz w:val="16"/>
          <w:szCs w:val="16"/>
        </w:rPr>
        <w:t>В</w:t>
      </w:r>
      <w:r w:rsidRPr="008127F8">
        <w:rPr>
          <w:rFonts w:ascii="Times New Roman" w:hAnsi="Times New Roman"/>
          <w:color w:val="000000" w:themeColor="text1"/>
          <w:sz w:val="16"/>
          <w:szCs w:val="16"/>
        </w:rPr>
        <w:t xml:space="preserve"> целях облегчения управления самолетом Лагг-3 и улучшения его летных данных Государственный Комитет Сбороны постановляет:</w:t>
      </w:r>
    </w:p>
    <w:p w14:paraId="5B2C96B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Обязать Наркомавиапром т.Шахурина, директора завода № 21 т.Гостинцева и главного конструктора т.Ла</w:t>
      </w:r>
      <w:r w:rsidRPr="008127F8">
        <w:rPr>
          <w:rFonts w:ascii="Times New Roman" w:hAnsi="Times New Roman"/>
          <w:color w:val="000000" w:themeColor="text1"/>
          <w:sz w:val="16"/>
          <w:szCs w:val="16"/>
        </w:rPr>
        <w:softHyphen/>
        <w:t>вочкина ввести на самолетах Лагг-3 предкрьлки, элеро</w:t>
      </w:r>
      <w:r w:rsidRPr="008127F8">
        <w:rPr>
          <w:rFonts w:ascii="Times New Roman" w:hAnsi="Times New Roman"/>
          <w:color w:val="000000" w:themeColor="text1"/>
          <w:sz w:val="16"/>
          <w:szCs w:val="16"/>
        </w:rPr>
        <w:softHyphen/>
        <w:t>ны и рули высоты с улучшенной компенсацией и убирающийся костыль с выпуском в серии всех самолетов Лагг-3 с эти</w:t>
      </w:r>
      <w:r w:rsidRPr="008127F8">
        <w:rPr>
          <w:rFonts w:ascii="Times New Roman" w:hAnsi="Times New Roman"/>
          <w:color w:val="000000" w:themeColor="text1"/>
          <w:sz w:val="16"/>
          <w:szCs w:val="16"/>
        </w:rPr>
        <w:softHyphen/>
        <w:t>ми улучшениями с 1 июля 1942 года.</w:t>
      </w:r>
    </w:p>
    <w:p w14:paraId="589FEC0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Обязать Наркомавиапром, директора завода № 31 т.Агаджанова ввести на всех самолетах Лагг-3 улучшения, указанные в пункте № 1 настоящего постановления с 15 ию</w:t>
      </w:r>
      <w:r w:rsidRPr="008127F8">
        <w:rPr>
          <w:rFonts w:ascii="Times New Roman" w:hAnsi="Times New Roman"/>
          <w:color w:val="000000" w:themeColor="text1"/>
          <w:sz w:val="16"/>
          <w:szCs w:val="16"/>
        </w:rPr>
        <w:softHyphen/>
        <w:t>ля 1942 г. (19342).</w:t>
      </w:r>
    </w:p>
    <w:p w14:paraId="0A2FF1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3DD9B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июня 1942 вышло постановление ГКО N ГОКО-1895 об обеспечении управления самолетом ЛаГГ-3 и улучшения его летных данных (1557,8).</w:t>
      </w:r>
    </w:p>
    <w:p w14:paraId="1BD5B18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08212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июня 1942 г. Пос</w:t>
      </w:r>
      <w:r w:rsidRPr="008127F8">
        <w:rPr>
          <w:rFonts w:ascii="Times New Roman" w:hAnsi="Times New Roman"/>
          <w:color w:val="000000" w:themeColor="text1"/>
          <w:sz w:val="16"/>
          <w:szCs w:val="16"/>
        </w:rPr>
        <w:softHyphen/>
        <w:t>тановление ГКО № 1895сс от обязыва</w:t>
      </w:r>
      <w:r w:rsidRPr="008127F8">
        <w:rPr>
          <w:rFonts w:ascii="Times New Roman" w:hAnsi="Times New Roman"/>
          <w:color w:val="000000" w:themeColor="text1"/>
          <w:sz w:val="16"/>
          <w:szCs w:val="16"/>
        </w:rPr>
        <w:softHyphen/>
        <w:t>ло внедрить механизацию передней кромки крыла на ЛаГГ-3 и Ла-5 с 1 июля, но к концу первой декады июля это удалось сделать только на 7 ЛаГГ-3 и 8 Ла-5. Лишь к августу все самолеты стали выпускать с предкрылками. Первые Ла-5, как и ЛаГГ-3, не имели предкрылков и отличались тенденцией к сваливанию на крыло (11123).</w:t>
      </w:r>
    </w:p>
    <w:p w14:paraId="02EC5C8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95FEC6" w14:textId="77777777" w:rsidR="00C85277" w:rsidRPr="008A2E5A" w:rsidRDefault="00C85277" w:rsidP="00C852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июня 1942 года Приказ ГКО № 1895сс требовал, чтобы завод № 21 приступил к выпуску ЛаГГ-3 М-82 с крылом, оснащенным предкрылками, с 1 июля 1942 года (23547).</w:t>
      </w:r>
    </w:p>
    <w:p w14:paraId="015BD19E" w14:textId="77777777" w:rsidR="00C85277" w:rsidRPr="008A2E5A" w:rsidRDefault="00C85277" w:rsidP="00C85277">
      <w:pPr>
        <w:spacing w:after="0" w:line="240" w:lineRule="auto"/>
        <w:jc w:val="both"/>
        <w:rPr>
          <w:rFonts w:ascii="Times New Roman" w:hAnsi="Times New Roman"/>
          <w:color w:val="0070C0"/>
          <w:sz w:val="16"/>
          <w:szCs w:val="16"/>
        </w:rPr>
      </w:pPr>
    </w:p>
    <w:p w14:paraId="3A854C27" w14:textId="77777777" w:rsidR="00C85277" w:rsidRPr="008A2E5A" w:rsidRDefault="00C85277" w:rsidP="00C852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июня 1942 года постановлением ГКО завод № 21 должен был ставить на ЛаГГи-3 автоматические закрылки и убирающееся хвостовое колесо, а также элероны и рули высоты с улучшенной балансировкой. Выпуск модифицированных ЛаГГов следовало начать с 1 июля 1942 года, но завод, занятый переходом к выпуску Ла-5, этих сроков не выдержал. До 12 июля 1942 года армия получила только семь ЛаГГов-3 с закрылками. До конца месяца было собрано еще 30 ЛаГГов без закрылков. Все самолеты двух последних производственных серий, собранные в Горьком летом 1942 года, были оснащены двигателями М-105ПФ. Общий выхлопной коллектор у них заменялся тремя сдвоенными патрубками. Снова на самолет поставили дополнительные бензобаки. Вооружение оставалось «облегченным»: пушка ШВАК и пулемет БС. Указом НКАП от 13 июля директор завода № 293 и главный конструктор М. И. Гудков должны были установить на ЛаГГ-3 новую пушку Березина калибра 20 мм, но в конце концов от этих планов отказались. Завод № 21 полностью перешел на выпуск истребителей Ла-5, пустив на эти цели весь запас готовых планеров ЛаГГ-3. Этого запаса хватило почти на полгода (23548).</w:t>
      </w:r>
    </w:p>
    <w:p w14:paraId="26C73F06" w14:textId="77777777" w:rsidR="00C85277" w:rsidRPr="008A2E5A" w:rsidRDefault="00C85277" w:rsidP="00C85277">
      <w:pPr>
        <w:spacing w:after="0" w:line="240" w:lineRule="auto"/>
        <w:jc w:val="both"/>
        <w:rPr>
          <w:rFonts w:ascii="Times New Roman" w:hAnsi="Times New Roman"/>
          <w:color w:val="0070C0"/>
          <w:sz w:val="16"/>
          <w:szCs w:val="16"/>
        </w:rPr>
      </w:pPr>
    </w:p>
    <w:p w14:paraId="40A5DFF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июня 1942 года Постановлением ГКО завод № 21 должен был ставить на ЛаГГи-3 автоматические закрылки и убирающееся хвостовое колесо, а также элероны и рули высоты с улучшенной балансировкой. Выпуск модифицированных ЛаГГов следовало начать с 1 июля 1942 года, но завод, занятый переходом к выпуску Ла-5, этих сроков не выдержал. До 12 июля 1942 года армия получила только семь ЛаГГов-3 с закрылками. До конца месяца было собрано еще 30 ЛаГГов без закрылков. Все самолеты двух последних производственных серий, собранные в Горьком летом 1942 года, были оснащены двигателями М-105ПФ. Общий выхлопной коллектор у них заменялся тремя сдвоенными патрубками. Снова на самолет поставили дополнительные бензобаки. Вооружение оставалось «облегченным»: пушка ШВАК и пулемет БС. Указом НКАП от 13 инля директор завода № 293 и главный конструктор М.И. Гудков должны были установить на ЛаГГ-3 новую пушку Березина калибра 20 мм, но в конце концов от этих планов отказались. Завод № 21 полностью перешел на выпуск истребителей Ла-5, пустив на эти цели весь запас готовых планеров ЛаГГ-3. Этого запаса хватило почти на полгода (11749).</w:t>
      </w:r>
    </w:p>
    <w:p w14:paraId="368CC5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84322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июня 1942 г., согласно постановлению ГКО, завод № 21 должен был строить ЛаГГ-3 с автоматическими предкрылками и убирающимся костыльным колесом, а также с улучшенной компенсацией элеронов и рулей высоты. Выпуск первых усовершенствованных машин требовалось начать с 1 июля, но завод, занятый переходом на Ла-5, эти распоряжения фактически не выполнил: на 12 июля заказчик принял лишь семь ЛаГГ-3 с предкрылками. В том же месяце завод построил еще 30 таких же машин и подготовил к сдаче столько же, но без предкрылков.</w:t>
      </w:r>
    </w:p>
    <w:p w14:paraId="5785D4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самолеты двух последних серий, 28-й и 29-й, сдававшихся в Горьком летом 1942 г., имели моторы М-105ПФ. Общий выхлопной коллектор заменили тремя сдвоенными патрубками. Консольные бензобаки восстановили. Вооружение соответствовало "облегченному" варианту: одна пушка ШВАК и один пулемет БС. В соответствии с приказом НКАП от 13 июля директору завода № 293 Болховитинову и главному конструктору М.И. Гудкову поручили установку на ЛаГГ-3 новой 20-мм пушки Березина, но из этого ничего не вышло.</w:t>
      </w:r>
    </w:p>
    <w:p w14:paraId="44405D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 № 21 полностью перешел на выпуск Ла-5, на которые истратили весь оставшийся задел планеров. Еще почти полгода новые истребители представляли собой </w:t>
      </w:r>
      <w:r w:rsidRPr="008127F8">
        <w:rPr>
          <w:rFonts w:ascii="Times New Roman" w:hAnsi="Times New Roman"/>
          <w:color w:val="000000" w:themeColor="text1"/>
          <w:sz w:val="16"/>
          <w:szCs w:val="16"/>
        </w:rPr>
        <w:lastRenderedPageBreak/>
        <w:t>переделку недостроенных ЛаГГ-3 (11983).</w:t>
      </w:r>
    </w:p>
    <w:p w14:paraId="743E097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FD38D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июня 1942 49-й Краснознаменный ИАП (коман</w:t>
      </w:r>
      <w:r w:rsidRPr="008127F8">
        <w:rPr>
          <w:rFonts w:ascii="Times New Roman" w:hAnsi="Times New Roman"/>
          <w:color w:val="000000" w:themeColor="text1"/>
          <w:sz w:val="16"/>
          <w:szCs w:val="16"/>
        </w:rPr>
        <w:softHyphen/>
        <w:t>дир майор Л.И. Сорокин, военком батальонный комиссар В.Е. Лукьянов) получил приказ осваивать Ла-5 и прибыл для переучивания непос</w:t>
      </w:r>
      <w:r w:rsidRPr="008127F8">
        <w:rPr>
          <w:rFonts w:ascii="Times New Roman" w:hAnsi="Times New Roman"/>
          <w:color w:val="000000" w:themeColor="text1"/>
          <w:sz w:val="16"/>
          <w:szCs w:val="16"/>
        </w:rPr>
        <w:softHyphen/>
        <w:t>редственно на завод №21. Летный состав около месяца изучал новую матчасть на земле, а с 15 июля на</w:t>
      </w:r>
      <w:r w:rsidRPr="008127F8">
        <w:rPr>
          <w:rFonts w:ascii="Times New Roman" w:hAnsi="Times New Roman"/>
          <w:color w:val="000000" w:themeColor="text1"/>
          <w:sz w:val="16"/>
          <w:szCs w:val="16"/>
        </w:rPr>
        <w:softHyphen/>
        <w:t>чал получать матчасть на аэродроме г. Богородск и проводить тренировки в воздухе, но поскольку дефектов в первых самолетах было много, летной практики пилотам недоставало. На</w:t>
      </w:r>
      <w:r w:rsidRPr="008127F8">
        <w:rPr>
          <w:rFonts w:ascii="Times New Roman" w:hAnsi="Times New Roman"/>
          <w:color w:val="000000" w:themeColor="text1"/>
          <w:sz w:val="16"/>
          <w:szCs w:val="16"/>
        </w:rPr>
        <w:softHyphen/>
        <w:t>лет на одного летчика составил 10-12 часов (10699).</w:t>
      </w:r>
    </w:p>
    <w:p w14:paraId="2F79CB6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7CCC3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июня 1942 г.</w:t>
      </w:r>
    </w:p>
    <w:p w14:paraId="44B4253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СПРАВКИ ДИРЕКТОРА ЗАВОДА № 153 П.С. РОМАНОВА В ОБОРОННЫЙ ОТДЕЛ ГОРКОМА ВКП(б) О РАБОТЕ ЗА ПЯТЬ МЕСЯЦЕВ 1942 г.</w:t>
      </w:r>
    </w:p>
    <w:p w14:paraId="4E05705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Новосибирск</w:t>
      </w:r>
      <w:r w:rsidRPr="008127F8">
        <w:rPr>
          <w:rFonts w:ascii="Times New Roman" w:hAnsi="Times New Roman"/>
          <w:color w:val="000000" w:themeColor="text1"/>
          <w:sz w:val="16"/>
          <w:szCs w:val="16"/>
        </w:rPr>
        <w:tab/>
        <w:t>7 июня 1942 г.</w:t>
      </w:r>
    </w:p>
    <w:p w14:paraId="41B3E25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год для завода начался с серьезного испытания его способности в сжатые сроки перестроиться на крупносерийный выпуск нового типа самолета (ЯК-7). До этого, на протяжении 1941 года, завод мучительно долго осваивал самолет ЛАГГ-3 и только к концу года наладил их серийный выпуск, почти полностью изготовил и внедрил серийную оснастку, затратив на это большие силы и средства, создал большой комплектный задел, обеспечивающий переход на выпуск 8-10 самолетов ежесуточно. Как неожиданно было получено указание свернуть производство ЛАГГ-3 и переключить всю производственную мощность на самолет ЯК-7. В короткий срок — 1,5—2 месяца — надо было создать серийную технологию, спроектировать, изготовить и внедрить оснащение, соответствующее задачам крупносерийного выпуска. При этом самолет ЯК-7 модернизировался по линии усиления его огневой мощи и улучшения качества.</w:t>
      </w:r>
    </w:p>
    <w:p w14:paraId="2CFF25E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Теперь, спустя пять месяцев, просматривая пройденный путь, можно без [преувеличения отметить, что задачи, возложенные на коллектив завода Государственным Комитетом Обороны, выполнены неплохо.</w:t>
      </w:r>
    </w:p>
    <w:p w14:paraId="535E0A4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Доказательством этого является рост выпуска самолетов, готовых к бою. Если взять январь 1942 года за 100 процентов, мы получим следующую картину: февраль к январю — 14 процентов, март к январю -</w:t>
      </w:r>
    </w:p>
    <w:p w14:paraId="59BC125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r w:rsidRPr="008127F8">
        <w:rPr>
          <w:rFonts w:ascii="Times New Roman" w:hAnsi="Times New Roman"/>
          <w:color w:val="000000" w:themeColor="text1"/>
          <w:sz w:val="16"/>
          <w:szCs w:val="16"/>
        </w:rPr>
        <w:tab/>
        <w:t>000 процентов, апрель к январю — 828 процентов, май к январю —</w:t>
      </w:r>
    </w:p>
    <w:p w14:paraId="1F186C5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r w:rsidRPr="008127F8">
        <w:rPr>
          <w:rFonts w:ascii="Times New Roman" w:hAnsi="Times New Roman"/>
          <w:color w:val="000000" w:themeColor="text1"/>
          <w:sz w:val="16"/>
          <w:szCs w:val="16"/>
        </w:rPr>
        <w:tab/>
        <w:t>500 процентов. Некоторое снижение темпа в апреле зависело от готовых изделий заводов-смежников и не может служить упреком коллективу нашего завода.</w:t>
      </w:r>
    </w:p>
    <w:p w14:paraId="0700620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Выполнение плана ГКО характеризуется следующими цифрами:</w:t>
      </w:r>
    </w:p>
    <w:p w14:paraId="34BD710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Периоды</w:t>
      </w:r>
      <w:r w:rsidRPr="008127F8">
        <w:rPr>
          <w:rFonts w:ascii="Times New Roman" w:hAnsi="Times New Roman"/>
          <w:color w:val="000000" w:themeColor="text1"/>
          <w:sz w:val="16"/>
          <w:szCs w:val="16"/>
        </w:rPr>
        <w:tab/>
        <w:t>% выполнения плана по сборке</w:t>
      </w:r>
      <w:r w:rsidRPr="008127F8">
        <w:rPr>
          <w:rFonts w:ascii="Times New Roman" w:hAnsi="Times New Roman"/>
          <w:color w:val="000000" w:themeColor="text1"/>
          <w:sz w:val="16"/>
          <w:szCs w:val="16"/>
        </w:rPr>
        <w:tab/>
        <w:t>% выполнения плана по сдаче к бою готовых [машин]</w:t>
      </w:r>
    </w:p>
    <w:p w14:paraId="62A5BBC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 квартал</w:t>
      </w:r>
      <w:r w:rsidRPr="008127F8">
        <w:rPr>
          <w:rFonts w:ascii="Times New Roman" w:hAnsi="Times New Roman"/>
          <w:color w:val="000000" w:themeColor="text1"/>
          <w:sz w:val="16"/>
          <w:szCs w:val="16"/>
        </w:rPr>
        <w:tab/>
        <w:t>100</w:t>
      </w:r>
      <w:r w:rsidRPr="008127F8">
        <w:rPr>
          <w:rFonts w:ascii="Times New Roman" w:hAnsi="Times New Roman"/>
          <w:color w:val="000000" w:themeColor="text1"/>
          <w:sz w:val="16"/>
          <w:szCs w:val="16"/>
        </w:rPr>
        <w:tab/>
        <w:t>71,6</w:t>
      </w:r>
    </w:p>
    <w:p w14:paraId="0B21E83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w:t>
      </w:r>
      <w:r w:rsidRPr="008127F8">
        <w:rPr>
          <w:rFonts w:ascii="Times New Roman" w:hAnsi="Times New Roman"/>
          <w:color w:val="000000" w:themeColor="text1"/>
          <w:sz w:val="16"/>
          <w:szCs w:val="16"/>
        </w:rPr>
        <w:tab/>
        <w:t>64,3</w:t>
      </w:r>
      <w:r w:rsidRPr="008127F8">
        <w:rPr>
          <w:rFonts w:ascii="Times New Roman" w:hAnsi="Times New Roman"/>
          <w:color w:val="000000" w:themeColor="text1"/>
          <w:sz w:val="16"/>
          <w:szCs w:val="16"/>
        </w:rPr>
        <w:tab/>
        <w:t>41,4</w:t>
      </w:r>
    </w:p>
    <w:p w14:paraId="2ED713F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w:t>
      </w:r>
      <w:r w:rsidRPr="008127F8">
        <w:rPr>
          <w:rFonts w:ascii="Times New Roman" w:hAnsi="Times New Roman"/>
          <w:color w:val="000000" w:themeColor="text1"/>
          <w:sz w:val="16"/>
          <w:szCs w:val="16"/>
        </w:rPr>
        <w:tab/>
        <w:t>105,7</w:t>
      </w:r>
      <w:r w:rsidRPr="008127F8">
        <w:rPr>
          <w:rFonts w:ascii="Times New Roman" w:hAnsi="Times New Roman"/>
          <w:color w:val="000000" w:themeColor="text1"/>
          <w:sz w:val="16"/>
          <w:szCs w:val="16"/>
        </w:rPr>
        <w:tab/>
        <w:t>100</w:t>
      </w:r>
    </w:p>
    <w:p w14:paraId="0C25161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5 месяцев</w:t>
      </w:r>
      <w:r w:rsidRPr="008127F8">
        <w:rPr>
          <w:rFonts w:ascii="Times New Roman" w:hAnsi="Times New Roman"/>
          <w:color w:val="000000" w:themeColor="text1"/>
          <w:sz w:val="16"/>
          <w:szCs w:val="16"/>
        </w:rPr>
        <w:tab/>
        <w:t>92,8</w:t>
      </w:r>
      <w:r w:rsidRPr="008127F8">
        <w:rPr>
          <w:rFonts w:ascii="Times New Roman" w:hAnsi="Times New Roman"/>
          <w:color w:val="000000" w:themeColor="text1"/>
          <w:sz w:val="16"/>
          <w:szCs w:val="16"/>
        </w:rPr>
        <w:tab/>
        <w:t>73,3</w:t>
      </w:r>
    </w:p>
    <w:p w14:paraId="05CC33E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Если добавить к машинам, сданным ВВС, сдачу машин в агрегатах и деталях, произведенную в апреле месяце в порядке технической помощи заводам №№ 21 и 82, то процент выполнения за пять месяцев был бы по первой графе - 103 процента, по второй — 83,3 процента.</w:t>
      </w:r>
    </w:p>
    <w:p w14:paraId="05F0522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Выпуск продукции в неизменных ценах (в тыс. рублей)</w:t>
      </w:r>
    </w:p>
    <w:p w14:paraId="6F8C7A3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Месяцы</w:t>
      </w:r>
      <w:r w:rsidRPr="008127F8">
        <w:rPr>
          <w:rFonts w:ascii="Times New Roman" w:hAnsi="Times New Roman"/>
          <w:color w:val="000000" w:themeColor="text1"/>
          <w:sz w:val="16"/>
          <w:szCs w:val="16"/>
        </w:rPr>
        <w:tab/>
        <w:t>1941 год</w:t>
      </w:r>
      <w:r w:rsidRPr="008127F8">
        <w:rPr>
          <w:rFonts w:ascii="Times New Roman" w:hAnsi="Times New Roman"/>
          <w:color w:val="000000" w:themeColor="text1"/>
          <w:sz w:val="16"/>
          <w:szCs w:val="16"/>
        </w:rPr>
        <w:tab/>
      </w:r>
      <w:r w:rsidRPr="008127F8">
        <w:rPr>
          <w:rFonts w:ascii="Times New Roman" w:hAnsi="Times New Roman"/>
          <w:color w:val="000000" w:themeColor="text1"/>
          <w:sz w:val="16"/>
          <w:szCs w:val="16"/>
        </w:rPr>
        <w:tab/>
        <w:t>1942 год</w:t>
      </w:r>
      <w:r w:rsidRPr="008127F8">
        <w:rPr>
          <w:rFonts w:ascii="Times New Roman" w:hAnsi="Times New Roman"/>
          <w:color w:val="000000" w:themeColor="text1"/>
          <w:sz w:val="16"/>
          <w:szCs w:val="16"/>
        </w:rPr>
        <w:tab/>
      </w:r>
      <w:r w:rsidRPr="008127F8">
        <w:rPr>
          <w:rFonts w:ascii="Times New Roman" w:hAnsi="Times New Roman"/>
          <w:color w:val="000000" w:themeColor="text1"/>
          <w:sz w:val="16"/>
          <w:szCs w:val="16"/>
        </w:rPr>
        <w:tab/>
        <w:t>% изменения к 1941 г.</w:t>
      </w:r>
      <w:r w:rsidRPr="008127F8">
        <w:rPr>
          <w:rFonts w:ascii="Times New Roman" w:hAnsi="Times New Roman"/>
          <w:color w:val="000000" w:themeColor="text1"/>
          <w:sz w:val="16"/>
          <w:szCs w:val="16"/>
        </w:rPr>
        <w:tab/>
      </w:r>
    </w:p>
    <w:p w14:paraId="7B392D8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ab/>
        <w:t>товарная</w:t>
      </w:r>
      <w:r w:rsidRPr="008127F8">
        <w:rPr>
          <w:rFonts w:ascii="Times New Roman" w:hAnsi="Times New Roman"/>
          <w:color w:val="000000" w:themeColor="text1"/>
          <w:sz w:val="16"/>
          <w:szCs w:val="16"/>
        </w:rPr>
        <w:tab/>
        <w:t>валовая</w:t>
      </w:r>
      <w:r w:rsidRPr="008127F8">
        <w:rPr>
          <w:rFonts w:ascii="Times New Roman" w:hAnsi="Times New Roman"/>
          <w:color w:val="000000" w:themeColor="text1"/>
          <w:sz w:val="16"/>
          <w:szCs w:val="16"/>
        </w:rPr>
        <w:tab/>
        <w:t>товарная</w:t>
      </w:r>
      <w:r w:rsidRPr="008127F8">
        <w:rPr>
          <w:rFonts w:ascii="Times New Roman" w:hAnsi="Times New Roman"/>
          <w:color w:val="000000" w:themeColor="text1"/>
          <w:sz w:val="16"/>
          <w:szCs w:val="16"/>
        </w:rPr>
        <w:tab/>
        <w:t>валовая</w:t>
      </w:r>
      <w:r w:rsidRPr="008127F8">
        <w:rPr>
          <w:rFonts w:ascii="Times New Roman" w:hAnsi="Times New Roman"/>
          <w:color w:val="000000" w:themeColor="text1"/>
          <w:sz w:val="16"/>
          <w:szCs w:val="16"/>
        </w:rPr>
        <w:tab/>
        <w:t>товарная</w:t>
      </w:r>
      <w:r w:rsidRPr="008127F8">
        <w:rPr>
          <w:rFonts w:ascii="Times New Roman" w:hAnsi="Times New Roman"/>
          <w:color w:val="000000" w:themeColor="text1"/>
          <w:sz w:val="16"/>
          <w:szCs w:val="16"/>
        </w:rPr>
        <w:tab/>
        <w:t>валовая</w:t>
      </w:r>
    </w:p>
    <w:p w14:paraId="5B93773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Январь</w:t>
      </w:r>
      <w:r w:rsidRPr="008127F8">
        <w:rPr>
          <w:rFonts w:ascii="Times New Roman" w:hAnsi="Times New Roman"/>
          <w:color w:val="000000" w:themeColor="text1"/>
          <w:sz w:val="16"/>
          <w:szCs w:val="16"/>
        </w:rPr>
        <w:tab/>
        <w:t>530</w:t>
      </w:r>
      <w:r w:rsidRPr="008127F8">
        <w:rPr>
          <w:rFonts w:ascii="Times New Roman" w:hAnsi="Times New Roman"/>
          <w:color w:val="000000" w:themeColor="text1"/>
          <w:sz w:val="16"/>
          <w:szCs w:val="16"/>
        </w:rPr>
        <w:tab/>
        <w:t>4 053</w:t>
      </w:r>
      <w:r w:rsidRPr="008127F8">
        <w:rPr>
          <w:rFonts w:ascii="Times New Roman" w:hAnsi="Times New Roman"/>
          <w:color w:val="000000" w:themeColor="text1"/>
          <w:sz w:val="16"/>
          <w:szCs w:val="16"/>
        </w:rPr>
        <w:tab/>
        <w:t>9 518</w:t>
      </w:r>
      <w:r w:rsidRPr="008127F8">
        <w:rPr>
          <w:rFonts w:ascii="Times New Roman" w:hAnsi="Times New Roman"/>
          <w:color w:val="000000" w:themeColor="text1"/>
          <w:sz w:val="16"/>
          <w:szCs w:val="16"/>
        </w:rPr>
        <w:tab/>
        <w:t>13 574</w:t>
      </w:r>
      <w:r w:rsidRPr="008127F8">
        <w:rPr>
          <w:rFonts w:ascii="Times New Roman" w:hAnsi="Times New Roman"/>
          <w:color w:val="000000" w:themeColor="text1"/>
          <w:sz w:val="16"/>
          <w:szCs w:val="16"/>
        </w:rPr>
        <w:tab/>
        <w:t>1 790</w:t>
      </w:r>
      <w:r w:rsidRPr="008127F8">
        <w:rPr>
          <w:rFonts w:ascii="Times New Roman" w:hAnsi="Times New Roman"/>
          <w:color w:val="000000" w:themeColor="text1"/>
          <w:sz w:val="16"/>
          <w:szCs w:val="16"/>
        </w:rPr>
        <w:tab/>
        <w:t>334</w:t>
      </w:r>
    </w:p>
    <w:p w14:paraId="4351729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Февраль</w:t>
      </w:r>
      <w:r w:rsidRPr="008127F8">
        <w:rPr>
          <w:rFonts w:ascii="Times New Roman" w:hAnsi="Times New Roman"/>
          <w:color w:val="000000" w:themeColor="text1"/>
          <w:sz w:val="16"/>
          <w:szCs w:val="16"/>
        </w:rPr>
        <w:tab/>
        <w:t>4 308</w:t>
      </w:r>
      <w:r w:rsidRPr="008127F8">
        <w:rPr>
          <w:rFonts w:ascii="Times New Roman" w:hAnsi="Times New Roman"/>
          <w:color w:val="000000" w:themeColor="text1"/>
          <w:sz w:val="16"/>
          <w:szCs w:val="16"/>
        </w:rPr>
        <w:tab/>
        <w:t>5 679</w:t>
      </w:r>
      <w:r w:rsidRPr="008127F8">
        <w:rPr>
          <w:rFonts w:ascii="Times New Roman" w:hAnsi="Times New Roman"/>
          <w:color w:val="000000" w:themeColor="text1"/>
          <w:sz w:val="16"/>
          <w:szCs w:val="16"/>
        </w:rPr>
        <w:tab/>
        <w:t>4 000</w:t>
      </w:r>
      <w:r w:rsidRPr="008127F8">
        <w:rPr>
          <w:rFonts w:ascii="Times New Roman" w:hAnsi="Times New Roman"/>
          <w:color w:val="000000" w:themeColor="text1"/>
          <w:sz w:val="16"/>
          <w:szCs w:val="16"/>
        </w:rPr>
        <w:tab/>
        <w:t>11 875</w:t>
      </w:r>
      <w:r w:rsidRPr="008127F8">
        <w:rPr>
          <w:rFonts w:ascii="Times New Roman" w:hAnsi="Times New Roman"/>
          <w:color w:val="000000" w:themeColor="text1"/>
          <w:sz w:val="16"/>
          <w:szCs w:val="16"/>
        </w:rPr>
        <w:tab/>
        <w:t>92,8</w:t>
      </w:r>
      <w:r w:rsidRPr="008127F8">
        <w:rPr>
          <w:rFonts w:ascii="Times New Roman" w:hAnsi="Times New Roman"/>
          <w:color w:val="000000" w:themeColor="text1"/>
          <w:sz w:val="16"/>
          <w:szCs w:val="16"/>
        </w:rPr>
        <w:tab/>
        <w:t>209</w:t>
      </w:r>
    </w:p>
    <w:p w14:paraId="26A5DD2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Март</w:t>
      </w:r>
      <w:r w:rsidRPr="008127F8">
        <w:rPr>
          <w:rFonts w:ascii="Times New Roman" w:hAnsi="Times New Roman"/>
          <w:color w:val="000000" w:themeColor="text1"/>
          <w:sz w:val="16"/>
          <w:szCs w:val="16"/>
        </w:rPr>
        <w:tab/>
        <w:t>6 229</w:t>
      </w:r>
      <w:r w:rsidRPr="008127F8">
        <w:rPr>
          <w:rFonts w:ascii="Times New Roman" w:hAnsi="Times New Roman"/>
          <w:color w:val="000000" w:themeColor="text1"/>
          <w:sz w:val="16"/>
          <w:szCs w:val="16"/>
        </w:rPr>
        <w:tab/>
        <w:t>6 730</w:t>
      </w:r>
      <w:r w:rsidRPr="008127F8">
        <w:rPr>
          <w:rFonts w:ascii="Times New Roman" w:hAnsi="Times New Roman"/>
          <w:color w:val="000000" w:themeColor="text1"/>
          <w:sz w:val="16"/>
          <w:szCs w:val="16"/>
        </w:rPr>
        <w:tab/>
        <w:t>9 410</w:t>
      </w:r>
      <w:r w:rsidRPr="008127F8">
        <w:rPr>
          <w:rFonts w:ascii="Times New Roman" w:hAnsi="Times New Roman"/>
          <w:color w:val="000000" w:themeColor="text1"/>
          <w:sz w:val="16"/>
          <w:szCs w:val="16"/>
        </w:rPr>
        <w:tab/>
        <w:t>17 952</w:t>
      </w:r>
      <w:r w:rsidRPr="008127F8">
        <w:rPr>
          <w:rFonts w:ascii="Times New Roman" w:hAnsi="Times New Roman"/>
          <w:color w:val="000000" w:themeColor="text1"/>
          <w:sz w:val="16"/>
          <w:szCs w:val="16"/>
        </w:rPr>
        <w:tab/>
        <w:t>151</w:t>
      </w:r>
      <w:r w:rsidRPr="008127F8">
        <w:rPr>
          <w:rFonts w:ascii="Times New Roman" w:hAnsi="Times New Roman"/>
          <w:color w:val="000000" w:themeColor="text1"/>
          <w:sz w:val="16"/>
          <w:szCs w:val="16"/>
        </w:rPr>
        <w:tab/>
        <w:t>267</w:t>
      </w:r>
    </w:p>
    <w:p w14:paraId="4420FF6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w:t>
      </w:r>
      <w:r w:rsidRPr="008127F8">
        <w:rPr>
          <w:rFonts w:ascii="Times New Roman" w:hAnsi="Times New Roman"/>
          <w:color w:val="000000" w:themeColor="text1"/>
          <w:sz w:val="16"/>
          <w:szCs w:val="16"/>
        </w:rPr>
        <w:tab/>
        <w:t>6 479</w:t>
      </w:r>
      <w:r w:rsidRPr="008127F8">
        <w:rPr>
          <w:rFonts w:ascii="Times New Roman" w:hAnsi="Times New Roman"/>
          <w:color w:val="000000" w:themeColor="text1"/>
          <w:sz w:val="16"/>
          <w:szCs w:val="16"/>
        </w:rPr>
        <w:tab/>
        <w:t>7 456</w:t>
      </w:r>
      <w:r w:rsidRPr="008127F8">
        <w:rPr>
          <w:rFonts w:ascii="Times New Roman" w:hAnsi="Times New Roman"/>
          <w:color w:val="000000" w:themeColor="text1"/>
          <w:sz w:val="16"/>
          <w:szCs w:val="16"/>
        </w:rPr>
        <w:tab/>
        <w:t>13 360</w:t>
      </w:r>
      <w:r w:rsidRPr="008127F8">
        <w:rPr>
          <w:rFonts w:ascii="Times New Roman" w:hAnsi="Times New Roman"/>
          <w:color w:val="000000" w:themeColor="text1"/>
          <w:sz w:val="16"/>
          <w:szCs w:val="16"/>
        </w:rPr>
        <w:tab/>
        <w:t>21 261</w:t>
      </w:r>
      <w:r w:rsidRPr="008127F8">
        <w:rPr>
          <w:rFonts w:ascii="Times New Roman" w:hAnsi="Times New Roman"/>
          <w:color w:val="000000" w:themeColor="text1"/>
          <w:sz w:val="16"/>
          <w:szCs w:val="16"/>
        </w:rPr>
        <w:tab/>
        <w:t>206</w:t>
      </w:r>
      <w:r w:rsidRPr="008127F8">
        <w:rPr>
          <w:rFonts w:ascii="Times New Roman" w:hAnsi="Times New Roman"/>
          <w:color w:val="000000" w:themeColor="text1"/>
          <w:sz w:val="16"/>
          <w:szCs w:val="16"/>
        </w:rPr>
        <w:tab/>
        <w:t>285</w:t>
      </w:r>
    </w:p>
    <w:p w14:paraId="40F2BFA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w:t>
      </w:r>
      <w:r w:rsidRPr="008127F8">
        <w:rPr>
          <w:rFonts w:ascii="Times New Roman" w:hAnsi="Times New Roman"/>
          <w:color w:val="000000" w:themeColor="text1"/>
          <w:sz w:val="16"/>
          <w:szCs w:val="16"/>
        </w:rPr>
        <w:tab/>
        <w:t>6 758</w:t>
      </w:r>
      <w:r w:rsidRPr="008127F8">
        <w:rPr>
          <w:rFonts w:ascii="Times New Roman" w:hAnsi="Times New Roman"/>
          <w:color w:val="000000" w:themeColor="text1"/>
          <w:sz w:val="16"/>
          <w:szCs w:val="16"/>
        </w:rPr>
        <w:tab/>
        <w:t>6 847</w:t>
      </w:r>
      <w:r w:rsidRPr="008127F8">
        <w:rPr>
          <w:rFonts w:ascii="Times New Roman" w:hAnsi="Times New Roman"/>
          <w:color w:val="000000" w:themeColor="text1"/>
          <w:sz w:val="16"/>
          <w:szCs w:val="16"/>
        </w:rPr>
        <w:tab/>
        <w:t>21 036</w:t>
      </w:r>
      <w:r w:rsidRPr="008127F8">
        <w:rPr>
          <w:rFonts w:ascii="Times New Roman" w:hAnsi="Times New Roman"/>
          <w:color w:val="000000" w:themeColor="text1"/>
          <w:sz w:val="16"/>
          <w:szCs w:val="16"/>
        </w:rPr>
        <w:tab/>
        <w:t>23 600</w:t>
      </w:r>
      <w:r w:rsidRPr="008127F8">
        <w:rPr>
          <w:rFonts w:ascii="Times New Roman" w:hAnsi="Times New Roman"/>
          <w:color w:val="000000" w:themeColor="text1"/>
          <w:sz w:val="16"/>
          <w:szCs w:val="16"/>
        </w:rPr>
        <w:tab/>
        <w:t>311</w:t>
      </w:r>
      <w:r w:rsidRPr="008127F8">
        <w:rPr>
          <w:rFonts w:ascii="Times New Roman" w:hAnsi="Times New Roman"/>
          <w:color w:val="000000" w:themeColor="text1"/>
          <w:sz w:val="16"/>
          <w:szCs w:val="16"/>
        </w:rPr>
        <w:tab/>
        <w:t>345</w:t>
      </w:r>
    </w:p>
    <w:p w14:paraId="3BB01E9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r w:rsidRPr="008127F8">
        <w:rPr>
          <w:rFonts w:ascii="Times New Roman" w:hAnsi="Times New Roman"/>
          <w:color w:val="000000" w:themeColor="text1"/>
          <w:sz w:val="16"/>
          <w:szCs w:val="16"/>
        </w:rPr>
        <w:tab/>
        <w:t>24 298*</w:t>
      </w:r>
      <w:r w:rsidRPr="008127F8">
        <w:rPr>
          <w:rFonts w:ascii="Times New Roman" w:hAnsi="Times New Roman"/>
          <w:color w:val="000000" w:themeColor="text1"/>
          <w:sz w:val="16"/>
          <w:szCs w:val="16"/>
        </w:rPr>
        <w:tab/>
        <w:t>30 765</w:t>
      </w:r>
      <w:r w:rsidRPr="008127F8">
        <w:rPr>
          <w:rFonts w:ascii="Times New Roman" w:hAnsi="Times New Roman"/>
          <w:color w:val="000000" w:themeColor="text1"/>
          <w:sz w:val="16"/>
          <w:szCs w:val="16"/>
        </w:rPr>
        <w:tab/>
        <w:t>57 324</w:t>
      </w:r>
      <w:r w:rsidRPr="008127F8">
        <w:rPr>
          <w:rFonts w:ascii="Times New Roman" w:hAnsi="Times New Roman"/>
          <w:color w:val="000000" w:themeColor="text1"/>
          <w:sz w:val="16"/>
          <w:szCs w:val="16"/>
        </w:rPr>
        <w:tab/>
        <w:t>88 262</w:t>
      </w:r>
      <w:r w:rsidRPr="008127F8">
        <w:rPr>
          <w:rFonts w:ascii="Times New Roman" w:hAnsi="Times New Roman"/>
          <w:color w:val="000000" w:themeColor="text1"/>
          <w:sz w:val="16"/>
          <w:szCs w:val="16"/>
        </w:rPr>
        <w:tab/>
        <w:t>236</w:t>
      </w:r>
      <w:r w:rsidRPr="008127F8">
        <w:rPr>
          <w:rFonts w:ascii="Times New Roman" w:hAnsi="Times New Roman"/>
          <w:color w:val="000000" w:themeColor="text1"/>
          <w:sz w:val="16"/>
          <w:szCs w:val="16"/>
        </w:rPr>
        <w:tab/>
        <w:t>287</w:t>
      </w:r>
    </w:p>
    <w:p w14:paraId="6E92A9B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Необходимо учесть, что в 1941 году в сравниваемом периоде завод изготовлял учебную машину УТИ-4, которая по трудоемкости в два с лишним раза легче против ЯК-7, а по неизменной цене дешевле лишь на 30 процентов. Но это несоответствие в оценке объектов компенсируется продолжительностью рабочего дня. Если в 1941 году среднесписочный состав рабочих из числа 4 974 человек за пять месяцев отработали 5 304 тысяч человеко-часов, то нынче за этот же период 14 285 человек рабочих отработали 17 885 тысяч человеко-часов.</w:t>
      </w:r>
    </w:p>
    <w:p w14:paraId="0B87003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Рост численного состава составляет 199 процентов, отработанного времени — 236 процентов.</w:t>
      </w:r>
    </w:p>
    <w:p w14:paraId="55212E1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Голое сопоставление продукции и рабочей силы 1941 года и 1942 года показывает, что в 1942 году завод как бы не сделал никакого прогресса в производительности труда. На самом деле это не так.</w:t>
      </w:r>
    </w:p>
    <w:p w14:paraId="74F284A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1941 году в сравнимый период завод перешел с И-16 (синхронно-пулеметный вариант) на учебный вариант этой же машины, более легкий в изготовлении, без вооружения. В 1942 году совсем другое дело. Завод осваивал и развертывал новое производство. Достаточно взглянуть на производительность труда, чтобы убедиться, что завод имеет в 1942 году значительный рост производительности труда.</w:t>
      </w:r>
    </w:p>
    <w:p w14:paraId="16D788A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Месяцы</w:t>
      </w:r>
      <w:r w:rsidRPr="008127F8">
        <w:rPr>
          <w:rFonts w:ascii="Times New Roman" w:hAnsi="Times New Roman"/>
          <w:color w:val="000000" w:themeColor="text1"/>
          <w:sz w:val="16"/>
          <w:szCs w:val="16"/>
        </w:rPr>
        <w:tab/>
        <w:t>Выработка рабочего в н[еизменных] ценах</w:t>
      </w:r>
      <w:r w:rsidRPr="008127F8">
        <w:rPr>
          <w:rFonts w:ascii="Times New Roman" w:hAnsi="Times New Roman"/>
          <w:color w:val="000000" w:themeColor="text1"/>
          <w:sz w:val="16"/>
          <w:szCs w:val="16"/>
        </w:rPr>
        <w:tab/>
      </w:r>
    </w:p>
    <w:p w14:paraId="65A353D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ab/>
        <w:t>1941 год</w:t>
      </w:r>
      <w:r w:rsidRPr="008127F8">
        <w:rPr>
          <w:rFonts w:ascii="Times New Roman" w:hAnsi="Times New Roman"/>
          <w:color w:val="000000" w:themeColor="text1"/>
          <w:sz w:val="16"/>
          <w:szCs w:val="16"/>
        </w:rPr>
        <w:tab/>
        <w:t>1942,год</w:t>
      </w:r>
    </w:p>
    <w:p w14:paraId="45D4A77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Январь</w:t>
      </w:r>
      <w:r w:rsidRPr="008127F8">
        <w:rPr>
          <w:rFonts w:ascii="Times New Roman" w:hAnsi="Times New Roman"/>
          <w:color w:val="000000" w:themeColor="text1"/>
          <w:sz w:val="16"/>
          <w:szCs w:val="16"/>
        </w:rPr>
        <w:tab/>
        <w:t>917</w:t>
      </w:r>
      <w:r w:rsidRPr="008127F8">
        <w:rPr>
          <w:rFonts w:ascii="Times New Roman" w:hAnsi="Times New Roman"/>
          <w:color w:val="000000" w:themeColor="text1"/>
          <w:sz w:val="16"/>
          <w:szCs w:val="16"/>
        </w:rPr>
        <w:tab/>
        <w:t>949</w:t>
      </w:r>
    </w:p>
    <w:p w14:paraId="0A294ED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Февраль</w:t>
      </w:r>
      <w:r w:rsidRPr="008127F8">
        <w:rPr>
          <w:rFonts w:ascii="Times New Roman" w:hAnsi="Times New Roman"/>
          <w:color w:val="000000" w:themeColor="text1"/>
          <w:sz w:val="16"/>
          <w:szCs w:val="16"/>
        </w:rPr>
        <w:tab/>
        <w:t>1 172</w:t>
      </w:r>
      <w:r w:rsidRPr="008127F8">
        <w:rPr>
          <w:rFonts w:ascii="Times New Roman" w:hAnsi="Times New Roman"/>
          <w:color w:val="000000" w:themeColor="text1"/>
          <w:sz w:val="16"/>
          <w:szCs w:val="16"/>
        </w:rPr>
        <w:tab/>
        <w:t>811</w:t>
      </w:r>
    </w:p>
    <w:p w14:paraId="6DC2099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Март</w:t>
      </w:r>
      <w:r w:rsidRPr="008127F8">
        <w:rPr>
          <w:rFonts w:ascii="Times New Roman" w:hAnsi="Times New Roman"/>
          <w:color w:val="000000" w:themeColor="text1"/>
          <w:sz w:val="16"/>
          <w:szCs w:val="16"/>
        </w:rPr>
        <w:tab/>
        <w:t>1 320</w:t>
      </w:r>
      <w:r w:rsidRPr="008127F8">
        <w:rPr>
          <w:rFonts w:ascii="Times New Roman" w:hAnsi="Times New Roman"/>
          <w:color w:val="000000" w:themeColor="text1"/>
          <w:sz w:val="16"/>
          <w:szCs w:val="16"/>
        </w:rPr>
        <w:tab/>
        <w:t>1 207</w:t>
      </w:r>
    </w:p>
    <w:p w14:paraId="47F7836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w:t>
      </w:r>
      <w:r w:rsidRPr="008127F8">
        <w:rPr>
          <w:rFonts w:ascii="Times New Roman" w:hAnsi="Times New Roman"/>
          <w:color w:val="000000" w:themeColor="text1"/>
          <w:sz w:val="16"/>
          <w:szCs w:val="16"/>
        </w:rPr>
        <w:tab/>
        <w:t>1 428</w:t>
      </w:r>
      <w:r w:rsidRPr="008127F8">
        <w:rPr>
          <w:rFonts w:ascii="Times New Roman" w:hAnsi="Times New Roman"/>
          <w:color w:val="000000" w:themeColor="text1"/>
          <w:sz w:val="16"/>
          <w:szCs w:val="16"/>
        </w:rPr>
        <w:tab/>
        <w:t>1 399</w:t>
      </w:r>
    </w:p>
    <w:p w14:paraId="7D790F9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w:t>
      </w:r>
      <w:r w:rsidRPr="008127F8">
        <w:rPr>
          <w:rFonts w:ascii="Times New Roman" w:hAnsi="Times New Roman"/>
          <w:color w:val="000000" w:themeColor="text1"/>
          <w:sz w:val="16"/>
          <w:szCs w:val="16"/>
        </w:rPr>
        <w:tab/>
        <w:t>1 295</w:t>
      </w:r>
      <w:r w:rsidRPr="008127F8">
        <w:rPr>
          <w:rFonts w:ascii="Times New Roman" w:hAnsi="Times New Roman"/>
          <w:color w:val="000000" w:themeColor="text1"/>
          <w:sz w:val="16"/>
          <w:szCs w:val="16"/>
        </w:rPr>
        <w:tab/>
        <w:t>1 500</w:t>
      </w:r>
    </w:p>
    <w:p w14:paraId="2858C3E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ближайшие месяцы (июль — август) завод достигнет выработки 2 000 т[ыс.] р. на рабочего, небывалой в истории завода.</w:t>
      </w:r>
    </w:p>
    <w:p w14:paraId="7060C5B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&lt;...&gt;</w:t>
      </w:r>
    </w:p>
    <w:p w14:paraId="4B8EECC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Рост численности рабочей силы за период войны характеризуется следующей таблицей:</w:t>
      </w:r>
    </w:p>
    <w:p w14:paraId="451E77B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Периоды</w:t>
      </w:r>
      <w:r w:rsidRPr="008127F8">
        <w:rPr>
          <w:rFonts w:ascii="Times New Roman" w:hAnsi="Times New Roman"/>
          <w:color w:val="000000" w:themeColor="text1"/>
          <w:sz w:val="16"/>
          <w:szCs w:val="16"/>
        </w:rPr>
        <w:tab/>
        <w:t>Численность рабочих</w:t>
      </w:r>
    </w:p>
    <w:p w14:paraId="3CE3972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 июня 1941 года</w:t>
      </w:r>
      <w:r w:rsidRPr="008127F8">
        <w:rPr>
          <w:rFonts w:ascii="Times New Roman" w:hAnsi="Times New Roman"/>
          <w:color w:val="000000" w:themeColor="text1"/>
          <w:sz w:val="16"/>
          <w:szCs w:val="16"/>
        </w:rPr>
        <w:tab/>
        <w:t>5 412</w:t>
      </w:r>
    </w:p>
    <w:p w14:paraId="022972D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 июня 1942 года</w:t>
      </w:r>
      <w:r w:rsidRPr="008127F8">
        <w:rPr>
          <w:rFonts w:ascii="Times New Roman" w:hAnsi="Times New Roman"/>
          <w:color w:val="000000" w:themeColor="text1"/>
          <w:sz w:val="16"/>
          <w:szCs w:val="16"/>
        </w:rPr>
        <w:tab/>
        <w:t>15 183</w:t>
      </w:r>
    </w:p>
    <w:p w14:paraId="0B26FE7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Всесоюзное соцсоревнование подняло трудовой энтузиазм на новые трудовые подвиги. В числе первых по заводу являются:</w:t>
      </w:r>
    </w:p>
    <w:p w14:paraId="71FBFD3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 Зенков Борис Николаевич, который 9 мая выполнил норму выработки на 10 002 процента;</w:t>
      </w:r>
    </w:p>
    <w:p w14:paraId="6B2DC80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 Монахов Иван Илларионович, работая на двух фрезерных станках, 24 мая дал норму выработки 14 940 процентов.</w:t>
      </w:r>
    </w:p>
    <w:p w14:paraId="565F100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первые дни июня месяца темпы тысячников не снизились, а наоборот, увеличились, так т. Зенков Борис Николаевич 4 июня перекрыл все рекорды - выполнил старую норму выработки [на] 57 143</w:t>
      </w:r>
    </w:p>
    <w:p w14:paraId="17F7B16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процента.</w:t>
      </w:r>
    </w:p>
    <w:p w14:paraId="145D2E0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Достигнутые успехи в деле повышения производительности труда поставили перед руководством и ИТР завода ряд новых задач.</w:t>
      </w:r>
    </w:p>
    <w:p w14:paraId="55BBC78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Инженерно-техническим работникам необходимо оказывать конкретную помощь стахановцам в освоении новых видов продукции, популяризации и рассмотрении опыта стахановской технологии.</w:t>
      </w:r>
    </w:p>
    <w:p w14:paraId="1FE2E2C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&lt;...&gt;</w:t>
      </w:r>
    </w:p>
    <w:p w14:paraId="5E22F0D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Рост предприятия за период войны виден из следующих трех основных показателей:</w:t>
      </w:r>
    </w:p>
    <w:p w14:paraId="7D7E4E4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Показатели</w:t>
      </w:r>
      <w:r w:rsidRPr="008127F8">
        <w:rPr>
          <w:rFonts w:ascii="Times New Roman" w:hAnsi="Times New Roman"/>
          <w:color w:val="000000" w:themeColor="text1"/>
          <w:sz w:val="16"/>
          <w:szCs w:val="16"/>
        </w:rPr>
        <w:tab/>
        <w:t>На 1 января 1941 года</w:t>
      </w:r>
      <w:r w:rsidRPr="008127F8">
        <w:rPr>
          <w:rFonts w:ascii="Times New Roman" w:hAnsi="Times New Roman"/>
          <w:color w:val="000000" w:themeColor="text1"/>
          <w:sz w:val="16"/>
          <w:szCs w:val="16"/>
        </w:rPr>
        <w:tab/>
        <w:t>На 1 января 1942 года</w:t>
      </w:r>
      <w:r w:rsidRPr="008127F8">
        <w:rPr>
          <w:rFonts w:ascii="Times New Roman" w:hAnsi="Times New Roman"/>
          <w:color w:val="000000" w:themeColor="text1"/>
          <w:sz w:val="16"/>
          <w:szCs w:val="16"/>
        </w:rPr>
        <w:tab/>
        <w:t>На 1 июня [1942 года]</w:t>
      </w:r>
    </w:p>
    <w:p w14:paraId="718EFD3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Всего оборудования, единиц</w:t>
      </w:r>
      <w:r w:rsidRPr="008127F8">
        <w:rPr>
          <w:rFonts w:ascii="Times New Roman" w:hAnsi="Times New Roman"/>
          <w:color w:val="000000" w:themeColor="text1"/>
          <w:sz w:val="16"/>
          <w:szCs w:val="16"/>
        </w:rPr>
        <w:tab/>
        <w:t>935</w:t>
      </w:r>
      <w:r w:rsidRPr="008127F8">
        <w:rPr>
          <w:rFonts w:ascii="Times New Roman" w:hAnsi="Times New Roman"/>
          <w:color w:val="000000" w:themeColor="text1"/>
          <w:sz w:val="16"/>
          <w:szCs w:val="16"/>
        </w:rPr>
        <w:tab/>
        <w:t>3 458</w:t>
      </w:r>
      <w:r w:rsidRPr="008127F8">
        <w:rPr>
          <w:rFonts w:ascii="Times New Roman" w:hAnsi="Times New Roman"/>
          <w:color w:val="000000" w:themeColor="text1"/>
          <w:sz w:val="16"/>
          <w:szCs w:val="16"/>
        </w:rPr>
        <w:tab/>
        <w:t>3 275</w:t>
      </w:r>
    </w:p>
    <w:p w14:paraId="15963DE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т[ом] ч[исле] металлорежущего</w:t>
      </w:r>
      <w:r w:rsidRPr="008127F8">
        <w:rPr>
          <w:rFonts w:ascii="Times New Roman" w:hAnsi="Times New Roman"/>
          <w:color w:val="000000" w:themeColor="text1"/>
          <w:sz w:val="16"/>
          <w:szCs w:val="16"/>
        </w:rPr>
        <w:tab/>
        <w:t>678</w:t>
      </w:r>
      <w:r w:rsidRPr="008127F8">
        <w:rPr>
          <w:rFonts w:ascii="Times New Roman" w:hAnsi="Times New Roman"/>
          <w:color w:val="000000" w:themeColor="text1"/>
          <w:sz w:val="16"/>
          <w:szCs w:val="16"/>
        </w:rPr>
        <w:tab/>
        <w:t>2 581</w:t>
      </w:r>
      <w:r w:rsidRPr="008127F8">
        <w:rPr>
          <w:rFonts w:ascii="Times New Roman" w:hAnsi="Times New Roman"/>
          <w:color w:val="000000" w:themeColor="text1"/>
          <w:sz w:val="16"/>
          <w:szCs w:val="16"/>
        </w:rPr>
        <w:tab/>
        <w:t>2 465</w:t>
      </w:r>
    </w:p>
    <w:p w14:paraId="3FD226B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Всего площадей, м2</w:t>
      </w:r>
      <w:r w:rsidRPr="008127F8">
        <w:rPr>
          <w:rFonts w:ascii="Times New Roman" w:hAnsi="Times New Roman"/>
          <w:color w:val="000000" w:themeColor="text1"/>
          <w:sz w:val="16"/>
          <w:szCs w:val="16"/>
        </w:rPr>
        <w:tab/>
        <w:t>87 745</w:t>
      </w:r>
      <w:r w:rsidRPr="008127F8">
        <w:rPr>
          <w:rFonts w:ascii="Times New Roman" w:hAnsi="Times New Roman"/>
          <w:color w:val="000000" w:themeColor="text1"/>
          <w:sz w:val="16"/>
          <w:szCs w:val="16"/>
        </w:rPr>
        <w:tab/>
        <w:t>192 806</w:t>
      </w:r>
      <w:r w:rsidRPr="008127F8">
        <w:rPr>
          <w:rFonts w:ascii="Times New Roman" w:hAnsi="Times New Roman"/>
          <w:color w:val="000000" w:themeColor="text1"/>
          <w:sz w:val="16"/>
          <w:szCs w:val="16"/>
        </w:rPr>
        <w:tab/>
        <w:t>195 226</w:t>
      </w:r>
    </w:p>
    <w:p w14:paraId="7C249CE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т[ом] ч[исле] производственных</w:t>
      </w:r>
      <w:r w:rsidRPr="008127F8">
        <w:rPr>
          <w:rFonts w:ascii="Times New Roman" w:hAnsi="Times New Roman"/>
          <w:color w:val="000000" w:themeColor="text1"/>
          <w:sz w:val="16"/>
          <w:szCs w:val="16"/>
        </w:rPr>
        <w:tab/>
        <w:t>42 055</w:t>
      </w:r>
      <w:r w:rsidRPr="008127F8">
        <w:rPr>
          <w:rFonts w:ascii="Times New Roman" w:hAnsi="Times New Roman"/>
          <w:color w:val="000000" w:themeColor="text1"/>
          <w:sz w:val="16"/>
          <w:szCs w:val="16"/>
        </w:rPr>
        <w:tab/>
        <w:t>115 212</w:t>
      </w:r>
      <w:r w:rsidRPr="008127F8">
        <w:rPr>
          <w:rFonts w:ascii="Times New Roman" w:hAnsi="Times New Roman"/>
          <w:color w:val="000000" w:themeColor="text1"/>
          <w:sz w:val="16"/>
          <w:szCs w:val="16"/>
        </w:rPr>
        <w:tab/>
        <w:t>115 412</w:t>
      </w:r>
    </w:p>
    <w:p w14:paraId="23A493B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Всего работающих (без ЖКУ и транспорта), [чел.]</w:t>
      </w:r>
      <w:r w:rsidRPr="008127F8">
        <w:rPr>
          <w:rFonts w:ascii="Times New Roman" w:hAnsi="Times New Roman"/>
          <w:color w:val="000000" w:themeColor="text1"/>
          <w:sz w:val="16"/>
          <w:szCs w:val="16"/>
        </w:rPr>
        <w:tab/>
        <w:t>7 453</w:t>
      </w:r>
      <w:r w:rsidRPr="008127F8">
        <w:rPr>
          <w:rFonts w:ascii="Times New Roman" w:hAnsi="Times New Roman"/>
          <w:color w:val="000000" w:themeColor="text1"/>
          <w:sz w:val="16"/>
          <w:szCs w:val="16"/>
        </w:rPr>
        <w:tab/>
        <w:t>20 766</w:t>
      </w:r>
      <w:r w:rsidRPr="008127F8">
        <w:rPr>
          <w:rFonts w:ascii="Times New Roman" w:hAnsi="Times New Roman"/>
          <w:color w:val="000000" w:themeColor="text1"/>
          <w:sz w:val="16"/>
          <w:szCs w:val="16"/>
        </w:rPr>
        <w:tab/>
        <w:t>20 785</w:t>
      </w:r>
    </w:p>
    <w:p w14:paraId="7BC31A0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т[ом] ч[исле] производственных рабочих</w:t>
      </w:r>
      <w:r w:rsidRPr="008127F8">
        <w:rPr>
          <w:rFonts w:ascii="Times New Roman" w:hAnsi="Times New Roman"/>
          <w:color w:val="000000" w:themeColor="text1"/>
          <w:sz w:val="16"/>
          <w:szCs w:val="16"/>
        </w:rPr>
        <w:tab/>
        <w:t>2 379</w:t>
      </w:r>
      <w:r w:rsidRPr="008127F8">
        <w:rPr>
          <w:rFonts w:ascii="Times New Roman" w:hAnsi="Times New Roman"/>
          <w:color w:val="000000" w:themeColor="text1"/>
          <w:sz w:val="16"/>
          <w:szCs w:val="16"/>
        </w:rPr>
        <w:tab/>
        <w:t>7 133</w:t>
      </w:r>
      <w:r w:rsidRPr="008127F8">
        <w:rPr>
          <w:rFonts w:ascii="Times New Roman" w:hAnsi="Times New Roman"/>
          <w:color w:val="000000" w:themeColor="text1"/>
          <w:sz w:val="16"/>
          <w:szCs w:val="16"/>
        </w:rPr>
        <w:tab/>
        <w:t>7 934</w:t>
      </w:r>
    </w:p>
    <w:p w14:paraId="06C9B2B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 Уменьшение оборудования в июне месяце против 1 января 1942 года за счет передачи другим предприятиям.</w:t>
      </w:r>
    </w:p>
    <w:p w14:paraId="02D9F73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&lt;...&gt;</w:t>
      </w:r>
    </w:p>
    <w:p w14:paraId="7EEDBF8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Общественное питание и организация ОРС</w:t>
      </w:r>
    </w:p>
    <w:p w14:paraId="01DAD53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Сеть столовых на заводе значительно увеличилась, и контингент обслуживаемых общественным питанием возрос. Однако существующая столовая сеть на сегодняшний день не обеспечивает всех работающих.</w:t>
      </w:r>
    </w:p>
    <w:p w14:paraId="4331E6D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Недостаток мест в столовых определяется порядка 2 100, только с пуском в июне месяце фабрики-кухни на 1 400 посадочных мест и столовой в первом объекте на 700 мест резко снизятся* потери рабочего времени и улучшится обслуживание работающих.</w:t>
      </w:r>
    </w:p>
    <w:p w14:paraId="6C725DE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области создания собственной продовольственной базы заводом принято ряд мер, обеспечивающих в дальнейшем выполнение намеченной программы. Основным источником покрытия потребности общественного питания завода является подсобное хозяйство, которое при выполнении плана посева покрывает продукцией собственного хозяйства 75—80 процентов потребности общественного питания.</w:t>
      </w:r>
    </w:p>
    <w:p w14:paraId="7A88C7B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&lt;...&gt;</w:t>
      </w:r>
    </w:p>
    <w:p w14:paraId="6C63D50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обеспечения хранения продуктов, получаемых от собственного посева и предполагаемых заготовок, необходимо построить хранилища емкостью в 2 000 тонн.</w:t>
      </w:r>
    </w:p>
    <w:p w14:paraId="4CEF99D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Поголовье молочного скота должно быть на 1 января 1943 года 300 голов, в настоящее время оно доведено до 363 голов, в том числе дойных 321. По откормочным операциям в 1942 году должно быть поставлено на откорм 2 500 свиней, со снятием с откорма 2 000 голов, с выходом мяса 100 тонн. В настоящее время поставлено всего лишь 500 голов, против 800, установленных планом, из-за отсутствия мест (требуется 1 000, в наличии 500 мест).</w:t>
      </w:r>
    </w:p>
    <w:p w14:paraId="1EEDF7D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Закончено строительство свинарника на 100 мест, и в процессе строительства находится два свинарника на 100 мест. Для полного обеспечения плана поставки свиней на откорм необходимо форсировать строительство дополнительно трех свинарников. По птицеоткорму идет строительство птичника на 1 000 голов, оформлено получение птицы, которые по окончании строительства будут поставлены на откорм.</w:t>
      </w:r>
    </w:p>
    <w:p w14:paraId="2A4AD7E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Заводом организована охотничья бригада в составе 50 человек по отстрелу водоплавающей птицы, обеспеченная охотобоеприпасами с заданием по отстрелу 4 500 штук дичи. По состоянию на 20 мая отстреляно всего лишь 500 штук дичи. Столь низкое выполнение плана объясняется тем, что все без исключения охотники являются любителями и никогда не занимались промысловой охотой.</w:t>
      </w:r>
    </w:p>
    <w:p w14:paraId="144A04C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области рыбной ловли заводом организована и направлена в район бригада, состоящая из 12 человек. По данным на 28 мая выловлено 20 центнеров рыбы. Использование отведенных водоемов в Оби и дополнительная посылка бригад в районы тормозится отсутствием рыболовной снасти.</w:t>
      </w:r>
    </w:p>
    <w:p w14:paraId="76A6E95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&lt;...&gt;</w:t>
      </w:r>
    </w:p>
    <w:p w14:paraId="7C518EC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Охотники и рыбаки лодками обеспечены полностью. Строительство лодок налажено в одном из цехов завода.</w:t>
      </w:r>
    </w:p>
    <w:p w14:paraId="5FDF7E1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рыбной ловли и перевозки продуктов в районах области, расположенных на реках, изготавливаются и в первой половине июня месяца будут закончены три катера, грузоподъемностью 75 тонн, 50 тонн и 10 тонн.</w:t>
      </w:r>
    </w:p>
    <w:p w14:paraId="1BF47CA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для улучшения общественного питания и создания прочной дополнительной продовольственной базы за счет подсобного хозяйства завод нуждается в оказании практической помощи по укомплектованию квалифицированными кадрами новых столовых и подсобного хозяйства, оборудованием столовых посудой и спецодеждой, в выделении оружия и снастей рыболовства, бочковой тары, кормов для откорма животных до получения кормов собственного урожая.</w:t>
      </w:r>
    </w:p>
    <w:p w14:paraId="0D5E5BF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завода № 153 имени В.П. Чкалова Романов</w:t>
      </w:r>
    </w:p>
    <w:p w14:paraId="77FB225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планового отдела</w:t>
      </w:r>
      <w:r w:rsidRPr="008127F8">
        <w:rPr>
          <w:rFonts w:ascii="Times New Roman" w:hAnsi="Times New Roman"/>
          <w:color w:val="000000" w:themeColor="text1"/>
          <w:sz w:val="16"/>
          <w:szCs w:val="16"/>
        </w:rPr>
        <w:tab/>
        <w:t>Маслов</w:t>
      </w:r>
    </w:p>
    <w:p w14:paraId="786251D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ГАНО. Ф. П-22. Оп. 3. Д. 1228. Л. 99-105. Подлинник.</w:t>
      </w:r>
    </w:p>
    <w:p w14:paraId="6EEB130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Две подписи-автографа. Дата под документом: «7 июня 1942 года». Документ отправлен в обком ВКП(б) 9 июня 1942 г. (20591).</w:t>
      </w:r>
    </w:p>
    <w:p w14:paraId="4B44DC1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BBD1AC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июня 1942 года Приказом НКАП № 424 завод № 41 был переведен на площадку завода № 451, ранее принадлежащую эвакуированному заводу № 20 (основанному в 1930 году по выпуску агрегатов для авиамоторов).</w:t>
      </w:r>
    </w:p>
    <w:p w14:paraId="10B920C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завод перебазировался на указанную площадку и окончательно был организован под продукцию авиамоторов.</w:t>
      </w:r>
    </w:p>
    <w:p w14:paraId="292A6B8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выпуска серийных моторов, завод был обязан производить ремонт моторов М-62 и М-11, присылаемых с фронта.</w:t>
      </w:r>
    </w:p>
    <w:p w14:paraId="5B6AC9B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4 квартала 1946 года завод продолжал выпуск серийных моторов.</w:t>
      </w:r>
    </w:p>
    <w:p w14:paraId="2ACA595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приказа МАП от 1 августа 1946 года за № 414сс, в соответствии с постановлением СМ за № 1409-622сс, завод № 41 с октября 1946 года был реорганизован в опытный завод для производства газотурбинных двигателей конструкции Уварова.</w:t>
      </w:r>
    </w:p>
    <w:p w14:paraId="2FD3085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1948 году решением СМ от 12 июня 1948 года и приказом МАП, завод из опытных переведен в число серийных заводов по выпуску разных агрегатов для авиамоторов.</w:t>
      </w:r>
    </w:p>
    <w:p w14:paraId="4DF4F8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А-130, п/я 198</w:t>
      </w:r>
    </w:p>
    <w:p w14:paraId="49E2DE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МАП № 662сс от 6 августа 1949 года, завод был реконструирован для производства по выпуску стрелково-пушечного вооружения (Звезда) на самолет ТУ-4 (9584).</w:t>
      </w:r>
    </w:p>
    <w:p w14:paraId="1F90C88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68D2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июня 1942 г. по приказу № 424с для более целесообразного использования площадей завод № 41 (Завод № 41 НКАП, МАП, МОП, Московский машиностроительный завод (ММЗ), НПО, ММПО «Авангард», ГП, ОАО «ММЗ «Авангард» / г. Москва ул. Авиамоторная, 2 (1942 г.); Старопетровский пр., 41 (1947 г.)/ /125130  г. Москва ул. Клары Цеткин, 33 тел. 450-97-55/) был переведен со всем оборудованием, материалами и личным составом на площадку эвакуированного завода № 20 НКАП (Старопетровский проезд, возле ст. Братцево Московской окружной ж/д).</w:t>
      </w:r>
    </w:p>
    <w:p w14:paraId="20692F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Осуществлялся ремонт моторов М-25, М-62, М-63, М-11. В 07.1942 г. все ремонтные работы переданы вновь образованным ремонтным мастерским ЦИАМ. Производство модификаций двигателя М-11. В послевоенные годы изготавливались стрелковые установки ПВ-23 для Ту-4, агрегаты для двигателей Л.С. Душкина и М.М. Бондарюка, производилось много ширпотреба.</w:t>
      </w:r>
    </w:p>
    <w:p w14:paraId="7E6017F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1944 г. гл. конструктором завода назначен Е.В. Урмин для проведения работ по доводке и модернизации мотора М-11.</w:t>
      </w:r>
    </w:p>
    <w:p w14:paraId="478572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НКАП № 146с от 26.02.1944 г. из  г. Андижана на завод № 41 переведено ОКБ завода № 154 НКАП.</w:t>
      </w:r>
    </w:p>
    <w:p w14:paraId="65816D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62с от 14.02.1945 г. на завод возложена организация выпуска опытной серии моторов МБ-8 конструкции С.С. Баландина. Для сопровождения этих работ на завод из ЦИАМ командирована группа из пяти конструкторов во главе с начальником Спецсектора ЦИАМ С.С. Баландиным. Далее, для продолжения работ в 08.1946п на заводе № 500 МАП сформировано ОКБ гл. конструктора С.С. Баландина.</w:t>
      </w:r>
    </w:p>
    <w:p w14:paraId="3145EF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образованием при заводе ОКБ гл. конструктора В.В. Уварова по приказу № 414сс от 1.07.1946 г. завод № 41 преобразован в Опытный завод газотурбинных двигателей и передан с 1.10.1946 г. из ЗГУ в 8ГУ. В связи с этим производство моторов М-11 передали на завод № 154 МАП. С 1.07.1948 г. завод передан из 8ГУ в 4ГУ, с 1.07.1949 г.- во 2ГУ МАП. Началась подготовка к производству стрелково-пушечного вооружения для Ту-4.</w:t>
      </w:r>
    </w:p>
    <w:p w14:paraId="6300E18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Двигателестроительный завод № 41 МАП с 31.12.1952 г. переведен на новую тематику - ракетостроение (как серийный завод), началась подготовка к выпуску ЗУР В-300. По распоряжению СМ СССР № 5633-рс от 28.03.1953 г. для расширения производства В-300 и освоения В-750 заводу был передан корпус соседнего Котельно-механического завода Минпищепрома.</w:t>
      </w:r>
    </w:p>
    <w:p w14:paraId="33D8D97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1.01.1953 г. передан из 2ГУ в 6ГУ МАП, с 10.07.1953 г. в связи с ликвидацией МАП - в 9ГУ (специальное) МОП, с 08.1953 г. - вновь в составе 6ГУ (специальное) вновь образованного МАП. С 1.04.1955 г. передан из 6ГУ в систему МОП (приказ № 268сс/оп от 19.04.1955 г.).</w:t>
      </w:r>
    </w:p>
    <w:p w14:paraId="211AEF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1960-х  г. на заводе группой специалистов под руководством гл. инженера А.В. Малютина разработана собственная опытная модификация одной из серийных ЗУР- изд. «59».</w:t>
      </w:r>
    </w:p>
    <w:p w14:paraId="216AF8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Создана ГСН для ККР «Дракон» П-15.</w:t>
      </w:r>
      <w:r w:rsidRPr="008127F8">
        <w:rPr>
          <w:rFonts w:ascii="Times New Roman" w:hAnsi="Times New Roman"/>
          <w:color w:val="000000" w:themeColor="text1"/>
          <w:sz w:val="16"/>
          <w:szCs w:val="16"/>
          <w:vertAlign w:val="superscript"/>
        </w:rPr>
        <w:t>58</w:t>
      </w:r>
    </w:p>
    <w:p w14:paraId="1FC389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1966 г. началась подготовка к производству противоракет А-350Ж, с 1980 г.- к производству А-925.</w:t>
      </w:r>
    </w:p>
    <w:p w14:paraId="2B7E8E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1963 г.- ММЗ «Авангард, затем- НПО «Авангард». В состав НПО «Авангард» входили филиал в  г. Гомеле и филиал в  г. Торжке (Торжокский завод металлоизделий).</w:t>
      </w:r>
    </w:p>
    <w:p w14:paraId="312CA0C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1950-е-60-е  г. на заводе действовал филиал ОКБ-2 (МКБ «Факел»),</w:t>
      </w:r>
    </w:p>
    <w:p w14:paraId="1820F6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01.1967 г. на базе ОГК создано ОКБ завода «Авангард».</w:t>
      </w:r>
    </w:p>
    <w:p w14:paraId="43AD5C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1980-х  г. разработана конструкция ТПК 81Р6 для противоракеты А-925, спроектировано и изготовлено технологическое оснащение для производства стеклопластиковых ТПК.</w:t>
      </w:r>
    </w:p>
    <w:p w14:paraId="6CB61D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10.2002 г. предприятие акционировано и преобразовано в ОАО «ММЗ «Авангард». ММЗ «Авангард» входил в концерн «Алмаз-Антей» (2003 г.). По решению правительства № 22-р от 9.01.2004 г. и Указу Президента РФ № 1009 от 4.08.2004 г. ОАО вошло в число стратегических оборонных предприятий.</w:t>
      </w:r>
    </w:p>
    <w:p w14:paraId="2188AC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(2002 г.): авиационные импульсные механизмы; оборудование для АПК и текстильной промышленности.</w:t>
      </w:r>
      <w:r w:rsidRPr="008127F8">
        <w:rPr>
          <w:rFonts w:ascii="Times New Roman" w:hAnsi="Times New Roman"/>
          <w:color w:val="000000" w:themeColor="text1"/>
          <w:sz w:val="16"/>
          <w:szCs w:val="16"/>
          <w:vertAlign w:val="superscript"/>
        </w:rPr>
        <w:t>69</w:t>
      </w:r>
    </w:p>
    <w:p w14:paraId="133D043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 г.)- А.П. Богданов, (-07.1942-05.1943 г.-)- А.С. Кочедыков, (09.1943-04.1946 г.)- Н.Ф. Казаков. (04.1946-02.1948 г.-)- А.Т. Завитаев, (-1950 г.)- Ю.А. Мизюров, (1950-53 г.)- И.А. Лихачев, (1953-75 г.)- А.Я. Секачев. Гендиректор (1975-2000 г.)- В.П. Пасько, (2000-03 г.)- Л.А. Брюханов, (05.2003-05 г.-)-  Г.В. Кожин.</w:t>
      </w:r>
    </w:p>
    <w:p w14:paraId="26D803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(1942 г.-)- М.Л. Кононенко, (1946 г.)- Размат, (1953-69 г.)- А.В. Малютин, (1980-е)- Р.Х. Каримов.</w:t>
      </w:r>
    </w:p>
    <w:p w14:paraId="481B99A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(1944-46 г.)- Е.В. Урмин, (1948-49 г.)- В.В. Уваров, (2004 г.)- Н.Н. Ермолов.</w:t>
      </w:r>
    </w:p>
    <w:p w14:paraId="65E26D7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(1942 г.-)- А.И. Березин.</w:t>
      </w:r>
    </w:p>
    <w:p w14:paraId="3A8F3BB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инженера (1980-е-2004 г.-)- М.М. Яковлев.</w:t>
      </w:r>
    </w:p>
    <w:p w14:paraId="23F387A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(1980-е)- Н.И. Якунченков, (1980-е)- Н.Н. Ермолов.</w:t>
      </w:r>
    </w:p>
    <w:p w14:paraId="50A7917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кузнечно-литейного- Я.И. Гаврилов; (1960-е)- В.В. Игнатов.</w:t>
      </w:r>
    </w:p>
    <w:p w14:paraId="478387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Зам. начальника цеха: агрегатного (1960-е)- Л.П. Афонин.</w:t>
      </w:r>
    </w:p>
    <w:p w14:paraId="1BEC3F5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пластмасс- П.В. Гулянский; КИС (1960-е)- М.М. Яковлев.</w:t>
      </w:r>
    </w:p>
    <w:p w14:paraId="5147D16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начальника отдела: (1960-е)- Е.Я. Ааронов.</w:t>
      </w:r>
    </w:p>
    <w:p w14:paraId="4B39A8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бюро: технологического (-1948 г.)- Я.И. Гаврилов.</w:t>
      </w:r>
    </w:p>
    <w:p w14:paraId="7DFA4ED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моторы М-11 (1942), М-11Д (1943-46), М-11ФН (1945-46);</w:t>
      </w:r>
    </w:p>
    <w:p w14:paraId="06AE6E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ЗУР: В-300 («205», 1953-54), «207» (1954-56), МКР «Буря» (1956), В-755 («1Д», 1956-58), В-750ВН (1958-61). В-755 (I960-), «20Д», ЗУР 500Р, 5В55 для С-300П (1970-е), 48Н6 для С-300ПМ; противоракеты: А-350Ж для А- 35 (5В61, 1973-), А-350Р (5В61Р, -1983), А-925 (5</w:t>
      </w:r>
      <w:r w:rsidRPr="008127F8">
        <w:rPr>
          <w:rFonts w:ascii="Times New Roman" w:hAnsi="Times New Roman"/>
          <w:color w:val="000000" w:themeColor="text1"/>
          <w:sz w:val="16"/>
          <w:szCs w:val="16"/>
          <w:lang w:val="en-US"/>
        </w:rPr>
        <w:t>IT</w:t>
      </w:r>
      <w:r w:rsidRPr="008127F8">
        <w:rPr>
          <w:rFonts w:ascii="Times New Roman" w:hAnsi="Times New Roman"/>
          <w:color w:val="000000" w:themeColor="text1"/>
          <w:sz w:val="16"/>
          <w:szCs w:val="16"/>
        </w:rPr>
        <w:t>6, 1980-), 53Т6 для А-135 (1990-92); стартовый ускоритель СУМ (опытный, 1950-е); мишени «Синица», «Коршун», «Бекас»;</w:t>
      </w:r>
      <w:r w:rsidRPr="008127F8">
        <w:rPr>
          <w:rFonts w:ascii="Times New Roman" w:hAnsi="Times New Roman"/>
          <w:color w:val="000000" w:themeColor="text1"/>
          <w:sz w:val="16"/>
          <w:szCs w:val="16"/>
          <w:vertAlign w:val="superscript"/>
        </w:rPr>
        <w:t>101</w:t>
      </w:r>
      <w:r w:rsidRPr="008127F8">
        <w:rPr>
          <w:rFonts w:ascii="Times New Roman" w:hAnsi="Times New Roman"/>
          <w:color w:val="000000" w:themeColor="text1"/>
          <w:sz w:val="16"/>
          <w:szCs w:val="16"/>
        </w:rPr>
        <w:t xml:space="preserve"> ТПК 81Р6 для А-925 (1980-е) (11982).</w:t>
      </w:r>
    </w:p>
    <w:p w14:paraId="6CC9AF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61781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июня 1942 г. для более целесообразного использования площадей по приказу НКАП № 424с завод № 41 был переведен со всем оборудованием, материалами и личным составом на площадку эвакуированного завода № 20 НКАП (Старопетровский проезд) (10776).</w:t>
      </w:r>
    </w:p>
    <w:p w14:paraId="0647D9C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796FB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июня 1942 года на основании приказа НКАП № 424с от № 451 перебазировался на территорию бывш. завода № 132 НКАП, где и помещается.</w:t>
      </w:r>
    </w:p>
    <w:p w14:paraId="06BFBEF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 Сперанский</w:t>
      </w:r>
    </w:p>
    <w:p w14:paraId="050CAF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Ядро завода имеет свое начало как “Промвоздухмастерские № 4”. В 1929 году мастерские были переименованы в завод № 1 ВВС. В 1930-1933 гг. гл. продукцией завода была “ветрянка” – ветродвигатель для вращения маломощной динамомашины, которая монтировалась в крыльях самолетов.</w:t>
      </w:r>
    </w:p>
    <w:p w14:paraId="52B71D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1933 году завод был передан в ГУАП НКТП под № 132.</w:t>
      </w:r>
    </w:p>
    <w:p w14:paraId="55EE8FF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Москва, Бутырская ул., д. 56</w:t>
      </w:r>
    </w:p>
    <w:p w14:paraId="3C16CB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октябре 1941 года завод № 132 был эвакуирован в Сим Челябинской области (9614).</w:t>
      </w:r>
    </w:p>
    <w:p w14:paraId="519850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666EC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июня 1942 г. по приказу № 424с в целях более целесообразного использования площадей завод № 451 (Завод № 451 НКАП, МАП, Московский машиностроительный завод (ММЗ) «Знамя», ОАО «ММЗ «Знамя» /г. Москва Старопетровский пр-д/ /127015  г. Москва ул. Б. Новодмитровская, 23 тел. 685-67-92/) (и филиал завода № 25 НКАП) со всем оборудованием, личным составом и материалами переведен на площадку бывшего завода № 132 НКАП (вместо завода № 41).</w:t>
      </w:r>
    </w:p>
    <w:p w14:paraId="03B526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453с от 30.07.1943 г. на площадке завода № 451 организован филиал ОКБ завода № 20, далее это ОКБ-451.</w:t>
      </w:r>
    </w:p>
    <w:p w14:paraId="5793FF8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1943 г. часть работников переведена на вновь образованный завод № 135 в Харьков.</w:t>
      </w:r>
    </w:p>
    <w:p w14:paraId="63BDD8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206сс от 21.03.1944 г. для укрепления производства на завод переведено большое количество станков, рабочих и ИТР (всего около 300 чел.) с заводов № 132 и № 266 НКАП. В 1946 г. заводу поставлено 709 трофейных металлорежущих станков.</w:t>
      </w:r>
    </w:p>
    <w:p w14:paraId="05228C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 713-342 от 26.06.1957 г. передан в ведение СНХ РСФСР.</w:t>
      </w:r>
    </w:p>
    <w:p w14:paraId="1976E77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1970-х  г. завод вошел в ПО «Знамя революции». По решению правительства № 22-р от 9.01.2004 г. и Указу Президента РФ № Ю09 от 4.08.2004 г. вошло в число стратегических оборонных предприятий. Затем завод продан ИК «Росбилдинг», в 2009 г. входил в состав </w:t>
      </w:r>
      <w:r w:rsidRPr="008127F8">
        <w:rPr>
          <w:rFonts w:ascii="Times New Roman" w:hAnsi="Times New Roman"/>
          <w:color w:val="000000" w:themeColor="text1"/>
          <w:sz w:val="16"/>
          <w:szCs w:val="16"/>
          <w:lang w:val="en-US"/>
        </w:rPr>
        <w:t>AEONCorporation</w:t>
      </w:r>
      <w:r w:rsidRPr="008127F8">
        <w:rPr>
          <w:rFonts w:ascii="Times New Roman" w:hAnsi="Times New Roman"/>
          <w:color w:val="000000" w:themeColor="text1"/>
          <w:sz w:val="16"/>
          <w:szCs w:val="16"/>
        </w:rPr>
        <w:t>.</w:t>
      </w:r>
    </w:p>
    <w:p w14:paraId="019AD6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топливорегулирующая аппаратура (центробежные регуляторы, насосы, компрессоры, гидродвигатели для ГТД, космической техники). Единственный в России производитель гидронасосов для авиационных ГТД (2004 г.).</w:t>
      </w:r>
    </w:p>
    <w:p w14:paraId="2C16CE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Имеет термическое и литейное производство, испытательные стенды.</w:t>
      </w:r>
    </w:p>
    <w:p w14:paraId="01FC8B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г.)-1100 чел.</w:t>
      </w:r>
    </w:p>
    <w:p w14:paraId="50799C1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(-01-04.1943 г.-)- П.И. Герасимов, (1944-46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xml:space="preserve">. Лурье, (1949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xml:space="preserve">. Бриль,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Ивайкин (или завода № 132), П.И. Герасимов, П.Е. Хачатурян, (середина 1950-х- 1963 г.)- В.А. Сперанский, А. Г. Солдатов, В.П. (11982).</w:t>
      </w:r>
    </w:p>
    <w:p w14:paraId="646547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73FFD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7 июня по 15 июля 1942 г. в аэродинамической трубе Т-104 провели исследования по уменьшению лобового сопротивления штатного РО-82 и РС-82. В ходе экспериментов натурные образцы РО и РС устанавливали под углом 3° к хорде, каждое РО подвешивали индивидуально. К РО спроектировали два обтекателя. Первый представлял собой общий кожух, закрывающий РО и два болта его крепления к крылу. Второй состоял из двух половин, закрывающих установочные болты РО и планки, а также все выступающие детали направляющей. Передней и концевой частям направляющей придали обтекаемую форму. 85 Реактивные снаряды РС-82 Штатные РО-82 в аэродинамической трубе Т-104 Обтекатель № 1 снизил лобовое сопротивление РО на 70%. Обтекатель № 2 практически не уменьшил его. Установка же с обтекателями № 1 по измененной схеме подвески (с РО, смещенными на 100 мм вперед и на 20 мм вверх) снизили лобовое сопротивление РО на 82%. Величина сопротивления РС на РО при этом (даже после уменьшения зазора между боеприпасом и крылом носителя на 20 мм) практически не изменилась. Благодаря обтекателям, расчетное падение максимальной скорости истребителей Як-1, Як-7, ЛаГГ-3 и МиГ-3 при наличии шести РО-82 новой конструкции должно было составить 5—6 км/ч, а с доработанными обтекателями всего 3—4 км/ч (вместо 16—20 км/ч у РО прежних моделей без обтекателей). При наличии РС на пусковых, эти показатели возрастали до 13.5—16 км/ч и 11.5-13.5 км/ч (вместо прежних 25—30 км/ч) соответственно. На штурмовиках Ил-2 падение максимальной скорости составляло 20—26 км/ч при наличии четырех РО прежней конструкции без обтекателей, заряженных РС-132. Обтекатели к РО были просты в изготовлении и не требовали изменять конструкцию орудия или крыла, поэтому их признали пригодными для установки на существующих машинах, рекомендуя изготавливать пустотелыми металлическими или деревянными (фанерными) с металлическим носком. При этом крепления обтекателей должны были позволять быстро их демонтировать для заряжания пиропистолетов и ставить на место.</w:t>
      </w:r>
    </w:p>
    <w:p w14:paraId="2929CF5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40505D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июня 1942 ГКО поручил ГУ ГВФ организовать регулярное воздушное сообщение с Ираном и выделить штат специалистов для обслуживания этой линии. 2680 км. Полеты выполняли экипажи Московской авиагруппы ГВФ ОН (7485, 26).</w:t>
      </w:r>
    </w:p>
    <w:p w14:paraId="0FBDE7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75E7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5D2DB3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5267B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июня 1942 г. приказом НКМВ № 250с в соответствии с пост. СНК № 837-430сс от 3.06.1942 г. Экскаваторный завод НКМВ, созданный на базе эвакуированного оборудования заводов: им. Ворошилова ( г. Ростов- на-Дону) и симферопольского им. Куйбышева, переименован в завод № 712 в ведении 2ГУ (Завод № 712 НКМВ, Экскаваторный завод НКМВ /Азербайджан  г. Баку/) (11982).</w:t>
      </w:r>
    </w:p>
    <w:p w14:paraId="1D617AA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AA06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июня 1942г. по приказу НКМВ № 203сс с Златоустовского часового завода в Москву на 1-й и 2-й часовые заводы возвращено 30 станков. В соответствии с пост. СНК № 837-430сс от 3.06.1942г. и приказом НКМВ № 250с от 7.07.1942г. 4-й часовой завод НКМВ переименован в завод № 834 в ведении 5ГУ (Завод № 834 НКМВ, Златоустовский часовой завод НКМВ, ММиП, 4-й часовой завод НКМВ, ОАО «Златоустовский часовой завод» /456200 г. Златоуст Челябинской обл. ул. Ленина, 2 п/я 62 «Баланс» (1948г.)/).</w:t>
      </w:r>
      <w:r w:rsidRPr="008127F8">
        <w:rPr>
          <w:rFonts w:ascii="Times New Roman" w:hAnsi="Times New Roman"/>
          <w:color w:val="000000" w:themeColor="text1"/>
          <w:sz w:val="16"/>
          <w:szCs w:val="16"/>
          <w:vertAlign w:val="superscript"/>
        </w:rPr>
        <w:t>129</w:t>
      </w:r>
    </w:p>
    <w:p w14:paraId="78D65C1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годы войны выпущено более 300 тыс. приборов времени (92% танковых и 98% авиационных часов) и более 14 млн. деталей боеприпасов.</w:t>
      </w:r>
    </w:p>
    <w:p w14:paraId="52970E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1947-48г. Златоустовский часовой завод - в ведении Главчаспрома ММиП.</w:t>
      </w:r>
    </w:p>
    <w:p w14:paraId="0807ED6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предприятия цехи (1947г.): основные: механический № 1,2, гшатино-мостовой № 4, сборочный № 8, 9-й, корпусной № 5, термическое отделение; вспомогательные: ремонтно-механический № 7, инструментальный № 6, котельная, компрессорная.</w:t>
      </w:r>
    </w:p>
    <w:p w14:paraId="332C4B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завод переведен на выпуск гражданской продукции. В 1950-е г. освоен выпуск часов для слепых, курвиметров, карманных часов, автомобильных, реле времени для стиральных машин. В 1960-е г. налажен выпуск секундомеров суммирующего действия. В 1970-е г. начат выпуск таймера, был разработан и внедрен в производство один из первых в СССР электронный секундомер с цифровой индексацией; на его базе создан счетчик частоты дыхания и пульса. В 1980-е г. был разработан новый противоударный секундомер, 30-минутное реле времени. Затем освоен выпуск переключателя к электроплитам.</w:t>
      </w:r>
    </w:p>
    <w:p w14:paraId="456ADC4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(2000-е): секундомеры механические (единственный завод в России), часы, курвиметры, реле времени, переключатели мощности.</w:t>
      </w:r>
    </w:p>
    <w:p w14:paraId="2F918D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оборудования: (1946г.)- 717 ед., (1947г.)- 517 ед.</w:t>
      </w:r>
    </w:p>
    <w:p w14:paraId="7DF4DF5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территории (1947г.)-1,44 га; застройки (1947г.)- 4262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производственная (1946-47г.)-</w:t>
      </w:r>
    </w:p>
    <w:p w14:paraId="36280C7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3238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39738D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(1946г.)- 1147 чел., (1947г.)- 1123 чел.</w:t>
      </w:r>
    </w:p>
    <w:p w14:paraId="210622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(06-07.1942г.)- Бочаров, (1948г.)- Печенов.</w:t>
      </w:r>
    </w:p>
    <w:p w14:paraId="035A41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(1948г.)- Пушкин.</w:t>
      </w:r>
    </w:p>
    <w:p w14:paraId="3899A3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 часы:</w:t>
      </w:r>
      <w:r w:rsidRPr="008127F8">
        <w:rPr>
          <w:rFonts w:ascii="Times New Roman" w:hAnsi="Times New Roman"/>
          <w:color w:val="000000" w:themeColor="text1"/>
          <w:sz w:val="16"/>
          <w:szCs w:val="16"/>
        </w:rPr>
        <w:t xml:space="preserve"> авиационные АЧХО (ВОВ), АЧХ (1947); карманные К-43, молн. К-36, каминные, ТЧ (1947), настольные ЧБН-160 (] 980-е); секундомер </w:t>
      </w:r>
      <w:r w:rsidRPr="008127F8">
        <w:rPr>
          <w:rFonts w:ascii="Times New Roman" w:hAnsi="Times New Roman"/>
          <w:color w:val="000000" w:themeColor="text1"/>
          <w:sz w:val="16"/>
          <w:szCs w:val="16"/>
          <w:lang w:val="en-US"/>
        </w:rPr>
        <w:t>CM</w:t>
      </w:r>
      <w:r w:rsidRPr="008127F8">
        <w:rPr>
          <w:rFonts w:ascii="Times New Roman" w:hAnsi="Times New Roman"/>
          <w:color w:val="000000" w:themeColor="text1"/>
          <w:sz w:val="16"/>
          <w:szCs w:val="16"/>
        </w:rPr>
        <w:t xml:space="preserve"> (1947);</w:t>
      </w:r>
      <w:r w:rsidRPr="008127F8">
        <w:rPr>
          <w:rFonts w:ascii="Times New Roman" w:hAnsi="Times New Roman"/>
          <w:color w:val="000000" w:themeColor="text1"/>
          <w:sz w:val="16"/>
          <w:szCs w:val="16"/>
          <w:vertAlign w:val="superscript"/>
        </w:rPr>
        <w:t>129</w:t>
      </w:r>
      <w:r w:rsidRPr="008127F8">
        <w:rPr>
          <w:rFonts w:ascii="Times New Roman" w:hAnsi="Times New Roman"/>
          <w:color w:val="000000" w:themeColor="text1"/>
          <w:sz w:val="16"/>
          <w:szCs w:val="16"/>
        </w:rPr>
        <w:t xml:space="preserve"> счетчик частоты дыхания и пульса СДП-70 (1970- е); реле времени циклическое РВЦ (1980-е) (11982).</w:t>
      </w:r>
    </w:p>
    <w:p w14:paraId="792C6C7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492DE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A71C9E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5BB9D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lastRenderedPageBreak/>
        <w:t>7 июня</w:t>
      </w:r>
      <w:r w:rsidRPr="008127F8">
        <w:rPr>
          <w:rFonts w:ascii="Times New Roman" w:hAnsi="Times New Roman"/>
          <w:color w:val="000000" w:themeColor="text1"/>
          <w:sz w:val="16"/>
          <w:szCs w:val="16"/>
        </w:rPr>
        <w:t xml:space="preserve"> в 1942 году утреннее сообщение Совинформбюро:</w:t>
      </w:r>
    </w:p>
    <w:p w14:paraId="1BF4A6C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7 июня на фронте существенных изменений не произошло.</w:t>
      </w:r>
    </w:p>
    <w:p w14:paraId="13ADD81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за два дня боевых действий уничтожили свыше 300 немецких солдат и офицеров, 5 пулемётных точек и разрушили 10 блиндажей и землянок противника.</w:t>
      </w:r>
    </w:p>
    <w:p w14:paraId="0F4790A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пехота противника пыталась атаковать нашу стрелковую часть. Огнём артиллерии и миномётов атака противника была отбита. Гитлеровцы отступили, понеся тяжёлые потери.</w:t>
      </w:r>
    </w:p>
    <w:p w14:paraId="4784DCD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Немецкие автоматчики атаковали боевое охранение одной нашей части (Юго-Западный фронт). Молодые бойцы-казахи т.т. Усманов и Макселинов вместе сгруппой бойцов бросились в рукопашную схватку с врагом. В штыковом бою уничтожено свыше 60 немецких автоматчиков.</w:t>
      </w:r>
    </w:p>
    <w:p w14:paraId="4F17ED5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штурмовиков под командованием гвардии майора тов. Зуба (Южный фронт) совершила успешный налёт на вражеский аэродром. Наши лётчики уничтожили на аэродроме 22 и повредили 29 немецких самолётов.</w:t>
      </w:r>
    </w:p>
    <w:p w14:paraId="63F9951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Снайперы Энской части т.т. Косынбеков, Гринь, Пантелеев, Панафенко и Сайганов под руководством лейтенанта Ногина уничтожили 225 немецко-фашистских оккупантов.</w:t>
      </w:r>
    </w:p>
    <w:p w14:paraId="78D8CBA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время контратаки на занятое нашими частями село фашисты подожгли дом, в котором находилось 25 раненых красноармейцев. Сандружинница А. Кудряшёва под огнём противника вынесла всех раненых бойцов. За самоотверженную работу и спасение раненых бойцов тов. Кудряшёва награждена орденом Красной Звезды.</w:t>
      </w:r>
    </w:p>
    <w:p w14:paraId="30097FA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орловских партизан из отряда, где командиром тов. И., пустила под откос эшелон с немецкой кавалерией. Разбито 37 вагонов. Уничтожено 300 гитлеровцев.</w:t>
      </w:r>
    </w:p>
    <w:p w14:paraId="7773670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выдержки из дневника немецкого ефрейтора санитара, фамилию которого установить не удалось:</w:t>
      </w:r>
    </w:p>
    <w:p w14:paraId="2143B82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апреля. Слева от нас начался настоящий ад. Сильнейшийогонь орудий всех калибров и взрывы бомб.</w:t>
      </w:r>
    </w:p>
    <w:p w14:paraId="3DFC96E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апреля.Только до полудня было 3 убитых и 20 раненых.</w:t>
      </w:r>
    </w:p>
    <w:p w14:paraId="1E35AA2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мая. Опять большие потери: убитых— 7, раненых — 38.</w:t>
      </w:r>
    </w:p>
    <w:p w14:paraId="0BCD87A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мая. Потери за этот день составляют 13 убитых, 47 раненых. Лейтенант Миллер из 2 роты убит...</w:t>
      </w:r>
    </w:p>
    <w:p w14:paraId="66D9608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мая. Рудольф Фрайер смертельно ранен в голову. Убит также командир 2 роты. Все офицеры второй роты погибли. Наши потери растут. Всего задень 60 раненых. Обвалились 2 блиндажа. В маленькой деревушке Тур мы потеряли свыше 400 человек. Это жуткая история. В деревушке около 30 домов...</w:t>
      </w:r>
    </w:p>
    <w:p w14:paraId="3C587BC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мая. Я вынес из-под огня 5 раненых. Двое убито: лейтенант и унтер-офицер. На участке в двести метров — 18 раненых».</w:t>
      </w:r>
    </w:p>
    <w:p w14:paraId="299224C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Многие иностранные рабочие покидают предприятия Германии и пытаются тайно пробраться на родину. К этому их вынуждают каторжные условия труда, голод и издевательства гитлеровцев. В течение мая с машиностроительного завода, находящегося близ Берлина, сбежало свыше 100 рабочих итальянцев, венгров и французов. Часть из них по дороге была схвачена заградительными отрядами и брошена в концлагерь.</w:t>
      </w:r>
    </w:p>
    <w:p w14:paraId="66993D0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Выполнив государственный план сева яровых культур, колхозы Армении продолжают сверхплановый сев. Только 300 колхозов республики засеяли техническими и зерновыми культурами в фонд обороны тысячу пятьсот гектаров.» (14915).</w:t>
      </w:r>
    </w:p>
    <w:p w14:paraId="1FC64C5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56BA4E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7 июня</w:t>
      </w:r>
      <w:r w:rsidRPr="008127F8">
        <w:rPr>
          <w:rFonts w:ascii="Times New Roman" w:hAnsi="Times New Roman"/>
          <w:color w:val="000000" w:themeColor="text1"/>
          <w:sz w:val="16"/>
          <w:szCs w:val="16"/>
        </w:rPr>
        <w:t xml:space="preserve"> в 1942 году вечернее сообщение Совинформбюро:</w:t>
      </w:r>
    </w:p>
    <w:p w14:paraId="5DA2496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7 июня на некоторых участках фронта имели место бои местного значения и активные действия разведывательных отрядов.</w:t>
      </w:r>
    </w:p>
    <w:p w14:paraId="35E798B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Севастопольском участке фронта уже третий день идут серьёзные бои. Атаки противника с успехом отбиваются с большими потерями для противника.</w:t>
      </w:r>
    </w:p>
    <w:p w14:paraId="10DA6E3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истекшую неделю с 31 мая по 6 июня включительно уничтожено 528 немецких самолётов. Наши потери за это же время—151 самолёт.</w:t>
      </w:r>
    </w:p>
    <w:p w14:paraId="26C2DD4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6 июня частями нашей авиации на различных участках фронта уничтожено или повреждено 10 немецких танков, 60 автомашин с войсками и грузами, 3 зенитных орудия, 4 паровоза, подавлен огонь двух артиллерийских и одной миномётной батарей, рассеяно и частью уничтожено до 3 рот пехоты противника.</w:t>
      </w:r>
    </w:p>
    <w:p w14:paraId="1CAF56C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под командованием тов. Евдокимова (Северо-Западный фронт) отбили атаку противника, а затем стремительным ударом при поддержке танков выбили немцев из двух населённых пунктов. Разгромлено два батальона противника, в том числе сводный «добровольческий легион», состоявший из авантюристов, завербованных немцами в Дании. Захвачены пленные и трофеи.</w:t>
      </w:r>
    </w:p>
    <w:p w14:paraId="0DA0679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последних дней бойцы части под командованием тов. Пиунова (Калининский фронт) вели бои с противником. Немцы потеряли убитыми свыше 700 солдат и офицеров.</w:t>
      </w:r>
    </w:p>
    <w:p w14:paraId="5DB38D4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Брянского фронта наши бойцы захватили у противника 3 станковых пулемёта, 3 миномёта, 40.000 патронов, 3.500 мин, продовольственный и вещевой склады. Взяты пленные. На поле боя осталось 450 трупов гитлеровцев.</w:t>
      </w:r>
    </w:p>
    <w:p w14:paraId="4C40EE0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Артиллерийская часть под командованием тов. Тихомирова за месяц боевых действий разрушила 16 немецких ДЗОТов и блиндажей, уничтожила 20 автомашин, подавила огонь 2 артиллерийских и 4 миномётных батарей и уничтожила не менее 200 немецких солдат и офицеров.</w:t>
      </w:r>
    </w:p>
    <w:p w14:paraId="71F89D0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Ленинградские партизаны под командованием тов. В. в течение месяца уничтожили до 2.000 оккупантов, 18 немецких танков, 2 бронемашины, взорвали 6 складов сбоеприпасами, 4 склада с горючим, подорвали железнодорожный мост и пустили под откос 4 эшелона противника.</w:t>
      </w:r>
    </w:p>
    <w:p w14:paraId="69AD9DA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Перешедший на сторону Красной Армии солдат 8 финского пехотного полка П.сообщил следующее: «7 месяцев я прослужил в 50 пехотном полку. Однажды 3 батальон нашего полка отказался идти в наступление и самовольно оставил занимаемые позиции. В связи с этим полк был отведён в ближний тыл, и среди солдат произведены аресты. В декабре стало известно, что полк получил приказ выступить на фронт. Узнав об этом, свыше 100 солдат сбежало. Они предусмотрительно захватили с собой продовольствие и оружие. После этого события 50 полк был признан неблагонадёжным и расформирован. Меня направили в 8 полк, находившийся на передовых позициях. В апрельских боях русские нанесли нам сильные удары. Они разгромили первую роту и захватили всё её вооружение. На фронте я подобрал и спрятал несколько советских листовок, чтобы предъявить их при сдаче в плен. Вскоре меня назначили в разведку. Я сознательно отстал от своей группы и перешёл на сторону Красной Армии».</w:t>
      </w:r>
    </w:p>
    <w:p w14:paraId="4486678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Немецко-фашистские оккупанты истребляют население захваченных ими стран.Только за последние дни гитлеровцы расстреляли в Чехословакии свыше 300 человек за нарушение правил прописки по месту жительства. В польской деревне, находящейся неподалеку от Плоцка (Польша), немцы убили шесть крестьян за то, чтоони не сняли шапок перед гитлеровским офицером. Соседнюю деревню немцы сожгли дотла. Поводом к этой зверской расправе послужил отказ трёх крестьян поехать на принудительные работы в Германию.» (14915).</w:t>
      </w:r>
    </w:p>
    <w:p w14:paraId="733ED85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CFF9A0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июня 1942 немецкие войска начали наступление на Севастополь (4962).</w:t>
      </w:r>
    </w:p>
    <w:p w14:paraId="04C5504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A52A5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w:t>
      </w:r>
      <w:r w:rsidRPr="008127F8">
        <w:rPr>
          <w:rFonts w:ascii="Times New Roman" w:hAnsi="Times New Roman"/>
          <w:color w:val="000000" w:themeColor="text1"/>
          <w:sz w:val="16"/>
          <w:szCs w:val="16"/>
        </w:rPr>
        <w:t xml:space="preserve"> 7</w:t>
      </w:r>
      <w:r w:rsidRPr="008127F8">
        <w:rPr>
          <w:rFonts w:ascii="Times New Roman" w:hAnsi="Times New Roman"/>
          <w:color w:val="000000" w:themeColor="text1"/>
          <w:sz w:val="16"/>
          <w:szCs w:val="16"/>
          <w:lang w:val="en-US"/>
        </w:rPr>
        <w:t>th</w:t>
      </w:r>
      <w:r w:rsidRPr="008127F8">
        <w:rPr>
          <w:rFonts w:ascii="Times New Roman" w:hAnsi="Times New Roman"/>
          <w:color w:val="000000" w:themeColor="text1"/>
          <w:sz w:val="16"/>
          <w:szCs w:val="16"/>
        </w:rPr>
        <w:t xml:space="preserve">, 1942: </w:t>
      </w:r>
      <w:r w:rsidRPr="008127F8">
        <w:rPr>
          <w:rFonts w:ascii="Times New Roman" w:hAnsi="Times New Roman"/>
          <w:color w:val="000000" w:themeColor="text1"/>
          <w:sz w:val="16"/>
          <w:szCs w:val="16"/>
          <w:lang w:val="en-US"/>
        </w:rPr>
        <w:t>IntheEast</w:t>
      </w:r>
      <w:r w:rsidRPr="008127F8">
        <w:rPr>
          <w:rFonts w:ascii="Times New Roman" w:hAnsi="Times New Roman"/>
          <w:color w:val="000000" w:themeColor="text1"/>
          <w:sz w:val="16"/>
          <w:szCs w:val="16"/>
        </w:rPr>
        <w:t xml:space="preserve">, 11. </w:t>
      </w:r>
      <w:r w:rsidRPr="008127F8">
        <w:rPr>
          <w:rFonts w:ascii="Times New Roman" w:hAnsi="Times New Roman"/>
          <w:color w:val="000000" w:themeColor="text1"/>
          <w:sz w:val="16"/>
          <w:szCs w:val="16"/>
          <w:lang w:val="en-US"/>
        </w:rPr>
        <w:t>Armee (von Manstein) begins the final assault on the Soviet fortress of Sevastopol in the Crimea (3819).</w:t>
      </w:r>
    </w:p>
    <w:p w14:paraId="7B569CE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4CD49F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июня 1942 немцы выполнили на Севастополь 1201 вылет и сбросили 4330 бомб (438,846).</w:t>
      </w:r>
    </w:p>
    <w:p w14:paraId="129A73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3E6A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C 7 июня по 4 июля 1942 советские войска отражали последний штурм Севастополя (3186).</w:t>
      </w:r>
    </w:p>
    <w:p w14:paraId="5776C0F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D4F06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июня 1942 вышло Постановление ГКО № 1894 Об отпуске продовольственных пайков для Красной Армии, Военно-Морского флота и войск НКВД в июне месяце 1942 г. РГАНИР, Фонд ГКО, д. 39, лл. 74-76, 77-81 (11012).</w:t>
      </w:r>
    </w:p>
    <w:p w14:paraId="6117C69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2A252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7 июня</w:t>
      </w:r>
      <w:r w:rsidRPr="008127F8">
        <w:rPr>
          <w:rFonts w:ascii="Times New Roman" w:hAnsi="Times New Roman"/>
          <w:color w:val="000000" w:themeColor="text1"/>
          <w:sz w:val="16"/>
          <w:szCs w:val="16"/>
        </w:rPr>
        <w:t xml:space="preserve"> в 1942 году немецкие войска заняли Дорогобуж (14915).</w:t>
      </w:r>
    </w:p>
    <w:p w14:paraId="33E171D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AD9F37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465D0C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C194F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июня 1942 вышло Постановление ГКО № 1893 Об утверждении Положения о Советском транспортном управлении в Иране и штатов железнодорожных, автодорожных, военно-морских и воздушных учреждений в Иране. (7038, 55-56,57-73).</w:t>
      </w:r>
    </w:p>
    <w:p w14:paraId="6F7C251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A8A6A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июня 1942 было подписано советско-американское соглашение о принципах, применяемых во взаимопомощи и ведении войны против агрессии и о сотрудничестве в послевоенное время в целях обеспечения мира и безопасности (3398,207).</w:t>
      </w:r>
    </w:p>
    <w:p w14:paraId="490EE5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97C6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689F9F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AEA48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7 июня</w:t>
      </w:r>
      <w:r w:rsidRPr="008127F8">
        <w:rPr>
          <w:rFonts w:ascii="Times New Roman" w:hAnsi="Times New Roman"/>
          <w:color w:val="000000" w:themeColor="text1"/>
          <w:sz w:val="16"/>
          <w:szCs w:val="16"/>
        </w:rPr>
        <w:t xml:space="preserve"> в 1942 году разбился </w:t>
      </w:r>
      <w:hyperlink r:id="rId72" w:tgtFrame="_blank" w:history="1">
        <w:r w:rsidRPr="008127F8">
          <w:rPr>
            <w:rFonts w:ascii="Times New Roman" w:hAnsi="Times New Roman"/>
            <w:color w:val="000000" w:themeColor="text1"/>
            <w:sz w:val="16"/>
            <w:szCs w:val="16"/>
          </w:rPr>
          <w:t xml:space="preserve">"Галифакс" </w:t>
        </w:r>
      </w:hyperlink>
      <w:r w:rsidRPr="008127F8">
        <w:rPr>
          <w:rFonts w:ascii="Times New Roman" w:hAnsi="Times New Roman"/>
          <w:color w:val="000000" w:themeColor="text1"/>
          <w:sz w:val="16"/>
          <w:szCs w:val="16"/>
        </w:rPr>
        <w:t xml:space="preserve">с экспериментальным магнетронным устройством для повышения точности бомбометания. Все на борту погибли, включая пятерых крупных ученых, занятых его разработкой. Производству «H2S» с магнетронами было придано очень большое значение. Первые испытания в специальной испытательной части, опять на "Галифаксе", были проведены в конце сентября 1942 г. К середине января 1943 г. 35-я эскадрилья получила девять первых серийных </w:t>
      </w:r>
      <w:r w:rsidRPr="008127F8">
        <w:rPr>
          <w:rFonts w:ascii="Times New Roman" w:hAnsi="Times New Roman"/>
          <w:color w:val="000000" w:themeColor="text1"/>
          <w:sz w:val="16"/>
          <w:szCs w:val="16"/>
        </w:rPr>
        <w:lastRenderedPageBreak/>
        <w:t>устройств и поставила их на свои "Галифаксы. В итоге цель была практически достигнута, и подфюзеляжный обтекатель «H2S» стал общим признаком всех поздних "Галифаксов", хотя их несли и варианты с "Мерлинами", за исключением 35-й и 405-й эскадрилий в метрополии и 614-й в Северной Африке (14915).</w:t>
      </w:r>
    </w:p>
    <w:p w14:paraId="1CEA0C2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9E0465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7 июня</w:t>
      </w:r>
      <w:r w:rsidRPr="008127F8">
        <w:rPr>
          <w:rFonts w:ascii="Times New Roman" w:hAnsi="Times New Roman"/>
          <w:color w:val="000000" w:themeColor="text1"/>
          <w:sz w:val="16"/>
          <w:szCs w:val="16"/>
        </w:rPr>
        <w:t xml:space="preserve"> в 1942 году после атак американской авиации тонет японский крейсер «Mikuma» (14915).</w:t>
      </w:r>
    </w:p>
    <w:p w14:paraId="0BF6AD0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159AF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июня 1942 японцы высадились на Алеутских островах Attu и Kiska (2100).</w:t>
      </w:r>
    </w:p>
    <w:p w14:paraId="38BB254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9185F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7 июня</w:t>
      </w:r>
      <w:r w:rsidRPr="008127F8">
        <w:rPr>
          <w:rFonts w:ascii="Times New Roman" w:hAnsi="Times New Roman"/>
          <w:color w:val="000000" w:themeColor="text1"/>
          <w:sz w:val="16"/>
          <w:szCs w:val="16"/>
        </w:rPr>
        <w:t xml:space="preserve"> в 1942 году японские войска окуппировали американские Алеутские острова Атту (Attu) и Киска (Kiska) (14915).</w:t>
      </w:r>
    </w:p>
    <w:p w14:paraId="2FCCE33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234AAE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98CA95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4A725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июня 1942 г. в 61 ШАП произошла вынужденная по</w:t>
      </w:r>
      <w:r w:rsidRPr="008127F8">
        <w:rPr>
          <w:rFonts w:ascii="Times New Roman" w:hAnsi="Times New Roman"/>
          <w:color w:val="000000" w:themeColor="text1"/>
          <w:sz w:val="16"/>
          <w:szCs w:val="16"/>
        </w:rPr>
        <w:softHyphen/>
        <w:t>садка самолета Ил-2 пилотируемого зам.командира эскадрильи 61 ШАП лейтенантом ДОМОРОВСКИМ. Отказ мотора по причине обрыва шатуна второго цилиндра и разрушение втулки главного шатуна (1634,291).</w:t>
      </w:r>
    </w:p>
    <w:p w14:paraId="77120CE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8535A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июня 1942 года был подготовлен проект Постановления ГКО О постройке войсковой серии и модификациях самолетов перехватчиков, конструкции Болховитинова, с ракетными двигателями Д1-А-1100 конструкции НИИ N 3 НКБ.</w:t>
      </w:r>
    </w:p>
    <w:p w14:paraId="33685C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отработки боевого применения самолетов-перехватчиков с ракетными двигателями, накопления опыта эксплуатации и подготовки кадров технического и летного состава, ГКО постановляет:</w:t>
      </w:r>
    </w:p>
    <w:p w14:paraId="45A224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Обязать Наркомавиапром Шахурина построить на заводе N 293 малую серию самолетов-перехватчиков в количестве 30 штук и двигателей к ним типа Д1-А-1100 в количестве 60 штук, с выпуском: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C5583" w:rsidRPr="008127F8" w14:paraId="5E64DA89" w14:textId="77777777" w:rsidTr="004C5D62">
        <w:tc>
          <w:tcPr>
            <w:tcW w:w="5636" w:type="dxa"/>
            <w:tcBorders>
              <w:top w:val="single" w:sz="12" w:space="0" w:color="auto"/>
            </w:tcBorders>
          </w:tcPr>
          <w:p w14:paraId="78694C7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самолетов</w:t>
            </w:r>
          </w:p>
        </w:tc>
        <w:tc>
          <w:tcPr>
            <w:tcW w:w="5636" w:type="dxa"/>
            <w:tcBorders>
              <w:top w:val="single" w:sz="12" w:space="0" w:color="auto"/>
            </w:tcBorders>
          </w:tcPr>
          <w:p w14:paraId="7AA671B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15 июля 1942 года</w:t>
            </w:r>
          </w:p>
        </w:tc>
      </w:tr>
      <w:tr w:rsidR="007C5583" w:rsidRPr="008127F8" w14:paraId="05934F3D" w14:textId="77777777" w:rsidTr="004C5D62">
        <w:tc>
          <w:tcPr>
            <w:tcW w:w="5636" w:type="dxa"/>
          </w:tcPr>
          <w:p w14:paraId="5E20930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самолетов</w:t>
            </w:r>
          </w:p>
        </w:tc>
        <w:tc>
          <w:tcPr>
            <w:tcW w:w="5636" w:type="dxa"/>
          </w:tcPr>
          <w:p w14:paraId="22B49A6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1 августа 1942 года</w:t>
            </w:r>
          </w:p>
        </w:tc>
      </w:tr>
      <w:tr w:rsidR="007C5583" w:rsidRPr="008127F8" w14:paraId="1AC11541" w14:textId="77777777" w:rsidTr="004C5D62">
        <w:tc>
          <w:tcPr>
            <w:tcW w:w="5636" w:type="dxa"/>
          </w:tcPr>
          <w:p w14:paraId="7F537C0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самолетов</w:t>
            </w:r>
          </w:p>
        </w:tc>
        <w:tc>
          <w:tcPr>
            <w:tcW w:w="5636" w:type="dxa"/>
          </w:tcPr>
          <w:p w14:paraId="40C9DA1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сентябре 1942 года</w:t>
            </w:r>
          </w:p>
        </w:tc>
      </w:tr>
      <w:tr w:rsidR="007C5583" w:rsidRPr="008127F8" w14:paraId="12B45B6F" w14:textId="77777777" w:rsidTr="004C5D62">
        <w:tc>
          <w:tcPr>
            <w:tcW w:w="5636" w:type="dxa"/>
          </w:tcPr>
          <w:p w14:paraId="7C59111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самолетов</w:t>
            </w:r>
          </w:p>
        </w:tc>
        <w:tc>
          <w:tcPr>
            <w:tcW w:w="5636" w:type="dxa"/>
          </w:tcPr>
          <w:p w14:paraId="7FF26FB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октябре 1942 года</w:t>
            </w:r>
          </w:p>
        </w:tc>
      </w:tr>
      <w:tr w:rsidR="007C5583" w:rsidRPr="008127F8" w14:paraId="4C1DEC9B" w14:textId="77777777" w:rsidTr="004C5D62">
        <w:tc>
          <w:tcPr>
            <w:tcW w:w="5636" w:type="dxa"/>
          </w:tcPr>
          <w:p w14:paraId="2C245B5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 следующими летно-тактическими данными:</w:t>
            </w:r>
          </w:p>
        </w:tc>
        <w:tc>
          <w:tcPr>
            <w:tcW w:w="5636" w:type="dxa"/>
          </w:tcPr>
          <w:p w14:paraId="09D1AE7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314E494" w14:textId="77777777" w:rsidTr="004C5D62">
        <w:tc>
          <w:tcPr>
            <w:tcW w:w="5636" w:type="dxa"/>
          </w:tcPr>
          <w:p w14:paraId="330AE20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у земли</w:t>
            </w:r>
          </w:p>
        </w:tc>
        <w:tc>
          <w:tcPr>
            <w:tcW w:w="5636" w:type="dxa"/>
          </w:tcPr>
          <w:p w14:paraId="438F149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960 км/час</w:t>
            </w:r>
          </w:p>
        </w:tc>
      </w:tr>
      <w:tr w:rsidR="007C5583" w:rsidRPr="008127F8" w14:paraId="468706D3" w14:textId="77777777" w:rsidTr="004C5D62">
        <w:tc>
          <w:tcPr>
            <w:tcW w:w="5636" w:type="dxa"/>
          </w:tcPr>
          <w:p w14:paraId="3391DCC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на высоте</w:t>
            </w:r>
          </w:p>
        </w:tc>
        <w:tc>
          <w:tcPr>
            <w:tcW w:w="5636" w:type="dxa"/>
          </w:tcPr>
          <w:p w14:paraId="7DD098E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BAEAFE5" w14:textId="77777777" w:rsidTr="004C5D62">
        <w:tc>
          <w:tcPr>
            <w:tcW w:w="5636" w:type="dxa"/>
          </w:tcPr>
          <w:p w14:paraId="451DA0F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 метров</w:t>
            </w:r>
          </w:p>
        </w:tc>
        <w:tc>
          <w:tcPr>
            <w:tcW w:w="5636" w:type="dxa"/>
          </w:tcPr>
          <w:p w14:paraId="1CB44B0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900 км/час</w:t>
            </w:r>
          </w:p>
        </w:tc>
      </w:tr>
      <w:tr w:rsidR="007C5583" w:rsidRPr="008127F8" w14:paraId="5A284893" w14:textId="77777777" w:rsidTr="004C5D62">
        <w:tc>
          <w:tcPr>
            <w:tcW w:w="5636" w:type="dxa"/>
          </w:tcPr>
          <w:p w14:paraId="079EBD0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набора 1000 м</w:t>
            </w:r>
          </w:p>
        </w:tc>
        <w:tc>
          <w:tcPr>
            <w:tcW w:w="5636" w:type="dxa"/>
          </w:tcPr>
          <w:p w14:paraId="6FC7AC4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 секунды</w:t>
            </w:r>
          </w:p>
        </w:tc>
      </w:tr>
      <w:tr w:rsidR="007C5583" w:rsidRPr="008127F8" w14:paraId="031E5CA2" w14:textId="77777777" w:rsidTr="004C5D62">
        <w:tc>
          <w:tcPr>
            <w:tcW w:w="5636" w:type="dxa"/>
          </w:tcPr>
          <w:p w14:paraId="56751F1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полета на скорости</w:t>
            </w:r>
          </w:p>
        </w:tc>
        <w:tc>
          <w:tcPr>
            <w:tcW w:w="5636" w:type="dxa"/>
          </w:tcPr>
          <w:p w14:paraId="6637BB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5477315" w14:textId="77777777" w:rsidTr="004C5D62">
        <w:tc>
          <w:tcPr>
            <w:tcW w:w="5636" w:type="dxa"/>
          </w:tcPr>
          <w:p w14:paraId="3ED4550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 км/час</w:t>
            </w:r>
          </w:p>
        </w:tc>
        <w:tc>
          <w:tcPr>
            <w:tcW w:w="5636" w:type="dxa"/>
          </w:tcPr>
          <w:p w14:paraId="72CE741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мин. 30 сек.</w:t>
            </w:r>
          </w:p>
        </w:tc>
      </w:tr>
      <w:tr w:rsidR="007C5583" w:rsidRPr="008127F8" w14:paraId="72C37964" w14:textId="77777777" w:rsidTr="004C5D62">
        <w:tc>
          <w:tcPr>
            <w:tcW w:w="5636" w:type="dxa"/>
          </w:tcPr>
          <w:p w14:paraId="5116F4C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Потолок</w:t>
            </w:r>
          </w:p>
        </w:tc>
        <w:tc>
          <w:tcPr>
            <w:tcW w:w="5636" w:type="dxa"/>
          </w:tcPr>
          <w:p w14:paraId="78B92B6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7500 метров</w:t>
            </w:r>
          </w:p>
        </w:tc>
      </w:tr>
      <w:tr w:rsidR="007C5583" w:rsidRPr="008127F8" w14:paraId="54430D84" w14:textId="77777777" w:rsidTr="004C5D62">
        <w:tc>
          <w:tcPr>
            <w:tcW w:w="5636" w:type="dxa"/>
            <w:tcBorders>
              <w:bottom w:val="single" w:sz="12" w:space="0" w:color="auto"/>
            </w:tcBorders>
          </w:tcPr>
          <w:p w14:paraId="5014E32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Посадочная скорость</w:t>
            </w:r>
          </w:p>
        </w:tc>
        <w:tc>
          <w:tcPr>
            <w:tcW w:w="5636" w:type="dxa"/>
            <w:tcBorders>
              <w:bottom w:val="single" w:sz="12" w:space="0" w:color="auto"/>
            </w:tcBorders>
          </w:tcPr>
          <w:p w14:paraId="4C5AD8F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 км/час</w:t>
            </w:r>
          </w:p>
        </w:tc>
      </w:tr>
    </w:tbl>
    <w:p w14:paraId="2B6A763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 следующим вооружением:</w:t>
      </w:r>
    </w:p>
    <w:p w14:paraId="2E4600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пушки калибра 20 мм с боезапасом по 45 снарядов на каждую.</w:t>
      </w:r>
    </w:p>
    <w:p w14:paraId="4E7E193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Наркомавиапром - Шахурину, директору и главному конструктору завода N 293 - Болховитинову спроектировать и построить модификации самолета-перехватчика в количестве 4-х экземпляров (из малой серии) со следующими летно-тактическими данными:</w:t>
      </w:r>
    </w:p>
    <w:tbl>
      <w:tblPr>
        <w:tblW w:w="0" w:type="auto"/>
        <w:tblLayout w:type="fixed"/>
        <w:tblLook w:val="0000" w:firstRow="0" w:lastRow="0" w:firstColumn="0" w:lastColumn="0" w:noHBand="0" w:noVBand="0"/>
      </w:tblPr>
      <w:tblGrid>
        <w:gridCol w:w="5636"/>
        <w:gridCol w:w="5636"/>
      </w:tblGrid>
      <w:tr w:rsidR="007C5583" w:rsidRPr="008127F8" w14:paraId="6CACBEB1" w14:textId="77777777" w:rsidTr="004C5D62">
        <w:tc>
          <w:tcPr>
            <w:tcW w:w="5636" w:type="dxa"/>
            <w:tcBorders>
              <w:top w:val="nil"/>
              <w:left w:val="nil"/>
              <w:bottom w:val="nil"/>
              <w:right w:val="nil"/>
            </w:tcBorders>
          </w:tcPr>
          <w:p w14:paraId="569B43C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2 самолета со сферическими баками:</w:t>
            </w:r>
          </w:p>
        </w:tc>
        <w:tc>
          <w:tcPr>
            <w:tcW w:w="5636" w:type="dxa"/>
            <w:tcBorders>
              <w:top w:val="nil"/>
              <w:left w:val="nil"/>
              <w:bottom w:val="nil"/>
              <w:right w:val="nil"/>
            </w:tcBorders>
          </w:tcPr>
          <w:p w14:paraId="1D84047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2EF8FF7" w14:textId="77777777" w:rsidTr="004C5D62">
        <w:tc>
          <w:tcPr>
            <w:tcW w:w="5636" w:type="dxa"/>
            <w:tcBorders>
              <w:top w:val="single" w:sz="12" w:space="0" w:color="auto"/>
              <w:left w:val="single" w:sz="12" w:space="0" w:color="auto"/>
              <w:bottom w:val="single" w:sz="6" w:space="0" w:color="auto"/>
              <w:right w:val="single" w:sz="6" w:space="0" w:color="auto"/>
            </w:tcBorders>
          </w:tcPr>
          <w:p w14:paraId="3A1C8E9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у земли</w:t>
            </w:r>
          </w:p>
        </w:tc>
        <w:tc>
          <w:tcPr>
            <w:tcW w:w="5636" w:type="dxa"/>
            <w:tcBorders>
              <w:top w:val="single" w:sz="12" w:space="0" w:color="auto"/>
              <w:left w:val="single" w:sz="6" w:space="0" w:color="auto"/>
              <w:bottom w:val="single" w:sz="6" w:space="0" w:color="auto"/>
              <w:right w:val="single" w:sz="12" w:space="0" w:color="auto"/>
            </w:tcBorders>
          </w:tcPr>
          <w:p w14:paraId="74977EF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960 км/час</w:t>
            </w:r>
          </w:p>
        </w:tc>
      </w:tr>
      <w:tr w:rsidR="007C5583" w:rsidRPr="008127F8" w14:paraId="3006A0E8" w14:textId="77777777" w:rsidTr="004C5D62">
        <w:tc>
          <w:tcPr>
            <w:tcW w:w="5636" w:type="dxa"/>
            <w:tcBorders>
              <w:top w:val="single" w:sz="6" w:space="0" w:color="auto"/>
              <w:left w:val="single" w:sz="12" w:space="0" w:color="auto"/>
              <w:bottom w:val="single" w:sz="6" w:space="0" w:color="auto"/>
              <w:right w:val="single" w:sz="6" w:space="0" w:color="auto"/>
            </w:tcBorders>
          </w:tcPr>
          <w:p w14:paraId="6B72F1D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на высоте</w:t>
            </w:r>
          </w:p>
        </w:tc>
        <w:tc>
          <w:tcPr>
            <w:tcW w:w="5636" w:type="dxa"/>
            <w:tcBorders>
              <w:top w:val="single" w:sz="6" w:space="0" w:color="auto"/>
              <w:left w:val="single" w:sz="6" w:space="0" w:color="auto"/>
              <w:bottom w:val="single" w:sz="6" w:space="0" w:color="auto"/>
              <w:right w:val="single" w:sz="12" w:space="0" w:color="auto"/>
            </w:tcBorders>
          </w:tcPr>
          <w:p w14:paraId="33B4895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8577634" w14:textId="77777777" w:rsidTr="004C5D62">
        <w:tc>
          <w:tcPr>
            <w:tcW w:w="5636" w:type="dxa"/>
            <w:tcBorders>
              <w:top w:val="single" w:sz="6" w:space="0" w:color="auto"/>
              <w:left w:val="single" w:sz="12" w:space="0" w:color="auto"/>
              <w:bottom w:val="single" w:sz="6" w:space="0" w:color="auto"/>
              <w:right w:val="single" w:sz="6" w:space="0" w:color="auto"/>
            </w:tcBorders>
          </w:tcPr>
          <w:p w14:paraId="0957C23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 метров</w:t>
            </w:r>
          </w:p>
        </w:tc>
        <w:tc>
          <w:tcPr>
            <w:tcW w:w="5636" w:type="dxa"/>
            <w:tcBorders>
              <w:top w:val="single" w:sz="6" w:space="0" w:color="auto"/>
              <w:left w:val="single" w:sz="6" w:space="0" w:color="auto"/>
              <w:bottom w:val="single" w:sz="6" w:space="0" w:color="auto"/>
              <w:right w:val="single" w:sz="12" w:space="0" w:color="auto"/>
            </w:tcBorders>
          </w:tcPr>
          <w:p w14:paraId="06C395D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900 км/час</w:t>
            </w:r>
          </w:p>
        </w:tc>
      </w:tr>
      <w:tr w:rsidR="007C5583" w:rsidRPr="008127F8" w14:paraId="19401BB6" w14:textId="77777777" w:rsidTr="004C5D62">
        <w:tc>
          <w:tcPr>
            <w:tcW w:w="5636" w:type="dxa"/>
            <w:tcBorders>
              <w:top w:val="single" w:sz="6" w:space="0" w:color="auto"/>
              <w:left w:val="single" w:sz="12" w:space="0" w:color="auto"/>
              <w:bottom w:val="single" w:sz="6" w:space="0" w:color="auto"/>
              <w:right w:val="single" w:sz="6" w:space="0" w:color="auto"/>
            </w:tcBorders>
          </w:tcPr>
          <w:p w14:paraId="6E5E655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набора 1000 метров</w:t>
            </w:r>
          </w:p>
        </w:tc>
        <w:tc>
          <w:tcPr>
            <w:tcW w:w="5636" w:type="dxa"/>
            <w:tcBorders>
              <w:top w:val="single" w:sz="6" w:space="0" w:color="auto"/>
              <w:left w:val="single" w:sz="6" w:space="0" w:color="auto"/>
              <w:bottom w:val="single" w:sz="6" w:space="0" w:color="auto"/>
              <w:right w:val="single" w:sz="12" w:space="0" w:color="auto"/>
            </w:tcBorders>
          </w:tcPr>
          <w:p w14:paraId="3663444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8,3 секунды</w:t>
            </w:r>
          </w:p>
        </w:tc>
      </w:tr>
      <w:tr w:rsidR="007C5583" w:rsidRPr="008127F8" w14:paraId="72F87D34" w14:textId="77777777" w:rsidTr="004C5D62">
        <w:tc>
          <w:tcPr>
            <w:tcW w:w="5636" w:type="dxa"/>
            <w:tcBorders>
              <w:top w:val="single" w:sz="6" w:space="0" w:color="auto"/>
              <w:left w:val="single" w:sz="12" w:space="0" w:color="auto"/>
              <w:bottom w:val="single" w:sz="6" w:space="0" w:color="auto"/>
              <w:right w:val="single" w:sz="6" w:space="0" w:color="auto"/>
            </w:tcBorders>
          </w:tcPr>
          <w:p w14:paraId="4B73D1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полета на скорости</w:t>
            </w:r>
          </w:p>
        </w:tc>
        <w:tc>
          <w:tcPr>
            <w:tcW w:w="5636" w:type="dxa"/>
            <w:tcBorders>
              <w:top w:val="single" w:sz="6" w:space="0" w:color="auto"/>
              <w:left w:val="single" w:sz="6" w:space="0" w:color="auto"/>
              <w:bottom w:val="single" w:sz="6" w:space="0" w:color="auto"/>
              <w:right w:val="single" w:sz="12" w:space="0" w:color="auto"/>
            </w:tcBorders>
          </w:tcPr>
          <w:p w14:paraId="3539518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5B84376" w14:textId="77777777" w:rsidTr="004C5D62">
        <w:tc>
          <w:tcPr>
            <w:tcW w:w="5636" w:type="dxa"/>
            <w:tcBorders>
              <w:top w:val="single" w:sz="6" w:space="0" w:color="auto"/>
              <w:left w:val="single" w:sz="12" w:space="0" w:color="auto"/>
              <w:bottom w:val="single" w:sz="6" w:space="0" w:color="auto"/>
              <w:right w:val="single" w:sz="6" w:space="0" w:color="auto"/>
            </w:tcBorders>
          </w:tcPr>
          <w:p w14:paraId="41E82EB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 км/час</w:t>
            </w:r>
          </w:p>
        </w:tc>
        <w:tc>
          <w:tcPr>
            <w:tcW w:w="5636" w:type="dxa"/>
            <w:tcBorders>
              <w:top w:val="single" w:sz="6" w:space="0" w:color="auto"/>
              <w:left w:val="single" w:sz="6" w:space="0" w:color="auto"/>
              <w:bottom w:val="single" w:sz="6" w:space="0" w:color="auto"/>
              <w:right w:val="single" w:sz="12" w:space="0" w:color="auto"/>
            </w:tcBorders>
          </w:tcPr>
          <w:p w14:paraId="035457C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мин. 30 сек.</w:t>
            </w:r>
          </w:p>
        </w:tc>
      </w:tr>
      <w:tr w:rsidR="007C5583" w:rsidRPr="008127F8" w14:paraId="15364DA1" w14:textId="77777777" w:rsidTr="004C5D62">
        <w:tc>
          <w:tcPr>
            <w:tcW w:w="5636" w:type="dxa"/>
            <w:tcBorders>
              <w:top w:val="single" w:sz="6" w:space="0" w:color="auto"/>
              <w:left w:val="single" w:sz="12" w:space="0" w:color="auto"/>
              <w:bottom w:val="single" w:sz="6" w:space="0" w:color="auto"/>
              <w:right w:val="single" w:sz="6" w:space="0" w:color="auto"/>
            </w:tcBorders>
          </w:tcPr>
          <w:p w14:paraId="1900DB5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Потолок</w:t>
            </w:r>
          </w:p>
        </w:tc>
        <w:tc>
          <w:tcPr>
            <w:tcW w:w="5636" w:type="dxa"/>
            <w:tcBorders>
              <w:top w:val="single" w:sz="6" w:space="0" w:color="auto"/>
              <w:left w:val="single" w:sz="6" w:space="0" w:color="auto"/>
              <w:bottom w:val="single" w:sz="6" w:space="0" w:color="auto"/>
              <w:right w:val="single" w:sz="12" w:space="0" w:color="auto"/>
            </w:tcBorders>
          </w:tcPr>
          <w:p w14:paraId="50EC52E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12000 метров</w:t>
            </w:r>
          </w:p>
        </w:tc>
      </w:tr>
      <w:tr w:rsidR="007C5583" w:rsidRPr="008127F8" w14:paraId="35311948" w14:textId="77777777" w:rsidTr="004C5D62">
        <w:tc>
          <w:tcPr>
            <w:tcW w:w="5636" w:type="dxa"/>
            <w:tcBorders>
              <w:top w:val="single" w:sz="6" w:space="0" w:color="auto"/>
              <w:left w:val="single" w:sz="12" w:space="0" w:color="auto"/>
              <w:bottom w:val="single" w:sz="12" w:space="0" w:color="auto"/>
              <w:right w:val="single" w:sz="6" w:space="0" w:color="auto"/>
            </w:tcBorders>
          </w:tcPr>
          <w:p w14:paraId="5F4CD2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Посадочная скорость</w:t>
            </w:r>
          </w:p>
        </w:tc>
        <w:tc>
          <w:tcPr>
            <w:tcW w:w="5636" w:type="dxa"/>
            <w:tcBorders>
              <w:top w:val="single" w:sz="6" w:space="0" w:color="auto"/>
              <w:left w:val="single" w:sz="6" w:space="0" w:color="auto"/>
              <w:bottom w:val="single" w:sz="12" w:space="0" w:color="auto"/>
              <w:right w:val="single" w:sz="12" w:space="0" w:color="auto"/>
            </w:tcBorders>
          </w:tcPr>
          <w:p w14:paraId="2140275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 км/час</w:t>
            </w:r>
          </w:p>
        </w:tc>
      </w:tr>
      <w:tr w:rsidR="007C5583" w:rsidRPr="008127F8" w14:paraId="14057C61" w14:textId="77777777" w:rsidTr="004C5D62">
        <w:tc>
          <w:tcPr>
            <w:tcW w:w="5636" w:type="dxa"/>
            <w:tcBorders>
              <w:top w:val="nil"/>
              <w:left w:val="nil"/>
              <w:bottom w:val="nil"/>
              <w:right w:val="nil"/>
            </w:tcBorders>
          </w:tcPr>
          <w:p w14:paraId="37A3A43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2 самолета со сферическими баками и дополнительными двумя прямоточными воздушно-ракетными двигателями на концах крыльев:</w:t>
            </w:r>
          </w:p>
        </w:tc>
        <w:tc>
          <w:tcPr>
            <w:tcW w:w="5636" w:type="dxa"/>
            <w:tcBorders>
              <w:top w:val="nil"/>
              <w:left w:val="nil"/>
              <w:bottom w:val="nil"/>
              <w:right w:val="nil"/>
            </w:tcBorders>
          </w:tcPr>
          <w:p w14:paraId="1BE0A42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17517FF" w14:textId="77777777" w:rsidTr="004C5D62">
        <w:tc>
          <w:tcPr>
            <w:tcW w:w="5636" w:type="dxa"/>
            <w:tcBorders>
              <w:top w:val="single" w:sz="12" w:space="0" w:color="auto"/>
              <w:left w:val="single" w:sz="12" w:space="0" w:color="auto"/>
              <w:bottom w:val="single" w:sz="6" w:space="0" w:color="auto"/>
              <w:right w:val="single" w:sz="6" w:space="0" w:color="auto"/>
            </w:tcBorders>
          </w:tcPr>
          <w:p w14:paraId="3181486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у земли</w:t>
            </w:r>
          </w:p>
        </w:tc>
        <w:tc>
          <w:tcPr>
            <w:tcW w:w="5636" w:type="dxa"/>
            <w:tcBorders>
              <w:top w:val="single" w:sz="12" w:space="0" w:color="auto"/>
              <w:left w:val="single" w:sz="6" w:space="0" w:color="auto"/>
              <w:bottom w:val="single" w:sz="6" w:space="0" w:color="auto"/>
              <w:right w:val="single" w:sz="12" w:space="0" w:color="auto"/>
            </w:tcBorders>
          </w:tcPr>
          <w:p w14:paraId="47C3E6A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900 км/час</w:t>
            </w:r>
          </w:p>
        </w:tc>
      </w:tr>
      <w:tr w:rsidR="007C5583" w:rsidRPr="008127F8" w14:paraId="653B9ECB" w14:textId="77777777" w:rsidTr="004C5D62">
        <w:tc>
          <w:tcPr>
            <w:tcW w:w="5636" w:type="dxa"/>
            <w:tcBorders>
              <w:top w:val="single" w:sz="6" w:space="0" w:color="auto"/>
              <w:left w:val="single" w:sz="12" w:space="0" w:color="auto"/>
              <w:bottom w:val="single" w:sz="6" w:space="0" w:color="auto"/>
              <w:right w:val="single" w:sz="6" w:space="0" w:color="auto"/>
            </w:tcBorders>
          </w:tcPr>
          <w:p w14:paraId="44265E5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на высоте</w:t>
            </w:r>
          </w:p>
        </w:tc>
        <w:tc>
          <w:tcPr>
            <w:tcW w:w="5636" w:type="dxa"/>
            <w:tcBorders>
              <w:top w:val="single" w:sz="6" w:space="0" w:color="auto"/>
              <w:left w:val="single" w:sz="6" w:space="0" w:color="auto"/>
              <w:bottom w:val="single" w:sz="6" w:space="0" w:color="auto"/>
              <w:right w:val="single" w:sz="12" w:space="0" w:color="auto"/>
            </w:tcBorders>
          </w:tcPr>
          <w:p w14:paraId="0EFEEFA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4DF5053" w14:textId="77777777" w:rsidTr="004C5D62">
        <w:tc>
          <w:tcPr>
            <w:tcW w:w="5636" w:type="dxa"/>
            <w:tcBorders>
              <w:top w:val="single" w:sz="6" w:space="0" w:color="auto"/>
              <w:left w:val="single" w:sz="12" w:space="0" w:color="auto"/>
              <w:bottom w:val="single" w:sz="6" w:space="0" w:color="auto"/>
              <w:right w:val="single" w:sz="6" w:space="0" w:color="auto"/>
            </w:tcBorders>
          </w:tcPr>
          <w:p w14:paraId="3B47D18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5000 метров</w:t>
            </w:r>
          </w:p>
        </w:tc>
        <w:tc>
          <w:tcPr>
            <w:tcW w:w="5636" w:type="dxa"/>
            <w:tcBorders>
              <w:top w:val="single" w:sz="6" w:space="0" w:color="auto"/>
              <w:left w:val="single" w:sz="6" w:space="0" w:color="auto"/>
              <w:bottom w:val="single" w:sz="6" w:space="0" w:color="auto"/>
              <w:right w:val="single" w:sz="12" w:space="0" w:color="auto"/>
            </w:tcBorders>
          </w:tcPr>
          <w:p w14:paraId="4D3CE9B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900 км/час</w:t>
            </w:r>
          </w:p>
        </w:tc>
      </w:tr>
      <w:tr w:rsidR="007C5583" w:rsidRPr="008127F8" w14:paraId="30CC359B" w14:textId="77777777" w:rsidTr="004C5D62">
        <w:tc>
          <w:tcPr>
            <w:tcW w:w="5636" w:type="dxa"/>
            <w:tcBorders>
              <w:top w:val="single" w:sz="6" w:space="0" w:color="auto"/>
              <w:left w:val="single" w:sz="12" w:space="0" w:color="auto"/>
              <w:bottom w:val="single" w:sz="6" w:space="0" w:color="auto"/>
              <w:right w:val="single" w:sz="6" w:space="0" w:color="auto"/>
            </w:tcBorders>
          </w:tcPr>
          <w:p w14:paraId="76194C2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набора 1000 метров</w:t>
            </w:r>
          </w:p>
        </w:tc>
        <w:tc>
          <w:tcPr>
            <w:tcW w:w="5636" w:type="dxa"/>
            <w:tcBorders>
              <w:top w:val="single" w:sz="6" w:space="0" w:color="auto"/>
              <w:left w:val="single" w:sz="6" w:space="0" w:color="auto"/>
              <w:bottom w:val="single" w:sz="6" w:space="0" w:color="auto"/>
              <w:right w:val="single" w:sz="12" w:space="0" w:color="auto"/>
            </w:tcBorders>
          </w:tcPr>
          <w:p w14:paraId="438A6ED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секунд</w:t>
            </w:r>
          </w:p>
        </w:tc>
      </w:tr>
      <w:tr w:rsidR="007C5583" w:rsidRPr="008127F8" w14:paraId="2AF4C3AA" w14:textId="77777777" w:rsidTr="004C5D62">
        <w:tc>
          <w:tcPr>
            <w:tcW w:w="5636" w:type="dxa"/>
            <w:tcBorders>
              <w:top w:val="single" w:sz="6" w:space="0" w:color="auto"/>
              <w:left w:val="single" w:sz="12" w:space="0" w:color="auto"/>
              <w:bottom w:val="single" w:sz="6" w:space="0" w:color="auto"/>
              <w:right w:val="single" w:sz="6" w:space="0" w:color="auto"/>
            </w:tcBorders>
          </w:tcPr>
          <w:p w14:paraId="253157E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полета на скорости</w:t>
            </w:r>
          </w:p>
        </w:tc>
        <w:tc>
          <w:tcPr>
            <w:tcW w:w="5636" w:type="dxa"/>
            <w:tcBorders>
              <w:top w:val="single" w:sz="6" w:space="0" w:color="auto"/>
              <w:left w:val="single" w:sz="6" w:space="0" w:color="auto"/>
              <w:bottom w:val="single" w:sz="6" w:space="0" w:color="auto"/>
              <w:right w:val="single" w:sz="12" w:space="0" w:color="auto"/>
            </w:tcBorders>
          </w:tcPr>
          <w:p w14:paraId="7106BFB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FB83081" w14:textId="77777777" w:rsidTr="004C5D62">
        <w:tc>
          <w:tcPr>
            <w:tcW w:w="5636" w:type="dxa"/>
            <w:tcBorders>
              <w:top w:val="single" w:sz="6" w:space="0" w:color="auto"/>
              <w:left w:val="single" w:sz="12" w:space="0" w:color="auto"/>
              <w:bottom w:val="single" w:sz="6" w:space="0" w:color="auto"/>
              <w:right w:val="single" w:sz="6" w:space="0" w:color="auto"/>
            </w:tcBorders>
          </w:tcPr>
          <w:p w14:paraId="0B032D0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 км/час</w:t>
            </w:r>
          </w:p>
        </w:tc>
        <w:tc>
          <w:tcPr>
            <w:tcW w:w="5636" w:type="dxa"/>
            <w:tcBorders>
              <w:top w:val="single" w:sz="6" w:space="0" w:color="auto"/>
              <w:left w:val="single" w:sz="6" w:space="0" w:color="auto"/>
              <w:bottom w:val="single" w:sz="6" w:space="0" w:color="auto"/>
              <w:right w:val="single" w:sz="12" w:space="0" w:color="auto"/>
            </w:tcBorders>
          </w:tcPr>
          <w:p w14:paraId="13E1FD1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минут</w:t>
            </w:r>
          </w:p>
        </w:tc>
      </w:tr>
      <w:tr w:rsidR="007C5583" w:rsidRPr="008127F8" w14:paraId="3C591DA8" w14:textId="77777777" w:rsidTr="004C5D62">
        <w:tc>
          <w:tcPr>
            <w:tcW w:w="5636" w:type="dxa"/>
            <w:tcBorders>
              <w:top w:val="single" w:sz="6" w:space="0" w:color="auto"/>
              <w:left w:val="single" w:sz="12" w:space="0" w:color="auto"/>
              <w:bottom w:val="single" w:sz="6" w:space="0" w:color="auto"/>
              <w:right w:val="single" w:sz="6" w:space="0" w:color="auto"/>
            </w:tcBorders>
          </w:tcPr>
          <w:p w14:paraId="38299F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Потолок</w:t>
            </w:r>
          </w:p>
        </w:tc>
        <w:tc>
          <w:tcPr>
            <w:tcW w:w="5636" w:type="dxa"/>
            <w:tcBorders>
              <w:top w:val="single" w:sz="6" w:space="0" w:color="auto"/>
              <w:left w:val="single" w:sz="6" w:space="0" w:color="auto"/>
              <w:bottom w:val="single" w:sz="6" w:space="0" w:color="auto"/>
              <w:right w:val="single" w:sz="12" w:space="0" w:color="auto"/>
            </w:tcBorders>
          </w:tcPr>
          <w:p w14:paraId="2FC8906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9000 метров</w:t>
            </w:r>
          </w:p>
        </w:tc>
      </w:tr>
      <w:tr w:rsidR="007C5583" w:rsidRPr="008127F8" w14:paraId="68C7602D" w14:textId="77777777" w:rsidTr="004C5D62">
        <w:tc>
          <w:tcPr>
            <w:tcW w:w="5636" w:type="dxa"/>
            <w:tcBorders>
              <w:top w:val="single" w:sz="6" w:space="0" w:color="auto"/>
              <w:left w:val="single" w:sz="12" w:space="0" w:color="auto"/>
              <w:bottom w:val="single" w:sz="6" w:space="0" w:color="auto"/>
              <w:right w:val="single" w:sz="6" w:space="0" w:color="auto"/>
            </w:tcBorders>
          </w:tcPr>
          <w:p w14:paraId="41D3862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Посадочная скорость</w:t>
            </w:r>
          </w:p>
        </w:tc>
        <w:tc>
          <w:tcPr>
            <w:tcW w:w="5636" w:type="dxa"/>
            <w:tcBorders>
              <w:top w:val="single" w:sz="6" w:space="0" w:color="auto"/>
              <w:left w:val="single" w:sz="6" w:space="0" w:color="auto"/>
              <w:bottom w:val="single" w:sz="6" w:space="0" w:color="auto"/>
              <w:right w:val="single" w:sz="12" w:space="0" w:color="auto"/>
            </w:tcBorders>
          </w:tcPr>
          <w:p w14:paraId="6ACD807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 км/час</w:t>
            </w:r>
          </w:p>
        </w:tc>
      </w:tr>
      <w:tr w:rsidR="007C5583" w:rsidRPr="008127F8" w14:paraId="3ECA5A82" w14:textId="77777777" w:rsidTr="004C5D62">
        <w:tc>
          <w:tcPr>
            <w:tcW w:w="5636" w:type="dxa"/>
            <w:tcBorders>
              <w:top w:val="single" w:sz="6" w:space="0" w:color="auto"/>
              <w:left w:val="single" w:sz="12" w:space="0" w:color="auto"/>
              <w:bottom w:val="single" w:sz="6" w:space="0" w:color="auto"/>
              <w:right w:val="single" w:sz="6" w:space="0" w:color="auto"/>
            </w:tcBorders>
          </w:tcPr>
          <w:p w14:paraId="43C188A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 следующим вооружением всех 4-х экземпляров:</w:t>
            </w:r>
          </w:p>
        </w:tc>
        <w:tc>
          <w:tcPr>
            <w:tcW w:w="5636" w:type="dxa"/>
            <w:tcBorders>
              <w:top w:val="single" w:sz="6" w:space="0" w:color="auto"/>
              <w:left w:val="single" w:sz="6" w:space="0" w:color="auto"/>
              <w:bottom w:val="single" w:sz="6" w:space="0" w:color="auto"/>
              <w:right w:val="single" w:sz="12" w:space="0" w:color="auto"/>
            </w:tcBorders>
          </w:tcPr>
          <w:p w14:paraId="72A4FEA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28362C0" w14:textId="77777777" w:rsidTr="004C5D62">
        <w:tc>
          <w:tcPr>
            <w:tcW w:w="5636" w:type="dxa"/>
            <w:tcBorders>
              <w:top w:val="single" w:sz="6" w:space="0" w:color="auto"/>
              <w:left w:val="single" w:sz="12" w:space="0" w:color="auto"/>
              <w:bottom w:val="single" w:sz="6" w:space="0" w:color="auto"/>
              <w:right w:val="single" w:sz="6" w:space="0" w:color="auto"/>
            </w:tcBorders>
          </w:tcPr>
          <w:p w14:paraId="73FF013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пушки калибра 20 мм с боезапасом по 60 снарядов на каждую с выпуском на гос. испытания</w:t>
            </w:r>
          </w:p>
        </w:tc>
        <w:tc>
          <w:tcPr>
            <w:tcW w:w="5636" w:type="dxa"/>
            <w:tcBorders>
              <w:top w:val="single" w:sz="6" w:space="0" w:color="auto"/>
              <w:left w:val="single" w:sz="6" w:space="0" w:color="auto"/>
              <w:bottom w:val="single" w:sz="6" w:space="0" w:color="auto"/>
              <w:right w:val="single" w:sz="12" w:space="0" w:color="auto"/>
            </w:tcBorders>
          </w:tcPr>
          <w:p w14:paraId="18DEB2F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90B991E" w14:textId="77777777" w:rsidTr="004C5D62">
        <w:tc>
          <w:tcPr>
            <w:tcW w:w="5636" w:type="dxa"/>
            <w:tcBorders>
              <w:top w:val="single" w:sz="6" w:space="0" w:color="auto"/>
              <w:left w:val="single" w:sz="12" w:space="0" w:color="auto"/>
              <w:bottom w:val="single" w:sz="6" w:space="0" w:color="auto"/>
              <w:right w:val="single" w:sz="6" w:space="0" w:color="auto"/>
            </w:tcBorders>
          </w:tcPr>
          <w:p w14:paraId="7570371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первых двух экземпляров</w:t>
            </w:r>
          </w:p>
        </w:tc>
        <w:tc>
          <w:tcPr>
            <w:tcW w:w="5636" w:type="dxa"/>
            <w:tcBorders>
              <w:top w:val="single" w:sz="6" w:space="0" w:color="auto"/>
              <w:left w:val="single" w:sz="6" w:space="0" w:color="auto"/>
              <w:bottom w:val="single" w:sz="6" w:space="0" w:color="auto"/>
              <w:right w:val="single" w:sz="12" w:space="0" w:color="auto"/>
            </w:tcBorders>
          </w:tcPr>
          <w:p w14:paraId="6CFF4BC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августа 1942 года</w:t>
            </w:r>
          </w:p>
        </w:tc>
      </w:tr>
      <w:tr w:rsidR="007C5583" w:rsidRPr="008127F8" w14:paraId="189243FB" w14:textId="77777777" w:rsidTr="004C5D62">
        <w:tc>
          <w:tcPr>
            <w:tcW w:w="5636" w:type="dxa"/>
            <w:tcBorders>
              <w:top w:val="single" w:sz="6" w:space="0" w:color="auto"/>
              <w:left w:val="single" w:sz="12" w:space="0" w:color="auto"/>
              <w:bottom w:val="single" w:sz="12" w:space="0" w:color="auto"/>
              <w:right w:val="single" w:sz="6" w:space="0" w:color="auto"/>
            </w:tcBorders>
          </w:tcPr>
          <w:p w14:paraId="6CFDDCC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вторых двух экземпляров</w:t>
            </w:r>
          </w:p>
        </w:tc>
        <w:tc>
          <w:tcPr>
            <w:tcW w:w="5636" w:type="dxa"/>
            <w:tcBorders>
              <w:top w:val="single" w:sz="6" w:space="0" w:color="auto"/>
              <w:left w:val="single" w:sz="6" w:space="0" w:color="auto"/>
              <w:bottom w:val="single" w:sz="12" w:space="0" w:color="auto"/>
              <w:right w:val="single" w:sz="12" w:space="0" w:color="auto"/>
            </w:tcBorders>
          </w:tcPr>
          <w:p w14:paraId="620C9A8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октября 1942 года</w:t>
            </w:r>
          </w:p>
        </w:tc>
      </w:tr>
    </w:tbl>
    <w:p w14:paraId="3E46BA7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Обязать наркома Электропромышленности - Кабанова, директора ВЭИ - Кострова, спроектировать и построить к 15 августа 1942 года по техническим условиям завода N 293 НКАП:</w:t>
      </w:r>
    </w:p>
    <w:p w14:paraId="3A6C4F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целеискатель для самолетов-перехватчиков в количестве 3-х экземпляров;</w:t>
      </w:r>
    </w:p>
    <w:p w14:paraId="6836C8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дистанциометр для самолетов-перехватчиков в количестве 3-х экземпляров.</w:t>
      </w:r>
    </w:p>
    <w:p w14:paraId="18A82C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Работу по самолетам-перехватчикам считать особо секретной и для обеспечения особой секретности работ по самолету перехватчику и жидкостному ракетному двигателю, директору завода N 293 Болховитинову всемерно ограничить круг лиц допускаемых к сборочным чертежам самолета и двигателя, расчетным материалам, а также в сборочные цехи и на испытательные станции самолета и двигателя.</w:t>
      </w:r>
    </w:p>
    <w:p w14:paraId="06CB584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разрешить НКАП перевести завода N 293 из пос. Билимбай, Свердловской области, на его прежнюю территорию в гор. Химки, Московской области, сохранив в Билимбае филиал завода.</w:t>
      </w:r>
    </w:p>
    <w:p w14:paraId="4206E1F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Для развития и объединения в системе НКАП работ по авиационным ракетным двигателям и самолетам, перевести на завод N 293 НКАП из НИИ N 3 НКБ группу Душкина и с Кировского завода Наркомтанкопрома группу Люлька по прилагаемому списку.</w:t>
      </w:r>
    </w:p>
    <w:p w14:paraId="1D181E8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Обязать наркома танковой промышленности - Малышева, организовать на Уралмашзаводе производство 600 штук баллонов для самолетов-перехватчиков с поставкой 200 штук в июле, 200 в августе и 200 в сентябре по спецификации, чертежам и графику завода N 293 НКАП (2164,236).</w:t>
      </w:r>
    </w:p>
    <w:p w14:paraId="4157A0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71CF7"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8 июня 1942 г. РОТ-82 закончились полигонные испытания на НИП АВ ВВС РОТ-82, которые начались с 11 мая и проходили дважды. И оба раза неудачно. Дело в том, что под воздействием газовой струи переднего РС в мо</w:t>
      </w:r>
      <w:r w:rsidRPr="008127F8">
        <w:rPr>
          <w:color w:val="000000" w:themeColor="text1"/>
          <w:sz w:val="16"/>
          <w:szCs w:val="16"/>
        </w:rPr>
        <w:softHyphen/>
        <w:t>мент выстрела ветрянка взрывателя заднего сна</w:t>
      </w:r>
      <w:r w:rsidRPr="008127F8">
        <w:rPr>
          <w:color w:val="000000" w:themeColor="text1"/>
          <w:sz w:val="16"/>
          <w:szCs w:val="16"/>
        </w:rPr>
        <w:softHyphen/>
        <w:t>ряда деформировалась и даже срывалась совсем. Установка предохранительной заслонки хотя и за</w:t>
      </w:r>
      <w:r w:rsidRPr="008127F8">
        <w:rPr>
          <w:color w:val="000000" w:themeColor="text1"/>
          <w:sz w:val="16"/>
          <w:szCs w:val="16"/>
        </w:rPr>
        <w:softHyphen/>
        <w:t>щищала ветрянку от газовой струи, но создавала такую большую отдачу на ракетное орудие, что штатные крепежные болты не выдерживали нагруз</w:t>
      </w:r>
      <w:r w:rsidRPr="008127F8">
        <w:rPr>
          <w:color w:val="000000" w:themeColor="text1"/>
          <w:sz w:val="16"/>
          <w:szCs w:val="16"/>
        </w:rPr>
        <w:softHyphen/>
        <w:t>ки, деформировались и даже срезались.</w:t>
      </w:r>
    </w:p>
    <w:p w14:paraId="46AF0586"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Испытания проводили: от НИП АВ ВВС — на</w:t>
      </w:r>
      <w:r w:rsidRPr="008127F8">
        <w:rPr>
          <w:color w:val="000000" w:themeColor="text1"/>
          <w:sz w:val="16"/>
          <w:szCs w:val="16"/>
        </w:rPr>
        <w:softHyphen/>
        <w:t>чальник стрелково-пушечной группы инженер-май</w:t>
      </w:r>
      <w:r w:rsidRPr="008127F8">
        <w:rPr>
          <w:color w:val="000000" w:themeColor="text1"/>
          <w:sz w:val="16"/>
          <w:szCs w:val="16"/>
        </w:rPr>
        <w:softHyphen/>
        <w:t>ор Филиппов и старший техник по вооружению старший техник-лейтенант Гурьев, от завода № 464 НКАП — конструктор Егорычев и мастер по воору</w:t>
      </w:r>
      <w:r w:rsidRPr="008127F8">
        <w:rPr>
          <w:color w:val="000000" w:themeColor="text1"/>
          <w:sz w:val="16"/>
          <w:szCs w:val="16"/>
        </w:rPr>
        <w:softHyphen/>
        <w:t>жению Воробей.</w:t>
      </w:r>
    </w:p>
    <w:p w14:paraId="4373BEB2"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lastRenderedPageBreak/>
        <w:t>В заключении акта по испытаниям констатиро</w:t>
      </w:r>
      <w:r w:rsidRPr="008127F8">
        <w:rPr>
          <w:color w:val="000000" w:themeColor="text1"/>
          <w:sz w:val="16"/>
          <w:szCs w:val="16"/>
        </w:rPr>
        <w:softHyphen/>
        <w:t>валось, что «ракетная установка под РС-82 с рас</w:t>
      </w:r>
      <w:r w:rsidRPr="008127F8">
        <w:rPr>
          <w:color w:val="000000" w:themeColor="text1"/>
          <w:sz w:val="16"/>
          <w:szCs w:val="16"/>
        </w:rPr>
        <w:softHyphen/>
        <w:t>положением их тандемом (один за другим) /.../ испытаний не выдержала, как конструктивно недо</w:t>
      </w:r>
      <w:r w:rsidRPr="008127F8">
        <w:rPr>
          <w:color w:val="000000" w:themeColor="text1"/>
          <w:sz w:val="16"/>
          <w:szCs w:val="16"/>
        </w:rPr>
        <w:softHyphen/>
        <w:t>работанная». Дальнейшее развитие эта работа не получила (17500).</w:t>
      </w:r>
    </w:p>
    <w:p w14:paraId="4A678469"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lang w:eastAsia="ru-RU"/>
        </w:rPr>
      </w:pPr>
    </w:p>
    <w:p w14:paraId="004F908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июня 1942 вышло [Справка о выдаче Молокову В.С. мандата уполномоченного ГКО по проверке готовности авиатрассы Красноярск- Уэлен.] № 1899 (7038, 114).</w:t>
      </w:r>
    </w:p>
    <w:p w14:paraId="07676EF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18EC3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252B1D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1915B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июня 1942 года вышел приказ НКВ и НКБ № 304сс/356сс</w:t>
      </w:r>
    </w:p>
    <w:p w14:paraId="176379E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ГОО № 1883сс от 6 июня 1942 года “О производстве дымовых шашек на июнь 1942 года”:</w:t>
      </w:r>
    </w:p>
    <w:p w14:paraId="5E48F97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Передать НКБ для организации производства дымовых шашек завод № 367 НКВ (Загорск) (5894, 92).</w:t>
      </w:r>
    </w:p>
    <w:p w14:paraId="3096145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973D41"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8 июля 1942 года появился приказ по Кировскому заводу № 55с, в кото</w:t>
      </w:r>
      <w:r w:rsidRPr="008127F8">
        <w:rPr>
          <w:rFonts w:ascii="Times New Roman" w:cs="Times New Roman"/>
          <w:color w:val="000000" w:themeColor="text1"/>
          <w:spacing w:val="0"/>
        </w:rPr>
        <w:softHyphen/>
        <w:t>ром говорилось следующее:</w:t>
      </w:r>
    </w:p>
    <w:p w14:paraId="2D158C74"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«Во исполнение постановления ГКО от 3/</w:t>
      </w:r>
      <w:r w:rsidRPr="008127F8">
        <w:rPr>
          <w:rFonts w:ascii="Times New Roman" w:cs="Times New Roman"/>
          <w:color w:val="000000" w:themeColor="text1"/>
          <w:spacing w:val="0"/>
          <w:lang w:val="en-US"/>
        </w:rPr>
        <w:t>VII</w:t>
      </w:r>
      <w:r w:rsidRPr="008127F8">
        <w:rPr>
          <w:rFonts w:ascii="Times New Roman" w:cs="Times New Roman"/>
          <w:color w:val="000000" w:themeColor="text1"/>
          <w:spacing w:val="0"/>
        </w:rPr>
        <w:t xml:space="preserve"> - с.г. за № 1598 и приказа Народ</w:t>
      </w:r>
      <w:r w:rsidRPr="008127F8">
        <w:rPr>
          <w:rFonts w:ascii="Times New Roman" w:cs="Times New Roman"/>
          <w:color w:val="000000" w:themeColor="text1"/>
          <w:spacing w:val="0"/>
        </w:rPr>
        <w:softHyphen/>
        <w:t>ного Комиссара танковой промышленности от 4/</w:t>
      </w:r>
      <w:r w:rsidRPr="008127F8">
        <w:rPr>
          <w:rFonts w:ascii="Times New Roman" w:cs="Times New Roman"/>
          <w:color w:val="000000" w:themeColor="text1"/>
          <w:spacing w:val="0"/>
          <w:lang w:val="en-US"/>
        </w:rPr>
        <w:t>VTI</w:t>
      </w:r>
      <w:r w:rsidRPr="008127F8">
        <w:rPr>
          <w:rFonts w:ascii="Times New Roman" w:cs="Times New Roman"/>
          <w:color w:val="000000" w:themeColor="text1"/>
          <w:spacing w:val="0"/>
        </w:rPr>
        <w:t xml:space="preserve"> - ПРИКАЗЫВАЮ:</w:t>
      </w:r>
    </w:p>
    <w:p w14:paraId="2EBA0D9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Выпуск танков </w:t>
      </w:r>
      <w:r w:rsidRPr="008127F8">
        <w:rPr>
          <w:rFonts w:ascii="Times New Roman" w:hAnsi="Times New Roman"/>
          <w:color w:val="000000" w:themeColor="text1"/>
          <w:sz w:val="16"/>
          <w:szCs w:val="16"/>
          <w:lang w:val="en-US"/>
        </w:rPr>
        <w:t>KB</w:t>
      </w:r>
      <w:r w:rsidRPr="008127F8">
        <w:rPr>
          <w:rFonts w:ascii="Times New Roman" w:hAnsi="Times New Roman"/>
          <w:color w:val="000000" w:themeColor="text1"/>
          <w:sz w:val="16"/>
          <w:szCs w:val="16"/>
        </w:rPr>
        <w:t xml:space="preserve"> в июле месяце устано</w:t>
      </w:r>
      <w:r w:rsidRPr="008127F8">
        <w:rPr>
          <w:rFonts w:ascii="Times New Roman" w:hAnsi="Times New Roman"/>
          <w:color w:val="000000" w:themeColor="text1"/>
          <w:sz w:val="16"/>
          <w:szCs w:val="16"/>
        </w:rPr>
        <w:softHyphen/>
        <w:t>вить в количестве 150 штук (из них 100 ма</w:t>
      </w:r>
      <w:r w:rsidRPr="008127F8">
        <w:rPr>
          <w:rFonts w:ascii="Times New Roman" w:hAnsi="Times New Roman"/>
          <w:color w:val="000000" w:themeColor="text1"/>
          <w:sz w:val="16"/>
          <w:szCs w:val="16"/>
        </w:rPr>
        <w:softHyphen/>
        <w:t xml:space="preserve">шин </w:t>
      </w:r>
      <w:r w:rsidRPr="008127F8">
        <w:rPr>
          <w:rFonts w:ascii="Times New Roman" w:hAnsi="Times New Roman"/>
          <w:color w:val="000000" w:themeColor="text1"/>
          <w:sz w:val="16"/>
          <w:szCs w:val="16"/>
          <w:lang w:val="en-US"/>
        </w:rPr>
        <w:t>KB</w:t>
      </w:r>
      <w:r w:rsidRPr="008127F8">
        <w:rPr>
          <w:rFonts w:ascii="Times New Roman" w:hAnsi="Times New Roman"/>
          <w:color w:val="000000" w:themeColor="text1"/>
          <w:sz w:val="16"/>
          <w:szCs w:val="16"/>
        </w:rPr>
        <w:t xml:space="preserve"> и 50 машин </w:t>
      </w:r>
      <w:r w:rsidRPr="008127F8">
        <w:rPr>
          <w:rFonts w:ascii="Times New Roman" w:hAnsi="Times New Roman"/>
          <w:color w:val="000000" w:themeColor="text1"/>
          <w:sz w:val="16"/>
          <w:szCs w:val="16"/>
          <w:lang w:val="en-US"/>
        </w:rPr>
        <w:t>KB</w:t>
      </w:r>
      <w:r w:rsidRPr="008127F8">
        <w:rPr>
          <w:rFonts w:ascii="Times New Roman" w:hAnsi="Times New Roman"/>
          <w:color w:val="000000" w:themeColor="text1"/>
          <w:sz w:val="16"/>
          <w:szCs w:val="16"/>
        </w:rPr>
        <w:t>-1С с облегчен</w:t>
      </w:r>
      <w:r w:rsidRPr="008127F8">
        <w:rPr>
          <w:rFonts w:ascii="Times New Roman" w:hAnsi="Times New Roman"/>
          <w:color w:val="000000" w:themeColor="text1"/>
          <w:sz w:val="16"/>
          <w:szCs w:val="16"/>
        </w:rPr>
        <w:softHyphen/>
        <w:t>ными корпусами, башнями с командирской башенкой, новой системой охлаждения и но</w:t>
      </w:r>
      <w:r w:rsidRPr="008127F8">
        <w:rPr>
          <w:rFonts w:ascii="Times New Roman" w:hAnsi="Times New Roman"/>
          <w:color w:val="000000" w:themeColor="text1"/>
          <w:sz w:val="16"/>
          <w:szCs w:val="16"/>
        </w:rPr>
        <w:softHyphen/>
        <w:t>вой КПП), для чего:</w:t>
      </w:r>
    </w:p>
    <w:p w14:paraId="32A73BD5" w14:textId="77777777" w:rsidR="007C5583" w:rsidRPr="008127F8" w:rsidRDefault="007C5583" w:rsidP="007C5583">
      <w:pPr>
        <w:pStyle w:val="27"/>
        <w:shd w:val="clear" w:color="auto" w:fill="auto"/>
        <w:tabs>
          <w:tab w:val="left" w:pos="510"/>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а). Начальнику отдела № I т. Злыдневу с 5/</w:t>
      </w:r>
      <w:r w:rsidRPr="008127F8">
        <w:rPr>
          <w:rFonts w:ascii="Times New Roman" w:cs="Times New Roman"/>
          <w:color w:val="000000" w:themeColor="text1"/>
          <w:spacing w:val="0"/>
          <w:lang w:val="en-US"/>
        </w:rPr>
        <w:t>VII</w:t>
      </w:r>
      <w:r w:rsidRPr="008127F8">
        <w:rPr>
          <w:rFonts w:ascii="Times New Roman" w:cs="Times New Roman"/>
          <w:color w:val="000000" w:themeColor="text1"/>
          <w:spacing w:val="0"/>
        </w:rPr>
        <w:t xml:space="preserve"> ежесуточную сдачу готовых танков ограничить 5—6 машинами, переделав исхо</w:t>
      </w:r>
      <w:r w:rsidRPr="008127F8">
        <w:rPr>
          <w:rFonts w:ascii="Times New Roman" w:cs="Times New Roman"/>
          <w:color w:val="000000" w:themeColor="text1"/>
          <w:spacing w:val="0"/>
        </w:rPr>
        <w:softHyphen/>
        <w:t>дя из этого, графики сборки и сдачи машин в июле месяце.</w:t>
      </w:r>
    </w:p>
    <w:p w14:paraId="54AF3125" w14:textId="77777777" w:rsidR="007C5583" w:rsidRPr="008127F8" w:rsidRDefault="007C5583" w:rsidP="007C5583">
      <w:pPr>
        <w:pStyle w:val="27"/>
        <w:shd w:val="clear" w:color="auto" w:fill="auto"/>
        <w:tabs>
          <w:tab w:val="left" w:pos="548"/>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б). Начальнику ППО завода (планово- производственный отдел. —</w:t>
      </w:r>
      <w:r w:rsidRPr="008127F8">
        <w:rPr>
          <w:rStyle w:val="BodytextBoldItalic"/>
          <w:rFonts w:eastAsia="Arial Unicode MS"/>
          <w:color w:val="000000" w:themeColor="text1"/>
          <w:sz w:val="16"/>
          <w:szCs w:val="16"/>
        </w:rPr>
        <w:t xml:space="preserve"> Прим. автора) </w:t>
      </w:r>
      <w:r w:rsidRPr="008127F8">
        <w:rPr>
          <w:rFonts w:ascii="Times New Roman" w:cs="Times New Roman"/>
          <w:color w:val="000000" w:themeColor="text1"/>
          <w:spacing w:val="0"/>
        </w:rPr>
        <w:t>т. Швелидзе представить на мое утвержде</w:t>
      </w:r>
      <w:r w:rsidRPr="008127F8">
        <w:rPr>
          <w:rFonts w:ascii="Times New Roman" w:cs="Times New Roman"/>
          <w:color w:val="000000" w:themeColor="text1"/>
          <w:spacing w:val="0"/>
        </w:rPr>
        <w:softHyphen/>
        <w:t>ние пересмотренные графики сборки и сда</w:t>
      </w:r>
      <w:r w:rsidRPr="008127F8">
        <w:rPr>
          <w:rFonts w:ascii="Times New Roman" w:cs="Times New Roman"/>
          <w:color w:val="000000" w:themeColor="text1"/>
          <w:spacing w:val="0"/>
        </w:rPr>
        <w:softHyphen/>
        <w:t>чи танков в июле м-це по цехам, оставив программы заготовительных и механиче</w:t>
      </w:r>
      <w:r w:rsidRPr="008127F8">
        <w:rPr>
          <w:rFonts w:ascii="Times New Roman" w:cs="Times New Roman"/>
          <w:color w:val="000000" w:themeColor="text1"/>
          <w:spacing w:val="0"/>
        </w:rPr>
        <w:softHyphen/>
        <w:t>ских цехов без изменения (КПП изготовлять по 12 группе в полном объеме согласно за</w:t>
      </w:r>
      <w:r w:rsidRPr="008127F8">
        <w:rPr>
          <w:rFonts w:ascii="Times New Roman" w:cs="Times New Roman"/>
          <w:color w:val="000000" w:themeColor="text1"/>
          <w:spacing w:val="0"/>
        </w:rPr>
        <w:softHyphen/>
        <w:t>данной программы, за исключением 50 ком</w:t>
      </w:r>
      <w:r w:rsidRPr="008127F8">
        <w:rPr>
          <w:rFonts w:ascii="Times New Roman" w:cs="Times New Roman"/>
          <w:color w:val="000000" w:themeColor="text1"/>
          <w:spacing w:val="0"/>
        </w:rPr>
        <w:softHyphen/>
        <w:t xml:space="preserve">плектов для </w:t>
      </w:r>
      <w:r w:rsidRPr="008127F8">
        <w:rPr>
          <w:rFonts w:ascii="Times New Roman" w:cs="Times New Roman"/>
          <w:color w:val="000000" w:themeColor="text1"/>
          <w:spacing w:val="0"/>
          <w:lang w:val="en-US"/>
        </w:rPr>
        <w:t>KB</w:t>
      </w:r>
      <w:r w:rsidRPr="008127F8">
        <w:rPr>
          <w:rFonts w:ascii="Times New Roman" w:cs="Times New Roman"/>
          <w:color w:val="000000" w:themeColor="text1"/>
          <w:spacing w:val="0"/>
        </w:rPr>
        <w:t>-1С)» (15226).</w:t>
      </w:r>
    </w:p>
    <w:p w14:paraId="5FFD3F51" w14:textId="77777777" w:rsidR="007C5583" w:rsidRPr="008127F8" w:rsidRDefault="007C5583" w:rsidP="007C5583">
      <w:pPr>
        <w:pStyle w:val="27"/>
        <w:shd w:val="clear" w:color="auto" w:fill="auto"/>
        <w:tabs>
          <w:tab w:val="left" w:pos="548"/>
        </w:tabs>
        <w:spacing w:after="0" w:line="240" w:lineRule="auto"/>
        <w:ind w:firstLine="0"/>
        <w:rPr>
          <w:rFonts w:ascii="Times New Roman" w:cs="Times New Roman"/>
          <w:color w:val="000000" w:themeColor="text1"/>
          <w:spacing w:val="0"/>
        </w:rPr>
      </w:pPr>
    </w:p>
    <w:p w14:paraId="1172EF54" w14:textId="77777777" w:rsidR="007C5583" w:rsidRPr="008127F8" w:rsidRDefault="007C5583" w:rsidP="007C5583">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июня 1942 года вышел приказ о преобразовании мастерской корпусов и термического отделения цеха №5 в самостоятельный цех корпусов в связи с резким увеличением производственной программы и необходимостью бесперебойного снабжения сборки бронеавтомобилей БА-64-125 (начальником цеха назначен П.П. Денисов) (15218).</w:t>
      </w:r>
    </w:p>
    <w:p w14:paraId="01542862" w14:textId="77777777" w:rsidR="007C5583" w:rsidRPr="008127F8" w:rsidRDefault="007C5583" w:rsidP="007C5583">
      <w:pPr>
        <w:widowControl w:val="0"/>
        <w:spacing w:after="0" w:line="240" w:lineRule="auto"/>
        <w:jc w:val="both"/>
        <w:rPr>
          <w:rFonts w:ascii="Times New Roman" w:hAnsi="Times New Roman"/>
          <w:color w:val="000000" w:themeColor="text1"/>
          <w:sz w:val="16"/>
          <w:szCs w:val="16"/>
        </w:rPr>
      </w:pPr>
    </w:p>
    <w:p w14:paraId="1C085FAD" w14:textId="77777777" w:rsidR="00404762" w:rsidRPr="008A2E5A" w:rsidRDefault="00404762" w:rsidP="004047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июня 1942 года Малышевым был подписан Приказ №436с по НКТП, который продублировал постановление ГКО №1878 от 5 июня. Но по факту работы над КВ-1с второго варианта начались раньше. Ведущим инженером машины был назначен М.Ф. Балжи, для него это был первый опыт в таком статусе. Интересно то, что обычно чертежная документация шла с трехзначной цифрой, например, КВ-13 имел номер 233 (отсюда и пошла легенда про Объект 233). В случае с КВ-1с индекс, подобно КВ, начинался с КВ-1с. В виду крайней важности работы к ней подключили и СКБ-2 ЧКЗ, и КБ завода №100. Со стороны СКБ-2 работы возглавил Н.Л. Духов (при общем руководстве Котина), ключевую роль играли инженеры-конструкторы Л.Е. Сычев, Г.А. Михайлов, А.Н. Стернин, Г.А. Серегин и А.Н. Баран. Со стороны опытного завода №100 работы возглавлял А.С. Ермолаев, привлекались и инженеры-конструкторы, которые работали по КВ-13. Это существенно затормозило работы по машине, вероятнее всего, именно по этой причине случился конфликт между Котиным и Цейцем. Николай Валентинович, очень переживавший по поводу судьбы машины, не выдержал такого удара судьбы, 19 июля 1942 года его не стало. Далее работы по КВ-13 передали Шашмурину, который также был занят по КВ-1с (КПП).</w:t>
      </w:r>
    </w:p>
    <w:p w14:paraId="084B3FCD" w14:textId="77777777" w:rsidR="00404762" w:rsidRPr="008A2E5A" w:rsidRDefault="00404762" w:rsidP="004047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самом деле проблема была не только с КВ-1с. Окончательно Цейца добила ситуация вокруг Т-34. Дело в том, что 3 июля 1942 года Сталин подписал постановление ГКО №1958сс "О танках Т-34 и Т-70". Согласно ему, выпуск Т-34 организовывался и в Челябинске. В.А. Малышева сняли с должности наркома танковой промышленности, вместо него назначили И.М. Зальцмана. Ему дали жесткий приказ - увеличить выпуск Т-34 любой ценой. От этого пострадал и КВ-1с. Несмотря на то, что первые чертежи были готовы 6-7 июня 1942 года, работы по машине задержались (23351).</w:t>
      </w:r>
    </w:p>
    <w:p w14:paraId="49DB47AE" w14:textId="77777777" w:rsidR="00404762" w:rsidRPr="008A2E5A" w:rsidRDefault="00404762" w:rsidP="00404762">
      <w:pPr>
        <w:spacing w:after="0" w:line="240" w:lineRule="auto"/>
        <w:jc w:val="both"/>
        <w:rPr>
          <w:rFonts w:ascii="Times New Roman" w:hAnsi="Times New Roman"/>
          <w:color w:val="0070C0"/>
          <w:sz w:val="16"/>
          <w:szCs w:val="16"/>
        </w:rPr>
      </w:pPr>
    </w:p>
    <w:p w14:paraId="7C59BE7E" w14:textId="77777777" w:rsidR="00404762" w:rsidRPr="008A2E5A" w:rsidRDefault="00404762" w:rsidP="004047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июня 1942 г., исполняя постановление ГКО от 5 июня 1942 г. № 1879 с/с, В.А. Малышев издал приказ № 435с, где говорилось о решениях ГКО по улучшению танка Т-34. Нарком писал: «важнейшей и первоочередной задачей директоров и главных инженеров завода № 112 т. Рубинчик и т. Михалева и др. является быстрое проведение работ по улучшению механизмов передачи для обзорности танков Т-34, а также систематическая работа по улучшению качества танков Т-34 и его узлов, особенно бортовой передачи ленивцев и корпуса танков» (ЦАНО. Ф. Р-15. Оп. 4. Д. 158. Л. 104.).</w:t>
      </w:r>
    </w:p>
    <w:p w14:paraId="19EDD146" w14:textId="77777777" w:rsidR="00404762" w:rsidRPr="008A2E5A" w:rsidRDefault="00404762" w:rsidP="004047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Нарком писал: «Учитывая, что 4-х скоростная коробка перемены передач затрудняет управление танком и ограничивает возможности полного использования дизеля, а также, что конструкция коробки перемены передач с подвижными шестернями не исключает возможности скола шестерен при недостаточно умелом вождении танка, директору завода 183 т. Максареву и главному конструктору т. Морозову к 10 июля [1942 г.] на заводе № 183 изготовить 3 образца скоростной коробки переменной передачи с постоянным сцеплением и 5 комплектов новой конструкции ленивца для танка Т-34» (ЦАНО. Ф. Р-15. Оп. 4. Д. 158. Л. 104-105.).</w:t>
      </w:r>
    </w:p>
    <w:p w14:paraId="53823AAD" w14:textId="77777777" w:rsidR="00404762" w:rsidRPr="008A2E5A" w:rsidRDefault="00404762" w:rsidP="004047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Приказом предписывалось: «Одновременно с изготовлением опытных образцов коробки перемены передач и опытных танков немедленно начать технологическую подготовку производства новых коробок перемены передачи и кривошипов ленивцев с тем, чтобы к 20/VIII - с.г. заводы были полностью подготовлены к выпуску танков Т-34 с новыми коробками перемены передач и новыми ленивцами» (ЦАНО. Ф. Р-15. Оп. 4. Д. 158. Л. 105.).</w:t>
      </w:r>
    </w:p>
    <w:p w14:paraId="4611ED4B" w14:textId="77777777" w:rsidR="00404762" w:rsidRPr="008A2E5A" w:rsidRDefault="00404762" w:rsidP="004047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Нарком распорядился отправить рабочие чертежи на пятискоростную коробку перемены передач и на нового ленивца заводам СТЗ, № 112, № 174, к 20</w:t>
      </w:r>
      <w:r w:rsidRPr="008A2E5A">
        <w:rPr>
          <w:rFonts w:ascii="Times New Roman" w:hAnsi="Times New Roman"/>
          <w:color w:val="0070C0"/>
          <w:sz w:val="16"/>
          <w:szCs w:val="16"/>
        </w:rPr>
        <w:softHyphen/>
        <w:t>го июня 1942 г., а директорам и главным инженерам этих заводов - Задорожному, Демьянову, Рубинчику, Михалеву, Кацнельсон, Ишору, по получению чертежей, немедленно приступить к разработке технологии и заготовлению оснастки с расчетом полностью подготовить заводы к выпуску танков Т-34 с новыми коробками перемены передач и новыми ленивцами, начиная с 1-го сентября 1942 года (ЦАНО. Ф. Р-15. Оп. 4. Д. 158. Л. 105.). В.А. Малышев приказал в целях улучшения обзорности танков Т-34 директору и главному инженеру завода № 112 тов. Рубинчику и т. Михалеву «к 15/VIII - с.г. обеспечить выпуск Т-34 с командирской башенкой» (ЦАНО. Ф. Р-15. Оп. 4. Д. 158. Л. 106.).</w:t>
      </w:r>
    </w:p>
    <w:p w14:paraId="38C9260C" w14:textId="77777777" w:rsidR="00404762" w:rsidRPr="008A2E5A" w:rsidRDefault="00404762" w:rsidP="004047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Командирская башенка на башне танка Т-34, - писал В.А. Малышев, «должна быть расположена позади стреляющей точки, допустить при этом, что наружные части командирской башенки выступали из пределов башни танка» (ЦАНО. Ф. Р-15. Оп. 4. Д. 158. Л. 106.) (23540).</w:t>
      </w:r>
    </w:p>
    <w:p w14:paraId="17C55EFF" w14:textId="77777777" w:rsidR="00404762" w:rsidRPr="008A2E5A" w:rsidRDefault="00404762" w:rsidP="00404762">
      <w:pPr>
        <w:spacing w:after="0" w:line="240" w:lineRule="auto"/>
        <w:jc w:val="both"/>
        <w:rPr>
          <w:rFonts w:ascii="Times New Roman" w:hAnsi="Times New Roman"/>
          <w:color w:val="0070C0"/>
          <w:sz w:val="16"/>
          <w:szCs w:val="16"/>
        </w:rPr>
      </w:pPr>
    </w:p>
    <w:p w14:paraId="09DA1ECD" w14:textId="77777777" w:rsidR="00404762" w:rsidRPr="008A2E5A" w:rsidRDefault="00404762" w:rsidP="004047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июня 1942 г., согласно приемо-сдаточному акту, состояние технологии по танку Т-34 на заводе № 112 к этому времени было следующим. Обеспеченность детальной технологией составляла 93 %, а сборочной - 97 % (ЦАНО. Ф. Р-15. Оп. 4. Д. 169. Л. 6.) . На заводе продолжалось промышленное строительство, которое велось смешанным способом. Удельный вес отдельных исполнителей в объеме выполненных за 4 месяца строительных работ составлял: хозрасчет - 50,1 %, основная деятельность - 31,6 %, организации НКС - 14,1 %, Центроэлектромонтаж - 4,2 % (ЦАНО. Ф. Р-15. Оп. 4. Д. 169. Л. 18.) (23540).</w:t>
      </w:r>
    </w:p>
    <w:p w14:paraId="0FDC60DD" w14:textId="77777777" w:rsidR="00404762" w:rsidRPr="008A2E5A" w:rsidRDefault="00404762" w:rsidP="00404762">
      <w:pPr>
        <w:spacing w:after="0" w:line="240" w:lineRule="auto"/>
        <w:jc w:val="both"/>
        <w:rPr>
          <w:rFonts w:ascii="Times New Roman" w:hAnsi="Times New Roman"/>
          <w:color w:val="0070C0"/>
          <w:sz w:val="16"/>
          <w:szCs w:val="16"/>
        </w:rPr>
      </w:pPr>
    </w:p>
    <w:p w14:paraId="149DFA4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июня 1942 вышло Постановление ГКО № 1896 О мероприятиях по обеспечению плана сплава и водных перевозок леса в навигацию 1942 г. (7038, 83-89,90-101).</w:t>
      </w:r>
    </w:p>
    <w:p w14:paraId="0B97B5B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21E6E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июня 1942 вышло Постановление ГКО № 1897 Об увеличении среднесуточной погрузки угля в июне 1942 г. РГАНИР, Фонд ГКО, д. 39, лл. 102 (11012).</w:t>
      </w:r>
    </w:p>
    <w:p w14:paraId="6DA348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198C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июня 1942 вышло Постановление ГКО № 1900 О производстве снарядов М-30 на июнь-июль месяцы 1942 года. РГАНИР, Фонд ГКО, д. 39, лл. 115-118, 119-137 (11012).</w:t>
      </w:r>
    </w:p>
    <w:p w14:paraId="6B23DB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ABF4A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июня 1942 г. ИЗ ОТЧЕТА О РАБОТЕ ЗАВОДА № 617 ЗА ПЯТЬ МЕСЯЦЕВ 1942 г.</w:t>
      </w:r>
    </w:p>
    <w:p w14:paraId="34D507D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истекший период времени заводом № 617 проделана значительная работа по обеспечению пуска 1-й очереди производства: пущена в эксплуатацию первая очередь газового завода; заканчивается монтаж водородного завода; размещены производственные цеха в предоставленном заводу здании — смонтировано и запущено оборудование основных заготовительных цехов (штамповочного, сеточного и технологического), а также первой очереди цехов сборки приемно-усилительных ламп, миниатюрных осветительных ламп, среднегенераторных ламп, рентгеновских трубок, мощногенераторных ламп и газовых приборов. Закончены строительство и монтаж оборудования первой очереди цеха стеклянных и металлических радиоламп. С 1 февраля сего года, пустив первую очередь газового завода, заготовительные цехи и первую очередь двух сборочных цехов, завод вступил в число действующих предприятий. Однако все вышеуказанные работы не исчерпывают того, что необходимо проделать заводу для обеспечения специальных решений по вопросу мощности завода. Годовая мощность завода должна быть доведена до 70 миллионов рублей в год и по номенклатуре соответствовать заводу Ms 211, так как кроме выпуска приемных радиоламп, среднегенераторных ламп и миниатюрных осветительных ламп, [предстоит] освоить производство мощногенераторных ламп, рентгеновских трубок и газовых приборов в пределах и по номенклатуре, обеспечивающей потребность страны в военной обстановке. Для обеспечения годового выпуска в 70 миллионов рублей потребуется в 1942 году: окончить строительство стекольного завода 1[-й] и 2[-й] очереди и вспомогательных мастерских при нем; окончить строительство и монтаж энергетических объектов; окончить строительство газового завода, главного корпуса завода, корпуса НИГАИК, складов и столовой.</w:t>
      </w:r>
    </w:p>
    <w:p w14:paraId="6B9A181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ПО ПРОИЗВОДСТВУ: создать механическую и инструментальную базы с парком металлообрабатывающего оборудования, способным производить ремонт всего специфического оборудования и изготовить инструментарий на всю номенклатуру изделий по программе; организовать полуфабрикатный цех и укомплектовать его оборудованием и кадрами для производства крупных деталей и крепежа для всех изделий.</w:t>
      </w:r>
    </w:p>
    <w:p w14:paraId="119B46E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КАДРАМ: пополнить кадры специалистами электровакуумного производства: конструкторами изделий и оборудования, механиками, инструментальщиками, установщиками, мастерами; набрать, подготовить и воспитать в отношении к производству новые кадры рабочих. Кадрами завод не обеспечен и если количественно в отношении кадров имеется относительное благополучие, то качественно кадры не соответствуют требованию электровакуумного производства. Пополнение в Новосибирске шло в значительной части за счет подростков от 14 до 16 лет и женщин, подлежащих мобилизации. И тем и другим производственные навыки прививаются с большим трудом, особенно если учесть трудные условия работы в электровакуумном производстве (вредность при работе на газу, высокая температура у станка, работа со стеклом, необходимость напряженной и внимательной работы с мелкими деталями).</w:t>
      </w:r>
    </w:p>
    <w:p w14:paraId="0CFB10D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 Выполнение производственной программы</w:t>
      </w:r>
    </w:p>
    <w:p w14:paraId="16C0C4B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же действующая часть производства, могущая работать, не работает в соответствии с теми мощностями, которые являются реальными, а именно: группа малогабаритных ламп имеет возможность выпуска 60 тысяч ламп в месяц, фактически выпуск в апреле — 21 тысяча штук, в мае — 20 тысяч штук, благодаря повышенному браку, необученности рабочей силы и необходимости перестройки линейки на новые типы ламп, еще не производимые в Новосибирске. Повышенный брак по малогабаритным лампам связан с работой на баритоновом стекле взамен свинцового, что снижает выход годных ламп на 20—25 процентов. Работа на не чищенном от серы газе дает еще лишних 5-10 процентов брака. Перестройка линейки вызывает первое время рост брака,.так как требует переобучения работниц на монтаже (ручные операции). Отставание от предельной мощности вызвано повышенным браком на операции: сборке, заварке, откачке, главным же образом простоями из-за отсутствия воды и цоколей. Повышенный брак объясняется наличием в цехе новых работниц, у которых еще нет достаточного навыка и умения обрабатывать миниатюрные лампы. Простои вызваны отсутствием латунной ленты и холоднокатан ной стальной ленты. Среднегенераторных ламп цех может давать 1 600-1 700 штук определенной номенклатуры. Цех пущен в эксплуатацию 20 мая и имеет выпуск в мае 237 штук ламп. В июне месяце вводится в эксплуатацию цех мощногенераторных ламп в пределах 30 процентов мощности, рентгеновских трубок — в пределах 20 процентов мощности. Работать будут на деталях, привезенных из Ленинграда, и реставрированных, вышедших из строя ламп. Дальнейшая судьба этих цехов связана с пуском стекольного завода, организацией цеха полуфабрикатов и укомплектованием их кадрами мантеров-установщиков, электромонтеров и операционными рабочими по обработке стекла (стеклодувы 5-6[-го] разряда). Все вышеизложенное привело к выполнению заводом программы по готовым изделиям на 52,8 процента, в мае - на 54,4 процента и за пять месяцев работы — на 32,3 процента, в сравнении с реальными возможностями завода, и на 20,7 [процента] за пять месяцев, на 32,6 процента в апреле и на 16 процентов в мае, в сравнении с планом Главка.</w:t>
      </w:r>
    </w:p>
    <w:p w14:paraId="7C469EE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 Комплектность оборудования</w:t>
      </w:r>
    </w:p>
    <w:p w14:paraId="3C4BE82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-V1 617 организовался на базе эвакуированной части оборудования завода Хе 211 (город Ленинград - завод «Светлана»).</w:t>
      </w:r>
    </w:p>
    <w:p w14:paraId="4715018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город Новосибирск прибыло оборудование следующих цехов:</w:t>
      </w:r>
    </w:p>
    <w:p w14:paraId="0BE91D3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Цех металлических радиоламп - около 30 процентов оборудования некомплектно. Оборудование установлено и частично эксплуатируется.</w:t>
      </w:r>
    </w:p>
    <w:p w14:paraId="0913B50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Цех стеклянных радиоламп - около 40 процентов оборудования комплектно (кроме инструмента). Оборудование смонтировано. Три линейки из семи эксплуатируются. Остальные подготовлены к пуску.</w:t>
      </w:r>
    </w:p>
    <w:p w14:paraId="5413CD4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Цех среднегенераторных ламп — около 50 процентов оборудования некомплектно. Оборудование смонтировано и эксплуатируется.</w:t>
      </w:r>
    </w:p>
    <w:p w14:paraId="16B684B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Цех мощногенераторных ламп — 30 процентов некомплектно, из пяти постов для откачки ламп смонтированы только два (цех не окончен строительством), которые введены в эксплуатацию.</w:t>
      </w:r>
    </w:p>
    <w:p w14:paraId="730F3B1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Цех рентгеновских трубок - полностью некомплектно. Из числа прибывшего оборудования смонтировано 20 процентов (помещение цеха не закончено строительством).</w:t>
      </w:r>
    </w:p>
    <w:p w14:paraId="2A5B124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Цех штамповочный — полностью, за исключением отдельных прессов, смонтирован и полностью введен в эксплуатацию.</w:t>
      </w:r>
    </w:p>
    <w:p w14:paraId="02D868A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Цех сеточный (заготовительный) — около 85 процентов некомплектно. Цех смонтирован и введен в эксплуатацию.</w:t>
      </w:r>
    </w:p>
    <w:p w14:paraId="4332F5F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Цех миниатюрных ламп - 85 процентов комплектно.</w:t>
      </w:r>
    </w:p>
    <w:p w14:paraId="1512691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семи линеек смонтировано только три (помещение цеха не закончено строительством). Смонтированное оборудование введено в эксплуатацию.</w:t>
      </w:r>
    </w:p>
    <w:p w14:paraId="7E563A7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Цех газовых приборов — около 20 процентов некомплектно. Цех находится в стадии монтажа, помещение цеха еще не закончено строительством.</w:t>
      </w:r>
    </w:p>
    <w:p w14:paraId="4D0EFB3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Цех технохимический — около 30 процентов некомплектно. Оборудование смонтировано и эксплуатируется.</w:t>
      </w:r>
    </w:p>
    <w:p w14:paraId="52C962F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Стекольный цех - отдельные станки и калибры. Строительство цеха не закончено.</w:t>
      </w:r>
    </w:p>
    <w:p w14:paraId="12E5CD8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Оборудование механических и инструментальных цехов — эвакуировано только около 13 процентов от установленного на заводе № 211 и некомплектно. Оборудование установлено и эксплуатируется.</w:t>
      </w:r>
    </w:p>
    <w:p w14:paraId="150BB32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III. Кадры</w:t>
      </w:r>
    </w:p>
    <w:p w14:paraId="7CE4AE9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Кадры рабочих и ИГР завода состоят из эвакуированных из Ленинграда с завода № 211 и набранных в городе Новосибирске. Из общего количества в 1 796 рабочих, учеников и взрослых обучающихся, работавших ранее в электровакуумном производстве всего 360 человек, то есть 20 процентов. Удельный вес ИТР составляет 25 процентов, что для электровакуумного производства является вполне нормальным. Состав рабочих по квалификации не обеспечивает квалифицированными кадрами, главным образом токарями, слесарями, электромонтерами, установщиками, стеклодувами производство, является одной из причин плохой работы завода и в будущем может отразиться на выполнении плана. Квалификация производственных рабочих и степень их подготовленности для производства электровакуумных приборов характеризуются низким средним разрядом (4-м), при потребности в среднем по заводу в 4,7-4,9 разр. Ход производственно-технического обучения по заводу по данным за январь — май месяцы не охватил всего количества производственных рабочих. Рабочих, не прошедших индивидуальное, бригадное и курсовое обучение, - 885 человек, и если считать, что 360 человек рабочих из Ленинграда обучения не требуют, то из общего числа 1 435 человек рабочих — обучено 60 процентов. Обучение проводилось на рабочем месте, и такой способ для нашего производства нельзя считать качественным. Для обучения рабочих электровакуумной специальности необходима организация специальной мастерской со своим оборудованием и кадрами обучающих. К организации такого рода мастерской завод приступает, и мастерская будет оборудована в ближайшее время. Небольшой процент не выполняющих норм при значительном количестве новой рабочей силы объясняется сравнительно низкими нормами по сравнению с ленинградскими, особенно на тех операциях, где нет ленинградских рабочих, и наличием норм на определенный срок для обучающихся.</w:t>
      </w:r>
    </w:p>
    <w:p w14:paraId="6C0AC55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завода X? 617 Жук</w:t>
      </w:r>
    </w:p>
    <w:p w14:paraId="7442CAB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ППО Лурье</w:t>
      </w:r>
    </w:p>
    <w:p w14:paraId="4167BC6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ГАНО. Ф. П-4. Оп. 6. Д. 432. Л. 20-23. Подлинник.</w:t>
      </w:r>
    </w:p>
    <w:p w14:paraId="43B380E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 документом две подписи-автографа. На документе штамп завода с датой: «8 июня 1942 года». В верхнем правом углу - черными чернилами: «экз. № 2» (12159).</w:t>
      </w:r>
    </w:p>
    <w:p w14:paraId="5863F9D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E73F57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июня 1942 года в приказе В. А. Малышева № 437, посвященном борьбе с дезертирством, в качестве меры предложено создать для молодежи приемлемые условия быта (РГАЭ. Ф. 8752. Оп. 4. Д. 90. Л. 148), а еще в одном, того же периода, для предотвращения трудового дезертирства требуется в обязательном порядке установить для подростков 16 лет и моложе 6-часовой рабочий день и 5-дневную рабочую неделю (РГАЭ. Ф. 8752. Оп. 4. Д. 90. Л. 148). Из этого можно сделать вывод, что среди дезертиров было много молодых рабочих (12290).</w:t>
      </w:r>
    </w:p>
    <w:p w14:paraId="119B7EB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559E3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8-9 июня 1942 г.1 состоялось выступление директора Ижевского мотоциклетного завода М.Ш Дубового на пленуме Удмуртского обкома ВКП (б) о выполнении производственной программы и трудностях в дальнейшем наращивании производственной мощности предприятия:</w:t>
      </w:r>
    </w:p>
    <w:p w14:paraId="346E84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Строго секретно</w:t>
      </w:r>
    </w:p>
    <w:p w14:paraId="0EE011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прошлом пленуме тов. Чекинов, останавливаясь на работе завода №524, указал задачи и отметил, что освоение нового вида оборудования на данном заводе является боевой задачей не только завода, но и всей партийной организации города.2</w:t>
      </w:r>
    </w:p>
    <w:p w14:paraId="45130E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Сегодня я должен заявить пленуму обкома партии, что завод выполнил задание ГКО на апрель-май месяц.</w:t>
      </w:r>
    </w:p>
    <w:p w14:paraId="072929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Сегодня завод работает точно по графику. Нужно сказать, что данные успехи завода являются не только успехом одного завода, а, согласно совершенно правильного замечания тов. Чекинова, это является делом всей парторганизации Удмуртии, т.к. все принимали долю участия в той или иной форме, оказывая помощь заводу в деле выполнения поставленных перед заводом задач.</w:t>
      </w:r>
    </w:p>
    <w:p w14:paraId="513A249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результате резкого роста программы (если взять март месяц за 100%3, то май месяц составляет 430%, июнь - 570%) завод имеет целый ряд недоделов и неполадок. Несмотря на выполнение программы, завод сегодня еще твердо на ногах не стоит. На завод за последние три месяца прибыло много новых рабочих, число которых составляет примерно 60% всего состава. Народ сырой, который никогда не видел производства, и ясно требует, чтобы над ним работали. Здесь справедливо указывал тов. Чекинов, что психология наших отдельных руководителей, малых и больших, заражена тем, что они считают, что с этим народом, мол, программу выполнять нельзя. После проведенной работы с командным составом пришлось кое-кому крепко внушить, чтобы дошло до сознания о том, что программу придется выполнять с этим вновь пришедшим народом, и что на другую рабочую силу мы не можем рассчитывать. Люди стали иначе относиться к делу. Мы имеем случаи, когда целый ряд работников, проработав один-два месяца, не только выполняют нормы, но и перевыполняют их. К таким относятся: прессовщик Ажгицев - цех №16, норму </w:t>
      </w:r>
      <w:r w:rsidRPr="008127F8">
        <w:rPr>
          <w:rFonts w:ascii="Times New Roman" w:hAnsi="Times New Roman"/>
          <w:color w:val="000000" w:themeColor="text1"/>
          <w:sz w:val="16"/>
          <w:szCs w:val="16"/>
        </w:rPr>
        <w:lastRenderedPageBreak/>
        <w:t>выполняет на 150%; прессовщик Карманов - 150%, фрезеровщик Закс - 200%, слесарь Сафонин - 250%, Мокрушин - слесарь - 318%, слесарь Исламов - 254% и т.д. Эти люди раньше никогда не видели станка.</w:t>
      </w:r>
    </w:p>
    <w:p w14:paraId="3E9A973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Параллельно с этим, есть еще очень много новых рабочих, которые нормы еще не выполняют; их у нас на заводе до 35%. Здесь кроются большие резервы завода, это большая сила, которая сможет и должна сейчас резко увеличить выпуск необходимых машин.</w:t>
      </w:r>
    </w:p>
    <w:p w14:paraId="4BA8C5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этого, перед заводом стоит большая задача в смысле пересмотра всей технологии по объекту [№] 503-504. Те, которые знакомы с технологической обработкой данной машины, знают, что принятая нами тульская технология составлена была еще в 1904 г. и очень мало была за это время скорректирована. В основе всей этой технологии была большая масса ручной слесарной обработки.</w:t>
      </w:r>
    </w:p>
    <w:p w14:paraId="24B128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Пересмотр технологии, к которой мы уже частично приступили, дает очень большие результаты. Если возьмем одну деталь, например, рефление кожуха, то проведенное одно рационализаторское предложение дает нам экономию в пять резервных станков и десять человек. Таких примеров у нас немало, но работы еще непочатый край.</w:t>
      </w:r>
    </w:p>
    <w:p w14:paraId="3B5ECC3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Здесь товарищи указывали на целый ряд недостатков завода.4 Эти замечания вполне справедливы, особенно дело обстоит плохо с освоением новых рабочих. Это объясняется тем, что нам за данный период времени, в связи с переходом завода с мотоциклетного на производство вооружения, пришлось не только перестраивать завод в технологическом порядке, но и психологически перестраивать наших бывших мотоциклистов на вооруженцев. Мы имели целый ряд фактов, когда отдельные работники завода, в том числе и отдельные коммунисты, демонстративно отказывались менять свою квалификацию. Партийная организация дала резкий отпор этим коммунистам и призвала их к порядку.</w:t>
      </w:r>
    </w:p>
    <w:p w14:paraId="3ECC54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 Иванов в своем выступлении выразился, что пора заводу №524 самому выполнять программу без посторонней помощи. Перед нашим заводом в мае месяце была поставлена задача - резко увеличить выпуск пулеметов (в два раза больше, чем в апреле). Завод, не имея достаточной технологической базы и не освоив еще полной своей мощности, не смог бы без посторонней помощи выполнить майское задание ГКО. Мною был поставлен вопрос перед зам. народного комиссара Новиковым о том, чтобы нам в данный период времени оказали некоторую помощь в деталях со стороны других заводов. Такая помощь была оказана. В июле программу нам дали больше, чем в мае, между тем мы без посторонней помощи по пулемету идем в графике, по станкам, в связи с отсутствием достаточной мощности, мы вынуждены прибегнуть еще к посторонней помощи. Думаю, что в ближайшие дни будет решен вопрос о дополнительных площадях завода и дополнительной мощности и тогда совершенно откажемся от посторонней помощи.</w:t>
      </w:r>
    </w:p>
    <w:p w14:paraId="3FC2932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 должен отметить, что невыполнение наших заказов по оснащению нового производства по заводу №74 усугубило положение нашего завода, так как вместо недостающего приспособления оснастки, нам приходится покрывать это увеличением количества рабочих.</w:t>
      </w:r>
    </w:p>
    <w:p w14:paraId="2693293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74 безусловно очень многое сделал для развития нашего завода, без его помощи завод бы не мог так скоро выпускать в таком количестве пулеметов, сколько он выпускает, т.к. база, которой располагал наш завод, была очень слаба. Сейчас такая база создана, резервов у завода много и завод бесспорно может давать гораздо больше необходимой продукции, чем он дает. Я уверен, что коллектив завода в ответ на Указ о награждении работников Наркомата вооружения, в том числе группы наших работников, ответит увеличением выпуска пулеметов, ответит беспрекословным выполнением задания ГКО.</w:t>
      </w:r>
    </w:p>
    <w:p w14:paraId="76A1D13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ЦДНИ УР, ф.16, оп.1, д.3402, л.28-31. Подлинник. Машинопись (9681).</w:t>
      </w:r>
    </w:p>
    <w:p w14:paraId="38E507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56BFD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июня 1942 г., находясь на ремонте в Севастополе был уничтожен немецкой авиацией эсминец "Совершенный", который так и не вступил в строй (3898).</w:t>
      </w:r>
    </w:p>
    <w:p w14:paraId="2C0B4A6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32A9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5A8F7B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7D260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8 июня</w:t>
      </w:r>
      <w:r w:rsidRPr="008127F8">
        <w:rPr>
          <w:rFonts w:ascii="Times New Roman" w:hAnsi="Times New Roman"/>
          <w:color w:val="000000" w:themeColor="text1"/>
          <w:sz w:val="16"/>
          <w:szCs w:val="16"/>
        </w:rPr>
        <w:t xml:space="preserve"> в 1942 году утреннее сообщение Совинформбюро:</w:t>
      </w:r>
    </w:p>
    <w:p w14:paraId="5527F88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8 июня на фронте ничего существенного не произошло. На ряде участков имели место активные действия разведывательных отрядов.</w:t>
      </w:r>
    </w:p>
    <w:p w14:paraId="7976897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Ленинградского фронта наша часть нанесла противнику значительный урон. На поле боя осталось свыше 500 трупов немецких солдат и офицеров. Захвачены радиостанция, 4 пулемёта, 2 миномёта, 150 винтовок и большое количество патронов.</w:t>
      </w:r>
    </w:p>
    <w:p w14:paraId="53858BE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одной нашей части (Юго-Западный фронт) уничтожили 2 артиллерийские и 4 миномётные батареи противника, 3 пулемёта, 8 автомашин и до 160 гитлеровцев.</w:t>
      </w:r>
    </w:p>
    <w:p w14:paraId="4555E55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нашей части, действующей на одном из участков Калининского фронта, в течение дня уничтожили 5 немецких танков, 2 орудия и 4 трактора-тягача. Противник потерял только убитыми более 400 солдат и офицеров.</w:t>
      </w:r>
    </w:p>
    <w:p w14:paraId="0B4BA66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участке, заминированном сапёрами взвода, которым командует тов. Брызгалов, подорвались на минах 200 гитлеровцев.</w:t>
      </w:r>
    </w:p>
    <w:p w14:paraId="703A891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подразделения тов. Парфёнова (Калининский фронт) в течение месяца подавили огонь 3 немецких артиллерийских батарей, 23 миномёта, уничтожили несколько орудий и пулемётов, разрушили ряд ДЗОТов и взорвали склад с боеприпасами. За это же время уничтожено по меньшей мере 500 немецких солдат и офицеров.</w:t>
      </w:r>
    </w:p>
    <w:p w14:paraId="10A9230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Р., действующий в одном из оккупированных немцами районов Орловской области, в течение нескольких дней вёл бои с немецко-фашистскими оккупантами. Пехота противника, поддержанная авиацией и артиллерией, пыталась захватить занятый партизанами населённый пункт. Потеряв в боях с партизанами свыше 500 солдат и офицеров, гитлеровцы были вынуждены отступить. Партизаны захватили у оккупантов оружие и боеприпасы.</w:t>
      </w:r>
    </w:p>
    <w:p w14:paraId="43B077F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70 полка 111 немецкой пехотной дивизии Раймунд Ф. сообщил: «В последних боях наша рота потеряла убитыми 40 человек и ранеными 70 человек. Третья рота к началу войны насчитывала 225 человек. Сейчас в ней осталось только пять старых солдат. Остальные убиты или ранены. Резко упала дисциплина. Некоторые солдаты получили за короткий срок по нескольку взысканий. Солдаты Нейман, Файдт и другие приговорены к тюремному заключению за кражу хлеба из ротной повозки. Унтер-офицер Герберт Маун отдан под суд за то, что во время боя ушёл из роты и спрятался в блиндаже. Несколько солдат дезертировало, но было поймано. Их расстреляли перед строем».</w:t>
      </w:r>
    </w:p>
    <w:p w14:paraId="63F704B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захваченной полевой почте противника найдено заявление на имя командира 2 дивизиона (полевая почта № 34833). В этом заявлении Адольф Тедтер из Ганновера пишет: «Мой сын Альберт Тедтер был ранен. У него в спине застряли три пули. Из полевого лазарета его вместе с другими ранеными отправили в товарном вагоне. Они ехали восемь дней и всю дорогу не получали питания. Раны им никто не перевязывал. Эти лишения подорвали жизненные силы моего сына. 18 апреля я был у него в Варшаве. Там он скончался в 7 военном лазарете и погребён на военном кладбище...» (14916).</w:t>
      </w:r>
    </w:p>
    <w:p w14:paraId="167CACF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805047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8 июня</w:t>
      </w:r>
      <w:r w:rsidRPr="008127F8">
        <w:rPr>
          <w:rFonts w:ascii="Times New Roman" w:hAnsi="Times New Roman"/>
          <w:color w:val="000000" w:themeColor="text1"/>
          <w:sz w:val="16"/>
          <w:szCs w:val="16"/>
        </w:rPr>
        <w:t xml:space="preserve"> в 1942 году вечернее сообщение Совинформбюро:</w:t>
      </w:r>
    </w:p>
    <w:p w14:paraId="0389C0B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8 июня на фронте существенных изменений не произошло.</w:t>
      </w:r>
    </w:p>
    <w:p w14:paraId="56B32B1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Севастопольском участке фронта продолжались упорные бои. Наши войска успешно отбивают атаки противника и наносят ему огромные потери.</w:t>
      </w:r>
    </w:p>
    <w:p w14:paraId="3289A9F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7 июня частями нашей авиации на различных участках фронта уничтожено или повреждено 50 немецких автомашин с войсками и грузами, 20 подвод с боеприпасами, 3 артиллерийские батареи, потоплено 3 сторожевых корабля и торпедный катер, повреждён сторожевой корабль и транспорт, взорван склад с боеприпасами, рассеяно и частью уничтожено до роты пехоты противника.</w:t>
      </w:r>
    </w:p>
    <w:p w14:paraId="664A259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Калининского фронта, форсировала реку и выбила немцев из двух населённых пунктов. На другом участке в бою за населённый пункт Д. нашими бойцами уничтожено до 200 немецких солдат и офицеров. Разрушено 4 блиндажа и 7 огневых точек. Наша артиллерия подавила 10 артиллерийских и миномётных батарей противника.</w:t>
      </w:r>
    </w:p>
    <w:p w14:paraId="45903EC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Северо-Западного фронта наши части отбили контратаку, предпринятую немцами. В этом бою подразделения т.т. Пилипенко, Кирюхина иГуликова подбили 10 танков (14916).</w:t>
      </w:r>
    </w:p>
    <w:p w14:paraId="49C487D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39B59F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июня 1942 года самолеты 1-го ГТАП совершили налет на аэродром противника, расположенный в районе Красногвардейска, а 24 июня более двадцати машин полка нанесли бомбовый удар по порту Котка, вызвав там огромный пожар в топливохранилищах (2691).</w:t>
      </w:r>
    </w:p>
    <w:p w14:paraId="49D7D2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A3A960"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8 июня 1942 белой ночью майор В.</w:t>
      </w:r>
      <w:r>
        <w:rPr>
          <w:color w:val="000000" w:themeColor="text1"/>
          <w:sz w:val="16"/>
          <w:szCs w:val="16"/>
        </w:rPr>
        <w:t xml:space="preserve">  </w:t>
      </w:r>
      <w:r w:rsidRPr="008127F8">
        <w:rPr>
          <w:color w:val="000000" w:themeColor="text1"/>
          <w:sz w:val="16"/>
          <w:szCs w:val="16"/>
        </w:rPr>
        <w:t>П.</w:t>
      </w:r>
      <w:r>
        <w:rPr>
          <w:color w:val="000000" w:themeColor="text1"/>
          <w:sz w:val="16"/>
          <w:szCs w:val="16"/>
        </w:rPr>
        <w:t xml:space="preserve">  </w:t>
      </w:r>
      <w:r w:rsidRPr="008127F8">
        <w:rPr>
          <w:color w:val="000000" w:themeColor="text1"/>
          <w:sz w:val="16"/>
          <w:szCs w:val="16"/>
        </w:rPr>
        <w:t>Кузьмин в 3.37 обнаружил юго-западнее острова Большой Тютерс три, как ему показалось, сторожевых катера, шедшие в кильватерной колонне. Зайдя с темной стороны горизонта, он атаковал их с планирования под углом 30°. Вначале Кузьмин выпустил два РС-82 и дал две пушечные очереди. Вспышки «эрэсов» и пушек, особенно яркие в сумерках, на время ослепили летчика, но тот все равно сбросил четыре свои бомбы ФАБ-100. Прозрев, он увидел, что взрывы раздались далеко в стороне от катеров.</w:t>
      </w:r>
    </w:p>
    <w:p w14:paraId="5CA5ACBA"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Кузьмин сделал второй заход, обстреляв катера из пушек и выпустив по ним оставшиеся «эрэсы». По возвращении он заявил о том, что все же повредил один катер. Однако это было утверждение из серии, которые практически нельзя было проверить (19522.</w:t>
      </w:r>
    </w:p>
    <w:p w14:paraId="5AE0484A" w14:textId="77777777" w:rsidR="007C5583" w:rsidRPr="008127F8" w:rsidRDefault="007C5583" w:rsidP="007C5583">
      <w:pPr>
        <w:pStyle w:val="af"/>
        <w:spacing w:before="0" w:after="0"/>
        <w:jc w:val="both"/>
        <w:textAlignment w:val="baseline"/>
        <w:rPr>
          <w:color w:val="000000" w:themeColor="text1"/>
          <w:sz w:val="16"/>
          <w:szCs w:val="16"/>
        </w:rPr>
      </w:pPr>
    </w:p>
    <w:p w14:paraId="69422E3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июня 1942 года были утверждены штаты № 010/392 и 010/394 отдельных батальонов Т-34, в которых было 22 или 24 танка соответственно (из них 19 и 21 Т-34). Эти батальоны могли включаться в бригаду штата № 010/345 -010/352 вместо батальонов штата № 010/346, при этом давалось дополнение к штатам частей обеспечения бригады. Таким образом, к июлю 1942 года штат танковой бригады № 010/345-010/352 имел большое количество изменений и дополнений. Поэтому разработали новые штаты танковых бригад, в которых учли все изменения и дополнения по опыту войны (12217).</w:t>
      </w:r>
    </w:p>
    <w:p w14:paraId="2AF43DC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6F241B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июня 1942 вышло Постановление ГКО № 1901 О расформировании 13 истребительных бригаРГАНИР, Фонд ГКО, д. РГАНИР, Фонд ГКО, д. 39, лл. 138 (11012).</w:t>
      </w:r>
    </w:p>
    <w:p w14:paraId="46D129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2E5FB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июня 1942 вышло Постановление ГКО № 1902 О мобилизации лошадей в Краснодарском и Орджоникидзевском краях и Ростовской области для укомплектования формируемых стрелковых дивизий Сев.-Кавказского фронта. (7038, 139).</w:t>
      </w:r>
    </w:p>
    <w:p w14:paraId="4B1A964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04988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095C78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8FE01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июня 1942 вышло Постановление ГКО № 1898 Об организации Всесоюзного социалистического соревнования колхозов, машинно-тракторных станций, районов, областей, краев и республик. РГАНИР, Фонд ГКО, д. 39, лл. 103, 104-113 (11012).</w:t>
      </w:r>
    </w:p>
    <w:p w14:paraId="1995BE5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B492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4A6A281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8FFE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июня 1942 было получено:</w:t>
      </w:r>
    </w:p>
    <w:p w14:paraId="602344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ПОСЛАНИЕ ДЛЯ ПРЕМЬЕРА СТАЛИНА ОТ г-на ЧЕРЧИЛЛЯ</w:t>
      </w:r>
    </w:p>
    <w:p w14:paraId="440E61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Мы сообщали Вам о различных признаках того, что немцы укрепляют север Норвегии и Финляндии и отправляют туда суда для вторжения.</w:t>
      </w:r>
    </w:p>
    <w:p w14:paraId="76D0EE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может служить предзнаменованием нападения на Мурманск с базированием тяжелых надводных кораблей на Крайнем Севере с намерением отрезать линии нашего снабжения. Пожалуйста, сообщите мне о том, что Вы думаете о совместных с нами операциях в указанных районах, и в особенности о том, желательны ли Вам шесть эскадрилий Королевских Воздушных Сил, о чем я упоминал в моей памятной записке г-ну Молотову.</w:t>
      </w:r>
    </w:p>
    <w:p w14:paraId="485251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FFBE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2630887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F0F4B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июня 1942 при проведении экспериментальных визуальных и фотографических наблюдений во время ночного полета дирижабли ВМС США G-1 и L-2 уничтожены в результате столкновения в воздухе, в результате чего погибло 12 человек (20793).</w:t>
      </w:r>
    </w:p>
    <w:p w14:paraId="6CE8A0A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3687C9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июня 1942 Национальная ружейная ассоциация США разослала американским губернаторам инструкции по организации партизанских отрядов на случай оккупации Штатов противником (4962).</w:t>
      </w:r>
    </w:p>
    <w:p w14:paraId="4A8076C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5AC7C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июня 1942 в США было создано командование американскими вооруженными силами на Западноевропейском театре военных действий (3186).</w:t>
      </w:r>
    </w:p>
    <w:p w14:paraId="5EAE07C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6E82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B8189C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8FF7A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июня 1942 г. в 61 Краснознаменном Штурмовом авиаполку 1-й ЗАБ на высоте 250 м разрушилось хвостовое оперение самолета Ил. Летчик мл. лейтенант ЕГОРОВ погиб. Самолет разбит. Самолет был получен с завода № 18, налетал около 6 часов (1634,291).</w:t>
      </w:r>
    </w:p>
    <w:p w14:paraId="451BAEE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10F44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июня 1942 г. в 622 Штурмовом авиаполку после нормальной посадки на пробеге у самолета Ил-2 отвалился хвост у киля самолета. Самолет получен с завода № 18, налетал около 6-ти часов (1634,292).</w:t>
      </w:r>
    </w:p>
    <w:p w14:paraId="6F795D3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FA74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июня 1942 в НИИ ВВС закончились гос. испытания Як-7Б с М-105ПФ, которые проводились с 30 мая 1942 (65,88). В НИИ ВВС летали летчики ОКБ А.С.Я. П.Я.Федрови и 153 завода А.Н.Лазарев, а и были А.Т.Степанец, К.В.Пузанов, А.Г.Аронов, С.Д.Евдокимов и П.С.Лимар (ЛИИ). Выполнили 36 полетов продолжительностью 23:00 (65,88) Это была машина N 22-41, переоборудованная для экспериментов по увеличению давления наддува двигателей до 1000 и 1050 мм рт. ст. (65,86).</w:t>
      </w:r>
    </w:p>
    <w:p w14:paraId="2C5FCA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EFC9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июня 1942 вышло Постановление ГКО № 1903 О постройке войсковой серии и модификации самолетов перехватчиков, конструкции т. Болховитинова, с ракетными двигателями Д1-А-1100 конструкции НИИ № 3 НКБ. РГАНИР, Фонд ГКО, д. 39, лл. 140-142, 143-144 (11012).</w:t>
      </w:r>
    </w:p>
    <w:p w14:paraId="171443F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7F826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июня 1942 вышло Постановление ГКО № 1903 О постройке войсковой серии и модификации самолетов перехватчиков, конструкции т. Болховитинова, с ракетными двигателями Д1-А-1100 конструкции НИИ № 3 НКБ</w:t>
      </w:r>
    </w:p>
    <w:p w14:paraId="59BA0A3F" w14:textId="77777777" w:rsidR="007C5583" w:rsidRPr="008127F8" w:rsidRDefault="007C5583" w:rsidP="007C5583">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Для отработки боевого применения самолетов-перехват</w:t>
      </w:r>
      <w:r w:rsidRPr="008127F8">
        <w:rPr>
          <w:rFonts w:ascii="Times New Roman" w:hAnsi="Times New Roman" w:cs="Times New Roman"/>
          <w:color w:val="000000" w:themeColor="text1"/>
          <w:sz w:val="16"/>
          <w:szCs w:val="16"/>
        </w:rPr>
        <w:softHyphen/>
        <w:t>чиков с ракетными двигателями, накопления опыта эксплоата- ции и подготовки кадров технического и летного состава, Государственный Комитет Обороны постановляет:</w:t>
      </w:r>
    </w:p>
    <w:p w14:paraId="5127FD82" w14:textId="77777777" w:rsidR="007C5583" w:rsidRPr="008127F8" w:rsidRDefault="007C5583" w:rsidP="007C5583">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1. Обязать Наркомавианром тов.Шахурина построить на заводе № </w:t>
      </w:r>
      <w:r w:rsidRPr="008127F8">
        <w:rPr>
          <w:rStyle w:val="0pt"/>
          <w:rFonts w:ascii="Times New Roman" w:hAnsi="Times New Roman" w:cs="Times New Roman"/>
          <w:color w:val="000000" w:themeColor="text1"/>
          <w:sz w:val="16"/>
          <w:szCs w:val="16"/>
        </w:rPr>
        <w:t>293</w:t>
      </w:r>
      <w:r w:rsidRPr="008127F8">
        <w:rPr>
          <w:rFonts w:ascii="Times New Roman" w:hAnsi="Times New Roman" w:cs="Times New Roman"/>
          <w:color w:val="000000" w:themeColor="text1"/>
          <w:sz w:val="16"/>
          <w:szCs w:val="16"/>
        </w:rPr>
        <w:t xml:space="preserve"> малую серию самолетов-перехватчиков в коли</w:t>
      </w:r>
      <w:r w:rsidRPr="008127F8">
        <w:rPr>
          <w:rFonts w:ascii="Times New Roman" w:hAnsi="Times New Roman" w:cs="Times New Roman"/>
          <w:color w:val="000000" w:themeColor="text1"/>
          <w:sz w:val="16"/>
          <w:szCs w:val="16"/>
        </w:rPr>
        <w:softHyphen/>
        <w:t xml:space="preserve">честве 30 штук и двигателей к ним типа </w:t>
      </w:r>
      <w:r w:rsidRPr="008127F8">
        <w:rPr>
          <w:rStyle w:val="0pt"/>
          <w:rFonts w:ascii="Times New Roman" w:hAnsi="Times New Roman" w:cs="Times New Roman"/>
          <w:color w:val="000000" w:themeColor="text1"/>
          <w:sz w:val="16"/>
          <w:szCs w:val="16"/>
        </w:rPr>
        <w:t>Д1-А-1100</w:t>
      </w:r>
      <w:r w:rsidRPr="008127F8">
        <w:rPr>
          <w:rFonts w:ascii="Times New Roman" w:hAnsi="Times New Roman" w:cs="Times New Roman"/>
          <w:color w:val="000000" w:themeColor="text1"/>
          <w:sz w:val="16"/>
          <w:szCs w:val="16"/>
        </w:rPr>
        <w:t xml:space="preserve"> в коли</w:t>
      </w:r>
      <w:r w:rsidRPr="008127F8">
        <w:rPr>
          <w:rFonts w:ascii="Times New Roman" w:hAnsi="Times New Roman" w:cs="Times New Roman"/>
          <w:color w:val="000000" w:themeColor="text1"/>
          <w:sz w:val="16"/>
          <w:szCs w:val="16"/>
        </w:rPr>
        <w:softHyphen/>
        <w:t>честве 60 штук, с выпуском:</w:t>
      </w:r>
    </w:p>
    <w:p w14:paraId="06355047" w14:textId="77777777" w:rsidR="007C5583" w:rsidRPr="008127F8" w:rsidRDefault="007C5583" w:rsidP="007C5583">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5 самолетов к 15 июля </w:t>
      </w:r>
      <w:r w:rsidRPr="008127F8">
        <w:rPr>
          <w:rStyle w:val="0pt"/>
          <w:rFonts w:ascii="Times New Roman" w:hAnsi="Times New Roman" w:cs="Times New Roman"/>
          <w:color w:val="000000" w:themeColor="text1"/>
          <w:sz w:val="16"/>
          <w:szCs w:val="16"/>
        </w:rPr>
        <w:t xml:space="preserve">1942 </w:t>
      </w:r>
      <w:r w:rsidRPr="008127F8">
        <w:rPr>
          <w:rFonts w:ascii="Times New Roman" w:hAnsi="Times New Roman" w:cs="Times New Roman"/>
          <w:color w:val="000000" w:themeColor="text1"/>
          <w:sz w:val="16"/>
          <w:szCs w:val="16"/>
        </w:rPr>
        <w:t>года</w:t>
      </w:r>
    </w:p>
    <w:p w14:paraId="4655646C" w14:textId="77777777" w:rsidR="007C5583" w:rsidRPr="008127F8" w:rsidRDefault="007C5583" w:rsidP="007C5583">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5 самолетов к 1 августа </w:t>
      </w:r>
      <w:r w:rsidRPr="008127F8">
        <w:rPr>
          <w:rStyle w:val="0pt"/>
          <w:rFonts w:ascii="Times New Roman" w:hAnsi="Times New Roman" w:cs="Times New Roman"/>
          <w:color w:val="000000" w:themeColor="text1"/>
          <w:sz w:val="16"/>
          <w:szCs w:val="16"/>
        </w:rPr>
        <w:t xml:space="preserve">1942 </w:t>
      </w:r>
      <w:r w:rsidRPr="008127F8">
        <w:rPr>
          <w:rFonts w:ascii="Times New Roman" w:hAnsi="Times New Roman" w:cs="Times New Roman"/>
          <w:color w:val="000000" w:themeColor="text1"/>
          <w:sz w:val="16"/>
          <w:szCs w:val="16"/>
        </w:rPr>
        <w:t>года</w:t>
      </w:r>
    </w:p>
    <w:p w14:paraId="54FA58A7" w14:textId="77777777" w:rsidR="007C5583" w:rsidRPr="008127F8" w:rsidRDefault="007C5583" w:rsidP="007C5583">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10 самолетов в сентябре </w:t>
      </w:r>
      <w:r w:rsidRPr="008127F8">
        <w:rPr>
          <w:rStyle w:val="0pt"/>
          <w:rFonts w:ascii="Times New Roman" w:hAnsi="Times New Roman" w:cs="Times New Roman"/>
          <w:color w:val="000000" w:themeColor="text1"/>
          <w:sz w:val="16"/>
          <w:szCs w:val="16"/>
        </w:rPr>
        <w:t>1942</w:t>
      </w:r>
      <w:r w:rsidRPr="008127F8">
        <w:rPr>
          <w:rFonts w:ascii="Times New Roman" w:hAnsi="Times New Roman" w:cs="Times New Roman"/>
          <w:color w:val="000000" w:themeColor="text1"/>
          <w:sz w:val="16"/>
          <w:szCs w:val="16"/>
        </w:rPr>
        <w:t xml:space="preserve"> года</w:t>
      </w:r>
    </w:p>
    <w:p w14:paraId="2327DB35" w14:textId="77777777" w:rsidR="007C5583" w:rsidRPr="008127F8" w:rsidRDefault="007C5583" w:rsidP="007C5583">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10 самолетов в октябре </w:t>
      </w:r>
      <w:r w:rsidRPr="008127F8">
        <w:rPr>
          <w:rStyle w:val="0pt"/>
          <w:rFonts w:ascii="Times New Roman" w:hAnsi="Times New Roman" w:cs="Times New Roman"/>
          <w:color w:val="000000" w:themeColor="text1"/>
          <w:sz w:val="16"/>
          <w:szCs w:val="16"/>
        </w:rPr>
        <w:t xml:space="preserve">1942 </w:t>
      </w:r>
      <w:r w:rsidRPr="008127F8">
        <w:rPr>
          <w:rFonts w:ascii="Times New Roman" w:hAnsi="Times New Roman" w:cs="Times New Roman"/>
          <w:color w:val="000000" w:themeColor="text1"/>
          <w:sz w:val="16"/>
          <w:szCs w:val="16"/>
        </w:rPr>
        <w:t>года</w:t>
      </w:r>
    </w:p>
    <w:p w14:paraId="4B11403E" w14:textId="77777777" w:rsidR="007C5583" w:rsidRPr="008127F8" w:rsidRDefault="007C5583" w:rsidP="007C5583">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со следующими летно-тактическими данными:</w:t>
      </w:r>
    </w:p>
    <w:p w14:paraId="6FDA6901" w14:textId="77777777" w:rsidR="007C5583" w:rsidRPr="008127F8" w:rsidRDefault="007C5583" w:rsidP="007C5583">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Максимальная скорость у земли </w:t>
      </w:r>
      <w:r w:rsidRPr="008127F8">
        <w:rPr>
          <w:rStyle w:val="0pt"/>
          <w:rFonts w:ascii="Times New Roman" w:hAnsi="Times New Roman" w:cs="Times New Roman"/>
          <w:color w:val="000000" w:themeColor="text1"/>
          <w:sz w:val="16"/>
          <w:szCs w:val="16"/>
        </w:rPr>
        <w:t>960</w:t>
      </w:r>
      <w:r w:rsidRPr="008127F8">
        <w:rPr>
          <w:rFonts w:ascii="Times New Roman" w:hAnsi="Times New Roman" w:cs="Times New Roman"/>
          <w:color w:val="000000" w:themeColor="text1"/>
          <w:sz w:val="16"/>
          <w:szCs w:val="16"/>
        </w:rPr>
        <w:t xml:space="preserve"> км/час</w:t>
      </w:r>
    </w:p>
    <w:p w14:paraId="28FB4D71" w14:textId="77777777" w:rsidR="007C5583" w:rsidRPr="008127F8" w:rsidRDefault="007C5583" w:rsidP="007C5583">
      <w:pPr>
        <w:pStyle w:val="47"/>
        <w:shd w:val="clear" w:color="auto" w:fill="auto"/>
        <w:tabs>
          <w:tab w:val="left" w:leader="dot" w:pos="3560"/>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Максимальная скорость на высоте </w:t>
      </w:r>
      <w:r w:rsidRPr="008127F8">
        <w:rPr>
          <w:rStyle w:val="0pt"/>
          <w:rFonts w:ascii="Times New Roman" w:hAnsi="Times New Roman" w:cs="Times New Roman"/>
          <w:color w:val="000000" w:themeColor="text1"/>
          <w:sz w:val="16"/>
          <w:szCs w:val="16"/>
        </w:rPr>
        <w:t>5000</w:t>
      </w:r>
      <w:r w:rsidRPr="008127F8">
        <w:rPr>
          <w:rFonts w:ascii="Times New Roman" w:hAnsi="Times New Roman" w:cs="Times New Roman"/>
          <w:color w:val="000000" w:themeColor="text1"/>
          <w:sz w:val="16"/>
          <w:szCs w:val="16"/>
        </w:rPr>
        <w:t xml:space="preserve"> метров </w:t>
      </w:r>
      <w:r w:rsidRPr="008127F8">
        <w:rPr>
          <w:rStyle w:val="0pt"/>
          <w:rFonts w:ascii="Times New Roman" w:hAnsi="Times New Roman" w:cs="Times New Roman"/>
          <w:color w:val="000000" w:themeColor="text1"/>
          <w:sz w:val="16"/>
          <w:szCs w:val="16"/>
        </w:rPr>
        <w:t>900</w:t>
      </w:r>
      <w:r w:rsidRPr="008127F8">
        <w:rPr>
          <w:rFonts w:ascii="Times New Roman" w:hAnsi="Times New Roman" w:cs="Times New Roman"/>
          <w:color w:val="000000" w:themeColor="text1"/>
          <w:sz w:val="16"/>
          <w:szCs w:val="16"/>
        </w:rPr>
        <w:t xml:space="preserve"> км/час</w:t>
      </w:r>
    </w:p>
    <w:p w14:paraId="4BD6A81D" w14:textId="77777777" w:rsidR="007C5583" w:rsidRPr="008127F8" w:rsidRDefault="007C5583" w:rsidP="007C5583">
      <w:pPr>
        <w:pStyle w:val="47"/>
        <w:shd w:val="clear" w:color="auto" w:fill="auto"/>
        <w:tabs>
          <w:tab w:val="left" w:leader="dot" w:pos="3560"/>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Время набора </w:t>
      </w:r>
      <w:r w:rsidRPr="008127F8">
        <w:rPr>
          <w:rStyle w:val="0pt"/>
          <w:rFonts w:ascii="Times New Roman" w:hAnsi="Times New Roman" w:cs="Times New Roman"/>
          <w:color w:val="000000" w:themeColor="text1"/>
          <w:sz w:val="16"/>
          <w:szCs w:val="16"/>
        </w:rPr>
        <w:t>1000</w:t>
      </w:r>
      <w:r w:rsidRPr="008127F8">
        <w:rPr>
          <w:rFonts w:ascii="Times New Roman" w:hAnsi="Times New Roman" w:cs="Times New Roman"/>
          <w:color w:val="000000" w:themeColor="text1"/>
          <w:sz w:val="16"/>
          <w:szCs w:val="16"/>
        </w:rPr>
        <w:t xml:space="preserve"> метров </w:t>
      </w:r>
      <w:r w:rsidRPr="008127F8">
        <w:rPr>
          <w:rStyle w:val="0pt"/>
          <w:rFonts w:ascii="Times New Roman" w:hAnsi="Times New Roman" w:cs="Times New Roman"/>
          <w:color w:val="000000" w:themeColor="text1"/>
          <w:sz w:val="16"/>
          <w:szCs w:val="16"/>
        </w:rPr>
        <w:t>8,3</w:t>
      </w:r>
      <w:r w:rsidRPr="008127F8">
        <w:rPr>
          <w:rFonts w:ascii="Times New Roman" w:hAnsi="Times New Roman" w:cs="Times New Roman"/>
          <w:color w:val="000000" w:themeColor="text1"/>
          <w:sz w:val="16"/>
          <w:szCs w:val="16"/>
        </w:rPr>
        <w:t xml:space="preserve"> секунды</w:t>
      </w:r>
    </w:p>
    <w:p w14:paraId="04FC45FE" w14:textId="77777777" w:rsidR="007C5583" w:rsidRPr="008127F8" w:rsidRDefault="007C5583" w:rsidP="007C5583">
      <w:pPr>
        <w:pStyle w:val="47"/>
        <w:shd w:val="clear" w:color="auto" w:fill="auto"/>
        <w:tabs>
          <w:tab w:val="left" w:leader="dot" w:pos="3560"/>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Время полета на скорости </w:t>
      </w:r>
      <w:r w:rsidRPr="008127F8">
        <w:rPr>
          <w:rStyle w:val="0pt"/>
          <w:rFonts w:ascii="Times New Roman" w:hAnsi="Times New Roman" w:cs="Times New Roman"/>
          <w:color w:val="000000" w:themeColor="text1"/>
          <w:sz w:val="16"/>
          <w:szCs w:val="16"/>
        </w:rPr>
        <w:t>600</w:t>
      </w:r>
      <w:r w:rsidRPr="008127F8">
        <w:rPr>
          <w:rFonts w:ascii="Times New Roman" w:hAnsi="Times New Roman" w:cs="Times New Roman"/>
          <w:color w:val="000000" w:themeColor="text1"/>
          <w:sz w:val="16"/>
          <w:szCs w:val="16"/>
        </w:rPr>
        <w:t xml:space="preserve"> км/час 3 мин.30 сек.</w:t>
      </w:r>
    </w:p>
    <w:p w14:paraId="5D15D280" w14:textId="77777777" w:rsidR="007C5583" w:rsidRPr="008127F8" w:rsidRDefault="007C5583" w:rsidP="007C5583">
      <w:pPr>
        <w:pStyle w:val="47"/>
        <w:shd w:val="clear" w:color="auto" w:fill="auto"/>
        <w:tabs>
          <w:tab w:val="left" w:leader="dot" w:pos="3560"/>
        </w:tabs>
        <w:spacing w:line="240" w:lineRule="auto"/>
        <w:ind w:firstLine="0"/>
        <w:jc w:val="both"/>
        <w:rPr>
          <w:rFonts w:ascii="Times New Roman" w:hAnsi="Times New Roman" w:cs="Times New Roman"/>
          <w:color w:val="000000" w:themeColor="text1"/>
          <w:sz w:val="16"/>
          <w:szCs w:val="16"/>
        </w:rPr>
      </w:pPr>
      <w:r w:rsidRPr="008127F8">
        <w:rPr>
          <w:rStyle w:val="1pt"/>
          <w:rFonts w:ascii="Times New Roman" w:hAnsi="Times New Roman" w:cs="Times New Roman"/>
          <w:color w:val="000000" w:themeColor="text1"/>
          <w:sz w:val="16"/>
          <w:szCs w:val="16"/>
        </w:rPr>
        <w:t xml:space="preserve">Потолок </w:t>
      </w:r>
      <w:r w:rsidRPr="008127F8">
        <w:rPr>
          <w:rFonts w:ascii="Times New Roman" w:hAnsi="Times New Roman" w:cs="Times New Roman"/>
          <w:color w:val="000000" w:themeColor="text1"/>
          <w:sz w:val="16"/>
          <w:szCs w:val="16"/>
        </w:rPr>
        <w:t>3 мин.30 сек.</w:t>
      </w:r>
    </w:p>
    <w:p w14:paraId="29395F4E" w14:textId="77777777" w:rsidR="007C5583" w:rsidRPr="008127F8" w:rsidRDefault="007C5583" w:rsidP="007C5583">
      <w:pPr>
        <w:pStyle w:val="47"/>
        <w:shd w:val="clear" w:color="auto" w:fill="auto"/>
        <w:tabs>
          <w:tab w:val="left" w:leader="dot" w:pos="3568"/>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Посадочная скорость </w:t>
      </w:r>
      <w:r w:rsidRPr="008127F8">
        <w:rPr>
          <w:rStyle w:val="0pt"/>
          <w:rFonts w:ascii="Times New Roman" w:hAnsi="Times New Roman" w:cs="Times New Roman"/>
          <w:color w:val="000000" w:themeColor="text1"/>
          <w:sz w:val="16"/>
          <w:szCs w:val="16"/>
        </w:rPr>
        <w:t>130</w:t>
      </w:r>
      <w:r w:rsidRPr="008127F8">
        <w:rPr>
          <w:rFonts w:ascii="Times New Roman" w:hAnsi="Times New Roman" w:cs="Times New Roman"/>
          <w:color w:val="000000" w:themeColor="text1"/>
          <w:sz w:val="16"/>
          <w:szCs w:val="16"/>
        </w:rPr>
        <w:t xml:space="preserve"> км/час</w:t>
      </w:r>
    </w:p>
    <w:p w14:paraId="1909EEE8" w14:textId="77777777" w:rsidR="007C5583" w:rsidRPr="008127F8" w:rsidRDefault="007C5583" w:rsidP="007C5583">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со следующим вооружением:</w:t>
      </w:r>
    </w:p>
    <w:p w14:paraId="2D1EFD45" w14:textId="77777777" w:rsidR="007C5583" w:rsidRPr="008127F8" w:rsidRDefault="007C5583" w:rsidP="007C5583">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 пушки калибра 20 мм с боезапасом по 45 снарядов на каж</w:t>
      </w:r>
      <w:r w:rsidRPr="008127F8">
        <w:rPr>
          <w:rFonts w:ascii="Times New Roman" w:hAnsi="Times New Roman" w:cs="Times New Roman"/>
          <w:color w:val="000000" w:themeColor="text1"/>
          <w:sz w:val="16"/>
          <w:szCs w:val="16"/>
        </w:rPr>
        <w:softHyphen/>
        <w:t>дую.</w:t>
      </w:r>
    </w:p>
    <w:p w14:paraId="18E70261" w14:textId="77777777" w:rsidR="007C5583" w:rsidRPr="008127F8" w:rsidRDefault="007C5583" w:rsidP="007C5583">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2. Наркомавиапром - тов.Шахурину. директору и глав</w:t>
      </w:r>
      <w:r w:rsidRPr="008127F8">
        <w:rPr>
          <w:rFonts w:ascii="Times New Roman" w:hAnsi="Times New Roman" w:cs="Times New Roman"/>
          <w:color w:val="000000" w:themeColor="text1"/>
          <w:sz w:val="16"/>
          <w:szCs w:val="16"/>
        </w:rPr>
        <w:softHyphen/>
        <w:t xml:space="preserve">ному конструктору завода № </w:t>
      </w:r>
      <w:r w:rsidRPr="008127F8">
        <w:rPr>
          <w:rStyle w:val="0pt"/>
          <w:rFonts w:ascii="Times New Roman" w:hAnsi="Times New Roman" w:cs="Times New Roman"/>
          <w:color w:val="000000" w:themeColor="text1"/>
          <w:sz w:val="16"/>
          <w:szCs w:val="16"/>
        </w:rPr>
        <w:t>293 -</w:t>
      </w:r>
      <w:r w:rsidRPr="008127F8">
        <w:rPr>
          <w:rFonts w:ascii="Times New Roman" w:hAnsi="Times New Roman" w:cs="Times New Roman"/>
          <w:color w:val="000000" w:themeColor="text1"/>
          <w:sz w:val="16"/>
          <w:szCs w:val="16"/>
        </w:rPr>
        <w:t xml:space="preserve"> тов. Болховитинову спроек</w:t>
      </w:r>
      <w:r w:rsidRPr="008127F8">
        <w:rPr>
          <w:rFonts w:ascii="Times New Roman" w:hAnsi="Times New Roman" w:cs="Times New Roman"/>
          <w:color w:val="000000" w:themeColor="text1"/>
          <w:sz w:val="16"/>
          <w:szCs w:val="16"/>
        </w:rPr>
        <w:softHyphen/>
        <w:t xml:space="preserve">тировать и построить модификации самолета-перехватчика в количестве </w:t>
      </w:r>
      <w:r w:rsidRPr="008127F8">
        <w:rPr>
          <w:rStyle w:val="0pt"/>
          <w:rFonts w:ascii="Times New Roman" w:hAnsi="Times New Roman" w:cs="Times New Roman"/>
          <w:color w:val="000000" w:themeColor="text1"/>
          <w:sz w:val="16"/>
          <w:szCs w:val="16"/>
        </w:rPr>
        <w:t>4-х</w:t>
      </w:r>
      <w:r w:rsidRPr="008127F8">
        <w:rPr>
          <w:rFonts w:ascii="Times New Roman" w:hAnsi="Times New Roman" w:cs="Times New Roman"/>
          <w:color w:val="000000" w:themeColor="text1"/>
          <w:sz w:val="16"/>
          <w:szCs w:val="16"/>
        </w:rPr>
        <w:t xml:space="preserve"> экземпляров (иэ малой серии) со следую</w:t>
      </w:r>
      <w:r w:rsidRPr="008127F8">
        <w:rPr>
          <w:rFonts w:ascii="Times New Roman" w:hAnsi="Times New Roman" w:cs="Times New Roman"/>
          <w:color w:val="000000" w:themeColor="text1"/>
          <w:sz w:val="16"/>
          <w:szCs w:val="16"/>
        </w:rPr>
        <w:softHyphen/>
        <w:t>щими летно-тактическими данными:</w:t>
      </w:r>
    </w:p>
    <w:p w14:paraId="7153138F" w14:textId="77777777" w:rsidR="007C5583" w:rsidRPr="008127F8" w:rsidRDefault="007C5583" w:rsidP="007C5583">
      <w:pPr>
        <w:pStyle w:val="47"/>
        <w:shd w:val="clear" w:color="auto" w:fill="auto"/>
        <w:tabs>
          <w:tab w:val="left" w:pos="4858"/>
        </w:tabs>
        <w:spacing w:line="240" w:lineRule="auto"/>
        <w:ind w:firstLine="0"/>
        <w:jc w:val="both"/>
        <w:rPr>
          <w:rFonts w:ascii="Times New Roman" w:hAnsi="Times New Roman" w:cs="Times New Roman"/>
          <w:color w:val="000000" w:themeColor="text1"/>
          <w:sz w:val="16"/>
          <w:szCs w:val="16"/>
        </w:rPr>
      </w:pPr>
      <w:r w:rsidRPr="008127F8">
        <w:rPr>
          <w:rStyle w:val="0pt"/>
          <w:rFonts w:ascii="Times New Roman" w:hAnsi="Times New Roman" w:cs="Times New Roman"/>
          <w:color w:val="000000" w:themeColor="text1"/>
          <w:sz w:val="16"/>
          <w:szCs w:val="16"/>
        </w:rPr>
        <w:t>а) 2</w:t>
      </w:r>
      <w:r w:rsidRPr="008127F8">
        <w:rPr>
          <w:rFonts w:ascii="Times New Roman" w:hAnsi="Times New Roman" w:cs="Times New Roman"/>
          <w:color w:val="000000" w:themeColor="text1"/>
          <w:sz w:val="16"/>
          <w:szCs w:val="16"/>
        </w:rPr>
        <w:t xml:space="preserve"> самолета со сферическими баками:</w:t>
      </w:r>
    </w:p>
    <w:p w14:paraId="1B224A5D" w14:textId="77777777" w:rsidR="007C5583" w:rsidRPr="008127F8" w:rsidRDefault="007C5583" w:rsidP="007C5583">
      <w:pPr>
        <w:pStyle w:val="47"/>
        <w:shd w:val="clear" w:color="auto" w:fill="auto"/>
        <w:tabs>
          <w:tab w:val="left" w:pos="4858"/>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Максимальная скорость у земли - </w:t>
      </w:r>
      <w:r w:rsidRPr="008127F8">
        <w:rPr>
          <w:rStyle w:val="0pt"/>
          <w:rFonts w:ascii="Times New Roman" w:hAnsi="Times New Roman" w:cs="Times New Roman"/>
          <w:color w:val="000000" w:themeColor="text1"/>
          <w:sz w:val="16"/>
          <w:szCs w:val="16"/>
        </w:rPr>
        <w:t>960</w:t>
      </w:r>
      <w:r w:rsidRPr="008127F8">
        <w:rPr>
          <w:rFonts w:ascii="Times New Roman" w:hAnsi="Times New Roman" w:cs="Times New Roman"/>
          <w:color w:val="000000" w:themeColor="text1"/>
          <w:sz w:val="16"/>
          <w:szCs w:val="16"/>
        </w:rPr>
        <w:t xml:space="preserve"> км/час</w:t>
      </w:r>
    </w:p>
    <w:p w14:paraId="0D8B9D8B" w14:textId="77777777" w:rsidR="007C5583" w:rsidRPr="008127F8" w:rsidRDefault="007C5583" w:rsidP="007C5583">
      <w:pPr>
        <w:pStyle w:val="47"/>
        <w:shd w:val="clear" w:color="auto" w:fill="auto"/>
        <w:tabs>
          <w:tab w:val="left" w:leader="dot" w:pos="3560"/>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Максимальная скорость на высоте </w:t>
      </w:r>
      <w:r w:rsidRPr="008127F8">
        <w:rPr>
          <w:rStyle w:val="0pt"/>
          <w:rFonts w:ascii="Times New Roman" w:hAnsi="Times New Roman" w:cs="Times New Roman"/>
          <w:color w:val="000000" w:themeColor="text1"/>
          <w:sz w:val="16"/>
          <w:szCs w:val="16"/>
        </w:rPr>
        <w:t>5000</w:t>
      </w:r>
      <w:r w:rsidRPr="008127F8">
        <w:rPr>
          <w:rFonts w:ascii="Times New Roman" w:hAnsi="Times New Roman" w:cs="Times New Roman"/>
          <w:color w:val="000000" w:themeColor="text1"/>
          <w:sz w:val="16"/>
          <w:szCs w:val="16"/>
        </w:rPr>
        <w:t xml:space="preserve"> метров </w:t>
      </w:r>
      <w:r w:rsidRPr="008127F8">
        <w:rPr>
          <w:rStyle w:val="0pt"/>
          <w:rFonts w:ascii="Times New Roman" w:hAnsi="Times New Roman" w:cs="Times New Roman"/>
          <w:color w:val="000000" w:themeColor="text1"/>
          <w:sz w:val="16"/>
          <w:szCs w:val="16"/>
        </w:rPr>
        <w:t>900</w:t>
      </w:r>
      <w:r w:rsidRPr="008127F8">
        <w:rPr>
          <w:rFonts w:ascii="Times New Roman" w:hAnsi="Times New Roman" w:cs="Times New Roman"/>
          <w:color w:val="000000" w:themeColor="text1"/>
          <w:sz w:val="16"/>
          <w:szCs w:val="16"/>
        </w:rPr>
        <w:t xml:space="preserve"> км/час</w:t>
      </w:r>
    </w:p>
    <w:p w14:paraId="4027831C" w14:textId="77777777" w:rsidR="007C5583" w:rsidRPr="008127F8" w:rsidRDefault="007C5583" w:rsidP="007C5583">
      <w:pPr>
        <w:pStyle w:val="47"/>
        <w:shd w:val="clear" w:color="auto" w:fill="auto"/>
        <w:tabs>
          <w:tab w:val="left" w:leader="dot" w:pos="3560"/>
        </w:tabs>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 xml:space="preserve">Время набора </w:t>
      </w:r>
      <w:r w:rsidRPr="008127F8">
        <w:rPr>
          <w:rStyle w:val="0pt"/>
          <w:rFonts w:ascii="Times New Roman" w:hAnsi="Times New Roman" w:cs="Times New Roman"/>
          <w:color w:val="000000" w:themeColor="text1"/>
          <w:sz w:val="16"/>
          <w:szCs w:val="16"/>
        </w:rPr>
        <w:t>1000</w:t>
      </w:r>
      <w:r w:rsidRPr="008127F8">
        <w:rPr>
          <w:rFonts w:ascii="Times New Roman" w:hAnsi="Times New Roman" w:cs="Times New Roman"/>
          <w:color w:val="000000" w:themeColor="text1"/>
          <w:sz w:val="16"/>
          <w:szCs w:val="16"/>
        </w:rPr>
        <w:t xml:space="preserve"> метров </w:t>
      </w:r>
      <w:r w:rsidRPr="008127F8">
        <w:rPr>
          <w:rStyle w:val="0pt"/>
          <w:rFonts w:ascii="Times New Roman" w:hAnsi="Times New Roman" w:cs="Times New Roman"/>
          <w:color w:val="000000" w:themeColor="text1"/>
          <w:sz w:val="16"/>
          <w:szCs w:val="16"/>
        </w:rPr>
        <w:t>8,3</w:t>
      </w:r>
      <w:r w:rsidRPr="008127F8">
        <w:rPr>
          <w:rFonts w:ascii="Times New Roman" w:hAnsi="Times New Roman" w:cs="Times New Roman"/>
          <w:color w:val="000000" w:themeColor="text1"/>
          <w:sz w:val="16"/>
          <w:szCs w:val="16"/>
        </w:rPr>
        <w:t xml:space="preserve"> секунды</w:t>
      </w:r>
    </w:p>
    <w:p w14:paraId="46DDAA0E" w14:textId="77777777" w:rsidR="007C5583" w:rsidRPr="008127F8" w:rsidRDefault="007C5583" w:rsidP="007C5583">
      <w:pPr>
        <w:tabs>
          <w:tab w:val="left" w:pos="512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Время полета на скорости </w:t>
      </w:r>
      <w:r w:rsidRPr="008127F8">
        <w:rPr>
          <w:rStyle w:val="0pt"/>
          <w:rFonts w:ascii="Times New Roman" w:hAnsi="Times New Roman" w:cs="Times New Roman"/>
          <w:color w:val="000000" w:themeColor="text1"/>
          <w:sz w:val="16"/>
          <w:szCs w:val="16"/>
        </w:rPr>
        <w:t>600</w:t>
      </w:r>
      <w:r w:rsidRPr="008127F8">
        <w:rPr>
          <w:rFonts w:ascii="Times New Roman" w:hAnsi="Times New Roman"/>
          <w:color w:val="000000" w:themeColor="text1"/>
          <w:sz w:val="16"/>
          <w:szCs w:val="16"/>
        </w:rPr>
        <w:t xml:space="preserve"> км/час - 4 мин.30 сек.</w:t>
      </w:r>
    </w:p>
    <w:p w14:paraId="40D1AF9B" w14:textId="77777777" w:rsidR="007C5583" w:rsidRPr="008127F8" w:rsidRDefault="007C5583" w:rsidP="007C5583">
      <w:pPr>
        <w:tabs>
          <w:tab w:val="left" w:leader="dot" w:pos="4108"/>
          <w:tab w:val="left" w:pos="5128"/>
        </w:tabs>
        <w:spacing w:after="0" w:line="240" w:lineRule="auto"/>
        <w:jc w:val="both"/>
        <w:rPr>
          <w:rFonts w:ascii="Times New Roman" w:hAnsi="Times New Roman"/>
          <w:color w:val="000000" w:themeColor="text1"/>
          <w:sz w:val="16"/>
          <w:szCs w:val="16"/>
        </w:rPr>
      </w:pPr>
      <w:r w:rsidRPr="008127F8">
        <w:rPr>
          <w:rStyle w:val="0pt"/>
          <w:rFonts w:ascii="Times New Roman" w:hAnsi="Times New Roman" w:cs="Times New Roman"/>
          <w:color w:val="000000" w:themeColor="text1"/>
          <w:sz w:val="16"/>
          <w:szCs w:val="16"/>
        </w:rPr>
        <w:t>П о т о л о к -12000</w:t>
      </w:r>
      <w:r w:rsidRPr="008127F8">
        <w:rPr>
          <w:rFonts w:ascii="Times New Roman" w:hAnsi="Times New Roman"/>
          <w:color w:val="000000" w:themeColor="text1"/>
          <w:sz w:val="16"/>
          <w:szCs w:val="16"/>
        </w:rPr>
        <w:t xml:space="preserve"> метров</w:t>
      </w:r>
    </w:p>
    <w:p w14:paraId="474AA2F4" w14:textId="77777777" w:rsidR="007C5583" w:rsidRPr="008127F8" w:rsidRDefault="007C5583" w:rsidP="007C5583">
      <w:pPr>
        <w:tabs>
          <w:tab w:val="left" w:leader="dot" w:pos="4108"/>
          <w:tab w:val="left" w:pos="556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Посадочная скорость </w:t>
      </w:r>
      <w:r w:rsidRPr="008127F8">
        <w:rPr>
          <w:rStyle w:val="0pt"/>
          <w:rFonts w:ascii="Times New Roman" w:hAnsi="Times New Roman" w:cs="Times New Roman"/>
          <w:color w:val="000000" w:themeColor="text1"/>
          <w:sz w:val="16"/>
          <w:szCs w:val="16"/>
        </w:rPr>
        <w:t>130</w:t>
      </w:r>
      <w:r w:rsidRPr="008127F8">
        <w:rPr>
          <w:rFonts w:ascii="Times New Roman" w:hAnsi="Times New Roman"/>
          <w:color w:val="000000" w:themeColor="text1"/>
          <w:sz w:val="16"/>
          <w:szCs w:val="16"/>
        </w:rPr>
        <w:t xml:space="preserve"> км/час</w:t>
      </w:r>
    </w:p>
    <w:p w14:paraId="155A35B9" w14:textId="77777777" w:rsidR="007C5583" w:rsidRPr="008127F8" w:rsidRDefault="007C5583" w:rsidP="007C5583">
      <w:pPr>
        <w:tabs>
          <w:tab w:val="center" w:pos="5638"/>
        </w:tabs>
        <w:spacing w:after="0" w:line="240" w:lineRule="auto"/>
        <w:jc w:val="both"/>
        <w:rPr>
          <w:rFonts w:ascii="Times New Roman" w:hAnsi="Times New Roman"/>
          <w:color w:val="000000" w:themeColor="text1"/>
          <w:sz w:val="16"/>
          <w:szCs w:val="16"/>
        </w:rPr>
      </w:pPr>
      <w:r w:rsidRPr="008127F8">
        <w:rPr>
          <w:rStyle w:val="0pt"/>
          <w:rFonts w:ascii="Times New Roman" w:hAnsi="Times New Roman" w:cs="Times New Roman"/>
          <w:color w:val="000000" w:themeColor="text1"/>
          <w:sz w:val="16"/>
          <w:szCs w:val="16"/>
        </w:rPr>
        <w:t xml:space="preserve">6) 2 </w:t>
      </w:r>
      <w:r w:rsidRPr="008127F8">
        <w:rPr>
          <w:rFonts w:ascii="Times New Roman" w:hAnsi="Times New Roman"/>
          <w:color w:val="000000" w:themeColor="text1"/>
          <w:sz w:val="16"/>
          <w:szCs w:val="16"/>
        </w:rPr>
        <w:t xml:space="preserve"> самолета со сферическими </w:t>
      </w:r>
      <w:r w:rsidRPr="008127F8">
        <w:rPr>
          <w:rFonts w:ascii="Times New Roman" w:hAnsi="Times New Roman"/>
          <w:color w:val="000000" w:themeColor="text1"/>
          <w:sz w:val="16"/>
          <w:szCs w:val="16"/>
        </w:rPr>
        <w:tab/>
        <w:t>баками и дополнительными двумя пря ямоточными воздушно-ракетными двигателями на концах крыльев:</w:t>
      </w:r>
    </w:p>
    <w:p w14:paraId="40CBADD5" w14:textId="77777777" w:rsidR="007C5583" w:rsidRPr="008127F8" w:rsidRDefault="007C5583" w:rsidP="007C5583">
      <w:pPr>
        <w:tabs>
          <w:tab w:val="center" w:pos="563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Максимальная скорость у земли - </w:t>
      </w:r>
      <w:r w:rsidRPr="008127F8">
        <w:rPr>
          <w:rStyle w:val="0pt"/>
          <w:rFonts w:ascii="Times New Roman" w:hAnsi="Times New Roman" w:cs="Times New Roman"/>
          <w:color w:val="000000" w:themeColor="text1"/>
          <w:sz w:val="16"/>
          <w:szCs w:val="16"/>
        </w:rPr>
        <w:t>900</w:t>
      </w:r>
      <w:r w:rsidRPr="008127F8">
        <w:rPr>
          <w:rFonts w:ascii="Times New Roman" w:hAnsi="Times New Roman"/>
          <w:color w:val="000000" w:themeColor="text1"/>
          <w:sz w:val="16"/>
          <w:szCs w:val="16"/>
        </w:rPr>
        <w:t xml:space="preserve"> км/час</w:t>
      </w:r>
    </w:p>
    <w:p w14:paraId="60D8A3FC" w14:textId="77777777" w:rsidR="007C5583" w:rsidRPr="008127F8" w:rsidRDefault="007C5583" w:rsidP="007C5583">
      <w:pPr>
        <w:tabs>
          <w:tab w:val="center" w:pos="563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Максимальная скорость на высоте </w:t>
      </w:r>
      <w:r w:rsidRPr="008127F8">
        <w:rPr>
          <w:rStyle w:val="0pt"/>
          <w:rFonts w:ascii="Times New Roman" w:hAnsi="Times New Roman" w:cs="Times New Roman"/>
          <w:color w:val="000000" w:themeColor="text1"/>
          <w:sz w:val="16"/>
          <w:szCs w:val="16"/>
        </w:rPr>
        <w:t>5000</w:t>
      </w:r>
      <w:r w:rsidRPr="008127F8">
        <w:rPr>
          <w:rFonts w:ascii="Times New Roman" w:hAnsi="Times New Roman"/>
          <w:color w:val="000000" w:themeColor="text1"/>
          <w:sz w:val="16"/>
          <w:szCs w:val="16"/>
        </w:rPr>
        <w:t xml:space="preserve"> метров - </w:t>
      </w:r>
      <w:r w:rsidRPr="008127F8">
        <w:rPr>
          <w:rStyle w:val="0pt"/>
          <w:rFonts w:ascii="Times New Roman" w:hAnsi="Times New Roman" w:cs="Times New Roman"/>
          <w:color w:val="000000" w:themeColor="text1"/>
          <w:sz w:val="16"/>
          <w:szCs w:val="16"/>
        </w:rPr>
        <w:t>900</w:t>
      </w:r>
      <w:r w:rsidRPr="008127F8">
        <w:rPr>
          <w:rFonts w:ascii="Times New Roman" w:hAnsi="Times New Roman"/>
          <w:color w:val="000000" w:themeColor="text1"/>
          <w:sz w:val="16"/>
          <w:szCs w:val="16"/>
        </w:rPr>
        <w:t xml:space="preserve"> км/час</w:t>
      </w:r>
    </w:p>
    <w:p w14:paraId="7217F20E" w14:textId="77777777" w:rsidR="007C5583" w:rsidRPr="008127F8" w:rsidRDefault="007C5583" w:rsidP="007C5583">
      <w:pPr>
        <w:tabs>
          <w:tab w:val="left" w:leader="dot" w:pos="3628"/>
          <w:tab w:val="center" w:pos="563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Время набора </w:t>
      </w:r>
      <w:r w:rsidRPr="008127F8">
        <w:rPr>
          <w:rStyle w:val="0pt"/>
          <w:rFonts w:ascii="Times New Roman" w:hAnsi="Times New Roman" w:cs="Times New Roman"/>
          <w:color w:val="000000" w:themeColor="text1"/>
          <w:sz w:val="16"/>
          <w:szCs w:val="16"/>
        </w:rPr>
        <w:t>1000</w:t>
      </w:r>
      <w:r w:rsidRPr="008127F8">
        <w:rPr>
          <w:rFonts w:ascii="Times New Roman" w:hAnsi="Times New Roman"/>
          <w:color w:val="000000" w:themeColor="text1"/>
          <w:sz w:val="16"/>
          <w:szCs w:val="16"/>
        </w:rPr>
        <w:t xml:space="preserve"> метров - 5 секунд</w:t>
      </w:r>
    </w:p>
    <w:p w14:paraId="1BADF86D" w14:textId="77777777" w:rsidR="007C5583" w:rsidRPr="008127F8" w:rsidRDefault="007C5583" w:rsidP="007C5583">
      <w:pPr>
        <w:tabs>
          <w:tab w:val="center" w:pos="563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Время полета на скорости </w:t>
      </w:r>
      <w:r w:rsidRPr="008127F8">
        <w:rPr>
          <w:rStyle w:val="0pt"/>
          <w:rFonts w:ascii="Times New Roman" w:hAnsi="Times New Roman" w:cs="Times New Roman"/>
          <w:color w:val="000000" w:themeColor="text1"/>
          <w:sz w:val="16"/>
          <w:szCs w:val="16"/>
        </w:rPr>
        <w:t>600</w:t>
      </w:r>
      <w:r w:rsidRPr="008127F8">
        <w:rPr>
          <w:rFonts w:ascii="Times New Roman" w:hAnsi="Times New Roman"/>
          <w:color w:val="000000" w:themeColor="text1"/>
          <w:sz w:val="16"/>
          <w:szCs w:val="16"/>
        </w:rPr>
        <w:t xml:space="preserve"> км/час - 7 минут</w:t>
      </w:r>
    </w:p>
    <w:p w14:paraId="7C203274" w14:textId="77777777" w:rsidR="007C5583" w:rsidRPr="008127F8" w:rsidRDefault="007C5583" w:rsidP="007C5583">
      <w:pPr>
        <w:tabs>
          <w:tab w:val="left" w:leader="dot" w:pos="3635"/>
          <w:tab w:val="center" w:pos="5638"/>
        </w:tabs>
        <w:spacing w:after="0" w:line="240" w:lineRule="auto"/>
        <w:jc w:val="both"/>
        <w:rPr>
          <w:rFonts w:ascii="Times New Roman" w:hAnsi="Times New Roman"/>
          <w:color w:val="000000" w:themeColor="text1"/>
          <w:sz w:val="16"/>
          <w:szCs w:val="16"/>
        </w:rPr>
      </w:pPr>
      <w:r w:rsidRPr="008127F8">
        <w:rPr>
          <w:rStyle w:val="0pt"/>
          <w:rFonts w:ascii="Times New Roman" w:hAnsi="Times New Roman" w:cs="Times New Roman"/>
          <w:color w:val="000000" w:themeColor="text1"/>
          <w:sz w:val="16"/>
          <w:szCs w:val="16"/>
        </w:rPr>
        <w:t>Потолок - 9000</w:t>
      </w:r>
      <w:r w:rsidRPr="008127F8">
        <w:rPr>
          <w:rFonts w:ascii="Times New Roman" w:hAnsi="Times New Roman"/>
          <w:color w:val="000000" w:themeColor="text1"/>
          <w:sz w:val="16"/>
          <w:szCs w:val="16"/>
        </w:rPr>
        <w:t xml:space="preserve"> метров</w:t>
      </w:r>
    </w:p>
    <w:p w14:paraId="7A3C8991" w14:textId="77777777" w:rsidR="007C5583" w:rsidRPr="008127F8" w:rsidRDefault="007C5583" w:rsidP="007C5583">
      <w:pPr>
        <w:tabs>
          <w:tab w:val="left" w:leader="dot" w:pos="3643"/>
          <w:tab w:val="center" w:pos="5638"/>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Посадочная скорость - </w:t>
      </w:r>
      <w:r w:rsidRPr="008127F8">
        <w:rPr>
          <w:rStyle w:val="0pt"/>
          <w:rFonts w:ascii="Times New Roman" w:hAnsi="Times New Roman" w:cs="Times New Roman"/>
          <w:color w:val="000000" w:themeColor="text1"/>
          <w:sz w:val="16"/>
          <w:szCs w:val="16"/>
        </w:rPr>
        <w:t>130</w:t>
      </w:r>
      <w:r w:rsidRPr="008127F8">
        <w:rPr>
          <w:rFonts w:ascii="Times New Roman" w:hAnsi="Times New Roman"/>
          <w:color w:val="000000" w:themeColor="text1"/>
          <w:sz w:val="16"/>
          <w:szCs w:val="16"/>
        </w:rPr>
        <w:t xml:space="preserve"> км/час</w:t>
      </w:r>
    </w:p>
    <w:p w14:paraId="7F76829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 следующим вооружением всех </w:t>
      </w:r>
      <w:r w:rsidRPr="008127F8">
        <w:rPr>
          <w:rStyle w:val="0pt"/>
          <w:rFonts w:ascii="Times New Roman" w:hAnsi="Times New Roman" w:cs="Times New Roman"/>
          <w:color w:val="000000" w:themeColor="text1"/>
          <w:sz w:val="16"/>
          <w:szCs w:val="16"/>
        </w:rPr>
        <w:t>4-х</w:t>
      </w:r>
      <w:r w:rsidRPr="008127F8">
        <w:rPr>
          <w:rFonts w:ascii="Times New Roman" w:hAnsi="Times New Roman"/>
          <w:color w:val="000000" w:themeColor="text1"/>
          <w:sz w:val="16"/>
          <w:szCs w:val="16"/>
        </w:rPr>
        <w:t xml:space="preserve"> экземпляров:</w:t>
      </w:r>
    </w:p>
    <w:p w14:paraId="007C27D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пушки калибра 20 мм с боезапасами по 60 снарядов на каждую с выпуском на госиспытания</w:t>
      </w:r>
    </w:p>
    <w:p w14:paraId="3610D58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первых двух экземпляров - 15 августа </w:t>
      </w:r>
      <w:r w:rsidRPr="008127F8">
        <w:rPr>
          <w:rStyle w:val="0pt"/>
          <w:rFonts w:ascii="Times New Roman" w:hAnsi="Times New Roman" w:cs="Times New Roman"/>
          <w:color w:val="000000" w:themeColor="text1"/>
          <w:sz w:val="16"/>
          <w:szCs w:val="16"/>
        </w:rPr>
        <w:t>1942</w:t>
      </w:r>
      <w:r w:rsidRPr="008127F8">
        <w:rPr>
          <w:rFonts w:ascii="Times New Roman" w:hAnsi="Times New Roman"/>
          <w:color w:val="000000" w:themeColor="text1"/>
          <w:sz w:val="16"/>
          <w:szCs w:val="16"/>
        </w:rPr>
        <w:t xml:space="preserve"> года</w:t>
      </w:r>
    </w:p>
    <w:p w14:paraId="3EDD140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вторых двух экземпляров - 1 октября </w:t>
      </w:r>
      <w:r w:rsidRPr="008127F8">
        <w:rPr>
          <w:rStyle w:val="0pt"/>
          <w:rFonts w:ascii="Times New Roman" w:hAnsi="Times New Roman" w:cs="Times New Roman"/>
          <w:color w:val="000000" w:themeColor="text1"/>
          <w:sz w:val="16"/>
          <w:szCs w:val="16"/>
        </w:rPr>
        <w:t>1942</w:t>
      </w:r>
      <w:r w:rsidRPr="008127F8">
        <w:rPr>
          <w:rFonts w:ascii="Times New Roman" w:hAnsi="Times New Roman"/>
          <w:color w:val="000000" w:themeColor="text1"/>
          <w:sz w:val="16"/>
          <w:szCs w:val="16"/>
        </w:rPr>
        <w:t xml:space="preserve"> года,</w:t>
      </w:r>
    </w:p>
    <w:p w14:paraId="42574B3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3. Обязать Народного Комиссара Электропромышленности - тов.Кабанова, директора ВЭИ - тов.Кострова, спроектировать и построить к 15 августа </w:t>
      </w:r>
      <w:r w:rsidRPr="008127F8">
        <w:rPr>
          <w:rStyle w:val="0pt"/>
          <w:rFonts w:ascii="Times New Roman" w:hAnsi="Times New Roman" w:cs="Times New Roman"/>
          <w:color w:val="000000" w:themeColor="text1"/>
          <w:sz w:val="16"/>
          <w:szCs w:val="16"/>
        </w:rPr>
        <w:t>1942</w:t>
      </w:r>
      <w:r w:rsidRPr="008127F8">
        <w:rPr>
          <w:rFonts w:ascii="Times New Roman" w:hAnsi="Times New Roman"/>
          <w:color w:val="000000" w:themeColor="text1"/>
          <w:sz w:val="16"/>
          <w:szCs w:val="16"/>
        </w:rPr>
        <w:t xml:space="preserve"> года по техническим условиям заво</w:t>
      </w:r>
      <w:r w:rsidRPr="008127F8">
        <w:rPr>
          <w:rFonts w:ascii="Times New Roman" w:hAnsi="Times New Roman"/>
          <w:color w:val="000000" w:themeColor="text1"/>
          <w:sz w:val="16"/>
          <w:szCs w:val="16"/>
        </w:rPr>
        <w:softHyphen/>
      </w:r>
      <w:r w:rsidRPr="008127F8">
        <w:rPr>
          <w:rStyle w:val="0pt"/>
          <w:rFonts w:ascii="Times New Roman" w:hAnsi="Times New Roman" w:cs="Times New Roman"/>
          <w:color w:val="000000" w:themeColor="text1"/>
          <w:sz w:val="16"/>
          <w:szCs w:val="16"/>
        </w:rPr>
        <w:t xml:space="preserve">да № 293 </w:t>
      </w:r>
      <w:r w:rsidRPr="008127F8">
        <w:rPr>
          <w:rFonts w:ascii="Times New Roman" w:hAnsi="Times New Roman"/>
          <w:color w:val="000000" w:themeColor="text1"/>
          <w:sz w:val="16"/>
          <w:szCs w:val="16"/>
        </w:rPr>
        <w:t>НКАП:</w:t>
      </w:r>
    </w:p>
    <w:p w14:paraId="29EDF0B9" w14:textId="77777777" w:rsidR="007C5583" w:rsidRPr="008127F8" w:rsidRDefault="007C5583" w:rsidP="007C5583">
      <w:pPr>
        <w:tabs>
          <w:tab w:val="left" w:pos="260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целеискатель для самолетов-перехватчиков в количест</w:t>
      </w:r>
      <w:r w:rsidRPr="008127F8">
        <w:rPr>
          <w:rFonts w:ascii="Times New Roman" w:hAnsi="Times New Roman"/>
          <w:color w:val="000000" w:themeColor="text1"/>
          <w:sz w:val="16"/>
          <w:szCs w:val="16"/>
        </w:rPr>
        <w:softHyphen/>
        <w:t>ве 3-х экземпляров;</w:t>
      </w:r>
    </w:p>
    <w:p w14:paraId="2838BE54" w14:textId="77777777" w:rsidR="007C5583" w:rsidRPr="008127F8" w:rsidRDefault="007C5583" w:rsidP="007C5583">
      <w:pPr>
        <w:tabs>
          <w:tab w:val="left" w:pos="260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дистанциометр для самолетов-перехватчиков в количест</w:t>
      </w:r>
      <w:r w:rsidRPr="008127F8">
        <w:rPr>
          <w:rFonts w:ascii="Times New Roman" w:hAnsi="Times New Roman"/>
          <w:color w:val="000000" w:themeColor="text1"/>
          <w:sz w:val="16"/>
          <w:szCs w:val="16"/>
        </w:rPr>
        <w:softHyphen/>
        <w:t>ве 3-х экземпляров;</w:t>
      </w:r>
    </w:p>
    <w:p w14:paraId="23EA5D2E" w14:textId="77777777" w:rsidR="007C5583" w:rsidRPr="008127F8" w:rsidRDefault="007C5583" w:rsidP="007C5583">
      <w:pPr>
        <w:tabs>
          <w:tab w:val="left" w:pos="1910"/>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Работу по самолетам-перехватчикам считать особо сек</w:t>
      </w:r>
      <w:r w:rsidRPr="008127F8">
        <w:rPr>
          <w:rFonts w:ascii="Times New Roman" w:hAnsi="Times New Roman"/>
          <w:color w:val="000000" w:themeColor="text1"/>
          <w:sz w:val="16"/>
          <w:szCs w:val="16"/>
        </w:rPr>
        <w:softHyphen/>
        <w:t>ретной и для обеспечения особой секретности работ по самолету перехватчику и жидкостному ракетному двигателю, директору за</w:t>
      </w:r>
      <w:r w:rsidRPr="008127F8">
        <w:rPr>
          <w:rFonts w:ascii="Times New Roman" w:hAnsi="Times New Roman"/>
          <w:color w:val="000000" w:themeColor="text1"/>
          <w:sz w:val="16"/>
          <w:szCs w:val="16"/>
        </w:rPr>
        <w:softHyphen/>
        <w:t xml:space="preserve">вода К </w:t>
      </w:r>
      <w:r w:rsidRPr="008127F8">
        <w:rPr>
          <w:rStyle w:val="0pt"/>
          <w:rFonts w:ascii="Times New Roman" w:hAnsi="Times New Roman" w:cs="Times New Roman"/>
          <w:color w:val="000000" w:themeColor="text1"/>
          <w:sz w:val="16"/>
          <w:szCs w:val="16"/>
        </w:rPr>
        <w:t>293</w:t>
      </w:r>
      <w:r w:rsidRPr="008127F8">
        <w:rPr>
          <w:rFonts w:ascii="Times New Roman" w:hAnsi="Times New Roman"/>
          <w:color w:val="000000" w:themeColor="text1"/>
          <w:sz w:val="16"/>
          <w:szCs w:val="16"/>
        </w:rPr>
        <w:t xml:space="preserve"> тов.Болховитинову всемерно ограничить круг лиц до</w:t>
      </w:r>
      <w:r w:rsidRPr="008127F8">
        <w:rPr>
          <w:rFonts w:ascii="Times New Roman" w:hAnsi="Times New Roman"/>
          <w:color w:val="000000" w:themeColor="text1"/>
          <w:sz w:val="16"/>
          <w:szCs w:val="16"/>
        </w:rPr>
        <w:softHyphen/>
        <w:t>пускаемых к сборочным чертежам самолета и двигателя, расчет</w:t>
      </w:r>
      <w:r w:rsidRPr="008127F8">
        <w:rPr>
          <w:rFonts w:ascii="Times New Roman" w:hAnsi="Times New Roman"/>
          <w:color w:val="000000" w:themeColor="text1"/>
          <w:sz w:val="16"/>
          <w:szCs w:val="16"/>
        </w:rPr>
        <w:softHyphen/>
        <w:t>ным материалам, а также в сборочные цехи и на испытательные станции самолета и двигателя.</w:t>
      </w:r>
    </w:p>
    <w:p w14:paraId="71057E2E" w14:textId="77777777" w:rsidR="007C5583" w:rsidRPr="008127F8" w:rsidRDefault="007C5583" w:rsidP="007C5583">
      <w:pPr>
        <w:tabs>
          <w:tab w:val="left" w:pos="226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Разрешить НКАП перевести завод № </w:t>
      </w:r>
      <w:r w:rsidRPr="008127F8">
        <w:rPr>
          <w:rStyle w:val="0pt"/>
          <w:rFonts w:ascii="Times New Roman" w:hAnsi="Times New Roman" w:cs="Times New Roman"/>
          <w:color w:val="000000" w:themeColor="text1"/>
          <w:sz w:val="16"/>
          <w:szCs w:val="16"/>
        </w:rPr>
        <w:t>293</w:t>
      </w:r>
      <w:r w:rsidRPr="008127F8">
        <w:rPr>
          <w:rFonts w:ascii="Times New Roman" w:hAnsi="Times New Roman"/>
          <w:color w:val="000000" w:themeColor="text1"/>
          <w:sz w:val="16"/>
          <w:szCs w:val="16"/>
        </w:rPr>
        <w:t xml:space="preserve"> иг пос.Билимбай, Свердловской области, на его прежнюю территорию в г.Химки,Мос</w:t>
      </w:r>
      <w:r w:rsidRPr="008127F8">
        <w:rPr>
          <w:rFonts w:ascii="Times New Roman" w:hAnsi="Times New Roman"/>
          <w:color w:val="000000" w:themeColor="text1"/>
          <w:sz w:val="16"/>
          <w:szCs w:val="16"/>
        </w:rPr>
        <w:softHyphen/>
        <w:t>ковской области, сохранив в Билимбае филиал завода.</w:t>
      </w:r>
    </w:p>
    <w:p w14:paraId="7AC6AE0F" w14:textId="77777777" w:rsidR="007C5583" w:rsidRPr="008127F8" w:rsidRDefault="007C5583" w:rsidP="007C5583">
      <w:pPr>
        <w:tabs>
          <w:tab w:val="left" w:pos="1565"/>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Для развития и об"единения в системе НКАП работ по авиационным ракетным двигателям и самолетам, перевести на за</w:t>
      </w:r>
      <w:r w:rsidRPr="008127F8">
        <w:rPr>
          <w:rFonts w:ascii="Times New Roman" w:hAnsi="Times New Roman"/>
          <w:color w:val="000000" w:themeColor="text1"/>
          <w:sz w:val="16"/>
          <w:szCs w:val="16"/>
        </w:rPr>
        <w:softHyphen/>
        <w:t xml:space="preserve">вод № </w:t>
      </w:r>
      <w:r w:rsidRPr="008127F8">
        <w:rPr>
          <w:rStyle w:val="0pt"/>
          <w:rFonts w:ascii="Times New Roman" w:hAnsi="Times New Roman" w:cs="Times New Roman"/>
          <w:color w:val="000000" w:themeColor="text1"/>
          <w:sz w:val="16"/>
          <w:szCs w:val="16"/>
        </w:rPr>
        <w:t>293</w:t>
      </w:r>
      <w:r w:rsidRPr="008127F8">
        <w:rPr>
          <w:rFonts w:ascii="Times New Roman" w:hAnsi="Times New Roman"/>
          <w:color w:val="000000" w:themeColor="text1"/>
          <w:sz w:val="16"/>
          <w:szCs w:val="16"/>
        </w:rPr>
        <w:t xml:space="preserve"> НКАП из НИИ в 3 НКБ группу тов..Душкина и с Киров</w:t>
      </w:r>
      <w:r w:rsidRPr="008127F8">
        <w:rPr>
          <w:rFonts w:ascii="Times New Roman" w:hAnsi="Times New Roman"/>
          <w:color w:val="000000" w:themeColor="text1"/>
          <w:sz w:val="16"/>
          <w:szCs w:val="16"/>
        </w:rPr>
        <w:softHyphen/>
        <w:t>ского завода Наркомтанкопрома группу тов.Люлька по прилагаемо</w:t>
      </w:r>
      <w:r w:rsidRPr="008127F8">
        <w:rPr>
          <w:rFonts w:ascii="Times New Roman" w:hAnsi="Times New Roman"/>
          <w:color w:val="000000" w:themeColor="text1"/>
          <w:sz w:val="16"/>
          <w:szCs w:val="16"/>
        </w:rPr>
        <w:softHyphen/>
        <w:t>му списку.</w:t>
      </w:r>
    </w:p>
    <w:p w14:paraId="33105F5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7.Обязать Народного Комиссара Авиационной промышлен</w:t>
      </w:r>
      <w:r w:rsidRPr="008127F8">
        <w:rPr>
          <w:rFonts w:ascii="Times New Roman" w:hAnsi="Times New Roman"/>
          <w:color w:val="000000" w:themeColor="text1"/>
          <w:sz w:val="16"/>
          <w:szCs w:val="16"/>
        </w:rPr>
        <w:softHyphen/>
        <w:t>ности - тов.Шахурина:</w:t>
      </w:r>
    </w:p>
    <w:p w14:paraId="1625BFF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доукомплектовать завод № </w:t>
      </w:r>
      <w:r w:rsidRPr="008127F8">
        <w:rPr>
          <w:rStyle w:val="0pt"/>
          <w:rFonts w:ascii="Times New Roman" w:hAnsi="Times New Roman" w:cs="Times New Roman"/>
          <w:color w:val="000000" w:themeColor="text1"/>
          <w:sz w:val="16"/>
          <w:szCs w:val="16"/>
        </w:rPr>
        <w:t>293</w:t>
      </w:r>
      <w:r w:rsidRPr="008127F8">
        <w:rPr>
          <w:rFonts w:ascii="Times New Roman" w:hAnsi="Times New Roman"/>
          <w:color w:val="000000" w:themeColor="text1"/>
          <w:sz w:val="16"/>
          <w:szCs w:val="16"/>
        </w:rPr>
        <w:t xml:space="preserve"> металлорежущим и прочим оборудованием в количестве 65 единиц, в том числе 40 единиц из поступающего импорта и 25 - с заводов НКАП;</w:t>
      </w:r>
    </w:p>
    <w:p w14:paraId="4141D473" w14:textId="77777777" w:rsidR="007C5583" w:rsidRPr="008127F8" w:rsidRDefault="007C5583" w:rsidP="007C5583">
      <w:pPr>
        <w:pStyle w:val="27"/>
        <w:shd w:val="clear" w:color="auto" w:fill="auto"/>
        <w:tabs>
          <w:tab w:val="left" w:pos="2263"/>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 xml:space="preserve">б) обеспечить завод №- </w:t>
      </w:r>
      <w:r w:rsidRPr="008127F8">
        <w:rPr>
          <w:rStyle w:val="0pt"/>
          <w:rFonts w:ascii="Times New Roman" w:cs="Times New Roman"/>
          <w:color w:val="000000" w:themeColor="text1"/>
          <w:sz w:val="16"/>
          <w:szCs w:val="16"/>
        </w:rPr>
        <w:t>293</w:t>
      </w:r>
      <w:r w:rsidRPr="008127F8">
        <w:rPr>
          <w:rFonts w:ascii="Times New Roman" w:cs="Times New Roman"/>
          <w:color w:val="000000" w:themeColor="text1"/>
          <w:spacing w:val="0"/>
        </w:rPr>
        <w:t xml:space="preserve"> всеми материалами, необходимы</w:t>
      </w:r>
      <w:r w:rsidRPr="008127F8">
        <w:rPr>
          <w:rFonts w:ascii="Times New Roman" w:cs="Times New Roman"/>
          <w:color w:val="000000" w:themeColor="text1"/>
          <w:spacing w:val="0"/>
        </w:rPr>
        <w:softHyphen/>
        <w:t>ми  для восстановления и монтажа эавода;</w:t>
      </w:r>
    </w:p>
    <w:p w14:paraId="15800D55" w14:textId="77777777" w:rsidR="007C5583" w:rsidRPr="008127F8" w:rsidRDefault="007C5583" w:rsidP="007C5583">
      <w:pPr>
        <w:pStyle w:val="27"/>
        <w:shd w:val="clear" w:color="auto" w:fill="auto"/>
        <w:tabs>
          <w:tab w:val="left" w:pos="2063"/>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 xml:space="preserve">в) перевести на завод № </w:t>
      </w:r>
      <w:r w:rsidRPr="008127F8">
        <w:rPr>
          <w:rStyle w:val="0pt"/>
          <w:rFonts w:ascii="Times New Roman" w:cs="Times New Roman"/>
          <w:color w:val="000000" w:themeColor="text1"/>
          <w:sz w:val="16"/>
          <w:szCs w:val="16"/>
        </w:rPr>
        <w:t>293</w:t>
      </w:r>
      <w:r w:rsidRPr="008127F8">
        <w:rPr>
          <w:rFonts w:ascii="Times New Roman" w:cs="Times New Roman"/>
          <w:color w:val="000000" w:themeColor="text1"/>
          <w:spacing w:val="0"/>
        </w:rPr>
        <w:t xml:space="preserve"> с заводов НКАП </w:t>
      </w:r>
      <w:r w:rsidRPr="008127F8">
        <w:rPr>
          <w:rStyle w:val="0pt"/>
          <w:rFonts w:ascii="Times New Roman" w:cs="Times New Roman"/>
          <w:color w:val="000000" w:themeColor="text1"/>
          <w:sz w:val="16"/>
          <w:szCs w:val="16"/>
        </w:rPr>
        <w:t>250</w:t>
      </w:r>
      <w:r w:rsidRPr="008127F8">
        <w:rPr>
          <w:rFonts w:ascii="Times New Roman" w:cs="Times New Roman"/>
          <w:color w:val="000000" w:themeColor="text1"/>
          <w:spacing w:val="0"/>
        </w:rPr>
        <w:t xml:space="preserve"> человек р</w:t>
      </w:r>
    </w:p>
    <w:p w14:paraId="6C8C2947"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абочих разных квалификаций, в том числе 50 человек не ниже -го разряда.</w:t>
      </w:r>
    </w:p>
    <w:p w14:paraId="581879DC"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 xml:space="preserve">8. Обязать Народного Комиссара Танковой Промышленности - тов.Малышева организовать на Уралмапшаводе производство </w:t>
      </w:r>
      <w:r w:rsidRPr="008127F8">
        <w:rPr>
          <w:rStyle w:val="0pt"/>
          <w:rFonts w:ascii="Times New Roman" w:cs="Times New Roman"/>
          <w:color w:val="000000" w:themeColor="text1"/>
          <w:sz w:val="16"/>
          <w:szCs w:val="16"/>
        </w:rPr>
        <w:t>600</w:t>
      </w:r>
      <w:r w:rsidRPr="008127F8">
        <w:rPr>
          <w:rFonts w:ascii="Times New Roman" w:cs="Times New Roman"/>
          <w:color w:val="000000" w:themeColor="text1"/>
          <w:spacing w:val="0"/>
        </w:rPr>
        <w:t xml:space="preserve"> штук баллонов для самолетов-перехватчиков с поставкой </w:t>
      </w:r>
      <w:r w:rsidRPr="008127F8">
        <w:rPr>
          <w:rStyle w:val="0pt"/>
          <w:rFonts w:ascii="Times New Roman" w:cs="Times New Roman"/>
          <w:color w:val="000000" w:themeColor="text1"/>
          <w:sz w:val="16"/>
          <w:szCs w:val="16"/>
        </w:rPr>
        <w:t>200</w:t>
      </w:r>
      <w:r w:rsidRPr="008127F8">
        <w:rPr>
          <w:rFonts w:ascii="Times New Roman" w:cs="Times New Roman"/>
          <w:color w:val="000000" w:themeColor="text1"/>
          <w:spacing w:val="0"/>
        </w:rPr>
        <w:t xml:space="preserve"> штук в июле, </w:t>
      </w:r>
      <w:r w:rsidRPr="008127F8">
        <w:rPr>
          <w:rStyle w:val="0pt"/>
          <w:rFonts w:ascii="Times New Roman" w:cs="Times New Roman"/>
          <w:color w:val="000000" w:themeColor="text1"/>
          <w:sz w:val="16"/>
          <w:szCs w:val="16"/>
        </w:rPr>
        <w:t>200</w:t>
      </w:r>
      <w:r w:rsidRPr="008127F8">
        <w:rPr>
          <w:rFonts w:ascii="Times New Roman" w:cs="Times New Roman"/>
          <w:color w:val="000000" w:themeColor="text1"/>
          <w:spacing w:val="0"/>
        </w:rPr>
        <w:t xml:space="preserve"> в августе и </w:t>
      </w:r>
      <w:r w:rsidRPr="008127F8">
        <w:rPr>
          <w:rStyle w:val="0pt"/>
          <w:rFonts w:ascii="Times New Roman" w:cs="Times New Roman"/>
          <w:color w:val="000000" w:themeColor="text1"/>
          <w:sz w:val="16"/>
          <w:szCs w:val="16"/>
        </w:rPr>
        <w:t>200</w:t>
      </w:r>
      <w:r w:rsidRPr="008127F8">
        <w:rPr>
          <w:rFonts w:ascii="Times New Roman" w:cs="Times New Roman"/>
          <w:color w:val="000000" w:themeColor="text1"/>
          <w:spacing w:val="0"/>
        </w:rPr>
        <w:t xml:space="preserve"> в сентябре по специши- кации, чертежам и графику завода № </w:t>
      </w:r>
      <w:r w:rsidRPr="008127F8">
        <w:rPr>
          <w:rStyle w:val="0pt"/>
          <w:rFonts w:ascii="Times New Roman" w:cs="Times New Roman"/>
          <w:color w:val="000000" w:themeColor="text1"/>
          <w:sz w:val="16"/>
          <w:szCs w:val="16"/>
        </w:rPr>
        <w:t xml:space="preserve">293 </w:t>
      </w:r>
      <w:r w:rsidRPr="008127F8">
        <w:rPr>
          <w:rFonts w:ascii="Times New Roman" w:cs="Times New Roman"/>
          <w:color w:val="000000" w:themeColor="text1"/>
          <w:spacing w:val="0"/>
        </w:rPr>
        <w:t>НКАП.</w:t>
      </w:r>
    </w:p>
    <w:p w14:paraId="3E07CA82"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 xml:space="preserve">9. Обязать Народного Комиссара Вооружения - тов.Устинова организовать на заводе № </w:t>
      </w:r>
      <w:r w:rsidRPr="008127F8">
        <w:rPr>
          <w:rStyle w:val="0pt"/>
          <w:rFonts w:ascii="Times New Roman" w:cs="Times New Roman"/>
          <w:color w:val="000000" w:themeColor="text1"/>
          <w:sz w:val="16"/>
          <w:szCs w:val="16"/>
        </w:rPr>
        <w:t>221</w:t>
      </w:r>
      <w:r w:rsidRPr="008127F8">
        <w:rPr>
          <w:rFonts w:ascii="Times New Roman" w:cs="Times New Roman"/>
          <w:color w:val="000000" w:themeColor="text1"/>
          <w:spacing w:val="0"/>
        </w:rPr>
        <w:t xml:space="preserve"> изготовление прошитых кованных заготовок ив стали Эл-17 в количестве </w:t>
      </w:r>
      <w:r w:rsidRPr="008127F8">
        <w:rPr>
          <w:rStyle w:val="0pt"/>
          <w:rFonts w:ascii="Times New Roman" w:cs="Times New Roman"/>
          <w:color w:val="000000" w:themeColor="text1"/>
          <w:sz w:val="16"/>
          <w:szCs w:val="16"/>
        </w:rPr>
        <w:t>200</w:t>
      </w:r>
      <w:r w:rsidRPr="008127F8">
        <w:rPr>
          <w:rFonts w:ascii="Times New Roman" w:cs="Times New Roman"/>
          <w:color w:val="000000" w:themeColor="text1"/>
          <w:spacing w:val="0"/>
        </w:rPr>
        <w:t xml:space="preserve"> тонн для деталей двигательной установки с поставкой их по спецификации завода </w:t>
      </w:r>
      <w:r w:rsidRPr="008127F8">
        <w:rPr>
          <w:rStyle w:val="0pt"/>
          <w:rFonts w:ascii="Times New Roman" w:cs="Times New Roman"/>
          <w:color w:val="000000" w:themeColor="text1"/>
          <w:sz w:val="16"/>
          <w:szCs w:val="16"/>
          <w:lang w:val="en-US"/>
        </w:rPr>
        <w:t>ffi</w:t>
      </w:r>
      <w:r w:rsidRPr="008127F8">
        <w:rPr>
          <w:rStyle w:val="0pt"/>
          <w:rFonts w:ascii="Times New Roman" w:cs="Times New Roman"/>
          <w:color w:val="000000" w:themeColor="text1"/>
          <w:sz w:val="16"/>
          <w:szCs w:val="16"/>
        </w:rPr>
        <w:t xml:space="preserve"> 293</w:t>
      </w:r>
      <w:r w:rsidRPr="008127F8">
        <w:rPr>
          <w:rFonts w:ascii="Times New Roman" w:cs="Times New Roman"/>
          <w:color w:val="000000" w:themeColor="text1"/>
          <w:spacing w:val="0"/>
        </w:rPr>
        <w:t xml:space="preserve"> в сроки:</w:t>
      </w:r>
    </w:p>
    <w:p w14:paraId="4BF0B20C"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июне - 50 тонн</w:t>
      </w:r>
    </w:p>
    <w:p w14:paraId="6BEB4183"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июле - 75</w:t>
      </w:r>
    </w:p>
    <w:p w14:paraId="3B3D1F8C"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августе 75 "</w:t>
      </w:r>
    </w:p>
    <w:p w14:paraId="32F0197F"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10. Обяэать Народного Комиссара Внешней Торговли - тов.Ми</w:t>
      </w:r>
      <w:r w:rsidRPr="008127F8">
        <w:rPr>
          <w:rFonts w:ascii="Times New Roman" w:cs="Times New Roman"/>
          <w:color w:val="000000" w:themeColor="text1"/>
          <w:spacing w:val="0"/>
        </w:rPr>
        <w:softHyphen/>
        <w:t xml:space="preserve">кояна выделить в июне </w:t>
      </w:r>
      <w:r w:rsidRPr="008127F8">
        <w:rPr>
          <w:rStyle w:val="0pt"/>
          <w:rFonts w:ascii="Times New Roman" w:cs="Times New Roman"/>
          <w:color w:val="000000" w:themeColor="text1"/>
          <w:sz w:val="16"/>
          <w:szCs w:val="16"/>
        </w:rPr>
        <w:t>1942</w:t>
      </w:r>
      <w:r w:rsidRPr="008127F8">
        <w:rPr>
          <w:rFonts w:ascii="Times New Roman" w:cs="Times New Roman"/>
          <w:color w:val="000000" w:themeColor="text1"/>
          <w:spacing w:val="0"/>
        </w:rPr>
        <w:t xml:space="preserve"> года заводу № </w:t>
      </w:r>
      <w:r w:rsidRPr="008127F8">
        <w:rPr>
          <w:rStyle w:val="0pt"/>
          <w:rFonts w:ascii="Times New Roman" w:cs="Times New Roman"/>
          <w:color w:val="000000" w:themeColor="text1"/>
          <w:sz w:val="16"/>
          <w:szCs w:val="16"/>
        </w:rPr>
        <w:t>293</w:t>
      </w:r>
      <w:r w:rsidRPr="008127F8">
        <w:rPr>
          <w:rFonts w:ascii="Times New Roman" w:cs="Times New Roman"/>
          <w:color w:val="000000" w:themeColor="text1"/>
          <w:spacing w:val="0"/>
        </w:rPr>
        <w:t xml:space="preserve"> из числа посту</w:t>
      </w:r>
      <w:r w:rsidRPr="008127F8">
        <w:rPr>
          <w:rFonts w:ascii="Times New Roman" w:cs="Times New Roman"/>
          <w:color w:val="000000" w:themeColor="text1"/>
          <w:spacing w:val="0"/>
        </w:rPr>
        <w:softHyphen/>
        <w:t>пающих по импорту, или в счет поставок НКО: три трехтонки, три полуторатонки, один трактор, два Пикапа, две легковых машины и один мотоцикл.</w:t>
      </w:r>
    </w:p>
    <w:p w14:paraId="400EFC98"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11.Обязать Народного Комиссара Химической Промышлен</w:t>
      </w:r>
      <w:r w:rsidRPr="008127F8">
        <w:rPr>
          <w:rFonts w:ascii="Times New Roman" w:cs="Times New Roman"/>
          <w:color w:val="000000" w:themeColor="text1"/>
          <w:spacing w:val="0"/>
        </w:rPr>
        <w:softHyphen/>
        <w:t>ности - тов. Первухина, обеспечить ежемесячную поставку заво</w:t>
      </w:r>
      <w:r w:rsidRPr="008127F8">
        <w:rPr>
          <w:rFonts w:ascii="Times New Roman" w:cs="Times New Roman"/>
          <w:color w:val="000000" w:themeColor="text1"/>
          <w:spacing w:val="0"/>
        </w:rPr>
        <w:softHyphen/>
      </w:r>
      <w:r w:rsidRPr="008127F8">
        <w:rPr>
          <w:rStyle w:val="0pt"/>
          <w:rFonts w:ascii="Times New Roman" w:cs="Times New Roman"/>
          <w:color w:val="000000" w:themeColor="text1"/>
          <w:sz w:val="16"/>
          <w:szCs w:val="16"/>
        </w:rPr>
        <w:t>ду № 293</w:t>
      </w:r>
      <w:r w:rsidRPr="008127F8">
        <w:rPr>
          <w:rFonts w:ascii="Times New Roman" w:cs="Times New Roman"/>
          <w:color w:val="000000" w:themeColor="text1"/>
          <w:spacing w:val="0"/>
        </w:rPr>
        <w:t xml:space="preserve"> НКАП - 10 тонн концентрированной (96-98%) азотной кислоты и предусмотреть поставку </w:t>
      </w:r>
      <w:r w:rsidRPr="008127F8">
        <w:rPr>
          <w:rStyle w:val="16"/>
          <w:rFonts w:ascii="Times New Roman" w:cs="Times New Roman"/>
          <w:color w:val="000000" w:themeColor="text1"/>
          <w:spacing w:val="0"/>
        </w:rPr>
        <w:t>ВВС</w:t>
      </w:r>
      <w:r w:rsidRPr="008127F8">
        <w:rPr>
          <w:rFonts w:ascii="Times New Roman" w:cs="Times New Roman"/>
          <w:color w:val="000000" w:themeColor="text1"/>
          <w:spacing w:val="0"/>
        </w:rPr>
        <w:t xml:space="preserve"> КА </w:t>
      </w:r>
      <w:r w:rsidRPr="008127F8">
        <w:rPr>
          <w:rStyle w:val="16"/>
          <w:rFonts w:ascii="Times New Roman" w:cs="Times New Roman"/>
          <w:color w:val="000000" w:themeColor="text1"/>
          <w:spacing w:val="0"/>
        </w:rPr>
        <w:t>40</w:t>
      </w:r>
      <w:r w:rsidRPr="008127F8">
        <w:rPr>
          <w:rFonts w:ascii="Times New Roman" w:cs="Times New Roman"/>
          <w:color w:val="000000" w:themeColor="text1"/>
          <w:spacing w:val="0"/>
        </w:rPr>
        <w:t xml:space="preserve"> тонн ежемесячно, начиная с июля </w:t>
      </w:r>
      <w:r w:rsidRPr="008127F8">
        <w:rPr>
          <w:rStyle w:val="0pt"/>
          <w:rFonts w:ascii="Times New Roman" w:cs="Times New Roman"/>
          <w:color w:val="000000" w:themeColor="text1"/>
          <w:sz w:val="16"/>
          <w:szCs w:val="16"/>
        </w:rPr>
        <w:t>1942</w:t>
      </w:r>
      <w:r w:rsidRPr="008127F8">
        <w:rPr>
          <w:rFonts w:ascii="Times New Roman" w:cs="Times New Roman"/>
          <w:color w:val="000000" w:themeColor="text1"/>
          <w:spacing w:val="0"/>
        </w:rPr>
        <w:t xml:space="preserve"> года, прикрепив для этой цели к заводу </w:t>
      </w:r>
      <w:r w:rsidRPr="008127F8">
        <w:rPr>
          <w:rStyle w:val="0pt"/>
          <w:rFonts w:ascii="Times New Roman" w:cs="Times New Roman"/>
          <w:color w:val="000000" w:themeColor="text1"/>
          <w:sz w:val="16"/>
          <w:szCs w:val="16"/>
        </w:rPr>
        <w:t>№ 293</w:t>
      </w:r>
      <w:r w:rsidRPr="008127F8">
        <w:rPr>
          <w:rFonts w:ascii="Times New Roman" w:cs="Times New Roman"/>
          <w:color w:val="000000" w:themeColor="text1"/>
          <w:spacing w:val="0"/>
        </w:rPr>
        <w:t xml:space="preserve"> и войсковым частям </w:t>
      </w:r>
      <w:r w:rsidRPr="008127F8">
        <w:rPr>
          <w:rStyle w:val="16"/>
          <w:rFonts w:ascii="Times New Roman" w:cs="Times New Roman"/>
          <w:color w:val="000000" w:themeColor="text1"/>
          <w:spacing w:val="0"/>
        </w:rPr>
        <w:t>ВВС</w:t>
      </w:r>
      <w:r w:rsidRPr="008127F8">
        <w:rPr>
          <w:rFonts w:ascii="Times New Roman" w:cs="Times New Roman"/>
          <w:color w:val="000000" w:themeColor="text1"/>
          <w:spacing w:val="0"/>
        </w:rPr>
        <w:t xml:space="preserve"> КА соответствующее количество специальных алюминиевых цистерн.</w:t>
      </w:r>
    </w:p>
    <w:p w14:paraId="19FD3CC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12.Обязать Моссовет - тов.Пронина выделить заводу № </w:t>
      </w:r>
      <w:r w:rsidRPr="008127F8">
        <w:rPr>
          <w:rStyle w:val="0pt"/>
          <w:rFonts w:ascii="Times New Roman" w:hAnsi="Times New Roman" w:cs="Times New Roman"/>
          <w:color w:val="000000" w:themeColor="text1"/>
          <w:sz w:val="16"/>
          <w:szCs w:val="16"/>
        </w:rPr>
        <w:t>293 НКАП в районе Ленинградского шоссе 1500 кв. метров жилплощади, в т.ч. не менее 15 квартир для руководящих работников заводжа, а также восстановить жилплощадь рабочих, ИТР и служа</w:t>
      </w:r>
      <w:r w:rsidRPr="008127F8">
        <w:rPr>
          <w:rFonts w:ascii="Times New Roman" w:hAnsi="Times New Roman"/>
          <w:color w:val="000000" w:themeColor="text1"/>
          <w:sz w:val="16"/>
          <w:szCs w:val="16"/>
        </w:rPr>
        <w:t xml:space="preserve">щих, эвакуированных с заводом № </w:t>
      </w:r>
      <w:r w:rsidRPr="008127F8">
        <w:rPr>
          <w:rStyle w:val="0pt"/>
          <w:rFonts w:ascii="Times New Roman" w:hAnsi="Times New Roman" w:cs="Times New Roman"/>
          <w:color w:val="000000" w:themeColor="text1"/>
          <w:sz w:val="16"/>
          <w:szCs w:val="16"/>
        </w:rPr>
        <w:t>293</w:t>
      </w:r>
      <w:r w:rsidRPr="008127F8">
        <w:rPr>
          <w:rFonts w:ascii="Times New Roman" w:hAnsi="Times New Roman"/>
          <w:color w:val="000000" w:themeColor="text1"/>
          <w:sz w:val="16"/>
          <w:szCs w:val="16"/>
        </w:rPr>
        <w:t xml:space="preserve"> в Свердловскую область. 13.Разрешить НКАП организовать </w:t>
      </w:r>
      <w:r w:rsidRPr="008127F8">
        <w:rPr>
          <w:rStyle w:val="16"/>
          <w:rFonts w:ascii="Times New Roman" w:hAnsi="Times New Roman"/>
          <w:color w:val="000000" w:themeColor="text1"/>
        </w:rPr>
        <w:t>ОРС</w:t>
      </w:r>
      <w:r w:rsidRPr="008127F8">
        <w:rPr>
          <w:rFonts w:ascii="Times New Roman" w:hAnsi="Times New Roman"/>
          <w:color w:val="000000" w:themeColor="text1"/>
          <w:sz w:val="16"/>
          <w:szCs w:val="16"/>
        </w:rPr>
        <w:t xml:space="preserve"> на заводе № 293, вклю</w:t>
      </w:r>
      <w:r w:rsidRPr="008127F8">
        <w:rPr>
          <w:rFonts w:ascii="Times New Roman" w:hAnsi="Times New Roman"/>
          <w:color w:val="000000" w:themeColor="text1"/>
          <w:sz w:val="16"/>
          <w:szCs w:val="16"/>
        </w:rPr>
        <w:softHyphen/>
        <w:t>чив его на снабжение в особый список по нормам гор. Москвы.</w:t>
      </w:r>
    </w:p>
    <w:p w14:paraId="23120EF7"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Style w:val="16"/>
          <w:rFonts w:ascii="Times New Roman" w:cs="Times New Roman"/>
          <w:color w:val="000000" w:themeColor="text1"/>
          <w:spacing w:val="0"/>
        </w:rPr>
        <w:t>14. Обязать</w:t>
      </w:r>
      <w:r w:rsidRPr="008127F8">
        <w:rPr>
          <w:rFonts w:ascii="Times New Roman" w:cs="Times New Roman"/>
          <w:color w:val="000000" w:themeColor="text1"/>
          <w:spacing w:val="0"/>
        </w:rPr>
        <w:t xml:space="preserve"> Народного Комиссара Путей Сообщения - тов. Хрулева выделить для перевозки оборудования, материалов и людско</w:t>
      </w:r>
      <w:r w:rsidRPr="008127F8">
        <w:rPr>
          <w:rFonts w:ascii="Times New Roman" w:cs="Times New Roman"/>
          <w:color w:val="000000" w:themeColor="text1"/>
          <w:spacing w:val="0"/>
        </w:rPr>
        <w:softHyphen/>
        <w:t xml:space="preserve">го состава завода № </w:t>
      </w:r>
      <w:r w:rsidRPr="008127F8">
        <w:rPr>
          <w:rStyle w:val="0pt"/>
          <w:rFonts w:ascii="Times New Roman" w:cs="Times New Roman"/>
          <w:color w:val="000000" w:themeColor="text1"/>
          <w:sz w:val="16"/>
          <w:szCs w:val="16"/>
        </w:rPr>
        <w:t>293</w:t>
      </w:r>
      <w:r w:rsidRPr="008127F8">
        <w:rPr>
          <w:rFonts w:ascii="Times New Roman" w:cs="Times New Roman"/>
          <w:color w:val="000000" w:themeColor="text1"/>
          <w:spacing w:val="0"/>
        </w:rPr>
        <w:t xml:space="preserve"> НКАП со ст.Билимбай, жел.дор.имени Кагановича Л.М.,на ст.Химки,Октябрьской жел.дор., вагоны по заявке завода.</w:t>
      </w:r>
    </w:p>
    <w:p w14:paraId="06D4DDB2"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15.Обязать Народного Комиссара Финансов т.Зверева выде</w:t>
      </w:r>
      <w:r w:rsidRPr="008127F8">
        <w:rPr>
          <w:rFonts w:ascii="Times New Roman" w:cs="Times New Roman"/>
          <w:color w:val="000000" w:themeColor="text1"/>
          <w:spacing w:val="0"/>
        </w:rPr>
        <w:softHyphen/>
        <w:t>лить Наркомавиапрому из резервного фонда СНК СССР:на восста</w:t>
      </w:r>
      <w:r w:rsidRPr="008127F8">
        <w:rPr>
          <w:rFonts w:ascii="Times New Roman" w:cs="Times New Roman"/>
          <w:color w:val="000000" w:themeColor="text1"/>
          <w:spacing w:val="0"/>
        </w:rPr>
        <w:softHyphen/>
        <w:t xml:space="preserve">новление и перебазирование завода № </w:t>
      </w:r>
      <w:r w:rsidRPr="008127F8">
        <w:rPr>
          <w:rStyle w:val="0pt"/>
          <w:rFonts w:ascii="Times New Roman" w:cs="Times New Roman"/>
          <w:color w:val="000000" w:themeColor="text1"/>
          <w:sz w:val="16"/>
          <w:szCs w:val="16"/>
        </w:rPr>
        <w:t>293 - 2.000.000</w:t>
      </w:r>
      <w:r w:rsidRPr="008127F8">
        <w:rPr>
          <w:rFonts w:ascii="Times New Roman" w:cs="Times New Roman"/>
          <w:color w:val="000000" w:themeColor="text1"/>
          <w:spacing w:val="0"/>
        </w:rPr>
        <w:t xml:space="preserve"> рублей, на модификацию самолетов-перехватчиков - </w:t>
      </w:r>
      <w:r w:rsidRPr="008127F8">
        <w:rPr>
          <w:rStyle w:val="0pt"/>
          <w:rFonts w:ascii="Times New Roman" w:cs="Times New Roman"/>
          <w:color w:val="000000" w:themeColor="text1"/>
          <w:sz w:val="16"/>
          <w:szCs w:val="16"/>
        </w:rPr>
        <w:t>2.000.000</w:t>
      </w:r>
      <w:r w:rsidRPr="008127F8">
        <w:rPr>
          <w:rFonts w:ascii="Times New Roman" w:cs="Times New Roman"/>
          <w:color w:val="000000" w:themeColor="text1"/>
          <w:spacing w:val="0"/>
        </w:rPr>
        <w:t xml:space="preserve"> рублей и на изготовление малой серии самолетов - 6.000.000 рублей (19343).</w:t>
      </w:r>
    </w:p>
    <w:p w14:paraId="2F499F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77CC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июня 1942 вышло постановления ГКО от N 1903сс/ов "О постройке войсковой серии и модификациях самолетов перехватчиков конструкции Болховитинова с ракетными двигателями Д1-А-1100 конструкции НИИ-3" (1557,12). Решили сделать 30 + "Для развития и объединения в системе НКАП работ по ракетным двигателям и самолетам перевести на завод 293 НКАП из НИИ-3 НКБ группу т. Душкина и с Кировского завода НТКП группу т. Люльки" (3168,3).</w:t>
      </w:r>
    </w:p>
    <w:p w14:paraId="2CEA923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F93F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июня 1942 вышло Постановление ГКО № 1904 Об увеличении выпуска авиационных подшипников заводами Наркомсредмаша. РГАНИР, Фонд ГКО, д. 39, лл. 145-147, 148-162 (11012).</w:t>
      </w:r>
    </w:p>
    <w:p w14:paraId="1DF85A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B444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июня 1942 вышел приказ НКАП и командующего ВВС N 427к/0100:</w:t>
      </w:r>
    </w:p>
    <w:p w14:paraId="2DB0F8D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отчета гос. испытаний модифицированного самолета УТ-2:</w:t>
      </w:r>
    </w:p>
    <w:p w14:paraId="794706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 нач. ПГУ А.Д.Шиц и директору завода 47 Я.Е.Шаройко приступить к серийному выпуску модифицированных самолетов УТ-2:</w:t>
      </w:r>
    </w:p>
    <w:p w14:paraId="34C8B82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 улучшенной техникой пилотирования и улучшенными штопорными свойствами</w:t>
      </w:r>
    </w:p>
    <w:p w14:paraId="134D42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Оборудованного 4 бомбодержателями типа ДЕР-31</w:t>
      </w:r>
    </w:p>
    <w:p w14:paraId="15ECBC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 заменой дюралевых баков на железные, дюралевого оперения и элеронов на деревянные, дюралевого сидения на деревянное, а также заменой материала других более легких деталей, ранее изготовляемых из дюраля</w:t>
      </w:r>
    </w:p>
    <w:p w14:paraId="360A4B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Начать выпуск с 1 июля не снижая утвержденного графика (1558,128).</w:t>
      </w:r>
    </w:p>
    <w:p w14:paraId="43FBBAF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41261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июня 1942 г. по постановлению ГОКО и приказу № 433сс/ов от 11.06.1942 г. с Кировского завода на завод № 293 переведена группа А.М. Люльки (23 чел.) для продолжения работ по ТРД (на заводе- с 1.07.1942 г.). В 1943 г. Люлька переведен в ЦИАМ.СМ-3-4/97 Этим же приказом планировалось перевести на завод конструкторскую группу Л.С. Душкина (В.А. Штоколов, А.В. Палло и др.) из НИИ-3 НКБ, однако, это не было осуществлено (10776).</w:t>
      </w:r>
    </w:p>
    <w:p w14:paraId="7D5F4A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2DE33A" w14:textId="77777777" w:rsidR="004009F4" w:rsidRPr="008A2E5A" w:rsidRDefault="004009F4" w:rsidP="004009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июня 1942 г. Из приказа по 2-му Главному Управлению НКАП СССР о создании КБ на заводе № 481</w:t>
      </w:r>
    </w:p>
    <w:p w14:paraId="71732187" w14:textId="77777777" w:rsidR="004009F4" w:rsidRPr="008A2E5A" w:rsidRDefault="004009F4" w:rsidP="004009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связи с выпуском заводом № 481 ряда новых конструкций создать при заводе №481 объединенное конструкторское бюро и придать ему опытно-серийные, конструкторские работы.</w:t>
      </w:r>
    </w:p>
    <w:p w14:paraId="68DA22D0" w14:textId="77777777" w:rsidR="004009F4" w:rsidRPr="008A2E5A" w:rsidRDefault="004009F4" w:rsidP="004009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второго Главного Управления НКАП</w:t>
      </w:r>
      <w:r w:rsidRPr="008A2E5A">
        <w:rPr>
          <w:rFonts w:ascii="Times New Roman" w:hAnsi="Times New Roman"/>
          <w:color w:val="0070C0"/>
          <w:sz w:val="16"/>
          <w:szCs w:val="16"/>
        </w:rPr>
        <w:tab/>
        <w:t>Климовицкий</w:t>
      </w:r>
    </w:p>
    <w:p w14:paraId="13767FA0" w14:textId="77777777" w:rsidR="004009F4" w:rsidRPr="008A2E5A" w:rsidRDefault="004009F4" w:rsidP="004009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 города Сызрани. Ф. P-76. On. 11. Д. 4. Л. 215. Завер. Копия (23912).</w:t>
      </w:r>
    </w:p>
    <w:p w14:paraId="440ACC7B" w14:textId="77777777" w:rsidR="004009F4" w:rsidRPr="008A2E5A" w:rsidRDefault="004009F4" w:rsidP="004009F4">
      <w:pPr>
        <w:spacing w:after="0" w:line="240" w:lineRule="auto"/>
        <w:jc w:val="both"/>
        <w:rPr>
          <w:rFonts w:ascii="Times New Roman" w:hAnsi="Times New Roman"/>
          <w:color w:val="0070C0"/>
          <w:sz w:val="16"/>
          <w:szCs w:val="16"/>
        </w:rPr>
      </w:pPr>
    </w:p>
    <w:p w14:paraId="4BC08E2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июня 1942 г. было письмо Наркому авиационной промышленно</w:t>
      </w:r>
      <w:r w:rsidRPr="008127F8">
        <w:rPr>
          <w:rFonts w:ascii="Times New Roman" w:hAnsi="Times New Roman"/>
          <w:color w:val="000000" w:themeColor="text1"/>
          <w:sz w:val="16"/>
          <w:szCs w:val="16"/>
        </w:rPr>
        <w:softHyphen/>
        <w:t>сти СССР А.И.Шахурину от заместителя Главного управления заказов и технического снабжения ВВС КА генерал-майора ИАС Бибикова: «...Для пристрелки РО самолетов (РО-82 и РО-132) на са</w:t>
      </w:r>
      <w:r w:rsidRPr="008127F8">
        <w:rPr>
          <w:rFonts w:ascii="Times New Roman" w:hAnsi="Times New Roman"/>
          <w:color w:val="000000" w:themeColor="text1"/>
          <w:sz w:val="16"/>
          <w:szCs w:val="16"/>
        </w:rPr>
        <w:softHyphen/>
        <w:t>молетостроительных заводах и в строевых частях ВВС КА при помощи трубки холодной пристрелки заводом № 43 НКАП изготовлен и нами ут</w:t>
      </w:r>
      <w:r w:rsidRPr="008127F8">
        <w:rPr>
          <w:rFonts w:ascii="Times New Roman" w:hAnsi="Times New Roman"/>
          <w:color w:val="000000" w:themeColor="text1"/>
          <w:sz w:val="16"/>
          <w:szCs w:val="16"/>
        </w:rPr>
        <w:softHyphen/>
        <w:t>вержден образец универсального шаблона. Благодаря ему, облегчается и ускоряется точная пристрелка РО самолетов без затраты боеприпасов. Прошу Вашего распоряжения 2-му ГУ об изготовлении для нужд Крас</w:t>
      </w:r>
      <w:r w:rsidRPr="008127F8">
        <w:rPr>
          <w:rFonts w:ascii="Times New Roman" w:hAnsi="Times New Roman"/>
          <w:color w:val="000000" w:themeColor="text1"/>
          <w:sz w:val="16"/>
          <w:szCs w:val="16"/>
        </w:rPr>
        <w:softHyphen/>
        <w:t>ной Армии 500 штук указанных шаблонов» (11402).</w:t>
      </w:r>
    </w:p>
    <w:p w14:paraId="351AA77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9761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7C89892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5F55F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июня 1942 г.</w:t>
      </w:r>
    </w:p>
    <w:p w14:paraId="3B71B29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приказа по 2-му Главному Управлению НКАП СССР о создании КБ на заводе № 481</w:t>
      </w:r>
    </w:p>
    <w:p w14:paraId="13DCCD6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июня 1942 г.</w:t>
      </w:r>
    </w:p>
    <w:p w14:paraId="18C0C90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выпуском заводом № 481 ряда новых конструкций создать при заводе №481 объединенное конструкторское бюро и придать ему опытно-серийные, конструкторские работы.</w:t>
      </w:r>
    </w:p>
    <w:p w14:paraId="36EBE40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второго Главного Управления НКАП</w:t>
      </w:r>
      <w:r w:rsidRPr="008127F8">
        <w:rPr>
          <w:rFonts w:ascii="Times New Roman" w:hAnsi="Times New Roman"/>
          <w:color w:val="000000" w:themeColor="text1"/>
          <w:sz w:val="16"/>
          <w:szCs w:val="16"/>
        </w:rPr>
        <w:tab/>
        <w:t>Климовицкий</w:t>
      </w:r>
    </w:p>
    <w:p w14:paraId="129706D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 города Сызрани. Ф. P-76. On. 11. Д. 4. Л. 215. Завер. Копия (20780).</w:t>
      </w:r>
    </w:p>
    <w:p w14:paraId="46EEC92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1A72BC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июня 1942 г. Приказом № 206сс заводу (Завод № 711 им. Ухтомского НКМВ, НКСХМ, Люберецкий завод сельскохозяйственного машиностроения им. А.В. Ухтомского, Люберецкий завод им. А.В. Ухтомского НКМВ, ОАО «ПО «Завод им. Ухтомского» /г. Люберцы Московской обл. ул. Транспортная/) к 1.07.1942 г. задано изготовить 500 корпусов 160-мм мин.</w:t>
      </w:r>
      <w:r w:rsidRPr="008127F8">
        <w:rPr>
          <w:rFonts w:ascii="Times New Roman" w:hAnsi="Times New Roman"/>
          <w:color w:val="000000" w:themeColor="text1"/>
          <w:sz w:val="16"/>
          <w:szCs w:val="16"/>
          <w:vertAlign w:val="superscript"/>
        </w:rPr>
        <w:t xml:space="preserve">129 </w:t>
      </w:r>
      <w:r w:rsidRPr="008127F8">
        <w:rPr>
          <w:rFonts w:ascii="Times New Roman" w:hAnsi="Times New Roman"/>
          <w:color w:val="000000" w:themeColor="text1"/>
          <w:sz w:val="16"/>
          <w:szCs w:val="16"/>
        </w:rPr>
        <w:t>31.01.1944 г. вышло распоряжение ГКО № 5070 о срочном обеспечении завода сырьем, материалами и топливом.</w:t>
      </w:r>
    </w:p>
    <w:p w14:paraId="1547C9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(11.1945 г.)- 348 чел., (03.1946 г.)- 8360 чел.</w:t>
      </w:r>
    </w:p>
    <w:p w14:paraId="7E112E9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(06.1942 г.)- Волков.</w:t>
      </w:r>
    </w:p>
    <w:p w14:paraId="743545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Технический директор (1927-30 г.)- Б.Л. Ванников.</w:t>
      </w:r>
    </w:p>
    <w:p w14:paraId="3AC769E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lastRenderedPageBreak/>
        <w:t>Производство:</w:t>
      </w:r>
      <w:r w:rsidRPr="008127F8">
        <w:rPr>
          <w:rFonts w:ascii="Times New Roman" w:hAnsi="Times New Roman"/>
          <w:color w:val="000000" w:themeColor="text1"/>
          <w:sz w:val="16"/>
          <w:szCs w:val="16"/>
        </w:rPr>
        <w:t xml:space="preserve"> 120-мм мины (-1942-44-) (11982).</w:t>
      </w:r>
    </w:p>
    <w:p w14:paraId="0F3601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E49C1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июня 1942 г. Горком ВКП (б) поставил заводу № 615 задачу выпустить в течение июля-августа две РЛС «Редут». Это была чрезвычайно сложная и ответственная задача, учитывая, что почти все оборудование и заделы по этим станциям были эвакуированы в Новосибирск, а главное – ощущалась острая нехватка соответствующих специалистов. Для решения этой задачи пришлось отказаться от дальнейшей разработки радиостанции «Нева», прекратить все ремонтные работы на радиоустановках фронта и флота. С огромным трудом заводу удалось изготовить станции «Редут» к концу сентября 1942 г. Дальнейшее функционирование предприятия было признано нецелесообразным, т.к. по сути дела на нем существовало всего одно массовое производство – кварцевых стабилизаторов, да и то носило характер вспомогательного. Поэтому в соответствии с постановлением Военного совета от 5 июля 1942 г. завод № 615 в октябре 1942 г. был законсервирован, получив новое наименование – завод № 678. Кварцевый цех в полном составе был переведен на завод № 616, а остальное оборудования на «Светлану» и другие предприятия (18297).</w:t>
      </w:r>
    </w:p>
    <w:p w14:paraId="4E45CDB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6F2B74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086D328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38067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9 июня</w:t>
      </w:r>
      <w:r w:rsidRPr="008127F8">
        <w:rPr>
          <w:rFonts w:ascii="Times New Roman" w:hAnsi="Times New Roman"/>
          <w:color w:val="000000" w:themeColor="text1"/>
          <w:sz w:val="16"/>
          <w:szCs w:val="16"/>
        </w:rPr>
        <w:t xml:space="preserve"> в 1942 году утреннее сообщение Совинформбюро:</w:t>
      </w:r>
    </w:p>
    <w:p w14:paraId="605CB72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9 июня на фронте существенных изменений не произошло.</w:t>
      </w:r>
    </w:p>
    <w:p w14:paraId="5FEB4EA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Пехота противника при поддержке танков атаковала кавалерийскую часть, где командиром тов. Соколов (Калининский фронт). Атака немцев была отбита с большими для них потерями. Нa поле боя осталось 620 убитых немецких солдат и офицеров и много вооружения.</w:t>
      </w:r>
    </w:p>
    <w:p w14:paraId="61351D5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Ленинградского фронта, уничтожили свыше 250 вражеских солдат и офицеров, два полевых орудия и несколько станковых пулеметов. Артиллерией подавлен огонь двух орудийных и одной миномётной батарей противника. На другом участке немцы пять раз пытались окружить подразделение тов. Васягина. Наши бойцы в упорном бою истребили более 100 гитлеровцев и вынудили остальных отступить.</w:t>
      </w:r>
    </w:p>
    <w:p w14:paraId="4DB3165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Авиачасть, где командиром тов. Самохин (Западный фронт), в течение последних семи дней провела ряд успешных операций. Наши лётчики уничтожили 4 железнодорожных эшелона противника, гружённых танками и автомашинами, 7 танков,6 автомашин, 2 зенитных орудия, 4 цистерны с горючим, взорвали склад боеприпасов и разгромили штаб немецкого соединения. В воздушных боях сбито 8 немецких самолётов.</w:t>
      </w:r>
    </w:p>
    <w:p w14:paraId="6A6D57A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Ленинградского фронта военком части тов. Маньковский вместе с шестью автоматчиками поехал на танке в разведку. Танк на полной скорости ворвался в деревню П., занятую немцами, и открыл огонь по блиндажам противника. Среди гитлеровцев началась паника. Бросая оружие, они с поднятыми руками покидали свои укрытия. Из блиндажей вышли и сдались в плен 59 немецких солдат. Отважные бойцы доставили пленных на командный пункт части.</w:t>
      </w:r>
    </w:p>
    <w:p w14:paraId="7FC9980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орловских партизан под командованием тов. Б. разгромил колонну немецкой пехоты. Оккупанты оставили на поле боя 80 трупов. Захвачено 2 орудия, автоматическая пушка, пулемёт и 5.000 патронов. Группа партизан этого же отряда пустила под откос железнодорожный ремонтно-восстановительный поезд с инженерным имуществом. Уничтожены паровоз и 10 вагонов.</w:t>
      </w:r>
    </w:p>
    <w:p w14:paraId="73D970D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Юный партизан Николай из отряда тов. В., бросил в окно штаба венгерской части гранату с привязанной к ней пачкой взрывчатки. Взрывом убито 12 офицеров. Храбрый партизан невредимым вернулся в свой отряд.</w:t>
      </w:r>
    </w:p>
    <w:p w14:paraId="77CB12D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обер-ефрейтора 126 немецкой пехотной дивизии Г. Таше найдено неотправленное письмо к родным в Германию. В этом письме он сообщает: «Из старых солдат в роте осталось 7 человек. По потерям наша дивизия стоит на втором месте во всей армии. На первом месте — дивизия «СС», а за ней — мы. Есть над чем поразмыслить. Некоторые роты нашей дивизии имеют сейчас по 15 человек».</w:t>
      </w:r>
    </w:p>
    <w:p w14:paraId="449FA6F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Немецкому солдату Гергарту Веберу пишут из Магдебурга (Германия): «Недавно сюда приехал один солдат. Он был ранен на фронте и после отпуска должен был снова отправиться в Россию. Накануне отъезда он застрелился у себя дома» (14917).</w:t>
      </w:r>
    </w:p>
    <w:p w14:paraId="3BD617B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F59BA1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9 июня</w:t>
      </w:r>
      <w:r w:rsidRPr="008127F8">
        <w:rPr>
          <w:rFonts w:ascii="Times New Roman" w:hAnsi="Times New Roman"/>
          <w:color w:val="000000" w:themeColor="text1"/>
          <w:sz w:val="16"/>
          <w:szCs w:val="16"/>
        </w:rPr>
        <w:t xml:space="preserve"> в 1942 году вечернее сообщение Совинформбюро:</w:t>
      </w:r>
    </w:p>
    <w:p w14:paraId="504453E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9 июня на фронте происходили бои местного значения и активные действия разведчиков.</w:t>
      </w:r>
    </w:p>
    <w:p w14:paraId="6852A49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Севастопольском участке фронта наши войска отбивали многократные атаки противника с большими для него потерями.</w:t>
      </w:r>
    </w:p>
    <w:p w14:paraId="458059F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8 июня частями нашей авиации на различных участках фронта уничтожено или повреждено 26 немецких танков, бронемашина, 50 автомашин с войсками и грузами, 20 подвод с боеприпасами, 9 артиллерийских и зенитных батарей, 6 миномётных батарей, 3 трактора, потоплен буксир, рассеяно и частью уничтожено до трёх рот пехоты противника.</w:t>
      </w:r>
    </w:p>
    <w:p w14:paraId="68084C4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Севастопольском участке фронта противник, не считаясь с потерями, продолжает атаки против героического города. Наши бойцы отбили атаки противника и нанесли ему большой урон. Против части, где командиром тов. Новиков, немцы бросили в атаку до двух полков пехоты. Артиллеристы и миномётчики метким огнём рассеяли гитлеровцев. Поле боя усеяно многими сотнями вражеских трупов. Противнику удалось несколько потеснить подразделение командира тов. Вишнякова. Но уже через час решительной контратакой, перешедшей в рукопашную схватку, наши бойцы отбросили немцев. Самоотверженно боролись с врагом краснофлотцы части, где командиром тов. Гусаров. Немецко-фашистские войска только на отдельных участках под Севастополем в течение дня потеряли свыше 2.500 человек убитыми. Уничтожено14 и подбито 10 немецких танков. В воздушных боях и огнём зенитной артиллерии сбито 7 и повреждено 14 немецких самолётов.</w:t>
      </w:r>
    </w:p>
    <w:p w14:paraId="2162D05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Северо-Западного фронта наши части вели упорные бои с противником. На поле боя остались сотни вражеских трупов. Захвачено 250 винтовок, 18 пулемётов, 3 миномёта, 400 гранат, много снарядов, мин и другое военное имущество. На другом участке успешно действует подразделение под командованием тов. Плотникова. За несколько дней бойцы этого подразделения уничтожили до 600 немецких солдат и офицеров, разгромили штаб части противника и захватили важные документы.</w:t>
      </w:r>
    </w:p>
    <w:p w14:paraId="66DFEC0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Ленинградского фронта,уничтожила 2 артиллерийских орудия, 5 пулемётов и разрушила 16 дерево-земляных огневых точек противника. Гитлеровцы потеряли до 200 человек убитыми и ранеными.</w:t>
      </w:r>
    </w:p>
    <w:p w14:paraId="376DBE0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Западном фронте, в тылу противника, продолжались упорные бои наших частей и партизанских отрядов с крупными силами немецко-фашистских войск. Бойцы одной нашей части отразили несколько атак противника и нанесли ему тяжёлые потери. Немцы потеряли только убитыми свыше 200 солдат и офицеров. Огнём артиллерии уничтожены 2 немецких танка и бронемашина.</w:t>
      </w:r>
    </w:p>
    <w:p w14:paraId="081EE57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партизана-пулемётчика товарища А. напала группа немцев и обезоружила его. По дороге в штаб партизан выхватил автомат у одного из сопровождавших его гитлеровцев, уничтожил двух конвоиров и скрылся. Вечером того же дня тов. А. устроил засаду у одного села. По дороге проходил немецкий отряд. Отважный партизан несколькими очередями из пулемёта истребил 26 оккупантов.</w:t>
      </w:r>
    </w:p>
    <w:p w14:paraId="2455A31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1 роты парашютного дивизиона 7 авиадесантной дивизии Густав Фрост рассказал: «В марте нам объявили, что мы едем на родину. Но нас надули. Мы действительно погрузились в вагоны и поехали, но не в Германию, а на другой участок Восточного фронта. Солдаты парашютных частей возмущены тем, что их используют в качестве пехотинцев. Вначале мы думали, что это временная мера, но потом убедились, что нас навсегда передали в распоряжение сухопутной армии. В Россию мы прибыли в декабре прошлого года. В нашей роте тогда было 220 штыков.Теперь в ней осталось только 58 человек. Остальные убиты и ранены. Мы считали себя непобедимыми. Теперь, побывав на русском фронте, многие из нас уже не верят в победу германской армии».</w:t>
      </w:r>
    </w:p>
    <w:p w14:paraId="045E0D7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унтер-офицер Вернер Шлих пишет своим знакомым: «...Сидим в дрянном блиндаже день и ночь, не рискуя высунуть голову. Уже 11 месяцев вам говорят, что русские сломлены. Уверяю вас, что они каждый день дают нам чувствовать, какая у них имеется сила. Я не дал бы теперь и гроша за мою жизнь. Мы все пропадём. Это тяжело сознавать, но таково общее мнение».</w:t>
      </w:r>
    </w:p>
    <w:p w14:paraId="2738120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Берлинское радио много раз сообщало об успешном проведении весеннего сева в Германии. Между тем в письмах, найденных у немецких солдат, родные правдиво освещают действительное положение. Ефрейтору Карлу Мор его родители пишут: «...Унас здесь дела неважные. Озимая рожь почти вся помёрзла, ячмень тоже погиб, а пересеять нечем». Унтер-офицеру Герберту Хебекерлю пишет мать из Эркслебена: «Много ржи погибло. Вильгельму Бенкебаху и многим другим приходится всё начинать сначала. Но семян нет и нет рабочих рук». Солдату Мауну отец пишет: «...Я вужасе от того, как мы будем дальше жить. При самом лучшем урожае удастся собрать в два раза меньше, чем в прошлом году» (14917).</w:t>
      </w:r>
    </w:p>
    <w:p w14:paraId="2D17A6E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F6AAD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июня 1942 приказом Наркома Обороны № 00119 на базе ВВС армий и ар</w:t>
      </w:r>
      <w:r w:rsidRPr="008127F8">
        <w:rPr>
          <w:rFonts w:ascii="Times New Roman" w:hAnsi="Times New Roman"/>
          <w:color w:val="000000" w:themeColor="text1"/>
          <w:sz w:val="16"/>
          <w:szCs w:val="16"/>
        </w:rPr>
        <w:softHyphen/>
        <w:t>мейских авиагрупп фронтового подчине</w:t>
      </w:r>
      <w:r w:rsidRPr="008127F8">
        <w:rPr>
          <w:rFonts w:ascii="Times New Roman" w:hAnsi="Times New Roman"/>
          <w:color w:val="000000" w:themeColor="text1"/>
          <w:sz w:val="16"/>
          <w:szCs w:val="16"/>
        </w:rPr>
        <w:softHyphen/>
        <w:t>ния Юго-Западного фронта создавалась 8-я воздушная армия (командующий ге</w:t>
      </w:r>
      <w:r w:rsidRPr="008127F8">
        <w:rPr>
          <w:rFonts w:ascii="Times New Roman" w:hAnsi="Times New Roman"/>
          <w:color w:val="000000" w:themeColor="text1"/>
          <w:sz w:val="16"/>
          <w:szCs w:val="16"/>
        </w:rPr>
        <w:softHyphen/>
        <w:t>нерал-майор авиации Т.Т.Хрюкин). Однако воевать генералу Хрюкину фактически было нечем. 13 июня 8-я ВА для поддержки войск фронта могла выставить только 20 штурмовиков Ил-2 и 18 бомбардировщиков...</w:t>
      </w:r>
    </w:p>
    <w:p w14:paraId="3A7CDF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Тем не менее, штаб 8-й ВА доложил командующему ВВС КА об уничтожении авиаполками армии в период с 10 по 14.06.42 г. 202 танков вермахта, что со</w:t>
      </w:r>
      <w:r w:rsidRPr="008127F8">
        <w:rPr>
          <w:rFonts w:ascii="Times New Roman" w:hAnsi="Times New Roman"/>
          <w:color w:val="000000" w:themeColor="text1"/>
          <w:sz w:val="16"/>
          <w:szCs w:val="16"/>
        </w:rPr>
        <w:softHyphen/>
        <w:t>ставляло до 40% (!) от численности всех танков противника, действовавших на харьковском направлении. Командова</w:t>
      </w:r>
      <w:r w:rsidRPr="008127F8">
        <w:rPr>
          <w:rFonts w:ascii="Times New Roman" w:hAnsi="Times New Roman"/>
          <w:color w:val="000000" w:themeColor="text1"/>
          <w:sz w:val="16"/>
          <w:szCs w:val="16"/>
        </w:rPr>
        <w:softHyphen/>
        <w:t>ние ВВС КА вполне справедливо посчи</w:t>
      </w:r>
      <w:r w:rsidRPr="008127F8">
        <w:rPr>
          <w:rFonts w:ascii="Times New Roman" w:hAnsi="Times New Roman"/>
          <w:color w:val="000000" w:themeColor="text1"/>
          <w:sz w:val="16"/>
          <w:szCs w:val="16"/>
        </w:rPr>
        <w:softHyphen/>
        <w:t>тало их не только неправдивыми, но и неправдоподобными. Действительно, если учесть, что наземные части Юго-Западного фронта в этот период также уничтожали танки вермахта и притом в значительно больших количествах, чем это могла сделать авиация, то, казалось бы, из-за больших потерь в танках, близ</w:t>
      </w:r>
      <w:r w:rsidRPr="008127F8">
        <w:rPr>
          <w:rFonts w:ascii="Times New Roman" w:hAnsi="Times New Roman"/>
          <w:color w:val="000000" w:themeColor="text1"/>
          <w:sz w:val="16"/>
          <w:szCs w:val="16"/>
        </w:rPr>
        <w:softHyphen/>
        <w:t>ких к 90-100% от первоначального со</w:t>
      </w:r>
      <w:r w:rsidRPr="008127F8">
        <w:rPr>
          <w:rFonts w:ascii="Times New Roman" w:hAnsi="Times New Roman"/>
          <w:color w:val="000000" w:themeColor="text1"/>
          <w:sz w:val="16"/>
          <w:szCs w:val="16"/>
        </w:rPr>
        <w:softHyphen/>
        <w:t>става, наступление немецких армий дол</w:t>
      </w:r>
      <w:r w:rsidRPr="008127F8">
        <w:rPr>
          <w:rFonts w:ascii="Times New Roman" w:hAnsi="Times New Roman"/>
          <w:color w:val="000000" w:themeColor="text1"/>
          <w:sz w:val="16"/>
          <w:szCs w:val="16"/>
        </w:rPr>
        <w:softHyphen/>
        <w:t>жно было бы остановиться. Между тем танковое наступление противника на этом направлении 14 июня и в после</w:t>
      </w:r>
      <w:r w:rsidRPr="008127F8">
        <w:rPr>
          <w:rFonts w:ascii="Times New Roman" w:hAnsi="Times New Roman"/>
          <w:color w:val="000000" w:themeColor="text1"/>
          <w:sz w:val="16"/>
          <w:szCs w:val="16"/>
        </w:rPr>
        <w:softHyphen/>
        <w:t>дующие дни продолжалось с неубыва</w:t>
      </w:r>
      <w:r w:rsidRPr="008127F8">
        <w:rPr>
          <w:rFonts w:ascii="Times New Roman" w:hAnsi="Times New Roman"/>
          <w:color w:val="000000" w:themeColor="text1"/>
          <w:sz w:val="16"/>
          <w:szCs w:val="16"/>
        </w:rPr>
        <w:softHyphen/>
        <w:t>ющей силой (6467).</w:t>
      </w:r>
    </w:p>
    <w:p w14:paraId="63A38C4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49457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9 июня 1942 Приказом Наркома Обороны на базе ВВС армий и армейских авиагрупп фронтового подчинения Юго-Западного фронта создавалась 8-я воздушная армия (командующий генерал Хрюкин). В ее состав вошли 268-я, 269-я, 220-я и 206-я иад, 228-я и 226-я шад, 270-я и 271-я бад, 272-я нбад. К 13 июня 1942 г. из резерва Верховного главного командования и других фронтов в состав армии дополнительно прибыли 235-я иад, шесть отдельных истребительных полков и четыре смешанных авиаполка. К сожалению, все дивизии и полки имели значительный (свыше 50%) некомплект самолетов и летного состава, а удельный вес неисправной матчасти доходил до 40-50%. Остановить танковые и моторизованные колонны немцев генералу Хрюкину было просто нечем. Например, для поддержки войск фронта 13 июня армия смогла выставить только 20 Ил-2 и 18 дневных бомбардировщиков (12020).</w:t>
      </w:r>
    </w:p>
    <w:p w14:paraId="59FB305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79427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 9th, 1942: 6. Armee (Paulus) launches a counterattack against advancing Soviet forces in the Charkov area (3819).</w:t>
      </w:r>
    </w:p>
    <w:p w14:paraId="0AF8453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1845BB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июня 1940 немецкая 6А (фон Паулюс) начала контрнаступление против советских войск в районе Харькова (3819).</w:t>
      </w:r>
    </w:p>
    <w:p w14:paraId="7DBE9A2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2C7F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0A27B15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CAA57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июня 1942 была капитуляция крупной группировки американо-филиппинских войск (3186).</w:t>
      </w:r>
    </w:p>
    <w:p w14:paraId="0C3A26F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F6753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9 июня</w:t>
      </w:r>
      <w:r w:rsidRPr="008127F8">
        <w:rPr>
          <w:rFonts w:ascii="Times New Roman" w:hAnsi="Times New Roman"/>
          <w:color w:val="000000" w:themeColor="text1"/>
          <w:sz w:val="16"/>
          <w:szCs w:val="16"/>
        </w:rPr>
        <w:t xml:space="preserve"> в 1942 году капитуляция последней крупной группировки американо-филиппинских войск. Завершение оккупации японскими войсками филиппинских островов (14917).</w:t>
      </w:r>
    </w:p>
    <w:p w14:paraId="62FB15B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57C244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9 июня</w:t>
      </w:r>
      <w:r w:rsidRPr="008127F8">
        <w:rPr>
          <w:rFonts w:ascii="Times New Roman" w:hAnsi="Times New Roman"/>
          <w:color w:val="000000" w:themeColor="text1"/>
          <w:sz w:val="16"/>
          <w:szCs w:val="16"/>
        </w:rPr>
        <w:t xml:space="preserve"> в 1942 году создание англо-американского объединенного совета по планированию и распределению ресурсов (14917).</w:t>
      </w:r>
    </w:p>
    <w:p w14:paraId="1688B71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5E504D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DF850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31492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июня 1942 г. в 809 Штурмовом Авиаполку потерпел ка</w:t>
      </w:r>
      <w:r w:rsidRPr="008127F8">
        <w:rPr>
          <w:rFonts w:ascii="Times New Roman" w:hAnsi="Times New Roman"/>
          <w:color w:val="000000" w:themeColor="text1"/>
          <w:sz w:val="16"/>
          <w:szCs w:val="16"/>
        </w:rPr>
        <w:softHyphen/>
        <w:t>тастрофу самолет Ил-2, пилотируемый пилотом ИВАНОВЫМ. Са</w:t>
      </w:r>
      <w:r w:rsidRPr="008127F8">
        <w:rPr>
          <w:rFonts w:ascii="Times New Roman" w:hAnsi="Times New Roman"/>
          <w:color w:val="000000" w:themeColor="text1"/>
          <w:sz w:val="16"/>
          <w:szCs w:val="16"/>
        </w:rPr>
        <w:softHyphen/>
        <w:t>молет с высоты 250-300 после разворота перешел в крутое пикирование и с углом 70°'ударился в землю. Обрыв шатуна мотора. Мотор после выпуска с завода наработал 1 ч.30 м. (1634,292).</w:t>
      </w:r>
    </w:p>
    <w:p w14:paraId="1FD0067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946D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июня 1942 года Кузнецов писал письмо N Н-38/2224 Берия.</w:t>
      </w:r>
    </w:p>
    <w:p w14:paraId="7B2E2E4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установок УТК-1 для перевооружения самолетов Ил-4, находящихся в строевых частях ВВС выполняет завод N 32 НКАП.</w:t>
      </w:r>
    </w:p>
    <w:p w14:paraId="35B2DB3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 производства и поставок турелей УТК-1 завод выполняет в соответствии с установленными сроками.</w:t>
      </w:r>
    </w:p>
    <w:p w14:paraId="2991DE3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Обеспечение и установка оружия на турели УТК-1 производится ВВС непосредственно в войсковых частях где осуществляется замена установок МВ-3 на УТК-1, что и предусмотрено совместным приказом НКАП с ВВС.</w:t>
      </w:r>
    </w:p>
    <w:p w14:paraId="5C06FE7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заказ ВВС на поставку воинским частям пулеметов УБГ отношения к НКАП не имеет и транзитный завоз этого оружия на завод N 32, при его полной взаимозаменяемости с турелями, нецелесообразен (2164,247).</w:t>
      </w:r>
    </w:p>
    <w:p w14:paraId="135DA35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5098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июня 1942 вышло новое постановление ГКО, которое разрешило 292 заводу снять РО с Як совсем в связи с потерей скорости (198,41).</w:t>
      </w:r>
    </w:p>
    <w:p w14:paraId="50F35F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AACC9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июня 1942 ЦАГИ завершил исследования путей повышения эффективности водо и маслорадиаторов для Як-1 (198,49).</w:t>
      </w:r>
    </w:p>
    <w:p w14:paraId="6A7774A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C3F70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10 июня</w:t>
      </w:r>
      <w:r w:rsidRPr="008127F8">
        <w:rPr>
          <w:rFonts w:ascii="Times New Roman" w:hAnsi="Times New Roman"/>
          <w:color w:val="000000" w:themeColor="text1"/>
          <w:sz w:val="16"/>
          <w:szCs w:val="16"/>
        </w:rPr>
        <w:t xml:space="preserve"> в 1942 году в ЦАГИ завершились (с 24 мая) исследования с целью изыскания путей повышения эффективности водо - и маслорадиаторов, а с 20 по 26 июля 1942 г.- с целью разработки мероприятий по повышению максимальной скорости истребителя </w:t>
      </w:r>
      <w:hyperlink r:id="rId73" w:tgtFrame="_blank" w:history="1">
        <w:r w:rsidRPr="008127F8">
          <w:rPr>
            <w:rFonts w:ascii="Times New Roman" w:hAnsi="Times New Roman"/>
            <w:color w:val="000000" w:themeColor="text1"/>
            <w:sz w:val="16"/>
            <w:szCs w:val="16"/>
          </w:rPr>
          <w:t xml:space="preserve">«Як-1». </w:t>
        </w:r>
      </w:hyperlink>
      <w:r w:rsidRPr="008127F8">
        <w:rPr>
          <w:rFonts w:ascii="Times New Roman" w:hAnsi="Times New Roman"/>
          <w:color w:val="000000" w:themeColor="text1"/>
          <w:sz w:val="16"/>
          <w:szCs w:val="16"/>
        </w:rPr>
        <w:t>Ведущий инженер исследований - А.И.Сильман (ведущий инженер по «Як-1» 1-й лаборатории ЦАГИ). Эти работы показали, что достаточно простыми и доступными для серийного производства средствами (герметизацией и изменением форм туннелей масло- и водорадиаторов, улучшением форм всасывающего и выхлопных патрубков, герметизацией фюзеляжа) можно увеличить максимальную скорость на 25-28 км/ч, а если обеспечить уборку хвостовой опоры и полное закрытие куполов шасси, то - на 33-38 км/ч. По рекомендациям ЦАГИ в ЛИИ НКАП был переоборудован и в августе-сентябре 1942 года прошел летные испытания «Як-1» № 0868 с мотором «М-105ПФ». В его конструкцию с целью улучшения работы систем охлаждения воды и масла и увеличения максимальной скорости были внесены изменения (14918).</w:t>
      </w:r>
    </w:p>
    <w:p w14:paraId="0FE97E4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B9E01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июня 1942 г. в ЦАГИ завершились исследования с целью изыскания путей повышения эффективности водо- и маслорадиаторов Як-1, который шли с 24 мая, а с 20 по 26 июля 1942 г. - увеличения скорости Як-1. Ведущий инженер исследований - А.И. Сильман (ведущий инженер по Як-1 1-й лаборатории ЦАГИ). Эти работы показали, что достаточно простыми и доступными для серийного производства средствами (герметизацией и изменением форм туннелей водо- и масло- радиаторов, улучшением форм всасывающего и выхлопных патрубков, герметизацией фюзеляжа) можно увеличить максимальную скорость на 25-28 км/ч, а если обеспечить уборку хвостового колеса и полное закрытие куполов шасси, то - на 33-38 км/ч.</w:t>
      </w:r>
    </w:p>
    <w:p w14:paraId="479A02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рекомендациям ЦАГИ в ЛИИ НКАП был переоборудован и в августе-сентябре 1942 г. прошел летные испытания Як-1 № 0868 с мотором М-105ПФ. В его конструкцию, чтобы улучшить работу системы охлаждения воды и масла и увеличить максимальную скорость, были внесены следующие изменения.</w:t>
      </w:r>
    </w:p>
    <w:p w14:paraId="7A5E884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 водорадиатору:</w:t>
      </w:r>
    </w:p>
    <w:p w14:paraId="179E99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изменен профиль верхней передней стенки входной части туннеля;</w:t>
      </w:r>
    </w:p>
    <w:p w14:paraId="3A73CCF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увеличен ход регулирующей заслонки на 50 мм (до 350 мм);</w:t>
      </w:r>
    </w:p>
    <w:p w14:paraId="078C12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произведена герметизация туннеля.</w:t>
      </w:r>
    </w:p>
    <w:p w14:paraId="239C63A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 маслорадиатору:</w:t>
      </w:r>
    </w:p>
    <w:p w14:paraId="41A787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уменьшена на 40 % площадь входной части туннеля и сам туннель удлинен до 225 мм;</w:t>
      </w:r>
    </w:p>
    <w:p w14:paraId="52FCD2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удлинена выходная часть туннеля до 410 мм, а профиль ее верхней стенки выполнен скругленным;</w:t>
      </w:r>
    </w:p>
    <w:p w14:paraId="4820BB0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увеличен ход регулирующей заслонки на 80 мм (до 340 мм);</w:t>
      </w:r>
    </w:p>
    <w:p w14:paraId="2AB477F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произведена герметизация туннеля.</w:t>
      </w:r>
    </w:p>
    <w:p w14:paraId="686B89A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Изменена форма сечения и расположение всасывающего патрубка нагнетателя.</w:t>
      </w:r>
    </w:p>
    <w:p w14:paraId="008C079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Установлены обтекатели на выхлопные патрубки на выход трубы продувки картера мотора и кронштейны управления элеронами.</w:t>
      </w:r>
    </w:p>
    <w:p w14:paraId="170ACE8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Установлен обтекатель-козырек на сдвижную часть фонаря кабины.</w:t>
      </w:r>
    </w:p>
    <w:p w14:paraId="14A1886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Произведена герметизация фюзеляжа (загерметизирована противопожарная перегородка, установлены фанерная перегородка за бронеспинкой и матерчатая за водорадиа- тором).</w:t>
      </w:r>
    </w:p>
    <w:p w14:paraId="13FBA7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Установлен обтекатель входного отверстия кожухов пулеметов и заделаны патрубки для отвода пороховых газов. </w:t>
      </w:r>
    </w:p>
    <w:p w14:paraId="384A8A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результатам испытаний внесенные в конструкцию изменения дали прирост скорости на 23 км/ч (у машины № 0868 на высоте 3500 м скорость стала 594 км/ч, а у серийного Як-I на высоте 3650 м - 571 км/ч). Скороподъемность осталась без изменений. Увеличение скорости можно было считать гарантированным, поскольку на испытания Як-1 № 0868 поступил после эксплуатации в части, где аэродинамические формы подверглись ухудшению за счет нарушения лакокрасочного покрытия, вмятин в металлических деталях, плохой подгонки лючков и зализов. После осуществления уборки хвостового колеса, полного закрытия ниш шасси щитками и улучшения отделки поверхностей самолета удалось достичь скорости 612 км/ч на высоте 3700 м. Квинтэссенцией всех работ по улучшению Як-1 в 1942 г. стал Як-1б (12048). </w:t>
      </w:r>
    </w:p>
    <w:p w14:paraId="1EA235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157F2A" w14:textId="77777777" w:rsidR="00594131" w:rsidRPr="008A2E5A" w:rsidRDefault="00594131" w:rsidP="005941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периоде 10 июня по 27 июля 1942 г. на первом серийном Як-7Б №2215301 продолжили испытания на износ, которые провели заводские летчики- испытатели Н.Я. Симонов и А.Е. Пашкевич. За время испытаний произвели 501 посадку (в том числе 52 с «плюхом», 18 на левую и 22 на правую опоры шасси), 1019 фигур высшего пилота</w:t>
      </w:r>
      <w:r w:rsidRPr="008A2E5A">
        <w:rPr>
          <w:rFonts w:ascii="Times New Roman" w:hAnsi="Times New Roman"/>
          <w:color w:val="0070C0"/>
          <w:sz w:val="16"/>
          <w:szCs w:val="16"/>
        </w:rPr>
        <w:softHyphen/>
        <w:t>жа и 165 подъемов шасси в воздухе. Машина налетала 48 часов 04 минуты, показав достаточную прочность сило</w:t>
      </w:r>
      <w:r w:rsidRPr="008A2E5A">
        <w:rPr>
          <w:rFonts w:ascii="Times New Roman" w:hAnsi="Times New Roman"/>
          <w:color w:val="0070C0"/>
          <w:sz w:val="16"/>
          <w:szCs w:val="16"/>
        </w:rPr>
        <w:softHyphen/>
        <w:t>вых элементов конструкции самолета, его надежность в работе и простоту в эксплуатации. Чего нельзя было ска</w:t>
      </w:r>
      <w:r w:rsidRPr="008A2E5A">
        <w:rPr>
          <w:rFonts w:ascii="Times New Roman" w:hAnsi="Times New Roman"/>
          <w:color w:val="0070C0"/>
          <w:sz w:val="16"/>
          <w:szCs w:val="16"/>
        </w:rPr>
        <w:softHyphen/>
        <w:t>зать о моторе М-105П - за время испытаний их смени</w:t>
      </w:r>
      <w:r w:rsidRPr="008A2E5A">
        <w:rPr>
          <w:rFonts w:ascii="Times New Roman" w:hAnsi="Times New Roman"/>
          <w:color w:val="0070C0"/>
          <w:sz w:val="16"/>
          <w:szCs w:val="16"/>
        </w:rPr>
        <w:softHyphen/>
        <w:t>лось три штуки.</w:t>
      </w:r>
    </w:p>
    <w:p w14:paraId="71BC307E" w14:textId="77777777" w:rsidR="00594131" w:rsidRPr="008A2E5A" w:rsidRDefault="00594131" w:rsidP="005941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Як-7Б был наиболее массовой серийно выпускающей</w:t>
      </w:r>
      <w:r w:rsidRPr="008A2E5A">
        <w:rPr>
          <w:rFonts w:ascii="Times New Roman" w:hAnsi="Times New Roman"/>
          <w:color w:val="0070C0"/>
          <w:sz w:val="16"/>
          <w:szCs w:val="16"/>
        </w:rPr>
        <w:softHyphen/>
        <w:t>ся модификацией машины Як-7 (см. таблицу 13).</w:t>
      </w:r>
    </w:p>
    <w:p w14:paraId="5B9D417D" w14:textId="77777777" w:rsidR="00594131" w:rsidRPr="008A2E5A" w:rsidRDefault="00594131" w:rsidP="005941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Таблица №13. Выпуск самолетов Як-7 по основным модификациям заводами НКАП в 1940-1944 гг.</w:t>
      </w:r>
    </w:p>
    <w:tbl>
      <w:tblPr>
        <w:tblOverlap w:val="never"/>
        <w:tblW w:w="0" w:type="auto"/>
        <w:tblLayout w:type="fixed"/>
        <w:tblCellMar>
          <w:left w:w="10" w:type="dxa"/>
          <w:right w:w="10" w:type="dxa"/>
        </w:tblCellMar>
        <w:tblLook w:val="04A0" w:firstRow="1" w:lastRow="0" w:firstColumn="1" w:lastColumn="0" w:noHBand="0" w:noVBand="1"/>
      </w:tblPr>
      <w:tblGrid>
        <w:gridCol w:w="1354"/>
        <w:gridCol w:w="1368"/>
        <w:gridCol w:w="984"/>
        <w:gridCol w:w="994"/>
        <w:gridCol w:w="994"/>
        <w:gridCol w:w="994"/>
        <w:gridCol w:w="994"/>
        <w:gridCol w:w="994"/>
        <w:gridCol w:w="998"/>
      </w:tblGrid>
      <w:tr w:rsidR="00594131" w:rsidRPr="008A2E5A" w14:paraId="1B258781" w14:textId="77777777" w:rsidTr="004C5D62">
        <w:trPr>
          <w:trHeight w:val="437"/>
        </w:trPr>
        <w:tc>
          <w:tcPr>
            <w:tcW w:w="1354" w:type="dxa"/>
            <w:tcBorders>
              <w:top w:val="single" w:sz="4" w:space="0" w:color="auto"/>
              <w:left w:val="single" w:sz="4" w:space="0" w:color="auto"/>
            </w:tcBorders>
            <w:shd w:val="clear" w:color="auto" w:fill="auto"/>
            <w:vAlign w:val="center"/>
          </w:tcPr>
          <w:p w14:paraId="3AE65205"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Модификация</w:t>
            </w:r>
          </w:p>
        </w:tc>
        <w:tc>
          <w:tcPr>
            <w:tcW w:w="1368" w:type="dxa"/>
            <w:tcBorders>
              <w:top w:val="single" w:sz="4" w:space="0" w:color="auto"/>
              <w:left w:val="single" w:sz="4" w:space="0" w:color="auto"/>
            </w:tcBorders>
            <w:shd w:val="clear" w:color="auto" w:fill="auto"/>
          </w:tcPr>
          <w:p w14:paraId="30E55C17"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изготовитель</w:t>
            </w:r>
          </w:p>
        </w:tc>
        <w:tc>
          <w:tcPr>
            <w:tcW w:w="984" w:type="dxa"/>
            <w:tcBorders>
              <w:top w:val="single" w:sz="4" w:space="0" w:color="auto"/>
              <w:left w:val="single" w:sz="4" w:space="0" w:color="auto"/>
            </w:tcBorders>
            <w:shd w:val="clear" w:color="auto" w:fill="auto"/>
            <w:vAlign w:val="center"/>
          </w:tcPr>
          <w:p w14:paraId="6A0AA2C3"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1940 г.</w:t>
            </w:r>
          </w:p>
        </w:tc>
        <w:tc>
          <w:tcPr>
            <w:tcW w:w="994" w:type="dxa"/>
            <w:tcBorders>
              <w:top w:val="single" w:sz="4" w:space="0" w:color="auto"/>
              <w:left w:val="single" w:sz="4" w:space="0" w:color="auto"/>
            </w:tcBorders>
            <w:shd w:val="clear" w:color="auto" w:fill="auto"/>
            <w:vAlign w:val="center"/>
          </w:tcPr>
          <w:p w14:paraId="35130CD3"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1941 г.</w:t>
            </w:r>
          </w:p>
        </w:tc>
        <w:tc>
          <w:tcPr>
            <w:tcW w:w="994" w:type="dxa"/>
            <w:tcBorders>
              <w:top w:val="single" w:sz="4" w:space="0" w:color="auto"/>
              <w:left w:val="single" w:sz="4" w:space="0" w:color="auto"/>
            </w:tcBorders>
            <w:shd w:val="clear" w:color="auto" w:fill="auto"/>
            <w:vAlign w:val="center"/>
          </w:tcPr>
          <w:p w14:paraId="36DFC967"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1942 г.</w:t>
            </w:r>
          </w:p>
        </w:tc>
        <w:tc>
          <w:tcPr>
            <w:tcW w:w="994" w:type="dxa"/>
            <w:tcBorders>
              <w:top w:val="single" w:sz="4" w:space="0" w:color="auto"/>
              <w:left w:val="single" w:sz="4" w:space="0" w:color="auto"/>
            </w:tcBorders>
            <w:shd w:val="clear" w:color="auto" w:fill="auto"/>
            <w:vAlign w:val="center"/>
          </w:tcPr>
          <w:p w14:paraId="423E4A96"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 г.</w:t>
            </w:r>
          </w:p>
        </w:tc>
        <w:tc>
          <w:tcPr>
            <w:tcW w:w="994" w:type="dxa"/>
            <w:tcBorders>
              <w:top w:val="single" w:sz="4" w:space="0" w:color="auto"/>
              <w:left w:val="single" w:sz="4" w:space="0" w:color="auto"/>
            </w:tcBorders>
            <w:shd w:val="clear" w:color="auto" w:fill="auto"/>
            <w:vAlign w:val="center"/>
          </w:tcPr>
          <w:p w14:paraId="6AC031FC"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1944 г.</w:t>
            </w:r>
          </w:p>
        </w:tc>
        <w:tc>
          <w:tcPr>
            <w:tcW w:w="994" w:type="dxa"/>
            <w:tcBorders>
              <w:top w:val="single" w:sz="4" w:space="0" w:color="auto"/>
              <w:left w:val="single" w:sz="4" w:space="0" w:color="auto"/>
            </w:tcBorders>
            <w:shd w:val="clear" w:color="auto" w:fill="auto"/>
            <w:vAlign w:val="center"/>
          </w:tcPr>
          <w:p w14:paraId="6A4A740D"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Итого</w:t>
            </w:r>
          </w:p>
        </w:tc>
        <w:tc>
          <w:tcPr>
            <w:tcW w:w="998" w:type="dxa"/>
            <w:tcBorders>
              <w:top w:val="single" w:sz="4" w:space="0" w:color="auto"/>
              <w:left w:val="single" w:sz="4" w:space="0" w:color="auto"/>
              <w:right w:val="single" w:sz="4" w:space="0" w:color="auto"/>
            </w:tcBorders>
            <w:shd w:val="clear" w:color="auto" w:fill="auto"/>
            <w:vAlign w:val="center"/>
          </w:tcPr>
          <w:p w14:paraId="4552F8F4"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w:t>
            </w:r>
          </w:p>
        </w:tc>
      </w:tr>
      <w:tr w:rsidR="00594131" w:rsidRPr="008A2E5A" w14:paraId="3D6D9BDA" w14:textId="77777777" w:rsidTr="004C5D62">
        <w:trPr>
          <w:trHeight w:val="254"/>
        </w:trPr>
        <w:tc>
          <w:tcPr>
            <w:tcW w:w="1354" w:type="dxa"/>
            <w:vMerge w:val="restart"/>
            <w:tcBorders>
              <w:top w:val="single" w:sz="4" w:space="0" w:color="auto"/>
              <w:left w:val="single" w:sz="4" w:space="0" w:color="auto"/>
            </w:tcBorders>
            <w:shd w:val="clear" w:color="auto" w:fill="auto"/>
            <w:vAlign w:val="center"/>
          </w:tcPr>
          <w:p w14:paraId="09CC11B2"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УТИ-26/Як-7</w:t>
            </w:r>
          </w:p>
        </w:tc>
        <w:tc>
          <w:tcPr>
            <w:tcW w:w="1368" w:type="dxa"/>
            <w:tcBorders>
              <w:top w:val="single" w:sz="4" w:space="0" w:color="auto"/>
              <w:left w:val="single" w:sz="4" w:space="0" w:color="auto"/>
            </w:tcBorders>
            <w:shd w:val="clear" w:color="auto" w:fill="auto"/>
            <w:vAlign w:val="center"/>
          </w:tcPr>
          <w:p w14:paraId="74CF851F"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№115</w:t>
            </w:r>
          </w:p>
        </w:tc>
        <w:tc>
          <w:tcPr>
            <w:tcW w:w="984" w:type="dxa"/>
            <w:tcBorders>
              <w:top w:val="single" w:sz="4" w:space="0" w:color="auto"/>
              <w:left w:val="single" w:sz="4" w:space="0" w:color="auto"/>
            </w:tcBorders>
            <w:shd w:val="clear" w:color="auto" w:fill="auto"/>
            <w:vAlign w:val="center"/>
          </w:tcPr>
          <w:p w14:paraId="5832DD96"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994" w:type="dxa"/>
            <w:tcBorders>
              <w:top w:val="single" w:sz="4" w:space="0" w:color="auto"/>
              <w:left w:val="single" w:sz="4" w:space="0" w:color="auto"/>
            </w:tcBorders>
            <w:shd w:val="clear" w:color="auto" w:fill="auto"/>
            <w:vAlign w:val="center"/>
          </w:tcPr>
          <w:p w14:paraId="326BAFEA"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6848777A"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3F1C6A7F"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402E688C"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4F6D979A"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998" w:type="dxa"/>
            <w:vMerge w:val="restart"/>
            <w:tcBorders>
              <w:top w:val="single" w:sz="4" w:space="0" w:color="auto"/>
              <w:left w:val="single" w:sz="4" w:space="0" w:color="auto"/>
              <w:right w:val="single" w:sz="4" w:space="0" w:color="auto"/>
            </w:tcBorders>
            <w:shd w:val="clear" w:color="auto" w:fill="auto"/>
            <w:vAlign w:val="center"/>
          </w:tcPr>
          <w:p w14:paraId="3A5DD97E"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723</w:t>
            </w:r>
          </w:p>
        </w:tc>
      </w:tr>
      <w:tr w:rsidR="00594131" w:rsidRPr="008A2E5A" w14:paraId="1F26C928" w14:textId="77777777" w:rsidTr="004C5D62">
        <w:trPr>
          <w:trHeight w:val="250"/>
        </w:trPr>
        <w:tc>
          <w:tcPr>
            <w:tcW w:w="1354" w:type="dxa"/>
            <w:vMerge/>
            <w:tcBorders>
              <w:left w:val="single" w:sz="4" w:space="0" w:color="auto"/>
            </w:tcBorders>
            <w:shd w:val="clear" w:color="auto" w:fill="auto"/>
            <w:vAlign w:val="center"/>
          </w:tcPr>
          <w:p w14:paraId="3100D54F" w14:textId="77777777" w:rsidR="00594131" w:rsidRPr="008A2E5A" w:rsidRDefault="00594131" w:rsidP="004C5D62">
            <w:pPr>
              <w:spacing w:after="0" w:line="240" w:lineRule="auto"/>
              <w:jc w:val="both"/>
              <w:rPr>
                <w:rFonts w:ascii="Times New Roman" w:hAnsi="Times New Roman"/>
                <w:color w:val="0070C0"/>
                <w:sz w:val="16"/>
                <w:szCs w:val="16"/>
              </w:rPr>
            </w:pPr>
          </w:p>
        </w:tc>
        <w:tc>
          <w:tcPr>
            <w:tcW w:w="1368" w:type="dxa"/>
            <w:tcBorders>
              <w:top w:val="single" w:sz="4" w:space="0" w:color="auto"/>
              <w:left w:val="single" w:sz="4" w:space="0" w:color="auto"/>
            </w:tcBorders>
            <w:shd w:val="clear" w:color="auto" w:fill="auto"/>
            <w:vAlign w:val="center"/>
          </w:tcPr>
          <w:p w14:paraId="08040CBF"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№301</w:t>
            </w:r>
          </w:p>
        </w:tc>
        <w:tc>
          <w:tcPr>
            <w:tcW w:w="984" w:type="dxa"/>
            <w:tcBorders>
              <w:top w:val="single" w:sz="4" w:space="0" w:color="auto"/>
              <w:left w:val="single" w:sz="4" w:space="0" w:color="auto"/>
            </w:tcBorders>
            <w:shd w:val="clear" w:color="auto" w:fill="auto"/>
            <w:vAlign w:val="center"/>
          </w:tcPr>
          <w:p w14:paraId="1E69B515"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5854BB39"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186</w:t>
            </w:r>
          </w:p>
        </w:tc>
        <w:tc>
          <w:tcPr>
            <w:tcW w:w="994" w:type="dxa"/>
            <w:tcBorders>
              <w:top w:val="single" w:sz="4" w:space="0" w:color="auto"/>
              <w:left w:val="single" w:sz="4" w:space="0" w:color="auto"/>
            </w:tcBorders>
            <w:shd w:val="clear" w:color="auto" w:fill="auto"/>
            <w:vAlign w:val="center"/>
          </w:tcPr>
          <w:p w14:paraId="459F5652"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0CBF4EC0"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223CCFC1"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11FAD4D7"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186</w:t>
            </w:r>
          </w:p>
        </w:tc>
        <w:tc>
          <w:tcPr>
            <w:tcW w:w="998" w:type="dxa"/>
            <w:vMerge/>
            <w:tcBorders>
              <w:left w:val="single" w:sz="4" w:space="0" w:color="auto"/>
              <w:right w:val="single" w:sz="4" w:space="0" w:color="auto"/>
            </w:tcBorders>
            <w:shd w:val="clear" w:color="auto" w:fill="auto"/>
            <w:vAlign w:val="center"/>
          </w:tcPr>
          <w:p w14:paraId="5EC3F8A5" w14:textId="77777777" w:rsidR="00594131" w:rsidRPr="008A2E5A" w:rsidRDefault="00594131" w:rsidP="004C5D62">
            <w:pPr>
              <w:spacing w:after="0" w:line="240" w:lineRule="auto"/>
              <w:jc w:val="both"/>
              <w:rPr>
                <w:rFonts w:ascii="Times New Roman" w:hAnsi="Times New Roman"/>
                <w:color w:val="0070C0"/>
                <w:sz w:val="16"/>
                <w:szCs w:val="16"/>
              </w:rPr>
            </w:pPr>
          </w:p>
        </w:tc>
      </w:tr>
      <w:tr w:rsidR="00594131" w:rsidRPr="008A2E5A" w14:paraId="3E042B8C" w14:textId="77777777" w:rsidTr="004C5D62">
        <w:trPr>
          <w:trHeight w:val="250"/>
        </w:trPr>
        <w:tc>
          <w:tcPr>
            <w:tcW w:w="1354" w:type="dxa"/>
            <w:tcBorders>
              <w:top w:val="single" w:sz="4" w:space="0" w:color="auto"/>
              <w:left w:val="single" w:sz="4" w:space="0" w:color="auto"/>
            </w:tcBorders>
            <w:shd w:val="clear" w:color="auto" w:fill="auto"/>
            <w:vAlign w:val="center"/>
          </w:tcPr>
          <w:p w14:paraId="2DFFB6A2"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Як-7В</w:t>
            </w:r>
          </w:p>
        </w:tc>
        <w:tc>
          <w:tcPr>
            <w:tcW w:w="1368" w:type="dxa"/>
            <w:tcBorders>
              <w:top w:val="single" w:sz="4" w:space="0" w:color="auto"/>
              <w:left w:val="single" w:sz="4" w:space="0" w:color="auto"/>
            </w:tcBorders>
            <w:shd w:val="clear" w:color="auto" w:fill="auto"/>
            <w:vAlign w:val="center"/>
          </w:tcPr>
          <w:p w14:paraId="460E3A0C"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№153</w:t>
            </w:r>
          </w:p>
        </w:tc>
        <w:tc>
          <w:tcPr>
            <w:tcW w:w="984" w:type="dxa"/>
            <w:tcBorders>
              <w:top w:val="single" w:sz="4" w:space="0" w:color="auto"/>
              <w:left w:val="single" w:sz="4" w:space="0" w:color="auto"/>
            </w:tcBorders>
            <w:shd w:val="clear" w:color="auto" w:fill="auto"/>
            <w:vAlign w:val="center"/>
          </w:tcPr>
          <w:p w14:paraId="2AD5A5FE"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614DCDA0"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w:t>
            </w:r>
          </w:p>
        </w:tc>
        <w:tc>
          <w:tcPr>
            <w:tcW w:w="994" w:type="dxa"/>
            <w:tcBorders>
              <w:top w:val="single" w:sz="4" w:space="0" w:color="auto"/>
              <w:left w:val="single" w:sz="4" w:space="0" w:color="auto"/>
            </w:tcBorders>
            <w:shd w:val="clear" w:color="auto" w:fill="auto"/>
            <w:vAlign w:val="center"/>
          </w:tcPr>
          <w:p w14:paraId="00D6507D"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201</w:t>
            </w:r>
          </w:p>
        </w:tc>
        <w:tc>
          <w:tcPr>
            <w:tcW w:w="994" w:type="dxa"/>
            <w:tcBorders>
              <w:top w:val="single" w:sz="4" w:space="0" w:color="auto"/>
              <w:left w:val="single" w:sz="4" w:space="0" w:color="auto"/>
            </w:tcBorders>
            <w:shd w:val="clear" w:color="auto" w:fill="auto"/>
            <w:vAlign w:val="center"/>
          </w:tcPr>
          <w:p w14:paraId="38DA8B53"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324</w:t>
            </w:r>
          </w:p>
        </w:tc>
        <w:tc>
          <w:tcPr>
            <w:tcW w:w="994" w:type="dxa"/>
            <w:tcBorders>
              <w:top w:val="single" w:sz="4" w:space="0" w:color="auto"/>
              <w:left w:val="single" w:sz="4" w:space="0" w:color="auto"/>
            </w:tcBorders>
            <w:shd w:val="clear" w:color="auto" w:fill="auto"/>
            <w:vAlign w:val="center"/>
          </w:tcPr>
          <w:p w14:paraId="331FC6AC"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6515796B"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535</w:t>
            </w:r>
          </w:p>
        </w:tc>
        <w:tc>
          <w:tcPr>
            <w:tcW w:w="998" w:type="dxa"/>
            <w:vMerge/>
            <w:tcBorders>
              <w:left w:val="single" w:sz="4" w:space="0" w:color="auto"/>
              <w:right w:val="single" w:sz="4" w:space="0" w:color="auto"/>
            </w:tcBorders>
            <w:shd w:val="clear" w:color="auto" w:fill="auto"/>
            <w:vAlign w:val="center"/>
          </w:tcPr>
          <w:p w14:paraId="03DFDBE9" w14:textId="77777777" w:rsidR="00594131" w:rsidRPr="008A2E5A" w:rsidRDefault="00594131" w:rsidP="004C5D62">
            <w:pPr>
              <w:spacing w:after="0" w:line="240" w:lineRule="auto"/>
              <w:jc w:val="both"/>
              <w:rPr>
                <w:rFonts w:ascii="Times New Roman" w:hAnsi="Times New Roman"/>
                <w:color w:val="0070C0"/>
                <w:sz w:val="16"/>
                <w:szCs w:val="16"/>
              </w:rPr>
            </w:pPr>
          </w:p>
        </w:tc>
      </w:tr>
      <w:tr w:rsidR="00594131" w:rsidRPr="008A2E5A" w14:paraId="5E3991BB" w14:textId="77777777" w:rsidTr="004C5D62">
        <w:trPr>
          <w:trHeight w:val="250"/>
        </w:trPr>
        <w:tc>
          <w:tcPr>
            <w:tcW w:w="1354" w:type="dxa"/>
            <w:vMerge w:val="restart"/>
            <w:tcBorders>
              <w:top w:val="single" w:sz="4" w:space="0" w:color="auto"/>
              <w:left w:val="single" w:sz="4" w:space="0" w:color="auto"/>
            </w:tcBorders>
            <w:shd w:val="clear" w:color="auto" w:fill="auto"/>
            <w:vAlign w:val="center"/>
          </w:tcPr>
          <w:p w14:paraId="410772A6"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Як-7А</w:t>
            </w:r>
          </w:p>
        </w:tc>
        <w:tc>
          <w:tcPr>
            <w:tcW w:w="1368" w:type="dxa"/>
            <w:tcBorders>
              <w:top w:val="single" w:sz="4" w:space="0" w:color="auto"/>
              <w:left w:val="single" w:sz="4" w:space="0" w:color="auto"/>
            </w:tcBorders>
            <w:shd w:val="clear" w:color="auto" w:fill="auto"/>
            <w:vAlign w:val="center"/>
          </w:tcPr>
          <w:p w14:paraId="55C62D82"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№153</w:t>
            </w:r>
          </w:p>
        </w:tc>
        <w:tc>
          <w:tcPr>
            <w:tcW w:w="984" w:type="dxa"/>
            <w:tcBorders>
              <w:top w:val="single" w:sz="4" w:space="0" w:color="auto"/>
              <w:left w:val="single" w:sz="4" w:space="0" w:color="auto"/>
            </w:tcBorders>
            <w:shd w:val="clear" w:color="auto" w:fill="auto"/>
            <w:vAlign w:val="center"/>
          </w:tcPr>
          <w:p w14:paraId="2ECCC0F3"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0012F343"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w:t>
            </w:r>
          </w:p>
        </w:tc>
        <w:tc>
          <w:tcPr>
            <w:tcW w:w="994" w:type="dxa"/>
            <w:tcBorders>
              <w:top w:val="single" w:sz="4" w:space="0" w:color="auto"/>
              <w:left w:val="single" w:sz="4" w:space="0" w:color="auto"/>
            </w:tcBorders>
            <w:shd w:val="clear" w:color="auto" w:fill="auto"/>
            <w:vAlign w:val="center"/>
          </w:tcPr>
          <w:p w14:paraId="720B01AA"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262</w:t>
            </w:r>
          </w:p>
        </w:tc>
        <w:tc>
          <w:tcPr>
            <w:tcW w:w="994" w:type="dxa"/>
            <w:tcBorders>
              <w:top w:val="single" w:sz="4" w:space="0" w:color="auto"/>
              <w:left w:val="single" w:sz="4" w:space="0" w:color="auto"/>
            </w:tcBorders>
            <w:shd w:val="clear" w:color="auto" w:fill="auto"/>
            <w:vAlign w:val="center"/>
          </w:tcPr>
          <w:p w14:paraId="2B4BDD08"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186B505A"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67F65B5E"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273</w:t>
            </w:r>
          </w:p>
        </w:tc>
        <w:tc>
          <w:tcPr>
            <w:tcW w:w="998" w:type="dxa"/>
            <w:vMerge w:val="restart"/>
            <w:tcBorders>
              <w:top w:val="single" w:sz="4" w:space="0" w:color="auto"/>
              <w:left w:val="single" w:sz="4" w:space="0" w:color="auto"/>
              <w:right w:val="single" w:sz="4" w:space="0" w:color="auto"/>
            </w:tcBorders>
            <w:shd w:val="clear" w:color="auto" w:fill="auto"/>
            <w:vAlign w:val="center"/>
          </w:tcPr>
          <w:p w14:paraId="711C1AB5"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325</w:t>
            </w:r>
          </w:p>
        </w:tc>
      </w:tr>
      <w:tr w:rsidR="00594131" w:rsidRPr="008A2E5A" w14:paraId="05424CB7" w14:textId="77777777" w:rsidTr="004C5D62">
        <w:trPr>
          <w:trHeight w:val="250"/>
        </w:trPr>
        <w:tc>
          <w:tcPr>
            <w:tcW w:w="1354" w:type="dxa"/>
            <w:vMerge/>
            <w:tcBorders>
              <w:left w:val="single" w:sz="4" w:space="0" w:color="auto"/>
            </w:tcBorders>
            <w:shd w:val="clear" w:color="auto" w:fill="auto"/>
            <w:vAlign w:val="center"/>
          </w:tcPr>
          <w:p w14:paraId="61989610" w14:textId="77777777" w:rsidR="00594131" w:rsidRPr="008A2E5A" w:rsidRDefault="00594131" w:rsidP="004C5D62">
            <w:pPr>
              <w:spacing w:after="0" w:line="240" w:lineRule="auto"/>
              <w:jc w:val="both"/>
              <w:rPr>
                <w:rFonts w:ascii="Times New Roman" w:hAnsi="Times New Roman"/>
                <w:color w:val="0070C0"/>
                <w:sz w:val="16"/>
                <w:szCs w:val="16"/>
              </w:rPr>
            </w:pPr>
          </w:p>
        </w:tc>
        <w:tc>
          <w:tcPr>
            <w:tcW w:w="1368" w:type="dxa"/>
            <w:tcBorders>
              <w:top w:val="single" w:sz="4" w:space="0" w:color="auto"/>
              <w:left w:val="single" w:sz="4" w:space="0" w:color="auto"/>
            </w:tcBorders>
            <w:shd w:val="clear" w:color="auto" w:fill="auto"/>
            <w:vAlign w:val="center"/>
          </w:tcPr>
          <w:p w14:paraId="35C1C991"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№301</w:t>
            </w:r>
          </w:p>
        </w:tc>
        <w:tc>
          <w:tcPr>
            <w:tcW w:w="984" w:type="dxa"/>
            <w:tcBorders>
              <w:top w:val="single" w:sz="4" w:space="0" w:color="auto"/>
              <w:left w:val="single" w:sz="4" w:space="0" w:color="auto"/>
            </w:tcBorders>
            <w:shd w:val="clear" w:color="auto" w:fill="auto"/>
            <w:vAlign w:val="center"/>
          </w:tcPr>
          <w:p w14:paraId="665E8CC6"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544B849C"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w:t>
            </w:r>
          </w:p>
        </w:tc>
        <w:tc>
          <w:tcPr>
            <w:tcW w:w="994" w:type="dxa"/>
            <w:tcBorders>
              <w:top w:val="single" w:sz="4" w:space="0" w:color="auto"/>
              <w:left w:val="single" w:sz="4" w:space="0" w:color="auto"/>
            </w:tcBorders>
            <w:shd w:val="clear" w:color="auto" w:fill="auto"/>
            <w:vAlign w:val="center"/>
          </w:tcPr>
          <w:p w14:paraId="702B3819"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451418B5"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2F04BAE3"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638255DA"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w:t>
            </w:r>
          </w:p>
        </w:tc>
        <w:tc>
          <w:tcPr>
            <w:tcW w:w="998" w:type="dxa"/>
            <w:vMerge/>
            <w:tcBorders>
              <w:left w:val="single" w:sz="4" w:space="0" w:color="auto"/>
              <w:right w:val="single" w:sz="4" w:space="0" w:color="auto"/>
            </w:tcBorders>
            <w:shd w:val="clear" w:color="auto" w:fill="auto"/>
            <w:vAlign w:val="center"/>
          </w:tcPr>
          <w:p w14:paraId="1A247FAA" w14:textId="77777777" w:rsidR="00594131" w:rsidRPr="008A2E5A" w:rsidRDefault="00594131" w:rsidP="004C5D62">
            <w:pPr>
              <w:spacing w:after="0" w:line="240" w:lineRule="auto"/>
              <w:jc w:val="both"/>
              <w:rPr>
                <w:rFonts w:ascii="Times New Roman" w:hAnsi="Times New Roman"/>
                <w:color w:val="0070C0"/>
                <w:sz w:val="16"/>
                <w:szCs w:val="16"/>
              </w:rPr>
            </w:pPr>
          </w:p>
        </w:tc>
      </w:tr>
      <w:tr w:rsidR="00594131" w:rsidRPr="008A2E5A" w14:paraId="3A783A0C" w14:textId="77777777" w:rsidTr="004C5D62">
        <w:trPr>
          <w:trHeight w:val="254"/>
        </w:trPr>
        <w:tc>
          <w:tcPr>
            <w:tcW w:w="1354" w:type="dxa"/>
            <w:vMerge w:val="restart"/>
            <w:tcBorders>
              <w:top w:val="single" w:sz="4" w:space="0" w:color="auto"/>
              <w:left w:val="single" w:sz="4" w:space="0" w:color="auto"/>
            </w:tcBorders>
            <w:shd w:val="clear" w:color="auto" w:fill="auto"/>
            <w:vAlign w:val="center"/>
          </w:tcPr>
          <w:p w14:paraId="5B85C58C"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Як-7Б</w:t>
            </w:r>
          </w:p>
        </w:tc>
        <w:tc>
          <w:tcPr>
            <w:tcW w:w="1368" w:type="dxa"/>
            <w:tcBorders>
              <w:top w:val="single" w:sz="4" w:space="0" w:color="auto"/>
              <w:left w:val="single" w:sz="4" w:space="0" w:color="auto"/>
            </w:tcBorders>
            <w:shd w:val="clear" w:color="auto" w:fill="auto"/>
            <w:vAlign w:val="center"/>
          </w:tcPr>
          <w:p w14:paraId="35F8671F"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w:t>
            </w:r>
          </w:p>
        </w:tc>
        <w:tc>
          <w:tcPr>
            <w:tcW w:w="984" w:type="dxa"/>
            <w:tcBorders>
              <w:top w:val="single" w:sz="4" w:space="0" w:color="auto"/>
              <w:left w:val="single" w:sz="4" w:space="0" w:color="auto"/>
            </w:tcBorders>
            <w:shd w:val="clear" w:color="auto" w:fill="auto"/>
            <w:vAlign w:val="center"/>
          </w:tcPr>
          <w:p w14:paraId="1598F33F"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27B86957"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68AE03F2"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p>
        </w:tc>
        <w:tc>
          <w:tcPr>
            <w:tcW w:w="994" w:type="dxa"/>
            <w:tcBorders>
              <w:top w:val="single" w:sz="4" w:space="0" w:color="auto"/>
              <w:left w:val="single" w:sz="4" w:space="0" w:color="auto"/>
            </w:tcBorders>
            <w:shd w:val="clear" w:color="auto" w:fill="auto"/>
            <w:vAlign w:val="center"/>
          </w:tcPr>
          <w:p w14:paraId="76DA56D8"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314286F1"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603FA9BC"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p>
        </w:tc>
        <w:tc>
          <w:tcPr>
            <w:tcW w:w="998" w:type="dxa"/>
            <w:vMerge w:val="restart"/>
            <w:tcBorders>
              <w:top w:val="single" w:sz="4" w:space="0" w:color="auto"/>
              <w:left w:val="single" w:sz="4" w:space="0" w:color="auto"/>
              <w:right w:val="single" w:sz="4" w:space="0" w:color="auto"/>
            </w:tcBorders>
            <w:shd w:val="clear" w:color="auto" w:fill="auto"/>
            <w:vAlign w:val="center"/>
          </w:tcPr>
          <w:p w14:paraId="055F7781"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5358</w:t>
            </w:r>
          </w:p>
        </w:tc>
      </w:tr>
      <w:tr w:rsidR="00594131" w:rsidRPr="008A2E5A" w14:paraId="7811A4A9" w14:textId="77777777" w:rsidTr="004C5D62">
        <w:trPr>
          <w:trHeight w:val="250"/>
        </w:trPr>
        <w:tc>
          <w:tcPr>
            <w:tcW w:w="1354" w:type="dxa"/>
            <w:vMerge/>
            <w:tcBorders>
              <w:left w:val="single" w:sz="4" w:space="0" w:color="auto"/>
            </w:tcBorders>
            <w:shd w:val="clear" w:color="auto" w:fill="auto"/>
            <w:vAlign w:val="center"/>
          </w:tcPr>
          <w:p w14:paraId="3157C251" w14:textId="77777777" w:rsidR="00594131" w:rsidRPr="008A2E5A" w:rsidRDefault="00594131" w:rsidP="004C5D62">
            <w:pPr>
              <w:spacing w:after="0" w:line="240" w:lineRule="auto"/>
              <w:jc w:val="both"/>
              <w:rPr>
                <w:rFonts w:ascii="Times New Roman" w:hAnsi="Times New Roman"/>
                <w:color w:val="0070C0"/>
                <w:sz w:val="16"/>
                <w:szCs w:val="16"/>
              </w:rPr>
            </w:pPr>
          </w:p>
        </w:tc>
        <w:tc>
          <w:tcPr>
            <w:tcW w:w="1368" w:type="dxa"/>
            <w:tcBorders>
              <w:top w:val="single" w:sz="4" w:space="0" w:color="auto"/>
              <w:left w:val="single" w:sz="4" w:space="0" w:color="auto"/>
            </w:tcBorders>
            <w:shd w:val="clear" w:color="auto" w:fill="auto"/>
            <w:vAlign w:val="center"/>
          </w:tcPr>
          <w:p w14:paraId="0EC65CBE"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№82</w:t>
            </w:r>
          </w:p>
        </w:tc>
        <w:tc>
          <w:tcPr>
            <w:tcW w:w="984" w:type="dxa"/>
            <w:tcBorders>
              <w:top w:val="single" w:sz="4" w:space="0" w:color="auto"/>
              <w:left w:val="single" w:sz="4" w:space="0" w:color="auto"/>
            </w:tcBorders>
            <w:shd w:val="clear" w:color="auto" w:fill="auto"/>
            <w:vAlign w:val="center"/>
          </w:tcPr>
          <w:p w14:paraId="6AE0AB27"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4812F7F8"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1ABFC83A"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215</w:t>
            </w:r>
          </w:p>
        </w:tc>
        <w:tc>
          <w:tcPr>
            <w:tcW w:w="994" w:type="dxa"/>
            <w:tcBorders>
              <w:top w:val="single" w:sz="4" w:space="0" w:color="auto"/>
              <w:left w:val="single" w:sz="4" w:space="0" w:color="auto"/>
            </w:tcBorders>
            <w:shd w:val="clear" w:color="auto" w:fill="auto"/>
            <w:vAlign w:val="center"/>
          </w:tcPr>
          <w:p w14:paraId="4A711876"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640</w:t>
            </w:r>
          </w:p>
        </w:tc>
        <w:tc>
          <w:tcPr>
            <w:tcW w:w="994" w:type="dxa"/>
            <w:tcBorders>
              <w:top w:val="single" w:sz="4" w:space="0" w:color="auto"/>
              <w:left w:val="single" w:sz="4" w:space="0" w:color="auto"/>
            </w:tcBorders>
            <w:shd w:val="clear" w:color="auto" w:fill="auto"/>
            <w:vAlign w:val="center"/>
          </w:tcPr>
          <w:p w14:paraId="6FC433F7"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465</w:t>
            </w:r>
          </w:p>
        </w:tc>
        <w:tc>
          <w:tcPr>
            <w:tcW w:w="994" w:type="dxa"/>
            <w:tcBorders>
              <w:top w:val="single" w:sz="4" w:space="0" w:color="auto"/>
              <w:left w:val="single" w:sz="4" w:space="0" w:color="auto"/>
            </w:tcBorders>
            <w:shd w:val="clear" w:color="auto" w:fill="auto"/>
            <w:vAlign w:val="center"/>
          </w:tcPr>
          <w:p w14:paraId="550A8769"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1320</w:t>
            </w:r>
          </w:p>
        </w:tc>
        <w:tc>
          <w:tcPr>
            <w:tcW w:w="998" w:type="dxa"/>
            <w:vMerge/>
            <w:tcBorders>
              <w:left w:val="single" w:sz="4" w:space="0" w:color="auto"/>
              <w:right w:val="single" w:sz="4" w:space="0" w:color="auto"/>
            </w:tcBorders>
            <w:shd w:val="clear" w:color="auto" w:fill="auto"/>
            <w:vAlign w:val="center"/>
          </w:tcPr>
          <w:p w14:paraId="0FF9AA94" w14:textId="77777777" w:rsidR="00594131" w:rsidRPr="008A2E5A" w:rsidRDefault="00594131" w:rsidP="004C5D62">
            <w:pPr>
              <w:spacing w:after="0" w:line="240" w:lineRule="auto"/>
              <w:jc w:val="both"/>
              <w:rPr>
                <w:rFonts w:ascii="Times New Roman" w:hAnsi="Times New Roman"/>
                <w:color w:val="0070C0"/>
                <w:sz w:val="16"/>
                <w:szCs w:val="16"/>
              </w:rPr>
            </w:pPr>
          </w:p>
        </w:tc>
      </w:tr>
      <w:tr w:rsidR="00594131" w:rsidRPr="008A2E5A" w14:paraId="0E53C86F" w14:textId="77777777" w:rsidTr="004C5D62">
        <w:trPr>
          <w:trHeight w:val="250"/>
        </w:trPr>
        <w:tc>
          <w:tcPr>
            <w:tcW w:w="1354" w:type="dxa"/>
            <w:vMerge/>
            <w:tcBorders>
              <w:left w:val="single" w:sz="4" w:space="0" w:color="auto"/>
            </w:tcBorders>
            <w:shd w:val="clear" w:color="auto" w:fill="auto"/>
            <w:vAlign w:val="center"/>
          </w:tcPr>
          <w:p w14:paraId="57E6F0BD" w14:textId="77777777" w:rsidR="00594131" w:rsidRPr="008A2E5A" w:rsidRDefault="00594131" w:rsidP="004C5D62">
            <w:pPr>
              <w:spacing w:after="0" w:line="240" w:lineRule="auto"/>
              <w:jc w:val="both"/>
              <w:rPr>
                <w:rFonts w:ascii="Times New Roman" w:hAnsi="Times New Roman"/>
                <w:color w:val="0070C0"/>
                <w:sz w:val="16"/>
                <w:szCs w:val="16"/>
              </w:rPr>
            </w:pPr>
          </w:p>
        </w:tc>
        <w:tc>
          <w:tcPr>
            <w:tcW w:w="1368" w:type="dxa"/>
            <w:tcBorders>
              <w:top w:val="single" w:sz="4" w:space="0" w:color="auto"/>
              <w:left w:val="single" w:sz="4" w:space="0" w:color="auto"/>
            </w:tcBorders>
            <w:shd w:val="clear" w:color="auto" w:fill="auto"/>
            <w:vAlign w:val="center"/>
          </w:tcPr>
          <w:p w14:paraId="51AE5A8D"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№153</w:t>
            </w:r>
          </w:p>
        </w:tc>
        <w:tc>
          <w:tcPr>
            <w:tcW w:w="984" w:type="dxa"/>
            <w:tcBorders>
              <w:top w:val="single" w:sz="4" w:space="0" w:color="auto"/>
              <w:left w:val="single" w:sz="4" w:space="0" w:color="auto"/>
            </w:tcBorders>
            <w:shd w:val="clear" w:color="auto" w:fill="auto"/>
            <w:vAlign w:val="center"/>
          </w:tcPr>
          <w:p w14:paraId="28D4AF89"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025EEC38"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0E98E4D5"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1701</w:t>
            </w:r>
          </w:p>
        </w:tc>
        <w:tc>
          <w:tcPr>
            <w:tcW w:w="994" w:type="dxa"/>
            <w:tcBorders>
              <w:top w:val="single" w:sz="4" w:space="0" w:color="auto"/>
              <w:left w:val="single" w:sz="4" w:space="0" w:color="auto"/>
            </w:tcBorders>
            <w:shd w:val="clear" w:color="auto" w:fill="auto"/>
            <w:vAlign w:val="center"/>
          </w:tcPr>
          <w:p w14:paraId="1A8F739C"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2332</w:t>
            </w:r>
          </w:p>
        </w:tc>
        <w:tc>
          <w:tcPr>
            <w:tcW w:w="994" w:type="dxa"/>
            <w:tcBorders>
              <w:top w:val="single" w:sz="4" w:space="0" w:color="auto"/>
              <w:left w:val="single" w:sz="4" w:space="0" w:color="auto"/>
            </w:tcBorders>
            <w:shd w:val="clear" w:color="auto" w:fill="auto"/>
            <w:vAlign w:val="center"/>
          </w:tcPr>
          <w:p w14:paraId="0C52E2F2"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62D90506"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4033</w:t>
            </w:r>
          </w:p>
        </w:tc>
        <w:tc>
          <w:tcPr>
            <w:tcW w:w="998" w:type="dxa"/>
            <w:vMerge/>
            <w:tcBorders>
              <w:left w:val="single" w:sz="4" w:space="0" w:color="auto"/>
              <w:right w:val="single" w:sz="4" w:space="0" w:color="auto"/>
            </w:tcBorders>
            <w:shd w:val="clear" w:color="auto" w:fill="auto"/>
            <w:vAlign w:val="center"/>
          </w:tcPr>
          <w:p w14:paraId="3AA2B057" w14:textId="77777777" w:rsidR="00594131" w:rsidRPr="008A2E5A" w:rsidRDefault="00594131" w:rsidP="004C5D62">
            <w:pPr>
              <w:spacing w:after="0" w:line="240" w:lineRule="auto"/>
              <w:jc w:val="both"/>
              <w:rPr>
                <w:rFonts w:ascii="Times New Roman" w:hAnsi="Times New Roman"/>
                <w:color w:val="0070C0"/>
                <w:sz w:val="16"/>
                <w:szCs w:val="16"/>
              </w:rPr>
            </w:pPr>
          </w:p>
        </w:tc>
      </w:tr>
      <w:tr w:rsidR="00594131" w:rsidRPr="008A2E5A" w14:paraId="55EE1EC4" w14:textId="77777777" w:rsidTr="004C5D62">
        <w:trPr>
          <w:trHeight w:val="259"/>
        </w:trPr>
        <w:tc>
          <w:tcPr>
            <w:tcW w:w="1354" w:type="dxa"/>
            <w:tcBorders>
              <w:top w:val="single" w:sz="4" w:space="0" w:color="auto"/>
              <w:left w:val="single" w:sz="4" w:space="0" w:color="auto"/>
              <w:bottom w:val="single" w:sz="4" w:space="0" w:color="auto"/>
            </w:tcBorders>
            <w:shd w:val="clear" w:color="auto" w:fill="auto"/>
            <w:vAlign w:val="center"/>
          </w:tcPr>
          <w:p w14:paraId="3F3D0119"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Як-7-37</w:t>
            </w:r>
          </w:p>
        </w:tc>
        <w:tc>
          <w:tcPr>
            <w:tcW w:w="1368" w:type="dxa"/>
            <w:tcBorders>
              <w:top w:val="single" w:sz="4" w:space="0" w:color="auto"/>
              <w:left w:val="single" w:sz="4" w:space="0" w:color="auto"/>
              <w:bottom w:val="single" w:sz="4" w:space="0" w:color="auto"/>
            </w:tcBorders>
            <w:shd w:val="clear" w:color="auto" w:fill="auto"/>
            <w:vAlign w:val="center"/>
          </w:tcPr>
          <w:p w14:paraId="225FED75"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№153</w:t>
            </w:r>
          </w:p>
        </w:tc>
        <w:tc>
          <w:tcPr>
            <w:tcW w:w="984" w:type="dxa"/>
            <w:tcBorders>
              <w:top w:val="single" w:sz="4" w:space="0" w:color="auto"/>
              <w:left w:val="single" w:sz="4" w:space="0" w:color="auto"/>
              <w:bottom w:val="single" w:sz="4" w:space="0" w:color="auto"/>
            </w:tcBorders>
            <w:shd w:val="clear" w:color="auto" w:fill="auto"/>
            <w:vAlign w:val="center"/>
          </w:tcPr>
          <w:p w14:paraId="55255F05"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bottom w:val="single" w:sz="4" w:space="0" w:color="auto"/>
            </w:tcBorders>
            <w:shd w:val="clear" w:color="auto" w:fill="auto"/>
            <w:vAlign w:val="center"/>
          </w:tcPr>
          <w:p w14:paraId="15BB2187"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bottom w:val="single" w:sz="4" w:space="0" w:color="auto"/>
            </w:tcBorders>
            <w:shd w:val="clear" w:color="auto" w:fill="auto"/>
            <w:vAlign w:val="center"/>
          </w:tcPr>
          <w:p w14:paraId="4702024C"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w:t>
            </w:r>
          </w:p>
        </w:tc>
        <w:tc>
          <w:tcPr>
            <w:tcW w:w="994" w:type="dxa"/>
            <w:tcBorders>
              <w:top w:val="single" w:sz="4" w:space="0" w:color="auto"/>
              <w:left w:val="single" w:sz="4" w:space="0" w:color="auto"/>
              <w:bottom w:val="single" w:sz="4" w:space="0" w:color="auto"/>
            </w:tcBorders>
            <w:shd w:val="clear" w:color="auto" w:fill="auto"/>
            <w:vAlign w:val="center"/>
          </w:tcPr>
          <w:p w14:paraId="331EF7AD"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bottom w:val="single" w:sz="4" w:space="0" w:color="auto"/>
            </w:tcBorders>
            <w:shd w:val="clear" w:color="auto" w:fill="auto"/>
            <w:vAlign w:val="center"/>
          </w:tcPr>
          <w:p w14:paraId="46106810"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bottom w:val="single" w:sz="4" w:space="0" w:color="auto"/>
            </w:tcBorders>
            <w:shd w:val="clear" w:color="auto" w:fill="auto"/>
            <w:vAlign w:val="center"/>
          </w:tcPr>
          <w:p w14:paraId="7E74FAD6"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w:t>
            </w:r>
          </w:p>
        </w:tc>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14:paraId="68C7D974" w14:textId="77777777" w:rsidR="00594131" w:rsidRPr="008A2E5A" w:rsidRDefault="0059413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w:t>
            </w:r>
          </w:p>
        </w:tc>
      </w:tr>
    </w:tbl>
    <w:p w14:paraId="2B1F2710" w14:textId="77777777" w:rsidR="00594131" w:rsidRPr="008A2E5A" w:rsidRDefault="00594131" w:rsidP="005941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(23381).</w:t>
      </w:r>
    </w:p>
    <w:p w14:paraId="652A4CD4" w14:textId="77777777" w:rsidR="00594131" w:rsidRPr="008A2E5A" w:rsidRDefault="00594131" w:rsidP="00594131">
      <w:pPr>
        <w:spacing w:after="0" w:line="240" w:lineRule="auto"/>
        <w:jc w:val="both"/>
        <w:rPr>
          <w:rFonts w:ascii="Times New Roman" w:hAnsi="Times New Roman"/>
          <w:color w:val="0070C0"/>
          <w:sz w:val="16"/>
          <w:szCs w:val="16"/>
        </w:rPr>
      </w:pPr>
    </w:p>
    <w:p w14:paraId="4FF6A3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июня 1942 вышел приказ НКАП N 432сс "О самолетах ЛаГГ-3":</w:t>
      </w:r>
    </w:p>
    <w:p w14:paraId="43E8A86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исполнение постановления ГКО N ГОКО-1895 от 7 июня 1942 об обеспечении управления самолетом ЛаГГ-3 и улучшения его летных данных:</w:t>
      </w:r>
    </w:p>
    <w:p w14:paraId="4F9036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Зам. нач. ПГУ Шиц, директору завода 21 Гостинцеву и ГК С.А.Л. ввести на самолетах ЛаГГ-3 предкрылки, элероны и рули с улучшенной компенсацией и убирающийся костыль с выпуском всех самолетов ЛаГГ-3 с этими улучшениями с 1 июля 1942</w:t>
      </w:r>
    </w:p>
    <w:p w14:paraId="6A89AA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Директору завода 31 Агаджанову ввести на всех самолетах ЛаГГ-2 улучшения, указанные в п. 1 настоящего приказа с 15 июля с.г. (1557,8).</w:t>
      </w:r>
    </w:p>
    <w:p w14:paraId="3E626E3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2B54D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июня 1942 первый полет выполнил И-185 М-71 эталон, но потребовались доводки и на гос. испытания машина попала только 18 ноября 1942 (2495,25).</w:t>
      </w:r>
    </w:p>
    <w:p w14:paraId="5663085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44911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июня 1942 г. выполнили первый полет на И-185 Эталоне (И-186). Совме</w:t>
      </w:r>
      <w:r w:rsidRPr="008127F8">
        <w:rPr>
          <w:rFonts w:ascii="Times New Roman" w:hAnsi="Times New Roman"/>
          <w:color w:val="000000" w:themeColor="text1"/>
          <w:sz w:val="16"/>
          <w:szCs w:val="16"/>
        </w:rPr>
        <w:softHyphen/>
        <w:t>стные испытания проводил летчик А.И.Никашин. Были выявлены неудовлетворительная работа механизма уборки шасси, течь воздуха в пневмосистеме, разруше</w:t>
      </w:r>
      <w:r w:rsidRPr="008127F8">
        <w:rPr>
          <w:rFonts w:ascii="Times New Roman" w:hAnsi="Times New Roman"/>
          <w:color w:val="000000" w:themeColor="text1"/>
          <w:sz w:val="16"/>
          <w:szCs w:val="16"/>
        </w:rPr>
        <w:softHyphen/>
        <w:t>ние капота на скорости порядка 610 км/ч и др. Из-за это</w:t>
      </w:r>
      <w:r w:rsidRPr="008127F8">
        <w:rPr>
          <w:rFonts w:ascii="Times New Roman" w:hAnsi="Times New Roman"/>
          <w:color w:val="000000" w:themeColor="text1"/>
          <w:sz w:val="16"/>
          <w:szCs w:val="16"/>
        </w:rPr>
        <w:softHyphen/>
        <w:t>го, а также из-за перегрева цилиндров мотора 22 июля 1942 г. проведение испытаний приостановили до 10 ав</w:t>
      </w:r>
      <w:r w:rsidRPr="008127F8">
        <w:rPr>
          <w:rFonts w:ascii="Times New Roman" w:hAnsi="Times New Roman"/>
          <w:color w:val="000000" w:themeColor="text1"/>
          <w:sz w:val="16"/>
          <w:szCs w:val="16"/>
        </w:rPr>
        <w:softHyphen/>
        <w:t>густа для устранения дефектов. Между тем, возобновились наземные испытания И-185 с М-90. Безрезультатно меняли двигатель за дви</w:t>
      </w:r>
      <w:r w:rsidRPr="008127F8">
        <w:rPr>
          <w:rFonts w:ascii="Times New Roman" w:hAnsi="Times New Roman"/>
          <w:color w:val="000000" w:themeColor="text1"/>
          <w:sz w:val="16"/>
          <w:szCs w:val="16"/>
        </w:rPr>
        <w:softHyphen/>
        <w:t>гателем, зачастую на еще более худшего изготовления. Николай Николаевич был вынужден обратиться за со</w:t>
      </w:r>
      <w:r w:rsidRPr="008127F8">
        <w:rPr>
          <w:rFonts w:ascii="Times New Roman" w:hAnsi="Times New Roman"/>
          <w:color w:val="000000" w:themeColor="text1"/>
          <w:sz w:val="16"/>
          <w:szCs w:val="16"/>
        </w:rPr>
        <w:softHyphen/>
        <w:t>действием в соответствующий главк наркомата (10667).</w:t>
      </w:r>
    </w:p>
    <w:p w14:paraId="517F90E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E79EF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10 июня</w:t>
      </w:r>
      <w:r w:rsidRPr="008127F8">
        <w:rPr>
          <w:rFonts w:ascii="Times New Roman" w:hAnsi="Times New Roman"/>
          <w:color w:val="000000" w:themeColor="text1"/>
          <w:sz w:val="16"/>
          <w:szCs w:val="16"/>
        </w:rPr>
        <w:t xml:space="preserve"> в 1942 году истребитель Н.Н.Поликарпова </w:t>
      </w:r>
      <w:hyperlink r:id="rId74" w:tgtFrame="_blank" w:history="1">
        <w:r w:rsidRPr="008127F8">
          <w:rPr>
            <w:rFonts w:ascii="Times New Roman" w:hAnsi="Times New Roman"/>
            <w:color w:val="000000" w:themeColor="text1"/>
            <w:sz w:val="16"/>
            <w:szCs w:val="16"/>
          </w:rPr>
          <w:t xml:space="preserve">«И-185» «М-71» (эталон) </w:t>
        </w:r>
      </w:hyperlink>
      <w:r w:rsidRPr="008127F8">
        <w:rPr>
          <w:rFonts w:ascii="Times New Roman" w:hAnsi="Times New Roman"/>
          <w:color w:val="000000" w:themeColor="text1"/>
          <w:sz w:val="16"/>
          <w:szCs w:val="16"/>
        </w:rPr>
        <w:t>совершил первый вылет. Его постройка, доводка и заводские испытания затянулись из-за несвоевременной поставки мотора, винта и других комплектующих изделий до октября, и только 18 ноября машина поступила на госиспытания в НИИ ВВС. В ноябре же в 728-м истребительном авиационном полку начались войсковые испытания первых образцов с «М-71» и с «М-82А», прошедших государственные испытания в Новосибирске. На снимке «И-185» "образцовый" (эталон). Лето 1942 года, Новосибирск (14918).</w:t>
      </w:r>
    </w:p>
    <w:p w14:paraId="41C9BBB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333942D"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10-15 июня 1942 г. на ЧМ произвели испытание аппарата РС. Произведенные испытания показали следующее:</w:t>
      </w:r>
    </w:p>
    <w:p w14:paraId="1CC878BD"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1. Легкость и простота устройства установки на ТКА.</w:t>
      </w:r>
    </w:p>
    <w:p w14:paraId="51CC9DD6"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2. Возможность стрельбы по береговым целям на дистанции 32 кабельтова (5,9 км).</w:t>
      </w:r>
    </w:p>
    <w:p w14:paraId="31CFF6E8"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3. Отрицательные качества: малая скорострельность и</w:t>
      </w:r>
      <w:r>
        <w:rPr>
          <w:rFonts w:ascii="Times New Roman" w:eastAsia="Times New Roman" w:hAnsi="Times New Roman"/>
          <w:color w:val="000000" w:themeColor="text1"/>
          <w:sz w:val="16"/>
          <w:szCs w:val="16"/>
        </w:rPr>
        <w:t xml:space="preserve">  </w:t>
      </w:r>
      <w:r w:rsidRPr="008127F8">
        <w:rPr>
          <w:rFonts w:ascii="Times New Roman" w:eastAsia="Times New Roman" w:hAnsi="Times New Roman"/>
          <w:color w:val="000000" w:themeColor="text1"/>
          <w:sz w:val="16"/>
          <w:szCs w:val="16"/>
        </w:rPr>
        <w:t>отсутствие щитка для управления стрельбой залпами и одиночными снарядами.</w:t>
      </w:r>
    </w:p>
    <w:p w14:paraId="123FE5CB"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Выводы: заказать серию подобных аппаратов для установки на ТКА с учетом: а) увеличения скорости; б) дать возможность производить одиночную и залповую стрельбу; в) упростить установку для стрельбы в ночное время; г) определить место хранения боезапаса на ТКА.</w:t>
      </w:r>
    </w:p>
    <w:p w14:paraId="385F6979"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Испытывали на всех скоростях при состоянии ветра и моря. равном 3-м баллам. Установка деформации и поломок не имела.</w:t>
      </w:r>
    </w:p>
    <w:p w14:paraId="3F5E20CC"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втором испытании установили: при углах возвышения - 10</w:t>
      </w:r>
      <w:r w:rsidRPr="008127F8">
        <w:rPr>
          <w:rFonts w:ascii="Times New Roman" w:eastAsia="Times New Roman" w:hAnsi="Times New Roman"/>
          <w:color w:val="000000" w:themeColor="text1"/>
          <w:sz w:val="16"/>
          <w:szCs w:val="16"/>
          <w:vertAlign w:val="superscript"/>
        </w:rPr>
        <w:t>о</w:t>
      </w:r>
      <w:r w:rsidRPr="008127F8">
        <w:rPr>
          <w:rFonts w:ascii="Times New Roman" w:eastAsia="Times New Roman" w:hAnsi="Times New Roman"/>
          <w:color w:val="000000" w:themeColor="text1"/>
          <w:sz w:val="16"/>
          <w:szCs w:val="16"/>
        </w:rPr>
        <w:t xml:space="preserve"> дальность полета 15 каб., время 13 сек. При углах возвышения - 30</w:t>
      </w:r>
      <w:r w:rsidRPr="008127F8">
        <w:rPr>
          <w:rFonts w:ascii="Times New Roman" w:eastAsia="Times New Roman" w:hAnsi="Times New Roman"/>
          <w:color w:val="000000" w:themeColor="text1"/>
          <w:sz w:val="16"/>
          <w:szCs w:val="16"/>
          <w:vertAlign w:val="superscript"/>
        </w:rPr>
        <w:t>о</w:t>
      </w:r>
      <w:r w:rsidRPr="008127F8">
        <w:rPr>
          <w:rFonts w:ascii="Times New Roman" w:eastAsia="Times New Roman" w:hAnsi="Times New Roman"/>
          <w:color w:val="000000" w:themeColor="text1"/>
          <w:sz w:val="16"/>
          <w:szCs w:val="16"/>
        </w:rPr>
        <w:t xml:space="preserve"> дальность полета 32 каб., время 39 сек. При углах возвышения - 40</w:t>
      </w:r>
      <w:r w:rsidRPr="008127F8">
        <w:rPr>
          <w:rFonts w:ascii="Times New Roman" w:eastAsia="Times New Roman" w:hAnsi="Times New Roman"/>
          <w:color w:val="000000" w:themeColor="text1"/>
          <w:sz w:val="16"/>
          <w:szCs w:val="16"/>
          <w:vertAlign w:val="superscript"/>
        </w:rPr>
        <w:t>о</w:t>
      </w:r>
      <w:r w:rsidRPr="008127F8">
        <w:rPr>
          <w:rFonts w:ascii="Times New Roman" w:eastAsia="Times New Roman" w:hAnsi="Times New Roman"/>
          <w:color w:val="000000" w:themeColor="text1"/>
          <w:sz w:val="16"/>
          <w:szCs w:val="16"/>
        </w:rPr>
        <w:t xml:space="preserve"> дальность полета 30 каб., время 27 сек. Время заряжения 1 РС - 42 сек, 2-х - 50 сек, 4-х - 2 мин 45 сек.».</w:t>
      </w:r>
    </w:p>
    <w:p w14:paraId="191D03C9"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Такие же «самоделки» сразу же были установлены (с сохранением основного - торпедного оружия) на ТКА К.Кочнева, М.Гурина и А.Куракина, а затем и на более крупных, чем «Г-5» торпедных катерах «Д-3» (деревянном) и «СМ-3» (стальном мореходном).</w:t>
      </w:r>
    </w:p>
    <w:p w14:paraId="0926E90D"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связи с неудачей наступления войск Юго-Западного фронта на Харьковском направлении и последовавшем затем продвижении немецких войск к Ростову-на-Дону на Черном море принимается ряд оборонительных мер. Отряд торпедных катеров дополнительно вооруженных установками РС был передан Азовского флоталии (15985).</w:t>
      </w:r>
    </w:p>
    <w:p w14:paraId="34C73F96"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p>
    <w:p w14:paraId="5ADF293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3E3E21D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A5FC2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 июня 1942г. приказом НКВД № 001191 было решено на базе Минометного завода НКМВ (Кунгурский механический завод № 806 НКМВ, Минометный завод НКМВ /г. Кунгур Пермской обл./) организовать ИТЛ по производству 82-мм мин и оставить производство редукторов для пороховых заводов НКБ. По приказу НКМВ № 250с от 7.07.1942г. завод № 806 передан в ведение ЗГУ. </w:t>
      </w:r>
      <w:r w:rsidRPr="008127F8">
        <w:rPr>
          <w:rFonts w:ascii="Times New Roman" w:hAnsi="Times New Roman"/>
          <w:color w:val="000000" w:themeColor="text1"/>
          <w:sz w:val="16"/>
          <w:szCs w:val="16"/>
          <w:vertAlign w:val="superscript"/>
        </w:rPr>
        <w:t>129</w:t>
      </w:r>
    </w:p>
    <w:p w14:paraId="2AC7D2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(06.1942г.)- Проскурин.</w:t>
      </w:r>
    </w:p>
    <w:p w14:paraId="4ED584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детали для минометов (1942) (11982).</w:t>
      </w:r>
    </w:p>
    <w:p w14:paraId="7051784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20FFAF" w14:textId="77777777" w:rsidR="00594131" w:rsidRPr="008A2E5A" w:rsidRDefault="00594131" w:rsidP="005941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июня 1942 г. вышел приказ директора завода № 112 № 42сс «О производстве танков Т- 34», в котором было дано распоряжение главному конструктору Крылову и главному технологу Чикову «в связи с увеличением программы направить во все цеха наиболее квалифицированных конструкторов и технологов». Они были обязаны вместе с начальниками цехов и отделов провести мероприятия на отдельных участках увеличения загрузки оборудования, лучшего использования оборудования и рабочей силы (ЦАНО. Ф.Р-15. Оп.4. Д. 164. Л. 58.) (23540).</w:t>
      </w:r>
    </w:p>
    <w:p w14:paraId="2CFDA315" w14:textId="77777777" w:rsidR="00594131" w:rsidRPr="008A2E5A" w:rsidRDefault="00594131" w:rsidP="00594131">
      <w:pPr>
        <w:spacing w:after="0" w:line="240" w:lineRule="auto"/>
        <w:jc w:val="both"/>
        <w:rPr>
          <w:rFonts w:ascii="Times New Roman" w:hAnsi="Times New Roman"/>
          <w:color w:val="0070C0"/>
          <w:sz w:val="16"/>
          <w:szCs w:val="16"/>
        </w:rPr>
      </w:pPr>
    </w:p>
    <w:p w14:paraId="1966338C" w14:textId="77777777" w:rsidR="00594131" w:rsidRPr="008A2E5A" w:rsidRDefault="00594131" w:rsidP="0059413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июня 1942г. В.А. Малышев издал приказ за номером 440сс., который констатировал поток сообщений из Красной армии о трещинах в броне и требовал восстановить процедуру низкого отпуска для бронекорпусов (операция была отменена в результате исследований НИИ-48 на СТЗ в начале 1942 г.) на всех изготовляющих их предприятиях НКТП. Приказ требовал от предприятий немедленно начать строительство новых термических печей, и к 1 сентября 1942 г. иметь их достаточно для того, чтобы осуществлять полноценную термообработку всех бронекорпусов (23540).</w:t>
      </w:r>
    </w:p>
    <w:p w14:paraId="00D45050" w14:textId="77777777" w:rsidR="00594131" w:rsidRPr="008A2E5A" w:rsidRDefault="00594131" w:rsidP="00594131">
      <w:pPr>
        <w:spacing w:after="0" w:line="240" w:lineRule="auto"/>
        <w:jc w:val="both"/>
        <w:rPr>
          <w:rFonts w:ascii="Times New Roman" w:hAnsi="Times New Roman"/>
          <w:color w:val="0070C0"/>
          <w:sz w:val="16"/>
          <w:szCs w:val="16"/>
        </w:rPr>
      </w:pPr>
    </w:p>
    <w:p w14:paraId="008062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июня 1942г. Приказом НКМВ № 210сс Беловскому граммофонному заводу (Завод № 842 НКМВ, НКЭП, Завод «Граммнластинок» НКМВ, Беловский граммофонный завод НКМВ, Беловский завод «Кузбассрадио», А-1892, ОАО «Сибирская электрическая комплектация» («Сибэлком»), ОАО «Кузбассрадио» /652600 г. Белово Кемеровской обл. ул. Чкалова, 14/) предписано организовать производство взрывателей КТМ-1 мощностью 100 тыс. шт. в месяц.</w:t>
      </w:r>
    </w:p>
    <w:p w14:paraId="584FF4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июля 1942г. в соответствии с Пост. ГКО № 1962сс от 4.07.1942г. приказом НКМВ № 237сс заводу установлен план выпуска на 3-й квартал 1942г.: прицелов к 50-мм минометам- 2700 шт.; угломеров-квадрантов к 82-мм минометам- 2800 шт. В соответствии с пост. ГКО № 2679 от 31.12.1942г. на заводе организовано дублирующее производство танковых радиоприемников. В годы войны выпускал взрыватели, прицелы, радиостанции для танков, бойки для гранат.</w:t>
      </w:r>
    </w:p>
    <w:p w14:paraId="0E7366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завод освоил выпуск радиоприемников, конденсаторов, запчастей для сельхозтехники.</w:t>
      </w:r>
    </w:p>
    <w:p w14:paraId="7C3A1D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Имел наименование «п/я А-1892». 16.07.1994г. завод «Кузбассрадио» акционирован и преобразован в ОАО «Сибэлком». В 2009г. ОАО «Сибэлком» являлось банкротом. Затем преобразовано в ОАО «Кузбассрадио». В 2008г. ОАО «Кузбассрадио» являлось банкротом.</w:t>
      </w:r>
    </w:p>
    <w:p w14:paraId="5C7D6A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(2000-е): коммутационные изделия (тумблеры, микропереключатели, переключатели: кнопочные, движковые; держатели плавких вставок); установочные изделия РЭ аппаратуры для МО, космической техники и нардного хозяйства.</w:t>
      </w:r>
    </w:p>
    <w:p w14:paraId="527D3AB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(1980-е г.)- более 10 тыс. чел.</w:t>
      </w:r>
    </w:p>
    <w:p w14:paraId="2941F5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(06.1942г.)- Жуков, (06.1942г.)- Шифрин. Гендиректор (2000-е)- В.А. Красноперов.</w:t>
      </w:r>
    </w:p>
    <w:p w14:paraId="626DDE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взрыватели АМБ, КТМ-1; прицелы к 50-мм минометам, угломеры-квадранты к 82-мм минометам (1942-); радиоприемники: танковый «Малютка» (1943-); бытовой «Рекорд-46».</w:t>
      </w:r>
    </w:p>
    <w:p w14:paraId="2BF605B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«КинАп» /г. Одесса/</w:t>
      </w:r>
    </w:p>
    <w:p w14:paraId="1845295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киноаппаратуры «КинАп» после начала войны был эвакуирован в Белово, где на его базе был создан завод № 842 НКЭП.</w:t>
      </w:r>
    </w:p>
    <w:p w14:paraId="3050113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освобождения Одессы завод «КинАп» восстановлен, был в 1975г.</w:t>
      </w:r>
    </w:p>
    <w:p w14:paraId="0AB0B1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разъем 16СТК-1 (1973).</w:t>
      </w:r>
    </w:p>
    <w:p w14:paraId="3796BC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Фабрика граммпластинок «Метрополь-Рекорд», Фабрика им. 1905 года, Апрелевский завод граммпластинок (АЗГ) Памяти 1905 года НКТП, НКМ, НКМВ, Апрелевский патефонный завод, Фирма «Мелодия» /г. Апрелевка Наро-Фоминского р-на Московской обл./</w:t>
      </w:r>
    </w:p>
    <w:p w14:paraId="2CBF6A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1910г. в пос. Апрелевка Б.В. Молль, А. Кибарт и Фогт основали фабрику граммпластинок «Метрополь- Рекорд». Производство было оснащено 35 одноместными прессами. Запись звука осуществлялась в Москве, там же находился и гальванический цех, где изготовлялись матрицы. Сами граммпластинки изготовлялись в Апрелевке. Выпускалось около 500 тыс. пластинок в год.</w:t>
      </w:r>
    </w:p>
    <w:p w14:paraId="466DB51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революции, в 1918-25г. фабрика работала с перебоями из-за отсутствия сырья. В 1925г. производство было восстановлено, в этом году на 8 прессах было выпущено 80 тыс. пластинок. В 1928-32г. были построены котельная и силовая станция, начата механизация производства. В 1930-е г. одноместные прессы были заменены на двухместные полуавтоматические, установлены полуавтоматические молотковые дробилки. К 1937г. производство пластинок достигло 18 млн. в год.</w:t>
      </w:r>
    </w:p>
    <w:p w14:paraId="79C804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завода (1928г.)- матричное отделение, прессовый, мельнично-вальцевой цехи, химическая лаборатория.</w:t>
      </w:r>
    </w:p>
    <w:p w14:paraId="0969115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1919г. фабрика граммпластинок - в ведении отдела «Советская пластинка» агентства Центропечать. В 1925г. получила название «Фабрика им. 1905 года». В 1933г. фабрика переименована в АЗГ Памяти 1905г. в ведении Грампластреста НКТП, в 1938г. - в ведении Главширпотреба НКМ.</w:t>
      </w:r>
    </w:p>
    <w:p w14:paraId="1ECBB11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10.1941г. Апрелевский патефонный завод эвакуирован в Белово, где на его базе создан завод № 842 НКЭП.</w:t>
      </w:r>
    </w:p>
    <w:p w14:paraId="0755A1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оставшемся оборудовании в Апрелевке был налажен выпуск боеприпасов. Весной 1942г. после освобождения Наро-Фоминска на заводе восстановлено производство пластинок. На 15 прессах в 1942г. было изготовлено 250 тыс. пластинок. В 07.1942г. Апрелевский завод граммпластинок- в ведении 5ГУ НКМВ.</w:t>
      </w:r>
    </w:p>
    <w:p w14:paraId="7B2D75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завод был реконструирован. В 1953г. освоен выпуск долгоиграющих пластинок. В 1958г. начата очередная реконструкция. Было построено два новых прессовых цеха, гальванический, механический. В 1962г. начато промышленное производство стереофонических пластинок, начато строительство нового прессового цеха.</w:t>
      </w:r>
    </w:p>
    <w:p w14:paraId="1A13508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1964г. на базе АЗГ создана фирма «Мелодия».</w:t>
      </w:r>
    </w:p>
    <w:p w14:paraId="720650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кроме пластинок, выпускал матрицы, пресс-формы, пластмассу для других предприятий отрасли.</w:t>
      </w:r>
    </w:p>
    <w:p w14:paraId="775A3DF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2007г. завод не действовал, его оборудование распродано, площади сданы в аренду коммерческим структурам.</w:t>
      </w:r>
    </w:p>
    <w:p w14:paraId="5C078E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(1912г.)- 100 чел., (1916г.)- 50 чел., (1930г.)- 215 чел., (1933г.)- 541 чел.</w:t>
      </w:r>
    </w:p>
    <w:p w14:paraId="28F9AFB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(1910г.)- Б.В. Молль.</w:t>
      </w:r>
    </w:p>
    <w:p w14:paraId="0DD68E5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химической лаборатории (1960-е)- В.М. Хазанджи (11982).</w:t>
      </w:r>
    </w:p>
    <w:p w14:paraId="7B1E91E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D0ABB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июня 1942 года вышел приказ НКБ № 362сс</w:t>
      </w:r>
    </w:p>
    <w:p w14:paraId="0657EF3D"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Список заводов, изготовляющих минометы по плану июня 1942 года</w:t>
      </w:r>
    </w:p>
    <w:p w14:paraId="7681984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 мм ротный миномет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836"/>
      </w:tblGrid>
      <w:tr w:rsidR="007C5583" w:rsidRPr="008127F8" w14:paraId="10107F43" w14:textId="77777777" w:rsidTr="004C5D62">
        <w:tc>
          <w:tcPr>
            <w:tcW w:w="2952" w:type="dxa"/>
            <w:tcBorders>
              <w:top w:val="single" w:sz="12" w:space="0" w:color="auto"/>
            </w:tcBorders>
          </w:tcPr>
          <w:p w14:paraId="64BBC092"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НКМВ</w:t>
            </w:r>
          </w:p>
        </w:tc>
        <w:tc>
          <w:tcPr>
            <w:tcW w:w="2952" w:type="dxa"/>
            <w:tcBorders>
              <w:top w:val="single" w:sz="12" w:space="0" w:color="auto"/>
            </w:tcBorders>
          </w:tcPr>
          <w:p w14:paraId="11D786B8"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748</w:t>
            </w:r>
          </w:p>
        </w:tc>
        <w:tc>
          <w:tcPr>
            <w:tcW w:w="4836" w:type="dxa"/>
            <w:tcBorders>
              <w:top w:val="single" w:sz="12" w:space="0" w:color="auto"/>
            </w:tcBorders>
          </w:tcPr>
          <w:p w14:paraId="145806FB"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Кузнецкий завод Пензенской области</w:t>
            </w:r>
          </w:p>
        </w:tc>
      </w:tr>
      <w:tr w:rsidR="007C5583" w:rsidRPr="008127F8" w14:paraId="176870A0" w14:textId="77777777" w:rsidTr="004C5D62">
        <w:tc>
          <w:tcPr>
            <w:tcW w:w="2952" w:type="dxa"/>
          </w:tcPr>
          <w:p w14:paraId="63EEEA08"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НКМВ</w:t>
            </w:r>
          </w:p>
        </w:tc>
        <w:tc>
          <w:tcPr>
            <w:tcW w:w="2952" w:type="dxa"/>
          </w:tcPr>
          <w:p w14:paraId="5F9513B0"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 Сталина</w:t>
            </w:r>
          </w:p>
        </w:tc>
        <w:tc>
          <w:tcPr>
            <w:tcW w:w="4836" w:type="dxa"/>
          </w:tcPr>
          <w:p w14:paraId="75213E85"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Ташкент</w:t>
            </w:r>
          </w:p>
        </w:tc>
      </w:tr>
      <w:tr w:rsidR="007C5583" w:rsidRPr="008127F8" w14:paraId="393D835F" w14:textId="77777777" w:rsidTr="004C5D62">
        <w:tc>
          <w:tcPr>
            <w:tcW w:w="2952" w:type="dxa"/>
          </w:tcPr>
          <w:p w14:paraId="1CB56ACA"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НКМВ</w:t>
            </w:r>
          </w:p>
        </w:tc>
        <w:tc>
          <w:tcPr>
            <w:tcW w:w="2952" w:type="dxa"/>
          </w:tcPr>
          <w:p w14:paraId="76CE97DA"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763</w:t>
            </w:r>
          </w:p>
        </w:tc>
        <w:tc>
          <w:tcPr>
            <w:tcW w:w="4836" w:type="dxa"/>
          </w:tcPr>
          <w:p w14:paraId="6EA4898B"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Металлист Киров</w:t>
            </w:r>
          </w:p>
        </w:tc>
      </w:tr>
      <w:tr w:rsidR="007C5583" w:rsidRPr="008127F8" w14:paraId="48676B14" w14:textId="77777777" w:rsidTr="004C5D62">
        <w:tc>
          <w:tcPr>
            <w:tcW w:w="2952" w:type="dxa"/>
          </w:tcPr>
          <w:p w14:paraId="07E5A051"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НКМВ</w:t>
            </w:r>
          </w:p>
        </w:tc>
        <w:tc>
          <w:tcPr>
            <w:tcW w:w="2952" w:type="dxa"/>
          </w:tcPr>
          <w:p w14:paraId="0F43FDE0"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740</w:t>
            </w:r>
          </w:p>
        </w:tc>
        <w:tc>
          <w:tcPr>
            <w:tcW w:w="4836" w:type="dxa"/>
          </w:tcPr>
          <w:p w14:paraId="3E6F2190"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Текстильмаш г. Пенза</w:t>
            </w:r>
          </w:p>
        </w:tc>
      </w:tr>
      <w:tr w:rsidR="007C5583" w:rsidRPr="008127F8" w14:paraId="729EA32A" w14:textId="77777777" w:rsidTr="004C5D62">
        <w:tc>
          <w:tcPr>
            <w:tcW w:w="2952" w:type="dxa"/>
          </w:tcPr>
          <w:p w14:paraId="4283A8F8"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НКМВ</w:t>
            </w:r>
          </w:p>
        </w:tc>
        <w:tc>
          <w:tcPr>
            <w:tcW w:w="2952" w:type="dxa"/>
          </w:tcPr>
          <w:p w14:paraId="4FF60F9B"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798</w:t>
            </w:r>
          </w:p>
        </w:tc>
        <w:tc>
          <w:tcPr>
            <w:tcW w:w="4836" w:type="dxa"/>
          </w:tcPr>
          <w:p w14:paraId="2DC17B29"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завод “Красная Пресня” Москва</w:t>
            </w:r>
          </w:p>
        </w:tc>
      </w:tr>
      <w:tr w:rsidR="007C5583" w:rsidRPr="008127F8" w14:paraId="08F6940C" w14:textId="77777777" w:rsidTr="004C5D62">
        <w:tc>
          <w:tcPr>
            <w:tcW w:w="2952" w:type="dxa"/>
          </w:tcPr>
          <w:p w14:paraId="4AE68934"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НКМВ</w:t>
            </w:r>
          </w:p>
        </w:tc>
        <w:tc>
          <w:tcPr>
            <w:tcW w:w="2952" w:type="dxa"/>
          </w:tcPr>
          <w:p w14:paraId="092A6EFA"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768</w:t>
            </w:r>
          </w:p>
        </w:tc>
        <w:tc>
          <w:tcPr>
            <w:tcW w:w="4836" w:type="dxa"/>
          </w:tcPr>
          <w:p w14:paraId="3BF0338E"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завод Деревообделочных станков Москва</w:t>
            </w:r>
          </w:p>
        </w:tc>
      </w:tr>
      <w:tr w:rsidR="007C5583" w:rsidRPr="008127F8" w14:paraId="20B5B631" w14:textId="77777777" w:rsidTr="004C5D62">
        <w:tc>
          <w:tcPr>
            <w:tcW w:w="2952" w:type="dxa"/>
          </w:tcPr>
          <w:p w14:paraId="769A5271"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НКМВ</w:t>
            </w:r>
          </w:p>
        </w:tc>
        <w:tc>
          <w:tcPr>
            <w:tcW w:w="2952" w:type="dxa"/>
          </w:tcPr>
          <w:p w14:paraId="1959C133"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815</w:t>
            </w:r>
          </w:p>
        </w:tc>
        <w:tc>
          <w:tcPr>
            <w:tcW w:w="4836" w:type="dxa"/>
          </w:tcPr>
          <w:p w14:paraId="235576A7"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завод Противопожарного оборудования Шадринск</w:t>
            </w:r>
          </w:p>
        </w:tc>
      </w:tr>
      <w:tr w:rsidR="007C5583" w:rsidRPr="008127F8" w14:paraId="55E3829D" w14:textId="77777777" w:rsidTr="004C5D62">
        <w:tc>
          <w:tcPr>
            <w:tcW w:w="2952" w:type="dxa"/>
          </w:tcPr>
          <w:p w14:paraId="761B4140"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НКСМ</w:t>
            </w:r>
          </w:p>
        </w:tc>
        <w:tc>
          <w:tcPr>
            <w:tcW w:w="2952" w:type="dxa"/>
          </w:tcPr>
          <w:p w14:paraId="0EA33115"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Красная Этна</w:t>
            </w:r>
          </w:p>
        </w:tc>
        <w:tc>
          <w:tcPr>
            <w:tcW w:w="4836" w:type="dxa"/>
          </w:tcPr>
          <w:p w14:paraId="259EBDC9"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Горький</w:t>
            </w:r>
          </w:p>
        </w:tc>
      </w:tr>
      <w:tr w:rsidR="007C5583" w:rsidRPr="008127F8" w14:paraId="52CC266F" w14:textId="77777777" w:rsidTr="004C5D62">
        <w:tc>
          <w:tcPr>
            <w:tcW w:w="2952" w:type="dxa"/>
          </w:tcPr>
          <w:p w14:paraId="14169C87"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НКСМ</w:t>
            </w:r>
          </w:p>
        </w:tc>
        <w:tc>
          <w:tcPr>
            <w:tcW w:w="2952" w:type="dxa"/>
          </w:tcPr>
          <w:p w14:paraId="427F9234"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 Буденного</w:t>
            </w:r>
          </w:p>
        </w:tc>
        <w:tc>
          <w:tcPr>
            <w:tcW w:w="4836" w:type="dxa"/>
          </w:tcPr>
          <w:p w14:paraId="3318A058"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r>
      <w:tr w:rsidR="007C5583" w:rsidRPr="008127F8" w14:paraId="3CEEDE2A" w14:textId="77777777" w:rsidTr="004C5D62">
        <w:tc>
          <w:tcPr>
            <w:tcW w:w="2952" w:type="dxa"/>
          </w:tcPr>
          <w:p w14:paraId="7CEB61B0"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НКЗдрав</w:t>
            </w:r>
          </w:p>
        </w:tc>
        <w:tc>
          <w:tcPr>
            <w:tcW w:w="2952" w:type="dxa"/>
          </w:tcPr>
          <w:p w14:paraId="6D0F9652"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 Сакко и Ванцетти</w:t>
            </w:r>
          </w:p>
        </w:tc>
        <w:tc>
          <w:tcPr>
            <w:tcW w:w="4836" w:type="dxa"/>
          </w:tcPr>
          <w:p w14:paraId="0A06AB86"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Сталинград</w:t>
            </w:r>
          </w:p>
        </w:tc>
      </w:tr>
      <w:tr w:rsidR="007C5583" w:rsidRPr="008127F8" w14:paraId="1BFB2A14" w14:textId="77777777" w:rsidTr="004C5D62">
        <w:tc>
          <w:tcPr>
            <w:tcW w:w="2952" w:type="dxa"/>
          </w:tcPr>
          <w:p w14:paraId="32CDCAB9"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НКТМ</w:t>
            </w:r>
          </w:p>
        </w:tc>
        <w:tc>
          <w:tcPr>
            <w:tcW w:w="2952" w:type="dxa"/>
          </w:tcPr>
          <w:p w14:paraId="1BE6F067"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 Куйбышева</w:t>
            </w:r>
          </w:p>
        </w:tc>
        <w:tc>
          <w:tcPr>
            <w:tcW w:w="4836" w:type="dxa"/>
          </w:tcPr>
          <w:p w14:paraId="05A1670E"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Иркутск</w:t>
            </w:r>
          </w:p>
        </w:tc>
      </w:tr>
      <w:tr w:rsidR="007C5583" w:rsidRPr="008127F8" w14:paraId="1CB02CD8" w14:textId="77777777" w:rsidTr="004C5D62">
        <w:tc>
          <w:tcPr>
            <w:tcW w:w="2952" w:type="dxa"/>
          </w:tcPr>
          <w:p w14:paraId="0D89F844"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НКТМ</w:t>
            </w:r>
          </w:p>
        </w:tc>
        <w:tc>
          <w:tcPr>
            <w:tcW w:w="2952" w:type="dxa"/>
          </w:tcPr>
          <w:p w14:paraId="0106089F"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Красный Профинтерн</w:t>
            </w:r>
          </w:p>
        </w:tc>
        <w:tc>
          <w:tcPr>
            <w:tcW w:w="4836" w:type="dxa"/>
          </w:tcPr>
          <w:p w14:paraId="5F856CEA"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Красноярск</w:t>
            </w:r>
          </w:p>
        </w:tc>
      </w:tr>
      <w:tr w:rsidR="007C5583" w:rsidRPr="008127F8" w14:paraId="16449167" w14:textId="77777777" w:rsidTr="004C5D62">
        <w:tc>
          <w:tcPr>
            <w:tcW w:w="2952" w:type="dxa"/>
          </w:tcPr>
          <w:p w14:paraId="2DB525A0"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НКПП</w:t>
            </w:r>
          </w:p>
        </w:tc>
        <w:tc>
          <w:tcPr>
            <w:tcW w:w="2952" w:type="dxa"/>
          </w:tcPr>
          <w:p w14:paraId="197125B9"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 Дзержинского</w:t>
            </w:r>
          </w:p>
        </w:tc>
        <w:tc>
          <w:tcPr>
            <w:tcW w:w="4836" w:type="dxa"/>
          </w:tcPr>
          <w:p w14:paraId="24C0DF55"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Ереван</w:t>
            </w:r>
          </w:p>
        </w:tc>
      </w:tr>
      <w:tr w:rsidR="007C5583" w:rsidRPr="008127F8" w14:paraId="5B717408" w14:textId="77777777" w:rsidTr="004C5D62">
        <w:tc>
          <w:tcPr>
            <w:tcW w:w="2952" w:type="dxa"/>
          </w:tcPr>
          <w:p w14:paraId="5F8AE7DF"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НКАТ Груз. ССР</w:t>
            </w:r>
          </w:p>
        </w:tc>
        <w:tc>
          <w:tcPr>
            <w:tcW w:w="2952" w:type="dxa"/>
          </w:tcPr>
          <w:p w14:paraId="6EEE2C7A"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Авторемонтный завод</w:t>
            </w:r>
          </w:p>
        </w:tc>
        <w:tc>
          <w:tcPr>
            <w:tcW w:w="4836" w:type="dxa"/>
          </w:tcPr>
          <w:p w14:paraId="422D35B0"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Тбилиси</w:t>
            </w:r>
          </w:p>
        </w:tc>
      </w:tr>
      <w:tr w:rsidR="007C5583" w:rsidRPr="008127F8" w14:paraId="0033E4F5" w14:textId="77777777" w:rsidTr="004C5D62">
        <w:tc>
          <w:tcPr>
            <w:tcW w:w="2952" w:type="dxa"/>
          </w:tcPr>
          <w:p w14:paraId="2A7D419B"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НКНП</w:t>
            </w:r>
          </w:p>
        </w:tc>
        <w:tc>
          <w:tcPr>
            <w:tcW w:w="2952" w:type="dxa"/>
          </w:tcPr>
          <w:p w14:paraId="224AA3F6"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 Буденного</w:t>
            </w:r>
          </w:p>
        </w:tc>
        <w:tc>
          <w:tcPr>
            <w:tcW w:w="4836" w:type="dxa"/>
          </w:tcPr>
          <w:p w14:paraId="2480E73D"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Баку</w:t>
            </w:r>
          </w:p>
        </w:tc>
      </w:tr>
      <w:tr w:rsidR="007C5583" w:rsidRPr="008127F8" w14:paraId="69AF00F0" w14:textId="77777777" w:rsidTr="004C5D62">
        <w:tc>
          <w:tcPr>
            <w:tcW w:w="2952" w:type="dxa"/>
            <w:tcBorders>
              <w:bottom w:val="single" w:sz="12" w:space="0" w:color="auto"/>
            </w:tcBorders>
          </w:tcPr>
          <w:p w14:paraId="61E33DA7"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НКНП</w:t>
            </w:r>
          </w:p>
        </w:tc>
        <w:tc>
          <w:tcPr>
            <w:tcW w:w="2952" w:type="dxa"/>
            <w:tcBorders>
              <w:bottom w:val="single" w:sz="12" w:space="0" w:color="auto"/>
            </w:tcBorders>
          </w:tcPr>
          <w:p w14:paraId="65C127C7"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 Кирова</w:t>
            </w:r>
          </w:p>
        </w:tc>
        <w:tc>
          <w:tcPr>
            <w:tcW w:w="4836" w:type="dxa"/>
            <w:tcBorders>
              <w:bottom w:val="single" w:sz="12" w:space="0" w:color="auto"/>
            </w:tcBorders>
          </w:tcPr>
          <w:p w14:paraId="3E1FEC0A"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Баку</w:t>
            </w:r>
          </w:p>
        </w:tc>
      </w:tr>
    </w:tbl>
    <w:p w14:paraId="79C3F81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2.82 мм батальонный миномет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7C5583" w:rsidRPr="008127F8" w14:paraId="0A4B5F6D" w14:textId="77777777" w:rsidTr="004C5D62">
        <w:tc>
          <w:tcPr>
            <w:tcW w:w="2952" w:type="dxa"/>
            <w:tcBorders>
              <w:top w:val="single" w:sz="12" w:space="0" w:color="auto"/>
            </w:tcBorders>
          </w:tcPr>
          <w:p w14:paraId="6E1067D5"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НКМВ</w:t>
            </w:r>
          </w:p>
        </w:tc>
        <w:tc>
          <w:tcPr>
            <w:tcW w:w="2952" w:type="dxa"/>
            <w:tcBorders>
              <w:top w:val="single" w:sz="12" w:space="0" w:color="auto"/>
            </w:tcBorders>
          </w:tcPr>
          <w:p w14:paraId="066C577C"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808</w:t>
            </w:r>
          </w:p>
        </w:tc>
        <w:tc>
          <w:tcPr>
            <w:tcW w:w="2952" w:type="dxa"/>
            <w:tcBorders>
              <w:top w:val="single" w:sz="12" w:space="0" w:color="auto"/>
            </w:tcBorders>
          </w:tcPr>
          <w:p w14:paraId="0564E254"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Полиграфмаш Рыбинск</w:t>
            </w:r>
          </w:p>
        </w:tc>
      </w:tr>
      <w:tr w:rsidR="007C5583" w:rsidRPr="008127F8" w14:paraId="1788D18F" w14:textId="77777777" w:rsidTr="004C5D62">
        <w:tc>
          <w:tcPr>
            <w:tcW w:w="2952" w:type="dxa"/>
          </w:tcPr>
          <w:p w14:paraId="089880D6"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НКМВ</w:t>
            </w:r>
          </w:p>
        </w:tc>
        <w:tc>
          <w:tcPr>
            <w:tcW w:w="2952" w:type="dxa"/>
          </w:tcPr>
          <w:p w14:paraId="5D9359F9"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Ташсельмаш</w:t>
            </w:r>
          </w:p>
        </w:tc>
        <w:tc>
          <w:tcPr>
            <w:tcW w:w="2952" w:type="dxa"/>
          </w:tcPr>
          <w:p w14:paraId="78EF8330"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Ташкент</w:t>
            </w:r>
          </w:p>
        </w:tc>
      </w:tr>
      <w:tr w:rsidR="007C5583" w:rsidRPr="008127F8" w14:paraId="419C95B9" w14:textId="77777777" w:rsidTr="004C5D62">
        <w:tc>
          <w:tcPr>
            <w:tcW w:w="2952" w:type="dxa"/>
          </w:tcPr>
          <w:p w14:paraId="76DC1E02"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НКМВ</w:t>
            </w:r>
          </w:p>
        </w:tc>
        <w:tc>
          <w:tcPr>
            <w:tcW w:w="2952" w:type="dxa"/>
          </w:tcPr>
          <w:p w14:paraId="7578225E"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760</w:t>
            </w:r>
          </w:p>
        </w:tc>
        <w:tc>
          <w:tcPr>
            <w:tcW w:w="2952" w:type="dxa"/>
          </w:tcPr>
          <w:p w14:paraId="1CCB62DE"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Минометный Свердловск</w:t>
            </w:r>
          </w:p>
        </w:tc>
      </w:tr>
      <w:tr w:rsidR="007C5583" w:rsidRPr="008127F8" w14:paraId="421ADC89" w14:textId="77777777" w:rsidTr="004C5D62">
        <w:tc>
          <w:tcPr>
            <w:tcW w:w="2952" w:type="dxa"/>
          </w:tcPr>
          <w:p w14:paraId="2F28A117"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НКМВ</w:t>
            </w:r>
          </w:p>
        </w:tc>
        <w:tc>
          <w:tcPr>
            <w:tcW w:w="2952" w:type="dxa"/>
          </w:tcPr>
          <w:p w14:paraId="44B8C2C0"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740</w:t>
            </w:r>
          </w:p>
        </w:tc>
        <w:tc>
          <w:tcPr>
            <w:tcW w:w="2952" w:type="dxa"/>
          </w:tcPr>
          <w:p w14:paraId="7F141FF4"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Пенза</w:t>
            </w:r>
          </w:p>
        </w:tc>
      </w:tr>
      <w:tr w:rsidR="007C5583" w:rsidRPr="008127F8" w14:paraId="0EA5110D" w14:textId="77777777" w:rsidTr="004C5D62">
        <w:tc>
          <w:tcPr>
            <w:tcW w:w="2952" w:type="dxa"/>
          </w:tcPr>
          <w:p w14:paraId="1B8B4837"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НКМВ</w:t>
            </w:r>
          </w:p>
        </w:tc>
        <w:tc>
          <w:tcPr>
            <w:tcW w:w="2952" w:type="dxa"/>
          </w:tcPr>
          <w:p w14:paraId="495E34A8"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707</w:t>
            </w:r>
          </w:p>
        </w:tc>
        <w:tc>
          <w:tcPr>
            <w:tcW w:w="2952" w:type="dxa"/>
          </w:tcPr>
          <w:p w14:paraId="3E16E03B"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Уралсельмаш Курган</w:t>
            </w:r>
          </w:p>
        </w:tc>
      </w:tr>
      <w:tr w:rsidR="007C5583" w:rsidRPr="008127F8" w14:paraId="46EDCC7B" w14:textId="77777777" w:rsidTr="004C5D62">
        <w:tc>
          <w:tcPr>
            <w:tcW w:w="2952" w:type="dxa"/>
          </w:tcPr>
          <w:p w14:paraId="6D8BDC7D"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НКМВ</w:t>
            </w:r>
          </w:p>
        </w:tc>
        <w:tc>
          <w:tcPr>
            <w:tcW w:w="2952" w:type="dxa"/>
          </w:tcPr>
          <w:p w14:paraId="29968D2A"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806</w:t>
            </w:r>
          </w:p>
        </w:tc>
        <w:tc>
          <w:tcPr>
            <w:tcW w:w="2952" w:type="dxa"/>
          </w:tcPr>
          <w:p w14:paraId="0FB25183"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Минометный Кунгур</w:t>
            </w:r>
          </w:p>
        </w:tc>
      </w:tr>
      <w:tr w:rsidR="007C5583" w:rsidRPr="008127F8" w14:paraId="2D7985DE" w14:textId="77777777" w:rsidTr="004C5D62">
        <w:tc>
          <w:tcPr>
            <w:tcW w:w="2952" w:type="dxa"/>
          </w:tcPr>
          <w:p w14:paraId="2BCA65DF"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НКВ</w:t>
            </w:r>
          </w:p>
        </w:tc>
        <w:tc>
          <w:tcPr>
            <w:tcW w:w="2952" w:type="dxa"/>
          </w:tcPr>
          <w:p w14:paraId="0EB2F807"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13</w:t>
            </w:r>
          </w:p>
        </w:tc>
        <w:tc>
          <w:tcPr>
            <w:tcW w:w="2952" w:type="dxa"/>
          </w:tcPr>
          <w:p w14:paraId="02E1DA1F"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Усть-Катав</w:t>
            </w:r>
          </w:p>
        </w:tc>
      </w:tr>
      <w:tr w:rsidR="007C5583" w:rsidRPr="008127F8" w14:paraId="251AEB99" w14:textId="77777777" w:rsidTr="004C5D62">
        <w:tc>
          <w:tcPr>
            <w:tcW w:w="2952" w:type="dxa"/>
          </w:tcPr>
          <w:p w14:paraId="2A116EBE"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НКСМ</w:t>
            </w:r>
          </w:p>
        </w:tc>
        <w:tc>
          <w:tcPr>
            <w:tcW w:w="2952" w:type="dxa"/>
          </w:tcPr>
          <w:p w14:paraId="79D23860"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 Молотова</w:t>
            </w:r>
          </w:p>
        </w:tc>
        <w:tc>
          <w:tcPr>
            <w:tcW w:w="2952" w:type="dxa"/>
          </w:tcPr>
          <w:p w14:paraId="10C9B469"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Горький</w:t>
            </w:r>
          </w:p>
        </w:tc>
      </w:tr>
      <w:tr w:rsidR="007C5583" w:rsidRPr="008127F8" w14:paraId="2ACD4296" w14:textId="77777777" w:rsidTr="004C5D62">
        <w:tc>
          <w:tcPr>
            <w:tcW w:w="2952" w:type="dxa"/>
          </w:tcPr>
          <w:p w14:paraId="14CD230D"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НКСМ</w:t>
            </w:r>
          </w:p>
        </w:tc>
        <w:tc>
          <w:tcPr>
            <w:tcW w:w="2952" w:type="dxa"/>
          </w:tcPr>
          <w:p w14:paraId="1CC674BA"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 Сталина</w:t>
            </w:r>
          </w:p>
        </w:tc>
        <w:tc>
          <w:tcPr>
            <w:tcW w:w="2952" w:type="dxa"/>
          </w:tcPr>
          <w:p w14:paraId="0478D698"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r>
      <w:tr w:rsidR="007C5583" w:rsidRPr="008127F8" w14:paraId="2DDE42BA" w14:textId="77777777" w:rsidTr="004C5D62">
        <w:tc>
          <w:tcPr>
            <w:tcW w:w="2952" w:type="dxa"/>
          </w:tcPr>
          <w:p w14:paraId="1F804544"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НКПС</w:t>
            </w:r>
          </w:p>
        </w:tc>
        <w:tc>
          <w:tcPr>
            <w:tcW w:w="2952" w:type="dxa"/>
          </w:tcPr>
          <w:p w14:paraId="16EE1434"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Красноярский ПРЗ</w:t>
            </w:r>
          </w:p>
        </w:tc>
        <w:tc>
          <w:tcPr>
            <w:tcW w:w="2952" w:type="dxa"/>
          </w:tcPr>
          <w:p w14:paraId="4689C1D7"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Красноярск</w:t>
            </w:r>
          </w:p>
        </w:tc>
      </w:tr>
      <w:tr w:rsidR="007C5583" w:rsidRPr="008127F8" w14:paraId="54BA19AF" w14:textId="77777777" w:rsidTr="004C5D62">
        <w:tc>
          <w:tcPr>
            <w:tcW w:w="2952" w:type="dxa"/>
          </w:tcPr>
          <w:p w14:paraId="42B2A972"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НКПС</w:t>
            </w:r>
          </w:p>
        </w:tc>
        <w:tc>
          <w:tcPr>
            <w:tcW w:w="2952" w:type="dxa"/>
          </w:tcPr>
          <w:p w14:paraId="5B1B4604"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Ковровский машзавод</w:t>
            </w:r>
          </w:p>
        </w:tc>
        <w:tc>
          <w:tcPr>
            <w:tcW w:w="2952" w:type="dxa"/>
          </w:tcPr>
          <w:p w14:paraId="4059EBDB"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Ковров</w:t>
            </w:r>
          </w:p>
        </w:tc>
      </w:tr>
      <w:tr w:rsidR="007C5583" w:rsidRPr="008127F8" w14:paraId="7E518C3F" w14:textId="77777777" w:rsidTr="004C5D62">
        <w:tc>
          <w:tcPr>
            <w:tcW w:w="2952" w:type="dxa"/>
          </w:tcPr>
          <w:p w14:paraId="02782259"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НКПС</w:t>
            </w:r>
          </w:p>
        </w:tc>
        <w:tc>
          <w:tcPr>
            <w:tcW w:w="2952" w:type="dxa"/>
          </w:tcPr>
          <w:p w14:paraId="55CA66A7"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Паровозоремонтный завод</w:t>
            </w:r>
          </w:p>
        </w:tc>
        <w:tc>
          <w:tcPr>
            <w:tcW w:w="2952" w:type="dxa"/>
          </w:tcPr>
          <w:p w14:paraId="50D108F5"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Тбилиси</w:t>
            </w:r>
          </w:p>
        </w:tc>
      </w:tr>
      <w:tr w:rsidR="007C5583" w:rsidRPr="008127F8" w14:paraId="72772D80" w14:textId="77777777" w:rsidTr="004C5D62">
        <w:tc>
          <w:tcPr>
            <w:tcW w:w="2952" w:type="dxa"/>
          </w:tcPr>
          <w:p w14:paraId="197E46A6"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НКПС</w:t>
            </w:r>
          </w:p>
        </w:tc>
        <w:tc>
          <w:tcPr>
            <w:tcW w:w="2952" w:type="dxa"/>
          </w:tcPr>
          <w:p w14:paraId="1C69083A"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Паровозоремонтный завод</w:t>
            </w:r>
          </w:p>
        </w:tc>
        <w:tc>
          <w:tcPr>
            <w:tcW w:w="2952" w:type="dxa"/>
          </w:tcPr>
          <w:p w14:paraId="046D5C36"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Вологда</w:t>
            </w:r>
          </w:p>
        </w:tc>
      </w:tr>
      <w:tr w:rsidR="007C5583" w:rsidRPr="008127F8" w14:paraId="45F415D7" w14:textId="77777777" w:rsidTr="004C5D62">
        <w:tc>
          <w:tcPr>
            <w:tcW w:w="2952" w:type="dxa"/>
          </w:tcPr>
          <w:p w14:paraId="611975F1"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НКУП</w:t>
            </w:r>
          </w:p>
        </w:tc>
        <w:tc>
          <w:tcPr>
            <w:tcW w:w="2952" w:type="dxa"/>
          </w:tcPr>
          <w:p w14:paraId="28CE94DD"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Машиностроительный им. Кирова</w:t>
            </w:r>
          </w:p>
        </w:tc>
        <w:tc>
          <w:tcPr>
            <w:tcW w:w="2952" w:type="dxa"/>
          </w:tcPr>
          <w:p w14:paraId="1831B4DC"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Копейск</w:t>
            </w:r>
          </w:p>
        </w:tc>
      </w:tr>
      <w:tr w:rsidR="007C5583" w:rsidRPr="008127F8" w14:paraId="588F44DB" w14:textId="77777777" w:rsidTr="004C5D62">
        <w:tc>
          <w:tcPr>
            <w:tcW w:w="2952" w:type="dxa"/>
          </w:tcPr>
          <w:p w14:paraId="3FF6C29B"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НКНП</w:t>
            </w:r>
          </w:p>
        </w:tc>
        <w:tc>
          <w:tcPr>
            <w:tcW w:w="2952" w:type="dxa"/>
          </w:tcPr>
          <w:p w14:paraId="7894848E"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Красный молот</w:t>
            </w:r>
          </w:p>
        </w:tc>
        <w:tc>
          <w:tcPr>
            <w:tcW w:w="2952" w:type="dxa"/>
          </w:tcPr>
          <w:p w14:paraId="74AE2A07"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Грозный</w:t>
            </w:r>
          </w:p>
        </w:tc>
      </w:tr>
      <w:tr w:rsidR="007C5583" w:rsidRPr="008127F8" w14:paraId="4DBFB520" w14:textId="77777777" w:rsidTr="004C5D62">
        <w:tc>
          <w:tcPr>
            <w:tcW w:w="2952" w:type="dxa"/>
          </w:tcPr>
          <w:p w14:paraId="0B515835"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НКАП</w:t>
            </w:r>
          </w:p>
        </w:tc>
        <w:tc>
          <w:tcPr>
            <w:tcW w:w="2952" w:type="dxa"/>
          </w:tcPr>
          <w:p w14:paraId="4AB1AA24"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444</w:t>
            </w:r>
          </w:p>
        </w:tc>
        <w:tc>
          <w:tcPr>
            <w:tcW w:w="2952" w:type="dxa"/>
          </w:tcPr>
          <w:p w14:paraId="1CD90C75"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Воронеж</w:t>
            </w:r>
          </w:p>
        </w:tc>
      </w:tr>
      <w:tr w:rsidR="007C5583" w:rsidRPr="008127F8" w14:paraId="472CA228" w14:textId="77777777" w:rsidTr="004C5D62">
        <w:tc>
          <w:tcPr>
            <w:tcW w:w="2952" w:type="dxa"/>
            <w:tcBorders>
              <w:bottom w:val="single" w:sz="12" w:space="0" w:color="auto"/>
            </w:tcBorders>
          </w:tcPr>
          <w:p w14:paraId="4E94778C"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НКТМ</w:t>
            </w:r>
          </w:p>
        </w:tc>
        <w:tc>
          <w:tcPr>
            <w:tcW w:w="2952" w:type="dxa"/>
            <w:tcBorders>
              <w:bottom w:val="single" w:sz="12" w:space="0" w:color="auto"/>
            </w:tcBorders>
          </w:tcPr>
          <w:p w14:paraId="30BB176B"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 Октябрьской революции</w:t>
            </w:r>
          </w:p>
        </w:tc>
        <w:tc>
          <w:tcPr>
            <w:tcW w:w="2952" w:type="dxa"/>
            <w:tcBorders>
              <w:bottom w:val="single" w:sz="12" w:space="0" w:color="auto"/>
            </w:tcBorders>
          </w:tcPr>
          <w:p w14:paraId="147E2A62"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Ворошиловград</w:t>
            </w:r>
          </w:p>
        </w:tc>
      </w:tr>
    </w:tbl>
    <w:p w14:paraId="1655A6F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107 мм горно-вьючный миномет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7C5583" w:rsidRPr="008127F8" w14:paraId="4AF2270A" w14:textId="77777777" w:rsidTr="004C5D62">
        <w:tc>
          <w:tcPr>
            <w:tcW w:w="2952" w:type="dxa"/>
            <w:tcBorders>
              <w:top w:val="single" w:sz="12" w:space="0" w:color="auto"/>
              <w:bottom w:val="single" w:sz="12" w:space="0" w:color="auto"/>
            </w:tcBorders>
          </w:tcPr>
          <w:p w14:paraId="6EF3CBD7"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НКТМ</w:t>
            </w:r>
          </w:p>
        </w:tc>
        <w:tc>
          <w:tcPr>
            <w:tcW w:w="2952" w:type="dxa"/>
            <w:tcBorders>
              <w:top w:val="single" w:sz="12" w:space="0" w:color="auto"/>
              <w:bottom w:val="single" w:sz="12" w:space="0" w:color="auto"/>
            </w:tcBorders>
          </w:tcPr>
          <w:p w14:paraId="19DFDD16"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 Куйбышева</w:t>
            </w:r>
          </w:p>
        </w:tc>
        <w:tc>
          <w:tcPr>
            <w:tcW w:w="2952" w:type="dxa"/>
            <w:tcBorders>
              <w:top w:val="single" w:sz="12" w:space="0" w:color="auto"/>
              <w:bottom w:val="single" w:sz="12" w:space="0" w:color="auto"/>
            </w:tcBorders>
          </w:tcPr>
          <w:p w14:paraId="3C3150B6"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Иркутск</w:t>
            </w:r>
          </w:p>
        </w:tc>
      </w:tr>
    </w:tbl>
    <w:p w14:paraId="46D08B11"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4.120 мм полковой миномет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7C5583" w:rsidRPr="008127F8" w14:paraId="40C72CF4" w14:textId="77777777" w:rsidTr="004C5D62">
        <w:tc>
          <w:tcPr>
            <w:tcW w:w="2952" w:type="dxa"/>
            <w:tcBorders>
              <w:top w:val="single" w:sz="12" w:space="0" w:color="auto"/>
            </w:tcBorders>
          </w:tcPr>
          <w:p w14:paraId="4973DC3F"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НКМВ</w:t>
            </w:r>
          </w:p>
        </w:tc>
        <w:tc>
          <w:tcPr>
            <w:tcW w:w="2952" w:type="dxa"/>
            <w:tcBorders>
              <w:top w:val="single" w:sz="12" w:space="0" w:color="auto"/>
            </w:tcBorders>
          </w:tcPr>
          <w:p w14:paraId="7CD54B41"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718</w:t>
            </w:r>
          </w:p>
        </w:tc>
        <w:tc>
          <w:tcPr>
            <w:tcW w:w="2952" w:type="dxa"/>
            <w:tcBorders>
              <w:top w:val="single" w:sz="12" w:space="0" w:color="auto"/>
            </w:tcBorders>
          </w:tcPr>
          <w:p w14:paraId="1DB4EBCF"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Двигатель Революции Горький</w:t>
            </w:r>
          </w:p>
        </w:tc>
      </w:tr>
      <w:tr w:rsidR="007C5583" w:rsidRPr="008127F8" w14:paraId="7BF42ABA" w14:textId="77777777" w:rsidTr="004C5D62">
        <w:tc>
          <w:tcPr>
            <w:tcW w:w="2952" w:type="dxa"/>
          </w:tcPr>
          <w:p w14:paraId="341474CB"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НКМВ</w:t>
            </w:r>
          </w:p>
        </w:tc>
        <w:tc>
          <w:tcPr>
            <w:tcW w:w="2952" w:type="dxa"/>
          </w:tcPr>
          <w:p w14:paraId="0FD155A8"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Уралхимтяжмаш</w:t>
            </w:r>
          </w:p>
        </w:tc>
        <w:tc>
          <w:tcPr>
            <w:tcW w:w="2952" w:type="dxa"/>
          </w:tcPr>
          <w:p w14:paraId="6CCFD390"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Свердловск</w:t>
            </w:r>
          </w:p>
        </w:tc>
      </w:tr>
      <w:tr w:rsidR="007C5583" w:rsidRPr="008127F8" w14:paraId="4E01490D" w14:textId="77777777" w:rsidTr="004C5D62">
        <w:tc>
          <w:tcPr>
            <w:tcW w:w="2952" w:type="dxa"/>
          </w:tcPr>
          <w:p w14:paraId="611825AB"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НКМВ</w:t>
            </w:r>
          </w:p>
        </w:tc>
        <w:tc>
          <w:tcPr>
            <w:tcW w:w="2952" w:type="dxa"/>
          </w:tcPr>
          <w:p w14:paraId="7669F3F3"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720 им. Калинина</w:t>
            </w:r>
          </w:p>
        </w:tc>
        <w:tc>
          <w:tcPr>
            <w:tcW w:w="2952" w:type="dxa"/>
          </w:tcPr>
          <w:p w14:paraId="59C0A185"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r>
      <w:tr w:rsidR="007C5583" w:rsidRPr="008127F8" w14:paraId="23DC9B8B" w14:textId="77777777" w:rsidTr="004C5D62">
        <w:tc>
          <w:tcPr>
            <w:tcW w:w="2952" w:type="dxa"/>
          </w:tcPr>
          <w:p w14:paraId="225C5A7B"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НКМВ</w:t>
            </w:r>
          </w:p>
        </w:tc>
        <w:tc>
          <w:tcPr>
            <w:tcW w:w="2952" w:type="dxa"/>
          </w:tcPr>
          <w:p w14:paraId="4C07E398"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 Фрунзе</w:t>
            </w:r>
          </w:p>
        </w:tc>
        <w:tc>
          <w:tcPr>
            <w:tcW w:w="2952" w:type="dxa"/>
          </w:tcPr>
          <w:p w14:paraId="65B31FEC"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Чирчик</w:t>
            </w:r>
          </w:p>
        </w:tc>
      </w:tr>
      <w:tr w:rsidR="007C5583" w:rsidRPr="008127F8" w14:paraId="64F7B011" w14:textId="77777777" w:rsidTr="004C5D62">
        <w:tc>
          <w:tcPr>
            <w:tcW w:w="2952" w:type="dxa"/>
          </w:tcPr>
          <w:p w14:paraId="6147F22B"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НКВ</w:t>
            </w:r>
          </w:p>
        </w:tc>
        <w:tc>
          <w:tcPr>
            <w:tcW w:w="2952" w:type="dxa"/>
          </w:tcPr>
          <w:p w14:paraId="20225130"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221</w:t>
            </w:r>
          </w:p>
        </w:tc>
        <w:tc>
          <w:tcPr>
            <w:tcW w:w="2952" w:type="dxa"/>
          </w:tcPr>
          <w:p w14:paraId="5F9151B0"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Сталинград</w:t>
            </w:r>
          </w:p>
        </w:tc>
      </w:tr>
      <w:tr w:rsidR="007C5583" w:rsidRPr="008127F8" w14:paraId="4CE5D9EB" w14:textId="77777777" w:rsidTr="004C5D62">
        <w:tc>
          <w:tcPr>
            <w:tcW w:w="2952" w:type="dxa"/>
          </w:tcPr>
          <w:p w14:paraId="0D2A61EF"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НКВ</w:t>
            </w:r>
          </w:p>
        </w:tc>
        <w:tc>
          <w:tcPr>
            <w:tcW w:w="2952" w:type="dxa"/>
          </w:tcPr>
          <w:p w14:paraId="2DFBB490"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4</w:t>
            </w:r>
          </w:p>
        </w:tc>
        <w:tc>
          <w:tcPr>
            <w:tcW w:w="2952" w:type="dxa"/>
          </w:tcPr>
          <w:p w14:paraId="2C4ACEA2"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Красноярск</w:t>
            </w:r>
          </w:p>
        </w:tc>
      </w:tr>
      <w:tr w:rsidR="007C5583" w:rsidRPr="008127F8" w14:paraId="43B0DE82" w14:textId="77777777" w:rsidTr="004C5D62">
        <w:tc>
          <w:tcPr>
            <w:tcW w:w="2952" w:type="dxa"/>
          </w:tcPr>
          <w:p w14:paraId="28E5E7A3"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НКВ</w:t>
            </w:r>
          </w:p>
        </w:tc>
        <w:tc>
          <w:tcPr>
            <w:tcW w:w="2952" w:type="dxa"/>
          </w:tcPr>
          <w:p w14:paraId="16F414D6"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535</w:t>
            </w:r>
          </w:p>
        </w:tc>
        <w:tc>
          <w:tcPr>
            <w:tcW w:w="2952" w:type="dxa"/>
          </w:tcPr>
          <w:p w14:paraId="2CD00732"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Тула</w:t>
            </w:r>
          </w:p>
        </w:tc>
      </w:tr>
      <w:tr w:rsidR="007C5583" w:rsidRPr="008127F8" w14:paraId="7A036F3E" w14:textId="77777777" w:rsidTr="004C5D62">
        <w:tc>
          <w:tcPr>
            <w:tcW w:w="2952" w:type="dxa"/>
          </w:tcPr>
          <w:p w14:paraId="7354F6CB"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НКВ</w:t>
            </w:r>
          </w:p>
        </w:tc>
        <w:tc>
          <w:tcPr>
            <w:tcW w:w="2952" w:type="dxa"/>
          </w:tcPr>
          <w:p w14:paraId="1D8CB439"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106</w:t>
            </w:r>
          </w:p>
        </w:tc>
        <w:tc>
          <w:tcPr>
            <w:tcW w:w="2952" w:type="dxa"/>
          </w:tcPr>
          <w:p w14:paraId="39EAA688"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Хабаровск</w:t>
            </w:r>
          </w:p>
        </w:tc>
      </w:tr>
      <w:tr w:rsidR="007C5583" w:rsidRPr="008127F8" w14:paraId="4B1510DA" w14:textId="77777777" w:rsidTr="004C5D62">
        <w:tc>
          <w:tcPr>
            <w:tcW w:w="2952" w:type="dxa"/>
          </w:tcPr>
          <w:p w14:paraId="70CF946F"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НКТМ</w:t>
            </w:r>
          </w:p>
        </w:tc>
        <w:tc>
          <w:tcPr>
            <w:tcW w:w="2952" w:type="dxa"/>
          </w:tcPr>
          <w:p w14:paraId="667E4A5A"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Коммунист</w:t>
            </w:r>
          </w:p>
        </w:tc>
        <w:tc>
          <w:tcPr>
            <w:tcW w:w="2952" w:type="dxa"/>
          </w:tcPr>
          <w:p w14:paraId="15F74B6B"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Маркс Саратовской обл.</w:t>
            </w:r>
          </w:p>
        </w:tc>
      </w:tr>
      <w:tr w:rsidR="007C5583" w:rsidRPr="008127F8" w14:paraId="3B87DB43" w14:textId="77777777" w:rsidTr="004C5D62">
        <w:tc>
          <w:tcPr>
            <w:tcW w:w="2952" w:type="dxa"/>
          </w:tcPr>
          <w:p w14:paraId="023451E4"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НКПС</w:t>
            </w:r>
          </w:p>
        </w:tc>
        <w:tc>
          <w:tcPr>
            <w:tcW w:w="2952" w:type="dxa"/>
          </w:tcPr>
          <w:p w14:paraId="2C365160"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Паровозоремонтный завод</w:t>
            </w:r>
          </w:p>
        </w:tc>
        <w:tc>
          <w:tcPr>
            <w:tcW w:w="2952" w:type="dxa"/>
          </w:tcPr>
          <w:p w14:paraId="3ADC9689"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Улан-Удэ</w:t>
            </w:r>
          </w:p>
        </w:tc>
      </w:tr>
      <w:tr w:rsidR="007C5583" w:rsidRPr="008127F8" w14:paraId="4648D5A8" w14:textId="77777777" w:rsidTr="004C5D62">
        <w:tc>
          <w:tcPr>
            <w:tcW w:w="2952" w:type="dxa"/>
            <w:tcBorders>
              <w:bottom w:val="single" w:sz="12" w:space="0" w:color="auto"/>
            </w:tcBorders>
          </w:tcPr>
          <w:p w14:paraId="65F37CD8"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НКЭП</w:t>
            </w:r>
          </w:p>
        </w:tc>
        <w:tc>
          <w:tcPr>
            <w:tcW w:w="2952" w:type="dxa"/>
            <w:tcBorders>
              <w:bottom w:val="single" w:sz="12" w:space="0" w:color="auto"/>
            </w:tcBorders>
          </w:tcPr>
          <w:p w14:paraId="49094CB3"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Динамо</w:t>
            </w:r>
          </w:p>
        </w:tc>
        <w:tc>
          <w:tcPr>
            <w:tcW w:w="2952" w:type="dxa"/>
            <w:tcBorders>
              <w:bottom w:val="single" w:sz="12" w:space="0" w:color="auto"/>
            </w:tcBorders>
          </w:tcPr>
          <w:p w14:paraId="04D04DE4" w14:textId="77777777" w:rsidR="007C5583" w:rsidRPr="008127F8" w:rsidRDefault="007C5583" w:rsidP="004C5D62">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w:t>
            </w:r>
          </w:p>
        </w:tc>
      </w:tr>
    </w:tbl>
    <w:p w14:paraId="73395FDA" w14:textId="77777777" w:rsidR="007C5583" w:rsidRPr="008127F8" w:rsidRDefault="007C5583" w:rsidP="007C5583">
      <w:pPr>
        <w:widowControl w:val="0"/>
        <w:tabs>
          <w:tab w:val="left" w:pos="21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(5894, 134-135).</w:t>
      </w:r>
    </w:p>
    <w:p w14:paraId="7B1F1585" w14:textId="77777777" w:rsidR="007C5583" w:rsidRPr="008127F8" w:rsidRDefault="007C5583" w:rsidP="007C5583">
      <w:pPr>
        <w:widowControl w:val="0"/>
        <w:tabs>
          <w:tab w:val="left" w:pos="21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897BB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июня 1942 года Нарком танковой промышленности В. А. Малышев подписал приказ за номером 440сс (РГАЭ. Ф. 8752. Оп. 4. Д.90. Л. 162) . Этот приказ констатировал продолжающийся поток сообщений из Красной Армии о трещинах в броне и требовал восстановить процедуру низкого отпуска для бронекорпусов на всех изготавливающих их предприятиях НКТП. Приказ требовал от предприятий немедленно начать строительство новых термопечей и к 1 сентября 1942 года иметь их достаточно для того, чтобы осуществлять полноценную термообработку всех бронекорпусов (12290).</w:t>
      </w:r>
    </w:p>
    <w:p w14:paraId="1F5CD53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76C1A1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10 июня 1942 года вышел приказ № 447с НКТП</w:t>
      </w:r>
    </w:p>
    <w:p w14:paraId="1932856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исполнение Постановления ГОКО № 1870сс от 5 июня 1942 года и во изменение приказа НКТП за № 62сс от 7 декабря 1941 года:</w:t>
      </w:r>
    </w:p>
    <w:p w14:paraId="42359DF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Директору завода танковых дизелей в Барнауле Полиновскому:</w:t>
      </w:r>
    </w:p>
    <w:p w14:paraId="1DF9A76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Обеспечить пуск завода в октябре 1942 года (2126, 248).</w:t>
      </w:r>
    </w:p>
    <w:p w14:paraId="0D980DB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53ADA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июня 1942 вышло Постановление ГКО № 1906 Об улучшении путевого хозяйства железных дорог. (7038, 170-180,181-182).</w:t>
      </w:r>
    </w:p>
    <w:p w14:paraId="2E3AB18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B915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июня 1942 начало проектных работ на Балтийском заводе по ремонту эсминца "Сторожевой", потерявшего от взрыва торпеды носовую оконечность 27 июня 1941 г. при отражении атаки 5 торпедных катеров во время постановки мин в Ирбенском проливе (10671).</w:t>
      </w:r>
    </w:p>
    <w:p w14:paraId="0387500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166A4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BF8B7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993EC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10 июня</w:t>
      </w:r>
      <w:r w:rsidRPr="008127F8">
        <w:rPr>
          <w:rFonts w:ascii="Times New Roman" w:hAnsi="Times New Roman"/>
          <w:color w:val="000000" w:themeColor="text1"/>
          <w:sz w:val="16"/>
          <w:szCs w:val="16"/>
        </w:rPr>
        <w:t xml:space="preserve"> в 1942 году утреннее сообщение Совинформбюро:</w:t>
      </w:r>
    </w:p>
    <w:p w14:paraId="7509252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10 июня на фронте существенных изменений не произошло.</w:t>
      </w:r>
    </w:p>
    <w:p w14:paraId="7AE2A44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Севастопольском участке фронта наши артиллеристы огнём своих батарей в течение дня рассеяли и частью уничтожили до полка пехоты противника. В воздушных боях и огнём зенитной артиллерии, по неполным данным, вчера сбито 16 и повреждено 10 немецких самолётов.</w:t>
      </w:r>
    </w:p>
    <w:p w14:paraId="63C6101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мощной артиллерийской подготовки части под командованием тов. Ларина(Ленинградский фронт) стремительным ударом сломили сопротивление противника изаняли три населённых пункта. По неполным данным, захвачено у немцев 7 орудий, 8 миномётов, 6 пулемётов, радиостанция, много винтовок и боеприпасов. Взято 149 пленных. Противник потерял убитыми более 600 солдат и офицеров.</w:t>
      </w:r>
    </w:p>
    <w:p w14:paraId="40640E6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Калининского фронта немецкий полк при поддержке авиации и танков пытался перейти в наступление, но был отброшен с большими для него потерями. Наши бойцы уничтожили 2 немецких танка, 2 орудия и до 400 гитлеровцев.</w:t>
      </w:r>
    </w:p>
    <w:p w14:paraId="598993A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Разведчики части, где командиром тов. Лебедев, вступили в бой с немецким подразделением. Наши бойцы уничтожили 25 гитлеровцев и захватили автоматы, винтовки и другое военное имущество.</w:t>
      </w:r>
    </w:p>
    <w:p w14:paraId="0DF17E4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гитлеровцев пытался взять в плен пулемётчика-красноармейца тов. Сабирова, находившегося в засаде. Отважный пулемётчик не растерялся. Подпустив противника на близкое расстояние, он открыл огонь из ручного пулемёта. Уничтожив 30 немцев, тов. Сабиров вернулся в свою часть.</w:t>
      </w:r>
    </w:p>
    <w:p w14:paraId="0485334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брянских партизан под командованием тов. Б. устроил засаду у лесной дороги. Вскоре показался немецкий кавалерийский эскадрон. Партизаны открыли по оккупантам ружейно-пулемётный огонь. Немцы пытались оказать сопротивление, но, потеряв 50 человек убитыми и ранеными, в беспорядке отступили. Убит майор, командир эскадрона. Партизаны захватили миномёт, 20 лошадей, 5 повозок, 4 пулемёта и другое военное имущество.</w:t>
      </w:r>
    </w:p>
    <w:p w14:paraId="050CA5A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5 роты 476 полка 256 немецкой пехотной дивизии Гергарт Вайске рассказал: «Солдаты, находящиеся давно на фронте, отупели и с полным безразличием относятся ко всему. Только один вопрос волнует всех: когда нас сменят. Всё остальное безразлично. В начале войны было очень много охотников ходить в разведку. Теперь добровольцев не стало.</w:t>
      </w:r>
    </w:p>
    <w:p w14:paraId="513AB08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разведку идут только под страхом расстрела. Многие говорят: «Если пошлют нас в наступление, то мы всё равно не выдержим и будем сломлены».</w:t>
      </w:r>
    </w:p>
    <w:p w14:paraId="53924CB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Немецко-фашистские мерзавцы сожгли дотла деревни М.Остров, Рай и Мякшино, Ленинградской области. Гитлеровские бандиты угнали весь скот, забрали у населения всё продовольствие и вещи. В этих деревнях немцы расстреляли 15 мирных жителей. Среди расстрелянных — 90-летняя старуха Василиса Никифорова, Елена Михайлова и её десятилетняя дочь, Афимья Кудрявцева и её двое детей, Прасковья Николаева и её 13-летний сын и другие.</w:t>
      </w:r>
    </w:p>
    <w:p w14:paraId="2E95A1A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Расквартированные в городе Арендале (Норвегия) немецкие солдаты бесцеремонно врываются в квартиры жителей и забирают у них ценные вещи. Гитлеровцы нагло пристают к норвежским женщинам и девушкам, принуждают их к сожительству. В городе произошла демонстрация, во время которой население протестовало против грабежей и насилий, чинимых немецко-фашистскими оккупантами.» (14918).</w:t>
      </w:r>
    </w:p>
    <w:p w14:paraId="3D67851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768D19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10 июня</w:t>
      </w:r>
      <w:r w:rsidRPr="008127F8">
        <w:rPr>
          <w:rFonts w:ascii="Times New Roman" w:hAnsi="Times New Roman"/>
          <w:color w:val="000000" w:themeColor="text1"/>
          <w:sz w:val="16"/>
          <w:szCs w:val="16"/>
        </w:rPr>
        <w:t xml:space="preserve"> в 1942 году вечернее сообщение Совинформбюро:</w:t>
      </w:r>
    </w:p>
    <w:p w14:paraId="1B3E583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10 июня на Харьковском участке фронта завязались бои с перешедшимив наступление немецко-фашистскими войсками.</w:t>
      </w:r>
    </w:p>
    <w:p w14:paraId="41CB0A3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Севастопольском участке фронта продолжаются бои. Наши войска отражали атаки противника и нанесли ему большие потери.</w:t>
      </w:r>
    </w:p>
    <w:p w14:paraId="255326A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существенных изменений не произошло.</w:t>
      </w:r>
    </w:p>
    <w:p w14:paraId="01FEFCF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9 июня частями нашей авиации на разных участках фронта уничтожено или повреждено несколько танков и бронемашин, 300 автомашин с войсками и грузами, 30 подвод с боеприпасами, 18 полевых и зенитных орудий, разрушено два железнодорожных состава, сожжён ангар, потоплен сторожевой корабль, рассеяно и частью уничтожено до двух рот пехоты противника.</w:t>
      </w:r>
    </w:p>
    <w:p w14:paraId="2E3B1B7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противник силою до полка пехоты предпринял наступление на наши позиции. Артиллерийским и пулемётно-ружейным огнём атака противника была отбита. Потеряв свыше 500 человек, немцы отступили на исходные позиции. На другом участке наши артиллеристы подавили огонь 2 артиллерийских и 2 миномётных батарей, разрушили 5 блиндажей и рассеяли до батальона пехоты противника.</w:t>
      </w:r>
    </w:p>
    <w:p w14:paraId="2C9A9E7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Северо-Западного фронта, захватила у немцев 4 станковых и 2 ручных пулемёта, 6 миномётов и 850 мин к ним, радиостанцию, телефонные аппараты и другое военное имущество. Противник потерял убитыми до 200 солдат и офицеров.</w:t>
      </w:r>
    </w:p>
    <w:p w14:paraId="42BE4F7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части, действующей на одном из участков Калининского фронта, в течение месяца подавили 18 артиллерийских и 10 миномётных батарей противника, уничтожили 32 пулемёта, 3 противотанковых орудия, разрушили 15 ДЗОТов и 16 блиндажей с немецкой пехотой. Гитлеровцы потеряли от огня артиллерии 850 солдат и офицеров.</w:t>
      </w:r>
    </w:p>
    <w:p w14:paraId="19FA607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Танковый экипаж лейтенанта Агапова уничтожил 3 немецких ДЗОТа, 2 орудия и склад с боеприпасами противника.</w:t>
      </w:r>
    </w:p>
    <w:p w14:paraId="35539AD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 сильным пулемётным и миномётным огнём противника военврач 3 ранга тов. Белов перевязал 12 раненых бойцов и вынес их с оружием с поля боя.</w:t>
      </w:r>
    </w:p>
    <w:p w14:paraId="6367C2E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обер-фельдфебель, лётчик-водитель самолёта «Юнкерс-88» 3 отряда 1 группы 77 немецкой эскадры Иоганн Эйбль заявил: «Германская армия и её авиация сейчас стали значительно слабее, чем были летом прошлого года. Мы понесли колоссальные потери. В нашем отряде из 9 самолётов остались только 2. Отряд потерял 16 человек. Сюда не входят раненые и выбывшие из строя. Опытных лётчиков становится всё меньше. Молодых пилотов обучали наспех, и они очень слабо подготовлены».</w:t>
      </w:r>
    </w:p>
    <w:p w14:paraId="1EAD1CD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обер-ефрейтор Петер Штраух пишет унтер-офицеру Адольфу Грау: «От нашей роты осталась маленькая группа. Убиты унтер-офицер Шауфен, унтер-офицер Банкенман, Эди Вернер, Артур Лизке, Фольман, Тимпке, Гофман, Шмиц. Я не могу на память перечислить всех. Ты не можешь себе представить, до какой степени у нас измотались нервы».</w:t>
      </w:r>
    </w:p>
    <w:p w14:paraId="723846C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Города Германии и оккупированных ею стран переполнены ранеными и больными солдатами с советско-германского фронта.</w:t>
      </w:r>
    </w:p>
    <w:p w14:paraId="74006F5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Военные власти заняли под госпитали гостиницы, монастыри, театры и многие жилые дома. И всё же мест не хватает. В гор. Требнице (Германия) в лазареты превращены детский приют, католический дом сирот, богадельня, монастырь и другие здания. Палаты набиты до отказа. Большое количество раненых размещено в принудительном порядке на частных квартирах. Скверное питание и отсутствие медицинской помощи привели к огромной смертности среди раненых. Местные жители называют многие лазареты домами смертников.</w:t>
      </w:r>
    </w:p>
    <w:p w14:paraId="4FBBA8F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Колхозы Казахской ССР выполнили государственный план весеннего сева. Посеяно на 600 тысяч гектаров больше, чем на это же время прошлого года. План сева каучуконосов выполнен на 131 процент. Плантации сахарной свёклы расширены по сравнению с прошлым годом в три раза, посевы подсолнуха увеличены на 30 тысяч гектаров, увеличены площади под посевами картофеля и овощей. Передовые колхозы республики уже посеяли свыше 25 тысяч гектаров в фонд обороны родины.» (14918).</w:t>
      </w:r>
    </w:p>
    <w:p w14:paraId="6D4E795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69164AD" w14:textId="77777777" w:rsidR="007C5583" w:rsidRPr="008127F8" w:rsidRDefault="007C5583" w:rsidP="007C5583">
      <w:pPr>
        <w:pStyle w:val="a4"/>
        <w:rPr>
          <w:color w:val="000000" w:themeColor="text1"/>
          <w:lang w:val="ru-RU"/>
        </w:rPr>
      </w:pPr>
      <w:r w:rsidRPr="008127F8">
        <w:rPr>
          <w:color w:val="000000" w:themeColor="text1"/>
          <w:lang w:val="ru-RU"/>
        </w:rPr>
        <w:t>С 10 по 14 июня 1942 г. штаб 8-й воздушной армии Юго-Западного фронта доложил командующему ВВС КА об уничто</w:t>
      </w:r>
      <w:r w:rsidRPr="008127F8">
        <w:rPr>
          <w:color w:val="000000" w:themeColor="text1"/>
          <w:lang w:val="ru-RU"/>
        </w:rPr>
        <w:softHyphen/>
        <w:t>жении 202 танков вермахта, что составляло до 40% (!) отчисленности всех танков, действовавших в это время на харьковском направлении. И это при том, что группировка штурмовой и бомбардировочной авиации 8-й ВА к 13 июня включала 120 истребителей и только 20 штурмовиков Ил-2 и 18 дневных бомбардировщиков.</w:t>
      </w:r>
    </w:p>
    <w:p w14:paraId="42D0470B" w14:textId="77777777" w:rsidR="007C5583" w:rsidRPr="008127F8" w:rsidRDefault="007C5583" w:rsidP="007C5583">
      <w:pPr>
        <w:pStyle w:val="a4"/>
        <w:rPr>
          <w:color w:val="000000" w:themeColor="text1"/>
          <w:lang w:val="ru-RU"/>
        </w:rPr>
      </w:pPr>
      <w:r w:rsidRPr="008127F8">
        <w:rPr>
          <w:color w:val="000000" w:themeColor="text1"/>
          <w:lang w:val="ru-RU"/>
        </w:rPr>
        <w:t>Командование ВВС КА вполне справед</w:t>
      </w:r>
      <w:r w:rsidRPr="008127F8">
        <w:rPr>
          <w:color w:val="000000" w:themeColor="text1"/>
          <w:lang w:val="ru-RU"/>
        </w:rPr>
        <w:softHyphen/>
        <w:t>ливо посчитало эти данные неправдивыми. Действительно, если учесть, что наземные части Юго-Западного фронта в этот период также уничтожали танки вермахта, причем в значительно большем количестве, чем ави</w:t>
      </w:r>
      <w:r w:rsidRPr="008127F8">
        <w:rPr>
          <w:color w:val="000000" w:themeColor="text1"/>
          <w:lang w:val="ru-RU"/>
        </w:rPr>
        <w:softHyphen/>
        <w:t>ация, то, казалось бы, из-за больших потерь в танках, близких к 90-100% от первоначаль</w:t>
      </w:r>
      <w:r w:rsidRPr="008127F8">
        <w:rPr>
          <w:color w:val="000000" w:themeColor="text1"/>
          <w:lang w:val="ru-RU"/>
        </w:rPr>
        <w:softHyphen/>
        <w:t>ного состава, немецкие войска должны были остановиться. Однако танковое наступление противника на этом направлении 14 июня и в последующие дни продолжалось с не</w:t>
      </w:r>
      <w:r w:rsidRPr="008127F8">
        <w:rPr>
          <w:color w:val="000000" w:themeColor="text1"/>
          <w:lang w:val="ru-RU"/>
        </w:rPr>
        <w:softHyphen/>
        <w:t>убывающей силой.</w:t>
      </w:r>
    </w:p>
    <w:p w14:paraId="4B42571F" w14:textId="77777777" w:rsidR="007C5583" w:rsidRPr="008127F8" w:rsidRDefault="007C5583" w:rsidP="007C5583">
      <w:pPr>
        <w:pStyle w:val="6b"/>
        <w:shd w:val="clear" w:color="auto" w:fill="auto"/>
        <w:spacing w:before="0" w:line="240" w:lineRule="auto"/>
        <w:rPr>
          <w:rFonts w:ascii="Times New Roman" w:hAnsi="Times New Roman"/>
          <w:color w:val="000000" w:themeColor="text1"/>
          <w:sz w:val="16"/>
          <w:szCs w:val="16"/>
        </w:rPr>
      </w:pPr>
      <w:r w:rsidRPr="008127F8">
        <w:rPr>
          <w:rStyle w:val="612"/>
          <w:rFonts w:ascii="Times New Roman" w:hAnsi="Times New Roman" w:cs="Times New Roman"/>
          <w:i w:val="0"/>
          <w:iCs w:val="0"/>
          <w:color w:val="000000" w:themeColor="text1"/>
          <w:sz w:val="16"/>
          <w:szCs w:val="16"/>
        </w:rPr>
        <w:t>По поводу причин случившегося штаб ВВС КА в своих указаниях от 20 июня от</w:t>
      </w:r>
      <w:r w:rsidRPr="008127F8">
        <w:rPr>
          <w:rStyle w:val="612"/>
          <w:rFonts w:ascii="Times New Roman" w:hAnsi="Times New Roman" w:cs="Times New Roman"/>
          <w:i w:val="0"/>
          <w:iCs w:val="0"/>
          <w:color w:val="000000" w:themeColor="text1"/>
          <w:sz w:val="16"/>
          <w:szCs w:val="16"/>
        </w:rPr>
        <w:softHyphen/>
        <w:t>мечал:</w:t>
      </w:r>
      <w:r w:rsidRPr="008127F8">
        <w:rPr>
          <w:rFonts w:ascii="Times New Roman" w:hAnsi="Times New Roman"/>
          <w:color w:val="000000" w:themeColor="text1"/>
          <w:sz w:val="16"/>
          <w:szCs w:val="16"/>
        </w:rPr>
        <w:t xml:space="preserve"> «...неправдоподобность донесе</w:t>
      </w:r>
      <w:r w:rsidRPr="008127F8">
        <w:rPr>
          <w:rFonts w:ascii="Times New Roman" w:hAnsi="Times New Roman"/>
          <w:color w:val="000000" w:themeColor="text1"/>
          <w:sz w:val="16"/>
          <w:szCs w:val="16"/>
        </w:rPr>
        <w:softHyphen/>
        <w:t>ний штабов воздушных армий является следствием того, что результаты боевых действий авиации никем не контролируют</w:t>
      </w:r>
      <w:r w:rsidRPr="008127F8">
        <w:rPr>
          <w:rFonts w:ascii="Times New Roman" w:hAnsi="Times New Roman"/>
          <w:color w:val="000000" w:themeColor="text1"/>
          <w:sz w:val="16"/>
          <w:szCs w:val="16"/>
        </w:rPr>
        <w:softHyphen/>
        <w:t>ся, и донесения обычно составляются на основании докладов экипажей самолетов, летавших на выполнение задания» (12733).</w:t>
      </w:r>
    </w:p>
    <w:p w14:paraId="4B153034" w14:textId="77777777" w:rsidR="007C5583" w:rsidRPr="008127F8" w:rsidRDefault="007C5583" w:rsidP="007C5583">
      <w:pPr>
        <w:pStyle w:val="6b"/>
        <w:shd w:val="clear" w:color="auto" w:fill="auto"/>
        <w:spacing w:before="0" w:line="240" w:lineRule="auto"/>
        <w:rPr>
          <w:rFonts w:ascii="Times New Roman" w:hAnsi="Times New Roman"/>
          <w:color w:val="000000" w:themeColor="text1"/>
          <w:sz w:val="16"/>
          <w:szCs w:val="16"/>
        </w:rPr>
      </w:pPr>
    </w:p>
    <w:p w14:paraId="06E722F8"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lastRenderedPageBreak/>
        <w:t>В период с 10 по 14 июня 1942 г., согласно доклада штаба 8-й воздушной армии Юго-Западного фронта командующему ВВС КА, было уничтожено 202 танков вермахта, что составляло до 40% (!) от численности всех танков, действовавших в это время на харьковском направлении. И это при том, что группировка штурмовой и бомбардировочной авиации 8 ВА к 13 июня включала 120 истребите</w:t>
      </w:r>
      <w:r w:rsidRPr="008127F8">
        <w:rPr>
          <w:color w:val="000000" w:themeColor="text1"/>
          <w:sz w:val="16"/>
          <w:szCs w:val="16"/>
        </w:rPr>
        <w:softHyphen/>
        <w:t>лей и только 20 штурмовиков Ил-2 и 18 дневных бомбардировщиков.</w:t>
      </w:r>
    </w:p>
    <w:p w14:paraId="6C354308"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Командование ВВС КА вполне справедливо посчитало эти данные не только неправдивыми, но и неправдоподобными. Действительно, если учесть, что наземные части Юго-Западного фронта в этот период также уничтожали танки вермахта, причем в значительно большем количестве, чем авиация, то, казалось бы, из-за больших потерь в танках, близких к 90—100% от первоначального состава, немецкие войска должны были остано</w:t>
      </w:r>
      <w:r w:rsidRPr="008127F8">
        <w:rPr>
          <w:color w:val="000000" w:themeColor="text1"/>
          <w:sz w:val="16"/>
          <w:szCs w:val="16"/>
        </w:rPr>
        <w:softHyphen/>
        <w:t>виться. Однако танковое наступление противника на этом направлении 14 июня и в последующие дни продолжалось с неубывающей силой.</w:t>
      </w:r>
    </w:p>
    <w:p w14:paraId="525979EC"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 поводу причин случившегося штаб ВВС КА в своих указаниях от 20 июня отмечал: «.неправ</w:t>
      </w:r>
      <w:r w:rsidRPr="008127F8">
        <w:rPr>
          <w:color w:val="000000" w:themeColor="text1"/>
          <w:sz w:val="16"/>
          <w:szCs w:val="16"/>
        </w:rPr>
        <w:softHyphen/>
        <w:t>доподобность донесений штабов воздушных армий является следствием того, что результаты боевых действий авиации никем не контролируются и до</w:t>
      </w:r>
      <w:r w:rsidRPr="008127F8">
        <w:rPr>
          <w:color w:val="000000" w:themeColor="text1"/>
          <w:sz w:val="16"/>
          <w:szCs w:val="16"/>
        </w:rPr>
        <w:softHyphen/>
        <w:t>несения обычно составляются на основании докла</w:t>
      </w:r>
      <w:r w:rsidRPr="008127F8">
        <w:rPr>
          <w:color w:val="000000" w:themeColor="text1"/>
          <w:sz w:val="16"/>
          <w:szCs w:val="16"/>
        </w:rPr>
        <w:softHyphen/>
        <w:t>дов экипажей самолетов, летавших на выполнение задания» (17500).</w:t>
      </w:r>
    </w:p>
    <w:p w14:paraId="4DA741DA"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249630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 10th, 1942: In the East, 6. Armee forces the withdrawal of Soviet forces from the Charkov area and captures Volchansk and Kupyansk. In Libya, the Afrikakorps (properly, Panzerarmee Afrika) finally captures Bir Hacheim, a strongpoint fiercely defended by Foreign Legionaires of the Free French Forces. The British Eighth Army (Ritchie) retreats toward the Egyptian border (3819).</w:t>
      </w:r>
    </w:p>
    <w:p w14:paraId="30C98C3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F15EC0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июня 1942 немецкая 6А заставила КА оставить Харьковскую область и захватила Волчанск и Купьянск. 10 июня 1942 В Ливии Африканский корпус захватил Бир Хашейм, защищающийся Иностранным Легионом сил Свободной Франции. Британская 8А отступила к границе Египта (3819).</w:t>
      </w:r>
    </w:p>
    <w:p w14:paraId="470DC48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38668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июня 1942 была предпринята попытка высадить разведчиков 47-й армии у Камыш-Буруна. ТКА №152 получил попадания снарядов, и отошел от берега. Утром его обнаружили наши самолеты-разведчики у Эльтигена. Катер стоял без хода и с большим креном. Предпринятые поиски результатов не дали, все находившиеся на борту - экипаж и 25 разведчиков - погибли (6002).</w:t>
      </w:r>
    </w:p>
    <w:p w14:paraId="6CC1FE7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4C08B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июня 1942 вышло Постановление ГКО № 1905 О Научно-исследовательском институте эпидемиологии и гигиены (НИИЭГ) Красной Армии. (7038, 163-165,166-169).</w:t>
      </w:r>
    </w:p>
    <w:p w14:paraId="24F6A36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E7813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605593F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1A5B4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июня 1942 Самолет LB-30 Liberator ВВС США во время разведывательного полета обнаруживает, что японские войска заняли Киску на Алеутских островах (20793).</w:t>
      </w:r>
    </w:p>
    <w:p w14:paraId="642C5F8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55982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 10 1942 Nazis liquidate the town of Lidice in reprisal for Heydrich's death (1050).</w:t>
      </w:r>
    </w:p>
    <w:p w14:paraId="25EB8F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8FBF0B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июня 1942 нацисты уничтожили Лидице в качестве мести за смерть Гейдриха (1050).</w:t>
      </w:r>
    </w:p>
    <w:p w14:paraId="544DD8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83C94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июня 1942 в отместку за убийство протектора Чехии и Моравии Р. Гейдриха фашистами уничтожен чешский поселок Лидице (4962).</w:t>
      </w:r>
    </w:p>
    <w:p w14:paraId="5FCE871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2110FD" w14:textId="77777777" w:rsidR="007C5583" w:rsidRPr="008127F8" w:rsidRDefault="007C5583" w:rsidP="007C5583">
      <w:pPr>
        <w:spacing w:after="0" w:line="240" w:lineRule="auto"/>
        <w:jc w:val="both"/>
        <w:rPr>
          <w:rFonts w:ascii="Times New Roman" w:hAnsi="Times New Roman"/>
          <w:bCs/>
          <w:color w:val="000000" w:themeColor="text1"/>
          <w:sz w:val="16"/>
          <w:szCs w:val="16"/>
        </w:rPr>
      </w:pPr>
      <w:r w:rsidRPr="008127F8">
        <w:rPr>
          <w:rFonts w:ascii="Times New Roman" w:hAnsi="Times New Roman"/>
          <w:bCs/>
          <w:color w:val="000000" w:themeColor="text1"/>
          <w:sz w:val="16"/>
          <w:szCs w:val="16"/>
        </w:rPr>
        <w:t>10 июня</w:t>
      </w:r>
      <w:r w:rsidRPr="008127F8">
        <w:rPr>
          <w:rFonts w:ascii="Times New Roman" w:hAnsi="Times New Roman"/>
          <w:color w:val="000000" w:themeColor="text1"/>
          <w:sz w:val="16"/>
          <w:szCs w:val="16"/>
        </w:rPr>
        <w:t xml:space="preserve"> в 1942 году в отместку за покушение на имперского протектора Чехии и Моравии Рейнгарда Гейдриха уничтожен чешский поселок Лидице. Лидице (чешское название - Lidice, немецкое название - Liditz) — шахтёрский посёлок в Чехии, в 20 км к западу от Праги и к юго-востоку от города Кладно, 10 июня 1942 уничтоженный по требованию немецкого правительства. Непосредственным поводом для расправы явилось убийство Райнхарда Гейдриха, протектора Богемии и Моравии, совершённое 27 мая 1942 в Праге.</w:t>
      </w:r>
    </w:p>
    <w:p w14:paraId="3C95840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указу группенфюрера СС Карла Германа Франка, начальника СС и полиции Праги, жители посёлка были обвинены в укрывательстве чехословацких патриотов, совершивших покушение. 10 июня войска СС (дивизия «Принц Евгений» окружили Лидице; всё мужское население старше 16 лет (172 человека) было расстреляно. Лидицкие женщины (172 человек) были отправлены в концентрационный лагерь Равенсбрюк (из них 60 погибли в лагере). Из детей (105 человек) были оставлены дети возрастом до одного года и дети, годные для онемечивания. Остальные (82 человек) были уничтожены в лагере смерти близ Хелмно, еще 6 детей умерли. Все строения посёлка были сожжены и сровнены с землёй. К утру 11 июня посёлок Лидице представлял из себя лишь голое пепелище. Несколькими днями позже подверглась разрушению деревня Лежаки близ Лидице; все мужчины этой деревни также были убиты (14918).</w:t>
      </w:r>
    </w:p>
    <w:p w14:paraId="4EF6599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BD7719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июня 1942 силы свободной Франции оставили Бир Хакейм (2261).</w:t>
      </w:r>
    </w:p>
    <w:p w14:paraId="732D53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F382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июня 1942 в Ливии Африканский корпус захватил Бир Хашейм, защищающийся Иностранным Легионом сил Свободной Франции. Британская 8А отступила к границе Египта (3819).</w:t>
      </w:r>
    </w:p>
    <w:p w14:paraId="14F3DB7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37B56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июня 1942 Филиппины присоединились к Декларации объединенных акций (3186).</w:t>
      </w:r>
    </w:p>
    <w:p w14:paraId="76381C3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9E7E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87495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8923F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июня 1942 года был подготовлен Протокол заседания комиссии по вопросу качества деревянных хвостов самолетов Ил-2 производства заводов NN 1 и 18</w:t>
      </w:r>
    </w:p>
    <w:p w14:paraId="6734CD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Присутствовали: гл. конструктор самолета Ил-2 С.В.И., начальник Управления заказов ВВС генерал-майор Селезнев, гл. инженер завода N 18 Востров, гл. инженер завода N 1 Литвинов, начальник ВИАМ Туманов.</w:t>
      </w:r>
    </w:p>
    <w:p w14:paraId="6FB90E7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Заслушав и рассмотрев материалы о качестве деревянных хвостов самолета Ил-2, комиссия пришла к нижеследующим выводам:</w:t>
      </w:r>
    </w:p>
    <w:p w14:paraId="296C8C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Для обеспечения надежной работы деревянных частей фюзеляжа самолета Ил-2 заводам NN 1 и 18 необходимо на всех ранее выпущенных самолетах произвести усиление деревянных частей хвоста, не позднее 1 июля 1942 года, силами заводов и помощью технического состава частей.</w:t>
      </w:r>
    </w:p>
    <w:p w14:paraId="444877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Считать необходимым в дальнейшем производстве фюзеляжей на заводах провести немедленно следующие мероприятия:</w:t>
      </w:r>
    </w:p>
    <w:p w14:paraId="2B2014F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сушку трубы произвести с обязательным соблюдением нормального режима, т.е. с регулированием температуры;</w:t>
      </w:r>
    </w:p>
    <w:p w14:paraId="08D174B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влажность просушенной трубы выдерживать, согласно технических условий - минимум 8% и максимум 12%.</w:t>
      </w:r>
    </w:p>
    <w:p w14:paraId="6678602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Ввиду неравномерной толщины шпона в корневой его части допускается в том месте до 14%;</w:t>
      </w:r>
    </w:p>
    <w:p w14:paraId="330DD52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для наиболее правильного анализа влажности скорлупы склейку шпона корневой части производить с припуском на 100-150 мм, откуда и брать образцы для анализа;</w:t>
      </w:r>
    </w:p>
    <w:p w14:paraId="34B6B48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для зачистки скорлупы изнутри и снаружи, допустить по одному технологическому слою шпона, который может быть при зачистке срезаем без ослабления следующего силового слоя шпона. Наружный дополнительный слой накладывают вдоль оси фюзеляжа;</w:t>
      </w:r>
    </w:p>
    <w:p w14:paraId="603848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для лучшей склейки слоев шпона между собой намазывание их клеем должно производиться с двух сторон;</w:t>
      </w:r>
    </w:p>
    <w:p w14:paraId="6A415B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не допускать провалов между шпангоутами, т.к. они способствуют преждевременному образованию складок на фюзеляже;</w:t>
      </w:r>
    </w:p>
    <w:p w14:paraId="68591AF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обратить внимание на качественную склейку шпангоутов;</w:t>
      </w:r>
    </w:p>
    <w:p w14:paraId="3D6BC5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 обеспечить надежную проклейку скорлупы шпангоутами и стрингером;</w:t>
      </w:r>
    </w:p>
    <w:p w14:paraId="6A7274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при изготовлении фюзеляжа руководствоваться эскизами, утвержденными гл. конструктором, по которым заводам NN 1 и 18 немедленно начать серийное производство.</w:t>
      </w:r>
    </w:p>
    <w:p w14:paraId="43F900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 отсутствием достаточного количества шпаклевки, заводы NN 1 и 18 произвели шпаклевку с отступлением от инструкции ВИАМ"а по покрытию деревянных конструкций, что явилось причиной повышения влажности шпона.</w:t>
      </w:r>
    </w:p>
    <w:p w14:paraId="429B92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Необходимо строго придерживаться инструкции ВИАМ"а по покрытию хвостов.</w:t>
      </w:r>
    </w:p>
    <w:p w14:paraId="655179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Туманову, с группой специалистов, просмотреть технологию изготовления деревянных хвостов на заводах NN 1 и 18 и дать необходимые технические указания по качеству изготовления хвостов (1679,263).</w:t>
      </w:r>
    </w:p>
    <w:p w14:paraId="01B3992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078F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июня 1942 года был подписан Протокол заседания комиссии по вопросу качества деревянных хвостов самолетов Ил-2 производства заводов NN 1 и 18</w:t>
      </w:r>
    </w:p>
    <w:p w14:paraId="5728CB9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Присутствовали: гл. конструктор самолета Ил-2 Ильюшин С.В.</w:t>
      </w:r>
    </w:p>
    <w:p w14:paraId="5316561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управления заказов ВВС генерал-майор Селезнев</w:t>
      </w:r>
    </w:p>
    <w:p w14:paraId="1AF07C3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Гл. инженер завода N 18 Востров</w:t>
      </w:r>
    </w:p>
    <w:p w14:paraId="16DAA3C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завода N 1 Литвинов</w:t>
      </w:r>
    </w:p>
    <w:p w14:paraId="5CCAA41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ВИАМ Туманов</w:t>
      </w:r>
    </w:p>
    <w:p w14:paraId="6505340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Заслушав и рассмотрев материалы о качестве деревянных хвостов самолета Ил-2, комиссия пришла к нижеследующим выводам:</w:t>
      </w:r>
    </w:p>
    <w:p w14:paraId="13A919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Для обеспечения надежной работы деревянных частей фюзеляжа самолета Ил-2 заводам NN 1 и 18 необходимо на всех ранее выпущенных самолетах произвести усиление деревянных частей хвоста, не позднее 1 июля 1942 года, силами заводов и помощью технического состава частей.</w:t>
      </w:r>
    </w:p>
    <w:p w14:paraId="5931F5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Считать необходимым в дальнейшем в производстве фюзеляжей на заводах провести немедленно следующие мероприятия:</w:t>
      </w:r>
    </w:p>
    <w:p w14:paraId="6C9FBA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сушку трубы произвести с обязательным соблюдением нормального режима, т.е. с регулированием температуры;</w:t>
      </w:r>
    </w:p>
    <w:p w14:paraId="46C72F9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влажность просушенной трубы выдерживать, согласно технических условий - минимум 8% и максимум 12%.</w:t>
      </w:r>
    </w:p>
    <w:p w14:paraId="6278A4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Ввиду неравномерной толщины шпона в корневой его части допускается в том месте до 14%;</w:t>
      </w:r>
    </w:p>
    <w:p w14:paraId="49468A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для наиболее правильного анализа влажности скорлупы через лейку шпона корневой части производить с припуском на 100-150 м/м, откуда и брать образцы для анализа;</w:t>
      </w:r>
    </w:p>
    <w:p w14:paraId="322B28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для зачистки скорлупы изнутри и снаружи, допустить по одному технологическому слою шпона, который может быть при зачистке срезаем без ослабления следующего силового слоя шпона. Наружный, дополнительный слой накладывают вдоль оси фюзеляжа;</w:t>
      </w:r>
    </w:p>
    <w:p w14:paraId="3CAE78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для лучшей склейки слоев шпона между собой намазывание их клеем должно производиться с двух сторон;</w:t>
      </w:r>
    </w:p>
    <w:p w14:paraId="0C57D7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не допускать провалов между шпангоутами, т.к. они способствуют преждевременному образованию складок на фюзеляже;</w:t>
      </w:r>
    </w:p>
    <w:p w14:paraId="210500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обратить внимание на качественную склейку шпангоутов;</w:t>
      </w:r>
    </w:p>
    <w:p w14:paraId="57E31DA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 обеспечить надежную проклейку скорлупы шпангоутами стрингером;</w:t>
      </w:r>
    </w:p>
    <w:p w14:paraId="3EF5487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при изготовлении фюзеляжа руководствоваться эскизами, утвержденными гл. конструктором, по которым заводам NN 1 и 18 немедленно начать серийное производство.</w:t>
      </w:r>
    </w:p>
    <w:p w14:paraId="62E9CA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 отсутствием достаточного количества шпаклевки, заводы NN 1 и 18 произвели шпаклевку с отступлением от инструкции ВИАМ"а по покрытию деревянных конструкций, что явилось причиной повышения влажности шпона.</w:t>
      </w:r>
    </w:p>
    <w:p w14:paraId="3E1AF42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Необходимо строго придерживаться инструкции ВИАМ"а по покрытию хвостов.</w:t>
      </w:r>
    </w:p>
    <w:p w14:paraId="2B15B1B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Туманову, с группой специалистов, просмотреть технологию изготовления деревянных хвостов на заводах NN 1 и 18 и дать необходимые технологические указания по качеству изготовления хвостов (1778,3).</w:t>
      </w:r>
    </w:p>
    <w:p w14:paraId="7A4FBE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3CD89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11 июня 1942 года был подписан Протокол заседания комиссии по вопросу качества деревянных хвостов самолетов Ил-2 производства заводов NN 1 и 18</w:t>
      </w:r>
    </w:p>
    <w:p w14:paraId="194EF1E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Присутствовали: гл. конструктор самолета Ил-2 Ильюшин С.В.</w:t>
      </w:r>
    </w:p>
    <w:p w14:paraId="04A2EFD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Начальник управления заказов ВВС генерал-майор Селезнев</w:t>
      </w:r>
    </w:p>
    <w:p w14:paraId="79D85C3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Гл. инженер завода N 18 Востров</w:t>
      </w:r>
    </w:p>
    <w:p w14:paraId="7C571BB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Гл. инженер завода N 1 Литвинов</w:t>
      </w:r>
    </w:p>
    <w:p w14:paraId="34CE7AF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Начальник ВИАМ Туманов</w:t>
      </w:r>
    </w:p>
    <w:p w14:paraId="705046F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Заслушав и рассмотрев материалы о качестве деревянных хвостов самолета Ил-2, комиссия пришла к нижеследующим выводам:</w:t>
      </w:r>
    </w:p>
    <w:p w14:paraId="52BE9D5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1. Для обеспечения надежной работы деревянных частей фюзеляжа самолета Ил-2 заводам NN 1 и 18 необходимо на всех ранее выпущенных самолетах произвести усиление деревянных частей хвоста, не позднее 1 июля 1942 года, силами заводов и помощью технического состава частей.</w:t>
      </w:r>
    </w:p>
    <w:p w14:paraId="75A7BE8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2. Считать необходимым в дальнейшем в производстве фюзеляжей на заводах провести немедленно следующие мероприятия:</w:t>
      </w:r>
    </w:p>
    <w:p w14:paraId="3F45B87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а) сушку трубы произвести с обязательным соблюдением нормального режима, т.е. с регулированием температуры;</w:t>
      </w:r>
    </w:p>
    <w:p w14:paraId="70C231F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б) влажность просушенной трубы выдерживать, согласно технических условий - минимум 8% и максимум 12%.</w:t>
      </w:r>
    </w:p>
    <w:p w14:paraId="6503222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Ввиду неравномерной толщины шпона в корневой его части допускается в том месте до 14%;</w:t>
      </w:r>
    </w:p>
    <w:p w14:paraId="4441005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в) для наиболее правильного анализа влажности скорлупы через лейку шпона корневой части производить с припуском на 100-150 м/м, откуда и брать образцы для анализа;</w:t>
      </w:r>
    </w:p>
    <w:p w14:paraId="0CB7C85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г) для зачистки скорлупы изнутри и снаружи, допустить по одному технологическому слою шпона, который может быть при зачистке срезаем без ослабления следующего силового слоя шпона. Наружный, дополнительный слой накладывают вдоль оси фюзеляжа;</w:t>
      </w:r>
    </w:p>
    <w:p w14:paraId="018DF30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д) для лучшей склейки слоев шпона между собой намазывание их клеем должно производиться с двух сторон;</w:t>
      </w:r>
    </w:p>
    <w:p w14:paraId="3DAFF35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е) не допускать провалов между шпангоутами, т.к. они способствуют преждевременному образованию складок на фюзеляже;</w:t>
      </w:r>
    </w:p>
    <w:p w14:paraId="2217D84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ж) обратить внимание на качественную склейку шпангоутов;</w:t>
      </w:r>
    </w:p>
    <w:p w14:paraId="07D1088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з) обеспечить надежную проклейку скорлупы шпангоутами стрингером;</w:t>
      </w:r>
    </w:p>
    <w:p w14:paraId="794078E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и) при изготовлении фюзеляжа руководствоваться эскизами, утвержденными гл. конструктором, по которым заводам NN 1 и 18 немедленно начать серийное производство.</w:t>
      </w:r>
    </w:p>
    <w:p w14:paraId="396C3F8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3. За отсутствием достаточного количества шпаклевки, заводы NN 1 и 18 произвели шпаклевку с отступлением от инструкции ВИАМ"а по покрытию деревянных конструкций, что явилось причиной повышения влажности шпона.</w:t>
      </w:r>
    </w:p>
    <w:p w14:paraId="08CD8AF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Необходимо строго придерживаться инструкции ВИАМ"а по покрытию хвостов.</w:t>
      </w:r>
    </w:p>
    <w:p w14:paraId="5057E6D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4. Туманову, с группой специалистов, просмотреть технологию изготовления деревянных хвостов на заводах NN 1 и 18 и дать необходимые технологические указания по качеству изготовления хвостов.</w:t>
      </w:r>
    </w:p>
    <w:p w14:paraId="573E9A4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Расследование этих катастроф выявило следующие причины:</w:t>
      </w:r>
    </w:p>
    <w:p w14:paraId="17B21C3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24 июня 1942 был подписан акт Комиссии по расследованию причин поломок хвостовой части фюзеляжа Ил-2, изготовленных на заводе 1 им. Сталина и на заводе 18 им. Ворошилова, а также выявления причин поломок трубчатого лонжерона руля глубины на самолетах производства завода 18 им. Ворошилова. Комиссия в составе И.В.Куликова (председатель), А.Ф.Волконского, П.О.Сухого, А.Т.Туманова и А.Д.Шац (членов комиссии) была назначена приказом НКАП N 446сс от 15 июня 1942 в результате осмотра аварийной машины, рассмотрения технической документации - чертежей, расчетов, актов статических испытании, лабораторных исследований и обследования состояния производства изготовления хвостовой части фюзеляжа и руля глубины - установила:</w:t>
      </w:r>
    </w:p>
    <w:p w14:paraId="26F061B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По хвостовой части фюзеляжа</w:t>
      </w:r>
    </w:p>
    <w:p w14:paraId="6EE0674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А. Техническая документация</w:t>
      </w:r>
    </w:p>
    <w:p w14:paraId="31E67CB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1. Отсутствуют расчеты на прочность хвостовой части фюзеляжа на заводах 1 и 18, а также у представителя ГК</w:t>
      </w:r>
    </w:p>
    <w:p w14:paraId="724C1AD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2. Стат. испытания хвостовой части фюзеляжа опытного самолета Ил-2 были проведены 27 февраля 1939.</w:t>
      </w:r>
    </w:p>
    <w:p w14:paraId="6CAE0B6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Конструкция - чистый монокок без стрингеров. Число слоев шпона 1 по 4 - 10, с 4 по 8 - 8, с 8 по 11 - 6, с 11-14 - 8.</w:t>
      </w:r>
    </w:p>
    <w:p w14:paraId="6BF79CD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На случай Е фюзеляж выдержал 111% или 96% при пересчете на 12% влажности соответствует прочности 96%.</w:t>
      </w:r>
    </w:p>
    <w:p w14:paraId="154805A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При статических испытаниях нагрузка прикладывалась не к костылю, а к передним узлам стабилизатора, соответственно увеличением силы до примерного уравнивания изгибающих моментов по первой раме. Такое приложение нагрузки давало уменьшение изгибающего коэффициента между 6-10 рамами в пределах от 2-х до 7-ми раз.</w:t>
      </w:r>
    </w:p>
    <w:p w14:paraId="070C7CC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Таким образом, статические испытания на случай “Е” были проведены неправильно и не дали истинной оценки прочности фюзеляжа.</w:t>
      </w:r>
    </w:p>
    <w:p w14:paraId="051CAEB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3. Чертежи, выданные ГК в серийное производство отличаются от опытного экз. добавлением 6 стрингеров и удлинением 8-слойной части на 900 мм у носовой части киля.</w:t>
      </w:r>
    </w:p>
    <w:p w14:paraId="3867B86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Стат. испытания фюзеляжа, изготовленного по этим чертежам, не проводилось.</w:t>
      </w:r>
    </w:p>
    <w:p w14:paraId="7E1A7FB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4. В связи с результатами испытаний по замене материала средней части фюзеляжа "бочки", проведенными на заводе 1, а также имевшимися к этому времени поломками хвостовой части фюзеляжа в частях ВВС КА, ГК С.В.И. 13 июня 1942 выданы на серийное производство чертежи усиленного фюзеляжа с 12 стрингерами и числом шпона с 1 по 6 - 11, с 6 по 12 - 9, с 12 по 14 7, с 14 до кока - 10.</w:t>
      </w:r>
    </w:p>
    <w:p w14:paraId="59A36F9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Стат. испытания хвостовой части (паспорт фюзеляжа № 3182, свидетельство № 2643 показали на случай Е 108% при влажности 16.5% или 126% при пересчете на 12% влажности.</w:t>
      </w:r>
    </w:p>
    <w:p w14:paraId="6DFBFBE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Одновременно с выпуском чертежей усиленного фюзеляжа от 13 июня 1942 производству были выданы эскизы на усиление 10 и 11 шпангоутов.</w:t>
      </w:r>
    </w:p>
    <w:p w14:paraId="76FB617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Статические испытания фюзеляжа с усиленными шпангоутами не проводились.</w:t>
      </w:r>
    </w:p>
    <w:p w14:paraId="24D649E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5. В связи с отсутствием на заводах 1 и 18 хвостовых частей, соответствующих первоначальным серийным чертежам, 23 июня 1942 были испытаны 2 фюзеляжа (из 12 поступивших на завод 1), изготовленные заводом 381 по серийным чертежам.</w:t>
      </w:r>
    </w:p>
    <w:p w14:paraId="4BDED82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По внешнему осмотру - кондиционные.</w:t>
      </w:r>
    </w:p>
    <w:p w14:paraId="3F16F57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Результаты испытаний показали, что хвостовая часть фюзеляжа выдерживает только 71-76% от расчетной нагрузки.</w:t>
      </w:r>
    </w:p>
    <w:p w14:paraId="6ED45B0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Таким образом, испытанные фюзеляжи нормам прочности не удовлетворяют.</w:t>
      </w:r>
    </w:p>
    <w:p w14:paraId="63B60D1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lastRenderedPageBreak/>
        <w:t>6. Ремонтный вариант по усилению хвостовой части фюзеляжа установкой 4 дюралевых профилей, выпущенные СКО завода 1 (эскиз ЭКОЗ-1298) ГК не утверждены и стат. испытаний на случай Е не проходил (1649,252).</w:t>
      </w:r>
    </w:p>
    <w:p w14:paraId="5A20FF8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Б.Технология и состояние производства</w:t>
      </w:r>
    </w:p>
    <w:p w14:paraId="3EF6AAA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При изготовлении хвостовой части на заводах 1 и 18 нарушалась инструкция ВИАМ от 27 августа 1941 по склеиванию авиадеталей - обязательная для всех заводов НКАП, и разработанный на этих заводах технологический процесс и технические условия нарушалась, как и ТУ.</w:t>
      </w:r>
    </w:p>
    <w:p w14:paraId="17FE1B7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На заводе № 18 клей перед пуском в работу не проходил испытаний. Хранение и приготовление клея производится в совершенно недопустимых условиях.</w:t>
      </w:r>
    </w:p>
    <w:p w14:paraId="0A6F962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На обоих заводах не производится мытья клеянок и бач¬ков от остатков старого клея, нет контроля за временем использования клея. Рабочие места, где производится склейка скорлуп, в антисанитарном состоянии. Нанесение клеевых растворов производится мочальными швабрами, либо резиновыми перчатками.</w:t>
      </w:r>
    </w:p>
    <w:p w14:paraId="75E0BA7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Подготовка шпона некачественная - не снимается ус и плохо зачищается шпон в месте стыковки полос, полосы после склейки, не фрезеруются по ширине. Увлажнение шпона производится замочкой в бочке с водой. При выклейке не производится укатка полос для выжимки клеевых "озер" и воздушных пузырей.</w:t>
      </w:r>
    </w:p>
    <w:p w14:paraId="495E9F6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Занижено давление при пневмопрессовании до 2-х атм. против необходимых, как минимум - 3 атм.</w:t>
      </w:r>
    </w:p>
    <w:p w14:paraId="4E161E8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Съем скорлуп с болванов после прессования производится грубо, с одной стороны, что вызывает сдвиги еще не сцементированной многослойной обшивки.</w:t>
      </w:r>
    </w:p>
    <w:p w14:paraId="419E721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Перед камерной сушкой имеет место /завод № I / выдержка сырых скорлуп в стопах, что деформирует скорлупы.</w:t>
      </w:r>
    </w:p>
    <w:p w14:paraId="768BD40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Сушка производится без достаточного прижима к решетчатым сулагам, что вызывает коробление скорлуп.</w:t>
      </w:r>
    </w:p>
    <w:p w14:paraId="6D517A5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Сушильные камеры в неудовлетворительном состоянии - течь калориферов и неравномерная циркуляция воздуха /за¬вод № I/,а по заводу № 18 - монтаж установок выполнен не¬правильно и не обеспечивает качественной сушки.</w:t>
      </w:r>
    </w:p>
    <w:p w14:paraId="69D0249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При выравнивании поверхности скорлуп применяются рубанки, - при строжке, которыми срезаются силовые слои обшивки.</w:t>
      </w:r>
    </w:p>
    <w:p w14:paraId="71198B5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Завод № I исключил операцию шпатлевки, снизил количество слоев покрытий, сведя процесс консервации к однослойной внутренней окраске и оклейке полотном с однослойной покраской внешней поверхности, нарушив таким образом, инструкцию по лакокрасочным покрытиям разработанную ВИАМ и утвержденную НКАП на период военного времени.</w:t>
      </w:r>
    </w:p>
    <w:p w14:paraId="7C03E03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Выводы</w:t>
      </w:r>
    </w:p>
    <w:p w14:paraId="3BBEC81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1. Основной причиной поломок хвостовой части фюзеляжа самолета Ил-2 при посадке является недостаточная прочность конструкции.</w:t>
      </w:r>
    </w:p>
    <w:p w14:paraId="210F40A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2. Главный конструктор тов. ИЛЬЮШИН С.В. допустил ошиб¬ку, выдав на серийное производство чертежи хвостовой части фюзеляжа не проверенные статическими испытаниями.</w:t>
      </w:r>
    </w:p>
    <w:p w14:paraId="612EEFE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3. Несоблюдение технологического процесса изготовления скорлуп на заводах № I и № 18, особенно в части обеспечения нормальной влажности и консервации, ухудшают качество хвостовой части фюзеляжа.</w:t>
      </w:r>
    </w:p>
    <w:p w14:paraId="60B71A9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Обратить внимание технического руководства заводов № I и № 18 на недопустимость отклонений от установленной технологии.</w:t>
      </w:r>
    </w:p>
    <w:p w14:paraId="6B849F6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П Р Е Д Л О Ж Е Н И Я</w:t>
      </w:r>
    </w:p>
    <w:p w14:paraId="59E3E5E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Главному конструктору:</w:t>
      </w:r>
    </w:p>
    <w:p w14:paraId="16F753F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1. Не позднее 26 июня утвердить ремонтный вариант усиления хвостовой части фюзеляжа и провести статические испытания этого варианта.</w:t>
      </w:r>
    </w:p>
    <w:p w14:paraId="295BFE8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2. Немедленно сообщить заводам, изготавливающим само¬лет ИЛ-2 об усилениях выпускаемых и ранее выпущенных самоле¬тов.</w:t>
      </w:r>
    </w:p>
    <w:p w14:paraId="49410AF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Директорам заводов № I и № 18:</w:t>
      </w:r>
    </w:p>
    <w:p w14:paraId="5F4E71D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1. Закончить не позднее 10 июля 1942 года усиление хвостовой части фюзеляжа на готовых самолетах по утвержден¬ному главным конструктором варианту и выпустить эксплуатационный бюллетень по наблюдению за состоянием хвостовой части фюзеляжа.</w:t>
      </w:r>
    </w:p>
    <w:p w14:paraId="5F72CD6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2. Провести не позднее 25 июня 1942 года полные стати¬ческие испытания хвостовой части, изготовленной по чертежам и эскизам, спущенным в производство 13 июня 1942 года.</w:t>
      </w:r>
    </w:p>
    <w:p w14:paraId="523DCE8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3. Строго руководствоваться при изготовлении хвостовой части фюзеляжа</w:t>
      </w:r>
    </w:p>
    <w:p w14:paraId="2828745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инструкцией по склеивании авиационных деталей, разработанной ВИАМ от 27 августа 1941 года, разработанного на основе этой инструкции технологического процесса и инструкцией на лакокрасочные покрытия, утвержденной НКАП на период военного времени.</w:t>
      </w:r>
    </w:p>
    <w:p w14:paraId="33043E5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4. Совместно с ВИАМом разработать:</w:t>
      </w:r>
    </w:p>
    <w:p w14:paraId="44D9734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а/ методы ускоренного испытания клея.</w:t>
      </w:r>
    </w:p>
    <w:p w14:paraId="6528C13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б/ сокращенный режим сушки скорлупы с доведением длительности до 18-22 часов, вместо 30-ти.</w:t>
      </w:r>
    </w:p>
    <w:p w14:paraId="678A157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в/ Метод упрощенной консервации фюзеляжа без снижения защитных свойств.</w:t>
      </w:r>
    </w:p>
    <w:p w14:paraId="3765EA3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5. Производить консервации хвостовых частей, исключая маскировочные покрытие, до транспортировки в малярной цех /завод № 18/.</w:t>
      </w:r>
    </w:p>
    <w:p w14:paraId="5BD823F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6. Увеличить давление при запрессовке скорлуп до 3-х атм.и время выдержки до 3-х часов.</w:t>
      </w:r>
    </w:p>
    <w:p w14:paraId="0DE8939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7. Впредь до оборудования в цехах эксгаустерной установки изолировать отделение по выклейке скорлуп, оборудовав его подводкой горячей воды для мойки полов и инвентаря; обить столы для намазки шпона оцинкованным железом, либо линолеумом.</w:t>
      </w:r>
    </w:p>
    <w:p w14:paraId="2E73186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8. Запретить хранение скорлуп в стопах, без специальных решеток сохраняющих форму скорлупы.</w:t>
      </w:r>
    </w:p>
    <w:p w14:paraId="107B9CE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9. Запретить применение, вместо циклей, рубанков /кроме снятия уса на половинах скорлупы/ при ремонте и зачистке.</w:t>
      </w:r>
    </w:p>
    <w:p w14:paraId="71401FD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10. Ввести контрольные журналы выклейки скорлупы с от¬меткой времени начала клейки, начала и конца запрессовки.</w:t>
      </w:r>
    </w:p>
    <w:p w14:paraId="4411681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ПО. ТРУБЧАТОМУ ЛОНЖЕРОНУ РУЛЯ ГЛУБИНЫ ИЗГОТОВЛЕНИЯ ЗАВОДА № 18</w:t>
      </w:r>
    </w:p>
    <w:p w14:paraId="6AD3528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I. Трубчатый лонжерон руля глубины изготавливался из цельнотянутой дюралевой трубы размерои 56x60 мм., согласно чертежа М-А320000 выданного на серийное производство СКО завода № 18.</w:t>
      </w:r>
    </w:p>
    <w:p w14:paraId="4812283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2. Серийно-конструкторским отделом завода № 18 20-го февраля и 7 марта 1942 года выданы на производство эскизы клепанной трубы лонжерона руля глубины с 2-х рядным заклепочным швом за №№ 584-КФ и 597-КФ.</w:t>
      </w:r>
    </w:p>
    <w:p w14:paraId="7B9E774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Эскизы подписаны зам. нач.СКО тов. СЕМЕРЕНЬКО и утверждены главным инженером завода тов. ВОСТРОВЫМ.</w:t>
      </w:r>
    </w:p>
    <w:p w14:paraId="0954190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3. Замена цельнотянутой трубы на клепанную произведена заводом без разрешения главного конструктора самолета Ил-2 тов. ИЛЬЮШИНА.</w:t>
      </w:r>
    </w:p>
    <w:p w14:paraId="7A50B07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4. Статические испытания руля высоты с клепаным лонжероном не производились.</w:t>
      </w:r>
    </w:p>
    <w:p w14:paraId="048E319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5. Изготовление клепаных труб цехом № 18 производилась без надлежащей подготовки производства.</w:t>
      </w:r>
    </w:p>
    <w:p w14:paraId="5E11A44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Производство не было обеспечено элементарной оснасткой - шаблоны, кондуктора.</w:t>
      </w:r>
    </w:p>
    <w:p w14:paraId="65D9297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6. Заводом № 18 выпущено 400 самолетов с клепаным лонжероном руля глубины.</w:t>
      </w:r>
    </w:p>
    <w:p w14:paraId="5719827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ВЫВОДЫ</w:t>
      </w:r>
    </w:p>
    <w:p w14:paraId="08AFECB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Главный инженер завода № 18 тов. ВОСТРОВ, начальник СКО тов. НАЗАРЕНКО, безответственно подошли к замене силовой части лонжерона руля высоты, с цельнотянутой трубы на клепаную. Замена проведена без разрешения главного конструктора и проведения статических испытаний на прочность и жесткость.</w:t>
      </w:r>
    </w:p>
    <w:p w14:paraId="6018491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Главный технолог завода тов. ДЕМИН, начальник цеха № 18 тов. КЛЕЦКИН и б. начальник ОТК завода тов. МОИСЕЕНКО не обес¬печили подготовку производства и контроля по изготовлению клепаных труб, что вызвало отклонения готового изделия от эскизов.</w:t>
      </w:r>
    </w:p>
    <w:p w14:paraId="1EB9152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Мастер цеха № 18 тов. ФЕДОРИНОВ и начальник БЦК тов. БОНДАРЕВ халатно отнеслась к изготовлению и контролю лонжеронов рулей глубины, что привело к выпуску недоброкачественной продукции.</w:t>
      </w:r>
    </w:p>
    <w:p w14:paraId="3D6D678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Таким образом на заводе № 18 имело место нарушение приказа № 518сс от 2 октября 1940 года о технологической дисциплине на заводах НКАП.</w:t>
      </w:r>
    </w:p>
    <w:p w14:paraId="2929E1F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М Е Р О П Р И Я Т Т И Я</w:t>
      </w:r>
    </w:p>
    <w:p w14:paraId="46CE897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1. Обязать директора завода № 18 тов. БЕЛЯНСКОГО А.А. произнести замену клепаных лонжеронов рулей глубины на самолетах, находящихся в ВВС КА не позднее 5 июля 1942 года.</w:t>
      </w:r>
    </w:p>
    <w:p w14:paraId="7C7D423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2. Директорам заводов №№ I и 18 руководствоваться приказом НКАП № 518сс от 2 октября 1940 года о технологи¬ческой дисциплине, привлекая виновных в нарушении его к строгой ответственности.</w:t>
      </w:r>
    </w:p>
    <w:p w14:paraId="6C61646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Председатель комиссии</w:t>
      </w:r>
    </w:p>
    <w:p w14:paraId="6F56E24B" w14:textId="77777777" w:rsidR="007C5583" w:rsidRPr="008127F8" w:rsidRDefault="007C5583" w:rsidP="007C5583">
      <w:pPr>
        <w:spacing w:after="0" w:line="240" w:lineRule="auto"/>
        <w:jc w:val="both"/>
        <w:rPr>
          <w:rFonts w:ascii="Times New Roman" w:hAnsi="Times New Roman"/>
          <w:color w:val="000000" w:themeColor="text1"/>
          <w:sz w:val="16"/>
          <w:szCs w:val="16"/>
          <w:shd w:val="clear" w:color="auto" w:fill="FFFFFF"/>
        </w:rPr>
      </w:pPr>
      <w:r w:rsidRPr="008127F8">
        <w:rPr>
          <w:rFonts w:ascii="Times New Roman" w:hAnsi="Times New Roman"/>
          <w:color w:val="000000" w:themeColor="text1"/>
          <w:sz w:val="16"/>
          <w:szCs w:val="16"/>
          <w:shd w:val="clear" w:color="auto" w:fill="FFFFFF"/>
        </w:rPr>
        <w:t>Члены комиссии (19206).</w:t>
      </w:r>
    </w:p>
    <w:p w14:paraId="73344DB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895F95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июня 1942 г. в 235 ШАП потерпел аварию самолет Ил-2, пилотируемый командиром звена ИЛЬЕЩЕНКО. На взлете отказал мотор по неустановленным причинам. Летчик сомнений не вызывает, налетал 240 часов, имея 10 бое</w:t>
      </w:r>
      <w:r w:rsidRPr="008127F8">
        <w:rPr>
          <w:rFonts w:ascii="Times New Roman" w:hAnsi="Times New Roman"/>
          <w:color w:val="000000" w:themeColor="text1"/>
          <w:sz w:val="16"/>
          <w:szCs w:val="16"/>
        </w:rPr>
        <w:softHyphen/>
        <w:t>вых вылетов (1634,292).</w:t>
      </w:r>
    </w:p>
    <w:p w14:paraId="6C8B375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D6584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июня 1942 года закончилось 50-часовое испытание мото</w:t>
      </w:r>
      <w:r w:rsidRPr="008127F8">
        <w:rPr>
          <w:rFonts w:ascii="Times New Roman" w:hAnsi="Times New Roman"/>
          <w:color w:val="000000" w:themeColor="text1"/>
          <w:sz w:val="16"/>
          <w:szCs w:val="16"/>
        </w:rPr>
        <w:softHyphen/>
        <w:t>ра М-82 з-да № 19 на станке по проверке надежнос</w:t>
      </w:r>
      <w:r w:rsidRPr="008127F8">
        <w:rPr>
          <w:rFonts w:ascii="Times New Roman" w:hAnsi="Times New Roman"/>
          <w:color w:val="000000" w:themeColor="text1"/>
          <w:sz w:val="16"/>
          <w:szCs w:val="16"/>
        </w:rPr>
        <w:softHyphen/>
        <w:t>ти работы с увеличенным временем режима взлета (форсажа), которое продолжалось с 3 июня. Результа</w:t>
      </w:r>
      <w:r w:rsidRPr="008127F8">
        <w:rPr>
          <w:rFonts w:ascii="Times New Roman" w:hAnsi="Times New Roman"/>
          <w:color w:val="000000" w:themeColor="text1"/>
          <w:sz w:val="16"/>
          <w:szCs w:val="16"/>
        </w:rPr>
        <w:softHyphen/>
        <w:t>ты оказались удовлетворительные, и завод №19 выпустил бюллетень, в котором разрешил пользоваться взлетным режимом на 1-й скорости нагнетателя в полете этапами по 5, а в исключительных случаях — до 10 минут в пределах общей продолжи</w:t>
      </w:r>
      <w:r w:rsidRPr="008127F8">
        <w:rPr>
          <w:rFonts w:ascii="Times New Roman" w:hAnsi="Times New Roman"/>
          <w:color w:val="000000" w:themeColor="text1"/>
          <w:sz w:val="16"/>
          <w:szCs w:val="16"/>
        </w:rPr>
        <w:softHyphen/>
        <w:t>тельности работы на этом режиме до первой переборки 6 часов. Это было очень важно для истребителя, посколь</w:t>
      </w:r>
      <w:r w:rsidRPr="008127F8">
        <w:rPr>
          <w:rFonts w:ascii="Times New Roman" w:hAnsi="Times New Roman"/>
          <w:color w:val="000000" w:themeColor="text1"/>
          <w:sz w:val="16"/>
          <w:szCs w:val="16"/>
        </w:rPr>
        <w:softHyphen/>
        <w:t>ку форсаж давал прирост скорости до 40 км/ч. Кроме этого, в конструкцию мото</w:t>
      </w:r>
      <w:r w:rsidRPr="008127F8">
        <w:rPr>
          <w:rFonts w:ascii="Times New Roman" w:hAnsi="Times New Roman"/>
          <w:color w:val="000000" w:themeColor="text1"/>
          <w:sz w:val="16"/>
          <w:szCs w:val="16"/>
        </w:rPr>
        <w:softHyphen/>
        <w:t>ра вместо электроинерционного стар</w:t>
      </w:r>
      <w:r w:rsidRPr="008127F8">
        <w:rPr>
          <w:rFonts w:ascii="Times New Roman" w:hAnsi="Times New Roman"/>
          <w:color w:val="000000" w:themeColor="text1"/>
          <w:sz w:val="16"/>
          <w:szCs w:val="16"/>
        </w:rPr>
        <w:softHyphen/>
        <w:t>тера (так называемый эклипс) был вве</w:t>
      </w:r>
      <w:r w:rsidRPr="008127F8">
        <w:rPr>
          <w:rFonts w:ascii="Times New Roman" w:hAnsi="Times New Roman"/>
          <w:color w:val="000000" w:themeColor="text1"/>
          <w:sz w:val="16"/>
          <w:szCs w:val="16"/>
        </w:rPr>
        <w:softHyphen/>
        <w:t>ден воздушный самопуск, что упрос</w:t>
      </w:r>
      <w:r w:rsidRPr="008127F8">
        <w:rPr>
          <w:rFonts w:ascii="Times New Roman" w:hAnsi="Times New Roman"/>
          <w:color w:val="000000" w:themeColor="text1"/>
          <w:sz w:val="16"/>
          <w:szCs w:val="16"/>
        </w:rPr>
        <w:softHyphen/>
        <w:t xml:space="preserve">тило и облегчило мотор примерно на 40 кг, но </w:t>
      </w:r>
      <w:r w:rsidRPr="008127F8">
        <w:rPr>
          <w:rFonts w:ascii="Times New Roman" w:hAnsi="Times New Roman"/>
          <w:color w:val="000000" w:themeColor="text1"/>
          <w:sz w:val="16"/>
          <w:szCs w:val="16"/>
        </w:rPr>
        <w:lastRenderedPageBreak/>
        <w:t>потребовало увеличения за</w:t>
      </w:r>
      <w:r w:rsidRPr="008127F8">
        <w:rPr>
          <w:rFonts w:ascii="Times New Roman" w:hAnsi="Times New Roman"/>
          <w:color w:val="000000" w:themeColor="text1"/>
          <w:sz w:val="16"/>
          <w:szCs w:val="16"/>
        </w:rPr>
        <w:softHyphen/>
        <w:t>паса сжатого воздуха на борту для обеспечения запуска. Ранее выпущен</w:t>
      </w:r>
      <w:r w:rsidRPr="008127F8">
        <w:rPr>
          <w:rFonts w:ascii="Times New Roman" w:hAnsi="Times New Roman"/>
          <w:color w:val="000000" w:themeColor="text1"/>
          <w:sz w:val="16"/>
          <w:szCs w:val="16"/>
        </w:rPr>
        <w:softHyphen/>
        <w:t>ные моторы 1-й серии с эклипсами стали постепенно переделываться под воздушный самопуск. В таком виде М-82 пошел в се</w:t>
      </w:r>
      <w:r w:rsidRPr="008127F8">
        <w:rPr>
          <w:rFonts w:ascii="Times New Roman" w:hAnsi="Times New Roman"/>
          <w:color w:val="000000" w:themeColor="text1"/>
          <w:sz w:val="16"/>
          <w:szCs w:val="16"/>
        </w:rPr>
        <w:softHyphen/>
        <w:t>рию на ЛаГГ-5 завода №21. Отме</w:t>
      </w:r>
      <w:r w:rsidRPr="008127F8">
        <w:rPr>
          <w:rFonts w:ascii="Times New Roman" w:hAnsi="Times New Roman"/>
          <w:color w:val="000000" w:themeColor="text1"/>
          <w:sz w:val="16"/>
          <w:szCs w:val="16"/>
        </w:rPr>
        <w:softHyphen/>
        <w:t>тим, что в это же время в Тбилиси на заводе №31 также была проведена подготовка производства для выпуска ЛаГГ-5, и в июле 1942 года началась его серийная постройка. На завод №31 были доставлены моторы М-82 первых серий с эклипсами, в резуль</w:t>
      </w:r>
      <w:r w:rsidRPr="008127F8">
        <w:rPr>
          <w:rFonts w:ascii="Times New Roman" w:hAnsi="Times New Roman"/>
          <w:color w:val="000000" w:themeColor="text1"/>
          <w:sz w:val="16"/>
          <w:szCs w:val="16"/>
        </w:rPr>
        <w:softHyphen/>
        <w:t>тате самолеты производства завода №31 имели некоторые отличия в конструкции ВМГ, да и других агрега</w:t>
      </w:r>
      <w:r w:rsidRPr="008127F8">
        <w:rPr>
          <w:rFonts w:ascii="Times New Roman" w:hAnsi="Times New Roman"/>
          <w:color w:val="000000" w:themeColor="text1"/>
          <w:sz w:val="16"/>
          <w:szCs w:val="16"/>
        </w:rPr>
        <w:softHyphen/>
        <w:t>тов. Но в августе 1942 года ГКО при</w:t>
      </w:r>
      <w:r w:rsidRPr="008127F8">
        <w:rPr>
          <w:rFonts w:ascii="Times New Roman" w:hAnsi="Times New Roman"/>
          <w:color w:val="000000" w:themeColor="text1"/>
          <w:sz w:val="16"/>
          <w:szCs w:val="16"/>
        </w:rPr>
        <w:softHyphen/>
        <w:t>нял решение оставить в производ</w:t>
      </w:r>
      <w:r w:rsidRPr="008127F8">
        <w:rPr>
          <w:rFonts w:ascii="Times New Roman" w:hAnsi="Times New Roman"/>
          <w:color w:val="000000" w:themeColor="text1"/>
          <w:sz w:val="16"/>
          <w:szCs w:val="16"/>
        </w:rPr>
        <w:softHyphen/>
        <w:t>стве на заводе №31 только самолет ЛаГГ-3, поэтому выпуск ЛаГГ-5 на нем быстро свернули. Взамен 31-го заво</w:t>
      </w:r>
      <w:r w:rsidRPr="008127F8">
        <w:rPr>
          <w:rFonts w:ascii="Times New Roman" w:hAnsi="Times New Roman"/>
          <w:color w:val="000000" w:themeColor="text1"/>
          <w:sz w:val="16"/>
          <w:szCs w:val="16"/>
        </w:rPr>
        <w:softHyphen/>
        <w:t>да в том же августе к выпуску Ла-5 был подключен завод №99 в Улан-Удэ, а в октябре 1942 года - завод №381 в Нижнем Тагиле, в 1943 году переведенный в Москву (10699).</w:t>
      </w:r>
    </w:p>
    <w:p w14:paraId="410454B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328C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июня 1942 на заводе 19 закончились 50 часовые испытания М-82 с увеличенным количеством часов работы на взлетном режиме, которые начались 3 июня 1942 (737,9).</w:t>
      </w:r>
    </w:p>
    <w:p w14:paraId="543988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3D09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июня 1942 вышел приказ НКАП N 433сс/ов "О постройке войсковой серии и модификациях самолетов перехватчиков конструкции Болховитинова с ракетными двигателями Д1-А-1100 конструкции НИИ-3"</w:t>
      </w:r>
    </w:p>
    <w:p w14:paraId="46B187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исполнение постановления ГКО от 9 июня 1942 N 1903сс/ов:</w:t>
      </w:r>
    </w:p>
    <w:p w14:paraId="23990CB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Директору и ГК завода 293 Болховитинову:</w:t>
      </w:r>
    </w:p>
    <w:p w14:paraId="418AD17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построить на заводе 293 малую серию самолетов перехватчиков в количестве 30 шт и двигателей к ним типа Д1-А-1100 в количестве 60 экз. с выпуском: 5 к 3 июля, 5 в августе, 10 в сентябре и октябре</w:t>
      </w:r>
    </w:p>
    <w:p w14:paraId="05932A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2552"/>
      </w:tblGrid>
      <w:tr w:rsidR="007C5583" w:rsidRPr="008127F8" w14:paraId="674CA8BF" w14:textId="77777777" w:rsidTr="004C5D62">
        <w:tc>
          <w:tcPr>
            <w:tcW w:w="8046" w:type="dxa"/>
            <w:tcBorders>
              <w:top w:val="single" w:sz="12" w:space="0" w:color="auto"/>
            </w:tcBorders>
          </w:tcPr>
          <w:p w14:paraId="79C71AE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 скорость у земли</w:t>
            </w:r>
          </w:p>
        </w:tc>
        <w:tc>
          <w:tcPr>
            <w:tcW w:w="2552" w:type="dxa"/>
            <w:tcBorders>
              <w:top w:val="single" w:sz="12" w:space="0" w:color="auto"/>
            </w:tcBorders>
          </w:tcPr>
          <w:p w14:paraId="665F0B9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- 960 км/час</w:t>
            </w:r>
          </w:p>
        </w:tc>
      </w:tr>
      <w:tr w:rsidR="007C5583" w:rsidRPr="008127F8" w14:paraId="56A96B6A" w14:textId="77777777" w:rsidTr="004C5D62">
        <w:tc>
          <w:tcPr>
            <w:tcW w:w="8046" w:type="dxa"/>
          </w:tcPr>
          <w:p w14:paraId="02F2A22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 скорость на высоте 5000</w:t>
            </w:r>
          </w:p>
        </w:tc>
        <w:tc>
          <w:tcPr>
            <w:tcW w:w="2552" w:type="dxa"/>
          </w:tcPr>
          <w:p w14:paraId="314246F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- 900 км/час</w:t>
            </w:r>
          </w:p>
        </w:tc>
      </w:tr>
      <w:tr w:rsidR="007C5583" w:rsidRPr="008127F8" w14:paraId="23FDE810" w14:textId="77777777" w:rsidTr="004C5D62">
        <w:tc>
          <w:tcPr>
            <w:tcW w:w="8046" w:type="dxa"/>
          </w:tcPr>
          <w:p w14:paraId="3C8AB1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набора 1000 м</w:t>
            </w:r>
          </w:p>
        </w:tc>
        <w:tc>
          <w:tcPr>
            <w:tcW w:w="2552" w:type="dxa"/>
          </w:tcPr>
          <w:p w14:paraId="2FD1F05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- 8.3 с</w:t>
            </w:r>
          </w:p>
        </w:tc>
      </w:tr>
      <w:tr w:rsidR="007C5583" w:rsidRPr="008127F8" w14:paraId="72B1476C" w14:textId="77777777" w:rsidTr="004C5D62">
        <w:tc>
          <w:tcPr>
            <w:tcW w:w="8046" w:type="dxa"/>
          </w:tcPr>
          <w:p w14:paraId="5EBC78F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полета на скорости 600 км/час</w:t>
            </w:r>
          </w:p>
        </w:tc>
        <w:tc>
          <w:tcPr>
            <w:tcW w:w="2552" w:type="dxa"/>
          </w:tcPr>
          <w:p w14:paraId="7F797CA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- 3 мин. 30 с</w:t>
            </w:r>
          </w:p>
        </w:tc>
      </w:tr>
      <w:tr w:rsidR="007C5583" w:rsidRPr="008127F8" w14:paraId="20043EB6" w14:textId="77777777" w:rsidTr="004C5D62">
        <w:tc>
          <w:tcPr>
            <w:tcW w:w="8046" w:type="dxa"/>
          </w:tcPr>
          <w:p w14:paraId="160DF23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потолок</w:t>
            </w:r>
          </w:p>
        </w:tc>
        <w:tc>
          <w:tcPr>
            <w:tcW w:w="2552" w:type="dxa"/>
          </w:tcPr>
          <w:p w14:paraId="30113AA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- 7500 м</w:t>
            </w:r>
          </w:p>
        </w:tc>
      </w:tr>
      <w:tr w:rsidR="007C5583" w:rsidRPr="008127F8" w14:paraId="1F07265B" w14:textId="77777777" w:rsidTr="004C5D62">
        <w:tc>
          <w:tcPr>
            <w:tcW w:w="8046" w:type="dxa"/>
            <w:tcBorders>
              <w:bottom w:val="single" w:sz="12" w:space="0" w:color="auto"/>
            </w:tcBorders>
          </w:tcPr>
          <w:p w14:paraId="5DE693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посадочная скорость</w:t>
            </w:r>
          </w:p>
        </w:tc>
        <w:tc>
          <w:tcPr>
            <w:tcW w:w="2552" w:type="dxa"/>
            <w:tcBorders>
              <w:bottom w:val="single" w:sz="12" w:space="0" w:color="auto"/>
            </w:tcBorders>
          </w:tcPr>
          <w:p w14:paraId="71B099B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- 130 км/час</w:t>
            </w:r>
          </w:p>
        </w:tc>
      </w:tr>
    </w:tbl>
    <w:p w14:paraId="70572F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w:t>
      </w:r>
    </w:p>
    <w:p w14:paraId="5BB99B1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пушки 20 мм с боезапасом по 45 снарядов на каждую</w:t>
      </w:r>
    </w:p>
    <w:p w14:paraId="7A7F1D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спроектировать и построить модификацию самолета перехватчика в количестве 4 экз. (из малой серии) со след. ЛД:</w:t>
      </w:r>
    </w:p>
    <w:p w14:paraId="79AB771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самолета со сферическими баками: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2552"/>
      </w:tblGrid>
      <w:tr w:rsidR="007C5583" w:rsidRPr="008127F8" w14:paraId="3B443336" w14:textId="77777777" w:rsidTr="004C5D62">
        <w:tc>
          <w:tcPr>
            <w:tcW w:w="8046" w:type="dxa"/>
            <w:tcBorders>
              <w:top w:val="single" w:sz="12" w:space="0" w:color="auto"/>
            </w:tcBorders>
          </w:tcPr>
          <w:p w14:paraId="4203B81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 скорость у земли</w:t>
            </w:r>
          </w:p>
        </w:tc>
        <w:tc>
          <w:tcPr>
            <w:tcW w:w="2552" w:type="dxa"/>
            <w:tcBorders>
              <w:top w:val="single" w:sz="12" w:space="0" w:color="auto"/>
            </w:tcBorders>
          </w:tcPr>
          <w:p w14:paraId="23BA40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- 960 км/час</w:t>
            </w:r>
          </w:p>
        </w:tc>
      </w:tr>
      <w:tr w:rsidR="007C5583" w:rsidRPr="008127F8" w14:paraId="3B584C43" w14:textId="77777777" w:rsidTr="004C5D62">
        <w:tc>
          <w:tcPr>
            <w:tcW w:w="8046" w:type="dxa"/>
          </w:tcPr>
          <w:p w14:paraId="426D690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 скорость на высоте 5000</w:t>
            </w:r>
          </w:p>
        </w:tc>
        <w:tc>
          <w:tcPr>
            <w:tcW w:w="2552" w:type="dxa"/>
          </w:tcPr>
          <w:p w14:paraId="7A62CCD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- 900 км/час</w:t>
            </w:r>
          </w:p>
        </w:tc>
      </w:tr>
      <w:tr w:rsidR="007C5583" w:rsidRPr="008127F8" w14:paraId="01ACF87D" w14:textId="77777777" w:rsidTr="004C5D62">
        <w:tc>
          <w:tcPr>
            <w:tcW w:w="8046" w:type="dxa"/>
          </w:tcPr>
          <w:p w14:paraId="4572743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набора 1000 м</w:t>
            </w:r>
          </w:p>
        </w:tc>
        <w:tc>
          <w:tcPr>
            <w:tcW w:w="2552" w:type="dxa"/>
          </w:tcPr>
          <w:p w14:paraId="52E04B1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- 8.3 с</w:t>
            </w:r>
          </w:p>
        </w:tc>
      </w:tr>
      <w:tr w:rsidR="007C5583" w:rsidRPr="008127F8" w14:paraId="4BD8AD90" w14:textId="77777777" w:rsidTr="004C5D62">
        <w:tc>
          <w:tcPr>
            <w:tcW w:w="8046" w:type="dxa"/>
          </w:tcPr>
          <w:p w14:paraId="63C58C0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полета на скорости 600 км/час</w:t>
            </w:r>
          </w:p>
        </w:tc>
        <w:tc>
          <w:tcPr>
            <w:tcW w:w="2552" w:type="dxa"/>
          </w:tcPr>
          <w:p w14:paraId="2C9ADB3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- 4 мин. 30 с</w:t>
            </w:r>
          </w:p>
        </w:tc>
      </w:tr>
      <w:tr w:rsidR="007C5583" w:rsidRPr="008127F8" w14:paraId="13A6BFF4" w14:textId="77777777" w:rsidTr="004C5D62">
        <w:tc>
          <w:tcPr>
            <w:tcW w:w="8046" w:type="dxa"/>
          </w:tcPr>
          <w:p w14:paraId="52874C5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потолок</w:t>
            </w:r>
          </w:p>
        </w:tc>
        <w:tc>
          <w:tcPr>
            <w:tcW w:w="2552" w:type="dxa"/>
          </w:tcPr>
          <w:p w14:paraId="2B87CBE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- 12000 м</w:t>
            </w:r>
          </w:p>
        </w:tc>
      </w:tr>
      <w:tr w:rsidR="007C5583" w:rsidRPr="008127F8" w14:paraId="63EB80A7" w14:textId="77777777" w:rsidTr="004C5D62">
        <w:tc>
          <w:tcPr>
            <w:tcW w:w="8046" w:type="dxa"/>
          </w:tcPr>
          <w:p w14:paraId="7F1EB55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посадочная скорость</w:t>
            </w:r>
          </w:p>
        </w:tc>
        <w:tc>
          <w:tcPr>
            <w:tcW w:w="2552" w:type="dxa"/>
          </w:tcPr>
          <w:p w14:paraId="582022F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- 130 км/час</w:t>
            </w:r>
          </w:p>
        </w:tc>
      </w:tr>
      <w:tr w:rsidR="007C5583" w:rsidRPr="008127F8" w14:paraId="7FC05C00" w14:textId="77777777" w:rsidTr="004C5D62">
        <w:tc>
          <w:tcPr>
            <w:tcW w:w="8046" w:type="dxa"/>
          </w:tcPr>
          <w:p w14:paraId="5CB375B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самолета со сферическими баками и доп. 2-мя прямоточными ВРД на концах крыльев:</w:t>
            </w:r>
          </w:p>
        </w:tc>
        <w:tc>
          <w:tcPr>
            <w:tcW w:w="2552" w:type="dxa"/>
          </w:tcPr>
          <w:p w14:paraId="6BB7A84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DB69BC1" w14:textId="77777777" w:rsidTr="004C5D62">
        <w:tc>
          <w:tcPr>
            <w:tcW w:w="8046" w:type="dxa"/>
          </w:tcPr>
          <w:p w14:paraId="1196578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 скорость у земли</w:t>
            </w:r>
          </w:p>
        </w:tc>
        <w:tc>
          <w:tcPr>
            <w:tcW w:w="2552" w:type="dxa"/>
          </w:tcPr>
          <w:p w14:paraId="4FA87C5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- 900 км/час</w:t>
            </w:r>
          </w:p>
        </w:tc>
      </w:tr>
      <w:tr w:rsidR="007C5583" w:rsidRPr="008127F8" w14:paraId="54CD0656" w14:textId="77777777" w:rsidTr="004C5D62">
        <w:tc>
          <w:tcPr>
            <w:tcW w:w="8046" w:type="dxa"/>
          </w:tcPr>
          <w:p w14:paraId="3181EA8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 скорость на высоте 5000</w:t>
            </w:r>
          </w:p>
        </w:tc>
        <w:tc>
          <w:tcPr>
            <w:tcW w:w="2552" w:type="dxa"/>
          </w:tcPr>
          <w:p w14:paraId="600FAF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- 900 км/час</w:t>
            </w:r>
          </w:p>
        </w:tc>
      </w:tr>
      <w:tr w:rsidR="007C5583" w:rsidRPr="008127F8" w14:paraId="59EC9DD9" w14:textId="77777777" w:rsidTr="004C5D62">
        <w:tc>
          <w:tcPr>
            <w:tcW w:w="8046" w:type="dxa"/>
          </w:tcPr>
          <w:p w14:paraId="5878F19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набора 1000 м</w:t>
            </w:r>
          </w:p>
        </w:tc>
        <w:tc>
          <w:tcPr>
            <w:tcW w:w="2552" w:type="dxa"/>
          </w:tcPr>
          <w:p w14:paraId="32D96B0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- 5 с</w:t>
            </w:r>
          </w:p>
        </w:tc>
      </w:tr>
      <w:tr w:rsidR="007C5583" w:rsidRPr="008127F8" w14:paraId="49F7C04E" w14:textId="77777777" w:rsidTr="004C5D62">
        <w:tc>
          <w:tcPr>
            <w:tcW w:w="8046" w:type="dxa"/>
          </w:tcPr>
          <w:p w14:paraId="65707CA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полета на скорости 600 км/час</w:t>
            </w:r>
          </w:p>
        </w:tc>
        <w:tc>
          <w:tcPr>
            <w:tcW w:w="2552" w:type="dxa"/>
          </w:tcPr>
          <w:p w14:paraId="276ADEF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- 7 мин.</w:t>
            </w:r>
          </w:p>
        </w:tc>
      </w:tr>
      <w:tr w:rsidR="007C5583" w:rsidRPr="008127F8" w14:paraId="254F6D0B" w14:textId="77777777" w:rsidTr="004C5D62">
        <w:tc>
          <w:tcPr>
            <w:tcW w:w="8046" w:type="dxa"/>
          </w:tcPr>
          <w:p w14:paraId="40995AB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потолок</w:t>
            </w:r>
          </w:p>
        </w:tc>
        <w:tc>
          <w:tcPr>
            <w:tcW w:w="2552" w:type="dxa"/>
          </w:tcPr>
          <w:p w14:paraId="563AB5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- 9000 м</w:t>
            </w:r>
          </w:p>
        </w:tc>
      </w:tr>
      <w:tr w:rsidR="007C5583" w:rsidRPr="008127F8" w14:paraId="159C6EFE" w14:textId="77777777" w:rsidTr="004C5D62">
        <w:tc>
          <w:tcPr>
            <w:tcW w:w="8046" w:type="dxa"/>
          </w:tcPr>
          <w:p w14:paraId="7317134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посадочная скорость</w:t>
            </w:r>
          </w:p>
        </w:tc>
        <w:tc>
          <w:tcPr>
            <w:tcW w:w="2552" w:type="dxa"/>
          </w:tcPr>
          <w:p w14:paraId="574BE4F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- 130 км/час</w:t>
            </w:r>
          </w:p>
        </w:tc>
      </w:tr>
      <w:tr w:rsidR="007C5583" w:rsidRPr="008127F8" w14:paraId="29DFC40C" w14:textId="77777777" w:rsidTr="004C5D62">
        <w:tc>
          <w:tcPr>
            <w:tcW w:w="8046" w:type="dxa"/>
          </w:tcPr>
          <w:p w14:paraId="2D5AB8C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 следующим вооружением всех 4:</w:t>
            </w:r>
          </w:p>
        </w:tc>
        <w:tc>
          <w:tcPr>
            <w:tcW w:w="2552" w:type="dxa"/>
          </w:tcPr>
          <w:p w14:paraId="0C6F6E1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E1185F8" w14:textId="77777777" w:rsidTr="004C5D62">
        <w:tc>
          <w:tcPr>
            <w:tcW w:w="8046" w:type="dxa"/>
          </w:tcPr>
          <w:p w14:paraId="0870C9B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пушки 20 мм с боезапасом по 60 снарядов на каждую</w:t>
            </w:r>
          </w:p>
        </w:tc>
        <w:tc>
          <w:tcPr>
            <w:tcW w:w="2552" w:type="dxa"/>
          </w:tcPr>
          <w:p w14:paraId="69F744A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7DBEACE" w14:textId="77777777" w:rsidTr="004C5D62">
        <w:tc>
          <w:tcPr>
            <w:tcW w:w="8046" w:type="dxa"/>
          </w:tcPr>
          <w:p w14:paraId="114D69F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выпуском на гос. испытания:</w:t>
            </w:r>
          </w:p>
        </w:tc>
        <w:tc>
          <w:tcPr>
            <w:tcW w:w="2552" w:type="dxa"/>
          </w:tcPr>
          <w:p w14:paraId="61E7E22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E048AFB" w14:textId="77777777" w:rsidTr="004C5D62">
        <w:tc>
          <w:tcPr>
            <w:tcW w:w="8046" w:type="dxa"/>
          </w:tcPr>
          <w:p w14:paraId="6ACBA53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первых 2-х</w:t>
            </w:r>
          </w:p>
        </w:tc>
        <w:tc>
          <w:tcPr>
            <w:tcW w:w="2552" w:type="dxa"/>
          </w:tcPr>
          <w:p w14:paraId="218F35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августа 1942</w:t>
            </w:r>
          </w:p>
        </w:tc>
      </w:tr>
      <w:tr w:rsidR="007C5583" w:rsidRPr="008127F8" w14:paraId="456613EC" w14:textId="77777777" w:rsidTr="004C5D62">
        <w:tc>
          <w:tcPr>
            <w:tcW w:w="8046" w:type="dxa"/>
            <w:tcBorders>
              <w:bottom w:val="single" w:sz="12" w:space="0" w:color="auto"/>
            </w:tcBorders>
          </w:tcPr>
          <w:p w14:paraId="5F546EF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вторых 2-х</w:t>
            </w:r>
          </w:p>
        </w:tc>
        <w:tc>
          <w:tcPr>
            <w:tcW w:w="2552" w:type="dxa"/>
            <w:tcBorders>
              <w:bottom w:val="single" w:sz="12" w:space="0" w:color="auto"/>
            </w:tcBorders>
          </w:tcPr>
          <w:p w14:paraId="4532B56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октября 1942</w:t>
            </w:r>
          </w:p>
        </w:tc>
      </w:tr>
    </w:tbl>
    <w:p w14:paraId="781726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работу по этим перехватчикам считать особо секретной и для обеспечения особой секретности работ...(1557,12).</w:t>
      </w:r>
    </w:p>
    <w:p w14:paraId="2B3EB09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81F34B"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июня 1942 года первый ЛаГГ-5 впервые взлетел. В его конструкцию был внесен ряд изменений, к примеру: автоматические предкрылки, улучшавшие летные характеристики машины на малых скоростях. Претерпела изменения и конструкция фюзеляжа в месте установки радиатора. Для введения этих усовершенствований пришлось заново переделать 35 % чертежей. Для завода-изготовителя ситуация складывалась еще хуже — предстояло изготовить 67 новых пресс-форм и внести изменения в конструкцию еще 90 существующих. Подобная ситуация складывалась и с другими технологическими приспособлениями. В таких условиях постройка десяти предсерийных ЛаГГ-5 (такое обозначение присвоили самолету) велась практически полукустарным способом. Новая машина также получила обозначение «тип 37» в рамках системы, использовавшейся на 21-м заводе (23547).</w:t>
      </w:r>
    </w:p>
    <w:p w14:paraId="035F5446" w14:textId="77777777" w:rsidR="004F1B3C" w:rsidRPr="008A2E5A" w:rsidRDefault="004F1B3C" w:rsidP="004F1B3C">
      <w:pPr>
        <w:spacing w:after="0" w:line="240" w:lineRule="auto"/>
        <w:jc w:val="both"/>
        <w:rPr>
          <w:rFonts w:ascii="Times New Roman" w:hAnsi="Times New Roman"/>
          <w:color w:val="0070C0"/>
          <w:sz w:val="16"/>
          <w:szCs w:val="16"/>
        </w:rPr>
      </w:pPr>
    </w:p>
    <w:p w14:paraId="1F09693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и 16 июня 1942 года вышли приказы НКАП № 423сс и № 483сс во исполнение решения ГОКО № 1903 от 9 января 1942 года о реэвакуации з-да № 293 из Билимбая в Химки. Реэвакуация завода № 293 МАП была закончена в начале июня 1943 года (9360).</w:t>
      </w:r>
    </w:p>
    <w:p w14:paraId="471582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4C76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июня 1942 г. по приказу НКАП № 433сс/ов во исполнение постановления ГОКО от 9.06.1942 г. с Кировского завода на завод № 293 переведена группа А.М. Люльки (23 чел.) для продолжения работ по ТРД (на заводе- с 1.07.1942 г.). В 1943 г. Люлька переведен в ЦИАМ.СМ-3-4/97 Этим же приказом планировалось перевести на завод конструкторскую группу Л.С. Душкина (В.А. Штоколов, А.В. Палло и др.) из НИИ-3 НКБ, однако, это не было осуществлено (10776).</w:t>
      </w:r>
    </w:p>
    <w:p w14:paraId="53771D0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A134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июня 1942 г. в соответствии с пост. СНК № 913-472сс и приказом № 287с от 16.04.1942 г. мастерские по ремонту двигателей М-11, М-88, М-89, М-105, М-35, М-38 (действовал цех по производству 82-мм батальонных минометов. Начальник мастерских - А.И. Седов), созданные в Воронеже 28 декабря 1941 г. по приказу № 1090с на площадке эвакуированного завода (Завод № 16 ВСНХ, НКТП, НКОП, Завод № 16 им. Сталина НКАП, МАП, п/я 735, Казанское Моторостроительное ПО (КМПО), ОАО «КМПО» / г. Воронеж ул. Кольцовская;  г. Казань с. Караваево/ /Татарстан 420036  г. Казань ул. Дементьева, 1 тел. 54-14-32, 71-94-01/ /Московское представительство: тел. 755-42-39/) должны были получить наименование ГС завод № 444 НКАП. Возможно, так и было некоторое время. Но затем по приказу № 185с от 2.04.1943 г. на площадке бывшего завода № 16 организован завод по ремонту авиамоторов и производству запчастей, который получил наименование завод № 265 при ЗГУ НКАП.</w:t>
      </w:r>
    </w:p>
    <w:p w14:paraId="126D39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30.05.1942 г. вышло постановление ГКО № 1831 об увеличении выпуска на заводе мотора М-105Р. В соответствии с пост. ГКО № 2412 от 14.10.1942 г. завод перешел с производства М-105Р на М-105ПФ, 25.12.1942 г. вышло постановление ГКО № 2654 об ускорении перевода завода только на выпуск М-105ПФ.</w:t>
      </w:r>
    </w:p>
    <w:p w14:paraId="034A10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МАП № 241 заводу поручено производство трофейного ТРД БМВ-004 с выпуском в 1945 г. 30 двигателей. В соответствии с пост. ГКО в 1946 г. на завод передано 1232 единицы (150 вагонов) трофейного оборудования с завода БМВ в  г. Басдорф (Германия).</w:t>
      </w:r>
    </w:p>
    <w:p w14:paraId="4B69598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на старую площадку завода в Воронеже реэвакуирован завод № 154 из Андижана.</w:t>
      </w:r>
    </w:p>
    <w:p w14:paraId="239D1A6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закрытия в 1948 г. ОКБ-16 С.Д. Колосов продолжил работать на заводе № 16 МАП по газотурбинной установке М-1 для ВМФ. С 05.1954 г. он назначен гл. конструктором СКБ газотурбинных установок на ЮТЗ.</w:t>
      </w:r>
    </w:p>
    <w:p w14:paraId="5D0B3B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1950 г. создан турбовинтовой двигатель для кораблей ТРДВ-1 (5200 л. е.).</w:t>
      </w:r>
    </w:p>
    <w:p w14:paraId="12E688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ПСМ № 3193-1214 от 10.07.1952 г. на заводе начата подготовка к производству двигателя АМ-3 для Ту-16.</w:t>
      </w:r>
    </w:p>
    <w:p w14:paraId="30FCF7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1948-67 г. завод имел наименование «п/я 735». В соответствии с пост. СМ СССР № 713-342 от 26.06.1957 г. передан в ведение СНХ РСФСР.</w:t>
      </w:r>
    </w:p>
    <w:p w14:paraId="73A2ED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1976 г. - Казанское МПО, с 1993 г. - ОАО «КМПО». В 03.1997 г. вошло в ФПГ «Двигатели НК».</w:t>
      </w:r>
      <w:r w:rsidRPr="008127F8">
        <w:rPr>
          <w:rFonts w:ascii="Times New Roman" w:hAnsi="Times New Roman"/>
          <w:color w:val="000000" w:themeColor="text1"/>
          <w:sz w:val="16"/>
          <w:szCs w:val="16"/>
          <w:vertAlign w:val="superscript"/>
        </w:rPr>
        <w:t>50</w:t>
      </w:r>
      <w:r w:rsidRPr="008127F8">
        <w:rPr>
          <w:rFonts w:ascii="Times New Roman" w:hAnsi="Times New Roman"/>
          <w:color w:val="000000" w:themeColor="text1"/>
          <w:sz w:val="16"/>
          <w:szCs w:val="16"/>
        </w:rPr>
        <w:t xml:space="preserve"> По решению правительства № 22-р от 9.01.2004 г. вошло в перечень стратегических предприятий.</w:t>
      </w:r>
    </w:p>
    <w:p w14:paraId="4C89F9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2002 г. велись работы по организации участка сборки и испытаний ТВлД </w:t>
      </w:r>
      <w:r w:rsidRPr="008127F8">
        <w:rPr>
          <w:rFonts w:ascii="Times New Roman" w:hAnsi="Times New Roman"/>
          <w:color w:val="000000" w:themeColor="text1"/>
          <w:sz w:val="16"/>
          <w:szCs w:val="16"/>
          <w:lang w:val="en-US"/>
        </w:rPr>
        <w:t>PW</w:t>
      </w:r>
      <w:r w:rsidRPr="008127F8">
        <w:rPr>
          <w:rFonts w:ascii="Times New Roman" w:hAnsi="Times New Roman"/>
          <w:color w:val="000000" w:themeColor="text1"/>
          <w:sz w:val="16"/>
          <w:szCs w:val="16"/>
        </w:rPr>
        <w:t>207 для вертолета «Ансат».</w:t>
      </w:r>
    </w:p>
    <w:p w14:paraId="6425A79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Численность персонала (2003 г.)- около 12. 000 чел.</w:t>
      </w:r>
    </w:p>
    <w:p w14:paraId="139A591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(-06-29.08.1937 г.)-  Г.С. Девдариани (снят), (29.08.1937 г.-)- М.М. Лукин, (-09.1941 г.-)- В.И. Сухорукое, (-08.1942-04.1945 г.-)- М.М. Лукин, (03.1946 г.)- Тарасов, (1960-е  г.)- Р.Е. Загребельный. Гендиректор (1968-82 г.)- П.А. Витер, (1982-2003 г.-)- А.Ф. Павлов,</w:t>
      </w:r>
      <w:r w:rsidRPr="008127F8">
        <w:rPr>
          <w:rFonts w:ascii="Times New Roman" w:hAnsi="Times New Roman"/>
          <w:color w:val="000000" w:themeColor="text1"/>
          <w:sz w:val="16"/>
          <w:szCs w:val="16"/>
          <w:vertAlign w:val="superscript"/>
        </w:rPr>
        <w:t>49</w:t>
      </w:r>
      <w:r w:rsidRPr="008127F8">
        <w:rPr>
          <w:rFonts w:ascii="Times New Roman" w:hAnsi="Times New Roman"/>
          <w:color w:val="000000" w:themeColor="text1"/>
          <w:sz w:val="16"/>
          <w:szCs w:val="16"/>
        </w:rPr>
        <w:t xml:space="preserve"> (-10.2004-05 г.-&gt; Д.З. Каримуллин.</w:t>
      </w:r>
    </w:p>
    <w:p w14:paraId="2357B08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(06.1937 г.)- М.П. Макарук; начальник филиала (1940-41 г.)- ДА. Морозов; по производству (1975 г.-)- А.Ф. Павлов; по ПВО и охране (25.12.1938 г.-)- А.С. Хорошилов. Помощник директора по найму и увольнению (27.11.1938 г.-)- И.И. Карпов.</w:t>
      </w:r>
    </w:p>
    <w:p w14:paraId="761BEC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Коммерческий директор (10.2004 г.)- А.В. Березкин.</w:t>
      </w:r>
    </w:p>
    <w:p w14:paraId="28426E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(1937 г.)- А.С. Назаров (переведен из ОКБ-29, в том же году арестован из-за катастрофы «7211»), (-1941 г.)- С.Д. Колосов, (1954-63 г.)- П.Ф. Зубец, (2002 г.)- И.Х. Фахрутдинов.</w:t>
      </w:r>
    </w:p>
    <w:p w14:paraId="178F26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(06.1937 г.)- М.П. Макарук, (2002 г.)- М. Г. Хабибуллин.</w:t>
      </w:r>
      <w:r w:rsidRPr="008127F8">
        <w:rPr>
          <w:rFonts w:ascii="Times New Roman" w:hAnsi="Times New Roman"/>
          <w:color w:val="000000" w:themeColor="text1"/>
          <w:sz w:val="16"/>
          <w:szCs w:val="16"/>
          <w:vertAlign w:val="superscript"/>
        </w:rPr>
        <w:t>69</w:t>
      </w:r>
    </w:p>
    <w:p w14:paraId="69BFB1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Серийного КБ (01.1942-04.1944 г.)- С.Д. Колосов.</w:t>
      </w:r>
    </w:p>
    <w:p w14:paraId="79FCDA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ПД: М-11 (1935-37-), МВ-4, МВ-6, МВ-12, М-105Р (1941-42), М-105ПФ (1942-); ТРД РД-20, РД-500, АЛ-3, ВК-1, РД-ЗМ-500, НК-4, НК-8-2, НК-8-3 (1967-76)- 100, НК-8-4 (1964-79), НК-8-4К- 15, НК-8-2У (1972-2004-)- более 2500, НК-16, НК-86 (1980-2004-), НК-87 (1986-), НК-93 (2004), АИ-22 (2004), поршневой П- 800 (2004), М29П (2004); корпуса для РДТТ 5С47 (1960-е); приводы для газоперекачивающих агрегатов НК- 16СТ, НК-38СТ (2002), ГТ-009, ГПА-8,16; ремонт НК-8-2У, НК-86 (2002); автоматическая газораспределительная станция АГРС «Исток»; гидромеханическая передача для городских автобусов; газовая турбина для ТЭЦ (2004) (11982).</w:t>
      </w:r>
    </w:p>
    <w:p w14:paraId="745EC6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E707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июня 1942 г. в соответствии с постановлением СНК № 913-472сс и приказом № 287с от 16.04.1942 г., в связи с преобразованием Главремуправления в 6ГУ НКАП, ремонтный завод на площадке эвакуированного завода № 301 переименован в ГС завод № 301 6ГУ НКАП.</w:t>
      </w:r>
    </w:p>
    <w:p w14:paraId="240518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798с от 23.10.1942 г. заводу № 301 передан филиал завода № 482 НКАП (механические мастерские) для организации цеха по ремонту и изготовлению плоскостей Як-7. По приказу № 58с от 30.01.1943 г. для усиления производственной базы по выпуску крыльев Як-7 заводу № 301 передан деревообделочный филиал завода № 293 НКАП в дер. Новая Лужа Химкинского р-на со всеми сооружениями. </w:t>
      </w:r>
    </w:p>
    <w:p w14:paraId="729BA6F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(и более раннему № 326с от 8.08.1945 г.) филиал завода № 301 передан из 1ГУ в 7ГУ в распоряжение завода № 156 для расширения работ по Ту-4.</w:t>
      </w:r>
    </w:p>
    <w:p w14:paraId="5860B5B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393с от 2.10.1945 г. на площадку завода № 301 переводен с кадрами и оборудованием завод № 81 НКАП и с 1.09.1945 г. влит в состав завода № 301. В связи с этим с 1.09.1945 г. завод № 301 передан в 7ГУ как опытный завод. В 12.1945 г. на завод переведено ОКБ гл. конструктора С.А. Лавочкина и переименовано в ОКБ-301. Завод стал его опытной базой. Производство крыльев для Як-9 прекращено.</w:t>
      </w:r>
    </w:p>
    <w:p w14:paraId="1127BD4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48с от 8.02.1946 г. для усиления конструкторских кадров в ОКБ-301 переведены из ОКБ-31 завода № 458 НКАП (бывшее ОКБ В.П. Горбунова) 22 ИТР с архивом.</w:t>
      </w:r>
    </w:p>
    <w:p w14:paraId="3C95A63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09.1950 г. началась разработка и опытное производство управляемой ракетной техники. С 1.10.1951 г. завод передан из 7ГУ в 6ГУ. Из НИИ-88 МВ в ОКБ-301 переданы наработки по ЗУР, перешла работать группа Бабакина.</w:t>
      </w:r>
    </w:p>
    <w:p w14:paraId="54172A4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1955 г. в ОКБ-301 переведена часть кадров (39 чел.) расформированного КБ завода № 82. </w:t>
      </w:r>
    </w:p>
    <w:p w14:paraId="17BDE7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08.1955 г. КБ завода № 82 МОП было восстановлено и подчинено ОКБ-301 С.М. Лавочкина.</w:t>
      </w:r>
    </w:p>
    <w:p w14:paraId="6B75161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1960 г.- ГС завод им. С.А. Лавочкина. </w:t>
      </w:r>
    </w:p>
    <w:p w14:paraId="05DCBC5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18.12.1962 г. по конец 1964 г. ОКБ-301 перешло в подчинение ОКБ-52 В.Н. Челомея в качестве филиала № 3 (начальник филиала- А.И. Эйдис). Возложена задача доводки и модернизации морских КР П-5, П-6, П-7, П-120, П-500, «Аметист». В соответствии с постановлением СМ от 18.12.1962 г. с завода № 642 передано производство П-25.3</w:t>
      </w:r>
    </w:p>
    <w:p w14:paraId="0032C6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03.1965 г., вновь став самостоятельным, завод им. Лавочкина ГКОТ передан в подчинение 3ГУ МОМ и по приказу от 6.03.1966 г. преобразован в Машиностроительный завод им. С.А. Лавочкина. Началась разработка космической техники. В 1974 г. завод преобразован в НПО им. С.А. Лавочкина.</w:t>
      </w:r>
    </w:p>
    <w:p w14:paraId="370174D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06.1950 г. вышло постановление СМ СССР о создании мишени «201» (Ла-17) (гл. конструктор- И.А. Меркулов, затем- А.Г. Чесноков). В 06.1956 г.- постановление СМ СССР о разработке на базе Ла-17 разведчика «210-ФР». В 11.1960 г.- постановление о создании разведчика «204». В 11.1961 г.- постановление СМ СССР о создании Ла-17ММ (госиспытания- в 10-12.1963 г.).</w:t>
      </w:r>
    </w:p>
    <w:p w14:paraId="4DEC828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10.03.1952 г. вышло постановление № 1264-417 о создании ЗУР «207» (В-300). </w:t>
      </w:r>
    </w:p>
    <w:p w14:paraId="055820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20.05.1954 г. постановление СМ СССР № 957-409 о разработке носителя ядерного заряда- МКР «Буря» (гл. конструктор- С.А. Лавочкин, научный руководитель- М.В. Келдыш). Постановлением СМ СССР от 5.02.1960 г. работы по «Буре» прекращены.59 </w:t>
      </w:r>
    </w:p>
    <w:p w14:paraId="20EF355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24.03.1955 г. вышло постановление СМ СССР № 602-369 о создании зенитно-ракетной системы «Даль». Постановлением № 1148-581 от 17.08.1956 г. изменены ТТТ к ЗРК «Даль». Постановлением № 735-338 от 4.04.1958 г. установлен срок предъявления ЗРК «Даль» на совместные испытания- I-й квартал 1960 г. Постановлением от 4.07.1959 г. задавалась разработка «Даль-М» с ЗУР «420» и «Даль-2» с ЗУР «500». Постановлением № 1096-460 от 22.10.1962 г. работы по «Даль» прекращены.57 </w:t>
      </w:r>
    </w:p>
    <w:p w14:paraId="13DCF39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1955-57 г. работы по экспериментальной крылатой атомной ракете (КАР) «375» с ЯРД.</w:t>
      </w:r>
    </w:p>
    <w:p w14:paraId="1E78A9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Постановлением СМ от 14.05.1962 г. принята на вооружение ракета «217М», а постановлением от 6.08.1964 г.- ракета «218» для С-25М. </w:t>
      </w:r>
    </w:p>
    <w:p w14:paraId="16043F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1964 г. завод принимал участие в работах по бомбардировщику Т-4. </w:t>
      </w:r>
    </w:p>
    <w:p w14:paraId="3BFC38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конца 1960-х г. разработка совместно с ЦНИИ «Комета» и НИИ-45 МО системы предупреждения о ракетном нападении «Око». Включает 4 спутника УС-КС и 1 УС-КМО (71Х6) «Прогноз». Первый спутник, «Космос-520», запущен в 09.1972 г. Постановлением правительства № 5721 от 01.1979 г. система «Око» принята на вооружение, приказом МО № 00178 от 27.12.1982 г. поставлена на боевое дежурство. (По [Ъ-28.04.03]- состоит из 8 спутников УС-КС на высокоэллиптических орбитах и 4-х УС-КМО (71Х6) на геостационарных орбитах; двух КП- западного (г. Солнечногорск) и Восточного. Включает также систему отображения «Крокус» и терминалы командной боевой системы «Казбек», находящиеся у Президента, министра обороны и начальника Генштаба. Указом президента № 1770 в 12.1996 г. СПРН принята на вооружение, в 2002 г., после ввода восточного КП, заступила на боевое дежурство.Ъ-28.04.03 </w:t>
      </w:r>
    </w:p>
    <w:p w14:paraId="561ABD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1989 г. при НПО создан НИЦ им. Бабакина как открытая организация для работы с иностранными специалистами.</w:t>
      </w:r>
    </w:p>
    <w:p w14:paraId="5ADDF83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НПО им. Лавчкина входит: ОКБ, экспериментальный завод («Вымпел»?), Калужское ОКБ (2002 г.); НИЦ им. Бабакина (2003 г.). В 2004 г. в состав НПО входил Центр «Наземно-космических систем».</w:t>
      </w:r>
    </w:p>
    <w:p w14:paraId="108902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7340D0A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на 2002 г.: участвует в программах: «Луна», «Марс», «Венера», «Банкир», «Вега», «Фобос», ИРС-1, «Гранат», «Интербол», «Спектр».</w:t>
      </w:r>
    </w:p>
    <w:p w14:paraId="189158C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Численность персонала (1962 г.)- 7966 чел., (1972 г.)- 10.655 чел.77 </w:t>
      </w:r>
    </w:p>
    <w:p w14:paraId="1B06C6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Ген. конструктор (1945-06.1960 г.)- С.А. Лавочкин {1900-1960}, (1960 г.-)- М.М. Пашинин, И.Н. Лукин, А.П. Милованов, (-1965-70 г.-)- Г.Н. Бабакин, С.С. Крюков, (1978 г.)- В.М. Ковтуненко,77 (1996-08.2003 г.)- С.Д. Куликов, (10.2003-1.02.2005 г.)- К.М. Пичхадзе, (1.02.2005 г.-)- Г.М. Полищук (до этого- зам. гендиректора ФКА). И.О. ген. конструктора (08-10.2003 г.)- К.М. Пичхадзе (гендиректор НИЦ им. Бабакина).</w:t>
      </w:r>
    </w:p>
    <w:p w14:paraId="6DE87D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 директора (1942 г.)- Беленков. Директор (-01.1943-02.1945 г.-)- И.Н. Смирнов, (1945 г.-)- С.А. Лавочкин, (07.1951 г.-)- В.Н. Лисицын (до этого- директор опытного завода № 1), (1965 г.)- А.П. Милованов. Гендиректор (-1996-99 г.-)- А.М. Баклунов,58 (-08.2003 г.)- С.Д. Куликов; И.О. гендиректора (08-10.2003 г.)- К.М. Пичхадзе; (10.2003-1.02.2005 г.)- К.М. Пичхадзе, (1.02.2005 г.-)- Г.М. Полищук (до этого- зам. гендиректора ФКА)..</w:t>
      </w:r>
    </w:p>
    <w:p w14:paraId="0B1D81A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1-й зам. гендиректора (01.2004 г.)- Р. Кремнев, (1.02.2005 г.-)- К.М. Пичхадзе. Зам. Гендиректора: по ВЭД (2002 г.)- И.П. Зайцев.69 </w:t>
      </w:r>
    </w:p>
    <w:p w14:paraId="060367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гл. конструктора (06.1951-53 г.)- П.Д. Грушин (затем- гл. конструктор ОКБ-2 МСМ). Зам. гл., ген. конструктора (-1955-60 г.-)- Н.С. Черняков, (1960 г.)- Хейфец, (-1956-60 г.)- М.М. Пашинин, (10.2005 г.)- К.М. Пичхадзе.</w:t>
      </w:r>
    </w:p>
    <w:p w14:paraId="4BA04A9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инженер (06.1951-53 г.)- П.Д. Грушин. </w:t>
      </w:r>
    </w:p>
    <w:p w14:paraId="5F5BA3A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(1940-е-1950 г.-)- И.А. Меркулов («201»; затем работал в ЦИАМ), А.Г. Чесноков («201»), (1955 г.)- Н.С. Черняков (МКР «Буря»),59 (1960-е)- О.Г. Ивановский («Луноходы»).</w:t>
      </w:r>
    </w:p>
    <w:p w14:paraId="59A335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Ведущие конструкторы: (1951 г.)- Н.С. Черняков («205»).</w:t>
      </w:r>
    </w:p>
    <w:p w14:paraId="6559D97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теоретического- Г.Н. Бабакин.</w:t>
      </w:r>
    </w:p>
    <w:p w14:paraId="42F94FF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крылья для Як-7, Як-9 (1943-45); Ла-150; УР: «350» (В-350, МКР «Буря)- 19, ЗУР «400» (1961)- опытная партия.</w:t>
      </w:r>
    </w:p>
    <w:p w14:paraId="717CF85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Создано: самолеты: «150», «156», «160», «168», «174», «176», «190», «200», «250»; ":мишени: «201» (Ла-17), «203» (Ла-17М), «202» (Ла-17ММ), Ла-17У; БПЛА-разведчики: «204» (Ла-17Р, госиспытания в 1963), «204М» (Ла-17РМ), «210-ФР» (1956), Ла-17БР (1958); ЗУР: изд. "205" (В-300 для С-25 «Беркут», серия с 1952 г.), "206" (В-300, опытная, 1951), "207" (В-300, опытная, 1953), «208» (В-300, опытная, 1953), «207А» (В-300, пнв в 1955 г.), «215» (В-300, с ядерной БЧ, пнв в 1957 г.), "217" (В-300, пнв в 1958 г.), «217М» (для С-25М, пнв в 1961 г.), "218" (В-300, с ядерной БЧ, пнв в 1964 г.), «220» (В-600 для С-25), "225" (проект для С-50), «400» (5В11 для ЗРК «Даль», испытана в 1958-62 г.), «420» («Даль-М», 1959), «500» («Даль-2», 1959), В-500 для С-25; УРВВ: "210" (Г-300 на базе В-300, опытная), «211» (Г-310), «275», «277», «278», «279»; МКР "Буря" ("350", В-350, испытана в 1957-60 г.); КАР «375» (1957); КА: станции «Луна-9» (запущена в 01.1966), -10, -11, -12, -13 (запущена в 12.1966), -14, -15, -16 (запущена 12.09.1970, доставлен лунный грунт), -17 («Луноход-1», запущена 10.11.1970); «Венера-4» (запущена 12.06.1967), -5 </w:t>
      </w:r>
      <w:r w:rsidRPr="008127F8">
        <w:rPr>
          <w:rFonts w:ascii="Times New Roman" w:hAnsi="Times New Roman"/>
          <w:color w:val="000000" w:themeColor="text1"/>
          <w:sz w:val="16"/>
          <w:szCs w:val="16"/>
        </w:rPr>
        <w:lastRenderedPageBreak/>
        <w:t>(запущена 5.01.1969), -6 (запущена 10.01.1969), -7 (запущена 17.08.1970), -11 (запущена 9.09.1978), -12 (запущена 14.09.1978г); исследования геомагнитной и радиационной обстановки «Прогноз-1…5» (1972-76); для астрофизических исследований «Астрон» (1983); для исследований Венеры «Вега» (запуски 15, 21.12.1984); автоматическая обсерватория «Гранат» (запущена 1.12.1989); оптико-электронной разведки «Аркон» («Аракс», 11Ф664, «Космос-2344», «Космос-2392») (1984 г., 1-й запуск в 1997), станция «Марс-8» (1996), спутник связи «Купон» (1997), спутник СПРН «Око» («Космос-2345», «Космос-2350», 1998, «Космос-2397», 2003), разгонный блок «Фрегат» для РН «Союз-2»; «Космос-1» с «солнечным парусом» (запущен 22.06.2005 г.); «Демонстратор» (запуски 9.02.200, 20.07.2001, 12.07.2002, 7.10.2005).</w:t>
      </w:r>
    </w:p>
    <w:p w14:paraId="624F098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ФГУП «НИЦ (Научно- исследовательский центр) им. Г.Н. Бабакина» </w:t>
      </w:r>
    </w:p>
    <w:p w14:paraId="0D2C57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Химки Московской обл.</w:t>
      </w:r>
    </w:p>
    <w:p w14:paraId="793242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 при НПО им Лавочкина в начале 1989 г. как открытая организация для работы с иностранными специалистами.</w:t>
      </w:r>
    </w:p>
    <w:p w14:paraId="182169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космической техники. Здесь созданы все советские планетоходы. Имеется испытательный полигон- марсодром.ПМ-2/02 Создан «Солнечный парус» (2001 г.). Проект марсохода (2000-е).</w:t>
      </w:r>
    </w:p>
    <w:p w14:paraId="54E792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2002 г. входил в состав НПО им. Лавочкина.</w:t>
      </w:r>
    </w:p>
    <w:p w14:paraId="52F61B4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 директор (-10.2003 г.)- К.М. Пичхадзе.</w:t>
      </w:r>
    </w:p>
    <w:p w14:paraId="468073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Работали: (1960-е)- А.Л. Кемурджиан (ходовая часть «Лунохода»).</w:t>
      </w:r>
    </w:p>
    <w:p w14:paraId="48D5AB9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Создано: «Луноход-1» (запущен 10.11.1970 г., «Луна-17»), «Луноход-2» (запущен в 01.1973 г.), «Луноход-3» (не запускался), марсоход М-71 (запущен в 1971 г., «Марс-3»).ПМ-7/04 </w:t>
      </w:r>
    </w:p>
    <w:p w14:paraId="4823C72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Центр «Наземно-космических систем»</w:t>
      </w:r>
    </w:p>
    <w:p w14:paraId="1F9BBEB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(2004 г.)- К.Г. Суханов.</w:t>
      </w:r>
    </w:p>
    <w:p w14:paraId="34F152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(2004 г.)- К.Г. Суханов.</w:t>
      </w:r>
    </w:p>
    <w:p w14:paraId="2904F24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ООО «Инновационное предприятие «Луноход» </w:t>
      </w:r>
    </w:p>
    <w:p w14:paraId="3DD064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141400 г. Химки Московской обл. ул. Ленинградская, 24 тел. 573-00-75</w:t>
      </w:r>
    </w:p>
    <w:p w14:paraId="7E9E8FB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Предприятие создано в 1991 г., учредитель- НПО им. С.А. Лавочкина.</w:t>
      </w:r>
    </w:p>
    <w:p w14:paraId="23FB78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 г.): НИОКР по созданию: прецизионной техники, агрегатов КА, систем электропитания, терморегулирования и радиосвязи; устройств для перемещения, фиксации положения; гидро- и пневмораспределителей; оборудование для балансировки; тензорезисторы, датчики, запорная арматура, фильтры тонкой очистки, приводы; специальные волновые передачи.</w:t>
      </w:r>
    </w:p>
    <w:p w14:paraId="014E9D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г.)- 17 чел.</w:t>
      </w:r>
    </w:p>
    <w:p w14:paraId="3FF019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(2002 г.)- М.Ф. Тулянкин.</w:t>
      </w:r>
    </w:p>
    <w:p w14:paraId="79090A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(2002 г.)- С.В. Титенок.</w:t>
      </w:r>
    </w:p>
    <w:p w14:paraId="6AE7AB4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ГС Завод № 301 НКАП, МАП, ГКАТ, Машиностроительный завод им. С.А. Лавочкина МОМ, ГСЗ им. С.А. Лавочкина, НПО им. С.А. Лавочкина, НПАО им. С.А. Лавочкина, ФГУП «НПО им. С.А. Лавочкина» РАКА, ФКА </w:t>
      </w:r>
    </w:p>
    <w:p w14:paraId="54A1AE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141400 г. Химки Московской обл. ул. Ленинградская, 24 тел. 573-90-56 www.berc.rssi.ru (10776)</w:t>
      </w:r>
    </w:p>
    <w:p w14:paraId="59A520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CDD1D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июня 1942 г. в соответствии с пост. СНК № 913-472сс завод № 482 (ГС Завод № 482 НКСП /г. Москва Ново-Владыкино; Ленинградское ш., 55 (1944 г.-)/) был возвращен в Москву из г. Козловка, площадку иавода № 494, и действовал в системе Главремуправления. В 1942 г.- работы по гермокабинам для Як-7 и ЛаГГ-3, подвесным кабинам к У-2 и Р-5.</w:t>
      </w:r>
    </w:p>
    <w:p w14:paraId="28F85F7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633с от 18.08.1942 г. в состав завода был передан из ЮГУ филиал завода № 23 НКАП (бывшая Нотнопечатная фабрика) для организации производства запчастей ремонтируемых самолетов. В 1942 г. заводу № 482 планировалось передать механические цеха завода № 169 НКАП (бывший завод № 45). По приказу № 798с от 23.10.1942 г. филиал завода № 482 (механические мастерские) передан заводу № 301 НКАП для ремонта и изготовления плоскостей самолета Як-7.</w:t>
      </w:r>
    </w:p>
    <w:p w14:paraId="5B72B50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655с от 11.11.1943 г. завод № 482 передан из 6ГУ в 7ГУ (в опытные). Работы по ремонту и выпуску запчастей переданы на другие заводы 6ГУ.</w:t>
      </w:r>
    </w:p>
    <w:p w14:paraId="5A9726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завода с 06.1943 г.- В.М. Мясищев (одновременно он- гл. конструктор и руководитель ОКБ-22 завода № 22 НКАП в Казани).</w:t>
      </w:r>
    </w:p>
    <w:p w14:paraId="739BCB7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 г. на заводе № 482 образован филиал ОКБ-22.</w:t>
      </w:r>
    </w:p>
    <w:p w14:paraId="3ADA63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имел свой аэродром на Ходынке (1943  г.).</w:t>
      </w:r>
    </w:p>
    <w:p w14:paraId="672952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Существовал филиал завода № 482 в Москве. Приказом № 277с от 7.05.1943 г. помещения филиала переданы под размещение НИСО.</w:t>
      </w:r>
    </w:p>
    <w:p w14:paraId="375334B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424с от 5.07.1944 г. завод № 482 перебазирован на площадку ликвидируемого завода № 89 НКАП (Ленинградское ш., 55) и слит с его частью под прежним названием- завод № 482. Мясищеву передана часть оборудования и личного состава завода № 89.</w:t>
      </w:r>
    </w:p>
    <w:p w14:paraId="0E1934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старой территории (Ново-Владыкино) оставлена небольшая часть личного состава (в основном, охрана и обслуживающий персонал). По приказу № 655с от 11.11.1944 г. эта территория передана НИИ-1 НКАП для организации работ по реактивной авиации (образован филиал № 2 НИИ-1).</w:t>
      </w:r>
    </w:p>
    <w:p w14:paraId="77F0C6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Далее, с 09.1944 г. (завершено в начале 1945 г.) сюда переведена из Казани основная часть ОКБ-22 В.М. Мясищева и влита в состав завода № 482.</w:t>
      </w:r>
    </w:p>
    <w:p w14:paraId="6AF91C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1946 г. ОКБ завода № 482 гл. конструктора В.М. Мясищева ликвидировано. В соответствии с пост. СМ от 1.02.1946 г. и приказом № 61с от 20.02.1946 г. после ликвидации ОКБ-482 завод № 482 был передан со всем оборудованием и личным составом заводу № 240 НКАП гл. конструктора С.В. Ильюшина.</w:t>
      </w:r>
    </w:p>
    <w:p w14:paraId="71C8A4F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(04.1941-42 г.)- А .Я. Щербаков; и.о. директора (01-05.1943 г.)- Б.А. Новосельский; (06.1943-11.1944 г.- )- Я.М. Каневский.</w:t>
      </w:r>
    </w:p>
    <w:p w14:paraId="396E431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(04.1941 г.-)- А.И. Меркулов.</w:t>
      </w:r>
    </w:p>
    <w:p w14:paraId="560FD63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(1941-06.1943 г.)- А.Я. Щербаков, (06.1943-46 г.)- В.М. Мясищев.</w:t>
      </w:r>
    </w:p>
    <w:p w14:paraId="3898E8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(1946 г.-)- Е.П. Шекунов.</w:t>
      </w:r>
    </w:p>
    <w:p w14:paraId="5D22E4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(04.1941 г.-)- А.И. Меркулов.</w:t>
      </w:r>
    </w:p>
    <w:p w14:paraId="1E9C50C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гл. конструктора А.Я. Щербакова при заводе № 482 НКАП</w:t>
      </w:r>
    </w:p>
    <w:p w14:paraId="6DD4E6F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296с от 4.04.1941 г. с завода № 289 НКАП на вновь образованный завод № 482 к 15.04.1941 г. переведено со всем оборудованием и личным составом ОКБ гл. конструктора А.Я. Щербакова и специальная конструкторская группа А.И. Меркулова.</w:t>
      </w:r>
    </w:p>
    <w:p w14:paraId="1BACB24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по гермокабинам и реактивным двигателям для опытных высотных самолетов. Испытывались И-15бис и И-153 с дополнительными ПВРД. Был проект самолета с дополнительным ЖРД. Оборудование Як-7 ВРД ДМ- 4. Кроме того, работы по оборудованию самолета У-2 поплавками и подвесными кассетами (1942 г.).</w:t>
      </w:r>
    </w:p>
    <w:p w14:paraId="4B3FF1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1037с от 2.10.1941 г. практически все работы по высотно-скоростным самолетам были свернуты (оставлена только доводка опытного планера СП-1 и работы по высотным кабинам). Одновременно по приказу № 1044с от 6.10.1941 г. для развития работ по авиационным ВРД группа А.И. Меркулова с тех. документацией, оборудованием и опытными изделиями (ВРД ДМ-1, ДМ-2, ДМ-4, ДМ-4бис, ДМ-11) переведена с завода № 482 в лабораторию № 1 ЦАГИ.</w:t>
      </w:r>
    </w:p>
    <w:p w14:paraId="6F27A0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концу 1942 г. создан Ще-2 (ведущий конструктор- И.В. Ляпин, ведупЦш по производству- В.В. Вентцель).</w:t>
      </w:r>
    </w:p>
    <w:p w14:paraId="5E4A73C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367сс от 22.06.1943 г. Щербаков освобожден от должности гл. конструктора завода № 482. В конце 1943 г. еще велись совместные работы Щербакова с ОКБ Мясищева по доводке гермокабин Як-7Б, </w:t>
      </w:r>
      <w:r w:rsidRPr="008127F8">
        <w:rPr>
          <w:rFonts w:ascii="Times New Roman" w:hAnsi="Times New Roman"/>
          <w:color w:val="000000" w:themeColor="text1"/>
          <w:sz w:val="16"/>
          <w:szCs w:val="16"/>
          <w:lang w:val="en-US"/>
        </w:rPr>
        <w:t>JIa</w:t>
      </w:r>
      <w:r w:rsidRPr="008127F8">
        <w:rPr>
          <w:rFonts w:ascii="Times New Roman" w:hAnsi="Times New Roman"/>
          <w:color w:val="000000" w:themeColor="text1"/>
          <w:sz w:val="16"/>
          <w:szCs w:val="16"/>
        </w:rPr>
        <w:t>-5 и Пе-2ВИ.</w:t>
      </w:r>
    </w:p>
    <w:p w14:paraId="6948FFD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Затем в соответствии с пост. ГКО № 4194с от 24.09.1943 г. и приказом № 573с от 25.09.1943 г. Щербаков назначен гл. конструктором завода № 47. Тем же приказом личный состав (48 чел.), оборудование, документация и опытный образец Ще-2 № 01 к 10.1943 г. переведены на завод № 47.</w:t>
      </w:r>
    </w:p>
    <w:p w14:paraId="308BFE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ОКБ завода № 22 гл. конструктора В.М. Мясищева, ОКБ-482 НКАП, МАП /г. Москва/</w:t>
      </w:r>
    </w:p>
    <w:p w14:paraId="05A1DB3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3601 от 18.06.1943 г. и приказом № 367сс от 22.06.1943 г. при заводе № 482 образован филиал ОКБ завода № 22 по боевым высотным самолетам, и сюда из Омска с завода № 288 переведена часть коллектива и оборудования отдела «102» гл. конструктора В.М. Мясищева. Завод передан в распоряжение Мясищева. Тем же приказом основной конструкторский состав Мясищева переведен с завода № 288 в ОКБ и опытный цех завода № 22.</w:t>
      </w:r>
    </w:p>
    <w:p w14:paraId="2D64681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гибели В.М. Петлякова в 06.1943 г. В.М.Мясищев возглавил его ОКБ-22 НКАП, занимавшееся созданием модификаций Пе-2. Одновременно оставался гл. конструктором ОКБ-482 НКАП.</w:t>
      </w:r>
    </w:p>
    <w:p w14:paraId="7FF8EA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Далее, с 09.1944 г. (завершено в начале 1945 г.) на завод № 482 переведена из Казани основная часть ОКБ-22 В.М. Мясищева (часть ОКБ, видимо, осталась на заводе № 22 для участия в работах по Б-4) и влита в состав завода № 482.</w:t>
      </w:r>
    </w:p>
    <w:p w14:paraId="0B4655C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 № 358 от 27.05.1944 г. на базе Пе-2 начата разработка скоростного бомбардировщика ДБ-108. Построено несколько опытных машин: ВМ-16 (ДБ-1-108, 5.03.1945 г.); ВМ-17 (ДБ-П-108, 06.1945 г.), на его базе по пр. № 270 от 29.06.1945 г. разработан двухместный истребитель сопровождения ДИС; ВМ-18 (ДБ-IV-108, 1945 г.); высотный ВБ-109 (ВМ-19), построен в 08.1945 г.</w:t>
      </w:r>
    </w:p>
    <w:p w14:paraId="245588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1945 г. под руководством Мясищева проводилось изучение трофейных Ме-262; разрабатывались проекты тяжелых бомбардировщиков ДВБ-202 (ВМ-22, 1945 г.) и ДВБ-302 (ВМ-23, 1945 г.) (закрыты распоряжением Сталина, в связи с разработкой Ту-4). Разработан проект первого реактивного бомбардировщика РБ-17 (ВМ-24), в 1946 г. пост. № 2548-1065 работы прекращены.</w:t>
      </w:r>
    </w:p>
    <w:p w14:paraId="0067AAC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01.1946 г. ОКБ-482 НКАП закрыто, его сотрудники (в т.ч. конструкторы Д.А. Аверьянова, В.И. Горюнов, Б .Я. Каплиенко, М.И. Карасева, Н.И. Кубышкин, Н.М. Либерхейн, В.А. Лихачев, Д.С. Лозинский, Т.М. Никишова, В.А. Орлов, В.Н. Петрова, П.И. Прокофьев, В.В. Рогов, В.Д. Смирнов, В.М. Шокин) переведены в ОКБ-240. Мясищев назначен деканом самолетостроительного факультета МАИ.</w:t>
      </w:r>
    </w:p>
    <w:p w14:paraId="240FA52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Гл. конструктор (1944-46 г.)- В.М. Мясищев.</w:t>
      </w:r>
    </w:p>
    <w:p w14:paraId="073EC1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Ведущие конструкторы: (1944-01.1946 г.)- Л.Л. Селяков (ДВБ-202, -302, РБ-17), (1945 г.)- М.К. Янгель (ВБ- 109) (11982).</w:t>
      </w:r>
    </w:p>
    <w:p w14:paraId="0D82C9B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80CE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июня 1942 г. по приказу НКАП № 433сс/ов для ускорения работ по реактивным двигателям планировалось перевести группу Душкина (В .А. Штоколов, А.В. Палло и др.) из НИИ-3 на завод № 293. Однако, по имеющейся информации, группа Душкина не была переведена и продолжала работать в НИИ-3, а затем в НИИ-1.</w:t>
      </w:r>
    </w:p>
    <w:p w14:paraId="0175D2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Проводились работы по ускорителю самолета С-155 и ускорителю для Е- 50.</w:t>
      </w:r>
    </w:p>
    <w:p w14:paraId="2011DE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Душкин до 04.1946г.- начальник отдела № 13 НИИ-1. В 04.1946г.- гл. конструктор КБ-1 при НИИ-1.</w:t>
      </w:r>
    </w:p>
    <w:p w14:paraId="689DC1A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1949г. ОКБ-1 входило в состав ЦИАМ (вместе с НИИ-1).</w:t>
      </w:r>
      <w:r w:rsidRPr="008127F8">
        <w:rPr>
          <w:rFonts w:ascii="Times New Roman" w:hAnsi="Times New Roman"/>
          <w:color w:val="000000" w:themeColor="text1"/>
          <w:sz w:val="16"/>
          <w:szCs w:val="16"/>
          <w:vertAlign w:val="superscript"/>
        </w:rPr>
        <w:t>76</w:t>
      </w:r>
    </w:p>
    <w:p w14:paraId="071B25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 2473-973 от 10.06.1950 г. ОКБ-1 гл. конструктора Л.С. Душкина было ликвидировано, личный состав перевели в ОКБ-456, другие лаборатории НИИ-1.</w:t>
      </w:r>
      <w:r w:rsidRPr="008127F8">
        <w:rPr>
          <w:rFonts w:ascii="Times New Roman" w:hAnsi="Times New Roman"/>
          <w:color w:val="000000" w:themeColor="text1"/>
          <w:sz w:val="16"/>
          <w:szCs w:val="16"/>
          <w:vertAlign w:val="superscript"/>
        </w:rPr>
        <w:t>76</w:t>
      </w:r>
      <w:r w:rsidRPr="008127F8">
        <w:rPr>
          <w:rFonts w:ascii="Times New Roman" w:hAnsi="Times New Roman"/>
          <w:color w:val="000000" w:themeColor="text1"/>
          <w:sz w:val="16"/>
          <w:szCs w:val="16"/>
        </w:rPr>
        <w:t xml:space="preserve"> В 1955г. Л.С. Душкин возглавил ОКБ-165 -1.</w:t>
      </w:r>
    </w:p>
    <w:p w14:paraId="376E417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ЖРД: ОР-Ю («02» для «216»), РД-12К, РДА-1-150 для РП-318, РДК-150, РДА-300, КРД-604 для «604», Д-1-А-1100 для «БИ», Д-</w:t>
      </w:r>
      <w:r w:rsidRPr="008127F8">
        <w:rPr>
          <w:rFonts w:ascii="Times New Roman" w:hAnsi="Times New Roman"/>
          <w:color w:val="000000" w:themeColor="text1"/>
          <w:sz w:val="16"/>
          <w:szCs w:val="16"/>
          <w:lang w:val="en-US"/>
        </w:rPr>
        <w:t>l</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T</w:t>
      </w:r>
      <w:r w:rsidRPr="008127F8">
        <w:rPr>
          <w:rFonts w:ascii="Times New Roman" w:hAnsi="Times New Roman"/>
          <w:color w:val="000000" w:themeColor="text1"/>
          <w:sz w:val="16"/>
          <w:szCs w:val="16"/>
        </w:rPr>
        <w:t xml:space="preserve"> для торпеды РТ-45 (1932-42), РД-КС-1 (1946), РД-КС-3, РД-2М (1945), РД-2МЗВ для «302», РД-2МЗВФ для самолета «5» (1946), РД-ЗМ, РД-КС-5, УС-2500 (11982).</w:t>
      </w:r>
    </w:p>
    <w:p w14:paraId="1BD206F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62D77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11 июня 1942 г. по приказу № 433сс/ов по постановлению ГКО от 9.06.1942 г. с Кировского завода на завод № 293 переведена группа </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M</w:t>
      </w:r>
      <w:r w:rsidRPr="008127F8">
        <w:rPr>
          <w:rFonts w:ascii="Times New Roman" w:hAnsi="Times New Roman"/>
          <w:color w:val="000000" w:themeColor="text1"/>
          <w:sz w:val="16"/>
          <w:szCs w:val="16"/>
        </w:rPr>
        <w:t>. Люльки (23 чел.) для продолжения работ по ТРД (на заводе- с 1.07.1942 г.). В 1943 г. Люлька переведен в ЦИАМ. Этим же приказом планировалось перевести на завод конструкторскую группу Л.С. Душкина (В.А. Штоколов, А.В. Палло и др.) из НИИ-3 НКБ, однако, это не было осуществлено (11982).</w:t>
      </w:r>
    </w:p>
    <w:p w14:paraId="61F031D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B3ED0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июня 1943 г. вышло Указание №41 главного инженера ВВС КА генерал-полковника ин</w:t>
      </w:r>
      <w:r w:rsidRPr="008127F8">
        <w:rPr>
          <w:rFonts w:ascii="Times New Roman" w:hAnsi="Times New Roman"/>
          <w:color w:val="000000" w:themeColor="text1"/>
          <w:sz w:val="16"/>
          <w:szCs w:val="16"/>
        </w:rPr>
        <w:softHyphen/>
        <w:t>женерно-авиационной службы Репина и начальника управления техни</w:t>
      </w:r>
      <w:r w:rsidRPr="008127F8">
        <w:rPr>
          <w:rFonts w:ascii="Times New Roman" w:hAnsi="Times New Roman"/>
          <w:color w:val="000000" w:themeColor="text1"/>
          <w:sz w:val="16"/>
          <w:szCs w:val="16"/>
        </w:rPr>
        <w:softHyphen/>
        <w:t>ческой эксплуатации ВВС Красной Армии генерал-лейтенанта инже</w:t>
      </w:r>
      <w:r w:rsidRPr="008127F8">
        <w:rPr>
          <w:rFonts w:ascii="Times New Roman" w:hAnsi="Times New Roman"/>
          <w:color w:val="000000" w:themeColor="text1"/>
          <w:sz w:val="16"/>
          <w:szCs w:val="16"/>
        </w:rPr>
        <w:softHyphen/>
        <w:t>нерно-авиационной службы Шульговского по преду</w:t>
      </w:r>
      <w:r w:rsidRPr="008127F8">
        <w:rPr>
          <w:rFonts w:ascii="Times New Roman" w:hAnsi="Times New Roman"/>
          <w:color w:val="000000" w:themeColor="text1"/>
          <w:sz w:val="16"/>
          <w:szCs w:val="16"/>
        </w:rPr>
        <w:softHyphen/>
        <w:t>преждению отказов и происшествий в эксплуатации вооружения и бое</w:t>
      </w:r>
      <w:r w:rsidRPr="008127F8">
        <w:rPr>
          <w:rFonts w:ascii="Times New Roman" w:hAnsi="Times New Roman"/>
          <w:color w:val="000000" w:themeColor="text1"/>
          <w:sz w:val="16"/>
          <w:szCs w:val="16"/>
        </w:rPr>
        <w:softHyphen/>
        <w:t>припасов на самолетах в частях ВВС Красной Армии: «6. О нарушении пристрелки вооружения самолетов. В ряде частей ВВС Красной Армии ведется слабое наблюдение и уход за крепежными винтами и зажимны</w:t>
      </w:r>
      <w:r w:rsidRPr="008127F8">
        <w:rPr>
          <w:rFonts w:ascii="Times New Roman" w:hAnsi="Times New Roman"/>
          <w:color w:val="000000" w:themeColor="text1"/>
          <w:sz w:val="16"/>
          <w:szCs w:val="16"/>
        </w:rPr>
        <w:softHyphen/>
        <w:t>ми гайками регулировочных узлов прицелов. В результате чего прицелы вибрируют, в узлах крепления быстро образуются люфты, нарушается пристрелка стрелково-пушечного вооружения и исключается ведение оптимальной прицельной стрельбы.</w:t>
      </w:r>
    </w:p>
    <w:p w14:paraId="4F97FD2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предупреждения расшатывания прицелов и нарушения при</w:t>
      </w:r>
      <w:r w:rsidRPr="008127F8">
        <w:rPr>
          <w:rFonts w:ascii="Times New Roman" w:hAnsi="Times New Roman"/>
          <w:color w:val="000000" w:themeColor="text1"/>
          <w:sz w:val="16"/>
          <w:szCs w:val="16"/>
        </w:rPr>
        <w:softHyphen/>
        <w:t>стрелки вооружения самолетов необходимо произвести осмотр стрелко</w:t>
      </w:r>
      <w:r w:rsidRPr="008127F8">
        <w:rPr>
          <w:rFonts w:ascii="Times New Roman" w:hAnsi="Times New Roman"/>
          <w:color w:val="000000" w:themeColor="text1"/>
          <w:sz w:val="16"/>
          <w:szCs w:val="16"/>
        </w:rPr>
        <w:softHyphen/>
        <w:t>вых прицелов. Расшатанные прицелы, подлежащие ремонту, с самолетов снять, заменив новыми, и сдать их для ремонта в мастерские. Потребо</w:t>
      </w:r>
      <w:r w:rsidRPr="008127F8">
        <w:rPr>
          <w:rFonts w:ascii="Times New Roman" w:hAnsi="Times New Roman"/>
          <w:color w:val="000000" w:themeColor="text1"/>
          <w:sz w:val="16"/>
          <w:szCs w:val="16"/>
        </w:rPr>
        <w:softHyphen/>
        <w:t>вать от всего летного и технического состава тщательного ухода и наблю</w:t>
      </w:r>
      <w:r w:rsidRPr="008127F8">
        <w:rPr>
          <w:rFonts w:ascii="Times New Roman" w:hAnsi="Times New Roman"/>
          <w:color w:val="000000" w:themeColor="text1"/>
          <w:sz w:val="16"/>
          <w:szCs w:val="16"/>
        </w:rPr>
        <w:softHyphen/>
        <w:t>дения за крепежными узлами прицелов и своевременного ремонта при</w:t>
      </w:r>
      <w:r w:rsidRPr="008127F8">
        <w:rPr>
          <w:rFonts w:ascii="Times New Roman" w:hAnsi="Times New Roman"/>
          <w:color w:val="000000" w:themeColor="text1"/>
          <w:sz w:val="16"/>
          <w:szCs w:val="16"/>
        </w:rPr>
        <w:softHyphen/>
        <w:t>целов. Данное указание изучить всему летно-техническому составу. Об исполнении донести 15 июля сего года».</w:t>
      </w:r>
    </w:p>
    <w:p w14:paraId="14D8A1E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Ракетное оружие в войсках появилось уже в ходе боевых действий, и полковые летчики его досконально (как это требовалось в мирное вре</w:t>
      </w:r>
      <w:r w:rsidRPr="008127F8">
        <w:rPr>
          <w:rFonts w:ascii="Times New Roman" w:hAnsi="Times New Roman"/>
          <w:color w:val="000000" w:themeColor="text1"/>
          <w:sz w:val="16"/>
          <w:szCs w:val="16"/>
        </w:rPr>
        <w:softHyphen/>
        <w:t>мя) не изучали. Отсюда и неверное представление о его боевых свойст</w:t>
      </w:r>
      <w:r w:rsidRPr="008127F8">
        <w:rPr>
          <w:rFonts w:ascii="Times New Roman" w:hAnsi="Times New Roman"/>
          <w:color w:val="000000" w:themeColor="text1"/>
          <w:sz w:val="16"/>
          <w:szCs w:val="16"/>
        </w:rPr>
        <w:softHyphen/>
        <w:t>вах, особенностях, а также чрезвычайно завышенные требования к его возможностям. Кроме того, если РО, как видим, юстировали относи</w:t>
      </w:r>
      <w:r w:rsidRPr="008127F8">
        <w:rPr>
          <w:rFonts w:ascii="Times New Roman" w:hAnsi="Times New Roman"/>
          <w:color w:val="000000" w:themeColor="text1"/>
          <w:sz w:val="16"/>
          <w:szCs w:val="16"/>
        </w:rPr>
        <w:softHyphen/>
        <w:t>тельно стрелкового прицела от случая к случаю, глупо ожидать точной стрельбы (11402).</w:t>
      </w:r>
    </w:p>
    <w:p w14:paraId="55C9079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8F8278"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июня 1942 г. было Письмо главного конструктора завода № 379 А. И. Маркова в ЦК ВКП (б) о необходимости производства автоматического прицела для бомбометания на самолетах 103</w:t>
      </w:r>
    </w:p>
    <w:p w14:paraId="3A8D0099"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Опытным конструкторским бюро завода № 379 НКАП по правительственному решению были разработаны и изготовлены образцы автоматического прицела для бомбометания с пикирования на самолетах 103 (АП-103).</w:t>
      </w:r>
    </w:p>
    <w:p w14:paraId="4E5CC09A"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Образцы успешно прошли лабораторные испытания и в сентябре 1941 г. были отправлены на завод № 288 в Омск для полигонных испытаний, но в пути погибли при бомбардировке эшелона.</w:t>
      </w:r>
    </w:p>
    <w:p w14:paraId="5755B7AC"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Мною и конструктором самолета 103 тов. Туполевым неоднократно поднимался вопрос о необходимости восстановления прицелов.</w:t>
      </w:r>
    </w:p>
    <w:p w14:paraId="0E7438A0"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Наркомат авиации до сих пор никакого решения не вынес.</w:t>
      </w:r>
    </w:p>
    <w:p w14:paraId="1BACFE43"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конструктор прицела, считаю восстановление прицелов в системе НКАП и введение их на вооружение ВВС Красной Армии совершенно необходимым на основании следующего:</w:t>
      </w:r>
    </w:p>
    <w:p w14:paraId="56A3034A"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Точность бомбометания у современной бомбардировочной авиации недостаточна и, поэтому для разрушения узких в плане целей (мосты, корабли и пр.) необходимы большие потери в самолетах и громадный расход бомб.</w:t>
      </w:r>
    </w:p>
    <w:p w14:paraId="46C21B81"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Бомбардировочные прицелы, принятые на вооружение, или слишком примитивны и потому мало точны, или требуют от летчика большого напряжения, рассредоточивая его внимание между наведением самолета на цель и выдерживанием необходимого для прицеливания режима пикирования, что для среднего летчика во время пикирования под огнем зенитной артиллерии слишком сложно.</w:t>
      </w:r>
    </w:p>
    <w:p w14:paraId="1FA5F3BD"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Прицел АП-103, автоматически решающий задачу встречи бомбы с целью и автоматически учитывающий переменные параметры режима пикирования, дает возможность летчику сосредоточить все свое внимание на единственной операции, на совмещении цели с целиком прицела.</w:t>
      </w:r>
    </w:p>
    <w:p w14:paraId="3C846543"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Автоматический прицел для самолета 103 не проект, а законченная конструкция, показавшая на испытаниях хорошие результаты.</w:t>
      </w:r>
    </w:p>
    <w:p w14:paraId="3E2D9FBF"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Автоматический прицел АП-103 предназначен не для перевооружения всей бомбардировочной авиации, а для вооружения ограниченного числа пикирующих бомбардировщиков, предназначаемых для выполнения специальных заданий.</w:t>
      </w:r>
    </w:p>
    <w:p w14:paraId="77562525"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Организация производства небольших партий прицелов АП-103 для «снайперской» авиации возможна в системе НКАП наличными средствами.</w:t>
      </w:r>
    </w:p>
    <w:p w14:paraId="3EDBF693"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Изготовление прицелов должно быть поставлено в системе НКАП, т. к. основная часть приборов, входящих в прицел, является продукцией заводов НКАП и лишь только малая часть (оптика и коноид, 15 % по стоимости и объему) есть продукция заводов Наркомата вооружения и Наркомата судостроения.</w:t>
      </w:r>
    </w:p>
    <w:p w14:paraId="178F423E"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Прошу Ваших указаний, т. к. считаю, что вопрос о восстановлении двух образцов автоматического прицела должен быть решен немедленно: немецкая авиация уже начала применять на своих пикирующих бомбардировщиках, идущих на особо важные задания, автоматические прицелы; трофейный образец немецкого автоматического прицела находится на заводе № 288 в Омске.</w:t>
      </w:r>
    </w:p>
    <w:p w14:paraId="6DECFA05"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Главный конструктор завода № 379 А. Марков</w:t>
      </w:r>
    </w:p>
    <w:p w14:paraId="3740862E"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P-4985. On. 1. Д 29. Л. 17-17 об. Отпуск (23768).</w:t>
      </w:r>
    </w:p>
    <w:p w14:paraId="41686FFF" w14:textId="77777777" w:rsidR="004F1B3C" w:rsidRPr="008A2E5A" w:rsidRDefault="004F1B3C" w:rsidP="004F1B3C">
      <w:pPr>
        <w:spacing w:after="0" w:line="240" w:lineRule="auto"/>
        <w:jc w:val="both"/>
        <w:rPr>
          <w:rFonts w:ascii="Times New Roman" w:hAnsi="Times New Roman"/>
          <w:color w:val="0070C0"/>
          <w:sz w:val="16"/>
          <w:szCs w:val="16"/>
        </w:rPr>
      </w:pPr>
    </w:p>
    <w:p w14:paraId="1C352D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F2A2A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9FBB2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11 июня</w:t>
      </w:r>
      <w:r w:rsidRPr="008127F8">
        <w:rPr>
          <w:rFonts w:ascii="Times New Roman" w:hAnsi="Times New Roman"/>
          <w:color w:val="000000" w:themeColor="text1"/>
          <w:sz w:val="16"/>
          <w:szCs w:val="16"/>
        </w:rPr>
        <w:t xml:space="preserve"> в 1942 году утреннее сообщение Совинформбюро:</w:t>
      </w:r>
    </w:p>
    <w:p w14:paraId="3DDB048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11 июня на фронте существенных изменений не произошло.</w:t>
      </w:r>
    </w:p>
    <w:p w14:paraId="164AA96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Северо-Западного фронта немецкая пехота пыталась вклиниться в расположение наших войск. В результате упорного боя противник был разгромлен и остатки его отброшены на исходные позиции. На месте боя осталось свыше 200 трупов гитлеровцев. Нашими бойцами захвачено 5 пулемётов, 5 противотанковых ружей, 8 миномётов и много боеприпасов.</w:t>
      </w:r>
    </w:p>
    <w:p w14:paraId="4952C5B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в тылу противника на Западном фронте, сломила сопротивление немецкого гарнизона и заняла населённый пункт. На подступах и на улицах села остались сотни вражеских трупов и брошенное немцами вооружение.</w:t>
      </w:r>
    </w:p>
    <w:p w14:paraId="0778C94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части, где командиром тов. Бычиков, установили месторасположение немецких орудий и складов с боеприпасами. Внезапным огневым налётом уничтожено 7 тяжёлых орудий и 3 склада с боеприпасами. Взрывы были слышны в течение трёх часов.</w:t>
      </w:r>
    </w:p>
    <w:p w14:paraId="3FCDF4D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Лётчики старшие лейтенанты Гапонов и Волошин, лейтенанты Зудилов и Руденко, старшина Богатов под прикрытием истребителей Чувина и Косенко уничтожили 55 немецких автомашин с войсками и грузами, 30 повозок, 20 крытых фургонов, более100 лошадей и две зенитные батареи.</w:t>
      </w:r>
    </w:p>
    <w:p w14:paraId="5B37C73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Миномётчики гвардейской части (Калининский фронт) в течение нескольких дней уничтожили до 300 немецких солдат и офицеров, 14 пулемётов, 3 миномётных батареи, взорвали склады с боеприпасами и горючим и разрушили переправу через реку.</w:t>
      </w:r>
    </w:p>
    <w:p w14:paraId="05E21EF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Молодой снайпер тов. Лекачов (часть, где командиром тов. Юдинцев) в течение трёх дней истребил 13 гитлеровцев.</w:t>
      </w:r>
    </w:p>
    <w:p w14:paraId="4EC9992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орловских партизан под командованием тов. Т. ночью напал на полицейский отряд и немецкое подразделение, находившиеся в селе Д. Партизаны уничтожили 36 гитлеровцев. Остальные в панике бежали. В это время к селу приближался немецкий кавалерийский эскадрон, который принял бегущих за партизан и открыл по ним огонь. В этой перепалке убито ещё 40 гитлеровцев.</w:t>
      </w:r>
    </w:p>
    <w:p w14:paraId="27046CD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обер-ефрейтор 2 роты 171 полка 56 немецкой пехотной дивизии ФранцШифнер рассказал: «К февралю 1942 года состав нашей роты полностью обновился. Те, кто начал поход против России, уже лежат в земле или в лучшем случае стали инвалидами. В этом году рота три раза получала пополнение. Сейчас солдаты всё время заняты на строительстве укреплений. Нигде, ни в одной стране немецкая армия не строила столько укреплений, сколько в России. Из этого солдаты заключают, что командование уже не верит в свои силы. За последнее время нам зачитали несколько приказов по дивизии о расстреле дезертиров.</w:t>
      </w:r>
    </w:p>
    <w:p w14:paraId="6FCF61F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одном приказе сообщалось, что два солдата похитили автомашину и удрали сфронта. Вскоре после этого был оглашён приказ о расстреле двух солдат за то, что они во время боя сбежали в тыл. Совсем недавно лейтенант Маг объявил нам приказ о расстреле шести солдат за самовольную отлучку накануне боя».</w:t>
      </w:r>
    </w:p>
    <w:p w14:paraId="01EF45D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Немецкий фельдфебель Альфред Глиб писал недавно родным: «На вокзале в Ровно произошло столкновение. Состав с бензиновыми цистернами врезался в воинский поезд. Паровоз и несколько вагонов сошли с рельс. Много убитых и раненых. Это была жуткая картина. Нам сообщили, что аварии здесь происходят очень часто».</w:t>
      </w:r>
    </w:p>
    <w:p w14:paraId="5356E04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Итальянский народ ненавидит немцев, ведущих себя в Италии, как в завоёванной стране. На днях в Венеции немецкий офицер ударил раненого итальянского солдата, который не отдал ему честь. Собравшаяся толпа избила гитлеровца.» (14919).</w:t>
      </w:r>
    </w:p>
    <w:p w14:paraId="46E622B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5CD9B3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11 июня</w:t>
      </w:r>
      <w:r w:rsidRPr="008127F8">
        <w:rPr>
          <w:rFonts w:ascii="Times New Roman" w:hAnsi="Times New Roman"/>
          <w:color w:val="000000" w:themeColor="text1"/>
          <w:sz w:val="16"/>
          <w:szCs w:val="16"/>
        </w:rPr>
        <w:t xml:space="preserve"> в 1942 году вечернее сообщение Совинформбюро:</w:t>
      </w:r>
    </w:p>
    <w:p w14:paraId="3BC79E2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11 июня на Харьковском участке фронта наши войска вели ожесточённые оборонительные бои с наступающими танками и пехотой противника.</w:t>
      </w:r>
    </w:p>
    <w:p w14:paraId="740B724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Севастопольском участке фронта продолжались упорные бои. Наши войска отражали атаки противника и нанесли ему большой урон. Только за три дня боёв немецко-фашистские войска потеряли убитыми до 15.000 солдат и офицеров, свыше 50 танков и более 60 самолётов.</w:t>
      </w:r>
    </w:p>
    <w:p w14:paraId="762C9A8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существенных изменений не произошло.</w:t>
      </w:r>
    </w:p>
    <w:p w14:paraId="28324EC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10 июня частями нашей авиации на разных участках фронта уничтожено или повреждено 80 немецких танков, свыше 300 автомашин с войсками и грузами, 12 орудий, взорван склад с горючим, сожжены 3 аэростата, разбит железнодорожныйсостав, рассеяно и частью уничтожено до четырёх рот пехоты противника.</w:t>
      </w:r>
    </w:p>
    <w:p w14:paraId="2D04A7E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под командованием тов. Черняховского (Северо-Западный фронт) стремительным ударом овладела населённым пунктом Б. В течение дня противник неоднократно пытался вернуть утерянные позиции, но каждый раз отбрасывался назад. Подступы к селу усеяны сотнями трупов гитлеровцев. На другом участкенемцы предприняли ряд безуспешных атак, стремясь потеснить наши части. Несколько раз наши бойцы ходили в штыки и уничтожили более 200 немецких солдат иофицеров.</w:t>
      </w:r>
    </w:p>
    <w:p w14:paraId="26AABFB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Ленинградского фронта наши бойцы подбили несколько немецких танков, уничтожили 4 станковых пулемёта, обоз с боеприпасами и до 200 гитлеровцев. На другом участке огнём нашей артиллерии разрушено 78 немецких ДЗОТов, 11 блиндажей с живой силой противника, уничтожены 2 миномётные батареи, 3 противотанковых орудия, взорвано два склада боеприпасов и склад с горючим. Огнём артиллерии выведено из строя не менее 400 немецких солдат и офицеров.</w:t>
      </w:r>
    </w:p>
    <w:p w14:paraId="7F8A4F3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Лётчики подразделения, где командиром тов. Скок, совершили внезапный налёт на вражеский аэродром. Группа бомбардировщиков, которую вёл каштан тов. Лях, уничтожила на этом аэродроме 10 и повредила 6 немецких самолётов.</w:t>
      </w:r>
    </w:p>
    <w:p w14:paraId="780DA22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украинских партизан под командованием тов. И. в течение месяца уничтожил 869 немецко-фашистских оккупантов. Партизаны захватили у противника 5 пулемётов, орудие, 150 снарядов, 30 винтовок, 32.000 патронов, 68 повозок с боеприпасами, 120 лошадей с сёдлами, несколько автомашин и штабные документы.</w:t>
      </w:r>
    </w:p>
    <w:p w14:paraId="3E11D22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Партизаны Гомельской области восстановили советскую власть в 103 населённых пунктах. 30 мая партизанами уничтожен фашистский карательный отряд.</w:t>
      </w:r>
    </w:p>
    <w:p w14:paraId="4CB93B3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лётчик 4 отряда 11 немецкой авиагруппы дальней разведки Юрген Оферб екрассказал: «Наш «Юнкерс-88» подбит русской зенитной артиллерией. Перед вылетом командир отряда приказал экипажу в случав вынужденной посадки на территории противника покончить самоубийством, но я решил, что лучше сдаться в плен. Так же поступил и радист унтер-офицер Ганс Шнель. Недавно на нашу посадочную площадку налетели советские самолёты и уничтожили две машины, а три серьёзно повредили. За короткий срок в вашем отряде погибло и пропало без вести 12 экипажей. Несмотря на то, что в мае 4 отряд два раза получал пополнение, он испытывает острый недостаток в людях и машинах».</w:t>
      </w:r>
    </w:p>
    <w:p w14:paraId="7921037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391 немецкого полка Шварц рассказал: «Русские автоматчики напали на наш разведывательный отряд. Оставив несколько убитых и раненых, мы разбежались. Долго блуждая по болотам, наша группа в конце концов забрела в какую-то деревню. На окраине нас совсем неожиданно обстреляли партизаны. Во время перестрелки было убито 5 наших солдат. Я поднял руки и сдался в плен. Партизаны доставили меня в штаб советской части».</w:t>
      </w:r>
    </w:p>
    <w:p w14:paraId="028EFAA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Немецко-фашистские оккупанты творят зверскую расправу над населением Чехословакии. Ежедневно военно-полевые суды выносят смертные приговоры. 10 июня в Праге приговорено к расстрелу 25 человек, в Брно — 6 человек. Сегодня же гитлеровцы совершили новое злодеяние. Как сообщает радио из Праги, все мужчины местечка Лидице расстреляны, все женщины отвезены в Германию и заключены в концлагери, все дома сожжены и название местечка вычеркнуто. Такими методами гитлеровские палачи устанавливают «новый порядок» в Чехословакии. Патриоты Чехословакии достойно ответят на террор гитлеровцев.» (14919).</w:t>
      </w:r>
    </w:p>
    <w:p w14:paraId="4233578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6B09A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с 11 на 12 июня 1942 три германских самолета внезапно совершили налет на Ярославль, сбросив шесть фугасных бомб, которые упали в районе шинного завода. На следующую ночь налет повторился, и на этот раз немецкие летчики добились нескольких попаданий в цель. На предприятии возник пожар, несколько цехов были выведены из строя (11774).</w:t>
      </w:r>
    </w:p>
    <w:p w14:paraId="0015993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B18DE3"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июня 1942 г. Приказом командующего ВВС КА генерал-лейте</w:t>
      </w:r>
      <w:r w:rsidRPr="008A2E5A">
        <w:rPr>
          <w:rFonts w:ascii="Times New Roman" w:hAnsi="Times New Roman"/>
          <w:color w:val="0070C0"/>
          <w:sz w:val="16"/>
          <w:szCs w:val="16"/>
        </w:rPr>
        <w:softHyphen/>
        <w:t>нанта Новикова вместо генерала Папивина в коман</w:t>
      </w:r>
      <w:r w:rsidRPr="008A2E5A">
        <w:rPr>
          <w:rFonts w:ascii="Times New Roman" w:hAnsi="Times New Roman"/>
          <w:color w:val="0070C0"/>
          <w:sz w:val="16"/>
          <w:szCs w:val="16"/>
        </w:rPr>
        <w:softHyphen/>
        <w:t>дование 1-й запасной авиабригадой вступил полковник А.И. Подольский. Сам Папивин по</w:t>
      </w:r>
      <w:r w:rsidRPr="008A2E5A">
        <w:rPr>
          <w:rFonts w:ascii="Times New Roman" w:hAnsi="Times New Roman"/>
          <w:color w:val="0070C0"/>
          <w:sz w:val="16"/>
          <w:szCs w:val="16"/>
        </w:rPr>
        <w:softHyphen/>
        <w:t>лучил назначение командиром 210-й истребительной авиадивизией (14 июня 1942 г. преобразована в 264 шад) и убыл в действующую армию. Были проведены и ряд других кадровых перемещений (23346).</w:t>
      </w:r>
    </w:p>
    <w:p w14:paraId="0C9D21F2" w14:textId="77777777" w:rsidR="004F1B3C" w:rsidRPr="008A2E5A" w:rsidRDefault="004F1B3C" w:rsidP="004F1B3C">
      <w:pPr>
        <w:spacing w:after="0" w:line="240" w:lineRule="auto"/>
        <w:jc w:val="both"/>
        <w:rPr>
          <w:rFonts w:ascii="Times New Roman" w:hAnsi="Times New Roman"/>
          <w:color w:val="0070C0"/>
          <w:sz w:val="16"/>
          <w:szCs w:val="16"/>
        </w:rPr>
      </w:pPr>
    </w:p>
    <w:p w14:paraId="57A29E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14B7D7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DE6B3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(12 - 1103,228) июня 1942 было подписано советско-американское соглашение о принципах, применимых к взаимной помощи в ведении войны против агрессии (512,303). В англо-советской и советско-американском коммюнике, опубликованном в этот день, указывалось, что "достигнута договоренность в отношении неотложных задач создания в Европе второго фронта в 1942" (512,303).</w:t>
      </w:r>
    </w:p>
    <w:p w14:paraId="4EC459C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B5DD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нюня 1942 г. посол СССР в США М. М. Литвинов и государственный секретарь США Хэлл обменялись нотами, в которых указывалось, что подписанное 11 июня 1942 г. “Соглашение между правительствами СССР и США о принципах, применимых к взаимной помощи в ведении войны против агрессии” заменяет и делает недействительным предыдущее соглашение между правительствами СССР и США по этому же вопросу, заключенное путем обмена посланиями между Ф. Рузвельтом и И. В. Сталиным в феврале 1942 г (7430).</w:t>
      </w:r>
    </w:p>
    <w:p w14:paraId="24F0CB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B4F98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11 июня 1942 подписали соглашение с Советским Союзом о поставках по ленд-лизу США (поставки в СССР осуществлялись с ноября 1941 г.). По американским официальным данным, на конец сентября 1945 г. из США в СССР за время войны было отправлено 14 795 самолетов, 7056 танков, 8218 зенитных орудий, 131 600 пулеметов, что в обшей сложности не превышало 4% объема производства военной промышленной продукции на советских предприятиях. Кроме вооружения СССР получал и i США по ленллизy автомобили, тракторы, мотоциклы, суда, локомотивы, ваюпы. продовольствие и другие товары </w:t>
      </w:r>
    </w:p>
    <w:p w14:paraId="6DD6A49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(см.: Великая Отечественная война 1941-1945: энциклопедия. М.. 19X5. с. 400) (20810).</w:t>
      </w:r>
    </w:p>
    <w:p w14:paraId="5E74ECD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6AE4ED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июня 1942 СССР и США подписали договор о взаимной помощи в мировой войне (ленд-лизе) (4962).</w:t>
      </w:r>
    </w:p>
    <w:p w14:paraId="281469ED"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A3B29A"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июня 1942 г. было подписано советско-амери</w:t>
      </w:r>
      <w:r w:rsidRPr="008A2E5A">
        <w:rPr>
          <w:rFonts w:ascii="Times New Roman" w:hAnsi="Times New Roman"/>
          <w:color w:val="0070C0"/>
          <w:sz w:val="16"/>
          <w:szCs w:val="16"/>
        </w:rPr>
        <w:softHyphen/>
        <w:t>канское соглашение о взаимной помощи.</w:t>
      </w:r>
    </w:p>
    <w:p w14:paraId="71077A2F"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Различная техника, вооружение, оборудо</w:t>
      </w:r>
      <w:r w:rsidRPr="008A2E5A">
        <w:rPr>
          <w:rFonts w:ascii="Times New Roman" w:hAnsi="Times New Roman"/>
          <w:color w:val="0070C0"/>
          <w:sz w:val="16"/>
          <w:szCs w:val="16"/>
        </w:rPr>
        <w:softHyphen/>
        <w:t>вание и материалы закупались у фирм-из</w:t>
      </w:r>
      <w:r w:rsidRPr="008A2E5A">
        <w:rPr>
          <w:rFonts w:ascii="Times New Roman" w:hAnsi="Times New Roman"/>
          <w:color w:val="0070C0"/>
          <w:sz w:val="16"/>
          <w:szCs w:val="16"/>
        </w:rPr>
        <w:softHyphen/>
        <w:t>готовителей в счет средств, выделявшихся американским конгрессом на каждый фи</w:t>
      </w:r>
      <w:r w:rsidRPr="008A2E5A">
        <w:rPr>
          <w:rFonts w:ascii="Times New Roman" w:hAnsi="Times New Roman"/>
          <w:color w:val="0070C0"/>
          <w:sz w:val="16"/>
          <w:szCs w:val="16"/>
        </w:rPr>
        <w:softHyphen/>
        <w:t>нансовый год. При этом предусматрива</w:t>
      </w:r>
      <w:r w:rsidRPr="008A2E5A">
        <w:rPr>
          <w:rFonts w:ascii="Times New Roman" w:hAnsi="Times New Roman"/>
          <w:color w:val="0070C0"/>
          <w:sz w:val="16"/>
          <w:szCs w:val="16"/>
        </w:rPr>
        <w:softHyphen/>
        <w:t>лось, что за рубеж можно было отправлять только то, что разрешено к вывозу по со</w:t>
      </w:r>
      <w:r w:rsidRPr="008A2E5A">
        <w:rPr>
          <w:rFonts w:ascii="Times New Roman" w:hAnsi="Times New Roman"/>
          <w:color w:val="0070C0"/>
          <w:sz w:val="16"/>
          <w:szCs w:val="16"/>
        </w:rPr>
        <w:softHyphen/>
        <w:t>ображениям сохранения секретности (это касалось в основном различного авиаци</w:t>
      </w:r>
      <w:r w:rsidRPr="008A2E5A">
        <w:rPr>
          <w:rFonts w:ascii="Times New Roman" w:hAnsi="Times New Roman"/>
          <w:color w:val="0070C0"/>
          <w:sz w:val="16"/>
          <w:szCs w:val="16"/>
        </w:rPr>
        <w:softHyphen/>
        <w:t>онного оборудования) и с учетом перво</w:t>
      </w:r>
      <w:r w:rsidRPr="008A2E5A">
        <w:rPr>
          <w:rFonts w:ascii="Times New Roman" w:hAnsi="Times New Roman"/>
          <w:color w:val="0070C0"/>
          <w:sz w:val="16"/>
          <w:szCs w:val="16"/>
        </w:rPr>
        <w:softHyphen/>
        <w:t>очередного удовлетворения потребностей вооруженных сил самих Соединенных Штатов (по этой причине на экспорт не шли или поставлялись в ограниченном ко</w:t>
      </w:r>
      <w:r w:rsidRPr="008A2E5A">
        <w:rPr>
          <w:rFonts w:ascii="Times New Roman" w:hAnsi="Times New Roman"/>
          <w:color w:val="0070C0"/>
          <w:sz w:val="16"/>
          <w:szCs w:val="16"/>
        </w:rPr>
        <w:softHyphen/>
        <w:t>личестве наиболее современные самолеты).</w:t>
      </w:r>
    </w:p>
    <w:p w14:paraId="46E75EC6"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Закупленная техника юридически счи</w:t>
      </w:r>
      <w:r w:rsidRPr="008A2E5A">
        <w:rPr>
          <w:rFonts w:ascii="Times New Roman" w:hAnsi="Times New Roman"/>
          <w:color w:val="0070C0"/>
          <w:sz w:val="16"/>
          <w:szCs w:val="16"/>
        </w:rPr>
        <w:softHyphen/>
        <w:t>талась собственностью американских вооруженных сил. Например, самолеты принадлежали ВВС армии или авиации флота — в зависимости от назначения. Их принимала американская военная прием</w:t>
      </w:r>
      <w:r w:rsidRPr="008A2E5A">
        <w:rPr>
          <w:rFonts w:ascii="Times New Roman" w:hAnsi="Times New Roman"/>
          <w:color w:val="0070C0"/>
          <w:sz w:val="16"/>
          <w:szCs w:val="16"/>
        </w:rPr>
        <w:softHyphen/>
        <w:t>ка. На хвостовом оперении непременно наносили военные учетные номера. Эти номера никогда не менялись и не повто</w:t>
      </w:r>
      <w:r w:rsidRPr="008A2E5A">
        <w:rPr>
          <w:rFonts w:ascii="Times New Roman" w:hAnsi="Times New Roman"/>
          <w:color w:val="0070C0"/>
          <w:sz w:val="16"/>
          <w:szCs w:val="16"/>
        </w:rPr>
        <w:softHyphen/>
        <w:t>рялись, именно по ним оформлялась вся документация. У нас их обычно не закра</w:t>
      </w:r>
      <w:r w:rsidRPr="008A2E5A">
        <w:rPr>
          <w:rFonts w:ascii="Times New Roman" w:hAnsi="Times New Roman"/>
          <w:color w:val="0070C0"/>
          <w:sz w:val="16"/>
          <w:szCs w:val="16"/>
        </w:rPr>
        <w:softHyphen/>
        <w:t>шивали, поскольку именно на эти номе</w:t>
      </w:r>
      <w:r w:rsidRPr="008A2E5A">
        <w:rPr>
          <w:rFonts w:ascii="Times New Roman" w:hAnsi="Times New Roman"/>
          <w:color w:val="0070C0"/>
          <w:sz w:val="16"/>
          <w:szCs w:val="16"/>
        </w:rPr>
        <w:softHyphen/>
        <w:t>ра в случае чего писали рекламации. Все типы самолетов, шедших по ленд-лизу, не</w:t>
      </w:r>
      <w:r w:rsidRPr="008A2E5A">
        <w:rPr>
          <w:rFonts w:ascii="Times New Roman" w:hAnsi="Times New Roman"/>
          <w:color w:val="0070C0"/>
          <w:sz w:val="16"/>
          <w:szCs w:val="16"/>
        </w:rPr>
        <w:softHyphen/>
        <w:t>зависимо от того, состояли ли они на во</w:t>
      </w:r>
      <w:r w:rsidRPr="008A2E5A">
        <w:rPr>
          <w:rFonts w:ascii="Times New Roman" w:hAnsi="Times New Roman"/>
          <w:color w:val="0070C0"/>
          <w:sz w:val="16"/>
          <w:szCs w:val="16"/>
        </w:rPr>
        <w:softHyphen/>
        <w:t>оружении в США или строились только на экспорт, получали американские военные обозначения. Например, бомбардиров</w:t>
      </w:r>
      <w:r w:rsidRPr="008A2E5A">
        <w:rPr>
          <w:rFonts w:ascii="Times New Roman" w:hAnsi="Times New Roman"/>
          <w:color w:val="0070C0"/>
          <w:sz w:val="16"/>
          <w:szCs w:val="16"/>
        </w:rPr>
        <w:softHyphen/>
        <w:t>щик «Балтимор», выпускавшийся только по заказам Великобритании, в американ</w:t>
      </w:r>
      <w:r w:rsidRPr="008A2E5A">
        <w:rPr>
          <w:rFonts w:ascii="Times New Roman" w:hAnsi="Times New Roman"/>
          <w:color w:val="0070C0"/>
          <w:sz w:val="16"/>
          <w:szCs w:val="16"/>
        </w:rPr>
        <w:softHyphen/>
        <w:t>ских документах именовался А-22.</w:t>
      </w:r>
    </w:p>
    <w:p w14:paraId="352BBBF4"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Считалось, что вся военная техника предоставляется союзникам на время вой</w:t>
      </w:r>
      <w:r w:rsidRPr="008A2E5A">
        <w:rPr>
          <w:rFonts w:ascii="Times New Roman" w:hAnsi="Times New Roman"/>
          <w:color w:val="0070C0"/>
          <w:sz w:val="16"/>
          <w:szCs w:val="16"/>
        </w:rPr>
        <w:softHyphen/>
        <w:t>ны. После ее окончания то, что уцелеет, должно было быть возвращено США (если им это будет нужно) или оплачено — это определялось статьей V советско-амери</w:t>
      </w:r>
      <w:r w:rsidRPr="008A2E5A">
        <w:rPr>
          <w:rFonts w:ascii="Times New Roman" w:hAnsi="Times New Roman"/>
          <w:color w:val="0070C0"/>
          <w:sz w:val="16"/>
          <w:szCs w:val="16"/>
        </w:rPr>
        <w:softHyphen/>
        <w:t>канского соглашения о взаимной помощи от 11 июня 1942 г. Платежи начинались через пять лет после окончания войны и растягивались на десятилетний срок. Это соглашение являлось основным доку</w:t>
      </w:r>
      <w:r w:rsidRPr="008A2E5A">
        <w:rPr>
          <w:rFonts w:ascii="Times New Roman" w:hAnsi="Times New Roman"/>
          <w:color w:val="0070C0"/>
          <w:sz w:val="16"/>
          <w:szCs w:val="16"/>
        </w:rPr>
        <w:softHyphen/>
        <w:t>ментом, определявшим правовые основы поставок американской техники и обору</w:t>
      </w:r>
      <w:r w:rsidRPr="008A2E5A">
        <w:rPr>
          <w:rFonts w:ascii="Times New Roman" w:hAnsi="Times New Roman"/>
          <w:color w:val="0070C0"/>
          <w:sz w:val="16"/>
          <w:szCs w:val="16"/>
        </w:rPr>
        <w:softHyphen/>
        <w:t>дования в Советский Союз.</w:t>
      </w:r>
    </w:p>
    <w:p w14:paraId="69D65A4D"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 нас за получение американской помо</w:t>
      </w:r>
      <w:r w:rsidRPr="008A2E5A">
        <w:rPr>
          <w:rFonts w:ascii="Times New Roman" w:hAnsi="Times New Roman"/>
          <w:color w:val="0070C0"/>
          <w:sz w:val="16"/>
          <w:szCs w:val="16"/>
        </w:rPr>
        <w:softHyphen/>
        <w:t>щи отвечал Наркомат внешней торговли (НКВТ). К нему прикомандировывались специалисты и военнослужащие, зани</w:t>
      </w:r>
      <w:r w:rsidRPr="008A2E5A">
        <w:rPr>
          <w:rFonts w:ascii="Times New Roman" w:hAnsi="Times New Roman"/>
          <w:color w:val="0070C0"/>
          <w:sz w:val="16"/>
          <w:szCs w:val="16"/>
        </w:rPr>
        <w:softHyphen/>
        <w:t>мавшиеся приемкой техники.</w:t>
      </w:r>
    </w:p>
    <w:p w14:paraId="5F5333EE"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 система функционирова</w:t>
      </w:r>
      <w:r w:rsidRPr="008A2E5A">
        <w:rPr>
          <w:rFonts w:ascii="Times New Roman" w:hAnsi="Times New Roman"/>
          <w:color w:val="0070C0"/>
          <w:sz w:val="16"/>
          <w:szCs w:val="16"/>
        </w:rPr>
        <w:softHyphen/>
        <w:t>ла так. Советский Генеральный штаб сов</w:t>
      </w:r>
      <w:r w:rsidRPr="008A2E5A">
        <w:rPr>
          <w:rFonts w:ascii="Times New Roman" w:hAnsi="Times New Roman"/>
          <w:color w:val="0070C0"/>
          <w:sz w:val="16"/>
          <w:szCs w:val="16"/>
        </w:rPr>
        <w:softHyphen/>
        <w:t>местно со штабом ВВС определял общие потребности в импортной авиационной технике и необходимом для авиации обо</w:t>
      </w:r>
      <w:r w:rsidRPr="008A2E5A">
        <w:rPr>
          <w:rFonts w:ascii="Times New Roman" w:hAnsi="Times New Roman"/>
          <w:color w:val="0070C0"/>
          <w:sz w:val="16"/>
          <w:szCs w:val="16"/>
        </w:rPr>
        <w:softHyphen/>
        <w:t>рудовании и снабжении. Свои заявки на оборудование, инструмент, сырье, транс</w:t>
      </w:r>
      <w:r w:rsidRPr="008A2E5A">
        <w:rPr>
          <w:rFonts w:ascii="Times New Roman" w:hAnsi="Times New Roman"/>
          <w:color w:val="0070C0"/>
          <w:sz w:val="16"/>
          <w:szCs w:val="16"/>
        </w:rPr>
        <w:softHyphen/>
        <w:t xml:space="preserve">порт и прочее подавал НКАП. Все это согласовывалось с союзниками в рамках очередного ежегодного соглашения — кто и сколько чего поставит (по категориям, для самолетов — по классам). На этой </w:t>
      </w:r>
      <w:r w:rsidRPr="008A2E5A">
        <w:rPr>
          <w:rFonts w:ascii="Times New Roman" w:hAnsi="Times New Roman"/>
          <w:color w:val="0070C0"/>
          <w:sz w:val="16"/>
          <w:szCs w:val="16"/>
        </w:rPr>
        <w:lastRenderedPageBreak/>
        <w:t>ос</w:t>
      </w:r>
      <w:r w:rsidRPr="008A2E5A">
        <w:rPr>
          <w:rFonts w:ascii="Times New Roman" w:hAnsi="Times New Roman"/>
          <w:color w:val="0070C0"/>
          <w:sz w:val="16"/>
          <w:szCs w:val="16"/>
        </w:rPr>
        <w:softHyphen/>
        <w:t>нове составлялись ежегодные протоколы. I протокол (его называют также Москов</w:t>
      </w:r>
      <w:r w:rsidRPr="008A2E5A">
        <w:rPr>
          <w:rFonts w:ascii="Times New Roman" w:hAnsi="Times New Roman"/>
          <w:color w:val="0070C0"/>
          <w:sz w:val="16"/>
          <w:szCs w:val="16"/>
        </w:rPr>
        <w:softHyphen/>
        <w:t>ским) охватывал период до 30 июня 1942 г., три последующих действовали ровно по году — с 1 июля до 30 июня. Это определя</w:t>
      </w:r>
      <w:r w:rsidRPr="008A2E5A">
        <w:rPr>
          <w:rFonts w:ascii="Times New Roman" w:hAnsi="Times New Roman"/>
          <w:color w:val="0070C0"/>
          <w:sz w:val="16"/>
          <w:szCs w:val="16"/>
        </w:rPr>
        <w:softHyphen/>
        <w:t>лось тем, что деньги конгресс США выде</w:t>
      </w:r>
      <w:r w:rsidRPr="008A2E5A">
        <w:rPr>
          <w:rFonts w:ascii="Times New Roman" w:hAnsi="Times New Roman"/>
          <w:color w:val="0070C0"/>
          <w:sz w:val="16"/>
          <w:szCs w:val="16"/>
        </w:rPr>
        <w:softHyphen/>
        <w:t>лял на финансовый год, а он как раз и за</w:t>
      </w:r>
      <w:r w:rsidRPr="008A2E5A">
        <w:rPr>
          <w:rFonts w:ascii="Times New Roman" w:hAnsi="Times New Roman"/>
          <w:color w:val="0070C0"/>
          <w:sz w:val="16"/>
          <w:szCs w:val="16"/>
        </w:rPr>
        <w:softHyphen/>
        <w:t>нимал этот отрезок времени.</w:t>
      </w:r>
    </w:p>
    <w:p w14:paraId="15FC2A40"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Последний, IV протокол, прекратил свое действие 1 июля 1945 г. Но для союзников война продолжалась, они еще вели боевые действия против японцев. Сталин взял обязательство тоже принять участие в раз</w:t>
      </w:r>
      <w:r w:rsidRPr="008A2E5A">
        <w:rPr>
          <w:rFonts w:ascii="Times New Roman" w:hAnsi="Times New Roman"/>
          <w:color w:val="0070C0"/>
          <w:sz w:val="16"/>
          <w:szCs w:val="16"/>
        </w:rPr>
        <w:softHyphen/>
        <w:t>громе Японии. Для этого требовалась до</w:t>
      </w:r>
      <w:r w:rsidRPr="008A2E5A">
        <w:rPr>
          <w:rFonts w:ascii="Times New Roman" w:hAnsi="Times New Roman"/>
          <w:color w:val="0070C0"/>
          <w:sz w:val="16"/>
          <w:szCs w:val="16"/>
        </w:rPr>
        <w:softHyphen/>
        <w:t>полнительная помощь оружием, техникой и различными военными материалами, что</w:t>
      </w:r>
      <w:r w:rsidRPr="008A2E5A">
        <w:rPr>
          <w:rFonts w:ascii="Times New Roman" w:hAnsi="Times New Roman"/>
          <w:color w:val="0070C0"/>
          <w:sz w:val="16"/>
          <w:szCs w:val="16"/>
        </w:rPr>
        <w:softHyphen/>
        <w:t>бы усилить группировку советских войск на Дальнем Востоке. Поставки для этих целей включили в особое «приложение III».</w:t>
      </w:r>
    </w:p>
    <w:p w14:paraId="05ED853D"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того как обязательства сторон определялись протоколом, можно было конкретизировать структуру поставок. Советская сторона запрашивала у союзни</w:t>
      </w:r>
      <w:r w:rsidRPr="008A2E5A">
        <w:rPr>
          <w:rFonts w:ascii="Times New Roman" w:hAnsi="Times New Roman"/>
          <w:color w:val="0070C0"/>
          <w:sz w:val="16"/>
          <w:szCs w:val="16"/>
        </w:rPr>
        <w:softHyphen/>
        <w:t>ков о возможности направить определен</w:t>
      </w:r>
      <w:r w:rsidRPr="008A2E5A">
        <w:rPr>
          <w:rFonts w:ascii="Times New Roman" w:hAnsi="Times New Roman"/>
          <w:color w:val="0070C0"/>
          <w:sz w:val="16"/>
          <w:szCs w:val="16"/>
        </w:rPr>
        <w:softHyphen/>
        <w:t>ные типы машин, оборудования, воору</w:t>
      </w:r>
      <w:r w:rsidRPr="008A2E5A">
        <w:rPr>
          <w:rFonts w:ascii="Times New Roman" w:hAnsi="Times New Roman"/>
          <w:color w:val="0070C0"/>
          <w:sz w:val="16"/>
          <w:szCs w:val="16"/>
        </w:rPr>
        <w:softHyphen/>
        <w:t>жения и оборудования. Информацию для этого собирали военные атташе, приемщи</w:t>
      </w:r>
      <w:r w:rsidRPr="008A2E5A">
        <w:rPr>
          <w:rFonts w:ascii="Times New Roman" w:hAnsi="Times New Roman"/>
          <w:color w:val="0070C0"/>
          <w:sz w:val="16"/>
          <w:szCs w:val="16"/>
        </w:rPr>
        <w:softHyphen/>
        <w:t>ки и разведка. В США работала советская правительственная закупочная комиссия во главе с генерал-лейтенантом В.И. Беля</w:t>
      </w:r>
      <w:r w:rsidRPr="008A2E5A">
        <w:rPr>
          <w:rFonts w:ascii="Times New Roman" w:hAnsi="Times New Roman"/>
          <w:color w:val="0070C0"/>
          <w:sz w:val="16"/>
          <w:szCs w:val="16"/>
        </w:rPr>
        <w:softHyphen/>
        <w:t>евым, которого с декабря 1943 г. заменил генерал-лейтенант П.Г. Руденко. Понача</w:t>
      </w:r>
      <w:r w:rsidRPr="008A2E5A">
        <w:rPr>
          <w:rFonts w:ascii="Times New Roman" w:hAnsi="Times New Roman"/>
          <w:color w:val="0070C0"/>
          <w:sz w:val="16"/>
          <w:szCs w:val="16"/>
        </w:rPr>
        <w:softHyphen/>
        <w:t>лу у нас, похоже, не очень хорошо ориен</w:t>
      </w:r>
      <w:r w:rsidRPr="008A2E5A">
        <w:rPr>
          <w:rFonts w:ascii="Times New Roman" w:hAnsi="Times New Roman"/>
          <w:color w:val="0070C0"/>
          <w:sz w:val="16"/>
          <w:szCs w:val="16"/>
        </w:rPr>
        <w:softHyphen/>
        <w:t>тировались в том, где, и чего, и сколько строят. Пытались заказывать машины, се</w:t>
      </w:r>
      <w:r w:rsidRPr="008A2E5A">
        <w:rPr>
          <w:rFonts w:ascii="Times New Roman" w:hAnsi="Times New Roman"/>
          <w:color w:val="0070C0"/>
          <w:sz w:val="16"/>
          <w:szCs w:val="16"/>
        </w:rPr>
        <w:softHyphen/>
        <w:t>рийно не выпускавшиеся, как, например, «Спитфайр» III. Хотели брать у англичан «Манчестеры» — бомбардировщики явно не очень-то удачные. Да и история с зака</w:t>
      </w:r>
      <w:r w:rsidRPr="008A2E5A">
        <w:rPr>
          <w:rFonts w:ascii="Times New Roman" w:hAnsi="Times New Roman"/>
          <w:color w:val="0070C0"/>
          <w:sz w:val="16"/>
          <w:szCs w:val="16"/>
        </w:rPr>
        <w:softHyphen/>
        <w:t>зом самолетов «Албемарл» в 1942 г., опи</w:t>
      </w:r>
      <w:r w:rsidRPr="008A2E5A">
        <w:rPr>
          <w:rFonts w:ascii="Times New Roman" w:hAnsi="Times New Roman"/>
          <w:color w:val="0070C0"/>
          <w:sz w:val="16"/>
          <w:szCs w:val="16"/>
        </w:rPr>
        <w:softHyphen/>
        <w:t>санная подробно далее, говорит о слабой информированности нашего руководства о качествах заграничной техники. Бывало и так, что у союзников просили количест</w:t>
      </w:r>
      <w:r w:rsidRPr="008A2E5A">
        <w:rPr>
          <w:rFonts w:ascii="Times New Roman" w:hAnsi="Times New Roman"/>
          <w:color w:val="0070C0"/>
          <w:sz w:val="16"/>
          <w:szCs w:val="16"/>
        </w:rPr>
        <w:softHyphen/>
        <w:t>ва, превышавшие все производство само</w:t>
      </w:r>
      <w:r w:rsidRPr="008A2E5A">
        <w:rPr>
          <w:rFonts w:ascii="Times New Roman" w:hAnsi="Times New Roman"/>
          <w:color w:val="0070C0"/>
          <w:sz w:val="16"/>
          <w:szCs w:val="16"/>
        </w:rPr>
        <w:softHyphen/>
        <w:t>летов данного типа.</w:t>
      </w:r>
    </w:p>
    <w:p w14:paraId="041D1A2E"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Далеко не все из желаемого удавалось получить. В свою очередь, нам предлагали что-то другое. В результате вырабатывался компромисс. В пределах отпущенных пра</w:t>
      </w:r>
      <w:r w:rsidRPr="008A2E5A">
        <w:rPr>
          <w:rFonts w:ascii="Times New Roman" w:hAnsi="Times New Roman"/>
          <w:color w:val="0070C0"/>
          <w:sz w:val="16"/>
          <w:szCs w:val="16"/>
        </w:rPr>
        <w:softHyphen/>
        <w:t>вительством США на это средств у разных фирм размещались заказы на сами самолеты, оборудование, запасные части, моторы, воо</w:t>
      </w:r>
      <w:r w:rsidRPr="008A2E5A">
        <w:rPr>
          <w:rFonts w:ascii="Times New Roman" w:hAnsi="Times New Roman"/>
          <w:color w:val="0070C0"/>
          <w:sz w:val="16"/>
          <w:szCs w:val="16"/>
        </w:rPr>
        <w:softHyphen/>
        <w:t>ружение и боеприпасы. Они соответствова</w:t>
      </w:r>
      <w:r w:rsidRPr="008A2E5A">
        <w:rPr>
          <w:rFonts w:ascii="Times New Roman" w:hAnsi="Times New Roman"/>
          <w:color w:val="0070C0"/>
          <w:sz w:val="16"/>
          <w:szCs w:val="16"/>
        </w:rPr>
        <w:softHyphen/>
        <w:t>ли техническим требованиям вооруженных сил США и контролировались американской военной приемкой, к которой иногда присо</w:t>
      </w:r>
      <w:r w:rsidRPr="008A2E5A">
        <w:rPr>
          <w:rFonts w:ascii="Times New Roman" w:hAnsi="Times New Roman"/>
          <w:color w:val="0070C0"/>
          <w:sz w:val="16"/>
          <w:szCs w:val="16"/>
        </w:rPr>
        <w:softHyphen/>
        <w:t>единялись и советские приемщики.</w:t>
      </w:r>
    </w:p>
    <w:p w14:paraId="6B81FFD8"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середины войны мы стали направлять в США требования о некоторой доработке техники. Часть из них была принята, на</w:t>
      </w:r>
      <w:r w:rsidRPr="008A2E5A">
        <w:rPr>
          <w:rFonts w:ascii="Times New Roman" w:hAnsi="Times New Roman"/>
          <w:color w:val="0070C0"/>
          <w:sz w:val="16"/>
          <w:szCs w:val="16"/>
        </w:rPr>
        <w:softHyphen/>
        <w:t>пример, по окраске самолетов. А бомбар</w:t>
      </w:r>
      <w:r w:rsidRPr="008A2E5A">
        <w:rPr>
          <w:rFonts w:ascii="Times New Roman" w:hAnsi="Times New Roman"/>
          <w:color w:val="0070C0"/>
          <w:sz w:val="16"/>
          <w:szCs w:val="16"/>
        </w:rPr>
        <w:softHyphen/>
        <w:t>дировщики А-20 вообще проходили через специальный модификационный центр в Талсе, где их приспосабливали под при</w:t>
      </w:r>
      <w:r w:rsidRPr="008A2E5A">
        <w:rPr>
          <w:rFonts w:ascii="Times New Roman" w:hAnsi="Times New Roman"/>
          <w:color w:val="0070C0"/>
          <w:sz w:val="16"/>
          <w:szCs w:val="16"/>
        </w:rPr>
        <w:softHyphen/>
        <w:t>нятый в СССР экипаж из четырех человек.</w:t>
      </w:r>
    </w:p>
    <w:p w14:paraId="7540F6F4"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Далее техника тем или иным способом транспортировалась в пункт, где проходи</w:t>
      </w:r>
      <w:r w:rsidRPr="008A2E5A">
        <w:rPr>
          <w:rFonts w:ascii="Times New Roman" w:hAnsi="Times New Roman"/>
          <w:color w:val="0070C0"/>
          <w:sz w:val="16"/>
          <w:szCs w:val="16"/>
        </w:rPr>
        <w:softHyphen/>
        <w:t>ла приемка-сдача. Там размещалась совет</w:t>
      </w:r>
      <w:r w:rsidRPr="008A2E5A">
        <w:rPr>
          <w:rFonts w:ascii="Times New Roman" w:hAnsi="Times New Roman"/>
          <w:color w:val="0070C0"/>
          <w:sz w:val="16"/>
          <w:szCs w:val="16"/>
        </w:rPr>
        <w:softHyphen/>
        <w:t>ская миссия, включавшая представителей НКВТ и военных. Самолеты осматрива</w:t>
      </w:r>
      <w:r w:rsidRPr="008A2E5A">
        <w:rPr>
          <w:rFonts w:ascii="Times New Roman" w:hAnsi="Times New Roman"/>
          <w:color w:val="0070C0"/>
          <w:sz w:val="16"/>
          <w:szCs w:val="16"/>
        </w:rPr>
        <w:softHyphen/>
        <w:t>ли, проверяли комплектацию, устраняли выявленные дефекты и проводили облет. Там же обычно меняли опознавательные знаки, нанося красные звезды. Принятые машины оформлялись и далее следовали уже как советские.</w:t>
      </w:r>
    </w:p>
    <w:p w14:paraId="584EE7A6"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Техника, утраченная при транспорти</w:t>
      </w:r>
      <w:r w:rsidRPr="008A2E5A">
        <w:rPr>
          <w:rFonts w:ascii="Times New Roman" w:hAnsi="Times New Roman"/>
          <w:color w:val="0070C0"/>
          <w:sz w:val="16"/>
          <w:szCs w:val="16"/>
        </w:rPr>
        <w:softHyphen/>
        <w:t>ровке до приемки представителями СССР, возмещалась дополнительными поставка</w:t>
      </w:r>
      <w:r w:rsidRPr="008A2E5A">
        <w:rPr>
          <w:rFonts w:ascii="Times New Roman" w:hAnsi="Times New Roman"/>
          <w:color w:val="0070C0"/>
          <w:sz w:val="16"/>
          <w:szCs w:val="16"/>
        </w:rPr>
        <w:softHyphen/>
        <w:t>ми. За самолеты, разбитые уже у нас при перегонке к фронту, союзники ответствен</w:t>
      </w:r>
      <w:r w:rsidRPr="008A2E5A">
        <w:rPr>
          <w:rFonts w:ascii="Times New Roman" w:hAnsi="Times New Roman"/>
          <w:color w:val="0070C0"/>
          <w:sz w:val="16"/>
          <w:szCs w:val="16"/>
        </w:rPr>
        <w:softHyphen/>
        <w:t>ности не несли (23513).</w:t>
      </w:r>
    </w:p>
    <w:p w14:paraId="6619B2A1" w14:textId="77777777" w:rsidR="004F1B3C" w:rsidRPr="008A2E5A" w:rsidRDefault="004F1B3C" w:rsidP="004F1B3C">
      <w:pPr>
        <w:spacing w:after="0" w:line="240" w:lineRule="auto"/>
        <w:jc w:val="both"/>
        <w:rPr>
          <w:rFonts w:ascii="Times New Roman" w:hAnsi="Times New Roman"/>
          <w:color w:val="0070C0"/>
          <w:sz w:val="16"/>
          <w:szCs w:val="16"/>
        </w:rPr>
      </w:pPr>
    </w:p>
    <w:p w14:paraId="02E6B6D7" w14:textId="77777777" w:rsidR="004F1B3C" w:rsidRPr="008A2E5A" w:rsidRDefault="004F1B3C" w:rsidP="004F1B3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июня 1942 года было подписано официальное соглашение между СССР и США о ленд-лизе (поставке под беспроцентный заем с оплатой в течение де</w:t>
      </w:r>
      <w:r w:rsidRPr="008A2E5A">
        <w:rPr>
          <w:rFonts w:ascii="Times New Roman" w:hAnsi="Times New Roman"/>
          <w:color w:val="0070C0"/>
          <w:sz w:val="16"/>
          <w:szCs w:val="16"/>
        </w:rPr>
        <w:softHyphen/>
        <w:t>сятилетия, начиная с шестого года после окончания войны) (24342).</w:t>
      </w:r>
    </w:p>
    <w:p w14:paraId="6800FC3E" w14:textId="77777777" w:rsidR="004F1B3C" w:rsidRPr="008A2E5A" w:rsidRDefault="004F1B3C" w:rsidP="004F1B3C">
      <w:pPr>
        <w:spacing w:after="0" w:line="240" w:lineRule="auto"/>
        <w:jc w:val="both"/>
        <w:rPr>
          <w:rFonts w:ascii="Times New Roman" w:hAnsi="Times New Roman"/>
          <w:color w:val="0070C0"/>
          <w:sz w:val="16"/>
          <w:szCs w:val="16"/>
        </w:rPr>
      </w:pPr>
    </w:p>
    <w:p w14:paraId="32306351"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июня 1942 г. был подписан большой договор о ленд-лизе между США и СССР, в ст. 5 которого предусматривалось, что правительство СССР обязуется возвратить Соединенным Штатам Америки по окончании чрезвычайных обстоятельств, согласно решению президента США, те оборонные материалы, полученные согласно договору, которые не были разрушены, утрачены или полностью использованы. В мае 1947 г. советской стороне был передан «Меморандум, касающийся оценки ленд-лизовских товаров, находящихся в распоряжении СССР после окончания военных действий против Японии с конца 1945 г.», в соответствии с которым получалось, что СССР должен США 2607 млн долл., включая нефтепродукты с учетом их доставки на 23 млн долл., а также машины и оборудование, в т.ч. нефтеперерабатывающее (11549).</w:t>
      </w:r>
    </w:p>
    <w:p w14:paraId="055EF970"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p>
    <w:p w14:paraId="2793FD7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11 июня</w:t>
      </w:r>
      <w:r w:rsidRPr="008127F8">
        <w:rPr>
          <w:rFonts w:ascii="Times New Roman" w:hAnsi="Times New Roman"/>
          <w:color w:val="000000" w:themeColor="text1"/>
          <w:sz w:val="16"/>
          <w:szCs w:val="16"/>
        </w:rPr>
        <w:t xml:space="preserve"> в 1942 году в Вашингтоне заключено советско-американское соглашение «О принципах взаимной помощи в ведении войны против агрессоров». Укреплению антифашистского фронта были посвящены также Тегеранская конференции 1943 года, Крымская (Ялтинская) конференции и Берлинская (Потсдамская) конференции 1945 года. Как известно, внутри антигитлеровской коалиции существовали противоречия по ряду вопросов ведения войны и решения послевоенных проблем. Особенно это проявилось в вопросах о сроках открытия «второго фронта» и о целях войны. Для СССР цели войны заключались в полном разгроме фашизма, освобождении советской территории и территории порабощенных стран Европы, установлении прочного мира, и наконец, в полном исключении возможности новой немецкой агрессии. США и Великобритания также стремились к устранению фашистских режимов, однако при этом они намеревались подчинить решение послевоенных проблем своим интересам, противостоять росту советского влияния в мире, прежде всего в Восточной Европе. Но в основном, несмотря на трудности и препятствия, правительства стран коалиции успешно справлялись со своими задачами на протяжении всей войны. Крупным успехом союзных стран явилась конференция в Сан-Франциско 1945 года, в результате которой была создана Организация Объединенных Наций (14919).</w:t>
      </w:r>
    </w:p>
    <w:p w14:paraId="736F14B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77ABEE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с 11 на 12 июня ТБ-7 Пусэпа взял курс домой. Перед самым стартом лопнул баллон хвостового колеса. Хорошо, что на борту был запасной и его заменили. Через 7 часов 25 минут корабль приземлился на центральном аэродроме в Москве. На перелет из США домой они затратили почти 8 дней, полетное время составило 24 часа 41 минуту. Весь же перелет занял почти 24 дня, полетное время составило 55 часов 27 минут. В тот же день корабль перелетел на родной аэродром Раменское - место базирования 746 АП ДД. По воспоминаниям одного из ветеранов, который служил в этом полку, корабль, при</w:t>
      </w:r>
      <w:r w:rsidRPr="008127F8">
        <w:rPr>
          <w:rFonts w:ascii="Times New Roman" w:hAnsi="Times New Roman"/>
          <w:color w:val="000000" w:themeColor="text1"/>
          <w:sz w:val="16"/>
          <w:szCs w:val="16"/>
        </w:rPr>
        <w:softHyphen/>
        <w:t>бывший из заграницы, был весь в надписях на английском языке, которые оставили на память англичане или американцы. Но, к сожалению, фотографий ТБ-7 №42066 с этими надписями нет. В своих воспомина</w:t>
      </w:r>
      <w:r w:rsidRPr="008127F8">
        <w:rPr>
          <w:rFonts w:ascii="Times New Roman" w:hAnsi="Times New Roman"/>
          <w:color w:val="000000" w:themeColor="text1"/>
          <w:sz w:val="16"/>
          <w:szCs w:val="16"/>
        </w:rPr>
        <w:softHyphen/>
        <w:t>ниях ни Э.К. Пусэп, ни А.П. Штепенко надпи</w:t>
      </w:r>
      <w:r w:rsidRPr="008127F8">
        <w:rPr>
          <w:rFonts w:ascii="Times New Roman" w:hAnsi="Times New Roman"/>
          <w:color w:val="000000" w:themeColor="text1"/>
          <w:sz w:val="16"/>
          <w:szCs w:val="16"/>
        </w:rPr>
        <w:softHyphen/>
        <w:t>си неупоминают.</w:t>
      </w:r>
    </w:p>
    <w:p w14:paraId="0AFB22C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перелет Э.К. Пусэпу, А.П. Штепенко и С.М. Романову присвоили звания Героя Советского Союза, С.А. Асямову было при</w:t>
      </w:r>
      <w:r w:rsidRPr="008127F8">
        <w:rPr>
          <w:rFonts w:ascii="Times New Roman" w:hAnsi="Times New Roman"/>
          <w:color w:val="000000" w:themeColor="text1"/>
          <w:sz w:val="16"/>
          <w:szCs w:val="16"/>
        </w:rPr>
        <w:softHyphen/>
        <w:t>своено звание Героя Советского Союза посмертно, В.М. Обухов, А.Я. Золаторев и В.И. Дмитриев были награждены орденами Ленина, орденами и медалями были награж</w:t>
      </w:r>
      <w:r w:rsidRPr="008127F8">
        <w:rPr>
          <w:rFonts w:ascii="Times New Roman" w:hAnsi="Times New Roman"/>
          <w:color w:val="000000" w:themeColor="text1"/>
          <w:sz w:val="16"/>
          <w:szCs w:val="16"/>
        </w:rPr>
        <w:softHyphen/>
        <w:t>дены и все остальные члены экипажа. Ну а дальше началась обычная боевая работа (19936).</w:t>
      </w:r>
    </w:p>
    <w:p w14:paraId="5F70F05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AC2577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5CA11E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2A8A9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июня 1942 на совещании высшего военного командования Германии глава СС Г. Гиммлер призвал к немедленной оккупации Южной Франции (4962).</w:t>
      </w:r>
    </w:p>
    <w:p w14:paraId="7714599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BDC44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июня 1942 вечером с аэродрома Файид (северо-восточнее Каира) стартовали 13 американских бомбардировщиков В-24. Из-за установленных на самолетах дополнительных топливных баков пришлось снизить бомбовую нагрузку до 3000 фунтов (1360 кг). Средиземное море «Либерейторы» пересекали поодиночке и, пролетев над Турцией и Болгарией, утром 12 июня достигли Румынии. Правда, из-за густой облачности «Либерейторы» отбомбились «куда попало»: 8 бомб упало в Черное море, 2 - в Констанце, 6 - в Плоешти, 6 - в Тиешани и еще несколько - в Циофлицени. Потери румын от бомбежки составили 3 человека.</w:t>
      </w:r>
    </w:p>
    <w:p w14:paraId="2520C51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плану американцы должны были сесть на аэродроме Рамади в 100 км западнее Багдада, но его достигли только семь В-24, причем один разбился при посадке. Два бомбардировщика сели на аэродроме Алеппо в Сирии, то есть на территории, контролируемой англичанами. Еще 5 «Либерейторов» приземлились в Турции - 4 в районе Анкары, а один в Измире. Турки интернировали американские самолеты и экипажи. Позже три В-24 были включены в состав турецких ВВС.</w:t>
      </w:r>
    </w:p>
    <w:p w14:paraId="75350A1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Германское командование сделало надлежащие выводы из случившегося и существенно усилило ПВО района Плоешти. К началу 1943 г. там дислоцировалось 36 тяжелых зенитных батарей (8,8-см пушки) и 16 легких батарей (2-см и 3,7-см зенитные автоматы), а также бронепоезд ПВО.</w:t>
      </w:r>
    </w:p>
    <w:p w14:paraId="0ED2252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перехвата низколетящих самолетов использовался 71 аэростат заграждения. Истребительная авиация была представлена пятью истребительными эскадрильями и одной эскадрильей ночных истребителей ВВС Румынии, а также пятью эскадрильями (из них две ночных) люфтваффе (19080).</w:t>
      </w:r>
    </w:p>
    <w:p w14:paraId="2EE7ED3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283F2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11-17 июня 1942 была операция британского флота в Средиземном море по проводке на Мальту конвоев Гарпун и Вигерес (3186).</w:t>
      </w:r>
    </w:p>
    <w:p w14:paraId="6AF185F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AC890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11 июня</w:t>
      </w:r>
      <w:r w:rsidRPr="008127F8">
        <w:rPr>
          <w:rFonts w:ascii="Times New Roman" w:hAnsi="Times New Roman"/>
          <w:color w:val="000000" w:themeColor="text1"/>
          <w:sz w:val="16"/>
          <w:szCs w:val="16"/>
        </w:rPr>
        <w:t xml:space="preserve"> в 1942 году (11-12 июня) наступающие немецкие войска в Северной Африке нанесли серьезное поражение английским войскам (14919).</w:t>
      </w:r>
    </w:p>
    <w:p w14:paraId="4C12A68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28BEEC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 11th, 1942: German U-boats begin laying mines off Boston, Delaware and Chesapeake Bay (3819).</w:t>
      </w:r>
    </w:p>
    <w:p w14:paraId="4D53F85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96A4C3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июня 1942 германские подлодки начали минирование Бостонского, Делаварского и Чесапикского заливов (3819).</w:t>
      </w:r>
    </w:p>
    <w:p w14:paraId="6DF9BB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9E1D6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июня 1942 в ответ на приказ адмирала Честера В. Нимица «бомбить врага в Киски», бомбардировщики Boeing B-17 Flying Fortress и Consolidated B-24 Liberator ВВС США и летающие лодки ВМС США Consolidated PBY Catalina начинают атаку и бомбардировки японских войск в Киске в ходе "Киске Блиц". PBY бомбят почти ежечасно в течение 72 часов перед тем, как отвести их 13 июля, в то время как армейские ВВС продолжают проводить рейды дважды в день до конца июня. Пролетая туда и обратно на расстояние 1200 миль (1900 км), армейские бомбардировщики будут продолжать совершать налеты на Киску с базы на Умнаке до сентября (20793).</w:t>
      </w:r>
    </w:p>
    <w:p w14:paraId="6CDB671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80DBEC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25DD7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231995"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12 июня 1942 вышел приказ НКАП № 438сс</w:t>
      </w:r>
    </w:p>
    <w:p w14:paraId="0E994F69"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Заводам 1, 18, 30, 381 немедленно комплектовать Ил-2 балками с замками МД-3-40 (по 2 балки на каждый третий самолет) для подвески бомб ВАП-250 и ФАБ-250 (19706).</w:t>
      </w:r>
    </w:p>
    <w:p w14:paraId="2A88374D" w14:textId="77777777" w:rsidR="007C5583" w:rsidRPr="008127F8" w:rsidRDefault="007C5583" w:rsidP="007C5583">
      <w:pPr>
        <w:pStyle w:val="af"/>
        <w:shd w:val="clear" w:color="auto" w:fill="FFFFFF"/>
        <w:spacing w:before="0" w:after="0"/>
        <w:jc w:val="both"/>
        <w:rPr>
          <w:color w:val="000000" w:themeColor="text1"/>
          <w:sz w:val="16"/>
          <w:szCs w:val="16"/>
        </w:rPr>
      </w:pPr>
    </w:p>
    <w:p w14:paraId="46BE5BB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12 июня</w:t>
      </w:r>
      <w:r w:rsidRPr="008127F8">
        <w:rPr>
          <w:rFonts w:ascii="Times New Roman" w:hAnsi="Times New Roman"/>
          <w:color w:val="000000" w:themeColor="text1"/>
          <w:sz w:val="16"/>
          <w:szCs w:val="16"/>
        </w:rPr>
        <w:t xml:space="preserve"> в 1942 году Туполев поставил на ТТТ резолюцию: "Согласовано" и направил начальнику НИИ ВВС КА П.А.Лосюкову для утверждения "протокол рассмотрения макета самолета </w:t>
      </w:r>
      <w:hyperlink r:id="rId75" w:tgtFrame="_blank" w:history="1">
        <w:r w:rsidRPr="008127F8">
          <w:rPr>
            <w:rFonts w:ascii="Times New Roman" w:hAnsi="Times New Roman"/>
            <w:color w:val="000000" w:themeColor="text1"/>
            <w:sz w:val="16"/>
            <w:szCs w:val="16"/>
          </w:rPr>
          <w:t xml:space="preserve">«Ту-2» </w:t>
        </w:r>
      </w:hyperlink>
      <w:r w:rsidRPr="008127F8">
        <w:rPr>
          <w:rFonts w:ascii="Times New Roman" w:hAnsi="Times New Roman"/>
          <w:color w:val="000000" w:themeColor="text1"/>
          <w:sz w:val="16"/>
          <w:szCs w:val="16"/>
        </w:rPr>
        <w:t>в варианте разведчика", согласованные ТТТ и четыре альбома с "краткими данными самолета «Ту-2». Для ускорения разрешения вопроса считаю целесообразным провести испытание подвесного бензобака на "103В" с целью разрешения вопроса с системой бензопитания из подвесного бака." Еще через шесть дней, 18 июня, у директора завода №166 состоялось совещание с участием Туполева, заместителя главного инженера завода Полонского, военпреда Бровко и командира 2 ДРАП главного командования Тюрина. В итоге был принят "Протокол об оборудовании 5 машин «Ту-2» в варианте "фоторазведчик" (14920).</w:t>
      </w:r>
    </w:p>
    <w:p w14:paraId="0FD2488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15419DF" w14:textId="77777777" w:rsidR="00357581" w:rsidRPr="008A2E5A" w:rsidRDefault="00357581" w:rsidP="003575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июня 1942 года произошла трагедия. В ходе испытательного полета прототипа ЛаГГ-3 М-82 (с/н 6501355) начался пожар двигателя. Пилот А. А. Третьяков воспользовался парашютом, но, к сожалению, погиб (23547).</w:t>
      </w:r>
    </w:p>
    <w:p w14:paraId="227152A9" w14:textId="77777777" w:rsidR="00357581" w:rsidRPr="008A2E5A" w:rsidRDefault="00357581" w:rsidP="00357581">
      <w:pPr>
        <w:spacing w:after="0" w:line="240" w:lineRule="auto"/>
        <w:jc w:val="both"/>
        <w:rPr>
          <w:rFonts w:ascii="Times New Roman" w:hAnsi="Times New Roman"/>
          <w:color w:val="0070C0"/>
          <w:sz w:val="16"/>
          <w:szCs w:val="16"/>
        </w:rPr>
      </w:pPr>
    </w:p>
    <w:p w14:paraId="113598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июня 1942 года начальник Инспекции при наркоме Волоконский писал письмо N 18/5615 Шахурину.</w:t>
      </w:r>
    </w:p>
    <w:p w14:paraId="502EBD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Справка по вопросу выполнения приказа НКАП N 318сс от 25.IV.с/г. об использовании самолетов ПС-84 в качестве ночных бомбардировщиков по состоянию на 11.VI.1942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C5583" w:rsidRPr="008127F8" w14:paraId="0D30843B" w14:textId="77777777" w:rsidTr="004C5D62">
        <w:tc>
          <w:tcPr>
            <w:tcW w:w="5636" w:type="dxa"/>
            <w:tcBorders>
              <w:top w:val="single" w:sz="12" w:space="0" w:color="auto"/>
            </w:tcBorders>
          </w:tcPr>
          <w:p w14:paraId="2C22E86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Требовалось</w:t>
            </w:r>
          </w:p>
        </w:tc>
        <w:tc>
          <w:tcPr>
            <w:tcW w:w="5636" w:type="dxa"/>
            <w:tcBorders>
              <w:top w:val="single" w:sz="12" w:space="0" w:color="auto"/>
            </w:tcBorders>
          </w:tcPr>
          <w:p w14:paraId="5239C46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Выполнение</w:t>
            </w:r>
          </w:p>
        </w:tc>
      </w:tr>
      <w:tr w:rsidR="007C5583" w:rsidRPr="008127F8" w14:paraId="021A60C0" w14:textId="77777777" w:rsidTr="004C5D62">
        <w:tc>
          <w:tcPr>
            <w:tcW w:w="5636" w:type="dxa"/>
          </w:tcPr>
          <w:p w14:paraId="194D72A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Начальнику 10 Гл. управления</w:t>
            </w:r>
          </w:p>
        </w:tc>
        <w:tc>
          <w:tcPr>
            <w:tcW w:w="5636" w:type="dxa"/>
          </w:tcPr>
          <w:p w14:paraId="4B33178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 завода N 84 Ярунин по ВЧ сообщил</w:t>
            </w:r>
          </w:p>
        </w:tc>
      </w:tr>
      <w:tr w:rsidR="007C5583" w:rsidRPr="008127F8" w14:paraId="3D28C90F" w14:textId="77777777" w:rsidTr="004C5D62">
        <w:tc>
          <w:tcPr>
            <w:tcW w:w="5636" w:type="dxa"/>
          </w:tcPr>
          <w:p w14:paraId="48FE5C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Тарасевич и директору завода N 84</w:t>
            </w:r>
          </w:p>
        </w:tc>
        <w:tc>
          <w:tcPr>
            <w:tcW w:w="5636" w:type="dxa"/>
          </w:tcPr>
          <w:p w14:paraId="613EB16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10.VI. с/г. Инспекции, что завод выпускает</w:t>
            </w:r>
          </w:p>
        </w:tc>
      </w:tr>
      <w:tr w:rsidR="007C5583" w:rsidRPr="008127F8" w14:paraId="69DE245D" w14:textId="77777777" w:rsidTr="004C5D62">
        <w:tc>
          <w:tcPr>
            <w:tcW w:w="5636" w:type="dxa"/>
          </w:tcPr>
          <w:p w14:paraId="60B61BF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Ярунину выпускать самолеты ПС-84</w:t>
            </w:r>
          </w:p>
        </w:tc>
        <w:tc>
          <w:tcPr>
            <w:tcW w:w="5636" w:type="dxa"/>
          </w:tcPr>
          <w:p w14:paraId="455BB29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самолеты оборудованные под бомбардировочное</w:t>
            </w:r>
          </w:p>
        </w:tc>
      </w:tr>
      <w:tr w:rsidR="007C5583" w:rsidRPr="008127F8" w14:paraId="401E3D6A" w14:textId="77777777" w:rsidTr="004C5D62">
        <w:tc>
          <w:tcPr>
            <w:tcW w:w="5636" w:type="dxa"/>
          </w:tcPr>
          <w:p w14:paraId="0A25ECC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оборудованные бомбардировочным</w:t>
            </w:r>
          </w:p>
        </w:tc>
        <w:tc>
          <w:tcPr>
            <w:tcW w:w="5636" w:type="dxa"/>
          </w:tcPr>
          <w:p w14:paraId="6BF8BAA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 (замки Дер-19) с 19 мая с/г., но</w:t>
            </w:r>
          </w:p>
        </w:tc>
      </w:tr>
      <w:tr w:rsidR="007C5583" w:rsidRPr="008127F8" w14:paraId="62E2D71F" w14:textId="77777777" w:rsidTr="004C5D62">
        <w:tc>
          <w:tcPr>
            <w:tcW w:w="5636" w:type="dxa"/>
          </w:tcPr>
          <w:p w14:paraId="6326D8C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вооружением по образцу прошедших</w:t>
            </w:r>
          </w:p>
        </w:tc>
        <w:tc>
          <w:tcPr>
            <w:tcW w:w="5636" w:type="dxa"/>
          </w:tcPr>
          <w:p w14:paraId="64566EB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сдавать их не мог из-за позднего поступления</w:t>
            </w:r>
          </w:p>
        </w:tc>
      </w:tr>
      <w:tr w:rsidR="007C5583" w:rsidRPr="008127F8" w14:paraId="312DBC1E" w14:textId="77777777" w:rsidTr="004C5D62">
        <w:tc>
          <w:tcPr>
            <w:tcW w:w="5636" w:type="dxa"/>
          </w:tcPr>
          <w:p w14:paraId="33639C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в авиации дальнего</w:t>
            </w:r>
          </w:p>
        </w:tc>
        <w:tc>
          <w:tcPr>
            <w:tcW w:w="5636" w:type="dxa"/>
          </w:tcPr>
          <w:p w14:paraId="0F6F05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Дер-19.</w:t>
            </w:r>
          </w:p>
        </w:tc>
      </w:tr>
      <w:tr w:rsidR="007C5583" w:rsidRPr="008127F8" w14:paraId="20FE4B5D" w14:textId="77777777" w:rsidTr="004C5D62">
        <w:tc>
          <w:tcPr>
            <w:tcW w:w="5636" w:type="dxa"/>
          </w:tcPr>
          <w:p w14:paraId="4296A3F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действия.</w:t>
            </w:r>
          </w:p>
        </w:tc>
        <w:tc>
          <w:tcPr>
            <w:tcW w:w="5636" w:type="dxa"/>
          </w:tcPr>
          <w:p w14:paraId="281DF9A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на завод поступило в конце мая Дер-19</w:t>
            </w:r>
          </w:p>
        </w:tc>
      </w:tr>
      <w:tr w:rsidR="007C5583" w:rsidRPr="008127F8" w14:paraId="4544A6EA" w14:textId="77777777" w:rsidTr="004C5D62">
        <w:tc>
          <w:tcPr>
            <w:tcW w:w="5636" w:type="dxa"/>
          </w:tcPr>
          <w:p w14:paraId="569DF94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5706E5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комплектов.</w:t>
            </w:r>
          </w:p>
        </w:tc>
      </w:tr>
      <w:tr w:rsidR="007C5583" w:rsidRPr="008127F8" w14:paraId="1EDBDD76" w14:textId="77777777" w:rsidTr="004C5D62">
        <w:tc>
          <w:tcPr>
            <w:tcW w:w="5636" w:type="dxa"/>
          </w:tcPr>
          <w:p w14:paraId="75C42D2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20542A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не сдавал самолеты из-за отсутствия</w:t>
            </w:r>
          </w:p>
        </w:tc>
      </w:tr>
      <w:tr w:rsidR="007C5583" w:rsidRPr="008127F8" w14:paraId="25FC4533" w14:textId="77777777" w:rsidTr="004C5D62">
        <w:tc>
          <w:tcPr>
            <w:tcW w:w="5636" w:type="dxa"/>
          </w:tcPr>
          <w:p w14:paraId="73CBBFF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A8FB4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винтов и др. готовых изделий, как-то: фар,</w:t>
            </w:r>
          </w:p>
        </w:tc>
      </w:tr>
      <w:tr w:rsidR="007C5583" w:rsidRPr="008127F8" w14:paraId="294A5B07" w14:textId="77777777" w:rsidTr="004C5D62">
        <w:tc>
          <w:tcPr>
            <w:tcW w:w="5636" w:type="dxa"/>
          </w:tcPr>
          <w:p w14:paraId="59F7788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5D7224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раций, турелей и шарикоподшипников. Всего</w:t>
            </w:r>
          </w:p>
        </w:tc>
      </w:tr>
      <w:tr w:rsidR="007C5583" w:rsidRPr="008127F8" w14:paraId="02E30091" w14:textId="77777777" w:rsidTr="004C5D62">
        <w:tc>
          <w:tcPr>
            <w:tcW w:w="5636" w:type="dxa"/>
          </w:tcPr>
          <w:p w14:paraId="2492EA9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333E94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находится на аэродроме завода N 84 - 39</w:t>
            </w:r>
          </w:p>
        </w:tc>
      </w:tr>
      <w:tr w:rsidR="007C5583" w:rsidRPr="008127F8" w14:paraId="16B38D36" w14:textId="77777777" w:rsidTr="004C5D62">
        <w:tc>
          <w:tcPr>
            <w:tcW w:w="5636" w:type="dxa"/>
          </w:tcPr>
          <w:p w14:paraId="5999795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FCFEC9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самолетов, из них обеспечено винтами - 23</w:t>
            </w:r>
          </w:p>
        </w:tc>
      </w:tr>
      <w:tr w:rsidR="007C5583" w:rsidRPr="008127F8" w14:paraId="491D1C50" w14:textId="77777777" w:rsidTr="004C5D62">
        <w:tc>
          <w:tcPr>
            <w:tcW w:w="5636" w:type="dxa"/>
          </w:tcPr>
          <w:p w14:paraId="013D00F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1C5A23D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самолета, рациями - 20 самолетов, турелями</w:t>
            </w:r>
          </w:p>
        </w:tc>
      </w:tr>
      <w:tr w:rsidR="007C5583" w:rsidRPr="008127F8" w14:paraId="709A736F" w14:textId="77777777" w:rsidTr="004C5D62">
        <w:tc>
          <w:tcPr>
            <w:tcW w:w="5636" w:type="dxa"/>
          </w:tcPr>
          <w:p w14:paraId="7CD3F30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A2034E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МВ3 - 18 сам., замками Дер-19 - 25 самолетов.</w:t>
            </w:r>
          </w:p>
        </w:tc>
      </w:tr>
      <w:tr w:rsidR="007C5583" w:rsidRPr="008127F8" w14:paraId="6BFF5647" w14:textId="77777777" w:rsidTr="004C5D62">
        <w:tc>
          <w:tcPr>
            <w:tcW w:w="5636" w:type="dxa"/>
          </w:tcPr>
          <w:p w14:paraId="704B4A4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136D87C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Прицелами НКПБ-3 завод обеспечен.</w:t>
            </w:r>
          </w:p>
        </w:tc>
      </w:tr>
      <w:tr w:rsidR="007C5583" w:rsidRPr="008127F8" w14:paraId="576E8DAE" w14:textId="77777777" w:rsidTr="004C5D62">
        <w:tc>
          <w:tcPr>
            <w:tcW w:w="5636" w:type="dxa"/>
          </w:tcPr>
          <w:p w14:paraId="3D9DD25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2. Начальнику 6-го Гл.</w:t>
            </w:r>
          </w:p>
        </w:tc>
        <w:tc>
          <w:tcPr>
            <w:tcW w:w="5636" w:type="dxa"/>
          </w:tcPr>
          <w:p w14:paraId="6A9B007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Не выполнено из-за непредставления</w:t>
            </w:r>
          </w:p>
        </w:tc>
      </w:tr>
      <w:tr w:rsidR="007C5583" w:rsidRPr="008127F8" w14:paraId="2694815F" w14:textId="77777777" w:rsidTr="004C5D62">
        <w:tc>
          <w:tcPr>
            <w:tcW w:w="5636" w:type="dxa"/>
          </w:tcPr>
          <w:p w14:paraId="473E36F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управления Щербакову и директору</w:t>
            </w:r>
          </w:p>
        </w:tc>
        <w:tc>
          <w:tcPr>
            <w:tcW w:w="5636" w:type="dxa"/>
          </w:tcPr>
          <w:p w14:paraId="38D0352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командованием АДД самолетов заводу N 89.</w:t>
            </w:r>
          </w:p>
        </w:tc>
      </w:tr>
      <w:tr w:rsidR="007C5583" w:rsidRPr="008127F8" w14:paraId="09F3CBE6" w14:textId="77777777" w:rsidTr="004C5D62">
        <w:tc>
          <w:tcPr>
            <w:tcW w:w="5636" w:type="dxa"/>
          </w:tcPr>
          <w:p w14:paraId="2A33EFA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завода N 89 Леонтьеву оборудовать</w:t>
            </w:r>
          </w:p>
        </w:tc>
        <w:tc>
          <w:tcPr>
            <w:tcW w:w="5636" w:type="dxa"/>
          </w:tcPr>
          <w:p w14:paraId="257EBBB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Первые два самолета поступили на зав. N 89</w:t>
            </w:r>
          </w:p>
        </w:tc>
      </w:tr>
      <w:tr w:rsidR="007C5583" w:rsidRPr="008127F8" w14:paraId="7BC388E8" w14:textId="77777777" w:rsidTr="004C5D62">
        <w:tc>
          <w:tcPr>
            <w:tcW w:w="5636" w:type="dxa"/>
          </w:tcPr>
          <w:p w14:paraId="68E1F26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бомбардировочным вооружением 10</w:t>
            </w:r>
          </w:p>
        </w:tc>
        <w:tc>
          <w:tcPr>
            <w:tcW w:w="5636" w:type="dxa"/>
          </w:tcPr>
          <w:p w14:paraId="3F1DF81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только 13.V, вместо 30.IV.</w:t>
            </w:r>
          </w:p>
        </w:tc>
      </w:tr>
      <w:tr w:rsidR="007C5583" w:rsidRPr="008127F8" w14:paraId="248CC3EF" w14:textId="77777777" w:rsidTr="004C5D62">
        <w:tc>
          <w:tcPr>
            <w:tcW w:w="5636" w:type="dxa"/>
          </w:tcPr>
          <w:p w14:paraId="1768247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самолетов ПС-84 АДД на заводе</w:t>
            </w:r>
          </w:p>
        </w:tc>
        <w:tc>
          <w:tcPr>
            <w:tcW w:w="5636" w:type="dxa"/>
          </w:tcPr>
          <w:p w14:paraId="114BD08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Дальнейшая работа по оборудованию сам. ПС-84</w:t>
            </w:r>
          </w:p>
        </w:tc>
      </w:tr>
      <w:tr w:rsidR="007C5583" w:rsidRPr="008127F8" w14:paraId="7F023CCF" w14:textId="77777777" w:rsidTr="004C5D62">
        <w:tc>
          <w:tcPr>
            <w:tcW w:w="5636" w:type="dxa"/>
          </w:tcPr>
          <w:p w14:paraId="4745745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N 89 к 15.V.42 г.</w:t>
            </w:r>
          </w:p>
        </w:tc>
        <w:tc>
          <w:tcPr>
            <w:tcW w:w="5636" w:type="dxa"/>
          </w:tcPr>
          <w:p w14:paraId="4E8C7F7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бомбардировочным вооружением определена приказом</w:t>
            </w:r>
          </w:p>
        </w:tc>
      </w:tr>
      <w:tr w:rsidR="007C5583" w:rsidRPr="008127F8" w14:paraId="586511C8" w14:textId="77777777" w:rsidTr="004C5D62">
        <w:tc>
          <w:tcPr>
            <w:tcW w:w="5636" w:type="dxa"/>
          </w:tcPr>
          <w:p w14:paraId="13E3CFD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25A8D0F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НКАП N 373с от 12.V.42 г.</w:t>
            </w:r>
          </w:p>
        </w:tc>
      </w:tr>
      <w:tr w:rsidR="007C5583" w:rsidRPr="008127F8" w14:paraId="2CECA710" w14:textId="77777777" w:rsidTr="004C5D62">
        <w:tc>
          <w:tcPr>
            <w:tcW w:w="5636" w:type="dxa"/>
          </w:tcPr>
          <w:p w14:paraId="38680A2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ГКО обязывались:</w:t>
            </w:r>
          </w:p>
        </w:tc>
        <w:tc>
          <w:tcPr>
            <w:tcW w:w="5636" w:type="dxa"/>
          </w:tcPr>
          <w:p w14:paraId="0A59AA7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54FDE4C" w14:textId="77777777" w:rsidTr="004C5D62">
        <w:tc>
          <w:tcPr>
            <w:tcW w:w="5636" w:type="dxa"/>
          </w:tcPr>
          <w:p w14:paraId="0DD1EDE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Командующий АДД генерал-майор</w:t>
            </w:r>
          </w:p>
        </w:tc>
        <w:tc>
          <w:tcPr>
            <w:tcW w:w="5636" w:type="dxa"/>
          </w:tcPr>
          <w:p w14:paraId="499F74C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EB41296" w14:textId="77777777" w:rsidTr="004C5D62">
        <w:tc>
          <w:tcPr>
            <w:tcW w:w="5636" w:type="dxa"/>
          </w:tcPr>
          <w:p w14:paraId="640FC19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Голованов представлять каждый</w:t>
            </w:r>
          </w:p>
        </w:tc>
        <w:tc>
          <w:tcPr>
            <w:tcW w:w="5636" w:type="dxa"/>
          </w:tcPr>
          <w:p w14:paraId="4B823EE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21B5D8C3" w14:textId="77777777" w:rsidTr="004C5D62">
        <w:tc>
          <w:tcPr>
            <w:tcW w:w="5636" w:type="dxa"/>
          </w:tcPr>
          <w:p w14:paraId="3D39E93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ПС-84 на срок в 5 дней.</w:t>
            </w:r>
          </w:p>
        </w:tc>
        <w:tc>
          <w:tcPr>
            <w:tcW w:w="5636" w:type="dxa"/>
          </w:tcPr>
          <w:p w14:paraId="71B401C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C73EEEA" w14:textId="77777777" w:rsidTr="004C5D62">
        <w:tc>
          <w:tcPr>
            <w:tcW w:w="5636" w:type="dxa"/>
          </w:tcPr>
          <w:p w14:paraId="584968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Срок подачи первых 3-х самолетов</w:t>
            </w:r>
          </w:p>
        </w:tc>
        <w:tc>
          <w:tcPr>
            <w:tcW w:w="5636" w:type="dxa"/>
          </w:tcPr>
          <w:p w14:paraId="1346C15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6FEFE61" w14:textId="77777777" w:rsidTr="004C5D62">
        <w:tc>
          <w:tcPr>
            <w:tcW w:w="5636" w:type="dxa"/>
          </w:tcPr>
          <w:p w14:paraId="26A1455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установлен 30 апреля 1942 г.</w:t>
            </w:r>
          </w:p>
        </w:tc>
        <w:tc>
          <w:tcPr>
            <w:tcW w:w="5636" w:type="dxa"/>
          </w:tcPr>
          <w:p w14:paraId="13EE45F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5C60F3C" w14:textId="77777777" w:rsidTr="004C5D62">
        <w:tc>
          <w:tcPr>
            <w:tcW w:w="5636" w:type="dxa"/>
          </w:tcPr>
          <w:p w14:paraId="6F71AD6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Командующий ВВС генерал-лейтенанта</w:t>
            </w:r>
          </w:p>
        </w:tc>
        <w:tc>
          <w:tcPr>
            <w:tcW w:w="5636" w:type="dxa"/>
          </w:tcPr>
          <w:p w14:paraId="7716EE6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Выполнено.</w:t>
            </w:r>
          </w:p>
        </w:tc>
      </w:tr>
      <w:tr w:rsidR="007C5583" w:rsidRPr="008127F8" w14:paraId="56C9BEFC" w14:textId="77777777" w:rsidTr="004C5D62">
        <w:tc>
          <w:tcPr>
            <w:tcW w:w="5636" w:type="dxa"/>
          </w:tcPr>
          <w:p w14:paraId="5A4354D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Новикова передать заводу N 89 к</w:t>
            </w:r>
          </w:p>
        </w:tc>
        <w:tc>
          <w:tcPr>
            <w:tcW w:w="5636" w:type="dxa"/>
          </w:tcPr>
          <w:p w14:paraId="641A0F4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C954D2E" w14:textId="77777777" w:rsidTr="004C5D62">
        <w:tc>
          <w:tcPr>
            <w:tcW w:w="5636" w:type="dxa"/>
          </w:tcPr>
          <w:p w14:paraId="14B0A45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апреля с/г. из наличия 10</w:t>
            </w:r>
          </w:p>
        </w:tc>
        <w:tc>
          <w:tcPr>
            <w:tcW w:w="5636" w:type="dxa"/>
          </w:tcPr>
          <w:p w14:paraId="579E3CF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A5E3150" w14:textId="77777777" w:rsidTr="004C5D62">
        <w:tc>
          <w:tcPr>
            <w:tcW w:w="5636" w:type="dxa"/>
            <w:tcBorders>
              <w:bottom w:val="single" w:sz="12" w:space="0" w:color="auto"/>
            </w:tcBorders>
          </w:tcPr>
          <w:p w14:paraId="36BED72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комплектов прицелов.</w:t>
            </w:r>
          </w:p>
        </w:tc>
        <w:tc>
          <w:tcPr>
            <w:tcW w:w="5636" w:type="dxa"/>
            <w:tcBorders>
              <w:bottom w:val="single" w:sz="12" w:space="0" w:color="auto"/>
            </w:tcBorders>
          </w:tcPr>
          <w:p w14:paraId="5251776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2A9698D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Проверкой инспекции установлено:</w:t>
      </w:r>
    </w:p>
    <w:p w14:paraId="6E7139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Завод N 84 переоборудует самолеты ПС-84 под бомбардировочное вооружение по чертежам гл. конструктора завода N 43 Шульгина.</w:t>
      </w:r>
    </w:p>
    <w:p w14:paraId="08C0906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 чертежам завода N 43 начал производить оборудование и завод N 89, как по утвержденному эталону.</w:t>
      </w:r>
    </w:p>
    <w:p w14:paraId="5E71892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процессе производства выяснялось, что чертежи узлов под замки Дер-19 завода N 43 оказались недоработанными, сложны в производстве и трудоемки и не обеспечивают нормальной эксплуатации бензобаков.</w:t>
      </w:r>
    </w:p>
    <w:p w14:paraId="44A86C8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 согласия зам. наркома Воронина и по требованию представителя ВВС завод N 89 заново переконструировал узлы, изготовил эталон, испытал. Представителями ВВС эталон принят.</w:t>
      </w:r>
    </w:p>
    <w:p w14:paraId="0C5911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По чертежам завода N 89 производят оборудование самолетов завод N 81, завод-же N 84 об изменениях не поставлен в известность.</w:t>
      </w:r>
    </w:p>
    <w:p w14:paraId="5004F3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Необходимо обязать нач. 10 гл. управления Тарасевича немедленно довести до сведения директора завода N 84 Ярунина о всех изменениях в чертежах на заводе N 89 и прекратить изготовление и монтаж узлов на самолетах по чертежам конструктора Шульгина (1676,254).</w:t>
      </w:r>
    </w:p>
    <w:p w14:paraId="68F0C7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13298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июня 1942 л завода 21 А.А.Третьяков совершил катастрофу при испытании ЛаГГ-5 из-за пожара ВМГ. Л выбросился с парашютом, но разбился (2108).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7C5583" w:rsidRPr="008127F8" w14:paraId="761B7C4E" w14:textId="77777777" w:rsidTr="004C5D62">
        <w:tc>
          <w:tcPr>
            <w:tcW w:w="675" w:type="dxa"/>
            <w:tcBorders>
              <w:top w:val="single" w:sz="12" w:space="0" w:color="auto"/>
            </w:tcBorders>
          </w:tcPr>
          <w:p w14:paraId="122D0E4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п/п</w:t>
            </w:r>
          </w:p>
        </w:tc>
        <w:tc>
          <w:tcPr>
            <w:tcW w:w="993" w:type="dxa"/>
            <w:tcBorders>
              <w:top w:val="single" w:sz="12" w:space="0" w:color="auto"/>
            </w:tcBorders>
          </w:tcPr>
          <w:p w14:paraId="658901A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Дата</w:t>
            </w:r>
          </w:p>
        </w:tc>
        <w:tc>
          <w:tcPr>
            <w:tcW w:w="708" w:type="dxa"/>
            <w:tcBorders>
              <w:top w:val="single" w:sz="12" w:space="0" w:color="auto"/>
            </w:tcBorders>
          </w:tcPr>
          <w:p w14:paraId="5411FB7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Заводов</w:t>
            </w:r>
          </w:p>
        </w:tc>
        <w:tc>
          <w:tcPr>
            <w:tcW w:w="1418" w:type="dxa"/>
            <w:tcBorders>
              <w:top w:val="single" w:sz="12" w:space="0" w:color="auto"/>
            </w:tcBorders>
          </w:tcPr>
          <w:p w14:paraId="50E84E0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w:t>
            </w:r>
          </w:p>
        </w:tc>
        <w:tc>
          <w:tcPr>
            <w:tcW w:w="2364" w:type="dxa"/>
            <w:tcBorders>
              <w:top w:val="single" w:sz="12" w:space="0" w:color="auto"/>
            </w:tcBorders>
          </w:tcPr>
          <w:p w14:paraId="7B0762C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6565312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Краткое описание и причины происшествия</w:t>
            </w:r>
          </w:p>
        </w:tc>
      </w:tr>
      <w:tr w:rsidR="007C5583" w:rsidRPr="008127F8" w14:paraId="4A41D50B" w14:textId="77777777" w:rsidTr="004C5D62">
        <w:tc>
          <w:tcPr>
            <w:tcW w:w="675" w:type="dxa"/>
          </w:tcPr>
          <w:p w14:paraId="177CC60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w:t>
            </w:r>
          </w:p>
        </w:tc>
        <w:tc>
          <w:tcPr>
            <w:tcW w:w="993" w:type="dxa"/>
          </w:tcPr>
          <w:p w14:paraId="28C6DB8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12 июня 1942 </w:t>
            </w:r>
          </w:p>
        </w:tc>
        <w:tc>
          <w:tcPr>
            <w:tcW w:w="708" w:type="dxa"/>
          </w:tcPr>
          <w:p w14:paraId="6FE0BF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1418" w:type="dxa"/>
          </w:tcPr>
          <w:p w14:paraId="1C0F57D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Г.А.Мищенко </w:t>
            </w:r>
          </w:p>
        </w:tc>
        <w:tc>
          <w:tcPr>
            <w:tcW w:w="2364" w:type="dxa"/>
          </w:tcPr>
          <w:p w14:paraId="13A939B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Поломка УТИ-26 транспортного</w:t>
            </w:r>
          </w:p>
        </w:tc>
        <w:tc>
          <w:tcPr>
            <w:tcW w:w="4440" w:type="dxa"/>
          </w:tcPr>
          <w:p w14:paraId="5E17987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время остановки с-та после пробега л по ошибкн вместо уборки закрылков нажал рычаг уборки шасси</w:t>
            </w:r>
          </w:p>
        </w:tc>
      </w:tr>
      <w:tr w:rsidR="007C5583" w:rsidRPr="008127F8" w14:paraId="1E0B03A9" w14:textId="77777777" w:rsidTr="004C5D62">
        <w:tc>
          <w:tcPr>
            <w:tcW w:w="675" w:type="dxa"/>
            <w:tcBorders>
              <w:bottom w:val="single" w:sz="12" w:space="0" w:color="auto"/>
            </w:tcBorders>
          </w:tcPr>
          <w:p w14:paraId="5A96D47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w:t>
            </w:r>
          </w:p>
        </w:tc>
        <w:tc>
          <w:tcPr>
            <w:tcW w:w="993" w:type="dxa"/>
            <w:tcBorders>
              <w:bottom w:val="single" w:sz="12" w:space="0" w:color="auto"/>
            </w:tcBorders>
          </w:tcPr>
          <w:p w14:paraId="6761F8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июня 1942</w:t>
            </w:r>
          </w:p>
        </w:tc>
        <w:tc>
          <w:tcPr>
            <w:tcW w:w="708" w:type="dxa"/>
            <w:tcBorders>
              <w:bottom w:val="single" w:sz="12" w:space="0" w:color="auto"/>
            </w:tcBorders>
          </w:tcPr>
          <w:p w14:paraId="3490D2F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1418" w:type="dxa"/>
            <w:tcBorders>
              <w:bottom w:val="single" w:sz="12" w:space="0" w:color="auto"/>
            </w:tcBorders>
          </w:tcPr>
          <w:p w14:paraId="32F91E5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А.А.Третьяков</w:t>
            </w:r>
          </w:p>
        </w:tc>
        <w:tc>
          <w:tcPr>
            <w:tcW w:w="2364" w:type="dxa"/>
            <w:tcBorders>
              <w:bottom w:val="single" w:sz="12" w:space="0" w:color="auto"/>
            </w:tcBorders>
          </w:tcPr>
          <w:p w14:paraId="1A0D278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Катастрофа ЛаГГ-5 на испытаниях</w:t>
            </w:r>
          </w:p>
        </w:tc>
        <w:tc>
          <w:tcPr>
            <w:tcW w:w="4440" w:type="dxa"/>
            <w:tcBorders>
              <w:bottom w:val="single" w:sz="12" w:space="0" w:color="auto"/>
            </w:tcBorders>
          </w:tcPr>
          <w:p w14:paraId="05B2239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Предполагаемая причина: возникновение пожара ВМГ. Л выбросился на парашюте и разбился. С-т сгорел</w:t>
            </w:r>
          </w:p>
        </w:tc>
      </w:tr>
    </w:tbl>
    <w:p w14:paraId="279834A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(2108,266)</w:t>
      </w:r>
    </w:p>
    <w:p w14:paraId="15289E5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5062B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июня 1942 г.</w:t>
      </w:r>
    </w:p>
    <w:p w14:paraId="70E8469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ПРОТОКОЛА ЗАСЕДАНИЯ БЮРО НОВОСИБИРСКОГО ОБКОМА ВКП(б) «О МЕРАХ ПО ОБЕСПЕЧЕНИЮ ПРОГРАММЫ МАКСИМУМ ПО ЗАВОДУ № 153 НА 1942 г».</w:t>
      </w:r>
    </w:p>
    <w:p w14:paraId="19E92AE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июня 1942 г.</w:t>
      </w:r>
    </w:p>
    <w:p w14:paraId="2120D41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Особая папка</w:t>
      </w:r>
    </w:p>
    <w:p w14:paraId="037531D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Бюро обкома ВКП(б) считает, что существующие производственные мощности завода № 153, состояние технической подготовки производства, наличие руководящих и рабочих кадров позволяют заводу уже теперь производить самолетов значительно больше, чем это установлено заданием Государственного Комитета Обороны.</w:t>
      </w:r>
    </w:p>
    <w:p w14:paraId="4206343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Однако эти возможности — производить самолетов больше, чем установлено планом, заводом не используются. Работники завода ориентированы лишь на выполнение установленного плана и потому не принимают всех мер по расшивке узких мест в заводе (цех [№] 25, кузница, термический цех) и, как правило, за день предъявляют самолетов к сдаче только в пределах плана.</w:t>
      </w:r>
    </w:p>
    <w:p w14:paraId="030DE86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заводе крайне плохо используется оборудование, значительная часть его простаивает, коэффициент использования металлорежущих станков достигает всего лишь 66,5 процента. Проведенная проверка 30 мая 1942 года показала, что на заводе в течение суток простояло 220 станков, из них только из-за отсутствия работы — 72 станка. Работа  по ремонту станков не организована, станки ремонтируются от 1 до 2-х месяцев, в результате не менее 70 станков ежедневно стоят на ремонте.</w:t>
      </w:r>
    </w:p>
    <w:p w14:paraId="4799FA7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имеет немалые резервы рабочей силы, однако использование ее во многих цехах организовано плохо, простои рабочих в отдельных цехах достигают до 30 процентов. На заводе сложилась вредная практика предоставления рабочим административных отпусков, что приводит к разложению дисциплины и потере производительности завода.</w:t>
      </w:r>
    </w:p>
    <w:p w14:paraId="792A2D1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 столовых как следует не организована, потери рабочего времени только от опозданий с обеда доходят до 900 часов в сутки.</w:t>
      </w:r>
    </w:p>
    <w:p w14:paraId="6210293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это свидетельствует о том, что руководство завода, добившись за последнее время некоторых успехов в выполнении государственного плана выпуска самолетов, сделало из этого неправильные выводы.</w:t>
      </w:r>
    </w:p>
    <w:p w14:paraId="2108F6D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Вместо того, чтобы расценить эти успехи как первый этап на пути серьезного подъема производства, вместо того, чтобы закрепить и развивать дальше появившийся в связи с этим политический и производственный подъем, дирекция и партийный комитет завода успокоились на достигнутом; ограничили свои задачи по выпуску самолетов только выполнением установленной программы; не подняли коллектив на борьбу за полное использование мощностей завода, за полное использование имеющихся значительных резервов производства, на беспощадную борьбу с потерями рабочего времени; не создали необходимого напряжения в работе завода для обеспечения максимально возможного выпуска самолетов.</w:t>
      </w:r>
    </w:p>
    <w:p w14:paraId="6FF39A1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Бюро обкома ВКП(б) ПОСТАНОВЛЯЕТ:</w:t>
      </w:r>
    </w:p>
    <w:p w14:paraId="6F6B05F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Считать неправильной практику руководства завода, выражающуюся в ориентации коллектива только на выполнение установленного плана, несмотря на наличие значительных производственных резервов, вредной для развития производства, искусственно ограничивающую возможности нарастания ежедневного выпуска самолетов рамками заданий ГКО, сдерживающую инициативу, политический и производственный подъем коллектива завода, что в условиях военного времени совершенно нетерпимо.</w:t>
      </w:r>
    </w:p>
    <w:p w14:paraId="77D1F6E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Обязать директора завода т. Романова и парторга ЦК ВКП(б) т. Милова немедленно устранить этот коренной недостаток своего руководства, решительно перестроить работу, мобилизовать весь коллектив на полное использование производственных резервов для выполнения основной задачи — максимально возможного увеличения выпуска самолетов.</w:t>
      </w:r>
    </w:p>
    <w:p w14:paraId="4CF9F21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этого:</w:t>
      </w:r>
    </w:p>
    <w:p w14:paraId="2BC8D45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пересмотреть график производства и, начиная с 1 июля, предусмотреть ежедневный выпуск десяти самолетов против девяти, утвержденных по плану, наметить дальнейшее увеличение выпуска машин, с расчетом выполнения установленной ГКО максимальной декабрьской программы в октябре месяце 1942 года;</w:t>
      </w:r>
    </w:p>
    <w:p w14:paraId="5286D6B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пересмотреть комплектность оборудования по цехам и произвести частичную перестановку оборудования с целью выравнивания производственных мощностей, в частности увеличить пропускную способность кузнечного и термического цехов;</w:t>
      </w:r>
    </w:p>
    <w:p w14:paraId="19E8CEE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ликвидировать внеплановый ремонт оборудования и путем создания задела запасных частей добиться сокращения срока проведения капитального ремонта станков до 10—12 дней;</w:t>
      </w:r>
    </w:p>
    <w:p w14:paraId="135731C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запретить массовые административные отпуска работникам завода;</w:t>
      </w:r>
    </w:p>
    <w:p w14:paraId="131CF39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пересмотреть систему подготовки и обучения кадров, широко внедрить премиальную систему оплаты труда для мастеров, обучающих новых рабочих, обмен опытом и другие формы работы, стимулирующие быстрейшее обучение вновь принятых на завод рабочих, с тем, чтобы уже в ближайшее время все рабочие завода выполняли нормы выработки;</w:t>
      </w:r>
    </w:p>
    <w:p w14:paraId="58BA857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до 1 июля пустить в эксплуатацию фабрику-кухню и упорядочить работу столовых.</w:t>
      </w:r>
    </w:p>
    <w:p w14:paraId="069FA96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 связи с выявленными резервами производственных мощностей по заводу № 153 просить ГКО пересмотреть программу выпуска самолетов по заводу на второе полугодие в сторону увеличения, предусмотрев выпуск в декабре месяце не 14 машин, как это было установлено ранее, а 16 машин в день.</w:t>
      </w:r>
    </w:p>
    <w:p w14:paraId="3632DFE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Поставить в известность ЦК ВКП(б) о совершенно неудовлетворительном снабжении завода № 153 со стороны НКАП готовыми изделиями: моторами, винтами, масло-водорадиаторами и так далее, что не дает возможности заводу выйти в число передовых во Всесоюзном соревновании НКАП.</w:t>
      </w:r>
    </w:p>
    <w:p w14:paraId="58C5B5E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Просить ЦК ВКП(б) обязать наркома авиапромышленности СССР т. Шахурина: коренным образом улучшить снабжение завода готовыми изделиями и, в первую очередь, резко улучшить снабжение моторами, винтами, масло-водорадиаторами и т.д.; выделить из фондов НКАП заводу необходимый инструмент, лимитирующий работу механических цехов ...</w:t>
      </w:r>
    </w:p>
    <w:p w14:paraId="33E0563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Обязать директора завода имени Воскова т. Гомон[а] изготовить для завода № 153 60 тысяч сверл, согласно заключенного договора.</w:t>
      </w:r>
    </w:p>
    <w:p w14:paraId="4057E95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&lt;...&gt;</w:t>
      </w:r>
    </w:p>
    <w:p w14:paraId="079EE63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Поручить Новосибирскому горкому ВКП(б) (т. Яковлеву) и Дзержинскому райкому ВКП(б) взять под повседневный контроль выполнение настоящего постановления и оказать всемерную помощь партийному комитету завода № 153 в улучшении партийно-массовой работы.</w:t>
      </w:r>
    </w:p>
    <w:p w14:paraId="75F3071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Секретарь Новосибирского обкома ВКП(б)</w:t>
      </w:r>
      <w:r w:rsidRPr="008127F8">
        <w:rPr>
          <w:rFonts w:ascii="Times New Roman" w:hAnsi="Times New Roman"/>
          <w:color w:val="000000" w:themeColor="text1"/>
          <w:sz w:val="16"/>
          <w:szCs w:val="16"/>
        </w:rPr>
        <w:tab/>
        <w:t>М. Кулагин</w:t>
      </w:r>
    </w:p>
    <w:p w14:paraId="0763531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ГАНО. Ф. П-4. Оп. 33. Д. 665«в». Л. 8—12. Подлинник.</w:t>
      </w:r>
    </w:p>
    <w:p w14:paraId="0877AED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 документом подпись-росчерк Семина синим карандашом, подпись М. Кулагина Машинописью (20925).</w:t>
      </w:r>
    </w:p>
    <w:p w14:paraId="727B2FE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AE92A1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ИЮНЯ 1942</w:t>
      </w:r>
    </w:p>
    <w:p w14:paraId="5E00ED0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ПРОТОКОЛ № 65 ЗАСЕДАНИЯ ПАРТИЙНОГО КОМИТЕТА ЗАВОДА ИМЕНИ СЕРГО ОРДЖОНИКИДЗЕ ОТ 12 ИЮНЯ 1942 ГОДА</w:t>
      </w:r>
    </w:p>
    <w:p w14:paraId="6493022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Повестка дня: (Л. 175)</w:t>
      </w:r>
    </w:p>
    <w:p w14:paraId="76C7A59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 ходе подготовки работы по машине Л-5.</w:t>
      </w:r>
    </w:p>
    <w:p w14:paraId="64281D2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Слушали: о ходе подготовки работы по машине Л-5 (Доклад главного технолога тов. Зайчик).</w:t>
      </w:r>
    </w:p>
    <w:p w14:paraId="71F3E4F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Выступили:</w:t>
      </w:r>
    </w:p>
    <w:p w14:paraId="34A2E81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Сергеев (н[ачальни]к цеха 150): Вопрос подготовки по новой машине коллектив цеха встретил хорошо, но сама работа организована хуже, чем на Як-7. Очень много встречается недоделок и недоработок, что очень отражается на всем ходе работы. И надо сказать, что упущение гл[авного] технолога в том, что не все руководители цехов, подчиненных ему, стоят на своем месте.</w:t>
      </w:r>
    </w:p>
    <w:p w14:paraId="68AE7B9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Цех № 64 необходимо укрепить высококвалифицированными кадрами, т.к. их там очень мало.</w:t>
      </w:r>
    </w:p>
    <w:p w14:paraId="08C93E4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Мошков (начальник цеха № 64): Цех № 64 воспринял машину Л-5 хорошо. Мы заранее знали, что на этой машине остается и что выбрасывается, и, не дожидаясь графиков, приступили к работе. Несмотря на спущенный с опозданием график, я дал все агрегаты досрочно, но по цеху № 65 мне все время срывают подачу плазов. По сталинскому заданию график я получил только сегодня, несмотря на то, что он должен быть спущен еще 7/VI-42 г. Надо на это обратить внимание, т.к. всегда бывают виноваты[ми] низовые работники.</w:t>
      </w:r>
    </w:p>
    <w:p w14:paraId="2B6625F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Солонин (начальник инструментального отдела): На сегодняшний день по инструментальному отделу выполнены следующие работы: оснастка по Л[аГГ]-3 восстановлена полностью. Перед нами исключительно серьезная задача - культивировать наше производство. Какие трудности перед нами - цех № 63 может работать гораздо лучше и больше, чем на самом деле. Верно, график спущен недавно, и нач[альник] цеха просто растерялся в этом вопросе. Практическую помощь оказывают цеха 20, 25 и филиал № 1, а все остальные цеха никакой помощи отделу не оказывают.</w:t>
      </w:r>
    </w:p>
    <w:p w14:paraId="08CC6E1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Миндров (Н[ачальни]к отд[ела] № 3): Конструкторский отдел оказался в очень тяжелом положении, когда узнал, что машина Л-5 встает в производство у нас на заводе, т.к. основная документация была направлена в Тбилиси, а на заводе оказалась очень скудная документация и кадров тоже маловато. Нам сейчас предстоит реализовать большой перечень дефектов во внедрении новой машины, и нам в этом деле должны оказать помощь.</w:t>
      </w:r>
    </w:p>
    <w:p w14:paraId="25A7787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Куприянов (Н[ачальни]к производства): «Промахи и недоделки у нас были и есть, например, необходимо нам в самый короткий срок иметь большое количество деталей, но все срезу сделать нельзя. Инструментальные цеха не справляются с работой, и я считаю, что необходимо нам пожертвовать выходным денем, и на всевобуч людей не пускать, т.к.нам надо поработать, чтобы подтянуть остальные цеха, не сорвать производственное задание».</w:t>
      </w:r>
    </w:p>
    <w:p w14:paraId="24C625F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Лавочкин (Гл[авный] конструктор): В докладе тов. Зайчик указал, что машина изменится немного, но на самом деле работы очень много, т.к. почти все надо не изменять, а улучшать. Главный технолог нигде не виден, особенно по вопросу изменения отдельных агрегатов, а если это и есть, то делается по инициативе отдельных н[ачальни]ков цехов, а не гл[авного] технолога. Я считаю, что технологическому аппарату необходимо спуститься в цеха, дойти до самой рейки, гайки, скорлупы, и потребовать качественного их выполнения, а сиденьем в кабинетах дело сдвинем очень и очень не много. Прошу мои замечания учесть.</w:t>
      </w:r>
    </w:p>
    <w:p w14:paraId="60ABEE7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Воронин (заместитель Наркома): «Как поставлена работа на предприятиях Америки, метод которых нам необходимо внедрить здесь - там у них имеются подавляющее большинство шаблонов разных агрегатов и меньше всего чертежей, что мы имеем как раз наоборот. Конструктора сидят в цехах и одновременно проектируют и пускают в производство, этого у нас тоже нет. На других заводах внедряли машины очень быстро, и если бы тов. Сергеев захотел, то давно бы у него были и капоты, и он не ссылался бы на конструкторов. Никакой конструктор, тов. Сергеев, тебе не даст такой чертеж, который бы сразу встал на заклепки. Необходимо самому вместе с конструкторами поработать и на шаблонах подгонять по месту, а капоты все же ты должен дать. Есть такие вопросы, которые главный технолог не в состоянии </w:t>
      </w:r>
      <w:r w:rsidRPr="008127F8">
        <w:rPr>
          <w:rFonts w:ascii="Times New Roman" w:hAnsi="Times New Roman"/>
          <w:color w:val="000000" w:themeColor="text1"/>
          <w:sz w:val="16"/>
          <w:szCs w:val="16"/>
        </w:rPr>
        <w:lastRenderedPageBreak/>
        <w:t>поднять — тогда ничего стесняться, надо пригласить на помощь людей из институтов, ВИАМ и т.д. Здесь говорили о скорлупе. Скорлупа никуда не годится, грубая, необходимо ее улучшать и как можно быстрее, т.к. вопрос очень серьезный, изменений не допускать...</w:t>
      </w:r>
    </w:p>
    <w:p w14:paraId="3EE834B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 176) Агуреев: Несмотря на то, что мы все время говорим о том, что машина хорошо принята коллективом завода, вся работа развертывается чрезвычайно медленно. В цехах нет настоящей борьбы за внедрение машины Л-5, ведь мы заявляли от самих себя, и для нас не может быть оправдания в срыве графика. Задел в цехах начат хорошо, не развертывается медленно, и не обещает особенно хороших разворотов в июне месяце.</w:t>
      </w:r>
    </w:p>
    <w:p w14:paraId="6D3BBA2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 177) Главный инженер и н[ачальни]к производства не принимают никаких мер к переломлению такого настроения в отношении работников инструментальных цехов, а те продолжают ссылаться на график. В этом повинен и гл[авный] технолог. Считаю, что необходимо принять твердые меры к н[ачальни]кам цехов по вопросу немедленного выполнения работ.</w:t>
      </w:r>
    </w:p>
    <w:p w14:paraId="2762652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Изменения необходимо допускать организованно, быстро, активно, чтобы нам потом не очутиться в неприятном положении относительно качества - работники ОТК и военпреды до сих пор не играют той роли в производстве, которая бы улучшила качество машины, они являются просто браковщиками. </w:t>
      </w:r>
    </w:p>
    <w:p w14:paraId="04CF7F7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Мы ни в коей мере не должны допускать такого положения, которое было с внедрением ЛаГГ-3. Считаю необходимым развернуть среди технологов соревнование на лучшего технолога. Поднять ответственность секретарей партбюро за работу по новой машине, повседневно и систематически контролировать работу хозяйственников, и мобилизовать коллективы на выполнение правительственного задания. Главному инженеру необходимо быть поэнергичней в вопросах производства и принимать самые решительные меры к тем н[ачальни]кам цехов которые допускают срыв производственной программы.</w:t>
      </w:r>
    </w:p>
    <w:p w14:paraId="275A644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Постановили: (Решение прилагается).</w:t>
      </w:r>
    </w:p>
    <w:p w14:paraId="51C4F1E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Секретарь парткома завода имени Орджоникидзе</w:t>
      </w:r>
      <w:r w:rsidRPr="008127F8">
        <w:rPr>
          <w:rFonts w:ascii="Times New Roman" w:hAnsi="Times New Roman"/>
          <w:color w:val="000000" w:themeColor="text1"/>
          <w:sz w:val="16"/>
          <w:szCs w:val="16"/>
        </w:rPr>
        <w:tab/>
        <w:t>(Агуреев)</w:t>
      </w:r>
    </w:p>
    <w:p w14:paraId="0B80C7B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ГОПАНО. Ф. 1947. Оп. 1.Д 315а. Л. 175-177.</w:t>
      </w:r>
    </w:p>
    <w:p w14:paraId="6679A18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Подлинник. Машинопись (21032).</w:t>
      </w:r>
    </w:p>
    <w:p w14:paraId="6337664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F5C8E2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июня 1942 г.</w:t>
      </w:r>
    </w:p>
    <w:p w14:paraId="7CC5995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приказа Главного управления подшипниковой промышленности “Главподшипник” НКСМ СССР об увеличении выпуска авиационных подшипников</w:t>
      </w:r>
    </w:p>
    <w:p w14:paraId="4398D3D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июня 1942 г.</w:t>
      </w:r>
    </w:p>
    <w:p w14:paraId="5904616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Сов.секретно</w:t>
      </w:r>
    </w:p>
    <w:p w14:paraId="1818CAD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Государственного Комитета Обороны от 9/VI-42 г. за № 1904сс и приказа НКСМ от 11/VI-42 г. №М-315сс об увеличении выпуска авиационных подшипников и удовлетворении потребности в них авиационной промышленности</w:t>
      </w:r>
    </w:p>
    <w:p w14:paraId="0A2B471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p>
    <w:p w14:paraId="3953302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Директорам подшипниковых заводов: Куйбышевского - т. Юсим, Саратовского - т. Бурову, Томского - т. Эделыптейн, Свердловского - т. Потапову, 2-го Московского - т. Лебединову и 1 -го Московского - т. Лосеву довести к 1 октября 1942 г. мощности заводов по выпуску подшипников для авиации в количестве:</w:t>
      </w:r>
    </w:p>
    <w:p w14:paraId="476ADFC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на Куйбышевском ГПЗ - довести выпуск до 2,5 млн. штук авиационных подшипников в квартал, организовав цех авиационных подшипников № 2...</w:t>
      </w:r>
    </w:p>
    <w:p w14:paraId="6A176AB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Главподшипник:</w:t>
      </w:r>
      <w:r w:rsidRPr="008127F8">
        <w:rPr>
          <w:rFonts w:ascii="Times New Roman" w:hAnsi="Times New Roman"/>
          <w:color w:val="000000" w:themeColor="text1"/>
          <w:sz w:val="16"/>
          <w:szCs w:val="16"/>
        </w:rPr>
        <w:tab/>
        <w:t>Коган</w:t>
      </w:r>
    </w:p>
    <w:p w14:paraId="1F66131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ГАСО. Ф. P-4300. On. 5. Д. 4. Л. 27, 29. Заверен, копия (20906).</w:t>
      </w:r>
    </w:p>
    <w:p w14:paraId="29F7826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0997F77" w14:textId="77777777" w:rsidR="00357581" w:rsidRPr="008A2E5A" w:rsidRDefault="00357581" w:rsidP="003575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июня 1942 г. Из приказа Главного управления подшипниковой промышленности “Главподшипник” НКСМ СССР об увеличении выпуска авиационных подшипников</w:t>
      </w:r>
    </w:p>
    <w:p w14:paraId="4BBBF177" w14:textId="77777777" w:rsidR="00357581" w:rsidRPr="008A2E5A" w:rsidRDefault="00357581" w:rsidP="003575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Сов.секретно</w:t>
      </w:r>
    </w:p>
    <w:p w14:paraId="042B382D" w14:textId="77777777" w:rsidR="00357581" w:rsidRPr="008A2E5A" w:rsidRDefault="00357581" w:rsidP="003575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соответствии с постановлением Государственного Комитета Обороны от 9/VI-42 г. за № 1904сс и приказа НКСМ от 11/VI-42 г. №М-315сс об увеличении выпуска авиационных подшипников и удовлетворении потребности в них авиационной промышленности ПРИКАЗЫВАЮ:</w:t>
      </w:r>
    </w:p>
    <w:p w14:paraId="0916D6F1" w14:textId="77777777" w:rsidR="00357581" w:rsidRPr="008A2E5A" w:rsidRDefault="00357581" w:rsidP="003575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Директорам подшипниковых заводов: Куйбышевского - т. Юсим, Саратовского - т. Бурову, Томского - т. Эделыптейн, Свердловского - т. Потапову, 2-го Московского - т. Лебединову и 1 -го Московского т. Лосеву довести к 1 октября 1942 г. мощности заводов по выпуску подшипников для авиации в количестве:</w:t>
      </w:r>
    </w:p>
    <w:p w14:paraId="4C407EB1" w14:textId="77777777" w:rsidR="00357581" w:rsidRPr="008A2E5A" w:rsidRDefault="00357581" w:rsidP="003575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на Куйбышевском ГПЗ - довести выпуск до 2,5 млн. штук авиационных подшипников в квартал, организовав цех авиационных подшипников № 2...</w:t>
      </w:r>
    </w:p>
    <w:p w14:paraId="61492D68" w14:textId="77777777" w:rsidR="00357581" w:rsidRPr="008A2E5A" w:rsidRDefault="00357581" w:rsidP="003575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Главподшипник:</w:t>
      </w:r>
      <w:r w:rsidRPr="008A2E5A">
        <w:rPr>
          <w:rFonts w:ascii="Times New Roman" w:hAnsi="Times New Roman"/>
          <w:color w:val="0070C0"/>
          <w:sz w:val="16"/>
          <w:szCs w:val="16"/>
        </w:rPr>
        <w:tab/>
        <w:t>Коган</w:t>
      </w:r>
    </w:p>
    <w:p w14:paraId="4F5FD834" w14:textId="77777777" w:rsidR="00357581" w:rsidRPr="008A2E5A" w:rsidRDefault="00357581" w:rsidP="003575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ГАСО. Ф. P-4300. On. 5. Д. 4. Л. 27, 29. Заверен, копия (24039).</w:t>
      </w:r>
    </w:p>
    <w:p w14:paraId="2AF63289" w14:textId="77777777" w:rsidR="00357581" w:rsidRPr="008A2E5A" w:rsidRDefault="00357581" w:rsidP="00357581">
      <w:pPr>
        <w:spacing w:after="0" w:line="240" w:lineRule="auto"/>
        <w:jc w:val="both"/>
        <w:rPr>
          <w:rFonts w:ascii="Times New Roman" w:hAnsi="Times New Roman"/>
          <w:color w:val="0070C0"/>
          <w:sz w:val="16"/>
          <w:szCs w:val="16"/>
        </w:rPr>
      </w:pPr>
    </w:p>
    <w:p w14:paraId="17522E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июня 1942 г. для расширения производства ВАП по приказу НКАП № 438с на базе филиала завода № 145 в Калининграде был образован дублер завода № 145. Дополнительно было передано необходимое оборудование с заводов № 472, № 145 и № 481.</w:t>
      </w:r>
    </w:p>
    <w:p w14:paraId="46C0DF9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постановлением ГОКО № 1868сс от 3.07.1942 г. и приказом № 533с от 16.07.1942 г. заводу-дублеру присвоено наименование ГС завод № 455 в системе 2ГУ НКАП. </w:t>
      </w:r>
    </w:p>
    <w:p w14:paraId="704D71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 г. на завод передано производство агрегатов вооружения с завода № 487 в связи с изменением его профиля.</w:t>
      </w:r>
    </w:p>
    <w:p w14:paraId="661775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1943-46 г. на заводе действовало ОКБ-455 НКАП гл. конструктора И.И. Картукова. </w:t>
      </w:r>
    </w:p>
    <w:p w14:paraId="2D0552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имел экспериментально-испытательную станцию с лабораторией и мастерскими в Кузьминках Ухтомского района. В 1946 г. она передана заводу № 81.</w:t>
      </w:r>
    </w:p>
    <w:p w14:paraId="40370B6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началась реконструкция завода для расширения производства установок авиационного вооружения.</w:t>
      </w:r>
    </w:p>
    <w:p w14:paraId="1ABCCA3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283ссоп от 25.04.1955 г. завод № 455 с 1.04.1955 г. передан из 2ГУ в 6ГУ. Началось освоение производства УРВВ, а позднее- и УРВП. </w:t>
      </w:r>
    </w:p>
    <w:p w14:paraId="57A6F7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Велись работы по ракете Р-6 (К-53) с ТГСН; планировалось (но не было осуществлено) производство К-33; работы по К-5В (1960 г.). </w:t>
      </w:r>
    </w:p>
    <w:p w14:paraId="3B65469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1973 г. КМЗ имел наименование «предприятие- п/я В-2704». До начала 1990-х г. действовало НПО «Стрела», в состав которого входили КМЗ, КБ «Звезда», Бендерский машиностроительный завод (возможно, это завод «Прибор») и Костромской механический завод. Затем НПО распалось.</w:t>
      </w:r>
    </w:p>
    <w:p w14:paraId="37523FD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1995 г. произошло обьединение ОКБ "Звезда" и Калининградского машиностроительного завода "Стрела" в ГНПЦ (Государственный научно-производственный центр) "Звезда-Стрела". </w:t>
      </w:r>
    </w:p>
    <w:p w14:paraId="6967CF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Головное предприятие по разработке и производству авиационных, морских и сухопутных тактических КР (2002 г.).</w:t>
      </w:r>
    </w:p>
    <w:p w14:paraId="4EA0B97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г.)- 2500 чел.</w:t>
      </w:r>
    </w:p>
    <w:p w14:paraId="06F832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 г.-)- Н.К. Сорокин, (-05.1943-03.1946 г.-)- Горбунов, (конец 1946 г.-)- М.П. Аржаков (одновременно был руководителем строительства завода), (-1995 г.)- С.П. Яковлев.</w:t>
      </w:r>
    </w:p>
    <w:p w14:paraId="7AC5502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(2002 г.)- Ю.Д. Новиков. </w:t>
      </w:r>
    </w:p>
    <w:p w14:paraId="7EA10D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Научный директор (2002 г.)- Ю.Д. Новиков. Технический директор (2002 г.)- И.Д. Тесля.</w:t>
      </w:r>
    </w:p>
    <w:p w14:paraId="03A255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(1946 г.-)- М.И. Муромцев.</w:t>
      </w:r>
    </w:p>
    <w:p w14:paraId="05B0A78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Работали: Горбунов, (начало 1950-х)- Кузьмин. </w:t>
      </w:r>
    </w:p>
    <w:p w14:paraId="65178D0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(1974 г.)- В.Г. Кореньков.</w:t>
      </w:r>
    </w:p>
    <w:p w14:paraId="53894A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ВАП-6М, ВАП-500 (1942-), ВАП-100, ВАП-250 (ВОВ); УРВВ: изд. "М" (РС-1-У) (1956-57), "И" (РС-2У) (1957-59), "ИС" (РС-2-УС) (1959-), "24" (Р-8М) (1959-), К-13, Р-98, К-55, К-40 (-1991), К-80 (Р-4); УРВП: Х-66, Х-23, Х-27, Х-25, Х-25М, Х-31, Х-35; ЗУР: 3М9; гладильные машины «Калинка».</w:t>
      </w:r>
    </w:p>
    <w:p w14:paraId="54FF338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ГС Завод № 455 НКАП, МАП, Костинский машиностроительный завод (КМЗ), Калининградский машиностроительный завод (КМЗ), НПО «Стрела», В-2704, КПКО «Стрела» </w:t>
      </w:r>
    </w:p>
    <w:p w14:paraId="5D69D15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Костино Московской обл. ст. Болшево</w:t>
      </w:r>
    </w:p>
    <w:p w14:paraId="3F90A8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141070 г. Королев Московской обл. ул. Ильича, 7</w:t>
      </w:r>
    </w:p>
    <w:p w14:paraId="2BA31BC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 455, ОКБ-455 НКАП гл. конструктора И.И. Картукова</w:t>
      </w:r>
    </w:p>
    <w:p w14:paraId="2B6CBC7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Костино Московской обл.</w:t>
      </w:r>
    </w:p>
    <w:p w14:paraId="058602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ОКБ-145 НКАП И.И. Картукова в соответствии с приказом НКАП № 272с от 6.05.1943 г. возвращается из эвакуации на новое место в г. Костино на завод № 455 НКАП с образованием ОКБ-455 НКАП. Здесь продолжены работы по химическим боеприпасам. Создан химический разовый прибор ХАРП-500-300А для ВМФ. С 1946 г.- работы по пиропатронам для катапультных кресел летчиков по типу Не-162 и Не-219.</w:t>
      </w:r>
    </w:p>
    <w:p w14:paraId="010DA0D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 148с от 22.03.1946 г. ОКБ-455 МАП гл. конструктора И.И. Картукова в полном составе переведено на вновь образованный Завод № 81 МАП. </w:t>
      </w:r>
    </w:p>
    <w:p w14:paraId="02DFDF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СКБ завода № 455, ОКБ-455 МАП, ОКБ "Звезда", А-3497</w:t>
      </w:r>
    </w:p>
    <w:p w14:paraId="6183715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141070 г. Королев Московской обл., ул. Ильича, 7 тел. 519-55-01</w:t>
      </w:r>
    </w:p>
    <w:p w14:paraId="0AA0D21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СКБ образовано на заводе № 455 в 1956 г. для освоения производства РС-1-У (изд."М"). На базе К-5 и К-8 создана Х-66, на базе РС-2-УС – К-55.</w:t>
      </w:r>
    </w:p>
    <w:p w14:paraId="56A88A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1966 г.- ОКБ-455 МАП. Головное предприятие по разработке тактических УРВП.</w:t>
      </w:r>
    </w:p>
    <w:p w14:paraId="1ADC21C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начале 1995 г. произошло обьединение ОКБ "Звезда" и Калининградского машиностроительного завода "Стрела" в ГНПЦ "Звезда-Стрела". </w:t>
      </w:r>
    </w:p>
    <w:p w14:paraId="0A07B0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(1956-59 г.-)- М.Е. Едидович, Н.Т. Пикот.</w:t>
      </w:r>
    </w:p>
    <w:p w14:paraId="641CFB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(1966-73 г.)- Ю.Н. Королев, (1974-83 г.)- В.Н. Бугайский, (1983-86 г.)- В.Г. Голушко, (25.11.1986-94 г.)- Г.И. Хохлов (до этого- гл. конструктор УРВП </w:t>
      </w:r>
      <w:r w:rsidRPr="008127F8">
        <w:rPr>
          <w:rFonts w:ascii="Times New Roman" w:hAnsi="Times New Roman"/>
          <w:color w:val="000000" w:themeColor="text1"/>
          <w:sz w:val="16"/>
          <w:szCs w:val="16"/>
        </w:rPr>
        <w:lastRenderedPageBreak/>
        <w:t>в МКБ «Вымпел»), (1994-99 г.-)- Ю.Д. Новиков.</w:t>
      </w:r>
    </w:p>
    <w:p w14:paraId="46E37CB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(1970-е)- В.Г. Кореньков (далее работал в НИИАС), (-1994 г.)- Ю.Д. Новиков.</w:t>
      </w:r>
    </w:p>
    <w:p w14:paraId="203379B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(1956 г.-)- М.Е. Едидович (изд. «М»), С.П. Яковлев (Х-35).</w:t>
      </w:r>
    </w:p>
    <w:p w14:paraId="71D0BB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УРВП: К-5 (РС-1У), Х-66 (пнв в 1968 г.), Х-23 (пнв в 1973 г.), -М, -Л, Х-27ПС (1974 г.), Х-25 (1976 г.), -Р, -МР, -Л, -МЛ, -МЛП, -П, -МП, -ПС, -МТ, -МТЛ, -МПУ, Х-31А (пнв в 1989 г.), -П (пнв в 1988 г.), Х-35 (пнв в 1987 г.), Х-35У (1983 г.), Х-36; ККР: «Уран» 3М24 (пнв в 1987 г.)58; высотная мишень ИЦ-59В (1960-е).</w:t>
      </w:r>
    </w:p>
    <w:p w14:paraId="6FAFE7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Государственный Научно-производственный центр (ГНПЦ) "Звезда-Стрела"</w:t>
      </w:r>
    </w:p>
    <w:p w14:paraId="4A4B2D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141070 г. Калининград, г. Королев Московской обл. ул. Ильича, 7 тел. 519-20-02</w:t>
      </w:r>
    </w:p>
    <w:p w14:paraId="411019B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Создано в начале 1995 г. обьединеним ОКБ "Звезда" и Калининградского машиностроительного завода "Стрела". В 02.1998 г. в ГНПЦ вошло ОКБ ДУ «Пламя».</w:t>
      </w:r>
    </w:p>
    <w:p w14:paraId="21B6840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(1995-2002 г.-)- С.П. Яковлев.</w:t>
      </w:r>
    </w:p>
    <w:p w14:paraId="71F4BE0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 Конструктор (2002 г.)- С.П. Яковлев.</w:t>
      </w:r>
    </w:p>
    <w:p w14:paraId="552A6A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ОАО «Корпорация «Тактическое ракетное вооружение» (ТРВ) РАКА</w:t>
      </w:r>
    </w:p>
    <w:p w14:paraId="573FFDA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141070 г. Королев Московской обл. ул. Ильича, 7 тел. 542-57-09 www.ktrv.ru</w:t>
      </w:r>
    </w:p>
    <w:p w14:paraId="4CF2D78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Создана 24.01.2002 г. на базе головного предприятия «Звезда-Стрела». Кроме него, в корпорацию вошли еше 5 предприятий, в т.ч. ГНПП «Регион». В соответствии с Указом Президента № 591 от 9.05.2004 г. и распоряжением правительства № 396 от 20.07.2004 г. определено дальнейшее развитие Корпорации, в составе которой стало 14 предприятий, в т.ч. ГосМКБ «Радуга», ГосМКБ «Вымпел», КБМ, завод «Красный гидропресс». По решению правительства № 22-р от 9.01.2004 г. и Указу Президента РФ № 1009 от 4.08.2004 г. вошло в число стратегических оборонных предприятий.</w:t>
      </w:r>
    </w:p>
    <w:p w14:paraId="1B42D9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производство, поставка и модернизация комплексов УР.</w:t>
      </w:r>
    </w:p>
    <w:p w14:paraId="6EA717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(2003-05 г.-)- Б.В. Обносов.</w:t>
      </w:r>
    </w:p>
    <w:p w14:paraId="1B3D510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 совета директоров (2005 г.)- С. Приходько (10776).</w:t>
      </w:r>
    </w:p>
    <w:p w14:paraId="1A5B71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2DB9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12 июня 1942 для расширения производства выливных авиационных химических приборов на площадях в г.Болшево приказом НКАП №438 был образован дублер завода №145 НКАП. Дополнительно обеспечен перевод необходимого оборудования с завода №472, завода №145, завода №481. Директором назначен Н.К.Сорокин. Началась организация выпуска выливных приборов ВАП-6М и ВАП-500. Во исполнение приказа №533 от 16.7.42 г. вновь организованному заводу-дублеру присвоен литерный номер и наименование Государственный Союзный завод №455 с подчинением 2ГУ НКАП. В годы ВОВ шло производство агрегатов авиавооружения: ВАП-100, ВАП-250. Директор завода - Горбунов (1943-46 гг.). </w:t>
      </w:r>
    </w:p>
    <w:p w14:paraId="123B1C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Разработка выливных приборов типа ВАП шла на заводском ОКБ гл.к. И.И.Картукова. Коллектив работал здесь с 1943 г., когда ОКБ-145 И.И.Картукова переведено из эвакуации в г.Костино (с образованием ОКБ-455). Продолжены работы по химическим боеприпасам, создан разовый прибор ХАРП-500-300А для НКВМФ. С 1946 г. начались работы по пиропатронам для выбрасываемых кресел летчиков. В .3.1946 г. вновь образуется новый завод №81 МАП в г.Москве, куда было переведено ОКБ гл.к. И.И.Картукова. </w:t>
      </w:r>
    </w:p>
    <w:p w14:paraId="00C973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к. 1946 г. директором и руководителем строительства завода №455 назначен М.П.Аржаков. Началось расширение работ по установкам авиавооружения. </w:t>
      </w:r>
    </w:p>
    <w:p w14:paraId="4B6FE2B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1.4.55 г. завод №455 передан из 2ГУ в 6ГУ (приказ №283 от 25.4.55 г.). В связи с этим в 1956 г. при заводе образовано СКБ для освоения производства ракет РС-1-У (изд."М"). На базе ракет типа К-5 и К-8 разработана ракета Х-66, а на базе РС-2УС - ракета К-55. Далее созданы Х-23, Х-27, Х-25, Х-25М, Х-31А и Х-31П, Х-35. С образованием конструкторского бюро руководителем с правами гл.к. по серии (изд."М") стал М.Е.Едидович, далее его сменил Н.Т.Пикот (начальник и гл.к.). Далее эти должности занимал Ю.Н.Королев, В.Н.Бугайский (с 1974 г. по 1983 г.). Зам. гл.к. был В.Г.Кореньков, он ввел модульность в Х-25М. С 1983 г. гл.к. стал В.Г.Голушко (по 1986 г.), далее в 1986-94 гг. гл.к. ОКБ являлся Г.И.Хохлов, а с к. 1994 г. гл.к. стал Ю.Д.Новиков (ранее зам. гл.к.). Завод проводил работы по установкам вооружения конструкции ОКБ-134 и ОКБ-476. Осуществлял с 1956 г. производство ракет - изд."М" (РС-1-У, в 1956-57гг.), изд."И" (РС-2-У, в 1957-59гг.), изд."ИС" (РС-2-УС, с 1959 г.), изд."24" (Р-8М, с 1959 г.), К-13, Р-98, К-55, К-40 (до 1990-91гг.), К-80 (Р-4), планировалось освоить производство К-33, но работы передали на другой завод. Производство ракет Х-66, Х-23, Х-27, Х-25, Х-25М, Х-31, Х-35. Производство ЗУР 3М9. Опытные работы по ракете Р-6 (К-53) с ТГСН. </w:t>
      </w:r>
    </w:p>
    <w:p w14:paraId="1E5A88F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 1976 г. предприятие превратилось в производственное объединение и стало наименоваться Калининградским объединением ”Стрела”. В состав предприятия входили Калининградский машиностроительный завод, КБ "Звезда", Бендерский машиностроительный завод и Костромской механический завод. В 1989 году из состава КПО ”Стрела” в качестве самостоятельного юридического лица было выделено ОКБ ”Звезда”. Далее из объединения вышли и др. предприятия. </w:t>
      </w:r>
    </w:p>
    <w:p w14:paraId="124526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Вновь в н. 1995 г. произошло объединение Калининградского машиностроительного завода "Стрела" и ОКБ "Звезда" в ГНПЦ "Звезда-Стрела". Одновременно руководителем ГНПЦ стал бывший директор завода С.П.Яковлев, а гл.к. остался Ю.Д.Новиков. </w:t>
      </w:r>
    </w:p>
    <w:p w14:paraId="01F3189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Указом Президента РФ № 84 от 24 января 2002 г. осуществлена реорганизация ФГУП ГНПЦ ”Звезда-Стрела” и преобразование его в ОАО ”Корпорация ”Тактическое ракетное вооружение”. В состав Корпорации также вошли следующие предприятия: ОАО ТМКБ ”Союз”, ОАО ”Омский завод ”Автоматика”, ОАО ”УПКБ ”Деталь”, ОАО ”МКБ ”Искра” им. И.И. Картукова”, ОАО ”Завод ”Красный гидропресс”. На втором этапе расширения Корпорации, которое начато в мае 2004 г., планируется включить в ее состав ОАО "Горизонт" (Москва), ОАО "Салют" (Самара), ОАО "Смоленский авиационный завод", а после акционирования - ГосМКБ "Вымпел", ГосМКБ "Радуга", ГНПП "Регион", КБ машиностроения (Коломна). </w:t>
      </w:r>
    </w:p>
    <w:p w14:paraId="6603C93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Выпускаемая продукция в текущее время: Х-35Э, Х-31А, Х-31П, Х-25МПУ, Х-25МЛ. </w:t>
      </w:r>
    </w:p>
    <w:p w14:paraId="3A4B848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Генеральный директор корпорации - Б.В.Обносов. </w:t>
      </w:r>
    </w:p>
    <w:p w14:paraId="7E27D9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Корпорация ”Тактическое ракетное вооружение”, ОАО (ОАО "КТРВ") </w:t>
      </w:r>
    </w:p>
    <w:p w14:paraId="59E228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Ранее: завод №472, Завод №455, Костинский машиностроительный завод (КМЗ), Калининградский машиностроительный завод (НПО) "Стрела", КПКО "Стрела", "Государственный Научно-производственный центр (ГНПЦ) "Звезда-Стрела", ФГУП ГНПЦ "Звезда-Стрела" </w:t>
      </w:r>
    </w:p>
    <w:p w14:paraId="544170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Адрес: 141075, Россия, Московская обл., Королев, ул. Ильича, д. 7, тел.: (095) 519-20-02, 511-9439, kmo@ktrv.ru, www.ktrv.ru </w:t>
      </w:r>
    </w:p>
    <w:p w14:paraId="6D8FD9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 из ведущих предприятий России по разработке и производству противокорабельных, противорадиолокационных и многоцелевых унифицированных ракет тактического назначения, предназначенных для оснащения авиационных, корабельных и береговых ракетных комплексов (10777).</w:t>
      </w:r>
    </w:p>
    <w:p w14:paraId="4287D8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7E8A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июня 1942 г. по приказу № 438с на базе филиала завода № 145 НКАП был образован дублер завода № 145 (ГС Завод № 455 НКАП, МАП, Костинский машиностроительный завод (КМЗ), Калининградский машиностроительный завод (КМЗ), НПО «Стрела», В-2704, КПКО «Стрела» /г. Костино Московской обл. ст. Болшево/ /141070  г. Королев Московской обл. ул. Ильича, 7 тел. 519-20-02/), которому было передано необходимое оборудование с заводов № 472, № 145 и № 481.</w:t>
      </w:r>
    </w:p>
    <w:p w14:paraId="41A285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1868сс от 4.06.1942 г. и приказом № 533с от 16.07.1942 г. заводу-дублеру присвоено наименование ГС завод № 455 (ГС Завод № 455 НКАП, МАП, Костинский машиностроительный завод (КМЗ), Калининградский машиностроительный завод (КМЗ), НПО «Стрела», В-2704, КПКО «Стрела» /г. Костино Московской обл. ст. Болшево/ /141070  г. Королев Московской обл. ул. Ильича, 7 тел. 519-20-02/) в системе 2ГУ НКАП.</w:t>
      </w:r>
    </w:p>
    <w:p w14:paraId="12E835F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 г. на завод передано производство агрегатов вооружения с завода № 487 в связи с изменением его профиля.</w:t>
      </w:r>
    </w:p>
    <w:p w14:paraId="716B6D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1943-46 г. на заводе действовало ОКБ-455 НКАП гл. конструктора И.И. Картукова.</w:t>
      </w:r>
    </w:p>
    <w:p w14:paraId="414DB0C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имел экспериментально-испытательную станцию с лабораторией и мастерскими в Кузьминках Ухтомского района. В 1946 г. она передана заводу № 81.</w:t>
      </w:r>
    </w:p>
    <w:p w14:paraId="5C8412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началась реконструкция завода для расширения производства установок авиационного вооружения. В 1946 г. заводу поставлено 324 трофейных металлорежущих станка.</w:t>
      </w:r>
    </w:p>
    <w:p w14:paraId="51CD096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Выпускал бомбодержатели, авиационные турели для самолетов Ту-4, Ил-28, М-4, ЗМ, вертолетов Ми-4.</w:t>
      </w:r>
    </w:p>
    <w:p w14:paraId="41EF9C9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283сс/оп от 25.04.1955 г. завод № 455 с 1.04.1955 г. передан из 2ГУ в 6ГУ. Началось освоение производства УРВВ, а позднее- и УРВП.</w:t>
      </w:r>
    </w:p>
    <w:p w14:paraId="2057790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1956 г. начато освоение производства первых отечественных УРВВ РС-1-У.</w:t>
      </w:r>
    </w:p>
    <w:p w14:paraId="56CB5E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Велись работы по ракете Р-6 (К-53) с ТГСН; планировалось (но не было осуществлено) производство К-33; работы по К-5В (1960 г.).</w:t>
      </w:r>
    </w:p>
    <w:p w14:paraId="52E9EE7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08.1957 г. завод № 455- в ведении 2ГУ МАП. По приказу МАП № 100 от 12.03.1966 г. и приказу по заводу № 455 от 26.07.1966 г. на базе СКБ завода создано самостоятельное ОКБ-455 МАП.</w:t>
      </w:r>
    </w:p>
    <w:p w14:paraId="736E5BE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1972 г. на КМЗ выпущена первая партия (-150 шт.) мини-ЭВМ «Электроника-ЮО».</w:t>
      </w:r>
      <w:r w:rsidRPr="008127F8">
        <w:rPr>
          <w:rFonts w:ascii="Times New Roman" w:hAnsi="Times New Roman"/>
          <w:color w:val="000000" w:themeColor="text1"/>
          <w:sz w:val="16"/>
          <w:szCs w:val="16"/>
          <w:vertAlign w:val="superscript"/>
        </w:rPr>
        <w:t>40</w:t>
      </w:r>
    </w:p>
    <w:p w14:paraId="6BC916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1973 г. КМЗ имел наименование «предприятие- п/я В-2704». До начала 1990-х  г. действовало НПО «Стрела», в состав которого входили КМЗ, КБ «Звезда», Бендерский машиностроительный завод (возможно, это завод «Прибор») и Костромской механический завод. Затем НПО распалось.</w:t>
      </w:r>
    </w:p>
    <w:p w14:paraId="1C72BA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1995 г. произошло обьединение ОКБ «Звезда» и Калининградского машиностроительного завода «Стрела» в ГНПЦ (Государственный научно-производственный центр) «Звезда-Стрела».</w:t>
      </w:r>
    </w:p>
    <w:p w14:paraId="785B193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Головное предприятие по разработке и производству авиационных, морских и сухопутных тактических КР (2002 г.).</w:t>
      </w:r>
    </w:p>
    <w:p w14:paraId="59E256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г.)- 2500 чел.</w:t>
      </w:r>
    </w:p>
    <w:p w14:paraId="5B0FD8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 г.-)- Н.К. Сорокин, (-05.1943-03.1946 г.-)- Горбунов, (1946-74 г.)- М.П. Аржаков, (1974-87 г.)- В.А. Беляков,</w:t>
      </w:r>
      <w:r w:rsidRPr="008127F8">
        <w:rPr>
          <w:rFonts w:ascii="Times New Roman" w:hAnsi="Times New Roman"/>
          <w:color w:val="000000" w:themeColor="text1"/>
          <w:sz w:val="16"/>
          <w:szCs w:val="16"/>
          <w:vertAlign w:val="superscript"/>
        </w:rPr>
        <w:t>143</w:t>
      </w:r>
      <w:r w:rsidRPr="008127F8">
        <w:rPr>
          <w:rFonts w:ascii="Times New Roman" w:hAnsi="Times New Roman"/>
          <w:color w:val="000000" w:themeColor="text1"/>
          <w:sz w:val="16"/>
          <w:szCs w:val="16"/>
        </w:rPr>
        <w:t xml:space="preserve"> (1987-90 г.)- В.А. Шаповалов. Гендиректор (1990-94 г.)- Н.С. Жучков, (-1995 г.)- С.П. Яковлев.</w:t>
      </w:r>
    </w:p>
    <w:p w14:paraId="09F676C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строительства (конец 1946 г.-)- М.П. Аржаков. Научный директор (2002 г.)- Ю.Д. Новиков. Технический директор (2002 г.)- И.Д. Тесля. Гл. инженер (1946 г.-)- М.И. Муромцев. Гл. конструктор (2002 г.)- Ю.Д. Новиков. Зам. гл. конструктора (1974 г.)- В. Г. Кореньков.</w:t>
      </w:r>
    </w:p>
    <w:p w14:paraId="4F366A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lastRenderedPageBreak/>
        <w:t>Производство:</w:t>
      </w:r>
      <w:r w:rsidRPr="008127F8">
        <w:rPr>
          <w:rFonts w:ascii="Times New Roman" w:hAnsi="Times New Roman"/>
          <w:color w:val="000000" w:themeColor="text1"/>
          <w:sz w:val="16"/>
          <w:szCs w:val="16"/>
        </w:rPr>
        <w:t xml:space="preserve"> химвооружение: ВАП-6М, ВАП-500 (1942-), ВАП-100, ВАГ1-250 (ВОВ);</w:t>
      </w:r>
      <w:r w:rsidRPr="008127F8">
        <w:rPr>
          <w:rFonts w:ascii="Times New Roman" w:hAnsi="Times New Roman"/>
          <w:iCs/>
          <w:color w:val="000000" w:themeColor="text1"/>
          <w:sz w:val="16"/>
          <w:szCs w:val="16"/>
        </w:rPr>
        <w:t xml:space="preserve"> УРВБ:</w:t>
      </w:r>
      <w:r w:rsidRPr="008127F8">
        <w:rPr>
          <w:rFonts w:ascii="Times New Roman" w:hAnsi="Times New Roman"/>
          <w:color w:val="000000" w:themeColor="text1"/>
          <w:sz w:val="16"/>
          <w:szCs w:val="16"/>
        </w:rPr>
        <w:t xml:space="preserve"> изд. «М» (РС- 1-У) (1956-57), «И» (РС-2У) (1957-59), «ИС» (РС-2-УС) (1959-), «24» (Р-8М) (1959-), К-13, Р-98, К-55, К-40 (- 1991), К-80 (Р-4);</w:t>
      </w:r>
      <w:r w:rsidRPr="008127F8">
        <w:rPr>
          <w:rFonts w:ascii="Times New Roman" w:hAnsi="Times New Roman"/>
          <w:iCs/>
          <w:color w:val="000000" w:themeColor="text1"/>
          <w:sz w:val="16"/>
          <w:szCs w:val="16"/>
        </w:rPr>
        <w:t xml:space="preserve"> УРВП:</w:t>
      </w:r>
      <w:r w:rsidRPr="008127F8">
        <w:rPr>
          <w:rFonts w:ascii="Times New Roman" w:hAnsi="Times New Roman"/>
          <w:color w:val="000000" w:themeColor="text1"/>
          <w:sz w:val="16"/>
          <w:szCs w:val="16"/>
        </w:rPr>
        <w:t xml:space="preserve"> Х-66 (1968-), Х-23, Х-27ПС, Х-25, Х-25М, -25МЛ, -25МП, -25МПУ, Х-31А, -31П, Х-35; </w:t>
      </w:r>
      <w:r w:rsidRPr="008127F8">
        <w:rPr>
          <w:rFonts w:ascii="Times New Roman" w:hAnsi="Times New Roman"/>
          <w:iCs/>
          <w:color w:val="000000" w:themeColor="text1"/>
          <w:sz w:val="16"/>
          <w:szCs w:val="16"/>
        </w:rPr>
        <w:t>ЗУР:</w:t>
      </w:r>
      <w:r w:rsidRPr="008127F8">
        <w:rPr>
          <w:rFonts w:ascii="Times New Roman" w:hAnsi="Times New Roman"/>
          <w:color w:val="000000" w:themeColor="text1"/>
          <w:sz w:val="16"/>
          <w:szCs w:val="16"/>
        </w:rPr>
        <w:t xml:space="preserve"> ЗМ9; мишень МА-31;</w:t>
      </w:r>
    </w:p>
    <w:p w14:paraId="75A2BC6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мини-ЭВМ «Электроника-100» (1972)- около150 шт.; гладильные машины «Калинка».</w:t>
      </w:r>
      <w:r w:rsidRPr="008127F8">
        <w:rPr>
          <w:rFonts w:ascii="Times New Roman" w:hAnsi="Times New Roman"/>
          <w:color w:val="000000" w:themeColor="text1"/>
          <w:sz w:val="16"/>
          <w:szCs w:val="16"/>
          <w:vertAlign w:val="superscript"/>
        </w:rPr>
        <w:t>69</w:t>
      </w:r>
    </w:p>
    <w:p w14:paraId="7F21933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 455, ОКБ-455 НКАП гл. конструктора И.И. Картукова / г. Костино Московской обл./</w:t>
      </w:r>
    </w:p>
    <w:p w14:paraId="461914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ОКБ-145 НКАП И.И. Картукова в соответствии с приказом НКАП № 272с от 6.05.1943 г. возвращается из эвакуации на новое место в  г. Костино на завод № 455 НКАП с образованием ОКБ-455 НКАП. В 01.1945 г. - в 7ГУ. Здесь продолжены работы по химическим боеприпасам. Создан химический разовый прибор ХАРП-500- 300А для ВМФ. С 1946 г.- работы по пиропатронам для катапультных кресел летчиков по типу Не-162 и Не-219.</w:t>
      </w:r>
    </w:p>
    <w:p w14:paraId="4B25C83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148с от 22.03.1946 г. ОКБ-455 МАП гл. конструктора И.И. Картукова в полном составе переведено на вновь образованный Завод № 81 МАП.</w:t>
      </w:r>
    </w:p>
    <w:p w14:paraId="037E055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СКБ завода № 455, ОКБ-455 МАП, ОКБ «Звезда», А-3497 /141070  г. Королев Московской обл. ул. Ильича, 7 тел. 519-55-01/</w:t>
      </w:r>
    </w:p>
    <w:p w14:paraId="149F0ED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СКБ образовано на заводе № 455 в 1956 г. для освоения производства первой отечественной УРВВ РС-1У (изд. «М»), В результате модернизации создана РС-2УС. На базе К-5 и К-8 создана Х-66, пост. № 325-129 от 13.05.1968 г. она пнв. На базе РС-2-УС создана К-55.</w:t>
      </w:r>
    </w:p>
    <w:p w14:paraId="3509A8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 100 от 12.03.1966 г. и приказу по заводу № 455 от 26.07.1966 г. на базе СКБ завода создано самостоятельное ОКБ-455 МАП. По приказу МАП № 459 от 2.11.1976 г. ОКБ-455 переименовано в ОКБ «Звезда». Головное предприятие по разработке тактических УРВП.</w:t>
      </w:r>
    </w:p>
    <w:p w14:paraId="4EA142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ВПК № 79 от 7.04.1975 г. началась разработка УР Х-31П. В 02.1978 г. начата разработка ПКР X- 31А.</w:t>
      </w:r>
    </w:p>
    <w:p w14:paraId="1B6E71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от 16.03.1983 г. задана разработка ПКР Х-35Э.</w:t>
      </w:r>
    </w:p>
    <w:p w14:paraId="770D40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1995 г. произошло обьединение ОКБ «Звезда» и Калининградского машиностроительного завода «Стрела» в ГНПЦ «Звезда-Стрела».</w:t>
      </w:r>
    </w:p>
    <w:p w14:paraId="526823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(2006 г.): модификации УР Х-25МАЭ с активной ГСН, Х-25МСЭ с бортовым комплексом космической навигации.</w:t>
      </w:r>
    </w:p>
    <w:p w14:paraId="001F72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(1956-59 г.-)- М.Е. Едидович, Н.Т. Пикот, (-1978 г.)- В.А. Шаповалов.</w:t>
      </w:r>
    </w:p>
    <w:p w14:paraId="516658B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(1966-73(1) г.)- Ю.Н. Королев, (1974(1)-83 г.)- В.Н. Бугайский, (1983-86 г.)- В. Г. Галушко, (25.11.1986-94 г.)-  Г.И. Хохлов {22.10.1926-}, (1994-99 г.)- Ю.Д. Новиков, (1999 г.-)- А.И. Вельский. Зам. гл. конструктора (1970-е)- В. Г. Кореньков (далее работал в НИИАС), (-1994 г.)- Ю.Д. Новиков. Гл. конструкторы (1956 г.-)- М.Е. Едидович (изд. «М»), С.П. Яковлев (Х-35).</w:t>
      </w:r>
    </w:p>
    <w:p w14:paraId="5E65A2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УРВВ: К-5 (РС-1У, пнв 17.05.1956 г.);</w:t>
      </w:r>
      <w:r w:rsidRPr="008127F8">
        <w:rPr>
          <w:rFonts w:ascii="Times New Roman" w:hAnsi="Times New Roman"/>
          <w:iCs/>
          <w:color w:val="000000" w:themeColor="text1"/>
          <w:sz w:val="16"/>
          <w:szCs w:val="16"/>
        </w:rPr>
        <w:t xml:space="preserve"> УРВП:</w:t>
      </w:r>
      <w:r w:rsidRPr="008127F8">
        <w:rPr>
          <w:rFonts w:ascii="Times New Roman" w:hAnsi="Times New Roman"/>
          <w:color w:val="000000" w:themeColor="text1"/>
          <w:sz w:val="16"/>
          <w:szCs w:val="16"/>
        </w:rPr>
        <w:t xml:space="preserve"> РС-2УС (пнв в 1960 г.), Х-66 (пнв 13.05.1968 г.), Х-23 (1972, пнв в 1973 г.), -М, -Л, Х-27ПС (1974), Х-25 (1976), -Р, -</w:t>
      </w:r>
      <w:r w:rsidRPr="008127F8">
        <w:rPr>
          <w:rFonts w:ascii="Times New Roman" w:hAnsi="Times New Roman"/>
          <w:color w:val="000000" w:themeColor="text1"/>
          <w:sz w:val="16"/>
          <w:szCs w:val="16"/>
          <w:lang w:val="en-US"/>
        </w:rPr>
        <w:t>MP</w:t>
      </w:r>
      <w:r w:rsidRPr="008127F8">
        <w:rPr>
          <w:rFonts w:ascii="Times New Roman" w:hAnsi="Times New Roman"/>
          <w:color w:val="000000" w:themeColor="text1"/>
          <w:sz w:val="16"/>
          <w:szCs w:val="16"/>
        </w:rPr>
        <w:t>, -Л, -МЛ, -МЛП, -П, -МП, -ПС, -МТ, -МТЛ, - МПУ, Х-31П (пнв в 1988 г.), Х-31А (пнв в 1989 г.), Х-35 (пнв в 1987 г.), Х-35У (1983), Х-36; ККР: «Уран» ЗМ24 (пнв в 1987 г.)</w:t>
      </w:r>
      <w:r w:rsidRPr="008127F8">
        <w:rPr>
          <w:rFonts w:ascii="Times New Roman" w:hAnsi="Times New Roman"/>
          <w:color w:val="000000" w:themeColor="text1"/>
          <w:sz w:val="16"/>
          <w:szCs w:val="16"/>
          <w:vertAlign w:val="superscript"/>
        </w:rPr>
        <w:t>58</w:t>
      </w:r>
      <w:r w:rsidRPr="008127F8">
        <w:rPr>
          <w:rFonts w:ascii="Times New Roman" w:hAnsi="Times New Roman"/>
          <w:color w:val="000000" w:themeColor="text1"/>
          <w:sz w:val="16"/>
          <w:szCs w:val="16"/>
        </w:rPr>
        <w:t>; ракеты-мишени: высотная ИЦ-59В (1960-е), ИЦ-60 «Заяц».</w:t>
      </w:r>
    </w:p>
    <w:p w14:paraId="7C27FC1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ГП «Бендерский машиностроительный завод» (БМЗ) /Молдавия </w:t>
      </w:r>
      <w:r w:rsidRPr="008127F8">
        <w:rPr>
          <w:rFonts w:ascii="Times New Roman" w:hAnsi="Times New Roman"/>
          <w:color w:val="000000" w:themeColor="text1"/>
          <w:sz w:val="16"/>
          <w:szCs w:val="16"/>
          <w:lang w:val="en-US"/>
        </w:rPr>
        <w:t>MD</w:t>
      </w:r>
      <w:r w:rsidRPr="008127F8">
        <w:rPr>
          <w:rFonts w:ascii="Times New Roman" w:hAnsi="Times New Roman"/>
          <w:color w:val="000000" w:themeColor="text1"/>
          <w:sz w:val="16"/>
          <w:szCs w:val="16"/>
        </w:rPr>
        <w:t>-3200  г. Бендеры ул. Бендерского восстания, 5 тел. 26-843/ Завод основан в 1970 г. В 10.2006 г. куплен компанией ЗАО «АвиаМЗкомплект».</w:t>
      </w:r>
    </w:p>
    <w:p w14:paraId="24FE0B3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Производство (2002 г.): устройства связи и согласования усилительно-преобразующих устройств; блоки автоматического и полуавтоматического управления; средства наземного обслуживания </w:t>
      </w:r>
      <w:r w:rsidRPr="008127F8">
        <w:rPr>
          <w:rFonts w:ascii="Times New Roman" w:hAnsi="Times New Roman"/>
          <w:color w:val="000000" w:themeColor="text1"/>
          <w:sz w:val="16"/>
          <w:szCs w:val="16"/>
          <w:lang w:val="en-US"/>
        </w:rPr>
        <w:t>AT</w:t>
      </w:r>
      <w:r w:rsidRPr="008127F8">
        <w:rPr>
          <w:rFonts w:ascii="Times New Roman" w:hAnsi="Times New Roman"/>
          <w:color w:val="000000" w:themeColor="text1"/>
          <w:sz w:val="16"/>
          <w:szCs w:val="16"/>
        </w:rPr>
        <w:t>. Численность персонала (2002 г.)- более 1000 чел. Директор (1982-86 г.)- В.А. Шаповалов, (2002 г.)- В.А. Григорьев.</w:t>
      </w:r>
      <w:r w:rsidRPr="008127F8">
        <w:rPr>
          <w:rFonts w:ascii="Times New Roman" w:hAnsi="Times New Roman"/>
          <w:color w:val="000000" w:themeColor="text1"/>
          <w:sz w:val="16"/>
          <w:szCs w:val="16"/>
          <w:vertAlign w:val="superscript"/>
        </w:rPr>
        <w:t>69</w:t>
      </w:r>
    </w:p>
    <w:p w14:paraId="410029B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Государственный Научно-производственный центр (ГНПЦ) «Звезда-Стрела», ОАО «Корпорация «Тактическое ракетное вооружение» (ТРВ) РАКА /141075  г. Королев Московской обл. ул. Ильича, 7 тел. 519-22-03/</w:t>
      </w:r>
    </w:p>
    <w:p w14:paraId="3E4E61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ГНТЩ создан в начале 1995 г. объединении ОКБ «Звезда» и Калининградского машиностроительного завода «Стрела». В 02.1998 г. в ГНПЦ вошло ОКБ ДУ «Пламя».</w:t>
      </w:r>
    </w:p>
    <w:p w14:paraId="5FF1C3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Указу Президента РФ № 84 от 24.01.2002 г. и постановлению правительства № 149 от 13.03.2002 г. ГНПЦ «Звезда-Стрела» преобразован в «Корпорацию ТРВ». Кроме ГНПЦ, в корпорацию в качестве дочерних вошли еше 5 предприятий: ГНПП «Регион», УПКБ «Деталь», МКБ «Искра», Омский завод «Автоматика», «Красный гидропресс». Юридическое оформление Корпорации завершено в 2003 г., тогда же в нее вошло ТМКБ «Союз». В соответствии с Указом Президента № 591 от 9.05.2004 г. и распоряжением правительства № 396 от 20.07.2004 г. определено дальнейшее развитие Корпорации, в состав которой вошли ОАО «Горизонт», ОАО «Салют» (Самара), СмАЗ, ГосМКБ «Радуга», ГосМКБ «Вымпел», КБ машиностроения (Москва), Азовский ОМЗ. Таким образом, в составе Корпорации (2005 г.) стало 14 предприятий, на 2008 г.- 19 предприятий.</w:t>
      </w:r>
    </w:p>
    <w:p w14:paraId="58ED7C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29C09A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(2005 г.): разработка, производство, поставка и модернизация комплексов УР; разработка и реализация целевых научно-технических программ, формирование научно-технической и технологической политики корпорации и ее дочерних предприятий.</w:t>
      </w:r>
    </w:p>
    <w:p w14:paraId="5CF9617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(1995-2002 г.-&gt; С.П. Яковлев, (2003-08 г.-)- Б.В. Обносов.</w:t>
      </w:r>
    </w:p>
    <w:p w14:paraId="661BFA0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 Конструктор (-1997-2002 г.-)- С.П. Яковлев.</w:t>
      </w:r>
    </w:p>
    <w:p w14:paraId="5A54A1E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гендиректора по НИОКР (2006 г.)- В.Н. Ярмолюк.</w:t>
      </w:r>
    </w:p>
    <w:p w14:paraId="7BD526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ген. конструктора (2006 г.)- А.И. Глазков.</w:t>
      </w:r>
    </w:p>
    <w:p w14:paraId="3B25F9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(1997 г.)- Ю. Новиков.</w:t>
      </w:r>
    </w:p>
    <w:p w14:paraId="3ACEED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конструкторов: (1997 г.)- Д. Иванов.</w:t>
      </w:r>
    </w:p>
    <w:p w14:paraId="2F814D9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центра информационных технологий (-2005-07 г.-)- Н. Васильев (11982).</w:t>
      </w:r>
    </w:p>
    <w:p w14:paraId="0E8B16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D5CE08" w14:textId="77777777" w:rsidR="00357581" w:rsidRPr="008A2E5A" w:rsidRDefault="00357581" w:rsidP="003575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июня 1942 года в саду имени Бау</w:t>
      </w:r>
      <w:r w:rsidRPr="008A2E5A">
        <w:rPr>
          <w:rFonts w:ascii="Times New Roman" w:hAnsi="Times New Roman"/>
          <w:color w:val="0070C0"/>
          <w:sz w:val="16"/>
          <w:szCs w:val="16"/>
        </w:rPr>
        <w:softHyphen/>
        <w:t>мана в Москве состоялось многолюдное со</w:t>
      </w:r>
      <w:r w:rsidRPr="008A2E5A">
        <w:rPr>
          <w:rFonts w:ascii="Times New Roman" w:hAnsi="Times New Roman"/>
          <w:color w:val="0070C0"/>
          <w:sz w:val="16"/>
          <w:szCs w:val="16"/>
        </w:rPr>
        <w:softHyphen/>
        <w:t>брание актива Бауманского района, на кото</w:t>
      </w:r>
      <w:r w:rsidRPr="008A2E5A">
        <w:rPr>
          <w:rFonts w:ascii="Times New Roman" w:hAnsi="Times New Roman"/>
          <w:color w:val="0070C0"/>
          <w:sz w:val="16"/>
          <w:szCs w:val="16"/>
        </w:rPr>
        <w:softHyphen/>
        <w:t>ром выступила Мария Ивановна - мать летчика 159 ИАП Героя Советского Союза Александра Михайловича Лукьянова, погиб</w:t>
      </w:r>
      <w:r w:rsidRPr="008A2E5A">
        <w:rPr>
          <w:rFonts w:ascii="Times New Roman" w:hAnsi="Times New Roman"/>
          <w:color w:val="0070C0"/>
          <w:sz w:val="16"/>
          <w:szCs w:val="16"/>
        </w:rPr>
        <w:softHyphen/>
        <w:t>шего в январе 1942 года на Волховском фронте. Она обрати</w:t>
      </w:r>
      <w:r w:rsidRPr="008A2E5A">
        <w:rPr>
          <w:rFonts w:ascii="Times New Roman" w:hAnsi="Times New Roman"/>
          <w:color w:val="0070C0"/>
          <w:sz w:val="16"/>
          <w:szCs w:val="16"/>
        </w:rPr>
        <w:softHyphen/>
        <w:t>лась с призывом начать сбор средств на по</w:t>
      </w:r>
      <w:r w:rsidRPr="008A2E5A">
        <w:rPr>
          <w:rFonts w:ascii="Times New Roman" w:hAnsi="Times New Roman"/>
          <w:color w:val="0070C0"/>
          <w:sz w:val="16"/>
          <w:szCs w:val="16"/>
        </w:rPr>
        <w:softHyphen/>
        <w:t>стройку истребителя в память о своем сыне.</w:t>
      </w:r>
    </w:p>
    <w:p w14:paraId="324DF8C6" w14:textId="77777777" w:rsidR="00357581" w:rsidRPr="008A2E5A" w:rsidRDefault="00357581" w:rsidP="003575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Вскоре сумма взносов бауманцев достигла полумиллиона рублей, на которые были за</w:t>
      </w:r>
      <w:r w:rsidRPr="008A2E5A">
        <w:rPr>
          <w:rFonts w:ascii="Times New Roman" w:hAnsi="Times New Roman"/>
          <w:color w:val="0070C0"/>
          <w:sz w:val="16"/>
          <w:szCs w:val="16"/>
        </w:rPr>
        <w:softHyphen/>
        <w:t>куплены три истребителя горьковского авиа</w:t>
      </w:r>
      <w:r w:rsidRPr="008A2E5A">
        <w:rPr>
          <w:rFonts w:ascii="Times New Roman" w:hAnsi="Times New Roman"/>
          <w:color w:val="0070C0"/>
          <w:sz w:val="16"/>
          <w:szCs w:val="16"/>
        </w:rPr>
        <w:softHyphen/>
        <w:t>завода. Ими стали ЛаГ-5 с заводскими №№ 372102-22, 372102-23 и 372102-24. 9 августа состоялся митинг по случаю передачи этих машин, украшенных надписями «Бауманцы - герою Лукьянову». Событие имело опреде</w:t>
      </w:r>
      <w:r w:rsidRPr="008A2E5A">
        <w:rPr>
          <w:rFonts w:ascii="Times New Roman" w:hAnsi="Times New Roman"/>
          <w:color w:val="0070C0"/>
          <w:sz w:val="16"/>
          <w:szCs w:val="16"/>
        </w:rPr>
        <w:softHyphen/>
        <w:t>ленный резонанс, так что сюжет попал в «Со- юзкиножурнал» № 62 1942 года.</w:t>
      </w:r>
    </w:p>
    <w:p w14:paraId="744DA51C" w14:textId="77777777" w:rsidR="00357581" w:rsidRPr="008A2E5A" w:rsidRDefault="00357581" w:rsidP="003575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Вероятнее всего, никаких снимков ЛаГ-5 первой серии не сохранилось, точнее, их ви</w:t>
      </w:r>
      <w:r w:rsidRPr="008A2E5A">
        <w:rPr>
          <w:rFonts w:ascii="Times New Roman" w:hAnsi="Times New Roman"/>
          <w:color w:val="0070C0"/>
          <w:sz w:val="16"/>
          <w:szCs w:val="16"/>
        </w:rPr>
        <w:softHyphen/>
        <w:t>димо просто никто и не делал. Самолетам вто</w:t>
      </w:r>
      <w:r w:rsidRPr="008A2E5A">
        <w:rPr>
          <w:rFonts w:ascii="Times New Roman" w:hAnsi="Times New Roman"/>
          <w:color w:val="0070C0"/>
          <w:sz w:val="16"/>
          <w:szCs w:val="16"/>
        </w:rPr>
        <w:softHyphen/>
        <w:t>рой серии повезло больше (23587).</w:t>
      </w:r>
    </w:p>
    <w:p w14:paraId="61C41390" w14:textId="77777777" w:rsidR="00357581" w:rsidRPr="008A2E5A" w:rsidRDefault="00357581" w:rsidP="00357581">
      <w:pPr>
        <w:spacing w:after="0" w:line="240" w:lineRule="auto"/>
        <w:jc w:val="both"/>
        <w:rPr>
          <w:rFonts w:ascii="Times New Roman" w:hAnsi="Times New Roman"/>
          <w:color w:val="0070C0"/>
          <w:sz w:val="16"/>
          <w:szCs w:val="16"/>
        </w:rPr>
      </w:pPr>
    </w:p>
    <w:p w14:paraId="08F9EB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76D2B3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3CE7B5"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12 июня 1943 года Сталин подписал постановление ГКО №3564сс «О подготовке производства 203-мм мортир «М-4»». На этом фоне появилась идея разработать самоходную установку с использованием М-4. Согласно документам, инициатором создания самоходной установки с мортирой М-4 выступал генерал-майор инженерно-артиллерийской служба А.А Толочков, занимавший должность начальника сектора опытных конструкций Техсовета Народного комиссариата вооружения (НКВ). С ним же ОКБ-172 согласовывало и предварительные требования, которые легли в основу проектирования (17701).</w:t>
      </w:r>
    </w:p>
    <w:p w14:paraId="1791B2D8"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33990A74" w14:textId="77777777" w:rsidR="00357581" w:rsidRPr="008A2E5A" w:rsidRDefault="00357581" w:rsidP="003575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июня 1942 г. в приказе наркома танковой промышленности В. А. Малышева говорилось, что «коллективы заводов - Кировского, № 183 и Уралмаш - завода выполнили. свои обязательства по Всесоюзному социалистическому соревнованию, перевыполнили государственный план по выпуску танков, танковых дизелей и бронекорпусов, равномерно работали по графику[479], в результате чего вышли победителями во Всесоюзном социалистическом соревновании и удостоены высокой награды.»[480]. В июне 1942 г. за образцовое выполнение заданий правительства по производству бронетанковой техники завод № 76 был награжден орденом Ленина, а УЗТМ и УТЗ № 183 - орденом Трудового Красного Знамени[481] (23536).</w:t>
      </w:r>
    </w:p>
    <w:p w14:paraId="1132C69B" w14:textId="77777777" w:rsidR="00357581" w:rsidRPr="008A2E5A" w:rsidRDefault="00357581" w:rsidP="00357581">
      <w:pPr>
        <w:spacing w:after="0" w:line="240" w:lineRule="auto"/>
        <w:jc w:val="both"/>
        <w:rPr>
          <w:rFonts w:ascii="Times New Roman" w:hAnsi="Times New Roman"/>
          <w:color w:val="0070C0"/>
          <w:sz w:val="16"/>
          <w:szCs w:val="16"/>
        </w:rPr>
      </w:pPr>
    </w:p>
    <w:p w14:paraId="4B86C2C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июня 1942 г. было подготовлено СООБЩЕНИЕ ЗАМЕСТИТЕЛЯ НАРКОМА СРЕДНЕГО МАШИНОСТРОЕНИЯ В АТУ ГАБТУ КА ОБ ОБЕСПЕЧЕНИИ АВТОЗАВОДОВ ЗИС И ГАЗ КОМПЛЕКТАМИ ДЛЯ СБОРКИ ИМПОРТНЫХ МАШИН</w:t>
      </w:r>
    </w:p>
    <w:p w14:paraId="0BEA98D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 сборки импортных машин в июне на автозаводах им. Сталина и им. Молотова не выполня</w:t>
      </w:r>
      <w:r w:rsidRPr="008127F8">
        <w:rPr>
          <w:rFonts w:ascii="Times New Roman" w:hAnsi="Times New Roman"/>
          <w:color w:val="000000" w:themeColor="text1"/>
          <w:sz w:val="16"/>
          <w:szCs w:val="16"/>
        </w:rPr>
        <w:softHyphen/>
        <w:t>ется из-за недостаточного поступления их на заводы.</w:t>
      </w:r>
    </w:p>
    <w:p w14:paraId="41F56BE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нормальной работы конвейера необходимо иметь задел машин не менее 800-1000 штук на каждом заводе.</w:t>
      </w:r>
    </w:p>
    <w:p w14:paraId="7F3A79C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состоянию на 10 июня автозавод им. Сталина имеет в наличие 236 машин. Кроме того, посту</w:t>
      </w:r>
      <w:r w:rsidRPr="008127F8">
        <w:rPr>
          <w:rFonts w:ascii="Times New Roman" w:hAnsi="Times New Roman"/>
          <w:color w:val="000000" w:themeColor="text1"/>
          <w:sz w:val="16"/>
          <w:szCs w:val="16"/>
        </w:rPr>
        <w:softHyphen/>
        <w:t>пившие на ЗИС в июне машины оказались без комплектов нормалей и стремянок. Сборка машин ли</w:t>
      </w:r>
      <w:r w:rsidRPr="008127F8">
        <w:rPr>
          <w:rFonts w:ascii="Times New Roman" w:hAnsi="Times New Roman"/>
          <w:color w:val="000000" w:themeColor="text1"/>
          <w:sz w:val="16"/>
          <w:szCs w:val="16"/>
        </w:rPr>
        <w:softHyphen/>
        <w:t>митируется недостатком кабин и платформ.</w:t>
      </w:r>
    </w:p>
    <w:p w14:paraId="015EABD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принять срочные меры к обеспечению автозаводов ЗИС и ГАЗ импортными машинами с комплектом всех деталей, необходимых для сборки, а также сообщить, сколько маршрутов с маши</w:t>
      </w:r>
      <w:r w:rsidRPr="008127F8">
        <w:rPr>
          <w:rFonts w:ascii="Times New Roman" w:hAnsi="Times New Roman"/>
          <w:color w:val="000000" w:themeColor="text1"/>
          <w:sz w:val="16"/>
          <w:szCs w:val="16"/>
        </w:rPr>
        <w:softHyphen/>
        <w:t>нами находится в пути и предполагаемые сроки поступления их на заводы.</w:t>
      </w:r>
    </w:p>
    <w:p w14:paraId="27F374A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народного комиссара среднего машиностроения СССР П. Кучумов</w:t>
      </w:r>
    </w:p>
    <w:p w14:paraId="41D010A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ЦАМО. Ф. 38. Оп. 11386. Д. 123. Л. 95. Подлинник (11211).</w:t>
      </w:r>
    </w:p>
    <w:p w14:paraId="661C9D8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D4B3D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июня 1942 г. была подготовлена ДОКЛАДНАЯ ЗАПИСКА НАЧАЛЬНИКА ГАБТУ КА В ГОСУДАРСТВЕННЫЙ КОМИТЕТ ОБОРОНЫ СССР ПО ВОПРОСУ ПЕРЕДАЧИ ОБРАЗЦОВ ТАНКОВ В АМЕРИКУ</w:t>
      </w:r>
    </w:p>
    <w:p w14:paraId="650315F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 закупочной комиссии в США генерал-майор авиации т. Беляев сообщил, что в на</w:t>
      </w:r>
      <w:r w:rsidRPr="008127F8">
        <w:rPr>
          <w:rFonts w:ascii="Times New Roman" w:hAnsi="Times New Roman"/>
          <w:color w:val="000000" w:themeColor="text1"/>
          <w:sz w:val="16"/>
          <w:szCs w:val="16"/>
        </w:rPr>
        <w:softHyphen/>
        <w:t>стоящее время на танках США производится замена обрезиненных гусениц на стальные.</w:t>
      </w:r>
    </w:p>
    <w:p w14:paraId="426F8C9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Для того чтобы конструктивные изменения могли быть сделаны в кратчайшие сроки, без за</w:t>
      </w:r>
      <w:r w:rsidRPr="008127F8">
        <w:rPr>
          <w:rFonts w:ascii="Times New Roman" w:hAnsi="Times New Roman"/>
          <w:color w:val="000000" w:themeColor="text1"/>
          <w:sz w:val="16"/>
          <w:szCs w:val="16"/>
        </w:rPr>
        <w:softHyphen/>
        <w:t>держки выпуска танков, штаб военного министерства службы снабжения просил выслать из СССР в Америку следующие материалы:</w:t>
      </w:r>
    </w:p>
    <w:p w14:paraId="4C72269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Два комплекта стальных гусениц, их эксплуатационные данные, состав стали, скорость и тип танка, на которых применяются эти гусеницы.</w:t>
      </w:r>
    </w:p>
    <w:p w14:paraId="5240757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Чертежи, спецификации, фотографии советских танков, которые участвовали в боях.</w:t>
      </w:r>
    </w:p>
    <w:p w14:paraId="0DE6DF3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По одному оборудованному танку новых типов.</w:t>
      </w:r>
    </w:p>
    <w:p w14:paraId="6D0E5FC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Считаю, что можно сообщить штабу американского военного министерства материалы по тан</w:t>
      </w:r>
      <w:r w:rsidRPr="008127F8">
        <w:rPr>
          <w:rFonts w:ascii="Times New Roman" w:hAnsi="Times New Roman"/>
          <w:color w:val="000000" w:themeColor="text1"/>
          <w:sz w:val="16"/>
          <w:szCs w:val="16"/>
        </w:rPr>
        <w:softHyphen/>
        <w:t>кам КВ, Т-34 и Т-60, а также дать по одному образцу танков. Прошу Вашего решения.</w:t>
      </w:r>
    </w:p>
    <w:p w14:paraId="5B7C44F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ГАБТУ КА генерал-лейтенант танковых войск Федоренко</w:t>
      </w:r>
    </w:p>
    <w:p w14:paraId="496F315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Военный комиссар ГАБТУ КА армейский комиссар 2 ранга Бирюков</w:t>
      </w:r>
    </w:p>
    <w:p w14:paraId="49C3CBFD"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kern w:val="65535"/>
          <w:sz w:val="16"/>
          <w:szCs w:val="16"/>
        </w:rPr>
      </w:pPr>
      <w:r w:rsidRPr="008127F8">
        <w:rPr>
          <w:rFonts w:ascii="Times New Roman" w:hAnsi="Times New Roman"/>
          <w:color w:val="000000" w:themeColor="text1"/>
          <w:kern w:val="65535"/>
          <w:sz w:val="16"/>
          <w:szCs w:val="16"/>
        </w:rPr>
        <w:t>ЦАМО. Ф. 38. Оп. 1 1355. Д. 647. А. 159. Копия (11211).</w:t>
      </w:r>
    </w:p>
    <w:p w14:paraId="77758166"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kern w:val="65535"/>
          <w:sz w:val="16"/>
          <w:szCs w:val="16"/>
        </w:rPr>
      </w:pPr>
    </w:p>
    <w:p w14:paraId="71F213B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EEC839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8125C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12 июня</w:t>
      </w:r>
      <w:r w:rsidRPr="008127F8">
        <w:rPr>
          <w:rFonts w:ascii="Times New Roman" w:hAnsi="Times New Roman"/>
          <w:color w:val="000000" w:themeColor="text1"/>
          <w:sz w:val="16"/>
          <w:szCs w:val="16"/>
        </w:rPr>
        <w:t xml:space="preserve"> в 1942 году утреннее сообщение Совинформбюро:</w:t>
      </w:r>
    </w:p>
    <w:p w14:paraId="2F9308C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12 июня на фронте существенных изменений не произошло.</w:t>
      </w:r>
    </w:p>
    <w:p w14:paraId="36C3963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Северо-Западного фронта пехота противника пыталась атаковать нашу часть. Метким огнём миномётчиков командира Лысенкова немцы были рассеяны и отступили, потеряв до 200 человек убитыми и ранеными. На другом участке разведывательный отряд лейтенанта Беренко под прикрытием артиллерийскогои миномётного огня ворвался в немецкие блиндажи и уничтожил более 50 гитлеровцев.</w:t>
      </w:r>
    </w:p>
    <w:p w14:paraId="08661B5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Гвардейское подразделение, действующее на Западном фронте в тылу немецко-фашистских войск, было окружено превосходящими силами противника. Наши бойцы бросились в атаку, прорвали окружение и соединились со своей частью. На поле боя осталось свыше 100 трупов немецких солдат и офицеров. На другом участие наша артиллерийская часть произвела успешный огневой налёт на железнодорожную станцию противника. Разбито 10 вагонов с воинскими грузами, уничтожены 2 огневые точки и взорвано минное поле противника.</w:t>
      </w:r>
    </w:p>
    <w:p w14:paraId="50329E6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под командованием тов. Савицкого за два дня боёв уничтожили 9 немецких ДЗОТов, 6 блиндажей, подавили артиллерийскую и 4 миномётные батареи и уничтожили до двух рот пехоты противника.</w:t>
      </w:r>
    </w:p>
    <w:p w14:paraId="40F3ED8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Снайперы одного нашего подразделения (Северо-Западный фронт) в течение месяца истребили 956 гитлеровцев. Больших успехов добились стрелки младшего лейтенанта Фефёлова. Они уничтожили за месяц до 300 немецких солдат и офицеров.</w:t>
      </w:r>
    </w:p>
    <w:p w14:paraId="68EBFD2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Южного фронта на сторону Красной Армии перешло отделение словацких солдат вместе со своим командиром.</w:t>
      </w:r>
    </w:p>
    <w:p w14:paraId="405C9CD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Партизанские отряды, действующие в ряде оккупированных немцами районов, Ленинградской области, за пять дней боевых действий уничтожили более 800 немецко-фашистских оккупантов. Партизаны сожгли 6 и захватили 4 немецких танка, уничтожили 3 легковые автомашины и пустили под откос 5 эшелонов с войсками и военной техникой противника.</w:t>
      </w:r>
    </w:p>
    <w:p w14:paraId="3BF9906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партизан под командованием тов. В., действующий в одном из оккупированных немцами районов Курской области, подорвал железнодорожное полотно, в результате чего потерпел крушение воинский эшелон противника. Разбито 50 вагонов. Партизаны этого отряда за последнее время уничтожили 280 немецких оккупантов.</w:t>
      </w:r>
    </w:p>
    <w:p w14:paraId="70250D3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солдат Паблингер писал недавно Францу Бергеру в Вену: «...От нашей дивизии «СС» остались жалкие остатки. Все мы пропадём здесь в суровых равнинах России. Советский солдат оказался очень храбрым, решительным и упорным. Мы наверняка не справимся с таким противником...».</w:t>
      </w:r>
    </w:p>
    <w:p w14:paraId="5878DC5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обер-ефрейтор 171 полка 56 немецкой пехотной дивизии Густав Ланц сообщил: «Я был свидетелем зверств, которые совершали солдаты полка «Великая Германия». В начале апреля мы сменили этот полк в селениях Ржевка и Мелехово. В Ржевке я видел 15 сгоревших трупов местных жителей. Среди замученных были старики, женщины и дети. В одном доме на окраине села Мелехова лежали шесть мёртвых женщин. Солдаты надругались над ними, а потом задушили».</w:t>
      </w:r>
    </w:p>
    <w:p w14:paraId="2FAA861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Голод вызвал широкое распространение болезней среди детей в Финляндии. Детский врач-консультант Куопиоской губернии обследовал 2.730 детей до 7-летнего возраста. Оказалось, что свыше 70 процентов обследованных детей страдают лёгочными, желудочными и другими тяжелыми болезнями. Смертность среди детей в Финляндии за последний год увеличилась в несколько раз.» (14920).</w:t>
      </w:r>
    </w:p>
    <w:p w14:paraId="3BE81EC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2F208D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12 июня</w:t>
      </w:r>
      <w:r w:rsidRPr="008127F8">
        <w:rPr>
          <w:rFonts w:ascii="Times New Roman" w:hAnsi="Times New Roman"/>
          <w:color w:val="000000" w:themeColor="text1"/>
          <w:sz w:val="16"/>
          <w:szCs w:val="16"/>
        </w:rPr>
        <w:t xml:space="preserve"> в 1942 году вечернее сообщение Совинформбюро:</w:t>
      </w:r>
    </w:p>
    <w:p w14:paraId="2A49272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12 июня на Харьковском направлении наши войска вели оборонительные бои с наступающими танками и пехотой противника и сами наносили контрудары по немецко-фашистским войскам.</w:t>
      </w:r>
    </w:p>
    <w:p w14:paraId="5370966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 Севастопольском участке фронта продолжались ожесточённые бои. В течение дня уничтожено 50 и подбито 12 немецких танков, уничтожены 10 артиллерийских и миномётных батарей. Немцы потеряли до трёх полков пехоты и эскадрон кавалерии.</w:t>
      </w:r>
    </w:p>
    <w:p w14:paraId="2145E77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существенных изменений не произошло.</w:t>
      </w:r>
    </w:p>
    <w:p w14:paraId="11CCE2F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11 июня частями нашей авиации на различных участках фронта уничтожено или повреждено 35 немецких танков, 253 автомашины с войсками и грузами, 80 подвод сбоеприпасами, 19 автоцистерн с горючим, 63 полевых и зенитных орудия, 5 миномётных батарей, 9 прожекторов, разбито 74 железнодорожных вагона, рассеяно и частью уничтожено свыше 4 батальонов пехоты противника.</w:t>
      </w:r>
    </w:p>
    <w:p w14:paraId="7C2B324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танкисты и артиллеристы на одном из участков Харьковского направления вступили в бой с большой группой наступавших танков противника. В результате упорного боя в течение дня было уничтожено и подбито 60 немецких танков.</w:t>
      </w:r>
    </w:p>
    <w:p w14:paraId="2034E23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Против подразделения младшего лейтенанта Бурдыгина (Западный фронт) немцы бросили в наступление свыше 800 человек пехоты. Наши бойцы в течение семи часов сдерживали атаки противника. Потеряв убитыми около 400 солдат и офицеров, гитлеровцы отказались от дальнейших попыток продвинуться вперед.</w:t>
      </w:r>
    </w:p>
    <w:p w14:paraId="27D79E7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Брянского фронта, уничтожила немецкую миномётную батарею, 3 орудия, разрушила 2 блиндажа и наблюдательный пункт противника. На поле боя осталось 140 убитых немецких солдат иофицеров.</w:t>
      </w:r>
    </w:p>
    <w:p w14:paraId="15E71B7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наших бойцов под командованием тов. Кондрашёва в течение двух месяцев девствовала в тылу противника. За это время бойцы группы пустили под откос 7 железнодорожных составов, в которых, кроме паровозов, разбито 85 вагонов иплатформ, уничтожили 4 немецких танка, 10 автомашин, срезали около 30 километров телефонного кабеля и истребили 600 немецких солдат и офицеров.</w:t>
      </w:r>
    </w:p>
    <w:p w14:paraId="5E147A3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месяца снайперы одной нашей части, действующей на Севере, уничтожили 213 белофиннов. Особенно отличились снайперы т.т. Куксин, Шелухин и Сидорников. Каждый из них за этот срок истребил по 40 белофиннов.</w:t>
      </w:r>
    </w:p>
    <w:p w14:paraId="52A18AB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Зенитчики подразделения лейтенанта Тузина четырьмя залпами сбили немецкий бомбардировщик. Экипаж вражеского самолёта погиб.</w:t>
      </w:r>
    </w:p>
    <w:p w14:paraId="1A53563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К., действующий в одном из оккупированных немцами районов Украины, за семь дней уничтожил 270 гитлеровцев, разгромил первый батальон 4 полка 105 венгерской бригады и захватил в плен 59 оккупантов. В этих боях партизаны уничтожили три немецких танка, сожгли два продовольственных склада и взорвали четыре железнодорожных моста. Партизаны захватили трофеи: 12 пулемётов, миномёт, 2.000 винтовочных патронов, три радиостанции, 2 кухни, 40 центнеров сливочного масла, 20.000 яиц, 10 ящиков махорки, мотоцикл, 96 велосипедов и штабные документы.</w:t>
      </w:r>
    </w:p>
    <w:p w14:paraId="0A1E42C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Фельдфебель 7 роты 21 мотополка 1 словацкой мотодивизии Михаил Сташо сообщил: «Словацкие солдаты с большим интересом читают советские листовки и открыто выражают свои симпатии к русским. Но немцы на каждом шагу наблюдают за нами. Население Словакии враждебно настроено к немцам. Прибывшие в конце апреля из Словакии солдаты сообщили, что в городе Врашац при отправке словацкого воинского эшелона на фронт население воспрепятствовало отправке поезда. Солдаты стали разбегаться из вагонов. Командование было вынуждено направить их обратно в казармы. Только через несколько дней тайком, отдельными ротами, полк был выведен за город и там погружён в эшелон».</w:t>
      </w:r>
    </w:p>
    <w:p w14:paraId="45F3E5B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Значительная часть немецких солдат, раненных на советско-германском фронте, погибает, не добравшись до госпиталя. Поезда с ранеными от Смоленска до Варшавы находятся в пути до трёх недель. Раны в дороге, как правило, не перевязываются. В середине мая из Смоленска в Варшаву был отправлен санитарный поезд с 400 ранеными. 2 июня, когда поезд прибыл к месту назначения, в нём осталось всего лишь 280 человек. Остальные раненые умерли в пути.</w:t>
      </w:r>
    </w:p>
    <w:p w14:paraId="38C0842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огромным удовлетворением встретили народы Советского Союза сообщения опосещении товарищем В.М.Молотовым Лондона и Вашингтона и о заключении договора между СССР и Великобританией о союзе в войне против гитлеровской Германии и её сообщников в Европе и о сотрудничестве и взаимной помощи после войны.</w:t>
      </w:r>
    </w:p>
    <w:p w14:paraId="4C99E05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Москве, Ленинграде, Горьком, Куйбышеве, Свердловске, Чкалове и другихгородах нашей страны, в частях Красной Армии, в колхозах и совхозах сегодня состоялись митинги, на которых красноармейцы и командиры, рабочие, служащие и колхозники горячо приветствовали укрепление боевого содружества Советского Союзас Великобританией и Соединёнными Штатами Америки.» (14920).</w:t>
      </w:r>
    </w:p>
    <w:p w14:paraId="4640818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3B732E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июня 1942 г. вышел ПРИКАЗ НКО №0470 О ПОРЯДКЕ ХРАНЕНИЯ И ВЫДАЧИ ВОДКИ ВОЙСКАМ ДЕЙСТВУЮЩЕЙ АРМИИ</w:t>
      </w:r>
    </w:p>
    <w:p w14:paraId="162792B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неоднократные указания и категорические требования о выдаче водки в действующей армии строго по назначению и по установленным нормам, до сих пор не прекращаются случаи незаконной выдачи водки.</w:t>
      </w:r>
    </w:p>
    <w:p w14:paraId="073554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Водка выдается штабам, начсоставу и подразделениям, не имеющим права на ее получение.</w:t>
      </w:r>
    </w:p>
    <w:p w14:paraId="2407A9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Некоторые командиры частей и соединений и начсостав штабов и управлений, пользуясь своим служебным положением, берут водку со складов, не считаясь с приказами и установленным порядком.</w:t>
      </w:r>
    </w:p>
    <w:p w14:paraId="5504C6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Контроль за расходом водки со стороны военных советов фронтов и армий поставлен плохо. Учет водки в частях и складах находится в неудовлетворительном состоянии.</w:t>
      </w:r>
    </w:p>
    <w:p w14:paraId="33527E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Государственного Комитета Обороны от 6 июня с. г. № ГОКО-1889с, приказываю:</w:t>
      </w:r>
    </w:p>
    <w:p w14:paraId="7EC8DD0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Выдачу водки по 100 граммов в сутки на человека производить военнослужащим только тех частей передовой линии, которые ведут наступательные операции.</w:t>
      </w:r>
    </w:p>
    <w:p w14:paraId="7AD385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Всем остальным военнослужащим передовой линии выдачу водки в размере 100 граммов на человека производить в следующие революционные и общественные праздники: в дни годовщины Великой Октябрьской социалистической революции — 7 и 8 ноября, в день Конституции — 5 декабря, в день Нового года — 1 января, в день Красной Армии — 23 февраля, в дни Международного праздника трудящихся — 1 и 2 мая, во Всесоюзный день физкультурника — 19 июля, во Всесоюзный день авиации — 16 августа, а также в день полкового праздника (сформирование части).</w:t>
      </w:r>
    </w:p>
    <w:p w14:paraId="1FB6197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Отпуск водки армиям и соединениям производить только с разрешения начальника тыла Красной Армии по указаниям Генерального штаба Красной Армии, по представлениям военных советов фронтов и армий.</w:t>
      </w:r>
    </w:p>
    <w:p w14:paraId="27FB64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Для хранения водки организовать особые хранилища при фронтовых и армейских продовольственных складах.</w:t>
      </w:r>
    </w:p>
    <w:p w14:paraId="72555CB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Назначить заведующего хранилищем и одного кладовщика из числа специально подобранных честных, проверенных лиц, могущих обеспечить полнейшую сохранность водки.</w:t>
      </w:r>
    </w:p>
    <w:p w14:paraId="4FD2A4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Хранилища после приемно-расходных операций опечатывать, ставить караул.</w:t>
      </w:r>
    </w:p>
    <w:p w14:paraId="5EED9E1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 караула выделять строго проверенных лиц.</w:t>
      </w:r>
    </w:p>
    <w:p w14:paraId="5CD761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Начальникам управлений продовольственного снабжения фронтов и начальникам отделов продовольственного снабжения армий все имеющееся наличие водки в войсках и на складах по состоянию *на 15 июня взять на строгий учет и немедленно передать на хранение в соответствующие фронтовые и армейские склады.</w:t>
      </w:r>
    </w:p>
    <w:p w14:paraId="4DD3AA9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Оформление отпуска водки производить начальнику Главного управления продовольственного снабжения Красной Армии через начальников управлений и отделов продовольственного снабжения фронтов и армий на основе указаний начальника тыла Красной Армии о сроках выдачи и численности состава соединений, которым разрешена выдача водки.</w:t>
      </w:r>
    </w:p>
    <w:p w14:paraId="4C4359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На военные советы фронтов и армий, командиров и военных комиссаров возлагаю ответственность за правильность хранения, расходования и учета водки, водочной посуды и тары.</w:t>
      </w:r>
    </w:p>
    <w:p w14:paraId="4ED6721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Приказ ввести в действие по телеграфу.</w:t>
      </w:r>
    </w:p>
    <w:p w14:paraId="13E2B7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Приказ НКО 1942 г. № 0373* отменить.</w:t>
      </w:r>
    </w:p>
    <w:p w14:paraId="7BB284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Заместитель Народного комиссара обороны СССР генерал-лейтенант интендантской службы ХРУЛЕВ </w:t>
      </w:r>
      <w:r w:rsidRPr="008127F8">
        <w:rPr>
          <w:rFonts w:ascii="Times New Roman" w:hAnsi="Times New Roman"/>
          <w:color w:val="000000" w:themeColor="text1"/>
          <w:sz w:val="16"/>
          <w:szCs w:val="16"/>
        </w:rPr>
        <w:t>(9844).</w:t>
      </w:r>
    </w:p>
    <w:p w14:paraId="0AA1395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213A5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23C7C18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57E1B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июня 1942 Гиммлер представил план депортации в Сибирь 30 млн. славян из оккупированных территорий СССР (4962).</w:t>
      </w:r>
    </w:p>
    <w:p w14:paraId="637AC72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36FA4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702D8C0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62C98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июня 1942 корабль ТБ-7 Пусэпа приземлился на центральном аэродроме в Москве. На перелет из США домой они затратили почти 8 дней, полетное время составило 24 часа 41 минуту. Весь же перелет занял почти 24 дня, полетное время составило 55 часов 27 минут. В тот же день корабль перелетел на родной аэродром Раменское - место базирования 746 АП ДД. По воспоминаниям одного из ветеранов, который служил в этом полку, корабль, при</w:t>
      </w:r>
      <w:r w:rsidRPr="008127F8">
        <w:rPr>
          <w:rFonts w:ascii="Times New Roman" w:hAnsi="Times New Roman"/>
          <w:color w:val="000000" w:themeColor="text1"/>
          <w:sz w:val="16"/>
          <w:szCs w:val="16"/>
        </w:rPr>
        <w:softHyphen/>
        <w:t>бывший из заграницы, был весь в надписях на английском языке, которые оставили на память англичане или американцы. Но, к сожалению, фотографий ТБ-7 №42066 с этими надписями нет. В своих воспомина</w:t>
      </w:r>
      <w:r w:rsidRPr="008127F8">
        <w:rPr>
          <w:rFonts w:ascii="Times New Roman" w:hAnsi="Times New Roman"/>
          <w:color w:val="000000" w:themeColor="text1"/>
          <w:sz w:val="16"/>
          <w:szCs w:val="16"/>
        </w:rPr>
        <w:softHyphen/>
        <w:t>ниях ни Э.К. Пусэп, ни А.П. Штепенко надпи</w:t>
      </w:r>
      <w:r w:rsidRPr="008127F8">
        <w:rPr>
          <w:rFonts w:ascii="Times New Roman" w:hAnsi="Times New Roman"/>
          <w:color w:val="000000" w:themeColor="text1"/>
          <w:sz w:val="16"/>
          <w:szCs w:val="16"/>
        </w:rPr>
        <w:softHyphen/>
        <w:t>си неупоминают.</w:t>
      </w:r>
    </w:p>
    <w:p w14:paraId="4EDA352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перелет Э.К. Пусэпу, А.П. Штепенко и С.М. Романову присвоили звания Героя Советского Союза, С.А. Асямову было при</w:t>
      </w:r>
      <w:r w:rsidRPr="008127F8">
        <w:rPr>
          <w:rFonts w:ascii="Times New Roman" w:hAnsi="Times New Roman"/>
          <w:color w:val="000000" w:themeColor="text1"/>
          <w:sz w:val="16"/>
          <w:szCs w:val="16"/>
        </w:rPr>
        <w:softHyphen/>
        <w:t>своено звание Героя Советского Союза посмертно, В.М. Обухов, А.Я. Золаторев и В.И. Дмитриев были награждены орденами Ленина, орденами и медалями были награж</w:t>
      </w:r>
      <w:r w:rsidRPr="008127F8">
        <w:rPr>
          <w:rFonts w:ascii="Times New Roman" w:hAnsi="Times New Roman"/>
          <w:color w:val="000000" w:themeColor="text1"/>
          <w:sz w:val="16"/>
          <w:szCs w:val="16"/>
        </w:rPr>
        <w:softHyphen/>
        <w:t>дены и все остальные члены экипажа. Ну а дальше началась обычная боевая работа (19936).</w:t>
      </w:r>
    </w:p>
    <w:p w14:paraId="243615B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9EB498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июня 1942 г. было опубликовано советско-американское коммюнике о посещении Вашингтона народным комиссаром иностранных дел СССР (7430).</w:t>
      </w:r>
    </w:p>
    <w:p w14:paraId="627056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BF988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12 июня</w:t>
      </w:r>
      <w:r w:rsidRPr="008127F8">
        <w:rPr>
          <w:rFonts w:ascii="Times New Roman" w:hAnsi="Times New Roman"/>
          <w:color w:val="000000" w:themeColor="text1"/>
          <w:sz w:val="16"/>
          <w:szCs w:val="16"/>
        </w:rPr>
        <w:t xml:space="preserve"> в 1942 году опубликованы советско-английское и советско-американское коммюнике о договоренности, касающейся открытия второго фронта в Европе в 1942 (14920).</w:t>
      </w:r>
    </w:p>
    <w:p w14:paraId="734B052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012678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июня 1942 обнародовано заявление СССР, США и Англии об открытии Второго фронта в 1942 г. (4962).</w:t>
      </w:r>
    </w:p>
    <w:p w14:paraId="7D1AEB0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B759D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июня 1942 были опубликованы советско-британское и советско-американское коммюнике о договоренности об открытии второго фронта в Европе в 1942 (3186).</w:t>
      </w:r>
    </w:p>
    <w:p w14:paraId="70FE4EF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284C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июня 1942 были установлены дипотношения между СССР и Канадой (3186).</w:t>
      </w:r>
    </w:p>
    <w:p w14:paraId="101DAE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A9CD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563155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BBF96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12 июня</w:t>
      </w:r>
      <w:r w:rsidRPr="008127F8">
        <w:rPr>
          <w:rFonts w:ascii="Times New Roman" w:hAnsi="Times New Roman"/>
          <w:color w:val="000000" w:themeColor="text1"/>
          <w:sz w:val="16"/>
          <w:szCs w:val="16"/>
        </w:rPr>
        <w:t xml:space="preserve"> в 1942 году первый полет самолета «F.9/40» с двигателем "Уэллэнд" тягой 725 кг., прототипа истребителя </w:t>
      </w:r>
      <w:hyperlink r:id="rId76" w:tgtFrame="_blank" w:history="1">
        <w:r w:rsidRPr="008127F8">
          <w:rPr>
            <w:rFonts w:ascii="Times New Roman" w:hAnsi="Times New Roman"/>
            <w:color w:val="000000" w:themeColor="text1"/>
            <w:sz w:val="16"/>
            <w:szCs w:val="16"/>
          </w:rPr>
          <w:t>«Gloster» «Meteor» «F Mk.I».</w:t>
        </w:r>
      </w:hyperlink>
    </w:p>
    <w:p w14:paraId="6F5B333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8C7ABA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12 июня</w:t>
      </w:r>
      <w:r w:rsidRPr="008127F8">
        <w:rPr>
          <w:rFonts w:ascii="Times New Roman" w:hAnsi="Times New Roman"/>
          <w:color w:val="000000" w:themeColor="text1"/>
          <w:sz w:val="16"/>
          <w:szCs w:val="16"/>
        </w:rPr>
        <w:t xml:space="preserve"> в 1942 году Гиммлер представил план депортации в Сибирь 30 млн. славян из оккупированных территорий СССР (14920).</w:t>
      </w:r>
    </w:p>
    <w:p w14:paraId="3F11F3C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EC1CA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 12th, 1942: The British convoys Harpoon and Vigorous bound for Malta and Alexandria from Gibraltar are attacked by Axis aircraft which sink 6 merchant ships and 6 escort vessels. The Italian cruiser Trento is sunk by British naval aircraft (3819).</w:t>
      </w:r>
    </w:p>
    <w:p w14:paraId="5B7A978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9131E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июня 1942 британские конвои Гарпун и Vogorous направляющихся на Мальту и в Александрию из Гибралтара, были атакованы авиацией оси и потеряли 6 транспортов и 6 кораблей охранения. Итальянский крейсер Тренто был потоплен британским самолетом (3819).</w:t>
      </w:r>
    </w:p>
    <w:p w14:paraId="3D78CCC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53FB5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июня 1942 американцы первый раз бомбили нефтепромыслы в Плоешти (2100) на 30 В-24 из Египта (2255).</w:t>
      </w:r>
    </w:p>
    <w:p w14:paraId="56DE937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CC52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40817A1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3624F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июня 1942 был подписан протокол заседания комиссии по вопросу о поломке лонжеронов РВ. п.п. ГК Ил-2 С.В.И., нач. управления эксплуатации ВВС Селезнев, ГИ завода 1 Литвинов, ГИ завода 18 Востров:</w:t>
      </w:r>
    </w:p>
    <w:p w14:paraId="3235ED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13 июля 1942 имели место 4 случая поломки лонжеронов РВ самолетов Ил-2 производства завода 18.</w:t>
      </w:r>
    </w:p>
    <w:p w14:paraId="59D8CD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Один из случаев (5-6 июня 1942) закончился катастрофой и гибелью л</w:t>
      </w:r>
    </w:p>
    <w:p w14:paraId="6D4DFF5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Поломки РВ произошли вследствие того, что лонжерон РВ был сделан не из цельнотянутой, как это требуется по чертежу, а из трубы, согнутой из листового материала, толщиной 2 мм</w:t>
      </w:r>
    </w:p>
    <w:p w14:paraId="644A0C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18 допустил, это изменение в серию за отсутствием цельнотянутых труб, размером 60х65 мм</w:t>
      </w:r>
    </w:p>
    <w:p w14:paraId="07C84E2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Разрушение согнутой из листового дюраля трубы, происходит по заклепочному шву трубы, идущему вдоль ее оси. Сначала происходит срезание заклепок с дальнейшим раскрытием трубы, и как следствие этого, происходит потеря жесткости и устойчивости.</w:t>
      </w:r>
    </w:p>
    <w:p w14:paraId="2A6A30B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в свою очередь вызывает увеличение амплитуды колебаний РВ и вибрацию хвостового оперения.</w:t>
      </w:r>
    </w:p>
    <w:p w14:paraId="46DC99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Причиной катастрофы 9 июля были вибрации хвостового оперения (1678,3).</w:t>
      </w:r>
    </w:p>
    <w:p w14:paraId="180AF0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BBDD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июня 1942 г. Поста</w:t>
      </w:r>
      <w:r w:rsidRPr="008127F8">
        <w:rPr>
          <w:rFonts w:ascii="Times New Roman" w:hAnsi="Times New Roman"/>
          <w:color w:val="000000" w:themeColor="text1"/>
          <w:sz w:val="16"/>
          <w:szCs w:val="16"/>
        </w:rPr>
        <w:softHyphen/>
        <w:t>новлением ГКО механический прицел ОКБ 18-го авиазавода под шифром ВВ-1 (воздушный визир первый) был запу</w:t>
      </w:r>
      <w:r w:rsidRPr="008127F8">
        <w:rPr>
          <w:rFonts w:ascii="Times New Roman" w:hAnsi="Times New Roman"/>
          <w:color w:val="000000" w:themeColor="text1"/>
          <w:sz w:val="16"/>
          <w:szCs w:val="16"/>
        </w:rPr>
        <w:softHyphen/>
        <w:t>щен в серийное производство для ус</w:t>
      </w:r>
      <w:r w:rsidRPr="008127F8">
        <w:rPr>
          <w:rFonts w:ascii="Times New Roman" w:hAnsi="Times New Roman"/>
          <w:color w:val="000000" w:themeColor="text1"/>
          <w:sz w:val="16"/>
          <w:szCs w:val="16"/>
        </w:rPr>
        <w:softHyphen/>
        <w:t>тановки его на Ил-2 вместо прицела ПБП-16 (6467).</w:t>
      </w:r>
    </w:p>
    <w:p w14:paraId="201DA335" w14:textId="77777777" w:rsidR="007C5583" w:rsidRPr="008E3E76" w:rsidRDefault="007C5583" w:rsidP="008E3E76">
      <w:pPr>
        <w:spacing w:after="0" w:line="240" w:lineRule="auto"/>
        <w:rPr>
          <w:rFonts w:ascii="Times New Roman" w:hAnsi="Times New Roman"/>
          <w:sz w:val="16"/>
          <w:szCs w:val="16"/>
        </w:rPr>
      </w:pPr>
    </w:p>
    <w:p w14:paraId="2C0AF8CE" w14:textId="77777777" w:rsidR="007C5583" w:rsidRPr="008E3E76" w:rsidRDefault="007C5583" w:rsidP="008E3E76">
      <w:pPr>
        <w:spacing w:after="0" w:line="240" w:lineRule="auto"/>
        <w:rPr>
          <w:rFonts w:ascii="Times New Roman" w:hAnsi="Times New Roman"/>
          <w:sz w:val="16"/>
          <w:szCs w:val="16"/>
        </w:rPr>
      </w:pPr>
      <w:r w:rsidRPr="008E3E76">
        <w:rPr>
          <w:rFonts w:ascii="Times New Roman" w:hAnsi="Times New Roman"/>
          <w:sz w:val="16"/>
          <w:szCs w:val="16"/>
        </w:rPr>
        <w:t>13 июня 1942 по распоряжению заместителя ко</w:t>
      </w:r>
      <w:r w:rsidRPr="008E3E76">
        <w:rPr>
          <w:rFonts w:ascii="Times New Roman" w:hAnsi="Times New Roman"/>
          <w:sz w:val="16"/>
          <w:szCs w:val="16"/>
        </w:rPr>
        <w:softHyphen/>
        <w:t>мандующего ВВС КА генерал-лейтенанта Репина начальник УОС ГУ ИАС ВВС бригинженер Лешуков направил в «ЦК ВКП(б) - тов. Шиманову» для озна</w:t>
      </w:r>
      <w:r w:rsidRPr="008E3E76">
        <w:rPr>
          <w:rFonts w:ascii="Times New Roman" w:hAnsi="Times New Roman"/>
          <w:sz w:val="16"/>
          <w:szCs w:val="16"/>
        </w:rPr>
        <w:softHyphen/>
        <w:t>комления акт по государственным испы</w:t>
      </w:r>
      <w:r w:rsidRPr="008E3E76">
        <w:rPr>
          <w:rFonts w:ascii="Times New Roman" w:hAnsi="Times New Roman"/>
          <w:sz w:val="16"/>
          <w:szCs w:val="16"/>
        </w:rPr>
        <w:softHyphen/>
        <w:t>таниям самолета Су-6 М-71, проект поста</w:t>
      </w:r>
      <w:r w:rsidRPr="008E3E76">
        <w:rPr>
          <w:rFonts w:ascii="Times New Roman" w:hAnsi="Times New Roman"/>
          <w:sz w:val="16"/>
          <w:szCs w:val="16"/>
        </w:rPr>
        <w:softHyphen/>
        <w:t>новления ГКО и доклад на имя Сталина. Одновременно Шиманову был направлен отчет по испытаниям И-185 М-71 и про</w:t>
      </w:r>
      <w:r w:rsidRPr="008E3E76">
        <w:rPr>
          <w:rFonts w:ascii="Times New Roman" w:hAnsi="Times New Roman"/>
          <w:sz w:val="16"/>
          <w:szCs w:val="16"/>
        </w:rPr>
        <w:softHyphen/>
        <w:t>ект постановления по нему (19846).</w:t>
      </w:r>
    </w:p>
    <w:p w14:paraId="3BF7B46D" w14:textId="77777777" w:rsidR="007C5583" w:rsidRPr="008E3E76" w:rsidRDefault="007C5583" w:rsidP="008E3E76">
      <w:pPr>
        <w:spacing w:after="0" w:line="240" w:lineRule="auto"/>
        <w:rPr>
          <w:rFonts w:ascii="Times New Roman" w:hAnsi="Times New Roman"/>
          <w:sz w:val="16"/>
          <w:szCs w:val="16"/>
        </w:rPr>
      </w:pPr>
    </w:p>
    <w:p w14:paraId="3F40E73B"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июня 1942 г. Выписка из приказа Наркомата авиационной промышленности СССР о постановке на самолет ТБ-7 мотора М-30</w:t>
      </w:r>
    </w:p>
    <w:p w14:paraId="37F39096"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исполнение постановления ГОКО от 4 июня 1942 г. для увеличения в кратчайшие сроки дальности бомбардировочной авиации, что обеспечивается постановкой на самолеты ТБ-7 и Ер-2 моторов М-30, приказываю:</w:t>
      </w:r>
    </w:p>
    <w:p w14:paraId="15FE8F47"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Заместителю народного комиссара т. Кузнецову В. П.:</w:t>
      </w:r>
    </w:p>
    <w:p w14:paraId="61CB66E4"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организовать на площадях бывшего моторного завода № 82 опытный завод по доводке и производству мелких серий мотора М-30, присвоив ему № 500.</w:t>
      </w:r>
    </w:p>
    <w:p w14:paraId="53371956"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453, находящийся на этой территории, перевести на площади бывшего завода № 261;</w:t>
      </w:r>
    </w:p>
    <w:p w14:paraId="03D3D049"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объединить кадры конструкторов, работающих в настоящее время над разными авиадизелями (конструкторское бюро т. Тулупова, группу т. Яковлева и дизельную группу 4-го спецотдела НКВД) для работы в едином опытно-конструкторском бюро завода № 500, поставив объединенному опытно-конструкторскому бюро в качестве основной задачи быстрейшую доводку мотора М-30 и обеспечение надежной работы этого мотора на самолетах с взлетной мощностью 1500 л. с. и номинальной мощностью 1250 л. с. на высоте 6000 м.</w:t>
      </w:r>
    </w:p>
    <w:p w14:paraId="6FEA4467"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Авиадизельный завод № 500 подчинить 8-му Главному управлению НКАП.</w:t>
      </w:r>
    </w:p>
    <w:p w14:paraId="094F12FD"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Директору завода № 22 т. Окулову, главному конструктору т. Незваль и главному конструктору завода № 500 т. Чаромскому:</w:t>
      </w:r>
    </w:p>
    <w:p w14:paraId="39983938"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обеспечить на самолете ТБ-7 с мотором М-30 получение следующих летных данных самолета:</w:t>
      </w:r>
    </w:p>
    <w:p w14:paraId="1FD7F3DC"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у земли — 360 км/час</w:t>
      </w:r>
    </w:p>
    <w:p w14:paraId="3AB30295"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на высоте 6000 м - 435 км/час</w:t>
      </w:r>
    </w:p>
    <w:p w14:paraId="0076E8CC"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 10000 метров</w:t>
      </w:r>
    </w:p>
    <w:p w14:paraId="6CCD8557"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дальность при полетном весе 35 тонн с бомбовой нагрузкой 1,5 тонн на 0,75 максимальной скорости (325 км/ч) — 6000 км.</w:t>
      </w:r>
    </w:p>
    <w:p w14:paraId="23815365"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дальность при полетном весе 35 тонн, с бомбовой нагрузкой 2 тонны на 0,75 максимальной скорости (325 км/ч) — 5700-6000 км.</w:t>
      </w:r>
    </w:p>
    <w:p w14:paraId="33690137"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оборудовать самолеты ТБ-7 моторами М-30 и передать для опытной летной эксплуатации в часть т. Голованова в следующие сроки:</w:t>
      </w:r>
    </w:p>
    <w:p w14:paraId="5E60654F"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самолет — к 15 июля 1943 года</w:t>
      </w:r>
    </w:p>
    <w:p w14:paraId="331B68BC"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самолетов — не позднее 1 сентября 1942 года.</w:t>
      </w:r>
    </w:p>
    <w:p w14:paraId="3D8DB064"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И. о. директора завода № 500 т. Тулупову обеспечить поставку моторов М-30 с нагнетателями АМ-38 заводам №№ 22 и 240 в следующие сроки:</w:t>
      </w:r>
    </w:p>
    <w:p w14:paraId="7FB4B9BA"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мотора заводу № 240 — 16 июня 1942 года…(23937).</w:t>
      </w:r>
    </w:p>
    <w:p w14:paraId="534606C3" w14:textId="77777777" w:rsidR="008E3E76" w:rsidRPr="008A2E5A" w:rsidRDefault="008E3E76" w:rsidP="008E3E76">
      <w:pPr>
        <w:spacing w:after="0" w:line="240" w:lineRule="auto"/>
        <w:jc w:val="both"/>
        <w:rPr>
          <w:rFonts w:ascii="Times New Roman" w:hAnsi="Times New Roman"/>
          <w:color w:val="0070C0"/>
          <w:sz w:val="16"/>
          <w:szCs w:val="16"/>
        </w:rPr>
      </w:pPr>
    </w:p>
    <w:p w14:paraId="282514D7"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июня 1942 г.:</w:t>
      </w:r>
    </w:p>
    <w:p w14:paraId="319D5472"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Письмо командира 283-го иап Морозова заместителю наркома авиапромышленности А. С.Яковлеву от 13 июля 1942 г., ЦАМО ф. НИИ ВВС оп. 485655 д. 11 л.112-115</w:t>
      </w:r>
    </w:p>
    <w:p w14:paraId="7BBD792B"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Действующая Армия</w:t>
      </w:r>
    </w:p>
    <w:p w14:paraId="2EDE6C12"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Здравствуйте, товарищ Зам.Наркома!</w:t>
      </w:r>
    </w:p>
    <w:p w14:paraId="25E4B559"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Пишет вам это письмо майор Морозов. Мой полк с ма</w:t>
      </w:r>
      <w:r w:rsidRPr="008A2E5A">
        <w:rPr>
          <w:rFonts w:ascii="Times New Roman" w:hAnsi="Times New Roman"/>
          <w:color w:val="0070C0"/>
          <w:sz w:val="16"/>
          <w:szCs w:val="16"/>
        </w:rPr>
        <w:softHyphen/>
        <w:t>шинами вашей конструкции стоял на аэродроме в Чка</w:t>
      </w:r>
      <w:r w:rsidRPr="008A2E5A">
        <w:rPr>
          <w:rFonts w:ascii="Times New Roman" w:hAnsi="Times New Roman"/>
          <w:color w:val="0070C0"/>
          <w:sz w:val="16"/>
          <w:szCs w:val="16"/>
        </w:rPr>
        <w:softHyphen/>
        <w:t>ловской. Там с вашей помощью привели их в порядок, по</w:t>
      </w:r>
      <w:r w:rsidRPr="008A2E5A">
        <w:rPr>
          <w:rFonts w:ascii="Times New Roman" w:hAnsi="Times New Roman"/>
          <w:color w:val="0070C0"/>
          <w:sz w:val="16"/>
          <w:szCs w:val="16"/>
        </w:rPr>
        <w:softHyphen/>
        <w:t>сле чего отправились на фронт, и вот прошло пятнадцать дней, которые позволяют сделать некоторый итог нашей боевой работы и поделиться с вами о хороших качествах вашей машины и замеченных недостатках.</w:t>
      </w:r>
    </w:p>
    <w:p w14:paraId="520DE3C2"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первый день пребывания на фронте мы провели три воздушных боя, два с Ю-88 и один - с Ме-109ф. С Ю-88 пятерка под моим командованием встретилась над полем боя, их было 16 штук. Они шли бомбить боевые порядки на</w:t>
      </w:r>
      <w:r w:rsidRPr="008A2E5A">
        <w:rPr>
          <w:rFonts w:ascii="Times New Roman" w:hAnsi="Times New Roman"/>
          <w:color w:val="0070C0"/>
          <w:sz w:val="16"/>
          <w:szCs w:val="16"/>
        </w:rPr>
        <w:softHyphen/>
        <w:t>ших войск, но, вступив с ними в бой, после короткой схват</w:t>
      </w:r>
      <w:r w:rsidRPr="008A2E5A">
        <w:rPr>
          <w:rFonts w:ascii="Times New Roman" w:hAnsi="Times New Roman"/>
          <w:color w:val="0070C0"/>
          <w:sz w:val="16"/>
          <w:szCs w:val="16"/>
        </w:rPr>
        <w:softHyphen/>
        <w:t>ки, я поджег одного из них, вслед за ним сбил второго Ге</w:t>
      </w:r>
      <w:r w:rsidRPr="008A2E5A">
        <w:rPr>
          <w:rFonts w:ascii="Times New Roman" w:hAnsi="Times New Roman"/>
          <w:color w:val="0070C0"/>
          <w:sz w:val="16"/>
          <w:szCs w:val="16"/>
        </w:rPr>
        <w:softHyphen/>
        <w:t>рой Советского Союза старший лейтенант Галкин и третье</w:t>
      </w:r>
      <w:r w:rsidRPr="008A2E5A">
        <w:rPr>
          <w:rFonts w:ascii="Times New Roman" w:hAnsi="Times New Roman"/>
          <w:color w:val="0070C0"/>
          <w:sz w:val="16"/>
          <w:szCs w:val="16"/>
        </w:rPr>
        <w:softHyphen/>
        <w:t>го сбил лейтенант Грищенко. Было произведено еще по че</w:t>
      </w:r>
      <w:r w:rsidRPr="008A2E5A">
        <w:rPr>
          <w:rFonts w:ascii="Times New Roman" w:hAnsi="Times New Roman"/>
          <w:color w:val="0070C0"/>
          <w:sz w:val="16"/>
          <w:szCs w:val="16"/>
        </w:rPr>
        <w:softHyphen/>
        <w:t>тырем несколько атак, и они сильно поврежденные ушли на свою территорию. Ни один фашистский самолет не успел сбросить бомбы на наши войска, а побросали на свою тер</w:t>
      </w:r>
      <w:r w:rsidRPr="008A2E5A">
        <w:rPr>
          <w:rFonts w:ascii="Times New Roman" w:hAnsi="Times New Roman"/>
          <w:color w:val="0070C0"/>
          <w:sz w:val="16"/>
          <w:szCs w:val="16"/>
        </w:rPr>
        <w:softHyphen/>
        <w:t>риторию, и ушли восвояси. Мы могли бы сбить больше, но вооружение слабовато. Если бы вместо ШКАС стояли БС, то наверняка было бы сбито еще три-пять Ю-88. В этот день во второй вылет мы сбили (старший лейтенант Рябенко) еще один Ю-88, и здесь мы завязали бой с 18 Ме-109ф (нас было восемь). Сразу после встречи мы поняли, что Як-7 гораздо маневреннее на вираже, и что он еще боль</w:t>
      </w:r>
      <w:r w:rsidRPr="008A2E5A">
        <w:rPr>
          <w:rFonts w:ascii="Times New Roman" w:hAnsi="Times New Roman"/>
          <w:color w:val="0070C0"/>
          <w:sz w:val="16"/>
          <w:szCs w:val="16"/>
        </w:rPr>
        <w:softHyphen/>
        <w:t>ше превосходит самолет противника в маневре с подняти</w:t>
      </w:r>
      <w:r w:rsidRPr="008A2E5A">
        <w:rPr>
          <w:rFonts w:ascii="Times New Roman" w:hAnsi="Times New Roman"/>
          <w:color w:val="0070C0"/>
          <w:sz w:val="16"/>
          <w:szCs w:val="16"/>
        </w:rPr>
        <w:softHyphen/>
        <w:t>ем на высоту от 4000 м и выше. После короткой схватки я и мои товарищи сумели завлечь противника на высоту 5000 м. Я вел бой с четырьмя Ме-109ф, также с четырьмя вел бой и Герой Советского Союза старший лейтенант Галкин. На 10-й минуте боя я сбил один Ме-109ф, после этого Гал</w:t>
      </w:r>
      <w:r w:rsidRPr="008A2E5A">
        <w:rPr>
          <w:rFonts w:ascii="Times New Roman" w:hAnsi="Times New Roman"/>
          <w:color w:val="0070C0"/>
          <w:sz w:val="16"/>
          <w:szCs w:val="16"/>
        </w:rPr>
        <w:softHyphen/>
        <w:t>киным был сбит еще один Ме-109ф. Несмотря на их коли</w:t>
      </w:r>
      <w:r w:rsidRPr="008A2E5A">
        <w:rPr>
          <w:rFonts w:ascii="Times New Roman" w:hAnsi="Times New Roman"/>
          <w:color w:val="0070C0"/>
          <w:sz w:val="16"/>
          <w:szCs w:val="16"/>
        </w:rPr>
        <w:softHyphen/>
        <w:t>чественное превосходство, они не могли ничего сделать с нами, так как Як-7 позволял нам маневрировать, как нам хо</w:t>
      </w:r>
      <w:r w:rsidRPr="008A2E5A">
        <w:rPr>
          <w:rFonts w:ascii="Times New Roman" w:hAnsi="Times New Roman"/>
          <w:color w:val="0070C0"/>
          <w:sz w:val="16"/>
          <w:szCs w:val="16"/>
        </w:rPr>
        <w:softHyphen/>
        <w:t>телось, и хваленые фашистские стервятники не смогли пу</w:t>
      </w:r>
      <w:r w:rsidRPr="008A2E5A">
        <w:rPr>
          <w:rFonts w:ascii="Times New Roman" w:hAnsi="Times New Roman"/>
          <w:color w:val="0070C0"/>
          <w:sz w:val="16"/>
          <w:szCs w:val="16"/>
        </w:rPr>
        <w:softHyphen/>
        <w:t>стить по нас очереди. Сходясь на равных условиях, Як-7 за один-два виража заходил в хвост Ме-109ф. Но и здесь нас немного подвело вооружение: у ШВАК почти на всех само</w:t>
      </w:r>
      <w:r w:rsidRPr="008A2E5A">
        <w:rPr>
          <w:rFonts w:ascii="Times New Roman" w:hAnsi="Times New Roman"/>
          <w:color w:val="0070C0"/>
          <w:sz w:val="16"/>
          <w:szCs w:val="16"/>
        </w:rPr>
        <w:softHyphen/>
        <w:t>летах была неотдача. Я в течение 30 минут дрался с двумя Ме-109ф без вооружения, сидел у них в хвосте и заставил их уйти. В этот день мы сбили шесть фашистских самоле</w:t>
      </w:r>
      <w:r w:rsidRPr="008A2E5A">
        <w:rPr>
          <w:rFonts w:ascii="Times New Roman" w:hAnsi="Times New Roman"/>
          <w:color w:val="0070C0"/>
          <w:sz w:val="16"/>
          <w:szCs w:val="16"/>
        </w:rPr>
        <w:softHyphen/>
        <w:t>тов, потеряли свой один и лишь только потому, что у него не убрались шасси, не стали на замок (дефект завода).</w:t>
      </w:r>
    </w:p>
    <w:p w14:paraId="79E76DCD"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второй день, ведя воздушный бой, наша шестер</w:t>
      </w:r>
      <w:r w:rsidRPr="008A2E5A">
        <w:rPr>
          <w:rFonts w:ascii="Times New Roman" w:hAnsi="Times New Roman"/>
          <w:color w:val="0070C0"/>
          <w:sz w:val="16"/>
          <w:szCs w:val="16"/>
        </w:rPr>
        <w:softHyphen/>
        <w:t>ка Як-7 с 9 Ме-109ф также одержала победу. Лейтенант Филатов сбил двух Me-109ф и одного Хш-126. Лейтенант Грищенко сбил третьего Me-109ф, после чего стервятни</w:t>
      </w:r>
      <w:r w:rsidRPr="008A2E5A">
        <w:rPr>
          <w:rFonts w:ascii="Times New Roman" w:hAnsi="Times New Roman"/>
          <w:color w:val="0070C0"/>
          <w:sz w:val="16"/>
          <w:szCs w:val="16"/>
        </w:rPr>
        <w:softHyphen/>
        <w:t>ки немедленно удрали.</w:t>
      </w:r>
    </w:p>
    <w:p w14:paraId="3E6C59FE"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пятнадцать дней боевой работы мы в воздушных боях сбили 17 самолетов противника и подбили 8. Фа</w:t>
      </w:r>
      <w:r w:rsidRPr="008A2E5A">
        <w:rPr>
          <w:rFonts w:ascii="Times New Roman" w:hAnsi="Times New Roman"/>
          <w:color w:val="0070C0"/>
          <w:sz w:val="16"/>
          <w:szCs w:val="16"/>
        </w:rPr>
        <w:softHyphen/>
        <w:t>шисты теперь узнали Як-7 и в открытый честный бой уже не вступают, а ждут, когда кто-нибудь зазевается, но это</w:t>
      </w:r>
      <w:r w:rsidRPr="008A2E5A">
        <w:rPr>
          <w:rFonts w:ascii="Times New Roman" w:hAnsi="Times New Roman"/>
          <w:color w:val="0070C0"/>
          <w:sz w:val="16"/>
          <w:szCs w:val="16"/>
        </w:rPr>
        <w:softHyphen/>
        <w:t>го они не дождутся. Як-7 показал прекрасные летные ка</w:t>
      </w:r>
      <w:r w:rsidRPr="008A2E5A">
        <w:rPr>
          <w:rFonts w:ascii="Times New Roman" w:hAnsi="Times New Roman"/>
          <w:color w:val="0070C0"/>
          <w:sz w:val="16"/>
          <w:szCs w:val="16"/>
        </w:rPr>
        <w:softHyphen/>
        <w:t>чества, ему не хватает только немного скорости, мотор слабоват и имеет много дефектов. Если за счет усиления мощности мотора прибавить скоростенки километров 50-70 и усилить вооружение, нам тогда никакого друго</w:t>
      </w:r>
      <w:r w:rsidRPr="008A2E5A">
        <w:rPr>
          <w:rFonts w:ascii="Times New Roman" w:hAnsi="Times New Roman"/>
          <w:color w:val="0070C0"/>
          <w:sz w:val="16"/>
          <w:szCs w:val="16"/>
        </w:rPr>
        <w:softHyphen/>
        <w:t>го самолета не нужно, и количество сбитых стервятников удвоится и утроится.</w:t>
      </w:r>
    </w:p>
    <w:p w14:paraId="5DC53D50"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Работая на этом самолете, летчики моего полка бук</w:t>
      </w:r>
      <w:r w:rsidRPr="008A2E5A">
        <w:rPr>
          <w:rFonts w:ascii="Times New Roman" w:hAnsi="Times New Roman"/>
          <w:color w:val="0070C0"/>
          <w:sz w:val="16"/>
          <w:szCs w:val="16"/>
        </w:rPr>
        <w:softHyphen/>
        <w:t>вально влюбились в него, и их теперь за уши не перетя</w:t>
      </w:r>
      <w:r w:rsidRPr="008A2E5A">
        <w:rPr>
          <w:rFonts w:ascii="Times New Roman" w:hAnsi="Times New Roman"/>
          <w:color w:val="0070C0"/>
          <w:sz w:val="16"/>
          <w:szCs w:val="16"/>
        </w:rPr>
        <w:softHyphen/>
        <w:t>нешь на другой тип, а летчики соседних полков смотрят на нас с завистью.</w:t>
      </w:r>
    </w:p>
    <w:p w14:paraId="72CE104F"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Мы могли бы цифру сбитых самолетов увеличить за этот же срок вдвое, втрое, вот только наша беда в том, что мы по некоторым обстоятельствам вступили в бой не полным полком, а 13-ю самолетами и в воздух вылета</w:t>
      </w:r>
      <w:r w:rsidRPr="008A2E5A">
        <w:rPr>
          <w:rFonts w:ascii="Times New Roman" w:hAnsi="Times New Roman"/>
          <w:color w:val="0070C0"/>
          <w:sz w:val="16"/>
          <w:szCs w:val="16"/>
        </w:rPr>
        <w:softHyphen/>
        <w:t>ли не больше 8-ми. Летчики сейчас все уверены в вашей машине и все умело ведут бой. Самолет вашей конструк</w:t>
      </w:r>
      <w:r w:rsidRPr="008A2E5A">
        <w:rPr>
          <w:rFonts w:ascii="Times New Roman" w:hAnsi="Times New Roman"/>
          <w:color w:val="0070C0"/>
          <w:sz w:val="16"/>
          <w:szCs w:val="16"/>
        </w:rPr>
        <w:softHyphen/>
        <w:t>ции стал грозой для немчуры, и они не стали теперь таки</w:t>
      </w:r>
      <w:r w:rsidRPr="008A2E5A">
        <w:rPr>
          <w:rFonts w:ascii="Times New Roman" w:hAnsi="Times New Roman"/>
          <w:color w:val="0070C0"/>
          <w:sz w:val="16"/>
          <w:szCs w:val="16"/>
        </w:rPr>
        <w:softHyphen/>
        <w:t>ми нахальными на этом участке фронта, какими были до нашего прихода. Летчики-истребители соседних полков сказали нам не одно спасибо за то, что мы их прикрывали от Me-109 и каждый раз разгоняли их.</w:t>
      </w:r>
    </w:p>
    <w:p w14:paraId="66549644"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другими самолетами они очень охотно вступают в бой, а от нас немедленно удирают, даже имея численное пре</w:t>
      </w:r>
      <w:r w:rsidRPr="008A2E5A">
        <w:rPr>
          <w:rFonts w:ascii="Times New Roman" w:hAnsi="Times New Roman"/>
          <w:color w:val="0070C0"/>
          <w:sz w:val="16"/>
          <w:szCs w:val="16"/>
        </w:rPr>
        <w:softHyphen/>
        <w:t>восходство. Летчики бомбардировочной и штурмовой ави</w:t>
      </w:r>
      <w:r w:rsidRPr="008A2E5A">
        <w:rPr>
          <w:rFonts w:ascii="Times New Roman" w:hAnsi="Times New Roman"/>
          <w:color w:val="0070C0"/>
          <w:sz w:val="16"/>
          <w:szCs w:val="16"/>
        </w:rPr>
        <w:softHyphen/>
        <w:t>ации также прислали не одну благодарность нам за сопро</w:t>
      </w:r>
      <w:r w:rsidRPr="008A2E5A">
        <w:rPr>
          <w:rFonts w:ascii="Times New Roman" w:hAnsi="Times New Roman"/>
          <w:color w:val="0070C0"/>
          <w:sz w:val="16"/>
          <w:szCs w:val="16"/>
        </w:rPr>
        <w:softHyphen/>
        <w:t>вождение, и просят командование, чтобы сопровождали их мы. Нам это очень приятно, немчура не один раз, видимо, вспомянула вас плохим словом за этот самолет, а мы благо</w:t>
      </w:r>
      <w:r w:rsidRPr="008A2E5A">
        <w:rPr>
          <w:rFonts w:ascii="Times New Roman" w:hAnsi="Times New Roman"/>
          <w:color w:val="0070C0"/>
          <w:sz w:val="16"/>
          <w:szCs w:val="16"/>
        </w:rPr>
        <w:softHyphen/>
        <w:t>дарим вас. Постараемся заставить их еще больше бояться Як-7. Вот только маловато их у меня; было бы 20 штук, тогда немчура запела бы в три голоса «матушку-речку». В этом же письме я решил попросить вас (это в вашей силе и власти), если можно, подбросить нам штук 7-10 Як-7 с Б.С.М. или таких же, на которых мы деремся. Если это будет выполне</w:t>
      </w:r>
      <w:r w:rsidRPr="008A2E5A">
        <w:rPr>
          <w:rFonts w:ascii="Times New Roman" w:hAnsi="Times New Roman"/>
          <w:color w:val="0070C0"/>
          <w:sz w:val="16"/>
          <w:szCs w:val="16"/>
        </w:rPr>
        <w:softHyphen/>
        <w:t>но, клянемся вам, что вам краснеть за нашу работу не при</w:t>
      </w:r>
      <w:r w:rsidRPr="008A2E5A">
        <w:rPr>
          <w:rFonts w:ascii="Times New Roman" w:hAnsi="Times New Roman"/>
          <w:color w:val="0070C0"/>
          <w:sz w:val="16"/>
          <w:szCs w:val="16"/>
        </w:rPr>
        <w:softHyphen/>
        <w:t>дется, на них будут драться летчики обстрелянные и опыт</w:t>
      </w:r>
      <w:r w:rsidRPr="008A2E5A">
        <w:rPr>
          <w:rFonts w:ascii="Times New Roman" w:hAnsi="Times New Roman"/>
          <w:color w:val="0070C0"/>
          <w:sz w:val="16"/>
          <w:szCs w:val="16"/>
        </w:rPr>
        <w:softHyphen/>
        <w:t>ные, к тому же влюбленные в Як-7, и вы услышите о нашей работе и от нас, и от Информбюро, лишь бы только была ра</w:t>
      </w:r>
      <w:r w:rsidRPr="008A2E5A">
        <w:rPr>
          <w:rFonts w:ascii="Times New Roman" w:hAnsi="Times New Roman"/>
          <w:color w:val="0070C0"/>
          <w:sz w:val="16"/>
          <w:szCs w:val="16"/>
        </w:rPr>
        <w:softHyphen/>
        <w:t>ботенка, а уж если попадутся, то не уйдут.</w:t>
      </w:r>
    </w:p>
    <w:p w14:paraId="56159A60"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этот срок личный состав получил три благодарности Военного Совета фронта и одну от командования груп</w:t>
      </w:r>
      <w:r w:rsidRPr="008A2E5A">
        <w:rPr>
          <w:rFonts w:ascii="Times New Roman" w:hAnsi="Times New Roman"/>
          <w:color w:val="0070C0"/>
          <w:sz w:val="16"/>
          <w:szCs w:val="16"/>
        </w:rPr>
        <w:softHyphen/>
        <w:t>пы. Семь человек представлены к правительственной на</w:t>
      </w:r>
      <w:r w:rsidRPr="008A2E5A">
        <w:rPr>
          <w:rFonts w:ascii="Times New Roman" w:hAnsi="Times New Roman"/>
          <w:color w:val="0070C0"/>
          <w:sz w:val="16"/>
          <w:szCs w:val="16"/>
        </w:rPr>
        <w:softHyphen/>
        <w:t>граде и восемь человек награждены часами командова</w:t>
      </w:r>
      <w:r w:rsidRPr="008A2E5A">
        <w:rPr>
          <w:rFonts w:ascii="Times New Roman" w:hAnsi="Times New Roman"/>
          <w:color w:val="0070C0"/>
          <w:sz w:val="16"/>
          <w:szCs w:val="16"/>
        </w:rPr>
        <w:softHyphen/>
        <w:t>нием ВВС фронта. О нас знают части фронта. Нас узнал и отведал качества Як-7 и враг. Будут о нас знать больше, этому порукой желание всего состава работать на Як-7, и личный состав уверен в том, что вы окажете нам дове</w:t>
      </w:r>
      <w:r w:rsidRPr="008A2E5A">
        <w:rPr>
          <w:rFonts w:ascii="Times New Roman" w:hAnsi="Times New Roman"/>
          <w:color w:val="0070C0"/>
          <w:sz w:val="16"/>
          <w:szCs w:val="16"/>
        </w:rPr>
        <w:softHyphen/>
        <w:t>рие и дадите нам 7-10 Як-7, а доверие мы оправдаем, и самолет вашей конструкции не опозорим. Таких самоле</w:t>
      </w:r>
      <w:r w:rsidRPr="008A2E5A">
        <w:rPr>
          <w:rFonts w:ascii="Times New Roman" w:hAnsi="Times New Roman"/>
          <w:color w:val="0070C0"/>
          <w:sz w:val="16"/>
          <w:szCs w:val="16"/>
        </w:rPr>
        <w:softHyphen/>
        <w:t>тов, как Як-7, у нас еще не было, да, пожалуй, и нет. Это заявляем мы, летчики, которые летали на всех современ</w:t>
      </w:r>
      <w:r w:rsidRPr="008A2E5A">
        <w:rPr>
          <w:rFonts w:ascii="Times New Roman" w:hAnsi="Times New Roman"/>
          <w:color w:val="0070C0"/>
          <w:sz w:val="16"/>
          <w:szCs w:val="16"/>
        </w:rPr>
        <w:softHyphen/>
        <w:t>ных типах.</w:t>
      </w:r>
    </w:p>
    <w:p w14:paraId="15D02F64"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Жду от вас ответа.</w:t>
      </w:r>
    </w:p>
    <w:p w14:paraId="6EB6D2FC"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свидания.</w:t>
      </w:r>
    </w:p>
    <w:p w14:paraId="76C90E92" w14:textId="77777777" w:rsidR="008E3E76" w:rsidRPr="008A2E5A" w:rsidRDefault="008E3E76" w:rsidP="008E3E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Командир 283-го иап майор Морозов (23381).</w:t>
      </w:r>
    </w:p>
    <w:p w14:paraId="1A40EF27" w14:textId="77777777" w:rsidR="008E3E76" w:rsidRPr="008A2E5A" w:rsidRDefault="008E3E76" w:rsidP="008E3E76">
      <w:pPr>
        <w:spacing w:after="0" w:line="240" w:lineRule="auto"/>
        <w:jc w:val="both"/>
        <w:rPr>
          <w:rFonts w:ascii="Times New Roman" w:hAnsi="Times New Roman"/>
          <w:color w:val="0070C0"/>
          <w:sz w:val="16"/>
          <w:szCs w:val="16"/>
        </w:rPr>
      </w:pPr>
    </w:p>
    <w:p w14:paraId="28D19F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июня 1942 года начальник планово-экономического отдела НКАП Голубцов.</w:t>
      </w:r>
    </w:p>
    <w:p w14:paraId="0CD82C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Дополнительный прейскурант</w:t>
      </w:r>
    </w:p>
    <w:p w14:paraId="5C405A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самолетов, моторов и планеров на 1942 год</w:t>
      </w:r>
    </w:p>
    <w:p w14:paraId="2BDE1C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(производства заводов НКАП)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2268"/>
        <w:gridCol w:w="1386"/>
        <w:gridCol w:w="1165"/>
        <w:gridCol w:w="1984"/>
      </w:tblGrid>
      <w:tr w:rsidR="007C5583" w:rsidRPr="008127F8" w14:paraId="45E701E9" w14:textId="77777777" w:rsidTr="004C5D62">
        <w:tc>
          <w:tcPr>
            <w:tcW w:w="3794" w:type="dxa"/>
            <w:tcBorders>
              <w:top w:val="single" w:sz="12" w:space="0" w:color="auto"/>
            </w:tcBorders>
          </w:tcPr>
          <w:p w14:paraId="0304A97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Самолеты (без моторов) в тыс. рубл. за единицу</w:t>
            </w:r>
          </w:p>
        </w:tc>
        <w:tc>
          <w:tcPr>
            <w:tcW w:w="2268" w:type="dxa"/>
            <w:tcBorders>
              <w:top w:val="single" w:sz="12" w:space="0" w:color="auto"/>
            </w:tcBorders>
          </w:tcPr>
          <w:p w14:paraId="64E4FEE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Borders>
              <w:top w:val="single" w:sz="12" w:space="0" w:color="auto"/>
            </w:tcBorders>
          </w:tcPr>
          <w:p w14:paraId="4014069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65" w:type="dxa"/>
            <w:tcBorders>
              <w:top w:val="single" w:sz="12" w:space="0" w:color="auto"/>
            </w:tcBorders>
          </w:tcPr>
          <w:p w14:paraId="5B4DA67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Borders>
              <w:top w:val="single" w:sz="12" w:space="0" w:color="auto"/>
            </w:tcBorders>
          </w:tcPr>
          <w:p w14:paraId="4CF74A3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9371E6F" w14:textId="77777777" w:rsidTr="004C5D62">
        <w:tc>
          <w:tcPr>
            <w:tcW w:w="3794" w:type="dxa"/>
          </w:tcPr>
          <w:p w14:paraId="4A4130F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w:t>
            </w:r>
          </w:p>
        </w:tc>
        <w:tc>
          <w:tcPr>
            <w:tcW w:w="2268" w:type="dxa"/>
          </w:tcPr>
          <w:p w14:paraId="420168F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самолетов</w:t>
            </w:r>
          </w:p>
        </w:tc>
        <w:tc>
          <w:tcPr>
            <w:tcW w:w="1386" w:type="dxa"/>
          </w:tcPr>
          <w:p w14:paraId="4B24029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w:t>
            </w:r>
          </w:p>
        </w:tc>
        <w:tc>
          <w:tcPr>
            <w:tcW w:w="1165" w:type="dxa"/>
          </w:tcPr>
          <w:p w14:paraId="3F849CF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Цена на</w:t>
            </w:r>
          </w:p>
        </w:tc>
        <w:tc>
          <w:tcPr>
            <w:tcW w:w="1984" w:type="dxa"/>
          </w:tcPr>
          <w:p w14:paraId="5D87AE5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w:t>
            </w:r>
          </w:p>
        </w:tc>
      </w:tr>
      <w:tr w:rsidR="007C5583" w:rsidRPr="008127F8" w14:paraId="45AC7ED1" w14:textId="77777777" w:rsidTr="004C5D62">
        <w:tc>
          <w:tcPr>
            <w:tcW w:w="3794" w:type="dxa"/>
          </w:tcPr>
          <w:p w14:paraId="12976D5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изготовит.</w:t>
            </w:r>
          </w:p>
        </w:tc>
        <w:tc>
          <w:tcPr>
            <w:tcW w:w="2268" w:type="dxa"/>
          </w:tcPr>
          <w:p w14:paraId="564A03A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707B438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договорн.</w:t>
            </w:r>
          </w:p>
        </w:tc>
        <w:tc>
          <w:tcPr>
            <w:tcW w:w="1165" w:type="dxa"/>
          </w:tcPr>
          <w:p w14:paraId="43DBA4A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984" w:type="dxa"/>
          </w:tcPr>
          <w:p w14:paraId="5C47B30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ABBC2B1" w14:textId="77777777" w:rsidTr="004C5D62">
        <w:tc>
          <w:tcPr>
            <w:tcW w:w="3794" w:type="dxa"/>
          </w:tcPr>
          <w:p w14:paraId="0589FF4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A12269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455F881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цены</w:t>
            </w:r>
          </w:p>
        </w:tc>
        <w:tc>
          <w:tcPr>
            <w:tcW w:w="1165" w:type="dxa"/>
          </w:tcPr>
          <w:p w14:paraId="7CF478E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49CFFA2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366FDF1" w14:textId="77777777" w:rsidTr="004C5D62">
        <w:tc>
          <w:tcPr>
            <w:tcW w:w="3794" w:type="dxa"/>
          </w:tcPr>
          <w:p w14:paraId="2028E01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B287E8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Як-7 (М-105П)</w:t>
            </w:r>
          </w:p>
        </w:tc>
        <w:tc>
          <w:tcPr>
            <w:tcW w:w="1386" w:type="dxa"/>
          </w:tcPr>
          <w:p w14:paraId="3B8B148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65" w:type="dxa"/>
          </w:tcPr>
          <w:p w14:paraId="619E5E5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105,0</w:t>
            </w:r>
          </w:p>
        </w:tc>
        <w:tc>
          <w:tcPr>
            <w:tcW w:w="1984" w:type="dxa"/>
          </w:tcPr>
          <w:p w14:paraId="1395583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C928CC5" w14:textId="77777777" w:rsidTr="004C5D62">
        <w:tc>
          <w:tcPr>
            <w:tcW w:w="3794" w:type="dxa"/>
          </w:tcPr>
          <w:p w14:paraId="0128E1F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8718B4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Ил-2 (М-38)</w:t>
            </w:r>
          </w:p>
        </w:tc>
        <w:tc>
          <w:tcPr>
            <w:tcW w:w="1386" w:type="dxa"/>
          </w:tcPr>
          <w:p w14:paraId="56F93F1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480,0</w:t>
            </w:r>
          </w:p>
        </w:tc>
        <w:tc>
          <w:tcPr>
            <w:tcW w:w="1165" w:type="dxa"/>
          </w:tcPr>
          <w:p w14:paraId="32F65D5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257,0</w:t>
            </w:r>
          </w:p>
        </w:tc>
        <w:tc>
          <w:tcPr>
            <w:tcW w:w="1984" w:type="dxa"/>
          </w:tcPr>
          <w:p w14:paraId="3066A3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2F36A8A2" w14:textId="77777777" w:rsidTr="004C5D62">
        <w:tc>
          <w:tcPr>
            <w:tcW w:w="3794" w:type="dxa"/>
          </w:tcPr>
          <w:p w14:paraId="4D2F415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8E9EC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Ил-2 (АМ-38)</w:t>
            </w:r>
          </w:p>
        </w:tc>
        <w:tc>
          <w:tcPr>
            <w:tcW w:w="1386" w:type="dxa"/>
          </w:tcPr>
          <w:p w14:paraId="311E66A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351,5</w:t>
            </w:r>
          </w:p>
        </w:tc>
        <w:tc>
          <w:tcPr>
            <w:tcW w:w="1165" w:type="dxa"/>
          </w:tcPr>
          <w:p w14:paraId="765438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270,0</w:t>
            </w:r>
          </w:p>
        </w:tc>
        <w:tc>
          <w:tcPr>
            <w:tcW w:w="1984" w:type="dxa"/>
          </w:tcPr>
          <w:p w14:paraId="1805BD2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Действующ. цена</w:t>
            </w:r>
          </w:p>
        </w:tc>
      </w:tr>
      <w:tr w:rsidR="007C5583" w:rsidRPr="008127F8" w14:paraId="6A172B9B" w14:textId="77777777" w:rsidTr="004C5D62">
        <w:tc>
          <w:tcPr>
            <w:tcW w:w="3794" w:type="dxa"/>
          </w:tcPr>
          <w:p w14:paraId="5EF0276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E25022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2CD124B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65" w:type="dxa"/>
          </w:tcPr>
          <w:p w14:paraId="6E79FB9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58B670E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установлена</w:t>
            </w:r>
          </w:p>
        </w:tc>
      </w:tr>
      <w:tr w:rsidR="007C5583" w:rsidRPr="008127F8" w14:paraId="252FA200" w14:textId="77777777" w:rsidTr="004C5D62">
        <w:tc>
          <w:tcPr>
            <w:tcW w:w="3794" w:type="dxa"/>
          </w:tcPr>
          <w:p w14:paraId="15F0CEA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2347B0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4260119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65" w:type="dxa"/>
          </w:tcPr>
          <w:p w14:paraId="7A8F65C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A3F9B2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правительств.</w:t>
            </w:r>
          </w:p>
        </w:tc>
      </w:tr>
      <w:tr w:rsidR="007C5583" w:rsidRPr="008127F8" w14:paraId="4996FD97" w14:textId="77777777" w:rsidTr="004C5D62">
        <w:tc>
          <w:tcPr>
            <w:tcW w:w="3794" w:type="dxa"/>
          </w:tcPr>
          <w:p w14:paraId="2F669F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EFD541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278F8F8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65" w:type="dxa"/>
          </w:tcPr>
          <w:p w14:paraId="49822F7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2262F67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прейскурантом с</w:t>
            </w:r>
          </w:p>
        </w:tc>
      </w:tr>
      <w:tr w:rsidR="007C5583" w:rsidRPr="008127F8" w14:paraId="3AA73EAF" w14:textId="77777777" w:rsidTr="004C5D62">
        <w:tc>
          <w:tcPr>
            <w:tcW w:w="3794" w:type="dxa"/>
          </w:tcPr>
          <w:p w14:paraId="408B5E1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DA4DF0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790D37D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65" w:type="dxa"/>
          </w:tcPr>
          <w:p w14:paraId="0B23BED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755E386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1.VII.1941 г.</w:t>
            </w:r>
          </w:p>
        </w:tc>
      </w:tr>
      <w:tr w:rsidR="007C5583" w:rsidRPr="008127F8" w14:paraId="49B56C48" w14:textId="77777777" w:rsidTr="004C5D62">
        <w:tc>
          <w:tcPr>
            <w:tcW w:w="3794" w:type="dxa"/>
          </w:tcPr>
          <w:p w14:paraId="3D1C82E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9D7EFF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Ил-4 (2М-88)</w:t>
            </w:r>
          </w:p>
        </w:tc>
        <w:tc>
          <w:tcPr>
            <w:tcW w:w="1386" w:type="dxa"/>
          </w:tcPr>
          <w:p w14:paraId="3C1E2BE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65" w:type="dxa"/>
          </w:tcPr>
          <w:p w14:paraId="6C870DD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430,0</w:t>
            </w:r>
          </w:p>
        </w:tc>
        <w:tc>
          <w:tcPr>
            <w:tcW w:w="1984" w:type="dxa"/>
          </w:tcPr>
          <w:p w14:paraId="142AD18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98BB2A5" w14:textId="77777777" w:rsidTr="004C5D62">
        <w:tc>
          <w:tcPr>
            <w:tcW w:w="3794" w:type="dxa"/>
          </w:tcPr>
          <w:p w14:paraId="5007D52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7883E0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Ту-2 (2М-82)</w:t>
            </w:r>
          </w:p>
        </w:tc>
        <w:tc>
          <w:tcPr>
            <w:tcW w:w="1386" w:type="dxa"/>
          </w:tcPr>
          <w:p w14:paraId="20C1B4F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725,0</w:t>
            </w:r>
          </w:p>
        </w:tc>
        <w:tc>
          <w:tcPr>
            <w:tcW w:w="1165" w:type="dxa"/>
          </w:tcPr>
          <w:p w14:paraId="4247662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1000,0</w:t>
            </w:r>
          </w:p>
        </w:tc>
        <w:tc>
          <w:tcPr>
            <w:tcW w:w="1984" w:type="dxa"/>
          </w:tcPr>
          <w:p w14:paraId="4827CA6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80CE133" w14:textId="77777777" w:rsidTr="004C5D62">
        <w:tc>
          <w:tcPr>
            <w:tcW w:w="3794" w:type="dxa"/>
          </w:tcPr>
          <w:p w14:paraId="3F5141C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B544C7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ТБ-7 (4АМ-35А)</w:t>
            </w:r>
          </w:p>
        </w:tc>
        <w:tc>
          <w:tcPr>
            <w:tcW w:w="1386" w:type="dxa"/>
          </w:tcPr>
          <w:p w14:paraId="5C06A31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3800,0</w:t>
            </w:r>
          </w:p>
        </w:tc>
        <w:tc>
          <w:tcPr>
            <w:tcW w:w="1165" w:type="dxa"/>
          </w:tcPr>
          <w:p w14:paraId="05AC4B4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2200,0</w:t>
            </w:r>
          </w:p>
        </w:tc>
        <w:tc>
          <w:tcPr>
            <w:tcW w:w="1984" w:type="dxa"/>
          </w:tcPr>
          <w:p w14:paraId="3DCFCD8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 цена</w:t>
            </w:r>
          </w:p>
        </w:tc>
      </w:tr>
      <w:tr w:rsidR="007C5583" w:rsidRPr="008127F8" w14:paraId="78E12F12" w14:textId="77777777" w:rsidTr="004C5D62">
        <w:tc>
          <w:tcPr>
            <w:tcW w:w="3794" w:type="dxa"/>
          </w:tcPr>
          <w:p w14:paraId="512858F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3E9C3B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0A06F27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65" w:type="dxa"/>
          </w:tcPr>
          <w:p w14:paraId="4791948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36FBE73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установлена правит.</w:t>
            </w:r>
          </w:p>
        </w:tc>
      </w:tr>
      <w:tr w:rsidR="007C5583" w:rsidRPr="008127F8" w14:paraId="29CB745A" w14:textId="77777777" w:rsidTr="004C5D62">
        <w:tc>
          <w:tcPr>
            <w:tcW w:w="3794" w:type="dxa"/>
          </w:tcPr>
          <w:p w14:paraId="71D7B16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ABEDEB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0773FCC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65" w:type="dxa"/>
          </w:tcPr>
          <w:p w14:paraId="07B4815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32D17D9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прейскурантом с</w:t>
            </w:r>
          </w:p>
        </w:tc>
      </w:tr>
      <w:tr w:rsidR="007C5583" w:rsidRPr="008127F8" w14:paraId="0C563934" w14:textId="77777777" w:rsidTr="004C5D62">
        <w:tc>
          <w:tcPr>
            <w:tcW w:w="3794" w:type="dxa"/>
          </w:tcPr>
          <w:p w14:paraId="7D3B758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D18141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4FC830D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65" w:type="dxa"/>
          </w:tcPr>
          <w:p w14:paraId="4E068AA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C01639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1.VII.1941 г.</w:t>
            </w:r>
          </w:p>
        </w:tc>
      </w:tr>
      <w:tr w:rsidR="007C5583" w:rsidRPr="008127F8" w14:paraId="4B671113" w14:textId="77777777" w:rsidTr="004C5D62">
        <w:tc>
          <w:tcPr>
            <w:tcW w:w="3794" w:type="dxa"/>
          </w:tcPr>
          <w:p w14:paraId="62DD2CE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Моторы - в тыс. рублей за единицу</w:t>
            </w:r>
          </w:p>
        </w:tc>
        <w:tc>
          <w:tcPr>
            <w:tcW w:w="2268" w:type="dxa"/>
          </w:tcPr>
          <w:p w14:paraId="5A1139F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61E8B5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65" w:type="dxa"/>
          </w:tcPr>
          <w:p w14:paraId="3777BB0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074DB6B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9FA88A6" w14:textId="77777777" w:rsidTr="004C5D62">
        <w:tc>
          <w:tcPr>
            <w:tcW w:w="3794" w:type="dxa"/>
          </w:tcPr>
          <w:p w14:paraId="4C06DF2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w:t>
            </w:r>
          </w:p>
        </w:tc>
        <w:tc>
          <w:tcPr>
            <w:tcW w:w="2268" w:type="dxa"/>
          </w:tcPr>
          <w:p w14:paraId="3EAB4EB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моторов</w:t>
            </w:r>
          </w:p>
        </w:tc>
        <w:tc>
          <w:tcPr>
            <w:tcW w:w="1386" w:type="dxa"/>
          </w:tcPr>
          <w:p w14:paraId="4CF82FE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Действующ.</w:t>
            </w:r>
          </w:p>
        </w:tc>
        <w:tc>
          <w:tcPr>
            <w:tcW w:w="1165" w:type="dxa"/>
          </w:tcPr>
          <w:p w14:paraId="685388B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Цена на</w:t>
            </w:r>
          </w:p>
        </w:tc>
        <w:tc>
          <w:tcPr>
            <w:tcW w:w="1984" w:type="dxa"/>
          </w:tcPr>
          <w:p w14:paraId="67AFAFD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w:t>
            </w:r>
          </w:p>
        </w:tc>
      </w:tr>
      <w:tr w:rsidR="007C5583" w:rsidRPr="008127F8" w14:paraId="7047D959" w14:textId="77777777" w:rsidTr="004C5D62">
        <w:tc>
          <w:tcPr>
            <w:tcW w:w="3794" w:type="dxa"/>
          </w:tcPr>
          <w:p w14:paraId="7B59409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изготовит.</w:t>
            </w:r>
          </w:p>
        </w:tc>
        <w:tc>
          <w:tcPr>
            <w:tcW w:w="2268" w:type="dxa"/>
          </w:tcPr>
          <w:p w14:paraId="2A0EC29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134C9C8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договорные</w:t>
            </w:r>
          </w:p>
        </w:tc>
        <w:tc>
          <w:tcPr>
            <w:tcW w:w="1165" w:type="dxa"/>
          </w:tcPr>
          <w:p w14:paraId="7D1E00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984" w:type="dxa"/>
          </w:tcPr>
          <w:p w14:paraId="030BA1B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3065A18" w14:textId="77777777" w:rsidTr="004C5D62">
        <w:tc>
          <w:tcPr>
            <w:tcW w:w="3794" w:type="dxa"/>
          </w:tcPr>
          <w:p w14:paraId="0F6A0C7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26C253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39DB8FF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цены</w:t>
            </w:r>
          </w:p>
        </w:tc>
        <w:tc>
          <w:tcPr>
            <w:tcW w:w="1165" w:type="dxa"/>
          </w:tcPr>
          <w:p w14:paraId="372F7F9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343F149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22EA07F9" w14:textId="77777777" w:rsidTr="004C5D62">
        <w:tc>
          <w:tcPr>
            <w:tcW w:w="3794" w:type="dxa"/>
          </w:tcPr>
          <w:p w14:paraId="55BB381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A6491D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М-11</w:t>
            </w:r>
          </w:p>
        </w:tc>
        <w:tc>
          <w:tcPr>
            <w:tcW w:w="1386" w:type="dxa"/>
          </w:tcPr>
          <w:p w14:paraId="4F3CC99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65" w:type="dxa"/>
          </w:tcPr>
          <w:p w14:paraId="6A0F6F5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13,0</w:t>
            </w:r>
          </w:p>
        </w:tc>
        <w:tc>
          <w:tcPr>
            <w:tcW w:w="1984" w:type="dxa"/>
          </w:tcPr>
          <w:p w14:paraId="6D2E43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0AE33BB" w14:textId="77777777" w:rsidTr="004C5D62">
        <w:tc>
          <w:tcPr>
            <w:tcW w:w="3794" w:type="dxa"/>
          </w:tcPr>
          <w:p w14:paraId="0740B29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8107AF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АМ-38</w:t>
            </w:r>
          </w:p>
        </w:tc>
        <w:tc>
          <w:tcPr>
            <w:tcW w:w="1386" w:type="dxa"/>
          </w:tcPr>
          <w:p w14:paraId="0B491D7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65" w:type="dxa"/>
          </w:tcPr>
          <w:p w14:paraId="0EFCDEC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87,0</w:t>
            </w:r>
          </w:p>
        </w:tc>
        <w:tc>
          <w:tcPr>
            <w:tcW w:w="1984" w:type="dxa"/>
          </w:tcPr>
          <w:p w14:paraId="15FB9C7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C455349" w14:textId="77777777" w:rsidTr="004C5D62">
        <w:tc>
          <w:tcPr>
            <w:tcW w:w="3794" w:type="dxa"/>
          </w:tcPr>
          <w:p w14:paraId="6603771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DFD2F7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М-105Р</w:t>
            </w:r>
          </w:p>
        </w:tc>
        <w:tc>
          <w:tcPr>
            <w:tcW w:w="1386" w:type="dxa"/>
          </w:tcPr>
          <w:p w14:paraId="6513785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75,0</w:t>
            </w:r>
          </w:p>
        </w:tc>
        <w:tc>
          <w:tcPr>
            <w:tcW w:w="1165" w:type="dxa"/>
          </w:tcPr>
          <w:p w14:paraId="36FDA39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60,0</w:t>
            </w:r>
          </w:p>
        </w:tc>
        <w:tc>
          <w:tcPr>
            <w:tcW w:w="1984" w:type="dxa"/>
          </w:tcPr>
          <w:p w14:paraId="3B7896F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DBA1823" w14:textId="77777777" w:rsidTr="004C5D62">
        <w:tc>
          <w:tcPr>
            <w:tcW w:w="3794" w:type="dxa"/>
          </w:tcPr>
          <w:p w14:paraId="2A98D62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Планеры - в тыс. руб. за единицу</w:t>
            </w:r>
          </w:p>
        </w:tc>
        <w:tc>
          <w:tcPr>
            <w:tcW w:w="2268" w:type="dxa"/>
          </w:tcPr>
          <w:p w14:paraId="445CB70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33E6D3C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65" w:type="dxa"/>
          </w:tcPr>
          <w:p w14:paraId="395818C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03BBFBD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E34BB7B" w14:textId="77777777" w:rsidTr="004C5D62">
        <w:tc>
          <w:tcPr>
            <w:tcW w:w="3794" w:type="dxa"/>
          </w:tcPr>
          <w:p w14:paraId="473CE22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w:t>
            </w:r>
          </w:p>
        </w:tc>
        <w:tc>
          <w:tcPr>
            <w:tcW w:w="2268" w:type="dxa"/>
          </w:tcPr>
          <w:p w14:paraId="05BD2AD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планеров</w:t>
            </w:r>
          </w:p>
        </w:tc>
        <w:tc>
          <w:tcPr>
            <w:tcW w:w="1386" w:type="dxa"/>
          </w:tcPr>
          <w:p w14:paraId="452256A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Действующ.</w:t>
            </w:r>
          </w:p>
        </w:tc>
        <w:tc>
          <w:tcPr>
            <w:tcW w:w="1165" w:type="dxa"/>
          </w:tcPr>
          <w:p w14:paraId="5163DE0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Цена на</w:t>
            </w:r>
          </w:p>
        </w:tc>
        <w:tc>
          <w:tcPr>
            <w:tcW w:w="1984" w:type="dxa"/>
          </w:tcPr>
          <w:p w14:paraId="7F49685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w:t>
            </w:r>
          </w:p>
        </w:tc>
      </w:tr>
      <w:tr w:rsidR="007C5583" w:rsidRPr="008127F8" w14:paraId="203D4A6A" w14:textId="77777777" w:rsidTr="004C5D62">
        <w:tc>
          <w:tcPr>
            <w:tcW w:w="3794" w:type="dxa"/>
          </w:tcPr>
          <w:p w14:paraId="08092A7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изготовит.</w:t>
            </w:r>
          </w:p>
        </w:tc>
        <w:tc>
          <w:tcPr>
            <w:tcW w:w="2268" w:type="dxa"/>
          </w:tcPr>
          <w:p w14:paraId="62AFB7D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0A2D1A1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договорные</w:t>
            </w:r>
          </w:p>
        </w:tc>
        <w:tc>
          <w:tcPr>
            <w:tcW w:w="1165" w:type="dxa"/>
          </w:tcPr>
          <w:p w14:paraId="7F4F7DE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 г.</w:t>
            </w:r>
          </w:p>
        </w:tc>
        <w:tc>
          <w:tcPr>
            <w:tcW w:w="1984" w:type="dxa"/>
          </w:tcPr>
          <w:p w14:paraId="279F2AE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CAB3A72" w14:textId="77777777" w:rsidTr="004C5D62">
        <w:tc>
          <w:tcPr>
            <w:tcW w:w="3794" w:type="dxa"/>
          </w:tcPr>
          <w:p w14:paraId="6A5C995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D72F6A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3E6DDF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цены</w:t>
            </w:r>
          </w:p>
        </w:tc>
        <w:tc>
          <w:tcPr>
            <w:tcW w:w="1165" w:type="dxa"/>
          </w:tcPr>
          <w:p w14:paraId="1813DDE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4D34C66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3E73834" w14:textId="77777777" w:rsidTr="004C5D62">
        <w:tc>
          <w:tcPr>
            <w:tcW w:w="3794" w:type="dxa"/>
          </w:tcPr>
          <w:p w14:paraId="4FEE24F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499</w:t>
            </w:r>
          </w:p>
        </w:tc>
        <w:tc>
          <w:tcPr>
            <w:tcW w:w="2268" w:type="dxa"/>
          </w:tcPr>
          <w:p w14:paraId="7E0E0E9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Планер А-2 - 2-х местный</w:t>
            </w:r>
          </w:p>
        </w:tc>
        <w:tc>
          <w:tcPr>
            <w:tcW w:w="1386" w:type="dxa"/>
          </w:tcPr>
          <w:p w14:paraId="7C52D3C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w:t>
            </w:r>
          </w:p>
        </w:tc>
        <w:tc>
          <w:tcPr>
            <w:tcW w:w="1165" w:type="dxa"/>
          </w:tcPr>
          <w:p w14:paraId="10927A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c>
          <w:tcPr>
            <w:tcW w:w="1984" w:type="dxa"/>
          </w:tcPr>
          <w:p w14:paraId="5E7B869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20B8019A" w14:textId="77777777" w:rsidTr="004C5D62">
        <w:tc>
          <w:tcPr>
            <w:tcW w:w="3794" w:type="dxa"/>
          </w:tcPr>
          <w:p w14:paraId="18640B9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11C8A0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Планер КЦ-20 - 20 мест.</w:t>
            </w:r>
          </w:p>
        </w:tc>
        <w:tc>
          <w:tcPr>
            <w:tcW w:w="1386" w:type="dxa"/>
          </w:tcPr>
          <w:p w14:paraId="4EE6F10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75,0</w:t>
            </w:r>
          </w:p>
        </w:tc>
        <w:tc>
          <w:tcPr>
            <w:tcW w:w="1165" w:type="dxa"/>
          </w:tcPr>
          <w:p w14:paraId="0CBA4B6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75,0</w:t>
            </w:r>
          </w:p>
        </w:tc>
        <w:tc>
          <w:tcPr>
            <w:tcW w:w="1984" w:type="dxa"/>
          </w:tcPr>
          <w:p w14:paraId="61EB736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148F033" w14:textId="77777777" w:rsidTr="004C5D62">
        <w:tc>
          <w:tcPr>
            <w:tcW w:w="3794" w:type="dxa"/>
          </w:tcPr>
          <w:p w14:paraId="4E22451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3C15C8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Планер БДП-2 20 мест.</w:t>
            </w:r>
          </w:p>
        </w:tc>
        <w:tc>
          <w:tcPr>
            <w:tcW w:w="1386" w:type="dxa"/>
          </w:tcPr>
          <w:p w14:paraId="7C0739F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65" w:type="dxa"/>
          </w:tcPr>
          <w:p w14:paraId="3C48EA1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90,0</w:t>
            </w:r>
          </w:p>
        </w:tc>
        <w:tc>
          <w:tcPr>
            <w:tcW w:w="1984" w:type="dxa"/>
          </w:tcPr>
          <w:p w14:paraId="544A4B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54AD94A" w14:textId="77777777" w:rsidTr="004C5D62">
        <w:tc>
          <w:tcPr>
            <w:tcW w:w="3794" w:type="dxa"/>
          </w:tcPr>
          <w:p w14:paraId="26339A2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4AD00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Планер А-7 - 7 мест.</w:t>
            </w:r>
          </w:p>
        </w:tc>
        <w:tc>
          <w:tcPr>
            <w:tcW w:w="1386" w:type="dxa"/>
          </w:tcPr>
          <w:p w14:paraId="1C022C3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38,0</w:t>
            </w:r>
          </w:p>
        </w:tc>
        <w:tc>
          <w:tcPr>
            <w:tcW w:w="1165" w:type="dxa"/>
          </w:tcPr>
          <w:p w14:paraId="1A667CB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30,0</w:t>
            </w:r>
          </w:p>
        </w:tc>
        <w:tc>
          <w:tcPr>
            <w:tcW w:w="1984" w:type="dxa"/>
          </w:tcPr>
          <w:p w14:paraId="68CA55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162A97C" w14:textId="77777777" w:rsidTr="004C5D62">
        <w:tc>
          <w:tcPr>
            <w:tcW w:w="3794" w:type="dxa"/>
          </w:tcPr>
          <w:p w14:paraId="137EC5B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1741BE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Планер А-7 - 7 мест.</w:t>
            </w:r>
          </w:p>
        </w:tc>
        <w:tc>
          <w:tcPr>
            <w:tcW w:w="1386" w:type="dxa"/>
          </w:tcPr>
          <w:p w14:paraId="5E5E602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65" w:type="dxa"/>
          </w:tcPr>
          <w:p w14:paraId="659AA03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40,0</w:t>
            </w:r>
          </w:p>
        </w:tc>
        <w:tc>
          <w:tcPr>
            <w:tcW w:w="1984" w:type="dxa"/>
          </w:tcPr>
          <w:p w14:paraId="7801353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22852E3B" w14:textId="77777777" w:rsidTr="004C5D62">
        <w:tc>
          <w:tcPr>
            <w:tcW w:w="3794" w:type="dxa"/>
          </w:tcPr>
          <w:p w14:paraId="210CF0A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8794B7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Планер А-7 - 7 мест.</w:t>
            </w:r>
          </w:p>
        </w:tc>
        <w:tc>
          <w:tcPr>
            <w:tcW w:w="1386" w:type="dxa"/>
          </w:tcPr>
          <w:p w14:paraId="3051571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65" w:type="dxa"/>
          </w:tcPr>
          <w:p w14:paraId="3B8804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w:t>
            </w:r>
          </w:p>
        </w:tc>
        <w:tc>
          <w:tcPr>
            <w:tcW w:w="1984" w:type="dxa"/>
          </w:tcPr>
          <w:p w14:paraId="6C30ADB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FCD9BCE" w14:textId="77777777" w:rsidTr="004C5D62">
        <w:tc>
          <w:tcPr>
            <w:tcW w:w="3794" w:type="dxa"/>
          </w:tcPr>
          <w:p w14:paraId="6A4B64D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969BE3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Планер Г-11 - 11 мест.</w:t>
            </w:r>
          </w:p>
        </w:tc>
        <w:tc>
          <w:tcPr>
            <w:tcW w:w="1386" w:type="dxa"/>
          </w:tcPr>
          <w:p w14:paraId="18B4145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1165" w:type="dxa"/>
          </w:tcPr>
          <w:p w14:paraId="4F7CE97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55,0</w:t>
            </w:r>
          </w:p>
        </w:tc>
        <w:tc>
          <w:tcPr>
            <w:tcW w:w="1984" w:type="dxa"/>
          </w:tcPr>
          <w:p w14:paraId="0615DD0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5906850" w14:textId="77777777" w:rsidTr="004C5D62">
        <w:tc>
          <w:tcPr>
            <w:tcW w:w="3794" w:type="dxa"/>
          </w:tcPr>
          <w:p w14:paraId="5DDEF92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E08A29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Планер Г-11 - 11 мест.</w:t>
            </w:r>
          </w:p>
        </w:tc>
        <w:tc>
          <w:tcPr>
            <w:tcW w:w="1386" w:type="dxa"/>
          </w:tcPr>
          <w:p w14:paraId="3C530DE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165" w:type="dxa"/>
          </w:tcPr>
          <w:p w14:paraId="5949C2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75,0</w:t>
            </w:r>
          </w:p>
        </w:tc>
        <w:tc>
          <w:tcPr>
            <w:tcW w:w="1984" w:type="dxa"/>
          </w:tcPr>
          <w:p w14:paraId="7DBCF85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22FD6CF" w14:textId="77777777" w:rsidTr="004C5D62">
        <w:tc>
          <w:tcPr>
            <w:tcW w:w="3794" w:type="dxa"/>
            <w:tcBorders>
              <w:bottom w:val="single" w:sz="12" w:space="0" w:color="auto"/>
            </w:tcBorders>
          </w:tcPr>
          <w:p w14:paraId="1FFEBA2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bottom w:val="single" w:sz="12" w:space="0" w:color="auto"/>
            </w:tcBorders>
          </w:tcPr>
          <w:p w14:paraId="0A39268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Планер Г-11 - 11 мест.</w:t>
            </w:r>
          </w:p>
        </w:tc>
        <w:tc>
          <w:tcPr>
            <w:tcW w:w="1386" w:type="dxa"/>
            <w:tcBorders>
              <w:bottom w:val="single" w:sz="12" w:space="0" w:color="auto"/>
            </w:tcBorders>
          </w:tcPr>
          <w:p w14:paraId="4D876B7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50,0</w:t>
            </w:r>
          </w:p>
        </w:tc>
        <w:tc>
          <w:tcPr>
            <w:tcW w:w="1165" w:type="dxa"/>
            <w:tcBorders>
              <w:bottom w:val="single" w:sz="12" w:space="0" w:color="auto"/>
            </w:tcBorders>
          </w:tcPr>
          <w:p w14:paraId="5F31D7E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55,0</w:t>
            </w:r>
          </w:p>
        </w:tc>
        <w:tc>
          <w:tcPr>
            <w:tcW w:w="1984" w:type="dxa"/>
            <w:tcBorders>
              <w:bottom w:val="single" w:sz="12" w:space="0" w:color="auto"/>
            </w:tcBorders>
          </w:tcPr>
          <w:p w14:paraId="1635349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505075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w:t>
      </w:r>
    </w:p>
    <w:p w14:paraId="39A65F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Общие примечания основного прейскуранта на 1942 г., утвержденного распоряжением СНК от 6 мая 1942 г. за N 639-329сс, распространяются на изделия, включенные в дополнительный прейскурант.</w:t>
      </w:r>
    </w:p>
    <w:p w14:paraId="3EA55A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Цены самолетов приняты без наземного оборудования.</w:t>
      </w:r>
    </w:p>
    <w:p w14:paraId="687ED0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Цены на планеры приняты франко - завод изготовитель, с тарой и упаковкой (1631,72).</w:t>
      </w:r>
    </w:p>
    <w:p w14:paraId="64124A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CD1F3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июня 1942 вышел приказ НКАП N 444с:</w:t>
      </w:r>
    </w:p>
    <w:p w14:paraId="5433ABB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исполнение постановления ГКО от 4 июня 1942 для увеличения в кратчайшие сроки дальности бомбардировочной авиации, что обеспечивается постановкой на самолеты ТБ-7 и Ер-2 моторов М-30:</w:t>
      </w:r>
    </w:p>
    <w:p w14:paraId="5D5070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Зам. наркома В.П.Кузнецову:</w:t>
      </w:r>
    </w:p>
    <w:p w14:paraId="71F09F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организовать на площадях бывшего моторного завода 82 опытный завод по доводке и производству мелких серий М-30, присвоив ему номер 500.</w:t>
      </w:r>
    </w:p>
    <w:p w14:paraId="372A6CB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453, находящийся на этой территории, перевести на площади бывшего завода 261 (1556,54).</w:t>
      </w:r>
    </w:p>
    <w:p w14:paraId="719888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BF84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13 июня по 5 июля 1942 проходили испытания И-185 М-82 (662,63).</w:t>
      </w:r>
    </w:p>
    <w:p w14:paraId="65462D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1788E4" w14:textId="77777777" w:rsidR="00B21796" w:rsidRPr="008A2E5A" w:rsidRDefault="00B21796" w:rsidP="00B217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июня 1942 г. приказом НК ВМФ №0509 на вооружение был принят металлический стабилизатор для торпеды АН-42 конструкции инженер-полковника Т.Н. Алферова (НИМТИ). Он представлял собой цилиндр длиной 1600 мм и диаметром 450 мм с продольными зигами для увеличения жесткости. Основные части стабилизато</w:t>
      </w:r>
      <w:r w:rsidRPr="008A2E5A">
        <w:rPr>
          <w:rFonts w:ascii="Times New Roman" w:hAnsi="Times New Roman"/>
          <w:color w:val="0070C0"/>
          <w:sz w:val="16"/>
          <w:szCs w:val="16"/>
        </w:rPr>
        <w:softHyphen/>
        <w:t>ра: гофрированный корпус из кровельного железа толщиною 0,5 мм, отбортовка корпу</w:t>
      </w:r>
      <w:r w:rsidRPr="008A2E5A">
        <w:rPr>
          <w:rFonts w:ascii="Times New Roman" w:hAnsi="Times New Roman"/>
          <w:color w:val="0070C0"/>
          <w:sz w:val="16"/>
          <w:szCs w:val="16"/>
        </w:rPr>
        <w:softHyphen/>
        <w:t>са толщиною в 1 мм. Стабилизатор закреплялся на торпеде с помощью направляющих пазов и специальным инерционным механизмом. Система, куда помимо стабилизатора входили ушко для подвески торпеды к замку Дер-20 и щитковый замедлитель масляно</w:t>
      </w:r>
      <w:r w:rsidRPr="008A2E5A">
        <w:rPr>
          <w:rFonts w:ascii="Times New Roman" w:hAnsi="Times New Roman"/>
          <w:color w:val="0070C0"/>
          <w:sz w:val="16"/>
          <w:szCs w:val="16"/>
        </w:rPr>
        <w:softHyphen/>
        <w:t>го золотничка, имела следующие характеристики: высота полета самолета 15-55 м, ско</w:t>
      </w:r>
      <w:r w:rsidRPr="008A2E5A">
        <w:rPr>
          <w:rFonts w:ascii="Times New Roman" w:hAnsi="Times New Roman"/>
          <w:color w:val="0070C0"/>
          <w:sz w:val="16"/>
          <w:szCs w:val="16"/>
        </w:rPr>
        <w:softHyphen/>
        <w:t>рость до 250 км/ч, минимальная глубина в точке сбрасывания - 10 м. Производство металлических стабилизаторов развернулось на заводе №«182 в г. Махачкала, причем по плану до конца 1942 г. промышленность должна была сдать флоту 500 штук. Вряд ли это удалось осуществить из-за последовавшей вскоре эвакуации завода.</w:t>
      </w:r>
    </w:p>
    <w:p w14:paraId="17EB7BA8" w14:textId="77777777" w:rsidR="00B21796" w:rsidRPr="008A2E5A" w:rsidRDefault="00B21796" w:rsidP="00B217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Именно эти два типа стабилизаторов применялись на авиаторпедах в годы Вели</w:t>
      </w:r>
      <w:r w:rsidRPr="008A2E5A">
        <w:rPr>
          <w:rFonts w:ascii="Times New Roman" w:hAnsi="Times New Roman"/>
          <w:color w:val="0070C0"/>
          <w:sz w:val="16"/>
          <w:szCs w:val="16"/>
        </w:rPr>
        <w:softHyphen/>
        <w:t>кой Отечественной войны. Летом 1943 г. при испытаниях торпедоносцев «Бостон», вы</w:t>
      </w:r>
      <w:r w:rsidRPr="008A2E5A">
        <w:rPr>
          <w:rFonts w:ascii="Times New Roman" w:hAnsi="Times New Roman"/>
          <w:color w:val="0070C0"/>
          <w:sz w:val="16"/>
          <w:szCs w:val="16"/>
        </w:rPr>
        <w:softHyphen/>
        <w:t>яснилось, что торпеды с металлическим стабилизатором могут сбрасываться на скорос</w:t>
      </w:r>
      <w:r w:rsidRPr="008A2E5A">
        <w:rPr>
          <w:rFonts w:ascii="Times New Roman" w:hAnsi="Times New Roman"/>
          <w:color w:val="0070C0"/>
          <w:sz w:val="16"/>
          <w:szCs w:val="16"/>
        </w:rPr>
        <w:softHyphen/>
        <w:t>тях до 290-300 км/ч. Дальнейшее увеличение скорости самолета приводило к смеще</w:t>
      </w:r>
      <w:r w:rsidRPr="008A2E5A">
        <w:rPr>
          <w:rFonts w:ascii="Times New Roman" w:hAnsi="Times New Roman"/>
          <w:color w:val="0070C0"/>
          <w:sz w:val="16"/>
          <w:szCs w:val="16"/>
        </w:rPr>
        <w:softHyphen/>
        <w:t>нию гребных винтов и погнутости их лопастей. Требовалась разработка принципиально новых стабилизаторов.</w:t>
      </w:r>
    </w:p>
    <w:p w14:paraId="3FF39401" w14:textId="77777777" w:rsidR="00B21796" w:rsidRPr="008A2E5A" w:rsidRDefault="00B21796" w:rsidP="00B217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Работы в этом направлении проводились до 1945 г. В результате теоретических и экспериментальных исследований, а также натурных испытаний группой инженеров под руководством профессора Л.И. Седова в 1945 г. был создан стабилизатор СН-45 (23464).</w:t>
      </w:r>
    </w:p>
    <w:p w14:paraId="7E81B823" w14:textId="77777777" w:rsidR="00B21796" w:rsidRPr="008A2E5A" w:rsidRDefault="00B21796" w:rsidP="00B21796">
      <w:pPr>
        <w:spacing w:after="0" w:line="240" w:lineRule="auto"/>
        <w:jc w:val="both"/>
        <w:rPr>
          <w:rFonts w:ascii="Times New Roman" w:hAnsi="Times New Roman"/>
          <w:color w:val="0070C0"/>
          <w:sz w:val="16"/>
          <w:szCs w:val="16"/>
        </w:rPr>
      </w:pPr>
    </w:p>
    <w:p w14:paraId="5054B3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июня 1942 г. приказом № 444сс в соответствии с пост. ГКО № 1866сс от 4.06.1942 г. на на площадке эвакуированного завода № 82 НКАП в Тушино организован опытный двигателестроительный завод № 500 8ГУ НКАП.</w:t>
      </w:r>
    </w:p>
    <w:p w14:paraId="5C705B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 (1932-35 г.)- С.Е. Киселев, (1936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Войтов, (1937 г.)- А.С. Черняков, (1938-41 г.)- С.Н. Жилин, (1941-42 г.-)- В.Н. Дубов.</w:t>
      </w:r>
      <w:r w:rsidRPr="008127F8">
        <w:rPr>
          <w:rFonts w:ascii="Times New Roman" w:hAnsi="Times New Roman"/>
          <w:color w:val="000000" w:themeColor="text1"/>
          <w:sz w:val="16"/>
          <w:szCs w:val="16"/>
          <w:vertAlign w:val="superscript"/>
        </w:rPr>
        <w:t>49</w:t>
      </w:r>
    </w:p>
    <w:p w14:paraId="5D839F1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(конец 1930-х)- А. Г. Таканаев.</w:t>
      </w:r>
    </w:p>
    <w:p w14:paraId="1D7A0E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конструкторы: (1942 г.)- Ф.Я. Тулупов (М-30) (11982).</w:t>
      </w:r>
    </w:p>
    <w:p w14:paraId="6E84FE2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1773E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июня 1942 г. приказом № 444сс в соответствии с пост. ГКО № 1866сс от 4.06.1942 г. на площадке бывшего завода № 82, которая получила наименование ГС завод № 453 НКАП при 6ГУ, а 10 апреля 1942 стала филиалом ЦИАМ, был организован опытный двигателестроительный завод № 500 8ГУ НКАП. В связи с формированием нового завода № 500, этим же приказом завод № 453 должен был быть переведен на территорию бывшего завода № 261 НКАП. Начатый перевод отменили и по приказу № 487с от 3.07.1942 г. заводу № 453 были переданы здания и сооружения бывшего завода № 291 НКАП в Тушино. Проводились работы по разделке самолетов. По приказу № 158с от 19.03.1943 г. разделочная база завода № 453 НКАП со всем оборудованием и личным составом передана заводу № 500.</w:t>
      </w:r>
    </w:p>
    <w:p w14:paraId="41C7A0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3218с от 21.04.1943 г. и приказом № 276с от 7.05.1943 г. завод № 453 передан из 6ГУ в систему Треста «Оргавиапром». Далее по приказу № 459с от 31.07.1943 г. на заводе началась организация производства специнструмента и приспособлений, и завод реорганизован в филиал завода № 165 НКАП. С завода № 165 из Куйбышева сюда для укрепления производства переведена группа рабочих и ИТР (120 чел.). В том же году на площадку филиала из Куйбышева переведен завод № 165 НКАП (11982).</w:t>
      </w:r>
    </w:p>
    <w:p w14:paraId="2267C78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5F1CC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13 июня 1942 г. приказом № 444сс в соответствии с пост. ГКО № 1866сс от 4.06.1942 г. для концентрации работ по авиадизелям, их доводки и выпуска небольших серий на площадке бывшего завода № 82 организован опытный двигателестроительный завод № 500 8ГУ НКАП (Завод № 500 НКАП, МАП, п/я-75, п/я-4704, ММЗ, ММПО «Красный Октябрь» МАП, ММПО, ГММПП им. В.В. Чернышева, ОАО «Московское машиностроительное предприятие (ММП) им. В.В. Чернышева» /г. </w:t>
      </w:r>
      <w:r w:rsidRPr="008127F8">
        <w:rPr>
          <w:rFonts w:ascii="Times New Roman" w:hAnsi="Times New Roman"/>
          <w:color w:val="000000" w:themeColor="text1"/>
          <w:sz w:val="16"/>
          <w:szCs w:val="16"/>
        </w:rPr>
        <w:lastRenderedPageBreak/>
        <w:t>Тушино Московской обл./ /125362  г. Москва, ул. Вишневая, 7 тел. 491-55-44/). На завод возвращены кадры, ранее работавшие на заводе № 82, с заводов № 45, № 315, № 82. Сюда переведена часть завода № 296 НКАП (оборудование, кадры) по электродрелям.</w:t>
      </w:r>
    </w:p>
    <w:p w14:paraId="15DFCCB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Сюда в 06.1942 г. переведена из ОТБ НКВД завода № 16 дизельная группа под руководством А.Д. Чаромского.</w:t>
      </w:r>
    </w:p>
    <w:p w14:paraId="45BE75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 г. завод № 500 переведен в серийные. Подготовка к производству М-30 шла трудно. В 1943-44 г. происходило постоянное укрепление производства. По приказу № 158с от 19.03.1943 г. заводу передана разделочная база завода № 453 НКАП. В соответствии с пост. ГКО № 4006с от 29.08.1943 г. и по приказу № 528с от 2.09.1943 г. в состав завода № 500 НКАП влит завод № 25 НКАП, переведенный из Ульяновска со всем оборудованием и кадрами. По распоряжению ГКО № 4490 от 3.11.1943 г. строительному тресту № 18 выделено 800 чел. для строительства завода. 10.12.1943 г. вышло постановление ГКО № 4752 о подготовке квалифицированных рабочих для завода. В соответствии с пост. ГКО № 5202с от 18.02.1944 г. и приказом № 134с/ 20с от 25.02.1944 г. заводу № 500 передан завод № 10 НКЛП ( г. Тушино) со всеми сооружениями и личным составом. Заводу передан также лабораторный корпус МАТИ в Тушино (на 02.1944 г.). Была оказана помощь в кадрах (по приказам № 78с от 5.02.1944 г., № 137с от 25.02.1944 г., № 160сс от 4.03.1944 г., № 206сс от 21.03.1944 г.): переведено на постоянную работу большое количество специалистов с завода № 34 (около 200 чел.), завода № 265 (около 600 чел.), завода № 45 (250 чел.), а также всего около 170 чел. с заводов № 16, № 24, № 26, № 27, № 30, № 43, № 315, № 381. 14.03.1944 г. вышло постановление ГКО № 5398 о дополнительных мерах по расширению производства дизеля АЧ-30Б на заводе. В 1946 г. на базе АЧ-30 создан (совместно с Кировским заводом) ТД-30 для тяжелого танка ИС-7.</w:t>
      </w:r>
    </w:p>
    <w:p w14:paraId="36B5913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08.1946 г. при заводе сформировано ОКБ гл. конструктора С.С. Баландина, переведенного с завода № 41 МАП, для продолжения работ по двигателю МБ-8.</w:t>
      </w:r>
    </w:p>
    <w:p w14:paraId="6E8FDDB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 874-366сс от 17.04.1946 г. и приказом № 392с от 21.06.1946 г. на завод № 500 переведена с завода № 45 группа немецких специалистов во главе с гл. конструктором авиадизеля М. Герлахом для продолжения работ по авиадизелю М-224. Группа действовала как ОКБ-2 завода № 500 в системе 8ГУ. На 09.1948 г. здесь работало 54 немецких специалиста. В 1950 г. они переведены на опытный завод № 2 МАП.</w:t>
      </w:r>
    </w:p>
    <w:p w14:paraId="203A8C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31.12.1947 г. был построен 1-й РД-500, в 10.1948 г. начат серийный выпуск двигателя.</w:t>
      </w:r>
    </w:p>
    <w:p w14:paraId="0138791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Был создан отдел систем ЧПУ.</w:t>
      </w:r>
    </w:p>
    <w:p w14:paraId="6E8AB2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МАП от 9.06.1954 г. при заводе № 500 создана Специальная конструкторская группа (СКГ-10) во главе с В.Н. Челомеем по созданию морских КР, 26.08.1955 г. СКГ преобразована в ОКБ-52 МАП и перебазирована в Реутов.</w:t>
      </w:r>
    </w:p>
    <w:p w14:paraId="59DFC9F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 713-342 от 26.06.1957 г. завод передан в ведение СНХ РСФСР. С 07.1954 г.- предприятие п/я-75, с 30.08.1960 г.- организация п/я- 4704. С 9.07.1963 г.- ММЗ «Красный Октябрь», с 10.03.1977 г.- ММПО «Красный Октябрь», с 18.11.1983 г.- «ММПО им. В.В. Чернышева», с 27.12.1991 г.- ГММПП им. В.В. Чернышева, с 23.02.1994 г.- ОАО «ММП им. В.В. Чернышева». По решению правительства № 22-р от 9.01.2004 г. вошло в перечень стратегических предприятий.</w:t>
      </w:r>
    </w:p>
    <w:p w14:paraId="79530B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Работы (2005 г.): подготовка к производству РД-93- двигателя для китайского истребителя </w:t>
      </w:r>
      <w:r w:rsidRPr="008127F8">
        <w:rPr>
          <w:rFonts w:ascii="Times New Roman" w:hAnsi="Times New Roman"/>
          <w:color w:val="000000" w:themeColor="text1"/>
          <w:sz w:val="16"/>
          <w:szCs w:val="16"/>
          <w:lang w:val="en-US"/>
        </w:rPr>
        <w:t>FC</w:t>
      </w:r>
      <w:r w:rsidRPr="008127F8">
        <w:rPr>
          <w:rFonts w:ascii="Times New Roman" w:hAnsi="Times New Roman"/>
          <w:color w:val="000000" w:themeColor="text1"/>
          <w:sz w:val="16"/>
          <w:szCs w:val="16"/>
        </w:rPr>
        <w:t>-1 на базе РД-33; ВК-3000; освоение выпуска РД-ЗЗМК, РД-1700.</w:t>
      </w:r>
    </w:p>
    <w:p w14:paraId="01FF3F1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(1942-46 г.)- А.Д. Чаромский-Броничев, (1947-52 г.)- В.М. Яковлев, (1967-82 г.)- К.Р. Хачатуров.</w:t>
      </w:r>
    </w:p>
    <w:p w14:paraId="382494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(04.1944 г.-)- В.М. Яковлев.</w:t>
      </w:r>
    </w:p>
    <w:p w14:paraId="6E6D337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(1942-43 г.)- А. Г. Вовк, (1944 г.)- А.П. Петров, (1945-48 г.)- М.Л. Кононенко, (1948-83 г.)- В.В. Чернышев {15.07.1906-}. Гендиректор (1983-97 г.)- А.Н. Напольнов, (10.1997-2002 г.)- О.Н. Третьяков,</w:t>
      </w:r>
      <w:r w:rsidRPr="008127F8">
        <w:rPr>
          <w:rFonts w:ascii="Times New Roman" w:hAnsi="Times New Roman"/>
          <w:color w:val="000000" w:themeColor="text1"/>
          <w:sz w:val="16"/>
          <w:szCs w:val="16"/>
          <w:vertAlign w:val="superscript"/>
        </w:rPr>
        <w:t>49</w:t>
      </w:r>
      <w:r w:rsidRPr="008127F8">
        <w:rPr>
          <w:rFonts w:ascii="Times New Roman" w:hAnsi="Times New Roman"/>
          <w:color w:val="000000" w:themeColor="text1"/>
          <w:sz w:val="16"/>
          <w:szCs w:val="16"/>
        </w:rPr>
        <w:t xml:space="preserve"> (2002-04; 12.2008 г.)- А.С. Новиков, (10.2004 г.)- О.Н. Третьяков.</w:t>
      </w:r>
    </w:p>
    <w:p w14:paraId="6E5C7F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Исполнительный директор (2002 г.)- О.Н. Третьяков. Зам. гендиректора: по ВЭС (2002 г.)- А.А. Носков; по финансовым вопросам (2002 г.)- В.И. Шулепов.</w:t>
      </w:r>
    </w:p>
    <w:p w14:paraId="6DA282D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(1945-47 г.)- В.В. Чернышев, (1984-97 г.)- О.Н. Третьяков.</w:t>
      </w:r>
    </w:p>
    <w:p w14:paraId="0E81B9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(1945 г.)- И.Н. Смирнов.</w:t>
      </w:r>
    </w:p>
    <w:p w14:paraId="21B1D1A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лабораторий: физической (1945 г.)- А.И. Маслов.</w:t>
      </w:r>
    </w:p>
    <w:p w14:paraId="3DC3A5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техбюро (1945 г.)- П.В. Погостин.</w:t>
      </w:r>
    </w:p>
    <w:p w14:paraId="15B5649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 дизельные двигатели: авиационные:</w:t>
      </w:r>
      <w:r w:rsidRPr="008127F8">
        <w:rPr>
          <w:rFonts w:ascii="Times New Roman" w:hAnsi="Times New Roman"/>
          <w:color w:val="000000" w:themeColor="text1"/>
          <w:sz w:val="16"/>
          <w:szCs w:val="16"/>
        </w:rPr>
        <w:t xml:space="preserve"> АЧ-30Б (1943-46)- 900, АЧ-31 (1945-46)- 58, АЧ-30БФ, М501 (1946-53); танковый ТД-30 (1946);</w:t>
      </w:r>
      <w:r w:rsidRPr="008127F8">
        <w:rPr>
          <w:rFonts w:ascii="Times New Roman" w:hAnsi="Times New Roman"/>
          <w:iCs/>
          <w:color w:val="000000" w:themeColor="text1"/>
          <w:sz w:val="16"/>
          <w:szCs w:val="16"/>
        </w:rPr>
        <w:t xml:space="preserve"> ГТД:</w:t>
      </w:r>
      <w:r w:rsidRPr="008127F8">
        <w:rPr>
          <w:rFonts w:ascii="Times New Roman" w:hAnsi="Times New Roman"/>
          <w:color w:val="000000" w:themeColor="text1"/>
          <w:sz w:val="16"/>
          <w:szCs w:val="16"/>
        </w:rPr>
        <w:t xml:space="preserve"> РД-500 (1947-51)- 1274, ВК-1 (1950-53)- 3744, АМ-5А (1952-61)- 2985, Р11-300, Р11Ф-300 (1958-), Р11АФ-300, Р11АФ2-300, Р11В-300 - более 12.000 всех модификаций, Р27В-300 (1974-91), Р27Ф2-300, Р29Б-300, Р35-300, РД-33 (1984-2005-), ТВ7-117С (1991-2005-), ВСУ ГТДЭ-117;</w:t>
      </w:r>
      <w:r w:rsidRPr="008127F8">
        <w:rPr>
          <w:rFonts w:ascii="Times New Roman" w:hAnsi="Times New Roman"/>
          <w:iCs/>
          <w:color w:val="000000" w:themeColor="text1"/>
          <w:sz w:val="16"/>
          <w:szCs w:val="16"/>
        </w:rPr>
        <w:t xml:space="preserve"> ЖРД </w:t>
      </w:r>
      <w:r w:rsidRPr="008127F8">
        <w:rPr>
          <w:rFonts w:ascii="Times New Roman" w:hAnsi="Times New Roman"/>
          <w:color w:val="000000" w:themeColor="text1"/>
          <w:sz w:val="16"/>
          <w:szCs w:val="16"/>
        </w:rPr>
        <w:t>С2.1150 для МКР «Буря» (1958-59)- 50; гл. редукторы ВР-2, ВР-8, ВР-14, ВР-24, ВР-252, ВР-80; ремонт двигателей РД-33, Р29-300 (2002), Р27Ф2М-300 (2002), Р35 (2002), Р11Ф-300 (2004);</w:t>
      </w:r>
      <w:r w:rsidRPr="008127F8">
        <w:rPr>
          <w:rFonts w:ascii="Times New Roman" w:hAnsi="Times New Roman"/>
          <w:color w:val="000000" w:themeColor="text1"/>
          <w:sz w:val="16"/>
          <w:szCs w:val="16"/>
          <w:vertAlign w:val="superscript"/>
        </w:rPr>
        <w:t xml:space="preserve">69 </w:t>
      </w:r>
      <w:r w:rsidRPr="008127F8">
        <w:rPr>
          <w:rFonts w:ascii="Times New Roman" w:hAnsi="Times New Roman"/>
          <w:color w:val="000000" w:themeColor="text1"/>
          <w:sz w:val="16"/>
          <w:szCs w:val="16"/>
        </w:rPr>
        <w:t>торпеда РАТ-52 (1949-50)- экспериментальная партия, МКР «Буря» (1959-)- 52; лодочные моторы «Москва», «Нептун» (1970-е).</w:t>
      </w:r>
    </w:p>
    <w:p w14:paraId="6AE16F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Специальная конструкторская группа (СКГ) при заводе № 500 МАП, п/я 010</w:t>
      </w:r>
    </w:p>
    <w:p w14:paraId="65879E6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от 9.06.1954 г. при заводе № 500 создана СКГ, п/я 010, во главе с В.Н. Челомеем по созданию морских крылатых УР. В 1955 г. она преобразована в ОКБ-52 и перебазировалась в Реутов.</w:t>
      </w:r>
    </w:p>
    <w:p w14:paraId="1ED527B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 500, ОКБ-1 завода № 500 НКАП, ОКБ-500 МАП, ОКБ-500-1 МАП, «Тушинское МКБ (ТМКБ) «Союз» МАП, ГУП «ТМКБ «Союз» /125362  г. Москва ул. Вишневая, 7 тел. 491-58-65/</w:t>
      </w:r>
    </w:p>
    <w:p w14:paraId="726278B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завода № 500 образовано по приказу НКАП № 444с от 13.07.1942 г. на базе завода № 500 в Тушино. В него вошли КБ гл. конструктора Ф.Я. Тулупова и группа 4-го Спецотдела НКВД при заводе № 16 А.Д. Чаромского. Возглавил ОКБ А.Д. Чаромский. Работы по установке М-30 на Ер-2 и ТБ-7. Работы по дизелю М-20, для чего весь задел по нему переведен с завода № 16. Под руководством Чаромского на базе М-30 созданы АЧ- 30Б, АЧ-30БФ, АЧ-31, АЧ-32.</w:t>
      </w:r>
    </w:p>
    <w:p w14:paraId="46BD01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заводе действовала также конструкторская группа под руководством В.М. Яковлева (одновременно-гл. конструктора ОКБ-45)- работы по танковым дизелям ТЧ-ЗОС, ТЧ-30Б (1946 г.).</w:t>
      </w:r>
    </w:p>
    <w:p w14:paraId="5BFDFE0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414сс от 1.07.1946 г. коллективы Чаромского и Яковлева (ОКБ-45) объединены в единое ОКБ- 500 8ГУ МАП. Гл. конструктором назначен В.М. Яковлев. Чаромский с 1947 г. работает в ЦИАМ.</w:t>
      </w:r>
    </w:p>
    <w:p w14:paraId="3A069A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Работы по дизелям АЧ-31, М-51 (М.М. Масленников), М-501 (В.М. Яковлев). В 1946-53г,- работы по воспроизводству немецкого дизеля </w:t>
      </w:r>
      <w:r w:rsidRPr="008127F8">
        <w:rPr>
          <w:rFonts w:ascii="Times New Roman" w:hAnsi="Times New Roman"/>
          <w:color w:val="000000" w:themeColor="text1"/>
          <w:sz w:val="16"/>
          <w:szCs w:val="16"/>
          <w:lang w:val="en-US"/>
        </w:rPr>
        <w:t>Jumo</w:t>
      </w:r>
      <w:r w:rsidRPr="008127F8">
        <w:rPr>
          <w:rFonts w:ascii="Times New Roman" w:hAnsi="Times New Roman"/>
          <w:color w:val="000000" w:themeColor="text1"/>
          <w:sz w:val="16"/>
          <w:szCs w:val="16"/>
        </w:rPr>
        <w:t>-224 и разработке на его базе дизеля М-224. Работы по освоению производства ТРД РД-500 (1947-48 г.). Для разработки конструкторской документации по РД-500 были созданы конструкторские бригады.</w:t>
      </w:r>
    </w:p>
    <w:p w14:paraId="2A6D58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 599-302 от 23.02.1953 г. на территории ленинградского завода «Звезда» им. К.Е. Ворошилова было создано ОКБ-800, гл. конструктором которого назначен В.М. Яковлев.</w:t>
      </w:r>
    </w:p>
    <w:p w14:paraId="3FEB0E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156 от 19.04.1957 г. Ленинградский филиал ОКБ-45 на заводе № 466 преобразован в филиал ОКБ-500. В 08.1957 г.- в ведении ЗГУ МАП. Приказом ГКАТ № 210 от 17.06.1958 г. филиал преобразован в самостоятельное ОКБ при заводе № 466.</w:t>
      </w:r>
    </w:p>
    <w:p w14:paraId="378EEF8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МАП № 175 от 30.04.1966 г. ОКБ-500 переименовано в Тушинское Машиностроительное КБ «Союз». Пост, правительства от 22.04.1996 г. предприятие преобразовано в ГУП «ТМКБ «Союз».</w:t>
      </w:r>
    </w:p>
    <w:p w14:paraId="01885AC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Разработка атомных двигателей, доводка и сопровождение в серии Р-11-300, Р-27Ф2М-300, Р-29-300, Р-35, РД-33. Разработаны установки на базе ГТД, выработавших ресурс, для очистки ВПП, тушения пожаров, очистки труб нефтепроводов; малогабаритные автономные энергоустановки. Создано более 40 типов и модификаций ТРД.</w:t>
      </w:r>
    </w:p>
    <w:p w14:paraId="670E34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 предприятия входит (2002 г.): КБ, ОП, лабораторная база, испытательная станция. Имелись филиалы в  г. Жуковский и в  г. Ахтубинске Астраханской обл.</w:t>
      </w:r>
    </w:p>
    <w:p w14:paraId="270191B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2006 г. ТМКБ «Союз» являлось дочерним предприятием РСК «МиГ».</w:t>
      </w:r>
    </w:p>
    <w:p w14:paraId="023FA5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 г.): разработка Р95-300; внедрение мобильной информационно-диагностической системы наземного контроля КСК-88; установка для беспрокруточной внутренней консервации двигателей; разработка привода ГТП 55СТ-20 для энергетики; (2006 г.): разработка двигателя РД-1700.</w:t>
      </w:r>
    </w:p>
    <w:p w14:paraId="5EB609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(13.07.1942-14.05.1946)- А.Д. Чаромский-Броничев, (14.07.1946-09.1953 г.)- В.М. Яковлев, (1957-65 г.)- Н. Г. Мецхваришвили {1911-65}, (1966-82 г.)- К.Р. Хачатуров, (1982-87 г.)- Ю.Е. Швецов, (1987- 2005 г.)- Р.Ю. Нусберг {29.07.1929-},</w:t>
      </w:r>
      <w:r w:rsidRPr="008127F8">
        <w:rPr>
          <w:rFonts w:ascii="Times New Roman" w:hAnsi="Times New Roman"/>
          <w:color w:val="000000" w:themeColor="text1"/>
          <w:sz w:val="16"/>
          <w:szCs w:val="16"/>
          <w:vertAlign w:val="superscript"/>
        </w:rPr>
        <w:t>49</w:t>
      </w:r>
      <w:r w:rsidRPr="008127F8">
        <w:rPr>
          <w:rFonts w:ascii="Times New Roman" w:hAnsi="Times New Roman"/>
          <w:color w:val="000000" w:themeColor="text1"/>
          <w:sz w:val="16"/>
          <w:szCs w:val="16"/>
        </w:rPr>
        <w:t xml:space="preserve"> (2005 г.-)- Л.С. Бардычев.</w:t>
      </w:r>
    </w:p>
    <w:p w14:paraId="08878A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гл. конструктора (1942-04.1944 г.)- Ф.Я. Тулупов, (04.1944 г.-&gt; И.Е. Скляр, (2002 г.)- А.В. Лобурев. Зам. гл. конструктора: (-04.1944 г.)- И.Е. Скляр; по экспериментальным работам (04.1944 г.-)- Ф.Я. Тулупов; по внедрению АЧ-ЗОБ (04.1944 г.-)- В.М. Яковлев; по эксплуатации (-2000-02 г.-)- В.М. Рузин; (1964-67 г.)- К.Р. Хачатуров, (-2000-02 г.-)- В.И. Винокуров; А.А. Михайловский, С.Р. Саркисов.</w:t>
      </w:r>
    </w:p>
    <w:p w14:paraId="52C900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ответственного руководителя- С.Р. Саркисов. И.О. начальника (1942 г.)- Ф.Я. Тулупов; начальник (1957 г.-)- С.Р. Саркисов. Директор (-1967 г.)- С.Р. Саркисов, (-2000-02 г.-&gt; В.И. Винокуров. Гендиректор (2005 г.)- Л.С. Бардычев.</w:t>
      </w:r>
    </w:p>
    <w:p w14:paraId="0416A3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управления по маркетингу и стратегическому планированию (2006 г.)- С.В. Залашков.</w:t>
      </w:r>
    </w:p>
    <w:p w14:paraId="73975AB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 ТРД:</w:t>
      </w:r>
      <w:r w:rsidRPr="008127F8">
        <w:rPr>
          <w:rFonts w:ascii="Times New Roman" w:hAnsi="Times New Roman"/>
          <w:color w:val="000000" w:themeColor="text1"/>
          <w:sz w:val="16"/>
          <w:szCs w:val="16"/>
        </w:rPr>
        <w:t xml:space="preserve"> РД-500, Р11Ф-300, Р27Ф2М-300, Р29-300, Р29Б-300, Р29БС-300, Р-35, РД-33, РД-1700; ГТУ55СТ-20 на базе Р29-300; дизель М-501 для ВМФ (1946-48); микро-ЖРД Р210 для КА (1963); мобильная система КСК-88.</w:t>
      </w:r>
      <w:r w:rsidRPr="008127F8">
        <w:rPr>
          <w:rFonts w:ascii="Times New Roman" w:hAnsi="Times New Roman"/>
          <w:color w:val="000000" w:themeColor="text1"/>
          <w:sz w:val="16"/>
          <w:szCs w:val="16"/>
          <w:vertAlign w:val="superscript"/>
        </w:rPr>
        <w:t>101</w:t>
      </w:r>
    </w:p>
    <w:p w14:paraId="108138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ОКБ-2 завода № 500, ОКБ-500-2 МАП гл. конструктора С.С. Баландина /Тушино/</w:t>
      </w:r>
    </w:p>
    <w:p w14:paraId="48698A8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515с от 5.08.1946 г. при заводе № 500 сформировано ОКБ-2 гл. конструктора С.С. Баландина, переведенного с группой из 9 чел. с завода № 41 МАП, для продолжения работ по двигателю МБ-8. Разработка 24-цилиндрового мотора воздушного охлаждения М-127. Баландин назначен гл. конструктором мотора на заводе. В ОКБ переведены 11 чел. ИТР из ЦИАМ, 50 чел. с завода № 500. Работы велись и в 1948 г.</w:t>
      </w:r>
    </w:p>
    <w:p w14:paraId="13F4A3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(08.1946-04.1947 г.-) - С.С. Баландин.</w:t>
      </w:r>
    </w:p>
    <w:p w14:paraId="2B3532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(08.1946 г.-)-  Г.П. Зайцев, (08.1946 г.-) - К.А. Гильзин (11982).</w:t>
      </w:r>
    </w:p>
    <w:p w14:paraId="32D0AD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A3743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13 июня 1942 г. приказом НКАП № 444с было создано ОКБ 500 по разработке и внедрению в серийное производство дизельных двигателей. </w:t>
      </w:r>
    </w:p>
    <w:p w14:paraId="3BAEBF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указанием Сталина 13 июня 1942 г. Главным конструктором завода № 500 назначается Андрей Дмитриевич Чаромский и ему присваивают звание генерал-майора инженерно-авиационной службы. </w:t>
      </w:r>
    </w:p>
    <w:p w14:paraId="39F9F5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создание и освоение в серийном производстве авиадизелей А. Д. Чаромскому в 1943 г. была присуждена Сталинская премия первой степени. Его работы как главного конструктора были отмечены рядом высоких правительственных наград: орденами Ленина в 1945 и 1948 гг., Суворова II степени в 1944 г., орденом Трудового Красного Знамени в 1943 г. (12107).</w:t>
      </w:r>
    </w:p>
    <w:p w14:paraId="454B24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C18B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13 июня 1942 г. на старую площадку завода № 261 (ГС Завод № 261 НКАП /г. Москва ул. Фабричная, 11 (р-н ст. Ростокино) (1939 г.)/ / г. Березовск;  г. Верхний Нейвинск Свердловской обл./) в Москве планировалось перевести из Тушино завод № 453 НКАП. Но затем начатый переезд был отменен, и по приказу № 487с от 3.07.1942 г. для размещения завода № 453 были переданы здания и сооружения бывшего завода № 291 </w:t>
      </w:r>
      <w:r w:rsidRPr="008127F8">
        <w:rPr>
          <w:rFonts w:ascii="Times New Roman" w:hAnsi="Times New Roman"/>
          <w:color w:val="000000" w:themeColor="text1"/>
          <w:sz w:val="16"/>
          <w:szCs w:val="16"/>
          <w:lang w:val="en-US"/>
        </w:rPr>
        <w:t>HKA</w:t>
      </w:r>
      <w:r w:rsidRPr="008127F8">
        <w:rPr>
          <w:rFonts w:ascii="Times New Roman" w:hAnsi="Times New Roman"/>
          <w:color w:val="000000" w:themeColor="text1"/>
          <w:sz w:val="16"/>
          <w:szCs w:val="16"/>
        </w:rPr>
        <w:t>П (11982).</w:t>
      </w:r>
    </w:p>
    <w:p w14:paraId="120C75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F947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июня 1942 приказом НК ВМФ №0509 на вооружение был принят металлический стабилизатор АН-42 конструкции инженер-полковника Т И. Алферова (НИМТИ). Он представлял собой цилиндр длиной 1600 мм и диаметром 450 мм с продольными зигами для увеличения жесткости. Основные части стабилизатора: гофрированный корпус из кровельного железа толщиною 0,5 мм, отбортовка корпуса толщиною в 1 мм. Стабилизатор закреплялся на торпеде с помощью направляющих пазов и специальным инерционным механизмом. Система, куда помимо стабилизатора входили ушко для подвески торпеды к замку Дер-20 и щитковый замедлитель масляного золотничка. имела следующие характеристики: высота полета самолета 15-55 м, скорость до 250 км/ч, минимальная глубина в точке сбрасывания - 10 м. Производство металлических стабилизаторов развернулось на заводе №182 в г. Махачкала, причем по плану до конца 1942 г. промышленность должна была сдать флоту 500 штук. Вряд ли это удалось осуществить из-за последовавшей вскоре эвакуации завода.</w:t>
      </w:r>
    </w:p>
    <w:p w14:paraId="30258F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Именно эти два типа стабилизаторов применялись на авиаторпедах в годы Великой Отечественной войны. Летом 1943 г. при испытаниях торпедоносцев "Бостон" выяснилось, что торпеды с металлическим стабилизатором могут сбрасываться на скоростях до 290-300 км/ч. Дальнейшее увеличение скорости самолета приводило к смещению гребных винтов и погнутости их лопастей. Требовалась разработка принципиально новых стабилизаторов.</w:t>
      </w:r>
    </w:p>
    <w:p w14:paraId="2BF2E32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в этом направлении проводились до 1945 г. В результате теоретических и экспериментальных исследований, а также натурных испытаний группой инженеров под руководством профессора Л.И. Седова в 1945 г. был создан стабилизатор СН-45. Он представлял собой легкую металлическую конструкцию весом 8 кг, состоящую из нескольких колец, каркаса, вертикальной планки и поворотного крыла. Приказ об испытаниях СН-45 при скоростях сбрасывания 360-380 км/ч был отдан 14.1.1945. Испытания осуществлялись на базе 5-го гмтап ВВС ЧФ в период 10.2-1.5.1945. Система была принята на вооружение приказом НК ВМФ №0387 от 17.7.1945. Одновременно торпедам с усиленной хвостовой частью присваивался индекс 45-36АНУ. В приказе констатировалось, что система обеспечивает нормальный сброс торпед на скоростях самолета до 360 км/ч. Лишь в послевоенное время после разработки специальной деревянной наделки на носовую часть торпеды удалось довести скорость сбрасывания до 400 км/ч, а высоту - до 100 м.</w:t>
      </w:r>
    </w:p>
    <w:p w14:paraId="200141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проводились испытания торпед с реактивным тормозящим устройством НРТУ. Устройство представляло собой камеры от реактивных снарядов М-13 и М-31. Очевидно, этот экспромт положительных результатов не дал, поскольку на вооружение его не приняли (12002).</w:t>
      </w:r>
    </w:p>
    <w:p w14:paraId="6B3259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A03E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июня 1942 (ТБ-7) отправился в обратный полет из США (1103,228).</w:t>
      </w:r>
    </w:p>
    <w:p w14:paraId="6F781A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9A0AC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499B7B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DB2BC3" w14:textId="77777777" w:rsidR="007C5583" w:rsidRPr="008127F8" w:rsidRDefault="007C5583" w:rsidP="007C5583">
      <w:pPr>
        <w:pStyle w:val="a4"/>
        <w:rPr>
          <w:color w:val="000000" w:themeColor="text1"/>
          <w:lang w:val="ru-RU"/>
        </w:rPr>
      </w:pPr>
      <w:r w:rsidRPr="008127F8">
        <w:rPr>
          <w:color w:val="000000" w:themeColor="text1"/>
          <w:lang w:val="ru-RU"/>
        </w:rPr>
        <w:t>13 июня 1942 г. в докладе начальника АТУ ГАВТУ КА генерал-майора технических войск Тягунова для секретариата СНК СССР указывалось:</w:t>
      </w:r>
    </w:p>
    <w:p w14:paraId="2F2ABAE5" w14:textId="77777777" w:rsidR="007C5583" w:rsidRPr="008127F8" w:rsidRDefault="007C5583" w:rsidP="007C5583">
      <w:pPr>
        <w:pStyle w:val="1011"/>
        <w:shd w:val="clear" w:color="auto" w:fill="auto"/>
        <w:spacing w:line="240" w:lineRule="auto"/>
        <w:ind w:firstLine="0"/>
        <w:rPr>
          <w:rFonts w:ascii="Times New Roman" w:hAnsi="Times New Roman" w:cs="Times New Roman"/>
          <w:i w:val="0"/>
          <w:color w:val="000000" w:themeColor="text1"/>
          <w:sz w:val="16"/>
          <w:szCs w:val="16"/>
        </w:rPr>
      </w:pPr>
      <w:r w:rsidRPr="008127F8">
        <w:rPr>
          <w:rFonts w:ascii="Times New Roman" w:hAnsi="Times New Roman" w:cs="Times New Roman"/>
          <w:i w:val="0"/>
          <w:color w:val="000000" w:themeColor="text1"/>
          <w:sz w:val="16"/>
          <w:szCs w:val="16"/>
        </w:rPr>
        <w:t>«За время войны состав тракторного парка Красной Армии значительно сократился.</w:t>
      </w:r>
    </w:p>
    <w:p w14:paraId="1550C221" w14:textId="77777777" w:rsidR="007C5583" w:rsidRPr="008127F8" w:rsidRDefault="007C5583" w:rsidP="007C5583">
      <w:pPr>
        <w:pStyle w:val="1fd"/>
        <w:shd w:val="clear" w:color="auto" w:fill="auto"/>
        <w:spacing w:line="240" w:lineRule="auto"/>
        <w:ind w:firstLine="0"/>
        <w:jc w:val="both"/>
        <w:rPr>
          <w:rFonts w:ascii="Times New Roman" w:hAnsi="Times New Roman" w:cs="Times New Roman"/>
          <w:b w:val="0"/>
          <w:color w:val="000000" w:themeColor="text1"/>
          <w:sz w:val="16"/>
          <w:szCs w:val="16"/>
        </w:rPr>
      </w:pPr>
      <w:r w:rsidRPr="008127F8">
        <w:rPr>
          <w:rFonts w:ascii="Times New Roman" w:hAnsi="Times New Roman" w:cs="Times New Roman"/>
          <w:b w:val="0"/>
          <w:color w:val="000000" w:themeColor="text1"/>
          <w:sz w:val="16"/>
          <w:szCs w:val="16"/>
        </w:rPr>
        <w:t>Условия осеннего, зимнего и весенне</w:t>
      </w:r>
      <w:r w:rsidRPr="008127F8">
        <w:rPr>
          <w:rFonts w:ascii="Times New Roman" w:hAnsi="Times New Roman" w:cs="Times New Roman"/>
          <w:b w:val="0"/>
          <w:color w:val="000000" w:themeColor="text1"/>
          <w:sz w:val="16"/>
          <w:szCs w:val="16"/>
        </w:rPr>
        <w:softHyphen/>
        <w:t>го бёздорожья вызвали необходимость уси</w:t>
      </w:r>
      <w:r w:rsidRPr="008127F8">
        <w:rPr>
          <w:rFonts w:ascii="Times New Roman" w:hAnsi="Times New Roman" w:cs="Times New Roman"/>
          <w:b w:val="0"/>
          <w:color w:val="000000" w:themeColor="text1"/>
          <w:sz w:val="16"/>
          <w:szCs w:val="16"/>
        </w:rPr>
        <w:softHyphen/>
        <w:t>ленной эксплуатации тракторов, как основ</w:t>
      </w:r>
      <w:r w:rsidRPr="008127F8">
        <w:rPr>
          <w:rFonts w:ascii="Times New Roman" w:hAnsi="Times New Roman" w:cs="Times New Roman"/>
          <w:b w:val="0"/>
          <w:color w:val="000000" w:themeColor="text1"/>
          <w:sz w:val="16"/>
          <w:szCs w:val="16"/>
        </w:rPr>
        <w:softHyphen/>
        <w:t>ного средства, для транспортировки грузов на фронте.</w:t>
      </w:r>
    </w:p>
    <w:p w14:paraId="563424C8" w14:textId="77777777" w:rsidR="007C5583" w:rsidRPr="008127F8" w:rsidRDefault="007C5583" w:rsidP="007C5583">
      <w:pPr>
        <w:pStyle w:val="1011"/>
        <w:shd w:val="clear" w:color="auto" w:fill="auto"/>
        <w:spacing w:line="240" w:lineRule="auto"/>
        <w:ind w:firstLine="0"/>
        <w:rPr>
          <w:rFonts w:ascii="Times New Roman" w:hAnsi="Times New Roman" w:cs="Times New Roman"/>
          <w:i w:val="0"/>
          <w:color w:val="000000" w:themeColor="text1"/>
          <w:sz w:val="16"/>
          <w:szCs w:val="16"/>
        </w:rPr>
      </w:pPr>
      <w:r w:rsidRPr="008127F8">
        <w:rPr>
          <w:rFonts w:ascii="Times New Roman" w:hAnsi="Times New Roman" w:cs="Times New Roman"/>
          <w:i w:val="0"/>
          <w:color w:val="000000" w:themeColor="text1"/>
          <w:sz w:val="16"/>
          <w:szCs w:val="16"/>
        </w:rPr>
        <w:t>Все это привело к тому, что наряду с со</w:t>
      </w:r>
      <w:r w:rsidRPr="008127F8">
        <w:rPr>
          <w:rFonts w:ascii="Times New Roman" w:hAnsi="Times New Roman" w:cs="Times New Roman"/>
          <w:i w:val="0"/>
          <w:color w:val="000000" w:themeColor="text1"/>
          <w:sz w:val="16"/>
          <w:szCs w:val="16"/>
        </w:rPr>
        <w:softHyphen/>
        <w:t>кращением количественного устава трактор</w:t>
      </w:r>
      <w:r w:rsidRPr="008127F8">
        <w:rPr>
          <w:rFonts w:ascii="Times New Roman" w:hAnsi="Times New Roman" w:cs="Times New Roman"/>
          <w:i w:val="0"/>
          <w:color w:val="000000" w:themeColor="text1"/>
          <w:sz w:val="16"/>
          <w:szCs w:val="16"/>
        </w:rPr>
        <w:softHyphen/>
        <w:t>ного парка, наличный его состав по техниче</w:t>
      </w:r>
      <w:r w:rsidRPr="008127F8">
        <w:rPr>
          <w:rFonts w:ascii="Times New Roman" w:hAnsi="Times New Roman" w:cs="Times New Roman"/>
          <w:i w:val="0"/>
          <w:color w:val="000000" w:themeColor="text1"/>
          <w:sz w:val="16"/>
          <w:szCs w:val="16"/>
        </w:rPr>
        <w:softHyphen/>
        <w:t>скому состоянию в значительной степени стал изношенным.</w:t>
      </w:r>
    </w:p>
    <w:p w14:paraId="297400B9" w14:textId="77777777" w:rsidR="007C5583" w:rsidRPr="008127F8" w:rsidRDefault="007C5583" w:rsidP="007C5583">
      <w:pPr>
        <w:pStyle w:val="1011"/>
        <w:shd w:val="clear" w:color="auto" w:fill="auto"/>
        <w:spacing w:line="240" w:lineRule="auto"/>
        <w:ind w:firstLine="0"/>
        <w:rPr>
          <w:rFonts w:ascii="Times New Roman" w:hAnsi="Times New Roman" w:cs="Times New Roman"/>
          <w:i w:val="0"/>
          <w:color w:val="000000" w:themeColor="text1"/>
          <w:sz w:val="16"/>
          <w:szCs w:val="16"/>
        </w:rPr>
      </w:pPr>
      <w:r w:rsidRPr="008127F8">
        <w:rPr>
          <w:rFonts w:ascii="Times New Roman" w:hAnsi="Times New Roman" w:cs="Times New Roman"/>
          <w:i w:val="0"/>
          <w:color w:val="000000" w:themeColor="text1"/>
          <w:sz w:val="16"/>
          <w:szCs w:val="16"/>
        </w:rPr>
        <w:t>Трактор «Ворошиловец», служащий целям эвакуации тяжелых и средних танков с поля боя и как средство механической тяги артил</w:t>
      </w:r>
      <w:r w:rsidRPr="008127F8">
        <w:rPr>
          <w:rFonts w:ascii="Times New Roman" w:hAnsi="Times New Roman" w:cs="Times New Roman"/>
          <w:i w:val="0"/>
          <w:color w:val="000000" w:themeColor="text1"/>
          <w:sz w:val="16"/>
          <w:szCs w:val="16"/>
        </w:rPr>
        <w:softHyphen/>
        <w:t>лерии большой</w:t>
      </w:r>
      <w:r w:rsidRPr="008127F8">
        <w:rPr>
          <w:rStyle w:val="1016"/>
          <w:rFonts w:eastAsia="Arial Unicode MS"/>
          <w:i w:val="0"/>
          <w:iCs w:val="0"/>
          <w:color w:val="000000" w:themeColor="text1"/>
          <w:sz w:val="16"/>
          <w:szCs w:val="16"/>
        </w:rPr>
        <w:t xml:space="preserve"> мощности, не производится с </w:t>
      </w:r>
      <w:r w:rsidRPr="008127F8">
        <w:rPr>
          <w:rFonts w:ascii="Times New Roman" w:hAnsi="Times New Roman" w:cs="Times New Roman"/>
          <w:i w:val="0"/>
          <w:color w:val="000000" w:themeColor="text1"/>
          <w:sz w:val="16"/>
          <w:szCs w:val="16"/>
        </w:rPr>
        <w:t>августа месяца 1941 года.</w:t>
      </w:r>
    </w:p>
    <w:p w14:paraId="624C7A8B" w14:textId="77777777" w:rsidR="007C5583" w:rsidRPr="008127F8" w:rsidRDefault="007C5583" w:rsidP="007C5583">
      <w:pPr>
        <w:pStyle w:val="1011"/>
        <w:shd w:val="clear" w:color="auto" w:fill="auto"/>
        <w:spacing w:line="240" w:lineRule="auto"/>
        <w:ind w:firstLine="0"/>
        <w:rPr>
          <w:rFonts w:ascii="Times New Roman" w:hAnsi="Times New Roman" w:cs="Times New Roman"/>
          <w:i w:val="0"/>
          <w:color w:val="000000" w:themeColor="text1"/>
          <w:sz w:val="16"/>
          <w:szCs w:val="16"/>
        </w:rPr>
      </w:pPr>
      <w:r w:rsidRPr="008127F8">
        <w:rPr>
          <w:rFonts w:ascii="Times New Roman" w:hAnsi="Times New Roman" w:cs="Times New Roman"/>
          <w:i w:val="0"/>
          <w:color w:val="000000" w:themeColor="text1"/>
          <w:sz w:val="16"/>
          <w:szCs w:val="16"/>
        </w:rPr>
        <w:t>За это время ни одного трактора «Воро</w:t>
      </w:r>
      <w:r w:rsidRPr="008127F8">
        <w:rPr>
          <w:rFonts w:ascii="Times New Roman" w:hAnsi="Times New Roman" w:cs="Times New Roman"/>
          <w:i w:val="0"/>
          <w:color w:val="000000" w:themeColor="text1"/>
          <w:sz w:val="16"/>
          <w:szCs w:val="16"/>
        </w:rPr>
        <w:softHyphen/>
        <w:t>шиловец» Красная Армия не получила.</w:t>
      </w:r>
    </w:p>
    <w:p w14:paraId="2B060F53" w14:textId="77777777" w:rsidR="007C5583" w:rsidRPr="008127F8" w:rsidRDefault="007C5583" w:rsidP="007C5583">
      <w:pPr>
        <w:pStyle w:val="1011"/>
        <w:shd w:val="clear" w:color="auto" w:fill="auto"/>
        <w:spacing w:line="240" w:lineRule="auto"/>
        <w:ind w:firstLine="0"/>
        <w:rPr>
          <w:rFonts w:ascii="Times New Roman" w:hAnsi="Times New Roman" w:cs="Times New Roman"/>
          <w:i w:val="0"/>
          <w:color w:val="000000" w:themeColor="text1"/>
          <w:sz w:val="16"/>
          <w:szCs w:val="16"/>
        </w:rPr>
      </w:pPr>
      <w:r w:rsidRPr="008127F8">
        <w:rPr>
          <w:rFonts w:ascii="Times New Roman" w:hAnsi="Times New Roman" w:cs="Times New Roman"/>
          <w:i w:val="0"/>
          <w:color w:val="000000" w:themeColor="text1"/>
          <w:sz w:val="16"/>
          <w:szCs w:val="16"/>
        </w:rPr>
        <w:t>Вопрос об изготовлении опытных образ</w:t>
      </w:r>
      <w:r w:rsidRPr="008127F8">
        <w:rPr>
          <w:rFonts w:ascii="Times New Roman" w:hAnsi="Times New Roman" w:cs="Times New Roman"/>
          <w:i w:val="0"/>
          <w:color w:val="000000" w:themeColor="text1"/>
          <w:sz w:val="16"/>
          <w:szCs w:val="16"/>
        </w:rPr>
        <w:softHyphen/>
        <w:t>цов и подготовки производства трактора АТ-45 (взамен «Ворошиловец») на базе танка Т-34 еще не разрешен.</w:t>
      </w:r>
    </w:p>
    <w:p w14:paraId="22869B0D" w14:textId="77777777" w:rsidR="007C5583" w:rsidRPr="008127F8" w:rsidRDefault="007C5583" w:rsidP="007C5583">
      <w:pPr>
        <w:pStyle w:val="1011"/>
        <w:shd w:val="clear" w:color="auto" w:fill="auto"/>
        <w:spacing w:line="240" w:lineRule="auto"/>
        <w:ind w:firstLine="0"/>
        <w:rPr>
          <w:rFonts w:ascii="Times New Roman" w:hAnsi="Times New Roman" w:cs="Times New Roman"/>
          <w:i w:val="0"/>
          <w:color w:val="000000" w:themeColor="text1"/>
          <w:sz w:val="16"/>
          <w:szCs w:val="16"/>
        </w:rPr>
      </w:pPr>
      <w:r w:rsidRPr="008127F8">
        <w:rPr>
          <w:rFonts w:ascii="Times New Roman" w:hAnsi="Times New Roman" w:cs="Times New Roman"/>
          <w:i w:val="0"/>
          <w:color w:val="000000" w:themeColor="text1"/>
          <w:sz w:val="16"/>
          <w:szCs w:val="16"/>
        </w:rPr>
        <w:t>Технический проект этого трактора, раз</w:t>
      </w:r>
      <w:r w:rsidRPr="008127F8">
        <w:rPr>
          <w:rFonts w:ascii="Times New Roman" w:hAnsi="Times New Roman" w:cs="Times New Roman"/>
          <w:i w:val="0"/>
          <w:color w:val="000000" w:themeColor="text1"/>
          <w:sz w:val="16"/>
          <w:szCs w:val="16"/>
        </w:rPr>
        <w:softHyphen/>
        <w:t>работанный заводом №183, утвержден ГАБТУ и ГАУ Красной Армии 4 июня 1942 года».</w:t>
      </w:r>
    </w:p>
    <w:p w14:paraId="20F70888" w14:textId="77777777" w:rsidR="007C5583" w:rsidRPr="008127F8" w:rsidRDefault="007C5583" w:rsidP="007C5583">
      <w:pPr>
        <w:pStyle w:val="1011"/>
        <w:shd w:val="clear" w:color="auto" w:fill="auto"/>
        <w:spacing w:line="240" w:lineRule="auto"/>
        <w:ind w:firstLine="0"/>
        <w:rPr>
          <w:rFonts w:ascii="Times New Roman" w:hAnsi="Times New Roman" w:cs="Times New Roman"/>
          <w:i w:val="0"/>
          <w:color w:val="000000" w:themeColor="text1"/>
          <w:sz w:val="16"/>
          <w:szCs w:val="16"/>
        </w:rPr>
      </w:pPr>
      <w:r w:rsidRPr="008127F8">
        <w:rPr>
          <w:rStyle w:val="1016"/>
          <w:rFonts w:eastAsia="Arial Unicode MS"/>
          <w:i w:val="0"/>
          <w:iCs w:val="0"/>
          <w:color w:val="000000" w:themeColor="text1"/>
          <w:sz w:val="16"/>
          <w:szCs w:val="16"/>
        </w:rPr>
        <w:t>Там же отмечалось, что из-за</w:t>
      </w:r>
      <w:r w:rsidRPr="008127F8">
        <w:rPr>
          <w:rFonts w:ascii="Times New Roman" w:hAnsi="Times New Roman" w:cs="Times New Roman"/>
          <w:i w:val="0"/>
          <w:color w:val="000000" w:themeColor="text1"/>
          <w:sz w:val="16"/>
          <w:szCs w:val="16"/>
        </w:rPr>
        <w:t xml:space="preserve"> «полного прекращения выпуска тракторов «Ворошило</w:t>
      </w:r>
      <w:r w:rsidRPr="008127F8">
        <w:rPr>
          <w:rFonts w:ascii="Times New Roman" w:hAnsi="Times New Roman" w:cs="Times New Roman"/>
          <w:i w:val="0"/>
          <w:color w:val="000000" w:themeColor="text1"/>
          <w:sz w:val="16"/>
          <w:szCs w:val="16"/>
        </w:rPr>
        <w:softHyphen/>
        <w:t>вец» и ЧТЗ создалось чрезвычайно тяжелое положение в артиллерийских и танковых ча</w:t>
      </w:r>
      <w:r w:rsidRPr="008127F8">
        <w:rPr>
          <w:rFonts w:ascii="Times New Roman" w:hAnsi="Times New Roman" w:cs="Times New Roman"/>
          <w:i w:val="0"/>
          <w:color w:val="000000" w:themeColor="text1"/>
          <w:sz w:val="16"/>
          <w:szCs w:val="16"/>
        </w:rPr>
        <w:softHyphen/>
        <w:t>стях ..с Танковые части совершенно не обе</w:t>
      </w:r>
      <w:r w:rsidRPr="008127F8">
        <w:rPr>
          <w:rFonts w:ascii="Times New Roman" w:hAnsi="Times New Roman" w:cs="Times New Roman"/>
          <w:i w:val="0"/>
          <w:color w:val="000000" w:themeColor="text1"/>
          <w:sz w:val="16"/>
          <w:szCs w:val="16"/>
        </w:rPr>
        <w:softHyphen/>
        <w:t>спечиваются мощными тракторами «Вороши</w:t>
      </w:r>
      <w:r w:rsidRPr="008127F8">
        <w:rPr>
          <w:rFonts w:ascii="Times New Roman" w:hAnsi="Times New Roman" w:cs="Times New Roman"/>
          <w:i w:val="0"/>
          <w:color w:val="000000" w:themeColor="text1"/>
          <w:sz w:val="16"/>
          <w:szCs w:val="16"/>
        </w:rPr>
        <w:softHyphen/>
        <w:t>ловец», в результате чего тяжелые и средние танки даже из-за небольших неисправностей или повреждений своевременно не эвакуиру</w:t>
      </w:r>
      <w:r w:rsidRPr="008127F8">
        <w:rPr>
          <w:rFonts w:ascii="Times New Roman" w:hAnsi="Times New Roman" w:cs="Times New Roman"/>
          <w:i w:val="0"/>
          <w:color w:val="000000" w:themeColor="text1"/>
          <w:sz w:val="16"/>
          <w:szCs w:val="16"/>
        </w:rPr>
        <w:softHyphen/>
        <w:t>ются с поля боя и попадают к противнику».</w:t>
      </w:r>
    </w:p>
    <w:p w14:paraId="400F15D5" w14:textId="77777777" w:rsidR="007C5583" w:rsidRPr="008127F8" w:rsidRDefault="007C5583" w:rsidP="007C5583">
      <w:pPr>
        <w:pStyle w:val="1011"/>
        <w:shd w:val="clear" w:color="auto" w:fill="auto"/>
        <w:spacing w:line="240" w:lineRule="auto"/>
        <w:ind w:firstLine="0"/>
        <w:rPr>
          <w:rFonts w:ascii="Times New Roman" w:hAnsi="Times New Roman" w:cs="Times New Roman"/>
          <w:i w:val="0"/>
          <w:color w:val="000000" w:themeColor="text1"/>
          <w:sz w:val="16"/>
          <w:szCs w:val="16"/>
        </w:rPr>
      </w:pPr>
      <w:r w:rsidRPr="008127F8">
        <w:rPr>
          <w:rStyle w:val="1016"/>
          <w:rFonts w:eastAsia="Arial Unicode MS"/>
          <w:i w:val="0"/>
          <w:iCs w:val="0"/>
          <w:color w:val="000000" w:themeColor="text1"/>
          <w:sz w:val="16"/>
          <w:szCs w:val="16"/>
        </w:rPr>
        <w:t>По глубокому убеждению Тягунова, следо</w:t>
      </w:r>
      <w:r w:rsidRPr="008127F8">
        <w:rPr>
          <w:rStyle w:val="1016"/>
          <w:rFonts w:eastAsia="Arial Unicode MS"/>
          <w:i w:val="0"/>
          <w:iCs w:val="0"/>
          <w:color w:val="000000" w:themeColor="text1"/>
          <w:sz w:val="16"/>
          <w:szCs w:val="16"/>
        </w:rPr>
        <w:softHyphen/>
        <w:t>вало</w:t>
      </w:r>
      <w:r w:rsidRPr="008127F8">
        <w:rPr>
          <w:rFonts w:ascii="Times New Roman" w:hAnsi="Times New Roman" w:cs="Times New Roman"/>
          <w:i w:val="0"/>
          <w:color w:val="000000" w:themeColor="text1"/>
          <w:sz w:val="16"/>
          <w:szCs w:val="16"/>
        </w:rPr>
        <w:t xml:space="preserve"> «немедленно преступить к изготовлению опытных образцов тягача АТ-45 на базе танка Т-34 и подготовке производства к серийному выпуску его на заводе №174 (Омск)» (15748).</w:t>
      </w:r>
    </w:p>
    <w:p w14:paraId="1DC570B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A81B1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июня 1942 вышло Постановление ГКО № 1907 О плане производства и мероприятиях по обеспечению выпуска средств радиосвязи для Красной Армии. РГАНИР, Фонд ГКО, д. 39, лл. 183-191, 192-199 (11012).</w:t>
      </w:r>
    </w:p>
    <w:p w14:paraId="1C930F8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C7D7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июня 1942 вышло Постановление о судостроении и судоремонте в Ленинграде, предусматривающее производство более 60 боевых катеров, тральщиков и др., ремонт СКР "Туча", "Тайфун" и др (10671).</w:t>
      </w:r>
    </w:p>
    <w:p w14:paraId="1D9312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294DC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019899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3F693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13 июня</w:t>
      </w:r>
      <w:r w:rsidRPr="008127F8">
        <w:rPr>
          <w:rFonts w:ascii="Times New Roman" w:hAnsi="Times New Roman"/>
          <w:color w:val="000000" w:themeColor="text1"/>
          <w:sz w:val="16"/>
          <w:szCs w:val="16"/>
        </w:rPr>
        <w:t xml:space="preserve"> в 1942 году утреннее сообщение Совинформбюро:</w:t>
      </w:r>
    </w:p>
    <w:p w14:paraId="59B4F95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13 июня на фронте существенных изменений не произошло.</w:t>
      </w:r>
    </w:p>
    <w:p w14:paraId="0ECE5C0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Немецко-фашистские войска на Севастопольском участке фронта несут огромные потери. За последние дни гитлеровцы в качестве «пушечного мяса» всё больше ибольше используют румын. Вчера в течение дня они четыре раза бросали в «психические» атаки батальон пьяных румынских солдат. Ружейно-пулемётным огнём наши бойцы уничтожили по меньшей мере 200 румын. Остатки разгромленного румынского батальона отброшены на исходные позиции.</w:t>
      </w:r>
    </w:p>
    <w:p w14:paraId="1DADD8E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Северо-Западного фронта, в результате боя с противником улучшила свои позиции. Нашими бойцами уничтожено 2 немецких танка, 3 орудия и 8 автомашин. На поле боя осталось до 300 трупов солдат и офицеров противника. Захвачены трофеи: 9 пулемётов, 2 миномёта, 20 ящиков с патронами и радиостанция. Взяты пленные.</w:t>
      </w:r>
    </w:p>
    <w:p w14:paraId="3166032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Зенитчики одной нашей части (Юго-Западный фронт) в течение дня сбили 4 немецких самолёта.</w:t>
      </w:r>
    </w:p>
    <w:p w14:paraId="31930F9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Пять наших разведчиков во главе с тов. Соболевым при выполнении боевого задания встретились с группой гитлеровцев. В короткой схватке наши бойцы уничтожили четырёх и захватили в плен одного немецкого солдата.</w:t>
      </w:r>
    </w:p>
    <w:p w14:paraId="71C8C37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Снайперы т.т. Григорий Абрамов, Захар Угаров, Александр Зайцев и Василий Вихров в течение двух недель истребили 70 немецких солдат и офицеров.</w:t>
      </w:r>
    </w:p>
    <w:p w14:paraId="3E001A0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У., действующий в одном из оккупированных немцами районов Курской области, пустил под откос железнодорожный состав противника. В результате крушения уничтожено 2 самолёта, 12 орудий, трактор и до 100 немецко-фашистских оккупантов.</w:t>
      </w:r>
    </w:p>
    <w:p w14:paraId="24F452F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немецкого унтер-офицера, фамилию которого не удалось установить, найдено письмо от матери. В нём говорится: «Пользуясь случаем, посылаю тебе письмо с Гербертом. Это большая удача, так как в письме по почте правду писать нельзя... Когда вы кончите эту бессмысленную войну? Пе пора ли вам прекратит ьпроливать кровь в угоду кучке заправил? Не знаю, как у вас, а здесь мы дальше не выдержим. Эльза больна, харкает кровью, а её заставляют работать по 12 часов. Есть нечего. Бесконечно стоишь в очередях, а домой возвращаешься с пустой сумкой».</w:t>
      </w:r>
    </w:p>
    <w:p w14:paraId="4C1EC8C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Немецко-фашистские мерзавцы ворвались ночью в деревню Корлово, Ленинградской области. Гитлеровские бандиты подожгли дома колхозников, а когда крестьяне стали спасать своё имущество, открыли огонь из пулемётов. Многие жители деревни, в том числе женщины и дети, убиты. Все дома и постройки в деревне сгорели.</w:t>
      </w:r>
    </w:p>
    <w:p w14:paraId="540A7E3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 всех концов страны поступают отклики на сообщения о посещении Лондона и Вашингтона Народным Комиссаром Иностранных Дел СССР тов. В.М.Молотовым. Трудящиеся Советского Союза единодушно одобряют договор, заключённый между СССРи Великобританией. Рабочие, колхозники, советская интеллигенция отмечают, что крепнущее боевое содружество между СССР, Великобританией и США приближает час полной победы над гитлеровской Германией и её сообщниками по агрессии в Европе.</w:t>
      </w:r>
    </w:p>
    <w:p w14:paraId="31982B9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 московском заводе «Красный пролетарий» фрезеровщик тов. Кривошеев, выражая общее мнение всех рабочих завода, заявил: «Объединённые силы СССР, Великобритании и США сметут с лица земли немецко-фашистских захватчиков и освободят порабощённые народы Европы».</w:t>
      </w:r>
    </w:p>
    <w:p w14:paraId="35CC26A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Большой аудитории Московского государственного университета собралось свыше тысячи профессоров, преподавателей и студентов. «Гитлеровская Германия,— говорил член-корреспондент Академии наук СССР лауреат Сталинской премии профессор Ефимов,— пыталась поодиночке разбить своих противников, но она встретила объединённый отпор свободолюбивых стран. Договор вызывает глубокое удовлетворение у всех, кто борется за свободу».</w:t>
      </w:r>
    </w:p>
    <w:p w14:paraId="73F2B6D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митинге железнодорожников Калининского узла выступил машинист-лунинец тов. Макаров. «Союз великих держав,— заявил он,— обеспечит окончательный разгром гитлеровцев в 1942 году. И в этом можно не сомневаться. Так оно и будет!»</w:t>
      </w:r>
    </w:p>
    <w:p w14:paraId="415E4E5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митинге рабочих Энского завода Чкаловской области выступила стахановка тов. Бородянская, которая сказала: «Мы, советские люди, от души рады укреплению боевого содружества между народами нашей страны, Великобритании и США. Мы не пожалеем сил, чтобы дать фронту всё необходимое для быстрой и полной победы над врагом» (14921).</w:t>
      </w:r>
    </w:p>
    <w:p w14:paraId="59EF7A6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336A5D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13 июня</w:t>
      </w:r>
      <w:r w:rsidRPr="008127F8">
        <w:rPr>
          <w:rFonts w:ascii="Times New Roman" w:hAnsi="Times New Roman"/>
          <w:color w:val="000000" w:themeColor="text1"/>
          <w:sz w:val="16"/>
          <w:szCs w:val="16"/>
        </w:rPr>
        <w:t xml:space="preserve"> в 1942 году вечернее сообщение Совинформбюро:</w:t>
      </w:r>
    </w:p>
    <w:p w14:paraId="72860C3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13 июня на Харьковском направлении ваши войска вели бои с танками и пехотой противника, отбивали атаки наступающих немецко-фашистских войск и нанесли им большие потери.</w:t>
      </w:r>
    </w:p>
    <w:p w14:paraId="1B8E85C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Севастопольском участке фронта наши войска успешно отражали многократны еатаки противника и удерживали свои позиции.</w:t>
      </w:r>
    </w:p>
    <w:p w14:paraId="45AECBF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происходили бои местного значения, действия разведывательных отрядов и авиации.</w:t>
      </w:r>
    </w:p>
    <w:p w14:paraId="5DD427D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 корабль в районе Одессы потопил транспорт противника водоизмещением в 6.000 тонн.</w:t>
      </w:r>
    </w:p>
    <w:p w14:paraId="2F0A0E4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12 июня частями нашей авиации на различных участках фронта уничтожено или повреждено 44 немецких танка, 210 автомашин с войсками и грузами, 5 автоцистерн с горючим, 9 зенитно-пулемётных точек, зенитная и 8 миномётных батарей, разбито15 железнодорожных вагонов, повреждено 2 канонерские лодки и торпедный катер, рассеяно и частью уничтожено до трёх батальонов пехоты противника.</w:t>
      </w:r>
    </w:p>
    <w:p w14:paraId="2FD3384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Калининского фронта наша часть утром 13 июня атаковала немецкую оборонительную линию. Под прикрытием артиллерийского огня советская пехота, выбив немцев с занимаемых ими позиций, заняла новый важный рубеж. Ожесточённый бой продолжался в течение всего дня. Немцы потеряли убитыми и ранеными до 900 солдат и офицеров. Взяты пленные. Артиллерийским огнём уничтожено 10 вражеских ДЗОТов, 4 артиллерийские и миномётные батареи и 4 орудия. Захвачено 7 пулемётов, 2 миномёта и другое вооружение. На другом участке наше пехотное подразделение под прикрытием группы танков атаковало немецкий укреплённый пункт. После короткого боя наши бойцы ворвались в подожжённую отступающими немцами деревню и закрепились в ней.</w:t>
      </w:r>
    </w:p>
    <w:p w14:paraId="5521C36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штурмовиков-гвардейцев под командованием гвардии майора Малюшина совершил внезапный налёт на занятую немцами железнодорожную станцию. Советские лётчики разбомбили вражеские эшелоны и без потерь вернулись на свой аэродром. Группа бомбардировщиков авиачасти, где командиром тов. Чучев, уничтожила на вражеском аэродроме 7 немецких самолётов.</w:t>
      </w:r>
    </w:p>
    <w:p w14:paraId="0B51D2D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разведчиков под командованием младшего лейтенанта Агишева и младшего политрука Панина (Ленинградский фронт) форсировала реку, стремительным броском ворвалась в траншеи противника и уничтожила 27 белофиннов. Отважные разведчики взяли в плен финского солдата и благополучно вернулись в свою часть.</w:t>
      </w:r>
    </w:p>
    <w:p w14:paraId="5D12FB3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Танковый экипаж лейтенанта Клющечкина (Северо-Западный фронт), замаскировавшись в лесу, находился в засаде. Вскоре появились 10 вражеских танков. Подпустив их на близкое расстояние, наши танкисты открыли огонь и подожгли пять немецких танков.</w:t>
      </w:r>
    </w:p>
    <w:p w14:paraId="3C3D51A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 старший сержант тов. Адилов истребил 104 гитлеровца.</w:t>
      </w:r>
    </w:p>
    <w:p w14:paraId="1771CB6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упорных боях партизаны Энского района, Орловской области, отвоёвывают у немецко-фашистских захватчиков один за другим населённые пункты. Немцы бросили против партизан венгерскую бригаду и несколько полицейских отрядов. В одном месте карателям удалось прорвать оборону партизан и захватить деревню С. Фашистские палачи сожгли деревню дотла и зверски расправились с местными жителями. Гитлеровские изверги не пощадили ни стариков, ни женщин, ни детей. Контратакой партизаны выбили карателей из деревни С. и уничтожили более 100 оккупантов.</w:t>
      </w:r>
    </w:p>
    <w:p w14:paraId="0396266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Унтер-офицер 246 немецкой пехотной дивизии Альфонс Жестер, взятый в плен 13 июня, рассказал: «До последнего времени наш запасной батальон находился воФранции. Когда солдаты узнали, что их посылают в Россию, они почувствовали себя, как приговорённые к смерти. Командир батареи заявил, что нас в России ничего хорошего не ждёт. Из этого солдаты сделали следующий вывод: «Если командиры так мрачно смотрят на будущее, значит дело дрянь».</w:t>
      </w:r>
    </w:p>
    <w:p w14:paraId="324C4FC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действующий в тылу немецких войск на Калининском фронте, захватил полевую почту противника номер 46319. Одно из захваченных писем былоадресовано немецкому обер-ефрейтору Вильгельму Крессе и написано 11 мая 1942 года его женой, проживающей в Тюбингене, Герман-Герингштрассе, 52. Ниже публикуются выдержки из письма:</w:t>
      </w:r>
    </w:p>
    <w:p w14:paraId="349C6F2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«Дорогой Вильгельм! Вчера получила твоё письмо... Было бы очень хорошо, если эта ужасная война, наконец, пришла бы к концу. Но кто знает, как долго она продлится? Будем надеяться, что скоро наступит окончание войны. Это всеобщеежелание, потому что затянуть ремень вокруг живота ещё туже почти невозможно... Ты помнишь Вильгельма Оксена? Он был ранен в России, и в госпитале ему отняли часть ноги. Теперь он в Тюбингене. Только в таком виде прибывают люди с Восточного фронта на родину. Ты, наверное, также помнишь и Паулину из Шерцингена. Её муж и четверо братьев пали в России. На прошлой неделе у нас были «томми». Из-за воздушных налётов нам всё чаще приходится уходить в убежища».</w:t>
      </w:r>
    </w:p>
    <w:p w14:paraId="70606B4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Отступая под напором Красной Армии, немецко-фашистские мерзавцы разрушили деревню Крутое, Ливенского района, Орловской области. Гитлеровцы сожгли 293 дома. Наши бойцы и командиры помогли колхозникам восстановить разрушенное село.13 июня жена красноармейца, колхозница Анна Васильевна Кудинова въехала в построенный бойцами новый дом.</w:t>
      </w:r>
    </w:p>
    <w:p w14:paraId="3DFF78C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большим удовлетворением встретили народы Советского Союза сообщение о Соглашении между правительствами СССР и США о принципах, применимых к взаимной помощи в ведении войны против агрессии. На митингах и собраниях командиры и красноармейцы, рабочие, колхозники, интеллигенция горячо приветствовали этот имеющий важнейшее значение акт, укрепляющий боевую дружбу великих демократических держав — СССР, Великобритании и США. Советско-американское Соглашение приблизит час победы над гитлеровской Германией и будет способствовать созданию прочного мира после окончательного разгрома гитлеровских полчищ (14921).</w:t>
      </w:r>
    </w:p>
    <w:p w14:paraId="0CC92DF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CF4C44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июня 1942 над Горьким в очередной раз появился немецкий самолет-разведчик. На его перехват были подняты истребители 722-го ИАП. В 10.50 лейтенант П. В. Грозпоцкий на своем МиГ-3 попытался атаковать Ju-88, который в этот момент находился прямо над городом. Однако ответным огнем бортстрелков его истребитель был сбит, перешел в беспорядочное пикирование и рухнул на прессовый цех автозавода, в пролет между рядами 61—62. В результате была пробита кровля и часть светового фонаря площадью 150 кв. м, разрушены одна ферма перекрытия, связи и прогоны перекрытия между фермами рядов 61—62. Ранения получили трое рабочих, а сам летчик погиб (11774).</w:t>
      </w:r>
    </w:p>
    <w:p w14:paraId="751BB5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1F643F"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13 июня 1942 года первый набег на Ялту из Анапы осуществил торпедный катер «Д-3» старшего лейтенанта О.М.Чепика. На его борту находились командир отряда старший лейтенант К.П.Кочнев и капитан-лейтенант Г.Д.Дьяченко (15985).</w:t>
      </w:r>
    </w:p>
    <w:p w14:paraId="2655973C"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p>
    <w:p w14:paraId="3C97A42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июня 1942 торпеда Д-3 и СМ-3, атаковавших Ялту, отправила на дно итальянскую сверхмалую подводную лодку “СВ-5”. От взрывов также пострадали однотипные с ней “СВ-2” и “СВ-3”, а заодно ТКА “MAS-572” (6002).</w:t>
      </w:r>
    </w:p>
    <w:p w14:paraId="208221D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5950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6C8399A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AA5C8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13 июня</w:t>
      </w:r>
      <w:r w:rsidRPr="008127F8">
        <w:rPr>
          <w:rFonts w:ascii="Times New Roman" w:hAnsi="Times New Roman"/>
          <w:color w:val="000000" w:themeColor="text1"/>
          <w:sz w:val="16"/>
          <w:szCs w:val="16"/>
        </w:rPr>
        <w:t xml:space="preserve"> в 1942 году с полигона Пенемюнде (Германия) осуществлен испытательный пуск ракеты “А-4”, закончившийся аварией (14921).</w:t>
      </w:r>
    </w:p>
    <w:p w14:paraId="15AD991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3EA1299" w14:textId="77777777" w:rsidR="00B21796" w:rsidRPr="008A2E5A" w:rsidRDefault="00B21796" w:rsidP="00B217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июня 1942  г. ракета А-4 № 2 через 36 секунд отклонилась от курса и упала в 1300 м от старта. Тем не менее, взлет огромной ракеты произвел сильное впечатление на зрителей (23372).</w:t>
      </w:r>
    </w:p>
    <w:p w14:paraId="65D83732" w14:textId="77777777" w:rsidR="00B21796" w:rsidRPr="008A2E5A" w:rsidRDefault="00B21796" w:rsidP="00B21796">
      <w:pPr>
        <w:spacing w:after="0" w:line="240" w:lineRule="auto"/>
        <w:jc w:val="both"/>
        <w:rPr>
          <w:rFonts w:ascii="Times New Roman" w:hAnsi="Times New Roman"/>
          <w:color w:val="0070C0"/>
          <w:sz w:val="16"/>
          <w:szCs w:val="16"/>
        </w:rPr>
      </w:pPr>
    </w:p>
    <w:p w14:paraId="3FD7CC1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июня 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Со стартовой площадки испытательного стенда № 7 германского института ракетного вооружения в Пенемюнде (нем. Peenemünde, посёлок на острове Узедом, в южной части Балтийского моря, Германия) стартовыми командами института осуществлен первый пуск немецкой баллистической ракеты дальнего действия «A-4» («V-2», «Фау-2»).</w:t>
      </w:r>
    </w:p>
    <w:p w14:paraId="54BD976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Пуск завершился неудачей. Вскоре после старта ракета начала медленно вращаться и отклоняться от курса, совершая колебательные движения. На 36-й секунде полёта внезапно прекратилась работа двигателей. Потеряв устойчивость, без хвостовых стабилизаторов, ракета, кувыркаясь, упала в море и взорвалась. Время работы двигателя 36 секунд. Продолжительность полёта 90 секунд. Максимальная высота полёта 1 км (22462).</w:t>
      </w:r>
    </w:p>
    <w:p w14:paraId="0866065D" w14:textId="77777777" w:rsidR="007C5583" w:rsidRPr="008127F8" w:rsidRDefault="007C5583" w:rsidP="007C5583">
      <w:pPr>
        <w:pStyle w:val="232"/>
        <w:shd w:val="clear" w:color="auto" w:fill="auto"/>
        <w:spacing w:line="240" w:lineRule="auto"/>
        <w:jc w:val="both"/>
        <w:rPr>
          <w:rFonts w:ascii="Times New Roman" w:hAnsi="Times New Roman" w:cs="Times New Roman"/>
          <w:color w:val="000000" w:themeColor="text1"/>
          <w:sz w:val="16"/>
          <w:szCs w:val="16"/>
        </w:rPr>
      </w:pPr>
    </w:p>
    <w:p w14:paraId="4D0EDD4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13 июня 1942 попытка запуска ракеты А-4 </w:t>
      </w:r>
      <w:r w:rsidRPr="008127F8">
        <w:rPr>
          <w:rFonts w:ascii="Times New Roman" w:hAnsi="Times New Roman"/>
          <w:color w:val="000000" w:themeColor="text1"/>
          <w:sz w:val="16"/>
          <w:szCs w:val="16"/>
          <w:lang w:val="en-US" w:bidi="en-US"/>
        </w:rPr>
        <w:t>V</w:t>
      </w:r>
      <w:r w:rsidRPr="008127F8">
        <w:rPr>
          <w:rFonts w:ascii="Times New Roman" w:hAnsi="Times New Roman"/>
          <w:color w:val="000000" w:themeColor="text1"/>
          <w:sz w:val="16"/>
          <w:szCs w:val="16"/>
          <w:lang w:bidi="en-US"/>
        </w:rPr>
        <w:t xml:space="preserve">-2, </w:t>
      </w:r>
      <w:r w:rsidRPr="008127F8">
        <w:rPr>
          <w:rFonts w:ascii="Times New Roman" w:hAnsi="Times New Roman"/>
          <w:color w:val="000000" w:themeColor="text1"/>
          <w:sz w:val="16"/>
          <w:szCs w:val="16"/>
        </w:rPr>
        <w:t>на которой присутствовали министр вооружения и боеприпа</w:t>
      </w:r>
      <w:r w:rsidRPr="008127F8">
        <w:rPr>
          <w:rFonts w:ascii="Times New Roman" w:hAnsi="Times New Roman"/>
          <w:color w:val="000000" w:themeColor="text1"/>
          <w:sz w:val="16"/>
          <w:szCs w:val="16"/>
        </w:rPr>
        <w:softHyphen/>
        <w:t>сов Альберт Шпеер и генерал-инспектор Люфтваффе Эрхард Мильх, окончились неудачей.</w:t>
      </w:r>
    </w:p>
    <w:p w14:paraId="4E4AB45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Ракета, пожирая 125 кг спирта и кислорода в секунду, оторвалась от стартового стола, на какое- то мгновение застыла в воздухе, словно опираясь на огненный столб, и устремилась вверх... На 36 секунде наступила тишина, и из нависших над полигоном облаков появилась падающая ра</w:t>
      </w:r>
      <w:r w:rsidRPr="008127F8">
        <w:rPr>
          <w:rFonts w:ascii="Times New Roman" w:hAnsi="Times New Roman"/>
          <w:color w:val="000000" w:themeColor="text1"/>
          <w:sz w:val="16"/>
          <w:szCs w:val="16"/>
        </w:rPr>
        <w:softHyphen/>
        <w:t>кета. Она была без хвостового оперения, и, кувыркаясь, упала на расстоянии чуть больше километра от места старта. Выяс</w:t>
      </w:r>
      <w:r w:rsidRPr="008127F8">
        <w:rPr>
          <w:rFonts w:ascii="Times New Roman" w:hAnsi="Times New Roman"/>
          <w:color w:val="000000" w:themeColor="text1"/>
          <w:sz w:val="16"/>
          <w:szCs w:val="16"/>
        </w:rPr>
        <w:softHyphen/>
        <w:t>нилось, что на 94-й секунде полета отказала система управле</w:t>
      </w:r>
      <w:r w:rsidRPr="008127F8">
        <w:rPr>
          <w:rFonts w:ascii="Times New Roman" w:hAnsi="Times New Roman"/>
          <w:color w:val="000000" w:themeColor="text1"/>
          <w:sz w:val="16"/>
          <w:szCs w:val="16"/>
        </w:rPr>
        <w:softHyphen/>
        <w:t xml:space="preserve">ния. Через два месяца А-4 </w:t>
      </w:r>
      <w:r w:rsidRPr="008127F8">
        <w:rPr>
          <w:rFonts w:ascii="Times New Roman" w:hAnsi="Times New Roman"/>
          <w:color w:val="000000" w:themeColor="text1"/>
          <w:sz w:val="16"/>
          <w:szCs w:val="16"/>
          <w:lang w:val="en-US" w:bidi="en-US"/>
        </w:rPr>
        <w:t>V</w:t>
      </w:r>
      <w:r w:rsidRPr="008127F8">
        <w:rPr>
          <w:rFonts w:ascii="Times New Roman" w:hAnsi="Times New Roman"/>
          <w:color w:val="000000" w:themeColor="text1"/>
          <w:sz w:val="16"/>
          <w:szCs w:val="16"/>
          <w:lang w:bidi="en-US"/>
        </w:rPr>
        <w:t xml:space="preserve">-3 </w:t>
      </w:r>
      <w:r w:rsidRPr="008127F8">
        <w:rPr>
          <w:rFonts w:ascii="Times New Roman" w:hAnsi="Times New Roman"/>
          <w:color w:val="000000" w:themeColor="text1"/>
          <w:sz w:val="16"/>
          <w:szCs w:val="16"/>
        </w:rPr>
        <w:t xml:space="preserve">также не достигла необходимой дальности. И только 3 октября 1942-го четвертая ракета А-4 </w:t>
      </w:r>
      <w:r w:rsidRPr="008127F8">
        <w:rPr>
          <w:rFonts w:ascii="Times New Roman" w:hAnsi="Times New Roman"/>
          <w:color w:val="000000" w:themeColor="text1"/>
          <w:sz w:val="16"/>
          <w:szCs w:val="16"/>
          <w:lang w:val="en-US" w:bidi="en-US"/>
        </w:rPr>
        <w:t>V</w:t>
      </w:r>
      <w:r w:rsidRPr="008127F8">
        <w:rPr>
          <w:rFonts w:ascii="Times New Roman" w:hAnsi="Times New Roman"/>
          <w:color w:val="000000" w:themeColor="text1"/>
          <w:sz w:val="16"/>
          <w:szCs w:val="16"/>
          <w:lang w:bidi="en-US"/>
        </w:rPr>
        <w:t xml:space="preserve">-4 </w:t>
      </w:r>
      <w:r w:rsidRPr="008127F8">
        <w:rPr>
          <w:rFonts w:ascii="Times New Roman" w:hAnsi="Times New Roman"/>
          <w:color w:val="000000" w:themeColor="text1"/>
          <w:sz w:val="16"/>
          <w:szCs w:val="16"/>
        </w:rPr>
        <w:t>пролетела 192 км на высоте 96 км и разорвалась в 4 км от цели. С этого момента работы проходили все более удачно, и до июня 1943-го удалось осуществить 31 запуск. Пуск ракеты был снят на кинопленку. Результаты доложены Гитлеру. (22798).</w:t>
      </w:r>
    </w:p>
    <w:p w14:paraId="22F47FFD"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18DECA5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июня 1942 года в 10:52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GMT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со стартовой площадки испытательного стенда № 7 германского института ракетного вооружения в Пенемюнде (нем. Peenemünde, посёлок на острове Узедом, в южной части Балтийского моря, Германия) стартовыми командами института осуществлен пуск немецкой баллистической ракеты дальнего действия «A-4» («V-2», «Фау-2»).</w:t>
      </w:r>
    </w:p>
    <w:p w14:paraId="3605B67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Ракета собрана на заводе в Пенемюнде.</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Cер. № 4002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испытание (versuch) «V-002».</w:t>
      </w:r>
    </w:p>
    <w:p w14:paraId="1434B51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Пуск завершился неудачей. Вскоре после старта ракета начала медленно вращаться и отклоняться от курса, совершая колебательные движения. На 36-й секунде полёта внезапно прекратилась работа двигателей. Потеряв устойчивость, без хвостовых стабилизаторов, ракета, кувыркаясь, упала в море и взорвалась. Время работы двигателя 36 секунд. Продолжительность полёта 90 секунд. Максимальная высота полёта 1 км.</w:t>
      </w:r>
    </w:p>
    <w:p w14:paraId="4513008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Наблюдавший за проведением пуска рейхсминистр вооружений и военного производства Альберт Шпеер в своих воспоминаниях так описывает первый пуск немецкой баллистической ракеты дальнего действия:</w:t>
      </w:r>
    </w:p>
    <w:p w14:paraId="0507189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Альберт Шпеер - рейхсминистр вооружений и военного производства Германии в 1942-45гг.</w:t>
      </w:r>
    </w:p>
    <w:p w14:paraId="7C47873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июня 1942 года отвечавшие за производство вооружения для трех родов войск вермахта фельдмаршал Мильх, генерал-адмирал Витцель и генерал-полковник Фромм вылетели вместе со мной на Пеенемюнде, чтобы присутствовать на таком знаменательном событии, как первый запуск баллистической ракеты.</w:t>
      </w:r>
    </w:p>
    <w:p w14:paraId="5F1B167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раскинувшейся посреди соснового леса поляне возвышалось конусообразное сооружение высотой с четырехэтажный дом. Не только мы, но и весь научный персонал ракетного центра, затаив дыхание, ждали результата. Я понимал, что Вернер фон Браун и его сотрудники все свои надежды связывали с удачным запуском ракеты.</w:t>
      </w:r>
    </w:p>
    <w:p w14:paraId="2D39597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Воздух был насыщен спиртовыми парами — верный признак того, что баки с горючим заполнены. Послышался постепенно нарастающий, похожий на рев огромного дикого зверя, гул. Ракета медленно оторвалась от опоры, на какую-то долю секунды застыла в воздухе, словно опираясь на тянувшийся за ней огненный шлейф, а затем мгновенно скрылась в низко нависших над землей облаках.</w:t>
      </w:r>
    </w:p>
    <w:p w14:paraId="0C296D8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Специалисты принялись было объяснять нам, на какую высоту она поднялась. Но уже через полторы минуты вновь послышался дикий рев, а затем грохот взрыва. Как оказалось, ракета упала на землю примерно в километре отсюда (19623).</w:t>
      </w:r>
    </w:p>
    <w:p w14:paraId="2C5C1C0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4AC0A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13 June 1942 In Germany the first V2 flight is a failure (270).</w:t>
      </w:r>
    </w:p>
    <w:p w14:paraId="3721F8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D4ABB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июня 1942 неудачно закончились испытания Фау-2 (270) V-4 (3125).</w:t>
      </w:r>
    </w:p>
    <w:p w14:paraId="26F7E2A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BE17B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июня 1942 было создано командование американскими вооруженными силами на Среднем Востоке (включая Иран и Ирак) (3186).</w:t>
      </w:r>
    </w:p>
    <w:p w14:paraId="2DA0065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2123E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 13th, 1942: In the battle for Tobruk, German tanks and anti-tank batteries (88mm) of the Afrikakorps destroy 138 enemy tanks, leaving the British Eighth Army with only 75 armored vehicles operational (3819).</w:t>
      </w:r>
    </w:p>
    <w:p w14:paraId="656B5A5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2768E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июня 1942 британские войска потеряли в пустыне 230 танков (3481).</w:t>
      </w:r>
    </w:p>
    <w:p w14:paraId="795719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77754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июня 1942 Уильям Доннован был назначен главой Управления стратегических служб, которое занималось тайными операциями и разведкой в основном в Европе. На его базе было создано ЦРУ (3263,324).</w:t>
      </w:r>
    </w:p>
    <w:p w14:paraId="0ADB7A1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E8896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июня 1942 в США создан Департамент стратегических исследований, ставший предшественником ЦРУ (4962).</w:t>
      </w:r>
    </w:p>
    <w:p w14:paraId="13EBBFE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2D12E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13 июня</w:t>
      </w:r>
      <w:r w:rsidRPr="008127F8">
        <w:rPr>
          <w:rFonts w:ascii="Times New Roman" w:hAnsi="Times New Roman"/>
          <w:color w:val="000000" w:themeColor="text1"/>
          <w:sz w:val="16"/>
          <w:szCs w:val="16"/>
        </w:rPr>
        <w:t xml:space="preserve"> в 1942 году Уильям Донован назначен главой Управления стратегических служб, которая должна была заниматься разведкой и тайными операциями в основном в Европе. В будущем на его базе возникнет ЦРУ (14921).</w:t>
      </w:r>
    </w:p>
    <w:p w14:paraId="1A3BCF1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3835EC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13 июня</w:t>
      </w:r>
      <w:r w:rsidRPr="008127F8">
        <w:rPr>
          <w:rFonts w:ascii="Times New Roman" w:hAnsi="Times New Roman"/>
          <w:color w:val="000000" w:themeColor="text1"/>
          <w:sz w:val="16"/>
          <w:szCs w:val="16"/>
        </w:rPr>
        <w:t xml:space="preserve"> в 1942 году президент США Франклин Рузвельт принял решение о создании Офиса Стратегических Служб (Office of Strategic Services) - позже ставшего Центральным Разведывательным управлением (ЦРУ) США (Central Intelligence Agency). Главой Управления стратегических служб назначен Уильям Донован (14921).</w:t>
      </w:r>
    </w:p>
    <w:p w14:paraId="61D8849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A643FF8" w14:textId="77777777" w:rsidR="007C5583" w:rsidRPr="008127F8" w:rsidRDefault="007C5583" w:rsidP="007C5583">
      <w:pPr>
        <w:spacing w:after="0" w:line="240" w:lineRule="auto"/>
        <w:jc w:val="both"/>
        <w:rPr>
          <w:rFonts w:ascii="Times New Roman" w:hAnsi="Times New Roman"/>
          <w:bCs/>
          <w:color w:val="000000" w:themeColor="text1"/>
          <w:sz w:val="16"/>
          <w:szCs w:val="16"/>
        </w:rPr>
      </w:pPr>
      <w:r w:rsidRPr="008127F8">
        <w:rPr>
          <w:rFonts w:ascii="Times New Roman" w:hAnsi="Times New Roman"/>
          <w:bCs/>
          <w:color w:val="000000" w:themeColor="text1"/>
          <w:sz w:val="16"/>
          <w:szCs w:val="16"/>
        </w:rPr>
        <w:t>13 июня</w:t>
      </w:r>
      <w:r w:rsidRPr="008127F8">
        <w:rPr>
          <w:rFonts w:ascii="Times New Roman" w:hAnsi="Times New Roman"/>
          <w:color w:val="000000" w:themeColor="text1"/>
          <w:sz w:val="16"/>
          <w:szCs w:val="16"/>
        </w:rPr>
        <w:t xml:space="preserve"> в 1942 году президент США Франклин Рузвельт принял решение о создании Управления стратегических служб. Центральное разведывательное управление США (ЦРУ, Central Intelligence Agency, CIA) — агентство Федерального правительства США, основной функцией которого является сбор и анализ информации о деятельности иностранных организаций и граждан. Основной орган внешней разведки и контрразведки США. Деятельность ЦРУ бывает сопряжена с возможностью её официального непризнания.</w:t>
      </w:r>
    </w:p>
    <w:p w14:paraId="02F6EB2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Штаб-квартира ЦРУ находится в расположенном недалеко от Вашингтона городе Лэнгли, штат Вирджиния. ЦРУ входит в Разведывательное сообщество США, которым руководит Директор национальной разведки (14921).</w:t>
      </w:r>
    </w:p>
    <w:p w14:paraId="55A7294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8E67B6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13 июня</w:t>
      </w:r>
      <w:r w:rsidRPr="008127F8">
        <w:rPr>
          <w:rFonts w:ascii="Times New Roman" w:hAnsi="Times New Roman"/>
          <w:color w:val="000000" w:themeColor="text1"/>
          <w:sz w:val="16"/>
          <w:szCs w:val="16"/>
        </w:rPr>
        <w:t xml:space="preserve"> в 1942 году британские войска потеряли 230 танков в битве в пустыне (14921).</w:t>
      </w:r>
    </w:p>
    <w:p w14:paraId="0D1918A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6D295C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13 June 1942 (13-21-June) Japanese land on Aleutin Islands (270).</w:t>
      </w:r>
    </w:p>
    <w:p w14:paraId="27C8E37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0CAFC7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13 по 21 июня 1942 японцы высадились на Алеутских островах (270).</w:t>
      </w:r>
    </w:p>
    <w:p w14:paraId="6644F9F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3729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24729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0CB7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июня 1942 начаты проектирование и постройка макета высотного истребителя МиГ-1 (991,8).</w:t>
      </w:r>
    </w:p>
    <w:p w14:paraId="25EF3E7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3C4B3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июня 1942 года на основании Постановления Правительства, 24 июня 1942 года на основании приказа НКАП № 464с и 20 июля 1942 года на основании приказа НКАП № 546с из фронтовых мастерских по ремонту авиационных радиаторов был организовани завод № 124. Фронтовые мастерские были созданы на базе промплощадей бывш. завода № 34, эвакуированного на основании приказа НКАП № 1057сс от 10 октября 1941 года в Троицк (9433).</w:t>
      </w:r>
    </w:p>
    <w:p w14:paraId="321F9E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20F1A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июня 1942 вышло Постановление ГКО № 1908 Об увеличении производственных мощностей по выпуску самолетных радиаторов. РГАНИР, Фонд ГКО, д. 39, лл. 200-201, 202-210 (11012).</w:t>
      </w:r>
    </w:p>
    <w:p w14:paraId="44E310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0EE5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48BC1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9D7D0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июня 1942 успешное завершение ходовых испытаний на Ладоге тендера и плашкоута, показавших мореходность 5-6 баллов (10671).</w:t>
      </w:r>
    </w:p>
    <w:p w14:paraId="44D203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DF37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5953A17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664B5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14 июня</w:t>
      </w:r>
      <w:r w:rsidRPr="008127F8">
        <w:rPr>
          <w:rFonts w:ascii="Times New Roman" w:hAnsi="Times New Roman"/>
          <w:color w:val="000000" w:themeColor="text1"/>
          <w:sz w:val="16"/>
          <w:szCs w:val="16"/>
        </w:rPr>
        <w:t xml:space="preserve"> в 1942 году утреннее сообщение Совинформбюро:</w:t>
      </w:r>
    </w:p>
    <w:p w14:paraId="07642A4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течение ночи на 14 июня на Харьковском и Севастопольском участках фронта продолжались бои. На других участках фронта существенных изменений не произошло.</w:t>
      </w:r>
    </w:p>
    <w:p w14:paraId="28B6ED7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Северо-Западного фронта наша часть в течение двух дней боевых действий уничтожила 600 гитлеровцев. На другом участке наши бойцы ворвались в населённый пункт, занятый противником. В результате боя гитлеровцы потеряли убитыми и ранеными до 200 солдат и офицеров.</w:t>
      </w:r>
    </w:p>
    <w:p w14:paraId="0CC1AC6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Ленинградского фронта, уничтожили до 300 немецких солдат и офицеров. Огнем нашей артиллерии и действиями разведывательных групп уничтожено 2 ДЗОТа, 3 наблюдательных пункта, взорваны склад боеприпасов и склад с продовольствием противника.</w:t>
      </w:r>
    </w:p>
    <w:p w14:paraId="7CFEC22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артиллерия на одном из участков Западного фронта взорвала 2 немецких склада с боеприпасами, подавила огонь 6 артиллерийских и одной миномётной батареи и рассеяла несколько групп немецкой пехоты.</w:t>
      </w:r>
    </w:p>
    <w:p w14:paraId="546B45D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Лётчики-штурмовики авиачасти тов. Гетьмана (Южный фронт) совершили два налётана вражеский аэродром и уничтожили 22 немецких самолёта.</w:t>
      </w:r>
    </w:p>
    <w:p w14:paraId="3263CDC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 лейтенант тов. Саксин истребил 93 гитлеровца, красноармеец Щукин —80, сержант Максаков — 43, красноармеец Строганов — 21, сержант Рослов—18 гитлеровцев.</w:t>
      </w:r>
    </w:p>
    <w:p w14:paraId="39DA48B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Получено сообщение о боевых операциях, проведённых за последнее времяукраинским партизанским отрядом под командованием тов. Ф.</w:t>
      </w:r>
    </w:p>
    <w:p w14:paraId="0624BD9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мая. На участке железной дороги между пунктами Г. и Б.пустили под откос немецкий воинский эшелон. Движение было прервано на сутки.</w:t>
      </w:r>
    </w:p>
    <w:p w14:paraId="4A8A48A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мая. Освободили от немцев три населённых пункта, уничтожили 88 оккупантов и взяли в плен двух немецких солдат. Захвачено 10 винтовок, станковый пулемёт, ротный миномёт и 3.500 патронов.</w:t>
      </w:r>
    </w:p>
    <w:p w14:paraId="3611559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мая. У пункта З. организовали крушение поезда. Разбито 8 вагонов. Убито и ранено более 150 немецких солдат и офицеров.</w:t>
      </w:r>
    </w:p>
    <w:p w14:paraId="520CE9B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мая. Между пунктами Г. и Н. взорвали вражеский поезд, следовавший на фронт. Уничтожено 9 платформ и 18 автомашин».</w:t>
      </w:r>
    </w:p>
    <w:p w14:paraId="546F720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командир бомбардировщика «Юнкерс-88» первой группы 77 немецкой эскадры Вальтер Ферлор сообщил: «Русская пехота стреляет метко: На ружейный огонь можно нарваться на всей линии фронта. Я это дважды испытал на себе. Русские стрелки один раз подбили мой самолёт. Я тогда спасся на парашюте и четверо суток бродил по лесам, пока выбрался в район расположения германских войск. В другой раз моя машина была подбита огнём партизан, и вернуться к себе мне больше уже не удалось. Немецкая авиация несёт теперь большие потери. За один месяц наш отряд из 8 самолётов потерял 5».</w:t>
      </w:r>
    </w:p>
    <w:p w14:paraId="5276D1E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2 немецкой танковой дивизии Герман Салингер, австриец по национальности, рассказал: «Раньше было немало австрийцев, которые верили, что Гитлер хочет помочь Австрии. Теперь мы убедились в том, что он принёс австрийскому народу лишь несчастье и голод. Даже немецкие солдаты теперь не верят в победу. Да и как верить, если в нашей дивизии из 140 танков осталось всего лишь 15. В плен я попал при следующих обстоятельствах. В одном бою наша рота попала в окружение. Многие мои товарищи погибли. Я сдался в плен и рад, что остался жив».</w:t>
      </w:r>
    </w:p>
    <w:p w14:paraId="336091A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Письма, которые получают финские солдаты, красноречиво говорят о голоде, царящем сейчас в Финляндии. Младшему сержанту Ахти Лайхоринне пишет его мать: «Была у Сенни. Картошка у неё кончилась. Хлеба не дают. Она говорит, что питается отрубями». Капралу Вяйне Аутио пишет Элма Аутио из города Турку: «Здесь ничего нельзя купить. Картошки нет, а хлеба достать почти невозможно. Постарайся привезти нам хоть килограмм муки». Письма солдатам на фронт показывают, в какую пучину бедствий ввергла финский народ преступная клика Рюти — Таннера —Маннергейма.» (14922).</w:t>
      </w:r>
    </w:p>
    <w:p w14:paraId="1AC130C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0790C1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14 июня</w:t>
      </w:r>
      <w:r w:rsidRPr="008127F8">
        <w:rPr>
          <w:rFonts w:ascii="Times New Roman" w:hAnsi="Times New Roman"/>
          <w:color w:val="000000" w:themeColor="text1"/>
          <w:sz w:val="16"/>
          <w:szCs w:val="16"/>
        </w:rPr>
        <w:t xml:space="preserve"> в 1942 году вечернее сообщение Совинформбюро:</w:t>
      </w:r>
    </w:p>
    <w:p w14:paraId="3ED1F1B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14 июня на Харьковском направлении наши войска вели бои с танками и пехотой противника.</w:t>
      </w:r>
    </w:p>
    <w:p w14:paraId="173238F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Севастопольском участке фронта продолжаются ожесточённые бои, в ходе которых наши войска отражали атаки противника.</w:t>
      </w:r>
    </w:p>
    <w:p w14:paraId="7CC0585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происходили бои местного значения.</w:t>
      </w:r>
    </w:p>
    <w:p w14:paraId="7A09B7B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истекшую неделю с 7 по 13 июня включительно в воздушных боях, на аэродромах противника и огнём зенитной артиллерии уничтожено 377 немецких самолётов. Наши потери за это же время —135 самолётов.</w:t>
      </w:r>
    </w:p>
    <w:p w14:paraId="61D953E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 корабль в Баренцевом море потопил два транспорта противника общим водоизмещением в 15.000 тонн.</w:t>
      </w:r>
    </w:p>
    <w:p w14:paraId="6975755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13 июня частями нашей авиации на различных участках фронта уничтожено или повреждено до 90 немецких танков, 280 автомашин с войсками и грузами, 2 автоцистерны с горючим, подавлен огонь 30 орудий и миномётов, взорвано 3 склада с боеприпасами и склад с горючим, сожжён железнодорожный эшелон, рассеяно и частью уничтожено до четырёх рот пехоты противника.</w:t>
      </w:r>
    </w:p>
    <w:p w14:paraId="5A23D7C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Харьковском направлении наши войска в ходе боёв с крупными силами противника нанесли им большой урон. Танковое подразделение под командованием тов. Кулиша уничтожило до трёх батальонов мотопехоты противника и две артиллерийские батареи. Бойцы под командованием тов. Горбатова, отражая атаки врага, уничтожили 250 немецких солдат и офицеров и взяли пленных. На одном из участков Харьковского направления наши артиллеристы уничтожили 15 немецких танков.</w:t>
      </w:r>
    </w:p>
    <w:p w14:paraId="2C19140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Северо-Западного фронта, выбила противника из населённого пункта Д. На поле боя немцы оставили до 400 трупов солдат и офицеров и много вооружения.</w:t>
      </w:r>
    </w:p>
    <w:p w14:paraId="59232A1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Калининского фронта противник после артиллерийской подготовки четыре раза переходил в атаки. Подразделения, которыми командуют тт. Исаев и Якушин, каждый раз подпускали немцев на близкое расстояние и затем открывали по ним огонь из всех видов оружия. Гитлеровцы неизменно откатывались на исходные позиции. Они понесли большие потери. На другом участке артиллеристы подразделения, которым командует тов. Волков, уничтожили немецкую батарею тяжёлых орудий и рассеяли кавалерийский отряд противника.</w:t>
      </w:r>
    </w:p>
    <w:p w14:paraId="351369E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13 июня немецкая авиация пыталась пять раз произвести налёт на город Мурманск. К городу удалось прорваться только нескольким самолетам противника. В воздушных боях и огнём зенитной артиллерии сбито 8 немецких самолётов. Военные объекты не пострадали. Есть жертвы среди гражданского населения.</w:t>
      </w:r>
    </w:p>
    <w:p w14:paraId="44D1EAA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 тов. Доржиев, уничтоживший за время войны 181 гитлеровца, обучил и воспитал группу снайперов. 12 июня снайперы — ученики тов. Доржиева — сбили немецкий самолёт. Снайпер тов. Ильин в течение месяца истребил 51 гитлеровца.</w:t>
      </w:r>
    </w:p>
    <w:p w14:paraId="4423E38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самолёты разбросали над расположением немецких войск листовки с текстом договора между СССР и Великобританией о союзе в войне против гитлеровской Германии и её сообщников в Европе, а также с текстом соглашения между правительствами СССР и Соединённых Штатов Америки.</w:t>
      </w:r>
    </w:p>
    <w:p w14:paraId="2FDDA51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Объединённые партизанские отряды под командованием тов. В. (Ленинградская область) за пять дней уничтожили 1.355 немецких солдат и офицеров, подбили 12 танков противника, взорвали 8 автомашин с пехотой, уничтожили 2 автоматические пушки и одну миномётную батарею. Партизаны захватили 4 немецких танка, 3 миномёта, 2 станковых пулемёта, 17.000 патронов, 300 ящиков со снарядами и другое военное имущество.</w:t>
      </w:r>
    </w:p>
    <w:p w14:paraId="6513296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Захваченный в плен на одном из участков Ленинградского фронта командир взвода 1 дивизиона 11 артполка 11 немецкой пехотной дивизии лейтенант Вернер Скузе рассказал: «Я собирался ехать в отпуск. Но неожиданное наступление русских опрокинуло все мои планы и надежды. После сокрушительного артиллерийского обстрела русская пехота под прикрытием танков лавиной двинулась на наши позиции.Я укрылся в блиндаже, в котором находилось 50 солдат. Пока артиллерия стреляла,мы все считали себя обречёнными. За всё время войны я ничего подобного не испытывал. Некоторые солдаты хотели бежать куда глаза глядят, но кто-то вовремя догадался выбросить белый флаг. Вслед за этим из блиндажа стали выползать один за другим 50 насмерть перепуганных солдат. В других блиндажах и окопах без единого выстрела сдались в плен ещё 100 немецких солдат и офицеров».</w:t>
      </w:r>
    </w:p>
    <w:p w14:paraId="2B289AF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Немецко-фашистские мерзавцы в один день зарезали 62 жителя села Большая Берёзка, Сумской области. Перед тем, как убить, фашистские изверги издевались и глумились над своими жертвами, в том числе над беззащитными женщинами и малолетними детьми.» (14922).</w:t>
      </w:r>
    </w:p>
    <w:p w14:paraId="4FCE4FF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8DFC8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июня 1942 Б.Сафонов стал первым дважды ГСС за время войны (271,209).</w:t>
      </w:r>
    </w:p>
    <w:p w14:paraId="7C0A49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A354FF"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14 июня 1942</w:t>
      </w:r>
      <w:r>
        <w:rPr>
          <w:color w:val="000000" w:themeColor="text1"/>
          <w:sz w:val="16"/>
          <w:szCs w:val="16"/>
        </w:rPr>
        <w:t xml:space="preserve">  </w:t>
      </w:r>
      <w:r w:rsidRPr="008127F8">
        <w:rPr>
          <w:color w:val="000000" w:themeColor="text1"/>
          <w:sz w:val="16"/>
          <w:szCs w:val="16"/>
        </w:rPr>
        <w:t>г. 6-й гв. шап вошел во вновь сформированную 264-ю шад генерал-майора Н.</w:t>
      </w:r>
      <w:r>
        <w:rPr>
          <w:color w:val="000000" w:themeColor="text1"/>
          <w:sz w:val="16"/>
          <w:szCs w:val="16"/>
        </w:rPr>
        <w:t xml:space="preserve">  </w:t>
      </w:r>
      <w:r w:rsidRPr="008127F8">
        <w:rPr>
          <w:color w:val="000000" w:themeColor="text1"/>
          <w:sz w:val="16"/>
          <w:szCs w:val="16"/>
        </w:rPr>
        <w:t>Ф.</w:t>
      </w:r>
      <w:r>
        <w:rPr>
          <w:color w:val="000000" w:themeColor="text1"/>
          <w:sz w:val="16"/>
          <w:szCs w:val="16"/>
        </w:rPr>
        <w:t xml:space="preserve">  </w:t>
      </w:r>
      <w:r w:rsidRPr="008127F8">
        <w:rPr>
          <w:color w:val="000000" w:themeColor="text1"/>
          <w:sz w:val="16"/>
          <w:szCs w:val="16"/>
        </w:rPr>
        <w:t>Папивина. Однако уже в середине сентября того же, 1942</w:t>
      </w:r>
      <w:r>
        <w:rPr>
          <w:color w:val="000000" w:themeColor="text1"/>
          <w:sz w:val="16"/>
          <w:szCs w:val="16"/>
        </w:rPr>
        <w:t xml:space="preserve">  </w:t>
      </w:r>
      <w:r w:rsidRPr="008127F8">
        <w:rPr>
          <w:color w:val="000000" w:themeColor="text1"/>
          <w:sz w:val="16"/>
          <w:szCs w:val="16"/>
        </w:rPr>
        <w:t>г. он получил статус отдельного штурмового полка в составе 3-й воздушной армии и стал обозначаться как 6-й гв. ошап. В этом качестве он действовал вплоть до мая 1944</w:t>
      </w:r>
      <w:r>
        <w:rPr>
          <w:color w:val="000000" w:themeColor="text1"/>
          <w:sz w:val="16"/>
          <w:szCs w:val="16"/>
        </w:rPr>
        <w:t xml:space="preserve">  </w:t>
      </w:r>
      <w:r w:rsidRPr="008127F8">
        <w:rPr>
          <w:color w:val="000000" w:themeColor="text1"/>
          <w:sz w:val="16"/>
          <w:szCs w:val="16"/>
        </w:rPr>
        <w:t>г., когда его включили в 335-ю шад полковника С.</w:t>
      </w:r>
      <w:r>
        <w:rPr>
          <w:color w:val="000000" w:themeColor="text1"/>
          <w:sz w:val="16"/>
          <w:szCs w:val="16"/>
        </w:rPr>
        <w:t xml:space="preserve">  </w:t>
      </w:r>
      <w:r w:rsidRPr="008127F8">
        <w:rPr>
          <w:color w:val="000000" w:themeColor="text1"/>
          <w:sz w:val="16"/>
          <w:szCs w:val="16"/>
        </w:rPr>
        <w:t>С.</w:t>
      </w:r>
      <w:r>
        <w:rPr>
          <w:color w:val="000000" w:themeColor="text1"/>
          <w:sz w:val="16"/>
          <w:szCs w:val="16"/>
        </w:rPr>
        <w:t xml:space="preserve">  </w:t>
      </w:r>
      <w:r w:rsidRPr="008127F8">
        <w:rPr>
          <w:color w:val="000000" w:themeColor="text1"/>
          <w:sz w:val="16"/>
          <w:szCs w:val="16"/>
        </w:rPr>
        <w:t>Александрова.</w:t>
      </w:r>
    </w:p>
    <w:p w14:paraId="62007980"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Надо сказать, что присвоение звания «гвардейский» влекло за собой существенные изменения в жизни авиаполка. Его штат увеличивался до трех эскадрилий, и он в обязательном порядке подлежал полному укомплектованию как личным составом, так и материальной частью. Размер денежного содержания для рядового состава увеличивался вдвое, а для офицеров — в полтора раза. Приказом наркома обороны от 28 мая 1942</w:t>
      </w:r>
      <w:r>
        <w:rPr>
          <w:color w:val="000000" w:themeColor="text1"/>
          <w:sz w:val="16"/>
          <w:szCs w:val="16"/>
        </w:rPr>
        <w:t xml:space="preserve">  </w:t>
      </w:r>
      <w:r w:rsidRPr="008127F8">
        <w:rPr>
          <w:color w:val="000000" w:themeColor="text1"/>
          <w:sz w:val="16"/>
          <w:szCs w:val="16"/>
        </w:rPr>
        <w:t>г. были введены специальные гвардейские воинские звания, а приказ №</w:t>
      </w:r>
      <w:r>
        <w:rPr>
          <w:color w:val="000000" w:themeColor="text1"/>
          <w:sz w:val="16"/>
          <w:szCs w:val="16"/>
        </w:rPr>
        <w:t xml:space="preserve">  </w:t>
      </w:r>
      <w:r w:rsidRPr="008127F8">
        <w:rPr>
          <w:color w:val="000000" w:themeColor="text1"/>
          <w:sz w:val="16"/>
          <w:szCs w:val="16"/>
        </w:rPr>
        <w:t>407 от 4 мая 1943</w:t>
      </w:r>
      <w:r>
        <w:rPr>
          <w:color w:val="000000" w:themeColor="text1"/>
          <w:sz w:val="16"/>
          <w:szCs w:val="16"/>
        </w:rPr>
        <w:t xml:space="preserve">  </w:t>
      </w:r>
      <w:r w:rsidRPr="008127F8">
        <w:rPr>
          <w:color w:val="000000" w:themeColor="text1"/>
          <w:sz w:val="16"/>
          <w:szCs w:val="16"/>
        </w:rPr>
        <w:t>г. устанавливал, что перевод личного состава гвардейских частей в другие подразделения мог производиться лишь с разрешения командующего ВВС. Тем самым руководство старалось всячески выделить гвардейские полки и подчеркнуть их элитный характер по сравнению с обычными «линейными» авиаполками.</w:t>
      </w:r>
    </w:p>
    <w:p w14:paraId="47420C8D"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Вообще появление гвардии в советской авиации стало явлением уникальным. Больше нигде в мире не было авиационных подразделений, отличавшихся от аналогичных по назначению подразделений штатной численностью, денежными окладами персонала, особыми званиями и нагрудными знаками и т.</w:t>
      </w:r>
      <w:r>
        <w:rPr>
          <w:color w:val="000000" w:themeColor="text1"/>
          <w:sz w:val="16"/>
          <w:szCs w:val="16"/>
        </w:rPr>
        <w:t xml:space="preserve">  </w:t>
      </w:r>
      <w:r w:rsidRPr="008127F8">
        <w:rPr>
          <w:color w:val="000000" w:themeColor="text1"/>
          <w:sz w:val="16"/>
          <w:szCs w:val="16"/>
        </w:rPr>
        <w:t>д. Всякие разговоры о неких подобных «элитных» эскадрильях и авиагруппах в люфтваффе были выдумкой советской пропаганды, призванной лишь поднять значимость успехов собственной авиации.</w:t>
      </w:r>
    </w:p>
    <w:p w14:paraId="4BE84A06"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При этом ни в 1941</w:t>
      </w:r>
      <w:r>
        <w:rPr>
          <w:color w:val="000000" w:themeColor="text1"/>
          <w:sz w:val="16"/>
          <w:szCs w:val="16"/>
        </w:rPr>
        <w:t xml:space="preserve">  </w:t>
      </w:r>
      <w:r w:rsidRPr="008127F8">
        <w:rPr>
          <w:color w:val="000000" w:themeColor="text1"/>
          <w:sz w:val="16"/>
          <w:szCs w:val="16"/>
        </w:rPr>
        <w:t xml:space="preserve">г., ни в последующие годы войны в Советском Союзе так и не было выработано никаких четких правил, за что же собственно авиационный полк мог удостоиться титула «гвардейский». Как показывает анализ присвоения этих званий, оценка боевых заслуг полков имела крайне субъективный характер. Кроме того, порой это самое присвоение носило «заказной» характер, когда требовалось «подогнать» все полки авиадивизии под гвардейский статус, чтобы последняя тоже </w:t>
      </w:r>
      <w:r w:rsidRPr="008127F8">
        <w:rPr>
          <w:color w:val="000000" w:themeColor="text1"/>
          <w:sz w:val="16"/>
          <w:szCs w:val="16"/>
        </w:rPr>
        <w:lastRenderedPageBreak/>
        <w:t>могла получить такое же звание.</w:t>
      </w:r>
    </w:p>
    <w:p w14:paraId="296CA8FD"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Например, за время войны в составе 237-го и 807-го шап сразу по тринадцать летчиков удостоились звания Героев Советского Союза. Это более чем наглядно говорило об успехах этих полков, но ни одному из них так и не дали звания «гвардейский». В то же время 3 сентября 1943</w:t>
      </w:r>
      <w:r>
        <w:rPr>
          <w:color w:val="000000" w:themeColor="text1"/>
          <w:sz w:val="16"/>
          <w:szCs w:val="16"/>
        </w:rPr>
        <w:t xml:space="preserve">  </w:t>
      </w:r>
      <w:r w:rsidRPr="008127F8">
        <w:rPr>
          <w:color w:val="000000" w:themeColor="text1"/>
          <w:sz w:val="16"/>
          <w:szCs w:val="16"/>
        </w:rPr>
        <w:t>г. такой статус получили 230, 704 и 801-й шап, входившие в 232-ю шад и в которых при этом вообще не было ни одного Героя. Полки соответственно переименовали в 130, 131 и 132-й гв. шап, а дивизию — в 7-ю гв. шад. Но это, видимо, мало сказалось на боевых результатах пилотов. Так, в 130-м полку «Золотую Звезду» затем вручили лишь одному командиру эскадрильи гвардии капитану Виктору Самоделкину, а в 131-м полку — заместителю командира эскадрильи гвардии лейтенанту Ивану Клевцову и командиру эскадрильи гвардии старшему лейтенанту Михаилу Никитину, и при этом все они были награждены лишь 15 мая 1946</w:t>
      </w:r>
      <w:r>
        <w:rPr>
          <w:color w:val="000000" w:themeColor="text1"/>
          <w:sz w:val="16"/>
          <w:szCs w:val="16"/>
        </w:rPr>
        <w:t xml:space="preserve">  </w:t>
      </w:r>
      <w:r w:rsidRPr="008127F8">
        <w:rPr>
          <w:color w:val="000000" w:themeColor="text1"/>
          <w:sz w:val="16"/>
          <w:szCs w:val="16"/>
        </w:rPr>
        <w:t>г. Ну а в 132-м полку так и не появилось ни одного Героя.</w:t>
      </w:r>
    </w:p>
    <w:p w14:paraId="489BBF76"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Всего же за четыре года войны с нацистской Германией статус гвардейских получили 46 штурмовых полков ВВС Красной армии: 1–в 1941</w:t>
      </w:r>
      <w:r>
        <w:rPr>
          <w:color w:val="000000" w:themeColor="text1"/>
          <w:sz w:val="16"/>
          <w:szCs w:val="16"/>
        </w:rPr>
        <w:t xml:space="preserve">  </w:t>
      </w:r>
      <w:r w:rsidRPr="008127F8">
        <w:rPr>
          <w:color w:val="000000" w:themeColor="text1"/>
          <w:sz w:val="16"/>
          <w:szCs w:val="16"/>
        </w:rPr>
        <w:t>г., 4</w:t>
      </w:r>
      <w:r>
        <w:rPr>
          <w:color w:val="000000" w:themeColor="text1"/>
          <w:sz w:val="16"/>
          <w:szCs w:val="16"/>
        </w:rPr>
        <w:t xml:space="preserve">  </w:t>
      </w:r>
      <w:r w:rsidRPr="008127F8">
        <w:rPr>
          <w:color w:val="000000" w:themeColor="text1"/>
          <w:sz w:val="16"/>
          <w:szCs w:val="16"/>
        </w:rPr>
        <w:t>— в 1942</w:t>
      </w:r>
      <w:r>
        <w:rPr>
          <w:color w:val="000000" w:themeColor="text1"/>
          <w:sz w:val="16"/>
          <w:szCs w:val="16"/>
        </w:rPr>
        <w:t xml:space="preserve">  </w:t>
      </w:r>
      <w:r w:rsidRPr="008127F8">
        <w:rPr>
          <w:color w:val="000000" w:themeColor="text1"/>
          <w:sz w:val="16"/>
          <w:szCs w:val="16"/>
        </w:rPr>
        <w:t>г., 24</w:t>
      </w:r>
      <w:r>
        <w:rPr>
          <w:color w:val="000000" w:themeColor="text1"/>
          <w:sz w:val="16"/>
          <w:szCs w:val="16"/>
        </w:rPr>
        <w:t xml:space="preserve">  </w:t>
      </w:r>
      <w:r w:rsidRPr="008127F8">
        <w:rPr>
          <w:color w:val="000000" w:themeColor="text1"/>
          <w:sz w:val="16"/>
          <w:szCs w:val="16"/>
        </w:rPr>
        <w:t>— в 1943</w:t>
      </w:r>
      <w:r>
        <w:rPr>
          <w:color w:val="000000" w:themeColor="text1"/>
          <w:sz w:val="16"/>
          <w:szCs w:val="16"/>
        </w:rPr>
        <w:t xml:space="preserve">  </w:t>
      </w:r>
      <w:r w:rsidRPr="008127F8">
        <w:rPr>
          <w:color w:val="000000" w:themeColor="text1"/>
          <w:sz w:val="16"/>
          <w:szCs w:val="16"/>
        </w:rPr>
        <w:t>г. и</w:t>
      </w:r>
      <w:r>
        <w:rPr>
          <w:color w:val="000000" w:themeColor="text1"/>
          <w:sz w:val="16"/>
          <w:szCs w:val="16"/>
        </w:rPr>
        <w:t xml:space="preserve">  </w:t>
      </w:r>
      <w:r w:rsidRPr="008127F8">
        <w:rPr>
          <w:color w:val="000000" w:themeColor="text1"/>
          <w:sz w:val="16"/>
          <w:szCs w:val="16"/>
        </w:rPr>
        <w:t>17</w:t>
      </w:r>
      <w:r>
        <w:rPr>
          <w:color w:val="000000" w:themeColor="text1"/>
          <w:sz w:val="16"/>
          <w:szCs w:val="16"/>
        </w:rPr>
        <w:t xml:space="preserve">  </w:t>
      </w:r>
      <w:r w:rsidRPr="008127F8">
        <w:rPr>
          <w:color w:val="000000" w:themeColor="text1"/>
          <w:sz w:val="16"/>
          <w:szCs w:val="16"/>
        </w:rPr>
        <w:t>— в 1944</w:t>
      </w:r>
      <w:r>
        <w:rPr>
          <w:color w:val="000000" w:themeColor="text1"/>
          <w:sz w:val="16"/>
          <w:szCs w:val="16"/>
        </w:rPr>
        <w:t xml:space="preserve">  </w:t>
      </w:r>
      <w:r w:rsidRPr="008127F8">
        <w:rPr>
          <w:color w:val="000000" w:themeColor="text1"/>
          <w:sz w:val="16"/>
          <w:szCs w:val="16"/>
        </w:rPr>
        <w:t>г., а также два штурмовых полка флотской авиации. Звания гвардейских также удостоились двенадцать штурмовых авиадивизий: семь — в 1943</w:t>
      </w:r>
      <w:r>
        <w:rPr>
          <w:color w:val="000000" w:themeColor="text1"/>
          <w:sz w:val="16"/>
          <w:szCs w:val="16"/>
        </w:rPr>
        <w:t xml:space="preserve">  </w:t>
      </w:r>
      <w:r w:rsidRPr="008127F8">
        <w:rPr>
          <w:color w:val="000000" w:themeColor="text1"/>
          <w:sz w:val="16"/>
          <w:szCs w:val="16"/>
        </w:rPr>
        <w:t>г. и пять — в 1944</w:t>
      </w:r>
      <w:r>
        <w:rPr>
          <w:color w:val="000000" w:themeColor="text1"/>
          <w:sz w:val="16"/>
          <w:szCs w:val="16"/>
        </w:rPr>
        <w:t xml:space="preserve">  </w:t>
      </w:r>
      <w:r w:rsidRPr="008127F8">
        <w:rPr>
          <w:color w:val="000000" w:themeColor="text1"/>
          <w:sz w:val="16"/>
          <w:szCs w:val="16"/>
        </w:rPr>
        <w:t>г., а также три штурмовых авиакорпуса, получившие их в 1944</w:t>
      </w:r>
      <w:r>
        <w:rPr>
          <w:color w:val="000000" w:themeColor="text1"/>
          <w:sz w:val="16"/>
          <w:szCs w:val="16"/>
        </w:rPr>
        <w:t xml:space="preserve">  </w:t>
      </w:r>
      <w:r w:rsidRPr="008127F8">
        <w:rPr>
          <w:color w:val="000000" w:themeColor="text1"/>
          <w:sz w:val="16"/>
          <w:szCs w:val="16"/>
        </w:rPr>
        <w:t>г. При этом они уже не имели сквозной нумерации в ВВС Красной армии, а получали номера «внутри» своего рода авиации. Так, появлялись, например, 3-я гв. шад, 3-я гв. бад и 3-я гв. иад, 1-й гв. иак, 1-й гв. бак, 1-й гв. шак и 1-й гв. сак и т.</w:t>
      </w:r>
      <w:r>
        <w:rPr>
          <w:color w:val="000000" w:themeColor="text1"/>
          <w:sz w:val="16"/>
          <w:szCs w:val="16"/>
        </w:rPr>
        <w:t xml:space="preserve">  </w:t>
      </w:r>
      <w:r w:rsidRPr="008127F8">
        <w:rPr>
          <w:color w:val="000000" w:themeColor="text1"/>
          <w:sz w:val="16"/>
          <w:szCs w:val="16"/>
        </w:rPr>
        <w:t>д. Интересно, что затем в январе — мае 1945</w:t>
      </w:r>
      <w:r>
        <w:rPr>
          <w:color w:val="000000" w:themeColor="text1"/>
          <w:sz w:val="16"/>
          <w:szCs w:val="16"/>
        </w:rPr>
        <w:t xml:space="preserve">  </w:t>
      </w:r>
      <w:r w:rsidRPr="008127F8">
        <w:rPr>
          <w:color w:val="000000" w:themeColor="text1"/>
          <w:sz w:val="16"/>
          <w:szCs w:val="16"/>
        </w:rPr>
        <w:t>г. такого звания уже не дали ни одному штурмовому авиаполку, авиадивизии или авиакорпусу. И лишь уже в ходе короткой войны с Японией в августе 1945</w:t>
      </w:r>
      <w:r>
        <w:rPr>
          <w:color w:val="000000" w:themeColor="text1"/>
          <w:sz w:val="16"/>
          <w:szCs w:val="16"/>
        </w:rPr>
        <w:t xml:space="preserve">  </w:t>
      </w:r>
      <w:r w:rsidRPr="008127F8">
        <w:rPr>
          <w:color w:val="000000" w:themeColor="text1"/>
          <w:sz w:val="16"/>
          <w:szCs w:val="16"/>
        </w:rPr>
        <w:t>г. звание «гвардейский» получили еще два штурмовых авиаполка ВВС Тихоокеанского фронта (19522).</w:t>
      </w:r>
    </w:p>
    <w:p w14:paraId="1A0CEBA2" w14:textId="77777777" w:rsidR="007C5583" w:rsidRPr="008127F8" w:rsidRDefault="007C5583" w:rsidP="007C5583">
      <w:pPr>
        <w:pStyle w:val="af"/>
        <w:spacing w:before="0" w:after="0"/>
        <w:jc w:val="both"/>
        <w:textAlignment w:val="baseline"/>
        <w:rPr>
          <w:color w:val="000000" w:themeColor="text1"/>
          <w:sz w:val="16"/>
          <w:szCs w:val="16"/>
        </w:rPr>
      </w:pPr>
    </w:p>
    <w:p w14:paraId="7CB870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4AC2D51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75EDE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июня 1942. Из дневника журналиста Н. К. Вержбицкого: "Вся Москва взялась за лопаты и грабли. Копают грядки как попало и где попало. Видел три жалкие грядки у самого тротуара в Газетном переулке, у окон подвала, не огороженных... Вчера видел на улице первого американского офицера с каким-то черным лоскутком на спине из-под ворота. Все больше и больше появляется американских авто. В нашем переулке перемостили то место, где была воронка от бомбы. На наш забор повесили три зеленые урны для мусора. Этого не бывало ни в какие времена... Плетеные сумки называют "авоськами". "Авось удастся сегодня что-нибудь положить в нее!" - говорят хозяйки, отправляясь в продмаг. Метро подорожало на 10 копеек" (18696).</w:t>
      </w:r>
    </w:p>
    <w:p w14:paraId="5A35B91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A0AD4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6C8D5C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2CB15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14 июня</w:t>
      </w:r>
      <w:r w:rsidRPr="008127F8">
        <w:rPr>
          <w:rFonts w:ascii="Times New Roman" w:hAnsi="Times New Roman"/>
          <w:color w:val="000000" w:themeColor="text1"/>
          <w:sz w:val="16"/>
          <w:szCs w:val="16"/>
        </w:rPr>
        <w:t xml:space="preserve"> в 1942 году «Ju-88» атаковали недалеко от Крита конвой, шедший на Мальту. В его составе было 24 транспортных судна, которых сопровождали в общей сложности около 40 боевых кораблей различных типов. Транспорт "Батан" ("Bhutan") тоннажем 6104 брутто-тонн получил три попадания и в течение 20 минут затонул. В результате близких разрывов повреждения получил транспорт "Потаро" ("Potaro") (14922).</w:t>
      </w:r>
    </w:p>
    <w:p w14:paraId="7B9BD38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40EF77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14-16 июня 1942 немецкие и итальянские самолеты присоединились к итальянским военные корабли надводным и подводным кораблям в борьбе против операции Гарпун, союзнического конвоя на Мальта из Гибралтара в сопровождении британских авианосцев HMS Argus и HMS Furious и операция Энергичный, одновременного конвоя для  пополнение запасов из Александрии, Египет ; Самолеты Королевских ВВС и ВВС США с Мальты и Северной Африки обеспечивают поддержку конвоям. Прежде, чем остатки конвоя Harpoon прибудут на Мальту и конвой Vigorous повернет обратно в Александрию, самолеты Оси потопят три торговых грузовых судна, смертельно повредят три эсминца, грузовой корабль и танкер, а также повредят британские легкие крейсера HMS Birmingham и HMS. Ливерпуль. Торпедоносцы Royal Air Force Bristol Beaufort попали в итальянский линкор Littorio и вывели его из строя на два месяца, и повредили итальянский тяжелый крейсер Trento, позволяя британской подводной лодке потопить его (20793).</w:t>
      </w:r>
    </w:p>
    <w:p w14:paraId="6D37D81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26A822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14 июня</w:t>
      </w:r>
      <w:r w:rsidRPr="008127F8">
        <w:rPr>
          <w:rFonts w:ascii="Times New Roman" w:hAnsi="Times New Roman"/>
          <w:color w:val="000000" w:themeColor="text1"/>
          <w:sz w:val="16"/>
          <w:szCs w:val="16"/>
        </w:rPr>
        <w:t xml:space="preserve"> в 1942 году Черчилль в своем меморандуме не исключил антигерманского сотрудничества с правительством Виши (14922).</w:t>
      </w:r>
    </w:p>
    <w:p w14:paraId="1B0F5C2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74ED2B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14 июня</w:t>
      </w:r>
      <w:r w:rsidRPr="008127F8">
        <w:rPr>
          <w:rFonts w:ascii="Times New Roman" w:hAnsi="Times New Roman"/>
          <w:color w:val="000000" w:themeColor="text1"/>
          <w:sz w:val="16"/>
          <w:szCs w:val="16"/>
        </w:rPr>
        <w:t xml:space="preserve"> в 1942 году первая диверсионная группа абвер-2 оберлейтенанта Даша (операция «Пастух») высаживается на североамериканском побережье в районе Лонг-Айленда (14922).</w:t>
      </w:r>
    </w:p>
    <w:p w14:paraId="65F6265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F2AE25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 14th, 1942: Two German U-boats land teams of saboteurs on Long Island and near Jacksonville, Florida; within days, they are all captured, and six are executed after trial (3819).</w:t>
      </w:r>
    </w:p>
    <w:p w14:paraId="1B3985D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8D11E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июня 1942 с германской подложки на Лонг Айленд и вблизи Флориды высадились диверсанты, которые в течение нескольких дней поймали и потом судили (3819).</w:t>
      </w:r>
    </w:p>
    <w:p w14:paraId="598B8BE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823B3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июня 1942 американские войска начали прибывать в Новую Зеландию (4962).</w:t>
      </w:r>
    </w:p>
    <w:p w14:paraId="742665D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1E30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июня 1942 Филиппины объявили войну Германии и Италии (3186).</w:t>
      </w:r>
    </w:p>
    <w:p w14:paraId="214572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33D43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июня 1942 состоялась премьера мультфильма У. Диснея "Бэмби" (4962).</w:t>
      </w:r>
    </w:p>
    <w:p w14:paraId="5F6195F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C286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6AA1B6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F368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июня 1942 вышел приказ НКАП N 446с:</w:t>
      </w:r>
    </w:p>
    <w:p w14:paraId="0CF839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расследования причин появления дефектов поломки хвостовой части фюзеляжа на заводах 1 и 18 и выявления причин поломки лонжеронов руля глубины на самолетах, выпускаемых заводом 18, назначаю комиссию под председательством нач. 11 ГУ Кулешова (1556,120).</w:t>
      </w:r>
    </w:p>
    <w:p w14:paraId="29C716D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F469A7"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Начиная с 15 июня 1942 г. на заводах №№ 1 и 18 в течение недели работала комиссия наркомата ави</w:t>
      </w:r>
      <w:r w:rsidRPr="008A2E5A">
        <w:rPr>
          <w:rFonts w:ascii="Times New Roman" w:hAnsi="Times New Roman"/>
          <w:color w:val="0070C0"/>
          <w:sz w:val="16"/>
          <w:szCs w:val="16"/>
        </w:rPr>
        <w:softHyphen/>
        <w:t>апромышленности в составе главного конструктора П.О. Сухого (председатель комиссии), начальника ВИАМ А.Т. Туманова, сотрудников ВИАМ и централь</w:t>
      </w:r>
      <w:r w:rsidRPr="008A2E5A">
        <w:rPr>
          <w:rFonts w:ascii="Times New Roman" w:hAnsi="Times New Roman"/>
          <w:color w:val="0070C0"/>
          <w:sz w:val="16"/>
          <w:szCs w:val="16"/>
        </w:rPr>
        <w:softHyphen/>
        <w:t>ного аппарата НКАП. В ее задачу входило расследо</w:t>
      </w:r>
      <w:r w:rsidRPr="008A2E5A">
        <w:rPr>
          <w:rFonts w:ascii="Times New Roman" w:hAnsi="Times New Roman"/>
          <w:color w:val="0070C0"/>
          <w:sz w:val="16"/>
          <w:szCs w:val="16"/>
        </w:rPr>
        <w:softHyphen/>
        <w:t>вать массовые случаи опасных дефектов хвостовой части деревянного фюзеляжа Ил-2: расслоение обшивки, плохое сое</w:t>
      </w:r>
      <w:r w:rsidRPr="008A2E5A">
        <w:rPr>
          <w:rFonts w:ascii="Times New Roman" w:hAnsi="Times New Roman"/>
          <w:color w:val="0070C0"/>
          <w:sz w:val="16"/>
          <w:szCs w:val="16"/>
        </w:rPr>
        <w:softHyphen/>
        <w:t>динение рам фюзеляжа с обшив</w:t>
      </w:r>
      <w:r w:rsidRPr="008A2E5A">
        <w:rPr>
          <w:rFonts w:ascii="Times New Roman" w:hAnsi="Times New Roman"/>
          <w:color w:val="0070C0"/>
          <w:sz w:val="16"/>
          <w:szCs w:val="16"/>
        </w:rPr>
        <w:softHyphen/>
        <w:t>кой, недостаточная прочность кре</w:t>
      </w:r>
      <w:r w:rsidRPr="008A2E5A">
        <w:rPr>
          <w:rFonts w:ascii="Times New Roman" w:hAnsi="Times New Roman"/>
          <w:color w:val="0070C0"/>
          <w:sz w:val="16"/>
          <w:szCs w:val="16"/>
        </w:rPr>
        <w:softHyphen/>
        <w:t>пления фюзеляжа к бронекорпусу.</w:t>
      </w:r>
    </w:p>
    <w:p w14:paraId="7185FF83"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Оказалось, что СКО завода № 18 ввел в конструкцию фюзе</w:t>
      </w:r>
      <w:r w:rsidRPr="008A2E5A">
        <w:rPr>
          <w:rFonts w:ascii="Times New Roman" w:hAnsi="Times New Roman"/>
          <w:color w:val="0070C0"/>
          <w:sz w:val="16"/>
          <w:szCs w:val="16"/>
        </w:rPr>
        <w:softHyphen/>
        <w:t>ляжа новые материалы-заменители без проведения необходимых ста</w:t>
      </w:r>
      <w:r w:rsidRPr="008A2E5A">
        <w:rPr>
          <w:rFonts w:ascii="Times New Roman" w:hAnsi="Times New Roman"/>
          <w:color w:val="0070C0"/>
          <w:sz w:val="16"/>
          <w:szCs w:val="16"/>
        </w:rPr>
        <w:softHyphen/>
        <w:t>тических испытаний. Соответству</w:t>
      </w:r>
      <w:r w:rsidRPr="008A2E5A">
        <w:rPr>
          <w:rFonts w:ascii="Times New Roman" w:hAnsi="Times New Roman"/>
          <w:color w:val="0070C0"/>
          <w:sz w:val="16"/>
          <w:szCs w:val="16"/>
        </w:rPr>
        <w:softHyphen/>
        <w:t>ющее извещение было направлено для внедрения в серию и на завод № 1. В результате понизилась прочность и жесткость силового каркаса фюзеляжа. Официальное разрешение главного конструктора самолета Ильюшина на эти изме</w:t>
      </w:r>
      <w:r w:rsidRPr="008A2E5A">
        <w:rPr>
          <w:rFonts w:ascii="Times New Roman" w:hAnsi="Times New Roman"/>
          <w:color w:val="0070C0"/>
          <w:sz w:val="16"/>
          <w:szCs w:val="16"/>
        </w:rPr>
        <w:softHyphen/>
        <w:t>нения не запрашивалось.</w:t>
      </w:r>
    </w:p>
    <w:p w14:paraId="3CA8283F"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этого, имело место при</w:t>
      </w:r>
      <w:r w:rsidRPr="008A2E5A">
        <w:rPr>
          <w:rFonts w:ascii="Times New Roman" w:hAnsi="Times New Roman"/>
          <w:color w:val="0070C0"/>
          <w:sz w:val="16"/>
          <w:szCs w:val="16"/>
        </w:rPr>
        <w:softHyphen/>
        <w:t>менение некачественных матери</w:t>
      </w:r>
      <w:r w:rsidRPr="008A2E5A">
        <w:rPr>
          <w:rFonts w:ascii="Times New Roman" w:hAnsi="Times New Roman"/>
          <w:color w:val="0070C0"/>
          <w:sz w:val="16"/>
          <w:szCs w:val="16"/>
        </w:rPr>
        <w:softHyphen/>
        <w:t>алов и нарушение утвержденного ВИАМ технологического процесса изготовления де</w:t>
      </w:r>
      <w:r w:rsidRPr="008A2E5A">
        <w:rPr>
          <w:rFonts w:ascii="Times New Roman" w:hAnsi="Times New Roman"/>
          <w:color w:val="0070C0"/>
          <w:sz w:val="16"/>
          <w:szCs w:val="16"/>
        </w:rPr>
        <w:softHyphen/>
        <w:t>ревянных фюзеляжей (лаки, краски, клей, обработка древесины, сроки и условия сушки, пропитка и покра</w:t>
      </w:r>
      <w:r w:rsidRPr="008A2E5A">
        <w:rPr>
          <w:rFonts w:ascii="Times New Roman" w:hAnsi="Times New Roman"/>
          <w:color w:val="0070C0"/>
          <w:sz w:val="16"/>
          <w:szCs w:val="16"/>
        </w:rPr>
        <w:softHyphen/>
        <w:t>ска обшивки).</w:t>
      </w:r>
    </w:p>
    <w:p w14:paraId="1A1CC2D8"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основании выводов комиссии директорам заво</w:t>
      </w:r>
      <w:r w:rsidRPr="008A2E5A">
        <w:rPr>
          <w:rFonts w:ascii="Times New Roman" w:hAnsi="Times New Roman"/>
          <w:color w:val="0070C0"/>
          <w:sz w:val="16"/>
          <w:szCs w:val="16"/>
        </w:rPr>
        <w:softHyphen/>
        <w:t>дов Третьякову и Белянскому было приказано не по</w:t>
      </w:r>
      <w:r w:rsidRPr="008A2E5A">
        <w:rPr>
          <w:rFonts w:ascii="Times New Roman" w:hAnsi="Times New Roman"/>
          <w:color w:val="0070C0"/>
          <w:sz w:val="16"/>
          <w:szCs w:val="16"/>
        </w:rPr>
        <w:softHyphen/>
        <w:t>зже 3 июля закончить все работы по усилению хвосто</w:t>
      </w:r>
      <w:r w:rsidRPr="008A2E5A">
        <w:rPr>
          <w:rFonts w:ascii="Times New Roman" w:hAnsi="Times New Roman"/>
          <w:color w:val="0070C0"/>
          <w:sz w:val="16"/>
          <w:szCs w:val="16"/>
        </w:rPr>
        <w:softHyphen/>
        <w:t>вой части фюзеляжа, выпустить специальный эксплуа</w:t>
      </w:r>
      <w:r w:rsidRPr="008A2E5A">
        <w:rPr>
          <w:rFonts w:ascii="Times New Roman" w:hAnsi="Times New Roman"/>
          <w:color w:val="0070C0"/>
          <w:sz w:val="16"/>
          <w:szCs w:val="16"/>
        </w:rPr>
        <w:softHyphen/>
        <w:t>тационный бюллетень, а также срочно укрепить отдел технического контроля грамотными и ответственными работниками.</w:t>
      </w:r>
    </w:p>
    <w:p w14:paraId="5C6B96A8"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Без оргвыводов не обошлось. Своих должностей лишились начальник ОТК и ряд руководящих работ</w:t>
      </w:r>
      <w:r w:rsidRPr="008A2E5A">
        <w:rPr>
          <w:rFonts w:ascii="Times New Roman" w:hAnsi="Times New Roman"/>
          <w:color w:val="0070C0"/>
          <w:sz w:val="16"/>
          <w:szCs w:val="16"/>
        </w:rPr>
        <w:softHyphen/>
        <w:t>ников завода № 18, а начальник цеха фюзеляжей был отдан под суд (23346).</w:t>
      </w:r>
    </w:p>
    <w:p w14:paraId="267FA218" w14:textId="77777777" w:rsidR="0009674D" w:rsidRPr="008A2E5A" w:rsidRDefault="0009674D" w:rsidP="0009674D">
      <w:pPr>
        <w:spacing w:after="0" w:line="240" w:lineRule="auto"/>
        <w:jc w:val="both"/>
        <w:rPr>
          <w:rFonts w:ascii="Times New Roman" w:hAnsi="Times New Roman"/>
          <w:color w:val="0070C0"/>
          <w:sz w:val="16"/>
          <w:szCs w:val="16"/>
        </w:rPr>
      </w:pPr>
    </w:p>
    <w:p w14:paraId="55C4625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июня 1942 г. вышел Акт по государ</w:t>
      </w:r>
      <w:r w:rsidRPr="008127F8">
        <w:rPr>
          <w:rFonts w:ascii="Times New Roman" w:hAnsi="Times New Roman"/>
          <w:color w:val="000000" w:themeColor="text1"/>
          <w:sz w:val="16"/>
          <w:szCs w:val="16"/>
        </w:rPr>
        <w:softHyphen/>
        <w:t>ственным испытаниям Су-6, в заключении которого рекомендовалось построить войсковую серию Су-6 в количестве 25 машин, а окончательный вывод о боевых свойствах самолета сделать после производства испытаний в ус</w:t>
      </w:r>
      <w:r w:rsidRPr="008127F8">
        <w:rPr>
          <w:rFonts w:ascii="Times New Roman" w:hAnsi="Times New Roman"/>
          <w:color w:val="000000" w:themeColor="text1"/>
          <w:sz w:val="16"/>
          <w:szCs w:val="16"/>
        </w:rPr>
        <w:softHyphen/>
        <w:t>ловиях фронта. Соответствующий доклад был направлен на имя И. В. Сталина. В докладе командование ВВС КА просило разрешить выпуск войсковой серии Су-6 М-71, "как крайне необходимого ВВС самоле</w:t>
      </w:r>
      <w:r w:rsidRPr="008127F8">
        <w:rPr>
          <w:rFonts w:ascii="Times New Roman" w:hAnsi="Times New Roman"/>
          <w:color w:val="000000" w:themeColor="text1"/>
          <w:sz w:val="16"/>
          <w:szCs w:val="16"/>
        </w:rPr>
        <w:softHyphen/>
        <w:t>та".</w:t>
      </w:r>
    </w:p>
    <w:p w14:paraId="69FE7A5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войсковую серию Су-6 так и не построили. Основная при</w:t>
      </w:r>
      <w:r w:rsidRPr="008127F8">
        <w:rPr>
          <w:rFonts w:ascii="Times New Roman" w:hAnsi="Times New Roman"/>
          <w:color w:val="000000" w:themeColor="text1"/>
          <w:sz w:val="16"/>
          <w:szCs w:val="16"/>
        </w:rPr>
        <w:softHyphen/>
        <w:t>чина состояла в том, что летом и осенью 1942 г. положение на фрон</w:t>
      </w:r>
      <w:r w:rsidRPr="008127F8">
        <w:rPr>
          <w:rFonts w:ascii="Times New Roman" w:hAnsi="Times New Roman"/>
          <w:color w:val="000000" w:themeColor="text1"/>
          <w:sz w:val="16"/>
          <w:szCs w:val="16"/>
        </w:rPr>
        <w:softHyphen/>
        <w:t>те было очень тяжелым. Потери на фронте были велики, и требовалось выпускать как можно больше боевых самолетов. В то время развертыва</w:t>
      </w:r>
      <w:r w:rsidRPr="008127F8">
        <w:rPr>
          <w:rFonts w:ascii="Times New Roman" w:hAnsi="Times New Roman"/>
          <w:color w:val="000000" w:themeColor="text1"/>
          <w:sz w:val="16"/>
          <w:szCs w:val="16"/>
        </w:rPr>
        <w:softHyphen/>
        <w:t>ние производства самолета нового типа и мотора к нему неизбежно привело бы к некоторому снижению выпуска моторов М-82 (поскольку делал бы их тот же самый завод № 19), что в свою очередь, могло при</w:t>
      </w:r>
      <w:r w:rsidRPr="008127F8">
        <w:rPr>
          <w:rFonts w:ascii="Times New Roman" w:hAnsi="Times New Roman"/>
          <w:color w:val="000000" w:themeColor="text1"/>
          <w:sz w:val="16"/>
          <w:szCs w:val="16"/>
        </w:rPr>
        <w:softHyphen/>
        <w:t>вести к срыву планов по выпуску ис</w:t>
      </w:r>
      <w:r w:rsidRPr="008127F8">
        <w:rPr>
          <w:rFonts w:ascii="Times New Roman" w:hAnsi="Times New Roman"/>
          <w:color w:val="000000" w:themeColor="text1"/>
          <w:sz w:val="16"/>
          <w:szCs w:val="16"/>
        </w:rPr>
        <w:softHyphen/>
        <w:t>требителей Ла-5. Пойти на сниже</w:t>
      </w:r>
      <w:r w:rsidRPr="008127F8">
        <w:rPr>
          <w:rFonts w:ascii="Times New Roman" w:hAnsi="Times New Roman"/>
          <w:color w:val="000000" w:themeColor="text1"/>
          <w:sz w:val="16"/>
          <w:szCs w:val="16"/>
        </w:rPr>
        <w:softHyphen/>
        <w:t>ние производства даже с целью обес</w:t>
      </w:r>
      <w:r w:rsidRPr="008127F8">
        <w:rPr>
          <w:rFonts w:ascii="Times New Roman" w:hAnsi="Times New Roman"/>
          <w:color w:val="000000" w:themeColor="text1"/>
          <w:sz w:val="16"/>
          <w:szCs w:val="16"/>
        </w:rPr>
        <w:softHyphen/>
        <w:t>печения более высокого качествен</w:t>
      </w:r>
      <w:r w:rsidRPr="008127F8">
        <w:rPr>
          <w:rFonts w:ascii="Times New Roman" w:hAnsi="Times New Roman"/>
          <w:color w:val="000000" w:themeColor="text1"/>
          <w:sz w:val="16"/>
          <w:szCs w:val="16"/>
        </w:rPr>
        <w:softHyphen/>
        <w:t>ного уровня боевой техники руковод</w:t>
      </w:r>
      <w:r w:rsidRPr="008127F8">
        <w:rPr>
          <w:rFonts w:ascii="Times New Roman" w:hAnsi="Times New Roman"/>
          <w:color w:val="000000" w:themeColor="text1"/>
          <w:sz w:val="16"/>
          <w:szCs w:val="16"/>
        </w:rPr>
        <w:softHyphen/>
        <w:t>ство НКАП не решилось.</w:t>
      </w:r>
    </w:p>
    <w:p w14:paraId="62A7BB9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Военным тогда явно было не до борьбы за качество поставляемой на фронт авиатехники. В сложившейся обстановке на фронте требовалось в первую очередь решить количе</w:t>
      </w:r>
      <w:r w:rsidRPr="008127F8">
        <w:rPr>
          <w:rFonts w:ascii="Times New Roman" w:hAnsi="Times New Roman"/>
          <w:color w:val="000000" w:themeColor="text1"/>
          <w:sz w:val="16"/>
          <w:szCs w:val="16"/>
        </w:rPr>
        <w:softHyphen/>
        <w:t>ственную проблему - обеспечить восполнение убыли матчасти и лет</w:t>
      </w:r>
      <w:r w:rsidRPr="008127F8">
        <w:rPr>
          <w:rFonts w:ascii="Times New Roman" w:hAnsi="Times New Roman"/>
          <w:color w:val="000000" w:themeColor="text1"/>
          <w:sz w:val="16"/>
          <w:szCs w:val="16"/>
        </w:rPr>
        <w:softHyphen/>
        <w:t>ного состава и накопить достаточ</w:t>
      </w:r>
      <w:r w:rsidRPr="008127F8">
        <w:rPr>
          <w:rFonts w:ascii="Times New Roman" w:hAnsi="Times New Roman"/>
          <w:color w:val="000000" w:themeColor="text1"/>
          <w:sz w:val="16"/>
          <w:szCs w:val="16"/>
        </w:rPr>
        <w:softHyphen/>
        <w:t>ные резервы для проведения опера</w:t>
      </w:r>
      <w:r w:rsidRPr="008127F8">
        <w:rPr>
          <w:rFonts w:ascii="Times New Roman" w:hAnsi="Times New Roman"/>
          <w:color w:val="000000" w:themeColor="text1"/>
          <w:sz w:val="16"/>
          <w:szCs w:val="16"/>
        </w:rPr>
        <w:softHyphen/>
        <w:t>ций. Хотя они, безусловно, понима</w:t>
      </w:r>
      <w:r w:rsidRPr="008127F8">
        <w:rPr>
          <w:rFonts w:ascii="Times New Roman" w:hAnsi="Times New Roman"/>
          <w:color w:val="000000" w:themeColor="text1"/>
          <w:sz w:val="16"/>
          <w:szCs w:val="16"/>
        </w:rPr>
        <w:softHyphen/>
        <w:t>ли, что поступление в ВВС самоле</w:t>
      </w:r>
      <w:r w:rsidRPr="008127F8">
        <w:rPr>
          <w:rFonts w:ascii="Times New Roman" w:hAnsi="Times New Roman"/>
          <w:color w:val="000000" w:themeColor="text1"/>
          <w:sz w:val="16"/>
          <w:szCs w:val="16"/>
        </w:rPr>
        <w:softHyphen/>
        <w:t>тов с повышенной боевой эффектив</w:t>
      </w:r>
      <w:r w:rsidRPr="008127F8">
        <w:rPr>
          <w:rFonts w:ascii="Times New Roman" w:hAnsi="Times New Roman"/>
          <w:color w:val="000000" w:themeColor="text1"/>
          <w:sz w:val="16"/>
          <w:szCs w:val="16"/>
        </w:rPr>
        <w:softHyphen/>
        <w:t>ностью позволит не только поднять качественный уровень боевых дей</w:t>
      </w:r>
      <w:r w:rsidRPr="008127F8">
        <w:rPr>
          <w:rFonts w:ascii="Times New Roman" w:hAnsi="Times New Roman"/>
          <w:color w:val="000000" w:themeColor="text1"/>
          <w:sz w:val="16"/>
          <w:szCs w:val="16"/>
        </w:rPr>
        <w:softHyphen/>
        <w:t>ствий авиации, но и существенно уменьшить потребное количество са</w:t>
      </w:r>
      <w:r w:rsidRPr="008127F8">
        <w:rPr>
          <w:rFonts w:ascii="Times New Roman" w:hAnsi="Times New Roman"/>
          <w:color w:val="000000" w:themeColor="text1"/>
          <w:sz w:val="16"/>
          <w:szCs w:val="16"/>
        </w:rPr>
        <w:softHyphen/>
        <w:t>молетов в строю. Ведь чем совер</w:t>
      </w:r>
      <w:r w:rsidRPr="008127F8">
        <w:rPr>
          <w:rFonts w:ascii="Times New Roman" w:hAnsi="Times New Roman"/>
          <w:color w:val="000000" w:themeColor="text1"/>
          <w:sz w:val="16"/>
          <w:szCs w:val="16"/>
        </w:rPr>
        <w:softHyphen/>
        <w:t>шеннее техника, тем меньше ее нуж</w:t>
      </w:r>
      <w:r w:rsidRPr="008127F8">
        <w:rPr>
          <w:rFonts w:ascii="Times New Roman" w:hAnsi="Times New Roman"/>
          <w:color w:val="000000" w:themeColor="text1"/>
          <w:sz w:val="16"/>
          <w:szCs w:val="16"/>
        </w:rPr>
        <w:softHyphen/>
        <w:t xml:space="preserve">но для решения задач авиационной </w:t>
      </w:r>
      <w:r w:rsidRPr="008127F8">
        <w:rPr>
          <w:rFonts w:ascii="Times New Roman" w:hAnsi="Times New Roman"/>
          <w:color w:val="000000" w:themeColor="text1"/>
          <w:sz w:val="16"/>
          <w:szCs w:val="16"/>
        </w:rPr>
        <w:lastRenderedPageBreak/>
        <w:t>поддержки войск.</w:t>
      </w:r>
    </w:p>
    <w:p w14:paraId="57D53A5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Сухой продолжал улучшать свой штурмовик. В соответствии с такти</w:t>
      </w:r>
      <w:r w:rsidRPr="008127F8">
        <w:rPr>
          <w:rFonts w:ascii="Times New Roman" w:hAnsi="Times New Roman"/>
          <w:color w:val="000000" w:themeColor="text1"/>
          <w:sz w:val="16"/>
          <w:szCs w:val="16"/>
        </w:rPr>
        <w:softHyphen/>
        <w:t>ко-техническими требованиями ВВС к самолету-штурмовику на 1943 г. он принял решение об установке на Су-6 двух пушек калибра 37 мм. На первом экземпляре модифицирован</w:t>
      </w:r>
      <w:r w:rsidRPr="008127F8">
        <w:rPr>
          <w:rFonts w:ascii="Times New Roman" w:hAnsi="Times New Roman"/>
          <w:color w:val="000000" w:themeColor="text1"/>
          <w:sz w:val="16"/>
          <w:szCs w:val="16"/>
        </w:rPr>
        <w:softHyphen/>
        <w:t>ной "шестерки" должны были монти</w:t>
      </w:r>
      <w:r w:rsidRPr="008127F8">
        <w:rPr>
          <w:rFonts w:ascii="Times New Roman" w:hAnsi="Times New Roman"/>
          <w:color w:val="000000" w:themeColor="text1"/>
          <w:sz w:val="16"/>
          <w:szCs w:val="16"/>
        </w:rPr>
        <w:softHyphen/>
        <w:t>роваться пушки 11П ОКБ-16 (в се</w:t>
      </w:r>
      <w:r w:rsidRPr="008127F8">
        <w:rPr>
          <w:rFonts w:ascii="Times New Roman" w:hAnsi="Times New Roman"/>
          <w:color w:val="000000" w:themeColor="text1"/>
          <w:sz w:val="16"/>
          <w:szCs w:val="16"/>
        </w:rPr>
        <w:softHyphen/>
        <w:t>рии НС-37). На втором экземпляре - пушки Ш-37 ОКБ-15. При этом ко</w:t>
      </w:r>
      <w:r w:rsidRPr="008127F8">
        <w:rPr>
          <w:rFonts w:ascii="Times New Roman" w:hAnsi="Times New Roman"/>
          <w:color w:val="000000" w:themeColor="text1"/>
          <w:sz w:val="16"/>
          <w:szCs w:val="16"/>
        </w:rPr>
        <w:softHyphen/>
        <w:t>личество пулеметов ШКАС сокраща</w:t>
      </w:r>
      <w:r w:rsidRPr="008127F8">
        <w:rPr>
          <w:rFonts w:ascii="Times New Roman" w:hAnsi="Times New Roman"/>
          <w:color w:val="000000" w:themeColor="text1"/>
          <w:sz w:val="16"/>
          <w:szCs w:val="16"/>
        </w:rPr>
        <w:softHyphen/>
        <w:t>лось до двух, а реактивных орудий — до шести. Кроме того, с разрешения наркома авиапромышленности А. И. Шахурина на заводе № 289 допол</w:t>
      </w:r>
      <w:r w:rsidRPr="008127F8">
        <w:rPr>
          <w:rFonts w:ascii="Times New Roman" w:hAnsi="Times New Roman"/>
          <w:color w:val="000000" w:themeColor="text1"/>
          <w:sz w:val="16"/>
          <w:szCs w:val="16"/>
        </w:rPr>
        <w:softHyphen/>
        <w:t>нительно строили два самолета Су-6 с бронекорпусом, включенным в конструкцию самолета, и с усилен</w:t>
      </w:r>
      <w:r w:rsidRPr="008127F8">
        <w:rPr>
          <w:rFonts w:ascii="Times New Roman" w:hAnsi="Times New Roman"/>
          <w:color w:val="000000" w:themeColor="text1"/>
          <w:sz w:val="16"/>
          <w:szCs w:val="16"/>
        </w:rPr>
        <w:softHyphen/>
        <w:t>ным бронированием маспорадиато-ра и винтомоторной группы. Воору</w:t>
      </w:r>
      <w:r w:rsidRPr="008127F8">
        <w:rPr>
          <w:rFonts w:ascii="Times New Roman" w:hAnsi="Times New Roman"/>
          <w:color w:val="000000" w:themeColor="text1"/>
          <w:sz w:val="16"/>
          <w:szCs w:val="16"/>
        </w:rPr>
        <w:softHyphen/>
        <w:t>жение этой пары штурмовиков со</w:t>
      </w:r>
      <w:r w:rsidRPr="008127F8">
        <w:rPr>
          <w:rFonts w:ascii="Times New Roman" w:hAnsi="Times New Roman"/>
          <w:color w:val="000000" w:themeColor="text1"/>
          <w:sz w:val="16"/>
          <w:szCs w:val="16"/>
        </w:rPr>
        <w:softHyphen/>
        <w:t>стояло из двух пушек 11 П, двух ШКАС, 200 кг бомб (в перегрузку 400 кг) и шести РО-82. Управление рулем высоты и рулем направления дублировалось (11426).</w:t>
      </w:r>
    </w:p>
    <w:p w14:paraId="2A2D1B2A" w14:textId="77777777" w:rsidR="007C5583" w:rsidRPr="0009674D" w:rsidRDefault="007C5583" w:rsidP="0009674D">
      <w:pPr>
        <w:spacing w:after="0" w:line="240" w:lineRule="auto"/>
        <w:rPr>
          <w:rFonts w:ascii="Times New Roman" w:hAnsi="Times New Roman"/>
          <w:sz w:val="16"/>
          <w:szCs w:val="16"/>
        </w:rPr>
      </w:pPr>
    </w:p>
    <w:p w14:paraId="1F77ED21" w14:textId="77777777" w:rsidR="007C5583" w:rsidRPr="0009674D" w:rsidRDefault="007C5583" w:rsidP="0009674D">
      <w:pPr>
        <w:spacing w:after="0" w:line="240" w:lineRule="auto"/>
        <w:rPr>
          <w:rFonts w:ascii="Times New Roman" w:hAnsi="Times New Roman"/>
          <w:sz w:val="16"/>
          <w:szCs w:val="16"/>
        </w:rPr>
      </w:pPr>
      <w:r w:rsidRPr="0009674D">
        <w:rPr>
          <w:rFonts w:ascii="Times New Roman" w:hAnsi="Times New Roman"/>
          <w:sz w:val="16"/>
          <w:szCs w:val="16"/>
        </w:rPr>
        <w:t>15 июня 1942 главный инженер ВВС КА генерал-лейтенант Репиным утвердил акта по испытаниям Су-6 («82»), в заключении которого рекомендовалось после устранения де</w:t>
      </w:r>
      <w:r w:rsidRPr="0009674D">
        <w:rPr>
          <w:rFonts w:ascii="Times New Roman" w:hAnsi="Times New Roman"/>
          <w:sz w:val="16"/>
          <w:szCs w:val="16"/>
        </w:rPr>
        <w:softHyphen/>
        <w:t>фектов поставить Су-6 М-71 в небольшую серию, а окончательный вывод о боевых свойствах самолета сделать после прове</w:t>
      </w:r>
      <w:r w:rsidRPr="0009674D">
        <w:rPr>
          <w:rFonts w:ascii="Times New Roman" w:hAnsi="Times New Roman"/>
          <w:sz w:val="16"/>
          <w:szCs w:val="16"/>
        </w:rPr>
        <w:softHyphen/>
        <w:t>дения войсковых испытаний.</w:t>
      </w:r>
    </w:p>
    <w:p w14:paraId="56D0E0C8" w14:textId="77777777" w:rsidR="007C5583" w:rsidRPr="0009674D" w:rsidRDefault="007C5583" w:rsidP="0009674D">
      <w:pPr>
        <w:spacing w:after="0" w:line="240" w:lineRule="auto"/>
        <w:rPr>
          <w:rFonts w:ascii="Times New Roman" w:hAnsi="Times New Roman"/>
          <w:sz w:val="16"/>
          <w:szCs w:val="16"/>
        </w:rPr>
      </w:pPr>
      <w:r w:rsidRPr="0009674D">
        <w:rPr>
          <w:rFonts w:ascii="Times New Roman" w:hAnsi="Times New Roman"/>
          <w:sz w:val="16"/>
          <w:szCs w:val="16"/>
        </w:rPr>
        <w:t>Соответствующий доклад и дорабо</w:t>
      </w:r>
      <w:r w:rsidRPr="0009674D">
        <w:rPr>
          <w:rFonts w:ascii="Times New Roman" w:hAnsi="Times New Roman"/>
          <w:sz w:val="16"/>
          <w:szCs w:val="16"/>
        </w:rPr>
        <w:softHyphen/>
        <w:t>танный проект постановления ГКО «О по</w:t>
      </w:r>
      <w:r w:rsidRPr="0009674D">
        <w:rPr>
          <w:rFonts w:ascii="Times New Roman" w:hAnsi="Times New Roman"/>
          <w:sz w:val="16"/>
          <w:szCs w:val="16"/>
        </w:rPr>
        <w:softHyphen/>
        <w:t>стройке войсковой серии одноместных бронированных штурмовиков Су-6 с М-71 конструкции т. Сухого» направили Сталину.</w:t>
      </w:r>
    </w:p>
    <w:p w14:paraId="264C31AC" w14:textId="77777777" w:rsidR="007C5583" w:rsidRPr="0009674D" w:rsidRDefault="007C5583" w:rsidP="0009674D">
      <w:pPr>
        <w:spacing w:after="0" w:line="240" w:lineRule="auto"/>
        <w:rPr>
          <w:rFonts w:ascii="Times New Roman" w:hAnsi="Times New Roman"/>
          <w:sz w:val="16"/>
          <w:szCs w:val="16"/>
        </w:rPr>
      </w:pPr>
      <w:r w:rsidRPr="0009674D">
        <w:rPr>
          <w:rFonts w:ascii="Times New Roman" w:hAnsi="Times New Roman"/>
          <w:sz w:val="16"/>
          <w:szCs w:val="16"/>
        </w:rPr>
        <w:t>В докладе командование ВВС КА ин</w:t>
      </w:r>
      <w:r w:rsidRPr="0009674D">
        <w:rPr>
          <w:rFonts w:ascii="Times New Roman" w:hAnsi="Times New Roman"/>
          <w:sz w:val="16"/>
          <w:szCs w:val="16"/>
        </w:rPr>
        <w:softHyphen/>
        <w:t>формировало Сталина о высоких летно- боевых качествах опытного самолета Су-6 и просило дать указания о выпуске 25 са</w:t>
      </w:r>
      <w:r w:rsidRPr="0009674D">
        <w:rPr>
          <w:rFonts w:ascii="Times New Roman" w:hAnsi="Times New Roman"/>
          <w:sz w:val="16"/>
          <w:szCs w:val="16"/>
        </w:rPr>
        <w:softHyphen/>
        <w:t>молетов Су-6 М-71 войсковой серии.</w:t>
      </w:r>
    </w:p>
    <w:p w14:paraId="541A653B" w14:textId="77777777" w:rsidR="007C5583" w:rsidRPr="0009674D" w:rsidRDefault="007C5583" w:rsidP="0009674D">
      <w:pPr>
        <w:spacing w:after="0" w:line="240" w:lineRule="auto"/>
        <w:rPr>
          <w:rFonts w:ascii="Times New Roman" w:hAnsi="Times New Roman"/>
          <w:sz w:val="16"/>
          <w:szCs w:val="16"/>
        </w:rPr>
      </w:pPr>
      <w:r w:rsidRPr="0009674D">
        <w:rPr>
          <w:rFonts w:ascii="Times New Roman" w:hAnsi="Times New Roman"/>
          <w:sz w:val="16"/>
          <w:szCs w:val="16"/>
        </w:rPr>
        <w:t>Всю серию «штурмовиков Су-6 с М-71 в количестве двадцати пяти штук» требо</w:t>
      </w:r>
      <w:r w:rsidRPr="0009674D">
        <w:rPr>
          <w:rFonts w:ascii="Times New Roman" w:hAnsi="Times New Roman"/>
          <w:sz w:val="16"/>
          <w:szCs w:val="16"/>
        </w:rPr>
        <w:softHyphen/>
        <w:t>валось построить и сдать ВВС Красной Ар</w:t>
      </w:r>
      <w:r w:rsidRPr="0009674D">
        <w:rPr>
          <w:rFonts w:ascii="Times New Roman" w:hAnsi="Times New Roman"/>
          <w:sz w:val="16"/>
          <w:szCs w:val="16"/>
        </w:rPr>
        <w:softHyphen/>
        <w:t>мии к 15 декабря 1942 г. (19846).</w:t>
      </w:r>
    </w:p>
    <w:p w14:paraId="13AA68CB" w14:textId="77777777" w:rsidR="007C5583" w:rsidRPr="0009674D" w:rsidRDefault="007C5583" w:rsidP="0009674D">
      <w:pPr>
        <w:spacing w:after="0" w:line="240" w:lineRule="auto"/>
        <w:rPr>
          <w:rFonts w:ascii="Times New Roman" w:hAnsi="Times New Roman"/>
          <w:sz w:val="16"/>
          <w:szCs w:val="16"/>
        </w:rPr>
      </w:pPr>
    </w:p>
    <w:p w14:paraId="0B82FDD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июня 1942-го главный инженер ВВС КА генерал А.И.Репин утверждил заключение акта по государственным испытаниям Су-6 М-71. В заключении рекомендовалось после устранения выявленных дефектов поставить Су-6 М-71 в небольшую серию, а окончательный вывод о боевых свойствах самолета сделать после проведения войсковых испытаний. Однако самолет в серии по-прежнему не строился (9649).</w:t>
      </w:r>
    </w:p>
    <w:p w14:paraId="3B5160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E9189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июня 1942 в заключении Акта по государственным испытаниям, утвер</w:t>
      </w:r>
      <w:r w:rsidRPr="008127F8">
        <w:rPr>
          <w:rFonts w:ascii="Times New Roman" w:hAnsi="Times New Roman"/>
          <w:color w:val="000000" w:themeColor="text1"/>
          <w:sz w:val="16"/>
          <w:szCs w:val="16"/>
        </w:rPr>
        <w:softHyphen/>
        <w:t>жденного Главным инженером ВВС КА генералом А.К. Репи</w:t>
      </w:r>
      <w:r w:rsidRPr="008127F8">
        <w:rPr>
          <w:rFonts w:ascii="Times New Roman" w:hAnsi="Times New Roman"/>
          <w:color w:val="000000" w:themeColor="text1"/>
          <w:sz w:val="16"/>
          <w:szCs w:val="16"/>
        </w:rPr>
        <w:softHyphen/>
        <w:t>ным, рекомендовалось после устранения выявленных дефектов поставить Су-6 М-71 в небольшую серию, а оконча</w:t>
      </w:r>
      <w:r w:rsidRPr="008127F8">
        <w:rPr>
          <w:rFonts w:ascii="Times New Roman" w:hAnsi="Times New Roman"/>
          <w:color w:val="000000" w:themeColor="text1"/>
          <w:sz w:val="16"/>
          <w:szCs w:val="16"/>
        </w:rPr>
        <w:softHyphen/>
        <w:t>тельный вывод о боевых свойствах самолета сделать после про</w:t>
      </w:r>
      <w:r w:rsidRPr="008127F8">
        <w:rPr>
          <w:rFonts w:ascii="Times New Roman" w:hAnsi="Times New Roman"/>
          <w:color w:val="000000" w:themeColor="text1"/>
          <w:sz w:val="16"/>
          <w:szCs w:val="16"/>
        </w:rPr>
        <w:softHyphen/>
        <w:t>ведения войсковых испытаний.</w:t>
      </w:r>
    </w:p>
    <w:p w14:paraId="7861E4F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Соответствующий доклад по результатам государственных испытаний Су-6 М-71 был направлен и на имя И.В. Сталина. В докладе командование ВВС КА просило разрешить выпуск войсковой серии Су-6 М-71, «как крайне необходимого ВВС самолета».</w:t>
      </w:r>
    </w:p>
    <w:p w14:paraId="5E9914A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проекте Постановления ГКО указывалось, что скорость Су-6 М-71 войсковой серии будет составлять: у земли 460 км/ч (на форсаже 500 км/ч), на высоте 5600 м — 550 км/ч, посадочная — 148 км/ч. Дальность полета на скорости 0,9 Углах - 700 км.</w:t>
      </w:r>
    </w:p>
    <w:p w14:paraId="31BACE9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 войскового «сухого» предполагалось несколько усилить. За счет уменьшения боекомплекта к пушкам ВЯ-23 до 80 снарядов на ствол и нормального веса бомбовой нагрузки до 150 кг планировалось увеличить до шести количество пулеметов ШКАС (по 800 патронов на ствол): четыре крыльевых и два синхронных (в центроплане). Ракетное вооружение включало 10 РС-82 или (вместо бомб) 10 РС-132. Вес бомбовой нагрузки в перегрузку допускался до 400 кг (калибр от 1,5 до 100 кг).</w:t>
      </w:r>
    </w:p>
    <w:p w14:paraId="66947B5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Система бронирования должна была обеспечивать защиту экипажа и жизненно важных частей конструкции самолета от бронебойных пуль калибра 12,7 мм. При этом броня выноси</w:t>
      </w:r>
      <w:r w:rsidRPr="008127F8">
        <w:rPr>
          <w:rFonts w:ascii="Times New Roman" w:hAnsi="Times New Roman"/>
          <w:color w:val="000000" w:themeColor="text1"/>
          <w:sz w:val="16"/>
          <w:szCs w:val="16"/>
        </w:rPr>
        <w:softHyphen/>
        <w:t>лась наружу, «согласно схеме, утвержденной ВВС».</w:t>
      </w:r>
    </w:p>
    <w:p w14:paraId="694C24B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25 самолетов Су-6 М-71 войсковой серии планирова</w:t>
      </w:r>
      <w:r w:rsidRPr="008127F8">
        <w:rPr>
          <w:rFonts w:ascii="Times New Roman" w:hAnsi="Times New Roman"/>
          <w:color w:val="000000" w:themeColor="text1"/>
          <w:sz w:val="16"/>
          <w:szCs w:val="16"/>
        </w:rPr>
        <w:softHyphen/>
        <w:t>лось построить до 1 декабря 1942 г.</w:t>
      </w:r>
    </w:p>
    <w:p w14:paraId="292AAE6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войсковую серию Су-6 так и не построили. Фор</w:t>
      </w:r>
      <w:r w:rsidRPr="008127F8">
        <w:rPr>
          <w:rFonts w:ascii="Times New Roman" w:hAnsi="Times New Roman"/>
          <w:color w:val="000000" w:themeColor="text1"/>
          <w:sz w:val="16"/>
          <w:szCs w:val="16"/>
        </w:rPr>
        <w:softHyphen/>
        <w:t>мально, из-за трудностей с обеспечением моторами М-71, по</w:t>
      </w:r>
      <w:r w:rsidRPr="008127F8">
        <w:rPr>
          <w:rFonts w:ascii="Times New Roman" w:hAnsi="Times New Roman"/>
          <w:color w:val="000000" w:themeColor="text1"/>
          <w:sz w:val="16"/>
          <w:szCs w:val="16"/>
        </w:rPr>
        <w:softHyphen/>
        <w:t>скольку он выпускался малой серией, а увеличение его произ</w:t>
      </w:r>
      <w:r w:rsidRPr="008127F8">
        <w:rPr>
          <w:rFonts w:ascii="Times New Roman" w:hAnsi="Times New Roman"/>
          <w:color w:val="000000" w:themeColor="text1"/>
          <w:sz w:val="16"/>
          <w:szCs w:val="16"/>
        </w:rPr>
        <w:softHyphen/>
        <w:t>водства в планы руководства НКАП не входило (11474,412).</w:t>
      </w:r>
    </w:p>
    <w:p w14:paraId="6572227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A07EFA" w14:textId="77777777" w:rsidR="007C5583" w:rsidRPr="008127F8" w:rsidRDefault="007C5583" w:rsidP="007C5583">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15 июня 1842 в заключение Акта по испытаниям, утвер</w:t>
      </w:r>
      <w:r w:rsidRPr="008127F8">
        <w:rPr>
          <w:rFonts w:ascii="Times New Roman" w:cs="Times New Roman"/>
          <w:color w:val="000000" w:themeColor="text1"/>
          <w:spacing w:val="0"/>
          <w:sz w:val="16"/>
          <w:szCs w:val="16"/>
        </w:rPr>
        <w:softHyphen/>
        <w:t>жденного главным инженером ВВС КА генера</w:t>
      </w:r>
      <w:r w:rsidRPr="008127F8">
        <w:rPr>
          <w:rFonts w:ascii="Times New Roman" w:cs="Times New Roman"/>
          <w:color w:val="000000" w:themeColor="text1"/>
          <w:spacing w:val="0"/>
          <w:sz w:val="16"/>
          <w:szCs w:val="16"/>
        </w:rPr>
        <w:softHyphen/>
        <w:t>лом А.К. Репиным, указывалось, что Су-6 М-71 по всему комплексу летно-боевых качеств соответствует требованиям и своему боевому назначению. Рекомендовалось пос</w:t>
      </w:r>
      <w:r w:rsidRPr="008127F8">
        <w:rPr>
          <w:rFonts w:ascii="Times New Roman" w:cs="Times New Roman"/>
          <w:color w:val="000000" w:themeColor="text1"/>
          <w:spacing w:val="0"/>
          <w:sz w:val="16"/>
          <w:szCs w:val="16"/>
        </w:rPr>
        <w:softHyphen/>
        <w:t>ле устранения дефектов поставить самолет в небольшую серию, а окончательный вывод о его боевых свойствах сделать после прове</w:t>
      </w:r>
      <w:r w:rsidRPr="008127F8">
        <w:rPr>
          <w:rFonts w:ascii="Times New Roman" w:cs="Times New Roman"/>
          <w:color w:val="000000" w:themeColor="text1"/>
          <w:spacing w:val="0"/>
          <w:sz w:val="16"/>
          <w:szCs w:val="16"/>
        </w:rPr>
        <w:softHyphen/>
        <w:t>дения войсковых испытаний. Соответствую</w:t>
      </w:r>
      <w:r w:rsidRPr="008127F8">
        <w:rPr>
          <w:rFonts w:ascii="Times New Roman" w:cs="Times New Roman"/>
          <w:color w:val="000000" w:themeColor="text1"/>
          <w:spacing w:val="0"/>
          <w:sz w:val="16"/>
          <w:szCs w:val="16"/>
        </w:rPr>
        <w:softHyphen/>
        <w:t>щий доклад по результатам государственных испытаний Су-6 М-71 был направлен и на имя И.В. Сталина. Командование ВВС КА просило разрешить выпуск войсковой серии Су-6 М-71, как крайне необходимого самолета.</w:t>
      </w:r>
    </w:p>
    <w:p w14:paraId="3634178F" w14:textId="77777777" w:rsidR="007C5583" w:rsidRPr="008127F8" w:rsidRDefault="007C5583" w:rsidP="007C5583">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Считалось, что система бронирования се</w:t>
      </w:r>
      <w:r w:rsidRPr="008127F8">
        <w:rPr>
          <w:rFonts w:ascii="Times New Roman" w:cs="Times New Roman"/>
          <w:color w:val="000000" w:themeColor="text1"/>
          <w:spacing w:val="0"/>
          <w:sz w:val="16"/>
          <w:szCs w:val="16"/>
        </w:rPr>
        <w:softHyphen/>
        <w:t>рийных Су-6 должна была обеспечивать защиту экипажа и жизненно важных частей конструкции от бронебойных пуль калибра 12-13 мм. Все 25 самолетов Су-6 М-71 войсковой серии пла</w:t>
      </w:r>
      <w:r w:rsidRPr="008127F8">
        <w:rPr>
          <w:rFonts w:ascii="Times New Roman" w:cs="Times New Roman"/>
          <w:color w:val="000000" w:themeColor="text1"/>
          <w:spacing w:val="0"/>
          <w:sz w:val="16"/>
          <w:szCs w:val="16"/>
        </w:rPr>
        <w:softHyphen/>
        <w:t>нировалось построить до 1 декабря 1942 г.</w:t>
      </w:r>
    </w:p>
    <w:p w14:paraId="0778A185" w14:textId="77777777" w:rsidR="007C5583" w:rsidRPr="008127F8" w:rsidRDefault="007C5583" w:rsidP="007C5583">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Однако войсковая серия Су-6 так и не поя</w:t>
      </w:r>
      <w:r w:rsidRPr="008127F8">
        <w:rPr>
          <w:rFonts w:ascii="Times New Roman" w:cs="Times New Roman"/>
          <w:color w:val="000000" w:themeColor="text1"/>
          <w:spacing w:val="0"/>
          <w:sz w:val="16"/>
          <w:szCs w:val="16"/>
        </w:rPr>
        <w:softHyphen/>
        <w:t>вилась. Формально - из-за трудностей с обес</w:t>
      </w:r>
      <w:r w:rsidRPr="008127F8">
        <w:rPr>
          <w:rFonts w:ascii="Times New Roman" w:cs="Times New Roman"/>
          <w:color w:val="000000" w:themeColor="text1"/>
          <w:spacing w:val="0"/>
          <w:sz w:val="16"/>
          <w:szCs w:val="16"/>
        </w:rPr>
        <w:softHyphen/>
        <w:t>печением моторами М-71, поскольку он выпу</w:t>
      </w:r>
      <w:r w:rsidRPr="008127F8">
        <w:rPr>
          <w:rFonts w:ascii="Times New Roman" w:cs="Times New Roman"/>
          <w:color w:val="000000" w:themeColor="text1"/>
          <w:spacing w:val="0"/>
          <w:sz w:val="16"/>
          <w:szCs w:val="16"/>
        </w:rPr>
        <w:softHyphen/>
        <w:t>скался малой серией, а увеличение его произ</w:t>
      </w:r>
      <w:r w:rsidRPr="008127F8">
        <w:rPr>
          <w:rFonts w:ascii="Times New Roman" w:cs="Times New Roman"/>
          <w:color w:val="000000" w:themeColor="text1"/>
          <w:spacing w:val="0"/>
          <w:sz w:val="16"/>
          <w:szCs w:val="16"/>
        </w:rPr>
        <w:softHyphen/>
        <w:t>водства в планы руководства НКАП не входило (15776).</w:t>
      </w:r>
    </w:p>
    <w:p w14:paraId="39D91341" w14:textId="77777777" w:rsidR="007C5583" w:rsidRPr="008127F8" w:rsidRDefault="007C5583" w:rsidP="007C5583">
      <w:pPr>
        <w:pStyle w:val="36"/>
        <w:shd w:val="clear" w:color="auto" w:fill="auto"/>
        <w:spacing w:after="0" w:line="240" w:lineRule="auto"/>
        <w:jc w:val="both"/>
        <w:rPr>
          <w:rFonts w:ascii="Times New Roman" w:cs="Times New Roman"/>
          <w:color w:val="000000" w:themeColor="text1"/>
          <w:spacing w:val="0"/>
          <w:sz w:val="16"/>
          <w:szCs w:val="16"/>
        </w:rPr>
      </w:pPr>
    </w:p>
    <w:p w14:paraId="57C4775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июня 1942 в заключение Акта по государственным испытаниям, утверждённым главным инженером ВВС КА генералом А.К. Репиным, рекомендовалось поставить Су-6 М-71 в небольшую серию, а окончательный вывод о боевых свойствах самолёта сделать после проведения войсковых испытаний.</w:t>
      </w:r>
    </w:p>
    <w:p w14:paraId="2722E61A" w14:textId="77777777" w:rsidR="007C5583" w:rsidRPr="008127F8" w:rsidRDefault="007C5583" w:rsidP="007C5583">
      <w:pPr>
        <w:spacing w:after="0" w:line="240" w:lineRule="auto"/>
        <w:jc w:val="both"/>
        <w:rPr>
          <w:rStyle w:val="aff8"/>
          <w:rFonts w:ascii="Times New Roman" w:eastAsia="Arial Unicode MS" w:hAnsi="Times New Roman"/>
          <w:i w:val="0"/>
          <w:color w:val="000000" w:themeColor="text1"/>
        </w:rPr>
      </w:pPr>
      <w:r w:rsidRPr="008127F8">
        <w:rPr>
          <w:rFonts w:ascii="Times New Roman" w:hAnsi="Times New Roman"/>
          <w:color w:val="000000" w:themeColor="text1"/>
          <w:sz w:val="16"/>
          <w:szCs w:val="16"/>
        </w:rPr>
        <w:t>Соответствующий доклад был направлен на имя И.В. Сталина. В нем командование ВВС КА просило разрешить выпуск войсковой серии Су-6,</w:t>
      </w:r>
      <w:r w:rsidRPr="008127F8">
        <w:rPr>
          <w:rStyle w:val="aff8"/>
          <w:rFonts w:ascii="Times New Roman" w:eastAsia="Arial Unicode MS" w:hAnsi="Times New Roman"/>
          <w:color w:val="000000" w:themeColor="text1"/>
        </w:rPr>
        <w:t xml:space="preserve"> «как крайне необходимого ВВС самолёта» (15846).</w:t>
      </w:r>
    </w:p>
    <w:p w14:paraId="00E22E58" w14:textId="77777777" w:rsidR="007C5583" w:rsidRPr="008127F8" w:rsidRDefault="007C5583" w:rsidP="007C5583">
      <w:pPr>
        <w:spacing w:after="0" w:line="240" w:lineRule="auto"/>
        <w:jc w:val="both"/>
        <w:rPr>
          <w:rStyle w:val="aff8"/>
          <w:rFonts w:ascii="Times New Roman" w:eastAsia="Arial Unicode MS" w:hAnsi="Times New Roman"/>
          <w:i w:val="0"/>
          <w:color w:val="000000" w:themeColor="text1"/>
        </w:rPr>
      </w:pPr>
    </w:p>
    <w:p w14:paraId="0018909B"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15 июня 1942 г. главный инженер ВВС КА генерал-лейтенантом А. К. Репиным утвердил Акта по государственным испы</w:t>
      </w:r>
      <w:r w:rsidRPr="008127F8">
        <w:rPr>
          <w:color w:val="000000" w:themeColor="text1"/>
          <w:sz w:val="16"/>
          <w:szCs w:val="16"/>
        </w:rPr>
        <w:softHyphen/>
        <w:t>таниям, в котором рекомендовалось поставить Су-6 М-71 в не</w:t>
      </w:r>
      <w:r w:rsidRPr="008127F8">
        <w:rPr>
          <w:color w:val="000000" w:themeColor="text1"/>
          <w:sz w:val="16"/>
          <w:szCs w:val="16"/>
        </w:rPr>
        <w:softHyphen/>
        <w:t>большую серию, а окончательный вывод о боевых свойствах самолета сделать после проведения войсковых испытаний.</w:t>
      </w:r>
    </w:p>
    <w:p w14:paraId="49704B59"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Соответствующий доклад был направлен на имя И. В. Сталина. В нем командование ВВС КА проси</w:t>
      </w:r>
      <w:r w:rsidRPr="008127F8">
        <w:rPr>
          <w:color w:val="000000" w:themeColor="text1"/>
          <w:sz w:val="16"/>
          <w:szCs w:val="16"/>
        </w:rPr>
        <w:softHyphen/>
        <w:t>ло разрешить выпуск войсковой се</w:t>
      </w:r>
      <w:r w:rsidRPr="008127F8">
        <w:rPr>
          <w:color w:val="000000" w:themeColor="text1"/>
          <w:sz w:val="16"/>
          <w:szCs w:val="16"/>
        </w:rPr>
        <w:softHyphen/>
        <w:t>рии Су-6 «как крайне необходимого ВВС самолета».</w:t>
      </w:r>
    </w:p>
    <w:p w14:paraId="74076DC8"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К середине июня 1942 г. в НИИ ВВС весьма успешно прошел государственные испытания бро</w:t>
      </w:r>
      <w:r w:rsidRPr="008127F8">
        <w:rPr>
          <w:color w:val="000000" w:themeColor="text1"/>
          <w:sz w:val="16"/>
          <w:szCs w:val="16"/>
        </w:rPr>
        <w:softHyphen/>
        <w:t>нированный штурмовик Су-6 М-71 конструкции ОКБ П. О. Сухого.</w:t>
      </w:r>
    </w:p>
    <w:p w14:paraId="5C0B7A2E"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Вооружение самолета включало 2 пушки ВЯ, 2 пулемета ШКАС, 10 РО-132 и 200 кг бомб (в пере</w:t>
      </w:r>
      <w:r w:rsidRPr="008127F8">
        <w:rPr>
          <w:color w:val="000000" w:themeColor="text1"/>
          <w:sz w:val="16"/>
          <w:szCs w:val="16"/>
        </w:rPr>
        <w:softHyphen/>
        <w:t>грузку 400 кг). С нормальной боевой нагрузкой са</w:t>
      </w:r>
      <w:r w:rsidRPr="008127F8">
        <w:rPr>
          <w:color w:val="000000" w:themeColor="text1"/>
          <w:sz w:val="16"/>
          <w:szCs w:val="16"/>
        </w:rPr>
        <w:softHyphen/>
        <w:t>молет развивал у земли скорость 445 км/ч, на вы</w:t>
      </w:r>
      <w:r w:rsidRPr="008127F8">
        <w:rPr>
          <w:color w:val="000000" w:themeColor="text1"/>
          <w:sz w:val="16"/>
          <w:szCs w:val="16"/>
        </w:rPr>
        <w:softHyphen/>
        <w:t>соте 2500 м — 491 км/ч. Время подъема на высоту 1000 м было не больше 1,7 мин. Дальность полета на высоте 670 м и скорости 360 км/ч — 576 км.</w:t>
      </w:r>
    </w:p>
    <w:p w14:paraId="3F5B1F8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Летные данные и маневренные качества Су-6 оказались значительно выше, чем у серийно</w:t>
      </w:r>
      <w:r w:rsidRPr="008127F8">
        <w:rPr>
          <w:rFonts w:ascii="Times New Roman" w:hAnsi="Times New Roman"/>
          <w:color w:val="000000" w:themeColor="text1"/>
          <w:sz w:val="16"/>
          <w:szCs w:val="16"/>
        </w:rPr>
        <w:softHyphen/>
        <w:t>го штурмовика Ил-2 АМ-38.</w:t>
      </w:r>
    </w:p>
    <w:p w14:paraId="25D5A908"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Даже с 400 кг бомб и 10 РС-132 Су-6 превосходил Ил-2 по всем опреде</w:t>
      </w:r>
      <w:r w:rsidRPr="008127F8">
        <w:rPr>
          <w:color w:val="000000" w:themeColor="text1"/>
          <w:sz w:val="16"/>
          <w:szCs w:val="16"/>
        </w:rPr>
        <w:softHyphen/>
        <w:t>ляющим летно-боевым показателям.</w:t>
      </w:r>
    </w:p>
    <w:p w14:paraId="10C25EB7"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Отмечалось, что схема бронирования (общий вес брони 660 кг) надежно защищает от пуль кали</w:t>
      </w:r>
      <w:r w:rsidRPr="008127F8">
        <w:rPr>
          <w:color w:val="000000" w:themeColor="text1"/>
          <w:sz w:val="16"/>
          <w:szCs w:val="16"/>
        </w:rPr>
        <w:softHyphen/>
        <w:t>бра 12,7 мм и осколков зенитных снарядов.</w:t>
      </w:r>
    </w:p>
    <w:p w14:paraId="0BB85EE9"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Другими словами, Су-6 имел повышенную бое</w:t>
      </w:r>
      <w:r w:rsidRPr="008127F8">
        <w:rPr>
          <w:color w:val="000000" w:themeColor="text1"/>
          <w:sz w:val="16"/>
          <w:szCs w:val="16"/>
        </w:rPr>
        <w:softHyphen/>
        <w:t>вую эффективность главным образом за счет луч</w:t>
      </w:r>
      <w:r w:rsidRPr="008127F8">
        <w:rPr>
          <w:color w:val="000000" w:themeColor="text1"/>
          <w:sz w:val="16"/>
          <w:szCs w:val="16"/>
        </w:rPr>
        <w:softHyphen/>
        <w:t>шей «подвижности» над полем боя и более высо</w:t>
      </w:r>
      <w:r w:rsidRPr="008127F8">
        <w:rPr>
          <w:color w:val="000000" w:themeColor="text1"/>
          <w:sz w:val="16"/>
          <w:szCs w:val="16"/>
        </w:rPr>
        <w:softHyphen/>
        <w:t>кого уровня защиты при почти равном с Ил-2 во</w:t>
      </w:r>
      <w:r w:rsidRPr="008127F8">
        <w:rPr>
          <w:color w:val="000000" w:themeColor="text1"/>
          <w:sz w:val="16"/>
          <w:szCs w:val="16"/>
        </w:rPr>
        <w:softHyphen/>
        <w:t>оружении.</w:t>
      </w:r>
    </w:p>
    <w:p w14:paraId="3B1DCE9C"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Тем временем, учитывая требо</w:t>
      </w:r>
      <w:r w:rsidRPr="008127F8">
        <w:rPr>
          <w:color w:val="000000" w:themeColor="text1"/>
          <w:sz w:val="16"/>
          <w:szCs w:val="16"/>
        </w:rPr>
        <w:softHyphen/>
        <w:t>вания войны, П. О. Сухой принимает решение усилить противотанковую компоненту Су-6, установив на не</w:t>
      </w:r>
      <w:r w:rsidRPr="008127F8">
        <w:rPr>
          <w:color w:val="000000" w:themeColor="text1"/>
          <w:sz w:val="16"/>
          <w:szCs w:val="16"/>
        </w:rPr>
        <w:softHyphen/>
        <w:t>го 2 пушки калибра 37 мм: на 1-й экземпляр — пушки 11П, на 2-й эк</w:t>
      </w:r>
      <w:r w:rsidRPr="008127F8">
        <w:rPr>
          <w:color w:val="000000" w:themeColor="text1"/>
          <w:sz w:val="16"/>
          <w:szCs w:val="16"/>
        </w:rPr>
        <w:softHyphen/>
        <w:t>земпляр — пушки Ш-37. При этом количество пулеметов ШКАС сокра</w:t>
      </w:r>
      <w:r w:rsidRPr="008127F8">
        <w:rPr>
          <w:color w:val="000000" w:themeColor="text1"/>
          <w:sz w:val="16"/>
          <w:szCs w:val="16"/>
        </w:rPr>
        <w:softHyphen/>
        <w:t>щалось до 2, а ракетных орудий — до 6 РО-82. Боезапас к пушкам включал 80 снарядов, а к пулеме</w:t>
      </w:r>
      <w:r w:rsidRPr="008127F8">
        <w:rPr>
          <w:color w:val="000000" w:themeColor="text1"/>
          <w:sz w:val="16"/>
          <w:szCs w:val="16"/>
        </w:rPr>
        <w:softHyphen/>
        <w:t>там — 1500 патронов. Бомбовая на</w:t>
      </w:r>
      <w:r w:rsidRPr="008127F8">
        <w:rPr>
          <w:color w:val="000000" w:themeColor="text1"/>
          <w:sz w:val="16"/>
          <w:szCs w:val="16"/>
        </w:rPr>
        <w:softHyphen/>
        <w:t>грузка оставалась без изменений. Кроме этого, самолеты планирова</w:t>
      </w:r>
      <w:r w:rsidRPr="008127F8">
        <w:rPr>
          <w:color w:val="000000" w:themeColor="text1"/>
          <w:sz w:val="16"/>
          <w:szCs w:val="16"/>
        </w:rPr>
        <w:softHyphen/>
        <w:t>лось оснастить форсированными моторами М-71ф. Срок готовности 1-го экземпляра устанавливался — ноябрь, а 2-го — декабрь 1942 г. (17500).</w:t>
      </w:r>
    </w:p>
    <w:p w14:paraId="018C18D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6A154E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период с 15 июня 1942 г. по 1 января 1943 г. средний процент исправных самолетов Пе-8 в дивизии составлял 75%. За это время силами технического состава и командированных рабочих завода №22 в 746-м ап произвели ремонт на 67 самолетах, в 890-м ап - на 56 самолетах. Восстановительному ремонту подверглись 11 самолетов дивизии (12025).</w:t>
      </w:r>
    </w:p>
    <w:p w14:paraId="2643249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DFB8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15 июня 1942 г. на 103,4 тыс.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xml:space="preserve"> завода трудилось уже 24 тыс. чел. Количество металлообрабатываю</w:t>
      </w:r>
      <w:r w:rsidRPr="008127F8">
        <w:rPr>
          <w:rFonts w:ascii="Times New Roman" w:hAnsi="Times New Roman"/>
          <w:color w:val="000000" w:themeColor="text1"/>
          <w:sz w:val="16"/>
          <w:szCs w:val="16"/>
        </w:rPr>
        <w:softHyphen/>
        <w:t>щих станков за тот же период повысилось с 948 до 2567 (Савицкий ИМ. Указ. соч. С. 49).</w:t>
      </w:r>
    </w:p>
    <w:p w14:paraId="39AA8CB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Судя по отрывочным данным, слияние всех предприятий, эвакуированных на площадку завода № 153, в единый произ</w:t>
      </w:r>
      <w:r w:rsidRPr="008127F8">
        <w:rPr>
          <w:rFonts w:ascii="Times New Roman" w:hAnsi="Times New Roman"/>
          <w:color w:val="000000" w:themeColor="text1"/>
          <w:sz w:val="16"/>
          <w:szCs w:val="16"/>
        </w:rPr>
        <w:softHyphen/>
        <w:t>водственный организм произошло далеко не сразу. Лишь осе</w:t>
      </w:r>
      <w:r w:rsidRPr="008127F8">
        <w:rPr>
          <w:rFonts w:ascii="Times New Roman" w:hAnsi="Times New Roman"/>
          <w:color w:val="000000" w:themeColor="text1"/>
          <w:sz w:val="16"/>
          <w:szCs w:val="16"/>
        </w:rPr>
        <w:softHyphen/>
        <w:t>нью 1943 г., благодаря вмешательству заместителя наркома А.С. Яковлева, удалось окончательно разрешить проблему взаимоподчинённости (Савицкий ИМ. Указ. соч. С. 306).</w:t>
      </w:r>
    </w:p>
    <w:p w14:paraId="5EE4280F" w14:textId="77777777" w:rsidR="007C5583" w:rsidRPr="008127F8" w:rsidRDefault="007C5583" w:rsidP="007C5583">
      <w:pPr>
        <w:widowControl w:val="0"/>
        <w:tabs>
          <w:tab w:val="left" w:pos="396"/>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Следует учитывать, что в Новосибирской области (как и в Куйбышевской) сложился, своеобразный куст ави</w:t>
      </w:r>
      <w:r w:rsidRPr="008127F8">
        <w:rPr>
          <w:rFonts w:ascii="Times New Roman" w:hAnsi="Times New Roman"/>
          <w:color w:val="000000" w:themeColor="text1"/>
          <w:sz w:val="16"/>
          <w:szCs w:val="16"/>
        </w:rPr>
        <w:softHyphen/>
        <w:t>апредприятий. Помимо уже перечисленных заводов, эвакуи</w:t>
      </w:r>
      <w:r w:rsidRPr="008127F8">
        <w:rPr>
          <w:rFonts w:ascii="Times New Roman" w:hAnsi="Times New Roman"/>
          <w:color w:val="000000" w:themeColor="text1"/>
          <w:sz w:val="16"/>
          <w:szCs w:val="16"/>
        </w:rPr>
        <w:softHyphen/>
        <w:t>рованных непосредственно в Новосибирск, завод № 296 был вывезен в Бердск, а заводы № 6 и 9 — соответственно в Ке</w:t>
      </w:r>
      <w:r w:rsidRPr="008127F8">
        <w:rPr>
          <w:rFonts w:ascii="Times New Roman" w:hAnsi="Times New Roman"/>
          <w:color w:val="000000" w:themeColor="text1"/>
          <w:sz w:val="16"/>
          <w:szCs w:val="16"/>
        </w:rPr>
        <w:softHyphen/>
        <w:t>мерово и Бердск. Практически весь период Великой Отече</w:t>
      </w:r>
      <w:r w:rsidRPr="008127F8">
        <w:rPr>
          <w:rFonts w:ascii="Times New Roman" w:hAnsi="Times New Roman"/>
          <w:color w:val="000000" w:themeColor="text1"/>
          <w:sz w:val="16"/>
          <w:szCs w:val="16"/>
        </w:rPr>
        <w:softHyphen/>
        <w:t>ственной войны не прекращались работы по расширению промышленных площадей завода № 153, в результате чего уже к концу 1943 г. это предприятие располагало 203,3 тыс.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xml:space="preserve"> промплощадей, на которых было развёрнуто 2313 единиц оборудования (Савицкий ИМ. Указ. соч. С. 99). Параллельно развивалась и заводская «социалка». Завод обладал 129,1 тыс.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xml:space="preserve"> жилой площади, детскими садами и яслями на 1690 мест, собственными банями и хлебо</w:t>
      </w:r>
      <w:r w:rsidRPr="008127F8">
        <w:rPr>
          <w:rFonts w:ascii="Times New Roman" w:hAnsi="Times New Roman"/>
          <w:color w:val="000000" w:themeColor="text1"/>
          <w:sz w:val="16"/>
          <w:szCs w:val="16"/>
        </w:rPr>
        <w:softHyphen/>
        <w:t xml:space="preserve">пекарнями </w:t>
      </w:r>
      <w:r w:rsidRPr="008127F8">
        <w:rPr>
          <w:rFonts w:ascii="Times New Roman" w:hAnsi="Times New Roman"/>
          <w:color w:val="000000" w:themeColor="text1"/>
          <w:sz w:val="16"/>
          <w:szCs w:val="16"/>
        </w:rPr>
        <w:lastRenderedPageBreak/>
        <w:t>(Савицкий ИМ. Указ. соч. С. 95). Синхронно велись работы по обеспечению про</w:t>
      </w:r>
      <w:r w:rsidRPr="008127F8">
        <w:rPr>
          <w:rFonts w:ascii="Times New Roman" w:hAnsi="Times New Roman"/>
          <w:color w:val="000000" w:themeColor="text1"/>
          <w:sz w:val="16"/>
          <w:szCs w:val="16"/>
        </w:rPr>
        <w:softHyphen/>
        <w:t>изводственными площадями заводов № 296IV ГУ и № 9 Оргавиапрома в Бердске, а также — обеспечения персонала этих заводов жильём (Савицкий ИМ. Указ. соч. С. 93). Более того, 10 августа 1941 г. прави</w:t>
      </w:r>
      <w:r w:rsidRPr="008127F8">
        <w:rPr>
          <w:rFonts w:ascii="Times New Roman" w:hAnsi="Times New Roman"/>
          <w:color w:val="000000" w:themeColor="text1"/>
          <w:sz w:val="16"/>
          <w:szCs w:val="16"/>
        </w:rPr>
        <w:softHyphen/>
        <w:t>тельство СССР решило реанимировать замороженное ранее строительство моторостроительного завода № 335, который теперь предполагалось ввести в строй к 1 января 1943 г. (Савицкий ИМ. Указ. соч. С. 95-101). Од</w:t>
      </w:r>
      <w:r w:rsidRPr="008127F8">
        <w:rPr>
          <w:rFonts w:ascii="Times New Roman" w:hAnsi="Times New Roman"/>
          <w:color w:val="000000" w:themeColor="text1"/>
          <w:sz w:val="16"/>
          <w:szCs w:val="16"/>
        </w:rPr>
        <w:softHyphen/>
        <w:t>нако это решение явно было уже трудноосуществимо. Хотя работы на площадке завода № 335 не прекращались вплоть до 1945 г., необходимость расширения завода N° 153 посто</w:t>
      </w:r>
      <w:r w:rsidRPr="008127F8">
        <w:rPr>
          <w:rFonts w:ascii="Times New Roman" w:hAnsi="Times New Roman"/>
          <w:color w:val="000000" w:themeColor="text1"/>
          <w:sz w:val="16"/>
          <w:szCs w:val="16"/>
        </w:rPr>
        <w:softHyphen/>
        <w:t>янно оттягивала на себя как трудовые, так и материальные ресурсы, в результате чего завод № 335 так и не был введён в строй (Савицкий ИМ. Указ. соч. С. 95-100). Позднее он был перепрофилирован в автомобильные, затем, под номером 250, вошёл в состав комплекса атомных производств, ныне — Новосибирский завод химконцентра- тов. Что касается завода № 296, то первоначально он специ</w:t>
      </w:r>
      <w:r w:rsidRPr="008127F8">
        <w:rPr>
          <w:rFonts w:ascii="Times New Roman" w:hAnsi="Times New Roman"/>
          <w:color w:val="000000" w:themeColor="text1"/>
          <w:sz w:val="16"/>
          <w:szCs w:val="16"/>
        </w:rPr>
        <w:softHyphen/>
        <w:t>ализировался на выпуске различного электрооборудования и электроинструмента, а также оптических приборов. Ввиду кризисного положения с оптическими прицелами, периско</w:t>
      </w:r>
      <w:r w:rsidRPr="008127F8">
        <w:rPr>
          <w:rFonts w:ascii="Times New Roman" w:hAnsi="Times New Roman"/>
          <w:color w:val="000000" w:themeColor="text1"/>
          <w:sz w:val="16"/>
          <w:szCs w:val="16"/>
        </w:rPr>
        <w:softHyphen/>
        <w:t>пами, артиллерийскими панорамами и подобной техникой, в 1942 г. ГКО принял решение перепрофилировать завод на выпуск исключительно оптико-механических изделий. Од</w:t>
      </w:r>
      <w:r w:rsidRPr="008127F8">
        <w:rPr>
          <w:rFonts w:ascii="Times New Roman" w:hAnsi="Times New Roman"/>
          <w:color w:val="000000" w:themeColor="text1"/>
          <w:sz w:val="16"/>
          <w:szCs w:val="16"/>
        </w:rPr>
        <w:softHyphen/>
        <w:t>нако в юнце 1942 г. руководство страны осознало важность освоения технологии непосредственного впрыска топлива в авиадвигатели, поэтому завод был вновь перепрофилирован исключительно на производство топливных насосов прину</w:t>
      </w:r>
      <w:r w:rsidRPr="008127F8">
        <w:rPr>
          <w:rFonts w:ascii="Times New Roman" w:hAnsi="Times New Roman"/>
          <w:color w:val="000000" w:themeColor="text1"/>
          <w:sz w:val="16"/>
          <w:szCs w:val="16"/>
        </w:rPr>
        <w:softHyphen/>
        <w:t>дительного впрыскивания. Завод Оргавиапрома № 9 работал в тесной кооперации с предприятием № 296, пока в начале 1944 г. не был реэвакуирован в Подольск. Завод № 51 представлял собой опытное предприятие, обслуживающее КБ По</w:t>
      </w:r>
      <w:r w:rsidRPr="008127F8">
        <w:rPr>
          <w:rFonts w:ascii="Times New Roman" w:hAnsi="Times New Roman"/>
          <w:color w:val="000000" w:themeColor="text1"/>
          <w:sz w:val="16"/>
          <w:szCs w:val="16"/>
        </w:rPr>
        <w:softHyphen/>
        <w:t>ликарпова, поэтому серийное производство там налажено не было. В 1944 г. он также был реэвакуирован в Московскую область (Савицкий ИМ. С. 135—137).</w:t>
      </w:r>
    </w:p>
    <w:p w14:paraId="71E1A5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масштабах отрасли. Теперь, рассмотрев судьбы отдель</w:t>
      </w:r>
      <w:r w:rsidRPr="008127F8">
        <w:rPr>
          <w:rFonts w:ascii="Times New Roman" w:hAnsi="Times New Roman"/>
          <w:color w:val="000000" w:themeColor="text1"/>
          <w:sz w:val="16"/>
          <w:szCs w:val="16"/>
        </w:rPr>
        <w:softHyphen/>
        <w:t>ных заводов, вернёмся к ситуации в авиапромышленности в целом. Как видно из более чем краткого обзора эвакуацион</w:t>
      </w:r>
      <w:r w:rsidRPr="008127F8">
        <w:rPr>
          <w:rFonts w:ascii="Times New Roman" w:hAnsi="Times New Roman"/>
          <w:color w:val="000000" w:themeColor="text1"/>
          <w:sz w:val="16"/>
          <w:szCs w:val="16"/>
        </w:rPr>
        <w:softHyphen/>
        <w:t>ных мероприятий по некоторым заводам, одним из наиболее «узких мест» развёртывания производства на новых произ</w:t>
      </w:r>
      <w:r w:rsidRPr="008127F8">
        <w:rPr>
          <w:rFonts w:ascii="Times New Roman" w:hAnsi="Times New Roman"/>
          <w:color w:val="000000" w:themeColor="text1"/>
          <w:sz w:val="16"/>
          <w:szCs w:val="16"/>
        </w:rPr>
        <w:softHyphen/>
        <w:t>водственных площадках стала неспособность ГУКС НКАП освоить новые грандиозные масштабы строительных задач. С учётом того, что работа ГУКС и в мирное время постоян</w:t>
      </w:r>
      <w:r w:rsidRPr="008127F8">
        <w:rPr>
          <w:rFonts w:ascii="Times New Roman" w:hAnsi="Times New Roman"/>
          <w:color w:val="000000" w:themeColor="text1"/>
          <w:sz w:val="16"/>
          <w:szCs w:val="16"/>
        </w:rPr>
        <w:softHyphen/>
        <w:t>но вызывала нарекания, нет ничего удивительного в том, что резкое увеличение объёмов работ оказалось для строительно</w:t>
      </w:r>
      <w:r w:rsidRPr="008127F8">
        <w:rPr>
          <w:rFonts w:ascii="Times New Roman" w:hAnsi="Times New Roman"/>
          <w:color w:val="000000" w:themeColor="text1"/>
          <w:sz w:val="16"/>
          <w:szCs w:val="16"/>
        </w:rPr>
        <w:softHyphen/>
        <w:t>го главка непосильным. Так как вопрос о существенном уве</w:t>
      </w:r>
      <w:r w:rsidRPr="008127F8">
        <w:rPr>
          <w:rFonts w:ascii="Times New Roman" w:hAnsi="Times New Roman"/>
          <w:color w:val="000000" w:themeColor="text1"/>
          <w:sz w:val="16"/>
          <w:szCs w:val="16"/>
        </w:rPr>
        <w:softHyphen/>
        <w:t>личении количества строительной техники по понятным при</w:t>
      </w:r>
      <w:r w:rsidRPr="008127F8">
        <w:rPr>
          <w:rFonts w:ascii="Times New Roman" w:hAnsi="Times New Roman"/>
          <w:color w:val="000000" w:themeColor="text1"/>
          <w:sz w:val="16"/>
          <w:szCs w:val="16"/>
        </w:rPr>
        <w:softHyphen/>
        <w:t>чинам даже не ставился, ситуацию пытались разрешить через наращивание рабочей силы. В частности, Наркомат обороны согласился выделить некоторое число мобилизованных, по тем или иным причинам непригодных к зачислению на строевую службу, в так называемые «рабочие колонны», используемые, как правило, на строительных работах. Эти новые формиро</w:t>
      </w:r>
      <w:r w:rsidRPr="008127F8">
        <w:rPr>
          <w:rFonts w:ascii="Times New Roman" w:hAnsi="Times New Roman"/>
          <w:color w:val="000000" w:themeColor="text1"/>
          <w:sz w:val="16"/>
          <w:szCs w:val="16"/>
        </w:rPr>
        <w:softHyphen/>
        <w:t>вания представляли собой военизированные подразделения, возглавляемые командным и политическим составом. За счёт своей мобильности они вскоре стали основным источником пополнения кадров некоторых трестов ГУКС НКАП в начале войны (Савицкий ИМ. С. 65). Только во второй половине 1941 г. в рабочие колонны было направлено более 700 тыс. чел., из которых 251 тыс. чел. были переданы на предприятия наркоматов оборонной про</w:t>
      </w:r>
      <w:r w:rsidRPr="008127F8">
        <w:rPr>
          <w:rFonts w:ascii="Times New Roman" w:hAnsi="Times New Roman"/>
          <w:color w:val="000000" w:themeColor="text1"/>
          <w:sz w:val="16"/>
          <w:szCs w:val="16"/>
        </w:rPr>
        <w:softHyphen/>
        <w:t>мышленности (Кравченко Г.С. Указ. соч. С. 110). Правда, в новом деле не обошлось без нераз</w:t>
      </w:r>
      <w:r w:rsidRPr="008127F8">
        <w:rPr>
          <w:rFonts w:ascii="Times New Roman" w:hAnsi="Times New Roman"/>
          <w:color w:val="000000" w:themeColor="text1"/>
          <w:sz w:val="16"/>
          <w:szCs w:val="16"/>
        </w:rPr>
        <w:softHyphen/>
        <w:t xml:space="preserve">берихи. </w:t>
      </w:r>
    </w:p>
    <w:p w14:paraId="78937E7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BC9587"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15 июня 1942 г. ИЗ СПРАВКИ О СОСТОЯНИИ ЗАВОДОВ НКАП НА 15 ИЮНЯ 1942 г., НАПРАВЛЕННОЙ СЕКРЕТАРЮ НОВОСИБИРСКОГО ОБКОМА ВКП(б) М.В. КУЛАГИНУ </w:t>
      </w:r>
    </w:p>
    <w:p w14:paraId="6CC1514E"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Завод № 153, находящийся в городе Новосибирске, является серийным самолетостроительным предприятием, выпускающим самолеты деревянных конструкций типа «истребитель».</w:t>
      </w:r>
    </w:p>
    <w:p w14:paraId="4F590171"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На 1 июля 1941 года завод имел в наличии: металлорежущего оборудования — 948 единиц, производственных площадей - 52 831 квадратный метр, количество работающих — 7 888 человек.</w:t>
      </w:r>
    </w:p>
    <w:p w14:paraId="2499194E"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С августа по ноябрь месяц 1941 года в завод влились эвакуированные предприятия Наркомата авиационной промышленности: завод № 43 Киевский самолетостроительный, завод № 23 Ленинградский самолетостроительный, завод № 388 Ленинградский агрегатный (шасси), завод № 115 Московский опытных самолетов, завод № 301 Московский самолетостроительный. И в данное время завод № 153 имеет: металлорежущего оборудования — 2 567 единиц, производственных площадей — 103 406 квадратных метров, количество работающих — 24 000 человек.</w:t>
      </w:r>
    </w:p>
    <w:p w14:paraId="206C833B"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Рост завода № 153 за время войны в процентах: по станочному оборудованию — на 272 процента, по производственным площадям — на 98 процентов, по количеству работающих - на 307 процентов.</w:t>
      </w:r>
    </w:p>
    <w:p w14:paraId="7DF32341"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4. До января 1942 года основной продукцией, выпускаемой заводом, является самолет-истребитель ЛАГГ-3 конструкции инженера Лавочкина. </w:t>
      </w:r>
    </w:p>
    <w:p w14:paraId="739C76FC"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Постановлением Государственного Комитета Обороны от 23 декабря 1941 года истребитель ЛАГГ-3 с производства снят и завод приступил к массово-серийному выпуску самолета-истребителя ЯК-7 конструкции Яковлева А.С.</w:t>
      </w:r>
    </w:p>
    <w:p w14:paraId="548DA3D9"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Выполнение программы заводом</w:t>
      </w:r>
    </w:p>
    <w:p w14:paraId="58D390E0"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План I квартала заводом № 153 выполнен на 100 процентов. Выполнение плана во II квартале: апрель — 66 процентов, май — 106 процентов.</w:t>
      </w:r>
    </w:p>
    <w:p w14:paraId="4769C16F"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Невыполнение программы апреля месяца объясняется тем положением, что завод № 153 по решению ГКО отправил заводам № 82 и № 21 50 комплектов самолетов в агрегатах и россыпи, которые НКАП в выполнение программы не были зачтены.</w:t>
      </w:r>
    </w:p>
    <w:p w14:paraId="3F2E93EB"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месяце завод по производственным мощностям и состоянию подготовки производства имеет все возможности выпускать по 10 самолетов в сутки.</w:t>
      </w:r>
    </w:p>
    <w:p w14:paraId="78ED7AFB"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&lt;...&gt;</w:t>
      </w:r>
    </w:p>
    <w:p w14:paraId="4993DC81"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Завод № 296. Оптико-механический завод эвакуирован из города Харькова и размещен в Бердске. Производственными площадями обеспечен. </w:t>
      </w:r>
    </w:p>
    <w:p w14:paraId="487F1B4D"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Программу по оптико-механическим изделиям — панораме Герца и насосу непосредственного впрыска - систематически не выполняет по причине неосвоения панорамы Герца и конструктивной недоработки насоса непосредственного впрыска.</w:t>
      </w:r>
    </w:p>
    <w:p w14:paraId="4F473C07"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связи с тем, что завод по своему характеру производства изготовляет главным образом продукцию оптическую, не имеющую отношения к авиапромышленности, необходимо данный завод из НКАП изъять и передать в Наркомат вооружения. Требуется также аналогичное решение вопроса со снабжением завода электроэнергией, так как завод находится на одной территории с заводом № 9 и электроэнергией полностью не обеспечен.</w:t>
      </w:r>
    </w:p>
    <w:p w14:paraId="7AD6B753"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Секретарь Новосибирского обкома ВКП(б) по авиапромышленности Хромов</w:t>
      </w:r>
    </w:p>
    <w:p w14:paraId="1A43E2BE"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ГАНО. Ф. П—4. Оп. 6. Д. 510. Л. 321, 322, 325. Подлинник (23670).</w:t>
      </w:r>
    </w:p>
    <w:p w14:paraId="395E429B" w14:textId="77777777" w:rsidR="0009674D" w:rsidRPr="008A2E5A" w:rsidRDefault="0009674D" w:rsidP="0009674D">
      <w:pPr>
        <w:spacing w:after="0" w:line="240" w:lineRule="auto"/>
        <w:jc w:val="both"/>
        <w:rPr>
          <w:rFonts w:ascii="Times New Roman" w:hAnsi="Times New Roman"/>
          <w:color w:val="0070C0"/>
          <w:sz w:val="16"/>
          <w:szCs w:val="16"/>
        </w:rPr>
      </w:pPr>
    </w:p>
    <w:p w14:paraId="4D66920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июня 1942 пер</w:t>
      </w:r>
      <w:r w:rsidRPr="008127F8">
        <w:rPr>
          <w:rFonts w:ascii="Times New Roman" w:hAnsi="Times New Roman"/>
          <w:color w:val="000000" w:themeColor="text1"/>
          <w:sz w:val="16"/>
          <w:szCs w:val="16"/>
        </w:rPr>
        <w:softHyphen/>
        <w:t>вый образец М-82Ф был поставлен на 50-часовое испытание на станке. В мотор были внесены следующие изменения:</w:t>
      </w:r>
    </w:p>
    <w:p w14:paraId="72FD4D2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Улучшено охлаждение головок цилиндров за счет увеличения высо</w:t>
      </w:r>
      <w:r w:rsidRPr="008127F8">
        <w:rPr>
          <w:rFonts w:ascii="Times New Roman" w:hAnsi="Times New Roman"/>
          <w:color w:val="000000" w:themeColor="text1"/>
          <w:sz w:val="16"/>
          <w:szCs w:val="16"/>
        </w:rPr>
        <w:softHyphen/>
        <w:t>ты ребер (площадь ребер 15000 см</w:t>
      </w:r>
      <w:r w:rsidRPr="008127F8">
        <w:rPr>
          <w:rFonts w:ascii="Times New Roman" w:hAnsi="Times New Roman"/>
          <w:color w:val="000000" w:themeColor="text1"/>
          <w:sz w:val="16"/>
          <w:szCs w:val="16"/>
          <w:vertAlign w:val="superscript"/>
        </w:rPr>
        <w:t xml:space="preserve">2 </w:t>
      </w:r>
      <w:r w:rsidRPr="008127F8">
        <w:rPr>
          <w:rFonts w:ascii="Times New Roman" w:hAnsi="Times New Roman"/>
          <w:color w:val="000000" w:themeColor="text1"/>
          <w:sz w:val="16"/>
          <w:szCs w:val="16"/>
        </w:rPr>
        <w:t>вместо 12000 см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7A85512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Диаметр всасывающих труб уве</w:t>
      </w:r>
      <w:r w:rsidRPr="008127F8">
        <w:rPr>
          <w:rFonts w:ascii="Times New Roman" w:hAnsi="Times New Roman"/>
          <w:color w:val="000000" w:themeColor="text1"/>
          <w:sz w:val="16"/>
          <w:szCs w:val="16"/>
        </w:rPr>
        <w:softHyphen/>
        <w:t>личен с 65 до 70 мм.</w:t>
      </w:r>
    </w:p>
    <w:p w14:paraId="6787B87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Изменено газораспределение (10705).</w:t>
      </w:r>
    </w:p>
    <w:p w14:paraId="5CBC589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A05F65"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15 июня 1942 первый образец М-82Ф по</w:t>
      </w:r>
      <w:r w:rsidRPr="008127F8">
        <w:rPr>
          <w:rFonts w:ascii="Times New Roman" w:cs="Times New Roman"/>
          <w:color w:val="000000" w:themeColor="text1"/>
          <w:spacing w:val="0"/>
        </w:rPr>
        <w:softHyphen/>
        <w:t>ставили на 50-часовые испытания на станке. В мотор внесли следующие изменения:</w:t>
      </w:r>
    </w:p>
    <w:p w14:paraId="63786FCB" w14:textId="77777777" w:rsidR="007C5583" w:rsidRPr="008127F8" w:rsidRDefault="007C5583" w:rsidP="007C5583">
      <w:pPr>
        <w:pStyle w:val="27"/>
        <w:shd w:val="clear" w:color="auto" w:fill="auto"/>
        <w:tabs>
          <w:tab w:val="left" w:pos="434"/>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1. Улучшено охлаждение головок цилиндров за счёт увеличения высоты ребер (пло</w:t>
      </w:r>
      <w:r w:rsidRPr="008127F8">
        <w:rPr>
          <w:rFonts w:ascii="Times New Roman" w:cs="Times New Roman"/>
          <w:color w:val="000000" w:themeColor="text1"/>
          <w:spacing w:val="0"/>
        </w:rPr>
        <w:softHyphen/>
        <w:t>щадь ребер 15000 см</w:t>
      </w:r>
      <w:r w:rsidRPr="008127F8">
        <w:rPr>
          <w:rFonts w:ascii="Times New Roman" w:cs="Times New Roman"/>
          <w:color w:val="000000" w:themeColor="text1"/>
          <w:spacing w:val="0"/>
          <w:vertAlign w:val="superscript"/>
        </w:rPr>
        <w:t>2</w:t>
      </w:r>
      <w:r w:rsidRPr="008127F8">
        <w:rPr>
          <w:rFonts w:ascii="Times New Roman" w:cs="Times New Roman"/>
          <w:color w:val="000000" w:themeColor="text1"/>
          <w:spacing w:val="0"/>
        </w:rPr>
        <w:t xml:space="preserve"> вместо 12000 см</w:t>
      </w:r>
      <w:r w:rsidRPr="008127F8">
        <w:rPr>
          <w:rFonts w:ascii="Times New Roman" w:cs="Times New Roman"/>
          <w:color w:val="000000" w:themeColor="text1"/>
          <w:spacing w:val="0"/>
          <w:vertAlign w:val="superscript"/>
        </w:rPr>
        <w:t>2</w:t>
      </w:r>
      <w:r w:rsidRPr="008127F8">
        <w:rPr>
          <w:rFonts w:ascii="Times New Roman" w:cs="Times New Roman"/>
          <w:color w:val="000000" w:themeColor="text1"/>
          <w:spacing w:val="0"/>
        </w:rPr>
        <w:t>).</w:t>
      </w:r>
    </w:p>
    <w:p w14:paraId="1E65B13D" w14:textId="77777777" w:rsidR="007C5583" w:rsidRPr="008127F8" w:rsidRDefault="007C5583" w:rsidP="007C5583">
      <w:pPr>
        <w:pStyle w:val="27"/>
        <w:shd w:val="clear" w:color="auto" w:fill="auto"/>
        <w:tabs>
          <w:tab w:val="left" w:pos="426"/>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2. Диаметр всасывающих труб увеличен с 65 до 70 мм.</w:t>
      </w:r>
    </w:p>
    <w:p w14:paraId="3E4D399E" w14:textId="77777777" w:rsidR="007C5583" w:rsidRPr="008127F8" w:rsidRDefault="007C5583" w:rsidP="007C5583">
      <w:pPr>
        <w:pStyle w:val="27"/>
        <w:shd w:val="clear" w:color="auto" w:fill="auto"/>
        <w:tabs>
          <w:tab w:val="left" w:pos="445"/>
        </w:tabs>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3. Изменено газораспределение.</w:t>
      </w:r>
    </w:p>
    <w:p w14:paraId="33A82EAD"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Первая попытка оказалась неудачной из-за поломки выхлопного клапана (15813).</w:t>
      </w:r>
    </w:p>
    <w:p w14:paraId="5613793D"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p>
    <w:p w14:paraId="441F038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июня 1942 г. выходит приказ НКАП «О выпуске недоброкачественной продукции заводом № 16». В этом документе говорится о результатах проверки, проведенной комиссией по заданию ГКО: «Комиссия установила факты грубейших нарушений технологической дисциплины, что привело к массовым отказам моторов М-105Р при эксплуатации в частях. Наряду с дефектами мотора М-105Р на заводе № 16 имеет место совершенно недопустимый брак при изготовлении ведущих деталей мотора. По блокам и картерам, например, брак достигал 40-45%. Проведенная в мае проверка склада готовой продукции показала, что детали, прошедшие ранее через технический контроль и принятые контролерами ОТК как доброкачественные, в значительной части оказались негодными.</w:t>
      </w:r>
    </w:p>
    <w:p w14:paraId="74D85C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комиссия установила крайне неудовлетворительное состояние трудовой дисциплины, как среди рабочих, так и командного состава завода. Бывшее руководство завода грубейшим образом нарушало Указ Верховного Совета СССР о привлечении к уголовной ответственности прогульщиков и дезертиров производства. Дела на них передавались следственным органам с большим опозданием, а во многих случаях вообще не передавались. Начальники цехов самостоятельно давали отпуска рабочим и служащим до 15 дней по различным, явно неуважительным, причинам.</w:t>
      </w:r>
    </w:p>
    <w:p w14:paraId="2B51C1B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Комиссия установила, что причинами такого совершенно недопустимого положения с качеством продукции являются: развал технологической и трудовой дисциплины, грубейшие нарушения технологии производства, технических условий, самовольное отступление от чертежей, и совершенно неудовлетворительная организация технического контроля на заводе.</w:t>
      </w:r>
    </w:p>
    <w:p w14:paraId="7A81378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Комиссия установила, что из-за недоброкачественных моторов имели место срывы сроков комплектования маршевых авиационных полков и задержка вылета их на фронт. В авиационных частях в результате отказов работы моторов имели место вынужденные посадки, аварии самолетов и невыполнение в отдельных случаях боевых заданий. В 223-й авиационной дивизии в мае месяце оказалось 19 моторов с дефектами».</w:t>
      </w:r>
    </w:p>
    <w:p w14:paraId="4A3D5DF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материалов проверки и выводов комиссии были уволены из системы авиационной промышленности и привлечены к судебной ответственности директор завода Сухоруков, начальник ОТК Бородовицын, главный технолог Богомолов, помощник директора по кадрам Карпов, начальник цеха № 9 Жидин и начальник ОТК цеха № 9 Тоболев. Начальник производства Чевела переводился на низшую должность с понижением оклада (12049).</w:t>
      </w:r>
    </w:p>
    <w:p w14:paraId="2F4B82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4D9218"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15 июня 1942 г. вышел выпуск Союзкиножурнала с кадрами официальной, торжественной (с кор</w:t>
      </w:r>
      <w:r w:rsidRPr="008A2E5A">
        <w:rPr>
          <w:rFonts w:ascii="Times New Roman" w:hAnsi="Times New Roman"/>
          <w:color w:val="0070C0"/>
          <w:sz w:val="16"/>
          <w:szCs w:val="16"/>
        </w:rPr>
        <w:softHyphen/>
        <w:t>респондентами центральных газет и фото-кинохрони</w:t>
      </w:r>
      <w:r w:rsidRPr="008A2E5A">
        <w:rPr>
          <w:rFonts w:ascii="Times New Roman" w:hAnsi="Times New Roman"/>
          <w:color w:val="0070C0"/>
          <w:sz w:val="16"/>
          <w:szCs w:val="16"/>
        </w:rPr>
        <w:softHyphen/>
        <w:t>ки) передачи именных Як-7А эскадрильи «Новосибирский комсомолец» (первое звено из трех машин должно было получить наименование «Комсомол Нарыма», второе - «Комсомол Кузбасса», а в третьем звене две машины следовало назвать «Новосибирский комсо</w:t>
      </w:r>
      <w:r w:rsidRPr="008A2E5A">
        <w:rPr>
          <w:rFonts w:ascii="Times New Roman" w:hAnsi="Times New Roman"/>
          <w:color w:val="0070C0"/>
          <w:sz w:val="16"/>
          <w:szCs w:val="16"/>
        </w:rPr>
        <w:softHyphen/>
        <w:t>молец» и одну - «Новосибирский пионер»), который инициировала проведение аналогич</w:t>
      </w:r>
      <w:r w:rsidRPr="008A2E5A">
        <w:rPr>
          <w:rFonts w:ascii="Times New Roman" w:hAnsi="Times New Roman"/>
          <w:color w:val="0070C0"/>
          <w:sz w:val="16"/>
          <w:szCs w:val="16"/>
        </w:rPr>
        <w:softHyphen/>
        <w:t>ных мероприятий по всей территории Советского Союза. Отдаленность Новосибирска от фронта (в отличие от, на</w:t>
      </w:r>
      <w:r w:rsidRPr="008A2E5A">
        <w:rPr>
          <w:rFonts w:ascii="Times New Roman" w:hAnsi="Times New Roman"/>
          <w:color w:val="0070C0"/>
          <w:sz w:val="16"/>
          <w:szCs w:val="16"/>
        </w:rPr>
        <w:softHyphen/>
        <w:t>пример, Горького, Казани, Куйбышева или Саратова) ни</w:t>
      </w:r>
      <w:r w:rsidRPr="008A2E5A">
        <w:rPr>
          <w:rFonts w:ascii="Times New Roman" w:hAnsi="Times New Roman"/>
          <w:color w:val="0070C0"/>
          <w:sz w:val="16"/>
          <w:szCs w:val="16"/>
        </w:rPr>
        <w:softHyphen/>
        <w:t>сколько не помешала расширению практики приобрете</w:t>
      </w:r>
      <w:r w:rsidRPr="008A2E5A">
        <w:rPr>
          <w:rFonts w:ascii="Times New Roman" w:hAnsi="Times New Roman"/>
          <w:color w:val="0070C0"/>
          <w:sz w:val="16"/>
          <w:szCs w:val="16"/>
        </w:rPr>
        <w:softHyphen/>
        <w:t>ния истребителей Як-7Б на средства трудящихся. Так, в конце июня 1942 г. комсомольцы и молодежь - работники завода №153 - за счет собственных средств, сверх плана, за 7 дней собрали и передали ВВС КА четыре истре</w:t>
      </w:r>
      <w:r w:rsidRPr="008A2E5A">
        <w:rPr>
          <w:rFonts w:ascii="Times New Roman" w:hAnsi="Times New Roman"/>
          <w:color w:val="0070C0"/>
          <w:sz w:val="16"/>
          <w:szCs w:val="16"/>
        </w:rPr>
        <w:softHyphen/>
        <w:t>бителя Як-7Б, названных именами комсомольцев-геро</w:t>
      </w:r>
      <w:r w:rsidRPr="008A2E5A">
        <w:rPr>
          <w:rFonts w:ascii="Times New Roman" w:hAnsi="Times New Roman"/>
          <w:color w:val="0070C0"/>
          <w:sz w:val="16"/>
          <w:szCs w:val="16"/>
        </w:rPr>
        <w:softHyphen/>
        <w:t>ев Великой Отечественной войны: Лизы Чайкиной, Алек</w:t>
      </w:r>
      <w:r w:rsidRPr="008A2E5A">
        <w:rPr>
          <w:rFonts w:ascii="Times New Roman" w:hAnsi="Times New Roman"/>
          <w:color w:val="0070C0"/>
          <w:sz w:val="16"/>
          <w:szCs w:val="16"/>
        </w:rPr>
        <w:softHyphen/>
        <w:t>сандра Чекалина, Зои Космодемьянской и Любы Зем</w:t>
      </w:r>
      <w:r w:rsidRPr="008A2E5A">
        <w:rPr>
          <w:rFonts w:ascii="Times New Roman" w:hAnsi="Times New Roman"/>
          <w:color w:val="0070C0"/>
          <w:sz w:val="16"/>
          <w:szCs w:val="16"/>
        </w:rPr>
        <w:softHyphen/>
        <w:t>ской. (Елизавета Ивановна Чайкина, партизанка, Герой Советского Союза (посмертно); Александр Павлович Чекалин, партизан, Герой Советского Союза (посмерт</w:t>
      </w:r>
      <w:r w:rsidRPr="008A2E5A">
        <w:rPr>
          <w:rFonts w:ascii="Times New Roman" w:hAnsi="Times New Roman"/>
          <w:color w:val="0070C0"/>
          <w:sz w:val="16"/>
          <w:szCs w:val="16"/>
        </w:rPr>
        <w:softHyphen/>
        <w:t>но); Зоя Анатольевна Космодемьянская, боец разведы</w:t>
      </w:r>
      <w:r w:rsidRPr="008A2E5A">
        <w:rPr>
          <w:rFonts w:ascii="Times New Roman" w:hAnsi="Times New Roman"/>
          <w:color w:val="0070C0"/>
          <w:sz w:val="16"/>
          <w:szCs w:val="16"/>
        </w:rPr>
        <w:softHyphen/>
        <w:t>вательно-диверсионной части, Герой Советского Сою</w:t>
      </w:r>
      <w:r w:rsidRPr="008A2E5A">
        <w:rPr>
          <w:rFonts w:ascii="Times New Roman" w:hAnsi="Times New Roman"/>
          <w:color w:val="0070C0"/>
          <w:sz w:val="16"/>
          <w:szCs w:val="16"/>
        </w:rPr>
        <w:softHyphen/>
        <w:t>за (посмертно); Любовь Романовна Земская, медсестра, второй номер расчета противотанкового ружья, кавалер ордена Ленина (посмертно).) Все, кто работал над эти</w:t>
      </w:r>
      <w:r w:rsidRPr="008A2E5A">
        <w:rPr>
          <w:rFonts w:ascii="Times New Roman" w:hAnsi="Times New Roman"/>
          <w:color w:val="0070C0"/>
          <w:sz w:val="16"/>
          <w:szCs w:val="16"/>
        </w:rPr>
        <w:softHyphen/>
        <w:t>ми машинами, получали специальный наряд с пометкой «бесплатно». На комсомольско-молодежном собрании завода имени В.П. Чкалова приняли обращение к комсо</w:t>
      </w:r>
      <w:r w:rsidRPr="008A2E5A">
        <w:rPr>
          <w:rFonts w:ascii="Times New Roman" w:hAnsi="Times New Roman"/>
          <w:color w:val="0070C0"/>
          <w:sz w:val="16"/>
          <w:szCs w:val="16"/>
        </w:rPr>
        <w:softHyphen/>
        <w:t>мольцам и молодежи области: «Мы с каждым днем долж</w:t>
      </w:r>
      <w:r w:rsidRPr="008A2E5A">
        <w:rPr>
          <w:rFonts w:ascii="Times New Roman" w:hAnsi="Times New Roman"/>
          <w:color w:val="0070C0"/>
          <w:sz w:val="16"/>
          <w:szCs w:val="16"/>
        </w:rPr>
        <w:softHyphen/>
        <w:t>ны посылать на фронт все новые и новые подкрепле</w:t>
      </w:r>
      <w:r w:rsidRPr="008A2E5A">
        <w:rPr>
          <w:rFonts w:ascii="Times New Roman" w:hAnsi="Times New Roman"/>
          <w:color w:val="0070C0"/>
          <w:sz w:val="16"/>
          <w:szCs w:val="16"/>
        </w:rPr>
        <w:softHyphen/>
        <w:t>ния. У нас есть все возможности давать дополнительную продукцию фронту. Об этом свидетельствует построен</w:t>
      </w:r>
      <w:r w:rsidRPr="008A2E5A">
        <w:rPr>
          <w:rFonts w:ascii="Times New Roman" w:hAnsi="Times New Roman"/>
          <w:color w:val="0070C0"/>
          <w:sz w:val="16"/>
          <w:szCs w:val="16"/>
        </w:rPr>
        <w:softHyphen/>
        <w:t>ная на средства комсомольцев и молодежи Новосибир</w:t>
      </w:r>
      <w:r w:rsidRPr="008A2E5A">
        <w:rPr>
          <w:rFonts w:ascii="Times New Roman" w:hAnsi="Times New Roman"/>
          <w:color w:val="0070C0"/>
          <w:sz w:val="16"/>
          <w:szCs w:val="16"/>
        </w:rPr>
        <w:softHyphen/>
        <w:t>ской области эскадрилья самолетов, зорко охраняющая сердце нашей Родины - любимую Москву. Комсомоль</w:t>
      </w:r>
      <w:r w:rsidRPr="008A2E5A">
        <w:rPr>
          <w:rFonts w:ascii="Times New Roman" w:hAnsi="Times New Roman"/>
          <w:color w:val="0070C0"/>
          <w:sz w:val="16"/>
          <w:szCs w:val="16"/>
        </w:rPr>
        <w:softHyphen/>
        <w:t>цы, молодежь Новосибирской области! Давайте постро</w:t>
      </w:r>
      <w:r w:rsidRPr="008A2E5A">
        <w:rPr>
          <w:rFonts w:ascii="Times New Roman" w:hAnsi="Times New Roman"/>
          <w:color w:val="0070C0"/>
          <w:sz w:val="16"/>
          <w:szCs w:val="16"/>
        </w:rPr>
        <w:softHyphen/>
        <w:t>им на наши средства вторую авиаэскадрилью».</w:t>
      </w:r>
    </w:p>
    <w:p w14:paraId="38EA66FB"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за годы Великой Отечественной войны на средства комсо</w:t>
      </w:r>
      <w:r w:rsidRPr="008A2E5A">
        <w:rPr>
          <w:rFonts w:ascii="Times New Roman" w:hAnsi="Times New Roman"/>
          <w:color w:val="0070C0"/>
          <w:sz w:val="16"/>
          <w:szCs w:val="16"/>
        </w:rPr>
        <w:softHyphen/>
        <w:t>мольцев и молодежи Новосибирской области построили шесть авиаэскадрилий «Новосибирский комсомолец» (23381).</w:t>
      </w:r>
    </w:p>
    <w:p w14:paraId="137D70DF" w14:textId="77777777" w:rsidR="0009674D" w:rsidRPr="008A2E5A" w:rsidRDefault="0009674D" w:rsidP="0009674D">
      <w:pPr>
        <w:spacing w:after="0" w:line="240" w:lineRule="auto"/>
        <w:jc w:val="both"/>
        <w:rPr>
          <w:rFonts w:ascii="Times New Roman" w:hAnsi="Times New Roman"/>
          <w:color w:val="0070C0"/>
          <w:sz w:val="16"/>
          <w:szCs w:val="16"/>
        </w:rPr>
      </w:pPr>
    </w:p>
    <w:p w14:paraId="7ED1058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июня 1942 вышел приказ НКАП N 445с о передаче ЦАРМ Моск. конторы техснабжения НКАП в систему 5 ГУ и присвоении номера 282 (1647,45).</w:t>
      </w:r>
    </w:p>
    <w:p w14:paraId="33CDE6E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211F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июня 1942 г. приказом № 445с в соответствии с пост. СНК № 896-469с от 8.06.1942 г. на территории «а» эвакуированного завода № 119 НКАП в Москве Центральные авиаремонтные мастерские (ЦАРМ) были переданы из Московской конторы Техснабжения Главснаба НКАП в 5ГУ с присвоением наименования завод № 282 (Завод № 282 НКАП, ММиП /г. Москва ул. Краснопролетарская/). Площадка завода выходила торцом на Садовое кольцо, продольной стороной- на ул. Краснопролетарскую. Кроме того, завод арендовал две площадки: в 0,6 га в с. Алексеевской (в 11 км от завода); площадью 0,3 га на Щемиловском пер. в 0,6 км от завода. Имелось также небольшое помещение авторемонтной мастерской вне промплощадки (ул. Краснопролетарская, 10). Заводские строения кирпичные, образовывали замкнутый четырехугольник. Цехи: механический № 1 (площадь 737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сборочный № 2 (907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инструментальный № 3 (1115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ремонтно-механический № 4 (272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ремонтно- строительный № 5 (213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агрегатно-сборочный № 6 (280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организован в середине 1945 г., покрытий № 8 (304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штамповочный № 10 (223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экспериментальный № 34, механический с автоматным участком № 35, заготовительный № 33 (176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электроцех № 36, слесарно-ремонтный № 37, литейный № 44, упругих элементов № 45, сварочная мастерская. 1.09.1945 г. образована Центрально-измерительная лаборатория завода.</w:t>
      </w:r>
    </w:p>
    <w:p w14:paraId="7AB08F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(1946 г.) тепловые контрольно-измерительные приборы, в т.ч. самопишущие, автоматические регуляторы для промышленности; всего 37 изделий. В 1946 г. велось освоение производства изделий: дриллометра ДУ (разработка КБ завода № 230), термостата для автомобиля ЗиС-110.</w:t>
      </w:r>
    </w:p>
    <w:p w14:paraId="628415B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282 5ГУ МАП в соответствии с ПСМ № 188 от 25.01.1946 г. и приказом МАП/ММиП № 63/52 от 16.02.1946 г. передан в ведение Главприбора ММиП с 1.12.1945 г. (сначала планировалось передать ЦАГИ в качестве производственной базы). Возможно, далее это - завод № 914 ММиП.</w:t>
      </w:r>
    </w:p>
    <w:p w14:paraId="004301A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оборудования (1945 г.)- 350 ед.</w:t>
      </w:r>
    </w:p>
    <w:p w14:paraId="25A31F2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территории (1946 г.)- 0,71 га.</w:t>
      </w:r>
    </w:p>
    <w:p w14:paraId="7DEF4A4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(1942 г.)- 393 чел., (1943 г.)- 1029 чел., (1944 г.)- 1244 чел., (1945 г.)-1152 чел.</w:t>
      </w:r>
    </w:p>
    <w:p w14:paraId="60015A9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(-1945-46 г.-)- Н.А. Романов.</w:t>
      </w:r>
    </w:p>
    <w:p w14:paraId="2EFE043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ОКС (1946 г.)- Беляева.</w:t>
      </w:r>
    </w:p>
    <w:p w14:paraId="61F3866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 тепловые контрольно-измерительные приборы (1946 г.):</w:t>
      </w:r>
      <w:r w:rsidRPr="008127F8">
        <w:rPr>
          <w:rFonts w:ascii="Times New Roman" w:hAnsi="Times New Roman"/>
          <w:color w:val="000000" w:themeColor="text1"/>
          <w:sz w:val="16"/>
          <w:szCs w:val="16"/>
        </w:rPr>
        <w:t xml:space="preserve"> диафрагмы для измерения расхода ДД-25, ДН-65; запорный вентиль ЗВ-150; конденсационные сосуды КС-16, -65; манометры: механические поплавковые ДП-280, -281, -410, -430, -612; электрический дистанционный МУЭ; МГ-410, ТГ-610; дифманометры: поплавковый ПЭС, колокольный КЭР; приборы вторичные электрические Э-280, -281, -610, -612; тягомер ТМП; термометры: манометрические ТГ-270, -410; автоматические регуляторы: температуры 04-ТГ-410; давления 04-МГ-410; расходомер АПЭ; двигатели Варрена СД-2, -60; регулятор температуры РПД.</w:t>
      </w:r>
    </w:p>
    <w:p w14:paraId="5677AC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ОКБ-4 при заводе № 282 НКАП, ОКБ-282 НКАП, ОКБ-4 МАП /г. Москва/</w:t>
      </w:r>
    </w:p>
    <w:p w14:paraId="4815323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 создано при заводе в системе 5ГУ по приказу № 431с от 14.07.1944 г. для разработки новых конструкций приборов промышленного контроля и автоматики и модернизации выпускаемых. ОКБ являлось самостоятельной хозрасчетной организацией, но имело общий баланс с заводом № 282. Основной коллектив создан на базе части работников ОКБ завода № 230 НКАП.</w:t>
      </w:r>
    </w:p>
    <w:p w14:paraId="7034F33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1945 г. выполнено 38 НИОКР. Работы (1946 г.): разработка приборов для надводных кораблей и ПЛ ВМФ; система автоматического регулирования для мартеновской печи; бортовые приборы для МАП.</w:t>
      </w:r>
    </w:p>
    <w:p w14:paraId="3A64B4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ОКБ (1946 г.): КБ, опытный цех, лаборатории: электро-техническая, физико-механическая, чувствительных элементов.</w:t>
      </w:r>
    </w:p>
    <w:p w14:paraId="4475C1F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ОКБ, вероятно, вместе с заводом было передано в ММиП.</w:t>
      </w:r>
    </w:p>
    <w:p w14:paraId="74A0349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помещений (03.1946 г.)- 1000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410E86B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(11.1945 г.)- 55 чел., (03.1946 г.)- 137 чел.</w:t>
      </w:r>
    </w:p>
    <w:p w14:paraId="65529F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(07.1944-46 г.)- К.И. Шелапутин.</w:t>
      </w:r>
    </w:p>
    <w:p w14:paraId="2DB8121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диафрагмы для измерения расхода ДД-25, ДН-65; запорный вентиль ЗВ-150; конденсационные сосуды КС-16, -65; манометры: механические поплавковые ДП-280, -281, -410, -430, -612; электрический дистанционный МУЭ; МГ-310, -410; ДСВ-281, -410, -610, -612; дифманометры: поплавковый ПЭС, колокольный КЭР; приборы вторичные электрические Э-280, -281, -610, -612; тягомер ТМП; термометры: манометрические ТГ-170, -270, -320, -410, -510, -518, -520, -610; автоматический регулятор: температуры 04-ТГ-410; давления 04- МГ-410; расходомер АПЭ; двигатели Варрена СД-2, -60; регулятор температуры РПД; кран-переюпочатель КП-3, -6; измеритель скорости торпедного катера (11982).</w:t>
      </w:r>
    </w:p>
    <w:p w14:paraId="099BDB4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36CB44" w14:textId="77777777" w:rsidR="007C5583" w:rsidRPr="0009674D" w:rsidRDefault="007C5583" w:rsidP="0009674D">
      <w:pPr>
        <w:spacing w:after="0" w:line="240" w:lineRule="auto"/>
        <w:rPr>
          <w:rFonts w:ascii="Times New Roman" w:hAnsi="Times New Roman"/>
          <w:sz w:val="16"/>
          <w:szCs w:val="16"/>
        </w:rPr>
      </w:pPr>
      <w:r w:rsidRPr="0009674D">
        <w:rPr>
          <w:rFonts w:ascii="Times New Roman" w:hAnsi="Times New Roman"/>
          <w:sz w:val="16"/>
          <w:szCs w:val="16"/>
        </w:rPr>
        <w:t>15 июля 1942 г. по записке А.Г. Костикова от 16 апреля было принято Постановление ГКО № 2046сс «Об организации Государственного института реактивной техники (ГИРТ)» на базе НИИ № 3, директором института был назначен А.Г. Костиков. На институт возлагалась разработка научно-технических вопросов и создание опытных образцов реактивных снарядов, пусковых систем к ним, реактивных двигателей, реактивных летательньж аппаратов и торпед (22685).</w:t>
      </w:r>
    </w:p>
    <w:p w14:paraId="4020BF34" w14:textId="77777777" w:rsidR="007C5583" w:rsidRPr="0009674D" w:rsidRDefault="007C5583" w:rsidP="0009674D">
      <w:pPr>
        <w:spacing w:after="0" w:line="240" w:lineRule="auto"/>
        <w:rPr>
          <w:rFonts w:ascii="Times New Roman" w:hAnsi="Times New Roman"/>
          <w:sz w:val="16"/>
          <w:szCs w:val="16"/>
        </w:rPr>
      </w:pPr>
    </w:p>
    <w:p w14:paraId="66EA410F"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июля 1942 г. по ходатайству Костикова постановлением Госкомитета обо</w:t>
      </w:r>
      <w:r w:rsidRPr="008A2E5A">
        <w:rPr>
          <w:rFonts w:ascii="Times New Roman" w:hAnsi="Times New Roman"/>
          <w:color w:val="0070C0"/>
          <w:sz w:val="16"/>
          <w:szCs w:val="16"/>
        </w:rPr>
        <w:softHyphen/>
        <w:t>роны СССР НИИ-3 преобразовали в Государ</w:t>
      </w:r>
      <w:r w:rsidRPr="008A2E5A">
        <w:rPr>
          <w:rFonts w:ascii="Times New Roman" w:hAnsi="Times New Roman"/>
          <w:color w:val="0070C0"/>
          <w:sz w:val="16"/>
          <w:szCs w:val="16"/>
        </w:rPr>
        <w:softHyphen/>
        <w:t>ственный институт реактивной техники (ГИРТ) при Совнаркоме СССР. Ему передали здание Всесоюзного института сельскохо</w:t>
      </w:r>
      <w:r w:rsidRPr="008A2E5A">
        <w:rPr>
          <w:rFonts w:ascii="Times New Roman" w:hAnsi="Times New Roman"/>
          <w:color w:val="0070C0"/>
          <w:sz w:val="16"/>
          <w:szCs w:val="16"/>
        </w:rPr>
        <w:softHyphen/>
        <w:t>зяйственного машиностроения (ВИСХОМ) и механический цех возле этого здания.</w:t>
      </w:r>
    </w:p>
    <w:p w14:paraId="43CECFB0"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ГИРТ поставили три главные задачи:</w:t>
      </w:r>
    </w:p>
    <w:p w14:paraId="70027AB6"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разработку новых образцов пороховых ракет (РС) и пуско</w:t>
      </w:r>
      <w:r w:rsidRPr="008A2E5A">
        <w:rPr>
          <w:rFonts w:ascii="Times New Roman" w:hAnsi="Times New Roman"/>
          <w:color w:val="0070C0"/>
          <w:sz w:val="16"/>
          <w:szCs w:val="16"/>
        </w:rPr>
        <w:softHyphen/>
        <w:t>вых установок РСЗО;</w:t>
      </w:r>
    </w:p>
    <w:p w14:paraId="2A2A87E9"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создание новых образцов реактивных двигателей;</w:t>
      </w:r>
    </w:p>
    <w:p w14:paraId="3CACCFC9"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проектирование и испытания реактивных самолетов и торпед (23550).</w:t>
      </w:r>
    </w:p>
    <w:p w14:paraId="4CAC1933" w14:textId="77777777" w:rsidR="0009674D" w:rsidRPr="008A2E5A" w:rsidRDefault="0009674D" w:rsidP="0009674D">
      <w:pPr>
        <w:spacing w:after="0" w:line="240" w:lineRule="auto"/>
        <w:jc w:val="both"/>
        <w:rPr>
          <w:rFonts w:ascii="Times New Roman" w:hAnsi="Times New Roman"/>
          <w:color w:val="0070C0"/>
          <w:sz w:val="16"/>
          <w:szCs w:val="16"/>
        </w:rPr>
      </w:pPr>
    </w:p>
    <w:p w14:paraId="4353FD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081E55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B3875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июня 1942 года начальник БТУ ГАБТУ КА генерал-майор Коробков направил письмо секретарю Сталинградского обкома ВКП (б) Чуянову:</w:t>
      </w:r>
    </w:p>
    <w:p w14:paraId="185BAD4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неоднократные указания СТЗ со стороны т.т. Молотова, Малышева и ГАБТУ КА о наличии в танках Т-34 производства СТЗ массы дефектов, качество серийных машин до настоящего времени продолжает оставаться чрезвычайно низким, так например:</w:t>
      </w:r>
    </w:p>
    <w:p w14:paraId="10128D9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мая из Действующей Армии поступили донесения о выходе из строя 72 танков Т-34 производства СТЗ (разрушение коробок перемены передач - 9 танков, разрушение бортовых передач - 54 танка, прочие дефекты — 9 танков).</w:t>
      </w:r>
    </w:p>
    <w:p w14:paraId="32CF118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перечисленные дефекты обнаружены в танках, только что прибывших с завода, после пробега в 1520 км.</w:t>
      </w:r>
    </w:p>
    <w:p w14:paraId="4CDF636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положение не улучшилось. С 1.6 по 14.6 вышло из строя по вине завода - 34 танка разрушение картеров коробки перемены передач - 9 танков, разрушение бортпередач - 19 танков, прочие дефекты - 6 танков).</w:t>
      </w:r>
    </w:p>
    <w:p w14:paraId="30F5ECB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завод № 264 поставляет недоброкачественные корпуса для СТЗ с большим количеством трещин. Проверкой установлено, что завод №264 изготовил бронекорпусов с трещинами: в январе - 51,5%, в феврале - 60%, в марте - 68,5%. В апреле месяце на заводе у 125 танков и в Действующей Армии у 65 танков обнаружены трещины размером от 40 до 700 мм. в мае в Действующей Армии обнаружено 135 танков с трещинами на бронекорпусах.</w:t>
      </w:r>
    </w:p>
    <w:p w14:paraId="65880BF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Указанное положение приводит к тому, что войсковые части перестают верить в боеспособность танков Т-34 производства СТЗ. Основными причинами дефектов в танках и бронекорпусах являются:</w:t>
      </w:r>
    </w:p>
    <w:p w14:paraId="2F3EEB0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 Сталинградский Тракторный завод допустил:</w:t>
      </w:r>
    </w:p>
    <w:p w14:paraId="1BCA3FA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w:t>
      </w:r>
      <w:r w:rsidRPr="008127F8">
        <w:rPr>
          <w:rFonts w:ascii="Times New Roman" w:hAnsi="Times New Roman"/>
          <w:color w:val="000000" w:themeColor="text1"/>
          <w:sz w:val="16"/>
          <w:szCs w:val="16"/>
        </w:rPr>
        <w:tab/>
        <w:t>Нарушения технологии и конструкции в изготовлении картеров коробки перемены передач.</w:t>
      </w:r>
    </w:p>
    <w:p w14:paraId="38F8F60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w:t>
      </w:r>
      <w:r w:rsidRPr="008127F8">
        <w:rPr>
          <w:rFonts w:ascii="Times New Roman" w:hAnsi="Times New Roman"/>
          <w:color w:val="000000" w:themeColor="text1"/>
          <w:sz w:val="16"/>
          <w:szCs w:val="16"/>
        </w:rPr>
        <w:tab/>
        <w:t>Введение непроверенной, худшей конструкции крепления бортовой передачи (бесструнного).</w:t>
      </w:r>
    </w:p>
    <w:p w14:paraId="42028CB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w:t>
      </w:r>
      <w:r w:rsidRPr="008127F8">
        <w:rPr>
          <w:rFonts w:ascii="Times New Roman" w:hAnsi="Times New Roman"/>
          <w:color w:val="000000" w:themeColor="text1"/>
          <w:sz w:val="16"/>
          <w:szCs w:val="16"/>
        </w:rPr>
        <w:tab/>
        <w:t>Нарушение термообработки и введение непроверенного заменителя на ведомые валы бортовой передачи.</w:t>
      </w:r>
    </w:p>
    <w:p w14:paraId="76DDD24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Технологическая дисциплина и контроль со стороны ОТК СТЗ за сборкой и изготовлением танков чрезвычайно низкий.</w:t>
      </w:r>
    </w:p>
    <w:p w14:paraId="36D7C5C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Завод № 264 систематически не выполнял технологического процесса изготовления бронекорпусов, отменил низкий отпуск, не контролировал режима сварки и зазоры при сварке корпусов.</w:t>
      </w:r>
    </w:p>
    <w:p w14:paraId="0ECC40B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вместе взятое приводит к небоеспособности танковых частей и увеличивает неходовой парк машин в Действующей Армии. Сообщая о вышеизложенном, прошу Вашего вмешательства в эти вопросы, строжайшего расследования и привлечения виновных к партийной ответственности» (12217).</w:t>
      </w:r>
    </w:p>
    <w:p w14:paraId="4CDA530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EB07BD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июня 1942 г. из НКТП последовало распоряжение все ра</w:t>
      </w:r>
      <w:r w:rsidRPr="008127F8">
        <w:rPr>
          <w:rFonts w:ascii="Times New Roman" w:hAnsi="Times New Roman"/>
          <w:color w:val="000000" w:themeColor="text1"/>
          <w:sz w:val="16"/>
          <w:szCs w:val="16"/>
        </w:rPr>
        <w:softHyphen/>
        <w:t>боты по танку КВ-13 приостановить в связи с началом ново</w:t>
      </w:r>
      <w:r w:rsidRPr="008127F8">
        <w:rPr>
          <w:rFonts w:ascii="Times New Roman" w:hAnsi="Times New Roman"/>
          <w:color w:val="000000" w:themeColor="text1"/>
          <w:sz w:val="16"/>
          <w:szCs w:val="16"/>
        </w:rPr>
        <w:softHyphen/>
        <w:t>го немецкого наступления под Харьковом и решением ГКО о проведении спешной модернизации КВ-1. А еще через ме</w:t>
      </w:r>
      <w:r w:rsidRPr="008127F8">
        <w:rPr>
          <w:rFonts w:ascii="Times New Roman" w:hAnsi="Times New Roman"/>
          <w:color w:val="000000" w:themeColor="text1"/>
          <w:sz w:val="16"/>
          <w:szCs w:val="16"/>
        </w:rPr>
        <w:softHyphen/>
        <w:t>сяц прибывший на ЧКЗ новый нарком И. Зальцман (бывший директор ЧКЗ), отдал распоряжение в срок один месяц освоить выпуск средних танков Т-34. К работам над танком КВ-13 удалось вернуться только осенью (10782).</w:t>
      </w:r>
    </w:p>
    <w:p w14:paraId="038B3BA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7C1BA9"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15 июня 1942 была подготовлена программа испытаний опытного образца СГ-122, которую подписали главный конструктор Синильщиков и главный инженер завода №592 Ломакин. Согласно программе, планировалось произвести из орудия самоходки 40 выстрелов, а также проехать на ней 100 километров. В качестве места ходовых испытаний были выбраны окраины Мытищ, а стрельба проводилась на полигоне завода №8, находившимся неподалёку. 25 июня программа испытаний была утверждена в ГАУ КА (17663).</w:t>
      </w:r>
    </w:p>
    <w:p w14:paraId="273DD965"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0AC9B79C"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15 июня 1942 заводские испытания танкового прицепа ТД-200 завершились. Осмотр ходовой части ТД-200 №1 показал, что все детали оставались в пределах нормы. Таким образом, прицеп вполне успешно прошёл заводскую программу. В течение мая были изготовлены 2-й и 3-й экземпляры ТД-200, сдали их уже в начале июня.</w:t>
      </w:r>
    </w:p>
    <w:p w14:paraId="77958CD2"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Однако на этом дело застопорилось. Официального отказа от программы ТД-200 не было, но больше эти прицепы в переписке не фигурируют. Не исключено, что виной этому стала их слишком большая масса, ведь про требования, сформулированные в феврале 1942 года, в ГАБТУ КА не забыли. Кроме того, на судьбу ТД-200 могла повлиять и финансовая сторона вопроса. Общая стоимость трёх бронеприцепов составила 126 000 рублей, то есть каждый ТД-200 обошелся в 42 000. С учётом того, что прицеп предполагалось изготовлять из отходов корпусного производства, такая цена выглядела не очень адекватной: танк Т-60 стоил не намного больше этого прицепа (17711).</w:t>
      </w:r>
    </w:p>
    <w:p w14:paraId="3F485A7C"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5C42D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205E0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92CC2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15 июня</w:t>
      </w:r>
      <w:r w:rsidRPr="008127F8">
        <w:rPr>
          <w:rFonts w:ascii="Times New Roman" w:hAnsi="Times New Roman"/>
          <w:color w:val="000000" w:themeColor="text1"/>
          <w:sz w:val="16"/>
          <w:szCs w:val="16"/>
        </w:rPr>
        <w:t xml:space="preserve"> в 1942 году утреннее сообщение Совинформбюро:</w:t>
      </w:r>
    </w:p>
    <w:p w14:paraId="18AF994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нота на 15 июня на фронте существенных изменений не произошло.</w:t>
      </w:r>
    </w:p>
    <w:p w14:paraId="2398758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Харьковском направлении наши войска наносят противнику большой урон в живой силе и технике. Только на одном участке за два дня гитлеровцы потеряли убитыми 2.850 солдат и офицеров. Захвачены пленные. Наши части на этом участке уничтожили 19 немецких танков, 2 бронемашины и 30 мотоциклов. Сбито 11 немецких самолётов.</w:t>
      </w:r>
    </w:p>
    <w:p w14:paraId="2AE1F7D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участке гвардейской части, где командиром тов. Карпов (Калининский фронт), немецкая пехота при поддержке авиации и танков пыталась атаковать наши позиции. Гвардейцы отбили эту атаку гитлеровцев. Оставив на поле боя свыше 200 убитых, немцы повернули назад. Хорошо проявили себя в этом бою наши миномётчики, артиллеристы и снайперы-пехотинцы. Миномётный расчёт тов. Шукбаева первыми же выстрелами уничтожил станковый пулемёт и до 30 гитлеровцев. Артиллеристыподразделения тов. Семибаламута метким огнём подбили немецкий танк и автоматическую пушку. Снайпер гвардии красноармеец Брюханов из винтовки сбил немецкий самолёт «Юнкерс-88». Гвардейцы подразделения тов. Тамарина групповым огнём сбили второй немецкий бомбардировщик.</w:t>
      </w:r>
    </w:p>
    <w:p w14:paraId="39ECC7B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Батальон эсэсовцев при поддержке 11 танков пытался атаковать нашу часть (Северо-Западный фронт). Сильным контрударом наши бойцы отбросили противника. На поле боя остались сотни вражеских трупов. Взяты пленные.</w:t>
      </w:r>
    </w:p>
    <w:p w14:paraId="4BB7B46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наших бойцов, действующая в тылу противника, пустила под откос 2 воинских железнодорожных эшелона. Разбито 14 вагонов с военным имущество, 2 платформы с автомашинами и несколько вагонов с войсками. Убито и ранено 60 немецких солдат и офицеров.</w:t>
      </w:r>
    </w:p>
    <w:p w14:paraId="6191320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Снайперы части, где командиром тов. Михайлов, в течение дня уничтожили 20 гитлеровцев. Особенно хорошие результаты показали красноармейцы тт. Денисенко, Пономаренко и Караченцев.</w:t>
      </w:r>
    </w:p>
    <w:p w14:paraId="1A39297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К., действующий в одном из оккупированных немцами районов Украины, уничтожил 27 немецких оккупантов и захватил в плен трёх немецких солдат. Партизаны взорвали танк и несколько автомашин противника.</w:t>
      </w:r>
    </w:p>
    <w:p w14:paraId="1DF945F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Солдат второй мотоциклетной роты 6 полка берсальеров дивизии «Челере» итальянского экспедиционного корпуса А.Мартинелли рассказал: «Зимой и ранней весной немецкая пропаганда широко рекламировала предстоящее наступление германской армии. Тогда у итальянских солдат были ещё кое-какие надежды на скорое окончание войны. Теперь они потеряли всякую надежду и считают, что любое наступление немцев обречено на провал. Итальянские солдаты не верят в победу Германии. Многие итальянские солдаты начали задумываться над происходящими событиями. Они ищут разумного и достойного выхода из тяжёлого положения и всё чаще говорят о необходимости сдаваться в плен».</w:t>
      </w:r>
    </w:p>
    <w:p w14:paraId="7EFD553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ветеринарной роты 83 немецкой пехотной дивизии Альфред Ен сообщил: «21 мая 1942 года командир сапёрной роты 83 дивизии обер-лейтенант фон Бейервитц заявил, что он убедился в безнадёжности войны против России, и поэтому не хочет больше воевать. Его немедленно арестовали и под усиленным конвоем отправили в тыл. Солдаты видели, как с обер-лейтенанта срывали погоны».</w:t>
      </w:r>
    </w:p>
    <w:p w14:paraId="57BA117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Кровавый террор гитлеровцев не сломил боевого духа французского народа. Французские патриоты усиливают борьбу против немецких захватчиков. В предместье Парижа разрушено 6 электрических мачт. В Иври сожжены три немецких грузовика. У моста Иены в Париже неизвестные бросили гранату в немецкий сторожевой пост. В окрестностях скотобойни Вилетт патриотами была брошена бомба в немецкий отряд. Взрывом убито 6 солдат. Многие ранены.» (14923).</w:t>
      </w:r>
    </w:p>
    <w:p w14:paraId="183BF16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EA8854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15 июня</w:t>
      </w:r>
      <w:r w:rsidRPr="008127F8">
        <w:rPr>
          <w:rFonts w:ascii="Times New Roman" w:hAnsi="Times New Roman"/>
          <w:color w:val="000000" w:themeColor="text1"/>
          <w:sz w:val="16"/>
          <w:szCs w:val="16"/>
        </w:rPr>
        <w:t xml:space="preserve"> в 1942 году вечернее сообщение Совинформбюро:</w:t>
      </w:r>
    </w:p>
    <w:p w14:paraId="320D1F7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15 июня на Харьковском направлении наши войска отбили несколько крупных атак пехоты и танков противника. За день боёв уничтожено и подбито 180 немецких танков.</w:t>
      </w:r>
    </w:p>
    <w:p w14:paraId="3C7C5CE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Севастопольском участке фронта продолжались ожесточённые бои.</w:t>
      </w:r>
    </w:p>
    <w:p w14:paraId="0A044FB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существенных изменений не произошло.</w:t>
      </w:r>
    </w:p>
    <w:p w14:paraId="62725AB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14 июня частями нашей авиации на различных участках фронта уничтожено или повреждено 64 немецких танка, 220 автомашин с войсками и грузами, 3 автоцистерныс горючим, 2 бензозаправщика, взорван склад с боеприпасами, взорван железнодорожный эшелон, повреждён транспорт противника и несколько катеров, рассеяно и частью уничтожено более двух полков пехоты противника.</w:t>
      </w:r>
    </w:p>
    <w:p w14:paraId="580E423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Немецкая пехота при поддержке танков предприняла наступление на позиции подразделения командира Симашина (Калининский фронт). Артиллерийским, миномётными ружейно-пулемётным огнём наших бойцов немецкая пехота была отсечена от танков. Потеряв 4 танка и большое количество убитыми и ранеными, гитлеровцы отступили наисходные позиции. В этот же день противник безуспешно пытался атаковать подразделение командира Чикарькова. Наши бойцы решительным контрударом опрокинули и разгромили гитлеровцев. На поле боя осталось 220 убитых немецкихсолдат и офицеров.</w:t>
      </w:r>
    </w:p>
    <w:p w14:paraId="36102DB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Харьковском направлении наши танкисты в ходе боёв наносят противнику большой урон. На одном из участков танк старшего лейтенанта Казакова ворвался в расположение немцев, уничтожил 10 автомашин, рассеял и частично уничтожил до батальона пехоты. Экипаж танка в составе лейтенанта Королькова, сержанта Симонова и командира башни Бондаренко из засады подбил 3 немецких тяжёлых танка. Вступив затем в бой с противником, экипаж нашего танка подбил ещё 5 немецких танков. Экипаж танка в составе старшего лейтенанта Данилова, старших сержантов Соболя, Краснощёкова, красноармейцев Сослова и Аносова, отражая танковые атаки противника, сжёг 6 и подбил 4 немецких танка.</w:t>
      </w:r>
    </w:p>
    <w:p w14:paraId="25B6ECF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подразделения тов. Забродкина групповым огнём стрелкового оружия сбили четыре немецких самолёта.</w:t>
      </w:r>
    </w:p>
    <w:p w14:paraId="75ACD87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имени Лазо, действующий в оккупированных немцами районах Смоленской области, за период с января по июнь 1942 года уничтожил 86 немецких автомашин, 500 подвод с различными грузами, взорвал и сжёг 5 складов с боеприпасами и обмундированием. Партизаны уничтожили свыше 3 тысяч немецко-фашистских оккупантов, захватили более 500 винтовок, 32 пулемёта, 11 миномётов, 150 револьверов, запасы продовольствия и обмундирования.</w:t>
      </w:r>
    </w:p>
    <w:p w14:paraId="02F9B4F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публикуется отрывок из записной книжки убитого немецкого унтер-офицера Артура Гольца: «...В моей роте из 188 человек, покинувших в конце мая прошлого года Францию и начавших 22 июня русский поход, осталось 9 человек... Каждый день новые жертвы. Убиты: фельдфебель Гельмут Виттенштейн, обер-ефрейтор Мартин Раумер и старый друг Рудольф Рейхардт. Из стариков остался я один. Я пережил всех. Было столько здоровых и сильных парней и не стало их. Но рота существует. Каждый месяц в неё вливают пополнения.</w:t>
      </w:r>
    </w:p>
    <w:p w14:paraId="40A0FA5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Могу ли я себя считать счастливым? Моя жизнь изломана и разбита, а мои нервы—тряпки. Говорят, что я стал хныкать и хожу с поникшей головой. Может быть, это и правда, но я столько пережил, что не умею улыбаться и лишился всяких чувств».</w:t>
      </w:r>
    </w:p>
    <w:p w14:paraId="7AB0D0C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Гитлеровские мерзавцы выгнали из деревни Сухинкино, Ленинградской области, всех жителей и учинили массовый грабёж. Бандиты забрали у колхозников вещи, а затем подожгли деревню со всех концов.» (14923).</w:t>
      </w:r>
    </w:p>
    <w:p w14:paraId="6C46EFE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86D9FEB"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15 июня 1942 шесть Илов во главе с капитаном Кожиным под прикрытием истребителей южнее острова Гогланд атаковали два транспорта противника. По донесениям летчиков, «транспорты рассредоточились и маневрировали». Удар, как обычно, наносился с одного захода с пологого планирования залпом с высоты 900–1000 метров. Бомбы взрывались возле бортов, поднимая огромные столбы воды. Несколько «эрэсов» тоже то ли попали, то ли «легли» у борта. Так или иначе, одно судно, как следовало из докладов, якобы затонуло в течение пяти минут. Здесь налицо была уже явная выдумка. Даже прямых попаданий 100-кг бомбы или нескольких 82-мм неуправляемых ракетных снарядов было недостаточно для потопления морского транспорта. Во всяком случае, для его «пятиминутного» ухода под воду. В то же время зенитным огнем с острова Гогланд был поврежден один «горбатый», который затем все же сумел дотянуть до своей территории.</w:t>
      </w:r>
    </w:p>
    <w:p w14:paraId="209CED17"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В тот же день четыре Ил-2 все из того же 57-го пшап, ведомые капитаном Алексеем Мазуренко, которых сопровождали истребители И-153 «Чайка» и Як-1, вновь вылетели к Гогланду и нанесли повторный удар по ранее поврежденному транспорту, шедшему в охранении сторожевого корабля. По донесению экипажей, «одна бомба попала в транспорт». От взрыва «огромной силы» судно якобы разломилось и затонуло. Но и это представляется сомнительным, если только речь не шла о перевозке боеприпасов. Во втором заходе четверка штурмовиков пушечно-пулеметным огнем и реактивными снарядами атаковала сторожевик, однако тот «остался на плаву» (19522).</w:t>
      </w:r>
    </w:p>
    <w:p w14:paraId="3F40426E"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15 августа 1942</w:t>
      </w:r>
      <w:r>
        <w:rPr>
          <w:color w:val="000000" w:themeColor="text1"/>
          <w:sz w:val="16"/>
          <w:szCs w:val="16"/>
        </w:rPr>
        <w:t xml:space="preserve">  </w:t>
      </w:r>
      <w:r w:rsidRPr="008127F8">
        <w:rPr>
          <w:color w:val="000000" w:themeColor="text1"/>
          <w:sz w:val="16"/>
          <w:szCs w:val="16"/>
        </w:rPr>
        <w:t>г. три Ил-2 из 57-го пшап вылетели на свободную охоту в район островов Гогланд, Большой Тютерс и Лавансаари, где, по данным авиаразведки, находились вражеские суда. Осматривая море, экипажи обнаружили три транспорта, которые шли курсом на порт Усть-Луга в Лужской губе. Ведущий штурмовиков командир звена капитан Нельсон Степанян отдал приказ атаковать среднее судно и сам с высоты 700 метров перешел в пологое пикирование. За ним последовали и ведомые. Согласно донесению летчиков, в корабль попали четыре сброшенные ими бомбы, и тот затонул. Но затем и эти данные не подтвердились (19522).</w:t>
      </w:r>
    </w:p>
    <w:p w14:paraId="1F413CD8" w14:textId="77777777" w:rsidR="007C5583" w:rsidRPr="008127F8" w:rsidRDefault="007C5583" w:rsidP="007C5583">
      <w:pPr>
        <w:pStyle w:val="af"/>
        <w:spacing w:before="0" w:after="0"/>
        <w:jc w:val="both"/>
        <w:textAlignment w:val="baseline"/>
        <w:rPr>
          <w:color w:val="000000" w:themeColor="text1"/>
          <w:sz w:val="16"/>
          <w:szCs w:val="16"/>
        </w:rPr>
      </w:pPr>
    </w:p>
    <w:p w14:paraId="24C7FDD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июня 1942 шесть Илов во главе с капитаном Кожиным под прикрытием истребителей южнее острова Гогланд атаковали два транспорта противника. По донесениям летчиков, «транспорты рассредоточились и маневрировали». Удар, как обычно, наносился с одного захода с пологого планирования залпом с высоты 900–1000 метров. Бомбы взрывались возле бортов, поднимая огромные столбы воды. Несколько «эрэсов» тоже то ли попали, то ли «легли» у борта. Так или иначе, одно судно, как следовало из докладов, якобы затонуло в течение пяти минут. Здесь налицо была уже явная выдумка. Даже прямых попаданий 100</w:t>
      </w:r>
      <w:r w:rsidRPr="008127F8">
        <w:rPr>
          <w:rFonts w:ascii="Times New Roman" w:hAnsi="Times New Roman"/>
          <w:color w:val="000000" w:themeColor="text1"/>
          <w:sz w:val="16"/>
          <w:szCs w:val="16"/>
        </w:rPr>
        <w:noBreakHyphen/>
        <w:t>кг бомбы или нескольких 82</w:t>
      </w:r>
      <w:r w:rsidRPr="008127F8">
        <w:rPr>
          <w:rFonts w:ascii="Times New Roman" w:hAnsi="Times New Roman"/>
          <w:color w:val="000000" w:themeColor="text1"/>
          <w:sz w:val="16"/>
          <w:szCs w:val="16"/>
        </w:rPr>
        <w:noBreakHyphen/>
        <w:t>мм неуправляемых ракетных снарядов было недостаточно для потопления морского транспорта. Во всяком случае, для его «пятиминутного» ухода под воду. В то же время зенитным огнем с острова Гогланд был поврежден один «горбатый», который затем все же сумел дотянуть до своей территории.</w:t>
      </w:r>
    </w:p>
    <w:p w14:paraId="2762E77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тот же день четыре Ил</w:t>
      </w:r>
      <w:r w:rsidRPr="008127F8">
        <w:rPr>
          <w:rFonts w:ascii="Times New Roman" w:hAnsi="Times New Roman"/>
          <w:color w:val="000000" w:themeColor="text1"/>
          <w:sz w:val="16"/>
          <w:szCs w:val="16"/>
        </w:rPr>
        <w:noBreakHyphen/>
        <w:t>2 все из того же 57</w:t>
      </w:r>
      <w:r w:rsidRPr="008127F8">
        <w:rPr>
          <w:rFonts w:ascii="Times New Roman" w:hAnsi="Times New Roman"/>
          <w:color w:val="000000" w:themeColor="text1"/>
          <w:sz w:val="16"/>
          <w:szCs w:val="16"/>
        </w:rPr>
        <w:noBreakHyphen/>
        <w:t>го пшап, ведомые капитаном Алексеем Мазуренко, которых сопровождали истребители И</w:t>
      </w:r>
      <w:r w:rsidRPr="008127F8">
        <w:rPr>
          <w:rFonts w:ascii="Times New Roman" w:hAnsi="Times New Roman"/>
          <w:color w:val="000000" w:themeColor="text1"/>
          <w:sz w:val="16"/>
          <w:szCs w:val="16"/>
        </w:rPr>
        <w:noBreakHyphen/>
        <w:t>153 «Чайка» и Як</w:t>
      </w:r>
      <w:r w:rsidRPr="008127F8">
        <w:rPr>
          <w:rFonts w:ascii="Times New Roman" w:hAnsi="Times New Roman"/>
          <w:color w:val="000000" w:themeColor="text1"/>
          <w:sz w:val="16"/>
          <w:szCs w:val="16"/>
        </w:rPr>
        <w:noBreakHyphen/>
        <w:t>1, вновь вылетели к Гогланду и нанесли повторный удар по ранее поврежденному транспорту, шедшему в охранении сторожевого корабля. По донесению экипажей, «одна бомба попала в транспорт». От взрыва «огромной силы» судно якобы разломилось и затонуло. Но и это представляется сомнительным, если только речь не шла о перевозке боеприпасов. Во втором заходе четверка штурмовиков пушечно</w:t>
      </w:r>
      <w:r w:rsidRPr="008127F8">
        <w:rPr>
          <w:rFonts w:ascii="Times New Roman" w:hAnsi="Times New Roman"/>
          <w:color w:val="000000" w:themeColor="text1"/>
          <w:sz w:val="16"/>
          <w:szCs w:val="16"/>
        </w:rPr>
        <w:noBreakHyphen/>
        <w:t>пулеметным огнем и реактивными снарядами атаковала сторожевик, однако тот «остался на плаву» (23199).</w:t>
      </w:r>
    </w:p>
    <w:p w14:paraId="1857AF4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6ED17B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на 15 июня 1942 по докладам, в результате удара экипаж капитана Балебина га ДБ-3 прямым попаданием ФАБ-250 потопил транспорт, а в ночь на 24 июня экипаж командира 2-й эскадрильи капитана М.С. Косова - танкер. Данные противника не подтверждают этих успехов. Согласно журналу боевых действий немецкого командующего тральными соединениями "Восток" (FdM Ost; штаб базировался в Котке) контр-адмирала Бёмера, в первом случае в акватории порта взорвался десяток бомб тяжелого и среднего калибра, во втором случае легкие повреждения получил флагманский корабль адмирала - сторожевик "F 3", на котором два человека получили ранения. Чтобы достичь этого результата, ВВС КБФ и Ленинградского фронта произвели 35 вылетов бомбардировщиков (в т.ч. 14 Ил-4, 3 СБ и 1 Ар-2 1-го гмтап) и 16 штурмовиков. Столь незначительный результат объяснялся в первую очередь сильным зенитным прикрытием Котки - самолеты бомбили с больших высот и, хотя потерь не понесли, не добились и попаданий.</w:t>
      </w:r>
    </w:p>
    <w:p w14:paraId="00B3427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097C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период с 15 июня 1942 г. по 1 января 1943 г. средний процент исправных самолетов Пе-8 в дивизии составлял 75%. За это время силами технического состава и командированных рабочих завода №22 в 746-м ап произвели ремонт на 67 самолетах, в 890-м ап - на 56 самолетах. Восстановительному ремонту подверглись 11 самолетов дивизии (12025).</w:t>
      </w:r>
    </w:p>
    <w:p w14:paraId="1EF0F6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2F46E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15 июня</w:t>
      </w:r>
      <w:r w:rsidRPr="008127F8">
        <w:rPr>
          <w:rFonts w:ascii="Times New Roman" w:hAnsi="Times New Roman"/>
          <w:color w:val="000000" w:themeColor="text1"/>
          <w:sz w:val="16"/>
          <w:szCs w:val="16"/>
        </w:rPr>
        <w:t xml:space="preserve"> в 1942 году гитлеровцы уничтожили вместе с жителями село Борки в Могилевской области - самое большое из 186 белорусских сел, сожженных карателями вместе с жителями. 15 июня 1942 года немецкими захватчиками была проведена одна из самых больших карательных акций, направленная против мирных жителей. Погибло 1800 человек. Для увековечения памяти жителей деревни Борки в августе 2004 года при финансовой поддержки Могилесвского областного исполнительного комитета, спустя 62 года после трагедии, с благословения Епископа Могилевского и Мстиславского Владыки Софрония возведена часовня в честь иконы Божией Матери «Взыскание погибших». 31 августа 2008 года открыт мемориальный комплекс «Памяти сожженных деревень Могилевской области». В комплекс входят: стена памяти сожженных деревень Могилевской области, шесть гранитных плит с наименованиями уничтоженных деревень Могилевской области, над плитами расположены звоны памяти, часовня в честь иконы Божией Матери «Взыскание погибших» (14923).</w:t>
      </w:r>
    </w:p>
    <w:p w14:paraId="39C0EBC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92230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6FBAA7D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C5DD76" w14:textId="77777777" w:rsidR="007C5583" w:rsidRPr="008127F8" w:rsidRDefault="007C5583" w:rsidP="007C5583">
      <w:pPr>
        <w:spacing w:after="0" w:line="240" w:lineRule="auto"/>
        <w:jc w:val="both"/>
        <w:rPr>
          <w:rFonts w:ascii="Times New Roman" w:hAnsi="Times New Roman"/>
          <w:color w:val="000000" w:themeColor="text1"/>
          <w:sz w:val="16"/>
          <w:szCs w:val="16"/>
          <w:lang w:val="en-US"/>
        </w:rPr>
      </w:pPr>
      <w:r w:rsidRPr="008127F8">
        <w:rPr>
          <w:rFonts w:ascii="Times New Roman" w:hAnsi="Times New Roman"/>
          <w:bCs/>
          <w:color w:val="000000" w:themeColor="text1"/>
          <w:sz w:val="16"/>
          <w:szCs w:val="16"/>
        </w:rPr>
        <w:t>15 июня</w:t>
      </w:r>
      <w:r w:rsidRPr="008127F8">
        <w:rPr>
          <w:rFonts w:ascii="Times New Roman" w:hAnsi="Times New Roman"/>
          <w:color w:val="000000" w:themeColor="text1"/>
          <w:sz w:val="16"/>
          <w:szCs w:val="16"/>
        </w:rPr>
        <w:t xml:space="preserve"> в 1942 году тяжелый крейсер «Trento» поврежден английской авиаторпедой (торпедоносцы «Beaufort» с Мальты). «Trento» («Тренто») — тяжелый крейсер Королевского Итальянского флота типа Тренто, головной в серии. Заложен на верфи «Cantieri Odero Terni-Orlando» в Ливорно 8 февраля 1925 года, спущен на воду 4 сентября 1927 года, вступил в строй 3 апреля 1929 года. Спустя 4 часа потоплен двумя торпедами английской подводной лодки «Umbra» в Ионическом море, в точке с координатами 35°45 с. ш. 19°04 в. д. (G) (O). Исключенизсоставафлота</w:t>
      </w:r>
      <w:r w:rsidRPr="008127F8">
        <w:rPr>
          <w:rFonts w:ascii="Times New Roman" w:hAnsi="Times New Roman"/>
          <w:color w:val="000000" w:themeColor="text1"/>
          <w:sz w:val="16"/>
          <w:szCs w:val="16"/>
          <w:lang w:val="en-US"/>
        </w:rPr>
        <w:t xml:space="preserve"> 18 </w:t>
      </w:r>
      <w:r w:rsidRPr="008127F8">
        <w:rPr>
          <w:rFonts w:ascii="Times New Roman" w:hAnsi="Times New Roman"/>
          <w:color w:val="000000" w:themeColor="text1"/>
          <w:sz w:val="16"/>
          <w:szCs w:val="16"/>
        </w:rPr>
        <w:t>октября</w:t>
      </w:r>
      <w:r w:rsidRPr="008127F8">
        <w:rPr>
          <w:rFonts w:ascii="Times New Roman" w:hAnsi="Times New Roman"/>
          <w:color w:val="000000" w:themeColor="text1"/>
          <w:sz w:val="16"/>
          <w:szCs w:val="16"/>
          <w:lang w:val="en-US"/>
        </w:rPr>
        <w:t xml:space="preserve"> 1946 (14923).</w:t>
      </w:r>
    </w:p>
    <w:p w14:paraId="4FCDE988" w14:textId="77777777" w:rsidR="007C5583" w:rsidRPr="008127F8" w:rsidRDefault="007C5583" w:rsidP="007C5583">
      <w:pPr>
        <w:spacing w:after="0" w:line="240" w:lineRule="auto"/>
        <w:jc w:val="both"/>
        <w:rPr>
          <w:rFonts w:ascii="Times New Roman" w:hAnsi="Times New Roman"/>
          <w:color w:val="000000" w:themeColor="text1"/>
          <w:sz w:val="16"/>
          <w:szCs w:val="16"/>
          <w:lang w:val="en-US"/>
        </w:rPr>
      </w:pPr>
    </w:p>
    <w:p w14:paraId="2984F54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 15th, 1942: In the North Atlantic, U-552 (Kptlt. Topp) sinks 5 ships of Convoy HG-84 (3819).</w:t>
      </w:r>
    </w:p>
    <w:p w14:paraId="6CC35E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E025C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июня 1942 в Северной Атлантике У-552 (Топп) потопила 5 судов конвоя HG-84 (3819).</w:t>
      </w:r>
    </w:p>
    <w:p w14:paraId="5BA7DD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FAE18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20AC17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1AAA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середине июня 1942 одноместный Су-б М-71, слегка улучшенный по результатам майских испытаний, прошел дополнительные государственные испытания, целью которых являлась оценка работы фото-, радио-, электро- и другого спецоборудования самолета/температурных режимов работы винтомоторной группы, а также проверка надежности и безотказности работы кассет мелких бомб производства завода № 289.</w:t>
      </w:r>
    </w:p>
    <w:p w14:paraId="6B0081B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Установка на самолет кассет мелких бомб в целом повысило боевую эффективность штурмовика, главным образом, за счет расширения номенклатуры применяемых авиабомб (стало возможным использовать мелкие осколочные и зажигательные авиабомбы, а также химампулы с зажигательной смесью).</w:t>
      </w:r>
    </w:p>
    <w:p w14:paraId="0D7CB70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все время испытаний кассеты ни разу не отказали и показали себя как надежное и высокоэффективное боевое средство.</w:t>
      </w:r>
    </w:p>
    <w:p w14:paraId="04872D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 винтомоторной группы и спецоборудования штурмовика были признаны нормальными и обеспечивающими боевое применения самолета.</w:t>
      </w:r>
    </w:p>
    <w:p w14:paraId="50E8DDF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заключение акта по государственным испытаниям/утвержденным Главным инженером ВВС КА генералом А. И. Репиным 15 июня 42-го, рекомендовалось после устранения выявленных дефектов поставить Су-б М-71 в небольшую серию, а окончательный вывод о боевых свойствах самолета сделать после проведения войсковых испытаний. Однако самолет в серии по-прежнему не строился.</w:t>
      </w:r>
    </w:p>
    <w:p w14:paraId="10991AF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этой ситуации П.О. Сухим было принято решение об установке на самолете Су-б М-71 двух крыльевых пушек калибра 37 мм вместо ВЯ-23.</w:t>
      </w:r>
    </w:p>
    <w:p w14:paraId="5CAD1AD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первом экземпляре - пушки А.Э.Нудельмана и А.С.Суранова 11П-37 ОКБ-16 (80 снарядов). Срок готовности - ноябрь 1942 г.</w:t>
      </w:r>
    </w:p>
    <w:p w14:paraId="77EBE6D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втором экземпляре - пушки Б.Г.Шпитального Ш-37 ОКБ-15 (80 снарядов). Срок готовности - декабрь 1942 г. При этом, количество пулеметов ШКАС уменьшалось до двух (1500 патронов), а число реактивных снарядов - до шести PC-82.</w:t>
      </w:r>
    </w:p>
    <w:p w14:paraId="300401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с разрешения наркома авиапромышленности А.И.Шахурина ОКБ П.О.Сухого на заводе № 289 дополнительно строило два самолета Су-б с мотором М-71 с бронекор-пусом, включенным в конструкцию самолета и с улучшенным бронированием маслорадиатора и винтомоторной группы.</w:t>
      </w:r>
    </w:p>
    <w:p w14:paraId="24C8CFB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Предусматривалась замена металлических консолей крыла на деревянные.</w:t>
      </w:r>
    </w:p>
    <w:p w14:paraId="46D52A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 состояло из двух пушек 11П-37 ОКБ-16 (80 снарядов), двух ШКАС (1500 патронов), 200 кг бомб (в перегрузку 400 кг) и шесть PC-82 (9649).</w:t>
      </w:r>
    </w:p>
    <w:p w14:paraId="7AD4B8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A870F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К середине июня Су-6 М-71 прошли дополнительные госу</w:t>
      </w:r>
      <w:r w:rsidRPr="008127F8">
        <w:rPr>
          <w:rFonts w:ascii="Times New Roman" w:hAnsi="Times New Roman"/>
          <w:color w:val="000000" w:themeColor="text1"/>
          <w:sz w:val="16"/>
          <w:szCs w:val="16"/>
        </w:rPr>
        <w:softHyphen/>
        <w:t>дарственные испытания, целью которых являлась оценка ра</w:t>
      </w:r>
      <w:r w:rsidRPr="008127F8">
        <w:rPr>
          <w:rFonts w:ascii="Times New Roman" w:hAnsi="Times New Roman"/>
          <w:color w:val="000000" w:themeColor="text1"/>
          <w:sz w:val="16"/>
          <w:szCs w:val="16"/>
        </w:rPr>
        <w:softHyphen/>
        <w:t>боты фото-, радио-, электро- и другого спецоборудования са</w:t>
      </w:r>
      <w:r w:rsidRPr="008127F8">
        <w:rPr>
          <w:rFonts w:ascii="Times New Roman" w:hAnsi="Times New Roman"/>
          <w:color w:val="000000" w:themeColor="text1"/>
          <w:sz w:val="16"/>
          <w:szCs w:val="16"/>
        </w:rPr>
        <w:softHyphen/>
        <w:t>молета, температурных режимов работы винтомоторной груп</w:t>
      </w:r>
      <w:r w:rsidRPr="008127F8">
        <w:rPr>
          <w:rFonts w:ascii="Times New Roman" w:hAnsi="Times New Roman"/>
          <w:color w:val="000000" w:themeColor="text1"/>
          <w:sz w:val="16"/>
          <w:szCs w:val="16"/>
        </w:rPr>
        <w:softHyphen/>
        <w:t>пы, а также проверка надежности и безотказности работы кассет мелких бомб производства завода № 289.</w:t>
      </w:r>
    </w:p>
    <w:p w14:paraId="5202058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Установка на самолете кассет мелких бомб в целом повы</w:t>
      </w:r>
      <w:r w:rsidRPr="008127F8">
        <w:rPr>
          <w:rFonts w:ascii="Times New Roman" w:hAnsi="Times New Roman"/>
          <w:color w:val="000000" w:themeColor="text1"/>
          <w:sz w:val="16"/>
          <w:szCs w:val="16"/>
        </w:rPr>
        <w:softHyphen/>
        <w:t>сила боевую эффективность штурмовика, главным образом в результате расширения номенклатуры применяемых авиабомб (стало возможным использовать мелкие осколочные и зажига</w:t>
      </w:r>
      <w:r w:rsidRPr="008127F8">
        <w:rPr>
          <w:rFonts w:ascii="Times New Roman" w:hAnsi="Times New Roman"/>
          <w:color w:val="000000" w:themeColor="text1"/>
          <w:sz w:val="16"/>
          <w:szCs w:val="16"/>
        </w:rPr>
        <w:softHyphen/>
        <w:t>тельные авиабомбы, а также химампулы с зажигательной сме</w:t>
      </w:r>
      <w:r w:rsidRPr="008127F8">
        <w:rPr>
          <w:rFonts w:ascii="Times New Roman" w:hAnsi="Times New Roman"/>
          <w:color w:val="000000" w:themeColor="text1"/>
          <w:sz w:val="16"/>
          <w:szCs w:val="16"/>
        </w:rPr>
        <w:softHyphen/>
        <w:t>сью). За все время испытаний кассеты ни разу не отказали и показали себя как надежное и высокоэффективное боевое средство.</w:t>
      </w:r>
    </w:p>
    <w:p w14:paraId="3299D69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 винтомоторной группы и спецоборудования штур</w:t>
      </w:r>
      <w:r w:rsidRPr="008127F8">
        <w:rPr>
          <w:rFonts w:ascii="Times New Roman" w:hAnsi="Times New Roman"/>
          <w:color w:val="000000" w:themeColor="text1"/>
          <w:sz w:val="16"/>
          <w:szCs w:val="16"/>
        </w:rPr>
        <w:softHyphen/>
        <w:t>мовика была признана нормальной и обеспечивающей боевое применение самолета.</w:t>
      </w:r>
    </w:p>
    <w:p w14:paraId="52C9551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заключении Акта по государственным испытаниям, утвер</w:t>
      </w:r>
      <w:r w:rsidRPr="008127F8">
        <w:rPr>
          <w:rFonts w:ascii="Times New Roman" w:hAnsi="Times New Roman"/>
          <w:color w:val="000000" w:themeColor="text1"/>
          <w:sz w:val="16"/>
          <w:szCs w:val="16"/>
        </w:rPr>
        <w:softHyphen/>
        <w:t>жденного Главным инженером ВВС КА генералом А.К. Репи</w:t>
      </w:r>
      <w:r w:rsidRPr="008127F8">
        <w:rPr>
          <w:rFonts w:ascii="Times New Roman" w:hAnsi="Times New Roman"/>
          <w:color w:val="000000" w:themeColor="text1"/>
          <w:sz w:val="16"/>
          <w:szCs w:val="16"/>
        </w:rPr>
        <w:softHyphen/>
        <w:t>ным 15 июня, рекомендовалось после устранения выявленных дефектов поставить Су-6 М-71 в небольшую серию, а оконча</w:t>
      </w:r>
      <w:r w:rsidRPr="008127F8">
        <w:rPr>
          <w:rFonts w:ascii="Times New Roman" w:hAnsi="Times New Roman"/>
          <w:color w:val="000000" w:themeColor="text1"/>
          <w:sz w:val="16"/>
          <w:szCs w:val="16"/>
        </w:rPr>
        <w:softHyphen/>
        <w:t>тельный вывод о боевых свойствах самолета сделать после про</w:t>
      </w:r>
      <w:r w:rsidRPr="008127F8">
        <w:rPr>
          <w:rFonts w:ascii="Times New Roman" w:hAnsi="Times New Roman"/>
          <w:color w:val="000000" w:themeColor="text1"/>
          <w:sz w:val="16"/>
          <w:szCs w:val="16"/>
        </w:rPr>
        <w:softHyphen/>
        <w:t>ведения войсковых испытаний.</w:t>
      </w:r>
    </w:p>
    <w:p w14:paraId="10D11F3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Соответствующий доклад по результатам государственных испытаний Су-6 М-71 был направлен и на имя И.В. Сталина. В докладе командование ВВС КА просило разрешить выпуск войсковой серии Су-6 М-71, «как крайне необходимого ВВС самолета».</w:t>
      </w:r>
    </w:p>
    <w:p w14:paraId="41A7DAC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проекте Постановления ГКО указывалось, что скорость Су-6 М-71 войсковой серии будет составлять: у земли 460 км/ч (на форсаже 500 км/ч), на высоте 5600 м — 550 км/ч, посадочная — 148 км/ч. Дальность полета на скорости 0,9 Углах - 700 км.</w:t>
      </w:r>
    </w:p>
    <w:p w14:paraId="5F819F1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 войскового «сухого» предполагалось несколько усилить. За счет уменьшения боекомплекта к пушкам ВЯ-23 до 80 снарядов на ствол и нормального веса бомбовой нагрузки до 150 кг планировалось увеличить до шести количество пулеметов ШКАС (по 800 патронов на ствол): четыре крыльевых и два синхронных (в центроплане). Ракетное вооружение включало 10 РС-82 или (вместо бомб) 10 РС-132. Вес бомбовой нагрузки в перегрузку допускался до 400 кг (калибр от 1,5 до 100 кг).</w:t>
      </w:r>
    </w:p>
    <w:p w14:paraId="0AC0630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Система бронирования должна была обеспечивать защиту экипажа и жизненно важных частей конструкции самолета от бронебойных пуль калибра 12,7 мм. При этом броня выноси</w:t>
      </w:r>
      <w:r w:rsidRPr="008127F8">
        <w:rPr>
          <w:rFonts w:ascii="Times New Roman" w:hAnsi="Times New Roman"/>
          <w:color w:val="000000" w:themeColor="text1"/>
          <w:sz w:val="16"/>
          <w:szCs w:val="16"/>
        </w:rPr>
        <w:softHyphen/>
        <w:t>лась наружу, «согласно схеме, утвержденной ВВС».</w:t>
      </w:r>
    </w:p>
    <w:p w14:paraId="11A32C0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25 самолетов Су-6 М-71 войсковой серии планирова</w:t>
      </w:r>
      <w:r w:rsidRPr="008127F8">
        <w:rPr>
          <w:rFonts w:ascii="Times New Roman" w:hAnsi="Times New Roman"/>
          <w:color w:val="000000" w:themeColor="text1"/>
          <w:sz w:val="16"/>
          <w:szCs w:val="16"/>
        </w:rPr>
        <w:softHyphen/>
        <w:t>лось построить до 1 декабря 1942 г.</w:t>
      </w:r>
    </w:p>
    <w:p w14:paraId="3BDCDC6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войсковую серию Су-6 так и не построили. Фор</w:t>
      </w:r>
      <w:r w:rsidRPr="008127F8">
        <w:rPr>
          <w:rFonts w:ascii="Times New Roman" w:hAnsi="Times New Roman"/>
          <w:color w:val="000000" w:themeColor="text1"/>
          <w:sz w:val="16"/>
          <w:szCs w:val="16"/>
        </w:rPr>
        <w:softHyphen/>
        <w:t>мально, из-за трудностей с обеспечением моторами М-71, по</w:t>
      </w:r>
      <w:r w:rsidRPr="008127F8">
        <w:rPr>
          <w:rFonts w:ascii="Times New Roman" w:hAnsi="Times New Roman"/>
          <w:color w:val="000000" w:themeColor="text1"/>
          <w:sz w:val="16"/>
          <w:szCs w:val="16"/>
        </w:rPr>
        <w:softHyphen/>
        <w:t>скольку он выпускался малой серией, а увеличение его произ</w:t>
      </w:r>
      <w:r w:rsidRPr="008127F8">
        <w:rPr>
          <w:rFonts w:ascii="Times New Roman" w:hAnsi="Times New Roman"/>
          <w:color w:val="000000" w:themeColor="text1"/>
          <w:sz w:val="16"/>
          <w:szCs w:val="16"/>
        </w:rPr>
        <w:softHyphen/>
        <w:t>водства в планы руководства НКАП не входило (11474,412).</w:t>
      </w:r>
    </w:p>
    <w:p w14:paraId="22FFA59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818E91"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К середине июня 1942 г. в НИИ ВВС весьма успешно прошел государственные испытания бро</w:t>
      </w:r>
      <w:r w:rsidRPr="008127F8">
        <w:rPr>
          <w:color w:val="000000" w:themeColor="text1"/>
          <w:sz w:val="16"/>
          <w:szCs w:val="16"/>
        </w:rPr>
        <w:softHyphen/>
        <w:t>нированный штурмовик Су-6 М-71 конструкции ОКБ П. О. Сухого.</w:t>
      </w:r>
    </w:p>
    <w:p w14:paraId="3947274B"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Вооружение самолета включало 2 пушки ВЯ, 2 пулемета ШКАС, 10 РО-132 и 200 кг бомб (в пере</w:t>
      </w:r>
      <w:r w:rsidRPr="008127F8">
        <w:rPr>
          <w:color w:val="000000" w:themeColor="text1"/>
          <w:sz w:val="16"/>
          <w:szCs w:val="16"/>
        </w:rPr>
        <w:softHyphen/>
        <w:t>грузку 400 кг). С нормальной боевой нагрузкой са</w:t>
      </w:r>
      <w:r w:rsidRPr="008127F8">
        <w:rPr>
          <w:color w:val="000000" w:themeColor="text1"/>
          <w:sz w:val="16"/>
          <w:szCs w:val="16"/>
        </w:rPr>
        <w:softHyphen/>
        <w:t>молет развивал у земли скорость 445 км/ч, на вы</w:t>
      </w:r>
      <w:r w:rsidRPr="008127F8">
        <w:rPr>
          <w:color w:val="000000" w:themeColor="text1"/>
          <w:sz w:val="16"/>
          <w:szCs w:val="16"/>
        </w:rPr>
        <w:softHyphen/>
        <w:t>соте 2500 м — 491 км/ч. Время подъема на высоту 1000 м было не больше 1,7 мин. Дальность полета на высоте 670 м и скорости 360 км/ч — 576 км.</w:t>
      </w:r>
    </w:p>
    <w:p w14:paraId="79BB412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Летные данные и маневренные качества Су-6 оказались значительно выше, чем у серийно</w:t>
      </w:r>
      <w:r w:rsidRPr="008127F8">
        <w:rPr>
          <w:rFonts w:ascii="Times New Roman" w:hAnsi="Times New Roman"/>
          <w:color w:val="000000" w:themeColor="text1"/>
          <w:sz w:val="16"/>
          <w:szCs w:val="16"/>
        </w:rPr>
        <w:softHyphen/>
        <w:t>го штурмовика Ил-2 АМ-38.</w:t>
      </w:r>
    </w:p>
    <w:p w14:paraId="1FC09938"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Даже с 400 кг бомб и 10 РС-132 Су-6 превосходил Ил-2 по всем опреде</w:t>
      </w:r>
      <w:r w:rsidRPr="008127F8">
        <w:rPr>
          <w:color w:val="000000" w:themeColor="text1"/>
          <w:sz w:val="16"/>
          <w:szCs w:val="16"/>
        </w:rPr>
        <w:softHyphen/>
        <w:t>ляющим летно-боевым показателям.</w:t>
      </w:r>
    </w:p>
    <w:p w14:paraId="3AC2B79C"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Отмечалось, что схема бронирования (общий вес брони 660 кг) надежно защищает от пуль кали</w:t>
      </w:r>
      <w:r w:rsidRPr="008127F8">
        <w:rPr>
          <w:color w:val="000000" w:themeColor="text1"/>
          <w:sz w:val="16"/>
          <w:szCs w:val="16"/>
        </w:rPr>
        <w:softHyphen/>
        <w:t>бра 12,7 мм и осколков зенитных снарядов.</w:t>
      </w:r>
    </w:p>
    <w:p w14:paraId="5B0AB356"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Другими словами, Су-6 имел повышенную бое</w:t>
      </w:r>
      <w:r w:rsidRPr="008127F8">
        <w:rPr>
          <w:color w:val="000000" w:themeColor="text1"/>
          <w:sz w:val="16"/>
          <w:szCs w:val="16"/>
        </w:rPr>
        <w:softHyphen/>
        <w:t>вую эффективность главным образом за счет луч</w:t>
      </w:r>
      <w:r w:rsidRPr="008127F8">
        <w:rPr>
          <w:color w:val="000000" w:themeColor="text1"/>
          <w:sz w:val="16"/>
          <w:szCs w:val="16"/>
        </w:rPr>
        <w:softHyphen/>
        <w:t>шей «подвижности» над полем боя и более высо</w:t>
      </w:r>
      <w:r w:rsidRPr="008127F8">
        <w:rPr>
          <w:color w:val="000000" w:themeColor="text1"/>
          <w:sz w:val="16"/>
          <w:szCs w:val="16"/>
        </w:rPr>
        <w:softHyphen/>
        <w:t>кого уровня защиты при почти равном с Ил-2 во</w:t>
      </w:r>
      <w:r w:rsidRPr="008127F8">
        <w:rPr>
          <w:color w:val="000000" w:themeColor="text1"/>
          <w:sz w:val="16"/>
          <w:szCs w:val="16"/>
        </w:rPr>
        <w:softHyphen/>
        <w:t>оружении.</w:t>
      </w:r>
    </w:p>
    <w:p w14:paraId="448ED803"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заключении Акта по государственным испы</w:t>
      </w:r>
      <w:r w:rsidRPr="008127F8">
        <w:rPr>
          <w:color w:val="000000" w:themeColor="text1"/>
          <w:sz w:val="16"/>
          <w:szCs w:val="16"/>
        </w:rPr>
        <w:softHyphen/>
        <w:t>таниям, утвержденным главным инженером ВВС КА генерал-лейтенантом А. К. Репиным 15 июня 1942 г., рекомендовалось поставить Су-6 М-71 в не</w:t>
      </w:r>
      <w:r w:rsidRPr="008127F8">
        <w:rPr>
          <w:color w:val="000000" w:themeColor="text1"/>
          <w:sz w:val="16"/>
          <w:szCs w:val="16"/>
        </w:rPr>
        <w:softHyphen/>
        <w:t>большую серию, а окончательный вывод о боевых свойствах самолета сделать после проведения войсковых испытаний.</w:t>
      </w:r>
    </w:p>
    <w:p w14:paraId="3701C8E7"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Соответствующий доклад был направлен на имя И. В. Сталина. В нем командование ВВС КА проси</w:t>
      </w:r>
      <w:r w:rsidRPr="008127F8">
        <w:rPr>
          <w:color w:val="000000" w:themeColor="text1"/>
          <w:sz w:val="16"/>
          <w:szCs w:val="16"/>
        </w:rPr>
        <w:softHyphen/>
        <w:t>ло разрешить выпуск войсковой се</w:t>
      </w:r>
      <w:r w:rsidRPr="008127F8">
        <w:rPr>
          <w:color w:val="000000" w:themeColor="text1"/>
          <w:sz w:val="16"/>
          <w:szCs w:val="16"/>
        </w:rPr>
        <w:softHyphen/>
        <w:t>рии Су-6 «как крайне необходимого ВВС самолета».</w:t>
      </w:r>
    </w:p>
    <w:p w14:paraId="5A850947"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Тем временем, учитывая требо</w:t>
      </w:r>
      <w:r w:rsidRPr="008127F8">
        <w:rPr>
          <w:color w:val="000000" w:themeColor="text1"/>
          <w:sz w:val="16"/>
          <w:szCs w:val="16"/>
        </w:rPr>
        <w:softHyphen/>
        <w:t>вания войны, П. О. Сухой принимает решение усилить противотанковую компоненту Су-6, установив на не</w:t>
      </w:r>
      <w:r w:rsidRPr="008127F8">
        <w:rPr>
          <w:color w:val="000000" w:themeColor="text1"/>
          <w:sz w:val="16"/>
          <w:szCs w:val="16"/>
        </w:rPr>
        <w:softHyphen/>
        <w:t>го 2 пушки калибра 37 мм: на 1-й экземпляр — пушки 11П, на 2-й эк</w:t>
      </w:r>
      <w:r w:rsidRPr="008127F8">
        <w:rPr>
          <w:color w:val="000000" w:themeColor="text1"/>
          <w:sz w:val="16"/>
          <w:szCs w:val="16"/>
        </w:rPr>
        <w:softHyphen/>
        <w:t>земпляр — пушки Ш-37. При этом количество пулеметов ШКАС сокра</w:t>
      </w:r>
      <w:r w:rsidRPr="008127F8">
        <w:rPr>
          <w:color w:val="000000" w:themeColor="text1"/>
          <w:sz w:val="16"/>
          <w:szCs w:val="16"/>
        </w:rPr>
        <w:softHyphen/>
        <w:t>щалось до 2, а ракетных орудий — до 6 РО-82. Боезапас к пушкам включал 80 снарядов, а к пулеме</w:t>
      </w:r>
      <w:r w:rsidRPr="008127F8">
        <w:rPr>
          <w:color w:val="000000" w:themeColor="text1"/>
          <w:sz w:val="16"/>
          <w:szCs w:val="16"/>
        </w:rPr>
        <w:softHyphen/>
        <w:t>там — 1500 патронов. Бомбовая на</w:t>
      </w:r>
      <w:r w:rsidRPr="008127F8">
        <w:rPr>
          <w:color w:val="000000" w:themeColor="text1"/>
          <w:sz w:val="16"/>
          <w:szCs w:val="16"/>
        </w:rPr>
        <w:softHyphen/>
        <w:t>грузка оставалась без изменений. Кроме этого, самолеты планирова</w:t>
      </w:r>
      <w:r w:rsidRPr="008127F8">
        <w:rPr>
          <w:color w:val="000000" w:themeColor="text1"/>
          <w:sz w:val="16"/>
          <w:szCs w:val="16"/>
        </w:rPr>
        <w:softHyphen/>
        <w:t>лось оснастить форсированными моторами М-71ф. Срок готовности 1-го экземпляра устанавливался — ноябрь, а 2-го — декабрь 1942 г. (17500).</w:t>
      </w:r>
    </w:p>
    <w:p w14:paraId="3CC1CDF2" w14:textId="77777777" w:rsidR="007C5583" w:rsidRPr="0009674D" w:rsidRDefault="007C5583" w:rsidP="0009674D">
      <w:pPr>
        <w:spacing w:after="0" w:line="240" w:lineRule="auto"/>
        <w:rPr>
          <w:rFonts w:ascii="Times New Roman" w:hAnsi="Times New Roman"/>
          <w:sz w:val="16"/>
          <w:szCs w:val="16"/>
        </w:rPr>
      </w:pPr>
    </w:p>
    <w:p w14:paraId="72069EFE" w14:textId="77777777" w:rsidR="007C5583" w:rsidRPr="0009674D" w:rsidRDefault="007C5583" w:rsidP="0009674D">
      <w:pPr>
        <w:spacing w:after="0" w:line="240" w:lineRule="auto"/>
        <w:rPr>
          <w:rFonts w:ascii="Times New Roman" w:hAnsi="Times New Roman"/>
          <w:sz w:val="16"/>
          <w:szCs w:val="16"/>
        </w:rPr>
      </w:pPr>
      <w:r w:rsidRPr="0009674D">
        <w:rPr>
          <w:rFonts w:ascii="Times New Roman" w:hAnsi="Times New Roman"/>
          <w:sz w:val="16"/>
          <w:szCs w:val="16"/>
        </w:rPr>
        <w:t>К середине июня 1942 Су-6 М-71 прошел дополнительные государственные испы</w:t>
      </w:r>
      <w:r w:rsidRPr="0009674D">
        <w:rPr>
          <w:rFonts w:ascii="Times New Roman" w:hAnsi="Times New Roman"/>
          <w:sz w:val="16"/>
          <w:szCs w:val="16"/>
        </w:rPr>
        <w:softHyphen/>
        <w:t>тания, целью которых являлась оценка ра</w:t>
      </w:r>
      <w:r w:rsidRPr="0009674D">
        <w:rPr>
          <w:rFonts w:ascii="Times New Roman" w:hAnsi="Times New Roman"/>
          <w:sz w:val="16"/>
          <w:szCs w:val="16"/>
        </w:rPr>
        <w:softHyphen/>
        <w:t>боты фото-, радио-, электро- и другого спе</w:t>
      </w:r>
      <w:r w:rsidRPr="0009674D">
        <w:rPr>
          <w:rFonts w:ascii="Times New Roman" w:hAnsi="Times New Roman"/>
          <w:sz w:val="16"/>
          <w:szCs w:val="16"/>
        </w:rPr>
        <w:softHyphen/>
        <w:t>цоборудования самолета, температурных режимов работы винтомоторной группы, а также проверка надежности и безотказно</w:t>
      </w:r>
      <w:r w:rsidRPr="0009674D">
        <w:rPr>
          <w:rFonts w:ascii="Times New Roman" w:hAnsi="Times New Roman"/>
          <w:sz w:val="16"/>
          <w:szCs w:val="16"/>
        </w:rPr>
        <w:softHyphen/>
        <w:t>сти работы синхронных пулеметных уста</w:t>
      </w:r>
      <w:r w:rsidRPr="0009674D">
        <w:rPr>
          <w:rFonts w:ascii="Times New Roman" w:hAnsi="Times New Roman"/>
          <w:sz w:val="16"/>
          <w:szCs w:val="16"/>
        </w:rPr>
        <w:softHyphen/>
        <w:t>новок и кассет мелких бомб. Самолет нем</w:t>
      </w:r>
      <w:r w:rsidRPr="0009674D">
        <w:rPr>
          <w:rFonts w:ascii="Times New Roman" w:hAnsi="Times New Roman"/>
          <w:sz w:val="16"/>
          <w:szCs w:val="16"/>
        </w:rPr>
        <w:softHyphen/>
        <w:t>ного доработали по результатам предыду</w:t>
      </w:r>
      <w:r w:rsidRPr="0009674D">
        <w:rPr>
          <w:rFonts w:ascii="Times New Roman" w:hAnsi="Times New Roman"/>
          <w:sz w:val="16"/>
          <w:szCs w:val="16"/>
        </w:rPr>
        <w:softHyphen/>
        <w:t>щей серии испытаний. В частности, сиде</w:t>
      </w:r>
      <w:r w:rsidRPr="0009674D">
        <w:rPr>
          <w:rFonts w:ascii="Times New Roman" w:hAnsi="Times New Roman"/>
          <w:sz w:val="16"/>
          <w:szCs w:val="16"/>
        </w:rPr>
        <w:softHyphen/>
        <w:t>нье летчика подняли на 35 мм, за счет чего улучшился обзор вперед и вниз.</w:t>
      </w:r>
    </w:p>
    <w:p w14:paraId="030E6D90" w14:textId="77777777" w:rsidR="007C5583" w:rsidRPr="0009674D" w:rsidRDefault="007C5583" w:rsidP="0009674D">
      <w:pPr>
        <w:spacing w:after="0" w:line="240" w:lineRule="auto"/>
        <w:rPr>
          <w:rFonts w:ascii="Times New Roman" w:hAnsi="Times New Roman"/>
          <w:sz w:val="16"/>
          <w:szCs w:val="16"/>
        </w:rPr>
      </w:pPr>
      <w:r w:rsidRPr="0009674D">
        <w:rPr>
          <w:rFonts w:ascii="Times New Roman" w:hAnsi="Times New Roman"/>
          <w:sz w:val="16"/>
          <w:szCs w:val="16"/>
        </w:rPr>
        <w:t>Как и прежде, ответственным испол</w:t>
      </w:r>
      <w:r w:rsidRPr="0009674D">
        <w:rPr>
          <w:rFonts w:ascii="Times New Roman" w:hAnsi="Times New Roman"/>
          <w:sz w:val="16"/>
          <w:szCs w:val="16"/>
        </w:rPr>
        <w:softHyphen/>
        <w:t>нителем по испытаниям был военинженер 1-го ранга Калилец, ведущим инжене</w:t>
      </w:r>
      <w:r w:rsidRPr="0009674D">
        <w:rPr>
          <w:rFonts w:ascii="Times New Roman" w:hAnsi="Times New Roman"/>
          <w:sz w:val="16"/>
          <w:szCs w:val="16"/>
        </w:rPr>
        <w:softHyphen/>
        <w:t>ром военинженер 2-го ранга Синельников и ведущим летчиком майор Долгов. Само</w:t>
      </w:r>
      <w:r w:rsidRPr="0009674D">
        <w:rPr>
          <w:rFonts w:ascii="Times New Roman" w:hAnsi="Times New Roman"/>
          <w:sz w:val="16"/>
          <w:szCs w:val="16"/>
        </w:rPr>
        <w:softHyphen/>
        <w:t>лет облетали майор М.А. Нюхтиков и ка</w:t>
      </w:r>
      <w:r w:rsidRPr="0009674D">
        <w:rPr>
          <w:rFonts w:ascii="Times New Roman" w:hAnsi="Times New Roman"/>
          <w:sz w:val="16"/>
          <w:szCs w:val="16"/>
        </w:rPr>
        <w:softHyphen/>
        <w:t>питан С.М. Коробов.</w:t>
      </w:r>
    </w:p>
    <w:p w14:paraId="5B8DE761" w14:textId="77777777" w:rsidR="007C5583" w:rsidRPr="0009674D" w:rsidRDefault="007C5583" w:rsidP="0009674D">
      <w:pPr>
        <w:spacing w:after="0" w:line="240" w:lineRule="auto"/>
        <w:rPr>
          <w:rFonts w:ascii="Times New Roman" w:hAnsi="Times New Roman"/>
          <w:sz w:val="16"/>
          <w:szCs w:val="16"/>
        </w:rPr>
      </w:pPr>
      <w:r w:rsidRPr="0009674D">
        <w:rPr>
          <w:rFonts w:ascii="Times New Roman" w:hAnsi="Times New Roman"/>
          <w:sz w:val="16"/>
          <w:szCs w:val="16"/>
        </w:rPr>
        <w:t>За все время испытаний кассеты мел</w:t>
      </w:r>
      <w:r w:rsidRPr="0009674D">
        <w:rPr>
          <w:rFonts w:ascii="Times New Roman" w:hAnsi="Times New Roman"/>
          <w:sz w:val="16"/>
          <w:szCs w:val="16"/>
        </w:rPr>
        <w:softHyphen/>
        <w:t>ких бомб ни разу не отказали и показали себя как надежное и высокоэффективное боевое средство.</w:t>
      </w:r>
    </w:p>
    <w:p w14:paraId="6DF26BAD" w14:textId="77777777" w:rsidR="007C5583" w:rsidRPr="0009674D" w:rsidRDefault="007C5583" w:rsidP="0009674D">
      <w:pPr>
        <w:spacing w:after="0" w:line="240" w:lineRule="auto"/>
        <w:rPr>
          <w:rFonts w:ascii="Times New Roman" w:hAnsi="Times New Roman"/>
          <w:sz w:val="16"/>
          <w:szCs w:val="16"/>
        </w:rPr>
      </w:pPr>
      <w:r w:rsidRPr="0009674D">
        <w:rPr>
          <w:rFonts w:ascii="Times New Roman" w:hAnsi="Times New Roman"/>
          <w:sz w:val="16"/>
          <w:szCs w:val="16"/>
        </w:rPr>
        <w:t>В противовес им синхронные пуле</w:t>
      </w:r>
      <w:r w:rsidRPr="0009674D">
        <w:rPr>
          <w:rFonts w:ascii="Times New Roman" w:hAnsi="Times New Roman"/>
          <w:sz w:val="16"/>
          <w:szCs w:val="16"/>
        </w:rPr>
        <w:softHyphen/>
        <w:t>метные установки испытаний не выдер</w:t>
      </w:r>
      <w:r w:rsidRPr="0009674D">
        <w:rPr>
          <w:rFonts w:ascii="Times New Roman" w:hAnsi="Times New Roman"/>
          <w:sz w:val="16"/>
          <w:szCs w:val="16"/>
        </w:rPr>
        <w:softHyphen/>
        <w:t>жали. На 4900 выстрелов было получено 10 задержек, в том числе: 6 - по вине установок, 4 - по вине оружия. Кроме того, установки не гарантировали от прострела воздушного винта («установка не обеспечивает точной регулировки момента выстрела»), К тому же пневмосистема перезарядки работала неудов</w:t>
      </w:r>
      <w:r w:rsidRPr="0009674D">
        <w:rPr>
          <w:rFonts w:ascii="Times New Roman" w:hAnsi="Times New Roman"/>
          <w:sz w:val="16"/>
          <w:szCs w:val="16"/>
        </w:rPr>
        <w:softHyphen/>
        <w:t>летворительно.</w:t>
      </w:r>
    </w:p>
    <w:p w14:paraId="0819AADC" w14:textId="77777777" w:rsidR="007C5583" w:rsidRPr="0009674D" w:rsidRDefault="007C5583" w:rsidP="0009674D">
      <w:pPr>
        <w:spacing w:after="0" w:line="240" w:lineRule="auto"/>
        <w:rPr>
          <w:rFonts w:ascii="Times New Roman" w:hAnsi="Times New Roman"/>
          <w:sz w:val="16"/>
          <w:szCs w:val="16"/>
        </w:rPr>
      </w:pPr>
      <w:r w:rsidRPr="0009674D">
        <w:rPr>
          <w:rFonts w:ascii="Times New Roman" w:hAnsi="Times New Roman"/>
          <w:sz w:val="16"/>
          <w:szCs w:val="16"/>
        </w:rPr>
        <w:t>Работа винтомоторной группы и спе</w:t>
      </w:r>
      <w:r w:rsidRPr="0009674D">
        <w:rPr>
          <w:rFonts w:ascii="Times New Roman" w:hAnsi="Times New Roman"/>
          <w:sz w:val="16"/>
          <w:szCs w:val="16"/>
        </w:rPr>
        <w:softHyphen/>
        <w:t>цоборудования была признана нормаль</w:t>
      </w:r>
      <w:r w:rsidRPr="0009674D">
        <w:rPr>
          <w:rFonts w:ascii="Times New Roman" w:hAnsi="Times New Roman"/>
          <w:sz w:val="16"/>
          <w:szCs w:val="16"/>
        </w:rPr>
        <w:softHyphen/>
        <w:t>ной и обеспечивающей боевое примене</w:t>
      </w:r>
      <w:r w:rsidRPr="0009674D">
        <w:rPr>
          <w:rFonts w:ascii="Times New Roman" w:hAnsi="Times New Roman"/>
          <w:sz w:val="16"/>
          <w:szCs w:val="16"/>
        </w:rPr>
        <w:softHyphen/>
        <w:t>ние самолета.</w:t>
      </w:r>
    </w:p>
    <w:p w14:paraId="5BBC79AF" w14:textId="77777777" w:rsidR="007C5583" w:rsidRPr="0009674D" w:rsidRDefault="007C5583" w:rsidP="0009674D">
      <w:pPr>
        <w:spacing w:after="0" w:line="240" w:lineRule="auto"/>
        <w:rPr>
          <w:rFonts w:ascii="Times New Roman" w:hAnsi="Times New Roman"/>
          <w:sz w:val="16"/>
          <w:szCs w:val="16"/>
        </w:rPr>
      </w:pPr>
      <w:r w:rsidRPr="0009674D">
        <w:rPr>
          <w:rFonts w:ascii="Times New Roman" w:hAnsi="Times New Roman"/>
          <w:sz w:val="16"/>
          <w:szCs w:val="16"/>
        </w:rPr>
        <w:t>Отмечалось, что существующая на Су-6 М-71 гидравлическая система не обеспечивает надежный выпуск шасси в летнее время из-за перегрева гидрав</w:t>
      </w:r>
      <w:r w:rsidRPr="0009674D">
        <w:rPr>
          <w:rFonts w:ascii="Times New Roman" w:hAnsi="Times New Roman"/>
          <w:sz w:val="16"/>
          <w:szCs w:val="16"/>
        </w:rPr>
        <w:softHyphen/>
        <w:t>лической смеси (19846).</w:t>
      </w:r>
    </w:p>
    <w:p w14:paraId="68951E84" w14:textId="77777777" w:rsidR="007C5583" w:rsidRPr="0009674D" w:rsidRDefault="007C5583" w:rsidP="0009674D">
      <w:pPr>
        <w:spacing w:after="0" w:line="240" w:lineRule="auto"/>
        <w:rPr>
          <w:rFonts w:ascii="Times New Roman" w:hAnsi="Times New Roman"/>
          <w:sz w:val="16"/>
          <w:szCs w:val="16"/>
        </w:rPr>
      </w:pPr>
    </w:p>
    <w:p w14:paraId="3BC09607" w14:textId="77777777" w:rsidR="007C5583" w:rsidRPr="008127F8" w:rsidRDefault="007C5583" w:rsidP="007C5583">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К середине июня 1942 одноместный Су-6 М-71, слегка улучшенный по результатам майских испытаний, прошел дополнительные государственные испытания, целью которых являлась оценка работы фото-, радио-, электро- и другого спецоборудования самолета, температурных режимов работы винтомоторной группы, а также проверка надежности и безотказности работы кассет мелких бомб производства завода №289.</w:t>
      </w:r>
    </w:p>
    <w:p w14:paraId="66486FD8" w14:textId="77777777" w:rsidR="007C5583" w:rsidRPr="008127F8" w:rsidRDefault="007C5583" w:rsidP="007C5583">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Установка на самолет кассет мелких бомб в целом повысила боевую эффективность штурмовика, главным образом, за счет расширения номенклатуры применяемых авиабомб (стало возможным использовать мелкие осколочные и зажигательные авиабомбы, а также химампулы с зажигательной смесью).</w:t>
      </w:r>
    </w:p>
    <w:p w14:paraId="03F7A17E" w14:textId="77777777" w:rsidR="007C5583" w:rsidRPr="008127F8" w:rsidRDefault="007C5583" w:rsidP="007C5583">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За все время испытаний кассеты ни разу не отказали и показали себя как надежное и высокоэффективное боевое средство.</w:t>
      </w:r>
    </w:p>
    <w:p w14:paraId="4DFB0117" w14:textId="77777777" w:rsidR="007C5583" w:rsidRPr="008127F8" w:rsidRDefault="007C5583" w:rsidP="007C5583">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Работа винтомоторной группы и спецоборудования штурмовика были признаны нормальными и обеспечивающими боевое применения самолета.</w:t>
      </w:r>
    </w:p>
    <w:p w14:paraId="3165B08A" w14:textId="77777777" w:rsidR="007C5583" w:rsidRPr="008127F8" w:rsidRDefault="007C5583" w:rsidP="007C5583">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В заключение акта по государственным испытаниям, утвержденным Главным инженером ВВС КА генералом А. И. Репиным 15 июня 42-го, рекомендовалось после устранения выявленных дефектов поставить Су-6 М-71 в небольшую серию, а окончательный вывод о боевых свойствах самолета сделать после проведения войсковых испытаний. Однако самолет в серии по-прежнему не строился (19188).</w:t>
      </w:r>
    </w:p>
    <w:p w14:paraId="2532682A" w14:textId="77777777" w:rsidR="007C5583" w:rsidRPr="008127F8" w:rsidRDefault="007C5583" w:rsidP="007C5583">
      <w:pPr>
        <w:pStyle w:val="af"/>
        <w:shd w:val="clear" w:color="auto" w:fill="FFFFFF"/>
        <w:spacing w:before="0" w:after="0"/>
        <w:jc w:val="both"/>
        <w:textAlignment w:val="baseline"/>
        <w:rPr>
          <w:color w:val="000000" w:themeColor="text1"/>
          <w:sz w:val="16"/>
          <w:szCs w:val="16"/>
        </w:rPr>
      </w:pPr>
    </w:p>
    <w:p w14:paraId="19D2D86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июня 1942 доработанный проект постановления ГКО «О по</w:t>
      </w:r>
      <w:r w:rsidRPr="008127F8">
        <w:rPr>
          <w:rFonts w:ascii="Times New Roman" w:hAnsi="Times New Roman"/>
          <w:color w:val="000000" w:themeColor="text1"/>
          <w:sz w:val="16"/>
          <w:szCs w:val="16"/>
        </w:rPr>
        <w:softHyphen/>
        <w:t>стройке войсковой серии одноме</w:t>
      </w:r>
      <w:r w:rsidRPr="008127F8">
        <w:rPr>
          <w:rFonts w:ascii="Times New Roman" w:hAnsi="Times New Roman"/>
          <w:color w:val="000000" w:themeColor="text1"/>
          <w:sz w:val="16"/>
          <w:szCs w:val="16"/>
        </w:rPr>
        <w:softHyphen/>
        <w:t>стных бронированных штурмовиков Су-6 с М-71 конструктора Сухого», по указанию главного инженера ВВС КА направили для ознакомле</w:t>
      </w:r>
      <w:r w:rsidRPr="008127F8">
        <w:rPr>
          <w:rFonts w:ascii="Times New Roman" w:hAnsi="Times New Roman"/>
          <w:color w:val="000000" w:themeColor="text1"/>
          <w:sz w:val="16"/>
          <w:szCs w:val="16"/>
        </w:rPr>
        <w:softHyphen/>
        <w:t>ния в ЦК ВКП(б), а завод №289 получил от А.И.Шахурина устное распоряжение на постройку к 15 октября 1942 года пяти самолетов Су-6.</w:t>
      </w:r>
    </w:p>
    <w:p w14:paraId="48C54D7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Парторг ЦК ВКП(б) на заводе №289 Х.Р.Муратов, понимая, что опытное производство на заводе не справится с поставленной задачей в установленный срок, предложил два варианта решения данного вопроса и направил их на рассмот</w:t>
      </w:r>
      <w:r w:rsidRPr="008127F8">
        <w:rPr>
          <w:rFonts w:ascii="Times New Roman" w:hAnsi="Times New Roman"/>
          <w:color w:val="000000" w:themeColor="text1"/>
          <w:sz w:val="16"/>
          <w:szCs w:val="16"/>
        </w:rPr>
        <w:softHyphen/>
        <w:t>рение секретарю ЦК ВКП(б) Г.М.Ма</w:t>
      </w:r>
      <w:r w:rsidRPr="008127F8">
        <w:rPr>
          <w:rFonts w:ascii="Times New Roman" w:hAnsi="Times New Roman"/>
          <w:color w:val="000000" w:themeColor="text1"/>
          <w:sz w:val="16"/>
          <w:szCs w:val="16"/>
        </w:rPr>
        <w:softHyphen/>
        <w:t>ленкову и наркому А.И.Шахурину.</w:t>
      </w:r>
    </w:p>
    <w:p w14:paraId="543900A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первом варианте предусмат</w:t>
      </w:r>
      <w:r w:rsidRPr="008127F8">
        <w:rPr>
          <w:rFonts w:ascii="Times New Roman" w:hAnsi="Times New Roman"/>
          <w:color w:val="000000" w:themeColor="text1"/>
          <w:sz w:val="16"/>
          <w:szCs w:val="16"/>
        </w:rPr>
        <w:softHyphen/>
        <w:t>ривался отказ от постройки пяти экземпляров самолета, взамен предлагался запуск Су-6 большой серией на серийном заводе, а за</w:t>
      </w:r>
      <w:r w:rsidRPr="008127F8">
        <w:rPr>
          <w:rFonts w:ascii="Times New Roman" w:hAnsi="Times New Roman"/>
          <w:color w:val="000000" w:themeColor="text1"/>
          <w:sz w:val="16"/>
          <w:szCs w:val="16"/>
        </w:rPr>
        <w:softHyphen/>
        <w:t>вод №289 возвращался на прежнее место базирования - город Кали</w:t>
      </w:r>
      <w:r w:rsidRPr="008127F8">
        <w:rPr>
          <w:rFonts w:ascii="Times New Roman" w:hAnsi="Times New Roman"/>
          <w:color w:val="000000" w:themeColor="text1"/>
          <w:sz w:val="16"/>
          <w:szCs w:val="16"/>
        </w:rPr>
        <w:softHyphen/>
        <w:t>нинград.</w:t>
      </w:r>
    </w:p>
    <w:p w14:paraId="29DBED2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Второй вариант использовался в случае отклонения первого. Он предусматривал постройку пяти эк</w:t>
      </w:r>
      <w:r w:rsidRPr="008127F8">
        <w:rPr>
          <w:rFonts w:ascii="Times New Roman" w:hAnsi="Times New Roman"/>
          <w:color w:val="000000" w:themeColor="text1"/>
          <w:sz w:val="16"/>
          <w:szCs w:val="16"/>
        </w:rPr>
        <w:softHyphen/>
        <w:t>земпляров самолета Су-6 на заво</w:t>
      </w:r>
      <w:r w:rsidRPr="008127F8">
        <w:rPr>
          <w:rFonts w:ascii="Times New Roman" w:hAnsi="Times New Roman"/>
          <w:color w:val="000000" w:themeColor="text1"/>
          <w:sz w:val="16"/>
          <w:szCs w:val="16"/>
        </w:rPr>
        <w:softHyphen/>
        <w:t>де №289 (г. Молотов). При этом отдельные заказы на механические работы размещались на предприя</w:t>
      </w:r>
      <w:r w:rsidRPr="008127F8">
        <w:rPr>
          <w:rFonts w:ascii="Times New Roman" w:hAnsi="Times New Roman"/>
          <w:color w:val="000000" w:themeColor="text1"/>
          <w:sz w:val="16"/>
          <w:szCs w:val="16"/>
        </w:rPr>
        <w:softHyphen/>
        <w:t>тиях НКАП Молотовской области, одновременно увеличивались про</w:t>
      </w:r>
      <w:r w:rsidRPr="008127F8">
        <w:rPr>
          <w:rFonts w:ascii="Times New Roman" w:hAnsi="Times New Roman"/>
          <w:color w:val="000000" w:themeColor="text1"/>
          <w:sz w:val="16"/>
          <w:szCs w:val="16"/>
        </w:rPr>
        <w:softHyphen/>
        <w:t>изводственные площади, восполнял</w:t>
      </w:r>
      <w:r w:rsidRPr="008127F8">
        <w:rPr>
          <w:rFonts w:ascii="Times New Roman" w:hAnsi="Times New Roman"/>
          <w:color w:val="000000" w:themeColor="text1"/>
          <w:sz w:val="16"/>
          <w:szCs w:val="16"/>
        </w:rPr>
        <w:softHyphen/>
        <w:t>ся недостаток квалифицированной рабочей силы, и осуществлялось обязательное финансирование всех работ.</w:t>
      </w:r>
    </w:p>
    <w:p w14:paraId="7524BD4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Реакция Г.М.Маленкова на дан</w:t>
      </w:r>
      <w:r w:rsidRPr="008127F8">
        <w:rPr>
          <w:rFonts w:ascii="Times New Roman" w:hAnsi="Times New Roman"/>
          <w:color w:val="000000" w:themeColor="text1"/>
          <w:sz w:val="16"/>
          <w:szCs w:val="16"/>
        </w:rPr>
        <w:softHyphen/>
        <w:t>ное предложение неизвестна, а по указанию А.И.Шахурина было под</w:t>
      </w:r>
      <w:r w:rsidRPr="008127F8">
        <w:rPr>
          <w:rFonts w:ascii="Times New Roman" w:hAnsi="Times New Roman"/>
          <w:color w:val="000000" w:themeColor="text1"/>
          <w:sz w:val="16"/>
          <w:szCs w:val="16"/>
        </w:rPr>
        <w:softHyphen/>
        <w:t>готовлено письмо на имя И.В.Ста</w:t>
      </w:r>
      <w:r w:rsidRPr="008127F8">
        <w:rPr>
          <w:rFonts w:ascii="Times New Roman" w:hAnsi="Times New Roman"/>
          <w:color w:val="000000" w:themeColor="text1"/>
          <w:sz w:val="16"/>
          <w:szCs w:val="16"/>
        </w:rPr>
        <w:softHyphen/>
        <w:t>лина, следующего содержания:</w:t>
      </w:r>
    </w:p>
    <w:p w14:paraId="1D7DAEF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порядке информации докла</w:t>
      </w:r>
      <w:r w:rsidRPr="008127F8">
        <w:rPr>
          <w:rFonts w:ascii="Times New Roman" w:hAnsi="Times New Roman"/>
          <w:color w:val="000000" w:themeColor="text1"/>
          <w:sz w:val="16"/>
          <w:szCs w:val="16"/>
        </w:rPr>
        <w:softHyphen/>
        <w:t>дываю: по плану опытного строи</w:t>
      </w:r>
      <w:r w:rsidRPr="008127F8">
        <w:rPr>
          <w:rFonts w:ascii="Times New Roman" w:hAnsi="Times New Roman"/>
          <w:color w:val="000000" w:themeColor="text1"/>
          <w:sz w:val="16"/>
          <w:szCs w:val="16"/>
        </w:rPr>
        <w:softHyphen/>
        <w:t>тельства 1941 года конструктором тов. Сухим П.О. выпущен одномес</w:t>
      </w:r>
      <w:r w:rsidRPr="008127F8">
        <w:rPr>
          <w:rFonts w:ascii="Times New Roman" w:hAnsi="Times New Roman"/>
          <w:color w:val="000000" w:themeColor="text1"/>
          <w:sz w:val="16"/>
          <w:szCs w:val="16"/>
        </w:rPr>
        <w:softHyphen/>
        <w:t>тный бронированный штурмовик Су-6 с мотором М-71 (взлетной мощностью 2000 л.с. и мощностью на высоте 2250 м - 1800 л.с.), кото</w:t>
      </w:r>
      <w:r w:rsidRPr="008127F8">
        <w:rPr>
          <w:rFonts w:ascii="Times New Roman" w:hAnsi="Times New Roman"/>
          <w:color w:val="000000" w:themeColor="text1"/>
          <w:sz w:val="16"/>
          <w:szCs w:val="16"/>
        </w:rPr>
        <w:softHyphen/>
        <w:t>рый согласно акта государствен</w:t>
      </w:r>
      <w:r w:rsidRPr="008127F8">
        <w:rPr>
          <w:rFonts w:ascii="Times New Roman" w:hAnsi="Times New Roman"/>
          <w:color w:val="000000" w:themeColor="text1"/>
          <w:sz w:val="16"/>
          <w:szCs w:val="16"/>
        </w:rPr>
        <w:softHyphen/>
        <w:t>ных испытаний НИИ ВВС показал следующие данные:</w:t>
      </w:r>
    </w:p>
    <w:p w14:paraId="79AE553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Максимальная скорость у зем</w:t>
      </w:r>
      <w:r w:rsidRPr="008127F8">
        <w:rPr>
          <w:rFonts w:ascii="Times New Roman" w:hAnsi="Times New Roman"/>
          <w:color w:val="000000" w:themeColor="text1"/>
          <w:sz w:val="16"/>
          <w:szCs w:val="16"/>
        </w:rPr>
        <w:softHyphen/>
        <w:t>ли - 445км/ч.</w:t>
      </w:r>
    </w:p>
    <w:p w14:paraId="3007A86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Максимальная скорость на форсаже - 496 км/ч.</w:t>
      </w:r>
    </w:p>
    <w:p w14:paraId="30D50CE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Максимальная скорость на высоте 2500 м - 491 км/ч.</w:t>
      </w:r>
    </w:p>
    <w:p w14:paraId="785BDED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Дальность на 0,9 максималь</w:t>
      </w:r>
      <w:r w:rsidRPr="008127F8">
        <w:rPr>
          <w:rFonts w:ascii="Times New Roman" w:hAnsi="Times New Roman"/>
          <w:color w:val="000000" w:themeColor="text1"/>
          <w:sz w:val="16"/>
          <w:szCs w:val="16"/>
        </w:rPr>
        <w:softHyphen/>
        <w:t>ной скорости - 450 км. Вооружение:</w:t>
      </w:r>
    </w:p>
    <w:p w14:paraId="777FD1E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- 2 пушки калибра 23 мм</w:t>
      </w:r>
    </w:p>
    <w:p w14:paraId="7DA4DDB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- 4 пулемета калибра 7,62 мм</w:t>
      </w:r>
    </w:p>
    <w:p w14:paraId="38D9A77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- 10 балок РС-132 или РС-82</w:t>
      </w:r>
    </w:p>
    <w:p w14:paraId="10FB5EA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Нормальная бомбовая нагруз</w:t>
      </w:r>
      <w:r w:rsidRPr="008127F8">
        <w:rPr>
          <w:rFonts w:ascii="Times New Roman" w:hAnsi="Times New Roman"/>
          <w:color w:val="000000" w:themeColor="text1"/>
          <w:sz w:val="16"/>
          <w:szCs w:val="16"/>
        </w:rPr>
        <w:softHyphen/>
        <w:t>ка 200 кг, при емкости бомбоотсе-ка - 400 кг.</w:t>
      </w:r>
    </w:p>
    <w:p w14:paraId="166BB46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Предусмотрена подвеска под крыльями 2 бомб по 100 кг или 2 ВАП-200,</w:t>
      </w:r>
    </w:p>
    <w:p w14:paraId="3CF52EB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технике пилотирования са</w:t>
      </w:r>
      <w:r w:rsidRPr="008127F8">
        <w:rPr>
          <w:rFonts w:ascii="Times New Roman" w:hAnsi="Times New Roman"/>
          <w:color w:val="000000" w:themeColor="text1"/>
          <w:sz w:val="16"/>
          <w:szCs w:val="16"/>
        </w:rPr>
        <w:softHyphen/>
        <w:t>молет прост и доступен летчикам средней квалификации, имеет хоро</w:t>
      </w:r>
      <w:r w:rsidRPr="008127F8">
        <w:rPr>
          <w:rFonts w:ascii="Times New Roman" w:hAnsi="Times New Roman"/>
          <w:color w:val="000000" w:themeColor="text1"/>
          <w:sz w:val="16"/>
          <w:szCs w:val="16"/>
        </w:rPr>
        <w:softHyphen/>
        <w:t>шую устойчивость и допускает по</w:t>
      </w:r>
      <w:r w:rsidRPr="008127F8">
        <w:rPr>
          <w:rFonts w:ascii="Times New Roman" w:hAnsi="Times New Roman"/>
          <w:color w:val="000000" w:themeColor="text1"/>
          <w:sz w:val="16"/>
          <w:szCs w:val="16"/>
        </w:rPr>
        <w:softHyphen/>
        <w:t>лет с брошенной ручкой на всех режимах. Бронирование кабины летчика и фонаря осуществляется аналогично самолету Ил-2. Задняя крышка мотора с агрегатами заб</w:t>
      </w:r>
      <w:r w:rsidRPr="008127F8">
        <w:rPr>
          <w:rFonts w:ascii="Times New Roman" w:hAnsi="Times New Roman"/>
          <w:color w:val="000000" w:themeColor="text1"/>
          <w:sz w:val="16"/>
          <w:szCs w:val="16"/>
        </w:rPr>
        <w:softHyphen/>
        <w:t>ронирована, цилиндры мотора не забронированы.</w:t>
      </w:r>
    </w:p>
    <w:p w14:paraId="250EAF2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настоящее время ведутся ра</w:t>
      </w:r>
      <w:r w:rsidRPr="008127F8">
        <w:rPr>
          <w:rFonts w:ascii="Times New Roman" w:hAnsi="Times New Roman"/>
          <w:color w:val="000000" w:themeColor="text1"/>
          <w:sz w:val="16"/>
          <w:szCs w:val="16"/>
        </w:rPr>
        <w:softHyphen/>
        <w:t>боты по доводке до 100 часового ресурса и сдаче на госиспытания мотора М-71 на заводе №19. В случае получения положительных результатов по М-71 возможно бу</w:t>
      </w:r>
      <w:r w:rsidRPr="008127F8">
        <w:rPr>
          <w:rFonts w:ascii="Times New Roman" w:hAnsi="Times New Roman"/>
          <w:color w:val="000000" w:themeColor="text1"/>
          <w:sz w:val="16"/>
          <w:szCs w:val="16"/>
        </w:rPr>
        <w:softHyphen/>
        <w:t>дет поставить вопрос о целесооб</w:t>
      </w:r>
      <w:r w:rsidRPr="008127F8">
        <w:rPr>
          <w:rFonts w:ascii="Times New Roman" w:hAnsi="Times New Roman"/>
          <w:color w:val="000000" w:themeColor="text1"/>
          <w:sz w:val="16"/>
          <w:szCs w:val="16"/>
        </w:rPr>
        <w:softHyphen/>
        <w:t>разности постройки серии самолетов Су-6».</w:t>
      </w:r>
    </w:p>
    <w:p w14:paraId="3F6312C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с составлением письма, завод №289 получил уст</w:t>
      </w:r>
      <w:r w:rsidRPr="008127F8">
        <w:rPr>
          <w:rFonts w:ascii="Times New Roman" w:hAnsi="Times New Roman"/>
          <w:color w:val="000000" w:themeColor="text1"/>
          <w:sz w:val="16"/>
          <w:szCs w:val="16"/>
        </w:rPr>
        <w:softHyphen/>
        <w:t>ное распоряжение о прекращении работ по войсковой серии, с кон</w:t>
      </w:r>
      <w:r w:rsidRPr="008127F8">
        <w:rPr>
          <w:rFonts w:ascii="Times New Roman" w:hAnsi="Times New Roman"/>
          <w:color w:val="000000" w:themeColor="text1"/>
          <w:sz w:val="16"/>
          <w:szCs w:val="16"/>
        </w:rPr>
        <w:softHyphen/>
        <w:t>сервацией четырех комплектов аг</w:t>
      </w:r>
      <w:r w:rsidRPr="008127F8">
        <w:rPr>
          <w:rFonts w:ascii="Times New Roman" w:hAnsi="Times New Roman"/>
          <w:color w:val="000000" w:themeColor="text1"/>
          <w:sz w:val="16"/>
          <w:szCs w:val="16"/>
        </w:rPr>
        <w:softHyphen/>
        <w:t>регатов и деталей.</w:t>
      </w:r>
    </w:p>
    <w:p w14:paraId="56D38C4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Вместе с тем П.О.Сухому раз</w:t>
      </w:r>
      <w:r w:rsidRPr="008127F8">
        <w:rPr>
          <w:rFonts w:ascii="Times New Roman" w:hAnsi="Times New Roman"/>
          <w:color w:val="000000" w:themeColor="text1"/>
          <w:sz w:val="16"/>
          <w:szCs w:val="16"/>
        </w:rPr>
        <w:softHyphen/>
        <w:t>решили изготовить один экземпляр модифицированного самолета Су-6 - эталона войсковой серии (11845).</w:t>
      </w:r>
    </w:p>
    <w:p w14:paraId="0CB90D3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3C7170" w14:textId="77777777" w:rsidR="007C5583" w:rsidRPr="008127F8" w:rsidRDefault="007C5583" w:rsidP="007C5583">
      <w:pPr>
        <w:pStyle w:val="a4"/>
        <w:rPr>
          <w:color w:val="000000" w:themeColor="text1"/>
          <w:lang w:val="ru-RU"/>
        </w:rPr>
      </w:pPr>
      <w:r w:rsidRPr="008127F8">
        <w:rPr>
          <w:color w:val="000000" w:themeColor="text1"/>
          <w:lang w:val="ru-RU"/>
        </w:rPr>
        <w:t>В середине июня 1942 коллектив ОКБ-155 после возвращения в Москву провёл доводку всех машин МиГ-9 №№ 6503, 6504, 6505, а затем и № 6501 передали в 34-й иап ПВО для про</w:t>
      </w:r>
      <w:r w:rsidRPr="008127F8">
        <w:rPr>
          <w:color w:val="000000" w:themeColor="text1"/>
          <w:lang w:val="ru-RU"/>
        </w:rPr>
        <w:softHyphen/>
        <w:t>ведения войсковых испытаний. Самолёт № 6502 по распоряжению начальника инспекции ВВС В.И. Сталина ещё 8 мая направили в Лётную инспекцию ВВС, которая затем передала его в 12-й гвардейский иап ПВО. После освоения лётным составом истребители МиГ-9 принимали участие в боевых действиях, однако в ноябре 1942 г. все самолёты вернули в ОКБ-155 для доработки ВМГ, в основном из-за неудовлетворительной работы моторов М-82А 1-й серии (15976).</w:t>
      </w:r>
    </w:p>
    <w:p w14:paraId="53D89E98" w14:textId="77777777" w:rsidR="007C5583" w:rsidRPr="008127F8" w:rsidRDefault="007C5583" w:rsidP="007C5583">
      <w:pPr>
        <w:pStyle w:val="a4"/>
        <w:rPr>
          <w:color w:val="000000" w:themeColor="text1"/>
          <w:lang w:val="ru-RU"/>
        </w:rPr>
      </w:pPr>
    </w:p>
    <w:p w14:paraId="5D2135A4" w14:textId="77777777" w:rsidR="0009674D" w:rsidRPr="008A2E5A" w:rsidRDefault="0009674D" w:rsidP="000967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июня 1942 остальные четыре машины МиГ-9 - №№ 6501, 6503, 6504 и 6505, поступили в 34-й иап ПВО, базировавшийся на север</w:t>
      </w:r>
      <w:r w:rsidRPr="008A2E5A">
        <w:rPr>
          <w:rFonts w:ascii="Times New Roman" w:hAnsi="Times New Roman"/>
          <w:color w:val="0070C0"/>
          <w:sz w:val="16"/>
          <w:szCs w:val="16"/>
        </w:rPr>
        <w:softHyphen/>
        <w:t>ной окраине аэродрома Внуково. Этот 34-й авиаполк был не совсем обычным. К слову, в нём проходили ис</w:t>
      </w:r>
      <w:r w:rsidRPr="008A2E5A">
        <w:rPr>
          <w:rFonts w:ascii="Times New Roman" w:hAnsi="Times New Roman"/>
          <w:color w:val="0070C0"/>
          <w:sz w:val="16"/>
          <w:szCs w:val="16"/>
        </w:rPr>
        <w:softHyphen/>
        <w:t>пытания многие другие технические новинки: напри</w:t>
      </w:r>
      <w:r w:rsidRPr="008A2E5A">
        <w:rPr>
          <w:rFonts w:ascii="Times New Roman" w:hAnsi="Times New Roman"/>
          <w:color w:val="0070C0"/>
          <w:sz w:val="16"/>
          <w:szCs w:val="16"/>
        </w:rPr>
        <w:softHyphen/>
        <w:t>мер, наземная радиолокационная станция МРУ-105 и английские приборы IFF (опознаватель «свой—чу</w:t>
      </w:r>
      <w:r w:rsidRPr="008A2E5A">
        <w:rPr>
          <w:rFonts w:ascii="Times New Roman" w:hAnsi="Times New Roman"/>
          <w:color w:val="0070C0"/>
          <w:sz w:val="16"/>
          <w:szCs w:val="16"/>
        </w:rPr>
        <w:softHyphen/>
        <w:t>жой»), четыре из которых смонтировали в кабинах са</w:t>
      </w:r>
      <w:r w:rsidRPr="008A2E5A">
        <w:rPr>
          <w:rFonts w:ascii="Times New Roman" w:hAnsi="Times New Roman"/>
          <w:color w:val="0070C0"/>
          <w:sz w:val="16"/>
          <w:szCs w:val="16"/>
        </w:rPr>
        <w:softHyphen/>
        <w:t>молётов МиГ-3, стоящих на вооружении полка. После освоения лётным составом истребители МиГ-9 прини</w:t>
      </w:r>
      <w:r w:rsidRPr="008A2E5A">
        <w:rPr>
          <w:rFonts w:ascii="Times New Roman" w:hAnsi="Times New Roman"/>
          <w:color w:val="0070C0"/>
          <w:sz w:val="16"/>
          <w:szCs w:val="16"/>
        </w:rPr>
        <w:softHyphen/>
        <w:t>мали участие в боевых действиях, главным образом осуществляя патрулирование в воздухе. Правда, про</w:t>
      </w:r>
      <w:r w:rsidRPr="008A2E5A">
        <w:rPr>
          <w:rFonts w:ascii="Times New Roman" w:hAnsi="Times New Roman"/>
          <w:color w:val="0070C0"/>
          <w:sz w:val="16"/>
          <w:szCs w:val="16"/>
        </w:rPr>
        <w:softHyphen/>
        <w:t>должалось это недолго, так как в ноябре все самолёты вернули заводу № 155 для доработки ВМГ, в основном из-за неудовлетворительной работы моторов М-82А (23379).</w:t>
      </w:r>
    </w:p>
    <w:p w14:paraId="5E13BDDA" w14:textId="77777777" w:rsidR="0009674D" w:rsidRPr="008A2E5A" w:rsidRDefault="0009674D" w:rsidP="0009674D">
      <w:pPr>
        <w:spacing w:after="0" w:line="240" w:lineRule="auto"/>
        <w:jc w:val="both"/>
        <w:rPr>
          <w:rFonts w:ascii="Times New Roman" w:hAnsi="Times New Roman"/>
          <w:color w:val="0070C0"/>
          <w:sz w:val="16"/>
          <w:szCs w:val="16"/>
        </w:rPr>
      </w:pPr>
    </w:p>
    <w:p w14:paraId="3848FCF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середине июня 1942 г. С.А.Москалев разработал оригинальный эскизный проект летающей танкетки, предназначенной для:</w:t>
      </w:r>
    </w:p>
    <w:p w14:paraId="631C8D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 внезапной атаки живой силы и техники с бреющего бега-полета;</w:t>
      </w:r>
    </w:p>
    <w:p w14:paraId="597053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разрушения легких наземных препятствий, заграждений;</w:t>
      </w:r>
    </w:p>
    <w:p w14:paraId="453CCB8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разрушения укреплений бомбовой нагрузкой и реактивными снарядами...”</w:t>
      </w:r>
    </w:p>
    <w:p w14:paraId="4858882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Летающая танкетка представляла собой хорошо вооруженный легкий одноместный самолет с малым крылом небольшого удлинения, с большой нагрузкой на крыло и с мотором М-11.</w:t>
      </w:r>
    </w:p>
    <w:p w14:paraId="076B398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Благодаря наличию в нижней части самолета специального сошника машина могла скользить над поверхностью земли на высоте 4 м и преодолевать препятствия, уничтожая их, перелетая или перепрыгивая через них.</w:t>
      </w:r>
    </w:p>
    <w:p w14:paraId="378A93D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мог вести бой, идя бегом-полетом на сошнике. Бег на высоте 4-5 м, полет до высоты 1210 м. Скорость полета 150-180 км/ч. Полетный вес самолета 1028-1128 кг. Нагрузка на крыло - от 133 до 146 кг/м2.</w:t>
      </w:r>
    </w:p>
    <w:p w14:paraId="5A5732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Кабина пилота бронированная. Спереди две бронеплиты толщиной 4-5 мм и бронестекло. На полу также бронеплиты. Летчик забронирован сверху, сзади и снизу бронесидением. Бока кабины - из брони толщиной 3 мм. Броня защищает от автоматного, ружейного и пулеметного огня.</w:t>
      </w:r>
    </w:p>
    <w:p w14:paraId="5E26AE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 сзади летчика, винт толкающий. Хвостовое оперение двухкилевое, расположенное на двух балках. Размеры самолета: площадь крыла 7,75 м2, длина самолета - 6,8 м, размах крыла - 5,57 м. Крыло снабжено щелевыми закрылками и автоматическими предкрылками. Моторама и шасси из углеродистой стали. Балки и фюзеляж - из стали и дюрали, остальное - дерево или дюраль.</w:t>
      </w:r>
    </w:p>
    <w:p w14:paraId="0CF3DAD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Стрелково-пушечное вооружение включало две пушки ШВАК с запасом 300 снарядов и два пулемета ШКАС с запасом 1500 (в перегрузку 2000) патронов.</w:t>
      </w:r>
    </w:p>
    <w:p w14:paraId="021E7D2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Реактивное вооружение состояло из четырех (в перегрузку шесть) реактивных снарядов PC-132. Бомбовая нагрузка - до 400 кг (взрыватели только с замедлением). Эскизный проект у специалистов НИИ ВВС энтузиазма не вызвал.</w:t>
      </w:r>
    </w:p>
    <w:p w14:paraId="66B463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Высказывалось замечание о недостаточной прочности сошника, в результате чего возможно капотирование. Проект был отклонен.</w:t>
      </w:r>
    </w:p>
    <w:p w14:paraId="31612F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Авторам представляется, что идея создания “бронированной блохи” Москалева не утратила привлекательности и в наше время. Особенно в сочетании с использованием подъемных двигателей (9649).</w:t>
      </w:r>
    </w:p>
    <w:p w14:paraId="78798C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0BAF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5D5D31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4AFF3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июня 1942 года созданное на заводе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592 конструкторское под руководством Каштанова выпустило опытный образец СГ-122 (кстати, аналогичный проект перевооружения 122-мм гаубицей М-30 завод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592 разработал и для танка Т-34, такую машину изготовили здесь осенью 1942 года).</w:t>
      </w:r>
    </w:p>
    <w:p w14:paraId="672E116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боевой рубке штурмового орудия (с демонтированной крышей) наваривалась простая призматическая коробка из 45-мм (лоб) и 35–25-мм (борта и корма) броневых листов. Лобовые листы базового StuG</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III усиливались дополнительными 20-мм экранами. Внутри боевого отделения на месте станка 75-мм орудия StuK 37 был смонтирован новый станок для гаубицы М-30. Сама же 122-мм гаубица использовалась практически без изменений, лишь для достижения достаточной устойчивости качающейся части в уравновешивающий механизм добавили по одной специальной пружине в каждую его колонну. Кроме того, для обеспечения выхода объектива панорамы прицела над крышей боевого отделения, между коробкой прицела и его корзиной установили специальную втулку.</w:t>
      </w:r>
    </w:p>
    <w:p w14:paraId="6D5FC67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Самоходка позволяла вести стрельбу как с места, так и с хода, осуществляя быстрый перенос огня на другие цели разворотом на гусеницах и вести приблизительное прицеливание с помощью простейшего визирного приспособления у водителя (в виде двух пластинок).</w:t>
      </w:r>
    </w:p>
    <w:p w14:paraId="0E4D6F5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Возимый боекомплект (50 выстрелов) размещался следующим образом. Снаряды (по одному, два или три) укладывались на специальные металлические полки, закрепленные вдоль задней стенки и бортов боевого отделения. Верхний ряд снарядов фиксировался в своих опорах брезентовыми ремнями, а нижние прижимались полками, установленными сверху. По мере использования снарядов полки откидывались вверх, удерживаясь в таком положении пружинами.</w:t>
      </w:r>
    </w:p>
    <w:p w14:paraId="4BB61C2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Гильзы с зарядами устанавливались на полу боевого отделения в специальные пазы, и фиксировались закраинами своих фланцев. От выпадения они удерживались специальной пластинчатой пружиной, которая утапливалась вниз при выдвижении гильзы из паза. В походном положении гильзы дополнительно закреплялись ремнями с пряжками. Отмечалось, что размещение боезапаса в самоходке удобное, что «способствует повышению скорострельности». Для облегчения заряжания гаубицы на цапфенной обойме закрепили специальные лотки для досылки снарядов.</w:t>
      </w:r>
    </w:p>
    <w:p w14:paraId="2463B89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Экипаж СГ-122 состоял из пяти человек: механика-водителя, командира, он же наводчик по горизонтали (располагался за механиком-водителем левым боком вперед), позади него так же боком по ходу машины располагался первый заряжающий, напротив командира правым плечом по ходу машины располагался наводчик по вертикали (гаубица М-30 имела раздельную наводку), а за ним также правым плечом вперед стоял второй заряжающий.</w:t>
      </w:r>
    </w:p>
    <w:p w14:paraId="20ACAB2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входа-выхода экипажа в машине имелось два люка. Основной размешался в корме рубки, а резервный находился перед наводчиком по вертикали.</w:t>
      </w:r>
    </w:p>
    <w:p w14:paraId="1B2EE98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того, чтобы защитить экипаж от пороховых газов при интенсивной стрельбе использовались противогазные маски, «соединенные шлангами двойной длины с забортным свежим воздухом, минуя противогазные коробки (к которым шланги присоединяются только в момент химтревоги». Если огонь велся с закрытых позиций, для вентиляции использовались открытые люки.</w:t>
      </w:r>
    </w:p>
    <w:p w14:paraId="71C1011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установке имелось место для монтажа радиостанции 9-Р «Тапир» и ТПУ-4бис. Обязанности радиста должен был выполнять «малозагруженный номер расчета — вертикальный наводчик».</w:t>
      </w:r>
    </w:p>
    <w:p w14:paraId="145463B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Отмечалось, что перевооружение «артштурмов» может быть осуществлено на заводе «при подготовленных деталях и нарезанной броне (из трофейных или разбитых танков) в течение 10–12 дней». По первоначальным прикидкам перевооружение не должно было требовать большой затраты станко-часов, так как «все детали простые и в большинстве выполняются огнерезкой и электросваркой» (12688).</w:t>
      </w:r>
    </w:p>
    <w:p w14:paraId="048152F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057D8FD"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К середине июня 1942 года был закончен Технический проект СГ-122. Тогда же началось и изготовление опытного образца. Стоит отметить, что в ходе разработки КБ завода №592 внесло ряд изменений в изначальный проект. Для начала, высоту боевого отделения ещё больше увеличили, благодаря чему появилась возможность работать, не пригибаясь, для самоходчиков ростом выше 170 см. Было изменено экранирование лобовой части рубки, а от скоса в кормовой части конструкторы отказались, что заметно увеличило объём боевого отделения. Общая высота СГ-122 увеличилась до 2250 мм (17663).</w:t>
      </w:r>
    </w:p>
    <w:p w14:paraId="752C6242"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18BC05EF" w14:textId="77777777" w:rsidR="0049444D" w:rsidRPr="008A2E5A" w:rsidRDefault="0049444D" w:rsidP="004944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середине июня 1942 года на заводе № 592 закончилась подготовка технической документации переделки StuG III в 122-СГ. К тому моменту САУ именовали как СГ-122, этот индекс стал, можно сказать, каноничным. Параллельно шло изготовление опытного образца машины. В качестве основы была взята трофейная самоходная установка StuG III модификации Ausf.C или Ausf.D. Она прошла капремонт на БТРЗ №82, поэтому сложно сказать, меняли ли агрегаты в ней, или нет. Дело в том, что на заводских испытаниях максимальная скорость опытного образца СГ-122 достигла 50 км/ч по шоссе и 30 км/ч на бездорожье. Между тем, у базовой машины максимальная скорость составляла 40 км/ч. Запас хода по шоссе при этом составил 150 километров, а по бездорожью 100 километров. Боевая масса составила 23,6 тонн, что больше, чем у StuG III, но меньше, чем у StuG 40 Ausf.G. В ходе взвешивания выяснилось, что после переделки центр тяжести сместился на 266 мм вперед (23368).</w:t>
      </w:r>
    </w:p>
    <w:p w14:paraId="003C7347" w14:textId="77777777" w:rsidR="0049444D" w:rsidRPr="008A2E5A" w:rsidRDefault="0049444D" w:rsidP="0049444D">
      <w:pPr>
        <w:spacing w:after="0" w:line="240" w:lineRule="auto"/>
        <w:jc w:val="both"/>
        <w:rPr>
          <w:rFonts w:ascii="Times New Roman" w:hAnsi="Times New Roman"/>
          <w:color w:val="0070C0"/>
          <w:sz w:val="16"/>
          <w:szCs w:val="16"/>
        </w:rPr>
      </w:pPr>
    </w:p>
    <w:p w14:paraId="42C284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B4FB25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7AB85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середине июня 1942 был полностью выбит и отправлен в тыл на переформирование 800-й шап подполковника Шишкина. Вместо него, в состав 226-й шад вошел изрядно потрепанный в боях 505-й шап майора Чумачен- ко. Оставшиеся машины 800-го шап и одна прибывшая с завода эскадрилья вместе с летчиками-перегонщиками пошли на укомплектование 504-го шап майора Болды- рихина. Одновременно на пополнение 228-й шад из составов 4-й РАГ и Маневренной авиагруппы фронта передавались наиболее боеспособные 431-й и 285-й штурмовые авиаполки. При этом обе авиагруппы расформировывались, а оставшиеся 243-й и 619-й шап выводились в тыл (12020).</w:t>
      </w:r>
    </w:p>
    <w:p w14:paraId="2DFE7C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8207AC" w14:textId="77777777" w:rsidR="0049444D" w:rsidRPr="008A2E5A" w:rsidRDefault="0049444D" w:rsidP="004944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w:t>
      </w:r>
      <w:r w:rsidRPr="008A2E5A">
        <w:rPr>
          <w:rFonts w:ascii="Times New Roman" w:hAnsi="Times New Roman"/>
          <w:color w:val="0070C0"/>
          <w:sz w:val="16"/>
          <w:szCs w:val="16"/>
        </w:rPr>
        <w:softHyphen/>
        <w:t>редине июня 1942 г. в строевые части начала поступать модификация Bf 109G-2, причем большая их часть направлялась в истребительные эскадры Вос</w:t>
      </w:r>
      <w:r w:rsidRPr="008A2E5A">
        <w:rPr>
          <w:rFonts w:ascii="Times New Roman" w:hAnsi="Times New Roman"/>
          <w:color w:val="0070C0"/>
          <w:sz w:val="16"/>
          <w:szCs w:val="16"/>
        </w:rPr>
        <w:softHyphen/>
        <w:t>точного фронта. Главным отличием истребителя Bf 109G-2 от предыдущей модификации являлось отсутствие гермокабины, при этом систему GM-1 монтировали гораздо реже. «Двойка» стала одной из массовых субмодификаций «Густа</w:t>
      </w:r>
      <w:r w:rsidRPr="008A2E5A">
        <w:rPr>
          <w:rFonts w:ascii="Times New Roman" w:hAnsi="Times New Roman"/>
          <w:color w:val="0070C0"/>
          <w:sz w:val="16"/>
          <w:szCs w:val="16"/>
        </w:rPr>
        <w:softHyphen/>
        <w:t>ва». Bf 109G-2 строился с мая по декабрь 1942 г. тремя заводами: предприятием WNF в Винер-Нойштадте, «Эрла Машиненверке» в Лейпциге и «Мессершмитт» в Реген</w:t>
      </w:r>
      <w:r w:rsidRPr="008A2E5A">
        <w:rPr>
          <w:rFonts w:ascii="Times New Roman" w:hAnsi="Times New Roman"/>
          <w:color w:val="0070C0"/>
          <w:sz w:val="16"/>
          <w:szCs w:val="16"/>
        </w:rPr>
        <w:softHyphen/>
        <w:t>сбурге. Всего выпущено 1586 машин, не счи</w:t>
      </w:r>
      <w:r w:rsidRPr="008A2E5A">
        <w:rPr>
          <w:rFonts w:ascii="Times New Roman" w:hAnsi="Times New Roman"/>
          <w:color w:val="0070C0"/>
          <w:sz w:val="16"/>
          <w:szCs w:val="16"/>
        </w:rPr>
        <w:softHyphen/>
        <w:t>тая одного построенного в Венгрии и обозна</w:t>
      </w:r>
      <w:r w:rsidRPr="008A2E5A">
        <w:rPr>
          <w:rFonts w:ascii="Times New Roman" w:hAnsi="Times New Roman"/>
          <w:color w:val="0070C0"/>
          <w:sz w:val="16"/>
          <w:szCs w:val="16"/>
        </w:rPr>
        <w:softHyphen/>
        <w:t>ченного Ga-2 (»а» от ausland — «загранич</w:t>
      </w:r>
      <w:r w:rsidRPr="008A2E5A">
        <w:rPr>
          <w:rFonts w:ascii="Times New Roman" w:hAnsi="Times New Roman"/>
          <w:color w:val="0070C0"/>
          <w:sz w:val="16"/>
          <w:szCs w:val="16"/>
        </w:rPr>
        <w:softHyphen/>
        <w:t>ный»), Большинство самолетов указанной модификации (заложили 940 и закончили 914) изготовил завод в австрийском Винер- Нойштадте.</w:t>
      </w:r>
    </w:p>
    <w:p w14:paraId="736D1837" w14:textId="77777777" w:rsidR="0049444D" w:rsidRPr="008A2E5A" w:rsidRDefault="0049444D" w:rsidP="004944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Довольно длительный период выпуска обусловил появление самолетов с заметными внешними изменениями. Так, на поздних G-2 устанавливались колеса увеличенного разме</w:t>
      </w:r>
      <w:r w:rsidRPr="008A2E5A">
        <w:rPr>
          <w:rFonts w:ascii="Times New Roman" w:hAnsi="Times New Roman"/>
          <w:color w:val="0070C0"/>
          <w:sz w:val="16"/>
          <w:szCs w:val="16"/>
        </w:rPr>
        <w:softHyphen/>
        <w:t>ра (основные 660x160 мм вместо 650x150 мм, хвостовое 350x135 мм вместо 290x110 мм), что вызвало необходимость сделать выколотки на верхней поверхности крыла для их полной уборки (24195).</w:t>
      </w:r>
    </w:p>
    <w:p w14:paraId="3B46E1CE" w14:textId="77777777" w:rsidR="0049444D" w:rsidRPr="008A2E5A" w:rsidRDefault="0049444D" w:rsidP="0049444D">
      <w:pPr>
        <w:spacing w:after="0" w:line="240" w:lineRule="auto"/>
        <w:jc w:val="both"/>
        <w:rPr>
          <w:rFonts w:ascii="Times New Roman" w:hAnsi="Times New Roman"/>
          <w:color w:val="0070C0"/>
          <w:sz w:val="16"/>
          <w:szCs w:val="16"/>
        </w:rPr>
      </w:pPr>
    </w:p>
    <w:p w14:paraId="16EFC3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724A7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3BF3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июня 1942 л 30 завода Гурский совершил аварию при испытаниях Ил-2, т.к. при разбеге упустил ногу и не справился с машиной (2108).</w:t>
      </w:r>
    </w:p>
    <w:p w14:paraId="2AFC798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CF77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июня 1942 закончились гос. испытания Як-7Д, которые шли со 2 июня (65,105).</w:t>
      </w:r>
    </w:p>
    <w:p w14:paraId="5C36B6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1460D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16 июня</w:t>
      </w:r>
      <w:r w:rsidRPr="008127F8">
        <w:rPr>
          <w:rFonts w:ascii="Times New Roman" w:hAnsi="Times New Roman"/>
          <w:color w:val="000000" w:themeColor="text1"/>
          <w:sz w:val="16"/>
          <w:szCs w:val="16"/>
        </w:rPr>
        <w:t xml:space="preserve"> в 1942 году завершились (с 3 июня) заводские испытания и доводка </w:t>
      </w:r>
      <w:hyperlink r:id="rId77" w:tgtFrame="_blank" w:history="1">
        <w:r w:rsidRPr="008127F8">
          <w:rPr>
            <w:rFonts w:ascii="Times New Roman" w:hAnsi="Times New Roman"/>
            <w:color w:val="000000" w:themeColor="text1"/>
            <w:sz w:val="16"/>
            <w:szCs w:val="16"/>
          </w:rPr>
          <w:t xml:space="preserve">«Як-7Д». </w:t>
        </w:r>
      </w:hyperlink>
      <w:r w:rsidRPr="008127F8">
        <w:rPr>
          <w:rFonts w:ascii="Times New Roman" w:hAnsi="Times New Roman"/>
          <w:color w:val="000000" w:themeColor="text1"/>
          <w:sz w:val="16"/>
          <w:szCs w:val="16"/>
        </w:rPr>
        <w:t>Испытания проводила бригада ОКБ А.С.Яковлева в составе: летчик П.Я.Федрови, ведущий инженер Н.К.Скржинский, бортмеханик Ф.3.Сбитнев. Было выполнено 15 полетов общей продолжительностью 13 ч 15 мин. На государственные испытания «Як-7Д» не предъявлялся и в серии не строился. По указанию главного конструктора А.С.Яковлева 16 июня 1942 г. заводские испытания «Як-7Д» были прекращены, и самолет был переведен в цех завода для модификации его в одноместный дальний истребитель «Як-7ДИ» (14924).</w:t>
      </w:r>
    </w:p>
    <w:p w14:paraId="3AD2E6A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27C77DA"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июня 1942 г. в процессе заводских наземных испытаний Як-7, во время которых в основном определялись эксплуатационные характеристики бензосистемы (вре</w:t>
      </w:r>
      <w:r w:rsidRPr="008A2E5A">
        <w:rPr>
          <w:rFonts w:ascii="Times New Roman" w:hAnsi="Times New Roman"/>
          <w:color w:val="0070C0"/>
          <w:sz w:val="16"/>
          <w:szCs w:val="16"/>
        </w:rPr>
        <w:softHyphen/>
        <w:t>мя полной и частичной заправки, время слива топлива, герметичность и другие параметры) и проводилось взве</w:t>
      </w:r>
      <w:r w:rsidRPr="008A2E5A">
        <w:rPr>
          <w:rFonts w:ascii="Times New Roman" w:hAnsi="Times New Roman"/>
          <w:color w:val="0070C0"/>
          <w:sz w:val="16"/>
          <w:szCs w:val="16"/>
        </w:rPr>
        <w:softHyphen/>
        <w:t>шивание, поступило указание главного конструктора А.С. Яковлева о переделке данной модификации самоле</w:t>
      </w:r>
      <w:r w:rsidRPr="008A2E5A">
        <w:rPr>
          <w:rFonts w:ascii="Times New Roman" w:hAnsi="Times New Roman"/>
          <w:color w:val="0070C0"/>
          <w:sz w:val="16"/>
          <w:szCs w:val="16"/>
        </w:rPr>
        <w:softHyphen/>
        <w:t>та Як-7 из дальнего разведчика в дальний истребитель с запасом топлива 600 кг и вооружением - мотор-пушка ШВАК и один пулемет УБС. Опытную машину перевезли из ангара на аэродроме обратно в цех, где ее расстыко</w:t>
      </w:r>
      <w:r w:rsidRPr="008A2E5A">
        <w:rPr>
          <w:rFonts w:ascii="Times New Roman" w:hAnsi="Times New Roman"/>
          <w:color w:val="0070C0"/>
          <w:sz w:val="16"/>
          <w:szCs w:val="16"/>
        </w:rPr>
        <w:softHyphen/>
        <w:t>вали для установки крыла на другую машину (23381).</w:t>
      </w:r>
    </w:p>
    <w:p w14:paraId="3C0EAC8E" w14:textId="77777777" w:rsidR="00C46ECB" w:rsidRPr="008A2E5A" w:rsidRDefault="00C46ECB" w:rsidP="00C46ECB">
      <w:pPr>
        <w:spacing w:after="0" w:line="240" w:lineRule="auto"/>
        <w:jc w:val="both"/>
        <w:rPr>
          <w:rFonts w:ascii="Times New Roman" w:hAnsi="Times New Roman"/>
          <w:color w:val="0070C0"/>
          <w:sz w:val="16"/>
          <w:szCs w:val="16"/>
        </w:rPr>
      </w:pPr>
    </w:p>
    <w:p w14:paraId="47E84F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и 11 июня 1942 года вышли приказы НКАП № 483сс и № 423сс во исполнение решения ГОКО № 1903 от 9 января 1942 года о реэвакуации з-да № 293 из Билимбая в Химки. Реэвакуация завода № 293 МАП была закончена в начале июня 1943 года (9360).</w:t>
      </w:r>
    </w:p>
    <w:p w14:paraId="364DBDE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7A820F" w14:textId="77777777" w:rsidR="007C5583" w:rsidRPr="008127F8" w:rsidRDefault="007C5583" w:rsidP="007C5583">
      <w:pPr>
        <w:pStyle w:val="p1"/>
        <w:spacing w:before="0" w:beforeAutospacing="0" w:after="0" w:afterAutospacing="0"/>
        <w:jc w:val="both"/>
        <w:rPr>
          <w:color w:val="000000" w:themeColor="text1"/>
          <w:sz w:val="16"/>
          <w:szCs w:val="16"/>
        </w:rPr>
      </w:pPr>
      <w:r w:rsidRPr="008127F8">
        <w:rPr>
          <w:color w:val="000000" w:themeColor="text1"/>
          <w:sz w:val="16"/>
          <w:szCs w:val="16"/>
        </w:rPr>
        <w:t>16 июня 1942 – А.Г. Костиков пишет И.В. Сталину письмо с предложением о начале разработки перехватчика «302», обещая его сделать в нереально короткие сроки (19588).</w:t>
      </w:r>
    </w:p>
    <w:p w14:paraId="79DC560F" w14:textId="77777777" w:rsidR="007C5583" w:rsidRPr="008127F8" w:rsidRDefault="007C5583" w:rsidP="007C5583">
      <w:pPr>
        <w:pStyle w:val="p1"/>
        <w:spacing w:before="0" w:beforeAutospacing="0" w:after="0" w:afterAutospacing="0"/>
        <w:jc w:val="both"/>
        <w:rPr>
          <w:color w:val="000000" w:themeColor="text1"/>
          <w:sz w:val="16"/>
          <w:szCs w:val="16"/>
        </w:rPr>
      </w:pPr>
    </w:p>
    <w:p w14:paraId="14DE6A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16 июня 1942 было подготовлено Спецсообщение Л.П. Берии И.В. Сталину об освобождении заключенных-специалистов № 1051/б </w:t>
      </w:r>
    </w:p>
    <w:p w14:paraId="33B2E20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Сов. секретно </w:t>
      </w:r>
    </w:p>
    <w:p w14:paraId="7095236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ПРЕДСЕДАТЕЛЮ ГОСУДАРСТВЕННОГО КОМИТЕТА ОБОРОНЫ </w:t>
      </w:r>
    </w:p>
    <w:p w14:paraId="247C9E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товарищу Сталину И.В. </w:t>
      </w:r>
    </w:p>
    <w:p w14:paraId="5BDF645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Назначенный в соответствии с Вашим указанием главным конструктором завода № 500 НКАП А.Д. Чаромский с 4-го июня приступил к работе по доводке дизеля М-30. Одновременно мною дано указание о командировании на этот завод группы специалистов 4-го Спецотдела НКВД СССР, работающих под руководством А.Д. ЧАРОМСКОГО по проектированию и производству дизеля М-20 и знающих также производство дизеля М-30. </w:t>
      </w:r>
    </w:p>
    <w:p w14:paraId="2418C76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 период работы в Особом Техническом Бюро НКВД СССР А.Д. ЧАРОМСКИЙ и отдельные работающие с ним специалисты показали весьма добросовестное отношение к порученным им обязанностям и проявили полезную инициативу и настойчивость при решении важных технических вопросов. </w:t>
      </w:r>
    </w:p>
    <w:p w14:paraId="65A783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Учитывая вышеизложенное, а также необходимость предоставления А.Д. ЧАРОМСКОМУ всех возможностей для самостоятельного решения различных технических и организационных вопросов, связанных с доводкой дизеля М-30, *считаю целесообразным возбудить ходатайство перед Президиумом Верховного Совета Союза ССР о досрочном освобождении, со снятием судимости, А.Д. ЧАРОМСКОГО и 8 заключенных специалистов-дизелистов, направляемых на работу на завод № 500*. </w:t>
      </w:r>
    </w:p>
    <w:p w14:paraId="6669DCD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Прилагая при этом список специалистов, прошу Ваших указаний. </w:t>
      </w:r>
    </w:p>
    <w:p w14:paraId="064A01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ПРИЛОЖЕНИЕ: Список на 9 человек. </w:t>
      </w:r>
    </w:p>
    <w:p w14:paraId="602FB81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внутренних дел Союза ССР Л. Берия</w:t>
      </w:r>
    </w:p>
    <w:p w14:paraId="21B7486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П И С О К </w:t>
      </w:r>
    </w:p>
    <w:p w14:paraId="0F61EB7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заключенных специалистов 4-го Спецотдела НКВД СССР, </w:t>
      </w:r>
    </w:p>
    <w:p w14:paraId="3A930F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представляемых к досрочному освобождению. </w:t>
      </w:r>
    </w:p>
    <w:p w14:paraId="36CED7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ЧАРОМСКИЙ Алексей Дмитриевич </w:t>
      </w:r>
    </w:p>
    <w:p w14:paraId="3828FC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ШУМИЛИН Афанасий Антипович </w:t>
      </w:r>
    </w:p>
    <w:p w14:paraId="176F766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ГРАЧЕВ Андрей Дмитриевич </w:t>
      </w:r>
    </w:p>
    <w:p w14:paraId="2A1E8B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4. СТЕЦКИЙ Степан Герасимович </w:t>
      </w:r>
    </w:p>
    <w:p w14:paraId="70DAF39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ТАТКО Леонид Семенович </w:t>
      </w:r>
    </w:p>
    <w:p w14:paraId="1AC08B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6. ВЕРЕВКИН Федор Матвеевич </w:t>
      </w:r>
    </w:p>
    <w:p w14:paraId="67B0BF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КОРСАКОВ Степан Максимович </w:t>
      </w:r>
    </w:p>
    <w:p w14:paraId="02A66D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8. СИДОРИН Иван Иванович </w:t>
      </w:r>
    </w:p>
    <w:p w14:paraId="45B6DF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9. МОЛЧАНОВ Михаил Арсентьевич. </w:t>
      </w:r>
    </w:p>
    <w:p w14:paraId="13B51C9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Е Р Н О: </w:t>
      </w:r>
    </w:p>
    <w:p w14:paraId="26157D4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 4-го Спецотдела НКВД СССР В. КРАВЧЕНКО </w:t>
      </w:r>
    </w:p>
    <w:p w14:paraId="2174EDA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АП РФ. Ф. 3. Оп. 58. Д. 142. Л. 111—113. Подлинник. Машинопись. </w:t>
      </w:r>
    </w:p>
    <w:p w14:paraId="1DCD20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Отчеркнуто на полях двумя чертами с резолюцией: «Согласен. И. Сталин» (11430). </w:t>
      </w:r>
    </w:p>
    <w:p w14:paraId="616818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78F47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июня 1942 по рекомендации Берия (с.</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 исх.№</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1051/6 от 16.06.1942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были освобождены из заключения Сталиным 8 сотрудников Чаромского, внесших наиболее существенный вклад в доработку дизеля до серийного производства: 1.</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Чаромский Алексей Дмитриевич 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Шумилин Афанасий Антипович 3.</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Грачев Андрей Дмитриевич 4.</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Стецкий Степан Герасимович 5.</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Татко Леонид Семенович 6.</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Веревкин Федор Матвеевич 7.</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Корсаков Степан Максимович 8.</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Сидорин Иван Иванович 9.</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Молчанов Михаил Арсентьевич (18668).</w:t>
      </w:r>
    </w:p>
    <w:p w14:paraId="4847B02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BD4386F"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16 июня 1942 г. СПЕЦСООБЩЕНИЕ Л.П. БЕРИИ И.В. СТАЛИНУ ОБ ОСВОБОЖДЕНИИ ЗАКЛЮЧЕННЫХ-СПЕЦИАЛИСТОВ № 1051/6</w:t>
      </w:r>
    </w:p>
    <w:p w14:paraId="5785BEE2"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 секретно</w:t>
      </w:r>
    </w:p>
    <w:p w14:paraId="40F8C5A9"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ПРЕДСЕДАТЕЛЮ ГОСУДАРСТВЕННОГО КОМИТЕТА ОБОРОНЫ товарищу СТАЛИНУ И.В.</w:t>
      </w:r>
    </w:p>
    <w:p w14:paraId="22C3AAE7"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Назначенный в соответствии с Вашим указанием главным конструктором завода N9 500 НКАП А.Д. Чаромский с 4-го июня приступил к работе по доводке дизеля М-30. Одновременно мною дано указание о командировании на этот завод группы специалистов 4-го Спецотдела НКВД СССР, работающих под руководством А.Д. ЧАРОМСКОГО по проектированию и производству дизеля М-20 и знающих также производство дизеля М-30.</w:t>
      </w:r>
    </w:p>
    <w:p w14:paraId="478036D6"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период работы в Особом Техническом Бюро НКВД СССР А.Д. ЧАРОМСКИЙ и отдельные работающие с ним специалисты показали весьма добросовестное отношение к порученным им обязанностям и проявили полезную инициативу и настойчивость при решении важных технических вопросов.</w:t>
      </w:r>
    </w:p>
    <w:p w14:paraId="1CC47E32"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Учитывая вышеизложенное, а также необходимость предоставления АД. ЧАРОМСКОМУ всех возможностей для самостоятельного решения различных технических и организационных вопросов, связанных с доводкой дизеля М-30, считаю целесообразным возбудить ходатайство перед Президиумом Верховного Совета Союза ССР о досрочном освобождении, со снятием судимости, А.Д. ЧАРОМСКОГО и 8 заключенных специалистов-дизелистов, направляемых на работу на завод № 500.</w:t>
      </w:r>
    </w:p>
    <w:p w14:paraId="3929FE76"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Прилагая при этом список специалистов, прошу Ваших указаний.</w:t>
      </w:r>
    </w:p>
    <w:p w14:paraId="1B13B47C"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ПРИЛОЖЕНИЕ: Список на 9 человек.</w:t>
      </w:r>
    </w:p>
    <w:p w14:paraId="5DFFB4B0"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внутренних дел Союза ССР Л. БЕРИЯ</w:t>
      </w:r>
    </w:p>
    <w:p w14:paraId="35C3B442"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СПИСОК</w:t>
      </w:r>
    </w:p>
    <w:p w14:paraId="2FE7062B"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заключенных специалистов 4-го Спецотдела НКВД СССР, представляемых к досрочному освобождению.</w:t>
      </w:r>
    </w:p>
    <w:p w14:paraId="4CE47052"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r w:rsidRPr="008A2E5A">
        <w:rPr>
          <w:rFonts w:ascii="Times New Roman" w:hAnsi="Times New Roman"/>
          <w:color w:val="0070C0"/>
          <w:sz w:val="16"/>
          <w:szCs w:val="16"/>
        </w:rPr>
        <w:tab/>
        <w:t>ЧАРОМСКИЙ Алексей Дмитриевич</w:t>
      </w:r>
    </w:p>
    <w:p w14:paraId="72B5C550"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r w:rsidRPr="008A2E5A">
        <w:rPr>
          <w:rFonts w:ascii="Times New Roman" w:hAnsi="Times New Roman"/>
          <w:color w:val="0070C0"/>
          <w:sz w:val="16"/>
          <w:szCs w:val="16"/>
        </w:rPr>
        <w:tab/>
        <w:t>ШУМИЛИН Афанасий Антипович</w:t>
      </w:r>
    </w:p>
    <w:p w14:paraId="425F91DD"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r w:rsidRPr="008A2E5A">
        <w:rPr>
          <w:rFonts w:ascii="Times New Roman" w:hAnsi="Times New Roman"/>
          <w:color w:val="0070C0"/>
          <w:sz w:val="16"/>
          <w:szCs w:val="16"/>
        </w:rPr>
        <w:tab/>
        <w:t>ГРАЧЕВ Андрей Дмитриевич</w:t>
      </w:r>
    </w:p>
    <w:p w14:paraId="676B923D"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r w:rsidRPr="008A2E5A">
        <w:rPr>
          <w:rFonts w:ascii="Times New Roman" w:hAnsi="Times New Roman"/>
          <w:color w:val="0070C0"/>
          <w:sz w:val="16"/>
          <w:szCs w:val="16"/>
        </w:rPr>
        <w:tab/>
        <w:t>СТЕЦКИЙ Степан Герасимович</w:t>
      </w:r>
    </w:p>
    <w:p w14:paraId="24D62EE4"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r w:rsidRPr="008A2E5A">
        <w:rPr>
          <w:rFonts w:ascii="Times New Roman" w:hAnsi="Times New Roman"/>
          <w:color w:val="0070C0"/>
          <w:sz w:val="16"/>
          <w:szCs w:val="16"/>
        </w:rPr>
        <w:tab/>
        <w:t>ТАТКО Леонид Семенович</w:t>
      </w:r>
    </w:p>
    <w:p w14:paraId="47D1968D"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w:t>
      </w:r>
      <w:r w:rsidRPr="008A2E5A">
        <w:rPr>
          <w:rFonts w:ascii="Times New Roman" w:hAnsi="Times New Roman"/>
          <w:color w:val="0070C0"/>
          <w:sz w:val="16"/>
          <w:szCs w:val="16"/>
        </w:rPr>
        <w:tab/>
        <w:t>ВЕРЕВКИН Федор Матвеевич</w:t>
      </w:r>
    </w:p>
    <w:p w14:paraId="4E898221"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w:t>
      </w:r>
      <w:r w:rsidRPr="008A2E5A">
        <w:rPr>
          <w:rFonts w:ascii="Times New Roman" w:hAnsi="Times New Roman"/>
          <w:color w:val="0070C0"/>
          <w:sz w:val="16"/>
          <w:szCs w:val="16"/>
        </w:rPr>
        <w:tab/>
        <w:t>КОРСАКОВ Степан Максимович</w:t>
      </w:r>
    </w:p>
    <w:p w14:paraId="0C51FCD7"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w:t>
      </w:r>
      <w:r w:rsidRPr="008A2E5A">
        <w:rPr>
          <w:rFonts w:ascii="Times New Roman" w:hAnsi="Times New Roman"/>
          <w:color w:val="0070C0"/>
          <w:sz w:val="16"/>
          <w:szCs w:val="16"/>
        </w:rPr>
        <w:tab/>
        <w:t>СИДОРИН Иван Иванович</w:t>
      </w:r>
    </w:p>
    <w:p w14:paraId="405D7735"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w:t>
      </w:r>
      <w:r w:rsidRPr="008A2E5A">
        <w:rPr>
          <w:rFonts w:ascii="Times New Roman" w:hAnsi="Times New Roman"/>
          <w:color w:val="0070C0"/>
          <w:sz w:val="16"/>
          <w:szCs w:val="16"/>
        </w:rPr>
        <w:tab/>
        <w:t>МОЛЧАНОВ Михаил Арсентьевич.</w:t>
      </w:r>
    </w:p>
    <w:p w14:paraId="5CB30172"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ВЕРНО: Начальник 4-го Спецотдела НКВД СССР В. КРАВЧЕНКО</w:t>
      </w:r>
    </w:p>
    <w:p w14:paraId="5A4B6068"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АП РФ. Ф. 3. Оп. 58 (23946).</w:t>
      </w:r>
    </w:p>
    <w:p w14:paraId="18BE6880" w14:textId="77777777" w:rsidR="00C46ECB" w:rsidRPr="008A2E5A" w:rsidRDefault="00C46ECB" w:rsidP="00C46ECB">
      <w:pPr>
        <w:spacing w:after="0" w:line="240" w:lineRule="auto"/>
        <w:jc w:val="both"/>
        <w:rPr>
          <w:rFonts w:ascii="Times New Roman" w:hAnsi="Times New Roman"/>
          <w:color w:val="0070C0"/>
          <w:sz w:val="16"/>
          <w:szCs w:val="16"/>
        </w:rPr>
      </w:pPr>
    </w:p>
    <w:p w14:paraId="5BBBAD7F"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[16 июня] 1942 г. ИЗ СПРАВКИ, НАПРАВЛЕННОЙ СЕКРЕТАРЮ НОВОСИБИРСКОГО ОБКОМА ВКП(б) М.В. КУЛАГИНУ, </w:t>
      </w:r>
    </w:p>
    <w:p w14:paraId="49FBC76A"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 СОСТОЯНИИ ОБЩЕЖИТИЙ И ОБЩЕСТВЕННОГО ПИТАНИЯ НА ЗАВОДАХ НКАП г. НОВОСИБИРСКА</w:t>
      </w:r>
    </w:p>
    <w:p w14:paraId="5B1E0506"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51 имеет два общежития общей площадью 130 квадратных метров. Кроме того, завод имеет 14 жилых домов и три землянки, в которых живут семьи рабочих. В общежитиях размещено 66 человек холостяков и две семьи, которые занимают отдельные комнаты. Холостяки размещены в трех комнатах по 17—25 человек в каждой. Живущие в общежитиях обеспечиваются кроватью, постельными принадлежностями (по две смены белья), местами для хранения одежды, табуретками и другим инвентарем.</w:t>
      </w:r>
    </w:p>
    <w:p w14:paraId="29B39704"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Состояние общежитий вполне удовлетворительное. Уборка производится несколько раз в день, места общего пользования находятся в хорошем состоянии. Общежития отапливаются и освещаются. В одном из них (улица Гоголя, 114) имеется кипятильник с круглосуточной выдачей кипятка.</w:t>
      </w:r>
    </w:p>
    <w:p w14:paraId="69B53424"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Семьи рабочих, живущие в землянках, находятся в тяжелых условиях — землянки ветхие, холодные и сырые. К 25 декабря эти семьи должны быть переведены в барак, строительство которого заканчивается.</w:t>
      </w:r>
    </w:p>
    <w:p w14:paraId="679E320D"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Жилые дома, в которых живет свыше 60 процентов семей рабочих, ИТР и служащих завода, размещены недалеко от завода. Несмотря на это, завод мало уделяет внимания этому жилому фонду, дома не отремонтированы, санитарное состояние мест общего пользования неудовлетворительное.</w:t>
      </w:r>
    </w:p>
    <w:p w14:paraId="3AF308EB"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имеет столовую и буфет. Для работающих 8 часов питание выдается один раз, работающим по 12 часов — два раза. Обеды состоят из двух блюд, и качество обедов удовлетворительное. В ноябре месяце на каждого обедающего было израсходовано свыше трех килограммов мяса и субпродуктов. Выдача обедов хорошо организована, рабочий затрачивает на обед не более 15—20 минут. Санитарное состояние столо…ю)23670).</w:t>
      </w:r>
    </w:p>
    <w:p w14:paraId="18AA044D" w14:textId="77777777" w:rsidR="00C46ECB" w:rsidRPr="008A2E5A" w:rsidRDefault="00C46ECB" w:rsidP="00C46ECB">
      <w:pPr>
        <w:spacing w:after="0" w:line="240" w:lineRule="auto"/>
        <w:jc w:val="both"/>
        <w:rPr>
          <w:rFonts w:ascii="Times New Roman" w:hAnsi="Times New Roman"/>
          <w:color w:val="0070C0"/>
          <w:sz w:val="16"/>
          <w:szCs w:val="16"/>
        </w:rPr>
      </w:pPr>
    </w:p>
    <w:p w14:paraId="013CCA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июня 1942 года согласно приказу НКАП за № 533 во исполнение Постановления Правительства от 3 июня 1942 года на базе филиала завода № 145 в Костино создается завод № 455 НКАП с выпуском в 1942-1943 гг. деталей самолета – лент-расчалок и химических приборов: ВАП-6, ВАП-100 и ВАП-250.</w:t>
      </w:r>
    </w:p>
    <w:p w14:paraId="1437AC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1944-45 гг. несколько изменился профиль завода: стали преобладать изделия бомбардировочного вооружения – ававрийные механические сбрасыватели пяти типов и предметы снаряжения (привязные ремни пилота и стрелка) с одновременным выпуском химприборов (ВАП-100, АБКН-500 и ХАРП-500) и деталей самолета – ленточных расчалок.</w:t>
      </w:r>
    </w:p>
    <w:p w14:paraId="36D170A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году приказом МАП № 738 от 19 ноября – профилирован как завод электромашин и агрегатов бомбардировочного вооружения.</w:t>
      </w:r>
    </w:p>
    <w:p w14:paraId="1BDC9A6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МАП от 22 января 1954 года за № 43сс профиль завода дополнен изделиями стрелково-пушечного вооружения конструкции ОКБ-476.</w:t>
      </w:r>
    </w:p>
    <w:p w14:paraId="791BC1F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Приказом МАП от 25 апреля 1955 года за № 283 заводу поручено освоение изделий ракетной техники с освобождением его от производства стрелково-пушечного и бомбардировочного вооружения и электроагрегатов.</w:t>
      </w:r>
    </w:p>
    <w:p w14:paraId="38EC56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Костино Мытищинского района Московской области</w:t>
      </w:r>
    </w:p>
    <w:p w14:paraId="5DAD20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Первый директор – Сорокин</w:t>
      </w:r>
    </w:p>
    <w:p w14:paraId="55CF9B7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апреля 1943 года – директор Горбунов М.П.</w:t>
      </w:r>
    </w:p>
    <w:p w14:paraId="188C9D1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мая 1950 года – директор Аржаков М.П. (9616).</w:t>
      </w:r>
    </w:p>
    <w:p w14:paraId="657277C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6A0EF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46CE103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1F6AFB"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июня 1942 г. Е.Э. Рубинчик направил заместителю председателя Государственного Комитета Обороны Союза ССР В.М. Молотову докладную записку о фактическом положении с производством танков Т-34 (ЦА МО РФ. Ф. 38. Оп. 11 355. Д. 645. Л. 49-50.).</w:t>
      </w:r>
    </w:p>
    <w:p w14:paraId="0D5803D1"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««Основной причиной глубокого прорыва завода и невыполнения плана по выпуску танков является, на мой взгляд, исключительная запущенность и неудовлетворительная работа металлургической базы завода». «Механические цеха, не имея полнокровной подачи металла, по существу, еще полностью даже не проверили свою мощность и возможность в деле выполнения плана» (ЦА МО РФ. Ф. 38. Оп. 11 355. Д. 645. Л.51.).</w:t>
      </w:r>
    </w:p>
    <w:p w14:paraId="04971A3C"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Важнейшими причинами отставания металлургической базы завода являлись, по мнению Е.Э. Рубинчика, «запущенность этого хозяйства на заводе, крайне неудовлетворительное снабжение завода огнеупорами, недостаток опытных кадров металлургов, особенно по качественным сталям, а также перебоев с получением ферросплавов, которые имели место до последнего времени.</w:t>
      </w:r>
    </w:p>
    <w:p w14:paraId="33D610D7"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Наряду с трудностями по металлу, очень сильно затормозило работу по выпуску танков имевшее место на заводе безответственное отношение к делу запуска в производство заменителей металла, приведшее к ухудшению качества машин» (ЦА МО РФ. Ф. 38. Оп. 11 355. Д. 645. Л. 52.). В итоге, «работа на заводе в 1-й половине июня была почти парализована» (ЦА МО РФ. Ф. 38. Оп. 11 355. Д. 645. Л. 52.).</w:t>
      </w:r>
    </w:p>
    <w:p w14:paraId="3650E5EB"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Руководство завода и партийная организация изыскивали внутренние резервы. Весной 1942 г. была проведена проверка цехов на предмет наличия излишнего металла, было собрано около 700 тонн нужного для производства материала (ГОПАНО. Ф. 34. Оп. 1. Д. 1652. Л. 24об.).</w:t>
      </w:r>
    </w:p>
    <w:p w14:paraId="58912BBB"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Выпуск танков лимитировался множеством других факторов. В том числе, недостатком кислорода. Дефицит кислорода составлял 3000 кубометров, что задерживало резку металла и работу корпусных цехов (ЦА МО РФ. Ф. 38. Оп. 11 355. Д. 645. Л. 53.). Траки являлись узким местом предприятия, их отливка в апреле 1942 г. не превышала 3 - 3,5 комплектов в сутки (ГОПАНО. Ф. 34. Оп. 1. Д. 1652. Л. 23об.).</w:t>
      </w:r>
    </w:p>
    <w:p w14:paraId="54478A16"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первые три месяца 1942 г. партком рассмотрел вопросы «о выполнении решения Обкома ВКП (б) от 10 марта по выпуску траков», обеспечения заводов- смежников металлом и деталями, о пуске формовочных станков (ГОПАНО. Ф. 34. Оп. 1. Д. 1652. Л. 24.). Проверка использования оборудования, особенно в ночных сменах, показала плохую загрузку станков. Партком завода № 112 провел совещание и партийные собрания в цехах. Около 200 станков было загружено работой и обеспечено рабочей силой. Партийный комитет создал комиссию по изысканию леса на предприятии, в результате было изыскано 1200 кубометров леса (ГОПАНО. Ф. 34. Оп. 1. Д. 1652. Л. 24об.).</w:t>
      </w:r>
    </w:p>
    <w:p w14:paraId="57895012"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Е.Э. Рубинчик писал: «Прошу Вас, Вячеслав Михайлович, рассмотреть фактическое положение дела с программой по танкам на нашем заводе и оказать нам срочную помощь в разрешении целого ряда неотложных вопросов для обеспечения скорейшего набора темпов для выполнения заданной заводу программы» (ЦА МО. РФ.Ф. 38. Оп. 11 355. Д. 645. Л. 53.).</w:t>
      </w:r>
    </w:p>
    <w:p w14:paraId="49D1B9D3"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Письмо можно назвать «программой Рубинчика» по развертыванию производства Т-34. В нее входила передача заводу кислородной установки на 100 кубометров; выделении с Чернореченского химического завода Наркомата химической промышленности по 4 тонны жидкого кислорода и по 250 баллонов газообразного кислорода в сутки. В ликвидации «кислородной проблемы» должны были задействовать Наркомат путей сообщения и Наркомат тяжелого машиностроения (ЦА МО РФ. Ф. 38. Оп. 11 355. Д. 645. Л. 53-54.).</w:t>
      </w:r>
    </w:p>
    <w:p w14:paraId="0DD2B417"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Основное внимание было уделено положению с металлом, поставке «в аварийном порядке» легированных сталей 1800 тонн, электролегированных - 450 тонн, различных видов железа с последующим возвратом. Перечень занял несколько машинописных страниц (ЦА МО РФ. Ф. 38. Оп. 11 355. Д. 645. Л. 54-56.).</w:t>
      </w:r>
    </w:p>
    <w:p w14:paraId="67538110"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просил направить на Сормовский завод сроком на два месяца 3 строительных батальона для проведения неотложных строительных работ по окончанию мартеновского цеха, так как «отсутствие строительной организации на заводе не позволяет быстро провести эти работы, без которых затормозится выполнение программы по танкам» (ЦА МО РФ. Ф. 38. Оп. 11 355. Д. 645. Л. 56).</w:t>
      </w:r>
    </w:p>
    <w:p w14:paraId="098B312F"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Речь шла о выделении 30 автомашин, 15 четырехтонных автоприцепов и трех автотягачей «для обслуживания неотложных нужд завода по внутризаводскому транспорту», передаче заводу 25 отбракованных паровозов для внутризаводского транспорта.</w:t>
      </w:r>
    </w:p>
    <w:p w14:paraId="3BEAA0E8"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просил обязать НКТП и директора Сталинградского тракторного завода (СТЗ) Задорожного отгрузить Сормовскому заводу в июне 1942 г. 250 комплектов траков, в июле - 200 комплектов, в сентябре - 100 комплектов.</w:t>
      </w:r>
    </w:p>
    <w:p w14:paraId="332BAD0A"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Программа включала направление на «Красное Сормово» 1000 человек домохозяек из трудовых резервов города Горького, выделение из очередного выпуска Ремесленных училищ (РУ) и школ фабрично-заводского обучения (ФЗО) 1000 человек выпускников. Директор просил откомандировать на завод из очередных отпусков 200 человек литейщиков, сталеваров, формовщиков, обрубщиков и организовать на предприятии школу ФЗО металлургического производства на 500 человек, обязать Горьковский облисполком и Горьковский горисполком обеспечить размещение прибывающих на завод рабочих на жилой площади города.</w:t>
      </w:r>
    </w:p>
    <w:p w14:paraId="2D9A1A6C"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Е.Э. Рубинчик настаивал «освободить Наркомтанкопром и Сормовский завод от передачи Наркомату судостроительной промышленности, по решению ГКО, 250 рабочих для судостроения, поскольку все они работают в данное время на выпуске танков».</w:t>
      </w:r>
    </w:p>
    <w:p w14:paraId="0BF46725"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Е.Э. Рубинчик просил В.М. Молотова для организации на заводе цеха приспособлений и штампов, обязать Госплан Союза ССР выделить Сормовскому заводу 100 станков. Он писал: «Для улучшения общественного питания рабочих завода, в дополнение оказанной заводу тов. Микояном помощи, прошу Вашего указания о разбронировании 300 тонн картофеля и выделении 50 тонн рыбы для общественного питания». </w:t>
      </w:r>
    </w:p>
    <w:p w14:paraId="3A25BBFA" w14:textId="77777777" w:rsidR="00C46ECB" w:rsidRPr="008A2E5A" w:rsidRDefault="00C46ECB" w:rsidP="00C46EC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это, по мнению директора, «даст нам возможность набрать темп в соответствии с заданной заводу программой» (ЦА МО РФ. Ф. 38. Оп. 11 355. Д. 645. Л. 58-59.) (23540).</w:t>
      </w:r>
    </w:p>
    <w:p w14:paraId="54A92EE0" w14:textId="77777777" w:rsidR="00C46ECB" w:rsidRPr="008A2E5A" w:rsidRDefault="00C46ECB" w:rsidP="00C46ECB">
      <w:pPr>
        <w:spacing w:after="0" w:line="240" w:lineRule="auto"/>
        <w:jc w:val="both"/>
        <w:rPr>
          <w:rFonts w:ascii="Times New Roman" w:hAnsi="Times New Roman"/>
          <w:color w:val="0070C0"/>
          <w:sz w:val="16"/>
          <w:szCs w:val="16"/>
        </w:rPr>
      </w:pPr>
    </w:p>
    <w:p w14:paraId="6A512E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июня 1942 вышло Постановление ГКО № 1909 О поставке Наркомвоенморфлоту корабельной дымаппаратуры в III квартале 1942 года. РГАНИР, Фонд ГКО, д. 39, лл. 211-212, 213-214 (11012).</w:t>
      </w:r>
    </w:p>
    <w:p w14:paraId="4773BA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D513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25B92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013B7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16 июня</w:t>
      </w:r>
      <w:r w:rsidRPr="008127F8">
        <w:rPr>
          <w:rFonts w:ascii="Times New Roman" w:hAnsi="Times New Roman"/>
          <w:color w:val="000000" w:themeColor="text1"/>
          <w:sz w:val="16"/>
          <w:szCs w:val="16"/>
        </w:rPr>
        <w:t xml:space="preserve"> в 1942 году утреннее сообщение Совинформбюро:</w:t>
      </w:r>
    </w:p>
    <w:p w14:paraId="1053821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16 июня на фронте существенных изменений не произошло.</w:t>
      </w:r>
    </w:p>
    <w:p w14:paraId="6EB2DDB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Харьковском направлении наши войска, отбивая атаки противника, наносят ему большие потери. Только на одном из участков наши части уничтожили 22 немецких танка, 18 орудий и 10 автомашин. Немцы потеряли убитыми 900 солдат и офицеров.</w:t>
      </w:r>
    </w:p>
    <w:p w14:paraId="5EF066C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Севастопольском участке фронта части Красной Армии совместно с краснофлотцами отражают ожесточённые атаки немецко-румынских войск. Подразделение моряков под командованием тов. Гусарова вчера ворвалось в окопы противника и уничтожило 250 гитлеровцев. Отряд наших бойцов во главе сполитруком Клишевичем в течение дня уничтожил более 150 солдат и офицеров противника.</w:t>
      </w:r>
    </w:p>
    <w:p w14:paraId="47A3F49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Брянского фронта, выбила немцев из занимаемых ими позиций. На поле боя противник оставил более 600 трупов солдат и офицеров. Захвачено 2 немецких танка, 9 пулемётов и 2 орудия. На другом участке наша часть заняла два населённых пункта и захватила у немцев 3 танка, 4 миномёта, 2 полевых орудия, 18 противотанковых ружей, радиостанцию и большое количество винтовок. Взяты пленные.</w:t>
      </w:r>
    </w:p>
    <w:p w14:paraId="77EA972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Части, действующие на отдельных участках Ленинградского фронта, за два дня боевых действий уничтожили 200 немецких солдат и офицеров. Огнём нашей артиллерии разрушено 4 немецких ДЗОТа, 3 наблюдательных пункта и уничтожено несколько орудий противника.</w:t>
      </w:r>
    </w:p>
    <w:p w14:paraId="7DB56E4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Гвардейская артиллерийская часть, где командиром тов. Азаренко, уничтожила немецкий склад с боеприпасами, 2 орудия, миномётную батарею, 60 подвод с военными грузами и рассеяла две роты пехоты противника.</w:t>
      </w:r>
    </w:p>
    <w:p w14:paraId="3454CC7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Будучи в разведке, командир бронемашины Разулин и водитель Ойротский были окружены пехотой противника. Немцы пытались захватить бронемашину. Огнём из пулемётов тт. Разулин и Ойротский уничтожили до 100 гитлеровцев, прорвали окружение и вернулись в свою часть.</w:t>
      </w:r>
    </w:p>
    <w:p w14:paraId="3436063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строительного батальона немецких военно-воздушных сил ПаульТ. рассказал: «Долгое время наш батальон находился вдали от передовых позиций. В конце мая его неожиданно перебросили на фронт. Когда русские внезапно прорвалисьв деревню, которую мы занимали, командир роты отсутствовал. Фельдфебель же сбежал, как только раздались первые выстрелы. После непродолжительного боя мы сложили оружие и сдались в плен».</w:t>
      </w:r>
    </w:p>
    <w:p w14:paraId="1799634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финского солдата Пентти Иоенсуу в кармане найдено письмо от брата, в котором говорится: «У нас забрали последнюю корову. Завтра я должен её доставить на станцию Раахе. Всё хозяйство развалилось. Как мы будем жить?».</w:t>
      </w:r>
    </w:p>
    <w:p w14:paraId="7282082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Объявленная гитлеровцами с 1 по 15 июня кампания сбора старых вещей позорно провалилась. Ограбленное фашистами население Германии всячески бойкотирует эту кампанию. В связи с этим власти продлили срок сбора вещей до 21 июля. Как сообщает берлинское радио, «кампания сбора старых вещей будет проводиться под лозунгом: «Отдай всё, что ты имеешь». В ряде городов Германии сбор вещей возложен на специальные отряды эсэсовцев. Они бесцеремонно врываются в квартиры и насильно отбирают у населения старые вещи.» (14924).</w:t>
      </w:r>
    </w:p>
    <w:p w14:paraId="017EF7C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EF4C88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16 июня</w:t>
      </w:r>
      <w:r w:rsidRPr="008127F8">
        <w:rPr>
          <w:rFonts w:ascii="Times New Roman" w:hAnsi="Times New Roman"/>
          <w:color w:val="000000" w:themeColor="text1"/>
          <w:sz w:val="16"/>
          <w:szCs w:val="16"/>
        </w:rPr>
        <w:t xml:space="preserve"> в 1942 году вечернее сообщение Совинформбюро:</w:t>
      </w:r>
    </w:p>
    <w:p w14:paraId="0FBE2CE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16 июня на Харьковском направлении наши войска отразили несколько атак противника.</w:t>
      </w:r>
    </w:p>
    <w:p w14:paraId="0DCD65F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Севастопольском участке фронта продолжаются ожесточённые бои. Все атаки немцев отбиты с большими для них потерями.</w:t>
      </w:r>
    </w:p>
    <w:p w14:paraId="1BCDC2F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 других участках фронта происходили бои местного значения и поиски разведчиков.</w:t>
      </w:r>
    </w:p>
    <w:p w14:paraId="3FBC8E5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15 июня частями нашей авиации на различных участках фронта уничтожено или повреждено 12 немецких танков, 100 автомашин с войсками и грузами, 10 зенитных орудий, взорваны склад с боеприпасами и склад с горючим, разбит железнодорожный состав, потоплен транспорт противника водоизмещением в 3.000 тонн и 2 мотобота, повреждено 4 транспорта и 2 сторожевых корабля, рассеяно и частью уничтожено до четырёх рот пехоты противника.</w:t>
      </w:r>
    </w:p>
    <w:p w14:paraId="3FAC691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Харьковском направлении наша часть внезапно атаковала противника, засевшего в одной деревне. Немцы были застигнуты врасплох. В коротком, но ожесточённом бою уничтожена автоколонна из 30 машин, 12 орудий и 4 немецких танка. Противник потерял убитыми свыше 200 солдат и офицеров. Успешно ведут борьбу с врагом наши танкисты. За один день экипаж танка старшего лейтенанта Антонова уничтожил три пушки, подбил два танка и истребил 50 немцев. Экипаж танка старшего лейтенанта Харена уничтожил 6 миномётов, 4 пулемёта, 2 мотоцикла и около 50 гитлеровцев. Танковый экипаж старшего лейтенанта Козакова подавил противотанковое орудие противника. Пулемётным огнём отважные танкисты прижали к земле отряд гитлеровцев и предложили им сдаться в плен, 46 немецких солдат вместе с офицерами сложили оружие. Танкисты доставили их в штаб.</w:t>
      </w:r>
    </w:p>
    <w:p w14:paraId="5448122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одном из участков Северо-Западного фронта, выбили противника из сильно укреплённого узла сопротивления. В этом бою немцы потеряли до 400 солдат и офицеров. Нашими бойцами захвачено несколько орудий, 9 миномётов, 19 пулемётов, 6 противотанковых ружей, много винтовок, патронов и мин. Взяты пленные. Гитлеровцы, подтянув резервы, три раза пытались вернуть потерянные позиции, но были отброшены.</w:t>
      </w:r>
    </w:p>
    <w:p w14:paraId="6BEE80D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артиллерия, действующая на одном из участков Западного фронта, разрушила 3 немецких блиндажа, взорвала склад боеприпасов и склад горючего, уничтожила несколько станковых пулемётов. Немцы потеряли не менее 200 солдат и офицеров.</w:t>
      </w:r>
    </w:p>
    <w:p w14:paraId="37D0D9C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Десять гитлеровцев окружили блиндаж, в котором находился командир взвода связи тов. Высенко, и пытались взять его в плен. Отважный командир, несмотря на ранение, уничтожил 9 немецких солдат и одного офицера. Подоспевшие на помощь бойцы выручили своего командира.</w:t>
      </w:r>
    </w:p>
    <w:p w14:paraId="623F408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одном из захваченных немцами районов Украины активно действует партизанскийотряд тов. Б. За 10 месяцев борьбы с оккупантами партизаны уничтожили свыше 1.200 гитлеровцев. Советские патриоты разгромили два немецких штаба, пустили под откос четыре железнодорожных эшелона с войсками, уничтожили 13 железнодорожных и шоссейных мостов, 2 продовольственных склада и сожгли на аэродроме немецкий самолёт.</w:t>
      </w:r>
    </w:p>
    <w:p w14:paraId="2F9BF68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Ценой больших усилий немецко-фашистским захватчикам удалось частично восстановить электростанцию в городе Сталино (Донбасс). Однако немцы не успели ещё пустить станцию в эксплуатацию, как она была взорвана. Та же участь постигла и отдельные восстановленные цехи завода, где оккупанты пытались наладить ремонт танков и автомашин. Ночью советские патриоты подорвали эти цехи и сожгли контору завода.</w:t>
      </w:r>
    </w:p>
    <w:p w14:paraId="0D4C7CD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Пленный солдат 698 немецкого пехотного полка Иозеф Н. заявил: «Наш полк прибыл на Восточный фронт в середине марта. Ему почти не приходилось участвовать в боях. Несмотря на это, у солдат очень подавленное настроение. Мы устали от непосильной работы и всевозможных нарядов. С раннего утра и до поздней ночи мы </w:t>
      </w:r>
      <w:r w:rsidRPr="008127F8">
        <w:rPr>
          <w:rFonts w:ascii="Times New Roman" w:hAnsi="Times New Roman"/>
          <w:color w:val="000000" w:themeColor="text1"/>
          <w:sz w:val="16"/>
          <w:szCs w:val="16"/>
        </w:rPr>
        <w:lastRenderedPageBreak/>
        <w:t>строили укрепления. Для сна оставалось ничтожно мало времени. К тому же мы часто голодали. Солдаты оборвались, обовшивели. Многие из них не имеют нижнего белья.</w:t>
      </w:r>
    </w:p>
    <w:p w14:paraId="4A5D427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нашей роте есть значительная группа солдат, желающих добровольно сдаться в плен. Я могу назвать больше десятка фамилий, но прошу их не оглашать в прессе, так как это может им повредить. Они ждут удобного случая, чтобы перейти на сторону русских».</w:t>
      </w:r>
    </w:p>
    <w:p w14:paraId="76CC396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военных заводов, расположенных близ Магдебурга (Германия), среди рабочих вспыхнула забастовка протеста против многочисленных принудительных вычетов из зарплаты. Чиновники из фашистского «Трудового фронта», пытавшиеся уговорить рабочих прекратить забастовку, были избиты. Тогда местные власти закрыли столовые и магазины и объявили населению, что выдача продуктов не будет производиться до тех пор, пока рабочие не приступят к работе и не выдадут организаторов забастовки. Собравшаяся толпа разгромила магазины. На другой день на завод прибыл батальон эсэсовцев. Произведены массовые аресты.</w:t>
      </w:r>
    </w:p>
    <w:p w14:paraId="13C2302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Героически борются против немецко-итальянских оккупантов партизаны Югославии. Сейчас выступления партизан носят всё более и более широкий характер. Недавно в Словении итальянские захватчики вынуждены были применить против партизан не только пехотные части, но артиллерию и авиацию. В результате трёхнедельных боёв оккупанты были разбиты партизанами. По итальянским данным, убито 1.500 итальянских солдат и офицеров, на самом же деле, убито итальянцев значительно больше. Партизаны уничтожили много грузовых автомашин, несколько железнодорожных эшелонов и захватили у противника большие трофеи.» (14924).</w:t>
      </w:r>
    </w:p>
    <w:p w14:paraId="1BBD3F6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636FF7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Вечером 16 июня 1942 тройка ДБ-3, возглавляемая капитаном Дроздовым (ведомые - А.В.Пресняков и Ю.Э.Бунимович) атаковала вражеские корабли на якорной стоянке у западного побережья Гогланда, после чего наблюдала пожар на одном из «транспортов». Через сутки Пресняков и Бунимович наблюдали взрывы своих торпед на той же стоянке, но и на этот раз данных, подтверждающих достижение успеха нет (9965).</w:t>
      </w:r>
    </w:p>
    <w:p w14:paraId="46F3E5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A810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июня 1942 году в Севастополе была взорвана батарея N30, которая вела огонь буквально до последнего снаряда (а батарея № 35 в ночь с 1 на 2 июля) (3861).</w:t>
      </w:r>
    </w:p>
    <w:p w14:paraId="6B8CD47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C093C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июня 1942 г. вышел ПРИКАЗ №00125 О ФОРМИРОВАНИИ ЦЕНТРАЛЬНОГО И РЕГИОНАЛЬНЫХ ШТАБОВ ПАРТИЗАНСКОГО ДВИЖЕНИЯ</w:t>
      </w:r>
    </w:p>
    <w:p w14:paraId="3AF227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постановлением Государственного Комитета Обороны от 30 мая 1942 г. № ГОКО-1837сс к 25 июня 1942 г. сформировать:</w:t>
      </w:r>
    </w:p>
    <w:p w14:paraId="76E2ADD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Центральный штаб партизанского движения при Ставке Верховного Главнокомандования по штату № 01/277, возложив формирование Центрального штаба на начальника штаба тов. Пономаренко П. К.</w:t>
      </w:r>
    </w:p>
    <w:p w14:paraId="71342E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Украинский, Брянский, Калининский, Западный, Ленинградский и Каре-ло-Финский штабы партизанского движения по штатам 02/301—301 — Б.</w:t>
      </w:r>
    </w:p>
    <w:p w14:paraId="79F5627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Оперативные группы Штаба партизанского движения при военных советах армий по штату № 02/302.</w:t>
      </w:r>
    </w:p>
    <w:p w14:paraId="55D04F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Перечень армий, при которых создаются оперативные группы, установить Центральному штабу партизанского движения.</w:t>
      </w:r>
    </w:p>
    <w:p w14:paraId="339103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Центральную школу организаторов партизанских отрядов Штаба партизанского движения по штату № 017/219 с дислокацией в г. Москва.</w:t>
      </w:r>
    </w:p>
    <w:p w14:paraId="5D4E4A8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Центральную специальную радиошколу по штату № 014/51 с дислокацией в г. Москва.</w:t>
      </w:r>
    </w:p>
    <w:p w14:paraId="1F8E89B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Подвижные радиоузлы при Центральном штабе партизанского движения и при Украинском, Брянском, Калининском, Западном, Ленинградском и Карело-Финском штабах партизанского движения — по штату № 014/60.</w:t>
      </w:r>
    </w:p>
    <w:p w14:paraId="3A4710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Оперативно-учебный центр, содержащийся по штату №017/201, изъять из подчинения военного совета Западного фронта и передать в подчинение Центрального штаба партизанского движения.</w:t>
      </w:r>
    </w:p>
    <w:p w14:paraId="5348F80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Формирование фронтовых штабов партизанского движения, оперативных групп при военных советах армий, подвижных радиоузлов возложить на военные советы соответствующих фронтов.</w:t>
      </w:r>
    </w:p>
    <w:p w14:paraId="315FAB7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Начальнику Главного управления кадров НКО обеспечить формирование необходимыми кадрами начальствующего состава.</w:t>
      </w:r>
    </w:p>
    <w:p w14:paraId="3E40B67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Обеспечение формирований всеми видами имущества и транспорта произвести распоряжением начальников главных управлений НКО СССР.</w:t>
      </w:r>
    </w:p>
    <w:p w14:paraId="53A3BCD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Заместитель Наркома обороны СССР армейский комиссар 1 ранга Е. ЩАДЕНКО</w:t>
      </w:r>
      <w:r w:rsidRPr="008127F8">
        <w:rPr>
          <w:rFonts w:ascii="Times New Roman" w:hAnsi="Times New Roman"/>
          <w:color w:val="000000" w:themeColor="text1"/>
          <w:sz w:val="16"/>
          <w:szCs w:val="16"/>
        </w:rPr>
        <w:t xml:space="preserve"> (9844).</w:t>
      </w:r>
    </w:p>
    <w:p w14:paraId="4B90F30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C91D3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июня 1942 г. вышел ПРИКАЗ № 188 ОБ ОХРАНЕ ТРОФЕЙНОГО И ОТЕЧЕСТВЕННОГО ВООРУЖЕНИЯ И ИМУЩЕСТВА, ОСТАВЛЕННОГО НА ПОЛЯХ СРАЖЕНИЙ</w:t>
      </w:r>
    </w:p>
    <w:p w14:paraId="48731C4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сохранения невывезенного с полей сражений трофейного и отечественного вооружения, имущества и ценностей приказываю:</w:t>
      </w:r>
    </w:p>
    <w:p w14:paraId="031194D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Командирам частей и соединений действующей Красной Армии организовать в отведенных для них границах охрану находящегося на полях сражений вооружения, имущества и ценностей до вывоза их в склады, базы и ремонтные органы армий и фронта.</w:t>
      </w:r>
    </w:p>
    <w:p w14:paraId="548787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изменении дислокации частей и соединений охрану вооружения и имущества передавать вторым эшелонам или возлагать на местные органы власти.</w:t>
      </w:r>
    </w:p>
    <w:p w14:paraId="6E68BDD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Шире привлекать местные органы власти к несению охраны собранного или находящегося на полях сражений вооружения и имущества.</w:t>
      </w:r>
    </w:p>
    <w:p w14:paraId="43489F4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Привлекать к судебной ответственности командиров, не обеспечивших охрану имущества, а также военнослужащих и граждан за снятие с годных, требующих ремонта и негодных танков, автомашин и тракторов деталей, частей, приборов и агрегатов.</w:t>
      </w:r>
    </w:p>
    <w:p w14:paraId="54123DA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Разделку указанных военных машин на запчасти, детали и агрегаты производить, как правило, на сборных пунктах, складах и ремонтных органах в присутствии соответствующих специалистов.</w:t>
      </w:r>
    </w:p>
    <w:p w14:paraId="5AD5177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Личные ценные вещи, как-то: бинокли, фотоаппараты, часы, портсигары и тому подобные предметы, собранные войсками с убитых вражеских солдат и офицеров, а также захваченные в обозах, штабах и складах противника, сдавать по утвержденной описи на армейские склады трофейного вооружения и имущества.</w:t>
      </w:r>
    </w:p>
    <w:p w14:paraId="3BF25FF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Ценные вещи, поступившие на склады, приходуются последними установленным порядком и зачисляются в наградной фонд военных советов армий.</w:t>
      </w:r>
    </w:p>
    <w:p w14:paraId="5C57520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Ценные вещи из золота, серебра, платины, драгоценные камни, ценные бумаги и все денежные знаки, собранные или захваченные у противника, а также ценные вещи и денежные знаки, собранные у погибших красноармейцев и командиров, учитываются и расходуются порядком, предусмотренным в приказе НКО 1941 г. №0146 (ст. ст. 39 и 40).*</w:t>
      </w:r>
    </w:p>
    <w:p w14:paraId="1CF1C5B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Виновных в присвоении личных ценных вещей предавать суду военного трибунала.</w:t>
      </w:r>
    </w:p>
    <w:p w14:paraId="023A86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объявить всему начальствующему составу действующей Красной Армии.</w:t>
      </w:r>
    </w:p>
    <w:p w14:paraId="1A3FE24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Заместитель Народного комиссара обороны СССР генерал-лейтенант интендантской службы ХРУЛЕВ </w:t>
      </w:r>
      <w:r w:rsidRPr="008127F8">
        <w:rPr>
          <w:rFonts w:ascii="Times New Roman" w:hAnsi="Times New Roman"/>
          <w:color w:val="000000" w:themeColor="text1"/>
          <w:sz w:val="16"/>
          <w:szCs w:val="16"/>
        </w:rPr>
        <w:t>(9844).</w:t>
      </w:r>
    </w:p>
    <w:p w14:paraId="1FD8027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E2EC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688521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51FA7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16 июня</w:t>
      </w:r>
      <w:r w:rsidRPr="008127F8">
        <w:rPr>
          <w:rFonts w:ascii="Times New Roman" w:hAnsi="Times New Roman"/>
          <w:color w:val="000000" w:themeColor="text1"/>
          <w:sz w:val="16"/>
          <w:szCs w:val="16"/>
        </w:rPr>
        <w:t xml:space="preserve"> в 1942 году Исполком Коминтерна направил письмо ЦК Коммунистической партии Китая о необходимости создания единого фронта в Китае для борьбы с Японией (14924).</w:t>
      </w:r>
    </w:p>
    <w:p w14:paraId="2203768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9E739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8127F8">
        <w:rPr>
          <w:rFonts w:ascii="Times New Roman" w:hAnsi="Times New Roman"/>
          <w:i/>
          <w:iCs/>
          <w:color w:val="000000" w:themeColor="text1"/>
          <w:sz w:val="16"/>
          <w:szCs w:val="16"/>
        </w:rPr>
        <w:t>За</w:t>
      </w:r>
      <w:r w:rsidRPr="008127F8">
        <w:rPr>
          <w:rFonts w:ascii="Times New Roman" w:hAnsi="Times New Roman"/>
          <w:i/>
          <w:iCs/>
          <w:color w:val="000000" w:themeColor="text1"/>
          <w:sz w:val="16"/>
          <w:szCs w:val="16"/>
          <w:lang w:val="en-US"/>
        </w:rPr>
        <w:t xml:space="preserve"> </w:t>
      </w:r>
      <w:r w:rsidRPr="008127F8">
        <w:rPr>
          <w:rFonts w:ascii="Times New Roman" w:hAnsi="Times New Roman"/>
          <w:i/>
          <w:iCs/>
          <w:color w:val="000000" w:themeColor="text1"/>
          <w:sz w:val="16"/>
          <w:szCs w:val="16"/>
        </w:rPr>
        <w:t>рубежом</w:t>
      </w:r>
      <w:r w:rsidRPr="008127F8">
        <w:rPr>
          <w:rFonts w:ascii="Times New Roman" w:hAnsi="Times New Roman"/>
          <w:i/>
          <w:iCs/>
          <w:color w:val="000000" w:themeColor="text1"/>
          <w:sz w:val="16"/>
          <w:szCs w:val="16"/>
          <w:lang w:val="en-US"/>
        </w:rPr>
        <w:t>:</w:t>
      </w:r>
    </w:p>
    <w:p w14:paraId="36973F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637829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 16th, 1942: The British light cruiser Hermione is sunk by U-205 (Kptlt. Reschke) South of Crete in the Mediterranean (3819).</w:t>
      </w:r>
    </w:p>
    <w:p w14:paraId="13D4D91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799460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 xml:space="preserve">16 </w:t>
      </w:r>
      <w:r w:rsidRPr="008127F8">
        <w:rPr>
          <w:rFonts w:ascii="Times New Roman" w:hAnsi="Times New Roman"/>
          <w:color w:val="000000" w:themeColor="text1"/>
          <w:sz w:val="16"/>
          <w:szCs w:val="16"/>
        </w:rPr>
        <w:t>июня</w:t>
      </w:r>
      <w:r w:rsidRPr="008127F8">
        <w:rPr>
          <w:rFonts w:ascii="Times New Roman" w:hAnsi="Times New Roman"/>
          <w:color w:val="000000" w:themeColor="text1"/>
          <w:sz w:val="16"/>
          <w:szCs w:val="16"/>
          <w:lang w:val="en-US"/>
        </w:rPr>
        <w:t xml:space="preserve"> 1942 </w:t>
      </w:r>
      <w:r w:rsidRPr="008127F8">
        <w:rPr>
          <w:rFonts w:ascii="Times New Roman" w:hAnsi="Times New Roman"/>
          <w:color w:val="000000" w:themeColor="text1"/>
          <w:sz w:val="16"/>
          <w:szCs w:val="16"/>
        </w:rPr>
        <w:t>легкийкрейсерХермионбылпотопленподложкойУ</w:t>
      </w:r>
      <w:r w:rsidRPr="008127F8">
        <w:rPr>
          <w:rFonts w:ascii="Times New Roman" w:hAnsi="Times New Roman"/>
          <w:color w:val="000000" w:themeColor="text1"/>
          <w:sz w:val="16"/>
          <w:szCs w:val="16"/>
          <w:lang w:val="en-US"/>
        </w:rPr>
        <w:t>-205 (</w:t>
      </w:r>
      <w:r w:rsidRPr="008127F8">
        <w:rPr>
          <w:rFonts w:ascii="Times New Roman" w:hAnsi="Times New Roman"/>
          <w:color w:val="000000" w:themeColor="text1"/>
          <w:sz w:val="16"/>
          <w:szCs w:val="16"/>
        </w:rPr>
        <w:t>Решке</w:t>
      </w:r>
      <w:r w:rsidRPr="008127F8">
        <w:rPr>
          <w:rFonts w:ascii="Times New Roman" w:hAnsi="Times New Roman"/>
          <w:color w:val="000000" w:themeColor="text1"/>
          <w:sz w:val="16"/>
          <w:szCs w:val="16"/>
          <w:lang w:val="en-US"/>
        </w:rPr>
        <w:t xml:space="preserve">) </w:t>
      </w:r>
      <w:r w:rsidRPr="008127F8">
        <w:rPr>
          <w:rFonts w:ascii="Times New Roman" w:hAnsi="Times New Roman"/>
          <w:color w:val="000000" w:themeColor="text1"/>
          <w:sz w:val="16"/>
          <w:szCs w:val="16"/>
        </w:rPr>
        <w:t>наюготКрита</w:t>
      </w:r>
      <w:r w:rsidRPr="008127F8">
        <w:rPr>
          <w:rFonts w:ascii="Times New Roman" w:hAnsi="Times New Roman"/>
          <w:color w:val="000000" w:themeColor="text1"/>
          <w:sz w:val="16"/>
          <w:szCs w:val="16"/>
          <w:lang w:val="en-US"/>
        </w:rPr>
        <w:t xml:space="preserve"> (3819).</w:t>
      </w:r>
    </w:p>
    <w:p w14:paraId="7E218D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833095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июня 1942 Уинстон Черчилль на случай своей гибели назначил своим преемником министра иностранных дел Англии Антона Идена (4962).</w:t>
      </w:r>
    </w:p>
    <w:p w14:paraId="08FA156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144F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F4B682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E7826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июня 1942 вышел ПРИКАЗ НКО № 0490 ОБ ИСПОЛЬЗОВАНИИ САМОЛЕТОВ Ил-2 КАК ДНЕВНЫХ БОМБАРДИРОВЩИКОВ</w:t>
      </w:r>
    </w:p>
    <w:p w14:paraId="7E8261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Среди многих наших общевойсковых и авиационных командиров укоренилось совершенно неправильное мнение, что у нас, кроме самолетов Пе-2, нет других дневных бомбардировщиков и что поэтому при отсутствии или недостатке на фронте самолетов Пе-2 мы не можем бомбить противника днем на поле боя или по ближайшим тылам. Это в корне неверно. Мы располагаем штурмовиками Ил-2, которые являются лучшими ближними дневными бомбардировщиками против танков и живой силы противника (слова “против танков и живой силы противника” добавлены И. Сталиным). Штурмовик </w:t>
      </w:r>
      <w:r w:rsidRPr="008127F8">
        <w:rPr>
          <w:rFonts w:ascii="Times New Roman" w:hAnsi="Times New Roman"/>
          <w:iCs/>
          <w:color w:val="000000" w:themeColor="text1"/>
          <w:sz w:val="16"/>
          <w:szCs w:val="16"/>
        </w:rPr>
        <w:t xml:space="preserve">Ил-2, </w:t>
      </w:r>
      <w:r w:rsidRPr="008127F8">
        <w:rPr>
          <w:rFonts w:ascii="Times New Roman" w:hAnsi="Times New Roman"/>
          <w:color w:val="000000" w:themeColor="text1"/>
          <w:sz w:val="16"/>
          <w:szCs w:val="16"/>
        </w:rPr>
        <w:t>обладающий хорошей бронезащитой и вооруженный пушками, пулеметами и эресами, может, наряду со всем этим вооружением, брать бомбовую нагрузку в 600 кг, например: 4 бомбы внутрь бомболюка по 100 кг каждая бомба и 2 бомбы снаружи по 100 кг каждая бомба или 24 бомбы внутрь бомболюка по 25 кг каждая бомба. Таких ближних дневных бомбардировщиков нет ни в одной другой армии, ни в немецкой, ни в итальянской (слова “ни в немецкой, ни в итальянской”, “дневных”, “и мотоколоннам” добавлены И. Сталиным).</w:t>
      </w:r>
    </w:p>
    <w:p w14:paraId="6AF3263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Все дело заключается только в том, что наши штурмовые авиачасти по вине авиационных и общевойсковых командиров совершенно не используют или плохо используют штурмовики Ил-2 в качестве дневных* бомбардировщиков, а посылают эти самолеты для действия по противнику только с боекомплектом для пушек, </w:t>
      </w:r>
      <w:r w:rsidRPr="008127F8">
        <w:rPr>
          <w:rFonts w:ascii="Times New Roman" w:hAnsi="Times New Roman"/>
          <w:color w:val="000000" w:themeColor="text1"/>
          <w:sz w:val="16"/>
          <w:szCs w:val="16"/>
        </w:rPr>
        <w:lastRenderedPageBreak/>
        <w:t>пулеметов и с подвеской эресов.</w:t>
      </w:r>
    </w:p>
    <w:p w14:paraId="0D0D44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Мы можем и должны значительно увеличить наши бомбардировочные дневные удары по противнику, но для этого надо немедля покончить с вредной практикой недооценки самолетов Ил-2 как дневных бомбардировщиков и добиться того, чтобы ни один самолет Ил-2 не вылетал в бой без полной бомбовой нагрузки.</w:t>
      </w:r>
    </w:p>
    <w:p w14:paraId="5106D1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p>
    <w:p w14:paraId="0DA3F0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Под личную ответственность командиров штурмовых авиадивизий и авиаполков запретить выпускать Ил-2 в бой без бомбовой нагрузки.</w:t>
      </w:r>
    </w:p>
    <w:p w14:paraId="65405D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Установить в зависимости от целей и выполняемых задач следующие варианты бомбовой зарядки для самолета Ил-2:</w:t>
      </w:r>
    </w:p>
    <w:p w14:paraId="715C9C8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6 бомб по 100 кг каждая, из них 4 бомбы в бомболюк на внутренние замки и 2 бомбы — на наружные замки;</w:t>
      </w:r>
    </w:p>
    <w:p w14:paraId="08EDD3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24 осколочные авиабомбы внутрь бомболюка (с применением кассет КМБ-2) по 25 кг каждая бомба, или по 20 кг каждая бомба, или по 15 кг каждая бомба, или по 10 кг каждая бомба. При этом в случае применения 10- и 15-килограммовых бомб можно дополнительно подвешивать снаружи 2 бомбы по 100 кг каждая, а в случае применения 20-килограммовых бомб можно дополнительно подвешивать снаружи 2 бомбы по 50 кг каждая;</w:t>
      </w:r>
    </w:p>
    <w:p w14:paraId="26D090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140 осколочных авиабомб по 2'/2 кг внутрь бомболюка и 2 бомбы по 100 кг каждая на наружные замки.</w:t>
      </w:r>
    </w:p>
    <w:p w14:paraId="2A32794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всех вариантах бомбовой зарядки для самолета Ил-2 общий вес авиабомб не должен превышать 600 кг.</w:t>
      </w:r>
    </w:p>
    <w:p w14:paraId="6D640BC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Установить для летчиков-штурмовиков денежное вознаграждение в размере 1000 рублей за каждые 4 вылета с полной бомбовой нагрузкой при выполнении боевого задания по бомбометанию и штурмовым действиям по живой силе противника или по танкам и мотоколоннам.*</w:t>
      </w:r>
    </w:p>
    <w:p w14:paraId="3224FA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Командирам штурмовых авиадивизий и авиаполков довести настоящий приказ до всего летного состава штурмовых частей, вооруженных самолетами Ил-2.</w:t>
      </w:r>
    </w:p>
    <w:p w14:paraId="4F9EA0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 выполнении настоящего приказа командующим ВВС фронтов и воздушных армий доносить командующему ВВС Красной Армии ежедневно к 22 часам.</w:t>
      </w:r>
    </w:p>
    <w:p w14:paraId="138926F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Народный комиссар обороны И. СТАЛИН </w:t>
      </w:r>
      <w:r w:rsidRPr="008127F8">
        <w:rPr>
          <w:rFonts w:ascii="Times New Roman" w:hAnsi="Times New Roman"/>
          <w:color w:val="000000" w:themeColor="text1"/>
          <w:sz w:val="16"/>
          <w:szCs w:val="16"/>
        </w:rPr>
        <w:t>(9844).</w:t>
      </w:r>
    </w:p>
    <w:p w14:paraId="0FA87C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CEE22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июня 1942 г. вышел ПРИКАЗ НАРОДНОГО КОМИССАРА ОБОРОНЫ СОЮЗА ССР И. СТАЛИНА № 0490</w:t>
      </w:r>
    </w:p>
    <w:p w14:paraId="14C6C48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bCs/>
          <w:color w:val="000000" w:themeColor="text1"/>
          <w:sz w:val="16"/>
          <w:szCs w:val="16"/>
        </w:rPr>
      </w:pPr>
      <w:r w:rsidRPr="008127F8">
        <w:rPr>
          <w:rFonts w:ascii="Times New Roman" w:hAnsi="Times New Roman"/>
          <w:color w:val="000000" w:themeColor="text1"/>
          <w:sz w:val="16"/>
          <w:szCs w:val="16"/>
        </w:rPr>
        <w:t>Об использовании самолетов Ил-2 как дневных бомбардировщиков</w:t>
      </w:r>
    </w:p>
    <w:p w14:paraId="286DC75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Среди многих наших общевойсковых и авиационных командиров укоренилось совершенно неправильное мнение, что у нас, кроме самолетов Пе-2, нет других дневных бомбардировщиков и что поэтому при отсутствии или недостатке на фронте самолетов Пе-2 мы не можем бомбить противника днем на поле боя или по ближайшим тылам. Это в корне неверно. Мы располагаем штурмовиками Ил-2, которые являются лучшими ближними дневными бомбардировщиками против танков и живой силы противника. Штурмовик Ил-2, обладающий хорошей бронезащитой и вооруженный пушками, пулеметами и реактивными снарядами, может наряду со всем этим вооружением брать бомбовую нагрузку в 600 кг, например: 4 бомбы внутрь бомболюка по 100 кг каждая бомба и 2 бомбы снаружи по 100 кг каждая бомба или 24 бомбы внутрь бомболюка по 25 кг каждая бомба. Таких ближних дневных бомбардировщиков нет ни в одной другой армии, ни в немецкой, ни в итальянской.</w:t>
      </w:r>
    </w:p>
    <w:p w14:paraId="1684D761"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дело заключается только в том, что наши штурмовые авиационные части по вине авиационных и общевойсковых командиров совершенно не используют или плохо используют штурмовики Ил-2 в качестве дневных бомбардировщиков, а посылают эти самолеты для действия по противнику только с боекомплектом для пушек, пулеметов и с подвеской реактивных снарядов.</w:t>
      </w:r>
    </w:p>
    <w:p w14:paraId="0147735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Мы можем и должны значительно увеличить наши бомбардировочные дневные удары по противнику, но для этого надо немедля покончить с вредной практикой недооценки самолетов Ил-2 как дневных бомбардировщиков и добиться того, чтобы ни один самолет Ил-2 не вылетал в бой без полной бомбовой нагрузки.</w:t>
      </w:r>
    </w:p>
    <w:p w14:paraId="2D21896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p>
    <w:p w14:paraId="7AA2283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Под личную ответственность командиров штурмовых авиационных дивизий и авиационных полков запретить выпускать Ил-2 в бой без бомбовой нагрузки.</w:t>
      </w:r>
    </w:p>
    <w:p w14:paraId="39ED907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Установить в зависимости от целей и выполняемых задач следующие варианты бомбовой зарядки для самолета Ил-2:</w:t>
      </w:r>
    </w:p>
    <w:p w14:paraId="69CD378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6 бомб по 100 кг каждая, из них 4 бомбы в бомболюк на внутренние замки и 2 бомбы на наружные замки;</w:t>
      </w:r>
    </w:p>
    <w:p w14:paraId="00D7CBED"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24 осколочные авиационные бомбы внутрь бомболюка (с применением кассет КМБ-2) по 25 кг каждая бомба, или по 20 кг каждая бомба, или по 15 кг каждая бомба, или по 10 кг каждая бомба; при этом в случае применения 10 и 15-килограммовых бомб можно дополнительно подвешивать снаружи 2 бомбы по 100 кг каждая, а в случае применения 20-килограммовых бомб можно дополнительно подвешивать снаружи 2 бомбы по 50 кг каждая;</w:t>
      </w:r>
    </w:p>
    <w:p w14:paraId="71B6F81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140 осколочных авиационных бомб по 2,5 кг внутрь бомболюка и 2 бомбы по 100 кг каждая на наружные замки.</w:t>
      </w:r>
    </w:p>
    <w:p w14:paraId="1357B47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всех вариантах бомбовой зарядки для самолета Ил-2 общий вес авиационных бомб не должен превышать 600 кг.</w:t>
      </w:r>
    </w:p>
    <w:p w14:paraId="26B3FEA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Установить для летчиков-штурмовиков денежное вознаграждение в размере 1000 рублей за каждые 4 вылета с полной бомбовой нагрузкой при выполнении боевого задания по бомбометанию и штурмовым действиям по живой силе противника или по танкам и мотоколоннам.</w:t>
      </w:r>
    </w:p>
    <w:p w14:paraId="623CD49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Командирам штурмовых авиационных дивизий и авиационных полков довести настоящий приказ до всего летного состава штурмовых частей, вооруженных самолетами Ил-2.</w:t>
      </w:r>
    </w:p>
    <w:p w14:paraId="52B5484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 выполнении настоящего приказа командующим военно-воздушными силами фронтов и воздушных армий доносить командующему Военно-воздушными силами Красной Армии ежедневно к 22 часам (4964).</w:t>
      </w:r>
    </w:p>
    <w:p w14:paraId="0FA1A87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C81E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июня 1942 г. вышел приказ НКО: “Мы располагаем, - говорилось в приказе, - штурмовиками Ил-2, которые являются лучшими дневными бомбардировщиками против танков и живой силы противника. Штурмовик Ил-2, обладающий хорошей бронезащитой и вооруженный пушками, пулеметами и ре активными снарядами, может наряду со всем этим вооружением брать бомбовую нагрузку 600 кг... Такиз ближних дневных бомбардировщиков нет ни в одной другой армии.</w:t>
      </w:r>
    </w:p>
    <w:p w14:paraId="634786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Мы можем и должны значительно увеличить наши бомбардировочные дневные удары по противнику, но для этого надо немедля покончить с вредной практикой недооценки самолетов Ил-2 как дневных бомбардировщиков и добиться того, чтобы ни один самолет Ил-2 не вылетал в бой без полной бомбовой нагрузки” (9528).</w:t>
      </w:r>
    </w:p>
    <w:p w14:paraId="4A006A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07021F" w14:textId="77777777" w:rsidR="007C5583" w:rsidRPr="008127F8" w:rsidRDefault="007C5583" w:rsidP="007C5583">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17 июня 1942 г. Заместитель начальника ВИАМ по научной работе С.Т. Кишкин и заместитель начальни</w:t>
      </w:r>
      <w:r w:rsidRPr="008127F8">
        <w:rPr>
          <w:rFonts w:ascii="Times New Roman" w:cs="Times New Roman"/>
          <w:color w:val="000000" w:themeColor="text1"/>
          <w:spacing w:val="0"/>
          <w:sz w:val="16"/>
          <w:szCs w:val="16"/>
        </w:rPr>
        <w:softHyphen/>
        <w:t>ка бронелаборатории института Н.М. Скляров дали положительное заключение по резуль</w:t>
      </w:r>
      <w:r w:rsidRPr="008127F8">
        <w:rPr>
          <w:rFonts w:ascii="Times New Roman" w:cs="Times New Roman"/>
          <w:color w:val="000000" w:themeColor="text1"/>
          <w:spacing w:val="0"/>
          <w:sz w:val="16"/>
          <w:szCs w:val="16"/>
        </w:rPr>
        <w:softHyphen/>
        <w:t xml:space="preserve">татам испытаний экранных броневых систем и в письме начальнику Управления заказов самолетов и моторов ГУЗ ВВС КА инж. полковнику Алексееву указали: </w:t>
      </w:r>
      <w:r w:rsidRPr="00FC6A26">
        <w:rPr>
          <w:rStyle w:val="aff8"/>
          <w:rFonts w:ascii="Times New Roman" w:eastAsia="Arial Narrow" w:hAnsi="Times New Roman" w:cs="Times New Roman"/>
          <w:i w:val="0"/>
          <w:iCs w:val="0"/>
          <w:color w:val="000000" w:themeColor="text1"/>
          <w:spacing w:val="0"/>
        </w:rPr>
        <w:t>«Предложение, сделанное инж. капитаном 5-го отдела т. Григорьевым, применить экраниро</w:t>
      </w:r>
      <w:r w:rsidRPr="00FC6A26">
        <w:rPr>
          <w:rStyle w:val="aff8"/>
          <w:rFonts w:ascii="Times New Roman" w:eastAsia="Arial Narrow" w:hAnsi="Times New Roman" w:cs="Times New Roman"/>
          <w:i w:val="0"/>
          <w:iCs w:val="0"/>
          <w:color w:val="000000" w:themeColor="text1"/>
          <w:spacing w:val="0"/>
        </w:rPr>
        <w:softHyphen/>
        <w:t>ванные системы для повышения пулестойкости спинки самолета Ил-2 и проверенное заводом №125 является, безусловно, правильным»</w:t>
      </w:r>
      <w:r w:rsidRPr="00FC6A26">
        <w:rPr>
          <w:rFonts w:ascii="Times New Roman" w:cs="Times New Roman"/>
          <w:i/>
          <w:iCs/>
          <w:color w:val="000000" w:themeColor="text1"/>
          <w:spacing w:val="0"/>
          <w:sz w:val="16"/>
          <w:szCs w:val="16"/>
        </w:rPr>
        <w:t xml:space="preserve"> (15776).</w:t>
      </w:r>
    </w:p>
    <w:p w14:paraId="60E9271E" w14:textId="77777777" w:rsidR="007C5583" w:rsidRPr="008127F8" w:rsidRDefault="007C5583" w:rsidP="007C5583">
      <w:pPr>
        <w:pStyle w:val="45"/>
        <w:shd w:val="clear" w:color="auto" w:fill="auto"/>
        <w:spacing w:before="0" w:line="240" w:lineRule="auto"/>
        <w:jc w:val="both"/>
        <w:rPr>
          <w:rFonts w:ascii="Times New Roman" w:cs="Times New Roman"/>
          <w:color w:val="000000" w:themeColor="text1"/>
          <w:sz w:val="16"/>
          <w:szCs w:val="16"/>
        </w:rPr>
      </w:pPr>
      <w:r w:rsidRPr="00FC6A26">
        <w:rPr>
          <w:rStyle w:val="4f1"/>
          <w:rFonts w:ascii="Times New Roman" w:hAnsi="Times New Roman" w:cs="Times New Roman"/>
          <w:i w:val="0"/>
          <w:iCs w:val="0"/>
          <w:color w:val="000000" w:themeColor="text1"/>
          <w:sz w:val="16"/>
          <w:szCs w:val="16"/>
        </w:rPr>
        <w:t>По расчетам специалистов ВИАМ получа</w:t>
      </w:r>
      <w:r w:rsidRPr="00FC6A26">
        <w:rPr>
          <w:rStyle w:val="4f1"/>
          <w:rFonts w:ascii="Times New Roman" w:hAnsi="Times New Roman" w:cs="Times New Roman"/>
          <w:i w:val="0"/>
          <w:iCs w:val="0"/>
          <w:color w:val="000000" w:themeColor="text1"/>
          <w:sz w:val="16"/>
          <w:szCs w:val="16"/>
        </w:rPr>
        <w:softHyphen/>
        <w:t>лось, что</w:t>
      </w:r>
      <w:r w:rsidRPr="008127F8">
        <w:rPr>
          <w:rFonts w:ascii="Times New Roman" w:cs="Times New Roman"/>
          <w:color w:val="000000" w:themeColor="text1"/>
          <w:sz w:val="16"/>
          <w:szCs w:val="16"/>
        </w:rPr>
        <w:t xml:space="preserve"> «при выборе экрана толщиной 0,4- 0,6 от суммарной толщины брони при твер</w:t>
      </w:r>
      <w:r w:rsidRPr="008127F8">
        <w:rPr>
          <w:rFonts w:ascii="Times New Roman" w:cs="Times New Roman"/>
          <w:color w:val="000000" w:themeColor="text1"/>
          <w:sz w:val="16"/>
          <w:szCs w:val="16"/>
        </w:rPr>
        <w:softHyphen/>
        <w:t>дости 2,5 единиц (гомогенная броня высокой твердости или цементованная броня) может быть обеспечено: 1) падение живой силы до 50% и более; это особенно важно при стрель</w:t>
      </w:r>
      <w:r w:rsidRPr="008127F8">
        <w:rPr>
          <w:rFonts w:ascii="Times New Roman" w:cs="Times New Roman"/>
          <w:color w:val="000000" w:themeColor="text1"/>
          <w:sz w:val="16"/>
          <w:szCs w:val="16"/>
        </w:rPr>
        <w:softHyphen/>
        <w:t>бе пулями с повышенными скоростями, како</w:t>
      </w:r>
      <w:r w:rsidRPr="008127F8">
        <w:rPr>
          <w:rFonts w:ascii="Times New Roman" w:cs="Times New Roman"/>
          <w:color w:val="000000" w:themeColor="text1"/>
          <w:sz w:val="16"/>
          <w:szCs w:val="16"/>
        </w:rPr>
        <w:softHyphen/>
        <w:t>вой является, например, пуля 15 мм от МГ-151; 2) раздробление сердечника пули; 3) измене</w:t>
      </w:r>
      <w:r w:rsidRPr="008127F8">
        <w:rPr>
          <w:rFonts w:ascii="Times New Roman" w:cs="Times New Roman"/>
          <w:color w:val="000000" w:themeColor="text1"/>
          <w:sz w:val="16"/>
          <w:szCs w:val="16"/>
        </w:rPr>
        <w:softHyphen/>
        <w:t>ние траектории пули в результате несимме</w:t>
      </w:r>
      <w:r w:rsidRPr="008127F8">
        <w:rPr>
          <w:rFonts w:ascii="Times New Roman" w:cs="Times New Roman"/>
          <w:color w:val="000000" w:themeColor="text1"/>
          <w:sz w:val="16"/>
          <w:szCs w:val="16"/>
        </w:rPr>
        <w:softHyphen/>
        <w:t>тричного распределения слагающих реакцию брони напряжений».</w:t>
      </w:r>
      <w:r w:rsidRPr="008127F8">
        <w:rPr>
          <w:rStyle w:val="4f1"/>
          <w:rFonts w:ascii="Times New Roman" w:hAnsi="Times New Roman" w:cs="Times New Roman"/>
          <w:color w:val="000000" w:themeColor="text1"/>
          <w:sz w:val="16"/>
          <w:szCs w:val="16"/>
        </w:rPr>
        <w:t xml:space="preserve"> В результате пуля</w:t>
      </w:r>
      <w:r w:rsidRPr="008127F8">
        <w:rPr>
          <w:rStyle w:val="40pt"/>
          <w:rFonts w:eastAsia="Gungsuh" w:cs="Times New Roman"/>
          <w:color w:val="000000" w:themeColor="text1"/>
          <w:sz w:val="16"/>
          <w:szCs w:val="16"/>
        </w:rPr>
        <w:t xml:space="preserve"> или </w:t>
      </w:r>
      <w:r w:rsidRPr="008127F8">
        <w:rPr>
          <w:rFonts w:ascii="Times New Roman" w:cs="Times New Roman"/>
          <w:color w:val="000000" w:themeColor="text1"/>
          <w:sz w:val="16"/>
          <w:szCs w:val="16"/>
        </w:rPr>
        <w:t>снаряд, проходя экран, начинали разрушаться, теряли устойчивость полета и, попадая по ос</w:t>
      </w:r>
      <w:r w:rsidRPr="008127F8">
        <w:rPr>
          <w:rFonts w:ascii="Times New Roman" w:cs="Times New Roman"/>
          <w:color w:val="000000" w:themeColor="text1"/>
          <w:sz w:val="16"/>
          <w:szCs w:val="16"/>
        </w:rPr>
        <w:softHyphen/>
        <w:t>новной броне, окончательно разрушались, не пробивая ее.</w:t>
      </w:r>
    </w:p>
    <w:p w14:paraId="6B8E8B27" w14:textId="77777777" w:rsidR="007C5583" w:rsidRPr="008127F8" w:rsidRDefault="007C5583" w:rsidP="007C5583">
      <w:pPr>
        <w:pStyle w:val="45"/>
        <w:shd w:val="clear" w:color="auto" w:fill="auto"/>
        <w:spacing w:before="0" w:line="240" w:lineRule="auto"/>
        <w:jc w:val="both"/>
        <w:rPr>
          <w:rFonts w:ascii="Times New Roman" w:cs="Times New Roman"/>
          <w:color w:val="000000" w:themeColor="text1"/>
          <w:sz w:val="16"/>
          <w:szCs w:val="16"/>
        </w:rPr>
      </w:pPr>
      <w:r w:rsidRPr="008127F8">
        <w:rPr>
          <w:rStyle w:val="4f1"/>
          <w:rFonts w:ascii="Times New Roman" w:hAnsi="Times New Roman" w:cs="Times New Roman"/>
          <w:color w:val="000000" w:themeColor="text1"/>
          <w:sz w:val="16"/>
          <w:szCs w:val="16"/>
        </w:rPr>
        <w:t>Указывалось, что применение в качестве основной брони цементованной стали не яв</w:t>
      </w:r>
      <w:r w:rsidRPr="008127F8">
        <w:rPr>
          <w:rStyle w:val="4f1"/>
          <w:rFonts w:ascii="Times New Roman" w:hAnsi="Times New Roman" w:cs="Times New Roman"/>
          <w:color w:val="000000" w:themeColor="text1"/>
          <w:sz w:val="16"/>
          <w:szCs w:val="16"/>
        </w:rPr>
        <w:softHyphen/>
        <w:t>ляется обязательным и даже несколько сни</w:t>
      </w:r>
      <w:r w:rsidRPr="008127F8">
        <w:rPr>
          <w:rStyle w:val="4f1"/>
          <w:rFonts w:ascii="Times New Roman" w:hAnsi="Times New Roman" w:cs="Times New Roman"/>
          <w:color w:val="000000" w:themeColor="text1"/>
          <w:sz w:val="16"/>
          <w:szCs w:val="16"/>
        </w:rPr>
        <w:softHyphen/>
        <w:t>жает (в связи с хрупкостью цементованного слоя) оптимальные показатели пулестойкости системы. Однако «в</w:t>
      </w:r>
      <w:r w:rsidRPr="008127F8">
        <w:rPr>
          <w:rFonts w:ascii="Times New Roman" w:cs="Times New Roman"/>
          <w:color w:val="000000" w:themeColor="text1"/>
          <w:sz w:val="16"/>
          <w:szCs w:val="16"/>
        </w:rPr>
        <w:t xml:space="preserve"> данном случае проверка заводом №125 системы, в которой в качестве основной брони использована цементованная спинка, безусловно, правильно, ибо это раз</w:t>
      </w:r>
      <w:r w:rsidRPr="008127F8">
        <w:rPr>
          <w:rFonts w:ascii="Times New Roman" w:cs="Times New Roman"/>
          <w:color w:val="000000" w:themeColor="text1"/>
          <w:sz w:val="16"/>
          <w:szCs w:val="16"/>
        </w:rPr>
        <w:softHyphen/>
        <w:t>решает вопрос использования спинок всех вы</w:t>
      </w:r>
      <w:r w:rsidRPr="008127F8">
        <w:rPr>
          <w:rFonts w:ascii="Times New Roman" w:cs="Times New Roman"/>
          <w:color w:val="000000" w:themeColor="text1"/>
          <w:sz w:val="16"/>
          <w:szCs w:val="16"/>
        </w:rPr>
        <w:softHyphen/>
        <w:t>пущенных самолетов с помощью сравнительно несложной операции навешивания дополни</w:t>
      </w:r>
      <w:r w:rsidRPr="008127F8">
        <w:rPr>
          <w:rFonts w:ascii="Times New Roman" w:cs="Times New Roman"/>
          <w:color w:val="000000" w:themeColor="text1"/>
          <w:sz w:val="16"/>
          <w:szCs w:val="16"/>
        </w:rPr>
        <w:softHyphen/>
        <w:t>тельного экрана».</w:t>
      </w:r>
      <w:r w:rsidRPr="008127F8">
        <w:rPr>
          <w:rStyle w:val="4f1"/>
          <w:rFonts w:ascii="Times New Roman" w:hAnsi="Times New Roman" w:cs="Times New Roman"/>
          <w:color w:val="000000" w:themeColor="text1"/>
          <w:sz w:val="16"/>
          <w:szCs w:val="16"/>
        </w:rPr>
        <w:t xml:space="preserve"> Точно также и применение для экрана серийной 8-мм стали марки ХД(ц) позволяло быстро использовать имеющиеся заделы и, таким образом,</w:t>
      </w:r>
      <w:r w:rsidRPr="008127F8">
        <w:rPr>
          <w:rFonts w:ascii="Times New Roman" w:cs="Times New Roman"/>
          <w:color w:val="000000" w:themeColor="text1"/>
          <w:sz w:val="16"/>
          <w:szCs w:val="16"/>
        </w:rPr>
        <w:t xml:space="preserve"> «разрешить положи</w:t>
      </w:r>
      <w:r w:rsidRPr="008127F8">
        <w:rPr>
          <w:rFonts w:ascii="Times New Roman" w:cs="Times New Roman"/>
          <w:color w:val="000000" w:themeColor="text1"/>
          <w:sz w:val="16"/>
          <w:szCs w:val="16"/>
        </w:rPr>
        <w:softHyphen/>
        <w:t>тельно и быстро вопрос о защите летчика са</w:t>
      </w:r>
      <w:r w:rsidRPr="008127F8">
        <w:rPr>
          <w:rFonts w:ascii="Times New Roman" w:cs="Times New Roman"/>
          <w:color w:val="000000" w:themeColor="text1"/>
          <w:sz w:val="16"/>
          <w:szCs w:val="16"/>
        </w:rPr>
        <w:softHyphen/>
        <w:t>молета Ил-2 против пуль калибра 15 мм».</w:t>
      </w:r>
    </w:p>
    <w:p w14:paraId="567D4E87" w14:textId="77777777" w:rsidR="007C5583" w:rsidRPr="008127F8" w:rsidRDefault="007C5583" w:rsidP="007C5583">
      <w:pPr>
        <w:pStyle w:val="45"/>
        <w:shd w:val="clear" w:color="auto" w:fill="auto"/>
        <w:spacing w:before="0" w:line="240" w:lineRule="auto"/>
        <w:jc w:val="both"/>
        <w:rPr>
          <w:rFonts w:ascii="Times New Roman" w:cs="Times New Roman"/>
          <w:color w:val="000000" w:themeColor="text1"/>
          <w:sz w:val="16"/>
          <w:szCs w:val="16"/>
        </w:rPr>
      </w:pPr>
      <w:r w:rsidRPr="008127F8">
        <w:rPr>
          <w:rStyle w:val="4f1"/>
          <w:rFonts w:ascii="Times New Roman" w:hAnsi="Times New Roman" w:cs="Times New Roman"/>
          <w:color w:val="000000" w:themeColor="text1"/>
          <w:sz w:val="16"/>
          <w:szCs w:val="16"/>
        </w:rPr>
        <w:t>При этом комбинация экрана толщиной 8,5 мм (цементованная броня) и основной брони толщиной 12,5 мм (цементованная бро</w:t>
      </w:r>
      <w:r w:rsidRPr="008127F8">
        <w:rPr>
          <w:rStyle w:val="4f1"/>
          <w:rFonts w:ascii="Times New Roman" w:hAnsi="Times New Roman" w:cs="Times New Roman"/>
          <w:color w:val="000000" w:themeColor="text1"/>
          <w:sz w:val="16"/>
          <w:szCs w:val="16"/>
        </w:rPr>
        <w:softHyphen/>
        <w:t>ня),</w:t>
      </w:r>
      <w:r w:rsidRPr="008127F8">
        <w:rPr>
          <w:rFonts w:ascii="Times New Roman" w:cs="Times New Roman"/>
          <w:color w:val="000000" w:themeColor="text1"/>
          <w:sz w:val="16"/>
          <w:szCs w:val="16"/>
        </w:rPr>
        <w:t xml:space="preserve"> «безусловно, обеспечивает почти во всем диапазоне практически возможных условий обстрела непоражаемость против пуль кали</w:t>
      </w:r>
      <w:r w:rsidRPr="008127F8">
        <w:rPr>
          <w:rFonts w:ascii="Times New Roman" w:cs="Times New Roman"/>
          <w:color w:val="000000" w:themeColor="text1"/>
          <w:sz w:val="16"/>
          <w:szCs w:val="16"/>
        </w:rPr>
        <w:softHyphen/>
        <w:t>бра 15 мм, а также, как показали испытания ВИАМа, против пуль калибра 20 мм (той же авиапушки МГ-151/20)».</w:t>
      </w:r>
      <w:r w:rsidRPr="008127F8">
        <w:rPr>
          <w:rStyle w:val="4f1"/>
          <w:rFonts w:ascii="Times New Roman" w:hAnsi="Times New Roman" w:cs="Times New Roman"/>
          <w:color w:val="000000" w:themeColor="text1"/>
          <w:sz w:val="16"/>
          <w:szCs w:val="16"/>
        </w:rPr>
        <w:t xml:space="preserve"> Рекомендовалось </w:t>
      </w:r>
      <w:r w:rsidRPr="008127F8">
        <w:rPr>
          <w:rFonts w:ascii="Times New Roman" w:cs="Times New Roman"/>
          <w:color w:val="000000" w:themeColor="text1"/>
          <w:sz w:val="16"/>
          <w:szCs w:val="16"/>
        </w:rPr>
        <w:t>«немедленно рассмотреть вопрос о возмож</w:t>
      </w:r>
      <w:r w:rsidRPr="008127F8">
        <w:rPr>
          <w:rFonts w:ascii="Times New Roman" w:cs="Times New Roman"/>
          <w:color w:val="000000" w:themeColor="text1"/>
          <w:sz w:val="16"/>
          <w:szCs w:val="16"/>
        </w:rPr>
        <w:softHyphen/>
        <w:t>ности дополнительного нагружения самолета Ил-2 30-35 кг, потребным для навешивания экрана и в случае такой возможности пойти на это мероприятие как существенно увеличива</w:t>
      </w:r>
      <w:r w:rsidRPr="008127F8">
        <w:rPr>
          <w:rFonts w:ascii="Times New Roman" w:cs="Times New Roman"/>
          <w:color w:val="000000" w:themeColor="text1"/>
          <w:sz w:val="16"/>
          <w:szCs w:val="16"/>
        </w:rPr>
        <w:softHyphen/>
        <w:t>ющее пулестойкость брони».</w:t>
      </w:r>
    </w:p>
    <w:p w14:paraId="203A7885" w14:textId="77777777" w:rsidR="007C5583" w:rsidRPr="008127F8" w:rsidRDefault="007C5583" w:rsidP="007C5583">
      <w:pPr>
        <w:pStyle w:val="45"/>
        <w:shd w:val="clear" w:color="auto" w:fill="auto"/>
        <w:spacing w:before="0" w:line="240" w:lineRule="auto"/>
        <w:jc w:val="both"/>
        <w:rPr>
          <w:rFonts w:ascii="Times New Roman" w:cs="Times New Roman"/>
          <w:color w:val="000000" w:themeColor="text1"/>
          <w:sz w:val="16"/>
          <w:szCs w:val="16"/>
        </w:rPr>
      </w:pPr>
      <w:r w:rsidRPr="008127F8">
        <w:rPr>
          <w:rStyle w:val="4f1"/>
          <w:rFonts w:ascii="Times New Roman" w:hAnsi="Times New Roman" w:cs="Times New Roman"/>
          <w:color w:val="000000" w:themeColor="text1"/>
          <w:sz w:val="16"/>
          <w:szCs w:val="16"/>
        </w:rPr>
        <w:t>Отмечалось, что</w:t>
      </w:r>
      <w:r w:rsidRPr="008127F8">
        <w:rPr>
          <w:rFonts w:ascii="Times New Roman" w:cs="Times New Roman"/>
          <w:color w:val="000000" w:themeColor="text1"/>
          <w:sz w:val="16"/>
          <w:szCs w:val="16"/>
        </w:rPr>
        <w:t xml:space="preserve"> «применение цементо</w:t>
      </w:r>
      <w:r w:rsidRPr="008127F8">
        <w:rPr>
          <w:rFonts w:ascii="Times New Roman" w:cs="Times New Roman"/>
          <w:color w:val="000000" w:themeColor="text1"/>
          <w:sz w:val="16"/>
          <w:szCs w:val="16"/>
        </w:rPr>
        <w:softHyphen/>
        <w:t>ванной брони в качестве основного элемен</w:t>
      </w:r>
      <w:r w:rsidRPr="008127F8">
        <w:rPr>
          <w:rFonts w:ascii="Times New Roman" w:cs="Times New Roman"/>
          <w:color w:val="000000" w:themeColor="text1"/>
          <w:sz w:val="16"/>
          <w:szCs w:val="16"/>
        </w:rPr>
        <w:softHyphen/>
        <w:t>та, как показывает обширный опыт ВИАМа поэкранной броне, не будет целесообразно из-за излишней трудоемкости цементованной брони и отсутствия каких бы то ни было преимуществ в стойкости по сравнению с гомогенным ос</w:t>
      </w:r>
      <w:r w:rsidRPr="008127F8">
        <w:rPr>
          <w:rFonts w:ascii="Times New Roman" w:cs="Times New Roman"/>
          <w:color w:val="000000" w:themeColor="text1"/>
          <w:sz w:val="16"/>
          <w:szCs w:val="16"/>
        </w:rPr>
        <w:softHyphen/>
        <w:t>новным листом».</w:t>
      </w:r>
    </w:p>
    <w:p w14:paraId="7E2E5A3C" w14:textId="77777777" w:rsidR="007C5583" w:rsidRPr="008127F8" w:rsidRDefault="007C5583" w:rsidP="007C5583">
      <w:pPr>
        <w:pStyle w:val="45"/>
        <w:shd w:val="clear" w:color="auto" w:fill="auto"/>
        <w:spacing w:before="0" w:line="240" w:lineRule="auto"/>
        <w:jc w:val="both"/>
        <w:rPr>
          <w:rFonts w:ascii="Times New Roman" w:cs="Times New Roman"/>
          <w:color w:val="000000" w:themeColor="text1"/>
          <w:sz w:val="16"/>
          <w:szCs w:val="16"/>
        </w:rPr>
      </w:pPr>
      <w:r w:rsidRPr="008127F8">
        <w:rPr>
          <w:rStyle w:val="4f1"/>
          <w:rFonts w:ascii="Times New Roman" w:hAnsi="Times New Roman" w:cs="Times New Roman"/>
          <w:color w:val="000000" w:themeColor="text1"/>
          <w:sz w:val="16"/>
          <w:szCs w:val="16"/>
        </w:rPr>
        <w:t>Внимание военных обращалось на то об</w:t>
      </w:r>
      <w:r w:rsidRPr="008127F8">
        <w:rPr>
          <w:rStyle w:val="4f1"/>
          <w:rFonts w:ascii="Times New Roman" w:hAnsi="Times New Roman" w:cs="Times New Roman"/>
          <w:color w:val="000000" w:themeColor="text1"/>
          <w:sz w:val="16"/>
          <w:szCs w:val="16"/>
        </w:rPr>
        <w:softHyphen/>
        <w:t>стоятельство, что</w:t>
      </w:r>
      <w:r w:rsidRPr="008127F8">
        <w:rPr>
          <w:rFonts w:ascii="Times New Roman" w:cs="Times New Roman"/>
          <w:color w:val="000000" w:themeColor="text1"/>
          <w:sz w:val="16"/>
          <w:szCs w:val="16"/>
        </w:rPr>
        <w:t xml:space="preserve"> «ВИАМом в настоящий мо</w:t>
      </w:r>
      <w:r w:rsidRPr="008127F8">
        <w:rPr>
          <w:rFonts w:ascii="Times New Roman" w:cs="Times New Roman"/>
          <w:color w:val="000000" w:themeColor="text1"/>
          <w:sz w:val="16"/>
          <w:szCs w:val="16"/>
        </w:rPr>
        <w:softHyphen/>
        <w:t>мент разработана широкая программа все</w:t>
      </w:r>
      <w:r w:rsidRPr="008127F8">
        <w:rPr>
          <w:rFonts w:ascii="Times New Roman" w:cs="Times New Roman"/>
          <w:color w:val="000000" w:themeColor="text1"/>
          <w:sz w:val="16"/>
          <w:szCs w:val="16"/>
        </w:rPr>
        <w:softHyphen/>
        <w:t>стороннего изучения действия современных видов авиавооружения против экранированных систем, а также и других видов брони, в част</w:t>
      </w:r>
      <w:r w:rsidRPr="008127F8">
        <w:rPr>
          <w:rFonts w:ascii="Times New Roman" w:cs="Times New Roman"/>
          <w:color w:val="000000" w:themeColor="text1"/>
          <w:sz w:val="16"/>
          <w:szCs w:val="16"/>
        </w:rPr>
        <w:softHyphen/>
        <w:t>ности по цементованной и гомогенной броне повышенной крепости. На заводах главспецстали производится необходимый прокат».</w:t>
      </w:r>
    </w:p>
    <w:p w14:paraId="53489A6B" w14:textId="77777777" w:rsidR="007C5583" w:rsidRPr="008127F8" w:rsidRDefault="007C5583" w:rsidP="007C5583">
      <w:pPr>
        <w:pStyle w:val="45"/>
        <w:shd w:val="clear" w:color="auto" w:fill="auto"/>
        <w:spacing w:before="0" w:line="240" w:lineRule="auto"/>
        <w:jc w:val="both"/>
        <w:rPr>
          <w:rStyle w:val="4f1"/>
          <w:rFonts w:ascii="Times New Roman" w:hAnsi="Times New Roman" w:cs="Times New Roman"/>
          <w:i w:val="0"/>
          <w:color w:val="000000" w:themeColor="text1"/>
          <w:sz w:val="16"/>
          <w:szCs w:val="16"/>
        </w:rPr>
      </w:pPr>
      <w:r w:rsidRPr="008127F8">
        <w:rPr>
          <w:rStyle w:val="4f1"/>
          <w:rFonts w:ascii="Times New Roman" w:hAnsi="Times New Roman" w:cs="Times New Roman"/>
          <w:color w:val="000000" w:themeColor="text1"/>
          <w:sz w:val="16"/>
          <w:szCs w:val="16"/>
        </w:rPr>
        <w:t>Для полноты исследований предлагалось провести испытания не только современными видами авиавооружения с высокими начальны</w:t>
      </w:r>
      <w:r w:rsidRPr="008127F8">
        <w:rPr>
          <w:rStyle w:val="4f1"/>
          <w:rFonts w:ascii="Times New Roman" w:hAnsi="Times New Roman" w:cs="Times New Roman"/>
          <w:color w:val="000000" w:themeColor="text1"/>
          <w:sz w:val="16"/>
          <w:szCs w:val="16"/>
        </w:rPr>
        <w:softHyphen/>
        <w:t>ми скоростями,</w:t>
      </w:r>
      <w:r w:rsidRPr="008127F8">
        <w:rPr>
          <w:rFonts w:ascii="Times New Roman" w:cs="Times New Roman"/>
          <w:color w:val="000000" w:themeColor="text1"/>
          <w:sz w:val="16"/>
          <w:szCs w:val="16"/>
        </w:rPr>
        <w:t xml:space="preserve"> «но и некоторыми системами противотанкового оружия, /.../типа немецко</w:t>
      </w:r>
      <w:r w:rsidRPr="008127F8">
        <w:rPr>
          <w:rFonts w:ascii="Times New Roman" w:cs="Times New Roman"/>
          <w:color w:val="000000" w:themeColor="text1"/>
          <w:sz w:val="16"/>
          <w:szCs w:val="16"/>
        </w:rPr>
        <w:softHyphen/>
        <w:t>го ружья калибра 28 мм, а также пулями с вы</w:t>
      </w:r>
      <w:r w:rsidRPr="008127F8">
        <w:rPr>
          <w:rFonts w:ascii="Times New Roman" w:cs="Times New Roman"/>
          <w:color w:val="000000" w:themeColor="text1"/>
          <w:sz w:val="16"/>
          <w:szCs w:val="16"/>
        </w:rPr>
        <w:softHyphen/>
        <w:t>сокой прочностью сердечника и большим его удельным весом (сердечники из стеллита) и в особенности подкалиберными снарядами, применение которых следует ожидать в бли</w:t>
      </w:r>
      <w:r w:rsidRPr="008127F8">
        <w:rPr>
          <w:rFonts w:ascii="Times New Roman" w:cs="Times New Roman"/>
          <w:color w:val="000000" w:themeColor="text1"/>
          <w:sz w:val="16"/>
          <w:szCs w:val="16"/>
        </w:rPr>
        <w:softHyphen/>
        <w:t>жайшем будущем и в</w:t>
      </w:r>
      <w:r w:rsidRPr="008127F8">
        <w:rPr>
          <w:rStyle w:val="4f1"/>
          <w:rFonts w:ascii="Times New Roman" w:hAnsi="Times New Roman" w:cs="Times New Roman"/>
          <w:color w:val="000000" w:themeColor="text1"/>
          <w:sz w:val="16"/>
          <w:szCs w:val="16"/>
        </w:rPr>
        <w:t xml:space="preserve"> авиавооружении».</w:t>
      </w:r>
    </w:p>
    <w:p w14:paraId="2358E6FF" w14:textId="77777777" w:rsidR="007C5583" w:rsidRPr="008127F8" w:rsidRDefault="007C5583" w:rsidP="007C5583">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Одновременно с определением броне- стойкости брони предполагалось провести «испытания действия осколков всех исполь</w:t>
      </w:r>
      <w:r w:rsidRPr="008127F8">
        <w:rPr>
          <w:rFonts w:ascii="Times New Roman" w:cs="Times New Roman"/>
          <w:color w:val="000000" w:themeColor="text1"/>
          <w:spacing w:val="0"/>
          <w:sz w:val="16"/>
          <w:szCs w:val="16"/>
        </w:rPr>
        <w:softHyphen/>
        <w:t>зованных для испытания систем вооружения, в особенности взрывной волны осколочных снарядов, которые могут, не пробивая брони, наносить в ее плоскости опасные для живуче</w:t>
      </w:r>
      <w:r w:rsidRPr="008127F8">
        <w:rPr>
          <w:rFonts w:ascii="Times New Roman" w:cs="Times New Roman"/>
          <w:color w:val="000000" w:themeColor="text1"/>
          <w:spacing w:val="0"/>
          <w:sz w:val="16"/>
          <w:szCs w:val="16"/>
        </w:rPr>
        <w:softHyphen/>
        <w:t>сти конструкции поражения».</w:t>
      </w:r>
      <w:r w:rsidRPr="008127F8">
        <w:rPr>
          <w:rStyle w:val="4f1"/>
          <w:rFonts w:ascii="Times New Roman" w:hAnsi="Times New Roman" w:cs="Times New Roman"/>
          <w:color w:val="000000" w:themeColor="text1"/>
          <w:spacing w:val="0"/>
          <w:sz w:val="16"/>
          <w:szCs w:val="16"/>
        </w:rPr>
        <w:t xml:space="preserve"> Все испытания планировалось провести на образцах,</w:t>
      </w:r>
      <w:r w:rsidRPr="008127F8">
        <w:rPr>
          <w:rFonts w:ascii="Times New Roman" w:cs="Times New Roman"/>
          <w:color w:val="000000" w:themeColor="text1"/>
          <w:spacing w:val="0"/>
          <w:sz w:val="16"/>
          <w:szCs w:val="16"/>
        </w:rPr>
        <w:t xml:space="preserve"> «встав</w:t>
      </w:r>
      <w:r w:rsidRPr="008127F8">
        <w:rPr>
          <w:rFonts w:ascii="Times New Roman" w:cs="Times New Roman"/>
          <w:color w:val="000000" w:themeColor="text1"/>
          <w:spacing w:val="0"/>
          <w:sz w:val="16"/>
          <w:szCs w:val="16"/>
        </w:rPr>
        <w:softHyphen/>
        <w:t>ляемых в срез фюзеляжа Ил-2 непосредствен</w:t>
      </w:r>
      <w:r w:rsidRPr="008127F8">
        <w:rPr>
          <w:rFonts w:ascii="Times New Roman" w:cs="Times New Roman"/>
          <w:color w:val="000000" w:themeColor="text1"/>
          <w:spacing w:val="0"/>
          <w:sz w:val="16"/>
          <w:szCs w:val="16"/>
        </w:rPr>
        <w:softHyphen/>
        <w:t>но примыкающий к спинке»  (15776).</w:t>
      </w:r>
    </w:p>
    <w:p w14:paraId="24A27C3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884DB19"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lastRenderedPageBreak/>
        <w:t>17 июня 1942 Сталин издал приказ №</w:t>
      </w:r>
      <w:r>
        <w:rPr>
          <w:color w:val="000000" w:themeColor="text1"/>
          <w:sz w:val="16"/>
          <w:szCs w:val="16"/>
        </w:rPr>
        <w:t xml:space="preserve">  </w:t>
      </w:r>
      <w:r w:rsidRPr="008127F8">
        <w:rPr>
          <w:color w:val="000000" w:themeColor="text1"/>
          <w:sz w:val="16"/>
          <w:szCs w:val="16"/>
        </w:rPr>
        <w:t>0496, в котором, в частности, говорилось:</w:t>
      </w:r>
    </w:p>
    <w:p w14:paraId="6BD604A1" w14:textId="77777777" w:rsidR="007C5583" w:rsidRPr="008127F8" w:rsidRDefault="007C5583" w:rsidP="007C5583">
      <w:pPr>
        <w:pStyle w:val="af"/>
        <w:spacing w:before="0" w:after="0"/>
        <w:jc w:val="both"/>
        <w:textAlignment w:val="baseline"/>
        <w:rPr>
          <w:iCs/>
          <w:color w:val="000000" w:themeColor="text1"/>
          <w:sz w:val="16"/>
          <w:szCs w:val="16"/>
          <w:bdr w:val="none" w:sz="0" w:space="0" w:color="auto" w:frame="1"/>
        </w:rPr>
      </w:pPr>
      <w:r w:rsidRPr="008127F8">
        <w:rPr>
          <w:iCs/>
          <w:color w:val="000000" w:themeColor="text1"/>
          <w:sz w:val="16"/>
          <w:szCs w:val="16"/>
          <w:bdr w:val="none" w:sz="0" w:space="0" w:color="auto" w:frame="1"/>
        </w:rPr>
        <w:t>«1.</w:t>
      </w:r>
      <w:r>
        <w:rPr>
          <w:iCs/>
          <w:color w:val="000000" w:themeColor="text1"/>
          <w:sz w:val="16"/>
          <w:szCs w:val="16"/>
          <w:bdr w:val="none" w:sz="0" w:space="0" w:color="auto" w:frame="1"/>
        </w:rPr>
        <w:t xml:space="preserve">  </w:t>
      </w:r>
      <w:r w:rsidRPr="008127F8">
        <w:rPr>
          <w:iCs/>
          <w:color w:val="000000" w:themeColor="text1"/>
          <w:sz w:val="16"/>
          <w:szCs w:val="16"/>
          <w:bdr w:val="none" w:sz="0" w:space="0" w:color="auto" w:frame="1"/>
        </w:rPr>
        <w:t>Самолеты ЛаГГ-3, И-153, И-16 и поступающие в авиационные части с бомбодержателями Як-1 и Як-7 обязательно использовать для решения бомбардировочных задач днем на поле боя на глубину до 20–30</w:t>
      </w:r>
      <w:r>
        <w:rPr>
          <w:iCs/>
          <w:color w:val="000000" w:themeColor="text1"/>
          <w:sz w:val="16"/>
          <w:szCs w:val="16"/>
          <w:bdr w:val="none" w:sz="0" w:space="0" w:color="auto" w:frame="1"/>
        </w:rPr>
        <w:t xml:space="preserve">  </w:t>
      </w:r>
      <w:r w:rsidRPr="008127F8">
        <w:rPr>
          <w:iCs/>
          <w:color w:val="000000" w:themeColor="text1"/>
          <w:sz w:val="16"/>
          <w:szCs w:val="16"/>
          <w:bdr w:val="none" w:sz="0" w:space="0" w:color="auto" w:frame="1"/>
        </w:rPr>
        <w:t>км от переднего края.</w:t>
      </w:r>
    </w:p>
    <w:p w14:paraId="0C7C7752" w14:textId="77777777" w:rsidR="007C5583" w:rsidRPr="008127F8" w:rsidRDefault="007C5583" w:rsidP="007C5583">
      <w:pPr>
        <w:pStyle w:val="af"/>
        <w:spacing w:before="0" w:after="0"/>
        <w:jc w:val="both"/>
        <w:textAlignment w:val="baseline"/>
        <w:rPr>
          <w:iCs/>
          <w:color w:val="000000" w:themeColor="text1"/>
          <w:sz w:val="16"/>
          <w:szCs w:val="16"/>
          <w:bdr w:val="none" w:sz="0" w:space="0" w:color="auto" w:frame="1"/>
        </w:rPr>
      </w:pPr>
      <w:r w:rsidRPr="008127F8">
        <w:rPr>
          <w:iCs/>
          <w:color w:val="000000" w:themeColor="text1"/>
          <w:sz w:val="16"/>
          <w:szCs w:val="16"/>
          <w:bdr w:val="none" w:sz="0" w:space="0" w:color="auto" w:frame="1"/>
        </w:rPr>
        <w:t>Бомбовую зарядку на истребителях варьировать в зависимости от целей, используя для этого авиационные бомбы ФАБ-100, ЗАБ-100, ФАБ-50, ЗАБ-50 и осколочные АО-25.</w:t>
      </w:r>
    </w:p>
    <w:p w14:paraId="1DFA4EBF" w14:textId="77777777" w:rsidR="007C5583" w:rsidRPr="008127F8" w:rsidRDefault="007C5583" w:rsidP="007C5583">
      <w:pPr>
        <w:pStyle w:val="af"/>
        <w:spacing w:before="0" w:after="0"/>
        <w:jc w:val="both"/>
        <w:textAlignment w:val="baseline"/>
        <w:rPr>
          <w:iCs/>
          <w:color w:val="000000" w:themeColor="text1"/>
          <w:sz w:val="16"/>
          <w:szCs w:val="16"/>
          <w:bdr w:val="none" w:sz="0" w:space="0" w:color="auto" w:frame="1"/>
        </w:rPr>
      </w:pPr>
      <w:r w:rsidRPr="008127F8">
        <w:rPr>
          <w:iCs/>
          <w:color w:val="000000" w:themeColor="text1"/>
          <w:sz w:val="16"/>
          <w:szCs w:val="16"/>
          <w:bdr w:val="none" w:sz="0" w:space="0" w:color="auto" w:frame="1"/>
        </w:rPr>
        <w:t>Во всех истребительных полках, находящихся на фронте и в тылу, приступить немедленно к обучению бомбометанию днем всех летчиков, не умеющих бомбить.</w:t>
      </w:r>
    </w:p>
    <w:p w14:paraId="26ABB394" w14:textId="77777777" w:rsidR="007C5583" w:rsidRPr="008127F8" w:rsidRDefault="007C5583" w:rsidP="007C5583">
      <w:pPr>
        <w:pStyle w:val="af"/>
        <w:spacing w:before="0" w:after="0"/>
        <w:jc w:val="both"/>
        <w:textAlignment w:val="baseline"/>
        <w:rPr>
          <w:iCs/>
          <w:color w:val="000000" w:themeColor="text1"/>
          <w:sz w:val="16"/>
          <w:szCs w:val="16"/>
          <w:bdr w:val="none" w:sz="0" w:space="0" w:color="auto" w:frame="1"/>
        </w:rPr>
      </w:pPr>
      <w:r w:rsidRPr="008127F8">
        <w:rPr>
          <w:iCs/>
          <w:color w:val="000000" w:themeColor="text1"/>
          <w:sz w:val="16"/>
          <w:szCs w:val="16"/>
          <w:bdr w:val="none" w:sz="0" w:space="0" w:color="auto" w:frame="1"/>
        </w:rPr>
        <w:t>О применении истребителей для бомбометания днем на поле боя и в войсковом тылу на глубину 20–30</w:t>
      </w:r>
      <w:r>
        <w:rPr>
          <w:iCs/>
          <w:color w:val="000000" w:themeColor="text1"/>
          <w:sz w:val="16"/>
          <w:szCs w:val="16"/>
          <w:bdr w:val="none" w:sz="0" w:space="0" w:color="auto" w:frame="1"/>
        </w:rPr>
        <w:t xml:space="preserve">  </w:t>
      </w:r>
      <w:r w:rsidRPr="008127F8">
        <w:rPr>
          <w:iCs/>
          <w:color w:val="000000" w:themeColor="text1"/>
          <w:sz w:val="16"/>
          <w:szCs w:val="16"/>
          <w:bdr w:val="none" w:sz="0" w:space="0" w:color="auto" w:frame="1"/>
        </w:rPr>
        <w:t>км от переднего края доносить командующему Военно-воздушными силами Красной армии ежедневно к 22.00 отдельным донесением по телеграфу или шифром по радио, начиная с 20.6.42</w:t>
      </w:r>
      <w:r>
        <w:rPr>
          <w:iCs/>
          <w:color w:val="000000" w:themeColor="text1"/>
          <w:sz w:val="16"/>
          <w:szCs w:val="16"/>
          <w:bdr w:val="none" w:sz="0" w:space="0" w:color="auto" w:frame="1"/>
        </w:rPr>
        <w:t xml:space="preserve">  </w:t>
      </w:r>
      <w:r w:rsidRPr="008127F8">
        <w:rPr>
          <w:iCs/>
          <w:color w:val="000000" w:themeColor="text1"/>
          <w:sz w:val="16"/>
          <w:szCs w:val="16"/>
          <w:bdr w:val="none" w:sz="0" w:space="0" w:color="auto" w:frame="1"/>
        </w:rPr>
        <w:t>г.»[35]</w:t>
      </w:r>
    </w:p>
    <w:p w14:paraId="24150577"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При этом вождь позаботился и о поощрении. Полагая, что надеяться только на один душевный порыв людей не стоит, он установил для летчиков-штурмовиков особое денежное вознаграждение в 1000 рублей за каждые четыре вылета с полной нагрузкой (19522).</w:t>
      </w:r>
    </w:p>
    <w:p w14:paraId="557F71C2" w14:textId="77777777" w:rsidR="007C5583" w:rsidRPr="008127F8" w:rsidRDefault="007C5583" w:rsidP="007C5583">
      <w:pPr>
        <w:pStyle w:val="af"/>
        <w:spacing w:before="0" w:after="0"/>
        <w:jc w:val="both"/>
        <w:textAlignment w:val="baseline"/>
        <w:rPr>
          <w:color w:val="000000" w:themeColor="text1"/>
          <w:sz w:val="16"/>
          <w:szCs w:val="16"/>
        </w:rPr>
      </w:pPr>
    </w:p>
    <w:p w14:paraId="153BFCE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июня 1942 года Шахурин писал письмо Сталину.</w:t>
      </w:r>
    </w:p>
    <w:p w14:paraId="396263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Докладываю в порядке отчета о результатах испытания самолета Лагг-5 с улучшенным управлением:</w:t>
      </w:r>
    </w:p>
    <w:p w14:paraId="0E9EF5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Лагг-5 с улучшенным управлением 11 июня с.г. производил полеты для определения облегченного управления. Результаты полетов показали, что самолет стал в управлении гораздо проще, нагрузки на элероны и рули глубин стали небольшими, большого веса машины по рулям не ощущается, самолет стал в управлении легким.</w:t>
      </w:r>
    </w:p>
    <w:p w14:paraId="03326B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Лавочкин и НИИ ВВС в заключении считают, что самолет Лагг-5 с улучшенным управлением вполне удовлетворяет летным качествам самолета.</w:t>
      </w:r>
    </w:p>
    <w:p w14:paraId="4062D28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Прилагаю полетные листы летчиков НИИ ВВС Якимова, Кубышкина и заключение главного конструктора Лавочкина совместно с НИИ ВВС.</w:t>
      </w:r>
    </w:p>
    <w:p w14:paraId="2A33CC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N 21 приступил к серийному выпуску самолетов Лагг-3 с улучшенным управлением, принимаются все меры к тому, чтобы выпуск самолетов Лагг-3 с улучшенным управлением начался с 25-27 июня с.г. (по решению ГОКО самолеты Лагг-3 с улучшенным управлением должны выпускаться с 1 июля с.г.).</w:t>
      </w:r>
    </w:p>
    <w:p w14:paraId="20394F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заводе N 21 принимаются меры к улучшению качественного выпуска самолета Лагг-3 и Лагг-5, а также и облегчение в весе. Опытный самолет Лагг-5 весил без предкрылков 3370 кг, первый самолет Лагг-5 будет иметь вес 3300 кг, облегчение идет за счет: а) лучшей склейки, даст возможность облегчить на 5-6 кг клея; б) снятие электрического запуска мотора (будет воздушный) облегчит на 20-22 кг; в) облегчение за счет уменьшения веса покрытия самолета 12-15 кг; г) снятие в хвосте груза, в связи с улучшенным управлением, 15 кг и за счет более аккуратной проводки трубок в самолете воздуха, гидросистемы и управления.</w:t>
      </w:r>
    </w:p>
    <w:p w14:paraId="51AE84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завод N 21 принимает меры к устранению дефектов, обнаруженных в управлении гидросистемы.</w:t>
      </w:r>
    </w:p>
    <w:p w14:paraId="2F23FB1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внедрения в серию улучшенного управления и улучшению качества самолетов, на завод N 21 был командирован Воронин, которым приняты меры, обеспечивающие внедрение в серию (2179,67).</w:t>
      </w:r>
    </w:p>
    <w:p w14:paraId="1264AE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7F66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июня 1942 года Шахурин писал письмо Сталину в сопровождении Справки по вопросу о понижении загораемости самолетов</w:t>
      </w:r>
    </w:p>
    <w:p w14:paraId="21914A9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большом числе случаев загорания самолетов при пробивании бензобаков или бензомагистрали и воспламенении вытекающего бензина, распространение пламени по отдельным элементам конструкции самолетов происходит столь быстро, что летчик не имеет минимума времени, необходимого для совершения посадки на своей территории.</w:t>
      </w:r>
    </w:p>
    <w:p w14:paraId="5DE65DD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Наиболее уязвимыми с точки зрения загораемости в конструкции самолетов, помимо бензобаков и всей системы топливо подачи, являются лакированная тканевая обшивка и лаковые покрытия внутренних деревянных частей самолета.</w:t>
      </w:r>
    </w:p>
    <w:p w14:paraId="69ABC2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Лакировка тканевой обшивки элеронов, оперения, хвостовой части фюзеляжа, а также покрытия деревянных частей самолетов производится нитроцеллюлозными аэролаками, обладающими, чрезвычайно высокой горючестью.</w:t>
      </w:r>
    </w:p>
    <w:p w14:paraId="7D44F87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Применение до настоящего времени в нашем самолетостроении нитроцеллюлозных лаков обусловлено отсутствием отечественной базы негорючих пленкообразователей: ацетилцеллюлозы, ацетобутирата целлюлозы, лаковой полихлорвиниловой смолы, хлорированной полихлорвиниловой смолы и лакового хлоркаучука.</w:t>
      </w:r>
    </w:p>
    <w:p w14:paraId="59FD997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Предварительное обобщение имеющихся данных показывает, что некоторые типы самолетов, в частности ЛАГГ-3, лучше сопротивляются возгоранию, чем самолеты других конструкций, например ЯК-1 и ЯК-7.</w:t>
      </w:r>
    </w:p>
    <w:p w14:paraId="70F564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Указанное объяснимо следующим: фюзеляж и несущие поверхности самолета ЛАГГ-3 выклеиваются негорючим смоляным клеем ВИАМ-Б3 из нескольких слоев березового шпона. Выклейка внутренних деревянных деталей машины также производится смолой ВИАМ-Б3.</w:t>
      </w:r>
    </w:p>
    <w:p w14:paraId="110F80D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первых сериях самолета ЛАГГ-3 внутренние деревянные поверхности покрывались лаком N 3 на основе этой же смолы. Наличие в клеевых соединениях и покрытиях фенольно формальдегидной смолы ВИАМ-Б3 обусловило повышенную огнестойкость машины.</w:t>
      </w:r>
    </w:p>
    <w:p w14:paraId="1ACF525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самолетов ЯК-1 и ЯК-7 хвостовая часть фюзеляжа, оперение и элероны обтянуты авиаполотном, покрытым нитролаками. Внутренняя поверхность деревянного крыла на последних сериях самолетов заводов NN 292 и 153 также покрыты нитролаками.</w:t>
      </w:r>
    </w:p>
    <w:p w14:paraId="1E97767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Большой удельный вес лакированной тканевой обшивки на самолетах ЯК обуславливает повышенную возгораемость их.</w:t>
      </w:r>
    </w:p>
    <w:p w14:paraId="33A9051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Проведенными за последнее время в НКАП работами по установлению способов снижения горючести самолетов, показана целесообразность применения химически пропитанной огнестойкой ткани для обшивки и трудно воспламеняемых лакокрасочных покрытий по ткани и дереву на основе специальных пленкообразователей.</w:t>
      </w:r>
    </w:p>
    <w:p w14:paraId="7635AE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числа проработанных рецептур наиболее подготовленными к внедрению в промышленность, в отношении обеспеченности сырьевыми и производственными базами, являются лаки на основе спиртового полимера хлорвинила и пропитка авиаполотна фосфорнокислым аммонием.</w:t>
      </w:r>
    </w:p>
    <w:p w14:paraId="04623ED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указанным материалам проработана рецептура и технология как изготовления, так и применения их.</w:t>
      </w:r>
    </w:p>
    <w:p w14:paraId="4811F1D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Ваших указаний в настоящее время подготавливается проект организационно-технических мероприятий по обеспечению внедрения в авиационную промышленность системы трудновоспламеняемых покрытий, который будет представлен на Ваше рассмотрение к 20 июня сего года (2166,258).</w:t>
      </w:r>
    </w:p>
    <w:p w14:paraId="7378556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91471D" w14:textId="77777777" w:rsidR="00FC6A26" w:rsidRPr="008A2E5A" w:rsidRDefault="00FC6A26" w:rsidP="00FC6A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июня 1942 года в своем письме от А. И. Шахурин заверял Сталина, что программа доработки ЛаГГ-5 идет согласно графику. Кроме того, он сообщал, что отправил своего заместителя Воронина, чтобы помочь с запуском самолета в серию. Несмотря на это заявление, подготовка к серийному производству шла крайне медленно. К 27 июня для ЛаГГ-5 было вручную сделано только два набора панелей капота.</w:t>
      </w:r>
    </w:p>
    <w:p w14:paraId="7461E47F" w14:textId="77777777" w:rsidR="00FC6A26" w:rsidRPr="008A2E5A" w:rsidRDefault="00FC6A26" w:rsidP="00FC6A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Согласно планам к 1 июля предполагалось выпускать ежедневно два комплекта панелей капота, с 7 июля — три-четыре комплекта, а самое позднее, с 27 июля ежедневный выпуск должен был составлять шесть комплектов. Такие же планы были составлены для выпуска радиаторов, моторам, узлов крепления вооружения и элеронов. Планировалось, что с 6 по 31 июля 1942 года будет выпущено 60 ЛаГГ-5 и 116 ЛаГГ-3. Но в приказе НКАП № 492а/с от 7 июля 1942 года сообщалось, что завод № 21 не справляется с запуском ЛаГГ-5 в серийное производство и план на июнь и первые пять дней июля не выполнен! Эта констатация сопровождалась снимком недостатков в организации производства. Заместитель Шахурина Воронин потребовал составить почасовой график поставки подсборки в сборочный цех № 40 и предупреждал руководителей, что ежедневный график является законом, за нарушение которого будут карать по всей строгости. Процесс запуска истребителя в серийное производство сопровождался многочисленными проблемами, связанными как с качеством конструкторской документации, так и технологией производства. Построенные самолеты по летным характеристикам значительно уступали прототипу. И благодаря настойчивости Воронина на заводе были собраны лучшие представители советской авиационной науки из ЦАГИ и ЦИАМ, которые помогали в работе по устранению недостатков.</w:t>
      </w:r>
    </w:p>
    <w:p w14:paraId="6A87C87B" w14:textId="77777777" w:rsidR="00FC6A26" w:rsidRPr="008A2E5A" w:rsidRDefault="00FC6A26" w:rsidP="00FC6A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 в Горьком появились заместитель начальника НИИ ВВС А. В. Чесалов, аэродинамик из ЦАГИ И. В. Остославский, специалист по методам испытаний из ЛИИ М. А. Тайц и специалисты по силовым установкам В. И. Поликовский и С. Л. Зак из ЦИАМ и ЦАГИ соответственно. Группе общей численностью в 24 человека было поручено в течение двух недель наладить серийное производство, причем ЛаГГ-5 не должен отличаться по характеристикам от ЛаГГ-3 М-82. Приглашенные специалисты занимались поиском «узких мест», которые немедленно устранялись. Постоянно контролировалось качество производства и сборки капотов и балансировка винтов ВИШ-105 (при некачественной балансировке возникали вибрации) и многое другое. К 12 июля построили только восемь ЛаГГ-5, а всего до конца месяца выпустили всего 34 самолета из 60 запланированных. В то же время КБ Лавочкина получало дополнительные задачи — велись работы по уменьшению массы фюзеляжа, усилению и облегчению конструкции крыла ЛаГГ-5 и создавался двухместный учебно-тренировочный вариант ЛаГГ-5 УТИ (23547).</w:t>
      </w:r>
    </w:p>
    <w:p w14:paraId="762309B2" w14:textId="77777777" w:rsidR="00FC6A26" w:rsidRPr="008A2E5A" w:rsidRDefault="00FC6A26" w:rsidP="00FC6A26">
      <w:pPr>
        <w:spacing w:after="0" w:line="240" w:lineRule="auto"/>
        <w:jc w:val="both"/>
        <w:rPr>
          <w:rFonts w:ascii="Times New Roman" w:hAnsi="Times New Roman"/>
          <w:color w:val="0070C0"/>
          <w:sz w:val="16"/>
          <w:szCs w:val="16"/>
        </w:rPr>
      </w:pPr>
    </w:p>
    <w:p w14:paraId="3937EAE6" w14:textId="77777777" w:rsidR="00FC6A26" w:rsidRPr="008A2E5A" w:rsidRDefault="00FC6A26" w:rsidP="00FC6A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июня 1942 года А.И. Шахурин писал И.В. Сталину: «На заводе № 21 прини</w:t>
      </w:r>
      <w:r w:rsidRPr="008A2E5A">
        <w:rPr>
          <w:rFonts w:ascii="Times New Roman" w:hAnsi="Times New Roman"/>
          <w:color w:val="0070C0"/>
          <w:sz w:val="16"/>
          <w:szCs w:val="16"/>
        </w:rPr>
        <w:softHyphen/>
        <w:t>маются меры к улучшению качественного выпуска самолета ЛаГГ-3 и ЛаГГ-5, а также и облегчение в весе. Опытный самолет ЛаГГ-5 весил без предкрылков 3370 кг, первый само</w:t>
      </w:r>
      <w:r w:rsidRPr="008A2E5A">
        <w:rPr>
          <w:rFonts w:ascii="Times New Roman" w:hAnsi="Times New Roman"/>
          <w:color w:val="0070C0"/>
          <w:sz w:val="16"/>
          <w:szCs w:val="16"/>
        </w:rPr>
        <w:softHyphen/>
        <w:t>лет ЛаГГ-5 будет иметь вес 3300 кг, облег</w:t>
      </w:r>
      <w:r w:rsidRPr="008A2E5A">
        <w:rPr>
          <w:rFonts w:ascii="Times New Roman" w:hAnsi="Times New Roman"/>
          <w:color w:val="0070C0"/>
          <w:sz w:val="16"/>
          <w:szCs w:val="16"/>
        </w:rPr>
        <w:softHyphen/>
        <w:t>чение идет за счет: а) лучшей склейки, даст возможность облегчить на 5-6 кг клея; б) снятие электрического запуска мотора (будет воздушный) облегчит на 20-22 кг; в) облегчение за счет уменьшения веса покры</w:t>
      </w:r>
      <w:r w:rsidRPr="008A2E5A">
        <w:rPr>
          <w:rFonts w:ascii="Times New Roman" w:hAnsi="Times New Roman"/>
          <w:color w:val="0070C0"/>
          <w:sz w:val="16"/>
          <w:szCs w:val="16"/>
        </w:rPr>
        <w:softHyphen/>
        <w:t>тия самолета 12-15 кг; г) снятие в хвосте груза, в связи с улучшенным управлением, 15 кг и за счет более аккуратной проводки тру</w:t>
      </w:r>
      <w:r w:rsidRPr="008A2E5A">
        <w:rPr>
          <w:rFonts w:ascii="Times New Roman" w:hAnsi="Times New Roman"/>
          <w:color w:val="0070C0"/>
          <w:sz w:val="16"/>
          <w:szCs w:val="16"/>
        </w:rPr>
        <w:softHyphen/>
        <w:t>бок в самолете воздуха, гидросистемы и управления... Для внедрения в сериюулуч- шенного управления и улучшению качества самолетов, на завод № 21 был командирован Воронин, которым приняты меры, обеспечи</w:t>
      </w:r>
      <w:r w:rsidRPr="008A2E5A">
        <w:rPr>
          <w:rFonts w:ascii="Times New Roman" w:hAnsi="Times New Roman"/>
          <w:color w:val="0070C0"/>
          <w:sz w:val="16"/>
          <w:szCs w:val="16"/>
        </w:rPr>
        <w:softHyphen/>
        <w:t>вающие внедрение в серию.» (23587).</w:t>
      </w:r>
    </w:p>
    <w:p w14:paraId="313B4F80" w14:textId="77777777" w:rsidR="00FC6A26" w:rsidRPr="008A2E5A" w:rsidRDefault="00FC6A26" w:rsidP="00FC6A26">
      <w:pPr>
        <w:spacing w:after="0" w:line="240" w:lineRule="auto"/>
        <w:jc w:val="both"/>
        <w:rPr>
          <w:rFonts w:ascii="Times New Roman" w:hAnsi="Times New Roman"/>
          <w:color w:val="0070C0"/>
          <w:sz w:val="16"/>
          <w:szCs w:val="16"/>
        </w:rPr>
      </w:pPr>
    </w:p>
    <w:p w14:paraId="6A70E0A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076836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0823EF"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lastRenderedPageBreak/>
        <w:t>17 июня 1942 года вышло решение Технического совета НКВ, согласно которому самоходная установка СУ-УСВ должна была переделываться под новую артиллерийскую систему. В ее качестве предполагалось использовать 57-мм противотанковую пушку И-13–52 разработки НИИ-13. Соответственно, поменялось и название машины – теперь ее обозначали как СУ-И-13–52. В отличие от СУ-УСВ, по этой машине сохранились тактико-технические требования, которые ставят на теории связи работы института им. Баумана и «универсального шасси» Гинзбурга жирный крест. Дело в том, что базой для этой самоходной установки служил трактор СТЗ-5, который предполагалось сильно переделать. Одним словом, это никак не предшественник СУ-12, а параллельная ветвь, к тому же еще и тупиковая (17683).</w:t>
      </w:r>
    </w:p>
    <w:p w14:paraId="075761AB"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3E4A886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июня 1942 в Казани создана Военно-санитарная комиссия Академии Наук СССР под руководством академика Л. Орбели (4962).</w:t>
      </w:r>
    </w:p>
    <w:p w14:paraId="4C60BD5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4CF3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4136707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86376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17 июня</w:t>
      </w:r>
      <w:r w:rsidRPr="008127F8">
        <w:rPr>
          <w:rFonts w:ascii="Times New Roman" w:hAnsi="Times New Roman"/>
          <w:color w:val="000000" w:themeColor="text1"/>
          <w:sz w:val="16"/>
          <w:szCs w:val="16"/>
        </w:rPr>
        <w:t xml:space="preserve"> в 1942 году утреннее сообщение Совинформбюро:</w:t>
      </w:r>
    </w:p>
    <w:p w14:paraId="1807B1D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17 июня на фронте существенных изменений не произошло.</w:t>
      </w:r>
    </w:p>
    <w:p w14:paraId="7A3EA65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Харьковского направления крупный отряд немецкой пехоты предпринял психическую атаку. Гитлеровцы шли во весь рост, беспорядочно стреляя из автоматов и оглашая степь дикими криками. Артиллеристы лейтенанта Ханина меткими залпами рассеяли немцев. На поле боя противник оставил много убитых и раненых солдат и офицеров. На другом участке наша часть отбила несколько атак танков и пехоты противника. Уничтожено 20 танков и 600 немецких солдат и офицеров. Успешно действовал экипаж танка в составе политрука Лобзева, механика-водителя Орловского, командира орудия Николаева и лейтенанта Медведева. Отважные танкисты уничтожили до роты немецкой пехоты, 11 орудий и разгромили колонну автомашин.</w:t>
      </w:r>
    </w:p>
    <w:p w14:paraId="5080A05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Брянского фронта, заняла один опорный пункт противника и захватила 2 немецких танка, зарытых в землю. Неоднократные атаки гитлеровцев с целью вернуть потерянные позиции были отбиты. Немцы потеряли в этом бою только убитыми больше 400 солдат и офицеров.</w:t>
      </w:r>
    </w:p>
    <w:p w14:paraId="7193F4C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группу наших бойцов (Северо-Западный фронт) напала рота пехоты противника. Подпустив врага на близкое расстояние, красноармейцы ружейно-пулемётным огнём прижали гитлеровцев к земле. Пять раз немцы поднимались в атаку, но каждый раз, наталкиваясь на стойкую оборону, откатывались назад. Потеряв убитыми до 100 солдат и офицеров, противник отступил.</w:t>
      </w:r>
    </w:p>
    <w:p w14:paraId="5421976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части, где командиром тов. Морозов, уничтожили 3 немецких танка, миномётную батарею, разрушили 8 ДЗОТов и подавили огонь 2 артиллерийских батарей и нескольких огневых точек противника.</w:t>
      </w:r>
    </w:p>
    <w:p w14:paraId="27BB58F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разведчиков под командованием старшего лейтенанта тов. Калегаева пробралась в тыл противника и уничтожила 12 солдат и одного офицера. Разведчики захватили у немцев станковый пулемёт и благополучно вернулись в свою часть, доставив одного пленного.</w:t>
      </w:r>
    </w:p>
    <w:p w14:paraId="5950B4D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 тов. Фрундин за пять месяцев истребил 159 гитлеровцев. За это же время он обучил и подготовил 45 красноармейцев-снайперов.</w:t>
      </w:r>
    </w:p>
    <w:p w14:paraId="0835EC3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украинских партизан под командованием тов. Я. пустила под откос железнодорожный поезд в составе 12 пульмановских вагонов с живой силой противника и 10 платформ с боеприпасами. В течение нескольких часов были слышны взрывы. Все вагоны и платформы сгорели.</w:t>
      </w:r>
    </w:p>
    <w:p w14:paraId="17B4444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6 роты 308 полка 198 немецкой пехотной дивизии Фюрст Готфрид рассказал: «За 11 месяцев войны наша дивизия понесла колоссальные потери. Ещё осенью прошлого года был разгромлен 326 полк. Его тогда расформировали, а остатки влили в 305 и 308 полки. Состав 308 полка почти целиком обновился. Из старых солдат, начавших войну против СССР, в ротах остались единицы. Среди солдат царит глухое недовольство. Из Германии поступают тревожные и полные отчаяния письма. Родные и близкие пишут о том, что они голодают и что все устали от войны. Эти вести удручают солдат». В заключение пленный заявил: «Немецкие военные власти в оккупированных районах Украины зверски расправляются с мирными жителями. В Кировограде я сам видел на улице повешенного украинца, к трупу которого была приколота надпись: «За симпатии к русским».</w:t>
      </w:r>
    </w:p>
    <w:p w14:paraId="79AC8ED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Гитлеровцы учинили зверскую расправу над мирным населением деревни Ламовы Горки, Ленинградской области. Фашистские изверги расстреляли и замучили 23 жителя деревни. Среди них Анна Рожкова — 90 лет, Теплякова Екатерина и её трёхмесячная внучка, Сёма Михайлов— 11 лет, Ваня Иванов—13 лет, Вася Рыхлов—15 лет и другие. Гитлеровцы сожгли 67 домов и разграбили у колхозников продовольствие, одежду и обувь.» (14925).</w:t>
      </w:r>
    </w:p>
    <w:p w14:paraId="6BF0C4A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EB4AF3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17 июня</w:t>
      </w:r>
      <w:r w:rsidRPr="008127F8">
        <w:rPr>
          <w:rFonts w:ascii="Times New Roman" w:hAnsi="Times New Roman"/>
          <w:color w:val="000000" w:themeColor="text1"/>
          <w:sz w:val="16"/>
          <w:szCs w:val="16"/>
        </w:rPr>
        <w:t xml:space="preserve"> в 1942 году вечернее сообщение Совинформбюро:</w:t>
      </w:r>
    </w:p>
    <w:p w14:paraId="44B23FD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17 июня на Севастопольском участке фронта наши части отбивали ожесточённые атаки противника.</w:t>
      </w:r>
    </w:p>
    <w:p w14:paraId="054744A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существенных изменений не произошло.</w:t>
      </w:r>
    </w:p>
    <w:p w14:paraId="1A2109E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16 июня частями нашей авиации на различных участках фронта уничтожено или повреждено 70 немецких автомашин с войсками и грузами, 30 повозок с боеприпасами, подавлен огонь 7 артиллерийских батарей, взорвано 6 складов, разбит железнодорожный эшелон, потоплен торпедный катер, рассеяно и частью уничтожено до пяти рот пехоты противника.</w:t>
      </w:r>
    </w:p>
    <w:p w14:paraId="0085402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Харьковском направлении наша часть в ожесточённом бою уничтожила 15 немецких танков и до 1.500 солдат и офицеров противника. На другом участке наши танкисты, взаимодействуя с пехотой, подбили 8 немецких танков, уничтожили 14 орудий и рассеяли батальон пехоты противника.</w:t>
      </w:r>
    </w:p>
    <w:p w14:paraId="12FAE73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Сводный отряд под командованием тов. Карпенко (Северо-Западный фронт) за три дня боёв в тылу противника уничтожил 700 немецких солдат и офицеров. Бойцы отряда подбили. 14 вражеских танков, разрушили радиостанцию и разгромили штабы двух полков противника. На другом участке гитлеровцы после артиллерийскойи миномётной подготовки атаковали подразделение т. Литвинова. Наши бойцы штыковым ударом опрокинули противника. Подтянув резервы, немцы при поддержке танков снова несколько раз пытались продвинуться вперёд. В результате боя противник отступил, оставив 3 подбитых танка и более 250 трупов солдат и офицеров.</w:t>
      </w:r>
    </w:p>
    <w:p w14:paraId="3E851B0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Ленинградского фронта наша часть за два дня боевых действий уничтожила до 200 немецких солдат и офицеров. Артиллеристы и разведчики за это же время подбили несколько орудий, уничтожили 5 станковых пулемётов, 2 миномёта, разрушили несколько ДЗОТов, блиндажей и наблюдательный пункт немцев.</w:t>
      </w:r>
    </w:p>
    <w:p w14:paraId="136A85B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Наводчик противотанкового ружья М. Лупанов в одном бою подбил три немецких танка.</w:t>
      </w:r>
    </w:p>
    <w:p w14:paraId="7897A4A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Партизанские отряды, действующие в некоторых районах Ленинградской области, за десять дней уничтожили свыше 1.200 немецко-фашистских оккупантов, пустили под откос 5 железнодорожных эшелонов с вооружением и боеприпасами, уничтожили 4 немецких танка, 3 орудия и 14 грузовых автомашин. За это же время партизаны захватили у немцев 3 миномёта, 10 автоматов, много винтовок, 500 мин и 10.000 ружейных патронов.</w:t>
      </w:r>
    </w:p>
    <w:p w14:paraId="6C93795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1 роты 5 полка 4 румынской пехотной дивизии Марин Буня рассказал: «Наша дивизия считается кадровой, но кадровых солдат в ней почти не осталось. Дивизия на девять десятых укомплектована резервистами. Многие из них воюют крайне неохотно и всеми способами стараются попасть домой. На днях из нашей роты дезертировали солдаты Буткару и Бяцу. Не только солдаты, но инекоторые румынские офицеры считают, что Германия уже наполовину проиграла войну. Они говорят, что теперь немцы долго уже не выдержат».</w:t>
      </w:r>
    </w:p>
    <w:p w14:paraId="70A3227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выдержки из письма, найденного у убитого немецкого ефрейтораАльфреда Крейлинга: «...Кто бы мог подумать, что такому небольшому городку, как наш Шмидефельд, придётся нести такие колоссальные жертвы. В первую мировую войнуза четыре года на фронте погибло 46 жителей Шмидефельда. Полных сведений о количестве убитых на Восточном фронте ещё нет. Имеется пока один список убитых и другой пропавших без вести до 1 апреля 1942 года. Список убитых я сам видел. В нём числится 111 человек. Выходит, что меньше чем за год войны с Россией жителей нашего города убито в два раза больше, чем за четыре года первой мировой войны».</w:t>
      </w:r>
    </w:p>
    <w:p w14:paraId="3D6E5F6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Варшаве польские патриоты бросили бомбу большой разрушительной силы в казарму эсэсовцев. Взрывом убито 18 оккупантов. В предместьях Варшавы убито 3 немецких офицера и 9 солдат. На днях произошёл взрыв в кинотеатре для немецких солдат. Как сообщают, во время взрыва убито и ранено много гитлеровцев.» (14925).</w:t>
      </w:r>
    </w:p>
    <w:p w14:paraId="4E4E344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93957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17 июня 1942г. вышел ПРИКАЗ НКО № №0489 О ДЕЙСТВИЯХ ИСТРЕБИТЕЛЕЙ ПО УНИЧТОЖЕНИЮ БОМБАРДИРОВЩИКОВ ПРОТИВНИКА </w:t>
      </w:r>
    </w:p>
    <w:p w14:paraId="17EECC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всех фронтах наши летчики-истребители при встречах с воздушным противником в большинстве случаев в первую очередь атакуют истребителей противника, а затем уже его бомбардировщиков.</w:t>
      </w:r>
    </w:p>
    <w:p w14:paraId="3F256DA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Эта привившаяся тактика действий в нашей истребительной авиации совершенно неправильна.</w:t>
      </w:r>
    </w:p>
    <w:p w14:paraId="19ED7E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Истребители противника, прикрывающие своих бомбардировщиков, естественно стремятся сковать наших истребителей, не допустить их к бомбардировщикам, а наши истребители идут на эту уловку врага, ввязываются в воздушную дуэль с вражескими истребителями и тем самым дают возможность бомбардировщикам противника безнаказанно сбрасывать бомбы на наши войска или на другие объекты нападения.</w:t>
      </w:r>
    </w:p>
    <w:p w14:paraId="47117FD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 летчики, ни командиры полков, ни командиры дивизий, ни командующие ВВС фронтов и воздушных армий не понимают этого, и не понимают, что основная и главная задача наших истребителей заключается в том, чтобы в первую очередь уничтожить вражеских бомбардировщиков, не дать им возможности сбросить свой бомбовый груз на наши войска, на наши охраняемые объекты.</w:t>
      </w:r>
    </w:p>
    <w:p w14:paraId="0562617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Надо понять, наконец, что, уничтожая бомбардировщиков противника, наши истребители этим самым уменьшают ударную силу авиации противника и наносят ему наибольший материальный ущерб.</w:t>
      </w:r>
    </w:p>
    <w:p w14:paraId="2A416C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Надо понять, наконец, что тактике противника по сковыванию наших истребителей надо противопоставить свою тактику действий, тактику нападения в первую очередь на бомбардировщиков и этим самым навязывать в воздушном бою свою волю, подчинять его действия в воздухе своим приемам нападения.</w:t>
      </w:r>
    </w:p>
    <w:p w14:paraId="2AF67BF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Приказываю:</w:t>
      </w:r>
    </w:p>
    <w:p w14:paraId="4CFD6C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Считать основной задачей наших истребителей при встрече с воздушным противником уничтожение в первую очередь его бомбардировщиков.</w:t>
      </w:r>
    </w:p>
    <w:p w14:paraId="31429F7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При охране нашей истребительной авиацией объектов ПВО войск, коммуникаций и при сопровождении наших бомбардировщиков большую группу истребителей эшелонировать с таким расчетом, чтобы основная масса истребителей в группе предназначалась для уничтожения бомбардировщиков противника.</w:t>
      </w:r>
    </w:p>
    <w:p w14:paraId="63EBEF7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 целях поощрения боевой работы летчиков-истребителей установить с 20 июня с. г. денежную награду в следующих размерах:</w:t>
      </w:r>
    </w:p>
    <w:p w14:paraId="6D4EAFA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 каждый сбитый бомбардировщик противника выплачивать 2000 рублей;</w:t>
      </w:r>
    </w:p>
    <w:p w14:paraId="7EB46F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 каждый сбитый транспортный самолет противника выплачивать 1500 рублей;</w:t>
      </w:r>
    </w:p>
    <w:p w14:paraId="6B2974A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 каждый сбитый истребительный самолет противника выплачивать 1000 рублей;</w:t>
      </w:r>
    </w:p>
    <w:p w14:paraId="306E110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звание Героя Советского Союза представлять таких летчиков-истребителей, которые собьют в воздушных боях 10 истребителей противника или 5 бомбардировщиков</w:t>
      </w:r>
    </w:p>
    <w:p w14:paraId="0990F17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Выплату за сбитые самолеты противника производить в случаях подтверждения этого наземными войсками, фотоснимком и докладами нескольких экипажей.</w:t>
      </w:r>
    </w:p>
    <w:p w14:paraId="188C68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Установленные ранее размеры вознаграждения за сбитые самолеты (Речь идет об Инструкции о финансировании войсковых частей и учреждений Красной Армии, объявленной приказом НКО № 146 от 12 апреля 1941 г.) — отменить.</w:t>
      </w:r>
    </w:p>
    <w:p w14:paraId="5DA322B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Приказ довести до всего летного состава истребительной авиации Красной Армии.</w:t>
      </w:r>
    </w:p>
    <w:p w14:paraId="5678C5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обороны И. СТАЛИН (9844).</w:t>
      </w:r>
    </w:p>
    <w:p w14:paraId="723E21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9485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июня 1942 г вышел ПРИКАЗ О ДЕЙСТВИЯХ ИСТРЕБИТЕЛЕЙ ПО УНИЧТОЖЕНИЮ БОМБАРДИРОВЩИКОВ ПРОТИВНИКА №0489.</w:t>
      </w:r>
    </w:p>
    <w:p w14:paraId="60CF56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всех фронтах наши летчики-истребители при встречах с воздушным противником в большинстве случаев в первую очередь атакуют истребителей противника, а затем уже его бомбардировщиков.</w:t>
      </w:r>
    </w:p>
    <w:p w14:paraId="0D40E2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Эта привившаяся тактика действий в нашей истребительной авиации совершенно неправильна.</w:t>
      </w:r>
    </w:p>
    <w:p w14:paraId="0D3519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Истребители противника, прикрывающие своих бомбардировщиков, естественно стремятся сковать наших истребителей, не допустить их к бомбардировщикам, а наши истребители идут на эту уловку врага, ввязываются в воздушную дуэль с вражескими истребителями и тем самым дают возможность бомбардировщикам противника безнаказанно сбрасывать бомбы на наши войска или на другие объекты нападения.</w:t>
      </w:r>
    </w:p>
    <w:p w14:paraId="49240D0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 летчики, ни командиры полков, ни командиры дивизий, ни командующие ВВС фронтов и воздушных армий не понимают этого, и не понимают, что основная и главная задача наших истребителей заключается в том, чтобы в первую очередь уничтожить вражеских бомбардировщиков, не дать им возможности сбросить свой бомбовый груз на наши войска, на наши охраняемые объекты.</w:t>
      </w:r>
    </w:p>
    <w:p w14:paraId="071578F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Надо понять, наконец, что, уничтожая бомбардировщиков противника, наши истребители этим самым уменьшают ударную силу авиации противника и наносят ему наибольший материальный ущерб.</w:t>
      </w:r>
    </w:p>
    <w:p w14:paraId="5DCECCB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Надо понять, наконец, что тактике противника по сковыванию наших истребителей надо противопоставить свою тактику действий, тактику нападения в первую очередь на бомбардировщиков и этим самым навязывать в воздушном бою свою волю, подчинять его действия в воздухе своим приемам нападения.</w:t>
      </w:r>
    </w:p>
    <w:p w14:paraId="61903D4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p>
    <w:p w14:paraId="758CB5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Считать основной задачей наших истребителей при встрече с воздушным противником уничтожение в первую очередь его бомбардировщиков.</w:t>
      </w:r>
    </w:p>
    <w:p w14:paraId="3215F3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При охране нашей истребительной авиацией объектов ПВО войск, коммуникаций и при сопровождении наших бомбардировщиков большую группу истребителей эшелонировать с таким расчетом, чтобы основная масса истребителей в группе предназначалась для уничтожения бомбардировщиков противника.</w:t>
      </w:r>
    </w:p>
    <w:p w14:paraId="0F2273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 целях поощрения боевой работы летчиков-истребителей установить с 20 июня с. г. денежную награду в следующих размерах:</w:t>
      </w:r>
    </w:p>
    <w:p w14:paraId="37A6D93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 каждый сбитый бомбардировщик противника выплачивать 2000 рублей;</w:t>
      </w:r>
    </w:p>
    <w:p w14:paraId="16E881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 каждый сбитый транспортный самолет противника выплачивать 1500 рублей;</w:t>
      </w:r>
    </w:p>
    <w:p w14:paraId="70AAC6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 каждый сбитый истребительный самолет противника выплачивать 1000 рублей;</w:t>
      </w:r>
    </w:p>
    <w:p w14:paraId="6280B37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звание Героя Советского Союза представлять таких летчиков-истребителей, которые собьют в воздушных боях 10 истребителей противника или 5 бомбардировщиков.*</w:t>
      </w:r>
    </w:p>
    <w:p w14:paraId="7E729CD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Выплату за сбитые самолеты противника производить в случаях подтверждения этого наземными войсками, фотоснимком и докладами нескольких экипажей.</w:t>
      </w:r>
    </w:p>
    <w:p w14:paraId="0DF813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Установленные ранее размеры вознаграждения за сбитые самолеты** — отменить.</w:t>
      </w:r>
    </w:p>
    <w:p w14:paraId="011FCA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Приказ довести до всего летного состава истребительной авиации Красной Армии.***</w:t>
      </w:r>
    </w:p>
    <w:p w14:paraId="3BA48A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обороны И. СТАЛИН (10692)</w:t>
      </w:r>
      <w:r w:rsidRPr="008127F8">
        <w:rPr>
          <w:rFonts w:ascii="Times New Roman" w:hAnsi="Times New Roman"/>
          <w:color w:val="000000" w:themeColor="text1"/>
          <w:sz w:val="16"/>
          <w:szCs w:val="16"/>
        </w:rPr>
        <w:br/>
        <w:t>* Абзац вписан рукой И. Сталина</w:t>
      </w:r>
    </w:p>
    <w:p w14:paraId="32572D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См. док. № 51; см. также док. № 211, 241.</w:t>
      </w:r>
    </w:p>
    <w:p w14:paraId="55805F6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 5 дан в редакции И. Сталина (им зачеркнута содержавшаяся в приказе фраза “передать в части ВВС Красной Армии по телеграфу”).</w:t>
      </w:r>
    </w:p>
    <w:p w14:paraId="38D7C6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Слова “против танков и живой силы противника” добавлены И. Сталиным.</w:t>
      </w:r>
    </w:p>
    <w:p w14:paraId="48EDF5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Опубл. в Сборнике боевых документов Великой Отечественной войны. №5. М., 1947. С. 31—32 (4964).</w:t>
      </w:r>
    </w:p>
    <w:p w14:paraId="6BE1A6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B91508"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eastAsia="Times New Roman" w:hAnsi="Times New Roman"/>
          <w:color w:val="000000" w:themeColor="text1"/>
          <w:sz w:val="16"/>
          <w:szCs w:val="16"/>
        </w:rPr>
        <w:t>17 июня 1942 г. вышел приказ НКО №0490, который категорически запрещал выпуск штурмовиков в боевой вылет без бомбовой нагрузки. Более того, максимальная бомбовая нагрузка была поднята с 400 до 600 кг (20186).</w:t>
      </w:r>
    </w:p>
    <w:p w14:paraId="3968B17E"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006E039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июня 1942 г.</w:t>
      </w:r>
    </w:p>
    <w:p w14:paraId="178CA96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p>
    <w:p w14:paraId="0A4A827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НАРОДНОГО КОМИССАРА ОБОРОНЫ СОЮЗА ССР № 0490</w:t>
      </w:r>
    </w:p>
    <w:p w14:paraId="677C1C9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июня 1942 г.</w:t>
      </w:r>
      <w:r w:rsidRPr="008127F8">
        <w:rPr>
          <w:rFonts w:ascii="Times New Roman" w:hAnsi="Times New Roman"/>
          <w:color w:val="000000" w:themeColor="text1"/>
          <w:sz w:val="16"/>
          <w:szCs w:val="16"/>
        </w:rPr>
        <w:tab/>
        <w:t>гор. Москва.</w:t>
      </w:r>
    </w:p>
    <w:p w14:paraId="1F61604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Содержание: Об использовании самолетов Ил-2 как дневных бомбардировщиков.</w:t>
      </w:r>
    </w:p>
    <w:p w14:paraId="75B835C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Среди многих наших общевойсковых и авиационных командиром укоренилось совершенно неправильное мнение, что у нас, кроме самслеов Пе-2, нет других дневных бомбардировщиков и что поэтому при отсутствии или недостатке на фронте самолетов Г1е-2 мы не можем бомбить противника днем на поле боя или по ближайшим тылам. Это в корне неверно. Мы располагаем штурмовиками Ил-2, которые являются лучшими  ближними дневными бомбардировщиками против танков и живой силы противника. Штурмовик Ил-2, обладающий хорошей бронезащитой и вооруженный пушками, пулеметами и эресами, может, наряду со всем этим вооружением, брать бомбовую нагрузку в 600 кг, например:</w:t>
      </w:r>
    </w:p>
    <w:p w14:paraId="36F4CC6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бомбы внутрь бомболюка по 100 кг каждая бомба и 2 бомбы снаружи но 100 кг каждая бомба или 24 бомбы внутрь бомболюка по 25 кг каждая бомба. Таких ближних дневных бомбардировщиков нет ни в одной другой армии—ни в немецкой, ни в итальянской.</w:t>
      </w:r>
    </w:p>
    <w:p w14:paraId="685301B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дело заключается только в том, что наши штурмовые авиачасти по вине авиационных и общевойсковых командиров совершенно не используют или плохо используют штурмовики Ил-2 в качестве дневных бомбардировщиков, а посылают эти самолеты для действия по противнику только с боекомплектом для пушек, пулеметов и с подвеской эресов</w:t>
      </w:r>
    </w:p>
    <w:p w14:paraId="5375589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Мы можем и должны значительно увеличить наши бомбардировочные дневные удары по противнику, но для этого надо немедля покончить с вредной практикой недооценки самолетов Ил-2 как дневных бомбардировщиков и добиться того, чтобы ни один Самолет Ил-2 не вылетал в бой без полной бомбовой нагрузки.</w:t>
      </w:r>
    </w:p>
    <w:p w14:paraId="57D5736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p>
    <w:p w14:paraId="32B8ED4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Под личную ответственность командиров штурмовых авиадивизий и авиаполков запретить выпускать Ил-2 в бой без бомбовой нагрузки.</w:t>
      </w:r>
    </w:p>
    <w:p w14:paraId="7B73220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Установить, в зависимости от целей и выполняемых задач, следующие варианты бомбовой зарядки.для самолета Ил-2:</w:t>
      </w:r>
    </w:p>
    <w:p w14:paraId="0AEDDFC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 6 бомб но 100 кг каждая, из них 4 бомбы в бомболюк на внутренние замки и 2 бомбы—на наружные замки;</w:t>
      </w:r>
    </w:p>
    <w:p w14:paraId="62ADCE5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24 осколочные авиабомбы—внутрь бомболюка (с применением кассет. КМБ-2) по 25 кг каждая бомба или по 20 кг каждая бомба, или но 15 кг каждая бомба, или по 10 кг каждая бомба. При этом, в случае применения 10 и 15-килограммовых бомб можно дополнительно подвешивать снаружи 2 бомбы по 100 кг каждая, а в случае применения 20-килограммовых бомб можно дополнительно подвешивать снаружи 2 бомбы по 50 кг каждая;</w:t>
      </w:r>
    </w:p>
    <w:p w14:paraId="40D2010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140 осколочных авиабомб по 2YJ кг—внутрь бомболюка и 2 бомбы по 100 кг каждая—на наружные замки</w:t>
      </w:r>
    </w:p>
    <w:p w14:paraId="537D409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всех вариантах бомбовой зарядки для самолета Ил-2 общий вес авиабомб не должен превышать 600 кг.</w:t>
      </w:r>
    </w:p>
    <w:p w14:paraId="072356F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Установить для летчиков-штурмовиков денежное вознаграждение в размере 1000 рублей за каждые 4 вылета с полной бомбовой нагрузкой при выполнении боевого задания по бомбометанию и штурмовым действиям по живой силе противника или по танкам и мотоколоннам.</w:t>
      </w:r>
    </w:p>
    <w:p w14:paraId="71CC1C7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Командирам штурмовых авиадивизий и авиаполков довести настоящий приказ до всего летного состава штурмовых частей, вооруженных самолетами Ил-2.</w:t>
      </w:r>
    </w:p>
    <w:p w14:paraId="3E6D002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 выполнении настоящего приказа командующим ВВС фронтов и воздушных армий доносить командующему ВВС Красной Армии ежедневно к 22 часам.</w:t>
      </w:r>
    </w:p>
    <w:p w14:paraId="76ABF35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Обороны И. СТАЛИН (20499).</w:t>
      </w:r>
    </w:p>
    <w:p w14:paraId="3DA357A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E657B4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 и 17 июня 1942 торпедоносцы СФ впервые летали с торпедами АН, но первый успех был 29 июня, когда потопили транспорт в 15 тыс. т (561,16).</w:t>
      </w:r>
    </w:p>
    <w:p w14:paraId="5636363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C9DD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июня 1942 года советская авиация провела налет на аэродром Луотсари, где по данным разведки находилось 57 немецких самолетов. В налете участвовали три Ил-4 и три СБ-2 из 5й эскадрильи 2го ГСАП. Советские бомбардировщики проскочили зенитную оборону гитлеровцев и, когда в воздух поднялось дежурное звено Вf-109, краснозвездные машины были уже далеко. Позднее удалось выяснить, что советским летчики смогли без потерь для себя сбить пять Вf109. В действительности, немцы потеряли только один самолет - Вf109 Мюллера, который совершил вынужденную посадку. Сбил немецкого аса Н.А. Бокий. Высланный на место падения патруль, обнаружил немецкого пилота в 25 км от самолета. Дальнейшая судьба Мюллера незавидна - как и тысячи других немецких военнопленных он погиб в лагерях. Как утверждают советские источники, известие о победе над знаменитым немецким асом быстро достигло адмирала А.Г. Головко, и тот доложил об этом в Москву. В Москве разрабатывались планы использовать Мюллера в пропагандистских целях, однако реальных результатов достичь не удалось (2691).</w:t>
      </w:r>
    </w:p>
    <w:p w14:paraId="7351BFA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333F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июня 1942 вышел приказ НКО N 0490 о значительном увеличении бомбардировочных дневных ударов по противнику (1632,132).</w:t>
      </w:r>
    </w:p>
    <w:p w14:paraId="2325F0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84879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июня 1942 вышло Постановление ГКО № 1910 О переводе крейсера "Калинин" из Комсомольска во Владивосток. (7038, 215).</w:t>
      </w:r>
    </w:p>
    <w:p w14:paraId="5451B1F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247CC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июня 1942 вышло Постановление ГКО № 1911 О переводе трех подводных лодок типа М из Каспийского моря и бассейна реки Волги в состав Северного военного флота. (7038, 216).</w:t>
      </w:r>
    </w:p>
    <w:p w14:paraId="5BD50C1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3D574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июня 1942 вышло Постановление ГКО № 1912 О введении персональных воинских званий всему инженерно-техническому составу береговой службы Военно-Морского Флота Союза ССР. (7038, 217).</w:t>
      </w:r>
    </w:p>
    <w:p w14:paraId="2749E38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A9CC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июня 1942 Соколов, Бабанов и Сатинов, прикрывая боевые порядки, заметили 30 б и 8 и. Атаковали с пикирования из облаков и сбили без потерь три 3 б и два и (348,847).</w:t>
      </w:r>
    </w:p>
    <w:p w14:paraId="050C39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0A270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3D8720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F06E5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июня 1942 было получено::</w:t>
      </w:r>
    </w:p>
    <w:p w14:paraId="39C4E2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 РУЗВЕЛЬТ И. В. СТАЛИНУ *</w:t>
      </w:r>
    </w:p>
    <w:p w14:paraId="513446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 очень благодарен Вам за то, что Вы послали г-на Молотова для встречи со мной, и я с нетерпением ожидаю сообщения о его благополучном возвращении в Советский Союз. Визит к нам был весьма удовлетворительным (7430).</w:t>
      </w:r>
    </w:p>
    <w:p w14:paraId="5D7683A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A53E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июня 1942 года</w:t>
      </w:r>
    </w:p>
    <w:p w14:paraId="2C63A9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 РУЗВЕЛЬТ И. В. СТАЛИНУ *</w:t>
      </w:r>
    </w:p>
    <w:p w14:paraId="067AD2D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Положение, которое складывается в северной части Тихого океана и в районе Аляски, ясно показывает, что Японское Правительство, возможно, готовится к операциям против Советского Приморья. Если подобное нападение осуществится, то Соединенные Штаты готовы оказать Советскому Союзу помощь американскими военно-воздушными силами при условии, что Советский Союз предоставит этим силам подходящие посадочные площадки на территории Сибири. Конечно, чтобы быстрее осуществить подобную операцию, необходимо было бы тщательно координировать усилия Советского Союза и Соединенных Штатов.</w:t>
      </w:r>
    </w:p>
    <w:p w14:paraId="30F6A7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Посол Литвинов информировал меня, что Вы одобрили переброску американских самолетов через Аляску и Северную Сибирь на западный фронт, и я был рад узнать об этом. Я полагаю, что в наших общих интересах необходимо приступить к немедленному обмену подробной информацией между представителями наших армий, флотов и военно-воздушных сил для того, чтобы встретить эту новую опасность на Тихом океане. Я считаю, что вопрос настолько срочный, что имеются все основания дать представителям Советского Союза и Соединенных Штатов полномочия приступить к делу и составить определенные планы. Поэтому я предлагаю, чтобы Вы и я назначили таких представителей и чтобы мы направили их немедленно для совещания в Москве и Вашингтоне (7430).</w:t>
      </w:r>
    </w:p>
    <w:p w14:paraId="01827C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E0F5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июня 1942 Ф.Рузвельт писал И.В.С. "Положение, которое складывается в северной части Тихого океана и в районе Аляски, ясно показывает, что Японское правительство, возможно, готовится к операциям против Советского Приморья. Если подобное нападение осуществится, то Соединенные Штаты готовы оказать Советскому Союзу помощь американскими ВВС при условии, что Советский Союз предоставит этим силам подходящие посадочные площадки на территории Сибири" (1261,32).</w:t>
      </w:r>
    </w:p>
    <w:p w14:paraId="222E5E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184CBD" w14:textId="77777777" w:rsidR="00FC6A26" w:rsidRPr="008A2E5A" w:rsidRDefault="00FC6A26" w:rsidP="00FC6A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июня президент США Ф. Рузвельт писал И.В. Сталину: «Посол Литвинов инфор</w:t>
      </w:r>
      <w:r w:rsidRPr="008A2E5A">
        <w:rPr>
          <w:rFonts w:ascii="Times New Roman" w:hAnsi="Times New Roman"/>
          <w:color w:val="0070C0"/>
          <w:sz w:val="16"/>
          <w:szCs w:val="16"/>
        </w:rPr>
        <w:softHyphen/>
        <w:t>мировал меня, что Вы одобрили переброс</w:t>
      </w:r>
      <w:r w:rsidRPr="008A2E5A">
        <w:rPr>
          <w:rFonts w:ascii="Times New Roman" w:hAnsi="Times New Roman"/>
          <w:color w:val="0070C0"/>
          <w:sz w:val="16"/>
          <w:szCs w:val="16"/>
        </w:rPr>
        <w:softHyphen/>
        <w:t>ку американских самолетов через Аляску и Северную Сибирь на западный фронт, и я рад узнать об этом». Новая схема обе</w:t>
      </w:r>
      <w:r w:rsidRPr="008A2E5A">
        <w:rPr>
          <w:rFonts w:ascii="Times New Roman" w:hAnsi="Times New Roman"/>
          <w:color w:val="0070C0"/>
          <w:sz w:val="16"/>
          <w:szCs w:val="16"/>
        </w:rPr>
        <w:softHyphen/>
        <w:t>щала экономию времени и давала воз</w:t>
      </w:r>
      <w:r w:rsidRPr="008A2E5A">
        <w:rPr>
          <w:rFonts w:ascii="Times New Roman" w:hAnsi="Times New Roman"/>
          <w:color w:val="0070C0"/>
          <w:sz w:val="16"/>
          <w:szCs w:val="16"/>
        </w:rPr>
        <w:softHyphen/>
        <w:t>можность перегонять по воздуху также самолеты с небольшой дальностью поле</w:t>
      </w:r>
      <w:r w:rsidRPr="008A2E5A">
        <w:rPr>
          <w:rFonts w:ascii="Times New Roman" w:hAnsi="Times New Roman"/>
          <w:color w:val="0070C0"/>
          <w:sz w:val="16"/>
          <w:szCs w:val="16"/>
        </w:rPr>
        <w:softHyphen/>
        <w:t>та, в частности, истребители, для которых перелет через океан был недоступен (23513).</w:t>
      </w:r>
    </w:p>
    <w:p w14:paraId="3944D576" w14:textId="77777777" w:rsidR="00FC6A26" w:rsidRPr="008A2E5A" w:rsidRDefault="00FC6A26" w:rsidP="00FC6A26">
      <w:pPr>
        <w:spacing w:after="0" w:line="240" w:lineRule="auto"/>
        <w:jc w:val="both"/>
        <w:rPr>
          <w:rFonts w:ascii="Times New Roman" w:hAnsi="Times New Roman"/>
          <w:color w:val="0070C0"/>
          <w:sz w:val="16"/>
          <w:szCs w:val="16"/>
        </w:rPr>
      </w:pPr>
    </w:p>
    <w:p w14:paraId="67FA20D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01CB40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F503C8" w14:textId="77777777" w:rsidR="00FC6A26" w:rsidRPr="008A2E5A" w:rsidRDefault="00FC6A26" w:rsidP="00FC6A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июня 1942 г. в техническом управле</w:t>
      </w:r>
      <w:r w:rsidRPr="008A2E5A">
        <w:rPr>
          <w:rFonts w:ascii="Times New Roman" w:hAnsi="Times New Roman"/>
          <w:color w:val="0070C0"/>
          <w:sz w:val="16"/>
          <w:szCs w:val="16"/>
        </w:rPr>
        <w:softHyphen/>
        <w:t>нии германского министерства авиации состоялось обсуждение предложение флюгкапитана 3. Хольцбауэра о созда</w:t>
      </w:r>
      <w:r w:rsidRPr="008A2E5A">
        <w:rPr>
          <w:rFonts w:ascii="Times New Roman" w:hAnsi="Times New Roman"/>
          <w:color w:val="0070C0"/>
          <w:sz w:val="16"/>
          <w:szCs w:val="16"/>
        </w:rPr>
        <w:softHyphen/>
        <w:t>нии комплексной ударной системы в составе беспилотного Ju 88, начиненного взрывчаткой, и одномоторного истреби</w:t>
      </w:r>
      <w:r w:rsidRPr="008A2E5A">
        <w:rPr>
          <w:rFonts w:ascii="Times New Roman" w:hAnsi="Times New Roman"/>
          <w:color w:val="0070C0"/>
          <w:sz w:val="16"/>
          <w:szCs w:val="16"/>
        </w:rPr>
        <w:softHyphen/>
        <w:t>теля, пилот которого должен был управ</w:t>
      </w:r>
      <w:r w:rsidRPr="008A2E5A">
        <w:rPr>
          <w:rFonts w:ascii="Times New Roman" w:hAnsi="Times New Roman"/>
          <w:color w:val="0070C0"/>
          <w:sz w:val="16"/>
          <w:szCs w:val="16"/>
        </w:rPr>
        <w:softHyphen/>
        <w:t>лять всей системой от момента взлета до обнаружения цели и перевода ее в пики</w:t>
      </w:r>
      <w:r w:rsidRPr="008A2E5A">
        <w:rPr>
          <w:rFonts w:ascii="Times New Roman" w:hAnsi="Times New Roman"/>
          <w:color w:val="0070C0"/>
          <w:sz w:val="16"/>
          <w:szCs w:val="16"/>
        </w:rPr>
        <w:softHyphen/>
        <w:t>рование на цель. Далее истребитель дол</w:t>
      </w:r>
      <w:r w:rsidRPr="008A2E5A">
        <w:rPr>
          <w:rFonts w:ascii="Times New Roman" w:hAnsi="Times New Roman"/>
          <w:color w:val="0070C0"/>
          <w:sz w:val="16"/>
          <w:szCs w:val="16"/>
        </w:rPr>
        <w:softHyphen/>
        <w:t>жен был отделиться от Ju 88 и возвра</w:t>
      </w:r>
      <w:r w:rsidRPr="008A2E5A">
        <w:rPr>
          <w:rFonts w:ascii="Times New Roman" w:hAnsi="Times New Roman"/>
          <w:color w:val="0070C0"/>
          <w:sz w:val="16"/>
          <w:szCs w:val="16"/>
        </w:rPr>
        <w:softHyphen/>
        <w:t>титься на свой аэродром, а бомбардиров</w:t>
      </w:r>
      <w:r w:rsidRPr="008A2E5A">
        <w:rPr>
          <w:rFonts w:ascii="Times New Roman" w:hAnsi="Times New Roman"/>
          <w:color w:val="0070C0"/>
          <w:sz w:val="16"/>
          <w:szCs w:val="16"/>
        </w:rPr>
        <w:softHyphen/>
        <w:t>щик, удерживаемый автопилотом на кур</w:t>
      </w:r>
      <w:r w:rsidRPr="008A2E5A">
        <w:rPr>
          <w:rFonts w:ascii="Times New Roman" w:hAnsi="Times New Roman"/>
          <w:color w:val="0070C0"/>
          <w:sz w:val="16"/>
          <w:szCs w:val="16"/>
        </w:rPr>
        <w:softHyphen/>
        <w:t>се и глиссаде, - взорваться при соударе</w:t>
      </w:r>
      <w:r w:rsidRPr="008A2E5A">
        <w:rPr>
          <w:rFonts w:ascii="Times New Roman" w:hAnsi="Times New Roman"/>
          <w:color w:val="0070C0"/>
          <w:sz w:val="16"/>
          <w:szCs w:val="16"/>
        </w:rPr>
        <w:softHyphen/>
        <w:t>нии с земной поверхностью. Идея заин</w:t>
      </w:r>
      <w:r w:rsidRPr="008A2E5A">
        <w:rPr>
          <w:rFonts w:ascii="Times New Roman" w:hAnsi="Times New Roman"/>
          <w:color w:val="0070C0"/>
          <w:sz w:val="16"/>
          <w:szCs w:val="16"/>
        </w:rPr>
        <w:softHyphen/>
        <w:t>тересовала чиновников из технического управления, но понадобилось немало ме</w:t>
      </w:r>
      <w:r w:rsidRPr="008A2E5A">
        <w:rPr>
          <w:rFonts w:ascii="Times New Roman" w:hAnsi="Times New Roman"/>
          <w:color w:val="0070C0"/>
          <w:sz w:val="16"/>
          <w:szCs w:val="16"/>
        </w:rPr>
        <w:softHyphen/>
        <w:t>сяцев для перевода предложения в прак</w:t>
      </w:r>
      <w:r w:rsidRPr="008A2E5A">
        <w:rPr>
          <w:rFonts w:ascii="Times New Roman" w:hAnsi="Times New Roman"/>
          <w:color w:val="0070C0"/>
          <w:sz w:val="16"/>
          <w:szCs w:val="16"/>
        </w:rPr>
        <w:softHyphen/>
        <w:t>тическую плоскость.</w:t>
      </w:r>
    </w:p>
    <w:p w14:paraId="3A9EB86B" w14:textId="77777777" w:rsidR="00FC6A26" w:rsidRPr="008A2E5A" w:rsidRDefault="00FC6A26" w:rsidP="00FC6A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Спустя 11 месяцев был выпущен от</w:t>
      </w:r>
      <w:r w:rsidRPr="008A2E5A">
        <w:rPr>
          <w:rFonts w:ascii="Times New Roman" w:hAnsi="Times New Roman"/>
          <w:color w:val="0070C0"/>
          <w:sz w:val="16"/>
          <w:szCs w:val="16"/>
        </w:rPr>
        <w:softHyphen/>
        <w:t>чет DFS (германского планерного инс</w:t>
      </w:r>
      <w:r w:rsidRPr="008A2E5A">
        <w:rPr>
          <w:rFonts w:ascii="Times New Roman" w:hAnsi="Times New Roman"/>
          <w:color w:val="0070C0"/>
          <w:sz w:val="16"/>
          <w:szCs w:val="16"/>
        </w:rPr>
        <w:softHyphen/>
        <w:t>титута), в котором обобщались результа</w:t>
      </w:r>
      <w:r w:rsidRPr="008A2E5A">
        <w:rPr>
          <w:rFonts w:ascii="Times New Roman" w:hAnsi="Times New Roman"/>
          <w:color w:val="0070C0"/>
          <w:sz w:val="16"/>
          <w:szCs w:val="16"/>
        </w:rPr>
        <w:softHyphen/>
        <w:t>ты опытов, проведенных с использова</w:t>
      </w:r>
      <w:r w:rsidRPr="008A2E5A">
        <w:rPr>
          <w:rFonts w:ascii="Times New Roman" w:hAnsi="Times New Roman"/>
          <w:color w:val="0070C0"/>
          <w:sz w:val="16"/>
          <w:szCs w:val="16"/>
        </w:rPr>
        <w:softHyphen/>
        <w:t>нием Do 217 и истребителя-бомбарди</w:t>
      </w:r>
      <w:r w:rsidRPr="008A2E5A">
        <w:rPr>
          <w:rFonts w:ascii="Times New Roman" w:hAnsi="Times New Roman"/>
          <w:color w:val="0070C0"/>
          <w:sz w:val="16"/>
          <w:szCs w:val="16"/>
        </w:rPr>
        <w:softHyphen/>
        <w:t>ровщика Me 328, причем именно пос</w:t>
      </w:r>
      <w:r w:rsidRPr="008A2E5A">
        <w:rPr>
          <w:rFonts w:ascii="Times New Roman" w:hAnsi="Times New Roman"/>
          <w:color w:val="0070C0"/>
          <w:sz w:val="16"/>
          <w:szCs w:val="16"/>
        </w:rPr>
        <w:softHyphen/>
        <w:t>ледний и выступал в роли "летающей бомбы". Затем, после усиления стоек шасси Ju 88 и демонтажа ненужных эле</w:t>
      </w:r>
      <w:r w:rsidRPr="008A2E5A">
        <w:rPr>
          <w:rFonts w:ascii="Times New Roman" w:hAnsi="Times New Roman"/>
          <w:color w:val="0070C0"/>
          <w:sz w:val="16"/>
          <w:szCs w:val="16"/>
        </w:rPr>
        <w:softHyphen/>
        <w:t>ментов (воздушные тормоза, оборони</w:t>
      </w:r>
      <w:r w:rsidRPr="008A2E5A">
        <w:rPr>
          <w:rFonts w:ascii="Times New Roman" w:hAnsi="Times New Roman"/>
          <w:color w:val="0070C0"/>
          <w:sz w:val="16"/>
          <w:szCs w:val="16"/>
        </w:rPr>
        <w:softHyphen/>
        <w:t>тельное вооружение, бронирование, ра</w:t>
      </w:r>
      <w:r w:rsidRPr="008A2E5A">
        <w:rPr>
          <w:rFonts w:ascii="Times New Roman" w:hAnsi="Times New Roman"/>
          <w:color w:val="0070C0"/>
          <w:sz w:val="16"/>
          <w:szCs w:val="16"/>
        </w:rPr>
        <w:softHyphen/>
        <w:t>диооборудование, прицелы и т.п.) были практически подтверждены возмож</w:t>
      </w:r>
      <w:r w:rsidRPr="008A2E5A">
        <w:rPr>
          <w:rFonts w:ascii="Times New Roman" w:hAnsi="Times New Roman"/>
          <w:color w:val="0070C0"/>
          <w:sz w:val="16"/>
          <w:szCs w:val="16"/>
        </w:rPr>
        <w:softHyphen/>
        <w:t>ность взлета с максимальной массой 12 845 кг, максимальная скорость 440 км/ч и максимальная дальность по</w:t>
      </w:r>
      <w:r w:rsidRPr="008A2E5A">
        <w:rPr>
          <w:rFonts w:ascii="Times New Roman" w:hAnsi="Times New Roman"/>
          <w:color w:val="0070C0"/>
          <w:sz w:val="16"/>
          <w:szCs w:val="16"/>
        </w:rPr>
        <w:softHyphen/>
        <w:t>лета 1500 км. В ноябре 1943 г. в отчете технического управления отмечалось, что идея составного самолета "Мистель" является весьма многообещающей, и что такие системы целесообразно применять для поражения важных целей.</w:t>
      </w:r>
    </w:p>
    <w:p w14:paraId="7615B384" w14:textId="77777777" w:rsidR="00FC6A26" w:rsidRPr="008A2E5A" w:rsidRDefault="00FC6A26" w:rsidP="00FC6A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это, работы продолжа</w:t>
      </w:r>
      <w:r w:rsidRPr="008A2E5A">
        <w:rPr>
          <w:rFonts w:ascii="Times New Roman" w:hAnsi="Times New Roman"/>
          <w:color w:val="0070C0"/>
          <w:sz w:val="16"/>
          <w:szCs w:val="16"/>
        </w:rPr>
        <w:softHyphen/>
        <w:t>лись с невысоким темпом. Только в фев</w:t>
      </w:r>
      <w:r w:rsidRPr="008A2E5A">
        <w:rPr>
          <w:rFonts w:ascii="Times New Roman" w:hAnsi="Times New Roman"/>
          <w:color w:val="0070C0"/>
          <w:sz w:val="16"/>
          <w:szCs w:val="16"/>
        </w:rPr>
        <w:softHyphen/>
        <w:t>рале 1944 г. был окончательно утвержден технический облик системы. Доставка составного самолета на базу, где Ju 88 намечали оснащать боевой частью, про</w:t>
      </w:r>
      <w:r w:rsidRPr="008A2E5A">
        <w:rPr>
          <w:rFonts w:ascii="Times New Roman" w:hAnsi="Times New Roman"/>
          <w:color w:val="0070C0"/>
          <w:sz w:val="16"/>
          <w:szCs w:val="16"/>
        </w:rPr>
        <w:softHyphen/>
        <w:t>изводилась экипажем, состоявшим из трех человек: пилота и борттехника "юнкерса" и пилота "мессершмитта". Истре</w:t>
      </w:r>
      <w:r w:rsidRPr="008A2E5A">
        <w:rPr>
          <w:rFonts w:ascii="Times New Roman" w:hAnsi="Times New Roman"/>
          <w:color w:val="0070C0"/>
          <w:sz w:val="16"/>
          <w:szCs w:val="16"/>
        </w:rPr>
        <w:softHyphen/>
        <w:t>битель Bf I09F устанавливался на мощных треугольных фермах (хвостовая часть машины поддерживалась подпру</w:t>
      </w:r>
      <w:r w:rsidRPr="008A2E5A">
        <w:rPr>
          <w:rFonts w:ascii="Times New Roman" w:hAnsi="Times New Roman"/>
          <w:color w:val="0070C0"/>
          <w:sz w:val="16"/>
          <w:szCs w:val="16"/>
        </w:rPr>
        <w:softHyphen/>
        <w:t>жиненным стержнем) над бомбардиров</w:t>
      </w:r>
      <w:r w:rsidRPr="008A2E5A">
        <w:rPr>
          <w:rFonts w:ascii="Times New Roman" w:hAnsi="Times New Roman"/>
          <w:color w:val="0070C0"/>
          <w:sz w:val="16"/>
          <w:szCs w:val="16"/>
        </w:rPr>
        <w:softHyphen/>
        <w:t>щиком. На этапе перегонки пилот истре</w:t>
      </w:r>
      <w:r w:rsidRPr="008A2E5A">
        <w:rPr>
          <w:rFonts w:ascii="Times New Roman" w:hAnsi="Times New Roman"/>
          <w:color w:val="0070C0"/>
          <w:sz w:val="16"/>
          <w:szCs w:val="16"/>
        </w:rPr>
        <w:softHyphen/>
        <w:t>бителя выполнял всего одну функцию: он управлял режимом работы винтомо</w:t>
      </w:r>
      <w:r w:rsidRPr="008A2E5A">
        <w:rPr>
          <w:rFonts w:ascii="Times New Roman" w:hAnsi="Times New Roman"/>
          <w:color w:val="0070C0"/>
          <w:sz w:val="16"/>
          <w:szCs w:val="16"/>
        </w:rPr>
        <w:softHyphen/>
        <w:t>торной установки машины. После при</w:t>
      </w:r>
      <w:r w:rsidRPr="008A2E5A">
        <w:rPr>
          <w:rFonts w:ascii="Times New Roman" w:hAnsi="Times New Roman"/>
          <w:color w:val="0070C0"/>
          <w:sz w:val="16"/>
          <w:szCs w:val="16"/>
        </w:rPr>
        <w:softHyphen/>
        <w:t>бытия на аэродром, с которого планиро</w:t>
      </w:r>
      <w:r w:rsidRPr="008A2E5A">
        <w:rPr>
          <w:rFonts w:ascii="Times New Roman" w:hAnsi="Times New Roman"/>
          <w:color w:val="0070C0"/>
          <w:sz w:val="16"/>
          <w:szCs w:val="16"/>
        </w:rPr>
        <w:softHyphen/>
        <w:t>вался вылет на боевое применение систе</w:t>
      </w:r>
      <w:r w:rsidRPr="008A2E5A">
        <w:rPr>
          <w:rFonts w:ascii="Times New Roman" w:hAnsi="Times New Roman"/>
          <w:color w:val="0070C0"/>
          <w:sz w:val="16"/>
          <w:szCs w:val="16"/>
        </w:rPr>
        <w:softHyphen/>
        <w:t>мы, кабина экипажа бомбардировщика демонтировалась и на ее место устанав</w:t>
      </w:r>
      <w:r w:rsidRPr="008A2E5A">
        <w:rPr>
          <w:rFonts w:ascii="Times New Roman" w:hAnsi="Times New Roman"/>
          <w:color w:val="0070C0"/>
          <w:sz w:val="16"/>
          <w:szCs w:val="16"/>
        </w:rPr>
        <w:softHyphen/>
        <w:t>ливалась 3,8-тонная кумулятивная бое</w:t>
      </w:r>
      <w:r w:rsidRPr="008A2E5A">
        <w:rPr>
          <w:rFonts w:ascii="Times New Roman" w:hAnsi="Times New Roman"/>
          <w:color w:val="0070C0"/>
          <w:sz w:val="16"/>
          <w:szCs w:val="16"/>
        </w:rPr>
        <w:softHyphen/>
        <w:t>вая часть. На выполнение этой операции требовалось пять часов. В процессе руле</w:t>
      </w:r>
      <w:r w:rsidRPr="008A2E5A">
        <w:rPr>
          <w:rFonts w:ascii="Times New Roman" w:hAnsi="Times New Roman"/>
          <w:color w:val="0070C0"/>
          <w:sz w:val="16"/>
          <w:szCs w:val="16"/>
        </w:rPr>
        <w:softHyphen/>
        <w:t>ния на аэродроме под фюзеляжем Ju 88 на подвесном кресле находился "води</w:t>
      </w:r>
      <w:r w:rsidRPr="008A2E5A">
        <w:rPr>
          <w:rFonts w:ascii="Times New Roman" w:hAnsi="Times New Roman"/>
          <w:color w:val="0070C0"/>
          <w:sz w:val="16"/>
          <w:szCs w:val="16"/>
        </w:rPr>
        <w:softHyphen/>
        <w:t>тель", управлявший тормозами. После выруливания "водитель" покидал свое ра</w:t>
      </w:r>
      <w:r w:rsidRPr="008A2E5A">
        <w:rPr>
          <w:rFonts w:ascii="Times New Roman" w:hAnsi="Times New Roman"/>
          <w:color w:val="0070C0"/>
          <w:sz w:val="16"/>
          <w:szCs w:val="16"/>
        </w:rPr>
        <w:softHyphen/>
        <w:t>бочее место и далее все управление сос</w:t>
      </w:r>
      <w:r w:rsidRPr="008A2E5A">
        <w:rPr>
          <w:rFonts w:ascii="Times New Roman" w:hAnsi="Times New Roman"/>
          <w:color w:val="0070C0"/>
          <w:sz w:val="16"/>
          <w:szCs w:val="16"/>
        </w:rPr>
        <w:softHyphen/>
        <w:t>редотачивалось у пилота истребителя.</w:t>
      </w:r>
    </w:p>
    <w:p w14:paraId="3994B634" w14:textId="77777777" w:rsidR="00FC6A26" w:rsidRPr="008A2E5A" w:rsidRDefault="00FC6A26" w:rsidP="00FC6A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 осуществлялся строго против ветра, так как устранить боковой снос на начальном этапе разбега было невоз</w:t>
      </w:r>
      <w:r w:rsidRPr="008A2E5A">
        <w:rPr>
          <w:rFonts w:ascii="Times New Roman" w:hAnsi="Times New Roman"/>
          <w:color w:val="0070C0"/>
          <w:sz w:val="16"/>
          <w:szCs w:val="16"/>
        </w:rPr>
        <w:softHyphen/>
        <w:t>можно. Это накладывало определенные ограничения на размеры аэродрома и качество его поверхности. После взлета пилот истребителя убирал шасси "юн- керса", переводил все двигатели на но</w:t>
      </w:r>
      <w:r w:rsidRPr="008A2E5A">
        <w:rPr>
          <w:rFonts w:ascii="Times New Roman" w:hAnsi="Times New Roman"/>
          <w:color w:val="0070C0"/>
          <w:sz w:val="16"/>
          <w:szCs w:val="16"/>
        </w:rPr>
        <w:softHyphen/>
        <w:t>минальный режим работы. В районе це</w:t>
      </w:r>
      <w:r w:rsidRPr="008A2E5A">
        <w:rPr>
          <w:rFonts w:ascii="Times New Roman" w:hAnsi="Times New Roman"/>
          <w:color w:val="0070C0"/>
          <w:sz w:val="16"/>
          <w:szCs w:val="16"/>
        </w:rPr>
        <w:softHyphen/>
        <w:t>ли система переводилась в пикирование с углом 20-30°. Закончив прицеливание, пилот истребителя освобождал замок заднего опорного стрежня, который от</w:t>
      </w:r>
      <w:r w:rsidRPr="008A2E5A">
        <w:rPr>
          <w:rFonts w:ascii="Times New Roman" w:hAnsi="Times New Roman"/>
          <w:color w:val="0070C0"/>
          <w:sz w:val="16"/>
          <w:szCs w:val="16"/>
        </w:rPr>
        <w:softHyphen/>
        <w:t>кидывался назад вдоль фюзеляжа. При касании последнего срабатывал конце</w:t>
      </w:r>
      <w:r w:rsidRPr="008A2E5A">
        <w:rPr>
          <w:rFonts w:ascii="Times New Roman" w:hAnsi="Times New Roman"/>
          <w:color w:val="0070C0"/>
          <w:sz w:val="16"/>
          <w:szCs w:val="16"/>
        </w:rPr>
        <w:softHyphen/>
        <w:t>вой выключатель, который приводил в действие систему раскрытия основных замков на треугольных фермах (24193).</w:t>
      </w:r>
    </w:p>
    <w:p w14:paraId="191ECE6C" w14:textId="77777777" w:rsidR="00FC6A26" w:rsidRPr="008A2E5A" w:rsidRDefault="00FC6A26" w:rsidP="00FC6A26">
      <w:pPr>
        <w:spacing w:after="0" w:line="240" w:lineRule="auto"/>
        <w:jc w:val="both"/>
        <w:rPr>
          <w:rFonts w:ascii="Times New Roman" w:hAnsi="Times New Roman"/>
          <w:color w:val="0070C0"/>
          <w:sz w:val="16"/>
          <w:szCs w:val="16"/>
        </w:rPr>
      </w:pPr>
    </w:p>
    <w:p w14:paraId="6D78FC7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июня 1942 В.Буш руководитель Исследовательского комитета национальной обороны США, представляет президенту план расширения проекта по созданию атомной бомбы. Ф.Рузвельт отдает приказ немедленно начать работы по созданию бомбы. Проект передается в ведение армии. – А-Бомба. – С.35–36 (11321).</w:t>
      </w:r>
    </w:p>
    <w:p w14:paraId="5579B8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AF6B3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17 июня</w:t>
      </w:r>
      <w:r w:rsidRPr="008127F8">
        <w:rPr>
          <w:rFonts w:ascii="Times New Roman" w:hAnsi="Times New Roman"/>
          <w:color w:val="000000" w:themeColor="text1"/>
          <w:sz w:val="16"/>
          <w:szCs w:val="16"/>
        </w:rPr>
        <w:t xml:space="preserve"> в 1942 году Вэннивэр Буш представил президенту доклад, в котором изложил план расширения проекта по созданию атомной бомбы. В докладе содержались следующие положения:</w:t>
      </w:r>
    </w:p>
    <w:p w14:paraId="19B1F68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Несколько килограммов урана-235 или плутония-239 представляют собой взрывчатку, эквивалентную по мощи нескольким тысячам тонн обычных взрывчатых веществ. Такую бомбу можно взрывать в нужный момент.</w:t>
      </w:r>
    </w:p>
    <w:p w14:paraId="5B4C4E9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 Существует четыре практически осуществимых метода получения делящихся веществ: электромагнитное разделение урана, диффузионное разделение урана, разделение урана на центрифугах с получением делящегося изотопа урана-235, а также получение плутония-239 с помощью цепной реакции. Нельзя определенно утверждать, что какой-то один из этих методов окажется лучше других.</w:t>
      </w:r>
    </w:p>
    <w:p w14:paraId="196F1E9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Можно проектировать и строить довольно крупные промышленные установки.</w:t>
      </w:r>
    </w:p>
    <w:p w14:paraId="56F561B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При наличии фондов и прерогатив программу действий, по-видимому, необходимо начать по возможности скорее, чтобы она приобрела военное значение. Одобренные президентом материалы были возвращены Бушу. Рузвельт отдал приказ немедленно начать работы по созданию атомной бомбы (14925).</w:t>
      </w:r>
    </w:p>
    <w:p w14:paraId="1EB39C8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B88AD1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 17th, 1942: Leaving behind a garrison of some 30,000 troops, the British Eighth Army withdraws from Tobruk (3819).</w:t>
      </w:r>
    </w:p>
    <w:p w14:paraId="756591E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49BA55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июня 1942 англичане начали отступление в Египет, оставив гарнизон в Тобруке (2261).</w:t>
      </w:r>
    </w:p>
    <w:p w14:paraId="72229A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864F7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июня 1942 первый американский корпус высадился в Северной Африке (4962).</w:t>
      </w:r>
    </w:p>
    <w:p w14:paraId="1FA28961"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7D143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17 июня</w:t>
      </w:r>
      <w:r w:rsidRPr="008127F8">
        <w:rPr>
          <w:rFonts w:ascii="Times New Roman" w:hAnsi="Times New Roman"/>
          <w:color w:val="000000" w:themeColor="text1"/>
          <w:sz w:val="16"/>
          <w:szCs w:val="16"/>
        </w:rPr>
        <w:t xml:space="preserve"> в 1942 году вашингтонская конференция Рузвельта и Черчилля (до 21 июня) по вопросам военной стратегии и производства военной техники (14925).</w:t>
      </w:r>
    </w:p>
    <w:p w14:paraId="0E7D9B3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3B82B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4B6B9E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A3223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июня 1942 Зам. Нач. ГУЗ и ТС Бибиков и Военком Руденко писали письмо N 375490 А.И.Ш. НКАП о катастрофах и авиариях на Ил-2 вследствие отказа матчасти - двигатель, разрушение хвоста и т.п. (1634,291).</w:t>
      </w:r>
    </w:p>
    <w:p w14:paraId="5F657D5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НАРОДНОМУ КОМИССАРУ АВИАЦИОННОЙ ПРОМЫШЛЕННОСТИ С.С.С.Р. тов. ШАХУРИНУ</w:t>
      </w:r>
    </w:p>
    <w:p w14:paraId="5385495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последние дни в строевых частях ВВС Красной Армии имели место следующие катастрофы и аварии происшедшие в результате отказов материальной части.</w:t>
      </w:r>
    </w:p>
    <w:p w14:paraId="3B5B824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4.У1.42 г. в 451 ШАП произошла вынужденная посадка самолета Ил-2 пилотируемого командиром полка майором КЛАБУКОВЫМ.</w:t>
      </w:r>
    </w:p>
    <w:p w14:paraId="40A2627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Отказ мотора из-за среза бронзовых червячных шестерен газораспределителя.</w:t>
      </w:r>
    </w:p>
    <w:p w14:paraId="30A86CA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8.У1.42 г. в 61 ШАП произошла вынужденная по</w:t>
      </w:r>
      <w:r w:rsidRPr="008127F8">
        <w:rPr>
          <w:rFonts w:ascii="Times New Roman" w:hAnsi="Times New Roman"/>
          <w:color w:val="000000" w:themeColor="text1"/>
          <w:sz w:val="16"/>
          <w:szCs w:val="16"/>
        </w:rPr>
        <w:softHyphen/>
        <w:t>садка самолета Ил-2 пилотируемого зам.командира эскадрильи 61 ШАП лейтенантом ДОМОРОВСКИМ.</w:t>
      </w:r>
    </w:p>
    <w:p w14:paraId="485D6BC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Отказ мотора по причине обрыва шатуна второго цилиндра и разрушение втулки главного шатуна.</w:t>
      </w:r>
    </w:p>
    <w:p w14:paraId="42FCB01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9.У1.42 г. в 61 Краснознаменном Штурмовом авиаполку 1-й ЗАБ на высоте 250 м разрушилось хвостовое оперение самолета Ил. Летчик мл. лейтенант ЕГОРОВ погиб. Самолет разбит. Самолет был получен с завода № 18, налетал около 6 часов.</w:t>
      </w:r>
    </w:p>
    <w:p w14:paraId="72FB894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9.У1.42 г. в 622 Штурмовом авиаполку после нормальной посадки на пробеге у самолета Ил-2 отвалился хвост у киля самолета. Самолет получен с завода № 18, налетал около 6-ти часов.</w:t>
      </w:r>
    </w:p>
    <w:p w14:paraId="36CDD0A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10.У1.42 г. в 809 Штурмовом Авиаполку потерпел ка</w:t>
      </w:r>
      <w:r w:rsidRPr="008127F8">
        <w:rPr>
          <w:rFonts w:ascii="Times New Roman" w:hAnsi="Times New Roman"/>
          <w:color w:val="000000" w:themeColor="text1"/>
          <w:sz w:val="16"/>
          <w:szCs w:val="16"/>
        </w:rPr>
        <w:softHyphen/>
        <w:t>тастрофу самолет Ил-2, пилотируемый пилотом ИВАНОВЫМ. Са</w:t>
      </w:r>
      <w:r w:rsidRPr="008127F8">
        <w:rPr>
          <w:rFonts w:ascii="Times New Roman" w:hAnsi="Times New Roman"/>
          <w:color w:val="000000" w:themeColor="text1"/>
          <w:sz w:val="16"/>
          <w:szCs w:val="16"/>
        </w:rPr>
        <w:softHyphen/>
        <w:t>молет с высоты 250-300 после разворота перешел в крутое пикирование и с углом 70°'ударился в землю. Обрыв шатуна мотора. Мотор после выпуска с завода наработал 1 ч.30 м.</w:t>
      </w:r>
    </w:p>
    <w:p w14:paraId="10CAF76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11.У1.42 г. в 235 ШАЛ потерпел аварию самолет Ил-2, пилотируемый командиром звена ИЛЬЕЩЕНКО. На взлете отказал мотор по неустановленным причинам. Летчик сомнений не вызывает, налетал 240 часов, имея 10 бое</w:t>
      </w:r>
      <w:r w:rsidRPr="008127F8">
        <w:rPr>
          <w:rFonts w:ascii="Times New Roman" w:hAnsi="Times New Roman"/>
          <w:color w:val="000000" w:themeColor="text1"/>
          <w:sz w:val="16"/>
          <w:szCs w:val="16"/>
        </w:rPr>
        <w:softHyphen/>
        <w:t>вых вылетов (1634,291).</w:t>
      </w:r>
    </w:p>
    <w:p w14:paraId="558114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ED6823" w14:textId="77777777" w:rsidR="007C5583" w:rsidRPr="008127F8" w:rsidRDefault="007C5583" w:rsidP="007C5583">
      <w:pPr>
        <w:pStyle w:val="a4"/>
        <w:rPr>
          <w:color w:val="000000" w:themeColor="text1"/>
          <w:lang w:val="ru-RU"/>
        </w:rPr>
      </w:pPr>
      <w:r w:rsidRPr="008127F8">
        <w:rPr>
          <w:color w:val="000000" w:themeColor="text1"/>
          <w:lang w:val="ru-RU"/>
        </w:rPr>
        <w:t>18 июня 1942 ВМШ Цветкова вновь был предъявлен для испытаний. Испытательная бригада осталась прежней за исключением ведущего лётчика-испытателя. Вместо В.М. Кравченко летали помощник на</w:t>
      </w:r>
      <w:r w:rsidRPr="008127F8">
        <w:rPr>
          <w:color w:val="000000" w:themeColor="text1"/>
          <w:lang w:val="ru-RU"/>
        </w:rPr>
        <w:softHyphen/>
        <w:t>чальника НИП АВ ВВС по лётной под</w:t>
      </w:r>
      <w:r w:rsidRPr="008127F8">
        <w:rPr>
          <w:color w:val="000000" w:themeColor="text1"/>
          <w:lang w:val="ru-RU"/>
        </w:rPr>
        <w:softHyphen/>
        <w:t>готовке майор Н.И. Звонарев и воен</w:t>
      </w:r>
      <w:r w:rsidRPr="008127F8">
        <w:rPr>
          <w:color w:val="000000" w:themeColor="text1"/>
          <w:lang w:val="ru-RU"/>
        </w:rPr>
        <w:softHyphen/>
        <w:t>ком полигона старший политрук С.И. Лябихов. Полёты были начаты 20 июня и продолжались до 8 июля.</w:t>
      </w:r>
    </w:p>
    <w:p w14:paraId="55C0EB1E" w14:textId="77777777" w:rsidR="007C5583" w:rsidRPr="008127F8" w:rsidRDefault="007C5583" w:rsidP="007C5583">
      <w:pPr>
        <w:pStyle w:val="a4"/>
        <w:rPr>
          <w:color w:val="000000" w:themeColor="text1"/>
          <w:lang w:val="ru-RU"/>
        </w:rPr>
      </w:pPr>
      <w:r w:rsidRPr="008127F8">
        <w:rPr>
          <w:color w:val="000000" w:themeColor="text1"/>
          <w:lang w:val="ru-RU"/>
        </w:rPr>
        <w:t>Работа с ВМШ Цветкова была простой и достаточно удобной. Перед заходом на цель лётчик заводил пру</w:t>
      </w:r>
      <w:r w:rsidRPr="008127F8">
        <w:rPr>
          <w:color w:val="000000" w:themeColor="text1"/>
          <w:lang w:val="ru-RU"/>
        </w:rPr>
        <w:softHyphen/>
        <w:t>жинный механизм и устанавливал вы</w:t>
      </w:r>
      <w:r w:rsidRPr="008127F8">
        <w:rPr>
          <w:color w:val="000000" w:themeColor="text1"/>
          <w:lang w:val="ru-RU"/>
        </w:rPr>
        <w:softHyphen/>
        <w:t>соту полёта и скорость полёта (совме</w:t>
      </w:r>
      <w:r w:rsidRPr="008127F8">
        <w:rPr>
          <w:color w:val="000000" w:themeColor="text1"/>
          <w:lang w:val="ru-RU"/>
        </w:rPr>
        <w:softHyphen/>
        <w:t>щал кривую высоты бомбометания на поворотном диске с риской путевой скорости на шкале прибора). Затем, соблюдая режим полёта (скорость и высоту), в момент совмещения с целью линии на бронекозырьке с оцифров</w:t>
      </w:r>
      <w:r w:rsidRPr="008127F8">
        <w:rPr>
          <w:color w:val="000000" w:themeColor="text1"/>
          <w:lang w:val="ru-RU"/>
        </w:rPr>
        <w:softHyphen/>
        <w:t xml:space="preserve">кой 50-100 и мушки на бронекапоте лётчик нажатием пускового рычага запускал </w:t>
      </w:r>
      <w:r w:rsidRPr="008127F8">
        <w:rPr>
          <w:color w:val="000000" w:themeColor="text1"/>
        </w:rPr>
        <w:t>BM</w:t>
      </w:r>
      <w:r w:rsidRPr="008127F8">
        <w:rPr>
          <w:color w:val="000000" w:themeColor="text1"/>
          <w:lang w:val="ru-RU"/>
        </w:rPr>
        <w:t>Ш, и далее соблюдал режим полёта до момента загорания сигнальной лампочки, указывающей момент автома</w:t>
      </w:r>
      <w:r w:rsidRPr="008127F8">
        <w:rPr>
          <w:color w:val="000000" w:themeColor="text1"/>
          <w:lang w:val="ru-RU"/>
        </w:rPr>
        <w:softHyphen/>
        <w:t>тического сбрасывания авиабомб. При этом за 5 сек до сбрасывания бомб, за</w:t>
      </w:r>
      <w:r w:rsidRPr="008127F8">
        <w:rPr>
          <w:color w:val="000000" w:themeColor="text1"/>
          <w:lang w:val="ru-RU"/>
        </w:rPr>
        <w:softHyphen/>
        <w:t>горалась зелёная сигнальная лампочка, а в момент сбрасывания - красная лампоч</w:t>
      </w:r>
      <w:r w:rsidRPr="008127F8">
        <w:rPr>
          <w:color w:val="000000" w:themeColor="text1"/>
          <w:lang w:val="ru-RU"/>
        </w:rPr>
        <w:softHyphen/>
        <w:t>ка.</w:t>
      </w:r>
    </w:p>
    <w:p w14:paraId="6508C705" w14:textId="77777777" w:rsidR="007C5583" w:rsidRPr="008127F8" w:rsidRDefault="007C5583" w:rsidP="007C5583">
      <w:pPr>
        <w:pStyle w:val="a4"/>
        <w:rPr>
          <w:color w:val="000000" w:themeColor="text1"/>
          <w:lang w:val="ru-RU"/>
        </w:rPr>
      </w:pPr>
      <w:r w:rsidRPr="008127F8">
        <w:rPr>
          <w:color w:val="000000" w:themeColor="text1"/>
          <w:lang w:val="ru-RU"/>
        </w:rPr>
        <w:t>При разработке ВМШ в качестве ос</w:t>
      </w:r>
      <w:r w:rsidRPr="008127F8">
        <w:rPr>
          <w:color w:val="000000" w:themeColor="text1"/>
          <w:lang w:val="ru-RU"/>
        </w:rPr>
        <w:softHyphen/>
        <w:t>новной расчётной высоты боевого приме</w:t>
      </w:r>
      <w:r w:rsidRPr="008127F8">
        <w:rPr>
          <w:color w:val="000000" w:themeColor="text1"/>
          <w:lang w:val="ru-RU"/>
        </w:rPr>
        <w:softHyphen/>
        <w:t>нения была выбрана высота 200 м, но на полигоне отработали и бомбометание с высот 70, 100, 300 и 400 м.</w:t>
      </w:r>
    </w:p>
    <w:p w14:paraId="1CC804F4" w14:textId="77777777" w:rsidR="007C5583" w:rsidRPr="008127F8" w:rsidRDefault="007C5583" w:rsidP="007C5583">
      <w:pPr>
        <w:pStyle w:val="a4"/>
        <w:rPr>
          <w:color w:val="000000" w:themeColor="text1"/>
          <w:lang w:val="ru-RU"/>
        </w:rPr>
      </w:pPr>
      <w:r w:rsidRPr="008127F8">
        <w:rPr>
          <w:color w:val="000000" w:themeColor="text1"/>
          <w:lang w:val="ru-RU"/>
        </w:rPr>
        <w:t>Испытания показали, что применение ВМШ повышает точность бомбометания с горизонтального полёта по сравнению с прицеливанием по меткам на бронекапо</w:t>
      </w:r>
      <w:r w:rsidRPr="008127F8">
        <w:rPr>
          <w:color w:val="000000" w:themeColor="text1"/>
          <w:lang w:val="ru-RU"/>
        </w:rPr>
        <w:softHyphen/>
        <w:t>те в 1,5-2 раза.</w:t>
      </w:r>
    </w:p>
    <w:p w14:paraId="4072BAF7" w14:textId="77777777" w:rsidR="007C5583" w:rsidRPr="008127F8" w:rsidRDefault="007C5583" w:rsidP="007C5583">
      <w:pPr>
        <w:pStyle w:val="a4"/>
        <w:rPr>
          <w:color w:val="000000" w:themeColor="text1"/>
          <w:lang w:val="ru-RU"/>
        </w:rPr>
      </w:pPr>
      <w:r w:rsidRPr="008127F8">
        <w:rPr>
          <w:color w:val="000000" w:themeColor="text1"/>
          <w:lang w:val="ru-RU"/>
        </w:rPr>
        <w:t>Вероятность попадания одной бомбы ФАБ-50 в полосу 20</w:t>
      </w:r>
      <w:r w:rsidRPr="008127F8">
        <w:rPr>
          <w:color w:val="000000" w:themeColor="text1"/>
        </w:rPr>
        <w:t>x</w:t>
      </w:r>
      <w:r w:rsidRPr="008127F8">
        <w:rPr>
          <w:color w:val="000000" w:themeColor="text1"/>
          <w:lang w:val="ru-RU"/>
        </w:rPr>
        <w:t>100 м при бомбо</w:t>
      </w:r>
      <w:r w:rsidRPr="008127F8">
        <w:rPr>
          <w:color w:val="000000" w:themeColor="text1"/>
          <w:lang w:val="ru-RU"/>
        </w:rPr>
        <w:softHyphen/>
        <w:t>метании с высоты 200 м при использова</w:t>
      </w:r>
      <w:r w:rsidRPr="008127F8">
        <w:rPr>
          <w:color w:val="000000" w:themeColor="text1"/>
          <w:lang w:val="ru-RU"/>
        </w:rPr>
        <w:softHyphen/>
        <w:t>нии ВМШ составила 4,9%, а серией из четырёх ФАБ-50 - 8,5%.</w:t>
      </w:r>
    </w:p>
    <w:p w14:paraId="0C7B63A9" w14:textId="77777777" w:rsidR="007C5583" w:rsidRPr="008127F8" w:rsidRDefault="007C5583" w:rsidP="007C5583">
      <w:pPr>
        <w:pStyle w:val="a4"/>
        <w:rPr>
          <w:color w:val="000000" w:themeColor="text1"/>
          <w:lang w:val="ru-RU"/>
        </w:rPr>
      </w:pPr>
      <w:r w:rsidRPr="008127F8">
        <w:rPr>
          <w:color w:val="000000" w:themeColor="text1"/>
          <w:lang w:val="ru-RU"/>
        </w:rPr>
        <w:t>Лётчиками НИП АВ был сделан вывод о целесообразности применения ВМШ на Ил-2 в строевых частях ВВС КА, по</w:t>
      </w:r>
      <w:r w:rsidRPr="008127F8">
        <w:rPr>
          <w:color w:val="000000" w:themeColor="text1"/>
          <w:lang w:val="ru-RU"/>
        </w:rPr>
        <w:softHyphen/>
        <w:t>скольку работа лётчика с ним в полёте проста, и он дает лучшие результаты.</w:t>
      </w:r>
    </w:p>
    <w:p w14:paraId="74AAFA45" w14:textId="77777777" w:rsidR="007C5583" w:rsidRPr="008127F8" w:rsidRDefault="007C5583" w:rsidP="007C5583">
      <w:pPr>
        <w:pStyle w:val="a4"/>
        <w:rPr>
          <w:color w:val="000000" w:themeColor="text1"/>
          <w:lang w:val="ru-RU"/>
        </w:rPr>
      </w:pPr>
      <w:r w:rsidRPr="008127F8">
        <w:rPr>
          <w:color w:val="000000" w:themeColor="text1"/>
          <w:lang w:val="ru-RU"/>
        </w:rPr>
        <w:t>Был, однако, отмечен и ряд существен</w:t>
      </w:r>
      <w:r w:rsidRPr="008127F8">
        <w:rPr>
          <w:color w:val="000000" w:themeColor="text1"/>
          <w:lang w:val="ru-RU"/>
        </w:rPr>
        <w:softHyphen/>
        <w:t>ных недостатков конструкции ВМШ, сни</w:t>
      </w:r>
      <w:r w:rsidRPr="008127F8">
        <w:rPr>
          <w:color w:val="000000" w:themeColor="text1"/>
          <w:lang w:val="ru-RU"/>
        </w:rPr>
        <w:softHyphen/>
        <w:t>жающих его боевую ценность. К основным недочётам относились: дискретность вы</w:t>
      </w:r>
      <w:r w:rsidRPr="008127F8">
        <w:rPr>
          <w:color w:val="000000" w:themeColor="text1"/>
          <w:lang w:val="ru-RU"/>
        </w:rPr>
        <w:softHyphen/>
        <w:t>бора и ограниченность диапазона высот боевого применения и отсутствие режима бомбометания на выходе из пикирования (планирования), который и без ВМШ обе</w:t>
      </w:r>
      <w:r w:rsidRPr="008127F8">
        <w:rPr>
          <w:color w:val="000000" w:themeColor="text1"/>
          <w:lang w:val="ru-RU"/>
        </w:rPr>
        <w:softHyphen/>
        <w:t>спечивал в 2-3 раза большую точность по сравнению с горизонтальным.</w:t>
      </w:r>
    </w:p>
    <w:p w14:paraId="5E502BE4" w14:textId="77777777" w:rsidR="007C5583" w:rsidRPr="008127F8" w:rsidRDefault="007C5583" w:rsidP="007C5583">
      <w:pPr>
        <w:pStyle w:val="a4"/>
        <w:rPr>
          <w:color w:val="000000" w:themeColor="text1"/>
          <w:lang w:val="ru-RU"/>
        </w:rPr>
      </w:pPr>
      <w:r w:rsidRPr="008127F8">
        <w:rPr>
          <w:color w:val="000000" w:themeColor="text1"/>
          <w:lang w:val="ru-RU"/>
        </w:rPr>
        <w:t>Учитывая, что временной механизм штурмовика М.К. Цветкова во всех слу</w:t>
      </w:r>
      <w:r w:rsidRPr="008127F8">
        <w:rPr>
          <w:color w:val="000000" w:themeColor="text1"/>
          <w:lang w:val="ru-RU"/>
        </w:rPr>
        <w:softHyphen/>
        <w:t>чаях позволял получить лучшие резуль</w:t>
      </w:r>
      <w:r w:rsidRPr="008127F8">
        <w:rPr>
          <w:color w:val="000000" w:themeColor="text1"/>
          <w:lang w:val="ru-RU"/>
        </w:rPr>
        <w:softHyphen/>
        <w:t>таты при бомбометании и в некоторой степени компенсировать недостаточную подготовку лётного состава строевых частей, рекомендовалось срочно дора</w:t>
      </w:r>
      <w:r w:rsidRPr="008127F8">
        <w:rPr>
          <w:color w:val="000000" w:themeColor="text1"/>
          <w:lang w:val="ru-RU"/>
        </w:rPr>
        <w:softHyphen/>
        <w:t>ботать ВМШ, обеспечив возможность бомбометания с его помощью на выходе из пикирования (15978).</w:t>
      </w:r>
    </w:p>
    <w:p w14:paraId="44B0A95D" w14:textId="77777777" w:rsidR="007C5583" w:rsidRPr="008127F8" w:rsidRDefault="007C5583" w:rsidP="007C5583">
      <w:pPr>
        <w:pStyle w:val="a4"/>
        <w:rPr>
          <w:color w:val="000000" w:themeColor="text1"/>
          <w:lang w:val="ru-RU"/>
        </w:rPr>
      </w:pPr>
    </w:p>
    <w:p w14:paraId="485E1EF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июня 1942 на заводе № 166 состоялось совещание, на котором приняли решение собрать пять машин Ту-2 в стандартной комплектации бомбардировщика, а затем по</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дополнительному соглашению с</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ВВС доработать их в разведчики. Задача выглядела нелегкой. На самолетах требовалось смонтировать фотоаппараты, подвесные баки и верхнюю блистерную установку под пулемет УБТ, существовавшую тогда еще только в чертежах. А на дополнительный бак и чертежей не имелось. К</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тому же представители ВВС требовали закончить все работы к 15 июля, что казалось совершенно нереальным. Следует еще учесть, что завод в это время никак не мог довести до ума уже выпущенные бомбардировщики Ту-2, чтобы отправить их на фронт. В результате работа над разведчиками затянулась до осени, когда поступили дополнительные требования ВВС (21059).</w:t>
      </w:r>
    </w:p>
    <w:p w14:paraId="5DD6BCD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216D55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июня 1942 года нарком ВМФ адмирал Кузнецов писал письмо N 938сс Маленкову.</w:t>
      </w:r>
    </w:p>
    <w:p w14:paraId="1103AA5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Разослано: 19/VI-1942 г. Шахурину и Григорьяну.</w:t>
      </w:r>
    </w:p>
    <w:p w14:paraId="54AAEB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1942 году НКАП фактически ликвидировал серийное отечественное морское самолетостроение 2-х моторных летающих лодок.</w:t>
      </w:r>
    </w:p>
    <w:p w14:paraId="3C0DFF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текущем году англичане на северных коммуникациях для проводки караванов и разведки применяют свои летающие лодки из-за отсутствия таких самолетов у нас.</w:t>
      </w:r>
    </w:p>
    <w:p w14:paraId="0016B5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Два единственных конструкторских бюро НКАП морского самолетостроения И.В.Четверикова и Бериева поставлены в такое положение, что не в состоянии заниматься ни серийными, ни опытным строительством 2-х моторных летающих лодок.</w:t>
      </w:r>
    </w:p>
    <w:p w14:paraId="024133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И.В.Четверикова на вновь организованном заводе N 458 (бывший завод N 30 - Иваньково) находится по производственным возможностям в тяжелом положении и до сего времени не может довести единственный опытный гидросамолет Че6-2М105.</w:t>
      </w:r>
    </w:p>
    <w:p w14:paraId="1A657B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настоящее время этот самолет находится на государственных испытаниях и уже в первых полетах показал хорошие пилотажные качества с современными летно-тактическими данными (максимальная скорость около 460 км/час и дальность полета с 400 кг бомб 2100-2200 км).</w:t>
      </w:r>
    </w:p>
    <w:p w14:paraId="4238371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Бериева расположено на заводе N 288 (г. Омск), где имеются еще два КБ Мясищева и Томашевича по сухопутным самолетам.</w:t>
      </w:r>
    </w:p>
    <w:p w14:paraId="01A680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Ограниченная производственная база завода (бывшие авиационные мастерские ГВФ) и строительство опытных сухопутных самолетов не обеспечивают Бериеву необходимых условий для проектирования и постройки новой опытной летающей лодки дальнего действия по заданию ВВС ВМФ.</w:t>
      </w:r>
    </w:p>
    <w:p w14:paraId="6BA0AF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Неоднократная постановка мной вопроса перед наркомом авиапромышленности Шахуриным о восстановлении в Союзе строительства морских самолетов никаких реальных результатов не дает.</w:t>
      </w:r>
    </w:p>
    <w:p w14:paraId="0E8217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Считая создавшееся в 1942 г. положение с серийным и опытным морским самолетостроением совершенно неудовлетворительным, не имеющим никакой перспективы на улучшение и весьма отрицательным для обороноспособности наших морских границ и коммуникаций, прошу Вас рассмотреть следующие вопросы:</w:t>
      </w:r>
    </w:p>
    <w:p w14:paraId="2FDB30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 строительстве в 1942 году 2-х моторных летающих лодок для ВВС ВМФ.</w:t>
      </w:r>
    </w:p>
    <w:p w14:paraId="06CDC7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 разработке и строительстве новой опытной 2-х моторной летающей лодки дальнего действия по заданию ВВС ВМФ (2728,25).</w:t>
      </w:r>
    </w:p>
    <w:p w14:paraId="1F59D6A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8D70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июня 1942 второй экз. опытного экз. тяжелого грузового планера (25 чел., 76 мм пушка с расчетом или танкетка К-27 с экипажем) Л.П.Курбалы КГ - Курбала-</w:t>
      </w:r>
      <w:r w:rsidRPr="008127F8">
        <w:rPr>
          <w:rFonts w:ascii="Times New Roman" w:hAnsi="Times New Roman"/>
          <w:color w:val="000000" w:themeColor="text1"/>
          <w:sz w:val="16"/>
          <w:szCs w:val="16"/>
        </w:rPr>
        <w:lastRenderedPageBreak/>
        <w:t>грузовой был собран (94,86).</w:t>
      </w:r>
    </w:p>
    <w:p w14:paraId="5134279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E0E1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июня 1942 вышло Постановление ГКО № 1913 Об увеличении выпуска листового проката из алюминиевых сплавов на заводе № 150 НКАП в гор. Ступино. РГАНИР, Фонд ГКО, д. 40, лл. 1-2, 3-16 (11012).</w:t>
      </w:r>
    </w:p>
    <w:p w14:paraId="4643EDB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0330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0624F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9294D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июня 1942 г. Из докладной записки директора завода № 40 А. П. Якушева в Казанский городской комитет ВКП (б) об оборонной продукции завода и работе по ее усовершенствованию</w:t>
      </w:r>
    </w:p>
    <w:p w14:paraId="6063B91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период Отечественной войны на заводе № 40 им. Ленина в области нововведений и усовершенствований проведены следующие работы.</w:t>
      </w:r>
    </w:p>
    <w:p w14:paraId="6CBFA24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временно возникшим затруднением по снабжению фронта нитроглицериновыми порохами к реактивным снарядам, заводом быстро отработан состав пироксилинового пороха к системам М-8 и М-13. Разработана и освоена технология валового производства.</w:t>
      </w:r>
    </w:p>
    <w:p w14:paraId="0EC18D9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января 1942 г. завод освоил валовый выпуск пироксилиновых порохов к реактивным снарядам, отправляя их непосредственно на фронт.</w:t>
      </w:r>
    </w:p>
    <w:p w14:paraId="3261567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настоящее время изготовление порохов под системы М-8 и М-13 составляет около 30-35 % общей сдачи продукции.</w:t>
      </w:r>
    </w:p>
    <w:p w14:paraId="5B3FA63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Также, взамен нитроглицериновых порохов, заводом освоен валовый выпуск пироксилиновых порохов к минометам.</w:t>
      </w:r>
    </w:p>
    <w:p w14:paraId="33D87DA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Отработана технология изготовления пороха. В настоящее время завод готовит порох и изготовляет заряды.</w:t>
      </w:r>
    </w:p>
    <w:p w14:paraId="135911D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тем, что комплектация данных зарядов относится к группе сложных многоэлементных зарядов, заводу пришлось изготовить ряд нового оборудования и организовать специальные базы по обеспечению вспомогательными материалами. Оборудована зарядная мастерская. Выпускаемые заводом заряды отправляются непосредственно на фронт.</w:t>
      </w:r>
    </w:p>
    <w:p w14:paraId="5B0E11F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Заводом полностью освоена технология изготовления коллоксилина и налажено его валовое производство. Изготовляемый коллоксилин служит полуфабрикатом для вновь пущенных заводом нитроглицериновых порохов. […]</w:t>
      </w:r>
      <w:hyperlink r:id="rId78" w:anchor="_ftn1" w:history="1">
        <w:r w:rsidRPr="008127F8">
          <w:rPr>
            <w:rFonts w:ascii="Times New Roman" w:hAnsi="Times New Roman"/>
            <w:color w:val="000000" w:themeColor="text1"/>
            <w:sz w:val="16"/>
            <w:szCs w:val="16"/>
          </w:rPr>
          <w:t>[1]</w:t>
        </w:r>
      </w:hyperlink>
    </w:p>
    <w:p w14:paraId="45D4E92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завода № 40 А. Якушев</w:t>
      </w:r>
    </w:p>
    <w:p w14:paraId="1402747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РТ. Ф. Р-1062. Оп. 17. Д. 702. Л. 248. Отпуск (15494).</w:t>
      </w:r>
    </w:p>
    <w:p w14:paraId="3D3B8CA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0904A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июня 1942 г. приказом НКМВ № 219с в соответствии с пост. ГКО № 1900сс от 8.06.1942 г. заводу (Завод № 753 НКМВ, Чугунолитейный завод, 1-й триерный и механический завод им. Калинина, Экспериментальный завод сложного автоматостроения для пищевой промышленности НКПП, Завод «Продмашин» НКМВ, Московский завод строительных инструментов им. Калинина МСиДМ, Московский машиностроительный завод им. Калинина, АП, ТОО, ОАО «ММЗ им. Калинина» /127287  г. Москва 2-я Хуторская ул., 38А/) поручено организовать производство прицелов к станку «30» с выпуском в июне- 600 шт., в июле 1942 г. - 2500 шт. Пост. ГКО № 1962сс от 4.07.1942 г. и приказом НКМВ № 237сс от 7.07.1942 г. заводу установлен план выпуска на 3-й квартал 1942 г. прицелов к 50-мм минометам - 12 тыс. шт.</w:t>
      </w:r>
    </w:p>
    <w:p w14:paraId="2A9523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завод № 753 переименован в Московский завод строительных инструментов им. Калинина в ведении ГУ по производству строительных инструментов МСиДМ (по 1952 г.). В 1953 г. переименован в Московский машиностроительный завод им. Калинина в ведении ГУ строительного машиностроения МТиТМ (1953-54 г.), ГУ строительного машиностроения МСиДМ (1954-57 г.), Управления машиностроения МосгорСНХ (1957-59 г.), Управления автомобильной промышленности МосгорСНХ (1959-65 г.), ГУ по производству экскаваторов и кранов Министерства строительного, дорожного и коммунального машиностроения (с 1965 г.).</w:t>
      </w:r>
    </w:p>
    <w:p w14:paraId="367371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(06.1942 г.)- Волков.</w:t>
      </w:r>
    </w:p>
    <w:p w14:paraId="05CABB6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прицелы: к станку «30», к 50-мм минометам (1942-) (11982).</w:t>
      </w:r>
    </w:p>
    <w:p w14:paraId="4D83F3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3183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89236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3E2BF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18 июня</w:t>
      </w:r>
      <w:r w:rsidRPr="008127F8">
        <w:rPr>
          <w:rFonts w:ascii="Times New Roman" w:hAnsi="Times New Roman"/>
          <w:color w:val="000000" w:themeColor="text1"/>
          <w:sz w:val="16"/>
          <w:szCs w:val="16"/>
        </w:rPr>
        <w:t xml:space="preserve"> в 1942 году утреннее сообщение Совинформбюро:</w:t>
      </w:r>
    </w:p>
    <w:p w14:paraId="58298A0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18 июня на фронте существенных изменений не произошло.</w:t>
      </w:r>
    </w:p>
    <w:p w14:paraId="4CA2276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на одном из участков Харьковского направления отбила атаку немецкой пехоты, наступавшей при поддержке танков. Противник оставил на поле боя 600 трупов солдат и офицеров, 9 подбитых танков и много вооружения. На другом участке наши артиллеристы уничтожили 3 немецких танка и рассеяли до двух рот пехоты противника.</w:t>
      </w:r>
    </w:p>
    <w:p w14:paraId="03CF99D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Северо-Западном фронте немецкие автоматчики пытались ударить по левому флангу одной нашей части. Эта попытка гитлеровцев была отбита. Вскоре противник при поддержке танков атаковал правый фланг нашей части. Мощным огнём наших бойцов немецкая пехота была отсечена от танков и уничтожена. Группа истребителей под руководством старшего лейтенанта Погорелова вывела из строя 3 немецких танка.</w:t>
      </w:r>
    </w:p>
    <w:p w14:paraId="4E4D1EF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Лётчики-истребители т.т. Соколов, Бабанов, Нерод и Сатинов прикрывали боевые порядки наших войск. Вскоре показались 30 немецких бомбардировщиков в сопровождении 8 истребителей. Умелым манёвром советские истребители ушли в облака и, выбрав удачный момент, внезапно атаковали немцев. В результате воздушного боя наши лётчики уничтожили два «Юнкерса-88», «Юнкерс-87», два «Мес-сершамитта-109» и без потерь вернулись на свой аэродром.</w:t>
      </w:r>
    </w:p>
    <w:p w14:paraId="7FA92E4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одной из частей Калининского фронта состоялся слёт лучших снайперов. На слёте присутствовал 41 снайпер. Из них 12 являются участниками Отечественной войны с первых её дней, 4 — с октября 1941 года, 13 — с января 1942 года и 12 —с апреля 1942 года. За время пребывания на фронте бойцы-снайперы, участвовавшие на слёте, уничтожили 1.470 немецких солдат и офицеров, подбили огнём пехотного оружия 8 немецких самолётов, уничтожили 22 танка, 7 автомашин, 46 миномётов и 10 пулемётов.</w:t>
      </w:r>
    </w:p>
    <w:p w14:paraId="18628B5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наших бойцов во главе с капитаном Серовым была окружена немецкими автоматчиками. Отважные бойцы в ожесточённой схватке уничтожили трёх немецких офицеров, 12 автоматчиков и без потерь вернулись в свою часть.</w:t>
      </w:r>
    </w:p>
    <w:p w14:paraId="1787EE7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Четыре партизанских отряда, действующих на Украине в тылу немецко-фашистских войск, в течение месяца пустили под откос 7 железнодорожных эшелонов противника. В результате крушения уничтожено 7 паровозов, 84 товарных и 80 пассажирских вагонов. Немецко-фашистские оккупанты понесли большие потери в живой силе и военной технике.</w:t>
      </w:r>
    </w:p>
    <w:p w14:paraId="54D3C94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7 роты 179 полка Андреас Ахатц рассказал: «Русские атаковали участок, который обороняла наша рота. Десять танков прорвались и начали крушить всё на своём пути. Из 180 человек в живых осталось только 22, да и то потому, что сдались в плен. Теперь многие солдаты поняли, что из молниеносной войны ничего не вышло. Довольно часто солдаты между собой говорят: «Пора кончать войну, пока ещё не перебили всех нас». Ко всему этому родные пишут, что им живётся очень тяжело, и сообщают самые безрадостные вести».</w:t>
      </w:r>
    </w:p>
    <w:p w14:paraId="5BDDB3A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немецкого танкиста Р. Еутте найдено письмо от владельца завода «Клейнверфер с сыновьями». В письме содержатся признания об ухудшении положения в немецком тылу. Приунывший заводчик пишет: «К сожалению, вместе с весной прилетели не только перелётные птицы с юга, но также и ночные птицы с острова. Английские лётчики совершают частые и разрушительные визиты... Снова много моих рабочих призвано в армию. К концу месяца ещё 200 человек оденутся в шинели. Мы стараемся как-нибудь заполнить образовавшуюся брешь: набрали женщин, затребовали военнопленных, но пока что завод работает с большими перебоями. Это большой удар для нашей фирмы. По видимому, часть предприятий закроется из-за отсутствия рабочих рук и сырья...»</w:t>
      </w:r>
    </w:p>
    <w:p w14:paraId="63413DF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Белофинны зверски расправляются с пленными красноармейцами. На днях группа наших бойцов под командованием лейтенанта Бондаря на одном из участков дороги Регозеро—Ухта обнаружила два трупа красноармейцев, замученных белофиннами. Один из них оказался Васильевым М.В., фамилию другого красноармейца установить неудалось. На трупах обоих бойцов имеются многочисленные ножевые и штыковые раны. Красноармейцу Васильеву белофинны выкололи глаза и в рот вбили противотанковый снаряд.» (14926).</w:t>
      </w:r>
    </w:p>
    <w:p w14:paraId="58F23C9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00A3D5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18 июня</w:t>
      </w:r>
      <w:r w:rsidRPr="008127F8">
        <w:rPr>
          <w:rFonts w:ascii="Times New Roman" w:hAnsi="Times New Roman"/>
          <w:color w:val="000000" w:themeColor="text1"/>
          <w:sz w:val="16"/>
          <w:szCs w:val="16"/>
        </w:rPr>
        <w:t xml:space="preserve"> в 1942 году вечернее сообщение Совинформбюро:</w:t>
      </w:r>
    </w:p>
    <w:p w14:paraId="03E1564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18 июня на Севастопольском участке фронта наши войска отбили несколько ожесточённых атак противника и нанесли ему крупные потери.</w:t>
      </w:r>
    </w:p>
    <w:p w14:paraId="76B7C9C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существенных изменений не произошло.</w:t>
      </w:r>
    </w:p>
    <w:p w14:paraId="03C54F1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17 июня частями нашей авиации на различных участках фронта уничтожено или повреждено 12 немецких танков, 20 автомашин с войсками и грузами, подавлен огонь7 артиллерийских батарей и 26 зенитно-пулемётных точек, взорваны 3 склада сбоеприпасами и склад с горючим, потоплены транспорт противника и сторожевой катер, повреждены 5 тральщиков и сторожевой корабль, рассеяно и частью уничтожено до двух рот пехоты противника.</w:t>
      </w:r>
    </w:p>
    <w:p w14:paraId="4377A67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Героические защитники Севастополя мужественно и непоколебимо отбивают многочисленные атаки немцев. Рота под командованием тов. Титова пошла в атаку на вдвое превосходящие силы противника. Гитлеровцы потеряли убитыми свыше 100 солдат и, бросив раненых, оружие и боеприпасы, в беспорядке отступили. Батарея, где командиром старший лейтенант Дмитриев, в течение дня уничтожила до 300 солдат и офицеров противника.</w:t>
      </w:r>
    </w:p>
    <w:p w14:paraId="603A8BF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Каждый день оборона Севастополя рождает новых и новых героев. В одном бою выбыл из строя расчёт противотанкового ружья. Тогда полковой комиссар Георгадзе взял противотанковое ружьё и подбил 3 немецких танка. Наши бойцы наносят большой урон немецкой авиации: зенитная батарея лейтенанта Семёнова уничтожила </w:t>
      </w:r>
      <w:r w:rsidRPr="008127F8">
        <w:rPr>
          <w:rFonts w:ascii="Times New Roman" w:hAnsi="Times New Roman"/>
          <w:color w:val="000000" w:themeColor="text1"/>
          <w:sz w:val="16"/>
          <w:szCs w:val="16"/>
        </w:rPr>
        <w:lastRenderedPageBreak/>
        <w:t>2 немецких бомбардировщика; взвод младшего лейтенанта Прокопенко ружейным огнём сбил «Мессершмитт-109»; заместитель политрука Базавиков из пулемёта подбил немецкий истребитель. За день всего сбито 7 и повреждено 3 немецких самолёта.</w:t>
      </w:r>
    </w:p>
    <w:p w14:paraId="4118169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Только на одном из участков Харьковского направления за четыре дня боевых действий немецко-фашистские войска потеряли убитыми до 4.000 солдат и офицеров. Нашими артиллеристами, танкистами и пехотинцами уничтожено 70 немецких танков, 140 автомашин и 28 подвод с боеприпасами. Захвачены трофеи и пленные. Огромные потери подорвали ударную силу немецко-фашистских войск на этом участке. Немецкое командование вынуждено поэтому бросать в бой свои резервы. Рано утром пехотный батальон противника при поддержке 30 танков атаковал расположение наших войск. Гвардейское миномётное подразделение встретило гитлеровцев сокрушительным огнём. Подбито 10 немецких танков. Батальон противника был рассеян и в большей своей части уничтожен.</w:t>
      </w:r>
    </w:p>
    <w:p w14:paraId="5427578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 отделения тов. Клеменов и красноармеец тов. Козловский проникли в тыл противника и уничтожили 16 немецких солдат и 2 офицеров. Отважные бойцы доставили в свою часть пленного и офицерскую сумку с важными документами.</w:t>
      </w:r>
    </w:p>
    <w:p w14:paraId="0454AFA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Н., действующий в одном из оккупированных немцами районов Орловской области, взорвал железнодорожный мост в то время, когда по нему проходил эшелон противника. Паровоз слетел с моста, разбито 30 вагонов и одна цистерна с горючим. Железнодорожное движение по этой линии приостановлено.</w:t>
      </w:r>
    </w:p>
    <w:p w14:paraId="3FE27D1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капрал 2 батареи 36 артполка 18 румынской пехотной дивизии Андрей Марин рассказал: «Наша дивизия понесла огромные потери. В артполку из 2 тысяч солдат осталось не более 300—400 человек. Полк лишился 27 орудий и фактически остался без вооружения. Командир полка полковник Журка неоднократно просил командование отправить остатки полка в Румынию на отдых и переформирование. Но вместо этого нас бросили на Севастопольский фронт. Накануне отъезда перед строем выступил с речью немецкий офицер. Он всячески ругал нас и сказал, что румыны не умеют и не хотят воевать. В заключение офицер предупредил, что если в предстоящих боях мы будем отступать, то немцы всех нас перестреляют из пулемётов и автоматов».</w:t>
      </w:r>
    </w:p>
    <w:p w14:paraId="6EE4DD4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Получено сообщение о новых чудовищных преступлениях немецко-фашистских мерзавцев, совершённых ими в селе Большая Берёзка, Сумской области. После кровавой расправы, которую учинили гитлеровцы над мирным населением этого села, оставшиеся в живых крестьяне с семьями ушли в лес, где и скрывались от фашистских извергов. Немцы приказали крестьянам немедленно возвратиться в село.150 стариков, женщин и детей вернулись домой. Подлые бандиты согнали их вколхозные амбары и всех перекололи штыками. Одиннадцать детей в возрасте 12 — 13 лет гитлеровцы закопали живыми в землю. Советский народ никогда не забудет и не простит гитлеровским мерзавцам этих кошмарных преступлений.</w:t>
      </w:r>
    </w:p>
    <w:p w14:paraId="5D08C58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одном из концентрационных лагерей в Линце (Австрия) гитлеровцы испытывают на заключённых действие отравляющих веществ. В течение мая было отравлено газами свыше 100 заключённых.» (14926).</w:t>
      </w:r>
    </w:p>
    <w:p w14:paraId="348FA23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54FED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июня 1942 г. в Мурманске при налете сгорело больше 600 деревянных домов и 350 построек. В 106 местах были разрушены дороги и переезды, в 84 – водопровод. Уничтожено 3190 км. телефонной и 166 км. радиосети, погибло 383 и ранено 892 человека. За первые 2 месяца 120 налетов, сброшено больше 2000 фугасных бомб от 50 до 1200 кг. Светомаскировка города обеспечивалась за 1,5 минуты. В начале войны противник сбрасывал 1 килограммовые зажигательные бомбы с разрывными зарядами в хвостовой части с моментом срабатывания около 1,5 мин. Позже стали применяться зажигательные бомбы типа “Бранд” массой 40 и 177 кг (масса фугасных авиабомб 50 и 250 кг) с самовоспламеняющейся жидкостью и типа “Флам” с массой фугасных бомб 250 и 500 кг, снаряженных горючими продуктами (9453).</w:t>
      </w:r>
    </w:p>
    <w:p w14:paraId="664BC51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D433E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18 июня</w:t>
      </w:r>
      <w:r w:rsidRPr="008127F8">
        <w:rPr>
          <w:rFonts w:ascii="Times New Roman" w:hAnsi="Times New Roman"/>
          <w:color w:val="000000" w:themeColor="text1"/>
          <w:sz w:val="16"/>
          <w:szCs w:val="16"/>
        </w:rPr>
        <w:t xml:space="preserve"> в 1942 году свыше 100 фашистских самолетов совершили самую ожесточенную за всю войну бомбардировку на Мурманск: сброшено 12 тысяч различных бомб, сгорело свыше 600 деревянных зданий. За время войны на Мурманск было совершено 792 воздушных налета, сброшено около 7 тысяч фугасных и около 200 тысяч зажигательных бомб; в городе разрушено или сгорело свыше 1500 домов (75% жилого фонда), 437 производственных и служебных зданий (2/3 всех промышленных предприятий) (14926).</w:t>
      </w:r>
    </w:p>
    <w:p w14:paraId="7ED91CF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A39BC1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18 июня</w:t>
      </w:r>
      <w:r w:rsidRPr="008127F8">
        <w:rPr>
          <w:rFonts w:ascii="Times New Roman" w:hAnsi="Times New Roman"/>
          <w:color w:val="000000" w:themeColor="text1"/>
          <w:sz w:val="16"/>
          <w:szCs w:val="16"/>
        </w:rPr>
        <w:t xml:space="preserve"> в 1942 году в Севастополе войска противника прорвались к Севастопольской бухте, Инкерману, Сапун-горе. Началась проводка большой группы ледоколов из Архангельска в Карское море для обеспечения судоходства по Северному морскому пути (14926).</w:t>
      </w:r>
    </w:p>
    <w:p w14:paraId="43F2E3A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8154B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июня 1942 г. вышел ПРИКАЗ НКО №0496 О ПРИМЕНЕНИИ ИСТРЕБИТЕЛЬНОЙ АВИАЦИИ НА ПОЛЕ БОЯ В КАЧЕСТВЕ ДНЕВНЫХ БОМБАРДИРОВЩИКОВ</w:t>
      </w:r>
    </w:p>
    <w:p w14:paraId="4405E2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 войны показал, что наши истребители на поле боя и в ближайшем войсковом тылу на глубине 20—30 км от переднего края с успехом могут попутно выполнять задачи дневных бомбардировщиков. После сбрасывания бомб истребители выполняют свою основную задачу по уничтожению воздушного противника и по прикрытию своих войск. Применение истребителей на поле боя для бомбометания днем значительно увеличивает ударную силу нашей авиации, наши бомбовые выстрелы.</w:t>
      </w:r>
    </w:p>
    <w:p w14:paraId="30CC45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Следует учесть, что немцы и англичане используют одномоторные истребители в качестве дневных бомбардировщиков (фраза добавлена И. Сталиным).</w:t>
      </w:r>
    </w:p>
    <w:p w14:paraId="279785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Бомбодержатели (по две балки на каждом самолете) на наших истребителях поставлены не случайно и не для украшения самолета, а для того, чтобы использовать и эти самолеты для дневного бомбового удара по врагу, по его живой силе и технике на поле боя.</w:t>
      </w:r>
    </w:p>
    <w:p w14:paraId="7AFACD6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этого до сих пор многие наши авиационные командиры не понимают и не используют истребителей для бомбометания днем противника на поле боя.</w:t>
      </w:r>
    </w:p>
    <w:p w14:paraId="02A6307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p>
    <w:p w14:paraId="3C9D6B6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Самолеты ЛаГГ-3, И-153, И-16 и поступающие в авиачасти с бомбодержателями Як-1 и Як-7 обязательно использовать для решения бомбардировочных задач днем на поле боя на глубину до 20—30 км от переднего края.</w:t>
      </w:r>
    </w:p>
    <w:p w14:paraId="7E2DBD5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Бомбовую зарядку на истребителях варьировать в зависимости от целей, используя для этого авиабомбы ФАБ-100, ЗАБ-100, ФАБ-50, ЗАБ-50 и осколочные АО-25.</w:t>
      </w:r>
    </w:p>
    <w:p w14:paraId="3BC56D3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Во всех истребительных полках, находящихся на фронте и в тылу, приступить немедленно к обучению бомбометанию днем всех летчиков, не умеющих бомбить.</w:t>
      </w:r>
    </w:p>
    <w:p w14:paraId="1FFB19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 применении истребителей для бомбометания днем на поле боя и в войсковом тылу на глубину 20—30 км от переднего края доносить командующему ВВС Красной Армии ежедневно к 22.00 отдельным донесением по телеграфу или шифром по радио, начиная с 20.6.42 г.</w:t>
      </w:r>
    </w:p>
    <w:p w14:paraId="7F013F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Разъяснить всем летчикам-истребителям авиачастей всю важность выполнения настоящего приказа.</w:t>
      </w:r>
    </w:p>
    <w:p w14:paraId="6DF6390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При выдаче премий за боевые вылеты считать два боевых вылета истребителя с бомбами для дневного бомбометания за три боевых вылета.</w:t>
      </w:r>
    </w:p>
    <w:p w14:paraId="19F7A5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Персональную ответственность за выполнение настоящего приказа возлагаю на командующих воздушных армий, командующих ВВС фронтов и командиров истребительных дивизий.</w:t>
      </w:r>
    </w:p>
    <w:p w14:paraId="4C90453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Народный комиссар обороны СССР И. СТАЛИН</w:t>
      </w:r>
      <w:r w:rsidRPr="008127F8">
        <w:rPr>
          <w:rFonts w:ascii="Times New Roman" w:hAnsi="Times New Roman"/>
          <w:color w:val="000000" w:themeColor="text1"/>
          <w:sz w:val="16"/>
          <w:szCs w:val="16"/>
        </w:rPr>
        <w:t xml:space="preserve"> (9844).</w:t>
      </w:r>
    </w:p>
    <w:p w14:paraId="55BD2E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AF6E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июня 1942 г. ПРИКАЗ НКО №0501 ОБ ИТОГАХ БОЕВОЙ ПОДГОТОВКИ ЧАСТЕЙ ВВС ДАЛЬНЕВОСТОЧНОГО И ЗАБАЙКАЛЬСКОГО ФРОНТОВ И ЗАДАЧАХ НА ЛЕТНИЙ ПЕРИОД</w:t>
      </w:r>
    </w:p>
    <w:p w14:paraId="462477D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u w:val="single"/>
        </w:rPr>
      </w:pPr>
      <w:r w:rsidRPr="008127F8">
        <w:rPr>
          <w:rFonts w:ascii="Times New Roman" w:hAnsi="Times New Roman"/>
          <w:color w:val="000000" w:themeColor="text1"/>
          <w:sz w:val="16"/>
          <w:szCs w:val="16"/>
        </w:rPr>
        <w:t>Анализом и фактической проверкой состояния учебно-боевой подготовки и выполнения приказов ВВС Красной Армии №№ 00147 и 039 в частях военно-воздушных сил Дальневосточного и Забайкальского фронтов установлено:</w:t>
      </w:r>
    </w:p>
    <w:p w14:paraId="00166B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Боевая подготовка проводится неинтенсивно, упрощенно и без учета опыта отечественной войны. Полеты производились в основном по кругу.</w:t>
      </w:r>
    </w:p>
    <w:p w14:paraId="7738BC0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Большинство авиачастей подготовлено для боевых действий днем в простых метеоусловиях в составе группы за ведущим.</w:t>
      </w:r>
    </w:p>
    <w:p w14:paraId="5692DF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Отсутствует подготовка экипажей к самостоятельным одиночным боевым действиям днем в сложных метеоусловиях и ночью, в то время как этот вид боевой работы является основным в частях, вооруженных самолетами ДБ и СБ.</w:t>
      </w:r>
    </w:p>
    <w:p w14:paraId="5B998DF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Основные виды подготовки — воздушно-стрелковая, бомбардировочная и штурманская — проводятся недостаточно и не систематически. 14, 301, 302 и 48-й истребительные авиаполки (ВВС ДВФ) в марте 1942 года не провели ни одной стрельбы. В 10 дбп (ВВС ДВФ) за четыре месяца 1942 года проведено только два маршрутных полета на экипаж, за тот же период в 56 ббап (ВВС ЗабФ) налет на маршрутные полеты и бомбометание составил всего три часа. В ЗабФ только 'Д часть летного состава летает ночью. В ДВФ налет вслепую колеблется в пределах от 9 до 15 % от общего налета.</w:t>
      </w:r>
    </w:p>
    <w:p w14:paraId="2CE8D1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В авиаполках ДВА и ББАдопущен разрыв в подготовке летчиков и летнабов: летчики умеют пилотировать самолет, а летнабы не подготовлены к боевым действиям.</w:t>
      </w:r>
    </w:p>
    <w:p w14:paraId="7AB4CE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Совершенно недостаточна тренировка летного состава истребительных авиаполков в ведении воздушного боя.</w:t>
      </w:r>
    </w:p>
    <w:p w14:paraId="055B40E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Неудовлетворительное состояние боевой подготовки при наличии хорошо подготовленных кадров и достаточной стабильности частей ВВС является результатом отсутствия должного руководства и анализа боевой подготовки со стороны командующих ВВС ДВФ и ЗабФ.</w:t>
      </w:r>
    </w:p>
    <w:p w14:paraId="18D6C6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Вместо решительного внедрения боевого опыта и методов быстрого переучивания и освоения новой материальной части, накопленного нашими военно-воздушными силами, командующие ВВС ДВФ и ЗабФ избрали наиболее простой путь — отработку техники пилотирования и “поддержание” тренировки.</w:t>
      </w:r>
    </w:p>
    <w:p w14:paraId="027A8C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этого самолеты ДБ, СБ, И-16, И-15, которые, как показал опыт войны, могут быть успешно использованы только ночью и днем в сложных метеоусловиях, в частях ВВС ДВФ и ЗабФ фактически большинством летного состава в этих условиях не освоены.</w:t>
      </w:r>
    </w:p>
    <w:p w14:paraId="326E73B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изжития перечисленных недочетов, перестройки боевой подготовки в соответствии с требованиями и опытом войны и освоения новых типов самолетов в частях ВВС ДВФ и ЗабФ</w:t>
      </w:r>
    </w:p>
    <w:p w14:paraId="5259BD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p>
    <w:p w14:paraId="57D9D46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 В течение летнего периода подготовить части ВВС к боевым действиям днем в сложных условиях и ночью на самолетах ДБ-3, СБ, И-16, И-15, Р-5, У-2. Командующим ВВС ДВФ и ЗабФ определить уровень боевой подготовки каждого авиаполка отдельной эскадрильи и на основе этого дать конкретные указания о содержании и объеме дальнейшей подготовки.</w:t>
      </w:r>
    </w:p>
    <w:p w14:paraId="5AB6FA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подготовке руководствоваться КБП-1941 г. по видам авиации.</w:t>
      </w:r>
    </w:p>
    <w:p w14:paraId="38AEC3E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Переучивание и боевую подготовку на новых типах самолетов проводить по программам 1941 г. по типам самолетов, а по получении курсов 1942 года, согласно последних. С летным и техническим составом авиаполков, не имеющих новых типов самолетов, изучать материальную часть по описаниям и на заводах, причем авиаполкам СБ изучать самолет Пе-2, истребительным авиаполкам — самолет Як-1, штурмовым авиаполкам самолет Ил-2.</w:t>
      </w:r>
    </w:p>
    <w:p w14:paraId="239E6F2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Основными задачами для всех видов- авиации считать:</w:t>
      </w:r>
    </w:p>
    <w:p w14:paraId="101A024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отработку у летного состава уверенного расчета и посадки на своих и незнакомых аэродромах;</w:t>
      </w:r>
    </w:p>
    <w:p w14:paraId="50D64D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отработку навигационной подготовки на полный радиус действия самолета;</w:t>
      </w:r>
    </w:p>
    <w:p w14:paraId="4879ACF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отработку бомбометания;</w:t>
      </w:r>
    </w:p>
    <w:p w14:paraId="7EEE187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отработку воздушных стрельб по наземным целям и конусам.</w:t>
      </w:r>
    </w:p>
    <w:p w14:paraId="0F2E3E3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истребительной авиации, кроме того, отработку воздушного боя и</w:t>
      </w:r>
    </w:p>
    <w:p w14:paraId="7C149C1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бомбометание.</w:t>
      </w:r>
    </w:p>
    <w:p w14:paraId="3DB40FD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По истребительной авиации.</w:t>
      </w:r>
    </w:p>
    <w:p w14:paraId="3FD099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Систематически тренировать летный состав в ведении воздушного боя с контролем фото-кинопулеметом.</w:t>
      </w:r>
    </w:p>
    <w:p w14:paraId="408B66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Тщательно отрабатывать технику пилотирования и групповую слетанность на средних и малых высотах. Тренировать в выполнении штурмовых полетов на полный радиус действия.</w:t>
      </w:r>
    </w:p>
    <w:p w14:paraId="3EF873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Увеличить количество и улучшить качество воздушных стрельб по наземным целям и особенно по конусам, используя фото-кинопулеметы.</w:t>
      </w:r>
    </w:p>
    <w:p w14:paraId="5C76DA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Оттренировать летный состав в выполнении приказа НКО № 0171 1942 г.</w:t>
      </w:r>
    </w:p>
    <w:p w14:paraId="56AFAD2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Отработать взаимодействие с другими видами авиации, особенно по сопровождению и прикрытию штурмовиков и бомбардировщиков. 5. По бомбардировочной авиации.</w:t>
      </w:r>
    </w:p>
    <w:p w14:paraId="2C92CB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Сделать особый упор на подготовку экипажа к самостоятельным действиям днем в сложных метеоусловиях и ночью с использованием средств ЗОС и радионавигации.</w:t>
      </w:r>
    </w:p>
    <w:p w14:paraId="16A7CD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Увеличить до 50 % от общего налета количество полетов по маршруту и на бомбометание.</w:t>
      </w:r>
    </w:p>
    <w:p w14:paraId="3E7ACAA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Маршрутные полеты, как правило, завершать бомбометанием на незнакомых полигонах.</w:t>
      </w:r>
    </w:p>
    <w:p w14:paraId="07BD227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Запретить бомбометание по сигналу ведущего и ограничить серийное бомбометание с целью увеличения количества прицельных бомбометаний на экипаж.</w:t>
      </w:r>
    </w:p>
    <w:p w14:paraId="7DDEFE3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Обучать экипажи самолетовождению и бомбометанию с малых высот и восстановлению ориентировки в этих условиях. 6. По штурмовой авиации.</w:t>
      </w:r>
    </w:p>
    <w:p w14:paraId="6ECCB5B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Научить экипажи строить маршрут с переменным профилем высоты (16—300 м). Боевой высотой считать высоту в пределах 15—30 метров над препятствием.</w:t>
      </w:r>
    </w:p>
    <w:p w14:paraId="3E65016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Тщательно отработать технику пилотирования и' групповую слетанность на малой высоте.</w:t>
      </w:r>
    </w:p>
    <w:p w14:paraId="43F4B6D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Обучить экипажи вести прицельную стрельбу и бомбометание с малых высот и быстро переносить огонь с одной цели на другую.</w:t>
      </w:r>
    </w:p>
    <w:p w14:paraId="1E176D2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В командирской учебе и в подготовке штабов систематически изучать опыт современной войны.</w:t>
      </w:r>
    </w:p>
    <w:p w14:paraId="03C39E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Приказ изучить всему командному составу частей ВВС ДВФ и ЗабФ до командира звена.</w:t>
      </w:r>
    </w:p>
    <w:p w14:paraId="02B4CC8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Зам. </w:t>
      </w:r>
      <w:r w:rsidRPr="008127F8">
        <w:rPr>
          <w:rFonts w:ascii="Times New Roman" w:hAnsi="Times New Roman"/>
          <w:iCs/>
          <w:color w:val="000000" w:themeColor="text1"/>
          <w:sz w:val="16"/>
          <w:szCs w:val="16"/>
        </w:rPr>
        <w:t xml:space="preserve">Народного комиссара обороны СССР генерал-лейтенант авиации НОВИКОВ </w:t>
      </w:r>
      <w:r w:rsidRPr="008127F8">
        <w:rPr>
          <w:rFonts w:ascii="Times New Roman" w:hAnsi="Times New Roman"/>
          <w:color w:val="000000" w:themeColor="text1"/>
          <w:sz w:val="16"/>
          <w:szCs w:val="16"/>
        </w:rPr>
        <w:t>(9844).</w:t>
      </w:r>
    </w:p>
    <w:p w14:paraId="6D1830F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1C25B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июня 1942 года.</w:t>
      </w:r>
    </w:p>
    <w:p w14:paraId="56E0ADA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СЕКРЕТНО</w:t>
      </w:r>
    </w:p>
    <w:p w14:paraId="0473ED3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 НАРОДНОГО КОМИССАРА ОБОРОНЫ СОЮЗА ССР № 0496</w:t>
      </w:r>
    </w:p>
    <w:p w14:paraId="6E610EC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июня 1942 года.</w:t>
      </w:r>
    </w:p>
    <w:p w14:paraId="1C7FFAE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 Москва.</w:t>
      </w:r>
    </w:p>
    <w:p w14:paraId="74C91BE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Содержание: О применении истребительной авиации на поле боя в качестве дневных бомбардировщиков. </w:t>
      </w:r>
    </w:p>
    <w:p w14:paraId="6240384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 войны показал, что наши истребители на поле боя и в ближайшем войсковом тылу на глубине 20—30 км от переднего края с успехом могут попутно выполнять задачи дневных бомбардировщиков. После сбрасывания бомб истребители выполняют спою основную задачу по уничтожению воздушного противника и по прикрытию своих войск. Применение истребителей на поле боя для бомбометания днем значительно увеличивает ударную силу нашей авиации, наши бомбовые выстрелы.</w:t>
      </w:r>
    </w:p>
    <w:p w14:paraId="54BC8B4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Слбдует учесть, что немцы и англичане используют одномоторные истребители в качестве дневных бомбардировщиков.</w:t>
      </w:r>
    </w:p>
    <w:p w14:paraId="6037400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Бомбодержатели (по две балки на каждом самолете) на наших истребителях поставлены не случайно и не для украшения самолета, а для того, чтобы использовать и эти самолеты для дневного бомбового удара по врагу, по его живой силе и технике на поле боя.</w:t>
      </w:r>
    </w:p>
    <w:p w14:paraId="42A08A0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этого до сих пор многие наши авиационные командиры не понимают и не используют истребителей для бомбометания днем противника на поле боя.</w:t>
      </w:r>
    </w:p>
    <w:p w14:paraId="23DC634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Приказываю:</w:t>
      </w:r>
    </w:p>
    <w:p w14:paraId="58D92C6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Самолеты Лагг-3, И-153, И-16 и поступающие в авиачасти с бомбодержателями Як-1 и Як-7 обязательно использовать для решения бомбардировочных задач днем на поле боя на глубину до 20—30 км от переднего края (20499).</w:t>
      </w:r>
    </w:p>
    <w:p w14:paraId="1E89393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163FB7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июня 1942 г. вышел ПРИКАЗ НКО СССР О ВВЕДЕНИИ ОПОЗНАВАТЕЛЬНОГО ЗНАКА НА АВТОМОБИЛЯХ КРАСНОЙ АРМИИ, ИСПОЛЬЗУЕМЫХ В КАЧЕСТВЕ АРТИЛЛЕРИЙСКИХ ТЯГАЧЕЙ №191</w:t>
      </w:r>
    </w:p>
    <w:p w14:paraId="43B30F4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контроля за правильным использованием артиллерийских тягачей в дополнение к при</w:t>
      </w:r>
      <w:r w:rsidRPr="008127F8">
        <w:rPr>
          <w:rFonts w:ascii="Times New Roman" w:hAnsi="Times New Roman"/>
          <w:color w:val="000000" w:themeColor="text1"/>
          <w:sz w:val="16"/>
          <w:szCs w:val="16"/>
        </w:rPr>
        <w:softHyphen/>
        <w:t>казу НКО № 11 от 14 января 1942 года о введении опознавательных знаков на автомобилях Красной Армии ПРИКАЗЫВАЮ:</w:t>
      </w:r>
    </w:p>
    <w:p w14:paraId="475EB53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 всех автомобилях войсковых частей и соединений Красной Армии, предназначенных для буксировки артиллерийских орудий, к 1 июля 1942 года нанести опознавательный знак согласно приложению.</w:t>
      </w:r>
    </w:p>
    <w:p w14:paraId="175BF52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Указанные автомобили использовать только для перевозки орудий и боеприпасов.</w:t>
      </w:r>
    </w:p>
    <w:p w14:paraId="3DD9772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народного комиссара обороны генерал-полковник артиллерии Воронов</w:t>
      </w:r>
    </w:p>
    <w:p w14:paraId="5ABD92D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w:t>
      </w:r>
    </w:p>
    <w:p w14:paraId="35B6793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ОПИСАНИЕ</w:t>
      </w:r>
    </w:p>
    <w:p w14:paraId="34547D7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опознавательного знака на автомобилях, предназначенных для буксировки</w:t>
      </w:r>
    </w:p>
    <w:p w14:paraId="285EBD5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артиллерийских орудий</w:t>
      </w:r>
    </w:p>
    <w:p w14:paraId="55935EE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Опознавательный знак на артиллерийских тягачах Красной Армии представляет собой два скрещенных под углом тела орудия.</w:t>
      </w:r>
    </w:p>
    <w:p w14:paraId="11AD37D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Опознавательный знак наносится на середине квадрата на заднем борту кузова вместо разде</w:t>
      </w:r>
      <w:r w:rsidRPr="008127F8">
        <w:rPr>
          <w:rFonts w:ascii="Times New Roman" w:hAnsi="Times New Roman"/>
          <w:color w:val="000000" w:themeColor="text1"/>
          <w:sz w:val="16"/>
          <w:szCs w:val="16"/>
        </w:rPr>
        <w:softHyphen/>
        <w:t>лительного знака и цифр.</w:t>
      </w:r>
    </w:p>
    <w:p w14:paraId="3D42E34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Размеры опознавательного знака даны на рис. 1.</w:t>
      </w:r>
    </w:p>
    <w:p w14:paraId="4A15136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 Размеры опознавательного знака для автомобиля «Виллис» даны на рис. 2.</w:t>
      </w:r>
    </w:p>
    <w:p w14:paraId="2596014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Рамка квадрата и опознавательный знак наносится черной краской на белом фоне (зимой) или белой краской на зеленом фоне (летом).</w:t>
      </w:r>
    </w:p>
    <w:p w14:paraId="06BBD6B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Для однообразия опознавательного знака изготавливается силами войсковой части трафарет из картона, фанеры или жести согласно размерам.</w:t>
      </w:r>
    </w:p>
    <w:p w14:paraId="6F29D13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управления формирования ГУНАРТ КА полковник Васюков</w:t>
      </w:r>
    </w:p>
    <w:p w14:paraId="324D4DC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Врид военного комиссара управления формирования ГУНАРТ КА полковник Беляев</w:t>
      </w:r>
    </w:p>
    <w:p w14:paraId="5AACC64B"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kern w:val="65535"/>
          <w:sz w:val="16"/>
          <w:szCs w:val="16"/>
          <w:lang w:val="en-US"/>
        </w:rPr>
      </w:pPr>
      <w:r w:rsidRPr="008127F8">
        <w:rPr>
          <w:rFonts w:ascii="Times New Roman" w:hAnsi="Times New Roman"/>
          <w:color w:val="000000" w:themeColor="text1"/>
          <w:kern w:val="65535"/>
          <w:sz w:val="16"/>
          <w:szCs w:val="16"/>
        </w:rPr>
        <w:t>ЦАМО. Ф. 2. Оп. 920266. Д. 3. Л. 445 - 446 с об. Типографскийэкз</w:t>
      </w:r>
      <w:r w:rsidRPr="008127F8">
        <w:rPr>
          <w:rFonts w:ascii="Times New Roman" w:hAnsi="Times New Roman"/>
          <w:color w:val="000000" w:themeColor="text1"/>
          <w:kern w:val="65535"/>
          <w:sz w:val="16"/>
          <w:szCs w:val="16"/>
          <w:lang w:val="en-US"/>
        </w:rPr>
        <w:t>. (11211)</w:t>
      </w:r>
    </w:p>
    <w:p w14:paraId="31401BA4"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kern w:val="65535"/>
          <w:sz w:val="16"/>
          <w:szCs w:val="16"/>
          <w:lang w:val="en-US"/>
        </w:rPr>
      </w:pPr>
    </w:p>
    <w:p w14:paraId="037127B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 18th, 1942: In the East, infantry units of 11. Armee (von Manstein) break into the outer defenses of the fortress of Sevastopol in the Crimea. In Libya, the British Eighth Army evacuates Sidi Rezegh and El Adem (3819).</w:t>
      </w:r>
    </w:p>
    <w:p w14:paraId="270E4A3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A42D20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июня 1942 пехотные части 11А (фон Манштейн) прорвали оборону Севастополя. В Ливии британская 8А эвакуировалась из Эль Резега и Эль Адема (3819).</w:t>
      </w:r>
    </w:p>
    <w:p w14:paraId="208189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8D7D3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июня 1942 вышло Постановление ГКО № 1914 О мобилизации лошадей, авто и гуж. транспорта для укомплектования стрелковых дивизий резервных армий и вновь формируемых артполков, артпульбатов, частей связи, химических и др. (7039, 17,18-19).</w:t>
      </w:r>
    </w:p>
    <w:p w14:paraId="630955E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30B41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18 июня</w:t>
      </w:r>
      <w:r w:rsidRPr="008127F8">
        <w:rPr>
          <w:rFonts w:ascii="Times New Roman" w:hAnsi="Times New Roman"/>
          <w:color w:val="000000" w:themeColor="text1"/>
          <w:sz w:val="16"/>
          <w:szCs w:val="16"/>
        </w:rPr>
        <w:t xml:space="preserve"> в 1942 году началась проводка большой группы ледоколов из Архангельска в Карское море для обеспечения судоходства по Северному морскому пути (14926).</w:t>
      </w:r>
    </w:p>
    <w:p w14:paraId="7F78B86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5474B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июня 1942 НКВМФ Н.Г.Кузнецов выпустил директиву N 7/285 об усилении СФ авиацией для обеспечения встречи конвоя Пе Ку 17 (2120).</w:t>
      </w:r>
    </w:p>
    <w:p w14:paraId="2B28E9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9D8D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46598E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AECF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февраля 1942 года было отправлено:</w:t>
      </w:r>
    </w:p>
    <w:p w14:paraId="716A75B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В. СТАЛИН Ф. РУЗВЕЛЬТУ *</w:t>
      </w:r>
    </w:p>
    <w:p w14:paraId="1C3281C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Получил Ваше послание с сообщением об очередных поставках вооружения из США за январь и февраль месяцы. Должен подтвердить, что именно в настоящий момент, когда народы Советского Союза и его армия напрягают все усилия, чтобы своим упорным наступлением отбросить дальше гитлеровские войска, выполнение американских поставок, в том числе по танкам и самолетам, имеет важное значение для нашего общего дела, для наших дальнейших успехов (7430).</w:t>
      </w:r>
    </w:p>
    <w:p w14:paraId="58A9DE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CB9B9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18 июня</w:t>
      </w:r>
      <w:r w:rsidRPr="008127F8">
        <w:rPr>
          <w:rFonts w:ascii="Times New Roman" w:hAnsi="Times New Roman"/>
          <w:color w:val="000000" w:themeColor="text1"/>
          <w:sz w:val="16"/>
          <w:szCs w:val="16"/>
        </w:rPr>
        <w:t xml:space="preserve"> в 1942 году IX сессия Верховного Совета СССР одобрила внешнюю политику Советского правительства (14926).</w:t>
      </w:r>
    </w:p>
    <w:p w14:paraId="291CDDE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37AA06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июня 1942. В Кремле состоялось заседание Верховного Совета СССР, ратифицировавшего "Договор между Союзом Советских Социалистических Республик и Соединенным Королевством в Великобритании о союзе в войне против гитлеровской Германии и ее сообщников в Европе, и о сотрудничестве и взаимной помощи после войны", заключенный в Лондоне 26 мая 1942 года (18696).</w:t>
      </w:r>
    </w:p>
    <w:p w14:paraId="2269021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182D2D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02DEBCA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F7F7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июня 1942 состоялся первый полет Ме-262V3 (318,232).</w:t>
      </w:r>
    </w:p>
    <w:p w14:paraId="04E004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131F4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18 June 1942 Manhattan Project - a group of scientists are working on the atom bomb (270).</w:t>
      </w:r>
    </w:p>
    <w:p w14:paraId="75A2A3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B57256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июня 1942 начался Манхеттенский проект (270).</w:t>
      </w:r>
    </w:p>
    <w:p w14:paraId="594208D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5979F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18 июня</w:t>
      </w:r>
      <w:r w:rsidRPr="008127F8">
        <w:rPr>
          <w:rFonts w:ascii="Times New Roman" w:hAnsi="Times New Roman"/>
          <w:color w:val="000000" w:themeColor="text1"/>
          <w:sz w:val="16"/>
          <w:szCs w:val="16"/>
        </w:rPr>
        <w:t xml:space="preserve"> в 1942 году француз Эрик Несслер (Eric Nessler) находится в воздухе в планере 38 часов 21 минуту (14926).</w:t>
      </w:r>
    </w:p>
    <w:p w14:paraId="64A8E77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EC4F8A1"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июня 1942 после 2-часового боя в церкви святого Кирилла в Праге застрелились, окруженные фашистами, три чешских партизана, убившие главу чехословацкого СС Гейдриха (4962).</w:t>
      </w:r>
    </w:p>
    <w:p w14:paraId="25831301"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7CD1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18 June 1942 (18-19-June) Churchill has a meeting on the 2nd Front with Roosevelt (270). 2nd Washington conference begins - 2nd Front or periphery? (1052).</w:t>
      </w:r>
    </w:p>
    <w:p w14:paraId="3F6BADD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0F9091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val="en-US"/>
        </w:rPr>
        <w:t xml:space="preserve">18-19 </w:t>
      </w:r>
      <w:r w:rsidRPr="008127F8">
        <w:rPr>
          <w:rFonts w:ascii="Times New Roman" w:hAnsi="Times New Roman"/>
          <w:color w:val="000000" w:themeColor="text1"/>
          <w:sz w:val="16"/>
          <w:szCs w:val="16"/>
        </w:rPr>
        <w:t>июня</w:t>
      </w:r>
      <w:r w:rsidRPr="008127F8">
        <w:rPr>
          <w:rFonts w:ascii="Times New Roman" w:hAnsi="Times New Roman"/>
          <w:color w:val="000000" w:themeColor="text1"/>
          <w:sz w:val="16"/>
          <w:szCs w:val="16"/>
          <w:lang w:val="en-US"/>
        </w:rPr>
        <w:t xml:space="preserve"> 1942 </w:t>
      </w:r>
      <w:r w:rsidRPr="008127F8">
        <w:rPr>
          <w:rFonts w:ascii="Times New Roman" w:hAnsi="Times New Roman"/>
          <w:color w:val="000000" w:themeColor="text1"/>
          <w:sz w:val="16"/>
          <w:szCs w:val="16"/>
        </w:rPr>
        <w:t>состояласьвстречаУ</w:t>
      </w:r>
      <w:r w:rsidRPr="008127F8">
        <w:rPr>
          <w:rFonts w:ascii="Times New Roman" w:hAnsi="Times New Roman"/>
          <w:color w:val="000000" w:themeColor="text1"/>
          <w:sz w:val="16"/>
          <w:szCs w:val="16"/>
          <w:lang w:val="en-US"/>
        </w:rPr>
        <w:t>.</w:t>
      </w:r>
      <w:r w:rsidRPr="008127F8">
        <w:rPr>
          <w:rFonts w:ascii="Times New Roman" w:hAnsi="Times New Roman"/>
          <w:color w:val="000000" w:themeColor="text1"/>
          <w:sz w:val="16"/>
          <w:szCs w:val="16"/>
        </w:rPr>
        <w:t>ЧерчиляиФ</w:t>
      </w:r>
      <w:r w:rsidRPr="008127F8">
        <w:rPr>
          <w:rFonts w:ascii="Times New Roman" w:hAnsi="Times New Roman"/>
          <w:color w:val="000000" w:themeColor="text1"/>
          <w:sz w:val="16"/>
          <w:szCs w:val="16"/>
          <w:lang w:val="en-US"/>
        </w:rPr>
        <w:t>.</w:t>
      </w:r>
      <w:r w:rsidRPr="008127F8">
        <w:rPr>
          <w:rFonts w:ascii="Times New Roman" w:hAnsi="Times New Roman"/>
          <w:color w:val="000000" w:themeColor="text1"/>
          <w:sz w:val="16"/>
          <w:szCs w:val="16"/>
        </w:rPr>
        <w:t>Д</w:t>
      </w:r>
      <w:r w:rsidRPr="008127F8">
        <w:rPr>
          <w:rFonts w:ascii="Times New Roman" w:hAnsi="Times New Roman"/>
          <w:color w:val="000000" w:themeColor="text1"/>
          <w:sz w:val="16"/>
          <w:szCs w:val="16"/>
          <w:lang w:val="en-US"/>
        </w:rPr>
        <w:t>.</w:t>
      </w:r>
      <w:r w:rsidRPr="008127F8">
        <w:rPr>
          <w:rFonts w:ascii="Times New Roman" w:hAnsi="Times New Roman"/>
          <w:color w:val="000000" w:themeColor="text1"/>
          <w:sz w:val="16"/>
          <w:szCs w:val="16"/>
        </w:rPr>
        <w:t>Р</w:t>
      </w:r>
      <w:r w:rsidRPr="008127F8">
        <w:rPr>
          <w:rFonts w:ascii="Times New Roman" w:hAnsi="Times New Roman"/>
          <w:color w:val="000000" w:themeColor="text1"/>
          <w:sz w:val="16"/>
          <w:szCs w:val="16"/>
          <w:lang w:val="en-US"/>
        </w:rPr>
        <w:t xml:space="preserve">. </w:t>
      </w:r>
      <w:r w:rsidRPr="008127F8">
        <w:rPr>
          <w:rFonts w:ascii="Times New Roman" w:hAnsi="Times New Roman"/>
          <w:color w:val="000000" w:themeColor="text1"/>
          <w:sz w:val="16"/>
          <w:szCs w:val="16"/>
        </w:rPr>
        <w:t>поповодувторогофронта</w:t>
      </w:r>
      <w:r w:rsidRPr="008127F8">
        <w:rPr>
          <w:rFonts w:ascii="Times New Roman" w:hAnsi="Times New Roman"/>
          <w:color w:val="000000" w:themeColor="text1"/>
          <w:sz w:val="16"/>
          <w:szCs w:val="16"/>
          <w:lang w:val="en-US"/>
        </w:rPr>
        <w:t xml:space="preserve">. </w:t>
      </w:r>
      <w:r w:rsidRPr="008127F8">
        <w:rPr>
          <w:rFonts w:ascii="Times New Roman" w:hAnsi="Times New Roman"/>
          <w:color w:val="000000" w:themeColor="text1"/>
          <w:sz w:val="16"/>
          <w:szCs w:val="16"/>
        </w:rPr>
        <w:t>Это была вторая Вашингтонская конференция (1052). Обсуждали и вопросы атомной бомбы (2261).</w:t>
      </w:r>
    </w:p>
    <w:p w14:paraId="0CDDA3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D9F6E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июня 1942 немецкие танки генерала Э. Роммеля осадили Тобрук (Ливия) (4962).</w:t>
      </w:r>
    </w:p>
    <w:p w14:paraId="1DE2D3D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E5AE9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18 июня</w:t>
      </w:r>
      <w:r w:rsidRPr="008127F8">
        <w:rPr>
          <w:rFonts w:ascii="Times New Roman" w:hAnsi="Times New Roman"/>
          <w:color w:val="000000" w:themeColor="text1"/>
          <w:sz w:val="16"/>
          <w:szCs w:val="16"/>
        </w:rPr>
        <w:t xml:space="preserve"> в 1942 году (18-26 июня) совещание У.Черчилля и Ф.Рузвельта в Вашингтоне по согласованию стратегических планов на 1942-1943 гг. Заключение договора о слиянии американского и англо-канадского проектов атомного вооружения (14926).</w:t>
      </w:r>
    </w:p>
    <w:p w14:paraId="03683F7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15657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7879AC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D591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июня 1942 л завода 126 А.Г.Байсманов совершил аварию при испытаниях Ил-4, т.к. из-за халатности л и техсостава шасси после взлета не убралось, оставшись в подогнутом положении и перед посадкой не выпустилось (2108).</w:t>
      </w:r>
    </w:p>
    <w:p w14:paraId="1235D4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1402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июня 1942 года Шахурин писал письмо N Н-20/2355 Маленкову.</w:t>
      </w:r>
    </w:p>
    <w:p w14:paraId="38B119A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письму начальника Главного военно-санитарного управления Смирнова и военкома Редькина о выпуске санитарных самолетов, докладываю:</w:t>
      </w:r>
    </w:p>
    <w:p w14:paraId="7D311E9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Наркомавиапром в счет утвержденной ГОКО программы по самолетам ПС-84 может выпускать их в санитарном варианте.</w:t>
      </w:r>
    </w:p>
    <w:p w14:paraId="607040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Организацию производства самолетов С-2 считаю нецелесообразным по следующим причинам:</w:t>
      </w:r>
    </w:p>
    <w:p w14:paraId="4D72FB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самолет С-2 позволяет транспортировать только двух раненых, а выпускаемые в настоящее время самолеты У-2, оборудованные кабинами Бакшаева, могут транспортировать трех раненых.</w:t>
      </w:r>
    </w:p>
    <w:p w14:paraId="4F2DD1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Установка добавочного бензобака в центроплане самолета У-2 в санитарном варианте, позволит довести радиус действия равный самолету С-2;</w:t>
      </w:r>
    </w:p>
    <w:p w14:paraId="2BC5115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для изготовления самолета С-2 требуются дефицитные специальные материалы (дюралевые стойки, гофр, плексиглас и др.);</w:t>
      </w:r>
    </w:p>
    <w:p w14:paraId="4236C7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трудоемкость изготовления самолета С-2 в два раза больше У-2;</w:t>
      </w:r>
    </w:p>
    <w:p w14:paraId="4A8095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организация производства самолетов С-2 потребует на подготовку производства и изготовление спецоснастки не менее 2,5-3 месяцев и расходов свыше 2000 тысяч рублей (1631,110).</w:t>
      </w:r>
    </w:p>
    <w:p w14:paraId="41FBAD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38E7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июня 1942 были закончены госиспытания Пе-Збис № 40143900 завода № 39 в НИИ ВВС, которые проходили с 16 мая</w:t>
      </w:r>
    </w:p>
    <w:p w14:paraId="750EFB8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августа 1942 были подготовлены "Выводы” и "Заключение" по проведению госиспытаний Пе-Збис № 40143900 завода № 39 в НИИ ВВС:</w:t>
      </w:r>
    </w:p>
    <w:p w14:paraId="5AD4092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ы в о д ы</w:t>
      </w:r>
    </w:p>
    <w:p w14:paraId="136F6C3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Максимальные скорости серийного самолета Пе-Збис № 40143900 завода № 39 на 2-ой граница высотности 5080 метров равны:</w:t>
      </w:r>
    </w:p>
    <w:p w14:paraId="349848E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без аэродинамического компенсатора и без нарощений на кили </w:t>
      </w:r>
      <w:r w:rsidRPr="008127F8">
        <w:rPr>
          <w:rFonts w:ascii="Times New Roman" w:hAnsi="Times New Roman"/>
          <w:color w:val="000000" w:themeColor="text1"/>
          <w:sz w:val="16"/>
          <w:szCs w:val="16"/>
        </w:rPr>
        <w:tab/>
        <w:t>530 км/ч</w:t>
      </w:r>
    </w:p>
    <w:p w14:paraId="5131E9E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 аэродинамическим компенсатором и с нарощенными килями</w:t>
      </w:r>
      <w:r w:rsidRPr="008127F8">
        <w:rPr>
          <w:rFonts w:ascii="Times New Roman" w:hAnsi="Times New Roman"/>
          <w:color w:val="000000" w:themeColor="text1"/>
          <w:sz w:val="16"/>
          <w:szCs w:val="16"/>
        </w:rPr>
        <w:tab/>
        <w:t>527 км/ч</w:t>
      </w:r>
    </w:p>
    <w:p w14:paraId="02E8671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Максимальные скорости у земли соответствеино равны </w:t>
      </w:r>
      <w:r w:rsidRPr="008127F8">
        <w:rPr>
          <w:rFonts w:ascii="Times New Roman" w:hAnsi="Times New Roman"/>
          <w:color w:val="000000" w:themeColor="text1"/>
          <w:sz w:val="16"/>
          <w:szCs w:val="16"/>
        </w:rPr>
        <w:tab/>
        <w:t>438-435 км/ч</w:t>
      </w:r>
    </w:p>
    <w:p w14:paraId="28C8B5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Потерь в максимальных скоростях по сравнению с испытанным в октябре месяце 1941 года самолетом Пе-Збис № 392207 завода № 39 - НЕТ</w:t>
      </w:r>
    </w:p>
    <w:p w14:paraId="36F9132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Скороподъемность, практический потолок, время набора высоты 5000 метров практически одинаковы в сравнении с самолётом Пе-Збис № 392207.</w:t>
      </w:r>
    </w:p>
    <w:p w14:paraId="0C5FC06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Техническая дальность самолета при пол</w:t>
      </w:r>
      <w:r w:rsidRPr="008127F8">
        <w:rPr>
          <w:rFonts w:ascii="Times New Roman" w:hAnsi="Times New Roman"/>
          <w:color w:val="000000" w:themeColor="text1"/>
          <w:sz w:val="16"/>
          <w:szCs w:val="16"/>
        </w:rPr>
        <w:softHyphen/>
        <w:t>ном выгорании горючего на высоте 5000 метров по прибору (Н ст. = 5220 м; на 0;8 максимальной скорости с закрытым высотным корректором получилась равной 1500 км.</w:t>
      </w:r>
    </w:p>
    <w:p w14:paraId="5064894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Длины пробегов полученные при испытании превышают длины пробегов испытанного ранее самолета Пе-Збис № 392207, что об"ясняется недостаточной эффективностью тормозов.</w:t>
      </w:r>
    </w:p>
    <w:p w14:paraId="3BF3578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Самолет имеет удовлетворительную продольную устойчивость на всех режимах полета за исключением на</w:t>
      </w:r>
      <w:r w:rsidRPr="008127F8">
        <w:rPr>
          <w:rFonts w:ascii="Times New Roman" w:hAnsi="Times New Roman"/>
          <w:color w:val="000000" w:themeColor="text1"/>
          <w:sz w:val="16"/>
          <w:szCs w:val="16"/>
        </w:rPr>
        <w:softHyphen/>
        <w:t>бора высоты с бомбами в мотогондолах.</w:t>
      </w:r>
    </w:p>
    <w:p w14:paraId="01720E7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Поперечная устойчивость самолета достаточна. Путевая устойчивость ниже чем у самолетов с хорошей путевой устойчивостью: Ме-110, ДБ3ф, СБ-РК, 103-У.</w:t>
      </w:r>
    </w:p>
    <w:p w14:paraId="0FA0DF9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Увеличение площади вертикального оперения (килей) на 16% с "уменьшавшем" удлинения устойчивость путя практически не изменило.</w:t>
      </w:r>
    </w:p>
    <w:p w14:paraId="29AD815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Запас руля высоты на предельно передней цен</w:t>
      </w:r>
      <w:r w:rsidRPr="008127F8">
        <w:rPr>
          <w:rFonts w:ascii="Times New Roman" w:hAnsi="Times New Roman"/>
          <w:color w:val="000000" w:themeColor="text1"/>
          <w:sz w:val="16"/>
          <w:szCs w:val="16"/>
        </w:rPr>
        <w:softHyphen/>
        <w:t>тровке (16,7%) мал. Необходимо регулировку руля высоты про</w:t>
      </w:r>
      <w:r w:rsidRPr="008127F8">
        <w:rPr>
          <w:rFonts w:ascii="Times New Roman" w:hAnsi="Times New Roman"/>
          <w:color w:val="000000" w:themeColor="text1"/>
          <w:sz w:val="16"/>
          <w:szCs w:val="16"/>
        </w:rPr>
        <w:softHyphen/>
        <w:t>изводить; вверх - 30 , вниз 18-20</w:t>
      </w:r>
    </w:p>
    <w:p w14:paraId="0047A66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Предварительные исследования работы пред</w:t>
      </w:r>
      <w:r w:rsidRPr="008127F8">
        <w:rPr>
          <w:rFonts w:ascii="Times New Roman" w:hAnsi="Times New Roman"/>
          <w:color w:val="000000" w:themeColor="text1"/>
          <w:sz w:val="16"/>
          <w:szCs w:val="16"/>
        </w:rPr>
        <w:softHyphen/>
        <w:t>крылков, показывают, что на самолете Пе-Збис они работают недостаточно эффективно.</w:t>
      </w:r>
    </w:p>
    <w:p w14:paraId="57C7C40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Взлетно-посадочные свойства улучшились нез</w:t>
      </w:r>
      <w:r w:rsidRPr="008127F8">
        <w:rPr>
          <w:rFonts w:ascii="Times New Roman" w:hAnsi="Times New Roman"/>
          <w:color w:val="000000" w:themeColor="text1"/>
          <w:sz w:val="16"/>
          <w:szCs w:val="16"/>
        </w:rPr>
        <w:softHyphen/>
        <w:t>начительно.</w:t>
      </w:r>
    </w:p>
    <w:p w14:paraId="25B8136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Минимальные скорости полета остались без изменений.</w:t>
      </w:r>
    </w:p>
    <w:p w14:paraId="21CC3DB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Срывы потока и тряска хвоста начинаются практически на одинаковых скоростях.</w:t>
      </w:r>
    </w:p>
    <w:p w14:paraId="3368684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отзывам летчиков предкрылки облегчают пи</w:t>
      </w:r>
      <w:r w:rsidRPr="008127F8">
        <w:rPr>
          <w:rFonts w:ascii="Times New Roman" w:hAnsi="Times New Roman"/>
          <w:color w:val="000000" w:themeColor="text1"/>
          <w:sz w:val="16"/>
          <w:szCs w:val="16"/>
        </w:rPr>
        <w:softHyphen/>
        <w:t>лотирование на планировании на скоростях в диапазоне 230-240 км/час по прибору.</w:t>
      </w:r>
    </w:p>
    <w:p w14:paraId="47753A9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Установка конструкции завода № 39 под 2 крупнокалиберных пулемета УБК испытание выдержала удов</w:t>
      </w:r>
      <w:r w:rsidRPr="008127F8">
        <w:rPr>
          <w:rFonts w:ascii="Times New Roman" w:hAnsi="Times New Roman"/>
          <w:color w:val="000000" w:themeColor="text1"/>
          <w:sz w:val="16"/>
          <w:szCs w:val="16"/>
        </w:rPr>
        <w:softHyphen/>
        <w:t>летворительно.</w:t>
      </w:r>
    </w:p>
    <w:p w14:paraId="77569C8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Турельная установка под крупнокалиберный пулемет штурмана конструктора ТОРОПОВА обеспечивает углы обстрела прицедьным огнем, как вправо, так и влево только по 30-35.</w:t>
      </w:r>
    </w:p>
    <w:p w14:paraId="50C005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больших углах вести прицельным огонь из-за тесноты в кабине нельзя.</w:t>
      </w:r>
    </w:p>
    <w:p w14:paraId="71921A1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углах больших 40-45°, из-за встречного потока воздуха, турель развернуть невозможно. Аэродинамический компенсатор турели усилий не снимает.</w:t>
      </w:r>
    </w:p>
    <w:p w14:paraId="0D006A7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Необходимо доработать компенсаторы установки Торопова на самолете Пе-3бис для использования в полете всего диапазона углов обстрела, допускаемых самой </w:t>
      </w:r>
      <w:r w:rsidRPr="008127F8">
        <w:rPr>
          <w:rFonts w:ascii="Times New Roman" w:hAnsi="Times New Roman"/>
          <w:color w:val="000000" w:themeColor="text1"/>
          <w:sz w:val="16"/>
          <w:szCs w:val="16"/>
        </w:rPr>
        <w:lastRenderedPageBreak/>
        <w:t>установкой.</w:t>
      </w:r>
    </w:p>
    <w:p w14:paraId="6400CCA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самолете Пе-Збис не предусмотрено химвооружение. Заводу № 39 необходимо обеспечить подвеску химприборов на наружные замки бомбодержателей по типу самолета Пе-2.</w:t>
      </w:r>
    </w:p>
    <w:p w14:paraId="0DB87E8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Обзор штурману вперед и в низ отсутствует. Обзор влево и назад ограничен из-за большой тесноты в кабине.</w:t>
      </w:r>
    </w:p>
    <w:p w14:paraId="79DA188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Приборы: указатель высоты и скорости штурма</w:t>
      </w:r>
      <w:r w:rsidRPr="008127F8">
        <w:rPr>
          <w:rFonts w:ascii="Times New Roman" w:hAnsi="Times New Roman"/>
          <w:color w:val="000000" w:themeColor="text1"/>
          <w:sz w:val="16"/>
          <w:szCs w:val="16"/>
        </w:rPr>
        <w:softHyphen/>
        <w:t>ну не видны.</w:t>
      </w:r>
    </w:p>
    <w:p w14:paraId="3EEB713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Необходимо произвести перекомпановку приборов, согласно схемы предлагаемой в отчете.</w:t>
      </w:r>
    </w:p>
    <w:p w14:paraId="696449F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обеспечения самолетовождения» в сложных метеоусловиях нужно установись РПК-10.</w:t>
      </w:r>
    </w:p>
    <w:p w14:paraId="4775640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Серийное размещение радиостанции РСИ-4 обеспе</w:t>
      </w:r>
      <w:r w:rsidRPr="008127F8">
        <w:rPr>
          <w:rFonts w:ascii="Times New Roman" w:hAnsi="Times New Roman"/>
          <w:color w:val="000000" w:themeColor="text1"/>
          <w:sz w:val="16"/>
          <w:szCs w:val="16"/>
        </w:rPr>
        <w:softHyphen/>
        <w:t>чивает дальность связи на высоте 1000 метров только 65-70 км.</w:t>
      </w:r>
    </w:p>
    <w:p w14:paraId="7D8BA40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размещение РСИ-4 в хвосте фюзеляжа повысило дальность до 110-120 км на той же высоте.</w:t>
      </w:r>
    </w:p>
    <w:p w14:paraId="71209CE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Производственное выполнение самолета в основ</w:t>
      </w:r>
      <w:r w:rsidRPr="008127F8">
        <w:rPr>
          <w:rFonts w:ascii="Times New Roman" w:hAnsi="Times New Roman"/>
          <w:color w:val="000000" w:themeColor="text1"/>
          <w:sz w:val="16"/>
          <w:szCs w:val="16"/>
        </w:rPr>
        <w:softHyphen/>
        <w:t>ном удовлетворительно.</w:t>
      </w:r>
    </w:p>
    <w:p w14:paraId="0B30F7A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В процессе испытаний выявлен ряд дефектов. Основных из них:</w:t>
      </w:r>
    </w:p>
    <w:p w14:paraId="7099AD7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разрушение подшипников нагнетателя мотора (массовое явление);</w:t>
      </w:r>
    </w:p>
    <w:p w14:paraId="52A17CD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течь бензобаков № 3 и 1 4 в верхней части по сварке;</w:t>
      </w:r>
    </w:p>
    <w:p w14:paraId="183FE5D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засвинцовываются электроды свечей при работе на горючем с продуктом В-20 (массовый дефект), за все время испытаний заменено 60 свечей;</w:t>
      </w:r>
    </w:p>
    <w:p w14:paraId="6661C58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течь водорадиатора;</w:t>
      </w:r>
    </w:p>
    <w:p w14:paraId="4FE44E2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отказ приемников термометра воды (3 случая);</w:t>
      </w:r>
    </w:p>
    <w:p w14:paraId="0497BE5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 отказ динамок тахометров (массовый дефект - 4 раза);</w:t>
      </w:r>
    </w:p>
    <w:p w14:paraId="4C6CABC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 отказ бензиномеров;</w:t>
      </w:r>
    </w:p>
    <w:p w14:paraId="0005B06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 остаточная девиация магнитного компаса превышает допустимые пределы;</w:t>
      </w:r>
    </w:p>
    <w:p w14:paraId="754E30F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при перезарядке пушки обрывается троссы перезарядки,</w:t>
      </w:r>
    </w:p>
    <w:p w14:paraId="53B97F1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отсутствует механическая перезарядка пушки;</w:t>
      </w:r>
    </w:p>
    <w:p w14:paraId="0E4DC42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 дренажный кран </w:t>
      </w:r>
      <w:r w:rsidRPr="008127F8">
        <w:rPr>
          <w:rFonts w:ascii="Times New Roman" w:hAnsi="Times New Roman"/>
          <w:smallCaps/>
          <w:color w:val="000000" w:themeColor="text1"/>
          <w:sz w:val="16"/>
          <w:szCs w:val="16"/>
        </w:rPr>
        <w:t xml:space="preserve">системы </w:t>
      </w:r>
      <w:r w:rsidRPr="008127F8">
        <w:rPr>
          <w:rFonts w:ascii="Times New Roman" w:hAnsi="Times New Roman"/>
          <w:color w:val="000000" w:themeColor="text1"/>
          <w:sz w:val="16"/>
          <w:szCs w:val="16"/>
        </w:rPr>
        <w:t>нейтрального газа работает неудовлетворительно:</w:t>
      </w:r>
    </w:p>
    <w:p w14:paraId="586B502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положении сектора "ГАЗ" система не всегда включается;</w:t>
      </w:r>
    </w:p>
    <w:p w14:paraId="27EFD52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положении "ДРЕНАЖ" газ поступает как в баки, так и в атмосферу,</w:t>
      </w:r>
    </w:p>
    <w:p w14:paraId="36D0BD8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Велико избыточное давление газов»в бензоба</w:t>
      </w:r>
      <w:r w:rsidRPr="008127F8">
        <w:rPr>
          <w:rFonts w:ascii="Times New Roman" w:hAnsi="Times New Roman"/>
          <w:color w:val="000000" w:themeColor="text1"/>
          <w:sz w:val="16"/>
          <w:szCs w:val="16"/>
        </w:rPr>
        <w:softHyphen/>
        <w:t>ках. Необходимо уменьшить давление по 100-120 мм ртутного столба.</w:t>
      </w:r>
    </w:p>
    <w:p w14:paraId="010338F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smallCaps/>
          <w:color w:val="000000" w:themeColor="text1"/>
          <w:sz w:val="16"/>
          <w:szCs w:val="16"/>
        </w:rPr>
        <w:t xml:space="preserve">Ведущий </w:t>
      </w:r>
      <w:r w:rsidRPr="008127F8">
        <w:rPr>
          <w:rFonts w:ascii="Times New Roman" w:hAnsi="Times New Roman"/>
          <w:color w:val="000000" w:themeColor="text1"/>
          <w:sz w:val="16"/>
          <w:szCs w:val="16"/>
        </w:rPr>
        <w:t xml:space="preserve">и н ж е н е р </w:t>
      </w:r>
      <w:r w:rsidRPr="008127F8">
        <w:rPr>
          <w:rFonts w:ascii="Times New Roman" w:hAnsi="Times New Roman"/>
          <w:smallCaps/>
          <w:color w:val="000000" w:themeColor="text1"/>
          <w:sz w:val="16"/>
          <w:szCs w:val="16"/>
        </w:rPr>
        <w:t>-шжЕнер - полковник сафронов</w:t>
      </w:r>
    </w:p>
    <w:p w14:paraId="73ACFE3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ЗАКЛЮЧЕНИЕ</w:t>
      </w:r>
    </w:p>
    <w:p w14:paraId="4EA0B34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Государственные контрольные испытания серийный самолет Пе-Збис № 40143900, производства завода 39, выдержал удовлетворительно,</w:t>
      </w:r>
    </w:p>
    <w:p w14:paraId="060AC4E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Просить Н К А П:</w:t>
      </w:r>
    </w:p>
    <w:p w14:paraId="66315D8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принять меры к устранению дефектов, выявленных на испытании, согласно выводов и прилагаемой ведомости дефектов;</w:t>
      </w:r>
    </w:p>
    <w:p w14:paraId="0EDF304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дать указания заводу № 32 срочно отрабо</w:t>
      </w:r>
      <w:r w:rsidRPr="008127F8">
        <w:rPr>
          <w:rFonts w:ascii="Times New Roman" w:hAnsi="Times New Roman"/>
          <w:color w:val="000000" w:themeColor="text1"/>
          <w:sz w:val="16"/>
          <w:szCs w:val="16"/>
        </w:rPr>
        <w:softHyphen/>
        <w:t>тать и установить на турель конструкции ТОРОПОВА компенса</w:t>
      </w:r>
      <w:r w:rsidRPr="008127F8">
        <w:rPr>
          <w:rFonts w:ascii="Times New Roman" w:hAnsi="Times New Roman"/>
          <w:color w:val="000000" w:themeColor="text1"/>
          <w:sz w:val="16"/>
          <w:szCs w:val="16"/>
        </w:rPr>
        <w:softHyphen/>
        <w:t>торы, которые позволили бы получить углы обстрела в воздухе, допускаемые конструкцией установки;</w:t>
      </w:r>
    </w:p>
    <w:p w14:paraId="234B30B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срочно провести исследование в ЦАГИ по повышению эффективности предкрылков на самолете Пе-Збис."</w:t>
      </w:r>
    </w:p>
    <w:p w14:paraId="1699978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ЗАВОДА № 39 (В.И.АБРАМОВ)</w:t>
      </w:r>
    </w:p>
    <w:p w14:paraId="1D57F4B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 Л, ИНЖЕНЕРА ПО ЭКСПЕРИМЕНТАЛЬНЫМ РАБОТАМ (К.А.ПЕТРОВ) (1678,51).</w:t>
      </w:r>
    </w:p>
    <w:p w14:paraId="5253A09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7069FA" w14:textId="77777777" w:rsidR="00FC6A26" w:rsidRPr="008A2E5A" w:rsidRDefault="00FC6A26" w:rsidP="00FC6A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19 июня 1942 г. в войска было отправлено 106 единиц ЛаГГ-3 завода № 21 с установкой нового воздухозаборника водорадиатора новой конструкции. 26 июня Главный инженер ВВС гене</w:t>
      </w:r>
      <w:r w:rsidRPr="008A2E5A">
        <w:rPr>
          <w:rFonts w:ascii="Times New Roman" w:hAnsi="Times New Roman"/>
          <w:color w:val="0070C0"/>
          <w:sz w:val="16"/>
          <w:szCs w:val="16"/>
        </w:rPr>
        <w:softHyphen/>
        <w:t>рал-лейтенант Репин поручил только что на</w:t>
      </w:r>
      <w:r w:rsidRPr="008A2E5A">
        <w:rPr>
          <w:rFonts w:ascii="Times New Roman" w:hAnsi="Times New Roman"/>
          <w:color w:val="0070C0"/>
          <w:sz w:val="16"/>
          <w:szCs w:val="16"/>
        </w:rPr>
        <w:softHyphen/>
        <w:t>значенному начальнику ГУЗ и ТС ВВС генерал- майору Бибикову обеспечить все находящие</w:t>
      </w:r>
      <w:r w:rsidRPr="008A2E5A">
        <w:rPr>
          <w:rFonts w:ascii="Times New Roman" w:hAnsi="Times New Roman"/>
          <w:color w:val="0070C0"/>
          <w:sz w:val="16"/>
          <w:szCs w:val="16"/>
        </w:rPr>
        <w:softHyphen/>
        <w:t>ся в строю ЛаГГ-3 насадками, после чего до</w:t>
      </w:r>
      <w:r w:rsidRPr="008A2E5A">
        <w:rPr>
          <w:rFonts w:ascii="Times New Roman" w:hAnsi="Times New Roman"/>
          <w:color w:val="0070C0"/>
          <w:sz w:val="16"/>
          <w:szCs w:val="16"/>
        </w:rPr>
        <w:softHyphen/>
        <w:t>полнительно заказали еще 500 комплектов. То есть, измененные воздухозаборники с мая-июня 1942 года стали стандартными для всех ЛаГГ-3, в том числе и с 37-мм пушками, правда, только постройки завода № 21. Види</w:t>
      </w:r>
      <w:r w:rsidRPr="008A2E5A">
        <w:rPr>
          <w:rFonts w:ascii="Times New Roman" w:hAnsi="Times New Roman"/>
          <w:color w:val="0070C0"/>
          <w:sz w:val="16"/>
          <w:szCs w:val="16"/>
        </w:rPr>
        <w:softHyphen/>
        <w:t>мо, Главный конструктор тбилисского завода В.П. Горбунов сумел отстоять чистоту аэро</w:t>
      </w:r>
      <w:r w:rsidRPr="008A2E5A">
        <w:rPr>
          <w:rFonts w:ascii="Times New Roman" w:hAnsi="Times New Roman"/>
          <w:color w:val="0070C0"/>
          <w:sz w:val="16"/>
          <w:szCs w:val="16"/>
        </w:rPr>
        <w:softHyphen/>
        <w:t>динамических форм своих изделий (23409).</w:t>
      </w:r>
    </w:p>
    <w:p w14:paraId="2A9E5DAF" w14:textId="77777777" w:rsidR="00FC6A26" w:rsidRPr="008A2E5A" w:rsidRDefault="00FC6A26" w:rsidP="00FC6A26">
      <w:pPr>
        <w:spacing w:after="0" w:line="240" w:lineRule="auto"/>
        <w:jc w:val="both"/>
        <w:rPr>
          <w:rFonts w:ascii="Times New Roman" w:hAnsi="Times New Roman"/>
          <w:color w:val="0070C0"/>
          <w:sz w:val="16"/>
          <w:szCs w:val="16"/>
        </w:rPr>
      </w:pPr>
    </w:p>
    <w:p w14:paraId="6D449CB7"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19 июня 1942 г. контр-адмиралом И.Д.Елисеевым и дивизионным комиссаром И.И.Азаровым был утвержден акт по испытанию РС:</w:t>
      </w:r>
    </w:p>
    <w:p w14:paraId="7C3D0CD7"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Председатель комиссии от штаба ЧФ капитан 3 ранга Г.Дьяченко, члены: капитан 2 ранга Савин, капитаны 3 ранга Местников, Ясулович и представитель техотдела флота капитан-лейтенант Степанов, 10-15 июня 1942 г. произвели испытание аппарата РС. Произведенные испытания показали следующее:</w:t>
      </w:r>
    </w:p>
    <w:p w14:paraId="4D2297C1"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1. Легкость и простота устройства установки на ТКА.</w:t>
      </w:r>
    </w:p>
    <w:p w14:paraId="4324A67F"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2. Возможность стрельбы по береговым целям на дистанции 32 кабельтова (5,9 км).</w:t>
      </w:r>
    </w:p>
    <w:p w14:paraId="701438BD"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3. Отрицательные качества:</w:t>
      </w:r>
      <w:r>
        <w:rPr>
          <w:rFonts w:ascii="Times New Roman" w:eastAsia="Times New Roman" w:hAnsi="Times New Roman"/>
          <w:color w:val="000000" w:themeColor="text1"/>
          <w:sz w:val="16"/>
          <w:szCs w:val="16"/>
        </w:rPr>
        <w:t xml:space="preserve">    </w:t>
      </w:r>
      <w:r w:rsidRPr="008127F8">
        <w:rPr>
          <w:rFonts w:ascii="Times New Roman" w:eastAsia="Times New Roman" w:hAnsi="Times New Roman"/>
          <w:color w:val="000000" w:themeColor="text1"/>
          <w:sz w:val="16"/>
          <w:szCs w:val="16"/>
        </w:rPr>
        <w:t xml:space="preserve"> малая скорострельность и</w:t>
      </w:r>
      <w:r>
        <w:rPr>
          <w:rFonts w:ascii="Times New Roman" w:eastAsia="Times New Roman" w:hAnsi="Times New Roman"/>
          <w:color w:val="000000" w:themeColor="text1"/>
          <w:sz w:val="16"/>
          <w:szCs w:val="16"/>
        </w:rPr>
        <w:t xml:space="preserve">  </w:t>
      </w:r>
      <w:r w:rsidRPr="008127F8">
        <w:rPr>
          <w:rFonts w:ascii="Times New Roman" w:eastAsia="Times New Roman" w:hAnsi="Times New Roman"/>
          <w:color w:val="000000" w:themeColor="text1"/>
          <w:sz w:val="16"/>
          <w:szCs w:val="16"/>
        </w:rPr>
        <w:t>отсутствие щитка для управления стрельбой залпами и одиночными снарядами.</w:t>
      </w:r>
    </w:p>
    <w:p w14:paraId="52D1AC5C"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Выводы: заказать серию подобных аппаратов для установки на ТКА с учетом: а) увеличения скорости; б) дать возможность производить одиночную и залповую стрельбу; в) упростить установку для стрельбы в ночное время; г) определить место хранения боезапаса на ТКА.</w:t>
      </w:r>
    </w:p>
    <w:p w14:paraId="50CE2F72"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Испытывали на всех скоростях при состоянии ветра и моря. равном 3-м баллам. Установка деформации и поломок не имела.</w:t>
      </w:r>
    </w:p>
    <w:p w14:paraId="10FF0315"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 втором испытании установили: при углах возвышения - 10</w:t>
      </w:r>
      <w:r w:rsidRPr="008127F8">
        <w:rPr>
          <w:rFonts w:ascii="Times New Roman" w:eastAsia="Times New Roman" w:hAnsi="Times New Roman"/>
          <w:color w:val="000000" w:themeColor="text1"/>
          <w:sz w:val="16"/>
          <w:szCs w:val="16"/>
          <w:vertAlign w:val="superscript"/>
        </w:rPr>
        <w:t>о</w:t>
      </w:r>
      <w:r w:rsidRPr="008127F8">
        <w:rPr>
          <w:rFonts w:ascii="Times New Roman" w:eastAsia="Times New Roman" w:hAnsi="Times New Roman"/>
          <w:color w:val="000000" w:themeColor="text1"/>
          <w:sz w:val="16"/>
          <w:szCs w:val="16"/>
        </w:rPr>
        <w:t xml:space="preserve"> дальность полета 15 каб., время 13 сек. При углах возвышения - 30</w:t>
      </w:r>
      <w:r w:rsidRPr="008127F8">
        <w:rPr>
          <w:rFonts w:ascii="Times New Roman" w:eastAsia="Times New Roman" w:hAnsi="Times New Roman"/>
          <w:color w:val="000000" w:themeColor="text1"/>
          <w:sz w:val="16"/>
          <w:szCs w:val="16"/>
          <w:vertAlign w:val="superscript"/>
        </w:rPr>
        <w:t>о</w:t>
      </w:r>
      <w:r w:rsidRPr="008127F8">
        <w:rPr>
          <w:rFonts w:ascii="Times New Roman" w:eastAsia="Times New Roman" w:hAnsi="Times New Roman"/>
          <w:color w:val="000000" w:themeColor="text1"/>
          <w:sz w:val="16"/>
          <w:szCs w:val="16"/>
        </w:rPr>
        <w:t xml:space="preserve"> дальность полета 32 каб., время 39 сек. При углах возвышения - 40</w:t>
      </w:r>
      <w:r w:rsidRPr="008127F8">
        <w:rPr>
          <w:rFonts w:ascii="Times New Roman" w:eastAsia="Times New Roman" w:hAnsi="Times New Roman"/>
          <w:color w:val="000000" w:themeColor="text1"/>
          <w:sz w:val="16"/>
          <w:szCs w:val="16"/>
          <w:vertAlign w:val="superscript"/>
        </w:rPr>
        <w:t>о</w:t>
      </w:r>
      <w:r w:rsidRPr="008127F8">
        <w:rPr>
          <w:rFonts w:ascii="Times New Roman" w:eastAsia="Times New Roman" w:hAnsi="Times New Roman"/>
          <w:color w:val="000000" w:themeColor="text1"/>
          <w:sz w:val="16"/>
          <w:szCs w:val="16"/>
        </w:rPr>
        <w:t xml:space="preserve"> дальность полета 30 каб., время 27 сек. Время заряжения 1 РС - 42 сек, 2-х - 50 сек, 4-х - 2 мин 45 сек.».</w:t>
      </w:r>
    </w:p>
    <w:p w14:paraId="2225E7DD"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Такие же «самоделки» сразу же были установлены (с сохранением основного - торпедного оружия) на ТКА К.Кочнева, М.Гурина и А.Куракина, а затем и на более крупных, чем «Г-5» торпедных катерах «Д-3» (деревянном) и «СМ-3» (стальном мореходном).</w:t>
      </w:r>
    </w:p>
    <w:p w14:paraId="233CDBB5"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связи с неудачей наступления войск Юго-Западного фронта на Харьковском направлении и последовавшем затем продвижении немецких войск к Ростову-на-Дону на Черном море принимается ряд оборонительных мер. Отряд торпедных катеров дополнительно вооруженных установками РС был передан Азовского флоталии (15985).</w:t>
      </w:r>
    </w:p>
    <w:p w14:paraId="70C58119"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p>
    <w:p w14:paraId="3DB1E16E" w14:textId="75DF2CCA" w:rsidR="00FC6A26" w:rsidRDefault="00FC6A26" w:rsidP="007C5583">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Другие оборонные отрасли:</w:t>
      </w:r>
    </w:p>
    <w:p w14:paraId="727A312B" w14:textId="77777777" w:rsidR="00FC6A26" w:rsidRDefault="00FC6A26" w:rsidP="007C558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4BD2C64" w14:textId="77777777" w:rsidR="00FC6A26" w:rsidRPr="008A2E5A" w:rsidRDefault="00FC6A26" w:rsidP="00FC6A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июня 1942 г. директор завода № 112 Е.Э. Рубинчик издал приказ № 45, в котором определил «центральную задачу завода»: выполнение программы и улучшение качества выпускаемой машины. Речь шла о быстром освоении новых конструкций, своевременной проработки технологии и подготовки производства: пятискоростной коробки перемены передач Т-34; усиленного ленивца; башни танка с улучшенным обзором (с командирской башенкой).</w:t>
      </w:r>
    </w:p>
    <w:p w14:paraId="785CD636" w14:textId="77777777" w:rsidR="00FC6A26" w:rsidRPr="008A2E5A" w:rsidRDefault="00FC6A26" w:rsidP="00FC6A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приказал откомандировать группу работников на головной завод № 183, а также обратился к директору завода № 113 Я.И. Рябову с просьбой направить в Нижний Тагил «ответственного инженера» для ознакомления с технологией и оснасткой производства новых коробок скоростей (ЦАНО. Ф. Р-15. Оп. 4. Д. 164. Л. 64.).</w:t>
      </w:r>
    </w:p>
    <w:p w14:paraId="1C92C650" w14:textId="77777777" w:rsidR="00FC6A26" w:rsidRPr="008A2E5A" w:rsidRDefault="00FC6A26" w:rsidP="00FC6A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Начальнику Конструкторского отдела завода В.В. Крылову было приказано в пятидневный срок спустить чертежи, детальные описи и прочую документацию через Отдел главного технолога в производство. Главному металлургу требовалось обеспечить отливку и прокат металла в количествах, обеспечивающих месячный задел деталей вновь вводимых узлов к началу производства. Серийную отливку новых башен предписывалось начать к 15 июля 1942 г. (ЦАНО. Ф. Р-15. Оп. 4. Д. 164. Л. 64об.).</w:t>
      </w:r>
    </w:p>
    <w:p w14:paraId="45CEA5BB" w14:textId="77777777" w:rsidR="00FC6A26" w:rsidRPr="008A2E5A" w:rsidRDefault="00FC6A26" w:rsidP="00FC6A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Вскоре состоялась поездка представителей сормовского завода в Нижний Тагил на завод № 183. Поездка на Уральский завод оказалась удачной. Н.Н. Смеляков пишет: «нас приняли, как родных, мы получили техническую помощь, увидели гигантский завод, который выпускал сложнейшую машину на конвейере. Впечатления от встреч с главным инженером этого предприятия, Юрием Евгеньевичем Максаревым у нас остались самые лучшие. Каждый видел, что он, как руководитель, по горло занят собственными заводскими делами, но, тем не менее, все же нашел время прекрасно организовать наше знакомство с технологией производства танков, снабдил чертежами, инструкциями» (Во имя Победы. - С. 147.).</w:t>
      </w:r>
    </w:p>
    <w:p w14:paraId="23B8D964" w14:textId="77777777" w:rsidR="00FC6A26" w:rsidRPr="008A2E5A" w:rsidRDefault="00FC6A26" w:rsidP="00FC6A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программа вывода завода из кризиса включала в себя, как минимум: модернизацию и расширение металлургического производства, локализацию производства наиболее дефицитных деталей, налаживание работы завода по графику, повышение качества выпускаемых предприятием танков за счет конструктивных усовершенствований, совершенствования технологии, подготовку кадров непосредственно на заводе и закрепление их. Одновременно Е.Э. Рубинчик старался освободить предприятие от всех заказов, не связанных с выпуском танков, например, строительство подводных лодок (Подрепный, Е.И. Сормовский завод - мастерская и арсенал России (1849-1945 гг.), Исследования. Воспоминания. Документы. /авт.сост. Е.И. Подрепный. Е.П. Титков. - Нижний Новгород, 2016. - С. 289.) (23540).</w:t>
      </w:r>
    </w:p>
    <w:p w14:paraId="05789EBC" w14:textId="77777777" w:rsidR="00FC6A26" w:rsidRPr="008A2E5A" w:rsidRDefault="00FC6A26" w:rsidP="00FC6A26">
      <w:pPr>
        <w:spacing w:after="0" w:line="240" w:lineRule="auto"/>
        <w:jc w:val="both"/>
        <w:rPr>
          <w:rFonts w:ascii="Times New Roman" w:hAnsi="Times New Roman"/>
          <w:color w:val="0070C0"/>
          <w:sz w:val="16"/>
          <w:szCs w:val="16"/>
        </w:rPr>
      </w:pPr>
    </w:p>
    <w:p w14:paraId="7F6E37C2" w14:textId="77777777" w:rsidR="00FC6A26" w:rsidRPr="008A2E5A" w:rsidRDefault="00FC6A26" w:rsidP="00FC6A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июня 1942 г. по заводу «Красное Сормово» был издан приказ № 49. Директор Е.Э. Рубинчик объявил «центральной задачей завода, наряду с выполнением программы, улучшение качества выпускаемых машин А-34» (ЦАНО. Ф. Р-15. Оп. 4. Д. 164. Л. 64).</w:t>
      </w:r>
    </w:p>
    <w:p w14:paraId="425E06C9" w14:textId="77777777" w:rsidR="00FC6A26" w:rsidRPr="008A2E5A" w:rsidRDefault="00FC6A26" w:rsidP="00FC6A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Были определены задачи коллектива: освоение новых конструкций: пятискоростной коробки перемены передач, усиленного ленивца, башни танка с улучшенным обзором и командирской башенкой. На уральский завод № 183 командировалась группа работников: от конструкторского отдела И.С. Бер, от отдела главного технолога А.Н. Чиков, от главного металлурга А.Я. Варфоломеев и от цеха № 20 «т. Косариков».</w:t>
      </w:r>
    </w:p>
    <w:p w14:paraId="2C3729DB" w14:textId="77777777" w:rsidR="00FC6A26" w:rsidRPr="008A2E5A" w:rsidRDefault="00FC6A26" w:rsidP="00FC6A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Е.Э. Рубинчик обратился к директору завода № 113 Я.М. Рябову с просьбой направить на завод № 183 «ответственного инженера для ознакомления с технологией и оснасткой производства новых коробок скоростей» (ЦАНО. Ф. Р-15. Оп. 4. Д. 164. Л. 64).). В приказе были подробно расписаны указания начальникам отделов и служб предприятии (ЦАНО. Ф. Р-15. Оп. 4. Д. 164. Л. 64об.). Контроль, за подготовкой производства и выпуском машин, был возложен на главного инженера завода Д.В. Михалева.</w:t>
      </w:r>
    </w:p>
    <w:p w14:paraId="5B4D926B" w14:textId="77777777" w:rsidR="00FC6A26" w:rsidRPr="008A2E5A" w:rsidRDefault="00FC6A26" w:rsidP="00FC6A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 как запланированный объем производства танков так и не был достигнут, высшее руководство страны оказалось недовольно деятельностью В.А. Малышева на посту наркома. В поисках нового наркома, обратили внимание на кандидатуру И.М. Зальцмана, показавшего себя отличным организатором производства (Ермолов, А.Ю. Государственное управление военной промышленностью в 1940-е годы: Танковая промышленность. - С. 192.).</w:t>
      </w:r>
    </w:p>
    <w:p w14:paraId="49F7073C" w14:textId="77777777" w:rsidR="00FC6A26" w:rsidRPr="008A2E5A" w:rsidRDefault="00FC6A26" w:rsidP="00FC6A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Перед И.М. Зальцманом встала проблема выбора дальнейшей стратегии развития отрасли. Возможности экстенсивного роста танкостроения за счет других отраслей были полностью исчерпаны. Запланированный уровень производства танков, так и недостигнутый при его предшественнике, был нереален. И.М. Зальцман решил выполнить план хотя бы по одной но основной позиции - выпуске танка Т-34, за счёт производства легких и тяжелых танков (Ермолов, А.Ю. Государственное управление военной промышленностью в 1940-е годы: Танковая промышленность. - С. 196.) (23540).</w:t>
      </w:r>
    </w:p>
    <w:p w14:paraId="24DD6602" w14:textId="77777777" w:rsidR="00FC6A26" w:rsidRPr="008A2E5A" w:rsidRDefault="00FC6A26" w:rsidP="00FC6A26">
      <w:pPr>
        <w:spacing w:after="0" w:line="240" w:lineRule="auto"/>
        <w:jc w:val="both"/>
        <w:rPr>
          <w:rFonts w:ascii="Times New Roman" w:hAnsi="Times New Roman"/>
          <w:color w:val="0070C0"/>
          <w:sz w:val="16"/>
          <w:szCs w:val="16"/>
        </w:rPr>
      </w:pPr>
    </w:p>
    <w:p w14:paraId="63F68DD2" w14:textId="6C221485"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04ABA74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3E120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 xml:space="preserve">19 июня </w:t>
      </w:r>
      <w:r w:rsidRPr="008127F8">
        <w:rPr>
          <w:rFonts w:ascii="Times New Roman" w:hAnsi="Times New Roman"/>
          <w:color w:val="000000" w:themeColor="text1"/>
          <w:sz w:val="16"/>
          <w:szCs w:val="16"/>
        </w:rPr>
        <w:t>в 1942 году утреннее сообщение Совинформбюро:</w:t>
      </w:r>
    </w:p>
    <w:p w14:paraId="1046ADA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19 июня на фронте существенных изменений не произошло.</w:t>
      </w:r>
    </w:p>
    <w:p w14:paraId="0281877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Семь советских истребителей под командованием майора Зимина встретились в воздухе с 12 немецкими бомбардировщиками и 4 истребителями. Наши лётчики смело атаковали врага. В это время к немецким самолётам присоединились ещё 11 «Мессершмиттов-109». 45 минут продолжался этот неравный воздушный бой, в котором наши лётчики показали высокое мастерство. В результате боя сбито 10 немецких самолётов. Кроме того, 3 немецких самолёта было повреждено. Наши потери—один самолёт.</w:t>
      </w:r>
    </w:p>
    <w:p w14:paraId="3E377E6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Харьковского направления наша часть за три дня боевых действий отбила несколько атак гитлеровцев. Не добившись никаких успехов, немцы понесли большие потери. Нашими бойцами подбито 9 немецких танков. На поле боя осталось более тысячи убитых солдат и офицеров противника.</w:t>
      </w:r>
    </w:p>
    <w:p w14:paraId="71F8436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одной нашей части (Калининский фронт) внезапным ударом выбили немцев из занимаемых ими позиций. Захвачено у противника 3 орудия, 8 пулемётов, 4 миномёта, радиостанция и склад с боеприпасами. Взяты пленные.</w:t>
      </w:r>
    </w:p>
    <w:p w14:paraId="5C3DBF8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Немецкие танки пытались прорваться в тыл нашей части, действующей на одном из участков Северо-Западного фронта. Расчёты противотанковых ружей быстро открыли огонь по вражеским машинам. Наводчики тт. Савицкий, Латышев и Кучер подбили 4немецких танка.</w:t>
      </w:r>
    </w:p>
    <w:p w14:paraId="47EA397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Снайперы подразделения, которым командует тов. Алексеев, метким огнём истребили 301 гитлеровца. Снайпер т. Аксаков уничтожил 34 немецких солдата, т. Полубояринов—28, тт. Филипущенко и Нефёдов уничтожили по 16 гитлеровцев каждый.</w:t>
      </w:r>
    </w:p>
    <w:p w14:paraId="7FAC9C9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Старший военфельдшер Екатерина Васильевна Пименова под обстрелом врага самоотверженно оказывает первую медицинскую помощь раненым. Тов. Пименова вынесла с поля боя 80 раненых бойцов и командиров вместе с их оружием.</w:t>
      </w:r>
    </w:p>
    <w:p w14:paraId="1C005CC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смоленских партизан под командованием тов. Г. совершил смелый налёт на немецкий гарнизон, расположенный в деревне Б. Партизаны перебили 150 оккупантов, взорвали 2 склада с боеприпасами, сожгли 15 автомашин и 40 повозок.</w:t>
      </w:r>
    </w:p>
    <w:p w14:paraId="54F4AF0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лейтенант командир 6 роты 212 полка 79 немецкой пехотной дивизии Макс Гуммельтенберг рассказал: «За несколько дней боёв моя рота была буквально уничтожена. Весь полк понёс тяжёлые потери. За одну неделю выбыло из строя большинство офицеров и унтер-офицеров. Среди убитых—обер-лейтенант Pax, обер-лейтенант Лаурер, обер-лейтенант Барт, лейтенант Шеедер, обер-фельдфебель Раттман, штабс-фельдфебель Штаут и другие».</w:t>
      </w:r>
    </w:p>
    <w:p w14:paraId="49EBDD9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226 полка Гейнц Г. рассказал: «Я давно хотел сдаться в плен, но это было очень трудно осуществить. По перебежчикам офицеры открывают огонь из пулемётов. Недавно группа солдат отказалась идти в бой. Их в тот же день расстреляли. Около деревни К. лейтенант Беккер расстрелял трёх солдат—пулемётчиков 9 роты — за то, что они отказались выполнить его приказ. Среда расстрелянных был мой друг Франц Зауэр. За последнее время в полку были неоднократно случаи дезертирства. Многие солдаты хотят любыми средствами, любой ценой избавиться от войны».</w:t>
      </w:r>
    </w:p>
    <w:p w14:paraId="789FA95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лесах Восточной Пруссии скрываются группы немецких солдат, убежавших с советско-германского фронта. Солдаты хорошо вооружены и совершают нападения на продовольственные склады. Неоднократные попытки немецких властей поймать дезертиров потерпели неудачу. Местное население вовремя сообщает солдатам о приближении отрядов штурмовиков и эсэсовцев.» (14927).</w:t>
      </w:r>
    </w:p>
    <w:p w14:paraId="20313CA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BF009C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 xml:space="preserve">19 июня </w:t>
      </w:r>
      <w:r w:rsidRPr="008127F8">
        <w:rPr>
          <w:rFonts w:ascii="Times New Roman" w:hAnsi="Times New Roman"/>
          <w:color w:val="000000" w:themeColor="text1"/>
          <w:sz w:val="16"/>
          <w:szCs w:val="16"/>
        </w:rPr>
        <w:t>в 1942 году вечернее сообщение Совинформбюро:</w:t>
      </w:r>
    </w:p>
    <w:p w14:paraId="62B361C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19 июня на Севастопольском участке фронта продолжались ожесточённые бои.</w:t>
      </w:r>
    </w:p>
    <w:p w14:paraId="16BB8E6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существенных изменений не произошло.</w:t>
      </w:r>
    </w:p>
    <w:p w14:paraId="3453B1B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Нашим кораблём в Баренцевом море потоплен транспорт противника водоизмещением в 15 тысяч тонн.</w:t>
      </w:r>
    </w:p>
    <w:p w14:paraId="09D62D6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18 июня частями нашей авиации на различных участках фронта уничтожено или повреждено 25 немецких автомашин с войсками и грузами, 30 повозок с боеприпасами, подавлен огонь 6 артиллерийских батарей и 20 пулемётных точек, взорвано два склада с боеприпасами, потоплен торпедный катер противника.</w:t>
      </w:r>
    </w:p>
    <w:p w14:paraId="7897789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Севастопольском участке фронта немецко-фашистские войска, не считаясь с огромными потерями, ведут ожесточённые атаки наших оборонительных рубежей. Наши пехотинцы, моряки и артиллеристы, отбивая атаки противника, наносят ему всё новые и новые удары. Только в течение одного дня героические защитники Севастополя уничтожили свыше полка пехоты противника и 20 немецких танков. Огнём зенитной артиллерии сбито 10 самолётов противника.</w:t>
      </w:r>
    </w:p>
    <w:p w14:paraId="65F9317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Наше соединение, действующее на Калининском фронте, в двухдневных боях спротивником уничтожило до 1.500 немецких солдат и офицеров. Подбито 8 немецких танков.</w:t>
      </w:r>
    </w:p>
    <w:p w14:paraId="23EB4D2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Части, действующие на одном из участков Ленинградского фронта, уничтожили 3 орудия противника, 5 станковых пулемётов и взорвали склад с боеприпасами. Немцы потеряли убитыми до 300 солдат и офицеров.</w:t>
      </w:r>
    </w:p>
    <w:p w14:paraId="14FC212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наших бойцов (Калининский фронт) проник в тыл противника и устроил несколько засад в районе деревни С. Наши бойцы, ничем не выдав себя, пропустили по дороге 15 немецких автоматчиков. Вслед за ними подошла колонна пехоты противника. Подпустив гитлеровцев почти вплотную, наши бойцы открыли огонь из автоматов и пулемётов и уничтожили более 200 немецких солдат и офицеров.</w:t>
      </w:r>
    </w:p>
    <w:p w14:paraId="2791517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Батарея тов. Баландина (Южный фронт) огневым налётом взорвала склад с боеприпасами противника и уничтожила два орудия вместе с обслуживающим их составом.</w:t>
      </w:r>
    </w:p>
    <w:p w14:paraId="0CEE990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Обнаружив место скопления вражеской пехоты, миномётчики подразделения лейтенанта Нагорного дали несколько метких залпов. Немцы поспешно разбежались, оставив 80 убитых и раненых солдат.</w:t>
      </w:r>
    </w:p>
    <w:p w14:paraId="3871326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мае немецкое командование бросило против группы партизанских отрядов Ленинградской области большую карательную экспедицию с артиллерией, танками и самолётами. За месяц боевых действий партизаны под командованием тт. В. и О. уничтожили 2.570 немецких солдат и офицеров, подбили 20 танков, пустили под откос 5 железнодорожных составов и один бронепоезд. Партизанами захвачены большие трофеи.</w:t>
      </w:r>
    </w:p>
    <w:p w14:paraId="69A76E3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партизан под руководством тов. Д., действующая в одном из районов Гомельской области, пустила под откос немецкий состав с горючим. Сгорело 30 цистерн и 13 немецких солдат из охраны состава.</w:t>
      </w:r>
    </w:p>
    <w:p w14:paraId="573CE55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испанской «Голубой дивизии» Антонио Фабра Гомес рассказал: «Я служил в иностранном легионе в Испанском Марокко, В марте капитан собрал роту и сказал, что он получил приказ выделить 15 человек в «Голубую дивизию». Так как добровольцев не оказалось, он предложил устроить жеребьёвку. В число пятнадцати попал и я. Рассказы старых солдат вызвали у нас уныние. Попав на фронт, мы испытали много больше того, что нам рассказывали. Тяжёлые бои с русскими измотали нас. Госпиталь дивизии переполнен больными и ранеными. Они валяются на полу на грязных соломенных мешках, все завшивели. Питание отвратительное. Немцы как-то узнали, что среди пополнения много недовольных, и поэтому не доверяют испанцам. Тех немногих солдат, которые действительно приехали добровольно, в дивизии называют «самоубийцами». Над ними открыто смеются и издеваются».</w:t>
      </w:r>
    </w:p>
    <w:p w14:paraId="56360F0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Польские патриоты недалеко от г. Лодзь обстреляли огнём из пулемёта транспортный самолёт оккупантов. Самолёт загорелся и упал на землю.» (14927).</w:t>
      </w:r>
    </w:p>
    <w:p w14:paraId="72EB0E4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E9097D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на 19 июня 1942 набег на Ялту совершили «Д-3» и «СМ-3»Торпедные катера под командованием лейтенантов Чепика и Гурина под командованием командира отряда старшего лейтенанта Кочнева, находившегося на первом катере совершили набег на вражеский порт (Ялту), где предположительно стояли корабли, подводные лодки, торпедные катера и плавсредства противника. Головной катер лейтенанта Чепика в 4 часа 05 мин. с дистанции 2-2</w:t>
      </w:r>
      <w:r w:rsidRPr="008127F8">
        <w:rPr>
          <w:rFonts w:ascii="Times New Roman" w:hAnsi="Times New Roman"/>
          <w:color w:val="000000" w:themeColor="text1"/>
          <w:sz w:val="16"/>
          <w:szCs w:val="16"/>
          <w:vertAlign w:val="superscript"/>
        </w:rPr>
        <w:t>1</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vertAlign w:val="subscript"/>
        </w:rPr>
        <w:t>2</w:t>
      </w:r>
      <w:r w:rsidRPr="008127F8">
        <w:rPr>
          <w:rFonts w:ascii="Times New Roman" w:hAnsi="Times New Roman"/>
          <w:color w:val="000000" w:themeColor="text1"/>
          <w:sz w:val="16"/>
          <w:szCs w:val="16"/>
        </w:rPr>
        <w:t xml:space="preserve"> каб произвел залп одной торпедой по бонам, а второй в направлении кораблей и правсредств врага. Второй катер в 4 часа 06 мин. с той же дистанции произвел двухторпедный залп в направлении предполагаемого места стоянки подводной лодки и торпедных катеров противника. А затем оба катера на курсе отхода еще дали залп и из реактивных установок. Трудно оценить моральный эффект, который произвело на гитлеровцев появление нового оружия. Можно смело сказать, что в эту ночь впервые в истории были </w:t>
      </w:r>
      <w:r w:rsidRPr="008127F8">
        <w:rPr>
          <w:rFonts w:ascii="Times New Roman" w:hAnsi="Times New Roman"/>
          <w:color w:val="000000" w:themeColor="text1"/>
          <w:sz w:val="16"/>
          <w:szCs w:val="16"/>
        </w:rPr>
        <w:lastRenderedPageBreak/>
        <w:t>применены РС для подавления береговых батарей противника. Командовал отрядом К.Г.Кочнев, катерами - О.М.Чепик и Д.С.Карымов. Вместе с ними в атаке участвовал представитель штаба флота Г.Д.Дьяченко (15985).</w:t>
      </w:r>
    </w:p>
    <w:p w14:paraId="4C1E9E60"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hAnsi="Times New Roman"/>
          <w:color w:val="000000" w:themeColor="text1"/>
          <w:sz w:val="16"/>
          <w:szCs w:val="16"/>
        </w:rPr>
        <w:t xml:space="preserve">1 августа 1942 под прикрытием дымовой завесы атаковали стоявшие на якорях в Двуякорной бухте (под Феодосией) три БДБ противника. И снова были применены и торпеды, и РС. И в последующих набегах ТКА на Ялту применение РС обеспечивало им успех торпедных атак </w:t>
      </w:r>
      <w:r w:rsidRPr="008127F8">
        <w:rPr>
          <w:rFonts w:ascii="Times New Roman" w:eastAsia="Times New Roman" w:hAnsi="Times New Roman"/>
          <w:color w:val="000000" w:themeColor="text1"/>
          <w:sz w:val="16"/>
          <w:szCs w:val="16"/>
        </w:rPr>
        <w:t>(15985).</w:t>
      </w:r>
    </w:p>
    <w:p w14:paraId="4DAE9F5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F23BD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21, 24 и 26 июня 1942 соединения АДД нанесли удары по Кенигсбергу (3186).</w:t>
      </w:r>
    </w:p>
    <w:p w14:paraId="593BCC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20480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июня 1942 на Украине погиб в авиакатастрофе немецкий фельдмаршал фон Бок (4962).</w:t>
      </w:r>
    </w:p>
    <w:p w14:paraId="7F78EB7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EF39A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июня 1942 вышло Постановление ГКО № 1915 О т.т. Серюкове А.РГАНИР, Фонд ГКО, д. , Уранове В.И., Карпенкове. РГАНИР, Фонд ГКО, д. А., Абрамове И.П., Халезове А.Е., Бойко В.Р., Шашкове Г.К., Яшечкине Ф.В. РГАНИР, Фонд ГКО, д. 40, лл. 20 (11012).</w:t>
      </w:r>
    </w:p>
    <w:p w14:paraId="6082D53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3B79C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июня 1942 вышло Постановление ГКО № 1916 О т.т. Шевченко И.П., Абаулине И.Ф., Рассадине А.Н., Панкове С.И., Малове М.Я., Крайнове П.И., Колупаеве И.Е., Туманян Г.Л. РГАНИР, Фонд ГКО, д. 40, лл. 21 (11012).</w:t>
      </w:r>
    </w:p>
    <w:p w14:paraId="02BA86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6CED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июня 1942 вышло Постановление ГКО № 1917 О т.т. Воронине Ф.Н., Колесниченко И.С., Лебедеве В.М., Кривулине А.М. и Гензике М.К. РГАНИР, Фонд ГКО, д. 40, лл. 22 (11012).</w:t>
      </w:r>
    </w:p>
    <w:p w14:paraId="0DF9EEF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524B6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 xml:space="preserve">19 июня </w:t>
      </w:r>
      <w:r w:rsidRPr="008127F8">
        <w:rPr>
          <w:rFonts w:ascii="Times New Roman" w:hAnsi="Times New Roman"/>
          <w:color w:val="000000" w:themeColor="text1"/>
          <w:sz w:val="16"/>
          <w:szCs w:val="16"/>
        </w:rPr>
        <w:t>в 1942 году на Украине погиб в авиакатастрофе немецкий фельдмаршал фон Бок (14927).</w:t>
      </w:r>
    </w:p>
    <w:p w14:paraId="1824ADE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23042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20804C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F83F8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июня 1942 года — первый полёт среднего бомбардировщика</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Saab 18. /Швеция/</w:t>
      </w:r>
    </w:p>
    <w:p w14:paraId="72AA19A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1938 году ВВС Швеции объявили</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конкурс на создание бомбардировщика для замены Junkers Ju 86. Свои проекты представили компании ASJA, SAAB и AB Götaverken. Конкурсная комиссия выбрала бомбардировщик от SAAB и заключила контракт на его разработку.</w:t>
      </w:r>
    </w:p>
    <w:p w14:paraId="02A7D09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Saab 18 представлял собой среднеплан с убирающимся шасси и двухкилевым хвостовым оперением. Экипаж состоял из 3 человек — пилота, штурмана-стрелка и бомбардира. Два двигателя</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Pratt &amp; Whitney R-1830 Twin Wasp</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позволяли развить скорость до</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465</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км/ч. Вооружение состояло из</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2 × 13,2-мм пулемётов</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 × 7,9-мм пулемёт</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до</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1400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бомбовой нагрузки.</w:t>
      </w:r>
    </w:p>
    <w:p w14:paraId="7AFA53D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Начало Второй мировой войны замедлило проект и на вооружение шведских ВВС самолёт поступил лишь в 1944 году. Всего было выпущено 245 единиц Saab 18 разных модификаций (бомбардировщик, разведчик, штурмовик). Один самолёт сохранился и находится в Музее ВВС Швеции (22300).</w:t>
      </w:r>
    </w:p>
    <w:p w14:paraId="706EA21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F4E28F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 xml:space="preserve">19 июня </w:t>
      </w:r>
      <w:r w:rsidRPr="008127F8">
        <w:rPr>
          <w:rFonts w:ascii="Times New Roman" w:hAnsi="Times New Roman"/>
          <w:color w:val="000000" w:themeColor="text1"/>
          <w:sz w:val="16"/>
          <w:szCs w:val="16"/>
        </w:rPr>
        <w:t>в 1942 году немецким ученым приказано форсировать работы по созданию крылатых ракет «ФАУ» (14927).</w:t>
      </w:r>
    </w:p>
    <w:p w14:paraId="54879F3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1F4065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июня 1942 года Люфтваффе включило совместный проект ракеты Argus-Fieseler в свою программу разработки ракетного оружия «Вулкан». Р-35 был переименован в Fieseler Fi-103, а в документах Люфтваффе крылатую ракету стали именовать Kirschkern — «Вишневая косточка». К реализации проекта подключились фирма Askania — отвечала за систему управления, и фирма Rheinmetall-Borsig — создавала наземную пусковую установку (22878).</w:t>
      </w:r>
    </w:p>
    <w:p w14:paraId="39A490D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E03BDC7"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июня 1942 г. шеф Люфтваффе Мильх включил совместный проект «Argus-Fieseler» в  программу Люфтваффе «Вулкан» (разработка ракетного оружия). Более того, Мильх присвоил этому проекту высший приоритет, чтобы обеспечить быструю постройку нужного количества экспериментальных образцов (прототипов), их испытания, а затем развертывание серийного производства. К реализации проекта министерство привлекло фирмы «Askania» (система управления) и  «Rheinmetall-Borsig» (наземная пусковая установка). Доводку крылатой ракеты Мильх поручил экспериментальному центру ВВС в маленьком городе Карлсхаген (Karlshagen) на острове Узедом, рядом с  полигоном Люфтваффе «Пенемюнде Запад» (23372).</w:t>
      </w:r>
    </w:p>
    <w:p w14:paraId="7094737A" w14:textId="77777777" w:rsidR="009D1933" w:rsidRPr="008A2E5A" w:rsidRDefault="009D1933" w:rsidP="009D1933">
      <w:pPr>
        <w:spacing w:after="0" w:line="240" w:lineRule="auto"/>
        <w:jc w:val="both"/>
        <w:rPr>
          <w:rFonts w:ascii="Times New Roman" w:hAnsi="Times New Roman"/>
          <w:color w:val="0070C0"/>
          <w:sz w:val="16"/>
          <w:szCs w:val="16"/>
        </w:rPr>
      </w:pPr>
    </w:p>
    <w:p w14:paraId="7954B84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 xml:space="preserve">19 июня </w:t>
      </w:r>
      <w:r w:rsidRPr="008127F8">
        <w:rPr>
          <w:rFonts w:ascii="Times New Roman" w:hAnsi="Times New Roman"/>
          <w:color w:val="000000" w:themeColor="text1"/>
          <w:sz w:val="16"/>
          <w:szCs w:val="16"/>
        </w:rPr>
        <w:t xml:space="preserve">в 1942 году поднялся в воздух спроектированный в конце 1930-х годов, опытный экземпляр шведского пикирующего бомбардировщика </w:t>
      </w:r>
      <w:hyperlink r:id="rId79" w:tgtFrame="_blank" w:history="1">
        <w:r w:rsidRPr="008127F8">
          <w:rPr>
            <w:rFonts w:ascii="Times New Roman" w:hAnsi="Times New Roman"/>
            <w:color w:val="000000" w:themeColor="text1"/>
            <w:sz w:val="16"/>
            <w:szCs w:val="16"/>
          </w:rPr>
          <w:t xml:space="preserve">«SAAB 18». </w:t>
        </w:r>
      </w:hyperlink>
      <w:r w:rsidRPr="008127F8">
        <w:rPr>
          <w:rFonts w:ascii="Times New Roman" w:hAnsi="Times New Roman"/>
          <w:color w:val="000000" w:themeColor="text1"/>
          <w:sz w:val="16"/>
          <w:szCs w:val="16"/>
        </w:rPr>
        <w:t>Он представлял собой свободнонесущий среднеплан металлической конструкции с убирающимся шасси с хвостовым колесом и двухкилевым вертикальным оперением. На машине были установлены два звездообразных двигателя шведского производства «Pratt &amp; Whitney» «R-1830» «Twin Wasp» мощностью 1065 л.с., расположенные в установленных в крыле гондолах. Экипаж состоял из пилота, штурмана-стрелка и оператора бомбометания. Первые испытания опытных самолетов выявили, что «SAAB» «18А» имеет недостаточную тяговооруженность, но тем не менее он был заказан в серийное производство как бомбардировщик «В 18А» и аэрофоторазведчик «S 18А» (14927).</w:t>
      </w:r>
    </w:p>
    <w:p w14:paraId="422F776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203A592" w14:textId="77777777" w:rsidR="007C5583" w:rsidRPr="008127F8" w:rsidRDefault="007C5583" w:rsidP="007C5583">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19 июня 1942 г. в Германии началась полномасштабная разработка «летающей бомбы» с ПуВРД. В качестве головного разработчика привлекли фирму «Физилер», хорошо известную связным самолётом «Шторх» с великолепными взлетно-посадочными возможностями, и уже накопившуцю некоторый опыт создания беспилотных летательных аппаратов- мишеней. Главным конструктором стал Роберт Люссер. Для сокрытия истинного назна</w:t>
      </w:r>
      <w:r w:rsidRPr="008127F8">
        <w:rPr>
          <w:rFonts w:ascii="Times New Roman" w:cs="Times New Roman"/>
          <w:color w:val="000000" w:themeColor="text1"/>
          <w:spacing w:val="0"/>
          <w:sz w:val="16"/>
          <w:szCs w:val="16"/>
        </w:rPr>
        <w:softHyphen/>
        <w:t xml:space="preserve">чения аппарат именовался </w:t>
      </w:r>
      <w:r w:rsidRPr="008127F8">
        <w:rPr>
          <w:rFonts w:ascii="Times New Roman" w:cs="Times New Roman"/>
          <w:color w:val="000000" w:themeColor="text1"/>
          <w:spacing w:val="0"/>
          <w:sz w:val="16"/>
          <w:szCs w:val="16"/>
          <w:lang w:val="en-US"/>
        </w:rPr>
        <w:t>Flakzielgerat</w:t>
      </w:r>
      <w:r w:rsidRPr="008127F8">
        <w:rPr>
          <w:rFonts w:ascii="Times New Roman" w:cs="Times New Roman"/>
          <w:color w:val="000000" w:themeColor="text1"/>
          <w:spacing w:val="0"/>
          <w:sz w:val="16"/>
          <w:szCs w:val="16"/>
        </w:rPr>
        <w:t xml:space="preserve"> (мишень для зенитной артиллерии) </w:t>
      </w:r>
      <w:r w:rsidRPr="008127F8">
        <w:rPr>
          <w:rFonts w:ascii="Times New Roman" w:cs="Times New Roman"/>
          <w:color w:val="000000" w:themeColor="text1"/>
          <w:spacing w:val="0"/>
          <w:sz w:val="16"/>
          <w:szCs w:val="16"/>
          <w:lang w:val="en-US"/>
        </w:rPr>
        <w:t>FZG</w:t>
      </w:r>
      <w:r w:rsidRPr="008127F8">
        <w:rPr>
          <w:rFonts w:ascii="Times New Roman" w:cs="Times New Roman"/>
          <w:color w:val="000000" w:themeColor="text1"/>
          <w:spacing w:val="0"/>
          <w:sz w:val="16"/>
          <w:szCs w:val="16"/>
        </w:rPr>
        <w:t xml:space="preserve">-76, хотя наряду с этим имело хождение и фирменное наименованием — </w:t>
      </w:r>
      <w:r w:rsidRPr="008127F8">
        <w:rPr>
          <w:rFonts w:ascii="Times New Roman" w:cs="Times New Roman"/>
          <w:color w:val="000000" w:themeColor="text1"/>
          <w:spacing w:val="0"/>
          <w:sz w:val="16"/>
          <w:szCs w:val="16"/>
          <w:lang w:val="en-US"/>
        </w:rPr>
        <w:t>Fi</w:t>
      </w:r>
      <w:r w:rsidRPr="008127F8">
        <w:rPr>
          <w:rFonts w:ascii="Times New Roman" w:cs="Times New Roman"/>
          <w:color w:val="000000" w:themeColor="text1"/>
          <w:spacing w:val="0"/>
          <w:sz w:val="16"/>
          <w:szCs w:val="16"/>
        </w:rPr>
        <w:t>—103.</w:t>
      </w:r>
    </w:p>
    <w:p w14:paraId="50F3AA01" w14:textId="77777777" w:rsidR="007C5583" w:rsidRPr="008127F8" w:rsidRDefault="007C5583" w:rsidP="007C5583">
      <w:pPr>
        <w:pStyle w:val="36"/>
        <w:shd w:val="clear" w:color="auto" w:fill="auto"/>
        <w:spacing w:after="0" w:line="240" w:lineRule="auto"/>
        <w:jc w:val="both"/>
        <w:rPr>
          <w:rFonts w:ascii="Times New Roman" w:cs="Times New Roman"/>
          <w:color w:val="000000" w:themeColor="text1"/>
          <w:spacing w:val="0"/>
          <w:sz w:val="16"/>
          <w:szCs w:val="16"/>
        </w:rPr>
      </w:pPr>
      <w:r w:rsidRPr="008127F8">
        <w:rPr>
          <w:rFonts w:ascii="Times New Roman" w:cs="Times New Roman"/>
          <w:color w:val="000000" w:themeColor="text1"/>
          <w:spacing w:val="0"/>
          <w:sz w:val="16"/>
          <w:szCs w:val="16"/>
        </w:rPr>
        <w:t>Фирма «Сименс» взялась за разработку системы управления на базе автопилота «Аскания», а специализирующийся на перекись-водородных двигательных установках для самолетов, ракет и подводных лодок и жидкостных ракетных «Вальтер» — за создание стартовых катапульт (15790).</w:t>
      </w:r>
    </w:p>
    <w:p w14:paraId="2ECDCBA5" w14:textId="77777777" w:rsidR="007C5583" w:rsidRPr="008127F8" w:rsidRDefault="007C5583" w:rsidP="007C5583">
      <w:pPr>
        <w:pStyle w:val="36"/>
        <w:shd w:val="clear" w:color="auto" w:fill="auto"/>
        <w:spacing w:after="0" w:line="240" w:lineRule="auto"/>
        <w:jc w:val="both"/>
        <w:rPr>
          <w:rFonts w:ascii="Times New Roman" w:cs="Times New Roman"/>
          <w:color w:val="000000" w:themeColor="text1"/>
          <w:spacing w:val="0"/>
          <w:sz w:val="16"/>
          <w:szCs w:val="16"/>
        </w:rPr>
      </w:pPr>
    </w:p>
    <w:p w14:paraId="280A464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июня 1942 немецким ученым приказано форсировать работы по созданию крылатых ракет ФАУ (4962).</w:t>
      </w:r>
    </w:p>
    <w:p w14:paraId="2D3689ED"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56202B"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19 июня</w:t>
      </w:r>
      <w:r>
        <w:rPr>
          <w:color w:val="000000" w:themeColor="text1"/>
          <w:sz w:val="16"/>
          <w:szCs w:val="16"/>
        </w:rPr>
        <w:t xml:space="preserve">  </w:t>
      </w:r>
      <w:r w:rsidRPr="008127F8">
        <w:rPr>
          <w:color w:val="000000" w:themeColor="text1"/>
          <w:sz w:val="16"/>
          <w:szCs w:val="16"/>
        </w:rPr>
        <w:t xml:space="preserve">1942 </w:t>
      </w:r>
      <w:hyperlink r:id="rId80" w:tooltip="Генерал-фельдмаршал" w:history="1">
        <w:r w:rsidRPr="008127F8">
          <w:rPr>
            <w:rStyle w:val="a6"/>
            <w:color w:val="000000" w:themeColor="text1"/>
          </w:rPr>
          <w:t>генерал-фельдмаршал</w:t>
        </w:r>
      </w:hyperlink>
      <w:r>
        <w:rPr>
          <w:color w:val="000000" w:themeColor="text1"/>
          <w:sz w:val="16"/>
          <w:szCs w:val="16"/>
        </w:rPr>
        <w:t xml:space="preserve">  </w:t>
      </w:r>
      <w:hyperlink r:id="rId81" w:tooltip="Эрхард Мильх" w:history="1">
        <w:r w:rsidRPr="008127F8">
          <w:rPr>
            <w:rStyle w:val="a6"/>
            <w:color w:val="000000" w:themeColor="text1"/>
          </w:rPr>
          <w:t>Эрхард Мильх</w:t>
        </w:r>
      </w:hyperlink>
      <w:r>
        <w:rPr>
          <w:color w:val="000000" w:themeColor="text1"/>
          <w:sz w:val="16"/>
          <w:szCs w:val="16"/>
        </w:rPr>
        <w:t xml:space="preserve">  </w:t>
      </w:r>
      <w:r w:rsidRPr="008127F8">
        <w:rPr>
          <w:color w:val="000000" w:themeColor="text1"/>
          <w:sz w:val="16"/>
          <w:szCs w:val="16"/>
        </w:rPr>
        <w:t>дал Fi 103 наивысший приоритет, чтобы начать производство как можно скорее, и программа развития была передана экспериментальному центру Люфтваффе в Карлсхагене.</w:t>
      </w:r>
    </w:p>
    <w:p w14:paraId="231CC7A6"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Во время работ по проектированию, а позже и на испытаниях, возникла необходимость в стабилизации ракеты в полёте, поэтому её оснастили</w:t>
      </w:r>
      <w:r>
        <w:rPr>
          <w:color w:val="000000" w:themeColor="text1"/>
          <w:sz w:val="16"/>
          <w:szCs w:val="16"/>
        </w:rPr>
        <w:t xml:space="preserve">  </w:t>
      </w:r>
      <w:hyperlink r:id="rId82" w:tooltip="Гироскоп" w:history="1">
        <w:r w:rsidRPr="008127F8">
          <w:rPr>
            <w:rStyle w:val="a6"/>
            <w:color w:val="000000" w:themeColor="text1"/>
          </w:rPr>
          <w:t>гироскопом</w:t>
        </w:r>
      </w:hyperlink>
      <w:r>
        <w:rPr>
          <w:color w:val="000000" w:themeColor="text1"/>
          <w:sz w:val="16"/>
          <w:szCs w:val="16"/>
        </w:rPr>
        <w:t xml:space="preserve">  </w:t>
      </w:r>
      <w:r w:rsidRPr="008127F8">
        <w:rPr>
          <w:color w:val="000000" w:themeColor="text1"/>
          <w:sz w:val="16"/>
          <w:szCs w:val="16"/>
        </w:rPr>
        <w:t>и установили</w:t>
      </w:r>
      <w:r>
        <w:rPr>
          <w:color w:val="000000" w:themeColor="text1"/>
          <w:sz w:val="16"/>
          <w:szCs w:val="16"/>
        </w:rPr>
        <w:t xml:space="preserve">  </w:t>
      </w:r>
      <w:hyperlink r:id="rId83" w:tooltip="Стабилизатор (авиация)" w:history="1">
        <w:r w:rsidRPr="008127F8">
          <w:rPr>
            <w:rStyle w:val="a6"/>
            <w:color w:val="000000" w:themeColor="text1"/>
          </w:rPr>
          <w:t>стабилизаторы</w:t>
        </w:r>
      </w:hyperlink>
      <w:r w:rsidRPr="008127F8">
        <w:rPr>
          <w:color w:val="000000" w:themeColor="text1"/>
          <w:sz w:val="16"/>
          <w:szCs w:val="16"/>
        </w:rPr>
        <w:t>. К 30 августа Fieseler завершил первый фюзеляж и первый полет Fi 103 V7 состоялся 10 декабря 1942 года, когда он был сброшен с самолёта</w:t>
      </w:r>
      <w:r>
        <w:rPr>
          <w:color w:val="000000" w:themeColor="text1"/>
          <w:sz w:val="16"/>
          <w:szCs w:val="16"/>
        </w:rPr>
        <w:t xml:space="preserve">  </w:t>
      </w:r>
      <w:hyperlink r:id="rId84" w:tooltip="Fw 200" w:history="1">
        <w:r w:rsidRPr="008127F8">
          <w:rPr>
            <w:rStyle w:val="a6"/>
            <w:color w:val="000000" w:themeColor="text1"/>
          </w:rPr>
          <w:t>Fw 200</w:t>
        </w:r>
      </w:hyperlink>
      <w:hyperlink r:id="rId85" w:anchor="cite_note-_2b8e394fb77d0738-1" w:history="1">
        <w:r w:rsidRPr="008127F8">
          <w:rPr>
            <w:rStyle w:val="a6"/>
            <w:color w:val="000000" w:themeColor="text1"/>
            <w:vertAlign w:val="superscript"/>
          </w:rPr>
          <w:t>[1]</w:t>
        </w:r>
      </w:hyperlink>
      <w:r w:rsidRPr="008127F8">
        <w:rPr>
          <w:color w:val="000000" w:themeColor="text1"/>
          <w:sz w:val="16"/>
          <w:szCs w:val="16"/>
        </w:rPr>
        <w:t xml:space="preserve"> (19631).</w:t>
      </w:r>
    </w:p>
    <w:p w14:paraId="2223DD5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4EFD2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июня 1942 фирма Физелер, имеющая опыт создания беспилотных мишеней, начала разработку V-1 с двигателем AS109-014 c тягой 300 кг под маскировочным обозначением Flakzielgerat FZG-76 или Fi-103 (1087,27). Состоялись переговоры ч фирмой Аргус и машину назвали Kirschkern (1800,2).</w:t>
      </w:r>
    </w:p>
    <w:p w14:paraId="0F7643F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1AE1A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июня 1942 был заключен договор о слиянии американского и англо-канадского проектов разработки атомного оружия (3186).</w:t>
      </w:r>
    </w:p>
    <w:p w14:paraId="6D4FABF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851CF1"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июня 1942 итало-немецкие войска осадили ливийский город Тобрук, занятый союзниками (4963 ).</w:t>
      </w:r>
    </w:p>
    <w:p w14:paraId="21B406E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7A36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 по 25 июня 1942 состоялась вторая Вашингтонская конференция и решили провести десантную операцию в Северной Африке и не открывать второй фронт в 1942 (2438,131).</w:t>
      </w:r>
    </w:p>
    <w:p w14:paraId="757BFBE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7CFF8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4662BF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4AD82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период с 20 по 25 июня 1942 г. установка двух ракетных орудия РО-82 для стрельбы назад по предложению командира 1-й эскадрильи 205-го бап майора Глухова испытывалась на НИП АВ ВВС. РО-82 были смонтированы в хвостовой части фюзеляжа Пе-2 с небольшим углом раствора 5° и с углом возвышения 2,5° (левое орудие) и 3° (правое орудие). Специалисты НИП АВ посчитали такое решение тактически нецелесообразным: рассеивание при стрельбе оказалось велико, а боекомплект в два снаряда признали недостаточным (19775).</w:t>
      </w:r>
    </w:p>
    <w:p w14:paraId="3352825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F5E41D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июня 1942 в 13:25 на аэродроме завода 126 в Дземагах на Амуре 19 июня 1942 потерпел аварию Ил-4 д А.Г.Баймасова совершив посадку на невыпущенных шасси (2131).</w:t>
      </w:r>
    </w:p>
    <w:p w14:paraId="5E104B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1F77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июня 1942 г. Шахурин писал письмо N Н-20/2372 зам. председателя СНК Вознесенскому Н.А.</w:t>
      </w:r>
    </w:p>
    <w:p w14:paraId="7C487C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решения ГКО завод N 240 гл. конструктора Ермолаева передан гл. конструктору С.В.И.</w:t>
      </w:r>
    </w:p>
    <w:p w14:paraId="03D8D2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Ермолаев для выполнения правительственных заданий располагает производственным помещением, но не имеет площади для размещения конструкторского бюро и лабораторий.</w:t>
      </w:r>
    </w:p>
    <w:p w14:paraId="3002390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Наиболее подходящим для этой цели является здание Библиотечного института Наркомпроса РСФСР, находящееся на территории аэродрома и непосредственно прилегающее к производственному помещению Ермолаева.</w:t>
      </w:r>
    </w:p>
    <w:p w14:paraId="60533AE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Вашего решения на передачу наркомату Авиапрома территории и зданий Библиотечного института, площадью - 1200 кв. м.</w:t>
      </w:r>
    </w:p>
    <w:p w14:paraId="74079CF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Размещение Библиотечного института, по заключению Моссовета, может быть произведено на площадях Полиграфического техникума ОГИЗ"а (ул. Кирова дом N 21) (1631,145).</w:t>
      </w:r>
    </w:p>
    <w:p w14:paraId="631C880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9BD45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июня 1942 г. вышел приказ НКАП N 451, в соответствии с которым на самолете ДВБ-102 установили звездообразные двигатели воздушного охлаждения М-71, разработанные в ОКБ А.Д.Швецова. Этот двигатель хотя ранее и устанавливался на истребителях ОКБ Н.Н.Поликарпова и С.А.Лавочкина, был явно "сырым" и требовал доводки. После третьего полета из-за поломки левого двигателя испытания прервали до получения нового М-71. Доводка самолета затянулась... (3337).</w:t>
      </w:r>
    </w:p>
    <w:p w14:paraId="6D2E70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8D065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июня 1942 года вышел приказ НКАП № 451, в соответствии с которым на самолете ДВБ-102 установили звездообразные двигатели воздушного охлаждения М-71, разработан</w:t>
      </w:r>
      <w:r w:rsidRPr="008127F8">
        <w:rPr>
          <w:rFonts w:ascii="Times New Roman" w:hAnsi="Times New Roman"/>
          <w:color w:val="000000" w:themeColor="text1"/>
          <w:sz w:val="16"/>
          <w:szCs w:val="16"/>
        </w:rPr>
        <w:softHyphen/>
        <w:t>ные в ОКБ А.Д. Швецова. Приказом наркома от 12 ян</w:t>
      </w:r>
      <w:r w:rsidRPr="008127F8">
        <w:rPr>
          <w:rFonts w:ascii="Times New Roman" w:hAnsi="Times New Roman"/>
          <w:color w:val="000000" w:themeColor="text1"/>
          <w:sz w:val="16"/>
          <w:szCs w:val="16"/>
        </w:rPr>
        <w:softHyphen/>
        <w:t>варя 1943 года для проведения заводских испытаний назначили ведущим летчиком В.И. Жданова. При этом предписывалось завершить испытания к 1 февраля.</w:t>
      </w:r>
    </w:p>
    <w:p w14:paraId="22387E2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этот срок оказался слишком оптимистичным. Дви</w:t>
      </w:r>
      <w:r w:rsidRPr="008127F8">
        <w:rPr>
          <w:rFonts w:ascii="Times New Roman" w:hAnsi="Times New Roman"/>
          <w:color w:val="000000" w:themeColor="text1"/>
          <w:sz w:val="16"/>
          <w:szCs w:val="16"/>
        </w:rPr>
        <w:softHyphen/>
        <w:t>гатель М-71, хотя и устанавливался на опытных истре</w:t>
      </w:r>
      <w:r w:rsidRPr="008127F8">
        <w:rPr>
          <w:rFonts w:ascii="Times New Roman" w:hAnsi="Times New Roman"/>
          <w:color w:val="000000" w:themeColor="text1"/>
          <w:sz w:val="16"/>
          <w:szCs w:val="16"/>
        </w:rPr>
        <w:softHyphen/>
        <w:t>бителях ОКБ Н.Н. Поликарпова и С.А. Лавочкина, но был явно «сырым» и требовал доводки. После третьего полета из-за поломки левого двигателя испытания прервали до получения нового М-71. Доводка самоле</w:t>
      </w:r>
      <w:r w:rsidRPr="008127F8">
        <w:rPr>
          <w:rFonts w:ascii="Times New Roman" w:hAnsi="Times New Roman"/>
          <w:color w:val="000000" w:themeColor="text1"/>
          <w:sz w:val="16"/>
          <w:szCs w:val="16"/>
        </w:rPr>
        <w:softHyphen/>
        <w:t>та затянулась...(11446).</w:t>
      </w:r>
    </w:p>
    <w:p w14:paraId="6C4BD25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D134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июня 1942 вышел приказ НКАП N 451сс:</w:t>
      </w:r>
    </w:p>
    <w:p w14:paraId="7BD1B4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обеспечения летных испытаний самолета 102 конструкции В.М.М. и внедрения авиамотора МБ-100 на боевые самолеты:</w:t>
      </w:r>
    </w:p>
    <w:p w14:paraId="36FD533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Директору завода 288 Кутепову и ГК В.М.М.:</w:t>
      </w:r>
    </w:p>
    <w:p w14:paraId="2F6D6B8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после проведения сокращенных летных испытаний самолета 102 с М-120 ТК установить на 1-й экз. самолета 102 М-71 и выпустить его на летные испытаний к 15 сентября 1942</w:t>
      </w:r>
    </w:p>
    <w:p w14:paraId="13C2BC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построить второй экз. самолета 102 под два МБ-100 в высотном варианте и выпустить его на ли к 1 марта 1943</w:t>
      </w:r>
    </w:p>
    <w:p w14:paraId="30CC76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ГК Ермолаеву оборудовать один самолет Ер-2 под МБ-100 и выпустить его на летные испытания к 20 сентября с.г. использовав для этого экз. Ер-2 с АМ-37 (1555,3).</w:t>
      </w:r>
    </w:p>
    <w:p w14:paraId="2EDB09E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17A99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20 июня</w:t>
      </w:r>
      <w:r w:rsidRPr="008127F8">
        <w:rPr>
          <w:rFonts w:ascii="Times New Roman" w:hAnsi="Times New Roman"/>
          <w:color w:val="000000" w:themeColor="text1"/>
          <w:sz w:val="16"/>
          <w:szCs w:val="16"/>
        </w:rPr>
        <w:t xml:space="preserve"> в 1942 году в соответствии с приказом НКАП № 451 на самолете </w:t>
      </w:r>
      <w:hyperlink r:id="rId86" w:tgtFrame="_blank" w:history="1">
        <w:r w:rsidRPr="008127F8">
          <w:rPr>
            <w:rFonts w:ascii="Times New Roman" w:hAnsi="Times New Roman"/>
            <w:color w:val="000000" w:themeColor="text1"/>
            <w:sz w:val="16"/>
            <w:szCs w:val="16"/>
          </w:rPr>
          <w:t xml:space="preserve">«ДВБ-102» </w:t>
        </w:r>
      </w:hyperlink>
      <w:r w:rsidRPr="008127F8">
        <w:rPr>
          <w:rFonts w:ascii="Times New Roman" w:hAnsi="Times New Roman"/>
          <w:color w:val="000000" w:themeColor="text1"/>
          <w:sz w:val="16"/>
          <w:szCs w:val="16"/>
        </w:rPr>
        <w:t>установили звездообразные двигатели воздушного охлаждения «М-71», разработанные в ОКБ А.Д.Швецова. Этот двигатель хотя ранее и устанавливался на истребителях ОКБ Н.Н.Поликарпова и С.А.Лавочкина, был явно "сырым" и требовал доводки. После третьего полета из-за поломки левого двигателя испытания прервали до получения нового «М-71» (14928).</w:t>
      </w:r>
    </w:p>
    <w:p w14:paraId="3AD1514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B271730" w14:textId="77777777" w:rsidR="007C5583" w:rsidRPr="008127F8" w:rsidRDefault="007C5583" w:rsidP="007C5583">
      <w:pPr>
        <w:pStyle w:val="a4"/>
        <w:rPr>
          <w:color w:val="000000" w:themeColor="text1"/>
          <w:lang w:val="ru-RU"/>
        </w:rPr>
      </w:pPr>
      <w:r w:rsidRPr="008127F8">
        <w:rPr>
          <w:color w:val="000000" w:themeColor="text1"/>
          <w:lang w:val="ru-RU"/>
        </w:rPr>
        <w:t>20 июня 1942 г. появился приказ по НКАП №451, который обя</w:t>
      </w:r>
      <w:r w:rsidRPr="008127F8">
        <w:rPr>
          <w:color w:val="000000" w:themeColor="text1"/>
          <w:lang w:val="ru-RU"/>
        </w:rPr>
        <w:softHyphen/>
        <w:t>зывал Мясищева переработать проект ДВБ-102 под двухрядные звездообраз</w:t>
      </w:r>
      <w:r w:rsidRPr="008127F8">
        <w:rPr>
          <w:color w:val="000000" w:themeColor="text1"/>
          <w:lang w:val="ru-RU"/>
        </w:rPr>
        <w:softHyphen/>
        <w:t>ные моторы воздушного охлаждения М-71, которые руководитель пермского завода №19 А.Д. Швецов должен был от</w:t>
      </w:r>
      <w:r w:rsidRPr="008127F8">
        <w:rPr>
          <w:color w:val="000000" w:themeColor="text1"/>
          <w:lang w:val="ru-RU"/>
        </w:rPr>
        <w:softHyphen/>
        <w:t>грузить заводу №288 в кратчайший срок. До этого пытались заканчивать ДВБ-102 №2 с моторами МБ-100 или полностью взаи</w:t>
      </w:r>
      <w:r w:rsidRPr="008127F8">
        <w:rPr>
          <w:color w:val="000000" w:themeColor="text1"/>
          <w:lang w:val="ru-RU"/>
        </w:rPr>
        <w:softHyphen/>
        <w:t>мозаменяемыми МБ-102, но сроков по</w:t>
      </w:r>
      <w:r w:rsidRPr="008127F8">
        <w:rPr>
          <w:color w:val="000000" w:themeColor="text1"/>
          <w:lang w:val="ru-RU"/>
        </w:rPr>
        <w:softHyphen/>
        <w:t>ставки Добрынин не называл. К тому времени остаток ресурса второго ком</w:t>
      </w:r>
      <w:r w:rsidRPr="008127F8">
        <w:rPr>
          <w:color w:val="000000" w:themeColor="text1"/>
          <w:lang w:val="ru-RU"/>
        </w:rPr>
        <w:softHyphen/>
        <w:t>плекта М-120 неумолимо таял, а завод №26 новые М-120 уже не обещал. Так ДВБ-102 мог вообще остаться без мото</w:t>
      </w:r>
      <w:r w:rsidRPr="008127F8">
        <w:rPr>
          <w:color w:val="000000" w:themeColor="text1"/>
          <w:lang w:val="ru-RU"/>
        </w:rPr>
        <w:softHyphen/>
        <w:t>ров.</w:t>
      </w:r>
    </w:p>
    <w:p w14:paraId="75B1477A" w14:textId="77777777" w:rsidR="007C5583" w:rsidRPr="008127F8" w:rsidRDefault="007C5583" w:rsidP="007C5583">
      <w:pPr>
        <w:pStyle w:val="a4"/>
        <w:rPr>
          <w:color w:val="000000" w:themeColor="text1"/>
          <w:lang w:val="ru-RU"/>
        </w:rPr>
      </w:pPr>
      <w:r w:rsidRPr="008127F8">
        <w:rPr>
          <w:color w:val="000000" w:themeColor="text1"/>
          <w:lang w:val="ru-RU"/>
        </w:rPr>
        <w:t>Испытания М-71 шли уже более года на штурмовике Су-6 и на истребителе И-185 пока без чрезвычайных происше</w:t>
      </w:r>
      <w:r w:rsidRPr="008127F8">
        <w:rPr>
          <w:color w:val="000000" w:themeColor="text1"/>
          <w:lang w:val="ru-RU"/>
        </w:rPr>
        <w:softHyphen/>
        <w:t>ствий, но лишь потому, что Швецов за</w:t>
      </w:r>
      <w:r w:rsidRPr="008127F8">
        <w:rPr>
          <w:color w:val="000000" w:themeColor="text1"/>
          <w:lang w:val="ru-RU"/>
        </w:rPr>
        <w:softHyphen/>
        <w:t>претил использовать максимальный над</w:t>
      </w:r>
      <w:r w:rsidRPr="008127F8">
        <w:rPr>
          <w:color w:val="000000" w:themeColor="text1"/>
          <w:lang w:val="ru-RU"/>
        </w:rPr>
        <w:softHyphen/>
        <w:t>дув (вторую скорость ПЦН), срезав сразу 15% мощности. Пройти же нормально длительные (ресурсные) стендовые ис</w:t>
      </w:r>
      <w:r w:rsidRPr="008127F8">
        <w:rPr>
          <w:color w:val="000000" w:themeColor="text1"/>
          <w:lang w:val="ru-RU"/>
        </w:rPr>
        <w:softHyphen/>
        <w:t>пытания никак не удавалось, хотя кон</w:t>
      </w:r>
      <w:r w:rsidRPr="008127F8">
        <w:rPr>
          <w:color w:val="000000" w:themeColor="text1"/>
          <w:lang w:val="ru-RU"/>
        </w:rPr>
        <w:softHyphen/>
        <w:t>структоры постоянно усиливали ломаю</w:t>
      </w:r>
      <w:r w:rsidRPr="008127F8">
        <w:rPr>
          <w:color w:val="000000" w:themeColor="text1"/>
          <w:lang w:val="ru-RU"/>
        </w:rPr>
        <w:softHyphen/>
        <w:t>щиеся детали, из-за чего масса мотора постепенно выросла на 13%. Решения о запуске М-71 в серию одно за другим вы</w:t>
      </w:r>
      <w:r w:rsidRPr="008127F8">
        <w:rPr>
          <w:color w:val="000000" w:themeColor="text1"/>
          <w:lang w:val="ru-RU"/>
        </w:rPr>
        <w:softHyphen/>
        <w:t>давались «авансом», а потом отменялись после очередной поломки. Но М-71 на фоне того же МБ-100 выглядел еще не</w:t>
      </w:r>
      <w:r w:rsidRPr="008127F8">
        <w:rPr>
          <w:color w:val="000000" w:themeColor="text1"/>
          <w:lang w:val="ru-RU"/>
        </w:rPr>
        <w:softHyphen/>
        <w:t>плохо, его доводка как-то продолжалась, и Швецов заверял всех, что справится.</w:t>
      </w:r>
    </w:p>
    <w:p w14:paraId="2D10189F" w14:textId="77777777" w:rsidR="007C5583" w:rsidRPr="008127F8" w:rsidRDefault="007C5583" w:rsidP="007C5583">
      <w:pPr>
        <w:pStyle w:val="a4"/>
        <w:rPr>
          <w:color w:val="000000" w:themeColor="text1"/>
          <w:lang w:val="ru-RU"/>
        </w:rPr>
      </w:pPr>
      <w:r w:rsidRPr="008127F8">
        <w:rPr>
          <w:color w:val="000000" w:themeColor="text1"/>
          <w:lang w:val="ru-RU"/>
        </w:rPr>
        <w:t xml:space="preserve">Мотор воздушного охлаждения М-71 уступал МБ-100 в мощности: 2000 л.с. против 2200 на взлете, 1750 вместо 2200 на </w:t>
      </w:r>
      <w:r w:rsidRPr="008127F8">
        <w:rPr>
          <w:color w:val="000000" w:themeColor="text1"/>
        </w:rPr>
        <w:t>I</w:t>
      </w:r>
      <w:r w:rsidRPr="008127F8">
        <w:rPr>
          <w:color w:val="000000" w:themeColor="text1"/>
          <w:lang w:val="ru-RU"/>
        </w:rPr>
        <w:t xml:space="preserve"> границе высотности 2000 м и 1560 против 2100 на </w:t>
      </w:r>
      <w:r w:rsidRPr="008127F8">
        <w:rPr>
          <w:color w:val="000000" w:themeColor="text1"/>
        </w:rPr>
        <w:t>II</w:t>
      </w:r>
      <w:r w:rsidRPr="008127F8">
        <w:rPr>
          <w:color w:val="000000" w:themeColor="text1"/>
          <w:lang w:val="ru-RU"/>
        </w:rPr>
        <w:t xml:space="preserve"> границе - она у Шве</w:t>
      </w:r>
      <w:r w:rsidRPr="008127F8">
        <w:rPr>
          <w:color w:val="000000" w:themeColor="text1"/>
          <w:lang w:val="ru-RU"/>
        </w:rPr>
        <w:softHyphen/>
        <w:t>цова была выше, 5600 м против 4000 м, и он ее обещал поднять, установив тур</w:t>
      </w:r>
      <w:r w:rsidRPr="008127F8">
        <w:rPr>
          <w:color w:val="000000" w:themeColor="text1"/>
          <w:lang w:val="ru-RU"/>
        </w:rPr>
        <w:softHyphen/>
        <w:t>бокомпрессор. Зато «Х-образное чудо» Добротворского было крупнее (мидель больше на 7%, да плюс еще и водоради- аторы) и на 28% тяжелее. Да и округлая мотогондола М-71 лучше обтекалась, чем овальная у МБ-100 и была привычнее по конструкции.</w:t>
      </w:r>
    </w:p>
    <w:p w14:paraId="5D8D44A1" w14:textId="77777777" w:rsidR="007C5583" w:rsidRPr="008127F8" w:rsidRDefault="007C5583" w:rsidP="007C5583">
      <w:pPr>
        <w:pStyle w:val="a4"/>
        <w:rPr>
          <w:color w:val="000000" w:themeColor="text1"/>
          <w:lang w:val="ru-RU"/>
        </w:rPr>
      </w:pPr>
      <w:r w:rsidRPr="008127F8">
        <w:rPr>
          <w:color w:val="000000" w:themeColor="text1"/>
          <w:lang w:val="ru-RU"/>
        </w:rPr>
        <w:t>Проектирование новой винтомотор</w:t>
      </w:r>
      <w:r w:rsidRPr="008127F8">
        <w:rPr>
          <w:color w:val="000000" w:themeColor="text1"/>
          <w:lang w:val="ru-RU"/>
        </w:rPr>
        <w:softHyphen/>
        <w:t>ной группы с М-71 началось летом 1942 г., также предстояло изменить конструкцию средних частей крыла, убрав оттуда водо- радиаторы с портящими его чистоту вход</w:t>
      </w:r>
      <w:r w:rsidRPr="008127F8">
        <w:rPr>
          <w:color w:val="000000" w:themeColor="text1"/>
          <w:lang w:val="ru-RU"/>
        </w:rPr>
        <w:softHyphen/>
        <w:t>ными тоннелями в передней кромке и вы</w:t>
      </w:r>
      <w:r w:rsidRPr="008127F8">
        <w:rPr>
          <w:color w:val="000000" w:themeColor="text1"/>
          <w:lang w:val="ru-RU"/>
        </w:rPr>
        <w:softHyphen/>
        <w:t>ходными жалюзи на верхней поверхности. К новым моторам были сделаны и новые четырехлопастные воздушные винты (17739).</w:t>
      </w:r>
    </w:p>
    <w:p w14:paraId="0F8ECF86"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lang w:eastAsia="ru-RU"/>
        </w:rPr>
      </w:pPr>
    </w:p>
    <w:p w14:paraId="74BC04E5"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июня 1942 г. приказ НКАП №451сс от поручал Ермолаеву достроить один Ер-2 для испытаний моторов МБ-100 для самолета Пе-8. Чтобы снять всю их мощность, надо было поставить винты большого диаметра, и для этого сделали полностью новое крыло с увеличенным центропланом и измененным технологическим членением. Изменившуюся центровку и плохую аэродинамику «лобастых» МБ-100 компенсировали увеличенным оперением. Самолет был закончен заводом №134, и 28 августа 1942 года начались его летные испытания. Моторы работали удовлетворительно в пределах ресурса 50 ч, военные соглашались принять их на снабжение АДД при условии замены воздушных винтов. Ер-2 2МБ-100 с нормальным весом развивал 475 км/ч, и Ермолаев предложил запустить его в серию. Но расход топлива возрос, дальность с нормальной заправкой не превышала 1700 км, и самолет так и остался летающей лабораторией (22871).</w:t>
      </w:r>
    </w:p>
    <w:p w14:paraId="6C14AE63"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70730D1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июня 1942 г. Николай Николаевич дал указания в Новосибирск о переработке конструкции, чертежей и макета самолета НБ (Т) и вскоре сам выехал на завод. К сентяб</w:t>
      </w:r>
      <w:r w:rsidRPr="008127F8">
        <w:rPr>
          <w:rFonts w:ascii="Times New Roman" w:hAnsi="Times New Roman"/>
          <w:color w:val="000000" w:themeColor="text1"/>
          <w:sz w:val="16"/>
          <w:szCs w:val="16"/>
        </w:rPr>
        <w:softHyphen/>
        <w:t>рю удалось закончить новый вариант эскизного проек</w:t>
      </w:r>
      <w:r w:rsidRPr="008127F8">
        <w:rPr>
          <w:rFonts w:ascii="Times New Roman" w:hAnsi="Times New Roman"/>
          <w:color w:val="000000" w:themeColor="text1"/>
          <w:sz w:val="16"/>
          <w:szCs w:val="16"/>
        </w:rPr>
        <w:softHyphen/>
        <w:t>та. Самолет отличался фюзеляжем увеличенной длины, большим запасом топлива, расширенной кабиной, поз</w:t>
      </w:r>
      <w:r w:rsidRPr="008127F8">
        <w:rPr>
          <w:rFonts w:ascii="Times New Roman" w:hAnsi="Times New Roman"/>
          <w:color w:val="000000" w:themeColor="text1"/>
          <w:sz w:val="16"/>
          <w:szCs w:val="16"/>
        </w:rPr>
        <w:softHyphen/>
        <w:t>волявшей разместить двух летчиков рядом. Неподвиж</w:t>
      </w:r>
      <w:r w:rsidRPr="008127F8">
        <w:rPr>
          <w:rFonts w:ascii="Times New Roman" w:hAnsi="Times New Roman"/>
          <w:color w:val="000000" w:themeColor="text1"/>
          <w:sz w:val="16"/>
          <w:szCs w:val="16"/>
        </w:rPr>
        <w:softHyphen/>
        <w:t>ные пулеметы УБ в носовой части фюзеляжа заменили на один подвижный на турели. Кабину штурмана сдела</w:t>
      </w:r>
      <w:r w:rsidRPr="008127F8">
        <w:rPr>
          <w:rFonts w:ascii="Times New Roman" w:hAnsi="Times New Roman"/>
          <w:color w:val="000000" w:themeColor="text1"/>
          <w:sz w:val="16"/>
          <w:szCs w:val="16"/>
        </w:rPr>
        <w:softHyphen/>
        <w:t>ли с большими панелями остекления, чем обеспечивал</w:t>
      </w:r>
      <w:r w:rsidRPr="008127F8">
        <w:rPr>
          <w:rFonts w:ascii="Times New Roman" w:hAnsi="Times New Roman"/>
          <w:color w:val="000000" w:themeColor="text1"/>
          <w:sz w:val="16"/>
          <w:szCs w:val="16"/>
        </w:rPr>
        <w:softHyphen/>
        <w:t>ся хороший обзор. От двигателей М-90 Николай Николаевич решил отказаться и использовать М-71 и М-82, их взаимозаменяемость достигалась простой сме</w:t>
      </w:r>
      <w:r w:rsidRPr="008127F8">
        <w:rPr>
          <w:rFonts w:ascii="Times New Roman" w:hAnsi="Times New Roman"/>
          <w:color w:val="000000" w:themeColor="text1"/>
          <w:sz w:val="16"/>
          <w:szCs w:val="16"/>
        </w:rPr>
        <w:softHyphen/>
        <w:t>ной моторных рам с капотами. Конструкцию несколько усилили, по требованию ВВС установили автопилот, си</w:t>
      </w:r>
      <w:r w:rsidRPr="008127F8">
        <w:rPr>
          <w:rFonts w:ascii="Times New Roman" w:hAnsi="Times New Roman"/>
          <w:color w:val="000000" w:themeColor="text1"/>
          <w:sz w:val="16"/>
          <w:szCs w:val="16"/>
        </w:rPr>
        <w:softHyphen/>
        <w:t>стему подогрева питания для экипажа и др. (10667).</w:t>
      </w:r>
    </w:p>
    <w:p w14:paraId="08C91D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6555F9"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июня 1942 года Н.Н.П. принял трудное решение переделывать проект НБ в ДБ, но новый вариант не стал окон</w:t>
      </w:r>
      <w:r w:rsidRPr="008A2E5A">
        <w:rPr>
          <w:rFonts w:ascii="Times New Roman" w:hAnsi="Times New Roman"/>
          <w:color w:val="0070C0"/>
          <w:sz w:val="16"/>
          <w:szCs w:val="16"/>
        </w:rPr>
        <w:softHyphen/>
        <w:t>чательным — от Поликарпова потребовали пересчитать его под дизели М-30. Однако их выпуск не предусмат</w:t>
      </w:r>
      <w:r w:rsidRPr="008A2E5A">
        <w:rPr>
          <w:rFonts w:ascii="Times New Roman" w:hAnsi="Times New Roman"/>
          <w:color w:val="0070C0"/>
          <w:sz w:val="16"/>
          <w:szCs w:val="16"/>
        </w:rPr>
        <w:softHyphen/>
        <w:t>ривал план НКАП на 1943 год, и пришлось вер</w:t>
      </w:r>
      <w:r w:rsidRPr="008A2E5A">
        <w:rPr>
          <w:rFonts w:ascii="Times New Roman" w:hAnsi="Times New Roman"/>
          <w:color w:val="0070C0"/>
          <w:sz w:val="16"/>
          <w:szCs w:val="16"/>
        </w:rPr>
        <w:softHyphen/>
        <w:t>нуться к бензиновым моторам М-82 или М-71 с худшими расходами топлива и высотностью. Лишь четвертая компоновка устроила Заказ</w:t>
      </w:r>
      <w:r w:rsidRPr="008A2E5A">
        <w:rPr>
          <w:rFonts w:ascii="Times New Roman" w:hAnsi="Times New Roman"/>
          <w:color w:val="0070C0"/>
          <w:sz w:val="16"/>
          <w:szCs w:val="16"/>
        </w:rPr>
        <w:softHyphen/>
        <w:t>чика: ее утвердили 8 сентября, строящийся самолет пришлось капитально дорабатывать, но в конце осени 1943 года «ночной бомбовоз» все же вывели на аэродром (24139).</w:t>
      </w:r>
    </w:p>
    <w:p w14:paraId="4FA00E84" w14:textId="77777777" w:rsidR="009D1933" w:rsidRPr="008A2E5A" w:rsidRDefault="009D1933" w:rsidP="009D1933">
      <w:pPr>
        <w:spacing w:after="0" w:line="240" w:lineRule="auto"/>
        <w:jc w:val="both"/>
        <w:rPr>
          <w:rFonts w:ascii="Times New Roman" w:hAnsi="Times New Roman"/>
          <w:color w:val="0070C0"/>
          <w:sz w:val="16"/>
          <w:szCs w:val="16"/>
        </w:rPr>
      </w:pPr>
    </w:p>
    <w:p w14:paraId="2689B045"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20 июня 1942 г. Постановлением ГКО завод № 153 обязывался к 5 сентя</w:t>
      </w:r>
      <w:r w:rsidRPr="008127F8">
        <w:rPr>
          <w:color w:val="000000" w:themeColor="text1"/>
          <w:sz w:val="16"/>
          <w:szCs w:val="16"/>
        </w:rPr>
        <w:softHyphen/>
        <w:t>бря изготовить 20 самолетов Як-7-37.</w:t>
      </w:r>
    </w:p>
    <w:p w14:paraId="0B3C1CA3"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На Як-7-37 войсковой серии сняли автомати</w:t>
      </w:r>
      <w:r w:rsidRPr="008127F8">
        <w:rPr>
          <w:color w:val="000000" w:themeColor="text1"/>
          <w:sz w:val="16"/>
          <w:szCs w:val="16"/>
        </w:rPr>
        <w:softHyphen/>
        <w:t>ческие предкрылки для упрощения производства и экономии веса самолета, немного улучшили мест</w:t>
      </w:r>
      <w:r w:rsidRPr="008127F8">
        <w:rPr>
          <w:color w:val="000000" w:themeColor="text1"/>
          <w:sz w:val="16"/>
          <w:szCs w:val="16"/>
        </w:rPr>
        <w:softHyphen/>
        <w:t>ную аэродинамику, установили форсированный мо</w:t>
      </w:r>
      <w:r w:rsidRPr="008127F8">
        <w:rPr>
          <w:color w:val="000000" w:themeColor="text1"/>
          <w:sz w:val="16"/>
          <w:szCs w:val="16"/>
        </w:rPr>
        <w:softHyphen/>
        <w:t>тор М-105ПФ, бомбодержатели и новый обтекатель радиатора с расширяющимся входом. Летные дан</w:t>
      </w:r>
      <w:r w:rsidRPr="008127F8">
        <w:rPr>
          <w:color w:val="000000" w:themeColor="text1"/>
          <w:sz w:val="16"/>
          <w:szCs w:val="16"/>
        </w:rPr>
        <w:softHyphen/>
        <w:t>ные и характеристики вертикального маневра воз</w:t>
      </w:r>
      <w:r w:rsidRPr="008127F8">
        <w:rPr>
          <w:color w:val="000000" w:themeColor="text1"/>
          <w:sz w:val="16"/>
          <w:szCs w:val="16"/>
        </w:rPr>
        <w:softHyphen/>
        <w:t>росли, практически сравнявшись с Як-7б, но ухуд</w:t>
      </w:r>
      <w:r w:rsidRPr="008127F8">
        <w:rPr>
          <w:color w:val="000000" w:themeColor="text1"/>
          <w:sz w:val="16"/>
          <w:szCs w:val="16"/>
        </w:rPr>
        <w:softHyphen/>
        <w:t>шилась устойчивость самолета при больших углах атаки. Всего было построено 22 самолета Як-7-37.</w:t>
      </w:r>
    </w:p>
    <w:p w14:paraId="1C235D54"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Известно, что А. С. Яковлев предложил увели</w:t>
      </w:r>
      <w:r w:rsidRPr="008127F8">
        <w:rPr>
          <w:color w:val="000000" w:themeColor="text1"/>
          <w:sz w:val="16"/>
          <w:szCs w:val="16"/>
        </w:rPr>
        <w:softHyphen/>
        <w:t>чить объемы выпуска Як-7-37 до 60 самолетов для вооружения ими полностью двух истребительных авиаполков. Но командование ВВС решило повре</w:t>
      </w:r>
      <w:r w:rsidRPr="008127F8">
        <w:rPr>
          <w:color w:val="000000" w:themeColor="text1"/>
          <w:sz w:val="16"/>
          <w:szCs w:val="16"/>
        </w:rPr>
        <w:softHyphen/>
        <w:t>менить и дождаться итогов войсковых испытаний (17500).</w:t>
      </w:r>
    </w:p>
    <w:p w14:paraId="13C01744"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lang w:eastAsia="ru-RU"/>
        </w:rPr>
      </w:pPr>
    </w:p>
    <w:p w14:paraId="2F78414A"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июня 1942 вышел приказ НКАП.06.42 г установить двигатели М-71 (надув – ПЦН) с 4-лопастными винтами, т.к. двигатели М-120ТК были сняты с плана серийного производства (довести их не удалось) и появился ДВБ-102 2М-71 (ДВБ, «102», М-2, без б/№) 1-й опытный доработанный, дальний высотный бомбардировщик, было принято решение.</w:t>
      </w:r>
    </w:p>
    <w:p w14:paraId="336D8D46"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связи с заменой двигателей были выполнены работы:</w:t>
      </w:r>
    </w:p>
    <w:p w14:paraId="0CD184A9"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заменены моторамы, и все коммуникации винтомоторной группы (управление, зажигание, топливная и масляная проводка) сообразно конструкции и размерам двигателей;</w:t>
      </w:r>
    </w:p>
    <w:p w14:paraId="5CDAECC8"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 установлены новые капоты моторов, состоящие каждый из тороидальной передней обечайки, цилиндрической средней части, разделенной на съемные секции, и переходных обтекателей для ее сопряжения с прежней конструкцией мотогондолы;</w:t>
      </w:r>
    </w:p>
    <w:p w14:paraId="55BAA6FF"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установлены новые четырехлопастные воздушные винты;</w:t>
      </w:r>
    </w:p>
    <w:p w14:paraId="74A56584"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заменены маслорадиаторы;</w:t>
      </w:r>
    </w:p>
    <w:p w14:paraId="083473D7"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демонтированы водяные радиаторы, их воздухозаборники в передних кромках крыла и выходные жалюзи на верхних панелях СЧК заделаны.</w:t>
      </w:r>
    </w:p>
    <w:p w14:paraId="5F4CAE62"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Переделка была закончена заводом № 288 в I квартале 1943 г. и в мае 1943 г. самолет снова передали на испытания. В их ходе было выявлено большое количество дефектов силовой установки (23552).</w:t>
      </w:r>
    </w:p>
    <w:p w14:paraId="1BCAD70C" w14:textId="77777777" w:rsidR="009D1933" w:rsidRPr="008A2E5A" w:rsidRDefault="009D1933" w:rsidP="009D1933">
      <w:pPr>
        <w:spacing w:after="0" w:line="240" w:lineRule="auto"/>
        <w:jc w:val="both"/>
        <w:rPr>
          <w:rFonts w:ascii="Times New Roman" w:hAnsi="Times New Roman"/>
          <w:color w:val="0070C0"/>
          <w:sz w:val="16"/>
          <w:szCs w:val="16"/>
        </w:rPr>
      </w:pPr>
    </w:p>
    <w:p w14:paraId="4B4944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июня 1942 вышло постановление ГКО N 2070с об окончании строительства Красноярской воздушной трассы ВВС КА для перегона самолетов с Аляски (572,41).</w:t>
      </w:r>
    </w:p>
    <w:p w14:paraId="54D8901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1BE6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8127F8">
        <w:rPr>
          <w:rFonts w:ascii="Times New Roman" w:hAnsi="Times New Roman"/>
          <w:color w:val="000000" w:themeColor="text1"/>
          <w:kern w:val="36"/>
          <w:sz w:val="16"/>
          <w:szCs w:val="16"/>
        </w:rPr>
        <w:t>20 июня 1942 вышло:</w:t>
      </w:r>
    </w:p>
    <w:p w14:paraId="3057F61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8127F8">
        <w:rPr>
          <w:rFonts w:ascii="Times New Roman" w:hAnsi="Times New Roman"/>
          <w:color w:val="000000" w:themeColor="text1"/>
          <w:kern w:val="36"/>
          <w:sz w:val="16"/>
          <w:szCs w:val="16"/>
        </w:rPr>
        <w:t>ПОСТАНОВЛЕНИЕ ГОСУДАРСТВЕННОГО КОМИТЕТА ОБОРОНЫ № 2070 с</w:t>
      </w:r>
    </w:p>
    <w:p w14:paraId="3988F7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Государственный Комитет Обороны ПОСТАНОВИЛ:</w:t>
      </w:r>
    </w:p>
    <w:p w14:paraId="56980BD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Обязать НКВД СССР построить в 1 мая 1943 года в пункте Уэлькале деревянную решетчатую взлетно-посадочную полосу размером 1.200 на 100 метров и в районе Оймякон промежуточный аэродром размером 1.200 на 200 метров к 1-му октября 1942 года. 2.</w:t>
      </w:r>
    </w:p>
    <w:p w14:paraId="220B9ED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ГУГВФ обеспечить строительство аэродрома (?? 1-ый) всеми проектными материалами к 5 августа 1942 года.</w:t>
      </w:r>
    </w:p>
    <w:p w14:paraId="32DA30A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обязать ГУГВФ к 25 августа с.г. в Уэлькале расширить существующую грунтовую взлетно-посадочную площадку с дерновым покрытием до размеров 1.200 х 100 метров.</w:t>
      </w:r>
    </w:p>
    <w:p w14:paraId="7788F1C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Обязать Главвоенпромстрой выделить во Владивостоке и передать НКВД 28 июля с.г. 500 человек рабочих, в том числе 200 плотников вместе с техническим персоналом, обеспечив всех рабочих необходимым инструментом, двумя походными кухнями и палатками. В те же сроки выделить и передать во Владивостоке 3 трактора ЧТЗ с прицепами, 1 моторный каток, 1 грейдер, 1 передвижную электростанцию.</w:t>
      </w:r>
    </w:p>
    <w:p w14:paraId="5BB1005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Обязать Наркомлес тов. САЛТЫКОВА и Главлесосбыт при СНК СССР с доставкой и порт Владивостока для погрузки на пароходы: бруска размером 10 на 5 см. – 11 тыс. кбм., круглого леса 1.500 кбм, пиломатериалов 1.500 кбм. С поставкой до 10 VIII.</w:t>
      </w:r>
    </w:p>
    <w:p w14:paraId="3067E7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Обязать НКВД (тов. ХРУЛЕВА) перевезти в течение июля и не позднее 10-го августа с Дальневосточной дороги во Владивосток (порт) 14 тыс. кбм. Леса и к этому же сроку строительные и другие материалы и горючее, выделяя вагоны для перевозки их по требованию НКВД и обеспечив продвижение этих грузов наравне с грузами НКО. </w:t>
      </w:r>
    </w:p>
    <w:p w14:paraId="1D211D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Обязать НКМФ (тов. БЕЛАХОВА) доставить не позднее 15-го сентября в пункт Уэлькале 14.00 кбм. Леса, 1.500 тонн других грузов и 1000 человек рабочих из Владивостока.</w:t>
      </w:r>
    </w:p>
    <w:p w14:paraId="1A78C8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НКМФ обеспечить разгрузку всех грузов на месте разгрузочных и плавучими средствами, НКВД предоставить рабочую силу для разгрузки.</w:t>
      </w:r>
    </w:p>
    <w:p w14:paraId="26A53C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Разрешить Наркомморфлота снять для этого пароходы с заграничных рейсов (исключая пароходы, обеспечивающие Дальнестрой).</w:t>
      </w:r>
    </w:p>
    <w:p w14:paraId="2BFC70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Обязать секретаря Приморского крайкома ВКП (б) тов. ПЕГОВА мобилизовать за счет любых организаций и передать НКМФ для обеспечения разгрузки грузов в Уэлькале 4 морских катера и 20 кунгасов, из них 2 катера и 10 кунгамов должны быть отправлены с пароходом «Волховстрой».</w:t>
      </w:r>
    </w:p>
    <w:p w14:paraId="0E729D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Обязать Наркомторг СССР (тов. ЛЮБИМОВА) выделить во Владивостоке не позднее 1 августа 1942 г. НКВД СССР (сверх фондов НКВД) продовольствие и промтовары, согласно приложения.</w:t>
      </w:r>
    </w:p>
    <w:p w14:paraId="5E00F6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9.Обязать Главнефтесбыт при СНК СССР (тов. МИХАЙЛОВА) поставить НКВД для погрузи на пароход во Владивостокском порту в таре: лигроина 150 тонн, автобензина 50 тонн, дизельного топлива 50 тонн, керосина 50 тонн, смазочных материалов 50 тонн.</w:t>
      </w:r>
    </w:p>
    <w:p w14:paraId="65EB95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Обязать Наркомлегпром тов. ЛУКИНА поставить НКВД во Владивостоке за сет фонда НКО к 28 июля: 750 ватных костюмов, 750 теплых костюмов, 750 теплых полупальто, 750 пар валенок, 1500 шерстяных рукавиц, 750 шапок-ушанок, 1500 пар теплых портянок.</w:t>
      </w:r>
    </w:p>
    <w:p w14:paraId="19C309F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11. Обязать НКЧМ тов. ТЕВОСЯНА поставить НКВД с доставкой во Владивосток 28 июля: гвоздей 46 тонн, сортового железа 10 тонн, болтов разных 2 тонны, проволоки 1,5 тонны, катанки 1,5 тонны, лопат 1000 шт., ломов Киров 1000 штук. </w:t>
      </w:r>
    </w:p>
    <w:p w14:paraId="6A63141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Наркомэлектропром тов. КАБАНОВУ отпустить НКВД во Владивостоке за счет ресурсов СНК СССР электропроводов 10 клм., прожекторов со всеми установочными материалами 5 штук.</w:t>
      </w:r>
    </w:p>
    <w:p w14:paraId="76058B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13. Наркомфину СССР обеспечить НКВД финансирование строительства указанных аэродромов без проектов и смет по фактическим затратам. </w:t>
      </w:r>
    </w:p>
    <w:p w14:paraId="4DD4A1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ПРИЛОЖЕНИЕ № 1</w:t>
      </w:r>
    </w:p>
    <w:p w14:paraId="7135B5F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постановлению ГОКО № 2070с</w:t>
      </w:r>
    </w:p>
    <w:p w14:paraId="3492BC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20 июля 1942 года.</w:t>
      </w:r>
    </w:p>
    <w:p w14:paraId="7C4985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8127F8">
        <w:rPr>
          <w:rFonts w:ascii="Times New Roman" w:hAnsi="Times New Roman"/>
          <w:color w:val="000000" w:themeColor="text1"/>
          <w:kern w:val="36"/>
          <w:sz w:val="16"/>
          <w:szCs w:val="16"/>
        </w:rPr>
        <w:t>ВЕДОМОСТЬ</w:t>
      </w:r>
    </w:p>
    <w:p w14:paraId="2B9DFA1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Прод. и промтоваров, подлежащих отпуску НКВД СССР для строительства специального объекта.</w:t>
      </w:r>
    </w:p>
    <w:p w14:paraId="668EF87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расчета на 9 месяцев для 600 чел.</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4478"/>
        <w:gridCol w:w="1888"/>
        <w:gridCol w:w="2456"/>
      </w:tblGrid>
      <w:tr w:rsidR="007C5583" w:rsidRPr="008127F8" w14:paraId="780C32F0" w14:textId="77777777" w:rsidTr="004C5D62">
        <w:trPr>
          <w:trHeight w:val="555"/>
          <w:jc w:val="center"/>
        </w:trPr>
        <w:tc>
          <w:tcPr>
            <w:tcW w:w="4478" w:type="dxa"/>
            <w:tcBorders>
              <w:top w:val="single" w:sz="12" w:space="0" w:color="auto"/>
            </w:tcBorders>
          </w:tcPr>
          <w:p w14:paraId="15DF30C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88" w:type="dxa"/>
            <w:tcBorders>
              <w:top w:val="single" w:sz="12" w:space="0" w:color="auto"/>
            </w:tcBorders>
          </w:tcPr>
          <w:p w14:paraId="2E5FB8B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Номера на 1 чел.</w:t>
            </w:r>
          </w:p>
          <w:p w14:paraId="293EC7B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месяц.</w:t>
            </w:r>
          </w:p>
          <w:p w14:paraId="68813D0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(кг)</w:t>
            </w:r>
          </w:p>
        </w:tc>
        <w:tc>
          <w:tcPr>
            <w:tcW w:w="2456" w:type="dxa"/>
            <w:tcBorders>
              <w:top w:val="single" w:sz="12" w:space="0" w:color="auto"/>
            </w:tcBorders>
          </w:tcPr>
          <w:p w14:paraId="4110200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на 9 месяц</w:t>
            </w:r>
          </w:p>
          <w:p w14:paraId="22AA3DA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(тн)</w:t>
            </w:r>
          </w:p>
        </w:tc>
      </w:tr>
      <w:tr w:rsidR="007C5583" w:rsidRPr="008127F8" w14:paraId="380B11D2" w14:textId="77777777" w:rsidTr="004C5D62">
        <w:trPr>
          <w:trHeight w:val="270"/>
          <w:jc w:val="center"/>
        </w:trPr>
        <w:tc>
          <w:tcPr>
            <w:tcW w:w="4478" w:type="dxa"/>
          </w:tcPr>
          <w:p w14:paraId="070B2A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Мясо-рыбные продукты, </w:t>
            </w:r>
          </w:p>
          <w:p w14:paraId="5265BB8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Мясные и рыбные консервы</w:t>
            </w:r>
          </w:p>
        </w:tc>
        <w:tc>
          <w:tcPr>
            <w:tcW w:w="1888" w:type="dxa"/>
          </w:tcPr>
          <w:p w14:paraId="23D91B2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3,7 кг.</w:t>
            </w:r>
          </w:p>
        </w:tc>
        <w:tc>
          <w:tcPr>
            <w:tcW w:w="2456" w:type="dxa"/>
          </w:tcPr>
          <w:p w14:paraId="5AF304C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19.98 тн</w:t>
            </w:r>
          </w:p>
        </w:tc>
      </w:tr>
      <w:tr w:rsidR="007C5583" w:rsidRPr="008127F8" w14:paraId="2E9688FB" w14:textId="77777777" w:rsidTr="004C5D62">
        <w:trPr>
          <w:trHeight w:val="555"/>
          <w:jc w:val="center"/>
        </w:trPr>
        <w:tc>
          <w:tcPr>
            <w:tcW w:w="4478" w:type="dxa"/>
          </w:tcPr>
          <w:p w14:paraId="1BB782B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Сахар и кондизделия</w:t>
            </w:r>
          </w:p>
        </w:tc>
        <w:tc>
          <w:tcPr>
            <w:tcW w:w="1888" w:type="dxa"/>
          </w:tcPr>
          <w:p w14:paraId="6A1EE07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1.0 </w:t>
            </w:r>
          </w:p>
        </w:tc>
        <w:tc>
          <w:tcPr>
            <w:tcW w:w="2456" w:type="dxa"/>
          </w:tcPr>
          <w:p w14:paraId="3D95958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5, 4</w:t>
            </w:r>
          </w:p>
        </w:tc>
      </w:tr>
      <w:tr w:rsidR="007C5583" w:rsidRPr="008127F8" w14:paraId="2CA9366C" w14:textId="77777777" w:rsidTr="004C5D62">
        <w:trPr>
          <w:trHeight w:val="555"/>
          <w:jc w:val="center"/>
        </w:trPr>
        <w:tc>
          <w:tcPr>
            <w:tcW w:w="4478" w:type="dxa"/>
          </w:tcPr>
          <w:p w14:paraId="6011C15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Масло животное</w:t>
            </w:r>
          </w:p>
        </w:tc>
        <w:tc>
          <w:tcPr>
            <w:tcW w:w="1888" w:type="dxa"/>
          </w:tcPr>
          <w:p w14:paraId="24336E1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2456" w:type="dxa"/>
          </w:tcPr>
          <w:p w14:paraId="641249E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w:t>
            </w:r>
          </w:p>
        </w:tc>
      </w:tr>
      <w:tr w:rsidR="007C5583" w:rsidRPr="008127F8" w14:paraId="1C009518" w14:textId="77777777" w:rsidTr="004C5D62">
        <w:trPr>
          <w:trHeight w:val="555"/>
          <w:jc w:val="center"/>
        </w:trPr>
        <w:tc>
          <w:tcPr>
            <w:tcW w:w="4478" w:type="dxa"/>
          </w:tcPr>
          <w:p w14:paraId="7299A67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Мука</w:t>
            </w:r>
          </w:p>
        </w:tc>
        <w:tc>
          <w:tcPr>
            <w:tcW w:w="1888" w:type="dxa"/>
          </w:tcPr>
          <w:p w14:paraId="0B94569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17,5</w:t>
            </w:r>
          </w:p>
        </w:tc>
        <w:tc>
          <w:tcPr>
            <w:tcW w:w="2456" w:type="dxa"/>
          </w:tcPr>
          <w:p w14:paraId="54CB72D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94,2</w:t>
            </w:r>
          </w:p>
        </w:tc>
      </w:tr>
      <w:tr w:rsidR="007C5583" w:rsidRPr="008127F8" w14:paraId="77E8DD77" w14:textId="77777777" w:rsidTr="004C5D62">
        <w:trPr>
          <w:trHeight w:val="555"/>
          <w:jc w:val="center"/>
        </w:trPr>
        <w:tc>
          <w:tcPr>
            <w:tcW w:w="4478" w:type="dxa"/>
          </w:tcPr>
          <w:p w14:paraId="5D64730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Крупа и макароны</w:t>
            </w:r>
          </w:p>
        </w:tc>
        <w:tc>
          <w:tcPr>
            <w:tcW w:w="1888" w:type="dxa"/>
          </w:tcPr>
          <w:p w14:paraId="719E1EB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c>
          <w:tcPr>
            <w:tcW w:w="2456" w:type="dxa"/>
          </w:tcPr>
          <w:p w14:paraId="5A0E769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16,2</w:t>
            </w:r>
          </w:p>
        </w:tc>
      </w:tr>
      <w:tr w:rsidR="007C5583" w:rsidRPr="008127F8" w14:paraId="5DD3EBCF" w14:textId="77777777" w:rsidTr="004C5D62">
        <w:trPr>
          <w:trHeight w:val="555"/>
          <w:jc w:val="center"/>
        </w:trPr>
        <w:tc>
          <w:tcPr>
            <w:tcW w:w="4478" w:type="dxa"/>
          </w:tcPr>
          <w:p w14:paraId="3B85112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6.Сухофрукты</w:t>
            </w:r>
          </w:p>
        </w:tc>
        <w:tc>
          <w:tcPr>
            <w:tcW w:w="1888" w:type="dxa"/>
          </w:tcPr>
          <w:p w14:paraId="7AF0910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2456" w:type="dxa"/>
          </w:tcPr>
          <w:p w14:paraId="79F8EE1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w:t>
            </w:r>
          </w:p>
        </w:tc>
      </w:tr>
      <w:tr w:rsidR="007C5583" w:rsidRPr="008127F8" w14:paraId="6FA0DD72" w14:textId="77777777" w:rsidTr="004C5D62">
        <w:trPr>
          <w:trHeight w:val="555"/>
          <w:jc w:val="center"/>
        </w:trPr>
        <w:tc>
          <w:tcPr>
            <w:tcW w:w="4478" w:type="dxa"/>
          </w:tcPr>
          <w:p w14:paraId="260A483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Чай</w:t>
            </w:r>
          </w:p>
        </w:tc>
        <w:tc>
          <w:tcPr>
            <w:tcW w:w="1888" w:type="dxa"/>
          </w:tcPr>
          <w:p w14:paraId="7381C5B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0,085</w:t>
            </w:r>
          </w:p>
        </w:tc>
        <w:tc>
          <w:tcPr>
            <w:tcW w:w="2456" w:type="dxa"/>
          </w:tcPr>
          <w:p w14:paraId="548AE5D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0,46</w:t>
            </w:r>
          </w:p>
        </w:tc>
      </w:tr>
      <w:tr w:rsidR="007C5583" w:rsidRPr="008127F8" w14:paraId="27E10F24" w14:textId="77777777" w:rsidTr="004C5D62">
        <w:trPr>
          <w:trHeight w:val="555"/>
          <w:jc w:val="center"/>
        </w:trPr>
        <w:tc>
          <w:tcPr>
            <w:tcW w:w="4478" w:type="dxa"/>
          </w:tcPr>
          <w:p w14:paraId="095C44E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Овощи сухие</w:t>
            </w:r>
          </w:p>
        </w:tc>
        <w:tc>
          <w:tcPr>
            <w:tcW w:w="1888" w:type="dxa"/>
          </w:tcPr>
          <w:p w14:paraId="33CCB1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2456" w:type="dxa"/>
          </w:tcPr>
          <w:p w14:paraId="4EBF9C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w:t>
            </w:r>
          </w:p>
        </w:tc>
      </w:tr>
      <w:tr w:rsidR="007C5583" w:rsidRPr="008127F8" w14:paraId="2AB60F62" w14:textId="77777777" w:rsidTr="004C5D62">
        <w:trPr>
          <w:trHeight w:val="555"/>
          <w:jc w:val="center"/>
        </w:trPr>
        <w:tc>
          <w:tcPr>
            <w:tcW w:w="4478" w:type="dxa"/>
          </w:tcPr>
          <w:p w14:paraId="000E902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Соль столовая</w:t>
            </w:r>
          </w:p>
        </w:tc>
        <w:tc>
          <w:tcPr>
            <w:tcW w:w="1888" w:type="dxa"/>
          </w:tcPr>
          <w:p w14:paraId="49BBF05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0,85</w:t>
            </w:r>
          </w:p>
        </w:tc>
        <w:tc>
          <w:tcPr>
            <w:tcW w:w="2456" w:type="dxa"/>
          </w:tcPr>
          <w:p w14:paraId="4A0130B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w:t>
            </w:r>
          </w:p>
        </w:tc>
      </w:tr>
      <w:tr w:rsidR="007C5583" w:rsidRPr="008127F8" w14:paraId="7647C385" w14:textId="77777777" w:rsidTr="004C5D62">
        <w:trPr>
          <w:trHeight w:val="555"/>
          <w:jc w:val="center"/>
        </w:trPr>
        <w:tc>
          <w:tcPr>
            <w:tcW w:w="4478" w:type="dxa"/>
          </w:tcPr>
          <w:p w14:paraId="2578D99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Кофе-какао</w:t>
            </w:r>
          </w:p>
        </w:tc>
        <w:tc>
          <w:tcPr>
            <w:tcW w:w="1888" w:type="dxa"/>
          </w:tcPr>
          <w:p w14:paraId="2840A8D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0,15</w:t>
            </w:r>
          </w:p>
        </w:tc>
        <w:tc>
          <w:tcPr>
            <w:tcW w:w="2456" w:type="dxa"/>
          </w:tcPr>
          <w:p w14:paraId="539AD7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0,81</w:t>
            </w:r>
          </w:p>
        </w:tc>
      </w:tr>
      <w:tr w:rsidR="007C5583" w:rsidRPr="008127F8" w14:paraId="19577C37" w14:textId="77777777" w:rsidTr="004C5D62">
        <w:trPr>
          <w:trHeight w:val="555"/>
          <w:jc w:val="center"/>
        </w:trPr>
        <w:tc>
          <w:tcPr>
            <w:tcW w:w="4478" w:type="dxa"/>
          </w:tcPr>
          <w:p w14:paraId="3A24AB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11. Спирт ректификат</w:t>
            </w:r>
          </w:p>
        </w:tc>
        <w:tc>
          <w:tcPr>
            <w:tcW w:w="1888" w:type="dxa"/>
          </w:tcPr>
          <w:p w14:paraId="2BCF1E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2456" w:type="dxa"/>
          </w:tcPr>
          <w:p w14:paraId="43C9373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w:t>
            </w:r>
          </w:p>
        </w:tc>
      </w:tr>
      <w:tr w:rsidR="007C5583" w:rsidRPr="008127F8" w14:paraId="29332E77" w14:textId="77777777" w:rsidTr="004C5D62">
        <w:trPr>
          <w:trHeight w:val="555"/>
          <w:jc w:val="center"/>
        </w:trPr>
        <w:tc>
          <w:tcPr>
            <w:tcW w:w="4478" w:type="dxa"/>
          </w:tcPr>
          <w:p w14:paraId="4C4517E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Яичный порошок</w:t>
            </w:r>
          </w:p>
        </w:tc>
        <w:tc>
          <w:tcPr>
            <w:tcW w:w="1888" w:type="dxa"/>
          </w:tcPr>
          <w:p w14:paraId="11B2F58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0,25</w:t>
            </w:r>
          </w:p>
        </w:tc>
        <w:tc>
          <w:tcPr>
            <w:tcW w:w="2456" w:type="dxa"/>
          </w:tcPr>
          <w:p w14:paraId="1981F22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1,35</w:t>
            </w:r>
          </w:p>
        </w:tc>
      </w:tr>
      <w:tr w:rsidR="007C5583" w:rsidRPr="008127F8" w14:paraId="5DED8502" w14:textId="77777777" w:rsidTr="004C5D62">
        <w:trPr>
          <w:trHeight w:val="555"/>
          <w:jc w:val="center"/>
        </w:trPr>
        <w:tc>
          <w:tcPr>
            <w:tcW w:w="4478" w:type="dxa"/>
          </w:tcPr>
          <w:p w14:paraId="2B8A477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Специи (перец, лавровый лист, корица)</w:t>
            </w:r>
          </w:p>
        </w:tc>
        <w:tc>
          <w:tcPr>
            <w:tcW w:w="1888" w:type="dxa"/>
          </w:tcPr>
          <w:p w14:paraId="72E4C84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56" w:type="dxa"/>
          </w:tcPr>
          <w:p w14:paraId="4DE4CF3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88FC3DD" w14:textId="77777777" w:rsidTr="004C5D62">
        <w:trPr>
          <w:trHeight w:val="555"/>
          <w:jc w:val="center"/>
        </w:trPr>
        <w:tc>
          <w:tcPr>
            <w:tcW w:w="4478" w:type="dxa"/>
          </w:tcPr>
          <w:p w14:paraId="7C14816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Лук, чеснок</w:t>
            </w:r>
          </w:p>
        </w:tc>
        <w:tc>
          <w:tcPr>
            <w:tcW w:w="1888" w:type="dxa"/>
          </w:tcPr>
          <w:p w14:paraId="39B4566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c>
          <w:tcPr>
            <w:tcW w:w="2456" w:type="dxa"/>
          </w:tcPr>
          <w:p w14:paraId="5663AA7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8,1</w:t>
            </w:r>
          </w:p>
        </w:tc>
      </w:tr>
      <w:tr w:rsidR="007C5583" w:rsidRPr="008127F8" w14:paraId="0B6F7B23" w14:textId="77777777" w:rsidTr="004C5D62">
        <w:trPr>
          <w:trHeight w:val="555"/>
          <w:jc w:val="center"/>
        </w:trPr>
        <w:tc>
          <w:tcPr>
            <w:tcW w:w="4478" w:type="dxa"/>
          </w:tcPr>
          <w:p w14:paraId="4E59E24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Табачные изделия</w:t>
            </w:r>
          </w:p>
        </w:tc>
        <w:tc>
          <w:tcPr>
            <w:tcW w:w="1888" w:type="dxa"/>
          </w:tcPr>
          <w:p w14:paraId="694BAF3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0,5</w:t>
            </w:r>
          </w:p>
        </w:tc>
        <w:tc>
          <w:tcPr>
            <w:tcW w:w="2456" w:type="dxa"/>
          </w:tcPr>
          <w:p w14:paraId="178CB10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r>
      <w:tr w:rsidR="007C5583" w:rsidRPr="008127F8" w14:paraId="3DE5F759" w14:textId="77777777" w:rsidTr="004C5D62">
        <w:trPr>
          <w:trHeight w:val="555"/>
          <w:jc w:val="center"/>
        </w:trPr>
        <w:tc>
          <w:tcPr>
            <w:tcW w:w="4478" w:type="dxa"/>
          </w:tcPr>
          <w:p w14:paraId="4ED3A64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Мыло хозяйственное</w:t>
            </w:r>
          </w:p>
        </w:tc>
        <w:tc>
          <w:tcPr>
            <w:tcW w:w="1888" w:type="dxa"/>
          </w:tcPr>
          <w:p w14:paraId="289F1DA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0,5</w:t>
            </w:r>
          </w:p>
        </w:tc>
        <w:tc>
          <w:tcPr>
            <w:tcW w:w="2456" w:type="dxa"/>
          </w:tcPr>
          <w:p w14:paraId="7B4269E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r>
      <w:tr w:rsidR="007C5583" w:rsidRPr="008127F8" w14:paraId="01B47447" w14:textId="77777777" w:rsidTr="004C5D62">
        <w:trPr>
          <w:trHeight w:val="555"/>
          <w:jc w:val="center"/>
        </w:trPr>
        <w:tc>
          <w:tcPr>
            <w:tcW w:w="4478" w:type="dxa"/>
          </w:tcPr>
          <w:p w14:paraId="3A4ED3C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 Мыло туалетное</w:t>
            </w:r>
          </w:p>
        </w:tc>
        <w:tc>
          <w:tcPr>
            <w:tcW w:w="1888" w:type="dxa"/>
          </w:tcPr>
          <w:p w14:paraId="7D1FF10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0,1</w:t>
            </w:r>
          </w:p>
        </w:tc>
        <w:tc>
          <w:tcPr>
            <w:tcW w:w="2456" w:type="dxa"/>
          </w:tcPr>
          <w:p w14:paraId="4D6DA08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0,540</w:t>
            </w:r>
          </w:p>
        </w:tc>
      </w:tr>
      <w:tr w:rsidR="007C5583" w:rsidRPr="008127F8" w14:paraId="2DF46DAF" w14:textId="77777777" w:rsidTr="004C5D62">
        <w:trPr>
          <w:trHeight w:val="555"/>
          <w:jc w:val="center"/>
        </w:trPr>
        <w:tc>
          <w:tcPr>
            <w:tcW w:w="4478" w:type="dxa"/>
            <w:tcBorders>
              <w:bottom w:val="single" w:sz="12" w:space="0" w:color="auto"/>
            </w:tcBorders>
          </w:tcPr>
          <w:p w14:paraId="02DD665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Пищевые концентраты</w:t>
            </w:r>
          </w:p>
        </w:tc>
        <w:tc>
          <w:tcPr>
            <w:tcW w:w="1888" w:type="dxa"/>
            <w:tcBorders>
              <w:bottom w:val="single" w:sz="12" w:space="0" w:color="auto"/>
            </w:tcBorders>
          </w:tcPr>
          <w:p w14:paraId="02ACDBD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0,2</w:t>
            </w:r>
          </w:p>
        </w:tc>
        <w:tc>
          <w:tcPr>
            <w:tcW w:w="2456" w:type="dxa"/>
            <w:tcBorders>
              <w:bottom w:val="single" w:sz="12" w:space="0" w:color="auto"/>
            </w:tcBorders>
          </w:tcPr>
          <w:p w14:paraId="3C79F68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1,08</w:t>
            </w:r>
          </w:p>
        </w:tc>
      </w:tr>
    </w:tbl>
    <w:p w14:paraId="1520A9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(11813).</w:t>
      </w:r>
    </w:p>
    <w:p w14:paraId="212174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821D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69BEC2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431CB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июня 1942 года по распоряжению командования АНИОПа были проведены испытания стрельбой. Целью этих испытаний было: определение возможности использования мин ГМ-280 при наличии перекоса отдельных деталей и определение возможности использования ящика ГМ-280-1Д, связанного гвоздями вместо шурупов. Для проведения испытаний заводом им. Ленина было поставлено три мины, снаряженные серой весом 83 кг, на которые были установлены охоложенные взрыватели ГВМЗ. Стрельба минами ГМ-280 производилась при угле возвышения 42 градуса, при этом ящики с минами крепились к раме проволокой. Из ящика было выполнено три выстрела. По результатам испытаний специалисты полигона сделали следующие выводы: использование мин ГМ-280 с перекосом 18-19 мм невозможно из-за неправильного полета мин, а мины с перекосом 12 мм требуют дополнительных испытаний. Упаковочный ящик оказался не достаточно прочным (6403, 42).</w:t>
      </w:r>
    </w:p>
    <w:p w14:paraId="67B088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6A795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период с 20 по 30 июня 1942 года опытный образец СГ-122 прошел заводские испытания (на полигоне завода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8 под Москвой). На них проверялись общая прочность конструкции и отдельных её узлов, удобство обслуживания самоходки, а также скорострельность, устойчивость при стрельбе и ходовые качества.</w:t>
      </w:r>
    </w:p>
    <w:p w14:paraId="61BE10B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ходе испытаний выяснилось, что время перехода самоходки из походного положения в боевое составляет от 19 до 27с, а время переноса огня по азимуту на углы 15, 45 и 90 градусов, разворотом машины на месте с грубым наведением орудия на новую цель при помощи визира с последующей точной наводкой по панораме и производством выстрела — от 16 до 22 с.</w:t>
      </w:r>
    </w:p>
    <w:p w14:paraId="53941E1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Проверка удобства работы орудийного расчета в противогазах при сильном задымлении боевого отделения показала, что это заметно не снижает работоспособности орудийного расчета. Задымление осуществлялось сжиганием в течение 15 минут в трех пустых гильзах, установленных на полу боевого отделения, промасленной ветоши «с накоплением дыма периодическим задраиванием люков». В это время экипаж находился в противогазах, соединенных удлиненными шлангами с наружным воздухом и «производил боевые действия при гаубице».</w:t>
      </w:r>
    </w:p>
    <w:p w14:paraId="74540C0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пробегом составили 75 километров по различным дорогам и бездорожью, и показали «удовлетворительные ходовые свойства шасси, его хорошие управляемость и проходимость через препятствия».</w:t>
      </w:r>
    </w:p>
    <w:p w14:paraId="575DA1E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заключение отчёта говорилось, что самоходная установка СГ-122 выдержала заводские испытания и подлежит передаче на полигонные испытания.</w:t>
      </w:r>
    </w:p>
    <w:p w14:paraId="3E18505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Следует сказать, что руководство ГАБТУ КА отнеслось к испытаниям и перспективам серийного изготовления СГ-122 весьма прохладно (12688).</w:t>
      </w:r>
    </w:p>
    <w:p w14:paraId="45CFE3E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F7E4592"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июня 1942 года опытный образец СГ-122 вышел на заводские испытания. Помимо ходовых испытаний, проводились испытания стрельбой. На 18-м выстреле стрельбу пришлось прекратить из-за неисправности затвора, которая была вызвана загрязнением ударного механизма и раздутием гильзы. В ходе дальнейшей стрельбы провели испытания на скорострельность. При стрельбе с исправлением наводки 3 выстрела произвели за 22 секунды, без исправления наводки те же 3 выстрела удалось произвести чуть менее чем за 18 секунд. По итогам испытаний максимальная скорострельность составила 10-12 выстрелов в минуту. Стоит отметить, что заряжали орудие слесари завода, которые впервые занимались подобной работой.</w:t>
      </w:r>
    </w:p>
    <w:p w14:paraId="0A3FE3DC"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Далее прошли испытания на Софринском полигоне, которые, к слову, могли не состояться. 12 июля в адрес председателя Артиллерийского комитета ГАУ КА генерал-майора Хохлова пришло письмо из ГАБТУ КА. В нем указывалась нецелесообразность изготовления СГ-122, поскольку трофейных шасси не хватало. Правда, на сей раз "танкистам" провернуть тот же фокус, что и с перевооружением английских танков, не удалось. Полигонные испытания начались 25 июля и продолжались до 16 августа 1942 года. Испытания стрельбой провели в гораздо большем объёме, чем планировалось изначально. Из гаубицы было произведено 234 выстрела, почти в 5 раз больше, чем изначально предполагалось. Скорострельность, в зависимости от угла наводки орудия, достигала от 5 до 11–12 выстрелов в минуту, то есть на уровне заводских испытаний. Время перехода САУ из походного положения в боевое составляло 20–25 секунд. Также были проведены ходовые испытания. В ходе езды по проселку и бездорожью средняя скорость составила 15 км/ч, а расход топлива около 300 литров на 100 километров. При таком расходе запас хода составил примерно 100 километров, то есть примерно столько же, сколько у StuG III.</w:t>
      </w:r>
    </w:p>
    <w:p w14:paraId="50151F06"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итогам испытаний выяснилось, что вырос износ передних опорных катков. Связано это было с повышенной нагрузкой на носовую часть, поскольку появилась более тяжелая орудийная система и усиленное бронирование. Имелись претензии и к боевому отделению. И в исходном проекте, и в опытном образце сиденье предусматривалось только для механика-водителя. По этой причине испытатели указали на то, что откидные сиденья нужны для всех членов экипажа. Также не удалось проверить работу радиостанции, поскольку на опытной машине ее не было. Тем не менее, полигонные испытания СГ-122 выдержала, а претензии ГАБТУ КА посчитали недостаточными для прекращения работ. 7 сентября 1942 года был подписан договор между ГАУ КА и заводом №592 на выпуск первых пяти СГ-122. Стоимость переделки StuG III в СГ-122 оценивалась в 45 тысяч рублей. Правда, уже к 1 октября стало ясно, что ориентироваться придется не только на шасси StuG III, но и на Pz.Kpfw.III. Началась настоящая охота за трофейными машинами. Например, на заводах №176 и №535 НКВ нашли 4 Pz.Kpfw.III, которые оказались пригодными для переделки (23368).</w:t>
      </w:r>
    </w:p>
    <w:p w14:paraId="55541A8C" w14:textId="77777777" w:rsidR="009D1933" w:rsidRPr="008A2E5A" w:rsidRDefault="009D1933" w:rsidP="009D1933">
      <w:pPr>
        <w:spacing w:after="0" w:line="240" w:lineRule="auto"/>
        <w:jc w:val="both"/>
        <w:rPr>
          <w:rFonts w:ascii="Times New Roman" w:hAnsi="Times New Roman"/>
          <w:color w:val="0070C0"/>
          <w:sz w:val="16"/>
          <w:szCs w:val="16"/>
        </w:rPr>
      </w:pPr>
    </w:p>
    <w:p w14:paraId="53666F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июня 1942 г. приказом НКМВ № 222с в соответствии с пост, правительства № 939-481с от 13.06.1942 г. заводу им. Фрунзе поручено восстановить во втором полугодии 1942 г. производство насосокомпрессорного и химического оборудования. Для этого заводу передан Ремонтно-механический завод Чирчикского ЭХК со всеми цехами; на завод направлено 215 чел. в июне и 500 чел. в июле. К 1.10.1942 г. на территории завода необходимо было построить новые цехи: механический (2000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литейный, модельный (500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кузнечно-котельный (2000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В соответствии с пост, правительства № 1032-509с от 25.06.1942 г. и приказом НКМВ № 230с от 30.06.1942 г. заводу поручено изготовить центробежный насос В-200; в соответствии с пост, правительства № 1052-522сс и приказом НКМВ № 231сс от 1.07.1942 г. для строительства завода № 103 НКХП заводу поручено изготовить вакуум-насос РМК-4; в соответствии с пост, правительства № 1028-508с от 26.06.1942 г. и приказом НКМВ № 235с от 3.07.1942 г. заводу поручено изготовить для НК леса вакуум-насосы РМК-3; в соответствии с пост, правительства № 1107-548с от 5.07.1942 г. и приказом № 244с от 10.07.1942 г. заводу поручено изготовить для НКТМ питательные насосы 2П-100 и 2П-125 - 15 шт.; в соответствии с пост. ГКО № 2008сс от 10.07.1942 г. и приказом № 249сс от 13.07.1942 г. заводу поручено изготовить для завода № 576 НКБ вакуум-насос РМК-1 и компрессор 400-2к.</w:t>
      </w:r>
    </w:p>
    <w:p w14:paraId="1BC0368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3616 от 21.06.1943 г. на заводе организовано производство гидротурбин мелких и средних мощностей; в соответствии с пост. ГКО № 7851 от 16.03.1945 г. - организовано производство высоконапорных насосов.</w:t>
      </w:r>
    </w:p>
    <w:p w14:paraId="37F8678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1947-53 г. завод - в ведении Главхиммаша ММиП.</w:t>
      </w:r>
    </w:p>
    <w:p w14:paraId="4FA79BE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составе завода (1947 г.) цехи: основные: механические № 1, 2, 3, котельный, кузнечный, литейный, ширпотреба, транспортный, СПП; вспомогательные: модельный, инструментальный. Кроме того, (1953 г.): основные: механический № 4, механосборочный № 2, раскройно-заготовительный, котельно-сборочный № 1, компрессоро-сборочный, кузнечно-прессовый, электро-ремонтный, транспортный, упаковочный, строй-бюро, лаборатория; вспомогательные: ремонтно-механический.</w:t>
      </w:r>
    </w:p>
    <w:p w14:paraId="6C13BC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оборудования: (1946 г.)- 414 ед., (1947 г.)- 600 ед., (1953 г.)- 750 ед.</w:t>
      </w:r>
    </w:p>
    <w:p w14:paraId="4C2C1E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территории (1947 г.)- 16 га, (1953 г.)- 17,3 га; застройки (1947 г.)- 38805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(1953 г.)- 48908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производственная (1946 г.)- 29664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(1947 г.)- 29664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(1953 г.)- 34266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вспомогательная (1953 г.)- 7774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прочая (1953 г.)- 24362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5388F22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(1946 г.)- 1804 чел., (1947 г.)- 2062 чел., (1953 г.)- 2598 чел.</w:t>
      </w:r>
    </w:p>
    <w:p w14:paraId="47BE5C1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(06.1942 г.)- Белоцерковский.</w:t>
      </w:r>
    </w:p>
    <w:p w14:paraId="6CDFD8B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директора (1942-43 г.)- Н.Я. Толстокор.</w:t>
      </w:r>
    </w:p>
    <w:p w14:paraId="6289AFB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(1948 г.)- Филоненко.</w:t>
      </w:r>
    </w:p>
    <w:p w14:paraId="57269AA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 насосы:</w:t>
      </w:r>
      <w:r w:rsidRPr="008127F8">
        <w:rPr>
          <w:rFonts w:ascii="Times New Roman" w:hAnsi="Times New Roman"/>
          <w:color w:val="000000" w:themeColor="text1"/>
          <w:sz w:val="16"/>
          <w:szCs w:val="16"/>
        </w:rPr>
        <w:t xml:space="preserve"> центробежные АР-100 (-1942-47-), -250, В-150, -200, -250 (1942), 4В-75 (1947); питательные 2П-100 и 2П-125 (1942), П-150 (1947); вакуум-насосы РМК-1 (1942), -3, -4 (-1942-47-); мотонасос ВСА-150 (1947);</w:t>
      </w:r>
      <w:r w:rsidRPr="008127F8">
        <w:rPr>
          <w:rFonts w:ascii="Times New Roman" w:hAnsi="Times New Roman"/>
          <w:iCs/>
          <w:color w:val="000000" w:themeColor="text1"/>
          <w:sz w:val="16"/>
          <w:szCs w:val="16"/>
        </w:rPr>
        <w:t xml:space="preserve"> компрессоры:</w:t>
      </w:r>
      <w:r w:rsidRPr="008127F8">
        <w:rPr>
          <w:rFonts w:ascii="Times New Roman" w:hAnsi="Times New Roman"/>
          <w:color w:val="000000" w:themeColor="text1"/>
          <w:sz w:val="16"/>
          <w:szCs w:val="16"/>
        </w:rPr>
        <w:t xml:space="preserve"> В-55 (-1942-47-), -300 (-1942-53-), 400-2к, 500-к (1942), Р-1/220 (-1947-53-); для кислородных станций К-65, К-180, МТТ-220, кислородные КГ-165, для аргона З-ЮО-ЗК, для гелия Г-30-4К (1947), К-17, 5Э14/220, ЗР7/220, Р01/165 (1953); детандеры ДВ-750, ДВ-400, ЭМ-90 (1942); передвижная кислородная станция КЗС-50; автоклавы, варочные котлы, вальцы, нитраторы, ректификационные колонны, теплообменники, печи Гумбольдта, скрубберы, сушилки «Венулет», турбовоздуходувки ТК-700, -100, РМК-2 (1942), ТВ-127 (1953); турбокомпрессор ТК-700/5 (-1947-53-); воздушная станция СМ-145 (1953); турбогазодувка ТТ-136, турбоэксгаустер ТГ-600, насос центробежный ЭПЖН-2, воздуходувка РМК-4 (1953); гидротурбина Ф13- ГМ50; ножницы гильотинные (1947); ложки, вилки.</w:t>
      </w:r>
      <w:r w:rsidRPr="008127F8">
        <w:rPr>
          <w:rFonts w:ascii="Times New Roman" w:hAnsi="Times New Roman"/>
          <w:color w:val="000000" w:themeColor="text1"/>
          <w:sz w:val="16"/>
          <w:szCs w:val="16"/>
          <w:vertAlign w:val="superscript"/>
        </w:rPr>
        <w:t>129</w:t>
      </w:r>
    </w:p>
    <w:p w14:paraId="7F08DC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Сумской машиностроительный завод им. М.В. Фрунзе ММиП, ОАО «Сумское НПО (СМНПО) им. М.В. Фрунзе» /Украина 244044  г. Сумы ул. Горького, 58 «Завод Фрунзе» тел. 22-50-72/ /Московское представительство: 209-77-34/</w:t>
      </w:r>
    </w:p>
    <w:p w14:paraId="1202EB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09.1941 г. Сумский машиностроительный завод им. Фрунзе был эвакуирован в  г. Чирчик на площадку Ремонтно-механического завода Чирчикского ЭХК. Первый эшелон прибыл на станцию Боз-Су 11.09.1941 г.</w:t>
      </w:r>
    </w:p>
    <w:p w14:paraId="1517A0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11.1943 г. Сумский машиностроительный завод им. Фрунзе - в ведении НКМВ, в 1947-53 г. - в ведении Главхиммаша ММиП.</w:t>
      </w:r>
    </w:p>
    <w:p w14:paraId="467F48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завода (1947 г.) цехи: основные: литейный, кузнечный, котельный, насосно-компрессорный, механический № 1, центрифуг (размещался на отдельной площадке), ширпотреба; вспомогательные: инструментальный, модельный, кислородная станция. Кроме того, (1953 г.): основные: заготовительный, механические № 2, 3, ремонтно-механический, ремонтно-строительный; вспомогательные: теплосиловой.</w:t>
      </w:r>
    </w:p>
    <w:p w14:paraId="1BFB4A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СМНПО было в 2005 г.</w:t>
      </w:r>
    </w:p>
    <w:p w14:paraId="1253B05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оборудования: (1939 г.)- 1353 ед., (1946 г.)- 324 ед., (1947 г.)- 867 ед, (1953 г.)- 1320 ед.</w:t>
      </w:r>
    </w:p>
    <w:p w14:paraId="2FA072C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территории (1947-53 г.)- 39,3 га, цеха центрифуг (1947 г.)- 7,06 га; застройки (1947 г.)- 89379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(1953 г.)- 99598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цеха центрифуг (1947 г.)- 8695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производственная (1939 г.)- 73079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(1946 г.)- 38960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(1947 г.)- 61900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(1953 г.)- 73707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вспомогательная (1953 г.)- 8676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прочая (1953 г.)- 7306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396074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(1939 г.)- 8272 чел, (1946 г.)- 2936 чел, (1947 г.)- 3935 чел, (1953 г.)- 6581 чел.</w:t>
      </w:r>
    </w:p>
    <w:p w14:paraId="447224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(1948 г.)- Белоцерковский.</w:t>
      </w:r>
    </w:p>
    <w:p w14:paraId="69EC474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(1948 г.)- Гончаренко.</w:t>
      </w:r>
    </w:p>
    <w:p w14:paraId="28768A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компрессоры 2Р, 2РК (1947), 2Р-3, 2РО-3, 2РВ-3, ЗГ-100, ЗГ-8500, 1Г-266 (1953); насос центробежный ЗВ; вакуум-фильтр Б-40; паровоздушный молот; центрифуги: ПМ-3, РНВ-4 (1947), УВ-1, ПМ-У, ПМ-Я1Т, ПС-1200, ТВ-600 (1953); барокамеры ПБК-50, СБК-48; вакуум-насос РВН-30, -60; контакторы, печи 9- подовые;</w:t>
      </w:r>
      <w:r w:rsidRPr="008127F8">
        <w:rPr>
          <w:rFonts w:ascii="Times New Roman" w:hAnsi="Times New Roman"/>
          <w:color w:val="000000" w:themeColor="text1"/>
          <w:sz w:val="16"/>
          <w:szCs w:val="16"/>
          <w:vertAlign w:val="superscript"/>
        </w:rPr>
        <w:t>129</w:t>
      </w:r>
      <w:r w:rsidRPr="008127F8">
        <w:rPr>
          <w:rFonts w:ascii="Times New Roman" w:hAnsi="Times New Roman"/>
          <w:color w:val="000000" w:themeColor="text1"/>
          <w:sz w:val="16"/>
          <w:szCs w:val="16"/>
        </w:rPr>
        <w:t xml:space="preserve"> фильтры для РКТ (1970-е); газоперекачивающие агрегаты ГПА-Ц-6,3 с двигателем Д-336, ГПА с двигателями НК-36СТ, НК-16СТ, AJI-31CT, судовым ДЖ59Л2; компрессорные станции, автомобильные газосварочные станции; секционные центробежные насосы ЦНС-180 (2002).</w:t>
      </w:r>
    </w:p>
    <w:p w14:paraId="66B6483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Чирчикский электрохимический комбинат (ЭХК) НКХП /Узбекистан  г. Чирчик Ташкентской обл./</w:t>
      </w:r>
    </w:p>
    <w:p w14:paraId="79FE07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1943-54 г. Чирчикский ЭХК - в ведении НКХП.</w:t>
      </w:r>
    </w:p>
    <w:p w14:paraId="216454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ЭХК (1941-42 г.)- Ремонтно-механический завод.</w:t>
      </w:r>
    </w:p>
    <w:p w14:paraId="211BF81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1.03.1943 г. вышло постановление о вводе в 1943 г. в действие 2-й очереди Чирчикского ЭХК НКХП.</w:t>
      </w:r>
    </w:p>
    <w:p w14:paraId="4908A5C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06.1944 г. для комбината спроектирован цех «Г» по производству тяжелой воды для ядерных реакторов мощностью 800-1000 кг в год, цех строился в 1946-48 г. 3.03.1945 г. вышло постановление ГКО № 7637 об обеспечении пуска 4-го агрегата по производству аммиака на комбинате. Комбинат строился в 1950 г.</w:t>
      </w:r>
      <w:r w:rsidRPr="008127F8">
        <w:rPr>
          <w:rFonts w:ascii="Times New Roman" w:hAnsi="Times New Roman"/>
          <w:color w:val="000000" w:themeColor="text1"/>
          <w:sz w:val="16"/>
          <w:szCs w:val="16"/>
          <w:vertAlign w:val="superscript"/>
        </w:rPr>
        <w:t>78</w:t>
      </w:r>
    </w:p>
    <w:p w14:paraId="6BCD8C7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Ремонтно-механический завод Чирчикского ЭХК НКХП</w:t>
      </w:r>
    </w:p>
    <w:p w14:paraId="479215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09.1941 г. на площадку Ремонтно-механического завода Чирчиказота Чирчикского ЭХК был эвакуирован Сумской машиностроительный завод им. Фрунзе, на его базе создан завод № 724 НКМВ.</w:t>
      </w:r>
    </w:p>
    <w:p w14:paraId="4A612D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правительства № 939-481с от 13.06.1942 г. и приказом НКМВ № 222с от 20.06.1942 г. Ремонтно-механический завод Чирчикского ЭХК со всеми цехами был передан заводу им. Фрунзе.</w:t>
      </w:r>
    </w:p>
    <w:p w14:paraId="0D1584E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завода (06.1942 г.) цехи: механический, литейный, модельный, электроремонтный; корпус ЦМК, модельный склад, мастерская КИП, подстанция.</w:t>
      </w:r>
    </w:p>
    <w:p w14:paraId="0D9856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Площади производственные (06.1942 г.)- 15622 м</w:t>
      </w:r>
      <w:r w:rsidRPr="008127F8">
        <w:rPr>
          <w:rFonts w:ascii="Times New Roman" w:hAnsi="Times New Roman"/>
          <w:color w:val="000000" w:themeColor="text1"/>
          <w:sz w:val="16"/>
          <w:szCs w:val="16"/>
          <w:vertAlign w:val="superscript"/>
        </w:rPr>
        <w:t>2 (11982)</w:t>
      </w:r>
      <w:r w:rsidRPr="008127F8">
        <w:rPr>
          <w:rFonts w:ascii="Times New Roman" w:hAnsi="Times New Roman"/>
          <w:color w:val="000000" w:themeColor="text1"/>
          <w:sz w:val="16"/>
          <w:szCs w:val="16"/>
        </w:rPr>
        <w:t>.</w:t>
      </w:r>
    </w:p>
    <w:p w14:paraId="282928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096DE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июня 1942 вышло Постановление ГКО № 1918 Об изготовлении самозарядных винтовок, приспособленных для автоматической стрельбы. РГАНИР, Фонд ГКО, д. 40, лл. 23 (11012).</w:t>
      </w:r>
    </w:p>
    <w:p w14:paraId="5ACA0B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2B5D13"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состоянию на 22 июня 1942 г. завод № 183 занимал территорию площадью 564 гектара. В 44 цехах имелось 3348 металлорежущих станков, 159 единиц литейного оборудования, 231 единица кузнечно-прессового обору-дования, 90 термических печей и 956 сварочных машин. Коллектив завода в это время состоял из 25872 человек, причем 11320 из них являлись производственными рабочими. Почти одна треть – 28 % из общего числа заводчан – были женщины. Причем 60 % женщин имели возраст свыше 26 лет. Удельный процент мужчин этого возраста был выше и составлял 76,9 %. Юноши и девушки в возрасте до 18 лет составляли – 4,2 %. </w:t>
      </w:r>
    </w:p>
    <w:p w14:paraId="5E9E64BD"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Месячный заработок одного среднесписочного рабочего с учетом 11-ти часовой рабочей смены, компенсации за отмененный отпуск и поощрительно-премиальных выплат составлял 702 рубля 19 копеек. Заработок среднесписочного инженерно-технического работника был несколько выше – 1195 рублей 76 копеек. Для сравнения – должностной оклад командира танкового батальона (воинское звание – майор) летом 1942 г. составлял 1050 рублей. У командира танковой роты (капитан) должностной оклад составлял 800 рублей, у командира взвода (старший лейтенант) – 700 рублей, у командира танка Т-34 (лейтенант) – 650 рублей. </w:t>
      </w:r>
    </w:p>
    <w:p w14:paraId="7D8B8165"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Помимо списочного состава, участие в производстве танков принимали рабочие на обучении, ученики ремесленных училищ и школ фабрично-заводского обучения (ФЗО), проходившие производственную практику, а также слушатели Военной академии Механизации и моторизации РККА в период производственной практики и военнослужащие из 19-го учебного танкового полка. Работая в бригадах, они способствовали быстрейшему выполнению заданий по выпуску танков. </w:t>
      </w:r>
    </w:p>
    <w:p w14:paraId="6BEFFE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Общая трудоемкость изготовления танка составила 5586,06 человеко-часа. Наиболее трудоемким было изготовление корпуса, для производства которого затрачивалось 1383,9 человеко-часа. По сборочному цеху «130» трудозатраты при изготовлении нашего танка составили 624,2 человеко-часа. Именно в этом цехе 18 июня 1942 г. была завершена сборка нашего танка (заводской № 600-25), стоимость которого без налога и оборота составила 186443 рубля.</w:t>
      </w:r>
    </w:p>
    <w:p w14:paraId="7107E8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изготовления танка потребовалось: 15293 кг стального литья (в том числе специального – 7135 кг); 354 кг серого чугуна; 272 кг цветного литья (в том числе 201 кг алюминия); 1089 кг поковок из углеродистой стали и 2936 кг из легированной стали (в том числе 125 кг из высоколегированной стали); 3300 кг сортовой углеродистой стали; 471 кг сортовой легированной стали; 110 кг стальных труб; 363 кг стали волаченой углеродистой и 234 кг стали волаченой легированной; 16154 кг броневой стали; 4648 кг углеродистой стали; 146 кг цветного проката и 47 кг цветного сырья. В общей сложности для изготовления нашего танка было использовано 44838 кг металла, после всех видов обработки масса металла в нашем танке составила 27834 кг. Кроме металла, для производства нашего танка было израсходовано: 0,24 м3 хвойных и лиственных пиломатериалов; 12,6 кг белил цинковых; 14,7 кг натуральной олифы; 11,8 кг разных эмалей; 23,4 кг густотертой краски 4БО; 9,7 кг разбавителя № 1; 0,1 кг нашатырного спирта; 28,7 кг молотого мела; 8,8 кг каустической соды; 26,5 кг серной кислоты; 0,5 кг асбестного шнура; 70,9 м2 окрашенного, химически пропитанного брезента; 26 кг резинотехнических изделий; 114 м электропроводов; 2,0 кг пеньки (12067).</w:t>
      </w:r>
    </w:p>
    <w:p w14:paraId="576440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05835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июня 1942 вышло Постановление ГКО № 1919 О мероприятиях по увеличению выпуска хлора, каустической соды и хлорной извести на заводах Наркомхимпрома. РГАНИР, Фонд ГКО, д. 40, лл. 24-30, 31-35 (11012).</w:t>
      </w:r>
    </w:p>
    <w:p w14:paraId="3A8CF8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0A8996"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июня 1942 г. Справка Наркомата судостроительной промышленности СССР о строительстве боевых кораблей и катеров в 1942 г.</w:t>
      </w:r>
    </w:p>
    <w:p w14:paraId="614D3474"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69E234BC"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1942 г. на судостроительных заводах Наркомсудпрома ведется строительство следующих боевых кораблей и боевых катеров:</w:t>
      </w:r>
    </w:p>
    <w:p w14:paraId="260DEE09"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Количество строящихся в 1942 г.</w:t>
      </w:r>
      <w:r w:rsidRPr="008A2E5A">
        <w:rPr>
          <w:rFonts w:ascii="Times New Roman" w:hAnsi="Times New Roman"/>
          <w:color w:val="0070C0"/>
          <w:sz w:val="16"/>
          <w:szCs w:val="16"/>
        </w:rPr>
        <w:tab/>
        <w:t>Из них сдается в 1942 г.</w:t>
      </w:r>
    </w:p>
    <w:p w14:paraId="7F718BA8"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Легкие крейсеры</w:t>
      </w:r>
      <w:r w:rsidRPr="008A2E5A">
        <w:rPr>
          <w:rFonts w:ascii="Times New Roman" w:hAnsi="Times New Roman"/>
          <w:color w:val="0070C0"/>
          <w:sz w:val="16"/>
          <w:szCs w:val="16"/>
        </w:rPr>
        <w:tab/>
        <w:t>2</w:t>
      </w:r>
      <w:r w:rsidRPr="008A2E5A">
        <w:rPr>
          <w:rFonts w:ascii="Times New Roman" w:hAnsi="Times New Roman"/>
          <w:color w:val="0070C0"/>
          <w:sz w:val="16"/>
          <w:szCs w:val="16"/>
        </w:rPr>
        <w:tab/>
        <w:t>1</w:t>
      </w:r>
    </w:p>
    <w:p w14:paraId="4207BBAB"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Миноносцы</w:t>
      </w:r>
      <w:r w:rsidRPr="008A2E5A">
        <w:rPr>
          <w:rFonts w:ascii="Times New Roman" w:hAnsi="Times New Roman"/>
          <w:color w:val="0070C0"/>
          <w:sz w:val="16"/>
          <w:szCs w:val="16"/>
        </w:rPr>
        <w:tab/>
        <w:t>7</w:t>
      </w:r>
      <w:r w:rsidRPr="008A2E5A">
        <w:rPr>
          <w:rFonts w:ascii="Times New Roman" w:hAnsi="Times New Roman"/>
          <w:color w:val="0070C0"/>
          <w:sz w:val="16"/>
          <w:szCs w:val="16"/>
        </w:rPr>
        <w:tab/>
        <w:t>2</w:t>
      </w:r>
    </w:p>
    <w:p w14:paraId="3DB770E7"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Сторожевые корабли</w:t>
      </w:r>
      <w:r w:rsidRPr="008A2E5A">
        <w:rPr>
          <w:rFonts w:ascii="Times New Roman" w:hAnsi="Times New Roman"/>
          <w:color w:val="0070C0"/>
          <w:sz w:val="16"/>
          <w:szCs w:val="16"/>
        </w:rPr>
        <w:tab/>
        <w:t>2</w:t>
      </w:r>
      <w:r w:rsidRPr="008A2E5A">
        <w:rPr>
          <w:rFonts w:ascii="Times New Roman" w:hAnsi="Times New Roman"/>
          <w:color w:val="0070C0"/>
          <w:sz w:val="16"/>
          <w:szCs w:val="16"/>
        </w:rPr>
        <w:tab/>
      </w:r>
    </w:p>
    <w:p w14:paraId="41732955"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Мониторы большие</w:t>
      </w:r>
      <w:r w:rsidRPr="008A2E5A">
        <w:rPr>
          <w:rFonts w:ascii="Times New Roman" w:hAnsi="Times New Roman"/>
          <w:color w:val="0070C0"/>
          <w:sz w:val="16"/>
          <w:szCs w:val="16"/>
        </w:rPr>
        <w:tab/>
        <w:t>2</w:t>
      </w:r>
      <w:r w:rsidRPr="008A2E5A">
        <w:rPr>
          <w:rFonts w:ascii="Times New Roman" w:hAnsi="Times New Roman"/>
          <w:color w:val="0070C0"/>
          <w:sz w:val="16"/>
          <w:szCs w:val="16"/>
        </w:rPr>
        <w:tab/>
        <w:t>1</w:t>
      </w:r>
    </w:p>
    <w:p w14:paraId="7A056C6E"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Тральщики дизельные</w:t>
      </w:r>
      <w:r w:rsidRPr="008A2E5A">
        <w:rPr>
          <w:rFonts w:ascii="Times New Roman" w:hAnsi="Times New Roman"/>
          <w:color w:val="0070C0"/>
          <w:sz w:val="16"/>
          <w:szCs w:val="16"/>
        </w:rPr>
        <w:tab/>
        <w:t>12</w:t>
      </w:r>
      <w:r w:rsidRPr="008A2E5A">
        <w:rPr>
          <w:rFonts w:ascii="Times New Roman" w:hAnsi="Times New Roman"/>
          <w:color w:val="0070C0"/>
          <w:sz w:val="16"/>
          <w:szCs w:val="16"/>
        </w:rPr>
        <w:tab/>
        <w:t>8</w:t>
      </w:r>
    </w:p>
    <w:p w14:paraId="3D1DADE6"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Подводные лодки IX с[ерии] типа «С»</w:t>
      </w:r>
      <w:r w:rsidRPr="008A2E5A">
        <w:rPr>
          <w:rFonts w:ascii="Times New Roman" w:hAnsi="Times New Roman"/>
          <w:color w:val="0070C0"/>
          <w:sz w:val="16"/>
          <w:szCs w:val="16"/>
        </w:rPr>
        <w:tab/>
        <w:t>7</w:t>
      </w:r>
      <w:r w:rsidRPr="008A2E5A">
        <w:rPr>
          <w:rFonts w:ascii="Times New Roman" w:hAnsi="Times New Roman"/>
          <w:color w:val="0070C0"/>
          <w:sz w:val="16"/>
          <w:szCs w:val="16"/>
        </w:rPr>
        <w:tab/>
        <w:t>6</w:t>
      </w:r>
    </w:p>
    <w:p w14:paraId="36A526CC"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Подводные лодки XIII с[ерии! типа «Л»</w:t>
      </w:r>
      <w:r w:rsidRPr="008A2E5A">
        <w:rPr>
          <w:rFonts w:ascii="Times New Roman" w:hAnsi="Times New Roman"/>
          <w:color w:val="0070C0"/>
          <w:sz w:val="16"/>
          <w:szCs w:val="16"/>
        </w:rPr>
        <w:tab/>
        <w:t>3</w:t>
      </w:r>
      <w:r w:rsidRPr="008A2E5A">
        <w:rPr>
          <w:rFonts w:ascii="Times New Roman" w:hAnsi="Times New Roman"/>
          <w:color w:val="0070C0"/>
          <w:sz w:val="16"/>
          <w:szCs w:val="16"/>
        </w:rPr>
        <w:tab/>
        <w:t>3</w:t>
      </w:r>
    </w:p>
    <w:p w14:paraId="78CE3C91"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Подводные лодки XV с[ерии] типа «М»</w:t>
      </w:r>
      <w:r w:rsidRPr="008A2E5A">
        <w:rPr>
          <w:rFonts w:ascii="Times New Roman" w:hAnsi="Times New Roman"/>
          <w:color w:val="0070C0"/>
          <w:sz w:val="16"/>
          <w:szCs w:val="16"/>
        </w:rPr>
        <w:tab/>
        <w:t>4</w:t>
      </w:r>
      <w:r w:rsidRPr="008A2E5A">
        <w:rPr>
          <w:rFonts w:ascii="Times New Roman" w:hAnsi="Times New Roman"/>
          <w:color w:val="0070C0"/>
          <w:sz w:val="16"/>
          <w:szCs w:val="16"/>
        </w:rPr>
        <w:tab/>
        <w:t>2</w:t>
      </w:r>
    </w:p>
    <w:p w14:paraId="1AF68C6D"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Охотники большие</w:t>
      </w:r>
      <w:r w:rsidRPr="008A2E5A">
        <w:rPr>
          <w:rFonts w:ascii="Times New Roman" w:hAnsi="Times New Roman"/>
          <w:color w:val="0070C0"/>
          <w:sz w:val="16"/>
          <w:szCs w:val="16"/>
        </w:rPr>
        <w:tab/>
        <w:t>54</w:t>
      </w:r>
      <w:r w:rsidRPr="008A2E5A">
        <w:rPr>
          <w:rFonts w:ascii="Times New Roman" w:hAnsi="Times New Roman"/>
          <w:color w:val="0070C0"/>
          <w:sz w:val="16"/>
          <w:szCs w:val="16"/>
        </w:rPr>
        <w:tab/>
        <w:t>30</w:t>
      </w:r>
    </w:p>
    <w:p w14:paraId="7F75EDE9"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Охотники малые</w:t>
      </w:r>
      <w:r w:rsidRPr="008A2E5A">
        <w:rPr>
          <w:rFonts w:ascii="Times New Roman" w:hAnsi="Times New Roman"/>
          <w:color w:val="0070C0"/>
          <w:sz w:val="16"/>
          <w:szCs w:val="16"/>
        </w:rPr>
        <w:tab/>
        <w:t>64</w:t>
      </w:r>
      <w:r w:rsidRPr="008A2E5A">
        <w:rPr>
          <w:rFonts w:ascii="Times New Roman" w:hAnsi="Times New Roman"/>
          <w:color w:val="0070C0"/>
          <w:sz w:val="16"/>
          <w:szCs w:val="16"/>
        </w:rPr>
        <w:tab/>
        <w:t>29</w:t>
      </w:r>
    </w:p>
    <w:p w14:paraId="6A350C50"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Бронекатера</w:t>
      </w:r>
      <w:r w:rsidRPr="008A2E5A">
        <w:rPr>
          <w:rFonts w:ascii="Times New Roman" w:hAnsi="Times New Roman"/>
          <w:color w:val="0070C0"/>
          <w:sz w:val="16"/>
          <w:szCs w:val="16"/>
        </w:rPr>
        <w:tab/>
        <w:t>94</w:t>
      </w:r>
      <w:r w:rsidRPr="008A2E5A">
        <w:rPr>
          <w:rFonts w:ascii="Times New Roman" w:hAnsi="Times New Roman"/>
          <w:color w:val="0070C0"/>
          <w:sz w:val="16"/>
          <w:szCs w:val="16"/>
        </w:rPr>
        <w:tab/>
        <w:t>61</w:t>
      </w:r>
    </w:p>
    <w:p w14:paraId="10263EE5"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Торпедные катера</w:t>
      </w:r>
      <w:r w:rsidRPr="008A2E5A">
        <w:rPr>
          <w:rFonts w:ascii="Times New Roman" w:hAnsi="Times New Roman"/>
          <w:color w:val="0070C0"/>
          <w:sz w:val="16"/>
          <w:szCs w:val="16"/>
        </w:rPr>
        <w:tab/>
        <w:t>54</w:t>
      </w:r>
      <w:r w:rsidRPr="008A2E5A">
        <w:rPr>
          <w:rFonts w:ascii="Times New Roman" w:hAnsi="Times New Roman"/>
          <w:color w:val="0070C0"/>
          <w:sz w:val="16"/>
          <w:szCs w:val="16"/>
        </w:rPr>
        <w:tab/>
        <w:t>38</w:t>
      </w:r>
    </w:p>
    <w:p w14:paraId="264784E6"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того, на заводах Наркомречфлота, Наркомморфлота, Наркомлеса, Наркомтанкопрома и Наркомрыбпрома строятся в 1942 г. по решению Государственного комитета обороны № 992сс от 4 декабря 1941 г.1* следующие боевые корабли и катера:</w:t>
      </w:r>
    </w:p>
    <w:p w14:paraId="20C23DC1"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Наркомат</w:t>
      </w:r>
      <w:r w:rsidRPr="008A2E5A">
        <w:rPr>
          <w:rFonts w:ascii="Times New Roman" w:hAnsi="Times New Roman"/>
          <w:color w:val="0070C0"/>
          <w:sz w:val="16"/>
          <w:szCs w:val="16"/>
        </w:rPr>
        <w:tab/>
        <w:t>Количество строящихся в 1942 г.</w:t>
      </w:r>
      <w:r w:rsidRPr="008A2E5A">
        <w:rPr>
          <w:rFonts w:ascii="Times New Roman" w:hAnsi="Times New Roman"/>
          <w:color w:val="0070C0"/>
          <w:sz w:val="16"/>
          <w:szCs w:val="16"/>
        </w:rPr>
        <w:tab/>
        <w:t>Из них сдает- ся в 1942 г.</w:t>
      </w:r>
    </w:p>
    <w:p w14:paraId="56C7D28E"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Подводные лодки XII с[ерии] типа «М»</w:t>
      </w:r>
      <w:r w:rsidRPr="008A2E5A">
        <w:rPr>
          <w:rFonts w:ascii="Times New Roman" w:hAnsi="Times New Roman"/>
          <w:color w:val="0070C0"/>
          <w:sz w:val="16"/>
          <w:szCs w:val="16"/>
        </w:rPr>
        <w:tab/>
        <w:t>НКТП</w:t>
      </w:r>
      <w:r w:rsidRPr="008A2E5A">
        <w:rPr>
          <w:rFonts w:ascii="Times New Roman" w:hAnsi="Times New Roman"/>
          <w:color w:val="0070C0"/>
          <w:sz w:val="16"/>
          <w:szCs w:val="16"/>
        </w:rPr>
        <w:tab/>
        <w:t>5</w:t>
      </w:r>
      <w:r w:rsidRPr="008A2E5A">
        <w:rPr>
          <w:rFonts w:ascii="Times New Roman" w:hAnsi="Times New Roman"/>
          <w:color w:val="0070C0"/>
          <w:sz w:val="16"/>
          <w:szCs w:val="16"/>
        </w:rPr>
        <w:tab/>
        <w:t>5</w:t>
      </w:r>
    </w:p>
    <w:p w14:paraId="4AE56954"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Монитор большой</w:t>
      </w:r>
      <w:r w:rsidRPr="008A2E5A">
        <w:rPr>
          <w:rFonts w:ascii="Times New Roman" w:hAnsi="Times New Roman"/>
          <w:color w:val="0070C0"/>
          <w:sz w:val="16"/>
          <w:szCs w:val="16"/>
        </w:rPr>
        <w:tab/>
        <w:t>НКТП</w:t>
      </w:r>
      <w:r w:rsidRPr="008A2E5A">
        <w:rPr>
          <w:rFonts w:ascii="Times New Roman" w:hAnsi="Times New Roman"/>
          <w:color w:val="0070C0"/>
          <w:sz w:val="16"/>
          <w:szCs w:val="16"/>
        </w:rPr>
        <w:tab/>
        <w:t>1</w:t>
      </w:r>
      <w:r w:rsidRPr="008A2E5A">
        <w:rPr>
          <w:rFonts w:ascii="Times New Roman" w:hAnsi="Times New Roman"/>
          <w:color w:val="0070C0"/>
          <w:sz w:val="16"/>
          <w:szCs w:val="16"/>
        </w:rPr>
        <w:tab/>
        <w:t>1</w:t>
      </w:r>
    </w:p>
    <w:p w14:paraId="5E0689E4"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Охотники большие</w:t>
      </w:r>
      <w:r w:rsidRPr="008A2E5A">
        <w:rPr>
          <w:rFonts w:ascii="Times New Roman" w:hAnsi="Times New Roman"/>
          <w:color w:val="0070C0"/>
          <w:sz w:val="16"/>
          <w:szCs w:val="16"/>
        </w:rPr>
        <w:tab/>
        <w:t>НКРП и НКМФ</w:t>
      </w:r>
      <w:r w:rsidRPr="008A2E5A">
        <w:rPr>
          <w:rFonts w:ascii="Times New Roman" w:hAnsi="Times New Roman"/>
          <w:color w:val="0070C0"/>
          <w:sz w:val="16"/>
          <w:szCs w:val="16"/>
        </w:rPr>
        <w:tab/>
        <w:t>9</w:t>
      </w:r>
      <w:r w:rsidRPr="008A2E5A">
        <w:rPr>
          <w:rFonts w:ascii="Times New Roman" w:hAnsi="Times New Roman"/>
          <w:color w:val="0070C0"/>
          <w:sz w:val="16"/>
          <w:szCs w:val="16"/>
        </w:rPr>
        <w:tab/>
        <w:t>3</w:t>
      </w:r>
    </w:p>
    <w:p w14:paraId="3BE4C985"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Охотники малые</w:t>
      </w:r>
      <w:r w:rsidRPr="008A2E5A">
        <w:rPr>
          <w:rFonts w:ascii="Times New Roman" w:hAnsi="Times New Roman"/>
          <w:color w:val="0070C0"/>
          <w:sz w:val="16"/>
          <w:szCs w:val="16"/>
        </w:rPr>
        <w:tab/>
        <w:t>НКРП, НКЛес, НКМФ</w:t>
      </w:r>
      <w:r w:rsidRPr="008A2E5A">
        <w:rPr>
          <w:rFonts w:ascii="Times New Roman" w:hAnsi="Times New Roman"/>
          <w:color w:val="0070C0"/>
          <w:sz w:val="16"/>
          <w:szCs w:val="16"/>
        </w:rPr>
        <w:tab/>
        <w:t>53</w:t>
      </w:r>
      <w:r w:rsidRPr="008A2E5A">
        <w:rPr>
          <w:rFonts w:ascii="Times New Roman" w:hAnsi="Times New Roman"/>
          <w:color w:val="0070C0"/>
          <w:sz w:val="16"/>
          <w:szCs w:val="16"/>
        </w:rPr>
        <w:tab/>
        <w:t>33</w:t>
      </w:r>
    </w:p>
    <w:p w14:paraId="5313B70D"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Бронекатера</w:t>
      </w:r>
      <w:r w:rsidRPr="008A2E5A">
        <w:rPr>
          <w:rFonts w:ascii="Times New Roman" w:hAnsi="Times New Roman"/>
          <w:color w:val="0070C0"/>
          <w:sz w:val="16"/>
          <w:szCs w:val="16"/>
        </w:rPr>
        <w:tab/>
        <w:t>НКРФ</w:t>
      </w:r>
      <w:r w:rsidRPr="008A2E5A">
        <w:rPr>
          <w:rFonts w:ascii="Times New Roman" w:hAnsi="Times New Roman"/>
          <w:color w:val="0070C0"/>
          <w:sz w:val="16"/>
          <w:szCs w:val="16"/>
        </w:rPr>
        <w:tab/>
        <w:t>44</w:t>
      </w:r>
      <w:r w:rsidRPr="008A2E5A">
        <w:rPr>
          <w:rFonts w:ascii="Times New Roman" w:hAnsi="Times New Roman"/>
          <w:color w:val="0070C0"/>
          <w:sz w:val="16"/>
          <w:szCs w:val="16"/>
        </w:rPr>
        <w:tab/>
        <w:t>25</w:t>
      </w:r>
    </w:p>
    <w:p w14:paraId="36624F5B"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программе Наркомсудпрома состояние постройки и обеспеченности следующее.</w:t>
      </w:r>
    </w:p>
    <w:p w14:paraId="748B2388"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Легкие крейсеры. Ведется постройка двух легких крейсеров на Комсомольском заводе № 199* 2*. Крейсер «Калинин», сдающийся в 1942 г., заканчивается постройкой.</w:t>
      </w:r>
    </w:p>
    <w:p w14:paraId="18DF1191"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Закончен монтаж главных и вспомогательных механизмов. Начаты швартовые испытания: корабль готовится к переходу во Владивосток своим ходом в начале августа текущего года. В связи с отсутствием ряда поставок по вооружению (торпедные аппараты, зенитное вооружение, самолетно-баркасные краны, КДП и СПН) по согласованию с НКВМФ производятся временные замены недостающего. Главным вооружением и всеми основными механизмами крейсер «Калинин» обеспечен.</w:t>
      </w:r>
    </w:p>
    <w:p w14:paraId="40B1B693"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Миноносцы. Ведется постройка 7 кораблей. Из них 2 корабля проекта 7 достраиваются на владивостокском заводе № 202 и на Комсомольском заводе № 199 со сдачей в III квартале текущего года. Остальные 5 миноносцев проекта 30 должны сдаваться в 1943 г. Только один из них обеспечен главными турбомеханизмами. Остальные корабли механизмами не обеспечены. Изготовление главных турбин возложено на отечественные заводы. На импорт заказаны турбодинамо и другие вспомогательные механизмы.</w:t>
      </w:r>
    </w:p>
    <w:p w14:paraId="7CB60981"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Сторожевые корабли. Находятся в постройке два корабля на Комсомольском заводе № 199. Корпуса кораблей готовы, но механизмами не обеспечены. Изготовление главных турбин возложено на отечественные заводы.</w:t>
      </w:r>
    </w:p>
    <w:p w14:paraId="6E978D7A"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Мониторы. Ведется постройка двух кораблей на Хабаровском заводе № 368. Один</w:t>
      </w:r>
    </w:p>
    <w:p w14:paraId="471B65A6"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монитор обеспечен поставками, кроме главного вооружения (башни Б-28). Второй</w:t>
      </w:r>
    </w:p>
    <w:p w14:paraId="0117738A"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монитор находится в стадии корпусных работ (техническая готовность 31%) и механизмов не имеет.</w:t>
      </w:r>
    </w:p>
    <w:p w14:paraId="7BB82DA0"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Тральщики дизельные. В достройке находятся 12 тральщиков, выведенных из Ленинграда. Работы ведутся только по переделке корпуса. Основной тормоз в достройке тральщиков — отсутствие дизелей, заказанных на импорт (1600 л. с.). По последнему сообщению НКВТ (т. Федорова), заказ на дизели для тральщиков (комплектно с реверсивными муфтами) еще не размещен. Отсутствие дизелей срывает достройку 8 тральщиков в 1942 г.</w:t>
      </w:r>
    </w:p>
    <w:p w14:paraId="63BB51AE"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Охотники большие. Находятся в постройке 19 кораблей. Закладка охотников задержалась из-за недостаточных фондов на листовой металл, выделяемых для судостроения. </w:t>
      </w:r>
    </w:p>
    <w:p w14:paraId="24395DA6"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и июле будут сданы 3 охотника, обеспеченных отечественными механизмами. Дальнейшая достройка и сдача охотников целиком зависит от поставки импортных дизелей 1200 л. с. Сроки отгрузки дизелей из Америки по последнему сообщению НКВТ: в июле — 6 шт. (на 2 корабля), в августе — 9 шт. (на 3 корабля) и начиная с сентября — по 12 шт. в месяц. При таких сроках отгрузки дизелей не обеспечивается программа 1942 г. по сдаче 30 охотников. Максимальное количество сдаваемых охотников в текущем году (кроме 3 ед. с отечественными механизмами) сокращается до 5 кораблей.</w:t>
      </w:r>
    </w:p>
    <w:p w14:paraId="47CA7030"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Подводные лодки XIII cfepuu] типа «Л». Из трех достраивающихся в 1942 г. больших подлодок сдана одна в апреле месяце. Две подлодки проходят испытания на молотовском заводе № 402 и будут сданы в III квартале.</w:t>
      </w:r>
    </w:p>
    <w:p w14:paraId="3C3EB4D5"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Подводные лодки IX с[ерии] типа «С». Находятся в достройке 7 подводных лодок, из них: 2 — на владивостокском заводе № 202 со сдачей в 1942 г. и 5 ед. достраиваются на астраханском заводе № 638. Достройка подлодок в Астрахани на несколько месяцев фактически приостанавливается из-за передачи на завод № 638 достройки танкера и ремонта 4 судов для Наркомречфлота.</w:t>
      </w:r>
    </w:p>
    <w:p w14:paraId="4CAC2F96"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Подводные лодки XV с[ерии] типа «М». Находятся в достройке 4 подлодки, из них 2 сдаются в III квартале 1942 г. на астраханском заводе № 638.</w:t>
      </w:r>
    </w:p>
    <w:p w14:paraId="04AA7007"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Охотники малые. Находится в постройке 21 малый охотник. Импортные моторы «паккард» начали поступать в Союз (100 шт.).</w:t>
      </w:r>
    </w:p>
    <w:p w14:paraId="19986A8D"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Бронекатера. Находятся в постройке 43 бронекатера. Кроме того, сдано в текущем году 8 бронекатеров. Импортные моторы «холл-скотт» запаздывают. В мае и в июне должны были быть отгружены из Америки 20 моторов. Фактически приняты только 10 моторов некомплектно. Сведений об отгрузке из Америки еще нет.</w:t>
      </w:r>
    </w:p>
    <w:p w14:paraId="073C6AEF"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Торпедные катера. Находятся в постройке 39 торпедных катеров. Моторы «паккард» поставляются удовлетворительно.</w:t>
      </w:r>
    </w:p>
    <w:p w14:paraId="33DEFFC8"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Главные вопросы по импорту: дизели 1600 л. с. для тральщиков (с реверсивными муфтами), дизели 1200 л. с. для больших охотников, моторы «холл-скотт» для бронекатеров.</w:t>
      </w:r>
    </w:p>
    <w:p w14:paraId="0D0774E6"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судостроительной промышленности Союза ССР И. Носенко</w:t>
      </w:r>
    </w:p>
    <w:p w14:paraId="721C5BD7" w14:textId="77777777" w:rsidR="009D1933" w:rsidRPr="008A2E5A" w:rsidRDefault="009D1933" w:rsidP="009D1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 8899. Оп. 1. Д. 258. Л. 5-9. Копия (23786).</w:t>
      </w:r>
    </w:p>
    <w:p w14:paraId="44FC4177" w14:textId="77777777" w:rsidR="009D1933" w:rsidRPr="008A2E5A" w:rsidRDefault="009D1933" w:rsidP="009D1933">
      <w:pPr>
        <w:spacing w:after="0" w:line="240" w:lineRule="auto"/>
        <w:jc w:val="both"/>
        <w:rPr>
          <w:rFonts w:ascii="Times New Roman" w:hAnsi="Times New Roman"/>
          <w:color w:val="0070C0"/>
          <w:sz w:val="16"/>
          <w:szCs w:val="16"/>
        </w:rPr>
      </w:pPr>
    </w:p>
    <w:p w14:paraId="4D27FF6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127F005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3DF51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20 июня</w:t>
      </w:r>
      <w:r w:rsidRPr="008127F8">
        <w:rPr>
          <w:rFonts w:ascii="Times New Roman" w:hAnsi="Times New Roman"/>
          <w:color w:val="000000" w:themeColor="text1"/>
          <w:sz w:val="16"/>
          <w:szCs w:val="16"/>
        </w:rPr>
        <w:t xml:space="preserve"> в 1942 году утреннее сообщение Совинформбюро:</w:t>
      </w:r>
    </w:p>
    <w:p w14:paraId="3CF005C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20 июня на фронте существенных изменений не произошло.</w:t>
      </w:r>
    </w:p>
    <w:p w14:paraId="5F1AE41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Калининского фронта, отбила несколько атак немецкой пехоты. В течение двух дней нашими бойцами уничтожено 3 немецких танка, 3 орудия и несколько миномётов. Противник потерял убитыми более 700 солдат и офицеров.</w:t>
      </w:r>
    </w:p>
    <w:p w14:paraId="25ACE15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Энской части (Северо-Западный фронт) провели огневой налёт на оборонительный пункт противника. Огнём наших орудий разрушено 3 немецких ДЗОТа, уничтожено одно тяжёлое орудие, взорван склад с боеприпасами.</w:t>
      </w:r>
    </w:p>
    <w:p w14:paraId="744D3C5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Лётчики части под командованием тов. Филатова совершили несколько налётов на скопление немецких войск и оборонительные укрепления противника. Бомбовыми ударами уничтожено 7 немецких ДЗОТов, 3 полевых орудия, 17 автомашин, рассеяно и частью уничтожено до батальона пехоты противника.</w:t>
      </w:r>
    </w:p>
    <w:p w14:paraId="5210B3D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три с половиной месяца снайперы подразделения тов. Лушникова, действующего на одном из участков Ленинградского фронта, уничтожили более 800 гитлеровцев. Снайпер этого подразделения тов. Семёнов истребил 165 гитлеровцев, тов. Яковлев—94 и тов. Соловьёв — 80 солдат и офицеров противника.</w:t>
      </w:r>
    </w:p>
    <w:p w14:paraId="65D1129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части, где командиром тов. Волков, ружейно-пулемётным огнём сбили двухмоторный бомбардировщик противника. Два немецких лётчика взяты в плен.</w:t>
      </w:r>
    </w:p>
    <w:p w14:paraId="20C39EA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К., действующий в одном из оккупированных немцами районов Украины, взорвал железнодорожный эшелон противника с боеприпасами. Движение по дороге было приостановлено на три дня.</w:t>
      </w:r>
    </w:p>
    <w:p w14:paraId="0BAB089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602 немецкого транспортного батальона Вилли Шульц рассказал: «Наш батальон перевозил военные грузы из Германии в прифронтовые города. Последний рейс был очень неудачный. У пункта К. прорвались русские части. В колонне началась страшная паника. Некоторые шофёры бросали свои машины и бежали. Другие пытались удрать на грузовиках. Часть машин завязла в грязи и загородила путь остальным. Образовалась пробка. Мы понесли очень большие потери. В оккупированных районах я видел на дорогах много машин, взорванных и уничтоженных партизанами. Недавно командование издало приказ, в котором предлагается расстреливать на месте каждого встречного русского, идущего по тракту или обнаруженного поблизости от тракта».</w:t>
      </w:r>
    </w:p>
    <w:p w14:paraId="3B74ABF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пленного немецкого ефрейтора Ганса Ове найдены письма от матери из Гамбурга. Приводим несколько выдержек из писем: «...Гейнц Гербен должен сегодня явиться: ему 17 лет... Вилли в этом месяце исполнится 17 лет. Он тоже скоро станет солдатом... Вчера с 11 часов вечера до трёх часов ночи была воздушная тревога. В бомбоубежище погас свет... Любек на три четверти сровнён с землёй... Росток три ночи подряд подвергался бомбардировке. Там теперь всё выглядит так же пустынно, как и в Любеке. Никогда ещё не было ничего подобного. Заводы Хейнкель, по всей вероятности, тоже разрушены. Много убитых. Что будет дальше с нами? Сделают ли они с Гамбургом то же самое?»</w:t>
      </w:r>
    </w:p>
    <w:p w14:paraId="05F533C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Гитлеровские власти отправили из Норвегии в Германию 800 немецких жандармов, «на состоянии духа которых отразился контакт с местным населением». Многие жандармы арестованы.</w:t>
      </w:r>
    </w:p>
    <w:p w14:paraId="2ACF994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Трудящиеся Туркменской республики отправили на фронт 34 вагона с подарками для красноармейцев, командиров и политработников. В посылках бойцам направлены колбасные изделия, мёд, сушёные фрукты, вино, папиросы, туалетное мыло, портсигары, кисеты, термосы, патефоны и другие подарки (14928).</w:t>
      </w:r>
    </w:p>
    <w:p w14:paraId="79391A8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EBB9B0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20 июня</w:t>
      </w:r>
      <w:r w:rsidRPr="008127F8">
        <w:rPr>
          <w:rFonts w:ascii="Times New Roman" w:hAnsi="Times New Roman"/>
          <w:color w:val="000000" w:themeColor="text1"/>
          <w:sz w:val="16"/>
          <w:szCs w:val="16"/>
        </w:rPr>
        <w:t xml:space="preserve"> в 1942 году вечернее сообщение Совинформбюро:</w:t>
      </w:r>
    </w:p>
    <w:p w14:paraId="1E379AF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20 июня на Севастопольском участке фронта продолжались ожесточённые бои.</w:t>
      </w:r>
    </w:p>
    <w:p w14:paraId="564192E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участке Харьковского направления наши войска вели бои с наступающим противником.</w:t>
      </w:r>
    </w:p>
    <w:p w14:paraId="2CADB48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происходили бои местного значения и поиски разведчиков.</w:t>
      </w:r>
    </w:p>
    <w:p w14:paraId="1EF4A97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19 июня частями нашей авиации на различных участках фронта уничтожено или повреждено до 50 немецких автомашин с войсками и грузами, 10 повозок с боеприпасами, 7 зенитно-пулемётных точек, взорван склад с боеприпасами, разбит железнодорожный состав, потоплено два моторных бота и буксирный катер, рассеяно и частью уничтожено до двух рот пехоты противника.</w:t>
      </w:r>
    </w:p>
    <w:p w14:paraId="2B161A1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Севастопольском участке фронта идут напряжённые бои. Героические защитники Севастополя днём и ночью отбивают ожесточённые атаки превосходящих сил противника и наносят ему тяжёлые потери. Береговая батарея, которой командует старший лейтенант Дмитриев, уничтожила до батальона вражеской пехоты. Рота противотанковых ружей одной из частей Черноморского флота за три дня подбила 23 немецких танка и уничтожила до 300 гитлеровцев. Краснофлотец тов. Тимохин ружейным огнём сбил немецкий самолёт. Самоотверженно действует морская авиация. За два дня наши лётчики уничтожили 29 немецких танков, 12 миномётных батарей, 60 автомашин и более батальона пехоты противника.</w:t>
      </w:r>
    </w:p>
    <w:p w14:paraId="09F2BDD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Брянского фронта сапёры Исаичев, Ситников, Кирьяков.Вемаков, сержанты Коняшкин и Хохлов обнаружили и обезвредили минное поле противника. Через образовавшиеся проходы наши танки и пехота атаковали немцев. В результате боя противник потерял убитыми свыше 600 солдат и офицеров. Захвачено 6 немецких танков, 4 орудия, 6 пулемётов, 4 миномёта, много автоматов и винтовок.</w:t>
      </w:r>
    </w:p>
    <w:p w14:paraId="406AB04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Энской части (Калининский фронт) ночью подтянули гаубицу к пункту П., занятому немцами. Рано утром бойцы открыли огонь и уничтожили более 50 немецких солдат и офицеров, 15 грузовых автомашин, взорвали склад с боеприпасами и бензинохранилище. Прямым попаданием снаряда разрушен дом, в котором помещался штаб немецкого гарнизона.</w:t>
      </w:r>
    </w:p>
    <w:p w14:paraId="57F8C02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Тридцать пять гитлеровцев атаковали окоп, где находился командир отделения Мартынов с несколькими бойцами. Отважный командир уничтожил 20 гитлеровцев и отстреливался до тех пор, пока на помощь не пришли бойцы подразделения.</w:t>
      </w:r>
    </w:p>
    <w:p w14:paraId="7CF13CE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Снайперы подразделения тов. Кожанова в течение нескольких дней уничтожили 58 немецких солдат и офицеров.</w:t>
      </w:r>
    </w:p>
    <w:p w14:paraId="4DBAAA2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Четыре украинских партизанских отряда под общим командованием тов. С.совершили налёт на село, в котором расположилась немецкая часть. Партизаны уничтожили 82 немецких солдата и одного штабного офицера, труп которого гитлеровцы увезли на специально прибывшем самолёте. На другой день партизанскийотряд тов. П. разгромил немецкий обоз. Партизаны уничтожили 19 оккупантов, 8 автомашин и несколько повозок с военным грузом.</w:t>
      </w:r>
    </w:p>
    <w:p w14:paraId="0D1FAA8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23 немецкого полка Отто Р. рассказал: «Мне пришлосьучаствовать в польском и французском походах. Но настоящую войну я увидел только в России. Непрерывные бои окончательно подорвали мои силы. Я стал с полным безразличием относиться ко всему, думая лишь об одном: когда же кончится этот ад? На моё моральное состояние повлияла и печальная судьба моих трёх братьев. Брат Бертольд служил вместе со мной в одном полку. В апреле этого года он был убит. Второй брат Густав тяжело ранен и навсегда потерял трудоспособность. Третий брат тоже на русском фронте. Уже несколько месяцев я не имею от него никаких известий. Я больше не мог терпеть. Когда к нам ворвались русские танки, я с пятью товарищами сидел в блиндаже. Танкисты нас не заметили. Можно было ещё попытаться скрыться и удрать. Но я решил: назад к своим не пойду, ибо воевать больше не в силах. Мы сговорились, и все 6 человек сдались в плен».</w:t>
      </w:r>
    </w:p>
    <w:p w14:paraId="12DD2A7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командиров и красноармейцев составила акт о чудовищном преступлении гитлеровских людоедов. В акте говорится, что на отвоёванной у немцев высоте был найден труп краснофлотца, зверски замученного немецко-фашистскими извергами. Труп носил следы страшных пыток. Левое предплечье выломано из локтевого сустава, отрезаны пальцы рук, выколоты глаза, грудь и бёдра имеют следы ожогов. Акт подписали командиры и красноармейцы Калинин, Гезунтерман, Казьмин, Желифонов, Ходаз и Виноградов.» (14928).</w:t>
      </w:r>
    </w:p>
    <w:p w14:paraId="49B3375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B5F57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июня 1942 по поводу причин продолжающегося наступления немцев на юге штаб ВВС КА в своих указаниях № 332309 писал следующее:</w:t>
      </w:r>
    </w:p>
    <w:p w14:paraId="13BC1B7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w:t>
      </w:r>
      <w:r w:rsidRPr="008127F8">
        <w:rPr>
          <w:rFonts w:ascii="Times New Roman" w:hAnsi="Times New Roman"/>
          <w:iCs/>
          <w:color w:val="000000" w:themeColor="text1"/>
          <w:sz w:val="16"/>
          <w:szCs w:val="16"/>
        </w:rPr>
        <w:t>неправдоподобность донесений штабов воздушных армий является следствием того, что результаты бое</w:t>
      </w:r>
      <w:r w:rsidRPr="008127F8">
        <w:rPr>
          <w:rFonts w:ascii="Times New Roman" w:hAnsi="Times New Roman"/>
          <w:iCs/>
          <w:color w:val="000000" w:themeColor="text1"/>
          <w:sz w:val="16"/>
          <w:szCs w:val="16"/>
        </w:rPr>
        <w:softHyphen/>
        <w:t>вых действий авиации никем не конт</w:t>
      </w:r>
      <w:r w:rsidRPr="008127F8">
        <w:rPr>
          <w:rFonts w:ascii="Times New Roman" w:hAnsi="Times New Roman"/>
          <w:iCs/>
          <w:color w:val="000000" w:themeColor="text1"/>
          <w:sz w:val="16"/>
          <w:szCs w:val="16"/>
        </w:rPr>
        <w:softHyphen/>
        <w:t>ролируются, и донесения обычно со</w:t>
      </w:r>
      <w:r w:rsidRPr="008127F8">
        <w:rPr>
          <w:rFonts w:ascii="Times New Roman" w:hAnsi="Times New Roman"/>
          <w:iCs/>
          <w:color w:val="000000" w:themeColor="text1"/>
          <w:sz w:val="16"/>
          <w:szCs w:val="16"/>
        </w:rPr>
        <w:softHyphen/>
        <w:t>ставляются на основании докладов экипажей самолетов, летавших на вы</w:t>
      </w:r>
      <w:r w:rsidRPr="008127F8">
        <w:rPr>
          <w:rFonts w:ascii="Times New Roman" w:hAnsi="Times New Roman"/>
          <w:iCs/>
          <w:color w:val="000000" w:themeColor="text1"/>
          <w:sz w:val="16"/>
          <w:szCs w:val="16"/>
        </w:rPr>
        <w:softHyphen/>
        <w:t xml:space="preserve">полнение задания". </w:t>
      </w:r>
      <w:r w:rsidRPr="008127F8">
        <w:rPr>
          <w:rFonts w:ascii="Times New Roman" w:hAnsi="Times New Roman"/>
          <w:color w:val="000000" w:themeColor="text1"/>
          <w:sz w:val="16"/>
          <w:szCs w:val="16"/>
        </w:rPr>
        <w:t>К середине июня был полностью вы</w:t>
      </w:r>
      <w:r w:rsidRPr="008127F8">
        <w:rPr>
          <w:rFonts w:ascii="Times New Roman" w:hAnsi="Times New Roman"/>
          <w:color w:val="000000" w:themeColor="text1"/>
          <w:sz w:val="16"/>
          <w:szCs w:val="16"/>
        </w:rPr>
        <w:softHyphen/>
        <w:t>бит и отправлен в тыл на переформи</w:t>
      </w:r>
      <w:r w:rsidRPr="008127F8">
        <w:rPr>
          <w:rFonts w:ascii="Times New Roman" w:hAnsi="Times New Roman"/>
          <w:color w:val="000000" w:themeColor="text1"/>
          <w:sz w:val="16"/>
          <w:szCs w:val="16"/>
        </w:rPr>
        <w:softHyphen/>
        <w:t xml:space="preserve">рование 800-й </w:t>
      </w:r>
      <w:r w:rsidRPr="008127F8">
        <w:rPr>
          <w:rFonts w:ascii="Times New Roman" w:hAnsi="Times New Roman"/>
          <w:iCs/>
          <w:color w:val="000000" w:themeColor="text1"/>
          <w:sz w:val="16"/>
          <w:szCs w:val="16"/>
        </w:rPr>
        <w:t>шап</w:t>
      </w:r>
      <w:r w:rsidRPr="008127F8">
        <w:rPr>
          <w:rFonts w:ascii="Times New Roman" w:hAnsi="Times New Roman"/>
          <w:color w:val="000000" w:themeColor="text1"/>
          <w:sz w:val="16"/>
          <w:szCs w:val="16"/>
        </w:rPr>
        <w:t xml:space="preserve"> п-п-ка П.М.Шишки</w:t>
      </w:r>
      <w:r w:rsidRPr="008127F8">
        <w:rPr>
          <w:rFonts w:ascii="Times New Roman" w:hAnsi="Times New Roman"/>
          <w:color w:val="000000" w:themeColor="text1"/>
          <w:sz w:val="16"/>
          <w:szCs w:val="16"/>
        </w:rPr>
        <w:softHyphen/>
        <w:t xml:space="preserve">на. Вместо 800-го </w:t>
      </w:r>
      <w:r w:rsidRPr="008127F8">
        <w:rPr>
          <w:rFonts w:ascii="Times New Roman" w:hAnsi="Times New Roman"/>
          <w:iCs/>
          <w:color w:val="000000" w:themeColor="text1"/>
          <w:sz w:val="16"/>
          <w:szCs w:val="16"/>
        </w:rPr>
        <w:t>шап</w:t>
      </w:r>
      <w:r w:rsidRPr="008127F8">
        <w:rPr>
          <w:rFonts w:ascii="Times New Roman" w:hAnsi="Times New Roman"/>
          <w:color w:val="000000" w:themeColor="text1"/>
          <w:sz w:val="16"/>
          <w:szCs w:val="16"/>
        </w:rPr>
        <w:t xml:space="preserve"> в состав 226-й </w:t>
      </w:r>
      <w:r w:rsidRPr="008127F8">
        <w:rPr>
          <w:rFonts w:ascii="Times New Roman" w:hAnsi="Times New Roman"/>
          <w:iCs/>
          <w:color w:val="000000" w:themeColor="text1"/>
          <w:sz w:val="16"/>
          <w:szCs w:val="16"/>
        </w:rPr>
        <w:t>шад</w:t>
      </w:r>
      <w:r w:rsidRPr="008127F8">
        <w:rPr>
          <w:rFonts w:ascii="Times New Roman" w:hAnsi="Times New Roman"/>
          <w:color w:val="000000" w:themeColor="text1"/>
          <w:sz w:val="16"/>
          <w:szCs w:val="16"/>
        </w:rPr>
        <w:t xml:space="preserve"> 18 июня был включен изрядно по</w:t>
      </w:r>
      <w:r w:rsidRPr="008127F8">
        <w:rPr>
          <w:rFonts w:ascii="Times New Roman" w:hAnsi="Times New Roman"/>
          <w:color w:val="000000" w:themeColor="text1"/>
          <w:sz w:val="16"/>
          <w:szCs w:val="16"/>
        </w:rPr>
        <w:softHyphen/>
        <w:t>трепанный в боях, но не утративший бо</w:t>
      </w:r>
      <w:r w:rsidRPr="008127F8">
        <w:rPr>
          <w:rFonts w:ascii="Times New Roman" w:hAnsi="Times New Roman"/>
          <w:color w:val="000000" w:themeColor="text1"/>
          <w:sz w:val="16"/>
          <w:szCs w:val="16"/>
        </w:rPr>
        <w:softHyphen/>
        <w:t xml:space="preserve">еспособность 505-й </w:t>
      </w:r>
      <w:r w:rsidRPr="008127F8">
        <w:rPr>
          <w:rFonts w:ascii="Times New Roman" w:hAnsi="Times New Roman"/>
          <w:iCs/>
          <w:color w:val="000000" w:themeColor="text1"/>
          <w:sz w:val="16"/>
          <w:szCs w:val="16"/>
        </w:rPr>
        <w:t>шап</w:t>
      </w:r>
      <w:r w:rsidRPr="008127F8">
        <w:rPr>
          <w:rFonts w:ascii="Times New Roman" w:hAnsi="Times New Roman"/>
          <w:color w:val="000000" w:themeColor="text1"/>
          <w:sz w:val="16"/>
          <w:szCs w:val="16"/>
        </w:rPr>
        <w:t xml:space="preserve"> м-ра Л.К.Чумаченко из 228-й </w:t>
      </w:r>
      <w:r w:rsidRPr="008127F8">
        <w:rPr>
          <w:rFonts w:ascii="Times New Roman" w:hAnsi="Times New Roman"/>
          <w:iCs/>
          <w:color w:val="000000" w:themeColor="text1"/>
          <w:sz w:val="16"/>
          <w:szCs w:val="16"/>
        </w:rPr>
        <w:t>шад.</w:t>
      </w:r>
      <w:r w:rsidRPr="008127F8">
        <w:rPr>
          <w:rFonts w:ascii="Times New Roman" w:hAnsi="Times New Roman"/>
          <w:color w:val="000000" w:themeColor="text1"/>
          <w:sz w:val="16"/>
          <w:szCs w:val="16"/>
        </w:rPr>
        <w:t xml:space="preserve"> 504-й штурмовой авиаполк м-ра Ф.З.Болдырихина, также понесший большие потери, из боя не выводился, а был доукомплектован од</w:t>
      </w:r>
      <w:r w:rsidRPr="008127F8">
        <w:rPr>
          <w:rFonts w:ascii="Times New Roman" w:hAnsi="Times New Roman"/>
          <w:color w:val="000000" w:themeColor="text1"/>
          <w:sz w:val="16"/>
          <w:szCs w:val="16"/>
        </w:rPr>
        <w:softHyphen/>
        <w:t>ной авиаэскадрильей с завода (часть летчиков-перегонщиков осталась в пол</w:t>
      </w:r>
      <w:r w:rsidRPr="008127F8">
        <w:rPr>
          <w:rFonts w:ascii="Times New Roman" w:hAnsi="Times New Roman"/>
          <w:color w:val="000000" w:themeColor="text1"/>
          <w:sz w:val="16"/>
          <w:szCs w:val="16"/>
        </w:rPr>
        <w:softHyphen/>
        <w:t xml:space="preserve">ку) и оставшимися машинами 800-го полка. Одновременно на пополнение 228-й </w:t>
      </w:r>
      <w:r w:rsidRPr="008127F8">
        <w:rPr>
          <w:rFonts w:ascii="Times New Roman" w:hAnsi="Times New Roman"/>
          <w:iCs/>
          <w:color w:val="000000" w:themeColor="text1"/>
          <w:sz w:val="16"/>
          <w:szCs w:val="16"/>
        </w:rPr>
        <w:t>шад</w:t>
      </w:r>
      <w:r w:rsidRPr="008127F8">
        <w:rPr>
          <w:rFonts w:ascii="Times New Roman" w:hAnsi="Times New Roman"/>
          <w:color w:val="000000" w:themeColor="text1"/>
          <w:sz w:val="16"/>
          <w:szCs w:val="16"/>
        </w:rPr>
        <w:t xml:space="preserve"> из составов 4-й РАГ и ма</w:t>
      </w:r>
      <w:r w:rsidRPr="008127F8">
        <w:rPr>
          <w:rFonts w:ascii="Times New Roman" w:hAnsi="Times New Roman"/>
          <w:color w:val="000000" w:themeColor="text1"/>
          <w:sz w:val="16"/>
          <w:szCs w:val="16"/>
        </w:rPr>
        <w:softHyphen/>
        <w:t>невренной авиагруппы фронта переда</w:t>
      </w:r>
      <w:r w:rsidRPr="008127F8">
        <w:rPr>
          <w:rFonts w:ascii="Times New Roman" w:hAnsi="Times New Roman"/>
          <w:color w:val="000000" w:themeColor="text1"/>
          <w:sz w:val="16"/>
          <w:szCs w:val="16"/>
        </w:rPr>
        <w:softHyphen/>
        <w:t>вались наиболее боеспособные штурмо</w:t>
      </w:r>
      <w:r w:rsidRPr="008127F8">
        <w:rPr>
          <w:rFonts w:ascii="Times New Roman" w:hAnsi="Times New Roman"/>
          <w:color w:val="000000" w:themeColor="text1"/>
          <w:sz w:val="16"/>
          <w:szCs w:val="16"/>
        </w:rPr>
        <w:softHyphen/>
        <w:t xml:space="preserve">вые авиаполки - 431 -и и 285-й </w:t>
      </w:r>
      <w:r w:rsidRPr="008127F8">
        <w:rPr>
          <w:rFonts w:ascii="Times New Roman" w:hAnsi="Times New Roman"/>
          <w:iCs/>
          <w:color w:val="000000" w:themeColor="text1"/>
          <w:sz w:val="16"/>
          <w:szCs w:val="16"/>
        </w:rPr>
        <w:t>шап.</w:t>
      </w:r>
      <w:r w:rsidRPr="008127F8">
        <w:rPr>
          <w:rFonts w:ascii="Times New Roman" w:hAnsi="Times New Roman"/>
          <w:color w:val="000000" w:themeColor="text1"/>
          <w:sz w:val="16"/>
          <w:szCs w:val="16"/>
        </w:rPr>
        <w:t xml:space="preserve"> При этом обе авиагруппы расформировыва</w:t>
      </w:r>
      <w:r w:rsidRPr="008127F8">
        <w:rPr>
          <w:rFonts w:ascii="Times New Roman" w:hAnsi="Times New Roman"/>
          <w:color w:val="000000" w:themeColor="text1"/>
          <w:sz w:val="16"/>
          <w:szCs w:val="16"/>
        </w:rPr>
        <w:softHyphen/>
        <w:t xml:space="preserve">лись, а 243-й и 619-й </w:t>
      </w:r>
      <w:r w:rsidRPr="008127F8">
        <w:rPr>
          <w:rFonts w:ascii="Times New Roman" w:hAnsi="Times New Roman"/>
          <w:iCs/>
          <w:color w:val="000000" w:themeColor="text1"/>
          <w:sz w:val="16"/>
          <w:szCs w:val="16"/>
        </w:rPr>
        <w:t>шап</w:t>
      </w:r>
      <w:r w:rsidRPr="008127F8">
        <w:rPr>
          <w:rFonts w:ascii="Times New Roman" w:hAnsi="Times New Roman"/>
          <w:color w:val="000000" w:themeColor="text1"/>
          <w:sz w:val="16"/>
          <w:szCs w:val="16"/>
        </w:rPr>
        <w:t xml:space="preserve"> маневренной авиагруппы выводились в тыл на доукомплектование матчастью и личным составом (6467).</w:t>
      </w:r>
    </w:p>
    <w:p w14:paraId="3275DF3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015C6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июня 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заместитель начальника штаба ВВС Красной армии генерал</w:t>
      </w:r>
      <w:r w:rsidRPr="008127F8">
        <w:rPr>
          <w:rFonts w:ascii="Times New Roman" w:hAnsi="Times New Roman"/>
          <w:color w:val="000000" w:themeColor="text1"/>
          <w:sz w:val="16"/>
          <w:szCs w:val="16"/>
        </w:rPr>
        <w:noBreakHyphen/>
        <w:t>майор Кроленко, военный комиссар того же штаба бригадный комиссар Никулин и начальник оперативного управления штаба ВВС генерал</w:t>
      </w:r>
      <w:r w:rsidRPr="008127F8">
        <w:rPr>
          <w:rFonts w:ascii="Times New Roman" w:hAnsi="Times New Roman"/>
          <w:color w:val="000000" w:themeColor="text1"/>
          <w:sz w:val="16"/>
          <w:szCs w:val="16"/>
        </w:rPr>
        <w:noBreakHyphen/>
        <w:t>майор Журавлев подписали секретный приказ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332309с.</w:t>
      </w:r>
    </w:p>
    <w:p w14:paraId="2241EAC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Вот что в нем говорилось: «Неправдивость донесений – крупнейший недочет в работе штабов. Неправдивость же столь велика, что порой граничит с неправдоподобностью. Примером таких неправдоподобных донесений может служить такой факт. По донесениям штаба 8</w:t>
      </w:r>
      <w:r w:rsidRPr="008127F8">
        <w:rPr>
          <w:rFonts w:ascii="Times New Roman" w:hAnsi="Times New Roman"/>
          <w:color w:val="000000" w:themeColor="text1"/>
          <w:sz w:val="16"/>
          <w:szCs w:val="16"/>
        </w:rPr>
        <w:noBreakHyphen/>
        <w:t>й воздушной армии (Юго</w:t>
      </w:r>
      <w:r w:rsidRPr="008127F8">
        <w:rPr>
          <w:rFonts w:ascii="Times New Roman" w:hAnsi="Times New Roman"/>
          <w:color w:val="000000" w:themeColor="text1"/>
          <w:sz w:val="16"/>
          <w:szCs w:val="16"/>
        </w:rPr>
        <w:noBreakHyphen/>
        <w:t>Западный фронт) получилось, что частями этой армии за период с 10 по 14.06.1942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было повреждено и уничтожено 202 танка наступавшего противника, что составляло до 40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от численности всех танков противника, действовавших на Харьковском направлении. Если учесть, что и наземные наши войска в это же время также уничтожали танки противника, и притом не меньше, а больше, чем уничтожала их наша авиация, то, казалось бы, что из</w:t>
      </w:r>
      <w:r w:rsidRPr="008127F8">
        <w:rPr>
          <w:rFonts w:ascii="Times New Roman" w:hAnsi="Times New Roman"/>
          <w:color w:val="000000" w:themeColor="text1"/>
          <w:sz w:val="16"/>
          <w:szCs w:val="16"/>
        </w:rPr>
        <w:noBreakHyphen/>
        <w:t>за больших потерь в танках, близких к 90–100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наступление противника должно было бы остановиться. Между тем танковое наступление противника на этом направлении 14.06 продолжалось, из чего наглядно видна неправдоподобность донесений штаба 8</w:t>
      </w:r>
      <w:r w:rsidRPr="008127F8">
        <w:rPr>
          <w:rFonts w:ascii="Times New Roman" w:hAnsi="Times New Roman"/>
          <w:color w:val="000000" w:themeColor="text1"/>
          <w:sz w:val="16"/>
          <w:szCs w:val="16"/>
        </w:rPr>
        <w:noBreakHyphen/>
        <w:t>й воздушной армии».</w:t>
      </w:r>
    </w:p>
    <w:p w14:paraId="55D9942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Далее в том же приказе начальникам штабов всех степеней предписывалось «организовать поступление информации точно в установленные сроки, добиваясь при этом полноты и правдивости сведений. Все случаи неправдивой информации тщательно расследовать и виновных привлекать к строгой ответственности» (23199).</w:t>
      </w:r>
    </w:p>
    <w:p w14:paraId="1715D2F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B4C3BE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июня 1942 ленинградские партизанские бригады начали рейд в тыл фашистов в Латвию (4962).</w:t>
      </w:r>
    </w:p>
    <w:p w14:paraId="76A300C1"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60E5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2E487D5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FCE39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июня 1942 вышло Постановление ГКО № 1920 О вывозе хлеба из Орджоникидзевского, Краснодарского краев и Ростовской области. (7039, 36-37).</w:t>
      </w:r>
    </w:p>
    <w:p w14:paraId="59B5180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670F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73C47E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28A0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июня 1942 года было отправлено:</w:t>
      </w:r>
    </w:p>
    <w:p w14:paraId="35A3D0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ПОСЛАНИЕ ДЛЯ ПРЕМЬЕРА г. ЧЕРЧИЛЛЯ ОТ И. В. СТАЛИНА</w:t>
      </w:r>
    </w:p>
    <w:p w14:paraId="688007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Получил Ваше послание с предупреждением о намерении немцев организовать вторжение из Северной Норвегии и Финляндии.</w:t>
      </w:r>
    </w:p>
    <w:p w14:paraId="12A4A1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 вполне разделяю Ваше мнение о желательности наших совместных операций в этих районах, но желательно знать, предполагается ли участие в этих операциях морских и сухопутных сил Великобритании и в каком количестве.</w:t>
      </w:r>
    </w:p>
    <w:p w14:paraId="50CE38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 очень благодарен Вам за обещание послать шесть эскадрилий в район Мурманска. Нельзя ли знать, когда они прибудут (7430).</w:t>
      </w:r>
    </w:p>
    <w:p w14:paraId="126BEB3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2C74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316B12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C38E4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июня 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Торжественно открыта воздушная линия Нью-Йорк - Фойнз (Ирландия), она действовала без перерывов всю войну. Транспортная летающая лодка Sikorsky VS-44 в военное время носила обозначение JR2S-1. Летающая лодка Excalibur (один из трех заказанных авиакомпанией American Export Airline для трансатлантических маршрутов в Великобританию и Францию) была потеряна в результате аварии при взлёте в 1942 году (22455).</w:t>
      </w:r>
      <w:r>
        <w:rPr>
          <w:rFonts w:ascii="Times New Roman" w:hAnsi="Times New Roman"/>
          <w:color w:val="000000" w:themeColor="text1"/>
          <w:sz w:val="16"/>
          <w:szCs w:val="16"/>
        </w:rPr>
        <w:t xml:space="preserve">  </w:t>
      </w:r>
    </w:p>
    <w:p w14:paraId="30373AD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1D9820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20 июня</w:t>
      </w:r>
      <w:r w:rsidRPr="008127F8">
        <w:rPr>
          <w:rFonts w:ascii="Times New Roman" w:hAnsi="Times New Roman"/>
          <w:color w:val="000000" w:themeColor="text1"/>
          <w:sz w:val="16"/>
          <w:szCs w:val="16"/>
        </w:rPr>
        <w:t xml:space="preserve"> в 1942 году немецкие войска захватываютт Тобрук (Северная Африка). Самый яркий момент военной карьеры Эрвина Роммеля (1891 —1944) пришёлся на 20 июня 1942 года, когда он командовал битвой за Тобрук, самую укреплённую крепость Африки. Считалось, что взять его невозможно. Это был главный плацдарм союзников и, хотя его и раньше блокировали, штурмовали множество раз, выбить защитников из крепости не удавалось. Утром 20 июня пикирующие бомбардировщики Ju-87 «Штука» сбросили бомбы на минное поле, саперы расчистили проход и сотни танков устремились в пробоину прямо на защитные линии. </w:t>
      </w:r>
      <w:r w:rsidRPr="008127F8">
        <w:rPr>
          <w:rFonts w:ascii="Times New Roman" w:hAnsi="Times New Roman"/>
          <w:color w:val="000000" w:themeColor="text1"/>
          <w:sz w:val="16"/>
          <w:szCs w:val="16"/>
        </w:rPr>
        <w:lastRenderedPageBreak/>
        <w:t>Ночью и утром 21 июня последние очаги сопротивления в отдаленных районах города потухли. После того, как Тобрук был взят, ситуация изменилась в пользу Германии, а Эрвин Роммель попал на страницы британских газет.</w:t>
      </w:r>
    </w:p>
    <w:p w14:paraId="205F2A2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дав противнику опомниться, Роммель предпринимает дерзкое по замыслу контрнаступление против превосходящих сил британцев, получившее название «Аида», и к июлю 1942 части его армии находились уже возле Эль-Аламейна, всего в ста километрах от Александрии и дельты Нила. За две недели стремительного наступления Роммель отбросил превосходящую британскую армию назад, на исходные позиции в районе дельты Нила. Для английских войск это был один из самых тяжёлых моментов за все время войны. 22 июня 1942 Роммелю присвоено звание генерал-фельдмаршал. В то же время из-за острейшей нехватки топлива и отсутствия подкреплений в живой силе и материальной части наступление армии Роммеля постепенно останавливалось. До конца октября 1942 года в Северной Африке установилось шаткое равновесие: немецко-итальянские силы не имели горючего для своих моторизованных частей, а англичане накапливали силы за счет свежих колониальных дивизий, и новейшей боевой техники, прибывающей из США. Положение усугубилось и тем, что у Роммеля проявилась острая форма амебной дизентерии, и он был вынужден вылететь в Германию для госпитализации. Поэтому, когда англичане начали свое наступление, фельдмаршалу пришлось срочно, не закончив лечения, возвращаться в Африку, но он прибыл уже после того, как битва при Эль-Аламейне была проиграна. Менее чем за две недели танковая армия «Африка» была отброшена на тысячу километров назад, в Тунис. 8 ноября 1942 года американские войска высадились в Марокко и Алжире, что фактически означало попадание итало-немецких сил в ловушку. Роммелю все же удалось провести ещё одно наступление на превосходящие силы американцев в районе Кассеринского перевала и нанести им серьёзный урон, но это не принесло ощутимого успеха. Фельдмаршал Роммель был отозван из Туниса 9 марта 1943 года и был назначен командующим группой армий «В» в Северной Италии. За Африканскую кампанию 11 марта 1943 Роммель был награждён Бриллиантами (№ 6) к Рыцарскому кресту с Дубовыми листьями и Мечами. Через два месяца боев, в мае 1943, блокированные в Тунисе с суши и моря немецкие и итальянские войска капитулировали (14928).</w:t>
      </w:r>
    </w:p>
    <w:p w14:paraId="7DE0F68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A5F7E0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июня 1942 в Северной Африке, силы оси начать заключительный этап битвы при Gazala с массивной воздушной бомбардировки Тобрука 296 и 306 самолетами. На следующий день Тобрук сдается (20793).</w:t>
      </w:r>
    </w:p>
    <w:p w14:paraId="7C71ACB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FFC368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июня 1942 в Брюсселе фашистами схвачен Й. Вензель, который под пытками сдал несколько сотен советских агентов по всей Европе (организацию “Красная Капелла”) (4962).</w:t>
      </w:r>
    </w:p>
    <w:p w14:paraId="79C4ED0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C5F56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июня 1942 японской подлодкой предпринята неудачная попытка торпедировать телеграфную станцию Ванкувера (Канада) (4962).</w:t>
      </w:r>
    </w:p>
    <w:p w14:paraId="4F64D59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6427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F3CF15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02F80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июня 1942 л завода 21 Г.Д.Меркулов попал в катастрофу при испытаниях ЛаГГ-3, когда совершал посадку в тумане (2108).</w:t>
      </w:r>
    </w:p>
    <w:p w14:paraId="0CF246E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7C5583" w:rsidRPr="008127F8" w14:paraId="437C0CC4" w14:textId="77777777" w:rsidTr="004C5D62">
        <w:tc>
          <w:tcPr>
            <w:tcW w:w="675" w:type="dxa"/>
            <w:tcBorders>
              <w:top w:val="single" w:sz="12" w:space="0" w:color="auto"/>
            </w:tcBorders>
          </w:tcPr>
          <w:p w14:paraId="45974A1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п/п</w:t>
            </w:r>
          </w:p>
        </w:tc>
        <w:tc>
          <w:tcPr>
            <w:tcW w:w="993" w:type="dxa"/>
            <w:tcBorders>
              <w:top w:val="single" w:sz="12" w:space="0" w:color="auto"/>
            </w:tcBorders>
          </w:tcPr>
          <w:p w14:paraId="580215D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Дата</w:t>
            </w:r>
          </w:p>
        </w:tc>
        <w:tc>
          <w:tcPr>
            <w:tcW w:w="708" w:type="dxa"/>
            <w:tcBorders>
              <w:top w:val="single" w:sz="12" w:space="0" w:color="auto"/>
            </w:tcBorders>
          </w:tcPr>
          <w:p w14:paraId="630BBBE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Заводов</w:t>
            </w:r>
          </w:p>
        </w:tc>
        <w:tc>
          <w:tcPr>
            <w:tcW w:w="1418" w:type="dxa"/>
            <w:tcBorders>
              <w:top w:val="single" w:sz="12" w:space="0" w:color="auto"/>
            </w:tcBorders>
          </w:tcPr>
          <w:p w14:paraId="543489F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w:t>
            </w:r>
          </w:p>
        </w:tc>
        <w:tc>
          <w:tcPr>
            <w:tcW w:w="2364" w:type="dxa"/>
            <w:tcBorders>
              <w:top w:val="single" w:sz="12" w:space="0" w:color="auto"/>
            </w:tcBorders>
          </w:tcPr>
          <w:p w14:paraId="7E9DF55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0CDADD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Краткое описание и причины происшествия</w:t>
            </w:r>
          </w:p>
        </w:tc>
      </w:tr>
      <w:tr w:rsidR="007C5583" w:rsidRPr="008127F8" w14:paraId="0677161C" w14:textId="77777777" w:rsidTr="004C5D62">
        <w:tc>
          <w:tcPr>
            <w:tcW w:w="675" w:type="dxa"/>
          </w:tcPr>
          <w:p w14:paraId="0902886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w:t>
            </w:r>
          </w:p>
        </w:tc>
        <w:tc>
          <w:tcPr>
            <w:tcW w:w="993" w:type="dxa"/>
          </w:tcPr>
          <w:p w14:paraId="4136CE8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июня 1942</w:t>
            </w:r>
          </w:p>
        </w:tc>
        <w:tc>
          <w:tcPr>
            <w:tcW w:w="708" w:type="dxa"/>
          </w:tcPr>
          <w:p w14:paraId="6E9DC9F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w:t>
            </w:r>
          </w:p>
        </w:tc>
        <w:tc>
          <w:tcPr>
            <w:tcW w:w="1418" w:type="dxa"/>
          </w:tcPr>
          <w:p w14:paraId="365ACA8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Г.Д.Меркулов</w:t>
            </w:r>
          </w:p>
        </w:tc>
        <w:tc>
          <w:tcPr>
            <w:tcW w:w="2364" w:type="dxa"/>
          </w:tcPr>
          <w:p w14:paraId="54193C6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Катастрофа ЛаГГ-3 на испытаниях</w:t>
            </w:r>
          </w:p>
        </w:tc>
        <w:tc>
          <w:tcPr>
            <w:tcW w:w="4440" w:type="dxa"/>
          </w:tcPr>
          <w:p w14:paraId="672EB8D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Посадка в тумане. С-т разбит. Л погиб</w:t>
            </w:r>
          </w:p>
        </w:tc>
      </w:tr>
      <w:tr w:rsidR="007C5583" w:rsidRPr="008127F8" w14:paraId="171A0636" w14:textId="77777777" w:rsidTr="004C5D62">
        <w:tc>
          <w:tcPr>
            <w:tcW w:w="675" w:type="dxa"/>
            <w:tcBorders>
              <w:bottom w:val="single" w:sz="12" w:space="0" w:color="auto"/>
            </w:tcBorders>
          </w:tcPr>
          <w:p w14:paraId="2197F4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33</w:t>
            </w:r>
          </w:p>
        </w:tc>
        <w:tc>
          <w:tcPr>
            <w:tcW w:w="993" w:type="dxa"/>
            <w:tcBorders>
              <w:bottom w:val="single" w:sz="12" w:space="0" w:color="auto"/>
            </w:tcBorders>
          </w:tcPr>
          <w:p w14:paraId="5D8BEBE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июня 1942</w:t>
            </w:r>
          </w:p>
        </w:tc>
        <w:tc>
          <w:tcPr>
            <w:tcW w:w="708" w:type="dxa"/>
            <w:tcBorders>
              <w:bottom w:val="single" w:sz="12" w:space="0" w:color="auto"/>
            </w:tcBorders>
          </w:tcPr>
          <w:p w14:paraId="5BE4E99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466</w:t>
            </w:r>
          </w:p>
        </w:tc>
        <w:tc>
          <w:tcPr>
            <w:tcW w:w="1418" w:type="dxa"/>
            <w:tcBorders>
              <w:bottom w:val="single" w:sz="12" w:space="0" w:color="auto"/>
            </w:tcBorders>
          </w:tcPr>
          <w:p w14:paraId="77E2DB7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М.С.Комаров</w:t>
            </w:r>
          </w:p>
        </w:tc>
        <w:tc>
          <w:tcPr>
            <w:tcW w:w="2364" w:type="dxa"/>
            <w:tcBorders>
              <w:bottom w:val="single" w:sz="12" w:space="0" w:color="auto"/>
            </w:tcBorders>
          </w:tcPr>
          <w:p w14:paraId="550A3D3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Авария ПС-84 транспортного</w:t>
            </w:r>
          </w:p>
        </w:tc>
        <w:tc>
          <w:tcPr>
            <w:tcW w:w="4440" w:type="dxa"/>
            <w:tcBorders>
              <w:bottom w:val="single" w:sz="12" w:space="0" w:color="auto"/>
            </w:tcBorders>
          </w:tcPr>
          <w:p w14:paraId="04DC6BA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Остановка мотора в воздухе от попадания воды через систему инерного газа. Экипаж не был ознакомлен с установкой</w:t>
            </w:r>
          </w:p>
        </w:tc>
      </w:tr>
    </w:tbl>
    <w:p w14:paraId="5C6D0F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(2108,266)</w:t>
      </w:r>
    </w:p>
    <w:p w14:paraId="5F00F85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43C3B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9B776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4264B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июня 1942 вышло Постановление ГКО № 1921 Об обеспечении топливом и нефтепродуктами железных дорог в III квартале 1942 г. и накоплении запасов к зиме 1942/43 гг. (7039, 38-44,45-53).</w:t>
      </w:r>
    </w:p>
    <w:p w14:paraId="441F1DF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CD8A3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003D032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AEC39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21 июня</w:t>
      </w:r>
      <w:r w:rsidRPr="008127F8">
        <w:rPr>
          <w:rFonts w:ascii="Times New Roman" w:hAnsi="Times New Roman"/>
          <w:color w:val="000000" w:themeColor="text1"/>
          <w:sz w:val="16"/>
          <w:szCs w:val="16"/>
        </w:rPr>
        <w:t xml:space="preserve"> в 1942 году утреннее сообщение Совинформбюро:</w:t>
      </w:r>
    </w:p>
    <w:p w14:paraId="2E932CB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21 июня на фронте существенных изменений не произошло.</w:t>
      </w:r>
    </w:p>
    <w:p w14:paraId="5F271FB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Героические защитники Севастополя с величайшим мужеством отбивают атаки противника. Батарея тов. Моргунова за три дня боёв уничтожила 7 немецких танков и разгромила до трёх батальонов вражеской пехоты. По батарее, которой командует тов. Дзамгаев, противник за короткий срок выпустил более 1.000 снарядов крупного калибра. Несмотря на это, отважные артиллеристы-краснофлотцы ни на минуту не прекращали огня и уничтожили до 300 гитлеровцев. Борьба за Севастополь полна героических эпизодов. Старшина 1-й статьи тов. Кисляк подкрался к танку противника и с расстояния в 15 метров забросал его бутылками с горючей смесью. Танк сгорел. Краснофлотец Воротник в критический момент боя выдвинулся со своим пулемётом на открытую позицию и уничтожил до 200 немцев. Краснофлотец Хохлов был ранен, но не покинул поле боя. Из противотанкового ружья он уничтожил немецкий танк, обстреливавший наши боевые порядки. Командир авиаэскадрильи Черноморского флота тов. Кичигин за один вылет уничтожил 4 немецких танка. Лётчик Акулов вступил в бой с 8 вражескими бомбардировщиками и сбил «Юнкерс-88».</w:t>
      </w:r>
    </w:p>
    <w:p w14:paraId="7AF8113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Ленинградского фронта артиллеристы и миномётчики за два дня подавили и уничтожили более 20 артиллерийских и 15 миномётных батарей, 10 отдельных миномётов, 30 пулеметных точек, разрушили 5 ДЗОТов и 3 блиндажа, взорвали склад боеприпасов и уничтожили не менее 400 немецких солдат и офицеров.</w:t>
      </w:r>
    </w:p>
    <w:p w14:paraId="19B90FC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Подразделения, где командирами тт. Фоменко и Корчица (Северо-Западный фронт), продвинулись вперёд и заняли новые, более выгодные позиции. Противник оставил на поле боя много убитых и раненых.</w:t>
      </w:r>
    </w:p>
    <w:p w14:paraId="6B9ED99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одном бою младший командир Ушаков и красноармеец Баланин под артиллерийским и пулемётным огнём противника 15 раз восстанавливали нарушенную связь.</w:t>
      </w:r>
    </w:p>
    <w:p w14:paraId="480EA50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Несколько отрядов ленинградских партизан, объединённых под командованием тт.Б. и К., произвели нападение на вражеский укреплённый пункт. В ожесточённом бою партизаны уничтожили 130 оккупантов, автоматическую пушку, миномётную батарею и подбили немецкий танк. В тот же день советские патриоты пустили под откос вражеский железнодорожный эшелон в составе 50 вагонов с танками, артиллерией, горючим и живой силой.</w:t>
      </w:r>
    </w:p>
    <w:p w14:paraId="74DE3E2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фельдфебель 11 немецкой пехотной дивизии Иозеф К. рассказал: «Я сдался в плен со своим взводом. Вместе с нами сложил оружие взвод штабс-фельдфебеля З. Это произошло при следующих обстоятельствах. После сильного артиллерийского обстрела на нас двинулись русские танки. Я предложил моим солдатам сдаться. Что побудило меня к этому? Я зверски устал от войны. За год моя рота десять раз получала пополнение. В общей сложности она потеряла за это время убитыми и ранеными свыше 300 человек. Слишком много жертв и крови стоит нам эта бессмысленная и преступная война. На моё решение повлияли также и мрачные письма, которые я получал из дому. Моя мать пишет, что простые люди очень измучились и проклинают тех, кто затеял эту войну».</w:t>
      </w:r>
    </w:p>
    <w:p w14:paraId="0D046AD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поле боя подобрано письмо финскому солдату Ялмари Сапстрем от его жены. В нём говорится: «Ждала тебя, но больше ждать не могу, так как ты оттуда не вернёшься никогда. Жизнь здесь очень горькая. Наверно, мы скоро умрём. Может быть, получишь отпуск и приедешь хоронить нас?» (14929).</w:t>
      </w:r>
    </w:p>
    <w:p w14:paraId="7D8384F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990967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21 июня</w:t>
      </w:r>
      <w:r w:rsidRPr="008127F8">
        <w:rPr>
          <w:rFonts w:ascii="Times New Roman" w:hAnsi="Times New Roman"/>
          <w:color w:val="000000" w:themeColor="text1"/>
          <w:sz w:val="16"/>
          <w:szCs w:val="16"/>
        </w:rPr>
        <w:t xml:space="preserve"> в 1942 году вечернее сообщение Совинформбюро:</w:t>
      </w:r>
    </w:p>
    <w:p w14:paraId="7AE8A5E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21 июня на Севастопольском участке фронта наши войска отбивали неоднократные и ожесточённые атаки немецко-фашистских войск. Противнику ценою огромных жертв удалось вклиниться в нашу оборону.</w:t>
      </w:r>
    </w:p>
    <w:p w14:paraId="4A31468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существенных изменений не произошло.</w:t>
      </w:r>
    </w:p>
    <w:p w14:paraId="5F6B076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истекшую неделю, с 14 по 20 июня включительно, в воздушных боях, на аэродромах противника и огнём зенитной артиллерии уничтожено 264 немецких самолёта. Наши потери за это же время — 103 самолёта.</w:t>
      </w:r>
    </w:p>
    <w:p w14:paraId="2807BEE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20 июня частями нашей авиации на различных участках фронта уничтожено или повреждено 16 немецких танков, 60 автомашин с войсками и грузами, 2 орудия, 14 миномётов, 20 зенитных орудий, несколько автоцистерн, рассеяно и частью уничтожено до двух рот пехоты противника.</w:t>
      </w:r>
    </w:p>
    <w:p w14:paraId="4C337E8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Харьковского направления противник силою до двух полков пехоты при поддержке танков и авиации атаковал наши части. Ценою больших потерь немцам удалось форсировать в одном месте реку и несколько оттеснить наши войска. Перейдя в контратаку, наши бойцы сбросили противника в реку, переправились на её западный берег и овладели рядом населённых пунктов. На поле боя осталось много убитых и раненых гитлеровцев и брошенное ими вооружение.</w:t>
      </w:r>
    </w:p>
    <w:p w14:paraId="6E890BD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Наше танковое подразделение (Северо-Западный фронт) в бою с противником уничтожило 19 ДЗОТов, 43 блиндажа, 4 немецких танка, 2 артиллерийские батареи и отдельно 12 орудий, 3 миномёта, 2 батареи противотанковых орудий и более 200 немецких солдат и офицеров.</w:t>
      </w:r>
    </w:p>
    <w:p w14:paraId="1A98A71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советских самолётов-штурмовиков встретилась над линией фронта с 7 немецкими истребителями. Лётчик-истребитель старший лейтенант Максимов, прикрывавший штурмовиков, смело вступил в бой с немецкими истребителями и тем самым дал возможность штурмовикам выполнить боевое задание. В воздушном бою против семи самолётов противника тов. Максимов сбил один «Мессершмитт» и благополучно вернулся на свой аэродром.</w:t>
      </w:r>
    </w:p>
    <w:p w14:paraId="6D4F627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четыре дня снайпер тов. Макуцевич истребил 15 гитлеровцев, снайпер тов. Солонин — 13 гитлеровцев, тов. Мазур — 11, тов. Ясавей Бариев— 5 и снайпер тов. Конюхов — 4 солдат и офицеров противника.</w:t>
      </w:r>
    </w:p>
    <w:p w14:paraId="198251A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«Батя» на днях отбил атаку немецко-фашистских оккупантов. В бою с партизанами гитлеровцы понесли значительные потери.</w:t>
      </w:r>
    </w:p>
    <w:p w14:paraId="3782E0B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выписки из дневника убитого немецкого обер-фельдфебеля, члена фашистской партии, Эриха Рюллингера:</w:t>
      </w:r>
    </w:p>
    <w:p w14:paraId="32F381A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июня 1941 года. Исполняется моё заветное желание! Мы снова идём в дело. С вечера лихорадочно готовились к наступлению. Последняя проверка оружия и материальной части. Настроение отличное. Война, очевидно, продлится не более двух месяцев. Россия очень богатая страна...</w:t>
      </w:r>
    </w:p>
    <w:p w14:paraId="42C2C8B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 августа. Два месяца войны. Русские яростно сопротивляются и не хотят последовать примеру французов. Нас становится всё меньше. В ротах много новых лиц.</w:t>
      </w:r>
    </w:p>
    <w:p w14:paraId="459A68B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октября. Русские осыпают нас градом бомб и снарядов. От артполка осталась жалкая горстка. Орудийные расчёты бросили пушки и пытались спастись бегством, но их настигли русские танки... Я с ужасом смотрю на календарь и на карту России. До конечной цели ещё очень далеко. Кто мог подумать, что война так затянется?</w:t>
      </w:r>
    </w:p>
    <w:p w14:paraId="4FB0580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декабря. Мы отступаем. Какое это противное зрелище! Если бы только русские оставили нас в покое на зиму... Эти мучительные холода невыносимы. Лазарет переполнен обмороженными. Я отвёз унтер-офицера Артура Калькштейна в лазарет. Врач равнодушно сказал ему: «Мы должны отнять у вас ноги, иначе — смерть»...Когда кончится этот ералаш?..</w:t>
      </w:r>
    </w:p>
    <w:p w14:paraId="3B2EB23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февраля 1942 года. Который раз нам обещают смену. Всё это одно надувательство, пилюля для успокоения слабонервных простаков. Скоро некого будет сменить. Все околеем в снежных сугробах...</w:t>
      </w:r>
    </w:p>
    <w:p w14:paraId="097759A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апреля. Резервисты погибают, как мухи. Список потерь всё растёт. Неужели это всё напрасные жертвы? Война продолжается, и этой мерзости конца не видно.</w:t>
      </w:r>
    </w:p>
    <w:p w14:paraId="42B7DAB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 мая. Силы и мужество покинули нас, и мы уже не годимся для больших наступательных боёв.</w:t>
      </w:r>
    </w:p>
    <w:p w14:paraId="224ED0B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июня. Мы топчемся на месте. Мог ли я в прошлом году поверить, что расстаюсь с родиной на такой долгий срок! Всё опостылело. Дни и ночи строим укрепления, зарываемся в землю. Можно с ума сойти от тоски и злости».</w:t>
      </w:r>
    </w:p>
    <w:p w14:paraId="44AA9AD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Получены сведения о зверствах немецких мерзавцев в оккупированных районах Орловской области. B городе Трубчевске гитлеровцы закрыли все лечебницы, аптеки и магазины. В городе свирепствуют эпидемии и голод. Ежедневно умирают десятки жителей. Вход в город и выход из него воспрещены под страхом смерти. Немецкие солдаты врываются в дома, грабят и убивают ни в чём не повинных людей. Немцы насильно отправляют советских граждан в качестве рабов на работу в Германию. Дети отправленных брошены на произвол судьбы и обречены на гибель.</w:t>
      </w:r>
    </w:p>
    <w:p w14:paraId="6003A63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Находившиеся в лагерях близ города Вены австрийские солдаты, узнав о предстоящей отправке на советско-германский фронт, взбунтовались и потребовали распустить их по домам. Были вызваны специальные части эсэсовцев. Много солдат арестовано.» (14929).</w:t>
      </w:r>
    </w:p>
    <w:p w14:paraId="070D547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56E3F0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21 июня</w:t>
      </w:r>
      <w:r w:rsidRPr="008127F8">
        <w:rPr>
          <w:rFonts w:ascii="Times New Roman" w:hAnsi="Times New Roman"/>
          <w:color w:val="000000" w:themeColor="text1"/>
          <w:sz w:val="16"/>
          <w:szCs w:val="16"/>
        </w:rPr>
        <w:t xml:space="preserve"> в 1942 году директива Ставки ВГК о расформировании управления главнокомандования Юго-Западного направления (14929).</w:t>
      </w:r>
    </w:p>
    <w:p w14:paraId="1175F68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57F1E8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21 июня</w:t>
      </w:r>
      <w:r w:rsidRPr="008127F8">
        <w:rPr>
          <w:rFonts w:ascii="Times New Roman" w:hAnsi="Times New Roman"/>
          <w:color w:val="000000" w:themeColor="text1"/>
          <w:sz w:val="16"/>
          <w:szCs w:val="16"/>
        </w:rPr>
        <w:t xml:space="preserve"> в 1942 году немецкие войска заняли Шахты (14929).</w:t>
      </w:r>
    </w:p>
    <w:p w14:paraId="28C26B6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59ED9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июня 1942 г. ГУ ВВС КА утвердил программу боевой подготовки л на Ил-2 (6467).</w:t>
      </w:r>
    </w:p>
    <w:p w14:paraId="7A0845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66BD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21 июня 1941 была разработана новая программа боевой подготовки летного состава в запасных авиачастях ВВС КА. Как отмечалось в одном из докладов начальника отдела боевой подготовки штаба 1-й заб майора Медведева, "только в последних числах июня начали по-настоящему учить летчиков маршевых полков и зап".</w:t>
      </w:r>
    </w:p>
    <w:p w14:paraId="4288FFA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курс боевой подготовки ввели бомбометание с пикирования, одиночный и групповой воздушные бои, использование радиосвязи и т.д. (12020).</w:t>
      </w:r>
    </w:p>
    <w:p w14:paraId="1CC492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2C2A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21 июня по 1 июля 1942 г. ПС-84, которые незадолго до падения города 20 самолетов МАГОН были переброшены в Краснодар, выполнили 229 ночных полетов в окруженный Севастополь, доставив 218 т грузов и эвакуировав 2162 человека, главным образом раненых. Значительную сложность при выполнении этих заданий представляла посадка на Херсонесский аэродром, который часто находился под огнем противника. Чтобы не спровоцировать обстрел в момент прибытия транспортника, световые сигналы на аэродроме появлялись, когда ПС-84 уже находился на посадочном курсе. В свою очередь и авиаторы включали фары всего за несколько метров до полосы. Стоит лишь восхищаться мастерством пилотов, которые могли успешно работать в таких условиях. Был потерян всего один самолет: 26 июня после нескольких сильнейших бомбежек севастопольцам удалось восстановить лишь узкий участок ВПП, и ПС-84 на пробеге угодил колесом в воронку, подломил стойку шасси и получил другие повреждения. Отремонтировать его не смогли и сожгли при отступлении (3772).</w:t>
      </w:r>
    </w:p>
    <w:p w14:paraId="056444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A115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28B2B58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EAA8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июня 1942 года было получено:</w:t>
      </w:r>
    </w:p>
    <w:p w14:paraId="475F5E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ЧЕРЧИЛЛЬ И. В. СТАЛИНУ *</w:t>
      </w:r>
    </w:p>
    <w:p w14:paraId="30B4271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со вступлением Советского Союза во второй год войны я, как Премьер-Министр Великобритании, которая через несколько месяцев вступит в четвертый год войны, посылаю Вам, руководителю великих союзных советских народов, вновь выражения нашего восхищения блестящей оборонительной борьбой, которую вели Ваши вооруженные силы, отряды партизан и рабочих в течение истекшего года, и выражение нашей твердой уверенности в том, что за этими победами последуют такие же и еще более значительные победы в предстоящие месяцы. Боевой союз наших двух стран и наших других союзников, к которым теперь присоединились Соединенные Штаты Америки со своими обширными ресурсами, наверняка поставит наших врагов на колени. Вы можете рассчитывать на нас в том, что мы поможем Вам всеми средствами, имеющимися в нашем распоряжении.</w:t>
      </w:r>
    </w:p>
    <w:p w14:paraId="0A4BBF1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года, который прошел с тех пор, как Гитлер без предупреждения напал на Вашу страну, дружественные отношения между нашими двумя странами и народами все больше и больше укреплялись. Мы думали не только о настоящем, но и о будущем, и наш договор о союзе в войне против гитлеровской Германии и о сотрудничестве, подписанный во время недавнего визита Молотова в Великобританию, столь же искренне приветствовался британским народом, как он приветствовался, насколько мне известно, советским народом. Этот договор является порукой тому, что мы разобьем наших врагов и после окончания войны построим прочный мир для всех свободолюбивых народов (7430).</w:t>
      </w:r>
    </w:p>
    <w:p w14:paraId="16EEE8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5DBF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8127F8">
        <w:rPr>
          <w:rFonts w:ascii="Times New Roman" w:hAnsi="Times New Roman"/>
          <w:i/>
          <w:iCs/>
          <w:color w:val="000000" w:themeColor="text1"/>
          <w:sz w:val="16"/>
          <w:szCs w:val="16"/>
        </w:rPr>
        <w:t>За</w:t>
      </w:r>
      <w:r w:rsidRPr="008127F8">
        <w:rPr>
          <w:rFonts w:ascii="Times New Roman" w:hAnsi="Times New Roman"/>
          <w:i/>
          <w:iCs/>
          <w:color w:val="000000" w:themeColor="text1"/>
          <w:sz w:val="16"/>
          <w:szCs w:val="16"/>
          <w:lang w:val="en-US"/>
        </w:rPr>
        <w:t xml:space="preserve"> </w:t>
      </w:r>
      <w:r w:rsidRPr="008127F8">
        <w:rPr>
          <w:rFonts w:ascii="Times New Roman" w:hAnsi="Times New Roman"/>
          <w:i/>
          <w:iCs/>
          <w:color w:val="000000" w:themeColor="text1"/>
          <w:sz w:val="16"/>
          <w:szCs w:val="16"/>
        </w:rPr>
        <w:t>рубежом</w:t>
      </w:r>
      <w:r w:rsidRPr="008127F8">
        <w:rPr>
          <w:rFonts w:ascii="Times New Roman" w:hAnsi="Times New Roman"/>
          <w:i/>
          <w:iCs/>
          <w:color w:val="000000" w:themeColor="text1"/>
          <w:sz w:val="16"/>
          <w:szCs w:val="16"/>
          <w:lang w:val="en-US"/>
        </w:rPr>
        <w:t>:</w:t>
      </w:r>
    </w:p>
    <w:p w14:paraId="3592DD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5E43B2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 21 1942 Rommel captures Tobruk (1050).</w:t>
      </w:r>
    </w:p>
    <w:p w14:paraId="6632E1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8F510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июня 1942 Роммель захватил Тобрук (1050) после атаки пикировщиков 20 июня (2443,192) и взял 25 тыс. английских пленных (2245,6).</w:t>
      </w:r>
    </w:p>
    <w:p w14:paraId="7C8BBA7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7C65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val="en-US"/>
        </w:rPr>
        <w:t xml:space="preserve">June 21st, 1942: The Afrikakorps captures Tobruk, taking 33,000 British prisoners. In the East, German infantry and combat engineers of 11. Armee (von Manstein) are gaining ground in their assault on Sevastopol. </w:t>
      </w:r>
      <w:r w:rsidRPr="008127F8">
        <w:rPr>
          <w:rFonts w:ascii="Times New Roman" w:hAnsi="Times New Roman"/>
          <w:color w:val="000000" w:themeColor="text1"/>
          <w:sz w:val="16"/>
          <w:szCs w:val="16"/>
        </w:rPr>
        <w:t>The Luftwaffe carries out a night raid on Southampton (3819).</w:t>
      </w:r>
    </w:p>
    <w:p w14:paraId="1A52BC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0923F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июня 1942 после длительной осады войска немецкого генерала Роммеля взяли Тобрук (Северная Африка), захватив до 35 тыс. английских солдат (4962). Тобрук , окружённый итало-германскими войсками под командованием генерал-полковника Эрвина Роммеля, капитулировал. В плен попали 33 тысячи солдат Британской империи во главе с генералом Клоппером. За взятие Тобрука , Роммель был произведён в генерал-фельдмаршалы (4963 ).</w:t>
      </w:r>
    </w:p>
    <w:p w14:paraId="40B6C2D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5D2D1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21 июня</w:t>
      </w:r>
      <w:r w:rsidRPr="008127F8">
        <w:rPr>
          <w:rFonts w:ascii="Times New Roman" w:hAnsi="Times New Roman"/>
          <w:color w:val="000000" w:themeColor="text1"/>
          <w:sz w:val="16"/>
          <w:szCs w:val="16"/>
        </w:rPr>
        <w:t xml:space="preserve"> в 1942 году Тобрук , окружённый итало-германскими войсками под командованием генерал-полковника Эрвина Роммеля, капитулировал. В плен попали 33 тысячи солдат Британской империи во главе с генералом Клоппером. За взятие Тобрука , Роммель был произведён в генерал-фельдмаршалы (14929).</w:t>
      </w:r>
    </w:p>
    <w:p w14:paraId="1797785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8EF6E4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21–22 июня 1942 в ответ на ошибочное сообщение о том, что японская оперативная группа угрожает Ному на территории Аляски , 55 самолетов военно-воздушных сил армии США и реквизированные гражданские самолеты совершают первую в военной истории США массовую переброску по воздуху, в ходе которой на борту которой находятся 2272 человека, 20 зенитных орудий и тонны припасов в 179 рейсах из Анкориджа в Ном за 24 часа. Авиаперевозка продлится до начала июля (20793).</w:t>
      </w:r>
    </w:p>
    <w:p w14:paraId="046766A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DD8DC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июня 1942 японская подводная лодка И-25 обстреляла 17 выстрелами форт Стивенс на северо-западном побережье Орегона (2704,2).</w:t>
      </w:r>
    </w:p>
    <w:p w14:paraId="53815C7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C60F5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21 июня 1942 в Израиле зафиксирована самая высокая в Азии температура - 54 градуса (4962).</w:t>
      </w:r>
    </w:p>
    <w:p w14:paraId="5D472D9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AD8B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32D027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60B88C"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июня 1942 г. вышел приказ НКАП №458с о проведении испытаний самолета Пе-2 М-82А, следовательно, накануне этой даты или в этот день он был закончен производством.</w:t>
      </w:r>
    </w:p>
    <w:p w14:paraId="1D94B671"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отношению к базовой конструкции Пе-2 2М-105 были внесены значительные изменения, как связанные с заменой моторов, так и те, которые накапливались постепенно до самого запуска машины в серию:</w:t>
      </w:r>
    </w:p>
    <w:p w14:paraId="6D27CFE2"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установлены двигатели М-82А (мощность на взлете 1700 л.с., у земли и на I границе высотности – 1400, а на II границе, равной 5400 м – 1330 л.с.);</w:t>
      </w:r>
    </w:p>
    <w:p w14:paraId="2B5F1234"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установлены воздушные винты АВ-5Л-118А с новыми коками;</w:t>
      </w:r>
    </w:p>
    <w:p w14:paraId="794A2D87"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сделаны новые моторамы;</w:t>
      </w:r>
    </w:p>
    <w:p w14:paraId="2DC18FAD"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сделаны новые подводящие трубопроводы топливной системы;</w:t>
      </w:r>
    </w:p>
    <w:p w14:paraId="75B1AE98"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установлена новая система запуска моторов;</w:t>
      </w:r>
    </w:p>
    <w:p w14:paraId="3C83F9C0"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установлена новая система зажигания моторов;</w:t>
      </w:r>
    </w:p>
    <w:p w14:paraId="2E111065"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установлена новая система выхлопа моторов;</w:t>
      </w:r>
    </w:p>
    <w:p w14:paraId="5FAEBDC5"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установлена новая система управления ВМГ;</w:t>
      </w:r>
    </w:p>
    <w:p w14:paraId="4DB3088E"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сделаны полностью новые капоты моторов;</w:t>
      </w:r>
    </w:p>
    <w:p w14:paraId="685C0F31"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сделаны новые воздухозаборники ПЦН – одинарные над капотами;</w:t>
      </w:r>
    </w:p>
    <w:p w14:paraId="2EBFC250"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водяные радиаторы в крыле не устанавливаются, а взамен установлены масляные, нового типа;</w:t>
      </w:r>
    </w:p>
    <w:p w14:paraId="0D8E460A"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в связи с изменениями в ВМГ были переделаны мотогондлы и зоны крыла, где устанавливались радиаторы (водяные были сняты, а масляные установлены другого типа);</w:t>
      </w:r>
    </w:p>
    <w:p w14:paraId="2621B258"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упразднены бомбооотсеки и сняты БД в хвостовых частях мотогондол, которые сделаны новыми зауженными;</w:t>
      </w:r>
    </w:p>
    <w:p w14:paraId="75C3A319"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сделана новая кабина экипажа;</w:t>
      </w:r>
    </w:p>
    <w:p w14:paraId="6D54DAB5"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установлена турель ВУБ-2 с пулеметом БК (тогда еще опытная) в кабине штурмана;</w:t>
      </w:r>
    </w:p>
    <w:p w14:paraId="6B574FDB"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снят носовой пулемет ШКАС;</w:t>
      </w:r>
    </w:p>
    <w:p w14:paraId="0F9F7960"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сняты бортовые установки под перекидной пулемет ШКАС и упразднены вырезы под них в бортах фюзеляжа;</w:t>
      </w:r>
    </w:p>
    <w:p w14:paraId="7400123E"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вместо радиополукомпаса РПК-2 установлен новый РПКО-10;</w:t>
      </w:r>
    </w:p>
    <w:p w14:paraId="41C8C178"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шасси вынесли вперед на 60 мм за счет удлинения подкосов;</w:t>
      </w:r>
    </w:p>
    <w:p w14:paraId="4DB2F6A1"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в ХЧФ установили свинцовый балансир массой 68 кг, но центровка все равно получилась избыточно передней.</w:t>
      </w:r>
    </w:p>
    <w:p w14:paraId="65AC56C0"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испытаний был переоборудован один готовый и облетанный самолет сер. №19/31</w:t>
      </w:r>
    </w:p>
    <w:p w14:paraId="1F8902E8"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проводились на летно-испытательной станции (ЛИС) завода №22, но в основном силами Летно-испытательного института (ЛИИ НКАП), от которого были командированы ведущий инженер Хейфец и ведущий летчик М.Л. Галлай</w:t>
      </w:r>
    </w:p>
    <w:p w14:paraId="66413B1F"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июля 1942 г. доработанный самолет Пе-2 М-82А совершил первый полет по программе заводских испытаний с аэродрома Арское Поле в районе Казани.</w:t>
      </w:r>
    </w:p>
    <w:p w14:paraId="6F8600FB"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Летно-технические данные самолета по скорости, потолку и разбегу по сравнению с Пе-2 2М-105ПФ улучшились, но по винтомоторной группе (ВМГ) выявлено много дефектов:</w:t>
      </w:r>
    </w:p>
    <w:p w14:paraId="02E08C88"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выброс масла через суфлеры приводит к заклиниванию двигателей;</w:t>
      </w:r>
    </w:p>
    <w:p w14:paraId="7B7BEDE2"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скопление масла в головках нижних цилиндров вызывало жесткий удар поршней и обрыв головок;</w:t>
      </w:r>
    </w:p>
    <w:p w14:paraId="5C61E4F3"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плохо работает управление двигателями;</w:t>
      </w:r>
    </w:p>
    <w:p w14:paraId="329913C6"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плохо работают маслорадиаторы и др.</w:t>
      </w:r>
    </w:p>
    <w:p w14:paraId="35985012"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Летно-технические данные самолета по скорости, потолку и разбегу по сравнению с Пе-2 2М-105ПФ улучшились, но по винтомоторной группе (ВМГ) выявлено много дефектов:</w:t>
      </w:r>
    </w:p>
    <w:p w14:paraId="2F44A4C5"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выброс масла через суфлеры приводит к заклиниванию двигателей;</w:t>
      </w:r>
    </w:p>
    <w:p w14:paraId="7771F86C"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скопление масла в головках нижних цилиндров вызывало жесткий удар поршней и обрыв головок;</w:t>
      </w:r>
    </w:p>
    <w:p w14:paraId="6A5445C9"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плохо работает управление двигателями;</w:t>
      </w:r>
    </w:p>
    <w:p w14:paraId="3E062848"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плохо работают маслорадиаторы и др.</w:t>
      </w:r>
    </w:p>
    <w:p w14:paraId="0D441A17"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Заводские испытания продолжались 2 месяца, и были завершены в конце сентября 1942 г. Вероятно, уже в их ходе были установлены форсированные двигатели М-82Ф. Далее самолет поставили на доработки для устранения дефектов (23555).</w:t>
      </w:r>
    </w:p>
    <w:p w14:paraId="08A9A639" w14:textId="77777777" w:rsidR="00CF04C3" w:rsidRPr="008A2E5A" w:rsidRDefault="00CF04C3" w:rsidP="00CF04C3">
      <w:pPr>
        <w:spacing w:after="0" w:line="240" w:lineRule="auto"/>
        <w:jc w:val="both"/>
        <w:rPr>
          <w:rFonts w:ascii="Times New Roman" w:hAnsi="Times New Roman"/>
          <w:color w:val="0070C0"/>
          <w:sz w:val="16"/>
          <w:szCs w:val="16"/>
        </w:rPr>
      </w:pPr>
    </w:p>
    <w:p w14:paraId="769A3D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июня 1942 С.Б.Рейдель испытывал КОР-2 на пикирование. 24 июня машину чуть-чуть не разбили (99,246).</w:t>
      </w:r>
    </w:p>
    <w:p w14:paraId="162F3F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AA44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июня 1942 вышел приказ НКАП N 458с</w:t>
      </w:r>
    </w:p>
    <w:p w14:paraId="7819C4F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окончанием в производстве самолета Пе-2 с М-82:</w:t>
      </w:r>
    </w:p>
    <w:p w14:paraId="0FA5237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Провести для отработки ВМГ заводские ли Пе-2 2М-82 на заводе 22 совместно с ЛИИ (1555,111).</w:t>
      </w:r>
    </w:p>
    <w:p w14:paraId="4D4DBAC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0379D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22 июня 1942 г. по приказу № 459с ремонтные мастерские № 266 на месте эвакуированного завода (Завод № 266 ИМ. И.И. </w:t>
      </w:r>
      <w:r w:rsidRPr="008127F8">
        <w:rPr>
          <w:rFonts w:ascii="Times New Roman" w:hAnsi="Times New Roman"/>
          <w:color w:val="000000" w:themeColor="text1"/>
          <w:sz w:val="16"/>
          <w:szCs w:val="16"/>
          <w:lang w:val="en-US"/>
        </w:rPr>
        <w:t>Jlence</w:t>
      </w:r>
      <w:r w:rsidRPr="008127F8">
        <w:rPr>
          <w:rFonts w:ascii="Times New Roman" w:hAnsi="Times New Roman"/>
          <w:color w:val="000000" w:themeColor="text1"/>
          <w:sz w:val="16"/>
          <w:szCs w:val="16"/>
        </w:rPr>
        <w:t xml:space="preserve"> НКАП, МАП, Электромоторный завод им. Лепсе НКЭП, НКЭС, Кировский электромашиностроительный завод им. И.И. Лепсе, Кировское электромашиностроительное ПО (КЭМПО) «Лепсе», ОАО «Электромашиностроительный завод (ЭМСЗ) «Лепсе» РАКА, ФАП /г. Москва ул. Ткацкая, 15 ст. Черкизово (1940 г.);  г. Киров Филейское ш. (1942 г.)/ /610006  г. Киров пр. Октябрьский, 24 тел. 23-74-47/ /Московское представительство: ул. Б. Садовая, 8/) были преобразованы в филиал завода № 266 НКАП по электромашинам (директор- Доценко). По приказу № 198с от 8.04.1943 г. на базе филиала образован самостоятельный завод № 140 НКАП (11982).</w:t>
      </w:r>
    </w:p>
    <w:p w14:paraId="326668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D51A6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363B3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091181"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июня 1942 года им вышло постановление ГКО №1923с "О производстве трактора-тягача С-10 на Кировском заводе Наркомата танковой промышленности". В июле 1942 года предполагалась сдать 150 машин данного типа, в августе 200, а в сентябре еще 300 штук. С-10, с точки зрения производства, был хорошим выбором, поскольку ЧКЗ не зависел от других поставщиков, например, ЗИС (он поставлял кабины). Увы, уже вскоре это постановление ушло в небытие. Причиной стало то, что в июле 1942 года на ЧКЗ началось срочное освоение Т-34. Поэтому С-10 попросту не нашлось места на конвейере. В итоге основным тягачом корпусной артиллерии так и остался С-65, даже на 1 мая 1945 года их числилось 9631 штука (из них 8220 в исправном состоянии). Специальный артиллерийский тягач из Челябинска всё же дождались, но случилось это после войны, звался он АТ-С (23353).</w:t>
      </w:r>
    </w:p>
    <w:p w14:paraId="01F139EA" w14:textId="77777777" w:rsidR="00CF04C3" w:rsidRPr="008A2E5A" w:rsidRDefault="00CF04C3" w:rsidP="00CF04C3">
      <w:pPr>
        <w:spacing w:after="0" w:line="240" w:lineRule="auto"/>
        <w:jc w:val="both"/>
        <w:rPr>
          <w:rFonts w:ascii="Times New Roman" w:hAnsi="Times New Roman"/>
          <w:color w:val="0070C0"/>
          <w:sz w:val="16"/>
          <w:szCs w:val="16"/>
        </w:rPr>
      </w:pPr>
    </w:p>
    <w:p w14:paraId="72F8378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июня 1942 вышло Постановление ГКО № 1922 Об образовании при Государственном Комитете Обороны Комиссии по эвакуации. (7039, 54).</w:t>
      </w:r>
    </w:p>
    <w:p w14:paraId="3777BEE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E3F4B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июня 1942 вышло [Мандат Зернова П.М. - уполномоченного ГКО по танковым заводам Сталинграда]. № 1925 (7039, 60).</w:t>
      </w:r>
    </w:p>
    <w:p w14:paraId="4F30FFC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D15E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июня 1942 вышло Постановление ГКО № 1923 О производстве трактора-тягача С-10 на Кировском заводе Наркомтанкопрома. РГАНИР, Фонд ГКО, д. 40, лл. 55-55об (11012).</w:t>
      </w:r>
    </w:p>
    <w:p w14:paraId="6C25C2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9EFE0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июня 1942 вышло Постановление ГКО № 1924 Об увеличении выпуска танковых моторов на Горьковском автозаводе им. Молотова Наркомсредмаша. РГАНИР, Фонд ГКО, д. 40, лл. 56-57, 58-59 (11012).</w:t>
      </w:r>
    </w:p>
    <w:p w14:paraId="1184E1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BCC56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июня 1942 сдан последний самоходный плашкоут (II серии) (10671).</w:t>
      </w:r>
    </w:p>
    <w:p w14:paraId="31EE4F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7EBC7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7F1176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0C3D6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июня в 1942 году утреннее сообщение Совинформбюро:</w:t>
      </w:r>
    </w:p>
    <w:p w14:paraId="5C9DB55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22 июня на фронте существенных изменений не произошло.</w:t>
      </w:r>
    </w:p>
    <w:p w14:paraId="2942F1F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Ленинградского фронта наша часть за три дня боевых действий уничтожила до 350 гитлеровцев, 4 орудия, миномётную батарею, 8 станковых пулемётов и несколько повозок с боеприпасами. Огнём нашей артиллерии подавлены 9 артиллерийских и 2 миномётные батареи противника.</w:t>
      </w:r>
    </w:p>
    <w:p w14:paraId="084A953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Огнём нашей артиллерии, действующей на отдельных участках Западного фронта, уничтожено 260 солдат и офицеров противника.</w:t>
      </w:r>
    </w:p>
    <w:p w14:paraId="304BF13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Зенитчики подразделения, где командиром тов. Храмов, за последние четыре дня сбили 8 немецких бомбардировщиков. Пять из них уничтожены бойцами батареи лейтенанта тов. Синицына.</w:t>
      </w:r>
    </w:p>
    <w:p w14:paraId="6C71C3B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части, где командиром тов. Анохин (Калининский фронт), метким огнём уничтожили 3 автоматические пушки, 5 пулемётов, разбили 26 блиндажей с пехотой противника. Немцы потеряли убитыми свыше 150 солдат и офицеров.</w:t>
      </w:r>
    </w:p>
    <w:p w14:paraId="636D28A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Отражая атаку противника, танкисты т.т. Шматко и Зайцев уничтожили 4 противотанковых орудия и свыше 50 гитлеровцев.</w:t>
      </w:r>
    </w:p>
    <w:p w14:paraId="6DBE6AD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действующий в одном из оккупированных немцами районов Смоленской области, внезапным налётом выбил немецкий гарнизон из населённого пункта В. Партизаны уничтожили 4 склада с боеприпасами, 3 орудия, 3 миномёта, захватили станковый пулемёт, винтовки и другое вооружение. Немцы потеряли убитыми 45 солдат и 5 офицеров.</w:t>
      </w:r>
    </w:p>
    <w:p w14:paraId="3D1656F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«Смерть фашизму», действующий в одном из районов Калининской области, за последние дни пустил под откос 3 немецких железнодорожных эшелона с войсками и грузами. Партизаны отряда, которым командует товарищ Д., совершили налёт на аэродром и сожгли два немецких самолёта.</w:t>
      </w:r>
    </w:p>
    <w:p w14:paraId="1D13CC1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4 роты 43 мотоциклетного батальона 13 немецкой танковой дивизии Гельмут Бауэр рассказал: «Я с первых дней войны на фронте. В сентябре был ранен и два месяца пролежал в госпитале. Врачи госпиталя признали меня негодным в военной службе и направили на гарнизонную комиссию в город Бург. На комиссии гарнизонный врач заявил: «Если мы будем освобождать таких, как ты, то скоро некому будет воевать». Возвратившись в свою часть, я из старых солдат в моей роте нашёл только 7 человек. Все остальные убиты или ранены. Недавно на одной из посадочных площадок партизаны крепко потрепали маршевый батальон, прибывший на транспортных самолётах из Германии. Солдаты только что высадились и даже опомниться не успели, как на них налетели партизаны».</w:t>
      </w:r>
    </w:p>
    <w:p w14:paraId="1B89D10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рассвете группа гитлеровцев ворвалась в деревню Титово, Смоленской области. Немцы тотчас же собрали всех жителей деревни на берег реки и расстреляли 10 стариков. Затем гитлеровские мерзавцы направили пулемётный огонь на женщин, на руках которых были малолетние дети. Однако и этого фашистским людоедам показалось мало. Они бросили несколько гранат в груду окровавленных тел. Всего в этот день погибло от рук гитлеровских палачей 74 жителя деревни и среди них 19 детей в возрасте до 12 лет.» (14930).</w:t>
      </w:r>
    </w:p>
    <w:p w14:paraId="112482E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0BEF32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июня в 1942 году вечернее сообщение Совинформбюро:</w:t>
      </w:r>
    </w:p>
    <w:p w14:paraId="7883A03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22 июня наши войска на Харьковском направлении вели бои с наступающими войсками противника.</w:t>
      </w:r>
    </w:p>
    <w:p w14:paraId="6CA772B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Севастопольском участке фронта продолжались упорные бои.</w:t>
      </w:r>
    </w:p>
    <w:p w14:paraId="6EE9C58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остальных участках фронта существенных изменений не произошло.</w:t>
      </w:r>
    </w:p>
    <w:p w14:paraId="194CAD0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21 июня частями нашей авиации на различных участках фронта уничтожено или повреждено 20 немецких танков, 100 автомашин с войсками и грузами, 15 повозок с боеприпасами, подавлен огонь 10 батарей зенитной и полевой артиллерии, рассеяно и частью уничтожено до трёх рот пехоты противника.</w:t>
      </w:r>
    </w:p>
    <w:p w14:paraId="2D96DAA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Харьковского направления наши бойцы под командованием тов. Кочупала отразили атаки пехоты противника. Немцы были отброшены, оставив на поле боя 200 трупов. На другом участке подразделение тов. Котова овладело одним населённым пунктом. В этом бою отличился миномётчик Лершин. Он уничтожил станковый пулемёт противника и 25 немецких солдат.</w:t>
      </w:r>
    </w:p>
    <w:p w14:paraId="0F4F353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отдельных участках Западного фронта противник предпринял несколько атак. Ружейно-пулемётным и артиллерийским огнём атаки немцев были отбиты. Уничтожено до 4 рот пехоты противника. Наша артиллерия произвела успешный огневой налёт на железнодорожную станцию, занятую немцами. Уничтожены 5 вагонов и платформа с различным военным имуществом.</w:t>
      </w:r>
    </w:p>
    <w:p w14:paraId="6CB8BB0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подразделения старшего лейтенанта Востинова подавили огонь 105-мм немецкой батареи. В течение двух дней артиллеристы части, где командиром тов. Серебринский, разрушили 8 ДЗОТов, 6 блиндажей, подавили огонь двух артиллерийских батарей, уничтожили 2 орудия, 4 пулемёта и до 250 солдат и офицеров противника.</w:t>
      </w:r>
    </w:p>
    <w:p w14:paraId="05EB925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 старшего лейтенанта тов. Якушева атаковал два немецких танка. Наши танкисты уничтожили одну машину противника и перебили гусеницы второго немецкого танка.</w:t>
      </w:r>
    </w:p>
    <w:p w14:paraId="3959360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Снайперы Николай Осипов и Алексей Трибулкин истребили до 100 гитлеровцев. На днях тов. Осипов зажигательными пулями поджёг два неприятельских склада с боеприпасами.</w:t>
      </w:r>
    </w:p>
    <w:p w14:paraId="2E7A3CA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Успешно громит немецко-фашистских захватчиков партизанский отряд под командованием тов. В., действующий в одном из оккупированных немцами районов Орловской области. По неполным данным, партизаны за шесть месяцев сожгли на аэродромах и сбили огнём пехотного оружия 8 немецких самолётов, уничтожили 12 автомашин, 18 подвод с военными грузами, взорвали 7 железнодорожных и 5 шоссейных мостов, пустили под откос 5 железнодорожных составов противника. За это же время партизаны уничтожили 380 и ранили 190 немецко-фашистских оккупантов.</w:t>
      </w:r>
    </w:p>
    <w:p w14:paraId="2276910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партизан одного из отрядов, действующих в оккупированных немцами районах Смоленской области, захватила пачку документов противника. Среди них обнаружен приказ начальника немецкого гарнизона г. Рославля майора Кайзера. В этом приказе перепуганный майор пишет, что за последнее время в тыловых районах армии и фронта участились нападения партизан и что ни один немец не может чувствовать себя в безопасности. В приказе говорится: «Каждый солдат, находящийся в районе действий армейской группы, должен быть готов в любую минуту защищаться от внезапных нападений. Начальники колонн, железнодорожных транспортов, специальных команд и т. д. должны во время каждого марша, на привале, на ночёвке проверять готовность своей части к обороне».</w:t>
      </w:r>
    </w:p>
    <w:p w14:paraId="39A6FE7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113 немецкой пехотной дивизии Рудольф Ланге рассказал: «Я недавно приехал из Берлина. В этом большом городе трудно найти семью, которая не потеряла бы кого-либо из родных на Восточном фронте. В знакомой мне семье Нейгауз было четыре брата: два из них убиты, третий лишился ног, а четвёртый тяжело ранен. В связи с огромными потерями на фронте и продовольственными трудностями всюду растёт недовольство войной. По утрам на заборах и на стенах домов Берлина я не раз видел написанные краской лозунги «Долой преступную войну», «Долой Гитлсра». Группы полицейских подолгу возятся у заборов и стен домов, стараясь смыть эти лозунги».</w:t>
      </w:r>
    </w:p>
    <w:p w14:paraId="567C8F7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Немецко-фашистские оккупанты истребляют население захваченных ими стран. В городе Нови-Сад (Югославия) расстреляно несколько тысяч жителей, в том числе много женщин и детей. У крестьян оккупанты отняли всё продовольствие и обрекли их на голодную смерть.»</w:t>
      </w:r>
    </w:p>
    <w:p w14:paraId="0398B49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Политические и военные итоги года Отечественной войны:</w:t>
      </w:r>
    </w:p>
    <w:p w14:paraId="14545E4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«Прошёл год, как народы Советского Союза ведут отечественную освободительную войну против гитлеровской Германии, вероломно напавшей на СССР 22 июня 1941 года. Каковы политические и военные итоги года войны?</w:t>
      </w:r>
    </w:p>
    <w:p w14:paraId="03B1420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Подготовляя разбойничье нападение на нашу страну, гитлеровские заправилы серьёзно рассчитывали на то, что им удастся сколотить всеобщую коалицию против СССР, вовлечь в эту коалицию Великобританию и США и, таким образом, полностью изолировать СССР от других держав мира.</w:t>
      </w:r>
    </w:p>
    <w:p w14:paraId="423DD80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Незадолго до вероломного нападения немецкой армии на Советскую страну гитлеровцы, ругавшие самыми последними словами по радио и в печати английских и американских «плутократов», направили к этим самым «плутократам» небезызвестного Гесса. В задачу Гесса входило запугать политиков Великобритании и США баснями о «красной опасности» и убедить правящие круги этих стран примкнуть к «крестовому походу» против СССР. Что же получилось в результате этих попыток гитлеровской клики? Расчёты гитлеровцев на изоляцию нашей страны от других держав мира оказались построенными на песке. Англия и США не примкнули к походу против СССР. Более того. Вместо союза с Великобританией — гитлеровская Германия получила обострение войны с Великобританией и войну с США. Великобритания, США и СССР оказались в одном лагере свободолюбивых народов против фашистской Германии. Боевое содружество СССР, Великобритании и США в ходе войны окрепло и выросло в могучую силу. Заключение 26 мая в Лондоне Договора между СССР и Великобританией и подписание 11 июня в Вашингтоне Соглашения между правительствами CCСP и США приближают час окончательного разгрома гитлеровской Германии. Как теперь известно, во время переговоров В.М.Молотова с премьер-министром Великобритании У. Черчиллем и президентом Соединённых Штатов Америки Ф.Рузвельтом была достигнута полная договорённость в отношении неотложных задач создания второго фронта в Европе в 1942 году.</w:t>
      </w:r>
    </w:p>
    <w:p w14:paraId="5995A98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Вероломная гитлеровская политика, рассчитанная на то, чтобы бить свободолюбивые народы поодиночке, провалилась окончательно и бесповоротно. Эта гитлеровская политика вызвала к жизни против фашистской Германии коалицию стран, обладающих такими мощными людскими, производственными, сырьевыми и продовольственными ресурсами, которые делают эту коалицию непобедимой.</w:t>
      </w:r>
    </w:p>
    <w:p w14:paraId="5D95C58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менее серьёзный крах потеплели расчёты и планы гитлеровцев в отношении тыла Красной Армии. Начиная год назад новую преступную военную авантюру, гитлеровцы рассчитывали на непрочность советского тыла и полагали, что им удастся, подобно тому, как было в странах Западной Европы, деморализовать нашу армию, разложить изнутри её тыл и тем самым сломить сопротивление Советского Союза.</w:t>
      </w:r>
    </w:p>
    <w:p w14:paraId="55C8E22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гитлеровские заправилы опять же просчитались. Временные неудачи Красной Армии в первый период войны, а также вся последующая борьба против немецких оккупантов ещё более укрепили союз рабочих, крестьян, интеллигенции и дружбу народов СССР.</w:t>
      </w:r>
    </w:p>
    <w:p w14:paraId="1698DEE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Ни у одного из народов СССР немецко-фашистские оккупанты не нашли и не могли найти никакой поддержки. Все народы Советского Союза остались верными своей Родине.</w:t>
      </w:r>
    </w:p>
    <w:p w14:paraId="01AB99D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Гитлеровские авантюристы полагали, что как только возникнет война, начнётся распад колхозного строя и крестьяне выступят против рабочего класса и Советской власти. Весь мир знает ныне, что из этой гитлеровской затеи ничего не получилось. Год войны против немецких захватчиков неопровержимо свидетельствует о том, что наша социалистическая организация хозяйства, равно как и весь наш советский строй и его политическая и военная организация, с честью выдержали тяжёлые испытания, выпавшие на их долю в течение года войны, и вышли из горнила этих испытаний ещё более прочными и окрепшими. Год войны свидетельствует также о безусловной правильности политики Советского государства, которое никогда не забывало о возможности нападения фашистов на нашу страну, и поэтому неуклонно боролось за создание единого фронта свободолюбивых народов против сил агрессии и реакции, всеми силами и средствами поднимало промышленность и сельское хозяйство, науку и культуру Советского Союза, укрепляя тем самым оборонную мощь нашей Родины.</w:t>
      </w:r>
    </w:p>
    <w:p w14:paraId="2F3870E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год военных действий на советско-германском фронте обнаружил полный провал политических планов германского империализма — расчётов на военно-политическую изоляцию СССР и непрочность советского тыла. В результате года войны укрепилось боевое содружество СССР, Великобритании и США, укрепился тыл Красной Армии, укрепился союз рабочих, крестьян и интеллигенции, укрепилась дружба народов СССР.</w:t>
      </w:r>
    </w:p>
    <w:p w14:paraId="234FBAB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Таковы политические итоги года войны.</w:t>
      </w:r>
    </w:p>
    <w:p w14:paraId="44BBC25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Столь же плачевными оказались для немцев военные итоги года войны.</w:t>
      </w:r>
    </w:p>
    <w:p w14:paraId="721A9F9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Начиная захватническую войну против Советского Союза, немецкие империалисты считали, что они смогут «покончить» с Красной Армией в полтора — два месяца. Но и в этом они просчитались. Война оказалась длительной, затяжной.</w:t>
      </w:r>
    </w:p>
    <w:p w14:paraId="0268B7C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Война фашистской Германии против СССР началась при выгодных условиях для немецких войск и невыгодных для советских войск. На первом этапе войны гитлеровская армия, ввиду внезапного и вероломного её нападения на СССР, имела некоторые временные преимущества перед Красной Армией. Эти преимущества заключались в том, что фашистская Германия, исподволь готовясь к войне против нашей страны, заранее перевела всё хозяйство для обслуживания фронта, создала количественное превосходство в танках и авиации. Немецкая армия была полностью отмобилизована к началу войны против СССР. К тому же она имела известный опыт современного ведения войны с использованием больших масс танков, авиации, автоматического оружия, полученный ею в войне с Польшей, Бельгией, Францией, Грецией, Югославией. Понятно поэтому, что в первые месяцы войны Красная Армия была вынуждена отступить и оставить часть советской территории. Но, отступая, Красная Армия изматывала силы врага, наносила ему жестокие удары. В ходе боёв командиры Красной Армии, рядовые бойцы закалялись, приобретали опыт, изучали тактику врага, вырабатывали приёмы борьбы с его техникой.</w:t>
      </w:r>
    </w:p>
    <w:p w14:paraId="065FEE7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 продолжалось до ноября 1941 года.</w:t>
      </w:r>
    </w:p>
    <w:p w14:paraId="294B3D0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ноябре развернулись ожесточённые бои на ближних подступах к Москве. Гитлер бросил на Москву десятки дивизий отборных войск и в числе их много танковых дивизий. Войска Красной Армии, активно обороняясь, изматывали, обескровливали врага, наносили ему огромные потери, а в начале декабря сами перешли в контрнаступление. Этот момент явился переломным в ходе войны. Гитлеровцы проиграли битву за Москву. Советские войска разгромили десятки гитлеровских дивизий, отбросили немецких захватчиков на запад, освободили многие тысячи населённых пунктов.</w:t>
      </w:r>
    </w:p>
    <w:p w14:paraId="4670BCB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Гитлеровское командование рассчитывало в зимние месяцы получить передышку в военных действиях в виде позиционной, окопной войны. Гитлеровское командование рассчитывало за зимние месяцы привести в порядок свои потрёпанные войска, переформировать их, пополнить их людьми и техникой и, наконец, дать им отдохнуть с тем, чтобы весной с новыми силами начать крупное наступление. Красная Армия сорвала эти стратегические планы немецкого командования. С декабря по март, захватив инициативу, Красная Армия навязала гитлеровцам зимние изнурительные для них бои, уничтожила за это время огромное количество немецких солдат и техники, заставила немцев преждевременно израсходовать резервы из глубокого тыла, предназначенные для весенне-летних операций. В труднейших условиях зимы Красная Армия нанесла немецко-фашистским войскам удары такой силы, которые поколебали основы немецкой военной машины и подготовили почву для разгрома гитлеровской армии в 1942 году.</w:t>
      </w:r>
    </w:p>
    <w:p w14:paraId="6E0506F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весенне-летним операциям немецкое командование подновило, конечно, свою армию, влило в армию некоторое количество людских и материальных резервов. Но для этого гитлеровским заправилам пришлось взять под метёлку все остатки людей, способных держать в руках оружие, в том числе ограниченно годных, имеющих крупные физические недостатки. В течение зимы гитлеровское командование неоднократно обещало немецкому населению весной начать «решающее» наступление против Красной Армии. Весна прошла, но никакого решающего наступления немецкой армии не состоялось.</w:t>
      </w:r>
    </w:p>
    <w:p w14:paraId="51E84C2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Конечно, на фронте такой протяжённости, каким является советско-германский фронт, - гитлеровское командование ещё в состоянии на отдельных участках сосредоточить значительные силы войск, танков и авиации и добиваться известных успехов. Так, например, случилось на Керченском перешейке, где немцы, накопив преимущество в танках и в особенности в авиации, добились успеха и заставили наши войска отступить. Такие успехи для немцев не исключены на отдельных участках фронта и в ближайшем будущем. Но одно совершенно очевидно, что успехи, подобно успехам на Керченском перешейке, ни в какой мере не решают судьбу войны. Эти успехи временны и преходящи. Немецкая армия 1942 года, это не та армия, какая была в начале войны. Отборные немецкие войска в своей основной массе перебиты Красной Армией. Кадровый офицерский состав частью истреблён Красной Армией, частью разложился в результате грабежей и насилий над гражданским населением оккупированных районов. Младший командный состав, как правило, перебит и теперь производится в массовом порядке из необученных солдат. Ныне немецкая армия не в состоянии совершать наступательных операций в масштабах, подобно прошлогодним. Об этом убедительнее всего свидетельствуют данные о потерях немецкой армии. Вот эти данные.</w:t>
      </w:r>
    </w:p>
    <w:p w14:paraId="57BD5C2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Людские потери убитыми, ранеными и пленными за год войны …......Германия - около 10000000; СССР - около 4,5 млн. человек</w:t>
      </w:r>
    </w:p>
    <w:p w14:paraId="168495D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Потери орудий за год войны...................................................................... Германия – свыше 30 500; СССР - свыше 22 000</w:t>
      </w:r>
    </w:p>
    <w:p w14:paraId="77760F6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Потери танков ............................................................................................. Германия - 24 000; СССР - 15 000</w:t>
      </w:r>
    </w:p>
    <w:p w14:paraId="0739031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Потери самолётов.........................................................................................Германия -20 000; СССР - 9 000</w:t>
      </w:r>
    </w:p>
    <w:p w14:paraId="3139213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числа всех людских потерь немецкой армии не менее 3,5 миллионов составляют убитые. Кроме того, тщательное изучение вопроса показало, что благодаря хорошо поставленной санитарной службе Красной Армии число вернувшихся в строй раненых бойцов составило 70 процентов от числа раненых, а в немецкой армии в результате никудышной санитарной службы, которая была рассчитана тоже на «молниеносную» войну, возвратилось в строй раненых немецких солдат не более 40 процентов от всего числа раненых.</w:t>
      </w:r>
    </w:p>
    <w:p w14:paraId="77BBFED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год войны на советско-германском фронте обнаружил полный провал военных планов германского империализма.</w:t>
      </w:r>
    </w:p>
    <w:p w14:paraId="022D53D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Таковы военные итоги года войны.</w:t>
      </w:r>
    </w:p>
    <w:p w14:paraId="1FF6BDD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Непоправимые потери, которые нанесла немецко-фашистским войскам Красная Армия, породили в немецком солдате и особенно в немецком народе неуверенность в победе, подорвали веру в Гитлера и в фашистское командование. Ведь немецкие солдаты и население помнят, что Гитлер обещал окончательную победу и конец войны в 1941 году. Война в 1941 году не кончилась, победы нет. Значит, Гитлер обманул нас — вот о чём всё чаще и чаще задумывается немец.</w:t>
      </w:r>
    </w:p>
    <w:p w14:paraId="57DEC82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Немецкие солдаты и население помнят, что Гитлер и его приспешники в октябре 1941 года заявили, что Красная Армия уничтожена, что она никогда больше не восстановит своих сил и что вопрос о восточном походе решён. Оказалось, Красная Армия сохранила все свои силы и восточный поход не кончен. Значит, Гитлер обманул нас — вот о чём всё чаще и чаще задумывается немец. Перед всем миром, в том числе перед немецким народом, Гитлер предстал как низкопробный хвастун и обманщик. Немцы теперь не могут не видеть, что фашистская пропаганда является сплошным надувательством, что нельзя верить ни одному слову, ни одному обещанию Гитлера.</w:t>
      </w:r>
    </w:p>
    <w:p w14:paraId="18B1CDE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авантюристическую политику гитлеровской клики немцы расплачиваются миллионами убитых на советско-германском фронте. В немецком народе всё более нарастает сознание неизбежности поражения Германии. Тыл немецкой армии начинает трещать по швам. День вероломного нападения империалистической Германии на СССР в целях порабощения и истребления наших народов, захвата и разграбления нашей Родины явился днём начала конца гитлеровской Германии.</w:t>
      </w:r>
    </w:p>
    <w:p w14:paraId="7835A85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этом свидетельствуют политические итоги года войны, ибо в ходе войны потерпели полный крах все планы и расчёты гитлеровской клики, а Советский Союз выдержал все испытания, ещё более укрепил свою оборонную мощь и вместе с другими свободолюбивыми народами мира создал условия для окончательного разгрома гитлеровской армии.</w:t>
      </w:r>
    </w:p>
    <w:p w14:paraId="3D87974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этом неумолимо свидетельствуют военные итоги года войны, ибо в ходе советско-германской войны силы Германии непрестанно уменьшаются, а силы Советского Союза и дружественных, союзных с ним государств неуклонно возрастают.</w:t>
      </w:r>
    </w:p>
    <w:p w14:paraId="15C4375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этом свидетельствует полный провал империалистической гитлеровской идеологии, демагогии и лживой пропаганды. Измышления гитлеровцев о «новом порядке» в Европе, о якобы особой миссии «арийской расы», о фашистах, как поборниках культуры, потерпели крах. Фашисты предстали перед всеми народами мира как цепные псы немецких империалистов, как реакционеры и мракобесы, враги трудового народа, носители средневекового варварства, враги прогресса и разрушители культуры. Гитлеровская Германия стала смертельным врагом большинства населения земли.</w:t>
      </w:r>
    </w:p>
    <w:p w14:paraId="238B102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этом также свидетельствует начавшееся разложение внутреннего и европейского тыла германской армии, ибо среди порабощённых немецким империализмом народов, испытавших неимоверные тяготы войны, нарастает дух возмущения и протеста против войны за чуждые для них интересы немецких банкиров и плутократов.</w:t>
      </w:r>
    </w:p>
    <w:p w14:paraId="28F8111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 этом свидетельствуют, наконец, перспективы войны, всё более благоприятно складывающиеся для Советского Союза, Англии и США и неблагоприятно — для Германии, её «союзников» и вассалов.</w:t>
      </w:r>
    </w:p>
    <w:p w14:paraId="4FB5A16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Таковы политические и военные итоги года войны с немецко-фашистскими захватчиками.» (14930).</w:t>
      </w:r>
    </w:p>
    <w:p w14:paraId="05FD259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B98B8E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22 июня в 1942 году в осажденный Севастополь на боевых кораблях прибыло последнее пополнение — 142-я стрелковая бригада. Боеприпасы, продовольствие, медикаменты стали доставляться только подводными лодками в небольшом количестве (14930).</w:t>
      </w:r>
    </w:p>
    <w:p w14:paraId="0CFB1B1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84BF8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22 июня 1941 по 21 июня 1942 согласно официальным дан</w:t>
      </w:r>
      <w:r w:rsidRPr="008127F8">
        <w:rPr>
          <w:rFonts w:ascii="Times New Roman" w:hAnsi="Times New Roman"/>
          <w:color w:val="000000" w:themeColor="text1"/>
          <w:sz w:val="16"/>
          <w:szCs w:val="16"/>
        </w:rPr>
        <w:softHyphen/>
        <w:t>ным штаба ВМФ КА, ВВС флотов потеря</w:t>
      </w:r>
      <w:r w:rsidRPr="008127F8">
        <w:rPr>
          <w:rFonts w:ascii="Times New Roman" w:hAnsi="Times New Roman"/>
          <w:color w:val="000000" w:themeColor="text1"/>
          <w:sz w:val="16"/>
          <w:szCs w:val="16"/>
        </w:rPr>
        <w:softHyphen/>
        <w:t>ли 66 Ил-2, из которых 39 машин погиб</w:t>
      </w:r>
      <w:r w:rsidRPr="008127F8">
        <w:rPr>
          <w:rFonts w:ascii="Times New Roman" w:hAnsi="Times New Roman"/>
          <w:color w:val="000000" w:themeColor="text1"/>
          <w:sz w:val="16"/>
          <w:szCs w:val="16"/>
        </w:rPr>
        <w:softHyphen/>
        <w:t>ли на Черном море, остальные - на Бал</w:t>
      </w:r>
      <w:r w:rsidRPr="008127F8">
        <w:rPr>
          <w:rFonts w:ascii="Times New Roman" w:hAnsi="Times New Roman"/>
          <w:color w:val="000000" w:themeColor="text1"/>
          <w:sz w:val="16"/>
          <w:szCs w:val="16"/>
        </w:rPr>
        <w:softHyphen/>
        <w:t>тике (списанные по акту "ильюшины" при подсчете не учитывались) (6467).</w:t>
      </w:r>
    </w:p>
    <w:p w14:paraId="357C017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50A0B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июня 1942 в осажденный Севастополь прибыло последнее советское пополнение (4962).</w:t>
      </w:r>
    </w:p>
    <w:p w14:paraId="3D31B98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A793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состоянию на 22 июня 1942 г. в 80-й оаэ имелось 2 ГСТ, 2 Че-2 и один МТБ-2. Командовал эскадрильей майор Андреев. В этот период ГСТ и Че-2 вывозили раненых из Севастополя. Известно об одном эпизоде, когда в эвакуации защитников города участвовал и четырехмоторный МТБ. 1 июля 1942 г. на нем вывезли 20 человек (из них 9 раненых) на кавказское побережье Черного моря. Очевидно, это был последний, или один из последних полетов Ивана Сухо- млина на МТБ-2. Далее он был командирован в тыл для продолжения службы в качестве летчика-испытателя. Позднее смог попасть на фронт, совершил более 200 боевых вылетов, одержал 7 воздушных побед. В послевоенный период провел испытания многих советских самолетов. 26 апреля 1971 г. за успешное освоение новой авиационной техники и проявленные при этом мужество и героизм И.М. Сухомлин был удостоен звания Героя Советского Союза (11962).</w:t>
      </w:r>
    </w:p>
    <w:p w14:paraId="32DC75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8B41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июня 1942 Совинформбюро опубликовало итоги первого года войны, согласно которым мы потеряли 9000 самолетов, а немцы - 20000 (438,847).</w:t>
      </w:r>
    </w:p>
    <w:p w14:paraId="4F5D24F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5F100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июня 1942 года экипаж тридцатьчетверки командира батальона 156-й танковой бригады 22-го танкового корпуса 38-й армии Юго-Западного фронта старший лейтенант Иван Селедцов, во время проведения контратаки в районе деревни Ивановка подбил 8 немецких танков и 2 штурмовых орудия, но и сам погиб. 5 ноября 1942 года ему было присвоено звание Героя Советского Союза (посмертно) (12217).</w:t>
      </w:r>
    </w:p>
    <w:p w14:paraId="30F704F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F86F7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47D601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F6003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июня 1942 в Киеве состоялся “матч смерти” между футболистами киевского “Динамо” и немецкого “Люфтваффе” (киевляне выиграли 5:3) (4962). На киевском стадионе "Старт" динамовцы одержали победу со счетом 5:3 над футбольной командой "Люфтваффе". После этого были расстреляны игроки "Динамо" М.Трусевич, И.Кузьменко, А.Клименко, М.Коротких. Посмертно награждены медалью "За отвагу" (4963 ).</w:t>
      </w:r>
    </w:p>
    <w:p w14:paraId="337324C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56EE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190BD9D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B0F5C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июня 1942 командующий немецкими войсками в Северной Африке Э. Роммель произведен в фельдмаршалы (4962).</w:t>
      </w:r>
    </w:p>
    <w:p w14:paraId="7DD1C9F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3E713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июня в 1942 году формируется еврейская бригада, которая присоединится к британской армии (14930).</w:t>
      </w:r>
    </w:p>
    <w:p w14:paraId="1A8AD68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B55AB4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июня 1942 японская подводная лодка обстреляла форт Stevens в устье реки Колумбия (2100).</w:t>
      </w:r>
    </w:p>
    <w:p w14:paraId="009884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178E8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июня в 1942 году (по японскому времени) японская подводная лодка «I-25» обстреляла из 140-мм орудия Форт-Стивенс, штат Орегон. Всего было выпущено двадцать снарядов. Это был четвертый по счету артиллерийский обстрел континентальной территории США японскими подводными лодками (14930).</w:t>
      </w:r>
    </w:p>
    <w:p w14:paraId="00C4B39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52B146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 июня в 1942 году в Мэдисон-сквер гарден в Нью-Йорке состоялся многотысячный митинг солидарности с Советским Союзом (14930).</w:t>
      </w:r>
    </w:p>
    <w:p w14:paraId="30BA9E1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250BD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6E717D3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DE89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июня 1942 вышло постановление Военного Совета ВДВ о заказе планеров и об их использовании N 634226сс:</w:t>
      </w:r>
    </w:p>
    <w:p w14:paraId="7E56A7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"Констатировать, что из многоместных планеров только А-7 в достаточной мере доведен промышленностью и может быть принят на вооружение; планер Г-11 находится еще в доработке, планеры КЦ-20, К-1 и конструктора Н.Н.П. не прошли еще всех испытаний и по ним нет окончательных выводов. Боевого опыта использования планеров нет.</w:t>
      </w:r>
    </w:p>
    <w:p w14:paraId="5D6F0C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качестве самолетов-буксировщиков для боевого использования планеров можно использовать СБ и ДБ-4.</w:t>
      </w:r>
    </w:p>
    <w:p w14:paraId="083CA6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Утвердить следующий план заказа планеров промышленности на 3 кв. 1942: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1134"/>
        <w:gridCol w:w="8896"/>
      </w:tblGrid>
      <w:tr w:rsidR="007C5583" w:rsidRPr="008127F8" w14:paraId="1387B480" w14:textId="77777777" w:rsidTr="004C5D62">
        <w:tc>
          <w:tcPr>
            <w:tcW w:w="1242" w:type="dxa"/>
            <w:tcBorders>
              <w:top w:val="single" w:sz="12" w:space="0" w:color="auto"/>
            </w:tcBorders>
          </w:tcPr>
          <w:p w14:paraId="19BD6B5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Тип</w:t>
            </w:r>
          </w:p>
        </w:tc>
        <w:tc>
          <w:tcPr>
            <w:tcW w:w="1134" w:type="dxa"/>
            <w:tcBorders>
              <w:top w:val="single" w:sz="12" w:space="0" w:color="auto"/>
            </w:tcBorders>
          </w:tcPr>
          <w:p w14:paraId="12CAF8E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8896" w:type="dxa"/>
            <w:tcBorders>
              <w:top w:val="single" w:sz="12" w:space="0" w:color="auto"/>
            </w:tcBorders>
          </w:tcPr>
          <w:p w14:paraId="0FBAFC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Примечание</w:t>
            </w:r>
          </w:p>
        </w:tc>
      </w:tr>
      <w:tr w:rsidR="007C5583" w:rsidRPr="008127F8" w14:paraId="1CE485E4" w14:textId="77777777" w:rsidTr="004C5D62">
        <w:tc>
          <w:tcPr>
            <w:tcW w:w="1242" w:type="dxa"/>
          </w:tcPr>
          <w:p w14:paraId="5824566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А-2</w:t>
            </w:r>
          </w:p>
        </w:tc>
        <w:tc>
          <w:tcPr>
            <w:tcW w:w="1134" w:type="dxa"/>
          </w:tcPr>
          <w:p w14:paraId="0512DD2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136</w:t>
            </w:r>
          </w:p>
        </w:tc>
        <w:tc>
          <w:tcPr>
            <w:tcW w:w="8896" w:type="dxa"/>
          </w:tcPr>
          <w:p w14:paraId="3FBBA63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3EAFF14" w14:textId="77777777" w:rsidTr="004C5D62">
        <w:tc>
          <w:tcPr>
            <w:tcW w:w="1242" w:type="dxa"/>
          </w:tcPr>
          <w:p w14:paraId="05F1439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А-7</w:t>
            </w:r>
          </w:p>
        </w:tc>
        <w:tc>
          <w:tcPr>
            <w:tcW w:w="1134" w:type="dxa"/>
          </w:tcPr>
          <w:p w14:paraId="13BB91F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w:t>
            </w:r>
          </w:p>
        </w:tc>
        <w:tc>
          <w:tcPr>
            <w:tcW w:w="8896" w:type="dxa"/>
          </w:tcPr>
          <w:p w14:paraId="1DDB5F7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10% А-7 д. иметь двойное управление (учебный вариант)</w:t>
            </w:r>
          </w:p>
        </w:tc>
      </w:tr>
      <w:tr w:rsidR="007C5583" w:rsidRPr="008127F8" w14:paraId="5EEA2EF7" w14:textId="77777777" w:rsidTr="004C5D62">
        <w:tc>
          <w:tcPr>
            <w:tcW w:w="1242" w:type="dxa"/>
          </w:tcPr>
          <w:p w14:paraId="69484C6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Г-11</w:t>
            </w:r>
          </w:p>
        </w:tc>
        <w:tc>
          <w:tcPr>
            <w:tcW w:w="1134" w:type="dxa"/>
          </w:tcPr>
          <w:p w14:paraId="15A6DBD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183</w:t>
            </w:r>
          </w:p>
        </w:tc>
        <w:tc>
          <w:tcPr>
            <w:tcW w:w="8896" w:type="dxa"/>
          </w:tcPr>
          <w:p w14:paraId="3D4D70B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Планеры Г-11 д.б. в 3-х вариантах: 70% десантных, 20% парашютной подготовки, 10% учебных</w:t>
            </w:r>
          </w:p>
        </w:tc>
      </w:tr>
      <w:tr w:rsidR="007C5583" w:rsidRPr="008127F8" w14:paraId="75AD689A" w14:textId="77777777" w:rsidTr="004C5D62">
        <w:tc>
          <w:tcPr>
            <w:tcW w:w="1242" w:type="dxa"/>
          </w:tcPr>
          <w:p w14:paraId="591897B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КЦ-20</w:t>
            </w:r>
          </w:p>
        </w:tc>
        <w:tc>
          <w:tcPr>
            <w:tcW w:w="1134" w:type="dxa"/>
          </w:tcPr>
          <w:p w14:paraId="1F80329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8896" w:type="dxa"/>
          </w:tcPr>
          <w:p w14:paraId="1421F47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66950EF" w14:textId="77777777" w:rsidTr="004C5D62">
        <w:tc>
          <w:tcPr>
            <w:tcW w:w="1242" w:type="dxa"/>
            <w:tcBorders>
              <w:bottom w:val="single" w:sz="12" w:space="0" w:color="auto"/>
            </w:tcBorders>
          </w:tcPr>
          <w:p w14:paraId="1892CC3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ВДП-2</w:t>
            </w:r>
          </w:p>
        </w:tc>
        <w:tc>
          <w:tcPr>
            <w:tcW w:w="1134" w:type="dxa"/>
            <w:tcBorders>
              <w:bottom w:val="single" w:sz="12" w:space="0" w:color="auto"/>
            </w:tcBorders>
          </w:tcPr>
          <w:p w14:paraId="52B02B2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8896" w:type="dxa"/>
            <w:tcBorders>
              <w:bottom w:val="single" w:sz="12" w:space="0" w:color="auto"/>
            </w:tcBorders>
          </w:tcPr>
          <w:p w14:paraId="4B7519B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7152C28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Опытно-испытательному полигону ВДВ КА закончить все испытания планеров не позже 15 июля с.г.</w:t>
      </w:r>
    </w:p>
    <w:p w14:paraId="0EFDAFD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Штабу ВДВ КА к 1 июля:</w:t>
      </w:r>
    </w:p>
    <w:p w14:paraId="35500CF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разработать проект директивы Ставки о порядке и организации боевого применения планерных эскадрилий,</w:t>
      </w:r>
    </w:p>
    <w:p w14:paraId="5B0D76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разработать проект инструкции по боевому применению планеров, ориентируясь главным образом на ночные условия,</w:t>
      </w:r>
    </w:p>
    <w:p w14:paraId="2E77D9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пересмотреть программу и сроки подготовки планеристов с точки зрения требований боевого использования и поступления планеров в ВДВ,</w:t>
      </w:r>
    </w:p>
    <w:p w14:paraId="46D15D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пересмотреть план научно-испытательного полигона ВДВ КА имея в виду срочную отработку вопросов, связанных с боевым использованием планеров 9полетов с грузом на 4000-5000 м, полет в облаках, быстрая посадка с маневрированием и др.</w:t>
      </w:r>
    </w:p>
    <w:p w14:paraId="69070A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провести до 15 июля опытное учение с планерами, а также, если представится возможным, использовать их на фронте...Подписали: Командующий ВДВ КА г-м Глазунов, Чл. ВС л-к Клоков (2503,11).</w:t>
      </w:r>
    </w:p>
    <w:p w14:paraId="4E2823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DA9A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июня 1942 года Приказом НКАП № 462с было предложено перевести на старые площади завода 34 в Москве ОКБ-34, эвакуированное 16 октября 1941 года вместе с заводом в Троицк (9434).</w:t>
      </w:r>
    </w:p>
    <w:p w14:paraId="015CF48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1DA00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99032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F6481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июня 1942 г. в докладе Отдела боеприпасов Госплана СССР члену ГКО Л.П.Берия «Об упорядочении планирования производства боеприпасов» обращалось внимание на следующие несоответствия в сложившейся накануне войны и сохранявшейся до весны 1942 г. системе планирования производства элементов артиллерийского и минометного выстрела:</w:t>
      </w:r>
    </w:p>
    <w:p w14:paraId="423830E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Оторванность планирования производства боеприпасов от их материально-технического обеспечения. Как правило, месячные планы производства боеприпасов утверждались отдельными решениями ГКО, а материально-техническое обеспечение их предусматривалось в общих квартальных планах снабжения народного хозяйства, с выделением целевым назначением только лишь некоторых видов материалов.</w:t>
      </w:r>
    </w:p>
    <w:p w14:paraId="00B927F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Недостаточная увязка в планировании производства элементов боеприпасов с объемом валовой продукции, фондами зарплаты и другими технико-экономическими показателями их производства.</w:t>
      </w:r>
    </w:p>
    <w:p w14:paraId="5A3F405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Несоответствие во многих случаях заданий, даваемых отдельным предприятиям по боеприпасам с другими важнейшими заданиями, а также планами капитального строительства и восстановления, эвакуированных предприятии (18677).</w:t>
      </w:r>
    </w:p>
    <w:p w14:paraId="47933A7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637DB9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июня 1942 г. в докладе Отдела боеприпасов Госплана СССР члену ГКО Л.П.Берия «Об упорядочении планирования производства боеприпасов» обращалось внимание на следующие несоответствия в сложившейся накануне войны и сохранявшейся до весны 1942 г. системе планирования производства элементов артиллерийского и минометного выстрела:</w:t>
      </w:r>
    </w:p>
    <w:p w14:paraId="57F1598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1. Оторванность планирования производства боеприпасов от их материально-технического обеспечения. Как правило, месячные планы производства боеприпасов утверждались отдельными решениями ГКО, а материально-техническое обеспечение их предусматривалось в общих квартальных планах снабжения народного хозяйства, с выделением целевым назначением только лишь некоторых видов материалов.</w:t>
      </w:r>
    </w:p>
    <w:p w14:paraId="61043FC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Недостаточная увязка в планировании производства элементов боеприпасов с объемом валовой продукции, фондами зарплаты и другими технико-экономическими показателями их производства.</w:t>
      </w:r>
    </w:p>
    <w:p w14:paraId="7B0F5D7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Несоответствие во многих случаях заданий, даваемых отдельным предприятиям по боеприпасам с другими важнейшими заданиями, а также планами капитального строительства и восстановления, эвакуированных предприятии (18677).</w:t>
      </w:r>
    </w:p>
    <w:p w14:paraId="178112C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DB9CB2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июня 1942 г. по приказу НКМВ № 224с на заводе (Кунгурский механический завод № 806 НКМВ, Минометный завод НКМВ /г. Кунгур Пермской обл./) начата реконструкция для организации с 1.10.1942г. производства минометов образца 1937г. мощностью 1000 шт. в месяц. Для этого был расширен механический цех, выделено 200 ед. оборудования.</w:t>
      </w:r>
    </w:p>
    <w:p w14:paraId="6BB2C0B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соответствии с пост. ГКО № 1960сс от 4.07.1942г. и приказом НКМВ/НКВД № 240сс/001431 от 7.07.1942г. Кунгурский механический завод № 806 Главпродмаша НКМВ передан со всем оборудованием в ведение НКВД к 15.07.1942г. Приказом НКВД № 001191 от 10.06.1942г. решено на базе завода организовать ИТЛ по производству 82-мм мин и оставить производство редукторов для пороховых заводов НКБ. По приказу НКМВ № 250с от 7.07.1942г. завод № 806 передан в ведение ЗГУ. </w:t>
      </w:r>
      <w:r w:rsidRPr="008127F8">
        <w:rPr>
          <w:rFonts w:ascii="Times New Roman" w:hAnsi="Times New Roman"/>
          <w:color w:val="000000" w:themeColor="text1"/>
          <w:sz w:val="16"/>
          <w:szCs w:val="16"/>
          <w:vertAlign w:val="superscript"/>
        </w:rPr>
        <w:t>129</w:t>
      </w:r>
    </w:p>
    <w:p w14:paraId="43977BB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(06.1942г.)- Проскурин.</w:t>
      </w:r>
    </w:p>
    <w:p w14:paraId="257178C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детали для минометов (1942) (11982).</w:t>
      </w:r>
    </w:p>
    <w:p w14:paraId="0D33B36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763DF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июня 1942 г. в докладе Отдела боеприпасов Госплана СССР члену ГКО Л.П.Берия «Об упорядочении планирования производства боеприпасов» от обращалось внимание на сле</w:t>
      </w:r>
      <w:r w:rsidRPr="008127F8">
        <w:rPr>
          <w:rFonts w:ascii="Times New Roman" w:hAnsi="Times New Roman"/>
          <w:color w:val="000000" w:themeColor="text1"/>
          <w:sz w:val="16"/>
          <w:szCs w:val="16"/>
        </w:rPr>
        <w:softHyphen/>
        <w:t>дующие несоответствия в сложившейся накануне войны и сохра</w:t>
      </w:r>
      <w:r w:rsidRPr="008127F8">
        <w:rPr>
          <w:rFonts w:ascii="Times New Roman" w:hAnsi="Times New Roman"/>
          <w:color w:val="000000" w:themeColor="text1"/>
          <w:sz w:val="16"/>
          <w:szCs w:val="16"/>
        </w:rPr>
        <w:softHyphen/>
        <w:t>нявшейся до весны 1942 г. системе планирования производства элементов артиллерийского и минометного выстрела:</w:t>
      </w:r>
    </w:p>
    <w:p w14:paraId="3A34653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Оторванность планирования производства боеприпасов от их материально-технического обеспечения. Как правило, ме</w:t>
      </w:r>
      <w:r w:rsidRPr="008127F8">
        <w:rPr>
          <w:rFonts w:ascii="Times New Roman" w:hAnsi="Times New Roman"/>
          <w:color w:val="000000" w:themeColor="text1"/>
          <w:sz w:val="16"/>
          <w:szCs w:val="16"/>
        </w:rPr>
        <w:softHyphen/>
        <w:t>сячные планы производства боеприпасов утверждались от</w:t>
      </w:r>
      <w:r w:rsidRPr="008127F8">
        <w:rPr>
          <w:rFonts w:ascii="Times New Roman" w:hAnsi="Times New Roman"/>
          <w:color w:val="000000" w:themeColor="text1"/>
          <w:sz w:val="16"/>
          <w:szCs w:val="16"/>
        </w:rPr>
        <w:softHyphen/>
        <w:t>дельными решениями ГКО, а материально-техническое обес</w:t>
      </w:r>
      <w:r w:rsidRPr="008127F8">
        <w:rPr>
          <w:rFonts w:ascii="Times New Roman" w:hAnsi="Times New Roman"/>
          <w:color w:val="000000" w:themeColor="text1"/>
          <w:sz w:val="16"/>
          <w:szCs w:val="16"/>
        </w:rPr>
        <w:softHyphen/>
        <w:t>печение их предусматривалось в общих квартальных планах снабжения народного хозяйства, с выделением целевым на</w:t>
      </w:r>
      <w:r w:rsidRPr="008127F8">
        <w:rPr>
          <w:rFonts w:ascii="Times New Roman" w:hAnsi="Times New Roman"/>
          <w:color w:val="000000" w:themeColor="text1"/>
          <w:sz w:val="16"/>
          <w:szCs w:val="16"/>
        </w:rPr>
        <w:softHyphen/>
        <w:t>значением только лишь некоторых видов материалов,</w:t>
      </w:r>
    </w:p>
    <w:p w14:paraId="071B5D6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Недостаточная увязка в планировании производства элемен</w:t>
      </w:r>
      <w:r w:rsidRPr="008127F8">
        <w:rPr>
          <w:rFonts w:ascii="Times New Roman" w:hAnsi="Times New Roman"/>
          <w:color w:val="000000" w:themeColor="text1"/>
          <w:sz w:val="16"/>
          <w:szCs w:val="16"/>
        </w:rPr>
        <w:softHyphen/>
        <w:t>тов боеприпасов с объемом валовой продукции, фондами зарплаты и другими технико-экономическими показателями их производства.</w:t>
      </w:r>
    </w:p>
    <w:p w14:paraId="3FD9EB6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Несоответствие во многих случаях заданий, даваемых от</w:t>
      </w:r>
      <w:r w:rsidRPr="008127F8">
        <w:rPr>
          <w:rFonts w:ascii="Times New Roman" w:hAnsi="Times New Roman"/>
          <w:color w:val="000000" w:themeColor="text1"/>
          <w:sz w:val="16"/>
          <w:szCs w:val="16"/>
        </w:rPr>
        <w:softHyphen/>
        <w:t>дельным предприятиям по боеприпасам с другими важней</w:t>
      </w:r>
      <w:r w:rsidRPr="008127F8">
        <w:rPr>
          <w:rFonts w:ascii="Times New Roman" w:hAnsi="Times New Roman"/>
          <w:color w:val="000000" w:themeColor="text1"/>
          <w:sz w:val="16"/>
          <w:szCs w:val="16"/>
        </w:rPr>
        <w:softHyphen/>
        <w:t>шими заданиями, а также планами капитального строитель</w:t>
      </w:r>
      <w:r w:rsidRPr="008127F8">
        <w:rPr>
          <w:rFonts w:ascii="Times New Roman" w:hAnsi="Times New Roman"/>
          <w:color w:val="000000" w:themeColor="text1"/>
          <w:sz w:val="16"/>
          <w:szCs w:val="16"/>
        </w:rPr>
        <w:softHyphen/>
        <w:t>ства и восстановления эвакуированных предприятий» (РГАЭ ф. 4372, оп. 93, д. 31, л. 154) (1566).</w:t>
      </w:r>
    </w:p>
    <w:p w14:paraId="26291C8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6D452A"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июня 1942 г. Доклад наркома танковой промышленности СССР В. А. Малышева председателю ГКО СССР И. В. Сталину «О толщине брони танков Т-34»</w:t>
      </w:r>
    </w:p>
    <w:p w14:paraId="60032B88"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74A9E0FC"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Танк Т-34 имеет толщину брони 45 мм на всех жизненных местах танка: лобовая часть, борта, корма танка. Но благодаря удачной конфигурации корпуса танка и правильно выбранных углов наклона броневых листов лобовой части (угол наклона 60°) и кормы танка снарядостойкость лобовой части и кормы танка значительно повышена.</w:t>
      </w:r>
    </w:p>
    <w:p w14:paraId="342928EC"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Расчеты и неоднократные испытания корпусов танков Т-34 отстрелом показывают, что лобовая часть танка Т-34 по снарядостойкости равнопрочна броне высокой твердости, толщиной в 70-75 мм, и броне средней твердости (применяемой на танках КВ), толщиной в 80 мм. Лобовая часть танка Т-34 снимает бронебойные снаряды всех калибров до 76 мм включительно. Ни один известный нам танк — ни отечественный, ни заграничный (немецкие, английские, американские) — не имеет столь удачно сделанной конструкции лба и кормы корпуса танка, как у танка Т-34.</w:t>
      </w:r>
    </w:p>
    <w:p w14:paraId="2A13A580"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танки, кроме Т-34, имеют расположение бронелиста у водителя почти вертикальное или под небольшим углом (10-20°), и поэтому толщина этого листа должна быть значительно больше, чем у остальных частей танка. Отсюда — необходимость в постановке экрана на лобовую часть у всех типов танков, кроме Т-34. Поэтому лобовую часть танка Т-34 экранировать не надо1.</w:t>
      </w:r>
    </w:p>
    <w:p w14:paraId="4EC0E914"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Уменьшать толщину бортовых листов с 45 мм до 38-40 мм также не следует потому, что: а) броня толщиной в 45 мм (в вертикальном положении) не пробивается со всех дистанций бронебойным снарядом из наиболее массовой немецкой пушки калибром в 37 мм, не пробивается подкалиберным снарядом (с твердым сердечником) 37 мм с дистанций свыше 300 м. Броня же толщиной в 38-40 мм будет пробиваться бронебойным снарядом 37 мм с дистанции 150 м и ближе и подкалиберным снарядом 37 мм — с дистанции 450 м и ближе; б) особенно опасно уменьшение толщины бортовой брони танка Т-34 в связи с появлением у немцев тяжелого противотанкового ружья типа «41» калибра 28/20 мм, дающего начальную скорость 1370 м/с. Снаряд с твердым сердечником из такого ружья пробивает броню 40 мм с дистанции 450 м и ближе, а броня 45 мм уменьшает эту дистанцию до 370 м.</w:t>
      </w:r>
    </w:p>
    <w:p w14:paraId="59BA8C57"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Малышев</w:t>
      </w:r>
    </w:p>
    <w:p w14:paraId="64A6CAE8"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РГАНИ. Ф. 3. Оп. 46. Д. 389. Л. 163-164. Подлинник; РГАСПИ. Ф. 82. Оп. 2. Д. 574. Л. 107-108. Подлинник (23783).</w:t>
      </w:r>
    </w:p>
    <w:p w14:paraId="6DC3164C" w14:textId="77777777" w:rsidR="00CF04C3" w:rsidRPr="008A2E5A" w:rsidRDefault="00CF04C3" w:rsidP="00CF04C3">
      <w:pPr>
        <w:spacing w:after="0" w:line="240" w:lineRule="auto"/>
        <w:jc w:val="both"/>
        <w:rPr>
          <w:rFonts w:ascii="Times New Roman" w:hAnsi="Times New Roman"/>
          <w:color w:val="0070C0"/>
          <w:sz w:val="16"/>
          <w:szCs w:val="16"/>
        </w:rPr>
      </w:pPr>
    </w:p>
    <w:p w14:paraId="1238F4F0" w14:textId="77777777" w:rsidR="007C5583" w:rsidRPr="008127F8" w:rsidRDefault="007C5583" w:rsidP="007C5583">
      <w:pPr>
        <w:pStyle w:val="a4"/>
        <w:rPr>
          <w:color w:val="000000" w:themeColor="text1"/>
          <w:lang w:val="ru-RU"/>
        </w:rPr>
      </w:pPr>
      <w:r w:rsidRPr="008127F8">
        <w:rPr>
          <w:color w:val="000000" w:themeColor="text1"/>
          <w:lang w:val="ru-RU"/>
        </w:rPr>
        <w:t>23 июня 1942 года было письмо заместителя На</w:t>
      </w:r>
      <w:r w:rsidRPr="008127F8">
        <w:rPr>
          <w:color w:val="000000" w:themeColor="text1"/>
          <w:lang w:val="ru-RU"/>
        </w:rPr>
        <w:softHyphen/>
        <w:t>родного Комиссара танковой промышленности А.А. Горегляда в адрес начальника ГАУ КА генерал-полковника Н.Д. Яковлева:</w:t>
      </w:r>
    </w:p>
    <w:p w14:paraId="2E195901" w14:textId="77777777" w:rsidR="007C5583" w:rsidRPr="008127F8" w:rsidRDefault="007C5583" w:rsidP="007C5583">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«На Ваше письмо от 23.</w:t>
      </w:r>
      <w:r w:rsidRPr="008127F8">
        <w:rPr>
          <w:rStyle w:val="Bodytext145"/>
          <w:i w:val="0"/>
          <w:iCs w:val="0"/>
          <w:color w:val="000000" w:themeColor="text1"/>
          <w:sz w:val="16"/>
          <w:szCs w:val="16"/>
          <w:lang w:val="en-US"/>
        </w:rPr>
        <w:t>IV</w:t>
      </w:r>
      <w:r w:rsidRPr="008127F8">
        <w:rPr>
          <w:rStyle w:val="Bodytext145"/>
          <w:i w:val="0"/>
          <w:iCs w:val="0"/>
          <w:color w:val="000000" w:themeColor="text1"/>
          <w:sz w:val="16"/>
          <w:szCs w:val="16"/>
        </w:rPr>
        <w:t>-42 года за №538884 сообщаем о нашем со</w:t>
      </w:r>
      <w:r w:rsidRPr="008127F8">
        <w:rPr>
          <w:rStyle w:val="Bodytext145"/>
          <w:i w:val="0"/>
          <w:iCs w:val="0"/>
          <w:color w:val="000000" w:themeColor="text1"/>
          <w:sz w:val="16"/>
          <w:szCs w:val="16"/>
        </w:rPr>
        <w:softHyphen/>
        <w:t>гласии принять к реализации часть из предложенного Вами объема опыт</w:t>
      </w:r>
      <w:r w:rsidRPr="008127F8">
        <w:rPr>
          <w:rStyle w:val="Bodytext145"/>
          <w:i w:val="0"/>
          <w:iCs w:val="0"/>
          <w:color w:val="000000" w:themeColor="text1"/>
          <w:sz w:val="16"/>
          <w:szCs w:val="16"/>
        </w:rPr>
        <w:softHyphen/>
        <w:t>ных работ по самоходной артиллерии.</w:t>
      </w:r>
    </w:p>
    <w:p w14:paraId="1D784F96" w14:textId="77777777" w:rsidR="007C5583" w:rsidRPr="008127F8" w:rsidRDefault="007C5583" w:rsidP="007C5583">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Вопрос о постройке самоходных артиллерийских установок, в разре</w:t>
      </w:r>
      <w:r w:rsidRPr="008127F8">
        <w:rPr>
          <w:rStyle w:val="Bodytext145"/>
          <w:i w:val="0"/>
          <w:iCs w:val="0"/>
          <w:color w:val="000000" w:themeColor="text1"/>
          <w:sz w:val="16"/>
          <w:szCs w:val="16"/>
        </w:rPr>
        <w:softHyphen/>
        <w:t>зе поднятых Вами тем, предварительно проработан на заводах нашего Наркомата, что позволяет нам следующим образом уточнить возможное исполнение:</w:t>
      </w:r>
    </w:p>
    <w:p w14:paraId="2B91E743" w14:textId="77777777" w:rsidR="007C5583" w:rsidRPr="008127F8" w:rsidRDefault="007C5583" w:rsidP="007C5583">
      <w:pPr>
        <w:pStyle w:val="Bodytext240"/>
        <w:shd w:val="clear" w:color="auto" w:fill="auto"/>
        <w:spacing w:line="240" w:lineRule="auto"/>
        <w:ind w:firstLine="0"/>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&lt;...&gt;</w:t>
      </w:r>
    </w:p>
    <w:p w14:paraId="1761D0E8" w14:textId="77777777" w:rsidR="007C5583" w:rsidRPr="008127F8" w:rsidRDefault="007C5583" w:rsidP="007C5583">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3) По Кировскому заводу. Может быть принято изготовление опыт</w:t>
      </w:r>
      <w:r w:rsidRPr="008127F8">
        <w:rPr>
          <w:rStyle w:val="Bodytext145"/>
          <w:i w:val="0"/>
          <w:iCs w:val="0"/>
          <w:color w:val="000000" w:themeColor="text1"/>
          <w:sz w:val="16"/>
          <w:szCs w:val="16"/>
        </w:rPr>
        <w:softHyphen/>
        <w:t xml:space="preserve">ного образца самоходной установки 152 мм пушки-гаубицы образца 1937года (МЛ-20) по типу корпуса </w:t>
      </w:r>
      <w:r w:rsidRPr="008127F8">
        <w:rPr>
          <w:rStyle w:val="Bodytext145"/>
          <w:i w:val="0"/>
          <w:iCs w:val="0"/>
          <w:color w:val="000000" w:themeColor="text1"/>
          <w:sz w:val="16"/>
          <w:szCs w:val="16"/>
          <w:lang w:val="en-US"/>
        </w:rPr>
        <w:t>KB</w:t>
      </w:r>
      <w:r w:rsidRPr="008127F8">
        <w:rPr>
          <w:rStyle w:val="Bodytext145"/>
          <w:i w:val="0"/>
          <w:iCs w:val="0"/>
          <w:color w:val="000000" w:themeColor="text1"/>
          <w:sz w:val="16"/>
          <w:szCs w:val="16"/>
        </w:rPr>
        <w:t>- 7.</w:t>
      </w:r>
    </w:p>
    <w:p w14:paraId="1E980669" w14:textId="77777777" w:rsidR="007C5583" w:rsidRPr="008127F8" w:rsidRDefault="007C5583" w:rsidP="007C5583">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В отношении предложенной Вами темы по проектированию самоход</w:t>
      </w:r>
      <w:r w:rsidRPr="008127F8">
        <w:rPr>
          <w:rStyle w:val="Bodytext145"/>
          <w:i w:val="0"/>
          <w:iCs w:val="0"/>
          <w:color w:val="000000" w:themeColor="text1"/>
          <w:sz w:val="16"/>
          <w:szCs w:val="16"/>
        </w:rPr>
        <w:softHyphen/>
        <w:t>ной артиллерийской установки 152 мм пушки БР-2, считаем нецелесооб</w:t>
      </w:r>
      <w:r w:rsidRPr="008127F8">
        <w:rPr>
          <w:rStyle w:val="Bodytext145"/>
          <w:i w:val="0"/>
          <w:iCs w:val="0"/>
          <w:color w:val="000000" w:themeColor="text1"/>
          <w:sz w:val="16"/>
          <w:szCs w:val="16"/>
        </w:rPr>
        <w:softHyphen/>
        <w:t>разным проведение этой работы, даже в проекте, по соображениям нере</w:t>
      </w:r>
      <w:r w:rsidRPr="008127F8">
        <w:rPr>
          <w:rStyle w:val="Bodytext145"/>
          <w:i w:val="0"/>
          <w:iCs w:val="0"/>
          <w:color w:val="000000" w:themeColor="text1"/>
          <w:sz w:val="16"/>
          <w:szCs w:val="16"/>
        </w:rPr>
        <w:softHyphen/>
        <w:t>альности в изготовлении этого типа самохода в ближайшее время.</w:t>
      </w:r>
    </w:p>
    <w:p w14:paraId="493AB17A" w14:textId="77777777" w:rsidR="007C5583" w:rsidRPr="008127F8" w:rsidRDefault="007C5583" w:rsidP="007C5583">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Необходимо поручить НКВ изготовление двух образцов 152 мм пушки образца 1937 года с увеличением начальной скорости до 750—780 метров в секунду за счет удлинения ствола и ввода дульного тормоза.</w:t>
      </w:r>
    </w:p>
    <w:p w14:paraId="6BB76C29" w14:textId="77777777" w:rsidR="007C5583" w:rsidRPr="008127F8" w:rsidRDefault="007C5583" w:rsidP="007C5583">
      <w:pPr>
        <w:pStyle w:val="Bodytext141"/>
        <w:shd w:val="clear" w:color="auto" w:fill="auto"/>
        <w:spacing w:line="240" w:lineRule="auto"/>
        <w:ind w:firstLine="0"/>
        <w:jc w:val="both"/>
        <w:rPr>
          <w:i w:val="0"/>
          <w:color w:val="000000" w:themeColor="text1"/>
          <w:sz w:val="16"/>
          <w:szCs w:val="16"/>
        </w:rPr>
      </w:pPr>
      <w:r w:rsidRPr="008127F8">
        <w:rPr>
          <w:rStyle w:val="Bodytext145"/>
          <w:i w:val="0"/>
          <w:iCs w:val="0"/>
          <w:color w:val="000000" w:themeColor="text1"/>
          <w:sz w:val="16"/>
          <w:szCs w:val="16"/>
        </w:rPr>
        <w:t>Подобный вариант разработан артиллерийским конструкторским бюро завода №8 (начальник КБ т. Петров Ф.Ф.).</w:t>
      </w:r>
    </w:p>
    <w:p w14:paraId="76BD4EBD" w14:textId="77777777" w:rsidR="007C5583" w:rsidRPr="008127F8" w:rsidRDefault="007C5583" w:rsidP="007C5583">
      <w:pPr>
        <w:spacing w:after="0" w:line="240" w:lineRule="auto"/>
        <w:jc w:val="both"/>
        <w:rPr>
          <w:rStyle w:val="Bodytext145"/>
          <w:rFonts w:ascii="Times New Roman" w:hAnsi="Times New Roman"/>
          <w:color w:val="000000" w:themeColor="text1"/>
          <w:sz w:val="16"/>
          <w:szCs w:val="16"/>
        </w:rPr>
      </w:pPr>
      <w:r w:rsidRPr="008127F8">
        <w:rPr>
          <w:rStyle w:val="Bodytext145"/>
          <w:rFonts w:ascii="Times New Roman" w:hAnsi="Times New Roman"/>
          <w:color w:val="000000" w:themeColor="text1"/>
          <w:sz w:val="16"/>
          <w:szCs w:val="16"/>
        </w:rPr>
        <w:t>Для ускорения работ и улучшения связи с артиллерийским конструк</w:t>
      </w:r>
      <w:r w:rsidRPr="008127F8">
        <w:rPr>
          <w:rStyle w:val="Bodytext145"/>
          <w:rFonts w:ascii="Times New Roman" w:hAnsi="Times New Roman"/>
          <w:color w:val="000000" w:themeColor="text1"/>
          <w:sz w:val="16"/>
          <w:szCs w:val="16"/>
        </w:rPr>
        <w:softHyphen/>
        <w:t>торским бюро, считаем необходимым просить НКВ поручить проектные работы, связанные с артиллерийскими системами и их переделками для самоходной артиллерии — конструкторскому бюро завода №8 (начальник КБ т. Петров Ф.Ф.), а изготовление артиллерийских установок самохо</w:t>
      </w:r>
      <w:r w:rsidRPr="008127F8">
        <w:rPr>
          <w:rStyle w:val="Bodytext145"/>
          <w:rFonts w:ascii="Times New Roman" w:hAnsi="Times New Roman"/>
          <w:color w:val="000000" w:themeColor="text1"/>
          <w:sz w:val="16"/>
          <w:szCs w:val="16"/>
        </w:rPr>
        <w:softHyphen/>
        <w:t>дов заводами НКВ, по усмотрению последнего.</w:t>
      </w:r>
    </w:p>
    <w:p w14:paraId="57828D96" w14:textId="77777777" w:rsidR="007C5583" w:rsidRPr="008127F8" w:rsidRDefault="007C5583" w:rsidP="007C5583">
      <w:pPr>
        <w:spacing w:after="0" w:line="240" w:lineRule="auto"/>
        <w:jc w:val="both"/>
        <w:rPr>
          <w:rStyle w:val="Tablecaption"/>
          <w:rFonts w:ascii="Times New Roman" w:hAnsi="Times New Roman"/>
          <w:color w:val="000000" w:themeColor="text1"/>
          <w:sz w:val="16"/>
          <w:szCs w:val="16"/>
        </w:rPr>
      </w:pPr>
      <w:r w:rsidRPr="008127F8">
        <w:rPr>
          <w:rStyle w:val="Tablecaption"/>
          <w:rFonts w:ascii="Times New Roman" w:hAnsi="Times New Roman"/>
          <w:color w:val="000000" w:themeColor="text1"/>
          <w:sz w:val="16"/>
          <w:szCs w:val="16"/>
        </w:rPr>
        <w:t>По получении вашего подтверждения на указанные опытные работы по самоходной артиллерии, нами будут даны заводам указания на их ис</w:t>
      </w:r>
      <w:r w:rsidRPr="008127F8">
        <w:rPr>
          <w:rStyle w:val="Tablecaption"/>
          <w:rFonts w:ascii="Times New Roman" w:hAnsi="Times New Roman"/>
          <w:color w:val="000000" w:themeColor="text1"/>
          <w:sz w:val="16"/>
          <w:szCs w:val="16"/>
        </w:rPr>
        <w:softHyphen/>
        <w:t>полнение».</w:t>
      </w:r>
    </w:p>
    <w:p w14:paraId="467EA71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Предложение Горегляда сыграло с КБ завода №8 злую шутку. По</w:t>
      </w:r>
      <w:r w:rsidRPr="008127F8">
        <w:rPr>
          <w:rFonts w:ascii="Times New Roman" w:hAnsi="Times New Roman"/>
          <w:color w:val="000000" w:themeColor="text1"/>
          <w:sz w:val="16"/>
          <w:szCs w:val="16"/>
        </w:rPr>
        <w:softHyphen/>
        <w:t>мимо ЗИК-20, КБ под руководством Петрова одновременно вело целый ряд проектных работ по самоходным установкам всех ти</w:t>
      </w:r>
      <w:r w:rsidRPr="008127F8">
        <w:rPr>
          <w:rFonts w:ascii="Times New Roman" w:hAnsi="Times New Roman"/>
          <w:color w:val="000000" w:themeColor="text1"/>
          <w:sz w:val="16"/>
          <w:szCs w:val="16"/>
        </w:rPr>
        <w:softHyphen/>
        <w:t>пов. К их числу относятся 25-мм ЗСУ ЗИК-5 на шасси из агрега</w:t>
      </w:r>
      <w:r w:rsidRPr="008127F8">
        <w:rPr>
          <w:rFonts w:ascii="Times New Roman" w:hAnsi="Times New Roman"/>
          <w:color w:val="000000" w:themeColor="text1"/>
          <w:sz w:val="16"/>
          <w:szCs w:val="16"/>
        </w:rPr>
        <w:softHyphen/>
        <w:t>тов Т-60 (полный аналог СУ-32 завода №37), 76-мм САУ ЗИК-7 на шасси из агрегатов Т-70 (полный аналог СУ-31 завода №37), а также 122-мм САУ ЗИК-10 и ЗИК-11 на базе Т-34 (аналог У-35 разработки КБ УЗТМ). И это не считая внушительного объема проектов по ору</w:t>
      </w:r>
      <w:r w:rsidRPr="008127F8">
        <w:rPr>
          <w:rFonts w:ascii="Times New Roman" w:hAnsi="Times New Roman"/>
          <w:color w:val="000000" w:themeColor="text1"/>
          <w:sz w:val="16"/>
          <w:szCs w:val="16"/>
        </w:rPr>
        <w:softHyphen/>
        <w:t>диям, начиная с противотанковых пушек и заканчивая корпусной ар</w:t>
      </w:r>
      <w:r w:rsidRPr="008127F8">
        <w:rPr>
          <w:rFonts w:ascii="Times New Roman" w:hAnsi="Times New Roman"/>
          <w:color w:val="000000" w:themeColor="text1"/>
          <w:sz w:val="16"/>
          <w:szCs w:val="16"/>
        </w:rPr>
        <w:softHyphen/>
        <w:t>тиллерией! Неудивительно, что при такой загруженности разработка ЗИК-20 значительно затянулась, более того, тема 152-мм истребите</w:t>
      </w:r>
      <w:r w:rsidRPr="008127F8">
        <w:rPr>
          <w:rFonts w:ascii="Times New Roman" w:hAnsi="Times New Roman"/>
          <w:color w:val="000000" w:themeColor="text1"/>
          <w:sz w:val="16"/>
          <w:szCs w:val="16"/>
        </w:rPr>
        <w:softHyphen/>
        <w:t>лей ДОТов с середины лета вообще исчезла из планов опытных ра</w:t>
      </w:r>
      <w:r w:rsidRPr="008127F8">
        <w:rPr>
          <w:rFonts w:ascii="Times New Roman" w:hAnsi="Times New Roman"/>
          <w:color w:val="000000" w:themeColor="text1"/>
          <w:sz w:val="16"/>
          <w:szCs w:val="16"/>
        </w:rPr>
        <w:softHyphen/>
        <w:t>бот ГАУ и ГАБТУ</w:t>
      </w:r>
      <w:r w:rsidRPr="008127F8">
        <w:rPr>
          <w:rStyle w:val="Bodytext145"/>
          <w:rFonts w:ascii="Times New Roman" w:hAnsi="Times New Roman"/>
          <w:color w:val="000000" w:themeColor="text1"/>
          <w:sz w:val="16"/>
          <w:szCs w:val="16"/>
        </w:rPr>
        <w:t xml:space="preserve"> (17484).</w:t>
      </w:r>
    </w:p>
    <w:p w14:paraId="03DD9B1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7929000"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июня 1942 года в ГАБТУ КА поступила Объективная оценка М3л от генерал-лейтенанта В. С. Тамручи, отстранённого после Харьковской операции от должности командующего бронетанковыми войсками Юго-Западного фронта. Согласно его отчёту, американский лёгкий танк обладал хорошей манёвренностью и управляемостью. Нападки Малышева на резиновую гусеницу оказались во многом беспочвенными, поскольку она обеспечивала в сухую погоду возможность подъёма на склон крутизной до 30 градусов. При этом она делала ход танка значительно менее шумным. Правда, в целом ходовая часть была признана слабой, а в сырую погоду резиновые гусеницы приводили к пробуксовкам и соскальзыванию с курса.</w:t>
      </w:r>
    </w:p>
    <w:p w14:paraId="7CAB2C02"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Бронирование корпуса позволяло выдержать на дальних дистанциях попадание снаряда 37-мм немецкой пушки. Вместе с тем, танк получился слишком высоким, что делало его хорошей мишенью. Высокий и узкий корпус в сочетании с узкой гусеницей привёл к тому, что танк на углах крена 20 градусов и больше был склонен к опрокидыванию. Ввиду вертикального расположения листов рикошеты были редкостью. По мнению Тамручи, запас мощности позволял установить на танк дополнительную экранировку. Были у него претензии и к мотору, которые в целом повторяли те, что описывались выше.</w:t>
      </w:r>
    </w:p>
    <w:p w14:paraId="4DC44B07"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Ещё одним важным недостатком оказалось наличие внутри боевого отделения большого количества резины, призванной защитить экипаж от травм. На практике эта самая резина часто становилась причиной пожара, так что в войсках её старались из танков убирать. Вооружение было признано мощным, но при этом целесообразность размещения пулемётов в надгусеничных полках вызывала обоснованные сомнения. К тому же при установке на танк радиостанции требовалось снять один пулемёт и укладку на 48 снарядов (17465).</w:t>
      </w:r>
    </w:p>
    <w:p w14:paraId="7E7F209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E11FA8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42C5C7F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95395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23 июня</w:t>
      </w:r>
      <w:r w:rsidRPr="008127F8">
        <w:rPr>
          <w:rFonts w:ascii="Times New Roman" w:hAnsi="Times New Roman"/>
          <w:color w:val="000000" w:themeColor="text1"/>
          <w:sz w:val="16"/>
          <w:szCs w:val="16"/>
        </w:rPr>
        <w:t xml:space="preserve"> в 1942 году утреннее сообщение Совинформбюро:</w:t>
      </w:r>
    </w:p>
    <w:p w14:paraId="4FC61DB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23 июня на фронте существенных изменений не произошло.</w:t>
      </w:r>
    </w:p>
    <w:p w14:paraId="7E6FD90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части, действующие на отдельных участках Западного фронта, уничтожили свыше 400 немецких солдат и офицеров.</w:t>
      </w:r>
    </w:p>
    <w:p w14:paraId="23E543E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Севастопольском участке фронта 50 вражеских автоматчиков окружили нескольких краснофлотцев. Смелые бойцы уничтожили 36 гитлеровцев и с боем вырвались из окружения. Снайпер-краснофлотец тов. Хлонов вывел из строя расчёт вражеского орудия и уничтожил до 80 солдат и офицеров противника. Краснофлотец Корнейчук огнём из автомата истребил 50 немецких солдат и офицеров.</w:t>
      </w:r>
    </w:p>
    <w:p w14:paraId="2D699E8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Северо-Западного фронта, внезапным ударом выбила немцев из занимаемых ими позиций. В рукопашной схватке уничтожено 250 гитлеровцев. Захвачены трофеи: орудие, 2 станковых пулемёта, 3 миномёта, много автоматов и винтовок.</w:t>
      </w:r>
    </w:p>
    <w:p w14:paraId="47F4473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Взяты пленные.</w:t>
      </w:r>
    </w:p>
    <w:p w14:paraId="015CC11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Батарея старшего лейтенанта Фисуна (Калининский фронт) отразила атаку немецкой пехоты. На поле боя осталось около 100 трупов немецких солдат и офицеров.</w:t>
      </w:r>
    </w:p>
    <w:p w14:paraId="5E68DE2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Миномётчик старший сержант Никифоров уничтожил 2 ДЗОТа, 3 станковых пулемёта и до взвода пехоты противника. Миномётные расчёты командиров Стременникова и Медведева в течение дня уничтожили 3 станковых пулемёта и до 30 солдат и офицеров противника.</w:t>
      </w:r>
    </w:p>
    <w:p w14:paraId="781F8AF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орловских партизан под командованием тов. Х. за время своей боевойдеятельности уничтожил 11 немецких танков и танкеток, 110 автомашин, 5 орудий, 3 трактора-тягача, 2 мотоцикла и 21 подводу. Партизаны организовали крушение 2 воинских эшелонов, взорвали 5 железнодорожных мостов и сожгли несколько складов с продовольствием и боеприпасами. Советские патриоты уничтожили до 900 гитлеровцев. В боях с немецкими оккупантами партизаны захватили много оружия и боеприпасов.</w:t>
      </w:r>
    </w:p>
    <w:p w14:paraId="6D22C9E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Ленинградские партизаны пустили под откос железнодорожный состав противника. Уничтожено 4 вагона с грузом, 2 цистерны с горючим, 6 платформ с автомашинами, убито и ранено более 50 гитлеровцев.</w:t>
      </w:r>
    </w:p>
    <w:p w14:paraId="6AA9326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транспортной роты 6 венгерской бригады Николае Борш рассказал: «Я румын, житель Трансильвании, оккупированной Венгрией. В феврале меня мобилизовали в венгерскую армию. В нашей роте было 18 румын. Венгры над нами всячески издевались и избивали за то, что мы не умеем говорить по-венгерски. Иногда мы, румыны, собирались вместе и беседовали о войне. Солдаты говорили: «Зачем нам воевать с русскими? Наши враги — это немцы и венгры. Немцы отдали Венгрии нашу Трансильванию и притесняют румын. Венгры и немцы грабят русских, но также грабят и румын».</w:t>
      </w:r>
    </w:p>
    <w:p w14:paraId="77FEB6B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апреле нашу бригаду послали на русский фронт для борьбы с партизанами. Недалеко от одной деревни партизаны напали на наш обоз. Многие солдаты были убиты, а остальные разбежались. Меня партизаны взяли в плен».</w:t>
      </w:r>
    </w:p>
    <w:p w14:paraId="01B5420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приводится заявление колхозницы Марии Ёлкиной из захваченной немцами деревни Патрово, Ленинградской области: «Пятого июня староста вызвал меня и приказал явиться в немецкую комендатуру. В 7 часов вечера того же дня я пришла вкомендатуру. Меня записали и втолкнули в амбар, где уже было 35 девушек. В запертом амбаре мы просидели 5 суток. Раз в день нам выдавали по 100 граммов хлеба и ведро кипятка на всех. 10 июня в 9 часов утра нас вывели на поляну. Вскоре туда же под охраной привели ещё 115 девушек в возрасте от 15 до 25 лет. Немцы приказали всем раздеться догола. Затем военный доктор построил нас вшеренгу и в присутствии солдат стал осматривать. Это издевательство продолжалось несколько часов. После доктор объявил, что нас отправят в Германию в дома терпимости. Все девушки горько плакали и говорили: «Пускай нас убьют, но мы всёравно не поедем». Мне и ещё четырём колхозницам удалось бежать из фашистского плена и добраться до расположения советских войск» (14931).</w:t>
      </w:r>
    </w:p>
    <w:p w14:paraId="21B310F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D9D8D7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23 июня</w:t>
      </w:r>
      <w:r w:rsidRPr="008127F8">
        <w:rPr>
          <w:rFonts w:ascii="Times New Roman" w:hAnsi="Times New Roman"/>
          <w:color w:val="000000" w:themeColor="text1"/>
          <w:sz w:val="16"/>
          <w:szCs w:val="16"/>
        </w:rPr>
        <w:t xml:space="preserve"> в 1942 году вечернее сообщение Совинформбюро:</w:t>
      </w:r>
    </w:p>
    <w:p w14:paraId="504933F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23 июня на Харьковском направлении наши войска вели бои с наступающими войсками противника. Наши войска несколько отошли на новые позиции.</w:t>
      </w:r>
    </w:p>
    <w:p w14:paraId="235BA93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Севастопольском участке фронта наши части отбивали ожесточённые атаки превосходящих сил противника.</w:t>
      </w:r>
    </w:p>
    <w:p w14:paraId="0E77104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существенных изменений не произошло.</w:t>
      </w:r>
    </w:p>
    <w:p w14:paraId="08B7315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22 июня частями нашей авиации на различных участках фронта уничтожено или повреждено 20 немецких танков, до 100 автомашин с войсками и грузами, 38 полевых и зенитных орудий, 13 миномётов, подавлен огонь 30 зенитно-пулемётных точек, разбито 80 железнодорожных вагонов, взорван склад с боеприпасами, рассеяно и частью уничтожено до 2 батальонов пехоты и эскадрон конницы противника.</w:t>
      </w:r>
    </w:p>
    <w:p w14:paraId="76ED3C2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Северо-Западного фронта немецкая пехота атаковала наши позиции. Мощным ружейно-пулемётным огнём наши бойцы расстроили боевые порядки противника, а затем перешли в контратаку и отбросили гитлеровцев. На поле боя немцы оставили свыше 200 трупов солдат и офицеров. Захвачены 4 противотанковых орудия, 6 пулемётов, много винтовок и боеприпасов.</w:t>
      </w:r>
    </w:p>
    <w:p w14:paraId="062AC5E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подразделения, где командиром гвардии старший лейтенант тов. Вотинов (Калининский фронт), подавили немецкую артиллерийскую батарею, уничтожили 75-мм орудие, миномёт, разбили несколько ДЗОТов и взорвали склад противника с боеприпасами.</w:t>
      </w:r>
    </w:p>
    <w:p w14:paraId="31F6AE8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Миномётный расчёт сержанта Милякова в составе красноармейцев: наводчикаГоршкова, заряжающего Рыбина, установщика Лошакова и подносчика Лопачи уничтожил более 50 немецких солдат и офицеров.</w:t>
      </w:r>
    </w:p>
    <w:p w14:paraId="5F92E7D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наших разведчиков под командованием младшего лейтенанта Шубина, действовавшая в глубоком тылу противника, заминировала участок железнодорожногопути в районе станции С. На минах подорвался немецкий воинский эшелон с боеприпасами. Паровоз, вагоны и груз вместе с охраной были уничтожены.</w:t>
      </w:r>
    </w:p>
    <w:p w14:paraId="21D5A2D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имени Лазо, действующий в оккупированных немцами районах Смоленской области, в течение 10 дней вёл упорные бои с немецко-фашистскими частями. Партизаны уничтожили до 2.000 немецких солдат и офицеров, 7 танков, 7 бронемашин и 16 автомашин.</w:t>
      </w:r>
    </w:p>
    <w:p w14:paraId="1BD4C34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Партизаны под командованием тов. Б., действующие в одном из оккупированных районов Ленинградской области, пустили под откос эшелон противника с военным снаряжением. Разбито 18 вагонов, убито 30 немцев из поездной охраны и на протяжении 60 метров разрушено железнодорожное полотно.</w:t>
      </w:r>
    </w:p>
    <w:p w14:paraId="4C539AC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немецкого унтер-офицера Гельмута Герхольда найден дневник. Герхольд— член фашистской партии, прослуживший около семи лет в гитлеровской грабьармии. Однако на советско-германском фронте этот бывалый бандит раскис и приуныл. Ниже публикуются выдержки из дневника:</w:t>
      </w:r>
    </w:p>
    <w:p w14:paraId="3E66DD4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марта 1942 года. Отъезд... На фронт еду не впервые, но на этот раз у меня какое-то мрачное предчувствие.</w:t>
      </w:r>
    </w:p>
    <w:p w14:paraId="0B42C93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марта. Приехали в Смоленск... Разговаривали с солдатами, которые с начала войны находятся на русском фронте. Всем уже чертовски надоело.</w:t>
      </w:r>
    </w:p>
    <w:p w14:paraId="1C2E7BE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марта. Отъезд в Вязьму. Приказано быть наготове. В любую минуту можно ожидать нападения партизан.</w:t>
      </w:r>
    </w:p>
    <w:p w14:paraId="3E5431D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 марта. Ночью три раза была тревога. Я счастлив, что не принимал участия в утренней операции роты.</w:t>
      </w:r>
    </w:p>
    <w:p w14:paraId="3F091F0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апреля. Интересно наблюдать за солдатами моего отделения. Старые солдаты молчат. Молодые — очень пугливы. Они не могут скрыть страха. В случае моей смерти прошу солдата Альфреда П. и Мазе отослать мои вещи домой. Кошелёк, фотоаппарат и кольца находятся при мне.</w:t>
      </w:r>
    </w:p>
    <w:p w14:paraId="5BF76D0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апреля. Отступаем. Наш взвод должен зажечь деревню. Из сарая вытащил трёх раненых русских. Одного послал к командиру, но по дороге его пристрелили. Потом в присутствии командира расстрелял двух раненых русских. Один из них имел прострел в шею.</w:t>
      </w:r>
    </w:p>
    <w:p w14:paraId="3E1DEB6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мая. Сегодня утром русские наступали на позиции первой роты. Много убитых и раненых. Командир отделения пропал без вести. Если так будет продолжаться, мы все пропадём».</w:t>
      </w:r>
    </w:p>
    <w:p w14:paraId="1CDC83B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последнее время на железных дорогах Норвегии участились нападения на немецких солдат и офицеров. Близ Роа, на перегоне между двумя станциями, группа вооружённых норвежцев остановила пассажирский поезд и убила нескольких немецких офицеров, ехавших в этом поезде. Недалеко от Тронхейма сгорел немецкий склад с боеприпасами и обмундированием.» (14931).</w:t>
      </w:r>
    </w:p>
    <w:p w14:paraId="52B4FCC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451880E"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23 июня 1942 года от генерал-лейтенанта В. С. Тамручи, отстранённого после Харьковской операции от должности командующего бронетанковыми войсками Юго-Западного фронта в ГАБТУ КА поступила объективная оценка М3л. Согласно его отчёту, американский лёгкий танк обладал хорошей манёвренностью и управляемостью. Нападки Малышева на резиновую гусеницу оказались во многом беспочвенными, поскольку она обеспечивала в сухую погоду возможность подъёма на склон крутизной до 30 градусов. При этом она делала ход танка значительно менее шумным. Правда, в целом ходовая часть была признана слабой, а в сырую погоду резиновые гусеницы приводили к пробуксовкам и соскальзыванию с курса.</w:t>
      </w:r>
    </w:p>
    <w:p w14:paraId="46DD31F0"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Бронирование корпуса позволяло выдержать на дальних дистанциях попадание снаряда 37-мм немецкой пушки. Вместе с тем, танк получился слишком высоким, что делало его хорошей мишенью. Высокий и узкий корпус в сочетании с узкой гусеницей привёл к тому, что танк на углах крена 20 градусов и больше был склонен к опрокидыванию. Ввиду вертикального расположения листов рикошеты были редкостью. По мнению Тамручи, запас мощности позволял установить на танк дополнительную экранировку. Были у него претензии и к мотору, которые в целом повторяли те, что описывались выше.</w:t>
      </w:r>
    </w:p>
    <w:p w14:paraId="2ED1AE83"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lastRenderedPageBreak/>
        <w:t>Ещё одним важным недостатком оказалось наличие внутри боевого отделения большого количества резины, призванной защитить экипаж от травм. На практике эта самая резина часто становилась причиной пожара, так что в войсках её старались из танков убирать. Вооружение было признано мощным, но при этом целесообразность размещения пулемётов в надгусеничных полках вызывала обоснованные сомнения. К тому же при установке на танк радиостанции требовалось снять один пулемёт и укладку на 48 снарядов.</w:t>
      </w:r>
    </w:p>
    <w:p w14:paraId="3D20A7C3"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заключение стоит отметить, что обвинения в слабом бронировании и вооружении М3л выглядят несостоятельными. Уровень бронирования американской машины вполне соответствовал другим лёгким танкам того периода, а пушка обладала наилучшими характеристиками по бронепробитию по сравнению с вооружением аналогичных машин. Вместе с тем, танк обладал целым рядом других недостатков.</w:t>
      </w:r>
    </w:p>
    <w:p w14:paraId="28D0CB51"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значительной степени негатив, который сопровождает американскую машину, связан с тем, на какое время пришлись её поставки и боевое применение. К лету 1942 года на фронте появились немецкие танки с толстой бронёй и более мощным вооружением. На их фоне устарели практически все лёгкие танки. Только англичане смогли провести достойную модернизацию своего Valentine, оснастив его новой башней и 6-фунтовой (57-мм) пушкой.</w:t>
      </w:r>
    </w:p>
    <w:p w14:paraId="6D14B658"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Дополнительный негатив по отношению к «американцу» связан ещё и с тем, что к 1943 году этих танков в войсках было всё ещё очень много. Более того, даже на 1 января 1944 года в частях числилось 424 танка, то есть треть от поставленных танков семейства Light Tank M3. К 1 июня был потерян 141 танк, а уцелевшие машины продолжали использоваться. В некоторых частях они провоевали до самого конца войны. Несложно представить, какую оценку танк разработки 1941 года получит в 1944-м (17653).</w:t>
      </w:r>
    </w:p>
    <w:p w14:paraId="4EA43897"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lang w:eastAsia="ru-RU"/>
        </w:rPr>
      </w:pPr>
    </w:p>
    <w:p w14:paraId="0D1BE4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022C28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2551F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июня 1942 года</w:t>
      </w:r>
    </w:p>
    <w:p w14:paraId="79C5DA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 РУЗВЕЛЬТ И. В. СТАЛИНУ *</w:t>
      </w:r>
    </w:p>
    <w:p w14:paraId="365E4D2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моим посланием к Вам от 17 июня я хочу подчеркнуть, что, если было бы возможно осуществлять поставку самолетов из Соединенных Штатов в Советский Союз через Аляску и Сибирь вместо того, чтобы поставлять их через Африку, как это практикуется теперь, было бы сэкономлено большое количество времени. Далее, устройство авиалинии для переброски самолетов через Сибирь позволило бы осуществить доставку в Советский Союз по воздуху самолетов с коротким радиусом действия вместо доставки их по морю, как это делается в настоящее время.</w:t>
      </w:r>
    </w:p>
    <w:p w14:paraId="5AC1D9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Если на территории Сибири можно построить посадочные площадки и установить метеорологическое и навигационное оборудование, связав его с соответствующими американскими авиалиниями, я готов отдать распоряжение американским экипажам, занятым перегонкой самолетов, доставлять Вам самолеты до озера Байкал. Эту авиалинию можно было бы легко связать с посадочными площадками, расположенными на пути к району Владивостока. В случае японского нападения на Советское Приморье подобная сибирская авиалиния позволила бы Соединенным Штатам быстро перебросить соединения американской авиации в указанный район для оказания помощи Советскому Союзу.</w:t>
      </w:r>
    </w:p>
    <w:p w14:paraId="59B6A7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Изучение проблем, связанных с организацией авиалинии через Сибирь—озеро Байкал, произведенное мною, ясно показывает, что пришлось бы использовать некоторые реки, впадающие в Северный Ледовитый океан, для доставки в Восточную Сибирь таких громоздких грузов, как горючее, а также машин, необходимых для сооружения посадочных площадок. Я пишу Вам до получения ответа на мое послание от 17 июня потому, что это диктуется необходимостью немедленных действий, так как эти грузы необходимо перебросить, пока реки, о которых идет речь, свободны ото льда, то есть в течение ближайших недель.</w:t>
      </w:r>
    </w:p>
    <w:p w14:paraId="4F451D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Если Вы согласны с тем, что вопрос об организации этой авиалинии является срочным и важным, я прошу, чтобы Вы в целях ускорения ее организации разрешили бы американскому самолету произвести рекогносцировочный и опытный полет из Аляски по предложенному маршруту для определения того, какое оборудование и материалы потребовались бы для постройки необходимых посадочных площадок и организации необходимой навигационной службы. Экипаж, который выполнял, бы этот полет, был бы в гражданской одежде, и в сущности он производил бы полет в качестве экипажа какого-нибудь коммерческого агентства. Далее, были бы приняты все необходимые меры, для того чтобы избежать всякого отождествления указанного экипажа с военными органами Соединенных Штатов. Конечно, можно было бы принять на американский самолет в Номе (Аляска) одного или двух советских офицеров или чиновников.</w:t>
      </w:r>
    </w:p>
    <w:p w14:paraId="298CEA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Этот полет не отменяет переговоров в смешанных комиссиях, состоящих из представителей армии, флота и военно-воздушных сил Соединенных Штатов и Советского Союза, как это рекомендуется в моем послании от 17 июня. Этот полет был бы произведен с единственной целью дать этим представителям возможность приступить к переговорам, имея в своем распоряжении более точную и подробную информацию по упомянутым вопросам, чем это было бы в ином случае (7430).</w:t>
      </w:r>
    </w:p>
    <w:p w14:paraId="1E1C202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09F3D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70DBAA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9C54AE"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июня 1942 г. в ходе боя со «Спитфайрами» над юго-за</w:t>
      </w:r>
      <w:r w:rsidRPr="008A2E5A">
        <w:rPr>
          <w:rFonts w:ascii="Times New Roman" w:hAnsi="Times New Roman"/>
          <w:color w:val="0070C0"/>
          <w:sz w:val="16"/>
          <w:szCs w:val="16"/>
        </w:rPr>
        <w:softHyphen/>
        <w:t>падной Англией адъютант группы III/JG 2 обер-лейтенант А. Фабер потерял ориентировку и принял Бристоль</w:t>
      </w:r>
      <w:r w:rsidRPr="008A2E5A">
        <w:rPr>
          <w:rFonts w:ascii="Times New Roman" w:hAnsi="Times New Roman"/>
          <w:color w:val="0070C0"/>
          <w:sz w:val="16"/>
          <w:szCs w:val="16"/>
        </w:rPr>
        <w:softHyphen/>
        <w:t>ский канал за Ла-Манш. Считая, что он на</w:t>
      </w:r>
      <w:r w:rsidRPr="008A2E5A">
        <w:rPr>
          <w:rFonts w:ascii="Times New Roman" w:hAnsi="Times New Roman"/>
          <w:color w:val="0070C0"/>
          <w:sz w:val="16"/>
          <w:szCs w:val="16"/>
        </w:rPr>
        <w:softHyphen/>
        <w:t>ходится над территорией оккупированной Франции, Фабер совершил посадку на пер</w:t>
      </w:r>
      <w:r w:rsidRPr="008A2E5A">
        <w:rPr>
          <w:rFonts w:ascii="Times New Roman" w:hAnsi="Times New Roman"/>
          <w:color w:val="0070C0"/>
          <w:sz w:val="16"/>
          <w:szCs w:val="16"/>
        </w:rPr>
        <w:softHyphen/>
        <w:t>вом подвернувшемся аэродроме. Этим аэро</w:t>
      </w:r>
      <w:r w:rsidRPr="008A2E5A">
        <w:rPr>
          <w:rFonts w:ascii="Times New Roman" w:hAnsi="Times New Roman"/>
          <w:color w:val="0070C0"/>
          <w:sz w:val="16"/>
          <w:szCs w:val="16"/>
        </w:rPr>
        <w:softHyphen/>
        <w:t>дромом оказался Пембри в Южном Уэльсе. Так в руки англичан попал совершенно исправный FW 190А-3 (заводской номер 130313). Самолет немедленно переправили в центр боевого применения в Дансфорде, где его использовали для проведения сравни</w:t>
      </w:r>
      <w:r w:rsidRPr="008A2E5A">
        <w:rPr>
          <w:rFonts w:ascii="Times New Roman" w:hAnsi="Times New Roman"/>
          <w:color w:val="0070C0"/>
          <w:sz w:val="16"/>
          <w:szCs w:val="16"/>
        </w:rPr>
        <w:softHyphen/>
        <w:t>тельных испытаний с несколькими типами истребителей союзников..</w:t>
      </w:r>
    </w:p>
    <w:p w14:paraId="55695A6C"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Против «Спитфайра» Vb.</w:t>
      </w:r>
    </w:p>
    <w:p w14:paraId="45BEB873"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высоте 200—300 м FW 190А-3 был на 40—48 км/ч быстроходнее «Спитфайра», на высоте 900 м превосходство в скорости увели</w:t>
      </w:r>
      <w:r w:rsidRPr="008A2E5A">
        <w:rPr>
          <w:rFonts w:ascii="Times New Roman" w:hAnsi="Times New Roman"/>
          <w:color w:val="0070C0"/>
          <w:sz w:val="16"/>
          <w:szCs w:val="16"/>
        </w:rPr>
        <w:softHyphen/>
        <w:t>чивалось до 48—56 км/ч, а на высотах 1500— 2700 м снова сокращалось до 40—48 км/ч. Минимальная разность скоростей порядка 30—32 км/ч в пользу FW 190А-3 наблюдалась на высотах 4500—5500 м, а выше FW I90 сно</w:t>
      </w:r>
      <w:r w:rsidRPr="008A2E5A">
        <w:rPr>
          <w:rFonts w:ascii="Times New Roman" w:hAnsi="Times New Roman"/>
          <w:color w:val="0070C0"/>
          <w:sz w:val="16"/>
          <w:szCs w:val="16"/>
        </w:rPr>
        <w:softHyphen/>
        <w:t>ва оказывался быстроходнее «Спитфайра» Vb на 40—56 км/ч. По скороподъемности FW 190 превосходил «Спитфайра» Vb во всем диапазоне высот, при этом даже на 7500 м максимальная вертикальная скорость у «Фокке-Вульфа» была примерно на 2,3 м/с больше, чем у английского истребителя. На пикировании FW 190 легко догонял «Спитфайр». В вертикальной маневренности не</w:t>
      </w:r>
      <w:r w:rsidRPr="008A2E5A">
        <w:rPr>
          <w:rFonts w:ascii="Times New Roman" w:hAnsi="Times New Roman"/>
          <w:color w:val="0070C0"/>
          <w:sz w:val="16"/>
          <w:szCs w:val="16"/>
        </w:rPr>
        <w:softHyphen/>
        <w:t>мецкий истребитель также обладал серьез</w:t>
      </w:r>
      <w:r w:rsidRPr="008A2E5A">
        <w:rPr>
          <w:rFonts w:ascii="Times New Roman" w:hAnsi="Times New Roman"/>
          <w:color w:val="0070C0"/>
          <w:sz w:val="16"/>
          <w:szCs w:val="16"/>
        </w:rPr>
        <w:softHyphen/>
        <w:t>ными преимуществами, но уступал по вре</w:t>
      </w:r>
      <w:r w:rsidRPr="008A2E5A">
        <w:rPr>
          <w:rFonts w:ascii="Times New Roman" w:hAnsi="Times New Roman"/>
          <w:color w:val="0070C0"/>
          <w:sz w:val="16"/>
          <w:szCs w:val="16"/>
        </w:rPr>
        <w:softHyphen/>
        <w:t>мени выполнения серийных виражей, по</w:t>
      </w:r>
      <w:r w:rsidRPr="008A2E5A">
        <w:rPr>
          <w:rFonts w:ascii="Times New Roman" w:hAnsi="Times New Roman"/>
          <w:color w:val="0070C0"/>
          <w:sz w:val="16"/>
          <w:szCs w:val="16"/>
        </w:rPr>
        <w:softHyphen/>
        <w:t>этому англичанин довольно легко заходил в хвост «Фокке-Вульфу» при ведении боя на горизонтальном маневре. Однако, обладая преимуществами в скоростных и разгонных характеристиках, FW 190 мог быстро выйти из боя, а затем вновь атаковать из удобной позиции.</w:t>
      </w:r>
    </w:p>
    <w:p w14:paraId="40B6FE1A"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Против «Мустанга» IA (Р-51А).</w:t>
      </w:r>
    </w:p>
    <w:p w14:paraId="473EFB9E"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совместных испытаниях принимал уча</w:t>
      </w:r>
      <w:r w:rsidRPr="008A2E5A">
        <w:rPr>
          <w:rFonts w:ascii="Times New Roman" w:hAnsi="Times New Roman"/>
          <w:color w:val="0070C0"/>
          <w:sz w:val="16"/>
          <w:szCs w:val="16"/>
        </w:rPr>
        <w:softHyphen/>
        <w:t>стие ранний вариант «Мустанга» IA с двига</w:t>
      </w:r>
      <w:r w:rsidRPr="008A2E5A">
        <w:rPr>
          <w:rFonts w:ascii="Times New Roman" w:hAnsi="Times New Roman"/>
          <w:color w:val="0070C0"/>
          <w:sz w:val="16"/>
          <w:szCs w:val="16"/>
        </w:rPr>
        <w:softHyphen/>
        <w:t>телем «Аллисон» V-1710, который в то время поступал в английские Королевские ВВС и применялся в качестве истребителя-развед</w:t>
      </w:r>
      <w:r w:rsidRPr="008A2E5A">
        <w:rPr>
          <w:rFonts w:ascii="Times New Roman" w:hAnsi="Times New Roman"/>
          <w:color w:val="0070C0"/>
          <w:sz w:val="16"/>
          <w:szCs w:val="16"/>
        </w:rPr>
        <w:softHyphen/>
        <w:t>чика. По скорости и характеристикам пики</w:t>
      </w:r>
      <w:r w:rsidRPr="008A2E5A">
        <w:rPr>
          <w:rFonts w:ascii="Times New Roman" w:hAnsi="Times New Roman"/>
          <w:color w:val="0070C0"/>
          <w:sz w:val="16"/>
          <w:szCs w:val="16"/>
        </w:rPr>
        <w:softHyphen/>
        <w:t>рования «Мустанг» IA оказался близок к FW 190А-3, за исключением диапазона вы</w:t>
      </w:r>
      <w:r w:rsidRPr="008A2E5A">
        <w:rPr>
          <w:rFonts w:ascii="Times New Roman" w:hAnsi="Times New Roman"/>
          <w:color w:val="0070C0"/>
          <w:sz w:val="16"/>
          <w:szCs w:val="16"/>
        </w:rPr>
        <w:softHyphen/>
        <w:t>сот от 3000 до 4500 м, где «Мустанг» IA был быстроходнее в среднем примерно на 24 км/ч. Скороподъемность и вертикальная маневренность у FW 190 была существенно лучшей, чем у заокеанского оппонента, зато он уступал «Мустангу» IA в бою на виражах.</w:t>
      </w:r>
    </w:p>
    <w:p w14:paraId="5647C3E0"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Против P-38F «Лайтнинг».</w:t>
      </w:r>
    </w:p>
    <w:p w14:paraId="1A323C4C"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Двухмоторный P-38F «Лайтнинг», кото</w:t>
      </w:r>
      <w:r w:rsidRPr="008A2E5A">
        <w:rPr>
          <w:rFonts w:ascii="Times New Roman" w:hAnsi="Times New Roman"/>
          <w:color w:val="0070C0"/>
          <w:sz w:val="16"/>
          <w:szCs w:val="16"/>
        </w:rPr>
        <w:softHyphen/>
        <w:t>рым вооружались некоторые американские истребительные авиагруппы на Европей</w:t>
      </w:r>
      <w:r w:rsidRPr="008A2E5A">
        <w:rPr>
          <w:rFonts w:ascii="Times New Roman" w:hAnsi="Times New Roman"/>
          <w:color w:val="0070C0"/>
          <w:sz w:val="16"/>
          <w:szCs w:val="16"/>
        </w:rPr>
        <w:softHyphen/>
        <w:t>ском ТВД, также совершил несколько поле</w:t>
      </w:r>
      <w:r w:rsidRPr="008A2E5A">
        <w:rPr>
          <w:rFonts w:ascii="Times New Roman" w:hAnsi="Times New Roman"/>
          <w:color w:val="0070C0"/>
          <w:sz w:val="16"/>
          <w:szCs w:val="16"/>
        </w:rPr>
        <w:softHyphen/>
        <w:t>тов в рамках сравнительных испытаний с FW 190А-3. До высоты 6700 м немецкий ис</w:t>
      </w:r>
      <w:r w:rsidRPr="008A2E5A">
        <w:rPr>
          <w:rFonts w:ascii="Times New Roman" w:hAnsi="Times New Roman"/>
          <w:color w:val="0070C0"/>
          <w:sz w:val="16"/>
          <w:szCs w:val="16"/>
        </w:rPr>
        <w:softHyphen/>
        <w:t>требитель оказался быстроходнее, а выше этого уровня превосходство вскорости пере</w:t>
      </w:r>
      <w:r w:rsidRPr="008A2E5A">
        <w:rPr>
          <w:rFonts w:ascii="Times New Roman" w:hAnsi="Times New Roman"/>
          <w:color w:val="0070C0"/>
          <w:sz w:val="16"/>
          <w:szCs w:val="16"/>
        </w:rPr>
        <w:softHyphen/>
        <w:t>ходило к P-38F, что неудивительно — ведь моторы американца «наддувались» турбо</w:t>
      </w:r>
      <w:r w:rsidRPr="008A2E5A">
        <w:rPr>
          <w:rFonts w:ascii="Times New Roman" w:hAnsi="Times New Roman"/>
          <w:color w:val="0070C0"/>
          <w:sz w:val="16"/>
          <w:szCs w:val="16"/>
        </w:rPr>
        <w:softHyphen/>
        <w:t>компрессорами. Разгонные характеристики, скороподъемность и скорость пикирования у FW 190 были признаны лучшими, чем у «Лайтнинга». Любопытно, что на малых ско</w:t>
      </w:r>
      <w:r w:rsidRPr="008A2E5A">
        <w:rPr>
          <w:rFonts w:ascii="Times New Roman" w:hAnsi="Times New Roman"/>
          <w:color w:val="0070C0"/>
          <w:sz w:val="16"/>
          <w:szCs w:val="16"/>
        </w:rPr>
        <w:softHyphen/>
        <w:t>ростях полета P-38F продемонстрировал меньшие время и радиус виража по сравне</w:t>
      </w:r>
      <w:r w:rsidRPr="008A2E5A">
        <w:rPr>
          <w:rFonts w:ascii="Times New Roman" w:hAnsi="Times New Roman"/>
          <w:color w:val="0070C0"/>
          <w:sz w:val="16"/>
          <w:szCs w:val="16"/>
        </w:rPr>
        <w:softHyphen/>
        <w:t>нию с «немцем»</w:t>
      </w:r>
    </w:p>
    <w:p w14:paraId="143FF3DF"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Против «Спитфайра» IX.</w:t>
      </w:r>
    </w:p>
    <w:p w14:paraId="747B77B1"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лета 1942 г «Спитфайр» IX с мотором «Мерлин» 61 являлся новейшим истребителем Королевских ВВС. На высо</w:t>
      </w:r>
      <w:r w:rsidRPr="008A2E5A">
        <w:rPr>
          <w:rFonts w:ascii="Times New Roman" w:hAnsi="Times New Roman"/>
          <w:color w:val="0070C0"/>
          <w:sz w:val="16"/>
          <w:szCs w:val="16"/>
        </w:rPr>
        <w:softHyphen/>
        <w:t>тах до 6700 м по горизонтальной скорости и скороподъемности оба самолета были при</w:t>
      </w:r>
      <w:r w:rsidRPr="008A2E5A">
        <w:rPr>
          <w:rFonts w:ascii="Times New Roman" w:hAnsi="Times New Roman"/>
          <w:color w:val="0070C0"/>
          <w:sz w:val="16"/>
          <w:szCs w:val="16"/>
        </w:rPr>
        <w:softHyphen/>
        <w:t>знаны приблизительно равными по ком</w:t>
      </w:r>
      <w:r w:rsidRPr="008A2E5A">
        <w:rPr>
          <w:rFonts w:ascii="Times New Roman" w:hAnsi="Times New Roman"/>
          <w:color w:val="0070C0"/>
          <w:sz w:val="16"/>
          <w:szCs w:val="16"/>
        </w:rPr>
        <w:softHyphen/>
        <w:t>плексу летно-технических характеристик,а на больших высотах «Спитфайр» IX полу</w:t>
      </w:r>
      <w:r w:rsidRPr="008A2E5A">
        <w:rPr>
          <w:rFonts w:ascii="Times New Roman" w:hAnsi="Times New Roman"/>
          <w:color w:val="0070C0"/>
          <w:sz w:val="16"/>
          <w:szCs w:val="16"/>
        </w:rPr>
        <w:softHyphen/>
        <w:t>чал некоторое преимущество. FW 190 луч</w:t>
      </w:r>
      <w:r w:rsidRPr="008A2E5A">
        <w:rPr>
          <w:rFonts w:ascii="Times New Roman" w:hAnsi="Times New Roman"/>
          <w:color w:val="0070C0"/>
          <w:sz w:val="16"/>
          <w:szCs w:val="16"/>
        </w:rPr>
        <w:softHyphen/>
        <w:t>ше пикировал и обладал превосходством в вертикальной маневренности, уступая «де</w:t>
      </w:r>
      <w:r w:rsidRPr="008A2E5A">
        <w:rPr>
          <w:rFonts w:ascii="Times New Roman" w:hAnsi="Times New Roman"/>
          <w:color w:val="0070C0"/>
          <w:sz w:val="16"/>
          <w:szCs w:val="16"/>
        </w:rPr>
        <w:softHyphen/>
        <w:t>вятке» при выполнении горизонтальных виражей.</w:t>
      </w:r>
    </w:p>
    <w:p w14:paraId="3FABBEA8"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Против «Тайфуна».</w:t>
      </w:r>
    </w:p>
    <w:p w14:paraId="3ABE0886"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Когда дошла очередь до сравнительных совместных полетов FW 190А-3 с «Тайфу</w:t>
      </w:r>
      <w:r w:rsidRPr="008A2E5A">
        <w:rPr>
          <w:rFonts w:ascii="Times New Roman" w:hAnsi="Times New Roman"/>
          <w:color w:val="0070C0"/>
          <w:sz w:val="16"/>
          <w:szCs w:val="16"/>
        </w:rPr>
        <w:softHyphen/>
        <w:t>ном». мотор германского истребителя уже работал неважно, и испытания окончить не удалось. «Тайфун», в то время также новей</w:t>
      </w:r>
      <w:r w:rsidRPr="008A2E5A">
        <w:rPr>
          <w:rFonts w:ascii="Times New Roman" w:hAnsi="Times New Roman"/>
          <w:color w:val="0070C0"/>
          <w:sz w:val="16"/>
          <w:szCs w:val="16"/>
        </w:rPr>
        <w:softHyphen/>
        <w:t>ший английский истребитель, страдал мно</w:t>
      </w:r>
      <w:r w:rsidRPr="008A2E5A">
        <w:rPr>
          <w:rFonts w:ascii="Times New Roman" w:hAnsi="Times New Roman"/>
          <w:color w:val="0070C0"/>
          <w:sz w:val="16"/>
          <w:szCs w:val="16"/>
        </w:rPr>
        <w:softHyphen/>
        <w:t>гочисленными «детскими болезнями», его крупносерийное производство еше не было начато, поэтому сравнивалась, в обшем-то. опытная машина с серийной. В таком виде «Тайфун» оказался несколько быстроходнее своего немецкого оппонента во всем диапа</w:t>
      </w:r>
      <w:r w:rsidRPr="008A2E5A">
        <w:rPr>
          <w:rFonts w:ascii="Times New Roman" w:hAnsi="Times New Roman"/>
          <w:color w:val="0070C0"/>
          <w:sz w:val="16"/>
          <w:szCs w:val="16"/>
        </w:rPr>
        <w:softHyphen/>
        <w:t>зоне высот, он имел большую скорость пи</w:t>
      </w:r>
      <w:r w:rsidRPr="008A2E5A">
        <w:rPr>
          <w:rFonts w:ascii="Times New Roman" w:hAnsi="Times New Roman"/>
          <w:color w:val="0070C0"/>
          <w:sz w:val="16"/>
          <w:szCs w:val="16"/>
        </w:rPr>
        <w:softHyphen/>
        <w:t>кирования и лучшие разгонные характерис</w:t>
      </w:r>
      <w:r w:rsidRPr="008A2E5A">
        <w:rPr>
          <w:rFonts w:ascii="Times New Roman" w:hAnsi="Times New Roman"/>
          <w:color w:val="0070C0"/>
          <w:sz w:val="16"/>
          <w:szCs w:val="16"/>
        </w:rPr>
        <w:softHyphen/>
        <w:t>тики. По горизонтальной маневренности са</w:t>
      </w:r>
      <w:r w:rsidRPr="008A2E5A">
        <w:rPr>
          <w:rFonts w:ascii="Times New Roman" w:hAnsi="Times New Roman"/>
          <w:color w:val="0070C0"/>
          <w:sz w:val="16"/>
          <w:szCs w:val="16"/>
        </w:rPr>
        <w:softHyphen/>
        <w:t>молеты оказались практически равноцен</w:t>
      </w:r>
      <w:r w:rsidRPr="008A2E5A">
        <w:rPr>
          <w:rFonts w:ascii="Times New Roman" w:hAnsi="Times New Roman"/>
          <w:color w:val="0070C0"/>
          <w:sz w:val="16"/>
          <w:szCs w:val="16"/>
        </w:rPr>
        <w:softHyphen/>
        <w:t>ными, но по скороподъемности и верти</w:t>
      </w:r>
      <w:r w:rsidRPr="008A2E5A">
        <w:rPr>
          <w:rFonts w:ascii="Times New Roman" w:hAnsi="Times New Roman"/>
          <w:color w:val="0070C0"/>
          <w:sz w:val="16"/>
          <w:szCs w:val="16"/>
        </w:rPr>
        <w:softHyphen/>
        <w:t>кальному маневру FW 190А-3 опередил «ан</w:t>
      </w:r>
      <w:r w:rsidRPr="008A2E5A">
        <w:rPr>
          <w:rFonts w:ascii="Times New Roman" w:hAnsi="Times New Roman"/>
          <w:color w:val="0070C0"/>
          <w:sz w:val="16"/>
          <w:szCs w:val="16"/>
        </w:rPr>
        <w:softHyphen/>
        <w:t>гличанина».</w:t>
      </w:r>
    </w:p>
    <w:p w14:paraId="2759E030" w14:textId="77777777" w:rsidR="00CF04C3" w:rsidRPr="008A2E5A" w:rsidRDefault="00CF04C3" w:rsidP="00CF04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единственным из имев</w:t>
      </w:r>
      <w:r w:rsidRPr="008A2E5A">
        <w:rPr>
          <w:rFonts w:ascii="Times New Roman" w:hAnsi="Times New Roman"/>
          <w:color w:val="0070C0"/>
          <w:sz w:val="16"/>
          <w:szCs w:val="16"/>
        </w:rPr>
        <w:softHyphen/>
        <w:t>шихся летом 1942 г. на вооружении союзни</w:t>
      </w:r>
      <w:r w:rsidRPr="008A2E5A">
        <w:rPr>
          <w:rFonts w:ascii="Times New Roman" w:hAnsi="Times New Roman"/>
          <w:color w:val="0070C0"/>
          <w:sz w:val="16"/>
          <w:szCs w:val="16"/>
        </w:rPr>
        <w:softHyphen/>
        <w:t>ков типом истребителя, способным более- менее достойно противостоять FW 190А-3, был «Спитфайр» IX. Однако следует под</w:t>
      </w:r>
      <w:r w:rsidRPr="008A2E5A">
        <w:rPr>
          <w:rFonts w:ascii="Times New Roman" w:hAnsi="Times New Roman"/>
          <w:color w:val="0070C0"/>
          <w:sz w:val="16"/>
          <w:szCs w:val="16"/>
        </w:rPr>
        <w:softHyphen/>
        <w:t>черкнуть. что в конце июля 1942 г. Истреби</w:t>
      </w:r>
      <w:r w:rsidRPr="008A2E5A">
        <w:rPr>
          <w:rFonts w:ascii="Times New Roman" w:hAnsi="Times New Roman"/>
          <w:color w:val="0070C0"/>
          <w:sz w:val="16"/>
          <w:szCs w:val="16"/>
        </w:rPr>
        <w:softHyphen/>
        <w:t>тельное командование располагало всего двумя эскадрильями истребителей «Спит</w:t>
      </w:r>
      <w:r w:rsidRPr="008A2E5A">
        <w:rPr>
          <w:rFonts w:ascii="Times New Roman" w:hAnsi="Times New Roman"/>
          <w:color w:val="0070C0"/>
          <w:sz w:val="16"/>
          <w:szCs w:val="16"/>
        </w:rPr>
        <w:softHyphen/>
        <w:t>файр» IX (64-й на аэродроме Хорнчерч и 611-й на аэродроме Редхилл), в то время как Люфтваффе получили от промышленности уже более 1000 самолетов семейства FW 190, из которых свыше 400 находились в частях первой линии  (24190).</w:t>
      </w:r>
    </w:p>
    <w:p w14:paraId="3DFA4D4E" w14:textId="77777777" w:rsidR="00CF04C3" w:rsidRPr="008A2E5A" w:rsidRDefault="00CF04C3" w:rsidP="00CF04C3">
      <w:pPr>
        <w:spacing w:after="0" w:line="240" w:lineRule="auto"/>
        <w:jc w:val="both"/>
        <w:rPr>
          <w:rFonts w:ascii="Times New Roman" w:hAnsi="Times New Roman"/>
          <w:color w:val="0070C0"/>
          <w:sz w:val="16"/>
          <w:szCs w:val="16"/>
        </w:rPr>
      </w:pPr>
    </w:p>
    <w:p w14:paraId="363A79E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23 июня</w:t>
      </w:r>
      <w:r w:rsidRPr="008127F8">
        <w:rPr>
          <w:rFonts w:ascii="Times New Roman" w:hAnsi="Times New Roman"/>
          <w:color w:val="000000" w:themeColor="text1"/>
          <w:sz w:val="16"/>
          <w:szCs w:val="16"/>
        </w:rPr>
        <w:t xml:space="preserve"> в 1942 году в 1942 году англичанами захвачен новейший немецкий самолет «Фокке-Вульф-190», по ошибке приземлившийся в Уэльсе (14931).</w:t>
      </w:r>
    </w:p>
    <w:p w14:paraId="7C6296C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D3E918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июня 1942 немецкий летчик по ошибке посадил ФВ-190А-3 на английской авиабазе в Фарнборо. Машину облетали и оценка была высокой (1122,12).</w:t>
      </w:r>
    </w:p>
    <w:p w14:paraId="1460D3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A2E81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июня 1942 англичанами захвачен новейший немецкий самолет “Фокке-Вульф-190”, по ошибке приземлившийся в Уэльсе (4962).</w:t>
      </w:r>
    </w:p>
    <w:p w14:paraId="41AF24E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26BA1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июня 1942 новый истребитель Германии, Focke-Wulf Fw 190, захвачен целым, когда он по ошибке приземлился в RAF Pembrey в Уэльсе (20793).</w:t>
      </w:r>
    </w:p>
    <w:p w14:paraId="23BE8D0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034281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июня 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Первый полет Martin JRM Mars. Это летающая четырехмоторная лодка, которая разрабатывалась с 1938 по 1943 годы по заказу ВМС США. Лодка создавалась, как "летающий дредноут" - патрульный самолет дальнего радиуса действия для использования в океане. Всего с 1945 по 1947 год было выпущено 5 серийных летающих лодок данного типа. Все самолеты были поставлены на вооружение американских ВМС.</w:t>
      </w:r>
    </w:p>
    <w:p w14:paraId="4BF3EF0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своего времени машина была выдающейся. При общем полетном весе более 65 тонн гидросамолет</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развивал крейсерскую скорость в 356 км/ч и совершать полеты на дальность до 8 тысяч км. При этом летающую лодку оснастили четырьмя новейшими радиальными двигателями Wright R-3350 Duplex Cyclone, развивающими мощность в 2000 л.с.</w:t>
      </w:r>
    </w:p>
    <w:p w14:paraId="68268BA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Поскольку ВМС уже</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имели на вооружении четырехмоторный патрульный бомбардировщик Consoldated-Vultee PB2Y Conorado,</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назначение летающей лодки Martin Mars было пересмотрено. Из патрульного бомбардировщика она была переквалифицирована в транспортный гидросамолет. В связи с этим компания Martin получила приказ о снятии с борта лодки всего военного оборудования, в том числе и оборонительного (пулеметные турели). Также конструкторам предстояло переделать фюзеляж машины для удобства перевозки солдат и военной техники. В итоге новый вариант гидросамолета получил обозначение XPB2M-1R (22452).</w:t>
      </w:r>
      <w:r>
        <w:rPr>
          <w:rFonts w:ascii="Times New Roman" w:hAnsi="Times New Roman"/>
          <w:color w:val="000000" w:themeColor="text1"/>
          <w:sz w:val="16"/>
          <w:szCs w:val="16"/>
        </w:rPr>
        <w:t xml:space="preserve">  </w:t>
      </w:r>
    </w:p>
    <w:p w14:paraId="29C78B6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73B1E0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23 июня</w:t>
      </w:r>
      <w:r w:rsidRPr="008127F8">
        <w:rPr>
          <w:rFonts w:ascii="Times New Roman" w:hAnsi="Times New Roman"/>
          <w:color w:val="000000" w:themeColor="text1"/>
          <w:sz w:val="16"/>
          <w:szCs w:val="16"/>
        </w:rPr>
        <w:t xml:space="preserve"> в 1942 году проводились (по 3 июля) тестовые, сравнительные испытания с </w:t>
      </w:r>
      <w:hyperlink r:id="rId87" w:tgtFrame="_blank" w:history="1">
        <w:r w:rsidRPr="008127F8">
          <w:rPr>
            <w:rFonts w:ascii="Times New Roman" w:hAnsi="Times New Roman"/>
            <w:color w:val="000000" w:themeColor="text1"/>
            <w:sz w:val="16"/>
            <w:szCs w:val="16"/>
          </w:rPr>
          <w:t xml:space="preserve">«SM.79» </w:t>
        </w:r>
      </w:hyperlink>
      <w:r w:rsidRPr="008127F8">
        <w:rPr>
          <w:rFonts w:ascii="Times New Roman" w:hAnsi="Times New Roman"/>
          <w:color w:val="000000" w:themeColor="text1"/>
          <w:sz w:val="16"/>
          <w:szCs w:val="16"/>
        </w:rPr>
        <w:t>полеты французского транспортного самолета «Z.1015» («ММ.512»). «Z.1015» полностью реабилитировал себя, показав скорость 563 км\ч при прежних характеристиках грузоподъёмности и дальности. Большие нарекания вызывала только большая масса самолёта и отсутствие бронирования, что могло сделать его лёгкой добычей вражеской ПВО и истребителей. От серийного производства «Z.1015» отказались, но с конца 1942 г. самолёт передали в ограниченную эксплуатацию (14931).</w:t>
      </w:r>
    </w:p>
    <w:p w14:paraId="61FB837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8EFBB1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23 июня</w:t>
      </w:r>
      <w:r w:rsidRPr="008127F8">
        <w:rPr>
          <w:rFonts w:ascii="Times New Roman" w:hAnsi="Times New Roman"/>
          <w:color w:val="000000" w:themeColor="text1"/>
          <w:sz w:val="16"/>
          <w:szCs w:val="16"/>
        </w:rPr>
        <w:t xml:space="preserve"> в 1942 году передовые части Немецкого Африканского корпуса (DAK) пересекли ливийско-египетскую границу (14931).</w:t>
      </w:r>
    </w:p>
    <w:p w14:paraId="6FE9E83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B7DF43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23 июня</w:t>
      </w:r>
      <w:r w:rsidRPr="008127F8">
        <w:rPr>
          <w:rFonts w:ascii="Times New Roman" w:hAnsi="Times New Roman"/>
          <w:color w:val="000000" w:themeColor="text1"/>
          <w:sz w:val="16"/>
          <w:szCs w:val="16"/>
        </w:rPr>
        <w:t xml:space="preserve"> в 1942 году опубликование манифеста де Голля о гарантиях установления демократического строя во Франции после войны (14931).</w:t>
      </w:r>
    </w:p>
    <w:p w14:paraId="2A0F06C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D82B7B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июня 1942 А.Шпеер докладывает А.Гитлеру о мерах по обеспечению армии вооружением. Вопрос об атомном оружии он включает шестнадцатым пунктом доклада, сообщая, что для его создания потребуется не менее пяти лет. – А-Бомба. – С.102–103 (11321).</w:t>
      </w:r>
    </w:p>
    <w:p w14:paraId="3ACE914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A8AB5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23 июня</w:t>
      </w:r>
      <w:r w:rsidRPr="008127F8">
        <w:rPr>
          <w:rFonts w:ascii="Times New Roman" w:hAnsi="Times New Roman"/>
          <w:color w:val="000000" w:themeColor="text1"/>
          <w:sz w:val="16"/>
          <w:szCs w:val="16"/>
        </w:rPr>
        <w:t xml:space="preserve"> в 1942 году Адольфу Гитлеру доложено об урановом проекте (14931).</w:t>
      </w:r>
    </w:p>
    <w:p w14:paraId="5EC2BC5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FC040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 23rd, 1942: The Afrikakorps reaches the Egyptian border near El Alamein (3819).</w:t>
      </w:r>
    </w:p>
    <w:p w14:paraId="3D6CDD1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46B9F0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июня 1942 Африканский корпус достиг египетской границы у Эль Аламейна (3819).</w:t>
      </w:r>
    </w:p>
    <w:p w14:paraId="7FC125F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DB2F3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июня 1942 передовые части Немецкого Африканского корпуса (DAK) пересекли ливийско-египетскую границу (4963 ).</w:t>
      </w:r>
    </w:p>
    <w:p w14:paraId="06AEC51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CAFB9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июня 1942 в концлагере Освенцим начали работать газовые камеры (4962).</w:t>
      </w:r>
    </w:p>
    <w:p w14:paraId="7B227E3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51AE6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июня 1942 Гитлер уговорил Муссолини отказаться от вторжения итальянцев на Мальту (4962).</w:t>
      </w:r>
    </w:p>
    <w:p w14:paraId="599D2AF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87304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 июня 1942 президент США развил свои предложения от 17 июня 1942 и предложил не дожидаясь нападения японцев на СССР создать в Приморье сеть аэродромов (1261,32).</w:t>
      </w:r>
    </w:p>
    <w:p w14:paraId="46551EF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91C2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54E60B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4AEDD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июня 1942 был подписан акт Комиссии по расследованию причин поломок хвостовой части фюзеляжа Ил-2, изготовленных на заводе 1 им. Сталина и на заводе 18 им. Ворошилова, а также выявления причин поломок трубчатого лонжерона руля глубины на самолетах производства завода 18 им. Ворошилова. Комиссия в составе И.В.Куликова (председатель), А.Ф.Волконского, П.О.Сухого, А.Т.Туманова и А.Е.Шац (членов комиссии) была назначена приказом НКАП N 446сс от 15 июня 1942 в результате осмотра аварийной машины, рассмотрения техни</w:t>
      </w:r>
      <w:r w:rsidRPr="008127F8">
        <w:rPr>
          <w:rFonts w:ascii="Times New Roman" w:hAnsi="Times New Roman"/>
          <w:color w:val="000000" w:themeColor="text1"/>
          <w:sz w:val="16"/>
          <w:szCs w:val="16"/>
        </w:rPr>
        <w:softHyphen/>
        <w:t>ческой документации - чертежей, расчетов, актов статических испытании, лабораторных исследований и обследования состоя</w:t>
      </w:r>
      <w:r w:rsidRPr="008127F8">
        <w:rPr>
          <w:rFonts w:ascii="Times New Roman" w:hAnsi="Times New Roman"/>
          <w:color w:val="000000" w:themeColor="text1"/>
          <w:sz w:val="16"/>
          <w:szCs w:val="16"/>
        </w:rPr>
        <w:softHyphen/>
        <w:t xml:space="preserve">ния производства изготовления хвостовой части фюзеляга и руля глубины - установила:. </w:t>
      </w:r>
    </w:p>
    <w:p w14:paraId="0D925B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хвостовой части фюзеляжа</w:t>
      </w:r>
    </w:p>
    <w:p w14:paraId="42BA9E7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Техническая документация</w:t>
      </w:r>
    </w:p>
    <w:p w14:paraId="0C5E184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Отсутствуют расчеты на прочность хвостовой части фюзеляжа на заводах 1 и 18, а также у представителя ГК</w:t>
      </w:r>
    </w:p>
    <w:p w14:paraId="10D6BFA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Стат. испытания хвостовой части фюзеляжа опытного самолета Ил-2 были проведены 27 февраля 1939.</w:t>
      </w:r>
    </w:p>
    <w:p w14:paraId="19832B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Конструкция - чистый монокок без стрингеров. Число слоев шпона 1 по 4 - 10, с 4 по 8 - 8, с 8 по 11 - 6, с 11-14 - 8.</w:t>
      </w:r>
    </w:p>
    <w:p w14:paraId="58212D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случай Е фюзеляж выдержал 111% или 96% при пересчете на 12% влажности соответствует прочности 96%.</w:t>
      </w:r>
    </w:p>
    <w:p w14:paraId="0BE1ED4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статических испытаниях нагрузка прикладывалась не к костюлю, а к передним узлаи стабилизатора, соответственнно увеличением силы до примерного уравнивания изгибающих моментов по первой раме. Такое прилогение нагрузки давало уненьшение изгибающего коэффициента мевду 6-10 рамами в пределах от 2-х до 7-ми раз.</w:t>
      </w:r>
    </w:p>
    <w:p w14:paraId="7557EBA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образом,статические испытания на случай “Е” были проведены неправильно и не дали истинной оценки проч</w:t>
      </w:r>
      <w:r w:rsidRPr="008127F8">
        <w:rPr>
          <w:rFonts w:ascii="Times New Roman" w:hAnsi="Times New Roman"/>
          <w:color w:val="000000" w:themeColor="text1"/>
          <w:sz w:val="16"/>
          <w:szCs w:val="16"/>
        </w:rPr>
        <w:softHyphen/>
        <w:t>ности фюзеляжа.</w:t>
      </w:r>
    </w:p>
    <w:p w14:paraId="48F7FDA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Чертежи, выданные ГК в серийное производство отличаются от опытного экз. добавлением 6 стрингеров и удлинением 8-слойной части на 900 мм у носовой части киля.</w:t>
      </w:r>
    </w:p>
    <w:p w14:paraId="6CCA81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Стат. испытания фюзеляжа, изготовленного по этим чертежам, не проводилось.</w:t>
      </w:r>
    </w:p>
    <w:p w14:paraId="2FD9CE0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 связи с результатами испытаний по замене материала средней части фюзеляжа "бочки", проведенными на заводе 1, а также имевшимися к этому времени поломками хвостовой части фюзеляжа в частях ВВС КА, ГК С.В.И. 13 июня 1942 выданы на серийное производство чертежи усиленного фюзеляжа с 12 стрингерами и числом шпона с 1 по 6 - 11, с 6 по 12 - 9, с 12 по 14 7, с 14 до кока - 10.</w:t>
      </w:r>
    </w:p>
    <w:p w14:paraId="51C2A7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Стат. испытания хвостовой части (паспорт фюзеляжа № 3182, свидетельство № 2643 показали на случай Е 108% при влажности 16.5% или 126% при пересчете на 12% влажности.</w:t>
      </w:r>
    </w:p>
    <w:p w14:paraId="338FB8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с выпуском чертежей усиленного фюзеляжа от 13 июня 1942 производству были выданы эскизы на усиление 10 и 11 шпангоутов.</w:t>
      </w:r>
    </w:p>
    <w:p w14:paraId="2B9B51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Статические испытания фюзеляжа с усиленными шпангоутами не проводились.</w:t>
      </w:r>
    </w:p>
    <w:p w14:paraId="008DB49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В связи с отсутствием на заводах 1 и 18 хвостовых частей, соответствующих первоначальным серийным чертежам, 23 июня 1942 были испытаны 2 фюзеляжа (из 12 поступивших на завод 1), изготовленные заводом 381 по серийным чертежам.</w:t>
      </w:r>
    </w:p>
    <w:p w14:paraId="5755706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внешнему осмотру - кондиционные.</w:t>
      </w:r>
    </w:p>
    <w:p w14:paraId="03C5E2B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Результаты испытаний:</w:t>
      </w:r>
    </w:p>
    <w:tbl>
      <w:tblPr>
        <w:tblW w:w="0" w:type="auto"/>
        <w:tblInd w:w="5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68"/>
        <w:gridCol w:w="2268"/>
        <w:gridCol w:w="2268"/>
      </w:tblGrid>
      <w:tr w:rsidR="007C5583" w:rsidRPr="008127F8" w14:paraId="02FD108A" w14:textId="77777777" w:rsidTr="004C5D62">
        <w:trPr>
          <w:trHeight w:val="240"/>
        </w:trPr>
        <w:tc>
          <w:tcPr>
            <w:tcW w:w="2268" w:type="dxa"/>
            <w:tcBorders>
              <w:top w:val="single" w:sz="12" w:space="0" w:color="auto"/>
            </w:tcBorders>
          </w:tcPr>
          <w:p w14:paraId="5996FD0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single" w:sz="12" w:space="0" w:color="auto"/>
            </w:tcBorders>
          </w:tcPr>
          <w:p w14:paraId="107646D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val="en-US"/>
              </w:rPr>
              <w:t xml:space="preserve">I </w:t>
            </w:r>
            <w:r w:rsidRPr="008127F8">
              <w:rPr>
                <w:rFonts w:ascii="Times New Roman" w:hAnsi="Times New Roman"/>
                <w:color w:val="000000" w:themeColor="text1"/>
                <w:sz w:val="16"/>
                <w:szCs w:val="16"/>
              </w:rPr>
              <w:t>экз.</w:t>
            </w:r>
          </w:p>
        </w:tc>
        <w:tc>
          <w:tcPr>
            <w:tcW w:w="2268" w:type="dxa"/>
            <w:tcBorders>
              <w:top w:val="single" w:sz="12" w:space="0" w:color="auto"/>
            </w:tcBorders>
          </w:tcPr>
          <w:p w14:paraId="2487A62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экз.</w:t>
            </w:r>
          </w:p>
        </w:tc>
      </w:tr>
      <w:tr w:rsidR="007C5583" w:rsidRPr="008127F8" w14:paraId="3864D751" w14:textId="77777777" w:rsidTr="004C5D62">
        <w:trPr>
          <w:trHeight w:val="826"/>
        </w:trPr>
        <w:tc>
          <w:tcPr>
            <w:tcW w:w="2268" w:type="dxa"/>
          </w:tcPr>
          <w:p w14:paraId="41703BB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На случай "Е" хвостовая часть фюзеляжа выдержала</w:t>
            </w:r>
          </w:p>
        </w:tc>
        <w:tc>
          <w:tcPr>
            <w:tcW w:w="2268" w:type="dxa"/>
          </w:tcPr>
          <w:p w14:paraId="09B00DE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71,7%</w:t>
            </w:r>
          </w:p>
        </w:tc>
        <w:tc>
          <w:tcPr>
            <w:tcW w:w="2268" w:type="dxa"/>
          </w:tcPr>
          <w:p w14:paraId="42119A9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75,8%</w:t>
            </w:r>
          </w:p>
        </w:tc>
      </w:tr>
      <w:tr w:rsidR="007C5583" w:rsidRPr="008127F8" w14:paraId="0959D01A" w14:textId="77777777" w:rsidTr="004C5D62">
        <w:trPr>
          <w:trHeight w:val="902"/>
        </w:trPr>
        <w:tc>
          <w:tcPr>
            <w:tcW w:w="2268" w:type="dxa"/>
          </w:tcPr>
          <w:p w14:paraId="0FA5224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б/ Средняя влажность образцов, вы</w:t>
            </w:r>
            <w:r w:rsidRPr="008127F8">
              <w:rPr>
                <w:rFonts w:ascii="Times New Roman" w:hAnsi="Times New Roman"/>
                <w:color w:val="000000" w:themeColor="text1"/>
                <w:sz w:val="16"/>
                <w:szCs w:val="16"/>
              </w:rPr>
              <w:softHyphen/>
              <w:t>резанных в месте полоики непо</w:t>
            </w:r>
            <w:r w:rsidRPr="008127F8">
              <w:rPr>
                <w:rFonts w:ascii="Times New Roman" w:hAnsi="Times New Roman"/>
                <w:color w:val="000000" w:themeColor="text1"/>
                <w:sz w:val="16"/>
                <w:szCs w:val="16"/>
              </w:rPr>
              <w:softHyphen/>
              <w:t>средственно после испытаний</w:t>
            </w:r>
          </w:p>
        </w:tc>
        <w:tc>
          <w:tcPr>
            <w:tcW w:w="2268" w:type="dxa"/>
          </w:tcPr>
          <w:p w14:paraId="4D21E90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w:t>
            </w:r>
          </w:p>
        </w:tc>
        <w:tc>
          <w:tcPr>
            <w:tcW w:w="2268" w:type="dxa"/>
          </w:tcPr>
          <w:p w14:paraId="28F63B9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w:t>
            </w:r>
          </w:p>
        </w:tc>
      </w:tr>
      <w:tr w:rsidR="007C5583" w:rsidRPr="008127F8" w14:paraId="652CAAAE" w14:textId="77777777" w:rsidTr="004C5D62">
        <w:trPr>
          <w:trHeight w:val="912"/>
        </w:trPr>
        <w:tc>
          <w:tcPr>
            <w:tcW w:w="2268" w:type="dxa"/>
            <w:tcBorders>
              <w:bottom w:val="single" w:sz="12" w:space="0" w:color="auto"/>
            </w:tcBorders>
          </w:tcPr>
          <w:p w14:paraId="559135A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Прочность фюзеляжа при пересче</w:t>
            </w:r>
            <w:r w:rsidRPr="008127F8">
              <w:rPr>
                <w:rFonts w:ascii="Times New Roman" w:hAnsi="Times New Roman"/>
                <w:color w:val="000000" w:themeColor="text1"/>
                <w:sz w:val="16"/>
                <w:szCs w:val="16"/>
              </w:rPr>
              <w:softHyphen/>
              <w:t>те на влажность - 12%</w:t>
            </w:r>
          </w:p>
        </w:tc>
        <w:tc>
          <w:tcPr>
            <w:tcW w:w="2268" w:type="dxa"/>
            <w:tcBorders>
              <w:bottom w:val="single" w:sz="12" w:space="0" w:color="auto"/>
            </w:tcBorders>
          </w:tcPr>
          <w:p w14:paraId="3EC4616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79,7%</w:t>
            </w:r>
          </w:p>
        </w:tc>
        <w:tc>
          <w:tcPr>
            <w:tcW w:w="2268" w:type="dxa"/>
            <w:tcBorders>
              <w:bottom w:val="single" w:sz="12" w:space="0" w:color="auto"/>
            </w:tcBorders>
          </w:tcPr>
          <w:p w14:paraId="0EDA3B9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87,8%</w:t>
            </w:r>
          </w:p>
        </w:tc>
      </w:tr>
    </w:tbl>
    <w:p w14:paraId="7D9CB01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испытанные фюзелязи нормам прочности не удовлетворяют.</w:t>
      </w:r>
    </w:p>
    <w:p w14:paraId="7F1C959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Ремонтный вариант по усилению хвостовой части фюзеляжа установкой 4 дюралевых профилей, выпущенные СКО завода 1 (эскиз ЭКОЗ-1298) ГК не утверждены и стат. испытаний на случай Е не проходил (1649,252).</w:t>
      </w:r>
    </w:p>
    <w:p w14:paraId="06A361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Б.Технология и состояние производства</w:t>
      </w:r>
    </w:p>
    <w:p w14:paraId="44E231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изготовлении хвостовой части на заводах 1 и 18 нарушалась инструкция ВИАМ от 27 августа 1941 по склеиванию авиадеталей - обязательная для всех заво</w:t>
      </w:r>
      <w:r w:rsidRPr="008127F8">
        <w:rPr>
          <w:rFonts w:ascii="Times New Roman" w:hAnsi="Times New Roman"/>
          <w:color w:val="000000" w:themeColor="text1"/>
          <w:sz w:val="16"/>
          <w:szCs w:val="16"/>
        </w:rPr>
        <w:softHyphen/>
        <w:t>дов НКАП, и разработанный на этих заводах технологический процесс и технические условия нарушалась, как и ТУ.</w:t>
      </w:r>
    </w:p>
    <w:p w14:paraId="349C1A5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заводе № 18 клей перед пуском в работу не проходил испытаний. Хранение и приготовление клея производится в со</w:t>
      </w:r>
      <w:r w:rsidRPr="008127F8">
        <w:rPr>
          <w:rFonts w:ascii="Times New Roman" w:hAnsi="Times New Roman"/>
          <w:color w:val="000000" w:themeColor="text1"/>
          <w:sz w:val="16"/>
          <w:szCs w:val="16"/>
        </w:rPr>
        <w:softHyphen/>
        <w:t>вершенно недопустимых условиях.</w:t>
      </w:r>
    </w:p>
    <w:p w14:paraId="63ABA29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обоих заводах не производится мытья клеянок и бач</w:t>
      </w:r>
      <w:r w:rsidRPr="008127F8">
        <w:rPr>
          <w:rFonts w:ascii="Times New Roman" w:hAnsi="Times New Roman"/>
          <w:color w:val="000000" w:themeColor="text1"/>
          <w:sz w:val="16"/>
          <w:szCs w:val="16"/>
        </w:rPr>
        <w:softHyphen/>
        <w:t>ков от остатков старого клея, нет контроля за временем исполь</w:t>
      </w:r>
      <w:r w:rsidRPr="008127F8">
        <w:rPr>
          <w:rFonts w:ascii="Times New Roman" w:hAnsi="Times New Roman"/>
          <w:color w:val="000000" w:themeColor="text1"/>
          <w:sz w:val="16"/>
          <w:szCs w:val="16"/>
        </w:rPr>
        <w:softHyphen/>
        <w:t>зования клея. Рабочие места, где производится внклейка скорлуп, в антисанитарном состоянии. Нанесение клеевых растворов произ</w:t>
      </w:r>
      <w:r w:rsidRPr="008127F8">
        <w:rPr>
          <w:rFonts w:ascii="Times New Roman" w:hAnsi="Times New Roman"/>
          <w:color w:val="000000" w:themeColor="text1"/>
          <w:sz w:val="16"/>
          <w:szCs w:val="16"/>
        </w:rPr>
        <w:softHyphen/>
        <w:t>водится мочальными швабрами,либо резиновыми перчатками.</w:t>
      </w:r>
    </w:p>
    <w:p w14:paraId="4A8A82E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Подготовка шпона некачественная - не снимается ус и плохо зачищается шпон в месте стыковки полос, полосы после склейки, не фрезируются по ширине. Увлажнение шпона произво</w:t>
      </w:r>
      <w:r w:rsidRPr="008127F8">
        <w:rPr>
          <w:rFonts w:ascii="Times New Roman" w:hAnsi="Times New Roman"/>
          <w:color w:val="000000" w:themeColor="text1"/>
          <w:sz w:val="16"/>
          <w:szCs w:val="16"/>
        </w:rPr>
        <w:softHyphen/>
        <w:t>дится замочкой в бочке с водой. При выклейке не производится укатка полос для выжимки клеевых "озер" и воздушных пузырей.</w:t>
      </w:r>
    </w:p>
    <w:p w14:paraId="3ECBD8C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Занижено давление при пневмопрессовании до 2-х атм. против необходимых, как минимум - 3 атм.</w:t>
      </w:r>
    </w:p>
    <w:p w14:paraId="2D47A7A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С"ем скорлуп с болванов после прессования производится грубо, с одной стороны, что вызывает сдвиги еще не сцементиро</w:t>
      </w:r>
      <w:r w:rsidRPr="008127F8">
        <w:rPr>
          <w:rFonts w:ascii="Times New Roman" w:hAnsi="Times New Roman"/>
          <w:color w:val="000000" w:themeColor="text1"/>
          <w:sz w:val="16"/>
          <w:szCs w:val="16"/>
        </w:rPr>
        <w:softHyphen/>
        <w:t>ванной многослойной обшивки.</w:t>
      </w:r>
    </w:p>
    <w:p w14:paraId="30F874D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Перед камерной сушкой имеет место /завод № </w:t>
      </w:r>
      <w:r w:rsidRPr="008127F8">
        <w:rPr>
          <w:rFonts w:ascii="Times New Roman" w:hAnsi="Times New Roman"/>
          <w:color w:val="000000" w:themeColor="text1"/>
          <w:sz w:val="16"/>
          <w:szCs w:val="16"/>
          <w:lang w:val="en-US"/>
        </w:rPr>
        <w:t>I</w:t>
      </w:r>
      <w:r w:rsidRPr="008127F8">
        <w:rPr>
          <w:rFonts w:ascii="Times New Roman" w:hAnsi="Times New Roman"/>
          <w:color w:val="000000" w:themeColor="text1"/>
          <w:sz w:val="16"/>
          <w:szCs w:val="16"/>
        </w:rPr>
        <w:t xml:space="preserve"> / выдержка сырых скорлуп в стопах, что деформирует скорлупы.</w:t>
      </w:r>
    </w:p>
    <w:p w14:paraId="46A6F92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Сушка производится без достаточного прижима к решетча</w:t>
      </w:r>
      <w:r w:rsidRPr="008127F8">
        <w:rPr>
          <w:rFonts w:ascii="Times New Roman" w:hAnsi="Times New Roman"/>
          <w:color w:val="000000" w:themeColor="text1"/>
          <w:sz w:val="16"/>
          <w:szCs w:val="16"/>
        </w:rPr>
        <w:softHyphen/>
        <w:t>тым сулагам, что вызывает коробление скорлуп.</w:t>
      </w:r>
    </w:p>
    <w:p w14:paraId="0EB21F7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Сушильные камеры в неудовлетворительном состоянии -течь калориферов и неравномерная циркуляция воздуха /за</w:t>
      </w:r>
      <w:r w:rsidRPr="008127F8">
        <w:rPr>
          <w:rFonts w:ascii="Times New Roman" w:hAnsi="Times New Roman"/>
          <w:color w:val="000000" w:themeColor="text1"/>
          <w:sz w:val="16"/>
          <w:szCs w:val="16"/>
        </w:rPr>
        <w:softHyphen/>
        <w:t xml:space="preserve">вод № </w:t>
      </w:r>
      <w:r w:rsidRPr="008127F8">
        <w:rPr>
          <w:rFonts w:ascii="Times New Roman" w:hAnsi="Times New Roman"/>
          <w:color w:val="000000" w:themeColor="text1"/>
          <w:sz w:val="16"/>
          <w:szCs w:val="16"/>
          <w:lang w:val="en-US"/>
        </w:rPr>
        <w:t>I</w:t>
      </w:r>
      <w:r w:rsidRPr="008127F8">
        <w:rPr>
          <w:rFonts w:ascii="Times New Roman" w:hAnsi="Times New Roman"/>
          <w:color w:val="000000" w:themeColor="text1"/>
          <w:sz w:val="16"/>
          <w:szCs w:val="16"/>
        </w:rPr>
        <w:t>/,а по заводу № 18 - монтах установок выполнен не</w:t>
      </w:r>
      <w:r w:rsidRPr="008127F8">
        <w:rPr>
          <w:rFonts w:ascii="Times New Roman" w:hAnsi="Times New Roman"/>
          <w:color w:val="000000" w:themeColor="text1"/>
          <w:sz w:val="16"/>
          <w:szCs w:val="16"/>
        </w:rPr>
        <w:softHyphen/>
        <w:t>правильно и не обеспечивает качественной сушки.</w:t>
      </w:r>
    </w:p>
    <w:p w14:paraId="626E1C8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выравнивании поверхности скорлуп применяются ру</w:t>
      </w:r>
      <w:r w:rsidRPr="008127F8">
        <w:rPr>
          <w:rFonts w:ascii="Times New Roman" w:hAnsi="Times New Roman"/>
          <w:color w:val="000000" w:themeColor="text1"/>
          <w:sz w:val="16"/>
          <w:szCs w:val="16"/>
        </w:rPr>
        <w:softHyphen/>
        <w:t>банки, - при строжке, которыми срезаются силовые слои обшивки.</w:t>
      </w:r>
    </w:p>
    <w:p w14:paraId="354A44E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 № </w:t>
      </w:r>
      <w:r w:rsidRPr="008127F8">
        <w:rPr>
          <w:rFonts w:ascii="Times New Roman" w:hAnsi="Times New Roman"/>
          <w:color w:val="000000" w:themeColor="text1"/>
          <w:sz w:val="16"/>
          <w:szCs w:val="16"/>
          <w:lang w:val="en-US"/>
        </w:rPr>
        <w:t>I</w:t>
      </w:r>
      <w:r w:rsidRPr="008127F8">
        <w:rPr>
          <w:rFonts w:ascii="Times New Roman" w:hAnsi="Times New Roman"/>
          <w:color w:val="000000" w:themeColor="text1"/>
          <w:sz w:val="16"/>
          <w:szCs w:val="16"/>
        </w:rPr>
        <w:t xml:space="preserve"> исключил операцию шпатлевки, снизил количество слоев покрытий, сведя процесс консервации к однослойной внутренней окраске и оклейке полотном с однослойной покрас</w:t>
      </w:r>
      <w:r w:rsidRPr="008127F8">
        <w:rPr>
          <w:rFonts w:ascii="Times New Roman" w:hAnsi="Times New Roman"/>
          <w:color w:val="000000" w:themeColor="text1"/>
          <w:sz w:val="16"/>
          <w:szCs w:val="16"/>
        </w:rPr>
        <w:softHyphen/>
        <w:t>кой внешней поверхности, нарушив таким образом, инструкцию по лакокрасочным покрытиям разработанную ВИАМ и утвержденную НКАП на период военного времени.</w:t>
      </w:r>
    </w:p>
    <w:p w14:paraId="7D416F0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Выводы</w:t>
      </w:r>
    </w:p>
    <w:p w14:paraId="524CA8E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Основной причиной поломок хвостовой части фюзеляза самолета Ил-2 при посадке является недостаточная прочность конструкции.</w:t>
      </w:r>
    </w:p>
    <w:p w14:paraId="61F92FB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Главный конструктор тов. ИЛЬЮШИН С.В. допустил ошиб</w:t>
      </w:r>
      <w:r w:rsidRPr="008127F8">
        <w:rPr>
          <w:rFonts w:ascii="Times New Roman" w:hAnsi="Times New Roman"/>
          <w:color w:val="000000" w:themeColor="text1"/>
          <w:sz w:val="16"/>
          <w:szCs w:val="16"/>
        </w:rPr>
        <w:softHyphen/>
        <w:t>ку, выдав на серийное производство чертежи хвостовой части фюзеляжа не проверенные статическими испытаниями.</w:t>
      </w:r>
    </w:p>
    <w:p w14:paraId="2FA7577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 Несоблюдение технологического процесса изготовления скорлуп на заводах № </w:t>
      </w:r>
      <w:r w:rsidRPr="008127F8">
        <w:rPr>
          <w:rFonts w:ascii="Times New Roman" w:hAnsi="Times New Roman"/>
          <w:color w:val="000000" w:themeColor="text1"/>
          <w:sz w:val="16"/>
          <w:szCs w:val="16"/>
          <w:lang w:val="en-US"/>
        </w:rPr>
        <w:t>I</w:t>
      </w:r>
      <w:r w:rsidRPr="008127F8">
        <w:rPr>
          <w:rFonts w:ascii="Times New Roman" w:hAnsi="Times New Roman"/>
          <w:color w:val="000000" w:themeColor="text1"/>
          <w:sz w:val="16"/>
          <w:szCs w:val="16"/>
        </w:rPr>
        <w:t xml:space="preserve"> и № 18, особенно в части обеспечения нормальной влажности и консервации, ухудшают качество хвосто</w:t>
      </w:r>
      <w:r w:rsidRPr="008127F8">
        <w:rPr>
          <w:rFonts w:ascii="Times New Roman" w:hAnsi="Times New Roman"/>
          <w:color w:val="000000" w:themeColor="text1"/>
          <w:sz w:val="16"/>
          <w:szCs w:val="16"/>
        </w:rPr>
        <w:softHyphen/>
        <w:t>вой части фюзеляжа.</w:t>
      </w:r>
    </w:p>
    <w:p w14:paraId="41D44D7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Обратить внимание технического руководства заводов № </w:t>
      </w:r>
      <w:r w:rsidRPr="008127F8">
        <w:rPr>
          <w:rFonts w:ascii="Times New Roman" w:hAnsi="Times New Roman"/>
          <w:color w:val="000000" w:themeColor="text1"/>
          <w:sz w:val="16"/>
          <w:szCs w:val="16"/>
          <w:lang w:val="en-US"/>
        </w:rPr>
        <w:t>I</w:t>
      </w:r>
      <w:r w:rsidRPr="008127F8">
        <w:rPr>
          <w:rFonts w:ascii="Times New Roman" w:hAnsi="Times New Roman"/>
          <w:color w:val="000000" w:themeColor="text1"/>
          <w:sz w:val="16"/>
          <w:szCs w:val="16"/>
        </w:rPr>
        <w:t xml:space="preserve"> и № 18 на недопустимость отклонений от установленной технологии.</w:t>
      </w:r>
    </w:p>
    <w:p w14:paraId="08ACE67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 Р Е Д Л О Ж Е Н И Я</w:t>
      </w:r>
    </w:p>
    <w:p w14:paraId="6C13007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Главному конструктору:</w:t>
      </w:r>
    </w:p>
    <w:p w14:paraId="30065BE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Не позднее 26 июня утвердить ремонтный вариант усиления хвостовой части фюзеляга и провести статические испытания этого варианта.</w:t>
      </w:r>
    </w:p>
    <w:p w14:paraId="7F018D0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Немедленно .сообщить заводам, изготавливающим само</w:t>
      </w:r>
      <w:r w:rsidRPr="008127F8">
        <w:rPr>
          <w:rFonts w:ascii="Times New Roman" w:hAnsi="Times New Roman"/>
          <w:color w:val="000000" w:themeColor="text1"/>
          <w:sz w:val="16"/>
          <w:szCs w:val="16"/>
        </w:rPr>
        <w:softHyphen/>
        <w:t>лет ИЛ-2 об усилениях выпускаемых и ранее выпущенных самоле</w:t>
      </w:r>
      <w:r w:rsidRPr="008127F8">
        <w:rPr>
          <w:rFonts w:ascii="Times New Roman" w:hAnsi="Times New Roman"/>
          <w:color w:val="000000" w:themeColor="text1"/>
          <w:sz w:val="16"/>
          <w:szCs w:val="16"/>
        </w:rPr>
        <w:softHyphen/>
        <w:t>тов.</w:t>
      </w:r>
    </w:p>
    <w:p w14:paraId="798B4D8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Директорам заводов № </w:t>
      </w:r>
      <w:r w:rsidRPr="008127F8">
        <w:rPr>
          <w:rFonts w:ascii="Times New Roman" w:hAnsi="Times New Roman"/>
          <w:color w:val="000000" w:themeColor="text1"/>
          <w:sz w:val="16"/>
          <w:szCs w:val="16"/>
          <w:lang w:val="en-US"/>
        </w:rPr>
        <w:t>I</w:t>
      </w:r>
      <w:r w:rsidRPr="008127F8">
        <w:rPr>
          <w:rFonts w:ascii="Times New Roman" w:hAnsi="Times New Roman"/>
          <w:color w:val="000000" w:themeColor="text1"/>
          <w:sz w:val="16"/>
          <w:szCs w:val="16"/>
        </w:rPr>
        <w:t xml:space="preserve"> и № 18:</w:t>
      </w:r>
    </w:p>
    <w:p w14:paraId="70294EA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Закончить не позднее 10 июля 1942 года усиление хвостовой части фюзеляжа на готовых самолетах по утвержден</w:t>
      </w:r>
      <w:r w:rsidRPr="008127F8">
        <w:rPr>
          <w:rFonts w:ascii="Times New Roman" w:hAnsi="Times New Roman"/>
          <w:color w:val="000000" w:themeColor="text1"/>
          <w:sz w:val="16"/>
          <w:szCs w:val="16"/>
        </w:rPr>
        <w:softHyphen/>
        <w:t>ному главным конструктором варианту и выпустить эксплоатационный бюллетень по наблюдению за состоянием хвостовой части фюзеляга.</w:t>
      </w:r>
    </w:p>
    <w:p w14:paraId="7BBBB2E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Провести не позднее 25 июня 1942 года полные стати</w:t>
      </w:r>
      <w:r w:rsidRPr="008127F8">
        <w:rPr>
          <w:rFonts w:ascii="Times New Roman" w:hAnsi="Times New Roman"/>
          <w:color w:val="000000" w:themeColor="text1"/>
          <w:sz w:val="16"/>
          <w:szCs w:val="16"/>
        </w:rPr>
        <w:softHyphen/>
        <w:t>ческие испытания хвостовой части, изготовленной по чертежам и эскизам, спущенным в производство 13 июня 1942 года.</w:t>
      </w:r>
    </w:p>
    <w:p w14:paraId="6ACA944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Строго руководствоваться при изготовлении хвостовой части фюзеляжа инструкцией по склеивании авиационных деталей, разработанной ВИАМ от 27 августа 1941 года, разработанного на основе этой инструкции технологического процесса и инструк</w:t>
      </w:r>
      <w:r w:rsidRPr="008127F8">
        <w:rPr>
          <w:rFonts w:ascii="Times New Roman" w:hAnsi="Times New Roman"/>
          <w:color w:val="000000" w:themeColor="text1"/>
          <w:sz w:val="16"/>
          <w:szCs w:val="16"/>
        </w:rPr>
        <w:softHyphen/>
        <w:t>цией на лакокрасочные покрытия, утвержденной НКАП на период военного времени.</w:t>
      </w:r>
    </w:p>
    <w:p w14:paraId="78A7D56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Совместно с ВИАМ"ом разработать:</w:t>
      </w:r>
    </w:p>
    <w:p w14:paraId="59B2369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методы ускоренного испытания клея.</w:t>
      </w:r>
    </w:p>
    <w:p w14:paraId="24E43F6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сокращенный режим сушки скорлупы с доведением длительности до 18-22 часов, вместо 30-ти.</w:t>
      </w:r>
    </w:p>
    <w:p w14:paraId="63612D6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Метод упрощенной консервации фюзеляжа без снижения защитных свойств.</w:t>
      </w:r>
    </w:p>
    <w:p w14:paraId="2216CFB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Производить консервации хвостовых частей, исключая маскировочные покрытие, до транспортировки в малярной цех /завод № 18/.</w:t>
      </w:r>
    </w:p>
    <w:p w14:paraId="602B3B0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Увеличить давленпе при запрессовке скорлуп до 3-х атм.и время выдергки до 3-х часов.</w:t>
      </w:r>
    </w:p>
    <w:p w14:paraId="75855BE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Впредь до оборудования в цехах эксгаустерной установки изолировать отделение по выклейке скорлуп, обору</w:t>
      </w:r>
      <w:r w:rsidRPr="008127F8">
        <w:rPr>
          <w:rFonts w:ascii="Times New Roman" w:hAnsi="Times New Roman"/>
          <w:color w:val="000000" w:themeColor="text1"/>
          <w:sz w:val="16"/>
          <w:szCs w:val="16"/>
        </w:rPr>
        <w:softHyphen/>
        <w:t>довав его подводкой горячей воды для мойки полов и инвентаря; обить столы для намазки шпона оцинкованным железом, либо линолеумом.</w:t>
      </w:r>
    </w:p>
    <w:p w14:paraId="18249D1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Запретить хранение скорлуп в стопах, без специаль</w:t>
      </w:r>
      <w:r w:rsidRPr="008127F8">
        <w:rPr>
          <w:rFonts w:ascii="Times New Roman" w:hAnsi="Times New Roman"/>
          <w:color w:val="000000" w:themeColor="text1"/>
          <w:sz w:val="16"/>
          <w:szCs w:val="16"/>
        </w:rPr>
        <w:softHyphen/>
        <w:t>ных решеток сохраняющих форму скорлупы.</w:t>
      </w:r>
    </w:p>
    <w:p w14:paraId="4FAC51D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Запретить применение, вместо циклей, рубанков /кроме снятия уса на половинах скорлупы/ при ремонте и зачистке.</w:t>
      </w:r>
    </w:p>
    <w:p w14:paraId="20CCFCC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Ввести контрольные журналы выклейки скорлупы с от</w:t>
      </w:r>
      <w:r w:rsidRPr="008127F8">
        <w:rPr>
          <w:rFonts w:ascii="Times New Roman" w:hAnsi="Times New Roman"/>
          <w:color w:val="000000" w:themeColor="text1"/>
          <w:sz w:val="16"/>
          <w:szCs w:val="16"/>
        </w:rPr>
        <w:softHyphen/>
        <w:t>меткой времени начала клейки, начала и конца запрессовки.</w:t>
      </w:r>
    </w:p>
    <w:p w14:paraId="7309227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ТРУБЧАТОМУ ЛОНЖЕРОНУ РУЛЯ ГЛУБИНЫ ИЗГОТОВЛЕНИЯ ЗАВОДА № 18</w:t>
      </w:r>
    </w:p>
    <w:p w14:paraId="407B614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val="en-US"/>
        </w:rPr>
        <w:t>I</w:t>
      </w:r>
      <w:r w:rsidRPr="008127F8">
        <w:rPr>
          <w:rFonts w:ascii="Times New Roman" w:hAnsi="Times New Roman"/>
          <w:color w:val="000000" w:themeColor="text1"/>
          <w:sz w:val="16"/>
          <w:szCs w:val="16"/>
        </w:rPr>
        <w:t>. Трубчатый лонжерон руля глубины изготавливался из цельнотянутой дюралевой трубы размерои 56x60 мм., согласно чертека М-А320000 выданного на серийное производство СКО завода № 18.</w:t>
      </w:r>
    </w:p>
    <w:p w14:paraId="5850CAC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Серийно-конструкторским отделом завода № 18 20-го февраля и 7 марта 1942 года выданы на производство эскизы клепанной трубы лонжерона руля глубины с 2-х рядным заклепочным швом за №№ 584-КФ и 597-КФ.</w:t>
      </w:r>
    </w:p>
    <w:p w14:paraId="2E7FD4D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Эскизы подписаны зам. нач.СКО тов. СЕМЕРЕНЬКО и утверж</w:t>
      </w:r>
      <w:r w:rsidRPr="008127F8">
        <w:rPr>
          <w:rFonts w:ascii="Times New Roman" w:hAnsi="Times New Roman"/>
          <w:color w:val="000000" w:themeColor="text1"/>
          <w:sz w:val="16"/>
          <w:szCs w:val="16"/>
        </w:rPr>
        <w:softHyphen/>
        <w:t>дены главным инженерои завода тов. ВОСТРОВЫМ.</w:t>
      </w:r>
    </w:p>
    <w:p w14:paraId="791402F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Замена цельнотянутой трубы на клепанную произве</w:t>
      </w:r>
      <w:r w:rsidRPr="008127F8">
        <w:rPr>
          <w:rFonts w:ascii="Times New Roman" w:hAnsi="Times New Roman"/>
          <w:color w:val="000000" w:themeColor="text1"/>
          <w:sz w:val="16"/>
          <w:szCs w:val="16"/>
        </w:rPr>
        <w:softHyphen/>
        <w:t>дена заводом без разрешения главного конструктора самолета Ил-2 тов. ИЛЬЮШИНА.</w:t>
      </w:r>
    </w:p>
    <w:p w14:paraId="0FC2513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Статические испытания руля высоты с клепанным лонжероном не производились.</w:t>
      </w:r>
    </w:p>
    <w:p w14:paraId="2CB2672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Изготовление клепанных труб цехом № 18 произво</w:t>
      </w:r>
      <w:r w:rsidRPr="008127F8">
        <w:rPr>
          <w:rFonts w:ascii="Times New Roman" w:hAnsi="Times New Roman"/>
          <w:color w:val="000000" w:themeColor="text1"/>
          <w:sz w:val="16"/>
          <w:szCs w:val="16"/>
        </w:rPr>
        <w:softHyphen/>
        <w:t>дилась без надлежащей подготовки производства.</w:t>
      </w:r>
    </w:p>
    <w:p w14:paraId="532BF12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не было обеспечено элементарной оснасткой - шаблоны, кондуктора.</w:t>
      </w:r>
    </w:p>
    <w:p w14:paraId="57D0130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Заводом № 18 выпущено 400 самолетов с клепанным лонжероном руля глубины.</w:t>
      </w:r>
    </w:p>
    <w:p w14:paraId="6477D36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ВЫВОДЫ</w:t>
      </w:r>
    </w:p>
    <w:p w14:paraId="63F6160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Главный инженер завода № 18 тов. ВОСТРОВ, начальник СКО тов. НАЗАРЕНКО, безответственно подошли к замене силовой части лонжерона рулн высоты, с цельнотянутой трубы на клепан</w:t>
      </w:r>
      <w:r w:rsidRPr="008127F8">
        <w:rPr>
          <w:rFonts w:ascii="Times New Roman" w:hAnsi="Times New Roman"/>
          <w:color w:val="000000" w:themeColor="text1"/>
          <w:sz w:val="16"/>
          <w:szCs w:val="16"/>
        </w:rPr>
        <w:softHyphen/>
        <w:t>ную. Замена проведена без разрешения главного конструктора и проведения статических испытаний на прочность и жесткость.</w:t>
      </w:r>
    </w:p>
    <w:p w14:paraId="72B7A47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Главный технолог завода тов. ДЕМИН, начальник цеха № 18 тов. КЛЕЦКИН и б. начальник ОТК завода тов. МОИСЕЕНКО не обес</w:t>
      </w:r>
      <w:r w:rsidRPr="008127F8">
        <w:rPr>
          <w:rFonts w:ascii="Times New Roman" w:hAnsi="Times New Roman"/>
          <w:color w:val="000000" w:themeColor="text1"/>
          <w:sz w:val="16"/>
          <w:szCs w:val="16"/>
        </w:rPr>
        <w:softHyphen/>
        <w:t>печили подготовку производства и контроля по изготовлению клепанных труб, что вызвало отклонения готового изделия от эскизов.</w:t>
      </w:r>
    </w:p>
    <w:p w14:paraId="0A2D63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Мастер цеха № 18 тов. ФЕДОРИНОВ и начальник БЦК тов. БОНДАРЕВ халатно отнеслась к изготовлению и контролю лонжеронов рулей глубины, что привело к выпуску недоброкачест</w:t>
      </w:r>
      <w:r w:rsidRPr="008127F8">
        <w:rPr>
          <w:rFonts w:ascii="Times New Roman" w:hAnsi="Times New Roman"/>
          <w:color w:val="000000" w:themeColor="text1"/>
          <w:sz w:val="16"/>
          <w:szCs w:val="16"/>
        </w:rPr>
        <w:softHyphen/>
        <w:t>венной продукции.</w:t>
      </w:r>
    </w:p>
    <w:p w14:paraId="0A52632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на заводе № 18 имело место нарушение приказа № 518сс от 2 октября 1940 года о технологической дисциплине на заводах НКАП.</w:t>
      </w:r>
    </w:p>
    <w:p w14:paraId="15B2E46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 Е Р О П Р И Я Т Т И Я</w:t>
      </w:r>
    </w:p>
    <w:p w14:paraId="0AF1FCD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Обязать директора завода № 18 тов. БЕЛЯНСКОГО А.А. произнести замену клепаных лонжеронов рулей глубины на самолетах, находящихся в ВВС КА не позднее 5 июля 1942 года.</w:t>
      </w:r>
    </w:p>
    <w:p w14:paraId="007DBCB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 Директорам заводов №№ </w:t>
      </w:r>
      <w:r w:rsidRPr="008127F8">
        <w:rPr>
          <w:rFonts w:ascii="Times New Roman" w:hAnsi="Times New Roman"/>
          <w:color w:val="000000" w:themeColor="text1"/>
          <w:sz w:val="16"/>
          <w:szCs w:val="16"/>
          <w:lang w:val="en-US"/>
        </w:rPr>
        <w:t>I</w:t>
      </w:r>
      <w:r w:rsidRPr="008127F8">
        <w:rPr>
          <w:rFonts w:ascii="Times New Roman" w:hAnsi="Times New Roman"/>
          <w:color w:val="000000" w:themeColor="text1"/>
          <w:sz w:val="16"/>
          <w:szCs w:val="16"/>
        </w:rPr>
        <w:t xml:space="preserve"> и 18 руководствоваться приказом НКАП № 518сс от 2 октября 1940 года о технологи</w:t>
      </w:r>
      <w:r w:rsidRPr="008127F8">
        <w:rPr>
          <w:rFonts w:ascii="Times New Roman" w:hAnsi="Times New Roman"/>
          <w:color w:val="000000" w:themeColor="text1"/>
          <w:sz w:val="16"/>
          <w:szCs w:val="16"/>
        </w:rPr>
        <w:softHyphen/>
        <w:t>ческой дисциплине, привлекая виновных в нарушении его к строгой ответственности.</w:t>
      </w:r>
    </w:p>
    <w:p w14:paraId="72BE896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Продседатель комиссии</w:t>
      </w:r>
    </w:p>
    <w:p w14:paraId="12AB3AF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Члены колиссии (1649,257).</w:t>
      </w:r>
    </w:p>
    <w:p w14:paraId="4E0130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A31003"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период с 24 по 26 июня 1942 г. на НИП АВ про</w:t>
      </w:r>
      <w:r w:rsidRPr="008127F8">
        <w:rPr>
          <w:color w:val="000000" w:themeColor="text1"/>
          <w:sz w:val="16"/>
          <w:szCs w:val="16"/>
        </w:rPr>
        <w:softHyphen/>
        <w:t>ходили испытания зажигательные пакеты «в при</w:t>
      </w:r>
      <w:r w:rsidRPr="008127F8">
        <w:rPr>
          <w:color w:val="000000" w:themeColor="text1"/>
          <w:sz w:val="16"/>
          <w:szCs w:val="16"/>
        </w:rPr>
        <w:softHyphen/>
        <w:t>менении из кассет мелких бомб КМБ на самолете Ил-2». Ведущим инженером был старший инженер бомбохимического отделения НИП АВ инженер-ка</w:t>
      </w:r>
      <w:r w:rsidRPr="008127F8">
        <w:rPr>
          <w:color w:val="000000" w:themeColor="text1"/>
          <w:sz w:val="16"/>
          <w:szCs w:val="16"/>
        </w:rPr>
        <w:softHyphen/>
        <w:t>питан Комарницкий. Отчет по испытаниям утвердил заместитель начальника полигона инженер-майор Филиппов 7 июля 1942 г.</w:t>
      </w:r>
    </w:p>
    <w:p w14:paraId="70AA03C0"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Зажигательные пакеты изготавливались из бума</w:t>
      </w:r>
      <w:r w:rsidRPr="008127F8">
        <w:rPr>
          <w:color w:val="000000" w:themeColor="text1"/>
          <w:sz w:val="16"/>
          <w:szCs w:val="16"/>
        </w:rPr>
        <w:softHyphen/>
        <w:t>ги и снаряжены огнесмесью из бензина 2-го сорта, отвержденного 7% нафтената алюминия. Объем од</w:t>
      </w:r>
      <w:r w:rsidRPr="008127F8">
        <w:rPr>
          <w:color w:val="000000" w:themeColor="text1"/>
          <w:sz w:val="16"/>
          <w:szCs w:val="16"/>
        </w:rPr>
        <w:softHyphen/>
        <w:t>ного пакета около 1 л при габаритах 57x80x220 мм. Внутри пакетов помещались стеклянные ампулы (диаметр 7,5 мм, длина 178 мм, толщина стенки 1 мм), наполненные химическим воспламените</w:t>
      </w:r>
      <w:r w:rsidRPr="008127F8">
        <w:rPr>
          <w:color w:val="000000" w:themeColor="text1"/>
          <w:sz w:val="16"/>
          <w:szCs w:val="16"/>
        </w:rPr>
        <w:softHyphen/>
        <w:t>лем. Отверстия пакетов с вложенными стеклянны</w:t>
      </w:r>
      <w:r w:rsidRPr="008127F8">
        <w:rPr>
          <w:color w:val="000000" w:themeColor="text1"/>
          <w:sz w:val="16"/>
          <w:szCs w:val="16"/>
        </w:rPr>
        <w:softHyphen/>
        <w:t>ми ампулами закрываются резиновыми пробками. Действие пакетов происходит в момент встречи их с преградой. При падении с самолета стеклянные ампулы вместе с бумажной оболочкой разрушают</w:t>
      </w:r>
      <w:r w:rsidRPr="008127F8">
        <w:rPr>
          <w:color w:val="000000" w:themeColor="text1"/>
          <w:sz w:val="16"/>
          <w:szCs w:val="16"/>
        </w:rPr>
        <w:softHyphen/>
        <w:t>ся, в результате чего происходит воспламенение и горение огнесмеси. Вес снаряженного пакета со</w:t>
      </w:r>
      <w:r w:rsidRPr="008127F8">
        <w:rPr>
          <w:color w:val="000000" w:themeColor="text1"/>
          <w:sz w:val="16"/>
          <w:szCs w:val="16"/>
        </w:rPr>
        <w:softHyphen/>
        <w:t>ставлял примерно 0,966 кг при весе огневой смеси 0,960 кг.</w:t>
      </w:r>
    </w:p>
    <w:p w14:paraId="455ED396"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При осмотре представленных на испытания па</w:t>
      </w:r>
      <w:r w:rsidRPr="008127F8">
        <w:rPr>
          <w:color w:val="000000" w:themeColor="text1"/>
          <w:sz w:val="16"/>
          <w:szCs w:val="16"/>
        </w:rPr>
        <w:softHyphen/>
        <w:t>кетов в количестве 430 штук было выявлено, что 48% пакетов имеют течь огнесмеси и частично дали протекание оболочки (бумаги) пакетов. Герметич</w:t>
      </w:r>
      <w:r w:rsidRPr="008127F8">
        <w:rPr>
          <w:color w:val="000000" w:themeColor="text1"/>
          <w:sz w:val="16"/>
          <w:szCs w:val="16"/>
        </w:rPr>
        <w:softHyphen/>
        <w:t>ность нарушалась главным образом в склеенных швах по срезам торцевых поверхностей.</w:t>
      </w:r>
    </w:p>
    <w:p w14:paraId="61E7FEA0"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При укладке пакетов в штатные кассеты мелких бомб самолета Ил-2 было установлено, что в одну кассету можно уложить 60 пакетов. Но в этом слу</w:t>
      </w:r>
      <w:r w:rsidRPr="008127F8">
        <w:rPr>
          <w:color w:val="000000" w:themeColor="text1"/>
          <w:sz w:val="16"/>
          <w:szCs w:val="16"/>
        </w:rPr>
        <w:softHyphen/>
        <w:t>чае «в момент высыпания из нее наблюдаются слу</w:t>
      </w:r>
      <w:r w:rsidRPr="008127F8">
        <w:rPr>
          <w:color w:val="000000" w:themeColor="text1"/>
          <w:sz w:val="16"/>
          <w:szCs w:val="16"/>
        </w:rPr>
        <w:softHyphen/>
        <w:t>чаи заклинения пакетов в отсеках кассеты». При со</w:t>
      </w:r>
      <w:r w:rsidRPr="008127F8">
        <w:rPr>
          <w:color w:val="000000" w:themeColor="text1"/>
          <w:sz w:val="16"/>
          <w:szCs w:val="16"/>
        </w:rPr>
        <w:softHyphen/>
        <w:t>кращении загрузки до 52 пакетов «они высыпаются на земле без задержек». Загрузка кассет пакетами и постановка воспламенителей в пакеты затрудне</w:t>
      </w:r>
      <w:r w:rsidRPr="008127F8">
        <w:rPr>
          <w:color w:val="000000" w:themeColor="text1"/>
          <w:sz w:val="16"/>
          <w:szCs w:val="16"/>
        </w:rPr>
        <w:softHyphen/>
        <w:t>ний не вызывает. На это уходит около 1 ч работы 4 специалистов по вооружению — по одному на одну кассету.</w:t>
      </w:r>
    </w:p>
    <w:p w14:paraId="1C2037DD"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 программе испытаний было выполнено 3 растрясочных полета с двумя снаряженными кас</w:t>
      </w:r>
      <w:r w:rsidRPr="008127F8">
        <w:rPr>
          <w:color w:val="000000" w:themeColor="text1"/>
          <w:sz w:val="16"/>
          <w:szCs w:val="16"/>
        </w:rPr>
        <w:softHyphen/>
        <w:t>сетами: одна с 52 пакетами, вторая — с 60 пакета</w:t>
      </w:r>
      <w:r w:rsidRPr="008127F8">
        <w:rPr>
          <w:color w:val="000000" w:themeColor="text1"/>
          <w:sz w:val="16"/>
          <w:szCs w:val="16"/>
        </w:rPr>
        <w:softHyphen/>
        <w:t>ми. Все пакеты снаряжались стеклянными ампула</w:t>
      </w:r>
      <w:r w:rsidRPr="008127F8">
        <w:rPr>
          <w:color w:val="000000" w:themeColor="text1"/>
          <w:sz w:val="16"/>
          <w:szCs w:val="16"/>
        </w:rPr>
        <w:softHyphen/>
        <w:t>ми с нейтральной жидкостью. В полете ни одна из ампул не разбилась, герметичность пакетов сохра</w:t>
      </w:r>
      <w:r w:rsidRPr="008127F8">
        <w:rPr>
          <w:color w:val="000000" w:themeColor="text1"/>
          <w:sz w:val="16"/>
          <w:szCs w:val="16"/>
        </w:rPr>
        <w:softHyphen/>
        <w:t>нилась. Однако пакеты, извлеченные после полета из кассеты и простоявшие ночь на земле, дали течь по швам склейки.</w:t>
      </w:r>
    </w:p>
    <w:p w14:paraId="1B0BD6CE"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Огневые испытания проводились с высоты 200 и 100 м при скорости полета 300 км/ч. Оказа</w:t>
      </w:r>
      <w:r w:rsidRPr="008127F8">
        <w:rPr>
          <w:color w:val="000000" w:themeColor="text1"/>
          <w:sz w:val="16"/>
          <w:szCs w:val="16"/>
        </w:rPr>
        <w:softHyphen/>
        <w:t>лось, что из 234 сброшенных пакетов при падении на землю 49 пакетов не воспламенились. Один пакет «в средней левой кассете застрял и сгорел в ней, от чего местами обгорела краска кассеты, покоробилась верхняя крышка кассеты, обгорела электропроводка на самолете и местами закопче</w:t>
      </w:r>
      <w:r w:rsidRPr="008127F8">
        <w:rPr>
          <w:color w:val="000000" w:themeColor="text1"/>
          <w:sz w:val="16"/>
          <w:szCs w:val="16"/>
        </w:rPr>
        <w:softHyphen/>
        <w:t>ны бомболюки». Пакеты, упавшие на землю, обра</w:t>
      </w:r>
      <w:r w:rsidRPr="008127F8">
        <w:rPr>
          <w:color w:val="000000" w:themeColor="text1"/>
          <w:sz w:val="16"/>
          <w:szCs w:val="16"/>
        </w:rPr>
        <w:softHyphen/>
        <w:t>зовали вытянутый по направлению полета эллипс с размерами 33 м в поперечном направлении и 75—250 м по направлению полета. Разлет паке</w:t>
      </w:r>
      <w:r w:rsidRPr="008127F8">
        <w:rPr>
          <w:color w:val="000000" w:themeColor="text1"/>
          <w:sz w:val="16"/>
          <w:szCs w:val="16"/>
        </w:rPr>
        <w:softHyphen/>
        <w:t>тов друг от друга составлял от 0,1 до 23 м. Воспла</w:t>
      </w:r>
      <w:r w:rsidRPr="008127F8">
        <w:rPr>
          <w:color w:val="000000" w:themeColor="text1"/>
          <w:sz w:val="16"/>
          <w:szCs w:val="16"/>
        </w:rPr>
        <w:softHyphen/>
        <w:t>менившиеся пакеты горят в течение 15—20 мин. Из общего числа сгоревших пакетов большая часть воспламенилась от удара о землю и лишь неболь</w:t>
      </w:r>
      <w:r w:rsidRPr="008127F8">
        <w:rPr>
          <w:color w:val="000000" w:themeColor="text1"/>
          <w:sz w:val="16"/>
          <w:szCs w:val="16"/>
        </w:rPr>
        <w:softHyphen/>
        <w:t>шое количество — «от нагрева вблизи сгоревших пакетов». При этом «вся масса огнесмеси сгорает в месте падения пакета без разброса по площади», а все упавшие и невоспламенившиеся пакеты «име</w:t>
      </w:r>
      <w:r w:rsidRPr="008127F8">
        <w:rPr>
          <w:color w:val="000000" w:themeColor="text1"/>
          <w:sz w:val="16"/>
          <w:szCs w:val="16"/>
        </w:rPr>
        <w:softHyphen/>
        <w:t>ют разорванную оболочку и не разбитые ампулы с воспламенителем».</w:t>
      </w:r>
    </w:p>
    <w:p w14:paraId="303C552F"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выводах по результатам испытаний отмеча</w:t>
      </w:r>
      <w:r w:rsidRPr="008127F8">
        <w:rPr>
          <w:color w:val="000000" w:themeColor="text1"/>
          <w:sz w:val="16"/>
          <w:szCs w:val="16"/>
        </w:rPr>
        <w:softHyphen/>
        <w:t>лось, что бумажные пакеты с огнесмесью «не обе</w:t>
      </w:r>
      <w:r w:rsidRPr="008127F8">
        <w:rPr>
          <w:color w:val="000000" w:themeColor="text1"/>
          <w:sz w:val="16"/>
          <w:szCs w:val="16"/>
        </w:rPr>
        <w:softHyphen/>
        <w:t>спечивают безопасности и надежности, большое число отказов — до 40%, мала прочность швов, за</w:t>
      </w:r>
      <w:r w:rsidRPr="008127F8">
        <w:rPr>
          <w:color w:val="000000" w:themeColor="text1"/>
          <w:sz w:val="16"/>
          <w:szCs w:val="16"/>
        </w:rPr>
        <w:softHyphen/>
        <w:t>держки в воспламенении». Обращалось внимание на весьма небрежное производственное исполне</w:t>
      </w:r>
      <w:r w:rsidRPr="008127F8">
        <w:rPr>
          <w:color w:val="000000" w:themeColor="text1"/>
          <w:sz w:val="16"/>
          <w:szCs w:val="16"/>
        </w:rPr>
        <w:softHyphen/>
        <w:t>ние, в силу чего при первичном осмотре имелся большой процент бракованных пакетов. В то же время, учитывая «дешевизну изготовления из мало</w:t>
      </w:r>
      <w:r w:rsidRPr="008127F8">
        <w:rPr>
          <w:color w:val="000000" w:themeColor="text1"/>
          <w:sz w:val="16"/>
          <w:szCs w:val="16"/>
        </w:rPr>
        <w:softHyphen/>
        <w:t>дефицитных материалов» и простоту в эксплуата</w:t>
      </w:r>
      <w:r w:rsidRPr="008127F8">
        <w:rPr>
          <w:color w:val="000000" w:themeColor="text1"/>
          <w:sz w:val="16"/>
          <w:szCs w:val="16"/>
        </w:rPr>
        <w:softHyphen/>
        <w:t>ции, считалось, что при массированном примене</w:t>
      </w:r>
      <w:r w:rsidRPr="008127F8">
        <w:rPr>
          <w:color w:val="000000" w:themeColor="text1"/>
          <w:sz w:val="16"/>
          <w:szCs w:val="16"/>
        </w:rPr>
        <w:softHyphen/>
        <w:t>нии пакетов следует «ожидать неплохого боевого эффекта». В этой связи промышленности предъя</w:t>
      </w:r>
      <w:r w:rsidRPr="008127F8">
        <w:rPr>
          <w:color w:val="000000" w:themeColor="text1"/>
          <w:sz w:val="16"/>
          <w:szCs w:val="16"/>
        </w:rPr>
        <w:softHyphen/>
        <w:t>вили требование «доработать пакеты с учетом вы</w:t>
      </w:r>
      <w:r w:rsidRPr="008127F8">
        <w:rPr>
          <w:color w:val="000000" w:themeColor="text1"/>
          <w:sz w:val="16"/>
          <w:szCs w:val="16"/>
        </w:rPr>
        <w:softHyphen/>
        <w:t>явленных недостатков и предъявить на повторные испытания с тем, чтобы иметь возможность приме</w:t>
      </w:r>
      <w:r w:rsidRPr="008127F8">
        <w:rPr>
          <w:color w:val="000000" w:themeColor="text1"/>
          <w:sz w:val="16"/>
          <w:szCs w:val="16"/>
        </w:rPr>
        <w:softHyphen/>
        <w:t>нить их в боевой обстановке летнего периода» (17500).</w:t>
      </w:r>
    </w:p>
    <w:p w14:paraId="159CB65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80B8E9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июня 1942 вышел приказ НКАП N 463с:</w:t>
      </w:r>
    </w:p>
    <w:p w14:paraId="2E69AA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"Сверх 200 самолетов Ил-4, на котором по постановлению ГОКО устанавливались доп. маслобаки и бензопроводы для подвесных бензобаков, требуется на 100 самолетах переоборудовать имеющуюся на них систему доп. маслобаков (проводка для подвесных бензобаков на этих 100 самолетах имеется) (1554,57).</w:t>
      </w:r>
    </w:p>
    <w:p w14:paraId="26B8BEF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840BF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июня 1942 года Приказом № 464 было предложено: “Начальнику 2-го гл. управления организовать производство водяных и масляных радиаторов для боевых самолетов на площадях, ранее занимаемых заводом № 34 и обеспечить производство оборудованием и людским составом” (9434).</w:t>
      </w:r>
    </w:p>
    <w:p w14:paraId="1CCCAA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A65B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июня 1942 года на основании приказа НКАП № 464с во исполнение Постановления Правительства от 14 июня 1942 года и 20 июля 1942 года на основании приказа НКАП № 546с из фронтовых мастерских по ремонту авиационных радиаторов был организовани завод № 124. Фронтовые мастерские были созданы на базе промплощадей бывш. завода № 34, эвакуированного на основании приказа НКАП № 1057сс от 10 октября 1941 года в Троицк (9433).</w:t>
      </w:r>
    </w:p>
    <w:p w14:paraId="73231F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7FF6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июня 1942 г. Приказом НКАП № 464с филиал завода № 34 НКАП преобразован в новый завод № 124 при 2ГУ НКАП. Производство водо- и маслорадиаторов.</w:t>
      </w:r>
    </w:p>
    <w:p w14:paraId="3925C5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07-08.1942 г. шло формирование завода, из Троицка с завода № 34 была переведена часть оборудования и кадров. По приказу № 546с от 20.07.1942 г. заводу был присвоен литерный номер и наименование ГС завод № 124 НКАП. По приказу № 324с от 12.05.1944 г. на завод возвращено 200 чел. рабочих и ИТР, передана часть оборудования с завода № 34 и других заводов. Далее на завод переведены оборудование и личный состав (500 чел.) с завода № 472 НКАП (приказ № 424с/81с от 5.11.1945 г.) и 400 чел. с завода № 34 (приказ № 425с/82с от 5.11.1945 г.), переданных из НКАП в НКЭС.</w:t>
      </w:r>
    </w:p>
    <w:p w14:paraId="790824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первые послевоенные годы работы по теплообменникам шли медленно. В связи с этим для развития опытных работ по агрегатам антиобледенения, обогрева, вентиляции, регулирования давления и очистки воздуха по приказу № 422с от 2.07.1946 г. завод № 124 объединен с ОКБ и передан из 2ГУ в 7ГУ как опытный завод № 124 МАП. Серийное производство свернуто, налажена разработка и выпуск малых серий.</w:t>
      </w:r>
    </w:p>
    <w:p w14:paraId="4869841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440с от 21.06.1948 г. с 1.07.1948 г. завод вновь преобразован в серийный, передан обратно в 2ГУ, ОКБ выделено в самостоятельное предприятие. В конце 1955 г. завод стал серийно-опытным (выпуск опытных образцов и головных серий). С 12.01.1959 г. завод реорганизован в опытно-серийный. Сохранено крупносерийное производство, развивалось опытное производство. С 01.1960 г. завод и ОКБ вновь слиты в единое предприятие.</w:t>
      </w:r>
    </w:p>
    <w:p w14:paraId="12FC7B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работ по внедрению в серию теплообменной техники в 12.1960 г. при заводе № 469 НКАП образован филиал завода № 124. Начальник филиала- М.В. Золотухин. Филиал подчинялся заводу до 1973 г., далее был передан другому предприятию. В 1960-х г. заводу передано предприятие из системы МВД, образована вторая территория завода.</w:t>
      </w:r>
    </w:p>
    <w:p w14:paraId="7B23A2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Участвовало в создании в 1960-х г.- стартового комплекса РН «Циклон-2».</w:t>
      </w:r>
    </w:p>
    <w:p w14:paraId="212E50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1990 г. в составе НПО «Наука»- Агрегатный завод «Наука» МАП. В 1993 г. НПО преобразовано в АО.</w:t>
      </w:r>
    </w:p>
    <w:p w14:paraId="08DF19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1990-е г.: теплотехническое оборудование, регуляторы расхода топлива.</w:t>
      </w:r>
    </w:p>
    <w:p w14:paraId="71CEDB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 г.): разработка и производство систем жизнеобеспечения (кондиционирования, автоматического регулирования давления) экипажа и пассажиров ЛА; системы для КА: терморегулирования, обеспечения газового состава, регулирования давления, водообеспечения, регенераторы воздуха, поглотители углекислого газа; медицинское оборудование; кондиционеры для автомобильного и ж/д транспорта.</w:t>
      </w:r>
    </w:p>
    <w:p w14:paraId="27D6408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1993 г. предприятие акционировано и получило название АООТ «НПО «Наука». По решению правительства № 22-р от 9.01.2004 г. вошло в перечень стратегических предприятий.</w:t>
      </w:r>
    </w:p>
    <w:p w14:paraId="6175286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г.)- 2000 чел.</w:t>
      </w:r>
    </w:p>
    <w:p w14:paraId="669C7A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Президент (03.1998-2000 г.)- Э.С. Неймарк (до этого- зам. руководителя Департамента АП, затем- советник президента ), (2002 г.)- А.А. Синица, В.А. Шаповалов.</w:t>
      </w:r>
    </w:p>
    <w:p w14:paraId="1C0F5E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Председатель совета директоров (2003 г.)- Е.В. Меркулов.</w:t>
      </w:r>
    </w:p>
    <w:p w14:paraId="14B326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(20.07.1942-1.03.1943 г.)- Ю.Б. Эскин, (2.03.1943-2.11.1944 г.)- Ф.Г. Нестеров, (2.11.1944-19.04.1946 г.)- К.М. Ермолов, (19.04-9.06.1946 г.)- Ф.Г. Нестеров, (07.1946-11.1948 г.)- Г.И. Воронин, (25.11.1948-21.12.1951 г.)- М.М. Бондаренко, (24.12.1951-5.04.1954 г.)- Ф.А. Мелихов, (25.05.1954-1963 г.)- И.И. Румянцев, (1963-73 г.)- В.И. Сычев, (1973-84 г.-)- В.Ф. Кадышев. Гендиректор (1990-е)- И.В. Тишин.</w:t>
      </w:r>
    </w:p>
    <w:p w14:paraId="37E8FB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(07.1946-11.1948 г.)- Г.И. Воронин, (1990-е)- И.В. Тишин.</w:t>
      </w:r>
    </w:p>
    <w:p w14:paraId="00067B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(1960 г.)- М.В. Золотухин.</w:t>
      </w:r>
    </w:p>
    <w:p w14:paraId="13B906F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системы жизнеобеспечения и терморегулирования КА «Восток», «Восход», «Союз», «Луна», «Венера», «Марс», «Салют», «Мир», «Алмаз», «Энергия-Буран»; системы охлаждения и кондиционирования самолета А-50 (1970-е).</w:t>
      </w:r>
    </w:p>
    <w:p w14:paraId="3C4C344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Завод № 124 НКАП, НПО "Наука" МАП, АООТ, ОАО «НПО «Наука» </w:t>
      </w:r>
    </w:p>
    <w:p w14:paraId="527F52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 3-я ул. Ямского Поля, 14/16 (1947 г.)</w:t>
      </w:r>
    </w:p>
    <w:p w14:paraId="799CED0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125124 г. Москва 3-я ул. Ямского Поля, вл. 2 тел. 257-04-00</w:t>
      </w:r>
    </w:p>
    <w:p w14:paraId="143E99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ОКБ-124 НКАП, МАП </w:t>
      </w:r>
    </w:p>
    <w:p w14:paraId="4093FA4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Москва</w:t>
      </w:r>
    </w:p>
    <w:p w14:paraId="07F443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08.1942 г. ОКБ-34 НКАП переведено в Москву на площадку завода № 124. По приказу № 225с от 17.04.1943 г. ОКБ завода № 34 с 1.04.1943 г. получило наименование ОКБ-124 НКАП и передано в подчинение заводу № 124. Головное ОКБ по радиаторам.</w:t>
      </w:r>
    </w:p>
    <w:p w14:paraId="40DE39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1.07.1946 г. ОКБ-124 объединено с заводом № 124 в единый опытный завод № 124 в системе 7ГУ. По приказу № 440с от 21.06.1948 г. завод преобразован в серийный, </w:t>
      </w:r>
      <w:r w:rsidRPr="008127F8">
        <w:rPr>
          <w:rFonts w:ascii="Times New Roman" w:hAnsi="Times New Roman"/>
          <w:color w:val="000000" w:themeColor="text1"/>
          <w:sz w:val="16"/>
          <w:szCs w:val="16"/>
        </w:rPr>
        <w:lastRenderedPageBreak/>
        <w:t>ОКБ-124 выделилось из его состава. С 1957 г. ОКБ передано из 7ГУ в 6ГУ. С 01.1960 г. для усиления опытно-конструкторской и экспериментальной базы ОКБ вновь объединено с заводом в единое предприятие. Вместо ликвидированного серийного КБ при ОКБ образован техотдел.</w:t>
      </w:r>
    </w:p>
    <w:p w14:paraId="2854C1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послевоенный период работы по криогенно-вакуумной технике, системам кондиционирования воздуха в кабинах ЛА. Радиаторы и обогреватели, турбохолодильники, ТМР, арматура, оборудование для высотных полетов.</w:t>
      </w:r>
    </w:p>
    <w:p w14:paraId="5698F5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(04.1943-85 г.)- Г.И. Воронин. </w:t>
      </w:r>
    </w:p>
    <w:p w14:paraId="450696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ЗАО «Хамильтон Стандарт-Наука» (ХСН)</w:t>
      </w:r>
    </w:p>
    <w:p w14:paraId="28C9D5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103287 г. Москва Петровско-Разумовский пр., 19/1 тел. 755-77-00</w:t>
      </w:r>
    </w:p>
    <w:p w14:paraId="620787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Совместное предприятие зарегистрировано в 12.1994 г.</w:t>
      </w:r>
    </w:p>
    <w:p w14:paraId="55DA35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Работы (2002 г.): разработка и производство систем кондиционирования воздуха для гражданских самолетов.</w:t>
      </w:r>
    </w:p>
    <w:p w14:paraId="2F413D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г.)- 80 чел.</w:t>
      </w:r>
    </w:p>
    <w:p w14:paraId="74E7882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Гендиректор (2002 г.)- Л.Б. Мазин.</w:t>
      </w:r>
    </w:p>
    <w:p w14:paraId="715E775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производства (2002 г.)- О.Б. Арямнов (10776).</w:t>
      </w:r>
    </w:p>
    <w:p w14:paraId="5015092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0D71E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июня 1942 г. Приказом НКАП № 464с филиал завода № 34 НКАП преобразован в новый завод № 124 при 2ГУ НКАП (Завод № 124 НКАП, Завод, НПО «Наука» МАП, АООТ, ОАО «НПО «Наука» ФАП /125124  г. Москва 3-я ул. Ямского Поля 14/16, вл. 2 тел. 775-31-10/). Производство водо- и маслорадиаторов.</w:t>
      </w:r>
    </w:p>
    <w:p w14:paraId="68D7054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07-08.1942 г. шло формирование завода, из Троицка с завода № 34 была переведена часть оборудования и кадров. По приказу № 546с от 20.07.1942 г. заводу был присвоен литерный номер и наименование ГС завод № 124 НКАП. По приказу № 324с от 12.05.1944 г. на завод возвращено 200 чел. рабочих и ИТР, передана часть оборудования с завода № 34 и других заводов. Далее на завод переведены оборудование и личный состав (500 чел.) с завода № 472 НКАП (приказ № 424с/81с от 5.11.1945 г.) и 400 чел. с завода № 34 (приказ № 425с/82с от 5.11.1945 г.), переданных из НКАП в НКЭС.</w:t>
      </w:r>
    </w:p>
    <w:p w14:paraId="1BF3542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первые послевоенные годы работы по теплообменникам шли медленно. В связи с этим для развития опытных работ по агрегатам антиобледенения, обогрева, вентиляции, регулирования давления и очистки воздуха по приказу № 422с от 2.07.1946 г. завод № 124 объединен с ОКБ и передан из 2ГУ в 7ГУ как опытный завод № 124 МАП. Серийное производство свернуто, налажена разработка и выпуск малых серий.</w:t>
      </w:r>
    </w:p>
    <w:p w14:paraId="60EF6B2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1947 г. начата разработка турбохолодильников, в 1950-е  г. предприятие являлось монополистом в этой области. В 04.1953 г. первый турбохолодильник системы кондиционирования самолета запущен в серийное производство. В 1958 г. создана первая наземная установка кондиционирования вздуха для пассажирских самолетов. С 1956 г. начата разработка систем жизнеобеспечения космических кораблей.</w:t>
      </w:r>
    </w:p>
    <w:p w14:paraId="5BEF7A7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440с от 21.06.1948 г. с 1.07.1948 г. завод вновь преобразован в серийный, передан обратно в 2ГУ, ОКБ выделено в самостоятельное предприятие. В конце 1955 г. завод стал серийно-опытным (выпуск опытных образцов и головных серий). В 08.1957 г.- в ведении 2ГУ МАП. С 12.01.1959 г. завод реорганизован в опытно- серийный. Сохранено крупносерийное производство, развивалось опытное производство. С 01.1960 г. завод и ОКБ вновь слиты в единое предприятие - опытный агрегатный завод «Наука».</w:t>
      </w:r>
    </w:p>
    <w:p w14:paraId="0D3AB8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работ по внедрению в серию теплообменной техники в 12.1960 г. при заводе № 469 НКАП образован филиал завода № 124. Начальник филиала- М.В. Золотухин. Филиал подчинялся заводу до 1973 г., далее был передан другому предприятию. В 1960-х  г. заводу передано предприятие из системы МВД, образована вторая территория завода.</w:t>
      </w:r>
    </w:p>
    <w:p w14:paraId="20C1C4C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Участвовало в создании в 1960-х  г. стартового комплекса РН «Циклон-2».</w:t>
      </w:r>
    </w:p>
    <w:p w14:paraId="44A5D87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16.02.1989 г. предприятие преобразовано в НПО «Наука». В 1990 г. в составе НПО «Наука»- Агрегатный завод «Наука» МАП. В 1993 г. НПО преобразовано в ОАО.</w:t>
      </w:r>
    </w:p>
    <w:p w14:paraId="296DF1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Имелись (2006 г.): испытательный комплекс для испытания систем и агрегатов </w:t>
      </w:r>
      <w:r w:rsidRPr="008127F8">
        <w:rPr>
          <w:rFonts w:ascii="Times New Roman" w:hAnsi="Times New Roman"/>
          <w:color w:val="000000" w:themeColor="text1"/>
          <w:sz w:val="16"/>
          <w:szCs w:val="16"/>
          <w:lang w:val="en-US"/>
        </w:rPr>
        <w:t>JIA</w:t>
      </w:r>
      <w:r w:rsidRPr="008127F8">
        <w:rPr>
          <w:rFonts w:ascii="Times New Roman" w:hAnsi="Times New Roman"/>
          <w:color w:val="000000" w:themeColor="text1"/>
          <w:sz w:val="16"/>
          <w:szCs w:val="16"/>
        </w:rPr>
        <w:t>.</w:t>
      </w:r>
    </w:p>
    <w:p w14:paraId="79C80C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1990-е  г.: теплотехническое оборудование, регуляторы расхода топлива.</w:t>
      </w:r>
    </w:p>
    <w:p w14:paraId="0A8DB2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Работы (2002 г.): разработка и производство систем жизнеобеспечения (кондиционирования, автоматического регулирования давления) экипажа и пассажиров </w:t>
      </w:r>
      <w:r w:rsidRPr="008127F8">
        <w:rPr>
          <w:rFonts w:ascii="Times New Roman" w:hAnsi="Times New Roman"/>
          <w:color w:val="000000" w:themeColor="text1"/>
          <w:sz w:val="16"/>
          <w:szCs w:val="16"/>
          <w:lang w:val="en-US"/>
        </w:rPr>
        <w:t>JTA</w:t>
      </w:r>
      <w:r w:rsidRPr="008127F8">
        <w:rPr>
          <w:rFonts w:ascii="Times New Roman" w:hAnsi="Times New Roman"/>
          <w:color w:val="000000" w:themeColor="text1"/>
          <w:sz w:val="16"/>
          <w:szCs w:val="16"/>
        </w:rPr>
        <w:t>; системы теплообмена авиадвигателей; системы для КА: терморегулирования, обеспечения газового состава, регулирования давления, водообеспечения, регенераторы воздуха, поглотители углекислого газа; медицинское оборудование; кондиционеры для автомобильного и ж/д транспорта.</w:t>
      </w:r>
    </w:p>
    <w:p w14:paraId="790E7D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1993 г. предприятие акционировано и получило название АООТ «НПО «Наука». По решению правительства № 22-р от 9.01.2004 г. вошло в перечень стратегических предприятий.</w:t>
      </w:r>
    </w:p>
    <w:p w14:paraId="3BDF98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(2002 г.)- 2000 чел.</w:t>
      </w:r>
      <w:r w:rsidRPr="008127F8">
        <w:rPr>
          <w:rFonts w:ascii="Times New Roman" w:hAnsi="Times New Roman"/>
          <w:color w:val="000000" w:themeColor="text1"/>
          <w:sz w:val="16"/>
          <w:szCs w:val="16"/>
          <w:vertAlign w:val="superscript"/>
        </w:rPr>
        <w:t>69</w:t>
      </w:r>
    </w:p>
    <w:p w14:paraId="0BED95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(20.07.1942-1.03.1943 г.)- Ю.Б. Эскин, (2.03.1943-2.11.1944 г.)- Ф. Г. Нестеров, (2.11.1944- 19.04.1946 г.)- К.М. Ермолов, (19.04-9.06.1946 г.)- Ф. Г. Нестеров, (07.1946-11.1948 г.)-  Г.И. Воронин, (25.11.1948- 21.12.1951 г.)- М.М. Бондаренко, (24.12.1951-5.04.1954 г.)- Ф.А. Мелихов, (25.05.1954-1963 г.)- И.И. Румянцев, (1963-73 г.)- В.И. Сычев, (1973-84 г.-)- В.Ф. Кадышев. Гендиректор (1990-е)- И.В. Тишин, (2006 г.)- В.А. Шаповалов.</w:t>
      </w:r>
    </w:p>
    <w:p w14:paraId="349D5A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технический (1998-2001 г.)- В.А. Шаповалов; по маркетингу и коммерции (2006 г.)- И.В. Примашова.</w:t>
      </w:r>
    </w:p>
    <w:p w14:paraId="13926E9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(1961 г.)- В.В. Сычев.</w:t>
      </w:r>
    </w:p>
    <w:p w14:paraId="73AA7B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(07.1946-11.1948; -1963-85 г.)-  Г.И. Воронин {21.12.1906-87}, (1985-96 г.)- И.В. Тишин, (1996- 2005 г.-)-  Г.В. Хомутов.</w:t>
      </w:r>
    </w:p>
    <w:p w14:paraId="6E45C25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(1960 г.)- М.В. Золотухин.</w:t>
      </w:r>
    </w:p>
    <w:p w14:paraId="053CBFC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отдела маркетинга (2006 г.)- А.Н. Афанасьев.</w:t>
      </w:r>
    </w:p>
    <w:p w14:paraId="0696C04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системы жизнеобеспечения и терморегулирования для: КА «Восток», «Восход», «Союз», «Луна», «Венера», «Марс», «Салют», «Мир», «Алмаз», «Энергия-Буран»; специальных наземных транспортных средств; системы охлаждения и кондиционирования для: А-50 (1970-е), (2006): Бе-200, Ту-334, Ан-140, Ан-74ТК- 300, Ан-148, Ту-204, Ту-214, Ил-96 (11982).</w:t>
      </w:r>
    </w:p>
    <w:p w14:paraId="605AAB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6A5E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июня 1942 г. по приказу № 464с филиал завода № 469 по ремонту радиаторов преобразован в самостоятельный радиаторный завод, получивший по приказу № 505с от 10.07.1942 г. наименование ГС завод № 459 при 2ГУ НКАП (ГС Завод № 459 НКАП, Завод № 10 НКЛП, Солнечногорский механический завод (СМЗ) Минлегпрома, МАП, ОАО «СМЗ» /141500  г. Солнечногорск Московской обл. ул. Набережная, 2 тел. 539-33-95/). На завод возвращена часть оборудования и кадров с заводов № 469 и № 472 НКАП. Производство и ремонт радиаторов масла и воды, а с конца 1943 г.- и масло-, бензобаков.</w:t>
      </w:r>
    </w:p>
    <w:p w14:paraId="38A8B6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134с/20с от 25.02.1944 г. завод со всеми сооружениями и личным составом передан в систему НКЛП и переименован в завод № 10 НКЛП. Производство парашютной техники для систем катапультирования самолетов МиГ, Ил-28, Ту-4. Затем- в ведении МособлСНХ. В 1963 г. переименован в СМЗ в ведении Минлегпрома. В 1965 г. СМЗ передан в МАП.</w:t>
      </w:r>
    </w:p>
    <w:p w14:paraId="3B7223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1968 г. налажен выпуск туристического снаряжения- палаток и рюкзаков.</w:t>
      </w:r>
    </w:p>
    <w:p w14:paraId="24D2C6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11.1992 г. завод преобразован в АО. По решению правительства № 22-р от 9.01.2004 г. вошло в перечень стратегических предприятий.</w:t>
      </w:r>
    </w:p>
    <w:p w14:paraId="450E8FB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(2002 г.) тормозных парашютных систем, грузовых, спасательных и спортивных парашютов разработки НИИП, парапланов, воздушных шаров.</w:t>
      </w:r>
    </w:p>
    <w:p w14:paraId="5AABBF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(2004 г.)- 646 чел.</w:t>
      </w:r>
    </w:p>
    <w:p w14:paraId="09DB02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 г.-)- Денисов(Данилов). Начальник- Ткачев. Гендиректор (2002 г.)- Ю.В. Торбахов, (2007 г.)- А.А. Королев.</w:t>
      </w:r>
    </w:p>
    <w:p w14:paraId="320A1C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Коммерческий директор (2002 г.)- М.М. Пахомов (11982).</w:t>
      </w:r>
    </w:p>
    <w:p w14:paraId="48E6B04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0653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июня 1942 г. по приказу № 464с  филиал Завода № 469 ИМ. М.М. Громова НКАП был преобразован в самостоятельный радиаторный завод № 459 при 2ГУ НКАП (в н. вр,- ОАО СМЗ).</w:t>
      </w:r>
    </w:p>
    <w:p w14:paraId="6EB605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 1196с от 30.12.1941 г. при технической помощи заводов № 34 и № 21 при СКО завода № 469 организовано ОКБ для создания новых образцов радиаторов. И.О. гл. конструктора назначен начальник СКО  Г.А. Мосолов. Из-за затянувшейся реализации приказа и ввиду достаточности опытных работ по данной тематике в ОКБ завода № 124 и на заводе № 459, по приказу № 600с от 7.08.1942 г. организация ОКБ была отменена. СКО оставлен.</w:t>
      </w:r>
    </w:p>
    <w:p w14:paraId="57F005F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1942 г. часть оборудования и кадров возвращена на вновь образованный завод № 459 НКАП.</w:t>
      </w:r>
    </w:p>
    <w:p w14:paraId="2E212D6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СМ СССР № 713-342 от 26.06.1957 г. передан в ведение СНХ РСФСР.</w:t>
      </w:r>
    </w:p>
    <w:p w14:paraId="49D747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работ по внедрению в серию теплообменной техники в 12.1960 г. при заводе образован филиал завода № 124. Филиал подчинялся заводу № 124 до 1973 г., далее был передан другому предприятию.</w:t>
      </w:r>
    </w:p>
    <w:p w14:paraId="62E54C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Позже при заводе № 469 образован филиал завода № 918 для освоения производства гермошлемов. Начальник филиала- Ю.И. Менделенко.</w:t>
      </w:r>
    </w:p>
    <w:p w14:paraId="11A196E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7F2631B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1965 г. выпускался топливо-воздушный радиатор для КР П-6.</w:t>
      </w:r>
    </w:p>
    <w:p w14:paraId="774F377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Производство (1996 г.): регуляторы расхода, давления, газовой среды; запорно-регулирующие устройства; турбохолодильные агрегаты; клапаны выпускные, редукционные, обратные, предохранительные; воздухо- воздушные и масляные радиаторы; глушители шума; арматура азотно-кислородная; азотно-топливные теплообменники; аппаратура управления агрегатами; защитные авиационные шлемы (ЗШ-7А), гермошлемы. Поставщик агрегатов системы кондиционирования, ПОС для создаваемого регионального самолета </w:t>
      </w:r>
      <w:r w:rsidRPr="008127F8">
        <w:rPr>
          <w:rFonts w:ascii="Times New Roman" w:hAnsi="Times New Roman"/>
          <w:color w:val="000000" w:themeColor="text1"/>
          <w:sz w:val="16"/>
          <w:szCs w:val="16"/>
          <w:lang w:val="en-US"/>
        </w:rPr>
        <w:t>RRJ</w:t>
      </w:r>
      <w:r w:rsidRPr="008127F8">
        <w:rPr>
          <w:rFonts w:ascii="Times New Roman" w:hAnsi="Times New Roman"/>
          <w:color w:val="000000" w:themeColor="text1"/>
          <w:sz w:val="16"/>
          <w:szCs w:val="16"/>
        </w:rPr>
        <w:t xml:space="preserve"> (2003 г.).</w:t>
      </w:r>
    </w:p>
    <w:p w14:paraId="350FAA5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Разработка и производство (2005 г.): системы: кондиционирования, регулирования давления в кабине, наддува топливных баков НГ, жидкостного охлаждения </w:t>
      </w:r>
      <w:r w:rsidRPr="008127F8">
        <w:rPr>
          <w:rFonts w:ascii="Times New Roman" w:hAnsi="Times New Roman"/>
          <w:color w:val="000000" w:themeColor="text1"/>
          <w:sz w:val="16"/>
          <w:szCs w:val="16"/>
        </w:rPr>
        <w:lastRenderedPageBreak/>
        <w:t>бортовой аппаратуры, охлаждения масла двигателей, ПОС; теплообменники, турбохолодильники.</w:t>
      </w:r>
    </w:p>
    <w:p w14:paraId="3507C5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(1.01.2001 г.)- 2620 чел.</w:t>
      </w:r>
    </w:p>
    <w:p w14:paraId="063AE6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(12.1940-11.1944 г.-)- В.Н. Смирнов, (1960-е  г.)- Васильев. Гендиректор (1986-2006 г.-)- В.В. Тятинькин.</w:t>
      </w:r>
    </w:p>
    <w:p w14:paraId="1CA748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гендиректора: по экономике (2005 г.)-  Г.М. Воронина; по маркетингу (2005 г.)- И.Ю. Батраков.</w:t>
      </w:r>
    </w:p>
    <w:p w14:paraId="589B131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(10.1941 г.)- В.В. Сычев.</w:t>
      </w:r>
    </w:p>
    <w:p w14:paraId="503782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(12.1941-05.1942 г.)-  Г.А. Мосолов, (2003 г.-)- В.В. Тятинькин. Ген. конструктор (-2005-06 г.-)- В.В. Тятинькин {14.12.1945-} (11982).</w:t>
      </w:r>
    </w:p>
    <w:p w14:paraId="7C9C878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0822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7F292D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D4070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24 июня</w:t>
      </w:r>
      <w:r w:rsidRPr="008127F8">
        <w:rPr>
          <w:rFonts w:ascii="Times New Roman" w:hAnsi="Times New Roman"/>
          <w:color w:val="000000" w:themeColor="text1"/>
          <w:sz w:val="16"/>
          <w:szCs w:val="16"/>
        </w:rPr>
        <w:t xml:space="preserve"> в 1942 году утреннее сообщение Совинформбюро:</w:t>
      </w:r>
    </w:p>
    <w:p w14:paraId="061EBC9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24 июня на Севастопольском участке фронта продолжались бои с превосходящими силами противника.</w:t>
      </w:r>
    </w:p>
    <w:p w14:paraId="64368C6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существенных изменений не произошло.</w:t>
      </w:r>
    </w:p>
    <w:p w14:paraId="1BB6370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Харьковского направления немецкая мотопехота при поддержке танков атаковала населённый пункт, занятый нашими войсками. В результате ожесточённого боя наши бойцы уничтожили 13 немецких танков, 3 орудия и другое вооружение. Противник понёс тяжёлые потери в живой силе.</w:t>
      </w:r>
    </w:p>
    <w:p w14:paraId="386A8E1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нашей части, действующей на одном из участков Калининского фронта, отбив атаку немецкой пехоты, ворвались в расположение противника. В завязавшейся рукопашной схватке уничтожено свыше 150 гитлеровцев. Захвачены миномёт, 6 станковых пулемётов, крупнокалиберный пулемёт, радиостанция, много гранат и патронов.</w:t>
      </w:r>
    </w:p>
    <w:p w14:paraId="6AD9F42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Командиры тт. Печерский, Савельев, Трегубец, Семёнов и Ахунов (Юго-Западный фронт) огнём из пехотного оружия сбили немецкий самолёт «Мессершмитт-109». В тот же день красноармейцы одного из подразделений ружейно-пулемётным огнём сбили ещё один истребитель противника. Выбросившиеся с парашютами немецкие лётчики взяты в плен.</w:t>
      </w:r>
    </w:p>
    <w:p w14:paraId="46794AC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бою с врагом красноармеец тов. Садвакасов бутылкой с горючей смесью поджёг немецкий танк и из ручного пулемёта уничтожил 25 гитлеровцев. Окружённый немцами, тов. Садвакасов вёл огонь до тех пор, пока не был тяжело ранен. Гитлеровские мерзавцы захватили раненого бойца в плен и добивались от него сведений о нашей части. Мужественный боец, несмотря на зверские пытки, отказался отвечать. Тогда немецко-фашистские палачи бросили раненого красноармейца под гусеницы танка и раздавили его. Советский народ не забудет этого нового преступления гитлеровцев и отомстит за смерть верного сына родины —красноармейца Садвакасова.</w:t>
      </w:r>
    </w:p>
    <w:p w14:paraId="3637560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артиллеристы на одном из участков Западного фронта уничтожили 2 немецких наблюдательных пункта, несколько пулемётов и миномётов, рассеяли и частью уничтожили до роты пехоты противника.</w:t>
      </w:r>
    </w:p>
    <w:p w14:paraId="03ECA6F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Снайперское отделение сержанта Адамова за 14 дней июня истребило 86 немецких солдат и офицеров.</w:t>
      </w:r>
    </w:p>
    <w:p w14:paraId="28CED3D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партизан под командованием тов. О., действующая в тылу врага (Брянский фронт), заминировала участок пути между двумя железнодорожными станциями. Утром на мины налетел немецкий воинский поезд. Под обломками вагонов погибло свыше 150 немецко-фашистских оккупантов.</w:t>
      </w:r>
    </w:p>
    <w:p w14:paraId="21A26F3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унтер-офицер 23 немецкого пехотного полка Вилли Д. рассказал: «После продолжительного и очень сильного артиллерийского огня на нашем участке русские пошли в наступление. Советские танки обошли роту с флангов и отрезали моё отделение. Мы сидели в блиндаже и ждали помощи. К вечеру я решил идти со своими солдатами в разведку. Недалеко от блиндажа мы увидели 50 немецких солдат, поднявших руки вверх перед тремя русскими танками. Я также поднял руки. Моему примеру последовали все солдаты отделения. Среди сдавшихся в плен были солдаты первой, второй и третьей рот».</w:t>
      </w:r>
    </w:p>
    <w:p w14:paraId="6F9292E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убитого немецкого солдата Эриха найдено письмо от его сестры. В нём говорится: «Ты будешь удивлён, получив это письмо из другого города... Я нахожусь с детьми у родителей. Англичане совершенно уничтожили Любек. Мы счастливы, что ещё живы, ибо на нашей улице осталось всего несколько домов. Я не в состоянии тебе описать, как всё это происходило. Всюду стоял сплошной стон. В понедельник было около тысячи убитых. Пока ещё не все убитые обнаружены. Весь город был объят пламенем. В Любеке больше нет ни одной улицы, нет ни воды, ни света, ни газа. Все убиты горем. Если что-либо подобное ещё раз случится, мы сойдём с ума».</w:t>
      </w:r>
    </w:p>
    <w:p w14:paraId="651BCCD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сообщают в осведомленных кругах, в Германии произведены новые аресты среди судебных чиновников. В Берлине арестована значительная группа фашистских судей, которые были вызваны из различных городов страны в столицу для доклада. Арестованным предъявлено обвинение в «мягкотелом отношении к элементам, выражающим недовольство войной и неверие в победу Германии».</w:t>
      </w:r>
    </w:p>
    <w:p w14:paraId="768F25C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Румынские патриоты сожгли на Дунае у гор. Корабия баржу с нефтью, следовавшую в Германию.» (14932).</w:t>
      </w:r>
    </w:p>
    <w:p w14:paraId="6CAA42C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AD0985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24 июня</w:t>
      </w:r>
      <w:r w:rsidRPr="008127F8">
        <w:rPr>
          <w:rFonts w:ascii="Times New Roman" w:hAnsi="Times New Roman"/>
          <w:color w:val="000000" w:themeColor="text1"/>
          <w:sz w:val="16"/>
          <w:szCs w:val="16"/>
        </w:rPr>
        <w:t xml:space="preserve"> в 1942 году вечернее сообщение Совинформбюро:</w:t>
      </w:r>
    </w:p>
    <w:p w14:paraId="0F714FE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24 июня на Харьковском направлении наши войска вели бои с наступающими войсками противника.</w:t>
      </w:r>
    </w:p>
    <w:p w14:paraId="0912DB9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Севастопольском участке фронта наши войска отбили несколько атак превосходящих сил противника.</w:t>
      </w:r>
    </w:p>
    <w:p w14:paraId="337DCED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остальных участках фронта никаких изменений не произошло.</w:t>
      </w:r>
    </w:p>
    <w:p w14:paraId="7C7522C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Нашими кораблями в Баренцевом море потоплен транспорт противника водоизмещением в 4.000 тонн.</w:t>
      </w:r>
    </w:p>
    <w:p w14:paraId="34C37B1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23 июня частями нашей авиации на различных участках фронта уничтожено или повреждено 36 немецких танков, 95 автомашин с войсками и грузами, 10 мотоциклов, 30 подвод с боеприпасами, подавлен огонь 10 батарей полевой и зенитной артиллерии, взорвано два склада с боеприпасами, рассеяно и частью уничтожено до 5 рот пехоты и эскадрон конницы противника.</w:t>
      </w:r>
    </w:p>
    <w:p w14:paraId="4A55082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Харьковского направления наши войска отражали атаки немецкой пехоты, наступавшей при поддержке значительного числа танков. Наши части в ходе боёв нанесли гитлеровцам большие потери в живой силе и технике. На другом участке подразделение командира Заболотского в течение дня отбило несколько атак противника. На поле боя осталось много трупов немецких солдат и офицеров.</w:t>
      </w:r>
    </w:p>
    <w:p w14:paraId="3B25A25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артиллеристы на отдельных участках Западного фронта подавили огонь 4 артиллерийских и 4 миномётных батарей, взорвали склад с боеприпасами и уничтожили до 1.500 солдат и офицеров противника.</w:t>
      </w:r>
    </w:p>
    <w:p w14:paraId="2DD2DBD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действующая на одном из участков Ленинградского фронта, за два дня разрушила 10 ДЗОТов, уничтожила орудие, несколько пулемётов и миномётов противника. Немцы потеряли убитыми более 250 солдат и офицеров.</w:t>
      </w:r>
    </w:p>
    <w:p w14:paraId="0D47E1C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бойцов, действующая в тылу у противника на Северо-Западном фронте, пустила под откос два железнодорожных эшелона. Разбито 2 паровоза, 9 вагонов сбоеприпасами, 7 вагонов с инженерным имуществом и 6 платформ с танками.</w:t>
      </w:r>
    </w:p>
    <w:p w14:paraId="19AE5F8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товарища Л., действующий в одном из районов Киевской области, в течение трёх дней вёл бои с крупным карательным отрядом немцев. Отступая, партизаны заманили гитлеровцев в болото, а затем нанесли им одновременный удар с трёх сторон. Советские патриоты уничтожили 86 немецко-фашистских оккупантов, сожгли танкетку, 6 автомашин и захватили у противника 3 автомашины, 4 станковых и 6 ручных пулемётов, около 100 винтовок и автоматов, радиостанцию и много боеприпасов.</w:t>
      </w:r>
    </w:p>
    <w:p w14:paraId="519265C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Унтер-офицер 7 роты 279 пехотного полка 95 пехотной дивизии Пауль Лютринг рассказал: «За девять месяцев наша рота пополнялась десять раз. Из 170 солдат, которые вместе со мной в прошлом году перешли русскую границу, осталось только 20. Десять из них недавно возвратились из госпиталя. Они стали полуинвалидами и фактически непригодны к военной службе».</w:t>
      </w:r>
    </w:p>
    <w:p w14:paraId="78583B1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35 венгерского пехотного полка Симон Ш. рассказал: «Национальный состав нашего полка очень пёстрый. В нём около 30 процентов румыни до 10 процентов сербов, русинов и хорватов. Остальные — венгры. Недавно германское командование оттянуло немецкие войска с передовой линии и бросило туда венгерские части. Это вызвало ропот в полку. Солдаты говорят: «Нас немцы гонят на смерть, а сами устроились за нашей спиной и будут расстреливать каждого, кто отступит». Венгерские офицеры тоже возмущены действиями немецкого командования и открыто выражают своё недовольство. Я серб. Перед отъездом на фронт отец дал мне такое напутствие: «Русские — это наши братья. Как только сможешь — сдавайся в плен, тогда ты останешься в живых. Помни, что нашим иврагами были и остаются венгры и немцы, а русские — наши друзья». При первой возможности я выполнил совет отца и сдался в плен русским».</w:t>
      </w:r>
    </w:p>
    <w:p w14:paraId="6BDEF3F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Патриоты Франции, вопреки предательству правящей клики Лаваля, усиливают борьбу с немецко-фашистскими оккупантами. Недавно на авиационном поле Марниль в Компьене сожжены пять ангаров со всеми находившимися в них материалами. В Шамбли взорвана работающая для немцев электростанция. В Пантэне была брошена граната в немецкий отряд. В результате взрыва убито 10 немецких солдат.» (14932).</w:t>
      </w:r>
    </w:p>
    <w:p w14:paraId="6341F6B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4A295EE"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с 24 на 25 июня 1942 г. ТБ-7 №42066 совершал бомбометание по скопле</w:t>
      </w:r>
      <w:r w:rsidRPr="008127F8">
        <w:rPr>
          <w:rFonts w:ascii="Times New Roman" w:hAnsi="Times New Roman"/>
          <w:color w:val="000000" w:themeColor="text1"/>
          <w:sz w:val="16"/>
          <w:szCs w:val="16"/>
        </w:rPr>
        <w:softHyphen/>
        <w:t>нию танков, артиллерии и пехоты противника в г. Щигры. Летчик Пусэп и штурман Лебедев при подходе к цели наблюдали разрывы до 20 бомб, сброшенных с других самолетов. С одного захода в 22.32 с высоты 4600 м по цели сброшено: 8 ФАБ-250, 2 РРАБ-2 с А0-25 = 36 шт., ЗАБ-2,5 = 80 шт., бомбометание про</w:t>
      </w:r>
      <w:r w:rsidRPr="008127F8">
        <w:rPr>
          <w:rFonts w:ascii="Times New Roman" w:hAnsi="Times New Roman"/>
          <w:color w:val="000000" w:themeColor="text1"/>
          <w:sz w:val="16"/>
          <w:szCs w:val="16"/>
        </w:rPr>
        <w:softHyphen/>
        <w:t>изводилось прицельно. Разрывы бомб и РРАБов экипаж наблюдал в западной части города. В результате возникло шесть новых оча</w:t>
      </w:r>
      <w:r w:rsidRPr="008127F8">
        <w:rPr>
          <w:rFonts w:ascii="Times New Roman" w:hAnsi="Times New Roman"/>
          <w:color w:val="000000" w:themeColor="text1"/>
          <w:sz w:val="16"/>
          <w:szCs w:val="16"/>
        </w:rPr>
        <w:softHyphen/>
        <w:t>гов пожаров. Цель прикрыта ЗА среднего калибра до 3 орудий, интенсивным огнем МЗА и ЗП до 25 огневых точек. Работало до 9 про</w:t>
      </w:r>
      <w:r w:rsidRPr="008127F8">
        <w:rPr>
          <w:rFonts w:ascii="Times New Roman" w:hAnsi="Times New Roman"/>
          <w:color w:val="000000" w:themeColor="text1"/>
          <w:sz w:val="16"/>
          <w:szCs w:val="16"/>
        </w:rPr>
        <w:softHyphen/>
        <w:t>жекторов. При подходе к своему аэродрому самолет был обстрелян своей ЗА, прикрываю</w:t>
      </w:r>
      <w:r w:rsidRPr="008127F8">
        <w:rPr>
          <w:rFonts w:ascii="Times New Roman" w:hAnsi="Times New Roman"/>
          <w:color w:val="000000" w:themeColor="text1"/>
          <w:sz w:val="16"/>
          <w:szCs w:val="16"/>
        </w:rPr>
        <w:softHyphen/>
        <w:t>щей аэродром посадки (19936).</w:t>
      </w:r>
    </w:p>
    <w:p w14:paraId="1C5EC84B"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7B36B06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24 июня</w:t>
      </w:r>
      <w:r w:rsidRPr="008127F8">
        <w:rPr>
          <w:rFonts w:ascii="Times New Roman" w:hAnsi="Times New Roman"/>
          <w:color w:val="000000" w:themeColor="text1"/>
          <w:sz w:val="16"/>
          <w:szCs w:val="16"/>
        </w:rPr>
        <w:t xml:space="preserve"> в 1942 году 4-й воздушно-десантный корпус вместе с частями 1-го гвардейского кавалерийского корпуса соединился с войсками Западного фронта. За 6 месяцев десантники прошли по тылам свыше 600 км (14932).</w:t>
      </w:r>
    </w:p>
    <w:p w14:paraId="7C1A1A0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064C0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июня 1942 1 бад на Ли-2 ночным вылетом на ж/д станцию Щигры началась боевую работу (4143,35).</w:t>
      </w:r>
    </w:p>
    <w:p w14:paraId="04427F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12F8F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20E6D50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86720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июня 1942 вышло Постановление ГКО № 1926 О членах семей изменников Родины. (7039, 61).</w:t>
      </w:r>
    </w:p>
    <w:p w14:paraId="0AD29C7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 ЧЛЕНАХ СЕМЕЙ ИЗМЕННИКОВ РОДИНЕ</w:t>
      </w:r>
    </w:p>
    <w:p w14:paraId="4CC954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Кремль</w:t>
      </w:r>
    </w:p>
    <w:p w14:paraId="62AC3F3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Установить, что совершеннолетние члены семей лиц (военнослужащих и гражданских), осужденных судебными органами или Особым Совещанием при НКВД СССР к высшей мере наказания по ст. 58-1 «а» УК РСФСР и соответствующим статьям УК других союзных республик: за шпионаж в пользу Германии и других воюющих с нами стран, за переход на сторону врага, предательство или содействие немецким оккупантам, службу в карательных или административных органах немецких оккупантов на занимаемой ими территории и за попытку измены Родине и изменнические намерения, подлежат аресту и ссылке в отдаленные местности СССР на срок в пять лет.</w:t>
      </w:r>
    </w:p>
    <w:p w14:paraId="0502E0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Установить, что аресту и ссылке в отдаленные местности СССР на срок в пять лет подлежат также семьи лиц, заочно осужденных к высшей мере наказания судебными органами или Особым Совещанием при НКВД СССР за добровольный уход с оккупационными войсками при освобождении захваченной противником территории.</w:t>
      </w:r>
    </w:p>
    <w:p w14:paraId="5A5EF01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Применение репрессий в отношении членов семей, перечисленных в пунктах 1 и 2, производится органами НКВД на основании приговоров судебных органов или решений Особого Совещания при НКВД СССР.</w:t>
      </w:r>
    </w:p>
    <w:p w14:paraId="072DA9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Членами семьи изменника Родине считаются: отец, мать, муж, жена, сыновья, дочери, братья и сестры, если они жили совместно с изменником Родине или находились на его иждивении к моменту совершения преступления или к моменту мобилизации в армию в связи с началом войны.</w:t>
      </w:r>
    </w:p>
    <w:p w14:paraId="7DBC2E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Не подлежат аресту и ссылке семьи тех изменников Родине, в составе которых после должной проверки будет установлено наличие военнослужащих Красной Армии, партизан, лиц, оказывавших в период оккупации содействие Красной Армии и партизанам, а также награжденных орденами и медалями Советского Союза.</w:t>
      </w:r>
    </w:p>
    <w:p w14:paraId="374BBE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rPr>
        <w:t>Опубликовано: Сборник законодательных и нормативных актов о репрессиях и реабилитации жертв политических репрессий. — Курск, 1999. Часть</w:t>
      </w:r>
      <w:r w:rsidRPr="008127F8">
        <w:rPr>
          <w:rFonts w:ascii="Times New Roman" w:hAnsi="Times New Roman"/>
          <w:color w:val="000000" w:themeColor="text1"/>
          <w:sz w:val="16"/>
          <w:szCs w:val="16"/>
          <w:lang w:val="en-US"/>
        </w:rPr>
        <w:t xml:space="preserve"> 1. </w:t>
      </w:r>
      <w:r w:rsidRPr="008127F8">
        <w:rPr>
          <w:rFonts w:ascii="Times New Roman" w:hAnsi="Times New Roman"/>
          <w:color w:val="000000" w:themeColor="text1"/>
          <w:sz w:val="16"/>
          <w:szCs w:val="16"/>
        </w:rPr>
        <w:t>С</w:t>
      </w:r>
      <w:r w:rsidRPr="008127F8">
        <w:rPr>
          <w:rFonts w:ascii="Times New Roman" w:hAnsi="Times New Roman"/>
          <w:color w:val="000000" w:themeColor="text1"/>
          <w:sz w:val="16"/>
          <w:szCs w:val="16"/>
          <w:lang w:val="en-US"/>
        </w:rPr>
        <w:t>. 439.</w:t>
      </w:r>
    </w:p>
    <w:p w14:paraId="6FDD62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rPr>
        <w:t>РГАСПИФ</w:t>
      </w:r>
      <w:r w:rsidRPr="008127F8">
        <w:rPr>
          <w:rFonts w:ascii="Times New Roman" w:hAnsi="Times New Roman"/>
          <w:color w:val="000000" w:themeColor="text1"/>
          <w:sz w:val="16"/>
          <w:szCs w:val="16"/>
          <w:lang w:val="en-US"/>
        </w:rPr>
        <w:t xml:space="preserve">. 644. </w:t>
      </w:r>
      <w:r w:rsidRPr="008127F8">
        <w:rPr>
          <w:rFonts w:ascii="Times New Roman" w:hAnsi="Times New Roman"/>
          <w:color w:val="000000" w:themeColor="text1"/>
          <w:sz w:val="16"/>
          <w:szCs w:val="16"/>
        </w:rPr>
        <w:t>Оп</w:t>
      </w:r>
      <w:r w:rsidRPr="008127F8">
        <w:rPr>
          <w:rFonts w:ascii="Times New Roman" w:hAnsi="Times New Roman"/>
          <w:color w:val="000000" w:themeColor="text1"/>
          <w:sz w:val="16"/>
          <w:szCs w:val="16"/>
          <w:lang w:val="en-US"/>
        </w:rPr>
        <w:t xml:space="preserve">. 1. </w:t>
      </w:r>
      <w:r w:rsidRPr="008127F8">
        <w:rPr>
          <w:rFonts w:ascii="Times New Roman" w:hAnsi="Times New Roman"/>
          <w:color w:val="000000" w:themeColor="text1"/>
          <w:sz w:val="16"/>
          <w:szCs w:val="16"/>
        </w:rPr>
        <w:t>Д</w:t>
      </w:r>
      <w:r w:rsidRPr="008127F8">
        <w:rPr>
          <w:rFonts w:ascii="Times New Roman" w:hAnsi="Times New Roman"/>
          <w:color w:val="000000" w:themeColor="text1"/>
          <w:sz w:val="16"/>
          <w:szCs w:val="16"/>
          <w:lang w:val="en-US"/>
        </w:rPr>
        <w:t xml:space="preserve">.40, </w:t>
      </w:r>
      <w:r w:rsidRPr="008127F8">
        <w:rPr>
          <w:rFonts w:ascii="Times New Roman" w:hAnsi="Times New Roman"/>
          <w:color w:val="000000" w:themeColor="text1"/>
          <w:sz w:val="16"/>
          <w:szCs w:val="16"/>
        </w:rPr>
        <w:t>л</w:t>
      </w:r>
      <w:r w:rsidRPr="008127F8">
        <w:rPr>
          <w:rFonts w:ascii="Times New Roman" w:hAnsi="Times New Roman"/>
          <w:color w:val="000000" w:themeColor="text1"/>
          <w:sz w:val="16"/>
          <w:szCs w:val="16"/>
          <w:lang w:val="en-US"/>
        </w:rPr>
        <w:t>. 61 (12013).</w:t>
      </w:r>
    </w:p>
    <w:p w14:paraId="1B06BF8D"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6CEF346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8127F8">
        <w:rPr>
          <w:rFonts w:ascii="Times New Roman" w:hAnsi="Times New Roman"/>
          <w:i/>
          <w:iCs/>
          <w:color w:val="000000" w:themeColor="text1"/>
          <w:sz w:val="16"/>
          <w:szCs w:val="16"/>
        </w:rPr>
        <w:t>За</w:t>
      </w:r>
      <w:r w:rsidRPr="008127F8">
        <w:rPr>
          <w:rFonts w:ascii="Times New Roman" w:hAnsi="Times New Roman"/>
          <w:i/>
          <w:iCs/>
          <w:color w:val="000000" w:themeColor="text1"/>
          <w:sz w:val="16"/>
          <w:szCs w:val="16"/>
          <w:lang w:val="en-US"/>
        </w:rPr>
        <w:t xml:space="preserve"> </w:t>
      </w:r>
      <w:r w:rsidRPr="008127F8">
        <w:rPr>
          <w:rFonts w:ascii="Times New Roman" w:hAnsi="Times New Roman"/>
          <w:i/>
          <w:iCs/>
          <w:color w:val="000000" w:themeColor="text1"/>
          <w:sz w:val="16"/>
          <w:szCs w:val="16"/>
        </w:rPr>
        <w:t>рубежом</w:t>
      </w:r>
      <w:r w:rsidRPr="008127F8">
        <w:rPr>
          <w:rFonts w:ascii="Times New Roman" w:hAnsi="Times New Roman"/>
          <w:i/>
          <w:iCs/>
          <w:color w:val="000000" w:themeColor="text1"/>
          <w:sz w:val="16"/>
          <w:szCs w:val="16"/>
          <w:lang w:val="en-US"/>
        </w:rPr>
        <w:t>:</w:t>
      </w:r>
    </w:p>
    <w:p w14:paraId="2FBA256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09E13708" w14:textId="77777777" w:rsidR="00A321D8" w:rsidRPr="008A2E5A" w:rsidRDefault="00A321D8" w:rsidP="00A321D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ночь на 24 июня 1942 г. была предпринята первая попытка боевого применения «Мистелей» из Ju 88А-4 Bf I09F, но она сорвалась из-за внезапного по</w:t>
      </w:r>
      <w:r w:rsidRPr="008A2E5A">
        <w:rPr>
          <w:rFonts w:ascii="Times New Roman" w:hAnsi="Times New Roman"/>
          <w:color w:val="0070C0"/>
          <w:sz w:val="16"/>
          <w:szCs w:val="16"/>
        </w:rPr>
        <w:softHyphen/>
        <w:t>явления истребителя «Москито». Через не</w:t>
      </w:r>
      <w:r w:rsidRPr="008A2E5A">
        <w:rPr>
          <w:rFonts w:ascii="Times New Roman" w:hAnsi="Times New Roman"/>
          <w:color w:val="0070C0"/>
          <w:sz w:val="16"/>
          <w:szCs w:val="16"/>
        </w:rPr>
        <w:softHyphen/>
        <w:t>сколько дней все четыре оставшихся аппарата приняли участие в ударе по кораблям союзни</w:t>
      </w:r>
      <w:r w:rsidRPr="008A2E5A">
        <w:rPr>
          <w:rFonts w:ascii="Times New Roman" w:hAnsi="Times New Roman"/>
          <w:color w:val="0070C0"/>
          <w:sz w:val="16"/>
          <w:szCs w:val="16"/>
        </w:rPr>
        <w:softHyphen/>
        <w:t>ков, сосредоточившихся в устье Сены. Удар вновь наносился ночью (иначе тихоходные «Мистели» просто не смогли бы приблизить</w:t>
      </w:r>
      <w:r w:rsidRPr="008A2E5A">
        <w:rPr>
          <w:rFonts w:ascii="Times New Roman" w:hAnsi="Times New Roman"/>
          <w:color w:val="0070C0"/>
          <w:sz w:val="16"/>
          <w:szCs w:val="16"/>
        </w:rPr>
        <w:softHyphen/>
        <w:t>ся к объекту удара), на этот раз было органи</w:t>
      </w:r>
      <w:r w:rsidRPr="008A2E5A">
        <w:rPr>
          <w:rFonts w:ascii="Times New Roman" w:hAnsi="Times New Roman"/>
          <w:color w:val="0070C0"/>
          <w:sz w:val="16"/>
          <w:szCs w:val="16"/>
        </w:rPr>
        <w:softHyphen/>
        <w:t>зовано истребительное прикрытие и предва</w:t>
      </w:r>
      <w:r w:rsidRPr="008A2E5A">
        <w:rPr>
          <w:rFonts w:ascii="Times New Roman" w:hAnsi="Times New Roman"/>
          <w:color w:val="0070C0"/>
          <w:sz w:val="16"/>
          <w:szCs w:val="16"/>
        </w:rPr>
        <w:softHyphen/>
        <w:t>рительная подсветка целей. По докладам нем</w:t>
      </w:r>
      <w:r w:rsidRPr="008A2E5A">
        <w:rPr>
          <w:rFonts w:ascii="Times New Roman" w:hAnsi="Times New Roman"/>
          <w:color w:val="0070C0"/>
          <w:sz w:val="16"/>
          <w:szCs w:val="16"/>
        </w:rPr>
        <w:softHyphen/>
        <w:t>цев, все четыре пилота осуществили прицель</w:t>
      </w:r>
      <w:r w:rsidRPr="008A2E5A">
        <w:rPr>
          <w:rFonts w:ascii="Times New Roman" w:hAnsi="Times New Roman"/>
          <w:color w:val="0070C0"/>
          <w:sz w:val="16"/>
          <w:szCs w:val="16"/>
        </w:rPr>
        <w:softHyphen/>
        <w:t>ный пуск, но поиск объектов затруднялся ды</w:t>
      </w:r>
      <w:r w:rsidRPr="008A2E5A">
        <w:rPr>
          <w:rFonts w:ascii="Times New Roman" w:hAnsi="Times New Roman"/>
          <w:color w:val="0070C0"/>
          <w:sz w:val="16"/>
          <w:szCs w:val="16"/>
        </w:rPr>
        <w:softHyphen/>
        <w:t>мовой завесой, поставленной кораблями про</w:t>
      </w:r>
      <w:r w:rsidRPr="008A2E5A">
        <w:rPr>
          <w:rFonts w:ascii="Times New Roman" w:hAnsi="Times New Roman"/>
          <w:color w:val="0070C0"/>
          <w:sz w:val="16"/>
          <w:szCs w:val="16"/>
        </w:rPr>
        <w:softHyphen/>
        <w:t>тивника. Утром в район цели был направлен разведчик, экипаж которого доложил: само</w:t>
      </w:r>
      <w:r w:rsidRPr="008A2E5A">
        <w:rPr>
          <w:rFonts w:ascii="Times New Roman" w:hAnsi="Times New Roman"/>
          <w:color w:val="0070C0"/>
          <w:sz w:val="16"/>
          <w:szCs w:val="16"/>
        </w:rPr>
        <w:softHyphen/>
        <w:t>леты-снаряды попали в цели, но ни одно суд</w:t>
      </w:r>
      <w:r w:rsidRPr="008A2E5A">
        <w:rPr>
          <w:rFonts w:ascii="Times New Roman" w:hAnsi="Times New Roman"/>
          <w:color w:val="0070C0"/>
          <w:sz w:val="16"/>
          <w:szCs w:val="16"/>
        </w:rPr>
        <w:softHyphen/>
        <w:t>но противника не потоплено (???). Странно, ведь трехтонная боевая часть при прямом по</w:t>
      </w:r>
      <w:r w:rsidRPr="008A2E5A">
        <w:rPr>
          <w:rFonts w:ascii="Times New Roman" w:hAnsi="Times New Roman"/>
          <w:color w:val="0070C0"/>
          <w:sz w:val="16"/>
          <w:szCs w:val="16"/>
        </w:rPr>
        <w:softHyphen/>
        <w:t>падании запросто отправила бы на дно ко</w:t>
      </w:r>
      <w:r w:rsidRPr="008A2E5A">
        <w:rPr>
          <w:rFonts w:ascii="Times New Roman" w:hAnsi="Times New Roman"/>
          <w:color w:val="0070C0"/>
          <w:sz w:val="16"/>
          <w:szCs w:val="16"/>
        </w:rPr>
        <w:softHyphen/>
        <w:t>рабль любого класса...</w:t>
      </w:r>
    </w:p>
    <w:p w14:paraId="2008D58C" w14:textId="77777777" w:rsidR="00A321D8" w:rsidRPr="008A2E5A" w:rsidRDefault="00A321D8" w:rsidP="00A321D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Впоследствии работы по теме «Бетховен» продолжались, однако в состав спарки «Мистель-3С» входили уже другие самолеты — Ju88G-l0 и FW190A-8 (24195).</w:t>
      </w:r>
    </w:p>
    <w:p w14:paraId="0DF512B6" w14:textId="77777777" w:rsidR="00A321D8" w:rsidRPr="008A2E5A" w:rsidRDefault="00A321D8" w:rsidP="00A321D8">
      <w:pPr>
        <w:spacing w:after="0" w:line="240" w:lineRule="auto"/>
        <w:jc w:val="both"/>
        <w:rPr>
          <w:rFonts w:ascii="Times New Roman" w:hAnsi="Times New Roman"/>
          <w:color w:val="0070C0"/>
          <w:sz w:val="16"/>
          <w:szCs w:val="16"/>
        </w:rPr>
      </w:pPr>
    </w:p>
    <w:p w14:paraId="13393C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 24th, 1942: First of a series of Luftwaffe night raids on Birmingham. In Yugoslavia, beginning of an offensive by German, Italian and Croatian forces against Tito;s partisan army (3819).</w:t>
      </w:r>
    </w:p>
    <w:p w14:paraId="15CE20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FD19C6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июня 1942 состоялась первая из серии ночных бомбардировок Бирмингема (3819).</w:t>
      </w:r>
    </w:p>
    <w:p w14:paraId="47691A3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2090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июня 1942 ударная группа югославских партизан начала поход в западную Боснию (3186).</w:t>
      </w:r>
    </w:p>
    <w:p w14:paraId="4A5AC9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E8D5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июня 1942 г Роммель начал наступление на Сиди Барани (2261).</w:t>
      </w:r>
    </w:p>
    <w:p w14:paraId="5A48040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CE8B9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 июня 1942 японские войска заняли г Лишуй - важную американскую военно-воздушную базу - и полностью захватили Чжэцзян-Хуненскую дорогу (3186).</w:t>
      </w:r>
    </w:p>
    <w:p w14:paraId="69CD98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553B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53DBDF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2894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июня 1942 постановление ГКО к программе вы</w:t>
      </w:r>
      <w:r w:rsidRPr="008127F8">
        <w:rPr>
          <w:rFonts w:ascii="Times New Roman" w:hAnsi="Times New Roman"/>
          <w:color w:val="000000" w:themeColor="text1"/>
          <w:sz w:val="16"/>
          <w:szCs w:val="16"/>
        </w:rPr>
        <w:softHyphen/>
        <w:t>пуска Ил-2 был под</w:t>
      </w:r>
      <w:r w:rsidRPr="008127F8">
        <w:rPr>
          <w:rFonts w:ascii="Times New Roman" w:hAnsi="Times New Roman"/>
          <w:color w:val="000000" w:themeColor="text1"/>
          <w:sz w:val="16"/>
          <w:szCs w:val="16"/>
        </w:rPr>
        <w:softHyphen/>
        <w:t>ключен и московский авиазавод № 30 (Постановление ГКО от 25.01.42 г.), орга</w:t>
      </w:r>
      <w:r w:rsidRPr="008127F8">
        <w:rPr>
          <w:rFonts w:ascii="Times New Roman" w:hAnsi="Times New Roman"/>
          <w:color w:val="000000" w:themeColor="text1"/>
          <w:sz w:val="16"/>
          <w:szCs w:val="16"/>
        </w:rPr>
        <w:softHyphen/>
        <w:t>низованный Решением ГКО от 17.12.41 г. на пустующих площадях эвакуирован</w:t>
      </w:r>
      <w:r w:rsidRPr="008127F8">
        <w:rPr>
          <w:rFonts w:ascii="Times New Roman" w:hAnsi="Times New Roman"/>
          <w:color w:val="000000" w:themeColor="text1"/>
          <w:sz w:val="16"/>
          <w:szCs w:val="16"/>
        </w:rPr>
        <w:softHyphen/>
        <w:t>ного авиазавода № 1. При этом авиаза</w:t>
      </w:r>
      <w:r w:rsidRPr="008127F8">
        <w:rPr>
          <w:rFonts w:ascii="Times New Roman" w:hAnsi="Times New Roman"/>
          <w:color w:val="000000" w:themeColor="text1"/>
          <w:sz w:val="16"/>
          <w:szCs w:val="16"/>
        </w:rPr>
        <w:softHyphen/>
        <w:t>воды №№ 1 и 18 выпускали одномест</w:t>
      </w:r>
      <w:r w:rsidRPr="008127F8">
        <w:rPr>
          <w:rFonts w:ascii="Times New Roman" w:hAnsi="Times New Roman"/>
          <w:color w:val="000000" w:themeColor="text1"/>
          <w:sz w:val="16"/>
          <w:szCs w:val="16"/>
        </w:rPr>
        <w:softHyphen/>
        <w:t>ные Ил-2 с пушками ВЯ-23, а московс</w:t>
      </w:r>
      <w:r w:rsidRPr="008127F8">
        <w:rPr>
          <w:rFonts w:ascii="Times New Roman" w:hAnsi="Times New Roman"/>
          <w:color w:val="000000" w:themeColor="text1"/>
          <w:sz w:val="16"/>
          <w:szCs w:val="16"/>
        </w:rPr>
        <w:softHyphen/>
        <w:t>кий авиазавод и завод в Нижнем Таги</w:t>
      </w:r>
      <w:r w:rsidRPr="008127F8">
        <w:rPr>
          <w:rFonts w:ascii="Times New Roman" w:hAnsi="Times New Roman"/>
          <w:color w:val="000000" w:themeColor="text1"/>
          <w:sz w:val="16"/>
          <w:szCs w:val="16"/>
        </w:rPr>
        <w:softHyphen/>
        <w:t>ле - Ил-2 с пушками ШВАК (6467).</w:t>
      </w:r>
    </w:p>
    <w:p w14:paraId="70CD43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мнению </w:t>
      </w:r>
      <w:r w:rsidRPr="008127F8">
        <w:rPr>
          <w:rFonts w:ascii="Times New Roman" w:hAnsi="Times New Roman"/>
          <w:bCs/>
          <w:color w:val="000000" w:themeColor="text1"/>
          <w:sz w:val="16"/>
          <w:szCs w:val="16"/>
        </w:rPr>
        <w:t>Перова и Растренина</w:t>
      </w:r>
      <w:r w:rsidRPr="008127F8">
        <w:rPr>
          <w:rFonts w:ascii="Times New Roman" w:hAnsi="Times New Roman"/>
          <w:color w:val="000000" w:themeColor="text1"/>
          <w:sz w:val="16"/>
          <w:szCs w:val="16"/>
        </w:rPr>
        <w:t xml:space="preserve"> 381-й авиазавод, в от</w:t>
      </w:r>
      <w:r w:rsidRPr="008127F8">
        <w:rPr>
          <w:rFonts w:ascii="Times New Roman" w:hAnsi="Times New Roman"/>
          <w:color w:val="000000" w:themeColor="text1"/>
          <w:sz w:val="16"/>
          <w:szCs w:val="16"/>
        </w:rPr>
        <w:softHyphen/>
        <w:t>личие от других, выпускал штурмовики Ил-2, так сказать, с правильным разме</w:t>
      </w:r>
      <w:r w:rsidRPr="008127F8">
        <w:rPr>
          <w:rFonts w:ascii="Times New Roman" w:hAnsi="Times New Roman"/>
          <w:color w:val="000000" w:themeColor="text1"/>
          <w:sz w:val="16"/>
          <w:szCs w:val="16"/>
        </w:rPr>
        <w:softHyphen/>
        <w:t>щением стрелково-пушечного вооруже</w:t>
      </w:r>
      <w:r w:rsidRPr="008127F8">
        <w:rPr>
          <w:rFonts w:ascii="Times New Roman" w:hAnsi="Times New Roman"/>
          <w:color w:val="000000" w:themeColor="text1"/>
          <w:sz w:val="16"/>
          <w:szCs w:val="16"/>
        </w:rPr>
        <w:softHyphen/>
        <w:t>ния: пушки ШВАК располагались ближе к оси самолета, а пулеметы ШКАС -дальше. Последнее обстоятельство, как показывают расчеты, основанные на ре</w:t>
      </w:r>
      <w:r w:rsidRPr="008127F8">
        <w:rPr>
          <w:rFonts w:ascii="Times New Roman" w:hAnsi="Times New Roman"/>
          <w:color w:val="000000" w:themeColor="text1"/>
          <w:sz w:val="16"/>
          <w:szCs w:val="16"/>
        </w:rPr>
        <w:softHyphen/>
        <w:t>зультатах полигонных испытаний, повы</w:t>
      </w:r>
      <w:r w:rsidRPr="008127F8">
        <w:rPr>
          <w:rFonts w:ascii="Times New Roman" w:hAnsi="Times New Roman"/>
          <w:color w:val="000000" w:themeColor="text1"/>
          <w:sz w:val="16"/>
          <w:szCs w:val="16"/>
        </w:rPr>
        <w:softHyphen/>
        <w:t>шало эффективность стрельбы из пушек в воздухе примерно в 1,5 раза по срав</w:t>
      </w:r>
      <w:r w:rsidRPr="008127F8">
        <w:rPr>
          <w:rFonts w:ascii="Times New Roman" w:hAnsi="Times New Roman"/>
          <w:color w:val="000000" w:themeColor="text1"/>
          <w:sz w:val="16"/>
          <w:szCs w:val="16"/>
        </w:rPr>
        <w:softHyphen/>
        <w:t>нению с "Илами", имеющими стандарт</w:t>
      </w:r>
      <w:r w:rsidRPr="008127F8">
        <w:rPr>
          <w:rFonts w:ascii="Times New Roman" w:hAnsi="Times New Roman"/>
          <w:color w:val="000000" w:themeColor="text1"/>
          <w:sz w:val="16"/>
          <w:szCs w:val="16"/>
        </w:rPr>
        <w:softHyphen/>
        <w:t>ную схему размещения вооружения: ближе к оси самолета располагались пулеметы, дальше от оси - пушки (6467).</w:t>
      </w:r>
    </w:p>
    <w:p w14:paraId="0DB4D18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 что - ничего не поняли и даже не видели первых ТО на Ил-2</w:t>
      </w:r>
    </w:p>
    <w:p w14:paraId="6CD681C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3CA9E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25 июня по 31 июля 1942 г. на НИП АВ ВВС проходил испытания установленный на самолете Ил-2 для стрельбы назад автоматический миномет АМ калибра 82 мм конструкции штурмана-испытателя младшего лейтенанта Потанина. Автоматический миномет АМ предназначался «для защиты задней полусферы Ил-2 от истребителей противника путем создания огневой завесы из рвущихся на определенной дистанции мин». Разработку миномета Потанин завершил к 18 мая 1942 г. Все остальное время до начала официальных испытаний ушло на получение разрешения командования и самолета Ил-2, на постройку миномета, отладку автоматики и работы по установке системы. Отмечалось, что предъявленный миномет АМ «не представляет законченного образца, а выполнен с целью проверки идеи установки миномета на самолет и для определения исходных данных для проектирования серийного образца»..</w:t>
      </w:r>
    </w:p>
    <w:p w14:paraId="3E4F904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Миномет АМ имел относительно небольшие вес (37 кг) и габариты (1115 мм в длину и 390х310 мм в поперечнике). В нем использовался ствол от батальонного миномета 82БМ-37 образца 1938 г. Автомат снабжался несъемным магазином барабанного типа на шесть мин типа О-832. Вес мины составлял 3,45 кг, вес взрывчатого вещества – 0,4 кг. Заявленный темп стрельбы в пределах магазинаb– 50 выстр./мин. Миномет устанавливался в закабинном отсеке Ил-2 стволом назад. Ось миномета наклонялась под углом 43° вверх и 18° в сторону (влево по направлению полета) относительно продольной оси штурмовика. Для вылета мины в верхней части фюзеляжа выполнили специальное окно. Основание миномета упиралось в шпангоут задней бронеплиты бронекорпуса через деревянную прокладку. Передняя часть миномета поддерживалась подвеской, верхний конец которой прикреплялся к первому шпангоуту за задней бронеплитой. От боковых перемещений миномет удерживался тросами. Принцип работы миномета был следующим. При натяжении спускового троса (или при подаче тока в электроспуск) шептало освобождало барабан, который под действием заводной пружины поворачивался до упора предохранительной защелки в специальный выступ. В это время нижняя защелка в цилиндре барабана освобождала мину. Мина под тяжестью своего веса проходила по стволу вниз и накалывалась капсюлем основного заряда на боек в казеннике; пороховые газы выталкивали мину наружу через цилиндр барабана и окно в фюзеляже. Под давлением пороховых газов ствол миномета отходил назад вместе с предохранительной защелкой. Если к этому времени шептало еще находилось в выключенном состоянии, то барабан проворачивался еще на 1/6 оборота, после чего происходил следующий выстрел. К мине около взрывателя прикреплялись два усика из проволоки, за которые через продольные прорези в цилиндре барабана цеплялись специальные амортизаторы. При освобождении нижних защелок эти амортизаторы ускоряли прохождение мины в ствол миномета. Для компенсации отдачи при стрельбе применялся пружинный амортизатор силы отдачи, к которому крепился ствол миномета. При максимально возможном откате ствола миномета на 68 мм сила отдачи при стрельбе пороховым зарядом мины №0 (вес 8 г) оценивалась в 1300 кг. При увеличении порохового заряда мины возрастала и сила отдачи: для заряда №1 (8 и 6,5 г) – 2550 кг, для заряда №2 (8 и 13 г) – 3910 кг. Поэтому в ходе испытаний использовался только минимальный пороховой заряд. Мину пришлось немного доработать, чтобы обеспечить ее подрыв в воздухе на заданном расстоянии от самолета. Для этого вместо штатного взрывателя М-1 с помощью переходной втулки установили взрыватель АГДТ (с ветрянкой) от реактивных снарядов РС-82. Однако в ходе стрельб на земле выяснилось, что в такой конфигурации мина оказывалась неустойчивой в полете, а ветрянка не сворачивалась. Потанин оперативно разработал и изготовил опытный предохранитель к АГДТ без ветрянки. С ним устойчивость мины на траектории полета стала удовлетворительной. Всего при наземных стрельбах выполнили 14 выстрелов. Дальность подрыва мины находилась в пределах 238–251 м (время полета 6,8–7,3 с), а превышение высоты траектории полета составляло 64–68 м. Запаздывание в срабатывании дистанционной трубки АГДТ находилось в пределах 1,5 с. Время срабатывания автоматики при первом выстреле в среднем равнялась 1,7–1,8 с, а интервал между первым и вторым выстрелом </w:t>
      </w:r>
      <w:r w:rsidRPr="008127F8">
        <w:rPr>
          <w:rFonts w:ascii="Times New Roman" w:hAnsi="Times New Roman"/>
          <w:color w:val="000000" w:themeColor="text1"/>
          <w:sz w:val="16"/>
          <w:szCs w:val="16"/>
        </w:rPr>
        <w:lastRenderedPageBreak/>
        <w:t>при автоматической стрельбе – 1,2 с. В общей сложности было отмечено 12 задержек в стрельбе, в том числе три – из-за отказов автоматики. Вызывала сомнение надежность предложенного крепления миномета на самолете («установка на Ил-2 не обеспечивает определенного положения миномета при стрельбе в течение ряда выстрелов»). Поэтому вести в воздухе автоматический огонь из миномета сочли опасным. Для оценки эффективности действия осколочного поля по самолетам противника произвели шесть подрывов мин на удалении 20, 10, 5, 1 м от плоскости истребителя Bf109, а также непосредственно у нее. Мины устанавливались напротив середины плоскости параллельно и перпендикулярно к ней своей осью.</w:t>
      </w:r>
    </w:p>
    <w:p w14:paraId="0D5F1A5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Оказалось, что серный чугун – материал корпуса мины – не дает достаточного количества осколков для гарантированного поражения элементов конструкции самолета. Повреждения крыла Bf109, которые могли вывести самолет из строя, получались лишь при подрывах мины на расстоянии не более одного метра от него. Кроме того, капсюль-детонатор АГДТ не обеспечивал полную детонацию взрывчатого вещества мины О-832 (вес взрывчатой смеси в АГДТ составлял 6 г, тогда как в М-1 – 20 г). По этой причине до 30% (по весу) взрывчатого вещества мин при подрывах не срабатывало. По программе воздушных испытаний осуществили девять полетов, из них шесть со стрельбой. Высота полета Ил-2 составляла 1050–1075 м, скорость полета – 320 км/ч. Стрельба велась только одиночными выстрелами. При этом зафиксировали пять задержек: в трех случаях мины «зависли при переходе из барабана в ствол», еще в двух – «мины доходили до казенной части, следовал выстрел», но барабан при повороте для очередного выстрела заклинивало. Подрыв мины после выстрела происходил позади самолета на удалении порядка 288 м и с превышением около 70 м, что считалось недостаточным. Требуемые дальность подрыва и высота траектории мины в 400–600 м и 200–300bм, соответственно, получались лишь при использовании заряда №1 или №2. Однако конструкция лафета миномета и установки не были рассчитаны на силу отдачи более 2500–3000bкг. Рассеивание мин при стрельбе признали удовлетворительным для заградительной стрельбы, но боекомплект – недостаточным. В заключении отчета по испытаниям от 21 августа констатировалось, что миномет испытания не выдержал. Отмечался недопустимо высокий процент задержек (29%) по причине отказов автоматики. Считалось целесообразным дальнейшие работы по миномету в предъявленном виде прекратить, сосредоточив усилия на создании более совершенного образца с боекомплектом не менее 15 мин и силой отдачи не более 3000 кг. Кроме этого, требовалось подобрать корпус мины, обеспечивающий «получение множества убойных осколков», и отработать простейший прицел «для применения в области верхней задней полусферы». Остается неясным, продолжались ли работы в этом направлении (19775).</w:t>
      </w:r>
    </w:p>
    <w:p w14:paraId="14830D1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29A2B1D"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25 июня 1942 года над линией фронта был сбит немецкий связной самолет, на борту которого нашелся отчет об испытании вооружения немецкого штурмовика Henschel Hs 129A. Этот самолет обстреливал советские танки, в том числе и КВ-1. Выяснилось, что 30-мм автоматическая пушка MK 101 была способна пробить его броню. Эта новость стала для командования ГАБТУ КА крайне неприятной. Особенно на фоне того, что в конце июля 1942 года завод №37, где разрабатывались СУ-31 и СУ-32, переподчинили УЗТМ, и вместо Т-70 там организовывали выпуск Т-34. Таким образом, выпуск ЗСУ оказывался под большим вопросом еще до начала полигонных испытаний (21193).</w:t>
      </w:r>
    </w:p>
    <w:p w14:paraId="6F749F65"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813D7C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июня 1942 вышел приказ НКАП и командующего ВВС N 470с/0117 о проведении совместных заводских и гос. испытаний самолета 110 с М-107П конструкции ОТБ НКВД производства завода 288 (1554,125).</w:t>
      </w:r>
    </w:p>
    <w:p w14:paraId="5C4B03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C5D38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июня 1942 закончились заводские испытания Як-1б (198,50).</w:t>
      </w:r>
    </w:p>
    <w:p w14:paraId="7450B76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98268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июня 1942 г. (летчик-испытатель П. Федрови) закончились заводские испытания Як-1, облегченного в КБ А.С.Я., которые показали значительное улучшение маневренности в вертикальной и горизонтальной плоскостях. Набор высоты за боевой разворот составил 1200-1300 м, а время виража сократилось до 16-17 с. Несравненно лучше стал обзор, причем установка зеркала позволяла летчику вести наблюдение за задней полусферой (ЗПС) без поворота головы.</w:t>
      </w:r>
    </w:p>
    <w:p w14:paraId="030B1A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опытном заводе № 115 НКАП на самолете № 1047 были выполнены работы по облегчению конструкции и обеспечению кругового обзора из кабины летчика. Облегчение произвели по уже отработанной схеме снятием пулеметов ШКАС и установкой металлического хвостового оперения. Для уменьшения лобового сопротивления предусмотрели уборку хвостового колеса. Но главной изюминкой, конечно, было новое остекление фонаря и пониженный, в связи с его установкой, гаргрот фюзеляжа.</w:t>
      </w:r>
    </w:p>
    <w:p w14:paraId="5BF26A9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идея облегчения машины за счет ослабления вооружения, не нашла поддержки у военных. Поэтому в том же июне месяце 1942 на заводе № 115 подвергся восстановительному ремонту и переделкам Як-1 № 3560. Как и на предыдущем образце, на нем был срезан гаргрот и установлен новый каплевидный фонарь с зеркалом обзора ЗПС. Но козырек фонаря был выполнен с прямыми стеклами. У самолета № 1047 он был беспереплетным. Даже на опытном заводе не удалось избежать волнистости плексигласа, которая искажала видимость. В условиях серийного производства бесперсплетный козырек был бы еще худшего качества, и от него пришлось временно отказаться (впоследствии такой козырек установили на Як-3). На машине № 3560 были установлены переднее и заднее бронестекла (на самолете № 1047 стоял только макет заднего). Кроме бронестекол и бронеспинки (со срезанным верхом) летчик был защищен броненадголовником, установленным на неподвижной части фонаря, и бронеподлокотником для левой руки.</w:t>
      </w:r>
    </w:p>
    <w:p w14:paraId="7DEFF9D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Вооружение тоже было изменено, но качественно. Вместо двух пулеметов (по отношению к серийным машинам, так как Як-1 № 3560 ранее подвергся мероприятиям по облегчению, и пулеметы ШКАС на нем не стояли) винтовочного калибра, которые уже не удовлетворяли современным требованиям, - противник тоже усиливал защиту и бронирование своих самолетов, - поставили один синхронный крупнокалиберный пулемет УБС. Боекомплект к пулемету УБС состоял из 200 патронов. Изменилось и управление огнем. Механический и пневмомеханический спуски пушки и пулеметов были заменены электрическим и пневмоэлектри- ческим соответственно, приводимые в действие от спусковой кнопки и спускового крючка на ручке управления. Новая ручка, сделанная по типу Bf. 109 позволяла вести огонь только правой рукой, оставляя левую свободной для управления режимами работы мотора при маневрировании. Все эти изменения были внесены в ра'счете на запущенный в серийное производство мотор М-Ю5ПФ. </w:t>
      </w:r>
    </w:p>
    <w:p w14:paraId="7A50E64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Тактические качества Як-1 возросли настолько, что А.С. Яковлев 1 июля 1942 г. обратился к наркому авиационной промышленности с просьбой о выпуске войсковой серии в 20 самолетов с аналогичными изменениями и отправки их на фронт для проверки в боевых условиях.</w:t>
      </w:r>
    </w:p>
    <w:p w14:paraId="0C9E1F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Преимущества были столь очевидны, что войсковую серию строить не стали. Постановлением ГКО от 11 августа 1942 г. было дано распоряжение директору завода № 292 о внедрении в серию изменений, опробованных на Як-1 № 3560. Кроме того, постановлением предусматривалась установка на модифицированных "яках" маслорадиатора по типу Як-?, винта ВИШ-105, всасывающего патрубка нагнетателя с пылефильтром конструкции ЦАГИ и убирающейся хвостовой опоры. Сроки устанавливались следующие: первые 10 машин изготовить в сентябре, 100 машин - в октябре, а с ноября выпускать только новые Як-1 (позже приказом наркома авиационной промышленности от 2 октября 1942 г. полный переход на выпуск "яков" с улучшенным обзором предписыва- &gt; лось начать с 10 октября).</w:t>
      </w:r>
    </w:p>
    <w:p w14:paraId="291E2FC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заданием завод справился. Оговоренное постановлением количество Як-16 в заданные сроки вышло из заводских цехов. Наименование новой модификации поче- му-то не прижилось, хотя и употреблялось повсеместно. Наименование Як-1 СБ, упомянутое в заголовке, появилось в результате ошибки военпреда УВВС ВМФ, который к секретному названию "Як-1" добавил открытое наименование машины "С-Б", употребляемое на заводе. Все нововведения внедрялись в производство постепенно, чтобы не снизить количества выпускаемых самолетов. Так, убирающуюся хвостовую опору начали ставить на Як-1 с 87-й серии, с 89-й серии появился маслоотражаюший щиток, уменьшавший забрызгивание фонаря кабины маслом, новые фонарь и вооружение впервые появились на машине № 1094 серии. Поскольку испытания мер, предложенных ЦАГИ для совершенствования аэродинамики, были закончены лишь к 11 сентября, то их внедрение в серию тоже задержалось. Оно началось с 15 ноября 1942 г. и проводилось тоже постепенно. Полностью процесс завершился примерно к 110-й серии.</w:t>
      </w:r>
    </w:p>
    <w:p w14:paraId="061ABA0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были проведены мероприятия по частичному облегчению конструкции серийных самолетов. По постановлению ГКО от 22 сентября 1942 г. с Як-1 сняли: фару с предохранителем и выключателем сети, световую сигнализацию выпущенного положения хвостовой опоры, экранирование электросети после разъемных коробок, проводку обогрева часов, штепсельную розетку хвостового аэронавигационного огня (АНО), автомат давления, манометр вооружения, устройство пневмоперезарядки МП-20, радиополукомпас РПК-10, вариометр, трос-дублер ножного управления. Этим же постановлением предписывалось устанавливать на самолетах ночное свето- оборудование, фару, вариометр и РПК-10 только по особому заказу для самолетов ПВО. Улучшению тактических свойств самолета способствовала установка с 20 августа 1942 г. на всех Як-1 радиоприемника PC И-4, а на каждом пятом (с 1 октября на каждом четном) радиопередатчика РСИ -3.</w:t>
      </w:r>
    </w:p>
    <w:p w14:paraId="4A5EAFB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Модифицированный "Як" уверенно лидировал на сравнительных контрольных испытаниях, проведенных в Саратове бригадой Л И И Н КАП совместно с летно-испыта- тельной группой завода № 292. Из характеристик, представленных в табл., видно, почему не получила поддержки идея облегченного Як-1. Як-16 с улучшенной аэродинамикой и штатным вооружением уступал облегченному варианту только в вертикальном маневре и во всех отношениях был лучше серийного Як-1.</w:t>
      </w:r>
    </w:p>
    <w:p w14:paraId="2D88339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Сравнительные характеристики Як-1 (№ 2898), Як-16 (№ 1699) и облегченного Як-1 (№ 4596)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7C5583" w:rsidRPr="008127F8" w14:paraId="18CD4C2F" w14:textId="77777777" w:rsidTr="004C5D62">
        <w:tc>
          <w:tcPr>
            <w:tcW w:w="2802" w:type="dxa"/>
            <w:tcBorders>
              <w:top w:val="single" w:sz="12" w:space="0" w:color="auto"/>
            </w:tcBorders>
          </w:tcPr>
          <w:p w14:paraId="5D30B49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данные</w:t>
            </w:r>
          </w:p>
        </w:tc>
        <w:tc>
          <w:tcPr>
            <w:tcW w:w="2802" w:type="dxa"/>
            <w:tcBorders>
              <w:top w:val="single" w:sz="12" w:space="0" w:color="auto"/>
            </w:tcBorders>
          </w:tcPr>
          <w:p w14:paraId="308E268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2898</w:t>
            </w:r>
          </w:p>
        </w:tc>
        <w:tc>
          <w:tcPr>
            <w:tcW w:w="2802" w:type="dxa"/>
            <w:tcBorders>
              <w:top w:val="single" w:sz="12" w:space="0" w:color="auto"/>
            </w:tcBorders>
          </w:tcPr>
          <w:p w14:paraId="58680E8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серийный номер машины 4596</w:t>
            </w:r>
          </w:p>
        </w:tc>
        <w:tc>
          <w:tcPr>
            <w:tcW w:w="2802" w:type="dxa"/>
            <w:tcBorders>
              <w:top w:val="single" w:sz="12" w:space="0" w:color="auto"/>
            </w:tcBorders>
          </w:tcPr>
          <w:p w14:paraId="2B02784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1699</w:t>
            </w:r>
          </w:p>
        </w:tc>
      </w:tr>
      <w:tr w:rsidR="007C5583" w:rsidRPr="008127F8" w14:paraId="280637DF" w14:textId="77777777" w:rsidTr="004C5D62">
        <w:tc>
          <w:tcPr>
            <w:tcW w:w="2802" w:type="dxa"/>
          </w:tcPr>
          <w:p w14:paraId="16F05B6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Полетный вес, кг</w:t>
            </w:r>
          </w:p>
        </w:tc>
        <w:tc>
          <w:tcPr>
            <w:tcW w:w="2802" w:type="dxa"/>
          </w:tcPr>
          <w:p w14:paraId="1DEE437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2940</w:t>
            </w:r>
          </w:p>
        </w:tc>
        <w:tc>
          <w:tcPr>
            <w:tcW w:w="2802" w:type="dxa"/>
          </w:tcPr>
          <w:p w14:paraId="589F4B6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2780</w:t>
            </w:r>
          </w:p>
        </w:tc>
        <w:tc>
          <w:tcPr>
            <w:tcW w:w="2802" w:type="dxa"/>
          </w:tcPr>
          <w:p w14:paraId="721B9A9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2920</w:t>
            </w:r>
          </w:p>
        </w:tc>
      </w:tr>
      <w:tr w:rsidR="007C5583" w:rsidRPr="008127F8" w14:paraId="61C0BB7D" w14:textId="77777777" w:rsidTr="004C5D62">
        <w:tc>
          <w:tcPr>
            <w:tcW w:w="2802" w:type="dxa"/>
          </w:tcPr>
          <w:p w14:paraId="119A35A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км/ч у земли</w:t>
            </w:r>
          </w:p>
        </w:tc>
        <w:tc>
          <w:tcPr>
            <w:tcW w:w="2802" w:type="dxa"/>
          </w:tcPr>
          <w:p w14:paraId="6409717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516</w:t>
            </w:r>
          </w:p>
        </w:tc>
        <w:tc>
          <w:tcPr>
            <w:tcW w:w="2802" w:type="dxa"/>
          </w:tcPr>
          <w:p w14:paraId="59525FE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526</w:t>
            </w:r>
          </w:p>
        </w:tc>
        <w:tc>
          <w:tcPr>
            <w:tcW w:w="2802" w:type="dxa"/>
          </w:tcPr>
          <w:p w14:paraId="48362F4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524</w:t>
            </w:r>
          </w:p>
        </w:tc>
      </w:tr>
      <w:tr w:rsidR="007C5583" w:rsidRPr="008127F8" w14:paraId="7B725176" w14:textId="77777777" w:rsidTr="004C5D62">
        <w:tc>
          <w:tcPr>
            <w:tcW w:w="2802" w:type="dxa"/>
          </w:tcPr>
          <w:p w14:paraId="39E59E8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высоте второй границы высотности при оборотах мотора М-</w:t>
            </w:r>
            <w:r w:rsidRPr="008127F8">
              <w:rPr>
                <w:rFonts w:ascii="Times New Roman" w:hAnsi="Times New Roman"/>
                <w:color w:val="000000" w:themeColor="text1"/>
                <w:sz w:val="16"/>
                <w:szCs w:val="16"/>
              </w:rPr>
              <w:lastRenderedPageBreak/>
              <w:t>105ПФ 2550 об/мин</w:t>
            </w:r>
          </w:p>
        </w:tc>
        <w:tc>
          <w:tcPr>
            <w:tcW w:w="2802" w:type="dxa"/>
          </w:tcPr>
          <w:p w14:paraId="39004F8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566</w:t>
            </w:r>
          </w:p>
        </w:tc>
        <w:tc>
          <w:tcPr>
            <w:tcW w:w="2802" w:type="dxa"/>
          </w:tcPr>
          <w:p w14:paraId="5BF7D2B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586</w:t>
            </w:r>
          </w:p>
        </w:tc>
        <w:tc>
          <w:tcPr>
            <w:tcW w:w="2802" w:type="dxa"/>
          </w:tcPr>
          <w:p w14:paraId="4D5CC80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584</w:t>
            </w:r>
          </w:p>
        </w:tc>
      </w:tr>
      <w:tr w:rsidR="007C5583" w:rsidRPr="008127F8" w14:paraId="7465FCE3" w14:textId="77777777" w:rsidTr="004C5D62">
        <w:tc>
          <w:tcPr>
            <w:tcW w:w="2802" w:type="dxa"/>
          </w:tcPr>
          <w:p w14:paraId="6BAC206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высоте второй границы высотности при оборотах мотора М-105ПФ 2700 об/мин</w:t>
            </w:r>
          </w:p>
        </w:tc>
        <w:tc>
          <w:tcPr>
            <w:tcW w:w="2802" w:type="dxa"/>
          </w:tcPr>
          <w:p w14:paraId="456468C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569</w:t>
            </w:r>
          </w:p>
        </w:tc>
        <w:tc>
          <w:tcPr>
            <w:tcW w:w="2802" w:type="dxa"/>
          </w:tcPr>
          <w:p w14:paraId="3814BE9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592</w:t>
            </w:r>
          </w:p>
        </w:tc>
        <w:tc>
          <w:tcPr>
            <w:tcW w:w="2802" w:type="dxa"/>
          </w:tcPr>
          <w:p w14:paraId="0EE14D7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3FEA403E" w14:textId="77777777" w:rsidTr="004C5D62">
        <w:tc>
          <w:tcPr>
            <w:tcW w:w="2802" w:type="dxa"/>
            <w:tcBorders>
              <w:bottom w:val="single" w:sz="12" w:space="0" w:color="auto"/>
            </w:tcBorders>
          </w:tcPr>
          <w:p w14:paraId="07A379D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набора высоты 5000 м, мин</w:t>
            </w:r>
          </w:p>
        </w:tc>
        <w:tc>
          <w:tcPr>
            <w:tcW w:w="2802" w:type="dxa"/>
            <w:tcBorders>
              <w:bottom w:val="single" w:sz="12" w:space="0" w:color="auto"/>
            </w:tcBorders>
          </w:tcPr>
          <w:p w14:paraId="2585096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w:t>
            </w:r>
          </w:p>
        </w:tc>
        <w:tc>
          <w:tcPr>
            <w:tcW w:w="2802" w:type="dxa"/>
            <w:tcBorders>
              <w:bottom w:val="single" w:sz="12" w:space="0" w:color="auto"/>
            </w:tcBorders>
          </w:tcPr>
          <w:p w14:paraId="7BC5F93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w:t>
            </w:r>
          </w:p>
        </w:tc>
        <w:tc>
          <w:tcPr>
            <w:tcW w:w="2802" w:type="dxa"/>
            <w:tcBorders>
              <w:bottom w:val="single" w:sz="12" w:space="0" w:color="auto"/>
            </w:tcBorders>
          </w:tcPr>
          <w:p w14:paraId="74F6ECE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w:t>
            </w:r>
          </w:p>
        </w:tc>
      </w:tr>
    </w:tbl>
    <w:p w14:paraId="18AF4F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Войсковые испытания самолетов Я к-16 проводились в 32-м гиап 210-й иад 3 ВА Калининского фронта и в 176-м иап 283-й иад 16-й В А Сталинградского фронта с 10 декабря 1942 г. по 28 января 1943 г. На испытаниях произвели 669 боевых вылетов на 58 самолетах с налетом 617 часов. Провели 38 воздушных боев, в результате которых сбили 25 самолетов противника. Свои потери составили шесть самолетов Я к-16. По общему мнению летного состава кабина с улучшенным обзором задней полусферы повысила боевые качества самолета. Ее рекомендовали для установки на всех самолетах истребительного типа.</w:t>
      </w:r>
    </w:p>
    <w:p w14:paraId="188AF96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Эта модификация Як-1 выпускалась вплоть до перехода завода № 292 на изготовление еще более глубокой модификации самолета - Як-3 (12048).</w:t>
      </w:r>
    </w:p>
    <w:p w14:paraId="268F05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CAC10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25 июня</w:t>
      </w:r>
      <w:r w:rsidRPr="008127F8">
        <w:rPr>
          <w:rFonts w:ascii="Times New Roman" w:hAnsi="Times New Roman"/>
          <w:color w:val="000000" w:themeColor="text1"/>
          <w:sz w:val="16"/>
          <w:szCs w:val="16"/>
        </w:rPr>
        <w:t xml:space="preserve"> в 1942 году завершились заводские испытания истребителя </w:t>
      </w:r>
      <w:hyperlink r:id="rId88" w:tgtFrame="_blank" w:history="1">
        <w:r w:rsidRPr="008127F8">
          <w:rPr>
            <w:rFonts w:ascii="Times New Roman" w:hAnsi="Times New Roman"/>
            <w:color w:val="000000" w:themeColor="text1"/>
            <w:sz w:val="16"/>
            <w:szCs w:val="16"/>
          </w:rPr>
          <w:t xml:space="preserve">«Як-1б», </w:t>
        </w:r>
      </w:hyperlink>
      <w:r w:rsidRPr="008127F8">
        <w:rPr>
          <w:rFonts w:ascii="Times New Roman" w:hAnsi="Times New Roman"/>
          <w:color w:val="000000" w:themeColor="text1"/>
          <w:sz w:val="16"/>
          <w:szCs w:val="16"/>
        </w:rPr>
        <w:t>летчик-испытатель П.Федрови. На опытном заводе № 115 НКАП на самолете «Як-1» № 1047 были выполнены работы по облегчению конструкции и обеспечению кругового обзора из кабины летчика. Облегчение было сделано по уже отработанной схеме путем снятия пулеметов ШКАС и установки металлического хвостового оперения. Для уменьшения лобового сопротивления была предусмотрена уборка хвостовой опоры. Но главной изюминкой, конечно, было новое остекление фонаря и пониженный, в связи с его установкой, гаргрот фюзеляжа. Испытания показали значительное улучшение маневренности в вертикальной и горизонтальной плоскостях. Набор высоты за боевой разворот составил 1200-1300 м, а время виража сократилось до 16-17 с. Несравненно лучше стал обзор, причем установка зеркала позволяла летчику вести наблюдение за задней полусферой (ЗПС) без поворота головы (14933).</w:t>
      </w:r>
    </w:p>
    <w:p w14:paraId="185CC90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A99831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25 июня</w:t>
      </w:r>
      <w:r w:rsidRPr="008127F8">
        <w:rPr>
          <w:rFonts w:ascii="Times New Roman" w:hAnsi="Times New Roman"/>
          <w:color w:val="000000" w:themeColor="text1"/>
          <w:sz w:val="16"/>
          <w:szCs w:val="16"/>
        </w:rPr>
        <w:t xml:space="preserve"> в 1942 году завершена постройка </w:t>
      </w:r>
      <w:hyperlink r:id="rId89" w:tgtFrame="_blank" w:history="1">
        <w:r w:rsidRPr="008127F8">
          <w:rPr>
            <w:rFonts w:ascii="Times New Roman" w:hAnsi="Times New Roman"/>
            <w:color w:val="000000" w:themeColor="text1"/>
            <w:sz w:val="16"/>
            <w:szCs w:val="16"/>
          </w:rPr>
          <w:t xml:space="preserve">«Як-7ДИ». </w:t>
        </w:r>
      </w:hyperlink>
      <w:r w:rsidRPr="008127F8">
        <w:rPr>
          <w:rFonts w:ascii="Times New Roman" w:hAnsi="Times New Roman"/>
          <w:color w:val="000000" w:themeColor="text1"/>
          <w:sz w:val="16"/>
          <w:szCs w:val="16"/>
        </w:rPr>
        <w:t>Он проходил заводские испытания с 26 июня по 16 июля 1942 г. (13 полетов общей продолжительностью 10 ч 20 мин) и государственные испытания с 18 июля по 5 августа 1942 г. (60 полетов, 40 ч 15 мин). Заводские испытания проводила бригада ОКБ А.С.Яковлева в составе: летчик-испытатель П.Я.Федрови, ведущий инженер Н.К.Скржинский, техник Ф.3.Сбитнев; государственные испытания - бригада НИИ ВВС в составе: летчик-испытатель К.А.Груздев, ведущий инженер по самолету А.Т.Степанец, помощник ведущего инженера по самолету Г.А.Седов, инженер по вооружению А.Г.Аронов, инженер по ВМГ А.И.Хвостовский, инженер по спецоборудованию А.И.Красовский, техник В.Ф.Сбитнев. «Як-7ДИ» госиспытания прошел удовлетворительно (14933).</w:t>
      </w:r>
    </w:p>
    <w:p w14:paraId="2E47BA6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4B34C23" w14:textId="77777777" w:rsidR="00A321D8" w:rsidRPr="008A2E5A" w:rsidRDefault="00A321D8" w:rsidP="00A321D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25 июня 1942 г. для создания варианта даль</w:t>
      </w:r>
      <w:r w:rsidRPr="008A2E5A">
        <w:rPr>
          <w:rFonts w:ascii="Times New Roman" w:hAnsi="Times New Roman"/>
          <w:color w:val="0070C0"/>
          <w:sz w:val="16"/>
          <w:szCs w:val="16"/>
        </w:rPr>
        <w:softHyphen/>
        <w:t xml:space="preserve">него истребителя Як-7 ДИ </w:t>
      </w:r>
      <w:bookmarkStart w:id="14" w:name="bookmark48"/>
      <w:r w:rsidRPr="008A2E5A">
        <w:rPr>
          <w:rFonts w:ascii="Times New Roman" w:hAnsi="Times New Roman"/>
          <w:color w:val="0070C0"/>
          <w:sz w:val="16"/>
          <w:szCs w:val="16"/>
        </w:rPr>
        <w:t>(Як-7Д №1,</w:t>
      </w:r>
      <w:bookmarkEnd w:id="14"/>
      <w:r w:rsidRPr="008A2E5A">
        <w:rPr>
          <w:rFonts w:ascii="Times New Roman" w:hAnsi="Times New Roman"/>
          <w:color w:val="0070C0"/>
          <w:sz w:val="16"/>
          <w:szCs w:val="16"/>
        </w:rPr>
        <w:t xml:space="preserve"> Як-7Д опытный №1, Як-7-ДИ, Як-9) к снятому с опытной машины Як-7Д крылу пристыковали серийный фюзеляж Як- 7Б №2315326 с мотором М-105ПФ номинальной мощ</w:t>
      </w:r>
      <w:r w:rsidRPr="008A2E5A">
        <w:rPr>
          <w:rFonts w:ascii="Times New Roman" w:hAnsi="Times New Roman"/>
          <w:color w:val="0070C0"/>
          <w:sz w:val="16"/>
          <w:szCs w:val="16"/>
        </w:rPr>
        <w:softHyphen/>
        <w:t>ностью 1180 л.с. на второй скорости нагнетателя. Из 11 бензобаков на самолете осталось всего 7 (из системы удалили крайние консольные бензобаки и баки под по</w:t>
      </w:r>
      <w:r w:rsidRPr="008A2E5A">
        <w:rPr>
          <w:rFonts w:ascii="Times New Roman" w:hAnsi="Times New Roman"/>
          <w:color w:val="0070C0"/>
          <w:sz w:val="16"/>
          <w:szCs w:val="16"/>
        </w:rPr>
        <w:softHyphen/>
        <w:t>лом кабины пилота). Вооружение дальнего истребите</w:t>
      </w:r>
      <w:r w:rsidRPr="008A2E5A">
        <w:rPr>
          <w:rFonts w:ascii="Times New Roman" w:hAnsi="Times New Roman"/>
          <w:color w:val="0070C0"/>
          <w:sz w:val="16"/>
          <w:szCs w:val="16"/>
        </w:rPr>
        <w:softHyphen/>
        <w:t>ля составила мотор-пушка ШВАК со штатным боеком</w:t>
      </w:r>
      <w:r w:rsidRPr="008A2E5A">
        <w:rPr>
          <w:rFonts w:ascii="Times New Roman" w:hAnsi="Times New Roman"/>
          <w:color w:val="0070C0"/>
          <w:sz w:val="16"/>
          <w:szCs w:val="16"/>
        </w:rPr>
        <w:softHyphen/>
        <w:t>плектом 120 снарядов и один левый пулемет УБС с бо</w:t>
      </w:r>
      <w:r w:rsidRPr="008A2E5A">
        <w:rPr>
          <w:rFonts w:ascii="Times New Roman" w:hAnsi="Times New Roman"/>
          <w:color w:val="0070C0"/>
          <w:sz w:val="16"/>
          <w:szCs w:val="16"/>
        </w:rPr>
        <w:softHyphen/>
        <w:t>езапасом 200 патронов. 25 же июня 1942 г., следуя еще од</w:t>
      </w:r>
      <w:r w:rsidRPr="008A2E5A">
        <w:rPr>
          <w:rFonts w:ascii="Times New Roman" w:hAnsi="Times New Roman"/>
          <w:color w:val="0070C0"/>
          <w:sz w:val="16"/>
          <w:szCs w:val="16"/>
        </w:rPr>
        <w:softHyphen/>
        <w:t>ному указанию главного конструктора, на Як-7ДИ запас топлива уменьшили до 500 кг, сняв баки в носке крыла, и в такой комплектации передали на заводские испытания. Перед первым вылетом на самолете силами ОКБ прове</w:t>
      </w:r>
      <w:r w:rsidRPr="008A2E5A">
        <w:rPr>
          <w:rFonts w:ascii="Times New Roman" w:hAnsi="Times New Roman"/>
          <w:color w:val="0070C0"/>
          <w:sz w:val="16"/>
          <w:szCs w:val="16"/>
        </w:rPr>
        <w:softHyphen/>
        <w:t>ли доработки конструкции Як-7Б, которые выполнялись на серийных самолетах. В частности, установили убира</w:t>
      </w:r>
      <w:r w:rsidRPr="008A2E5A">
        <w:rPr>
          <w:rFonts w:ascii="Times New Roman" w:hAnsi="Times New Roman"/>
          <w:color w:val="0070C0"/>
          <w:sz w:val="16"/>
          <w:szCs w:val="16"/>
        </w:rPr>
        <w:softHyphen/>
        <w:t>ющееся хвостовое колесо 300x125 мм, новую качалку в системе управления рулем высоты, увеличивающую угол отклонения руля вверх до 30", обтекатели тяг управления створкой водорадиатора, заменили звеньесборник и ис</w:t>
      </w:r>
      <w:r w:rsidRPr="008A2E5A">
        <w:rPr>
          <w:rFonts w:ascii="Times New Roman" w:hAnsi="Times New Roman"/>
          <w:color w:val="0070C0"/>
          <w:sz w:val="16"/>
          <w:szCs w:val="16"/>
        </w:rPr>
        <w:softHyphen/>
        <w:t>правили патронный ящик УБС. При взвешивании полный полетный вес Як-7ДИ оказался равным 2976 кг (23381).</w:t>
      </w:r>
    </w:p>
    <w:p w14:paraId="5D7CA7F7" w14:textId="77777777" w:rsidR="00A321D8" w:rsidRPr="008A2E5A" w:rsidRDefault="00A321D8" w:rsidP="00A321D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Первый полет на новом варианте истребителя совер</w:t>
      </w:r>
      <w:r w:rsidRPr="008A2E5A">
        <w:rPr>
          <w:rFonts w:ascii="Times New Roman" w:hAnsi="Times New Roman"/>
          <w:color w:val="0070C0"/>
          <w:sz w:val="16"/>
          <w:szCs w:val="16"/>
        </w:rPr>
        <w:softHyphen/>
        <w:t>шил П.Я. Федрови 6 июля 1942 г. Заводские летные ис</w:t>
      </w:r>
      <w:r w:rsidRPr="008A2E5A">
        <w:rPr>
          <w:rFonts w:ascii="Times New Roman" w:hAnsi="Times New Roman"/>
          <w:color w:val="0070C0"/>
          <w:sz w:val="16"/>
          <w:szCs w:val="16"/>
        </w:rPr>
        <w:softHyphen/>
        <w:t>пытания длились недолго (всего выполнено 15 полетов с налетом 13 часов 15 минут). В процессе заводских испы</w:t>
      </w:r>
      <w:r w:rsidRPr="008A2E5A">
        <w:rPr>
          <w:rFonts w:ascii="Times New Roman" w:hAnsi="Times New Roman"/>
          <w:color w:val="0070C0"/>
          <w:sz w:val="16"/>
          <w:szCs w:val="16"/>
        </w:rPr>
        <w:softHyphen/>
        <w:t>таний произошло переобозначение машины. Ее стали на</w:t>
      </w:r>
      <w:r w:rsidRPr="008A2E5A">
        <w:rPr>
          <w:rFonts w:ascii="Times New Roman" w:hAnsi="Times New Roman"/>
          <w:color w:val="0070C0"/>
          <w:sz w:val="16"/>
          <w:szCs w:val="16"/>
        </w:rPr>
        <w:softHyphen/>
        <w:t>зывать Як-7-ДИ (дальний истребитель). Указание о новом официальном наименовании машины пришло из Москвы в Новосибирский филиал завода №115 несколько позже. Поэтому и на заводских, и на государственных испытани</w:t>
      </w:r>
      <w:r w:rsidRPr="008A2E5A">
        <w:rPr>
          <w:rFonts w:ascii="Times New Roman" w:hAnsi="Times New Roman"/>
          <w:color w:val="0070C0"/>
          <w:sz w:val="16"/>
          <w:szCs w:val="16"/>
        </w:rPr>
        <w:softHyphen/>
        <w:t>ях самолет продолжил нести индекс «7-Д» на плоскостях и оперении. Перед передачей самолета на государст</w:t>
      </w:r>
      <w:r w:rsidRPr="008A2E5A">
        <w:rPr>
          <w:rFonts w:ascii="Times New Roman" w:hAnsi="Times New Roman"/>
          <w:color w:val="0070C0"/>
          <w:sz w:val="16"/>
          <w:szCs w:val="16"/>
        </w:rPr>
        <w:softHyphen/>
        <w:t>твенные испытания фибровые непротектированные бензобаки заменили алюминиевыми протектированными, что увеличило полетный вес машины до 3033 кг (23381).</w:t>
      </w:r>
    </w:p>
    <w:p w14:paraId="124492FD" w14:textId="77777777" w:rsidR="00A321D8" w:rsidRPr="008A2E5A" w:rsidRDefault="00A321D8" w:rsidP="00A321D8">
      <w:pPr>
        <w:spacing w:after="0" w:line="240" w:lineRule="auto"/>
        <w:jc w:val="both"/>
        <w:rPr>
          <w:rFonts w:ascii="Times New Roman" w:hAnsi="Times New Roman"/>
          <w:color w:val="0070C0"/>
          <w:sz w:val="16"/>
          <w:szCs w:val="16"/>
        </w:rPr>
      </w:pPr>
    </w:p>
    <w:p w14:paraId="10C6536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июня 1942 в ОКБ А.С.Я. появился Як-7ДИ, сделанный на основе серийного Як-7Б (65,106).</w:t>
      </w:r>
    </w:p>
    <w:p w14:paraId="237ACF1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6881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июня 1942 л завода 21 Л.М.Глезер совершил аварию на самолете ЛаГГ-3 при посадке с неисправными закрылками при боковом ветре. Выкатился с ВПП и провалился в грунт (2108).</w:t>
      </w:r>
    </w:p>
    <w:p w14:paraId="794D14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0F9D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июня 1942 вышел приказ НКАП N 467с о проведении совместных летных испытаний планера АТ конструкции О.К.А. (1554,110).</w:t>
      </w:r>
    </w:p>
    <w:p w14:paraId="7B1D93E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BEF9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июня 1942 состоялся первый полет второго экз. опытного экз. тяжелого грузового планера (25 чел., 76 мм пушка с расчетом или танкетка К-27 с экипажем) Л.П.Курбалы КГ - Курбала-грузовой эталон. Испытания шли до 14 сентября 1942 и летали В.П.Федоров и М.Ф.Романов из ОИП ВДВ (94,86).</w:t>
      </w:r>
    </w:p>
    <w:p w14:paraId="1172B6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C3499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июня 1942 г. начались испы</w:t>
      </w:r>
      <w:r w:rsidRPr="008127F8">
        <w:rPr>
          <w:rFonts w:ascii="Times New Roman" w:hAnsi="Times New Roman"/>
          <w:color w:val="000000" w:themeColor="text1"/>
          <w:sz w:val="16"/>
          <w:szCs w:val="16"/>
        </w:rPr>
        <w:softHyphen/>
        <w:t>тания К-Г-Эталон Курбылы. Летали В.П. Фёдоров и М.Ф. Романов. Испыта</w:t>
      </w:r>
      <w:r w:rsidRPr="008127F8">
        <w:rPr>
          <w:rFonts w:ascii="Times New Roman" w:hAnsi="Times New Roman"/>
          <w:color w:val="000000" w:themeColor="text1"/>
          <w:sz w:val="16"/>
          <w:szCs w:val="16"/>
        </w:rPr>
        <w:softHyphen/>
        <w:t>ния показали, что от многих проблем не удалось из</w:t>
      </w:r>
      <w:r w:rsidRPr="008127F8">
        <w:rPr>
          <w:rFonts w:ascii="Times New Roman" w:hAnsi="Times New Roman"/>
          <w:color w:val="000000" w:themeColor="text1"/>
          <w:sz w:val="16"/>
          <w:szCs w:val="16"/>
        </w:rPr>
        <w:softHyphen/>
        <w:t>бавиться. Управление планером оказалось тяжелым, сохранились ограничения на скорость буксировки и полета. Кроме того, тележка при сбросе могла от</w:t>
      </w:r>
      <w:r w:rsidRPr="008127F8">
        <w:rPr>
          <w:rFonts w:ascii="Times New Roman" w:hAnsi="Times New Roman"/>
          <w:color w:val="000000" w:themeColor="text1"/>
          <w:sz w:val="16"/>
          <w:szCs w:val="16"/>
        </w:rPr>
        <w:softHyphen/>
        <w:t>скочить от земли и ударить по планеру. Впрочем, это была проблема всех подобных конструкций. Большой вес К-Г-Эталона ограничивал выбор самолета-бук</w:t>
      </w:r>
      <w:r w:rsidRPr="008127F8">
        <w:rPr>
          <w:rFonts w:ascii="Times New Roman" w:hAnsi="Times New Roman"/>
          <w:color w:val="000000" w:themeColor="text1"/>
          <w:sz w:val="16"/>
          <w:szCs w:val="16"/>
        </w:rPr>
        <w:softHyphen/>
        <w:t>сировщика. В то время рассматривался ТБ-3 с мо</w:t>
      </w:r>
      <w:r w:rsidRPr="008127F8">
        <w:rPr>
          <w:rFonts w:ascii="Times New Roman" w:hAnsi="Times New Roman"/>
          <w:color w:val="000000" w:themeColor="text1"/>
          <w:sz w:val="16"/>
          <w:szCs w:val="16"/>
        </w:rPr>
        <w:softHyphen/>
        <w:t>торами АМ-34 РНБ и ДБ-3 (при сниженном взлетном весе).</w:t>
      </w:r>
    </w:p>
    <w:p w14:paraId="76EBFC8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результатам летных испытаний решили, что, несмотря на ряд положительных качеств, К-Г-Эталон запускать в серийное производство нецелесообраз</w:t>
      </w:r>
      <w:r w:rsidRPr="008127F8">
        <w:rPr>
          <w:rFonts w:ascii="Times New Roman" w:hAnsi="Times New Roman"/>
          <w:color w:val="000000" w:themeColor="text1"/>
          <w:sz w:val="16"/>
          <w:szCs w:val="16"/>
        </w:rPr>
        <w:softHyphen/>
        <w:t>но. На этом история планера К-Г закончилась. Дан</w:t>
      </w:r>
      <w:r w:rsidRPr="008127F8">
        <w:rPr>
          <w:rFonts w:ascii="Times New Roman" w:hAnsi="Times New Roman"/>
          <w:color w:val="000000" w:themeColor="text1"/>
          <w:sz w:val="16"/>
          <w:szCs w:val="16"/>
        </w:rPr>
        <w:softHyphen/>
        <w:t>ный пример показывает, что, несмотря на кажущу</w:t>
      </w:r>
      <w:r w:rsidRPr="008127F8">
        <w:rPr>
          <w:rFonts w:ascii="Times New Roman" w:hAnsi="Times New Roman"/>
          <w:color w:val="000000" w:themeColor="text1"/>
          <w:sz w:val="16"/>
          <w:szCs w:val="16"/>
        </w:rPr>
        <w:softHyphen/>
        <w:t>юся простоту, создание тяжелого планера требует наличия определенного опыта в создании подобных конструкций, проведения ряда исследований и опыт</w:t>
      </w:r>
      <w:r w:rsidRPr="008127F8">
        <w:rPr>
          <w:rFonts w:ascii="Times New Roman" w:hAnsi="Times New Roman"/>
          <w:color w:val="000000" w:themeColor="text1"/>
          <w:sz w:val="16"/>
          <w:szCs w:val="16"/>
        </w:rPr>
        <w:softHyphen/>
        <w:t>ных работ, наличия материалов, хорошего качества и, конечно, соответствующей культуры в производстве (12300).</w:t>
      </w:r>
    </w:p>
    <w:p w14:paraId="5642AD1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6F634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июня 1942 г. приказом № 468сс/410сс в соответствии с пост. СНК № 913-472сс от 11.06.1942 г. завод № 479  (ГС Завод № 479 НКАП, НКБ, Завод «Пресс» НКМП РСФСР, п/я 102 /г. Серпухов Московской обл.;  г. Бийск Алтайского кр. п/я 102 «Шайба» (1943 г.)/) был передан из 6ГУ НКАП в 6ГУ НКБ (и на 11.1943 г.). Имел обозначение «п/я 102» (1943 г.).</w:t>
      </w:r>
    </w:p>
    <w:p w14:paraId="3E4F9F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продолжал строиться в 1943 г. В составе завода цехи (1943 г.): основные: штамповочный, механический, гальванический, сборочный, кузница; вспомогательные: инструментальный, ремонтный, котельная.</w:t>
      </w:r>
    </w:p>
    <w:p w14:paraId="0FB8E61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СНК № 9687 от 24.06.1945 г. и приказом НКБ № 244 от 29.06.1945 г. завод № 479 ликвидирован, на его месте создан завод «Мясомолмаш».</w:t>
      </w:r>
    </w:p>
    <w:p w14:paraId="43605A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(1943 г.): производственная- 2163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вспомогательная- 973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прочая- 207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6284440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(12.1942 г.)- 827 чел.</w:t>
      </w:r>
    </w:p>
    <w:p w14:paraId="07332A9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(1940-42 г.)- И.П. Девяткин, (04.1943 г.)- Ахназаров.</w:t>
      </w:r>
    </w:p>
    <w:p w14:paraId="50F6DA5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(04.1943 г.)- Филин.</w:t>
      </w:r>
    </w:p>
    <w:p w14:paraId="29225D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ручные гранаты РГД-33 (ВОВ), РГ-42 (1943); взрыватель УЗРГ; КД-8 (1943) (11982).</w:t>
      </w:r>
    </w:p>
    <w:p w14:paraId="2663E5D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75400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6A25F4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26A525"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25 июня 1942 года в докладной записке на имя народного комиссара боеприпасов Б.Л. Ванникова представители заводов №260 и №96 обвинили виновными в отказах гранат ГУФ-800 (завод №260) и ПРГ-КД (завод №96) объявили взрыватели малой чувствительности, а данные в отчёте НИПСВО КА посчитали недостаточно объективными. Однако судьба этих проектов была предопределена, так как уже в августе в профильных конструкторских бюро началась работа над фугасными гранатами направленного действия (18876).</w:t>
      </w:r>
    </w:p>
    <w:p w14:paraId="5E9A626B" w14:textId="77777777" w:rsidR="007C5583" w:rsidRPr="008127F8" w:rsidRDefault="007C5583" w:rsidP="007C5583">
      <w:pPr>
        <w:pStyle w:val="af"/>
        <w:spacing w:before="0" w:after="0"/>
        <w:jc w:val="both"/>
        <w:textAlignment w:val="baseline"/>
        <w:rPr>
          <w:color w:val="000000" w:themeColor="text1"/>
          <w:sz w:val="16"/>
          <w:szCs w:val="16"/>
        </w:rPr>
      </w:pPr>
    </w:p>
    <w:p w14:paraId="63BE84E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и 26 июня 1942 немецкая авиация бомбила Саратов и прежде всего завод шарикоподшипников. Саратов прикрывал 586 жиап (4618,9).</w:t>
      </w:r>
    </w:p>
    <w:p w14:paraId="1EFC75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3BEBD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июня 1942 года вышел приказ № 468сс/410сс НКАП и НКБ</w:t>
      </w:r>
    </w:p>
    <w:p w14:paraId="53D40141"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п. 3 постановления СНК от 11 июня 1942 года № 913-472 сс:</w:t>
      </w:r>
    </w:p>
    <w:p w14:paraId="07410C8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Передать завод № 479 НКАП Наркомату боеприпасов (5907, 37).</w:t>
      </w:r>
    </w:p>
    <w:p w14:paraId="65898E4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24E6D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25 июня 1941 вышел приказ НКАП N 468сс/410сс о передаче завода 479 в НКБоеприпасов (1647,45).</w:t>
      </w:r>
    </w:p>
    <w:p w14:paraId="47B932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E49ADA"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25 июня 1941 года, согласно постановлению СНК СССР от с 1 августа, завод №37 НКСМ им. Орджоникидзе прекращал выпуск разведывательных танков-амфибий Т-40, а также тягачей "Комсомолец". Вместо них организовывался выпуск танков сопровождения Т-50. Впрочем, очень быстро стало понятно, что даже в Ленинграде с Т-50 творится беда. Что уж говорить о заводе №37, который требовалось перестроить под выпуск более тяжелого, нежели Т-40, танка. Поэтому на заводе нашлись инициативные люди, которые не побоялись выйти с предложением изменить решение в пользу "мобилизационного танка". Таковыми оказались Н.А. Астров, автор Т-40, и военный представитель завода №37 В.П. Окунев (21348).</w:t>
      </w:r>
    </w:p>
    <w:p w14:paraId="2B15595D"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D121927"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25 июня 1942 танк КВ-2 с пушкой ЗИС-6 прибыл на Гороховецкий АНИОП. При этом в отчете указывалось, что в танке стояло орудие №1 с трубой №8. Дополнительным фактором стало то, что испытания решили проводить на усиленном заряде, с начальной скоростью снаряда 840 м/с. Официально началом испытаний указали 25 июня, окончились они 5 июля.</w:t>
      </w:r>
    </w:p>
    <w:p w14:paraId="6A5BDB3C"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общей сложности из орудия произвели 618 выстрелов. Как правило, по поводу итогов испытаний пишутся фразы о том, что орудие показало недостаточную живучесть ствола, снаряд под конец испытаний прилетал плашмя, и так далее. Отчасти это правда, если не смотреть на некоторые вещи. Для начала, комиссия признала, что главной причиной быстрого износа ствола стало повышение начальной скорости снаряда. Проблемы начались после 486 выстрелов. Именно тогда и резко упала кучность. До того кучность была вполне удовлетворительной. Далее, бронепробиваемость орудия оказалась вполне достаточной. На дистанции 1600 метров бронебойный снаряд пробивал лист толщиной 120 мм, установленный под углом 30 градусов от вертикали. Это означало, что КВ-3 мог на этой дистанции пробить сам себя. Безусловно, имелись проблемы, например, после 315 выстрелов сломался досылатель. Вместе с тем, говорить о неготовности орудия не совсем корректно.</w:t>
      </w:r>
    </w:p>
    <w:p w14:paraId="60F6868E"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После окончания испытаний орудие срочно вернули на завод №92, после чего провели серию дополнительных испытаний. Всплыли дополнительные дефекты, которые требовалось устранить. Вместе с тем, уже в июне начался валовый выпуск орудий. По этому поводу сломано немало копий, но справка завода №92 от 10 июля 1941 года однозначно показывает - Грабин отнюдь не лукавил. В разной степени готовности находилось 213 труб, причем минимум 4 было уже окончательно закончено. Уже потом пришлось менять планы, поскольку стало ясно - КВ-3 в Ленинграде выпускать не будут. Выпуск данного танка переносили на ЧТЗ, куда отправили незаконченный танк. При этом объемы выпуска явно выглядели скромно. Теперь от завода №92 требовалось всего 35 орудий - 5 в октябре, 10 в ноябре и 20 в декабре 1941 года. В июле 1941 года Грабин выходил с идеей установки ЗИС-6 в КВ-2, но данную идею реализовывать не стали. Причина прозаична - данные танки прекратили выпускать (20349).</w:t>
      </w:r>
    </w:p>
    <w:p w14:paraId="6C94D5CB"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4DAAF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июня 1942 вышло Постановление ГКО № 1927 Об эвакуации несмонтированного, незаконченного монтажем и неиспользуемого оборудования, материалов и готовой продукции предприятий Hаркомчермета, расположенных в районах городов Ворошиловска и Серго Ворошиловградской области.РГАНИР, Фонд ГКО, д. 40, лл. 62-67 (11012).</w:t>
      </w:r>
    </w:p>
    <w:p w14:paraId="74830B3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52F1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июня 1942 вышло Постановление ГКО № 1928 Об эвакуации оборудования и материалов с угольных шахт, заводов и предприятий Наркомугля, расположенных в прифронтовой полосе Ворошиловоградской и Ростовской области. РГАНИР, Фонд ГКО, д. 40, лл. 68-69, 70-73 (11012).</w:t>
      </w:r>
    </w:p>
    <w:p w14:paraId="23146E1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D04FE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июня 1942 вышло Постановление ГКО № 1929 О временном прекращении восстановительных работ на электростанциях Азчерэнерго и Донэнерго. РГАНИР, Фонд ГКО, д. 40, лл. 74-75, 76 (11012).</w:t>
      </w:r>
    </w:p>
    <w:p w14:paraId="0F9652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DB22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июня 1942 вышло Постановление ГКО № 1930 О передаче заводу № 172 НКВ Зуевского животноводческого совхоза Молотовской обл. РГАНИР, Фонд ГКО, д. 40, лл. 77 (11012).</w:t>
      </w:r>
    </w:p>
    <w:p w14:paraId="35B8EB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366C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июня 1942 вышло Постановление ГКО № 1931 О строительстве гидролизного завода по производству ксилитана. РГАНИР, Фонд ГКО, д. 40, лл. 78 (11012).</w:t>
      </w:r>
    </w:p>
    <w:p w14:paraId="4CDBC9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C17B6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июня 1942 вышло Постановление ГКО № 1932 О прекращении восстановительных работ на Донецком садовом и Рубежанском химическом заводах. РГАНИР, Фонд ГКО, д. 40, лл. 79 (11012).</w:t>
      </w:r>
    </w:p>
    <w:p w14:paraId="67A7A6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A8DAE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59E182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48877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25 июня</w:t>
      </w:r>
      <w:r w:rsidRPr="008127F8">
        <w:rPr>
          <w:rFonts w:ascii="Times New Roman" w:hAnsi="Times New Roman"/>
          <w:color w:val="000000" w:themeColor="text1"/>
          <w:sz w:val="16"/>
          <w:szCs w:val="16"/>
        </w:rPr>
        <w:t xml:space="preserve"> в 1942 году утреннее сообщение Совинформбюро:</w:t>
      </w:r>
    </w:p>
    <w:p w14:paraId="6881DBA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25 июня на Харьковском направлении наши войска вели бои с противником.</w:t>
      </w:r>
    </w:p>
    <w:p w14:paraId="58D3DC4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никаких изменений не произошло.</w:t>
      </w:r>
    </w:p>
    <w:p w14:paraId="52B63E0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Защитники Севастополя проявляют беспримерный героизм и мужество в борьбе с немецко-фашистскими войсками. Бойцы подразделения части, где командиром тов. Потапов, отбили 18 ожесточённых атак противника, уничтожили 350 гитлеровцев и 2 немецких танка. Самоотверженно ведут борьбу с превосходящими силами врага наши пехотинцы, краснофлотцы и артиллеристы. Старший сержант т. Хасанов из пулемёта истребил до взвода немецкой пехоты. Краснофлотец-связист т. Сегеденко подполз к танку противника и поджёг его бутылкой с горючей жидкостью. Младший лейтенант т. Павловский огнём из пулемёта подбил 2 немецких самолёта.</w:t>
      </w:r>
    </w:p>
    <w:p w14:paraId="347648C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Калининского фронта противник силою до батальона при поддержке танков атаковал гвардейское подразделение командира Гребницкого. Гвардейцы открыли по врагу массированный огонь из всех видов оружия. В результате упорного боя гитлеровцы отступили, потеряв убитыми около 300 солдат и офицеров. На другом участке фронта артиллеристы части, где командиром тов. Морозов, уничтожили немецкий танк, 4 орудия, 2 миномёта, 6 пулемётов и более 100 гитлеровцев.</w:t>
      </w:r>
    </w:p>
    <w:p w14:paraId="38D35AB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Девять немецких бомбардировщиков пытались бомбить расположение наших войск на одном из участков Ленинградского фронта. Наши зенитчики открыли огонь и сбили два «Юнкерса-88». Остальные немецкие самолёты беспорядочно сбросили бомбы и скрылись.</w:t>
      </w:r>
    </w:p>
    <w:p w14:paraId="1F4B85C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Снайперы части, где командиром тов. Бовкун, за последние четыре месяца уничтожили 847 гитлеровцев. Лейтенант т. Изегов истребил 144 гитлеровца, красноармеец т. Орлов —125, старшина т. Якунин — 120, старший сержант т. Гаврилов — 96 немецких солдат и офицеров.</w:t>
      </w:r>
    </w:p>
    <w:p w14:paraId="2F57193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Получено сообщение об успешных действиях белорусских партизан. Партизанский отряд под командованием тов. Р. уничтожил немецкую штабную машину. Убиты немецкий генерал, 10 офицеров и 4 солдата. Партизанами захвачены 2 пулемета, винтовки и штабные документы. Четыре партизанских отряда, действуя совместно, разгромили карательную экспедицию гитлеровцев. В боях партизаны уничтожили 3офицеров и 72 солдата противника. Один из белорусских партизанских отрядов организовал крушение немецкого железнодорожного эшелона с горючим, направлявшегося к фронту. Возникший пожар длился 6 часов. Движение поездов на дороге прервано.</w:t>
      </w:r>
    </w:p>
    <w:p w14:paraId="3B6E9C6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4 роты 423 полка 212 немецкой пехотной дивизии Георг Эйхельдингер сообщил: «Я некоторое время лежал в лазарете в Кенигсберге. Там я наслышался о зверствах немецких солдат над мирным населением в оккупированных советских районах. Сами солдаты рассказывали, что они истязали, мучили женщин и глумились над ними. Я тогда не поверил этим рассказам. Позднее мне пришлось самому увидеть все эти пакости. Я знаю, как жестоко расправлялся с жителями комендант села Стрельны обер-лейтенант Каспар. Солдаты грабили население и бесчинствовали. Особенно свирепствовали обер-ефрейтор Фассельд и писарь 9 роты ефрейтор Макс Швальд. Эти бестии зверски мучили всех, кто попадался им на глаза».</w:t>
      </w:r>
    </w:p>
    <w:p w14:paraId="1D741F2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Германия вынудила Румынию заключить новое кабальное соглашение. По этому соглашению румынские холопы Гитлера обязались отдать немцам последние остатки продовольствия. В связи с этим специальные отряды жандармов уже устраивают в деревнях повальные обыски и забирают у крестьян скот и зерно, которые у них находят.» (14933).</w:t>
      </w:r>
    </w:p>
    <w:p w14:paraId="0ADCB47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00374F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25 июня</w:t>
      </w:r>
      <w:r w:rsidRPr="008127F8">
        <w:rPr>
          <w:rFonts w:ascii="Times New Roman" w:hAnsi="Times New Roman"/>
          <w:color w:val="000000" w:themeColor="text1"/>
          <w:sz w:val="16"/>
          <w:szCs w:val="16"/>
        </w:rPr>
        <w:t xml:space="preserve"> в 1942 году вечернее сообщение Совинформбюро:</w:t>
      </w:r>
    </w:p>
    <w:p w14:paraId="2FAB3C1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25 июня на Харьковском направлении наши войска продолжали бои с наступающими войсками противника. После упорных боёв наши части оставили город Купянск.</w:t>
      </w:r>
    </w:p>
    <w:p w14:paraId="572D0AB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Севастопольском участке фронта наши войска отбили многочисленные и ожесточённые атаки противника.</w:t>
      </w:r>
    </w:p>
    <w:p w14:paraId="76009F1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никаких изменений не произошло.</w:t>
      </w:r>
    </w:p>
    <w:p w14:paraId="10E501D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24 июня частями нашей авиации на различных участках фронта уничтожено или повреждено 85 немецких танков, 300 автомашин с войсками и грузами, 40 повозок с боеприпасами, 18 зенитно-пулемётных точек, подавлен огонь 12 батарей зенитной и полевой артиллерии, потоплены два транспорта, взорван склад с боеприпасами, разрушено несколько железнодорожных складов и подожжён нефтесклад, рассеяно и частью уничтожено два батальона пехоты противника.</w:t>
      </w:r>
    </w:p>
    <w:p w14:paraId="3C83602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одном из участков Харьковского направления немецкое командование ударами с воздуха стремится проложить дорогу своим наземным войскам. Наши лётчики за один день провели свыше тридцати боёв, во время которых сбили и повредили 51 немецкий самолёт. Прикрывая свои войска, советская авиация в то же время </w:t>
      </w:r>
      <w:r w:rsidRPr="008127F8">
        <w:rPr>
          <w:rFonts w:ascii="Times New Roman" w:hAnsi="Times New Roman"/>
          <w:color w:val="000000" w:themeColor="text1"/>
          <w:sz w:val="16"/>
          <w:szCs w:val="16"/>
        </w:rPr>
        <w:lastRenderedPageBreak/>
        <w:t>наносит сокрушительные удары по ближайшим тылам немцев. Группа наших самолётов под командованием старшего политрука Неделько обнаружила в лесу скопление танков и автомашин противника. Внезапными налётами советские лётчики уничтожили и повредили 27 немецких танков, 63 автомашины с войсками и грузами и 6 бензоцистерн.</w:t>
      </w:r>
    </w:p>
    <w:p w14:paraId="170C9EF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Приморцы-артиллеристы Севастополя уничтожили 25 немецких танков и сбили 16 самолётов противника.</w:t>
      </w:r>
    </w:p>
    <w:p w14:paraId="5A3B720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Немецкая пехота атаковала позиции, которые обороняло подразделение лейтенанта Прокопова (Северо-Западный фронт). Наши бойцы штыковым ударом отбили атаку гитлеровцев. Захвачены трофеи: 7 пулемётов, 4 автомата, 2 миномёта, много винтовок и патронов.</w:t>
      </w:r>
    </w:p>
    <w:p w14:paraId="3592398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артиллеристы совершили удачный огневой налёт на укрепления врага (Калининский фронт). Уничтожено 26 блиндажей с находившимися в них солдатами противника, 4 станковых пулемёта, 3 автоматические пушки и крупнокалиберныйпулемёт.</w:t>
      </w:r>
    </w:p>
    <w:p w14:paraId="45B5D8B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Десять наших разведчиков во главе со старшим лейтенантом Беловашевым скрытно пробрались в тыл противника. Заметив приближающуюся группу гитлеровцев, разведчики подпустили их на близкое расстояние и уничтожили 60 немецких солдат. Захватив пленного, пулемёт и документы, разведчики вернулись в свою часть.</w:t>
      </w:r>
    </w:p>
    <w:p w14:paraId="6C47DB2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орловских партизан под командованием тов. С. за время своей боевой деятельности уничтожил 11 немецких самолётов, 45 автомашин и 26 подвод с грузами, организовал крушение трёх железнодорожных эшелонов и взорвал несколько мостов. В боях против немецких оккупантов партизаны уничтожили свыше 800 гитлеровцев. Отряд захватил у противника 10 пулемётов, 14 автоматов, много винтовок и пистолетов.</w:t>
      </w:r>
    </w:p>
    <w:p w14:paraId="1BAFCFA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Перешедший на сторону Красной Армии ефрейтор 263 полка испанской «Голубой дивизии» Франции» Б. рассказал: «Наш эшелон в составе тысячи человек выехал из Сан-Себастьяна во второй половине апреля. В дороге мы узнали, что с предыдущим эшелоном испанские власти имели большие неприятности. Солдаты убили капитана и отказались ехать в Россию. Пришлось вызывать полицию. Между солдатами и полицейскими произошла кровавая схватка. С обеих сторон были убитые и раненые. Наш эшелон также имел в пути неприятные приключения. Ехали мы через Францию. Французы встречали нас очень враждебно. Около Эндейя французские железнодорожники разобрали путь, и наш поезд сошёл с рельсов. Свыше месяца мы пробыли в Ауэрбахе (Германия), где проходили военное обучение. Там ожидался ещё один эшелон испанских солдат, но он не прибыл. Позднее мы узнали, что английские самолёты подвергли этот поезд ожесточённой бомбардировке. Погибло очень много солдат, а остальных вернули в Испанию. На советско-германский фронт мы прибыли недавно. При первой возможности я перешёл на сторону Красной Армии».</w:t>
      </w:r>
    </w:p>
    <w:p w14:paraId="42BEC53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итальянском корабле, недавно вышедшем из порта Пирей (Греция), произошёл взрыв. Транспорт утонул. Предполагают, что взрыв был вызван адской машиной, которую установили на корабле греческие патриоты во время погрузки.» (14933).</w:t>
      </w:r>
    </w:p>
    <w:p w14:paraId="2BA1812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DE3FC9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с 25 на 26.6.42 г. ТБ-7 №42066 летал на бомбардирование скопления танков, артиллерии и пехоты противника в районе дер. Паханок. Летчик Пусэп, штурман Лебедев при пролете линии фронта наблюда</w:t>
      </w:r>
      <w:r w:rsidRPr="008127F8">
        <w:rPr>
          <w:rFonts w:ascii="Times New Roman" w:hAnsi="Times New Roman"/>
          <w:color w:val="000000" w:themeColor="text1"/>
          <w:sz w:val="16"/>
          <w:szCs w:val="16"/>
        </w:rPr>
        <w:softHyphen/>
        <w:t>ли три костра севернее Рождественское, обо</w:t>
      </w:r>
      <w:r w:rsidRPr="008127F8">
        <w:rPr>
          <w:rFonts w:ascii="Times New Roman" w:hAnsi="Times New Roman"/>
          <w:color w:val="000000" w:themeColor="text1"/>
          <w:sz w:val="16"/>
          <w:szCs w:val="16"/>
        </w:rPr>
        <w:softHyphen/>
        <w:t>значающие линию фронта своих войск. В районе цели наблюдали отдельные огни. С одного захода в 23.26 с высоты 4600 м на цель сброшено: 22 ФАБ-100,2 РРАБ-2 с А0-15 = 60 шт, ЗАБ-2,5 = 80 шт. Бомбы сброшены юго-западнее от деревни Паханок. Прицель</w:t>
      </w:r>
      <w:r w:rsidRPr="008127F8">
        <w:rPr>
          <w:rFonts w:ascii="Times New Roman" w:hAnsi="Times New Roman"/>
          <w:color w:val="000000" w:themeColor="text1"/>
          <w:sz w:val="16"/>
          <w:szCs w:val="16"/>
        </w:rPr>
        <w:softHyphen/>
        <w:t>ное бомбометание по дер. Паханок было затруднено облачностью и густой дымкой. Основной точкой прицеливания была р. Хан. После разрыва бомб возник один небольшой пожар, быстро потухший. Из района запад</w:t>
      </w:r>
      <w:r w:rsidRPr="008127F8">
        <w:rPr>
          <w:rFonts w:ascii="Times New Roman" w:hAnsi="Times New Roman"/>
          <w:color w:val="000000" w:themeColor="text1"/>
          <w:sz w:val="16"/>
          <w:szCs w:val="16"/>
        </w:rPr>
        <w:softHyphen/>
        <w:t>нее дер. Паханок по самолету велся слабый огонь ЗА (19936).</w:t>
      </w:r>
    </w:p>
    <w:p w14:paraId="5E5E4E1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2E71116" w14:textId="77777777" w:rsidR="007C5583" w:rsidRPr="008127F8" w:rsidRDefault="007C5583" w:rsidP="007C5583">
      <w:pPr>
        <w:pStyle w:val="109"/>
        <w:shd w:val="clear" w:color="auto" w:fill="auto"/>
        <w:spacing w:line="240" w:lineRule="auto"/>
        <w:jc w:val="both"/>
        <w:rPr>
          <w:color w:val="000000" w:themeColor="text1"/>
          <w:sz w:val="16"/>
          <w:szCs w:val="16"/>
        </w:rPr>
      </w:pPr>
      <w:r w:rsidRPr="008127F8">
        <w:rPr>
          <w:color w:val="000000" w:themeColor="text1"/>
          <w:sz w:val="16"/>
          <w:szCs w:val="16"/>
        </w:rPr>
        <w:t>В ночь с 25 на 26 июля 1942 года состоялся вылет на город Кенигсберг, корабль 42015 бомбил город Ин стен бург.</w:t>
      </w:r>
    </w:p>
    <w:p w14:paraId="55876A6F" w14:textId="77777777" w:rsidR="007C5583" w:rsidRPr="008127F8" w:rsidRDefault="007C5583" w:rsidP="007C5583">
      <w:pPr>
        <w:pStyle w:val="109"/>
        <w:shd w:val="clear" w:color="auto" w:fill="auto"/>
        <w:spacing w:line="240" w:lineRule="auto"/>
        <w:jc w:val="both"/>
        <w:rPr>
          <w:color w:val="000000" w:themeColor="text1"/>
          <w:sz w:val="16"/>
          <w:szCs w:val="16"/>
        </w:rPr>
      </w:pPr>
      <w:r w:rsidRPr="008127F8">
        <w:rPr>
          <w:color w:val="000000" w:themeColor="text1"/>
          <w:sz w:val="16"/>
          <w:szCs w:val="16"/>
        </w:rPr>
        <w:t>Самолет № 42105, командир Пономаренко, штурман Владимиров - из-за ошибочных расчетов до цели не дошел, по расчету штурмана бомбардирован г. Инстербург из-за облаков.</w:t>
      </w:r>
    </w:p>
    <w:p w14:paraId="470AFE50" w14:textId="77777777" w:rsidR="007C5583" w:rsidRPr="008127F8" w:rsidRDefault="007C5583" w:rsidP="007C5583">
      <w:pPr>
        <w:pStyle w:val="109"/>
        <w:shd w:val="clear" w:color="auto" w:fill="auto"/>
        <w:spacing w:line="240" w:lineRule="auto"/>
        <w:jc w:val="both"/>
        <w:rPr>
          <w:color w:val="000000" w:themeColor="text1"/>
          <w:sz w:val="16"/>
          <w:szCs w:val="16"/>
        </w:rPr>
      </w:pPr>
      <w:r w:rsidRPr="008127F8">
        <w:rPr>
          <w:color w:val="000000" w:themeColor="text1"/>
          <w:sz w:val="16"/>
          <w:szCs w:val="16"/>
        </w:rPr>
        <w:t>В 00 час 25 мин с высоты 7000 м на цель сброшено: 2 ФАБ- 1000,2 ФАБ-250 тга. Наблюдали разрывы всех бомб по отблескам, определить, куда попали бомбы экипаж не мог из-за облачности. В результате бомбометания возник один очаг пожара. Г. Инстербург прикрыт ЗА среднего и крупного калибра, наблюдали разрывы снарядов, по отблескам на облаках отмечена работа прожекторов. Над целью патрулировали четыре истребителя на разных высотах (5, 6 и 7 тыс. метров).</w:t>
      </w:r>
    </w:p>
    <w:p w14:paraId="0BCB22AD" w14:textId="77777777" w:rsidR="007C5583" w:rsidRPr="008127F8" w:rsidRDefault="007C5583" w:rsidP="007C5583">
      <w:pPr>
        <w:pStyle w:val="319"/>
        <w:shd w:val="clear" w:color="auto" w:fill="auto"/>
        <w:spacing w:after="0"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К сожалению, когда у корабля поменялся командир и штурман, неизвестно. Вполне возможно, что корабль в июне- июле 1942 года проходил ремонт, и прибыв в полк был, передан новому экипажу. В мае 1942 года был сформирован 890-й АПДД (авиационный полк дальнего действия), он стал вторым полком вооруженным ТБ-7-ми. Корабли этого полка стали получать бортовые номера голубого цвета, а корабли 432-го ТБАП (с декабря 1941 года 746-й АПДД) стали получать бортовые номера красного цвета. ТБ-7 № 42015 получил бортовой номер 5 красного цвета. К сожалению, до этого времени не известно, был ли у корабля бортовой номер или нет.</w:t>
      </w:r>
    </w:p>
    <w:p w14:paraId="0AFDF1A3" w14:textId="77777777" w:rsidR="007C5583" w:rsidRPr="008127F8" w:rsidRDefault="007C5583" w:rsidP="007C5583">
      <w:pPr>
        <w:pStyle w:val="319"/>
        <w:shd w:val="clear" w:color="auto" w:fill="auto"/>
        <w:spacing w:after="0"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ночь с 2 на 3 августа 1942 года корабль и его экипаж совершил вылет на ж.д. узел Ржев южный:</w:t>
      </w:r>
    </w:p>
    <w:p w14:paraId="4B2BA2D3" w14:textId="77777777" w:rsidR="007C5583" w:rsidRPr="008127F8" w:rsidRDefault="007C5583" w:rsidP="007C5583">
      <w:pPr>
        <w:pStyle w:val="109"/>
        <w:shd w:val="clear" w:color="auto" w:fill="auto"/>
        <w:spacing w:line="240" w:lineRule="auto"/>
        <w:jc w:val="both"/>
        <w:rPr>
          <w:color w:val="000000" w:themeColor="text1"/>
          <w:sz w:val="16"/>
          <w:szCs w:val="16"/>
        </w:rPr>
      </w:pPr>
      <w:r w:rsidRPr="008127F8">
        <w:rPr>
          <w:color w:val="000000" w:themeColor="text1"/>
          <w:sz w:val="16"/>
          <w:szCs w:val="16"/>
        </w:rPr>
        <w:t>Командир корабля 42015 капитан Пономаренко, штурман майор Владимиров бомбардировал ж. д. ст. Ржев южная. При подходе к цели наблюдали бомбометание других самолетов.</w:t>
      </w:r>
    </w:p>
    <w:p w14:paraId="641263B9" w14:textId="77777777" w:rsidR="007C5583" w:rsidRPr="008127F8" w:rsidRDefault="007C5583" w:rsidP="007C5583">
      <w:pPr>
        <w:pStyle w:val="109"/>
        <w:shd w:val="clear" w:color="auto" w:fill="auto"/>
        <w:spacing w:line="240" w:lineRule="auto"/>
        <w:jc w:val="both"/>
        <w:rPr>
          <w:color w:val="000000" w:themeColor="text1"/>
          <w:sz w:val="16"/>
          <w:szCs w:val="16"/>
        </w:rPr>
      </w:pPr>
      <w:r w:rsidRPr="008127F8">
        <w:rPr>
          <w:color w:val="000000" w:themeColor="text1"/>
          <w:sz w:val="16"/>
          <w:szCs w:val="16"/>
        </w:rPr>
        <w:t>С одного захода с курсом 130° в 22.12 с высоты 4100</w:t>
      </w:r>
      <w:r w:rsidRPr="008127F8">
        <w:rPr>
          <w:rStyle w:val="10105pt"/>
          <w:color w:val="000000" w:themeColor="text1"/>
          <w:sz w:val="16"/>
          <w:szCs w:val="16"/>
        </w:rPr>
        <w:t xml:space="preserve"> м</w:t>
      </w:r>
      <w:r w:rsidRPr="008127F8">
        <w:rPr>
          <w:color w:val="000000" w:themeColor="text1"/>
          <w:sz w:val="16"/>
          <w:szCs w:val="16"/>
        </w:rPr>
        <w:t xml:space="preserve"> на цель сброшено: 2 ФАБ-1000, 8 ФАБ-250,2 САБ-100. Наблюдали разрывы бомб среди путей ж.д. станции Ржев южная.</w:t>
      </w:r>
    </w:p>
    <w:p w14:paraId="30889FB4" w14:textId="77777777" w:rsidR="007C5583" w:rsidRPr="008127F8" w:rsidRDefault="007C5583" w:rsidP="007C5583">
      <w:pPr>
        <w:pStyle w:val="109"/>
        <w:shd w:val="clear" w:color="auto" w:fill="auto"/>
        <w:spacing w:line="240" w:lineRule="auto"/>
        <w:jc w:val="both"/>
        <w:rPr>
          <w:color w:val="000000" w:themeColor="text1"/>
          <w:sz w:val="16"/>
          <w:szCs w:val="16"/>
        </w:rPr>
      </w:pPr>
      <w:r w:rsidRPr="008127F8">
        <w:rPr>
          <w:color w:val="000000" w:themeColor="text1"/>
          <w:sz w:val="16"/>
          <w:szCs w:val="16"/>
        </w:rPr>
        <w:t>В результате возникло 4 очага пожара на ж.д. путях.</w:t>
      </w:r>
    </w:p>
    <w:p w14:paraId="04637AA9" w14:textId="77777777" w:rsidR="007C5583" w:rsidRPr="008127F8" w:rsidRDefault="007C5583" w:rsidP="007C5583">
      <w:pPr>
        <w:pStyle w:val="319"/>
        <w:shd w:val="clear" w:color="auto" w:fill="auto"/>
        <w:spacing w:after="0" w:line="240" w:lineRule="auto"/>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ночь с 7 на 8 августа 1942 года корабль по причине отказа матчасти не выполнил задание по бомбардированию аэродрома Смоленск.</w:t>
      </w:r>
    </w:p>
    <w:p w14:paraId="776556B2" w14:textId="77777777" w:rsidR="007C5583" w:rsidRPr="008127F8" w:rsidRDefault="007C5583" w:rsidP="007C5583">
      <w:pPr>
        <w:pStyle w:val="109"/>
        <w:shd w:val="clear" w:color="auto" w:fill="auto"/>
        <w:spacing w:line="240" w:lineRule="auto"/>
        <w:jc w:val="both"/>
        <w:rPr>
          <w:color w:val="000000" w:themeColor="text1"/>
          <w:sz w:val="16"/>
          <w:szCs w:val="16"/>
        </w:rPr>
      </w:pPr>
      <w:r w:rsidRPr="008127F8">
        <w:rPr>
          <w:color w:val="000000" w:themeColor="text1"/>
          <w:sz w:val="16"/>
          <w:szCs w:val="16"/>
        </w:rPr>
        <w:t>Один самолет, летчик Пономаренко, задание не выполнил, обрезал второй мотор, через 15 мин полета произвел посадку на своем аэродроме с бомбами (19105).</w:t>
      </w:r>
    </w:p>
    <w:p w14:paraId="05BBD870" w14:textId="77777777" w:rsidR="007C5583" w:rsidRPr="008127F8" w:rsidRDefault="007C5583" w:rsidP="007C5583">
      <w:pPr>
        <w:pStyle w:val="319"/>
        <w:shd w:val="clear" w:color="auto" w:fill="auto"/>
        <w:spacing w:after="0" w:line="240" w:lineRule="auto"/>
        <w:jc w:val="both"/>
        <w:rPr>
          <w:rFonts w:ascii="Times New Roman" w:hAnsi="Times New Roman" w:cs="Times New Roman"/>
          <w:color w:val="000000" w:themeColor="text1"/>
          <w:sz w:val="16"/>
          <w:szCs w:val="16"/>
        </w:rPr>
      </w:pPr>
    </w:p>
    <w:p w14:paraId="126AF83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25 июня</w:t>
      </w:r>
      <w:r w:rsidRPr="008127F8">
        <w:rPr>
          <w:rFonts w:ascii="Times New Roman" w:hAnsi="Times New Roman"/>
          <w:color w:val="000000" w:themeColor="text1"/>
          <w:sz w:val="16"/>
          <w:szCs w:val="16"/>
        </w:rPr>
        <w:t xml:space="preserve"> в 1942 году (25 июня - 24 июля) — операция Северного флота по обеспечению проводки конвоев «PQ-17» и «QP-13». Конвой вышел из Рейкъявика. Из 36 кораблей до Архангельска дошло всего 12, остальные были потоплены немецкими подводными лодками и авиацией (14933).</w:t>
      </w:r>
    </w:p>
    <w:p w14:paraId="2CC0F9F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24199F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25 июня</w:t>
      </w:r>
      <w:r w:rsidRPr="008127F8">
        <w:rPr>
          <w:rFonts w:ascii="Times New Roman" w:hAnsi="Times New Roman"/>
          <w:color w:val="000000" w:themeColor="text1"/>
          <w:sz w:val="16"/>
          <w:szCs w:val="16"/>
        </w:rPr>
        <w:t xml:space="preserve"> в 1942 году командующий 2-й Ударной Армией генерал А.А.Власов попал в немецкий плен (14933).</w:t>
      </w:r>
    </w:p>
    <w:p w14:paraId="29BBBB5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20FF8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25-26 июня 1942 после того, как немцы разбомбили единственный аэродром на м Херсонес, авиация, оборонявшая Севастополь прекратила существование (3417,24).</w:t>
      </w:r>
    </w:p>
    <w:p w14:paraId="59CD0BD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4C00F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июня 1942 в 01.00 Люфтваффе совершили первый налет на Саратов. В тот момент средства ПВО располагались следующим образом: 374-й ОЗАД оборонял подступы к городу с севера, третий дивизион 736-го ЗенАП – с юго-запада. Железнодорожный мост защищал 89-й ОЗАД, крекинг-завод им. Кирова и ГПЗ-3 – 501-й ОЗАД. Кроме того, в городе имелся один прожекторный батальон. Посты ВНОС сначала не заметили самолеты, идущие на город, а, обнаружив, приняли их за свои. Командующего диврайоном ПВО Овчинникова и военкома Никитина на месте не оказалось, а дежурные командиры их штаба при подходе вражеских самолетов проявили растерянность. В результате практически повторилась ситуация, уже имевшая место в Горьком 4 февраля. Распоряжение о подаче сигнала «ВТ» и открытии заградительного огня было отдано через три-четыре минуты после того, как раздались взрывы бомб. Истребительная авиация вообще не была приведена в действие. Шесть бомбардировщиков Не-111 из I./KG4 «Генерал Вефер» сбросили на Сталинский район Саратова фугасные бомбы: семь упали на ГПЗ-3, две – на поселок Парковка и три – на территорию стройтреста № 13. В результате на шарикоподшипниковом заводе была сброшена с рельсов цистерна с мазутом и возник пожар, частично разрушена столовая и выбиты стекла в цехах. Получили ранения 22 человека. Руководство МПВО ГПЗ-3 не смогло эффективно организовать работу своих формирований, разведка в очаги поражения была выслана несвоевременно. В растерянности оказался и штаб МПВО Сталинского района. В связи с этими событиями 25 июня в Саратове прошло заседание городского комитета обороны, на котором рассматривался вопрос о состоянии боевой готовности частей Саратовско-Балашовского дивизионного района ПВО. Вновь назначенному командующему диврайоном было предложено принять меры по укреплению боевой готовности частей района. Было принято решение немедленно начать формирование 1078-го зенитно-артиллерийского полка. На его комплектование направлялись рабочие и служащие предприятий, студенты вузов и добровольцы. По итогам заседания было принято постановление №127сс, в котором, в частности, говорилось:  «Налет вражеских самолетов на Саратов в ночь с 24на 25 июня вскрыл крупнейшие недостатки в работе Саратовско-Балашовского дивизионного района ПВО и штаба МПВО г. Саратова… Все это дало возможность вражеским самолетам беспрепятственно проникнуть к городу, летать над важными заводами на бреющем полете и сбросить бомбы на объекты подшипникового завода».Вскоре после полуночи 25 июня 1942 посты ВНОС в районе Тамбова вновь услышали в небе гул авиационных моторов. Затем эти данные подтвердили наблюдатели, находившиеся около пос. Ртищево, уже в Саратовской области. Это были девять Не-111 из I./KG4, летевшие вдоль железной дороги Тамбов – Саратов. В 01.15 в городе была объявлена воздушная тревога, и вскоре началась бомбежка. Ее целью вновь стал ГПЗ-3, на который были сброшены 18 фугасных бомб SC500. В итоге несколькими прямыми попаданиями были сильно разрушены четыре цеха: компрессорный, точных подшипников, шлифовальный и автоматно-токарный. Среди немецких летчиков, добившихся успеха, был обер-лейтенант Вальфред Шмиц. Зенитчики открыли огонь поздно, без каких-либо координат по предполагаемому курсу цели, но затем 2-я батарея 501-го ОЗАД заявила об одном сбитом «Хейнкеле». Возможно, это был Не-111H-6 WNr.7139 «5J+FH» из 1-й эскадрильи KG4, который в ту ночь не вернулся из боевого вылета. Летчики 753-го ИАП ПВО при отражении налета показали слабую летную подготовку. В воздух поднялся лишь один истребитель, но встреч с противником он не имел. Во время налета были зафиксированы многочисленные пуски сигнальных ракет с земли. В периоде 01.05 до 03.45 четыре красных ракеты взлетели с острова, расположенного напротив нефтебазы Улеши; с домов, расположенных в окрестностях авиазавода № 292, в направлении предприятия была выпущена серия красных и зеленых ракет, еще одна серия ракет поднялась с левого берега Волги, от г. Энгельс. Начштаба МПВО Сталинского района Антипин затем в своей оперативной сводке указал:  «Начиная со второго налета ВВС противника на Сталинский район обнаружено массовое выбрасывание сигнальных ракет (красных и синих-зеленых), указывающих точку бомбежки (красные) и направление бомбежки (траектория полета синей или зеленой ракеты)». Оперативные мероприятия, проведенные милицией, не дали никаких результатов (11774).</w:t>
      </w:r>
    </w:p>
    <w:p w14:paraId="40CEA12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086A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июня 1942 в 02.10 по местному времени высоко в небе послышался гул моторов одиночного самолета. Вскоре на складе лесоматериалов авиазавода № 21, находящемся в Кагановичском (Московском) районе Горького, прогремел мощный взрыв. В результате лесосклад был полностью разрушен, сгорело большое количество сырья. Человеческих жертв не было. Впоследствии оказалось, что были сброшены две 500-кг фугасные бомбы, одна из которых не взорвалась. В 03.25, когда уже светало, был дан отбой тревоги. Несмотря на то что в налете участвовал всего один самолет, зенитная артиллерия Горьковского корпусного района ПВО в эту ночь расстреляла 5500 снарядов всех калибров! В «Хейнкель» ни один из них не попал, зато в Автозаводском районе «стаканом» от снаряда была убита находившаяся на улице женщина и еще одна получила тяжелое ранение. Наступило утро, и разрушенный объект еще дымился, когда посты ВНОС доложили о пролете в сторону Горького еще одного самолета, вследствие чего в 07.50 по местному времени вторично был дан сигнал «Воздушная тревога». Жители, спешившие на работу в первую смену, могли видеть высоко в небе маленький силуэт самолета-разведчика, пролетевшего над городом. В 08.35 был опять дан отбой. Воздушная тревога в эту неспокойную для Поволжья ночь объявлялась и в Ярославле, однако там немецкие самолеты не появились. 25 июня вечером посты ВНОС Горьковского корпусного района также зафиксировали три – пять самолетов противника, летевших вдоль р. Оки. В сторону Горького летела еще одна группа Не-111 из I./KG4. В 01.36 в городе был дан сигнал «ВТ». Вскоре возле поселка Стригино, в восьми километрах юго-западнее автозавода, прогремели три мощных взрыва. Высланные на разведку группы МПВО потом обнаружили на окраине поселка три больших воронки диаметром семь-восемь метров и глубиной пять метров. При этом в соседнем лесу взрывной волной повалило деревья. Еще несколько бомб были сброшены на Сормовский район. Однако, по данным службы МПВО,  «жертв и разрушений не было». В 07.30 был снова подан сигнал «ВТ», а затем в 08.20 дан «Отбой». Гудки воздушной тревоги звучали в Горьком и в следующую ночь, однако на этот раз никакой бомбежки не было. Таким образом, нижегородцы отделались легким испугом, а вот Саратовскому шарикоподшипниковому заводу достал ось по полной программе. Возник большой пожар, озаривший июньское небо. В ликвидации последствий налета на ГПЗ-3 участвовала объектовая команда МПВО (в составе команды управления из 12 чел., команды охраны порядка – 74чел., аварийно-восстановительной команды – 15 чел. и медико-санитарной команды – 12 чел.) и 500 мобилизованных рабочих цехов. Штаб МПВО Саратова направил в очаги поражения команды медико-санитарной службы города, бригады по восстановлению водопровода, электросети и связи. На подмогу прибыли и 368 солдат из воинских частей. Пожары были в основном ликвидированы за четыре часа, а через восемь часов завод частично возобновил работу в цехах, не пострадавших от налета. Всего в ходе бомбежки на заводе погибли 30 и были ранены 202 человека. Эти слабые точечные удары германских бомбардировщиков, хотя и не нанесли сильного ущерба военной промышленности Поволжья, в очередной раз выявили многочисленные недостатки в организации ПВО и МПВО тыловых городов. 27 июня на ГПЗ-3 в Саратове прошло закрытое партсобрание. На нем были приняты решения о создании дополнительных пожарных звеньев, усилении аварийно-восстановительных команд и оборудовании укрытий. Восстановительные работы предполагалось в основном завершить к 7 июля. В этот же день начальник управления НКВД Горьковской области майор госбезопасности Рясной издал приказ № 057, в котором говорилось:</w:t>
      </w:r>
    </w:p>
    <w:p w14:paraId="27DDE5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«Налеты авиации противника на города области показали, что: </w:t>
      </w:r>
    </w:p>
    <w:p w14:paraId="06AC50A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а) дежурство на КП штабов городов, районов, объектов несут не ответственные работники штабов, а второстепенные лица, совершенно незнакомые или малознакомые с работой штаба по оповещению населения и рабочих объектов путем подачи сигнала «Воздушная тревога», со способами приведения в боевую готовность всех сил и средств местной ПВО, что ведет к опозданиям с подачей сигнала и развертывания сил, как это было 30.5. в Горьком, </w:t>
      </w:r>
    </w:p>
    <w:p w14:paraId="1B9FB1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 приведение в боевую готовность сил и средств городов и объектов происходит медленно и неполностью – не везде полная явка личного состава в участковые и объектовые команды, в группы самозащиты, пожарные посты. Группы самозащиты не усиливают наблюдения за светомаскировкой, не принимают мер к укрытию населения в бомбоубежищах, </w:t>
      </w:r>
    </w:p>
    <w:p w14:paraId="587B6EF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штабы не ведут разведки очагов поражения путем высылки на место специальной разведки, а питаются случайными данными, на практике это ведет к потере времени, к неправильным решениям по ликвидации очагов поражения и дезинформации вышестоящих штабов и начальников, </w:t>
      </w:r>
    </w:p>
    <w:p w14:paraId="125D5E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г) штабы не занимаются контролем за развертыванием сил и средств по сигналу «ВТ», за работой формирований в очагах поражения, подведением итогов работы и изучением опыта. На практике это ведет к тому, что недочеты не устраняются, качество работы и дисциплина не повышаются…»  (11774).</w:t>
      </w:r>
    </w:p>
    <w:p w14:paraId="230469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5729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25 июня по 24 июля 1942 была операция СФ по обеспечению проводки конвоев PQ-17 и PQ-13 (3186).</w:t>
      </w:r>
    </w:p>
    <w:p w14:paraId="59E2E5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9633B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4D4C1D8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157052"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июня 1942 года первый серийный Corsair с заводским номером 02153 и мотором фирмы Райт R2800-8 мощностью 1970 л.с. поднялся в воздух. Истребитель достиг максимальной скорости 638 км/ч на высоте 7545 м и скороподъемности 15,23 м/с. Самолеты первой серии имели взлетную массу 5388 кг, причем масса конструкции составляла 4028 кг. По требованию ВМС, в ходе серийного производства емкость топливного бака неоднократно увеличивалась, и взлетный вес «Корсара» дошел до 6286 кг. Официальная церемония передачи F4U-1 заказчику состоялась 15 августа. 7 сентября 1942 года первые истребители поступили на вооружение эскадрильи VMF-124 авиации морской пехоты. Палубные подразделения должны были получить машины сразу после того, как пройдут ее испытания на авианосце (22903).</w:t>
      </w:r>
    </w:p>
    <w:p w14:paraId="5D830767"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6BFDFF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25–26 июня (ночь) 1942 Командование бомбардировщиков Королевских ВВС совершает свой третий «налет тысячи бомбардировщиков», при этом 1067 бомбардировщиков нацелены на Бремен, нанеся серьезные повреждения городу в обмен на потерю 55 бомбардировщиков; ночные истребители из II Gruppe Люфтваффе  Nachtjagdgeschwader 2 сбивают 16 из них. Avro Манчестер бомбардировщик выполняет свою последнюю боевую миссию в этом рейде (20793).</w:t>
      </w:r>
    </w:p>
    <w:p w14:paraId="09FF257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C4D75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25 June 1942 General Eisenhower is made Commander-in-Chief of Europe (270) and arrived in London (1050).</w:t>
      </w:r>
    </w:p>
    <w:p w14:paraId="62A6D08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49A642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июня 1942 Эйзенхауер стал Главнокомандующим союзников в Европе и прибыл в Лондон (270;1050).</w:t>
      </w:r>
    </w:p>
    <w:p w14:paraId="2200B3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F37AC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июня 1942 американский генерал Эйзенхауэр прибыл в Лондон (4962).</w:t>
      </w:r>
    </w:p>
    <w:p w14:paraId="0ABA54D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54FA6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 25th, 1942: The Afrikakorps captures Sidi Barrani, Sollum and Halfaya Pass in Libya. The RAF launches a 1,000-bomber raid on Bremen which causes heavy damage to the Focke-Wulf plant and devastates 27 acres of the inner city (49 aircraft lost). Major-General Eisenhower is appointed C-in-C of US forces in Europe (3819).</w:t>
      </w:r>
    </w:p>
    <w:p w14:paraId="3C16C31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0463CD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25 июня</w:t>
      </w:r>
      <w:r w:rsidRPr="008127F8">
        <w:rPr>
          <w:rFonts w:ascii="Times New Roman" w:hAnsi="Times New Roman"/>
          <w:color w:val="000000" w:themeColor="text1"/>
          <w:sz w:val="16"/>
          <w:szCs w:val="16"/>
        </w:rPr>
        <w:t xml:space="preserve"> в 1942 году (25-26 июня) английская авиация осуществила массированный налет на Бремен (14933).</w:t>
      </w:r>
    </w:p>
    <w:p w14:paraId="3199D46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575953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25 июня</w:t>
      </w:r>
      <w:r w:rsidRPr="008127F8">
        <w:rPr>
          <w:rFonts w:ascii="Times New Roman" w:hAnsi="Times New Roman"/>
          <w:color w:val="000000" w:themeColor="text1"/>
          <w:sz w:val="16"/>
          <w:szCs w:val="16"/>
        </w:rPr>
        <w:t xml:space="preserve"> в 1942 году британская авиация сбросила на Бремен около 1000 бомб (14933).</w:t>
      </w:r>
    </w:p>
    <w:p w14:paraId="3AEAEC4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1770C6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25-26 июня 1942 английская авиация выполнила массированный налет на Бремен (3186).</w:t>
      </w:r>
    </w:p>
    <w:p w14:paraId="2F229B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B9911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июня 1942 Африканский корпус захватил Сиди Баррани, Солум и Хайфский перевал в Ливии. Королевские ВВС выполнили налет 1000 бомбардировщиков на бремен и сильно повредили заводы Фокке-Вульф и уничтожили 27 акров в центре города, потеряв 49 машин. Эйзенхауэр был назначен ГК сил США в Западной Европе (3919).</w:t>
      </w:r>
    </w:p>
    <w:p w14:paraId="3300B14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9E67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rPr>
        <w:t xml:space="preserve">Washington, June 25-27, 1942. </w:t>
      </w:r>
      <w:r w:rsidRPr="008127F8">
        <w:rPr>
          <w:rFonts w:ascii="Times New Roman" w:hAnsi="Times New Roman"/>
          <w:color w:val="000000" w:themeColor="text1"/>
          <w:sz w:val="16"/>
          <w:szCs w:val="16"/>
          <w:lang w:val="en-US"/>
        </w:rPr>
        <w:t>Conferees: Churchill, Roosevelt. Main result: Plan to attack Axis first in North Africa, and after that in Continental Europe (1052).</w:t>
      </w:r>
    </w:p>
    <w:p w14:paraId="23E56C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37FEB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ходе конференции Ф.Д.Р. и У.Черчиля в Вашингтоне 25-27 июня 1942 было принято решение о войне в Северной Африке вместо континентальной Европы в 1942 (1052).</w:t>
      </w:r>
    </w:p>
    <w:p w14:paraId="4D84E8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CA856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 июня 1942 были установлены дипотношения между США и Афганистаном (3186).</w:t>
      </w:r>
    </w:p>
    <w:p w14:paraId="3A6D39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48B4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7F49F1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D101F4" w14:textId="77777777" w:rsidR="007C5583" w:rsidRPr="008127F8" w:rsidRDefault="007C5583" w:rsidP="007C5583">
      <w:pPr>
        <w:pStyle w:val="162"/>
        <w:shd w:val="clear" w:color="auto" w:fill="auto"/>
        <w:spacing w:line="240" w:lineRule="auto"/>
        <w:jc w:val="both"/>
        <w:rPr>
          <w:rFonts w:eastAsia="Calibri"/>
          <w:color w:val="000000" w:themeColor="text1"/>
          <w:sz w:val="16"/>
          <w:szCs w:val="16"/>
        </w:rPr>
      </w:pPr>
      <w:r w:rsidRPr="008127F8">
        <w:rPr>
          <w:rFonts w:eastAsia="Calibri"/>
          <w:color w:val="000000" w:themeColor="text1"/>
          <w:sz w:val="16"/>
          <w:szCs w:val="16"/>
        </w:rPr>
        <w:t xml:space="preserve">26 июня 1942 года на Юго-Западном фронте был сбит немецкий военно-транспортный самолет </w:t>
      </w:r>
      <w:r w:rsidRPr="008127F8">
        <w:rPr>
          <w:rFonts w:eastAsia="Calibri"/>
          <w:color w:val="000000" w:themeColor="text1"/>
          <w:sz w:val="16"/>
          <w:szCs w:val="16"/>
          <w:lang w:val="en-US"/>
        </w:rPr>
        <w:t>Ju</w:t>
      </w:r>
      <w:r w:rsidRPr="008127F8">
        <w:rPr>
          <w:rFonts w:eastAsia="Calibri"/>
          <w:color w:val="000000" w:themeColor="text1"/>
          <w:sz w:val="16"/>
          <w:szCs w:val="16"/>
        </w:rPr>
        <w:t>-52. В сбитом самолете были обнаружены различные доку</w:t>
      </w:r>
      <w:r w:rsidRPr="008127F8">
        <w:rPr>
          <w:rFonts w:eastAsia="Calibri"/>
          <w:color w:val="000000" w:themeColor="text1"/>
          <w:sz w:val="16"/>
          <w:szCs w:val="16"/>
        </w:rPr>
        <w:softHyphen/>
        <w:t xml:space="preserve">менты, включая отчет о боевом применении новейшего штурмовика </w:t>
      </w:r>
      <w:r w:rsidRPr="008127F8">
        <w:rPr>
          <w:rFonts w:eastAsia="Calibri"/>
          <w:color w:val="000000" w:themeColor="text1"/>
          <w:sz w:val="16"/>
          <w:szCs w:val="16"/>
          <w:lang w:val="en-US"/>
        </w:rPr>
        <w:t>HenschelHs</w:t>
      </w:r>
      <w:r w:rsidRPr="008127F8">
        <w:rPr>
          <w:rFonts w:eastAsia="Calibri"/>
          <w:color w:val="000000" w:themeColor="text1"/>
          <w:sz w:val="16"/>
          <w:szCs w:val="16"/>
        </w:rPr>
        <w:t>.129, оснащенного 30-мм автоматической пушкой ВК-101. Самолет испытали стрельбой по тяжелому танку КВ-1, из 12 попада</w:t>
      </w:r>
      <w:r w:rsidRPr="008127F8">
        <w:rPr>
          <w:rFonts w:eastAsia="Calibri"/>
          <w:color w:val="000000" w:themeColor="text1"/>
          <w:sz w:val="16"/>
          <w:szCs w:val="16"/>
        </w:rPr>
        <w:softHyphen/>
        <w:t>ний 3 оказались с пробитием брони (17485).</w:t>
      </w:r>
    </w:p>
    <w:p w14:paraId="3744D6E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6F5B0B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июня 1942 вышел приказ НКАП N 472сс в исполнение постановления СНК от 11 июня 1942 N 913-472сс и в дополнение к приказу НКАП N 287 от 16 апреля 1942:</w:t>
      </w:r>
    </w:p>
    <w:p w14:paraId="7A8930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Организованное ГРУ именовать 6 ГУ</w:t>
      </w:r>
    </w:p>
    <w:p w14:paraId="7C26C2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Возложить на 6 ГУ руководство работой заводов НКАП по ремонту самолетов, моторов и изготовлению зап. частей к самолетам, сошедшим с серийного производства</w:t>
      </w:r>
    </w:p>
    <w:p w14:paraId="760AF5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Ремонтным заводам присвоить номера:</w:t>
      </w:r>
    </w:p>
    <w:p w14:paraId="1D708C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з-д по ремонту с-тов, организованный на площадях з-да 447 (Ереван) - з-д 447</w:t>
      </w:r>
    </w:p>
    <w:p w14:paraId="01C7C6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з-д по ремонту с-тов, организованный на площадях з-да 289 (Калининград) - з-д 380 (1575,7).</w:t>
      </w:r>
    </w:p>
    <w:p w14:paraId="68228F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BB5DBF" w14:textId="77777777" w:rsidR="002E4AAB" w:rsidRPr="008A2E5A" w:rsidRDefault="002E4AAB" w:rsidP="002E4A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июня 1942 г. Главный инженер ВВС гене</w:t>
      </w:r>
      <w:r w:rsidRPr="008A2E5A">
        <w:rPr>
          <w:rFonts w:ascii="Times New Roman" w:hAnsi="Times New Roman"/>
          <w:color w:val="0070C0"/>
          <w:sz w:val="16"/>
          <w:szCs w:val="16"/>
        </w:rPr>
        <w:softHyphen/>
        <w:t>рал-лейтенант Репин поручил только что на</w:t>
      </w:r>
      <w:r w:rsidRPr="008A2E5A">
        <w:rPr>
          <w:rFonts w:ascii="Times New Roman" w:hAnsi="Times New Roman"/>
          <w:color w:val="0070C0"/>
          <w:sz w:val="16"/>
          <w:szCs w:val="16"/>
        </w:rPr>
        <w:softHyphen/>
        <w:t>значенному начальнику ГУЗ и ТС ВВС генерал- майору Бибикову обеспечить все находящие</w:t>
      </w:r>
      <w:r w:rsidRPr="008A2E5A">
        <w:rPr>
          <w:rFonts w:ascii="Times New Roman" w:hAnsi="Times New Roman"/>
          <w:color w:val="0070C0"/>
          <w:sz w:val="16"/>
          <w:szCs w:val="16"/>
        </w:rPr>
        <w:softHyphen/>
        <w:t>ся в строю ЛаГГ-3 насадками на воздухозаборника водорадиатор, после чего до</w:t>
      </w:r>
      <w:r w:rsidRPr="008A2E5A">
        <w:rPr>
          <w:rFonts w:ascii="Times New Roman" w:hAnsi="Times New Roman"/>
          <w:color w:val="0070C0"/>
          <w:sz w:val="16"/>
          <w:szCs w:val="16"/>
        </w:rPr>
        <w:softHyphen/>
        <w:t>полнительно заказали еще 500 комплектов. То есть, измененные воздухозаборники с мая-июня 1942 года стали стандартными для всех ЛаГГ-3, в том числе и с 37-мм пушками, правда, только постройки завода № 21. Види</w:t>
      </w:r>
      <w:r w:rsidRPr="008A2E5A">
        <w:rPr>
          <w:rFonts w:ascii="Times New Roman" w:hAnsi="Times New Roman"/>
          <w:color w:val="0070C0"/>
          <w:sz w:val="16"/>
          <w:szCs w:val="16"/>
        </w:rPr>
        <w:softHyphen/>
        <w:t>мо, Главный конструктор тбилисского завода В.П. Горбунов сумел отстоять чистоту аэро</w:t>
      </w:r>
      <w:r w:rsidRPr="008A2E5A">
        <w:rPr>
          <w:rFonts w:ascii="Times New Roman" w:hAnsi="Times New Roman"/>
          <w:color w:val="0070C0"/>
          <w:sz w:val="16"/>
          <w:szCs w:val="16"/>
        </w:rPr>
        <w:softHyphen/>
        <w:t>динамических форм своих изделий (23409).</w:t>
      </w:r>
    </w:p>
    <w:p w14:paraId="6E0857BA" w14:textId="77777777" w:rsidR="002E4AAB" w:rsidRPr="008A2E5A" w:rsidRDefault="002E4AAB" w:rsidP="002E4AAB">
      <w:pPr>
        <w:spacing w:after="0" w:line="240" w:lineRule="auto"/>
        <w:jc w:val="both"/>
        <w:rPr>
          <w:rFonts w:ascii="Times New Roman" w:hAnsi="Times New Roman"/>
          <w:color w:val="0070C0"/>
          <w:sz w:val="16"/>
          <w:szCs w:val="16"/>
        </w:rPr>
      </w:pPr>
    </w:p>
    <w:p w14:paraId="10F453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26 июня по 16 июля 1942 проходили заводские испытания Як-7ДИ (дальний истребитель) и летал П.Я.Федрови сделав 13 полетов продолжительностью 10:20 (65,106).</w:t>
      </w:r>
    </w:p>
    <w:p w14:paraId="0846120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2F8F7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26 июня</w:t>
      </w:r>
      <w:r w:rsidRPr="008127F8">
        <w:rPr>
          <w:rFonts w:ascii="Times New Roman" w:hAnsi="Times New Roman"/>
          <w:color w:val="000000" w:themeColor="text1"/>
          <w:sz w:val="16"/>
          <w:szCs w:val="16"/>
        </w:rPr>
        <w:t xml:space="preserve"> в 1942 году начались (по 16 июля) заводские испытания </w:t>
      </w:r>
      <w:hyperlink r:id="rId90" w:tgtFrame="_blank" w:history="1">
        <w:r w:rsidRPr="008127F8">
          <w:rPr>
            <w:rFonts w:ascii="Times New Roman" w:hAnsi="Times New Roman"/>
            <w:color w:val="000000" w:themeColor="text1"/>
            <w:sz w:val="16"/>
            <w:szCs w:val="16"/>
          </w:rPr>
          <w:t xml:space="preserve">«Як-7ДИ». </w:t>
        </w:r>
      </w:hyperlink>
      <w:r w:rsidRPr="008127F8">
        <w:rPr>
          <w:rFonts w:ascii="Times New Roman" w:hAnsi="Times New Roman"/>
          <w:color w:val="000000" w:themeColor="text1"/>
          <w:sz w:val="16"/>
          <w:szCs w:val="16"/>
        </w:rPr>
        <w:t>Было выполнено (13 полетов общей продолжительностью 10 ч 20 мин). Государственные испытания проходили с 18 июля по 5 августа 1942 года (60 полетов, 40 ч 15 мин) (14934).</w:t>
      </w:r>
    </w:p>
    <w:p w14:paraId="529E61D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11BC6F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июня 1942 г. был передан на заводские испытания опытный истребитель получил обозначе</w:t>
      </w:r>
      <w:r w:rsidRPr="008127F8">
        <w:rPr>
          <w:rFonts w:ascii="Times New Roman" w:hAnsi="Times New Roman"/>
          <w:color w:val="000000" w:themeColor="text1"/>
          <w:sz w:val="16"/>
          <w:szCs w:val="16"/>
        </w:rPr>
        <w:softHyphen/>
        <w:t>ние Як-7ДИ. За основу был взят Як-7Б, который в 1942 г. по пилотажным качествам и в це</w:t>
      </w:r>
      <w:r w:rsidRPr="008127F8">
        <w:rPr>
          <w:rFonts w:ascii="Times New Roman" w:hAnsi="Times New Roman"/>
          <w:color w:val="000000" w:themeColor="text1"/>
          <w:sz w:val="16"/>
          <w:szCs w:val="16"/>
        </w:rPr>
        <w:softHyphen/>
        <w:t>лом по комплексу боевых возможностей являлся лучшим в отечественных ВВС. Кардинальным изменениям подверглось его крыло, в конструкции которого приме</w:t>
      </w:r>
      <w:r w:rsidRPr="008127F8">
        <w:rPr>
          <w:rFonts w:ascii="Times New Roman" w:hAnsi="Times New Roman"/>
          <w:color w:val="000000" w:themeColor="text1"/>
          <w:sz w:val="16"/>
          <w:szCs w:val="16"/>
        </w:rPr>
        <w:softHyphen/>
        <w:t>нили металлический лонжерон, благодаря чему получили не только существенный выигрыш в весе, но и возможность увели</w:t>
      </w:r>
      <w:r w:rsidRPr="008127F8">
        <w:rPr>
          <w:rFonts w:ascii="Times New Roman" w:hAnsi="Times New Roman"/>
          <w:color w:val="000000" w:themeColor="text1"/>
          <w:sz w:val="16"/>
          <w:szCs w:val="16"/>
        </w:rPr>
        <w:softHyphen/>
        <w:t>чить объем топливных баков. Для больше</w:t>
      </w:r>
      <w:r w:rsidRPr="008127F8">
        <w:rPr>
          <w:rFonts w:ascii="Times New Roman" w:hAnsi="Times New Roman"/>
          <w:color w:val="000000" w:themeColor="text1"/>
          <w:sz w:val="16"/>
          <w:szCs w:val="16"/>
        </w:rPr>
        <w:softHyphen/>
        <w:t>го облегчения самолета с него сняли один из двух (правый) крупнокалиберных пуле</w:t>
      </w:r>
      <w:r w:rsidRPr="008127F8">
        <w:rPr>
          <w:rFonts w:ascii="Times New Roman" w:hAnsi="Times New Roman"/>
          <w:color w:val="000000" w:themeColor="text1"/>
          <w:sz w:val="16"/>
          <w:szCs w:val="16"/>
        </w:rPr>
        <w:softHyphen/>
        <w:t>метов БС. При близкой к исходному вари</w:t>
      </w:r>
      <w:r w:rsidRPr="008127F8">
        <w:rPr>
          <w:rFonts w:ascii="Times New Roman" w:hAnsi="Times New Roman"/>
          <w:color w:val="000000" w:themeColor="text1"/>
          <w:sz w:val="16"/>
          <w:szCs w:val="16"/>
        </w:rPr>
        <w:softHyphen/>
        <w:t>анту заправке топлива снижение взлетной массы достигло 175 кг. К тому моменту по</w:t>
      </w:r>
      <w:r w:rsidRPr="008127F8">
        <w:rPr>
          <w:rFonts w:ascii="Times New Roman" w:hAnsi="Times New Roman"/>
          <w:color w:val="000000" w:themeColor="text1"/>
          <w:sz w:val="16"/>
          <w:szCs w:val="16"/>
        </w:rPr>
        <w:softHyphen/>
        <w:t>явилась новая модификация мотора — М-105ПФ, обладавшая большей мощнос</w:t>
      </w:r>
      <w:r w:rsidRPr="008127F8">
        <w:rPr>
          <w:rFonts w:ascii="Times New Roman" w:hAnsi="Times New Roman"/>
          <w:color w:val="000000" w:themeColor="text1"/>
          <w:sz w:val="16"/>
          <w:szCs w:val="16"/>
        </w:rPr>
        <w:softHyphen/>
        <w:t>тью по сравнению с М-105П, который уста</w:t>
      </w:r>
      <w:r w:rsidRPr="008127F8">
        <w:rPr>
          <w:rFonts w:ascii="Times New Roman" w:hAnsi="Times New Roman"/>
          <w:color w:val="000000" w:themeColor="text1"/>
          <w:sz w:val="16"/>
          <w:szCs w:val="16"/>
        </w:rPr>
        <w:softHyphen/>
        <w:t>навливали на ранние «Яки» и ЛаГГ-3. Благодаря возросшему запасу топлива, дальность полета Як-7ДИ оказалась почти вдвое больше, чем у Як-7Б, и при этом сох</w:t>
      </w:r>
      <w:r w:rsidRPr="008127F8">
        <w:rPr>
          <w:rFonts w:ascii="Times New Roman" w:hAnsi="Times New Roman"/>
          <w:color w:val="000000" w:themeColor="text1"/>
          <w:sz w:val="16"/>
          <w:szCs w:val="16"/>
        </w:rPr>
        <w:softHyphen/>
        <w:t>ранились близкие скоростные и маневрен</w:t>
      </w:r>
      <w:r w:rsidRPr="008127F8">
        <w:rPr>
          <w:rFonts w:ascii="Times New Roman" w:hAnsi="Times New Roman"/>
          <w:color w:val="000000" w:themeColor="text1"/>
          <w:sz w:val="16"/>
          <w:szCs w:val="16"/>
        </w:rPr>
        <w:softHyphen/>
        <w:t>ные качества. При равном с предшествен</w:t>
      </w:r>
      <w:r w:rsidRPr="008127F8">
        <w:rPr>
          <w:rFonts w:ascii="Times New Roman" w:hAnsi="Times New Roman"/>
          <w:color w:val="000000" w:themeColor="text1"/>
          <w:sz w:val="16"/>
          <w:szCs w:val="16"/>
        </w:rPr>
        <w:softHyphen/>
        <w:t>ником запасе топлива Як-7ДИ обладал за</w:t>
      </w:r>
      <w:r w:rsidRPr="008127F8">
        <w:rPr>
          <w:rFonts w:ascii="Times New Roman" w:hAnsi="Times New Roman"/>
          <w:color w:val="000000" w:themeColor="text1"/>
          <w:sz w:val="16"/>
          <w:szCs w:val="16"/>
        </w:rPr>
        <w:softHyphen/>
        <w:t>метным превосходством в летных данных, в первую очередь в маневренности и скоропо</w:t>
      </w:r>
      <w:r w:rsidRPr="008127F8">
        <w:rPr>
          <w:rFonts w:ascii="Times New Roman" w:hAnsi="Times New Roman"/>
          <w:color w:val="000000" w:themeColor="text1"/>
          <w:sz w:val="16"/>
          <w:szCs w:val="16"/>
        </w:rPr>
        <w:softHyphen/>
        <w:t>дъемности. Благодаря пониженному гаргро-ту и новому фонарю кабины, на Як-7ДИ был обеспечен гораздо лучший обзор вверх-на</w:t>
      </w:r>
      <w:r w:rsidRPr="008127F8">
        <w:rPr>
          <w:rFonts w:ascii="Times New Roman" w:hAnsi="Times New Roman"/>
          <w:color w:val="000000" w:themeColor="text1"/>
          <w:sz w:val="16"/>
          <w:szCs w:val="16"/>
        </w:rPr>
        <w:softHyphen/>
        <w:t>зад. Техника пилотирования нового истре</w:t>
      </w:r>
      <w:r w:rsidRPr="008127F8">
        <w:rPr>
          <w:rFonts w:ascii="Times New Roman" w:hAnsi="Times New Roman"/>
          <w:color w:val="000000" w:themeColor="text1"/>
          <w:sz w:val="16"/>
          <w:szCs w:val="16"/>
        </w:rPr>
        <w:softHyphen/>
        <w:t>бителя стала даже чуть проще, чем Як-7Б. Оставшийся в наследство от двухместного Як-УУТИ свободный отсек за кабиной давал возможность переоборудовать истребитель в фоторазведчик. Самолет об</w:t>
      </w:r>
      <w:r w:rsidRPr="008127F8">
        <w:rPr>
          <w:rFonts w:ascii="Times New Roman" w:hAnsi="Times New Roman"/>
          <w:color w:val="000000" w:themeColor="text1"/>
          <w:sz w:val="16"/>
          <w:szCs w:val="16"/>
        </w:rPr>
        <w:softHyphen/>
        <w:t>ладал еще одним важным дос</w:t>
      </w:r>
      <w:r w:rsidRPr="008127F8">
        <w:rPr>
          <w:rFonts w:ascii="Times New Roman" w:hAnsi="Times New Roman"/>
          <w:color w:val="000000" w:themeColor="text1"/>
          <w:sz w:val="16"/>
          <w:szCs w:val="16"/>
        </w:rPr>
        <w:softHyphen/>
        <w:t>тоинством — технологичес</w:t>
      </w:r>
      <w:r w:rsidRPr="008127F8">
        <w:rPr>
          <w:rFonts w:ascii="Times New Roman" w:hAnsi="Times New Roman"/>
          <w:color w:val="000000" w:themeColor="text1"/>
          <w:sz w:val="16"/>
          <w:szCs w:val="16"/>
        </w:rPr>
        <w:softHyphen/>
        <w:t>кой преемственностью с се</w:t>
      </w:r>
      <w:r w:rsidRPr="008127F8">
        <w:rPr>
          <w:rFonts w:ascii="Times New Roman" w:hAnsi="Times New Roman"/>
          <w:color w:val="000000" w:themeColor="text1"/>
          <w:sz w:val="16"/>
          <w:szCs w:val="16"/>
        </w:rPr>
        <w:softHyphen/>
        <w:t>рийным Як-7Б, что позволяло быстро наладить его массо</w:t>
      </w:r>
      <w:r w:rsidRPr="008127F8">
        <w:rPr>
          <w:rFonts w:ascii="Times New Roman" w:hAnsi="Times New Roman"/>
          <w:color w:val="000000" w:themeColor="text1"/>
          <w:sz w:val="16"/>
          <w:szCs w:val="16"/>
        </w:rPr>
        <w:softHyphen/>
        <w:t>вый выпуск (10712).</w:t>
      </w:r>
    </w:p>
    <w:p w14:paraId="41AC4D5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1EEB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июня 1942 л ЛИИ Раменское В.П.Федоров совершил аварию при испытаниях опытного планера КГ, т.к. внезапно открылись тормозные щитки и произошла потеря управляемости (2108).</w:t>
      </w:r>
    </w:p>
    <w:p w14:paraId="5F4232B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A15FC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июня 1942 вышло постановление ГКО N ГОКО 2105сс, которым ГК Костикова обязали спроектировать и построить реактивный самолет-перехватчик с двумя вариантами ВРД по 2 экз. и 1 экз. для стат. испытаний со сроком предъявления 1 варианта 15 марта и 2 15 мая 1943 (1458,40).</w:t>
      </w:r>
    </w:p>
    <w:p w14:paraId="0EE4AE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другим данным - 26 июля 1942.</w:t>
      </w:r>
    </w:p>
    <w:p w14:paraId="75F941D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5EC53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июня 1942 произошла авария автожира А-7 №4, произошедшая. Машину поднял в небо Трофимов, к тому моменту уже капитан. Она набрала 30 метров высоты, а затем пошла со снижением. Лётчику удалось отвернуть от лобового удара в здание, которое находилось по курсу, машина упала на дом, повиснув на нём. Никто не пострадал, позже автожир отремонтировали. Удивительно, но при всех напастях каждый раз машины возвращались в строй (18227).</w:t>
      </w:r>
    </w:p>
    <w:p w14:paraId="2CC1BEF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1244C10" w14:textId="77777777" w:rsidR="00AE4890" w:rsidRPr="008A2E5A" w:rsidRDefault="00AE4890" w:rsidP="00AE48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июня 1942 г. Доклад заместителя наркома государственного контроля СССР В. Ф. Попова председателю ГКО СССР И. В. Сталину «О работе завода № 24»</w:t>
      </w:r>
    </w:p>
    <w:p w14:paraId="4886DA4D" w14:textId="77777777" w:rsidR="00AE4890" w:rsidRPr="008A2E5A" w:rsidRDefault="00AE4890" w:rsidP="00AE48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Строго секретно.</w:t>
      </w:r>
    </w:p>
    <w:p w14:paraId="7871A9AA" w14:textId="77777777" w:rsidR="00AE4890" w:rsidRPr="008A2E5A" w:rsidRDefault="00AE4890" w:rsidP="00AE48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Докладываю, что после срыва выпуска моторов в середине июня завод начал постепенно выправляться: 19, 20, 22 июня сдано по 25, а 23 и 24 июня — по 26 моторов в сутки. В оставшиеся дни июня суточный выпуск составит 26-27 моторов. В июле завод сможет выпускать: в первую декаду — 28 моторов в сутки, во вторую — 30 моторов и в третью — 32 мотора с выходом к 1 августа на 32-35 моторов. Таким образом, в июле будет реальный выпуск 850-875, а в августе — 1 тыс. моторов, т. е. завод достигнет выпуска, который был в сентябре 1941 г. в Москве. Считаем, что самое трудное время завод пережил, он в настоящее время обеспечен всем необходимым для выполнения указанного выше выпуска.</w:t>
      </w:r>
    </w:p>
    <w:p w14:paraId="3B86DBF7" w14:textId="77777777" w:rsidR="00AE4890" w:rsidRPr="008A2E5A" w:rsidRDefault="00AE4890" w:rsidP="00AE48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Заводу оказана ощутимая помощь. В июне.он получил свыше 6 тыс. рабочих, 80 автомобилей, 3 основные внутризаводские автомобильные дороги, проведен ряд мер по упорядочению производства, разукрупнен и специализирован ряд цехов, введен в эксплуатацию новый сборочный цех, расширили испытательную станцию, подтянули кузнечный цех, укрепили вспомогательные цехи (инструментальный, ремонтный и т. п.). Принят ряд мер по подтягиванию отстающих участков материально-технического снабжения (химикаты, инструментальные стали и др.). Завод принял ряд мер по усилению технического контроля за качеством выпускаемой продукции. Провели пересмотр норм выработки, подтянули несколько трудовую дисциплину.</w:t>
      </w:r>
    </w:p>
    <w:p w14:paraId="3FB15A4A" w14:textId="77777777" w:rsidR="00AE4890" w:rsidRPr="008A2E5A" w:rsidRDefault="00AE4890" w:rsidP="00AE48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Причинами срыва выпуска моторов в июне является недостача рабочей силы. Так, например, завод имел фактически в мае только 80% рабочей силы против плана, а в начале июня — 78%, при этом 35% рабочих, не выполняющих норму выработки. Решение ГОКО от апреля 1942 г. о посылке в апреле и мае 6,5 тыс. рабочих1 2* не было выполнено Куйбышевским обкомом, а директор завода т. Жезлов проявил в этом вопросе халатность, не принял мер к реализации постановления ГОКО. Ленинградские ремесленники и ленинградские рабочие начали поступать лишь в начале июня. Вследствие недостатка рабочей силы и плохого монтажа оборудования произошло отставание литейного цеха и кузницы завода (особенно по массовым мелким поковкам).</w:t>
      </w:r>
    </w:p>
    <w:p w14:paraId="11E18E45" w14:textId="77777777" w:rsidR="00AE4890" w:rsidRPr="008A2E5A" w:rsidRDefault="00AE4890" w:rsidP="00AE48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 как рост выпуска моторов в апреле в сравнении с мартом составил 49%, а в мае [в сравнении] с апрелем — 42%, недостаток рабочей силы и отставание заготовительного цеха привели к тому, что товарный выпуск шел выше валового выпуска, т. е. заделы истощались. Анализ работы завода за 20 дней показывает, что незавершенное производство постепенно начало расти и надо ожидать, что валовой выпуск в июне обгонит товарный выпуск, т. е. завод получит возможность развиваться на здоровой основе.</w:t>
      </w:r>
    </w:p>
    <w:p w14:paraId="151BA830" w14:textId="77777777" w:rsidR="00AE4890" w:rsidRPr="008A2E5A" w:rsidRDefault="00AE4890" w:rsidP="00AE48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Устранение крупных дефектов в моторе также сказалось на количественном выпуске.</w:t>
      </w:r>
    </w:p>
    <w:p w14:paraId="610FF8FA" w14:textId="77777777" w:rsidR="00AE4890" w:rsidRPr="008A2E5A" w:rsidRDefault="00AE4890" w:rsidP="00AE48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настоящее время дальнейший рост выпуска моторов зависит только от завода, и успех лежит внутри завода, а для этого надо: а) немного времени и б) крепить единоначалие сверху донизу, чтобы директор, начальник цеха, мастер на основе глубокого изучения производства действительно управляли заводом, цехом, отделением. В связи с этим надо отметить, что т. Жезлов показал себя слабым организатором в новой обстановке и допустил ряд крупных ошибок (запаздывание заготовительных цехов, несвоевременное комплектование рабочей силы, упустил вопросы качества и ряд других вопросов), которых можно было бы избежать. Считал бы необходимым вопрос об оставлении т. Жезлова на посту директора завода решить по результатам работы июля, предупредив его об этом124.</w:t>
      </w:r>
    </w:p>
    <w:p w14:paraId="3CCF69DC" w14:textId="77777777" w:rsidR="00AE4890" w:rsidRPr="008A2E5A" w:rsidRDefault="00AE4890" w:rsidP="00AE48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Присутствие на заводе уполномоченного ГОКО и наркома обезличивает директора завода. В целях установления порядка на заводе просил бы оставить или уполномоченного ГОКО, или наркома, так как двоим на заводе делать нечего, так как все основные вопросы решены (боюсь только за качество, так как много новых рабочих влилось, и ОТК еще слабовато работает). Со своей стороны, просил бы оставить на заводе наркома (ему полезно познакомиться с производством моторов), а мне разрешить вернуться в Москву и основательно заняться пуском завода № 45 (дублер 24-го завода) и завода № 41. Кроме того, у меня накопился ряд вопросов по работе авиационной промышленности, которые необходимо доложить в ЦК. По отношению к заводу № 24 за мной остается полная ответственность за его работу, на нем будет продолжать работу группа работников московского комитета, а при малейшей необходимости я вновь выеду на завод125.</w:t>
      </w:r>
    </w:p>
    <w:p w14:paraId="7C1CEAFE" w14:textId="77777777" w:rsidR="00AE4890" w:rsidRPr="008A2E5A" w:rsidRDefault="00AE4890" w:rsidP="00AE48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Попов</w:t>
      </w:r>
    </w:p>
    <w:p w14:paraId="7C701CD0" w14:textId="77777777" w:rsidR="00AE4890" w:rsidRPr="008A2E5A" w:rsidRDefault="00AE4890" w:rsidP="00AE489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РГАНИ. Ф. 3. Оп. 46. Д. 34. Л. 39. Копия (24045).</w:t>
      </w:r>
    </w:p>
    <w:p w14:paraId="740E5238" w14:textId="77777777" w:rsidR="00AE4890" w:rsidRPr="008A2E5A" w:rsidRDefault="00AE4890" w:rsidP="00AE4890">
      <w:pPr>
        <w:spacing w:after="0" w:line="240" w:lineRule="auto"/>
        <w:jc w:val="both"/>
        <w:rPr>
          <w:rFonts w:ascii="Times New Roman" w:hAnsi="Times New Roman"/>
          <w:color w:val="0070C0"/>
          <w:sz w:val="16"/>
          <w:szCs w:val="16"/>
        </w:rPr>
      </w:pPr>
    </w:p>
    <w:p w14:paraId="1FC771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июня 1942 был подписан акт по результатам войсковых испытаний дистанционного управления приемником РСИ-4, увеличивающего дальность до 100-120 км (1862).</w:t>
      </w:r>
    </w:p>
    <w:p w14:paraId="416C6D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BBF24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июня 1942 вышло [Мандат Кириленко А.П. - уполномоченного ГКО на заводе № 45 НКАП (Москва).] № 1933 (7039, 80).</w:t>
      </w:r>
    </w:p>
    <w:p w14:paraId="0049CA1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D973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июня 1942 г. приказом № 472сс в соответствии с пост. СНК № 913-472сс от 11.06.1942 г. в Подлипках на площадке эвакуированного завода № 289 НКАП на базе Ремонтного завода Главремуправления НКАП был образован ГС завод № 380 в системе 6ГУ НКАП.</w:t>
      </w:r>
    </w:p>
    <w:p w14:paraId="1630A50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1942 г. проведена работа по переделке пяти самолетов «Бостон-3» в учебно-тренировочные самолеты.</w:t>
      </w:r>
    </w:p>
    <w:p w14:paraId="633705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1943 г. завод преобразован в опытный и передан в 7ГУ. По приказу № 416с от 14.07.1943 г. завод № 380 с 1.07.1943 г. со всем оборудованием и личным составом влит в состав завода № 289 НКАП (Тушино), а его территория со зданиями и сооружениями передана в ведение ГУ ИАС ВВС. Позже в соответствии с пост. СМ № </w:t>
      </w:r>
      <w:r w:rsidRPr="008127F8">
        <w:rPr>
          <w:rFonts w:ascii="Times New Roman" w:hAnsi="Times New Roman"/>
          <w:color w:val="000000" w:themeColor="text1"/>
          <w:sz w:val="16"/>
          <w:szCs w:val="16"/>
        </w:rPr>
        <w:lastRenderedPageBreak/>
        <w:t xml:space="preserve">1145-471сс от 31.05.1946 г. планировалось площади вернуть в МАП, однако, вскоре они были переданы НИИ-88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w:t>
      </w:r>
    </w:p>
    <w:p w14:paraId="50E3C6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(06.1942 г.-)- В.И. Ленкин (11982).</w:t>
      </w:r>
    </w:p>
    <w:p w14:paraId="4D34A8BE" w14:textId="77777777" w:rsidR="007C5583" w:rsidRPr="002E4AAB" w:rsidRDefault="007C5583" w:rsidP="002E4AAB">
      <w:pPr>
        <w:spacing w:after="0" w:line="240" w:lineRule="auto"/>
        <w:rPr>
          <w:rFonts w:ascii="Times New Roman" w:hAnsi="Times New Roman"/>
          <w:sz w:val="16"/>
          <w:szCs w:val="16"/>
        </w:rPr>
      </w:pPr>
    </w:p>
    <w:p w14:paraId="783A692C" w14:textId="77777777" w:rsidR="007C5583" w:rsidRPr="002E4AAB" w:rsidRDefault="007C5583" w:rsidP="002E4AAB">
      <w:pPr>
        <w:spacing w:after="0" w:line="240" w:lineRule="auto"/>
        <w:rPr>
          <w:rFonts w:ascii="Times New Roman" w:hAnsi="Times New Roman"/>
          <w:i/>
          <w:iCs/>
          <w:sz w:val="16"/>
          <w:szCs w:val="16"/>
        </w:rPr>
      </w:pPr>
      <w:r w:rsidRPr="002E4AAB">
        <w:rPr>
          <w:rFonts w:ascii="Times New Roman" w:hAnsi="Times New Roman"/>
          <w:i/>
          <w:iCs/>
          <w:sz w:val="16"/>
          <w:szCs w:val="16"/>
        </w:rPr>
        <w:t>Другие оборонные отрасли:</w:t>
      </w:r>
    </w:p>
    <w:p w14:paraId="73E1A941" w14:textId="77777777" w:rsidR="007C5583" w:rsidRPr="002E4AAB" w:rsidRDefault="007C5583" w:rsidP="002E4AAB">
      <w:pPr>
        <w:spacing w:after="0" w:line="240" w:lineRule="auto"/>
        <w:rPr>
          <w:rFonts w:ascii="Times New Roman" w:hAnsi="Times New Roman"/>
          <w:i/>
          <w:iCs/>
          <w:sz w:val="16"/>
          <w:szCs w:val="16"/>
        </w:rPr>
      </w:pPr>
    </w:p>
    <w:p w14:paraId="33270E96" w14:textId="77777777" w:rsidR="007C5583" w:rsidRPr="002E4AAB" w:rsidRDefault="007C5583" w:rsidP="002E4AAB">
      <w:pPr>
        <w:spacing w:after="0" w:line="240" w:lineRule="auto"/>
        <w:rPr>
          <w:rFonts w:ascii="Times New Roman" w:hAnsi="Times New Roman"/>
          <w:sz w:val="16"/>
          <w:szCs w:val="16"/>
        </w:rPr>
      </w:pPr>
      <w:r w:rsidRPr="002E4AAB">
        <w:rPr>
          <w:rFonts w:ascii="Times New Roman" w:hAnsi="Times New Roman"/>
          <w:sz w:val="16"/>
          <w:szCs w:val="16"/>
        </w:rPr>
        <w:t>С 26 июня по 3 июля 1942 года в Ленинграде прошли испытания установки миномета в кузове грузовика. 10 июля начальник артиллерии генерал-майор Одинцов утвердил акт комиссии, по которому данные машины рекомендовались к принятию на вооружение Красной Армии.</w:t>
      </w:r>
    </w:p>
    <w:p w14:paraId="7C676096" w14:textId="77777777" w:rsidR="007C5583" w:rsidRPr="002E4AAB" w:rsidRDefault="007C5583" w:rsidP="002E4AAB">
      <w:pPr>
        <w:spacing w:after="0" w:line="240" w:lineRule="auto"/>
        <w:rPr>
          <w:rFonts w:ascii="Times New Roman" w:hAnsi="Times New Roman"/>
          <w:sz w:val="16"/>
          <w:szCs w:val="16"/>
        </w:rPr>
      </w:pPr>
      <w:r w:rsidRPr="002E4AAB">
        <w:rPr>
          <w:rFonts w:ascii="Times New Roman" w:hAnsi="Times New Roman"/>
          <w:sz w:val="16"/>
          <w:szCs w:val="16"/>
        </w:rPr>
        <w:t>Учитывая недостаточную проходимость базового шасси, можно предположить, что боевое применение минометных установок на пересеченной местности было бы затруднено. Кроме того, возможность организации серийного производства подобной техники в условиях блокадного Ленинграда напрямую зависела от количества пригодных автомобилей.</w:t>
      </w:r>
    </w:p>
    <w:p w14:paraId="24F1615D" w14:textId="77777777" w:rsidR="007C5583" w:rsidRPr="002E4AAB" w:rsidRDefault="007C5583" w:rsidP="002E4AAB">
      <w:pPr>
        <w:spacing w:after="0" w:line="240" w:lineRule="auto"/>
        <w:rPr>
          <w:rFonts w:ascii="Times New Roman" w:hAnsi="Times New Roman"/>
          <w:sz w:val="16"/>
          <w:szCs w:val="16"/>
        </w:rPr>
      </w:pPr>
      <w:r w:rsidRPr="002E4AAB">
        <w:rPr>
          <w:rFonts w:ascii="Times New Roman" w:hAnsi="Times New Roman"/>
          <w:sz w:val="16"/>
          <w:szCs w:val="16"/>
        </w:rPr>
        <w:t>Тем не менее, приведенный эпизод ярко характеризует стремление всех организаций внести посильный вклад в общую победу над врагом. Помимо описанных работ, в период блокады ЛОНИТОМАШ успешно выполнял самые различные задания Военного совета Ленинградского фронта. Перечислим лишь основные из них:</w:t>
      </w:r>
    </w:p>
    <w:p w14:paraId="5B3104D3" w14:textId="77777777" w:rsidR="007C5583" w:rsidRPr="002E4AAB" w:rsidRDefault="007C5583" w:rsidP="002E4AAB">
      <w:pPr>
        <w:spacing w:after="0" w:line="240" w:lineRule="auto"/>
        <w:rPr>
          <w:rFonts w:ascii="Times New Roman" w:hAnsi="Times New Roman"/>
          <w:sz w:val="16"/>
          <w:szCs w:val="16"/>
        </w:rPr>
      </w:pPr>
      <w:r w:rsidRPr="002E4AAB">
        <w:rPr>
          <w:rFonts w:ascii="Times New Roman" w:hAnsi="Times New Roman"/>
          <w:sz w:val="16"/>
          <w:szCs w:val="16"/>
        </w:rPr>
        <w:t>• формирование авторемонтного дивизиона («завод на колесах» в составе 33 машин) для нужд ВВС. Все автомашины и оборудование, собрали, восстановили и смонтировали силами общественных организаций;</w:t>
      </w:r>
    </w:p>
    <w:p w14:paraId="0292FCE8" w14:textId="77777777" w:rsidR="007C5583" w:rsidRPr="002E4AAB" w:rsidRDefault="007C5583" w:rsidP="002E4AAB">
      <w:pPr>
        <w:spacing w:after="0" w:line="240" w:lineRule="auto"/>
        <w:rPr>
          <w:rFonts w:ascii="Times New Roman" w:hAnsi="Times New Roman"/>
          <w:sz w:val="16"/>
          <w:szCs w:val="16"/>
        </w:rPr>
      </w:pPr>
      <w:r w:rsidRPr="002E4AAB">
        <w:rPr>
          <w:rFonts w:ascii="Times New Roman" w:hAnsi="Times New Roman"/>
          <w:sz w:val="16"/>
          <w:szCs w:val="16"/>
        </w:rPr>
        <w:t>• изготовление десяти подвижных ремонтных мастерских для частей Ленинградского фронта;</w:t>
      </w:r>
    </w:p>
    <w:p w14:paraId="5BFCF31F" w14:textId="77777777" w:rsidR="007C5583" w:rsidRPr="002E4AAB" w:rsidRDefault="007C5583" w:rsidP="002E4AAB">
      <w:pPr>
        <w:spacing w:after="0" w:line="240" w:lineRule="auto"/>
        <w:rPr>
          <w:rFonts w:ascii="Times New Roman" w:hAnsi="Times New Roman"/>
          <w:sz w:val="16"/>
          <w:szCs w:val="16"/>
        </w:rPr>
      </w:pPr>
      <w:r w:rsidRPr="002E4AAB">
        <w:rPr>
          <w:rFonts w:ascii="Times New Roman" w:hAnsi="Times New Roman"/>
          <w:sz w:val="16"/>
          <w:szCs w:val="16"/>
        </w:rPr>
        <w:t>• выпуск более 500 000 специальных пакетов для химических грелок;</w:t>
      </w:r>
    </w:p>
    <w:p w14:paraId="1207D7DD" w14:textId="77777777" w:rsidR="007C5583" w:rsidRPr="002E4AAB" w:rsidRDefault="007C5583" w:rsidP="002E4AAB">
      <w:pPr>
        <w:spacing w:after="0" w:line="240" w:lineRule="auto"/>
        <w:rPr>
          <w:rFonts w:ascii="Times New Roman" w:hAnsi="Times New Roman"/>
          <w:sz w:val="16"/>
          <w:szCs w:val="16"/>
        </w:rPr>
      </w:pPr>
      <w:r w:rsidRPr="002E4AAB">
        <w:rPr>
          <w:rFonts w:ascii="Times New Roman" w:hAnsi="Times New Roman"/>
          <w:sz w:val="16"/>
          <w:szCs w:val="16"/>
        </w:rPr>
        <w:t>• восстановление 90 автомобилей и около 25 т различных дефицитных запасных частей к ним.</w:t>
      </w:r>
    </w:p>
    <w:p w14:paraId="51F0FD78" w14:textId="77777777" w:rsidR="007C5583" w:rsidRPr="002E4AAB" w:rsidRDefault="007C5583" w:rsidP="002E4AAB">
      <w:pPr>
        <w:spacing w:after="0" w:line="240" w:lineRule="auto"/>
        <w:rPr>
          <w:rFonts w:ascii="Times New Roman" w:hAnsi="Times New Roman"/>
          <w:sz w:val="16"/>
          <w:szCs w:val="16"/>
        </w:rPr>
      </w:pPr>
      <w:r w:rsidRPr="002E4AAB">
        <w:rPr>
          <w:rFonts w:ascii="Times New Roman" w:hAnsi="Times New Roman"/>
          <w:sz w:val="16"/>
          <w:szCs w:val="16"/>
        </w:rPr>
        <w:t>Стоит отметить, что все работы ЛОНИТОМАШа в период блокады выполнялись в авторемонтных мастерских, организованных с большим трудом в неприспособленных помещениях на площадке законсервированного строительства Выборгской ТЭЦ, а также в небольших электроремонтных мастерских в здании эвакуированного НИИ-46 (19768).</w:t>
      </w:r>
    </w:p>
    <w:p w14:paraId="2538C9AD" w14:textId="77777777" w:rsidR="007C5583" w:rsidRPr="002E4AAB" w:rsidRDefault="007C5583" w:rsidP="002E4AAB">
      <w:pPr>
        <w:spacing w:after="0" w:line="240" w:lineRule="auto"/>
        <w:rPr>
          <w:rFonts w:ascii="Times New Roman" w:hAnsi="Times New Roman"/>
          <w:sz w:val="16"/>
          <w:szCs w:val="16"/>
        </w:rPr>
      </w:pPr>
    </w:p>
    <w:p w14:paraId="0E9DA69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июня 1942 года из отдела главного конструктора (ОГК НКТП) направили на имя наркома танковой промышленности В. Малышева данные о тяжелом танке ТНТ:</w:t>
      </w:r>
    </w:p>
    <w:p w14:paraId="510D10A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«Заключение по эскизному проекту ТНТ («танка нового типа»), предложенного тов. Вдовенко и тов. Кутовым.</w:t>
      </w:r>
    </w:p>
    <w:p w14:paraId="7D43AA2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Авторы проекта предлагают повышение боевой мощи тяжелого танка прорыва за счет применения литой брони, сферической формы и увеличения вооружения до двух 76-мм пушек. Однако эта задача авторами никак не решается…</w:t>
      </w:r>
    </w:p>
    <w:p w14:paraId="27E4A1A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Особенность проекта — компоновка ходовой части закрыта броней спереди и сзади, две пушки в башне, трансмиссия с танка КВ…</w:t>
      </w:r>
    </w:p>
    <w:p w14:paraId="091AF9D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Вывод: рассмотренный проект не реален и не представляет никакого практического интереса» (17434).</w:t>
      </w:r>
    </w:p>
    <w:p w14:paraId="6AEE481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251C9DE" w14:textId="77777777" w:rsidR="007C5583" w:rsidRPr="008127F8" w:rsidRDefault="007C5583" w:rsidP="007C5583">
      <w:pPr>
        <w:pStyle w:val="Bodytext1"/>
        <w:shd w:val="clear" w:color="auto" w:fill="auto"/>
        <w:spacing w:line="240" w:lineRule="auto"/>
        <w:ind w:firstLine="0"/>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С 26 июня по 3 июля 1942 г. в Ленинграде провели испытания забронированной поворотной минометной установки. 10 июля начальник артиллерии гене- рал-майор Одинцов утвердил акт комиссии, по которому данные машины рекомендовались к принятию на вооружение Красной Армии.</w:t>
      </w:r>
    </w:p>
    <w:p w14:paraId="26BA2630" w14:textId="77777777" w:rsidR="007C5583" w:rsidRPr="008127F8" w:rsidRDefault="007C5583" w:rsidP="007C5583">
      <w:pPr>
        <w:pStyle w:val="Bodytext1"/>
        <w:shd w:val="clear" w:color="auto" w:fill="auto"/>
        <w:spacing w:line="240" w:lineRule="auto"/>
        <w:ind w:firstLine="0"/>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Учитывая недостаточную проходимость базового шасси, можно предположить, что боевое применение минометных установок на пересеченной местности было бы затруд</w:t>
      </w:r>
      <w:r w:rsidRPr="008127F8">
        <w:rPr>
          <w:rFonts w:ascii="Times New Roman" w:hAnsi="Times New Roman" w:cs="Times New Roman"/>
          <w:color w:val="000000" w:themeColor="text1"/>
          <w:sz w:val="16"/>
          <w:szCs w:val="16"/>
        </w:rPr>
        <w:softHyphen/>
        <w:t>нено. Кроме того, возможность организации серийного производства подобной техники в условиях блокадного Ленинграда напрямую зависела от количества пригодных автомо</w:t>
      </w:r>
      <w:r w:rsidRPr="008127F8">
        <w:rPr>
          <w:rFonts w:ascii="Times New Roman" w:hAnsi="Times New Roman" w:cs="Times New Roman"/>
          <w:color w:val="000000" w:themeColor="text1"/>
          <w:sz w:val="16"/>
          <w:szCs w:val="16"/>
        </w:rPr>
        <w:softHyphen/>
        <w:t>билей (17747).</w:t>
      </w:r>
    </w:p>
    <w:p w14:paraId="4E57BF6D"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757971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июня 1942 вышло Постановление ГКО № 1936 О введении в состав Центральной комиссии по сбору лома черных и цветных металлов в прифронтовой полосе тов. Гольцева А.Я. (7039, 83).</w:t>
      </w:r>
    </w:p>
    <w:p w14:paraId="164BDC5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50DC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июня 1942 г. Д-6, которая по недосмотру командования Черномор</w:t>
      </w:r>
      <w:r w:rsidRPr="008127F8">
        <w:rPr>
          <w:rFonts w:ascii="Times New Roman" w:hAnsi="Times New Roman"/>
          <w:color w:val="000000" w:themeColor="text1"/>
          <w:sz w:val="16"/>
          <w:szCs w:val="16"/>
        </w:rPr>
        <w:softHyphen/>
        <w:t>ского флота в небоеспособном состоянии застряла в доке Севасто</w:t>
      </w:r>
      <w:r w:rsidRPr="008127F8">
        <w:rPr>
          <w:rFonts w:ascii="Times New Roman" w:hAnsi="Times New Roman"/>
          <w:color w:val="000000" w:themeColor="text1"/>
          <w:sz w:val="16"/>
          <w:szCs w:val="16"/>
        </w:rPr>
        <w:softHyphen/>
        <w:t>поля, была взорвана (3898).</w:t>
      </w:r>
    </w:p>
    <w:p w14:paraId="7416045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B215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49E2BAB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21926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26 июня</w:t>
      </w:r>
      <w:r w:rsidRPr="008127F8">
        <w:rPr>
          <w:rFonts w:ascii="Times New Roman" w:hAnsi="Times New Roman"/>
          <w:color w:val="000000" w:themeColor="text1"/>
          <w:sz w:val="16"/>
          <w:szCs w:val="16"/>
        </w:rPr>
        <w:t xml:space="preserve"> в 1942 году оперативная сводка Совинформбюро:</w:t>
      </w:r>
    </w:p>
    <w:p w14:paraId="14FAAC2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ленинградских партизан под командованием тов. X. в течение нескольких дней вёл борьбу с карательным отрядом немецких оккупантов. Заманив противника в леса и болота, партизаны уничтожили 80 немецких солдат и офицеров. Другой партизанский отряд под командованием тов. Б. пустил под откос воинский железнодорожный эшелон противника. В результате крушения погибло 250 гитлеровцев.» (14934).</w:t>
      </w:r>
    </w:p>
    <w:p w14:paraId="6FAA034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84C380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с 26 на 27 июня 1942 ТБ-7 №42066 вылет на город Полтаву не состоялся из-за отказа первого мотора через 38 минут полета. Командир корабля майор Пусэп произвел благополуч</w:t>
      </w:r>
      <w:r w:rsidRPr="008127F8">
        <w:rPr>
          <w:rFonts w:ascii="Times New Roman" w:hAnsi="Times New Roman"/>
          <w:color w:val="000000" w:themeColor="text1"/>
          <w:sz w:val="16"/>
          <w:szCs w:val="16"/>
        </w:rPr>
        <w:softHyphen/>
        <w:t>ную посадку с бомбами на свой аэродром (19936).</w:t>
      </w:r>
    </w:p>
    <w:p w14:paraId="4F0DFC7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69A791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26 июня</w:t>
      </w:r>
      <w:r w:rsidRPr="008127F8">
        <w:rPr>
          <w:rFonts w:ascii="Times New Roman" w:hAnsi="Times New Roman"/>
          <w:color w:val="000000" w:themeColor="text1"/>
          <w:sz w:val="16"/>
          <w:szCs w:val="16"/>
        </w:rPr>
        <w:t xml:space="preserve"> в 1942 году в боях за Воронеж был сформирован 17-й танковый корпус (в 1942 г. за храбрость и отвагу был преобразован в 4-й гвардейский и получил наименование Кантемировский). Ныне — 4-я гвардейская танковая Кантемировская ордена Ленина Краснознаменная дивизия имени Ю.В.Андропова. 32 воина-кантемировца стали Героями Советского Союза, 5 — полными кавалерами орденов Славы (14934).</w:t>
      </w:r>
    </w:p>
    <w:p w14:paraId="4F23E20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EA351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июня 1942 в Севастополь прорвался последний корабль - Ташкент (512,191).</w:t>
      </w:r>
    </w:p>
    <w:p w14:paraId="4A6A55F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71B01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июня 1942 А.М.Василевский был назначен Нач. Генштаба и вместе с зам. командующего ВВС Г.А.Ворожейкиным он прибыл на Ю-ЗФ для оказания практической помощи (340,87).</w:t>
      </w:r>
    </w:p>
    <w:p w14:paraId="607C37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791D3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июня 1942 А.М.Василевский был назначен Нач. Генштаба и вместе с зам. командующего ВВС Г.А.Ворожейкиным он прибыл на Ю-ЗФ для оказания практической помощи (340,87).</w:t>
      </w:r>
    </w:p>
    <w:p w14:paraId="7961A1D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8A820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июня 1942 вышло Постановление ГКО № 1934 О т. Мехлисе Л.З. РГАНИР, Фонд ГКО, д. 40, лл. 81 (11012).</w:t>
      </w:r>
    </w:p>
    <w:p w14:paraId="29AC41E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692D8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июня 1942 вышло Постановление ГКО № 1935 О составе Военного совета Ленинградского фронта. РГАНИР, Фонд ГКО, д. 40, лл. 82 (11012).</w:t>
      </w:r>
    </w:p>
    <w:p w14:paraId="6E059D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71FD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7803E68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AEC63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июня 1942 года на основании распоряжения Совнаркома СССР № 11933-р по всей стране наряду с карточными бюро при областных, городских и районных отделах торговли начали создаваться контрольно-учетные бюро продовольственных и промтоварных карточек. В задачи контрольно-учетных бюро входила проверка правильности выдачи карточек населению и контроль за расходованием нормированных товаров во всех торговых предприятиях и предприятиях общественного питания, независимо от их подведомственности (Там же, ф. Р-808, оп. 1, д. 12, л. 7, 7 об.). Работники бюро регулярно уточняли списки населения, штатную численность и списочный состав рабочих и служащих предприятий и учреждений, проверяли обоснованность распределения их по группам снабжения, проводили выборочные и сплошные проверки предприятий, домоуправлений и торговых организаций. Отчеты контрольно-учетных бюро продовольственных и промтоварных карточек заслушивались на заседаниях исполкомов (11911).</w:t>
      </w:r>
    </w:p>
    <w:p w14:paraId="73F726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97E2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3CC828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D201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июня 1942 первый полет выполнил Грумман Хэлкэт (2100).</w:t>
      </w:r>
    </w:p>
    <w:p w14:paraId="44996B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B0998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июня 1942 года — первый полёт палубного истребителя</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Grumman F6F Hellcat. /США/</w:t>
      </w:r>
    </w:p>
    <w:p w14:paraId="2DFF7CA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ВМС США понимали</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неизбежность войны на Тихом океане</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и что палубный истребитель</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Grumman F4F Wildcat уступал японскому Mitsubishi A6M Zero. Поэтому в июне 1941 года подписали с</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Grumman Aircraft</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контракт на глубокую модернизацию F4F. Но в результате был разработан совершенно новый истребитель, получивший обозначение F6F Hellcat.</w:t>
      </w:r>
    </w:p>
    <w:p w14:paraId="3D5E08F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F6F был цельнометаллическим низкопланом с убираемым шасси. Устанавливался (на модификации F6F-5) двигатель Pratt &amp; Whitney R-2800-10W Double Wasp (2200 л.с.) Максимальная скорость — 629 км/ч, боевой радиус — 1521 км. Вооружение — 6 × 12,7-мм пулемётов или 2 × 20-мм пушки + до 1800 кг бомб/ракет/торпед.</w:t>
      </w:r>
    </w:p>
    <w:p w14:paraId="5B8B57C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 году F6F Hellcat приняли на вооружение ВМС США. Они</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ценились за простоту управления и надёжность, и хорошо показали себя на Тихоокеанском театре военных действий. Выпустили</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12 275</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истребитель F6F. Кроме США, они использовались ВМС Франции, Великобритании и Уругвая (22300).</w:t>
      </w:r>
    </w:p>
    <w:p w14:paraId="0BB2676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635773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июня 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Прототип истребителя ВМФ и морской пехоты США F6F Hellcat (XF6F-1), с главным инженером и летчиком-испытателем фирмы Грумман Робертом Холлом, совершил 25-минутный первый полет на заводе Grumman Aircraft Engineering Corporation, Бетпейдж, Лонг-Айленд, Нью-Йорк (22448).</w:t>
      </w:r>
    </w:p>
    <w:p w14:paraId="5C2A630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126B1C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июня 1942 года состоялся первый полет Grumman XF6F-1 Hellcat (20793).</w:t>
      </w:r>
    </w:p>
    <w:p w14:paraId="247FFBA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CE560D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26 июня</w:t>
      </w:r>
      <w:r w:rsidRPr="008127F8">
        <w:rPr>
          <w:rFonts w:ascii="Times New Roman" w:hAnsi="Times New Roman"/>
          <w:color w:val="000000" w:themeColor="text1"/>
          <w:sz w:val="16"/>
          <w:szCs w:val="16"/>
        </w:rPr>
        <w:t xml:space="preserve"> в 1942 году первый полет американского морского истребителя времен Второй мировой войны </w:t>
      </w:r>
      <w:hyperlink r:id="rId91" w:tgtFrame="_blank" w:history="1">
        <w:r w:rsidRPr="008127F8">
          <w:rPr>
            <w:rFonts w:ascii="Times New Roman" w:hAnsi="Times New Roman"/>
            <w:color w:val="000000" w:themeColor="text1"/>
            <w:sz w:val="16"/>
            <w:szCs w:val="16"/>
          </w:rPr>
          <w:t xml:space="preserve">«Grumman» «F6F» «Hellcat» </w:t>
        </w:r>
      </w:hyperlink>
      <w:r w:rsidRPr="008127F8">
        <w:rPr>
          <w:rFonts w:ascii="Times New Roman" w:hAnsi="Times New Roman"/>
          <w:color w:val="000000" w:themeColor="text1"/>
          <w:sz w:val="16"/>
          <w:szCs w:val="16"/>
        </w:rPr>
        <w:t>(«Ведьма»), США. Японские летчики особенно боялись боевой совместной работы двух истребителей в паре. Это и понятно, потому что «Ведьмы» уничтожили в воздушных боях 4947 вражеских самолетов (14934).</w:t>
      </w:r>
    </w:p>
    <w:p w14:paraId="66C14D5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0C184D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26 июня</w:t>
      </w:r>
      <w:r w:rsidRPr="008127F8">
        <w:rPr>
          <w:rFonts w:ascii="Times New Roman" w:hAnsi="Times New Roman"/>
          <w:color w:val="000000" w:themeColor="text1"/>
          <w:sz w:val="16"/>
          <w:szCs w:val="16"/>
        </w:rPr>
        <w:t xml:space="preserve"> в 1942 году разбился второй экземпляр английского многоцелевого палубного истребителя «Fairey Firefly». Во время полета на малой высоте разрушилось хвостовое оперение, пилот Стэниленд погиб (14934).</w:t>
      </w:r>
    </w:p>
    <w:p w14:paraId="3B10D07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F1B3CB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июня 1942 Naval Air Service ВМС США - транспортная инициатива по обслуживание рейсов между штатами Западного побережья Соединенных и территорией Аляски, начинает реализовываться с полета на воздушном транспорте эскадрона 2 (VR-2) (20793).</w:t>
      </w:r>
    </w:p>
    <w:p w14:paraId="22F4917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B7C83E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 26th, 1942: Generaloberst Rommel, C-in-C of the Afrikakorps is promoted to Generalfeldmarschall (field marshal) (3819).</w:t>
      </w:r>
    </w:p>
    <w:p w14:paraId="12DD055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421CA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июня 1942 гп Роммель стал фельдмаршалом (3819).</w:t>
      </w:r>
    </w:p>
    <w:p w14:paraId="5F603E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5C9BD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 26 Fri. 1942 Germany announces unrestricted submarine warfare off United States Atlantic Coast (1064).</w:t>
      </w:r>
    </w:p>
    <w:p w14:paraId="1DD3689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260286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июня 1942 Германия объявила неограниченную подводную войну на атлантическом побережье США (1064).</w:t>
      </w:r>
    </w:p>
    <w:p w14:paraId="4DFA85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E9250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26 июня</w:t>
      </w:r>
      <w:r w:rsidRPr="008127F8">
        <w:rPr>
          <w:rFonts w:ascii="Times New Roman" w:hAnsi="Times New Roman"/>
          <w:color w:val="000000" w:themeColor="text1"/>
          <w:sz w:val="16"/>
          <w:szCs w:val="16"/>
        </w:rPr>
        <w:t xml:space="preserve"> в 1942 году из Хваль-фиорда (Исландия) вышел конвой PQ-17 (14934).</w:t>
      </w:r>
    </w:p>
    <w:p w14:paraId="713DA1E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479158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43AAF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70B56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июня 1942 вышел приказ НКАП N 473сс о расследовании причин поломок хвостовой части фюзеляжа самолета Ил-2, изготовленных на заводах 1 и 18 и поломок лонжерона РВ на заводе 18:</w:t>
      </w:r>
    </w:p>
    <w:p w14:paraId="40EC7C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проверки комиссией установлено:</w:t>
      </w:r>
    </w:p>
    <w:p w14:paraId="4B5DD35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Основной причиной поломок хвостовой части фюзеляжа самолета Ил-2 при посадке является недостаточная прочность конструкции.</w:t>
      </w:r>
    </w:p>
    <w:p w14:paraId="69813A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ГК С.В.И. допустил ошибку, выдав на серийное производство чертежи хвостовой части фюзеляжа, не проверенной статическими испытаниями</w:t>
      </w:r>
    </w:p>
    <w:p w14:paraId="1DB692B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Причиной поломок лонжеронов РВ является:</w:t>
      </w:r>
    </w:p>
    <w:p w14:paraId="00264E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недостаточная прочность и жесткость его, явившаяся результатом безответственного отношения со стороны ГИ завода 18 Вострова, нач. СКО Назаренко, к замене цельнотянутой трубы на клепанную из листа, без разрешения ГК и проведения стат. испытаний.</w:t>
      </w:r>
    </w:p>
    <w:p w14:paraId="58A6A8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некачественное изготовление клепаной трубы цехом N 18 и отсутствия должного контроля ОТК завода</w:t>
      </w:r>
    </w:p>
    <w:p w14:paraId="0C8B13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 заводах 1 и 18 при изготовлении хвостовых частей фюзеляжа нарушались инструкции ВИАМ по склеиванию и покрытиям авиадеталей, обязательные для всех заводов НКАП</w:t>
      </w:r>
    </w:p>
    <w:p w14:paraId="4E6AD2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устранения указанных недостатков:</w:t>
      </w:r>
    </w:p>
    <w:p w14:paraId="731970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ГК самолета Ил-2 С.В.И.:</w:t>
      </w:r>
    </w:p>
    <w:p w14:paraId="31F26B9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не позднее 29 июня 1942 утвердить ремонтный вариант усиления хвостовой части фюзеляжа и провести стат. испытания этого варианта</w:t>
      </w:r>
    </w:p>
    <w:p w14:paraId="3C1614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немедленно сообщить заводам 1, 18, 30, 381, изготавливающим самолеты Ил-2 о необходимых усилениях выпускаемых и ранее выпущенных самолетов</w:t>
      </w:r>
    </w:p>
    <w:p w14:paraId="36104B5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провести не позднее 28 июня 1940 полные стат. испытания хвостовой части фюзеляжа, изготовленной по чертежам и эскизам, спущенным в производство 13 июня 1942</w:t>
      </w:r>
    </w:p>
    <w:p w14:paraId="2A27891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Директорам заводов 1 Третьякову А.Т. и 18 Белянскому А.А., 30 Шапиро Н.А. и 381 Журавлеву В.И. закончить к 3 июля 1942 усиление хвостовой части фюзеляжа на готовых самолетах по утвержденному ГК варианту и выпустить эксплуатационный бюллетень по наблюдению за хвостовой частью фюзеляжа.</w:t>
      </w:r>
    </w:p>
    <w:p w14:paraId="49C34F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Не позднее 5 июля 1942 произвести замену РВ с клепанными лонжеронами на самолетах, находящихся в ВВС</w:t>
      </w:r>
    </w:p>
    <w:p w14:paraId="64DD709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строго руководствоваться при изготовлении хвостовой части инструкцией по склеиванию авиадеталей ВИАМ от 27 августа 1941, разработанному на основе этой инструкции технологическому процессу и инструкцией по лакокрасочным покрытиям.</w:t>
      </w:r>
    </w:p>
    <w:p w14:paraId="1E352D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произвести консервацию хвостовых частей, исключая маскировочные покрытия, до транспортировки в малярный цех</w:t>
      </w:r>
    </w:p>
    <w:p w14:paraId="7923DB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За выдачу в серийное производство чертежей хвостовой части фюзеляжа, не проверенных статиспытаниями, что привело к выпуску боевых самолетов пониженной прочности, ГК С.В.И. поставить на вид (приписал А.И.Ш. вместо объявить выговор) (1575,32).</w:t>
      </w:r>
    </w:p>
    <w:p w14:paraId="6FA09E5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E858F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июня 1942 состоялся телефонный разговор:</w:t>
      </w:r>
    </w:p>
    <w:p w14:paraId="0FAA977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аппарата инж.-майор Шибалов,</w:t>
      </w:r>
    </w:p>
    <w:p w14:paraId="1E82451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аппарата инж.майор Любимов.</w:t>
      </w:r>
    </w:p>
    <w:p w14:paraId="06A1636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ОТЧЕТ - По выявлению и устранению причин течи радиаторов и перегрева воды и масла на самолетах Ил-2 с моторами АМ1-38, выпус</w:t>
      </w:r>
      <w:r w:rsidRPr="008127F8">
        <w:rPr>
          <w:rFonts w:ascii="Times New Roman" w:hAnsi="Times New Roman"/>
          <w:color w:val="000000" w:themeColor="text1"/>
          <w:sz w:val="16"/>
          <w:szCs w:val="16"/>
        </w:rPr>
        <w:softHyphen/>
        <w:t>каемых заводами №№ 1 и 18 действуя на основании приказания замес</w:t>
      </w:r>
      <w:r w:rsidRPr="008127F8">
        <w:rPr>
          <w:rFonts w:ascii="Times New Roman" w:hAnsi="Times New Roman"/>
          <w:color w:val="000000" w:themeColor="text1"/>
          <w:sz w:val="16"/>
          <w:szCs w:val="16"/>
        </w:rPr>
        <w:softHyphen/>
        <w:t>тителя Наркома авиационной промышленности т. Воронина П.А.. и Зам. Нач. ГУЗ ИТС ВВС КА генерал майора т. Бибикова я и нами после тща</w:t>
      </w:r>
      <w:r w:rsidRPr="008127F8">
        <w:rPr>
          <w:rFonts w:ascii="Times New Roman" w:hAnsi="Times New Roman"/>
          <w:color w:val="000000" w:themeColor="text1"/>
          <w:sz w:val="16"/>
          <w:szCs w:val="16"/>
        </w:rPr>
        <w:softHyphen/>
        <w:t>тельной проверки радиаторов, трубопроводов, бачков и тоннелей ра</w:t>
      </w:r>
      <w:r w:rsidRPr="008127F8">
        <w:rPr>
          <w:rFonts w:ascii="Times New Roman" w:hAnsi="Times New Roman"/>
          <w:color w:val="000000" w:themeColor="text1"/>
          <w:sz w:val="16"/>
          <w:szCs w:val="16"/>
        </w:rPr>
        <w:softHyphen/>
        <w:t>диаторов установлено, что на самолетах при летно сдаточных испы</w:t>
      </w:r>
      <w:r w:rsidRPr="008127F8">
        <w:rPr>
          <w:rFonts w:ascii="Times New Roman" w:hAnsi="Times New Roman"/>
          <w:color w:val="000000" w:themeColor="text1"/>
          <w:sz w:val="16"/>
          <w:szCs w:val="16"/>
        </w:rPr>
        <w:softHyphen/>
        <w:t>таниях в течение мая месяца возникли массовые случаи течи радиаторов, перегрева воды и масла одной из основных причин перегрева воды и масла япляется недоброкачественность поставляемых радиаторов за</w:t>
      </w:r>
      <w:r w:rsidRPr="008127F8">
        <w:rPr>
          <w:rFonts w:ascii="Times New Roman" w:hAnsi="Times New Roman"/>
          <w:color w:val="000000" w:themeColor="text1"/>
          <w:sz w:val="16"/>
          <w:szCs w:val="16"/>
        </w:rPr>
        <w:softHyphen/>
        <w:t>водами №№ 34 и 472 по водорадиаторам изд.163 - основные недостатки воздущно-водявых радиаторов изделия 163, снижающие их тепловые характеристики являются:</w:t>
      </w:r>
    </w:p>
    <w:p w14:paraId="786FAE1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Водоразделительная перегородка очень плохо припаяна и через несколько минут работы отрывалась совсем между перегородкой и трубной доской обнаружены большие зазоры (щели) вследствие плохой подгонки перегородки к трубной доске в результате вышеуказанного часть воды не циркулировала через трубки сот, а шла на прямую, т.е. во входной штуцер, затем через перегородку и выходной штуцер к мотору, не отдавая тепло воздуху радиаторы завода № 34 №№ 5218 32171 5277 32202 321 4283 15 32131 52239 4294 32139 32104 32177 и др.</w:t>
      </w:r>
    </w:p>
    <w:p w14:paraId="6F76F80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внутренние и торцевые плоскости трубок.имеют чрезмерный наплыв припоя, либо совсем закупорны припоем на части радиаторов количество и не качественно запаянных и неработающих трубок доходит до 25% вследствие чего на примерно такой же процент уменьшается .охлаждающая поверхность радиаторов заглушенные, закупоренные и смятые трубки увеличивали гидравлическое сопротивление радиатора что уменьшало прокачку воды и увеличивало давление в системе охлаждения радиаторы №№ 12257 52133 и др. завода № 472 и завода №.34, перечисленные в параграфе № 1.</w:t>
      </w:r>
    </w:p>
    <w:p w14:paraId="42171E6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обнаружено, у двух водорадиаторов засорение трубок стружками (завод № 472) и войлоком (завод № 34), что вызвало выключение из раббты почти всех грубок и перегрев воды.</w:t>
      </w:r>
    </w:p>
    <w:p w14:paraId="0BF6563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При осмотре 30 радиаторов заводов №№ 34 и 472 на самолетах и складах обнаружено большое количество радиаторов с плохо набран</w:t>
      </w:r>
      <w:r w:rsidRPr="008127F8">
        <w:rPr>
          <w:rFonts w:ascii="Times New Roman" w:hAnsi="Times New Roman"/>
          <w:color w:val="000000" w:themeColor="text1"/>
          <w:sz w:val="16"/>
          <w:szCs w:val="16"/>
        </w:rPr>
        <w:softHyphen/>
        <w:t>ными пластиками т.е. не выдержан шаг пластин по чертежам при транспортировке и монтаже радиаторов на самолет просиходит смятие пластин и загибка одной на другую, что резко уменьшает живое се</w:t>
      </w:r>
      <w:r w:rsidRPr="008127F8">
        <w:rPr>
          <w:rFonts w:ascii="Times New Roman" w:hAnsi="Times New Roman"/>
          <w:color w:val="000000" w:themeColor="text1"/>
          <w:sz w:val="16"/>
          <w:szCs w:val="16"/>
        </w:rPr>
        <w:softHyphen/>
        <w:t>чение по воздуху, скорость продувки и сокращает рабочую поверхность радиатора, что также приводит к перегреву воды в данном слу</w:t>
      </w:r>
      <w:r w:rsidRPr="008127F8">
        <w:rPr>
          <w:rFonts w:ascii="Times New Roman" w:hAnsi="Times New Roman"/>
          <w:color w:val="000000" w:themeColor="text1"/>
          <w:sz w:val="16"/>
          <w:szCs w:val="16"/>
        </w:rPr>
        <w:softHyphen/>
        <w:t>чае теплосъем водорадиаторов снижается до 15%.</w:t>
      </w:r>
    </w:p>
    <w:p w14:paraId="0456856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Кроме перечис</w:t>
      </w:r>
      <w:r w:rsidRPr="008127F8">
        <w:rPr>
          <w:rFonts w:ascii="Times New Roman" w:hAnsi="Times New Roman"/>
          <w:color w:val="000000" w:themeColor="text1"/>
          <w:sz w:val="16"/>
          <w:szCs w:val="16"/>
        </w:rPr>
        <w:softHyphen/>
        <w:t>ленных дефектов у водорадиаторов из под штуцеров входа и выхода и слива воды:</w:t>
      </w:r>
    </w:p>
    <w:p w14:paraId="064878D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течи по штуцерам входа и выхода воды у радиато</w:t>
      </w:r>
      <w:r w:rsidRPr="008127F8">
        <w:rPr>
          <w:rFonts w:ascii="Times New Roman" w:hAnsi="Times New Roman"/>
          <w:color w:val="000000" w:themeColor="text1"/>
          <w:sz w:val="16"/>
          <w:szCs w:val="16"/>
        </w:rPr>
        <w:softHyphen/>
        <w:t>ров заводов №№ 34 и 472 происходят по причине плохой спайки шту</w:t>
      </w:r>
      <w:r w:rsidRPr="008127F8">
        <w:rPr>
          <w:rFonts w:ascii="Times New Roman" w:hAnsi="Times New Roman"/>
          <w:color w:val="000000" w:themeColor="text1"/>
          <w:sz w:val="16"/>
          <w:szCs w:val="16"/>
        </w:rPr>
        <w:softHyphen/>
        <w:t>церов и вследствие изменения чертежа трубопровода на заводах № 1 и № 18 (изменение чертежа #-630500). Гибкое соединение патрубка радиатора с трубопроводом было до изменения удалено от штуцера радиатора на 250 мм после изменения на 500 мм. Увеличение длины жесткого соединения вызвало большие перегрузки на штуцер и крыш</w:t>
      </w:r>
      <w:r w:rsidRPr="008127F8">
        <w:rPr>
          <w:rFonts w:ascii="Times New Roman" w:hAnsi="Times New Roman"/>
          <w:color w:val="000000" w:themeColor="text1"/>
          <w:sz w:val="16"/>
          <w:szCs w:val="16"/>
        </w:rPr>
        <w:softHyphen/>
        <w:t>ку радиатора,</w:t>
      </w:r>
    </w:p>
    <w:p w14:paraId="2550A15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б) Течи штуцеров слива у радиатора завода № 34 выз</w:t>
      </w:r>
      <w:r w:rsidRPr="008127F8">
        <w:rPr>
          <w:rFonts w:ascii="Times New Roman" w:hAnsi="Times New Roman"/>
          <w:color w:val="000000" w:themeColor="text1"/>
          <w:sz w:val="16"/>
          <w:szCs w:val="16"/>
        </w:rPr>
        <w:softHyphen/>
        <w:t>ваны временным переходом на клепку и спайку мягким припоем вместо твердой дайки. Это отступление от чертежа было вызвано отсутствие ацетилена и серебряного припоя на заводе № 34. Течи по штуцерам слива вызваны также не соосностью отверстия в броне и штуцере, что приводит при монтаже радиатора к выворачиванию штуцера. Геометрия расположения штуцера на крышке радиатора правильна. По маслорадиаторам изделия № 321. На всех .самолетах имевших высокие температуры воды наблюдается перегрев масла,. Замена водорадиаторов (на нормальный) и снижение температур по воде в большинстве слу</w:t>
      </w:r>
      <w:r w:rsidRPr="008127F8">
        <w:rPr>
          <w:rFonts w:ascii="Times New Roman" w:hAnsi="Times New Roman"/>
          <w:color w:val="000000" w:themeColor="text1"/>
          <w:sz w:val="16"/>
          <w:szCs w:val="16"/>
        </w:rPr>
        <w:softHyphen/>
        <w:t>чаев понижало температуру масла до нормальной. Перегрев масла на самолетах, имеющих нормальный тепловой режим по воде происходит по следующим причинам:</w:t>
      </w:r>
    </w:p>
    <w:p w14:paraId="2149E97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Прогиб внутреннего коллектора маслорадиатора в сторонувнешнего создает шунтирующие каналы для масла помимо сот.</w:t>
      </w:r>
    </w:p>
    <w:p w14:paraId="2B8E147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Увеличения зазора между коллектором и сотами получающие</w:t>
      </w:r>
      <w:r w:rsidRPr="008127F8">
        <w:rPr>
          <w:rFonts w:ascii="Times New Roman" w:hAnsi="Times New Roman"/>
          <w:color w:val="000000" w:themeColor="text1"/>
          <w:sz w:val="16"/>
          <w:szCs w:val="16"/>
        </w:rPr>
        <w:softHyphen/>
        <w:t>ся из-за плохой подгонки сот, плохого выравнивания средних профилей по плоскости относительно крайних.</w:t>
      </w:r>
    </w:p>
    <w:p w14:paraId="04B3960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Прогиб внутреннего коллектора происходит из-за усиленной подачи масла в .радиатор в момент первого запуска моторапосле расконсервации.</w:t>
      </w:r>
    </w:p>
    <w:p w14:paraId="788EABD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Усилениная подача масла в период запуска мотора вызывается нали</w:t>
      </w:r>
      <w:r w:rsidRPr="008127F8">
        <w:rPr>
          <w:rFonts w:ascii="Times New Roman" w:hAnsi="Times New Roman"/>
          <w:color w:val="000000" w:themeColor="text1"/>
          <w:sz w:val="16"/>
          <w:szCs w:val="16"/>
        </w:rPr>
        <w:softHyphen/>
        <w:t>чием большого количества масла в картере, так как при запуске в картер заливается 18 литров масла, что дает возможность отка</w:t>
      </w:r>
      <w:r w:rsidRPr="008127F8">
        <w:rPr>
          <w:rFonts w:ascii="Times New Roman" w:hAnsi="Times New Roman"/>
          <w:color w:val="000000" w:themeColor="text1"/>
          <w:sz w:val="16"/>
          <w:szCs w:val="16"/>
        </w:rPr>
        <w:softHyphen/>
        <w:t>чивающей помпе работать с полной производительнрстью при соответ</w:t>
      </w:r>
      <w:r w:rsidRPr="008127F8">
        <w:rPr>
          <w:rFonts w:ascii="Times New Roman" w:hAnsi="Times New Roman"/>
          <w:color w:val="000000" w:themeColor="text1"/>
          <w:sz w:val="16"/>
          <w:szCs w:val="16"/>
        </w:rPr>
        <w:softHyphen/>
        <w:t>ствующих оборотах. Усиленная подача масла доходит до 90 литров в минуту - радиатор к его клапан расчитан согласно данных моторного завода на нормальную прокачку через мотор в 60 л/мин, вследствие чего внутренний коллектор односторонне сильно нагружается и про</w:t>
      </w:r>
      <w:r w:rsidRPr="008127F8">
        <w:rPr>
          <w:rFonts w:ascii="Times New Roman" w:hAnsi="Times New Roman"/>
          <w:color w:val="000000" w:themeColor="text1"/>
          <w:sz w:val="16"/>
          <w:szCs w:val="16"/>
        </w:rPr>
        <w:softHyphen/>
        <w:t>гибается, т.е. полностью выводит радиатор из. строя. Указанные раз</w:t>
      </w:r>
      <w:r w:rsidRPr="008127F8">
        <w:rPr>
          <w:rFonts w:ascii="Times New Roman" w:hAnsi="Times New Roman"/>
          <w:color w:val="000000" w:themeColor="text1"/>
          <w:sz w:val="16"/>
          <w:szCs w:val="16"/>
        </w:rPr>
        <w:softHyphen/>
        <w:t>рушения радиаторов происходит как зимой, также и летом, при рез</w:t>
      </w:r>
      <w:r w:rsidRPr="008127F8">
        <w:rPr>
          <w:rFonts w:ascii="Times New Roman" w:hAnsi="Times New Roman"/>
          <w:color w:val="000000" w:themeColor="text1"/>
          <w:sz w:val="16"/>
          <w:szCs w:val="16"/>
        </w:rPr>
        <w:softHyphen/>
        <w:t>ком запуске мотора (т.е. быстрой даче в первый период работы мо</w:t>
      </w:r>
      <w:r w:rsidRPr="008127F8">
        <w:rPr>
          <w:rFonts w:ascii="Times New Roman" w:hAnsi="Times New Roman"/>
          <w:color w:val="000000" w:themeColor="text1"/>
          <w:sz w:val="16"/>
          <w:szCs w:val="16"/>
        </w:rPr>
        <w:softHyphen/>
        <w:t>тора больших оборотов).</w:t>
      </w:r>
    </w:p>
    <w:p w14:paraId="1462F3C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На маслорадиарорах завода № 472 обнару</w:t>
      </w:r>
      <w:r w:rsidRPr="008127F8">
        <w:rPr>
          <w:rFonts w:ascii="Times New Roman" w:hAnsi="Times New Roman"/>
          <w:color w:val="000000" w:themeColor="text1"/>
          <w:sz w:val="16"/>
          <w:szCs w:val="16"/>
        </w:rPr>
        <w:softHyphen/>
        <w:t>жены полу трубки, поставленные по потоку масла, что вызывает увели</w:t>
      </w:r>
      <w:r w:rsidRPr="008127F8">
        <w:rPr>
          <w:rFonts w:ascii="Times New Roman" w:hAnsi="Times New Roman"/>
          <w:color w:val="000000" w:themeColor="text1"/>
          <w:sz w:val="16"/>
          <w:szCs w:val="16"/>
        </w:rPr>
        <w:softHyphen/>
        <w:t>чение гидравлического сопротивления радиаторов и не дает возможное ти определить по кривой гидравлическое сопротивление радиаторов.</w:t>
      </w:r>
    </w:p>
    <w:p w14:paraId="332FEF3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Выводы: - для удаления выявленных и перечисленных дефектов необ</w:t>
      </w:r>
      <w:r w:rsidRPr="008127F8">
        <w:rPr>
          <w:rFonts w:ascii="Times New Roman" w:hAnsi="Times New Roman"/>
          <w:color w:val="000000" w:themeColor="text1"/>
          <w:sz w:val="16"/>
          <w:szCs w:val="16"/>
        </w:rPr>
        <w:softHyphen/>
        <w:t>ходимо провести следующие мероприятия:</w:t>
      </w:r>
    </w:p>
    <w:p w14:paraId="50F7FDF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водорадиаторам изделия 163:</w:t>
      </w:r>
    </w:p>
    <w:p w14:paraId="54D704C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тщательно паять водоразделительнуо перегородку по всей длине ОТК радиаторных, заводов должны перед приболчиванием крышек строго контролировать качество пайки и установки перегородки и уплотнителя резины.</w:t>
      </w:r>
    </w:p>
    <w:p w14:paraId="57DE755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ОТК тщательно проверять на просвет каждую трубку радиатора и сомнительные трубки по сжатию и заплыву припоем подвергать проверке пропусканием шпаги сечением 18x1 мм контрольная шпага должна проходить всю длину трубки</w:t>
      </w:r>
    </w:p>
    <w:p w14:paraId="0C4990C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перед пломбировкой радиаторов ОТК, тщательно проверять чистоту внутренней полости ра</w:t>
      </w:r>
      <w:r w:rsidRPr="008127F8">
        <w:rPr>
          <w:rFonts w:ascii="Times New Roman" w:hAnsi="Times New Roman"/>
          <w:color w:val="000000" w:themeColor="text1"/>
          <w:sz w:val="16"/>
          <w:szCs w:val="16"/>
        </w:rPr>
        <w:softHyphen/>
        <w:t>диаторов категорические запрещается пропуск радиаторов с наличием посторонних предметов во внутренней полости радиатора (войлок, ре</w:t>
      </w:r>
      <w:r w:rsidRPr="008127F8">
        <w:rPr>
          <w:rFonts w:ascii="Times New Roman" w:hAnsi="Times New Roman"/>
          <w:color w:val="000000" w:themeColor="text1"/>
          <w:sz w:val="16"/>
          <w:szCs w:val="16"/>
        </w:rPr>
        <w:softHyphen/>
        <w:t>зина, стружки и т.д.)</w:t>
      </w:r>
    </w:p>
    <w:p w14:paraId="7D4334B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ОТК строго проверять правильность шага между пластинами, перпендикулярность торцевых плоскостей пластин к трубкам и просвет между пластинами по потоку воздуха.</w:t>
      </w:r>
    </w:p>
    <w:p w14:paraId="164B6E2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Пайку штуцеров -входа и выхода производить только горелкой или фенкой, ОТК тщательно проверять качество пайки.</w:t>
      </w:r>
    </w:p>
    <w:p w14:paraId="66CDEE9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В случае смятия пластин радиаторов при транспортировке и монтаже на само</w:t>
      </w:r>
      <w:r w:rsidRPr="008127F8">
        <w:rPr>
          <w:rFonts w:ascii="Times New Roman" w:hAnsi="Times New Roman"/>
          <w:color w:val="000000" w:themeColor="text1"/>
          <w:sz w:val="16"/>
          <w:szCs w:val="16"/>
        </w:rPr>
        <w:softHyphen/>
        <w:t>летах необходимо пластины выправлять - радиаторы с помятыми пласти</w:t>
      </w:r>
      <w:r w:rsidRPr="008127F8">
        <w:rPr>
          <w:rFonts w:ascii="Times New Roman" w:hAnsi="Times New Roman"/>
          <w:color w:val="000000" w:themeColor="text1"/>
          <w:sz w:val="16"/>
          <w:szCs w:val="16"/>
        </w:rPr>
        <w:softHyphen/>
        <w:t>нами к эксплоатации не допускать.</w:t>
      </w:r>
    </w:p>
    <w:p w14:paraId="0546EC9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маслорадиаторам изделия 321:</w:t>
      </w:r>
    </w:p>
    <w:p w14:paraId="0CEE957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одобрить разосланные радиаторным заводам и внедренное в производство усиление внутренней обичайки профилем, произведенное ОКБ-34.</w:t>
      </w:r>
    </w:p>
    <w:p w14:paraId="37E832A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ОТК радиаторных заводов не допускать изделия к эксплоатации маслорадиаторов с наличием в сотах полутрубок поставленных по потоку масла и с увеличенными зазорами между сотами и обичайкой против обусловленных в СТУ.</w:t>
      </w:r>
    </w:p>
    <w:p w14:paraId="61EBC3E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Перед сборкой сот в габарит строго прове</w:t>
      </w:r>
      <w:r w:rsidRPr="008127F8">
        <w:rPr>
          <w:rFonts w:ascii="Times New Roman" w:hAnsi="Times New Roman"/>
          <w:color w:val="000000" w:themeColor="text1"/>
          <w:sz w:val="16"/>
          <w:szCs w:val="16"/>
        </w:rPr>
        <w:softHyphen/>
        <w:t>рять постановку профилей, все профиля должны быть в одной плоскости.</w:t>
      </w:r>
    </w:p>
    <w:p w14:paraId="2CC828B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 случае заливки масла и картер перед запуском моторам обязательно открывать сливную пробку маслорадиатора и закрывать ее только после запуска мотора. Считать возможным производить ремонт водяных радиаторов (подпайка штуцеров, перегородок, трубок и замену уплотнителей) на заводах №№</w:t>
      </w:r>
      <w:r w:rsidRPr="008127F8">
        <w:rPr>
          <w:rFonts w:ascii="Times New Roman" w:hAnsi="Times New Roman"/>
          <w:color w:val="000000" w:themeColor="text1"/>
          <w:sz w:val="16"/>
          <w:szCs w:val="16"/>
          <w:vertAlign w:val="superscript"/>
        </w:rPr>
        <w:t>:</w:t>
      </w:r>
      <w:r w:rsidRPr="008127F8">
        <w:rPr>
          <w:rFonts w:ascii="Times New Roman" w:hAnsi="Times New Roman"/>
          <w:color w:val="000000" w:themeColor="text1"/>
          <w:sz w:val="16"/>
          <w:szCs w:val="16"/>
        </w:rPr>
        <w:t xml:space="preserve"> 1 и 18 с проверкой на герметичность воздухом в 4 атм. .Ремонт маслорадиаторов на данных заводах допускается только устранению течей, с проверкой на герметичность воздухом в 4 атм. Снятые с самолетов водо и маслорадиаторы по причине перегрева воды масла на самолетных заводах также и в частях; подлежат ремонту на радиаторных заводах. У имеющихся на заводах №№ 1 и 18 водорарадиаторов необходимо вскрыть крышки, подпаять перегородки, пропаять штуцера и испытать на герметичность.</w:t>
      </w:r>
    </w:p>
    <w:p w14:paraId="15CF21F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Любимов Опарин Воронин.</w:t>
      </w:r>
    </w:p>
    <w:p w14:paraId="4655E12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 Любимов какие мероприятия проведены на заводах №№ 1 и 18 по устранению дефектов зависящих от них.</w:t>
      </w:r>
    </w:p>
    <w:p w14:paraId="67AAB33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немедленного прекращения поступления дефектных радиаторов с заводов 472 и 34 им посланы телеграммы указанием перечисленного отчете также посланы телеграммы 381 и 30 заводам т.к. они еще не знают причин перегрева на з-дах 18 и 1 работает бригада 472 з-да . Дефекты устраняются (1634,346).</w:t>
      </w:r>
    </w:p>
    <w:p w14:paraId="1AAAF57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989D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27 июня 1942 согласно Нач. ПГУ Шиц и Дир. завода 21 Гостинцеву на 21 заводе было изготовлено только 2 комплекта капотов для ЛаГГ-5 вручную и 1 июля хотели закончить приспособления, обеспечивающие изготовление 2-х комплектов капотов в день с 1 июля и с 7 июля - по 3-4 комплекта в день с доведением к 27 июля - 6 комплектов. 25 июня уже были организованы специальные капотные мастерские. Похожая ситуация была с коллекторами, предкрылками, лафетами, моторамами и элеронами и всего хотели с 6 по 31 июля сделать 60 ЛаГГ-5, сохранив по ЛаГГ-3 программу в 116 машин (2493,50).</w:t>
      </w:r>
    </w:p>
    <w:p w14:paraId="18DCDA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B77AA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июня 1942 был рассмотрен и одобрен макет истребителя И-220 МиГ-11, а 20 августа 1942 г. утвержден протокол макетной комиссии. Между тем в опытном производстве начали изготовление машины для статиспытаний и первого летного экземпляра. Однако из-за отсутствия двигателя АМ-39 на самолет, получивший заводское наименование И-220 и шифр "А", разрешили первоначально установить мотор АМ-38Ф для проведения первого этапа испытаний и получения предварительных результатов с последующей заменой на АМ-39. Истребитель И-220 предназначался для ведения активного воздушного боя на всех высотах. В целях получения максимальной горизонтальной скорости все радиаторы были убраны в крыло. Забор воздуха осуществлялся с передней кромки центроплана. Выход туннеля маслорадиатора разместили в нижней части центроплана, а водора-диаторов - в верхней. Самолет имел шасси с рычажной подвеской колес и впервые в отечественной авиации на нем были установлены мягкие топливные баки. Винт АВ-5Л-126А диаметром 3,2 м. Вооружение состояло из двух синхронных 20-мм пушек ШВАК (СП-20) с боезапасом по 150 патронов. Кроме того, на основании решения макетной комиссии в перегрузку предусмотрели установку еще двух пушек ШВАК с таким же боезапасом (5669).</w:t>
      </w:r>
    </w:p>
    <w:p w14:paraId="78E83E5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AB7C6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июня 1942 г. макет истребителя И—220 («внешнее» обозначе</w:t>
      </w:r>
      <w:r w:rsidRPr="008127F8">
        <w:rPr>
          <w:rFonts w:ascii="Times New Roman" w:hAnsi="Times New Roman"/>
          <w:color w:val="000000" w:themeColor="text1"/>
          <w:sz w:val="16"/>
          <w:szCs w:val="16"/>
        </w:rPr>
        <w:softHyphen/>
        <w:t>ние — МиГ—И) был рассмотрен и одобрен. В производство запустили два планера: один для статических испытаний, а другой — для первого летного экземпляра. Из-за отсутствия пригодного к полетам двигателя АМ—39 на самолет, получивший еще и шифр «А», временно, для проведения первого этапа испытаний, смонтировали мотор АМ—38Ф. Все радиаторы, охлаждавшие двигатель истреби</w:t>
      </w:r>
      <w:r w:rsidRPr="008127F8">
        <w:rPr>
          <w:rFonts w:ascii="Times New Roman" w:hAnsi="Times New Roman"/>
          <w:color w:val="000000" w:themeColor="text1"/>
          <w:sz w:val="16"/>
          <w:szCs w:val="16"/>
        </w:rPr>
        <w:softHyphen/>
        <w:t>теля И-220, убрали в крыло, воздухозаборники рас</w:t>
      </w:r>
      <w:r w:rsidRPr="008127F8">
        <w:rPr>
          <w:rFonts w:ascii="Times New Roman" w:hAnsi="Times New Roman"/>
          <w:color w:val="000000" w:themeColor="text1"/>
          <w:sz w:val="16"/>
          <w:szCs w:val="16"/>
        </w:rPr>
        <w:softHyphen/>
        <w:t>полагались в передней кромке центроплана. Выход туннеля маслорадиатора разместили в нижней части центроплана, а водорадиаторов — в верхней. На машине установили винт АВ—5Л—126А диаметром 3,2 м. Самолет имел шасси с рычажной подвеской колес и мягкие топливные баки. Вооружение состоя</w:t>
      </w:r>
      <w:r w:rsidRPr="008127F8">
        <w:rPr>
          <w:rFonts w:ascii="Times New Roman" w:hAnsi="Times New Roman"/>
          <w:color w:val="000000" w:themeColor="text1"/>
          <w:sz w:val="16"/>
          <w:szCs w:val="16"/>
        </w:rPr>
        <w:softHyphen/>
        <w:t>ло из двух синхронных 20-мм пушек ШВАК с боеза</w:t>
      </w:r>
      <w:r w:rsidRPr="008127F8">
        <w:rPr>
          <w:rFonts w:ascii="Times New Roman" w:hAnsi="Times New Roman"/>
          <w:color w:val="000000" w:themeColor="text1"/>
          <w:sz w:val="16"/>
          <w:szCs w:val="16"/>
        </w:rPr>
        <w:softHyphen/>
        <w:t>пасом по 150 патронов. По решению макетной ко</w:t>
      </w:r>
      <w:r w:rsidRPr="008127F8">
        <w:rPr>
          <w:rFonts w:ascii="Times New Roman" w:hAnsi="Times New Roman"/>
          <w:color w:val="000000" w:themeColor="text1"/>
          <w:sz w:val="16"/>
          <w:szCs w:val="16"/>
        </w:rPr>
        <w:softHyphen/>
        <w:t>миссии в перегрузку рекомендовалась установка еще двух пушек ШВАК с таким же боезапасом (9984).</w:t>
      </w:r>
    </w:p>
    <w:tbl>
      <w:tblPr>
        <w:tblW w:w="0" w:type="auto"/>
        <w:tblInd w:w="40" w:type="dxa"/>
        <w:tblLayout w:type="fixed"/>
        <w:tblCellMar>
          <w:left w:w="40" w:type="dxa"/>
          <w:right w:w="40" w:type="dxa"/>
        </w:tblCellMar>
        <w:tblLook w:val="0000" w:firstRow="0" w:lastRow="0" w:firstColumn="0" w:lastColumn="0" w:noHBand="0" w:noVBand="0"/>
      </w:tblPr>
      <w:tblGrid>
        <w:gridCol w:w="2610"/>
        <w:gridCol w:w="2425"/>
        <w:gridCol w:w="2525"/>
        <w:gridCol w:w="2520"/>
      </w:tblGrid>
      <w:tr w:rsidR="007C5583" w:rsidRPr="008127F8" w14:paraId="56B88048" w14:textId="77777777" w:rsidTr="004C5D62">
        <w:trPr>
          <w:trHeight w:val="307"/>
        </w:trPr>
        <w:tc>
          <w:tcPr>
            <w:tcW w:w="2610" w:type="dxa"/>
            <w:tcBorders>
              <w:top w:val="single" w:sz="12" w:space="0" w:color="auto"/>
              <w:left w:val="single" w:sz="12" w:space="0" w:color="auto"/>
              <w:bottom w:val="single" w:sz="6" w:space="0" w:color="auto"/>
              <w:right w:val="single" w:sz="6" w:space="0" w:color="auto"/>
            </w:tcBorders>
          </w:tcPr>
          <w:p w14:paraId="4DCF255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Характеристика</w:t>
            </w:r>
          </w:p>
        </w:tc>
        <w:tc>
          <w:tcPr>
            <w:tcW w:w="2425" w:type="dxa"/>
            <w:tcBorders>
              <w:top w:val="single" w:sz="12" w:space="0" w:color="auto"/>
              <w:left w:val="single" w:sz="6" w:space="0" w:color="auto"/>
              <w:bottom w:val="single" w:sz="6" w:space="0" w:color="auto"/>
              <w:right w:val="single" w:sz="6" w:space="0" w:color="auto"/>
            </w:tcBorders>
          </w:tcPr>
          <w:p w14:paraId="1ED8A33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АМ-38Ф</w:t>
            </w:r>
          </w:p>
        </w:tc>
        <w:tc>
          <w:tcPr>
            <w:tcW w:w="2525" w:type="dxa"/>
            <w:tcBorders>
              <w:top w:val="single" w:sz="12" w:space="0" w:color="auto"/>
              <w:left w:val="single" w:sz="6" w:space="0" w:color="auto"/>
              <w:bottom w:val="single" w:sz="6" w:space="0" w:color="auto"/>
              <w:right w:val="single" w:sz="6" w:space="0" w:color="auto"/>
            </w:tcBorders>
          </w:tcPr>
          <w:p w14:paraId="77F98EA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АМ-39</w:t>
            </w:r>
          </w:p>
        </w:tc>
        <w:tc>
          <w:tcPr>
            <w:tcW w:w="2520" w:type="dxa"/>
            <w:tcBorders>
              <w:top w:val="single" w:sz="12" w:space="0" w:color="auto"/>
              <w:left w:val="single" w:sz="6" w:space="0" w:color="auto"/>
              <w:bottom w:val="single" w:sz="6" w:space="0" w:color="auto"/>
              <w:right w:val="single" w:sz="12" w:space="0" w:color="auto"/>
            </w:tcBorders>
          </w:tcPr>
          <w:p w14:paraId="3BE18BA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АМ-42Б</w:t>
            </w:r>
          </w:p>
        </w:tc>
      </w:tr>
      <w:tr w:rsidR="007C5583" w:rsidRPr="008127F8" w14:paraId="1D6883AC" w14:textId="77777777" w:rsidTr="004C5D62">
        <w:trPr>
          <w:trHeight w:val="221"/>
        </w:trPr>
        <w:tc>
          <w:tcPr>
            <w:tcW w:w="2610" w:type="dxa"/>
            <w:tcBorders>
              <w:top w:val="single" w:sz="6" w:space="0" w:color="auto"/>
              <w:left w:val="single" w:sz="12" w:space="0" w:color="auto"/>
              <w:bottom w:val="single" w:sz="6" w:space="0" w:color="auto"/>
              <w:right w:val="single" w:sz="6" w:space="0" w:color="auto"/>
            </w:tcBorders>
          </w:tcPr>
          <w:p w14:paraId="7F1E1D7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Год выпуска</w:t>
            </w:r>
          </w:p>
        </w:tc>
        <w:tc>
          <w:tcPr>
            <w:tcW w:w="2425" w:type="dxa"/>
            <w:tcBorders>
              <w:top w:val="single" w:sz="6" w:space="0" w:color="auto"/>
              <w:left w:val="single" w:sz="6" w:space="0" w:color="auto"/>
              <w:bottom w:val="single" w:sz="6" w:space="0" w:color="auto"/>
              <w:right w:val="single" w:sz="6" w:space="0" w:color="auto"/>
            </w:tcBorders>
          </w:tcPr>
          <w:p w14:paraId="415DAA8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w:t>
            </w:r>
          </w:p>
        </w:tc>
        <w:tc>
          <w:tcPr>
            <w:tcW w:w="2525" w:type="dxa"/>
            <w:tcBorders>
              <w:top w:val="single" w:sz="6" w:space="0" w:color="auto"/>
              <w:left w:val="single" w:sz="6" w:space="0" w:color="auto"/>
              <w:bottom w:val="single" w:sz="6" w:space="0" w:color="auto"/>
              <w:right w:val="single" w:sz="6" w:space="0" w:color="auto"/>
            </w:tcBorders>
          </w:tcPr>
          <w:p w14:paraId="416516A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1943</w:t>
            </w:r>
          </w:p>
        </w:tc>
        <w:tc>
          <w:tcPr>
            <w:tcW w:w="2520" w:type="dxa"/>
            <w:tcBorders>
              <w:top w:val="single" w:sz="6" w:space="0" w:color="auto"/>
              <w:left w:val="single" w:sz="6" w:space="0" w:color="auto"/>
              <w:bottom w:val="single" w:sz="6" w:space="0" w:color="auto"/>
              <w:right w:val="single" w:sz="12" w:space="0" w:color="auto"/>
            </w:tcBorders>
          </w:tcPr>
          <w:p w14:paraId="5E23C5C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1944</w:t>
            </w:r>
          </w:p>
        </w:tc>
      </w:tr>
      <w:tr w:rsidR="007C5583" w:rsidRPr="008127F8" w14:paraId="12C77FC1" w14:textId="77777777" w:rsidTr="004C5D62">
        <w:trPr>
          <w:trHeight w:val="230"/>
        </w:trPr>
        <w:tc>
          <w:tcPr>
            <w:tcW w:w="2610" w:type="dxa"/>
            <w:tcBorders>
              <w:top w:val="single" w:sz="6" w:space="0" w:color="auto"/>
              <w:left w:val="single" w:sz="12" w:space="0" w:color="auto"/>
              <w:bottom w:val="single" w:sz="6" w:space="0" w:color="auto"/>
              <w:right w:val="single" w:sz="6" w:space="0" w:color="auto"/>
            </w:tcBorders>
          </w:tcPr>
          <w:p w14:paraId="4D901F6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Масса, кг</w:t>
            </w:r>
          </w:p>
        </w:tc>
        <w:tc>
          <w:tcPr>
            <w:tcW w:w="2425" w:type="dxa"/>
            <w:tcBorders>
              <w:top w:val="single" w:sz="6" w:space="0" w:color="auto"/>
              <w:left w:val="single" w:sz="6" w:space="0" w:color="auto"/>
              <w:bottom w:val="single" w:sz="6" w:space="0" w:color="auto"/>
              <w:right w:val="single" w:sz="6" w:space="0" w:color="auto"/>
            </w:tcBorders>
          </w:tcPr>
          <w:p w14:paraId="2D124615"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880</w:t>
            </w:r>
          </w:p>
        </w:tc>
        <w:tc>
          <w:tcPr>
            <w:tcW w:w="2525" w:type="dxa"/>
            <w:tcBorders>
              <w:top w:val="single" w:sz="6" w:space="0" w:color="auto"/>
              <w:left w:val="single" w:sz="6" w:space="0" w:color="auto"/>
              <w:bottom w:val="single" w:sz="6" w:space="0" w:color="auto"/>
              <w:right w:val="single" w:sz="6" w:space="0" w:color="auto"/>
            </w:tcBorders>
          </w:tcPr>
          <w:p w14:paraId="311750E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971</w:t>
            </w:r>
          </w:p>
        </w:tc>
        <w:tc>
          <w:tcPr>
            <w:tcW w:w="2520" w:type="dxa"/>
            <w:tcBorders>
              <w:top w:val="single" w:sz="6" w:space="0" w:color="auto"/>
              <w:left w:val="single" w:sz="6" w:space="0" w:color="auto"/>
              <w:bottom w:val="single" w:sz="6" w:space="0" w:color="auto"/>
              <w:right w:val="single" w:sz="12" w:space="0" w:color="auto"/>
            </w:tcBorders>
          </w:tcPr>
          <w:p w14:paraId="66883789"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980</w:t>
            </w:r>
          </w:p>
        </w:tc>
      </w:tr>
      <w:tr w:rsidR="007C5583" w:rsidRPr="008127F8" w14:paraId="5952B46B" w14:textId="77777777" w:rsidTr="004C5D62">
        <w:trPr>
          <w:trHeight w:val="240"/>
        </w:trPr>
        <w:tc>
          <w:tcPr>
            <w:tcW w:w="2610" w:type="dxa"/>
            <w:tcBorders>
              <w:top w:val="single" w:sz="6" w:space="0" w:color="auto"/>
              <w:left w:val="single" w:sz="12" w:space="0" w:color="auto"/>
              <w:bottom w:val="single" w:sz="6" w:space="0" w:color="auto"/>
              <w:right w:val="single" w:sz="6" w:space="0" w:color="auto"/>
            </w:tcBorders>
          </w:tcPr>
          <w:p w14:paraId="0A7CC1B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Взлетная мощность, л.с.</w:t>
            </w:r>
          </w:p>
        </w:tc>
        <w:tc>
          <w:tcPr>
            <w:tcW w:w="2425" w:type="dxa"/>
            <w:tcBorders>
              <w:top w:val="single" w:sz="6" w:space="0" w:color="auto"/>
              <w:left w:val="single" w:sz="6" w:space="0" w:color="auto"/>
              <w:bottom w:val="single" w:sz="6" w:space="0" w:color="auto"/>
              <w:right w:val="single" w:sz="6" w:space="0" w:color="auto"/>
            </w:tcBorders>
          </w:tcPr>
          <w:p w14:paraId="6F1F6E14"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1700</w:t>
            </w:r>
          </w:p>
        </w:tc>
        <w:tc>
          <w:tcPr>
            <w:tcW w:w="2525" w:type="dxa"/>
            <w:tcBorders>
              <w:top w:val="single" w:sz="6" w:space="0" w:color="auto"/>
              <w:left w:val="single" w:sz="6" w:space="0" w:color="auto"/>
              <w:bottom w:val="single" w:sz="6" w:space="0" w:color="auto"/>
              <w:right w:val="single" w:sz="6" w:space="0" w:color="auto"/>
            </w:tcBorders>
          </w:tcPr>
          <w:p w14:paraId="23CED9B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1800</w:t>
            </w:r>
          </w:p>
        </w:tc>
        <w:tc>
          <w:tcPr>
            <w:tcW w:w="2520" w:type="dxa"/>
            <w:tcBorders>
              <w:top w:val="single" w:sz="6" w:space="0" w:color="auto"/>
              <w:left w:val="single" w:sz="6" w:space="0" w:color="auto"/>
              <w:bottom w:val="single" w:sz="6" w:space="0" w:color="auto"/>
              <w:right w:val="single" w:sz="12" w:space="0" w:color="auto"/>
            </w:tcBorders>
          </w:tcPr>
          <w:p w14:paraId="51843E3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2000</w:t>
            </w:r>
          </w:p>
        </w:tc>
      </w:tr>
      <w:tr w:rsidR="007C5583" w:rsidRPr="008127F8" w14:paraId="1A172ADC" w14:textId="77777777" w:rsidTr="004C5D62">
        <w:trPr>
          <w:trHeight w:val="250"/>
        </w:trPr>
        <w:tc>
          <w:tcPr>
            <w:tcW w:w="2610" w:type="dxa"/>
            <w:tcBorders>
              <w:top w:val="single" w:sz="6" w:space="0" w:color="auto"/>
              <w:left w:val="single" w:sz="12" w:space="0" w:color="auto"/>
              <w:bottom w:val="single" w:sz="6" w:space="0" w:color="auto"/>
              <w:right w:val="single" w:sz="6" w:space="0" w:color="auto"/>
            </w:tcBorders>
          </w:tcPr>
          <w:p w14:paraId="54E045CF"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Номинальная мощность, л.с., у земли.</w:t>
            </w:r>
          </w:p>
        </w:tc>
        <w:tc>
          <w:tcPr>
            <w:tcW w:w="2425" w:type="dxa"/>
            <w:tcBorders>
              <w:top w:val="single" w:sz="6" w:space="0" w:color="auto"/>
              <w:left w:val="single" w:sz="6" w:space="0" w:color="auto"/>
              <w:bottom w:val="single" w:sz="6" w:space="0" w:color="auto"/>
              <w:right w:val="single" w:sz="6" w:space="0" w:color="auto"/>
            </w:tcBorders>
          </w:tcPr>
          <w:p w14:paraId="3AE3075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w:t>
            </w:r>
          </w:p>
        </w:tc>
        <w:tc>
          <w:tcPr>
            <w:tcW w:w="2525" w:type="dxa"/>
            <w:tcBorders>
              <w:top w:val="single" w:sz="6" w:space="0" w:color="auto"/>
              <w:left w:val="single" w:sz="6" w:space="0" w:color="auto"/>
              <w:bottom w:val="single" w:sz="6" w:space="0" w:color="auto"/>
              <w:right w:val="single" w:sz="6" w:space="0" w:color="auto"/>
            </w:tcBorders>
          </w:tcPr>
          <w:p w14:paraId="329D7916"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1600</w:t>
            </w:r>
          </w:p>
        </w:tc>
        <w:tc>
          <w:tcPr>
            <w:tcW w:w="2520" w:type="dxa"/>
            <w:tcBorders>
              <w:top w:val="single" w:sz="6" w:space="0" w:color="auto"/>
              <w:left w:val="single" w:sz="6" w:space="0" w:color="auto"/>
              <w:bottom w:val="single" w:sz="6" w:space="0" w:color="auto"/>
              <w:right w:val="single" w:sz="12" w:space="0" w:color="auto"/>
            </w:tcBorders>
          </w:tcPr>
          <w:p w14:paraId="5E3B0AB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1750</w:t>
            </w:r>
          </w:p>
        </w:tc>
      </w:tr>
      <w:tr w:rsidR="007C5583" w:rsidRPr="008127F8" w14:paraId="33A155D7" w14:textId="77777777" w:rsidTr="004C5D62">
        <w:trPr>
          <w:trHeight w:val="230"/>
        </w:trPr>
        <w:tc>
          <w:tcPr>
            <w:tcW w:w="2610" w:type="dxa"/>
            <w:tcBorders>
              <w:top w:val="single" w:sz="6" w:space="0" w:color="auto"/>
              <w:left w:val="single" w:sz="12" w:space="0" w:color="auto"/>
              <w:bottom w:val="single" w:sz="6" w:space="0" w:color="auto"/>
              <w:right w:val="single" w:sz="6" w:space="0" w:color="auto"/>
            </w:tcBorders>
          </w:tcPr>
          <w:p w14:paraId="05D3F0A0"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высоте</w:t>
            </w:r>
          </w:p>
        </w:tc>
        <w:tc>
          <w:tcPr>
            <w:tcW w:w="2425" w:type="dxa"/>
            <w:tcBorders>
              <w:top w:val="single" w:sz="6" w:space="0" w:color="auto"/>
              <w:left w:val="single" w:sz="6" w:space="0" w:color="auto"/>
              <w:bottom w:val="single" w:sz="6" w:space="0" w:color="auto"/>
              <w:right w:val="single" w:sz="6" w:space="0" w:color="auto"/>
            </w:tcBorders>
          </w:tcPr>
          <w:p w14:paraId="2EC2CE2B"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w:t>
            </w:r>
          </w:p>
        </w:tc>
        <w:tc>
          <w:tcPr>
            <w:tcW w:w="2525" w:type="dxa"/>
            <w:tcBorders>
              <w:top w:val="single" w:sz="6" w:space="0" w:color="auto"/>
              <w:left w:val="single" w:sz="6" w:space="0" w:color="auto"/>
              <w:bottom w:val="single" w:sz="6" w:space="0" w:color="auto"/>
              <w:right w:val="single" w:sz="6" w:space="0" w:color="auto"/>
            </w:tcBorders>
          </w:tcPr>
          <w:p w14:paraId="026C094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w:t>
            </w:r>
          </w:p>
        </w:tc>
        <w:tc>
          <w:tcPr>
            <w:tcW w:w="2520" w:type="dxa"/>
            <w:tcBorders>
              <w:top w:val="single" w:sz="6" w:space="0" w:color="auto"/>
              <w:left w:val="single" w:sz="6" w:space="0" w:color="auto"/>
              <w:bottom w:val="single" w:sz="6" w:space="0" w:color="auto"/>
              <w:right w:val="single" w:sz="12" w:space="0" w:color="auto"/>
            </w:tcBorders>
          </w:tcPr>
          <w:p w14:paraId="05AC0751"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1750</w:t>
            </w:r>
          </w:p>
        </w:tc>
      </w:tr>
      <w:tr w:rsidR="007C5583" w:rsidRPr="008127F8" w14:paraId="02AFA85E" w14:textId="77777777" w:rsidTr="004C5D62">
        <w:trPr>
          <w:trHeight w:val="250"/>
        </w:trPr>
        <w:tc>
          <w:tcPr>
            <w:tcW w:w="2610" w:type="dxa"/>
            <w:tcBorders>
              <w:top w:val="single" w:sz="6" w:space="0" w:color="auto"/>
              <w:left w:val="single" w:sz="12" w:space="0" w:color="auto"/>
              <w:bottom w:val="single" w:sz="6" w:space="0" w:color="auto"/>
              <w:right w:val="single" w:sz="6" w:space="0" w:color="auto"/>
            </w:tcBorders>
          </w:tcPr>
          <w:p w14:paraId="4F66F867"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Расчетная высота, м</w:t>
            </w:r>
          </w:p>
        </w:tc>
        <w:tc>
          <w:tcPr>
            <w:tcW w:w="2425" w:type="dxa"/>
            <w:tcBorders>
              <w:top w:val="single" w:sz="6" w:space="0" w:color="auto"/>
              <w:left w:val="single" w:sz="6" w:space="0" w:color="auto"/>
              <w:bottom w:val="single" w:sz="6" w:space="0" w:color="auto"/>
              <w:right w:val="single" w:sz="6" w:space="0" w:color="auto"/>
            </w:tcBorders>
          </w:tcPr>
          <w:p w14:paraId="3C547A2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750</w:t>
            </w:r>
          </w:p>
        </w:tc>
        <w:tc>
          <w:tcPr>
            <w:tcW w:w="2525" w:type="dxa"/>
            <w:tcBorders>
              <w:top w:val="single" w:sz="6" w:space="0" w:color="auto"/>
              <w:left w:val="single" w:sz="6" w:space="0" w:color="auto"/>
              <w:bottom w:val="single" w:sz="6" w:space="0" w:color="auto"/>
              <w:right w:val="single" w:sz="6" w:space="0" w:color="auto"/>
            </w:tcBorders>
          </w:tcPr>
          <w:p w14:paraId="0FDFB79D"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5850*</w:t>
            </w:r>
          </w:p>
        </w:tc>
        <w:tc>
          <w:tcPr>
            <w:tcW w:w="2520" w:type="dxa"/>
            <w:tcBorders>
              <w:top w:val="single" w:sz="6" w:space="0" w:color="auto"/>
              <w:left w:val="single" w:sz="6" w:space="0" w:color="auto"/>
              <w:bottom w:val="single" w:sz="6" w:space="0" w:color="auto"/>
              <w:right w:val="single" w:sz="12" w:space="0" w:color="auto"/>
            </w:tcBorders>
          </w:tcPr>
          <w:p w14:paraId="1493BC6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1500*</w:t>
            </w:r>
          </w:p>
        </w:tc>
      </w:tr>
      <w:tr w:rsidR="007C5583" w:rsidRPr="008127F8" w14:paraId="5CAF3CC1" w14:textId="77777777" w:rsidTr="004C5D62">
        <w:trPr>
          <w:trHeight w:val="221"/>
        </w:trPr>
        <w:tc>
          <w:tcPr>
            <w:tcW w:w="2610" w:type="dxa"/>
            <w:tcBorders>
              <w:top w:val="single" w:sz="6" w:space="0" w:color="auto"/>
              <w:left w:val="single" w:sz="12" w:space="0" w:color="auto"/>
              <w:bottom w:val="single" w:sz="6" w:space="0" w:color="auto"/>
              <w:right w:val="single" w:sz="6" w:space="0" w:color="auto"/>
            </w:tcBorders>
          </w:tcPr>
          <w:p w14:paraId="27DAD5A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Степень сжатия</w:t>
            </w:r>
          </w:p>
        </w:tc>
        <w:tc>
          <w:tcPr>
            <w:tcW w:w="2425" w:type="dxa"/>
            <w:tcBorders>
              <w:top w:val="single" w:sz="6" w:space="0" w:color="auto"/>
              <w:left w:val="single" w:sz="6" w:space="0" w:color="auto"/>
              <w:bottom w:val="single" w:sz="6" w:space="0" w:color="auto"/>
              <w:right w:val="single" w:sz="6" w:space="0" w:color="auto"/>
            </w:tcBorders>
          </w:tcPr>
          <w:p w14:paraId="1143F1D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c>
          <w:tcPr>
            <w:tcW w:w="2525" w:type="dxa"/>
            <w:tcBorders>
              <w:top w:val="single" w:sz="6" w:space="0" w:color="auto"/>
              <w:left w:val="single" w:sz="6" w:space="0" w:color="auto"/>
              <w:bottom w:val="single" w:sz="6" w:space="0" w:color="auto"/>
              <w:right w:val="single" w:sz="6" w:space="0" w:color="auto"/>
            </w:tcBorders>
          </w:tcPr>
          <w:p w14:paraId="76A0B098"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w:t>
            </w:r>
          </w:p>
        </w:tc>
        <w:tc>
          <w:tcPr>
            <w:tcW w:w="2520" w:type="dxa"/>
            <w:tcBorders>
              <w:top w:val="single" w:sz="6" w:space="0" w:color="auto"/>
              <w:left w:val="single" w:sz="6" w:space="0" w:color="auto"/>
              <w:bottom w:val="single" w:sz="6" w:space="0" w:color="auto"/>
              <w:right w:val="single" w:sz="12" w:space="0" w:color="auto"/>
            </w:tcBorders>
          </w:tcPr>
          <w:p w14:paraId="0DA3B6FA"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w:t>
            </w:r>
          </w:p>
        </w:tc>
      </w:tr>
      <w:tr w:rsidR="007C5583" w:rsidRPr="008127F8" w14:paraId="46DD73C6" w14:textId="77777777" w:rsidTr="004C5D62">
        <w:trPr>
          <w:trHeight w:val="259"/>
        </w:trPr>
        <w:tc>
          <w:tcPr>
            <w:tcW w:w="2610" w:type="dxa"/>
            <w:tcBorders>
              <w:top w:val="single" w:sz="6" w:space="0" w:color="auto"/>
              <w:left w:val="single" w:sz="12" w:space="0" w:color="auto"/>
              <w:bottom w:val="single" w:sz="12" w:space="0" w:color="auto"/>
              <w:right w:val="single" w:sz="6" w:space="0" w:color="auto"/>
            </w:tcBorders>
          </w:tcPr>
          <w:p w14:paraId="49BAB132"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Передаточное число редуктора</w:t>
            </w:r>
          </w:p>
        </w:tc>
        <w:tc>
          <w:tcPr>
            <w:tcW w:w="2425" w:type="dxa"/>
            <w:tcBorders>
              <w:top w:val="single" w:sz="6" w:space="0" w:color="auto"/>
              <w:left w:val="single" w:sz="6" w:space="0" w:color="auto"/>
              <w:bottom w:val="single" w:sz="12" w:space="0" w:color="auto"/>
              <w:right w:val="single" w:sz="6" w:space="0" w:color="auto"/>
            </w:tcBorders>
          </w:tcPr>
          <w:p w14:paraId="1A2CB963"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0,732</w:t>
            </w:r>
          </w:p>
        </w:tc>
        <w:tc>
          <w:tcPr>
            <w:tcW w:w="2525" w:type="dxa"/>
            <w:tcBorders>
              <w:top w:val="single" w:sz="6" w:space="0" w:color="auto"/>
              <w:left w:val="single" w:sz="6" w:space="0" w:color="auto"/>
              <w:bottom w:val="single" w:sz="12" w:space="0" w:color="auto"/>
              <w:right w:val="single" w:sz="6" w:space="0" w:color="auto"/>
            </w:tcBorders>
          </w:tcPr>
          <w:p w14:paraId="40D0C5D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0,732</w:t>
            </w:r>
          </w:p>
        </w:tc>
        <w:tc>
          <w:tcPr>
            <w:tcW w:w="2520" w:type="dxa"/>
            <w:tcBorders>
              <w:top w:val="single" w:sz="6" w:space="0" w:color="auto"/>
              <w:left w:val="single" w:sz="6" w:space="0" w:color="auto"/>
              <w:bottom w:val="single" w:sz="12" w:space="0" w:color="auto"/>
              <w:right w:val="single" w:sz="12" w:space="0" w:color="auto"/>
            </w:tcBorders>
          </w:tcPr>
          <w:p w14:paraId="244359EC" w14:textId="77777777" w:rsidR="007C5583" w:rsidRPr="008127F8" w:rsidRDefault="007C5583" w:rsidP="004C5D62">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0,6</w:t>
            </w:r>
          </w:p>
        </w:tc>
      </w:tr>
    </w:tbl>
    <w:p w14:paraId="38AF3FE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июня 1942 закончилось 100-часовое заводское испытание после устранения дефек</w:t>
      </w:r>
      <w:r w:rsidRPr="008127F8">
        <w:rPr>
          <w:rFonts w:ascii="Times New Roman" w:hAnsi="Times New Roman"/>
          <w:color w:val="000000" w:themeColor="text1"/>
          <w:sz w:val="16"/>
          <w:szCs w:val="16"/>
        </w:rPr>
        <w:softHyphen/>
        <w:t>тов М-82 с НВ, которое проходило с 6 июня. Мотор за время испытаний наработал 137 ч 50 мин, из них 110 ч 06 мин режимных. Насос НБ-ЗУ показал удовлетворительную ра</w:t>
      </w:r>
      <w:r w:rsidRPr="008127F8">
        <w:rPr>
          <w:rFonts w:ascii="Times New Roman" w:hAnsi="Times New Roman"/>
          <w:color w:val="000000" w:themeColor="text1"/>
          <w:sz w:val="16"/>
          <w:szCs w:val="16"/>
        </w:rPr>
        <w:softHyphen/>
        <w:t>боту и не имел дефектов. Автомат РС-2 в процессе испытаний три раза подрегулировывался и потребовал замены материала крышки, выгибав</w:t>
      </w:r>
      <w:r w:rsidRPr="008127F8">
        <w:rPr>
          <w:rFonts w:ascii="Times New Roman" w:hAnsi="Times New Roman"/>
          <w:color w:val="000000" w:themeColor="text1"/>
          <w:sz w:val="16"/>
          <w:szCs w:val="16"/>
        </w:rPr>
        <w:softHyphen/>
        <w:t>шейся под действием нагрева. Фор</w:t>
      </w:r>
      <w:r w:rsidRPr="008127F8">
        <w:rPr>
          <w:rFonts w:ascii="Times New Roman" w:hAnsi="Times New Roman"/>
          <w:color w:val="000000" w:themeColor="text1"/>
          <w:sz w:val="16"/>
          <w:szCs w:val="16"/>
        </w:rPr>
        <w:softHyphen/>
        <w:t>сунки ФБ-10 работали хорошо. Установка НВ на М-82 дала при</w:t>
      </w:r>
      <w:r w:rsidRPr="008127F8">
        <w:rPr>
          <w:rFonts w:ascii="Times New Roman" w:hAnsi="Times New Roman"/>
          <w:color w:val="000000" w:themeColor="text1"/>
          <w:sz w:val="16"/>
          <w:szCs w:val="16"/>
        </w:rPr>
        <w:softHyphen/>
        <w:t>рост мощности 45 л.с. (2,7%) на взлет</w:t>
      </w:r>
      <w:r w:rsidRPr="008127F8">
        <w:rPr>
          <w:rFonts w:ascii="Times New Roman" w:hAnsi="Times New Roman"/>
          <w:color w:val="000000" w:themeColor="text1"/>
          <w:sz w:val="16"/>
          <w:szCs w:val="16"/>
        </w:rPr>
        <w:softHyphen/>
        <w:t>ном режиме, 55 л.с. (4%) на номинале 1-й скорости и 75 л.с. (6,8%) на но</w:t>
      </w:r>
      <w:r w:rsidRPr="008127F8">
        <w:rPr>
          <w:rFonts w:ascii="Times New Roman" w:hAnsi="Times New Roman"/>
          <w:color w:val="000000" w:themeColor="text1"/>
          <w:sz w:val="16"/>
          <w:szCs w:val="16"/>
        </w:rPr>
        <w:softHyphen/>
        <w:t xml:space="preserve">минале 2-й скорости. Увеличение эффективной </w:t>
      </w:r>
      <w:r w:rsidRPr="008127F8">
        <w:rPr>
          <w:rFonts w:ascii="Times New Roman" w:hAnsi="Times New Roman"/>
          <w:color w:val="000000" w:themeColor="text1"/>
          <w:sz w:val="16"/>
          <w:szCs w:val="16"/>
        </w:rPr>
        <w:lastRenderedPageBreak/>
        <w:t>мощности мотора с НВ объяснялось тремя факторами:</w:t>
      </w:r>
    </w:p>
    <w:p w14:paraId="3632897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Уменьшением затраты мощнос</w:t>
      </w:r>
      <w:r w:rsidRPr="008127F8">
        <w:rPr>
          <w:rFonts w:ascii="Times New Roman" w:hAnsi="Times New Roman"/>
          <w:color w:val="000000" w:themeColor="text1"/>
          <w:sz w:val="16"/>
          <w:szCs w:val="16"/>
        </w:rPr>
        <w:softHyphen/>
        <w:t>ти на нагнетатель (сжатие одного воз</w:t>
      </w:r>
      <w:r w:rsidRPr="008127F8">
        <w:rPr>
          <w:rFonts w:ascii="Times New Roman" w:hAnsi="Times New Roman"/>
          <w:color w:val="000000" w:themeColor="text1"/>
          <w:sz w:val="16"/>
          <w:szCs w:val="16"/>
        </w:rPr>
        <w:softHyphen/>
        <w:t>духа меньшей плотности, а не паров топлива);</w:t>
      </w:r>
    </w:p>
    <w:p w14:paraId="4BD11F5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Понижением температуры сме</w:t>
      </w:r>
      <w:r w:rsidRPr="008127F8">
        <w:rPr>
          <w:rFonts w:ascii="Times New Roman" w:hAnsi="Times New Roman"/>
          <w:color w:val="000000" w:themeColor="text1"/>
          <w:sz w:val="16"/>
          <w:szCs w:val="16"/>
        </w:rPr>
        <w:softHyphen/>
        <w:t>си в конце наполнения (т.е. увеличе</w:t>
      </w:r>
      <w:r w:rsidRPr="008127F8">
        <w:rPr>
          <w:rFonts w:ascii="Times New Roman" w:hAnsi="Times New Roman"/>
          <w:color w:val="000000" w:themeColor="text1"/>
          <w:sz w:val="16"/>
          <w:szCs w:val="16"/>
        </w:rPr>
        <w:softHyphen/>
        <w:t>нием расхода воздуха) в результате уменьшения работы, сообщаемой от колеса нагнетателя;</w:t>
      </w:r>
    </w:p>
    <w:p w14:paraId="30ACC09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Уменьшением гидравлических потерь во всасывающих трубопрово</w:t>
      </w:r>
      <w:r w:rsidRPr="008127F8">
        <w:rPr>
          <w:rFonts w:ascii="Times New Roman" w:hAnsi="Times New Roman"/>
          <w:color w:val="000000" w:themeColor="text1"/>
          <w:sz w:val="16"/>
          <w:szCs w:val="16"/>
        </w:rPr>
        <w:softHyphen/>
        <w:t>дах и клапане всасывания вследствие отсутствия топлива (подача одного воздуха).</w:t>
      </w:r>
    </w:p>
    <w:p w14:paraId="6E648B0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Преимуществом НВ являлась так</w:t>
      </w:r>
      <w:r w:rsidRPr="008127F8">
        <w:rPr>
          <w:rFonts w:ascii="Times New Roman" w:hAnsi="Times New Roman"/>
          <w:color w:val="000000" w:themeColor="text1"/>
          <w:sz w:val="16"/>
          <w:szCs w:val="16"/>
        </w:rPr>
        <w:softHyphen/>
        <w:t>же меньшая неравномерность состава смеси по цилиндрам мотора, особен</w:t>
      </w:r>
      <w:r w:rsidRPr="008127F8">
        <w:rPr>
          <w:rFonts w:ascii="Times New Roman" w:hAnsi="Times New Roman"/>
          <w:color w:val="000000" w:themeColor="text1"/>
          <w:sz w:val="16"/>
          <w:szCs w:val="16"/>
        </w:rPr>
        <w:softHyphen/>
        <w:t>но при низких температурах, когда испаряемость топлива резко понижа</w:t>
      </w:r>
      <w:r w:rsidRPr="008127F8">
        <w:rPr>
          <w:rFonts w:ascii="Times New Roman" w:hAnsi="Times New Roman"/>
          <w:color w:val="000000" w:themeColor="text1"/>
          <w:sz w:val="16"/>
          <w:szCs w:val="16"/>
        </w:rPr>
        <w:softHyphen/>
        <w:t>лась.</w:t>
      </w:r>
    </w:p>
    <w:p w14:paraId="2237BF7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взлетное давление надду</w:t>
      </w:r>
      <w:r w:rsidRPr="008127F8">
        <w:rPr>
          <w:rFonts w:ascii="Times New Roman" w:hAnsi="Times New Roman"/>
          <w:color w:val="000000" w:themeColor="text1"/>
          <w:sz w:val="16"/>
          <w:szCs w:val="16"/>
        </w:rPr>
        <w:softHyphen/>
        <w:t>ва у мотора с НВ было ниже, чем у мотора с карбюратором, так как на</w:t>
      </w:r>
      <w:r w:rsidRPr="008127F8">
        <w:rPr>
          <w:rFonts w:ascii="Times New Roman" w:hAnsi="Times New Roman"/>
          <w:color w:val="000000" w:themeColor="text1"/>
          <w:sz w:val="16"/>
          <w:szCs w:val="16"/>
        </w:rPr>
        <w:softHyphen/>
        <w:t>гнетатель сжимал один воздух, а так</w:t>
      </w:r>
      <w:r w:rsidRPr="008127F8">
        <w:rPr>
          <w:rFonts w:ascii="Times New Roman" w:hAnsi="Times New Roman"/>
          <w:color w:val="000000" w:themeColor="text1"/>
          <w:sz w:val="16"/>
          <w:szCs w:val="16"/>
        </w:rPr>
        <w:softHyphen/>
        <w:t>же отсутствовал охлаждающий эффект испаряющегося топлива в смеси. А это в свою очередь понижало высот</w:t>
      </w:r>
      <w:r w:rsidRPr="008127F8">
        <w:rPr>
          <w:rFonts w:ascii="Times New Roman" w:hAnsi="Times New Roman"/>
          <w:color w:val="000000" w:themeColor="text1"/>
          <w:sz w:val="16"/>
          <w:szCs w:val="16"/>
        </w:rPr>
        <w:softHyphen/>
        <w:t>ность мотора с НВ на 1-й скорости на 130 м, на 2-й скорости - на 300-320 м (10705).</w:t>
      </w:r>
    </w:p>
    <w:p w14:paraId="4FB97D1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FFD5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июня 1942 мотор М-82Ф был поставлен на 100 часовые испытания по (737,8).</w:t>
      </w:r>
    </w:p>
    <w:p w14:paraId="06AFB2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AD58FE" w14:textId="77777777" w:rsidR="002E4AAB" w:rsidRPr="008A2E5A" w:rsidRDefault="002E4AAB" w:rsidP="002E4A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июня 1942 г. опытный мотор М-82Ф был поставлен на 100-часовые испытания, которых не выдержал и был отправлен на доработку.</w:t>
      </w:r>
    </w:p>
    <w:p w14:paraId="783BD6B8" w14:textId="77777777" w:rsidR="002E4AAB" w:rsidRPr="008A2E5A" w:rsidRDefault="002E4AAB" w:rsidP="002E4A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августа 1942 г. опытный мотор М-82Ф с устраненными дефектами был поставлен на повторные длительные заводские испытания. Ему были установлены те же характеристики мощности, что и по первоначальному заданию. Предъявить этот мотор на Совместные государственные 50-часовые испытания намечено требовалось 25-30 августа 1942 г.</w:t>
      </w:r>
    </w:p>
    <w:p w14:paraId="2AA957DE" w14:textId="77777777" w:rsidR="002E4AAB" w:rsidRPr="008A2E5A" w:rsidRDefault="002E4AAB" w:rsidP="002E4A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тому времени два мотора М-82Ф (но не известно, летных ли) было отгружено заводу №21 для установки на модифицируемый самолет Ла-5 (23571).</w:t>
      </w:r>
    </w:p>
    <w:p w14:paraId="3D9C9F6A" w14:textId="77777777" w:rsidR="002E4AAB" w:rsidRPr="008A2E5A" w:rsidRDefault="002E4AAB" w:rsidP="002E4AAB">
      <w:pPr>
        <w:spacing w:after="0" w:line="240" w:lineRule="auto"/>
        <w:jc w:val="both"/>
        <w:rPr>
          <w:rFonts w:ascii="Times New Roman" w:hAnsi="Times New Roman"/>
          <w:color w:val="0070C0"/>
          <w:sz w:val="16"/>
          <w:szCs w:val="16"/>
        </w:rPr>
      </w:pPr>
    </w:p>
    <w:p w14:paraId="1D6E078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июня 1942 М-82 прошел 50 часовые испытания на взлетном режиме с увеличением часов работы с 5 до 10 минут (737,19).</w:t>
      </w:r>
    </w:p>
    <w:p w14:paraId="2122A85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A01E11" w14:textId="77777777" w:rsidR="007C5583" w:rsidRPr="008127F8" w:rsidRDefault="007C5583" w:rsidP="007C5583">
      <w:pPr>
        <w:pStyle w:val="3b"/>
        <w:shd w:val="clear" w:color="auto" w:fill="auto"/>
        <w:spacing w:before="0" w:after="0" w:line="240" w:lineRule="auto"/>
        <w:jc w:val="both"/>
        <w:rPr>
          <w:color w:val="000000" w:themeColor="text1"/>
          <w:spacing w:val="0"/>
          <w:sz w:val="16"/>
          <w:szCs w:val="16"/>
        </w:rPr>
      </w:pPr>
      <w:r w:rsidRPr="008127F8">
        <w:rPr>
          <w:color w:val="000000" w:themeColor="text1"/>
          <w:spacing w:val="0"/>
          <w:sz w:val="16"/>
          <w:szCs w:val="16"/>
        </w:rPr>
        <w:t xml:space="preserve">27 июня 1942 г. Доклад исполняющего обязанности начальника ОКБ-3 </w:t>
      </w:r>
      <w:r w:rsidRPr="008127F8">
        <w:rPr>
          <w:rStyle w:val="3fa"/>
          <w:color w:val="000000" w:themeColor="text1"/>
          <w:spacing w:val="0"/>
          <w:sz w:val="16"/>
          <w:szCs w:val="16"/>
        </w:rPr>
        <w:t>С.</w:t>
      </w:r>
      <w:r w:rsidRPr="008127F8">
        <w:rPr>
          <w:color w:val="000000" w:themeColor="text1"/>
          <w:spacing w:val="0"/>
          <w:sz w:val="16"/>
          <w:szCs w:val="16"/>
        </w:rPr>
        <w:t xml:space="preserve"> Ильяшенко начальнику НИИ ГВФ И.Ф. Петрову о работе ОКБ-3 в I полугодии 1942 г. и перспективах дальнейшей работы</w:t>
      </w:r>
    </w:p>
    <w:p w14:paraId="1EAE4892" w14:textId="77777777" w:rsidR="007C5583" w:rsidRPr="008127F8" w:rsidRDefault="007C5583" w:rsidP="007C5583">
      <w:pPr>
        <w:tabs>
          <w:tab w:val="left" w:pos="5092"/>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Казань</w:t>
      </w:r>
    </w:p>
    <w:p w14:paraId="1F22CD1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служебного пользования</w:t>
      </w:r>
    </w:p>
    <w:p w14:paraId="1522290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Особое конструкторское бюро НИИ ГВФ проводит работу над двумя темами: основной темой работ является теоретическое исследо</w:t>
      </w:r>
      <w:r w:rsidRPr="008127F8">
        <w:rPr>
          <w:rFonts w:ascii="Times New Roman" w:hAnsi="Times New Roman"/>
          <w:color w:val="000000" w:themeColor="text1"/>
          <w:sz w:val="16"/>
          <w:szCs w:val="16"/>
        </w:rPr>
        <w:softHyphen/>
        <w:t>вание, расчет, проектирование, изготовление и испытание самолетного вспомогательного воздушно-реактивного двигателя. Второй темой яв</w:t>
      </w:r>
      <w:r w:rsidRPr="008127F8">
        <w:rPr>
          <w:rFonts w:ascii="Times New Roman" w:hAnsi="Times New Roman"/>
          <w:color w:val="000000" w:themeColor="text1"/>
          <w:sz w:val="16"/>
          <w:szCs w:val="16"/>
        </w:rPr>
        <w:softHyphen/>
        <w:t>ляется проектирование, изготовление и испытание реактивного бомбо</w:t>
      </w:r>
      <w:r w:rsidRPr="008127F8">
        <w:rPr>
          <w:rFonts w:ascii="Times New Roman" w:hAnsi="Times New Roman"/>
          <w:color w:val="000000" w:themeColor="text1"/>
          <w:sz w:val="16"/>
          <w:szCs w:val="16"/>
        </w:rPr>
        <w:softHyphen/>
        <w:t>вого вооружения для самолета У2.</w:t>
      </w:r>
    </w:p>
    <w:p w14:paraId="5A8D6E5A" w14:textId="77777777" w:rsidR="007C5583" w:rsidRPr="008127F8" w:rsidRDefault="007C5583" w:rsidP="007C5583">
      <w:pPr>
        <w:pStyle w:val="3b"/>
        <w:shd w:val="clear" w:color="auto" w:fill="auto"/>
        <w:spacing w:before="0" w:after="0" w:line="240" w:lineRule="auto"/>
        <w:jc w:val="both"/>
        <w:rPr>
          <w:color w:val="000000" w:themeColor="text1"/>
          <w:spacing w:val="0"/>
          <w:sz w:val="16"/>
          <w:szCs w:val="16"/>
        </w:rPr>
      </w:pPr>
      <w:r w:rsidRPr="008127F8">
        <w:rPr>
          <w:color w:val="000000" w:themeColor="text1"/>
          <w:spacing w:val="0"/>
          <w:sz w:val="16"/>
          <w:szCs w:val="16"/>
        </w:rPr>
        <w:t>Тема 1. Воздушно-реактивный двигатель</w:t>
      </w:r>
    </w:p>
    <w:p w14:paraId="7ECF46F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ОКБ-3 ведет работу над двумя системами воздушно-реактивных двигателей: воздушно-реактивным двигателем непрерывного действия (ВРД1) и пульсирующем воздушно-реактивным двигателем (ВРД2).</w:t>
      </w:r>
    </w:p>
    <w:p w14:paraId="70E33F0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 над ВРД1 доведена до летных испытаний. В течение I по</w:t>
      </w:r>
      <w:r w:rsidRPr="008127F8">
        <w:rPr>
          <w:rFonts w:ascii="Times New Roman" w:hAnsi="Times New Roman"/>
          <w:color w:val="000000" w:themeColor="text1"/>
          <w:sz w:val="16"/>
          <w:szCs w:val="16"/>
        </w:rPr>
        <w:softHyphen/>
        <w:t>лугодия были проведены стендовые испытания лабораторных моделей ВРД1, затем была изготовлена серия 3-х самолетных ВРД. Один из этих двигателей прошел стендовые испытания в лаборатории ОКБ-3 при ма</w:t>
      </w:r>
      <w:r w:rsidRPr="008127F8">
        <w:rPr>
          <w:rFonts w:ascii="Times New Roman" w:hAnsi="Times New Roman"/>
          <w:color w:val="000000" w:themeColor="text1"/>
          <w:sz w:val="16"/>
          <w:szCs w:val="16"/>
        </w:rPr>
        <w:softHyphen/>
        <w:t>лых скоростях воздушного потока; недостаточная мощность лаборатор</w:t>
      </w:r>
      <w:r w:rsidRPr="008127F8">
        <w:rPr>
          <w:rFonts w:ascii="Times New Roman" w:hAnsi="Times New Roman"/>
          <w:color w:val="000000" w:themeColor="text1"/>
          <w:sz w:val="16"/>
          <w:szCs w:val="16"/>
        </w:rPr>
        <w:softHyphen/>
        <w:t>ной установки не позволила произвести испытания при полетных ско</w:t>
      </w:r>
      <w:r w:rsidRPr="008127F8">
        <w:rPr>
          <w:rFonts w:ascii="Times New Roman" w:hAnsi="Times New Roman"/>
          <w:color w:val="000000" w:themeColor="text1"/>
          <w:sz w:val="16"/>
          <w:szCs w:val="16"/>
        </w:rPr>
        <w:softHyphen/>
        <w:t>ростях.</w:t>
      </w:r>
    </w:p>
    <w:p w14:paraId="58F52D8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Два другие двигателя вместе с начальником ОКБ-3 инженером М.М. Бондарюк направлены в Горький для летных испытаний на само</w:t>
      </w:r>
      <w:r w:rsidRPr="008127F8">
        <w:rPr>
          <w:rFonts w:ascii="Times New Roman" w:hAnsi="Times New Roman"/>
          <w:color w:val="000000" w:themeColor="text1"/>
          <w:sz w:val="16"/>
          <w:szCs w:val="16"/>
        </w:rPr>
        <w:softHyphen/>
        <w:t>лете ЛАГГ.</w:t>
      </w:r>
    </w:p>
    <w:p w14:paraId="50E0935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ВРД1 может быть установлен на самолете в качестве вспомога</w:t>
      </w:r>
      <w:r w:rsidRPr="008127F8">
        <w:rPr>
          <w:rFonts w:ascii="Times New Roman" w:hAnsi="Times New Roman"/>
          <w:color w:val="000000" w:themeColor="text1"/>
          <w:sz w:val="16"/>
          <w:szCs w:val="16"/>
        </w:rPr>
        <w:softHyphen/>
        <w:t>тельного двигателя, могущего сообщить самолету-истребителю соглас</w:t>
      </w:r>
      <w:r w:rsidRPr="008127F8">
        <w:rPr>
          <w:rFonts w:ascii="Times New Roman" w:hAnsi="Times New Roman"/>
          <w:color w:val="000000" w:themeColor="text1"/>
          <w:sz w:val="16"/>
          <w:szCs w:val="16"/>
        </w:rPr>
        <w:softHyphen/>
        <w:t>но расчету дополнительную скорость порядка 30-50 км/ч. Для снятия полных характеристик самолетного ВРД и для устранения неполадок, могущих возникнуть при летных испытаниях, необходимо срочно раз</w:t>
      </w:r>
      <w:r w:rsidRPr="008127F8">
        <w:rPr>
          <w:rFonts w:ascii="Times New Roman" w:hAnsi="Times New Roman"/>
          <w:color w:val="000000" w:themeColor="text1"/>
          <w:sz w:val="16"/>
          <w:szCs w:val="16"/>
        </w:rPr>
        <w:softHyphen/>
        <w:t>вернуть мощный стенд, оборудованный имеющимися на складе НИИ агрегатом центрального наддува.</w:t>
      </w:r>
    </w:p>
    <w:p w14:paraId="5281881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организации стенда штат ОКБ должен быть пополнен инже- нером-мотористом и двумя механиками, знакомыми с мотором М105.</w:t>
      </w:r>
    </w:p>
    <w:p w14:paraId="4E4F7EA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настоящее время на лабораторном стенде продолжается работа над усовершенствованием системы подачи горючего в ВРД1 автомати</w:t>
      </w:r>
      <w:r w:rsidRPr="008127F8">
        <w:rPr>
          <w:rFonts w:ascii="Times New Roman" w:hAnsi="Times New Roman"/>
          <w:color w:val="000000" w:themeColor="text1"/>
          <w:sz w:val="16"/>
          <w:szCs w:val="16"/>
        </w:rPr>
        <w:softHyphen/>
        <w:t>ческим регулированием и диффузорами с отсосом пограничного слоя.</w:t>
      </w:r>
    </w:p>
    <w:p w14:paraId="5ABA966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Текущая работа над ВРД1 обеспечена кадрами, оборудованием и материалами.</w:t>
      </w:r>
    </w:p>
    <w:p w14:paraId="432896B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Коллективом ОКБ-3 теоретически исследован и спроектирован пульсирующий воздушно-реактивный двигатель ВРД2, который дол</w:t>
      </w:r>
      <w:r w:rsidRPr="008127F8">
        <w:rPr>
          <w:rFonts w:ascii="Times New Roman" w:hAnsi="Times New Roman"/>
          <w:color w:val="000000" w:themeColor="text1"/>
          <w:sz w:val="16"/>
          <w:szCs w:val="16"/>
        </w:rPr>
        <w:softHyphen/>
        <w:t>жен быть в полтора-два раза эффективнее ВРД непрерывного действия.</w:t>
      </w:r>
    </w:p>
    <w:p w14:paraId="072A547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Работа над пульсирующим ВРД тормозится из-за отсутствия про</w:t>
      </w:r>
      <w:r w:rsidRPr="008127F8">
        <w:rPr>
          <w:rFonts w:ascii="Times New Roman" w:hAnsi="Times New Roman"/>
          <w:color w:val="000000" w:themeColor="text1"/>
          <w:sz w:val="16"/>
          <w:szCs w:val="16"/>
        </w:rPr>
        <w:softHyphen/>
        <w:t>изводственной базы. Для форсирования работы над ВРД2 необходимо или прикрепить к ОКБ-3 какую-либо механическую мастерскую или снабдить ОКБ-3 двумя токарными, одним фрезерным и одним свер</w:t>
      </w:r>
      <w:r w:rsidRPr="008127F8">
        <w:rPr>
          <w:rFonts w:ascii="Times New Roman" w:hAnsi="Times New Roman"/>
          <w:color w:val="000000" w:themeColor="text1"/>
          <w:sz w:val="16"/>
          <w:szCs w:val="16"/>
        </w:rPr>
        <w:softHyphen/>
        <w:t>лильным станком и пополнить штат ОКБ-3 двумя токарями 6-7 разря</w:t>
      </w:r>
      <w:r w:rsidRPr="008127F8">
        <w:rPr>
          <w:rFonts w:ascii="Times New Roman" w:hAnsi="Times New Roman"/>
          <w:color w:val="000000" w:themeColor="text1"/>
          <w:sz w:val="16"/>
          <w:szCs w:val="16"/>
        </w:rPr>
        <w:softHyphen/>
        <w:t>да, фрезеровщиком 6 разряда и слесарем 7 разряда. В последнем слу</w:t>
      </w:r>
      <w:r w:rsidRPr="008127F8">
        <w:rPr>
          <w:rFonts w:ascii="Times New Roman" w:hAnsi="Times New Roman"/>
          <w:color w:val="000000" w:themeColor="text1"/>
          <w:sz w:val="16"/>
          <w:szCs w:val="16"/>
        </w:rPr>
        <w:softHyphen/>
        <w:t>чае лабораторный образец ВРД2 может быть изготовлен силами ОКБ-3.</w:t>
      </w:r>
    </w:p>
    <w:p w14:paraId="7DF6B08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научно-технического консультирования работы над воздушно- реактивными двигателями желательно вновь привлечь в качестве кон</w:t>
      </w:r>
      <w:r w:rsidRPr="008127F8">
        <w:rPr>
          <w:rFonts w:ascii="Times New Roman" w:hAnsi="Times New Roman"/>
          <w:color w:val="000000" w:themeColor="text1"/>
          <w:sz w:val="16"/>
          <w:szCs w:val="16"/>
        </w:rPr>
        <w:softHyphen/>
        <w:t>сультанта, находящегося в Москве доктора физико-математических на</w:t>
      </w:r>
      <w:r w:rsidRPr="008127F8">
        <w:rPr>
          <w:rFonts w:ascii="Times New Roman" w:hAnsi="Times New Roman"/>
          <w:color w:val="000000" w:themeColor="text1"/>
          <w:sz w:val="16"/>
          <w:szCs w:val="16"/>
        </w:rPr>
        <w:softHyphen/>
        <w:t>ук профессора К.А. Путилова, который вел консультативную работу до эвакуации.</w:t>
      </w:r>
    </w:p>
    <w:p w14:paraId="7BDFAC7E" w14:textId="77777777" w:rsidR="007C5583" w:rsidRPr="008127F8" w:rsidRDefault="007C5583" w:rsidP="007C5583">
      <w:pPr>
        <w:pStyle w:val="3b"/>
        <w:shd w:val="clear" w:color="auto" w:fill="auto"/>
        <w:spacing w:before="0" w:after="0" w:line="240" w:lineRule="auto"/>
        <w:jc w:val="both"/>
        <w:rPr>
          <w:color w:val="000000" w:themeColor="text1"/>
          <w:spacing w:val="0"/>
          <w:sz w:val="16"/>
          <w:szCs w:val="16"/>
        </w:rPr>
      </w:pPr>
      <w:bookmarkStart w:id="15" w:name="bookmark59"/>
      <w:r w:rsidRPr="008127F8">
        <w:rPr>
          <w:color w:val="000000" w:themeColor="text1"/>
          <w:spacing w:val="0"/>
          <w:sz w:val="16"/>
          <w:szCs w:val="16"/>
        </w:rPr>
        <w:t>Тема 2. Реактивно-бомбовое вооружение для самолета У2</w:t>
      </w:r>
      <w:bookmarkEnd w:id="15"/>
    </w:p>
    <w:p w14:paraId="4EE9627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Коллектив работников ОКБ-3 спроектировал и изготовил реак</w:t>
      </w:r>
      <w:r w:rsidRPr="008127F8">
        <w:rPr>
          <w:rFonts w:ascii="Times New Roman" w:hAnsi="Times New Roman"/>
          <w:color w:val="000000" w:themeColor="text1"/>
          <w:sz w:val="16"/>
          <w:szCs w:val="16"/>
        </w:rPr>
        <w:softHyphen/>
        <w:t>тивно-бомбовое вооружение для самолета У2 (РБ У2).</w:t>
      </w:r>
    </w:p>
    <w:p w14:paraId="6A7389C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Реактивные бомбы с взрывателями мгновенного действия долж</w:t>
      </w:r>
      <w:r w:rsidRPr="008127F8">
        <w:rPr>
          <w:rFonts w:ascii="Times New Roman" w:hAnsi="Times New Roman"/>
          <w:color w:val="000000" w:themeColor="text1"/>
          <w:sz w:val="16"/>
          <w:szCs w:val="16"/>
        </w:rPr>
        <w:softHyphen/>
        <w:t>ны позволить самолету-штурмовику производить бомбометание с не</w:t>
      </w:r>
      <w:r w:rsidRPr="008127F8">
        <w:rPr>
          <w:rFonts w:ascii="Times New Roman" w:hAnsi="Times New Roman"/>
          <w:color w:val="000000" w:themeColor="text1"/>
          <w:sz w:val="16"/>
          <w:szCs w:val="16"/>
        </w:rPr>
        <w:softHyphen/>
        <w:t>больших высот по движущимися объектам с повышенной точностью.</w:t>
      </w:r>
    </w:p>
    <w:p w14:paraId="6D7A997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Реактивная часть РБ испытана на инерционном маятнике.</w:t>
      </w:r>
    </w:p>
    <w:p w14:paraId="135E978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Произведен наземный обстрел РБ из-под крыла.</w:t>
      </w:r>
    </w:p>
    <w:p w14:paraId="2EE8683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окончания работы остается произвести отстрел с самолета.</w:t>
      </w:r>
    </w:p>
    <w:p w14:paraId="24F2F31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Летные испытания предполагалось произвести в одном из летных отрядов под Москвой, но запрещение производить стрельбы в районе летных групп помешало этому.</w:t>
      </w:r>
    </w:p>
    <w:p w14:paraId="17640BB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Летные испытания РБ можно произвести на любом аэродроме под Казанью. Для этого необходимо выделить самолет У2 и пилота.</w:t>
      </w:r>
    </w:p>
    <w:p w14:paraId="7422A0A7" w14:textId="77777777" w:rsidR="007C5583" w:rsidRPr="008127F8" w:rsidRDefault="007C5583" w:rsidP="007C5583">
      <w:pPr>
        <w:tabs>
          <w:tab w:val="left" w:pos="5103"/>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 начальника ОКБ-3 НИИ ГВФ С. Ильяшенко</w:t>
      </w:r>
    </w:p>
    <w:p w14:paraId="6F7A2EC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Филиал РГАНТД. Ф. Р-4. Оп. 4-6. Д. 10. Л. 134, 134об. Подлинник (15633).</w:t>
      </w:r>
    </w:p>
    <w:p w14:paraId="3D62BD0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FFB6D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июня 1942 вышло Постановление ГКО № 1937 Об обеспечении формирований дивизионов М-30. РГАНИР, Фонд ГКО, д. 40, лл. 84 (11012).</w:t>
      </w:r>
    </w:p>
    <w:p w14:paraId="3B9DB5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3DAAF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54D4911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CFAEAB"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27 июня 1942 года был отправлен конвой PQ-17, который вёз в СССР, в том числе, 25 английских тяжелых танков. Форменный разгром, который конвою учинили немцы, прямым образом повлиял и на состав прибывших танков. Из транспортов, которые везли новые танки, выжил только английский Ocean Freedom, 11 июля прибывший в Архангельск. На его борту находилось 5 Churchill II и 5 Churchill III (17691).</w:t>
      </w:r>
    </w:p>
    <w:p w14:paraId="2F6CCB9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BCBF25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июня 1942 года вышли распоряжения СНК СССР №12016сс и №12017сс, согласно которым Саратовский завод зуборезных станков получил за</w:t>
      </w:r>
      <w:r w:rsidRPr="008127F8">
        <w:rPr>
          <w:rFonts w:ascii="Times New Roman" w:hAnsi="Times New Roman"/>
          <w:color w:val="000000" w:themeColor="text1"/>
          <w:sz w:val="16"/>
          <w:szCs w:val="16"/>
        </w:rPr>
        <w:softHyphen/>
        <w:t>дание на изготовление опытных образцов планетарной трансмиссии. Данную трансмиссию разработал коллектив Московского машино</w:t>
      </w:r>
      <w:r w:rsidRPr="008127F8">
        <w:rPr>
          <w:rFonts w:ascii="Times New Roman" w:hAnsi="Times New Roman"/>
          <w:color w:val="000000" w:themeColor="text1"/>
          <w:sz w:val="16"/>
          <w:szCs w:val="16"/>
        </w:rPr>
        <w:softHyphen/>
        <w:t>строительного института им. Баумана под руководством Г. И. Зайчи</w:t>
      </w:r>
      <w:r w:rsidRPr="008127F8">
        <w:rPr>
          <w:rFonts w:ascii="Times New Roman" w:hAnsi="Times New Roman"/>
          <w:color w:val="000000" w:themeColor="text1"/>
          <w:sz w:val="16"/>
          <w:szCs w:val="16"/>
        </w:rPr>
        <w:softHyphen/>
        <w:t xml:space="preserve">ка. Изготовление трансмиссии затянулось: вместо августа два образца было изготовлено в декабре 1942 года, а 30-го числа они поступили на завод №100. 2 января в Челябинск прибыла бригада конструкторов из института им. Баумана, которая контролировала процесс установки. В качестве танка для испытаний планетарной трансмиссии был выбран КВ-7. Ввиду загруженности завода №100 другими опытными работами монтаж новой трансмиссии затянулся. Вместо 16 января, как это было указано в распоряжении наркома танковой промышленности И.М. Зальцмана, монтаж закончили лишь к 7 февраля. Не исключено, что уже на этом этапе затягивание было сознательным, поскольку с 19 ноября 1942 года на </w:t>
      </w:r>
      <w:r w:rsidRPr="008127F8">
        <w:rPr>
          <w:rFonts w:ascii="Times New Roman" w:hAnsi="Times New Roman"/>
          <w:color w:val="000000" w:themeColor="text1"/>
          <w:sz w:val="16"/>
          <w:szCs w:val="16"/>
          <w:lang w:val="en-US"/>
        </w:rPr>
        <w:t>KB</w:t>
      </w:r>
      <w:r w:rsidRPr="008127F8">
        <w:rPr>
          <w:rFonts w:ascii="Times New Roman" w:hAnsi="Times New Roman"/>
          <w:color w:val="000000" w:themeColor="text1"/>
          <w:sz w:val="16"/>
          <w:szCs w:val="16"/>
        </w:rPr>
        <w:t>-1С №15002 испытывалась другая трансмиссия — конструкции инженера-полковника А.И. Благонравова.</w:t>
      </w:r>
    </w:p>
    <w:p w14:paraId="5A1BF4A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Первые же километры испытаний выявили низкое качество сбор</w:t>
      </w:r>
      <w:r w:rsidRPr="008127F8">
        <w:rPr>
          <w:rFonts w:ascii="Times New Roman" w:hAnsi="Times New Roman"/>
          <w:color w:val="000000" w:themeColor="text1"/>
          <w:sz w:val="16"/>
          <w:szCs w:val="16"/>
        </w:rPr>
        <w:softHyphen/>
        <w:t>ки планетарной трансмиссии. Были заменены все бронзовые кольца на стальные, а шарикоподшипники управления на каленые ролики с иголками. Кроме того, пришлось устранять течь масла, а ферродо тормозов заменили на чугунные колодки. После устранения дефектов трансмиссию вновь установили в КВ-7, после чего он к 4 марта прошел без проблем 545 километров (17484).</w:t>
      </w:r>
    </w:p>
    <w:p w14:paraId="7D86765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A781F7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июня 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постановлением Секретариата ВЦСПС профсоюз рабочих тракторной промышленности переименован в профсоюз рабочих тракторной и танковой промышленности (20216).</w:t>
      </w:r>
    </w:p>
    <w:p w14:paraId="5D5AC82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EBD70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448E49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AF5FD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27 июня</w:t>
      </w:r>
      <w:r w:rsidRPr="008127F8">
        <w:rPr>
          <w:rFonts w:ascii="Times New Roman" w:hAnsi="Times New Roman"/>
          <w:color w:val="000000" w:themeColor="text1"/>
          <w:sz w:val="16"/>
          <w:szCs w:val="16"/>
        </w:rPr>
        <w:t xml:space="preserve"> в 1942 году утреннее сообщение Совинформбюро:</w:t>
      </w:r>
    </w:p>
    <w:p w14:paraId="5FFC1A2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27 июня на Харьковском и Севастопольском направлениях наши войска вели бои с противником.</w:t>
      </w:r>
    </w:p>
    <w:p w14:paraId="65838D8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существенных изменений не произошло.</w:t>
      </w:r>
    </w:p>
    <w:p w14:paraId="02DA361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герои - бойцы и командиры, защищающие Севастополь, - наносят огромные потери немецко-фашистским войскам. В течение дня только огнём нашей артиллерии рассеяно и уничтожено до полка немецкой пехоты, уничтожено 3 артиллерийские и несколько миномётных батарей противника.</w:t>
      </w:r>
    </w:p>
    <w:p w14:paraId="0859B7F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Брянского фронта немцы силой до трёх батальонов пехоты предприняли наступление на наши позиции. Бойцы под командованием тов. Нечаева успешно отразили атаку противника. На поле боя осталось свыше 300 убитых и раненых немецких солдат и офицеров. На другом участке гитлеровцы сделали попытку захватить населённый пункт, занятый нашей частью. Встретив стойкий отпор и потеряв 170 солдат и офицеров, немцы отступили. Наши бойцы захватили 10 пулемётов, 23 винтовки, 10 автоматов, 2 ротных миномёта и много боеприпасов.</w:t>
      </w:r>
    </w:p>
    <w:p w14:paraId="74F4687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Огнём нашей артиллерии на отдельных участках Западного фронта уничтожено 2 немецких орудия, несколько пулемётов и до 150 гитлеровцев.</w:t>
      </w:r>
    </w:p>
    <w:p w14:paraId="5F594C6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Гвардейцы части, где командиром тов. Серебряков (Калининский фронт), за неделю уничтожили 5 немецких танков, 16 пулемётов, 6 миномётов с расчётами, 2 повозки с боеприпасами и до 400 немецких солдат и офицеров.</w:t>
      </w:r>
    </w:p>
    <w:p w14:paraId="7FD4132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отдельных участках Ленинградского фронта за два дня боевых действий уничтожено более 200 гитлеровцев. Огнём нашей артиллерии и действиями разведывательных групп, разрушено 17 ДЗОТов и блиндажей, 3 наблюдательныхпункта, уничтожено орудие, миномётная батарея, 12 станковых пулемётов и взорван склад с боеприпасами противника.</w:t>
      </w:r>
    </w:p>
    <w:p w14:paraId="05EFD14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Двадцать немецких самолётов типа «Мессершмитт-109-ф» атаковали шесть советских бомбардировщиков. Штурманы т.т. Миронов, Козаченко, Афанасьев и Борисов, стрелки-радисты Раппопорт и Арсеньев, взаимно поддерживая друг друга огнём, сбили два самолёта противника. Лётчик тов. Ченский вступил в бой против 7 «Мессершмиттов-109» и сбил один немецкий самолёт.</w:t>
      </w:r>
    </w:p>
    <w:p w14:paraId="5C3C726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Р., действующий в оккупированных районах Калининской области, взорвал железнодорожный мост на важной магистрали. Движение по этой линии приостановлено.</w:t>
      </w:r>
    </w:p>
    <w:p w14:paraId="15FE8D1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Перешедший на сторону Красной Армии солдат 11 финского пехотного полка Иисакки Р. рассказал: «В весенних боях наш полк очень сильно потрепали. Некоторые роты совершенно обескровлены. Большие потери наносят нам русские снайперы. Недавно они убили майора, командира батальона. Солдаты открыто говорят, что им надоела эта война. Из нашего полка уже дезертировало 130 человек».</w:t>
      </w:r>
    </w:p>
    <w:p w14:paraId="6176E4B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поле боя подобрано письмо немецкому подполковнику Шмидту от его жены. Ниже публикуются выдержки из письма: «Речь Гитлера не предвещает ничего хорошего. Даже отъявленные крикуны и горлопаны повесили головы и притихли. Воздушная опасность уже не так далека от нас, как мы одно время думали. Я всё ещё нахожусь под впечатлением происшедшего в Любека, Киле, Ростоке и Кельне. Здесь шопотом и со страхом передают, что в английских листовках указаны названия новых городов, которые англичане будут бомбить. Если это правда, то для нас настанут страшные дни».</w:t>
      </w:r>
    </w:p>
    <w:p w14:paraId="293075D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 тов. Алексей М., недавно вернувшийся из глубокого тыла противника, рассказал: «На улицах Пскова расклеены немецкие приказы. Захватчики грозят жителям: «За появление на улице до восхода солнца — смерть, за появление на улице после захода солнца — тоже смерть». Но перепуганное население даже и днём боится выходить из домов. Недавно гитлеровцы согнали на площадь всех мужчин в возрасте от 14 до 65 лет и под угрозой смерти потребовали выдать советских активистов, которые ведут в городе подпольную работу. Население молча выслушало все угрозы. Никто не проронил ни одного слова. Тогда палачи вывели из толпы 150 человек и расстреляли их на глазах у всех собравшихся. У здания Дома Красной Армии в канализационном люке был обнаружен труп немецкого офицера. Гестаповцы схватили первых попавшихся 18 мирных жителей и повесили их» (14935).</w:t>
      </w:r>
    </w:p>
    <w:p w14:paraId="4326095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540D34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27 июня</w:t>
      </w:r>
      <w:r w:rsidRPr="008127F8">
        <w:rPr>
          <w:rFonts w:ascii="Times New Roman" w:hAnsi="Times New Roman"/>
          <w:color w:val="000000" w:themeColor="text1"/>
          <w:sz w:val="16"/>
          <w:szCs w:val="16"/>
        </w:rPr>
        <w:t xml:space="preserve"> в 1942 году вечернее сообщение Совинформбюро:</w:t>
      </w:r>
    </w:p>
    <w:p w14:paraId="42F5222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27 июня на Севастопольском участке фронта наши войска отбили несколько атак противника с большими для него потерями.</w:t>
      </w:r>
    </w:p>
    <w:p w14:paraId="512B2AB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никаких изменений не произошло.</w:t>
      </w:r>
    </w:p>
    <w:p w14:paraId="0011DF4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26 июня частями нашей авиации на различных участках фронта уничтожено или повреждено 28 немецких танков, более 200 автомашин с войсками и грузами, 7 тракторов-тягачей, 30 повозок с боеприпасами, подавлен огонь 4 артиллерийских батарей и 29 зенитно-пулемётных точек, взорвано 5 складов с горючим и 2 склада с боеприпасами, разбит железнодорожный состав, рассеяно и частью уничтожено до 5 рот пехоты противника.</w:t>
      </w:r>
    </w:p>
    <w:p w14:paraId="48AFA73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Харьковском направлении советская авиация наносит сокрушительные удары немецко-фашистским войскам. За два дня наши лётчики сбили 23 немецких самолёта. Ударами с воздуха уничтожено 46 немецких танков, 117 автомашин и до 300 гитлеровцев.</w:t>
      </w:r>
    </w:p>
    <w:p w14:paraId="15AEF5E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Севастопольском участке фронта огнём нашей артиллерии в течение дня уничтожено 2 артиллерийские и 2 миномётные батареи противника, 5 орудий, 15 автомашин, склад боеприпасов и до 1.500 немецких солдат и офицеров.</w:t>
      </w:r>
    </w:p>
    <w:p w14:paraId="741D396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Лётчики авиаподразделения тов. Серебрякова в течение дня дважды бомбили один аэродром противника. Первый налёт совершили 8 наших бомбардировщиков во главе скапитаном Мигалиным. Несмотря на мощный огонь зениток, лётчики вышли точно на цель и уничтожили 4 самолёта «Юнкерс-52». Несколько часов спустя пятёрка бомбардировщиков произвела второй налёт и уничтожила 7 и повредила 9 немецких самолётов. Наши лётчики без потерь вернулись на свой аэродром.</w:t>
      </w:r>
    </w:p>
    <w:p w14:paraId="202FCFA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Лейтенант тов. Немыкин сражается на фронте с первых дней Отечественной войны.За это время он гранатами и бутылками с зажигательной жидкостью уничтожил 6 немецких танков. Кроме того, управляя тяжёлым танком, тов. Немыкин раздавил ещё 6 танков противника.</w:t>
      </w:r>
    </w:p>
    <w:p w14:paraId="653E0C2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Снайперы подразделения командира Булдакова в течение четырёх дней истребили 72 немецких солдата и офицера.</w:t>
      </w:r>
    </w:p>
    <w:p w14:paraId="1865809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тов. Т., действующий в одном из оккупированных немцами районов Курской области, совершил налёт на гарнизон противника в селе А. Партизаны истребили 190 оккупантов, сожгли три склада с боеприпасами, захватили 4 станковых и 9 ручных пулемётов, 120.000 патронов и много обмундирования.</w:t>
      </w:r>
    </w:p>
    <w:p w14:paraId="09024EA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Сдавшийся в плен солдат 56 пехотного финского полка Эйно М. заявил: «Я перешёл на сторону Красной Армии, так как не хочу воевать против русских за интересы Гитлера и Маннергейма. Наш батальон состоит из лиц, осуждённых за дезертирство и другие военные преступления. Я был приговорён к тюремному заключению за нанесение побоев немецкому офицеру. Это было в городе Хяменлинне. Встретившийся мне немецкий офицер потребовал, чтобы я отдал ему честь. Я ударил его бутылкой по голове, и он упал. Из тюрьмы меня выпустили досрочно и направилина фронт. Никогда ещё из финской армии не дезертировало так много солдат, как запоследние месяцы. Солдаты говорят: «Пусть воюют немцы, а мы, финны, уже навоевались».</w:t>
      </w:r>
    </w:p>
    <w:p w14:paraId="3890794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 немецкого ефрейтора Германа Будера найдено письмо от Анны Вехард из Бурга. Она пишет: «...Отец был в Вербене, и там ему рассказали, что ваша дивизия опять участвовала в боях. От одного полка будто бы осталось только 28 человек, остальные были ранены или убиты. У нас забрали церковные колокола, изъяли медные пфенниги. В ту мировую войну ничего подобного не было. Народ в Бурге очень недоволен...».</w:t>
      </w:r>
    </w:p>
    <w:p w14:paraId="198917A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нашего подразделения 19 июня обнаружили в деревне Ношкино, Калининской области, три трупа девушек, зверски замученных немецкими извергами. У 16-летней девушки выколоты глаза, вырезаны груди, вспорот живот. Трупы двух других девушек также изрезаны ножами. На окраине этой же деревни обнаружены трупы шести красноармейцев, которых, как установлено медицинским осмотром, гитлеровцы подвергли самым зверским пыткам.» (14935).</w:t>
      </w:r>
    </w:p>
    <w:p w14:paraId="3B5DDF8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B5500CF"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июня 1942 г. у ПС-43 Валти, который при эвакуации с Украины попала в Грозный (где ее присвоило летное училище ВВС) и после долгой переписки вернулся в Северо-Кавказскую авиагруппу ГВФ, на посадке не выпустилось шасси. Машина села на "брюхо" и попала в ремонт. А 24 октября при заходе на посадку в Сочи на "грозненский Валти" напали два "Мессершмитта". ПС-43 был сбит и упал в море, пилот Никонов и пассажир погибли. В 1942 году весьма оригинальную и эффективную, но непрактичную в эксплуатации американскую амортизацию шасси признали непригодной. Взамен начали ставить советские амортизаторы пневмо-гидравлического типа. К осени такую замену произвели на всех самолетах. Еще одной новинкой стало применение морозостойкой смазки в механизме уборки-выпуска шасси. Ранее пользовались американским маслом, которое при 15 градусах мороза загустевало. Поэтому зимой летали, не убирая колес, теряя 25-30 км/ч скорости (11470).</w:t>
      </w:r>
    </w:p>
    <w:p w14:paraId="270CB29C"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p>
    <w:p w14:paraId="2D2CC0F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27 июня в ночь на 28 июня 1942 немцы впервые совершили налет на Астрахань. В течение двух часов самолеты сбрасывали бомбы на переправу через Волгу, строящийся железнодорожный мост и жилые кварталы. В городе возникли десятки пожаров, появились первые жертвы среди мирного населения. Всего в ходе бомбежки были разрушены 19 кирпичных и четыре деревянных дома, во многих местах вышли из строя осветительные линии и водопровод. Так жители самого южного волжского города впервые воочию увидели, что такое война: разрезанное лучами прожекторов небо, надрывная пальба зениток, гулкие разрывы «фугасок», пожары и крики раненых. Многие астраханцы явились свидетелями пуска с земли осветительных ракет. Особенно много их взлетело в промышленном секторе города и в районе нефтебаз. Стало ясно, что и здесь орудуют вражеские шпионы. Впрочем, астраханским контрразведчикам повезло, прямо во время бомбежки на улице были задержаны два «сигнальщика». Последующий допрос в окружном отделе НКВД выявил, что оба агента в прошлом являлись военнослужащими Красной Армии, которые, попав в 1941 г. в плен, согласились сотрудничать с немцами. Впоследствии, после кратковременной учебы в абверовской школе в Полтаве, они вместе с еще тремя диверсантами в марте 1942 г. были высажены с самолета в Южном Поволжье. И что самое важное, шпионы имели задание давать сигналы ракетами во время налета бомбардировщиков, о примерной дате которого им было сообщено! Этот факт наконец раскрыл тайну ракетчиков. По всей видимости, зная о готовящихся налетах на тыловые города, Абвер заранее забрасывал в них группы шпионов, экипируя их среди прочего и сигнальными ракетницами. Будучи информированными о дате налета или просто услышав гудки воздушной тревоги, диверсанты занимали места в малолюдных районах городов и пускали ракеты. При этом различные </w:t>
      </w:r>
      <w:r w:rsidRPr="008127F8">
        <w:rPr>
          <w:rFonts w:ascii="Times New Roman" w:hAnsi="Times New Roman"/>
          <w:color w:val="000000" w:themeColor="text1"/>
          <w:sz w:val="16"/>
          <w:szCs w:val="16"/>
        </w:rPr>
        <w:lastRenderedPageBreak/>
        <w:t>группы действовали автономно и независимо друг от друга, что затрудняло их поимку и разоблачение (11774).</w:t>
      </w:r>
    </w:p>
    <w:p w14:paraId="28F4C49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259E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июня 1942 г. в бою с самолетами во время прорыва из Севастополя на лидер Ташкент было сброшено 300 авиабомб. Получив про</w:t>
      </w:r>
      <w:r w:rsidRPr="008127F8">
        <w:rPr>
          <w:rFonts w:ascii="Times New Roman" w:hAnsi="Times New Roman"/>
          <w:color w:val="000000" w:themeColor="text1"/>
          <w:sz w:val="16"/>
          <w:szCs w:val="16"/>
        </w:rPr>
        <w:softHyphen/>
        <w:t>боины от близких разрывов, "Ташкент" принял более 1000 т воды, но был спасен и своим ходом прибыл в Новороссийск (3898).</w:t>
      </w:r>
    </w:p>
    <w:p w14:paraId="2B408A0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FCCDB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июня 1942 многие из ТК, вместе с кораблями других классов, разумеется, участвовали в оказании помощи поврежденному вражеской авиацией лидеру “Ташкент” (6002).</w:t>
      </w:r>
    </w:p>
    <w:p w14:paraId="2E6DD4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82FFD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2A9D2B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9E86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июня 1942 было подписано англо-советское соглашение о финансировании Англией военных поставок и другой помощи СССР (3186).</w:t>
      </w:r>
    </w:p>
    <w:p w14:paraId="5EA0174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AA90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июня 1942 конвой PQ-17 вышел из Исландии в Мурманск и Архангельск (2100).</w:t>
      </w:r>
    </w:p>
    <w:p w14:paraId="307C52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85218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0A6478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798B35" w14:textId="77777777" w:rsidR="007C5583" w:rsidRPr="008127F8" w:rsidRDefault="007C5583" w:rsidP="007C5583">
      <w:pPr>
        <w:pStyle w:val="book"/>
        <w:ind w:firstLine="0"/>
        <w:jc w:val="both"/>
        <w:rPr>
          <w:color w:val="000000" w:themeColor="text1"/>
          <w:sz w:val="16"/>
          <w:szCs w:val="16"/>
        </w:rPr>
      </w:pPr>
      <w:r w:rsidRPr="008127F8">
        <w:rPr>
          <w:color w:val="000000" w:themeColor="text1"/>
          <w:sz w:val="16"/>
          <w:szCs w:val="16"/>
        </w:rPr>
        <w:t>К 27 июня 1942 из ствола «Доры» с учетом полигонных испытаний было сделано около 300 выстрелов, и ствол ввиду полного износа отправили на ремонт в Эссен. Лафет и все оборудование по приказу Гитлера начали перевозить под Ленинград в район станции Тайцы, куда позднее прибыл и отремонтированный ствол. Туда же должны были перевезти вторую однотипную пушку «Густав». Наступление Красной армии лишило немцев возможности использовать сверхмощные орудия под Ленинградом. С началом прорыва блокады Ленинграда пушки срочно эвакуировали в тыл (15225).</w:t>
      </w:r>
    </w:p>
    <w:p w14:paraId="10DE5D34" w14:textId="77777777" w:rsidR="007C5583" w:rsidRPr="008127F8" w:rsidRDefault="007C5583" w:rsidP="007C5583">
      <w:pPr>
        <w:pStyle w:val="book"/>
        <w:ind w:firstLine="0"/>
        <w:jc w:val="both"/>
        <w:rPr>
          <w:color w:val="000000" w:themeColor="text1"/>
          <w:sz w:val="16"/>
          <w:szCs w:val="16"/>
        </w:rPr>
      </w:pPr>
    </w:p>
    <w:p w14:paraId="3DAA4B6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июня 1942 немцы наступали на Мерса Матрух (2261).</w:t>
      </w:r>
    </w:p>
    <w:p w14:paraId="491BEBD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3351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7ED4FB6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BCD25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июня 1942 г.</w:t>
      </w:r>
    </w:p>
    <w:p w14:paraId="25DF2C0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приказа по Наркомату авиационной промышленности СССР о выпуске бронекорпусов самолета Ил-2 заводом № 207</w:t>
      </w:r>
    </w:p>
    <w:p w14:paraId="7DA9C8A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Проект</w:t>
      </w:r>
    </w:p>
    <w:p w14:paraId="7582EDD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Сов. секретно</w:t>
      </w:r>
    </w:p>
    <w:p w14:paraId="3AEBBFE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обеспечения заводов № 1 и № 18 бронекорпусами Ил-2 на полную мощность ПРИКАЗЫВАЮ:</w:t>
      </w:r>
    </w:p>
    <w:p w14:paraId="012DD69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p w14:paraId="568D1D6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Выпуск бронекорпусов Ил-2 заводом № 207 довести до 1000 шт. в месяц по следующему графику:</w:t>
      </w:r>
    </w:p>
    <w:p w14:paraId="7EAD5F5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r w:rsidRPr="008127F8">
        <w:rPr>
          <w:rFonts w:ascii="Times New Roman" w:hAnsi="Times New Roman"/>
          <w:color w:val="000000" w:themeColor="text1"/>
          <w:sz w:val="16"/>
          <w:szCs w:val="16"/>
        </w:rPr>
        <w:tab/>
        <w:t>575 шт.</w:t>
      </w:r>
      <w:r w:rsidRPr="008127F8">
        <w:rPr>
          <w:rFonts w:ascii="Times New Roman" w:hAnsi="Times New Roman"/>
          <w:color w:val="000000" w:themeColor="text1"/>
          <w:sz w:val="16"/>
          <w:szCs w:val="16"/>
        </w:rPr>
        <w:tab/>
        <w:t>Октябрь</w:t>
      </w:r>
      <w:r w:rsidRPr="008127F8">
        <w:rPr>
          <w:rFonts w:ascii="Times New Roman" w:hAnsi="Times New Roman"/>
          <w:color w:val="000000" w:themeColor="text1"/>
          <w:sz w:val="16"/>
          <w:szCs w:val="16"/>
        </w:rPr>
        <w:tab/>
        <w:t>850 шт.</w:t>
      </w:r>
    </w:p>
    <w:p w14:paraId="5C2E917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Август</w:t>
      </w:r>
      <w:r w:rsidRPr="008127F8">
        <w:rPr>
          <w:rFonts w:ascii="Times New Roman" w:hAnsi="Times New Roman"/>
          <w:color w:val="000000" w:themeColor="text1"/>
          <w:sz w:val="16"/>
          <w:szCs w:val="16"/>
        </w:rPr>
        <w:tab/>
        <w:t>650»</w:t>
      </w:r>
      <w:r w:rsidRPr="008127F8">
        <w:rPr>
          <w:rFonts w:ascii="Times New Roman" w:hAnsi="Times New Roman"/>
          <w:color w:val="000000" w:themeColor="text1"/>
          <w:sz w:val="16"/>
          <w:szCs w:val="16"/>
        </w:rPr>
        <w:tab/>
        <w:t>Ноябрь</w:t>
      </w:r>
      <w:r w:rsidRPr="008127F8">
        <w:rPr>
          <w:rFonts w:ascii="Times New Roman" w:hAnsi="Times New Roman"/>
          <w:color w:val="000000" w:themeColor="text1"/>
          <w:sz w:val="16"/>
          <w:szCs w:val="16"/>
        </w:rPr>
        <w:tab/>
        <w:t>1000»</w:t>
      </w:r>
    </w:p>
    <w:p w14:paraId="0190A4B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Сентябрь</w:t>
      </w:r>
      <w:r w:rsidRPr="008127F8">
        <w:rPr>
          <w:rFonts w:ascii="Times New Roman" w:hAnsi="Times New Roman"/>
          <w:color w:val="000000" w:themeColor="text1"/>
          <w:sz w:val="16"/>
          <w:szCs w:val="16"/>
        </w:rPr>
        <w:tab/>
        <w:t>750»</w:t>
      </w:r>
      <w:r w:rsidRPr="008127F8">
        <w:rPr>
          <w:rFonts w:ascii="Times New Roman" w:hAnsi="Times New Roman"/>
          <w:color w:val="000000" w:themeColor="text1"/>
          <w:sz w:val="16"/>
          <w:szCs w:val="16"/>
        </w:rPr>
        <w:tab/>
        <w:t>Декабрь</w:t>
      </w:r>
      <w:r w:rsidRPr="008127F8">
        <w:rPr>
          <w:rFonts w:ascii="Times New Roman" w:hAnsi="Times New Roman"/>
          <w:color w:val="000000" w:themeColor="text1"/>
          <w:sz w:val="16"/>
          <w:szCs w:val="16"/>
        </w:rPr>
        <w:tab/>
        <w:t>1000»</w:t>
      </w:r>
    </w:p>
    <w:p w14:paraId="250B78F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Директору завода тов. Засульскому установить личный контроль за ходом строительных работ и обеспечить нарастание производственных мощностей в соответствии с этим графиком...</w:t>
      </w:r>
    </w:p>
    <w:p w14:paraId="442D557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p w14:paraId="1A343CC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целях сокращения сроков строительства завода № 207 и введения дополнительных мощностей, обеспечивающих выполнение установленного графика, Уполномоченному НКАП тов. Кофман оказать помощь 4-й строительной конторе УОС НКВД предоставлением 700 чел. рабочих не позднее 10 июля 1942 г.</w:t>
      </w:r>
    </w:p>
    <w:p w14:paraId="610CD3E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w:t>
      </w:r>
    </w:p>
    <w:p w14:paraId="442AC39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Установить согласованные с начальником УОС НКВД тов. Лепиловым  следующие сроки строительства и сдачи в эксплуатацию цехов завода № 207:</w:t>
      </w:r>
    </w:p>
    <w:p w14:paraId="379EADA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1.Заготовительный цех - 1 сентября 1942 г.,</w:t>
      </w:r>
    </w:p>
    <w:p w14:paraId="5D77ECA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2.Расширение прессового цеха - 15 сентября 1942 г.,</w:t>
      </w:r>
    </w:p>
    <w:p w14:paraId="5CBEA37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3.Термический цех... — 1 сентября 1942 г...</w:t>
      </w:r>
    </w:p>
    <w:p w14:paraId="18924CE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Народный Комиссар авиационной промышленности</w:t>
      </w:r>
      <w:r w:rsidRPr="008127F8">
        <w:rPr>
          <w:rFonts w:ascii="Times New Roman" w:hAnsi="Times New Roman"/>
          <w:color w:val="000000" w:themeColor="text1"/>
          <w:sz w:val="16"/>
          <w:szCs w:val="16"/>
        </w:rPr>
        <w:tab/>
        <w:t>А. Шахурин</w:t>
      </w:r>
    </w:p>
    <w:p w14:paraId="3F9BE0C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ГАСО</w:t>
      </w:r>
      <w:r w:rsidRPr="008127F8">
        <w:rPr>
          <w:rFonts w:ascii="Times New Roman" w:hAnsi="Times New Roman"/>
          <w:color w:val="000000" w:themeColor="text1"/>
          <w:sz w:val="16"/>
          <w:szCs w:val="16"/>
          <w:lang w:val="en-US"/>
        </w:rPr>
        <w:t xml:space="preserve">. </w:t>
      </w:r>
      <w:r w:rsidRPr="008127F8">
        <w:rPr>
          <w:rFonts w:ascii="Times New Roman" w:hAnsi="Times New Roman"/>
          <w:color w:val="000000" w:themeColor="text1"/>
          <w:sz w:val="16"/>
          <w:szCs w:val="16"/>
        </w:rPr>
        <w:t>Ф</w:t>
      </w:r>
      <w:r w:rsidRPr="008127F8">
        <w:rPr>
          <w:rFonts w:ascii="Times New Roman" w:hAnsi="Times New Roman"/>
          <w:color w:val="000000" w:themeColor="text1"/>
          <w:sz w:val="16"/>
          <w:szCs w:val="16"/>
          <w:lang w:val="en-US"/>
        </w:rPr>
        <w:t xml:space="preserve">. P-4131. On. 3. </w:t>
      </w:r>
      <w:r w:rsidRPr="008127F8">
        <w:rPr>
          <w:rFonts w:ascii="Times New Roman" w:hAnsi="Times New Roman"/>
          <w:color w:val="000000" w:themeColor="text1"/>
          <w:sz w:val="16"/>
          <w:szCs w:val="16"/>
        </w:rPr>
        <w:t>Д</w:t>
      </w:r>
      <w:r w:rsidRPr="008127F8">
        <w:rPr>
          <w:rFonts w:ascii="Times New Roman" w:hAnsi="Times New Roman"/>
          <w:color w:val="000000" w:themeColor="text1"/>
          <w:sz w:val="16"/>
          <w:szCs w:val="16"/>
          <w:lang w:val="en-US"/>
        </w:rPr>
        <w:t xml:space="preserve">. 4. </w:t>
      </w:r>
      <w:r w:rsidRPr="008127F8">
        <w:rPr>
          <w:rFonts w:ascii="Times New Roman" w:hAnsi="Times New Roman"/>
          <w:color w:val="000000" w:themeColor="text1"/>
          <w:sz w:val="16"/>
          <w:szCs w:val="16"/>
        </w:rPr>
        <w:t>Л</w:t>
      </w:r>
      <w:r w:rsidRPr="008127F8">
        <w:rPr>
          <w:rFonts w:ascii="Times New Roman" w:hAnsi="Times New Roman"/>
          <w:color w:val="000000" w:themeColor="text1"/>
          <w:sz w:val="16"/>
          <w:szCs w:val="16"/>
          <w:lang w:val="en-US"/>
        </w:rPr>
        <w:t xml:space="preserve">. 33-35. </w:t>
      </w:r>
      <w:r w:rsidRPr="008127F8">
        <w:rPr>
          <w:rFonts w:ascii="Times New Roman" w:hAnsi="Times New Roman"/>
          <w:color w:val="000000" w:themeColor="text1"/>
          <w:sz w:val="16"/>
          <w:szCs w:val="16"/>
        </w:rPr>
        <w:t>Копия (29532).</w:t>
      </w:r>
    </w:p>
    <w:p w14:paraId="5A0AFCF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FDF8388" w14:textId="77777777" w:rsidR="002E4AAB" w:rsidRPr="008A2E5A" w:rsidRDefault="002E4AAB" w:rsidP="002E4A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июня 1942 г. Из приказа по Наркомату авиационной промышленности СССР о выпуске бронекорпусов самолета Ил-2 заводом № 207</w:t>
      </w:r>
    </w:p>
    <w:p w14:paraId="6CC5FD1A" w14:textId="77777777" w:rsidR="002E4AAB" w:rsidRPr="008A2E5A" w:rsidRDefault="002E4AAB" w:rsidP="002E4A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Проект</w:t>
      </w:r>
    </w:p>
    <w:p w14:paraId="028BC2AA" w14:textId="77777777" w:rsidR="002E4AAB" w:rsidRPr="008A2E5A" w:rsidRDefault="002E4AAB" w:rsidP="002E4A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 секретно</w:t>
      </w:r>
    </w:p>
    <w:p w14:paraId="46B79CBE" w14:textId="77777777" w:rsidR="002E4AAB" w:rsidRPr="008A2E5A" w:rsidRDefault="002E4AAB" w:rsidP="002E4A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обеспечения заводов № 1 и № 18 бронекорпусами Ил-2 на полную мощность ПРИКАЗЫВАЮ:</w:t>
      </w:r>
    </w:p>
    <w:p w14:paraId="0D050C95" w14:textId="77777777" w:rsidR="002E4AAB" w:rsidRPr="008A2E5A" w:rsidRDefault="002E4AAB" w:rsidP="002E4A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p w14:paraId="15C0554C" w14:textId="77777777" w:rsidR="002E4AAB" w:rsidRPr="008A2E5A" w:rsidRDefault="002E4AAB" w:rsidP="002E4A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Выпуск бронекорпусов Ил-2 заводом № 207 довести до 1000 шт. в месяц по следующему графику:</w:t>
      </w:r>
    </w:p>
    <w:p w14:paraId="0E94FBAF" w14:textId="77777777" w:rsidR="002E4AAB" w:rsidRPr="008A2E5A" w:rsidRDefault="002E4AAB" w:rsidP="002E4A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Июль</w:t>
      </w:r>
      <w:r w:rsidRPr="008A2E5A">
        <w:rPr>
          <w:rFonts w:ascii="Times New Roman" w:hAnsi="Times New Roman"/>
          <w:color w:val="0070C0"/>
          <w:sz w:val="16"/>
          <w:szCs w:val="16"/>
        </w:rPr>
        <w:tab/>
        <w:t>575 шт.</w:t>
      </w:r>
      <w:r w:rsidRPr="008A2E5A">
        <w:rPr>
          <w:rFonts w:ascii="Times New Roman" w:hAnsi="Times New Roman"/>
          <w:color w:val="0070C0"/>
          <w:sz w:val="16"/>
          <w:szCs w:val="16"/>
        </w:rPr>
        <w:tab/>
        <w:t>Октябрь</w:t>
      </w:r>
      <w:r w:rsidRPr="008A2E5A">
        <w:rPr>
          <w:rFonts w:ascii="Times New Roman" w:hAnsi="Times New Roman"/>
          <w:color w:val="0070C0"/>
          <w:sz w:val="16"/>
          <w:szCs w:val="16"/>
        </w:rPr>
        <w:tab/>
        <w:t>850 шт.</w:t>
      </w:r>
    </w:p>
    <w:p w14:paraId="04882F76" w14:textId="77777777" w:rsidR="002E4AAB" w:rsidRPr="008A2E5A" w:rsidRDefault="002E4AAB" w:rsidP="002E4A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Август</w:t>
      </w:r>
      <w:r w:rsidRPr="008A2E5A">
        <w:rPr>
          <w:rFonts w:ascii="Times New Roman" w:hAnsi="Times New Roman"/>
          <w:color w:val="0070C0"/>
          <w:sz w:val="16"/>
          <w:szCs w:val="16"/>
        </w:rPr>
        <w:tab/>
        <w:t>650»</w:t>
      </w:r>
      <w:r w:rsidRPr="008A2E5A">
        <w:rPr>
          <w:rFonts w:ascii="Times New Roman" w:hAnsi="Times New Roman"/>
          <w:color w:val="0070C0"/>
          <w:sz w:val="16"/>
          <w:szCs w:val="16"/>
        </w:rPr>
        <w:tab/>
        <w:t>Ноябрь</w:t>
      </w:r>
      <w:r w:rsidRPr="008A2E5A">
        <w:rPr>
          <w:rFonts w:ascii="Times New Roman" w:hAnsi="Times New Roman"/>
          <w:color w:val="0070C0"/>
          <w:sz w:val="16"/>
          <w:szCs w:val="16"/>
        </w:rPr>
        <w:tab/>
        <w:t>1000»</w:t>
      </w:r>
    </w:p>
    <w:p w14:paraId="77916EE5" w14:textId="77777777" w:rsidR="002E4AAB" w:rsidRPr="008A2E5A" w:rsidRDefault="002E4AAB" w:rsidP="002E4A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Сентябрь</w:t>
      </w:r>
      <w:r w:rsidRPr="008A2E5A">
        <w:rPr>
          <w:rFonts w:ascii="Times New Roman" w:hAnsi="Times New Roman"/>
          <w:color w:val="0070C0"/>
          <w:sz w:val="16"/>
          <w:szCs w:val="16"/>
        </w:rPr>
        <w:tab/>
        <w:t>750»</w:t>
      </w:r>
      <w:r w:rsidRPr="008A2E5A">
        <w:rPr>
          <w:rFonts w:ascii="Times New Roman" w:hAnsi="Times New Roman"/>
          <w:color w:val="0070C0"/>
          <w:sz w:val="16"/>
          <w:szCs w:val="16"/>
        </w:rPr>
        <w:tab/>
        <w:t>Декабрь</w:t>
      </w:r>
      <w:r w:rsidRPr="008A2E5A">
        <w:rPr>
          <w:rFonts w:ascii="Times New Roman" w:hAnsi="Times New Roman"/>
          <w:color w:val="0070C0"/>
          <w:sz w:val="16"/>
          <w:szCs w:val="16"/>
        </w:rPr>
        <w:tab/>
        <w:t>1000»</w:t>
      </w:r>
    </w:p>
    <w:p w14:paraId="21584DC4" w14:textId="77777777" w:rsidR="002E4AAB" w:rsidRPr="008A2E5A" w:rsidRDefault="002E4AAB" w:rsidP="002E4A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p w14:paraId="53AC145F" w14:textId="77777777" w:rsidR="002E4AAB" w:rsidRPr="008A2E5A" w:rsidRDefault="002E4AAB" w:rsidP="002E4A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Директору завода тов. Засульскому установить личный контроль за ходом строительных работ и обеспечить нарастание производственных мощностей в соответствии с этим графиком...</w:t>
      </w:r>
    </w:p>
    <w:p w14:paraId="0B9654E2" w14:textId="77777777" w:rsidR="002E4AAB" w:rsidRPr="008A2E5A" w:rsidRDefault="002E4AAB" w:rsidP="002E4A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p>
    <w:p w14:paraId="214329CF" w14:textId="77777777" w:rsidR="002E4AAB" w:rsidRPr="008A2E5A" w:rsidRDefault="002E4AAB" w:rsidP="002E4A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целях сокращения сроков строительства завода № 207 и введения дополнительных мощностей, обеспечивающих выполнение установленного графика, Уполномоченному НКАП тов. Кофман оказать помощь 4-й строительной конторе УОС НКВД предоставлением 700 чел. рабочих не позднее 10 июля 1942 г.</w:t>
      </w:r>
    </w:p>
    <w:p w14:paraId="28A7BD85" w14:textId="77777777" w:rsidR="002E4AAB" w:rsidRPr="008A2E5A" w:rsidRDefault="002E4AAB" w:rsidP="002E4A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p>
    <w:p w14:paraId="461E708E" w14:textId="77777777" w:rsidR="002E4AAB" w:rsidRPr="008A2E5A" w:rsidRDefault="002E4AAB" w:rsidP="002E4A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Установить согласованные с начальником УОС НКВД тов. Лепиловым следующие сроки строительства и сдачи в эксплуатацию цехов завода № 207:</w:t>
      </w:r>
    </w:p>
    <w:p w14:paraId="18D0DE3E" w14:textId="77777777" w:rsidR="002E4AAB" w:rsidRPr="008A2E5A" w:rsidRDefault="002E4AAB" w:rsidP="002E4A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Заготовительный цех - 1 сентября 1942 г.,</w:t>
      </w:r>
    </w:p>
    <w:p w14:paraId="1FEA9E28" w14:textId="77777777" w:rsidR="002E4AAB" w:rsidRPr="008A2E5A" w:rsidRDefault="002E4AAB" w:rsidP="002E4A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Расширение прессового цеха - 15 сентября 1942 г.,</w:t>
      </w:r>
    </w:p>
    <w:p w14:paraId="06C22FC3" w14:textId="77777777" w:rsidR="002E4AAB" w:rsidRPr="008A2E5A" w:rsidRDefault="002E4AAB" w:rsidP="002E4A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Термический цех... — 1 сентября 1942 г...</w:t>
      </w:r>
    </w:p>
    <w:p w14:paraId="62AF0D66" w14:textId="77777777" w:rsidR="002E4AAB" w:rsidRPr="008A2E5A" w:rsidRDefault="002E4AAB" w:rsidP="002E4A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авиационной промышленности</w:t>
      </w:r>
      <w:r w:rsidRPr="008A2E5A">
        <w:rPr>
          <w:rFonts w:ascii="Times New Roman" w:hAnsi="Times New Roman"/>
          <w:color w:val="0070C0"/>
          <w:sz w:val="16"/>
          <w:szCs w:val="16"/>
        </w:rPr>
        <w:tab/>
        <w:t>А. Шахурин</w:t>
      </w:r>
    </w:p>
    <w:p w14:paraId="70A1FFC8" w14:textId="77777777" w:rsidR="002E4AAB" w:rsidRPr="008A2E5A" w:rsidRDefault="002E4AAB" w:rsidP="002E4A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ГАСО</w:t>
      </w:r>
      <w:r w:rsidRPr="0016279C">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16279C">
        <w:rPr>
          <w:rFonts w:ascii="Times New Roman" w:hAnsi="Times New Roman"/>
          <w:color w:val="0070C0"/>
          <w:sz w:val="16"/>
          <w:szCs w:val="16"/>
          <w:lang w:val="en-US"/>
        </w:rPr>
        <w:t xml:space="preserve">. P-4131. On. 3. </w:t>
      </w:r>
      <w:r w:rsidRPr="008A2E5A">
        <w:rPr>
          <w:rFonts w:ascii="Times New Roman" w:hAnsi="Times New Roman"/>
          <w:color w:val="0070C0"/>
          <w:sz w:val="16"/>
          <w:szCs w:val="16"/>
        </w:rPr>
        <w:t>Д</w:t>
      </w:r>
      <w:r w:rsidRPr="0016279C">
        <w:rPr>
          <w:rFonts w:ascii="Times New Roman" w:hAnsi="Times New Roman"/>
          <w:color w:val="0070C0"/>
          <w:sz w:val="16"/>
          <w:szCs w:val="16"/>
          <w:lang w:val="en-US"/>
        </w:rPr>
        <w:t xml:space="preserve">. 4. </w:t>
      </w:r>
      <w:r w:rsidRPr="008A2E5A">
        <w:rPr>
          <w:rFonts w:ascii="Times New Roman" w:hAnsi="Times New Roman"/>
          <w:color w:val="0070C0"/>
          <w:sz w:val="16"/>
          <w:szCs w:val="16"/>
        </w:rPr>
        <w:t>Л</w:t>
      </w:r>
      <w:r w:rsidRPr="0016279C">
        <w:rPr>
          <w:rFonts w:ascii="Times New Roman" w:hAnsi="Times New Roman"/>
          <w:color w:val="0070C0"/>
          <w:sz w:val="16"/>
          <w:szCs w:val="16"/>
          <w:lang w:val="en-US"/>
        </w:rPr>
        <w:t xml:space="preserve">. 33-35. </w:t>
      </w:r>
      <w:r w:rsidRPr="008A2E5A">
        <w:rPr>
          <w:rFonts w:ascii="Times New Roman" w:hAnsi="Times New Roman"/>
          <w:color w:val="0070C0"/>
          <w:sz w:val="16"/>
          <w:szCs w:val="16"/>
        </w:rPr>
        <w:t>Копия (23960).</w:t>
      </w:r>
    </w:p>
    <w:p w14:paraId="11DE93EB" w14:textId="77777777" w:rsidR="002E4AAB" w:rsidRPr="008A2E5A" w:rsidRDefault="002E4AAB" w:rsidP="002E4AAB">
      <w:pPr>
        <w:spacing w:after="0" w:line="240" w:lineRule="auto"/>
        <w:jc w:val="both"/>
        <w:rPr>
          <w:rFonts w:ascii="Times New Roman" w:hAnsi="Times New Roman"/>
          <w:color w:val="0070C0"/>
          <w:sz w:val="16"/>
          <w:szCs w:val="16"/>
        </w:rPr>
      </w:pPr>
    </w:p>
    <w:p w14:paraId="7298A02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июня 1942 М-82НВ удовлетворительно прошел 100 часовые официальные испытания на станке и потом был поставлен на Су-2 для проверки в воздухе (1684,192).</w:t>
      </w:r>
    </w:p>
    <w:p w14:paraId="64449FA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ADBF6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28 июня</w:t>
      </w:r>
      <w:r w:rsidRPr="008127F8">
        <w:rPr>
          <w:rFonts w:ascii="Times New Roman" w:hAnsi="Times New Roman"/>
          <w:color w:val="000000" w:themeColor="text1"/>
          <w:sz w:val="16"/>
          <w:szCs w:val="16"/>
        </w:rPr>
        <w:t xml:space="preserve"> в 1942 году состоялся первый полёт лёгкого транспортного самолёта </w:t>
      </w:r>
      <w:hyperlink r:id="rId92" w:tgtFrame="_blank" w:history="1">
        <w:r w:rsidRPr="008127F8">
          <w:rPr>
            <w:rFonts w:ascii="Times New Roman" w:hAnsi="Times New Roman"/>
            <w:color w:val="000000" w:themeColor="text1"/>
            <w:sz w:val="16"/>
            <w:szCs w:val="16"/>
          </w:rPr>
          <w:t xml:space="preserve">«Як-6» </w:t>
        </w:r>
      </w:hyperlink>
      <w:r w:rsidRPr="008127F8">
        <w:rPr>
          <w:rFonts w:ascii="Times New Roman" w:hAnsi="Times New Roman"/>
          <w:color w:val="000000" w:themeColor="text1"/>
          <w:sz w:val="16"/>
          <w:szCs w:val="16"/>
        </w:rPr>
        <w:t>с двигателями «М-11», пилот Ф.Е. Болотов. За 1942-1943 годы построен 381 самолёт (14936).</w:t>
      </w:r>
    </w:p>
    <w:p w14:paraId="1F93D3C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B8E52A9"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июня 1942 года завершить Стендовые испытания двигателя М-82НВ. Вскоре, 10 августа, оснащенный новым мотором легкий бомбардировщик Су-2 поднялся в воздух. В полете М-82 НВ работал нормально, но к сожалению, после второго полета, на посадке, Су-2 потерпел аварию из-за отказа шасси и испытания пришлось на время прервать. После возобновления испытательных полетов выяснилось, что летные характеристики Су-2 с М-82 НВ значительно возросли, и мотор был немедленно рекомендован для запуска в серийное производство (23547).</w:t>
      </w:r>
    </w:p>
    <w:p w14:paraId="5E05F1D6" w14:textId="77777777" w:rsidR="005538C6" w:rsidRPr="008A2E5A" w:rsidRDefault="005538C6" w:rsidP="005538C6">
      <w:pPr>
        <w:spacing w:after="0" w:line="240" w:lineRule="auto"/>
        <w:jc w:val="both"/>
        <w:rPr>
          <w:rFonts w:ascii="Times New Roman" w:hAnsi="Times New Roman"/>
          <w:color w:val="0070C0"/>
          <w:sz w:val="16"/>
          <w:szCs w:val="16"/>
        </w:rPr>
      </w:pPr>
    </w:p>
    <w:p w14:paraId="251B93C8"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июня 1943 г. Докладная записка директора завода № 22 В. А. Окулова в Наркомат авиационной промышленности СССР о необходимости включения специалистов ОКБ завода № 16 в состав летного экипажа при испытании самолета Пе-2 с реактивной установкой</w:t>
      </w:r>
    </w:p>
    <w:p w14:paraId="2E012EDB"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Пе-2 с реактивной установкой РУ-1 ОКБ завода № 16 окончен постройкой и по получении реактивного двигат'еля от завода № 16 поступит на летные испытания.</w:t>
      </w:r>
    </w:p>
    <w:p w14:paraId="7E6F612B"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Новизна реактивного двигателя, его большая литровая мощность и огромная приемистость (2-3 секунды от запуска до полного газа) требует умелой, тщательной отладки и отработки на разных высотах процесса запуска, являющегося одной из ответственнейших операций. Запуск реактивного двигателя производится путем воспламенения эфиро-воздушной смеси, свойства которой изменяются с высотой. Таким образом, необходимо наивыгоднейшие условия пуска, установленные на земле, проверить непосредственно в полете, сперва путем запусков на эфиро-воздушной смеси и соответствующей регулировки агрегатов, а затем и пробными рабочими пусками.</w:t>
      </w:r>
    </w:p>
    <w:p w14:paraId="11EFB81E"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этом большое значение для оценки качества запуска, помимо показаний контрольных приборов, имеют цвет факела, его интенсивность, характер воспламенения газов, вытекающих из сопла, что непосредственно должно наблюдаться опытным специалистом-экспериментатором.</w:t>
      </w:r>
    </w:p>
    <w:p w14:paraId="3477165D"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Одновременно в полете должна находиться под наблюдением вся совокупность явлений, связанных с установкой реактивного двигателя, как то: раскрутка винтов, поведение оперения, работа всей системы питания реактивного двигателя кислотой и керосином ит. д.</w:t>
      </w:r>
    </w:p>
    <w:p w14:paraId="57A1C1DB"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Для надежного обеспечения предстоящих испытаний необходимо, чтобы отладка в воздухе и пробные запуски производились </w:t>
      </w:r>
      <w:r w:rsidRPr="008A2E5A">
        <w:rPr>
          <w:rFonts w:ascii="Tahoma" w:hAnsi="Tahoma" w:cs="Tahoma"/>
          <w:color w:val="0070C0"/>
          <w:sz w:val="16"/>
          <w:szCs w:val="16"/>
        </w:rPr>
        <w:t>﻿</w:t>
      </w:r>
      <w:r w:rsidRPr="008A2E5A">
        <w:rPr>
          <w:rFonts w:ascii="Times New Roman" w:hAnsi="Times New Roman"/>
          <w:color w:val="0070C0"/>
          <w:sz w:val="16"/>
          <w:szCs w:val="16"/>
        </w:rPr>
        <w:t>специалистами этого дела, во избежание тяжелых последствий и задержки всей работы в целом. Завод № 22 такими работниками не располагает, а обучение персонала, ввиду новизны работ, при первых испытаниях затруднительно, займет значительное время и не даст уверенности в должных результатах, успех которых определяется опытом длительной практической работы.</w:t>
      </w:r>
    </w:p>
    <w:p w14:paraId="7396C0C1"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Поэтому считаю совершенно необходимым включить в состав летного экипажа самолета Пе-2 с реактивной установкой специалистов ОКБ завода № 16.</w:t>
      </w:r>
    </w:p>
    <w:p w14:paraId="796D8FEA"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 22 В. Окулов</w:t>
      </w:r>
    </w:p>
    <w:p w14:paraId="7B37021C"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Р-2845. Оп. 3. Д 216. Л. 77-78 об. Отпуск (23708).</w:t>
      </w:r>
    </w:p>
    <w:p w14:paraId="0858E0FD" w14:textId="77777777" w:rsidR="005538C6" w:rsidRPr="008A2E5A" w:rsidRDefault="005538C6" w:rsidP="005538C6">
      <w:pPr>
        <w:spacing w:after="0" w:line="240" w:lineRule="auto"/>
        <w:jc w:val="both"/>
        <w:rPr>
          <w:rFonts w:ascii="Times New Roman" w:hAnsi="Times New Roman"/>
          <w:color w:val="0070C0"/>
          <w:sz w:val="16"/>
          <w:szCs w:val="16"/>
        </w:rPr>
      </w:pPr>
    </w:p>
    <w:p w14:paraId="0530C74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B5988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D90F1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28 июня</w:t>
      </w:r>
      <w:r w:rsidRPr="008127F8">
        <w:rPr>
          <w:rFonts w:ascii="Times New Roman" w:hAnsi="Times New Roman"/>
          <w:color w:val="000000" w:themeColor="text1"/>
          <w:sz w:val="16"/>
          <w:szCs w:val="16"/>
        </w:rPr>
        <w:t xml:space="preserve"> в 1942 году утреннее сообщение Совинформбюро:</w:t>
      </w:r>
    </w:p>
    <w:p w14:paraId="4625058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28 июня на Севастопольском участке фронта наши войска вели бои с противником.</w:t>
      </w:r>
    </w:p>
    <w:p w14:paraId="1552D98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существенных изменений не произошло.</w:t>
      </w:r>
    </w:p>
    <w:p w14:paraId="2670BC3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Наша часть на одном из участков Харьковского направления отбила атаку немецкой пехоты, наступавшей при поддержке танков. Противник оставил на поле боя 7 подбитых танков и свыше 300 убитых солдат и офицеров.</w:t>
      </w:r>
    </w:p>
    <w:p w14:paraId="4DF109C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Немецкая авиация пыталась произвести налёт на один из наших объектов на Волховском фронте. В налёте участвовало до 58 самолётов противника. В завязавшемся воздушном бою наши лётчики сбили 15 немецких самолётов, из них 10 самолётов «Юнкерс-88», 1 «Юнкерс-87» и 4 истребителя «Мессершмитт-109». Кроме того, подбито два самолёта противника. Наши потери — один самолёт. В этом бою Герой Советского Союза старший лейтенант тов. Галкин сбил 3 немецких самолёта.</w:t>
      </w:r>
    </w:p>
    <w:p w14:paraId="33101C6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под командованием тов. Малахова (Южный фронт) огневым налётом рассеяли и уничтожили до роты немецкой пехоты и 50 всадников. На другом участке батарея тов. Балакина разрушила три немецких ДЗОТа, подавила 13 огневых точек и уничтожила более 30 гитлеровцев.</w:t>
      </w:r>
    </w:p>
    <w:p w14:paraId="0C1EC62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Тяжёлый немецкий танк прорвался в район командного пункта нашего полка. Красноармеец тов. Токарев, захватив гранаты и бутылки с зажигательной жидкостью, пополз навстречу вражескому танку. Первой гранатой отважный боец попал в башню машины. Танк прекратил огонь. Тогда тов. Токарев бросил одну за другой две бутылки с зажигательной жидкостью и поджёг танк. Выскочивший экипаж немецкого танка пытался было бежать, но был уничтожен подоспевшими к этому времени нашими бойцами.</w:t>
      </w:r>
    </w:p>
    <w:p w14:paraId="13A5AAF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Снайперы одной нашей части т.т. Сурков, Стельников, Чебанюк и Емельянов в течение дня уничтожили 23 солдата и офицера противника. В тот же день известный снайпер донецкий шахтёр Максим Быксин истребил 7 гитлеровцев.</w:t>
      </w:r>
    </w:p>
    <w:p w14:paraId="559D119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Партизанский отряд под командованием тов. Д., действующий в одном из районов Витебской области, за шесть месяцев боевой деятельности уничтожил свыше 1.000 немецко-фашистских захватчиков. Партизаны этого отряда сбили 2 немецких самолёта, уничтожили 2 танка, 20 автомашин, взорвали 7 складов с боеприпасами и организовали крушение трёх железнодорожных эшелонов противника.</w:t>
      </w:r>
    </w:p>
    <w:p w14:paraId="05B970E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6 роты 2 батальона 35 венгерского пехотного полка Дмитро Долгий рассказал: «Ещё по дороге на фронт наш батальон понёс потери. Недалеко от Курска партизаны заминировали железнодорожный путь. Наш поезд потерпел крушение. Три вагона были разбиты. Находившиеся в них солдаты погибли. Нам пришлось вернуться в Курск и ждать, пока восстановят путь. На фронте мы в первый же день попали под шквальный огонь. Русские стреляли из всех видов оружия. За несколько часов рота была разгромлена. В ней было 150 человек, в живых же осталось небольше 15. На моих глазах снаряд разрушил дом, в котором находились подполковник и группа офицеров из штаба батальона».</w:t>
      </w:r>
    </w:p>
    <w:p w14:paraId="362C2E1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оккупированного немецкими захватчиками района, пробралась в расположение наших войск колхозница Ольга Васильевна Сисемова. Она сообщила: «На окраине города Старая Русса я видела, как немецкие офицеры и солдаты зверски избивали пленных раненых красноармейцев. Немецкие бандиты содержат военнопленных в большом котловане. Там в грязи лежат обессиленные от голода и пыток люди. Немцы стреляют в тех, кто пытается передать пищу раненым красноармейцам или оказать им помощь».</w:t>
      </w:r>
    </w:p>
    <w:p w14:paraId="57F13E1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Генте (Бельгия) немецкие военные власти объявили розыски 58 солдат, пропавших без вести за время с 3 по 13 июня. Предполагают, что некоторая часть из них дезертировала, а остальные уничтожены бельгийскими патриотами. В городах Бельгии распространяется много листовок с лозунгом: «Немецкие солдаты! Спасайте свою жизнь! Покидайте Бельгию, пока не поздно!» (14936).</w:t>
      </w:r>
    </w:p>
    <w:p w14:paraId="5CE6C28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BC0AEC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28 июня</w:t>
      </w:r>
      <w:r w:rsidRPr="008127F8">
        <w:rPr>
          <w:rFonts w:ascii="Times New Roman" w:hAnsi="Times New Roman"/>
          <w:color w:val="000000" w:themeColor="text1"/>
          <w:sz w:val="16"/>
          <w:szCs w:val="16"/>
        </w:rPr>
        <w:t xml:space="preserve"> в 1942 году вечернее сообщение Совинформбюро:</w:t>
      </w:r>
    </w:p>
    <w:p w14:paraId="49FDA89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28 июня на Курском направлении завязались бои с перешедшими в наступление немецко-фашистскими войсками.</w:t>
      </w:r>
    </w:p>
    <w:p w14:paraId="2339675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Севастопольском участке фронта наши войска отбили атаки противника.</w:t>
      </w:r>
    </w:p>
    <w:p w14:paraId="6C3E878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существенных изменений не произошло.</w:t>
      </w:r>
    </w:p>
    <w:p w14:paraId="35E29A8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истекшую неделю с 21 по 27 июня включительно в воздушных боях, на аэродромах противника и огнём зенитной артиллерии уничтожено 384 немецких самолёта. Наши потери за это же время —171 самолёт.</w:t>
      </w:r>
    </w:p>
    <w:p w14:paraId="514F7F1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27 июня частями нашей авиации на различных участках фронта уничтожено или повреждено 44 немецких танка, 2 бронемашины, 275 автомашин с войсками и грузами, 7 тракторов-тягачей, 3 автоцистерны с горючим, подавлен огонь 10 артиллерийских батарей, взорван склад с горючим и склад с боеприпасами, разбит железнодорожный состав, рассеяно и частью уничтожено до двух батальонов пехоты противника.</w:t>
      </w:r>
    </w:p>
    <w:p w14:paraId="71CA8E5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Героические защитники Севастополя отбивают ожесточённые атаки противника. Бойцы под командованием тов. Жидилова в течение трех дней отразили 16 атак противника и уничтожили 7 немецких танков, 2 миномётные батареи с прислугой, взорвали бензинохранилище и разгромили батальон немецкой пехоты. Захвачены трофеи и пленные. Вчера после мощной артиллерийской и авиационной подготовки противник крупными силами перешёл в наступление. Лишь на одном участке гитлеровцам удалось несколько потеснить нашу часть. На всех остальных участках атаки противника отбиты с огромными для него потерями.</w:t>
      </w:r>
    </w:p>
    <w:p w14:paraId="02C346F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Северо-Западного фронта немцы предприняли наступление. Под прикрытием артиллерийского огня им удалось просочиться в район нашейобороны. Решительной контратакой наши автоматчики выбили противника из занятых им позиции. Захвачены трофеи и пленные.</w:t>
      </w:r>
    </w:p>
    <w:p w14:paraId="1885735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 июня немецкая авиация пыталась прорваться к одному из наших военных объектов на Ленинградском фронте. С различных сторон тремя эшелонами шли на цель 68 немецких бомбардировщиков и истребителей. На подступах к объекту немецкие самолёты были встречены нашими лётчиками и огнём зенитной артиллерии. В воздушном бою и огнём наших зенитчиков сбито 16 немецких самолётов. Наши потери— один самолёт.</w:t>
      </w:r>
    </w:p>
    <w:p w14:paraId="52A626F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Миномётчики т.т. Коврижных, Генералов и Яшин в течение десяти дней разрушили 7 блиндажей и уничтожили до 300 немецких солдат и офицеров.</w:t>
      </w:r>
    </w:p>
    <w:p w14:paraId="4B31030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Десять наших разведчиков во главе со старшим лейтенантом Минцем ночью пробрались в тыл противника. Разведчики забросали гранатами вражеские блиндажи и уничтожили 17 гитлеровцев. Захватив пленного, бойцы вернулись в свою часть.</w:t>
      </w:r>
    </w:p>
    <w:p w14:paraId="324F149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Партизаны Орловской области не дают покоя фашистским захватчикам. В тылу немецких войск то в одном, то в другом пункте происходят бои, в ходе которых гитлеровцы неизменно несут большие потери. В шестидневных боях в районе Т. партизанами уничтожено 400 оккупантов. Захвачены трофеи. В районе В. Батальон пехоты противника атаковал несколько партизанских отрядов. Партизаны стойко встретили врага и истребили более 200 немецких солдат и офицеров.</w:t>
      </w:r>
    </w:p>
    <w:p w14:paraId="1ED4C86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солдат 168 немецкой пехотной дивизии Вильгельм Н. рассказал: «Когда нас, пожилых людей, посылали на фронт, то нам говорили, что мы будем находиться в тылу, в обозах, в различных вспомогательных командах. Офицеры уверяли, что для боевых действий сформированы дивизии из молодёжи. Но едва мы успели приехать в часть, как нас послали в бой. Старых солдат тоже обманули. Им всю зиму обещали смену, а теперь опять бросили в мясорубку. Они уже потеряли мужество. Я знаю многих, которые хотят сдаться в плен, но боятся офицеров. В Германии всякий связан по рукам и ногам. За каждым человеком следят гестаповцы, эсэсовцы и штурмовики. У нас в ходу такая пословица: «Посмотри в свой собственный карман, и ты там увидишь уши Гиммлера».</w:t>
      </w:r>
    </w:p>
    <w:p w14:paraId="64190D6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зенитчики подбили немецкий самолёт дальней разведки отряда особого назначения. Экипаж машины взят в плен. Лётчик лейтенант Фриц Трайфаль рассказал: «Я служу в авиации 6 лет. В Россию прибыл 13 июня 1942 года из Бельгии. Первый же вылет на Восточном фронте оказался для меня роковым. Как только мы пересекли линию фронта и, снизившись, вышли из облаков, нас обстреляла русская зенитная артиллерия. Два снаряда попали в самолёт, и мы вынуждены были совершить посадку. Я и раньше слышал, что русские зенитчики ведут точный огонь. Теперь я на собственном опыте убедился в этом» (14936).</w:t>
      </w:r>
    </w:p>
    <w:p w14:paraId="3025120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9313A9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lastRenderedPageBreak/>
        <w:t>28 июня</w:t>
      </w:r>
      <w:r w:rsidRPr="008127F8">
        <w:rPr>
          <w:rFonts w:ascii="Times New Roman" w:hAnsi="Times New Roman"/>
          <w:color w:val="000000" w:themeColor="text1"/>
          <w:sz w:val="16"/>
          <w:szCs w:val="16"/>
        </w:rPr>
        <w:t xml:space="preserve"> в 1942 году из района северо-восточнее Курска армейская группа "Вейхс" (2-я, 4-я немецкие танковые и 2-я венгерская армия, 6-я немецкая полевая армия; командующий генерал-фельдмаршал Ф.Бок) перешла в наступление на Воронеж, направлении и прорвала оборону войск Брянского фронта (к исходу дня противник продвинулся на 8 - 15 км на восток и вышел на рубеж Гремячая, река Тим). Началась Воронежско-Ворошиловградская оборонительная операция войск Брянского (3, 48, 13 и 40-я армии, 2-я воздушная армия), Воронежского (с 7 июля 1942), Юго-Западного (до 12 июля 1942; 21, 28, 38, 9 и 57-я армии, 8-я воздушная армия) и Южного (37, 12, 18, 56 и 24-я армии, 4-я воздушная армия) фронтов, продолжавшаяся до 24 июля. В районе Севастополя советские войска отошли к станции Инкерман и Инкерманскому шоссе (14936).</w:t>
      </w:r>
    </w:p>
    <w:p w14:paraId="10A14E2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73F26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июня 1942 г. началось летнее наступление немецко-фашистских войск - мощный удар на Воронеж наносила группа "Вейхс", поддержанная с воздуха основными силами 4-го воздушного флота. Последние нанесли тяжелый урон авиаторам 2-й воздушной армии, стараясь прежде всего подавить истребительную авиацию. Советские бомбардировщики были вынуждены выполнять задания без истребительного прикрытия. У противника на юге истребительная авиация была сильной и многочисленной. Это объясняет, почему в своих мемуарах генерал Ф.П.Полынин, тогда заместитель командующего воздушной армией, пишет о "трагедии с 223-й бомбардировочной дивизией" (командир полковник И.К.Косенко). Например, 24-й Краснознаменный бомбардировочный авиаполк, имевший отлично слетанные, натренированные экипажи, за короткое время потерял и командира Героя Советского Союза Ю.Н.Горбко, и комиссара И.М.Бециса, и многих других. Новыми моментами в тактике действий Пе-2 в этот период можно считать переход к бомбометанию с больших высот, порядка 7000-8000 м. Немецкие истребители боев на этих высотах почти не вели, и потери Пе-2 снизились (3542).</w:t>
      </w:r>
    </w:p>
    <w:p w14:paraId="6CAE0B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0C71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июня 1942 г. гитлеровское командование приступило к осуществлению операции "Блау", первая фаза которой предусматривала захват Воронежа. Наземные войска поддерживали с воздуха основные силы 4-го воздушного флота, имевшего мощную группировку истребителей. Последние нанесли тяжелый урон авиаторам 2-й воздушной армии, причем наиболее сильно пострадали краснозвездные "ястребки". Вскоре в столь же тяжелом положении оказалась авиация 8-й ВА на Юго-Западном фронте. В большинстве вылетов советские бомбардировщики были вынуждены выполнять задания без истребительного прикрытия.</w:t>
      </w:r>
    </w:p>
    <w:p w14:paraId="347550F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rPr>
        <w:t xml:space="preserve">Из-за невероятно сложной обстановки не все подвиги экипажей "пешек" получили достойное освещение в литературе. Одним из таких примеров самопожертвования стал огненный таран вражеских танков 8 июля 1942 г. экипажем 507-го бап. Когда самолет мл. лейтенанта А.О. Оганджаняна был поврежден зенитной артиллерией около города Семилуки, то летчик направил самолет со всем экипажем на танковую колонну врага. Летевший рядом лейтенант Н. Д. Гулаев из 487-го иап ПВО, впоследствии дважды удостоенный "Золотой Звезды" Героя, слышал последние возгласы своих друзей и засвидетельствовал, что Пе-2 управлялся вплоть до взрыва... </w:t>
      </w:r>
      <w:r w:rsidRPr="008127F8">
        <w:rPr>
          <w:rFonts w:ascii="Times New Roman" w:hAnsi="Times New Roman"/>
          <w:color w:val="000000" w:themeColor="text1"/>
          <w:sz w:val="16"/>
          <w:szCs w:val="16"/>
          <w:lang w:val="en-US"/>
        </w:rPr>
        <w:t>(12042).</w:t>
      </w:r>
    </w:p>
    <w:p w14:paraId="13B092D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7FEEE6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 28th, 1942: Beginning of the first stage of Fall Blau (Operation Blue), the new German summer offensive on the southern front in Russia. From the area of Kursk, the German 2. Armee and 4. Panzerarmee, with 50 divisions, advance toward Voronesh on the upper Don (3819).</w:t>
      </w:r>
    </w:p>
    <w:p w14:paraId="0A0D595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D280E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июня 1942 началась первая фаза Голубой операции. Нового немецкого летнего наступления на ЮФ. Из района Курска 2А и 4ТА (50 дивизий) двинулись на Воронеж (3819).</w:t>
      </w:r>
    </w:p>
    <w:p w14:paraId="44CDC0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6912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C 28 июня по 24 июля 1942 состоялась Воронежско-Ворошиловградская операция - оборона Брянского, Воронежского, Юго-западного и Южного фронтов. Не успели укрепится и немцы прорвались на 150-400 км (2438,150).</w:t>
      </w:r>
    </w:p>
    <w:p w14:paraId="6DFE007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63AC1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28 июня по 24 июля 1942 была Воронежско-Ворошиловградская оборонительная операция КА (3186).</w:t>
      </w:r>
    </w:p>
    <w:p w14:paraId="3ECED63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FDA5B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июня 1942 года 17-й танковый корпус перебрасывается в район Касторной для нанесения контрудара по прорвавшейся немецкой группировке. 30 июня 31-я мотострелковая бригада была атакована частями дивизии «Великая Германия». В результате боя мотострелки совместно с подошедшей 102-й танковой бригадой 4-го танкового корпуса подбили и уничтожили 17 вражеских танков. 67-я танковая бригада 17-го корпуса, перебрасываемая на помощь 31-й мотострелковой и двигавшаяся без разведки, неожиданно столкнулась с немецкими танками. В результате часового боя 67-я бригада потеряла 20 боевых машин подбитыми и сгоревшими и отошла.</w:t>
      </w:r>
    </w:p>
    <w:p w14:paraId="60CC641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17-й танковый корпус (66, 67, 174-я танковые, 31-я мотострелковая бригады) был сформирован в Сталинграде в июне 1942 года, после чего убыл на Брянский фронт и 24 июня разгрузился в Воронеже. Сюда же из Москвы прибыло командование корпуса и работники штаба.</w:t>
      </w:r>
    </w:p>
    <w:p w14:paraId="1C284F5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следующий день перешла в атаку 174-я танковая бригада, но не поддержанная 66-й танковой бригадой, как это предусматривалось планом, вынуждена была вести бой с превосходящими силами противника. В результате этого, а также четырех крупных авианалетов на боевые порядки 174-й танковой бригады, она потеряла 23 танка Т-34 и вынуждена была отойти. После отхода 174-й танковой бригады немцы, подтянув силы, атаковали деревню Кулевка. где находилась 66-я танковая бригада. В результате 11-часового боя эта бригада была окружена и отошла.</w:t>
      </w:r>
    </w:p>
    <w:p w14:paraId="5178DB6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занятием немцами Кулевки 17-й танковый корпус оказался разрезанным на две части: правую (66-я танковая бригада и две отдельных танковых бригады 40-й армии - 115 и 116-я) и левую (остатки 31-й мотострелковой, 67, 147-я танковые бригады и 102-я танковая бригада 4-го танкового корпуса). Связь штаба корпуса с левой группой была потеряна. Создалась реальная угроза прорыва немецких частей к Воронеж) через Нижнедевицк.</w:t>
      </w:r>
    </w:p>
    <w:p w14:paraId="2484EE1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Утром 2 июля немцы атаковали Горшечное. где оборонялись части левой группы и окружили их. Однако вечером бригады сумели вырваться из кольца, понеся большие потери. Утром следующего дня немецкие танки заняли Нижнедевицк. Остатки 66-й танковой бригады, не имея артилерийской и авиационной поддержки не смогли задержать противника. Примерно в 20.00 немцы неожиданной атакой смяли части корпуса (к этому времени в корпусе имелось всего 38 боеспособных танков-10 КВ-1, 11 Т-34и 17 Т-60). и вышли к переправе через Дон у Верхне-Турово. Здесь их на три часа сумели задержать батарея противотанковых орудий 31-й мотострелковой бригады и взвод танков Т-34. Весь следующий день остатки корпуса сдерживали наступавшие немецкие части, а ночью по приказу командования переправились на другой берег Дона.</w:t>
      </w:r>
    </w:p>
    <w:p w14:paraId="1AAF61C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за четыре дня боев потери 17-го танкового корпуса составили 1664 человека убитыми, ранеными и пропавшими без вести, 132 танка из них 62 Т-34), 23 орудия, 22 миномета и 14 пулеметов.</w:t>
      </w:r>
    </w:p>
    <w:p w14:paraId="5547765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Корпус действовал на фронте 40 километров, сдерживая 2 танковые и 1 моторизованную дивизии немцев. Авиационной, артиллерийской и пехотной поддержки корпус не имел, радиостанции отсутство- вали.Кроме ружейно-пулеметного огня корпус ничего не мог противопоставить немецкой авиации, так как зенитный дивизион не был получен. Отсутствовал и разведывательный батальон, в результате чего разведка велась очень слабо.</w:t>
      </w:r>
    </w:p>
    <w:p w14:paraId="3194FB3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последующие дни, получив на пополнение 44 танка Т-34, 17-й танковый корпус вел бои на подступах к Воронежу и в самом городе (12217).</w:t>
      </w:r>
    </w:p>
    <w:p w14:paraId="3B77667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EA2E77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июня 1942 года в 10 часов немецкие части перешли в наступление. Главный удар „наносили войска 4-й танковой армии, действовавшие южнее железной дороги Курск-Воронеж в направлении реки Дон. Южнее 4-й танковой армии, в направлении на Старый Оскол, наступали войска 2-й венгерской армии и 55-й армейский корпус немцев.</w:t>
      </w:r>
    </w:p>
    <w:p w14:paraId="7A97240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ликвидации немецкого прорыва командующий Брянским фронтом выдвинул из своего резерва 16-й танковый корпус, а для усиления 40-й армии 115-ю и 116-ю танковые бригады. Вечером 28 июня решением Ставки для усиления Брянского фронта в район Старого Оскола выдвигались из состава Юго-Западного фронта 4 и 24-й танковые корпуса, а из Воронежа в район Кастор- ной - 17-й танковый корпус.</w:t>
      </w:r>
    </w:p>
    <w:p w14:paraId="134D682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разгрома прорвавшегося противника с севера, из района Ливны, должны были нанести удар 1 и 16-й танковые корпуса, а навстречу им, из района Горшечное - 4, 24-й и 17-й танковые корпуса. Теперь у Брянского фронта было достаточно сил для разгрома прорвавшейся немецкой группировки и восстановления положения. Три танковых корпуса, наступавших из района Горшечное, объединялись в оперативную группу под командованием генерал-лейтенанта танковых войск ЯН. Федо- ренко - начальника Главного автобронетанкового управления Красной Армии, специально прибывшего на фронт для оказания помощи в организации действий танковых соединений (12217).</w:t>
      </w:r>
    </w:p>
    <w:p w14:paraId="1BA04FC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021F3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июня 1942 немцы начали летнее наступление на юге из района восточнее Курска - на Кавказ. Пытались остановить штурмовиками (340,88).</w:t>
      </w:r>
    </w:p>
    <w:p w14:paraId="61788D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DD46B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июня 1942 немецкие войска начали наступление на Волгу и на Кавказ (4962).</w:t>
      </w:r>
    </w:p>
    <w:p w14:paraId="0BEE479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3D9B1D"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июня 1942 года бронепоезд "Южноуральский железнодорожник" под командованием капитана И.Е. Орлова прикрывал тыловые объекты 40-й армии и 121 -и стрелковой дивизии на участке Щигры - Мармыжи. В течение 14 часов бронепоезд вел бой с немецкой авиацией, отразив более десяти воздушных атак. Своим огнем "Южноуральский железнодорожник" сбил пять вражеских самолетов. Правда, к исходу дня, когда бронепоезд израсходовал почти все боеприпасы, авиации противника удалось разбомбить железнодорожное полотно у станции Мармыжи. Ввиду невозможности отхода матчасть была взорвана, а команда бронепоезда отошла в пешем порядке (9642).</w:t>
      </w:r>
    </w:p>
    <w:p w14:paraId="09747BE8"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p>
    <w:p w14:paraId="54C23AF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июня в ночь на 29 июня 1942 несколько «Хейнкелей» из I./KG4 совершили налет на Тамбов. На этом серия беспокоящих налетов на тыловые города, предваряющая операцию «Блау», целью которой был захват Кавказа и выход к Волге, закончилась. Начальник штаба авиационного командования «Ост» Герман Плохер вспоминал:  «Эти налеты, хотя и носили стратегический характер, вызвали лишь небольшие, временные перебои в работе советской военной промышленности и в действительности были булавочными уколами, не оказавшими никакого стратегического влияния на ход войны».  На самом деле беспокоящие налеты небольшими силами хотя и не приводили к большим разрушениям и дезорганизации работы промышленности, тем не менее играли важную роль, поскольку заставляли советское командование постоянно усиливать ПВО тыловых объектов. На это уходили офицерские кадры, люди, различная техника, которые тем самым невозможно было использовать на фронте. Кроме того, даже  «булавочные уколы» сильно воздействовали на моральный дух склонного к панике мирного населения, отвлекали значительные материальные и людские ресурсы на обеспечение маскировки, строительство укрытий и выполнение других мероприятий по местной противовоздушной обороне (11774).</w:t>
      </w:r>
    </w:p>
    <w:p w14:paraId="3A5DCF3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E3E3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30A224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5126B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июня 1942 вышло Постановление ГКО № 1938 О военной цензуре. (7039, 85).</w:t>
      </w:r>
    </w:p>
    <w:p w14:paraId="5F46DF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Для предотвращения проникновения через почтово-телеграфную корреспонденцию антисоветских, провокационно-клеветнических и иных сведений, направленных против государственных интересов Советского Союза, Государственный Комитет Обороны постановляет: </w:t>
      </w:r>
    </w:p>
    <w:p w14:paraId="3CF31A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 Распространить постановление о введении военной цензуры на всю почтово-телеграфную корреспонденцию на все области, края, республики Союза ССР. </w:t>
      </w:r>
    </w:p>
    <w:p w14:paraId="555B9A8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Разрешить НКВД СССР дополнительно увеличить штат военной цензуры на 3800 политконтролеров (11652).</w:t>
      </w:r>
    </w:p>
    <w:p w14:paraId="364531D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9619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7467361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91F70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28 июня</w:t>
      </w:r>
      <w:r w:rsidRPr="008127F8">
        <w:rPr>
          <w:rFonts w:ascii="Times New Roman" w:hAnsi="Times New Roman"/>
          <w:color w:val="000000" w:themeColor="text1"/>
          <w:sz w:val="16"/>
          <w:szCs w:val="16"/>
        </w:rPr>
        <w:t xml:space="preserve"> в 1942 году был выпущен заводом в Далласе и выполнил свой первый полет первый серийный </w:t>
      </w:r>
      <w:hyperlink r:id="rId93" w:tgtFrame="_blank" w:history="1">
        <w:r w:rsidRPr="008127F8">
          <w:rPr>
            <w:rFonts w:ascii="Times New Roman" w:hAnsi="Times New Roman"/>
            <w:color w:val="000000" w:themeColor="text1"/>
            <w:sz w:val="16"/>
            <w:szCs w:val="16"/>
          </w:rPr>
          <w:t xml:space="preserve">«F4U-1» </w:t>
        </w:r>
      </w:hyperlink>
      <w:r w:rsidRPr="008127F8">
        <w:rPr>
          <w:rFonts w:ascii="Times New Roman" w:hAnsi="Times New Roman"/>
          <w:color w:val="000000" w:themeColor="text1"/>
          <w:sz w:val="16"/>
          <w:szCs w:val="16"/>
        </w:rPr>
        <w:t>(заводской номер 02153) с двигателем R-2800-8 мощностью 1970 л.с. Во время испытательных полетов была достигнута скорость 638 км/ч на высоте 7540 метров и скороподъемность 15,23 м/сек. Масса пустого составляла 4028 кг, а взлетный вес самолета 5388 кг. Официальная передача самолета американскому флоту состоялась 31 июля 1942 г., после чего самолет был направлен на авианосец "Сангамон" ("Sangamon") в залив Чесапик (14936).</w:t>
      </w:r>
    </w:p>
    <w:p w14:paraId="18BF95A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8DCD8A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июня 1942 года 214-й эскадрилья которая с началом войны прибыла в Англию из Малайи и в кратчайшие сроки освоила скоростные «веллингтоны», а затем и гораздо более сложные «стирлинги», в боевом вылете в ночь была атакована большой группой немецких истребителей. Основной удар пришелся по машине сержанта Григгса. Его стрелки сбили три истребителя, но те вывели из строя два мотора, а левая консоль стабилизатора была начисто срублена пушечной очередью. Григгс довел израненный бомбардировщик до родной базы Страдисхолл и ночью совершил посадку на фюзеляж. Самолет был разбит, но никто на борту не погиб (22823).</w:t>
      </w:r>
    </w:p>
    <w:p w14:paraId="1B71106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B8E478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июня 1942 английские войска были выведены из района Эль Аламейна (2261).</w:t>
      </w:r>
    </w:p>
    <w:p w14:paraId="7C5B14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3357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45B962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04798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29 июня по 15 июля 1942 г. прошли испытания эффективности действия Ил-2 и ЛаГГ-3 против бро</w:t>
      </w:r>
      <w:r w:rsidRPr="008127F8">
        <w:rPr>
          <w:rFonts w:ascii="Times New Roman" w:hAnsi="Times New Roman"/>
          <w:color w:val="000000" w:themeColor="text1"/>
          <w:sz w:val="16"/>
          <w:szCs w:val="16"/>
        </w:rPr>
        <w:softHyphen/>
        <w:t>нетехники. В том числе в них были задействованы один ЛаГГ-3 с пушкой 11П и два — с Ш-37. Летчики Н.И. Звонарев и В.М. Кравченко совер</w:t>
      </w:r>
      <w:r w:rsidRPr="008127F8">
        <w:rPr>
          <w:rFonts w:ascii="Times New Roman" w:hAnsi="Times New Roman"/>
          <w:color w:val="000000" w:themeColor="text1"/>
          <w:sz w:val="16"/>
          <w:szCs w:val="16"/>
        </w:rPr>
        <w:softHyphen/>
        <w:t>шили на них 19 вылетов, произвели 288 выстрелов по различ</w:t>
      </w:r>
      <w:r w:rsidRPr="008127F8">
        <w:rPr>
          <w:rFonts w:ascii="Times New Roman" w:hAnsi="Times New Roman"/>
          <w:color w:val="000000" w:themeColor="text1"/>
          <w:sz w:val="16"/>
          <w:szCs w:val="16"/>
        </w:rPr>
        <w:softHyphen/>
        <w:t>ным образцам трофейной бронетехники, добившись 31 попа</w:t>
      </w:r>
      <w:r w:rsidRPr="008127F8">
        <w:rPr>
          <w:rFonts w:ascii="Times New Roman" w:hAnsi="Times New Roman"/>
          <w:color w:val="000000" w:themeColor="text1"/>
          <w:sz w:val="16"/>
          <w:szCs w:val="16"/>
        </w:rPr>
        <w:softHyphen/>
        <w:t>дания в легкий и средний танки. При этом отмечены всего 5 сквозных пробоин в 10-мм броне и одна — в 16-мм. У небро</w:t>
      </w:r>
      <w:r w:rsidRPr="008127F8">
        <w:rPr>
          <w:rFonts w:ascii="Times New Roman" w:hAnsi="Times New Roman"/>
          <w:color w:val="000000" w:themeColor="text1"/>
          <w:sz w:val="16"/>
          <w:szCs w:val="16"/>
        </w:rPr>
        <w:softHyphen/>
        <w:t>нированных и вооруженных меньшим количеством стволов «ЛаГГов» даже нашлось одно преимущество перед «Илом»: огонь из пушки, расположенной по продольной оси самолета, оказался более точным, чем из двух крыльевых орудий.</w:t>
      </w:r>
    </w:p>
    <w:p w14:paraId="6AB61BC2" w14:textId="77777777" w:rsidR="007C5583" w:rsidRPr="008127F8" w:rsidRDefault="007C5583" w:rsidP="007C5583">
      <w:pPr>
        <w:pStyle w:val="34"/>
        <w:shd w:val="clear" w:color="auto" w:fill="auto"/>
        <w:spacing w:line="240" w:lineRule="auto"/>
        <w:jc w:val="both"/>
        <w:rPr>
          <w:rFonts w:ascii="Times New Roman" w:cs="Times New Roman"/>
          <w:color w:val="000000" w:themeColor="text1"/>
          <w:spacing w:val="0"/>
          <w:sz w:val="16"/>
          <w:szCs w:val="16"/>
        </w:rPr>
      </w:pPr>
      <w:r w:rsidRPr="005538C6">
        <w:rPr>
          <w:rStyle w:val="3fb"/>
          <w:rFonts w:ascii="Times New Roman" w:hAnsi="Times New Roman" w:cs="Times New Roman"/>
          <w:i w:val="0"/>
          <w:iCs w:val="0"/>
          <w:color w:val="000000" w:themeColor="text1"/>
          <w:spacing w:val="0"/>
          <w:sz w:val="16"/>
          <w:szCs w:val="16"/>
        </w:rPr>
        <w:t>В целом испытания показали недостаточную эффектив</w:t>
      </w:r>
      <w:r w:rsidRPr="005538C6">
        <w:rPr>
          <w:rStyle w:val="3fb"/>
          <w:rFonts w:ascii="Times New Roman" w:hAnsi="Times New Roman" w:cs="Times New Roman"/>
          <w:i w:val="0"/>
          <w:iCs w:val="0"/>
          <w:color w:val="000000" w:themeColor="text1"/>
          <w:spacing w:val="0"/>
          <w:sz w:val="16"/>
          <w:szCs w:val="16"/>
        </w:rPr>
        <w:softHyphen/>
        <w:t>ность тяжелопушечных ЛаГГ-3 против бронецелей. Несмотря на этот результат, в Акте от 24 июля 1942 г., составленном сотруд</w:t>
      </w:r>
      <w:r w:rsidRPr="005538C6">
        <w:rPr>
          <w:rStyle w:val="3fb"/>
          <w:rFonts w:ascii="Times New Roman" w:hAnsi="Times New Roman" w:cs="Times New Roman"/>
          <w:i w:val="0"/>
          <w:iCs w:val="0"/>
          <w:color w:val="000000" w:themeColor="text1"/>
          <w:spacing w:val="0"/>
          <w:sz w:val="16"/>
          <w:szCs w:val="16"/>
        </w:rPr>
        <w:softHyphen/>
        <w:t>никами полигона, говорилось:</w:t>
      </w:r>
      <w:r w:rsidRPr="008127F8">
        <w:rPr>
          <w:rFonts w:ascii="Times New Roman" w:cs="Times New Roman"/>
          <w:color w:val="000000" w:themeColor="text1"/>
          <w:spacing w:val="0"/>
          <w:sz w:val="16"/>
          <w:szCs w:val="16"/>
        </w:rPr>
        <w:t xml:space="preserve"> «Наиболее эффективным сред</w:t>
      </w:r>
      <w:r w:rsidRPr="008127F8">
        <w:rPr>
          <w:rFonts w:ascii="Times New Roman" w:cs="Times New Roman"/>
          <w:color w:val="000000" w:themeColor="text1"/>
          <w:spacing w:val="0"/>
          <w:sz w:val="16"/>
          <w:szCs w:val="16"/>
        </w:rPr>
        <w:softHyphen/>
        <w:t>ством борьбы с немецкими танками, имеющими броню до 40 мм, оказались авиапушки 37 мм. В этой связи необходимо создать специальные противотанковые части, вооруженные истребителямиЛаГГ-3и Яке 37-мм авиапушками и усиленным бронированием. Летный состав этих частей должен пройти специальную подготовку» (19106).</w:t>
      </w:r>
    </w:p>
    <w:p w14:paraId="6753CFD8" w14:textId="77777777" w:rsidR="007C5583" w:rsidRPr="008127F8" w:rsidRDefault="007C5583" w:rsidP="007C5583">
      <w:pPr>
        <w:pStyle w:val="34"/>
        <w:shd w:val="clear" w:color="auto" w:fill="auto"/>
        <w:spacing w:line="240" w:lineRule="auto"/>
        <w:jc w:val="both"/>
        <w:rPr>
          <w:rFonts w:ascii="Times New Roman" w:cs="Times New Roman"/>
          <w:color w:val="000000" w:themeColor="text1"/>
          <w:spacing w:val="0"/>
          <w:sz w:val="16"/>
          <w:szCs w:val="16"/>
        </w:rPr>
      </w:pPr>
    </w:p>
    <w:p w14:paraId="6BC89EE5"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29 июня по 30 июля 1942 г. построили Як-7ДИ Дублер (в не</w:t>
      </w:r>
      <w:r w:rsidRPr="008A2E5A">
        <w:rPr>
          <w:rFonts w:ascii="Times New Roman" w:hAnsi="Times New Roman"/>
          <w:color w:val="0070C0"/>
          <w:sz w:val="16"/>
          <w:szCs w:val="16"/>
        </w:rPr>
        <w:softHyphen/>
        <w:t>которых документах также встречается обозначение Як- 7ДИ опытный №2), который должен был стать эталоном серии. В дублере конструкторы постарались приме</w:t>
      </w:r>
      <w:r w:rsidRPr="008A2E5A">
        <w:rPr>
          <w:rFonts w:ascii="Times New Roman" w:hAnsi="Times New Roman"/>
          <w:color w:val="0070C0"/>
          <w:sz w:val="16"/>
          <w:szCs w:val="16"/>
        </w:rPr>
        <w:softHyphen/>
        <w:t>нить все технические решения и улучшения, рекомендо</w:t>
      </w:r>
      <w:r w:rsidRPr="008A2E5A">
        <w:rPr>
          <w:rFonts w:ascii="Times New Roman" w:hAnsi="Times New Roman"/>
          <w:color w:val="0070C0"/>
          <w:sz w:val="16"/>
          <w:szCs w:val="16"/>
        </w:rPr>
        <w:softHyphen/>
        <w:t>ванные специалистами ЦАГИ и ЛИИ НКАП. Для ускорения постройки, как и для первого экземпляра, использовали серийный фюзеляж Як-7Б №2315391, к которому присты</w:t>
      </w:r>
      <w:r w:rsidRPr="008A2E5A">
        <w:rPr>
          <w:rFonts w:ascii="Times New Roman" w:hAnsi="Times New Roman"/>
          <w:color w:val="0070C0"/>
          <w:sz w:val="16"/>
          <w:szCs w:val="16"/>
        </w:rPr>
        <w:softHyphen/>
        <w:t>ковали опытное крыло «Д». В отличие от первого прото</w:t>
      </w:r>
      <w:r w:rsidRPr="008A2E5A">
        <w:rPr>
          <w:rFonts w:ascii="Times New Roman" w:hAnsi="Times New Roman"/>
          <w:color w:val="0070C0"/>
          <w:sz w:val="16"/>
          <w:szCs w:val="16"/>
        </w:rPr>
        <w:softHyphen/>
        <w:t>типа Як-7ДИ Дублер получил новый каплевидный фонарь, сконструированный для Як-7 М-82 и уже отработанный на Як-1 №3560. Полетный вес Дублера составил 3027 кг.</w:t>
      </w:r>
    </w:p>
    <w:p w14:paraId="0A849D66"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то что Дублер полностью завершил цикл наземных испытаний к 4 августа 1942 г., в воздух его не поднимали по прямому указанию главного конструкто</w:t>
      </w:r>
      <w:r w:rsidRPr="008A2E5A">
        <w:rPr>
          <w:rFonts w:ascii="Times New Roman" w:hAnsi="Times New Roman"/>
          <w:color w:val="0070C0"/>
          <w:sz w:val="16"/>
          <w:szCs w:val="16"/>
        </w:rPr>
        <w:softHyphen/>
        <w:t>ра. Задержка, вероятно, была связана с проводимыми ОКБ срочными работами по восстановлению максималь</w:t>
      </w:r>
      <w:r w:rsidRPr="008A2E5A">
        <w:rPr>
          <w:rFonts w:ascii="Times New Roman" w:hAnsi="Times New Roman"/>
          <w:color w:val="0070C0"/>
          <w:sz w:val="16"/>
          <w:szCs w:val="16"/>
        </w:rPr>
        <w:softHyphen/>
        <w:t>ных скоростей серийных самолетов Як-7Б. Первый полет состоялся только 4 сентября. Основной задачей испыта</w:t>
      </w:r>
      <w:r w:rsidRPr="008A2E5A">
        <w:rPr>
          <w:rFonts w:ascii="Times New Roman" w:hAnsi="Times New Roman"/>
          <w:color w:val="0070C0"/>
          <w:sz w:val="16"/>
          <w:szCs w:val="16"/>
        </w:rPr>
        <w:softHyphen/>
        <w:t>ний Дублера была проверка летных характеристик в свя</w:t>
      </w:r>
      <w:r w:rsidRPr="008A2E5A">
        <w:rPr>
          <w:rFonts w:ascii="Times New Roman" w:hAnsi="Times New Roman"/>
          <w:color w:val="0070C0"/>
          <w:sz w:val="16"/>
          <w:szCs w:val="16"/>
        </w:rPr>
        <w:softHyphen/>
        <w:t>зи с произведенными конструкционными изменениями и улучшением аэродинамических свойств, прочностные испытания элементов конструкции, а также устранение эксплуатационных недостатков. За сентябрь в 13 полетах машина выполнила 1032 фигуры пилотажа и 501 взлет и посадку с налетом 27 часов 10 минут.</w:t>
      </w:r>
    </w:p>
    <w:p w14:paraId="1C96FC3E"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Заводские испытания машины провели в периоде 1 по 23 октября 1942 г. При этом на Дублере, в рамках испыта</w:t>
      </w:r>
      <w:r w:rsidRPr="008A2E5A">
        <w:rPr>
          <w:rFonts w:ascii="Times New Roman" w:hAnsi="Times New Roman"/>
          <w:color w:val="0070C0"/>
          <w:sz w:val="16"/>
          <w:szCs w:val="16"/>
        </w:rPr>
        <w:softHyphen/>
        <w:t>ний по восстановлению максимальных скоростей, заме</w:t>
      </w:r>
      <w:r w:rsidRPr="008A2E5A">
        <w:rPr>
          <w:rFonts w:ascii="Times New Roman" w:hAnsi="Times New Roman"/>
          <w:color w:val="0070C0"/>
          <w:sz w:val="16"/>
          <w:szCs w:val="16"/>
        </w:rPr>
        <w:softHyphen/>
        <w:t>нили двухсторонний всасывающий патрубок нагнетате</w:t>
      </w:r>
      <w:r w:rsidRPr="008A2E5A">
        <w:rPr>
          <w:rFonts w:ascii="Times New Roman" w:hAnsi="Times New Roman"/>
          <w:color w:val="0070C0"/>
          <w:sz w:val="16"/>
          <w:szCs w:val="16"/>
        </w:rPr>
        <w:softHyphen/>
        <w:t>ля односторонним, а после проведения этих испытаний на самолетах Як-7Б также провели контрольные полеты с разными вариантами водо- и маслогондол. При полет</w:t>
      </w:r>
      <w:r w:rsidRPr="008A2E5A">
        <w:rPr>
          <w:rFonts w:ascii="Times New Roman" w:hAnsi="Times New Roman"/>
          <w:color w:val="0070C0"/>
          <w:sz w:val="16"/>
          <w:szCs w:val="16"/>
        </w:rPr>
        <w:softHyphen/>
        <w:t>ном весе 2825 кг (на машине оставили только корневые бензобаки общей вместимостью 300 кг горючего) макси</w:t>
      </w:r>
      <w:r w:rsidRPr="008A2E5A">
        <w:rPr>
          <w:rFonts w:ascii="Times New Roman" w:hAnsi="Times New Roman"/>
          <w:color w:val="0070C0"/>
          <w:sz w:val="16"/>
          <w:szCs w:val="16"/>
        </w:rPr>
        <w:softHyphen/>
        <w:t>мальная скорость на высоте 3400 м составила 594 км/ч. На государственные испытания машина не предъявля</w:t>
      </w:r>
      <w:r w:rsidRPr="008A2E5A">
        <w:rPr>
          <w:rFonts w:ascii="Times New Roman" w:hAnsi="Times New Roman"/>
          <w:color w:val="0070C0"/>
          <w:sz w:val="16"/>
          <w:szCs w:val="16"/>
        </w:rPr>
        <w:softHyphen/>
        <w:t>лась, так как с односторонним всасывающим патрубком нагнетателя границы высотности оказались ниже, чем у серийной машины Як-9 №0107 с двухсторонним патруб</w:t>
      </w:r>
      <w:r w:rsidRPr="008A2E5A">
        <w:rPr>
          <w:rFonts w:ascii="Times New Roman" w:hAnsi="Times New Roman"/>
          <w:color w:val="0070C0"/>
          <w:sz w:val="16"/>
          <w:szCs w:val="16"/>
        </w:rPr>
        <w:softHyphen/>
        <w:t>ком. В декабре на Дублере для отработки ВМГ установи</w:t>
      </w:r>
      <w:r w:rsidRPr="008A2E5A">
        <w:rPr>
          <w:rFonts w:ascii="Times New Roman" w:hAnsi="Times New Roman"/>
          <w:color w:val="0070C0"/>
          <w:sz w:val="16"/>
          <w:szCs w:val="16"/>
        </w:rPr>
        <w:softHyphen/>
        <w:t>ли мотор М-106 (23381).</w:t>
      </w:r>
    </w:p>
    <w:p w14:paraId="6757941D" w14:textId="77777777" w:rsidR="005538C6" w:rsidRPr="008A2E5A" w:rsidRDefault="005538C6" w:rsidP="005538C6">
      <w:pPr>
        <w:spacing w:after="0" w:line="240" w:lineRule="auto"/>
        <w:jc w:val="both"/>
        <w:rPr>
          <w:rFonts w:ascii="Times New Roman" w:hAnsi="Times New Roman"/>
          <w:color w:val="0070C0"/>
          <w:sz w:val="16"/>
          <w:szCs w:val="16"/>
        </w:rPr>
      </w:pPr>
    </w:p>
    <w:p w14:paraId="155980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25A9C2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9803B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июня 1942 Пред. бюро по рационализации и изобретательству, Нач. ОБП п Камионский писал письмо N 0797 НКАП и Нач. отдела изобретений НКО ви 1 р. Глухову:</w:t>
      </w:r>
    </w:p>
    <w:p w14:paraId="6ED455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"Направляю материал и заключение комиссии по проекту сухопутной торпеды." (1633,113).</w:t>
      </w:r>
    </w:p>
    <w:p w14:paraId="62F1776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 наш Элефант</w:t>
      </w:r>
    </w:p>
    <w:p w14:paraId="647FAD6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2CE8B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июня 1942 вышло Постановление ГКО № 1941 Об общем плане погрузки народнохозяйственных и воинских грузов на июль 1942 г. (7039, 88).</w:t>
      </w:r>
    </w:p>
    <w:p w14:paraId="02E99911"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238529"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29/30 июля 1942 г.</w:t>
      </w:r>
    </w:p>
    <w:p w14:paraId="59B869BC"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Исх. № 712981с от 29/30.07.1942</w:t>
      </w:r>
    </w:p>
    <w:p w14:paraId="12BD2419"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Автотракторное управление ГАБТУ Красной Армии Начальнику управления АБТВ Закавказского фронта.</w:t>
      </w:r>
    </w:p>
    <w:p w14:paraId="7D1E7B8A"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Направляю «Положение о приеме, перегоне и отправке им</w:t>
      </w:r>
      <w:r w:rsidRPr="008A2E5A">
        <w:rPr>
          <w:rFonts w:ascii="Times New Roman" w:hAnsi="Times New Roman"/>
          <w:color w:val="0070C0"/>
          <w:sz w:val="16"/>
          <w:szCs w:val="16"/>
        </w:rPr>
        <w:softHyphen/>
        <w:t>портных автомашин в Иране». Передать в отдел военной приемки в Иране, 6 ОАП, 18 УАП.</w:t>
      </w:r>
    </w:p>
    <w:p w14:paraId="157660A3"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5 отдела АТУ</w:t>
      </w:r>
    </w:p>
    <w:p w14:paraId="7965F84C"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инженер-подполковник Лебедев.</w:t>
      </w:r>
    </w:p>
    <w:p w14:paraId="57F36675"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«Утверждаю»</w:t>
      </w:r>
    </w:p>
    <w:p w14:paraId="2FAE713E"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Заместитель начальника ГАБТУ КА</w:t>
      </w:r>
    </w:p>
    <w:p w14:paraId="523B3017"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Генерал-майорЛебедев</w:t>
      </w:r>
    </w:p>
    <w:p w14:paraId="43B0B0A8"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25.07.1942 г.</w:t>
      </w:r>
    </w:p>
    <w:p w14:paraId="6C75EFC0"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Положение о приемке, перегоне и отправке импортных ав</w:t>
      </w:r>
      <w:r w:rsidRPr="008A2E5A">
        <w:rPr>
          <w:rFonts w:ascii="Times New Roman" w:hAnsi="Times New Roman"/>
          <w:color w:val="0070C0"/>
          <w:sz w:val="16"/>
          <w:szCs w:val="16"/>
        </w:rPr>
        <w:softHyphen/>
        <w:t>томашин в Иране.</w:t>
      </w:r>
    </w:p>
    <w:p w14:paraId="037B86F9"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Приемка импортных автомашин на сборочных заводах, пе</w:t>
      </w:r>
      <w:r w:rsidRPr="008A2E5A">
        <w:rPr>
          <w:rFonts w:ascii="Times New Roman" w:hAnsi="Times New Roman"/>
          <w:color w:val="0070C0"/>
          <w:sz w:val="16"/>
          <w:szCs w:val="16"/>
        </w:rPr>
        <w:softHyphen/>
        <w:t>регонка их по трассе Андимешк—Джульфа с последующей железнодорожной транспортировкой в СССР производится отделом военной приемки импортных автомашин и отдель</w:t>
      </w:r>
      <w:r w:rsidRPr="008A2E5A">
        <w:rPr>
          <w:rFonts w:ascii="Times New Roman" w:hAnsi="Times New Roman"/>
          <w:color w:val="0070C0"/>
          <w:sz w:val="16"/>
          <w:szCs w:val="16"/>
        </w:rPr>
        <w:softHyphen/>
        <w:t>ным автополком с разделением обязанностей между ними следующим образом:</w:t>
      </w:r>
    </w:p>
    <w:p w14:paraId="34F5B96D"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Отдел военной приемки иностранных машин:</w:t>
      </w:r>
    </w:p>
    <w:p w14:paraId="51D76290" w14:textId="77777777" w:rsidR="005538C6" w:rsidRPr="008A2E5A" w:rsidRDefault="005538C6" w:rsidP="005538C6">
      <w:pPr>
        <w:spacing w:after="0" w:line="240" w:lineRule="auto"/>
        <w:jc w:val="both"/>
        <w:rPr>
          <w:rFonts w:ascii="Times New Roman" w:hAnsi="Times New Roman"/>
          <w:color w:val="0070C0"/>
          <w:sz w:val="16"/>
          <w:szCs w:val="16"/>
        </w:rPr>
      </w:pPr>
      <w:bookmarkStart w:id="16" w:name="bookmark1106"/>
      <w:bookmarkEnd w:id="16"/>
      <w:r w:rsidRPr="008A2E5A">
        <w:rPr>
          <w:rFonts w:ascii="Times New Roman" w:hAnsi="Times New Roman"/>
          <w:color w:val="0070C0"/>
          <w:sz w:val="16"/>
          <w:szCs w:val="16"/>
        </w:rPr>
        <w:lastRenderedPageBreak/>
        <w:t>Подчинен начальнику Автотракторного управления ГА- БТУ Красной Армии.</w:t>
      </w:r>
    </w:p>
    <w:p w14:paraId="4EED1198" w14:textId="77777777" w:rsidR="005538C6" w:rsidRPr="008A2E5A" w:rsidRDefault="005538C6" w:rsidP="005538C6">
      <w:pPr>
        <w:spacing w:after="0" w:line="240" w:lineRule="auto"/>
        <w:jc w:val="both"/>
        <w:rPr>
          <w:rFonts w:ascii="Times New Roman" w:hAnsi="Times New Roman"/>
          <w:color w:val="0070C0"/>
          <w:sz w:val="16"/>
          <w:szCs w:val="16"/>
        </w:rPr>
      </w:pPr>
      <w:bookmarkStart w:id="17" w:name="bookmark1107"/>
      <w:bookmarkEnd w:id="17"/>
      <w:r w:rsidRPr="008A2E5A">
        <w:rPr>
          <w:rFonts w:ascii="Times New Roman" w:hAnsi="Times New Roman"/>
          <w:color w:val="0070C0"/>
          <w:sz w:val="16"/>
          <w:szCs w:val="16"/>
        </w:rPr>
        <w:t>Отвечает за качество всех принимаемых в Иране им</w:t>
      </w:r>
      <w:r w:rsidRPr="008A2E5A">
        <w:rPr>
          <w:rFonts w:ascii="Times New Roman" w:hAnsi="Times New Roman"/>
          <w:color w:val="0070C0"/>
          <w:sz w:val="16"/>
          <w:szCs w:val="16"/>
        </w:rPr>
        <w:softHyphen/>
        <w:t>портных автомашин:</w:t>
      </w:r>
    </w:p>
    <w:p w14:paraId="77C8C18B" w14:textId="77777777" w:rsidR="005538C6" w:rsidRPr="008A2E5A" w:rsidRDefault="005538C6" w:rsidP="005538C6">
      <w:pPr>
        <w:spacing w:after="0" w:line="240" w:lineRule="auto"/>
        <w:jc w:val="both"/>
        <w:rPr>
          <w:rFonts w:ascii="Times New Roman" w:hAnsi="Times New Roman"/>
          <w:color w:val="0070C0"/>
          <w:sz w:val="16"/>
          <w:szCs w:val="16"/>
        </w:rPr>
      </w:pPr>
      <w:bookmarkStart w:id="18" w:name="bookmark1108"/>
      <w:bookmarkEnd w:id="18"/>
      <w:r w:rsidRPr="008A2E5A">
        <w:rPr>
          <w:rFonts w:ascii="Times New Roman" w:hAnsi="Times New Roman"/>
          <w:color w:val="0070C0"/>
          <w:sz w:val="16"/>
          <w:szCs w:val="16"/>
        </w:rPr>
        <w:t>Постоянное месторасположение отдела - Андимешк.</w:t>
      </w:r>
    </w:p>
    <w:p w14:paraId="6BB5DCB7" w14:textId="77777777" w:rsidR="005538C6" w:rsidRPr="008A2E5A" w:rsidRDefault="005538C6" w:rsidP="005538C6">
      <w:pPr>
        <w:spacing w:after="0" w:line="240" w:lineRule="auto"/>
        <w:jc w:val="both"/>
        <w:rPr>
          <w:rFonts w:ascii="Times New Roman" w:hAnsi="Times New Roman"/>
          <w:color w:val="0070C0"/>
          <w:sz w:val="16"/>
          <w:szCs w:val="16"/>
        </w:rPr>
      </w:pPr>
      <w:bookmarkStart w:id="19" w:name="bookmark1109"/>
      <w:bookmarkEnd w:id="19"/>
      <w:r w:rsidRPr="008A2E5A">
        <w:rPr>
          <w:rFonts w:ascii="Times New Roman" w:hAnsi="Times New Roman"/>
          <w:color w:val="0070C0"/>
          <w:sz w:val="16"/>
          <w:szCs w:val="16"/>
        </w:rPr>
        <w:t>Принимает по нарядам уполномоченного НКВТ в Иране со сборочного завода импортных автомашин и запчасти к ним на основе технических условий приемки.</w:t>
      </w:r>
    </w:p>
    <w:p w14:paraId="3AE155FC" w14:textId="77777777" w:rsidR="005538C6" w:rsidRPr="008A2E5A" w:rsidRDefault="005538C6" w:rsidP="005538C6">
      <w:pPr>
        <w:spacing w:after="0" w:line="240" w:lineRule="auto"/>
        <w:jc w:val="both"/>
        <w:rPr>
          <w:rFonts w:ascii="Times New Roman" w:hAnsi="Times New Roman"/>
          <w:color w:val="0070C0"/>
          <w:sz w:val="16"/>
          <w:szCs w:val="16"/>
        </w:rPr>
      </w:pPr>
      <w:bookmarkStart w:id="20" w:name="bookmark1110"/>
      <w:bookmarkEnd w:id="20"/>
      <w:r w:rsidRPr="008A2E5A">
        <w:rPr>
          <w:rFonts w:ascii="Times New Roman" w:hAnsi="Times New Roman"/>
          <w:color w:val="0070C0"/>
          <w:sz w:val="16"/>
          <w:szCs w:val="16"/>
        </w:rPr>
        <w:t>Сдает по акту принятые автомашины и запчасти к ним 6 отдельному автополку для перегона их на станцию Джульфа с последующей переотправкой машин в Со</w:t>
      </w:r>
      <w:r w:rsidRPr="008A2E5A">
        <w:rPr>
          <w:rFonts w:ascii="Times New Roman" w:hAnsi="Times New Roman"/>
          <w:color w:val="0070C0"/>
          <w:sz w:val="16"/>
          <w:szCs w:val="16"/>
        </w:rPr>
        <w:softHyphen/>
        <w:t>ветский Союз.</w:t>
      </w:r>
    </w:p>
    <w:p w14:paraId="71AC87F9" w14:textId="77777777" w:rsidR="005538C6" w:rsidRPr="008A2E5A" w:rsidRDefault="005538C6" w:rsidP="005538C6">
      <w:pPr>
        <w:spacing w:after="0" w:line="240" w:lineRule="auto"/>
        <w:jc w:val="both"/>
        <w:rPr>
          <w:rFonts w:ascii="Times New Roman" w:hAnsi="Times New Roman"/>
          <w:color w:val="0070C0"/>
          <w:sz w:val="16"/>
          <w:szCs w:val="16"/>
        </w:rPr>
      </w:pPr>
      <w:bookmarkStart w:id="21" w:name="bookmark1111"/>
      <w:bookmarkEnd w:id="21"/>
      <w:r w:rsidRPr="008A2E5A">
        <w:rPr>
          <w:rFonts w:ascii="Times New Roman" w:hAnsi="Times New Roman"/>
          <w:color w:val="0070C0"/>
          <w:sz w:val="16"/>
          <w:szCs w:val="16"/>
        </w:rPr>
        <w:t>Ведет точный ежедневный учет машин из числа приня</w:t>
      </w:r>
      <w:r w:rsidRPr="008A2E5A">
        <w:rPr>
          <w:rFonts w:ascii="Times New Roman" w:hAnsi="Times New Roman"/>
          <w:color w:val="0070C0"/>
          <w:sz w:val="16"/>
          <w:szCs w:val="16"/>
        </w:rPr>
        <w:softHyphen/>
        <w:t>тых от сборочного завода и отправленных самоходом в Джульфу.</w:t>
      </w:r>
    </w:p>
    <w:p w14:paraId="02E95D16" w14:textId="77777777" w:rsidR="005538C6" w:rsidRPr="008A2E5A" w:rsidRDefault="005538C6" w:rsidP="005538C6">
      <w:pPr>
        <w:spacing w:after="0" w:line="240" w:lineRule="auto"/>
        <w:jc w:val="both"/>
        <w:rPr>
          <w:rFonts w:ascii="Times New Roman" w:hAnsi="Times New Roman"/>
          <w:color w:val="0070C0"/>
          <w:sz w:val="16"/>
          <w:szCs w:val="16"/>
        </w:rPr>
      </w:pPr>
      <w:bookmarkStart w:id="22" w:name="bookmark1112"/>
      <w:bookmarkEnd w:id="22"/>
      <w:r w:rsidRPr="008A2E5A">
        <w:rPr>
          <w:rFonts w:ascii="Times New Roman" w:hAnsi="Times New Roman"/>
          <w:color w:val="0070C0"/>
          <w:sz w:val="16"/>
          <w:szCs w:val="16"/>
        </w:rPr>
        <w:t>Через уполномоченного НКВТ ведет все переговоры по всем вопросам, связанным с приемкой автомашин.</w:t>
      </w:r>
    </w:p>
    <w:p w14:paraId="4DA4D1C2" w14:textId="77777777" w:rsidR="005538C6" w:rsidRPr="008A2E5A" w:rsidRDefault="005538C6" w:rsidP="005538C6">
      <w:pPr>
        <w:spacing w:after="0" w:line="240" w:lineRule="auto"/>
        <w:jc w:val="both"/>
        <w:rPr>
          <w:rFonts w:ascii="Times New Roman" w:hAnsi="Times New Roman"/>
          <w:color w:val="0070C0"/>
          <w:sz w:val="16"/>
          <w:szCs w:val="16"/>
        </w:rPr>
      </w:pPr>
      <w:bookmarkStart w:id="23" w:name="bookmark1113"/>
      <w:bookmarkEnd w:id="23"/>
      <w:r w:rsidRPr="008A2E5A">
        <w:rPr>
          <w:rFonts w:ascii="Times New Roman" w:hAnsi="Times New Roman"/>
          <w:color w:val="0070C0"/>
          <w:sz w:val="16"/>
          <w:szCs w:val="16"/>
        </w:rPr>
        <w:t>Доносит один раз в пятидневку начальнику АТУ ГАБТУ КА и в НКВТ о прибывших автомашинах, раздельно по маркам по установленной форме.</w:t>
      </w:r>
    </w:p>
    <w:p w14:paraId="470FE53B"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Отдельный автомобильный полк по перегону машин:</w:t>
      </w:r>
    </w:p>
    <w:p w14:paraId="47D9EC8A" w14:textId="77777777" w:rsidR="005538C6" w:rsidRPr="008A2E5A" w:rsidRDefault="005538C6" w:rsidP="005538C6">
      <w:pPr>
        <w:spacing w:after="0" w:line="240" w:lineRule="auto"/>
        <w:jc w:val="both"/>
        <w:rPr>
          <w:rFonts w:ascii="Times New Roman" w:hAnsi="Times New Roman"/>
          <w:color w:val="0070C0"/>
          <w:sz w:val="16"/>
          <w:szCs w:val="16"/>
        </w:rPr>
      </w:pPr>
      <w:bookmarkStart w:id="24" w:name="bookmark1114"/>
      <w:bookmarkEnd w:id="24"/>
      <w:r w:rsidRPr="008A2E5A">
        <w:rPr>
          <w:rFonts w:ascii="Times New Roman" w:hAnsi="Times New Roman"/>
          <w:color w:val="0070C0"/>
          <w:sz w:val="16"/>
          <w:szCs w:val="16"/>
        </w:rPr>
        <w:t>Подчинен начальнику АТУ ГАБТУ Красной Армии.</w:t>
      </w:r>
    </w:p>
    <w:p w14:paraId="0E543763" w14:textId="77777777" w:rsidR="005538C6" w:rsidRPr="008A2E5A" w:rsidRDefault="005538C6" w:rsidP="005538C6">
      <w:pPr>
        <w:spacing w:after="0" w:line="240" w:lineRule="auto"/>
        <w:jc w:val="both"/>
        <w:rPr>
          <w:rFonts w:ascii="Times New Roman" w:hAnsi="Times New Roman"/>
          <w:color w:val="0070C0"/>
          <w:sz w:val="16"/>
          <w:szCs w:val="16"/>
        </w:rPr>
      </w:pPr>
      <w:bookmarkStart w:id="25" w:name="bookmark1115"/>
      <w:bookmarkEnd w:id="25"/>
      <w:r w:rsidRPr="008A2E5A">
        <w:rPr>
          <w:rFonts w:ascii="Times New Roman" w:hAnsi="Times New Roman"/>
          <w:color w:val="0070C0"/>
          <w:sz w:val="16"/>
          <w:szCs w:val="16"/>
        </w:rPr>
        <w:t>Дислокация штаба полка — Казвин.</w:t>
      </w:r>
    </w:p>
    <w:p w14:paraId="4FDD8EDB" w14:textId="77777777" w:rsidR="005538C6" w:rsidRPr="008A2E5A" w:rsidRDefault="005538C6" w:rsidP="005538C6">
      <w:pPr>
        <w:spacing w:after="0" w:line="240" w:lineRule="auto"/>
        <w:jc w:val="both"/>
        <w:rPr>
          <w:rFonts w:ascii="Times New Roman" w:hAnsi="Times New Roman"/>
          <w:color w:val="0070C0"/>
          <w:sz w:val="16"/>
          <w:szCs w:val="16"/>
        </w:rPr>
      </w:pPr>
      <w:bookmarkStart w:id="26" w:name="bookmark1116"/>
      <w:bookmarkEnd w:id="26"/>
      <w:r w:rsidRPr="008A2E5A">
        <w:rPr>
          <w:rFonts w:ascii="Times New Roman" w:hAnsi="Times New Roman"/>
          <w:color w:val="0070C0"/>
          <w:sz w:val="16"/>
          <w:szCs w:val="16"/>
        </w:rPr>
        <w:t>Принимает в Андимешке от начальника отдела приемки по установленным актам импортные автомашины и зап</w:t>
      </w:r>
      <w:r w:rsidRPr="008A2E5A">
        <w:rPr>
          <w:rFonts w:ascii="Times New Roman" w:hAnsi="Times New Roman"/>
          <w:color w:val="0070C0"/>
          <w:sz w:val="16"/>
          <w:szCs w:val="16"/>
        </w:rPr>
        <w:softHyphen/>
        <w:t>части.</w:t>
      </w:r>
    </w:p>
    <w:p w14:paraId="01BE42C0" w14:textId="77777777" w:rsidR="005538C6" w:rsidRPr="008A2E5A" w:rsidRDefault="005538C6" w:rsidP="005538C6">
      <w:pPr>
        <w:spacing w:after="0" w:line="240" w:lineRule="auto"/>
        <w:jc w:val="both"/>
        <w:rPr>
          <w:rFonts w:ascii="Times New Roman" w:hAnsi="Times New Roman"/>
          <w:color w:val="0070C0"/>
          <w:sz w:val="16"/>
          <w:szCs w:val="16"/>
        </w:rPr>
      </w:pPr>
      <w:bookmarkStart w:id="27" w:name="bookmark1117"/>
      <w:bookmarkEnd w:id="27"/>
      <w:r w:rsidRPr="008A2E5A">
        <w:rPr>
          <w:rFonts w:ascii="Times New Roman" w:hAnsi="Times New Roman"/>
          <w:color w:val="0070C0"/>
          <w:sz w:val="16"/>
          <w:szCs w:val="16"/>
        </w:rPr>
        <w:t>Обеспечивает перегон ТВ Джульфу всех собираемых в Андимешке автомашин.</w:t>
      </w:r>
    </w:p>
    <w:p w14:paraId="7B137565" w14:textId="77777777" w:rsidR="005538C6" w:rsidRPr="008A2E5A" w:rsidRDefault="005538C6" w:rsidP="005538C6">
      <w:pPr>
        <w:spacing w:after="0" w:line="240" w:lineRule="auto"/>
        <w:jc w:val="both"/>
        <w:rPr>
          <w:rFonts w:ascii="Times New Roman" w:hAnsi="Times New Roman"/>
          <w:color w:val="0070C0"/>
          <w:sz w:val="16"/>
          <w:szCs w:val="16"/>
        </w:rPr>
      </w:pPr>
      <w:bookmarkStart w:id="28" w:name="bookmark1118"/>
      <w:bookmarkEnd w:id="28"/>
      <w:r w:rsidRPr="008A2E5A">
        <w:rPr>
          <w:rFonts w:ascii="Times New Roman" w:hAnsi="Times New Roman"/>
          <w:color w:val="0070C0"/>
          <w:sz w:val="16"/>
          <w:szCs w:val="16"/>
        </w:rPr>
        <w:t>Транспортирует на перегоняемых автомашинах при</w:t>
      </w:r>
      <w:r w:rsidRPr="008A2E5A">
        <w:rPr>
          <w:rFonts w:ascii="Times New Roman" w:hAnsi="Times New Roman"/>
          <w:color w:val="0070C0"/>
          <w:sz w:val="16"/>
          <w:szCs w:val="16"/>
        </w:rPr>
        <w:softHyphen/>
        <w:t>бывшие запчасти и всякого рода другие грузы согласно указанию уполномоченного НКВТ и начальника отдела военной приемки.</w:t>
      </w:r>
    </w:p>
    <w:p w14:paraId="348BA5FF" w14:textId="77777777" w:rsidR="005538C6" w:rsidRPr="008A2E5A" w:rsidRDefault="005538C6" w:rsidP="005538C6">
      <w:pPr>
        <w:spacing w:after="0" w:line="240" w:lineRule="auto"/>
        <w:jc w:val="both"/>
        <w:rPr>
          <w:rFonts w:ascii="Times New Roman" w:hAnsi="Times New Roman"/>
          <w:color w:val="0070C0"/>
          <w:sz w:val="16"/>
          <w:szCs w:val="16"/>
        </w:rPr>
      </w:pPr>
      <w:bookmarkStart w:id="29" w:name="bookmark1119"/>
      <w:bookmarkEnd w:id="29"/>
      <w:r w:rsidRPr="008A2E5A">
        <w:rPr>
          <w:rFonts w:ascii="Times New Roman" w:hAnsi="Times New Roman"/>
          <w:color w:val="0070C0"/>
          <w:sz w:val="16"/>
          <w:szCs w:val="16"/>
        </w:rPr>
        <w:t>Отвечает при перегоне за технически правильную экс</w:t>
      </w:r>
      <w:r w:rsidRPr="008A2E5A">
        <w:rPr>
          <w:rFonts w:ascii="Times New Roman" w:hAnsi="Times New Roman"/>
          <w:color w:val="0070C0"/>
          <w:sz w:val="16"/>
          <w:szCs w:val="16"/>
        </w:rPr>
        <w:softHyphen/>
        <w:t>плуатацию машин, соблюдение установленного обка</w:t>
      </w:r>
      <w:r w:rsidRPr="008A2E5A">
        <w:rPr>
          <w:rFonts w:ascii="Times New Roman" w:hAnsi="Times New Roman"/>
          <w:color w:val="0070C0"/>
          <w:sz w:val="16"/>
          <w:szCs w:val="16"/>
        </w:rPr>
        <w:softHyphen/>
        <w:t>точного режима.</w:t>
      </w:r>
    </w:p>
    <w:p w14:paraId="6C6BED3E" w14:textId="77777777" w:rsidR="005538C6" w:rsidRPr="008A2E5A" w:rsidRDefault="005538C6" w:rsidP="005538C6">
      <w:pPr>
        <w:spacing w:after="0" w:line="240" w:lineRule="auto"/>
        <w:jc w:val="both"/>
        <w:rPr>
          <w:rFonts w:ascii="Times New Roman" w:hAnsi="Times New Roman"/>
          <w:color w:val="0070C0"/>
          <w:sz w:val="16"/>
          <w:szCs w:val="16"/>
        </w:rPr>
      </w:pPr>
      <w:bookmarkStart w:id="30" w:name="bookmark1120"/>
      <w:bookmarkEnd w:id="30"/>
      <w:r w:rsidRPr="008A2E5A">
        <w:rPr>
          <w:rFonts w:ascii="Times New Roman" w:hAnsi="Times New Roman"/>
          <w:color w:val="0070C0"/>
          <w:sz w:val="16"/>
          <w:szCs w:val="16"/>
        </w:rPr>
        <w:t>Организует нормальное движение импортных машин по трассе перегона, обеспечивая на всем пути движения питание водителей, осмотр и заправку автомашин.</w:t>
      </w:r>
    </w:p>
    <w:p w14:paraId="037959EA" w14:textId="77777777" w:rsidR="005538C6" w:rsidRPr="008A2E5A" w:rsidRDefault="005538C6" w:rsidP="005538C6">
      <w:pPr>
        <w:spacing w:after="0" w:line="240" w:lineRule="auto"/>
        <w:jc w:val="both"/>
        <w:rPr>
          <w:rFonts w:ascii="Times New Roman" w:hAnsi="Times New Roman"/>
          <w:color w:val="0070C0"/>
          <w:sz w:val="16"/>
          <w:szCs w:val="16"/>
        </w:rPr>
      </w:pPr>
      <w:bookmarkStart w:id="31" w:name="bookmark1121"/>
      <w:bookmarkEnd w:id="31"/>
      <w:r w:rsidRPr="008A2E5A">
        <w:rPr>
          <w:rFonts w:ascii="Times New Roman" w:hAnsi="Times New Roman"/>
          <w:color w:val="0070C0"/>
          <w:sz w:val="16"/>
          <w:szCs w:val="16"/>
        </w:rPr>
        <w:t>Организует пункт профилактического осмотра автома</w:t>
      </w:r>
      <w:r w:rsidRPr="008A2E5A">
        <w:rPr>
          <w:rFonts w:ascii="Times New Roman" w:hAnsi="Times New Roman"/>
          <w:color w:val="0070C0"/>
          <w:sz w:val="16"/>
          <w:szCs w:val="16"/>
        </w:rPr>
        <w:softHyphen/>
        <w:t>шин с заменой смазки и исправлением обнаруженных недостатков и происшедших поломок машин на трассе.</w:t>
      </w:r>
    </w:p>
    <w:p w14:paraId="617B192F" w14:textId="77777777" w:rsidR="005538C6" w:rsidRPr="008A2E5A" w:rsidRDefault="005538C6" w:rsidP="005538C6">
      <w:pPr>
        <w:spacing w:after="0" w:line="240" w:lineRule="auto"/>
        <w:jc w:val="both"/>
        <w:rPr>
          <w:rFonts w:ascii="Times New Roman" w:hAnsi="Times New Roman"/>
          <w:color w:val="0070C0"/>
          <w:sz w:val="16"/>
          <w:szCs w:val="16"/>
        </w:rPr>
      </w:pPr>
      <w:bookmarkStart w:id="32" w:name="bookmark1122"/>
      <w:bookmarkEnd w:id="32"/>
      <w:r w:rsidRPr="008A2E5A">
        <w:rPr>
          <w:rFonts w:ascii="Times New Roman" w:hAnsi="Times New Roman"/>
          <w:color w:val="0070C0"/>
          <w:sz w:val="16"/>
          <w:szCs w:val="16"/>
        </w:rPr>
        <w:t>Дислоцирует на станции Джульфа склад полка.</w:t>
      </w:r>
    </w:p>
    <w:p w14:paraId="4A81FC3C"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склада отвечает за:</w:t>
      </w:r>
    </w:p>
    <w:p w14:paraId="77B673AB"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Приемку прибывших из Андимешка автомашин и зап</w:t>
      </w:r>
      <w:r w:rsidRPr="008A2E5A">
        <w:rPr>
          <w:rFonts w:ascii="Times New Roman" w:hAnsi="Times New Roman"/>
          <w:color w:val="0070C0"/>
          <w:sz w:val="16"/>
          <w:szCs w:val="16"/>
        </w:rPr>
        <w:softHyphen/>
        <w:t>частей.</w:t>
      </w:r>
    </w:p>
    <w:p w14:paraId="2D805A36" w14:textId="77777777" w:rsidR="005538C6" w:rsidRPr="008A2E5A" w:rsidRDefault="005538C6" w:rsidP="005538C6">
      <w:pPr>
        <w:spacing w:after="0" w:line="240" w:lineRule="auto"/>
        <w:jc w:val="both"/>
        <w:rPr>
          <w:rFonts w:ascii="Times New Roman" w:hAnsi="Times New Roman"/>
          <w:color w:val="0070C0"/>
          <w:sz w:val="16"/>
          <w:szCs w:val="16"/>
        </w:rPr>
      </w:pPr>
      <w:bookmarkStart w:id="33" w:name="bookmark1124"/>
      <w:r w:rsidRPr="008A2E5A">
        <w:rPr>
          <w:rFonts w:ascii="Times New Roman" w:hAnsi="Times New Roman"/>
          <w:color w:val="0070C0"/>
          <w:sz w:val="16"/>
          <w:szCs w:val="16"/>
        </w:rPr>
        <w:t>б</w:t>
      </w:r>
      <w:bookmarkEnd w:id="33"/>
      <w:r w:rsidRPr="008A2E5A">
        <w:rPr>
          <w:rFonts w:ascii="Times New Roman" w:hAnsi="Times New Roman"/>
          <w:color w:val="0070C0"/>
          <w:sz w:val="16"/>
          <w:szCs w:val="16"/>
        </w:rPr>
        <w:t>) Техосмотр машин с исправлением недостатков, ре</w:t>
      </w:r>
      <w:r w:rsidRPr="008A2E5A">
        <w:rPr>
          <w:rFonts w:ascii="Times New Roman" w:hAnsi="Times New Roman"/>
          <w:color w:val="0070C0"/>
          <w:sz w:val="16"/>
          <w:szCs w:val="16"/>
        </w:rPr>
        <w:softHyphen/>
        <w:t>монтом всех поломок и заменой смазки.</w:t>
      </w:r>
    </w:p>
    <w:p w14:paraId="3011A375" w14:textId="77777777" w:rsidR="005538C6" w:rsidRPr="008A2E5A" w:rsidRDefault="005538C6" w:rsidP="005538C6">
      <w:pPr>
        <w:spacing w:after="0" w:line="240" w:lineRule="auto"/>
        <w:jc w:val="both"/>
        <w:rPr>
          <w:rFonts w:ascii="Times New Roman" w:hAnsi="Times New Roman"/>
          <w:color w:val="0070C0"/>
          <w:sz w:val="16"/>
          <w:szCs w:val="16"/>
        </w:rPr>
      </w:pPr>
      <w:bookmarkStart w:id="34" w:name="bookmark1125"/>
      <w:r w:rsidRPr="008A2E5A">
        <w:rPr>
          <w:rFonts w:ascii="Times New Roman" w:hAnsi="Times New Roman"/>
          <w:color w:val="0070C0"/>
          <w:sz w:val="16"/>
          <w:szCs w:val="16"/>
        </w:rPr>
        <w:t>в</w:t>
      </w:r>
      <w:bookmarkEnd w:id="34"/>
      <w:r w:rsidRPr="008A2E5A">
        <w:rPr>
          <w:rFonts w:ascii="Times New Roman" w:hAnsi="Times New Roman"/>
          <w:color w:val="0070C0"/>
          <w:sz w:val="16"/>
          <w:szCs w:val="16"/>
        </w:rPr>
        <w:t>) Хранение машин на складе.</w:t>
      </w:r>
    </w:p>
    <w:p w14:paraId="2FB8912D" w14:textId="77777777" w:rsidR="005538C6" w:rsidRPr="008A2E5A" w:rsidRDefault="005538C6" w:rsidP="005538C6">
      <w:pPr>
        <w:spacing w:after="0" w:line="240" w:lineRule="auto"/>
        <w:jc w:val="both"/>
        <w:rPr>
          <w:rFonts w:ascii="Times New Roman" w:hAnsi="Times New Roman"/>
          <w:color w:val="0070C0"/>
          <w:sz w:val="16"/>
          <w:szCs w:val="16"/>
        </w:rPr>
      </w:pPr>
      <w:bookmarkStart w:id="35" w:name="bookmark1126"/>
      <w:r w:rsidRPr="008A2E5A">
        <w:rPr>
          <w:rFonts w:ascii="Times New Roman" w:hAnsi="Times New Roman"/>
          <w:color w:val="0070C0"/>
          <w:sz w:val="16"/>
          <w:szCs w:val="16"/>
        </w:rPr>
        <w:t>г</w:t>
      </w:r>
      <w:bookmarkEnd w:id="35"/>
      <w:r w:rsidRPr="008A2E5A">
        <w:rPr>
          <w:rFonts w:ascii="Times New Roman" w:hAnsi="Times New Roman"/>
          <w:color w:val="0070C0"/>
          <w:sz w:val="16"/>
          <w:szCs w:val="16"/>
        </w:rPr>
        <w:t>) Отправку запчастей и автомашин железнодорож</w:t>
      </w:r>
      <w:r w:rsidRPr="008A2E5A">
        <w:rPr>
          <w:rFonts w:ascii="Times New Roman" w:hAnsi="Times New Roman"/>
          <w:color w:val="0070C0"/>
          <w:sz w:val="16"/>
          <w:szCs w:val="16"/>
        </w:rPr>
        <w:softHyphen/>
        <w:t>ным транспортом и самоходом согласно указаниям начальника АБТВ Закавказского фронта в строгом соответствии с указаниями начальника АТУ ГАБТУ Красной Армии.</w:t>
      </w:r>
    </w:p>
    <w:p w14:paraId="56A644BC" w14:textId="77777777" w:rsidR="005538C6" w:rsidRPr="008A2E5A" w:rsidRDefault="005538C6" w:rsidP="005538C6">
      <w:pPr>
        <w:spacing w:after="0" w:line="240" w:lineRule="auto"/>
        <w:jc w:val="both"/>
        <w:rPr>
          <w:rFonts w:ascii="Times New Roman" w:hAnsi="Times New Roman"/>
          <w:color w:val="0070C0"/>
          <w:sz w:val="16"/>
          <w:szCs w:val="16"/>
        </w:rPr>
      </w:pPr>
      <w:bookmarkStart w:id="36" w:name="bookmark1127"/>
      <w:r w:rsidRPr="008A2E5A">
        <w:rPr>
          <w:rFonts w:ascii="Times New Roman" w:hAnsi="Times New Roman"/>
          <w:color w:val="0070C0"/>
          <w:sz w:val="16"/>
          <w:szCs w:val="16"/>
        </w:rPr>
        <w:t>д</w:t>
      </w:r>
      <w:bookmarkEnd w:id="36"/>
      <w:r w:rsidRPr="008A2E5A">
        <w:rPr>
          <w:rFonts w:ascii="Times New Roman" w:hAnsi="Times New Roman"/>
          <w:color w:val="0070C0"/>
          <w:sz w:val="16"/>
          <w:szCs w:val="16"/>
        </w:rPr>
        <w:t>) Укомплектование автомашин водителями с обяза</w:t>
      </w:r>
      <w:r w:rsidRPr="008A2E5A">
        <w:rPr>
          <w:rFonts w:ascii="Times New Roman" w:hAnsi="Times New Roman"/>
          <w:color w:val="0070C0"/>
          <w:sz w:val="16"/>
          <w:szCs w:val="16"/>
        </w:rPr>
        <w:softHyphen/>
        <w:t>тельной проверкой знаний принимаемых автомашин.</w:t>
      </w:r>
    </w:p>
    <w:p w14:paraId="43A7D4E3" w14:textId="77777777" w:rsidR="005538C6" w:rsidRPr="008A2E5A" w:rsidRDefault="005538C6" w:rsidP="005538C6">
      <w:pPr>
        <w:spacing w:after="0" w:line="240" w:lineRule="auto"/>
        <w:jc w:val="both"/>
        <w:rPr>
          <w:rFonts w:ascii="Times New Roman" w:hAnsi="Times New Roman"/>
          <w:color w:val="0070C0"/>
          <w:sz w:val="16"/>
          <w:szCs w:val="16"/>
        </w:rPr>
      </w:pPr>
      <w:bookmarkStart w:id="37" w:name="bookmark1128"/>
      <w:r w:rsidRPr="008A2E5A">
        <w:rPr>
          <w:rFonts w:ascii="Times New Roman" w:hAnsi="Times New Roman"/>
          <w:color w:val="0070C0"/>
          <w:sz w:val="16"/>
          <w:szCs w:val="16"/>
        </w:rPr>
        <w:t>е</w:t>
      </w:r>
      <w:bookmarkEnd w:id="37"/>
      <w:r w:rsidRPr="008A2E5A">
        <w:rPr>
          <w:rFonts w:ascii="Times New Roman" w:hAnsi="Times New Roman"/>
          <w:color w:val="0070C0"/>
          <w:sz w:val="16"/>
          <w:szCs w:val="16"/>
        </w:rPr>
        <w:t>) Представление ежедневных донесений начальни</w:t>
      </w:r>
      <w:r w:rsidRPr="008A2E5A">
        <w:rPr>
          <w:rFonts w:ascii="Times New Roman" w:hAnsi="Times New Roman"/>
          <w:color w:val="0070C0"/>
          <w:sz w:val="16"/>
          <w:szCs w:val="16"/>
        </w:rPr>
        <w:softHyphen/>
        <w:t>ку АБТВ Закавказского фронта о количестве при</w:t>
      </w:r>
      <w:r w:rsidRPr="008A2E5A">
        <w:rPr>
          <w:rFonts w:ascii="Times New Roman" w:hAnsi="Times New Roman"/>
          <w:color w:val="0070C0"/>
          <w:sz w:val="16"/>
          <w:szCs w:val="16"/>
        </w:rPr>
        <w:softHyphen/>
        <w:t>бывших и отправленных автомашин и запчастей по маркам и имеющемся остатке на следующий день, о номерах автоколонн, количестве прибывших и убыв</w:t>
      </w:r>
      <w:r w:rsidRPr="008A2E5A">
        <w:rPr>
          <w:rFonts w:ascii="Times New Roman" w:hAnsi="Times New Roman"/>
          <w:color w:val="0070C0"/>
          <w:sz w:val="16"/>
          <w:szCs w:val="16"/>
        </w:rPr>
        <w:softHyphen/>
        <w:t>ших из Тавриза автомашин по маркам.</w:t>
      </w:r>
    </w:p>
    <w:p w14:paraId="189ED438"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Ведет точный учет всех поступивших и отправленных со склада автомашин и запчастей по маркам с представле</w:t>
      </w:r>
      <w:r w:rsidRPr="008A2E5A">
        <w:rPr>
          <w:rFonts w:ascii="Times New Roman" w:hAnsi="Times New Roman"/>
          <w:color w:val="0070C0"/>
          <w:sz w:val="16"/>
          <w:szCs w:val="16"/>
        </w:rPr>
        <w:softHyphen/>
        <w:t>нием письменного отчета начальнику АТУ о движении ма</w:t>
      </w:r>
      <w:r w:rsidRPr="008A2E5A">
        <w:rPr>
          <w:rFonts w:ascii="Times New Roman" w:hAnsi="Times New Roman"/>
          <w:color w:val="0070C0"/>
          <w:sz w:val="16"/>
          <w:szCs w:val="16"/>
        </w:rPr>
        <w:softHyphen/>
        <w:t>шин и запчастей два раза в месяц.</w:t>
      </w:r>
    </w:p>
    <w:p w14:paraId="20403453" w14:textId="77777777" w:rsidR="005538C6" w:rsidRPr="008A2E5A" w:rsidRDefault="005538C6" w:rsidP="005538C6">
      <w:pPr>
        <w:spacing w:after="0" w:line="240" w:lineRule="auto"/>
        <w:jc w:val="both"/>
        <w:rPr>
          <w:rFonts w:ascii="Times New Roman" w:hAnsi="Times New Roman"/>
          <w:color w:val="0070C0"/>
          <w:sz w:val="16"/>
          <w:szCs w:val="16"/>
        </w:rPr>
      </w:pPr>
      <w:bookmarkStart w:id="38" w:name="bookmark1136"/>
      <w:bookmarkEnd w:id="38"/>
      <w:r w:rsidRPr="008A2E5A">
        <w:rPr>
          <w:rFonts w:ascii="Times New Roman" w:hAnsi="Times New Roman"/>
          <w:color w:val="0070C0"/>
          <w:sz w:val="16"/>
          <w:szCs w:val="16"/>
        </w:rPr>
        <w:t>Доносит начальнику АТУ один раз в месяц о работе пол</w:t>
      </w:r>
      <w:r w:rsidRPr="008A2E5A">
        <w:rPr>
          <w:rFonts w:ascii="Times New Roman" w:hAnsi="Times New Roman"/>
          <w:color w:val="0070C0"/>
          <w:sz w:val="16"/>
          <w:szCs w:val="16"/>
        </w:rPr>
        <w:softHyphen/>
        <w:t>ка.</w:t>
      </w:r>
    </w:p>
    <w:p w14:paraId="5A240EAC"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Учебный автомобильный полк:</w:t>
      </w:r>
    </w:p>
    <w:p w14:paraId="3453B101" w14:textId="77777777" w:rsidR="005538C6" w:rsidRPr="008A2E5A" w:rsidRDefault="005538C6" w:rsidP="005538C6">
      <w:pPr>
        <w:spacing w:after="0" w:line="240" w:lineRule="auto"/>
        <w:jc w:val="both"/>
        <w:rPr>
          <w:rFonts w:ascii="Times New Roman" w:hAnsi="Times New Roman"/>
          <w:color w:val="0070C0"/>
          <w:sz w:val="16"/>
          <w:szCs w:val="16"/>
        </w:rPr>
      </w:pPr>
      <w:bookmarkStart w:id="39" w:name="bookmark1137"/>
      <w:bookmarkEnd w:id="39"/>
      <w:r w:rsidRPr="008A2E5A">
        <w:rPr>
          <w:rFonts w:ascii="Times New Roman" w:hAnsi="Times New Roman"/>
          <w:color w:val="0070C0"/>
          <w:sz w:val="16"/>
          <w:szCs w:val="16"/>
        </w:rPr>
        <w:t>Подчинен начальнику управления боевой подготовки ГА- БТУ Красной Армии.</w:t>
      </w:r>
    </w:p>
    <w:p w14:paraId="09BA4903" w14:textId="77777777" w:rsidR="005538C6" w:rsidRPr="008A2E5A" w:rsidRDefault="005538C6" w:rsidP="005538C6">
      <w:pPr>
        <w:spacing w:after="0" w:line="240" w:lineRule="auto"/>
        <w:jc w:val="both"/>
        <w:rPr>
          <w:rFonts w:ascii="Times New Roman" w:hAnsi="Times New Roman"/>
          <w:color w:val="0070C0"/>
          <w:sz w:val="16"/>
          <w:szCs w:val="16"/>
        </w:rPr>
      </w:pPr>
      <w:bookmarkStart w:id="40" w:name="bookmark1138"/>
      <w:bookmarkEnd w:id="40"/>
      <w:r w:rsidRPr="008A2E5A">
        <w:rPr>
          <w:rFonts w:ascii="Times New Roman" w:hAnsi="Times New Roman"/>
          <w:color w:val="0070C0"/>
          <w:sz w:val="16"/>
          <w:szCs w:val="16"/>
        </w:rPr>
        <w:t>Дислокация — г. Нахичевань.</w:t>
      </w:r>
    </w:p>
    <w:p w14:paraId="4A8F9CCE" w14:textId="77777777" w:rsidR="005538C6" w:rsidRPr="008A2E5A" w:rsidRDefault="005538C6" w:rsidP="005538C6">
      <w:pPr>
        <w:spacing w:after="0" w:line="240" w:lineRule="auto"/>
        <w:jc w:val="both"/>
        <w:rPr>
          <w:rFonts w:ascii="Times New Roman" w:hAnsi="Times New Roman"/>
          <w:color w:val="0070C0"/>
          <w:sz w:val="16"/>
          <w:szCs w:val="16"/>
        </w:rPr>
      </w:pPr>
      <w:bookmarkStart w:id="41" w:name="bookmark1139"/>
      <w:bookmarkEnd w:id="41"/>
      <w:r w:rsidRPr="008A2E5A">
        <w:rPr>
          <w:rFonts w:ascii="Times New Roman" w:hAnsi="Times New Roman"/>
          <w:color w:val="0070C0"/>
          <w:sz w:val="16"/>
          <w:szCs w:val="16"/>
        </w:rPr>
        <w:t>Готовит водителей для импортных автомашин всех марок.</w:t>
      </w:r>
    </w:p>
    <w:p w14:paraId="027F64D4" w14:textId="77777777" w:rsidR="005538C6" w:rsidRPr="008A2E5A" w:rsidRDefault="005538C6" w:rsidP="005538C6">
      <w:pPr>
        <w:spacing w:after="0" w:line="240" w:lineRule="auto"/>
        <w:jc w:val="both"/>
        <w:rPr>
          <w:rFonts w:ascii="Times New Roman" w:hAnsi="Times New Roman"/>
          <w:color w:val="0070C0"/>
          <w:sz w:val="16"/>
          <w:szCs w:val="16"/>
        </w:rPr>
      </w:pPr>
      <w:bookmarkStart w:id="42" w:name="bookmark1140"/>
      <w:bookmarkEnd w:id="42"/>
      <w:r w:rsidRPr="008A2E5A">
        <w:rPr>
          <w:rFonts w:ascii="Times New Roman" w:hAnsi="Times New Roman"/>
          <w:color w:val="0070C0"/>
          <w:sz w:val="16"/>
          <w:szCs w:val="16"/>
        </w:rPr>
        <w:t>Через УБП ГАБТУ КА получает программы обучения во</w:t>
      </w:r>
      <w:r w:rsidRPr="008A2E5A">
        <w:rPr>
          <w:rFonts w:ascii="Times New Roman" w:hAnsi="Times New Roman"/>
          <w:color w:val="0070C0"/>
          <w:sz w:val="16"/>
          <w:szCs w:val="16"/>
        </w:rPr>
        <w:softHyphen/>
        <w:t>дителей и календарные сроки их выпуска.</w:t>
      </w:r>
    </w:p>
    <w:p w14:paraId="6C4BD242" w14:textId="77777777" w:rsidR="005538C6" w:rsidRPr="008A2E5A" w:rsidRDefault="005538C6" w:rsidP="005538C6">
      <w:pPr>
        <w:spacing w:after="0" w:line="240" w:lineRule="auto"/>
        <w:jc w:val="both"/>
        <w:rPr>
          <w:rFonts w:ascii="Times New Roman" w:hAnsi="Times New Roman"/>
          <w:color w:val="0070C0"/>
          <w:sz w:val="16"/>
          <w:szCs w:val="16"/>
        </w:rPr>
      </w:pPr>
      <w:bookmarkStart w:id="43" w:name="bookmark1141"/>
      <w:bookmarkEnd w:id="43"/>
      <w:r w:rsidRPr="008A2E5A">
        <w:rPr>
          <w:rFonts w:ascii="Times New Roman" w:hAnsi="Times New Roman"/>
          <w:color w:val="0070C0"/>
          <w:sz w:val="16"/>
          <w:szCs w:val="16"/>
        </w:rPr>
        <w:t>Отвечает за качество подготовки водителей и их сроки выпуска.</w:t>
      </w:r>
    </w:p>
    <w:p w14:paraId="33CE257E" w14:textId="77777777" w:rsidR="005538C6" w:rsidRPr="008A2E5A" w:rsidRDefault="005538C6" w:rsidP="005538C6">
      <w:pPr>
        <w:spacing w:after="0" w:line="240" w:lineRule="auto"/>
        <w:jc w:val="both"/>
        <w:rPr>
          <w:rFonts w:ascii="Times New Roman" w:hAnsi="Times New Roman"/>
          <w:color w:val="0070C0"/>
          <w:sz w:val="16"/>
          <w:szCs w:val="16"/>
        </w:rPr>
      </w:pPr>
      <w:bookmarkStart w:id="44" w:name="bookmark1142"/>
      <w:bookmarkEnd w:id="44"/>
      <w:r w:rsidRPr="008A2E5A">
        <w:rPr>
          <w:rFonts w:ascii="Times New Roman" w:hAnsi="Times New Roman"/>
          <w:color w:val="0070C0"/>
          <w:sz w:val="16"/>
          <w:szCs w:val="16"/>
        </w:rPr>
        <w:t>По заявкам начальника склада обеспечивает отправляе</w:t>
      </w:r>
      <w:r w:rsidRPr="008A2E5A">
        <w:rPr>
          <w:rFonts w:ascii="Times New Roman" w:hAnsi="Times New Roman"/>
          <w:color w:val="0070C0"/>
          <w:sz w:val="16"/>
          <w:szCs w:val="16"/>
        </w:rPr>
        <w:softHyphen/>
        <w:t>мые автомашины подготовленными водителями.</w:t>
      </w:r>
    </w:p>
    <w:p w14:paraId="06811264" w14:textId="77777777" w:rsidR="005538C6" w:rsidRPr="008A2E5A" w:rsidRDefault="005538C6" w:rsidP="005538C6">
      <w:pPr>
        <w:spacing w:after="0" w:line="240" w:lineRule="auto"/>
        <w:jc w:val="both"/>
        <w:rPr>
          <w:rFonts w:ascii="Times New Roman" w:hAnsi="Times New Roman"/>
          <w:color w:val="0070C0"/>
          <w:sz w:val="16"/>
          <w:szCs w:val="16"/>
        </w:rPr>
      </w:pPr>
      <w:bookmarkStart w:id="45" w:name="bookmark1143"/>
      <w:bookmarkEnd w:id="45"/>
      <w:r w:rsidRPr="008A2E5A">
        <w:rPr>
          <w:rFonts w:ascii="Times New Roman" w:hAnsi="Times New Roman"/>
          <w:color w:val="0070C0"/>
          <w:sz w:val="16"/>
          <w:szCs w:val="16"/>
        </w:rPr>
        <w:t>Отвечает за своевременное обеспечение заявок началь</w:t>
      </w:r>
      <w:r w:rsidRPr="008A2E5A">
        <w:rPr>
          <w:rFonts w:ascii="Times New Roman" w:hAnsi="Times New Roman"/>
          <w:color w:val="0070C0"/>
          <w:sz w:val="16"/>
          <w:szCs w:val="16"/>
        </w:rPr>
        <w:softHyphen/>
        <w:t>ника склада на потребное количество водителей.</w:t>
      </w:r>
    </w:p>
    <w:p w14:paraId="20AB41F9"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АБТВ Закавказского фронта</w:t>
      </w:r>
    </w:p>
    <w:p w14:paraId="650EB769" w14:textId="77777777" w:rsidR="005538C6" w:rsidRPr="008A2E5A" w:rsidRDefault="005538C6" w:rsidP="005538C6">
      <w:pPr>
        <w:spacing w:after="0" w:line="240" w:lineRule="auto"/>
        <w:jc w:val="both"/>
        <w:rPr>
          <w:rFonts w:ascii="Times New Roman" w:hAnsi="Times New Roman"/>
          <w:color w:val="0070C0"/>
          <w:sz w:val="16"/>
          <w:szCs w:val="16"/>
        </w:rPr>
      </w:pPr>
      <w:bookmarkStart w:id="46" w:name="bookmark1144"/>
      <w:bookmarkEnd w:id="46"/>
      <w:r w:rsidRPr="008A2E5A">
        <w:rPr>
          <w:rFonts w:ascii="Times New Roman" w:hAnsi="Times New Roman"/>
          <w:color w:val="0070C0"/>
          <w:sz w:val="16"/>
          <w:szCs w:val="16"/>
        </w:rPr>
        <w:t>Выполняет все распоряжения начальника АТУ ГАБТУ Красной Армии.</w:t>
      </w:r>
    </w:p>
    <w:p w14:paraId="009F1BB4" w14:textId="77777777" w:rsidR="005538C6" w:rsidRPr="008A2E5A" w:rsidRDefault="005538C6" w:rsidP="005538C6">
      <w:pPr>
        <w:spacing w:after="0" w:line="240" w:lineRule="auto"/>
        <w:jc w:val="both"/>
        <w:rPr>
          <w:rFonts w:ascii="Times New Roman" w:hAnsi="Times New Roman"/>
          <w:color w:val="0070C0"/>
          <w:sz w:val="16"/>
          <w:szCs w:val="16"/>
        </w:rPr>
      </w:pPr>
      <w:bookmarkStart w:id="47" w:name="bookmark1145"/>
      <w:bookmarkEnd w:id="47"/>
      <w:r w:rsidRPr="008A2E5A">
        <w:rPr>
          <w:rFonts w:ascii="Times New Roman" w:hAnsi="Times New Roman"/>
          <w:color w:val="0070C0"/>
          <w:sz w:val="16"/>
          <w:szCs w:val="16"/>
        </w:rPr>
        <w:t>Является представителем А ТУ на месте.</w:t>
      </w:r>
    </w:p>
    <w:p w14:paraId="72F672B9" w14:textId="77777777" w:rsidR="005538C6" w:rsidRPr="008A2E5A" w:rsidRDefault="005538C6" w:rsidP="005538C6">
      <w:pPr>
        <w:spacing w:after="0" w:line="240" w:lineRule="auto"/>
        <w:jc w:val="both"/>
        <w:rPr>
          <w:rFonts w:ascii="Times New Roman" w:hAnsi="Times New Roman"/>
          <w:color w:val="0070C0"/>
          <w:sz w:val="16"/>
          <w:szCs w:val="16"/>
        </w:rPr>
      </w:pPr>
      <w:bookmarkStart w:id="48" w:name="bookmark1146"/>
      <w:bookmarkEnd w:id="48"/>
      <w:r w:rsidRPr="008A2E5A">
        <w:rPr>
          <w:rFonts w:ascii="Times New Roman" w:hAnsi="Times New Roman"/>
          <w:color w:val="0070C0"/>
          <w:sz w:val="16"/>
          <w:szCs w:val="16"/>
        </w:rPr>
        <w:t>Ежедневно доносит на основании полученных сведений от полка о движении автомашин и запчастей на складе в Джульфе.</w:t>
      </w:r>
    </w:p>
    <w:p w14:paraId="739C1519"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АТУ ГАБТУ КА генерал-майор Тягунов. 20.07.1942 г.</w:t>
      </w:r>
    </w:p>
    <w:p w14:paraId="45E2490E" w14:textId="77777777" w:rsidR="005538C6" w:rsidRPr="008A2E5A" w:rsidRDefault="005538C6" w:rsidP="005538C6">
      <w:pPr>
        <w:spacing w:after="0" w:line="240" w:lineRule="auto"/>
        <w:jc w:val="both"/>
        <w:rPr>
          <w:rFonts w:ascii="Times New Roman" w:hAnsi="Times New Roman"/>
          <w:color w:val="0070C0"/>
          <w:sz w:val="16"/>
          <w:szCs w:val="16"/>
        </w:rPr>
      </w:pPr>
      <w:bookmarkStart w:id="49" w:name="bookmark1147"/>
      <w:bookmarkStart w:id="50" w:name="bookmark1148"/>
      <w:bookmarkStart w:id="51" w:name="bookmark1149"/>
      <w:r w:rsidRPr="008A2E5A">
        <w:rPr>
          <w:rFonts w:ascii="Times New Roman" w:hAnsi="Times New Roman"/>
          <w:color w:val="0070C0"/>
          <w:sz w:val="16"/>
          <w:szCs w:val="16"/>
        </w:rPr>
        <w:t>Схема перевозок:</w:t>
      </w:r>
      <w:bookmarkEnd w:id="49"/>
      <w:bookmarkEnd w:id="50"/>
      <w:bookmarkEnd w:id="51"/>
    </w:p>
    <w:p w14:paraId="15198A5C" w14:textId="77777777" w:rsidR="005538C6" w:rsidRPr="008A2E5A" w:rsidRDefault="005538C6" w:rsidP="005538C6">
      <w:pPr>
        <w:spacing w:after="0" w:line="240" w:lineRule="auto"/>
        <w:jc w:val="both"/>
        <w:rPr>
          <w:rFonts w:ascii="Times New Roman" w:hAnsi="Times New Roman"/>
          <w:color w:val="0070C0"/>
          <w:sz w:val="16"/>
          <w:szCs w:val="16"/>
        </w:rPr>
      </w:pPr>
      <w:bookmarkStart w:id="52" w:name="bookmark1150"/>
      <w:bookmarkEnd w:id="52"/>
      <w:r w:rsidRPr="008A2E5A">
        <w:rPr>
          <w:rFonts w:ascii="Times New Roman" w:hAnsi="Times New Roman"/>
          <w:color w:val="0070C0"/>
          <w:sz w:val="16"/>
          <w:szCs w:val="16"/>
        </w:rPr>
        <w:t>Поступление грузов в Иран.</w:t>
      </w:r>
    </w:p>
    <w:p w14:paraId="0FDDB0F5"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Океанский груз поступал в порты Персидского залива: Хорремшехр, Бендер-Шахпур, Басра (с речной пристанью Танума), Бендер-Бушир, речная пристань Ахваз. Наиболь</w:t>
      </w:r>
      <w:r w:rsidRPr="008A2E5A">
        <w:rPr>
          <w:rFonts w:ascii="Times New Roman" w:hAnsi="Times New Roman"/>
          <w:color w:val="0070C0"/>
          <w:sz w:val="16"/>
          <w:szCs w:val="16"/>
        </w:rPr>
        <w:softHyphen/>
        <w:t>шее значение по количеству переработанных грузов занимал порт Хорремшехр. Порт Бендер-Бушир работал только до середины второго квартала 1943 года.</w:t>
      </w:r>
    </w:p>
    <w:p w14:paraId="46DA700F" w14:textId="77777777" w:rsidR="005538C6" w:rsidRPr="008A2E5A" w:rsidRDefault="005538C6" w:rsidP="005538C6">
      <w:pPr>
        <w:spacing w:after="0" w:line="240" w:lineRule="auto"/>
        <w:jc w:val="both"/>
        <w:rPr>
          <w:rFonts w:ascii="Times New Roman" w:hAnsi="Times New Roman"/>
          <w:color w:val="0070C0"/>
          <w:sz w:val="16"/>
          <w:szCs w:val="16"/>
        </w:rPr>
      </w:pPr>
      <w:bookmarkStart w:id="53" w:name="bookmark1151"/>
      <w:bookmarkEnd w:id="53"/>
      <w:r w:rsidRPr="008A2E5A">
        <w:rPr>
          <w:rFonts w:ascii="Times New Roman" w:hAnsi="Times New Roman"/>
          <w:color w:val="0070C0"/>
          <w:sz w:val="16"/>
          <w:szCs w:val="16"/>
        </w:rPr>
        <w:t>Вывоз с юга в Союз и на перевалочные пункты на терри</w:t>
      </w:r>
      <w:r w:rsidRPr="008A2E5A">
        <w:rPr>
          <w:rFonts w:ascii="Times New Roman" w:hAnsi="Times New Roman"/>
          <w:color w:val="0070C0"/>
          <w:sz w:val="16"/>
          <w:szCs w:val="16"/>
        </w:rPr>
        <w:softHyphen/>
        <w:t>тории Ирана.</w:t>
      </w:r>
    </w:p>
    <w:p w14:paraId="4509CD1C"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Железной дорогой:</w:t>
      </w:r>
    </w:p>
    <w:p w14:paraId="240E86F6" w14:textId="77777777" w:rsidR="005538C6" w:rsidRPr="008A2E5A" w:rsidRDefault="005538C6" w:rsidP="005538C6">
      <w:pPr>
        <w:spacing w:after="0" w:line="240" w:lineRule="auto"/>
        <w:jc w:val="both"/>
        <w:rPr>
          <w:rFonts w:ascii="Times New Roman" w:hAnsi="Times New Roman"/>
          <w:color w:val="0070C0"/>
          <w:sz w:val="16"/>
          <w:szCs w:val="16"/>
        </w:rPr>
      </w:pPr>
      <w:bookmarkStart w:id="54" w:name="bookmark1152"/>
      <w:bookmarkEnd w:id="54"/>
      <w:r w:rsidRPr="008A2E5A">
        <w:rPr>
          <w:rFonts w:ascii="Times New Roman" w:hAnsi="Times New Roman"/>
          <w:color w:val="0070C0"/>
          <w:sz w:val="16"/>
          <w:szCs w:val="16"/>
        </w:rPr>
        <w:t>Хорремшехр—Ахваз—Тегеран.</w:t>
      </w:r>
    </w:p>
    <w:p w14:paraId="5C5C5266" w14:textId="77777777" w:rsidR="005538C6" w:rsidRPr="008A2E5A" w:rsidRDefault="005538C6" w:rsidP="005538C6">
      <w:pPr>
        <w:spacing w:after="0" w:line="240" w:lineRule="auto"/>
        <w:jc w:val="both"/>
        <w:rPr>
          <w:rFonts w:ascii="Times New Roman" w:hAnsi="Times New Roman"/>
          <w:color w:val="0070C0"/>
          <w:sz w:val="16"/>
          <w:szCs w:val="16"/>
        </w:rPr>
      </w:pPr>
      <w:bookmarkStart w:id="55" w:name="bookmark1153"/>
      <w:bookmarkEnd w:id="55"/>
      <w:r w:rsidRPr="008A2E5A">
        <w:rPr>
          <w:rFonts w:ascii="Times New Roman" w:hAnsi="Times New Roman"/>
          <w:color w:val="0070C0"/>
          <w:sz w:val="16"/>
          <w:szCs w:val="16"/>
        </w:rPr>
        <w:t>Бендер-Шахпур—Ахваз—Тегеран.</w:t>
      </w:r>
    </w:p>
    <w:p w14:paraId="5CD1F463" w14:textId="77777777" w:rsidR="005538C6" w:rsidRPr="008A2E5A" w:rsidRDefault="005538C6" w:rsidP="005538C6">
      <w:pPr>
        <w:spacing w:after="0" w:line="240" w:lineRule="auto"/>
        <w:jc w:val="both"/>
        <w:rPr>
          <w:rFonts w:ascii="Times New Roman" w:hAnsi="Times New Roman"/>
          <w:color w:val="0070C0"/>
          <w:sz w:val="16"/>
          <w:szCs w:val="16"/>
        </w:rPr>
      </w:pPr>
      <w:bookmarkStart w:id="56" w:name="bookmark1154"/>
      <w:bookmarkEnd w:id="56"/>
      <w:r w:rsidRPr="008A2E5A">
        <w:rPr>
          <w:rFonts w:ascii="Times New Roman" w:hAnsi="Times New Roman"/>
          <w:color w:val="0070C0"/>
          <w:sz w:val="16"/>
          <w:szCs w:val="16"/>
        </w:rPr>
        <w:t>Тегеран—Миане (до начала 1943 года движение в сто</w:t>
      </w:r>
      <w:r w:rsidRPr="008A2E5A">
        <w:rPr>
          <w:rFonts w:ascii="Times New Roman" w:hAnsi="Times New Roman"/>
          <w:color w:val="0070C0"/>
          <w:sz w:val="16"/>
          <w:szCs w:val="16"/>
        </w:rPr>
        <w:softHyphen/>
        <w:t>рону Тебриза происходило только до Зенджана).</w:t>
      </w:r>
    </w:p>
    <w:p w14:paraId="7D9951ED" w14:textId="77777777" w:rsidR="005538C6" w:rsidRPr="008A2E5A" w:rsidRDefault="005538C6" w:rsidP="005538C6">
      <w:pPr>
        <w:spacing w:after="0" w:line="240" w:lineRule="auto"/>
        <w:jc w:val="both"/>
        <w:rPr>
          <w:rFonts w:ascii="Times New Roman" w:hAnsi="Times New Roman"/>
          <w:color w:val="0070C0"/>
          <w:sz w:val="16"/>
          <w:szCs w:val="16"/>
        </w:rPr>
      </w:pPr>
      <w:bookmarkStart w:id="57" w:name="bookmark1155"/>
      <w:bookmarkEnd w:id="57"/>
      <w:r w:rsidRPr="008A2E5A">
        <w:rPr>
          <w:rFonts w:ascii="Times New Roman" w:hAnsi="Times New Roman"/>
          <w:color w:val="0070C0"/>
          <w:sz w:val="16"/>
          <w:szCs w:val="16"/>
        </w:rPr>
        <w:t>Тегеран—Бендер-Шах.</w:t>
      </w:r>
    </w:p>
    <w:p w14:paraId="7DE8FABD" w14:textId="77777777" w:rsidR="005538C6" w:rsidRPr="008A2E5A" w:rsidRDefault="005538C6" w:rsidP="005538C6">
      <w:pPr>
        <w:spacing w:after="0" w:line="240" w:lineRule="auto"/>
        <w:jc w:val="both"/>
        <w:rPr>
          <w:rFonts w:ascii="Times New Roman" w:hAnsi="Times New Roman"/>
          <w:color w:val="0070C0"/>
          <w:sz w:val="16"/>
          <w:szCs w:val="16"/>
        </w:rPr>
      </w:pPr>
      <w:bookmarkStart w:id="58" w:name="bookmark1156"/>
      <w:bookmarkEnd w:id="58"/>
      <w:r w:rsidRPr="008A2E5A">
        <w:rPr>
          <w:rFonts w:ascii="Times New Roman" w:hAnsi="Times New Roman"/>
          <w:color w:val="0070C0"/>
          <w:sz w:val="16"/>
          <w:szCs w:val="16"/>
        </w:rPr>
        <w:t>Тегеран—Шахруд.</w:t>
      </w:r>
    </w:p>
    <w:p w14:paraId="6DE8186C"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Средняя глубина перевозки — до 1400 км.</w:t>
      </w:r>
    </w:p>
    <w:p w14:paraId="7BFDD97F"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Автомобильным транспортом:</w:t>
      </w:r>
    </w:p>
    <w:p w14:paraId="548DDD7D" w14:textId="77777777" w:rsidR="005538C6" w:rsidRPr="008A2E5A" w:rsidRDefault="005538C6" w:rsidP="005538C6">
      <w:pPr>
        <w:spacing w:after="0" w:line="240" w:lineRule="auto"/>
        <w:jc w:val="both"/>
        <w:rPr>
          <w:rFonts w:ascii="Times New Roman" w:hAnsi="Times New Roman"/>
          <w:color w:val="0070C0"/>
          <w:sz w:val="16"/>
          <w:szCs w:val="16"/>
        </w:rPr>
      </w:pPr>
      <w:bookmarkStart w:id="59" w:name="bookmark1157"/>
      <w:bookmarkEnd w:id="59"/>
      <w:r w:rsidRPr="008A2E5A">
        <w:rPr>
          <w:rFonts w:ascii="Times New Roman" w:hAnsi="Times New Roman"/>
          <w:color w:val="0070C0"/>
          <w:sz w:val="16"/>
          <w:szCs w:val="16"/>
        </w:rPr>
        <w:t>Водительским составом автомобильных частей СТУ:</w:t>
      </w:r>
    </w:p>
    <w:p w14:paraId="6176E418" w14:textId="77777777" w:rsidR="005538C6" w:rsidRPr="008A2E5A" w:rsidRDefault="005538C6" w:rsidP="005538C6">
      <w:pPr>
        <w:spacing w:after="0" w:line="240" w:lineRule="auto"/>
        <w:jc w:val="both"/>
        <w:rPr>
          <w:rFonts w:ascii="Times New Roman" w:hAnsi="Times New Roman"/>
          <w:color w:val="0070C0"/>
          <w:sz w:val="16"/>
          <w:szCs w:val="16"/>
        </w:rPr>
      </w:pPr>
      <w:bookmarkStart w:id="60" w:name="bookmark1158"/>
      <w:r w:rsidRPr="008A2E5A">
        <w:rPr>
          <w:rFonts w:ascii="Times New Roman" w:hAnsi="Times New Roman"/>
          <w:color w:val="0070C0"/>
          <w:sz w:val="16"/>
          <w:szCs w:val="16"/>
        </w:rPr>
        <w:t>а</w:t>
      </w:r>
      <w:bookmarkEnd w:id="60"/>
      <w:r w:rsidRPr="008A2E5A">
        <w:rPr>
          <w:rFonts w:ascii="Times New Roman" w:hAnsi="Times New Roman"/>
          <w:color w:val="0070C0"/>
          <w:sz w:val="16"/>
          <w:szCs w:val="16"/>
        </w:rPr>
        <w:t>) . Бендер-Бушир—Джульфа Советская—Ашхабад и Ки-</w:t>
      </w:r>
    </w:p>
    <w:p w14:paraId="291944D6"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зыл-Арват.</w:t>
      </w:r>
    </w:p>
    <w:p w14:paraId="49729098" w14:textId="77777777" w:rsidR="005538C6" w:rsidRPr="008A2E5A" w:rsidRDefault="005538C6" w:rsidP="005538C6">
      <w:pPr>
        <w:spacing w:after="0" w:line="240" w:lineRule="auto"/>
        <w:jc w:val="both"/>
        <w:rPr>
          <w:rFonts w:ascii="Times New Roman" w:hAnsi="Times New Roman"/>
          <w:color w:val="0070C0"/>
          <w:sz w:val="16"/>
          <w:szCs w:val="16"/>
        </w:rPr>
      </w:pPr>
      <w:bookmarkStart w:id="61" w:name="bookmark1159"/>
      <w:r w:rsidRPr="008A2E5A">
        <w:rPr>
          <w:rFonts w:ascii="Times New Roman" w:hAnsi="Times New Roman"/>
          <w:color w:val="0070C0"/>
          <w:sz w:val="16"/>
          <w:szCs w:val="16"/>
        </w:rPr>
        <w:t>б</w:t>
      </w:r>
      <w:bookmarkEnd w:id="61"/>
      <w:r w:rsidRPr="008A2E5A">
        <w:rPr>
          <w:rFonts w:ascii="Times New Roman" w:hAnsi="Times New Roman"/>
          <w:color w:val="0070C0"/>
          <w:sz w:val="16"/>
          <w:szCs w:val="16"/>
        </w:rPr>
        <w:t>) . Андимешк—Джульфа Советская.</w:t>
      </w:r>
    </w:p>
    <w:p w14:paraId="4B2202AA" w14:textId="77777777" w:rsidR="005538C6" w:rsidRPr="008A2E5A" w:rsidRDefault="005538C6" w:rsidP="005538C6">
      <w:pPr>
        <w:spacing w:after="0" w:line="240" w:lineRule="auto"/>
        <w:jc w:val="both"/>
        <w:rPr>
          <w:rFonts w:ascii="Times New Roman" w:hAnsi="Times New Roman"/>
          <w:color w:val="0070C0"/>
          <w:sz w:val="16"/>
          <w:szCs w:val="16"/>
        </w:rPr>
      </w:pPr>
      <w:bookmarkStart w:id="62" w:name="bookmark1160"/>
      <w:r w:rsidRPr="008A2E5A">
        <w:rPr>
          <w:rFonts w:ascii="Times New Roman" w:hAnsi="Times New Roman"/>
          <w:color w:val="0070C0"/>
          <w:sz w:val="16"/>
          <w:szCs w:val="16"/>
        </w:rPr>
        <w:t>в</w:t>
      </w:r>
      <w:bookmarkEnd w:id="62"/>
      <w:r w:rsidRPr="008A2E5A">
        <w:rPr>
          <w:rFonts w:ascii="Times New Roman" w:hAnsi="Times New Roman"/>
          <w:color w:val="0070C0"/>
          <w:sz w:val="16"/>
          <w:szCs w:val="16"/>
        </w:rPr>
        <w:t>) . Хорремшехр—Джульфа Советская.</w:t>
      </w:r>
    </w:p>
    <w:p w14:paraId="72CD1FBA"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указанным выше маршрутам на общую глубину до 2200 км работал на перегонке собранных импортных ма</w:t>
      </w:r>
      <w:r w:rsidRPr="008A2E5A">
        <w:rPr>
          <w:rFonts w:ascii="Times New Roman" w:hAnsi="Times New Roman"/>
          <w:color w:val="0070C0"/>
          <w:sz w:val="16"/>
          <w:szCs w:val="16"/>
        </w:rPr>
        <w:softHyphen/>
        <w:t>шин с грузом водительский состав автомобильных частей СТУ.</w:t>
      </w:r>
    </w:p>
    <w:p w14:paraId="424718F5" w14:textId="77777777" w:rsidR="005538C6" w:rsidRPr="008A2E5A" w:rsidRDefault="005538C6" w:rsidP="005538C6">
      <w:pPr>
        <w:spacing w:after="0" w:line="240" w:lineRule="auto"/>
        <w:jc w:val="both"/>
        <w:rPr>
          <w:rFonts w:ascii="Times New Roman" w:hAnsi="Times New Roman"/>
          <w:color w:val="0070C0"/>
          <w:sz w:val="16"/>
          <w:szCs w:val="16"/>
        </w:rPr>
      </w:pPr>
      <w:bookmarkStart w:id="63" w:name="bookmark1161"/>
      <w:bookmarkEnd w:id="63"/>
      <w:r w:rsidRPr="008A2E5A">
        <w:rPr>
          <w:rFonts w:ascii="Times New Roman" w:hAnsi="Times New Roman"/>
          <w:color w:val="0070C0"/>
          <w:sz w:val="16"/>
          <w:szCs w:val="16"/>
        </w:rPr>
        <w:t>Наемным водительским составом из числа иранского на</w:t>
      </w:r>
      <w:r w:rsidRPr="008A2E5A">
        <w:rPr>
          <w:rFonts w:ascii="Times New Roman" w:hAnsi="Times New Roman"/>
          <w:color w:val="0070C0"/>
          <w:sz w:val="16"/>
          <w:szCs w:val="16"/>
        </w:rPr>
        <w:softHyphen/>
        <w:t>селения.</w:t>
      </w:r>
    </w:p>
    <w:p w14:paraId="3C95488B"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Перегонялись собранные на автосборочных заводах в Андимешке, Хорремшехре и Рафадайе импортные маши</w:t>
      </w:r>
      <w:r w:rsidRPr="008A2E5A">
        <w:rPr>
          <w:rFonts w:ascii="Times New Roman" w:hAnsi="Times New Roman"/>
          <w:color w:val="0070C0"/>
          <w:sz w:val="16"/>
          <w:szCs w:val="16"/>
        </w:rPr>
        <w:softHyphen/>
        <w:t>ны с импортным грузом в Джульфу Иранскую.</w:t>
      </w:r>
    </w:p>
    <w:p w14:paraId="460CD8A8" w14:textId="77777777" w:rsidR="005538C6" w:rsidRPr="008A2E5A" w:rsidRDefault="005538C6" w:rsidP="005538C6">
      <w:pPr>
        <w:spacing w:after="0" w:line="240" w:lineRule="auto"/>
        <w:jc w:val="both"/>
        <w:rPr>
          <w:rFonts w:ascii="Times New Roman" w:hAnsi="Times New Roman"/>
          <w:color w:val="0070C0"/>
          <w:sz w:val="16"/>
          <w:szCs w:val="16"/>
        </w:rPr>
      </w:pPr>
      <w:bookmarkStart w:id="64" w:name="bookmark1162"/>
      <w:bookmarkEnd w:id="64"/>
      <w:r w:rsidRPr="008A2E5A">
        <w:rPr>
          <w:rFonts w:ascii="Times New Roman" w:hAnsi="Times New Roman"/>
          <w:color w:val="0070C0"/>
          <w:sz w:val="16"/>
          <w:szCs w:val="16"/>
        </w:rPr>
        <w:t>Машинами ЮКСС (UKSS — английская объединенная ко</w:t>
      </w:r>
      <w:r w:rsidRPr="008A2E5A">
        <w:rPr>
          <w:rFonts w:ascii="Times New Roman" w:hAnsi="Times New Roman"/>
          <w:color w:val="0070C0"/>
          <w:sz w:val="16"/>
          <w:szCs w:val="16"/>
        </w:rPr>
        <w:softHyphen/>
        <w:t>ролевская коммерческая корпорация).</w:t>
      </w:r>
    </w:p>
    <w:p w14:paraId="75E08EE7"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Перевозка грузов по маршрутам: Ханикен—Тавриз, Хани- кен—Пехлеви, Ханикен—Ноушехр, Захедан—Новый Ку- чан, Захедан—Баджги ран.</w:t>
      </w:r>
    </w:p>
    <w:p w14:paraId="42D72702"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последним двум маршрутам поступал груз непосред</w:t>
      </w:r>
      <w:r w:rsidRPr="008A2E5A">
        <w:rPr>
          <w:rFonts w:ascii="Times New Roman" w:hAnsi="Times New Roman"/>
          <w:color w:val="0070C0"/>
          <w:sz w:val="16"/>
          <w:szCs w:val="16"/>
        </w:rPr>
        <w:softHyphen/>
        <w:t>ственно из Индии и из индийского порта Карачи (в Карачи направлялся американский груз, переотправлявшийся туда вследствие невозможности (со стороны союзников) переработать его в портах Персидского залива).</w:t>
      </w:r>
    </w:p>
    <w:p w14:paraId="53005191" w14:textId="77777777" w:rsidR="005538C6" w:rsidRPr="008A2E5A" w:rsidRDefault="005538C6" w:rsidP="005538C6">
      <w:pPr>
        <w:spacing w:after="0" w:line="240" w:lineRule="auto"/>
        <w:jc w:val="both"/>
        <w:rPr>
          <w:rFonts w:ascii="Times New Roman" w:hAnsi="Times New Roman"/>
          <w:color w:val="0070C0"/>
          <w:sz w:val="16"/>
          <w:szCs w:val="16"/>
        </w:rPr>
      </w:pPr>
      <w:bookmarkStart w:id="65" w:name="bookmark1163"/>
      <w:bookmarkEnd w:id="65"/>
      <w:r w:rsidRPr="008A2E5A">
        <w:rPr>
          <w:rFonts w:ascii="Times New Roman" w:hAnsi="Times New Roman"/>
          <w:color w:val="0070C0"/>
          <w:sz w:val="16"/>
          <w:szCs w:val="16"/>
        </w:rPr>
        <w:t>Английскими военными колоннами:</w:t>
      </w:r>
    </w:p>
    <w:p w14:paraId="4E45F959"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Перевозка грузов по маршрутам: Ханикен—Тебриз и Анди</w:t>
      </w:r>
      <w:r w:rsidRPr="008A2E5A">
        <w:rPr>
          <w:rFonts w:ascii="Times New Roman" w:hAnsi="Times New Roman"/>
          <w:color w:val="0070C0"/>
          <w:sz w:val="16"/>
          <w:szCs w:val="16"/>
        </w:rPr>
        <w:softHyphen/>
        <w:t>мешк—Тебриз.</w:t>
      </w:r>
    </w:p>
    <w:p w14:paraId="6D7BA4B8" w14:textId="77777777" w:rsidR="005538C6" w:rsidRPr="008A2E5A" w:rsidRDefault="005538C6" w:rsidP="005538C6">
      <w:pPr>
        <w:spacing w:after="0" w:line="240" w:lineRule="auto"/>
        <w:jc w:val="both"/>
        <w:rPr>
          <w:rFonts w:ascii="Times New Roman" w:hAnsi="Times New Roman"/>
          <w:color w:val="0070C0"/>
          <w:sz w:val="16"/>
          <w:szCs w:val="16"/>
        </w:rPr>
      </w:pPr>
      <w:bookmarkStart w:id="66" w:name="bookmark1164"/>
      <w:bookmarkEnd w:id="66"/>
      <w:r w:rsidRPr="008A2E5A">
        <w:rPr>
          <w:rFonts w:ascii="Times New Roman" w:hAnsi="Times New Roman"/>
          <w:color w:val="0070C0"/>
          <w:sz w:val="16"/>
          <w:szCs w:val="16"/>
        </w:rPr>
        <w:t>Американскими военными колоннами:</w:t>
      </w:r>
    </w:p>
    <w:p w14:paraId="3B6B1B6F"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Перевозка грузов из Хорремшехра и Андимешка в Каз- вин. Американские машины начали работать только с марта 1943 г.</w:t>
      </w:r>
    </w:p>
    <w:p w14:paraId="17083D14" w14:textId="77777777" w:rsidR="005538C6" w:rsidRPr="008A2E5A" w:rsidRDefault="005538C6" w:rsidP="005538C6">
      <w:pPr>
        <w:spacing w:after="0" w:line="240" w:lineRule="auto"/>
        <w:jc w:val="both"/>
        <w:rPr>
          <w:rFonts w:ascii="Times New Roman" w:hAnsi="Times New Roman"/>
          <w:color w:val="0070C0"/>
          <w:sz w:val="16"/>
          <w:szCs w:val="16"/>
        </w:rPr>
      </w:pPr>
      <w:bookmarkStart w:id="67" w:name="bookmark1165"/>
      <w:bookmarkEnd w:id="67"/>
      <w:r w:rsidRPr="008A2E5A">
        <w:rPr>
          <w:rFonts w:ascii="Times New Roman" w:hAnsi="Times New Roman"/>
          <w:color w:val="0070C0"/>
          <w:sz w:val="16"/>
          <w:szCs w:val="16"/>
        </w:rPr>
        <w:t>Вывоз с перевалочных пунктов на конечные пункты и в Союз.</w:t>
      </w:r>
    </w:p>
    <w:p w14:paraId="321BF43E" w14:textId="77777777" w:rsidR="005538C6" w:rsidRPr="008A2E5A" w:rsidRDefault="005538C6" w:rsidP="005538C6">
      <w:pPr>
        <w:spacing w:after="0" w:line="240" w:lineRule="auto"/>
        <w:jc w:val="both"/>
        <w:rPr>
          <w:rFonts w:ascii="Times New Roman" w:hAnsi="Times New Roman"/>
          <w:color w:val="0070C0"/>
          <w:sz w:val="16"/>
          <w:szCs w:val="16"/>
        </w:rPr>
      </w:pPr>
      <w:bookmarkStart w:id="68" w:name="bookmark1166"/>
      <w:bookmarkEnd w:id="68"/>
      <w:r w:rsidRPr="008A2E5A">
        <w:rPr>
          <w:rFonts w:ascii="Times New Roman" w:hAnsi="Times New Roman"/>
          <w:color w:val="0070C0"/>
          <w:sz w:val="16"/>
          <w:szCs w:val="16"/>
        </w:rPr>
        <w:t>Автомобильным транспортом частей СТУ:</w:t>
      </w:r>
    </w:p>
    <w:p w14:paraId="7575CF67"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маршрутам: Зенджан (в дальнейшем — Миане) — Тебриз, Миане—Джульфа Советская, Казвин—Астара Советская, Казвин—Пехлеви, Пехлеви—Порт Ильича, Пехлеви—Астара Советская, Тегеран—Ноушехр, Ке- редж—Ноушехр, Шахи—Ноушехр, Бендер-Шах—Кизыл-Арват, Шахруд—Ашхабад, Кучам—Ашхабад, Баджги- ран—Ашхабад.</w:t>
      </w:r>
    </w:p>
    <w:p w14:paraId="43A29D4D" w14:textId="77777777" w:rsidR="005538C6" w:rsidRPr="008A2E5A" w:rsidRDefault="005538C6" w:rsidP="005538C6">
      <w:pPr>
        <w:spacing w:after="0" w:line="240" w:lineRule="auto"/>
        <w:jc w:val="both"/>
        <w:rPr>
          <w:rFonts w:ascii="Times New Roman" w:hAnsi="Times New Roman"/>
          <w:color w:val="0070C0"/>
          <w:sz w:val="16"/>
          <w:szCs w:val="16"/>
        </w:rPr>
      </w:pPr>
      <w:bookmarkStart w:id="69" w:name="bookmark1176"/>
      <w:bookmarkEnd w:id="69"/>
      <w:r w:rsidRPr="008A2E5A">
        <w:rPr>
          <w:rFonts w:ascii="Times New Roman" w:hAnsi="Times New Roman"/>
          <w:color w:val="0070C0"/>
          <w:sz w:val="16"/>
          <w:szCs w:val="16"/>
        </w:rPr>
        <w:t>Автомобильными отрядами, состоящими из вольнона</w:t>
      </w:r>
      <w:r w:rsidRPr="008A2E5A">
        <w:rPr>
          <w:rFonts w:ascii="Times New Roman" w:hAnsi="Times New Roman"/>
          <w:color w:val="0070C0"/>
          <w:sz w:val="16"/>
          <w:szCs w:val="16"/>
        </w:rPr>
        <w:softHyphen/>
        <w:t>емных иранских водителей:</w:t>
      </w:r>
    </w:p>
    <w:p w14:paraId="5079689D"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маршруту: Казвин—Пехлеви.</w:t>
      </w:r>
    </w:p>
    <w:p w14:paraId="5CAF407A" w14:textId="77777777" w:rsidR="005538C6" w:rsidRPr="008A2E5A" w:rsidRDefault="005538C6" w:rsidP="005538C6">
      <w:pPr>
        <w:spacing w:after="0" w:line="240" w:lineRule="auto"/>
        <w:jc w:val="both"/>
        <w:rPr>
          <w:rFonts w:ascii="Times New Roman" w:hAnsi="Times New Roman"/>
          <w:color w:val="0070C0"/>
          <w:sz w:val="16"/>
          <w:szCs w:val="16"/>
        </w:rPr>
      </w:pPr>
      <w:bookmarkStart w:id="70" w:name="bookmark1177"/>
      <w:bookmarkEnd w:id="70"/>
      <w:r w:rsidRPr="008A2E5A">
        <w:rPr>
          <w:rFonts w:ascii="Times New Roman" w:hAnsi="Times New Roman"/>
          <w:color w:val="0070C0"/>
          <w:sz w:val="16"/>
          <w:szCs w:val="16"/>
        </w:rPr>
        <w:t>Зафрахтованными машинами:</w:t>
      </w:r>
    </w:p>
    <w:p w14:paraId="4A49624F"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Машины частных иранских купцов работали на марш</w:t>
      </w:r>
      <w:r w:rsidRPr="008A2E5A">
        <w:rPr>
          <w:rFonts w:ascii="Times New Roman" w:hAnsi="Times New Roman"/>
          <w:color w:val="0070C0"/>
          <w:sz w:val="16"/>
          <w:szCs w:val="16"/>
        </w:rPr>
        <w:softHyphen/>
        <w:t>рутах: Миане—Тебриз, Казвин—Пехлеви, Тегеран—Но- ушехр, Шахи—Ноушехр, Шахруд—Кучан, Шахруд—Баджгиран, Мешхед—Баджгиран.</w:t>
      </w:r>
    </w:p>
    <w:p w14:paraId="7C4D504E" w14:textId="77777777" w:rsidR="005538C6" w:rsidRPr="008A2E5A" w:rsidRDefault="005538C6" w:rsidP="005538C6">
      <w:pPr>
        <w:spacing w:after="0" w:line="240" w:lineRule="auto"/>
        <w:jc w:val="both"/>
        <w:rPr>
          <w:rFonts w:ascii="Times New Roman" w:hAnsi="Times New Roman"/>
          <w:color w:val="0070C0"/>
          <w:sz w:val="16"/>
          <w:szCs w:val="16"/>
        </w:rPr>
      </w:pPr>
      <w:bookmarkStart w:id="71" w:name="bookmark1178"/>
      <w:bookmarkEnd w:id="71"/>
      <w:r w:rsidRPr="008A2E5A">
        <w:rPr>
          <w:rFonts w:ascii="Times New Roman" w:hAnsi="Times New Roman"/>
          <w:color w:val="0070C0"/>
          <w:sz w:val="16"/>
          <w:szCs w:val="16"/>
        </w:rPr>
        <w:lastRenderedPageBreak/>
        <w:t>По Тебризской железной дороге — из Тебриза на За</w:t>
      </w:r>
      <w:r w:rsidRPr="008A2E5A">
        <w:rPr>
          <w:rFonts w:ascii="Times New Roman" w:hAnsi="Times New Roman"/>
          <w:color w:val="0070C0"/>
          <w:sz w:val="16"/>
          <w:szCs w:val="16"/>
        </w:rPr>
        <w:softHyphen/>
        <w:t>кавказскую железную дорогу.</w:t>
      </w:r>
    </w:p>
    <w:p w14:paraId="3D0EB7D9"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По воздуху:</w:t>
      </w:r>
    </w:p>
    <w:p w14:paraId="78AFCEE1"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Перевозки грузов производились только в особых случа</w:t>
      </w:r>
      <w:r w:rsidRPr="008A2E5A">
        <w:rPr>
          <w:rFonts w:ascii="Times New Roman" w:hAnsi="Times New Roman"/>
          <w:color w:val="0070C0"/>
          <w:sz w:val="16"/>
          <w:szCs w:val="16"/>
        </w:rPr>
        <w:softHyphen/>
        <w:t>ях при наличии специального задания (например срочная транспортировка ценностей, медикаментов и пр.).</w:t>
      </w:r>
    </w:p>
    <w:p w14:paraId="0BA07FC8"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Морским транспортом:</w:t>
      </w:r>
    </w:p>
    <w:p w14:paraId="2752E0D1"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Груз перевозился судами Каспийского флота и Касптан- кера с курсированием от портов Бендер-Шах, Ноушехр, Пехлеви на Красноводск, Баку, Махачкала.</w:t>
      </w:r>
    </w:p>
    <w:p w14:paraId="31877E81"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связи с уменьшением к концу 1944 года поступления им</w:t>
      </w:r>
      <w:r w:rsidRPr="008A2E5A">
        <w:rPr>
          <w:rFonts w:ascii="Times New Roman" w:hAnsi="Times New Roman"/>
          <w:color w:val="0070C0"/>
          <w:sz w:val="16"/>
          <w:szCs w:val="16"/>
        </w:rPr>
        <w:softHyphen/>
        <w:t>портных грузов с юга, в целях экономии средств и необ</w:t>
      </w:r>
      <w:r w:rsidRPr="008A2E5A">
        <w:rPr>
          <w:rFonts w:ascii="Times New Roman" w:hAnsi="Times New Roman"/>
          <w:color w:val="0070C0"/>
          <w:sz w:val="16"/>
          <w:szCs w:val="16"/>
        </w:rPr>
        <w:softHyphen/>
        <w:t>ходимости более полно использовать железную дорогу была прекращена работа:</w:t>
      </w:r>
    </w:p>
    <w:p w14:paraId="360CE6C4" w14:textId="77777777" w:rsidR="005538C6" w:rsidRPr="008A2E5A" w:rsidRDefault="005538C6" w:rsidP="005538C6">
      <w:pPr>
        <w:spacing w:after="0" w:line="240" w:lineRule="auto"/>
        <w:jc w:val="both"/>
        <w:rPr>
          <w:rFonts w:ascii="Times New Roman" w:hAnsi="Times New Roman"/>
          <w:color w:val="0070C0"/>
          <w:sz w:val="16"/>
          <w:szCs w:val="16"/>
        </w:rPr>
      </w:pPr>
      <w:bookmarkStart w:id="72" w:name="bookmark1179"/>
      <w:bookmarkEnd w:id="72"/>
      <w:r w:rsidRPr="008A2E5A">
        <w:rPr>
          <w:rFonts w:ascii="Times New Roman" w:hAnsi="Times New Roman"/>
          <w:color w:val="0070C0"/>
          <w:sz w:val="16"/>
          <w:szCs w:val="16"/>
        </w:rPr>
        <w:t>американских военных машин — с декабря 1944 г.</w:t>
      </w:r>
    </w:p>
    <w:p w14:paraId="27FDC71E" w14:textId="77777777" w:rsidR="005538C6" w:rsidRPr="008A2E5A" w:rsidRDefault="005538C6" w:rsidP="005538C6">
      <w:pPr>
        <w:spacing w:after="0" w:line="240" w:lineRule="auto"/>
        <w:jc w:val="both"/>
        <w:rPr>
          <w:rFonts w:ascii="Times New Roman" w:hAnsi="Times New Roman"/>
          <w:color w:val="0070C0"/>
          <w:sz w:val="16"/>
          <w:szCs w:val="16"/>
        </w:rPr>
      </w:pPr>
      <w:bookmarkStart w:id="73" w:name="bookmark1180"/>
      <w:bookmarkEnd w:id="73"/>
      <w:r w:rsidRPr="008A2E5A">
        <w:rPr>
          <w:rFonts w:ascii="Times New Roman" w:hAnsi="Times New Roman"/>
          <w:color w:val="0070C0"/>
          <w:sz w:val="16"/>
          <w:szCs w:val="16"/>
        </w:rPr>
        <w:t>английских военных колонн — с середины 1944 г.</w:t>
      </w:r>
    </w:p>
    <w:p w14:paraId="4DCCA28A" w14:textId="77777777" w:rsidR="005538C6" w:rsidRPr="008A2E5A" w:rsidRDefault="005538C6" w:rsidP="005538C6">
      <w:pPr>
        <w:spacing w:after="0" w:line="240" w:lineRule="auto"/>
        <w:jc w:val="both"/>
        <w:rPr>
          <w:rFonts w:ascii="Times New Roman" w:hAnsi="Times New Roman"/>
          <w:color w:val="0070C0"/>
          <w:sz w:val="16"/>
          <w:szCs w:val="16"/>
        </w:rPr>
      </w:pPr>
      <w:bookmarkStart w:id="74" w:name="bookmark1181"/>
      <w:bookmarkEnd w:id="74"/>
      <w:r w:rsidRPr="008A2E5A">
        <w:rPr>
          <w:rFonts w:ascii="Times New Roman" w:hAnsi="Times New Roman"/>
          <w:color w:val="0070C0"/>
          <w:sz w:val="16"/>
          <w:szCs w:val="16"/>
        </w:rPr>
        <w:t>машин ЮКСС — с октября 1944 г.</w:t>
      </w:r>
    </w:p>
    <w:p w14:paraId="3E845D67" w14:textId="77777777" w:rsidR="005538C6" w:rsidRPr="008A2E5A" w:rsidRDefault="005538C6" w:rsidP="005538C6">
      <w:pPr>
        <w:spacing w:after="0" w:line="240" w:lineRule="auto"/>
        <w:jc w:val="both"/>
        <w:rPr>
          <w:rFonts w:ascii="Times New Roman" w:hAnsi="Times New Roman"/>
          <w:color w:val="0070C0"/>
          <w:sz w:val="16"/>
          <w:szCs w:val="16"/>
        </w:rPr>
      </w:pPr>
      <w:bookmarkStart w:id="75" w:name="bookmark1182"/>
      <w:bookmarkEnd w:id="75"/>
      <w:r w:rsidRPr="008A2E5A">
        <w:rPr>
          <w:rFonts w:ascii="Times New Roman" w:hAnsi="Times New Roman"/>
          <w:color w:val="0070C0"/>
          <w:sz w:val="16"/>
          <w:szCs w:val="16"/>
        </w:rPr>
        <w:t>зафрахтованных машин — с ноября 1944 г.</w:t>
      </w:r>
    </w:p>
    <w:p w14:paraId="77000704" w14:textId="77777777" w:rsidR="005538C6" w:rsidRPr="008A2E5A" w:rsidRDefault="005538C6" w:rsidP="005538C6">
      <w:pPr>
        <w:spacing w:after="0" w:line="240" w:lineRule="auto"/>
        <w:jc w:val="both"/>
        <w:rPr>
          <w:rFonts w:ascii="Times New Roman" w:hAnsi="Times New Roman"/>
          <w:color w:val="0070C0"/>
          <w:sz w:val="16"/>
          <w:szCs w:val="16"/>
        </w:rPr>
      </w:pPr>
      <w:bookmarkStart w:id="76" w:name="bookmark1183"/>
      <w:bookmarkEnd w:id="76"/>
      <w:r w:rsidRPr="008A2E5A">
        <w:rPr>
          <w:rFonts w:ascii="Times New Roman" w:hAnsi="Times New Roman"/>
          <w:color w:val="0070C0"/>
          <w:sz w:val="16"/>
          <w:szCs w:val="16"/>
        </w:rPr>
        <w:t>всех автомобильных отрядов с личным составом из иранцев — полностью к марту 1945 г.</w:t>
      </w:r>
    </w:p>
    <w:p w14:paraId="571A130C"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Основную роль в перевозке грузов для СССР сыграла же</w:t>
      </w:r>
      <w:r w:rsidRPr="008A2E5A">
        <w:rPr>
          <w:rFonts w:ascii="Times New Roman" w:hAnsi="Times New Roman"/>
          <w:color w:val="0070C0"/>
          <w:sz w:val="16"/>
          <w:szCs w:val="16"/>
        </w:rPr>
        <w:softHyphen/>
        <w:t>лезная дорога. Однако и удельный вес автотранспорта был также высок.</w:t>
      </w:r>
    </w:p>
    <w:p w14:paraId="1E599119"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Максимальное единовременное количество автотранспор</w:t>
      </w:r>
      <w:r w:rsidRPr="008A2E5A">
        <w:rPr>
          <w:rFonts w:ascii="Times New Roman" w:hAnsi="Times New Roman"/>
          <w:color w:val="0070C0"/>
          <w:sz w:val="16"/>
          <w:szCs w:val="16"/>
        </w:rPr>
        <w:softHyphen/>
        <w:t>та, участвовавшего в перевозках (к середине 1944 года):</w:t>
      </w:r>
    </w:p>
    <w:p w14:paraId="6D202879" w14:textId="77777777" w:rsidR="005538C6" w:rsidRPr="008A2E5A" w:rsidRDefault="005538C6" w:rsidP="005538C6">
      <w:pPr>
        <w:spacing w:after="0" w:line="240" w:lineRule="auto"/>
        <w:jc w:val="both"/>
        <w:rPr>
          <w:rFonts w:ascii="Times New Roman" w:hAnsi="Times New Roman"/>
          <w:color w:val="0070C0"/>
          <w:sz w:val="16"/>
          <w:szCs w:val="16"/>
        </w:rPr>
      </w:pPr>
      <w:bookmarkStart w:id="77" w:name="bookmark1184"/>
      <w:bookmarkEnd w:id="77"/>
      <w:r w:rsidRPr="008A2E5A">
        <w:rPr>
          <w:rFonts w:ascii="Times New Roman" w:hAnsi="Times New Roman"/>
          <w:color w:val="0070C0"/>
          <w:sz w:val="16"/>
          <w:szCs w:val="16"/>
        </w:rPr>
        <w:t>машин авточастей СТУ в Иране — до 4000 единиц</w:t>
      </w:r>
    </w:p>
    <w:p w14:paraId="05BD933C" w14:textId="77777777" w:rsidR="005538C6" w:rsidRPr="008A2E5A" w:rsidRDefault="005538C6" w:rsidP="005538C6">
      <w:pPr>
        <w:spacing w:after="0" w:line="240" w:lineRule="auto"/>
        <w:jc w:val="both"/>
        <w:rPr>
          <w:rFonts w:ascii="Times New Roman" w:hAnsi="Times New Roman"/>
          <w:color w:val="0070C0"/>
          <w:sz w:val="16"/>
          <w:szCs w:val="16"/>
        </w:rPr>
      </w:pPr>
      <w:bookmarkStart w:id="78" w:name="bookmark1185"/>
      <w:bookmarkEnd w:id="78"/>
      <w:r w:rsidRPr="008A2E5A">
        <w:rPr>
          <w:rFonts w:ascii="Times New Roman" w:hAnsi="Times New Roman"/>
          <w:color w:val="0070C0"/>
          <w:sz w:val="16"/>
          <w:szCs w:val="16"/>
        </w:rPr>
        <w:t>машин ЮКСС — до 2000 единиц</w:t>
      </w:r>
    </w:p>
    <w:p w14:paraId="54C62037" w14:textId="77777777" w:rsidR="005538C6" w:rsidRPr="008A2E5A" w:rsidRDefault="005538C6" w:rsidP="005538C6">
      <w:pPr>
        <w:spacing w:after="0" w:line="240" w:lineRule="auto"/>
        <w:jc w:val="both"/>
        <w:rPr>
          <w:rFonts w:ascii="Times New Roman" w:hAnsi="Times New Roman"/>
          <w:color w:val="0070C0"/>
          <w:sz w:val="16"/>
          <w:szCs w:val="16"/>
        </w:rPr>
      </w:pPr>
      <w:bookmarkStart w:id="79" w:name="bookmark1186"/>
      <w:bookmarkEnd w:id="79"/>
      <w:r w:rsidRPr="008A2E5A">
        <w:rPr>
          <w:rFonts w:ascii="Times New Roman" w:hAnsi="Times New Roman"/>
          <w:color w:val="0070C0"/>
          <w:sz w:val="16"/>
          <w:szCs w:val="16"/>
        </w:rPr>
        <w:t>английских военных машин — до 600 единиц</w:t>
      </w:r>
    </w:p>
    <w:p w14:paraId="4FCEB964" w14:textId="77777777" w:rsidR="005538C6" w:rsidRPr="008A2E5A" w:rsidRDefault="005538C6" w:rsidP="005538C6">
      <w:pPr>
        <w:spacing w:after="0" w:line="240" w:lineRule="auto"/>
        <w:jc w:val="both"/>
        <w:rPr>
          <w:rFonts w:ascii="Times New Roman" w:hAnsi="Times New Roman"/>
          <w:color w:val="0070C0"/>
          <w:sz w:val="16"/>
          <w:szCs w:val="16"/>
        </w:rPr>
      </w:pPr>
      <w:bookmarkStart w:id="80" w:name="bookmark1187"/>
      <w:bookmarkEnd w:id="80"/>
      <w:r w:rsidRPr="008A2E5A">
        <w:rPr>
          <w:rFonts w:ascii="Times New Roman" w:hAnsi="Times New Roman"/>
          <w:color w:val="0070C0"/>
          <w:sz w:val="16"/>
          <w:szCs w:val="16"/>
        </w:rPr>
        <w:t>американских военных машин — до 1500 единиц</w:t>
      </w:r>
    </w:p>
    <w:p w14:paraId="48AB223F" w14:textId="77777777" w:rsidR="005538C6" w:rsidRPr="008A2E5A" w:rsidRDefault="005538C6" w:rsidP="005538C6">
      <w:pPr>
        <w:spacing w:after="0" w:line="240" w:lineRule="auto"/>
        <w:jc w:val="both"/>
        <w:rPr>
          <w:rFonts w:ascii="Times New Roman" w:hAnsi="Times New Roman"/>
          <w:color w:val="0070C0"/>
          <w:sz w:val="16"/>
          <w:szCs w:val="16"/>
        </w:rPr>
      </w:pPr>
      <w:bookmarkStart w:id="81" w:name="bookmark1188"/>
      <w:bookmarkEnd w:id="81"/>
      <w:r w:rsidRPr="008A2E5A">
        <w:rPr>
          <w:rFonts w:ascii="Times New Roman" w:hAnsi="Times New Roman"/>
          <w:color w:val="0070C0"/>
          <w:sz w:val="16"/>
          <w:szCs w:val="16"/>
        </w:rPr>
        <w:t xml:space="preserve">зафрахтованных — до 500 единиц </w:t>
      </w:r>
      <w:bookmarkStart w:id="82" w:name="bookmark1189"/>
      <w:bookmarkEnd w:id="82"/>
      <w:r w:rsidRPr="008A2E5A">
        <w:rPr>
          <w:rFonts w:ascii="Times New Roman" w:hAnsi="Times New Roman"/>
          <w:color w:val="0070C0"/>
          <w:sz w:val="16"/>
          <w:szCs w:val="16"/>
        </w:rPr>
        <w:t>собранных из импорта (перегонка) — от 7000 до 9000 в месяц.</w:t>
      </w:r>
    </w:p>
    <w:p w14:paraId="684D9A75"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месячному тоннажу машины СТУ занимали особое место среди всего автотранспорта занятого перевозками.</w:t>
      </w:r>
    </w:p>
    <w:p w14:paraId="042B76F7"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и железнодорожный транспорт, автомашины СТУ пере</w:t>
      </w:r>
      <w:r w:rsidRPr="008A2E5A">
        <w:rPr>
          <w:rFonts w:ascii="Times New Roman" w:hAnsi="Times New Roman"/>
          <w:color w:val="0070C0"/>
          <w:sz w:val="16"/>
          <w:szCs w:val="16"/>
        </w:rPr>
        <w:softHyphen/>
        <w:t>везли громадное количество грузов также и в порожних на</w:t>
      </w:r>
      <w:r w:rsidRPr="008A2E5A">
        <w:rPr>
          <w:rFonts w:ascii="Times New Roman" w:hAnsi="Times New Roman"/>
          <w:color w:val="0070C0"/>
          <w:sz w:val="16"/>
          <w:szCs w:val="16"/>
        </w:rPr>
        <w:softHyphen/>
        <w:t>правлениях (гравий для дорог, грузы Торгпредства, «Ирансов- транса», «Ирансовнефти», людские перевозки и пр.).</w:t>
      </w:r>
    </w:p>
    <w:p w14:paraId="127F89E5"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Послу СССР в Иране тов. Смирнову.</w:t>
      </w:r>
    </w:p>
    <w:p w14:paraId="41D9D774"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Сообщаю Вам о прибытии автомашин из Бушира в Тегеран по состоянию на 3.04.1942 г.</w:t>
      </w:r>
    </w:p>
    <w:p w14:paraId="5D2B5EFF"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Прибыло автомашин — 1009 штук. Из них «Форд» — 394, «Додж» — 459, «Студебекер» — 156,</w:t>
      </w:r>
    </w:p>
    <w:p w14:paraId="63E83F04"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Отправлено — 893, из них «Форд» — 378, «Додж» — 373, «Студе</w:t>
      </w:r>
      <w:r w:rsidRPr="008A2E5A">
        <w:rPr>
          <w:rFonts w:ascii="Times New Roman" w:hAnsi="Times New Roman"/>
          <w:color w:val="0070C0"/>
          <w:sz w:val="16"/>
          <w:szCs w:val="16"/>
        </w:rPr>
        <w:softHyphen/>
        <w:t>бекер» — 142.</w:t>
      </w:r>
    </w:p>
    <w:p w14:paraId="5FC6693F"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Остаток: 116 автомашин. Из них передано «Додж» в обмен на «Студебекер» — 79. Остаток — 37. Из них брак, требующий ка</w:t>
      </w:r>
      <w:r w:rsidRPr="008A2E5A">
        <w:rPr>
          <w:rFonts w:ascii="Times New Roman" w:hAnsi="Times New Roman"/>
          <w:color w:val="0070C0"/>
          <w:sz w:val="16"/>
          <w:szCs w:val="16"/>
        </w:rPr>
        <w:softHyphen/>
        <w:t>премонта — 10, Остаток на 3.04.1942 — 27 машин. Отремонти</w:t>
      </w:r>
      <w:r w:rsidRPr="008A2E5A">
        <w:rPr>
          <w:rFonts w:ascii="Times New Roman" w:hAnsi="Times New Roman"/>
          <w:color w:val="0070C0"/>
          <w:sz w:val="16"/>
          <w:szCs w:val="16"/>
        </w:rPr>
        <w:softHyphen/>
        <w:t>ровано в мастерских «Ман» — 70, «Матиг» — 78, «Гельцер» — 9. Итого: 157.</w:t>
      </w:r>
    </w:p>
    <w:p w14:paraId="59C08C32"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пришедшей первой партии 400 штук все прошли средний и мелкий ремонт из-за недоброкачественной сборки автомашин в Бушире, небрежного вождения машин. Отмечена езда без заправки маслом, что свидетельствует о варварской лихаче</w:t>
      </w:r>
      <w:r w:rsidRPr="008A2E5A">
        <w:rPr>
          <w:rFonts w:ascii="Times New Roman" w:hAnsi="Times New Roman"/>
          <w:color w:val="0070C0"/>
          <w:sz w:val="16"/>
          <w:szCs w:val="16"/>
        </w:rPr>
        <w:softHyphen/>
        <w:t>ской небрежной езде шоферов. Дисциплина в пути в колоннах отсутствует, из 20 колонн только два шефа конвоя привели 2 колонны в полном порядке, остальные имеют аварийные авто</w:t>
      </w:r>
      <w:r w:rsidRPr="008A2E5A">
        <w:rPr>
          <w:rFonts w:ascii="Times New Roman" w:hAnsi="Times New Roman"/>
          <w:color w:val="0070C0"/>
          <w:sz w:val="16"/>
          <w:szCs w:val="16"/>
        </w:rPr>
        <w:softHyphen/>
        <w:t>машины. Квалификация шоферов — 50% квалифицированные, 30% средней квалификации, 20% — низкой квалификации. UKSS (Британская объединенная коммерческая корпорация) собрала весь сброд шоферов вплоть до уголовных элемен</w:t>
      </w:r>
      <w:r w:rsidRPr="008A2E5A">
        <w:rPr>
          <w:rFonts w:ascii="Times New Roman" w:hAnsi="Times New Roman"/>
          <w:color w:val="0070C0"/>
          <w:sz w:val="16"/>
          <w:szCs w:val="16"/>
        </w:rPr>
        <w:softHyphen/>
        <w:t>тов и доверила им вождение машин, которые должны пойти на поле боя. 90% из шоферов с недобросовестным отношени</w:t>
      </w:r>
      <w:r w:rsidRPr="008A2E5A">
        <w:rPr>
          <w:rFonts w:ascii="Times New Roman" w:hAnsi="Times New Roman"/>
          <w:color w:val="0070C0"/>
          <w:sz w:val="16"/>
          <w:szCs w:val="16"/>
        </w:rPr>
        <w:softHyphen/>
        <w:t>ем — аварийщики, лихачи, воры, жулики, 5% — среднего отно</w:t>
      </w:r>
      <w:r w:rsidRPr="008A2E5A">
        <w:rPr>
          <w:rFonts w:ascii="Times New Roman" w:hAnsi="Times New Roman"/>
          <w:color w:val="0070C0"/>
          <w:sz w:val="16"/>
          <w:szCs w:val="16"/>
        </w:rPr>
        <w:softHyphen/>
        <w:t>шения к делу — менее испорченные, но обязательно лихачи и только 5% с добросовестным отношением. Много автомашин обворовано шоферами в пути, как правило, украдены проб</w:t>
      </w:r>
      <w:r w:rsidRPr="008A2E5A">
        <w:rPr>
          <w:rFonts w:ascii="Times New Roman" w:hAnsi="Times New Roman"/>
          <w:color w:val="0070C0"/>
          <w:sz w:val="16"/>
          <w:szCs w:val="16"/>
        </w:rPr>
        <w:softHyphen/>
        <w:t>ки бензобаков, масленки, ключи, другие инструменты. ЗИПы или разукомплектованы или их не оказалось. В актах мы ука</w:t>
      </w:r>
      <w:r w:rsidRPr="008A2E5A">
        <w:rPr>
          <w:rFonts w:ascii="Times New Roman" w:hAnsi="Times New Roman"/>
          <w:color w:val="0070C0"/>
          <w:sz w:val="16"/>
          <w:szCs w:val="16"/>
        </w:rPr>
        <w:softHyphen/>
        <w:t>зываем недостачу инструмента и запчастей. Качество сборки автомашин ухудшилось. Из 20 «Студебекеров» все требовали ремонта моторов.</w:t>
      </w:r>
    </w:p>
    <w:p w14:paraId="4ACF5319"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Член Советской транспортной комиссии в Иране инженер Алентаев (24342).</w:t>
      </w:r>
    </w:p>
    <w:p w14:paraId="0EB3C65E" w14:textId="77777777" w:rsidR="005538C6" w:rsidRPr="008A2E5A" w:rsidRDefault="005538C6" w:rsidP="005538C6">
      <w:pPr>
        <w:spacing w:after="0" w:line="240" w:lineRule="auto"/>
        <w:jc w:val="both"/>
        <w:rPr>
          <w:rFonts w:ascii="Times New Roman" w:hAnsi="Times New Roman"/>
          <w:color w:val="0070C0"/>
          <w:sz w:val="16"/>
          <w:szCs w:val="16"/>
        </w:rPr>
      </w:pPr>
    </w:p>
    <w:p w14:paraId="56A1E50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1BDD60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B97C0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29 июня</w:t>
      </w:r>
      <w:r w:rsidRPr="008127F8">
        <w:rPr>
          <w:rFonts w:ascii="Times New Roman" w:hAnsi="Times New Roman"/>
          <w:color w:val="000000" w:themeColor="text1"/>
          <w:sz w:val="16"/>
          <w:szCs w:val="16"/>
        </w:rPr>
        <w:t xml:space="preserve"> в 1942 году утреннее сообщение Совинформбюро:</w:t>
      </w:r>
    </w:p>
    <w:p w14:paraId="64D8EF9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29 июня на Курском и Севастопольском направлениях наши войска вели бои с противником.</w:t>
      </w:r>
    </w:p>
    <w:p w14:paraId="716B564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никаких изменений не произошло.</w:t>
      </w:r>
    </w:p>
    <w:p w14:paraId="3DD9E25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Славные защитники Севастополя с величайшим мужеством отбивают атаки немецко-фашистских войск. На одном из участков бойцы батареи старшего лейтенанта Шишляева, находясь в окружении, несколько дней подряд ведут упорные бои с пехотой и автоматчиками противника. Все попытки немцев захватить рубеж разбиваются о стойкость и мужество черноморцев. Гарнизон ДЗОТа командира Гордиенко в течение суток под непрерывным артиллерийским обстрелом противника отбивал яростные атаки гитлеровцев. Товарищи Захроян, Рябов, Алиев, Малышенко и другие бойцы гарнизона уничтожили более 300 немецких солдат и офицеров. На другом участке взвод наших автоматчиков во главе с капитаном второго ранга тов. Шатским в ожесточённой схватке уничтожил до 200 гитлеровцев.</w:t>
      </w:r>
    </w:p>
    <w:p w14:paraId="6ACE24A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немцы несколько раз пытались занять рубеж, который обороняет стрелковое подразделение под командованием тов.Усолина. Наши бойцы отбили атаки противника и уничтожили до 200 немецких солдат и офицеров.</w:t>
      </w:r>
    </w:p>
    <w:p w14:paraId="0161528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отдельных участках Ленинградского фронта наши части за два дня боевых действий уничтожили 250 немецких солдат и офицеров, 10 станковых пулемётов, 2 орудия и разрушили 11 дерево-земляных огневых точек. Огнём артиллерии подавлены миномётная и 9 артиллерийских батарей противника.</w:t>
      </w:r>
    </w:p>
    <w:p w14:paraId="0DA86EB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танкисты под командованием старшего лейтенанта Година подбили 11 немецких танков и уничтожили 14 автомашин вместе с находившимися в них 120 солдатами противника.</w:t>
      </w:r>
    </w:p>
    <w:p w14:paraId="11AD5D7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Получено сообщение об операции, проведённой партизанским отрядам тов. Д., действующим в одном из районов Белоруссии. Группа партизан, вооружённых лёгкими пулемётами, бутылками с горючей жидкостью и взрывчаткой, пробралась к немецким складам и нефтебазе в местечке Г. Уничтожив охрану, партизаны подожгли 3 склада противника и взорвали три наружных и четыре надземных бака, в которых находилось более 700 тонн бензина.</w:t>
      </w:r>
    </w:p>
    <w:p w14:paraId="42E79FE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немецкий солдат роты снабжения 22 немецкой пехотной дивизии Карл Бреннер рассказал: «Наши войска под Севастополем несут колоссальные потери. В Симферополь идёт непрерывный поток автомашин с ранеными. В городе дополнительно открыто 25 госпиталей, но они уже все переполнены».</w:t>
      </w:r>
    </w:p>
    <w:p w14:paraId="4AEDE77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ефрейтор 246 немецкого запасного батальона Карл Цигельмюллер рассказал: «Свыше 60 процентов солдат нашего батальона — это люди от сорока лети старше. Они не хотят воевать. Я часто слышал, как солдаты говорили между собой: «Нам безразлично, как и чем кончится эта война. Скорее бы только наступил конец, иначе мы все здесь погибнем».</w:t>
      </w:r>
    </w:p>
    <w:p w14:paraId="23D5F5D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 тов. П., побывавший в оккупированном немцами городе Остров,Ленинградской области, сообщил: «Немецко-фашистские мерзавцы ежедневно расстреливают мирных жителей города и окрестных деревень. В дни моего пребывания в Острове гитлеровцы повесили 6 взрослых жителей и мальчика из Фёдоровског осельсовета. Его казнили за то, что он не сказал, где спрятано оружие, собранное на полях. Учительницу неполной средней школы тов. Цветкову бандиты убили только за то, что она не сказала, где находится её муж».</w:t>
      </w:r>
    </w:p>
    <w:p w14:paraId="6245B7C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Производительность труда в германской военной промышленности катастрофически падает. На авиационных заводах Берлина в мае выпущено самолётов на 10—15 процентов меньше, чем в апреле месяце. Последние мобилизации в армию квалифицированных рабочих привели к новому снижению выпуска военной продукции.» (14937).</w:t>
      </w:r>
    </w:p>
    <w:p w14:paraId="27A8831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6B9165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29 июня</w:t>
      </w:r>
      <w:r w:rsidRPr="008127F8">
        <w:rPr>
          <w:rFonts w:ascii="Times New Roman" w:hAnsi="Times New Roman"/>
          <w:color w:val="000000" w:themeColor="text1"/>
          <w:sz w:val="16"/>
          <w:szCs w:val="16"/>
        </w:rPr>
        <w:t xml:space="preserve"> в 1942 году вечернее сообщение Совинформбюро:</w:t>
      </w:r>
    </w:p>
    <w:p w14:paraId="059AE86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29 июня на Курском направлении наши войска с успехом отбивали крупные танковые атаки немецко-фашистских войск.</w:t>
      </w:r>
    </w:p>
    <w:p w14:paraId="22D2F81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Севастопольском участке фронта наши войска отбивали многочисленные атаки превосходящих сил противника. Противник ввёл в бой новые резервы, и ему ценой больших потерь удалось несколько продвинуться вперёд. Бои носят исключительно ожесточённый характер.</w:t>
      </w:r>
    </w:p>
    <w:p w14:paraId="1283313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существенных изменений не произошло.</w:t>
      </w:r>
    </w:p>
    <w:p w14:paraId="4E03D5A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28 июня частями нашей авиации на различных участках фронта уничтожено или повреждено 42 немецких танка, 250 автомашин с войсками и грузами, подавлен огонь 3 артиллерийских батарей, разбито 2 прожектора, рассеяно и частью уничтожено до трёх батальонов пехоты противника.</w:t>
      </w:r>
    </w:p>
    <w:p w14:paraId="0429781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Немецко-фашистское командование, стремясь сломить героическое сопротивление бойцов Севастополя, вводит в бой большое количество танков и самолётов. Мужественные защитники города отбивают танковые и воздушные атаки противника и наносят ему огромный урон. Младший лейтенант Дудник из противотанкового ружья уничтожил 3 немецких танка. Старший политрук Крыжановский вместе с 12 бойцами попал в окружение танков противника. Отважные бойцы вступили в неравный бой, подбили 3 танка противника и без потерь пробились к своей части. Зенитчикичасти, где командиром тов. Хлебников, в течение двух дней сбили 4 немецких самолёта. Краснофлотцы Молшелидзе, Смаминян, Морозов и Могильченко огнёмпехотного оружия сбили немецкий бомбардировщик «Юнкерс-88».</w:t>
      </w:r>
    </w:p>
    <w:p w14:paraId="45F0B1D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Западного фронта противник предпринял несколько атак против нашей обороны. Все атаки противника были отбиты. Немцы потеряли убитыми до 1.500 солдат и офицеров.</w:t>
      </w:r>
    </w:p>
    <w:p w14:paraId="3DE37AB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На позиции одного из наших соединений (Юго-Западный фронт) гитлеровцы бросили значительную группу танков. Гвардейцы танкисты под командованием тов. Кричмана смелым контрманёвром нанесли противнику внезапный удар и уничтожили 10 немецких танков. Остальные танки противника, беспорядочно отстреливаясь, быстро скрылись. Следовавшая за танками немецкая пехота была атакована бойцами мотострелковой части под командованием тов. Гавкина. В результате боя противник отступил, оставив на поле боя свыше 500 трупов солдат и офицеров.</w:t>
      </w:r>
    </w:p>
    <w:p w14:paraId="5AE8AB9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Артиллеристы т.т. Кочудыков, Лавров, Васильев и Глазырин за последние дни разрушили 18 ДЗОТов и блиндажей, уничтожили 5 пулемётов, миномёт и свыше 70 немецких солдат и офицеров.</w:t>
      </w:r>
    </w:p>
    <w:p w14:paraId="2B0C385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Немецко-фашистские оккупанты пытались окружить и уничтожить один из отрядов брянских партизан. В течение нескольких дней партизаны отступали, изматывая гитлеровцев и нанося им чувствительный урон. Выбрав выгодный, рубеж, отряд партизан атаковал немцев и истребил до 400 оккупантов. Группа орловских партизан под руководством тов. Б. пустила под откос железнодорожный состав противника. Уничтожено 30 грузовых автомашин, вагон со снарядами, 2 цистерны с горючим и 150 солдат и офицеров.</w:t>
      </w:r>
    </w:p>
    <w:p w14:paraId="0ED9618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Немецкий ефрейтор Адольф Янек недавно писал ефрейтору Альфреду Штерцику: «...Нашей роте судьба нанесла тяжкие удары. Нас подвезли к фронту по железной дороге и сразу бросили в бой. В первом же бою мы потеряли командира роты и других офицеров. Оставшиеся в живых 35 солдат были влиты в другую роту, которую на днях также крепко потрепали русские».</w:t>
      </w:r>
    </w:p>
    <w:p w14:paraId="44804E2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Пленный обер-ефрейтор 312 полка 206 немецкой пехотной дивизии Вольфганг Фишер сообщил: «Немецкие солдаты силой отбирают у населения оккупированных районов продукты питания и разные ценные вещи. Всё это делается не только безнаказанно, но и поощряется командованием. В деревне Мешково солдаты выгнали из домов всех жителей, даже женщин и детей, а за тем начали грабить имущество. Они забрали всё: одежду, посуду, продовольствие. Всё, что не могли унести с собой, поломали.</w:t>
      </w:r>
    </w:p>
    <w:p w14:paraId="0943895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Недавно в расположении нашего полка в присутствии солдат казнили одного партизана. Перед казнью он заявил офицеру: «Никогда вам не справиться с партизанами. Нас ведь очень много. Вот вы расстреляете меня, а на моё место станут десятки новых бойцов». Эта речь партизана произвела на солдат очень сильное впечатление. Несколько дней в полку только о нём и говорили».</w:t>
      </w:r>
    </w:p>
    <w:p w14:paraId="7EF8672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Немецкие оккупанты проводят массовые аресты среди интеллигенции Чехословакии. Гитлеровцы бросают в тюрьмы и концлагери учёных, врачей, учителей. Гестапо устраивает массовые облавы на студентов. Однако этот террор гитлеровцев вызвал лишь более активное сопротивление оккупантам со стороны всех патриотов Чехословакии.»</w:t>
      </w:r>
    </w:p>
    <w:p w14:paraId="1A9B3FB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Еще одна фальшивка гитлеровского командования.</w:t>
      </w:r>
    </w:p>
    <w:p w14:paraId="50E8B1B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 июня ставка Гитлера выпустила в свет ещё одну очередную фальшивку. На этот раз фашистские борзописцы «уничтожили» на бумаге, не много — не мало, три наших армии: 2 ударную, 52 и 59 армии Волховского фронта, якобы окружённые немцами на западном берегу реки Волхов. При этом гитлеровские писаки приводят астрономическую цифру в 30.000 якобы захваченных пленных, а также о том, что число убитых превышает, число пленных во много раз. Разумеется, эта очередная гитлеровская фальшивка не соответствует фактам.</w:t>
      </w:r>
    </w:p>
    <w:p w14:paraId="09F5951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феврале текущего года наша 2 ударная армия глубоко вклинилась в немецкую оборону, отвлекла на себя большие силы немецко-фашистских войск и в течение зимы и весны вела упорные бои с противником и нанесла ему крупные потери. Много раз противник делал попытки перерезать коммуникации 2 ударной армии и каждый раз после понесённых больших потерь вынужден был отступать. В первых числах июня немецким войскам удалось в одном месте прорваться на коммуникации 2 ударной армии. Совместными ударами 59 и 52 армий с востока и 2 ударной армии с запада части противника, прорвавшиеся на коммуникации 2 ударной армии, были большей частью уничтожены, а остатки их отброшены в исходное положение. В ходе этих боев немцы понесли огромные потери в живой силе и технике. По неполным данным, в этих боях немцы потеряли только убитыми не менее 30 тысяч человек. Особенно большие потери в этих боях понесли 1, 126, 254, 285, 291 пехотные дивизии, полицейская дивизия СС и иностранные легионы «Нидерланд» и «Фландрия», причём полицейская дивизия СС и иностранные легионы почти полностью уничтожены.</w:t>
      </w:r>
    </w:p>
    <w:p w14:paraId="2D65594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Части 2 ударной армии отошли, на заранее подготовленный рубеж. Наши потери в этих боях до 10 тысяч человек убитыми, около 10 тысяч человек пропавшими безвести. Потеряно 102 орудия, 12 танков и 200 пулемётов. Следовательно, ни о каком уничтожении 2 ударной армии не может быть и речи. Что касается 52 и 59 армий, то они в клин, вбитый в немецкую оборону, не вводились и на их коммуникации противник не выходил. Наоборот, эти армии наносили серьёзные удары по войскам противника, прорвавшимся на коммуникации 2 ударной армии, и обеспечивали отвод её частей на новый рубеж.</w:t>
      </w:r>
    </w:p>
    <w:p w14:paraId="241E4B3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Таковы факты, начисто опровергающие очередную гитлеровскую фальшивку.» (14937).</w:t>
      </w:r>
    </w:p>
    <w:p w14:paraId="39392C3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16217A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29 июня</w:t>
      </w:r>
      <w:r w:rsidRPr="008127F8">
        <w:rPr>
          <w:rFonts w:ascii="Times New Roman" w:hAnsi="Times New Roman"/>
          <w:color w:val="000000" w:themeColor="text1"/>
          <w:sz w:val="16"/>
          <w:szCs w:val="16"/>
        </w:rPr>
        <w:t xml:space="preserve"> в 1942 году началась Воронежско-Ворошиловградская оборонительная операция войск Брянского (генерал-лейтенант Ф.И.Голиков), Воронежского (генерал-лейтенант Н.Ф.Ватутин), Юго-Западного (Маршал Советского Союза С.К.Тимошенко) и Южного (генерал-лейтенант Р.Я.Малиновский) фронтов. (Закончилась 24 июля 1942 г.) В результате были сорваны попытки противника окружить основные силы Юго-Западного и Южного фронтов и вынудили противника внести значительные изменения в первоначальные планы наступления на советско-германском фронте (14937).</w:t>
      </w:r>
    </w:p>
    <w:p w14:paraId="0B31CA5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02D3F2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29 июня</w:t>
      </w:r>
      <w:r w:rsidRPr="008127F8">
        <w:rPr>
          <w:rFonts w:ascii="Times New Roman" w:hAnsi="Times New Roman"/>
          <w:color w:val="000000" w:themeColor="text1"/>
          <w:sz w:val="16"/>
          <w:szCs w:val="16"/>
        </w:rPr>
        <w:t xml:space="preserve"> в 1942 году преобразование Украинского штаба партизанского движения при Военном совете Юго-Западного направления в Украинский республиканский штаб партизанского движения (14937).</w:t>
      </w:r>
    </w:p>
    <w:p w14:paraId="32DDA90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CAAE2F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29 июня</w:t>
      </w:r>
      <w:r w:rsidRPr="008127F8">
        <w:rPr>
          <w:rFonts w:ascii="Times New Roman" w:hAnsi="Times New Roman"/>
          <w:color w:val="000000" w:themeColor="text1"/>
          <w:sz w:val="16"/>
          <w:szCs w:val="16"/>
        </w:rPr>
        <w:t xml:space="preserve"> в 1942 году ночью под прикрытием дымовой завесы немцы форсировали Северную бухту в Севастополе. Потеряв 17 лодок и катер, основная часть десанта закрепилась на Корабельной стороне и, после неоднократных рукопашных схваток, отбросила советские подразделения. Боевые действия приняли характер уличных боев. Отбит немецкий морской десант на мысе Фиолент. Немецкая авиация совершила 1200 боевых вылетов на позиции СОР (14937).</w:t>
      </w:r>
    </w:p>
    <w:p w14:paraId="42D1DAA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7BDDFB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июня 1942 началась Воронежско-Ворошиловградская оборонительная операция БФ (Ф.И.Голиков), ВФ, ЮЗФ (С.К.Тимошенко) и ЮФ (Р.Я.Малиновский) и шла по 24 июля 1942. Противник фронт прорвал в середине июля, но основные силы ЮЗФ и ЮФ окружить не смог (3398,225).</w:t>
      </w:r>
    </w:p>
    <w:p w14:paraId="1A3BEE9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3C9D1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июня 1942 Ночью под прикрытием дымовой завесы немцы форсировали Северную бухту в Севастополе. Потеряв 17 лодок и катер основная часть десанта закрепилась на Корабельной стороне и после неоднократных рукопашных схваток отбросила советские подразделения. Боевые действия приняли характер уличных боев. Отбит немецкий морской десант на мысе Фиолент. Немецкая авиация совершила 1200 боевых вылетов на позиции СОР (4963 ).</w:t>
      </w:r>
    </w:p>
    <w:p w14:paraId="1862BEA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3954A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июня 1942 вышла директива Ставки для армейского капитана 2р П.С.Степанова, который был послан на БФ для организации отпора наступающим немцам с использованием авиации фронта и 100 б АДД. Директива гласила: "Главная задача авиации фронта - завоевать воздух, создать наше подавляющее превосходство и заставить немецкую авиацию, особенно бомбардировочную, уйти с поля."</w:t>
      </w:r>
    </w:p>
    <w:p w14:paraId="75715C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"Вторая задача - всю силу нашей ш и б авиации употреблять на то, чтобы разбить танковые и моторизованные колонны противника, уничтожить живую силу врага и тем поддержать наши войска.</w:t>
      </w:r>
    </w:p>
    <w:p w14:paraId="19018E3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Третья задача - наша и а должна не только прикрывать наши войска, но и бомбить живую силу противника, насколько это возможно." (340,88).</w:t>
      </w:r>
    </w:p>
    <w:p w14:paraId="6BB9D6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5E5D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Между 29 июня и 4 июля 1942 ВВС КБФ провели операцию по минированию пролива Бьеркезунд, через который, по данным нашего командования, осуществлялось развертывание легких сил финского флота на наши коммуникации между Кронштадтом и Лавенсари. В трех вылетах самолеты 1 -го ГМТАП выставили в южной части пролива 34 мины (18 АМГ и 16 английских). Интересно отметить, что из-за нараставшего с каждым вылетом противодействия зенитной артиллерии на третий раз постановщикам пришлось лететь в обеспечении штурмовиков. К сожалению, и на этот раз удачно проведенная операция не привела к потерям корабельного состава противника. Очевидно, сброс мин в белые ночи был замечен с берега, в результате чего скрытность постановок попросту отсутствовала и финны перестали на время пользоваться проливом (9965).</w:t>
      </w:r>
    </w:p>
    <w:p w14:paraId="66276DD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AE9DF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Между 29 июня и 4 июля ВВС КБФ провели операцию по минированию пролива Бьеркезунд, через который, по данным нашего командования, осуществлялось развертывание легких сил финского флота на наши коммуникации между Кронштадтом и Лавансаари. В трех групповых вылетах самолеты 1-го гмтап выставили в южной части пролива 34 мины. Интересно отметить, что из-за нараставшего с каждым вылетом противодействия зенитной артиллерии на третий раз постановщикам пришлось лететь в обеспечении штурмовиков. К сожалению, и на этот раз удачно проведенная операция не привела к потерям корабельного состава противника. Очевидно, сброс мин в белые ночи был замечен с берега, в результате чего скрытность постановок нарушилась и финны перестали на время пользоваться проливом. Последней по счету стала операция по минированию подходов к порту Котка (29 июля - 11 августа), когда "ильюшины" выставили у порта 6 АМГ и 23 А-1-4. Всего в течение года "ильюшины" 1-го мтап сбросили 97 мин. но успеха так и не добились. Флот противника оказался готов к борьбе с нашими минами, в том числе и неконтактными, уже давно переставшими быть диковинкой на Западных театрах военных действий. Если добавить к этому шаблонность нашей тактики (постановки во всех случаях совмещались с бомбардировочным ударом), то можно прийти к выводу, что обнаружение и уничтожение наших заграждений не составляли большого труда (12002).</w:t>
      </w:r>
    </w:p>
    <w:p w14:paraId="72EDD4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Летний период 1942 г. характеризовался общим повышением активности сил КБФ в Финском заливе. Стержнем, вокруг которого вертелись события, стало развертывание трех эшелонов наших подводных лодок из Ленинграда и Кронштадта на просторы Балтики, где с осени 1941 г. противник восстановил плавание одиночных неохраняемых судов, так, словно все происходило в мирное время. Немцы и финны ответили на по явление подводной угрозы постановкой многочисленных минных полей на двух противолодочных рубежах - Гогландском (немецкое название "Зееигель"; простирался на север и на юг от острова Гогланд) и Нарген-Поркаллауддском ("Насхорн"; в самом узком месте Финского залива, между эстонским островом Найссаар (Нарген) и финским полуостровом Поркалла- Удд). За линиями мин несли дозорную службу группы охотников за подводными лодками, на которые, в свою очередь, охотились немногочисленные торпедные катера и штурмовики Балтфлота. Впрочем, нередко мобилизованные из рыболовных судов вражеские сторожевики и охотники классифицировались нашей воздушной разведкой как транспорты, что породило у нашего командования ощущение интенсивных перевозок в Финском заливе и даже сосредоточения десантных сил на рейдах в Нарвском заливе! К борьбе с этими мифическими "транспортами" в начале июня привлекли и самолеты 1-го гмтап. Необходимо отметить, что в отличие от 1941 г. удары по кораблям в море изначально планировались как торпедные удары, поскольку бомбометание по движущейся цели со средних высот окончательно скомпрометировало себя. Из-за малочисленности ударных групп в вылетах использовались исключительно "низкие" торпеды, сбрасываемые прицельно. Все удары осуществлялись дежурными торпедоносцами после получения данных от воздушной разведки. Данные от нее могли запаздывать относительно времени обнаружения на интервал от 3,5 до 8 часов (!), что привело к срывам ударов 7, 15, 18 и 19 июня. Из-за скудности наших сил вылеты обычно совершались в светлое время суток или в "белые" ночи группами от двух до четырех самолетов (последнее всего в двух случаях), иногда с небольшим истребительным прикрытием, хотя в условиях низкой облачности утром или вечером могли высылаться и одиночные неохраняемые машины. Поскольку торпедоносцы летали из Углово, а истребители сопровождения базировались на острове Лавансаари, встречи с эскортом происходили далеко не всегда, а даже когда происходили, слетанность самолетов из разных частей оставляла желать много лучшего. Регулярно планировалось взаимодействие со штурмовиками, которым следовало подавлять зенитную артиллерию кораблей, но на практике его не добились ни разу. Поскольку 1-й мтап и 57-й шап входили в разные бригады, организовать их взаимодействие могли только на уровне штаба ВВС КВФ, а ему, по-видимому, было не до того. В результате получалось, что каждый из полков посылал небольшие группы самолетов для атаки одного и того же дозора на заграждении "Зееигель" и они последовательно атаковали его с совершенно произвольными временными интервалами. И если штурмовикам нередко удавалось наносить повреждения кораблям противника и даже потопить один моторный тральщик, необеспеченные атаки торпедоносцев в 1942 г. так ни разу и не достигли цели.</w:t>
      </w:r>
    </w:p>
    <w:p w14:paraId="28F1DA4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Минные постановки 1-го гмтап в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7C5583" w:rsidRPr="008127F8" w14:paraId="7B2634F8" w14:textId="77777777" w:rsidTr="004C5D62">
        <w:tc>
          <w:tcPr>
            <w:tcW w:w="1245" w:type="dxa"/>
            <w:tcBorders>
              <w:top w:val="single" w:sz="12" w:space="0" w:color="auto"/>
            </w:tcBorders>
          </w:tcPr>
          <w:p w14:paraId="6150A3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Месяц</w:t>
            </w:r>
          </w:p>
        </w:tc>
        <w:tc>
          <w:tcPr>
            <w:tcW w:w="1245" w:type="dxa"/>
            <w:tcBorders>
              <w:top w:val="single" w:sz="12" w:space="0" w:color="auto"/>
            </w:tcBorders>
          </w:tcPr>
          <w:p w14:paraId="6DAC85E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Число</w:t>
            </w:r>
          </w:p>
        </w:tc>
        <w:tc>
          <w:tcPr>
            <w:tcW w:w="1245" w:type="dxa"/>
            <w:tcBorders>
              <w:top w:val="single" w:sz="12" w:space="0" w:color="auto"/>
            </w:tcBorders>
          </w:tcPr>
          <w:p w14:paraId="0E9A80A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Borders>
              <w:top w:val="single" w:sz="12" w:space="0" w:color="auto"/>
            </w:tcBorders>
          </w:tcPr>
          <w:p w14:paraId="58458ED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Районы постановок</w:t>
            </w:r>
          </w:p>
        </w:tc>
        <w:tc>
          <w:tcPr>
            <w:tcW w:w="1245" w:type="dxa"/>
            <w:tcBorders>
              <w:top w:val="single" w:sz="12" w:space="0" w:color="auto"/>
            </w:tcBorders>
          </w:tcPr>
          <w:p w14:paraId="7F8656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Borders>
              <w:top w:val="single" w:sz="12" w:space="0" w:color="auto"/>
            </w:tcBorders>
          </w:tcPr>
          <w:p w14:paraId="5FBAF2D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Borders>
              <w:top w:val="single" w:sz="12" w:space="0" w:color="auto"/>
            </w:tcBorders>
          </w:tcPr>
          <w:p w14:paraId="220416E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Потери</w:t>
            </w:r>
          </w:p>
        </w:tc>
        <w:tc>
          <w:tcPr>
            <w:tcW w:w="1245" w:type="dxa"/>
            <w:tcBorders>
              <w:top w:val="single" w:sz="12" w:space="0" w:color="auto"/>
            </w:tcBorders>
          </w:tcPr>
          <w:p w14:paraId="11EE5C4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Borders>
              <w:top w:val="single" w:sz="12" w:space="0" w:color="auto"/>
            </w:tcBorders>
          </w:tcPr>
          <w:p w14:paraId="0055EB0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487DE0AB" w14:textId="77777777" w:rsidTr="004C5D62">
        <w:tc>
          <w:tcPr>
            <w:tcW w:w="1245" w:type="dxa"/>
          </w:tcPr>
          <w:p w14:paraId="03CB0E9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FFBD93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вылетов</w:t>
            </w:r>
          </w:p>
        </w:tc>
        <w:tc>
          <w:tcPr>
            <w:tcW w:w="1245" w:type="dxa"/>
          </w:tcPr>
          <w:p w14:paraId="1BC9512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подходы</w:t>
            </w:r>
          </w:p>
        </w:tc>
        <w:tc>
          <w:tcPr>
            <w:tcW w:w="1245" w:type="dxa"/>
          </w:tcPr>
          <w:p w14:paraId="153AF8C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р-н Хельсинки</w:t>
            </w:r>
          </w:p>
        </w:tc>
        <w:tc>
          <w:tcPr>
            <w:tcW w:w="1245" w:type="dxa"/>
          </w:tcPr>
          <w:p w14:paraId="1267635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пролив</w:t>
            </w:r>
          </w:p>
        </w:tc>
        <w:tc>
          <w:tcPr>
            <w:tcW w:w="1245" w:type="dxa"/>
          </w:tcPr>
          <w:p w14:paraId="235B6B3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Выборгский</w:t>
            </w:r>
          </w:p>
        </w:tc>
        <w:tc>
          <w:tcPr>
            <w:tcW w:w="1245" w:type="dxa"/>
          </w:tcPr>
          <w:p w14:paraId="052C9F3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Лужская губа</w:t>
            </w:r>
          </w:p>
        </w:tc>
        <w:tc>
          <w:tcPr>
            <w:tcW w:w="1245" w:type="dxa"/>
          </w:tcPr>
          <w:p w14:paraId="1BE55F2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аварийно</w:t>
            </w:r>
          </w:p>
        </w:tc>
        <w:tc>
          <w:tcPr>
            <w:tcW w:w="1245" w:type="dxa"/>
          </w:tcPr>
          <w:p w14:paraId="497FD79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90056BE" w14:textId="77777777" w:rsidTr="004C5D62">
        <w:tc>
          <w:tcPr>
            <w:tcW w:w="1245" w:type="dxa"/>
          </w:tcPr>
          <w:p w14:paraId="2020D7C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70327C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F1A4E3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Котке</w:t>
            </w:r>
          </w:p>
        </w:tc>
        <w:tc>
          <w:tcPr>
            <w:tcW w:w="1245" w:type="dxa"/>
          </w:tcPr>
          <w:p w14:paraId="6F36978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C5FD4D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Бьеркезунд</w:t>
            </w:r>
          </w:p>
        </w:tc>
        <w:tc>
          <w:tcPr>
            <w:tcW w:w="1245" w:type="dxa"/>
          </w:tcPr>
          <w:p w14:paraId="2374D19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залив</w:t>
            </w:r>
          </w:p>
        </w:tc>
        <w:tc>
          <w:tcPr>
            <w:tcW w:w="1245" w:type="dxa"/>
          </w:tcPr>
          <w:p w14:paraId="539A2C8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море и на сушу</w:t>
            </w:r>
          </w:p>
        </w:tc>
        <w:tc>
          <w:tcPr>
            <w:tcW w:w="1245" w:type="dxa"/>
          </w:tcPr>
          <w:p w14:paraId="5CAB359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F34006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DDC3165" w14:textId="77777777" w:rsidTr="004C5D62">
        <w:tc>
          <w:tcPr>
            <w:tcW w:w="1245" w:type="dxa"/>
          </w:tcPr>
          <w:p w14:paraId="1D0CA3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3.42</w:t>
            </w:r>
          </w:p>
        </w:tc>
        <w:tc>
          <w:tcPr>
            <w:tcW w:w="1245" w:type="dxa"/>
          </w:tcPr>
          <w:p w14:paraId="08E4402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c>
          <w:tcPr>
            <w:tcW w:w="1245" w:type="dxa"/>
          </w:tcPr>
          <w:p w14:paraId="377E5E2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45" w:type="dxa"/>
          </w:tcPr>
          <w:p w14:paraId="05EDEDC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АМГ-1</w:t>
            </w:r>
          </w:p>
        </w:tc>
        <w:tc>
          <w:tcPr>
            <w:tcW w:w="1245" w:type="dxa"/>
          </w:tcPr>
          <w:p w14:paraId="13C7EA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45" w:type="dxa"/>
          </w:tcPr>
          <w:p w14:paraId="77829A3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45" w:type="dxa"/>
          </w:tcPr>
          <w:p w14:paraId="6863A9C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45" w:type="dxa"/>
          </w:tcPr>
          <w:p w14:paraId="52759B0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45" w:type="dxa"/>
          </w:tcPr>
          <w:p w14:paraId="04C8291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r>
      <w:tr w:rsidR="007C5583" w:rsidRPr="008127F8" w14:paraId="2EF9F361" w14:textId="77777777" w:rsidTr="004C5D62">
        <w:tc>
          <w:tcPr>
            <w:tcW w:w="1245" w:type="dxa"/>
          </w:tcPr>
          <w:p w14:paraId="535F965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5.42</w:t>
            </w:r>
          </w:p>
        </w:tc>
        <w:tc>
          <w:tcPr>
            <w:tcW w:w="1245" w:type="dxa"/>
          </w:tcPr>
          <w:p w14:paraId="1517F06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w:t>
            </w:r>
          </w:p>
        </w:tc>
        <w:tc>
          <w:tcPr>
            <w:tcW w:w="1245" w:type="dxa"/>
          </w:tcPr>
          <w:p w14:paraId="526EAD5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АМГ-1</w:t>
            </w:r>
          </w:p>
        </w:tc>
        <w:tc>
          <w:tcPr>
            <w:tcW w:w="1245" w:type="dxa"/>
          </w:tcPr>
          <w:p w14:paraId="7AFC70C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АМГ-1</w:t>
            </w:r>
          </w:p>
        </w:tc>
        <w:tc>
          <w:tcPr>
            <w:tcW w:w="1245" w:type="dxa"/>
          </w:tcPr>
          <w:p w14:paraId="417EF5B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45" w:type="dxa"/>
          </w:tcPr>
          <w:p w14:paraId="3EA4E6D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АМГ-1</w:t>
            </w:r>
          </w:p>
        </w:tc>
        <w:tc>
          <w:tcPr>
            <w:tcW w:w="1245" w:type="dxa"/>
          </w:tcPr>
          <w:p w14:paraId="57378D0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45" w:type="dxa"/>
          </w:tcPr>
          <w:p w14:paraId="092A531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45" w:type="dxa"/>
          </w:tcPr>
          <w:p w14:paraId="37C22B0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7C5583" w:rsidRPr="008127F8" w14:paraId="127B19CA" w14:textId="77777777" w:rsidTr="004C5D62">
        <w:tc>
          <w:tcPr>
            <w:tcW w:w="1245" w:type="dxa"/>
          </w:tcPr>
          <w:p w14:paraId="45FA946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6.42</w:t>
            </w:r>
          </w:p>
        </w:tc>
        <w:tc>
          <w:tcPr>
            <w:tcW w:w="1245" w:type="dxa"/>
          </w:tcPr>
          <w:p w14:paraId="391CD85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23</w:t>
            </w:r>
          </w:p>
        </w:tc>
        <w:tc>
          <w:tcPr>
            <w:tcW w:w="1245" w:type="dxa"/>
          </w:tcPr>
          <w:p w14:paraId="22A3502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АМГ-1 6 А-1-4</w:t>
            </w:r>
          </w:p>
        </w:tc>
        <w:tc>
          <w:tcPr>
            <w:tcW w:w="1245" w:type="dxa"/>
          </w:tcPr>
          <w:p w14:paraId="6E47A36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45" w:type="dxa"/>
          </w:tcPr>
          <w:p w14:paraId="4D5413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АМГ-1 4 А-1-4</w:t>
            </w:r>
          </w:p>
        </w:tc>
        <w:tc>
          <w:tcPr>
            <w:tcW w:w="1245" w:type="dxa"/>
          </w:tcPr>
          <w:p w14:paraId="2D7891B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А-1-4</w:t>
            </w:r>
          </w:p>
        </w:tc>
        <w:tc>
          <w:tcPr>
            <w:tcW w:w="1245" w:type="dxa"/>
          </w:tcPr>
          <w:p w14:paraId="057AB74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45" w:type="dxa"/>
          </w:tcPr>
          <w:p w14:paraId="4FD6EA0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А-1-4</w:t>
            </w:r>
          </w:p>
        </w:tc>
        <w:tc>
          <w:tcPr>
            <w:tcW w:w="1245" w:type="dxa"/>
          </w:tcPr>
          <w:p w14:paraId="02DDCFD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7C5583" w:rsidRPr="008127F8" w14:paraId="6BD46FDB" w14:textId="77777777" w:rsidTr="004C5D62">
        <w:tc>
          <w:tcPr>
            <w:tcW w:w="1245" w:type="dxa"/>
          </w:tcPr>
          <w:p w14:paraId="1799141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7.42</w:t>
            </w:r>
          </w:p>
        </w:tc>
        <w:tc>
          <w:tcPr>
            <w:tcW w:w="1245" w:type="dxa"/>
          </w:tcPr>
          <w:p w14:paraId="66A42ED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24</w:t>
            </w:r>
          </w:p>
        </w:tc>
        <w:tc>
          <w:tcPr>
            <w:tcW w:w="1245" w:type="dxa"/>
          </w:tcPr>
          <w:p w14:paraId="43A6A7D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45" w:type="dxa"/>
          </w:tcPr>
          <w:p w14:paraId="6B815E2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45" w:type="dxa"/>
          </w:tcPr>
          <w:p w14:paraId="5D06252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АМГ-1 12 А-1-4</w:t>
            </w:r>
          </w:p>
        </w:tc>
        <w:tc>
          <w:tcPr>
            <w:tcW w:w="1245" w:type="dxa"/>
          </w:tcPr>
          <w:p w14:paraId="4FCD514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45" w:type="dxa"/>
          </w:tcPr>
          <w:p w14:paraId="12B38BB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45" w:type="dxa"/>
          </w:tcPr>
          <w:p w14:paraId="0D031E6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45" w:type="dxa"/>
          </w:tcPr>
          <w:p w14:paraId="4BB14C9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7C5583" w:rsidRPr="008127F8" w14:paraId="588E2D06" w14:textId="77777777" w:rsidTr="004C5D62">
        <w:tc>
          <w:tcPr>
            <w:tcW w:w="1245" w:type="dxa"/>
          </w:tcPr>
          <w:p w14:paraId="4FD422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8.42</w:t>
            </w:r>
          </w:p>
        </w:tc>
        <w:tc>
          <w:tcPr>
            <w:tcW w:w="1245" w:type="dxa"/>
          </w:tcPr>
          <w:p w14:paraId="183A028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w:t>
            </w:r>
          </w:p>
        </w:tc>
        <w:tc>
          <w:tcPr>
            <w:tcW w:w="1245" w:type="dxa"/>
          </w:tcPr>
          <w:p w14:paraId="047F8E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АМГ-1 23 А-1-4</w:t>
            </w:r>
          </w:p>
        </w:tc>
        <w:tc>
          <w:tcPr>
            <w:tcW w:w="1245" w:type="dxa"/>
          </w:tcPr>
          <w:p w14:paraId="2C85952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45" w:type="dxa"/>
          </w:tcPr>
          <w:p w14:paraId="1BB6B27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45" w:type="dxa"/>
          </w:tcPr>
          <w:p w14:paraId="4AE9176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1245" w:type="dxa"/>
          </w:tcPr>
          <w:p w14:paraId="6B34CA8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АМГ-1</w:t>
            </w:r>
          </w:p>
        </w:tc>
        <w:tc>
          <w:tcPr>
            <w:tcW w:w="1245" w:type="dxa"/>
          </w:tcPr>
          <w:p w14:paraId="63496DC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АМГ-1</w:t>
            </w:r>
          </w:p>
        </w:tc>
        <w:tc>
          <w:tcPr>
            <w:tcW w:w="1245" w:type="dxa"/>
          </w:tcPr>
          <w:p w14:paraId="1305976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r>
      <w:tr w:rsidR="007C5583" w:rsidRPr="008127F8" w14:paraId="1E3308A6" w14:textId="77777777" w:rsidTr="004C5D62">
        <w:tc>
          <w:tcPr>
            <w:tcW w:w="1245" w:type="dxa"/>
          </w:tcPr>
          <w:p w14:paraId="61621A8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w:t>
            </w:r>
          </w:p>
        </w:tc>
        <w:tc>
          <w:tcPr>
            <w:tcW w:w="1245" w:type="dxa"/>
          </w:tcPr>
          <w:p w14:paraId="0BA023E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w:t>
            </w:r>
          </w:p>
        </w:tc>
        <w:tc>
          <w:tcPr>
            <w:tcW w:w="1245" w:type="dxa"/>
          </w:tcPr>
          <w:p w14:paraId="198E289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АМГ-1 29 А-1-4</w:t>
            </w:r>
          </w:p>
        </w:tc>
        <w:tc>
          <w:tcPr>
            <w:tcW w:w="1245" w:type="dxa"/>
          </w:tcPr>
          <w:p w14:paraId="7DB8E4C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 АМГ-1</w:t>
            </w:r>
          </w:p>
        </w:tc>
        <w:tc>
          <w:tcPr>
            <w:tcW w:w="1245" w:type="dxa"/>
          </w:tcPr>
          <w:p w14:paraId="392C922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 АМГ-1 16 А-1-4</w:t>
            </w:r>
          </w:p>
        </w:tc>
        <w:tc>
          <w:tcPr>
            <w:tcW w:w="1245" w:type="dxa"/>
          </w:tcPr>
          <w:p w14:paraId="7DF004D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АМГ-1 1 А-1-4</w:t>
            </w:r>
          </w:p>
        </w:tc>
        <w:tc>
          <w:tcPr>
            <w:tcW w:w="1245" w:type="dxa"/>
          </w:tcPr>
          <w:p w14:paraId="7BF66CB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АМГ-1</w:t>
            </w:r>
          </w:p>
        </w:tc>
        <w:tc>
          <w:tcPr>
            <w:tcW w:w="1245" w:type="dxa"/>
          </w:tcPr>
          <w:p w14:paraId="37B4B25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w:t>
            </w:r>
          </w:p>
        </w:tc>
        <w:tc>
          <w:tcPr>
            <w:tcW w:w="1245" w:type="dxa"/>
          </w:tcPr>
          <w:p w14:paraId="2A29BC8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АМГ-1</w:t>
            </w:r>
          </w:p>
        </w:tc>
      </w:tr>
      <w:tr w:rsidR="007C5583" w:rsidRPr="008127F8" w14:paraId="6DD177AC" w14:textId="77777777" w:rsidTr="004C5D62">
        <w:tc>
          <w:tcPr>
            <w:tcW w:w="1245" w:type="dxa"/>
            <w:tcBorders>
              <w:bottom w:val="single" w:sz="12" w:space="0" w:color="auto"/>
            </w:tcBorders>
          </w:tcPr>
          <w:p w14:paraId="26DF8E3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245" w:type="dxa"/>
            <w:tcBorders>
              <w:bottom w:val="single" w:sz="12" w:space="0" w:color="auto"/>
            </w:tcBorders>
          </w:tcPr>
          <w:p w14:paraId="695F998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А-1-4</w:t>
            </w:r>
          </w:p>
        </w:tc>
        <w:tc>
          <w:tcPr>
            <w:tcW w:w="1245" w:type="dxa"/>
            <w:tcBorders>
              <w:bottom w:val="single" w:sz="12" w:space="0" w:color="auto"/>
            </w:tcBorders>
          </w:tcPr>
          <w:p w14:paraId="1391260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w:t>
            </w:r>
          </w:p>
        </w:tc>
        <w:tc>
          <w:tcPr>
            <w:tcW w:w="1245" w:type="dxa"/>
            <w:tcBorders>
              <w:bottom w:val="single" w:sz="12" w:space="0" w:color="auto"/>
            </w:tcBorders>
          </w:tcPr>
          <w:p w14:paraId="426BF8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Borders>
              <w:bottom w:val="single" w:sz="12" w:space="0" w:color="auto"/>
            </w:tcBorders>
          </w:tcPr>
          <w:p w14:paraId="4324C9C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Borders>
              <w:bottom w:val="single" w:sz="12" w:space="0" w:color="auto"/>
            </w:tcBorders>
          </w:tcPr>
          <w:p w14:paraId="755CB82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Borders>
              <w:bottom w:val="single" w:sz="12" w:space="0" w:color="auto"/>
            </w:tcBorders>
          </w:tcPr>
          <w:p w14:paraId="011144C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Borders>
              <w:bottom w:val="single" w:sz="12" w:space="0" w:color="auto"/>
            </w:tcBorders>
          </w:tcPr>
          <w:p w14:paraId="0E8837F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Borders>
              <w:bottom w:val="single" w:sz="12" w:space="0" w:color="auto"/>
            </w:tcBorders>
          </w:tcPr>
          <w:p w14:paraId="1AD80F5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17E8FB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(12002).</w:t>
      </w:r>
    </w:p>
    <w:p w14:paraId="600E08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795DB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июня 1942 гола в состав Брянского фронта поступил 24-й танковый корпус (4-я гвардейская, 54-я 130-я танковые бригады), имевший 141 танк, из них 48 Т-34. В тот же день его сосредоточили в районе Старый Оскол. В ходе последующих боевых действий, из-за плохой разведки и. противоречивых приказов командования, части корпуса совершали длительные бесцельные марши, приводившие к износу матчасти и выходу танков из строя. Например, 54-я танковая бригада только за 30 июня совершила 158-километровый марш, не сделав ни одного выстрела по противнику, потеряв отставшими из-за технических неисправностей 8 Т-34 и 6 Т-60.</w:t>
      </w:r>
    </w:p>
    <w:p w14:paraId="6C0C10D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Днем 2 июля части 24-го танкового корпуса были атакованы дивизиями 48-го танкового корпуса немцев. В результате боя, из-за плохой связи между соседями части 54-й танковой бригады были окружены, но к вечеру сумели вырваться из кольца. При этом было потеряно 6 Т-60, 1 Т-34 и уничтожено 8 немецких танков. В последующие дни бригады корпуса, ведя непрерывные арьегардные бои с немецкими танковыми частями, отходили к Дону. При этом большое количество танков (особенно КВ-1) было подорвано экипажами из-за отсутствия горючего и технических неисправностей. Дело в том, что танковые бригады в ходе боев были отрезаны от своих тылов и испытывали большие трудности с обеспечением ремонтными, эвакуационными средствами и горючим. Например, 54-я бригада 5-6 июля подорвала 3 Т-34 (2 из-за отсутствия горючего и 1 застрявший в болоте, из-за невозможности эвакуировать).</w:t>
      </w:r>
    </w:p>
    <w:p w14:paraId="25EFC5A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вечеру 6 июля части 24-го танкового корпуса подошли к переправе через Дон в районе Урыв, где и заняли оборону. К этому времени в бригадах осталось 90 танков, из них 30 Т-34. В последующие дни части корпуса вели бои с немецкими частями, пытавшимися занять переправу через Дон в районе Урыва. Однако танкисты несли потери не только от огня противника. Так, в ночь с 7 на 8 июля 1942 года командир 2-го танкового батальона 54-й танковой бригады капитан Бессонов и комиссар батальона старший политрук Кривенко, оставив свою часть, переправившись на восточный берег реки, «откуда отдали приказание командирам подразделений, чтобы они вели свои танки на другой берег Дона для их затопления. В результате этого 3 Т-34 потоплены в Дону, а 5 Т-34 брошены на поле боя, 2 из которых уничтожены (подорвана моторная группа)» (12217).</w:t>
      </w:r>
    </w:p>
    <w:p w14:paraId="7A7E69B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EAA675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июня 1942 советская партизанская бригада А. Григорьева начала рейд по тылам противника в Карелии (4962).</w:t>
      </w:r>
    </w:p>
    <w:p w14:paraId="4A4BA17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7E2DC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29 июня по 25 августа 1942 был рейд партизанской бригады А.И.Григорьева в Карелии по тылам врага (3186).</w:t>
      </w:r>
    </w:p>
    <w:p w14:paraId="4DAF9D3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2FF47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июня 1942 года создан Украинский республиканский ШПД (8983).</w:t>
      </w:r>
    </w:p>
    <w:p w14:paraId="7BC35C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C4E0E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июня 1942 вышло Постановление ГКО № 1939 Вопросы Центрального штаба партизанского движения (назначения). РГАНИР, Фонд ГКО, д. 40, лл. 86 (11012).</w:t>
      </w:r>
    </w:p>
    <w:p w14:paraId="6BF3FC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30F94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июня 1942 вышло Постановление ГКО № 1940 О назначении т. Попова. РГАНИР, Фонд ГКО, д. М. членом Западного штаба партизанского движения. РГАНИР, ФондГКО, д. 40, лл. 87 (11012).</w:t>
      </w:r>
    </w:p>
    <w:p w14:paraId="13D8B6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CCB13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76B86AE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EA99A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июня 1942 года с</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аэродрома Гуидония, в</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21</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километре северо-восточнее Рима, в</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обстановке строгой секретности вылетел самолёт SM.75GA. В</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тот</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же</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день он</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приземлился на</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украинском аэродроме Запорожье. На</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следующий день он</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снова поднялся в</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воздух, взяв курс на</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восток. Преодолев за</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21</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час</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расстояние в</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6200 километров, самолёт благополучно приземлился на</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китайском аэродроме Паото. После отдыха экипажа и</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дозаправки самолёт 3</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июля перелетел в</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Токио (19672).</w:t>
      </w:r>
    </w:p>
    <w:p w14:paraId="1215853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EA572B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 29th, 1942: The Afrikakorps captures Mersah Matruh in Egypt (3819).</w:t>
      </w:r>
    </w:p>
    <w:p w14:paraId="0C2FA6F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B25E1B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июня 1942 Африканский корпус захватил Мерса Матру в Египте (3819).</w:t>
      </w:r>
    </w:p>
    <w:p w14:paraId="175137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C418B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 29 1942 Following an inspection of Igor I. Sikorsky's VS-300 helicopter on 26 June, Lieutenant Commander F. A. Erickson, USCG, recommended that helicopters be obtained for antisubmarine convoy duty and life-saving (1090).</w:t>
      </w:r>
    </w:p>
    <w:p w14:paraId="7AF4C26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AD1C8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июня 1942 вертолет Сикорского VS-300 после испытаний 26 июня 1942 был рекомендован к принятию на вооружение для ПЛО и службы спасения (1090).</w:t>
      </w:r>
    </w:p>
    <w:p w14:paraId="7D15DC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C760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29 июня 1942 в Корее была создана лига независимости Кореи (3186).</w:t>
      </w:r>
    </w:p>
    <w:p w14:paraId="5DD6BA6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B8E9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 июня 1942 Чрезвычайная конференция КПАлбании; чистка партии от "фракционеров" и "пораженцев" (7594).</w:t>
      </w:r>
    </w:p>
    <w:p w14:paraId="7DF285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ED1B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3252F6C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D216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июня 1942 г. на аэродроме "Арское поле" под Казанью на летно-испытательной станции (ЛИС) был передан Пе-2 М-82. Конструкторы завода № 22 полностью переработали переднюю часть мотогондол, моторамы, убрали из крыла ставшие ненужными водяные радиаторы, на их месте расположили два дополнительных бензобака по 100 л каждый. В корневых отсеках консолей установили маслорадиаторы. Для переделки использовали самолет зав. № 19/31 выпуска 1941 г., который первоначально строился как эталон для иркутского завода № 125 (с упрощенным вооружением). На машине смонтировали верхнюю экранированную турель штурмана ВУБ-2 с пулеметом УБТ.</w:t>
      </w:r>
    </w:p>
    <w:p w14:paraId="1DA4977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Мощные 14-цилиндровые звездообразные двигатели конструкции А.Д. Швецова обладали большей массой и "лбом" по сравнению с М-105. Центровка машины значительно сместилась вперед, несмотря на укладку в хвосте свинцового груза массой 68 кг. Помимо замены мотоустановки, на самолете убрали носовой ШКАС и бортовой пулеметстрел- ка-радиста. Кроме того, были сняты бомбодержатели в мотогондолах, смонтирован более совершенный радиополукомпас РПК-10, а колеса основных стоек шасси вынесли на 60 мм вперед путем удлинения подкосов. Последнее мероприятие позволило пилоту эффективно тормозить на пробеге, не опасаясь "клевка". Пустой опытный самолет получился примерно на 400 кг тяжелее серийного.</w:t>
      </w:r>
    </w:p>
    <w:p w14:paraId="4E5360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Значительно большая мощность моторов воздушного охлаждения сулила "пешке" хорошие перспективы, но они были обесценены низкой надежностью силовой установки.</w:t>
      </w:r>
    </w:p>
    <w:p w14:paraId="6F9DCE8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Первый полет после устранения выявленных дефектов состоялся только 21 июля. К концу сентября Пе-2 с М-82 выполнил 17 полетов и налетал 15 ч. Все полеты были связаны с отладкой работы винтомоторной группы. Выявился перегрев масла, выброс его из суф- лерных трубок моторов при полете на высотах более 3000 м. В результате полетов получились следующие результаты:- значительно улучшились взлетно-по- садочные характеристики по сравнению с серийной машиной;</w:t>
      </w:r>
    </w:p>
    <w:p w14:paraId="1408062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пилотажные свойства в основном остались как у обычного Пе-2 с М-105Р;</w:t>
      </w:r>
    </w:p>
    <w:p w14:paraId="12DFDCC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на первой границе высотности (3250 м) получена максимальная скорость 545 км/ч, что хорошо согласовывалось с расчетным значением.</w:t>
      </w:r>
    </w:p>
    <w:p w14:paraId="3124BD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Позднее для улучшения температурных режимов силовой установки пришлось уменьшить проходное сечение в кольце капота, изменить конструкцию передних жалюзи, усилить юбки капота и всасывающий патрубок. Система питания двигателей маслом была переделана по типу Ту-2. После доработок максимальная скорость полета на первой границе высотности уменьшилась до 530 км/ч, зато температурные режимы моторов пришли в норму. Добиться нормальной работы двигателей на второй скорости нагнетателя не удалось из-за проблем с карбюратором АК-82. В полете на высотах более 4500 м возникала сильная тряска.</w:t>
      </w:r>
    </w:p>
    <w:p w14:paraId="6994BAB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Моторы увеличенной мощности породили значительный разворачивающий момент при взлете. Пришлось установить на самолете несимметричный костыль для компенсации момента. Трудностей в процессе доводки встретилось много, и часть из них носила субъективный характер. По мнению старшего военпреда инженер-подполковника Романова, завод № 22 неоправданно затягивал отработку опытного самолета. В декабре 1942 г. Романов докладывал в ГУЗ и ТС ВВС:</w:t>
      </w:r>
    </w:p>
    <w:p w14:paraId="09CD2E1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(главный конструктор и директор) не заинтересован в модернизации самолета Пе-2 на М-82. Работы, проводимые опытным цехом, делались наспех и лишь бы от них отделаться. ЛИС проводил испытания неорганизованно. В результате повторяются прежние дефекты...</w:t>
      </w:r>
    </w:p>
    <w:p w14:paraId="1F6D259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Ведущий инженер Розенфельд медлителен, больше занимается вычислениями и отчетами, чем реальной работой. Прошу оказать воздействие..."</w:t>
      </w:r>
    </w:p>
    <w:p w14:paraId="394886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Главным объективным сдерживающим фактором была низкая надежность моторов М-82 ранних серий. Прошло шесть месяцев доработок и переделок, прежде чем завод № 22 рискнул выставить самолет на государственные испытания в НИИ ВВС. В периоде января по март 1943 г. майор Хрипков выполнил 50 полетов с аэродрома Кольцово. Они в основном подтвердили результаты заводских испытаний. Если у земли самолет лишь ненамного (458 км/ч против 451 км/ч) опережал машину с М-Ю5ПФ. выпушенную в феврале 1943 г., то уже на средних высотах преимущество в скорости значительно увеличивалось. Здесь новый вариант Пе-2 обгонял не только отечественные двухмоторные самолеты с двигателями водяного охлаждения, но и американский "Бостон" III, являвшийся вто время одним из самых скоростных серийных средних бомбардировщиков мира. За боевой разворот удавалось набрать 800 м вместо прежних 450-500 м. Большая тяга моторов резко сократила разбег - до 490 м по сравнению с 620 м у серийного самолета с М-105РА. Несколько улучшились продольная и путевая устойчивости самолета. Новый вариант свободно летал на одном моторе.</w:t>
      </w:r>
    </w:p>
    <w:p w14:paraId="2E5F720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недостатков отметили, пожалуй, не меньше, чем достоинств. Громоздкие капоты моторов ухудшили обзор вбок из пилотской кабины. Очень низкой оказалась надежность новой мотоустановки, в эксплуатации она была сложной, капризной и иногда просто опасной. Здесь проявились и не- доведенность самого М-82, и ошибки в конструкции установки, и технологические дефекты ряда кустарно изготовленных опытных агрегатов. Формально моторесурс М-82 выпуска завода № 19 составлял 100 ч, но постоянно отказывали свечи ВГ-12. При испытаниях в НИИ ВВС на машине сменили 210 свечей!</w:t>
      </w:r>
    </w:p>
    <w:p w14:paraId="1EA601A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"Нормальный" Пе-2 имел довольно большую посадочную скорость, а у более тяжелого варианта с М-82 она еще увеличилась. Неустойчивая работа моторов на малом газу заставила выполнять посадку с выключенными двигателями. Для мапоквачифициро- ванных летчиков (а такие на фронте составляли большинство) это было опасно, поскольку исключалось "подтягивание" мотором и уход в случае необходимости на второй круг. И, наконец, имелся целый ряд эксплуатационных недостатков. Механики жаловались на то, что трудно подобраться к сливным кранам маслобаков. Из-за неудачной конструкции мотогондол моторы очень долго прогревались перед вылетом; зимой на эту процедуру уходило до 3-4 ч. Новые двигатели оказались и более "прожорливыми", поэтому дальность полета по сравнению с обычным Пе-2 существенно уменьшилась.</w:t>
      </w:r>
    </w:p>
    <w:p w14:paraId="6199793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достоинства Пе-2 с М-82 на этом этапе перевесили недостатки, и в заключении акта по испытаниям ведущий инженер инженер-подполковник Шашков отметил:</w:t>
      </w:r>
    </w:p>
    <w:p w14:paraId="57CB48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возможность доводки ВМГ и устранения всех основных дефектов при серийном производстве, рекомендовать постройку малой серии самолетов Пе-2 с М-82...</w:t>
      </w:r>
    </w:p>
    <w:p w14:paraId="2CB218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Рекомендовать вооружить один из бомбардировочных полков самолетами Пе-2 с М-82 и провести войсковые испытания. Головной серийный самолет представить на государственные испытания" (12042).</w:t>
      </w:r>
    </w:p>
    <w:p w14:paraId="475F2B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23A91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июня 1942 года принято ВП НА ЗАВОДЕ № 21 четыре самолета ЯК- 7, 31 июля принят еще один самолет ЯК-7. На этом история производства самолетов ЯК-7 на заводе №21 была завершена (21100).</w:t>
      </w:r>
    </w:p>
    <w:p w14:paraId="58199F7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A0815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июня 1941 года начальник ЛИИ Герой Сов. Союза комбриг М. Громов писал письмо N 8/585с Шахурину в сопровождение Докладной записки по вопросу о десантно-транспортных планерах "Сокол" конструкции инженера Воробьева постройки з-да 169</w:t>
      </w:r>
    </w:p>
    <w:p w14:paraId="5324948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Планер "Сокол", проходящий испытания в ЛИИ НКАП, представляет собой пятиместный свободнонесущий моноплан с низкорасположенным крылом. Фюзеляж планера балочной конструкции, крыло - однолонжеронное с работающей обшивкой, оперение свободнонесущее. Материал изготовления планера - дерево. Планер имеет самолетное шасси с тормозными колесами, посадочные щитки и триммера на рулях и элеронах.</w:t>
      </w:r>
    </w:p>
    <w:p w14:paraId="3D634C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Полный полетный вес планера - 1450 кг. Полезная нагрузка - 600 кг.</w:t>
      </w:r>
    </w:p>
    <w:p w14:paraId="2588DF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процессе испытаний выявилось, что компоновка планера "Сокол" и его пилотажные качества не соответствуют требованиям к десантно-транспортному планеру.</w:t>
      </w:r>
    </w:p>
    <w:p w14:paraId="0EF5FF1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Наличие самолетного шасси у планера не обеспечивает безопасную посадку на неподготовленную площадку, т.к. возможно капотирование планера.</w:t>
      </w:r>
    </w:p>
    <w:p w14:paraId="0E4701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Низкое расположение крыла затрудняет маневренность планера у земли при расчете на посадку, т.к. возможно задевание концом крыла о землю, после чего неизбежна авария планера.</w:t>
      </w:r>
    </w:p>
    <w:p w14:paraId="55209C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Техника пилотирования планера при посадке - самолетная и требует повышенной квалификации пилота планериста.</w:t>
      </w:r>
    </w:p>
    <w:p w14:paraId="5F1D496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Расположение десанта в кабине неудобно и затруднен доступ к люку выбрасывания.</w:t>
      </w:r>
    </w:p>
    <w:p w14:paraId="0195C56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Фонарь десантной кабины на открывание в полете не рассчитан, конструкция его громоздка и излишне дорога для данного типа планеров.</w:t>
      </w:r>
    </w:p>
    <w:p w14:paraId="69C35AE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Продольная устойчивость планера на рабочих центровках 28-32,5 % отсутствует. Поперечная устойчивость у планера отсутствует, устойчивость пути - нейтральная.</w:t>
      </w:r>
    </w:p>
    <w:p w14:paraId="068369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В полете с полным полетным весом - 1450 кг на скорости 130 км/час и ниже наблюдается бафтинг, требуется установка зализов на центроплан.</w:t>
      </w:r>
    </w:p>
    <w:p w14:paraId="7A76E6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Компоновка кабины не удобна; направление вращения штурвалов триммерами не совпадает с отклонением самолета, управление щитками находится под правой рукой пилота, неправильно расставлены приборы.</w:t>
      </w:r>
    </w:p>
    <w:p w14:paraId="3E72C74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Планер "Сокол" в таком виде как он представлен на испытания в ЛИИ тактико-техническим требованиям десантно-транспортных планеров не удовлетворяет.</w:t>
      </w:r>
    </w:p>
    <w:p w14:paraId="5452D29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Доводка планера "Сокол" до состояния удовлетворяющего тактико-техническим требованиям нецелесообразна, т.к. необходимая перекомпоновка и переделка планера сложнее изготовления нового (2639).</w:t>
      </w:r>
    </w:p>
    <w:p w14:paraId="0864E93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544D2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30 июня 1942 был утвержден отчет о полигонных испытаниях в НИП АВ ВВС РККА У-2ВС пр-ва з-да № 387. В дополнение к стандартным шести внешним бомбодержателям Дер-7, введенным весной вместо четырех Дер-6, машина была оборудована двумя внутрифюзеляжными циллиндрическими кассетами для загрузки бомб 2.5 (68) - 15 (8) кг. Стрелковое состояло из курсового ШКАС (300) сверху правой плоскости нижнего крыла и ДА (4 магазина по 64) на шкворневой установке. </w:t>
      </w:r>
      <w:r w:rsidRPr="008127F8">
        <w:rPr>
          <w:rFonts w:ascii="Times New Roman" w:hAnsi="Times New Roman"/>
          <w:color w:val="000000" w:themeColor="text1"/>
          <w:sz w:val="16"/>
          <w:szCs w:val="16"/>
        </w:rPr>
        <w:lastRenderedPageBreak/>
        <w:t>В выводах отметили, что диапазон и эффективность боевого применения расширились и рекомендовали поставить два курсовых ШКАС и заменить ДА на ШКАС (4542, 14).</w:t>
      </w:r>
    </w:p>
    <w:p w14:paraId="171FDCE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69812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июня 1942 г. был утвержден отчет о проходивших в июне 1942 г. в НИП АВ ВВС РККА полигонных испытаниях У-2ВС производства завода № 387, который, в дополнение к стандартным шести внешним бомбодержателям, оборудовался двумя внутрифюзеляжными цилиндрическими кассетами мелких бомб. Кассеты устанавливались внутри фюзеляжа за кабиной штурмана и допускали загрузку мелкими бомбами калибра от 2,5 до 15 кг. Обе кассеты вмещали: или 68 осколочных авиабомб типа АО-2,5сч либо АО-2,5-2, или 48 зажигательных бомб типа ЗАБ-2,5, или 16 осколочных АО-8, или 10 штук АО-10, или 8 бомб типа АО-15.</w:t>
      </w:r>
    </w:p>
    <w:p w14:paraId="368D623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Стрелковое вооружение У-2ВС 387-го завода состояло из курсового пулемета ШКАС (300 патронов), установленного на правой плоскости нижнего крыла, и одного пулемета ДА калибра 7,62 мм (боекомплект 4 магазина по 64 патрона) на шкворневой установке у штурмана.</w:t>
      </w:r>
    </w:p>
    <w:p w14:paraId="68FE44D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выводах отчета отмечалось, что кассеты завода № 387 расширяют диапазон и эффективность боевого применения У-2ВС. Рекомендовалось установить 2 крыльевых пулемета ШКАС, а пулемет ДА у штурмана заменить на ШКАС (15142).</w:t>
      </w:r>
    </w:p>
    <w:p w14:paraId="7DA3593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EA2C23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июня 1942 на аэродром Арское поле под Казанью на ЛИС 22 завода был выведен Пе-2 М-82 АВ-5Л-118А. Для переделки использовали машину N 19/31, который строился как эталонная машина для 125 завода. На машине смонтировали и ВУБ-2 с УБТ. для улучшения центровки колеса вынесли вперед на 60 мм и вес вырос на 400 кг (2205,37).</w:t>
      </w:r>
    </w:p>
    <w:p w14:paraId="450272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F3731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5B91DC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C96EE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июня 1942 года Главное автобронетанковое управление, не удовлетворенное качеством изготовления танков Т-34, подняло этот вопрос на заседании Государственного Комитета Обороны и предложило свои основные требования по улучшению машины, сводившиеся к следующему:</w:t>
      </w:r>
    </w:p>
    <w:p w14:paraId="1BB0045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произвести сверку чертежей и технических условий;</w:t>
      </w:r>
    </w:p>
    <w:p w14:paraId="4AA3131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изъять из производства непроверенные испытаниями заменители материалов;</w:t>
      </w:r>
    </w:p>
    <w:p w14:paraId="6D20F80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усилить отделы ОТК на заводах;</w:t>
      </w:r>
    </w:p>
    <w:p w14:paraId="24D8231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заменить на танках производства СТЗ, находящихся в армии бесструнные крепления на струнные;</w:t>
      </w:r>
    </w:p>
    <w:p w14:paraId="12C747F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ввести на всех танках ма радиаторы для охлаждения</w:t>
      </w:r>
    </w:p>
    <w:p w14:paraId="0221301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двигателя в условиях летней эксплуатации.</w:t>
      </w:r>
    </w:p>
    <w:p w14:paraId="4E3FB0C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Кстати, руководство ГАБТУ КА многократно направляло в наркомат танковой промышленности на имя наркома Малышева и его заместителя Горегляда письма, в которых сообщало о неудовлетворительном качестве танков Т-34 производства СТЗ и требовало принятия срочных мер по устранению дефектов - только с 3 февраля по 4 июня 1942 года было передано в НКТП восемь таких посланий.</w:t>
      </w:r>
    </w:p>
    <w:p w14:paraId="7C6CF5B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Всегоо до отмены бесструнного крепления бортовой передачи 30 июня 1942 года СТЗ изготовил 1034 (?)танка Т-34, при этом часть из них имела цилиндрические подшипники, не требующие замены, на час- тии машин замену бортовой передачи провели в войсках за счет имевшихся запасных частей, а на 66 тридцатьчетверках бортовую передачу поменяли в мае - июне на СТЗ по рекламациям. Исходя из этого, ГАБТУ КА приказало СТЗ изготовить в июле 1942 года 250 комплектов бортовых передач для восполнения их запасов в войсках и полной замены бесструнных, но сделано это не было (12217).</w:t>
      </w:r>
    </w:p>
    <w:p w14:paraId="7B1B6C4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92ED082"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июня 1942 г. ГАБТУ КА поставило вопрос о качестве Т-34 в правительстве и предъявило «основные требования по улучшению танка:</w:t>
      </w:r>
    </w:p>
    <w:p w14:paraId="5401D2B5"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произвести сверку чертежей и технических условий;</w:t>
      </w:r>
    </w:p>
    <w:p w14:paraId="64FD4E88"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изъять из производства непроверенные испытаниями заменители;</w:t>
      </w:r>
    </w:p>
    <w:p w14:paraId="64BA9D02"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усилить отделы ОТК на заводах;</w:t>
      </w:r>
    </w:p>
    <w:p w14:paraId="66263B41"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заменить на танках производства СТЗ, находящихся в армии, бесструнное крепление (бортовых редукторов) на струнное;</w:t>
      </w:r>
    </w:p>
    <w:p w14:paraId="63BC0B2C"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 ввести на всех танках масляные радиаторы» (Барятинский, М.Б. Т-34 в бою. - С. 262-263.).</w:t>
      </w:r>
    </w:p>
    <w:p w14:paraId="400579AA"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Одной из важнейших задач решаемых наркоматом танковой промышленности стало преодоление кризиса надежности. Не сумев решить проблему административными мерами, руководство НКТП собрало конференцию по качеству танка Т-34. Участвовавшие в конференции главные конструкторы танковых заводов, представители ОТК и военной приемки, работники центральных органов НКТП, представители бронетанковых войск, смогли услышать взаимные претензии и обсудить пути исправления недостатков (Ермолов, А.Ю. Государственное управление военной промышленностью в 1940-е годы: Танковая промышленность. - С. 201-202.).</w:t>
      </w:r>
    </w:p>
    <w:p w14:paraId="2D195111"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Конструкторским бюро заводов были даны задания по доработке бортовой передачи, ленивца, разработке командирской башенки и т.д.</w:t>
      </w:r>
    </w:p>
    <w:p w14:paraId="3F47B8A4"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Была значительно повышена роль ОТК, ранее сильно зависевшего от заводского руководства. По прежнему подчиняясь директору завода, начальник ОТК был подотчётен главному инспектору НКТП и при необходимости мог обратиться напрямую к наркому. Работники ОТК получили возможность не только запрещать приемку продукции, но и приостанавливать работу отдельных станков и агрегатов. Усиление контроля со стороны ОТК положительно сказалось на качестве выпускаемых танков. ОТК стало на заводах органом, осуществляющим жесткий контроль, за качеством всех проводимых работ, деятельность которого была направлена на улучшение надежности машины.</w:t>
      </w:r>
    </w:p>
    <w:p w14:paraId="3D833FA6"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улучшения качества по литейным цехам завода № 112 были проведены мероприятия, например, по засорам и газовым раковинам. Переработаны технологии, и ряд деталей (барабан, бортовой фрикцион, крышка бортовой передачи), были переведены на отливку в металлические формы (вместо отливки в землю) (ЦАНО. Ф.Р-15. Оп. 4. Д. 183. Л 18об.).</w:t>
      </w:r>
    </w:p>
    <w:p w14:paraId="6F2D9580"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горячих цехах были исправлены колодцы для охлаждения легированной стали, введена инструкция режима охлаждения. Проверялись марки сталей, и брак резко снизился (1-й квартал - 4тонны, 4-й квартал - 0, 2 тонны). Был введен стопроцентный контроль деталей по твердости. Резко сократили случаи разрушения КПП путем исследования аварийных деталей, вскрытых недостатков термической обработки шестерен на заводе № 113.</w:t>
      </w:r>
    </w:p>
    <w:p w14:paraId="42CD334E"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Что же касается броневых деталей, то была приведена в порядок технологическая документация, все типовые агрегаты цеха № 42 оборудованы термопарами и контрольно-измерительной аппаратурой. Введен индивидуальный режим для разных плавок (ЦАНО. Ф.Р-15. Оп. 4. Д. 183. Л 19.) (23540).</w:t>
      </w:r>
    </w:p>
    <w:p w14:paraId="55360F13" w14:textId="77777777" w:rsidR="005538C6" w:rsidRPr="008A2E5A" w:rsidRDefault="005538C6" w:rsidP="005538C6">
      <w:pPr>
        <w:spacing w:after="0" w:line="240" w:lineRule="auto"/>
        <w:jc w:val="both"/>
        <w:rPr>
          <w:rFonts w:ascii="Times New Roman" w:hAnsi="Times New Roman"/>
          <w:color w:val="0070C0"/>
          <w:sz w:val="16"/>
          <w:szCs w:val="16"/>
        </w:rPr>
      </w:pPr>
    </w:p>
    <w:p w14:paraId="661506B4"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30 июня 1942 года ГАУ КА запросил у ГАБТУ шасси Т-34 для СГ-122М на заводе №592. Только 20 августа Молотов лично дал разрешение на выделение двух ремонтных Т-34. Такое по меньшей мере странное поведение руководства ГАБТУ КА чуть не оставило Красную армию без средних САУ (17663).</w:t>
      </w:r>
    </w:p>
    <w:p w14:paraId="4FAF026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7FD040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июня 1942 года опытный образец СГ-122 закончил заводские испытания (на полигоне завода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8 под Москвой), которые шли с 20 июня. На них проверялись общая прочность конструкции и отдельных её узлов, удобство обслуживания самоходки, а также скорострельность, устойчивость при стрельбе и ходовые качества.</w:t>
      </w:r>
    </w:p>
    <w:p w14:paraId="1090B17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ходе испытаний выяснилось, что время перехода самоходки из походного положения в боевое составляет от 19 до 27с, а время переноса огня по азимуту на углы 15, 45 и 90 градусов, разворотом машины на месте с грубым наведением орудия на новую цель при помощи визира с последующей точной наводкой по панораме и производством выстрела — от 16 до 22 с.</w:t>
      </w:r>
    </w:p>
    <w:p w14:paraId="19F45D0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Проверка удобства работы орудийного расчета в противогазах при сильном задымлении боевого отделения показала, что это заметно не снижает работоспособности орудийного расчета. Задымление осуществлялось сжиганием в течение 15 минут в трех пустых гильзах, установленных на полу боевого отделения, промасленной ветоши «с накоплением дыма периодическим задраиванием люков». В это время экипаж находился в противогазах, соединенных удлиненными шлангами с наружным воздухом и «производил боевые действия при гаубице».</w:t>
      </w:r>
    </w:p>
    <w:p w14:paraId="4EA082C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пробегом составили 75 километров по различным дорогам и бездорожью, и показали «удовлетворительные ходовые свойства шасси, его хорошие управляемость и проходимость через препятствия».</w:t>
      </w:r>
    </w:p>
    <w:p w14:paraId="7EC59B2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заключение отчёта говорилось, что самоходная установка СГ-122 выдержала заводские испытания и подлежит передаче на полигонные испытания.</w:t>
      </w:r>
    </w:p>
    <w:p w14:paraId="7DDD197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Следует сказать, что руководство ГАБТУ КА отнеслось к испытаниям и перспективам серийного изготовления СГ-122 весьма прохладно (12688).</w:t>
      </w:r>
    </w:p>
    <w:p w14:paraId="26274B1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D93492F"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30 июня 1942 года были подготовлены тактико-технические требования на Т-48. ЦНИИ-48 и Военный металлургический комитет Всесоюзного научного инженерно-технического общества на основании опыта использования самоходов противником считали, что основной тактической задачей Т-48 должна стать «подсобная работа» в помощь средним и тяжелым танкам при прорывах укреплений противника. Благодаря мощному бронированию и 45-миллиметровой пушке, «безбашенный танк» будет эффективно бороться с огневыми средствами и средними танками противника. Благодаря простоте конструкции и базе Т-60, новая машина могла быть быстро и легко запущена в серийное производство[985] (23536).</w:t>
      </w:r>
    </w:p>
    <w:p w14:paraId="766B84E2" w14:textId="77777777" w:rsidR="005538C6" w:rsidRPr="008A2E5A" w:rsidRDefault="005538C6" w:rsidP="005538C6">
      <w:pPr>
        <w:spacing w:after="0" w:line="240" w:lineRule="auto"/>
        <w:jc w:val="both"/>
        <w:rPr>
          <w:rFonts w:ascii="Times New Roman" w:hAnsi="Times New Roman"/>
          <w:color w:val="0070C0"/>
          <w:sz w:val="16"/>
          <w:szCs w:val="16"/>
        </w:rPr>
      </w:pPr>
    </w:p>
    <w:p w14:paraId="4C788F3D"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июня 1942 года вышел приказ № 99с/431 НКБ и Наркомата текстильной промышленности</w:t>
      </w:r>
    </w:p>
    <w:p w14:paraId="481C07D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распоряжением СНК № 11575-рс от 21 июня 1942 года:</w:t>
      </w:r>
    </w:p>
    <w:p w14:paraId="7666173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Здание “Горелый корпус” в Иваново передать из ведения завода № 521 НКБ в ведение фабрики “Ново-Ивановская мануфактура” 2-го Главивхлорпрома Наркомтекстиля (5907, 126).</w:t>
      </w:r>
    </w:p>
    <w:p w14:paraId="4595EE8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EC7E9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июня 1942 года была подготовлена справка:</w:t>
      </w:r>
    </w:p>
    <w:p w14:paraId="42C166F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Законсервированное строительство завода № 303 НКВ – Владимир (9211)</w:t>
      </w:r>
    </w:p>
    <w:p w14:paraId="10989C4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8E5533"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июня 1941 г. на Ирбитский диатомитовый комбинат (ИДК) прибыла группа московских проектировщиков, на следующий день началось строительство новой промышленной площадки, а через полтора месяца было закончено перемещение части производства Ленинградского фарфорового завода[230]. Именно на основе этих мощностей начинался выпуск электрических изоляторов для двигателей на ИДК.</w:t>
      </w:r>
    </w:p>
    <w:p w14:paraId="6A6748F6" w14:textId="77777777" w:rsidR="005538C6" w:rsidRPr="008A2E5A" w:rsidRDefault="005538C6" w:rsidP="005538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Аналогичная, опережающие эвакуацию работы выполнялась и на предприятиях других отраслей (23536)</w:t>
      </w:r>
    </w:p>
    <w:p w14:paraId="1766F17E" w14:textId="77777777" w:rsidR="005538C6" w:rsidRPr="008A2E5A" w:rsidRDefault="005538C6" w:rsidP="005538C6">
      <w:pPr>
        <w:spacing w:after="0" w:line="240" w:lineRule="auto"/>
        <w:jc w:val="both"/>
        <w:rPr>
          <w:rFonts w:ascii="Times New Roman" w:hAnsi="Times New Roman"/>
          <w:color w:val="0070C0"/>
          <w:sz w:val="16"/>
          <w:szCs w:val="16"/>
        </w:rPr>
      </w:pPr>
    </w:p>
    <w:p w14:paraId="49AF20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5E88A6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6FA39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30 июня</w:t>
      </w:r>
      <w:r w:rsidRPr="008127F8">
        <w:rPr>
          <w:rFonts w:ascii="Times New Roman" w:hAnsi="Times New Roman"/>
          <w:color w:val="000000" w:themeColor="text1"/>
          <w:sz w:val="16"/>
          <w:szCs w:val="16"/>
        </w:rPr>
        <w:t xml:space="preserve"> в 1942 году утреннее сообщение Совинформбюро:</w:t>
      </w:r>
    </w:p>
    <w:p w14:paraId="44E31EF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ночи на 30 июня на Курском и Севастопольском направлениях наши войска вели бои с противником.</w:t>
      </w:r>
    </w:p>
    <w:p w14:paraId="5828888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никаких изменений не произошло.</w:t>
      </w:r>
    </w:p>
    <w:p w14:paraId="260B95B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Курского направления немецкая пехота перешла в атаку при поддержке танков. Наши бойцы под командованием тов. Мищенко огневым артиллерийским налётом подбили 15 немецких танков, а затем в рукопашной схватке уничтожили 500 гитлеровцев. На другом участке в ожесточённом бою противник потерял убитыми до 2.500 солдат и офицеров. Активно действует наша авиация. Советские лётчики уничтожили 60 немецких танков, 108 автомашин и сбили в воздушных боях 25 самолётов противника.</w:t>
      </w:r>
    </w:p>
    <w:p w14:paraId="257B571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Бойцы Приморской армии и краснофлотцы отбивают ожесточённые атаки противника на Севастопольском участке фронта. На позиции подразделения старшего лейтенанта Короля немцы сбросили большое количество авиабомб, выпустили до 10.000 снарядов, а затем перешли в наступление. Два дня подряд противник пытался прорвать нашу оборону, но неизменно встречал сокрушительный отпор. Потеряв свыше 1.500 солдат и офицеров, гитлеровцы отступили на исходные позиции. Пехотинцы подразделения тов. Рубцова отбили десятки атак превосходящих сил противника и уничтожили до двух полков немецкой пехоты и 11 танков, сбили 2 бомбардировщика противника. Батарея командира тов. Ливнова метким огнём разбила 6 немецких автомашин, рассеяла и частью уничтожила до двух батальонов пехоты. Группа бойцов под командованием тов. Полякова пробралась в тыл противника и уничтожила до 100 гитлеровцев.</w:t>
      </w:r>
    </w:p>
    <w:p w14:paraId="07C7C28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артиллеристы (Калининский фронт) огневым налётом на скопление пехоты противника уничтожили около 300 гитлеровцев, противотанковое орудие, разрушили 17 блиндажей и ДЗОТов, взорвали склад с боеприпасами противника.</w:t>
      </w:r>
    </w:p>
    <w:p w14:paraId="157E73F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Противник совершил нападение на наше боевое охранение, находившееся в трёх подбитых немецких танках. Девять красноармейцев ружейно-пулемётным огнём уничтожили 90 немецких солдат и офицеров. Подоспевшая на помощь рота бойцов отогнала немцев на исходные позиции.</w:t>
      </w:r>
    </w:p>
    <w:p w14:paraId="2F34543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витебских партизан под командованием тов. К. совершил нападение на подразделение немцев и уничтожил 150 оккупантов. Группа партизан под командованием тов. Ш. за семь дней истребила 126 немецких солдат и офицеров, уничтожила 10 автомашин и взорвала несколько мостов.</w:t>
      </w:r>
    </w:p>
    <w:p w14:paraId="058F179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Партизаны, действующие в районе С.— В., минировали железнодорожный путь и подорвали бронепоезд противника. По этой линии железной дороги на сутки было приостановлено движение поездов.</w:t>
      </w:r>
    </w:p>
    <w:p w14:paraId="5D881D3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публикуются выдержки из записной книжки убитого немецкого ефрейтора Эрвина Рудигера: «Русские обрушили на нас массу бомб. Новички метались, как обезумевшие, и не слушали распоряжений унтер-офицеров... Уже несколько дней идут кровопролитные бои. Офицеры неоднократно говорили, что вся Германия с надеждой ждёт решающего наступления. Солдаты же рассуждают иначе: «Хоть десять решающих наступлений, но только без нас».</w:t>
      </w:r>
    </w:p>
    <w:p w14:paraId="49D5DDB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Очередная почта произвела ошеломляющее впечатление. У всех на устах слова: Кельн и Эссен. Родные сообщают страшные вещи. Фридриху пишут, что жизнь сошла с рельс и люди никак не могут опомниться после ужасной катастрофы».</w:t>
      </w:r>
    </w:p>
    <w:p w14:paraId="2CA860D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Солдаты итальянской роты, посланной на подавление партизанского движения в районе Ужице (Югославия), перебили офицеров и присоединились к партизанам.» (14938).</w:t>
      </w:r>
    </w:p>
    <w:p w14:paraId="529724D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B6E248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30 июня</w:t>
      </w:r>
      <w:r w:rsidRPr="008127F8">
        <w:rPr>
          <w:rFonts w:ascii="Times New Roman" w:hAnsi="Times New Roman"/>
          <w:color w:val="000000" w:themeColor="text1"/>
          <w:sz w:val="16"/>
          <w:szCs w:val="16"/>
        </w:rPr>
        <w:t xml:space="preserve"> в 1942 году вечернее сообщение Совинформбюро:</w:t>
      </w:r>
    </w:p>
    <w:p w14:paraId="1B7D0F2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30 июня на Курском направлении наши войска отбивали атаки крупных сил пехоты и танков противника. Противник несёт колоссальные потери. Наши войска подбили до 150 немецких танков.</w:t>
      </w:r>
    </w:p>
    <w:p w14:paraId="27BA8A5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Севастопольском участке фронта наши войска отбивали ожесточённые атаки крупных сил противника.</w:t>
      </w:r>
    </w:p>
    <w:p w14:paraId="3A5A9A5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других участках фронта существенных изменений не произошло.</w:t>
      </w:r>
    </w:p>
    <w:p w14:paraId="40DF571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29 июня частями нашей авиации на различных участках фронта уничтожено ил иповреждено 23 немецких танка, свыше 50 автомашин с войсками и грузами, подавлен огонь 4 артиллерийских батарей и 27 зенитно-пулемётных точек, взорвано 2 склада с боеприпасами, рассеяно и частью уничтожено до батальона пехоты противника.</w:t>
      </w:r>
    </w:p>
    <w:p w14:paraId="531DE22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Курском направлении продолжаются упорные бои. Только на одном участке фронта наши части под командованием тов. Пухова в течение дня уничтожили свыше 2.000 немецких солдат и офицеров, 22 танка и 5 самолётов противника, из которых 2 бомбардировщика сбиты групповым ружейно-пулемётным огнём.</w:t>
      </w:r>
    </w:p>
    <w:p w14:paraId="3C78E9B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Защитники Севастополя проявляют в борьбе с врагом беспримерное мужество и стойкость. Группа автоматчиков старшины тов. Сучкова в течение трёх дней отразила 12 атак и вывела из строя до трёх рот противника. Ценой огромных потерь немцам удалось ворваться в окопы подразделения старшего лейтенанта Гарафонова. Наши бойцы перешли в штыковую контратаку и отбросили немцев. Гитлеровцы потеряли в этой схватке только убитыми 150 человек. Противник многократно пытался занять блиндаж, который обороняют семь бойцов во главе со старшиной Акобия. Герои-бойцы отбили все атаки врага. Тов. Акобия из ручного пулемёта уничтожил до 150 немцев. Зенитчики батареи старшего лейтенанта Шаповалова за несколько дней боёв сбили 29 и подбили 5 немецких самолётов.</w:t>
      </w:r>
    </w:p>
    <w:p w14:paraId="05AB40F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одном из участков Южного фронта наша часть, атаковав занятый противником населённый пункт, уничтожила 120 немецких солдат и офицеров, захватила пленных и трофеи.</w:t>
      </w:r>
    </w:p>
    <w:p w14:paraId="15E806A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отдельных участках Западного фронта нашей артиллерией разрушены 3 блиндажа с пехотой противника, 2 наблюдательных пункта и ДЗОТ, подавлены 2 миномётные батареи, рассеяно и частью уничтожено до батальона пехоты противника.</w:t>
      </w:r>
    </w:p>
    <w:p w14:paraId="0153A34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Снайпер Н-ской части тов. Маков за один день истребил 11 немецких солдат и офицеров. Снайпер тов. Данильченко в течение трёх дней уничтожил 40 гитлеровцев.</w:t>
      </w:r>
    </w:p>
    <w:p w14:paraId="00ABFBF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Отряд украинских партизан совершил успешный налёт на танковую колонну противника. Устроив засаду у дороги, партизаны забросали немецкие танки гранатами и бутылками с горючей жидкостью. Один за другим загорелись 7 немецких танков. Партизаны уничтожили свыше 30 танкистов противника.</w:t>
      </w:r>
    </w:p>
    <w:p w14:paraId="60EE016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Захваченный в плен на Севастопольском участке фронта ефрейтор 401 полка 170 немецкой пехотной дивизии М.Вибенгорст сообщил: «В первый же день наступления наш полк понёс тяжёлые потери. Некоторые роты полностью уничтожен, а в других осталось по 10—20 человек. Из строя выбыло очень много офицеров».</w:t>
      </w:r>
    </w:p>
    <w:p w14:paraId="25B8CD7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Предатели французского народа пытаются завербовать рабочих для германской промышленности. Но французские патриоты упорно бойкотируют и срывают работу вербовочных пунктов. Вербовка рабочих во Франции для гитлеровской Германии позорно провалилась. В связи с этим гитлеровские наёмники пустили в ход угрозы и провокации. В Реймсе многим рабочим, отказавшимся поехать в Германию, предъявлено обвинение в злостном саботаже. В полиции рабочим заявили, что их ожидает суровый приговор, если они будут упорствовать и в течение пяти дней не выедут в Германию.» (14938).</w:t>
      </w:r>
    </w:p>
    <w:p w14:paraId="3DAFB8F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958521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с 30 июня на 1 июля 1942 г. самолет (с бор</w:t>
      </w:r>
      <w:r w:rsidRPr="008127F8">
        <w:rPr>
          <w:rFonts w:ascii="Times New Roman" w:hAnsi="Times New Roman"/>
          <w:color w:val="000000" w:themeColor="text1"/>
          <w:sz w:val="16"/>
          <w:szCs w:val="16"/>
        </w:rPr>
        <w:softHyphen/>
        <w:t>товым номером 9) под управлением ка</w:t>
      </w:r>
      <w:r w:rsidRPr="008127F8">
        <w:rPr>
          <w:rFonts w:ascii="Times New Roman" w:hAnsi="Times New Roman"/>
          <w:color w:val="000000" w:themeColor="text1"/>
          <w:sz w:val="16"/>
          <w:szCs w:val="16"/>
        </w:rPr>
        <w:softHyphen/>
        <w:t>питана Малахова сначала отбомбился по позициям немцев в районе Мекензиевых гор, а затем совершил посадку в Казачей бухте. На борт были приняты 27 человек. При взлете перегруженный самолет полу</w:t>
      </w:r>
      <w:r w:rsidRPr="008127F8">
        <w:rPr>
          <w:rFonts w:ascii="Times New Roman" w:hAnsi="Times New Roman"/>
          <w:color w:val="000000" w:themeColor="text1"/>
          <w:sz w:val="16"/>
          <w:szCs w:val="16"/>
        </w:rPr>
        <w:softHyphen/>
        <w:t>чил повреждения от зенитного огня про</w:t>
      </w:r>
      <w:r w:rsidRPr="008127F8">
        <w:rPr>
          <w:rFonts w:ascii="Times New Roman" w:hAnsi="Times New Roman"/>
          <w:color w:val="000000" w:themeColor="text1"/>
          <w:sz w:val="16"/>
          <w:szCs w:val="16"/>
        </w:rPr>
        <w:softHyphen/>
        <w:t>тивника, но смог все-таки набрать высоту. Однако через полтора часа левый мотор заклинило. ГСТ был вынужден привод</w:t>
      </w:r>
      <w:r w:rsidRPr="008127F8">
        <w:rPr>
          <w:rFonts w:ascii="Times New Roman" w:hAnsi="Times New Roman"/>
          <w:color w:val="000000" w:themeColor="text1"/>
          <w:sz w:val="16"/>
          <w:szCs w:val="16"/>
        </w:rPr>
        <w:softHyphen/>
        <w:t>ниться на траверзе Феодосии в 50 милях от берега. 2 июля, через 36 часов дрейфа, пережив несколько атак немецких само</w:t>
      </w:r>
      <w:r w:rsidRPr="008127F8">
        <w:rPr>
          <w:rFonts w:ascii="Times New Roman" w:hAnsi="Times New Roman"/>
          <w:color w:val="000000" w:themeColor="text1"/>
          <w:sz w:val="16"/>
          <w:szCs w:val="16"/>
        </w:rPr>
        <w:softHyphen/>
        <w:t>летов, экипаж и пассажиры были подо</w:t>
      </w:r>
      <w:r w:rsidRPr="008127F8">
        <w:rPr>
          <w:rFonts w:ascii="Times New Roman" w:hAnsi="Times New Roman"/>
          <w:color w:val="000000" w:themeColor="text1"/>
          <w:sz w:val="16"/>
          <w:szCs w:val="16"/>
        </w:rPr>
        <w:softHyphen/>
        <w:t>браны тральщиком Т-404 «Щит», возвра</w:t>
      </w:r>
      <w:r w:rsidRPr="008127F8">
        <w:rPr>
          <w:rFonts w:ascii="Times New Roman" w:hAnsi="Times New Roman"/>
          <w:color w:val="000000" w:themeColor="text1"/>
          <w:sz w:val="16"/>
          <w:szCs w:val="16"/>
        </w:rPr>
        <w:softHyphen/>
        <w:t>щавшимся от Севастополя. Но самолет, к сожалению, пришлось затопить. Кстати, этот случай говорит о том, что при более целеустремленной и организованной эва</w:t>
      </w:r>
      <w:r w:rsidRPr="008127F8">
        <w:rPr>
          <w:rFonts w:ascii="Times New Roman" w:hAnsi="Times New Roman"/>
          <w:color w:val="000000" w:themeColor="text1"/>
          <w:sz w:val="16"/>
          <w:szCs w:val="16"/>
        </w:rPr>
        <w:softHyphen/>
        <w:t>куации с привлечением всех возможных сил и средств, число спасенных от гибели или плена, защитников Севастополя могло быть значительно больше (19852).</w:t>
      </w:r>
    </w:p>
    <w:p w14:paraId="6C52458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B42FC1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Вечером 30 июня 1942 г. на 35-й батарее остались 6 шрапнельных и 30 практических снарядов. Командир батареи получил приказ, после израсходования</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последнего снаряда батарею взорвать. Ночью июля</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1942 г. батарея была взорвана. После войны батарея</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не восстанавливалась (15132).</w:t>
      </w:r>
    </w:p>
    <w:p w14:paraId="43CE4F2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CC07A7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30 июня</w:t>
      </w:r>
      <w:r w:rsidRPr="008127F8">
        <w:rPr>
          <w:rFonts w:ascii="Times New Roman" w:hAnsi="Times New Roman"/>
          <w:color w:val="000000" w:themeColor="text1"/>
          <w:sz w:val="16"/>
          <w:szCs w:val="16"/>
        </w:rPr>
        <w:t xml:space="preserve"> в 1942 году ставка ВГК отдала приказ Военному совету Севастопольского оборонительного района об эвакуации Севастополя. В Севастополе противник прорвался на Корабельную сторону, где развернулись бои за Малахов курган. Вечером защитники города отошли к бухтам Стрелецкая, Камышевая, Казачья и на мысе Херсонес (14938).</w:t>
      </w:r>
    </w:p>
    <w:p w14:paraId="5F27108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8B1069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30 июня</w:t>
      </w:r>
      <w:r w:rsidRPr="008127F8">
        <w:rPr>
          <w:rFonts w:ascii="Times New Roman" w:hAnsi="Times New Roman"/>
          <w:color w:val="000000" w:themeColor="text1"/>
          <w:sz w:val="16"/>
          <w:szCs w:val="16"/>
        </w:rPr>
        <w:t xml:space="preserve"> в 1942 году 6-я немецкая армия перешла в наступление из райоа Волчанска в полосе Юго-Западного фронта, прорвала его оборону и начала развивать наступление на северо-восток (14938).</w:t>
      </w:r>
    </w:p>
    <w:p w14:paraId="3A55E37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C04DACD"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июня 1942 в 9-50 утра командующий войсками СОР вице-адмирал Октябрьский сообщил в Ставку о предстоящем падении Севастополя через 2-3 дня и запросил разрешение на эвакуацию. В городе немцы заняли железнодорожный вокзал, Исторический бульвар, а к вечеру наши оставили Малахов курган. Начался перегон в Анапу всех самолетов СОР, которые еще были способны подняться в воздух (4963 ).</w:t>
      </w:r>
    </w:p>
    <w:p w14:paraId="314A9A4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0D6B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с 30 июня на 1 июля 1942 состоялся отвод самолетов из Севастополя. Из Севастополя вылетело 11 Як-1, 1 УТ-1, 4 У-2, 7 Ил-2, З И-153, 2 И-15, 4 И-16 и 2 ЛаГГ-3. Тридцать неисправных самолетов уничтожили на аэродроме. В городе осталось десять экипажей из 23го ШАП, возглавляемых капитаном М.И. Охапиным. В ходе уличных боев они почти все погибли. Той же ночью в Казачью Бухту перелетела группа МБР-2, один МБТ-2 и один ГСТ, однако МБР-2 из-за нелетной погоды никого не приняли на борт. В полете у ГСТ отказал двигатель и самолет приводнился на штормовую волну. Экипаж самолета и 33 эвакуируемых подобрал проходящий мимо тральщик (2691). Результаты деятельности 3-й ОАГ можно оценить следующим образом: в период с 25 мая по 1 июля 1942 года пилоты совершили 3144 боевых вылетов, в том числе 1621 вылет на штурмовку. Было уничтожено 57 танков, сбито 60 самолетов, еще 43 немецких самолета удалось уничтожить на земле. Потери советской стороны составляли 53 самолета, причем только три - от огня зенитной артиллерии противника. 16 самолетов не вернулось с задания, а еще 30 пришлось бросить на аэродроме. Погибло 50 летчиков. Пилоты 5-й Воздушной Армии добавили к списку побед 35 сбитых самолетов противника. 31 июля 1942 года группу расформировали (2691).</w:t>
      </w:r>
    </w:p>
    <w:p w14:paraId="1BD9B3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B5CF6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30 июня 1942 боевые операции начал 153-й авиаполк, который попал на Воронежский фронт, в состав 3-й ударной авиагруппы, в конце июня 1942 года. С аэродромов Воронежа и Липецка полк действовал до конца сентября. За этот период он совершил 1070 боевых вылетов, сбил 64 вражеских самолета (в том числе 45 истребителей) и потерял восемь своих машин. "Незначительные потери объясняются в первую очередь опытностью летчиков и хорошими ЛТД самолета "Аэрокобра", - писал командир полка, уже подполковник, Миронов. 185-й полк летал на "Кобрах" недолго; в ноябре 1942 года его расформировали, а личный состав направили в 1-ю перегоночную авиадивизию Мазурука. 153-й же в октябре вновь пополнили "Аэрокобрами" и перебросили на Северо-западный фронт. Там он тоже достойно сражался, за что 22 ноября стал именоваться 28-м гвардейским (3457,70).</w:t>
      </w:r>
    </w:p>
    <w:p w14:paraId="1EE2CE0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05D4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июня 1942 ударила 6 немецкая армия и к 15 июля прорвала оборону, пересечя 12 июля границу Сталинградской области (340,88).</w:t>
      </w:r>
    </w:p>
    <w:p w14:paraId="40B81D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4D061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июня 1942 года советская авиация совершила налет на другой немецкий аэродром Банак. На этот раз немцы успели быстро отреагировать и сбили два Ил-4 из 35го МТАП, который прибыл на фронт всего за неделю до этого. Погибли экипажи майора А.В. Крылова и капитана П. Зубкова (2691).</w:t>
      </w:r>
    </w:p>
    <w:p w14:paraId="0FF0262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F499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июня 1942 по сообщению Совинформбюро на БрянскомФ группа ш в сопровождении и совершила налет на аэродром, куда только что сели 50 с. Сожгли 22 и повредили 6. вернулись без потерь (438,848).</w:t>
      </w:r>
    </w:p>
    <w:p w14:paraId="64A572F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3783B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 30th, 1942: In the East, beginning of an offensive by 6. Armee (Paulus) from the area of Belgorod toward the Don. Returning from a successful patrol in the Gulf of Mexico (12 ships sunk), U-158 (Kptlt. Rostin) is destroyed by a US Mariner flying boat off Bermuda (3819).</w:t>
      </w:r>
    </w:p>
    <w:p w14:paraId="7EC48F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5CC4A5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июня 1942 началось наступление 6А (фон Паулюс) от Белгорода на Дон. У-158, возвращавшаяся из мексиканского залива с 12 победами, была потоплена летающей лодкой США, базирующейся на Бермудах (3819).</w:t>
      </w:r>
    </w:p>
    <w:p w14:paraId="194BBF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FE3C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июня 1942 КОР-2 патрулируя район военно-морской базы обнаружил след перископа и сбросил 4 ПЛАБ-100 (9079,36).</w:t>
      </w:r>
    </w:p>
    <w:p w14:paraId="7958AB9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BCE1F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июня 1942 г. два КОР-2, патрулируя рай</w:t>
      </w:r>
      <w:r w:rsidRPr="008127F8">
        <w:rPr>
          <w:rFonts w:ascii="Times New Roman" w:hAnsi="Times New Roman"/>
          <w:color w:val="000000" w:themeColor="text1"/>
          <w:sz w:val="16"/>
          <w:szCs w:val="16"/>
        </w:rPr>
        <w:softHyphen/>
        <w:t>он военно-морской базы Поти, обнаружили след перископа и сбросили 4 противолодоч</w:t>
      </w:r>
      <w:r w:rsidRPr="008127F8">
        <w:rPr>
          <w:rFonts w:ascii="Times New Roman" w:hAnsi="Times New Roman"/>
          <w:color w:val="000000" w:themeColor="text1"/>
          <w:sz w:val="16"/>
          <w:szCs w:val="16"/>
        </w:rPr>
        <w:softHyphen/>
        <w:t>ных бомбы ПЛАБ-100. Отмечались подоб</w:t>
      </w:r>
      <w:r w:rsidRPr="008127F8">
        <w:rPr>
          <w:rFonts w:ascii="Times New Roman" w:hAnsi="Times New Roman"/>
          <w:color w:val="000000" w:themeColor="text1"/>
          <w:sz w:val="16"/>
          <w:szCs w:val="16"/>
        </w:rPr>
        <w:softHyphen/>
        <w:t>ные случаи и позднее, однако о боевых успе</w:t>
      </w:r>
      <w:r w:rsidRPr="008127F8">
        <w:rPr>
          <w:rFonts w:ascii="Times New Roman" w:hAnsi="Times New Roman"/>
          <w:color w:val="000000" w:themeColor="text1"/>
          <w:sz w:val="16"/>
          <w:szCs w:val="16"/>
        </w:rPr>
        <w:softHyphen/>
        <w:t>хах не сообщалось (12301).</w:t>
      </w:r>
    </w:p>
    <w:p w14:paraId="3E353CC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B68C6A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июня 1942 в районе Калача контратаковал 23-й танковый корпус 1-й танковой армии (передан из состава 4-й танковой) - 75 танков, из них 43 Т-34. Правда из-за того, что корпусу пришлось выдвигаться к линии фронта, совершив марш до 300 км, около трети его танков вышли из строя по техническим причинам. В результате, потеряв в течение дня 23 машины (11 Т-34), он успеха не добился (12217).</w:t>
      </w:r>
    </w:p>
    <w:p w14:paraId="1D98D46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B19129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июня 1942 из района Ливны, вдоль левого берега реки Кшень перешел в наступление 1-й танковый корпус генерал-майора М.Е. Катукова (181 танк, из них 88 Т-34). В междуречье Кшени и Олыма развернулись ожесточенные бои. 1-му танковому корпусу удалось продвинуться на 5 километров к югу, но вскоре он был остановлен немецкой артиллерией и ударами авиации и перешел к обороне на стыке 13-й и 40-й армии.</w:t>
      </w:r>
    </w:p>
    <w:p w14:paraId="5BEAF3E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Части 16-го танкового корпуса генерала-майора М.И. Павелкина (181 танк, из них 88 Т-34) вступили в бой 29 июня 1942 года. В течение 29 июня танковые бригады корпуса отбивали попытки немцев переправиться через реку Кшень, находясь под непрерывными бомбежками авиации противника. В ходе тяжелых боев к концу дня танковые бригады потеряли до 15 % танков, уничтожив 18 немецких боевых машин.</w:t>
      </w:r>
    </w:p>
    <w:p w14:paraId="5F9C0F4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следующий день корпус получил задачу - атаковать и уничтожить противника в районе Новый Поселок, где немецким частям удалось переправиться через Кшень. Однако, из-за непрерывных бомбежек выполнить эту задачу не удалось.</w:t>
      </w:r>
    </w:p>
    <w:p w14:paraId="0103FF2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Разыгравшееся на левом фланге 40-й армии во второй половине дня 30 июня крупное танковое сражение между дивизиями 48-го танкового корпуса вермахта и танковыми корпусами оперативной группы Федоренко, также было проиграно Красной Армией. Если 4-й танковый корпус генерал-майора ВА Мишулина (145 танков, из них 26 Т-34), перейдя в наступление из района Старого Оскола, к исходу дня достиг Горшечного, разгромив при этом передовые части противника, то 17-й корпус генерал-майора Н.В. Фекленко (179 танков, из них 88 Т-34), прибыл из Воронежа без тылов и сразу не мог участвовать в контрударе. Это поставило в тяжелое положение части 4-го танкового корпуса (12217).</w:t>
      </w:r>
    </w:p>
    <w:p w14:paraId="115F35A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C9A4F5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16E3864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A2372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30 июня</w:t>
      </w:r>
      <w:r w:rsidRPr="008127F8">
        <w:rPr>
          <w:rFonts w:ascii="Times New Roman" w:hAnsi="Times New Roman"/>
          <w:color w:val="000000" w:themeColor="text1"/>
          <w:sz w:val="16"/>
          <w:szCs w:val="16"/>
        </w:rPr>
        <w:t xml:space="preserve"> в 1942 году финская контрразведка приступает к регулярной отправке в Берлин копий перехваченных радиодонесений РККА и РККФ (14938).</w:t>
      </w:r>
    </w:p>
    <w:p w14:paraId="372BAD7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1A9ECC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bCs/>
          <w:color w:val="000000" w:themeColor="text1"/>
          <w:sz w:val="16"/>
          <w:szCs w:val="16"/>
        </w:rPr>
        <w:t>30 июня</w:t>
      </w:r>
      <w:r w:rsidRPr="008127F8">
        <w:rPr>
          <w:rFonts w:ascii="Times New Roman" w:hAnsi="Times New Roman"/>
          <w:color w:val="000000" w:themeColor="text1"/>
          <w:sz w:val="16"/>
          <w:szCs w:val="16"/>
        </w:rPr>
        <w:t xml:space="preserve"> в 1942 году Великобритания предъявила ультиматум испанскому правительству по поводу незаконного размещения на испанской территории в зоне Гибралтарского пролива инфракрасной и прочей аппаратуры слежения немецкой разведки (14938).</w:t>
      </w:r>
    </w:p>
    <w:p w14:paraId="0EED884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991DA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 30 1942 Rommel reaches El Alamein near Cairo, Egypt (1050).</w:t>
      </w:r>
    </w:p>
    <w:p w14:paraId="7B79DCA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D133B4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июня 1942 Роммель достиг Эль Аламейна у Каира (1050).</w:t>
      </w:r>
    </w:p>
    <w:p w14:paraId="35D4E9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1B53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8127F8">
        <w:rPr>
          <w:rFonts w:ascii="Times New Roman" w:hAnsi="Times New Roman"/>
          <w:color w:val="000000" w:themeColor="text1"/>
          <w:sz w:val="16"/>
          <w:szCs w:val="16"/>
          <w:lang w:val="en-US"/>
        </w:rPr>
        <w:t>June 30 1942 Admiral Chester Nimitz survives an airplane crash near Alameda, California (1242).</w:t>
      </w:r>
    </w:p>
    <w:p w14:paraId="67543F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61D4E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 июня 1942 а Ч.Нимиц выжил в авиакатастрофе у Аламеды в Калифорнии (1242).</w:t>
      </w:r>
    </w:p>
    <w:p w14:paraId="4D55E0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90482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242C2E93" w14:textId="77777777" w:rsidR="007C5583" w:rsidRPr="0041155C" w:rsidRDefault="007C5583" w:rsidP="0041155C">
      <w:pPr>
        <w:spacing w:after="0" w:line="240" w:lineRule="auto"/>
        <w:rPr>
          <w:rFonts w:ascii="Times New Roman" w:hAnsi="Times New Roman"/>
          <w:sz w:val="16"/>
          <w:szCs w:val="16"/>
        </w:rPr>
      </w:pPr>
    </w:p>
    <w:p w14:paraId="4E03785F" w14:textId="77777777" w:rsidR="007C5583" w:rsidRPr="0041155C" w:rsidRDefault="007C5583" w:rsidP="0041155C">
      <w:pPr>
        <w:spacing w:after="0" w:line="240" w:lineRule="auto"/>
        <w:rPr>
          <w:rFonts w:ascii="Times New Roman" w:hAnsi="Times New Roman"/>
          <w:sz w:val="16"/>
          <w:szCs w:val="16"/>
        </w:rPr>
      </w:pPr>
      <w:r w:rsidRPr="0041155C">
        <w:rPr>
          <w:rFonts w:ascii="Times New Roman" w:hAnsi="Times New Roman"/>
          <w:sz w:val="16"/>
          <w:szCs w:val="16"/>
        </w:rPr>
        <w:t>В конце июня 1942 Шахурин рас</w:t>
      </w:r>
      <w:r w:rsidRPr="0041155C">
        <w:rPr>
          <w:rFonts w:ascii="Times New Roman" w:hAnsi="Times New Roman"/>
          <w:sz w:val="16"/>
          <w:szCs w:val="16"/>
        </w:rPr>
        <w:softHyphen/>
        <w:t>порядился приостановить работы по войсковой серии из пяти Су-6, а име</w:t>
      </w:r>
      <w:r w:rsidRPr="0041155C">
        <w:rPr>
          <w:rFonts w:ascii="Times New Roman" w:hAnsi="Times New Roman"/>
          <w:sz w:val="16"/>
          <w:szCs w:val="16"/>
        </w:rPr>
        <w:softHyphen/>
        <w:t>ющийся задел (к этому времени завод №289 успел изготовить три фюзеляжа и два центроплана, а также ряд других аг</w:t>
      </w:r>
      <w:r w:rsidRPr="0041155C">
        <w:rPr>
          <w:rFonts w:ascii="Times New Roman" w:hAnsi="Times New Roman"/>
          <w:sz w:val="16"/>
          <w:szCs w:val="16"/>
        </w:rPr>
        <w:softHyphen/>
        <w:t>регатов) законсервировать (19846).</w:t>
      </w:r>
    </w:p>
    <w:p w14:paraId="762DAC79" w14:textId="77777777" w:rsidR="007C5583" w:rsidRPr="0041155C" w:rsidRDefault="007C5583" w:rsidP="0041155C">
      <w:pPr>
        <w:spacing w:after="0" w:line="240" w:lineRule="auto"/>
        <w:rPr>
          <w:rFonts w:ascii="Times New Roman" w:hAnsi="Times New Roman"/>
          <w:sz w:val="16"/>
          <w:szCs w:val="16"/>
        </w:rPr>
      </w:pPr>
    </w:p>
    <w:p w14:paraId="191069CC" w14:textId="77777777" w:rsidR="0041155C" w:rsidRPr="008A2E5A" w:rsidRDefault="0041155C" w:rsidP="0041155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июня 1942 г. комсомольцы и молодежь - работники завода №153 - за счет собственных средств, сверх плана, за 7 дней собрали и передали ВВС КА четыре истре</w:t>
      </w:r>
      <w:r w:rsidRPr="008A2E5A">
        <w:rPr>
          <w:rFonts w:ascii="Times New Roman" w:hAnsi="Times New Roman"/>
          <w:color w:val="0070C0"/>
          <w:sz w:val="16"/>
          <w:szCs w:val="16"/>
        </w:rPr>
        <w:softHyphen/>
        <w:t>бителя Як-7Б, названных именами комсомольцев-геро</w:t>
      </w:r>
      <w:r w:rsidRPr="008A2E5A">
        <w:rPr>
          <w:rFonts w:ascii="Times New Roman" w:hAnsi="Times New Roman"/>
          <w:color w:val="0070C0"/>
          <w:sz w:val="16"/>
          <w:szCs w:val="16"/>
        </w:rPr>
        <w:softHyphen/>
        <w:t>ев Великой Отечественной войны: Лизы Чайкиной, Алек</w:t>
      </w:r>
      <w:r w:rsidRPr="008A2E5A">
        <w:rPr>
          <w:rFonts w:ascii="Times New Roman" w:hAnsi="Times New Roman"/>
          <w:color w:val="0070C0"/>
          <w:sz w:val="16"/>
          <w:szCs w:val="16"/>
        </w:rPr>
        <w:softHyphen/>
        <w:t>сандра Чекалина, Зои Космодемьянской и Любы Зем</w:t>
      </w:r>
      <w:r w:rsidRPr="008A2E5A">
        <w:rPr>
          <w:rFonts w:ascii="Times New Roman" w:hAnsi="Times New Roman"/>
          <w:color w:val="0070C0"/>
          <w:sz w:val="16"/>
          <w:szCs w:val="16"/>
        </w:rPr>
        <w:softHyphen/>
        <w:t xml:space="preserve">ской. (Елизавета Ивановна Чайкина, партизанка, Герой Советского Союза (посмертно); Александр Павлович Чекалин, партизан, Герой Советского Союза </w:t>
      </w:r>
      <w:r w:rsidRPr="008A2E5A">
        <w:rPr>
          <w:rFonts w:ascii="Times New Roman" w:hAnsi="Times New Roman"/>
          <w:color w:val="0070C0"/>
          <w:sz w:val="16"/>
          <w:szCs w:val="16"/>
        </w:rPr>
        <w:lastRenderedPageBreak/>
        <w:t>(посмерт</w:t>
      </w:r>
      <w:r w:rsidRPr="008A2E5A">
        <w:rPr>
          <w:rFonts w:ascii="Times New Roman" w:hAnsi="Times New Roman"/>
          <w:color w:val="0070C0"/>
          <w:sz w:val="16"/>
          <w:szCs w:val="16"/>
        </w:rPr>
        <w:softHyphen/>
        <w:t>но); Зоя Анатольевна Космодемьянская, боец разведы</w:t>
      </w:r>
      <w:r w:rsidRPr="008A2E5A">
        <w:rPr>
          <w:rFonts w:ascii="Times New Roman" w:hAnsi="Times New Roman"/>
          <w:color w:val="0070C0"/>
          <w:sz w:val="16"/>
          <w:szCs w:val="16"/>
        </w:rPr>
        <w:softHyphen/>
        <w:t>вательно-диверсионной части, Герой Советского Сою</w:t>
      </w:r>
      <w:r w:rsidRPr="008A2E5A">
        <w:rPr>
          <w:rFonts w:ascii="Times New Roman" w:hAnsi="Times New Roman"/>
          <w:color w:val="0070C0"/>
          <w:sz w:val="16"/>
          <w:szCs w:val="16"/>
        </w:rPr>
        <w:softHyphen/>
        <w:t>за (посмертно); Любовь Романовна Земская, медсестра, второй номер расчета противотанкового ружья, кавалер ордена Ленина (посмертно).) Все, кто работал над эти</w:t>
      </w:r>
      <w:r w:rsidRPr="008A2E5A">
        <w:rPr>
          <w:rFonts w:ascii="Times New Roman" w:hAnsi="Times New Roman"/>
          <w:color w:val="0070C0"/>
          <w:sz w:val="16"/>
          <w:szCs w:val="16"/>
        </w:rPr>
        <w:softHyphen/>
        <w:t>ми машинами, получали специальный наряд с пометкой «бесплатно». На комсомольско-молодежном собрании завода имени В.П. Чкалова приняли обращение к комсо</w:t>
      </w:r>
      <w:r w:rsidRPr="008A2E5A">
        <w:rPr>
          <w:rFonts w:ascii="Times New Roman" w:hAnsi="Times New Roman"/>
          <w:color w:val="0070C0"/>
          <w:sz w:val="16"/>
          <w:szCs w:val="16"/>
        </w:rPr>
        <w:softHyphen/>
        <w:t>мольцам и молодежи области: «Мы с каждым днем долж</w:t>
      </w:r>
      <w:r w:rsidRPr="008A2E5A">
        <w:rPr>
          <w:rFonts w:ascii="Times New Roman" w:hAnsi="Times New Roman"/>
          <w:color w:val="0070C0"/>
          <w:sz w:val="16"/>
          <w:szCs w:val="16"/>
        </w:rPr>
        <w:softHyphen/>
        <w:t>ны посылать на фронт все новые и новые подкрепле</w:t>
      </w:r>
      <w:r w:rsidRPr="008A2E5A">
        <w:rPr>
          <w:rFonts w:ascii="Times New Roman" w:hAnsi="Times New Roman"/>
          <w:color w:val="0070C0"/>
          <w:sz w:val="16"/>
          <w:szCs w:val="16"/>
        </w:rPr>
        <w:softHyphen/>
        <w:t>ния. У нас есть все возможности давать дополнительную продукцию фронту. Об этом свидетельствует построен</w:t>
      </w:r>
      <w:r w:rsidRPr="008A2E5A">
        <w:rPr>
          <w:rFonts w:ascii="Times New Roman" w:hAnsi="Times New Roman"/>
          <w:color w:val="0070C0"/>
          <w:sz w:val="16"/>
          <w:szCs w:val="16"/>
        </w:rPr>
        <w:softHyphen/>
        <w:t>ная на средства комсомольцев и молодежи Новосибир</w:t>
      </w:r>
      <w:r w:rsidRPr="008A2E5A">
        <w:rPr>
          <w:rFonts w:ascii="Times New Roman" w:hAnsi="Times New Roman"/>
          <w:color w:val="0070C0"/>
          <w:sz w:val="16"/>
          <w:szCs w:val="16"/>
        </w:rPr>
        <w:softHyphen/>
        <w:t>ской области эскадрилья самолетов, зорко охраняющая сердце нашей Родины - любимую Москву. Комсомоль</w:t>
      </w:r>
      <w:r w:rsidRPr="008A2E5A">
        <w:rPr>
          <w:rFonts w:ascii="Times New Roman" w:hAnsi="Times New Roman"/>
          <w:color w:val="0070C0"/>
          <w:sz w:val="16"/>
          <w:szCs w:val="16"/>
        </w:rPr>
        <w:softHyphen/>
        <w:t>цы, молодежь Новосибирской области! Давайте постро</w:t>
      </w:r>
      <w:r w:rsidRPr="008A2E5A">
        <w:rPr>
          <w:rFonts w:ascii="Times New Roman" w:hAnsi="Times New Roman"/>
          <w:color w:val="0070C0"/>
          <w:sz w:val="16"/>
          <w:szCs w:val="16"/>
        </w:rPr>
        <w:softHyphen/>
        <w:t>им на наши средства вторую авиаэскадрилью» (23381).</w:t>
      </w:r>
    </w:p>
    <w:p w14:paraId="25B7887C" w14:textId="77777777" w:rsidR="0041155C" w:rsidRPr="008A2E5A" w:rsidRDefault="0041155C" w:rsidP="0041155C">
      <w:pPr>
        <w:spacing w:after="0" w:line="240" w:lineRule="auto"/>
        <w:jc w:val="both"/>
        <w:rPr>
          <w:rFonts w:ascii="Times New Roman" w:hAnsi="Times New Roman"/>
          <w:color w:val="0070C0"/>
          <w:sz w:val="16"/>
          <w:szCs w:val="16"/>
        </w:rPr>
      </w:pPr>
    </w:p>
    <w:p w14:paraId="513EA799"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конце июня 1942 года над линией фронта сбили немецкий связной самолет, на борту которого находился отчет по испытаниям штурмовика Henschel Hs 129A. Это стало крайне неприятной новостью, поскольку его 30-мм пушка MK 101 могла пробивать броню даже тяжелого танка КВ-1. Не менее неприятной новостью стало то, что ЗСУ на грузовых шасси имели низкую проходимость. По этой причине появилась идея о создании зенитных танков (21261).</w:t>
      </w:r>
    </w:p>
    <w:p w14:paraId="6BB08C58"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F04FE2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июня 1942 на совместном совещании ОКБ А.Н.Т. и ВВС был намечен план дальнейших работ по разведчику Ту-2Р 2М-82:</w:t>
      </w:r>
    </w:p>
    <w:p w14:paraId="2D973DD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завод 166 на пяти сданных ВВС серийных Ту-2 по особому заказу ВВС устанавливает в отсеках по два АФА-3с (1835,53).</w:t>
      </w:r>
    </w:p>
    <w:p w14:paraId="1E2C3DF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опытную установку дополнительного бензобака на 750 л и ее испытания завод 166 проводит на одном из серийных Ту-2 (1835,53).</w:t>
      </w:r>
    </w:p>
    <w:p w14:paraId="2251226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A20A8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июня 1942 первый серийный самолет ЛаГГ-5 в Горьком был сдан, а в июле ЛаГГ-5 1-й серии вышли на аэродром. Осваивать самолет ЛаГГ-5 первым получил приказ еще 7 июня 49-й Краснознаменный ИАП (коман</w:t>
      </w:r>
      <w:r w:rsidRPr="008127F8">
        <w:rPr>
          <w:rFonts w:ascii="Times New Roman" w:hAnsi="Times New Roman"/>
          <w:color w:val="000000" w:themeColor="text1"/>
          <w:sz w:val="16"/>
          <w:szCs w:val="16"/>
        </w:rPr>
        <w:softHyphen/>
        <w:t>дир майор Л.И. Сорокин, военком батальонный комиссар В.Е. Лукьянов), для переучивания прибывший непос</w:t>
      </w:r>
      <w:r w:rsidRPr="008127F8">
        <w:rPr>
          <w:rFonts w:ascii="Times New Roman" w:hAnsi="Times New Roman"/>
          <w:color w:val="000000" w:themeColor="text1"/>
          <w:sz w:val="16"/>
          <w:szCs w:val="16"/>
        </w:rPr>
        <w:softHyphen/>
        <w:t>редственно на завод №21. Летный состав около месяца изучал новую матчасть на земле, а с 15 июля на</w:t>
      </w:r>
      <w:r w:rsidRPr="008127F8">
        <w:rPr>
          <w:rFonts w:ascii="Times New Roman" w:hAnsi="Times New Roman"/>
          <w:color w:val="000000" w:themeColor="text1"/>
          <w:sz w:val="16"/>
          <w:szCs w:val="16"/>
        </w:rPr>
        <w:softHyphen/>
        <w:t>чал получать матчасть на аэродроме г. Богородск и проводить тренировки в воздухе, но поскольку дефектов в первых самолетах было много, летной практики пилотам недоставало. На</w:t>
      </w:r>
      <w:r w:rsidRPr="008127F8">
        <w:rPr>
          <w:rFonts w:ascii="Times New Roman" w:hAnsi="Times New Roman"/>
          <w:color w:val="000000" w:themeColor="text1"/>
          <w:sz w:val="16"/>
          <w:szCs w:val="16"/>
        </w:rPr>
        <w:softHyphen/>
        <w:t>лет на одного летчика составил 10-12 часов (10699).</w:t>
      </w:r>
    </w:p>
    <w:p w14:paraId="6C79FA6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8973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A0EB3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044FED" w14:textId="77777777" w:rsidR="007C5583" w:rsidRPr="008127F8" w:rsidRDefault="007C5583" w:rsidP="007C5583">
      <w:pPr>
        <w:pStyle w:val="af"/>
        <w:spacing w:before="0" w:after="0"/>
        <w:jc w:val="both"/>
        <w:rPr>
          <w:color w:val="000000" w:themeColor="text1"/>
          <w:sz w:val="16"/>
          <w:szCs w:val="16"/>
        </w:rPr>
      </w:pPr>
      <w:r w:rsidRPr="008127F8">
        <w:rPr>
          <w:color w:val="000000" w:themeColor="text1"/>
          <w:sz w:val="16"/>
          <w:szCs w:val="16"/>
        </w:rPr>
        <w:t>К концу июня 1942 отчет об испытаниях Т-60 с ЗИС-16, а также Т-45 был отправлен в ГАБТУ ближе. К тому моменту эта машина, как и Т-60 с пушкой ЗИС-19, выглядела безнадежно устаревшей по сравнению с Т-70. Тем не менее, опытному танку довелось повоевать: согласно переписке, в конце сентября 1942 года единственный Т-45 был отправлен на переработку (17468).</w:t>
      </w:r>
    </w:p>
    <w:p w14:paraId="5D7B201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78A3EB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Ближе к концу июня 1942 полный отчет об испытаниях Т-60 с ЗИС-16, а также Т-45 был от</w:t>
      </w:r>
      <w:r w:rsidRPr="008127F8">
        <w:rPr>
          <w:rFonts w:ascii="Times New Roman" w:hAnsi="Times New Roman"/>
          <w:color w:val="000000" w:themeColor="text1"/>
          <w:sz w:val="16"/>
          <w:szCs w:val="16"/>
        </w:rPr>
        <w:softHyphen/>
        <w:t>правлен в ГАБТУ (17485).</w:t>
      </w:r>
    </w:p>
    <w:p w14:paraId="6D95973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ED75940"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В конце июня 1942 года от 114-й танковой бригады поступил самый первый отчёт о боевом применении танка М3. В нём указывалось, что средний американский танк М3 подвижен, быстроходен, благодаря резинометаллической гусенице бесшумен в движении. В ходе маршей по грунтовым дорогам на нём удавалось развивать среднюю скорость до 30-35 км/ч. Вооружение признавалось вполне достаточным для борьбы с танками. Из-за отсутствия бронебойных снарядов испытания обстрелом из 75-мм пушки M2 проводились только осколочно-фугасными снарядами. Её пробитие примерно соответствовало советской пушке Л-11, вполне пригодной для борьбы на средних дистанциях с танками, имевшими толщину брони 50 мм.</w:t>
      </w:r>
    </w:p>
    <w:p w14:paraId="4687A352"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Минусами орудия были названы: малый боекомплект (50 патронов) и ограниченные углы наведения по горизонтали. Не понравились танкистам большие габариты танка. Это создавало проблемы при окапывании, после которого было невозможно вести огонь по противнику из 75-мм пушки. Посадить на танк десант было очень сложно. Также выяснилось, что бронебойный снаряд 45-мм пушки на дистанции до 1000 метров мог пробить лобовую броню американского танка. При этом листы деформировались и лопались заклепки, что делало невозможным ремонт. При деформации корпуса лопались смотровые приборы и заклинивало боковые люки.</w:t>
      </w:r>
    </w:p>
    <w:p w14:paraId="5C916E08"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Значительным минусом было названо большое количество губчатой резины, которая крепилась изнутри и предохраняла от удара. При попадании снарядов она часто воспламенялась, отравляя экипаж; также очень часто загоралась краска изнутри танка. В таких условиях пожар и детонация боекомплекта оказывались частыми явлениями. Крайне недоброе прозвище «братская могила для шестерых» (часто в экипаже не было радиста) появилось отнюдь не на пустом месте. После изучения отчета 30 июня 1942 года был отдан приказ убрать, насколько это было возможно, губчатую резину из боевого отделения.</w:t>
      </w:r>
    </w:p>
    <w:p w14:paraId="523722AA"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Тем не менее, озвученное ещё в мае 1942 года предложение наркома танковой промышленности Малышева прекратить поставки американских средних танков ГАБТУ КА отклонило. Даже со всеми недостатками это была вполне современная машина, которая в умелых руках могла быть эффективной (17705).</w:t>
      </w:r>
    </w:p>
    <w:p w14:paraId="2839B3F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8C9931C" w14:textId="77777777" w:rsidR="00245166" w:rsidRPr="008A2E5A" w:rsidRDefault="00245166" w:rsidP="0024516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самом конце июня 1942 впервые был использован индекс модернизированной машины Т-70. В ряде публикаций модернизированный танк обозначается как Т-70М. Расследование, которое было проведено в ходе архивной работы, выявило "автора" данного индекса. Им оказался НИБТ Полигон, который в альбоме за 1944 год модернизированный танк указан как Т-70м. В итоге он так дальше и пошел в народ, а проверять исследователи не стали. И абсолютно зря, поскольку в документах он именуется как Т-70Б. Именно буква Б как обозначение модернизированной ходовой части у ГАЗ им. Молотова попадается как минимум несколько раз, достаточно вспомнить ГАЗ-67Б и БА-64Б. Самое интересное, что обозначение Т-70Б было использовано в документе от 27 июня 1942 года еще до начала работ по машине. Собственно говоря, в документе речь шла о том, что ГАЗ им. Молотова работы, в оговоренные еще в марте 1942 года, проигнорировал. Никаких танков с модернизированной ходовой к 1 июня 1942 года не было готово (23363).</w:t>
      </w:r>
    </w:p>
    <w:p w14:paraId="681D95ED" w14:textId="77777777" w:rsidR="00245166" w:rsidRPr="008A2E5A" w:rsidRDefault="00245166" w:rsidP="00245166">
      <w:pPr>
        <w:spacing w:after="0" w:line="240" w:lineRule="auto"/>
        <w:jc w:val="both"/>
        <w:rPr>
          <w:rFonts w:ascii="Times New Roman" w:hAnsi="Times New Roman"/>
          <w:color w:val="0070C0"/>
          <w:sz w:val="16"/>
          <w:szCs w:val="16"/>
        </w:rPr>
      </w:pPr>
    </w:p>
    <w:p w14:paraId="48B9ED43"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конце июня 1942 построили опытный образец СГ-122. Сами испытания начались лишь 25 июля, а закончились 16 августа. Вышедшая на них самоходная установка имела массу изменений по сравнению с изначальным проектом (17663).</w:t>
      </w:r>
    </w:p>
    <w:p w14:paraId="1FCFF7B6"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Помимо уже упоминавшейся рубки, переделки коснулись и других узлов. Качающаяся часть 122-мм гаубицы М-30 получила бронировку противооткатных устройств новой конструкции. Для того чтобы уравновесить качающуюся часть гаубицы, в механизм с каждой стороны были установлены дополнительные пружины. Сзади были установлены ограждение и спусковые педали, а также специальный лоток для облегчения досылания снарядов.</w:t>
      </w:r>
    </w:p>
    <w:p w14:paraId="085EC8D4"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После всех переделок боевая масса машины достигла 23,3 тонн, что было вполне приемлемо. Для сравнения, немецкая САУ StuG 40 Ausf.F, вооружённая пушкой 7.5 cm StuK 40 со стволом длинной 43 калибра, весила 23,2 тонны, а аналогичная по назначению StuH 42–24 тонны.</w:t>
      </w:r>
    </w:p>
    <w:p w14:paraId="374B19F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AD69AD1" w14:textId="77777777" w:rsidR="00245166" w:rsidRPr="008A2E5A" w:rsidRDefault="00245166" w:rsidP="0024516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конца июня 1942 г. по заданию ГКО трест «Уралтяжстрой»должен был к середине ноября 1942 г. закончить строительство цеха ГПЗ-6 на 2 тыс. кв. м и возвести новый корпус на 7 тыс. кв. м. Первый объект был сдан только в марте 1943 г., а второй - в апреле того же года был готов только на 80 %. Причина задержки была очевидной для тех условий: недостаток материалов и строительных рабочих. При необходимых 150 работниках ежедневно выходило не более 40. Самое опасное для завода то, что оборудование для основного производства он уже получил. Но его некуда было даже убрать. Поэтому оно продолжало находиться под открытым небом и начинало портиться.</w:t>
      </w:r>
    </w:p>
    <w:p w14:paraId="05FE10E2" w14:textId="77777777" w:rsidR="00245166" w:rsidRPr="008A2E5A" w:rsidRDefault="00245166" w:rsidP="00245166">
      <w:pPr>
        <w:spacing w:after="0" w:line="240" w:lineRule="auto"/>
        <w:jc w:val="both"/>
        <w:rPr>
          <w:rFonts w:ascii="Times New Roman" w:hAnsi="Times New Roman"/>
          <w:color w:val="0070C0"/>
          <w:sz w:val="16"/>
          <w:szCs w:val="16"/>
        </w:rPr>
      </w:pPr>
    </w:p>
    <w:p w14:paraId="57303EB2" w14:textId="77777777" w:rsidR="007C5583" w:rsidRPr="008127F8" w:rsidRDefault="007C5583" w:rsidP="007C5583">
      <w:pPr>
        <w:pStyle w:val="162"/>
        <w:shd w:val="clear" w:color="auto" w:fill="auto"/>
        <w:spacing w:line="240" w:lineRule="auto"/>
        <w:jc w:val="both"/>
        <w:rPr>
          <w:rFonts w:eastAsia="Calibri"/>
          <w:color w:val="000000" w:themeColor="text1"/>
          <w:sz w:val="16"/>
          <w:szCs w:val="16"/>
        </w:rPr>
      </w:pPr>
      <w:r w:rsidRPr="008127F8">
        <w:rPr>
          <w:rFonts w:eastAsia="Calibri"/>
          <w:color w:val="000000" w:themeColor="text1"/>
          <w:sz w:val="16"/>
          <w:szCs w:val="16"/>
        </w:rPr>
        <w:t>В конце июня 1942 года проект ГХП рассмотрели в 4-м отделе ГВХУ КА (Главное военно-химическое управление Красной Армии), к 3 июля было готово заключение:</w:t>
      </w:r>
    </w:p>
    <w:p w14:paraId="70E21950"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ГХП (гусеничный химический прицеп) был разработан в мае 1942 года на заводе № 200. Предназначался он для заражения и дегазации местности, а также дымопуска. По конструкции ГХП во многом повторял ТД-200, но вместо бронекапсулы для десанта на гусеничной ходовой части устанавливался короб, внутри которого располагались резервуары для отравляющих веществ или дымовой смеси. Распыление газов происхо</w:t>
      </w:r>
      <w:r w:rsidRPr="008127F8">
        <w:rPr>
          <w:rFonts w:eastAsia="Calibri"/>
          <w:color w:val="000000" w:themeColor="text1"/>
          <w:sz w:val="16"/>
          <w:szCs w:val="16"/>
        </w:rPr>
        <w:softHyphen/>
        <w:t>дило через устройство, расположенное в кормовой части прицепа. ГХП предлагался в трех вариантах исполнения, отличавшихся друг от друга внутренней компоновкой и объемом внутренних баков.</w:t>
      </w:r>
    </w:p>
    <w:p w14:paraId="2CF20C6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завода 200 предлагает конструкцию гусеничного химического при</w:t>
      </w:r>
      <w:r w:rsidRPr="008127F8">
        <w:rPr>
          <w:rFonts w:ascii="Times New Roman" w:hAnsi="Times New Roman"/>
          <w:color w:val="000000" w:themeColor="text1"/>
          <w:sz w:val="16"/>
          <w:szCs w:val="16"/>
        </w:rPr>
        <w:softHyphen/>
        <w:t>цепа к танкам «КБ» и «Т-34». ГХП предназначен для заражения мест</w:t>
      </w:r>
      <w:r w:rsidRPr="008127F8">
        <w:rPr>
          <w:rFonts w:ascii="Times New Roman" w:hAnsi="Times New Roman"/>
          <w:color w:val="000000" w:themeColor="text1"/>
          <w:sz w:val="16"/>
          <w:szCs w:val="16"/>
        </w:rPr>
        <w:softHyphen/>
        <w:t>ности СОВ, газопуска ВОВ, туманопуска СОВ, нейтрального дымопуска и дегазации местности.</w:t>
      </w:r>
    </w:p>
    <w:p w14:paraId="5CD3568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Химическая аппаратура монтируется на прицепах типа десантных, разработанных и изготовленных заводом № 200 в виде опытных образцов.</w:t>
      </w:r>
    </w:p>
    <w:p w14:paraId="32ABB4A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консультации с БТУ ГАБТУ КА установлена дефицитность с тра</w:t>
      </w:r>
      <w:r w:rsidRPr="008127F8">
        <w:rPr>
          <w:rFonts w:ascii="Times New Roman" w:hAnsi="Times New Roman"/>
          <w:color w:val="000000" w:themeColor="text1"/>
          <w:sz w:val="16"/>
          <w:szCs w:val="16"/>
        </w:rPr>
        <w:softHyphen/>
        <w:t>ками, качественными сталями для подвесок и подшипников для танко</w:t>
      </w:r>
      <w:r w:rsidRPr="008127F8">
        <w:rPr>
          <w:rFonts w:ascii="Times New Roman" w:hAnsi="Times New Roman"/>
          <w:color w:val="000000" w:themeColor="text1"/>
          <w:sz w:val="16"/>
          <w:szCs w:val="16"/>
        </w:rPr>
        <w:softHyphen/>
        <w:t>строения Основным направлением к проектированию танковых прицепов решено идти по линии создания в массовом количестве танковых прицепов-воло- куш, с меньшей емкостью химической аппаратуры, чем можно получить на базе гусеничного прицепа, но с отсутствием дефицитных материалов, деталей и дешевизной в изготовлении.</w:t>
      </w:r>
    </w:p>
    <w:p w14:paraId="003EB10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Химический прицеп-волокуша предполагает более широкое тактиче</w:t>
      </w:r>
      <w:r w:rsidRPr="008127F8">
        <w:rPr>
          <w:rFonts w:ascii="Times New Roman" w:hAnsi="Times New Roman"/>
          <w:color w:val="000000" w:themeColor="text1"/>
          <w:sz w:val="16"/>
          <w:szCs w:val="16"/>
        </w:rPr>
        <w:softHyphen/>
        <w:t>ское применение, чем ГХП.</w:t>
      </w:r>
    </w:p>
    <w:p w14:paraId="001945A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Заключение</w:t>
      </w:r>
    </w:p>
    <w:p w14:paraId="649142A0" w14:textId="77777777" w:rsidR="007C5583" w:rsidRPr="008127F8" w:rsidRDefault="007C5583" w:rsidP="007C5583">
      <w:pPr>
        <w:tabs>
          <w:tab w:val="left" w:pos="547"/>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Предполагаемый гусеничный химический прицеп ввиду дефицитно</w:t>
      </w:r>
      <w:r w:rsidRPr="008127F8">
        <w:rPr>
          <w:rFonts w:ascii="Times New Roman" w:hAnsi="Times New Roman"/>
          <w:color w:val="000000" w:themeColor="text1"/>
          <w:sz w:val="16"/>
          <w:szCs w:val="16"/>
        </w:rPr>
        <w:softHyphen/>
        <w:t>сти ряда материалов и деталей ходовой части прицепа — принятым для изготовления опытных образцов быть не может.</w:t>
      </w:r>
    </w:p>
    <w:p w14:paraId="33B5D61F" w14:textId="77777777" w:rsidR="007C5583" w:rsidRPr="008127F8" w:rsidRDefault="007C5583" w:rsidP="007C5583">
      <w:pPr>
        <w:tabs>
          <w:tab w:val="left" w:pos="514"/>
        </w:tabs>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По утверждении ТТТ на прицепы-волокуши, заводу будет выслан 1 экземпляр для проектирования» (17485).</w:t>
      </w:r>
    </w:p>
    <w:p w14:paraId="61E426D8" w14:textId="77777777" w:rsidR="007C5583" w:rsidRPr="008127F8" w:rsidRDefault="007C5583" w:rsidP="007C5583">
      <w:pPr>
        <w:pStyle w:val="af"/>
        <w:spacing w:before="0" w:after="0"/>
        <w:jc w:val="both"/>
        <w:rPr>
          <w:color w:val="000000" w:themeColor="text1"/>
          <w:sz w:val="16"/>
          <w:szCs w:val="16"/>
        </w:rPr>
      </w:pPr>
    </w:p>
    <w:p w14:paraId="08B32688"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 xml:space="preserve">В конце июня 1942 года проект ГХП (гусеничный химический прицеп) завода №200 рассмотрели в 4-м отделе Главного военно-химического управления Красной </w:t>
      </w:r>
      <w:r w:rsidRPr="008127F8">
        <w:rPr>
          <w:color w:val="000000" w:themeColor="text1"/>
          <w:sz w:val="16"/>
          <w:szCs w:val="16"/>
        </w:rPr>
        <w:lastRenderedPageBreak/>
        <w:t>армии (ГВХУ КА). Заключение, подготовленное к 3 июля, оказалось не в пользу идеи. Дело в том, что ходовая часть Т-60 оказалась дефицитной. Особенно это касалось траков, летом 1942 года не одна сотня Т-60 стояла в цехах без них. Кроме того, ГХП тоже оказался не дешёвым. От дальнейшей разработки химического прицепа военные отказались (17711).</w:t>
      </w:r>
    </w:p>
    <w:p w14:paraId="5BD9DEC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043B0E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4FE5CA5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8FFED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июня 1942 г. напряженные боевые действия на Брянском фронте интересны прежде всего тем, что в составе 1-й истребительной авиационной армии в бой вступили четыре авиаполка (27, 171, 176 и 233-й иап), в той или иной степени укомплектованные МиГами. Все они ранее несли службу в системе ПВО Москвы, поэтому большинство истребителей нуждалось в серьезном ремонте. Степень потрепанности машин видна на примере некоторых МиГ-3 из 27-го иап.</w:t>
      </w:r>
    </w:p>
    <w:p w14:paraId="583131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Инженеры и техники полка отмечали частые поломки кронштейнов пулеметов, неудовлетворительное состояние прицелов, но больше всего претензий высказывалось по-прежнему к качеству моторов. По воспоминаниям известного летчика-истребителя А.Ф. Ковачевича, в то время старшего лейтенанта в 27-м иап, имевшего за плечами около 250 боевых вылетов, неоднократно случалось так, что на земле двигатель работал вроде бы нормально, но только истребитель устремлялся ввысь, начинались перебои и приходилось аккуратно, как говорили летчики - "блинчиком", разворачивать машину в сторону своего аэродрома. Среди авиаторов ходили слухи, что на МиГи в отсутствие "родных" моторов АМ-35А (все знали, что их постройку прекратили) устанавливали двигатели чуть ли ни от торпедных катеров.</w:t>
      </w:r>
    </w:p>
    <w:p w14:paraId="7254986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документы сражавшегося по соседству 233-го иап отмечали большой процент выле- МиГ-3 после тов, направленных на прикрытие Пе-2 и Ил-2. выполненного ремонта В последних случаях приходилось действовать на высотах 500-1000 м, что было непривычно для летчиков ПВО и не позволяло использовать лучшие качества МиГ-3 (12045).</w:t>
      </w:r>
    </w:p>
    <w:p w14:paraId="326687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F2766C" w14:textId="77777777" w:rsidR="00245166" w:rsidRPr="008127F8" w:rsidRDefault="00245166" w:rsidP="00245166">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0BB5E295" w14:textId="77777777" w:rsidR="00245166" w:rsidRPr="008127F8" w:rsidRDefault="00245166" w:rsidP="00245166">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AB0DA0" w14:textId="77777777" w:rsidR="00245166" w:rsidRPr="008A2E5A" w:rsidRDefault="00245166" w:rsidP="0024516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конец июня-начало июля 1942 года пришелся дебют легкого танка Т-70. Выяснилось, что танк требует улучшений, в их числе значилась и двухместная башня. СКБ КЭО ГАЗ (Специальное Конструкторское Бюро Конструкторского Экспериментального Отдела) начало работу по двум направлением. Первоочередной задачей стала малая модернизация Т-70, результатом которой стал легкий танк Т-70Б. Параллельно запустили работу по более сложной задаче - модернизированному Т-70 с двухместной башней. Первый такой танк появился в конце сентября 1942 года. Позже его переименовали в Т-80. Впрочем, тот танк, который приняли на вооружение, весьма существенно отличался от первого образца. 27 декабря 1942 года Сталин подписал постановление ГКО №2661сс "Об организации производства танков Т-80 на бывшем Мытищинском вагоностроительном заводе" (23444).</w:t>
      </w:r>
    </w:p>
    <w:p w14:paraId="4936A41E" w14:textId="77777777" w:rsidR="00245166" w:rsidRPr="008A2E5A" w:rsidRDefault="00245166" w:rsidP="00245166">
      <w:pPr>
        <w:spacing w:after="0" w:line="240" w:lineRule="auto"/>
        <w:jc w:val="both"/>
        <w:rPr>
          <w:rFonts w:ascii="Times New Roman" w:hAnsi="Times New Roman"/>
          <w:color w:val="0070C0"/>
          <w:sz w:val="16"/>
          <w:szCs w:val="16"/>
        </w:rPr>
      </w:pPr>
    </w:p>
    <w:p w14:paraId="2275615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C2385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C232A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проходил контрольные гос. испытания в НИИ ВВС одноместный Ил-2 N 6522 с АМ-38 18 завода. Полетный вес 5788 кг, скорость у земли 393, на границе высотности - 406 км/час с 400 кг бомб и 8 РС-82 (1867,8).</w:t>
      </w:r>
    </w:p>
    <w:p w14:paraId="3A1E60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6CBA4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заместитель начальника артиллерии Красной Армии генерал Тихонов обратился к главному инже</w:t>
      </w:r>
      <w:r w:rsidRPr="008127F8">
        <w:rPr>
          <w:rFonts w:ascii="Times New Roman" w:hAnsi="Times New Roman"/>
          <w:color w:val="000000" w:themeColor="text1"/>
          <w:sz w:val="16"/>
          <w:szCs w:val="16"/>
        </w:rPr>
        <w:softHyphen/>
        <w:t>неру ВВС КА генералу Репину с просьбой в кратчайшие сроки организовать сравнительные испытания двухместных самоле</w:t>
      </w:r>
      <w:r w:rsidRPr="008127F8">
        <w:rPr>
          <w:rFonts w:ascii="Times New Roman" w:hAnsi="Times New Roman"/>
          <w:color w:val="000000" w:themeColor="text1"/>
          <w:sz w:val="16"/>
          <w:szCs w:val="16"/>
        </w:rPr>
        <w:softHyphen/>
        <w:t>тов Як-7В и УИл-2.</w:t>
      </w:r>
    </w:p>
    <w:p w14:paraId="78340B5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Дело в том, что в это время на вооружении ВВС КА не бы</w:t>
      </w:r>
      <w:r w:rsidRPr="008127F8">
        <w:rPr>
          <w:rFonts w:ascii="Times New Roman" w:hAnsi="Times New Roman"/>
          <w:color w:val="000000" w:themeColor="text1"/>
          <w:sz w:val="16"/>
          <w:szCs w:val="16"/>
        </w:rPr>
        <w:softHyphen/>
        <w:t>ло специального самолета, способного решать задачи артилле</w:t>
      </w:r>
      <w:r w:rsidRPr="008127F8">
        <w:rPr>
          <w:rFonts w:ascii="Times New Roman" w:hAnsi="Times New Roman"/>
          <w:color w:val="000000" w:themeColor="text1"/>
          <w:sz w:val="16"/>
          <w:szCs w:val="16"/>
        </w:rPr>
        <w:softHyphen/>
        <w:t>рийской разведки и корректировки артиллерийского огня. Для этих целей широко применялись самолеты У-2 (для ночной корректировки артогня) и соответствующая модификация ближнего бомбардировщика Су-2. Однако Су-2 к этому време</w:t>
      </w:r>
      <w:r w:rsidRPr="008127F8">
        <w:rPr>
          <w:rFonts w:ascii="Times New Roman" w:hAnsi="Times New Roman"/>
          <w:color w:val="000000" w:themeColor="text1"/>
          <w:sz w:val="16"/>
          <w:szCs w:val="16"/>
        </w:rPr>
        <w:softHyphen/>
        <w:t>ни уже был снят с серийного производства, а оставшиеся в частях машины этого типа таяли в боях буквально на глазах.</w:t>
      </w:r>
    </w:p>
    <w:p w14:paraId="7FA2F91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Изучив материалы сравнительных испытаний в 623-м шап Як-7В и УИл-2 для целей корректировки артиллерийского огня, Главное управление начальника артиллерии отдало пред</w:t>
      </w:r>
      <w:r w:rsidRPr="008127F8">
        <w:rPr>
          <w:rFonts w:ascii="Times New Roman" w:hAnsi="Times New Roman"/>
          <w:color w:val="000000" w:themeColor="text1"/>
          <w:sz w:val="16"/>
          <w:szCs w:val="16"/>
        </w:rPr>
        <w:softHyphen/>
        <w:t>почтение илыошинскому штурмовику, требовавшему меньших переделок и обеспечивавшему лучшие условия для работы на</w:t>
      </w:r>
      <w:r w:rsidRPr="008127F8">
        <w:rPr>
          <w:rFonts w:ascii="Times New Roman" w:hAnsi="Times New Roman"/>
          <w:color w:val="000000" w:themeColor="text1"/>
          <w:sz w:val="16"/>
          <w:szCs w:val="16"/>
        </w:rPr>
        <w:softHyphen/>
        <w:t>блюдателя. При этом на УИл-2 предлагалось демонтировать второе управление, забронировать вторую кабину и оборудо</w:t>
      </w:r>
      <w:r w:rsidRPr="008127F8">
        <w:rPr>
          <w:rFonts w:ascii="Times New Roman" w:hAnsi="Times New Roman"/>
          <w:color w:val="000000" w:themeColor="text1"/>
          <w:sz w:val="16"/>
          <w:szCs w:val="16"/>
        </w:rPr>
        <w:softHyphen/>
        <w:t>вать ее пулеметом УБТ, установить универсальную установку под сменный аэрофотоаппарат, улучшить остекление фонаря кабины пилота и наблюдателя (11474,387).</w:t>
      </w:r>
    </w:p>
    <w:p w14:paraId="2A3BD3E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3C52C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в 8-й ВА несколько одно</w:t>
      </w:r>
      <w:r w:rsidRPr="008127F8">
        <w:rPr>
          <w:rFonts w:ascii="Times New Roman" w:hAnsi="Times New Roman"/>
          <w:color w:val="000000" w:themeColor="text1"/>
          <w:sz w:val="16"/>
          <w:szCs w:val="16"/>
        </w:rPr>
        <w:softHyphen/>
        <w:t>местных Ил-2 оборудовались кабиной стрелка с пулеметом ШКАС. Двумя месяцами позже в 17-й ВА в двухместный вари</w:t>
      </w:r>
      <w:r w:rsidRPr="008127F8">
        <w:rPr>
          <w:rFonts w:ascii="Times New Roman" w:hAnsi="Times New Roman"/>
          <w:color w:val="000000" w:themeColor="text1"/>
          <w:sz w:val="16"/>
          <w:szCs w:val="16"/>
        </w:rPr>
        <w:softHyphen/>
        <w:t>ант с пулеметом УБТ были переделаны 66 Ил-2. Подобные пе</w:t>
      </w:r>
      <w:r w:rsidRPr="008127F8">
        <w:rPr>
          <w:rFonts w:ascii="Times New Roman" w:hAnsi="Times New Roman"/>
          <w:color w:val="000000" w:themeColor="text1"/>
          <w:sz w:val="16"/>
          <w:szCs w:val="16"/>
        </w:rPr>
        <w:softHyphen/>
        <w:t>ределки выполнялись в 1-й, 2-й и 6-й воздушных армиях. Свой ремонтный вариант кабины стрелка разработало и ОКБ Илью</w:t>
      </w:r>
      <w:r w:rsidRPr="008127F8">
        <w:rPr>
          <w:rFonts w:ascii="Times New Roman" w:hAnsi="Times New Roman"/>
          <w:color w:val="000000" w:themeColor="text1"/>
          <w:sz w:val="16"/>
          <w:szCs w:val="16"/>
        </w:rPr>
        <w:softHyphen/>
        <w:t>шина. Соответствующая инструкция по доработке Ил-2 сила</w:t>
      </w:r>
      <w:r w:rsidRPr="008127F8">
        <w:rPr>
          <w:rFonts w:ascii="Times New Roman" w:hAnsi="Times New Roman"/>
          <w:color w:val="000000" w:themeColor="text1"/>
          <w:sz w:val="16"/>
          <w:szCs w:val="16"/>
        </w:rPr>
        <w:softHyphen/>
        <w:t>ми техсостава частей в октябре была отправлена в действую</w:t>
      </w:r>
      <w:r w:rsidRPr="008127F8">
        <w:rPr>
          <w:rFonts w:ascii="Times New Roman" w:hAnsi="Times New Roman"/>
          <w:color w:val="000000" w:themeColor="text1"/>
          <w:sz w:val="16"/>
          <w:szCs w:val="16"/>
        </w:rPr>
        <w:softHyphen/>
        <w:t>щую армию. Всего на фронте в двухместные было переобору</w:t>
      </w:r>
      <w:r w:rsidRPr="008127F8">
        <w:rPr>
          <w:rFonts w:ascii="Times New Roman" w:hAnsi="Times New Roman"/>
          <w:color w:val="000000" w:themeColor="text1"/>
          <w:sz w:val="16"/>
          <w:szCs w:val="16"/>
        </w:rPr>
        <w:softHyphen/>
        <w:t>довано около 1200 Ил-2.</w:t>
      </w:r>
    </w:p>
    <w:p w14:paraId="29416A2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Здесь стоит сказать, что в ходе эксплуатации в частях дей</w:t>
      </w:r>
      <w:r w:rsidRPr="008127F8">
        <w:rPr>
          <w:rFonts w:ascii="Times New Roman" w:hAnsi="Times New Roman"/>
          <w:color w:val="000000" w:themeColor="text1"/>
          <w:sz w:val="16"/>
          <w:szCs w:val="16"/>
        </w:rPr>
        <w:softHyphen/>
        <w:t>ствующей армии двухместных Ил-2 «войсковой доработки» с оборонительными пулеметами УБТ в большинстве случаев уже после 5—10 посадок самолета в средней части полукольца ус</w:t>
      </w:r>
      <w:r w:rsidRPr="008127F8">
        <w:rPr>
          <w:rFonts w:ascii="Times New Roman" w:hAnsi="Times New Roman"/>
          <w:color w:val="000000" w:themeColor="text1"/>
          <w:sz w:val="16"/>
          <w:szCs w:val="16"/>
        </w:rPr>
        <w:softHyphen/>
        <w:t>тановки появлялись трещины. Техническому составу частей приходилось заменять турель и одновременно усиливать фю</w:t>
      </w:r>
      <w:r w:rsidRPr="008127F8">
        <w:rPr>
          <w:rFonts w:ascii="Times New Roman" w:hAnsi="Times New Roman"/>
          <w:color w:val="000000" w:themeColor="text1"/>
          <w:sz w:val="16"/>
          <w:szCs w:val="16"/>
        </w:rPr>
        <w:softHyphen/>
        <w:t>зеляж в районе выреза под кабину стрелка (11474,294).</w:t>
      </w:r>
    </w:p>
    <w:p w14:paraId="4D9302C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DF9D7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в 8-й ВА несколько одноместных Ил-2 оборудовались кабиной стрелка с пулеметом ШКАС. Двумя месяцами позже в 17-й ВА в двухместный вариант с пулеметом УБТ были переделаны 66 Ил-2. Подобные переделки выполнялись в 1, 2 и 6-й воздушных армиях.</w:t>
      </w:r>
    </w:p>
    <w:p w14:paraId="6CA87E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Свой ремонтный вариант кабины стрелка разработало и ОКБ Ильюшина. Соответствующая инструкция по доработке Ил-2 силами техсостава частей в октябре была отправлена в действующую армию. Всего на фронте в двухместные было переоборудовано около 1200 Ил-2 (12020).</w:t>
      </w:r>
    </w:p>
    <w:p w14:paraId="17107F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EF84C2" w14:textId="77777777" w:rsidR="007C5583" w:rsidRPr="008127F8" w:rsidRDefault="007C5583" w:rsidP="007C5583">
      <w:pPr>
        <w:pStyle w:val="11b"/>
        <w:shd w:val="clear" w:color="auto" w:fill="auto"/>
        <w:spacing w:line="240" w:lineRule="auto"/>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июне 1942 г. в 8-й ВА под руководством начальника воз</w:t>
      </w:r>
      <w:r w:rsidRPr="008127F8">
        <w:rPr>
          <w:rFonts w:ascii="Times New Roman" w:hAnsi="Times New Roman" w:cs="Times New Roman"/>
          <w:color w:val="000000" w:themeColor="text1"/>
          <w:sz w:val="16"/>
          <w:szCs w:val="16"/>
        </w:rPr>
        <w:softHyphen/>
        <w:t>душно-стрелковой службы армии военинженера 1-го ранга А.М.Янчука в авиаремонтных мас</w:t>
      </w:r>
      <w:r w:rsidRPr="008127F8">
        <w:rPr>
          <w:rFonts w:ascii="Times New Roman" w:hAnsi="Times New Roman" w:cs="Times New Roman"/>
          <w:color w:val="000000" w:themeColor="text1"/>
          <w:sz w:val="16"/>
          <w:szCs w:val="16"/>
        </w:rPr>
        <w:softHyphen/>
        <w:t>терских несколько одноместных Ил-2 оснастили кабиной стрелка с пулеметом ШКАС. Однако в связи с начавшимся немец</w:t>
      </w:r>
      <w:r w:rsidRPr="008127F8">
        <w:rPr>
          <w:rFonts w:ascii="Times New Roman" w:hAnsi="Times New Roman" w:cs="Times New Roman"/>
          <w:color w:val="000000" w:themeColor="text1"/>
          <w:sz w:val="16"/>
          <w:szCs w:val="16"/>
        </w:rPr>
        <w:softHyphen/>
        <w:t>ким наступлением это начинание широкого распространения не получило. К этой идее вернулись лишь в ноябре того же года, когда заместитель командира авиаэскадрильи по политчасти 232-го</w:t>
      </w:r>
      <w:r w:rsidRPr="008127F8">
        <w:rPr>
          <w:rStyle w:val="800"/>
          <w:rFonts w:ascii="Times New Roman" w:hAnsi="Times New Roman" w:cs="Times New Roman"/>
          <w:color w:val="000000" w:themeColor="text1"/>
          <w:w w:val="100"/>
          <w:sz w:val="16"/>
          <w:szCs w:val="16"/>
        </w:rPr>
        <w:t xml:space="preserve"> шап</w:t>
      </w:r>
      <w:r w:rsidRPr="008127F8">
        <w:rPr>
          <w:rFonts w:ascii="Times New Roman" w:hAnsi="Times New Roman" w:cs="Times New Roman"/>
          <w:color w:val="000000" w:themeColor="text1"/>
          <w:sz w:val="16"/>
          <w:szCs w:val="16"/>
        </w:rPr>
        <w:t xml:space="preserve"> политрук Шевченко с механиком по вооружению старшим сержан</w:t>
      </w:r>
      <w:r w:rsidRPr="008127F8">
        <w:rPr>
          <w:rFonts w:ascii="Times New Roman" w:hAnsi="Times New Roman" w:cs="Times New Roman"/>
          <w:color w:val="000000" w:themeColor="text1"/>
          <w:sz w:val="16"/>
          <w:szCs w:val="16"/>
        </w:rPr>
        <w:softHyphen/>
        <w:t>том Турчиным оборудовали в задней части кабины Ил-2 место для стрелка, установив там пулемет ДА калибра 7,62 мм (19878).</w:t>
      </w:r>
    </w:p>
    <w:p w14:paraId="75C4E8A1" w14:textId="77777777" w:rsidR="007C5583" w:rsidRPr="008127F8" w:rsidRDefault="007C5583" w:rsidP="007C5583">
      <w:pPr>
        <w:pStyle w:val="11b"/>
        <w:shd w:val="clear" w:color="auto" w:fill="auto"/>
        <w:spacing w:line="240" w:lineRule="auto"/>
        <w:rPr>
          <w:rFonts w:ascii="Times New Roman" w:hAnsi="Times New Roman" w:cs="Times New Roman"/>
          <w:color w:val="000000" w:themeColor="text1"/>
          <w:sz w:val="16"/>
          <w:szCs w:val="16"/>
        </w:rPr>
      </w:pPr>
    </w:p>
    <w:p w14:paraId="1E1D66E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в</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8 ВА под руководством начальника воздушно-стрелковой службы армии военинженера 1-го ранга Янчука в авиаремонтных мастерских несколько одноместных Ил-2 были оборудованы кабиной стрелка с пулеметом ШKAC (21180).</w:t>
      </w:r>
    </w:p>
    <w:p w14:paraId="6901232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BAE5F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АМ-42 был запущен в серийное производство на заводе № 24 (9032).</w:t>
      </w:r>
    </w:p>
    <w:p w14:paraId="1B8C74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4E1D9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из испытательной станции завода 45, воссозданного в Москве на базе эвакуированного 24, вышло первых 5 АМ-38, в июле - 8, потом больше (565,12).</w:t>
      </w:r>
    </w:p>
    <w:p w14:paraId="2DD34E5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71BAA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только в 1-й запасной авиабригаде полковника А.И. Подольского по причине отсутствия воздушных фильтров «на прикол» встали 250 Ил-2. В результате отсутствие на Ил-2 воздушного фильтра при</w:t>
      </w:r>
      <w:r w:rsidRPr="008127F8">
        <w:rPr>
          <w:rFonts w:ascii="Times New Roman" w:hAnsi="Times New Roman"/>
          <w:color w:val="000000" w:themeColor="text1"/>
          <w:sz w:val="16"/>
          <w:szCs w:val="16"/>
        </w:rPr>
        <w:softHyphen/>
        <w:t>водило к тому, что при интенсивной эксплуатации с полевых аэродромов аэродромная пыль почти беспрепятственно про</w:t>
      </w:r>
      <w:r w:rsidRPr="008127F8">
        <w:rPr>
          <w:rFonts w:ascii="Times New Roman" w:hAnsi="Times New Roman"/>
          <w:color w:val="000000" w:themeColor="text1"/>
          <w:sz w:val="16"/>
          <w:szCs w:val="16"/>
        </w:rPr>
        <w:softHyphen/>
        <w:t>никала в карбюратор, нагнетатель и цилиндр мотора. Смеши</w:t>
      </w:r>
      <w:r w:rsidRPr="008127F8">
        <w:rPr>
          <w:rFonts w:ascii="Times New Roman" w:hAnsi="Times New Roman"/>
          <w:color w:val="000000" w:themeColor="text1"/>
          <w:sz w:val="16"/>
          <w:szCs w:val="16"/>
        </w:rPr>
        <w:softHyphen/>
        <w:t>ваясь с моторным маслом, пыль образовывала абразивную на</w:t>
      </w:r>
      <w:r w:rsidRPr="008127F8">
        <w:rPr>
          <w:rFonts w:ascii="Times New Roman" w:hAnsi="Times New Roman"/>
          <w:color w:val="000000" w:themeColor="text1"/>
          <w:sz w:val="16"/>
          <w:szCs w:val="16"/>
        </w:rPr>
        <w:softHyphen/>
        <w:t>ждачную массу, царапающую, задирающую зеркальную по</w:t>
      </w:r>
      <w:r w:rsidRPr="008127F8">
        <w:rPr>
          <w:rFonts w:ascii="Times New Roman" w:hAnsi="Times New Roman"/>
          <w:color w:val="000000" w:themeColor="text1"/>
          <w:sz w:val="16"/>
          <w:szCs w:val="16"/>
        </w:rPr>
        <w:softHyphen/>
        <w:t>верхность цилиндров и поршневых колец. Поршневые кольца и цилиндры изнашивались буквально за 10—15 часов работы. Моторы начинали дымить и выходили из строя, а самолеты вставали на ремонт.</w:t>
      </w:r>
    </w:p>
    <w:p w14:paraId="0C113D2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категорически запретила полеты на штурмовиках бригады: «...полеты на Ил-2 в запасных полках прекратить, за</w:t>
      </w:r>
      <w:r w:rsidRPr="008127F8">
        <w:rPr>
          <w:rFonts w:ascii="Times New Roman" w:hAnsi="Times New Roman"/>
          <w:color w:val="000000" w:themeColor="text1"/>
          <w:sz w:val="16"/>
          <w:szCs w:val="16"/>
        </w:rPr>
        <w:softHyphen/>
        <w:t>воду № 24 в кратчайший срок отремонтировать или заменить вышедшие из строя моторы...» И это тогда, когда на фронтах каждый бронированный Ил-2 был на счету.</w:t>
      </w:r>
    </w:p>
    <w:p w14:paraId="0C62ECE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чести моторо- и авиастроителей, они быстро справились с поставленной задачей. Работая круглосуточно, заводские конст</w:t>
      </w:r>
      <w:r w:rsidRPr="008127F8">
        <w:rPr>
          <w:rFonts w:ascii="Times New Roman" w:hAnsi="Times New Roman"/>
          <w:color w:val="000000" w:themeColor="text1"/>
          <w:sz w:val="16"/>
          <w:szCs w:val="16"/>
        </w:rPr>
        <w:softHyphen/>
        <w:t>рукторы под руководством профессора В.И. Поликовского в считаные дни разработали опытный образец воздушного фильт</w:t>
      </w:r>
      <w:r w:rsidRPr="008127F8">
        <w:rPr>
          <w:rFonts w:ascii="Times New Roman" w:hAnsi="Times New Roman"/>
          <w:color w:val="000000" w:themeColor="text1"/>
          <w:sz w:val="16"/>
          <w:szCs w:val="16"/>
        </w:rPr>
        <w:softHyphen/>
        <w:t>ра, который успешно прошел летные испытания и стал устанав</w:t>
      </w:r>
      <w:r w:rsidRPr="008127F8">
        <w:rPr>
          <w:rFonts w:ascii="Times New Roman" w:hAnsi="Times New Roman"/>
          <w:color w:val="000000" w:themeColor="text1"/>
          <w:sz w:val="16"/>
          <w:szCs w:val="16"/>
        </w:rPr>
        <w:softHyphen/>
        <w:t>ливаться на всасывающий патрубок мотора всех серийных Ил-2.</w:t>
      </w:r>
    </w:p>
    <w:p w14:paraId="4A26886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Открывание и закрывание створок фильтра производилось механизмом при помощи троса, связанного с правой стойкой шасси.</w:t>
      </w:r>
    </w:p>
    <w:p w14:paraId="434B72E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Когда шасси выпущено, створки были плотно закрыты. В этом случае мотор засасывал воздух через сетки фильтра. При подъеме шасси входное отверстие сопла открывалось, и мотор засасывал воздух через открытое отверстие.</w:t>
      </w:r>
    </w:p>
    <w:p w14:paraId="40846E3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самолетах 1 -и заб были перебраны моторы и установле</w:t>
      </w:r>
      <w:r w:rsidRPr="008127F8">
        <w:rPr>
          <w:rFonts w:ascii="Times New Roman" w:hAnsi="Times New Roman"/>
          <w:color w:val="000000" w:themeColor="text1"/>
          <w:sz w:val="16"/>
          <w:szCs w:val="16"/>
        </w:rPr>
        <w:softHyphen/>
        <w:t>ны воздушные фильтры. Одновременно дорабатывался и пра</w:t>
      </w:r>
      <w:r w:rsidRPr="008127F8">
        <w:rPr>
          <w:rFonts w:ascii="Times New Roman" w:hAnsi="Times New Roman"/>
          <w:color w:val="000000" w:themeColor="text1"/>
          <w:sz w:val="16"/>
          <w:szCs w:val="16"/>
        </w:rPr>
        <w:softHyphen/>
        <w:t>вый центроплан самолета с целью укрепления места крепле</w:t>
      </w:r>
      <w:r w:rsidRPr="008127F8">
        <w:rPr>
          <w:rFonts w:ascii="Times New Roman" w:hAnsi="Times New Roman"/>
          <w:color w:val="000000" w:themeColor="text1"/>
          <w:sz w:val="16"/>
          <w:szCs w:val="16"/>
        </w:rPr>
        <w:softHyphen/>
        <w:t>ния фильтра и установки кронштейнов в крыле под тросовую проводку управления створками фильтра. Эти работы специ</w:t>
      </w:r>
      <w:r w:rsidRPr="008127F8">
        <w:rPr>
          <w:rFonts w:ascii="Times New Roman" w:hAnsi="Times New Roman"/>
          <w:color w:val="000000" w:themeColor="text1"/>
          <w:sz w:val="16"/>
          <w:szCs w:val="16"/>
        </w:rPr>
        <w:softHyphen/>
        <w:t>альные заводские бригады продолжили на фронте (11474,268).</w:t>
      </w:r>
    </w:p>
    <w:p w14:paraId="33864EA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84993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эскизный проект ЛТ-М-11 Москалева поступил в НИИ ВВС. В ряду прочих замечаний специалисты института обратили внимание на недостаточную прочность сошника и возможность капотирования при зацеплении сошником за препятствия. Схему бронирования сочли совершенно не отвечающей условиям войны. Требовалось усилить вооружение (предусмотреть противотанковый вариант). Но небольшая мощность мотора М-11 сильно ограничивала возможность улучшения боевых качеств самолета. К тому же самолет ЛТ поражал своей необычностью. Проект отклонили. «Реализации не подлежит»,</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констатировалось в заключении НИИ ВВС.</w:t>
      </w:r>
    </w:p>
    <w:p w14:paraId="73F5A09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Летающая танкетка ЛТ-М-11 представляла собой очень легкий (полетный вес 1028–1128</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небольшой одноместный высокоплан, выполненный по двухбалочной схеме, с крылом малого удлинения. Мотор М-11 находился позади летчика и вращал толкающий винт.</w:t>
      </w:r>
    </w:p>
    <w:p w14:paraId="311E14F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Благодаря наличию в нижней части самолета специального сошника (подкосного типа с амортизатором), конец которого соприкасался с землей и отслеживал все неровности, машина, по мнению конструктора, могла «скользить» над поверхностью земли на высоте 4–5</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 и преодолевать препятствия, перелетая или перепрыгивая через них. Возникающие при контакте сошника с препятствиями моменты и угловые скорости, по расчетам, находились в пределах физических возможностей летчика и могли своевременно парироваться.</w:t>
      </w:r>
    </w:p>
    <w:p w14:paraId="6A16775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мог вести бой, «идя бегом-полетом на сошнике». Бег выполнялся на высоте 4–5</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 на скорости 150–180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км/ч. Считалось, что при такой скорости и высоте танкетка будет неуязвима для огня противника. Танкетка могла выполнять атаки наземных целей и обычным для самолетов способом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с пикирования с высоты 1000–1200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 По мнению Москалева, малые размеры танкетки (длина</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6,8</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 размах крыла</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5,57</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 позволяли ей стартовать с обычных дорог, рулить по ним, скрытно выдвигаясь к месту внезапной атаки.</w:t>
      </w:r>
    </w:p>
    <w:p w14:paraId="7AECD58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 включало две пушки ШВАК (300 снарядов), два пулемета ШКАС (1500–2000 патронов), 4–6 РО-132 и 400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бомб (17490).</w:t>
      </w:r>
    </w:p>
    <w:p w14:paraId="6AC8EAE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3879526" w14:textId="77777777" w:rsidR="00245166" w:rsidRPr="008127F8" w:rsidRDefault="00245166" w:rsidP="00245166">
      <w:pPr>
        <w:spacing w:after="0" w:line="240" w:lineRule="auto"/>
        <w:jc w:val="both"/>
        <w:rPr>
          <w:rFonts w:ascii="Times New Roman" w:hAnsi="Times New Roman"/>
          <w:color w:val="000000" w:themeColor="text1"/>
          <w:sz w:val="16"/>
          <w:szCs w:val="16"/>
        </w:rPr>
      </w:pPr>
      <w:r w:rsidRPr="00245166">
        <w:rPr>
          <w:rStyle w:val="9pt0"/>
          <w:rFonts w:ascii="Times New Roman" w:eastAsia="Arial Unicode MS" w:hAnsi="Times New Roman"/>
          <w:b w:val="0"/>
          <w:bCs w:val="0"/>
          <w:color w:val="000000" w:themeColor="text1"/>
          <w:sz w:val="16"/>
          <w:szCs w:val="16"/>
        </w:rPr>
        <w:t>В</w:t>
      </w:r>
      <w:r w:rsidRPr="008127F8">
        <w:rPr>
          <w:rFonts w:ascii="Times New Roman" w:hAnsi="Times New Roman"/>
          <w:color w:val="000000" w:themeColor="text1"/>
          <w:sz w:val="16"/>
          <w:szCs w:val="16"/>
        </w:rPr>
        <w:t xml:space="preserve"> июне 1942 г. эскизный проект ЛТ Москалёва поступил в НИИ ВВС. В ряду прочих замечаний специалисты института обратили внимание на недостаточную прочность сошника и возможность капотирования при зацеплении сошником за препятствия. Схему бронирования сочли совершенно не отвечающей условиям войны. Требовалось усилить вооружение (предусмотреть противотанковый вариант). Но небольшая мощность мотора М-11 сильно ограничи- возможность улучшения боевых качеств самолёта. К тому же самолёт ЛТ поражал необычностью. Проект отклонили. «Реализации не подлежит», - констатировалось в точении НИИ ВВС.</w:t>
      </w:r>
    </w:p>
    <w:p w14:paraId="03719652" w14:textId="77777777" w:rsidR="00245166" w:rsidRPr="008127F8" w:rsidRDefault="00245166" w:rsidP="00245166">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Летающая танкетка ЛТ представляла собой очень лёгкий (полетный вес 1028-1128 кг) небольшой одноместный высокоплан, выполненный по двухбалочной схеме, с крылом ма</w:t>
      </w:r>
      <w:r w:rsidRPr="008127F8">
        <w:rPr>
          <w:rFonts w:ascii="Times New Roman" w:hAnsi="Times New Roman"/>
          <w:color w:val="000000" w:themeColor="text1"/>
          <w:sz w:val="16"/>
          <w:szCs w:val="16"/>
        </w:rPr>
        <w:softHyphen/>
        <w:t>лого удлинения. Мотор М-11 находился позади лётчика и вращал толкающий винт. Крыло однолонжеронное, деревянное, снабжено щелевыми закрылками и автоматическими предкрылками. Обшивка - фанера и полотно на эмалите. Фюзеляж имел ферменную конструк</w:t>
      </w:r>
      <w:r w:rsidRPr="008127F8">
        <w:rPr>
          <w:rFonts w:ascii="Times New Roman" w:hAnsi="Times New Roman"/>
          <w:color w:val="000000" w:themeColor="text1"/>
          <w:sz w:val="16"/>
          <w:szCs w:val="16"/>
        </w:rPr>
        <w:softHyphen/>
        <w:t>цию с дюралевой обшивкой. Хвостовое оперение однокилевое, вынесенное за фюзеляж на двух балках. Шасси неубирающиеся с колёсами баллонного типа. Моторама и шасси! выполнялись из углеродистой стали.</w:t>
      </w:r>
    </w:p>
    <w:p w14:paraId="37A06E27" w14:textId="77777777" w:rsidR="00245166" w:rsidRPr="008127F8" w:rsidRDefault="00245166" w:rsidP="00245166">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Кабина пилота бронировалась, толщина брони 4-5 мм. Сверху-спереди лётчик защищался прямой бронеплитой, снизу-спереди - бронеплитой, изогнутой в передней части кверху до уровня нижнего края верхней плиты, сзади снизу и сверху - бронесиденьем. Борта кабины - из 3-мм брони. Козырёк фонаря кабины лётчика выполнялся из пулестойкой брони. Благодаря наличию в нижней части самолёта специального сошника (подкосного типа с амортизатором), конец которого соприкасался с землёй и отслеживал все неровности, юшина, по мнению конструктора, могла «скользить» над поверхностью земли на высоте 4</w:t>
      </w:r>
      <w:r w:rsidRPr="008127F8">
        <w:rPr>
          <w:rStyle w:val="affb"/>
          <w:rFonts w:ascii="Times New Roman" w:hAnsi="Times New Roman" w:cs="Times New Roman"/>
          <w:b w:val="0"/>
          <w:color w:val="000000" w:themeColor="text1"/>
          <w:spacing w:val="0"/>
          <w:sz w:val="16"/>
          <w:szCs w:val="16"/>
        </w:rPr>
        <w:t>-5</w:t>
      </w:r>
      <w:r w:rsidRPr="008127F8">
        <w:rPr>
          <w:rStyle w:val="75pt"/>
          <w:rFonts w:ascii="Times New Roman" w:eastAsia="Arial Unicode MS" w:hAnsi="Times New Roman" w:cs="Times New Roman"/>
          <w:color w:val="000000" w:themeColor="text1"/>
          <w:sz w:val="16"/>
          <w:szCs w:val="16"/>
        </w:rPr>
        <w:t xml:space="preserve"> м и</w:t>
      </w:r>
      <w:r w:rsidRPr="008127F8">
        <w:rPr>
          <w:rFonts w:ascii="Times New Roman" w:hAnsi="Times New Roman"/>
          <w:color w:val="000000" w:themeColor="text1"/>
          <w:sz w:val="16"/>
          <w:szCs w:val="16"/>
        </w:rPr>
        <w:t xml:space="preserve"> преодолевать препятствия, перелетая или</w:t>
      </w:r>
      <w:r w:rsidRPr="008127F8">
        <w:rPr>
          <w:rStyle w:val="75pt"/>
          <w:rFonts w:ascii="Times New Roman" w:eastAsia="Arial Unicode MS" w:hAnsi="Times New Roman" w:cs="Times New Roman"/>
          <w:color w:val="000000" w:themeColor="text1"/>
          <w:sz w:val="16"/>
          <w:szCs w:val="16"/>
        </w:rPr>
        <w:t xml:space="preserve"> перепрыгивая</w:t>
      </w:r>
      <w:r w:rsidRPr="008127F8">
        <w:rPr>
          <w:rFonts w:ascii="Times New Roman" w:hAnsi="Times New Roman"/>
          <w:color w:val="000000" w:themeColor="text1"/>
          <w:sz w:val="16"/>
          <w:szCs w:val="16"/>
        </w:rPr>
        <w:t xml:space="preserve"> через них. Возникающие при контакте сошника с препятствиями моменты и угловые скорости, по расчётам, кодились в пределах физических возможностей лётчика</w:t>
      </w:r>
      <w:r w:rsidRPr="008127F8">
        <w:rPr>
          <w:rStyle w:val="75pt"/>
          <w:rFonts w:ascii="Times New Roman" w:eastAsia="Arial Unicode MS" w:hAnsi="Times New Roman" w:cs="Times New Roman"/>
          <w:color w:val="000000" w:themeColor="text1"/>
          <w:sz w:val="16"/>
          <w:szCs w:val="16"/>
        </w:rPr>
        <w:t xml:space="preserve"> и</w:t>
      </w:r>
      <w:r w:rsidRPr="008127F8">
        <w:rPr>
          <w:rFonts w:ascii="Times New Roman" w:hAnsi="Times New Roman"/>
          <w:color w:val="000000" w:themeColor="text1"/>
          <w:sz w:val="16"/>
          <w:szCs w:val="16"/>
        </w:rPr>
        <w:t xml:space="preserve"> могли своевременно пари- ваться.</w:t>
      </w:r>
    </w:p>
    <w:p w14:paraId="20AEA802" w14:textId="77777777" w:rsidR="00245166" w:rsidRPr="008127F8" w:rsidRDefault="00245166" w:rsidP="00245166">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Самолёт мог вести бой, «идя бегом-полётом на сошнике». Бег выполнялся на высоте </w:t>
      </w:r>
      <w:r w:rsidRPr="008127F8">
        <w:rPr>
          <w:rFonts w:ascii="Times New Roman" w:hAnsi="Times New Roman"/>
          <w:color w:val="000000" w:themeColor="text1"/>
          <w:sz w:val="16"/>
          <w:szCs w:val="16"/>
          <w:lang w:val="en-US"/>
        </w:rPr>
        <w:t>W</w:t>
      </w:r>
      <w:r w:rsidRPr="008127F8">
        <w:rPr>
          <w:rFonts w:ascii="Times New Roman" w:hAnsi="Times New Roman"/>
          <w:color w:val="000000" w:themeColor="text1"/>
          <w:sz w:val="16"/>
          <w:szCs w:val="16"/>
        </w:rPr>
        <w:t xml:space="preserve"> м на скорости 150-180 км/ч. Считалось, что при такой скорости и высоте танкетка [рцет неуязвима для огня противника. Танкетка могла выполнять атаки наземных целей (обычным для самолётов способом - с пикирования с высоты 1000-1200 м. По мнению Москалева, малые размеры танкетки (длина — 6,8 м, размах крыла - 5,57 м) позволяли стартовать с обычных дорог, рулить по ним, скрытно выдвигаясь к месту внезапной атаки</w:t>
      </w:r>
      <w:r w:rsidRPr="008127F8">
        <w:rPr>
          <w:rStyle w:val="9pt"/>
          <w:rFonts w:ascii="Times New Roman" w:hAnsi="Times New Roman" w:cs="Times New Roman"/>
          <w:color w:val="000000" w:themeColor="text1"/>
        </w:rPr>
        <w:t>.</w:t>
      </w:r>
    </w:p>
    <w:p w14:paraId="67702665" w14:textId="77777777" w:rsidR="00245166" w:rsidRPr="008127F8" w:rsidRDefault="00245166" w:rsidP="00245166">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 включало две пушки ШВАК (300 снарядов), два пулемёта ШКАС (1500- Ю0 патронов), 4-6 РО-132 и 400 кг бомб (15846).</w:t>
      </w:r>
    </w:p>
    <w:p w14:paraId="547DF071" w14:textId="77777777" w:rsidR="00245166" w:rsidRPr="008127F8" w:rsidRDefault="00245166" w:rsidP="00245166">
      <w:pPr>
        <w:spacing w:after="0" w:line="240" w:lineRule="auto"/>
        <w:jc w:val="both"/>
        <w:rPr>
          <w:rFonts w:ascii="Times New Roman" w:hAnsi="Times New Roman"/>
          <w:color w:val="000000" w:themeColor="text1"/>
          <w:sz w:val="16"/>
          <w:szCs w:val="16"/>
        </w:rPr>
      </w:pPr>
    </w:p>
    <w:p w14:paraId="38E926D8"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июне 1942 г. эскизный проект ЛТ Москалева поступил в НИИ ВВС. В ряду прочих замечаний специалисты института обратили внимание на недостаточную прочность сошника и возможность капотирования при зацеплении сошником за препятствия. Схему бронирования сочли совершенно не отвечающей условиям войны. Требовалось усилить вооруже</w:t>
      </w:r>
      <w:r w:rsidRPr="008127F8">
        <w:rPr>
          <w:color w:val="000000" w:themeColor="text1"/>
          <w:sz w:val="16"/>
          <w:szCs w:val="16"/>
        </w:rPr>
        <w:softHyphen/>
        <w:t>ние (предусмотреть противотанковый вариант). Однако небольшая мощность мотора М-11 сильно ограничивала возможность улучшения боевых ка</w:t>
      </w:r>
      <w:r w:rsidRPr="008127F8">
        <w:rPr>
          <w:color w:val="000000" w:themeColor="text1"/>
          <w:sz w:val="16"/>
          <w:szCs w:val="16"/>
        </w:rPr>
        <w:softHyphen/>
        <w:t>честв самолета. К тому же самолет ЛТ поражал сво</w:t>
      </w:r>
      <w:r w:rsidRPr="008127F8">
        <w:rPr>
          <w:color w:val="000000" w:themeColor="text1"/>
          <w:sz w:val="16"/>
          <w:szCs w:val="16"/>
        </w:rPr>
        <w:softHyphen/>
        <w:t>ей необычностью. Проект отклонили. «Реализации не подлежит», — констатировалось в заключении НИИ ВВС.</w:t>
      </w:r>
    </w:p>
    <w:p w14:paraId="6383EE7B"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Летающая танкетка ЛТ представляла собой лег</w:t>
      </w:r>
      <w:r w:rsidRPr="008127F8">
        <w:rPr>
          <w:color w:val="000000" w:themeColor="text1"/>
          <w:sz w:val="16"/>
          <w:szCs w:val="16"/>
        </w:rPr>
        <w:softHyphen/>
        <w:t>кий (полетный вес 1028—1128 кг) одноместный вы- сокоплан небольших размеров, выполнен</w:t>
      </w:r>
      <w:r w:rsidRPr="008127F8">
        <w:rPr>
          <w:color w:val="000000" w:themeColor="text1"/>
          <w:sz w:val="16"/>
          <w:szCs w:val="16"/>
        </w:rPr>
        <w:softHyphen/>
        <w:t>ный по двухбалочной схеме, с небольшим крылом малого удлинения. Мотор М-11 находился позади летчика и снабжался толкающим винтом. Крыло однолонжерон- ное, деревянное, имело щелевые закрылки и автоматические предкрылки. Обшивка — фанера и полотно на эмалите. Фюзеляж имел ферменную конструкцию с дюрале</w:t>
      </w:r>
      <w:r w:rsidRPr="008127F8">
        <w:rPr>
          <w:color w:val="000000" w:themeColor="text1"/>
          <w:sz w:val="16"/>
          <w:szCs w:val="16"/>
        </w:rPr>
        <w:softHyphen/>
        <w:t>вой обшивкой. Хвостовое оперение одно- килевое, вынесенное за фюзеляж на двух балках. Шасси неубирающееся с колесами баллонного типа. Моторама и шасси выпол</w:t>
      </w:r>
      <w:r w:rsidRPr="008127F8">
        <w:rPr>
          <w:color w:val="000000" w:themeColor="text1"/>
          <w:sz w:val="16"/>
          <w:szCs w:val="16"/>
        </w:rPr>
        <w:softHyphen/>
        <w:t>нялись из углеродистой стали.</w:t>
      </w:r>
    </w:p>
    <w:p w14:paraId="5760BF7F"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Кабина пилота бронировалась. Толщина брони 4—5 мм. Сверху-спереди летчик защищался пря</w:t>
      </w:r>
      <w:r w:rsidRPr="008127F8">
        <w:rPr>
          <w:color w:val="000000" w:themeColor="text1"/>
          <w:sz w:val="16"/>
          <w:szCs w:val="16"/>
        </w:rPr>
        <w:softHyphen/>
        <w:t>мой бронеплитой, снизу-спереди — бронеплитой, изогнутой в передней части к верху до уровня ниж</w:t>
      </w:r>
      <w:r w:rsidRPr="008127F8">
        <w:rPr>
          <w:color w:val="000000" w:themeColor="text1"/>
          <w:sz w:val="16"/>
          <w:szCs w:val="16"/>
        </w:rPr>
        <w:softHyphen/>
        <w:t>него края верхней плиты, сзади-снизу и сверху — бронесиденьем. Борта кабины — из 3-мм брони. Козырек фонаря кабины летчика выполнялся из пулестойкой брони.</w:t>
      </w:r>
    </w:p>
    <w:p w14:paraId="359F4AAC"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Благодаря наличию в нижней части самолета специального сошника (подкосного типа с амор</w:t>
      </w:r>
      <w:r w:rsidRPr="008127F8">
        <w:rPr>
          <w:color w:val="000000" w:themeColor="text1"/>
          <w:sz w:val="16"/>
          <w:szCs w:val="16"/>
        </w:rPr>
        <w:softHyphen/>
        <w:t>тизатором), конец которого соприкасался с зем</w:t>
      </w:r>
      <w:r w:rsidRPr="008127F8">
        <w:rPr>
          <w:color w:val="000000" w:themeColor="text1"/>
          <w:sz w:val="16"/>
          <w:szCs w:val="16"/>
        </w:rPr>
        <w:softHyphen/>
        <w:t>лей и отслеживал все неровности, машина могла «скользить» над поверхностью земли на высоте 4—5 м и преодолевать препятствия, перелетая или перепрыгивая через них. Возникающие при кон</w:t>
      </w:r>
      <w:r w:rsidRPr="008127F8">
        <w:rPr>
          <w:color w:val="000000" w:themeColor="text1"/>
          <w:sz w:val="16"/>
          <w:szCs w:val="16"/>
        </w:rPr>
        <w:softHyphen/>
        <w:t>такте сошника с препятствиями моменты и угловые скорости, по расчетам, находились в пределах фи</w:t>
      </w:r>
      <w:r w:rsidRPr="008127F8">
        <w:rPr>
          <w:color w:val="000000" w:themeColor="text1"/>
          <w:sz w:val="16"/>
          <w:szCs w:val="16"/>
        </w:rPr>
        <w:softHyphen/>
        <w:t>зических возможностей летчика и могли своевре</w:t>
      </w:r>
      <w:r w:rsidRPr="008127F8">
        <w:rPr>
          <w:color w:val="000000" w:themeColor="text1"/>
          <w:sz w:val="16"/>
          <w:szCs w:val="16"/>
        </w:rPr>
        <w:softHyphen/>
        <w:t>менно парироваться.</w:t>
      </w:r>
    </w:p>
    <w:p w14:paraId="3B0072AA"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Самолет мог вести бой, «идя бегом-полетом на сошнике». Бег выполнялся на высоте 4—5 м на скорости 150—180 км/ч. Считалось, что при такой скорости и высоте танкетка будет неуязвима для огня противника. Танкетка могла выполнять атаки наземных целей и обычным для самолетов спосо</w:t>
      </w:r>
      <w:r w:rsidRPr="008127F8">
        <w:rPr>
          <w:color w:val="000000" w:themeColor="text1"/>
          <w:sz w:val="16"/>
          <w:szCs w:val="16"/>
        </w:rPr>
        <w:softHyphen/>
        <w:t>бом — с пикирования с высоты 1000—1200 м. По мнению Москалева, малые размеры танкетки (дли</w:t>
      </w:r>
      <w:r w:rsidRPr="008127F8">
        <w:rPr>
          <w:color w:val="000000" w:themeColor="text1"/>
          <w:sz w:val="16"/>
          <w:szCs w:val="16"/>
        </w:rPr>
        <w:softHyphen/>
        <w:t>на — 6,8 м, размах крыла — 5,57 м) позволяли ей стартовать с обычных дорог, рулить по ним, скрыт</w:t>
      </w:r>
      <w:r w:rsidRPr="008127F8">
        <w:rPr>
          <w:color w:val="000000" w:themeColor="text1"/>
          <w:sz w:val="16"/>
          <w:szCs w:val="16"/>
        </w:rPr>
        <w:softHyphen/>
        <w:t>но выдвигаясь к месту внезапной атаки.</w:t>
      </w:r>
    </w:p>
    <w:p w14:paraId="1B3BB6DB"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Вооружение включало 2 пушки ШВАК (300 сна</w:t>
      </w:r>
      <w:r w:rsidRPr="008127F8">
        <w:rPr>
          <w:color w:val="000000" w:themeColor="text1"/>
          <w:sz w:val="16"/>
          <w:szCs w:val="16"/>
        </w:rPr>
        <w:softHyphen/>
        <w:t>рядов), 2 пулемета ШКАС (1500—2000 патронов), 4—6 РО-132 и 400 кг бомб (17500).</w:t>
      </w:r>
    </w:p>
    <w:p w14:paraId="5CE2B3E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01C24D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июне 1942 г. в ЦАГИ разработали вариант съемного воздушного фильтра для Як-1 и провели его испытания. Пылефильтр в виде приставного патрубка с боковой поверхностью образованной четырьмя слоями стальной сетки (по типу автомобильной ЗИС-5) располагался перед воздухозаборником нагнетателя мотора. Площадь фильтрующей поверхности составляла 9,5 дм2. В передней части фильтра устанавливалась заслонка, управление которой было связано с системой выпуска-убор- ки шасси посредством тросовой проводки. При выпуске шасси заслонка закрывалась и удерживалась в закрытом положении натяжением троса, а при уборке - открывалась под действием возвратной пружины. В своем первом варианте фильтр крепился к капотам мотора и зализу крыла на винтах. При необходимости осмотреть мотор, открыть левый и нижний капоты без снятия пылефильтра было невозможно. Для демонтажа и монтажа фильтра ЦАГИ требовалось 25-30 минут. Специалисты ВВС, как заказчик, отводили на эту операцию не более 8 минут, в связи с чем конструкцию крепления изменили. К капотам мотора фильтр стал крепиться рояльной петлей на шомполах, а к зализу крыла - на одном замке "дзус". Время снятия и установки сократилось до 5 минут. Летные испытания показали, что ухудшение аэродинамики самолета оказалось незначительным. Максимальные скорости горизонтального полета по высотам уменьшились всего на 2 - 3 км/ч. </w:t>
      </w:r>
    </w:p>
    <w:p w14:paraId="52BE45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Воздушный фильтр конструкции ЦАГИ в новом виде был принят и внедрен в серийное производство одновременно с Як-1б. После начала эксплуатации фильтра в частях выяснилось, что он требует постоянной регулировки. При снятии фильтра с самолета (для ежедневной промывки) тяга управления заслонкой разъединялась, а после установки на самолет управление ею требовалось снова отрегулировать. Кроме того, регулировка требовалась вследствие вытяжки троса управления. Эту операцию можно было выполнить только после установки самолета на козелки. Поэтому работа над фильтрами была продолжена в 1943 г. Число участников расширили, включив ее в перечень тем для изобретателей в частях и мастерских ВВС.</w:t>
      </w:r>
    </w:p>
    <w:p w14:paraId="6876F06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1943 г. прошли испытания воздушные фильтры конструкции ЛИИ НКАП, ЦАГИ (съемный и несъемный), завода № 292 НКАП. Все они испытаний не выдержали. У легкосъемного фильтра ЛИИ НКАП (время снятия - 2-3 с, установки - 10-12 с) с площадью фильтрующей поверхности 6,55 дм2 быстро ржавела сетка, изготовленная из луженой жести. Поэтому его рекомендовали только как наземное приспособление. Съемный фильтр ЦАГИ снижал максимальную скорость самолета на 6-7 км/ч и, кроме того, требовал трудоемких подгоночных работ по месту отдельно для каждой машины. Несъемный фильтр ЦАГИ был очень сложен в изготовлении, требовал больших переделок в конструкции самолета. Фильтр завода № 292 снижал максимальную скорость самолета тоже на 6-7 км/ч (что превышало величину, заданную приказом наркома авиационной промышленности), и на его снятие уходило более 30 мин.</w:t>
      </w:r>
    </w:p>
    <w:p w14:paraId="35F1607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Совершенно другой принцип пылеулавливания был предложен специалистами авиамастерских Военно-морского авиационного училища им. Сталина (до недавнего времени - Ейское ВВАУЛ). В воздухопод- водяший канал нагнетателя устанавливалась специальная решетка, отсекавшая крупные частицы грунта и камешки вниз за пределы канала, а более легкие частицы пыли улавливались нанесенной липкой мастикой. Испытания, проведенные в училище, показали довольно хорошую эффективность устройства. Основной недостаток (предопределивший отказ от применения такого устройства) - необходимость обновлять мастичное покрытие, </w:t>
      </w:r>
      <w:r w:rsidRPr="008127F8">
        <w:rPr>
          <w:rFonts w:ascii="Times New Roman" w:hAnsi="Times New Roman"/>
          <w:color w:val="000000" w:themeColor="text1"/>
          <w:sz w:val="16"/>
          <w:szCs w:val="16"/>
        </w:rPr>
        <w:lastRenderedPageBreak/>
        <w:t>которое могло сохнуть, трескаться и крошиться под действием разности температур, угрожая безопасной работе мотора.</w:t>
      </w:r>
    </w:p>
    <w:p w14:paraId="080E357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Лишь к маю 1944 г. (по сути дела, к концу выпуска Як-1) был разработан, испытан и рекомендован к использованию в ВВС КА воздушный фильтр конструкции ВВС СФ с измененной кинематикой управления заслонкой, предложенной опытным заводом НИИ ВВС КА. Этот фильтр не снижал максимальную скорость полета в отличие от других пылефильтров (12048).</w:t>
      </w:r>
    </w:p>
    <w:p w14:paraId="242591E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5A76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точно задание на создание временного механиз</w:t>
      </w:r>
      <w:r w:rsidRPr="008127F8">
        <w:rPr>
          <w:rFonts w:ascii="Times New Roman" w:hAnsi="Times New Roman"/>
          <w:color w:val="000000" w:themeColor="text1"/>
          <w:sz w:val="16"/>
          <w:szCs w:val="16"/>
        </w:rPr>
        <w:softHyphen/>
        <w:t>ма штурмовика (ВМШ) было дано кафедре бомбоме</w:t>
      </w:r>
      <w:r w:rsidRPr="008127F8">
        <w:rPr>
          <w:rFonts w:ascii="Times New Roman" w:hAnsi="Times New Roman"/>
          <w:color w:val="000000" w:themeColor="text1"/>
          <w:sz w:val="16"/>
          <w:szCs w:val="16"/>
        </w:rPr>
        <w:softHyphen/>
        <w:t>тания ВВА им. Н.Е.Жуковского, где за эту работу взялся преподаватель кафедры М.К.Цветков (6467).</w:t>
      </w:r>
    </w:p>
    <w:p w14:paraId="398B64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992D1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были начаты вторые гос. испытания М-71, которые проходили моторы NN 36 и 38. Летные испытания мотор М-71 проходил на 4-х экземплярах самолетов - государственные испытания самолетов И-185 и СУ-6 с мотором М-71 прошли без дефектов по мотору (1684,169).</w:t>
      </w:r>
    </w:p>
    <w:p w14:paraId="16630C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E5E8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завод № 166 получил приказ укомплектовать новыми бомбардировщиками два полка. Но темпы сдачи серийных Ту-2 существенно отставали от плана, а уже выпущенные машины постоянно дорабатывались заводскими бригадами, устранявшими выявленные дефекты. В результате на фронт никак не могли отправить хотя бы эскадрилью Ту-2. С одной стороны, завод заработал, новые бомбардировщики начали строить. С другой - пользы военным от них пока не было никакой.</w:t>
      </w:r>
    </w:p>
    <w:p w14:paraId="3F0C97D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время стояло тяжелое. После неудачной попытки наступления под Харьковом Красная Армия вновь потерпела тяжелое поражение. Немцы быстрыми темпами продвигались к Волге. Немалую роль в успехах противника играло достигнутое им превосходство в воздухе. Сталин решил, что эту проблему следует решать резким увеличением количества советских истребителей. Последовало постановление ГКО о наращивании их производства. Но заводы, уже строившие такие самолеты ранее, были ограничены в возможностях увеличения выпуска. Тогда НКАП стал давать планы по производству истребителей предприятиям, изготовлявшим самолеты другого назначения; при этом даже согласились частично пожертвовать штурмовиками Ил-2. По воспоминаниям наркома авиапромышленности А.И. Шахурина, распоряжение снять с производства Ту-2 отдал лично Сталин.</w:t>
      </w:r>
    </w:p>
    <w:p w14:paraId="612A588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Многие авторы считают это решение чуть ли не самодурством. Но за ним стояло много весьма серьезных доводов. Первые серии Ту-2 обходились крайне дорого. Поспешное освоение производства сложной машины, рассчитанной на хорошо оснащенное предприятие, на недостроенном заводе привело к колоссальному росту себестоимости. Она в несколько раз превышала плановые цифры. Если считать чисто в деньгах, вместо одного такого бомбардировщика можно было изготовить целую эскадрилью простых и дешевых истребителей. Самолет к тому же страдал множеством еще неустраненных дефектов. Да, он был перспективен, но это - когда- нибудь, а война подходила к своей критической фазе, и самолеты на фронте нужны были срочно (11988).</w:t>
      </w:r>
    </w:p>
    <w:p w14:paraId="309397E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363BE0" w14:textId="77777777" w:rsidR="007C5583" w:rsidRPr="008127F8" w:rsidRDefault="007C5583" w:rsidP="007C5583">
      <w:pPr>
        <w:spacing w:after="0" w:line="240" w:lineRule="auto"/>
        <w:jc w:val="both"/>
        <w:rPr>
          <w:rFonts w:ascii="Times New Roman" w:hAnsi="Times New Roman"/>
          <w:color w:val="000000" w:themeColor="text1"/>
          <w:sz w:val="16"/>
          <w:szCs w:val="16"/>
          <w:lang w:eastAsia="ru-RU" w:bidi="ru-RU"/>
        </w:rPr>
      </w:pPr>
      <w:r w:rsidRPr="008127F8">
        <w:rPr>
          <w:rFonts w:ascii="Times New Roman" w:hAnsi="Times New Roman"/>
          <w:color w:val="000000" w:themeColor="text1"/>
          <w:sz w:val="16"/>
          <w:szCs w:val="16"/>
          <w:lang w:eastAsia="ru-RU" w:bidi="ru-RU"/>
        </w:rPr>
        <w:t>В июне 1942 г. Омский за</w:t>
      </w:r>
      <w:r w:rsidRPr="008127F8">
        <w:rPr>
          <w:rFonts w:ascii="Times New Roman" w:hAnsi="Times New Roman"/>
          <w:color w:val="000000" w:themeColor="text1"/>
          <w:sz w:val="16"/>
          <w:szCs w:val="16"/>
          <w:lang w:eastAsia="ru-RU" w:bidi="ru-RU"/>
        </w:rPr>
        <w:softHyphen/>
        <w:t>вод №166 получил приказ укомплек</w:t>
      </w:r>
      <w:r w:rsidRPr="008127F8">
        <w:rPr>
          <w:rFonts w:ascii="Times New Roman" w:hAnsi="Times New Roman"/>
          <w:color w:val="000000" w:themeColor="text1"/>
          <w:sz w:val="16"/>
          <w:szCs w:val="16"/>
          <w:lang w:eastAsia="ru-RU" w:bidi="ru-RU"/>
        </w:rPr>
        <w:softHyphen/>
        <w:t>товать новыми самолетами Ту-2 два полка. Но темпы сдачи серийных Ту-2 сущест</w:t>
      </w:r>
      <w:r w:rsidRPr="008127F8">
        <w:rPr>
          <w:rFonts w:ascii="Times New Roman" w:hAnsi="Times New Roman"/>
          <w:color w:val="000000" w:themeColor="text1"/>
          <w:sz w:val="16"/>
          <w:szCs w:val="16"/>
          <w:lang w:eastAsia="ru-RU" w:bidi="ru-RU"/>
        </w:rPr>
        <w:softHyphen/>
        <w:t>венно отставали от плана, а уже выпу</w:t>
      </w:r>
      <w:r w:rsidRPr="008127F8">
        <w:rPr>
          <w:rFonts w:ascii="Times New Roman" w:hAnsi="Times New Roman"/>
          <w:color w:val="000000" w:themeColor="text1"/>
          <w:sz w:val="16"/>
          <w:szCs w:val="16"/>
          <w:lang w:eastAsia="ru-RU" w:bidi="ru-RU"/>
        </w:rPr>
        <w:softHyphen/>
        <w:t>щенные машины постоянно дорабаты</w:t>
      </w:r>
      <w:r w:rsidRPr="008127F8">
        <w:rPr>
          <w:rFonts w:ascii="Times New Roman" w:hAnsi="Times New Roman"/>
          <w:color w:val="000000" w:themeColor="text1"/>
          <w:sz w:val="16"/>
          <w:szCs w:val="16"/>
          <w:lang w:eastAsia="ru-RU" w:bidi="ru-RU"/>
        </w:rPr>
        <w:softHyphen/>
        <w:t>вались заводскими бригадами, устраняв</w:t>
      </w:r>
      <w:r w:rsidRPr="008127F8">
        <w:rPr>
          <w:rFonts w:ascii="Times New Roman" w:hAnsi="Times New Roman"/>
          <w:color w:val="000000" w:themeColor="text1"/>
          <w:sz w:val="16"/>
          <w:szCs w:val="16"/>
          <w:lang w:eastAsia="ru-RU" w:bidi="ru-RU"/>
        </w:rPr>
        <w:softHyphen/>
        <w:t>шими выявленные дефекты. В результате на фронт никак не могли отправить хотя бы эскадрилью Ту-2. Из-за большого ко</w:t>
      </w:r>
      <w:r w:rsidRPr="008127F8">
        <w:rPr>
          <w:rFonts w:ascii="Times New Roman" w:hAnsi="Times New Roman"/>
          <w:color w:val="000000" w:themeColor="text1"/>
          <w:sz w:val="16"/>
          <w:szCs w:val="16"/>
          <w:lang w:eastAsia="ru-RU" w:bidi="ru-RU"/>
        </w:rPr>
        <w:softHyphen/>
        <w:t>личества дефектов, присущих самолетам первых серий, ко второму этапу войско</w:t>
      </w:r>
      <w:r w:rsidRPr="008127F8">
        <w:rPr>
          <w:rFonts w:ascii="Times New Roman" w:hAnsi="Times New Roman"/>
          <w:color w:val="000000" w:themeColor="text1"/>
          <w:sz w:val="16"/>
          <w:szCs w:val="16"/>
          <w:lang w:eastAsia="ru-RU" w:bidi="ru-RU"/>
        </w:rPr>
        <w:softHyphen/>
        <w:t>вых испытаний удалось приступить лишь в сентябре 1942 г. Три самолета с экипа</w:t>
      </w:r>
      <w:r w:rsidRPr="008127F8">
        <w:rPr>
          <w:rFonts w:ascii="Times New Roman" w:hAnsi="Times New Roman"/>
          <w:color w:val="000000" w:themeColor="text1"/>
          <w:sz w:val="16"/>
          <w:szCs w:val="16"/>
          <w:lang w:eastAsia="ru-RU" w:bidi="ru-RU"/>
        </w:rPr>
        <w:softHyphen/>
        <w:t>жами из НИИ ВВС перелетели на Кали</w:t>
      </w:r>
      <w:r w:rsidRPr="008127F8">
        <w:rPr>
          <w:rFonts w:ascii="Times New Roman" w:hAnsi="Times New Roman"/>
          <w:color w:val="000000" w:themeColor="text1"/>
          <w:sz w:val="16"/>
          <w:szCs w:val="16"/>
          <w:lang w:eastAsia="ru-RU" w:bidi="ru-RU"/>
        </w:rPr>
        <w:softHyphen/>
        <w:t>нинский фронт, где действовала 5-я воз</w:t>
      </w:r>
      <w:r w:rsidRPr="008127F8">
        <w:rPr>
          <w:rFonts w:ascii="Times New Roman" w:hAnsi="Times New Roman"/>
          <w:color w:val="000000" w:themeColor="text1"/>
          <w:sz w:val="16"/>
          <w:szCs w:val="16"/>
          <w:lang w:eastAsia="ru-RU" w:bidi="ru-RU"/>
        </w:rPr>
        <w:softHyphen/>
        <w:t>душная армия (21060).</w:t>
      </w:r>
    </w:p>
    <w:p w14:paraId="20A3CF80" w14:textId="77777777" w:rsidR="007C5583" w:rsidRPr="008127F8" w:rsidRDefault="007C5583" w:rsidP="007C5583">
      <w:pPr>
        <w:spacing w:after="0" w:line="240" w:lineRule="auto"/>
        <w:jc w:val="both"/>
        <w:rPr>
          <w:rFonts w:ascii="Times New Roman" w:hAnsi="Times New Roman"/>
          <w:color w:val="000000" w:themeColor="text1"/>
          <w:sz w:val="16"/>
          <w:szCs w:val="16"/>
          <w:lang w:eastAsia="ru-RU" w:bidi="ru-RU"/>
        </w:rPr>
      </w:pPr>
    </w:p>
    <w:p w14:paraId="475C342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В июне 1942 г. завод № 166 по</w:t>
      </w:r>
      <w:r w:rsidRPr="008127F8">
        <w:rPr>
          <w:rFonts w:ascii="Times New Roman" w:hAnsi="Times New Roman"/>
          <w:color w:val="000000" w:themeColor="text1"/>
          <w:sz w:val="16"/>
          <w:szCs w:val="16"/>
          <w:lang w:eastAsia="ru-RU" w:bidi="ru-RU"/>
        </w:rPr>
        <w:softHyphen/>
        <w:t>лучил приказ укомплектовать новыми са</w:t>
      </w:r>
      <w:r w:rsidRPr="008127F8">
        <w:rPr>
          <w:rFonts w:ascii="Times New Roman" w:hAnsi="Times New Roman"/>
          <w:color w:val="000000" w:themeColor="text1"/>
          <w:sz w:val="16"/>
          <w:szCs w:val="16"/>
          <w:lang w:eastAsia="ru-RU" w:bidi="ru-RU"/>
        </w:rPr>
        <w:softHyphen/>
        <w:t>молетами два полка. Но темпы сдачи се</w:t>
      </w:r>
      <w:r w:rsidRPr="008127F8">
        <w:rPr>
          <w:rFonts w:ascii="Times New Roman" w:hAnsi="Times New Roman"/>
          <w:color w:val="000000" w:themeColor="text1"/>
          <w:sz w:val="16"/>
          <w:szCs w:val="16"/>
          <w:lang w:eastAsia="ru-RU" w:bidi="ru-RU"/>
        </w:rPr>
        <w:softHyphen/>
        <w:t>рийных Ту-2 существенно отставали от плана, а уже выпущенные машины посто</w:t>
      </w:r>
      <w:r w:rsidRPr="008127F8">
        <w:rPr>
          <w:rFonts w:ascii="Times New Roman" w:hAnsi="Times New Roman"/>
          <w:color w:val="000000" w:themeColor="text1"/>
          <w:sz w:val="16"/>
          <w:szCs w:val="16"/>
          <w:lang w:eastAsia="ru-RU" w:bidi="ru-RU"/>
        </w:rPr>
        <w:softHyphen/>
        <w:t>янно дорабатывались заводскими брига</w:t>
      </w:r>
      <w:r w:rsidRPr="008127F8">
        <w:rPr>
          <w:rFonts w:ascii="Times New Roman" w:hAnsi="Times New Roman"/>
          <w:color w:val="000000" w:themeColor="text1"/>
          <w:sz w:val="16"/>
          <w:szCs w:val="16"/>
          <w:lang w:eastAsia="ru-RU" w:bidi="ru-RU"/>
        </w:rPr>
        <w:softHyphen/>
        <w:t>дами, устранявшими выявленные дефекты. В результате на фронт никак не могли от</w:t>
      </w:r>
      <w:r w:rsidRPr="008127F8">
        <w:rPr>
          <w:rFonts w:ascii="Times New Roman" w:hAnsi="Times New Roman"/>
          <w:color w:val="000000" w:themeColor="text1"/>
          <w:sz w:val="16"/>
          <w:szCs w:val="16"/>
          <w:lang w:eastAsia="ru-RU" w:bidi="ru-RU"/>
        </w:rPr>
        <w:softHyphen/>
        <w:t>править хотя бы эскадрилью Ту-2.</w:t>
      </w:r>
    </w:p>
    <w:p w14:paraId="374956B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lang w:eastAsia="ru-RU" w:bidi="ru-RU"/>
        </w:rPr>
        <w:t>С одной стороны, завод заработал, новые бомбардировщики начали строить. С другой - пользы военным от них пока не было никакой. А время стояло тяжелое. После неудачной попытки наступления под Харьковом Красная армия вновь по</w:t>
      </w:r>
      <w:r w:rsidRPr="008127F8">
        <w:rPr>
          <w:rFonts w:ascii="Times New Roman" w:hAnsi="Times New Roman"/>
          <w:color w:val="000000" w:themeColor="text1"/>
          <w:sz w:val="16"/>
          <w:szCs w:val="16"/>
          <w:lang w:eastAsia="ru-RU" w:bidi="ru-RU"/>
        </w:rPr>
        <w:softHyphen/>
        <w:t>терпела тяжелое поражение. Немцы бы</w:t>
      </w:r>
      <w:r w:rsidRPr="008127F8">
        <w:rPr>
          <w:rFonts w:ascii="Times New Roman" w:hAnsi="Times New Roman"/>
          <w:color w:val="000000" w:themeColor="text1"/>
          <w:sz w:val="16"/>
          <w:szCs w:val="16"/>
          <w:lang w:eastAsia="ru-RU" w:bidi="ru-RU"/>
        </w:rPr>
        <w:softHyphen/>
        <w:t>стрыми темпами продвигались к Волге. Немалую роль в успехах противника иг</w:t>
      </w:r>
      <w:r w:rsidRPr="008127F8">
        <w:rPr>
          <w:rFonts w:ascii="Times New Roman" w:hAnsi="Times New Roman"/>
          <w:color w:val="000000" w:themeColor="text1"/>
          <w:sz w:val="16"/>
          <w:szCs w:val="16"/>
          <w:lang w:eastAsia="ru-RU" w:bidi="ru-RU"/>
        </w:rPr>
        <w:softHyphen/>
        <w:t>рало достигнутое им превосходство в воздухе. Сталин решил, что эту проблему следует решать резким увеличением ко</w:t>
      </w:r>
      <w:r w:rsidRPr="008127F8">
        <w:rPr>
          <w:rFonts w:ascii="Times New Roman" w:hAnsi="Times New Roman"/>
          <w:color w:val="000000" w:themeColor="text1"/>
          <w:sz w:val="16"/>
          <w:szCs w:val="16"/>
          <w:lang w:eastAsia="ru-RU" w:bidi="ru-RU"/>
        </w:rPr>
        <w:softHyphen/>
        <w:t>личества советских истребителей. После</w:t>
      </w:r>
      <w:r w:rsidRPr="008127F8">
        <w:rPr>
          <w:rFonts w:ascii="Times New Roman" w:hAnsi="Times New Roman"/>
          <w:color w:val="000000" w:themeColor="text1"/>
          <w:sz w:val="16"/>
          <w:szCs w:val="16"/>
          <w:lang w:eastAsia="ru-RU" w:bidi="ru-RU"/>
        </w:rPr>
        <w:softHyphen/>
        <w:t>довало постановление ГКО о наращи</w:t>
      </w:r>
      <w:r w:rsidRPr="008127F8">
        <w:rPr>
          <w:rFonts w:ascii="Times New Roman" w:hAnsi="Times New Roman"/>
          <w:color w:val="000000" w:themeColor="text1"/>
          <w:sz w:val="16"/>
          <w:szCs w:val="16"/>
          <w:lang w:eastAsia="ru-RU" w:bidi="ru-RU"/>
        </w:rPr>
        <w:softHyphen/>
        <w:t>вании их производства. Но заводы, уже строившие такие самолеты ранее, были ограничены в возможностях увеличения выпуска. Тогда НКАП стал давать планы по производству истребителей предпри</w:t>
      </w:r>
      <w:r w:rsidRPr="008127F8">
        <w:rPr>
          <w:rFonts w:ascii="Times New Roman" w:hAnsi="Times New Roman"/>
          <w:color w:val="000000" w:themeColor="text1"/>
          <w:sz w:val="16"/>
          <w:szCs w:val="16"/>
          <w:lang w:eastAsia="ru-RU" w:bidi="ru-RU"/>
        </w:rPr>
        <w:softHyphen/>
        <w:t>ятиям, изготовлявшим самолеты другого назначения; при этом даже согласились частично пожертвовать штурмовиками Ил-2. По воспоминаниям наркома авиа</w:t>
      </w:r>
      <w:r w:rsidRPr="008127F8">
        <w:rPr>
          <w:rFonts w:ascii="Times New Roman" w:hAnsi="Times New Roman"/>
          <w:color w:val="000000" w:themeColor="text1"/>
          <w:sz w:val="16"/>
          <w:szCs w:val="16"/>
          <w:lang w:eastAsia="ru-RU" w:bidi="ru-RU"/>
        </w:rPr>
        <w:softHyphen/>
        <w:t>промышленности А.И. Шахурина, распо</w:t>
      </w:r>
      <w:r w:rsidRPr="008127F8">
        <w:rPr>
          <w:rFonts w:ascii="Times New Roman" w:hAnsi="Times New Roman"/>
          <w:color w:val="000000" w:themeColor="text1"/>
          <w:sz w:val="16"/>
          <w:szCs w:val="16"/>
          <w:lang w:eastAsia="ru-RU" w:bidi="ru-RU"/>
        </w:rPr>
        <w:softHyphen/>
        <w:t>ряжение снять с производства Ту-2 отдал лично И.В. Сталин.</w:t>
      </w:r>
    </w:p>
    <w:p w14:paraId="138FA9AF" w14:textId="77777777" w:rsidR="007C5583" w:rsidRPr="008127F8" w:rsidRDefault="007C5583" w:rsidP="007C5583">
      <w:pPr>
        <w:spacing w:after="0" w:line="240" w:lineRule="auto"/>
        <w:jc w:val="both"/>
        <w:rPr>
          <w:rFonts w:ascii="Times New Roman" w:hAnsi="Times New Roman"/>
          <w:color w:val="000000" w:themeColor="text1"/>
          <w:sz w:val="16"/>
          <w:szCs w:val="16"/>
          <w:lang w:eastAsia="ru-RU" w:bidi="ru-RU"/>
        </w:rPr>
      </w:pPr>
      <w:r w:rsidRPr="008127F8">
        <w:rPr>
          <w:rFonts w:ascii="Times New Roman" w:hAnsi="Times New Roman"/>
          <w:color w:val="000000" w:themeColor="text1"/>
          <w:sz w:val="16"/>
          <w:szCs w:val="16"/>
          <w:lang w:eastAsia="ru-RU" w:bidi="ru-RU"/>
        </w:rPr>
        <w:t>Многие авторы считают это реше</w:t>
      </w:r>
      <w:r w:rsidRPr="008127F8">
        <w:rPr>
          <w:rFonts w:ascii="Times New Roman" w:hAnsi="Times New Roman"/>
          <w:color w:val="000000" w:themeColor="text1"/>
          <w:sz w:val="16"/>
          <w:szCs w:val="16"/>
          <w:lang w:eastAsia="ru-RU" w:bidi="ru-RU"/>
        </w:rPr>
        <w:softHyphen/>
        <w:t>ние чуть ли не самодурством. Но за ним стояло много весьма серьезных доводов. Первые серии Ту-2 обходились крайне дорого. Поспешное освоение производ</w:t>
      </w:r>
      <w:r w:rsidRPr="008127F8">
        <w:rPr>
          <w:rFonts w:ascii="Times New Roman" w:hAnsi="Times New Roman"/>
          <w:color w:val="000000" w:themeColor="text1"/>
          <w:sz w:val="16"/>
          <w:szCs w:val="16"/>
          <w:lang w:eastAsia="ru-RU" w:bidi="ru-RU"/>
        </w:rPr>
        <w:softHyphen/>
        <w:t>ства сложной машины, рассчитанной на хорошо оснащенное предприятие, на не</w:t>
      </w:r>
      <w:r w:rsidRPr="008127F8">
        <w:rPr>
          <w:rFonts w:ascii="Times New Roman" w:hAnsi="Times New Roman"/>
          <w:color w:val="000000" w:themeColor="text1"/>
          <w:sz w:val="16"/>
          <w:szCs w:val="16"/>
          <w:lang w:eastAsia="ru-RU" w:bidi="ru-RU"/>
        </w:rPr>
        <w:softHyphen/>
        <w:t>достроенном заводе привело к колос</w:t>
      </w:r>
      <w:r w:rsidRPr="008127F8">
        <w:rPr>
          <w:rFonts w:ascii="Times New Roman" w:hAnsi="Times New Roman"/>
          <w:color w:val="000000" w:themeColor="text1"/>
          <w:sz w:val="16"/>
          <w:szCs w:val="16"/>
          <w:lang w:eastAsia="ru-RU" w:bidi="ru-RU"/>
        </w:rPr>
        <w:softHyphen/>
        <w:t>сальному росту себестоимости. Она в не</w:t>
      </w:r>
      <w:r w:rsidRPr="008127F8">
        <w:rPr>
          <w:rFonts w:ascii="Times New Roman" w:hAnsi="Times New Roman"/>
          <w:color w:val="000000" w:themeColor="text1"/>
          <w:sz w:val="16"/>
          <w:szCs w:val="16"/>
          <w:lang w:eastAsia="ru-RU" w:bidi="ru-RU"/>
        </w:rPr>
        <w:softHyphen/>
        <w:t>сколько раз превышала плановые цифры. Если считать чисто в деньгах, вместо од</w:t>
      </w:r>
      <w:r w:rsidRPr="008127F8">
        <w:rPr>
          <w:rFonts w:ascii="Times New Roman" w:hAnsi="Times New Roman"/>
          <w:color w:val="000000" w:themeColor="text1"/>
          <w:sz w:val="16"/>
          <w:szCs w:val="16"/>
          <w:lang w:eastAsia="ru-RU" w:bidi="ru-RU"/>
        </w:rPr>
        <w:softHyphen/>
        <w:t>ного такого бомбардировщика можно было изготовить целую эскадрилью про</w:t>
      </w:r>
      <w:r w:rsidRPr="008127F8">
        <w:rPr>
          <w:rFonts w:ascii="Times New Roman" w:hAnsi="Times New Roman"/>
          <w:color w:val="000000" w:themeColor="text1"/>
          <w:sz w:val="16"/>
          <w:szCs w:val="16"/>
          <w:lang w:eastAsia="ru-RU" w:bidi="ru-RU"/>
        </w:rPr>
        <w:softHyphen/>
        <w:t>стых и дешевых истребителей. Самолет к тому же страдал множеством еще не- устраненных дефектов. Да, он был пер</w:t>
      </w:r>
      <w:r w:rsidRPr="008127F8">
        <w:rPr>
          <w:rFonts w:ascii="Times New Roman" w:hAnsi="Times New Roman"/>
          <w:color w:val="000000" w:themeColor="text1"/>
          <w:sz w:val="16"/>
          <w:szCs w:val="16"/>
          <w:lang w:eastAsia="ru-RU" w:bidi="ru-RU"/>
        </w:rPr>
        <w:softHyphen/>
        <w:t>спективен, но это - когда-нибудь, а война подходила к своей критической фазе, и самолеты на фронте нужны были срочно. Да и делали Ту-2 немного - не больше дюжины в месяц (21061).</w:t>
      </w:r>
    </w:p>
    <w:p w14:paraId="096D48D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08FFE4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на заводе № 125 темп выпуска Пе-2 достиг 145 самолетов в месяц и его можно было еще увеличить. Но 5 августа 1942 г. из НКАП на завод пришел приказ № 589с о прекращении выпуска Пе-2 в Иркутске и переходе на строительство дальнего бомбардировщика Ил-4. Казалось бы, наоборот, надо развивать успех, строить новые самолеты для фронтовой авиации, ведь немцы рвутся к Волге!</w:t>
      </w:r>
    </w:p>
    <w:p w14:paraId="6F1BB18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логика в парадоксальном, на первый взгляд приказе, была. Во-первых, наращивание выпуска Пе-2 в Казани позволяло не только восполнять фронтовые потери, но и комплектовать новые полки. Там строили по семь "пешек" в сутки.</w:t>
      </w:r>
    </w:p>
    <w:p w14:paraId="147674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126 строил по 56 Ил-4 в месяц. Темп выпуска составлял 56 машин в месяц, и наркомат счел этого недостаточным.</w:t>
      </w:r>
    </w:p>
    <w:p w14:paraId="1F700C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Понятно, что приказ не грянул как гром среди ясного неба. Суточные и месячные графики выпуска Пе-2 ясно показывают, что к новой машине на заводе готовились заранее. Начиная с июля темп выпуска Пе-2 сократился. Последний пикировщик выкатили из сборочного цеха 22 августа. После этого наступила вынужденная пауза. Первые два Ил-4 должны были передать на заводскую ЛИС в третьей декаде октября, а ноябре построить уже 10 самолетов этого типа. Ил-4 был освоен и запущен в серию в течение рекордного срока - за четыре месяца. С технической стороны этот самолет ничего нового не представляла в сравнении с Пе-2, разве что габариты были больше (12037).</w:t>
      </w:r>
    </w:p>
    <w:p w14:paraId="288931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39B269"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июне 1942 г. серийный Пе-3бис завода №39 при испытании по</w:t>
      </w:r>
      <w:r w:rsidRPr="008127F8">
        <w:rPr>
          <w:rFonts w:ascii="Times New Roman" w:cs="Times New Roman"/>
          <w:color w:val="000000" w:themeColor="text1"/>
          <w:spacing w:val="0"/>
        </w:rPr>
        <w:softHyphen/>
        <w:t>казал максимальную скорость 527 км/ч на высоте 5080 м. Набор высоты 5000 м выполнялся за 9,7 мин. Дальность поле</w:t>
      </w:r>
      <w:r w:rsidRPr="008127F8">
        <w:rPr>
          <w:rFonts w:ascii="Times New Roman" w:cs="Times New Roman"/>
          <w:color w:val="000000" w:themeColor="text1"/>
          <w:spacing w:val="0"/>
        </w:rPr>
        <w:softHyphen/>
        <w:t>та на высоте 5220 м и скорости полета 405 км/ч не превышала 1500 км. Воору</w:t>
      </w:r>
      <w:r w:rsidRPr="008127F8">
        <w:rPr>
          <w:rFonts w:ascii="Times New Roman" w:cs="Times New Roman"/>
          <w:color w:val="000000" w:themeColor="text1"/>
          <w:spacing w:val="0"/>
        </w:rPr>
        <w:softHyphen/>
        <w:t>жение: вперед - два крупнокалиберных пулемета БК и пушка ШВАК, назад - один подвижный БТ на турели у штурма</w:t>
      </w:r>
      <w:r w:rsidRPr="008127F8">
        <w:rPr>
          <w:rFonts w:ascii="Times New Roman" w:cs="Times New Roman"/>
          <w:color w:val="000000" w:themeColor="text1"/>
          <w:spacing w:val="0"/>
        </w:rPr>
        <w:softHyphen/>
        <w:t>на. Бомбовая нагрузка в перегрузку со</w:t>
      </w:r>
      <w:r w:rsidRPr="008127F8">
        <w:rPr>
          <w:rFonts w:ascii="Times New Roman" w:cs="Times New Roman"/>
          <w:color w:val="000000" w:themeColor="text1"/>
          <w:spacing w:val="0"/>
        </w:rPr>
        <w:softHyphen/>
        <w:t>ставляла 600 кг (15755).</w:t>
      </w:r>
    </w:p>
    <w:p w14:paraId="6A7E2622"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p>
    <w:p w14:paraId="0489C4D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ракетное вооружение успешно прошло испытания на Як-7Б №22-03 Для этого выполнили 25 полетов общей продолжитель</w:t>
      </w:r>
      <w:r w:rsidRPr="008127F8">
        <w:rPr>
          <w:rFonts w:ascii="Times New Roman" w:hAnsi="Times New Roman"/>
          <w:color w:val="000000" w:themeColor="text1"/>
          <w:sz w:val="16"/>
          <w:szCs w:val="16"/>
        </w:rPr>
        <w:softHyphen/>
        <w:t>ностью 7 ч 57 мин. Однако, согласно постановлению ГКО от 10 мая 1942 г., Як-7Б поступали в войска уже без ракетного вооружения (11402).</w:t>
      </w:r>
    </w:p>
    <w:p w14:paraId="3451217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7D4592"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июне 1942 г. на заводе № 153 в Новосибирске облегчи</w:t>
      </w:r>
      <w:r w:rsidRPr="008127F8">
        <w:rPr>
          <w:rFonts w:ascii="Times New Roman" w:cs="Times New Roman"/>
          <w:color w:val="000000" w:themeColor="text1"/>
          <w:spacing w:val="0"/>
        </w:rPr>
        <w:softHyphen/>
        <w:t>ли истребитель Як-7Б, заменив деревянные лонжероны крыла металлическими и сняв один из двух синхронных пулемётов УБС. Новая машина с мотором М-105ПФ и винтом ВИШ-61П, получившая обозначение Як-7-ДИ (позже стали писать Як-7ДИ), имела увели</w:t>
      </w:r>
      <w:r w:rsidRPr="008127F8">
        <w:rPr>
          <w:rFonts w:ascii="Times New Roman" w:cs="Times New Roman"/>
          <w:color w:val="000000" w:themeColor="text1"/>
          <w:spacing w:val="0"/>
        </w:rPr>
        <w:softHyphen/>
        <w:t>ченный запас горючего в четырёх крыльевых баках, соединённых для равномерной выра</w:t>
      </w:r>
      <w:r w:rsidRPr="008127F8">
        <w:rPr>
          <w:rFonts w:ascii="Times New Roman" w:cs="Times New Roman"/>
          <w:color w:val="000000" w:themeColor="text1"/>
          <w:spacing w:val="0"/>
        </w:rPr>
        <w:softHyphen/>
        <w:t>ботки топлива с расходным бачком.</w:t>
      </w:r>
    </w:p>
    <w:p w14:paraId="0BE2B122"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Для заводских испытаний подготовили сра</w:t>
      </w:r>
      <w:r w:rsidRPr="008127F8">
        <w:rPr>
          <w:rFonts w:ascii="Times New Roman" w:cs="Times New Roman"/>
          <w:color w:val="000000" w:themeColor="text1"/>
          <w:spacing w:val="0"/>
        </w:rPr>
        <w:softHyphen/>
        <w:t>зу три отличавшихся друг от друга образца Як-7ДИ. Первый сохранил двухсторонний всасывающий патрубок и костыльное колесо размерами 300x125 мм от серийного Як-7. Второй имел односторонний всасывающий патрубок (слева), а третий сочетал такой же патрубок с хвостовым колесом размерами 255x110 мм, улучшенной герметизацией фю</w:t>
      </w:r>
      <w:r w:rsidRPr="008127F8">
        <w:rPr>
          <w:rFonts w:ascii="Times New Roman" w:cs="Times New Roman"/>
          <w:color w:val="000000" w:themeColor="text1"/>
          <w:spacing w:val="0"/>
        </w:rPr>
        <w:softHyphen/>
        <w:t>зеляжа, доработанными гондолами водяного и масляного радиаторов, увеличенными вы</w:t>
      </w:r>
      <w:r w:rsidRPr="008127F8">
        <w:rPr>
          <w:rFonts w:ascii="Times New Roman" w:cs="Times New Roman"/>
          <w:color w:val="000000" w:themeColor="text1"/>
          <w:spacing w:val="0"/>
        </w:rPr>
        <w:softHyphen/>
        <w:t>ходными отверстиями выхлопных патрубков и установленными на них рёбрами.</w:t>
      </w:r>
    </w:p>
    <w:p w14:paraId="12B21695"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Из них в ходе заводских испытаний вы</w:t>
      </w:r>
      <w:r w:rsidRPr="008127F8">
        <w:rPr>
          <w:rFonts w:ascii="Times New Roman" w:cs="Times New Roman"/>
          <w:color w:val="000000" w:themeColor="text1"/>
          <w:spacing w:val="0"/>
        </w:rPr>
        <w:softHyphen/>
        <w:t>брали третий вариант. При этом из крыла демонтировали два бензобака, сократив за</w:t>
      </w:r>
      <w:r w:rsidRPr="008127F8">
        <w:rPr>
          <w:rFonts w:ascii="Times New Roman" w:cs="Times New Roman"/>
          <w:color w:val="000000" w:themeColor="text1"/>
          <w:spacing w:val="0"/>
        </w:rPr>
        <w:softHyphen/>
        <w:t>пас горючего до 320 кг. Имелись и другие, с виду незначительные, но немаловажные в эксплуатации и бою отличия.</w:t>
      </w:r>
    </w:p>
    <w:p w14:paraId="55191291"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Во время испытаний, проведённых лётчи</w:t>
      </w:r>
      <w:r w:rsidRPr="008127F8">
        <w:rPr>
          <w:rFonts w:ascii="Times New Roman" w:cs="Times New Roman"/>
          <w:color w:val="000000" w:themeColor="text1"/>
          <w:spacing w:val="0"/>
        </w:rPr>
        <w:softHyphen/>
        <w:t>ком П.Я. Федрови в октябре 1942 г. (первый полёт состоялся 1 октября) под руководст</w:t>
      </w:r>
      <w:r w:rsidRPr="008127F8">
        <w:rPr>
          <w:rFonts w:ascii="Times New Roman" w:cs="Times New Roman"/>
          <w:color w:val="000000" w:themeColor="text1"/>
          <w:spacing w:val="0"/>
        </w:rPr>
        <w:softHyphen/>
        <w:t>вом ведущего инженера К.В. Синельщикова, выяснилось, что истребитель при нормаль</w:t>
      </w:r>
      <w:r w:rsidRPr="008127F8">
        <w:rPr>
          <w:rFonts w:ascii="Times New Roman" w:cs="Times New Roman"/>
          <w:color w:val="000000" w:themeColor="text1"/>
          <w:spacing w:val="0"/>
        </w:rPr>
        <w:softHyphen/>
        <w:t>ном полётном весе 2825 кг (вес пустого - 2348 кг) развивал скорость до 593 км/ч, на 23 км/ч больше, чем у Як-7Б.</w:t>
      </w:r>
    </w:p>
    <w:p w14:paraId="3DEA269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Истребитель Як-7ДИ успешно выдержал госиспытания и рекомендовался к серийно</w:t>
      </w:r>
      <w:r w:rsidRPr="008127F8">
        <w:rPr>
          <w:rFonts w:ascii="Times New Roman" w:hAnsi="Times New Roman"/>
          <w:color w:val="000000" w:themeColor="text1"/>
          <w:sz w:val="16"/>
          <w:szCs w:val="16"/>
        </w:rPr>
        <w:softHyphen/>
        <w:t>му производству при условии устранения выявленных дефектов. После его доводки затянувшейся почти на два месяца, по</w:t>
      </w:r>
      <w:r w:rsidRPr="008127F8">
        <w:rPr>
          <w:rFonts w:ascii="Times New Roman" w:hAnsi="Times New Roman"/>
          <w:color w:val="000000" w:themeColor="text1"/>
          <w:sz w:val="16"/>
          <w:szCs w:val="16"/>
        </w:rPr>
        <w:softHyphen/>
        <w:t>явился фактически новый самолёт - Як-9, запущенный в серию. Внешне он отличался от Як-7Б одноместной кабиной без гаргрота, щитки на основных опорах шасси сделали цельными. Как и на Як-7ДИ, на истребителе имелись мотор-пушка МП-20 (ШВАК) и син</w:t>
      </w:r>
      <w:r w:rsidRPr="008127F8">
        <w:rPr>
          <w:rFonts w:ascii="Times New Roman" w:hAnsi="Times New Roman"/>
          <w:color w:val="000000" w:themeColor="text1"/>
          <w:sz w:val="16"/>
          <w:szCs w:val="16"/>
        </w:rPr>
        <w:softHyphen/>
        <w:t>хронный пулемёт УБС с боезапасом 120 и 200 патронов соответственно, но отсутство</w:t>
      </w:r>
      <w:r w:rsidRPr="008127F8">
        <w:rPr>
          <w:rFonts w:ascii="Times New Roman" w:hAnsi="Times New Roman"/>
          <w:color w:val="000000" w:themeColor="text1"/>
          <w:sz w:val="16"/>
          <w:szCs w:val="16"/>
        </w:rPr>
        <w:softHyphen/>
        <w:t>вали крыльевые бомбодержатели. Самолёт укомплектовали радиостанцией РСИ-4 и кислородным прибором КПА-Збис (19103).</w:t>
      </w:r>
    </w:p>
    <w:p w14:paraId="5AD7F1A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3CFC3D5" w14:textId="77777777" w:rsidR="00E343CD" w:rsidRPr="008A2E5A" w:rsidRDefault="00E343CD" w:rsidP="00E343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С июня 1942 г. фибровые баки стали монтировать и на всех Як-7Б. Кроме бензобаков на заводе №153 из фибры стали изготовлять чашку сиденья пилота. Благодаря применению материала-замените</w:t>
      </w:r>
      <w:r w:rsidRPr="008A2E5A">
        <w:rPr>
          <w:rFonts w:ascii="Times New Roman" w:hAnsi="Times New Roman"/>
          <w:color w:val="0070C0"/>
          <w:sz w:val="16"/>
          <w:szCs w:val="16"/>
        </w:rPr>
        <w:softHyphen/>
        <w:t>ля алюминия на самолетах Як-7 удалось сохранить цель</w:t>
      </w:r>
      <w:r w:rsidRPr="008A2E5A">
        <w:rPr>
          <w:rFonts w:ascii="Times New Roman" w:hAnsi="Times New Roman"/>
          <w:color w:val="0070C0"/>
          <w:sz w:val="16"/>
          <w:szCs w:val="16"/>
        </w:rPr>
        <w:softHyphen/>
        <w:t>нометаллическое оперение. Фибру ФЛАК в СССР выпу</w:t>
      </w:r>
      <w:r w:rsidRPr="008A2E5A">
        <w:rPr>
          <w:rFonts w:ascii="Times New Roman" w:hAnsi="Times New Roman"/>
          <w:color w:val="0070C0"/>
          <w:sz w:val="16"/>
          <w:szCs w:val="16"/>
        </w:rPr>
        <w:softHyphen/>
        <w:t>скало единственное в стране предприятие - Кинешем</w:t>
      </w:r>
      <w:r w:rsidRPr="008A2E5A">
        <w:rPr>
          <w:rFonts w:ascii="Times New Roman" w:hAnsi="Times New Roman"/>
          <w:color w:val="0070C0"/>
          <w:sz w:val="16"/>
          <w:szCs w:val="16"/>
        </w:rPr>
        <w:softHyphen/>
        <w:t>ская (Заволжская) фибровая фабрика в г.Заволжск Ива</w:t>
      </w:r>
      <w:r w:rsidRPr="008A2E5A">
        <w:rPr>
          <w:rFonts w:ascii="Times New Roman" w:hAnsi="Times New Roman"/>
          <w:color w:val="0070C0"/>
          <w:sz w:val="16"/>
          <w:szCs w:val="16"/>
        </w:rPr>
        <w:softHyphen/>
        <w:t>новской области. По мере роста производства самоле</w:t>
      </w:r>
      <w:r w:rsidRPr="008A2E5A">
        <w:rPr>
          <w:rFonts w:ascii="Times New Roman" w:hAnsi="Times New Roman"/>
          <w:color w:val="0070C0"/>
          <w:sz w:val="16"/>
          <w:szCs w:val="16"/>
        </w:rPr>
        <w:softHyphen/>
        <w:t>тов и бензобаков к ним на завод № 153 ста</w:t>
      </w:r>
      <w:r w:rsidRPr="008A2E5A">
        <w:rPr>
          <w:rFonts w:ascii="Times New Roman" w:hAnsi="Times New Roman"/>
          <w:color w:val="0070C0"/>
          <w:sz w:val="16"/>
          <w:szCs w:val="16"/>
        </w:rPr>
        <w:softHyphen/>
        <w:t>ли осуществляться дополнительные по</w:t>
      </w:r>
      <w:r w:rsidRPr="008A2E5A">
        <w:rPr>
          <w:rFonts w:ascii="Times New Roman" w:hAnsi="Times New Roman"/>
          <w:color w:val="0070C0"/>
          <w:sz w:val="16"/>
          <w:szCs w:val="16"/>
        </w:rPr>
        <w:softHyphen/>
        <w:t>ставки фибры по ленд-лизу. Поступающий из-за рубежа материал производства не</w:t>
      </w:r>
      <w:r w:rsidRPr="008A2E5A">
        <w:rPr>
          <w:rFonts w:ascii="Times New Roman" w:hAnsi="Times New Roman"/>
          <w:color w:val="0070C0"/>
          <w:sz w:val="16"/>
          <w:szCs w:val="16"/>
        </w:rPr>
        <w:softHyphen/>
        <w:t>скольких фирм, в отличие от советского, имел различные свойства и, частично, из- за повышенной жесткости не мог исполь</w:t>
      </w:r>
      <w:r w:rsidRPr="008A2E5A">
        <w:rPr>
          <w:rFonts w:ascii="Times New Roman" w:hAnsi="Times New Roman"/>
          <w:color w:val="0070C0"/>
          <w:sz w:val="16"/>
          <w:szCs w:val="16"/>
        </w:rPr>
        <w:softHyphen/>
        <w:t>зоваться для прессования баков (23381).</w:t>
      </w:r>
    </w:p>
    <w:p w14:paraId="3498BDB6" w14:textId="77777777" w:rsidR="00E343CD" w:rsidRPr="008A2E5A" w:rsidRDefault="00E343CD" w:rsidP="00E343CD">
      <w:pPr>
        <w:spacing w:after="0" w:line="240" w:lineRule="auto"/>
        <w:jc w:val="both"/>
        <w:rPr>
          <w:rFonts w:ascii="Times New Roman" w:hAnsi="Times New Roman"/>
          <w:color w:val="0070C0"/>
          <w:sz w:val="16"/>
          <w:szCs w:val="16"/>
        </w:rPr>
      </w:pPr>
    </w:p>
    <w:p w14:paraId="62B2C835" w14:textId="77777777" w:rsidR="00E343CD" w:rsidRPr="008A2E5A" w:rsidRDefault="00E343CD" w:rsidP="00E343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1942 г. в ЦАГИ разработали вариант съемного воздушного фильтра для Як-1 и провели его испытания. Он был выполнен в виде приставного патрубка, устанавливаемого впереди воздухозаборника нагнетателя мотора. Боковая поверхность образовывалась четырьмя слоями стальной сетки (по типу автомобильной ЗИС-5). Площадь фильтрующей поверхности - 9.5 дм2. В передней части фильтра устанавливалась заслонка, управление которой было связано с системой выпуска-уборки шасси посредством тросовой проводки. При выпуске шасси заслонка закрывалась и удерживалась в закрытом положении натяжением троса, а при уборке - открывалась под действием возвратной пружины. В своем первом варианте фильтр крепился к капотам мотора и зализу крыла на винтах. Это не устраивало заказчика - ВВС, поскольку время на снятие и установку фильтра при осмотре мотора (снять капоты без демонтажа пылефильтра было невозможно) составляло 25-30 мин, что превышало в несколько раз время, допустимое по требованиям ВВС (не более 8 мин). Поэтому конструкцию крепления изменили. К капотам мотора фильтр стал крепиться рояльной петлей на шомполах, а к зализу крыла - на одном замке "дзус". Время снятия и установки снизилось до 5 мин. Летные испытания показали, что ухудшение аэродинамики самолета оказалось незначительным. Максимальные скорости горизонтального полета по высотам уменьшились всего на 2 - 3 км/ч.</w:t>
      </w:r>
    </w:p>
    <w:p w14:paraId="7FB771F7" w14:textId="77777777" w:rsidR="00E343CD" w:rsidRPr="008A2E5A" w:rsidRDefault="00E343CD" w:rsidP="00E343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Воздушный фильтр конструкции ЦАГИ в новом виде был принят и внедрен в серийное производство одновременно с Як-1б. При его эксплуатации в частях выяснилось, что вследствие растяжения тросов управления заслонкой он требует постоянной регулировки. Более того, для его снятия (с целью промывки) требовалось разъединить тягу управления заслонкой. Поэтому при монтаже фильтра нужно было производить регулировку управления. Эту операцию можно было выполнить только после установки самолета на козелки, а фильтры требовали ежедневной промывки. Поэтому работа над фильтрами была продолжена в 1943 г. Число участников расширили, включив ее в перечень тем для изобретателей в частях и мастерских ВВС (23451).</w:t>
      </w:r>
    </w:p>
    <w:p w14:paraId="3B9C1355" w14:textId="77777777" w:rsidR="00E343CD" w:rsidRPr="008A2E5A" w:rsidRDefault="00E343CD" w:rsidP="00E343CD">
      <w:pPr>
        <w:spacing w:after="0" w:line="240" w:lineRule="auto"/>
        <w:jc w:val="both"/>
        <w:rPr>
          <w:rFonts w:ascii="Times New Roman" w:hAnsi="Times New Roman"/>
          <w:color w:val="0070C0"/>
          <w:sz w:val="16"/>
          <w:szCs w:val="16"/>
        </w:rPr>
      </w:pPr>
    </w:p>
    <w:p w14:paraId="6D9E6E6E" w14:textId="77777777" w:rsidR="00E343CD" w:rsidRPr="008A2E5A" w:rsidRDefault="00E343CD" w:rsidP="00E343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1942 провели наземные и летные испытания модернизированной монтажной схемы электрооборудования инженеров ЛИИ НКАП И.К. Маломота, Сухова и старшего техника Л.Н. Аваева, в экспериментальном порядке смонтированной на Як-7Б №2215398. Результатом работы стали улучшение технологии монтажа и эксплу</w:t>
      </w:r>
      <w:r w:rsidRPr="008A2E5A">
        <w:rPr>
          <w:rFonts w:ascii="Times New Roman" w:hAnsi="Times New Roman"/>
          <w:color w:val="0070C0"/>
          <w:sz w:val="16"/>
          <w:szCs w:val="16"/>
        </w:rPr>
        <w:softHyphen/>
        <w:t>атации электрооборудования, экономия дефицитного провода (80 метров из 230) как за счет упрощения схемы, так и за счет пересмотра его сечений, создание универ</w:t>
      </w:r>
      <w:r w:rsidRPr="008A2E5A">
        <w:rPr>
          <w:rFonts w:ascii="Times New Roman" w:hAnsi="Times New Roman"/>
          <w:color w:val="0070C0"/>
          <w:sz w:val="16"/>
          <w:szCs w:val="16"/>
        </w:rPr>
        <w:softHyphen/>
        <w:t>сальной схемы для Як-7Б, допускающей монтаж электро</w:t>
      </w:r>
      <w:r w:rsidRPr="008A2E5A">
        <w:rPr>
          <w:rFonts w:ascii="Times New Roman" w:hAnsi="Times New Roman"/>
          <w:color w:val="0070C0"/>
          <w:sz w:val="16"/>
          <w:szCs w:val="16"/>
        </w:rPr>
        <w:softHyphen/>
        <w:t>сети как экранированной, так и не экранированной. В но</w:t>
      </w:r>
      <w:r w:rsidRPr="008A2E5A">
        <w:rPr>
          <w:rFonts w:ascii="Times New Roman" w:hAnsi="Times New Roman"/>
          <w:color w:val="0070C0"/>
          <w:sz w:val="16"/>
          <w:szCs w:val="16"/>
        </w:rPr>
        <w:softHyphen/>
        <w:t>ябре 1942 г. однопроводной электросетью (экранирован</w:t>
      </w:r>
      <w:r w:rsidRPr="008A2E5A">
        <w:rPr>
          <w:rFonts w:ascii="Times New Roman" w:hAnsi="Times New Roman"/>
          <w:color w:val="0070C0"/>
          <w:sz w:val="16"/>
          <w:szCs w:val="16"/>
        </w:rPr>
        <w:softHyphen/>
        <w:t>ной и не экранированной) оборудовали два Як-7Б. Испы</w:t>
      </w:r>
      <w:r w:rsidRPr="008A2E5A">
        <w:rPr>
          <w:rFonts w:ascii="Times New Roman" w:hAnsi="Times New Roman"/>
          <w:color w:val="0070C0"/>
          <w:sz w:val="16"/>
          <w:szCs w:val="16"/>
        </w:rPr>
        <w:softHyphen/>
        <w:t>тания этих самолетов показали, что на дальность ради</w:t>
      </w:r>
      <w:r w:rsidRPr="008A2E5A">
        <w:rPr>
          <w:rFonts w:ascii="Times New Roman" w:hAnsi="Times New Roman"/>
          <w:color w:val="0070C0"/>
          <w:sz w:val="16"/>
          <w:szCs w:val="16"/>
        </w:rPr>
        <w:softHyphen/>
        <w:t>освязи внесенные изменения не влияют. В декабре выпу</w:t>
      </w:r>
      <w:r w:rsidRPr="008A2E5A">
        <w:rPr>
          <w:rFonts w:ascii="Times New Roman" w:hAnsi="Times New Roman"/>
          <w:color w:val="0070C0"/>
          <w:sz w:val="16"/>
          <w:szCs w:val="16"/>
        </w:rPr>
        <w:softHyphen/>
        <w:t>стили войсковую серию из 25 машин для проверки в экс</w:t>
      </w:r>
      <w:r w:rsidRPr="008A2E5A">
        <w:rPr>
          <w:rFonts w:ascii="Times New Roman" w:hAnsi="Times New Roman"/>
          <w:color w:val="0070C0"/>
          <w:sz w:val="16"/>
          <w:szCs w:val="16"/>
        </w:rPr>
        <w:softHyphen/>
        <w:t>плуатации, а с февраля 1943 г. ее внедрили в производ</w:t>
      </w:r>
      <w:r w:rsidRPr="008A2E5A">
        <w:rPr>
          <w:rFonts w:ascii="Times New Roman" w:hAnsi="Times New Roman"/>
          <w:color w:val="0070C0"/>
          <w:sz w:val="16"/>
          <w:szCs w:val="16"/>
        </w:rPr>
        <w:softHyphen/>
        <w:t>ство на заводе №153 для всех машин Як-7Б с 41-й серии и Як-7В с 7-й серии (23381).</w:t>
      </w:r>
    </w:p>
    <w:p w14:paraId="71FF67E5" w14:textId="77777777" w:rsidR="00E343CD" w:rsidRPr="008A2E5A" w:rsidRDefault="00E343CD" w:rsidP="00E343CD">
      <w:pPr>
        <w:spacing w:after="0" w:line="240" w:lineRule="auto"/>
        <w:jc w:val="both"/>
        <w:rPr>
          <w:rFonts w:ascii="Times New Roman" w:hAnsi="Times New Roman"/>
          <w:color w:val="0070C0"/>
          <w:sz w:val="16"/>
          <w:szCs w:val="16"/>
        </w:rPr>
      </w:pPr>
    </w:p>
    <w:p w14:paraId="6E41B8CB" w14:textId="77777777" w:rsidR="00E343CD" w:rsidRPr="008A2E5A" w:rsidRDefault="00E343CD" w:rsidP="00E343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1942 г. в отчете Московского филиала ЛИИ НКАП за май 1942 г. упоминается о самостоятельном выполнении доработ</w:t>
      </w:r>
      <w:r w:rsidRPr="008A2E5A">
        <w:rPr>
          <w:rFonts w:ascii="Times New Roman" w:hAnsi="Times New Roman"/>
          <w:color w:val="0070C0"/>
          <w:sz w:val="16"/>
          <w:szCs w:val="16"/>
        </w:rPr>
        <w:softHyphen/>
        <w:t>ки гондолы водорадиатора (расширение входа, увеличе</w:t>
      </w:r>
      <w:r w:rsidRPr="008A2E5A">
        <w:rPr>
          <w:rFonts w:ascii="Times New Roman" w:hAnsi="Times New Roman"/>
          <w:color w:val="0070C0"/>
          <w:sz w:val="16"/>
          <w:szCs w:val="16"/>
        </w:rPr>
        <w:softHyphen/>
        <w:t>ние отклонения заслонки) в 288-м иап. Истребительно</w:t>
      </w:r>
      <w:r w:rsidRPr="008A2E5A">
        <w:rPr>
          <w:rFonts w:ascii="Times New Roman" w:hAnsi="Times New Roman"/>
          <w:color w:val="0070C0"/>
          <w:sz w:val="16"/>
          <w:szCs w:val="16"/>
        </w:rPr>
        <w:softHyphen/>
        <w:t>го авиаполка с таким номером не существовало ни в ВВС КА, ни в ВВС ПВО, поэтому определить характер внесен</w:t>
      </w:r>
      <w:r w:rsidRPr="008A2E5A">
        <w:rPr>
          <w:rFonts w:ascii="Times New Roman" w:hAnsi="Times New Roman"/>
          <w:color w:val="0070C0"/>
          <w:sz w:val="16"/>
          <w:szCs w:val="16"/>
        </w:rPr>
        <w:softHyphen/>
        <w:t>ных в конструкцию авиаполком Як-7 изменений и полу</w:t>
      </w:r>
      <w:r w:rsidRPr="008A2E5A">
        <w:rPr>
          <w:rFonts w:ascii="Times New Roman" w:hAnsi="Times New Roman"/>
          <w:color w:val="0070C0"/>
          <w:sz w:val="16"/>
          <w:szCs w:val="16"/>
        </w:rPr>
        <w:softHyphen/>
        <w:t>ченный результат от модификации не представилось возможным (23381).</w:t>
      </w:r>
    </w:p>
    <w:p w14:paraId="6A5B46A5" w14:textId="77777777" w:rsidR="00E343CD" w:rsidRPr="008A2E5A" w:rsidRDefault="00E343CD" w:rsidP="00E343CD">
      <w:pPr>
        <w:spacing w:after="0" w:line="240" w:lineRule="auto"/>
        <w:jc w:val="both"/>
        <w:rPr>
          <w:rFonts w:ascii="Times New Roman" w:hAnsi="Times New Roman"/>
          <w:color w:val="0070C0"/>
          <w:sz w:val="16"/>
          <w:szCs w:val="16"/>
        </w:rPr>
      </w:pPr>
    </w:p>
    <w:p w14:paraId="295EA2B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месяце 1942 на заводе № 115 подвергся восстановительному ремонту и переделкам Як-1 № 3560. Как и на предыдущем образце, на нем был срезан гаргрот и установлен новый каплевидный фонарь с зеркалом обзора ЗПС. Но козырек фонаря был выполнен с прямыми стеклами. У самолета № 1047 он был беспереплетным. Даже на опытном заводе не удалось избежать волнистости плексигласа, которая искажала видимость. В условиях серийного производства бесперсплетный козырек был бы еще худшего качества, и от него пришлось временно отказаться (впоследствии такой козырек установили на Як-3). На машине № 3560 были установлены переднее и заднее бронестекла (на самолете № 1047 стоял только макет заднего). Кроме бронестекол и бронеспинки (со срезанным верхом) летчик был защищен броненадголовником, установленным на неподвижной части фонаря, и бронеподлокотником для левой руки.</w:t>
      </w:r>
    </w:p>
    <w:p w14:paraId="2E94CA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Вооружение тоже было изменено, но качественно. Вместо двух пулеметов (по отношению к серийным машинам, так как Як-1 № 3560 ранее подвергся мероприятиям по облегчению, и пулеметы ШКАС на нем не стояли) винтовочного калибра, которые уже не удовлетворяли современным требованиям, - противник тоже усиливал защиту и бронирование своих самолетов, - поставили один синхронный крупнокалиберный пулемет УБС. Боекомплект к пулемету УБС состоял из 200 патронов. Изменилось и управление огнем. Механический и пневмомеханический спуски пушки и пулеметов были заменены электрическим и пневмоэлектри- ческим соответственно, приводимые в действие от спусковой кнопки и спускового крючка на ручке управления. Новая ручка, сделанная по типу Bf. 109 позволяла вести огонь только правой рукой, оставляя левую свободной для управления режимами работы мотора при маневрировании. Все эти изменения были внесены в ра'счете на запущенный в серийное производство мотор М-Ю5ПФ. </w:t>
      </w:r>
    </w:p>
    <w:p w14:paraId="1D1930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Тактические качества Як-1 возросли настолько, что А.С. Яковлев 1 июля 1942 г. обратился к наркому авиационной промышленности с просьбой о выпуске войсковой серии в 20 самолетов с аналогичными изменениями и отправки их на фронт для проверки в боевых условиях.</w:t>
      </w:r>
    </w:p>
    <w:p w14:paraId="6A5F5F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Преимущества были столь очевидны, что войсковую серию строить не стали. Постановлением ГКО от 11 августа 1942 г. было дано распоряжение директору завода № 292 о внедрении в серию изменений, опробованных на Як-1 № 3560. Кроме того, постановлением предусматривалась установка на модифицированных "яках" маслорадиатора по типу Як-?, винта ВИШ-105, всасывающего патрубка нагнетателя с пылефильтром конструкции ЦАГИ и убирающейся хвостовой опоры. Сроки устанавливались следующие: первые 10 машин изготовить в сентябре, 100 машин - в октябре, а с ноября выпускать только новые Як-1 (позже приказом наркома авиационной промышленности от 2 октября 1942 г. полный переход на выпуск "яков" с улучшенным обзором предписыва- &gt; лось начать с 10 октября).</w:t>
      </w:r>
    </w:p>
    <w:p w14:paraId="67D053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заданием завод справился. Оговоренное постановлением количество Як-16 в заданные сроки вышло из заводских цехов. Наименование новой модификации поче- му-то не прижилось, хотя и употреблялось повсеместно. Наименование Як-1 СБ, упомянутое в заголовке, появилось в результате ошибки военпреда УВВС ВМФ, который к секретному названию "Як-1" добавил открытое наименование машины "С-Б", употребляемое на заводе. Все нововведения внедрялись в производство постепенно, чтобы не снизить количества выпускаемых самолетов. Так, убирающуюся хвостовую опору начали ставить на Як-1 с 87-й серии, с 89-й серии появился маслоотражаюший щиток, уменьшавший забрызгивание фонаря кабины маслом, новые фонарь и вооружение впервые появились на машине № 1094 серии. Поскольку испытания мер, предложенных ЦАГИ для совершенствования аэродинамики, были закончены лишь к 11 сентября, то их внедрение в серию тоже задержалось. Оно началось с 15 ноября 1942 г. и проводилось тоже постепенно. Полностью процесс завершился примерно к 110-й серии.</w:t>
      </w:r>
    </w:p>
    <w:p w14:paraId="3E2C5D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были проведены мероприятия по частичному облегчению конструкции серийных самолетов. По постановлению ГКО от 22 сентября 1942 г. с Як-1 сняли: фару с предохранителем и выключателем сети, световую сигнализацию выпущенного положения хвостовой опоры, экранирование электросети после разъемных коробок, проводку обогрева часов, штепсельную розетку хвостового аэронавигационного огня (АНО), автомат давления, манометр вооружения, устройство пневмоперезарядки МП-20, радиополукомпас РПК-10, вариометр, трос-дублер ножного управления. Этим же постановлением предписывалось устанавливать на самолетах ночное свето- оборудование, фару, вариометр и РПК-10 только по особому заказу для самолетов ПВО. Улучшению тактических свойств самолета способствовала установка с 20 августа 1942 г. на всех Як-1 радиоприемника PC И-4, а на каждом пятом (с 1 октября на каждом четном) радиопередатчика РСИ -3.</w:t>
      </w:r>
    </w:p>
    <w:p w14:paraId="471C47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Модифицированный "Як" уверенно лидировал на сравнительных контрольных испытаниях, проведенных в Саратове бригадой Л И И Н КАП совместно с летно-испыта- тельной группой завода № 292. Из характеристик, представленных в табл., видно, почему не получила поддержки идея облегченного Як-1. Як-16 с улучшенной аэродинамикой и штатным вооружением уступал облегченному варианту только в вертикальном маневре и во всех отношениях был лучше серийного Як-1.</w:t>
      </w:r>
    </w:p>
    <w:p w14:paraId="22F3DE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Сравнительные характеристики Як-1 (№ 2898), Як-16 (№ 1699) и облегченного Як-1 (№ 4596)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7C5583" w:rsidRPr="008127F8" w14:paraId="18F6552D" w14:textId="77777777" w:rsidTr="004C5D62">
        <w:tc>
          <w:tcPr>
            <w:tcW w:w="2802" w:type="dxa"/>
            <w:tcBorders>
              <w:top w:val="single" w:sz="12" w:space="0" w:color="auto"/>
            </w:tcBorders>
          </w:tcPr>
          <w:p w14:paraId="00AAA7A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данные</w:t>
            </w:r>
          </w:p>
        </w:tc>
        <w:tc>
          <w:tcPr>
            <w:tcW w:w="2802" w:type="dxa"/>
            <w:tcBorders>
              <w:top w:val="single" w:sz="12" w:space="0" w:color="auto"/>
            </w:tcBorders>
          </w:tcPr>
          <w:p w14:paraId="2DEE16B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2898</w:t>
            </w:r>
          </w:p>
        </w:tc>
        <w:tc>
          <w:tcPr>
            <w:tcW w:w="2802" w:type="dxa"/>
            <w:tcBorders>
              <w:top w:val="single" w:sz="12" w:space="0" w:color="auto"/>
            </w:tcBorders>
          </w:tcPr>
          <w:p w14:paraId="21E9758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серийный номер машины 4596</w:t>
            </w:r>
          </w:p>
        </w:tc>
        <w:tc>
          <w:tcPr>
            <w:tcW w:w="2802" w:type="dxa"/>
            <w:tcBorders>
              <w:top w:val="single" w:sz="12" w:space="0" w:color="auto"/>
            </w:tcBorders>
          </w:tcPr>
          <w:p w14:paraId="144E3FE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1699</w:t>
            </w:r>
          </w:p>
        </w:tc>
      </w:tr>
      <w:tr w:rsidR="007C5583" w:rsidRPr="008127F8" w14:paraId="7B512F18" w14:textId="77777777" w:rsidTr="004C5D62">
        <w:tc>
          <w:tcPr>
            <w:tcW w:w="2802" w:type="dxa"/>
          </w:tcPr>
          <w:p w14:paraId="3D2E6FC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Полетный вес, кг</w:t>
            </w:r>
          </w:p>
        </w:tc>
        <w:tc>
          <w:tcPr>
            <w:tcW w:w="2802" w:type="dxa"/>
          </w:tcPr>
          <w:p w14:paraId="3983385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2940</w:t>
            </w:r>
          </w:p>
        </w:tc>
        <w:tc>
          <w:tcPr>
            <w:tcW w:w="2802" w:type="dxa"/>
          </w:tcPr>
          <w:p w14:paraId="7A153A5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2780</w:t>
            </w:r>
          </w:p>
        </w:tc>
        <w:tc>
          <w:tcPr>
            <w:tcW w:w="2802" w:type="dxa"/>
          </w:tcPr>
          <w:p w14:paraId="1B6B380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2920</w:t>
            </w:r>
          </w:p>
        </w:tc>
      </w:tr>
      <w:tr w:rsidR="007C5583" w:rsidRPr="008127F8" w14:paraId="3D60671D" w14:textId="77777777" w:rsidTr="004C5D62">
        <w:tc>
          <w:tcPr>
            <w:tcW w:w="2802" w:type="dxa"/>
          </w:tcPr>
          <w:p w14:paraId="7488A1A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км/ч у земли</w:t>
            </w:r>
          </w:p>
        </w:tc>
        <w:tc>
          <w:tcPr>
            <w:tcW w:w="2802" w:type="dxa"/>
          </w:tcPr>
          <w:p w14:paraId="38AE80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516</w:t>
            </w:r>
          </w:p>
        </w:tc>
        <w:tc>
          <w:tcPr>
            <w:tcW w:w="2802" w:type="dxa"/>
          </w:tcPr>
          <w:p w14:paraId="197BD9F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526</w:t>
            </w:r>
          </w:p>
        </w:tc>
        <w:tc>
          <w:tcPr>
            <w:tcW w:w="2802" w:type="dxa"/>
          </w:tcPr>
          <w:p w14:paraId="3F65BF1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524</w:t>
            </w:r>
          </w:p>
        </w:tc>
      </w:tr>
      <w:tr w:rsidR="007C5583" w:rsidRPr="008127F8" w14:paraId="663B725F" w14:textId="77777777" w:rsidTr="004C5D62">
        <w:tc>
          <w:tcPr>
            <w:tcW w:w="2802" w:type="dxa"/>
          </w:tcPr>
          <w:p w14:paraId="36609F4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высоте второй границы высотности при оборотах мотора М-105ПФ 2550 об/мин</w:t>
            </w:r>
          </w:p>
        </w:tc>
        <w:tc>
          <w:tcPr>
            <w:tcW w:w="2802" w:type="dxa"/>
          </w:tcPr>
          <w:p w14:paraId="33CA1A5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566</w:t>
            </w:r>
          </w:p>
        </w:tc>
        <w:tc>
          <w:tcPr>
            <w:tcW w:w="2802" w:type="dxa"/>
          </w:tcPr>
          <w:p w14:paraId="6B60548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586</w:t>
            </w:r>
          </w:p>
        </w:tc>
        <w:tc>
          <w:tcPr>
            <w:tcW w:w="2802" w:type="dxa"/>
          </w:tcPr>
          <w:p w14:paraId="6997238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584</w:t>
            </w:r>
          </w:p>
        </w:tc>
      </w:tr>
      <w:tr w:rsidR="007C5583" w:rsidRPr="008127F8" w14:paraId="0CB96759" w14:textId="77777777" w:rsidTr="004C5D62">
        <w:tc>
          <w:tcPr>
            <w:tcW w:w="2802" w:type="dxa"/>
          </w:tcPr>
          <w:p w14:paraId="119F8F6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высоте второй границы высотности при оборотах мотора М-105ПФ 2700 об/мин</w:t>
            </w:r>
          </w:p>
        </w:tc>
        <w:tc>
          <w:tcPr>
            <w:tcW w:w="2802" w:type="dxa"/>
          </w:tcPr>
          <w:p w14:paraId="314D946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569</w:t>
            </w:r>
          </w:p>
        </w:tc>
        <w:tc>
          <w:tcPr>
            <w:tcW w:w="2802" w:type="dxa"/>
          </w:tcPr>
          <w:p w14:paraId="0841E99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592</w:t>
            </w:r>
          </w:p>
        </w:tc>
        <w:tc>
          <w:tcPr>
            <w:tcW w:w="2802" w:type="dxa"/>
          </w:tcPr>
          <w:p w14:paraId="63AA061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626FC2D" w14:textId="77777777" w:rsidTr="004C5D62">
        <w:tc>
          <w:tcPr>
            <w:tcW w:w="2802" w:type="dxa"/>
            <w:tcBorders>
              <w:bottom w:val="single" w:sz="12" w:space="0" w:color="auto"/>
            </w:tcBorders>
          </w:tcPr>
          <w:p w14:paraId="3FBE688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Время набора высоты 5000 м, мин</w:t>
            </w:r>
          </w:p>
        </w:tc>
        <w:tc>
          <w:tcPr>
            <w:tcW w:w="2802" w:type="dxa"/>
            <w:tcBorders>
              <w:bottom w:val="single" w:sz="12" w:space="0" w:color="auto"/>
            </w:tcBorders>
          </w:tcPr>
          <w:p w14:paraId="06BC901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w:t>
            </w:r>
          </w:p>
        </w:tc>
        <w:tc>
          <w:tcPr>
            <w:tcW w:w="2802" w:type="dxa"/>
            <w:tcBorders>
              <w:bottom w:val="single" w:sz="12" w:space="0" w:color="auto"/>
            </w:tcBorders>
          </w:tcPr>
          <w:p w14:paraId="0AF0405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4,7</w:t>
            </w:r>
          </w:p>
        </w:tc>
        <w:tc>
          <w:tcPr>
            <w:tcW w:w="2802" w:type="dxa"/>
            <w:tcBorders>
              <w:bottom w:val="single" w:sz="12" w:space="0" w:color="auto"/>
            </w:tcBorders>
          </w:tcPr>
          <w:p w14:paraId="3DE0DA6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w:t>
            </w:r>
          </w:p>
        </w:tc>
      </w:tr>
    </w:tbl>
    <w:p w14:paraId="50A53FF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Войсковые испытания самолетов Я к-16 проводились в 32-м гиап 210-й иад 3 ВА Калининского фронта и в 176-м иап 283-й иад 16-й В А Сталинградского фронта с 10 декабря 1942 г. по 28 января 1943 г. На испытаниях произвели 669 боевых вылетов на 58 самолетах с налетом 617 часов. Провели 38 воздушных боев, в результате </w:t>
      </w:r>
      <w:r w:rsidRPr="008127F8">
        <w:rPr>
          <w:rFonts w:ascii="Times New Roman" w:hAnsi="Times New Roman"/>
          <w:color w:val="000000" w:themeColor="text1"/>
          <w:sz w:val="16"/>
          <w:szCs w:val="16"/>
        </w:rPr>
        <w:lastRenderedPageBreak/>
        <w:t>которых сбили 25 самолетов противника. Свои потери составили шесть самолетов Я к-16. По общему мнению летного состава кабина с улучшенным обзором задней полусферы повысила боевые качества самолета. Ее рекомендовали для установки на всех самолетах истребительного типа.</w:t>
      </w:r>
    </w:p>
    <w:p w14:paraId="6E9487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Эта модификация Як-1 выпускалась вплоть до перехода завода № 292 на изготовление еще более глубокой модификации самолета - Як-3 (12048).</w:t>
      </w:r>
    </w:p>
    <w:p w14:paraId="53169BB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617F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июня 1942 г. в Горьком Ла-5 собирали параллельно с ЛаГГ-3, а затем он полностью вытеснил последний. Истребитель постепенно совершенствовался. В частности, вскоре внедрили моторы М-82Ф, а с апреля 1943 г. в производстве находились Ла-5ФН. На них монтировали двигатели М-82ФН с непосредственным впрыском топлива, развивавшие 1850 л.с. Серийные машины этой модификации имели максимальную скорость около 610 км/ч. Однако в планёре Ла-5ФН металл по-прежнему использовали минимально. Переход с деревянной конструкции на металлическую позволил бы существенно облегчить машину и при том же двигателе улучшить её лётные данные. Но алюминия и легированных сталей в стране не хватало. Как только представилась возможность, Лавочкин стал внедрять в конструкцию металлические элементы. Начали с лонжеронов крыла (11986).</w:t>
      </w:r>
    </w:p>
    <w:p w14:paraId="286CA7E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732E4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первые 10 МиГ-3, выпущенные опытным заводом № 155, были приняты военпредами К этому времени еще 12 истребителей МиГов сдал завод № 1, причем первые три из них построили в Куйбышеве в феврале в 1942 г. Видимо, острый кризис с выпуском Ил-2 уже миновал. Любопытно, что в начале этого трудного года МиГи отправили в Тбилисскую школу летчиков и на Дальний Восток (в частности, для ПВО Тихоокеанского флота). Всего завод № 1 собрал за 1942 г. 22 МиГа, два из которых являлись восстановленными истребителями из числа ранее списанных.</w:t>
      </w:r>
    </w:p>
    <w:p w14:paraId="3CC2307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Помесячный выпуск серийных истребителей МиГ-1 и МиГ-3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34"/>
        <w:gridCol w:w="934"/>
        <w:gridCol w:w="934"/>
        <w:gridCol w:w="934"/>
        <w:gridCol w:w="934"/>
        <w:gridCol w:w="934"/>
        <w:gridCol w:w="934"/>
        <w:gridCol w:w="934"/>
        <w:gridCol w:w="934"/>
        <w:gridCol w:w="934"/>
        <w:gridCol w:w="934"/>
        <w:gridCol w:w="934"/>
      </w:tblGrid>
      <w:tr w:rsidR="007C5583" w:rsidRPr="008127F8" w14:paraId="7DF2D747" w14:textId="77777777" w:rsidTr="004C5D62">
        <w:tc>
          <w:tcPr>
            <w:tcW w:w="934" w:type="dxa"/>
            <w:tcBorders>
              <w:top w:val="single" w:sz="12" w:space="0" w:color="auto"/>
            </w:tcBorders>
          </w:tcPr>
          <w:p w14:paraId="00C9BED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Месяц Январь</w:t>
            </w:r>
          </w:p>
        </w:tc>
        <w:tc>
          <w:tcPr>
            <w:tcW w:w="934" w:type="dxa"/>
            <w:tcBorders>
              <w:top w:val="single" w:sz="12" w:space="0" w:color="auto"/>
            </w:tcBorders>
          </w:tcPr>
          <w:p w14:paraId="56ABED4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Февраль Март</w:t>
            </w:r>
          </w:p>
        </w:tc>
        <w:tc>
          <w:tcPr>
            <w:tcW w:w="934" w:type="dxa"/>
            <w:tcBorders>
              <w:top w:val="single" w:sz="12" w:space="0" w:color="auto"/>
            </w:tcBorders>
          </w:tcPr>
          <w:p w14:paraId="1CBA206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Апрель</w:t>
            </w:r>
          </w:p>
        </w:tc>
        <w:tc>
          <w:tcPr>
            <w:tcW w:w="934" w:type="dxa"/>
            <w:tcBorders>
              <w:top w:val="single" w:sz="12" w:space="0" w:color="auto"/>
            </w:tcBorders>
          </w:tcPr>
          <w:p w14:paraId="2B79AE1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Май</w:t>
            </w:r>
          </w:p>
        </w:tc>
        <w:tc>
          <w:tcPr>
            <w:tcW w:w="934" w:type="dxa"/>
            <w:tcBorders>
              <w:top w:val="single" w:sz="12" w:space="0" w:color="auto"/>
            </w:tcBorders>
          </w:tcPr>
          <w:p w14:paraId="761780D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Июнь</w:t>
            </w:r>
          </w:p>
        </w:tc>
        <w:tc>
          <w:tcPr>
            <w:tcW w:w="934" w:type="dxa"/>
            <w:tcBorders>
              <w:top w:val="single" w:sz="12" w:space="0" w:color="auto"/>
            </w:tcBorders>
          </w:tcPr>
          <w:p w14:paraId="7EB5A61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Июль</w:t>
            </w:r>
          </w:p>
        </w:tc>
        <w:tc>
          <w:tcPr>
            <w:tcW w:w="934" w:type="dxa"/>
            <w:tcBorders>
              <w:top w:val="single" w:sz="12" w:space="0" w:color="auto"/>
            </w:tcBorders>
          </w:tcPr>
          <w:p w14:paraId="19B0D9C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Август</w:t>
            </w:r>
          </w:p>
        </w:tc>
        <w:tc>
          <w:tcPr>
            <w:tcW w:w="934" w:type="dxa"/>
            <w:tcBorders>
              <w:top w:val="single" w:sz="12" w:space="0" w:color="auto"/>
            </w:tcBorders>
          </w:tcPr>
          <w:p w14:paraId="309F8E0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Сентябрь Октябрь</w:t>
            </w:r>
          </w:p>
        </w:tc>
        <w:tc>
          <w:tcPr>
            <w:tcW w:w="934" w:type="dxa"/>
            <w:tcBorders>
              <w:top w:val="single" w:sz="12" w:space="0" w:color="auto"/>
            </w:tcBorders>
          </w:tcPr>
          <w:p w14:paraId="741830C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Ноябрь</w:t>
            </w:r>
          </w:p>
        </w:tc>
        <w:tc>
          <w:tcPr>
            <w:tcW w:w="934" w:type="dxa"/>
            <w:tcBorders>
              <w:top w:val="single" w:sz="12" w:space="0" w:color="auto"/>
            </w:tcBorders>
          </w:tcPr>
          <w:p w14:paraId="5F142FC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Декабрь</w:t>
            </w:r>
          </w:p>
        </w:tc>
        <w:tc>
          <w:tcPr>
            <w:tcW w:w="934" w:type="dxa"/>
            <w:tcBorders>
              <w:top w:val="single" w:sz="12" w:space="0" w:color="auto"/>
            </w:tcBorders>
          </w:tcPr>
          <w:p w14:paraId="2479343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w:t>
            </w:r>
          </w:p>
        </w:tc>
        <w:tc>
          <w:tcPr>
            <w:tcW w:w="934" w:type="dxa"/>
            <w:tcBorders>
              <w:top w:val="single" w:sz="12" w:space="0" w:color="auto"/>
            </w:tcBorders>
          </w:tcPr>
          <w:p w14:paraId="58D4FCC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20EBCEE" w14:textId="77777777" w:rsidTr="004C5D62">
        <w:tc>
          <w:tcPr>
            <w:tcW w:w="934" w:type="dxa"/>
          </w:tcPr>
          <w:p w14:paraId="6839AF5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МиГ-1</w:t>
            </w:r>
          </w:p>
        </w:tc>
        <w:tc>
          <w:tcPr>
            <w:tcW w:w="934" w:type="dxa"/>
          </w:tcPr>
          <w:p w14:paraId="0808497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40F812A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07F187F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57FAA22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452C1A5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47FC84A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3D7ADCB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2D71C8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0134DB6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63D29D1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21E179E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CA048D1" w14:textId="77777777" w:rsidTr="004C5D62">
        <w:tc>
          <w:tcPr>
            <w:tcW w:w="934" w:type="dxa"/>
          </w:tcPr>
          <w:p w14:paraId="6A72D5C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1,1940 г.</w:t>
            </w:r>
          </w:p>
        </w:tc>
        <w:tc>
          <w:tcPr>
            <w:tcW w:w="934" w:type="dxa"/>
          </w:tcPr>
          <w:p w14:paraId="527FC23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0A4A245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o -</w:t>
            </w:r>
          </w:p>
        </w:tc>
        <w:tc>
          <w:tcPr>
            <w:tcW w:w="934" w:type="dxa"/>
          </w:tcPr>
          <w:p w14:paraId="596153E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05DCC28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011E6C7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0733BB0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669B561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70434F9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w:t>
            </w:r>
          </w:p>
        </w:tc>
        <w:tc>
          <w:tcPr>
            <w:tcW w:w="934" w:type="dxa"/>
          </w:tcPr>
          <w:p w14:paraId="61514D1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w:t>
            </w:r>
          </w:p>
        </w:tc>
        <w:tc>
          <w:tcPr>
            <w:tcW w:w="934" w:type="dxa"/>
          </w:tcPr>
          <w:p w14:paraId="0707414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75</w:t>
            </w:r>
          </w:p>
        </w:tc>
        <w:tc>
          <w:tcPr>
            <w:tcW w:w="934" w:type="dxa"/>
          </w:tcPr>
          <w:p w14:paraId="3C60E79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100</w:t>
            </w:r>
          </w:p>
        </w:tc>
      </w:tr>
      <w:tr w:rsidR="007C5583" w:rsidRPr="008127F8" w14:paraId="4C8A431D" w14:textId="77777777" w:rsidTr="004C5D62">
        <w:tc>
          <w:tcPr>
            <w:tcW w:w="934" w:type="dxa"/>
          </w:tcPr>
          <w:p w14:paraId="57645DD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МиГ-3</w:t>
            </w:r>
          </w:p>
        </w:tc>
        <w:tc>
          <w:tcPr>
            <w:tcW w:w="934" w:type="dxa"/>
          </w:tcPr>
          <w:p w14:paraId="4070CAD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4222436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3780306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4BCD36B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1AB98BF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5B3A2E2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6209A8A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279896C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23DDA81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098632A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7C510DC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55F374EB" w14:textId="77777777" w:rsidTr="004C5D62">
        <w:tc>
          <w:tcPr>
            <w:tcW w:w="934" w:type="dxa"/>
          </w:tcPr>
          <w:p w14:paraId="6F3D95C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1,1940 г.</w:t>
            </w:r>
          </w:p>
        </w:tc>
        <w:tc>
          <w:tcPr>
            <w:tcW w:w="934" w:type="dxa"/>
          </w:tcPr>
          <w:p w14:paraId="28A9241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7BD9F31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w:t>
            </w:r>
          </w:p>
        </w:tc>
        <w:tc>
          <w:tcPr>
            <w:tcW w:w="934" w:type="dxa"/>
          </w:tcPr>
          <w:p w14:paraId="734FEC2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5C22BD7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3BCBC52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1357BFE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286A3DD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0ED22B2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w:t>
            </w:r>
          </w:p>
        </w:tc>
        <w:tc>
          <w:tcPr>
            <w:tcW w:w="934" w:type="dxa"/>
          </w:tcPr>
          <w:p w14:paraId="2FCF5CA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41223D7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c>
          <w:tcPr>
            <w:tcW w:w="934" w:type="dxa"/>
          </w:tcPr>
          <w:p w14:paraId="599C22E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w:t>
            </w:r>
          </w:p>
        </w:tc>
      </w:tr>
      <w:tr w:rsidR="007C5583" w:rsidRPr="008127F8" w14:paraId="6970DF56" w14:textId="77777777" w:rsidTr="004C5D62">
        <w:tc>
          <w:tcPr>
            <w:tcW w:w="934" w:type="dxa"/>
          </w:tcPr>
          <w:p w14:paraId="77D9516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№1,1941 г.</w:t>
            </w:r>
          </w:p>
        </w:tc>
        <w:tc>
          <w:tcPr>
            <w:tcW w:w="934" w:type="dxa"/>
          </w:tcPr>
          <w:p w14:paraId="6713F9A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w:t>
            </w:r>
          </w:p>
        </w:tc>
        <w:tc>
          <w:tcPr>
            <w:tcW w:w="934" w:type="dxa"/>
          </w:tcPr>
          <w:p w14:paraId="045DB95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175 200</w:t>
            </w:r>
          </w:p>
        </w:tc>
        <w:tc>
          <w:tcPr>
            <w:tcW w:w="934" w:type="dxa"/>
          </w:tcPr>
          <w:p w14:paraId="1A9B01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w:t>
            </w:r>
          </w:p>
        </w:tc>
        <w:tc>
          <w:tcPr>
            <w:tcW w:w="934" w:type="dxa"/>
          </w:tcPr>
          <w:p w14:paraId="479AA04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270</w:t>
            </w:r>
          </w:p>
        </w:tc>
        <w:tc>
          <w:tcPr>
            <w:tcW w:w="934" w:type="dxa"/>
          </w:tcPr>
          <w:p w14:paraId="1204C53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298</w:t>
            </w:r>
          </w:p>
        </w:tc>
        <w:tc>
          <w:tcPr>
            <w:tcW w:w="934" w:type="dxa"/>
          </w:tcPr>
          <w:p w14:paraId="5C0F035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496</w:t>
            </w:r>
          </w:p>
        </w:tc>
        <w:tc>
          <w:tcPr>
            <w:tcW w:w="934" w:type="dxa"/>
          </w:tcPr>
          <w:p w14:paraId="46FFB5B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562</w:t>
            </w:r>
          </w:p>
        </w:tc>
        <w:tc>
          <w:tcPr>
            <w:tcW w:w="934" w:type="dxa"/>
          </w:tcPr>
          <w:p w14:paraId="5AEBCF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450 199</w:t>
            </w:r>
          </w:p>
        </w:tc>
        <w:tc>
          <w:tcPr>
            <w:tcW w:w="934" w:type="dxa"/>
          </w:tcPr>
          <w:p w14:paraId="238B0CA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934" w:type="dxa"/>
          </w:tcPr>
          <w:p w14:paraId="2870E5E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w:t>
            </w:r>
          </w:p>
        </w:tc>
        <w:tc>
          <w:tcPr>
            <w:tcW w:w="934" w:type="dxa"/>
          </w:tcPr>
          <w:p w14:paraId="0E302E6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3100</w:t>
            </w:r>
          </w:p>
        </w:tc>
      </w:tr>
      <w:tr w:rsidR="007C5583" w:rsidRPr="008127F8" w14:paraId="2F9B1AAF" w14:textId="77777777" w:rsidTr="004C5D62">
        <w:tc>
          <w:tcPr>
            <w:tcW w:w="934" w:type="dxa"/>
          </w:tcPr>
          <w:p w14:paraId="2A34CFB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1,1942 г.</w:t>
            </w:r>
          </w:p>
        </w:tc>
        <w:tc>
          <w:tcPr>
            <w:tcW w:w="934" w:type="dxa"/>
          </w:tcPr>
          <w:p w14:paraId="47127C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2B36518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934" w:type="dxa"/>
          </w:tcPr>
          <w:p w14:paraId="5DE1DE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3D1D66F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w:t>
            </w:r>
          </w:p>
        </w:tc>
        <w:tc>
          <w:tcPr>
            <w:tcW w:w="934" w:type="dxa"/>
          </w:tcPr>
          <w:p w14:paraId="2C03D3E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29E4BA9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934" w:type="dxa"/>
          </w:tcPr>
          <w:p w14:paraId="46D6970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316DE56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w:t>
            </w:r>
          </w:p>
        </w:tc>
        <w:tc>
          <w:tcPr>
            <w:tcW w:w="934" w:type="dxa"/>
          </w:tcPr>
          <w:p w14:paraId="6005864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w:t>
            </w:r>
          </w:p>
        </w:tc>
        <w:tc>
          <w:tcPr>
            <w:tcW w:w="934" w:type="dxa"/>
          </w:tcPr>
          <w:p w14:paraId="4EFDACB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74D878B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w:t>
            </w:r>
          </w:p>
        </w:tc>
      </w:tr>
      <w:tr w:rsidR="007C5583" w:rsidRPr="008127F8" w14:paraId="77B93F40" w14:textId="77777777" w:rsidTr="004C5D62">
        <w:tc>
          <w:tcPr>
            <w:tcW w:w="934" w:type="dxa"/>
          </w:tcPr>
          <w:p w14:paraId="6C5B732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 всего</w:t>
            </w:r>
          </w:p>
        </w:tc>
        <w:tc>
          <w:tcPr>
            <w:tcW w:w="934" w:type="dxa"/>
          </w:tcPr>
          <w:p w14:paraId="0B5CA4B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7C28A1E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3DD8F4F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47396E2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0142EB1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7F428C6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37122A1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4EE5500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4E3B112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4B0ECAE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118A0A4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3242</w:t>
            </w:r>
          </w:p>
        </w:tc>
      </w:tr>
      <w:tr w:rsidR="007C5583" w:rsidRPr="008127F8" w14:paraId="645E41D8" w14:textId="77777777" w:rsidTr="004C5D62">
        <w:tc>
          <w:tcPr>
            <w:tcW w:w="934" w:type="dxa"/>
          </w:tcPr>
          <w:p w14:paraId="18BC64F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155,1942 г.</w:t>
            </w:r>
          </w:p>
        </w:tc>
        <w:tc>
          <w:tcPr>
            <w:tcW w:w="934" w:type="dxa"/>
          </w:tcPr>
          <w:p w14:paraId="0E798AE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67D39F5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w:t>
            </w:r>
          </w:p>
        </w:tc>
        <w:tc>
          <w:tcPr>
            <w:tcW w:w="934" w:type="dxa"/>
          </w:tcPr>
          <w:p w14:paraId="3C9455A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21A7808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31F9803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934" w:type="dxa"/>
          </w:tcPr>
          <w:p w14:paraId="4BB9D13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329D27F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934" w:type="dxa"/>
          </w:tcPr>
          <w:p w14:paraId="5214076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w:t>
            </w:r>
          </w:p>
        </w:tc>
        <w:tc>
          <w:tcPr>
            <w:tcW w:w="934" w:type="dxa"/>
          </w:tcPr>
          <w:p w14:paraId="656CC2D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w:t>
            </w:r>
          </w:p>
        </w:tc>
        <w:tc>
          <w:tcPr>
            <w:tcW w:w="934" w:type="dxa"/>
          </w:tcPr>
          <w:p w14:paraId="187CD7A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0869F81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w:t>
            </w:r>
          </w:p>
        </w:tc>
      </w:tr>
      <w:tr w:rsidR="007C5583" w:rsidRPr="008127F8" w14:paraId="6C1DC7CA" w14:textId="77777777" w:rsidTr="004C5D62">
        <w:tc>
          <w:tcPr>
            <w:tcW w:w="934" w:type="dxa"/>
          </w:tcPr>
          <w:p w14:paraId="0F10F8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155,1943 г.</w:t>
            </w:r>
          </w:p>
        </w:tc>
        <w:tc>
          <w:tcPr>
            <w:tcW w:w="934" w:type="dxa"/>
          </w:tcPr>
          <w:p w14:paraId="192C4BD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934" w:type="dxa"/>
          </w:tcPr>
          <w:p w14:paraId="53653ED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w:t>
            </w:r>
          </w:p>
        </w:tc>
        <w:tc>
          <w:tcPr>
            <w:tcW w:w="934" w:type="dxa"/>
          </w:tcPr>
          <w:p w14:paraId="6E293EA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3F55B0D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556DDAA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726B365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1610FF2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251A2B2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w:t>
            </w:r>
          </w:p>
        </w:tc>
        <w:tc>
          <w:tcPr>
            <w:tcW w:w="934" w:type="dxa"/>
          </w:tcPr>
          <w:p w14:paraId="77F64DC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3F12F0F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p>
        </w:tc>
        <w:tc>
          <w:tcPr>
            <w:tcW w:w="934" w:type="dxa"/>
          </w:tcPr>
          <w:p w14:paraId="54B2D83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w:t>
            </w:r>
          </w:p>
        </w:tc>
      </w:tr>
      <w:tr w:rsidR="007C5583" w:rsidRPr="008127F8" w14:paraId="730B0287" w14:textId="77777777" w:rsidTr="004C5D62">
        <w:tc>
          <w:tcPr>
            <w:tcW w:w="934" w:type="dxa"/>
          </w:tcPr>
          <w:p w14:paraId="4D867C5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 155, всего</w:t>
            </w:r>
          </w:p>
        </w:tc>
        <w:tc>
          <w:tcPr>
            <w:tcW w:w="934" w:type="dxa"/>
          </w:tcPr>
          <w:p w14:paraId="3B5D7F2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0CE4020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222F11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02C5DDB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7BD83E8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31E2A01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5E24C9B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445AEA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6EE0A1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3AA765A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42F2AE0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36</w:t>
            </w:r>
          </w:p>
        </w:tc>
      </w:tr>
      <w:tr w:rsidR="007C5583" w:rsidRPr="008127F8" w14:paraId="30530BFA" w14:textId="77777777" w:rsidTr="004C5D62">
        <w:tc>
          <w:tcPr>
            <w:tcW w:w="934" w:type="dxa"/>
            <w:tcBorders>
              <w:bottom w:val="single" w:sz="12" w:space="0" w:color="auto"/>
            </w:tcBorders>
          </w:tcPr>
          <w:p w14:paraId="086CF9E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Итоговый выпуск</w:t>
            </w:r>
          </w:p>
        </w:tc>
        <w:tc>
          <w:tcPr>
            <w:tcW w:w="934" w:type="dxa"/>
            <w:tcBorders>
              <w:bottom w:val="single" w:sz="12" w:space="0" w:color="auto"/>
            </w:tcBorders>
          </w:tcPr>
          <w:p w14:paraId="57BB7B9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Borders>
              <w:bottom w:val="single" w:sz="12" w:space="0" w:color="auto"/>
            </w:tcBorders>
          </w:tcPr>
          <w:p w14:paraId="4E82236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Borders>
              <w:bottom w:val="single" w:sz="12" w:space="0" w:color="auto"/>
            </w:tcBorders>
          </w:tcPr>
          <w:p w14:paraId="7196144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Borders>
              <w:bottom w:val="single" w:sz="12" w:space="0" w:color="auto"/>
            </w:tcBorders>
          </w:tcPr>
          <w:p w14:paraId="2595593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Borders>
              <w:bottom w:val="single" w:sz="12" w:space="0" w:color="auto"/>
            </w:tcBorders>
          </w:tcPr>
          <w:p w14:paraId="6D8C500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Borders>
              <w:bottom w:val="single" w:sz="12" w:space="0" w:color="auto"/>
            </w:tcBorders>
          </w:tcPr>
          <w:p w14:paraId="3AE7B79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Borders>
              <w:bottom w:val="single" w:sz="12" w:space="0" w:color="auto"/>
            </w:tcBorders>
          </w:tcPr>
          <w:p w14:paraId="667C31E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Borders>
              <w:bottom w:val="single" w:sz="12" w:space="0" w:color="auto"/>
            </w:tcBorders>
          </w:tcPr>
          <w:p w14:paraId="4592DD9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Borders>
              <w:bottom w:val="single" w:sz="12" w:space="0" w:color="auto"/>
            </w:tcBorders>
          </w:tcPr>
          <w:p w14:paraId="2E4B6A3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Borders>
              <w:bottom w:val="single" w:sz="12" w:space="0" w:color="auto"/>
            </w:tcBorders>
          </w:tcPr>
          <w:p w14:paraId="1E372FC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Borders>
              <w:bottom w:val="single" w:sz="12" w:space="0" w:color="auto"/>
            </w:tcBorders>
          </w:tcPr>
          <w:p w14:paraId="462FBC2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3278</w:t>
            </w:r>
          </w:p>
        </w:tc>
      </w:tr>
    </w:tbl>
    <w:p w14:paraId="7CFF32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Эксплуатация самолетов, которые прекратили строить, была постоянной "головной болью" руководства НКАП (12045).</w:t>
      </w:r>
    </w:p>
    <w:p w14:paraId="653ECA8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B6329E" w14:textId="77777777" w:rsidR="00E343CD" w:rsidRPr="008A2E5A" w:rsidRDefault="00E343CD" w:rsidP="00E343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1942 макетная комиссия одобрила макет нового истребите</w:t>
      </w:r>
      <w:r w:rsidRPr="008A2E5A">
        <w:rPr>
          <w:rFonts w:ascii="Times New Roman" w:hAnsi="Times New Roman"/>
          <w:color w:val="0070C0"/>
          <w:sz w:val="16"/>
          <w:szCs w:val="16"/>
        </w:rPr>
        <w:softHyphen/>
        <w:t>ля, который разрабатывался в инициативном порядке и имел название МиГ-11, а в августе 1942 года начались испытания модели но</w:t>
      </w:r>
      <w:r w:rsidRPr="008A2E5A">
        <w:rPr>
          <w:rFonts w:ascii="Times New Roman" w:hAnsi="Times New Roman"/>
          <w:color w:val="0070C0"/>
          <w:sz w:val="16"/>
          <w:szCs w:val="16"/>
        </w:rPr>
        <w:softHyphen/>
        <w:t>вого истребителя И-220 в аэродинамической трубе. Первоначально на машину планировали установить мотор АМ-37, но поскольку работы над ним не увен</w:t>
      </w:r>
      <w:r w:rsidRPr="008A2E5A">
        <w:rPr>
          <w:rFonts w:ascii="Times New Roman" w:hAnsi="Times New Roman"/>
          <w:color w:val="0070C0"/>
          <w:sz w:val="16"/>
          <w:szCs w:val="16"/>
        </w:rPr>
        <w:softHyphen/>
        <w:t>чались успехом, выбор пал на перспективный АМ-39.</w:t>
      </w:r>
    </w:p>
    <w:p w14:paraId="04C0AB3F" w14:textId="77777777" w:rsidR="00E343CD" w:rsidRPr="008A2E5A" w:rsidRDefault="00E343CD" w:rsidP="00E343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Истребитель И-220 предназначался для ведения активного воздушного боя на всех высотах. С целью получения максимальной горизонтальной скорости все радиаторы убрали в крыло, их каналы начинались на передней кромке центроплана, а выходы — в его нижней и верхней поверхно</w:t>
      </w:r>
      <w:r w:rsidRPr="008A2E5A">
        <w:rPr>
          <w:rFonts w:ascii="Times New Roman" w:hAnsi="Times New Roman"/>
          <w:color w:val="0070C0"/>
          <w:sz w:val="16"/>
          <w:szCs w:val="16"/>
        </w:rPr>
        <w:softHyphen/>
        <w:t>стях. Вооружение состояло из двух синхронных пушек ШВАК с бое</w:t>
      </w:r>
      <w:r w:rsidRPr="008A2E5A">
        <w:rPr>
          <w:rFonts w:ascii="Times New Roman" w:hAnsi="Times New Roman"/>
          <w:color w:val="0070C0"/>
          <w:sz w:val="16"/>
          <w:szCs w:val="16"/>
        </w:rPr>
        <w:softHyphen/>
        <w:t>запасом по 150 патронов. Кроме того, в перегрузку предусмотрели установку ещё двух таких же пу</w:t>
      </w:r>
      <w:r w:rsidRPr="008A2E5A">
        <w:rPr>
          <w:rFonts w:ascii="Times New Roman" w:hAnsi="Times New Roman"/>
          <w:color w:val="0070C0"/>
          <w:sz w:val="16"/>
          <w:szCs w:val="16"/>
        </w:rPr>
        <w:softHyphen/>
        <w:t>шек с тем же боезапасом.</w:t>
      </w:r>
    </w:p>
    <w:p w14:paraId="6E764D2D" w14:textId="77777777" w:rsidR="00E343CD" w:rsidRPr="008A2E5A" w:rsidRDefault="00E343CD" w:rsidP="00E343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 МиГ-3 новый самолёт отли</w:t>
      </w:r>
      <w:r w:rsidRPr="008A2E5A">
        <w:rPr>
          <w:rFonts w:ascii="Times New Roman" w:hAnsi="Times New Roman"/>
          <w:color w:val="0070C0"/>
          <w:sz w:val="16"/>
          <w:szCs w:val="16"/>
        </w:rPr>
        <w:softHyphen/>
        <w:t>чался профилем крыла — вме</w:t>
      </w:r>
      <w:r w:rsidRPr="008A2E5A">
        <w:rPr>
          <w:rFonts w:ascii="Times New Roman" w:hAnsi="Times New Roman"/>
          <w:color w:val="0070C0"/>
          <w:sz w:val="16"/>
          <w:szCs w:val="16"/>
        </w:rPr>
        <w:softHyphen/>
        <w:t>сто традиционного «Кларк УН» с относительной толщиной 14% в корне и 8% на концах использо</w:t>
      </w:r>
      <w:r w:rsidRPr="008A2E5A">
        <w:rPr>
          <w:rFonts w:ascii="Times New Roman" w:hAnsi="Times New Roman"/>
          <w:color w:val="0070C0"/>
          <w:sz w:val="16"/>
          <w:szCs w:val="16"/>
        </w:rPr>
        <w:softHyphen/>
        <w:t>вали NACA-230 с относительной толщиной соответственно 13% и 7%. Крыло получило стреловидность по передней кромке, поперечное V составило 5°30'. Размах крыла увеличился до 11 м — его площадь возросла на 2,94 м2. Истребитель оснастили трёхло</w:t>
      </w:r>
      <w:r w:rsidRPr="008A2E5A">
        <w:rPr>
          <w:rFonts w:ascii="Times New Roman" w:hAnsi="Times New Roman"/>
          <w:color w:val="0070C0"/>
          <w:sz w:val="16"/>
          <w:szCs w:val="16"/>
        </w:rPr>
        <w:softHyphen/>
        <w:t>пастным винтом АВ-5Л-126А диаметром 3,2 м.</w:t>
      </w:r>
    </w:p>
    <w:p w14:paraId="4B7BA784" w14:textId="77777777" w:rsidR="00E343CD" w:rsidRPr="008A2E5A" w:rsidRDefault="00E343CD" w:rsidP="00E343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Машина имела оригинальную конструкцию шас</w:t>
      </w:r>
      <w:r w:rsidRPr="008A2E5A">
        <w:rPr>
          <w:rFonts w:ascii="Times New Roman" w:hAnsi="Times New Roman"/>
          <w:color w:val="0070C0"/>
          <w:sz w:val="16"/>
          <w:szCs w:val="16"/>
        </w:rPr>
        <w:softHyphen/>
        <w:t>си с рычажной подвеской колёс. Выбранная схема обеспечивала большой их вынос вперёд без ущерба для работы амортизаторов. Кроме того, при обжатии последних оси колёс уходили вперёд, и тем самым увеличивался противокапотажный угол, что повыша</w:t>
      </w:r>
      <w:r w:rsidRPr="008A2E5A">
        <w:rPr>
          <w:rFonts w:ascii="Times New Roman" w:hAnsi="Times New Roman"/>
          <w:color w:val="0070C0"/>
          <w:sz w:val="16"/>
          <w:szCs w:val="16"/>
        </w:rPr>
        <w:softHyphen/>
        <w:t>ло безопасность посадки с большими перегрузками. Также впервые в отечественной авиации на самолё</w:t>
      </w:r>
      <w:r w:rsidRPr="008A2E5A">
        <w:rPr>
          <w:rFonts w:ascii="Times New Roman" w:hAnsi="Times New Roman"/>
          <w:color w:val="0070C0"/>
          <w:sz w:val="16"/>
          <w:szCs w:val="16"/>
        </w:rPr>
        <w:softHyphen/>
        <w:t>те установили мягкие топливные баки. И это далеко не все новые технические решения, которые нашли воплощение в его конструкции.</w:t>
      </w:r>
    </w:p>
    <w:p w14:paraId="61D649A5" w14:textId="77777777" w:rsidR="00E343CD" w:rsidRPr="008A2E5A" w:rsidRDefault="00E343CD" w:rsidP="00E343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мотором мощностью 1800 л.с. и удельной нагруз</w:t>
      </w:r>
      <w:r w:rsidRPr="008A2E5A">
        <w:rPr>
          <w:rFonts w:ascii="Times New Roman" w:hAnsi="Times New Roman"/>
          <w:color w:val="0070C0"/>
          <w:sz w:val="16"/>
          <w:szCs w:val="16"/>
        </w:rPr>
        <w:softHyphen/>
        <w:t>кой на крыло, равной 180 кг/м2, истребитель И-220 имел неплохие перспективы. Правда, из-за отсутствия АМ-39 на него временно разрешили установить мотор АМ-38Ф для проведения начального этапа испытаний и получения предварительных результатов с после</w:t>
      </w:r>
      <w:r w:rsidRPr="008A2E5A">
        <w:rPr>
          <w:rFonts w:ascii="Times New Roman" w:hAnsi="Times New Roman"/>
          <w:color w:val="0070C0"/>
          <w:sz w:val="16"/>
          <w:szCs w:val="16"/>
        </w:rPr>
        <w:softHyphen/>
        <w:t>дующей заменой на АМ-39 (23379).</w:t>
      </w:r>
    </w:p>
    <w:p w14:paraId="74D41ED9" w14:textId="77777777" w:rsidR="00E343CD" w:rsidRPr="008A2E5A" w:rsidRDefault="00E343CD" w:rsidP="00E343CD">
      <w:pPr>
        <w:spacing w:after="0" w:line="240" w:lineRule="auto"/>
        <w:jc w:val="both"/>
        <w:rPr>
          <w:rFonts w:ascii="Times New Roman" w:hAnsi="Times New Roman"/>
          <w:color w:val="0070C0"/>
          <w:sz w:val="16"/>
          <w:szCs w:val="16"/>
        </w:rPr>
      </w:pPr>
    </w:p>
    <w:p w14:paraId="34EB8C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Главное Управления Заказов и Технического Снабжения ВВС КА (ГУЗиТС ВВС КА) просило НКАП окрасить на заводах № 21 и 22 по 20 самолетов ЛаГТ-3 и Пе-2 по эскизам для испытания в частях новой трехцветной маскирующей окраски самолетов. Такая схема была проверена в нескольких полках в тылу и на фронте и получила положительную оценку Главного Инженерного Управления КА, которое отметило ее безусловное преимущество по сравнению с общепринятой двухцветной. До 1943 г. вопрос о внедрении трехцветной окраски самолетов в авиапромышленности прошел ряд инстанций, однако окончательного решения принято не было. Кроме этого варианта для всех типов боевых самолетов в этот период предлагались и другие, в частности - светлая однотонная окраска истребителей. Однако заводы продолжали выпускать машины в двухцветном камуфляже вплоть до середины лета 43-го года. Изменения в цвете советских самолетов произошли только, как поется в песне, "через две зимы..." (3092).</w:t>
      </w:r>
    </w:p>
    <w:p w14:paraId="4B6EA2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693CC2" w14:textId="77777777" w:rsidR="007C5583" w:rsidRPr="008127F8" w:rsidRDefault="007C5583" w:rsidP="007C5583">
      <w:pPr>
        <w:pStyle w:val="a4"/>
        <w:rPr>
          <w:color w:val="000000" w:themeColor="text1"/>
          <w:lang w:val="ru-RU"/>
        </w:rPr>
      </w:pPr>
      <w:r w:rsidRPr="008127F8">
        <w:rPr>
          <w:color w:val="000000" w:themeColor="text1"/>
          <w:lang w:val="ru-RU"/>
        </w:rPr>
        <w:t>В июне 1942 г. завершилась постройка самолёта «Г» на заводе № 31 в Тбилиси, и до конца месяца он совершил 10 полётов, из них 2 полёта на высоту до 5000 м. Общий налёт составил 2 ч 30 мин. эти полёты отработали тепловой режим мотора М-82 и всю ВМГ.</w:t>
      </w:r>
    </w:p>
    <w:p w14:paraId="564CE2F3" w14:textId="77777777" w:rsidR="007C5583" w:rsidRPr="008127F8" w:rsidRDefault="007C5583" w:rsidP="007C5583">
      <w:pPr>
        <w:pStyle w:val="a4"/>
        <w:rPr>
          <w:color w:val="000000" w:themeColor="text1"/>
          <w:lang w:val="ru-RU"/>
        </w:rPr>
      </w:pPr>
      <w:r w:rsidRPr="008127F8">
        <w:rPr>
          <w:color w:val="000000" w:themeColor="text1"/>
          <w:lang w:val="ru-RU"/>
        </w:rPr>
        <w:t>Но в это же самое время завод № 31 получил приказ осваивать в серийном произвс стве принятый на вооружение ЛаГГ-5 конструкции Лавочкина. По указанию директора завода полёты самолёта «Г» временно приостановили. В конце августа 1942 г. самолет всё же возобновил заводские испытания, но показал неудовлетворительные лётно-тсхнические данные. Испытания прекратили и, как отметил военпред: «...самолет подле" переделке на серийный» (15788).</w:t>
      </w:r>
    </w:p>
    <w:p w14:paraId="5EAB6382" w14:textId="77777777" w:rsidR="007C5583" w:rsidRPr="008127F8" w:rsidRDefault="007C5583" w:rsidP="007C5583">
      <w:pPr>
        <w:pStyle w:val="a4"/>
        <w:rPr>
          <w:color w:val="000000" w:themeColor="text1"/>
          <w:lang w:val="ru-RU"/>
        </w:rPr>
      </w:pPr>
    </w:p>
    <w:p w14:paraId="566F54D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в НИП АВ ВВС РККА проходил полигонные испытания У-2ВС производства завода № 387 (отчет утвержден 30.06.42 г.), который, в дополнение к стандартным шести внешним бомбодержателям, оборудовался двумя внутрифюзеляжными цилиндрическими кассетами мелких бомб. Кассеты устанавливались внутри фюзеляжа за кабиной штурмана и допускали загрузку мелкими бомбами калибра от 2,5 до 15 кг. Обе кассеты вмещали: или 68 осколочных авиабомб типа АО-2,5сч либо АО-2,5-2, или 48 зажигательных бомб типа ЗАБ-2,5, или 16 осколочных АО-8, или 10 штук АО-10, или 8 бомб типа АО-15.</w:t>
      </w:r>
    </w:p>
    <w:p w14:paraId="081768D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Стрелковое вооружение У-2ВС 387-го завода состояло из курсового пулемета ШКАС (300 патронов), установленного на правой плоскости нижнего крыла, и одного пулемета ДА калибра 7,62 мм (боекомплект 4 магазина по 64 патрона) на шкворневой установке у штурмана.</w:t>
      </w:r>
    </w:p>
    <w:p w14:paraId="051EEA8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выводах отчета отмечалось, что кассеты завода № 387 расширяют диапазон и эффективность боевого применения У-2ВС. Рекомендовалось установить 2 крыльевых пулемета ШКАС, а пулемет ДА у штурмана заменить на ШКАС (15142).</w:t>
      </w:r>
    </w:p>
    <w:p w14:paraId="0E18541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65F241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июне 1942 г. Главное Управление ВВС дало задание заводу № 217 на разработку более совершенного прицела для самолетов У-2 и Р-5. Новый прицел должен был обеспечивать прицеливание при бомбометании, как с горизонтального полета, так и с планирования (до 30) днем и, главным образом, ночью и иметь простейший построитель углов прицеливания и шкалы углов визирования и сноса. Созданный в соответствии с этим заданием прицел в период с 28 сентября по 2 октября 1942 г. прошел войсковые испытания в 989-м нбап и показал хорошие результаты. Однако на вооружение был принят пока все-таки бортовой визир завода № 387 как показавший при сравнительных полигонных испытаниях лучшие результаты. Прицел завода №217 после испытаний, проведенных в НИИ АВ ВВС РККА в мае 1943 г., был утвержден Главным инженером ВВС РККА генералом А. И. Репиным для установки на У-2 лишь через год, в июне 1944 г., после завершения доводочных работ, с присвоением ему шифра НП-У-2 (НКПБ-8). НКПБ-8 обеспечивал бомбардирование с горизонтального полета на скоростях 30-200 км/ч в диапазоне углов прицеливания от +85° до 0°. При этом угол прицеливания определялся для высот от 50 до 500 м (15142).</w:t>
      </w:r>
    </w:p>
    <w:p w14:paraId="1AF94EF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18EE199" w14:textId="77777777" w:rsidR="00E343CD" w:rsidRPr="008A2E5A" w:rsidRDefault="00E343CD" w:rsidP="00E343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июня 1942 года «дугласы» обслуживали линию на Тегеран. Самолеты шли по маршруту через Гурьев, Красноводск и Баку. С октября из-за приближе</w:t>
      </w:r>
      <w:r w:rsidRPr="008A2E5A">
        <w:rPr>
          <w:rFonts w:ascii="Times New Roman" w:hAnsi="Times New Roman"/>
          <w:color w:val="0070C0"/>
          <w:sz w:val="16"/>
          <w:szCs w:val="16"/>
        </w:rPr>
        <w:softHyphen/>
        <w:t>ния линии фронта трассу сместили, она стала проходить через Актюбинск, Джусалы и Ашхабад (23545).</w:t>
      </w:r>
    </w:p>
    <w:p w14:paraId="21717A88" w14:textId="77777777" w:rsidR="00E343CD" w:rsidRPr="008A2E5A" w:rsidRDefault="00E343CD" w:rsidP="00E343CD">
      <w:pPr>
        <w:spacing w:after="0" w:line="240" w:lineRule="auto"/>
        <w:jc w:val="both"/>
        <w:rPr>
          <w:rFonts w:ascii="Times New Roman" w:hAnsi="Times New Roman"/>
          <w:color w:val="0070C0"/>
          <w:sz w:val="16"/>
          <w:szCs w:val="16"/>
        </w:rPr>
      </w:pPr>
    </w:p>
    <w:p w14:paraId="695833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на заводе 36 планировалось освоить новый аэролак АМТ-1, выпустить опытные партии негорючих перхлорвиниловых эмалей (3092).</w:t>
      </w:r>
    </w:p>
    <w:p w14:paraId="77C33F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6EA2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после успешного окончания станковых испытаний мотор МБ-100, который нужно было опробовать в воздухе, решили поставить для испытания на сочли Ер-2 и ермолаевское ОКБ-134 получило от НКАП соответствующий приказ. Из-за разрушения втулки одного из специально спроектированных винтов ВИШ-70Е на самолет пришлось установить серийные винты АВ-7Ф-18В диаметром 4,1 м, которые по своим характеристикам не вполне соответствовали мощности двигателей и не позволяли снять с них всю мощность. Однако результаты испытаний с другими винтами (ВИШ-24, АВ-9ЕЛ-116) оказались еще менее удачными. На протяжении всей войны отечественная авиапромышленность испытывала острую нужду в мощном высотном моторе жидкостного охлаждения, сравнимом по своим характеристикам с английскими и немецкими двигателями. Одним из путей решения этой задачи в то время считалось увеличение числа цилиндров (их конструкция при этом заимствовалась у отработанных, но менее мощных "движков") до 18-24. 18-цилиндровый мотор М-120 представлял собой, грубо говоря, устройство из трех блоков цилиндров мотора М-103, соединенных в Y-образную сборку. Создатели мотора МБ-100 пошли дальше и предложили 24-цилиндровую Х-образную схему с использованием 4 блоков двигателя М-105. Из 1347 деталей МБ-100 735 наименований (55%) были взяты от серийного М-105. Мотор имел два коленвала, работавших на общий вал винта, при этом у каждой пары блоков имелся собственный приводной нагнетатель. Мощность МБ-100 составляла: на взлетном режиме - 2200 л.с., такой же она была и на 1-й границе высотности (2000 м), на 2-й границе высотности (4000 м) - 2100 л.с. при массе сухого мотора 1250 кг (для сравнения, масса мотора М-105ПФ2 - 600 кг при максимальной мощности 1280 л.с.). Главным конструктором этого изделия был А.М.Добротворский, а разработка велась на заводе N 16 "под патронажем" НКВД специалистами, находившимися в заключении (3322,34).</w:t>
      </w:r>
    </w:p>
    <w:p w14:paraId="6768229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0389FE" w14:textId="77777777" w:rsidR="007C5583" w:rsidRPr="008127F8" w:rsidRDefault="007C5583" w:rsidP="007C5583">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 xml:space="preserve">В июне 1942 г. на самолете </w:t>
      </w:r>
      <w:r w:rsidRPr="008127F8">
        <w:rPr>
          <w:rFonts w:ascii="Times New Roman" w:hAnsi="Times New Roman"/>
          <w:color w:val="000000" w:themeColor="text1"/>
          <w:sz w:val="16"/>
          <w:szCs w:val="16"/>
        </w:rPr>
        <w:t xml:space="preserve">ДВБ-102 </w:t>
      </w:r>
      <w:r w:rsidRPr="008127F8">
        <w:rPr>
          <w:rFonts w:ascii="Times New Roman" w:hAnsi="Times New Roman"/>
          <w:noProof/>
          <w:color w:val="000000" w:themeColor="text1"/>
          <w:sz w:val="16"/>
          <w:szCs w:val="16"/>
        </w:rPr>
        <w:t>заменили си</w:t>
      </w:r>
      <w:r w:rsidRPr="008127F8">
        <w:rPr>
          <w:rFonts w:ascii="Times New Roman" w:hAnsi="Times New Roman"/>
          <w:noProof/>
          <w:color w:val="000000" w:themeColor="text1"/>
          <w:sz w:val="16"/>
          <w:szCs w:val="16"/>
        </w:rPr>
        <w:softHyphen/>
        <w:t>ловую установку - установили двигатели М-71. С этими звездообразными двигателями воздушного охлаждения испытательные по</w:t>
      </w:r>
      <w:r w:rsidRPr="008127F8">
        <w:rPr>
          <w:rFonts w:ascii="Times New Roman" w:hAnsi="Times New Roman"/>
          <w:noProof/>
          <w:color w:val="000000" w:themeColor="text1"/>
          <w:sz w:val="16"/>
          <w:szCs w:val="16"/>
        </w:rPr>
        <w:softHyphen/>
        <w:t>леты в Сибири продолжались еще в течение года. Затем, в 1943 г. последовало постанов</w:t>
      </w:r>
      <w:r w:rsidRPr="008127F8">
        <w:rPr>
          <w:rFonts w:ascii="Times New Roman" w:hAnsi="Times New Roman"/>
          <w:noProof/>
          <w:color w:val="000000" w:themeColor="text1"/>
          <w:sz w:val="16"/>
          <w:szCs w:val="16"/>
        </w:rPr>
        <w:softHyphen/>
        <w:t>ление Комитета обороны о перебазировании завода №288 в Москву, на территорию авиа</w:t>
      </w:r>
      <w:r w:rsidRPr="008127F8">
        <w:rPr>
          <w:rFonts w:ascii="Times New Roman" w:hAnsi="Times New Roman"/>
          <w:noProof/>
          <w:color w:val="000000" w:themeColor="text1"/>
          <w:sz w:val="16"/>
          <w:szCs w:val="16"/>
        </w:rPr>
        <w:softHyphen/>
        <w:t>завода № 482. В.М.Мясищева назначили главным конструктором завода № 22 в Ка</w:t>
      </w:r>
      <w:r w:rsidRPr="008127F8">
        <w:rPr>
          <w:rFonts w:ascii="Times New Roman" w:hAnsi="Times New Roman"/>
          <w:noProof/>
          <w:color w:val="000000" w:themeColor="text1"/>
          <w:sz w:val="16"/>
          <w:szCs w:val="16"/>
        </w:rPr>
        <w:softHyphen/>
        <w:t>зань, а его конструкторское бюро поделили между этими двумя предприятиями. Лишь в ноябре 1943 г. две части коллектива объе</w:t>
      </w:r>
      <w:r w:rsidRPr="008127F8">
        <w:rPr>
          <w:rFonts w:ascii="Times New Roman" w:hAnsi="Times New Roman"/>
          <w:noProof/>
          <w:color w:val="000000" w:themeColor="text1"/>
          <w:sz w:val="16"/>
          <w:szCs w:val="16"/>
        </w:rPr>
        <w:softHyphen/>
        <w:t>динили в Москве под общим названием ОКБ-482, где и продолжили тематику созда</w:t>
      </w:r>
      <w:r w:rsidRPr="008127F8">
        <w:rPr>
          <w:rFonts w:ascii="Times New Roman" w:hAnsi="Times New Roman"/>
          <w:noProof/>
          <w:color w:val="000000" w:themeColor="text1"/>
          <w:sz w:val="16"/>
          <w:szCs w:val="16"/>
        </w:rPr>
        <w:softHyphen/>
        <w:t>ния высотных машин.</w:t>
      </w:r>
    </w:p>
    <w:p w14:paraId="1FD1A347"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noProof/>
          <w:color w:val="000000" w:themeColor="text1"/>
          <w:sz w:val="16"/>
          <w:szCs w:val="16"/>
        </w:rPr>
        <w:t>ОСНОВНЫЕ ЛЕТНЫЕ И ТЕХНИЧЕСКИЕ ХАРАКТЕРИСТИКИ ДВБ-102</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58"/>
        <w:gridCol w:w="950"/>
        <w:gridCol w:w="1910"/>
        <w:gridCol w:w="1027"/>
      </w:tblGrid>
      <w:tr w:rsidR="007C5583" w:rsidRPr="008127F8" w14:paraId="02AD13B7" w14:textId="77777777" w:rsidTr="004C5D62">
        <w:trPr>
          <w:trHeight w:val="197"/>
        </w:trPr>
        <w:tc>
          <w:tcPr>
            <w:tcW w:w="2558" w:type="dxa"/>
            <w:tcBorders>
              <w:top w:val="single" w:sz="12" w:space="0" w:color="auto"/>
            </w:tcBorders>
            <w:shd w:val="clear" w:color="auto" w:fill="FFFFFF"/>
          </w:tcPr>
          <w:p w14:paraId="487191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12" w:space="0" w:color="auto"/>
            </w:tcBorders>
            <w:shd w:val="clear" w:color="auto" w:fill="FFFFFF"/>
          </w:tcPr>
          <w:p w14:paraId="47ED18EB"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Проект</w:t>
            </w:r>
          </w:p>
        </w:tc>
        <w:tc>
          <w:tcPr>
            <w:tcW w:w="1910" w:type="dxa"/>
            <w:tcBorders>
              <w:top w:val="single" w:sz="12" w:space="0" w:color="auto"/>
            </w:tcBorders>
            <w:shd w:val="clear" w:color="auto" w:fill="FFFFFF"/>
          </w:tcPr>
          <w:p w14:paraId="6DE1CF21"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ДВБ-102</w:t>
            </w:r>
          </w:p>
        </w:tc>
        <w:tc>
          <w:tcPr>
            <w:tcW w:w="1027" w:type="dxa"/>
            <w:tcBorders>
              <w:top w:val="single" w:sz="12" w:space="0" w:color="auto"/>
            </w:tcBorders>
            <w:shd w:val="clear" w:color="auto" w:fill="FFFFFF"/>
          </w:tcPr>
          <w:p w14:paraId="0AD40413"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ДВБ-102</w:t>
            </w:r>
          </w:p>
        </w:tc>
      </w:tr>
      <w:tr w:rsidR="007C5583" w:rsidRPr="008127F8" w14:paraId="7C3DD4F8" w14:textId="77777777" w:rsidTr="004C5D62">
        <w:trPr>
          <w:trHeight w:val="173"/>
        </w:trPr>
        <w:tc>
          <w:tcPr>
            <w:tcW w:w="2558" w:type="dxa"/>
            <w:shd w:val="clear" w:color="auto" w:fill="FFFFFF"/>
          </w:tcPr>
          <w:p w14:paraId="44D9F98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0" w:type="dxa"/>
            <w:shd w:val="clear" w:color="auto" w:fill="FFFFFF"/>
          </w:tcPr>
          <w:p w14:paraId="79472DD3"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1940 г.</w:t>
            </w:r>
          </w:p>
        </w:tc>
        <w:tc>
          <w:tcPr>
            <w:tcW w:w="1910" w:type="dxa"/>
            <w:shd w:val="clear" w:color="auto" w:fill="FFFFFF"/>
          </w:tcPr>
          <w:p w14:paraId="3AB5F0D0"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2хМ-120ТК</w:t>
            </w:r>
          </w:p>
        </w:tc>
        <w:tc>
          <w:tcPr>
            <w:tcW w:w="1027" w:type="dxa"/>
            <w:shd w:val="clear" w:color="auto" w:fill="FFFFFF"/>
          </w:tcPr>
          <w:p w14:paraId="70E42A76"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2хМ-71 ТК-3</w:t>
            </w:r>
          </w:p>
        </w:tc>
      </w:tr>
      <w:tr w:rsidR="007C5583" w:rsidRPr="008127F8" w14:paraId="2FC012D9" w14:textId="77777777" w:rsidTr="004C5D62">
        <w:trPr>
          <w:trHeight w:val="178"/>
        </w:trPr>
        <w:tc>
          <w:tcPr>
            <w:tcW w:w="2558" w:type="dxa"/>
            <w:shd w:val="clear" w:color="auto" w:fill="FFFFFF"/>
          </w:tcPr>
          <w:p w14:paraId="6B2021B5"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Размах крыла (м)</w:t>
            </w:r>
          </w:p>
        </w:tc>
        <w:tc>
          <w:tcPr>
            <w:tcW w:w="950" w:type="dxa"/>
            <w:shd w:val="clear" w:color="auto" w:fill="FFFFFF"/>
          </w:tcPr>
          <w:p w14:paraId="4ABA0115"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25,16</w:t>
            </w:r>
          </w:p>
        </w:tc>
        <w:tc>
          <w:tcPr>
            <w:tcW w:w="1910" w:type="dxa"/>
            <w:shd w:val="clear" w:color="auto" w:fill="FFFFFF"/>
          </w:tcPr>
          <w:p w14:paraId="5CC864DC"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25,168</w:t>
            </w:r>
          </w:p>
        </w:tc>
        <w:tc>
          <w:tcPr>
            <w:tcW w:w="1027" w:type="dxa"/>
            <w:shd w:val="clear" w:color="auto" w:fill="FFFFFF"/>
          </w:tcPr>
          <w:p w14:paraId="0ED22AC9"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25,22</w:t>
            </w:r>
          </w:p>
        </w:tc>
      </w:tr>
      <w:tr w:rsidR="007C5583" w:rsidRPr="008127F8" w14:paraId="040DBC67" w14:textId="77777777" w:rsidTr="004C5D62">
        <w:trPr>
          <w:trHeight w:val="163"/>
        </w:trPr>
        <w:tc>
          <w:tcPr>
            <w:tcW w:w="2558" w:type="dxa"/>
            <w:shd w:val="clear" w:color="auto" w:fill="FFFFFF"/>
          </w:tcPr>
          <w:p w14:paraId="769FE0A7"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Длина (м)</w:t>
            </w:r>
          </w:p>
        </w:tc>
        <w:tc>
          <w:tcPr>
            <w:tcW w:w="950" w:type="dxa"/>
            <w:shd w:val="clear" w:color="auto" w:fill="FFFFFF"/>
          </w:tcPr>
          <w:p w14:paraId="6E7A4DFE"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18,90</w:t>
            </w:r>
          </w:p>
        </w:tc>
        <w:tc>
          <w:tcPr>
            <w:tcW w:w="1910" w:type="dxa"/>
            <w:shd w:val="clear" w:color="auto" w:fill="FFFFFF"/>
          </w:tcPr>
          <w:p w14:paraId="650EF5B1"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18,90</w:t>
            </w:r>
          </w:p>
        </w:tc>
        <w:tc>
          <w:tcPr>
            <w:tcW w:w="1027" w:type="dxa"/>
            <w:shd w:val="clear" w:color="auto" w:fill="FFFFFF"/>
          </w:tcPr>
          <w:p w14:paraId="09F48136"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20,30</w:t>
            </w:r>
          </w:p>
        </w:tc>
      </w:tr>
      <w:tr w:rsidR="007C5583" w:rsidRPr="008127F8" w14:paraId="220306DF" w14:textId="77777777" w:rsidTr="004C5D62">
        <w:trPr>
          <w:trHeight w:val="178"/>
        </w:trPr>
        <w:tc>
          <w:tcPr>
            <w:tcW w:w="2558" w:type="dxa"/>
            <w:shd w:val="clear" w:color="auto" w:fill="FFFFFF"/>
          </w:tcPr>
          <w:p w14:paraId="1E016F58"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Площадь крыла (м</w:t>
            </w:r>
            <w:r w:rsidRPr="008127F8">
              <w:rPr>
                <w:rFonts w:ascii="Times New Roman" w:hAnsi="Times New Roman"/>
                <w:noProof/>
                <w:color w:val="000000" w:themeColor="text1"/>
                <w:sz w:val="16"/>
                <w:szCs w:val="16"/>
                <w:vertAlign w:val="superscript"/>
                <w:lang w:val="en-US"/>
              </w:rPr>
              <w:t>г</w:t>
            </w:r>
            <w:r w:rsidRPr="008127F8">
              <w:rPr>
                <w:rFonts w:ascii="Times New Roman" w:hAnsi="Times New Roman"/>
                <w:noProof/>
                <w:color w:val="000000" w:themeColor="text1"/>
                <w:sz w:val="16"/>
                <w:szCs w:val="16"/>
                <w:lang w:val="en-US"/>
              </w:rPr>
              <w:t>)</w:t>
            </w:r>
          </w:p>
        </w:tc>
        <w:tc>
          <w:tcPr>
            <w:tcW w:w="950" w:type="dxa"/>
            <w:shd w:val="clear" w:color="auto" w:fill="FFFFFF"/>
          </w:tcPr>
          <w:p w14:paraId="38195817"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78,0</w:t>
            </w:r>
          </w:p>
        </w:tc>
        <w:tc>
          <w:tcPr>
            <w:tcW w:w="1910" w:type="dxa"/>
            <w:shd w:val="clear" w:color="auto" w:fill="FFFFFF"/>
          </w:tcPr>
          <w:p w14:paraId="3F552B05"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78,34</w:t>
            </w:r>
          </w:p>
        </w:tc>
        <w:tc>
          <w:tcPr>
            <w:tcW w:w="1027" w:type="dxa"/>
            <w:shd w:val="clear" w:color="auto" w:fill="FFFFFF"/>
          </w:tcPr>
          <w:p w14:paraId="41602F4A"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78,8</w:t>
            </w:r>
          </w:p>
        </w:tc>
      </w:tr>
      <w:tr w:rsidR="007C5583" w:rsidRPr="008127F8" w14:paraId="72673D58" w14:textId="77777777" w:rsidTr="004C5D62">
        <w:trPr>
          <w:trHeight w:val="173"/>
        </w:trPr>
        <w:tc>
          <w:tcPr>
            <w:tcW w:w="2558" w:type="dxa"/>
            <w:shd w:val="clear" w:color="auto" w:fill="FFFFFF"/>
          </w:tcPr>
          <w:p w14:paraId="692B5C72"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Вес пустого (кг)</w:t>
            </w:r>
          </w:p>
        </w:tc>
        <w:tc>
          <w:tcPr>
            <w:tcW w:w="950" w:type="dxa"/>
            <w:shd w:val="clear" w:color="auto" w:fill="FFFFFF"/>
          </w:tcPr>
          <w:p w14:paraId="3F866D89"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10392</w:t>
            </w:r>
          </w:p>
        </w:tc>
        <w:tc>
          <w:tcPr>
            <w:tcW w:w="1910" w:type="dxa"/>
            <w:shd w:val="clear" w:color="auto" w:fill="FFFFFF"/>
          </w:tcPr>
          <w:p w14:paraId="2324FEBB"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11873</w:t>
            </w:r>
          </w:p>
        </w:tc>
        <w:tc>
          <w:tcPr>
            <w:tcW w:w="1027" w:type="dxa"/>
            <w:shd w:val="clear" w:color="auto" w:fill="FFFFFF"/>
          </w:tcPr>
          <w:p w14:paraId="5D4D1D3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013FC112" w14:textId="77777777" w:rsidTr="004C5D62">
        <w:trPr>
          <w:trHeight w:val="158"/>
        </w:trPr>
        <w:tc>
          <w:tcPr>
            <w:tcW w:w="2558" w:type="dxa"/>
            <w:shd w:val="clear" w:color="auto" w:fill="FFFFFF"/>
          </w:tcPr>
          <w:p w14:paraId="7DA93BCC"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Взлетный вес (кг)</w:t>
            </w:r>
          </w:p>
        </w:tc>
        <w:tc>
          <w:tcPr>
            <w:tcW w:w="950" w:type="dxa"/>
            <w:shd w:val="clear" w:color="auto" w:fill="FFFFFF"/>
          </w:tcPr>
          <w:p w14:paraId="6067F16D"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14705</w:t>
            </w:r>
          </w:p>
        </w:tc>
        <w:tc>
          <w:tcPr>
            <w:tcW w:w="1910" w:type="dxa"/>
            <w:shd w:val="clear" w:color="auto" w:fill="FFFFFF"/>
          </w:tcPr>
          <w:p w14:paraId="0EA5C73B"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15183</w:t>
            </w:r>
          </w:p>
        </w:tc>
        <w:tc>
          <w:tcPr>
            <w:tcW w:w="1027" w:type="dxa"/>
            <w:shd w:val="clear" w:color="auto" w:fill="FFFFFF"/>
          </w:tcPr>
          <w:p w14:paraId="08D8D3BD"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15500</w:t>
            </w:r>
          </w:p>
        </w:tc>
      </w:tr>
      <w:tr w:rsidR="007C5583" w:rsidRPr="008127F8" w14:paraId="2BD57514" w14:textId="77777777" w:rsidTr="004C5D62">
        <w:trPr>
          <w:trHeight w:val="168"/>
        </w:trPr>
        <w:tc>
          <w:tcPr>
            <w:tcW w:w="2558" w:type="dxa"/>
            <w:shd w:val="clear" w:color="auto" w:fill="FFFFFF"/>
          </w:tcPr>
          <w:p w14:paraId="05DE86FD"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Взлетный вес макс, (кг)</w:t>
            </w:r>
          </w:p>
        </w:tc>
        <w:tc>
          <w:tcPr>
            <w:tcW w:w="950" w:type="dxa"/>
            <w:shd w:val="clear" w:color="auto" w:fill="FFFFFF"/>
          </w:tcPr>
          <w:p w14:paraId="44ED5B46"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15245</w:t>
            </w:r>
          </w:p>
        </w:tc>
        <w:tc>
          <w:tcPr>
            <w:tcW w:w="1910" w:type="dxa"/>
            <w:shd w:val="clear" w:color="auto" w:fill="FFFFFF"/>
          </w:tcPr>
          <w:p w14:paraId="60D356B7"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18500</w:t>
            </w:r>
          </w:p>
        </w:tc>
        <w:tc>
          <w:tcPr>
            <w:tcW w:w="1027" w:type="dxa"/>
            <w:shd w:val="clear" w:color="auto" w:fill="FFFFFF"/>
          </w:tcPr>
          <w:p w14:paraId="26B2939B"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17800</w:t>
            </w:r>
          </w:p>
        </w:tc>
      </w:tr>
      <w:tr w:rsidR="007C5583" w:rsidRPr="008127F8" w14:paraId="29E7B3C4" w14:textId="77777777" w:rsidTr="004C5D62">
        <w:trPr>
          <w:trHeight w:val="178"/>
        </w:trPr>
        <w:tc>
          <w:tcPr>
            <w:tcW w:w="2558" w:type="dxa"/>
            <w:shd w:val="clear" w:color="auto" w:fill="FFFFFF"/>
          </w:tcPr>
          <w:p w14:paraId="36F95CF4"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Нагрузка на крыло (кг/м</w:t>
            </w:r>
            <w:r w:rsidRPr="008127F8">
              <w:rPr>
                <w:rFonts w:ascii="Times New Roman" w:hAnsi="Times New Roman"/>
                <w:noProof/>
                <w:color w:val="000000" w:themeColor="text1"/>
                <w:sz w:val="16"/>
                <w:szCs w:val="16"/>
                <w:vertAlign w:val="superscript"/>
              </w:rPr>
              <w:t>г</w:t>
            </w:r>
            <w:r w:rsidRPr="008127F8">
              <w:rPr>
                <w:rFonts w:ascii="Times New Roman" w:hAnsi="Times New Roman"/>
                <w:noProof/>
                <w:color w:val="000000" w:themeColor="text1"/>
                <w:sz w:val="16"/>
                <w:szCs w:val="16"/>
              </w:rPr>
              <w:t>)</w:t>
            </w:r>
          </w:p>
        </w:tc>
        <w:tc>
          <w:tcPr>
            <w:tcW w:w="950" w:type="dxa"/>
            <w:shd w:val="clear" w:color="auto" w:fill="FFFFFF"/>
          </w:tcPr>
          <w:p w14:paraId="176FCA92"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188,5 *</w:t>
            </w:r>
          </w:p>
        </w:tc>
        <w:tc>
          <w:tcPr>
            <w:tcW w:w="1910" w:type="dxa"/>
            <w:shd w:val="clear" w:color="auto" w:fill="FFFFFF"/>
          </w:tcPr>
          <w:p w14:paraId="36BAF2EB"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193,8</w:t>
            </w:r>
          </w:p>
        </w:tc>
        <w:tc>
          <w:tcPr>
            <w:tcW w:w="1027" w:type="dxa"/>
            <w:shd w:val="clear" w:color="auto" w:fill="FFFFFF"/>
          </w:tcPr>
          <w:p w14:paraId="3D05FDD5"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225,8</w:t>
            </w:r>
          </w:p>
        </w:tc>
      </w:tr>
      <w:tr w:rsidR="007C5583" w:rsidRPr="008127F8" w14:paraId="5C68B5EC" w14:textId="77777777" w:rsidTr="004C5D62">
        <w:trPr>
          <w:trHeight w:val="173"/>
        </w:trPr>
        <w:tc>
          <w:tcPr>
            <w:tcW w:w="2558" w:type="dxa"/>
            <w:shd w:val="clear" w:color="auto" w:fill="FFFFFF"/>
          </w:tcPr>
          <w:p w14:paraId="38E82272"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rPr>
            </w:pPr>
            <w:r w:rsidRPr="008127F8">
              <w:rPr>
                <w:rFonts w:ascii="Times New Roman" w:hAnsi="Times New Roman"/>
                <w:noProof/>
                <w:color w:val="000000" w:themeColor="text1"/>
                <w:sz w:val="16"/>
                <w:szCs w:val="16"/>
              </w:rPr>
              <w:t>Скорость макс. Н=0 (км/ч)</w:t>
            </w:r>
          </w:p>
        </w:tc>
        <w:tc>
          <w:tcPr>
            <w:tcW w:w="950" w:type="dxa"/>
            <w:shd w:val="clear" w:color="auto" w:fill="FFFFFF"/>
          </w:tcPr>
          <w:p w14:paraId="3C7E4AC1"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486</w:t>
            </w:r>
          </w:p>
        </w:tc>
        <w:tc>
          <w:tcPr>
            <w:tcW w:w="1910" w:type="dxa"/>
            <w:shd w:val="clear" w:color="auto" w:fill="FFFFFF"/>
          </w:tcPr>
          <w:p w14:paraId="540691B3"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456</w:t>
            </w:r>
          </w:p>
        </w:tc>
        <w:tc>
          <w:tcPr>
            <w:tcW w:w="1027" w:type="dxa"/>
            <w:shd w:val="clear" w:color="auto" w:fill="FFFFFF"/>
          </w:tcPr>
          <w:p w14:paraId="1B1053BA"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440</w:t>
            </w:r>
          </w:p>
        </w:tc>
      </w:tr>
      <w:tr w:rsidR="007C5583" w:rsidRPr="008127F8" w14:paraId="4520A243" w14:textId="77777777" w:rsidTr="004C5D62">
        <w:trPr>
          <w:trHeight w:val="173"/>
        </w:trPr>
        <w:tc>
          <w:tcPr>
            <w:tcW w:w="2558" w:type="dxa"/>
            <w:shd w:val="clear" w:color="auto" w:fill="FFFFFF"/>
          </w:tcPr>
          <w:p w14:paraId="38181725"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Скорость макс, (км/ч)</w:t>
            </w:r>
          </w:p>
        </w:tc>
        <w:tc>
          <w:tcPr>
            <w:tcW w:w="950" w:type="dxa"/>
            <w:shd w:val="clear" w:color="auto" w:fill="FFFFFF"/>
          </w:tcPr>
          <w:p w14:paraId="0F3CBC50"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620</w:t>
            </w:r>
          </w:p>
        </w:tc>
        <w:tc>
          <w:tcPr>
            <w:tcW w:w="1910" w:type="dxa"/>
            <w:shd w:val="clear" w:color="auto" w:fill="FFFFFF"/>
          </w:tcPr>
          <w:p w14:paraId="281102AF"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545</w:t>
            </w:r>
          </w:p>
        </w:tc>
        <w:tc>
          <w:tcPr>
            <w:tcW w:w="1027" w:type="dxa"/>
            <w:shd w:val="clear" w:color="auto" w:fill="FFFFFF"/>
          </w:tcPr>
          <w:p w14:paraId="2FA0C134"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570</w:t>
            </w:r>
          </w:p>
        </w:tc>
      </w:tr>
      <w:tr w:rsidR="007C5583" w:rsidRPr="008127F8" w14:paraId="4B48DE6C" w14:textId="77777777" w:rsidTr="004C5D62">
        <w:trPr>
          <w:trHeight w:val="158"/>
        </w:trPr>
        <w:tc>
          <w:tcPr>
            <w:tcW w:w="2558" w:type="dxa"/>
            <w:shd w:val="clear" w:color="auto" w:fill="FFFFFF"/>
          </w:tcPr>
          <w:p w14:paraId="0FFDAAED"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На высоте (м)</w:t>
            </w:r>
          </w:p>
        </w:tc>
        <w:tc>
          <w:tcPr>
            <w:tcW w:w="950" w:type="dxa"/>
            <w:shd w:val="clear" w:color="auto" w:fill="FFFFFF"/>
          </w:tcPr>
          <w:p w14:paraId="1192FD9F"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10000</w:t>
            </w:r>
          </w:p>
        </w:tc>
        <w:tc>
          <w:tcPr>
            <w:tcW w:w="1910" w:type="dxa"/>
            <w:shd w:val="clear" w:color="auto" w:fill="FFFFFF"/>
          </w:tcPr>
          <w:p w14:paraId="4F188717"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6000</w:t>
            </w:r>
          </w:p>
        </w:tc>
        <w:tc>
          <w:tcPr>
            <w:tcW w:w="1027" w:type="dxa"/>
            <w:shd w:val="clear" w:color="auto" w:fill="FFFFFF"/>
          </w:tcPr>
          <w:p w14:paraId="7B035E62"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8500</w:t>
            </w:r>
          </w:p>
        </w:tc>
      </w:tr>
      <w:tr w:rsidR="007C5583" w:rsidRPr="008127F8" w14:paraId="4002E9B2" w14:textId="77777777" w:rsidTr="004C5D62">
        <w:trPr>
          <w:trHeight w:val="178"/>
        </w:trPr>
        <w:tc>
          <w:tcPr>
            <w:tcW w:w="2558" w:type="dxa"/>
            <w:shd w:val="clear" w:color="auto" w:fill="FFFFFF"/>
          </w:tcPr>
          <w:p w14:paraId="4589A2C9"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Посадочная скорость (км/ч)</w:t>
            </w:r>
          </w:p>
        </w:tc>
        <w:tc>
          <w:tcPr>
            <w:tcW w:w="950" w:type="dxa"/>
            <w:shd w:val="clear" w:color="auto" w:fill="FFFFFF"/>
          </w:tcPr>
          <w:p w14:paraId="4C36D2C9"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115</w:t>
            </w:r>
          </w:p>
        </w:tc>
        <w:tc>
          <w:tcPr>
            <w:tcW w:w="1910" w:type="dxa"/>
            <w:shd w:val="clear" w:color="auto" w:fill="FFFFFF"/>
          </w:tcPr>
          <w:p w14:paraId="6E4133B8"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w:t>
            </w:r>
          </w:p>
        </w:tc>
        <w:tc>
          <w:tcPr>
            <w:tcW w:w="1027" w:type="dxa"/>
            <w:shd w:val="clear" w:color="auto" w:fill="FFFFFF"/>
          </w:tcPr>
          <w:p w14:paraId="566A1DB7"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130</w:t>
            </w:r>
          </w:p>
        </w:tc>
      </w:tr>
      <w:tr w:rsidR="007C5583" w:rsidRPr="008127F8" w14:paraId="788E1AFC" w14:textId="77777777" w:rsidTr="004C5D62">
        <w:trPr>
          <w:trHeight w:val="163"/>
        </w:trPr>
        <w:tc>
          <w:tcPr>
            <w:tcW w:w="2558" w:type="dxa"/>
            <w:shd w:val="clear" w:color="auto" w:fill="FFFFFF"/>
          </w:tcPr>
          <w:p w14:paraId="4ACC20F0"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Время набора 6000 м (мин)</w:t>
            </w:r>
          </w:p>
        </w:tc>
        <w:tc>
          <w:tcPr>
            <w:tcW w:w="950" w:type="dxa"/>
            <w:shd w:val="clear" w:color="auto" w:fill="FFFFFF"/>
          </w:tcPr>
          <w:p w14:paraId="141877C6"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13,8 **</w:t>
            </w:r>
          </w:p>
        </w:tc>
        <w:tc>
          <w:tcPr>
            <w:tcW w:w="1910" w:type="dxa"/>
            <w:shd w:val="clear" w:color="auto" w:fill="FFFFFF"/>
          </w:tcPr>
          <w:p w14:paraId="09B79F94"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13,5</w:t>
            </w:r>
          </w:p>
        </w:tc>
        <w:tc>
          <w:tcPr>
            <w:tcW w:w="1027" w:type="dxa"/>
            <w:shd w:val="clear" w:color="auto" w:fill="FFFFFF"/>
          </w:tcPr>
          <w:p w14:paraId="6471B087"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13,5</w:t>
            </w:r>
          </w:p>
        </w:tc>
      </w:tr>
      <w:tr w:rsidR="007C5583" w:rsidRPr="008127F8" w14:paraId="57752598" w14:textId="77777777" w:rsidTr="004C5D62">
        <w:trPr>
          <w:trHeight w:val="168"/>
        </w:trPr>
        <w:tc>
          <w:tcPr>
            <w:tcW w:w="2558" w:type="dxa"/>
            <w:shd w:val="clear" w:color="auto" w:fill="FFFFFF"/>
          </w:tcPr>
          <w:p w14:paraId="7EAE1D9E"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Дальность полета с бомбовой</w:t>
            </w:r>
          </w:p>
        </w:tc>
        <w:tc>
          <w:tcPr>
            <w:tcW w:w="950" w:type="dxa"/>
            <w:shd w:val="clear" w:color="auto" w:fill="FFFFFF"/>
          </w:tcPr>
          <w:p w14:paraId="78B3422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0" w:type="dxa"/>
            <w:shd w:val="clear" w:color="auto" w:fill="FFFFFF"/>
          </w:tcPr>
          <w:p w14:paraId="0FFD2FC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7" w:type="dxa"/>
            <w:shd w:val="clear" w:color="auto" w:fill="FFFFFF"/>
          </w:tcPr>
          <w:p w14:paraId="7F1EB0E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C62B539" w14:textId="77777777" w:rsidTr="004C5D62">
        <w:trPr>
          <w:trHeight w:val="178"/>
        </w:trPr>
        <w:tc>
          <w:tcPr>
            <w:tcW w:w="2558" w:type="dxa"/>
            <w:shd w:val="clear" w:color="auto" w:fill="FFFFFF"/>
          </w:tcPr>
          <w:p w14:paraId="44302158"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нагрузкой 1000 кг(км)</w:t>
            </w:r>
          </w:p>
        </w:tc>
        <w:tc>
          <w:tcPr>
            <w:tcW w:w="950" w:type="dxa"/>
            <w:shd w:val="clear" w:color="auto" w:fill="FFFFFF"/>
          </w:tcPr>
          <w:p w14:paraId="057C00BE"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3850</w:t>
            </w:r>
          </w:p>
        </w:tc>
        <w:tc>
          <w:tcPr>
            <w:tcW w:w="1910" w:type="dxa"/>
            <w:shd w:val="clear" w:color="auto" w:fill="FFFFFF"/>
          </w:tcPr>
          <w:p w14:paraId="01352F5A"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3440</w:t>
            </w:r>
          </w:p>
        </w:tc>
        <w:tc>
          <w:tcPr>
            <w:tcW w:w="1027" w:type="dxa"/>
            <w:shd w:val="clear" w:color="auto" w:fill="FFFFFF"/>
          </w:tcPr>
          <w:p w14:paraId="70663741"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3470</w:t>
            </w:r>
          </w:p>
        </w:tc>
      </w:tr>
      <w:tr w:rsidR="007C5583" w:rsidRPr="008127F8" w14:paraId="43BE652E" w14:textId="77777777" w:rsidTr="004C5D62">
        <w:trPr>
          <w:trHeight w:val="178"/>
        </w:trPr>
        <w:tc>
          <w:tcPr>
            <w:tcW w:w="2558" w:type="dxa"/>
            <w:tcBorders>
              <w:bottom w:val="single" w:sz="12" w:space="0" w:color="auto"/>
            </w:tcBorders>
            <w:shd w:val="clear" w:color="auto" w:fill="FFFFFF"/>
          </w:tcPr>
          <w:p w14:paraId="11CF0D6C"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Практический потолок (м)</w:t>
            </w:r>
          </w:p>
        </w:tc>
        <w:tc>
          <w:tcPr>
            <w:tcW w:w="950" w:type="dxa"/>
            <w:tcBorders>
              <w:bottom w:val="single" w:sz="12" w:space="0" w:color="auto"/>
            </w:tcBorders>
            <w:shd w:val="clear" w:color="auto" w:fill="FFFFFF"/>
          </w:tcPr>
          <w:p w14:paraId="4F42A72C"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11000</w:t>
            </w:r>
          </w:p>
        </w:tc>
        <w:tc>
          <w:tcPr>
            <w:tcW w:w="1910" w:type="dxa"/>
            <w:tcBorders>
              <w:bottom w:val="single" w:sz="12" w:space="0" w:color="auto"/>
            </w:tcBorders>
            <w:shd w:val="clear" w:color="auto" w:fill="FFFFFF"/>
          </w:tcPr>
          <w:p w14:paraId="4B143300"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10500</w:t>
            </w:r>
          </w:p>
        </w:tc>
        <w:tc>
          <w:tcPr>
            <w:tcW w:w="1027" w:type="dxa"/>
            <w:tcBorders>
              <w:bottom w:val="single" w:sz="12" w:space="0" w:color="auto"/>
            </w:tcBorders>
            <w:shd w:val="clear" w:color="auto" w:fill="FFFFFF"/>
          </w:tcPr>
          <w:p w14:paraId="60F5760B" w14:textId="77777777" w:rsidR="007C5583" w:rsidRPr="008127F8" w:rsidRDefault="007C5583" w:rsidP="004C5D62">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8127F8">
              <w:rPr>
                <w:rFonts w:ascii="Times New Roman" w:hAnsi="Times New Roman"/>
                <w:noProof/>
                <w:color w:val="000000" w:themeColor="text1"/>
                <w:sz w:val="16"/>
                <w:szCs w:val="16"/>
                <w:lang w:val="en-US"/>
              </w:rPr>
              <w:t>10750***</w:t>
            </w:r>
          </w:p>
        </w:tc>
      </w:tr>
    </w:tbl>
    <w:p w14:paraId="7A3C5FBD"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 </w:t>
      </w:r>
      <w:r w:rsidRPr="008127F8">
        <w:rPr>
          <w:rFonts w:ascii="Times New Roman" w:hAnsi="Times New Roman"/>
          <w:noProof/>
          <w:color w:val="000000" w:themeColor="text1"/>
          <w:sz w:val="16"/>
          <w:szCs w:val="16"/>
          <w:lang w:val="en-US"/>
        </w:rPr>
        <w:t>с нормальным взлетным весом</w:t>
      </w:r>
    </w:p>
    <w:p w14:paraId="7931C12E"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r w:rsidRPr="008127F8">
        <w:rPr>
          <w:rFonts w:ascii="Times New Roman" w:hAnsi="Times New Roman"/>
          <w:noProof/>
          <w:color w:val="000000" w:themeColor="text1"/>
          <w:sz w:val="16"/>
          <w:szCs w:val="16"/>
          <w:lang w:val="en-US"/>
        </w:rPr>
        <w:t>расчетное значение для высоты 5000 м</w:t>
      </w:r>
    </w:p>
    <w:p w14:paraId="04CCF4BB"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w:t>
      </w:r>
      <w:r w:rsidRPr="008127F8">
        <w:rPr>
          <w:rFonts w:ascii="Times New Roman" w:hAnsi="Times New Roman"/>
          <w:noProof/>
          <w:color w:val="000000" w:themeColor="text1"/>
          <w:sz w:val="16"/>
          <w:szCs w:val="16"/>
          <w:lang w:val="en-US"/>
        </w:rPr>
        <w:t>достигнупотолок</w:t>
      </w:r>
      <w:r w:rsidRPr="008127F8">
        <w:rPr>
          <w:rFonts w:ascii="Times New Roman" w:hAnsi="Times New Roman"/>
          <w:color w:val="000000" w:themeColor="text1"/>
          <w:sz w:val="16"/>
          <w:szCs w:val="16"/>
        </w:rPr>
        <w:t xml:space="preserve"> (11941).</w:t>
      </w:r>
    </w:p>
    <w:p w14:paraId="45D55684"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p>
    <w:p w14:paraId="2464E2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ГУ ВВС выдало заводу № 217 задание на разработку прицела для бомбометания с У-2 и Р-5 с горизонтального полета и с планирования под 30 гр. Потом прошел войсковые испытания с 28 сентября по 2 октября 1942 в 989 нбап и показал хорошие результаты, но на вооружение принят не был, т.к. визир з-да № 387, разработанный и испытанный в мае 1942 показывал лучшие результатыю. Потом испытали еще в мае 1943 и с июня 1944 был утвержден ГИ ВВС А.И. Репиным как НКПБ-8 (4542, 14).</w:t>
      </w:r>
    </w:p>
    <w:p w14:paraId="4D5A5B6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7044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вышел отчет НИИ ВВС и ЛИИ НКАП по контрольным испытаниям серийных ЛаГГ-3, Як-1 и Як-7 с М-105П и М-105ПФ (1684,168).</w:t>
      </w:r>
    </w:p>
    <w:p w14:paraId="53ED6A7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1A7F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июня 1942 стали выпускать Як-1 с М-105ПФ и по июля 1944 сделали 5672 (65,57).</w:t>
      </w:r>
    </w:p>
    <w:p w14:paraId="51A669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2219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испытывали вооружение на Як-7Б N 22-03 - ШВАК в развале цилиндров + 2 УБС и сделали 25 полетов налетав 7:57 (65,82).</w:t>
      </w:r>
    </w:p>
    <w:p w14:paraId="4F29860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08CD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когда на авиационном заводе № 153 имени В.П. Чкалова в Новосибирске облегчили Як-7Б, заменив деревянные лонжероны крыла металлическими, и сняв один из синхронных пулеметов УБС, началась история Як-9. Новая машина с мотором М-105ПФ и винтом ВИШ-61П, получившая обозначение Як-7-ДИ (дальний истребитель), имела увеличенный запас горючего в четырех крыльевых баках, соединенных с расходным бачком так, чтобы обеспечивался равномерный расход топлива из всех емкостей.</w:t>
      </w:r>
    </w:p>
    <w:p w14:paraId="77B829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заводских испытаний подготовили сразу три отличавшихся друг от друга самолета Як-7ДИ. Первый вариант машины сохранил серийный двухсторонний всасывающий патрубок и костыльное колесо размером 300x125 мм. Второй - с односторонним всасывающим патрубком с левой стороны и третий - с односторонним всасывающим патрубком с левой стороны, хвостовым колесом размером 255x110 мм, с герметизированными щелями фюзеляжа, модифицированными водо- и масло гондолами, увеличенными выходными отверстиями выхлопных патрубков и установленными на них ребрами. Из них в ходе заводских испытаний, начавшихся в октябре 1942 года, выбрали последний с уменьшенным размером колеса хвостовой опоры и герметизированными щелями в фюзеляже. С машины сняли два крыльевых бака, сократив запас горючего до 320 кг. Имелись и другие, с виду незначительные, но немаловажные в эксплуатации и бою отличия.</w:t>
      </w:r>
    </w:p>
    <w:p w14:paraId="6F11BF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ходе заводских испытаний, проведенных летчиком П.Я. Федрови в октябре 1943 года (первый полет 1 октября) под руководством ведущего инженера К.В. Синельщикова, выяснилось, что истребитель при нормальном полетном весе 2825 кг (вес пустого 2348 кг, горючего 300 кг) развивал скорость до 593 км/ч на второй границе высотности (3600 м), что на 23 км/ч превышало аналогичный параметр его предшественника Як-7Б.</w:t>
      </w:r>
    </w:p>
    <w:p w14:paraId="16E200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Истребитель Як-7-ДИ успешно выдержал государственные испытания и рекомендовался к серийному производству, при условии устранения выявленных дефектов. После его доводки, затянувшейся почти на два месяца, появился новый самолет - эталон Як-9, запущенный в серийное производство на трех заводах: № 153 имени В.П. Чкалова в Новосибирске, № 166 в Омске и № 82 в Москве.</w:t>
      </w:r>
    </w:p>
    <w:p w14:paraId="7733F5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Эта машина, сохранявшая некоторое время обозначение Як-7-ДИ, отличалась одноместной кабиной пилота с фонарем без гар- грота. Первые Як-9 (Як-7-ДИ) по 24-</w:t>
      </w:r>
      <w:r w:rsidRPr="008127F8">
        <w:rPr>
          <w:rFonts w:ascii="Times New Roman" w:hAnsi="Times New Roman"/>
          <w:color w:val="000000" w:themeColor="text1"/>
          <w:sz w:val="16"/>
          <w:szCs w:val="16"/>
        </w:rPr>
        <w:lastRenderedPageBreak/>
        <w:t>ю серию включительно выпускались с фюзеляжами по типу Як-7 и сохранили за кабиной летчика запасной отсек с полом. Щитки на основных опорах шасси сделали цельными. Как и на Як-7-ДИ, на истребителе имелись мотор-пушка МПШ-20 (ШВАК) и синхронный пулемет УБС с боезапасом 120 и 200 патронов соответственно, но отсутствовали крыльевые бомбодержатели. Кроме стандартного набора пилотажно-навигационных и контролирующих приборов самолет укомплектовали радиостанцией РСИ-4 и кислородным прибором КПА-Збис.</w:t>
      </w:r>
    </w:p>
    <w:p w14:paraId="1F60FEC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графику, утвержденному наркомом авиационной промышленности А.И. Шахуриным в сентябре 1942 года НКАП (точнее завод № 153) должен был сдать из сборочного цеха 20 Як-9, из них 15 - готовых к бою. С 16 сентября и до октября предприятие ежедневно сдавало и облетывало заказчику по одной машине. В следующем месяце, начиная с пятого числа, - запланировали еще 40 машин, причем с 17 октября должны были сдавать ежесуточно по два Як-9. В ноябре запланировали 73 истребителя нового типа. Однако этим планам не суждено было сбыться. До конца 1942 года Новосибирский завод № 153 выпустил лишь 59 новых "Яков", большая часть из них и попала на фронт под Сталинградом (12046).</w:t>
      </w:r>
    </w:p>
    <w:p w14:paraId="671B64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FB8D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выяснилось, что военные не готовы к приему десантных планеров, т.к. не хватало буксировщиков, а длительное хранение под открытым небом вело к порче машин. Завод № 471 выпустил 127 Г-11 + 11 в 1941, а 494 - 170. ОКБ-28 слили с заводом № 471, а Грибовский отбыл в Москву в распоряжение НКАП (9080).</w:t>
      </w:r>
    </w:p>
    <w:p w14:paraId="6D7F741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947CE7"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Вплоть до июня 1942 г., когда выяснилось, что военные попросту не готовы к приему большого числа десантных планеров, производство Г-11 нарастало. Не хватало самолетов-буксировщиков и пилотов-планеристов. Так как хранение планеров в течение длительного времени не предусматривалось, их нахождение под открытым небом могло привести к снижению прочности и надежности.</w:t>
      </w:r>
    </w:p>
    <w:p w14:paraId="548883C2"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производство Г-11 в 1942 г. прекратили, личный состав ОКБ-28 присоединили к техперсоналу завода №471, переориентированного на производство самолетов Як-6, а Грибовский убыл в распоряжение Наркомага авиапромышленности.</w:t>
      </w:r>
    </w:p>
    <w:p w14:paraId="14337B27"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до прекращения выпуска в 1942 г. завод №471 выпустил 127 Г-11 (плюс 11 в 1941 г.), а завод №494 -170 планеров. Таким образом, суммарный выпуск к осени 1942 г. составил 308 экземпляров Г-11.</w:t>
      </w:r>
    </w:p>
    <w:p w14:paraId="16083A32"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1943 г. производство планеров восстановили на заводе в Рязани, где Грибовского назначили Главным конструктором. Первый «рязанский» Г-11 испытали в марте 1944 г. Планерист-испытатель старший лейтенант Чубуков написал в своем отзыве:</w:t>
      </w:r>
    </w:p>
    <w:p w14:paraId="54AD5E63" w14:textId="77777777" w:rsidR="007C5583" w:rsidRPr="008127F8" w:rsidRDefault="007C5583" w:rsidP="007C5583">
      <w:pPr>
        <w:shd w:val="clear" w:color="auto" w:fill="FFFFFF"/>
        <w:spacing w:after="0" w:line="240" w:lineRule="auto"/>
        <w:jc w:val="both"/>
        <w:rPr>
          <w:rFonts w:ascii="Times New Roman" w:hAnsi="Times New Roman"/>
          <w:iCs/>
          <w:color w:val="000000" w:themeColor="text1"/>
          <w:sz w:val="16"/>
          <w:szCs w:val="16"/>
        </w:rPr>
      </w:pPr>
      <w:r w:rsidRPr="008127F8">
        <w:rPr>
          <w:rFonts w:ascii="Times New Roman" w:hAnsi="Times New Roman"/>
          <w:iCs/>
          <w:color w:val="000000" w:themeColor="text1"/>
          <w:sz w:val="16"/>
          <w:szCs w:val="16"/>
        </w:rPr>
        <w:t>«Управляемость планера достаточная. Запас рулей вполне обеспечивает вывод планера из самого тяжелого положения. Управление Г-11 подобрано чрезвычайно удачно, будучи не таким строгим, как у планера А-7, вместе с тем обеспечивает полную управляемость в трудных условиях при любых вариантах загрузки. При выполнении фигур пилотажа - штопора, переворота и бочки планер быстро выходит без запаздывания в нормальное положение. Посадка во всех вариантах загрузки проста и выполняется на малых скоростях».</w:t>
      </w:r>
    </w:p>
    <w:p w14:paraId="1A0AEE15"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ходе серийного производства в конструкцию Г-11 вносились изменения. Начиная с экземпляра №21 на левом борту фюзеляжа оборудовали увеличенный грузовой люк шириной 1400 мм, а дверь на правом борту упразднили. С октября 1944 г. выпускались планеры с двойным управлением, амортизацией посадочной лыжи и дополнительными усилениями конструкции. В серии эти аппараты, дополнительным внешним отличием которых стал небольшой форкиль, получили обозначение Г-11У.</w:t>
      </w:r>
    </w:p>
    <w:p w14:paraId="305C679C"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Г-11У прекратилось в середине 1945 г., однако, спустя год возобновилось и продолжалось вплоть до 1948 г. (точных данных о количестве Г-11, произведенных в этот период, не обнаружено).</w:t>
      </w:r>
    </w:p>
    <w:p w14:paraId="63FF8630"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Использование Г-11 в период Великой Отечественной войны показало их высокую надежность и достаточную эффективность. Особенно активно планеры использовались для снабжения партизан в 1943-44 гг. В августе 1944-го конструктор Грибовский за доставку грузов планерами Г-11 партизанам Белоруссии был награжден медалью «Партизан Отечественной войны».</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77"/>
        <w:gridCol w:w="6645"/>
      </w:tblGrid>
      <w:tr w:rsidR="007C5583" w:rsidRPr="008127F8" w14:paraId="2FD7DA67" w14:textId="77777777" w:rsidTr="004C5D62">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CCBDA52"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Модификация</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383516F" w14:textId="77777777" w:rsidR="007C5583" w:rsidRPr="008127F8" w:rsidRDefault="007C5583" w:rsidP="004C5D62">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Г-11</w:t>
            </w:r>
          </w:p>
        </w:tc>
      </w:tr>
      <w:tr w:rsidR="007C5583" w:rsidRPr="008127F8" w14:paraId="0F71E17B" w14:textId="77777777" w:rsidTr="004C5D62">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6E27B69"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Размах крыла,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9A52464" w14:textId="77777777" w:rsidR="007C5583" w:rsidRPr="008127F8" w:rsidRDefault="007C5583" w:rsidP="004C5D62">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18.00</w:t>
            </w:r>
          </w:p>
        </w:tc>
      </w:tr>
      <w:tr w:rsidR="007C5583" w:rsidRPr="008127F8" w14:paraId="29350EEC" w14:textId="77777777" w:rsidTr="004C5D62">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EE3D44C"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Длина,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5542C52" w14:textId="77777777" w:rsidR="007C5583" w:rsidRPr="008127F8" w:rsidRDefault="007C5583" w:rsidP="004C5D62">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10.84</w:t>
            </w:r>
          </w:p>
        </w:tc>
      </w:tr>
      <w:tr w:rsidR="007C5583" w:rsidRPr="008127F8" w14:paraId="6325C4AD" w14:textId="77777777" w:rsidTr="004C5D62">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38A31FF"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Высота,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7AD01AB" w14:textId="77777777" w:rsidR="007C5583" w:rsidRPr="008127F8" w:rsidRDefault="007C5583" w:rsidP="004C5D62">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r>
      <w:tr w:rsidR="007C5583" w:rsidRPr="008127F8" w14:paraId="65E02CEE" w14:textId="77777777" w:rsidTr="004C5D62">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AF70C98"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крыла, м²</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2AB04B4" w14:textId="77777777" w:rsidR="007C5583" w:rsidRPr="008127F8" w:rsidRDefault="007C5583" w:rsidP="004C5D62">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30.00</w:t>
            </w:r>
          </w:p>
        </w:tc>
      </w:tr>
      <w:tr w:rsidR="007C5583" w:rsidRPr="008127F8" w14:paraId="7F33C094" w14:textId="77777777" w:rsidTr="004C5D62">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428817F"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Масса, кг</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0FCD994" w14:textId="77777777" w:rsidR="007C5583" w:rsidRPr="008127F8" w:rsidRDefault="007C5583" w:rsidP="004C5D62">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r>
      <w:tr w:rsidR="007C5583" w:rsidRPr="008127F8" w14:paraId="1E8822F4" w14:textId="77777777" w:rsidTr="004C5D62">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F6FE859" w14:textId="77777777" w:rsidR="007C5583" w:rsidRPr="008127F8" w:rsidRDefault="007C5583" w:rsidP="004C5D62">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пустого снаряженного</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3318A02" w14:textId="77777777" w:rsidR="007C5583" w:rsidRPr="008127F8" w:rsidRDefault="007C5583" w:rsidP="004C5D62">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960</w:t>
            </w:r>
          </w:p>
        </w:tc>
      </w:tr>
      <w:tr w:rsidR="007C5583" w:rsidRPr="008127F8" w14:paraId="0ED820F2" w14:textId="77777777" w:rsidTr="004C5D62">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7B1B545" w14:textId="77777777" w:rsidR="007C5583" w:rsidRPr="008127F8" w:rsidRDefault="007C5583" w:rsidP="004C5D62">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максимальная взлетная</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784059D" w14:textId="77777777" w:rsidR="007C5583" w:rsidRPr="008127F8" w:rsidRDefault="007C5583" w:rsidP="004C5D62">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1660</w:t>
            </w:r>
          </w:p>
        </w:tc>
      </w:tr>
      <w:tr w:rsidR="007C5583" w:rsidRPr="008127F8" w14:paraId="399E6727" w14:textId="77777777" w:rsidTr="004C5D62">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4748D47"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Максимальная скорость, км/ч</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65C9A75" w14:textId="77777777" w:rsidR="007C5583" w:rsidRPr="008127F8" w:rsidRDefault="007C5583" w:rsidP="004C5D62">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220</w:t>
            </w:r>
          </w:p>
        </w:tc>
      </w:tr>
      <w:tr w:rsidR="007C5583" w:rsidRPr="008127F8" w14:paraId="08844438" w14:textId="77777777" w:rsidTr="004C5D62">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CE8052F" w14:textId="77777777" w:rsidR="007C5583" w:rsidRPr="008127F8" w:rsidRDefault="007C5583" w:rsidP="004C5D62">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Полезная нагрузка:</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C1B9086" w14:textId="77777777" w:rsidR="007C5583" w:rsidRPr="008127F8" w:rsidRDefault="007C5583" w:rsidP="004C5D62">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11 десантников</w:t>
            </w:r>
          </w:p>
        </w:tc>
      </w:tr>
    </w:tbl>
    <w:p w14:paraId="5539BC29" w14:textId="77777777" w:rsidR="007C5583" w:rsidRPr="008127F8" w:rsidRDefault="007C5583" w:rsidP="007C5583">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(12682).</w:t>
      </w:r>
    </w:p>
    <w:p w14:paraId="22F443FE" w14:textId="77777777" w:rsidR="007C5583" w:rsidRPr="008127F8" w:rsidRDefault="007C5583" w:rsidP="007C5583">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p>
    <w:p w14:paraId="0FE12B9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приняли решение возобновить производство дизелей (в основном для Ер-2). Создали завод, помог и завод М.С.Комарова, которому поручили производить в плюс к тому, что уже производилось - АМ-38 для Ил-2. И.В.Сталин звонил и подкалывал - требовал еще один в день (6,178).</w:t>
      </w:r>
    </w:p>
    <w:p w14:paraId="4C52CC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755F06"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В июне 1942 г. завод № 33 выпустил АК-82БП серии А-3. Основное отличие этой серии от 2-й состо</w:t>
      </w:r>
      <w:r w:rsidRPr="008127F8">
        <w:rPr>
          <w:rFonts w:ascii="Times New Roman" w:cs="Times New Roman"/>
          <w:color w:val="000000" w:themeColor="text1"/>
          <w:spacing w:val="0"/>
        </w:rPr>
        <w:softHyphen/>
        <w:t>яло в том, что все резиновые плоские мембраны главной дозирующей системы и кла</w:t>
      </w:r>
      <w:r w:rsidRPr="008127F8">
        <w:rPr>
          <w:rFonts w:ascii="Times New Roman" w:cs="Times New Roman"/>
          <w:color w:val="000000" w:themeColor="text1"/>
          <w:spacing w:val="0"/>
        </w:rPr>
        <w:softHyphen/>
        <w:t>пана экономайзера заменили мембранами с гофром, а также ввели изменения по диа</w:t>
      </w:r>
      <w:r w:rsidRPr="008127F8">
        <w:rPr>
          <w:rFonts w:ascii="Times New Roman" w:cs="Times New Roman"/>
          <w:color w:val="000000" w:themeColor="text1"/>
          <w:spacing w:val="0"/>
        </w:rPr>
        <w:softHyphen/>
        <w:t>метрам жиклеров и т.д. В июле вышла серия А-4, отличающаяся повышением твердо</w:t>
      </w:r>
      <w:r w:rsidRPr="008127F8">
        <w:rPr>
          <w:rFonts w:ascii="Times New Roman" w:cs="Times New Roman"/>
          <w:color w:val="000000" w:themeColor="text1"/>
          <w:spacing w:val="0"/>
        </w:rPr>
        <w:softHyphen/>
        <w:t>сти ролика дозирующей иглы для снижения его выработки. Затем появилась 5-я серия с измененным профилем и полировкой дозирующей иглы, снова плоскими мембрана</w:t>
      </w:r>
      <w:r w:rsidRPr="008127F8">
        <w:rPr>
          <w:rFonts w:ascii="Times New Roman" w:cs="Times New Roman"/>
          <w:color w:val="000000" w:themeColor="text1"/>
          <w:spacing w:val="0"/>
        </w:rPr>
        <w:softHyphen/>
        <w:t>ми, но с укорочением их хода, введением жиклера экономайзера для улучшения высот</w:t>
      </w:r>
      <w:r w:rsidRPr="008127F8">
        <w:rPr>
          <w:rFonts w:ascii="Times New Roman" w:cs="Times New Roman"/>
          <w:color w:val="000000" w:themeColor="text1"/>
          <w:spacing w:val="0"/>
        </w:rPr>
        <w:softHyphen/>
        <w:t>ной характеристики и др. К весне 1943 г. вышла серия А-6, на которой вместо жиклера экономайзера ввели регулировочную иглу в ниппеле трубки экономайзера и т.д.</w:t>
      </w:r>
    </w:p>
    <w:p w14:paraId="74CB3EF8"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Даже краткое перечисление этих изменений наводит на мысль, что доводка карбю</w:t>
      </w:r>
      <w:r w:rsidRPr="008127F8">
        <w:rPr>
          <w:rFonts w:ascii="Times New Roman" w:cs="Times New Roman"/>
          <w:color w:val="000000" w:themeColor="text1"/>
          <w:spacing w:val="0"/>
        </w:rPr>
        <w:softHyphen/>
        <w:t>ратора проходила в основном всё тем же методом проб и ошибок. Никаких существен</w:t>
      </w:r>
      <w:r w:rsidRPr="008127F8">
        <w:rPr>
          <w:rFonts w:ascii="Times New Roman" w:cs="Times New Roman"/>
          <w:color w:val="000000" w:themeColor="text1"/>
          <w:spacing w:val="0"/>
        </w:rPr>
        <w:softHyphen/>
        <w:t>ных результатов по улучшению работы АК-82БП получено не было (15813).</w:t>
      </w:r>
    </w:p>
    <w:p w14:paraId="343BAF79"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p>
    <w:p w14:paraId="70C786B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в НИИ ВВС испытывали Мустанг Р-51 с Аллисон V-1710-39 (173,260).</w:t>
      </w:r>
    </w:p>
    <w:p w14:paraId="318787C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6F9B0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в НИИ ВВС закончились гос. испытания Пе-3бис, которые начались в мае 1942 и летал М.Нюхтиков. Вес серийной машины снизили до 8002 кг, но скорость упала до 527 км/час и у земли 438 км/час (2475,17).</w:t>
      </w:r>
    </w:p>
    <w:p w14:paraId="4F9A4F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E5EF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в Билимбае на стенде испытывали Д-А-1-1100 на форсаж и достигли тяги 1200 кг. Сопло из хромансиля оплавилось и стали делать из нержавеющей стали (2928,12).</w:t>
      </w:r>
    </w:p>
    <w:p w14:paraId="29155E6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D258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июня 1942 по сентябрь 1942 под Москвой после доработок испытывали планер КГ Л.П.Курбалы - двухбалочный. Планер был построен в конце 1941 на тарном заводе в Сталинграде. В начале 1942 испытали за ТБ-3 (АНТ-6) (112,175).</w:t>
      </w:r>
    </w:p>
    <w:p w14:paraId="278F6A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EC40D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по железной дороге планер «К-Г-Эталон» Курбылы был пе</w:t>
      </w:r>
      <w:r w:rsidRPr="008127F8">
        <w:rPr>
          <w:rFonts w:ascii="Times New Roman" w:hAnsi="Times New Roman"/>
          <w:color w:val="000000" w:themeColor="text1"/>
          <w:sz w:val="16"/>
          <w:szCs w:val="16"/>
        </w:rPr>
        <w:softHyphen/>
        <w:t>ревезен В Москву, где 25 июня 1942 г. начались испы</w:t>
      </w:r>
      <w:r w:rsidRPr="008127F8">
        <w:rPr>
          <w:rFonts w:ascii="Times New Roman" w:hAnsi="Times New Roman"/>
          <w:color w:val="000000" w:themeColor="text1"/>
          <w:sz w:val="16"/>
          <w:szCs w:val="16"/>
        </w:rPr>
        <w:softHyphen/>
        <w:t>тания. Летали В.П. Фёдоров и М.Ф. Романов. Испыта</w:t>
      </w:r>
      <w:r w:rsidRPr="008127F8">
        <w:rPr>
          <w:rFonts w:ascii="Times New Roman" w:hAnsi="Times New Roman"/>
          <w:color w:val="000000" w:themeColor="text1"/>
          <w:sz w:val="16"/>
          <w:szCs w:val="16"/>
        </w:rPr>
        <w:softHyphen/>
        <w:t>ния показали, что от многих проблем не удалось из</w:t>
      </w:r>
      <w:r w:rsidRPr="008127F8">
        <w:rPr>
          <w:rFonts w:ascii="Times New Roman" w:hAnsi="Times New Roman"/>
          <w:color w:val="000000" w:themeColor="text1"/>
          <w:sz w:val="16"/>
          <w:szCs w:val="16"/>
        </w:rPr>
        <w:softHyphen/>
        <w:t>бавиться. Управление планером оказалось тяжелым, сохранились ограничения на скорость буксировки и полета. Кроме того, тележка при сбросе могла от</w:t>
      </w:r>
      <w:r w:rsidRPr="008127F8">
        <w:rPr>
          <w:rFonts w:ascii="Times New Roman" w:hAnsi="Times New Roman"/>
          <w:color w:val="000000" w:themeColor="text1"/>
          <w:sz w:val="16"/>
          <w:szCs w:val="16"/>
        </w:rPr>
        <w:softHyphen/>
        <w:t>скочить от земли и ударить по планеру. Впрочем, это была проблема всех подобных конструкций. Большой вес К-Г-Эталона ограничивал выбор самолета-бук</w:t>
      </w:r>
      <w:r w:rsidRPr="008127F8">
        <w:rPr>
          <w:rFonts w:ascii="Times New Roman" w:hAnsi="Times New Roman"/>
          <w:color w:val="000000" w:themeColor="text1"/>
          <w:sz w:val="16"/>
          <w:szCs w:val="16"/>
        </w:rPr>
        <w:softHyphen/>
        <w:t>сировщика. В то время рассматривался ТБ-3 с мо</w:t>
      </w:r>
      <w:r w:rsidRPr="008127F8">
        <w:rPr>
          <w:rFonts w:ascii="Times New Roman" w:hAnsi="Times New Roman"/>
          <w:color w:val="000000" w:themeColor="text1"/>
          <w:sz w:val="16"/>
          <w:szCs w:val="16"/>
        </w:rPr>
        <w:softHyphen/>
        <w:t>торами АМ-34 РНБ и ДБ-3 (при сниженном взлетном весе).</w:t>
      </w:r>
    </w:p>
    <w:p w14:paraId="598144C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результатам летных испытаний решили, что, несмотря на ряд положительных качеств, К-Г-Эталон запускать в серийное производство нецелесообраз</w:t>
      </w:r>
      <w:r w:rsidRPr="008127F8">
        <w:rPr>
          <w:rFonts w:ascii="Times New Roman" w:hAnsi="Times New Roman"/>
          <w:color w:val="000000" w:themeColor="text1"/>
          <w:sz w:val="16"/>
          <w:szCs w:val="16"/>
        </w:rPr>
        <w:softHyphen/>
        <w:t>но. На этом история планера К-Г закончилась. Дан</w:t>
      </w:r>
      <w:r w:rsidRPr="008127F8">
        <w:rPr>
          <w:rFonts w:ascii="Times New Roman" w:hAnsi="Times New Roman"/>
          <w:color w:val="000000" w:themeColor="text1"/>
          <w:sz w:val="16"/>
          <w:szCs w:val="16"/>
        </w:rPr>
        <w:softHyphen/>
        <w:t>ный пример показывает, что, несмотря на кажущу</w:t>
      </w:r>
      <w:r w:rsidRPr="008127F8">
        <w:rPr>
          <w:rFonts w:ascii="Times New Roman" w:hAnsi="Times New Roman"/>
          <w:color w:val="000000" w:themeColor="text1"/>
          <w:sz w:val="16"/>
          <w:szCs w:val="16"/>
        </w:rPr>
        <w:softHyphen/>
        <w:t>юся простоту, создание тяжелого планера требует наличия определенного опыта в создании подобных конструкций, проведения ряда исследований и опыт</w:t>
      </w:r>
      <w:r w:rsidRPr="008127F8">
        <w:rPr>
          <w:rFonts w:ascii="Times New Roman" w:hAnsi="Times New Roman"/>
          <w:color w:val="000000" w:themeColor="text1"/>
          <w:sz w:val="16"/>
          <w:szCs w:val="16"/>
        </w:rPr>
        <w:softHyphen/>
        <w:t>ных работ, наличия материалов, хорошего качества и, конечно, соответствующей культуры в производстве (12300).</w:t>
      </w:r>
    </w:p>
    <w:p w14:paraId="4F38BF7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F15258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Вплоть до июня 1942 г. производство Г-11 нарастало, когда выяснилось, что военным попросту не нужно такое большое количество десантных плане</w:t>
      </w:r>
      <w:r w:rsidRPr="008127F8">
        <w:rPr>
          <w:rFonts w:ascii="Times New Roman" w:hAnsi="Times New Roman"/>
          <w:color w:val="000000" w:themeColor="text1"/>
          <w:sz w:val="16"/>
          <w:szCs w:val="16"/>
        </w:rPr>
        <w:softHyphen/>
        <w:t>ров. Война протекала не так, как это виделось больше</w:t>
      </w:r>
      <w:r w:rsidRPr="008127F8">
        <w:rPr>
          <w:rFonts w:ascii="Times New Roman" w:hAnsi="Times New Roman"/>
          <w:color w:val="000000" w:themeColor="text1"/>
          <w:sz w:val="16"/>
          <w:szCs w:val="16"/>
        </w:rPr>
        <w:softHyphen/>
        <w:t>вистским стратегам в предвоенные годы, — Красная Армия терпела поражения на всех фронтах. В общем, было не до планерных десантных операций. А отме</w:t>
      </w:r>
      <w:r w:rsidRPr="008127F8">
        <w:rPr>
          <w:rFonts w:ascii="Times New Roman" w:hAnsi="Times New Roman"/>
          <w:color w:val="000000" w:themeColor="text1"/>
          <w:sz w:val="16"/>
          <w:szCs w:val="16"/>
        </w:rPr>
        <w:softHyphen/>
        <w:t>нить ранее принятое решение забыли. В результате деревянные планеры, рассчитанные, по сути, на один боевой вылет, часто зимовали под открытым небом, что приводило их в негод</w:t>
      </w:r>
      <w:r w:rsidRPr="008127F8">
        <w:rPr>
          <w:rFonts w:ascii="Times New Roman" w:hAnsi="Times New Roman"/>
          <w:color w:val="000000" w:themeColor="text1"/>
          <w:sz w:val="16"/>
          <w:szCs w:val="16"/>
        </w:rPr>
        <w:softHyphen/>
        <w:t>ность. Не хватало также само</w:t>
      </w:r>
      <w:r w:rsidRPr="008127F8">
        <w:rPr>
          <w:rFonts w:ascii="Times New Roman" w:hAnsi="Times New Roman"/>
          <w:color w:val="000000" w:themeColor="text1"/>
          <w:sz w:val="16"/>
          <w:szCs w:val="16"/>
        </w:rPr>
        <w:softHyphen/>
        <w:t>летов-буксировщиков и пило- тов-планеристов.</w:t>
      </w:r>
    </w:p>
    <w:p w14:paraId="794D467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Решение о прекращении выпуска Г-11 было приня</w:t>
      </w:r>
      <w:r w:rsidRPr="008127F8">
        <w:rPr>
          <w:rFonts w:ascii="Times New Roman" w:hAnsi="Times New Roman"/>
          <w:color w:val="000000" w:themeColor="text1"/>
          <w:sz w:val="16"/>
          <w:szCs w:val="16"/>
        </w:rPr>
        <w:softHyphen/>
        <w:t>то в 1942 г. после постройки 138 Г-11 на заводе в Шумер- ле и 170 планеров на заводе в Козловке. (12300).</w:t>
      </w:r>
    </w:p>
    <w:p w14:paraId="24962E2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07695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Н.Камов, ГК завода 290 писал письмо НКАП А.И.Ш. письмо:</w:t>
      </w:r>
    </w:p>
    <w:p w14:paraId="505E5D7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"Несколько дней тому назад приказом НКО, Нач. артиллерии Воронова и Нач. ВВС Новикова принято решение организовать корректировочную эскадрилью автожиров.</w:t>
      </w:r>
    </w:p>
    <w:p w14:paraId="4F34D0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укомплектования эскадрильи необходимо произвести в кратчайший срок ремонт и довооружение звена автожиров и подготовить пополнение.</w:t>
      </w:r>
    </w:p>
    <w:p w14:paraId="381DC46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Выполняя Ваш приказ я приступил к ремонту их..." В тот же день было и еще одно письмо Н.Камова А.И.Ш. с просьбой оставить часть конструкторов для разработки нового автожира и просил принять для личного доклада (1684,123).</w:t>
      </w:r>
    </w:p>
    <w:p w14:paraId="6903B8A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CF72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Н.Камов, ГК завода 290 писал письмо НКАП А.И.Ш. письмо:</w:t>
      </w:r>
    </w:p>
    <w:p w14:paraId="07553E9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Ваших указаний коллектив завода 290 приступил к ремонту фронтовых самолетов.</w:t>
      </w:r>
    </w:p>
    <w:p w14:paraId="6C4F29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Часть конструкторов и рабочих работают над окончанием постройки опытного автожира, взлетающего без разбега.</w:t>
      </w:r>
    </w:p>
    <w:p w14:paraId="3404975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Вас подписать приказ, в соответствии с которым завод будет продолжать работы по ремонту фронтовых самолетов и тематике 7 ГУ, утвержденной Вами.</w:t>
      </w:r>
    </w:p>
    <w:p w14:paraId="2F2E98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Прошу принять меня для личного доклада (1684,124).</w:t>
      </w:r>
    </w:p>
    <w:p w14:paraId="29A42E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8FC57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в НИИ ВВС испытывали В-25В и затем С (173,275).</w:t>
      </w:r>
    </w:p>
    <w:p w14:paraId="18981D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B5A5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вышел бюллетень N 11-12 22 завода по монтажу установки ФТ, в количестве 1 тыс. экз. россыпью направленной в полки (1841,28).</w:t>
      </w:r>
    </w:p>
    <w:p w14:paraId="39A643B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7FF38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на Пе-2 появилась новая верхняя стрелковая установка ВУБ-1 (она же Б-270) конструкции И.И.Торопова. Ее стали монтировать на все самолеты начиная со 110-й серии. Установка представляла собой экранированную турель с пулеметом УБТ и непрерывным ленточным питанием. Вследствие того, что длинная пулеметная лента на 200 патронов частенько обрывалась при первых выстрелах из-за повышенного трения в рукаве питания, на серийных ВУБ-1 вместо пулемета УБТ в ряде случаев устанавливался пулемет УБК с пневмоперезарядкой и электроподтягом ленты. Установка опиралась на чугунное кольцо с зубчаткой, прикрывалась подвижным башнеподобным экраном и теоретически обеспечивала существенно большие по сравнению с ФТ углы обстрела: влево - на 110°, вправо - 88° и вверх - 55°. Новая турель обеспечила экипажу значительно более комфортабельные условия, чем примитивная ФТ, сделавшая кабину фактически полуоткрытой. Правда, в ходе испытаний выяснилось, что установка типа ВУБ-1 снижает максимальную скорость "пешки" на 8-12 км/час по сравнению с установкой ТСС-1 (3542).</w:t>
      </w:r>
    </w:p>
    <w:p w14:paraId="59AE89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DE50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на вооружение приняли Ту-2 и до конца года произвели 63 (356,121).</w:t>
      </w:r>
    </w:p>
    <w:p w14:paraId="46B072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2E62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по воспоминаниям генерал-майора авиации К. Д. Денисова "Под нами - Черное море" он воевал на светло-зеленом Як-1, который был единственным в полку некамуфлированным (3092).</w:t>
      </w:r>
    </w:p>
    <w:p w14:paraId="608597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2227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на черноморском катере №175 смонтировали самодельную установку на шесть снарядов перед командирской рубкой на крышке машинного отделения (обычное, в последующем, место расположения таких систем). Переменным был только угол вертикального наведения: до 40 град. на дальность 5,9 км (32 кбт), наведение по горизонту - корпусом катера. Обнаружилось, что на трехбальном волнении срывает два нижних снаряда с направляющих, их сняли, оставив четыре верхних. Время заряжания составило 2 минуты 45 секунд. Пуск “эрэсов” происходил одновременно. Самодельные установки подобного рода нашли широкое применение на Черноморском и Балтийском флотах, всего было оборудовано около десятка катеров. Основными недостатками “самоделок” были низкая точность стрельбы и некоторая опасность воздействия реактивных струй на катер и экипаж при запуске PC (6002).</w:t>
      </w:r>
    </w:p>
    <w:p w14:paraId="3948BF6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E2D31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решения ГОКО № 1849сс кроме самолетов в период 1942-1945 гг. заводу № 39 было поручено изготавливать корпуса 82 мм мин (изделие М-82).</w:t>
      </w:r>
    </w:p>
    <w:p w14:paraId="36C9F6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СНК от 26 февраля 1946 года № 473-192сс и приказом НКАП № 83 от 2 марта 1946 года заводу было дано задание освоить изготовление и запустить в производство машину ТУ-2. Директор – Петров.</w:t>
      </w:r>
    </w:p>
    <w:p w14:paraId="7D0EB6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Головную машину ТУ-2 завод выпустил 30 июня 1947 года.</w:t>
      </w:r>
    </w:p>
    <w:p w14:paraId="3884A84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ТУ-2 завод выпускал в течение 1947-1949 гг.</w:t>
      </w:r>
    </w:p>
    <w:p w14:paraId="54389A5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 1890-700сс от 14 мая 1949 года и приказом МАП № 374сс от 19 мая 1949 года заводу было дано новое задание по постановлке в серийное производство реактивного бомбардировщика ИЛ-28 с двумя двигателями ВК-1.</w:t>
      </w:r>
    </w:p>
    <w:p w14:paraId="1A84C5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сентября 1949 года все работы по запуску в производство ИЛ-28 были приостановлены в связи с изменением задания.</w:t>
      </w:r>
    </w:p>
    <w:p w14:paraId="72A63C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6E7ADF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Постановлением СМ от 31 декабря 1952 года № 533-2090сс и приказом МАП от 3-го января 1953 года № 6сс заводу было дано новое задание о постановке в производство нового изделия самолета ИЛ-28Р. (Жиректор завода Иванченко С.К.)</w:t>
      </w:r>
    </w:p>
    <w:p w14:paraId="7AE5C7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И.о. директора – Гордин</w:t>
      </w:r>
    </w:p>
    <w:p w14:paraId="5C2EC63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 Иркутская область, п/я 411</w:t>
      </w:r>
    </w:p>
    <w:p w14:paraId="0977BFA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Производственный профиль – самолетостроение</w:t>
      </w:r>
    </w:p>
    <w:p w14:paraId="51FFDA3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расположен в Иркутской области в поселке Ленина, находящемся от Иркутска на расстоянии 7 км по ж/д в западном направлении и по автомобильной дороге на расстоянии 11 км. С северной стороны завода протекает Ангара на расстоянии 2,5 км (9826).</w:t>
      </w:r>
    </w:p>
    <w:p w14:paraId="5F63F9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6B5F9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первые 10 МиГ—3, выпущенные опытным заво</w:t>
      </w:r>
      <w:r w:rsidRPr="008127F8">
        <w:rPr>
          <w:rFonts w:ascii="Times New Roman" w:hAnsi="Times New Roman"/>
          <w:color w:val="000000" w:themeColor="text1"/>
          <w:sz w:val="16"/>
          <w:szCs w:val="16"/>
        </w:rPr>
        <w:softHyphen/>
        <w:t>дом № 155, были приняты военными К этому времени 12 истребителей Микояна и Гуревича сдал за</w:t>
      </w:r>
      <w:r w:rsidRPr="008127F8">
        <w:rPr>
          <w:rFonts w:ascii="Times New Roman" w:hAnsi="Times New Roman"/>
          <w:color w:val="000000" w:themeColor="text1"/>
          <w:sz w:val="16"/>
          <w:szCs w:val="16"/>
        </w:rPr>
        <w:softHyphen/>
        <w:t>вод № 1, причем первые три из них построили в Куй</w:t>
      </w:r>
      <w:r w:rsidRPr="008127F8">
        <w:rPr>
          <w:rFonts w:ascii="Times New Roman" w:hAnsi="Times New Roman"/>
          <w:color w:val="000000" w:themeColor="text1"/>
          <w:sz w:val="16"/>
          <w:szCs w:val="16"/>
        </w:rPr>
        <w:softHyphen/>
        <w:t>бышеве в феврале в 1942 г (9984).</w:t>
      </w:r>
    </w:p>
    <w:p w14:paraId="473DF04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36B86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завод №33 выпустил карбюратор АК-82БП серии А-3. Основ</w:t>
      </w:r>
      <w:r w:rsidRPr="008127F8">
        <w:rPr>
          <w:rFonts w:ascii="Times New Roman" w:hAnsi="Times New Roman"/>
          <w:color w:val="000000" w:themeColor="text1"/>
          <w:sz w:val="16"/>
          <w:szCs w:val="16"/>
        </w:rPr>
        <w:softHyphen/>
        <w:t>ное отличие этой серии от 2-й со</w:t>
      </w:r>
      <w:r w:rsidRPr="008127F8">
        <w:rPr>
          <w:rFonts w:ascii="Times New Roman" w:hAnsi="Times New Roman"/>
          <w:color w:val="000000" w:themeColor="text1"/>
          <w:sz w:val="16"/>
          <w:szCs w:val="16"/>
        </w:rPr>
        <w:softHyphen/>
        <w:t>стояло в том, что все резиновые плос</w:t>
      </w:r>
      <w:r w:rsidRPr="008127F8">
        <w:rPr>
          <w:rFonts w:ascii="Times New Roman" w:hAnsi="Times New Roman"/>
          <w:color w:val="000000" w:themeColor="text1"/>
          <w:sz w:val="16"/>
          <w:szCs w:val="16"/>
        </w:rPr>
        <w:softHyphen/>
        <w:t>кие мембраны главной дозирующей системы и клапана экономайзера были заменены мембранами с гоф</w:t>
      </w:r>
      <w:r w:rsidRPr="008127F8">
        <w:rPr>
          <w:rFonts w:ascii="Times New Roman" w:hAnsi="Times New Roman"/>
          <w:color w:val="000000" w:themeColor="text1"/>
          <w:sz w:val="16"/>
          <w:szCs w:val="16"/>
        </w:rPr>
        <w:softHyphen/>
        <w:t>ром, а также введены изменения по диаметрам жиклеров и т.д. В июле вышла серия А-4, отличающаяся по</w:t>
      </w:r>
      <w:r w:rsidRPr="008127F8">
        <w:rPr>
          <w:rFonts w:ascii="Times New Roman" w:hAnsi="Times New Roman"/>
          <w:color w:val="000000" w:themeColor="text1"/>
          <w:sz w:val="16"/>
          <w:szCs w:val="16"/>
        </w:rPr>
        <w:softHyphen/>
        <w:t>вышением твердости ролика дозиру</w:t>
      </w:r>
      <w:r w:rsidRPr="008127F8">
        <w:rPr>
          <w:rFonts w:ascii="Times New Roman" w:hAnsi="Times New Roman"/>
          <w:color w:val="000000" w:themeColor="text1"/>
          <w:sz w:val="16"/>
          <w:szCs w:val="16"/>
        </w:rPr>
        <w:softHyphen/>
        <w:t>ющей иглы для снижения его выра</w:t>
      </w:r>
      <w:r w:rsidRPr="008127F8">
        <w:rPr>
          <w:rFonts w:ascii="Times New Roman" w:hAnsi="Times New Roman"/>
          <w:color w:val="000000" w:themeColor="text1"/>
          <w:sz w:val="16"/>
          <w:szCs w:val="16"/>
        </w:rPr>
        <w:softHyphen/>
        <w:t>ботки. Затем появилась 5-я серия с измененным профилем и полировкой дозирующей иглы, снова плоскими мембранами, но с укорочением их хода, введением жиклера экономайзера для улучшения высотной характерис</w:t>
      </w:r>
      <w:r w:rsidRPr="008127F8">
        <w:rPr>
          <w:rFonts w:ascii="Times New Roman" w:hAnsi="Times New Roman"/>
          <w:color w:val="000000" w:themeColor="text1"/>
          <w:sz w:val="16"/>
          <w:szCs w:val="16"/>
        </w:rPr>
        <w:softHyphen/>
        <w:t>тики и др. К весне 1943 года вышла серия А-6, на которой вместо жикле</w:t>
      </w:r>
      <w:r w:rsidRPr="008127F8">
        <w:rPr>
          <w:rFonts w:ascii="Times New Roman" w:hAnsi="Times New Roman"/>
          <w:color w:val="000000" w:themeColor="text1"/>
          <w:sz w:val="16"/>
          <w:szCs w:val="16"/>
        </w:rPr>
        <w:softHyphen/>
        <w:t>ра экономайзера была введена ре</w:t>
      </w:r>
      <w:r w:rsidRPr="008127F8">
        <w:rPr>
          <w:rFonts w:ascii="Times New Roman" w:hAnsi="Times New Roman"/>
          <w:color w:val="000000" w:themeColor="text1"/>
          <w:sz w:val="16"/>
          <w:szCs w:val="16"/>
        </w:rPr>
        <w:softHyphen/>
        <w:t>гулировочная игла в ниппеле трубки экономайзера и т.д. Даже краткое перечисление этих изменений наводит на мысль, что до</w:t>
      </w:r>
      <w:r w:rsidRPr="008127F8">
        <w:rPr>
          <w:rFonts w:ascii="Times New Roman" w:hAnsi="Times New Roman"/>
          <w:color w:val="000000" w:themeColor="text1"/>
          <w:sz w:val="16"/>
          <w:szCs w:val="16"/>
        </w:rPr>
        <w:softHyphen/>
        <w:t>водка карбюратора проходила в ос</w:t>
      </w:r>
      <w:r w:rsidRPr="008127F8">
        <w:rPr>
          <w:rFonts w:ascii="Times New Roman" w:hAnsi="Times New Roman"/>
          <w:color w:val="000000" w:themeColor="text1"/>
          <w:sz w:val="16"/>
          <w:szCs w:val="16"/>
        </w:rPr>
        <w:softHyphen/>
        <w:t>новном все тем же методом проб и ошибок. Никаких существенных ре</w:t>
      </w:r>
      <w:r w:rsidRPr="008127F8">
        <w:rPr>
          <w:rFonts w:ascii="Times New Roman" w:hAnsi="Times New Roman"/>
          <w:color w:val="000000" w:themeColor="text1"/>
          <w:sz w:val="16"/>
          <w:szCs w:val="16"/>
        </w:rPr>
        <w:softHyphen/>
        <w:t>зультатов по улучшению работы АК-82БП получено не было (10705).</w:t>
      </w:r>
    </w:p>
    <w:p w14:paraId="044CB8D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5AA6E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по требованию военных на Бе-4 отрабаты</w:t>
      </w:r>
      <w:r w:rsidRPr="008127F8">
        <w:rPr>
          <w:rFonts w:ascii="Times New Roman" w:hAnsi="Times New Roman"/>
          <w:color w:val="000000" w:themeColor="text1"/>
          <w:sz w:val="16"/>
          <w:szCs w:val="16"/>
        </w:rPr>
        <w:softHyphen/>
        <w:t>валась техника бомбометания с пикирова</w:t>
      </w:r>
      <w:r w:rsidRPr="008127F8">
        <w:rPr>
          <w:rFonts w:ascii="Times New Roman" w:hAnsi="Times New Roman"/>
          <w:color w:val="000000" w:themeColor="text1"/>
          <w:sz w:val="16"/>
          <w:szCs w:val="16"/>
        </w:rPr>
        <w:softHyphen/>
        <w:t>ния. Испытания начал заводской летчик Ф.С. Лещенко, которого из-за болезни сменил С.Б. Рейдель. Он обнаружил, что при переводе Бе-4 в пикирование в кабине появляется запах бензина. Тщательный послеполетный осмотр винтомоторной группы не дал результатов, и испытания решили продолжить. Через 2 дня в оче</w:t>
      </w:r>
      <w:r w:rsidRPr="008127F8">
        <w:rPr>
          <w:rFonts w:ascii="Times New Roman" w:hAnsi="Times New Roman"/>
          <w:color w:val="000000" w:themeColor="text1"/>
          <w:sz w:val="16"/>
          <w:szCs w:val="16"/>
        </w:rPr>
        <w:softHyphen/>
        <w:t>редном полете в момент ввода в пике в ка</w:t>
      </w:r>
      <w:r w:rsidRPr="008127F8">
        <w:rPr>
          <w:rFonts w:ascii="Times New Roman" w:hAnsi="Times New Roman"/>
          <w:color w:val="000000" w:themeColor="text1"/>
          <w:sz w:val="16"/>
          <w:szCs w:val="16"/>
        </w:rPr>
        <w:softHyphen/>
        <w:t>бине опять резко запахло бензином. Через мгновение топливо попало на выхлопные патрубки двигателя и воспламенилось. Рейдель хладнокровно вывел машину из пикирования, сбросил фонарь и дал ко</w:t>
      </w:r>
      <w:r w:rsidRPr="008127F8">
        <w:rPr>
          <w:rFonts w:ascii="Times New Roman" w:hAnsi="Times New Roman"/>
          <w:color w:val="000000" w:themeColor="text1"/>
          <w:sz w:val="16"/>
          <w:szCs w:val="16"/>
        </w:rPr>
        <w:softHyphen/>
        <w:t>манду штурману покинуть самолет. Однако тот замешкался, и в это время пламя стало гаснуть. Летчик решил спасти самолет. Только посадив летающую лодку, он почув</w:t>
      </w:r>
      <w:r w:rsidRPr="008127F8">
        <w:rPr>
          <w:rFonts w:ascii="Times New Roman" w:hAnsi="Times New Roman"/>
          <w:color w:val="000000" w:themeColor="text1"/>
          <w:sz w:val="16"/>
          <w:szCs w:val="16"/>
        </w:rPr>
        <w:softHyphen/>
        <w:t>ствовал, что у него обожжено лицо. Причи</w:t>
      </w:r>
      <w:r w:rsidRPr="008127F8">
        <w:rPr>
          <w:rFonts w:ascii="Times New Roman" w:hAnsi="Times New Roman"/>
          <w:color w:val="000000" w:themeColor="text1"/>
          <w:sz w:val="16"/>
          <w:szCs w:val="16"/>
        </w:rPr>
        <w:softHyphen/>
        <w:t>ной пожара, который едва не привел к тра</w:t>
      </w:r>
      <w:r w:rsidRPr="008127F8">
        <w:rPr>
          <w:rFonts w:ascii="Times New Roman" w:hAnsi="Times New Roman"/>
          <w:color w:val="000000" w:themeColor="text1"/>
          <w:sz w:val="16"/>
          <w:szCs w:val="16"/>
        </w:rPr>
        <w:softHyphen/>
        <w:t>гедии, стал дефект пробки бензобака. Ее тут же доработали, а по результатам испы</w:t>
      </w:r>
      <w:r w:rsidRPr="008127F8">
        <w:rPr>
          <w:rFonts w:ascii="Times New Roman" w:hAnsi="Times New Roman"/>
          <w:color w:val="000000" w:themeColor="text1"/>
          <w:sz w:val="16"/>
          <w:szCs w:val="16"/>
        </w:rPr>
        <w:softHyphen/>
        <w:t>таний выпустили методические рекомен</w:t>
      </w:r>
      <w:r w:rsidRPr="008127F8">
        <w:rPr>
          <w:rFonts w:ascii="Times New Roman" w:hAnsi="Times New Roman"/>
          <w:color w:val="000000" w:themeColor="text1"/>
          <w:sz w:val="16"/>
          <w:szCs w:val="16"/>
        </w:rPr>
        <w:softHyphen/>
        <w:t>дации по применению Бе-4 в качестве пи</w:t>
      </w:r>
      <w:r w:rsidRPr="008127F8">
        <w:rPr>
          <w:rFonts w:ascii="Times New Roman" w:hAnsi="Times New Roman"/>
          <w:color w:val="000000" w:themeColor="text1"/>
          <w:sz w:val="16"/>
          <w:szCs w:val="16"/>
        </w:rPr>
        <w:softHyphen/>
        <w:t>кирующего бомбардировщика (10685).</w:t>
      </w:r>
    </w:p>
    <w:p w14:paraId="46C2C81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83B73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на заводе № 31 в Тбилиси была за</w:t>
      </w:r>
      <w:r w:rsidRPr="008127F8">
        <w:rPr>
          <w:rFonts w:ascii="Times New Roman" w:hAnsi="Times New Roman"/>
          <w:color w:val="000000" w:themeColor="text1"/>
          <w:sz w:val="16"/>
          <w:szCs w:val="16"/>
        </w:rPr>
        <w:softHyphen/>
        <w:t>вершена оостройка самолета «Г» или “Г-1” В.П.Горбунова и до кон</w:t>
      </w:r>
      <w:r w:rsidRPr="008127F8">
        <w:rPr>
          <w:rFonts w:ascii="Times New Roman" w:hAnsi="Times New Roman"/>
          <w:color w:val="000000" w:themeColor="text1"/>
          <w:sz w:val="16"/>
          <w:szCs w:val="16"/>
        </w:rPr>
        <w:softHyphen/>
        <w:t>ца месяца он совершил 10 полетов, из них 2 полета на высоту до 5000 м. Общий налет составил 2 ч 30 мин. За эти полеты был отработан тепло</w:t>
      </w:r>
      <w:r w:rsidRPr="008127F8">
        <w:rPr>
          <w:rFonts w:ascii="Times New Roman" w:hAnsi="Times New Roman"/>
          <w:color w:val="000000" w:themeColor="text1"/>
          <w:sz w:val="16"/>
          <w:szCs w:val="16"/>
        </w:rPr>
        <w:softHyphen/>
        <w:t>вой режим мотора М-82 и вся ВМГ. Но в это же самое время завод № 31 получил приказ осваивать в се</w:t>
      </w:r>
      <w:r w:rsidRPr="008127F8">
        <w:rPr>
          <w:rFonts w:ascii="Times New Roman" w:hAnsi="Times New Roman"/>
          <w:color w:val="000000" w:themeColor="text1"/>
          <w:sz w:val="16"/>
          <w:szCs w:val="16"/>
        </w:rPr>
        <w:softHyphen/>
        <w:t>рийном производстве принятый на вооружение ЛаГГ-5 конструкции Ла</w:t>
      </w:r>
      <w:r w:rsidRPr="008127F8">
        <w:rPr>
          <w:rFonts w:ascii="Times New Roman" w:hAnsi="Times New Roman"/>
          <w:color w:val="000000" w:themeColor="text1"/>
          <w:sz w:val="16"/>
          <w:szCs w:val="16"/>
        </w:rPr>
        <w:softHyphen/>
        <w:t>вочкина. По указанию директора за</w:t>
      </w:r>
      <w:r w:rsidRPr="008127F8">
        <w:rPr>
          <w:rFonts w:ascii="Times New Roman" w:hAnsi="Times New Roman"/>
          <w:color w:val="000000" w:themeColor="text1"/>
          <w:sz w:val="16"/>
          <w:szCs w:val="16"/>
        </w:rPr>
        <w:softHyphen/>
        <w:t>вода временно полеты самолета «Г» были приостановлены (10686).</w:t>
      </w:r>
    </w:p>
    <w:p w14:paraId="0D19433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33E38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в результате совместных ВВС КА и НКАП контрольных испытаний (4091) было установлено, что самолеты ЛаГГ-3, Як-1 и Як-7 с форсированными моторами М-105ПФ по летным данным практически приблизились к Ме-109Ф и их серийный выпуск начался с июня 1942 г (3573).</w:t>
      </w:r>
    </w:p>
    <w:p w14:paraId="6AAC906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2BA70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июня 1942 г. выпуск М-30 возобновили на заводе № 500 (в цехах эвакуированного завода № 82). В том же году двигатель был модернизи</w:t>
      </w:r>
      <w:r w:rsidRPr="008127F8">
        <w:rPr>
          <w:rFonts w:ascii="Times New Roman" w:hAnsi="Times New Roman"/>
          <w:color w:val="000000" w:themeColor="text1"/>
          <w:sz w:val="16"/>
          <w:szCs w:val="16"/>
        </w:rPr>
        <w:softHyphen/>
        <w:t>рован в ОКБ-500 под руководством Чаромского (уже освобожденного из заключения) с введением ПЦН и интеркулеров. Усовершенствованный вари</w:t>
      </w:r>
      <w:r w:rsidRPr="008127F8">
        <w:rPr>
          <w:rFonts w:ascii="Times New Roman" w:hAnsi="Times New Roman"/>
          <w:color w:val="000000" w:themeColor="text1"/>
          <w:sz w:val="16"/>
          <w:szCs w:val="16"/>
        </w:rPr>
        <w:softHyphen/>
        <w:t>ант начали выпускать с конца 1942 г. как М-ЗОБ, а затем переименовали в АЧ-ЗОБ. В 1944-1945 гг. АЧ-ЗОБ изготовлялся также на заводе № 45 в Мо</w:t>
      </w:r>
      <w:r w:rsidRPr="008127F8">
        <w:rPr>
          <w:rFonts w:ascii="Times New Roman" w:hAnsi="Times New Roman"/>
          <w:color w:val="000000" w:themeColor="text1"/>
          <w:sz w:val="16"/>
          <w:szCs w:val="16"/>
        </w:rPr>
        <w:softHyphen/>
        <w:t>скве. В сентябре 1945 г. дизель сняли с производства на обоих заводах. Всего изготовили 1423 (по другим данным — 1526) М-30, М-ЗОБ и АЧ-ЗОБ. АЧ-ЗОБ стал основой для ряда серийных танковых и судовых дизелей. В 1946-1947 гг. производилась разборка части не бывших в употреблении АЧ-ЗОБ для использования их деталей и узлов в катерных дизелях М-50Р. Двигатели АЧ-ЗОБ после некоторой переделки применялись также в не</w:t>
      </w:r>
      <w:r w:rsidRPr="008127F8">
        <w:rPr>
          <w:rFonts w:ascii="Times New Roman" w:hAnsi="Times New Roman"/>
          <w:color w:val="000000" w:themeColor="text1"/>
          <w:sz w:val="16"/>
          <w:szCs w:val="16"/>
        </w:rPr>
        <w:softHyphen/>
        <w:t>больших электростанциях ДКЭ для сельских районов.</w:t>
      </w:r>
    </w:p>
    <w:p w14:paraId="1AB30CC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Характеристики:</w:t>
      </w:r>
    </w:p>
    <w:p w14:paraId="61FD534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12-цшшдровый, рядный У-образный дизель, четырехтактный, водя</w:t>
      </w:r>
      <w:r w:rsidRPr="008127F8">
        <w:rPr>
          <w:rFonts w:ascii="Times New Roman" w:hAnsi="Times New Roman"/>
          <w:color w:val="000000" w:themeColor="text1"/>
          <w:sz w:val="16"/>
          <w:szCs w:val="16"/>
        </w:rPr>
        <w:softHyphen/>
        <w:t>ного охлаждения;</w:t>
      </w:r>
    </w:p>
    <w:p w14:paraId="4E6FCA3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объем 61,04 л;</w:t>
      </w:r>
    </w:p>
    <w:p w14:paraId="31AD858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диаметр цилиндра/ход поршня 180/200 мм (в цилиндрах с прицепными шатунами 209,95 мм);</w:t>
      </w:r>
    </w:p>
    <w:p w14:paraId="68E7AAC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степень сжатия 13,5;</w:t>
      </w:r>
    </w:p>
    <w:p w14:paraId="1A8FC3B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мощность и вес в зависимости от модификации. Известны следующие модификации:</w:t>
      </w:r>
    </w:p>
    <w:p w14:paraId="18538C5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М-30, первая серийная модификация с двумя турбонагнетателями, без ПЦН и интеркулеров. Мощность 1250/1500 л.с., вес 1200 кг (по другим данным, 1150 кг). Этот двигатель выпускался серийно заводом № 82 (44 экз. в 1941 г.) и заводом № 500 (32 экз. в 1942 г.). Производство пре</w:t>
      </w:r>
      <w:r w:rsidRPr="008127F8">
        <w:rPr>
          <w:rFonts w:ascii="Times New Roman" w:hAnsi="Times New Roman"/>
          <w:color w:val="000000" w:themeColor="text1"/>
          <w:sz w:val="16"/>
          <w:szCs w:val="16"/>
        </w:rPr>
        <w:softHyphen/>
        <w:t>кращено в конце 1942 г. Часть М-30 переделана в 1942 г. в М-ЗОБ.</w:t>
      </w:r>
    </w:p>
    <w:p w14:paraId="583B7EB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М-ЗОФ, опытный вариант 1942 г., 1500/1750 л.с.</w:t>
      </w:r>
    </w:p>
    <w:p w14:paraId="7D78B9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М-ЗОБ (АЧ-ЗОБ), модернизированный вариант с ПЦН. В ОКБ-500 готовились два варианта — с ПЦН от моторов АМ-38 и М-105.</w:t>
      </w:r>
    </w:p>
    <w:p w14:paraId="1B7DA5D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июле 1942 г. первый тип прошел 100-часовые испытания, второй оказался менее удачным, хотя именно его сначала хотели запустить в серию. В конечном итоге в производство пошел вариант с ПЦН от АМ-38 (с уменьшенным диаметром крыльчатки) и двумя турбонаг</w:t>
      </w:r>
      <w:r w:rsidRPr="008127F8">
        <w:rPr>
          <w:rFonts w:ascii="Times New Roman" w:hAnsi="Times New Roman"/>
          <w:color w:val="000000" w:themeColor="text1"/>
          <w:sz w:val="16"/>
          <w:szCs w:val="16"/>
        </w:rPr>
        <w:softHyphen/>
        <w:t>нетателями Т1-82 и интеркулерами. С августа 1942 г. завод № 500 начал переделку М-30 в М-ЗОБ (переделано 35 экз.), а затем произ</w:t>
      </w:r>
      <w:r w:rsidRPr="008127F8">
        <w:rPr>
          <w:rFonts w:ascii="Times New Roman" w:hAnsi="Times New Roman"/>
          <w:color w:val="000000" w:themeColor="text1"/>
          <w:sz w:val="16"/>
          <w:szCs w:val="16"/>
        </w:rPr>
        <w:softHyphen/>
        <w:t>водство М-ЗОБ (за 1942 г. изготовлено 34 экз.). В январе — апреле 1943 г. М-ЗОБ испытывался на Ер-2, в августе — на Ил-6. В феврале того же года осуществлялась опытная эксплуатация М-ЗОБ на Пе-8 в частях АДД. Официально АЧ-ЗОБ был принят к крупносерийному производству 19 июня 1943 г. С весны того же года выпуск АЧ-ЗОБ осваивали на заводе № 45. Фактически массовый выпуск дизелей на обоих предприятиях начался с 4-го квартала 1943 г. В ходе серийного производства АЧ-ЗОБ менялся довольно мало; с апреля 1945 г. на нем ввели дополнительные топливные фильтры. Мощность 1250/1500 л.с., вес опытных образцов 1280 кг, серийных 1290 кг (поздние серии 1310 кг). Выпуск на обоих заводах прекращен в сентябре 1945 г. Всего изготовлено 1450 АЧ-ЗОБ.</w:t>
      </w:r>
    </w:p>
    <w:p w14:paraId="3E5059B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М-ЗОД, форсированный тип для штурмовика, мощность 1750/2000 л.с. В марте 1943 г. задание на его разработку выдали заводу № 500. Данных о проектировании и постройке нет.</w:t>
      </w:r>
    </w:p>
    <w:p w14:paraId="2B8E79D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АЧ-ЗОБФ, форсированный вариант АЧ-ЗОБ с впрыском бензина по</w:t>
      </w:r>
      <w:r w:rsidRPr="008127F8">
        <w:rPr>
          <w:rFonts w:ascii="Times New Roman" w:hAnsi="Times New Roman"/>
          <w:color w:val="000000" w:themeColor="text1"/>
          <w:sz w:val="16"/>
          <w:szCs w:val="16"/>
        </w:rPr>
        <w:softHyphen/>
        <w:t>сле турбонагнетателей. Проектировался с 1943 г. Испытания опыт</w:t>
      </w:r>
      <w:r w:rsidRPr="008127F8">
        <w:rPr>
          <w:rFonts w:ascii="Times New Roman" w:hAnsi="Times New Roman"/>
          <w:color w:val="000000" w:themeColor="text1"/>
          <w:sz w:val="16"/>
          <w:szCs w:val="16"/>
        </w:rPr>
        <w:softHyphen/>
        <w:t>ных образцов проходили с весны 1944 г. С августа того же года два АЧ-ЗОБФ испытывались на опытном бомбардировщике Ил-6, 100-часовые заводские испытания успешно завершили в марте 1945 г. В том же месяце начали госиспытания, на которых двигатель был забракован из-за плохой приемистости и сложной процедуры запу</w:t>
      </w:r>
      <w:r w:rsidRPr="008127F8">
        <w:rPr>
          <w:rFonts w:ascii="Times New Roman" w:hAnsi="Times New Roman"/>
          <w:color w:val="000000" w:themeColor="text1"/>
          <w:sz w:val="16"/>
          <w:szCs w:val="16"/>
        </w:rPr>
        <w:softHyphen/>
        <w:t>ска. После некоторой доводки АЧ-ЗОБФ испытывались на самолете Ту-2. Работа над двигателем продолжалась до 1947 г. Мощность 1250/1900 л.с., вес 1280 кг. Всего переделано из АЧ-ЗОБ 17 экз.</w:t>
      </w:r>
    </w:p>
    <w:p w14:paraId="13E4844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АЧ-ЗОБ с мотокомпрессорным воздушно-реактивным двигателем. Про</w:t>
      </w:r>
      <w:r w:rsidRPr="008127F8">
        <w:rPr>
          <w:rFonts w:ascii="Times New Roman" w:hAnsi="Times New Roman"/>
          <w:color w:val="000000" w:themeColor="text1"/>
          <w:sz w:val="16"/>
          <w:szCs w:val="16"/>
        </w:rPr>
        <w:softHyphen/>
        <w:t>ектировался под руководством Толстова в ЦИАМ с начала 1944 г. В основе имел серийный АЧ-ЗОБ с переделанной системой наддува. Привод компрессора ВРДК осуществлялся выхлопными газами от турбин, без механической связи дизеля и реактивного двигателя. Про</w:t>
      </w:r>
      <w:r w:rsidRPr="008127F8">
        <w:rPr>
          <w:rFonts w:ascii="Times New Roman" w:hAnsi="Times New Roman"/>
          <w:color w:val="000000" w:themeColor="text1"/>
          <w:sz w:val="16"/>
          <w:szCs w:val="16"/>
        </w:rPr>
        <w:softHyphen/>
        <w:t>ходил заводские стендовые испытания в июне 1944 г. — мае 1945 г. Серийно не выпускался, на самолетах не устанавливался. Тяга ВРДК 873 кг, вес всей установки 1700 кг, суммарная мощность при вклю</w:t>
      </w:r>
      <w:r w:rsidRPr="008127F8">
        <w:rPr>
          <w:rFonts w:ascii="Times New Roman" w:hAnsi="Times New Roman"/>
          <w:color w:val="000000" w:themeColor="text1"/>
          <w:sz w:val="16"/>
          <w:szCs w:val="16"/>
        </w:rPr>
        <w:softHyphen/>
        <w:t>ченном ВРДК 4500 э.л.с.</w:t>
      </w:r>
    </w:p>
    <w:p w14:paraId="40B3252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ТД-ЗОБ, танковый дизель на базе АЧ-ЗОБ. Работы по танковому вари</w:t>
      </w:r>
      <w:r w:rsidRPr="008127F8">
        <w:rPr>
          <w:rFonts w:ascii="Times New Roman" w:hAnsi="Times New Roman"/>
          <w:color w:val="000000" w:themeColor="text1"/>
          <w:sz w:val="16"/>
          <w:szCs w:val="16"/>
        </w:rPr>
        <w:softHyphen/>
        <w:t>анту велись с 1945 г., когда проводили эксперименты по длительной эксплуатации АЧ-ЗОБ при низких оборотах. ТД-ЗОБ был спроектиро</w:t>
      </w:r>
      <w:r w:rsidRPr="008127F8">
        <w:rPr>
          <w:rFonts w:ascii="Times New Roman" w:hAnsi="Times New Roman"/>
          <w:color w:val="000000" w:themeColor="text1"/>
          <w:sz w:val="16"/>
          <w:szCs w:val="16"/>
        </w:rPr>
        <w:softHyphen/>
        <w:t>ван под руководством А.Я. Носача в конструкторском бюро ХТЗ в 1946-1947 гг. С 1948 г. выпускался на ХТЗ серийно. Стал основой для последующего танкового дизеля ТД-11Б.</w:t>
      </w:r>
    </w:p>
    <w:p w14:paraId="33A4499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КЧ-ЗОБ, танковый дизель, вариант ТД-ЗОБ, 1200 л.с. Опытный об</w:t>
      </w:r>
      <w:r w:rsidRPr="008127F8">
        <w:rPr>
          <w:rFonts w:ascii="Times New Roman" w:hAnsi="Times New Roman"/>
          <w:color w:val="000000" w:themeColor="text1"/>
          <w:sz w:val="16"/>
          <w:szCs w:val="16"/>
        </w:rPr>
        <w:softHyphen/>
        <w:t>разец не строился.</w:t>
      </w:r>
    </w:p>
    <w:p w14:paraId="40A70CB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Дизели семейства М-30/АЧ-ЗОБ устанавливались на серийных бомбарди</w:t>
      </w:r>
      <w:r w:rsidRPr="008127F8">
        <w:rPr>
          <w:rFonts w:ascii="Times New Roman" w:hAnsi="Times New Roman"/>
          <w:color w:val="000000" w:themeColor="text1"/>
          <w:sz w:val="16"/>
          <w:szCs w:val="16"/>
        </w:rPr>
        <w:softHyphen/>
        <w:t>ровщиках Ер-2 и ТБ-7 (Пе-8), опытном самолете «67» (переоборудованном Ту-2). Их применение предусматривалось также в проектах МЫ, Ил-4, Ту-8С, ПС-84 (вариант бомбардировщика) (11852).</w:t>
      </w:r>
    </w:p>
    <w:p w14:paraId="639F24B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514E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главный конструктор завода № 379 А.И. Марков сообщал в ЦК ВКП(б):</w:t>
      </w:r>
    </w:p>
    <w:p w14:paraId="293248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конструктор прицела, считаю восстановление прицелов в системе НКАП и введение их на вооружение ВВС Красной Армии совершенно необходимым на основании следующего:</w:t>
      </w:r>
    </w:p>
    <w:p w14:paraId="091463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Точность бомбометания у современной бомбардировочной авиации недостаточна и поэтому для разрушения узких в плане целей (мосты, корабли и пр.) необходимы большие потери в самолетах и громадный расход бомб.</w:t>
      </w:r>
    </w:p>
    <w:p w14:paraId="6E37B31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Бомбардировочные прицелы, принятые на вооружение, или слишком примитивны и потому являются малоточными, или требуют от летчика большого напряжения, рассредоточивая его внимание между наведением самолета на цель и выдерживанием необходимого для прицеливания режима пикирования, что для среднего летчика в пикировании под огнем зенитной артиллерии слишком сложно.</w:t>
      </w:r>
    </w:p>
    <w:p w14:paraId="69DDD5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Прицел АП-103, автоматически решающий задачу встречи бомбы с целью и автоматически учитывающий переменные параметры режима пикирования, дает возможность летчику сосредоточит^ все свое внимание на единственной операции, на совмещении цели с целиком (меткой - прим. авт.) прицела".</w:t>
      </w:r>
    </w:p>
    <w:p w14:paraId="7E58CF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отсутствие автомата пикирования АП-103 не позволяло полностью использовать возможности, заложенные в Ту-2, поставленных заказчику в 1942 г. (12035).</w:t>
      </w:r>
    </w:p>
    <w:p w14:paraId="3023684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6341C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Главное управление заказов и технического снабжения ВВС (ГУЗиТС ВВС) обратилось к НКАП с просьбой окрасить на заводах № 21 и № 22 по 20 самолетов ЛаГГ-3 и Пе-2 для испытаний нового трехцветного камуфляжа. Новая схема проверялась в нескольких полках в тылу и на фронте и получила положительную оценку, в отзывах отмечалось ее безусловное преимущество по сравнению с общепринятой двухцветной. До 1943 г. вопрос о широком внедрении трехцветной окраски прошел ряд инстанций, но окончательного решения принято не было.</w:t>
      </w:r>
    </w:p>
    <w:p w14:paraId="4FDF6A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боевых самолетов предлагались и другие варианты окраски, в частности - светлая однотонная для истребителей. Однако заводы продолжали выпускать машины в двухцветном камуфляже вплоть до середины лета 1943 г.</w:t>
      </w:r>
    </w:p>
    <w:p w14:paraId="48F3564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1942 г. в ВИАМ разработали трудно- воспламеняемые хлорвиниловые эмали стандартных цветов: ДД-118А (серая, для внутренних поверхностей), ХВ-4 (зеленая), ХВ-6 (черная) и ХВ-7 (голубая). В июле проводились опытные окраски ими истребителей Яковлева. С августа велись работы по внедрению этих материалов в промышленности, но и в апреле 1943 г. до окончания работ было далеко - свободных мощностей у лакокрасочных заводов не было. Хлорвиниловые эмали получили широкое распространение только после войны (11989).</w:t>
      </w:r>
    </w:p>
    <w:p w14:paraId="3A40A8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8FC2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июне 1942 г на вооружение приняли фугасный 132-мм снаряд М-20, который отличался от М-13 более тяжелой головной частью и, соответственно, меньшей </w:t>
      </w:r>
      <w:r w:rsidRPr="008127F8">
        <w:rPr>
          <w:rFonts w:ascii="Times New Roman" w:hAnsi="Times New Roman"/>
          <w:color w:val="000000" w:themeColor="text1"/>
          <w:sz w:val="16"/>
          <w:szCs w:val="16"/>
        </w:rPr>
        <w:lastRenderedPageBreak/>
        <w:t>дальностью стрельбы. Тем не менее фугасное действие М-20 вскоре тоже сочли недостаточным, и в середине 1944 г. его производство было прекращено. Более удачным оказался снаряд М-30, в котором к ракетному двигателю от М-13 присоединялась мощная надкалиберная головная часть, выполненная в форме эллипсоида. Она имела максимальный диаметр 300 мм, За характерную форму головной части М-30 фронтовики называли Лукой М...вым (герой известной одноименной «эротической» поэмы). Естественно, что это прозвище, в отличие от растиражированной «Катюши», официальная пресса предпочитала не упоминать. «Лука», подобно германским 28-см и 30-см снарядам, запускался из деревянного упаковочного ящика, в котором он доставлялся с завода. Четыре, а позже восемь таких ящиков ставили на специальную раму, в результате чего получалась простейшая пусковая установка. Мощная головная часть М-30 имела неудачную аэродинамическую форму, и кучность стрельбы была в 2,5 раза хуже, чем у М-13. Поэтому снаряды М-30 применялись только массированно, на 1 км фронта прорыва было положено сосредотачивать не менее трех дивизионов М-30. Таким образом, на 1000 м линии обороны противника обрушивалось не менее 576 снарядов. По рассказам фронтовиков, часть снарядов М-30 застревала в укупорках и летела вместе с ними. Интересно, что думали немцы, наблюдая летящие на них кувыркающиеся деревянные ящики. Существенным недостатком снаряда М-30 была малая дальность его полета. Этот недостаток частично устранили в конце 1942 г., когда создали новый 300-мм фугасный PC М-31 с дальностью стрельбы в 1,5 раза больше. В М-31 головная часть была взята от М-30, а ракетную — разработали заново, причем в основу ее конструкции положили двигатель экспериментального PC М-14 (11919).</w:t>
      </w:r>
    </w:p>
    <w:p w14:paraId="6F1D047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405D6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были сданы на вооружении армии снаряды М-13 с массой боевых частей примерно в 1,5 и 2,5 раза больше, чем у снаряда M-13. Они получили соответственно наименования М-20 и М-30. Естественно, что дальность стрельбы этими снарядами уменьшилась и составила 5 км для М-20 и 2,8 км для М-30 (18646).</w:t>
      </w:r>
    </w:p>
    <w:p w14:paraId="0B4C507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9B7145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были сданы на вооружении армии снаряды с массой боевых частей примерно в 1,5 и 2,5 раза больше, чем у снаряда M-13. Они получили соответственно наименования М-20 и М-30. Естественно, что дальность стрельбы этими снарядами уменьшилась и составила 5 км для М-20 и 2,8 км для М-30 (11209).</w:t>
      </w:r>
    </w:p>
    <w:p w14:paraId="4F92EDF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BF2F2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одновременно со снарядами М-30 на вооружение поступили снаряды М-20 калибра 132 мм. Он предназначался для стрельбы с помощью боевых установок М-13, но только с верхнего ряда направляющих – 8 штук. С целью повышения плотности огня при залповой стрельбе реактивными снарядами М-20 калибра 132 мм было разработано специальное приспособление для их запуска с помощью рам М-30. На каждую раму М-30 укладывались шесть снарядов М-20. Благодаря такому решению плотность огня снарядов М-20 увеличилась более чем в четыре раза. Из-за малой эффективности фугасного действия головной части не обеспечивалось выполнение боевых задач по разрушению оборонительных сооружений. Также из-за незначительного осколочного эффекта снаряды не давали нужного эффекта при стрельбе по живой силе. Поэтому снаряд М-20 не получил широкого применения и в 1943 году был снят с вооружения. В 1944 и 1945 годах войска расходовали оставшиеся запасы снарядов М-20 [46] (11772).</w:t>
      </w:r>
    </w:p>
    <w:p w14:paraId="0B8208D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9A407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установка М-13-МI надпалубного типа была подвергнут испытаниям в составе Волжской военной флотилии. 17 июля 1942 года акт испытаний с положительными результатами был утвержден Народным комиссариатом Военно-морского флота. Промышленности был выдан заказ на изготовление партии из 20 установок (11772).</w:t>
      </w:r>
    </w:p>
    <w:p w14:paraId="36A770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A2B0F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опытный образец установки М-13-МI надпалубного типа был подвергнут испытаниям в составе Волжской военной флотилии. 17 июля 1942 года акт испытаний с положительными результатами был утвержден Народным комиссариатом Военно-морского флота. Промышленности был выдан заказ на изготовление партии из 20 установок (15982).</w:t>
      </w:r>
    </w:p>
    <w:p w14:paraId="0C6CFC2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C11617E"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июне-июле 1942 года по заданию Наркомата и исходным данным, полученным из Артиллерийского Управления ВМФ, был разработан новый вариант боевой 24-зарядной установки М-8-М. Ранее разработанная боевая установка М-8-М, смонтированная на броневом катере предусматривала использование минимально доработанной метательной установки боевой установки М-8 на доработанном шасси грузового автомобиля ЗИС-6. В новой установке М-8-М вся метательная установка, кроме направляющей, унифицированной с направляющей установки М-8 на доработанном шасси танка Т-40 (Т-60), была разработана заново, с учетом специфичности условий ее работы и обслуживания в морских условиях.</w:t>
      </w:r>
    </w:p>
    <w:p w14:paraId="51D60101"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Назначение новой установки было то же, что и для установки М-8-М. Конструкция нового варианта установки М-8-М была выполнена однотипной по сравнению с боевой установкой М-13-М, смонтированной на бронекатере. Новый проект был утвержден в Артиллерийском Управлении ВМФ (15982).</w:t>
      </w:r>
    </w:p>
    <w:p w14:paraId="19F1623A"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p>
    <w:p w14:paraId="5C51FCE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изготовленные по одной опытной установки М-8-М и М-13-М были установлены на бронекатерах типа 1125 и 1124, и были испытаны комиссией на Волжской Военной Флотилии (ВВФ) (приказы НКВМФ №00143 и 00170 от 1942 года).</w:t>
      </w:r>
    </w:p>
    <w:p w14:paraId="505FD56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испытания установки М-8-М и М-13-М были приняты на вооружение катеров и некоторых типов кораблей, с небольшими конструктивными доработками и изменениями.</w:t>
      </w:r>
    </w:p>
    <w:p w14:paraId="0789AB3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Две испытанные опытные установки вступили в строй кораблей Волжской Военной Флотилии в июне 1942 года (15982).</w:t>
      </w:r>
    </w:p>
    <w:p w14:paraId="4779AFE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25CF0E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одновременно со снарядами М-30 на вооружение поступили снаряды М-20 калибра 132 мм. Согласно Постановлению Государственного Комитета Обороны ГОКО №2135сс от 4 августа 1942 года "О производстве снарядов М-20 и М-30 в августе и сентябре 1942 года" (принималось предложение Главного Управления Вооружения Гвардейских минометных частей (т. Кузнецова) и института реактивной техники (т. Костикова) о принятии на вооружение реактивного снаряда М-20. Он предназначался для стрельбы с помощью боевых установок М-13, но только с верхнего ряда направляющих – 8 штук. С целью повышения плотности огня при залповой стрельбе реактивными снарядами М-20 калибра 132 мм было разработано специальное приспособление для их запуска с помощью рам М-30. На каждую раму М-30 укладывались шесть снарядов М-20. В документе, датированным 9 сентября 1942 года упоминаются особые указания по применению направляющих М-20 на станках М-30 для стрельбы снарядами М-20. Для использования рамы М-30 для пуска снарядов М-20 следовало установить на раму специальные направляющие М-20. Для этого в свою очередь в нижнем угольнике и верхнем поперечном угольнике было необходимо сделать прорезы. Прорези было возможно сделать при помощи плоского драчевого напильника и такую работу следовало проводить силами самих частей.</w:t>
      </w:r>
    </w:p>
    <w:p w14:paraId="6291ACA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Проект неуправляемого реактивного снаряда калибра 132 мм увеличенной дальности был разработан в 1942 году. Работы проводились в НИИ-1 НКАП. Это был первый НУРС с двухкамерным ракетным двигателем. Обе камеры представляли собой штатные камеры НУРС М-13 и были соединены промежуточным соплом, включающим восемь косопоставленных сопел. Ракетные двигатели работали одновременно. Для снаряда использовали головную часть от неуправляемого реактивного снаряда М-13 калибра 132 мм. Снаряд, обозначенный М-13ДД, подвергся полигонным испытаниям на Урале, после чего был доработан. 15 и 16 марта 1943 года на подмосковном полигоне проводились повторные полигонные испытания. После войсковых испытаний снаряд М-13ДД 14 октября 1944 года был принят на вооружение Красной Армии Постановлением № ГОКО-6724сс "О производстве снарядов М-13 с увеличенной дальностью стрельбы" (15981).</w:t>
      </w:r>
    </w:p>
    <w:p w14:paraId="099A208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8DE66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07123A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6B2CA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июня 1942 г. в ассортименте военной продукции произошли существенные изменения. Ротные минометы 50-мм калибра стали сниматься с вооружения из-за низкой эффективности боеприпасов. Перед предприятиями ГУЛАГа была поставлена задача освоить выпуск мин калибра 82-мм с доведением их выпуска до миллиона штук в месяц. Одновременно была поставлена задача перейти на производство 120-мм мин, ручных гранат РГ-42 и авиабомб. </w:t>
      </w:r>
    </w:p>
    <w:p w14:paraId="679CCFF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Выполнение новых задач потребовало серьезной модернизации производства и дополнительной мобилизации ресурсов. Тринадцать колоний, ранее выпускавших 50-мм мины, были переведены на новый калибр, 7 предприятий были вновь привлечены к выпуску боеприпасов. Производство ручных гранат было сосредоточено на восстановленных после эвакуации Московских ИТК № 2 и № 3. Но самым серьезным пополнением для промышленности боеприпасов ГУЛАГа стал перевод на военное производство Механического завода Волгостроя НКВД в Рыбинске, одного из самых мощных и хорошо оборудованных предприятий системы. С лета 1942 завод принял к производству 120-мм мину, а также стал единственным предприятием НКВД по изготовлению авиабомб. Продукцию завода составляли химические авиабомбы ХАБ-100 и ХАБ-500. Всего за годы войны завод дал РККА 37,5 тысячи химических бомб и 22 тысячи фугасных ФАБ-500, поставленных в производство с 1943 г. </w:t>
      </w:r>
    </w:p>
    <w:p w14:paraId="05E42E8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Увеличение производства мин потребовало модернизации производственных мощностей. Станочный парк предприятий был увеличен до 2200 единиц (в 1941 - около 450 единиц), притом только 150 станков было получено по фондам от союзной промышленности: все остальное оборудование поставили другие, не столь загруженные предприятия НКВД. Единственным разрешенным "внешним" источником увеличения оказался сбор и восстановление бесхозного оборудования. Такими способами удалось "наскрести" около 1600 станков. Параллельно для обеспечения изготавливающих боеприпасы предприятий было построено 10 литейных цехов, 17 вагранок и 38 отжигательных печей. Все предприятия в срочном порядке обзаводились металлографическими, химическими, измерительными лабораториями. </w:t>
      </w:r>
    </w:p>
    <w:p w14:paraId="1DD895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ноября 1942 г. выпуск 82-мм мин превысил 1 миллион в месяц. Всего за 2-е полугодие 1942 г. было произведено около 5 млн. мин, то есть за 1942 год их выпуск возрос 28 раз. </w:t>
      </w:r>
    </w:p>
    <w:p w14:paraId="18E0C84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Со второй половины 1943 г. предприятиям вновь потребовалась срочная модернизация: на этот раз руководство НКВД решило увеличить до 250 тыс. в месяц </w:t>
      </w:r>
      <w:r w:rsidRPr="008127F8">
        <w:rPr>
          <w:rFonts w:ascii="Times New Roman" w:hAnsi="Times New Roman"/>
          <w:color w:val="000000" w:themeColor="text1"/>
          <w:sz w:val="16"/>
          <w:szCs w:val="16"/>
        </w:rPr>
        <w:lastRenderedPageBreak/>
        <w:t>производство 120-мм мин. Количество изготовлявших мины предприятий выросло до восьми, было установлено дополнительно 600 единиц металлообрабатывающего оборудования, реконструировано 4 литейных цеха, построено 7 вагранок и 10 отжигательных печей (12107).</w:t>
      </w:r>
    </w:p>
    <w:p w14:paraId="02702436" w14:textId="77777777" w:rsidR="007C5583" w:rsidRPr="00252C35" w:rsidRDefault="007C5583" w:rsidP="00252C35">
      <w:pPr>
        <w:spacing w:after="0" w:line="240" w:lineRule="auto"/>
        <w:rPr>
          <w:rFonts w:ascii="Times New Roman" w:hAnsi="Times New Roman"/>
          <w:sz w:val="16"/>
          <w:szCs w:val="16"/>
        </w:rPr>
      </w:pPr>
    </w:p>
    <w:p w14:paraId="2329EBFC" w14:textId="77777777" w:rsidR="007C5583" w:rsidRPr="00252C35" w:rsidRDefault="007C5583" w:rsidP="00252C35">
      <w:pPr>
        <w:spacing w:after="0" w:line="240" w:lineRule="auto"/>
        <w:rPr>
          <w:rFonts w:ascii="Times New Roman" w:hAnsi="Times New Roman"/>
          <w:sz w:val="16"/>
          <w:szCs w:val="16"/>
        </w:rPr>
      </w:pPr>
      <w:r w:rsidRPr="00252C35">
        <w:rPr>
          <w:rFonts w:ascii="Times New Roman" w:hAnsi="Times New Roman"/>
          <w:sz w:val="16"/>
          <w:szCs w:val="16"/>
        </w:rPr>
        <w:t>С июня 1942 г. в ассортименте военной продукции произошли существенные изменения. Ротные минометы 50-мм калибра стали сниматься с вооружения из-за низкой эффективности боеприпасов. Перед предприятиями ГУЛАГа была поставлена задача освоить выпуск мин калибра 82-мм с доведением их выпуска до миллиона штук в месяц. Одновременно была поставлена задача перейти на производство 120-мм мин, ручных гранат РГ-42 и авиабомб (ГАРФ. Ф. 9414. Оп. 1. Д. 2060. Л. 8.).</w:t>
      </w:r>
    </w:p>
    <w:p w14:paraId="1A4ED727" w14:textId="77777777" w:rsidR="007C5583" w:rsidRPr="00252C35" w:rsidRDefault="007C5583" w:rsidP="00252C35">
      <w:pPr>
        <w:spacing w:after="0" w:line="240" w:lineRule="auto"/>
        <w:rPr>
          <w:rFonts w:ascii="Times New Roman" w:hAnsi="Times New Roman"/>
          <w:sz w:val="16"/>
          <w:szCs w:val="16"/>
        </w:rPr>
      </w:pPr>
      <w:r w:rsidRPr="00252C35">
        <w:rPr>
          <w:rFonts w:ascii="Times New Roman" w:hAnsi="Times New Roman"/>
          <w:sz w:val="16"/>
          <w:szCs w:val="16"/>
        </w:rPr>
        <w:t>Выполнение новых задач потребовало серьезной модернизации производства и дополнительной мобилизации ресурсов. Тринадцать колоний, ранее выпускавших 50-мм мины, были переведены на новый калибр, 7 предприятий были вновь привлечены к выпуску боеприпасов. Производство ручных гранат было сосредоточено на восстановленных после эвакуации Московских ИТК №2 и №3. Но самым серьезным пополнением для промышленности боеприпасов ГУЛАГа стал перевод на военное производство Механического завода Волгостроя НКВД в Рыбинске, одного из самых мощных и хорошо оборудованных предприятий системы. С лета 1942 завод принял к производству 120-мм мину, а также стал единственным предприятием НКВД по изготовлению авиабомб. Продукцию завода составляли химические авиабомбы ХАБ-100 и ХАБ-500. Всего за годы войны завод дал РККА 37,5 тысяч химических бомб и 22 тысячи фугасных ФАБ-500, поставленных в производство с 1943 г.</w:t>
      </w:r>
    </w:p>
    <w:p w14:paraId="5DA0AAEA" w14:textId="77777777" w:rsidR="007C5583" w:rsidRPr="00252C35" w:rsidRDefault="007C5583" w:rsidP="00252C35">
      <w:pPr>
        <w:spacing w:after="0" w:line="240" w:lineRule="auto"/>
        <w:rPr>
          <w:rFonts w:ascii="Times New Roman" w:hAnsi="Times New Roman"/>
          <w:sz w:val="16"/>
          <w:szCs w:val="16"/>
        </w:rPr>
      </w:pPr>
      <w:r w:rsidRPr="00252C35">
        <w:rPr>
          <w:rFonts w:ascii="Times New Roman" w:hAnsi="Times New Roman"/>
          <w:sz w:val="16"/>
          <w:szCs w:val="16"/>
        </w:rPr>
        <w:t>Увеличение производства мин потребовало модернизации производственных мощностей. Станочный парк предприятий был увеличен до 2200 единиц (в 1941 — около 450 единиц), притом только 150 станков было получено по фондам от союзной промышленности: все остальное оборудование поставили другие, не столь загруженные предприятия НКВД. Единственным разрешенным «внешним» источником увеличения оказался сбор и восстановление бесхозного оборудования. Такими способами удалось «наскрести» около 1600 станков. Параллельно для обеспечения изготавливающих боеприпасы предприятий было построено 10 литейных цехов, 17 вагранок и 38 отжигательных печей. Все предприятия в срочном порядке обзаводились металлографическими, химическими, измерительными лабораториями (ГАРФ. Ф. 9414. Оп. 1. д. 2060. Л. 8.). С ноября 1942 г. выпуск 82-мм мин превысил 1 миллион в месяц. Всего за 2-е полугодие 1942 г. было произведено около 5 млн. мин, то есть за 1942 год их выпуск возрос 28 раз (15473).</w:t>
      </w:r>
    </w:p>
    <w:p w14:paraId="77C9B23D" w14:textId="77777777" w:rsidR="007C5583" w:rsidRPr="00252C35" w:rsidRDefault="007C5583" w:rsidP="00252C35">
      <w:pPr>
        <w:spacing w:after="0" w:line="240" w:lineRule="auto"/>
        <w:rPr>
          <w:rFonts w:ascii="Times New Roman" w:hAnsi="Times New Roman"/>
          <w:sz w:val="16"/>
          <w:szCs w:val="16"/>
        </w:rPr>
      </w:pPr>
    </w:p>
    <w:p w14:paraId="0FC7C93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начальник Дзержинского горотдела НКВД Владимирский писал в местный горком партии о том, что на химическом заводе им. Свердлова в январе имели место 300 прогулов и 11 самовольных уходов, в феврале — соответственно 232 и 21, в марте — 194 и 7, а в апреле — 172 и 67. Итого за четыре месяца почти 900 прогулов и 106 самовольных уходов. [318 — Там же. Совершенно секретная переписка Дзержинского горкома ВКП(б). ] Основная причина — тяжелые социально-бытовые условия. К примеру, работницы цеха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 Чадаева и Быревская жаловались на плохое питание, указывая, что «кроме куска хлеба и одной тарелки супа в день, ничего не дают». В семейных общежитиях все было очень скучено, не хватало белья, царила антисанитария. [319 — ГОПАНО, Ф. 1930, Оп. 3, Д. 104.]. Владимирский также отметил низкую дисциплину на химическом заводе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397 «Заря». План по выпуску продукции в мае был выполнен на 64,8</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В цехах широкое распространение получили сон на работе и пьянство. Так, 7 июня в цехе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4 с 14.00 до 16.00 «мирно спали» шесть человек. В цехе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4 на фазе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2 спали 13 рабочих, а в отделе технического контроля цеха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3 — четверо. Отмечалось, что начальник цеха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4 Титов среди рабочих авторитетом не пользовался, поскольку сам был замечен в распитии спиртных напитков на производстве. [320 — Там же.] (11741).</w:t>
      </w:r>
    </w:p>
    <w:p w14:paraId="7E7E408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7E72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завод (Завод № 708 ИМ. Сталина НКМВ, Ташкентский завод сельскохозяйственных машин («Ташсельмаш») им. Сталина НКМВ, Завод «Таштекстильмаш» ММиП /г. Ташкент ул. Текстильная, 7 «Сталинец»/) - в ведении Главсельмаша НКМВ. В соответствии с пост, правительства № 837-430сс от 3.06.1942 г. и приказом НКМВ № 250с от 7.07.1942 г. Ташкентский завод сельхозмашин НКМВ переименован в завод № 708 в ведении 1ГУ (Завод № 708 ИМ. Сталина НКМВ, Ташкентский завод сельскохозяйственных машин («Ташсельмаш») им. Сталина НКМВ, Завод «Таштекстильмаш» ММиП /г. Ташкент ул. Текстильная, 7 «Сталинец»/).</w:t>
      </w:r>
    </w:p>
    <w:p w14:paraId="29EF215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приказу НКМВ № 223с от 20.06.1942 г. с завода передано 80 единиц оборудования на Рубцовский завод сельхозмашин. Пост. ГКО № 1962сс от 4.07.1942 г. и приказом НКМВ № 237сс от 7.07.1942 г. заводу установлен план выпуска на 3-й квартал 1942 г. 50-мм минометов- 2250 шт.</w:t>
      </w:r>
    </w:p>
    <w:p w14:paraId="55DF87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Далее - завод «Таштекстильмаш», в 1947 г. завод - в ведении Главтекстильлегмаша ММиП.</w:t>
      </w:r>
    </w:p>
    <w:p w14:paraId="7B56C71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заводов (1947 г.) цехи: основные: РВК № 1, механический № 5, метизный № 7, механический крепежных деталей № 8, механический массовых деталей № 9, рогулек № 10, литейный № 2, кузнечно-прессовый № 3, сборочный № 6; вспомогательные: ДОК № 15, экспериментальный № 20, модельный № 23, ремонтно- механический № 29, инструментальный № 32, энергоцех № 33, центральная лаборатория (цех № 35).</w:t>
      </w:r>
    </w:p>
    <w:p w14:paraId="4B201AE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оборудования: (1946 г.)- 1398 ед., (1947 г.)- 1448 ед.</w:t>
      </w:r>
    </w:p>
    <w:p w14:paraId="29B4616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территории (1947 г.)- 25 га; застройки (1947 г.)- 60981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производственная (1947 г.)- 39788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0808F48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(1946 г.)- 3642 чел., (1947 г.)- 3558 чел.</w:t>
      </w:r>
    </w:p>
    <w:p w14:paraId="5A997F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(06.1942 г.)- Титаренко, (1948 г.)- Виноградов.</w:t>
      </w:r>
    </w:p>
    <w:p w14:paraId="4DB12B5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(1948 г.)- Котов.</w:t>
      </w:r>
    </w:p>
    <w:p w14:paraId="20D910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50-мм минометы; корпуса мин 82-мм, 120-мм, химической «ОТ», бомб ФАБ-100, АО-25 (1942); ватеры: ВВ-66, В-66; тазово-перегонный банкаброш БТП2 (1947) (11982).</w:t>
      </w:r>
    </w:p>
    <w:p w14:paraId="425B2BE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AF63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завод № 718 (Завод № 718 НКМВ , Завод «Фельзер и К », 1-й нижегородский государственный национализированный завод (бывший «Фельзер и К</w:t>
      </w:r>
      <w:r w:rsidRPr="008127F8">
        <w:rPr>
          <w:rFonts w:ascii="Times New Roman" w:hAnsi="Times New Roman"/>
          <w:color w:val="000000" w:themeColor="text1"/>
          <w:sz w:val="16"/>
          <w:szCs w:val="16"/>
          <w:vertAlign w:val="superscript"/>
        </w:rPr>
        <w:t>0</w:t>
      </w:r>
      <w:r w:rsidRPr="008127F8">
        <w:rPr>
          <w:rFonts w:ascii="Times New Roman" w:hAnsi="Times New Roman"/>
          <w:color w:val="000000" w:themeColor="text1"/>
          <w:sz w:val="16"/>
          <w:szCs w:val="16"/>
        </w:rPr>
        <w:t>»), Завод «Двигатель Революции» ВСНХ, НКТП, НКСМ, НКТМ, НКМВ, ОАО «Румо» / г. Рига;  г. Нижний Новгород,  г. Горький Канавино/ /603061  г. Нижний Новгород ул. Адмирала Нахимова, 13/) - в ведении Главхимбуммаша НКМВ, приказом НКМВ № 250с от 7.07.1942 г. завод передан в ведение 4ГУ (сначала, в 12.1941 г., планировалось передать его в 2ГУ НКМВ).</w:t>
      </w:r>
      <w:r w:rsidRPr="008127F8">
        <w:rPr>
          <w:rFonts w:ascii="Times New Roman" w:hAnsi="Times New Roman"/>
          <w:color w:val="000000" w:themeColor="text1"/>
          <w:sz w:val="16"/>
          <w:szCs w:val="16"/>
          <w:vertAlign w:val="superscript"/>
        </w:rPr>
        <w:t>129</w:t>
      </w:r>
    </w:p>
    <w:p w14:paraId="6978D8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имел филиал в  г. Горький, который в 02.1942 г. планировалось преобразовать в самостоятельный завод (№ 204) в ведении 2ГУ НКМВ, далее это, вероятно, завод № 729 НКМВ.</w:t>
      </w:r>
    </w:p>
    <w:p w14:paraId="5C0DBF6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годы войны завод выпускал 120-мм минометы и реактивные «Катюша», боеприпасы (</w:t>
      </w:r>
      <w:r w:rsidRPr="008127F8">
        <w:rPr>
          <w:rFonts w:ascii="Times New Roman" w:hAnsi="Times New Roman"/>
          <w:color w:val="000000" w:themeColor="text1"/>
          <w:sz w:val="16"/>
          <w:szCs w:val="16"/>
          <w:lang w:val="en-US"/>
        </w:rPr>
        <w:t>PC</w:t>
      </w:r>
      <w:r w:rsidRPr="008127F8">
        <w:rPr>
          <w:rFonts w:ascii="Times New Roman" w:hAnsi="Times New Roman"/>
          <w:color w:val="000000" w:themeColor="text1"/>
          <w:sz w:val="16"/>
          <w:szCs w:val="16"/>
        </w:rPr>
        <w:t xml:space="preserve"> М-8 и М-13, 160- мм мины, ФАБ-250).</w:t>
      </w:r>
    </w:p>
    <w:p w14:paraId="1673F72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 ГКО № 934 от 22.11.1941 г. директор завода Суслов за срыв производства минометов был снят и привлечен к суду. В соответствии с пост. ГКО № 3405 от 21.05.1943 г. завод освобожден от поставок чугунного литья другим заводам. Пост. ГКО № 1962сс от 4.07.1942 г. и приказом НКМВ № 237сс от 7.07.1942 г. заводу установлен план выпуска на 3-й квартал 1942 г. 120-мм минометов- 1400 шт. 13.07.1943 г. вышло постановление ГКО № 3734 о мерах по восстановлению завода. 5.06.1944 г. вышло распоряжение ГКО № 6004 о поставках оборудования для судов с завода. 6.04.1945 г. вышло распоряжение ГКО № 8040 о мерах по обеспечению станками и инструментом производства деталей для М-8 на заводе.</w:t>
      </w:r>
    </w:p>
    <w:p w14:paraId="79DD8A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07.1945 г. переведен на выпуск гражданской продукции, но были сохранены мобилизационные мощности по производству 120-мм минометов.</w:t>
      </w:r>
    </w:p>
    <w:p w14:paraId="430CC4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1945 г. завод - в ведении НКМашприбор, с 1946 г. - ММиП, в том же году передан в Минтяжмаш.</w:t>
      </w:r>
    </w:p>
    <w:p w14:paraId="5BECEEC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1993 г. завод преобразован в ОАО «Румо», было в 1998 г.</w:t>
      </w:r>
    </w:p>
    <w:p w14:paraId="2B921B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(1917 г.)- Бляшке, (1940 г.)- Рябинин, (-11.1941 г.)- В.П. Суслов, (1941-06.1942 г.-)- Н.В. Никулин, (1980-е-2003 г.-&gt; В.А. Егоров.</w:t>
      </w:r>
    </w:p>
    <w:p w14:paraId="1F3E353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судовой дизель 6ЧРН36/45 для сухогруза пр. 507 (1960-е).</w:t>
      </w:r>
    </w:p>
    <w:p w14:paraId="308D455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дизельные двигатели 600 л.с. (1911), для ГШ (1913), дизель-генераторы для линкоров (1914);</w:t>
      </w:r>
      <w:r w:rsidRPr="008127F8">
        <w:rPr>
          <w:rFonts w:ascii="Times New Roman" w:hAnsi="Times New Roman"/>
          <w:color w:val="000000" w:themeColor="text1"/>
          <w:sz w:val="16"/>
          <w:szCs w:val="16"/>
          <w:vertAlign w:val="superscript"/>
        </w:rPr>
        <w:t xml:space="preserve">ш </w:t>
      </w:r>
      <w:r w:rsidRPr="008127F8">
        <w:rPr>
          <w:rFonts w:ascii="Times New Roman" w:hAnsi="Times New Roman"/>
          <w:color w:val="000000" w:themeColor="text1"/>
          <w:sz w:val="16"/>
          <w:szCs w:val="16"/>
        </w:rPr>
        <w:t>коробки передач для Т-34 (1941); 120-мм минометы; реактивные снаряды М-8 (1941-45-), М-13 (1941-42-), М-30 (1942), снаряды 152/45-мм (1942) (11982).</w:t>
      </w:r>
    </w:p>
    <w:p w14:paraId="36AB09A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9F2C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завод № 808 (Завод № 808 НКМВ, АО «Феникс», «Полиграфзавод» НКМВ, ГС Ордена Ленина и Ордена Трудового Красного Знамени Щербаковский завод полиграфического машириборостроения («Полнграфмаш») ММиП, Рыбинский завод полиграфических машин, ОАО «КПЦ «Полиграфмаш», ООО «ЛИТЭКС» /г. Рига; г. Рыбинск Ярославской обл.; г. Щербаков ул. Луговая, 7 «Станок» (1948г.)/ /152900 г. Рыбинск Ярославской обл. ул. Луговая, 7/) - в ведении Главполиграфмаша НКМВ, приказом НКМВ № 250с от 7.07.1942г. завод передан в ведение ЗГУ.</w:t>
      </w:r>
    </w:p>
    <w:p w14:paraId="277E17D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 ГКО № 1962сс от 4.07.1942г. и приказом НКМВ № 237сс от 7.07.1942г. заводу установлен план выпуска на 3-й квартал 1942г. 82-мм минометов - 4500 шт. Пост. ГКО № 1962сс от 4.07.1942г. и приказом НКМВ № 237сс от 7.07.1942г. заводу установлен план выпуска на 3-й квартал 1942г. угломеров-квадрантов к 82-мм минометам - 4500 шт. Наряду с этим с 1943г. освоен выпуск малых печатных машин. Завод № 808 был в 1945г.</w:t>
      </w:r>
    </w:p>
    <w:p w14:paraId="2B65401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1947-48г. Щербаковский завод - в ведении Главполиграфмаша ММиП, в 1960-е г. - Рыбинский завод полиграфических машин.</w:t>
      </w:r>
    </w:p>
    <w:p w14:paraId="66577F0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предприятия (1947г.) цехи: основные: механические № 1, 3, 5, 6, сборочный № 2, деревообделочный № 9, литейный № 10, кузнечно-прессовый № 12, заготовительный № 16, ширпотреба № 20; вспомогательные: инструментальный № 4, ремонтно-механический № 7, паровое хозяйство, электро-ремонтный № 14, ремонтно- строительный № 15, центральная лаборатория № 17.</w:t>
      </w:r>
    </w:p>
    <w:p w14:paraId="45B1FC6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2006г. предприятие преобразовано в ООО «ЛИТЭКС».</w:t>
      </w:r>
    </w:p>
    <w:p w14:paraId="582BC2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оборудования: (1939г.)- 702 ед., (1946г.)- 774 ед., (1947г.)- 985 ед.</w:t>
      </w:r>
    </w:p>
    <w:p w14:paraId="21DFB03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территории (1947г.)- 34,75 га; застройки (1947г.)- 58850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производственная (1939г.)- 20841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(1946-47Г.)- 22342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1D78FC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Численность персонала: (1939г.)- 2430 чел., (1946г.)- 3204 чел., (1947г.)- 3001 чел. Директор (06.1942г.)- Манин, (1948г.)- Федосов. Гл. инженер (1948г.)- Елисеев.</w:t>
      </w:r>
    </w:p>
    <w:p w14:paraId="456BAF5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полиграфические машины: плоскопечатная «Пионер-1» (1931); машины ротационные: газетная 20Р, книжная 2РК; станки: стереотипные: отливочный ОГ, ростовой НГ, НК, отделочный ОК, фрезерный отделочный ЕГ, ЕК; гидравлический матричный пресс МП (1947); 82-мм минометы, угломеры-квадранты к 82-мм минометам; 120-мм мины (1942) (11982).</w:t>
      </w:r>
      <w:r w:rsidRPr="008127F8">
        <w:rPr>
          <w:rFonts w:ascii="Times New Roman" w:hAnsi="Times New Roman"/>
          <w:color w:val="000000" w:themeColor="text1"/>
          <w:sz w:val="16"/>
          <w:szCs w:val="16"/>
          <w:vertAlign w:val="superscript"/>
        </w:rPr>
        <w:t>129</w:t>
      </w:r>
    </w:p>
    <w:p w14:paraId="4F332E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84C7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1942г. Беловский граммофонный завод - в ведении Главприбора НКМВ. В соответствии с пост. СНК № 837-430сс от 3.06.1942г. и приказом НКМВ № 250с от 7.07.1942г. завод «Граммпластинок» НКМВ переименован в завод № 842 в ведении 5ГУ (Завод № 842 НКМВ, НКЭП, Завод «Граммнластинок» НКМВ, Беловскнй граммофонный завод НКМВ, Беловский завод «Кузбассрадио», А-1892, ОАО «Сибирская электрическая комплектация» («Сибэлком»), ОАО «Кузбассрадио» /652600 г. Белово Кемеровской обл. ул. Чкалова, 14/).</w:t>
      </w:r>
      <w:r w:rsidRPr="008127F8">
        <w:rPr>
          <w:rFonts w:ascii="Times New Roman" w:hAnsi="Times New Roman"/>
          <w:color w:val="000000" w:themeColor="text1"/>
          <w:sz w:val="16"/>
          <w:szCs w:val="16"/>
          <w:vertAlign w:val="superscript"/>
        </w:rPr>
        <w:t>129</w:t>
      </w:r>
    </w:p>
    <w:p w14:paraId="75EEC61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июня 1942г. Приказом НКМВ № 210сс Беловскому граммофонному заводу предписано организовать производство взрывателей КТМ-1 мощностью 100 тыс. шт. в месяц.</w:t>
      </w:r>
    </w:p>
    <w:p w14:paraId="64316D7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июля 1942г. в соответствии с Пост. ГКО № 1962сс от 4.07.1942г. приказом НКМВ № 237сс заводу установлен план выпуска на 3-й квартал 1942г.: прицелов к 50-мм минометам- 2700 шт.; угломеров-квадрантов к 82-мм минометам- 2800 шт. В соответствии с пост. ГКО № 2679 от 31.12.1942г. на заводе организовано дублирующее производство танковых радиоприемников. В годы войны выпускал взрыватели, прицелы, радиостанции для танков, бойки для гранат.</w:t>
      </w:r>
    </w:p>
    <w:p w14:paraId="574243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завод освоил выпуск радиоприемников, конденсаторов, запчастей для сельхозтехники.</w:t>
      </w:r>
    </w:p>
    <w:p w14:paraId="2419FAB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Имел наименование «п/я А-1892». 16.07.1994г. завод «Кузбассрадио» акционирован и преобразован в ОАО «Сибэлком». В 2009г. ОАО «Сибэлком» являлось банкротом. Затем преобразовано в ОАО «Кузбассрадио». В 2008г. ОАО «Кузбассрадио» являлось банкротом.</w:t>
      </w:r>
    </w:p>
    <w:p w14:paraId="13B3EE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(2000-е): коммутационные изделия (тумблеры, микропереключатели, переключатели: кнопочные, движковые; держатели плавких вставок); установочные изделия РЭ аппаратуры для МО, космической техники и нардного хозяйства.</w:t>
      </w:r>
    </w:p>
    <w:p w14:paraId="78D1DB9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(1980-е г.)- более 10 тыс. чел.</w:t>
      </w:r>
    </w:p>
    <w:p w14:paraId="25E360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(06.1942г.)- Жуков, (06.1942г.)- Шифрин. Гендиректор (2000-е)- В.А. Красноперов.</w:t>
      </w:r>
    </w:p>
    <w:p w14:paraId="1EF0F4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взрыватели АМБ, КТМ-1; прицелы к 50-мм минометам, угломеры-квадранты к 82-мм минометам (1942-); радиоприемники: танковый «Малютка» (1943-); бытовой «Рекорд-46».</w:t>
      </w:r>
    </w:p>
    <w:p w14:paraId="1CD297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«КинАп» /г. Одесса/</w:t>
      </w:r>
    </w:p>
    <w:p w14:paraId="560F45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киноаппаратуры «КинАп» после начала войны был эвакуирован в Белово, где на его базе был создан завод № 842 НКЭП.</w:t>
      </w:r>
    </w:p>
    <w:p w14:paraId="22D782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освобождения Одессы завод «КинАп» восстановлен, был в 1975г.</w:t>
      </w:r>
    </w:p>
    <w:p w14:paraId="40AD66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разъем 16СТК-1 (1973).</w:t>
      </w:r>
    </w:p>
    <w:p w14:paraId="573E9FB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Фабрика граммпластинок «Метрополь-Рекорд», Фабрика им. 1905 года, Апрелевский завод граммпластинок (АЗГ) Памяти 1905 года НКТП, НКМ, НКМВ, Апрелевский патефонный завод, Фирма «Мелодия» /г. Апрелевка Наро-Фоминского р-на Московской обл./</w:t>
      </w:r>
    </w:p>
    <w:p w14:paraId="1881F3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1910г. в пос. Апрелевка Б.В. Молль, А. Кибарт и Фогт основали фабрику граммпластинок «Метрополь- Рекорд». Производство было оснащено 35 одноместными прессами. Запись звука осуществлялась в Москве, там же находился и гальванический цех, где изготовлялись матрицы. Сами граммпластинки изготовлялись в Апрелевке. Выпускалось около 500 тыс. пластинок в год.</w:t>
      </w:r>
    </w:p>
    <w:p w14:paraId="4C6AC5F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революции, в 1918-25г. фабрика работала с перебоями из-за отсутствия сырья. В 1925г. производство было восстановлено, в этом году на 8 прессах было выпущено 80 тыс. пластинок. В 1928-32г. были построены котельная и силовая станция, начата механизация производства. В 1930-е г. одноместные прессы были заменены на двухместные полуавтоматические, установлены полуавтоматические молотковые дробилки. К 1937г. производство пластинок достигло 18 млн. в год.</w:t>
      </w:r>
    </w:p>
    <w:p w14:paraId="373973F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завода (1928г.)- матричное отделение, прессовый, мельнично-вальцевой цехи, химическая лаборатория.</w:t>
      </w:r>
    </w:p>
    <w:p w14:paraId="32229F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1919г. фабрика граммпластинок - в ведении отдела «Советская пластинка» агентства Центропечать. В 1925г. получила название «Фабрика им. 1905 года». В 1933г. фабрика переименована в АЗГ Памяти 1905г. в ведении Грампластреста НКТП, в 1938г. - в ведении Главширпотреба НКМ.</w:t>
      </w:r>
    </w:p>
    <w:p w14:paraId="7549EFA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10.1941г. Апрелевский патефонный завод эвакуирован в Белово, где на его базе создан завод № 842 НКЭП.</w:t>
      </w:r>
    </w:p>
    <w:p w14:paraId="307B030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оставшемся оборудовании в Апрелевке был налажен выпуск боеприпасов. Весной 1942г. после освобождения Наро-Фоминска на заводе восстановлено производство пластинок. На 15 прессах в 1942г. было изготовлено 250 тыс. пластинок. В 07.1942г. Апрелевский завод граммпластинок- в ведении 5ГУ НКМВ.</w:t>
      </w:r>
    </w:p>
    <w:p w14:paraId="7A30E47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войны завод был реконструирован. В 1953г. освоен выпуск долгоиграющих пластинок. В 1958г. начата очередная реконструкция. Было построено два новых прессовых цеха, гальванический, механический. В 1962г. начато промышленное производство стереофонических пластинок, начато строительство нового прессового цеха.</w:t>
      </w:r>
    </w:p>
    <w:p w14:paraId="40B95B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1964г. на базе АЗГ создана фирма «Мелодия».</w:t>
      </w:r>
    </w:p>
    <w:p w14:paraId="21F57FC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 кроме пластинок, выпускал матрицы, пресс-формы, пластмассу для других предприятий отрасли.</w:t>
      </w:r>
    </w:p>
    <w:p w14:paraId="6233AF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2007г. завод не действовал, его оборудование распродано, площади сданы в аренду коммерческим структурам.</w:t>
      </w:r>
    </w:p>
    <w:p w14:paraId="73E3F37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(1912г.)- 100 чел., (1916г.)- 50 чел., (1930г.)- 215 чел., (1933г.)- 541 чел.</w:t>
      </w:r>
    </w:p>
    <w:p w14:paraId="0B0024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(1910г.)- Б.В. Молль.</w:t>
      </w:r>
    </w:p>
    <w:p w14:paraId="1F88F1E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химической лаборатории (1960-е)- В.М. Хазанджи (11982).</w:t>
      </w:r>
    </w:p>
    <w:p w14:paraId="63B4E91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5FA7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Завод № 720 им. М.И. Калинина (Завод № 720 ИМ. Калинина НКМВ, Товарищество чугунолитейного и механического производств «Добровы и Набгольц», Завод № 3 МСХН, Государственный московский машиностроительный завод № 3 НКТП, НКТМ, НКМ, НКОМ, НКМВ, Ордена Трудового Красного Знамени Московский насосный завод им. М.И. Калинина ММиП, ММ, МосгорСНХ, Минхимнефтемаша, АООТ, ОАО «Завод лопастных гидравлических машин» (ЛГМ) / г. Москва, 17 ул. Землячки, 13 «Насос» (1948-53 г.)/ /113184  г. Москва ул. Б. Татарская, 13; 3-й Угрешский проезд, 6/) - в ведении Главхимбуммаша НКМВ, приказом НКМВ № 250с от 7.07.1942 г. передан в ведение 4ГУ.</w:t>
      </w:r>
      <w:r w:rsidRPr="008127F8">
        <w:rPr>
          <w:rFonts w:ascii="Times New Roman" w:hAnsi="Times New Roman"/>
          <w:color w:val="000000" w:themeColor="text1"/>
          <w:sz w:val="16"/>
          <w:szCs w:val="16"/>
          <w:vertAlign w:val="superscript"/>
        </w:rPr>
        <w:t>129</w:t>
      </w:r>
    </w:p>
    <w:p w14:paraId="26B7E1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 ГКО № 1962сс от 4.07.1942 г. и приказом НКМВ № 237сс от 7.07.1942 г. заводу установлен план выпуска на 3-й квартал 1942 г. 120-мм минометов - 750 шт.</w:t>
      </w:r>
    </w:p>
    <w:p w14:paraId="7754489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1946 г. переименован в Ордена Трудового Красного Знамени Московский насосный завод имени М.И.Калинина в ведении Главхиммаша ММиП, с 1951 г. - в ведении Главгидромаша ММиП, в 1953 г. - в ведении Главхиммаша ММ и ММиП, затем в 1953-1955 г. - вновь в ведении Главгидромаша ММиП, в 1956-57г, - вновь в ведении Главгидромаша ММ. С 1957 г. завод передан в подчинение Управления общего машиностроения МосгорСНХ, с 1958 г. - Управления машиностроения МосгорСНХ, с 1959 г. - Управления автомобильной промышленности МосгорСНХ. С 1966 г. - в ведении ГУ насосного машиностроения Минхимнефтемаша.</w:t>
      </w:r>
    </w:p>
    <w:p w14:paraId="7770CF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завода (1947 г.) цехи: основные: механические № 1, 2, станкоцех, литейный, термический, нормалей, кузница; вспомогательные: модельный, инструментальный, ремонтный, транспортный, компрессорная. Кроме того, (1953 г.): основные: механосборочные № 3, 4, 5, 14, 18, модельный № 7, кузнечно-термический № 8, инструментальный № 9, ремонтный № 10, электроцех № 11, строительный № 12, транспортный № 13, нормалей № 17, ширпотреба, утильцех, испытательная станция.</w:t>
      </w:r>
    </w:p>
    <w:p w14:paraId="3DE5644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15.02.1991 г. предприятие акционировано и преобразовано в АООТ.</w:t>
      </w:r>
    </w:p>
    <w:p w14:paraId="2444E6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2004 г. завод перебазирован на новое место (вероятно, на Угрешский пр.). Имел два филиала в Московской обл.</w:t>
      </w:r>
    </w:p>
    <w:p w14:paraId="0238E25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(2004 г.): насосное оборудование для военных кораблей, в т.ч. АПЛ, пусковых комплексов БР, для АЭС и «Мосэнерго».</w:t>
      </w:r>
    </w:p>
    <w:p w14:paraId="5B50415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оборудования: (1939 г.)- 449 ед., (1946 г.)- 457 ед., (1947 г.)- 440 ед., (1953 г.)- 660 ед.</w:t>
      </w:r>
    </w:p>
    <w:p w14:paraId="30E71A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территории (1947 г.)- 4,2 га, (1953 г.)- 3,25 га; застройки (1947 г.)- 16942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(1953 г.)- 17341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производственная (1939 г.)- 10405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(1946 г.)- 11694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(1947 г.)- 11873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(1953 г.)- 14711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вспомогательная (1953 г.)- 3175; прочая (1953 г.)- 6876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2D008D5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(1939 г.)-1304 чел., (1946 г.)- 1334 чел., (1947 г.)- 1317 чел., (1953 г.)- 1644 чел., (2005 г.)- 202 чел., (2006 г.)- 181 чел.</w:t>
      </w:r>
    </w:p>
    <w:p w14:paraId="093A8E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(06.1942 г.)- Горин, (1948 г.)- Арофикин. Гендиректор (1995-2007 г.-)- И.А. Родькин.</w:t>
      </w:r>
    </w:p>
    <w:p w14:paraId="268647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механик (1948 г.)- Буровой.</w:t>
      </w:r>
    </w:p>
    <w:p w14:paraId="087247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120-мм минометы; корпуса 82-мм мин, 37-мм снаряды, детали для </w:t>
      </w:r>
      <w:r w:rsidRPr="008127F8">
        <w:rPr>
          <w:rFonts w:ascii="Times New Roman" w:hAnsi="Times New Roman"/>
          <w:color w:val="000000" w:themeColor="text1"/>
          <w:sz w:val="16"/>
          <w:szCs w:val="16"/>
          <w:lang w:val="en-US"/>
        </w:rPr>
        <w:t>PC</w:t>
      </w:r>
      <w:r w:rsidRPr="008127F8">
        <w:rPr>
          <w:rFonts w:ascii="Times New Roman" w:hAnsi="Times New Roman"/>
          <w:color w:val="000000" w:themeColor="text1"/>
          <w:sz w:val="16"/>
          <w:szCs w:val="16"/>
        </w:rPr>
        <w:t xml:space="preserve"> М-13 (1942); </w:t>
      </w:r>
      <w:r w:rsidRPr="008127F8">
        <w:rPr>
          <w:rFonts w:ascii="Times New Roman" w:hAnsi="Times New Roman"/>
          <w:iCs/>
          <w:color w:val="000000" w:themeColor="text1"/>
          <w:sz w:val="16"/>
          <w:szCs w:val="16"/>
        </w:rPr>
        <w:t>центробежные насосы:</w:t>
      </w:r>
      <w:r w:rsidRPr="008127F8">
        <w:rPr>
          <w:rFonts w:ascii="Times New Roman" w:hAnsi="Times New Roman"/>
          <w:color w:val="000000" w:themeColor="text1"/>
          <w:sz w:val="16"/>
          <w:szCs w:val="16"/>
        </w:rPr>
        <w:t xml:space="preserve"> 4НДВ, 6НДВ (-1947-53-), 5НДВ, 6НДВ, 6НДВ6 (1953), 8НДВ (-1947-53-), 6НДС, 12НДС, 16НДН (-1947-53-), 20Д6 (1953), 22НДС, 8х2НКК, 32Д-19, 12НЗБ, 153КД, ЗхЗНМГ, ЗхбНМГ (1947), 24НДН, ВСА-100, ЦСП-51, ПН-40, КД 153 (1953) (11982).</w:t>
      </w:r>
    </w:p>
    <w:p w14:paraId="231BBA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D25E5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Завод им. 1-го Августа - в ведении Главтекстильмаша НКМВ, в 07.1942 г. завод № 749 им. 1-го Августа - в ведении 1ГУ НКМВ (Завод № 749 ИМ. 1-ГО Августа НКМВ, Завод им. 1-го Августа НКМВ / г. Москва/).</w:t>
      </w:r>
    </w:p>
    <w:p w14:paraId="167B0D6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(06.1942 г.)- Казутин.</w:t>
      </w:r>
    </w:p>
    <w:p w14:paraId="09BCCB7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76-мм дистанционная граната, 50-мм мина, корпус гранаты Ф-1 (1942) (11982).</w:t>
      </w:r>
    </w:p>
    <w:p w14:paraId="2AD6081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014A3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июне 1942 г. Завод им. Маленкова - в ведении Главармалита НКМВ. В 07.1942 г. завод № 788 им. Маленкова (Завод № 788 ИМ. Маленкова </w:t>
      </w:r>
      <w:r w:rsidRPr="008127F8">
        <w:rPr>
          <w:rFonts w:ascii="Times New Roman" w:hAnsi="Times New Roman"/>
          <w:color w:val="000000" w:themeColor="text1"/>
          <w:sz w:val="16"/>
          <w:szCs w:val="16"/>
          <w:lang w:val="en-US"/>
        </w:rPr>
        <w:t>HIC</w:t>
      </w:r>
      <w:r w:rsidRPr="008127F8">
        <w:rPr>
          <w:rFonts w:ascii="Times New Roman" w:hAnsi="Times New Roman"/>
          <w:color w:val="000000" w:themeColor="text1"/>
          <w:sz w:val="16"/>
          <w:szCs w:val="16"/>
        </w:rPr>
        <w:t>1</w:t>
      </w:r>
      <w:r w:rsidRPr="008127F8">
        <w:rPr>
          <w:rFonts w:ascii="Times New Roman" w:hAnsi="Times New Roman"/>
          <w:color w:val="000000" w:themeColor="text1"/>
          <w:sz w:val="16"/>
          <w:szCs w:val="16"/>
          <w:lang w:val="en-US"/>
        </w:rPr>
        <w:t>V</w:t>
      </w:r>
      <w:r w:rsidRPr="008127F8">
        <w:rPr>
          <w:rFonts w:ascii="Times New Roman" w:hAnsi="Times New Roman"/>
          <w:color w:val="000000" w:themeColor="text1"/>
          <w:sz w:val="16"/>
          <w:szCs w:val="16"/>
        </w:rPr>
        <w:t>1</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 Завод им. Маленкова НКМВ, Московский арматурный завод им. Маленкова ММиП /г. Москва, 113 ул. М. Красносельская, 2/8 «Шихта» (1948 г.)/) - в ведении 2ГУ НКМВ.</w:t>
      </w:r>
    </w:p>
    <w:p w14:paraId="7C894DD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1947-48 г. Московский арматурный завод им. Маленкова - в ведении Главармалита ММиП.</w:t>
      </w:r>
    </w:p>
    <w:p w14:paraId="3A7B0DF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предприятия (1947 г.) цехи: основные: № 1, арматурный, механический, литейный, кузница; вспомогательные: ремонтный, инструментальный, котельная.</w:t>
      </w:r>
    </w:p>
    <w:p w14:paraId="1DD46C4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оборудования: (1946 г.)- 349 ед., (1947 г.)- 414 ед.</w:t>
      </w:r>
    </w:p>
    <w:p w14:paraId="794A3F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территории (1947 г.)- 2,02 га; застройки (1947 г.)-10175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производственная (1946-47 г.) - 12975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30813FA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(1939 г.)- 1061 чел., (1946 г.)- 685 чел., (1947 г.)- 717 чел.</w:t>
      </w:r>
    </w:p>
    <w:p w14:paraId="6974BED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(06.1942 г.)- Муха, (1948 г.)- Голованов.</w:t>
      </w:r>
    </w:p>
    <w:p w14:paraId="3EC932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(1948 г.)- Гончаров.</w:t>
      </w:r>
    </w:p>
    <w:p w14:paraId="47955D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авиабомба АО-25, 120-мм-мина, ПОМЗ-2, детали для </w:t>
      </w:r>
      <w:r w:rsidRPr="008127F8">
        <w:rPr>
          <w:rFonts w:ascii="Times New Roman" w:hAnsi="Times New Roman"/>
          <w:color w:val="000000" w:themeColor="text1"/>
          <w:sz w:val="16"/>
          <w:szCs w:val="16"/>
          <w:lang w:val="en-US"/>
        </w:rPr>
        <w:t>PC</w:t>
      </w:r>
      <w:r w:rsidRPr="008127F8">
        <w:rPr>
          <w:rFonts w:ascii="Times New Roman" w:hAnsi="Times New Roman"/>
          <w:color w:val="000000" w:themeColor="text1"/>
          <w:sz w:val="16"/>
          <w:szCs w:val="16"/>
        </w:rPr>
        <w:t xml:space="preserve"> М-13 (1942); арматура стальная, чугунная, бронзовая: вентили «Рей», задвижки ВЧЗ, СКЗ (1947) (11982).</w:t>
      </w:r>
      <w:r w:rsidRPr="008127F8">
        <w:rPr>
          <w:rFonts w:ascii="Times New Roman" w:hAnsi="Times New Roman"/>
          <w:color w:val="000000" w:themeColor="text1"/>
          <w:sz w:val="16"/>
          <w:szCs w:val="16"/>
          <w:vertAlign w:val="superscript"/>
        </w:rPr>
        <w:t>129</w:t>
      </w:r>
    </w:p>
    <w:p w14:paraId="4826653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05E5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1942г. Литейно-механический завод, организованный в 1942 г. - в ведении Главполиграфмаша НКМВ. В соответствии с пост. СНК № 837-430сс от 3.06.1942г. и приказом НКМВ № 250с от 7.07.1942г. Литейно- механический завод НКМВ переименован в завод № 821 в ведении ЗГУ (Завод № 821 НКМВ , Литейно -механический завод НКМВ, Пензенский литейно-механический завод ММиП /г. Пенза ул. Каракозовская, 44 «Силумин» (1948г.)/).</w:t>
      </w:r>
    </w:p>
    <w:p w14:paraId="714000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1947-48г. завод - в ведении Главполиграфмаша ММиП.</w:t>
      </w:r>
    </w:p>
    <w:p w14:paraId="3F6245F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предприятия (1947г.) цехи: основные: литейный, механо-сборочный; вспомогательные: модельно- столярный, ремонтный.</w:t>
      </w:r>
    </w:p>
    <w:p w14:paraId="3823E53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оборудования: (1939г.)- 27 ед., (1946г.)- 70 ед., (1947г.)- 87 ед.</w:t>
      </w:r>
    </w:p>
    <w:p w14:paraId="541DFE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территории (1947г.)- 1,69 га; застройки (1947г.)- 2538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производственная (1946-47г.)- 1472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1DCB57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(1939г.)- 90 чел., (1946г.)- 210 чел., (1947г.)- 223 чел.</w:t>
      </w:r>
    </w:p>
    <w:p w14:paraId="1CEB4F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(06.1942г.)- Клюквин.</w:t>
      </w:r>
    </w:p>
    <w:p w14:paraId="0A6754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(1948г.)- Денисович.</w:t>
      </w:r>
    </w:p>
    <w:p w14:paraId="39266A2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50-мм мины (1942);</w:t>
      </w:r>
      <w:r w:rsidRPr="008127F8">
        <w:rPr>
          <w:rFonts w:ascii="Times New Roman" w:hAnsi="Times New Roman"/>
          <w:iCs/>
          <w:color w:val="000000" w:themeColor="text1"/>
          <w:sz w:val="16"/>
          <w:szCs w:val="16"/>
        </w:rPr>
        <w:t xml:space="preserve"> станки:</w:t>
      </w:r>
      <w:r w:rsidRPr="008127F8">
        <w:rPr>
          <w:rFonts w:ascii="Times New Roman" w:hAnsi="Times New Roman"/>
          <w:color w:val="000000" w:themeColor="text1"/>
          <w:sz w:val="16"/>
          <w:szCs w:val="16"/>
        </w:rPr>
        <w:t xml:space="preserve"> отливные СУ, СО; фрезерно-отделочный ФР, фацетно-торцевой ФТ, ТА, дисковая пила ДП, лобофрезерный ЛФ, лобзиковый, для шлифовки цинка, торцевой для обработки клише; цинкорубилка ЦР; гартоплавильная печь СГ; гальваническая установка, центрифуга для цинкографии МЦ1; малая копировальная рама МК1 (1947) (11982).</w:t>
      </w:r>
      <w:r w:rsidRPr="008127F8">
        <w:rPr>
          <w:rFonts w:ascii="Times New Roman" w:hAnsi="Times New Roman"/>
          <w:color w:val="000000" w:themeColor="text1"/>
          <w:sz w:val="16"/>
          <w:szCs w:val="16"/>
          <w:vertAlign w:val="superscript"/>
        </w:rPr>
        <w:t>129</w:t>
      </w:r>
    </w:p>
    <w:p w14:paraId="11C3F0FB"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p>
    <w:p w14:paraId="25007C3E"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на Сталинском заводе № 526 начался выпуск пулемета ДП В. А. Дегтярева пехотный. Из непрерывно прибывавших станков к этому времени было введено в строй 68%. Бюро Новосибирского обкома ВКП(б) 21 июля 1942 г. подвергло резкой критике руководство предприятия. За срыв выполнения задания ГКО Наркомат освободил от работы директора завода М.С. Новикова и назначил вместо него Н.А. Дубасова. Завод получил пополнение ИТР из Ковровского, Ижевского и Тульского заводов. Прибыли ИТР из Ленинграда, Донбасса, а затем - из Сталинграда.</w:t>
      </w:r>
    </w:p>
    <w:p w14:paraId="1EAB0CB3"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августа завод ежемесячно выполнял и перевыполнял задания ГКО. Пример в работе показывали фрезеровщик П.А. Грачев, слесари Г.В. Демин и А.П. Татаринов, бригадир заточников Я.И. Гребенщиков, мастер В.А. Ихвишенко, 846 рабочих являлись стахановцами и ударниками.</w:t>
      </w:r>
    </w:p>
    <w:p w14:paraId="2312EF05"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Себестоимость выпускаемого пулемета ДП превышала плановую. Его отпускная цена была установлена 1200 руб., а себестоимость изготовления на заводе обходилась в 1890 руб. Еще сложнее обстояло дело с танковым вариантом пулемета, освоение производства которого началось в феврале 1943 г. Заводская себестоимость пулемета ДП превышала отпускную цену (808 руб.) в 3,2 раза. Брак по отдельным деталям доходил до 17-51 %. При испытаниях на живучесть, проведенных на полигоне Сибирского военного округа в апреле 1943 г., в пулеметах ДТ был выявлен ряд дефектов.</w:t>
      </w:r>
    </w:p>
    <w:p w14:paraId="28684AF1"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апреля 1943 г. с планом выпуска так необходимой фронту продукции завод не справлялся. Первый секретарь Новокузнецкого горкома партии В.А. Москвин дважды, в мае и августе 1943 г., обращался непосредственно к секретарю ЦК ВКП(б) Г.М. Маленкову с просьбами, чтобы наркомат оказал помощь заводу. За 1943 г. он стал крупным предприятием и выпустил 19.380 пулеметов. Это восполняло 23,4% потерь ручных пулеметов на фронте.</w:t>
      </w:r>
    </w:p>
    <w:p w14:paraId="440FB4E6"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директора наркомат заменил. Под руководством нового директора Н. Денисенко бурное строительство продолжалось. На территории площадью 13,23 гектара было возведено 32 корпуса и здания. В них размещались 31 цех и все службы. В цехах работало около 1100 станков, разумеется, в две смены по 11 часов каждая. Трудовой коллектив завода в 1944 г. достиг 4442 человека, в том числе более половины составляли женщины.</w:t>
      </w:r>
    </w:p>
    <w:p w14:paraId="299BC1FC"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Готовый пулемет выдавал механосборочный цех №7. Длина его сборочных конвейеров составляла 58 метров. Если в начале года на потоке обрабатывалось 7 деталей, то в конце года уже 13. Стоимость выпущенной на конвейерах продукции достигла в 1944 г. 31 944 тыс. руб., что составляло 87,3% всей валовой продукции завода.</w:t>
      </w:r>
    </w:p>
    <w:p w14:paraId="576D9FA3"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1945 г. было выпущено 13304 пулемета ДП, 24 пулемета ДТ и отремонтировано присланных на завод 8276 пулеметов ДП. Сократив выпуск пулеметов, завод выпустил 4 тыс. мелкокалиберных винтовок ТОЗ-8, 7540 коньков «Снегурочка», 120 отбойных молотков. А затем это крупное оборонное предприятие было преобразовано в Новокузнецкий машиностроительный завод (11515).</w:t>
      </w:r>
    </w:p>
    <w:p w14:paraId="239207CF"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p>
    <w:p w14:paraId="344250A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июня 1942 г. в ассортименте военной продукции ГУЛАГ произошли существенные изменения. Ротные минометы 50-мм калибра стали сниматься с вооружения из-за низкой эффективности боеприпасов. Перед предприятиями ГУЛАГа была поставлена задача освоить выпуск мин калибра 82-мм с доведением их выпуска до миллиона штук в месяц. Одновременно была поставлена задача перейти на производство 120-мм мин, ручных гранат РГ-42 и авиабомб. </w:t>
      </w:r>
    </w:p>
    <w:p w14:paraId="6F1C5F2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Выполнение новых задач потребовало серьезной модернизации производства и дополнительной мобилизации ресурсов. Тринадцать колоний, ранее выпускавших 50-мм мины, были переведены на новый калибр, 7 предприятий были вновь привлечены к выпуску боеприпасов. Производство ручных гранат было сосредоточено на восстановленных после эвакуации Московских ИТК № 2 и № 3. Но самым серьезным пополнением для промышленности боеприпасов ГУЛАГа стал перевод на военное производство Механического завода Волгостроя НКВД в Рыбинске, одного из самых мощных и хорошо оборудованных предприятий системы. С лета 1942 завод принял к производству 120-мм мину, а также стал единственным предприятием НКВД по изготовлению авиабомб. Продукцию завода составляли химические авиабомбы ХАБ-100 и ХАБ-500. Всего за годы войны завод дал РККА 37,5 тысячи химических бомб и 22 тысячи фугасных ФАБ-500, поставленных в производство с 1943 г. </w:t>
      </w:r>
    </w:p>
    <w:p w14:paraId="2E7AF7C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Увеличение производства мин потребовало модернизации производственных мощностей. Станочный парк предприятий был увеличен до 2200 единиц (в 1941 - около 450 единиц), притом только 150 станков было получено по фондам от союзной промышленности: все остальное оборудование поставили другие, не столь загруженные предприятия НКВД. Единственным разрешенным "внешним" источником увеличения оказался сбор и восстановление бесхозного оборудования. Такими способами удалось "наскрести" около 1600 станков. Параллельно для обеспечения изготавливающих боеприпасы предприятий было построено 10 литейных цехов, 17 вагранок и 38 отжигательных печей. Все предприятия в срочном порядке обзаводились металлографическими, химическими, измерительными лабораториями.</w:t>
      </w:r>
    </w:p>
    <w:p w14:paraId="3E80E93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ноября 1942 г. выпуск 82-мм мин превысил 1 миллион в месяц. Всего за 2-е полугодие 1942 г. было произведено около 5 млн. мин, то есть за 1942 год их выпуск возрос 28 раз (12129).</w:t>
      </w:r>
    </w:p>
    <w:p w14:paraId="727F748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EA5B2C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 июне 1942 года на СТЗ сдали 300 Т-34, причем, как и в предыдущие месяцы завод испытывал большую проблему с поставкой металла со стороны и недостатком рабочей силы. Для решения проблемы с последней, по согласованию с ГАБТУ КА для сборки танков стали использовать личный состав расположенного в городе и окрестностях Сталинградского учебного танкового центра, занимавшегося формированием танковых частей и соединений.</w:t>
      </w:r>
    </w:p>
    <w:p w14:paraId="55C7AF5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с этим завод пытался устранить выявленные дефекты, из которых одним из основных и массовых на тот момент было разрушение бортовых передач. Причиной выхода из строя последней было введение конструкции так называемого бесструнного крепления бортовой передачи, при которой недостаточно жесткой и надежной являлась установка конического подшипника (12217).</w:t>
      </w:r>
    </w:p>
    <w:p w14:paraId="689E87E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4D086F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на СТЗ провели испытания танка с приваренными на нем «поручнями для переброски танкового десанта». При этом было установлено, что поручни обеспечивают надежное размещение на машине десанта в количестве 16 человек, при этом танк мог вести огонь из пушки и пулемета в пределах до 90 градусов по ходу. В своем заключении по испытаниям главный инженер СТЗ Демьянович и главный конструктор Вернер писали:</w:t>
      </w:r>
    </w:p>
    <w:p w14:paraId="6ED616E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«Проверка прочности поручней и их приварки производилась ударами кувалды и доказала достаточную прочность поручней.</w:t>
      </w:r>
    </w:p>
    <w:p w14:paraId="26399B1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основании произведенной проверки удобства пользования поручнями считаем целесообразным установку их на всех выпускаемых танках Т-34».</w:t>
      </w:r>
    </w:p>
    <w:p w14:paraId="0AFEE4D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Предложение получило одобрение и в БТУ ГАБТУ КА, но в серию скорее всего не вводилось, так как на чертеже размещения поручней на Т-34 стоит штамп:</w:t>
      </w:r>
    </w:p>
    <w:p w14:paraId="6F9D199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серию вводиться не будет. ОГК СТЗ» (12217).</w:t>
      </w:r>
    </w:p>
    <w:p w14:paraId="78EC874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50DC61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завод 174 дал первую продукцию - 9 танков Т-34. Правда, ранее в постановлении ГКО сроком начала производства был установлен май. В октябре месячное производство танков на заводе достигло 105 штук. Можно считать, что к этому моменту организация производства Т- 34 на заводе завершилась, хотя установленный постановлением ГКО № 1144сс уровень производства 250 танков в месяц так и не был достигнут (12290).</w:t>
      </w:r>
    </w:p>
    <w:p w14:paraId="1C76505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1F481C8"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июня 1942 года созданный из трех заводов завод № 174 приступил к выпуску танков Т- 34. В 1944-46 гг. 174-й завод выпускал танки Т-34-85. В 1947 году и самом начале 1948-го омские танкостроители построили «вдруг» сравнительно небольшую партию СУ-100 - 204 машины. Количество, сопоставимое с месячным выпуском </w:t>
      </w:r>
      <w:r w:rsidRPr="008127F8">
        <w:rPr>
          <w:rFonts w:ascii="Times New Roman" w:hAnsi="Times New Roman"/>
          <w:color w:val="000000" w:themeColor="text1"/>
          <w:sz w:val="16"/>
          <w:szCs w:val="16"/>
        </w:rPr>
        <w:lastRenderedPageBreak/>
        <w:t>этих самоходок на свердловском УЗТМ. Кажущееся отсутствие логики в такой передаче производства из Свердловска в Омск привело некоторых современных исследователей к заключению о том, что Омск, де, вообще СУ-100 не строил. В частности, сомнение в возможности разо</w:t>
      </w:r>
      <w:r w:rsidRPr="008127F8">
        <w:rPr>
          <w:rFonts w:ascii="Times New Roman" w:hAnsi="Times New Roman"/>
          <w:color w:val="000000" w:themeColor="text1"/>
          <w:sz w:val="16"/>
          <w:szCs w:val="16"/>
        </w:rPr>
        <w:softHyphen/>
        <w:t>вого возобновления производства СУ-100 в 1947 году высказывал М. Барятинский в книге «Самоходки в одном строю с танками» и других изданиях. Действительно, подобно тому, как появление Т-34 с 85-мм орудием положило конец карьере СУ-85 с пушкой ана</w:t>
      </w:r>
      <w:r w:rsidRPr="008127F8">
        <w:rPr>
          <w:rFonts w:ascii="Times New Roman" w:hAnsi="Times New Roman"/>
          <w:color w:val="000000" w:themeColor="text1"/>
          <w:sz w:val="16"/>
          <w:szCs w:val="16"/>
        </w:rPr>
        <w:softHyphen/>
        <w:t>логичного калибра, так после разработки танка Т-54 со 100-мм пушкой утратила акту</w:t>
      </w:r>
      <w:r w:rsidRPr="008127F8">
        <w:rPr>
          <w:rFonts w:ascii="Times New Roman" w:hAnsi="Times New Roman"/>
          <w:color w:val="000000" w:themeColor="text1"/>
          <w:sz w:val="16"/>
          <w:szCs w:val="16"/>
        </w:rPr>
        <w:softHyphen/>
        <w:t>альность и самоходка СУ-100 - при равной огневой мощи танк для военных всегда пред</w:t>
      </w:r>
      <w:r w:rsidRPr="008127F8">
        <w:rPr>
          <w:rFonts w:ascii="Times New Roman" w:hAnsi="Times New Roman"/>
          <w:color w:val="000000" w:themeColor="text1"/>
          <w:sz w:val="16"/>
          <w:szCs w:val="16"/>
        </w:rPr>
        <w:softHyphen/>
        <w:t>почтительнее. Однако сведения о количестве построенных 174-м заводом «сушек» хранят</w:t>
      </w:r>
      <w:r w:rsidRPr="008127F8">
        <w:rPr>
          <w:rFonts w:ascii="Times New Roman" w:hAnsi="Times New Roman"/>
          <w:color w:val="000000" w:themeColor="text1"/>
          <w:sz w:val="16"/>
          <w:szCs w:val="16"/>
        </w:rPr>
        <w:softHyphen/>
        <w:t>ся в РГАЭ, существуют музейные СУ-100 с серийными номерами именно омского заво</w:t>
      </w:r>
      <w:r w:rsidRPr="008127F8">
        <w:rPr>
          <w:rFonts w:ascii="Times New Roman" w:hAnsi="Times New Roman"/>
          <w:color w:val="000000" w:themeColor="text1"/>
          <w:sz w:val="16"/>
          <w:szCs w:val="16"/>
        </w:rPr>
        <w:softHyphen/>
        <w:t>да и с характерными конструктивными при</w:t>
      </w:r>
      <w:r w:rsidRPr="008127F8">
        <w:rPr>
          <w:rFonts w:ascii="Times New Roman" w:hAnsi="Times New Roman"/>
          <w:color w:val="000000" w:themeColor="text1"/>
          <w:sz w:val="16"/>
          <w:szCs w:val="16"/>
        </w:rPr>
        <w:softHyphen/>
        <w:t>знаками (в частности, в ЦМВС, в Ленино-Сне- гиревском музее, в Кубинке). Как все это понимать? Понимать так, что кажущееся нам сегодня странным решение на самом деле было вполне разумным в 1947 году.</w:t>
      </w:r>
    </w:p>
    <w:p w14:paraId="1C239247" w14:textId="77777777" w:rsidR="007C5583" w:rsidRPr="008127F8" w:rsidRDefault="007C5583" w:rsidP="007C5583">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По завершении программы Т-34-85 завод №174 должен был в 1947 году перейти на новый тип танка - Т-54. В этом году три заво</w:t>
      </w:r>
      <w:r w:rsidRPr="008127F8">
        <w:rPr>
          <w:rFonts w:ascii="Times New Roman" w:hAnsi="Times New Roman" w:cs="Times New Roman"/>
          <w:color w:val="000000" w:themeColor="text1"/>
          <w:sz w:val="16"/>
          <w:szCs w:val="16"/>
        </w:rPr>
        <w:softHyphen/>
        <w:t>да - нижнетагильский №183, харьковский №75 и омский №174 по плану должны были бы выпустить совместно 400 Т-54, но на деле только головной завод №183 построил 22 таких машины. В Омск первые чертежи ново</w:t>
      </w:r>
      <w:r w:rsidRPr="008127F8">
        <w:rPr>
          <w:rFonts w:ascii="Times New Roman" w:hAnsi="Times New Roman" w:cs="Times New Roman"/>
          <w:color w:val="000000" w:themeColor="text1"/>
          <w:sz w:val="16"/>
          <w:szCs w:val="16"/>
        </w:rPr>
        <w:softHyphen/>
        <w:t>го танка из Тагила попали в сентябре, а пол</w:t>
      </w:r>
      <w:r w:rsidRPr="008127F8">
        <w:rPr>
          <w:rFonts w:ascii="Times New Roman" w:hAnsi="Times New Roman" w:cs="Times New Roman"/>
          <w:color w:val="000000" w:themeColor="text1"/>
          <w:sz w:val="16"/>
          <w:szCs w:val="16"/>
        </w:rPr>
        <w:softHyphen/>
        <w:t>ный утвержденный комплект документации и технологические условия - вообще лишь в конце ноября 1947 года. При этом после Победы ситуация на заводе складывалась еще худшая, чем на УЗТМ в Свердловске. Уже в мае 1945 года партийные органы доклады</w:t>
      </w:r>
      <w:r w:rsidRPr="008127F8">
        <w:rPr>
          <w:rFonts w:ascii="Times New Roman" w:hAnsi="Times New Roman" w:cs="Times New Roman"/>
          <w:color w:val="000000" w:themeColor="text1"/>
          <w:sz w:val="16"/>
          <w:szCs w:val="16"/>
        </w:rPr>
        <w:softHyphen/>
        <w:t>вали в ЦК ВКП(б), что рабочие самовольно покидают предприятие «по мотивам оконча</w:t>
      </w:r>
      <w:r w:rsidRPr="008127F8">
        <w:rPr>
          <w:rFonts w:ascii="Times New Roman" w:hAnsi="Times New Roman" w:cs="Times New Roman"/>
          <w:color w:val="000000" w:themeColor="text1"/>
          <w:sz w:val="16"/>
          <w:szCs w:val="16"/>
        </w:rPr>
        <w:softHyphen/>
        <w:t>ния войны». Фиксировались далеко не еди</w:t>
      </w:r>
      <w:r w:rsidRPr="008127F8">
        <w:rPr>
          <w:rFonts w:ascii="Times New Roman" w:hAnsi="Times New Roman" w:cs="Times New Roman"/>
          <w:color w:val="000000" w:themeColor="text1"/>
          <w:sz w:val="16"/>
          <w:szCs w:val="16"/>
        </w:rPr>
        <w:softHyphen/>
        <w:t>ничные случаи коллективного отказа рабо</w:t>
      </w:r>
      <w:r w:rsidRPr="008127F8">
        <w:rPr>
          <w:rFonts w:ascii="Times New Roman" w:hAnsi="Times New Roman" w:cs="Times New Roman"/>
          <w:color w:val="000000" w:themeColor="text1"/>
          <w:sz w:val="16"/>
          <w:szCs w:val="16"/>
        </w:rPr>
        <w:softHyphen/>
        <w:t>тать более восьми часов в день. Из 12 тыс.</w:t>
      </w:r>
    </w:p>
    <w:p w14:paraId="1BAF5F40" w14:textId="77777777" w:rsidR="007C5583" w:rsidRPr="008127F8" w:rsidRDefault="007C5583" w:rsidP="007C5583">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385 человек рабочих завода №174 до 96% были эвакуированы из Ленинграда, Вороши</w:t>
      </w:r>
      <w:r w:rsidRPr="008127F8">
        <w:rPr>
          <w:rFonts w:ascii="Times New Roman" w:hAnsi="Times New Roman" w:cs="Times New Roman"/>
          <w:color w:val="000000" w:themeColor="text1"/>
          <w:sz w:val="16"/>
          <w:szCs w:val="16"/>
        </w:rPr>
        <w:softHyphen/>
        <w:t>ловграда, Сталинграда и других городов, и они, естественно, хотели вернуться домой. Тем более что в Омске для этих людей были созданы, мягко сказать, спартанские усло</w:t>
      </w:r>
      <w:r w:rsidRPr="008127F8">
        <w:rPr>
          <w:rFonts w:ascii="Times New Roman" w:hAnsi="Times New Roman" w:cs="Times New Roman"/>
          <w:color w:val="000000" w:themeColor="text1"/>
          <w:sz w:val="16"/>
          <w:szCs w:val="16"/>
        </w:rPr>
        <w:softHyphen/>
        <w:t>вия: подселение в частные дома «в порядке уплотнения», общежития и землянки с двухъ</w:t>
      </w:r>
      <w:r w:rsidRPr="008127F8">
        <w:rPr>
          <w:rFonts w:ascii="Times New Roman" w:hAnsi="Times New Roman" w:cs="Times New Roman"/>
          <w:color w:val="000000" w:themeColor="text1"/>
          <w:sz w:val="16"/>
          <w:szCs w:val="16"/>
        </w:rPr>
        <w:softHyphen/>
        <w:t>ярусными койками. С уменьшением объемов военного производства резко упали и зар</w:t>
      </w:r>
      <w:r w:rsidRPr="008127F8">
        <w:rPr>
          <w:rFonts w:ascii="Times New Roman" w:hAnsi="Times New Roman" w:cs="Times New Roman"/>
          <w:color w:val="000000" w:themeColor="text1"/>
          <w:sz w:val="16"/>
          <w:szCs w:val="16"/>
        </w:rPr>
        <w:softHyphen/>
        <w:t>платы, а многие товары покупать приходи</w:t>
      </w:r>
      <w:r w:rsidRPr="008127F8">
        <w:rPr>
          <w:rFonts w:ascii="Times New Roman" w:hAnsi="Times New Roman" w:cs="Times New Roman"/>
          <w:color w:val="000000" w:themeColor="text1"/>
          <w:sz w:val="16"/>
          <w:szCs w:val="16"/>
        </w:rPr>
        <w:softHyphen/>
        <w:t>лось на рынках - карточки отоваривались заменителями и с большим опозданием. Во время войны все это воспринималось как неизбежность, но теперь терпеть далее рабо</w:t>
      </w:r>
      <w:r w:rsidRPr="008127F8">
        <w:rPr>
          <w:rFonts w:ascii="Times New Roman" w:hAnsi="Times New Roman" w:cs="Times New Roman"/>
          <w:color w:val="000000" w:themeColor="text1"/>
          <w:sz w:val="16"/>
          <w:szCs w:val="16"/>
        </w:rPr>
        <w:softHyphen/>
        <w:t>чие смысла не видели.</w:t>
      </w:r>
    </w:p>
    <w:p w14:paraId="31E5E03C"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этой ситуации для сохранения кадров танкостроителей и было принято решение развернуть временное производство СУ-100: шасси от давно освоенного в Омске Т-34, ору</w:t>
      </w:r>
      <w:r w:rsidRPr="008127F8">
        <w:rPr>
          <w:rFonts w:ascii="Times New Roman" w:hAnsi="Times New Roman"/>
          <w:color w:val="000000" w:themeColor="text1"/>
          <w:sz w:val="16"/>
          <w:szCs w:val="16"/>
        </w:rPr>
        <w:softHyphen/>
        <w:t>дие - то же самое, каким будет вооружен пер</w:t>
      </w:r>
      <w:r w:rsidRPr="008127F8">
        <w:rPr>
          <w:rFonts w:ascii="Times New Roman" w:hAnsi="Times New Roman"/>
          <w:color w:val="000000" w:themeColor="text1"/>
          <w:sz w:val="16"/>
          <w:szCs w:val="16"/>
        </w:rPr>
        <w:softHyphen/>
        <w:t>спективный танк Т-54 (та же Д-10, только у танка с индексом «Т» - танковая). Чертежи СУ-100 передали с УЗТМ, но завод №174 адап</w:t>
      </w:r>
      <w:r w:rsidRPr="008127F8">
        <w:rPr>
          <w:rFonts w:ascii="Times New Roman" w:hAnsi="Times New Roman"/>
          <w:color w:val="000000" w:themeColor="text1"/>
          <w:sz w:val="16"/>
          <w:szCs w:val="16"/>
        </w:rPr>
        <w:softHyphen/>
        <w:t>тировал самоходку к имеющимся технологи</w:t>
      </w:r>
      <w:r w:rsidRPr="008127F8">
        <w:rPr>
          <w:rFonts w:ascii="Times New Roman" w:hAnsi="Times New Roman"/>
          <w:color w:val="000000" w:themeColor="text1"/>
          <w:sz w:val="16"/>
          <w:szCs w:val="16"/>
        </w:rPr>
        <w:softHyphen/>
        <w:t>ческим возможностям и максимально использовал свои наработки по «тридцать</w:t>
      </w:r>
      <w:r w:rsidRPr="008127F8">
        <w:rPr>
          <w:rFonts w:ascii="Times New Roman" w:hAnsi="Times New Roman"/>
          <w:color w:val="000000" w:themeColor="text1"/>
          <w:sz w:val="16"/>
          <w:szCs w:val="16"/>
        </w:rPr>
        <w:softHyphen/>
        <w:t>четверке». Так что омские «сотки», получив</w:t>
      </w:r>
      <w:r w:rsidRPr="008127F8">
        <w:rPr>
          <w:rFonts w:ascii="Times New Roman" w:hAnsi="Times New Roman"/>
          <w:color w:val="000000" w:themeColor="text1"/>
          <w:sz w:val="16"/>
          <w:szCs w:val="16"/>
        </w:rPr>
        <w:softHyphen/>
        <w:t>шие обозначение «объект 138», имели днище из трех бронедеталей (вместо пяти у СУ-100 УЗТМ), коробчатые передние грязевые щитки, буксирные крюки характерной формы, короткие бронеколпаки выхлопных труб, унифицированные с круглым люком петли откидной кормовой плиты и т.д. Изменения конструкции в течение недолгого периода производства СУ-100 в Омске не выявлены, что вполне объяснимо (19931).</w:t>
      </w:r>
    </w:p>
    <w:p w14:paraId="5AD82A4C"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31DB90E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в Нижнем Тагиле в конструкторском бюро завода № 183 начались работы над танком Т-43. Этот танк имел усиленное до 60 мм бронирование, торсионную подвеску, пятискоростную коробку передач (которая затем стала устанавливаться на серийные Т-34), трёхместную башню с командирской башенкой (РГАЭ. Ф. 8798. Оп. 4. Д. 15. Л. 150). Летом 1942 башня и коробка передач нового танка были испытаны на экспериментальных машинах. В декабре 1942 года изготовили первый опытный образец Т-43. Испытания танка затянулись на три месяца. Т-43 так и не был принят на вооружение, так как к 1943 году стало ясно, что для борьбы с немецкими тяжелыми танками у него слишком слабая пушка, а размеры башни не позволяли разместить в ней новое, более мощное орудие. Поэтому в начале 1943 года под руководством В. С. Ниценко для танка была спроектирована новая башня увеличенных размеров с усиленным бронированием (лоб 90 мм). В этой башне размещалось три члена экипажа. Тем самым была решена проблема вынужденного совмещения обязанностей командира танка и наводчика. Как оказалось впоследствии, башня Ниценко имела для советского танкостроения большее значение, чем сам Т-43 (12290).</w:t>
      </w:r>
    </w:p>
    <w:p w14:paraId="4F52F25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C26E5B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июня 1942 года опытный цех заводв № 183 размешался в тамбуре сборочного цеха и в цехе сборки артиллерийских передков, а затем был переведен в ангары аэродрома, совершенно для этого не приспособленные и удаленные от завода. С самого начала организации опытного цеха в Нижнем Тагиле он испытывал большой недостаток станков, оборудования и квалифицированном персонале. Никаких стендов для проведения испытаний не было, а в качестве опытной базы использовалось всего четыре танка Т-34. В результате, из заданных в 1942 году опытных тем удалось выполнить всего 88, а 13 оказались неоконченными и перешли на 1943-й год. Проблема недостатка персонала усугублялась тем, что руководство завода часто практиковало использование работников опытного цеха на других участках, например, на конвейере по сборке танков или их узлов, а также на других работах, не связанных с опытным производством.</w:t>
      </w:r>
    </w:p>
    <w:p w14:paraId="3B46901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это, цех проделал за 1942 год большую работу по повышению качества танков Т-34, снижению их трудоемкости, а также по испытанию заменителей ряда дефицитных материалов и подшипников. Основными работами, которыми занимался опытный цех в 1942 году, можно считать проектирование и изготовление опытных образцов танков Т-43, артиллерийского тягача АТ-45, испытание 5-скоростной коробки перемены передач, командирской башенки и главного фрикциона с утолщенными дисками.</w:t>
      </w:r>
    </w:p>
    <w:p w14:paraId="1D12A59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1943 году опытные работы велись более организованно, в результате чего удалось выполнить 167 различных тем, а километраж пробега имевшихся в распоряжении опытного цеха танков Т-34 составил 31391 километр (в 1942 году - 25732). Тем не менее, оставались большие проблемы с оборудованием, недостатком квалифицированных работников и большим количеством «побочных» работ. В качестве последних можно привести следующие примеры - устранение дефектов на 54 серийных Т-34 сдаточного цеха, изготовление трех спецтягачей, перевозка дров и угля для завода и цеха и т.п.</w:t>
      </w:r>
    </w:p>
    <w:p w14:paraId="6F664BA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Основными опытными работами, которые вело конструкторское бюро завода и опытный цех в 1943 году были испытание танка Т-43, разработка и изготовление опытного образца Т-44, испытание планетарной трансмиссии, огнемета ОП-34, дымовых шашек, новой радиостанции, а также проектирование новых узлов Т-34 в связи с переходом на выпуск машин с увеличенной башней и 85-мм пушкой.</w:t>
      </w:r>
    </w:p>
    <w:p w14:paraId="4271CE7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1944-м - первой половине 1945 года опытный отдел занимался большим количеством тем по снижению трудоемкости производственных процессов или использованию деталей, имеющих отступление от техус- ловий (например, испытание траков, отлитых из некачественной шихты, имеющей повышенное содержание фосфора).</w:t>
      </w:r>
    </w:p>
    <w:p w14:paraId="230A821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Конструкторское бюро завода за этот период занималось модернизацией танка Т-34 и проектированием новых машин Т-44 и Т-54. По тридцатьчетверке были выполнены следующие работы: усиление лобовой брони до 75 мм (в производство не пошло), установка 85-мм орудия ЗИС-С-53, улучшение броне - зашиты маски пушки, повышение надежности работы ходовой части и главного фрикциона. Несмотря на большой объем проведенных работ (только за пять месяцев 1945 года было выполнено 50 тем), опытный отдел по-прежнему испытывал большие трудности с оборудованием и квалифицированными кадрами. Так, из-за недостатка машин (имевшиеся четыре тридцатьчетверки к этому времени прошли более 10000 километров каждая и имели сильные перекосы бронекорпусов), практиковалось испытание на одном танке до десяти различных опытных тем. Лишь в начале 1945 года было получено два новых танка Т-34-85. Кроме того, опытный отдел часто загружали сторонними работами. Например, в начале 1945 года здесь собрали «пять большегрузных тягачей, практиковалась работа по посылке исследователей в цеха на сборку подсобных агрегатов (снегоочистителей, машин для строительства и т.д.)», а также изготовили «каток для утрамбовки дорог» (12217).</w:t>
      </w:r>
    </w:p>
    <w:p w14:paraId="652CDA6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4C2C66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в СКБ-2 (с марта 1942 - опытный завод № 100) в Челябинске началась разработка танка КВ-1С, модернизированного варианта КВ-1. По сравнению со своим предшественником он имел ряд преимуществ: большую скорость, повысившуюся надёжность, лучшие условия для наблюдения из танка (благодаря командирской башенке). На танке установили новую восьмискоростную коробку передач, разработанную Н. Ф. Шашмуриным. Улучшилась система охлаждения двигателя, благодаря которой появилась возможность более полно использовать его мощность. Танк был более технологичен, так как шире применялось броневое литьё. Масса танка снизилась до 42 тонн. Но при этом толщина брони танка была уменьшена до 60 мм, а вооружение танка оставалось прежним. В результате КВ-1 С более не имел принципиальных преимуществ перед Т-34. Тем не менее, в августе 1942 года танк прошёл испытания, был принят на вооружение, и в Танкограде началось его производство.</w:t>
      </w:r>
    </w:p>
    <w:p w14:paraId="3F415CD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Боевое применение танка КВ-1с выявило у него ряд недостатков: неудовлетворительную обзорность, разрушение траков и катков (даже в большей степени, чем у стандартных КВ-1), заклинивание погона башни при попаданиях в эту область танка, невозможность открыть люк радиста при некоторых положениях башни, что в определённых случаях обрекало радиста и механика-водителя гибель в горящем танке. Самое главное, более тонкая бортовая броня стала пробиваться противотанковой артиллерией, причём снаряды попадали прямо в топливные баки (Главное автобронетанковое управление. Люди, события, факты в документах - 1943-1944 гг. С. 44-45).</w:t>
      </w:r>
    </w:p>
    <w:p w14:paraId="499389A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танке КВ-1С был испытан новый поворотный механизм, основанный на принципах планетарной передачи. Испытания выявили ряд преимуществ перед используемым ранее механизмом: увеличение манёвренности и средней скорости танка и облегчение управление танком (Главное автобронетанковое управление. Люди, события, факты в документах - 1943-1944 гг. С. 44-45). Хотя на серийные КВ-1С этот механизм не устанавливался, он нашел свое место на новых тяжелых танках, разрабатываемых в Челябинске (12290).</w:t>
      </w:r>
    </w:p>
    <w:p w14:paraId="3C13EA6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22486A4" w14:textId="77777777" w:rsidR="002F3BDA" w:rsidRPr="008A2E5A" w:rsidRDefault="002F3BDA" w:rsidP="002F3B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1942 года и ЧКЗ, и завод №183 активно работали по своим проектам. Как раз в это время и КВ-13, и Т-34М получили трехместные башни с командирскими башенками. Судя по тем документам, которые имеются, танк с трехместной башней получил обозначение Т-44 (это был уже второй танк с таким индексом. 1 июля 1942 года был подготовлен проект постановления ГКО "Об изготовлении опытных образцов танков Т-44 и модернизации танка Т-34". Но в работу он не пошел. В начале июля Малышева понизили в должности, а Зальцману, который стал вторым по счету наркому, дали четкое задание - нарастить темпы выпуска Т-34. В сложившейся ситуации это был единственно верный вариант развития событий (23824).</w:t>
      </w:r>
    </w:p>
    <w:p w14:paraId="7E4E303E" w14:textId="77777777" w:rsidR="002F3BDA" w:rsidRPr="008A2E5A" w:rsidRDefault="002F3BDA" w:rsidP="002F3BDA">
      <w:pPr>
        <w:spacing w:after="0" w:line="240" w:lineRule="auto"/>
        <w:jc w:val="both"/>
        <w:rPr>
          <w:rFonts w:ascii="Times New Roman" w:hAnsi="Times New Roman"/>
          <w:color w:val="0070C0"/>
          <w:sz w:val="16"/>
          <w:szCs w:val="16"/>
        </w:rPr>
      </w:pPr>
    </w:p>
    <w:p w14:paraId="3ADEDFD5" w14:textId="77777777" w:rsidR="009523D8" w:rsidRPr="007155F3" w:rsidRDefault="009523D8" w:rsidP="009523D8">
      <w:pPr>
        <w:spacing w:after="0" w:line="240" w:lineRule="auto"/>
        <w:jc w:val="both"/>
        <w:rPr>
          <w:rFonts w:ascii="Times New Roman" w:hAnsi="Times New Roman"/>
          <w:color w:val="0070C0"/>
          <w:sz w:val="16"/>
          <w:szCs w:val="16"/>
        </w:rPr>
      </w:pPr>
      <w:r w:rsidRPr="007155F3">
        <w:rPr>
          <w:rFonts w:ascii="Times New Roman" w:hAnsi="Times New Roman"/>
          <w:color w:val="0070C0"/>
          <w:sz w:val="16"/>
          <w:szCs w:val="16"/>
        </w:rPr>
        <w:t>В июне 1942 года, при плане в 120 танков Т-70, завод №38 сдал 117. (24898).</w:t>
      </w:r>
    </w:p>
    <w:p w14:paraId="133DC1A1" w14:textId="77777777" w:rsidR="009523D8" w:rsidRPr="007155F3" w:rsidRDefault="009523D8" w:rsidP="009523D8">
      <w:pPr>
        <w:spacing w:after="0" w:line="240" w:lineRule="auto"/>
        <w:jc w:val="both"/>
        <w:rPr>
          <w:rFonts w:ascii="Times New Roman" w:hAnsi="Times New Roman"/>
          <w:color w:val="0070C0"/>
          <w:sz w:val="16"/>
          <w:szCs w:val="16"/>
        </w:rPr>
      </w:pPr>
    </w:p>
    <w:p w14:paraId="4339E965" w14:textId="77777777" w:rsidR="009523D8" w:rsidRPr="007155F3" w:rsidRDefault="009523D8" w:rsidP="009523D8">
      <w:pPr>
        <w:spacing w:after="0" w:line="240" w:lineRule="auto"/>
        <w:jc w:val="both"/>
        <w:rPr>
          <w:rFonts w:ascii="Times New Roman" w:hAnsi="Times New Roman"/>
          <w:color w:val="0070C0"/>
          <w:sz w:val="16"/>
          <w:szCs w:val="16"/>
        </w:rPr>
      </w:pPr>
      <w:r w:rsidRPr="007155F3">
        <w:rPr>
          <w:rFonts w:ascii="Times New Roman" w:hAnsi="Times New Roman"/>
          <w:color w:val="0070C0"/>
          <w:sz w:val="16"/>
          <w:szCs w:val="16"/>
        </w:rPr>
        <w:t>В июне 1942 года КПП для Т-70 на ГАЗ стали поставлять из Миасса, тут же начались проблемы. Существовали проблемы с поставкой радиооборудования, в результате на часть машин пришлось ставить оборудование под напряжение 6 вольт. Поэтому на ГАЗ также случилась посадка выпуска - 350 Т-70 вместо положенных 390. Из них 21 танк получил, наконец, радиостанцию 9-К. Такие танки легко отличить по наличию штырьевой антенны на крыше башни. Уже в июле число выпущенных танков выросло. ГАЗ им. Молотова сдал положенные 450 танков, из них 101 радийный. Завод №38, при плане в 150 Т-70, сдал 153. Еще 10 штук сдал завод №37, но его очень быстро переключили на производство Т-34 (24898).</w:t>
      </w:r>
    </w:p>
    <w:p w14:paraId="1FBBB277" w14:textId="77777777" w:rsidR="009523D8" w:rsidRPr="007155F3" w:rsidRDefault="009523D8" w:rsidP="009523D8">
      <w:pPr>
        <w:spacing w:after="0" w:line="240" w:lineRule="auto"/>
        <w:jc w:val="both"/>
        <w:rPr>
          <w:rFonts w:ascii="Times New Roman" w:hAnsi="Times New Roman"/>
          <w:color w:val="0070C0"/>
          <w:sz w:val="16"/>
          <w:szCs w:val="16"/>
        </w:rPr>
      </w:pPr>
    </w:p>
    <w:p w14:paraId="7EBA52D9" w14:textId="77777777" w:rsidR="009523D8" w:rsidRPr="007155F3" w:rsidRDefault="009523D8" w:rsidP="009523D8">
      <w:pPr>
        <w:spacing w:after="0" w:line="240" w:lineRule="auto"/>
        <w:jc w:val="both"/>
        <w:rPr>
          <w:rFonts w:ascii="Times New Roman" w:hAnsi="Times New Roman"/>
          <w:color w:val="0070C0"/>
          <w:sz w:val="16"/>
          <w:szCs w:val="16"/>
        </w:rPr>
      </w:pPr>
      <w:r w:rsidRPr="007155F3">
        <w:rPr>
          <w:rFonts w:ascii="Times New Roman" w:hAnsi="Times New Roman"/>
          <w:color w:val="0070C0"/>
          <w:sz w:val="16"/>
          <w:szCs w:val="16"/>
        </w:rPr>
        <w:t>В июне нжемесячный выпуск Т-34 нарастили с 454 в январе до 971. Во второй половине 1942 года процесс форсировали, не пожалев выпуск легких танков в Свердловске (уже в сентябре 1942 года первые Т-34 сдал бывший завод № 37) и подвинув выпуск КВ-1с в Челябинске. Результатом стало то, что в декабре 1942 года сдали 1568 Т-34. Была бы возможность, выпускали Т-34 и на ГАЗ им. Молотова и заводе № 38. Но производственные мощности не позволяли. Поэтому разумно решили оставить выпуск легких танков. Лишними они точно не были (24898).</w:t>
      </w:r>
    </w:p>
    <w:p w14:paraId="4D0943F2" w14:textId="77777777" w:rsidR="009523D8" w:rsidRPr="007155F3" w:rsidRDefault="009523D8" w:rsidP="009523D8">
      <w:pPr>
        <w:spacing w:after="0" w:line="240" w:lineRule="auto"/>
        <w:jc w:val="both"/>
        <w:rPr>
          <w:rFonts w:ascii="Times New Roman" w:hAnsi="Times New Roman"/>
          <w:color w:val="0070C0"/>
          <w:sz w:val="16"/>
          <w:szCs w:val="16"/>
        </w:rPr>
      </w:pPr>
    </w:p>
    <w:p w14:paraId="6314A0D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шли испытания самоходки У-31 УЗТМ А.Н. Шлякова на основе ЗИС-3. На УЗТМ был разработан проект самоходки У-33 на базе Т-34. УЗТМ и Танкоград совместно разрабатывали проект самоходки на базе КВ. Казалось, проблема САУ близка к своему решению.</w:t>
      </w:r>
    </w:p>
    <w:p w14:paraId="296AA0F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как раз в этот момент работы над САУ неожиданно забуксовали. Виной этому стал план расширения производства Т-34, осуществляемый И. М. Зальцманом. В ходе реализации этого плана завод № 37 был слит с УЗТМ, после чего следы легкой самоходки, чей прототип уже проходил испытания на заводе, теряются. УЗТМ тоже прекратил работу над своими проектами, поскольку его конструктора были загружены работой, связанной с освоением Т-34. Работы над САУ возобновились только осенью 1942 года. Недовольное срывом разработок ГАУ подняло вопрос о самоходках в ГКО. ГКО 19 октября 1942 года принял постановление 2429сс (РГАСПИ. Ф. 644. Оп. 1. Д. 65. Л. 2-4), в котором предписывалось разработать и начать производство лёгких, средних и тяжелых САУ.</w:t>
      </w:r>
    </w:p>
    <w:p w14:paraId="7AADBCD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6320B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последовало распоряжение ГО-КО о скорейшей доводке машины и подготовке серии для проведения войсковых испытаний опытных образцов штурмовой и зенитной САУ завода № 37 НКТП. Но начавшееся вскоре крупномасштабное сражение за Сталинград, потребовало от завода № 37 срочного наращивания выпуска легких танков и заказ на изготовление опытной серии самоходных пушек был отменен (6205, 14).</w:t>
      </w:r>
    </w:p>
    <w:p w14:paraId="78EE0D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7A50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распоряжением ГОКО была выработана совместная программа НКВ и НКТП по созданию “системы самоходной артиллерии для вооружения Красной Армии”. При этом на Наркомат Вооружения (НКВ) возлагались задачи разработки и изготовления артиллерийской части будущих САУ, а наркомат танковой промышленности должен был заниматься их ходовой частью и энергетическими установками. Общую координацию работ по САУ должно был осуществлять спецбюро НКТП под руководством С.А.Гинзбурга (6205, 14).</w:t>
      </w:r>
    </w:p>
    <w:p w14:paraId="725EE5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A3082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распоряжением ГКО была выработана совместная программа НКВ и НКТП по созданию "Системы самоходной артилле</w:t>
      </w:r>
      <w:r w:rsidRPr="008127F8">
        <w:rPr>
          <w:rFonts w:ascii="Times New Roman" w:hAnsi="Times New Roman"/>
          <w:color w:val="000000" w:themeColor="text1"/>
          <w:sz w:val="16"/>
          <w:szCs w:val="16"/>
        </w:rPr>
        <w:softHyphen/>
        <w:t>рии для вооружения Красной Армии". При этом на НКВ возлагались задачи разработки и изготовления артиллерийской части будущих са</w:t>
      </w:r>
      <w:r w:rsidRPr="008127F8">
        <w:rPr>
          <w:rFonts w:ascii="Times New Roman" w:hAnsi="Times New Roman"/>
          <w:color w:val="000000" w:themeColor="text1"/>
          <w:sz w:val="16"/>
          <w:szCs w:val="16"/>
        </w:rPr>
        <w:softHyphen/>
        <w:t>моходных артиллерийских установок, а НКТП должен был заниматься созданием базовой машины. Общую координацию работ по самоход</w:t>
      </w:r>
      <w:r w:rsidRPr="008127F8">
        <w:rPr>
          <w:rFonts w:ascii="Times New Roman" w:hAnsi="Times New Roman"/>
          <w:color w:val="000000" w:themeColor="text1"/>
          <w:sz w:val="16"/>
          <w:szCs w:val="16"/>
        </w:rPr>
        <w:softHyphen/>
        <w:t>ным установкам должно было осуществлять специальное бюро НКТП под руководством С.А. Гинзбурга - начальника конструкторского отде</w:t>
      </w:r>
      <w:r w:rsidRPr="008127F8">
        <w:rPr>
          <w:rFonts w:ascii="Times New Roman" w:hAnsi="Times New Roman"/>
          <w:color w:val="000000" w:themeColor="text1"/>
          <w:sz w:val="16"/>
          <w:szCs w:val="16"/>
        </w:rPr>
        <w:softHyphen/>
        <w:t>ла наркомата (10703).</w:t>
      </w:r>
    </w:p>
    <w:p w14:paraId="327D4F0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4DD7F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Малышев записал в дневник следующие слова Сталина: "Наши танки превосходят заграничные, в том числе и немецкие, по своим техническим показателям, но уступают им в ходовой части... Надо иметь в виду, что теперь танкисты менее квалифицированы и поэтому танки надо делать проще, надежнее, а не рассчитывать на виртуозов... Новые танки делать пока не будем. Не надо отвлекать конструкторов от задачи улучшать и модернизировать выпускаемые танки... К новым машинам вернемся через месяц - полтора, когда конструкторы закончат работу по улучшению существующих танков" (Источник. 1997. №5. С. 118-119.). Поэтому с лета 1942 г. основные усилия конструкторов НКТП были переключены с упрощения технологий изготовления на повышение надежности танков. В рамках работы над этой проблемой некоторые прежние решения были отменены. Кризисный период продолжался как минимум до второго квартала 1943 г. Это привело к тому, что освоение новых образцов бронетанковой техники в 1942 г. так и не было начато. Между тем когда в 1943 г. немцы начали активно использовать свои новые разработки - танки "Тигр" и "Пантера" - потребовалось в авральном порядке разрабатывать новые образцы советских вооружений, чтобы успешно противостоять им. Среди самых сложных проблем первого периода войны наиболее остро стояло обеспечение предприятий рабочей силой. В ходе эвакуации потери здесь были даже выше, чем потери оборудования. Очень многие работники предприятий отказались по разным причинам покидать родные места. Часто они просто не успевали эвакуироваться из-за слишком стремительного продвижения противника. Наконец, многие рабочие и служащие вступили в народное ополчение. В результате при организации производства на новом месте предприятия столкнулись с катастрофической нехваткой рабочей силы (11786).</w:t>
      </w:r>
    </w:p>
    <w:p w14:paraId="21624A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C8B78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ГК КВ Ж.Я.Котина, который объезжал войска для сбора замечаний и предложений по КВ, принял командующий ЮФ Р.Я.Малиновский. Тот по результатам боев под Барвенково отметил, что в распутицу тяжелые танки выходили из строя из-за поломок передач (3828,30).</w:t>
      </w:r>
    </w:p>
    <w:p w14:paraId="793563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436ED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было закончено проектирование танка Т-43 (3905).</w:t>
      </w:r>
    </w:p>
    <w:p w14:paraId="05FF27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A5238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второй вариант проекта Т-43 был одоб</w:t>
      </w:r>
      <w:r w:rsidRPr="008127F8">
        <w:rPr>
          <w:rFonts w:ascii="Times New Roman" w:hAnsi="Times New Roman"/>
          <w:color w:val="000000" w:themeColor="text1"/>
          <w:sz w:val="16"/>
          <w:szCs w:val="16"/>
        </w:rPr>
        <w:softHyphen/>
        <w:t>рен на коллегии НКТП, а затем и лично И. Сталиным, который (как сказано в рапорте) и установил срок изготовления опытного образца — к 7 ноября 1942 г. (10782). Пока шла проработка проекта А. Морозов по согласо</w:t>
      </w:r>
      <w:r w:rsidRPr="008127F8">
        <w:rPr>
          <w:rFonts w:ascii="Times New Roman" w:hAnsi="Times New Roman"/>
          <w:color w:val="000000" w:themeColor="text1"/>
          <w:sz w:val="16"/>
          <w:szCs w:val="16"/>
        </w:rPr>
        <w:softHyphen/>
        <w:t>ванию с В. Малышевым, начальником спецбюро НКТП (ОГК НКТП) С. Гинзбургом и при одобрении руководства завода, принял решение по отработке принципиально но</w:t>
      </w:r>
      <w:r w:rsidRPr="008127F8">
        <w:rPr>
          <w:rFonts w:ascii="Times New Roman" w:hAnsi="Times New Roman"/>
          <w:color w:val="000000" w:themeColor="text1"/>
          <w:sz w:val="16"/>
          <w:szCs w:val="16"/>
        </w:rPr>
        <w:softHyphen/>
        <w:t>вых узлов танка Т-43 на имеющихся серийных танках Т-34 (благо никаких стендов для этого, как мы уже знаем, не было). Таким образом, к лету 1942 г. в недрах завода № 183 родились несколько гибридных машин, которые до сих пор вызывают споры у посвященных. Повторим, специальных индексов этим танкам не присваивали, так как они счита</w:t>
      </w:r>
      <w:r w:rsidRPr="008127F8">
        <w:rPr>
          <w:rFonts w:ascii="Times New Roman" w:hAnsi="Times New Roman"/>
          <w:color w:val="000000" w:themeColor="text1"/>
          <w:sz w:val="16"/>
          <w:szCs w:val="16"/>
        </w:rPr>
        <w:softHyphen/>
        <w:t>лись лишь ездящими лабораториями. С трехместной башней танка Т-43, выполненной по ти</w:t>
      </w:r>
      <w:r w:rsidRPr="008127F8">
        <w:rPr>
          <w:rFonts w:ascii="Times New Roman" w:hAnsi="Times New Roman"/>
          <w:color w:val="000000" w:themeColor="text1"/>
          <w:sz w:val="16"/>
          <w:szCs w:val="16"/>
        </w:rPr>
        <w:softHyphen/>
        <w:t>пу башен немецких средних танков и танка Т-50 (с коман</w:t>
      </w:r>
      <w:r w:rsidRPr="008127F8">
        <w:rPr>
          <w:rFonts w:ascii="Times New Roman" w:hAnsi="Times New Roman"/>
          <w:color w:val="000000" w:themeColor="text1"/>
          <w:sz w:val="16"/>
          <w:szCs w:val="16"/>
        </w:rPr>
        <w:softHyphen/>
        <w:t>дирской башенкой по центру кормовой части башни), дело обстояло не вполне гладко. Она была изготовлена в трех ва</w:t>
      </w:r>
      <w:r w:rsidRPr="008127F8">
        <w:rPr>
          <w:rFonts w:ascii="Times New Roman" w:hAnsi="Times New Roman"/>
          <w:color w:val="000000" w:themeColor="text1"/>
          <w:sz w:val="16"/>
          <w:szCs w:val="16"/>
        </w:rPr>
        <w:softHyphen/>
        <w:t>риантах, отличавшихся технологией изготовления (литая или сварная) и способом крепления командирской башен</w:t>
      </w:r>
      <w:r w:rsidRPr="008127F8">
        <w:rPr>
          <w:rFonts w:ascii="Times New Roman" w:hAnsi="Times New Roman"/>
          <w:color w:val="000000" w:themeColor="text1"/>
          <w:sz w:val="16"/>
          <w:szCs w:val="16"/>
        </w:rPr>
        <w:softHyphen/>
        <w:t>ки (приварная или отлитая заодно с крышей). С одной сто</w:t>
      </w:r>
      <w:r w:rsidRPr="008127F8">
        <w:rPr>
          <w:rFonts w:ascii="Times New Roman" w:hAnsi="Times New Roman"/>
          <w:color w:val="000000" w:themeColor="text1"/>
          <w:sz w:val="16"/>
          <w:szCs w:val="16"/>
        </w:rPr>
        <w:softHyphen/>
        <w:t>роны, башня оказалась чуть более простой в производстве, чем башня Т-34М, но способ размещения в ней третьего члена экипажа был небесспорен, так как место его размещения приходилось здесь на кормовую нишу, что вы</w:t>
      </w:r>
      <w:r w:rsidRPr="008127F8">
        <w:rPr>
          <w:rFonts w:ascii="Times New Roman" w:hAnsi="Times New Roman"/>
          <w:color w:val="000000" w:themeColor="text1"/>
          <w:sz w:val="16"/>
          <w:szCs w:val="16"/>
        </w:rPr>
        <w:softHyphen/>
        <w:t>звало проблемы с регулировкой положения сиденья по вертикали. Кроме того, утвержденная наркоматом наблю</w:t>
      </w:r>
      <w:r w:rsidRPr="008127F8">
        <w:rPr>
          <w:rFonts w:ascii="Times New Roman" w:hAnsi="Times New Roman"/>
          <w:color w:val="000000" w:themeColor="text1"/>
          <w:sz w:val="16"/>
          <w:szCs w:val="16"/>
        </w:rPr>
        <w:softHyphen/>
        <w:t>дательная башенка, разработанная по типу Т-50, не содер</w:t>
      </w:r>
      <w:r w:rsidRPr="008127F8">
        <w:rPr>
          <w:rFonts w:ascii="Times New Roman" w:hAnsi="Times New Roman"/>
          <w:color w:val="000000" w:themeColor="text1"/>
          <w:sz w:val="16"/>
          <w:szCs w:val="16"/>
        </w:rPr>
        <w:softHyphen/>
        <w:t>жала эвакуационного и вентиляционного люков. Поэтому командир танка имел массу проблем при входе-выходе из танка, используя откидной гильзоулавливатель. Испытания танка с 5-скоростной КПП (получившего индекс Т-34С — «скоростной») продемонстрировали его улучшенные эксплуатационные параметры. Правда, во</w:t>
      </w:r>
      <w:r w:rsidRPr="008127F8">
        <w:rPr>
          <w:rFonts w:ascii="Times New Roman" w:hAnsi="Times New Roman"/>
          <w:color w:val="000000" w:themeColor="text1"/>
          <w:sz w:val="16"/>
          <w:szCs w:val="16"/>
        </w:rPr>
        <w:softHyphen/>
        <w:t>преки названию «скоростной», максимальная скорость танка не достигла требуемого значения (зарегистрирован рекорд в 54,5 км/ч), но скорость на пересеченной мест</w:t>
      </w:r>
      <w:r w:rsidRPr="008127F8">
        <w:rPr>
          <w:rFonts w:ascii="Times New Roman" w:hAnsi="Times New Roman"/>
          <w:color w:val="000000" w:themeColor="text1"/>
          <w:sz w:val="16"/>
          <w:szCs w:val="16"/>
        </w:rPr>
        <w:softHyphen/>
        <w:t>ности увеличилась заметно (с 12—15 км/ч до 18—24 км/ч). Возросла и проходимость танка. По габаритам и посадоч</w:t>
      </w:r>
      <w:r w:rsidRPr="008127F8">
        <w:rPr>
          <w:rFonts w:ascii="Times New Roman" w:hAnsi="Times New Roman"/>
          <w:color w:val="000000" w:themeColor="text1"/>
          <w:sz w:val="16"/>
          <w:szCs w:val="16"/>
        </w:rPr>
        <w:softHyphen/>
        <w:t>ным местам новая КПП идеально ложилась на место прежней 4-скоростной (10782).</w:t>
      </w:r>
    </w:p>
    <w:p w14:paraId="6250DB0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EF14A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июне 1942 года инженеры УЗТМ А.С. Шитов и П.К. Гедык представили в ГАБТУ проект легкого истребителя </w:t>
      </w:r>
      <w:hyperlink r:id="rId94"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 xml:space="preserve">ов. В качестве основны для проекта они использовали сильно модифицированную базу артиллерийского тягача "Сталинец С-2". Некоторые элементы конструкции истребителя </w:t>
      </w:r>
      <w:hyperlink r:id="rId95"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 xml:space="preserve">ов, в частности установка вооружения, делались явно по мотивам аналогичных элементов штурмовой САУ БГС-5 (прародитель СУ-32), где пушка ЗИС-5 устанавливалась в литой бронировке на специальном штыре. Истребитель </w:t>
      </w:r>
      <w:hyperlink r:id="rId96"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 xml:space="preserve">ов отличался очень небольшой высотой - всего 1800 мм, что ниже даже Jagdpanzer IV и Semovente Da 47/32. Экипаж составлял 3 человека - мехвод, командир-наводчик, и заряжающий. Стоит отметить, что в отличие от других свердловских САУ того периода, данный проект имел закрытую рубку. Представленный проект, впрочем, ГАБТУ не впечатлил. Главной проблемой было то, что "Сталинец С-2" не выпускался с ноября 1941 года, а его наследник, С-10, так и не пошел в серию. Таким образом, для серийного выпуска истребителя </w:t>
      </w:r>
      <w:hyperlink r:id="rId97"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а отсутствовала база. По этой причине далеко не самый плохой проект не вышел дальше эскизной стадии (15636).</w:t>
      </w:r>
    </w:p>
    <w:p w14:paraId="38F8093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E870FF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г.на рассмотрение ГАБТУ, инженерами УЗТМ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А.С.Шитовым и П.К.Гедыком, был предложен проект легкого истребителя </w:t>
      </w:r>
      <w:hyperlink r:id="rId98"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ов с 76,2 мм орудием. За базу САУ было взято модифицированное шасси “Сталинца” С-2 (15645).</w:t>
      </w:r>
    </w:p>
    <w:p w14:paraId="3E7CA0B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E2F7855"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В июне 1942 свердловский завод № 37 сдал 321 танк Т-60, но из них оформле</w:t>
      </w:r>
      <w:r w:rsidRPr="008127F8">
        <w:rPr>
          <w:rFonts w:eastAsia="Calibri"/>
          <w:color w:val="000000" w:themeColor="text1"/>
          <w:sz w:val="16"/>
          <w:szCs w:val="16"/>
        </w:rPr>
        <w:softHyphen/>
        <w:t>но оказалось всего 109. Оставшиеся 212 машин оказались без траков и с некомплектным вооружением. С учетом того, что в июле планиро</w:t>
      </w:r>
      <w:r w:rsidRPr="008127F8">
        <w:rPr>
          <w:rFonts w:eastAsia="Calibri"/>
          <w:color w:val="000000" w:themeColor="text1"/>
          <w:sz w:val="16"/>
          <w:szCs w:val="16"/>
        </w:rPr>
        <w:softHyphen/>
        <w:t>валось поставить еще 200 Т-60, можно себе представить, что творилось бы на заводе и в его окрестностях. Становилось все более очевидным, что при таком положении дел освоение Т-70, которое никто не от</w:t>
      </w:r>
      <w:r w:rsidRPr="008127F8">
        <w:rPr>
          <w:rFonts w:eastAsia="Calibri"/>
          <w:color w:val="000000" w:themeColor="text1"/>
          <w:sz w:val="16"/>
          <w:szCs w:val="16"/>
        </w:rPr>
        <w:softHyphen/>
        <w:t xml:space="preserve">менял, сильно затянется, более того, на новые танки не будет </w:t>
      </w:r>
      <w:r w:rsidRPr="008127F8">
        <w:rPr>
          <w:rFonts w:eastAsia="Calibri"/>
          <w:color w:val="000000" w:themeColor="text1"/>
          <w:sz w:val="16"/>
          <w:szCs w:val="16"/>
        </w:rPr>
        <w:lastRenderedPageBreak/>
        <w:t>хватать двигателей и траков. На этом фоне выход 3 июля 1942 года постанов</w:t>
      </w:r>
      <w:r w:rsidRPr="008127F8">
        <w:rPr>
          <w:rFonts w:eastAsia="Calibri"/>
          <w:color w:val="000000" w:themeColor="text1"/>
          <w:sz w:val="16"/>
          <w:szCs w:val="16"/>
        </w:rPr>
        <w:softHyphen/>
        <w:t>ления ГКО № 1958сс «О производстве танков Т-34 и Т-70», по кото</w:t>
      </w:r>
      <w:r w:rsidRPr="008127F8">
        <w:rPr>
          <w:rFonts w:eastAsia="Calibri"/>
          <w:color w:val="000000" w:themeColor="text1"/>
          <w:sz w:val="16"/>
          <w:szCs w:val="16"/>
        </w:rPr>
        <w:softHyphen/>
        <w:t>рому выпуск Т-60 с завода № 37 снимался, выглядел вполне логично. Всего за июль было изготовлено 10 Т-60, после чего началась подго</w:t>
      </w:r>
      <w:r w:rsidRPr="008127F8">
        <w:rPr>
          <w:rFonts w:eastAsia="Calibri"/>
          <w:color w:val="000000" w:themeColor="text1"/>
          <w:sz w:val="16"/>
          <w:szCs w:val="16"/>
        </w:rPr>
        <w:softHyphen/>
        <w:t>товка производства Т-70. В июле завод освоил производство траков, планируя со второй половины августа перейти на выпуск 5—6 ком</w:t>
      </w:r>
      <w:r w:rsidRPr="008127F8">
        <w:rPr>
          <w:rFonts w:eastAsia="Calibri"/>
          <w:color w:val="000000" w:themeColor="text1"/>
          <w:sz w:val="16"/>
          <w:szCs w:val="16"/>
        </w:rPr>
        <w:softHyphen/>
        <w:t>плектов за сутки (17385).</w:t>
      </w:r>
    </w:p>
    <w:p w14:paraId="0E28308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6DA176A"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июне 1942 на заводе 37 был выпущен 321 танк, но из них принято оказалось всего 109. Оставшиеся 212 машин были без траков и с некомплектным вооружением. С учетом того, что в июле планировалось поставить еще 200 Т-60, можно представить, что бы творилось на заводе и его окрестностях. При таком положении дел освоение Т-70, которое никто не отменял, могло сильно затянуться. Новым танкам просто не хватало бы двигателей и траков.</w:t>
      </w:r>
    </w:p>
    <w:p w14:paraId="67C100B7"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На этом фоне 3 июля 1942 года вышло постановление ГКО № 1958сс «О производстве танков Т-34 и Т-70», по которому выпуск Т-60 с завода №37 снимался. Этот документ оказался очень своевременным. Всего за июль было изготовлено 10 Т-60, после чего началась подготовка к производству Т-70. В июле завод освоил производство траков, планируя со второй половины августа перейти на выпуск 5–6 комплектов в сутки.</w:t>
      </w:r>
    </w:p>
    <w:p w14:paraId="72456A0F"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Выпуск Т-70, впрочем, оказался очень недолгим. В начале июля председатель Свердловского Обкома В.М. Андрианов обратился в Государственный Комитет Обороны с ходатайством о производстве на Уралмашзаводе танков Т-34. Для организации данного производства завод №37 планировалось включить в состав УЗТМ. 10 июля на завод отправился инженер-полковник Г.З. Зухер, назначенный районным инженером УЗТМ. Началась организация механизма военной приемки. Окончательно судьба завода №37 решилась 28 июля, когда вышло постановление ГКО №2120 «Об организации производства танков Т-34 на Уралмашзаводе и заводе №37 Наркомтанкопрома».</w:t>
      </w:r>
    </w:p>
    <w:p w14:paraId="6C02ABC5"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Можно сказать, что на заводе в этот момент вздохнули с облегчением. УЗТМ к такому производству был лучше подготовлен и меньше зависел от смежников. К тому времени в Свердловске выпускали двигатели В-2, пушки ЗИС-5, которые по большинству узлов повторяли Ф-34, а в марте 1942 года УЗТМ получил задание на выпуск корпусов и башен Т-34. Также не стоит забывать, что в июле началась эвакуация Сталинградского тракторного завода (СТЗ). Одним словом, переформирование завода №37 в завод №50 и перепрофилирование предприятия на выпуск Т-34 оказались правильными идеями. К 29 сентября 1942 года в Свердловске построили первые два Т-34 (17686).</w:t>
      </w:r>
    </w:p>
    <w:p w14:paraId="3D849B2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9094F4D" w14:textId="77777777" w:rsidR="002F3BDA" w:rsidRPr="008A2E5A" w:rsidRDefault="002F3BDA" w:rsidP="002F3B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1942 г. завод № 37 сдал 321 танк Т-60, но из них оформлено оказалось всего 109. Оставшиеся 212 машин оказались без траков и с некомплектным вооружением. С учетом того, что в июле планировалось поставить еще 200 Т-60, можно представить, что бы творилось на заводе и его окрестностях. Становилось все более очевидным, что при таком положении дел освоение Т-70, которое никто не отменял, сильно затянется, более того, на новые танки не будет хватать двигателей и траков. На этом фоне выход 3 июля 1942 года постановления ГКО № 1958сс “О производстве танков Т-34 и Т-70”, по которому выпуск Т-60 с завода №37 снимался, выглядел вполне логично. Всего за июль было сдано 10 Т-60, уже 5 июля сдача прекратилась, после чего началась подготовка производства Т-70. Правда, 70-ке повезло еще меньше. 28 июля 1942 года было подписано постановление ГКО №2120 "Об организации производства танков Т-34 на Уралмашзаводе и заводе №37 Наркомтанкопрома". Уже к 29 сентября реорганизованный завод №37, ставший частью УЗТМ (завод №50), изготовил первые два Т-34. Наработки по производству Т-70 были переданы заводу №38. А вот история свердловских Т-60 продолжалось немного дольше, чем планировалось (23355).</w:t>
      </w:r>
    </w:p>
    <w:p w14:paraId="05340F9F" w14:textId="77777777" w:rsidR="002F3BDA" w:rsidRPr="008A2E5A" w:rsidRDefault="002F3BDA" w:rsidP="002F3BDA">
      <w:pPr>
        <w:spacing w:after="0" w:line="240" w:lineRule="auto"/>
        <w:jc w:val="both"/>
        <w:rPr>
          <w:rFonts w:ascii="Times New Roman" w:hAnsi="Times New Roman"/>
          <w:color w:val="0070C0"/>
          <w:sz w:val="16"/>
          <w:szCs w:val="16"/>
        </w:rPr>
      </w:pPr>
    </w:p>
    <w:p w14:paraId="394807A6" w14:textId="77777777" w:rsidR="002F3BDA" w:rsidRPr="008A2E5A" w:rsidRDefault="002F3BDA" w:rsidP="002F3B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1942 года задача по усилению ходовой части снова оказалась в центре внимания ГАБТУ КА. В самом конце июня впервые был использован индекс модернизированной машины.</w:t>
      </w:r>
    </w:p>
    <w:p w14:paraId="1B5A50AF" w14:textId="77777777" w:rsidR="002F3BDA" w:rsidRPr="008A2E5A" w:rsidRDefault="002F3BDA" w:rsidP="002F3B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ряде публикаций модернизированный танк обозначается как Т-70М. Расследование, которое было проведено в ходе архивной работы, выявило "автора" данного индекса. Им оказался НИБТ Полигон, который в альбоме за 1944 год модернизированный танк указан как Т-70м. В итоге он так дальше и пошел в народ, а проверять исследователи не стали. И абсолютно зря, поскольку в документах он именуется как Т-70Б. Именно буква Б как обозначение модернизированной ходовой части у ГАЗ им. Молотова попадается как минимум несколько раз, достаточно вспомнить ГАЗ-67Б и БА-64Б. Самое интересное, что обозначение Т-70Б было использовано в документе от 27 июня 1942 года еще до начала работ по машине. Собственно говоря, в документе речь шла о том, что ГАЗ им. Молотова работы, в оговоренные еще в марте 1942 года, проигнорировал. Никаких танков с модернизированной ходовой к 1 июня 1942 года не было готово (23363).</w:t>
      </w:r>
    </w:p>
    <w:p w14:paraId="72D61A32" w14:textId="77777777" w:rsidR="002F3BDA" w:rsidRPr="008A2E5A" w:rsidRDefault="002F3BDA" w:rsidP="002F3BDA">
      <w:pPr>
        <w:spacing w:after="0" w:line="240" w:lineRule="auto"/>
        <w:jc w:val="both"/>
        <w:rPr>
          <w:rFonts w:ascii="Times New Roman" w:hAnsi="Times New Roman"/>
          <w:color w:val="0070C0"/>
          <w:sz w:val="16"/>
          <w:szCs w:val="16"/>
        </w:rPr>
      </w:pPr>
    </w:p>
    <w:p w14:paraId="1AB7DB17" w14:textId="77777777" w:rsidR="002F3BDA" w:rsidRPr="008A2E5A" w:rsidRDefault="002F3BDA" w:rsidP="002F3B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Июнь 1942 стал пиком выпуска Т-60 на заводе №264. При плане в 300 танков их сдали 311. Двигатели с ГАЗ им. Молотова продолжали поступать неравномерно, в результате завод имел 5 дней простоя в производстве. Никуда не делись и проблемы с обрезинкой и поставками траков. Тем не менее, имелись все признаки того, что завод вышел на проектную мощность. Вероятнее всего, в июле завод №264 смог бы снова перевыполнить план, но тут уже имелась проблема другого характера. Время Т-60 уходило, а более нужным танком был Т-34. Это прекрасно понимали и наверху (23360).</w:t>
      </w:r>
    </w:p>
    <w:p w14:paraId="1A5CBCA0" w14:textId="77777777" w:rsidR="002F3BDA" w:rsidRPr="008A2E5A" w:rsidRDefault="002F3BDA" w:rsidP="002F3BDA">
      <w:pPr>
        <w:spacing w:after="0" w:line="240" w:lineRule="auto"/>
        <w:jc w:val="both"/>
        <w:rPr>
          <w:rFonts w:ascii="Times New Roman" w:hAnsi="Times New Roman"/>
          <w:color w:val="0070C0"/>
          <w:sz w:val="16"/>
          <w:szCs w:val="16"/>
        </w:rPr>
      </w:pPr>
    </w:p>
    <w:p w14:paraId="2341FBDE"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июне 1942 года был изготовлен опытный образец СУ-31. Тогда же состоялись и первые испытательные пробеги. Между тем идея использования 76-мм танковой пушки ЗИС-5 понимания не нашла. По этой причине проект БГС-5, по которому первоначально проектировалась САУ СУ-32, претерпел существенные метаморфозы. А надежды завода №37 на то, что более быстро изготовленная ЗСУ СУ-31 окажется по этой причине в приоритете, не оправдались. Более того, 3 июля 1942 года вышло постановление ГКО № 1958сс «О производстве танков Т-34 и Т-70», по которому выпуск Т-60 на заводе №37 прекращался. Смысл в использовании агрегатной базы Т-60 исчез. Тем не менее от запланированных испытаний самоходов никто не отказывался (17668).</w:t>
      </w:r>
    </w:p>
    <w:p w14:paraId="35684A6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CFBAB62"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В июне 1942 года Valentine V впервые прибыли в СССР конвоем PQ-16. А Valentine III в 1942 году вообще в Красную армию не поставлялись. Впрочем, и поток Valentine V иссяк довольно быстро. Дело в том, что вторая крупная поставка пришлась на печально известный конвой PQ-17. Довольно большое число танков оказалось потеряно, и после этого поставки прервала долгая пауза. Всего из 340 отправленных в СССР Valentine V 113 было потеряно в пути.</w:t>
      </w:r>
    </w:p>
    <w:p w14:paraId="5DEAB780"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Тем не менее в небольших количествах танки прибывали северным путём и в декабре 1942 года. В январе 1943 года с конвоем WJ-51B прибыли первые Valentine III. Последний раз северным путём новые танки этого типа прибыли в Советский Союз в феврале 1943 года, причём в это время одновременно доставлялись Valentine III, Valentine V и Valentine IX (17702).</w:t>
      </w:r>
    </w:p>
    <w:p w14:paraId="108E8EB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8065E9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 июнь 1942 22-й армейский ремонтно-восстановительный батальон фронта отремонтировал десять немецких танков (при плане в 20), а 132-й отдельный ремонтно-восстановительный батальон за этот же период — 30 трофейных машин Pz. II, Pz. III и Pz. IV (при плане в 40). Причём в месячной сводке за июнь 1942 года отмечалось, что «план по немецким танкам Т-2-3-4 не выполнен из-за недостаточного опыта ремонта их» (12688). </w:t>
      </w:r>
    </w:p>
    <w:p w14:paraId="3768C69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996631F"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была разработана и в том же году сдана в серийное производство радиостанция А-7. Это была первая в Красной Армии переносная УКВ-радиостанция с частотной модуляцией (9923).</w:t>
      </w:r>
    </w:p>
    <w:p w14:paraId="296569D0"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p>
    <w:p w14:paraId="32992A5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на Опытном заводе № 100 под руководством А.С. Ермолаева по проекту преподава</w:t>
      </w:r>
      <w:r w:rsidRPr="008127F8">
        <w:rPr>
          <w:rFonts w:ascii="Times New Roman" w:hAnsi="Times New Roman"/>
          <w:color w:val="000000" w:themeColor="text1"/>
          <w:sz w:val="16"/>
          <w:szCs w:val="16"/>
        </w:rPr>
        <w:softHyphen/>
        <w:t>теля кафедры артиллерии ВАММ им. Сталина инженера-подполковни</w:t>
      </w:r>
      <w:r w:rsidRPr="008127F8">
        <w:rPr>
          <w:rFonts w:ascii="Times New Roman" w:hAnsi="Times New Roman"/>
          <w:color w:val="000000" w:themeColor="text1"/>
          <w:sz w:val="16"/>
          <w:szCs w:val="16"/>
        </w:rPr>
        <w:softHyphen/>
        <w:t>ка В.И. Александрова был изготовлен Танк КВ-1К с КАРСТ-1. Установкой дополнительного оружия на танк в виде короткой артиллерийской ракетной системы (КАРСТ-1) предпо</w:t>
      </w:r>
      <w:r w:rsidRPr="008127F8">
        <w:rPr>
          <w:rFonts w:ascii="Times New Roman" w:hAnsi="Times New Roman"/>
          <w:color w:val="000000" w:themeColor="text1"/>
          <w:sz w:val="16"/>
          <w:szCs w:val="16"/>
        </w:rPr>
        <w:softHyphen/>
        <w:t>лагалось повысить огневую мощь танка КВ-1. Опытный образец танка КВ-1К с установкой КАРСТ-1 в период с 7 по 31 августа 1942 г. прошел испытания на Чебаркульском научно-исследовательском полигоне стрелкового вооружения РККА, по результатам которых было сделано заключение о возможности установки КАРСТ-1 на любом типе танка (тяжелом, среднем, легком) в качестве мощного дополнительного ору</w:t>
      </w:r>
      <w:r w:rsidRPr="008127F8">
        <w:rPr>
          <w:rFonts w:ascii="Times New Roman" w:hAnsi="Times New Roman"/>
          <w:color w:val="000000" w:themeColor="text1"/>
          <w:sz w:val="16"/>
          <w:szCs w:val="16"/>
        </w:rPr>
        <w:softHyphen/>
        <w:t>жия. Сама ракетная система с учетом изменений была рекомендована для серийного производства и установки на танк КВ-1 С. Несмотря на то, что в декабре 1942 г. даже был разработан проект инструкции по эксплу</w:t>
      </w:r>
      <w:r w:rsidRPr="008127F8">
        <w:rPr>
          <w:rFonts w:ascii="Times New Roman" w:hAnsi="Times New Roman"/>
          <w:color w:val="000000" w:themeColor="text1"/>
          <w:sz w:val="16"/>
          <w:szCs w:val="16"/>
        </w:rPr>
        <w:softHyphen/>
        <w:t>атации КАРСТ-1, дальнейшие работы по монтажу на танк реактивных установок в качестве дополнительного оружия развития не получили. КАРСТ-1 была установлена на серийный танк КВ-1 обр. 1941 г. про</w:t>
      </w:r>
      <w:r w:rsidRPr="008127F8">
        <w:rPr>
          <w:rFonts w:ascii="Times New Roman" w:hAnsi="Times New Roman"/>
          <w:color w:val="000000" w:themeColor="text1"/>
          <w:sz w:val="16"/>
          <w:szCs w:val="16"/>
        </w:rPr>
        <w:softHyphen/>
        <w:t>изводства ЧКЗ и представляла собой четыре орудия, которые монтиро</w:t>
      </w:r>
      <w:r w:rsidRPr="008127F8">
        <w:rPr>
          <w:rFonts w:ascii="Times New Roman" w:hAnsi="Times New Roman"/>
          <w:color w:val="000000" w:themeColor="text1"/>
          <w:sz w:val="16"/>
          <w:szCs w:val="16"/>
        </w:rPr>
        <w:softHyphen/>
        <w:t>вались на надгусеничных полках - по два орудия со стороны каждого борта танка. Основное оружие танка и его боекомплект по сравнению с базовой машиной остались без изменений. Экипаж танка состоял из пя</w:t>
      </w:r>
      <w:r w:rsidRPr="008127F8">
        <w:rPr>
          <w:rFonts w:ascii="Times New Roman" w:hAnsi="Times New Roman"/>
          <w:color w:val="000000" w:themeColor="text1"/>
          <w:sz w:val="16"/>
          <w:szCs w:val="16"/>
        </w:rPr>
        <w:softHyphen/>
        <w:t>ти человек. Корпус каждого орудия, сваренный из 10- и 30-мм броневых листов, имел прямоугольную форму в поперечном сечении и трапецевидную -в продольном. В корпусе орудия были установлены направляющие для двух 132-мм реактивных осколочно-фугасных снарядов М-13, исполь</w:t>
      </w:r>
      <w:r w:rsidRPr="008127F8">
        <w:rPr>
          <w:rFonts w:ascii="Times New Roman" w:hAnsi="Times New Roman"/>
          <w:color w:val="000000" w:themeColor="text1"/>
          <w:sz w:val="16"/>
          <w:szCs w:val="16"/>
        </w:rPr>
        <w:softHyphen/>
        <w:t>зуемых из боевого комплекта боевой машины БМ-13 ("Катюша"). Пе</w:t>
      </w:r>
      <w:r w:rsidRPr="008127F8">
        <w:rPr>
          <w:rFonts w:ascii="Times New Roman" w:hAnsi="Times New Roman"/>
          <w:color w:val="000000" w:themeColor="text1"/>
          <w:sz w:val="16"/>
          <w:szCs w:val="16"/>
        </w:rPr>
        <w:softHyphen/>
        <w:t>редние орудия имели угол возвышения +3°, а кормовые - +4°. Выстрел производился с помощью электрозапала. Из кормовых орудий стрельбу можно было вести только при положении башни с пушкой, располагав</w:t>
      </w:r>
      <w:r w:rsidRPr="008127F8">
        <w:rPr>
          <w:rFonts w:ascii="Times New Roman" w:hAnsi="Times New Roman"/>
          <w:color w:val="000000" w:themeColor="text1"/>
          <w:sz w:val="16"/>
          <w:szCs w:val="16"/>
        </w:rPr>
        <w:softHyphen/>
        <w:t>шейся вдоль продольной оси танка (10703).</w:t>
      </w:r>
    </w:p>
    <w:p w14:paraId="38F9A33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F778D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с целью улучшения обзорности и управления танком и подразделением в бою конструкторское бюро завода № 183 провело модернизацию танка Т-34, в результате которой в июле того же года был изготовлен опытный образец, получивший обозначение Т-34С. Этот танк был создан на базе серийного танка Т-34-76 и отличался от последнего установкой новой литой башни (на серийном погоне) с командирской башенкой, а также пятиступенчатой коробки передач (10703).</w:t>
      </w:r>
    </w:p>
    <w:p w14:paraId="3FE4376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2E866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в КБ-520 в Нижнем Тагиле был разработан Т-34С (10703).</w:t>
      </w:r>
    </w:p>
    <w:p w14:paraId="60E7977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AA1C2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июне 1942 г был разработан. в Нижнем Тагиле в КБ-520 завода № 183 под руководством главного конструктора А.А. Морозова танк Т-34С с целью улучшения </w:t>
      </w:r>
      <w:r w:rsidRPr="008127F8">
        <w:rPr>
          <w:rFonts w:ascii="Times New Roman" w:hAnsi="Times New Roman"/>
          <w:color w:val="000000" w:themeColor="text1"/>
          <w:sz w:val="16"/>
          <w:szCs w:val="16"/>
        </w:rPr>
        <w:lastRenderedPageBreak/>
        <w:t>обзорности и управления танком и подразделением в бою. Два опытных образца танка были изготовлены в июле того же года и в период с 27 октября по 23 ноября прошли испытания на НИБТ полигоне. На вооружение танк Т-34С не принимался и в серийном производстве не состоял (10703).</w:t>
      </w:r>
    </w:p>
    <w:p w14:paraId="2C06C3E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97716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июня 1942 г. по март 1944 г. выпускался Т-34-76 обр. 1942 года и был самым многочисленным танком Красной Армии в годы войны. Серий</w:t>
      </w:r>
      <w:r w:rsidRPr="008127F8">
        <w:rPr>
          <w:rFonts w:ascii="Times New Roman" w:hAnsi="Times New Roman"/>
          <w:color w:val="000000" w:themeColor="text1"/>
          <w:sz w:val="16"/>
          <w:szCs w:val="16"/>
        </w:rPr>
        <w:softHyphen/>
        <w:t>ное производство танка в разное время было организовано на заводах: № 183 в Нижнем Тагиле, № 112 "Красное Сормово" в Горьком, № 174 в Омске, УЗТМ в Свердловске и ЧКЗ. Всего было выпущено 23 332 танка данной модификации, причем 11 871 танк был изготовлен с командирской башенкой (10703).</w:t>
      </w:r>
    </w:p>
    <w:p w14:paraId="3EE6647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AA1B1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по результатам испытаний последовало распоряжение ГКО о скорейшей доводке машины и подготовке серии для проведения войсковых испытаний. Но в связи с началом Сталинградской битвы, за</w:t>
      </w:r>
      <w:r w:rsidRPr="008127F8">
        <w:rPr>
          <w:rFonts w:ascii="Times New Roman" w:hAnsi="Times New Roman"/>
          <w:color w:val="000000" w:themeColor="text1"/>
          <w:sz w:val="16"/>
          <w:szCs w:val="16"/>
        </w:rPr>
        <w:softHyphen/>
        <w:t>вод № 37 срочно стал наращивать выпуск легких танков, а заказ на изго</w:t>
      </w:r>
      <w:r w:rsidRPr="008127F8">
        <w:rPr>
          <w:rFonts w:ascii="Times New Roman" w:hAnsi="Times New Roman"/>
          <w:color w:val="000000" w:themeColor="text1"/>
          <w:sz w:val="16"/>
          <w:szCs w:val="16"/>
        </w:rPr>
        <w:softHyphen/>
        <w:t>товление опытной серии самоходных установок был отменен (10703).</w:t>
      </w:r>
    </w:p>
    <w:p w14:paraId="43DD97E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1A016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опытный образец установки, который летом 1942 г. прошел заводские испытания,и был рекомендован к произ</w:t>
      </w:r>
      <w:r w:rsidRPr="008127F8">
        <w:rPr>
          <w:rFonts w:ascii="Times New Roman" w:hAnsi="Times New Roman"/>
          <w:color w:val="000000" w:themeColor="text1"/>
          <w:sz w:val="16"/>
          <w:szCs w:val="16"/>
        </w:rPr>
        <w:softHyphen/>
        <w:t>водству небольшой серии машин для проведения войсковых испыта</w:t>
      </w:r>
      <w:r w:rsidRPr="008127F8">
        <w:rPr>
          <w:rFonts w:ascii="Times New Roman" w:hAnsi="Times New Roman"/>
          <w:color w:val="000000" w:themeColor="text1"/>
          <w:sz w:val="16"/>
          <w:szCs w:val="16"/>
        </w:rPr>
        <w:softHyphen/>
        <w:t>ний. Дальнейшие работы по машине были прекращены в связи со сроч</w:t>
      </w:r>
      <w:r w:rsidRPr="008127F8">
        <w:rPr>
          <w:rFonts w:ascii="Times New Roman" w:hAnsi="Times New Roman"/>
          <w:color w:val="000000" w:themeColor="text1"/>
          <w:sz w:val="16"/>
          <w:szCs w:val="16"/>
        </w:rPr>
        <w:softHyphen/>
        <w:t>ным наращиванием производства легких танков на заводе. Машина была создана с использованием агрегатов трансмиссии и узлов ходовой части легкого танка Т-60. Она относилась к типу закры</w:t>
      </w:r>
      <w:r w:rsidRPr="008127F8">
        <w:rPr>
          <w:rFonts w:ascii="Times New Roman" w:hAnsi="Times New Roman"/>
          <w:color w:val="000000" w:themeColor="text1"/>
          <w:sz w:val="16"/>
          <w:szCs w:val="16"/>
        </w:rPr>
        <w:softHyphen/>
        <w:t>тых самоходных установок. Схема общей компоновки предусматривала переднее расположение трансмиссии и ведущих колес, кормовое разме</w:t>
      </w:r>
      <w:r w:rsidRPr="008127F8">
        <w:rPr>
          <w:rFonts w:ascii="Times New Roman" w:hAnsi="Times New Roman"/>
          <w:color w:val="000000" w:themeColor="text1"/>
          <w:sz w:val="16"/>
          <w:szCs w:val="16"/>
        </w:rPr>
        <w:softHyphen/>
        <w:t>щение неподвижной броневой рубки и установку двух двигателей, ра</w:t>
      </w:r>
      <w:r w:rsidRPr="008127F8">
        <w:rPr>
          <w:rFonts w:ascii="Times New Roman" w:hAnsi="Times New Roman"/>
          <w:color w:val="000000" w:themeColor="text1"/>
          <w:sz w:val="16"/>
          <w:szCs w:val="16"/>
        </w:rPr>
        <w:softHyphen/>
        <w:t>ботавших параллельно, по бортам в средней части корпуса (10703).</w:t>
      </w:r>
    </w:p>
    <w:p w14:paraId="2BB520B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B3F05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распоря</w:t>
      </w:r>
      <w:r w:rsidRPr="008127F8">
        <w:rPr>
          <w:rFonts w:ascii="Times New Roman" w:hAnsi="Times New Roman"/>
          <w:color w:val="000000" w:themeColor="text1"/>
          <w:sz w:val="16"/>
          <w:szCs w:val="16"/>
        </w:rPr>
        <w:softHyphen/>
        <w:t>жением ГКО была выработана совместная программа НКВ и НКТП по созданию «системы самоходной артиллерии для вооружения Красной Армии». Были выработаны требова</w:t>
      </w:r>
      <w:r w:rsidRPr="008127F8">
        <w:rPr>
          <w:rFonts w:ascii="Times New Roman" w:hAnsi="Times New Roman"/>
          <w:color w:val="000000" w:themeColor="text1"/>
          <w:sz w:val="16"/>
          <w:szCs w:val="16"/>
        </w:rPr>
        <w:softHyphen/>
        <w:t>ний к легким, средним и тяжелым САУ преимущественно для «штурмового применения» и борьбы с самолетами. При этом на Наркомат вооружения (НКВ) возлагались задачи разработки и изготовления артиллерийской части будущих САУ, а Наркомат танковой промышленности должен был заниматься их ходовой частью и энергетическими установ</w:t>
      </w:r>
      <w:r w:rsidRPr="008127F8">
        <w:rPr>
          <w:rFonts w:ascii="Times New Roman" w:hAnsi="Times New Roman"/>
          <w:color w:val="000000" w:themeColor="text1"/>
          <w:sz w:val="16"/>
          <w:szCs w:val="16"/>
        </w:rPr>
        <w:softHyphen/>
        <w:t>ками. Общая координация работ по САУ осуществлялась спецбюро САУ под руководством С.А. Гинзбурга (11417).</w:t>
      </w:r>
    </w:p>
    <w:p w14:paraId="3817B20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15F6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последовало распоряжение ГКО о скорейшей довод</w:t>
      </w:r>
      <w:r w:rsidRPr="008127F8">
        <w:rPr>
          <w:rFonts w:ascii="Times New Roman" w:hAnsi="Times New Roman"/>
          <w:color w:val="000000" w:themeColor="text1"/>
          <w:sz w:val="16"/>
          <w:szCs w:val="16"/>
        </w:rPr>
        <w:softHyphen/>
        <w:t>ке САУ и подготовке серии для проведения войсковых испытаний. Но начавшееся вскоре крупномасштабное сражение за Сталинград потребовало от завода № 37 срочного наращивания выпуска легких танков, и заказ на изготовле</w:t>
      </w:r>
      <w:r w:rsidRPr="008127F8">
        <w:rPr>
          <w:rFonts w:ascii="Times New Roman" w:hAnsi="Times New Roman"/>
          <w:color w:val="000000" w:themeColor="text1"/>
          <w:sz w:val="16"/>
          <w:szCs w:val="16"/>
        </w:rPr>
        <w:softHyphen/>
        <w:t>ние опытной серии самоходных пушек был отменен (11417).</w:t>
      </w:r>
    </w:p>
    <w:p w14:paraId="6593418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45653B" w14:textId="77777777" w:rsidR="007C5583" w:rsidRPr="008127F8" w:rsidRDefault="007C5583" w:rsidP="007C5583">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перестали устанавливать противогранатные сетки на башне БА-64 – их эффективность оказалась невысокой, они больше мешали. Кроме того, опыт летней эксплуатации машин показал, что температура в боевом отделении очень высокая – доходила до 55-60 градусов. Поэтому в июле 1942 года в передней части крыши корпуса прорезали вентиляционное отверстие, которое сверху закрыли броневым кожухом, что позволило улучшить вентиляцию боевого отделения, особенно в движении. В сентябре ввели дополнительный лючок, в крыше моторного отделения (по типу бронемашины БА-10), что позволило несколько улучшить охлаждение двигателя, который из-за недостаточного притока воздуха часто перегревался (15218).</w:t>
      </w:r>
    </w:p>
    <w:p w14:paraId="4A496EB6" w14:textId="77777777" w:rsidR="007C5583" w:rsidRPr="008127F8" w:rsidRDefault="007C5583" w:rsidP="007C5583">
      <w:pPr>
        <w:widowControl w:val="0"/>
        <w:spacing w:after="0" w:line="240" w:lineRule="auto"/>
        <w:jc w:val="both"/>
        <w:rPr>
          <w:rFonts w:ascii="Times New Roman" w:hAnsi="Times New Roman"/>
          <w:color w:val="000000" w:themeColor="text1"/>
          <w:sz w:val="16"/>
          <w:szCs w:val="16"/>
        </w:rPr>
      </w:pPr>
    </w:p>
    <w:p w14:paraId="7E2913A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управление бронепоездов и бронемашин ГБТУ Красной Армии обратилось к заводу № 38 с предложением «спроектировать и построить опытный образец броневагона на базе типовой 4-осной железнодорожной платформы с использованием агрегатов и деталей танка Т-70 и других отечественных танков». Завод официально (письмом) от разработки этого проекта отказался, мотивируя большой загруженностью конструкторского бюро (18626).</w:t>
      </w:r>
    </w:p>
    <w:p w14:paraId="08E30DB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990D8B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июню</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1942 годабронемотриссу Коломенского завода «Красную звезду» удалось довести до рабочего состояния</w:t>
      </w:r>
    </w:p>
    <w:p w14:paraId="14D63AF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Предъявленная представителям управления бронепоездов и бронемашин ГАБТУ бро-неавтомотриса Коломенского завода не вызвала у военных энтузиазма. При рассмотрении проекта машины в июне месяце 1942 года военные предложили внести в конструкцию ряд изменений, в частности установит реверсную коробку перемены передач, увеличить скорость до 70 км/ч и «в целях надежности работы цепную передачу заменить полностью на дышловую». Однако это сделано не было, поэтому дальнейшие работы по «Красной звезде» были признаны неперспективными. Например, заместитель начальника главного бронетанкового управления ГАБТУ Красной Армии генерал-майор технических войск Лебедев в своем письме высказывался о ней так</w:t>
      </w:r>
      <w:r>
        <w:rPr>
          <w:rFonts w:ascii="Times New Roman" w:hAnsi="Times New Roman"/>
          <w:color w:val="000000" w:themeColor="text1"/>
          <w:sz w:val="16"/>
          <w:szCs w:val="16"/>
        </w:rPr>
        <w:t xml:space="preserve">  </w:t>
      </w:r>
    </w:p>
    <w:p w14:paraId="79A1242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«Бронеавтомотриса создана без учета ранее построенных и разработанных конструкций</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подобных боевых единиц и без учета военного опыта. При разработке проекта, заводом не были даже учтены основные моменты тактикотехнических требований ГАВТУ Красной Армии. Основным принципиальным недостатком построенного образца является неправильное решение задачи реверсирования хода, тогда как в предшествующих образцах эта задача решалась вполне удовлетворительно.</w:t>
      </w:r>
      <w:r>
        <w:rPr>
          <w:rFonts w:ascii="Times New Roman" w:hAnsi="Times New Roman"/>
          <w:color w:val="000000" w:themeColor="text1"/>
          <w:sz w:val="16"/>
          <w:szCs w:val="16"/>
        </w:rPr>
        <w:t xml:space="preserve">  </w:t>
      </w:r>
    </w:p>
    <w:p w14:paraId="35F56AE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данном образце для обратного хода установлена вторая силовая группа. Конструкция ходовой части (тележек), передачи движения на колесные пары и внутреннего оборудования не отработаны даже еще в ходе проектирования. В настоящее время броне-автомотриса не доведена до условий надежной эксплуатации.</w:t>
      </w:r>
      <w:r>
        <w:rPr>
          <w:rFonts w:ascii="Times New Roman" w:hAnsi="Times New Roman"/>
          <w:color w:val="000000" w:themeColor="text1"/>
          <w:sz w:val="16"/>
          <w:szCs w:val="16"/>
        </w:rPr>
        <w:t xml:space="preserve">  </w:t>
      </w:r>
    </w:p>
    <w:p w14:paraId="2313CFC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Построенный образец бронеавтомотрисы Коломенского завода им. Куйбышева по конструкции не является перспективной боевой машиной».</w:t>
      </w:r>
      <w:r>
        <w:rPr>
          <w:rFonts w:ascii="Times New Roman" w:hAnsi="Times New Roman"/>
          <w:color w:val="000000" w:themeColor="text1"/>
          <w:sz w:val="16"/>
          <w:szCs w:val="16"/>
        </w:rPr>
        <w:t xml:space="preserve">  </w:t>
      </w:r>
    </w:p>
    <w:p w14:paraId="4A15E7C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Аналогичного мнения придерживался и начальник управления бронепоездов и бронемашин ГБТУ КА генерал-майор танковых войск Чернов:</w:t>
      </w:r>
      <w:r>
        <w:rPr>
          <w:rFonts w:ascii="Times New Roman" w:hAnsi="Times New Roman"/>
          <w:color w:val="000000" w:themeColor="text1"/>
          <w:sz w:val="16"/>
          <w:szCs w:val="16"/>
        </w:rPr>
        <w:t xml:space="preserve">  </w:t>
      </w:r>
    </w:p>
    <w:p w14:paraId="456A37E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«Бронеавтомотриса КЗ-1 построена Коломенским заводом без учета тактико-технических требований, предъявленных со стороны ГБТУ Красной Армии.</w:t>
      </w:r>
      <w:r>
        <w:rPr>
          <w:rFonts w:ascii="Times New Roman" w:hAnsi="Times New Roman"/>
          <w:color w:val="000000" w:themeColor="text1"/>
          <w:sz w:val="16"/>
          <w:szCs w:val="16"/>
        </w:rPr>
        <w:t xml:space="preserve">  </w:t>
      </w:r>
    </w:p>
    <w:p w14:paraId="16F06F7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Испытания бронеавтомотрисы проведены заводом всего лишь на расстоянии 450 км, что является совершенно недостаточным для выявления ее надежности в работе. К тому же за период испытаний бронеавтомотриса много раз требовала ремонта.</w:t>
      </w:r>
      <w:r>
        <w:rPr>
          <w:rFonts w:ascii="Times New Roman" w:hAnsi="Times New Roman"/>
          <w:color w:val="000000" w:themeColor="text1"/>
          <w:sz w:val="16"/>
          <w:szCs w:val="16"/>
        </w:rPr>
        <w:t xml:space="preserve">  </w:t>
      </w:r>
    </w:p>
    <w:p w14:paraId="20F1F9E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Поэтому необходимо опытный образец бронеавтомотрисы КЗ-1 доработать и предъявить ГБТУ КА на испытания, после чего будет решен вопрос об отправке ее в действующую армию».</w:t>
      </w:r>
    </w:p>
    <w:p w14:paraId="7E0E126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Несмотря на неудачную конструкцию, бронеавтомотриса Коломенского завода представляет интерес как попытка создать бронепоездную единицу с широким использованием танковых и паровозных агрегатов. Дальнейшая судьба построенного образца автору неизвестна. Правда, в январе 1943 года 55-й отдельный дивизион бронепоездов (он имел на вооружении бепо, построенный на Коломенском заводе, и рабочие являлись шефами данной части) направил в управление бронепоездов и бронемашин письмо, с просьбой отправить «Красную звезду» в дивизион, но было ли это выполнено пока установить не удалось (18626).</w:t>
      </w:r>
    </w:p>
    <w:p w14:paraId="7CE4C55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F72B4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июня 1942 г. в Москве ЗИС возобновил выпуск грузовиков (12098).</w:t>
      </w:r>
    </w:p>
    <w:p w14:paraId="1E8E15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EDF00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июня 1942 года московский автозавод ЗИС воз</w:t>
      </w:r>
      <w:r w:rsidRPr="008127F8">
        <w:rPr>
          <w:rFonts w:ascii="Times New Roman" w:hAnsi="Times New Roman"/>
          <w:color w:val="000000" w:themeColor="text1"/>
          <w:sz w:val="16"/>
          <w:szCs w:val="16"/>
        </w:rPr>
        <w:softHyphen/>
        <w:t>обновил производство своих «трехтонок» ЗИС-5 - упрощенных ЗИС-5В (21626).</w:t>
      </w:r>
    </w:p>
    <w:p w14:paraId="021D74E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F1AF5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на ИМЗ постро</w:t>
      </w:r>
      <w:r w:rsidRPr="008127F8">
        <w:rPr>
          <w:rFonts w:ascii="Times New Roman" w:hAnsi="Times New Roman"/>
          <w:color w:val="000000" w:themeColor="text1"/>
          <w:sz w:val="16"/>
          <w:szCs w:val="16"/>
        </w:rPr>
        <w:softHyphen/>
        <w:t>или и ввели в строй цеха по сборке моторов и КП [5.30] (11429).</w:t>
      </w:r>
    </w:p>
    <w:p w14:paraId="085B17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9F2D8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завод № 707 (Завод № 707 НКЧМ, Мнньярский железоделательный, металлургический завод, Миньярский метизно-металлургический завод (МММЗ) МЧМ, ЗАО «МММЗ» /456007  г. Миньяр Челябинской обл. ул. Советская, 10/) - в ведении НКЧМ.</w:t>
      </w:r>
    </w:p>
    <w:p w14:paraId="5AA382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годы войны освоены новые виды продукции для оборонной промышленности, в т.ч. шарикоподшипниковая проволока, специальный крепеж, лента с высоким электрическим сопротивлением. В 1945 г. выпущено 15550 т горячего проката, 8750 т холоднокатаной ленты, 4515 т крепежа.</w:t>
      </w:r>
    </w:p>
    <w:p w14:paraId="4DDE6A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1950 г. в холоднопрокатном цехе введено в строй термическое отделение с электрическими шахтными печами фирмы «Сименс». В 1957-58 г. обновлено оборудование крепежного, ремонтно-механического и инструментального цехов. Построен 3-этажный корпус цеха по производству термообработанной ленты и пружин. В 1957 г. в холоднопрокатном цехе демонтированы 8 станов «Демаг» и установлены новые станы фирмы «Шмитц», «СКМЗ», колпаковые электропечи. В 1959 г. введен в строй участок по выпуску плющеной ленты. В 1960-66 г. пристроена часть холоднопрокатного цеха с новым оборудованием: реверсивными станами «кварто 400», «кварто 200», колпаковыми печами СЭП-323 с защитной атмосферой, дисковыми ножницами НА-401 и НА- 403.</w:t>
      </w:r>
    </w:p>
    <w:p w14:paraId="68B379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решению Президиума СМ СССР от 3.03.1971 г. на заводе с 1972 г. организовано производство холоднокатаной релейной стали (типа «Армко») для предприятий 15ГУ МРП.</w:t>
      </w:r>
    </w:p>
    <w:p w14:paraId="483DDE7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(06.1942 г.)- Степанов.</w:t>
      </w:r>
    </w:p>
    <w:p w14:paraId="088B56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детали для </w:t>
      </w:r>
      <w:r w:rsidRPr="008127F8">
        <w:rPr>
          <w:rFonts w:ascii="Times New Roman" w:hAnsi="Times New Roman"/>
          <w:color w:val="000000" w:themeColor="text1"/>
          <w:sz w:val="16"/>
          <w:szCs w:val="16"/>
          <w:lang w:val="en-US"/>
        </w:rPr>
        <w:t>PC</w:t>
      </w:r>
      <w:r w:rsidRPr="008127F8">
        <w:rPr>
          <w:rFonts w:ascii="Times New Roman" w:hAnsi="Times New Roman"/>
          <w:color w:val="000000" w:themeColor="text1"/>
          <w:sz w:val="16"/>
          <w:szCs w:val="16"/>
        </w:rPr>
        <w:t xml:space="preserve"> М-13 (1942) (11982).</w:t>
      </w:r>
    </w:p>
    <w:p w14:paraId="646F9D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F79E3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июне 1942 г. завод № 792 (Завод № 792 НКМВ, Завод № 6 Автопромторга, Завод пожарных машин НКМВ, Московский завод пожарных машин ММиП, Завод технологического оборудования (ЗТО) </w:t>
      </w:r>
      <w:r w:rsidRPr="008127F8">
        <w:rPr>
          <w:rFonts w:ascii="Times New Roman" w:hAnsi="Times New Roman"/>
          <w:color w:val="000000" w:themeColor="text1"/>
          <w:sz w:val="16"/>
          <w:szCs w:val="16"/>
          <w:lang w:val="en-US"/>
        </w:rPr>
        <w:t>MOM</w:t>
      </w:r>
      <w:r w:rsidRPr="008127F8">
        <w:rPr>
          <w:rFonts w:ascii="Times New Roman" w:hAnsi="Times New Roman"/>
          <w:color w:val="000000" w:themeColor="text1"/>
          <w:sz w:val="16"/>
          <w:szCs w:val="16"/>
        </w:rPr>
        <w:t>, ГП «ЗТО», ООО «Оборудование и машины» /г. Москва Миусская пл. (1920 г.);  г. Москва, 47 ул. Александро-Невская, 1 (1948 г.)/ /127247  г. Москва Дмитровское ш., 100 стр. 2 тел. 483-11-73/) - в ведении треста ППО НКМВ, приказом НКМВ № 250с от 7.07.1942 г. завод передан в ведение 4ГУ.</w:t>
      </w:r>
    </w:p>
    <w:p w14:paraId="3E7C82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В годы войны выпускал кроме пожарных машин, насосы для бензозаправщиков, корпуса гранат Ф-1, узлы для ПУ БМ-13, всего более 40 наименований продукции.</w:t>
      </w:r>
    </w:p>
    <w:p w14:paraId="49B0445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1947-48 г. завод пожарных машин - в ведении ГлавУППО ММиП.</w:t>
      </w:r>
    </w:p>
    <w:p w14:paraId="0A3A49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предприятия (1947 г.) цехи: основные: механический, кузнечно-прессовый, монтажно-сборочный, деревообделочный; вспомогательные: инструментальный, ремонтный.</w:t>
      </w:r>
    </w:p>
    <w:p w14:paraId="7914E9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1945 г. начат выпуск бензоперекачивающих станций для заправки самолетов на шасси ГАЗ. С 1960 г. освоено производство баллонов с пусковым механизмом для наполнения спасательных плотов.</w:t>
      </w:r>
    </w:p>
    <w:p w14:paraId="32445F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приказу от 6.03.1966 г. завод передан в ведение Главного технического управления </w:t>
      </w:r>
      <w:r w:rsidRPr="008127F8">
        <w:rPr>
          <w:rFonts w:ascii="Times New Roman" w:hAnsi="Times New Roman"/>
          <w:color w:val="000000" w:themeColor="text1"/>
          <w:sz w:val="16"/>
          <w:szCs w:val="16"/>
          <w:lang w:val="en-US"/>
        </w:rPr>
        <w:t>MOM</w:t>
      </w:r>
      <w:r w:rsidRPr="008127F8">
        <w:rPr>
          <w:rFonts w:ascii="Times New Roman" w:hAnsi="Times New Roman"/>
          <w:color w:val="000000" w:themeColor="text1"/>
          <w:sz w:val="16"/>
          <w:szCs w:val="16"/>
        </w:rPr>
        <w:t>, переименован в ЗТО и перепрофилирован на выпуск специального технологического оборудования для мехобработки, сварки, пайки, нанесения покрытий, систем ЧПУ станками.</w:t>
      </w:r>
    </w:p>
    <w:p w14:paraId="0415DCF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1979 г. завод перебазирован на новую площадку на Дмитровском шоссе.</w:t>
      </w:r>
    </w:p>
    <w:p w14:paraId="55C9AC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Производство (2002 г.): сварочное оборудование; вакуумное оборудование.</w:t>
      </w:r>
    </w:p>
    <w:p w14:paraId="34DEC45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Количество оборудования: (1939 г.)-149 ед, (1946 г.)-166 ед., (1947 г.)-196 ед.</w:t>
      </w:r>
    </w:p>
    <w:p w14:paraId="611E10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Площадь: территории (1947 г.)- 0,71 га; застройки (1947 г.)- 5972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производственная (1939 г.)- 3614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(1946 г.)- 3866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(1947 г.)- 3767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597DE7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(1939 г.)- 516 чел., (1946 г.)- 430 чел., (1947 г.)- 430 чел.</w:t>
      </w:r>
    </w:p>
    <w:p w14:paraId="4E1828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(06.1942 г.)- Яковлев, (1948 г.)- Талыкин, (1966 г.)- И.В. Ильинко, Б.В. Котляров.</w:t>
      </w:r>
      <w:r w:rsidRPr="008127F8">
        <w:rPr>
          <w:rFonts w:ascii="Times New Roman" w:hAnsi="Times New Roman"/>
          <w:color w:val="000000" w:themeColor="text1"/>
          <w:sz w:val="16"/>
          <w:szCs w:val="16"/>
          <w:vertAlign w:val="superscript"/>
        </w:rPr>
        <w:t>77</w:t>
      </w:r>
      <w:r w:rsidRPr="008127F8">
        <w:rPr>
          <w:rFonts w:ascii="Times New Roman" w:hAnsi="Times New Roman"/>
          <w:color w:val="000000" w:themeColor="text1"/>
          <w:sz w:val="16"/>
          <w:szCs w:val="16"/>
        </w:rPr>
        <w:t xml:space="preserve"> Управляющий (- 2000-02 г.-&gt;</w:t>
      </w:r>
      <w:r w:rsidRPr="008127F8">
        <w:rPr>
          <w:rFonts w:ascii="Times New Roman" w:hAnsi="Times New Roman"/>
          <w:iCs/>
          <w:color w:val="000000" w:themeColor="text1"/>
          <w:sz w:val="16"/>
          <w:szCs w:val="16"/>
        </w:rPr>
        <w:t xml:space="preserve"> ПЛ.</w:t>
      </w:r>
      <w:r w:rsidRPr="008127F8">
        <w:rPr>
          <w:rFonts w:ascii="Times New Roman" w:hAnsi="Times New Roman"/>
          <w:color w:val="000000" w:themeColor="text1"/>
          <w:sz w:val="16"/>
          <w:szCs w:val="16"/>
        </w:rPr>
        <w:t xml:space="preserve"> Сшпок.</w:t>
      </w:r>
    </w:p>
    <w:p w14:paraId="0FD24A8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1-й зам. директора (2002 г.)- А.Ю. Мощевитин. Зам. директора (2002 г.)- М.В. Муратов; по экономике (2002 г.)- И.Н. Варламова.</w:t>
      </w:r>
    </w:p>
    <w:p w14:paraId="11824B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(1948 г.)- Микеладзе, (2002 г.)- А.Ю. Мощевитин.</w:t>
      </w:r>
    </w:p>
    <w:p w14:paraId="4E8ADC4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пожарные машины (1925-), ПМГ-3, ПМЗ-6 (1947); насосы пожарные ПН-1200, 2ПД-10, автонасосы ЗиС-11, ГАЗ-АА, автоцистерна ЗиС-5; бензоперекачивающая станция, огнетушители углекислотные (1947);</w:t>
      </w:r>
      <w:r w:rsidRPr="008127F8">
        <w:rPr>
          <w:rFonts w:ascii="Times New Roman" w:hAnsi="Times New Roman"/>
          <w:color w:val="000000" w:themeColor="text1"/>
          <w:sz w:val="16"/>
          <w:szCs w:val="16"/>
          <w:vertAlign w:val="superscript"/>
        </w:rPr>
        <w:t>129</w:t>
      </w:r>
      <w:r w:rsidRPr="008127F8">
        <w:rPr>
          <w:rFonts w:ascii="Times New Roman" w:hAnsi="Times New Roman"/>
          <w:color w:val="000000" w:themeColor="text1"/>
          <w:sz w:val="16"/>
          <w:szCs w:val="16"/>
        </w:rPr>
        <w:t xml:space="preserve"> корпус гранаты Ф-1, детали для </w:t>
      </w:r>
      <w:r w:rsidRPr="008127F8">
        <w:rPr>
          <w:rFonts w:ascii="Times New Roman" w:hAnsi="Times New Roman"/>
          <w:color w:val="000000" w:themeColor="text1"/>
          <w:sz w:val="16"/>
          <w:szCs w:val="16"/>
          <w:lang w:val="en-US"/>
        </w:rPr>
        <w:t>PC</w:t>
      </w:r>
      <w:r w:rsidRPr="008127F8">
        <w:rPr>
          <w:rFonts w:ascii="Times New Roman" w:hAnsi="Times New Roman"/>
          <w:color w:val="000000" w:themeColor="text1"/>
          <w:sz w:val="16"/>
          <w:szCs w:val="16"/>
        </w:rPr>
        <w:t xml:space="preserve"> М-13 (1942); электросварочное оборудование: аппарат для сварки узлов ОК «Буран» ТНД-315; выпрямитель ВД-306Б, трансформатор ТДМ-301 (2002); источник питания ТИР-315; установка вакуумного напыления ТОНИР-2 (2002); баллоны для спасательных плотов ПСН-6, ПСН-10, ПСН-20 (I960-), баллончики АСЖ, «Нева» для спасательных жилетов экипажей ВВС, ГА, ВМФ (11982).</w:t>
      </w:r>
      <w:r w:rsidRPr="008127F8">
        <w:rPr>
          <w:rFonts w:ascii="Times New Roman" w:hAnsi="Times New Roman"/>
          <w:color w:val="000000" w:themeColor="text1"/>
          <w:sz w:val="16"/>
          <w:szCs w:val="16"/>
          <w:vertAlign w:val="superscript"/>
        </w:rPr>
        <w:t>69</w:t>
      </w:r>
    </w:p>
    <w:p w14:paraId="403195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3A122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июле 1942 года в СКБ в Москву была переведена группа работников НИИ-10 по гироскопической тематике во главе с Н.Н. Остряковым и В.И. Кузнецовым, а также инженеры-экспериментаторы Е.К Беляков и Ф.В. Лукин (15736).</w:t>
      </w:r>
    </w:p>
    <w:p w14:paraId="53D63D5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CFB81F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37B632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AC16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была первая попытка применения низких торпед на Балтике - пара ДБ-3Ф, ведущий Е.Н.Преображенский безуспешно атаковала два сторожевика. Прошли ниже (1085,166).</w:t>
      </w:r>
    </w:p>
    <w:p w14:paraId="5BE593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49A3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первые серийные Пе-Збис (20 ед.) поступили на вооружение 9-го бап. Затем настал черед 2-го, 4-го и 40-го отдельных дальних разведывательных полков. Несколько самолетов получила 9-я разведывательная эскадрилья, а позднее - 1-й и 39-й авиаполки ВВС КА (12042).</w:t>
      </w:r>
    </w:p>
    <w:p w14:paraId="5120377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FBC1F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приказом НКО были созданы 5 и 6 ВА, в июле - 14 и 15, в августе - 6, в ноябре - 7, 13 и 17 (340,81).</w:t>
      </w:r>
    </w:p>
    <w:p w14:paraId="644C16D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другим данным в июне 1942 были организованы 1 бомбардировочная ВА и 1 и 2 истребительные ВА, но они просуществовали недолго (518,312).</w:t>
      </w:r>
    </w:p>
    <w:p w14:paraId="5615ED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4E09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июня 1942 года началось формирование армейских полков ПВО (12 автоматов 37 и 25 мм, 12 ДШК и 8 счетверенных "Максимов"). Всего было сформировано для общевойсковых и танковых армий 80 таких полков (3861).</w:t>
      </w:r>
    </w:p>
    <w:p w14:paraId="26DA183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E0F38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приказом Наркома обороны И.В.Сталина ответственность за фронтовую зенитную артиллерию была снята с командующего войсками ПВО ТС и возложена на командующего артиллерией Красной Армии. В штабе командующего артиллерией образованы сначала отдел ПВО, позже – Управление ПВО (10109).</w:t>
      </w:r>
    </w:p>
    <w:p w14:paraId="2BEAE5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730B1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 Люфтваффе имели 6821 самолетов. Полностью боеготовыми были 4264 машины. Примерно 3000 из них находилось на советско-германском фронте, где действовали четыре воздушных флота Люфтваффе: 1-й действовал в районе Ленинград-Волхов, 4-й дислоцировался на Украине и в Крыму, 2-й - в центральной части фронта, 5-й со штабом размещался в Норвегии. Наиболее сильным был 4-й флот. В его состав входили VIII воздушный корпус ближнего действия, IV воздушный корпус, а также самолеты командования "Юг". Кроме того, этому воздушному флоту оперативно подчинялись авиационные части Румынии и Венгрии. Германское командование готовило широкомасштабное наступление на южном участке советско-германского фронта и руководство военно-воздушных сил Германии стремилось максимально пополнить свое соединения и части, чтобы усилить поддержку с воздуха наступающих войск (3573).</w:t>
      </w:r>
    </w:p>
    <w:p w14:paraId="717E001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D596B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первые серийные Пе-3бис (20 единиц) поступили на вооружение 9-го ббап. Затем настал черед 2, 4 и 40-го отдельных дальних разведывательных полков. Несколько самолетов получила 9-я разведывательная эскадрилья, а позднее - 1 и 39-й авиаполки ВВС КА. В отзывах с фронта многие лётчики считали Пе-3бис более ценной и полезной машиной, чем стандартные Пе-2. В морской авиации наибольшее количество Пе-3бис (не более десятка) передали в состав 65-го авиационного полка (4476).</w:t>
      </w:r>
    </w:p>
    <w:p w14:paraId="6203E5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A3D3EE" w14:textId="77777777" w:rsidR="00804B2E" w:rsidRPr="008A2E5A" w:rsidRDefault="00804B2E" w:rsidP="00804B2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1942 г. в 747-м полку впервые опробовали В-25 в качестве дальнего разведчика</w:t>
      </w:r>
      <w:r>
        <w:rPr>
          <w:rFonts w:ascii="Times New Roman" w:hAnsi="Times New Roman"/>
          <w:color w:val="0070C0"/>
          <w:sz w:val="16"/>
          <w:szCs w:val="16"/>
        </w:rPr>
        <w:t>.</w:t>
      </w:r>
      <w:r w:rsidRPr="008A2E5A">
        <w:rPr>
          <w:rFonts w:ascii="Times New Roman" w:hAnsi="Times New Roman"/>
          <w:color w:val="0070C0"/>
          <w:sz w:val="16"/>
          <w:szCs w:val="16"/>
        </w:rPr>
        <w:t xml:space="preserve"> Позже их начали поставлять в специальные полки дальней разведки. Первые три самолета этого типа поступили в 40-й драп в ноябре 1942 г. Впоследствии по не</w:t>
      </w:r>
      <w:r w:rsidRPr="008A2E5A">
        <w:rPr>
          <w:rFonts w:ascii="Times New Roman" w:hAnsi="Times New Roman"/>
          <w:color w:val="0070C0"/>
          <w:sz w:val="16"/>
          <w:szCs w:val="16"/>
        </w:rPr>
        <w:softHyphen/>
        <w:t>скольку машин такого типа имели различ</w:t>
      </w:r>
      <w:r w:rsidRPr="008A2E5A">
        <w:rPr>
          <w:rFonts w:ascii="Times New Roman" w:hAnsi="Times New Roman"/>
          <w:color w:val="0070C0"/>
          <w:sz w:val="16"/>
          <w:szCs w:val="16"/>
        </w:rPr>
        <w:softHyphen/>
        <w:t>ные разведывательные полки и эскадри</w:t>
      </w:r>
      <w:r w:rsidRPr="008A2E5A">
        <w:rPr>
          <w:rFonts w:ascii="Times New Roman" w:hAnsi="Times New Roman"/>
          <w:color w:val="0070C0"/>
          <w:sz w:val="16"/>
          <w:szCs w:val="16"/>
        </w:rPr>
        <w:softHyphen/>
        <w:t>льи ВВС и морской авиации. Сочетание мощного оборонительного вооружения и прекрасного приборного оборудования «Митчелла» позволяло выполнять поле</w:t>
      </w:r>
      <w:r w:rsidRPr="008A2E5A">
        <w:rPr>
          <w:rFonts w:ascii="Times New Roman" w:hAnsi="Times New Roman"/>
          <w:color w:val="0070C0"/>
          <w:sz w:val="16"/>
          <w:szCs w:val="16"/>
        </w:rPr>
        <w:softHyphen/>
        <w:t>ты и днем, и ночью. Использовались для ведения разведки и В-25 из частей АДД. В апреле 1943 г. Герой Советского Союза В.П. Драгомирецкий из 14-го гвардейского полка ночью с применением осветитель</w:t>
      </w:r>
      <w:r w:rsidRPr="008A2E5A">
        <w:rPr>
          <w:rFonts w:ascii="Times New Roman" w:hAnsi="Times New Roman"/>
          <w:color w:val="0070C0"/>
          <w:sz w:val="16"/>
          <w:szCs w:val="16"/>
        </w:rPr>
        <w:softHyphen/>
        <w:t>ных бомб снял мост через Десну, а в мае таким же способом — железнодорожный узел в Орле (23513).</w:t>
      </w:r>
    </w:p>
    <w:p w14:paraId="410647B3" w14:textId="77777777" w:rsidR="00804B2E" w:rsidRPr="008A2E5A" w:rsidRDefault="00804B2E" w:rsidP="00804B2E">
      <w:pPr>
        <w:spacing w:after="0" w:line="240" w:lineRule="auto"/>
        <w:jc w:val="both"/>
        <w:rPr>
          <w:rFonts w:ascii="Times New Roman" w:hAnsi="Times New Roman"/>
          <w:color w:val="0070C0"/>
          <w:sz w:val="16"/>
          <w:szCs w:val="16"/>
        </w:rPr>
      </w:pPr>
    </w:p>
    <w:p w14:paraId="4A7A56D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на Юго- Западном фронте был сбит Нз 129В-1, в котором были найдены документы, которые проливают некоторый «свет» на реальные боевые свойства «хеншеля» с пушкой МК101, как противотан</w:t>
      </w:r>
      <w:r w:rsidRPr="008127F8">
        <w:rPr>
          <w:rFonts w:ascii="Times New Roman" w:hAnsi="Times New Roman"/>
          <w:color w:val="000000" w:themeColor="text1"/>
          <w:sz w:val="16"/>
          <w:szCs w:val="16"/>
        </w:rPr>
        <w:softHyphen/>
        <w:t>кового самолета. Это был отчет № 210/42 от 5 июня 1942 г. на имя командующего истребительной авиации люфтваффе о проведении полигонных испытаний пушек МК101 стрельбой в воздухе с самолета Нз 129В-1 по танкам КВ-1.</w:t>
      </w:r>
    </w:p>
    <w:p w14:paraId="5261675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отчетных материалов следует, что в период с 25 по 29 мая 1942 г. в 4./5сИ.С.1 (аэродром Барвенково в 60 км северо- западнее Константиновки) находилась группа специалистов Генерального штаба люфтваффе. В их задачу входило оказание помощи личному составу 4-й эскадрильи в практическом применении для борьбы с советскими танками пушек МК101 и снаря</w:t>
      </w:r>
      <w:r w:rsidRPr="008127F8">
        <w:rPr>
          <w:rFonts w:ascii="Times New Roman" w:hAnsi="Times New Roman"/>
          <w:color w:val="000000" w:themeColor="text1"/>
          <w:sz w:val="16"/>
          <w:szCs w:val="16"/>
        </w:rPr>
        <w:softHyphen/>
        <w:t>дов к ним.</w:t>
      </w:r>
    </w:p>
    <w:p w14:paraId="7DC75A0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и 28 мая была организована прак</w:t>
      </w:r>
      <w:r w:rsidRPr="008127F8">
        <w:rPr>
          <w:rFonts w:ascii="Times New Roman" w:hAnsi="Times New Roman"/>
          <w:color w:val="000000" w:themeColor="text1"/>
          <w:sz w:val="16"/>
          <w:szCs w:val="16"/>
        </w:rPr>
        <w:softHyphen/>
        <w:t>тическая стрельба по находящимся неда</w:t>
      </w:r>
      <w:r w:rsidRPr="008127F8">
        <w:rPr>
          <w:rFonts w:ascii="Times New Roman" w:hAnsi="Times New Roman"/>
          <w:color w:val="000000" w:themeColor="text1"/>
          <w:sz w:val="16"/>
          <w:szCs w:val="16"/>
        </w:rPr>
        <w:softHyphen/>
        <w:t>леко от аэродрома танкам КВ-1, подбитых немецкими танкистами в ходе операции по окружению советских войск в районе Барвенковского выступа.</w:t>
      </w:r>
    </w:p>
    <w:p w14:paraId="63D50F4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27 мая в течение дня четырьмя экипа</w:t>
      </w:r>
      <w:r w:rsidRPr="008127F8">
        <w:rPr>
          <w:rFonts w:ascii="Times New Roman" w:hAnsi="Times New Roman"/>
          <w:color w:val="000000" w:themeColor="text1"/>
          <w:sz w:val="16"/>
          <w:szCs w:val="16"/>
        </w:rPr>
        <w:softHyphen/>
        <w:t>жами было выполнено 12 самолето-вы</w:t>
      </w:r>
      <w:r w:rsidRPr="008127F8">
        <w:rPr>
          <w:rFonts w:ascii="Times New Roman" w:hAnsi="Times New Roman"/>
          <w:color w:val="000000" w:themeColor="text1"/>
          <w:sz w:val="16"/>
          <w:szCs w:val="16"/>
        </w:rPr>
        <w:softHyphen/>
        <w:t>летов. Атаки выполнялись с пикирования под углами 10-30' строго поперек танка. Стрельба велась подкалиберными снаря</w:t>
      </w:r>
      <w:r w:rsidRPr="008127F8">
        <w:rPr>
          <w:rFonts w:ascii="Times New Roman" w:hAnsi="Times New Roman"/>
          <w:color w:val="000000" w:themeColor="text1"/>
          <w:sz w:val="16"/>
          <w:szCs w:val="16"/>
        </w:rPr>
        <w:softHyphen/>
        <w:t>дами с вольфрамовым сердечником.</w:t>
      </w:r>
    </w:p>
    <w:p w14:paraId="7FB7660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испытаниям бронебойный снаряд 101 обладает достаточ</w:t>
      </w:r>
      <w:r w:rsidRPr="008127F8">
        <w:rPr>
          <w:rFonts w:ascii="Times New Roman" w:hAnsi="Times New Roman"/>
          <w:color w:val="000000" w:themeColor="text1"/>
          <w:sz w:val="16"/>
          <w:szCs w:val="16"/>
        </w:rPr>
        <w:softHyphen/>
        <w:t>ной бронепробиваемостью и может быть с успехом использован на Нз129 из МК101 для подавления тяжелых русских танков...».</w:t>
      </w:r>
    </w:p>
    <w:p w14:paraId="39D177C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Анализ фотографий «расстрелянного» КВ-1 позволяет сделать вывод, что специ</w:t>
      </w:r>
      <w:r w:rsidRPr="008127F8">
        <w:rPr>
          <w:rFonts w:ascii="Times New Roman" w:hAnsi="Times New Roman"/>
          <w:color w:val="000000" w:themeColor="text1"/>
          <w:sz w:val="16"/>
          <w:szCs w:val="16"/>
        </w:rPr>
        <w:softHyphen/>
        <w:t>алисты генштаба люфтваффе и летный состав 4./5сН.С.1, мягко скажем, «втирали очки» своему начальству и выдавали жела</w:t>
      </w:r>
      <w:r w:rsidRPr="008127F8">
        <w:rPr>
          <w:rFonts w:ascii="Times New Roman" w:hAnsi="Times New Roman"/>
          <w:color w:val="000000" w:themeColor="text1"/>
          <w:sz w:val="16"/>
          <w:szCs w:val="16"/>
        </w:rPr>
        <w:softHyphen/>
        <w:t>емое за действительное.</w:t>
      </w:r>
    </w:p>
    <w:p w14:paraId="33ECDC5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Свои выводы они построили на том факте, что один из снарядов попал в сварной шов соединения кормового бро- нелиста башни и прошел по шву на глуби</w:t>
      </w:r>
      <w:r w:rsidRPr="008127F8">
        <w:rPr>
          <w:rFonts w:ascii="Times New Roman" w:hAnsi="Times New Roman"/>
          <w:color w:val="000000" w:themeColor="text1"/>
          <w:sz w:val="16"/>
          <w:szCs w:val="16"/>
        </w:rPr>
        <w:softHyphen/>
        <w:t>ну около 120 мм. Ясно, что это весьма и весьма редкий случай. При этом никаких разрушений внутри танка быть не могло. То, что в других случаях не было и намека на сквозные пробоины и серьезные по</w:t>
      </w:r>
      <w:r w:rsidRPr="008127F8">
        <w:rPr>
          <w:rFonts w:ascii="Times New Roman" w:hAnsi="Times New Roman"/>
          <w:color w:val="000000" w:themeColor="text1"/>
          <w:sz w:val="16"/>
          <w:szCs w:val="16"/>
        </w:rPr>
        <w:softHyphen/>
        <w:t>вреждения элементов конструкции танка в расчет почему-то не принималось...</w:t>
      </w:r>
    </w:p>
    <w:p w14:paraId="20CDE7A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Реально бронебойный снаряд к этой пушке с 300 м при угле встречи 0° снаряд пробивал только броню толщиной до 44 мм, а подкалиберный - до 52 мм.</w:t>
      </w:r>
    </w:p>
    <w:p w14:paraId="163C905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 есть тяжелые советские танки не по</w:t>
      </w:r>
      <w:r w:rsidRPr="008127F8">
        <w:rPr>
          <w:rFonts w:ascii="Times New Roman" w:hAnsi="Times New Roman"/>
          <w:color w:val="000000" w:themeColor="text1"/>
          <w:sz w:val="16"/>
          <w:szCs w:val="16"/>
        </w:rPr>
        <w:softHyphen/>
        <w:t>ражались ни при каких условиях атаки.</w:t>
      </w:r>
    </w:p>
    <w:p w14:paraId="2C79321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Вот поражение бортовой и башенной брони советских легких танков типа Т-60 и Т-70 специальными подкалиберными снарядами было возможным практически с любого направления атаки и дистанций стрельбы до 400-500 м. Правда, надмо- торная броня и крыша башни при этом не поражались.</w:t>
      </w:r>
    </w:p>
    <w:p w14:paraId="40828A5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Анализ схемы бронирования советско</w:t>
      </w:r>
      <w:r w:rsidRPr="008127F8">
        <w:rPr>
          <w:rFonts w:ascii="Times New Roman" w:hAnsi="Times New Roman"/>
          <w:color w:val="000000" w:themeColor="text1"/>
          <w:sz w:val="16"/>
          <w:szCs w:val="16"/>
        </w:rPr>
        <w:softHyphen/>
        <w:t>го среднего танка Т-34-76 и возможностей пушки МК101 показывает, что при углах пикирования Нз129 около 25-30° подкали</w:t>
      </w:r>
      <w:r w:rsidRPr="008127F8">
        <w:rPr>
          <w:rFonts w:ascii="Times New Roman" w:hAnsi="Times New Roman"/>
          <w:color w:val="000000" w:themeColor="text1"/>
          <w:sz w:val="16"/>
          <w:szCs w:val="16"/>
        </w:rPr>
        <w:softHyphen/>
        <w:t>берный снаряд к пушке мог пробить 52 мм броню башни «тридцатьчетверки» только при стрельбе с дистанции не более 250 м, а бортовую 40-мм броню - не более 600 м.</w:t>
      </w:r>
    </w:p>
    <w:p w14:paraId="6B0144F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при оценке эффективно</w:t>
      </w:r>
      <w:r w:rsidRPr="008127F8">
        <w:rPr>
          <w:rFonts w:ascii="Times New Roman" w:hAnsi="Times New Roman"/>
          <w:color w:val="000000" w:themeColor="text1"/>
          <w:sz w:val="16"/>
          <w:szCs w:val="16"/>
        </w:rPr>
        <w:softHyphen/>
        <w:t>сти атаки самолетов по танкам и другим типовым наземным целям необходимо учитывать следующие факторы.</w:t>
      </w:r>
    </w:p>
    <w:p w14:paraId="2ABF245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Если начинать стрельбу сразу же по</w:t>
      </w:r>
      <w:r w:rsidRPr="008127F8">
        <w:rPr>
          <w:rFonts w:ascii="Times New Roman" w:hAnsi="Times New Roman"/>
          <w:color w:val="000000" w:themeColor="text1"/>
          <w:sz w:val="16"/>
          <w:szCs w:val="16"/>
        </w:rPr>
        <w:softHyphen/>
        <w:t>сле разворота на цель, не выдерживая самолет в прямолинейном полете, то сна</w:t>
      </w:r>
      <w:r w:rsidRPr="008127F8">
        <w:rPr>
          <w:rFonts w:ascii="Times New Roman" w:hAnsi="Times New Roman"/>
          <w:color w:val="000000" w:themeColor="text1"/>
          <w:sz w:val="16"/>
          <w:szCs w:val="16"/>
        </w:rPr>
        <w:softHyphen/>
        <w:t>ряды в очереди будут отнесены от цели во внешнюю сторону разворота. Полигонные испытания, показывали, что относ снаря</w:t>
      </w:r>
      <w:r w:rsidRPr="008127F8">
        <w:rPr>
          <w:rFonts w:ascii="Times New Roman" w:hAnsi="Times New Roman"/>
          <w:color w:val="000000" w:themeColor="text1"/>
          <w:sz w:val="16"/>
          <w:szCs w:val="16"/>
        </w:rPr>
        <w:softHyphen/>
        <w:t>дов в типовых условиях атаки для Нз129В мог составлять 11-14 м. Это в 2-3 раза больше размеров любого советского танка. Для устранения этого явления, не</w:t>
      </w:r>
      <w:r w:rsidRPr="008127F8">
        <w:rPr>
          <w:rFonts w:ascii="Times New Roman" w:hAnsi="Times New Roman"/>
          <w:color w:val="000000" w:themeColor="text1"/>
          <w:sz w:val="16"/>
          <w:szCs w:val="16"/>
        </w:rPr>
        <w:softHyphen/>
        <w:t>обходимо в течение 1,5-2 с «задержать» крен и выдержать самолет в прямолиней</w:t>
      </w:r>
      <w:r w:rsidRPr="008127F8">
        <w:rPr>
          <w:rFonts w:ascii="Times New Roman" w:hAnsi="Times New Roman"/>
          <w:color w:val="000000" w:themeColor="text1"/>
          <w:sz w:val="16"/>
          <w:szCs w:val="16"/>
        </w:rPr>
        <w:softHyphen/>
        <w:t>ном полете.</w:t>
      </w:r>
    </w:p>
    <w:p w14:paraId="01E15C5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прицеливание и исправление на</w:t>
      </w:r>
      <w:r w:rsidRPr="008127F8">
        <w:rPr>
          <w:rFonts w:ascii="Times New Roman" w:hAnsi="Times New Roman"/>
          <w:color w:val="000000" w:themeColor="text1"/>
          <w:sz w:val="16"/>
          <w:szCs w:val="16"/>
        </w:rPr>
        <w:softHyphen/>
        <w:t>водки между очередями летчику с хоро</w:t>
      </w:r>
      <w:r w:rsidRPr="008127F8">
        <w:rPr>
          <w:rFonts w:ascii="Times New Roman" w:hAnsi="Times New Roman"/>
          <w:color w:val="000000" w:themeColor="text1"/>
          <w:sz w:val="16"/>
          <w:szCs w:val="16"/>
        </w:rPr>
        <w:softHyphen/>
        <w:t>шей квалификацией требуется в среднем 1,5-2 с. То есть, при «правильном» выпол</w:t>
      </w:r>
      <w:r w:rsidRPr="008127F8">
        <w:rPr>
          <w:rFonts w:ascii="Times New Roman" w:hAnsi="Times New Roman"/>
          <w:color w:val="000000" w:themeColor="text1"/>
          <w:sz w:val="16"/>
          <w:szCs w:val="16"/>
        </w:rPr>
        <w:softHyphen/>
        <w:t>нении атаки наземной цели открытие огня должно происходить не раньше, чем через 3-4 с.</w:t>
      </w:r>
    </w:p>
    <w:p w14:paraId="3DA06DC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Поскольку ведение стрельбы из МК101 очередью свыше 4-5 снарядов из-за вли</w:t>
      </w:r>
      <w:r w:rsidRPr="008127F8">
        <w:rPr>
          <w:rFonts w:ascii="Times New Roman" w:hAnsi="Times New Roman"/>
          <w:color w:val="000000" w:themeColor="text1"/>
          <w:sz w:val="16"/>
          <w:szCs w:val="16"/>
        </w:rPr>
        <w:softHyphen/>
        <w:t>яния силы отдачи пушки на самолет при</w:t>
      </w:r>
      <w:r w:rsidRPr="008127F8">
        <w:rPr>
          <w:rFonts w:ascii="Times New Roman" w:hAnsi="Times New Roman"/>
          <w:color w:val="000000" w:themeColor="text1"/>
          <w:sz w:val="16"/>
          <w:szCs w:val="16"/>
        </w:rPr>
        <w:softHyphen/>
        <w:t>водит к нарушению наводки самолета на цель и к значительному увеличению рассе</w:t>
      </w:r>
      <w:r w:rsidRPr="008127F8">
        <w:rPr>
          <w:rFonts w:ascii="Times New Roman" w:hAnsi="Times New Roman"/>
          <w:color w:val="000000" w:themeColor="text1"/>
          <w:sz w:val="16"/>
          <w:szCs w:val="16"/>
        </w:rPr>
        <w:softHyphen/>
        <w:t>ивания снарядов, то длина одной очереди ограничивается 1 с.</w:t>
      </w:r>
    </w:p>
    <w:p w14:paraId="4EA0C5B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 есть, для гарантированного вы</w:t>
      </w:r>
      <w:r w:rsidRPr="008127F8">
        <w:rPr>
          <w:rFonts w:ascii="Times New Roman" w:hAnsi="Times New Roman"/>
          <w:color w:val="000000" w:themeColor="text1"/>
          <w:sz w:val="16"/>
          <w:szCs w:val="16"/>
        </w:rPr>
        <w:softHyphen/>
        <w:t>ведения из строя одного Т-34-76 коман</w:t>
      </w:r>
      <w:r w:rsidRPr="008127F8">
        <w:rPr>
          <w:rFonts w:ascii="Times New Roman" w:hAnsi="Times New Roman"/>
          <w:color w:val="000000" w:themeColor="text1"/>
          <w:sz w:val="16"/>
          <w:szCs w:val="16"/>
        </w:rPr>
        <w:softHyphen/>
        <w:t>дованию люфтваффе необходимо было выделять не менее четырех-пяти десятков бронированных «хеншелей». Такой резуль</w:t>
      </w:r>
      <w:r w:rsidRPr="008127F8">
        <w:rPr>
          <w:rFonts w:ascii="Times New Roman" w:hAnsi="Times New Roman"/>
          <w:color w:val="000000" w:themeColor="text1"/>
          <w:sz w:val="16"/>
          <w:szCs w:val="16"/>
        </w:rPr>
        <w:softHyphen/>
        <w:t>тат нельзя признать высоким (12728).</w:t>
      </w:r>
    </w:p>
    <w:p w14:paraId="08CDB41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683333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к началу летней кампании, присутствие Р-5 в действующей армии было наибольшим - 183 экземпляра. 25 машин имелось в ВВС Юго-Западного фронта, 51 - в ВВС Брянского фронта, 57 - в ВВС Южного фронта. В течение летних боев количество этих самолетов, несмотря на боевые потери, продолжало удерживаться в пределах 200 единиц. Р-5 в основном действовали по ночам и традиционно выполняли многочисленные задачи по снабжению и обеспечению войск (5016).</w:t>
      </w:r>
    </w:p>
    <w:p w14:paraId="0251BDA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E540E8" w14:textId="77777777" w:rsidR="007C5583" w:rsidRPr="00804B2E" w:rsidRDefault="007C5583" w:rsidP="00804B2E">
      <w:pPr>
        <w:spacing w:after="0" w:line="240" w:lineRule="auto"/>
        <w:rPr>
          <w:rFonts w:ascii="Times New Roman" w:hAnsi="Times New Roman"/>
          <w:sz w:val="16"/>
          <w:szCs w:val="16"/>
        </w:rPr>
      </w:pPr>
      <w:r w:rsidRPr="00804B2E">
        <w:rPr>
          <w:rFonts w:ascii="Times New Roman" w:hAnsi="Times New Roman"/>
          <w:sz w:val="16"/>
          <w:szCs w:val="16"/>
        </w:rPr>
        <w:t>В июне 1942 г. в приказе командира одного из полков 6-го иак по итогам боевой работы ставилась задача «научить летный состав ...методично таранить фа</w:t>
      </w:r>
      <w:r w:rsidRPr="00804B2E">
        <w:rPr>
          <w:rFonts w:ascii="Times New Roman" w:hAnsi="Times New Roman"/>
          <w:sz w:val="16"/>
          <w:szCs w:val="16"/>
        </w:rPr>
        <w:softHyphen/>
        <w:t>шистских стервятников». И в других опе</w:t>
      </w:r>
      <w:r w:rsidRPr="00804B2E">
        <w:rPr>
          <w:rFonts w:ascii="Times New Roman" w:hAnsi="Times New Roman"/>
          <w:sz w:val="16"/>
          <w:szCs w:val="16"/>
        </w:rPr>
        <w:softHyphen/>
        <w:t>ративных документах полка он требовал от летчиков безусловного уничтожения противника в зоне ответственности полка «огнем или тараном» (12738).</w:t>
      </w:r>
    </w:p>
    <w:p w14:paraId="39F7AF38" w14:textId="77777777" w:rsidR="007C5583" w:rsidRPr="00804B2E" w:rsidRDefault="007C5583" w:rsidP="00804B2E">
      <w:pPr>
        <w:spacing w:after="0" w:line="240" w:lineRule="auto"/>
        <w:rPr>
          <w:rFonts w:ascii="Times New Roman" w:hAnsi="Times New Roman"/>
          <w:sz w:val="16"/>
          <w:szCs w:val="16"/>
        </w:rPr>
      </w:pPr>
    </w:p>
    <w:p w14:paraId="6E09C4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1943 г. серьезным испытанием для всей системы ПВО стало отражение налетов ночных бомбардировщиков противника на Горький, Саратов, Ярославль и другие волжские города. Противник совершил более 1000 самолето-вылетов, в ходе которых попытался уничтожить ряд важнейших оборонных предприятий, в том числе Горьков- ский автозавод, нефтеперегонные заводы в Саратове, заводы синтетического каучука в Ярославле и др. Не располагая специальной дальней авиацией, командование Люфтваффе, тем не менее, поставило своим частям "фронтового назначения" задачу: резко снизить производство важнейших видов вооружения в нашей стране.</w:t>
      </w:r>
    </w:p>
    <w:p w14:paraId="07D35E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этому времени лишь в 142-й иад, прикрывавшей город Горький, сохранились МиГи. Командовал дивизией полковник В.П. Иванов, который в должности командира 55-го иап перед войной принимал первые серийные МиГ-3 в Молдавии. Все МиГи ПВО Горького летом 1943 г. принадлежали 722-му иап. Летчики этого полка не только патрулировали над городом, но также сопровождали особо важные транспортные самолеты, специальные правительственные поезда и выполняли другие задачи. Как следовало из отчетов штаба Горьковско- го корпусного района ПВО, до мая 1942 г. налетов на город не было.</w:t>
      </w:r>
    </w:p>
    <w:p w14:paraId="52EEA7D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этого месяца противник осуществил два "звездных" ночных налета ограниченными силами. Кроме того, были зафиксированы пролеты шести одиночных разведчиков днем. С 15 по 31 мая 722-й иап, располагавший 15 МиГами, выполнил 17 дневных и два ночных вылета на перехват, но не добился успехов. Отсутствие встреч с самолетами врага объяснялось плохой организацией взаимодействия истребительной авиации с постами ВНОС. Однако наличие поблизости от аэродрома хорошо различимых ориентиров позволило летчикам чувствовать себя вполне уверенно ночью и днем при плохой видимости.</w:t>
      </w:r>
    </w:p>
    <w:p w14:paraId="28AA680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Яркую страницу в историю части вписал лейтенант П.И. Шавурин, уничтоживший неприятельский самолет 27 июля 1942 г. Обнаружив Ju 88D в районе Инютино на высоте 8000 м, советский летчик примерно 10 минут его преследовал, обстреливая с дистанции 200-300 м. Шавурин израсходовал весь боекомплект и в 8 часов утра над городом Павлово на Оке (в 100 км северо-западнее Горького) таранил врага. Экипаж самолета, принадлежавший 1-му отряду разведчиков Верховного командования Люфтваффе, погиб, а советский летчик на высоте 5000 м открыл парашют и благополучно приземлился.</w:t>
      </w:r>
    </w:p>
    <w:p w14:paraId="2C64DA5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лету 1943 г. ближайшие аэродромы Люфтваффе, с которых могли взлетать неприятельские бомбардировщики, находились от Горького на удалении 600-700 км, но противник все же предпринял семь налетов значительными силами, причем в ночь на 7 июня наши посты ВНОС зафиксировали приближение к городу на высоте примерно 5000 м не менее 130 Ju 88 и Не 111 (что примерно в 2,5 раза превышало действительное количество участвовавших в налете немецких бомбардировщиков).</w:t>
      </w:r>
    </w:p>
    <w:p w14:paraId="3418E54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этому времени 722-й иап возглавлял майор Д.И. Яедовской, одержавший на МиГ-3 ночные победы над Москвой и Ленинградом летом 1941 г. В полку было девять летчиков-орденоносцев, и все они, насколько известно, участвовали в отражении налетов, находясь в зонах ночного патрулирования, вплотную примыкавших к зонам огня зенитной артиллерии Горького. Первоначально пилоты вылетали поодиночке, затем действовали парами и звеньями, но во всех случаях не добились ни одного положительного результата. Впрочем, наши экипажи, летавшие на истребителях других типов, действовали столь же неудачно, отчасти из- за невозможности использования радиолокационной станции РУС-2.</w:t>
      </w:r>
    </w:p>
    <w:p w14:paraId="3A203B3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ночь на 8 июня старший лейтенант B.C. Табарчук обнаружил противника и принял неординарное решение: таранить Не 111, даже не выпустив по нему ни одной очереди. По докладу самого летчика, силуэт самолета противника был плохо виден, и он решил не допустить бомбометания любыми средствами. МиГ-3 Табарчука ударил винтом по рулям "хейнкеля", после чего совершил вынужденную посадку на фюзеляж в районе аэродрома.</w:t>
      </w:r>
    </w:p>
    <w:p w14:paraId="018D95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Летчика наградили орденом Красного Знамени, а его боевую машину пришлось списать. Этот МиГ оказался единственной безвозвратной потерей 722-го иап за июнь 1943 г. Получил ранение старший сержант Аверин, попавший под обстрел стрелков противника. В то же время документы зафиксировали в полку значительное количество аварий и мелких летных происшествий, особенно при взлетах и посадках. Только одних колес было пробито 13 штук - многочисленные осколки вражеских бомб густо усеивали тогда летное поле аэродрома Стригино. В одном из вылетов незаурядное мастерство проявил ст. лейтенант Карих, сумевший благополучно посадить МиГ-3 на одно колесо (12045).</w:t>
      </w:r>
    </w:p>
    <w:p w14:paraId="2FB4447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B2BC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Введение должности заместителя начальника управления связи фронта по радио. Введение в состав управления связи фронта должности начальника радиоузла и трех дежурных по радиосвязи. Упразднение органов полевой связи Народного комиссариата связи — Центрального полевого управления полевой связи, управлений полевой связи при штабах фронтов и отделов при штабах армий (11072).</w:t>
      </w:r>
    </w:p>
    <w:p w14:paraId="30F686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8759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гвардейская Краснознаменная Д-3 погибла на мине в районе Тана-фьорд— м. Нордкин (3898).</w:t>
      </w:r>
    </w:p>
    <w:p w14:paraId="6F76466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78585B"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 июне 1942 года по решению командующего флотом вице-адмирала Ф.С.Октябрьского были проведены два набега наших торпедных катеров на Ялту. Порт Анапа и аэродром прикрывались 8-10 батареями ЗА и МЗА (зенитной и малой зенитной артиллерии), несколькими зенитными пулеметами. 10-12 прожекторами. На аэродром базировалось до 32 истребителей Ме-109. В порту установлены две противокатерные батареи, боновое заграждение, закрывавшее вход в порт с северо-запада, а в средней части входа находился затонувший транспорт. Периодически в порту наблюдалась стоянка до десятка быстроходных десантных барж.</w:t>
      </w:r>
    </w:p>
    <w:p w14:paraId="4EE25AAC" w14:textId="77777777" w:rsidR="007C5583" w:rsidRPr="008127F8" w:rsidRDefault="007C5583" w:rsidP="007C5583">
      <w:pPr>
        <w:spacing w:after="0" w:line="240" w:lineRule="auto"/>
        <w:jc w:val="both"/>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Разработал и возглавил набеги начальник службы торпедных катеров флота капитан-лейтенант Г.Д.Дьяченко. Первый набег из Анапы осуществил торпедный катер «Д-3» старшего лейтенанта О.М.Чепика 13 июня 1942 года. На его борту находились командир отряда старший лейтенант К.П.Кочнев и капитан-лейтенант Г.Д.Дьяченко </w:t>
      </w:r>
      <w:r w:rsidRPr="008127F8">
        <w:rPr>
          <w:rFonts w:ascii="Times New Roman" w:hAnsi="Times New Roman"/>
          <w:color w:val="000000" w:themeColor="text1"/>
          <w:sz w:val="16"/>
          <w:szCs w:val="16"/>
        </w:rPr>
        <w:t>В ночь на 19 июня набег на Ялту совершили «Д-3» и «СМ-3»</w:t>
      </w:r>
      <w:r w:rsidRPr="008127F8">
        <w:rPr>
          <w:rFonts w:ascii="Times New Roman" w:eastAsia="Times New Roman" w:hAnsi="Times New Roman"/>
          <w:color w:val="000000" w:themeColor="text1"/>
          <w:sz w:val="16"/>
          <w:szCs w:val="16"/>
        </w:rPr>
        <w:t xml:space="preserve"> (15985).</w:t>
      </w:r>
    </w:p>
    <w:p w14:paraId="5CBD5A7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7455D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Жизнь и внутренняя политика:</w:t>
      </w:r>
    </w:p>
    <w:p w14:paraId="6B298D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17D55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феврале 1944 и апреле 1945 гг. трижды заседали Сессии Верховного Совета СССР. По этой причине государственный бюджет принимался в традиционном порядке только в 1941, 1944 и 1945 гг. Бюджеты 1942 и 1943 гг. в этом отношении были действительно военными в том плане, что Совнарком (Правительство) их формировал (как и прежде), а ГКО как чрезвычайный орган власти имел право распределять и перераспределять средства. Рост прямых и косвенных военных расходов и сокращение поступлений по налогу с оборота определили высокое финансовое напряжение на начальном этапе войны. Встала задача не только мобилизации ресурсов для возросших военных расходов, но и восполнения убыли в основном источнике бюджетных доходов. Начавшаяся война диктовала новый подход и к распределению национального дохода. При обычном его делении на две части - на фонд потребления и фонд накопления пропорции изменились следующим образом: фонд потребления сократился с 74% в 1940 г. до 67% в 1942 г., а фонд накопления, напротив, вырос соответственно с 26 до 33%. При конкретизации распределения национального дохода с обособлением фонда военных расходов (потребление средств ведения войны и личное потребление военнослужащих) исследователи получают следующую картину: в 1940 г. фонд потребления составлял 70%, фонд военных расходов - 11% (из них 7% - фонд средств ведения войны и 4% - фонд личного потребления военнослужащих) и фонд накопления - 19%. В 1942 г. фонд потребления сократился до 56%, фонд военных расходов увеличился до 40% (29% составил фонд средств ведения войны и 11% - фонд личного потребления военнослужащих). В эти 40% фонда военных расходов не входили расходы на расширение военного производства, которые выделялись из фонда накопления и поступали из других источников. Фонд накопления при этом сократился до 4% (18390).</w:t>
      </w:r>
    </w:p>
    <w:p w14:paraId="115F9CC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C0D7C8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в г. Куйбышев из г. Москвы, городов Ростовской, Горьковской, Рязанской, Ивановской, Саратовской и Кировской областей, Краснодарского края, Чувашской и Башкирской АССР было перевезено 60 трамвайных вагонов и 60 автобусов (ГАСО. Ф. Р-2558. Оп. 6. Д. 76. Л. 65.) (11714).</w:t>
      </w:r>
    </w:p>
    <w:p w14:paraId="4C6EBD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587C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lastRenderedPageBreak/>
        <w:t>Внешняя политика:</w:t>
      </w:r>
    </w:p>
    <w:p w14:paraId="109B41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3E21EE"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июне 1942 года помощник военного атташе США Френкель был обвинен в незаконных валютных операциях. Он покупал в Госбанке советские рубли по курсу 1 доллар = 12 рублей для себя, и по такому же курсу менял их американским морякам (выдавал каждому капитану прибывавшего в Мурманск американского судна по 150 рублей), прибывающим на конвойных судах в Мурманск. По мнению советской стороны, это было противозаконно, поскольку такой курс действовал только для дипломатического состава, к которому относился Френкель. Официальный курс для простых иностранцев был почти в два раза выше (1 доллар = 5,6 рублей). Несмотря на все доводы работников посольства США, что Френкель не спекулянт (это удалось доказать), а также просьбы дать добро на получение и американским морякам рублей по такому курсу, для них это разрешено не было. </w:t>
      </w:r>
    </w:p>
    <w:p w14:paraId="7DA87DB3"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СССР 30-40-х годов нормой было существование нескольких обменных курсов советского рубля по отношению к иностранным валютам. То есть, помимо официального курса (по которому </w:t>
      </w:r>
      <w:r w:rsidRPr="008127F8">
        <w:rPr>
          <w:rFonts w:ascii="Times New Roman" w:hAnsi="Times New Roman"/>
          <w:color w:val="000000" w:themeColor="text1"/>
          <w:sz w:val="16"/>
          <w:szCs w:val="16"/>
        </w:rPr>
        <w:fldChar w:fldCharType="begin"/>
      </w:r>
      <w:r w:rsidRPr="008127F8">
        <w:rPr>
          <w:rFonts w:ascii="Times New Roman" w:hAnsi="Times New Roman"/>
          <w:color w:val="000000" w:themeColor="text1"/>
          <w:sz w:val="16"/>
          <w:szCs w:val="16"/>
        </w:rPr>
        <w:instrText xml:space="preserve">ref HYPERLINK "http://community.livejournal.com/su_industria/18495.html" \l "cutid1" \* MERGEFORMAT </w:instrText>
      </w:r>
      <w:r w:rsidRPr="008127F8">
        <w:rPr>
          <w:rFonts w:ascii="Times New Roman" w:hAnsi="Times New Roman"/>
          <w:color w:val="000000" w:themeColor="text1"/>
          <w:sz w:val="16"/>
          <w:szCs w:val="16"/>
        </w:rPr>
        <w:fldChar w:fldCharType="separate"/>
      </w:r>
      <w:r w:rsidRPr="008127F8">
        <w:rPr>
          <w:rFonts w:ascii="Times New Roman" w:hAnsi="Times New Roman"/>
          <w:color w:val="000000" w:themeColor="text1"/>
          <w:sz w:val="16"/>
          <w:szCs w:val="16"/>
        </w:rPr>
        <w:t>Госбанк крайне неохотно продавал валюту</w:t>
      </w:r>
      <w:r w:rsidRPr="008127F8">
        <w:rPr>
          <w:rFonts w:ascii="Times New Roman" w:hAnsi="Times New Roman"/>
          <w:color w:val="000000" w:themeColor="text1"/>
          <w:sz w:val="16"/>
          <w:szCs w:val="16"/>
        </w:rPr>
        <w:fldChar w:fldCharType="end"/>
      </w:r>
      <w:r w:rsidRPr="008127F8">
        <w:rPr>
          <w:rFonts w:ascii="Times New Roman" w:hAnsi="Times New Roman"/>
          <w:color w:val="000000" w:themeColor="text1"/>
          <w:sz w:val="16"/>
          <w:szCs w:val="16"/>
        </w:rPr>
        <w:t xml:space="preserve">), существовали и так называемые "льготные". По ним Госбанк продавал валюту с еще меньшей охотой. Поэтому получить привилегию, допустим, продавать государству валюту по таком курсу, было очень не просто. В связи с этим в годы войны, когда между СССР и англо-саксонскими странами на почве совместной борьбы с гитлеризмом резко расширились контакты, произошло немало комичных случаев. </w:t>
      </w:r>
    </w:p>
    <w:p w14:paraId="43EB3EDA"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слову, у англичан были те же проблемы, но им - после долгих препирательств с Наркоматом иностранных дел СССР - удалось доказать, что моряки британских конвойных судов, заходящих в Мурманск, являются "государственными служащими". Поэтому им позволили менять ограниченное количество валюты по льготному курсу (11571).</w:t>
      </w:r>
    </w:p>
    <w:p w14:paraId="32D710BB"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p>
    <w:p w14:paraId="7FA9A0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29704BA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124A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английский летчик Ли предложил ставить снизу на Веллингтон мощный прожектор в 60-80 млн. свечей. Потом ставили на Каталинах, Либерейторах и Б-17 и с использованием РЛС выходили на заряжающиеся лодки, слепили орудийную прислугу и топили (1082,5).</w:t>
      </w:r>
    </w:p>
    <w:p w14:paraId="5CB7BF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4C0F1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после потери обоих опытных образцов ХР-63 военные предписали как можно быстрее довести до лётного состояния третий экземпляр, исходно предназначавшийся для статических испытаний. Эта машина с обозначением ХР-63А отличалась от двух предыдущих. На ней поставили мотор \/-1710-93 и усовершенствовали выхлопную систему. Теперь на каждом борту было по 12 патрубков (по одному на каждый выхлопной клапан) вместо шести (по одному на цилиндр). Конструкторы также изменили контуры воздухозаборника над фюзеляжем. Под крылом появились держатели для бомб или подвесных баков, ранее не предусматривавшиеся. Остекление в задней части пилотской кабины зашили металлическим листом и обеспечили электрическую подсветку. Это сделали, чтобы улучшить условия съёмки для установленной в кабине кинокамеры, которая фиксировала действия лётчика и показания приборов. Машина несла полный комплект стрелкового вооружения, включая два 12,7-мм пулемёта в подкрыльных гондолах. Взлётный вес возрос до 3478 кг. Этот экземпляр истребителя успешно прошёл программу испытаний, начатую 26 апреля 1943 г. Максимальная скорость, полученная на этой машине, равнялась 674 км/ч. Самолёт запустили в серию под обозначением Р-63, позднее дополнившимся именем «Кингкобра» (12265).</w:t>
      </w:r>
    </w:p>
    <w:p w14:paraId="50ECC81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D054942" w14:textId="77777777" w:rsidR="00804B2E" w:rsidRPr="008A2E5A" w:rsidRDefault="00804B2E" w:rsidP="00804B2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1941 г., когда ВВС армии США заказали фирме «Белл» новый истребитель, началась история «Кингкобры». От уже существовавшей «Аэрокобры» он должен был отличаться ламинарным крылом уве</w:t>
      </w:r>
      <w:r w:rsidRPr="008A2E5A">
        <w:rPr>
          <w:rFonts w:ascii="Times New Roman" w:hAnsi="Times New Roman"/>
          <w:color w:val="0070C0"/>
          <w:sz w:val="16"/>
          <w:szCs w:val="16"/>
        </w:rPr>
        <w:softHyphen/>
        <w:t>личенного размаха и вариантом мотора V-1710 с двухступенчатым нагнетателем (ранее ставили одноступенчатый). Вторая ступень позволяла увеличить наддув и улучшить высотные данные двигателя.</w:t>
      </w:r>
    </w:p>
    <w:p w14:paraId="5ED83840" w14:textId="77777777" w:rsidR="00804B2E" w:rsidRPr="008A2E5A" w:rsidRDefault="00804B2E" w:rsidP="00804B2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ответ на это под руководством Дж. Стриклера и Д. Фабриева был создан проект «модели 33», которому военные присвоили обозначение Р-63. Первый образец этого истребителя построили в конце ноября 1942 г., а 7 декабря он под</w:t>
      </w:r>
      <w:r w:rsidRPr="008A2E5A">
        <w:rPr>
          <w:rFonts w:ascii="Times New Roman" w:hAnsi="Times New Roman"/>
          <w:color w:val="0070C0"/>
          <w:sz w:val="16"/>
          <w:szCs w:val="16"/>
        </w:rPr>
        <w:softHyphen/>
        <w:t>нялся в небо. Пролетал он недолго, в ян</w:t>
      </w:r>
      <w:r w:rsidRPr="008A2E5A">
        <w:rPr>
          <w:rFonts w:ascii="Times New Roman" w:hAnsi="Times New Roman"/>
          <w:color w:val="0070C0"/>
          <w:sz w:val="16"/>
          <w:szCs w:val="16"/>
        </w:rPr>
        <w:softHyphen/>
        <w:t>варе 1943 г. машину разбили при посадке с невыпустившимся шасси. Менее краткой оказалась «жизнь» второго экземпляра. Он протянул почти три месяца, пока его двигатель не разрушился в воздухе; пилот спасся на парашюте.</w:t>
      </w:r>
    </w:p>
    <w:p w14:paraId="27F2CFD6" w14:textId="77777777" w:rsidR="00804B2E" w:rsidRPr="008A2E5A" w:rsidRDefault="00804B2E" w:rsidP="00804B2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Тогда спешно доработали третий само</w:t>
      </w:r>
      <w:r w:rsidRPr="008A2E5A">
        <w:rPr>
          <w:rFonts w:ascii="Times New Roman" w:hAnsi="Times New Roman"/>
          <w:color w:val="0070C0"/>
          <w:sz w:val="16"/>
          <w:szCs w:val="16"/>
        </w:rPr>
        <w:softHyphen/>
        <w:t>лет, исходно предназначавшийся для ста</w:t>
      </w:r>
      <w:r w:rsidRPr="008A2E5A">
        <w:rPr>
          <w:rFonts w:ascii="Times New Roman" w:hAnsi="Times New Roman"/>
          <w:color w:val="0070C0"/>
          <w:sz w:val="16"/>
          <w:szCs w:val="16"/>
        </w:rPr>
        <w:softHyphen/>
        <w:t>тических испытаний. Вот он-то и прошел успешно всю программу испытаний.</w:t>
      </w:r>
    </w:p>
    <w:p w14:paraId="291BFD64" w14:textId="77777777" w:rsidR="00804B2E" w:rsidRPr="008A2E5A" w:rsidRDefault="00804B2E" w:rsidP="00804B2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 был совсем другой истребитель, лишь сохра</w:t>
      </w:r>
      <w:r w:rsidRPr="008A2E5A">
        <w:rPr>
          <w:rFonts w:ascii="Times New Roman" w:hAnsi="Times New Roman"/>
          <w:color w:val="0070C0"/>
          <w:sz w:val="16"/>
          <w:szCs w:val="16"/>
        </w:rPr>
        <w:softHyphen/>
        <w:t>нивший общую компоновку предшествен</w:t>
      </w:r>
      <w:r w:rsidRPr="008A2E5A">
        <w:rPr>
          <w:rFonts w:ascii="Times New Roman" w:hAnsi="Times New Roman"/>
          <w:color w:val="0070C0"/>
          <w:sz w:val="16"/>
          <w:szCs w:val="16"/>
        </w:rPr>
        <w:softHyphen/>
        <w:t>ника с мотором в средней части фюзеляжа и винтом, приводимым во вращение через удлиненный вал. Он был больше по раз</w:t>
      </w:r>
      <w:r w:rsidRPr="008A2E5A">
        <w:rPr>
          <w:rFonts w:ascii="Times New Roman" w:hAnsi="Times New Roman"/>
          <w:color w:val="0070C0"/>
          <w:sz w:val="16"/>
          <w:szCs w:val="16"/>
        </w:rPr>
        <w:softHyphen/>
        <w:t>мерам, тяжелее, отличался по очертаниям, а самое главное — имел новое крыло лами</w:t>
      </w:r>
      <w:r w:rsidRPr="008A2E5A">
        <w:rPr>
          <w:rFonts w:ascii="Times New Roman" w:hAnsi="Times New Roman"/>
          <w:color w:val="0070C0"/>
          <w:sz w:val="16"/>
          <w:szCs w:val="16"/>
        </w:rPr>
        <w:softHyphen/>
        <w:t>нарного обтекания. Примененный в по</w:t>
      </w:r>
      <w:r w:rsidRPr="008A2E5A">
        <w:rPr>
          <w:rFonts w:ascii="Times New Roman" w:hAnsi="Times New Roman"/>
          <w:color w:val="0070C0"/>
          <w:sz w:val="16"/>
          <w:szCs w:val="16"/>
        </w:rPr>
        <w:softHyphen/>
        <w:t>следнем профиль с заостренным носком и смещенной назад максимальной высотой обещал значительное снижение аэродина</w:t>
      </w:r>
      <w:r w:rsidRPr="008A2E5A">
        <w:rPr>
          <w:rFonts w:ascii="Times New Roman" w:hAnsi="Times New Roman"/>
          <w:color w:val="0070C0"/>
          <w:sz w:val="16"/>
          <w:szCs w:val="16"/>
        </w:rPr>
        <w:softHyphen/>
        <w:t>мического сопротивления. Следовательно, машина могла развить большую скорость. Правда, при этом уменьшалась подъемная сила, что отрицательно сказывалось на взлетно-посадочных характеристиках.</w:t>
      </w:r>
    </w:p>
    <w:p w14:paraId="31D4A518" w14:textId="77777777" w:rsidR="00804B2E" w:rsidRPr="008A2E5A" w:rsidRDefault="00804B2E" w:rsidP="00804B2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Заказ на серию выдали еще тогда, когда ни один образец не был готов. В октябре 1943 г. на заводе в Буффало начали соби</w:t>
      </w:r>
      <w:r w:rsidRPr="008A2E5A">
        <w:rPr>
          <w:rFonts w:ascii="Times New Roman" w:hAnsi="Times New Roman"/>
          <w:color w:val="0070C0"/>
          <w:sz w:val="16"/>
          <w:szCs w:val="16"/>
        </w:rPr>
        <w:softHyphen/>
        <w:t>рать первые истребители Р-63А-1, а мас</w:t>
      </w:r>
      <w:r w:rsidRPr="008A2E5A">
        <w:rPr>
          <w:rFonts w:ascii="Times New Roman" w:hAnsi="Times New Roman"/>
          <w:color w:val="0070C0"/>
          <w:sz w:val="16"/>
          <w:szCs w:val="16"/>
        </w:rPr>
        <w:softHyphen/>
        <w:t>совое производство пошло с начала 1944 г. (23513).</w:t>
      </w:r>
    </w:p>
    <w:p w14:paraId="45CE534C" w14:textId="77777777" w:rsidR="00804B2E" w:rsidRPr="008A2E5A" w:rsidRDefault="00804B2E" w:rsidP="00804B2E">
      <w:pPr>
        <w:spacing w:after="0" w:line="240" w:lineRule="auto"/>
        <w:jc w:val="both"/>
        <w:rPr>
          <w:rFonts w:ascii="Times New Roman" w:hAnsi="Times New Roman"/>
          <w:color w:val="0070C0"/>
          <w:sz w:val="16"/>
          <w:szCs w:val="16"/>
        </w:rPr>
      </w:pPr>
    </w:p>
    <w:p w14:paraId="175E72B0" w14:textId="77777777" w:rsidR="00804B2E" w:rsidRPr="008A2E5A" w:rsidRDefault="00804B2E" w:rsidP="00804B2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1942 г. параллельно с изготовлением FW 190А-3 на сборочных линиях четырех заводов («Фокке-Вульф» в Мариенбурге, «Аго» в Ошерслебене, «Арадо» в Варнемюн- де и «Физилер» в Касселе) был налажен выпуск новейшего варианта истребителя FW 190А-4. Головной самолет серии с за</w:t>
      </w:r>
      <w:r w:rsidRPr="008A2E5A">
        <w:rPr>
          <w:rFonts w:ascii="Times New Roman" w:hAnsi="Times New Roman"/>
          <w:color w:val="0070C0"/>
          <w:sz w:val="16"/>
          <w:szCs w:val="16"/>
        </w:rPr>
        <w:softHyphen/>
        <w:t>водским номером 140561 (иначе обозна</w:t>
      </w:r>
      <w:r w:rsidRPr="008A2E5A">
        <w:rPr>
          <w:rFonts w:ascii="Times New Roman" w:hAnsi="Times New Roman"/>
          <w:color w:val="0070C0"/>
          <w:sz w:val="16"/>
          <w:szCs w:val="16"/>
        </w:rPr>
        <w:softHyphen/>
        <w:t>ченный FW 190V24) переделали из раннего FW 190А-1. В свое время он имел двигатель BMW 801С-1, затем сменил его на С-2, а с переделкой в прототип «четверки» получил мотор BMW 801D-2. Вооружение истреби</w:t>
      </w:r>
      <w:r w:rsidRPr="008A2E5A">
        <w:rPr>
          <w:rFonts w:ascii="Times New Roman" w:hAnsi="Times New Roman"/>
          <w:color w:val="0070C0"/>
          <w:sz w:val="16"/>
          <w:szCs w:val="16"/>
        </w:rPr>
        <w:softHyphen/>
        <w:t>теля соответствовало стандарту поздних А-3: два пулемета MG 17, две пушки MG 151 и еще одна пара MG/FF. Наиболее заметным внешним отличием типа А-4 от А-3 стало появление небольшой антенной мачты на киле вследствие замены коротко</w:t>
      </w:r>
      <w:r w:rsidRPr="008A2E5A">
        <w:rPr>
          <w:rFonts w:ascii="Times New Roman" w:hAnsi="Times New Roman"/>
          <w:color w:val="0070C0"/>
          <w:sz w:val="16"/>
          <w:szCs w:val="16"/>
        </w:rPr>
        <w:softHyphen/>
        <w:t>волновой рации FuG 7 ультракоротковол</w:t>
      </w:r>
      <w:r w:rsidRPr="008A2E5A">
        <w:rPr>
          <w:rFonts w:ascii="Times New Roman" w:hAnsi="Times New Roman"/>
          <w:color w:val="0070C0"/>
          <w:sz w:val="16"/>
          <w:szCs w:val="16"/>
        </w:rPr>
        <w:softHyphen/>
        <w:t>новой радиостанцией FuG 16Z. Кроме то</w:t>
      </w:r>
      <w:r w:rsidRPr="008A2E5A">
        <w:rPr>
          <w:rFonts w:ascii="Times New Roman" w:hAnsi="Times New Roman"/>
          <w:color w:val="0070C0"/>
          <w:sz w:val="16"/>
          <w:szCs w:val="16"/>
        </w:rPr>
        <w:softHyphen/>
        <w:t>го, истребитель серии А-4 оснащался само</w:t>
      </w:r>
      <w:r w:rsidRPr="008A2E5A">
        <w:rPr>
          <w:rFonts w:ascii="Times New Roman" w:hAnsi="Times New Roman"/>
          <w:color w:val="0070C0"/>
          <w:sz w:val="16"/>
          <w:szCs w:val="16"/>
        </w:rPr>
        <w:softHyphen/>
        <w:t>летным ответчиком FuG 25.</w:t>
      </w:r>
    </w:p>
    <w:p w14:paraId="1D6288E1" w14:textId="77777777" w:rsidR="00804B2E" w:rsidRPr="008A2E5A" w:rsidRDefault="00804B2E" w:rsidP="00804B2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некоторых самолетах серии А-4 и бо</w:t>
      </w:r>
      <w:r w:rsidRPr="008A2E5A">
        <w:rPr>
          <w:rFonts w:ascii="Times New Roman" w:hAnsi="Times New Roman"/>
          <w:color w:val="0070C0"/>
          <w:sz w:val="16"/>
          <w:szCs w:val="16"/>
        </w:rPr>
        <w:softHyphen/>
        <w:t>лее поздних практиковалась установка так называемой системы MW50 — устройства впрыска водометаноловой смеси в цилинд</w:t>
      </w:r>
      <w:r w:rsidRPr="008A2E5A">
        <w:rPr>
          <w:rFonts w:ascii="Times New Roman" w:hAnsi="Times New Roman"/>
          <w:color w:val="0070C0"/>
          <w:sz w:val="16"/>
          <w:szCs w:val="16"/>
        </w:rPr>
        <w:softHyphen/>
        <w:t>ры двигателя для кратковременного повы</w:t>
      </w:r>
      <w:r w:rsidRPr="008A2E5A">
        <w:rPr>
          <w:rFonts w:ascii="Times New Roman" w:hAnsi="Times New Roman"/>
          <w:color w:val="0070C0"/>
          <w:sz w:val="16"/>
          <w:szCs w:val="16"/>
        </w:rPr>
        <w:softHyphen/>
        <w:t>шения его мощности. Смесь, состоявшая из воды и метанола в равных пропорциях, обла</w:t>
      </w:r>
      <w:r w:rsidRPr="008A2E5A">
        <w:rPr>
          <w:rFonts w:ascii="Times New Roman" w:hAnsi="Times New Roman"/>
          <w:color w:val="0070C0"/>
          <w:sz w:val="16"/>
          <w:szCs w:val="16"/>
        </w:rPr>
        <w:softHyphen/>
        <w:t>дала антидетонационными свойствами, поз</w:t>
      </w:r>
      <w:r w:rsidRPr="008A2E5A">
        <w:rPr>
          <w:rFonts w:ascii="Times New Roman" w:hAnsi="Times New Roman"/>
          <w:color w:val="0070C0"/>
          <w:sz w:val="16"/>
          <w:szCs w:val="16"/>
        </w:rPr>
        <w:softHyphen/>
        <w:t>воляя на определенное время увеличивать коэффициент сжатия в цилиндрах. Оборот</w:t>
      </w:r>
      <w:r w:rsidRPr="008A2E5A">
        <w:rPr>
          <w:rFonts w:ascii="Times New Roman" w:hAnsi="Times New Roman"/>
          <w:color w:val="0070C0"/>
          <w:sz w:val="16"/>
          <w:szCs w:val="16"/>
        </w:rPr>
        <w:softHyphen/>
        <w:t>ной стороной ее применения оказался быст</w:t>
      </w:r>
      <w:r w:rsidRPr="008A2E5A">
        <w:rPr>
          <w:rFonts w:ascii="Times New Roman" w:hAnsi="Times New Roman"/>
          <w:color w:val="0070C0"/>
          <w:sz w:val="16"/>
          <w:szCs w:val="16"/>
        </w:rPr>
        <w:softHyphen/>
        <w:t>рый выход из строя свечей зажигания, по</w:t>
      </w:r>
      <w:r w:rsidRPr="008A2E5A">
        <w:rPr>
          <w:rFonts w:ascii="Times New Roman" w:hAnsi="Times New Roman"/>
          <w:color w:val="0070C0"/>
          <w:sz w:val="16"/>
          <w:szCs w:val="16"/>
        </w:rPr>
        <w:softHyphen/>
        <w:t>этому постоянно «гонять» двигатель с ис</w:t>
      </w:r>
      <w:r w:rsidRPr="008A2E5A">
        <w:rPr>
          <w:rFonts w:ascii="Times New Roman" w:hAnsi="Times New Roman"/>
          <w:color w:val="0070C0"/>
          <w:sz w:val="16"/>
          <w:szCs w:val="16"/>
        </w:rPr>
        <w:softHyphen/>
        <w:t>пользованием MW50 не рекомендовалось.</w:t>
      </w:r>
    </w:p>
    <w:p w14:paraId="6829E964" w14:textId="77777777" w:rsidR="00804B2E" w:rsidRPr="008A2E5A" w:rsidRDefault="00804B2E" w:rsidP="00804B2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Заводские доработочные комплекты для серии А-4 предусматривали следующие ва</w:t>
      </w:r>
      <w:r w:rsidRPr="008A2E5A">
        <w:rPr>
          <w:rFonts w:ascii="Times New Roman" w:hAnsi="Times New Roman"/>
          <w:color w:val="0070C0"/>
          <w:sz w:val="16"/>
          <w:szCs w:val="16"/>
        </w:rPr>
        <w:softHyphen/>
        <w:t>рианты:</w:t>
      </w:r>
    </w:p>
    <w:p w14:paraId="2AEB9060" w14:textId="77777777" w:rsidR="00804B2E" w:rsidRPr="008A2E5A" w:rsidRDefault="00804B2E" w:rsidP="00804B2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A-4/U1 — истребитель-бомбардировщик с двумя подкрыльевыми бомбодержателями ЕТС 501 (с возможностью подвески двух бомб SC 250). фюзеляжными пулеметами MG 17 и двумя пушками MG 151 в корневой части крыла с боекомплектом, увеличенным с 200 до 280 снарядов на каждую. В ряде слу</w:t>
      </w:r>
      <w:r w:rsidRPr="008A2E5A">
        <w:rPr>
          <w:rFonts w:ascii="Times New Roman" w:hAnsi="Times New Roman"/>
          <w:color w:val="0070C0"/>
          <w:sz w:val="16"/>
          <w:szCs w:val="16"/>
        </w:rPr>
        <w:softHyphen/>
        <w:t>чаев для уменьшения полетной массы пуле</w:t>
      </w:r>
      <w:r w:rsidRPr="008A2E5A">
        <w:rPr>
          <w:rFonts w:ascii="Times New Roman" w:hAnsi="Times New Roman"/>
          <w:color w:val="0070C0"/>
          <w:sz w:val="16"/>
          <w:szCs w:val="16"/>
        </w:rPr>
        <w:softHyphen/>
        <w:t>меты снимались;</w:t>
      </w:r>
    </w:p>
    <w:p w14:paraId="2A0E6DB2" w14:textId="77777777" w:rsidR="00804B2E" w:rsidRPr="008A2E5A" w:rsidRDefault="00804B2E" w:rsidP="00804B2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A-4/U3 — штурмовик с усиленным брони</w:t>
      </w:r>
      <w:r w:rsidRPr="008A2E5A">
        <w:rPr>
          <w:rFonts w:ascii="Times New Roman" w:hAnsi="Times New Roman"/>
          <w:color w:val="0070C0"/>
          <w:sz w:val="16"/>
          <w:szCs w:val="16"/>
        </w:rPr>
        <w:softHyphen/>
        <w:t>рованием снизу. Единственный бомбодержа</w:t>
      </w:r>
      <w:r w:rsidRPr="008A2E5A">
        <w:rPr>
          <w:rFonts w:ascii="Times New Roman" w:hAnsi="Times New Roman"/>
          <w:color w:val="0070C0"/>
          <w:sz w:val="16"/>
          <w:szCs w:val="16"/>
        </w:rPr>
        <w:softHyphen/>
        <w:t>тель ЕТС 501 монтировался под фюзеляжем. Для транспортировки четырех бомб SC 50 (или SC 70) на держатель ЕТС 501 подвеши</w:t>
      </w:r>
      <w:r w:rsidRPr="008A2E5A">
        <w:rPr>
          <w:rFonts w:ascii="Times New Roman" w:hAnsi="Times New Roman"/>
          <w:color w:val="0070C0"/>
          <w:sz w:val="16"/>
          <w:szCs w:val="16"/>
        </w:rPr>
        <w:softHyphen/>
        <w:t>валась переходная балка ER 4. Как и на ма</w:t>
      </w:r>
      <w:r w:rsidRPr="008A2E5A">
        <w:rPr>
          <w:rFonts w:ascii="Times New Roman" w:hAnsi="Times New Roman"/>
          <w:color w:val="0070C0"/>
          <w:sz w:val="16"/>
          <w:szCs w:val="16"/>
        </w:rPr>
        <w:softHyphen/>
        <w:t>шинах A-4/UI, на многих A-4/U3 внешние крыльевые пушки MG/FF не устанавлива</w:t>
      </w:r>
      <w:r w:rsidRPr="008A2E5A">
        <w:rPr>
          <w:rFonts w:ascii="Times New Roman" w:hAnsi="Times New Roman"/>
          <w:color w:val="0070C0"/>
          <w:sz w:val="16"/>
          <w:szCs w:val="16"/>
        </w:rPr>
        <w:softHyphen/>
        <w:t>лись. Уцелевшие в боях самолеты позднее, в апреле 1943 г, стали именоваться FW I90F-1. Часть машин, применявшихся в Северной Африке, оснащалась наружными пылефильт- рами на воздухозаборниках нагнетателя;</w:t>
      </w:r>
    </w:p>
    <w:p w14:paraId="06930FB2" w14:textId="77777777" w:rsidR="00804B2E" w:rsidRPr="008A2E5A" w:rsidRDefault="00804B2E" w:rsidP="00804B2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A-4/U4 — фоторазведчик, подобный А-3/ U4 Внешне отличался установкой обтекате</w:t>
      </w:r>
      <w:r w:rsidRPr="008A2E5A">
        <w:rPr>
          <w:rFonts w:ascii="Times New Roman" w:hAnsi="Times New Roman"/>
          <w:color w:val="0070C0"/>
          <w:sz w:val="16"/>
          <w:szCs w:val="16"/>
        </w:rPr>
        <w:softHyphen/>
        <w:t>ля объективов фотоаппаратов в нижней час</w:t>
      </w:r>
      <w:r w:rsidRPr="008A2E5A">
        <w:rPr>
          <w:rFonts w:ascii="Times New Roman" w:hAnsi="Times New Roman"/>
          <w:color w:val="0070C0"/>
          <w:sz w:val="16"/>
          <w:szCs w:val="16"/>
        </w:rPr>
        <w:softHyphen/>
        <w:t>ти фюзеляжа позади кабины пилота. Пост</w:t>
      </w:r>
      <w:r w:rsidRPr="008A2E5A">
        <w:rPr>
          <w:rFonts w:ascii="Times New Roman" w:hAnsi="Times New Roman"/>
          <w:color w:val="0070C0"/>
          <w:sz w:val="16"/>
          <w:szCs w:val="16"/>
        </w:rPr>
        <w:softHyphen/>
        <w:t>роена небольшая партия машин главным образом для разведывательных подразделе</w:t>
      </w:r>
      <w:r w:rsidRPr="008A2E5A">
        <w:rPr>
          <w:rFonts w:ascii="Times New Roman" w:hAnsi="Times New Roman"/>
          <w:color w:val="0070C0"/>
          <w:sz w:val="16"/>
          <w:szCs w:val="16"/>
        </w:rPr>
        <w:softHyphen/>
        <w:t>ний и частей 5( F)/l23 и NaGr 13;</w:t>
      </w:r>
    </w:p>
    <w:p w14:paraId="52CDE4D2" w14:textId="77777777" w:rsidR="00804B2E" w:rsidRPr="008A2E5A" w:rsidRDefault="00804B2E" w:rsidP="00804B2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A-4/U8 — дальний истребитель-бомбар</w:t>
      </w:r>
      <w:r w:rsidRPr="008A2E5A">
        <w:rPr>
          <w:rFonts w:ascii="Times New Roman" w:hAnsi="Times New Roman"/>
          <w:color w:val="0070C0"/>
          <w:sz w:val="16"/>
          <w:szCs w:val="16"/>
        </w:rPr>
        <w:softHyphen/>
        <w:t>дировщик (Jabo-Rei). Помимо подфюзеляж</w:t>
      </w:r>
      <w:r w:rsidRPr="008A2E5A">
        <w:rPr>
          <w:rFonts w:ascii="Times New Roman" w:hAnsi="Times New Roman"/>
          <w:color w:val="0070C0"/>
          <w:sz w:val="16"/>
          <w:szCs w:val="16"/>
        </w:rPr>
        <w:softHyphen/>
        <w:t>ного бомбодержателя ЕТС 501 такие маши</w:t>
      </w:r>
      <w:r w:rsidRPr="008A2E5A">
        <w:rPr>
          <w:rFonts w:ascii="Times New Roman" w:hAnsi="Times New Roman"/>
          <w:color w:val="0070C0"/>
          <w:sz w:val="16"/>
          <w:szCs w:val="16"/>
        </w:rPr>
        <w:softHyphen/>
        <w:t>ны оснащались двумя подкрыльевыми дер</w:t>
      </w:r>
      <w:r w:rsidRPr="008A2E5A">
        <w:rPr>
          <w:rFonts w:ascii="Times New Roman" w:hAnsi="Times New Roman"/>
          <w:color w:val="0070C0"/>
          <w:sz w:val="16"/>
          <w:szCs w:val="16"/>
        </w:rPr>
        <w:softHyphen/>
        <w:t>жателями фирмы «Юнкере» для подвесных баков. В посадочных щитках самолетов этой модификации делались специальные оваль</w:t>
      </w:r>
      <w:r w:rsidRPr="008A2E5A">
        <w:rPr>
          <w:rFonts w:ascii="Times New Roman" w:hAnsi="Times New Roman"/>
          <w:color w:val="0070C0"/>
          <w:sz w:val="16"/>
          <w:szCs w:val="16"/>
        </w:rPr>
        <w:softHyphen/>
        <w:t>ные вырезы для исключения контакта с ба</w:t>
      </w:r>
      <w:r w:rsidRPr="008A2E5A">
        <w:rPr>
          <w:rFonts w:ascii="Times New Roman" w:hAnsi="Times New Roman"/>
          <w:color w:val="0070C0"/>
          <w:sz w:val="16"/>
          <w:szCs w:val="16"/>
        </w:rPr>
        <w:softHyphen/>
        <w:t>ками. Артиллерийское вооружение при</w:t>
      </w:r>
      <w:r w:rsidRPr="008A2E5A">
        <w:rPr>
          <w:rFonts w:ascii="Times New Roman" w:hAnsi="Times New Roman"/>
          <w:color w:val="0070C0"/>
          <w:sz w:val="16"/>
          <w:szCs w:val="16"/>
        </w:rPr>
        <w:softHyphen/>
        <w:t>шлось уменьшить до двух пушек MG 151 в корневой части крыла. На одном из самоле</w:t>
      </w:r>
      <w:r w:rsidRPr="008A2E5A">
        <w:rPr>
          <w:rFonts w:ascii="Times New Roman" w:hAnsi="Times New Roman"/>
          <w:color w:val="0070C0"/>
          <w:sz w:val="16"/>
          <w:szCs w:val="16"/>
        </w:rPr>
        <w:softHyphen/>
        <w:t>тов отрабатывалась подвеска бомбы SD 1000. Были построены два самолета-прототипа мо</w:t>
      </w:r>
      <w:r w:rsidRPr="008A2E5A">
        <w:rPr>
          <w:rFonts w:ascii="Times New Roman" w:hAnsi="Times New Roman"/>
          <w:color w:val="0070C0"/>
          <w:sz w:val="16"/>
          <w:szCs w:val="16"/>
        </w:rPr>
        <w:softHyphen/>
        <w:t>дификации A-4/U8 и не менее 100 серийных машин: иногда их обозначали FW 190G-I.</w:t>
      </w:r>
    </w:p>
    <w:p w14:paraId="3FD03F3B" w14:textId="77777777" w:rsidR="00804B2E" w:rsidRPr="008A2E5A" w:rsidRDefault="00804B2E" w:rsidP="00804B2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самолетах модификации А-4 впервые применительно к FW 190 появились так на</w:t>
      </w:r>
      <w:r w:rsidRPr="008A2E5A">
        <w:rPr>
          <w:rFonts w:ascii="Times New Roman" w:hAnsi="Times New Roman"/>
          <w:color w:val="0070C0"/>
          <w:sz w:val="16"/>
          <w:szCs w:val="16"/>
        </w:rPr>
        <w:softHyphen/>
        <w:t>зываемые полевые (войсковые) доработоч- ные комплекты (Rustsatze). Соответствую</w:t>
      </w:r>
      <w:r w:rsidRPr="008A2E5A">
        <w:rPr>
          <w:rFonts w:ascii="Times New Roman" w:hAnsi="Times New Roman"/>
          <w:color w:val="0070C0"/>
          <w:sz w:val="16"/>
          <w:szCs w:val="16"/>
        </w:rPr>
        <w:softHyphen/>
        <w:t>щее оборудование R-комплекта монтирова</w:t>
      </w:r>
      <w:r w:rsidRPr="008A2E5A">
        <w:rPr>
          <w:rFonts w:ascii="Times New Roman" w:hAnsi="Times New Roman"/>
          <w:color w:val="0070C0"/>
          <w:sz w:val="16"/>
          <w:szCs w:val="16"/>
        </w:rPr>
        <w:softHyphen/>
        <w:t>лось на самолеты силами технического пер</w:t>
      </w:r>
      <w:r w:rsidRPr="008A2E5A">
        <w:rPr>
          <w:rFonts w:ascii="Times New Roman" w:hAnsi="Times New Roman"/>
          <w:color w:val="0070C0"/>
          <w:sz w:val="16"/>
          <w:szCs w:val="16"/>
        </w:rPr>
        <w:softHyphen/>
        <w:t>сонала авиационных частей:</w:t>
      </w:r>
    </w:p>
    <w:p w14:paraId="33168656" w14:textId="77777777" w:rsidR="00804B2E" w:rsidRPr="008A2E5A" w:rsidRDefault="00804B2E" w:rsidP="00804B2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A-4/R1 — обычный A-4/LI1, оснащен</w:t>
      </w:r>
      <w:r w:rsidRPr="008A2E5A">
        <w:rPr>
          <w:rFonts w:ascii="Times New Roman" w:hAnsi="Times New Roman"/>
          <w:color w:val="0070C0"/>
          <w:sz w:val="16"/>
          <w:szCs w:val="16"/>
        </w:rPr>
        <w:softHyphen/>
        <w:t>ный специальным вариантом радиостанции FuG 16Z-E с подфюзеляжной антенной в форме кольца. Такие самолеты предназна</w:t>
      </w:r>
      <w:r w:rsidRPr="008A2E5A">
        <w:rPr>
          <w:rFonts w:ascii="Times New Roman" w:hAnsi="Times New Roman"/>
          <w:color w:val="0070C0"/>
          <w:sz w:val="16"/>
          <w:szCs w:val="16"/>
        </w:rPr>
        <w:softHyphen/>
        <w:t>чались только для командиров подраз</w:t>
      </w:r>
      <w:r w:rsidRPr="008A2E5A">
        <w:rPr>
          <w:rFonts w:ascii="Times New Roman" w:hAnsi="Times New Roman"/>
          <w:color w:val="0070C0"/>
          <w:sz w:val="16"/>
          <w:szCs w:val="16"/>
        </w:rPr>
        <w:softHyphen/>
        <w:t>делений (например, в SKG 10). Ответчик FuG 16Z-E позволял оператору наземной пеленгаторной станции «Вотан» III опреде</w:t>
      </w:r>
      <w:r w:rsidRPr="008A2E5A">
        <w:rPr>
          <w:rFonts w:ascii="Times New Roman" w:hAnsi="Times New Roman"/>
          <w:color w:val="0070C0"/>
          <w:sz w:val="16"/>
          <w:szCs w:val="16"/>
        </w:rPr>
        <w:softHyphen/>
        <w:t>лять не только азимут группы самолетов, но и дальность до нее. Таким образом, зна</w:t>
      </w:r>
      <w:r w:rsidRPr="008A2E5A">
        <w:rPr>
          <w:rFonts w:ascii="Times New Roman" w:hAnsi="Times New Roman"/>
          <w:color w:val="0070C0"/>
          <w:sz w:val="16"/>
          <w:szCs w:val="16"/>
        </w:rPr>
        <w:softHyphen/>
        <w:t>чительно упрощались полеты в сложных ме</w:t>
      </w:r>
      <w:r w:rsidRPr="008A2E5A">
        <w:rPr>
          <w:rFonts w:ascii="Times New Roman" w:hAnsi="Times New Roman"/>
          <w:color w:val="0070C0"/>
          <w:sz w:val="16"/>
          <w:szCs w:val="16"/>
        </w:rPr>
        <w:softHyphen/>
        <w:t>теоусловиях — земля могла подсказать ко</w:t>
      </w:r>
      <w:r w:rsidRPr="008A2E5A">
        <w:rPr>
          <w:rFonts w:ascii="Times New Roman" w:hAnsi="Times New Roman"/>
          <w:color w:val="0070C0"/>
          <w:sz w:val="16"/>
          <w:szCs w:val="16"/>
        </w:rPr>
        <w:softHyphen/>
        <w:t>мандиру группы его местоположение;</w:t>
      </w:r>
    </w:p>
    <w:p w14:paraId="022C6B29" w14:textId="77777777" w:rsidR="00804B2E" w:rsidRPr="008A2E5A" w:rsidRDefault="00804B2E" w:rsidP="00804B2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A-4/R6 — вариант истребителя, воору</w:t>
      </w:r>
      <w:r w:rsidRPr="008A2E5A">
        <w:rPr>
          <w:rFonts w:ascii="Times New Roman" w:hAnsi="Times New Roman"/>
          <w:color w:val="0070C0"/>
          <w:sz w:val="16"/>
          <w:szCs w:val="16"/>
        </w:rPr>
        <w:softHyphen/>
        <w:t>женный двумя неуправляемыми реактивны</w:t>
      </w:r>
      <w:r w:rsidRPr="008A2E5A">
        <w:rPr>
          <w:rFonts w:ascii="Times New Roman" w:hAnsi="Times New Roman"/>
          <w:color w:val="0070C0"/>
          <w:sz w:val="16"/>
          <w:szCs w:val="16"/>
        </w:rPr>
        <w:softHyphen/>
        <w:t>ми снарядами Wfr.Gr.21. Подобные машины назывались в Люфтваффе «разрушителями строя»: расчет делался не столько на прямое попадание, сколько на то, что взрыв мощ</w:t>
      </w:r>
      <w:r w:rsidRPr="008A2E5A">
        <w:rPr>
          <w:rFonts w:ascii="Times New Roman" w:hAnsi="Times New Roman"/>
          <w:color w:val="0070C0"/>
          <w:sz w:val="16"/>
          <w:szCs w:val="16"/>
        </w:rPr>
        <w:softHyphen/>
        <w:t>ной боевой части снаряда заставит бомбар</w:t>
      </w:r>
      <w:r w:rsidRPr="008A2E5A">
        <w:rPr>
          <w:rFonts w:ascii="Times New Roman" w:hAnsi="Times New Roman"/>
          <w:color w:val="0070C0"/>
          <w:sz w:val="16"/>
          <w:szCs w:val="16"/>
        </w:rPr>
        <w:softHyphen/>
        <w:t>дировщиков группы изменить курс, расст</w:t>
      </w:r>
      <w:r w:rsidRPr="008A2E5A">
        <w:rPr>
          <w:rFonts w:ascii="Times New Roman" w:hAnsi="Times New Roman"/>
          <w:color w:val="0070C0"/>
          <w:sz w:val="16"/>
          <w:szCs w:val="16"/>
        </w:rPr>
        <w:softHyphen/>
        <w:t>роить боевой порядок и т.п. Далее в дело должны были вступать самолеты-перехват</w:t>
      </w:r>
      <w:r w:rsidRPr="008A2E5A">
        <w:rPr>
          <w:rFonts w:ascii="Times New Roman" w:hAnsi="Times New Roman"/>
          <w:color w:val="0070C0"/>
          <w:sz w:val="16"/>
          <w:szCs w:val="16"/>
        </w:rPr>
        <w:softHyphen/>
        <w:t>чики с пушками (24190).</w:t>
      </w:r>
    </w:p>
    <w:p w14:paraId="7D17B62B" w14:textId="77777777" w:rsidR="00804B2E" w:rsidRPr="008A2E5A" w:rsidRDefault="00804B2E" w:rsidP="00804B2E">
      <w:pPr>
        <w:spacing w:after="0" w:line="240" w:lineRule="auto"/>
        <w:jc w:val="both"/>
        <w:rPr>
          <w:rFonts w:ascii="Times New Roman" w:hAnsi="Times New Roman"/>
          <w:color w:val="0070C0"/>
          <w:sz w:val="16"/>
          <w:szCs w:val="16"/>
        </w:rPr>
      </w:pPr>
    </w:p>
    <w:p w14:paraId="11B48B42" w14:textId="77777777" w:rsidR="00804B2E" w:rsidRPr="008A2E5A" w:rsidRDefault="00804B2E" w:rsidP="00804B2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июне 1942 г. Парсонс в GAL (JPL) Калтеха в Пасадене стал разрабатывать оптимальный рецепт твёрдого топлива, поскольку военные требовали ускорители, способные давать значительную тягу без угрозы взрыва. Твёрдое топливо, например GALCIT-27, лучше выдерживало хранение, чем жидкое, но уступало ему в тяге, и его нельзя было «отключить» до полного выгорания. И тогда ему пришла мысль применить в качестве связующего вещества жидкий асфальт с перхлоратом калия в качестве окислителя. На эту мысль его навел состав древнего «греческого огня». Новое топливо GALCIT-53 оказалось значительно более устойчивым, чем GALCIT-27 и оно обеспечило увеличение тяги в 4,2 раза! Так появилось топливо, которое, по словам Джона Картера, «изменило будущее ракетных технологий»: </w:t>
      </w:r>
      <w:r w:rsidRPr="008A2E5A">
        <w:rPr>
          <w:rFonts w:ascii="Times New Roman" w:hAnsi="Times New Roman"/>
          <w:color w:val="0070C0"/>
          <w:sz w:val="16"/>
          <w:szCs w:val="16"/>
        </w:rPr>
        <w:lastRenderedPageBreak/>
        <w:t>термопластный асфальт надёжен в  любых климатических условиях, годится для массового производства, имеет неограниченный срок хранения. Его можно использовать в составе твёрдого топлива для любого ракетного двигателя. Формулы пластифицированных разновидностей твердого топлива Парсонса позже разработал сотрудник «Aerojet» Чарльз Бартли (Charles E. Bartley; 1921–1996). NASA использовало их в боковых ускорителях «челноков», а  Стратегическое командование ВВС в МБР «Поларис»», «Посейдон и «Минитмен» (23372).</w:t>
      </w:r>
    </w:p>
    <w:p w14:paraId="564F224A" w14:textId="77777777" w:rsidR="00804B2E" w:rsidRPr="008A2E5A" w:rsidRDefault="00804B2E" w:rsidP="00804B2E">
      <w:pPr>
        <w:spacing w:after="0" w:line="240" w:lineRule="auto"/>
        <w:jc w:val="both"/>
        <w:rPr>
          <w:rFonts w:ascii="Times New Roman" w:hAnsi="Times New Roman"/>
          <w:color w:val="0070C0"/>
          <w:sz w:val="16"/>
          <w:szCs w:val="16"/>
        </w:rPr>
      </w:pPr>
    </w:p>
    <w:p w14:paraId="34E35D61" w14:textId="77777777" w:rsidR="00804B2E" w:rsidRPr="008A2E5A" w:rsidRDefault="00804B2E" w:rsidP="00804B2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1942 года Hc-280V-2 осна</w:t>
      </w:r>
      <w:r w:rsidRPr="008A2E5A">
        <w:rPr>
          <w:rFonts w:ascii="Times New Roman" w:hAnsi="Times New Roman"/>
          <w:color w:val="0070C0"/>
          <w:sz w:val="16"/>
          <w:szCs w:val="16"/>
        </w:rPr>
        <w:softHyphen/>
        <w:t>стили ТРД Jumo-004 тягой по 840 кгс каж</w:t>
      </w:r>
      <w:r w:rsidRPr="008A2E5A">
        <w:rPr>
          <w:rFonts w:ascii="Times New Roman" w:hAnsi="Times New Roman"/>
          <w:color w:val="0070C0"/>
          <w:sz w:val="16"/>
          <w:szCs w:val="16"/>
        </w:rPr>
        <w:softHyphen/>
        <w:t>дый и тремя пушками MG-151. С этими двигателями он показал скорость 790 км/ч. В следующем месяце взлетел IIc-280V-3 с двигателями HeS-8A. Оставалось решить, какой из вариантов лучше, и выходить в Министерство авиации (RLM) с предложе</w:t>
      </w:r>
      <w:r w:rsidRPr="008A2E5A">
        <w:rPr>
          <w:rFonts w:ascii="Times New Roman" w:hAnsi="Times New Roman"/>
          <w:color w:val="0070C0"/>
          <w:sz w:val="16"/>
          <w:szCs w:val="16"/>
        </w:rPr>
        <w:softHyphen/>
        <w:t>нием о подготовке серийного производства истребителя.</w:t>
      </w:r>
    </w:p>
    <w:p w14:paraId="11822CAE" w14:textId="77777777" w:rsidR="00804B2E" w:rsidRPr="008A2E5A" w:rsidRDefault="00804B2E" w:rsidP="00804B2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начала RLM решило провести срав</w:t>
      </w:r>
      <w:r w:rsidRPr="008A2E5A">
        <w:rPr>
          <w:rFonts w:ascii="Times New Roman" w:hAnsi="Times New Roman"/>
          <w:color w:val="0070C0"/>
          <w:sz w:val="16"/>
          <w:szCs w:val="16"/>
        </w:rPr>
        <w:softHyphen/>
        <w:t>нительные испытания самолета с двигате</w:t>
      </w:r>
      <w:r w:rsidRPr="008A2E5A">
        <w:rPr>
          <w:rFonts w:ascii="Times New Roman" w:hAnsi="Times New Roman"/>
          <w:color w:val="0070C0"/>
          <w:sz w:val="16"/>
          <w:szCs w:val="16"/>
        </w:rPr>
        <w:softHyphen/>
        <w:t>лями Jumo-004, BMW-003 и HeS-8A, за</w:t>
      </w:r>
      <w:r w:rsidRPr="008A2E5A">
        <w:rPr>
          <w:rFonts w:ascii="Times New Roman" w:hAnsi="Times New Roman"/>
          <w:color w:val="0070C0"/>
          <w:sz w:val="16"/>
          <w:szCs w:val="16"/>
        </w:rPr>
        <w:softHyphen/>
        <w:t>казав компании «Хейнкель» 24 самолета. Но этот заказ вскоре был пересмотрен и 18 ноября отменен (23462).</w:t>
      </w:r>
    </w:p>
    <w:p w14:paraId="49F8CBE7" w14:textId="77777777" w:rsidR="00804B2E" w:rsidRPr="008A2E5A" w:rsidRDefault="00804B2E" w:rsidP="00804B2E">
      <w:pPr>
        <w:spacing w:after="0" w:line="240" w:lineRule="auto"/>
        <w:jc w:val="both"/>
        <w:rPr>
          <w:rFonts w:ascii="Times New Roman" w:hAnsi="Times New Roman"/>
          <w:color w:val="0070C0"/>
          <w:sz w:val="16"/>
          <w:szCs w:val="16"/>
        </w:rPr>
      </w:pPr>
    </w:p>
    <w:p w14:paraId="26C409AC" w14:textId="77777777" w:rsidR="007C5583" w:rsidRPr="008127F8" w:rsidRDefault="007C5583" w:rsidP="007C5583">
      <w:pPr>
        <w:pStyle w:val="article-renderblock"/>
        <w:shd w:val="clear" w:color="auto" w:fill="FFFFFF"/>
        <w:spacing w:before="0" w:beforeAutospacing="0" w:after="0" w:afterAutospacing="0"/>
        <w:jc w:val="both"/>
        <w:rPr>
          <w:color w:val="000000" w:themeColor="text1"/>
          <w:sz w:val="16"/>
          <w:szCs w:val="16"/>
        </w:rPr>
      </w:pPr>
      <w:r w:rsidRPr="008127F8">
        <w:rPr>
          <w:color w:val="000000" w:themeColor="text1"/>
          <w:sz w:val="16"/>
          <w:szCs w:val="16"/>
        </w:rPr>
        <w:t>В июне 1942 г. на Не 280V-2 установили два Jumo 004A тягой по 840 кгс каждый, с которыми он показал скорость 790 км/ч, после чего на него примерили BMW 003. В июле Шефер поднял в воздух Не 280V-3 с двигателями HeS 8A. Всего на опытных реактивных истребителях Хейнкеля прошли испытания четыре типа двигателей, в том числе пульсирующие фирмы Argus. Трудности в доводке ТРД сводили на нет все преимущества перед конкурентами, и все же Хейнкель опережал Мессершмитта, также работавшего над реактивным истребителем (22774).</w:t>
      </w:r>
    </w:p>
    <w:p w14:paraId="49B3C8A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124845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Июнь 1942 Командование бомбардировщиков Королевских ВВС совершило 20 крупных налетов на Германию в июне и июле, потеряв 307 бомбардировщиков (4,9 процента атакующих сил), а также еще 63 бомбардировщика, потерянных в ходе менее значительных налетов. Начиная с июня, ежемесячные потери бомбардировочного командования стабильно колеблются в районе 5 процентов, что, по мнению британцев, является максимально устойчивым уровнем потерь (20793).</w:t>
      </w:r>
    </w:p>
    <w:p w14:paraId="40F675E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A16909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разыгралось сражение у атолла Мидуэй, один из ключевых моментов всей войны на Тихом океане. Организовать базирование «летающих крепостей» не удалось, и их заменили PBY-5А эскадрильи VP-91, которые бомбардировали японские корабли и войска 227- и 454-кг бомбами (22816).</w:t>
      </w:r>
    </w:p>
    <w:p w14:paraId="5EB4B622"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5BC1DAD"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hAnsi="Times New Roman"/>
          <w:color w:val="000000" w:themeColor="text1"/>
          <w:sz w:val="16"/>
          <w:szCs w:val="16"/>
        </w:rPr>
        <w:t>В июне 1942 года США была сформирована 9-я Воздушная Армия с задачей воздушной поддержки английской 8-й общевойсковой армии генерала Монтгомери (22838).</w:t>
      </w:r>
    </w:p>
    <w:p w14:paraId="2CCB6232"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182E4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 Черчилль снова посетил Вашингтон. Он обсудил с Рузвельтом атомный проект, предпринимаемый совместными усилиями США и Великобритании. Рузвельт согласился сосредоточить материальную базу проекта на территории Соединенных Штатов. Сталин об атомном проекте информирован не был. Было решено осуществлять наступательную британо-американскую стратегию в 1942 г. Союзники склонялись к операции во французской Северной Африке (3871).</w:t>
      </w:r>
    </w:p>
    <w:p w14:paraId="658B39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18AC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начали работать газовые камеры в Освенциме (1797).</w:t>
      </w:r>
    </w:p>
    <w:p w14:paraId="328FF98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6488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1942-го предприятия - "Аэро" и "ЧКД-Прага" в Праге и "Вальтер" в Янонице начали производство Зибелей. За годы оккупации чехи выпустили 1007 "Зибелей". Эти машины были широко распространены во многих летных школах "Рейха". Их использовали и на фронте как легкие транспортные и штабные. Для дальних полетов в фюзеляже устанавливали дополнительные бензобаки, поставлявшиеся заводом как комплекты для переделки в полевых условиях. "Зибели" заслужили отличную репутацию как прочные, надежные и неприхотливые машины. Часть этих самолетов подверглась различным переделкам. Их оснащали устройствами для буксировки планеров, различной аппаратурой для использования в качестве летающих лабораторий. Когда на немецких ночных истребителях появились радиолокационные станции, возникла необходимость готовить радиооператоров. Для этого приспособили Si 204D, в носовой части которых монтировали антенны. На "Зибелях" ставили РЛС FuG218V2RnFuG217R. Один из основных недостатков Si 204D - отсутствие вооружения, что не позволяло выполнять многие упражнения программы учебно-боевой подготовки. Старый FW 58 имел как стрелковое, так и бомбовое вооружение. Поэтому конструкторы в Галле разработали проекты установки бомбодержателей, пулеметных турелей и прочего необходимого оборудования. Но серийно подобные учебные машины не строились, хотя в некоторых летных школах проводили подобное переоборудование "Зибелей" самостоятельно. Зато появилась модификация Si 204E - боевой "Зибель". Под носовой частью фюзеляжа смонтировали два неподвижных 13-мм пулемета MG 131. Из них вел огонь пилот, в кабине которого поставили прицел Revi 16A. Третий такой же пулемет смонтировали в экранированной турели HDL 131 сверху за пилотской кабиной. Прозрачный купол турели был хорошо виден и является самым заметным внешним признаком модификации “Е”. В бывшей пассажирской кабине установили кассетные бомбодержатели ETC для 50-кг или 70-кг бомб. Максимально размещалось в фюзеляже до 12 бомб по 70 кг. Бомболюк, закрывавшийся створками, прорезали в нижней части фюзеляжа. Существовала и наружная подвеска. На держателях под фюзеляжем (перед бомболюком) подвешивались бомбы калибра от 50 до 500 кг. Экипаж Si 204E состоял из четырех человек. На пилотские сиденья навесили бронеспинки с заголовниками. Взлетный вес Si 204E при максимальной бомбовой нагрузке достигал 6000 кг, в то время как у Si 204D даже с дополнительными бензобаками не превышал 5600 кг. Два Si 204D переделали в опытные V22 и V23. За ними последовала малая серия машин типа Е-0. Три Si 204E-0 направили на войсковые испытания в Белоруссию. Их рассматривали как специальные противопартизанские самолеты. Размах действий белорусских партизан вынудил немцев бросить против них не только регулярные войска, но и бронетех-никуи авиацию. С воздуха карателей поддерживало "Эйнзатцкоммандо Лидтке" (по фамилии командира) из трех эскадрилий. Укомплектовали его всяким старьем - от Bf 109 ранних серий до незабвенных "Юнкере" F 13 образца 1920-го, кое-как переделанных в штурмовики. Вот туда и передали три Si 204E. Но несмотря на значительно более современный уровень, больших лавров "Зибели" не снискали. В некоторых источниках говорится о попытках немцев применить Si 204E в качестве ночных бомбардировщиков на фронте, расцененных как крайне неудачные. Кроме установочной серии “Е-0” эти машины более не выпускались. К концу войны в Германии стала сказываться нехватка сырья. В том числе и алюминия. В Галле разработали технологию изготовления отъемных частей крыла и оперения из дерева. Но в серийное производство подобную смешанную конструкцию внедрить не успели (5741,12).</w:t>
      </w:r>
    </w:p>
    <w:p w14:paraId="23E236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54DED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года на испытания вышли первые четыре прототипа, получившие индекс Carrier, Light Cargo, T15. Машина получилась ровно такой, какую хотели англичане: T15 имела хорошую проходимость по снегу и легко преодолевала крутые косогоры. T15 стал серийным: сначала появилась двухместная версия M28, а позже — четырёхместная M29 (они также носили обозначение Weasel).</w:t>
      </w:r>
    </w:p>
    <w:p w14:paraId="2AF61A2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«Проект Плуг» так и не был реализован, но возникла идея новой операции — «Юпитер». Планировалось высадить в Норвегии целую серию десантов, которые должны были атаковать немецкие авиабазы. Для этих подразделений, костяк которых составляли канадские военные, предполагалось в кратчайшие сроки разработать снегоходы. На сей раз снегоходы заказали компании Bombardier, которая в 1943 году построила опытный образец, получивший обозначение Kaki. Машина, имевшая чисто гусеничный движитель, на испытаниях показала впечатляющие результаты. Правда, в серию Kaki не пошла, поскольку Объединённый оперативный штаб весной 1943 года изменил требования.</w:t>
      </w:r>
    </w:p>
    <w:p w14:paraId="3E57070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Теперь военным требовался разведывательный снегоход с экипажем из двух человек, имеющий противопульную защиту. Машина должна была иметь водонепроницаемый корпус и способность преодолевать косогоры до 45 градусов. Kaki переделали согласно требованиям: закрытую кабину убрали, мотор переместился назад, появился частично бронированный корпус, экипаж сократили до двух человек. Данную машину приняли на вооружение как Armoured Snowmobile Mk.I. В начале 1944 года на Ferand and Delorme Ltd начался выпуск бронированных снегоходов (до марта 1945 года построили 410 единиц). Из них в Канаде осталось 11 единиц, 396 попало в Англию, а 3 — в СССР (18251).</w:t>
      </w:r>
    </w:p>
    <w:p w14:paraId="2BB5EA8B"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CF39D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28E0C6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199A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июне-июле 1942 г. после проведения всесторонних исследований действенности вооружения штурмовика Ил-2 применительно к укоренившимся способам нанесения ударов по противнику специалистами НИП АВ ВВС КА была разработана более рациональная тактика его боевого применения, позволявшая значительно повысить эффективность бомбоштурмовых ударов.</w:t>
      </w:r>
    </w:p>
    <w:p w14:paraId="3B4A69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результатами стрельб в воздухе с самолета Ил-2 по немецкой технике было установлено, что более правильным было бы атаковывать короткую цель (бронированную или небронированную) как минимум в трех заходах с планирования под углами 25-30° с высот 500-700 м. применяя в каждом заходе только один вид вооружения. Например, в первом заходе осуществляется пуск PC залпом из 4-х снарядов с дистанция 300-400 м. Во втором заходе выполняется сброс авиабомб на выходе из пикирования (высота 100-200 м), и, начиная с третьего захода, цель обстреливается пушечно-пулеметным огнем с дистанций не более 300-400 м. Атаку длинной цели (скопление пехоты и автотранспорта и т.д.) лучше всего производить с бреющего полета и с планирования под углом 5-10° с высот 1 СО-200 м с последующим заходом на бомбометание на выводе из пикирования. В любом случае, обязательным условием применения вооружения Ил-2 являлось раздельное использование каждого вида оружия при дальностях залпового пуска PC и начала пулеметно-пушечной стрельбы не более 400 м.</w:t>
      </w:r>
    </w:p>
    <w:p w14:paraId="30AF54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Применительно к такому способу атаки эффективность бомбоштурмовых ударов возрастала примерно в 2-2,5 раза.</w:t>
      </w:r>
    </w:p>
    <w:p w14:paraId="513F14F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Параллельно с отработкой оптимальной тактики боевого применения Ил-2 в НИП АВ ВВС разрабатывались и оптимальные способы применения истребителей ЛаГГ-3, вооруженных 37-мм авиапушками Ш-37 и 11П-37.</w:t>
      </w:r>
    </w:p>
    <w:p w14:paraId="7C14A7D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все время полигонных испытаний истребителей ЛаГГ-3 с крупнокалиберными пушками из 288 выстрелов, произведенных в 19 самолето-вылетах по немецким танкам, было получено 31 попадание (углы планирования от 5-10° до 25-30°): 18 прямых попаданий в танк Pz. Ill Ausf G и 13 попаданий - в танк Pz. 38 (t) Ausf С. При этом средний процент попаданий в танк точки наводки ведущего летчика-испытателя НИП АВ ВВС м-ра Н. И. Звонарева, имевшего отличную летную и стрелковую подготовку. составлял 12°о (16 попаданий из 134 выстрелов в 7 полетах) и 18% в колонну танков. Строевой же летчик, имеющий среднюю квалификацию, в 12 полетах при 154 выстрелах смог обеспечить в этих же условиях лишь 2% попаданий в танк точки наводки и 6°о попаданий в КОЛОННУ танков.</w:t>
      </w:r>
    </w:p>
    <w:p w14:paraId="3F77C7F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этом было установлено, что длина очереди при стрельбе из ПУШКИ 11П-37 не должна превышать 2-3 выстрелов. В противном случае, из-за сильной отдачи пушки, самолет сбивался с линии прицеливания и опускал нос, что вызывало недолеты при стрельбе по наземным целям. Для возобновления стрельбы необходимо было восстанавливать прицеливание. Устойчивость полета при стрельбе из пушки зависела, естественно, от скорости полета и длины очереди: чем больше скорость полета и короче длина очереди, тем меньшее влияние оказывала сила отдачи ПУШКИ в направлении полета.</w:t>
      </w:r>
    </w:p>
    <w:p w14:paraId="713EEEB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"ЛаГГи" с пушками Ш-37 показали значительно лучшие результаты. Отдача при стрельбе из пушки Ш-37 в воздухе переносилась летчиком и самолетом легче, и очередь из 4-5 выстрелов получалась вполне прицельной.</w:t>
      </w:r>
    </w:p>
    <w:p w14:paraId="16591E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Расчеты, основанные на результатах полигонных испытаний и анализе боевого опыта, показывают, что летчик с хорошей летной и стрелковой подготовкой на истребителе ЛаГГ-3 с Ш-37 вполне мог обеспечить в боевых условиях вероятность поражения среднего и легкого немецких танков (типа Pz. 38 (t) Ausf С и Pz. Ill Ausf G) в одном заходе при стрельбе из пушки около 0,037-0,058 (угол планирования 30°, дистанция открытия огня 400 м).</w:t>
      </w:r>
    </w:p>
    <w:p w14:paraId="73F5DE1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Летчики же, летавшие на ЛаГГ-3-х, вооруженных пушками 11П-37, в СИЛУ увеличенного рассеивания снарядов последних при стрельбе в воздухе (как следствие большей отдачи пушек), могли обеспечить в 1,5-2 раза более низкую вероятность поражения танков вермахта, чем пилоты ЛаГГ-3 с Ш-37, даже несмотря на большую скорострельность 11П-37. по сравнению с ПУШКОЙ Шпитального.</w:t>
      </w:r>
    </w:p>
    <w:p w14:paraId="3A54F9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заключение отчета по полигонным испытаниям Ил-2 с пушками ВЯ и ШВАК, а также истребителей ЛаГГ-3 с крупнокалиберными пушками специалисты НИП АВ ВВС КА отмечали, что:</w:t>
      </w:r>
    </w:p>
    <w:p w14:paraId="68FA86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более рационального использования существующего вооружения самолета Ил-2 в борьбе с немецкими танками необходимо выделить штурмовые авиаполки, вооруженные Ил-2 с авиапушками ВЯ-23 мм, основной задачей которых должно быть действие по танкам. Летный состав этих частей должен пройти спецподготовку....Наиболее эффективным средством борьбы с немецкими танками, имеющими броню до 40 мм, показали авиапушки 37 мм. В этой связи необходимо создать специальные противотанковые части, вооруженные истребителями ЛаГГ-3 и Як с 37-мм авиапушками и усиленным бронированием. Летному составу этих частей дать специальную подготовку....Считать необходимым создание специального центра по отработке вопросов боевого применения АВ ВВС КА, на базе которого проводить систематическую подготовку летных кадров в ведении прицельной стрельбы и бомбометания. Обратить особое внимание на повышение качества боевой подготовки летного состава штурмовых частей в ЗАП в прицельной стрельбе и бомбометании" (8687).</w:t>
      </w:r>
    </w:p>
    <w:p w14:paraId="6E18588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09A9C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июне-июле 1942 г. в НИП АВ ВВС КА были проведены полигонные испытания пушки ШВАК при стрельбе по трофейным немецким танкам в соответствии с приказом командующего ВВС КА № 46 от 27.05.42 г., которые показали, что снаряд БЗ-20 пушки ШВАК может пробить броню из хромомолибденовой стали с повышенным (до 0,41%) содержанием углерода толщиной до 15 мм (танки Pz.ll Ausf F, Pz.38(t) Ausf С, БТР Sd Kfz 250) при углах встречи близких к нормали с дистанции не более 250-300 м. При отклонении от этих условий стрельба из пушки ШВАК становилась неэффективной.Так, при увеличении угла встречи снаряда с броней выше 40' получались сплошные рикошеты даже на участках брони толщиной 6-8 мм. Например, из 19 попаданий, полученных при стрельбах из этой пушки по Sd Kfz 250 (высота подхода 400 м, угол планирования 30°, дистанция открытия огня 400 м), имелось 6 сквозных пробоин в борту (толщина брони 8 мм), 4 - в крыше капота мотора (толщина брони 6 мм), 3 рикошета и 6 попаданий в ходовую часть. Попадания же в ходовую часть существенных поражений бронетехнике, как правило, не наносили. При стрельбе по легким танкам (высота подхода 100 м, угол планирования 5-10', дистанция открытия огня 400 м) из 15 попаданий 3 попадания пришлись в бортовую часть (толщина брони 15 мм) с одним застреванием сердечника, одним рикошетом и одним пробитием брони, что говорит о предельных возможностях снаряда БЗ-20, 7 попаданий в ходовую часть, а остальные 5 снарядов, попавшие в крышу башен танков (2 снаряда в башню танка Pz.38(t) Ausf С и 3 снаряда - в Pz.ll Ausf F, толщина брони 10 мм), дали рикошет. Кроме того, необходимо учитывать, что большая часть борта этих танков, в нижней ее части, закрыта роликами, колесами, гусеницей и другими деталями ходовой части, поэтому чистая бортовая броня (толщиной 15 мм) составляет малую площадь. При стрельбе же по среднему немецкому танку Pz.lll Ausf G в этих же условиях во всех 24 попаданиях вообще не было получено ни одного пробития брони. В выводах по испытаниям указывалось, что стрельба с самолета Ил-2 из пушек ШВАК по немецким легким и средним танкам совершенно неэффективна: "Самолеты Ил-2, вооруженные пушками ШВАК, по танкам использовать неэффективно, а лучше использовать их на 5-10 км в тылу по пехоте и горючему, обеспечивающему танки" (11812).</w:t>
      </w:r>
    </w:p>
    <w:p w14:paraId="08C33D0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098B3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июня по ноябрь 1942 г. из полученных с завода № 1 и рембазы заделов и готовых изделий на заводе № 155 было собрано 30 истребителей МиГ-3. Сборочный цех завода №155 каждый месяц поки</w:t>
      </w:r>
      <w:r w:rsidRPr="008127F8">
        <w:rPr>
          <w:rFonts w:ascii="Times New Roman" w:hAnsi="Times New Roman"/>
          <w:color w:val="000000" w:themeColor="text1"/>
          <w:sz w:val="16"/>
          <w:szCs w:val="16"/>
        </w:rPr>
        <w:softHyphen/>
        <w:t>дало по пять машин. Из 30 изготов</w:t>
      </w:r>
      <w:r w:rsidRPr="008127F8">
        <w:rPr>
          <w:rFonts w:ascii="Times New Roman" w:hAnsi="Times New Roman"/>
          <w:color w:val="000000" w:themeColor="text1"/>
          <w:sz w:val="16"/>
          <w:szCs w:val="16"/>
        </w:rPr>
        <w:softHyphen/>
        <w:t>ленных самолётов 27 передали представителям ГУ ВВС КА, а три машины - УВВС ВМФ. Все МиГи имели вооружение, состоящее из двух 20 мм пушек ШВАК и двух ба</w:t>
      </w:r>
      <w:r w:rsidRPr="008127F8">
        <w:rPr>
          <w:rFonts w:ascii="Times New Roman" w:hAnsi="Times New Roman"/>
          <w:color w:val="000000" w:themeColor="text1"/>
          <w:sz w:val="16"/>
          <w:szCs w:val="16"/>
        </w:rPr>
        <w:softHyphen/>
        <w:t>тарей ЗРОБ-82, а семь машин к тому же оснастили моторами АМ-38. По отзывам лётчиков строевых частей, качество выпущенных истребителей было хорошее. Кроме этого и авиа</w:t>
      </w:r>
      <w:r w:rsidRPr="008127F8">
        <w:rPr>
          <w:rFonts w:ascii="Times New Roman" w:hAnsi="Times New Roman"/>
          <w:color w:val="000000" w:themeColor="text1"/>
          <w:sz w:val="16"/>
          <w:szCs w:val="16"/>
        </w:rPr>
        <w:softHyphen/>
        <w:t>завод №1 из оставшегося задела в 1942 г. выпустил 22 самолёта МиГ-3.</w:t>
      </w:r>
    </w:p>
    <w:p w14:paraId="1A2F7E8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Стоит отметить, что установка синхронных пушек ШВАК была предварительно отработана на самолёте МиГ-3 №6005, который в апреле 1942 г. прошёл заводские полигонные испытания в филиале НИПАВ ВВС КА. Пушки размести</w:t>
      </w:r>
      <w:r w:rsidRPr="008127F8">
        <w:rPr>
          <w:rFonts w:ascii="Times New Roman" w:hAnsi="Times New Roman"/>
          <w:color w:val="000000" w:themeColor="text1"/>
          <w:sz w:val="16"/>
          <w:szCs w:val="16"/>
        </w:rPr>
        <w:softHyphen/>
        <w:t>ли на месте снятых пулемётов УБС, а их штатный боезапас составлял 200 патронов на каждую. По ито</w:t>
      </w:r>
      <w:r w:rsidRPr="008127F8">
        <w:rPr>
          <w:rFonts w:ascii="Times New Roman" w:hAnsi="Times New Roman"/>
          <w:color w:val="000000" w:themeColor="text1"/>
          <w:sz w:val="16"/>
          <w:szCs w:val="16"/>
        </w:rPr>
        <w:softHyphen/>
        <w:t>гам испытаний пушечная установ</w:t>
      </w:r>
      <w:r w:rsidRPr="008127F8">
        <w:rPr>
          <w:rFonts w:ascii="Times New Roman" w:hAnsi="Times New Roman"/>
          <w:color w:val="000000" w:themeColor="text1"/>
          <w:sz w:val="16"/>
          <w:szCs w:val="16"/>
        </w:rPr>
        <w:softHyphen/>
        <w:t>ка получила высокую оценку и её рекомендовали для применения на истребителях МиГ-3 двухточечного варианта (в серии выпускался с сен</w:t>
      </w:r>
      <w:r w:rsidRPr="008127F8">
        <w:rPr>
          <w:rFonts w:ascii="Times New Roman" w:hAnsi="Times New Roman"/>
          <w:color w:val="000000" w:themeColor="text1"/>
          <w:sz w:val="16"/>
          <w:szCs w:val="16"/>
        </w:rPr>
        <w:softHyphen/>
        <w:t>тября 1941 г.). После завершения испытаний МиГ-3 №6005 передали в 12-й гвардейский иап ПВО.</w:t>
      </w:r>
    </w:p>
    <w:p w14:paraId="2B14B81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Особенность установки пушек ШВАК состояла в том, что ранее выпущенные машины, вооруженные двумя 12,7 мм пулемётами УБС, можно было перевооружить в ан</w:t>
      </w:r>
      <w:r w:rsidRPr="008127F8">
        <w:rPr>
          <w:rFonts w:ascii="Times New Roman" w:hAnsi="Times New Roman"/>
          <w:color w:val="000000" w:themeColor="text1"/>
          <w:sz w:val="16"/>
          <w:szCs w:val="16"/>
        </w:rPr>
        <w:softHyphen/>
        <w:t>гарных условиях или мастерских без особых усилий, используя лишь до-работочный комплект. Благодаря такой взаимозаменяемости в авгу</w:t>
      </w:r>
      <w:r w:rsidRPr="008127F8">
        <w:rPr>
          <w:rFonts w:ascii="Times New Roman" w:hAnsi="Times New Roman"/>
          <w:color w:val="000000" w:themeColor="text1"/>
          <w:sz w:val="16"/>
          <w:szCs w:val="16"/>
        </w:rPr>
        <w:softHyphen/>
        <w:t>сте пушками ШВАК перевооружи</w:t>
      </w:r>
      <w:r w:rsidRPr="008127F8">
        <w:rPr>
          <w:rFonts w:ascii="Times New Roman" w:hAnsi="Times New Roman"/>
          <w:color w:val="000000" w:themeColor="text1"/>
          <w:sz w:val="16"/>
          <w:szCs w:val="16"/>
        </w:rPr>
        <w:softHyphen/>
        <w:t>ли два МиГа, прибывшие на завод №155 для капитального ремонта из 122-го иап.</w:t>
      </w:r>
    </w:p>
    <w:p w14:paraId="54E6F7B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в 1940-1942 гг. силами серийного завода №1 и опытного завода №155 было пост</w:t>
      </w:r>
      <w:r w:rsidRPr="008127F8">
        <w:rPr>
          <w:rFonts w:ascii="Times New Roman" w:hAnsi="Times New Roman"/>
          <w:color w:val="000000" w:themeColor="text1"/>
          <w:sz w:val="16"/>
          <w:szCs w:val="16"/>
        </w:rPr>
        <w:softHyphen/>
        <w:t>роено 3172 истребителя МиГ-3. Высокая степень унификации и ре</w:t>
      </w:r>
      <w:r w:rsidRPr="008127F8">
        <w:rPr>
          <w:rFonts w:ascii="Times New Roman" w:hAnsi="Times New Roman"/>
          <w:color w:val="000000" w:themeColor="text1"/>
          <w:sz w:val="16"/>
          <w:szCs w:val="16"/>
        </w:rPr>
        <w:softHyphen/>
        <w:t>монтопригодности самолётов обес</w:t>
      </w:r>
      <w:r w:rsidRPr="008127F8">
        <w:rPr>
          <w:rFonts w:ascii="Times New Roman" w:hAnsi="Times New Roman"/>
          <w:color w:val="000000" w:themeColor="text1"/>
          <w:sz w:val="16"/>
          <w:szCs w:val="16"/>
        </w:rPr>
        <w:softHyphen/>
        <w:t>печила им после прекращения се</w:t>
      </w:r>
      <w:r w:rsidRPr="008127F8">
        <w:rPr>
          <w:rFonts w:ascii="Times New Roman" w:hAnsi="Times New Roman"/>
          <w:color w:val="000000" w:themeColor="text1"/>
          <w:sz w:val="16"/>
          <w:szCs w:val="16"/>
        </w:rPr>
        <w:softHyphen/>
        <w:t>рийного выпуска долгий срок служ</w:t>
      </w:r>
      <w:r w:rsidRPr="008127F8">
        <w:rPr>
          <w:rFonts w:ascii="Times New Roman" w:hAnsi="Times New Roman"/>
          <w:color w:val="000000" w:themeColor="text1"/>
          <w:sz w:val="16"/>
          <w:szCs w:val="16"/>
        </w:rPr>
        <w:softHyphen/>
        <w:t>бы. Технический состав авиацион</w:t>
      </w:r>
      <w:r w:rsidRPr="008127F8">
        <w:rPr>
          <w:rFonts w:ascii="Times New Roman" w:hAnsi="Times New Roman"/>
          <w:color w:val="000000" w:themeColor="text1"/>
          <w:sz w:val="16"/>
          <w:szCs w:val="16"/>
        </w:rPr>
        <w:softHyphen/>
        <w:t>ных частей ВВС КА, ИА ПВО и ВМФ из двух-трёх повреждённых МиГ-3 умудрялся собрать один боеспособ</w:t>
      </w:r>
      <w:r w:rsidRPr="008127F8">
        <w:rPr>
          <w:rFonts w:ascii="Times New Roman" w:hAnsi="Times New Roman"/>
          <w:color w:val="000000" w:themeColor="text1"/>
          <w:sz w:val="16"/>
          <w:szCs w:val="16"/>
        </w:rPr>
        <w:softHyphen/>
        <w:t>ный. Например, в 16-м иап осенью 1941 г. из 34 подобранных повреж</w:t>
      </w:r>
      <w:r w:rsidRPr="008127F8">
        <w:rPr>
          <w:rFonts w:ascii="Times New Roman" w:hAnsi="Times New Roman"/>
          <w:color w:val="000000" w:themeColor="text1"/>
          <w:sz w:val="16"/>
          <w:szCs w:val="16"/>
        </w:rPr>
        <w:softHyphen/>
        <w:t>дённых и неисправных МиГов сила</w:t>
      </w:r>
      <w:r w:rsidRPr="008127F8">
        <w:rPr>
          <w:rFonts w:ascii="Times New Roman" w:hAnsi="Times New Roman"/>
          <w:color w:val="000000" w:themeColor="text1"/>
          <w:sz w:val="16"/>
          <w:szCs w:val="16"/>
        </w:rPr>
        <w:softHyphen/>
        <w:t>ми техсостава полка и ПАРМ было собрано 11 боеспособных машин. Последние два МиГ-3 №4504 и №6015 списали по износу 30 июня 1945 г. Эти машины принадлежали 41-му иап ВВС Северотихоокеанс</w:t>
      </w:r>
      <w:r w:rsidRPr="008127F8">
        <w:rPr>
          <w:rFonts w:ascii="Times New Roman" w:hAnsi="Times New Roman"/>
          <w:color w:val="000000" w:themeColor="text1"/>
          <w:sz w:val="16"/>
          <w:szCs w:val="16"/>
        </w:rPr>
        <w:softHyphen/>
        <w:t>кой флотилии (11761).</w:t>
      </w:r>
    </w:p>
    <w:p w14:paraId="3BB8F0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9E3BE5" w14:textId="77777777" w:rsidR="004B4E79" w:rsidRPr="008A2E5A" w:rsidRDefault="004B4E79" w:rsidP="004B4E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период с июня по ноябрь 1942 года опытный завод № 155 изгото</w:t>
      </w:r>
      <w:r w:rsidRPr="008A2E5A">
        <w:rPr>
          <w:rFonts w:ascii="Times New Roman" w:hAnsi="Times New Roman"/>
          <w:color w:val="0070C0"/>
          <w:sz w:val="16"/>
          <w:szCs w:val="16"/>
        </w:rPr>
        <w:softHyphen/>
        <w:t>вил тридцать истребителей МиГ-3 и три груп</w:t>
      </w:r>
      <w:r w:rsidRPr="008A2E5A">
        <w:rPr>
          <w:rFonts w:ascii="Times New Roman" w:hAnsi="Times New Roman"/>
          <w:color w:val="0070C0"/>
          <w:sz w:val="16"/>
          <w:szCs w:val="16"/>
        </w:rPr>
        <w:softHyphen/>
        <w:t>повых комплекта запасных частей. Сборочный цех каждый месяц покидало по пять машин. Основной причиной невыполнения плана было отсутствие у НКАП требуемых моторов, винтов водорадиаторов и других агрегатов. В связи с этим не</w:t>
      </w:r>
      <w:r w:rsidRPr="008A2E5A">
        <w:rPr>
          <w:rFonts w:ascii="Times New Roman" w:hAnsi="Times New Roman"/>
          <w:color w:val="0070C0"/>
          <w:sz w:val="16"/>
          <w:szCs w:val="16"/>
        </w:rPr>
        <w:softHyphen/>
        <w:t>обходимые для сборки самолётов агрегаты завод № 155 получал непосредственно из строевых частей.</w:t>
      </w:r>
    </w:p>
    <w:p w14:paraId="356C7ED5" w14:textId="77777777" w:rsidR="004B4E79" w:rsidRPr="008A2E5A" w:rsidRDefault="004B4E79" w:rsidP="004B4E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Изготовленные истребители распределили следую</w:t>
      </w:r>
      <w:r w:rsidRPr="008A2E5A">
        <w:rPr>
          <w:rFonts w:ascii="Times New Roman" w:hAnsi="Times New Roman"/>
          <w:color w:val="0070C0"/>
          <w:sz w:val="16"/>
          <w:szCs w:val="16"/>
        </w:rPr>
        <w:softHyphen/>
        <w:t>щим образом. Первые двадцать семь самолётов при</w:t>
      </w:r>
      <w:r w:rsidRPr="008A2E5A">
        <w:rPr>
          <w:rFonts w:ascii="Times New Roman" w:hAnsi="Times New Roman"/>
          <w:color w:val="0070C0"/>
          <w:sz w:val="16"/>
          <w:szCs w:val="16"/>
        </w:rPr>
        <w:softHyphen/>
        <w:t>няли представители ГУ ВВС КА. Из них двадцать две машины с моторами АМ-35А передали авиации ПВО, а пять самолётов, оснащённых моторами АМ-38 — Лёт</w:t>
      </w:r>
      <w:r w:rsidRPr="008A2E5A">
        <w:rPr>
          <w:rFonts w:ascii="Times New Roman" w:hAnsi="Times New Roman"/>
          <w:color w:val="0070C0"/>
          <w:sz w:val="16"/>
          <w:szCs w:val="16"/>
        </w:rPr>
        <w:softHyphen/>
        <w:t>ной инспекции ВВС КА. Последние три машины при</w:t>
      </w:r>
      <w:r w:rsidRPr="008A2E5A">
        <w:rPr>
          <w:rFonts w:ascii="Times New Roman" w:hAnsi="Times New Roman"/>
          <w:color w:val="0070C0"/>
          <w:sz w:val="16"/>
          <w:szCs w:val="16"/>
        </w:rPr>
        <w:softHyphen/>
        <w:t>няли представители Управления авиации ВМФ для пополнения 7-го иап ВВС Черноморского флота. По от</w:t>
      </w:r>
      <w:r w:rsidRPr="008A2E5A">
        <w:rPr>
          <w:rFonts w:ascii="Times New Roman" w:hAnsi="Times New Roman"/>
          <w:color w:val="0070C0"/>
          <w:sz w:val="16"/>
          <w:szCs w:val="16"/>
        </w:rPr>
        <w:softHyphen/>
        <w:t>зывам строевых частей, качество выпущенных истре</w:t>
      </w:r>
      <w:r w:rsidRPr="008A2E5A">
        <w:rPr>
          <w:rFonts w:ascii="Times New Roman" w:hAnsi="Times New Roman"/>
          <w:color w:val="0070C0"/>
          <w:sz w:val="16"/>
          <w:szCs w:val="16"/>
        </w:rPr>
        <w:softHyphen/>
        <w:t>бителей было хорошее. К тому же от предшественни</w:t>
      </w:r>
      <w:r w:rsidRPr="008A2E5A">
        <w:rPr>
          <w:rFonts w:ascii="Times New Roman" w:hAnsi="Times New Roman"/>
          <w:color w:val="0070C0"/>
          <w:sz w:val="16"/>
          <w:szCs w:val="16"/>
        </w:rPr>
        <w:softHyphen/>
        <w:t>ков истребители МиГ-3, выпущенные заводом № 155, отличались в лучшую сторону своим вооружением, ко</w:t>
      </w:r>
      <w:r w:rsidRPr="008A2E5A">
        <w:rPr>
          <w:rFonts w:ascii="Times New Roman" w:hAnsi="Times New Roman"/>
          <w:color w:val="0070C0"/>
          <w:sz w:val="16"/>
          <w:szCs w:val="16"/>
        </w:rPr>
        <w:softHyphen/>
        <w:t>торое включало две 20-мм пушки ШВАК и две батареи ЗРОБ-82 для стрельбы реактивными снарядами РС-82.</w:t>
      </w:r>
    </w:p>
    <w:p w14:paraId="1E4A8587" w14:textId="77777777" w:rsidR="004B4E79" w:rsidRPr="008A2E5A" w:rsidRDefault="004B4E79" w:rsidP="004B4E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Оснастить МиГ-3 синхронным пушечным воору</w:t>
      </w:r>
      <w:r w:rsidRPr="008A2E5A">
        <w:rPr>
          <w:rFonts w:ascii="Times New Roman" w:hAnsi="Times New Roman"/>
          <w:color w:val="0070C0"/>
          <w:sz w:val="16"/>
          <w:szCs w:val="16"/>
        </w:rPr>
        <w:softHyphen/>
        <w:t>жением планировали ещё до начала войны. Специа</w:t>
      </w:r>
      <w:r w:rsidRPr="008A2E5A">
        <w:rPr>
          <w:rFonts w:ascii="Times New Roman" w:hAnsi="Times New Roman"/>
          <w:color w:val="0070C0"/>
          <w:sz w:val="16"/>
          <w:szCs w:val="16"/>
        </w:rPr>
        <w:softHyphen/>
        <w:t>листы НИИ-13 и ОКБ завода № 235 в соответствии с совместным решением НКВШ и НКАП даже прове</w:t>
      </w:r>
      <w:r w:rsidRPr="008A2E5A">
        <w:rPr>
          <w:rFonts w:ascii="Times New Roman" w:hAnsi="Times New Roman"/>
          <w:color w:val="0070C0"/>
          <w:sz w:val="16"/>
          <w:szCs w:val="16"/>
        </w:rPr>
        <w:softHyphen/>
        <w:t>ли необходимую проработку этого вопроса, остановив выбор на 20-мм пушке ШВАК, как наиболее осво</w:t>
      </w:r>
      <w:r w:rsidRPr="008A2E5A">
        <w:rPr>
          <w:rFonts w:ascii="Times New Roman" w:hAnsi="Times New Roman"/>
          <w:color w:val="0070C0"/>
          <w:sz w:val="16"/>
          <w:szCs w:val="16"/>
        </w:rPr>
        <w:softHyphen/>
        <w:t>енной промышленностью. Но отсутствие надёжного синхронизатора под трёхлопастный винт не позво</w:t>
      </w:r>
      <w:r w:rsidRPr="008A2E5A">
        <w:rPr>
          <w:rFonts w:ascii="Times New Roman" w:hAnsi="Times New Roman"/>
          <w:color w:val="0070C0"/>
          <w:sz w:val="16"/>
          <w:szCs w:val="16"/>
        </w:rPr>
        <w:softHyphen/>
        <w:t>лило тогда существенно усилить вооружение МиГ-3, а попадание 20-мм снаряда в лопасть винта могло вызвать более чем серьёзные последствия.</w:t>
      </w:r>
    </w:p>
    <w:p w14:paraId="2BF13ED9" w14:textId="77777777" w:rsidR="004B4E79" w:rsidRPr="008A2E5A" w:rsidRDefault="004B4E79" w:rsidP="004B4E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Только в 1942 году 20-мм пушки ШВАК вошли в со</w:t>
      </w:r>
      <w:r w:rsidRPr="008A2E5A">
        <w:rPr>
          <w:rFonts w:ascii="Times New Roman" w:hAnsi="Times New Roman"/>
          <w:color w:val="0070C0"/>
          <w:sz w:val="16"/>
          <w:szCs w:val="16"/>
        </w:rPr>
        <w:softHyphen/>
        <w:t>став вооружения истребителя МиГ-3. Перед тем как оснастить серийные машины новым синхронным во</w:t>
      </w:r>
      <w:r w:rsidRPr="008A2E5A">
        <w:rPr>
          <w:rFonts w:ascii="Times New Roman" w:hAnsi="Times New Roman"/>
          <w:color w:val="0070C0"/>
          <w:sz w:val="16"/>
          <w:szCs w:val="16"/>
        </w:rPr>
        <w:softHyphen/>
        <w:t>оружением, его установку предварительно отработали на самолёте № 6005, который в апреле прошёл заводские полигонные испытания в фи</w:t>
      </w:r>
      <w:r w:rsidRPr="008A2E5A">
        <w:rPr>
          <w:rFonts w:ascii="Times New Roman" w:hAnsi="Times New Roman"/>
          <w:color w:val="0070C0"/>
          <w:sz w:val="16"/>
          <w:szCs w:val="16"/>
        </w:rPr>
        <w:softHyphen/>
        <w:t>лиале НИПАВ ВВС КА. Пушки разместили на месте снятых пулемётов УБС, а их штатный боезапас составил 200 патро</w:t>
      </w:r>
      <w:r w:rsidRPr="008A2E5A">
        <w:rPr>
          <w:rFonts w:ascii="Times New Roman" w:hAnsi="Times New Roman"/>
          <w:color w:val="0070C0"/>
          <w:sz w:val="16"/>
          <w:szCs w:val="16"/>
        </w:rPr>
        <w:softHyphen/>
        <w:t>нов на каждую. Всего же в па</w:t>
      </w:r>
      <w:r w:rsidRPr="008A2E5A">
        <w:rPr>
          <w:rFonts w:ascii="Times New Roman" w:hAnsi="Times New Roman"/>
          <w:color w:val="0070C0"/>
          <w:sz w:val="16"/>
          <w:szCs w:val="16"/>
        </w:rPr>
        <w:softHyphen/>
        <w:t>тронные ящики входило 350 патронов для правой пушки и 300 для левой.</w:t>
      </w:r>
    </w:p>
    <w:p w14:paraId="6104C427" w14:textId="77777777" w:rsidR="004B4E79" w:rsidRPr="008A2E5A" w:rsidRDefault="004B4E79" w:rsidP="004B4E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итогам испытаний пу</w:t>
      </w:r>
      <w:r w:rsidRPr="008A2E5A">
        <w:rPr>
          <w:rFonts w:ascii="Times New Roman" w:hAnsi="Times New Roman"/>
          <w:color w:val="0070C0"/>
          <w:sz w:val="16"/>
          <w:szCs w:val="16"/>
        </w:rPr>
        <w:softHyphen/>
        <w:t>шечная установка получи</w:t>
      </w:r>
      <w:r w:rsidRPr="008A2E5A">
        <w:rPr>
          <w:rFonts w:ascii="Times New Roman" w:hAnsi="Times New Roman"/>
          <w:color w:val="0070C0"/>
          <w:sz w:val="16"/>
          <w:szCs w:val="16"/>
        </w:rPr>
        <w:softHyphen/>
        <w:t>ла высокую оценку, в связи с чем её рекомендовали для применения на истре</w:t>
      </w:r>
      <w:r w:rsidRPr="008A2E5A">
        <w:rPr>
          <w:rFonts w:ascii="Times New Roman" w:hAnsi="Times New Roman"/>
          <w:color w:val="0070C0"/>
          <w:sz w:val="16"/>
          <w:szCs w:val="16"/>
        </w:rPr>
        <w:softHyphen/>
        <w:t>бителях МиГ-3 двухточеч</w:t>
      </w:r>
      <w:r w:rsidRPr="008A2E5A">
        <w:rPr>
          <w:rFonts w:ascii="Times New Roman" w:hAnsi="Times New Roman"/>
          <w:color w:val="0070C0"/>
          <w:sz w:val="16"/>
          <w:szCs w:val="16"/>
        </w:rPr>
        <w:softHyphen/>
        <w:t>ного варианта. Благодаря тому, что после доработки полётная масса истребите</w:t>
      </w:r>
      <w:r w:rsidRPr="008A2E5A">
        <w:rPr>
          <w:rFonts w:ascii="Times New Roman" w:hAnsi="Times New Roman"/>
          <w:color w:val="0070C0"/>
          <w:sz w:val="16"/>
          <w:szCs w:val="16"/>
        </w:rPr>
        <w:softHyphen/>
        <w:t>ля возросла всего на 20 кг, его лётные характеристики не ухудшились. После за</w:t>
      </w:r>
      <w:r w:rsidRPr="008A2E5A">
        <w:rPr>
          <w:rFonts w:ascii="Times New Roman" w:hAnsi="Times New Roman"/>
          <w:color w:val="0070C0"/>
          <w:sz w:val="16"/>
          <w:szCs w:val="16"/>
        </w:rPr>
        <w:softHyphen/>
        <w:t>вершения испытаний МиГ-3 № 6005 передали в 12-й гвардейский иап ПВО (23379).</w:t>
      </w:r>
    </w:p>
    <w:p w14:paraId="0EE5E449" w14:textId="77777777" w:rsidR="004B4E79" w:rsidRPr="008A2E5A" w:rsidRDefault="004B4E79" w:rsidP="004B4E79">
      <w:pPr>
        <w:spacing w:after="0" w:line="240" w:lineRule="auto"/>
        <w:jc w:val="both"/>
        <w:rPr>
          <w:rFonts w:ascii="Times New Roman" w:hAnsi="Times New Roman"/>
          <w:color w:val="0070C0"/>
          <w:sz w:val="16"/>
          <w:szCs w:val="16"/>
        </w:rPr>
      </w:pPr>
    </w:p>
    <w:p w14:paraId="40F52F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июне-июле 1942 г. в НИП АВ ВВС КА в соответствии с приказом командующего ВВС КА № 46 от 27.05.42 г. были проведены полигонные испытания пушки ШВАК и ВЯ при стрельбе по трофейным немецким танкам. Они показали, что снаряд БЗ-20 пушки ШВАК может пробить броню из хромомолибденовой стали с </w:t>
      </w:r>
      <w:r w:rsidRPr="008127F8">
        <w:rPr>
          <w:rFonts w:ascii="Times New Roman" w:hAnsi="Times New Roman"/>
          <w:color w:val="000000" w:themeColor="text1"/>
          <w:sz w:val="16"/>
          <w:szCs w:val="16"/>
        </w:rPr>
        <w:lastRenderedPageBreak/>
        <w:t>повы</w:t>
      </w:r>
      <w:r w:rsidRPr="008127F8">
        <w:rPr>
          <w:rFonts w:ascii="Times New Roman" w:hAnsi="Times New Roman"/>
          <w:color w:val="000000" w:themeColor="text1"/>
          <w:sz w:val="16"/>
          <w:szCs w:val="16"/>
        </w:rPr>
        <w:softHyphen/>
        <w:t>шенным (до 0,41%) содержанием углерода толщиной до 15 мм (танки Pz.ll Ausf F, Pz.38(t) Ausf С, БТР Sd Kfz 250) при углах встречи близких к нор</w:t>
      </w:r>
      <w:r w:rsidRPr="008127F8">
        <w:rPr>
          <w:rFonts w:ascii="Times New Roman" w:hAnsi="Times New Roman"/>
          <w:color w:val="000000" w:themeColor="text1"/>
          <w:sz w:val="16"/>
          <w:szCs w:val="16"/>
        </w:rPr>
        <w:softHyphen/>
        <w:t>мали с дистанции не более 250-300 м. При отклонении от этих условий стрельба из пушки ШВАК становилась неэффективной. Так, при уве</w:t>
      </w:r>
      <w:r w:rsidRPr="008127F8">
        <w:rPr>
          <w:rFonts w:ascii="Times New Roman" w:hAnsi="Times New Roman"/>
          <w:color w:val="000000" w:themeColor="text1"/>
          <w:sz w:val="16"/>
          <w:szCs w:val="16"/>
        </w:rPr>
        <w:softHyphen/>
        <w:t>личении угла встречи снаря</w:t>
      </w:r>
      <w:r w:rsidRPr="008127F8">
        <w:rPr>
          <w:rFonts w:ascii="Times New Roman" w:hAnsi="Times New Roman"/>
          <w:color w:val="000000" w:themeColor="text1"/>
          <w:sz w:val="16"/>
          <w:szCs w:val="16"/>
        </w:rPr>
        <w:softHyphen/>
        <w:t>да с броней выше 40° полу</w:t>
      </w:r>
      <w:r w:rsidRPr="008127F8">
        <w:rPr>
          <w:rFonts w:ascii="Times New Roman" w:hAnsi="Times New Roman"/>
          <w:color w:val="000000" w:themeColor="text1"/>
          <w:sz w:val="16"/>
          <w:szCs w:val="16"/>
        </w:rPr>
        <w:softHyphen/>
        <w:t>чались сплошные рикошеты даже на участках брони тол</w:t>
      </w:r>
      <w:r w:rsidRPr="008127F8">
        <w:rPr>
          <w:rFonts w:ascii="Times New Roman" w:hAnsi="Times New Roman"/>
          <w:color w:val="000000" w:themeColor="text1"/>
          <w:sz w:val="16"/>
          <w:szCs w:val="16"/>
        </w:rPr>
        <w:softHyphen/>
        <w:t>щиной 6-8 мм. Например, из 19 попаданий, полученных при стрельбах из этой пуш</w:t>
      </w:r>
      <w:r w:rsidRPr="008127F8">
        <w:rPr>
          <w:rFonts w:ascii="Times New Roman" w:hAnsi="Times New Roman"/>
          <w:color w:val="000000" w:themeColor="text1"/>
          <w:sz w:val="16"/>
          <w:szCs w:val="16"/>
        </w:rPr>
        <w:softHyphen/>
        <w:t>ки по Sd Kfz 250 (высота под</w:t>
      </w:r>
      <w:r w:rsidRPr="008127F8">
        <w:rPr>
          <w:rFonts w:ascii="Times New Roman" w:hAnsi="Times New Roman"/>
          <w:color w:val="000000" w:themeColor="text1"/>
          <w:sz w:val="16"/>
          <w:szCs w:val="16"/>
        </w:rPr>
        <w:softHyphen/>
        <w:t>хода 400 м, угол планирова</w:t>
      </w:r>
      <w:r w:rsidRPr="008127F8">
        <w:rPr>
          <w:rFonts w:ascii="Times New Roman" w:hAnsi="Times New Roman"/>
          <w:color w:val="000000" w:themeColor="text1"/>
          <w:sz w:val="16"/>
          <w:szCs w:val="16"/>
        </w:rPr>
        <w:softHyphen/>
        <w:t>ния 30°, дистанция открытия огня 400 м), имелось 6 сквозных пробоин в бор</w:t>
      </w:r>
      <w:r w:rsidRPr="008127F8">
        <w:rPr>
          <w:rFonts w:ascii="Times New Roman" w:hAnsi="Times New Roman"/>
          <w:color w:val="000000" w:themeColor="text1"/>
          <w:sz w:val="16"/>
          <w:szCs w:val="16"/>
        </w:rPr>
        <w:softHyphen/>
        <w:t>ту (толщина брони 8 мм), 4 - в крыше капота мотора (толщина брони 6 мм), 3 рикошета и 6 попаданий в ходовую часть. Попадания же в ходовую часть су</w:t>
      </w:r>
      <w:r w:rsidRPr="008127F8">
        <w:rPr>
          <w:rFonts w:ascii="Times New Roman" w:hAnsi="Times New Roman"/>
          <w:color w:val="000000" w:themeColor="text1"/>
          <w:sz w:val="16"/>
          <w:szCs w:val="16"/>
        </w:rPr>
        <w:softHyphen/>
        <w:t>щественных поражений бронетехнике, как правило, не наносили.</w:t>
      </w:r>
    </w:p>
    <w:p w14:paraId="191BE8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стрельбе по легким танкам (высота подхода 100 м, угол планирова</w:t>
      </w:r>
      <w:r w:rsidRPr="008127F8">
        <w:rPr>
          <w:rFonts w:ascii="Times New Roman" w:hAnsi="Times New Roman"/>
          <w:color w:val="000000" w:themeColor="text1"/>
          <w:sz w:val="16"/>
          <w:szCs w:val="16"/>
        </w:rPr>
        <w:softHyphen/>
        <w:t>ния 5-10°, дистанция открытия огня 400 м) из 15 попаданий 3 попадания при</w:t>
      </w:r>
      <w:r w:rsidRPr="008127F8">
        <w:rPr>
          <w:rFonts w:ascii="Times New Roman" w:hAnsi="Times New Roman"/>
          <w:color w:val="000000" w:themeColor="text1"/>
          <w:sz w:val="16"/>
          <w:szCs w:val="16"/>
        </w:rPr>
        <w:softHyphen/>
        <w:t>шлись в бортовую часть (толщина бро</w:t>
      </w:r>
      <w:r w:rsidRPr="008127F8">
        <w:rPr>
          <w:rFonts w:ascii="Times New Roman" w:hAnsi="Times New Roman"/>
          <w:color w:val="000000" w:themeColor="text1"/>
          <w:sz w:val="16"/>
          <w:szCs w:val="16"/>
        </w:rPr>
        <w:softHyphen/>
        <w:t>ни 15 мм) с одним застреванием сер</w:t>
      </w:r>
      <w:r w:rsidRPr="008127F8">
        <w:rPr>
          <w:rFonts w:ascii="Times New Roman" w:hAnsi="Times New Roman"/>
          <w:color w:val="000000" w:themeColor="text1"/>
          <w:sz w:val="16"/>
          <w:szCs w:val="16"/>
        </w:rPr>
        <w:softHyphen/>
        <w:t>дечника, одним рикошетом и одним про</w:t>
      </w:r>
      <w:r w:rsidRPr="008127F8">
        <w:rPr>
          <w:rFonts w:ascii="Times New Roman" w:hAnsi="Times New Roman"/>
          <w:color w:val="000000" w:themeColor="text1"/>
          <w:sz w:val="16"/>
          <w:szCs w:val="16"/>
        </w:rPr>
        <w:softHyphen/>
        <w:t>битием брони, что говорит о предель</w:t>
      </w:r>
      <w:r w:rsidRPr="008127F8">
        <w:rPr>
          <w:rFonts w:ascii="Times New Roman" w:hAnsi="Times New Roman"/>
          <w:color w:val="000000" w:themeColor="text1"/>
          <w:sz w:val="16"/>
          <w:szCs w:val="16"/>
        </w:rPr>
        <w:softHyphen/>
        <w:t>ных возможностях снаряда БЗ-20, 7 по</w:t>
      </w:r>
      <w:r w:rsidRPr="008127F8">
        <w:rPr>
          <w:rFonts w:ascii="Times New Roman" w:hAnsi="Times New Roman"/>
          <w:color w:val="000000" w:themeColor="text1"/>
          <w:sz w:val="16"/>
          <w:szCs w:val="16"/>
        </w:rPr>
        <w:softHyphen/>
        <w:t>паданий в ходовую часть, а остальные 5 снарядов, попавшие в крышу башен танков (2 снаряда в башню танка Pz.38(t) Ausf С и 3 снаряда - в Pz.ll Ausf F, тол</w:t>
      </w:r>
      <w:r w:rsidRPr="008127F8">
        <w:rPr>
          <w:rFonts w:ascii="Times New Roman" w:hAnsi="Times New Roman"/>
          <w:color w:val="000000" w:themeColor="text1"/>
          <w:sz w:val="16"/>
          <w:szCs w:val="16"/>
        </w:rPr>
        <w:softHyphen/>
        <w:t>щина брони 10мм), дали рикошет. Кро</w:t>
      </w:r>
      <w:r w:rsidRPr="008127F8">
        <w:rPr>
          <w:rFonts w:ascii="Times New Roman" w:hAnsi="Times New Roman"/>
          <w:color w:val="000000" w:themeColor="text1"/>
          <w:sz w:val="16"/>
          <w:szCs w:val="16"/>
        </w:rPr>
        <w:softHyphen/>
        <w:t>ме того, необходимо учитывать, что боль</w:t>
      </w:r>
      <w:r w:rsidRPr="008127F8">
        <w:rPr>
          <w:rFonts w:ascii="Times New Roman" w:hAnsi="Times New Roman"/>
          <w:color w:val="000000" w:themeColor="text1"/>
          <w:sz w:val="16"/>
          <w:szCs w:val="16"/>
        </w:rPr>
        <w:softHyphen/>
        <w:t>шая часть борта этих танков, в нижней ее части, закрыта роликами, колесами, гу</w:t>
      </w:r>
      <w:r w:rsidRPr="008127F8">
        <w:rPr>
          <w:rFonts w:ascii="Times New Roman" w:hAnsi="Times New Roman"/>
          <w:color w:val="000000" w:themeColor="text1"/>
          <w:sz w:val="16"/>
          <w:szCs w:val="16"/>
        </w:rPr>
        <w:softHyphen/>
        <w:t>сеницей и другими деталями ходовой части, поэтому чистая бортовая броня (толщиной 15 мм) составляет малую пло</w:t>
      </w:r>
      <w:r w:rsidRPr="008127F8">
        <w:rPr>
          <w:rFonts w:ascii="Times New Roman" w:hAnsi="Times New Roman"/>
          <w:color w:val="000000" w:themeColor="text1"/>
          <w:sz w:val="16"/>
          <w:szCs w:val="16"/>
        </w:rPr>
        <w:softHyphen/>
        <w:t>щадь.</w:t>
      </w:r>
    </w:p>
    <w:p w14:paraId="5EA5405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стрельбе же по среднему немец</w:t>
      </w:r>
      <w:r w:rsidRPr="008127F8">
        <w:rPr>
          <w:rFonts w:ascii="Times New Roman" w:hAnsi="Times New Roman"/>
          <w:color w:val="000000" w:themeColor="text1"/>
          <w:sz w:val="16"/>
          <w:szCs w:val="16"/>
        </w:rPr>
        <w:softHyphen/>
        <w:t>кому танку Pz.lll Ausf G в этих же усло</w:t>
      </w:r>
      <w:r w:rsidRPr="008127F8">
        <w:rPr>
          <w:rFonts w:ascii="Times New Roman" w:hAnsi="Times New Roman"/>
          <w:color w:val="000000" w:themeColor="text1"/>
          <w:sz w:val="16"/>
          <w:szCs w:val="16"/>
        </w:rPr>
        <w:softHyphen/>
        <w:t>виях во всех 24 попаданиях вообще не было получено ни одного пробития брони.</w:t>
      </w:r>
    </w:p>
    <w:p w14:paraId="04A1F0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выводах по испытаниям указыва</w:t>
      </w:r>
      <w:r w:rsidRPr="008127F8">
        <w:rPr>
          <w:rFonts w:ascii="Times New Roman" w:hAnsi="Times New Roman"/>
          <w:color w:val="000000" w:themeColor="text1"/>
          <w:sz w:val="16"/>
          <w:szCs w:val="16"/>
        </w:rPr>
        <w:softHyphen/>
        <w:t>лось, что стрельба с самолета Ил-2 из пушек ШВАК по немецким легким и средним танкам совершенно неэффек</w:t>
      </w:r>
      <w:r w:rsidRPr="008127F8">
        <w:rPr>
          <w:rFonts w:ascii="Times New Roman" w:hAnsi="Times New Roman"/>
          <w:color w:val="000000" w:themeColor="text1"/>
          <w:sz w:val="16"/>
          <w:szCs w:val="16"/>
        </w:rPr>
        <w:softHyphen/>
        <w:t xml:space="preserve">тивна: </w:t>
      </w:r>
      <w:r w:rsidRPr="008127F8">
        <w:rPr>
          <w:rFonts w:ascii="Times New Roman" w:hAnsi="Times New Roman"/>
          <w:iCs/>
          <w:color w:val="000000" w:themeColor="text1"/>
          <w:sz w:val="16"/>
          <w:szCs w:val="16"/>
        </w:rPr>
        <w:t>"Самолеты Ил-2, вооруженные пушками ШВАК, по танкам использовать неэффективно, а лучше использовать их на</w:t>
      </w:r>
      <w:r w:rsidRPr="008127F8">
        <w:rPr>
          <w:rFonts w:ascii="Times New Roman" w:hAnsi="Times New Roman"/>
          <w:color w:val="000000" w:themeColor="text1"/>
          <w:sz w:val="16"/>
          <w:szCs w:val="16"/>
        </w:rPr>
        <w:t xml:space="preserve"> 5-</w:t>
      </w:r>
      <w:r w:rsidRPr="008127F8">
        <w:rPr>
          <w:rFonts w:ascii="Times New Roman" w:hAnsi="Times New Roman"/>
          <w:iCs/>
          <w:color w:val="000000" w:themeColor="text1"/>
          <w:sz w:val="16"/>
          <w:szCs w:val="16"/>
        </w:rPr>
        <w:t xml:space="preserve">10 км в тылу по пехоте и горючему, обеспечивающему танки". </w:t>
      </w:r>
      <w:r w:rsidRPr="008127F8">
        <w:rPr>
          <w:rFonts w:ascii="Times New Roman" w:hAnsi="Times New Roman"/>
          <w:color w:val="000000" w:themeColor="text1"/>
          <w:sz w:val="16"/>
          <w:szCs w:val="16"/>
        </w:rPr>
        <w:t>(6467).</w:t>
      </w:r>
    </w:p>
    <w:p w14:paraId="53A255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Полигонные испытания показали, что при стрельбе из пушек ВЯ-23 бронебойно-зажигательным снарядом БЗ-23 с самолета Ил-2 под углами планиро</w:t>
      </w:r>
      <w:r w:rsidRPr="008127F8">
        <w:rPr>
          <w:rFonts w:ascii="Times New Roman" w:hAnsi="Times New Roman"/>
          <w:color w:val="000000" w:themeColor="text1"/>
          <w:sz w:val="16"/>
          <w:szCs w:val="16"/>
        </w:rPr>
        <w:softHyphen/>
        <w:t>вания до 30° (высота подхода 100-600 м) возможно поражение легких немецких танков типа Pz.ll Ausf F и Pz.38(t) Ausf С при попадании снаряда в борт и зад</w:t>
      </w:r>
      <w:r w:rsidRPr="008127F8">
        <w:rPr>
          <w:rFonts w:ascii="Times New Roman" w:hAnsi="Times New Roman"/>
          <w:color w:val="000000" w:themeColor="text1"/>
          <w:sz w:val="16"/>
          <w:szCs w:val="16"/>
        </w:rPr>
        <w:softHyphen/>
        <w:t>нюю часть танка с дистанции 300-400 м, так как толщина брони в этих местах 15 мм. Поражение крыши башен этих тан</w:t>
      </w:r>
      <w:r w:rsidRPr="008127F8">
        <w:rPr>
          <w:rFonts w:ascii="Times New Roman" w:hAnsi="Times New Roman"/>
          <w:color w:val="000000" w:themeColor="text1"/>
          <w:sz w:val="16"/>
          <w:szCs w:val="16"/>
        </w:rPr>
        <w:softHyphen/>
        <w:t>ков (толщина брони 10 мм) с таких же дистанций также возможно, но при уг</w:t>
      </w:r>
      <w:r w:rsidRPr="008127F8">
        <w:rPr>
          <w:rFonts w:ascii="Times New Roman" w:hAnsi="Times New Roman"/>
          <w:color w:val="000000" w:themeColor="text1"/>
          <w:sz w:val="16"/>
          <w:szCs w:val="16"/>
        </w:rPr>
        <w:softHyphen/>
        <w:t>лах пикирования более 40°.</w:t>
      </w:r>
    </w:p>
    <w:p w14:paraId="15B257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53 попаданий в эти танки, полу</w:t>
      </w:r>
      <w:r w:rsidRPr="008127F8">
        <w:rPr>
          <w:rFonts w:ascii="Times New Roman" w:hAnsi="Times New Roman"/>
          <w:color w:val="000000" w:themeColor="text1"/>
          <w:sz w:val="16"/>
          <w:szCs w:val="16"/>
        </w:rPr>
        <w:softHyphen/>
        <w:t>ченных при выполнении 15 самолето-вылетов, только в 16 случаях было полу</w:t>
      </w:r>
      <w:r w:rsidRPr="008127F8">
        <w:rPr>
          <w:rFonts w:ascii="Times New Roman" w:hAnsi="Times New Roman"/>
          <w:color w:val="000000" w:themeColor="text1"/>
          <w:sz w:val="16"/>
          <w:szCs w:val="16"/>
        </w:rPr>
        <w:softHyphen/>
        <w:t>чено сквозное пробитие (30% от числа попавших в танки снарядов) брони, в 10 случаях были получены вмятины в бро</w:t>
      </w:r>
      <w:r w:rsidRPr="008127F8">
        <w:rPr>
          <w:rFonts w:ascii="Times New Roman" w:hAnsi="Times New Roman"/>
          <w:color w:val="000000" w:themeColor="text1"/>
          <w:sz w:val="16"/>
          <w:szCs w:val="16"/>
        </w:rPr>
        <w:softHyphen/>
        <w:t>не и рикошеты, остальные попадания пришлись в ходовую часть. Попадания же БЗ-23 в ходовую часть танка повреж</w:t>
      </w:r>
      <w:r w:rsidRPr="008127F8">
        <w:rPr>
          <w:rFonts w:ascii="Times New Roman" w:hAnsi="Times New Roman"/>
          <w:color w:val="000000" w:themeColor="text1"/>
          <w:sz w:val="16"/>
          <w:szCs w:val="16"/>
        </w:rPr>
        <w:softHyphen/>
        <w:t>дений ему не наносили. При этом все 16 сквозных пробоин в броне танков пришлись на атаки под углом планиро</w:t>
      </w:r>
      <w:r w:rsidRPr="008127F8">
        <w:rPr>
          <w:rFonts w:ascii="Times New Roman" w:hAnsi="Times New Roman"/>
          <w:color w:val="000000" w:themeColor="text1"/>
          <w:sz w:val="16"/>
          <w:szCs w:val="16"/>
        </w:rPr>
        <w:softHyphen/>
        <w:t>вания 5-10° (высота подхода 100 м, дис</w:t>
      </w:r>
      <w:r w:rsidRPr="008127F8">
        <w:rPr>
          <w:rFonts w:ascii="Times New Roman" w:hAnsi="Times New Roman"/>
          <w:color w:val="000000" w:themeColor="text1"/>
          <w:sz w:val="16"/>
          <w:szCs w:val="16"/>
        </w:rPr>
        <w:softHyphen/>
        <w:t>танция открытия огня 300-400 м).</w:t>
      </w:r>
    </w:p>
    <w:p w14:paraId="75C783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Поражение брони танка Pz.38(t) Ausf Е с усиленным бронированием (лоб кор</w:t>
      </w:r>
      <w:r w:rsidRPr="008127F8">
        <w:rPr>
          <w:rFonts w:ascii="Times New Roman" w:hAnsi="Times New Roman"/>
          <w:color w:val="000000" w:themeColor="text1"/>
          <w:sz w:val="16"/>
          <w:szCs w:val="16"/>
        </w:rPr>
        <w:softHyphen/>
        <w:t>пуса и башни - до 50 мм, а борт корпуса над ходовой частью и борт башни - до 30 мм) при тех же условиях атаки было возможным только в борт у ходовой ча</w:t>
      </w:r>
      <w:r w:rsidRPr="008127F8">
        <w:rPr>
          <w:rFonts w:ascii="Times New Roman" w:hAnsi="Times New Roman"/>
          <w:color w:val="000000" w:themeColor="text1"/>
          <w:sz w:val="16"/>
          <w:szCs w:val="16"/>
        </w:rPr>
        <w:softHyphen/>
        <w:t>сти танка, где устанавливалась броня толщиной 15 мм. Однако попадание в чистую броню этой части танка было маловероятным, поскольку большая пло</w:t>
      </w:r>
      <w:r w:rsidRPr="008127F8">
        <w:rPr>
          <w:rFonts w:ascii="Times New Roman" w:hAnsi="Times New Roman"/>
          <w:color w:val="000000" w:themeColor="text1"/>
          <w:sz w:val="16"/>
          <w:szCs w:val="16"/>
        </w:rPr>
        <w:softHyphen/>
        <w:t>щадь закрывалась роликами, колесами и гусеницами.</w:t>
      </w:r>
    </w:p>
    <w:p w14:paraId="021E3EB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Лобовая броня всех немецких легких танков, имеющая толщину 25-50 мм, при стрельбе из пушки ВЯ-23 снарядом БЗ-23 при атаке с воздуха с Ил-2 не про</w:t>
      </w:r>
      <w:r w:rsidRPr="008127F8">
        <w:rPr>
          <w:rFonts w:ascii="Times New Roman" w:hAnsi="Times New Roman"/>
          <w:color w:val="000000" w:themeColor="text1"/>
          <w:sz w:val="16"/>
          <w:szCs w:val="16"/>
        </w:rPr>
        <w:softHyphen/>
        <w:t>бивалась.</w:t>
      </w:r>
    </w:p>
    <w:p w14:paraId="5D5813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Что касается средних немецких тан</w:t>
      </w:r>
      <w:r w:rsidRPr="008127F8">
        <w:rPr>
          <w:rFonts w:ascii="Times New Roman" w:hAnsi="Times New Roman"/>
          <w:color w:val="000000" w:themeColor="text1"/>
          <w:sz w:val="16"/>
          <w:szCs w:val="16"/>
        </w:rPr>
        <w:softHyphen/>
        <w:t>ков типа Pz.lVAusfD, Pz. Ill Ausf G и StuG III Ausf E с толщиной бортовой брони 30 мм, лобовой - 50 мм, надмоторной бро</w:t>
      </w:r>
      <w:r w:rsidRPr="008127F8">
        <w:rPr>
          <w:rFonts w:ascii="Times New Roman" w:hAnsi="Times New Roman"/>
          <w:color w:val="000000" w:themeColor="text1"/>
          <w:sz w:val="16"/>
          <w:szCs w:val="16"/>
        </w:rPr>
        <w:softHyphen/>
        <w:t>ни - 15-18 мм и крыши башен - 10-17 мм, стоявших в это время на вооруже</w:t>
      </w:r>
      <w:r w:rsidRPr="008127F8">
        <w:rPr>
          <w:rFonts w:ascii="Times New Roman" w:hAnsi="Times New Roman"/>
          <w:color w:val="000000" w:themeColor="text1"/>
          <w:sz w:val="16"/>
          <w:szCs w:val="16"/>
        </w:rPr>
        <w:softHyphen/>
        <w:t>нии вермахта, то их броня при стрельбе с самолета Ил-2 снарядами БЗ-23 пуш</w:t>
      </w:r>
      <w:r w:rsidRPr="008127F8">
        <w:rPr>
          <w:rFonts w:ascii="Times New Roman" w:hAnsi="Times New Roman"/>
          <w:color w:val="000000" w:themeColor="text1"/>
          <w:sz w:val="16"/>
          <w:szCs w:val="16"/>
        </w:rPr>
        <w:softHyphen/>
        <w:t>ки ВЯ-23 не поражалась ни с одного направления атаки.</w:t>
      </w:r>
    </w:p>
    <w:p w14:paraId="16F876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62 попаданий в немецкие сред</w:t>
      </w:r>
      <w:r w:rsidRPr="008127F8">
        <w:rPr>
          <w:rFonts w:ascii="Times New Roman" w:hAnsi="Times New Roman"/>
          <w:color w:val="000000" w:themeColor="text1"/>
          <w:sz w:val="16"/>
          <w:szCs w:val="16"/>
        </w:rPr>
        <w:softHyphen/>
        <w:t>ние танки (Pz.lll Ausf G и StuG III Ausf E), полученных при полигонных стрельбах с воздуха, было только одно сквозное пробитие (в броне толщиной 10 мм), одно застревание сердечника, 27 попаданий в ходовую часть, не наносящих суще</w:t>
      </w:r>
      <w:r w:rsidRPr="008127F8">
        <w:rPr>
          <w:rFonts w:ascii="Times New Roman" w:hAnsi="Times New Roman"/>
          <w:color w:val="000000" w:themeColor="text1"/>
          <w:sz w:val="16"/>
          <w:szCs w:val="16"/>
        </w:rPr>
        <w:softHyphen/>
        <w:t>ственных повреждений танку, остальные попадания снарядов дали либо вмяти</w:t>
      </w:r>
      <w:r w:rsidRPr="008127F8">
        <w:rPr>
          <w:rFonts w:ascii="Times New Roman" w:hAnsi="Times New Roman"/>
          <w:color w:val="000000" w:themeColor="text1"/>
          <w:sz w:val="16"/>
          <w:szCs w:val="16"/>
        </w:rPr>
        <w:softHyphen/>
        <w:t>ны, либо рикошеты.</w:t>
      </w:r>
    </w:p>
    <w:p w14:paraId="54D867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Анализ результатов полигонных стрельб показывает, что устойчивое по</w:t>
      </w:r>
      <w:r w:rsidRPr="008127F8">
        <w:rPr>
          <w:rFonts w:ascii="Times New Roman" w:hAnsi="Times New Roman"/>
          <w:color w:val="000000" w:themeColor="text1"/>
          <w:sz w:val="16"/>
          <w:szCs w:val="16"/>
        </w:rPr>
        <w:softHyphen/>
        <w:t>ражение средних немецких танков мож</w:t>
      </w:r>
      <w:r w:rsidRPr="008127F8">
        <w:rPr>
          <w:rFonts w:ascii="Times New Roman" w:hAnsi="Times New Roman"/>
          <w:color w:val="000000" w:themeColor="text1"/>
          <w:sz w:val="16"/>
          <w:szCs w:val="16"/>
        </w:rPr>
        <w:softHyphen/>
        <w:t xml:space="preserve">но было обеспечить (крыша башни Pz.lll Ausf G и надмоторная часть танка </w:t>
      </w:r>
      <w:r w:rsidRPr="008127F8">
        <w:rPr>
          <w:rFonts w:ascii="Times New Roman" w:hAnsi="Times New Roman"/>
          <w:smallCaps/>
          <w:color w:val="000000" w:themeColor="text1"/>
          <w:sz w:val="16"/>
          <w:szCs w:val="16"/>
        </w:rPr>
        <w:t xml:space="preserve">pz.iv </w:t>
      </w:r>
      <w:r w:rsidRPr="008127F8">
        <w:rPr>
          <w:rFonts w:ascii="Times New Roman" w:hAnsi="Times New Roman"/>
          <w:color w:val="000000" w:themeColor="text1"/>
          <w:sz w:val="16"/>
          <w:szCs w:val="16"/>
        </w:rPr>
        <w:t>Ausf D с толщиной брони 10 мм) только с пикирования под углами более 40° с дальностей 300-400 м. Однако пилоти</w:t>
      </w:r>
      <w:r w:rsidRPr="008127F8">
        <w:rPr>
          <w:rFonts w:ascii="Times New Roman" w:hAnsi="Times New Roman"/>
          <w:color w:val="000000" w:themeColor="text1"/>
          <w:sz w:val="16"/>
          <w:szCs w:val="16"/>
        </w:rPr>
        <w:softHyphen/>
        <w:t>рование штурмовика Ил-2 на этих ре</w:t>
      </w:r>
      <w:r w:rsidRPr="008127F8">
        <w:rPr>
          <w:rFonts w:ascii="Times New Roman" w:hAnsi="Times New Roman"/>
          <w:color w:val="000000" w:themeColor="text1"/>
          <w:sz w:val="16"/>
          <w:szCs w:val="16"/>
        </w:rPr>
        <w:softHyphen/>
        <w:t>жимах было очень сложным, а вероят</w:t>
      </w:r>
      <w:r w:rsidRPr="008127F8">
        <w:rPr>
          <w:rFonts w:ascii="Times New Roman" w:hAnsi="Times New Roman"/>
          <w:color w:val="000000" w:themeColor="text1"/>
          <w:sz w:val="16"/>
          <w:szCs w:val="16"/>
        </w:rPr>
        <w:softHyphen/>
        <w:t>ность попадания в уязвимые части тан</w:t>
      </w:r>
      <w:r w:rsidRPr="008127F8">
        <w:rPr>
          <w:rFonts w:ascii="Times New Roman" w:hAnsi="Times New Roman"/>
          <w:color w:val="000000" w:themeColor="text1"/>
          <w:sz w:val="16"/>
          <w:szCs w:val="16"/>
        </w:rPr>
        <w:softHyphen/>
        <w:t>ков, из-за малой их площади, была все же небольшой.</w:t>
      </w:r>
    </w:p>
    <w:p w14:paraId="0D0DCDE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Другими словами, штурмовик Ил-2, вооруженный пушками ВЯ-23, мог нано</w:t>
      </w:r>
      <w:r w:rsidRPr="008127F8">
        <w:rPr>
          <w:rFonts w:ascii="Times New Roman" w:hAnsi="Times New Roman"/>
          <w:color w:val="000000" w:themeColor="text1"/>
          <w:sz w:val="16"/>
          <w:szCs w:val="16"/>
        </w:rPr>
        <w:softHyphen/>
        <w:t>сить поражение только легким немец</w:t>
      </w:r>
      <w:r w:rsidRPr="008127F8">
        <w:rPr>
          <w:rFonts w:ascii="Times New Roman" w:hAnsi="Times New Roman"/>
          <w:color w:val="000000" w:themeColor="text1"/>
          <w:sz w:val="16"/>
          <w:szCs w:val="16"/>
        </w:rPr>
        <w:softHyphen/>
        <w:t>ким танкам, да и то при атаке последних сзади или сбоку под углами планиро</w:t>
      </w:r>
      <w:r w:rsidRPr="008127F8">
        <w:rPr>
          <w:rFonts w:ascii="Times New Roman" w:hAnsi="Times New Roman"/>
          <w:color w:val="000000" w:themeColor="text1"/>
          <w:sz w:val="16"/>
          <w:szCs w:val="16"/>
        </w:rPr>
        <w:softHyphen/>
        <w:t>вания до 30°. Атака же самолетом Ил-2 любого немецкого танка спереди как с планирования, так и с бреющего полета была совершенно неэффективна, а сред</w:t>
      </w:r>
      <w:r w:rsidRPr="008127F8">
        <w:rPr>
          <w:rFonts w:ascii="Times New Roman" w:hAnsi="Times New Roman"/>
          <w:color w:val="000000" w:themeColor="text1"/>
          <w:sz w:val="16"/>
          <w:szCs w:val="16"/>
        </w:rPr>
        <w:softHyphen/>
        <w:t>них немецких танков - также и при ата</w:t>
      </w:r>
      <w:r w:rsidRPr="008127F8">
        <w:rPr>
          <w:rFonts w:ascii="Times New Roman" w:hAnsi="Times New Roman"/>
          <w:color w:val="000000" w:themeColor="text1"/>
          <w:sz w:val="16"/>
          <w:szCs w:val="16"/>
        </w:rPr>
        <w:softHyphen/>
        <w:t>ке сзади.</w:t>
      </w:r>
    </w:p>
    <w:p w14:paraId="65A02A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мнению летчиков-испытателей НИП АВ ВВС КА самая удобная и эф</w:t>
      </w:r>
      <w:r w:rsidRPr="008127F8">
        <w:rPr>
          <w:rFonts w:ascii="Times New Roman" w:hAnsi="Times New Roman"/>
          <w:color w:val="000000" w:themeColor="text1"/>
          <w:sz w:val="16"/>
          <w:szCs w:val="16"/>
        </w:rPr>
        <w:softHyphen/>
        <w:t>фективная стрельба с самолета Ил-2 из пушек ВЯ-23 по немецким танкам, с точ</w:t>
      </w:r>
      <w:r w:rsidRPr="008127F8">
        <w:rPr>
          <w:rFonts w:ascii="Times New Roman" w:hAnsi="Times New Roman"/>
          <w:color w:val="000000" w:themeColor="text1"/>
          <w:sz w:val="16"/>
          <w:szCs w:val="16"/>
        </w:rPr>
        <w:softHyphen/>
        <w:t>ки зрения ориентировки, маневрирова</w:t>
      </w:r>
      <w:r w:rsidRPr="008127F8">
        <w:rPr>
          <w:rFonts w:ascii="Times New Roman" w:hAnsi="Times New Roman"/>
          <w:color w:val="000000" w:themeColor="text1"/>
          <w:sz w:val="16"/>
          <w:szCs w:val="16"/>
        </w:rPr>
        <w:softHyphen/>
        <w:t>ния, времени нахождения на боевом кур</w:t>
      </w:r>
      <w:r w:rsidRPr="008127F8">
        <w:rPr>
          <w:rFonts w:ascii="Times New Roman" w:hAnsi="Times New Roman"/>
          <w:color w:val="000000" w:themeColor="text1"/>
          <w:sz w:val="16"/>
          <w:szCs w:val="16"/>
        </w:rPr>
        <w:softHyphen/>
        <w:t>се, точности стрельбы и т.д., являлась стрельба с планирования под углом 25-30° при высоте ввода в планирование 500-700 м и скорости ввода 240-220 км/ ч (высота вывода - 200-150 м). Скорость планирования одноместного Ил-2 при этих углах увеличивалась незначитель</w:t>
      </w:r>
      <w:r w:rsidRPr="008127F8">
        <w:rPr>
          <w:rFonts w:ascii="Times New Roman" w:hAnsi="Times New Roman"/>
          <w:color w:val="000000" w:themeColor="text1"/>
          <w:sz w:val="16"/>
          <w:szCs w:val="16"/>
        </w:rPr>
        <w:softHyphen/>
        <w:t>но - всего на 9-11 м/с, что допускало маневрирование для наводки по прице</w:t>
      </w:r>
      <w:r w:rsidRPr="008127F8">
        <w:rPr>
          <w:rFonts w:ascii="Times New Roman" w:hAnsi="Times New Roman"/>
          <w:color w:val="000000" w:themeColor="text1"/>
          <w:sz w:val="16"/>
          <w:szCs w:val="16"/>
        </w:rPr>
        <w:softHyphen/>
        <w:t>лу и трассе. Полное время атаки цели (устранение бокового скольжения при развороте на цель, прицеливание и ведение огня из пушек) в этом слу</w:t>
      </w:r>
      <w:r w:rsidRPr="008127F8">
        <w:rPr>
          <w:rFonts w:ascii="Times New Roman" w:hAnsi="Times New Roman"/>
          <w:color w:val="000000" w:themeColor="text1"/>
          <w:sz w:val="16"/>
          <w:szCs w:val="16"/>
        </w:rPr>
        <w:softHyphen/>
        <w:t>чае было вполне достаточным и ко</w:t>
      </w:r>
      <w:r w:rsidRPr="008127F8">
        <w:rPr>
          <w:rFonts w:ascii="Times New Roman" w:hAnsi="Times New Roman"/>
          <w:color w:val="000000" w:themeColor="text1"/>
          <w:sz w:val="16"/>
          <w:szCs w:val="16"/>
        </w:rPr>
        <w:softHyphen/>
        <w:t>лебалось от 6 до 9 сек, что позволяло летчику сделать две-три прицель</w:t>
      </w:r>
      <w:r w:rsidRPr="008127F8">
        <w:rPr>
          <w:rFonts w:ascii="Times New Roman" w:hAnsi="Times New Roman"/>
          <w:color w:val="000000" w:themeColor="text1"/>
          <w:sz w:val="16"/>
          <w:szCs w:val="16"/>
        </w:rPr>
        <w:softHyphen/>
        <w:t>ные очереди из расчета, что на ус</w:t>
      </w:r>
      <w:r w:rsidRPr="008127F8">
        <w:rPr>
          <w:rFonts w:ascii="Times New Roman" w:hAnsi="Times New Roman"/>
          <w:color w:val="000000" w:themeColor="text1"/>
          <w:sz w:val="16"/>
          <w:szCs w:val="16"/>
        </w:rPr>
        <w:softHyphen/>
        <w:t>транение бокового скольжения штур</w:t>
      </w:r>
      <w:r w:rsidRPr="008127F8">
        <w:rPr>
          <w:rFonts w:ascii="Times New Roman" w:hAnsi="Times New Roman"/>
          <w:color w:val="000000" w:themeColor="text1"/>
          <w:sz w:val="16"/>
          <w:szCs w:val="16"/>
        </w:rPr>
        <w:softHyphen/>
        <w:t>мовика при разво</w:t>
      </w:r>
      <w:r w:rsidRPr="008127F8">
        <w:rPr>
          <w:rFonts w:ascii="Times New Roman" w:hAnsi="Times New Roman"/>
          <w:color w:val="000000" w:themeColor="text1"/>
          <w:sz w:val="16"/>
          <w:szCs w:val="16"/>
        </w:rPr>
        <w:softHyphen/>
        <w:t>роте на цель необ</w:t>
      </w:r>
      <w:r w:rsidRPr="008127F8">
        <w:rPr>
          <w:rFonts w:ascii="Times New Roman" w:hAnsi="Times New Roman"/>
          <w:color w:val="000000" w:themeColor="text1"/>
          <w:sz w:val="16"/>
          <w:szCs w:val="16"/>
        </w:rPr>
        <w:softHyphen/>
        <w:t>ходимо затратить около 1,5-2 сек, на прицеливание и исправление на</w:t>
      </w:r>
      <w:r w:rsidRPr="008127F8">
        <w:rPr>
          <w:rFonts w:ascii="Times New Roman" w:hAnsi="Times New Roman"/>
          <w:color w:val="000000" w:themeColor="text1"/>
          <w:sz w:val="16"/>
          <w:szCs w:val="16"/>
        </w:rPr>
        <w:softHyphen/>
        <w:t>водки между очередями требуется так</w:t>
      </w:r>
      <w:r w:rsidRPr="008127F8">
        <w:rPr>
          <w:rFonts w:ascii="Times New Roman" w:hAnsi="Times New Roman"/>
          <w:color w:val="000000" w:themeColor="text1"/>
          <w:sz w:val="16"/>
          <w:szCs w:val="16"/>
        </w:rPr>
        <w:softHyphen/>
        <w:t>же 1,5-2 сек, а длина очереди не превы</w:t>
      </w:r>
      <w:r w:rsidRPr="008127F8">
        <w:rPr>
          <w:rFonts w:ascii="Times New Roman" w:hAnsi="Times New Roman"/>
          <w:color w:val="000000" w:themeColor="text1"/>
          <w:sz w:val="16"/>
          <w:szCs w:val="16"/>
        </w:rPr>
        <w:softHyphen/>
        <w:t>шает 1 сек (ведение огня из пушек ВЯ более 1 -2 сек приводило к существен</w:t>
      </w:r>
      <w:r w:rsidRPr="008127F8">
        <w:rPr>
          <w:rFonts w:ascii="Times New Roman" w:hAnsi="Times New Roman"/>
          <w:color w:val="000000" w:themeColor="text1"/>
          <w:sz w:val="16"/>
          <w:szCs w:val="16"/>
        </w:rPr>
        <w:softHyphen/>
        <w:t>ному нарушению наводки и к резкому увеличению рассеивания снарядов, то есть к снижению точности стрельбы). Дальность начала прицеливания по тан</w:t>
      </w:r>
      <w:r w:rsidRPr="008127F8">
        <w:rPr>
          <w:rFonts w:ascii="Times New Roman" w:hAnsi="Times New Roman"/>
          <w:color w:val="000000" w:themeColor="text1"/>
          <w:sz w:val="16"/>
          <w:szCs w:val="16"/>
        </w:rPr>
        <w:softHyphen/>
        <w:t>ку составляла 600-800 м, а минимальная дистанция открытия огня - около 300-400м.</w:t>
      </w:r>
    </w:p>
    <w:p w14:paraId="4C9989B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результатами стрельб с воздуха с самолета Ил-2 по немецким танкам специалистами НИП АВ ВВС КА были определены и опти</w:t>
      </w:r>
      <w:r w:rsidRPr="008127F8">
        <w:rPr>
          <w:rFonts w:ascii="Times New Roman" w:hAnsi="Times New Roman"/>
          <w:color w:val="000000" w:themeColor="text1"/>
          <w:sz w:val="16"/>
          <w:szCs w:val="16"/>
        </w:rPr>
        <w:softHyphen/>
        <w:t>мальные, по их мнению, способы атак танковых и мотомеханизированных ко</w:t>
      </w:r>
      <w:r w:rsidRPr="008127F8">
        <w:rPr>
          <w:rFonts w:ascii="Times New Roman" w:hAnsi="Times New Roman"/>
          <w:color w:val="000000" w:themeColor="text1"/>
          <w:sz w:val="16"/>
          <w:szCs w:val="16"/>
        </w:rPr>
        <w:softHyphen/>
        <w:t>лонн. Наилучшие результаты получились при атаке колонны сзади вдоль или сбо</w:t>
      </w:r>
      <w:r w:rsidRPr="008127F8">
        <w:rPr>
          <w:rFonts w:ascii="Times New Roman" w:hAnsi="Times New Roman"/>
          <w:color w:val="000000" w:themeColor="text1"/>
          <w:sz w:val="16"/>
          <w:szCs w:val="16"/>
        </w:rPr>
        <w:softHyphen/>
        <w:t>ку при угле планирования 30° с высот 500-700 м, дальность начала прицелива</w:t>
      </w:r>
      <w:r w:rsidRPr="008127F8">
        <w:rPr>
          <w:rFonts w:ascii="Times New Roman" w:hAnsi="Times New Roman"/>
          <w:color w:val="000000" w:themeColor="text1"/>
          <w:sz w:val="16"/>
          <w:szCs w:val="16"/>
        </w:rPr>
        <w:softHyphen/>
        <w:t>ния порядка 800 м, а ведения огня - до 200-300 м, прицеливание производилось по отдельному танку или автомашине из состава колонны. Атака должна была проводиться в нескольких заходах. При</w:t>
      </w:r>
      <w:r w:rsidRPr="008127F8">
        <w:rPr>
          <w:rFonts w:ascii="Times New Roman" w:hAnsi="Times New Roman"/>
          <w:color w:val="000000" w:themeColor="text1"/>
          <w:sz w:val="16"/>
          <w:szCs w:val="16"/>
        </w:rPr>
        <w:softHyphen/>
        <w:t>чем в первом заходе удар наносился по голове колонны сначала стрельбой РСами (дистанции пуска - 600-700 м), а за</w:t>
      </w:r>
      <w:r w:rsidRPr="008127F8">
        <w:rPr>
          <w:rFonts w:ascii="Times New Roman" w:hAnsi="Times New Roman"/>
          <w:color w:val="000000" w:themeColor="text1"/>
          <w:sz w:val="16"/>
          <w:szCs w:val="16"/>
        </w:rPr>
        <w:softHyphen/>
        <w:t>тем стрельбой из пушек. В последую</w:t>
      </w:r>
      <w:r w:rsidRPr="008127F8">
        <w:rPr>
          <w:rFonts w:ascii="Times New Roman" w:hAnsi="Times New Roman"/>
          <w:color w:val="000000" w:themeColor="text1"/>
          <w:sz w:val="16"/>
          <w:szCs w:val="16"/>
        </w:rPr>
        <w:softHyphen/>
        <w:t>щих заходах сбрасывались авиабомбы и велся огонь из пулеметов и пушек.</w:t>
      </w:r>
    </w:p>
    <w:p w14:paraId="394465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Применительно к такому способу ата</w:t>
      </w:r>
      <w:r w:rsidRPr="008127F8">
        <w:rPr>
          <w:rFonts w:ascii="Times New Roman" w:hAnsi="Times New Roman"/>
          <w:color w:val="000000" w:themeColor="text1"/>
          <w:sz w:val="16"/>
          <w:szCs w:val="16"/>
        </w:rPr>
        <w:softHyphen/>
        <w:t>ки в 12 самолето-вылетах средний про</w:t>
      </w:r>
      <w:r w:rsidRPr="008127F8">
        <w:rPr>
          <w:rFonts w:ascii="Times New Roman" w:hAnsi="Times New Roman"/>
          <w:color w:val="000000" w:themeColor="text1"/>
          <w:sz w:val="16"/>
          <w:szCs w:val="16"/>
        </w:rPr>
        <w:softHyphen/>
        <w:t>цент попадания из пушек ВЯ в танк точ</w:t>
      </w:r>
      <w:r w:rsidRPr="008127F8">
        <w:rPr>
          <w:rFonts w:ascii="Times New Roman" w:hAnsi="Times New Roman"/>
          <w:color w:val="000000" w:themeColor="text1"/>
          <w:sz w:val="16"/>
          <w:szCs w:val="16"/>
        </w:rPr>
        <w:softHyphen/>
        <w:t>ки наводки составил 7%, а в колонну танков - 7,5% (общий расход снарядов 426 шт.). При этом летчик с лучшей стрелковой подготовкой (ведущий лет</w:t>
      </w:r>
      <w:r w:rsidRPr="008127F8">
        <w:rPr>
          <w:rFonts w:ascii="Times New Roman" w:hAnsi="Times New Roman"/>
          <w:color w:val="000000" w:themeColor="text1"/>
          <w:sz w:val="16"/>
          <w:szCs w:val="16"/>
        </w:rPr>
        <w:softHyphen/>
        <w:t>чик-испытатель НИП АВ м-р Н.И.Звонарев) обеспечивал 7,4% попаданий в от</w:t>
      </w:r>
      <w:r w:rsidRPr="008127F8">
        <w:rPr>
          <w:rFonts w:ascii="Times New Roman" w:hAnsi="Times New Roman"/>
          <w:color w:val="000000" w:themeColor="text1"/>
          <w:sz w:val="16"/>
          <w:szCs w:val="16"/>
        </w:rPr>
        <w:softHyphen/>
        <w:t>дельный танк (или танк точки наводки) и 9,5% попаданий в колонну танков, тог</w:t>
      </w:r>
      <w:r w:rsidRPr="008127F8">
        <w:rPr>
          <w:rFonts w:ascii="Times New Roman" w:hAnsi="Times New Roman"/>
          <w:color w:val="000000" w:themeColor="text1"/>
          <w:sz w:val="16"/>
          <w:szCs w:val="16"/>
        </w:rPr>
        <w:softHyphen/>
        <w:t xml:space="preserve">да как летчики с удовлетворительной подготовкой (строевые летчики из 245-го </w:t>
      </w:r>
      <w:r w:rsidRPr="008127F8">
        <w:rPr>
          <w:rFonts w:ascii="Times New Roman" w:hAnsi="Times New Roman"/>
          <w:iCs/>
          <w:color w:val="000000" w:themeColor="text1"/>
          <w:sz w:val="16"/>
          <w:szCs w:val="16"/>
        </w:rPr>
        <w:t>шап)</w:t>
      </w:r>
      <w:r w:rsidRPr="008127F8">
        <w:rPr>
          <w:rFonts w:ascii="Times New Roman" w:hAnsi="Times New Roman"/>
          <w:color w:val="000000" w:themeColor="text1"/>
          <w:sz w:val="16"/>
          <w:szCs w:val="16"/>
        </w:rPr>
        <w:t xml:space="preserve"> имели гораздо худший резуль</w:t>
      </w:r>
      <w:r w:rsidRPr="008127F8">
        <w:rPr>
          <w:rFonts w:ascii="Times New Roman" w:hAnsi="Times New Roman"/>
          <w:color w:val="000000" w:themeColor="text1"/>
          <w:sz w:val="16"/>
          <w:szCs w:val="16"/>
        </w:rPr>
        <w:softHyphen/>
        <w:t>тат. Средний процент попадания в танк точки наводки фронтовых летчиков не превысил 4,2% (разброс от 1,5% до 6%), хотя процент попадания в колонну танков был выше - 12,6% (разброс от 6% до 20%).</w:t>
      </w:r>
    </w:p>
    <w:p w14:paraId="100817E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Атаку самолетом Ил-2 длинной не</w:t>
      </w:r>
      <w:r w:rsidRPr="008127F8">
        <w:rPr>
          <w:rFonts w:ascii="Times New Roman" w:hAnsi="Times New Roman"/>
          <w:color w:val="000000" w:themeColor="text1"/>
          <w:sz w:val="16"/>
          <w:szCs w:val="16"/>
        </w:rPr>
        <w:softHyphen/>
        <w:t>бронированной цели летчики НИП АВ рекомендовали производить с бреюще</w:t>
      </w:r>
      <w:r w:rsidRPr="008127F8">
        <w:rPr>
          <w:rFonts w:ascii="Times New Roman" w:hAnsi="Times New Roman"/>
          <w:color w:val="000000" w:themeColor="text1"/>
          <w:sz w:val="16"/>
          <w:szCs w:val="16"/>
        </w:rPr>
        <w:softHyphen/>
        <w:t>го полета, обстреливая цель сначала из PC с дистанций 600-700 м, а затем из пулеметов и пушек с дистанции 400-600 м. Бомбометание в этом случае не</w:t>
      </w:r>
      <w:r w:rsidRPr="008127F8">
        <w:rPr>
          <w:rFonts w:ascii="Times New Roman" w:hAnsi="Times New Roman"/>
          <w:color w:val="000000" w:themeColor="text1"/>
          <w:sz w:val="16"/>
          <w:szCs w:val="16"/>
        </w:rPr>
        <w:softHyphen/>
        <w:t>обходимо было осуществлять в после</w:t>
      </w:r>
      <w:r w:rsidRPr="008127F8">
        <w:rPr>
          <w:rFonts w:ascii="Times New Roman" w:hAnsi="Times New Roman"/>
          <w:color w:val="000000" w:themeColor="text1"/>
          <w:sz w:val="16"/>
          <w:szCs w:val="16"/>
        </w:rPr>
        <w:softHyphen/>
        <w:t>дующих заходах, сбрасывая бомбы се</w:t>
      </w:r>
      <w:r w:rsidRPr="008127F8">
        <w:rPr>
          <w:rFonts w:ascii="Times New Roman" w:hAnsi="Times New Roman"/>
          <w:color w:val="000000" w:themeColor="text1"/>
          <w:sz w:val="16"/>
          <w:szCs w:val="16"/>
        </w:rPr>
        <w:softHyphen/>
        <w:t>рией с высот 100-200 м, применяя взры</w:t>
      </w:r>
      <w:r w:rsidRPr="008127F8">
        <w:rPr>
          <w:rFonts w:ascii="Times New Roman" w:hAnsi="Times New Roman"/>
          <w:color w:val="000000" w:themeColor="text1"/>
          <w:sz w:val="16"/>
          <w:szCs w:val="16"/>
        </w:rPr>
        <w:softHyphen/>
        <w:t>ватель мгновенного действия.</w:t>
      </w:r>
    </w:p>
    <w:p w14:paraId="2189159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Причем при атаке такой цели груп</w:t>
      </w:r>
      <w:r w:rsidRPr="008127F8">
        <w:rPr>
          <w:rFonts w:ascii="Times New Roman" w:hAnsi="Times New Roman"/>
          <w:color w:val="000000" w:themeColor="text1"/>
          <w:sz w:val="16"/>
          <w:szCs w:val="16"/>
        </w:rPr>
        <w:softHyphen/>
        <w:t>пой из 4-6 самолетов Ил-2 для более эффективного поражения цели предла</w:t>
      </w:r>
      <w:r w:rsidRPr="008127F8">
        <w:rPr>
          <w:rFonts w:ascii="Times New Roman" w:hAnsi="Times New Roman"/>
          <w:color w:val="000000" w:themeColor="text1"/>
          <w:sz w:val="16"/>
          <w:szCs w:val="16"/>
        </w:rPr>
        <w:softHyphen/>
        <w:t>галось одной частью самолетов атако</w:t>
      </w:r>
      <w:r w:rsidRPr="008127F8">
        <w:rPr>
          <w:rFonts w:ascii="Times New Roman" w:hAnsi="Times New Roman"/>
          <w:color w:val="000000" w:themeColor="text1"/>
          <w:sz w:val="16"/>
          <w:szCs w:val="16"/>
        </w:rPr>
        <w:softHyphen/>
        <w:t>вать цель с бреющего полета, обстре</w:t>
      </w:r>
      <w:r w:rsidRPr="008127F8">
        <w:rPr>
          <w:rFonts w:ascii="Times New Roman" w:hAnsi="Times New Roman"/>
          <w:color w:val="000000" w:themeColor="text1"/>
          <w:sz w:val="16"/>
          <w:szCs w:val="16"/>
        </w:rPr>
        <w:softHyphen/>
        <w:t>ливая ее из PC и стрелково-пушечного вооружения и сбрасывая бомбы с взры</w:t>
      </w:r>
      <w:r w:rsidRPr="008127F8">
        <w:rPr>
          <w:rFonts w:ascii="Times New Roman" w:hAnsi="Times New Roman"/>
          <w:color w:val="000000" w:themeColor="text1"/>
          <w:sz w:val="16"/>
          <w:szCs w:val="16"/>
        </w:rPr>
        <w:softHyphen/>
        <w:t>вателем АВ-1 серийно (замедление взрывателей 22 сек), а другой частью штурмовиков, следующей за первой с небольшим интервалом, производить атаку с планирования с высот 500-700 м, ведя огонь реактивными снарядами из пушек и пулеметов и осуществляя бомбометание на выводе из планиро</w:t>
      </w:r>
      <w:r w:rsidRPr="008127F8">
        <w:rPr>
          <w:rFonts w:ascii="Times New Roman" w:hAnsi="Times New Roman"/>
          <w:color w:val="000000" w:themeColor="text1"/>
          <w:sz w:val="16"/>
          <w:szCs w:val="16"/>
        </w:rPr>
        <w:softHyphen/>
        <w:t>вания (взрыватель мгновенного дей</w:t>
      </w:r>
      <w:r w:rsidRPr="008127F8">
        <w:rPr>
          <w:rFonts w:ascii="Times New Roman" w:hAnsi="Times New Roman"/>
          <w:color w:val="000000" w:themeColor="text1"/>
          <w:sz w:val="16"/>
          <w:szCs w:val="16"/>
        </w:rPr>
        <w:softHyphen/>
        <w:t>ствия).</w:t>
      </w:r>
    </w:p>
    <w:p w14:paraId="230D14B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Атаку самолетами Ил-2 скоплений пехоты и автотранспорта лучше всего производить с бреющего полета и с планирования под углом 5-10° с высот 100-200 м с последующим заходом на бомбометание на выводе из пикирования.</w:t>
      </w:r>
    </w:p>
    <w:p w14:paraId="47DFD3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короткой цели, как бронирован</w:t>
      </w:r>
      <w:r w:rsidRPr="008127F8">
        <w:rPr>
          <w:rFonts w:ascii="Times New Roman" w:hAnsi="Times New Roman"/>
          <w:color w:val="000000" w:themeColor="text1"/>
          <w:sz w:val="16"/>
          <w:szCs w:val="16"/>
        </w:rPr>
        <w:softHyphen/>
        <w:t>ной, так и небронированной, а также по точечным целям (отдельный танк, авто</w:t>
      </w:r>
      <w:r w:rsidRPr="008127F8">
        <w:rPr>
          <w:rFonts w:ascii="Times New Roman" w:hAnsi="Times New Roman"/>
          <w:color w:val="000000" w:themeColor="text1"/>
          <w:sz w:val="16"/>
          <w:szCs w:val="16"/>
        </w:rPr>
        <w:softHyphen/>
        <w:t>машина и т.д.) атаку самолетами Ил-2 необходимо было производить только с пикирования под углами 25-30° с высот 500-700 м.</w:t>
      </w:r>
    </w:p>
    <w:p w14:paraId="70B8D9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сожалению, летчики-испытатели НИП АВ ВВС КА, вырабатывая оптималь</w:t>
      </w:r>
      <w:r w:rsidRPr="008127F8">
        <w:rPr>
          <w:rFonts w:ascii="Times New Roman" w:hAnsi="Times New Roman"/>
          <w:color w:val="000000" w:themeColor="text1"/>
          <w:sz w:val="16"/>
          <w:szCs w:val="16"/>
        </w:rPr>
        <w:softHyphen/>
        <w:t>ную тактику боевого применения Ил-2, допустили досадную ошибку. В рекомен</w:t>
      </w:r>
      <w:r w:rsidRPr="008127F8">
        <w:rPr>
          <w:rFonts w:ascii="Times New Roman" w:hAnsi="Times New Roman"/>
          <w:color w:val="000000" w:themeColor="text1"/>
          <w:sz w:val="16"/>
          <w:szCs w:val="16"/>
        </w:rPr>
        <w:softHyphen/>
        <w:t>дациях строевым авиачастям были зна</w:t>
      </w:r>
      <w:r w:rsidRPr="008127F8">
        <w:rPr>
          <w:rFonts w:ascii="Times New Roman" w:hAnsi="Times New Roman"/>
          <w:color w:val="000000" w:themeColor="text1"/>
          <w:sz w:val="16"/>
          <w:szCs w:val="16"/>
        </w:rPr>
        <w:softHyphen/>
        <w:t>чительно завышены дальности стрель</w:t>
      </w:r>
      <w:r w:rsidRPr="008127F8">
        <w:rPr>
          <w:rFonts w:ascii="Times New Roman" w:hAnsi="Times New Roman"/>
          <w:color w:val="000000" w:themeColor="text1"/>
          <w:sz w:val="16"/>
          <w:szCs w:val="16"/>
        </w:rPr>
        <w:softHyphen/>
        <w:t>бы реактивными снарядами и не совсем корректно обосновано использование двух видов вооружения (например, PC и пушек или пушек и авиабомб) в одном заходе.</w:t>
      </w:r>
    </w:p>
    <w:p w14:paraId="7E792E5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Расчеты, основанные на результатах полигонных испытаний и анализе боев, показывают, что летчик с хорошей лет</w:t>
      </w:r>
      <w:r w:rsidRPr="008127F8">
        <w:rPr>
          <w:rFonts w:ascii="Times New Roman" w:hAnsi="Times New Roman"/>
          <w:color w:val="000000" w:themeColor="text1"/>
          <w:sz w:val="16"/>
          <w:szCs w:val="16"/>
        </w:rPr>
        <w:softHyphen/>
        <w:t>ной и стрелковой подготовкой, осуще</w:t>
      </w:r>
      <w:r w:rsidRPr="008127F8">
        <w:rPr>
          <w:rFonts w:ascii="Times New Roman" w:hAnsi="Times New Roman"/>
          <w:color w:val="000000" w:themeColor="text1"/>
          <w:sz w:val="16"/>
          <w:szCs w:val="16"/>
        </w:rPr>
        <w:softHyphen/>
        <w:t>ствляя на Ил-2 залповый пуск 4 PC-82 с дальности 300 м под углом планиро</w:t>
      </w:r>
      <w:r w:rsidRPr="008127F8">
        <w:rPr>
          <w:rFonts w:ascii="Times New Roman" w:hAnsi="Times New Roman"/>
          <w:color w:val="000000" w:themeColor="text1"/>
          <w:sz w:val="16"/>
          <w:szCs w:val="16"/>
        </w:rPr>
        <w:softHyphen/>
        <w:t>вания 30°, вполне мог в боевых условиях поразить средний немецкий танк типа Pz.lll Ausf J с вероятностью 0,08, а при залпе из 8 PC-82 - с вероятностью по</w:t>
      </w:r>
      <w:r w:rsidRPr="008127F8">
        <w:rPr>
          <w:rFonts w:ascii="Times New Roman" w:hAnsi="Times New Roman"/>
          <w:color w:val="000000" w:themeColor="text1"/>
          <w:sz w:val="16"/>
          <w:szCs w:val="16"/>
        </w:rPr>
        <w:softHyphen/>
        <w:t>рядка 0,25. Выполнение же одиночных или парных пусков PC-82 с дальности 600-700 м, как это рекомендовалось НИП АВ, могло обеспечить вероятность пора</w:t>
      </w:r>
      <w:r w:rsidRPr="008127F8">
        <w:rPr>
          <w:rFonts w:ascii="Times New Roman" w:hAnsi="Times New Roman"/>
          <w:color w:val="000000" w:themeColor="text1"/>
          <w:sz w:val="16"/>
          <w:szCs w:val="16"/>
        </w:rPr>
        <w:softHyphen/>
        <w:t>жения танка в тех же условиях лишь в 6-7 раз меньшую.</w:t>
      </w:r>
    </w:p>
    <w:p w14:paraId="09F49FF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Использование же двух видов воору</w:t>
      </w:r>
      <w:r w:rsidRPr="008127F8">
        <w:rPr>
          <w:rFonts w:ascii="Times New Roman" w:hAnsi="Times New Roman"/>
          <w:color w:val="000000" w:themeColor="text1"/>
          <w:sz w:val="16"/>
          <w:szCs w:val="16"/>
        </w:rPr>
        <w:softHyphen/>
        <w:t>жения штурмовика в одном заходе не позволяло с максимальной эффектив</w:t>
      </w:r>
      <w:r w:rsidRPr="008127F8">
        <w:rPr>
          <w:rFonts w:ascii="Times New Roman" w:hAnsi="Times New Roman"/>
          <w:color w:val="000000" w:themeColor="text1"/>
          <w:sz w:val="16"/>
          <w:szCs w:val="16"/>
        </w:rPr>
        <w:softHyphen/>
        <w:t>ностью использовать второй по счету вид оружия, поскольку точность прицелива</w:t>
      </w:r>
      <w:r w:rsidRPr="008127F8">
        <w:rPr>
          <w:rFonts w:ascii="Times New Roman" w:hAnsi="Times New Roman"/>
          <w:color w:val="000000" w:themeColor="text1"/>
          <w:sz w:val="16"/>
          <w:szCs w:val="16"/>
        </w:rPr>
        <w:softHyphen/>
        <w:t>ния в этом случае существенно снижалась.</w:t>
      </w:r>
    </w:p>
    <w:p w14:paraId="08AAB70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Действительно, при стрельбе, напри</w:t>
      </w:r>
      <w:r w:rsidRPr="008127F8">
        <w:rPr>
          <w:rFonts w:ascii="Times New Roman" w:hAnsi="Times New Roman"/>
          <w:color w:val="000000" w:themeColor="text1"/>
          <w:sz w:val="16"/>
          <w:szCs w:val="16"/>
        </w:rPr>
        <w:softHyphen/>
        <w:t>мер, РСами с пикирования под углом 30° (высота 600 м) точку прицеливания необходимо выносить вперед от цели на 10 м, тогда как при стрельбе из пулеме</w:t>
      </w:r>
      <w:r w:rsidRPr="008127F8">
        <w:rPr>
          <w:rFonts w:ascii="Times New Roman" w:hAnsi="Times New Roman"/>
          <w:color w:val="000000" w:themeColor="text1"/>
          <w:sz w:val="16"/>
          <w:szCs w:val="16"/>
        </w:rPr>
        <w:softHyphen/>
        <w:t>тов ШКАС - на 35 м, из пушек ВЯ - на 13 м, и из пушек ШВАК - на 40 м. То есть для одновременного использования этих видов оружия необходимо прице</w:t>
      </w:r>
      <w:r w:rsidRPr="008127F8">
        <w:rPr>
          <w:rFonts w:ascii="Times New Roman" w:hAnsi="Times New Roman"/>
          <w:color w:val="000000" w:themeColor="text1"/>
          <w:sz w:val="16"/>
          <w:szCs w:val="16"/>
        </w:rPr>
        <w:softHyphen/>
        <w:t>ливаться одновременно в разные точки, что практически невозможно.</w:t>
      </w:r>
    </w:p>
    <w:p w14:paraId="183B72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Ввод поправок в прицеливание пос</w:t>
      </w:r>
      <w:r w:rsidRPr="008127F8">
        <w:rPr>
          <w:rFonts w:ascii="Times New Roman" w:hAnsi="Times New Roman"/>
          <w:color w:val="000000" w:themeColor="text1"/>
          <w:sz w:val="16"/>
          <w:szCs w:val="16"/>
        </w:rPr>
        <w:softHyphen/>
        <w:t>ле стрельбы из первого вида оружия в принципе был возможен, но для точной стрельбы из второго вида оружия тре</w:t>
      </w:r>
      <w:r w:rsidRPr="008127F8">
        <w:rPr>
          <w:rFonts w:ascii="Times New Roman" w:hAnsi="Times New Roman"/>
          <w:color w:val="000000" w:themeColor="text1"/>
          <w:sz w:val="16"/>
          <w:szCs w:val="16"/>
        </w:rPr>
        <w:softHyphen/>
        <w:t>бовалась отличная стрелковая подготов</w:t>
      </w:r>
      <w:r w:rsidRPr="008127F8">
        <w:rPr>
          <w:rFonts w:ascii="Times New Roman" w:hAnsi="Times New Roman"/>
          <w:color w:val="000000" w:themeColor="text1"/>
          <w:sz w:val="16"/>
          <w:szCs w:val="16"/>
        </w:rPr>
        <w:softHyphen/>
        <w:t>ка летчика. Оценки, основанные на ре</w:t>
      </w:r>
      <w:r w:rsidRPr="008127F8">
        <w:rPr>
          <w:rFonts w:ascii="Times New Roman" w:hAnsi="Times New Roman"/>
          <w:color w:val="000000" w:themeColor="text1"/>
          <w:sz w:val="16"/>
          <w:szCs w:val="16"/>
        </w:rPr>
        <w:softHyphen/>
        <w:t>зультатах полигонных испытаний влия</w:t>
      </w:r>
      <w:r w:rsidRPr="008127F8">
        <w:rPr>
          <w:rFonts w:ascii="Times New Roman" w:hAnsi="Times New Roman"/>
          <w:color w:val="000000" w:themeColor="text1"/>
          <w:sz w:val="16"/>
          <w:szCs w:val="16"/>
        </w:rPr>
        <w:softHyphen/>
        <w:t>ния степени подготовленности летчиков на точность стрельбы, показывают, что эффективность стрельбы из второго вида оружия снижалась примерно на 20-70% (в зависимости от типа оружия).</w:t>
      </w:r>
    </w:p>
    <w:p w14:paraId="3B967B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Анализ боевых возможностей борто</w:t>
      </w:r>
      <w:r w:rsidRPr="008127F8">
        <w:rPr>
          <w:rFonts w:ascii="Times New Roman" w:hAnsi="Times New Roman"/>
          <w:color w:val="000000" w:themeColor="text1"/>
          <w:sz w:val="16"/>
          <w:szCs w:val="16"/>
        </w:rPr>
        <w:softHyphen/>
        <w:t>вого вооружения Ил-2 показывает, что более правильным было бы атаковывать короткую цель (бронированную или не</w:t>
      </w:r>
      <w:r w:rsidRPr="008127F8">
        <w:rPr>
          <w:rFonts w:ascii="Times New Roman" w:hAnsi="Times New Roman"/>
          <w:color w:val="000000" w:themeColor="text1"/>
          <w:sz w:val="16"/>
          <w:szCs w:val="16"/>
        </w:rPr>
        <w:softHyphen/>
      </w:r>
      <w:r w:rsidRPr="008127F8">
        <w:rPr>
          <w:rFonts w:ascii="Times New Roman" w:hAnsi="Times New Roman"/>
          <w:color w:val="000000" w:themeColor="text1"/>
          <w:sz w:val="16"/>
          <w:szCs w:val="16"/>
        </w:rPr>
        <w:lastRenderedPageBreak/>
        <w:t>бронированную) как минимум в трех заходах с планирования под углами 25-30° с высот 500-700 м, применяя в каж</w:t>
      </w:r>
      <w:r w:rsidRPr="008127F8">
        <w:rPr>
          <w:rFonts w:ascii="Times New Roman" w:hAnsi="Times New Roman"/>
          <w:color w:val="000000" w:themeColor="text1"/>
          <w:sz w:val="16"/>
          <w:szCs w:val="16"/>
        </w:rPr>
        <w:softHyphen/>
        <w:t>дом заходе только один вид вооруже</w:t>
      </w:r>
      <w:r w:rsidRPr="008127F8">
        <w:rPr>
          <w:rFonts w:ascii="Times New Roman" w:hAnsi="Times New Roman"/>
          <w:color w:val="000000" w:themeColor="text1"/>
          <w:sz w:val="16"/>
          <w:szCs w:val="16"/>
        </w:rPr>
        <w:softHyphen/>
        <w:t>ния. Например, в первом заходе осуще</w:t>
      </w:r>
      <w:r w:rsidRPr="008127F8">
        <w:rPr>
          <w:rFonts w:ascii="Times New Roman" w:hAnsi="Times New Roman"/>
          <w:color w:val="000000" w:themeColor="text1"/>
          <w:sz w:val="16"/>
          <w:szCs w:val="16"/>
        </w:rPr>
        <w:softHyphen/>
        <w:t>ствляется пуск PC залпом из 4-х снаря</w:t>
      </w:r>
      <w:r w:rsidRPr="008127F8">
        <w:rPr>
          <w:rFonts w:ascii="Times New Roman" w:hAnsi="Times New Roman"/>
          <w:color w:val="000000" w:themeColor="text1"/>
          <w:sz w:val="16"/>
          <w:szCs w:val="16"/>
        </w:rPr>
        <w:softHyphen/>
        <w:t>дов с дистанции 300-400 м, затем, во втором заходе, на выходе из планиро</w:t>
      </w:r>
      <w:r w:rsidRPr="008127F8">
        <w:rPr>
          <w:rFonts w:ascii="Times New Roman" w:hAnsi="Times New Roman"/>
          <w:color w:val="000000" w:themeColor="text1"/>
          <w:sz w:val="16"/>
          <w:szCs w:val="16"/>
        </w:rPr>
        <w:softHyphen/>
        <w:t>вания выполняется сброс авиабомб, а начиная с третьего захода цель обстре</w:t>
      </w:r>
      <w:r w:rsidRPr="008127F8">
        <w:rPr>
          <w:rFonts w:ascii="Times New Roman" w:hAnsi="Times New Roman"/>
          <w:color w:val="000000" w:themeColor="text1"/>
          <w:sz w:val="16"/>
          <w:szCs w:val="16"/>
        </w:rPr>
        <w:softHyphen/>
        <w:t>ливается пушечно-пулеметным огнем с дистанций не более 300-400 м. Атака длинной цели вполне могла бы произ</w:t>
      </w:r>
      <w:r w:rsidRPr="008127F8">
        <w:rPr>
          <w:rFonts w:ascii="Times New Roman" w:hAnsi="Times New Roman"/>
          <w:color w:val="000000" w:themeColor="text1"/>
          <w:sz w:val="16"/>
          <w:szCs w:val="16"/>
        </w:rPr>
        <w:softHyphen/>
        <w:t>водиться и с бреющего полета, как это рекомендовали специалисты НИП АВ, но обязательно с раздельным использова</w:t>
      </w:r>
      <w:r w:rsidRPr="008127F8">
        <w:rPr>
          <w:rFonts w:ascii="Times New Roman" w:hAnsi="Times New Roman"/>
          <w:color w:val="000000" w:themeColor="text1"/>
          <w:sz w:val="16"/>
          <w:szCs w:val="16"/>
        </w:rPr>
        <w:softHyphen/>
        <w:t>нием каждого вида вооружения Ил-2 при дальностях залпового пуска PC и нача</w:t>
      </w:r>
      <w:r w:rsidRPr="008127F8">
        <w:rPr>
          <w:rFonts w:ascii="Times New Roman" w:hAnsi="Times New Roman"/>
          <w:color w:val="000000" w:themeColor="text1"/>
          <w:sz w:val="16"/>
          <w:szCs w:val="16"/>
        </w:rPr>
        <w:softHyphen/>
        <w:t>ла пулеметно-пушечной стрельбы не более 400м.</w:t>
      </w:r>
    </w:p>
    <w:p w14:paraId="17019FE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заключение отчета по полигонным испытаниям Ил-2 с пушками ВЯ специ</w:t>
      </w:r>
      <w:r w:rsidRPr="008127F8">
        <w:rPr>
          <w:rFonts w:ascii="Times New Roman" w:hAnsi="Times New Roman"/>
          <w:color w:val="000000" w:themeColor="text1"/>
          <w:sz w:val="16"/>
          <w:szCs w:val="16"/>
        </w:rPr>
        <w:softHyphen/>
        <w:t>алисты НИП АВ ВВС КА совершенно пра</w:t>
      </w:r>
      <w:r w:rsidRPr="008127F8">
        <w:rPr>
          <w:rFonts w:ascii="Times New Roman" w:hAnsi="Times New Roman"/>
          <w:color w:val="000000" w:themeColor="text1"/>
          <w:sz w:val="16"/>
          <w:szCs w:val="16"/>
        </w:rPr>
        <w:softHyphen/>
        <w:t xml:space="preserve">вильно у казал и, что: </w:t>
      </w:r>
      <w:r w:rsidRPr="008127F8">
        <w:rPr>
          <w:rFonts w:ascii="Times New Roman" w:hAnsi="Times New Roman"/>
          <w:iCs/>
          <w:color w:val="000000" w:themeColor="text1"/>
          <w:sz w:val="16"/>
          <w:szCs w:val="16"/>
        </w:rPr>
        <w:t>"...Для более раци</w:t>
      </w:r>
      <w:r w:rsidRPr="008127F8">
        <w:rPr>
          <w:rFonts w:ascii="Times New Roman" w:hAnsi="Times New Roman"/>
          <w:iCs/>
          <w:color w:val="000000" w:themeColor="text1"/>
          <w:sz w:val="16"/>
          <w:szCs w:val="16"/>
        </w:rPr>
        <w:softHyphen/>
        <w:t>онального использования существующе</w:t>
      </w:r>
      <w:r w:rsidRPr="008127F8">
        <w:rPr>
          <w:rFonts w:ascii="Times New Roman" w:hAnsi="Times New Roman"/>
          <w:iCs/>
          <w:color w:val="000000" w:themeColor="text1"/>
          <w:sz w:val="16"/>
          <w:szCs w:val="16"/>
        </w:rPr>
        <w:softHyphen/>
        <w:t>го вооружения самолета Ил-2 в борьбе с немецкими танками необходимо вы</w:t>
      </w:r>
      <w:r w:rsidRPr="008127F8">
        <w:rPr>
          <w:rFonts w:ascii="Times New Roman" w:hAnsi="Times New Roman"/>
          <w:iCs/>
          <w:color w:val="000000" w:themeColor="text1"/>
          <w:sz w:val="16"/>
          <w:szCs w:val="16"/>
        </w:rPr>
        <w:softHyphen/>
        <w:t>делить штурмовые авиаполки, вооружен</w:t>
      </w:r>
      <w:r w:rsidRPr="008127F8">
        <w:rPr>
          <w:rFonts w:ascii="Times New Roman" w:hAnsi="Times New Roman"/>
          <w:iCs/>
          <w:color w:val="000000" w:themeColor="text1"/>
          <w:sz w:val="16"/>
          <w:szCs w:val="16"/>
        </w:rPr>
        <w:softHyphen/>
        <w:t>ные Ил-2 с авиапушками ВЯ-23 мм, основной задачей которых должно быть действие по танкам. Летный состав этих частей должен пройти спецподготовку... Считать необходимым создание специ</w:t>
      </w:r>
      <w:r w:rsidRPr="008127F8">
        <w:rPr>
          <w:rFonts w:ascii="Times New Roman" w:hAnsi="Times New Roman"/>
          <w:iCs/>
          <w:color w:val="000000" w:themeColor="text1"/>
          <w:sz w:val="16"/>
          <w:szCs w:val="16"/>
        </w:rPr>
        <w:softHyphen/>
        <w:t>ального центра по отработке вопросов боевого применения АВ ВВС КА, на базе которого проводить систематическую подготовку летных кадров в ведении прицельной стрельбы и бомбометания... Обратить особое внимание на повыше</w:t>
      </w:r>
      <w:r w:rsidRPr="008127F8">
        <w:rPr>
          <w:rFonts w:ascii="Times New Roman" w:hAnsi="Times New Roman"/>
          <w:iCs/>
          <w:color w:val="000000" w:themeColor="text1"/>
          <w:sz w:val="16"/>
          <w:szCs w:val="16"/>
        </w:rPr>
        <w:softHyphen/>
        <w:t>ние качества боевой подготовки летно</w:t>
      </w:r>
      <w:r w:rsidRPr="008127F8">
        <w:rPr>
          <w:rFonts w:ascii="Times New Roman" w:hAnsi="Times New Roman"/>
          <w:iCs/>
          <w:color w:val="000000" w:themeColor="text1"/>
          <w:sz w:val="16"/>
          <w:szCs w:val="16"/>
        </w:rPr>
        <w:softHyphen/>
        <w:t>го состава штурмовых частей в ЗАП в прицельной стрельбе и бомбометании".</w:t>
      </w:r>
    </w:p>
    <w:p w14:paraId="34615B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Командование ВВС КА "невниматель</w:t>
      </w:r>
      <w:r w:rsidRPr="008127F8">
        <w:rPr>
          <w:rFonts w:ascii="Times New Roman" w:hAnsi="Times New Roman"/>
          <w:color w:val="000000" w:themeColor="text1"/>
          <w:sz w:val="16"/>
          <w:szCs w:val="16"/>
        </w:rPr>
        <w:softHyphen/>
        <w:t>но" отнеслось к предложению НИП АВ, так и не создав в течение войны специ</w:t>
      </w:r>
      <w:r w:rsidRPr="008127F8">
        <w:rPr>
          <w:rFonts w:ascii="Times New Roman" w:hAnsi="Times New Roman"/>
          <w:color w:val="000000" w:themeColor="text1"/>
          <w:sz w:val="16"/>
          <w:szCs w:val="16"/>
        </w:rPr>
        <w:softHyphen/>
        <w:t>альных противотанковых штурмовых авиаполков, натренированных в борьбе с бронетехникой противника.</w:t>
      </w:r>
    </w:p>
    <w:p w14:paraId="15F0048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E9947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июне-июле 1942 г. полигонные испытания пушки ШВАК при стрельбе по трофейным немецким танкам показали, что снаряд БЗ-20 пушки ШВАК может пробить броню из хромомолибденовой стали с повышенным содержанием углерода толщиной до 15 мм (танки Pz.II Ausf F, Pz.38(t) Ausf С, БТР Sd Kfz 250) при углах встречи близких к нормали с дистанции не более 250-300 м. При отклонении от этих условий стрельба из пушки ШВАК становилась неэффективной. </w:t>
      </w:r>
    </w:p>
    <w:p w14:paraId="22F17D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Мало того, в 1942 г. упомянутых танков практически не осталось. </w:t>
      </w:r>
    </w:p>
    <w:p w14:paraId="256D98F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стрельбе же по среднему немецкому танку Pz.III Ausf G в этих же условиях во всех 24 попаданиях вообще не было получено ни одного пробития брони (11224).</w:t>
      </w:r>
    </w:p>
    <w:p w14:paraId="789282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34A92D" w14:textId="77777777" w:rsidR="004B4E79" w:rsidRPr="008A2E5A" w:rsidRDefault="004B4E79" w:rsidP="004B4E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июня по октябрь 1942 г. в частях ВВС КА на самолетах Як-7Б произошло четыре случая разрушения крыла в воздухе (на ЛаГГ-3 - шесть, на Ил-2 - один случай за тот же период). Комиссии, произво</w:t>
      </w:r>
      <w:r w:rsidRPr="008A2E5A">
        <w:rPr>
          <w:rFonts w:ascii="Times New Roman" w:hAnsi="Times New Roman"/>
          <w:color w:val="0070C0"/>
          <w:sz w:val="16"/>
          <w:szCs w:val="16"/>
        </w:rPr>
        <w:softHyphen/>
        <w:t>дившие расследование инцидентов, установили, что раз</w:t>
      </w:r>
      <w:r w:rsidRPr="008A2E5A">
        <w:rPr>
          <w:rFonts w:ascii="Times New Roman" w:hAnsi="Times New Roman"/>
          <w:color w:val="0070C0"/>
          <w:sz w:val="16"/>
          <w:szCs w:val="16"/>
        </w:rPr>
        <w:softHyphen/>
        <w:t>рушение крыла во всех случаях начиналось со срыва фа</w:t>
      </w:r>
      <w:r w:rsidRPr="008A2E5A">
        <w:rPr>
          <w:rFonts w:ascii="Times New Roman" w:hAnsi="Times New Roman"/>
          <w:color w:val="0070C0"/>
          <w:sz w:val="16"/>
          <w:szCs w:val="16"/>
        </w:rPr>
        <w:softHyphen/>
        <w:t>нерной обшивки, происходившей из-за непрочности ее крепления к набору кры</w:t>
      </w:r>
      <w:r w:rsidRPr="008A2E5A">
        <w:rPr>
          <w:rFonts w:ascii="Times New Roman" w:hAnsi="Times New Roman"/>
          <w:color w:val="0070C0"/>
          <w:sz w:val="16"/>
          <w:szCs w:val="16"/>
        </w:rPr>
        <w:softHyphen/>
        <w:t>ла. Отчасти в этом была вина завода, вы</w:t>
      </w:r>
      <w:r w:rsidRPr="008A2E5A">
        <w:rPr>
          <w:rFonts w:ascii="Times New Roman" w:hAnsi="Times New Roman"/>
          <w:color w:val="0070C0"/>
          <w:sz w:val="16"/>
          <w:szCs w:val="16"/>
        </w:rPr>
        <w:softHyphen/>
        <w:t>нужденно применявшего в конструкции крыла из-за недопоставок альбуминовую авиафанеру, механические свойства ко</w:t>
      </w:r>
      <w:r w:rsidRPr="008A2E5A">
        <w:rPr>
          <w:rFonts w:ascii="Times New Roman" w:hAnsi="Times New Roman"/>
          <w:color w:val="0070C0"/>
          <w:sz w:val="16"/>
          <w:szCs w:val="16"/>
        </w:rPr>
        <w:softHyphen/>
        <w:t>торой были ниже, чем у бакелитовой авиа</w:t>
      </w:r>
      <w:r w:rsidRPr="008A2E5A">
        <w:rPr>
          <w:rFonts w:ascii="Times New Roman" w:hAnsi="Times New Roman"/>
          <w:color w:val="0070C0"/>
          <w:sz w:val="16"/>
          <w:szCs w:val="16"/>
        </w:rPr>
        <w:softHyphen/>
        <w:t>фанеры (причем в случае наличия на заво</w:t>
      </w:r>
      <w:r w:rsidRPr="008A2E5A">
        <w:rPr>
          <w:rFonts w:ascii="Times New Roman" w:hAnsi="Times New Roman"/>
          <w:color w:val="0070C0"/>
          <w:sz w:val="16"/>
          <w:szCs w:val="16"/>
        </w:rPr>
        <w:softHyphen/>
        <w:t>де последней ее в первую очередь приме</w:t>
      </w:r>
      <w:r w:rsidRPr="008A2E5A">
        <w:rPr>
          <w:rFonts w:ascii="Times New Roman" w:hAnsi="Times New Roman"/>
          <w:color w:val="0070C0"/>
          <w:sz w:val="16"/>
          <w:szCs w:val="16"/>
        </w:rPr>
        <w:softHyphen/>
        <w:t>няли для изготовления крыльев Як-9, что, однако, не гарантировало автоматически заданных прочностных характеристик, так как сама фанера в условиях военного вре</w:t>
      </w:r>
      <w:r w:rsidRPr="008A2E5A">
        <w:rPr>
          <w:rFonts w:ascii="Times New Roman" w:hAnsi="Times New Roman"/>
          <w:color w:val="0070C0"/>
          <w:sz w:val="16"/>
          <w:szCs w:val="16"/>
        </w:rPr>
        <w:softHyphen/>
        <w:t>мени согласно ГОСТ-8102-41 могла по</w:t>
      </w:r>
      <w:r w:rsidRPr="008A2E5A">
        <w:rPr>
          <w:rFonts w:ascii="Times New Roman" w:hAnsi="Times New Roman"/>
          <w:color w:val="0070C0"/>
          <w:sz w:val="16"/>
          <w:szCs w:val="16"/>
        </w:rPr>
        <w:softHyphen/>
        <w:t>ставляться с пониженными качествами). С другой стороны, из-за отсутствия нор</w:t>
      </w:r>
      <w:r w:rsidRPr="008A2E5A">
        <w:rPr>
          <w:rFonts w:ascii="Times New Roman" w:hAnsi="Times New Roman"/>
          <w:color w:val="0070C0"/>
          <w:sz w:val="16"/>
          <w:szCs w:val="16"/>
        </w:rPr>
        <w:softHyphen/>
        <w:t>мальной подачи тепла, в крыльевом цехе завода №153 в декабре 1942 г. температу</w:t>
      </w:r>
      <w:r w:rsidRPr="008A2E5A">
        <w:rPr>
          <w:rFonts w:ascii="Times New Roman" w:hAnsi="Times New Roman"/>
          <w:color w:val="0070C0"/>
          <w:sz w:val="16"/>
          <w:szCs w:val="16"/>
        </w:rPr>
        <w:softHyphen/>
        <w:t>ра воздуха снижалась порой до 8°С. В сво</w:t>
      </w:r>
      <w:r w:rsidRPr="008A2E5A">
        <w:rPr>
          <w:rFonts w:ascii="Times New Roman" w:hAnsi="Times New Roman"/>
          <w:color w:val="0070C0"/>
          <w:sz w:val="16"/>
          <w:szCs w:val="16"/>
        </w:rPr>
        <w:softHyphen/>
        <w:t>ем письме руководству завода А.С. Яков</w:t>
      </w:r>
      <w:r w:rsidRPr="008A2E5A">
        <w:rPr>
          <w:rFonts w:ascii="Times New Roman" w:hAnsi="Times New Roman"/>
          <w:color w:val="0070C0"/>
          <w:sz w:val="16"/>
          <w:szCs w:val="16"/>
        </w:rPr>
        <w:softHyphen/>
        <w:t>лев, подчеркивая данный факт, приказал обратить особое внимание на темпера</w:t>
      </w:r>
      <w:r w:rsidRPr="008A2E5A">
        <w:rPr>
          <w:rFonts w:ascii="Times New Roman" w:hAnsi="Times New Roman"/>
          <w:color w:val="0070C0"/>
          <w:sz w:val="16"/>
          <w:szCs w:val="16"/>
        </w:rPr>
        <w:softHyphen/>
        <w:t>турный режим в помещениях, где изготовляются крылья, и немедленно повысить температуру в них до нормы за счет других цехов (23381).</w:t>
      </w:r>
    </w:p>
    <w:p w14:paraId="274B049B" w14:textId="77777777" w:rsidR="004B4E79" w:rsidRPr="008A2E5A" w:rsidRDefault="004B4E79" w:rsidP="004B4E79">
      <w:pPr>
        <w:spacing w:after="0" w:line="240" w:lineRule="auto"/>
        <w:jc w:val="both"/>
        <w:rPr>
          <w:rFonts w:ascii="Times New Roman" w:hAnsi="Times New Roman"/>
          <w:color w:val="0070C0"/>
          <w:sz w:val="16"/>
          <w:szCs w:val="16"/>
        </w:rPr>
      </w:pPr>
    </w:p>
    <w:p w14:paraId="03FC7F4F" w14:textId="77777777" w:rsidR="004B4E79" w:rsidRPr="008A2E5A" w:rsidRDefault="004B4E79" w:rsidP="004B4E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июне-июле 1942 г. практически параллельно с испытаниями первого опытного Як-7ДИ начали постройку его дублера, который должен был стать эталоном серии. Як-7ДИ Дублер (в не</w:t>
      </w:r>
      <w:r w:rsidRPr="008A2E5A">
        <w:rPr>
          <w:rFonts w:ascii="Times New Roman" w:hAnsi="Times New Roman"/>
          <w:color w:val="0070C0"/>
          <w:sz w:val="16"/>
          <w:szCs w:val="16"/>
        </w:rPr>
        <w:softHyphen/>
        <w:t>которых документах также встречается обозначение Як- 7ДИ опытный №2) построили в период с 29 июня по 30 июля 1942 г. В дублере конструкторы постарались приме</w:t>
      </w:r>
      <w:r w:rsidRPr="008A2E5A">
        <w:rPr>
          <w:rFonts w:ascii="Times New Roman" w:hAnsi="Times New Roman"/>
          <w:color w:val="0070C0"/>
          <w:sz w:val="16"/>
          <w:szCs w:val="16"/>
        </w:rPr>
        <w:softHyphen/>
        <w:t>нить все технические решения и улучшения, рекомендо</w:t>
      </w:r>
      <w:r w:rsidRPr="008A2E5A">
        <w:rPr>
          <w:rFonts w:ascii="Times New Roman" w:hAnsi="Times New Roman"/>
          <w:color w:val="0070C0"/>
          <w:sz w:val="16"/>
          <w:szCs w:val="16"/>
        </w:rPr>
        <w:softHyphen/>
        <w:t>ванные специалистами ЦАГИ и ЛИИ НКАП. Для ускорения постройки, как и для первого экземпляра, использовали серийный фюзеляж Як-7Б №2315391, к которому присты</w:t>
      </w:r>
      <w:r w:rsidRPr="008A2E5A">
        <w:rPr>
          <w:rFonts w:ascii="Times New Roman" w:hAnsi="Times New Roman"/>
          <w:color w:val="0070C0"/>
          <w:sz w:val="16"/>
          <w:szCs w:val="16"/>
        </w:rPr>
        <w:softHyphen/>
        <w:t>ковали опытное крыло «Д». В отличие от первого прото</w:t>
      </w:r>
      <w:r w:rsidRPr="008A2E5A">
        <w:rPr>
          <w:rFonts w:ascii="Times New Roman" w:hAnsi="Times New Roman"/>
          <w:color w:val="0070C0"/>
          <w:sz w:val="16"/>
          <w:szCs w:val="16"/>
        </w:rPr>
        <w:softHyphen/>
        <w:t>типа Як-7ДИ Дублер получил новый каплевидный фонарь, сконструированный для Як-7 М-82 и уже отработанный на Як-1 №3560. Полетный вес Дублера составил 3027 кг.</w:t>
      </w:r>
    </w:p>
    <w:p w14:paraId="08ACBABE" w14:textId="77777777" w:rsidR="004B4E79" w:rsidRPr="008A2E5A" w:rsidRDefault="004B4E79" w:rsidP="004B4E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то что Дублер полностью завершил цикл наземных испытаний к 4 августа 1942 г., в воздух его не поднимали по прямому указанию главного конструкто</w:t>
      </w:r>
      <w:r w:rsidRPr="008A2E5A">
        <w:rPr>
          <w:rFonts w:ascii="Times New Roman" w:hAnsi="Times New Roman"/>
          <w:color w:val="0070C0"/>
          <w:sz w:val="16"/>
          <w:szCs w:val="16"/>
        </w:rPr>
        <w:softHyphen/>
        <w:t>ра. Задержка, вероятно, была связана с проводимыми ОКБ срочными работами по восстановлению максималь</w:t>
      </w:r>
      <w:r w:rsidRPr="008A2E5A">
        <w:rPr>
          <w:rFonts w:ascii="Times New Roman" w:hAnsi="Times New Roman"/>
          <w:color w:val="0070C0"/>
          <w:sz w:val="16"/>
          <w:szCs w:val="16"/>
        </w:rPr>
        <w:softHyphen/>
        <w:t>ных скоростей серийных самолетов Як-7Б. Первый полет состоялся только 4 сентября. Основной задачей испыта</w:t>
      </w:r>
      <w:r w:rsidRPr="008A2E5A">
        <w:rPr>
          <w:rFonts w:ascii="Times New Roman" w:hAnsi="Times New Roman"/>
          <w:color w:val="0070C0"/>
          <w:sz w:val="16"/>
          <w:szCs w:val="16"/>
        </w:rPr>
        <w:softHyphen/>
        <w:t>ний Дублера была проверка летных характеристик в свя</w:t>
      </w:r>
      <w:r w:rsidRPr="008A2E5A">
        <w:rPr>
          <w:rFonts w:ascii="Times New Roman" w:hAnsi="Times New Roman"/>
          <w:color w:val="0070C0"/>
          <w:sz w:val="16"/>
          <w:szCs w:val="16"/>
        </w:rPr>
        <w:softHyphen/>
        <w:t>зи с произведенными конструкционными изменениями и улучшением аэродинамических свойств, прочностные испытания элементов конструкции, а также устранение эксплуатационных недостатков. За сентябрь в 13 полетах машина выполнила 1032 фигуры пилотажа и 501 взлет и посадку с налетом 27 часов 10 минут.</w:t>
      </w:r>
    </w:p>
    <w:p w14:paraId="6584B19C" w14:textId="77777777" w:rsidR="004B4E79" w:rsidRPr="008A2E5A" w:rsidRDefault="004B4E79" w:rsidP="004B4E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Заводские испытания машины провели в периоде 1 по 23 октября 1942 г. При этом на Дублере, в рамках испыта</w:t>
      </w:r>
      <w:r w:rsidRPr="008A2E5A">
        <w:rPr>
          <w:rFonts w:ascii="Times New Roman" w:hAnsi="Times New Roman"/>
          <w:color w:val="0070C0"/>
          <w:sz w:val="16"/>
          <w:szCs w:val="16"/>
        </w:rPr>
        <w:softHyphen/>
        <w:t>ний по восстановлению максимальных скоростей, заме</w:t>
      </w:r>
      <w:r w:rsidRPr="008A2E5A">
        <w:rPr>
          <w:rFonts w:ascii="Times New Roman" w:hAnsi="Times New Roman"/>
          <w:color w:val="0070C0"/>
          <w:sz w:val="16"/>
          <w:szCs w:val="16"/>
        </w:rPr>
        <w:softHyphen/>
        <w:t>нили двухсторонний всасывающий патрубок нагнетате</w:t>
      </w:r>
      <w:r w:rsidRPr="008A2E5A">
        <w:rPr>
          <w:rFonts w:ascii="Times New Roman" w:hAnsi="Times New Roman"/>
          <w:color w:val="0070C0"/>
          <w:sz w:val="16"/>
          <w:szCs w:val="16"/>
        </w:rPr>
        <w:softHyphen/>
        <w:t>ля односторонним, а после проведения этих испытаний на самолетах Як-7Б также провели контрольные полеты с разными вариантами водо- и маслогондол. При полет</w:t>
      </w:r>
      <w:r w:rsidRPr="008A2E5A">
        <w:rPr>
          <w:rFonts w:ascii="Times New Roman" w:hAnsi="Times New Roman"/>
          <w:color w:val="0070C0"/>
          <w:sz w:val="16"/>
          <w:szCs w:val="16"/>
        </w:rPr>
        <w:softHyphen/>
        <w:t>ном весе 2825 кг (на машине оставили только корневые бензобаки общей вместимостью 300 кг горючего) макси</w:t>
      </w:r>
      <w:r w:rsidRPr="008A2E5A">
        <w:rPr>
          <w:rFonts w:ascii="Times New Roman" w:hAnsi="Times New Roman"/>
          <w:color w:val="0070C0"/>
          <w:sz w:val="16"/>
          <w:szCs w:val="16"/>
        </w:rPr>
        <w:softHyphen/>
        <w:t>мальная скорость на высоте 3400 м составила 594 км/ч. На государственные испытания машина не предъявля</w:t>
      </w:r>
      <w:r w:rsidRPr="008A2E5A">
        <w:rPr>
          <w:rFonts w:ascii="Times New Roman" w:hAnsi="Times New Roman"/>
          <w:color w:val="0070C0"/>
          <w:sz w:val="16"/>
          <w:szCs w:val="16"/>
        </w:rPr>
        <w:softHyphen/>
        <w:t>лась, так как с односторонним всасывающим патрубком нагнетателя границы высотности оказались ниже, чем у серийной машины Як-9 №0107 с двухсторонним патруб</w:t>
      </w:r>
      <w:r w:rsidRPr="008A2E5A">
        <w:rPr>
          <w:rFonts w:ascii="Times New Roman" w:hAnsi="Times New Roman"/>
          <w:color w:val="0070C0"/>
          <w:sz w:val="16"/>
          <w:szCs w:val="16"/>
        </w:rPr>
        <w:softHyphen/>
        <w:t>ком. В декабре на Дублере для отработки ВМГ установи</w:t>
      </w:r>
      <w:r w:rsidRPr="008A2E5A">
        <w:rPr>
          <w:rFonts w:ascii="Times New Roman" w:hAnsi="Times New Roman"/>
          <w:color w:val="0070C0"/>
          <w:sz w:val="16"/>
          <w:szCs w:val="16"/>
        </w:rPr>
        <w:softHyphen/>
        <w:t>ли мотор М-106 (23381).</w:t>
      </w:r>
    </w:p>
    <w:p w14:paraId="2E9E9C6B" w14:textId="77777777" w:rsidR="004B4E79" w:rsidRPr="008A2E5A" w:rsidRDefault="004B4E79" w:rsidP="004B4E79">
      <w:pPr>
        <w:spacing w:after="0" w:line="240" w:lineRule="auto"/>
        <w:jc w:val="both"/>
        <w:rPr>
          <w:rFonts w:ascii="Times New Roman" w:hAnsi="Times New Roman"/>
          <w:color w:val="0070C0"/>
          <w:sz w:val="16"/>
          <w:szCs w:val="16"/>
        </w:rPr>
      </w:pPr>
    </w:p>
    <w:p w14:paraId="27A8B78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июне-июле 1942 г. второй экземпляр Су-6 с М-71Ф проходил госиспытания в варианте истребителя бомбардировщи</w:t>
      </w:r>
      <w:r w:rsidRPr="008127F8">
        <w:rPr>
          <w:rFonts w:ascii="Times New Roman" w:hAnsi="Times New Roman"/>
          <w:color w:val="000000" w:themeColor="text1"/>
          <w:sz w:val="16"/>
          <w:szCs w:val="16"/>
        </w:rPr>
        <w:softHyphen/>
        <w:t>ков. Вооружение состояло только из двух 23-мм пушек с боезапасом 400 снаря</w:t>
      </w:r>
      <w:r w:rsidRPr="008127F8">
        <w:rPr>
          <w:rFonts w:ascii="Times New Roman" w:hAnsi="Times New Roman"/>
          <w:color w:val="000000" w:themeColor="text1"/>
          <w:sz w:val="16"/>
          <w:szCs w:val="16"/>
        </w:rPr>
        <w:softHyphen/>
        <w:t>дов. Его расчетные данные были: взлетный вес - 4900 кг, максимальная скорость у земли на номинальном режиме - 520 км/ч, на форсированном - 535 км/ч, ви</w:t>
      </w:r>
      <w:r w:rsidRPr="008127F8">
        <w:rPr>
          <w:rFonts w:ascii="Times New Roman" w:hAnsi="Times New Roman"/>
          <w:color w:val="000000" w:themeColor="text1"/>
          <w:sz w:val="16"/>
          <w:szCs w:val="16"/>
        </w:rPr>
        <w:softHyphen/>
        <w:t>раж на высоте 1000 метров - 23 секунды.</w:t>
      </w:r>
    </w:p>
    <w:p w14:paraId="0E961D8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ряда поломок мотора, выхода из строя шасси и других неисправностей, самолет был снят с испытаний.</w:t>
      </w:r>
    </w:p>
    <w:p w14:paraId="2FF66E5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полученным результатам сделан вывод, что «Су-6 по максимальным ско</w:t>
      </w:r>
      <w:r w:rsidRPr="008127F8">
        <w:rPr>
          <w:rFonts w:ascii="Times New Roman" w:hAnsi="Times New Roman"/>
          <w:color w:val="000000" w:themeColor="text1"/>
          <w:sz w:val="16"/>
          <w:szCs w:val="16"/>
        </w:rPr>
        <w:softHyphen/>
        <w:t>ростям горизонтального полета стоит выше штурмовика Ил-2 АМ-38. После вы</w:t>
      </w:r>
      <w:r w:rsidRPr="008127F8">
        <w:rPr>
          <w:rFonts w:ascii="Times New Roman" w:hAnsi="Times New Roman"/>
          <w:color w:val="000000" w:themeColor="text1"/>
          <w:sz w:val="16"/>
          <w:szCs w:val="16"/>
        </w:rPr>
        <w:softHyphen/>
        <w:t>полнения боевого задания самолет обла</w:t>
      </w:r>
      <w:r w:rsidRPr="008127F8">
        <w:rPr>
          <w:rFonts w:ascii="Times New Roman" w:hAnsi="Times New Roman"/>
          <w:color w:val="000000" w:themeColor="text1"/>
          <w:sz w:val="16"/>
          <w:szCs w:val="16"/>
        </w:rPr>
        <w:softHyphen/>
        <w:t>дает такой скоростью, которая делает его трудно досягаемым даже для истре</w:t>
      </w:r>
      <w:r w:rsidRPr="008127F8">
        <w:rPr>
          <w:rFonts w:ascii="Times New Roman" w:hAnsi="Times New Roman"/>
          <w:color w:val="000000" w:themeColor="text1"/>
          <w:sz w:val="16"/>
          <w:szCs w:val="16"/>
        </w:rPr>
        <w:softHyphen/>
        <w:t>бителей противника. По технике пилоти</w:t>
      </w:r>
      <w:r w:rsidRPr="008127F8">
        <w:rPr>
          <w:rFonts w:ascii="Times New Roman" w:hAnsi="Times New Roman"/>
          <w:color w:val="000000" w:themeColor="text1"/>
          <w:sz w:val="16"/>
          <w:szCs w:val="16"/>
        </w:rPr>
        <w:softHyphen/>
        <w:t>рования - прост и доступен летчикам средней квалификации.</w:t>
      </w:r>
    </w:p>
    <w:p w14:paraId="1BF424A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Су-6 обладает большей устойчиво</w:t>
      </w:r>
      <w:r w:rsidRPr="008127F8">
        <w:rPr>
          <w:rFonts w:ascii="Times New Roman" w:hAnsi="Times New Roman"/>
          <w:color w:val="000000" w:themeColor="text1"/>
          <w:sz w:val="16"/>
          <w:szCs w:val="16"/>
        </w:rPr>
        <w:softHyphen/>
        <w:t>стью, чем самолет Ил-2 и допускает по</w:t>
      </w:r>
      <w:r w:rsidRPr="008127F8">
        <w:rPr>
          <w:rFonts w:ascii="Times New Roman" w:hAnsi="Times New Roman"/>
          <w:color w:val="000000" w:themeColor="text1"/>
          <w:sz w:val="16"/>
          <w:szCs w:val="16"/>
        </w:rPr>
        <w:softHyphen/>
        <w:t>лет с брошенной ручкой на всех скоро</w:t>
      </w:r>
      <w:r w:rsidRPr="008127F8">
        <w:rPr>
          <w:rFonts w:ascii="Times New Roman" w:hAnsi="Times New Roman"/>
          <w:color w:val="000000" w:themeColor="text1"/>
          <w:sz w:val="16"/>
          <w:szCs w:val="16"/>
        </w:rPr>
        <w:softHyphen/>
        <w:t>стях горизонтального полета».</w:t>
      </w:r>
    </w:p>
    <w:p w14:paraId="002FBA3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Самолет Су-6 («82») имел достаточно мощное стрелково-пушечное и реактив</w:t>
      </w:r>
      <w:r w:rsidRPr="008127F8">
        <w:rPr>
          <w:rFonts w:ascii="Times New Roman" w:hAnsi="Times New Roman"/>
          <w:color w:val="000000" w:themeColor="text1"/>
          <w:sz w:val="16"/>
          <w:szCs w:val="16"/>
        </w:rPr>
        <w:softHyphen/>
        <w:t>ное вооружение, превышавшее вооруже</w:t>
      </w:r>
      <w:r w:rsidRPr="008127F8">
        <w:rPr>
          <w:rFonts w:ascii="Times New Roman" w:hAnsi="Times New Roman"/>
          <w:color w:val="000000" w:themeColor="text1"/>
          <w:sz w:val="16"/>
          <w:szCs w:val="16"/>
        </w:rPr>
        <w:softHyphen/>
        <w:t>ние Ил-2.</w:t>
      </w:r>
    </w:p>
    <w:p w14:paraId="4208BB9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Отмечались и недостатки. Бомбовая нагрузка у Су-6 в нормальном варианте была на 200 кг меньше, чем у Ил-2. Даль</w:t>
      </w:r>
      <w:r w:rsidRPr="008127F8">
        <w:rPr>
          <w:rFonts w:ascii="Times New Roman" w:hAnsi="Times New Roman"/>
          <w:color w:val="000000" w:themeColor="text1"/>
          <w:sz w:val="16"/>
          <w:szCs w:val="16"/>
        </w:rPr>
        <w:softHyphen/>
        <w:t>ность полета самолета требовалось до</w:t>
      </w:r>
      <w:r w:rsidRPr="008127F8">
        <w:rPr>
          <w:rFonts w:ascii="Times New Roman" w:hAnsi="Times New Roman"/>
          <w:color w:val="000000" w:themeColor="text1"/>
          <w:sz w:val="16"/>
          <w:szCs w:val="16"/>
        </w:rPr>
        <w:softHyphen/>
        <w:t>вести до дальности Ил-2, улучшить обзор вперед за счет поднятия летчика на 35-50 мм. Для увеличения живучести самолета надо было продублировать систему управления, в первую очередь - управле</w:t>
      </w:r>
      <w:r w:rsidRPr="008127F8">
        <w:rPr>
          <w:rFonts w:ascii="Times New Roman" w:hAnsi="Times New Roman"/>
          <w:color w:val="000000" w:themeColor="text1"/>
          <w:sz w:val="16"/>
          <w:szCs w:val="16"/>
        </w:rPr>
        <w:softHyphen/>
        <w:t>ние рулем высоты.</w:t>
      </w:r>
    </w:p>
    <w:p w14:paraId="6412166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Схема бронирования, достигшая веса 660 кг, уже не отвечала требованиям вре</w:t>
      </w:r>
      <w:r w:rsidRPr="008127F8">
        <w:rPr>
          <w:rFonts w:ascii="Times New Roman" w:hAnsi="Times New Roman"/>
          <w:color w:val="000000" w:themeColor="text1"/>
          <w:sz w:val="16"/>
          <w:szCs w:val="16"/>
        </w:rPr>
        <w:softHyphen/>
        <w:t>мени. Кабина летчика защищалась вну</w:t>
      </w:r>
      <w:r w:rsidRPr="008127F8">
        <w:rPr>
          <w:rFonts w:ascii="Times New Roman" w:hAnsi="Times New Roman"/>
          <w:color w:val="000000" w:themeColor="text1"/>
          <w:sz w:val="16"/>
          <w:szCs w:val="16"/>
        </w:rPr>
        <w:softHyphen/>
        <w:t>тренней броней, а внешняя деревянная часть фюзеляжа повреждалась пулями и осколками. Козырек летчика был сделан из плексигласа и имел внутри кабины от</w:t>
      </w:r>
      <w:r w:rsidRPr="008127F8">
        <w:rPr>
          <w:rFonts w:ascii="Times New Roman" w:hAnsi="Times New Roman"/>
          <w:color w:val="000000" w:themeColor="text1"/>
          <w:sz w:val="16"/>
          <w:szCs w:val="16"/>
        </w:rPr>
        <w:softHyphen/>
        <w:t>дельную прозрачную бронеплиту.</w:t>
      </w:r>
    </w:p>
    <w:p w14:paraId="24F267A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Агрегаты мотора, маслорадиаторы и трубопроводы оставались не защищен</w:t>
      </w:r>
      <w:r w:rsidRPr="008127F8">
        <w:rPr>
          <w:rFonts w:ascii="Times New Roman" w:hAnsi="Times New Roman"/>
          <w:color w:val="000000" w:themeColor="text1"/>
          <w:sz w:val="16"/>
          <w:szCs w:val="16"/>
        </w:rPr>
        <w:softHyphen/>
        <w:t>ными. Бронированные серийного само</w:t>
      </w:r>
      <w:r w:rsidRPr="008127F8">
        <w:rPr>
          <w:rFonts w:ascii="Times New Roman" w:hAnsi="Times New Roman"/>
          <w:color w:val="000000" w:themeColor="text1"/>
          <w:sz w:val="16"/>
          <w:szCs w:val="16"/>
        </w:rPr>
        <w:softHyphen/>
        <w:t>лета Су-6 предлагалось выполнить по схеме, утвержденной НИИ ВВС КА в ян</w:t>
      </w:r>
      <w:r w:rsidRPr="008127F8">
        <w:rPr>
          <w:rFonts w:ascii="Times New Roman" w:hAnsi="Times New Roman"/>
          <w:color w:val="000000" w:themeColor="text1"/>
          <w:sz w:val="16"/>
          <w:szCs w:val="16"/>
        </w:rPr>
        <w:softHyphen/>
        <w:t>варе 1942 г.</w:t>
      </w:r>
    </w:p>
    <w:p w14:paraId="027E48C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заключении акта по результатам сов</w:t>
      </w:r>
      <w:r w:rsidRPr="008127F8">
        <w:rPr>
          <w:rFonts w:ascii="Times New Roman" w:hAnsi="Times New Roman"/>
          <w:color w:val="000000" w:themeColor="text1"/>
          <w:sz w:val="16"/>
          <w:szCs w:val="16"/>
        </w:rPr>
        <w:softHyphen/>
        <w:t>местных испытаний говорилось:</w:t>
      </w:r>
    </w:p>
    <w:p w14:paraId="41BAEA7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«Опытный самолет — одноместный бронированный штурмовик Су-6 с мото</w:t>
      </w:r>
      <w:r w:rsidRPr="008127F8">
        <w:rPr>
          <w:rFonts w:ascii="Times New Roman" w:hAnsi="Times New Roman"/>
          <w:color w:val="000000" w:themeColor="text1"/>
          <w:sz w:val="16"/>
          <w:szCs w:val="16"/>
        </w:rPr>
        <w:softHyphen/>
        <w:t>ром М-71 конструкции П.О. Сухого, про</w:t>
      </w:r>
      <w:r w:rsidRPr="008127F8">
        <w:rPr>
          <w:rFonts w:ascii="Times New Roman" w:hAnsi="Times New Roman"/>
          <w:color w:val="000000" w:themeColor="text1"/>
          <w:sz w:val="16"/>
          <w:szCs w:val="16"/>
        </w:rPr>
        <w:softHyphen/>
        <w:t>изводства завода № 289 по максималь</w:t>
      </w:r>
      <w:r w:rsidRPr="008127F8">
        <w:rPr>
          <w:rFonts w:ascii="Times New Roman" w:hAnsi="Times New Roman"/>
          <w:color w:val="000000" w:themeColor="text1"/>
          <w:sz w:val="16"/>
          <w:szCs w:val="16"/>
        </w:rPr>
        <w:softHyphen/>
        <w:t>ной горизонтальной скорости, стрелко-во-пушечному и реактивному вооружению и емкости бомбовой нагруз</w:t>
      </w:r>
      <w:r w:rsidRPr="008127F8">
        <w:rPr>
          <w:rFonts w:ascii="Times New Roman" w:hAnsi="Times New Roman"/>
          <w:color w:val="000000" w:themeColor="text1"/>
          <w:sz w:val="16"/>
          <w:szCs w:val="16"/>
        </w:rPr>
        <w:softHyphen/>
        <w:t>ки отвечает требованиям ВВС Красной Армии.</w:t>
      </w:r>
    </w:p>
    <w:p w14:paraId="3AC1877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 самолета Су-6 с М-71 дове</w:t>
      </w:r>
      <w:r w:rsidRPr="008127F8">
        <w:rPr>
          <w:rFonts w:ascii="Times New Roman" w:hAnsi="Times New Roman"/>
          <w:color w:val="000000" w:themeColor="text1"/>
          <w:sz w:val="16"/>
          <w:szCs w:val="16"/>
        </w:rPr>
        <w:softHyphen/>
        <w:t>сти до дальности самолета Ил-2 с АМ-38.</w:t>
      </w:r>
    </w:p>
    <w:p w14:paraId="2D778FF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Бронирование самолета Су-6 с М-71 выполнить по схеме, утвержденной НИИ ВВС Красной Армии.</w:t>
      </w:r>
    </w:p>
    <w:p w14:paraId="5EDBC4F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Считать целесообразным постройку небольшой войсковой серии самолетов Су-6 с М-71, как представляющих инте</w:t>
      </w:r>
      <w:r w:rsidRPr="008127F8">
        <w:rPr>
          <w:rFonts w:ascii="Times New Roman" w:hAnsi="Times New Roman"/>
          <w:color w:val="000000" w:themeColor="text1"/>
          <w:sz w:val="16"/>
          <w:szCs w:val="16"/>
        </w:rPr>
        <w:softHyphen/>
        <w:t>рес по сравнительно большой макси</w:t>
      </w:r>
      <w:r w:rsidRPr="008127F8">
        <w:rPr>
          <w:rFonts w:ascii="Times New Roman" w:hAnsi="Times New Roman"/>
          <w:color w:val="000000" w:themeColor="text1"/>
          <w:sz w:val="16"/>
          <w:szCs w:val="16"/>
        </w:rPr>
        <w:softHyphen/>
        <w:t>мальной горизонтальной скорости и имеющих мощное стрелково-пушечное и реактивное оружие...»</w:t>
      </w:r>
    </w:p>
    <w:p w14:paraId="3020DCD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Главное управление ВВС высоко оце</w:t>
      </w:r>
      <w:r w:rsidRPr="008127F8">
        <w:rPr>
          <w:rFonts w:ascii="Times New Roman" w:hAnsi="Times New Roman"/>
          <w:color w:val="000000" w:themeColor="text1"/>
          <w:sz w:val="16"/>
          <w:szCs w:val="16"/>
        </w:rPr>
        <w:softHyphen/>
        <w:t>нило самолет и подготовило проект по</w:t>
      </w:r>
      <w:r w:rsidRPr="008127F8">
        <w:rPr>
          <w:rFonts w:ascii="Times New Roman" w:hAnsi="Times New Roman"/>
          <w:color w:val="000000" w:themeColor="text1"/>
          <w:sz w:val="16"/>
          <w:szCs w:val="16"/>
        </w:rPr>
        <w:softHyphen/>
        <w:t>становления ГКО о постройке к 1 декабря 1942 г. двадцати пяти серийных экзем</w:t>
      </w:r>
      <w:r w:rsidRPr="008127F8">
        <w:rPr>
          <w:rFonts w:ascii="Times New Roman" w:hAnsi="Times New Roman"/>
          <w:color w:val="000000" w:themeColor="text1"/>
          <w:sz w:val="16"/>
          <w:szCs w:val="16"/>
        </w:rPr>
        <w:softHyphen/>
        <w:t>пляров Су-6 М-71. Одновременно была направлена докладная записка И.В. Ста</w:t>
      </w:r>
      <w:r w:rsidRPr="008127F8">
        <w:rPr>
          <w:rFonts w:ascii="Times New Roman" w:hAnsi="Times New Roman"/>
          <w:color w:val="000000" w:themeColor="text1"/>
          <w:sz w:val="16"/>
          <w:szCs w:val="16"/>
        </w:rPr>
        <w:softHyphen/>
        <w:t>лину с положительной оценкой самолета (10718).</w:t>
      </w:r>
    </w:p>
    <w:p w14:paraId="77C560D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обеспечения постройки самолетов Су-6 подключались:</w:t>
      </w:r>
    </w:p>
    <w:p w14:paraId="6A2153E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завод № 19 - изготовление 3 7 мото</w:t>
      </w:r>
      <w:r w:rsidRPr="008127F8">
        <w:rPr>
          <w:rFonts w:ascii="Times New Roman" w:hAnsi="Times New Roman"/>
          <w:color w:val="000000" w:themeColor="text1"/>
          <w:sz w:val="16"/>
          <w:szCs w:val="16"/>
        </w:rPr>
        <w:softHyphen/>
        <w:t>ров М-71;</w:t>
      </w:r>
    </w:p>
    <w:p w14:paraId="1B9B99B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комбинат №150 - изготовление 28 винтов АВ-5-4А диаметром 3,25 метров;</w:t>
      </w:r>
    </w:p>
    <w:p w14:paraId="3B648CB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НИИ-48 и завод № 37 - изготовление 30 бронекабин;</w:t>
      </w:r>
    </w:p>
    <w:p w14:paraId="1B77522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 xml:space="preserve">- </w:t>
      </w:r>
      <w:r w:rsidRPr="008127F8">
        <w:rPr>
          <w:rFonts w:ascii="Times New Roman" w:hAnsi="Times New Roman"/>
          <w:color w:val="000000" w:themeColor="text1"/>
          <w:sz w:val="16"/>
          <w:szCs w:val="16"/>
        </w:rPr>
        <w:t>завод № 148 (НКХП) и завод им. М. Горького - изготовление 30 комплектов прозрачной брони;</w:t>
      </w:r>
    </w:p>
    <w:p w14:paraId="4B9662F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завод № 66 (НКВ) - изготовление 55 крыльевых пушек Волкова-Ярцева кали</w:t>
      </w:r>
      <w:r w:rsidRPr="008127F8">
        <w:rPr>
          <w:rFonts w:ascii="Times New Roman" w:hAnsi="Times New Roman"/>
          <w:color w:val="000000" w:themeColor="text1"/>
          <w:sz w:val="16"/>
          <w:szCs w:val="16"/>
        </w:rPr>
        <w:softHyphen/>
        <w:t>бра 23 мм.</w:t>
      </w:r>
    </w:p>
    <w:p w14:paraId="635EEF7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НИРП (НКРП) - изготовление 55 ком</w:t>
      </w:r>
      <w:r w:rsidRPr="008127F8">
        <w:rPr>
          <w:rFonts w:ascii="Times New Roman" w:hAnsi="Times New Roman"/>
          <w:color w:val="000000" w:themeColor="text1"/>
          <w:sz w:val="16"/>
          <w:szCs w:val="16"/>
        </w:rPr>
        <w:softHyphen/>
        <w:t>плектов резины с гусматиком на колеса размером 800х260 мм (10718).</w:t>
      </w:r>
    </w:p>
    <w:p w14:paraId="4C16D89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КБ подготовило черте</w:t>
      </w:r>
      <w:r w:rsidRPr="008127F8">
        <w:rPr>
          <w:rFonts w:ascii="Times New Roman" w:hAnsi="Times New Roman"/>
          <w:color w:val="000000" w:themeColor="text1"/>
          <w:sz w:val="16"/>
          <w:szCs w:val="16"/>
        </w:rPr>
        <w:softHyphen/>
        <w:t>жи для войсковой серии с изменениями, улучшающими эксплуатацию самолета. Броню летчика ввели в конструкцию фю</w:t>
      </w:r>
      <w:r w:rsidRPr="008127F8">
        <w:rPr>
          <w:rFonts w:ascii="Times New Roman" w:hAnsi="Times New Roman"/>
          <w:color w:val="000000" w:themeColor="text1"/>
          <w:sz w:val="16"/>
          <w:szCs w:val="16"/>
        </w:rPr>
        <w:softHyphen/>
        <w:t>зеляжа, козырек фонаря сделали из трех бронестекол, броню включили в кон</w:t>
      </w:r>
      <w:r w:rsidRPr="008127F8">
        <w:rPr>
          <w:rFonts w:ascii="Times New Roman" w:hAnsi="Times New Roman"/>
          <w:color w:val="000000" w:themeColor="text1"/>
          <w:sz w:val="16"/>
          <w:szCs w:val="16"/>
        </w:rPr>
        <w:softHyphen/>
        <w:t>струкцию подвижной части фонаря, в бронеспинке сделали окна из прозрачной брони, конструкцию киля выполнили из дерева, установили колеса размером 800x200 вместо 750x250, увеличили угол капотажа (за счет выноса колеса на 62 мм), щитки шасси с амортизационной стойкой перенесли на центроплан.</w:t>
      </w:r>
    </w:p>
    <w:p w14:paraId="237F0F1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устному распоряжению наркома авиационной промышленности А.И. Ша-хурина завод № 289 начал изготавливать детали и агрегаты для малой войсковой серии Су-6 (пять летных машин) и одного планера для статических испытаний. Та</w:t>
      </w:r>
      <w:r w:rsidRPr="008127F8">
        <w:rPr>
          <w:rFonts w:ascii="Times New Roman" w:hAnsi="Times New Roman"/>
          <w:color w:val="000000" w:themeColor="text1"/>
          <w:sz w:val="16"/>
          <w:szCs w:val="16"/>
        </w:rPr>
        <w:softHyphen/>
        <w:t>ким же распоряжением в конце июля эти работы были приостановлены, а самоле</w:t>
      </w:r>
      <w:r w:rsidRPr="008127F8">
        <w:rPr>
          <w:rFonts w:ascii="Times New Roman" w:hAnsi="Times New Roman"/>
          <w:color w:val="000000" w:themeColor="text1"/>
          <w:sz w:val="16"/>
          <w:szCs w:val="16"/>
        </w:rPr>
        <w:softHyphen/>
        <w:t xml:space="preserve">ты </w:t>
      </w:r>
      <w:r w:rsidRPr="008127F8">
        <w:rPr>
          <w:rFonts w:ascii="Times New Roman" w:hAnsi="Times New Roman"/>
          <w:color w:val="000000" w:themeColor="text1"/>
          <w:sz w:val="16"/>
          <w:szCs w:val="16"/>
        </w:rPr>
        <w:lastRenderedPageBreak/>
        <w:t>законсервированы (10718).</w:t>
      </w:r>
    </w:p>
    <w:p w14:paraId="5C71B13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A8E4C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июне-июле 1942 года один из первых самолетов Р-51 "Мустанг" прошел программу испытаний в НИИ ВВС. Летал В.Е.Голофастов. На кратковременных форсированных режимах скорость была достаточно велика, хотя пилоту не удалось перейти за 600-километровый рубеж, как его американским и английским коллегам, но на номинальных оборотах "Мустанг" уступал Як-7Б на 10-50 км/ч. По скороподъемности американский истребитель был куда хуже и советских, и немецких машин. По времени виража на малых высотах и особенно но радиусу разворота он тоже проигрывал. В плюс "Мустангу" можно было поставить мощное вооружение - восемь пулеметов, из них четыре крупнокалиберных (3457,87).</w:t>
      </w:r>
    </w:p>
    <w:p w14:paraId="3A5E411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F33D0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июня по октябрь 1942 проходили гос. испытания И-185 эталона (228,165).</w:t>
      </w:r>
    </w:p>
    <w:p w14:paraId="2A785E0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BC06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июнь—сентябрь 1942 г. с завода № 153 дезертировало 519 человек (</w:t>
      </w:r>
      <w:r w:rsidRPr="008127F8">
        <w:rPr>
          <w:rFonts w:ascii="Times New Roman" w:hAnsi="Times New Roman"/>
          <w:iCs/>
          <w:color w:val="000000" w:themeColor="text1"/>
          <w:sz w:val="16"/>
          <w:szCs w:val="16"/>
        </w:rPr>
        <w:t>Савицкий ИМ.</w:t>
      </w:r>
      <w:r w:rsidRPr="008127F8">
        <w:rPr>
          <w:rFonts w:ascii="Times New Roman" w:hAnsi="Times New Roman"/>
          <w:color w:val="000000" w:themeColor="text1"/>
          <w:sz w:val="16"/>
          <w:szCs w:val="16"/>
        </w:rPr>
        <w:t xml:space="preserve"> Указ. соч. С. 321), а за март—май 1943 г. дезертировало 957 чел., и ещё 700 уволились по различным причинам (</w:t>
      </w:r>
      <w:r w:rsidRPr="008127F8">
        <w:rPr>
          <w:rFonts w:ascii="Times New Roman" w:hAnsi="Times New Roman"/>
          <w:iCs/>
          <w:color w:val="000000" w:themeColor="text1"/>
          <w:sz w:val="16"/>
          <w:szCs w:val="16"/>
        </w:rPr>
        <w:t>Савицкий ИМ.</w:t>
      </w:r>
      <w:r w:rsidRPr="008127F8">
        <w:rPr>
          <w:rFonts w:ascii="Times New Roman" w:hAnsi="Times New Roman"/>
          <w:color w:val="000000" w:themeColor="text1"/>
          <w:sz w:val="16"/>
          <w:szCs w:val="16"/>
        </w:rPr>
        <w:t xml:space="preserve"> Указ. соч. С. 373). Судя по всему, руководство завода было в курсе сложившейся ситуации, но, ввиду постоянного дефицита ресурсов, предпочитало решать проблему путём выделения при</w:t>
      </w:r>
      <w:r w:rsidRPr="008127F8">
        <w:rPr>
          <w:rFonts w:ascii="Times New Roman" w:hAnsi="Times New Roman"/>
          <w:color w:val="000000" w:themeColor="text1"/>
          <w:sz w:val="16"/>
          <w:szCs w:val="16"/>
        </w:rPr>
        <w:softHyphen/>
        <w:t>оритетных г</w:t>
      </w:r>
      <w:r w:rsidRPr="008127F8">
        <w:rPr>
          <w:rFonts w:ascii="Times New Roman" w:hAnsi="Times New Roman"/>
          <w:color w:val="000000" w:themeColor="text1"/>
          <w:sz w:val="16"/>
          <w:szCs w:val="16"/>
          <w:lang w:val="en-US"/>
        </w:rPr>
        <w:t>py</w:t>
      </w:r>
      <w:r w:rsidRPr="008127F8">
        <w:rPr>
          <w:rFonts w:ascii="Times New Roman" w:hAnsi="Times New Roman"/>
          <w:color w:val="000000" w:themeColor="text1"/>
          <w:sz w:val="16"/>
          <w:szCs w:val="16"/>
        </w:rPr>
        <w:t>пп работников, которые снабжались и обеспе</w:t>
      </w:r>
      <w:r w:rsidRPr="008127F8">
        <w:rPr>
          <w:rFonts w:ascii="Times New Roman" w:hAnsi="Times New Roman"/>
          <w:color w:val="000000" w:themeColor="text1"/>
          <w:sz w:val="16"/>
          <w:szCs w:val="16"/>
        </w:rPr>
        <w:softHyphen/>
        <w:t>чивались в первую очередь. В декабре 1941 г. новосибирский обком ВКП(б) обследовал жилищный фонд, приписанный к за</w:t>
      </w:r>
      <w:r w:rsidRPr="008127F8">
        <w:rPr>
          <w:rFonts w:ascii="Times New Roman" w:hAnsi="Times New Roman"/>
          <w:color w:val="000000" w:themeColor="text1"/>
          <w:sz w:val="16"/>
          <w:szCs w:val="16"/>
        </w:rPr>
        <w:softHyphen/>
        <w:t>воду № 153.</w:t>
      </w:r>
    </w:p>
    <w:p w14:paraId="564DE7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учащиеся школы ФЗО № 47 при авиа</w:t>
      </w:r>
      <w:r w:rsidRPr="008127F8">
        <w:rPr>
          <w:rFonts w:ascii="Times New Roman" w:hAnsi="Times New Roman"/>
          <w:color w:val="000000" w:themeColor="text1"/>
          <w:sz w:val="16"/>
          <w:szCs w:val="16"/>
        </w:rPr>
        <w:softHyphen/>
        <w:t>заводе № 153 в письмах родным жаловались на крайне пло</w:t>
      </w:r>
      <w:r w:rsidRPr="008127F8">
        <w:rPr>
          <w:rFonts w:ascii="Times New Roman" w:hAnsi="Times New Roman"/>
          <w:color w:val="000000" w:themeColor="text1"/>
          <w:sz w:val="16"/>
          <w:szCs w:val="16"/>
        </w:rPr>
        <w:softHyphen/>
        <w:t>хие жилищные условия — бараки не отапливаются, постель</w:t>
      </w:r>
      <w:r w:rsidRPr="008127F8">
        <w:rPr>
          <w:rFonts w:ascii="Times New Roman" w:hAnsi="Times New Roman"/>
          <w:color w:val="000000" w:themeColor="text1"/>
          <w:sz w:val="16"/>
          <w:szCs w:val="16"/>
        </w:rPr>
        <w:softHyphen/>
        <w:t>ное бельё не меняется, да и в наличии оно далеко не у всех, в общежитии — антисанитария. С питанием и снабжением дела так же обстояли не блестяще:«.. .работаем по 12 часов в сутки, работа очень тяжела, а кормят плохо, мёрзлая капуста, чай и 800 гр. хлеба»... «.. .работаем на заводе, дали ботинки и больше ничего. Спим на голых кроватях, очень холодно, ба</w:t>
      </w:r>
      <w:r w:rsidRPr="008127F8">
        <w:rPr>
          <w:rFonts w:ascii="Times New Roman" w:hAnsi="Times New Roman"/>
          <w:color w:val="000000" w:themeColor="text1"/>
          <w:sz w:val="16"/>
          <w:szCs w:val="16"/>
        </w:rPr>
        <w:softHyphen/>
        <w:t>рак большой и нет ни одной печи»... «на работу не хожу уже более месяца, нечего обувать, дали ботинки на деревянной подошве, заплатила за них 30 рублей. Эти ботинки у нас на</w:t>
      </w:r>
      <w:r w:rsidRPr="008127F8">
        <w:rPr>
          <w:rFonts w:ascii="Times New Roman" w:hAnsi="Times New Roman"/>
          <w:color w:val="000000" w:themeColor="text1"/>
          <w:sz w:val="16"/>
          <w:szCs w:val="16"/>
        </w:rPr>
        <w:softHyphen/>
        <w:t>зывают «колодки», сходила один день, они оторвались. В сто</w:t>
      </w:r>
      <w:r w:rsidRPr="008127F8">
        <w:rPr>
          <w:rFonts w:ascii="Times New Roman" w:hAnsi="Times New Roman"/>
          <w:color w:val="000000" w:themeColor="text1"/>
          <w:sz w:val="16"/>
          <w:szCs w:val="16"/>
        </w:rPr>
        <w:softHyphen/>
        <w:t>ловую и то не в чем сходить...» (</w:t>
      </w:r>
      <w:r w:rsidRPr="008127F8">
        <w:rPr>
          <w:rFonts w:ascii="Times New Roman" w:hAnsi="Times New Roman"/>
          <w:iCs/>
          <w:color w:val="000000" w:themeColor="text1"/>
          <w:sz w:val="16"/>
          <w:szCs w:val="16"/>
        </w:rPr>
        <w:t>Савицкий КМ.</w:t>
      </w:r>
      <w:r w:rsidRPr="008127F8">
        <w:rPr>
          <w:rFonts w:ascii="Times New Roman" w:hAnsi="Times New Roman"/>
          <w:color w:val="000000" w:themeColor="text1"/>
          <w:sz w:val="16"/>
          <w:szCs w:val="16"/>
        </w:rPr>
        <w:t xml:space="preserve"> Указ. соч. С. 321—322). В столовых завода постоян</w:t>
      </w:r>
      <w:r w:rsidRPr="008127F8">
        <w:rPr>
          <w:rFonts w:ascii="Times New Roman" w:hAnsi="Times New Roman"/>
          <w:color w:val="000000" w:themeColor="text1"/>
          <w:sz w:val="16"/>
          <w:szCs w:val="16"/>
        </w:rPr>
        <w:softHyphen/>
        <w:t>но выстраивались огромные очереди, вызванные нехваткой как посадочных мест, так и столовых приборов. Приходилось ждать ложку 30 мин, первое блюдо — 20, второе блюдо (Речь идёт о 1942 г., коща ситуация в столовой несколько улучшилась. Первым блюдом, как правило, был картофельный суп, а вторым — рыба с картофельным пюре) —- 40 минут.</w:t>
      </w:r>
    </w:p>
    <w:p w14:paraId="05BB889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Всего на тот момент предприятие располагало 28 общежитиями, в которых проживало 5,4 тыс. чел. При этом 11 общежитий были уплотнены до предела, на одного жильца там приходилось около 2,5 кв. м. жилплощади. В общежитиях № 20 и 32 было чисто и уютно, в комнатах проживало по 3—4 чело</w:t>
      </w:r>
      <w:r w:rsidRPr="008127F8">
        <w:rPr>
          <w:rFonts w:ascii="Times New Roman" w:hAnsi="Times New Roman"/>
          <w:color w:val="000000" w:themeColor="text1"/>
          <w:sz w:val="16"/>
          <w:szCs w:val="16"/>
        </w:rPr>
        <w:softHyphen/>
        <w:t>века. Постельное бельё менялось 3 раза в месяц. С точки зрения подавляющего большинства эвакуированных, условия были сказочными. Но общежития № 12 и 18 представляли собой уже совсем иную картину. Это были помещения казарменного типа с двухъярусными нарами. Эти общежития совершенно не отапливались и отличались грязью и плохим освещением. У многих жильцов постельное бельё отсутствовало вообще, а у остальных оно менялось очень редко. Общежития № 13 и 16 относились к тому же типу казарменных помещений, и именно там жили учащиеся школы ФЗО. Как видим, выводы партий</w:t>
      </w:r>
      <w:r w:rsidRPr="008127F8">
        <w:rPr>
          <w:rFonts w:ascii="Times New Roman" w:hAnsi="Times New Roman"/>
          <w:color w:val="000000" w:themeColor="text1"/>
          <w:sz w:val="16"/>
          <w:szCs w:val="16"/>
        </w:rPr>
        <w:softHyphen/>
        <w:t>ной комиссии практически полностью подтверждали жалобы учеников. В 1943 г. дирекция завода продолжала ту же полити</w:t>
      </w:r>
      <w:r w:rsidRPr="008127F8">
        <w:rPr>
          <w:rFonts w:ascii="Times New Roman" w:hAnsi="Times New Roman"/>
          <w:color w:val="000000" w:themeColor="text1"/>
          <w:sz w:val="16"/>
          <w:szCs w:val="16"/>
        </w:rPr>
        <w:softHyphen/>
        <w:t>ку. Разумеется, делались определённые (и немалые) шаги по улучшению бытовых условий и основной массы работников: в 9 общежитиях ликвидировали двухъярусные нары и установи</w:t>
      </w:r>
      <w:r w:rsidRPr="008127F8">
        <w:rPr>
          <w:rFonts w:ascii="Times New Roman" w:hAnsi="Times New Roman"/>
          <w:color w:val="000000" w:themeColor="text1"/>
          <w:sz w:val="16"/>
          <w:szCs w:val="16"/>
        </w:rPr>
        <w:softHyphen/>
        <w:t>ли индивидуальные кровати, организовали 5 новых общежи</w:t>
      </w:r>
      <w:r w:rsidRPr="008127F8">
        <w:rPr>
          <w:rFonts w:ascii="Times New Roman" w:hAnsi="Times New Roman"/>
          <w:color w:val="000000" w:themeColor="text1"/>
          <w:sz w:val="16"/>
          <w:szCs w:val="16"/>
        </w:rPr>
        <w:softHyphen/>
        <w:t>тий. .. Но — одно из новых вновь было предназначено только для высококвалифицированных рабочих (12011).</w:t>
      </w:r>
    </w:p>
    <w:p w14:paraId="0672F9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CB52E4" w14:textId="77777777" w:rsidR="004B4E79" w:rsidRPr="008A2E5A" w:rsidRDefault="004B4E79" w:rsidP="004B4E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и августе 1942 г. мотор М-107 прошел удовлетворительно заводские дли</w:t>
      </w:r>
      <w:r w:rsidRPr="008A2E5A">
        <w:rPr>
          <w:rFonts w:ascii="Times New Roman" w:hAnsi="Times New Roman"/>
          <w:color w:val="0070C0"/>
          <w:sz w:val="16"/>
          <w:szCs w:val="16"/>
        </w:rPr>
        <w:softHyphen/>
        <w:t>тельные 50- и 100-часовые испытания, но государствен</w:t>
      </w:r>
      <w:r w:rsidRPr="008A2E5A">
        <w:rPr>
          <w:rFonts w:ascii="Times New Roman" w:hAnsi="Times New Roman"/>
          <w:color w:val="0070C0"/>
          <w:sz w:val="16"/>
          <w:szCs w:val="16"/>
        </w:rPr>
        <w:softHyphen/>
        <w:t>ных так и не завершил (последнее, проведенное с 10 по 25 сентября 1942 г., закончилось поломкой одного из ша</w:t>
      </w:r>
      <w:r w:rsidRPr="008A2E5A">
        <w:rPr>
          <w:rFonts w:ascii="Times New Roman" w:hAnsi="Times New Roman"/>
          <w:color w:val="0070C0"/>
          <w:sz w:val="16"/>
          <w:szCs w:val="16"/>
        </w:rPr>
        <w:softHyphen/>
        <w:t>тунов). Понимая, что судьба нового мотора достаточно проблематична, ОКБ В.Я. Климова в июле 1942 г. провело стендовые испытания одного М-107 с повышенным над</w:t>
      </w:r>
      <w:r w:rsidRPr="008A2E5A">
        <w:rPr>
          <w:rFonts w:ascii="Times New Roman" w:hAnsi="Times New Roman"/>
          <w:color w:val="0070C0"/>
          <w:sz w:val="16"/>
          <w:szCs w:val="16"/>
        </w:rPr>
        <w:softHyphen/>
        <w:t>дувом. На этих испытаниях удалось получить мощность 1600 л.с. на второй границе высотности мотора. Другой альтернативы появившимся на истребителях противни</w:t>
      </w:r>
      <w:r w:rsidRPr="008A2E5A">
        <w:rPr>
          <w:rFonts w:ascii="Times New Roman" w:hAnsi="Times New Roman"/>
          <w:color w:val="0070C0"/>
          <w:sz w:val="16"/>
          <w:szCs w:val="16"/>
        </w:rPr>
        <w:softHyphen/>
        <w:t>ка мощным моторам DB-605A в СССР не создали, поэ</w:t>
      </w:r>
      <w:r w:rsidRPr="008A2E5A">
        <w:rPr>
          <w:rFonts w:ascii="Times New Roman" w:hAnsi="Times New Roman"/>
          <w:color w:val="0070C0"/>
          <w:sz w:val="16"/>
          <w:szCs w:val="16"/>
        </w:rPr>
        <w:softHyphen/>
        <w:t>тому постановлением ГКО №2346сс от 25 сентября 1942 г. (дублирующий приказ НКАП №733 от 29.09.42 г.) ОКБ В.Я. Климова и моторостроительный завод №26 г.Уфа обязали ускорить доводку форсированного мотора, по</w:t>
      </w:r>
      <w:r w:rsidRPr="008A2E5A">
        <w:rPr>
          <w:rFonts w:ascii="Times New Roman" w:hAnsi="Times New Roman"/>
          <w:color w:val="0070C0"/>
          <w:sz w:val="16"/>
          <w:szCs w:val="16"/>
        </w:rPr>
        <w:softHyphen/>
        <w:t>лучившего наименование М-107А, чтобы к концу г. обес</w:t>
      </w:r>
      <w:r w:rsidRPr="008A2E5A">
        <w:rPr>
          <w:rFonts w:ascii="Times New Roman" w:hAnsi="Times New Roman"/>
          <w:color w:val="0070C0"/>
          <w:sz w:val="16"/>
          <w:szCs w:val="16"/>
        </w:rPr>
        <w:softHyphen/>
        <w:t>печить 100-часовой ресурс и подготовить производство к его серийному выпуску. Постановлением ГКО №2397сс (23381).</w:t>
      </w:r>
    </w:p>
    <w:p w14:paraId="4637E7C5" w14:textId="77777777" w:rsidR="004B4E79" w:rsidRPr="008A2E5A" w:rsidRDefault="004B4E79" w:rsidP="004B4E79">
      <w:pPr>
        <w:spacing w:after="0" w:line="240" w:lineRule="auto"/>
        <w:jc w:val="both"/>
        <w:rPr>
          <w:rFonts w:ascii="Times New Roman" w:hAnsi="Times New Roman"/>
          <w:color w:val="0070C0"/>
          <w:sz w:val="16"/>
          <w:szCs w:val="16"/>
        </w:rPr>
      </w:pPr>
    </w:p>
    <w:p w14:paraId="5DA7A910" w14:textId="77777777" w:rsidR="004B4E79" w:rsidRPr="008A2E5A" w:rsidRDefault="004B4E79" w:rsidP="004B4E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 июле 1942 г. один из первых самолетов Мустанг, поступивших в СССР, прошел программу испытаний в НИИ ВВС. Летал на нем В.Е. Голофастов. На кратковременных форсированных ре</w:t>
      </w:r>
      <w:r w:rsidRPr="008A2E5A">
        <w:rPr>
          <w:rFonts w:ascii="Times New Roman" w:hAnsi="Times New Roman"/>
          <w:color w:val="0070C0"/>
          <w:sz w:val="16"/>
          <w:szCs w:val="16"/>
        </w:rPr>
        <w:softHyphen/>
        <w:t>жимах (у «аллисона» имелся ограничен</w:t>
      </w:r>
      <w:r w:rsidRPr="008A2E5A">
        <w:rPr>
          <w:rFonts w:ascii="Times New Roman" w:hAnsi="Times New Roman"/>
          <w:color w:val="0070C0"/>
          <w:sz w:val="16"/>
          <w:szCs w:val="16"/>
        </w:rPr>
        <w:softHyphen/>
        <w:t>ный пятью минутами так называемый «боевой» режим) скорость была доста</w:t>
      </w:r>
      <w:r w:rsidRPr="008A2E5A">
        <w:rPr>
          <w:rFonts w:ascii="Times New Roman" w:hAnsi="Times New Roman"/>
          <w:color w:val="0070C0"/>
          <w:sz w:val="16"/>
          <w:szCs w:val="16"/>
        </w:rPr>
        <w:softHyphen/>
        <w:t>точно велика, хотя пилоту не удалось пе</w:t>
      </w:r>
      <w:r w:rsidRPr="008A2E5A">
        <w:rPr>
          <w:rFonts w:ascii="Times New Roman" w:hAnsi="Times New Roman"/>
          <w:color w:val="0070C0"/>
          <w:sz w:val="16"/>
          <w:szCs w:val="16"/>
        </w:rPr>
        <w:softHyphen/>
        <w:t>рейти 600-километровый рубеж, как его американским и английским коллегам. Максимально удалось получить 587 км/ч. До высоты 3700 м «Мустанг» уступал на</w:t>
      </w:r>
      <w:r w:rsidRPr="008A2E5A">
        <w:rPr>
          <w:rFonts w:ascii="Times New Roman" w:hAnsi="Times New Roman"/>
          <w:color w:val="0070C0"/>
          <w:sz w:val="16"/>
          <w:szCs w:val="16"/>
        </w:rPr>
        <w:softHyphen/>
        <w:t>шему Як-7Б с мотором М-105ПФ от 10 до 50 км/ч, выше быстро обгонял. По скоро</w:t>
      </w:r>
      <w:r w:rsidRPr="008A2E5A">
        <w:rPr>
          <w:rFonts w:ascii="Times New Roman" w:hAnsi="Times New Roman"/>
          <w:color w:val="0070C0"/>
          <w:sz w:val="16"/>
          <w:szCs w:val="16"/>
        </w:rPr>
        <w:softHyphen/>
        <w:t>подъемности в этом же диапазоне вы</w:t>
      </w:r>
      <w:r w:rsidRPr="008A2E5A">
        <w:rPr>
          <w:rFonts w:ascii="Times New Roman" w:hAnsi="Times New Roman"/>
          <w:color w:val="0070C0"/>
          <w:sz w:val="16"/>
          <w:szCs w:val="16"/>
        </w:rPr>
        <w:softHyphen/>
        <w:t>сот американский истребитель был куда хуже и советских, и немецких машин. На подъем на высоту 500 м он тратил на три минуты больше, чем Як-7Б. За боевой раз</w:t>
      </w:r>
      <w:r w:rsidRPr="008A2E5A">
        <w:rPr>
          <w:rFonts w:ascii="Times New Roman" w:hAnsi="Times New Roman"/>
          <w:color w:val="0070C0"/>
          <w:sz w:val="16"/>
          <w:szCs w:val="16"/>
        </w:rPr>
        <w:softHyphen/>
        <w:t>ворот «Мустанг» набирал 550 м, то есть почти в два раза меньше, чем Як-1, Як-7Б или немецкий Bf 109G. По времени вира</w:t>
      </w:r>
      <w:r w:rsidRPr="008A2E5A">
        <w:rPr>
          <w:rFonts w:ascii="Times New Roman" w:hAnsi="Times New Roman"/>
          <w:color w:val="0070C0"/>
          <w:sz w:val="16"/>
          <w:szCs w:val="16"/>
        </w:rPr>
        <w:softHyphen/>
        <w:t>жа и особенно по радиусу разворота он тоже проигрывал. Это являлось следстви</w:t>
      </w:r>
      <w:r w:rsidRPr="008A2E5A">
        <w:rPr>
          <w:rFonts w:ascii="Times New Roman" w:hAnsi="Times New Roman"/>
          <w:color w:val="0070C0"/>
          <w:sz w:val="16"/>
          <w:szCs w:val="16"/>
        </w:rPr>
        <w:softHyphen/>
        <w:t>ем низкой тяговооруженности. Скорость у «Мустанга» достигалась за счет отличной аэродинамики, а не увеличением удель</w:t>
      </w:r>
      <w:r w:rsidRPr="008A2E5A">
        <w:rPr>
          <w:rFonts w:ascii="Times New Roman" w:hAnsi="Times New Roman"/>
          <w:color w:val="0070C0"/>
          <w:sz w:val="16"/>
          <w:szCs w:val="16"/>
        </w:rPr>
        <w:softHyphen/>
        <w:t>ной тяги (рассчитываемой на килограмм взлетного веса). Як-1 был легче, а мощ</w:t>
      </w:r>
      <w:r w:rsidRPr="008A2E5A">
        <w:rPr>
          <w:rFonts w:ascii="Times New Roman" w:hAnsi="Times New Roman"/>
          <w:color w:val="0070C0"/>
          <w:sz w:val="16"/>
          <w:szCs w:val="16"/>
        </w:rPr>
        <w:softHyphen/>
        <w:t>ность советского мотора М-105ПФ — даже немного выше, чем у «аллисона». Вот это и сказывалось на скороподъемности и ма</w:t>
      </w:r>
      <w:r w:rsidRPr="008A2E5A">
        <w:rPr>
          <w:rFonts w:ascii="Times New Roman" w:hAnsi="Times New Roman"/>
          <w:color w:val="0070C0"/>
          <w:sz w:val="16"/>
          <w:szCs w:val="16"/>
        </w:rPr>
        <w:softHyphen/>
        <w:t>невренности. Ухудшение же летных дан</w:t>
      </w:r>
      <w:r w:rsidRPr="008A2E5A">
        <w:rPr>
          <w:rFonts w:ascii="Times New Roman" w:hAnsi="Times New Roman"/>
          <w:color w:val="0070C0"/>
          <w:sz w:val="16"/>
          <w:szCs w:val="16"/>
        </w:rPr>
        <w:softHyphen/>
        <w:t>ных советских истребителей выше 3700 м объяснялось тем, что расчетная высо</w:t>
      </w:r>
      <w:r w:rsidRPr="008A2E5A">
        <w:rPr>
          <w:rFonts w:ascii="Times New Roman" w:hAnsi="Times New Roman"/>
          <w:color w:val="0070C0"/>
          <w:sz w:val="16"/>
          <w:szCs w:val="16"/>
        </w:rPr>
        <w:softHyphen/>
        <w:t>та нагнетателя у М-105ПФ была меньше и мощность раньше начинала падать.</w:t>
      </w:r>
    </w:p>
    <w:p w14:paraId="040DC014" w14:textId="77777777" w:rsidR="004B4E79" w:rsidRPr="008A2E5A" w:rsidRDefault="004B4E79" w:rsidP="004B4E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другой стороны, американский само</w:t>
      </w:r>
      <w:r w:rsidRPr="008A2E5A">
        <w:rPr>
          <w:rFonts w:ascii="Times New Roman" w:hAnsi="Times New Roman"/>
          <w:color w:val="0070C0"/>
          <w:sz w:val="16"/>
          <w:szCs w:val="16"/>
        </w:rPr>
        <w:softHyphen/>
        <w:t>лет был прост в пилотировании и вполне доступен летчикам средней квалификации. Хорошая устойчивость делала длитель</w:t>
      </w:r>
      <w:r w:rsidRPr="008A2E5A">
        <w:rPr>
          <w:rFonts w:ascii="Times New Roman" w:hAnsi="Times New Roman"/>
          <w:color w:val="0070C0"/>
          <w:sz w:val="16"/>
          <w:szCs w:val="16"/>
        </w:rPr>
        <w:softHyphen/>
        <w:t>ный полет неутомительным. Летчик сидел в удобной и просторной кабине, снабжен</w:t>
      </w:r>
      <w:r w:rsidRPr="008A2E5A">
        <w:rPr>
          <w:rFonts w:ascii="Times New Roman" w:hAnsi="Times New Roman"/>
          <w:color w:val="0070C0"/>
          <w:sz w:val="16"/>
          <w:szCs w:val="16"/>
        </w:rPr>
        <w:softHyphen/>
        <w:t>ной отоплением (что очень немаловажно в наших условиях). И, наконец, по секунд</w:t>
      </w:r>
      <w:r w:rsidRPr="008A2E5A">
        <w:rPr>
          <w:rFonts w:ascii="Times New Roman" w:hAnsi="Times New Roman"/>
          <w:color w:val="0070C0"/>
          <w:sz w:val="16"/>
          <w:szCs w:val="16"/>
        </w:rPr>
        <w:softHyphen/>
        <w:t>ному залпу «Мустанг» значительно пре</w:t>
      </w:r>
      <w:r w:rsidRPr="008A2E5A">
        <w:rPr>
          <w:rFonts w:ascii="Times New Roman" w:hAnsi="Times New Roman"/>
          <w:color w:val="0070C0"/>
          <w:sz w:val="16"/>
          <w:szCs w:val="16"/>
        </w:rPr>
        <w:softHyphen/>
        <w:t>восходил советские истребители. Правда, в НИИ ВВС отметили, что отсутствие пу</w:t>
      </w:r>
      <w:r w:rsidRPr="008A2E5A">
        <w:rPr>
          <w:rFonts w:ascii="Times New Roman" w:hAnsi="Times New Roman"/>
          <w:color w:val="0070C0"/>
          <w:sz w:val="16"/>
          <w:szCs w:val="16"/>
        </w:rPr>
        <w:softHyphen/>
        <w:t>шек снижает эффективность атаки защи</w:t>
      </w:r>
      <w:r w:rsidRPr="008A2E5A">
        <w:rPr>
          <w:rFonts w:ascii="Times New Roman" w:hAnsi="Times New Roman"/>
          <w:color w:val="0070C0"/>
          <w:sz w:val="16"/>
          <w:szCs w:val="16"/>
        </w:rPr>
        <w:softHyphen/>
        <w:t>щенных броней самолетов противника. Пушки позволили бы вести огонь с дистан</w:t>
      </w:r>
      <w:r w:rsidRPr="008A2E5A">
        <w:rPr>
          <w:rFonts w:ascii="Times New Roman" w:hAnsi="Times New Roman"/>
          <w:color w:val="0070C0"/>
          <w:sz w:val="16"/>
          <w:szCs w:val="16"/>
        </w:rPr>
        <w:softHyphen/>
        <w:t>ций, на которых оборонительные пулеметы немецких бомбардировщиков не смогли бы «достать» нападающий истребитель (23513).</w:t>
      </w:r>
    </w:p>
    <w:p w14:paraId="1E8E7D02" w14:textId="77777777" w:rsidR="004B4E79" w:rsidRPr="008A2E5A" w:rsidRDefault="004B4E79" w:rsidP="004B4E79">
      <w:pPr>
        <w:spacing w:after="0" w:line="240" w:lineRule="auto"/>
        <w:jc w:val="both"/>
        <w:rPr>
          <w:rFonts w:ascii="Times New Roman" w:hAnsi="Times New Roman"/>
          <w:color w:val="0070C0"/>
          <w:sz w:val="16"/>
          <w:szCs w:val="16"/>
        </w:rPr>
      </w:pPr>
    </w:p>
    <w:p w14:paraId="03D28B3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июне-июле 1942 года по заданию Наркомата и исходным данным, полученным из Артиллерийского Управления ВМФ, был разработан новый вариант боевой 24-зарядной установки М-8-М. Ранее разработанная боевая установка М-8-М, смонтированная на броневом катере предусматривала использование минимально доработанной метательной установки боевой установки М-8 на модифицированном шасси грузового автомобиля ЗИС-6. В новой установке М-8-М вся метательная установка, кроме направляющей, унифицированной с направляющей установки М-8 на модифицированном шасси танка Т-40 (Т-60), была разработана заново, с учетом специфичности условий ее работы и обслуживания в морских условиях [4].</w:t>
      </w:r>
    </w:p>
    <w:p w14:paraId="3F327B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Назначение новой установки было то же, что и для установки М-8-М. Конструкция нового варианта установки М-8-М была выполнена однотипной по сравнению с боевой установкой М-13-М, смонтированной на бронекатере. Новый проект был утвержден в Артиллерийском Управлении ВМФ (11772).</w:t>
      </w:r>
    </w:p>
    <w:p w14:paraId="0EADD17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49659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43CB6E3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50AA7E"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июне-августе 1942 года, артиллерийским заводом № 9 в Свердловске был разработан эскизный проект самоходной установки 122-мм гаубицы М-30 на шасси танка Т-34. Опыт, полученный при этом проектировании, позволил составить очень подробные тактико-технические требования на средний артсамоход со 122-мм орудием. Эти требования были приложены к постановлению ГКО от 19 октября 1942 и обязывали при проектировании предусмотреть использование без изменений большого количества агрегатов орудия: всей ствольной группы противооткатных устройств, верхнего станка, механизмов наведения и прицельных приспособлений. Чтобы выполнить эти условия, установку орудия нужно было произвести на тумбе, прикрепленной к днищу машины; длину отката орудия оставить неизмененной, равной 1100 мм (при этом цилиндры противооткатныхустройств выступали впереди лобового листа корпуса на значительную длину). Тактико-технические требования на среднюю САУ также обязывали полностью сохранить все моторно-трансмиссионные агрегаты танка Т-34. Масса самоходно-артиллерийсной установки не должна была превышать массу танка (9636).</w:t>
      </w:r>
    </w:p>
    <w:p w14:paraId="27A9948B"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p>
    <w:p w14:paraId="2FB45A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показатели предприятий танковой промышленности на июнь-июль 1942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552"/>
        <w:gridCol w:w="992"/>
        <w:gridCol w:w="2410"/>
      </w:tblGrid>
      <w:tr w:rsidR="007C5583" w:rsidRPr="008127F8" w14:paraId="0734CEC0" w14:textId="77777777" w:rsidTr="004C5D62">
        <w:tc>
          <w:tcPr>
            <w:tcW w:w="2518" w:type="dxa"/>
          </w:tcPr>
          <w:p w14:paraId="34F5888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Наименование или № завода</w:t>
            </w:r>
          </w:p>
        </w:tc>
        <w:tc>
          <w:tcPr>
            <w:tcW w:w="2552" w:type="dxa"/>
          </w:tcPr>
          <w:p w14:paraId="4A849F9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Адрес</w:t>
            </w:r>
          </w:p>
        </w:tc>
        <w:tc>
          <w:tcPr>
            <w:tcW w:w="992" w:type="dxa"/>
          </w:tcPr>
          <w:p w14:paraId="5CEBC5F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Год основания</w:t>
            </w:r>
          </w:p>
        </w:tc>
        <w:tc>
          <w:tcPr>
            <w:tcW w:w="2410" w:type="dxa"/>
          </w:tcPr>
          <w:p w14:paraId="5C175C1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виды выпускаемых изделий</w:t>
            </w:r>
          </w:p>
        </w:tc>
      </w:tr>
      <w:tr w:rsidR="007C5583" w:rsidRPr="008127F8" w14:paraId="6547FD82" w14:textId="77777777" w:rsidTr="004C5D62">
        <w:tc>
          <w:tcPr>
            <w:tcW w:w="2518" w:type="dxa"/>
          </w:tcPr>
          <w:p w14:paraId="0FEC60E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Кировский</w:t>
            </w:r>
          </w:p>
        </w:tc>
        <w:tc>
          <w:tcPr>
            <w:tcW w:w="2552" w:type="dxa"/>
          </w:tcPr>
          <w:p w14:paraId="7A4E973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Челябинск Кировский завод</w:t>
            </w:r>
          </w:p>
        </w:tc>
        <w:tc>
          <w:tcPr>
            <w:tcW w:w="992" w:type="dxa"/>
          </w:tcPr>
          <w:p w14:paraId="340C319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1933</w:t>
            </w:r>
          </w:p>
        </w:tc>
        <w:tc>
          <w:tcPr>
            <w:tcW w:w="2410" w:type="dxa"/>
          </w:tcPr>
          <w:p w14:paraId="52D807A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Танки КВ-1</w:t>
            </w:r>
          </w:p>
          <w:p w14:paraId="44AABE0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Дизельмоторы В2-К, В2-34</w:t>
            </w:r>
          </w:p>
        </w:tc>
      </w:tr>
      <w:tr w:rsidR="007C5583" w:rsidRPr="008127F8" w14:paraId="22999200" w14:textId="77777777" w:rsidTr="004C5D62">
        <w:tc>
          <w:tcPr>
            <w:tcW w:w="2518" w:type="dxa"/>
          </w:tcPr>
          <w:p w14:paraId="15D5599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Уралмашзавод (УЗТМ)</w:t>
            </w:r>
          </w:p>
        </w:tc>
        <w:tc>
          <w:tcPr>
            <w:tcW w:w="2552" w:type="dxa"/>
          </w:tcPr>
          <w:p w14:paraId="34D9D46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Свердловск Уралмашзавод</w:t>
            </w:r>
          </w:p>
        </w:tc>
        <w:tc>
          <w:tcPr>
            <w:tcW w:w="992" w:type="dxa"/>
          </w:tcPr>
          <w:p w14:paraId="23B5A31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1928</w:t>
            </w:r>
          </w:p>
        </w:tc>
        <w:tc>
          <w:tcPr>
            <w:tcW w:w="2410" w:type="dxa"/>
          </w:tcPr>
          <w:p w14:paraId="0A3EB45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Корпуса танка КВ, лопасти, картеры</w:t>
            </w:r>
          </w:p>
        </w:tc>
      </w:tr>
      <w:tr w:rsidR="007C5583" w:rsidRPr="008127F8" w14:paraId="5CACDD73" w14:textId="77777777" w:rsidTr="004C5D62">
        <w:tc>
          <w:tcPr>
            <w:tcW w:w="2518" w:type="dxa"/>
          </w:tcPr>
          <w:p w14:paraId="7882D16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183</w:t>
            </w:r>
          </w:p>
        </w:tc>
        <w:tc>
          <w:tcPr>
            <w:tcW w:w="2552" w:type="dxa"/>
          </w:tcPr>
          <w:p w14:paraId="4DA8609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Нижний Тагил</w:t>
            </w:r>
          </w:p>
        </w:tc>
        <w:tc>
          <w:tcPr>
            <w:tcW w:w="992" w:type="dxa"/>
          </w:tcPr>
          <w:p w14:paraId="4F8E6A9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1935</w:t>
            </w:r>
          </w:p>
        </w:tc>
        <w:tc>
          <w:tcPr>
            <w:tcW w:w="2410" w:type="dxa"/>
          </w:tcPr>
          <w:p w14:paraId="259B94EC"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Танки Т-34, авиакорпуса фюзеляжа ИЛ2, артпередки, </w:t>
            </w:r>
            <w:r w:rsidRPr="008127F8">
              <w:rPr>
                <w:rFonts w:ascii="Times New Roman" w:hAnsi="Times New Roman"/>
                <w:color w:val="000000" w:themeColor="text1"/>
                <w:sz w:val="16"/>
                <w:szCs w:val="16"/>
              </w:rPr>
              <w:lastRenderedPageBreak/>
              <w:t>боеприпасы</w:t>
            </w:r>
          </w:p>
        </w:tc>
      </w:tr>
      <w:tr w:rsidR="007C5583" w:rsidRPr="008127F8" w14:paraId="40DC2999" w14:textId="77777777" w:rsidTr="004C5D62">
        <w:tc>
          <w:tcPr>
            <w:tcW w:w="2518" w:type="dxa"/>
          </w:tcPr>
          <w:p w14:paraId="6EB87C1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112</w:t>
            </w:r>
          </w:p>
        </w:tc>
        <w:tc>
          <w:tcPr>
            <w:tcW w:w="2552" w:type="dxa"/>
          </w:tcPr>
          <w:p w14:paraId="367C523F"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Горький, п/я 209</w:t>
            </w:r>
          </w:p>
        </w:tc>
        <w:tc>
          <w:tcPr>
            <w:tcW w:w="992" w:type="dxa"/>
          </w:tcPr>
          <w:p w14:paraId="5A6C0C0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1949</w:t>
            </w:r>
          </w:p>
        </w:tc>
        <w:tc>
          <w:tcPr>
            <w:tcW w:w="2410" w:type="dxa"/>
          </w:tcPr>
          <w:p w14:paraId="7E16843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Танки Т-34</w:t>
            </w:r>
          </w:p>
        </w:tc>
      </w:tr>
      <w:tr w:rsidR="007C5583" w:rsidRPr="008127F8" w14:paraId="49B9C2F4" w14:textId="77777777" w:rsidTr="004C5D62">
        <w:tc>
          <w:tcPr>
            <w:tcW w:w="2518" w:type="dxa"/>
          </w:tcPr>
          <w:p w14:paraId="59349BC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174</w:t>
            </w:r>
          </w:p>
        </w:tc>
        <w:tc>
          <w:tcPr>
            <w:tcW w:w="2552" w:type="dxa"/>
          </w:tcPr>
          <w:p w14:paraId="5249599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Омск, п/я 13</w:t>
            </w:r>
          </w:p>
        </w:tc>
        <w:tc>
          <w:tcPr>
            <w:tcW w:w="992" w:type="dxa"/>
          </w:tcPr>
          <w:p w14:paraId="62FFD5F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0BBF6CB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1E85BDC3" w14:textId="77777777" w:rsidTr="004C5D62">
        <w:tc>
          <w:tcPr>
            <w:tcW w:w="2518" w:type="dxa"/>
          </w:tcPr>
          <w:p w14:paraId="7678DFC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38</w:t>
            </w:r>
          </w:p>
        </w:tc>
        <w:tc>
          <w:tcPr>
            <w:tcW w:w="2552" w:type="dxa"/>
          </w:tcPr>
          <w:p w14:paraId="162CFC8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Киров</w:t>
            </w:r>
          </w:p>
        </w:tc>
        <w:tc>
          <w:tcPr>
            <w:tcW w:w="992" w:type="dxa"/>
          </w:tcPr>
          <w:p w14:paraId="56DFB16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1917</w:t>
            </w:r>
          </w:p>
        </w:tc>
        <w:tc>
          <w:tcPr>
            <w:tcW w:w="2410" w:type="dxa"/>
          </w:tcPr>
          <w:p w14:paraId="5EA5ED1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Корпуса Т-70, М-8, М-13, М-30</w:t>
            </w:r>
          </w:p>
        </w:tc>
      </w:tr>
      <w:tr w:rsidR="007C5583" w:rsidRPr="008127F8" w14:paraId="57560772" w14:textId="77777777" w:rsidTr="004C5D62">
        <w:tc>
          <w:tcPr>
            <w:tcW w:w="2518" w:type="dxa"/>
          </w:tcPr>
          <w:p w14:paraId="0BCDA7F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76</w:t>
            </w:r>
          </w:p>
        </w:tc>
        <w:tc>
          <w:tcPr>
            <w:tcW w:w="2552" w:type="dxa"/>
          </w:tcPr>
          <w:p w14:paraId="6BB1D5E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Свердловск-12, п/я 159</w:t>
            </w:r>
          </w:p>
        </w:tc>
        <w:tc>
          <w:tcPr>
            <w:tcW w:w="992" w:type="dxa"/>
          </w:tcPr>
          <w:p w14:paraId="2067954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1941</w:t>
            </w:r>
          </w:p>
        </w:tc>
        <w:tc>
          <w:tcPr>
            <w:tcW w:w="2410" w:type="dxa"/>
          </w:tcPr>
          <w:p w14:paraId="40D570D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Моторы В2-К</w:t>
            </w:r>
          </w:p>
        </w:tc>
      </w:tr>
      <w:tr w:rsidR="007C5583" w:rsidRPr="008127F8" w14:paraId="4956B810" w14:textId="77777777" w:rsidTr="004C5D62">
        <w:tc>
          <w:tcPr>
            <w:tcW w:w="2518" w:type="dxa"/>
          </w:tcPr>
          <w:p w14:paraId="1A68947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225</w:t>
            </w:r>
          </w:p>
        </w:tc>
        <w:tc>
          <w:tcPr>
            <w:tcW w:w="2552" w:type="dxa"/>
          </w:tcPr>
          <w:p w14:paraId="3914F40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Челябинск, п/я 188</w:t>
            </w:r>
          </w:p>
        </w:tc>
        <w:tc>
          <w:tcPr>
            <w:tcW w:w="992" w:type="dxa"/>
          </w:tcPr>
          <w:p w14:paraId="73E24CA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1934</w:t>
            </w:r>
          </w:p>
        </w:tc>
        <w:tc>
          <w:tcPr>
            <w:tcW w:w="2410" w:type="dxa"/>
          </w:tcPr>
          <w:p w14:paraId="4BA30DD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Генераторы, стартеры, реле, выключатели, переключатели</w:t>
            </w:r>
          </w:p>
        </w:tc>
      </w:tr>
      <w:tr w:rsidR="007C5583" w:rsidRPr="008127F8" w14:paraId="1D91B2B3" w14:textId="77777777" w:rsidTr="004C5D62">
        <w:tc>
          <w:tcPr>
            <w:tcW w:w="2518" w:type="dxa"/>
          </w:tcPr>
          <w:p w14:paraId="1EE0182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254</w:t>
            </w:r>
          </w:p>
        </w:tc>
        <w:tc>
          <w:tcPr>
            <w:tcW w:w="2552" w:type="dxa"/>
          </w:tcPr>
          <w:p w14:paraId="160C527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23, п/я 2375</w:t>
            </w:r>
          </w:p>
        </w:tc>
        <w:tc>
          <w:tcPr>
            <w:tcW w:w="992" w:type="dxa"/>
          </w:tcPr>
          <w:p w14:paraId="71C34F3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w:t>
            </w:r>
          </w:p>
        </w:tc>
        <w:tc>
          <w:tcPr>
            <w:tcW w:w="2410" w:type="dxa"/>
          </w:tcPr>
          <w:p w14:paraId="6CC35B4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Генераторы, стартеры, реле, конденсаторы, корпуса снарядные</w:t>
            </w:r>
          </w:p>
        </w:tc>
      </w:tr>
      <w:tr w:rsidR="007C5583" w:rsidRPr="008127F8" w14:paraId="669B6E79" w14:textId="77777777" w:rsidTr="004C5D62">
        <w:tc>
          <w:tcPr>
            <w:tcW w:w="2518" w:type="dxa"/>
          </w:tcPr>
          <w:p w14:paraId="798132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238</w:t>
            </w:r>
          </w:p>
        </w:tc>
        <w:tc>
          <w:tcPr>
            <w:tcW w:w="2552" w:type="dxa"/>
          </w:tcPr>
          <w:p w14:paraId="6C8A926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Горький, п/я 321</w:t>
            </w:r>
          </w:p>
        </w:tc>
        <w:tc>
          <w:tcPr>
            <w:tcW w:w="992" w:type="dxa"/>
          </w:tcPr>
          <w:p w14:paraId="1B1F1BD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1928</w:t>
            </w:r>
          </w:p>
        </w:tc>
        <w:tc>
          <w:tcPr>
            <w:tcW w:w="2410" w:type="dxa"/>
          </w:tcPr>
          <w:p w14:paraId="137ABC6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Генераторы переменного и постоянного тока, умформеры и трансформаторы</w:t>
            </w:r>
          </w:p>
        </w:tc>
      </w:tr>
      <w:tr w:rsidR="007C5583" w:rsidRPr="008127F8" w14:paraId="72FB24BF" w14:textId="77777777" w:rsidTr="004C5D62">
        <w:tc>
          <w:tcPr>
            <w:tcW w:w="2518" w:type="dxa"/>
          </w:tcPr>
          <w:p w14:paraId="73E9FFB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39</w:t>
            </w:r>
          </w:p>
        </w:tc>
        <w:tc>
          <w:tcPr>
            <w:tcW w:w="2552" w:type="dxa"/>
          </w:tcPr>
          <w:p w14:paraId="730498B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п/я 1428</w:t>
            </w:r>
          </w:p>
        </w:tc>
        <w:tc>
          <w:tcPr>
            <w:tcW w:w="992" w:type="dxa"/>
          </w:tcPr>
          <w:p w14:paraId="1263F1B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1F3C9A60"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63C22611" w14:textId="77777777" w:rsidTr="004C5D62">
        <w:tc>
          <w:tcPr>
            <w:tcW w:w="2518" w:type="dxa"/>
          </w:tcPr>
          <w:p w14:paraId="27BDA55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37</w:t>
            </w:r>
          </w:p>
        </w:tc>
        <w:tc>
          <w:tcPr>
            <w:tcW w:w="2552" w:type="dxa"/>
          </w:tcPr>
          <w:p w14:paraId="317D522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Москва 61, п/я 4087</w:t>
            </w:r>
          </w:p>
        </w:tc>
        <w:tc>
          <w:tcPr>
            <w:tcW w:w="992" w:type="dxa"/>
          </w:tcPr>
          <w:p w14:paraId="2FC652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1941</w:t>
            </w:r>
          </w:p>
        </w:tc>
        <w:tc>
          <w:tcPr>
            <w:tcW w:w="2410" w:type="dxa"/>
          </w:tcPr>
          <w:p w14:paraId="664798E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Ремонт танков, автоматы, боеприпасы (литье мин)</w:t>
            </w:r>
          </w:p>
        </w:tc>
      </w:tr>
      <w:tr w:rsidR="007C5583" w:rsidRPr="008127F8" w14:paraId="3B58D0E0" w14:textId="77777777" w:rsidTr="004C5D62">
        <w:tc>
          <w:tcPr>
            <w:tcW w:w="2518" w:type="dxa"/>
          </w:tcPr>
          <w:p w14:paraId="2A3B4AF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222</w:t>
            </w:r>
          </w:p>
        </w:tc>
        <w:tc>
          <w:tcPr>
            <w:tcW w:w="2552" w:type="dxa"/>
          </w:tcPr>
          <w:p w14:paraId="3FB6E78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Тогузак Южно-Уральской ж/д</w:t>
            </w:r>
          </w:p>
        </w:tc>
        <w:tc>
          <w:tcPr>
            <w:tcW w:w="992" w:type="dxa"/>
          </w:tcPr>
          <w:p w14:paraId="66DDEA8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w:t>
            </w:r>
          </w:p>
        </w:tc>
        <w:tc>
          <w:tcPr>
            <w:tcW w:w="2410" w:type="dxa"/>
          </w:tcPr>
          <w:p w14:paraId="6A7C3DB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Автом. танковый огнемет АТО-41</w:t>
            </w:r>
          </w:p>
        </w:tc>
      </w:tr>
      <w:tr w:rsidR="007C5583" w:rsidRPr="008127F8" w14:paraId="73CF842D" w14:textId="77777777" w:rsidTr="004C5D62">
        <w:tc>
          <w:tcPr>
            <w:tcW w:w="2518" w:type="dxa"/>
          </w:tcPr>
          <w:p w14:paraId="595206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77</w:t>
            </w:r>
          </w:p>
        </w:tc>
        <w:tc>
          <w:tcPr>
            <w:tcW w:w="2552" w:type="dxa"/>
          </w:tcPr>
          <w:p w14:paraId="3AC00BE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Барнаул, п/я 13</w:t>
            </w:r>
          </w:p>
        </w:tc>
        <w:tc>
          <w:tcPr>
            <w:tcW w:w="992" w:type="dxa"/>
          </w:tcPr>
          <w:p w14:paraId="74956033"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2198891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8127F8" w14:paraId="721A0435" w14:textId="77777777" w:rsidTr="004C5D62">
        <w:tc>
          <w:tcPr>
            <w:tcW w:w="2518" w:type="dxa"/>
          </w:tcPr>
          <w:p w14:paraId="7B0EB03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176</w:t>
            </w:r>
          </w:p>
        </w:tc>
        <w:tc>
          <w:tcPr>
            <w:tcW w:w="2552" w:type="dxa"/>
          </w:tcPr>
          <w:p w14:paraId="7D8B80E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Муром ПРЗ</w:t>
            </w:r>
          </w:p>
        </w:tc>
        <w:tc>
          <w:tcPr>
            <w:tcW w:w="992" w:type="dxa"/>
          </w:tcPr>
          <w:p w14:paraId="6BDD040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1916</w:t>
            </w:r>
          </w:p>
        </w:tc>
        <w:tc>
          <w:tcPr>
            <w:tcW w:w="2410" w:type="dxa"/>
          </w:tcPr>
          <w:p w14:paraId="18F10A0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Корпуса и башни Т-60, ходовая часть Т-34</w:t>
            </w:r>
          </w:p>
        </w:tc>
      </w:tr>
      <w:tr w:rsidR="007C5583" w:rsidRPr="008127F8" w14:paraId="24EA3311" w14:textId="77777777" w:rsidTr="004C5D62">
        <w:tc>
          <w:tcPr>
            <w:tcW w:w="2518" w:type="dxa"/>
          </w:tcPr>
          <w:p w14:paraId="6B204D6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177</w:t>
            </w:r>
          </w:p>
        </w:tc>
        <w:tc>
          <w:tcPr>
            <w:tcW w:w="2552" w:type="dxa"/>
          </w:tcPr>
          <w:p w14:paraId="514654D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Выкса ДРО</w:t>
            </w:r>
          </w:p>
        </w:tc>
        <w:tc>
          <w:tcPr>
            <w:tcW w:w="992" w:type="dxa"/>
          </w:tcPr>
          <w:p w14:paraId="12318FA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1932</w:t>
            </w:r>
          </w:p>
        </w:tc>
        <w:tc>
          <w:tcPr>
            <w:tcW w:w="2410" w:type="dxa"/>
          </w:tcPr>
          <w:p w14:paraId="1260C17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Бронемашины БА-20, корпуса и башни Т-60, погоны Т-34</w:t>
            </w:r>
          </w:p>
        </w:tc>
      </w:tr>
      <w:tr w:rsidR="007C5583" w:rsidRPr="008127F8" w14:paraId="3F226AB8" w14:textId="77777777" w:rsidTr="004C5D62">
        <w:tc>
          <w:tcPr>
            <w:tcW w:w="2518" w:type="dxa"/>
          </w:tcPr>
          <w:p w14:paraId="47B5E84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178</w:t>
            </w:r>
          </w:p>
        </w:tc>
        <w:tc>
          <w:tcPr>
            <w:tcW w:w="2552" w:type="dxa"/>
          </w:tcPr>
          <w:p w14:paraId="289D6C46"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Кулебаки п/я 4</w:t>
            </w:r>
          </w:p>
        </w:tc>
        <w:tc>
          <w:tcPr>
            <w:tcW w:w="992" w:type="dxa"/>
          </w:tcPr>
          <w:p w14:paraId="3A4F89E7"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186A3FE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Прокет – листы спецстали, болванки, бандажи, ж/д железо сортовое, корпуса Т-60</w:t>
            </w:r>
          </w:p>
        </w:tc>
      </w:tr>
      <w:tr w:rsidR="007C5583" w:rsidRPr="008127F8" w14:paraId="39C21DAE" w14:textId="77777777" w:rsidTr="004C5D62">
        <w:tc>
          <w:tcPr>
            <w:tcW w:w="2518" w:type="dxa"/>
          </w:tcPr>
          <w:p w14:paraId="2664DA9B"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180</w:t>
            </w:r>
          </w:p>
        </w:tc>
        <w:tc>
          <w:tcPr>
            <w:tcW w:w="2552" w:type="dxa"/>
          </w:tcPr>
          <w:p w14:paraId="062323E9"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Саратов, п/я 128</w:t>
            </w:r>
          </w:p>
        </w:tc>
        <w:tc>
          <w:tcPr>
            <w:tcW w:w="992" w:type="dxa"/>
          </w:tcPr>
          <w:p w14:paraId="0D254C95"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1889</w:t>
            </w:r>
          </w:p>
        </w:tc>
        <w:tc>
          <w:tcPr>
            <w:tcW w:w="2410" w:type="dxa"/>
          </w:tcPr>
          <w:p w14:paraId="6AF7A6AD"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Корпуса танков Т-60, детали Т-50</w:t>
            </w:r>
          </w:p>
        </w:tc>
      </w:tr>
      <w:tr w:rsidR="007C5583" w:rsidRPr="008127F8" w14:paraId="136A9016" w14:textId="77777777" w:rsidTr="004C5D62">
        <w:tc>
          <w:tcPr>
            <w:tcW w:w="2518" w:type="dxa"/>
          </w:tcPr>
          <w:p w14:paraId="66F9662A"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200</w:t>
            </w:r>
          </w:p>
        </w:tc>
        <w:tc>
          <w:tcPr>
            <w:tcW w:w="2552" w:type="dxa"/>
          </w:tcPr>
          <w:p w14:paraId="08D13DD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Челябинск, п/я 40</w:t>
            </w:r>
          </w:p>
        </w:tc>
        <w:tc>
          <w:tcPr>
            <w:tcW w:w="992" w:type="dxa"/>
          </w:tcPr>
          <w:p w14:paraId="5E3D254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1941</w:t>
            </w:r>
          </w:p>
        </w:tc>
        <w:tc>
          <w:tcPr>
            <w:tcW w:w="2410" w:type="dxa"/>
          </w:tcPr>
          <w:p w14:paraId="6ACB46DE"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Корпуса и стальная башня танка КВ-1, стальные слитки</w:t>
            </w:r>
          </w:p>
        </w:tc>
      </w:tr>
      <w:tr w:rsidR="007C5583" w:rsidRPr="008127F8" w14:paraId="467C0763" w14:textId="77777777" w:rsidTr="004C5D62">
        <w:tc>
          <w:tcPr>
            <w:tcW w:w="2518" w:type="dxa"/>
          </w:tcPr>
          <w:p w14:paraId="7A2662F2"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100</w:t>
            </w:r>
          </w:p>
        </w:tc>
        <w:tc>
          <w:tcPr>
            <w:tcW w:w="2552" w:type="dxa"/>
          </w:tcPr>
          <w:p w14:paraId="2DAEDEA4"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Челябинск опытный СТО, п/я 224</w:t>
            </w:r>
          </w:p>
        </w:tc>
        <w:tc>
          <w:tcPr>
            <w:tcW w:w="992" w:type="dxa"/>
          </w:tcPr>
          <w:p w14:paraId="28A015D1"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1942</w:t>
            </w:r>
          </w:p>
        </w:tc>
        <w:tc>
          <w:tcPr>
            <w:tcW w:w="2410" w:type="dxa"/>
          </w:tcPr>
          <w:p w14:paraId="2071BD68" w14:textId="77777777" w:rsidR="007C5583" w:rsidRPr="008127F8" w:rsidRDefault="007C5583" w:rsidP="004C5D62">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Узлы сцепления, узлы М-13</w:t>
            </w:r>
          </w:p>
        </w:tc>
      </w:tr>
    </w:tbl>
    <w:p w14:paraId="1F343B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(9667)</w:t>
      </w:r>
    </w:p>
    <w:p w14:paraId="31CF21D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52E01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 августе 1942 г. конструкторским бюро завода № 9 НКВ под руководст</w:t>
      </w:r>
      <w:r w:rsidRPr="008127F8">
        <w:rPr>
          <w:rFonts w:ascii="Times New Roman" w:hAnsi="Times New Roman"/>
          <w:color w:val="000000" w:themeColor="text1"/>
          <w:sz w:val="16"/>
          <w:szCs w:val="16"/>
        </w:rPr>
        <w:softHyphen/>
        <w:t>вом Ф.Ф. Петрова был разработан эскизный проект самоходной установки на базе танка Т-34, в котором в качестве основного оружия была предусмотрена установка 122-мм гаубицы М-30. Опыт, полученный при проектировании, позволил отработать по</w:t>
      </w:r>
      <w:r w:rsidRPr="008127F8">
        <w:rPr>
          <w:rFonts w:ascii="Times New Roman" w:hAnsi="Times New Roman"/>
          <w:color w:val="000000" w:themeColor="text1"/>
          <w:sz w:val="16"/>
          <w:szCs w:val="16"/>
        </w:rPr>
        <w:softHyphen/>
        <w:t>дробные ТТТ, предъявляемые к средней самоходной установке со 122-мм орудием, которые при создании установок, в частности, предус</w:t>
      </w:r>
      <w:r w:rsidRPr="008127F8">
        <w:rPr>
          <w:rFonts w:ascii="Times New Roman" w:hAnsi="Times New Roman"/>
          <w:color w:val="000000" w:themeColor="text1"/>
          <w:sz w:val="16"/>
          <w:szCs w:val="16"/>
        </w:rPr>
        <w:softHyphen/>
        <w:t>матривали применение без изменений всей ствольной группы, противо</w:t>
      </w:r>
      <w:r w:rsidRPr="008127F8">
        <w:rPr>
          <w:rFonts w:ascii="Times New Roman" w:hAnsi="Times New Roman"/>
          <w:color w:val="000000" w:themeColor="text1"/>
          <w:sz w:val="16"/>
          <w:szCs w:val="16"/>
        </w:rPr>
        <w:softHyphen/>
        <w:t>откатных устройств, верхнего станка, механизмов наводки и прицель</w:t>
      </w:r>
      <w:r w:rsidRPr="008127F8">
        <w:rPr>
          <w:rFonts w:ascii="Times New Roman" w:hAnsi="Times New Roman"/>
          <w:color w:val="000000" w:themeColor="text1"/>
          <w:sz w:val="16"/>
          <w:szCs w:val="16"/>
        </w:rPr>
        <w:softHyphen/>
        <w:t>ных приспособлений используемых артиллерийских орудий, а также силовой и трансмиссионной установок базовой машины. Выполнение этих ТТТ освобождало заводы-изготовители от необходимости предва</w:t>
      </w:r>
      <w:r w:rsidRPr="008127F8">
        <w:rPr>
          <w:rFonts w:ascii="Times New Roman" w:hAnsi="Times New Roman"/>
          <w:color w:val="000000" w:themeColor="text1"/>
          <w:sz w:val="16"/>
          <w:szCs w:val="16"/>
        </w:rPr>
        <w:softHyphen/>
        <w:t>рительных проектных изысканий, а использование значительного ко</w:t>
      </w:r>
      <w:r w:rsidRPr="008127F8">
        <w:rPr>
          <w:rFonts w:ascii="Times New Roman" w:hAnsi="Times New Roman"/>
          <w:color w:val="000000" w:themeColor="text1"/>
          <w:sz w:val="16"/>
          <w:szCs w:val="16"/>
        </w:rPr>
        <w:softHyphen/>
        <w:t>личества узлов и агрегатов орудия и танка, находившихся в производст</w:t>
      </w:r>
      <w:r w:rsidRPr="008127F8">
        <w:rPr>
          <w:rFonts w:ascii="Times New Roman" w:hAnsi="Times New Roman"/>
          <w:color w:val="000000" w:themeColor="text1"/>
          <w:sz w:val="16"/>
          <w:szCs w:val="16"/>
        </w:rPr>
        <w:softHyphen/>
        <w:t>ве, обеспечивало сравнительно быстрое и легкое изготовление всей са</w:t>
      </w:r>
      <w:r w:rsidRPr="008127F8">
        <w:rPr>
          <w:rFonts w:ascii="Times New Roman" w:hAnsi="Times New Roman"/>
          <w:color w:val="000000" w:themeColor="text1"/>
          <w:sz w:val="16"/>
          <w:szCs w:val="16"/>
        </w:rPr>
        <w:softHyphen/>
        <w:t>моходной установки в целом (10703).</w:t>
      </w:r>
    </w:p>
    <w:p w14:paraId="706AE2A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8567C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 октябре 1942 г. опытный образец танка с ракетным оружи</w:t>
      </w:r>
      <w:r w:rsidRPr="008127F8">
        <w:rPr>
          <w:rFonts w:ascii="Times New Roman" w:hAnsi="Times New Roman"/>
          <w:color w:val="000000" w:themeColor="text1"/>
          <w:sz w:val="16"/>
          <w:szCs w:val="16"/>
        </w:rPr>
        <w:softHyphen/>
        <w:t>ем, изготовленный на заводе № 100 в Челябинске, успешно прошел ис</w:t>
      </w:r>
      <w:r w:rsidRPr="008127F8">
        <w:rPr>
          <w:rFonts w:ascii="Times New Roman" w:hAnsi="Times New Roman"/>
          <w:color w:val="000000" w:themeColor="text1"/>
          <w:sz w:val="16"/>
          <w:szCs w:val="16"/>
        </w:rPr>
        <w:softHyphen/>
        <w:t>пытания на Научно-исследовательском полигоне стрелкового вооруже</w:t>
      </w:r>
      <w:r w:rsidRPr="008127F8">
        <w:rPr>
          <w:rFonts w:ascii="Times New Roman" w:hAnsi="Times New Roman"/>
          <w:color w:val="000000" w:themeColor="text1"/>
          <w:sz w:val="16"/>
          <w:szCs w:val="16"/>
        </w:rPr>
        <w:softHyphen/>
        <w:t>ния в районе станции Чебаркуль и в январе 1943 г. был отправлен для испытаний на Кубинку. Смонтированная на танке КВ-1 система ракет</w:t>
      </w:r>
      <w:r w:rsidRPr="008127F8">
        <w:rPr>
          <w:rFonts w:ascii="Times New Roman" w:hAnsi="Times New Roman"/>
          <w:color w:val="000000" w:themeColor="text1"/>
          <w:sz w:val="16"/>
          <w:szCs w:val="16"/>
        </w:rPr>
        <w:softHyphen/>
        <w:t>ного оружия КАРСТ-1 (короткая артиллерийская ракетная система танков) была рекомендована для серийного производства и установки на танк КВ-1 С. Применение КАРСТ-1 на танках задумывалось с целью придать танковым соединениям мощную артиллерию сопровождения, которая могла бы использоваться как для самостоятельной артилле</w:t>
      </w:r>
      <w:r w:rsidRPr="008127F8">
        <w:rPr>
          <w:rFonts w:ascii="Times New Roman" w:hAnsi="Times New Roman"/>
          <w:color w:val="000000" w:themeColor="text1"/>
          <w:sz w:val="16"/>
          <w:szCs w:val="16"/>
        </w:rPr>
        <w:softHyphen/>
        <w:t>рийской подготовки, так и в танковом бою на дальностях стрельбы 600 - 1800 м. Однако эти опытные работы во время войны не получили дальнейшего развития. На основе КАРСТ-1 в январе 1943 г. в академии на кафедре артиллерии был выполнен проект установки танковой ар</w:t>
      </w:r>
      <w:r w:rsidRPr="008127F8">
        <w:rPr>
          <w:rFonts w:ascii="Times New Roman" w:hAnsi="Times New Roman"/>
          <w:color w:val="000000" w:themeColor="text1"/>
          <w:sz w:val="16"/>
          <w:szCs w:val="16"/>
        </w:rPr>
        <w:softHyphen/>
        <w:t>тиллерийской ракетной системы (ТАРС) на танк Т-34. Несмотря на то, что проект ТАРС не был реализован в серийном производстве танков, работы по применению на танках неуправляемых ракет не пропали да</w:t>
      </w:r>
      <w:r w:rsidRPr="008127F8">
        <w:rPr>
          <w:rFonts w:ascii="Times New Roman" w:hAnsi="Times New Roman"/>
          <w:color w:val="000000" w:themeColor="text1"/>
          <w:sz w:val="16"/>
          <w:szCs w:val="16"/>
        </w:rPr>
        <w:softHyphen/>
        <w:t>ром, и полученный опыт был использован при создании в послевоенные годы танков с ракетным оружием (10703).</w:t>
      </w:r>
    </w:p>
    <w:p w14:paraId="4BEBDC3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6B30E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июне-июле 1942 новая гусеница испытывалась на трех танках </w:t>
      </w:r>
      <w:r w:rsidRPr="008127F8">
        <w:rPr>
          <w:rFonts w:ascii="Times New Roman" w:hAnsi="Times New Roman"/>
          <w:color w:val="000000" w:themeColor="text1"/>
          <w:sz w:val="16"/>
          <w:szCs w:val="16"/>
          <w:lang w:val="en-US"/>
        </w:rPr>
        <w:t>KB</w:t>
      </w:r>
      <w:r w:rsidRPr="008127F8">
        <w:rPr>
          <w:rFonts w:ascii="Times New Roman" w:hAnsi="Times New Roman"/>
          <w:color w:val="000000" w:themeColor="text1"/>
          <w:sz w:val="16"/>
          <w:szCs w:val="16"/>
        </w:rPr>
        <w:t xml:space="preserve"> (заводские № 25810, 10033 и 11021). Для обеспечения выполнения постановле</w:t>
      </w:r>
      <w:r w:rsidRPr="008127F8">
        <w:rPr>
          <w:rFonts w:ascii="Times New Roman" w:hAnsi="Times New Roman"/>
          <w:color w:val="000000" w:themeColor="text1"/>
          <w:sz w:val="16"/>
          <w:szCs w:val="16"/>
        </w:rPr>
        <w:softHyphen/>
        <w:t>ния правительства Кировскому заводу при</w:t>
      </w:r>
      <w:r w:rsidRPr="008127F8">
        <w:rPr>
          <w:rFonts w:ascii="Times New Roman" w:hAnsi="Times New Roman"/>
          <w:color w:val="000000" w:themeColor="text1"/>
          <w:sz w:val="16"/>
          <w:szCs w:val="16"/>
        </w:rPr>
        <w:softHyphen/>
        <w:t>шлось в спешном порядке решать ряд про</w:t>
      </w:r>
      <w:r w:rsidRPr="008127F8">
        <w:rPr>
          <w:rFonts w:ascii="Times New Roman" w:hAnsi="Times New Roman"/>
          <w:color w:val="000000" w:themeColor="text1"/>
          <w:sz w:val="16"/>
          <w:szCs w:val="16"/>
        </w:rPr>
        <w:softHyphen/>
        <w:t>блем. Если с восьмискоростной коробкой перемены передач и новой системой ох</w:t>
      </w:r>
      <w:r w:rsidRPr="008127F8">
        <w:rPr>
          <w:rFonts w:ascii="Times New Roman" w:hAnsi="Times New Roman"/>
          <w:color w:val="000000" w:themeColor="text1"/>
          <w:sz w:val="16"/>
          <w:szCs w:val="16"/>
        </w:rPr>
        <w:softHyphen/>
        <w:t>лаждения все было более-менее ясно — они проходили испытания с весны, и к середи</w:t>
      </w:r>
      <w:r w:rsidRPr="008127F8">
        <w:rPr>
          <w:rFonts w:ascii="Times New Roman" w:hAnsi="Times New Roman"/>
          <w:color w:val="000000" w:themeColor="text1"/>
          <w:sz w:val="16"/>
          <w:szCs w:val="16"/>
        </w:rPr>
        <w:softHyphen/>
        <w:t>не июня уже находились в более или менее отработанном виде, то с другими агрегата</w:t>
      </w:r>
      <w:r w:rsidRPr="008127F8">
        <w:rPr>
          <w:rFonts w:ascii="Times New Roman" w:hAnsi="Times New Roman"/>
          <w:color w:val="000000" w:themeColor="text1"/>
          <w:sz w:val="16"/>
          <w:szCs w:val="16"/>
        </w:rPr>
        <w:softHyphen/>
        <w:t>ми дело обстояло не так гладко. Пришлось в спешном порядке разрабатывать новую конструкцию гусеницы. Помимо меньшей ширины, гусеница имела траки через один без клыков. Масса одного нового трака была на 1,2 кг меньше прежнего, а всей гусени</w:t>
      </w:r>
      <w:r w:rsidRPr="008127F8">
        <w:rPr>
          <w:rFonts w:ascii="Times New Roman" w:hAnsi="Times New Roman"/>
          <w:color w:val="000000" w:themeColor="text1"/>
          <w:sz w:val="16"/>
          <w:szCs w:val="16"/>
        </w:rPr>
        <w:softHyphen/>
        <w:t>цы - на 262 кг. Таким образом, только на гу</w:t>
      </w:r>
      <w:r w:rsidRPr="008127F8">
        <w:rPr>
          <w:rFonts w:ascii="Times New Roman" w:hAnsi="Times New Roman"/>
          <w:color w:val="000000" w:themeColor="text1"/>
          <w:sz w:val="16"/>
          <w:szCs w:val="16"/>
        </w:rPr>
        <w:softHyphen/>
        <w:t>сеницах удалось «сэкономить» более полуто</w:t>
      </w:r>
      <w:r w:rsidRPr="008127F8">
        <w:rPr>
          <w:rFonts w:ascii="Times New Roman" w:hAnsi="Times New Roman"/>
          <w:color w:val="000000" w:themeColor="text1"/>
          <w:sz w:val="16"/>
          <w:szCs w:val="16"/>
        </w:rPr>
        <w:softHyphen/>
        <w:t>ны массы (15226).</w:t>
      </w:r>
    </w:p>
    <w:p w14:paraId="553FAD0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6DD34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F3573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ACB36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июне-июле 1942 г. после проведения в НИП АВ ВВС всесторонних исследований действенности вооружения Ил-2 была разработана более рациональная тактика его боевого применения, повышающая эффективность ударов примерно в 2-2,5 раза.</w:t>
      </w:r>
    </w:p>
    <w:p w14:paraId="2C6C00C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Установлено, что атаковать короткую цель (танк, автомашина, и т.д.) необходимо с крутого планирования под углами 25-30° с высот 500-700 м как минимум в трех заходах.</w:t>
      </w:r>
    </w:p>
    <w:p w14:paraId="4667150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Например, в первом заходе осуществляется пуск PC залпом из четырех снарядов с дистанции 300-400 м. Во втором заходе выполняется сброс бомб на выходе из пикирования, и, начиная с третьего захода, цель обстреливается пушечно-пулеметным огнем с дистанций не более 300-400 м.</w:t>
      </w:r>
    </w:p>
    <w:p w14:paraId="7B9EB0F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Атаку длинной цели (скопление пехоты и автотранспорта и т.д.) лучше всего было производить с бреющего полета и с планирования под углом 5-10° с высот 100-200 м с последующим заходом на бомбометание.</w:t>
      </w:r>
    </w:p>
    <w:p w14:paraId="11F7E48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Обязательным условием применения вооружения Ил-2 являлось раздельное использование каждого вида оружия.</w:t>
      </w:r>
    </w:p>
    <w:p w14:paraId="6E05C4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Поиск оптимальных боевых порядков, обеспечивающих одновременно как подавление наземной цели, так и защиту от атак истребителей, привел к "замкнутому кругу самолетов" в составе не менее 6-8 Ил-2.</w:t>
      </w:r>
    </w:p>
    <w:p w14:paraId="6E4530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Атака цели выполнялась со средних высот с пикирования. Каждый экипаж в "круге" имел достаточную свободу маневра для осуществления как прицельного бомбометания и стрельбы по цели, так и огневого воздействия на истребители, атакующие впереди идущий Ил-2.</w:t>
      </w:r>
    </w:p>
    <w:p w14:paraId="6F7297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Позже стал применяться "свободный круг", в этом случае выдерживалось лишь общее направление "круга", дистанция между Ил-2 могла изменяться, и имелась возможность выполнять довороты влево и вправо. Во всем остальном летчикам предоставлялась полная свобода действий.</w:t>
      </w:r>
    </w:p>
    <w:p w14:paraId="1A26A0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Отметим, что, несмотря на достоинства "круга", он все же не обеспечивал огневую поддержку, выходящего из атаки Ил-2, так как идущий следом экипаж в это время был занят обработкой цели и не мог защитить его. Это позволяло противнику сосредоточивать огонь зенитной артиллерии и усилия своих истребителей на самолете, выходящем из атаки.</w:t>
      </w:r>
    </w:p>
    <w:p w14:paraId="56D82DD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этой связи в боевой состав Ил-2 включали специальную группу (не менее 2-4 Ил-2), которая перед выходом на цель основной группы и в ходе атаки осуществляла подавление ПВО противника в районе цели (12020).</w:t>
      </w:r>
    </w:p>
    <w:p w14:paraId="3E63F7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1845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июне-июле 1942 г. на Северный флот прибыла Особая морская авиационная группа (ОМАГ) резерва Главного Командования в составе двух истребительных, двух бомбардировочных и морского торпедоносного авиаполка. Бомбардировочные полки (28-й и 29-й) полной штатной численности имели по 20 Пе-2 каждый. Кроме того, в состав ОМАГ по личному указанию И.В. Сталина должны были влиться три полка двухмоторных истребителей Пе-3. С целью их ускоренного комплектования </w:t>
      </w:r>
      <w:r w:rsidRPr="008127F8">
        <w:rPr>
          <w:rFonts w:ascii="Times New Roman" w:hAnsi="Times New Roman"/>
          <w:color w:val="000000" w:themeColor="text1"/>
          <w:sz w:val="16"/>
          <w:szCs w:val="16"/>
        </w:rPr>
        <w:lastRenderedPageBreak/>
        <w:t>пришлось использовать бомбардировочные полки ВВС КА, проходившие переучивание и доукомплектование в запах на самолеты Пе-2 весной-летом 1942 г. Часть истребителей Пе-3 перегонялась с иркутского авиазавода № 39 экипажами 13-го бап, а недостающие пришлось изъять из разведывательных частей ВВС КА и 9-го лидерного бап (4476).</w:t>
      </w:r>
    </w:p>
    <w:p w14:paraId="6A1FBF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10CE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июне-июле 1942 г. на Северный флот прибыла Особая морская авиационная группа (ОМАГ) резерва Главного Командования в составе двух истребительных, двух бомбардировочных и морского торпедоносного авиаполка. Бомбардировочные полки (28-й и 29-й) имели по 20 Пе-2 каждый полной штатной численности. Кроме того, в состав ОМАГ по личному указанию И.В. Сталина должны были влиться три полка двухмоторных истребителей Пе-3. С целью их ускоренного комплектования пришлось использовать бомбарди- у своего самолета ровочные полки ВВС КА, проходившие переучивание и доукомплектование в запасных авиаполках на самолеты Пе-2 весной- летом 1942 г. Часть истребителей Пе-3 перегонялась с иркутского авиазавода № 39 экипажами 13-го бап, а недостающие пришлось изъять из разведывательных частей ВВС КА и 9-го бап. В июле 1942 г. два полка из трех - 13-й майора В.П. Богомолова и 121-й майора Мирошниченко прибыли на северные аэродромы и вошли в состав ОМАГ. Начиная с 15 сентября самолеты 95-го иап и 13-го бап подключились к прикрытию с воздуха очередного союзного конвоя PQ-18, подвергавшегося непрерывным атакам подлодок и авиации противника. В зоне ответственности ВВС СФ конвой потерял только один транспорт, а до этого в английской зоне на дно ушли 12 судов.</w:t>
      </w:r>
    </w:p>
    <w:p w14:paraId="22CF65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Последний из трех запланированных полков Пе-3 (603-й бап майора Чуба) задержался по причине нехватки техники, а в октябре его судьба в связи с расформированием ОМАГ изменилась. Часть надолго задержалась в запасном полку, а в начале 1943 г. ее расформировали. Таким образом, в течение июля-сентября в состав ВВС Северного флота без учета пополнения "россыпью" влилось не менее 80 Пе-2 и Пе-3. К сожалению, не добившись ярких успехов, эта группа уже к декабрю уменьшилась наполовину. Сдав технику в другие полки, в ноябре покинули флот 13-й (полк был переучен на бомбардировщики А-20 и в 1943 г. продолжил боевые действия в составе ВВС Черноморского флота) и 28-й бапы (на его базе сформировали 28-ю отдельную разведывательную эскадрилью ВВС СФ). В составе 95-го и 121-го авиаполков на 1 декабря 1942 г. числились 29 Пе-3, а в 29-м бап - 14 Пе-2.</w:t>
      </w:r>
    </w:p>
    <w:p w14:paraId="0967B8A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Следует отметить, что помимо ВВС СФ двухмоторные истребители Пе-3 в небольших количествах (до 10 ед.) имелись на вооружении авиации Черноморского флота. Так, 23 сентября 1942 г. пара Пе-3 майора Го- речкина, прикрывая транспорты на участке Туапсе-Геленджик, в течение 20 мин вела воздушный бой с четверкой Bf 109. Сбив один истребитель противника, майор Гореч- кин получил ранение в ногу, но сумел довести подбитую машину до аэродрома Лазаревское. Вторая "пешка" также была подбита, и ее экипаж вынужден был покинуть самолет с парашютами (12042).</w:t>
      </w:r>
    </w:p>
    <w:p w14:paraId="6B227B7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E828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июня по октябрь 1942 г. по данным ВВС в небоевой обстановке произошло 18 катастроф, причем в шести случаях имело место разрушение крыльев, а в восьми - двуплечего рычага управления закрылками; добавим сюда шесть поломок, одну вынужденную посадку и 77 простоев боевых машин из-за неисправности материальной части. Машина была сложнее в пилотировании, чем Як-1 и Як-7, что сильно сказывалось в частях, где было много молодых, наскоро обученных летчиков. Погоня за выполнением и перевыполнением плана в условиях, когда на заводах трудилось много малоквалифицированных женщин и подростков, отрицательно влияла на качество техники. В результате фиксировалась высокая аварийность (11983).</w:t>
      </w:r>
    </w:p>
    <w:p w14:paraId="79564D9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ECBC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июне-июле 1942 г. балтийские летчики засыпали такими минами пролив Бьерке-зунд, противнику пришлось закрыть там движение судов и пустить в ход тральщики (12021).</w:t>
      </w:r>
    </w:p>
    <w:p w14:paraId="5AF92EA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4DBF1A" w14:textId="728BF811" w:rsidR="004B4E79" w:rsidRDefault="004B4E79" w:rsidP="007C5583">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За рубежом:</w:t>
      </w:r>
    </w:p>
    <w:p w14:paraId="15F06A17" w14:textId="77777777" w:rsidR="004B4E79" w:rsidRDefault="004B4E79" w:rsidP="007C558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4322BAA3" w14:textId="77777777" w:rsidR="004B4E79" w:rsidRPr="008A2E5A" w:rsidRDefault="004B4E79" w:rsidP="004B4E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июня 1942 г. по июнь 1943 г. в течение года продолжалось серийное производство FW 190 модифи</w:t>
      </w:r>
      <w:r w:rsidRPr="008A2E5A">
        <w:rPr>
          <w:rFonts w:ascii="Times New Roman" w:hAnsi="Times New Roman"/>
          <w:color w:val="0070C0"/>
          <w:sz w:val="16"/>
          <w:szCs w:val="16"/>
        </w:rPr>
        <w:softHyphen/>
        <w:t>кации А-4. Четыре завода из</w:t>
      </w:r>
      <w:r w:rsidRPr="008A2E5A">
        <w:rPr>
          <w:rFonts w:ascii="Times New Roman" w:hAnsi="Times New Roman"/>
          <w:color w:val="0070C0"/>
          <w:sz w:val="16"/>
          <w:szCs w:val="16"/>
        </w:rPr>
        <w:softHyphen/>
        <w:t>готовили 974 истребителя, поступивших на вооружение истребительных эскадр JG1, JG2. JG5, JG11, JG26, JG51, JG54 и JG300, а также множества отдельных боевых и учеб</w:t>
      </w:r>
      <w:r w:rsidRPr="008A2E5A">
        <w:rPr>
          <w:rFonts w:ascii="Times New Roman" w:hAnsi="Times New Roman"/>
          <w:color w:val="0070C0"/>
          <w:sz w:val="16"/>
          <w:szCs w:val="16"/>
        </w:rPr>
        <w:softHyphen/>
        <w:t>ных подразделений. Два самолета этой моди</w:t>
      </w:r>
      <w:r w:rsidRPr="008A2E5A">
        <w:rPr>
          <w:rFonts w:ascii="Times New Roman" w:hAnsi="Times New Roman"/>
          <w:color w:val="0070C0"/>
          <w:sz w:val="16"/>
          <w:szCs w:val="16"/>
        </w:rPr>
        <w:softHyphen/>
        <w:t>фикации, ставших советскими трофеями, прошли испытания в наших авиационных исследовательских учреждениях: № 142310 — ВНИИ ВВС КА, а № 142362-в ЛИИ НКАП (обе машины выпуска завода «Аго» в Ошер</w:t>
      </w:r>
      <w:r w:rsidRPr="008A2E5A">
        <w:rPr>
          <w:rFonts w:ascii="Times New Roman" w:hAnsi="Times New Roman"/>
          <w:color w:val="0070C0"/>
          <w:sz w:val="16"/>
          <w:szCs w:val="16"/>
        </w:rPr>
        <w:softHyphen/>
        <w:t>слебене).</w:t>
      </w:r>
    </w:p>
    <w:p w14:paraId="265EE798" w14:textId="77777777" w:rsidR="004B4E79" w:rsidRPr="008A2E5A" w:rsidRDefault="004B4E79" w:rsidP="004B4E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Самолеты «Фокке-Вульф» хорошо заре</w:t>
      </w:r>
      <w:r w:rsidRPr="008A2E5A">
        <w:rPr>
          <w:rFonts w:ascii="Times New Roman" w:hAnsi="Times New Roman"/>
          <w:color w:val="0070C0"/>
          <w:sz w:val="16"/>
          <w:szCs w:val="16"/>
        </w:rPr>
        <w:softHyphen/>
        <w:t>комендовали себя в боях с британскими ис</w:t>
      </w:r>
      <w:r w:rsidRPr="008A2E5A">
        <w:rPr>
          <w:rFonts w:ascii="Times New Roman" w:hAnsi="Times New Roman"/>
          <w:color w:val="0070C0"/>
          <w:sz w:val="16"/>
          <w:szCs w:val="16"/>
        </w:rPr>
        <w:softHyphen/>
        <w:t>требителями и при атаках наземных целей. Но в схватках с американскими тяжелыми бомбардировщиками выявилась недостаточ</w:t>
      </w:r>
      <w:r w:rsidRPr="008A2E5A">
        <w:rPr>
          <w:rFonts w:ascii="Times New Roman" w:hAnsi="Times New Roman"/>
          <w:color w:val="0070C0"/>
          <w:sz w:val="16"/>
          <w:szCs w:val="16"/>
        </w:rPr>
        <w:softHyphen/>
        <w:t>ная эффективность их бортового оружия. FW 190А-4, вооруженный четырьмя 20-мм пушками и парой 7,92-мм пулеметов, за трехсекундный промежуток времени мог выпустить 130 снарядов калибра 20 мм (7,92-мм пули были совершенно неэффек</w:t>
      </w:r>
      <w:r w:rsidRPr="008A2E5A">
        <w:rPr>
          <w:rFonts w:ascii="Times New Roman" w:hAnsi="Times New Roman"/>
          <w:color w:val="0070C0"/>
          <w:sz w:val="16"/>
          <w:szCs w:val="16"/>
        </w:rPr>
        <w:softHyphen/>
        <w:t>тивны против живучих многомоторных са</w:t>
      </w:r>
      <w:r w:rsidRPr="008A2E5A">
        <w:rPr>
          <w:rFonts w:ascii="Times New Roman" w:hAnsi="Times New Roman"/>
          <w:color w:val="0070C0"/>
          <w:sz w:val="16"/>
          <w:szCs w:val="16"/>
        </w:rPr>
        <w:softHyphen/>
        <w:t>молетов). Опыт боев показал, что в среднем для поражения четырехмоторного бомбар</w:t>
      </w:r>
      <w:r w:rsidRPr="008A2E5A">
        <w:rPr>
          <w:rFonts w:ascii="Times New Roman" w:hAnsi="Times New Roman"/>
          <w:color w:val="0070C0"/>
          <w:sz w:val="16"/>
          <w:szCs w:val="16"/>
        </w:rPr>
        <w:softHyphen/>
        <w:t>дировщика при атаке с задней полусферы требовалось 20 попаданий 20-мм снарядов, а анализ пленок фотокинопулеметов свиде</w:t>
      </w:r>
      <w:r w:rsidRPr="008A2E5A">
        <w:rPr>
          <w:rFonts w:ascii="Times New Roman" w:hAnsi="Times New Roman"/>
          <w:color w:val="0070C0"/>
          <w:sz w:val="16"/>
          <w:szCs w:val="16"/>
        </w:rPr>
        <w:softHyphen/>
        <w:t>тельствовал, что лишь 2% снарядов из обще</w:t>
      </w:r>
      <w:r w:rsidRPr="008A2E5A">
        <w:rPr>
          <w:rFonts w:ascii="Times New Roman" w:hAnsi="Times New Roman"/>
          <w:color w:val="0070C0"/>
          <w:sz w:val="16"/>
          <w:szCs w:val="16"/>
        </w:rPr>
        <w:softHyphen/>
        <w:t>го числа выпущенных достигали цели. От</w:t>
      </w:r>
      <w:r w:rsidRPr="008A2E5A">
        <w:rPr>
          <w:rFonts w:ascii="Times New Roman" w:hAnsi="Times New Roman"/>
          <w:color w:val="0070C0"/>
          <w:sz w:val="16"/>
          <w:szCs w:val="16"/>
        </w:rPr>
        <w:softHyphen/>
        <w:t>сюда следовало, что для поражения тяжело</w:t>
      </w:r>
      <w:r w:rsidRPr="008A2E5A">
        <w:rPr>
          <w:rFonts w:ascii="Times New Roman" w:hAnsi="Times New Roman"/>
          <w:color w:val="0070C0"/>
          <w:sz w:val="16"/>
          <w:szCs w:val="16"/>
        </w:rPr>
        <w:softHyphen/>
        <w:t>го бомбардировщика истребитель должен был выпустить не менее 1000 снарядов кали</w:t>
      </w:r>
      <w:r w:rsidRPr="008A2E5A">
        <w:rPr>
          <w:rFonts w:ascii="Times New Roman" w:hAnsi="Times New Roman"/>
          <w:color w:val="0070C0"/>
          <w:sz w:val="16"/>
          <w:szCs w:val="16"/>
        </w:rPr>
        <w:softHyphen/>
        <w:t>бра 20 мм! Это число вдвое превосходило бо</w:t>
      </w:r>
      <w:r w:rsidRPr="008A2E5A">
        <w:rPr>
          <w:rFonts w:ascii="Times New Roman" w:hAnsi="Times New Roman"/>
          <w:color w:val="0070C0"/>
          <w:sz w:val="16"/>
          <w:szCs w:val="16"/>
        </w:rPr>
        <w:softHyphen/>
        <w:t>екомплект FW 190А-4. Другими словами, для поражения тяжелого бомбардировщика его должны были атаковать не менее двух истребителей. Перед конструкторами встала задача срочного увеличения огневой мощи «сто девяностого» (24190).</w:t>
      </w:r>
    </w:p>
    <w:p w14:paraId="21E766AC" w14:textId="77777777" w:rsidR="004B4E79" w:rsidRPr="008A2E5A" w:rsidRDefault="004B4E79" w:rsidP="004B4E79">
      <w:pPr>
        <w:spacing w:after="0" w:line="240" w:lineRule="auto"/>
        <w:jc w:val="both"/>
        <w:rPr>
          <w:rFonts w:ascii="Times New Roman" w:hAnsi="Times New Roman"/>
          <w:color w:val="0070C0"/>
          <w:sz w:val="16"/>
          <w:szCs w:val="16"/>
        </w:rPr>
      </w:pPr>
    </w:p>
    <w:p w14:paraId="455A8DA8" w14:textId="77777777" w:rsidR="004B4E79" w:rsidRPr="008A2E5A" w:rsidRDefault="004B4E79" w:rsidP="004B4E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лета 1942 г. ввиду вполне очевидного провала с Ме 210 конструкторский коллектив «Мессершмитт АГ» приступил к уско</w:t>
      </w:r>
      <w:r w:rsidRPr="008A2E5A">
        <w:rPr>
          <w:rFonts w:ascii="Times New Roman" w:hAnsi="Times New Roman"/>
          <w:color w:val="0070C0"/>
          <w:sz w:val="16"/>
          <w:szCs w:val="16"/>
        </w:rPr>
        <w:softHyphen/>
        <w:t>ренному проектированию сразу двух новых «церштереров» — Ме 310 и Ме 410. Обе ма</w:t>
      </w:r>
      <w:r w:rsidRPr="008A2E5A">
        <w:rPr>
          <w:rFonts w:ascii="Times New Roman" w:hAnsi="Times New Roman"/>
          <w:color w:val="0070C0"/>
          <w:sz w:val="16"/>
          <w:szCs w:val="16"/>
        </w:rPr>
        <w:softHyphen/>
        <w:t>шины были близки по конструкции и проек</w:t>
      </w:r>
      <w:r w:rsidRPr="008A2E5A">
        <w:rPr>
          <w:rFonts w:ascii="Times New Roman" w:hAnsi="Times New Roman"/>
          <w:color w:val="0070C0"/>
          <w:sz w:val="16"/>
          <w:szCs w:val="16"/>
        </w:rPr>
        <w:softHyphen/>
        <w:t>тировались с учетом максимального исполь</w:t>
      </w:r>
      <w:r w:rsidRPr="008A2E5A">
        <w:rPr>
          <w:rFonts w:ascii="Times New Roman" w:hAnsi="Times New Roman"/>
          <w:color w:val="0070C0"/>
          <w:sz w:val="16"/>
          <w:szCs w:val="16"/>
        </w:rPr>
        <w:softHyphen/>
        <w:t>зования оснастки от Ме 210. При этом Ме 310 задумывался как самолет, оптимизиро</w:t>
      </w:r>
      <w:r w:rsidRPr="008A2E5A">
        <w:rPr>
          <w:rFonts w:ascii="Times New Roman" w:hAnsi="Times New Roman"/>
          <w:color w:val="0070C0"/>
          <w:sz w:val="16"/>
          <w:szCs w:val="16"/>
        </w:rPr>
        <w:softHyphen/>
        <w:t>ванный для применения на больших высотах, а Ме 410 — на малых и средних. В связи со своим целевым предназначением Ме 310 должен был получить гермокабину и крыло увеличенного размаха без предкрылков (24191).</w:t>
      </w:r>
    </w:p>
    <w:p w14:paraId="3DF93036" w14:textId="77777777" w:rsidR="004B4E79" w:rsidRPr="008A2E5A" w:rsidRDefault="004B4E79" w:rsidP="004B4E79">
      <w:pPr>
        <w:spacing w:after="0" w:line="240" w:lineRule="auto"/>
        <w:jc w:val="both"/>
        <w:rPr>
          <w:rFonts w:ascii="Times New Roman" w:hAnsi="Times New Roman"/>
          <w:color w:val="0070C0"/>
          <w:sz w:val="16"/>
          <w:szCs w:val="16"/>
        </w:rPr>
      </w:pPr>
    </w:p>
    <w:p w14:paraId="247F843A" w14:textId="36A93F5B"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4B006A7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00C59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лета 1942 занялись фильтрами для Ил-2, так как 200 машин заб. - стали быстро приходить в негодность из-за пыли. На 18 заводе собралась комиссия под руководством проф. Поликовского. Предложили лабиринтную сетку, которая должна была окунаться в масло перед полетом и отмываться бензином - после. Но это - принцип, а нужна работающая конструкция. Через двое суток опытный образец пошел в полет. В считанные дни - сделали сотни комплектов, а заводские - продолжили на фронте (180,106).</w:t>
      </w:r>
    </w:p>
    <w:p w14:paraId="3AAA4A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FF36CC"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начале лета 1942 г., когда после тяжелейшего поражения под Харьковом война вновь перешла в маневренную фазу, фронт с угрожающей быстротой покатился к Кавказу и Сталинграду. Частые перебазирования истребительной авиации привели и к ее отрыву от сухопутных войск, и к нехватке дальности для сопровождения бомбардировщиков. Противник решал этот вопрос применением подвесных баков, у нас же они использовались только на И-16, и наЛаГГ-3, да и то не повсеместно, поскольку оказались крайне неудачны. Потому Сталин лично вновь поставил вопрос о создании фронтового одномоторного истребителя с увеличенным радиусом действия.</w:t>
      </w:r>
    </w:p>
    <w:p w14:paraId="26E5FE30"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ответ на это требование Яковлев создал Як-7ДИ. Однако прекрасная дальность его прототипа, двухместного разведчика Як-7Д, была получена не только за счет весьма экономичного мотора М-105ПФ, но и путем увеличения веса топлива. Он мог пройти 1660 км на скорости в 90% от максимальной с заправкой 690 кг бензина, но за это пришлось заплатить скороподъемностью и маневренностью. Дальность истребителя Як-7ДИ с заправкой 500 кг была 1310 км, но на крейсерской скорости, которая была маловата для сопровождения таких бомбардировщиков, как отечественный Пе-2 и американский А-20 "Бостон", который поступал по ленд-лизу (17737).</w:t>
      </w:r>
    </w:p>
    <w:p w14:paraId="6055354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3FE8D2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61ED15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5F1E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начала лета 1942 года наряду с боевой деятельностью на полигоне НИМАП была возобновлена опытовая испытательная работа, связанная с отработкой и совершенствованием элементов боеприпасов и артвооружения для нужд фронта, вытекающая из опыта первого периода войны. В это время на НИМАП были отработаны 130-мм беспламенные заряды на базе имевшегося пламенного пороха, новое снаряжение 130-мм снарядов, создающее яркую вспышку при разрыве тротиловых снарядов. Яркий свет разрыва способствовал точности стрельбы в темное время суток при контрбатарейной борьбе. </w:t>
      </w:r>
    </w:p>
    <w:p w14:paraId="5F1496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"...образцовое выполнение заданий командования на фронте борьбы с немецкими захватчиками" Указом Президиума Верховного Совета Союза ССР от 17 июня 1942 года НИМАП был награжден орденом Красного Знамени.</w:t>
      </w:r>
    </w:p>
    <w:p w14:paraId="33E498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годы войны полигоном командовали: генерал-лейтенант береговой службыИ. С. Мушнов, в последствии начальник береговой обороны ВМФ, генерал-лейтенант береговой службы А. Б. Елисеев, организатор и руководитель героической обороны Моонзундского архипелага в 1941 году, и капитан 1 ранга И. Д. Снитко</w:t>
      </w:r>
      <w:r w:rsidRPr="008127F8">
        <w:rPr>
          <w:rFonts w:ascii="Times New Roman" w:hAnsi="Times New Roman"/>
          <w:bCs/>
          <w:color w:val="000000" w:themeColor="text1"/>
          <w:sz w:val="16"/>
          <w:szCs w:val="16"/>
        </w:rPr>
        <w:t>.</w:t>
      </w:r>
    </w:p>
    <w:p w14:paraId="63C3EE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окончания войны НИМАП полностью возвращается к своей основной деятельности по испытаниям и отработке морского артвооружения и брони для ВМФ СССР. В послевоенное время силами специалистов полигона велись работы по дальнейшему совершенствованию методов испытаний артвооружения, боеприпасов и брони с учетом довоенного опыта и применительно к задачам отработки новых образцов морской артиллерии с более высокими тактико-техническими данными. Создается хорошо оснащенная лаборатория осциллографических измерений.</w:t>
      </w:r>
    </w:p>
    <w:p w14:paraId="6E9E1FF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послевоенный период полигоном бьла проведена большая работа по отработке и испытанию новых 100-мм и 130-мм двухорудийных универсальных палубно-</w:t>
      </w:r>
      <w:r w:rsidRPr="008127F8">
        <w:rPr>
          <w:rFonts w:ascii="Times New Roman" w:hAnsi="Times New Roman"/>
          <w:color w:val="000000" w:themeColor="text1"/>
          <w:sz w:val="16"/>
          <w:szCs w:val="16"/>
        </w:rPr>
        <w:lastRenderedPageBreak/>
        <w:t>башенных установок большими начальными скоростями и давлениями в канале ствола, высокой скорострельности, большими скоростями наведения и с дистанци онным управлением механизмами наведения. В 1952-1955 годах на морском полигоне были отработаны и испытаны новые одноорудийные двухорудийные и четырехорудийные автоматические артустановки морской зенитной артиллерию калибра 14,5, 25, 45 и 57 мм, со значительно более высокими данными по баллистике.</w:t>
      </w:r>
    </w:p>
    <w:p w14:paraId="433E11B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Кроме этого была проведена большая работ по отработке новых образцов 100-, 130- и 152-мм береговых установок на механической тяге, новых образцов крупнокалиберных дальнобойных орудий 305-мм и 220-мм. </w:t>
      </w:r>
    </w:p>
    <w:p w14:paraId="3F3972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этот же период полигоном проводятся большие работы по испытаниям нового стыкования брони электросваркой вместо клепки швов для новых кораблей, а также большие испытания по повышению качества брони. Проводился ряд испытаний бронепробивных свойств авиабомб по отношению к броневой защите современных кораблей.</w:t>
      </w:r>
    </w:p>
    <w:p w14:paraId="19EEDD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Наряду с вышеперечисленными работами полигон выполнил большой объём контрольных испытаний поступавших на вооружение и снабжение флота валовых образцов материальной части и элементов боеприпасов, а также проверочно-контрольных испытаний боезапаса арсеналов и складов ВМФ (12031).</w:t>
      </w:r>
    </w:p>
    <w:p w14:paraId="7BB584D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B6358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8127F8">
        <w:rPr>
          <w:rFonts w:ascii="Times New Roman" w:hAnsi="Times New Roman"/>
          <w:i/>
          <w:iCs/>
          <w:color w:val="000000" w:themeColor="text1"/>
          <w:sz w:val="16"/>
          <w:szCs w:val="16"/>
        </w:rPr>
        <w:t>За рубежом:</w:t>
      </w:r>
    </w:p>
    <w:p w14:paraId="523034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1E5F4A45"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лета 1942 г., когда испытания опытного образца только готовились, на заводе «Аити – Фунаката» в г. Нагоя началось серийное производство ПБ берегового и корабельного базирования D3A2 Модель 22, Морской палубный бомбардировщик тип 99 серийный выпуска фирмы «Аити».</w:t>
      </w:r>
    </w:p>
    <w:p w14:paraId="48B10DBC"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августе 1942 г. первые серийные самолеты были сданы заказчику и поставлены в строевые части (23122).</w:t>
      </w:r>
    </w:p>
    <w:p w14:paraId="4B68C8E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7AA58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5D1666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F482BD" w14:textId="77777777" w:rsidR="007A2877" w:rsidRPr="008A2E5A" w:rsidRDefault="007A2877" w:rsidP="007A28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1942 проявились дефект</w:t>
      </w:r>
      <w:r>
        <w:rPr>
          <w:rFonts w:ascii="Times New Roman" w:hAnsi="Times New Roman"/>
          <w:color w:val="0070C0"/>
          <w:sz w:val="16"/>
          <w:szCs w:val="16"/>
        </w:rPr>
        <w:t>ы</w:t>
      </w:r>
      <w:r w:rsidRPr="008A2E5A">
        <w:rPr>
          <w:rFonts w:ascii="Times New Roman" w:hAnsi="Times New Roman"/>
          <w:color w:val="0070C0"/>
          <w:sz w:val="16"/>
          <w:szCs w:val="16"/>
        </w:rPr>
        <w:t xml:space="preserve"> конструкции Ил-2. Замена с разрешения СКО завода № 18 - головного по выпуску Ил-2, цельнотянутой трубы лонжерона рулей высоты на клепанную трубу из листа стала причиной нескольких ка</w:t>
      </w:r>
      <w:r w:rsidRPr="008A2E5A">
        <w:rPr>
          <w:rFonts w:ascii="Times New Roman" w:hAnsi="Times New Roman"/>
          <w:color w:val="0070C0"/>
          <w:sz w:val="16"/>
          <w:szCs w:val="16"/>
        </w:rPr>
        <w:softHyphen/>
        <w:t>тастроф серийных самолетов Ил-2. Эти трубы разрушались в полете. Оказалось, что испытания этого варианта рулей вы</w:t>
      </w:r>
      <w:r w:rsidRPr="008A2E5A">
        <w:rPr>
          <w:rFonts w:ascii="Times New Roman" w:hAnsi="Times New Roman"/>
          <w:color w:val="0070C0"/>
          <w:sz w:val="16"/>
          <w:szCs w:val="16"/>
        </w:rPr>
        <w:softHyphen/>
        <w:t>соты выполнили в недостаточном объеме, вследствие чего дефект остался не выявленным.</w:t>
      </w:r>
    </w:p>
    <w:p w14:paraId="3D483F03" w14:textId="77777777" w:rsidR="007A2877" w:rsidRPr="008A2E5A" w:rsidRDefault="007A2877" w:rsidP="007A28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Очень часто ломались фермы костыля, главным образом, приварного кронштейна. Причины поломок этих кронштей</w:t>
      </w:r>
      <w:r w:rsidRPr="008A2E5A">
        <w:rPr>
          <w:rFonts w:ascii="Times New Roman" w:hAnsi="Times New Roman"/>
          <w:color w:val="0070C0"/>
          <w:sz w:val="16"/>
          <w:szCs w:val="16"/>
        </w:rPr>
        <w:softHyphen/>
        <w:t>нов заключались в плохой сварке. Имели место трещины на складывающихся подкосах шасси.</w:t>
      </w:r>
    </w:p>
    <w:p w14:paraId="17A63254" w14:textId="77777777" w:rsidR="007A2877" w:rsidRPr="008A2E5A" w:rsidRDefault="007A2877" w:rsidP="007A28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Постоянно заедали тяги управления газом («из-за этого дефекта есть вынужденные посадки и поломки»), особенно в зимнее время.</w:t>
      </w:r>
    </w:p>
    <w:p w14:paraId="5DE58AFE" w14:textId="77777777" w:rsidR="007A2877" w:rsidRPr="008A2E5A" w:rsidRDefault="007A2877" w:rsidP="007A28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Массово ломались трубы противовесов рулей высоты («это одна из самых недоработанных деталей»). Сис</w:t>
      </w:r>
      <w:r w:rsidRPr="008A2E5A">
        <w:rPr>
          <w:rFonts w:ascii="Times New Roman" w:hAnsi="Times New Roman"/>
          <w:color w:val="0070C0"/>
          <w:sz w:val="16"/>
          <w:szCs w:val="16"/>
        </w:rPr>
        <w:softHyphen/>
        <w:t>тематически выходили из строя термочувствительные элементы приемников электрических термометров воды и масла ТМЭ-6, бензодатчики БЭ-499, электрические тахометры ТЭ-22, трехстрелочные индикаторы ТИ-40 и пусковые катушки зажигания.</w:t>
      </w:r>
    </w:p>
    <w:p w14:paraId="4A12213E" w14:textId="77777777" w:rsidR="007A2877" w:rsidRPr="008A2E5A" w:rsidRDefault="007A2877" w:rsidP="007A28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Заводами плохо пригонялись замки ферри на бронелюках. В результате «во время полета бронелюки откры</w:t>
      </w:r>
      <w:r w:rsidRPr="008A2E5A">
        <w:rPr>
          <w:rFonts w:ascii="Times New Roman" w:hAnsi="Times New Roman"/>
          <w:color w:val="0070C0"/>
          <w:sz w:val="16"/>
          <w:szCs w:val="16"/>
        </w:rPr>
        <w:softHyphen/>
        <w:t>ваются и теряются в воздухе». Отмечались случаи, «когда оторванные бронелюки попадали под винт, пробивали фюзеляжи и стабилизаторы».</w:t>
      </w:r>
    </w:p>
    <w:p w14:paraId="349221BD" w14:textId="77777777" w:rsidR="007A2877" w:rsidRPr="008A2E5A" w:rsidRDefault="007A2877" w:rsidP="007A28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Вследствие плохой подгонки верхних бронелистов ка</w:t>
      </w:r>
      <w:r w:rsidRPr="008A2E5A">
        <w:rPr>
          <w:rFonts w:ascii="Times New Roman" w:hAnsi="Times New Roman"/>
          <w:color w:val="0070C0"/>
          <w:sz w:val="16"/>
          <w:szCs w:val="16"/>
        </w:rPr>
        <w:softHyphen/>
        <w:t>пота мотора («несовпадение отверстий в броне и бронекаркасе под бронешурупы») их монтаж требовал значительных физических усилий 2-3 человек. Установка брони, «осо</w:t>
      </w:r>
      <w:r w:rsidRPr="008A2E5A">
        <w:rPr>
          <w:rFonts w:ascii="Times New Roman" w:hAnsi="Times New Roman"/>
          <w:color w:val="0070C0"/>
          <w:sz w:val="16"/>
          <w:szCs w:val="16"/>
        </w:rPr>
        <w:softHyphen/>
        <w:t>бенно при первых регламентных работах забирает больше времени, чем выполнение самих регламентных работ на моторе». Более того, «некоторые плиты после осмотра го</w:t>
      </w:r>
      <w:r w:rsidRPr="008A2E5A">
        <w:rPr>
          <w:rFonts w:ascii="Times New Roman" w:hAnsi="Times New Roman"/>
          <w:color w:val="0070C0"/>
          <w:sz w:val="16"/>
          <w:szCs w:val="16"/>
        </w:rPr>
        <w:softHyphen/>
        <w:t>ловок цилиндров ставятся в течение целого дня».</w:t>
      </w:r>
    </w:p>
    <w:p w14:paraId="65251DCF" w14:textId="77777777" w:rsidR="007A2877" w:rsidRPr="008A2E5A" w:rsidRDefault="007A2877" w:rsidP="007A28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Одним из серьезных дефектов Ил-2 продолжало оставаться «выбивание масла из втулки винта». Масло забрызгивало козырек летчика так, что он ничего не видел («это очень опасный дефект и нужно принять срочные меры по изжитию»).</w:t>
      </w:r>
    </w:p>
    <w:p w14:paraId="5BF57958" w14:textId="77777777" w:rsidR="007A2877" w:rsidRPr="008A2E5A" w:rsidRDefault="007A2877" w:rsidP="007A28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Конструкция маслофильтра и его работа в маслосистеме не отвечали своему назначению. При постановке фильтра «остается малый зазор между сеткой фильтра и отверстием входа масла к помпе, что влияет на подачу масла в помпу».</w:t>
      </w:r>
    </w:p>
    <w:p w14:paraId="733D1B6D" w14:textId="77777777" w:rsidR="007A2877" w:rsidRPr="008A2E5A" w:rsidRDefault="007A2877" w:rsidP="007A28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Анализ документов показывает, что низкое каче</w:t>
      </w:r>
      <w:r w:rsidRPr="008A2E5A">
        <w:rPr>
          <w:rFonts w:ascii="Times New Roman" w:hAnsi="Times New Roman"/>
          <w:color w:val="0070C0"/>
          <w:sz w:val="16"/>
          <w:szCs w:val="16"/>
        </w:rPr>
        <w:softHyphen/>
        <w:t>ство сборки Ил-2 обуславливалось не только массовым приходом на авиазаводы малоквалифицированной рабочей силы, но и отсутствием военной приемки в заготовительных и агрегатно-механических цехах самолетостроительных заводов и на заводах-постав</w:t>
      </w:r>
      <w:r w:rsidRPr="008A2E5A">
        <w:rPr>
          <w:rFonts w:ascii="Times New Roman" w:hAnsi="Times New Roman"/>
          <w:color w:val="0070C0"/>
          <w:sz w:val="16"/>
          <w:szCs w:val="16"/>
        </w:rPr>
        <w:softHyphen/>
        <w:t>щиках комплектующих изделий. По этой причине во</w:t>
      </w:r>
      <w:r w:rsidRPr="008A2E5A">
        <w:rPr>
          <w:rFonts w:ascii="Times New Roman" w:hAnsi="Times New Roman"/>
          <w:color w:val="0070C0"/>
          <w:sz w:val="16"/>
          <w:szCs w:val="16"/>
        </w:rPr>
        <w:softHyphen/>
        <w:t>енные представители не могли оказать существенного влияния на качество собранных самолетов, которое закладывалось на начальных стадиях производства. Военпреды осуществляли только окончательную при</w:t>
      </w:r>
      <w:r w:rsidRPr="008A2E5A">
        <w:rPr>
          <w:rFonts w:ascii="Times New Roman" w:hAnsi="Times New Roman"/>
          <w:color w:val="0070C0"/>
          <w:sz w:val="16"/>
          <w:szCs w:val="16"/>
        </w:rPr>
        <w:softHyphen/>
        <w:t>емку уже собранных штурмовиков. Летчики военных представительств работали в одном графике с завод</w:t>
      </w:r>
      <w:r w:rsidRPr="008A2E5A">
        <w:rPr>
          <w:rFonts w:ascii="Times New Roman" w:hAnsi="Times New Roman"/>
          <w:color w:val="0070C0"/>
          <w:sz w:val="16"/>
          <w:szCs w:val="16"/>
        </w:rPr>
        <w:softHyphen/>
        <w:t>скими летчиками и контрольные переоблеты самолетов после заводских летчиков не производили. Кроме того, самолеты проходили сдаточные испытания по сильно сокращенной программе и почти полностью были пре</w:t>
      </w:r>
      <w:r w:rsidRPr="008A2E5A">
        <w:rPr>
          <w:rFonts w:ascii="Times New Roman" w:hAnsi="Times New Roman"/>
          <w:color w:val="0070C0"/>
          <w:sz w:val="16"/>
          <w:szCs w:val="16"/>
        </w:rPr>
        <w:softHyphen/>
        <w:t>кращены испытания самолетов головных серий. На авиазаводах отсутствовал правильный анализ и опре</w:t>
      </w:r>
      <w:r w:rsidRPr="008A2E5A">
        <w:rPr>
          <w:rFonts w:ascii="Times New Roman" w:hAnsi="Times New Roman"/>
          <w:color w:val="0070C0"/>
          <w:sz w:val="16"/>
          <w:szCs w:val="16"/>
        </w:rPr>
        <w:softHyphen/>
        <w:t>деление истинных причин летных происшествий. В ре</w:t>
      </w:r>
      <w:r w:rsidRPr="008A2E5A">
        <w:rPr>
          <w:rFonts w:ascii="Times New Roman" w:hAnsi="Times New Roman"/>
          <w:color w:val="0070C0"/>
          <w:sz w:val="16"/>
          <w:szCs w:val="16"/>
        </w:rPr>
        <w:softHyphen/>
        <w:t>зультате получалось так, что новые дефекты серийного НКАП производства наслаивались на ста</w:t>
      </w:r>
      <w:r w:rsidRPr="008A2E5A">
        <w:rPr>
          <w:rFonts w:ascii="Times New Roman" w:hAnsi="Times New Roman"/>
          <w:color w:val="0070C0"/>
          <w:sz w:val="16"/>
          <w:szCs w:val="16"/>
        </w:rPr>
        <w:softHyphen/>
        <w:t xml:space="preserve">рые, до сих пор не устраненные. </w:t>
      </w:r>
    </w:p>
    <w:p w14:paraId="0A522B79" w14:textId="77777777" w:rsidR="007A2877" w:rsidRPr="008A2E5A" w:rsidRDefault="007A2877" w:rsidP="007A28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следствие, многие Ил-2 терпели аварии и катастрофы при перегоне с мест формирования полков к фронту, а на самих фрон</w:t>
      </w:r>
      <w:r w:rsidRPr="008A2E5A">
        <w:rPr>
          <w:rFonts w:ascii="Times New Roman" w:hAnsi="Times New Roman"/>
          <w:color w:val="0070C0"/>
          <w:sz w:val="16"/>
          <w:szCs w:val="16"/>
        </w:rPr>
        <w:softHyphen/>
        <w:t>тах из-за отсутствия в строевых частях запасных частей, расходных материалов, моторов, воздушных винтов и других агрегатов процент неисправных Ил-2 достигал угрожа</w:t>
      </w:r>
      <w:r w:rsidRPr="008A2E5A">
        <w:rPr>
          <w:rFonts w:ascii="Times New Roman" w:hAnsi="Times New Roman"/>
          <w:color w:val="0070C0"/>
          <w:sz w:val="16"/>
          <w:szCs w:val="16"/>
        </w:rPr>
        <w:softHyphen/>
        <w:t>ющих значений - 40-50% и более (23346).</w:t>
      </w:r>
    </w:p>
    <w:p w14:paraId="0D5A72A3" w14:textId="77777777" w:rsidR="007A2877" w:rsidRPr="008A2E5A" w:rsidRDefault="007A2877" w:rsidP="007A2877">
      <w:pPr>
        <w:spacing w:after="0" w:line="240" w:lineRule="auto"/>
        <w:jc w:val="both"/>
        <w:rPr>
          <w:rFonts w:ascii="Times New Roman" w:hAnsi="Times New Roman"/>
          <w:color w:val="0070C0"/>
          <w:sz w:val="16"/>
          <w:szCs w:val="16"/>
        </w:rPr>
      </w:pPr>
    </w:p>
    <w:p w14:paraId="32A0ACA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1942-го претворяя в жизнь требования военных по улучшению летно-боевых данных Ил-2, ОКБ С.В.Ильюшина установило на штурмовик форсированный мотор АМ-38ф, имевший, по сравнению с АМ-38-м, большую взлетную мощность (на 100 л.с.). Первый одноместный серийный Ил-2 (зав. № 182412) с опытным мотором АМ-38ф поступил для снятия летных данных по програм</w:t>
      </w:r>
      <w:r w:rsidRPr="008127F8">
        <w:rPr>
          <w:rFonts w:ascii="Times New Roman" w:hAnsi="Times New Roman"/>
          <w:color w:val="000000" w:themeColor="text1"/>
          <w:sz w:val="16"/>
          <w:szCs w:val="16"/>
        </w:rPr>
        <w:softHyphen/>
        <w:t>ме приемо-сдаточных испытаний серий</w:t>
      </w:r>
      <w:r w:rsidRPr="008127F8">
        <w:rPr>
          <w:rFonts w:ascii="Times New Roman" w:hAnsi="Times New Roman"/>
          <w:color w:val="000000" w:themeColor="text1"/>
          <w:sz w:val="16"/>
          <w:szCs w:val="16"/>
        </w:rPr>
        <w:softHyphen/>
        <w:t>ных самолетов с дополнением по ис</w:t>
      </w:r>
      <w:r w:rsidRPr="008127F8">
        <w:rPr>
          <w:rFonts w:ascii="Times New Roman" w:hAnsi="Times New Roman"/>
          <w:color w:val="000000" w:themeColor="text1"/>
          <w:sz w:val="16"/>
          <w:szCs w:val="16"/>
        </w:rPr>
        <w:softHyphen/>
        <w:t>пытанию работы ВМГ в ЛИС 18-го авиа</w:t>
      </w:r>
      <w:r w:rsidRPr="008127F8">
        <w:rPr>
          <w:rFonts w:ascii="Times New Roman" w:hAnsi="Times New Roman"/>
          <w:color w:val="000000" w:themeColor="text1"/>
          <w:sz w:val="16"/>
          <w:szCs w:val="16"/>
        </w:rPr>
        <w:softHyphen/>
        <w:t>завода 31 июля 1942 г. (6467).</w:t>
      </w:r>
    </w:p>
    <w:p w14:paraId="590D435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полетном весе 5873 кг одноме</w:t>
      </w:r>
      <w:r w:rsidRPr="008127F8">
        <w:rPr>
          <w:rFonts w:ascii="Times New Roman" w:hAnsi="Times New Roman"/>
          <w:color w:val="000000" w:themeColor="text1"/>
          <w:sz w:val="16"/>
          <w:szCs w:val="16"/>
        </w:rPr>
        <w:softHyphen/>
        <w:t>стный Ил-2 АМ-38ф показал максималь</w:t>
      </w:r>
      <w:r w:rsidRPr="008127F8">
        <w:rPr>
          <w:rFonts w:ascii="Times New Roman" w:hAnsi="Times New Roman"/>
          <w:color w:val="000000" w:themeColor="text1"/>
          <w:sz w:val="16"/>
          <w:szCs w:val="16"/>
        </w:rPr>
        <w:softHyphen/>
        <w:t>ную скорость у земли 373 км/ч и на высоте 1750 м - 391 км/ч. Длина разбе</w:t>
      </w:r>
      <w:r w:rsidRPr="008127F8">
        <w:rPr>
          <w:rFonts w:ascii="Times New Roman" w:hAnsi="Times New Roman"/>
          <w:color w:val="000000" w:themeColor="text1"/>
          <w:sz w:val="16"/>
          <w:szCs w:val="16"/>
        </w:rPr>
        <w:softHyphen/>
        <w:t>га модифицированного штурмовика со</w:t>
      </w:r>
      <w:r w:rsidRPr="008127F8">
        <w:rPr>
          <w:rFonts w:ascii="Times New Roman" w:hAnsi="Times New Roman"/>
          <w:color w:val="000000" w:themeColor="text1"/>
          <w:sz w:val="16"/>
          <w:szCs w:val="16"/>
        </w:rPr>
        <w:softHyphen/>
        <w:t>кратилась до 375 м.</w:t>
      </w:r>
    </w:p>
    <w:p w14:paraId="6CDE0A7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Из-за крайне неудовлетво</w:t>
      </w:r>
      <w:r w:rsidRPr="008127F8">
        <w:rPr>
          <w:rFonts w:ascii="Times New Roman" w:hAnsi="Times New Roman"/>
          <w:color w:val="000000" w:themeColor="text1"/>
          <w:sz w:val="16"/>
          <w:szCs w:val="16"/>
        </w:rPr>
        <w:softHyphen/>
        <w:t>рительной работы мотора летные испытания Ил-2 АМ-38ф в полном объеме прове</w:t>
      </w:r>
      <w:r w:rsidRPr="008127F8">
        <w:rPr>
          <w:rFonts w:ascii="Times New Roman" w:hAnsi="Times New Roman"/>
          <w:color w:val="000000" w:themeColor="text1"/>
          <w:sz w:val="16"/>
          <w:szCs w:val="16"/>
        </w:rPr>
        <w:softHyphen/>
        <w:t>сти не удалось. Уже 18 авгу</w:t>
      </w:r>
      <w:r w:rsidRPr="008127F8">
        <w:rPr>
          <w:rFonts w:ascii="Times New Roman" w:hAnsi="Times New Roman"/>
          <w:color w:val="000000" w:themeColor="text1"/>
          <w:sz w:val="16"/>
          <w:szCs w:val="16"/>
        </w:rPr>
        <w:softHyphen/>
        <w:t>ста испытания модифициро</w:t>
      </w:r>
      <w:r w:rsidRPr="008127F8">
        <w:rPr>
          <w:rFonts w:ascii="Times New Roman" w:hAnsi="Times New Roman"/>
          <w:color w:val="000000" w:themeColor="text1"/>
          <w:sz w:val="16"/>
          <w:szCs w:val="16"/>
        </w:rPr>
        <w:softHyphen/>
        <w:t>ванного штурмовика были прекращены, а мотор АМ-38ф возвращен на 24-й завод для устранения обнаруженных де</w:t>
      </w:r>
      <w:r w:rsidRPr="008127F8">
        <w:rPr>
          <w:rFonts w:ascii="Times New Roman" w:hAnsi="Times New Roman"/>
          <w:color w:val="000000" w:themeColor="text1"/>
          <w:sz w:val="16"/>
          <w:szCs w:val="16"/>
        </w:rPr>
        <w:softHyphen/>
        <w:t>фектов и доводки его работы до требуемого уровня надежно</w:t>
      </w:r>
      <w:r w:rsidRPr="008127F8">
        <w:rPr>
          <w:rFonts w:ascii="Times New Roman" w:hAnsi="Times New Roman"/>
          <w:color w:val="000000" w:themeColor="text1"/>
          <w:sz w:val="16"/>
          <w:szCs w:val="16"/>
        </w:rPr>
        <w:softHyphen/>
        <w:t>сти (6467).</w:t>
      </w:r>
    </w:p>
    <w:p w14:paraId="1D4392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E756A7" w14:textId="77777777" w:rsidR="0044676C" w:rsidRPr="008A2E5A" w:rsidRDefault="0044676C" w:rsidP="004467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1942 года коллектив конструкторов и технологов серийно-конструкторского отдела завода № 1 под руководством Яценко сумел предложить оригинальную конструкцию двухместного варианта Ил-2. Для проведения испытаний изготовили три двухместные машины. Пробные полеты состоялись в начале сентября и были успешными. В конце 1942 года двухместные Ил-2 завода №1 прошли боевые испытания на Калининском фронте (24277).</w:t>
      </w:r>
    </w:p>
    <w:p w14:paraId="55F42A6B" w14:textId="77777777" w:rsidR="0044676C" w:rsidRPr="008A2E5A" w:rsidRDefault="0044676C" w:rsidP="0044676C">
      <w:pPr>
        <w:spacing w:after="0" w:line="240" w:lineRule="auto"/>
        <w:jc w:val="both"/>
        <w:rPr>
          <w:rFonts w:ascii="Times New Roman" w:hAnsi="Times New Roman"/>
          <w:color w:val="0070C0"/>
          <w:sz w:val="16"/>
          <w:szCs w:val="16"/>
        </w:rPr>
      </w:pPr>
    </w:p>
    <w:p w14:paraId="4447DB0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лета 1942 г. в строевых частях местными умельцами в заднем отсеке Ил-2 вместо бензобака оборудовалось место для воздушного стрелка, которого вооружали либо пуле</w:t>
      </w:r>
      <w:r w:rsidRPr="008127F8">
        <w:rPr>
          <w:rFonts w:ascii="Times New Roman" w:hAnsi="Times New Roman"/>
          <w:color w:val="000000" w:themeColor="text1"/>
          <w:sz w:val="16"/>
          <w:szCs w:val="16"/>
        </w:rPr>
        <w:softHyphen/>
        <w:t>метом ДА, либо ШКАС, либо УБТ - что было под рукой. Всего подобным образом было переоборудовано около 1200 Ил-2.</w:t>
      </w:r>
    </w:p>
    <w:p w14:paraId="13A9E27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специальным распо</w:t>
      </w:r>
      <w:r w:rsidRPr="008127F8">
        <w:rPr>
          <w:rFonts w:ascii="Times New Roman" w:hAnsi="Times New Roman"/>
          <w:color w:val="000000" w:themeColor="text1"/>
          <w:sz w:val="16"/>
          <w:szCs w:val="16"/>
        </w:rPr>
        <w:softHyphen/>
        <w:t>ряжением по НКАП и ВВС КА с целью снижения потерь от огня истребитель</w:t>
      </w:r>
      <w:r w:rsidRPr="008127F8">
        <w:rPr>
          <w:rFonts w:ascii="Times New Roman" w:hAnsi="Times New Roman"/>
          <w:color w:val="000000" w:themeColor="text1"/>
          <w:sz w:val="16"/>
          <w:szCs w:val="16"/>
        </w:rPr>
        <w:softHyphen/>
        <w:t>ной авиации на всех Ил-2, выпущенных авиазаводами до 1 июня 1942 г., при восстановительном ремонте надлежало силами реморганов выполнить усиление хвостовой части самолета путем поста</w:t>
      </w:r>
      <w:r w:rsidRPr="008127F8">
        <w:rPr>
          <w:rFonts w:ascii="Times New Roman" w:hAnsi="Times New Roman"/>
          <w:color w:val="000000" w:themeColor="text1"/>
          <w:sz w:val="16"/>
          <w:szCs w:val="16"/>
        </w:rPr>
        <w:softHyphen/>
        <w:t>новки на всю длину фюзеляжа четырех наружных дюралюминиевых стрингеров (профилей). Стрингеры приклепывались к фюзеляжу вместе со стыковочной лен</w:t>
      </w:r>
      <w:r w:rsidRPr="008127F8">
        <w:rPr>
          <w:rFonts w:ascii="Times New Roman" w:hAnsi="Times New Roman"/>
          <w:color w:val="000000" w:themeColor="text1"/>
          <w:sz w:val="16"/>
          <w:szCs w:val="16"/>
        </w:rPr>
        <w:softHyphen/>
        <w:t>той заклепками (6467).</w:t>
      </w:r>
    </w:p>
    <w:p w14:paraId="77611FE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10ED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лета 1942 г. с целью снижения потерь от истребителей люфтваффе в строевых частях в заднем отсеке Ил-2 вместо бензобака оборудовалось место для воздушного стрелка, которого вооружали либо пулеметом ДА, либо ШКАС, либо УБТ - что было под рукой. Всего подобным образом было переоборудовано около 1200 Ил-2. Заводской вариант двухместного Ил-2 с оборонительной установкой под пулемет УБТ пошел в серию с октября 1942 г.</w:t>
      </w:r>
    </w:p>
    <w:p w14:paraId="7869B8E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появлением на фронте двухместных Ил-2 истребители противника уже не рисковали подходить к штурмовикам на близкие дистанции и старались производить заходы для атаки на штурмовики снизу в хвост или снизу с боков, если, конечно, позволяла высота, в противном случае - сверху сбоку... (8687).</w:t>
      </w:r>
    </w:p>
    <w:p w14:paraId="0AE6CF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A4155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лета 1942 г. не дожидаясь поступления на вооружение двухместных Ил-2, командование авиачастей своими силами приступило к переделке их в двухместные. Умельцы в заднем отсеке Ил-2 вмес</w:t>
      </w:r>
      <w:r w:rsidRPr="008127F8">
        <w:rPr>
          <w:rFonts w:ascii="Times New Roman" w:hAnsi="Times New Roman"/>
          <w:color w:val="000000" w:themeColor="text1"/>
          <w:sz w:val="16"/>
          <w:szCs w:val="16"/>
        </w:rPr>
        <w:softHyphen/>
        <w:t>то бензобака оборудовали место для воздушного стрелка, которого вооружали каким-либо имевшимся в наличии пулеметом — ДА, ШКАС или УБТ. Всего было переоборудовано около 1200 машин.(10695).</w:t>
      </w:r>
    </w:p>
    <w:p w14:paraId="58D3EFA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9E420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на испытания предъявили два одноместных Ил-2 с дистанционно управляемыми летчиком пулеметными установками. Один из самолетов имел установку с крупнокалиберным УБТ, другой - с двумя ШКАСами. Установка с УБТ допускала отклонение ствола пулемета вверх от 0 до 5° и в стороны по 2,5°. Установка с пулеметами ШКАС была более подвижной, отклоняясь вверх от 0 до 22,5° и в стороны по 7,5°. Стрельба назад осуществлялась летчиком с помощью простейшего зеркального прицела (9528).</w:t>
      </w:r>
    </w:p>
    <w:p w14:paraId="33579D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5233F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лета 1942 г. после усиления монококовая конструкция фюзеляжа Ил-2 оказалась довольно живучей, и выдерживала значительное число попаданий пуль и </w:t>
      </w:r>
      <w:r w:rsidRPr="008127F8">
        <w:rPr>
          <w:rFonts w:ascii="Times New Roman" w:hAnsi="Times New Roman"/>
          <w:color w:val="000000" w:themeColor="text1"/>
          <w:sz w:val="16"/>
          <w:szCs w:val="16"/>
        </w:rPr>
        <w:lastRenderedPageBreak/>
        <w:t>малокалиберных снарядов. Для того чтобы разрушить фюзеляж, необходимо было обеспечить шесть-семь попаданий в него 20-мм фугасных снарядов. Однако попадание в фюзеляж даже одного снаряда с высокой вероятностью приводило к перебитию его осколками тросов управления рулем поворота штурмовика. Статистика боевых поражений Ил-2 показывает, что в 57% случаев попадания снарядов в фюзеляж Ил-2 происходило перебитие тросов управления рулем поворота и 7% попаданий приводили к частичному повреждению трубчатых тяг рулей высоты. Кроме этого, осколки снарядов изнутри превращали в решето обшивку фюзеляжа, от взрывной волны и осколков разрушались стрингеры, рамы, пробивалась бронеперегородка стрелка, который, естественно, поражался.</w:t>
      </w:r>
    </w:p>
    <w:p w14:paraId="43A12EC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случае попадания в фюзеляж 37-мм снаряда, в лучшем случае самолет удавалось посадить на фюзеляж, в худшем — самолет падал с оторванным хвостом.</w:t>
      </w:r>
    </w:p>
    <w:p w14:paraId="198D49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Весьма частым явлением были поломки и аварии самолетов Ил-2 из-за крайне неудачного расположения агрегатов воздушной системы уборки и выпуска шасси и тросов аварийного выпуска шасси, которые легко повреждались пулеметно-пушечным огнем и осколками зенитных снарядов. В среднем в 71% случаев повреждения органов приземления (пирамида, подкосы, цилиндры выпуска, воздушная проводка и т.д.) поломки и аварии происходили именно по причине выхода из строя агрегатов уборки шасси. Почти во всех случаях при посадке происходили поломки винтов, консолей крыла и т.д.</w:t>
      </w:r>
    </w:p>
    <w:p w14:paraId="5C4FB4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Недостаточное давление в воздушной магистрали системы выпуска и уборки щитков, а также и неудачное расположение воздушной системы приводило к тому, что в боевых условиях, когда крыло Ил-2 получало значительные повреждения, щитки часто выпускались неравномерно. Поведение самолета резко менялось. Самолет буквально закручивало вокруг продольной оси. Поскольку на Ил-2 отсутствовал «прибор, контролирующий выпуск щитков», то для летчика крутка самолета являлась полной неожиданностью. Вовремя среагировать он не успевал. В результате самолет переворачивался через крыло и врезался в землю. По этой причине, выполняя посадку на поврежденных штурмовиках, летчики старались не выпускать щитки.</w:t>
      </w:r>
    </w:p>
    <w:p w14:paraId="78C8D5B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Боевой опыт и полигонные испытания показали, что для поражения Ил-2 было достаточно в среднем 1-2 попаданий снарядов калибра 37 мм или 3-4 попаданий 20-мм снарядов.</w:t>
      </w:r>
    </w:p>
    <w:p w14:paraId="4BBBC8D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Попадание одного снаряда калибра 37 мм или 20 мм в любую часть мотора Ил-2 приводило к разрушению блока цилиндров, масло- и водопроводов, маслобака, маслофильтра и т.д.</w:t>
      </w:r>
    </w:p>
    <w:p w14:paraId="7E13AC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Одного попадания таких снарядов в бортовую броню кабины летчика, в передний и задний бензобаки было достаточно для вывода штурмовика из строя. При этом очень часто оказывались перебитыми тросы управления рулем поворота, приборное «хозяйство» приходило в негодность, а осколки от взрыва проникали в кабину стрелка, поражая последнего. При пробитии бензобаков, как правило, они загорались и взрывались.</w:t>
      </w:r>
    </w:p>
    <w:p w14:paraId="53D91B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мнению инженеров полков, почти при любых повреждениях хвостового оперения Ил-2 это слабо влияло на управляемость самолета. Имелись случаи, когда огнем зенитной артиллерии и истребителей перебивались киль, лонжерон и узел крепления стабилизатора, повреждались лонжерон и обшивка рулей высоты. Однако самолет оставался управляемым и приводился летчиками на свою территорию (11921). </w:t>
      </w:r>
    </w:p>
    <w:p w14:paraId="4AF26E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9054B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лета 1942 г. после усиления монококковая конструкция фюзеляжа Ил-2 оказалась довольно живучей и выдерживала значительное число попаданий пуль и малокалиберных снарядов. Для того чтобы вывести самолет из строя, необходимо было обеспечить шесть-семь попаданий в него 20-мм фугасных снарядов. Однако вероятность перебития осколками разорвавшихся внутри фюзеляжа снарядов тросов управления рулем поворота штурмовика (самолет имел смешанное управление: рулем высоты - трубчатая тяга, рулем поворота - тросовая проводка) была очень велика.</w:t>
      </w:r>
    </w:p>
    <w:p w14:paraId="290F69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Статистика боевых поражений Ил-2 показывает, что в 57% случаев попадания снарядов в фюзеляж Ил-2 происходило переби- тие тросов управления рулем поворота, и только в 7% попаданий приводили к частичному повреждению трубчатых тяг рулей высоты.</w:t>
      </w:r>
    </w:p>
    <w:p w14:paraId="4F53AA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этого, осколки снарядов изнутри превращали в решето обшивку фюзеляжа, от взрывной волны и осколков разрушались стрингеры, рамы, пробивалась бронеперего- родка стрелка, который, естественно, поражался.</w:t>
      </w:r>
    </w:p>
    <w:p w14:paraId="57C154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случае попадания в фюзеляж 37-мм снаряда самолет в лучшем случае садился на вынужденную посадку, в худшем - падал с оторванным хвостом.</w:t>
      </w:r>
    </w:p>
    <w:p w14:paraId="2EDF4E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Здесь следует отметить, что личный состав штурмовых авиачастей уже с декабря 1941 г. своими силами устанавливал на Ил-2 дублированное управление рулем высоты и настоятельно требовал выполнить такую доработку на серийных штурмовиках. Однако бюрократическая машина даже во время войны "работала" на полную мошь. Директора авиазаводов не могли добиться от руководства соответствующего разрешения. Заводской вариант дублированного управления рулем высоты на Ил-2 стал устанавливаться только с июля 1943 г. (12020).</w:t>
      </w:r>
    </w:p>
    <w:p w14:paraId="47CB0C2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9D1E0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года рядом со станцией Смышляевка была построена взлетно-посадочная полоса, к которой вели асфальтовые дорожки от сборочных цехов первого и восемнадцатого заводов, а рядом – деревянный барак с черной, покрытой толем крышей. Здесь находилась летно-испытательная станция: ее начальник, диспетчер, испытатели, военпреды, механики. Здесь велся учет сданных военной приемке самолетов, составлялись ведомости на устранение дефектов. Здесь же испытатели обедали, отдыхали, ждали вызова к очередной только что собранной машине. Ее нужно было облетать на различных режимах, в условиях, приближенных к боевым. Вот как об этом вспоминал директор завода А.Т.Третьяков. «Днем и ночью, в хорошую погоду и в ненастье, в холод и жару испытывались самолеты в воздухе на боевое применение. Твердо, без послаблений оценивались их боевые качества, надежность, безотказность. Если не было замечаний, заводской и военпредовский летчики-испытатели, проверявшие самолет, принимали его, писали: «Годен и готов к бою». Если случались замечания, они без колебаний отклоняли самолет от приемки и отмечали, почему его отклоняют. По замечаниям летчиков велась доработка самолета и крутая «проработка» того, кто сделал плохо, кто недосмотрел. Весь коллектив летно-испытательной станции отличался особым трудолюбием, выносливостью, умением работать в любых условиях. В коллективе аэродрома не было плохих работников, но особо следует отметить летчиков товарищей Калиншина, Екатова, Жукова, братьев Давыдовых, Баранова, Кулешова, Моисеева, Туржанского, Сахранова и Иноземцева. Много сил отдавали этому делу товарищи Медведев, Кулюкин, Лашкин, Генов, Ковалевский, Тепляков, Кулик, Локтев. Ежедневные донесения наркому авиапромышленности о переданных военной приемкой самолетов в боевой готовности воинским частям являлись основанием для оценки работы коллектива завода» (11878).</w:t>
      </w:r>
    </w:p>
    <w:p w14:paraId="4D9532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C426A6"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Летом 1942 года рядом со станцией Смышляевка была построена взлетно-посадочная полоса, к которой вели асфальтовые дорожки от сборочных цехов первого и восемнадцатого заводов, а рядом – деревянный барак с черной, покрытой толем крышей. Здесь находилась летно-испытательная станция: ее начальник, диспетчер, испытатели, военпреды, механики. Здесь велся учет сданных военной приемке самолетов, составлялись ведомости на устранение дефектов. Здесь же испытатели обедали, отдыхали, ждали вызова к очередной только что собранной машине. Ее нужно было облетать на различных режимах, в условиях, приближенных к боевым. Вот как об этом вспоминал директор завода А.Т.Третьяков.</w:t>
      </w:r>
    </w:p>
    <w:p w14:paraId="530B982D"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«Днем и ночью, в хорошую погоду и в ненастье, в холод и жару испытывались самолеты в воздухе на боевое применение. Твердо, без послаблений оценивались их боевые качества, надежность, безотказность. Если не было замечаний, заводской и военпредовский летчики-испытатели, проверявшие самолет, принимали его, писали: «Годен и готов к бою». Если случались замечания, они без колебаний отклоняли самолет от приемки и отмечали, почему его отклоняют. По замечаниям летчиков велась доработка самолета и крутая «проработка» того, кто сделал плохо, кто недосмотрел.</w:t>
      </w:r>
    </w:p>
    <w:p w14:paraId="7ED9E982"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Весь коллектив летно-испытательной станции отличался особым трудолюбием, выносливостью, умением работать в любых условиях. В коллективе аэродрома не было плохих работников, но особо следует отметить летчиков товарищей Калиншина, Екатова, Жукова, братьев Давыдовых, Баранова, Кулешова, Моисеева, Туржанского, Сахранова и Иноземцева. Много сил отдавали этому делу товарищи Медведев, Кулюкин, Лашкин, Генов, Ковалевский, Тепляков, Кулик, Локтев».</w:t>
      </w:r>
    </w:p>
    <w:p w14:paraId="08E02767"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Ежедневные донесения наркому авиапромышленности о переданных военной приемкой самолетов в боевой готовности воинским частям являлись основанием для оценки работы коллектива завода (19828).</w:t>
      </w:r>
    </w:p>
    <w:p w14:paraId="1A54419C" w14:textId="77777777" w:rsidR="007C5583" w:rsidRPr="008127F8" w:rsidRDefault="007C5583" w:rsidP="007C5583">
      <w:pPr>
        <w:pStyle w:val="af"/>
        <w:shd w:val="clear" w:color="auto" w:fill="FFFFFF"/>
        <w:spacing w:before="0" w:after="0"/>
        <w:jc w:val="both"/>
        <w:rPr>
          <w:color w:val="000000" w:themeColor="text1"/>
          <w:sz w:val="16"/>
          <w:szCs w:val="16"/>
        </w:rPr>
      </w:pPr>
    </w:p>
    <w:p w14:paraId="2D65B11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С.В.Ильюшину поручили создать тяжелый штурмовик-бомбардировщик с максимальной бомбовой нагрузкой 1000 кг, включая 500-кг бомбы.</w:t>
      </w:r>
    </w:p>
    <w:p w14:paraId="3146F0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Учитывая опыт боевой работы Ил-2, действовавших по наземным войскам у переднего края и в тактической глубине обороны противника, сильно прикрытых средствами ПВО, С.В.Ильюшин при выборе схемы нового штурмовика остановился на одномоторном варианте, обеспечивающем более рациональное бронирование всех его жизненно важных частей. Такое решение становилось возможным при использовании двигателя взлетной мощностью 2000 л.с. При разработке эскизного проекта рассматривались двигатели воздушного охлаждения М-71 ОКБ А.Д.Швецова и жидкостного охлаждения АМ-42 ОКБ А.А.Микулина. В итоге, после сравнительной оценки самолета с этими двигателями, выбрали АМ-42.</w:t>
      </w:r>
    </w:p>
    <w:p w14:paraId="098947D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Компоновочная схема, площадь крыла и конструктивные решения многих узлов и агрегатов штурмовика-бомбардировщика Ил-8, исходя из необходимости быстрейшего запуска машины в серию, остались такими, как и на Ил-2, но по многим геометрическим параметрам (длине фюзеляжа, площади оперения, рулей) и конструкции он являлся совершенно новым самолетом. По сравнению с Ил-2 несколько улучшили внешнюю аэродинамику: маслорадиатор поместили рядом с водяным в воздушном канале (выполненном по типу Ил-2), всасывающий патрубок двигателя на Ил-8 расположили на левом борту фюзеляжа.</w:t>
      </w:r>
    </w:p>
    <w:p w14:paraId="729511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Разрабатывали сразу два варианта Ил-8: штурмовик-бомбардировщик с дальностью полета около 1100 км и разведчик-корректировщик с несколько меньшими полетным весом и дальностью полета, но с более мощным радиосвязным оборудованием. В остальном самолеты не имели различий.</w:t>
      </w:r>
    </w:p>
    <w:p w14:paraId="5BBF615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Бронирование самолета усилили. В частности, в бронекорпусе нового штурмовика разместили стрелка с 12,7-мм пулеметом УБК.</w:t>
      </w:r>
    </w:p>
    <w:p w14:paraId="58069A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Наступательное вооружение Ил-8 состояло из двух пушек ВЯ с боезапасом 300 снарядов и двух пулеметов ШКАС с боекомплектом 1500 патронов. Также предусмотрели возможность установки в крыле самолета вместо пушек ВЯ двух крупнокалиберных пушек НС-37.</w:t>
      </w:r>
    </w:p>
    <w:p w14:paraId="105F348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штурмовике сохранили четыре бомбоотсека в центроплане крыла с несколько увеличенными размерами, допускающими внутреннее размещение бомбовой </w:t>
      </w:r>
      <w:r w:rsidRPr="008127F8">
        <w:rPr>
          <w:rFonts w:ascii="Times New Roman" w:hAnsi="Times New Roman"/>
          <w:color w:val="000000" w:themeColor="text1"/>
          <w:sz w:val="16"/>
          <w:szCs w:val="16"/>
        </w:rPr>
        <w:lastRenderedPageBreak/>
        <w:t>нагрузки 600 кг, причем мелкие бомбы укладывались на створки бомболюков. После сбрасывания бомб створки закрывались пружинами. На два наружных держателя можно было дополнительно подвесить бомбы весом 50-500 кг. В перегрузочном варианте бомбовая нагрузка на внутренних и наружных держателях достигала 1000 кг (9528).</w:t>
      </w:r>
    </w:p>
    <w:p w14:paraId="2F6F966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E8F7EE" w14:textId="77777777" w:rsidR="007C5583" w:rsidRPr="008127F8" w:rsidRDefault="007C5583" w:rsidP="007C5583">
      <w:pPr>
        <w:pStyle w:val="47"/>
        <w:shd w:val="clear" w:color="auto" w:fill="auto"/>
        <w:spacing w:line="240" w:lineRule="auto"/>
        <w:ind w:firstLine="0"/>
        <w:jc w:val="both"/>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Летом 1942 г. начинается проектирова</w:t>
      </w:r>
      <w:r w:rsidRPr="008127F8">
        <w:rPr>
          <w:rFonts w:ascii="Times New Roman" w:hAnsi="Times New Roman" w:cs="Times New Roman"/>
          <w:color w:val="000000" w:themeColor="text1"/>
          <w:sz w:val="16"/>
          <w:szCs w:val="16"/>
        </w:rPr>
        <w:softHyphen/>
        <w:t>ние тяжелого бронированного штурмови</w:t>
      </w:r>
      <w:r w:rsidRPr="008127F8">
        <w:rPr>
          <w:rFonts w:ascii="Times New Roman" w:hAnsi="Times New Roman" w:cs="Times New Roman"/>
          <w:color w:val="000000" w:themeColor="text1"/>
          <w:sz w:val="16"/>
          <w:szCs w:val="16"/>
        </w:rPr>
        <w:softHyphen/>
        <w:t>ка-бомбардировщика с новым двигателем АМ-42 мощностью 2000 л.с. Стрелково- пушечное и ракетное вооружение на новом самолете не менялось, зато существенной доработке подверглось бомбардировочное. Увеличенные размеры крыльевых отсеков уже вмещали 60&amp; кг бомб при нормальной загрузке и 1000 кг при перегрузке. Пер</w:t>
      </w:r>
      <w:r w:rsidRPr="008127F8">
        <w:rPr>
          <w:rFonts w:ascii="Times New Roman" w:hAnsi="Times New Roman" w:cs="Times New Roman"/>
          <w:color w:val="000000" w:themeColor="text1"/>
          <w:sz w:val="16"/>
          <w:szCs w:val="16"/>
        </w:rPr>
        <w:softHyphen/>
        <w:t>вый полет новая машина с обозначением Ил-АМ-42 выполнила 10 мая 1943 г., однако серьезные дефекты, проявившиеся в рабо</w:t>
      </w:r>
      <w:r w:rsidRPr="008127F8">
        <w:rPr>
          <w:rFonts w:ascii="Times New Roman" w:hAnsi="Times New Roman" w:cs="Times New Roman"/>
          <w:color w:val="000000" w:themeColor="text1"/>
          <w:sz w:val="16"/>
          <w:szCs w:val="16"/>
        </w:rPr>
        <w:softHyphen/>
        <w:t>те новых и пока еще «сырых» двигателей, на</w:t>
      </w:r>
      <w:r w:rsidRPr="008127F8">
        <w:rPr>
          <w:rFonts w:ascii="Times New Roman" w:hAnsi="Times New Roman" w:cs="Times New Roman"/>
          <w:color w:val="000000" w:themeColor="text1"/>
          <w:sz w:val="16"/>
          <w:szCs w:val="16"/>
        </w:rPr>
        <w:softHyphen/>
        <w:t>долго задержали испытания самолета. Эта задержка была с успехом использована для создания новых Илов. Однако необходимо отметить, что неприятности, связанные с плохой работой двигателя АМ-42, привели к попытке использовать для этой машины опытный двигатель воздушного охлаждения М-71, имеющий с АМ-42 одинаковую мощ</w:t>
      </w:r>
      <w:r w:rsidRPr="008127F8">
        <w:rPr>
          <w:rFonts w:ascii="Times New Roman" w:hAnsi="Times New Roman" w:cs="Times New Roman"/>
          <w:color w:val="000000" w:themeColor="text1"/>
          <w:sz w:val="16"/>
          <w:szCs w:val="16"/>
        </w:rPr>
        <w:softHyphen/>
        <w:t>ность. Правда, из-за проблем, связанных с запуском М-71 в серию, от этой идеи при</w:t>
      </w:r>
      <w:r w:rsidRPr="008127F8">
        <w:rPr>
          <w:rFonts w:ascii="Times New Roman" w:hAnsi="Times New Roman" w:cs="Times New Roman"/>
          <w:color w:val="000000" w:themeColor="text1"/>
          <w:sz w:val="16"/>
          <w:szCs w:val="16"/>
        </w:rPr>
        <w:softHyphen/>
        <w:t>шлось отказаться. Такие же проблемы пре</w:t>
      </w:r>
      <w:r w:rsidRPr="008127F8">
        <w:rPr>
          <w:rFonts w:ascii="Times New Roman" w:hAnsi="Times New Roman" w:cs="Times New Roman"/>
          <w:color w:val="000000" w:themeColor="text1"/>
          <w:sz w:val="16"/>
          <w:szCs w:val="16"/>
        </w:rPr>
        <w:softHyphen/>
        <w:t>следовали большинство советских опытных авиадвигателей, а заложниками этих про</w:t>
      </w:r>
      <w:r w:rsidRPr="008127F8">
        <w:rPr>
          <w:rFonts w:ascii="Times New Roman" w:hAnsi="Times New Roman" w:cs="Times New Roman"/>
          <w:color w:val="000000" w:themeColor="text1"/>
          <w:sz w:val="16"/>
          <w:szCs w:val="16"/>
        </w:rPr>
        <w:softHyphen/>
        <w:t>блем становились самолеты, на которых они должны были устанавливаться. Только в начале 1944 г. конструкторскому бюро удалось продолжить работу по тяжелому штурмовику (12734).</w:t>
      </w:r>
    </w:p>
    <w:p w14:paraId="127C467F" w14:textId="77777777" w:rsidR="007C5583" w:rsidRPr="008127F8" w:rsidRDefault="007C5583" w:rsidP="007C5583">
      <w:pPr>
        <w:pStyle w:val="47"/>
        <w:shd w:val="clear" w:color="auto" w:fill="auto"/>
        <w:spacing w:line="240" w:lineRule="auto"/>
        <w:ind w:firstLine="0"/>
        <w:jc w:val="both"/>
        <w:rPr>
          <w:rFonts w:ascii="Times New Roman" w:hAnsi="Times New Roman" w:cs="Times New Roman"/>
          <w:color w:val="000000" w:themeColor="text1"/>
          <w:sz w:val="16"/>
          <w:szCs w:val="16"/>
        </w:rPr>
      </w:pPr>
    </w:p>
    <w:p w14:paraId="44A9323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лета 1942 г. коллиматорный прицел ПБП-1 б заменили про</w:t>
      </w:r>
      <w:r w:rsidRPr="008127F8">
        <w:rPr>
          <w:rFonts w:ascii="Times New Roman" w:hAnsi="Times New Roman"/>
          <w:color w:val="000000" w:themeColor="text1"/>
          <w:sz w:val="16"/>
          <w:szCs w:val="16"/>
        </w:rPr>
        <w:softHyphen/>
        <w:t>стейшим механическим кольцевым визиром ВВ-1 конструкции Г.К. Васильева (СКО з-д № 18), состоящим из мушки, укреплен</w:t>
      </w:r>
      <w:r w:rsidRPr="008127F8">
        <w:rPr>
          <w:rFonts w:ascii="Times New Roman" w:hAnsi="Times New Roman"/>
          <w:color w:val="000000" w:themeColor="text1"/>
          <w:sz w:val="16"/>
          <w:szCs w:val="16"/>
        </w:rPr>
        <w:softHyphen/>
        <w:t>ной на капоте мотора, и сетки, нанесенной на переднем стекле фонаря кабины летчика. При этом на капот самолета наносилась специальная разметка, обеспечивающая прицеливание при бом</w:t>
      </w:r>
      <w:r w:rsidRPr="008127F8">
        <w:rPr>
          <w:rFonts w:ascii="Times New Roman" w:hAnsi="Times New Roman"/>
          <w:color w:val="000000" w:themeColor="text1"/>
          <w:sz w:val="16"/>
          <w:szCs w:val="16"/>
        </w:rPr>
        <w:softHyphen/>
        <w:t>бометании с горизонтального полета с высот до 300 м (11474,254).</w:t>
      </w:r>
    </w:p>
    <w:p w14:paraId="29F8CED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23B39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кассеты мелких бомб КМБ, эксплуатация в частях которых выявила их существенные недостатки («было много случаев, ко</w:t>
      </w:r>
      <w:r w:rsidRPr="008127F8">
        <w:rPr>
          <w:rFonts w:ascii="Times New Roman" w:hAnsi="Times New Roman"/>
          <w:color w:val="000000" w:themeColor="text1"/>
          <w:sz w:val="16"/>
          <w:szCs w:val="16"/>
        </w:rPr>
        <w:softHyphen/>
        <w:t>гда привозили ампулы и осколочные бомбы в кассетах на аэро</w:t>
      </w:r>
      <w:r w:rsidRPr="008127F8">
        <w:rPr>
          <w:rFonts w:ascii="Times New Roman" w:hAnsi="Times New Roman"/>
          <w:color w:val="000000" w:themeColor="text1"/>
          <w:sz w:val="16"/>
          <w:szCs w:val="16"/>
        </w:rPr>
        <w:softHyphen/>
        <w:t>дром несброшенными...»), были заменены бомбовыми кассетами КМБ-2. При этом был изменен и порядок комплектации штурмовиков кассетами мелких бомб. Если рань</w:t>
      </w:r>
      <w:r w:rsidRPr="008127F8">
        <w:rPr>
          <w:rFonts w:ascii="Times New Roman" w:hAnsi="Times New Roman"/>
          <w:color w:val="000000" w:themeColor="text1"/>
          <w:sz w:val="16"/>
          <w:szCs w:val="16"/>
        </w:rPr>
        <w:softHyphen/>
        <w:t>ше один комплект КМБ приходился на три самолета Ил-2, то те</w:t>
      </w:r>
      <w:r w:rsidRPr="008127F8">
        <w:rPr>
          <w:rFonts w:ascii="Times New Roman" w:hAnsi="Times New Roman"/>
          <w:color w:val="000000" w:themeColor="text1"/>
          <w:sz w:val="16"/>
          <w:szCs w:val="16"/>
        </w:rPr>
        <w:softHyphen/>
        <w:t>перь каждый штурмовик получал комплект КМБ-2.</w:t>
      </w:r>
    </w:p>
    <w:p w14:paraId="79ACBAF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КМБ-2 могла устанавливаться на всех самолетах Ил-2, выпу</w:t>
      </w:r>
      <w:r w:rsidRPr="008127F8">
        <w:rPr>
          <w:rFonts w:ascii="Times New Roman" w:hAnsi="Times New Roman"/>
          <w:color w:val="000000" w:themeColor="text1"/>
          <w:sz w:val="16"/>
          <w:szCs w:val="16"/>
        </w:rPr>
        <w:softHyphen/>
        <w:t>щенных ранее с кассетами КМБ, с незначительными доработка</w:t>
      </w:r>
      <w:r w:rsidRPr="008127F8">
        <w:rPr>
          <w:rFonts w:ascii="Times New Roman" w:hAnsi="Times New Roman"/>
          <w:color w:val="000000" w:themeColor="text1"/>
          <w:sz w:val="16"/>
          <w:szCs w:val="16"/>
        </w:rPr>
        <w:softHyphen/>
        <w:t>ми защелок держателей авиабомб Дер-21 и задних направляю</w:t>
      </w:r>
      <w:r w:rsidRPr="008127F8">
        <w:rPr>
          <w:rFonts w:ascii="Times New Roman" w:hAnsi="Times New Roman"/>
          <w:color w:val="000000" w:themeColor="text1"/>
          <w:sz w:val="16"/>
          <w:szCs w:val="16"/>
        </w:rPr>
        <w:softHyphen/>
        <w:t>щих трубок. По сравнению с КМБ, кассета КМБ-2 была более удобной в обслуживании и имела больший ассортимент и ва</w:t>
      </w:r>
      <w:r w:rsidRPr="008127F8">
        <w:rPr>
          <w:rFonts w:ascii="Times New Roman" w:hAnsi="Times New Roman"/>
          <w:color w:val="000000" w:themeColor="text1"/>
          <w:sz w:val="16"/>
          <w:szCs w:val="16"/>
        </w:rPr>
        <w:softHyphen/>
        <w:t>рианты загрузки авиабомб. Однако в КМБ-2 категорически за</w:t>
      </w:r>
      <w:r w:rsidRPr="008127F8">
        <w:rPr>
          <w:rFonts w:ascii="Times New Roman" w:hAnsi="Times New Roman"/>
          <w:color w:val="000000" w:themeColor="text1"/>
          <w:sz w:val="16"/>
          <w:szCs w:val="16"/>
        </w:rPr>
        <w:softHyphen/>
        <w:t>прещалось укладывать бомбы, снаряженные взрывателем типа АГМ-1, допускались только взрыватели типов АМ-А и АМ-Б.</w:t>
      </w:r>
    </w:p>
    <w:p w14:paraId="728E324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Эксплуатация КМБ-2 на Ил-2 также была неудачной. К ос</w:t>
      </w:r>
      <w:r w:rsidRPr="008127F8">
        <w:rPr>
          <w:rFonts w:ascii="Times New Roman" w:hAnsi="Times New Roman"/>
          <w:color w:val="000000" w:themeColor="text1"/>
          <w:sz w:val="16"/>
          <w:szCs w:val="16"/>
        </w:rPr>
        <w:softHyphen/>
        <w:t>новным недостаткам кассеты КМБ-2 относились: самопроиз</w:t>
      </w:r>
      <w:r w:rsidRPr="008127F8">
        <w:rPr>
          <w:rFonts w:ascii="Times New Roman" w:hAnsi="Times New Roman"/>
          <w:color w:val="000000" w:themeColor="text1"/>
          <w:sz w:val="16"/>
          <w:szCs w:val="16"/>
        </w:rPr>
        <w:softHyphen/>
        <w:t>вольное открытие створок бомбовых кассет и выпадение бомб из них, зависание в бомбоотсеках мелких бомб в результате вертикального и горизонтального их перемещения внутри са</w:t>
      </w:r>
      <w:r w:rsidRPr="008127F8">
        <w:rPr>
          <w:rFonts w:ascii="Times New Roman" w:hAnsi="Times New Roman"/>
          <w:color w:val="000000" w:themeColor="text1"/>
          <w:sz w:val="16"/>
          <w:szCs w:val="16"/>
        </w:rPr>
        <w:softHyphen/>
        <w:t>мих кассет, а также из-за наличия внутри кассеты выступаю</w:t>
      </w:r>
      <w:r w:rsidRPr="008127F8">
        <w:rPr>
          <w:rFonts w:ascii="Times New Roman" w:hAnsi="Times New Roman"/>
          <w:color w:val="000000" w:themeColor="text1"/>
          <w:sz w:val="16"/>
          <w:szCs w:val="16"/>
        </w:rPr>
        <w:softHyphen/>
        <w:t>щих предметов.</w:t>
      </w:r>
    </w:p>
    <w:p w14:paraId="542CD5B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этой причине в октябре 1943 г. была проведена модер</w:t>
      </w:r>
      <w:r w:rsidRPr="008127F8">
        <w:rPr>
          <w:rFonts w:ascii="Times New Roman" w:hAnsi="Times New Roman"/>
          <w:color w:val="000000" w:themeColor="text1"/>
          <w:sz w:val="16"/>
          <w:szCs w:val="16"/>
        </w:rPr>
        <w:softHyphen/>
        <w:t>низация бомбардировочного вооружения Ил-2. Из состава вооружения самолета были изъяты КМБ-2 и балки для подвес</w:t>
      </w:r>
      <w:r w:rsidRPr="008127F8">
        <w:rPr>
          <w:rFonts w:ascii="Times New Roman" w:hAnsi="Times New Roman"/>
          <w:color w:val="000000" w:themeColor="text1"/>
          <w:sz w:val="16"/>
          <w:szCs w:val="16"/>
        </w:rPr>
        <w:softHyphen/>
        <w:t>ки 250-кг бомб и спештриборов (ВАП-250, УХАП-250). Это упростило производство штурмовика на заводах и одновре</w:t>
      </w:r>
      <w:r w:rsidRPr="008127F8">
        <w:rPr>
          <w:rFonts w:ascii="Times New Roman" w:hAnsi="Times New Roman"/>
          <w:color w:val="000000" w:themeColor="text1"/>
          <w:sz w:val="16"/>
          <w:szCs w:val="16"/>
        </w:rPr>
        <w:softHyphen/>
        <w:t>менно облегчило его эксплуатацию в строевых частях. Калиб</w:t>
      </w:r>
      <w:r w:rsidRPr="008127F8">
        <w:rPr>
          <w:rFonts w:ascii="Times New Roman" w:hAnsi="Times New Roman"/>
          <w:color w:val="000000" w:themeColor="text1"/>
          <w:sz w:val="16"/>
          <w:szCs w:val="16"/>
        </w:rPr>
        <w:softHyphen/>
        <w:t>ры загружаемых бомб и спецприборов, управление сбрасыва</w:t>
      </w:r>
      <w:r w:rsidRPr="008127F8">
        <w:rPr>
          <w:rFonts w:ascii="Times New Roman" w:hAnsi="Times New Roman"/>
          <w:color w:val="000000" w:themeColor="text1"/>
          <w:sz w:val="16"/>
          <w:szCs w:val="16"/>
        </w:rPr>
        <w:softHyphen/>
        <w:t>нием (пиротехническое и механическое) остались прежними. Изменился лишь способ загрузки бомб.</w:t>
      </w:r>
    </w:p>
    <w:p w14:paraId="5710BA2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Мелкие бомбы калибра 1—25 кг теперь загружались непо</w:t>
      </w:r>
      <w:r w:rsidRPr="008127F8">
        <w:rPr>
          <w:rFonts w:ascii="Times New Roman" w:hAnsi="Times New Roman"/>
          <w:color w:val="000000" w:themeColor="text1"/>
          <w:sz w:val="16"/>
          <w:szCs w:val="16"/>
        </w:rPr>
        <w:softHyphen/>
        <w:t>средственно в бомбоотсеки самолета на створки бомболюков, через окна, сделанные в верхней обшивке крыла. Для подвески 50 кг и 100 кг бомб внутри бомболюка оставлены замки Дер-21, но ухваты, служившие для предотвращения качания бомб, лик</w:t>
      </w:r>
      <w:r w:rsidRPr="008127F8">
        <w:rPr>
          <w:rFonts w:ascii="Times New Roman" w:hAnsi="Times New Roman"/>
          <w:color w:val="000000" w:themeColor="text1"/>
          <w:sz w:val="16"/>
          <w:szCs w:val="16"/>
        </w:rPr>
        <w:softHyphen/>
        <w:t>видированы — их роль выполняли наклонные боковые стенки бомболюка.</w:t>
      </w:r>
    </w:p>
    <w:p w14:paraId="37C26C1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Подвеска бомб калибров 50, 100, 250 кг и спецприборов снаружи осуществлялась на замки МДЗ-40, вмонтированные в нижние балки нервюр центроплана. При этом для бомб 50 кг и 100 кг были оставлены складывающиеся ухваты, а для бомб 250 кг и спецприборов сделаны легкосъемные ухваты.</w:t>
      </w:r>
    </w:p>
    <w:p w14:paraId="38B9AD3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ходе эксплуатации универсальных бомбоотсеков имели ме</w:t>
      </w:r>
      <w:r w:rsidRPr="008127F8">
        <w:rPr>
          <w:rFonts w:ascii="Times New Roman" w:hAnsi="Times New Roman"/>
          <w:color w:val="000000" w:themeColor="text1"/>
          <w:sz w:val="16"/>
          <w:szCs w:val="16"/>
        </w:rPr>
        <w:softHyphen/>
        <w:t>сто случаи, особенно «при полетах с полевых неблагоустроенных аэродромов», самопроизвольного раскрытия створок бомболю</w:t>
      </w:r>
      <w:r w:rsidRPr="008127F8">
        <w:rPr>
          <w:rFonts w:ascii="Times New Roman" w:hAnsi="Times New Roman"/>
          <w:color w:val="000000" w:themeColor="text1"/>
          <w:sz w:val="16"/>
          <w:szCs w:val="16"/>
        </w:rPr>
        <w:softHyphen/>
        <w:t>ков с последующим выпадением и взрывом бомб под фюзеля</w:t>
      </w:r>
      <w:r w:rsidRPr="008127F8">
        <w:rPr>
          <w:rFonts w:ascii="Times New Roman" w:hAnsi="Times New Roman"/>
          <w:color w:val="000000" w:themeColor="text1"/>
          <w:sz w:val="16"/>
          <w:szCs w:val="16"/>
        </w:rPr>
        <w:softHyphen/>
        <w:t>жем. В ряде случаев это приводило к тяжелым последствиям.</w:t>
      </w:r>
    </w:p>
    <w:p w14:paraId="4636B7F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Этот дефект был связан с неправильной регулировкой дли</w:t>
      </w:r>
      <w:r w:rsidRPr="008127F8">
        <w:rPr>
          <w:rFonts w:ascii="Times New Roman" w:hAnsi="Times New Roman"/>
          <w:color w:val="000000" w:themeColor="text1"/>
          <w:sz w:val="16"/>
          <w:szCs w:val="16"/>
        </w:rPr>
        <w:softHyphen/>
        <w:t>ны штока тяги замка, при которой крюк не полностью входит в свое гнездо и между концами трубы и крюком образуется за</w:t>
      </w:r>
      <w:r w:rsidRPr="008127F8">
        <w:rPr>
          <w:rFonts w:ascii="Times New Roman" w:hAnsi="Times New Roman"/>
          <w:color w:val="000000" w:themeColor="text1"/>
          <w:sz w:val="16"/>
          <w:szCs w:val="16"/>
        </w:rPr>
        <w:softHyphen/>
        <w:t>зор. После усиления тяги замка запирания створок бомболю-ков дефект больше не проявлялся.</w:t>
      </w:r>
    </w:p>
    <w:p w14:paraId="3C3BBC1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«Негладкая внутренняя поверхность стенок и створок бом-болкжов благодаря выступанию заклепок, листов жесткости и др. деталей люка» иногда приводила к зависанию бомб после сброса. При посадке зависшая бомба срывалась и от соударе</w:t>
      </w:r>
      <w:r w:rsidRPr="008127F8">
        <w:rPr>
          <w:rFonts w:ascii="Times New Roman" w:hAnsi="Times New Roman"/>
          <w:color w:val="000000" w:themeColor="text1"/>
          <w:sz w:val="16"/>
          <w:szCs w:val="16"/>
        </w:rPr>
        <w:softHyphen/>
        <w:t>ния с землей взрывалась под фюзеляжем.</w:t>
      </w:r>
    </w:p>
    <w:p w14:paraId="5AACB8B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«система самозакрывания створок люков си</w:t>
      </w:r>
      <w:r w:rsidRPr="008127F8">
        <w:rPr>
          <w:rFonts w:ascii="Times New Roman" w:hAnsi="Times New Roman"/>
          <w:color w:val="000000" w:themeColor="text1"/>
          <w:sz w:val="16"/>
          <w:szCs w:val="16"/>
        </w:rPr>
        <w:softHyphen/>
        <w:t>лою пружин не обеспечивает надежную и безопасную работу». После сброса бомб люки оставались открытыми, что ухудшало аэродинамику и затрудняло пилотирование самолета.</w:t>
      </w:r>
    </w:p>
    <w:p w14:paraId="2F3835C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Прочность замков МДЗ-40 оказалась недостаточной при подвеске бомб калибра более 100 кг. Уже после 7—8 подвесок ФАБ-250 отмечались случаи поломок переднего упора замка.</w:t>
      </w:r>
    </w:p>
    <w:p w14:paraId="1A74DF1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подвеске бомб ФАБ-50 на замки МДЗ-40 установка ух</w:t>
      </w:r>
      <w:r w:rsidRPr="008127F8">
        <w:rPr>
          <w:rFonts w:ascii="Times New Roman" w:hAnsi="Times New Roman"/>
          <w:color w:val="000000" w:themeColor="text1"/>
          <w:sz w:val="16"/>
          <w:szCs w:val="16"/>
        </w:rPr>
        <w:softHyphen/>
        <w:t>ватов производилась путем ввинчивания их в гнезда, что занима</w:t>
      </w:r>
      <w:r w:rsidRPr="008127F8">
        <w:rPr>
          <w:rFonts w:ascii="Times New Roman" w:hAnsi="Times New Roman"/>
          <w:color w:val="000000" w:themeColor="text1"/>
          <w:sz w:val="16"/>
          <w:szCs w:val="16"/>
        </w:rPr>
        <w:softHyphen/>
        <w:t>ло много времени при подготовке самолета к боевому вылету.</w:t>
      </w:r>
    </w:p>
    <w:p w14:paraId="109EC16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50—70 вылетов с бомбами или после 5—10 посадок с бомбами происходила «осадка болтов защелок замков Дер-21». В результате нарушалась «соосность между спусковым штоком замка и предохранительно-спусковым штырем». Как следст</w:t>
      </w:r>
      <w:r w:rsidRPr="008127F8">
        <w:rPr>
          <w:rFonts w:ascii="Times New Roman" w:hAnsi="Times New Roman"/>
          <w:color w:val="000000" w:themeColor="text1"/>
          <w:sz w:val="16"/>
          <w:szCs w:val="16"/>
        </w:rPr>
        <w:softHyphen/>
        <w:t>вие, открыть замок было невозможно. Техническому составу приходилось предпринимать неординарные меры.</w:t>
      </w:r>
    </w:p>
    <w:p w14:paraId="356F778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Конструкция сигнализации подвешенных бомб на замок Дер-21 не отвечала своему назначению. При загрузке бомбоот-сека мелкими бомбами и при подвеске на Дер-21 нестандарт</w:t>
      </w:r>
      <w:r w:rsidRPr="008127F8">
        <w:rPr>
          <w:rFonts w:ascii="Times New Roman" w:hAnsi="Times New Roman"/>
          <w:color w:val="000000" w:themeColor="text1"/>
          <w:sz w:val="16"/>
          <w:szCs w:val="16"/>
        </w:rPr>
        <w:softHyphen/>
        <w:t>ных бомб калибра 50 кг сигнализация не работала. При загрузке стандартных ФАБ-50 вследствие раскачивания бомбы контакт</w:t>
      </w:r>
      <w:r w:rsidRPr="008127F8">
        <w:rPr>
          <w:rFonts w:ascii="Times New Roman" w:hAnsi="Times New Roman"/>
          <w:color w:val="000000" w:themeColor="text1"/>
          <w:sz w:val="16"/>
          <w:szCs w:val="16"/>
        </w:rPr>
        <w:softHyphen/>
        <w:t>ный стержень заклинивался и сигнализация также не работала.</w:t>
      </w:r>
    </w:p>
    <w:p w14:paraId="10490C0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Вследствие недостаточной прочности кронштейна крепле</w:t>
      </w:r>
      <w:r w:rsidRPr="008127F8">
        <w:rPr>
          <w:rFonts w:ascii="Times New Roman" w:hAnsi="Times New Roman"/>
          <w:color w:val="000000" w:themeColor="text1"/>
          <w:sz w:val="16"/>
          <w:szCs w:val="16"/>
        </w:rPr>
        <w:softHyphen/>
        <w:t>ния сигнализации его часто ломали и гнули во время загрузки бомб в бомбоотсеки.</w:t>
      </w:r>
    </w:p>
    <w:p w14:paraId="5D5E17F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Как отмечалось в докладах инженеров полков, из-за нена</w:t>
      </w:r>
      <w:r w:rsidRPr="008127F8">
        <w:rPr>
          <w:rFonts w:ascii="Times New Roman" w:hAnsi="Times New Roman"/>
          <w:color w:val="000000" w:themeColor="text1"/>
          <w:sz w:val="16"/>
          <w:szCs w:val="16"/>
        </w:rPr>
        <w:softHyphen/>
        <w:t>дежной работы системы сигнализации «летный состав ей не пользуется и в большинстве случаев ей не доверяет» (11474,258).</w:t>
      </w:r>
    </w:p>
    <w:p w14:paraId="7DC95E6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3683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ОКБ С.В.И. поручили создать тяжелый штурмовик-бомбардировщик с нагрузкой до 1000 кг, включая 500 кг бомбы (5,130).</w:t>
      </w:r>
    </w:p>
    <w:p w14:paraId="135840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воспоминаниям ветеранов ОКБ С.В.И. компоновки новых штурмовиков разрабатывала группа общих видов Д.В.Лещинера (в которую входили также А.Жадаева, А.Советова, В.Шейнин, В.Германов, С.Черников, М.Бездетко - основном молодежь), которая работала непосредственно под руководством С.В.И. (111,154). Работа велась в новом помещении - на заводе 240, куда ОКБ вернулось в Москву (111,156), то есть после мая 1942б летом (173,219).</w:t>
      </w:r>
    </w:p>
    <w:p w14:paraId="3B9DD7B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6A3D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1942-го главному конструктору Ильюшину поручили создать тяжелый штурмовик-бомбардировщик с максимальной бомбовой нагрузкой 1000 кг, включающей бомбы массой 500 кг.</w:t>
      </w:r>
    </w:p>
    <w:p w14:paraId="53B91D0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Ильюшин при выборе схемы нового штурмовика остановился на одномоторном варианте, обеспечивающем наиболее полное и рациональное бронирование всех его жизненно важных частей. Такое решение становилось возможным при использовании двигателя взлетной мощностью 2000 л.с. При разработке эскизного проекта самолета рассматривались двигатели воздушного охлаждения М-71 А.Д.Швецова и жидкостного охлаждения АМ-42А.А.Микулина. В конечном итоге, после сравнительной оценки характеристик самолета с этими двигателями, выбрали - АМ-42.</w:t>
      </w:r>
    </w:p>
    <w:p w14:paraId="7F9B1B7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Компоновочная схема, площадь крыла и конструктивные решения многих узлов и агрегатов штурмовика-бомбардировщика, имевшего заводское обозначение Ил-8, по соображениям быстрейшего запуска в серийное производство остались такими, как и на Ил-2, но по многим геометрическим параметрам и конструкции он являлся совершенно новым самолетом (9532,6).</w:t>
      </w:r>
    </w:p>
    <w:p w14:paraId="7C7965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29156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года по распоряжению НКАП полностью готовый само</w:t>
      </w:r>
      <w:r w:rsidRPr="008127F8">
        <w:rPr>
          <w:rFonts w:ascii="Times New Roman" w:hAnsi="Times New Roman"/>
          <w:color w:val="000000" w:themeColor="text1"/>
          <w:sz w:val="16"/>
          <w:szCs w:val="16"/>
        </w:rPr>
        <w:softHyphen/>
        <w:t>лет Су-4 М-90 передали эвакуиро</w:t>
      </w:r>
      <w:r w:rsidRPr="008127F8">
        <w:rPr>
          <w:rFonts w:ascii="Times New Roman" w:hAnsi="Times New Roman"/>
          <w:color w:val="000000" w:themeColor="text1"/>
          <w:sz w:val="16"/>
          <w:szCs w:val="16"/>
        </w:rPr>
        <w:softHyphen/>
        <w:t>ванному в г. Омск заводу №29 для проведения летных испытаний М-90. По сводкам НИИ ВВС КА к 15 апре</w:t>
      </w:r>
      <w:r w:rsidRPr="008127F8">
        <w:rPr>
          <w:rFonts w:ascii="Times New Roman" w:hAnsi="Times New Roman"/>
          <w:color w:val="000000" w:themeColor="text1"/>
          <w:sz w:val="16"/>
          <w:szCs w:val="16"/>
        </w:rPr>
        <w:softHyphen/>
        <w:t>ля 1943 года самолет выполнил 9 полетов с налетом 4 часа 30 минут. По самолету Су-4 АМ-37 рабо</w:t>
      </w:r>
      <w:r w:rsidRPr="008127F8">
        <w:rPr>
          <w:rFonts w:ascii="Times New Roman" w:hAnsi="Times New Roman"/>
          <w:color w:val="000000" w:themeColor="text1"/>
          <w:sz w:val="16"/>
          <w:szCs w:val="16"/>
        </w:rPr>
        <w:softHyphen/>
        <w:t>ты в эвакуации не проводились и в связи с прекращением серийного выпуска самолета Су-2, перед Нар</w:t>
      </w:r>
      <w:r w:rsidRPr="008127F8">
        <w:rPr>
          <w:rFonts w:ascii="Times New Roman" w:hAnsi="Times New Roman"/>
          <w:color w:val="000000" w:themeColor="text1"/>
          <w:sz w:val="16"/>
          <w:szCs w:val="16"/>
        </w:rPr>
        <w:softHyphen/>
        <w:t>комом было возбуждено ходатайство о снятии этого задания с плана за</w:t>
      </w:r>
      <w:r w:rsidRPr="008127F8">
        <w:rPr>
          <w:rFonts w:ascii="Times New Roman" w:hAnsi="Times New Roman"/>
          <w:color w:val="000000" w:themeColor="text1"/>
          <w:sz w:val="16"/>
          <w:szCs w:val="16"/>
        </w:rPr>
        <w:softHyphen/>
        <w:t>вода (11849).</w:t>
      </w:r>
    </w:p>
    <w:p w14:paraId="3B27D53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2C2216" w14:textId="77777777" w:rsidR="007C5583" w:rsidRPr="008127F8" w:rsidRDefault="007C5583" w:rsidP="007C5583">
      <w:pPr>
        <w:pStyle w:val="a4"/>
        <w:rPr>
          <w:color w:val="000000" w:themeColor="text1"/>
          <w:lang w:val="ru-RU"/>
        </w:rPr>
      </w:pPr>
      <w:r w:rsidRPr="008127F8">
        <w:rPr>
          <w:color w:val="000000" w:themeColor="text1"/>
          <w:lang w:val="ru-RU"/>
        </w:rPr>
        <w:t>Летом 1942 года по распоряжению НКАП полностью готовый самолёт Су-4 М-90 передали эвакуированному в г. Омск заводу № 29 для проведения лётных испытаний М-90. По сводкам НИИ ВВС КА к 15 апреля 1943 года самолёт выполнил 9 полётов с налётом 4 часа 30 минут (15975).</w:t>
      </w:r>
    </w:p>
    <w:p w14:paraId="72245DD0" w14:textId="77777777" w:rsidR="007C5583" w:rsidRPr="008127F8" w:rsidRDefault="007C5583" w:rsidP="007C5583">
      <w:pPr>
        <w:pStyle w:val="a4"/>
        <w:rPr>
          <w:color w:val="000000" w:themeColor="text1"/>
          <w:lang w:val="ru-RU"/>
        </w:rPr>
      </w:pPr>
    </w:p>
    <w:p w14:paraId="782FDA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П.О. Сухим было принято решение об установке на самолете Су-б М-71 двух крыльевых пушек калибра 37 мм вместо ВЯ-23.</w:t>
      </w:r>
    </w:p>
    <w:p w14:paraId="5EE878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первом экземпляре - пушки А.Э.Нудельмана и А.С.Суранова 11П-37 ОКБ-16 (80 снарядов). Срок готовности - ноябрь 1942 г.</w:t>
      </w:r>
    </w:p>
    <w:p w14:paraId="17703EF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втором экземпляре - пушки Б.Г.Шпитального Ш-37 ОКБ-15 (80 снарядов). Срок готовности - декабрь 1942 г. При этом, количество пулеметов ШКАС уменьшалось </w:t>
      </w:r>
      <w:r w:rsidRPr="008127F8">
        <w:rPr>
          <w:rFonts w:ascii="Times New Roman" w:hAnsi="Times New Roman"/>
          <w:color w:val="000000" w:themeColor="text1"/>
          <w:sz w:val="16"/>
          <w:szCs w:val="16"/>
        </w:rPr>
        <w:lastRenderedPageBreak/>
        <w:t>до двух (1500 патронов), а число реактивных снарядов - до шести PC-82.</w:t>
      </w:r>
    </w:p>
    <w:p w14:paraId="482BB3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с разрешения наркома авиапромышленности А.И.Шахурина ОКБ П.О.Сухого на заводе № 289 дополнительно строило два самолета Су-б с мотором М-71 с бронекорпусом, включенным в конструкцию самолета и с улучшенным бронированием маслорадиатора и винтомоторной группы.</w:t>
      </w:r>
    </w:p>
    <w:p w14:paraId="4F88FA0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Предусматривалась замена металлических консолей крыла на деревянные.</w:t>
      </w:r>
    </w:p>
    <w:p w14:paraId="54EC3B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 состояло из двух пушек 11П-37 ОКБ-16 (80 снарядов), двух ШКАС (1500 патронов), 200 кг бомб (в перегрузку 400 кг) и шесть PC-82 (9649).</w:t>
      </w:r>
    </w:p>
    <w:p w14:paraId="05BE10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85CBA5" w14:textId="77777777" w:rsidR="007C5583" w:rsidRPr="008127F8" w:rsidRDefault="007C5583" w:rsidP="007C5583">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Летом 1942 П. О. Сухим было принято решение об установке на самолете Су-6 М-71 двух крыльевых пушек калибра 37 мм вместо ВЯ-23.</w:t>
      </w:r>
    </w:p>
    <w:p w14:paraId="12E26451" w14:textId="77777777" w:rsidR="007C5583" w:rsidRPr="008127F8" w:rsidRDefault="007C5583" w:rsidP="007C5583">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На первом экземпляре — пушки А. Э. Нудельмана и А. С. Суранова 11П-37 ОКБ-16 (80 снарядов). Срок готовности — ноябрь 1942 г.</w:t>
      </w:r>
    </w:p>
    <w:p w14:paraId="122F3612" w14:textId="77777777" w:rsidR="007C5583" w:rsidRPr="008127F8" w:rsidRDefault="007C5583" w:rsidP="007C5583">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На втором экземпляре — пушки Б. Г. Шпитального Ш-37 ОКБ-15 (80 снарядов). Срок готовности — декабрь 1942 г. При этом количество пулеметов ШКАС уменьшалось до двух (1500 патронов), а число реактивных снарядов — до шести РС-82.</w:t>
      </w:r>
    </w:p>
    <w:p w14:paraId="3839FE52" w14:textId="77777777" w:rsidR="007C5583" w:rsidRPr="008127F8" w:rsidRDefault="007C5583" w:rsidP="007C5583">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Кроме того, с разрешения наркома авиапромышленности А. И. Шахурина ОКБ П. О. Сухого на заводе №289 дополнительно строило два самолета Су-6 с мотором М-71 с бронекорпусом, включенным в конструкцию самолета и с улучшенным бронированием маслорадиатора и винтомоторной группы.</w:t>
      </w:r>
    </w:p>
    <w:p w14:paraId="23DE68F5" w14:textId="77777777" w:rsidR="007C5583" w:rsidRPr="008127F8" w:rsidRDefault="007C5583" w:rsidP="007C5583">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Предусматривалась замена металлических консолей крыла на деревянные.</w:t>
      </w:r>
    </w:p>
    <w:p w14:paraId="266D3853" w14:textId="77777777" w:rsidR="007C5583" w:rsidRPr="008127F8" w:rsidRDefault="007C5583" w:rsidP="007C5583">
      <w:pPr>
        <w:pStyle w:val="af"/>
        <w:shd w:val="clear" w:color="auto" w:fill="FFFFFF"/>
        <w:spacing w:before="0" w:after="0"/>
        <w:jc w:val="both"/>
        <w:textAlignment w:val="baseline"/>
        <w:rPr>
          <w:color w:val="000000" w:themeColor="text1"/>
          <w:sz w:val="16"/>
          <w:szCs w:val="16"/>
        </w:rPr>
      </w:pPr>
      <w:r w:rsidRPr="008127F8">
        <w:rPr>
          <w:color w:val="000000" w:themeColor="text1"/>
          <w:sz w:val="16"/>
          <w:szCs w:val="16"/>
        </w:rPr>
        <w:t>Вооружение состояло из двух пушек 11П-37 ОКБ-16 (80 снарядов), двух ШКАС (1500 патронов), 200 кг бомб (в перегрузку 400 кг) и шесть РС-82 (19188).</w:t>
      </w:r>
    </w:p>
    <w:p w14:paraId="4716A045" w14:textId="77777777" w:rsidR="007C5583" w:rsidRPr="008127F8" w:rsidRDefault="007C5583" w:rsidP="007C5583">
      <w:pPr>
        <w:pStyle w:val="af"/>
        <w:shd w:val="clear" w:color="auto" w:fill="FFFFFF"/>
        <w:spacing w:before="0" w:after="0"/>
        <w:jc w:val="both"/>
        <w:textAlignment w:val="baseline"/>
        <w:rPr>
          <w:color w:val="000000" w:themeColor="text1"/>
          <w:sz w:val="16"/>
          <w:szCs w:val="16"/>
        </w:rPr>
      </w:pPr>
    </w:p>
    <w:p w14:paraId="4A0F41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лета 1942 с разрешения наркома авиапромышленности А.И.Шахурина ОКБ П.О.Сухого на заводе № 289 дополнительно строило два самолета Су-б с мотором М-71 с бронекорпусом, включенным в конструкцию самолета и с улучшенным бронированием маслорадиатора и винтомоторной группы.</w:t>
      </w:r>
    </w:p>
    <w:p w14:paraId="4660BF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Предусматривалась замена металлических консолей крыла на деревянные.</w:t>
      </w:r>
    </w:p>
    <w:p w14:paraId="08ABA0E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 состояло из двух пушек 11П-37 ОКБ-16 (80 снарядов), двух ШКАС (1500 патронов), 200 кг бомб (в перегрузку 400 кг) и шесть PC-82 (9649).</w:t>
      </w:r>
    </w:p>
    <w:p w14:paraId="3B4867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BA724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проблемой борьбы с немецкими танками и мотопехотой занялись и в КБ-29 Наркомата Внутренних Дел СССР. Строго в духе проходившей реорганизации ВВС (мероприятий по повышению эффективности боевых сил авиации руководитель конструк- эской бригады ЦКБ-29 Д.Л. Томашевич</w:t>
      </w:r>
      <w:r w:rsidRPr="008127F8">
        <w:rPr>
          <w:rFonts w:ascii="Times New Roman" w:hAnsi="Times New Roman"/>
          <w:color w:val="000000" w:themeColor="text1"/>
          <w:sz w:val="16"/>
          <w:szCs w:val="16"/>
          <w:vertAlign w:val="superscript"/>
        </w:rPr>
        <w:t>5</w:t>
      </w:r>
      <w:r w:rsidRPr="008127F8">
        <w:rPr>
          <w:rFonts w:ascii="Times New Roman" w:hAnsi="Times New Roman"/>
          <w:color w:val="000000" w:themeColor="text1"/>
          <w:sz w:val="16"/>
          <w:szCs w:val="16"/>
        </w:rPr>
        <w:t xml:space="preserve"> в инициативном порядке разработал проект знированного противотанкового самолёта массовой постройки</w:t>
      </w:r>
      <w:r w:rsidRPr="008127F8">
        <w:rPr>
          <w:rStyle w:val="75pt"/>
          <w:rFonts w:ascii="Times New Roman" w:hAnsi="Times New Roman" w:cs="Times New Roman"/>
          <w:color w:val="000000" w:themeColor="text1"/>
          <w:sz w:val="16"/>
          <w:szCs w:val="16"/>
        </w:rPr>
        <w:t xml:space="preserve"> для</w:t>
      </w:r>
      <w:r w:rsidRPr="008127F8">
        <w:rPr>
          <w:rFonts w:ascii="Times New Roman" w:hAnsi="Times New Roman"/>
          <w:color w:val="000000" w:themeColor="text1"/>
          <w:sz w:val="16"/>
          <w:szCs w:val="16"/>
        </w:rPr>
        <w:t xml:space="preserve"> вооружения специ- вьной противотанковой вбздушной армии. Предлагалось к 1 августа 1943 г. построить 300 машин этого типа, и для достижения максимального эффекта внезапно массироанно бросить их в бой против немецких танков. Томашевич и вместе с ним руководство КБ-29 считали, что:</w:t>
      </w:r>
      <w:r w:rsidRPr="008127F8">
        <w:rPr>
          <w:rStyle w:val="aff8"/>
          <w:rFonts w:ascii="Times New Roman" w:eastAsia="Arial Unicode MS" w:hAnsi="Times New Roman"/>
          <w:color w:val="000000" w:themeColor="text1"/>
        </w:rPr>
        <w:t xml:space="preserve"> «В случае удовлетворительных тактических свойств самолёта страна пучит в 1943 г. средство, которое решит исход кампании на нашем театре военных дейст- ий и, следовательно, исход всей войны. В свете такой перспективы ... работы должны быть медленно развернуты во всю ширину» (15846).</w:t>
      </w:r>
    </w:p>
    <w:p w14:paraId="02BFF68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960500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года руководитель конструкторской бригады ЦКБ-29 наркомата внутренних дел СССР Д.</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Л.</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Томашевич в инициативном порядке разработал проект бронированного «истребителя танков» массовой постройки для вооружения им специальной противотанковой воздушной армии. Предлагалось к 1 августа 1943 года построить 15</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000 (!) машин этого типа и для достижения максимального эффекта внезапно бросить их в бой против немецких танков. Томашевич и вместе с ним руководство ЦКБ-29 считали, что «в случае удовлетворительных тактических свойств самолета страна получит в 1943 году средство, которое решит исход кампании на нашем театре военных действий и, следовательно, исход всей войны. В свете такой перспективы/…/работы должны быть немедленно развернуты во всю ширину»/</w:t>
      </w:r>
    </w:p>
    <w:p w14:paraId="1EEA4FD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замыслу Томашевича самолет должен быть одноместным, простым и недорогим в изготовлении и эксплуатации, иметь два мотора М-11ф (140 л.</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с.), бронированную кабину летчика, не требовать для освоения высокой квалификации летного состава, но при этом, что важно, оснащаться мощным пушечным и бомбовым вооружением.</w:t>
      </w:r>
    </w:p>
    <w:p w14:paraId="1E04F5C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 самолета состояло из крупнокалиберного пулемета УБК (150 патронов) в носовом обтекателе фюзеляжа и пяти сменных составов бомбового, ракетного и пушечного оружия: 250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кг бомб, 4 РО-132, одна 37-мм пушка (50 патронов), две 23-мм пушки ВЯ (160 патронов) и четыре «противотанковых автоматических ружья» калибра 14,5</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мм (600 патронов). Все сменные варианты размещались на специальных «мостах» (или лафетах) вооружения, которые подвешивались под фюзеляжем в районе центроплана.</w:t>
      </w:r>
    </w:p>
    <w:p w14:paraId="3F554F2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отношении последнего варианта следует дать пояснения. Здесь имелись в виду автоматические пушки калибра 14,5</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мм конструкции Салищева</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Галкина и Волкова</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Ярцева (17490).</w:t>
      </w:r>
    </w:p>
    <w:p w14:paraId="46CB2533"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A5EE3A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проблемой борьбы с не</w:t>
      </w:r>
      <w:r w:rsidRPr="008127F8">
        <w:rPr>
          <w:rFonts w:ascii="Times New Roman" w:hAnsi="Times New Roman"/>
          <w:color w:val="000000" w:themeColor="text1"/>
          <w:sz w:val="16"/>
          <w:szCs w:val="16"/>
        </w:rPr>
        <w:softHyphen/>
        <w:t>мецкими танками и мотопехотой занялись и в ЦКБ-29 Наркомата внутренних дел СССР. Строго в духе проходившей реорга</w:t>
      </w:r>
      <w:r w:rsidRPr="008127F8">
        <w:rPr>
          <w:rFonts w:ascii="Times New Roman" w:hAnsi="Times New Roman"/>
          <w:color w:val="000000" w:themeColor="text1"/>
          <w:sz w:val="16"/>
          <w:szCs w:val="16"/>
        </w:rPr>
        <w:softHyphen/>
        <w:t>низации ВВС и мероприятий по повыше</w:t>
      </w:r>
      <w:r w:rsidRPr="008127F8">
        <w:rPr>
          <w:rFonts w:ascii="Times New Roman" w:hAnsi="Times New Roman"/>
          <w:color w:val="000000" w:themeColor="text1"/>
          <w:sz w:val="16"/>
          <w:szCs w:val="16"/>
        </w:rPr>
        <w:softHyphen/>
        <w:t>нию эффективности боевых сил авиации руководитель конструкторской бригады ЦКБ-29 Д.Л. Томашевич в инициативном порядке разработал проект бронирован</w:t>
      </w:r>
      <w:r w:rsidRPr="008127F8">
        <w:rPr>
          <w:rFonts w:ascii="Times New Roman" w:hAnsi="Times New Roman"/>
          <w:color w:val="000000" w:themeColor="text1"/>
          <w:sz w:val="16"/>
          <w:szCs w:val="16"/>
        </w:rPr>
        <w:softHyphen/>
        <w:t>ного противотанкового самолета массо</w:t>
      </w:r>
      <w:r w:rsidRPr="008127F8">
        <w:rPr>
          <w:rFonts w:ascii="Times New Roman" w:hAnsi="Times New Roman"/>
          <w:color w:val="000000" w:themeColor="text1"/>
          <w:sz w:val="16"/>
          <w:szCs w:val="16"/>
        </w:rPr>
        <w:softHyphen/>
        <w:t>вой постройки для вооружения им специ</w:t>
      </w:r>
      <w:r w:rsidRPr="008127F8">
        <w:rPr>
          <w:rFonts w:ascii="Times New Roman" w:hAnsi="Times New Roman"/>
          <w:color w:val="000000" w:themeColor="text1"/>
          <w:sz w:val="16"/>
          <w:szCs w:val="16"/>
        </w:rPr>
        <w:softHyphen/>
        <w:t>альной противотанковой воздушной ар</w:t>
      </w:r>
      <w:r w:rsidRPr="008127F8">
        <w:rPr>
          <w:rFonts w:ascii="Times New Roman" w:hAnsi="Times New Roman"/>
          <w:color w:val="000000" w:themeColor="text1"/>
          <w:sz w:val="16"/>
          <w:szCs w:val="16"/>
        </w:rPr>
        <w:softHyphen/>
        <w:t>мии. Предлагалось к 1 августа 1943 г. по</w:t>
      </w:r>
      <w:r w:rsidRPr="008127F8">
        <w:rPr>
          <w:rFonts w:ascii="Times New Roman" w:hAnsi="Times New Roman"/>
          <w:color w:val="000000" w:themeColor="text1"/>
          <w:sz w:val="16"/>
          <w:szCs w:val="16"/>
        </w:rPr>
        <w:softHyphen/>
        <w:t>строить 15000 (!) машин этого типа и для достижения максимального эффекта внезапно массированно бросить их в бой против немецких танков. Томашевич и вместе с ним руководство ЦКБ-29 счи</w:t>
      </w:r>
      <w:r w:rsidRPr="008127F8">
        <w:rPr>
          <w:rFonts w:ascii="Times New Roman" w:hAnsi="Times New Roman"/>
          <w:color w:val="000000" w:themeColor="text1"/>
          <w:sz w:val="16"/>
          <w:szCs w:val="16"/>
        </w:rPr>
        <w:softHyphen/>
        <w:t>тали, что: «В случае удовлетворительных тактических свойств самолета страна получит в 1945 г. средство, которое ре</w:t>
      </w:r>
      <w:r w:rsidRPr="008127F8">
        <w:rPr>
          <w:rFonts w:ascii="Times New Roman" w:hAnsi="Times New Roman"/>
          <w:color w:val="000000" w:themeColor="text1"/>
          <w:sz w:val="16"/>
          <w:szCs w:val="16"/>
        </w:rPr>
        <w:softHyphen/>
        <w:t>шит исход кампании на нашем театре военных действий и, следовательно, исход всей войны. В свете такой перспективы /.../работы должны быть немедленно раз</w:t>
      </w:r>
      <w:r w:rsidRPr="008127F8">
        <w:rPr>
          <w:rFonts w:ascii="Times New Roman" w:hAnsi="Times New Roman"/>
          <w:color w:val="000000" w:themeColor="text1"/>
          <w:sz w:val="16"/>
          <w:szCs w:val="16"/>
        </w:rPr>
        <w:softHyphen/>
        <w:t>вернуты во всю ширину».</w:t>
      </w:r>
    </w:p>
    <w:p w14:paraId="25514EF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замыслу Томашевича самолет для противотанковой воздушной армии дол</w:t>
      </w:r>
      <w:r w:rsidRPr="008127F8">
        <w:rPr>
          <w:rFonts w:ascii="Times New Roman" w:hAnsi="Times New Roman"/>
          <w:color w:val="000000" w:themeColor="text1"/>
          <w:sz w:val="16"/>
          <w:szCs w:val="16"/>
        </w:rPr>
        <w:softHyphen/>
        <w:t>жен быть одноместным, простым и не</w:t>
      </w:r>
      <w:r w:rsidRPr="008127F8">
        <w:rPr>
          <w:rFonts w:ascii="Times New Roman" w:hAnsi="Times New Roman"/>
          <w:color w:val="000000" w:themeColor="text1"/>
          <w:sz w:val="16"/>
          <w:szCs w:val="16"/>
        </w:rPr>
        <w:softHyphen/>
        <w:t>дорогим в изготовлении и эксплуатации, не требовать для освоения высокой ква</w:t>
      </w:r>
      <w:r w:rsidRPr="008127F8">
        <w:rPr>
          <w:rFonts w:ascii="Times New Roman" w:hAnsi="Times New Roman"/>
          <w:color w:val="000000" w:themeColor="text1"/>
          <w:sz w:val="16"/>
          <w:szCs w:val="16"/>
        </w:rPr>
        <w:softHyphen/>
        <w:t>лификации летного состава, но при этом, что важно, оснащаться мощным пушеч</w:t>
      </w:r>
      <w:r w:rsidRPr="008127F8">
        <w:rPr>
          <w:rFonts w:ascii="Times New Roman" w:hAnsi="Times New Roman"/>
          <w:color w:val="000000" w:themeColor="text1"/>
          <w:sz w:val="16"/>
          <w:szCs w:val="16"/>
        </w:rPr>
        <w:softHyphen/>
        <w:t>ным и бомбовым вооружением и обеспе</w:t>
      </w:r>
      <w:r w:rsidRPr="008127F8">
        <w:rPr>
          <w:rFonts w:ascii="Times New Roman" w:hAnsi="Times New Roman"/>
          <w:color w:val="000000" w:themeColor="text1"/>
          <w:sz w:val="16"/>
          <w:szCs w:val="16"/>
        </w:rPr>
        <w:softHyphen/>
        <w:t>чивать защиту летчика в бою от крупнока</w:t>
      </w:r>
      <w:r w:rsidRPr="008127F8">
        <w:rPr>
          <w:rFonts w:ascii="Times New Roman" w:hAnsi="Times New Roman"/>
          <w:color w:val="000000" w:themeColor="text1"/>
          <w:sz w:val="16"/>
          <w:szCs w:val="16"/>
        </w:rPr>
        <w:softHyphen/>
        <w:t>либерных пуль и 20-мм снарядов.</w:t>
      </w:r>
    </w:p>
    <w:p w14:paraId="3B505CE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Противотанковый самолет предназна</w:t>
      </w:r>
      <w:r w:rsidRPr="008127F8">
        <w:rPr>
          <w:rFonts w:ascii="Times New Roman" w:hAnsi="Times New Roman"/>
          <w:color w:val="000000" w:themeColor="text1"/>
          <w:sz w:val="16"/>
          <w:szCs w:val="16"/>
        </w:rPr>
        <w:softHyphen/>
        <w:t>чался исключительно для решения толь</w:t>
      </w:r>
      <w:r w:rsidRPr="008127F8">
        <w:rPr>
          <w:rFonts w:ascii="Times New Roman" w:hAnsi="Times New Roman"/>
          <w:color w:val="000000" w:themeColor="text1"/>
          <w:sz w:val="16"/>
          <w:szCs w:val="16"/>
        </w:rPr>
        <w:softHyphen/>
        <w:t>ко одной задачи - «уничтожения танков и мобильных войск».</w:t>
      </w:r>
    </w:p>
    <w:p w14:paraId="1508388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Соответственно этому, из конструкции самолета исключалось все, что напрямую не использовалось при решении задачи уничтожения танков. Оставался только са</w:t>
      </w:r>
      <w:r w:rsidRPr="008127F8">
        <w:rPr>
          <w:rFonts w:ascii="Times New Roman" w:hAnsi="Times New Roman"/>
          <w:color w:val="000000" w:themeColor="text1"/>
          <w:sz w:val="16"/>
          <w:szCs w:val="16"/>
        </w:rPr>
        <w:softHyphen/>
        <w:t>мый минимум, «который необходим для уничтожения танков».</w:t>
      </w:r>
    </w:p>
    <w:p w14:paraId="776E22A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Считалось, что новой ударной маши</w:t>
      </w:r>
      <w:r w:rsidRPr="008127F8">
        <w:rPr>
          <w:rFonts w:ascii="Times New Roman" w:hAnsi="Times New Roman"/>
          <w:color w:val="000000" w:themeColor="text1"/>
          <w:sz w:val="16"/>
          <w:szCs w:val="16"/>
        </w:rPr>
        <w:softHyphen/>
        <w:t>не совершенно не требовались большая горизонтальная скорость и диапазон ско</w:t>
      </w:r>
      <w:r w:rsidRPr="008127F8">
        <w:rPr>
          <w:rFonts w:ascii="Times New Roman" w:hAnsi="Times New Roman"/>
          <w:color w:val="000000" w:themeColor="text1"/>
          <w:sz w:val="16"/>
          <w:szCs w:val="16"/>
        </w:rPr>
        <w:softHyphen/>
        <w:t>ростей полета, а также высотность. Даже наоборот, небольшая минимальная ско</w:t>
      </w:r>
      <w:r w:rsidRPr="008127F8">
        <w:rPr>
          <w:rFonts w:ascii="Times New Roman" w:hAnsi="Times New Roman"/>
          <w:color w:val="000000" w:themeColor="text1"/>
          <w:sz w:val="16"/>
          <w:szCs w:val="16"/>
        </w:rPr>
        <w:softHyphen/>
        <w:t>рость полета противотанкового самоле</w:t>
      </w:r>
      <w:r w:rsidRPr="008127F8">
        <w:rPr>
          <w:rFonts w:ascii="Times New Roman" w:hAnsi="Times New Roman"/>
          <w:color w:val="000000" w:themeColor="text1"/>
          <w:sz w:val="16"/>
          <w:szCs w:val="16"/>
        </w:rPr>
        <w:softHyphen/>
        <w:t>та (по расчетам - 102 км/ч у земли) долж</w:t>
      </w:r>
      <w:r w:rsidRPr="008127F8">
        <w:rPr>
          <w:rFonts w:ascii="Times New Roman" w:hAnsi="Times New Roman"/>
          <w:color w:val="000000" w:themeColor="text1"/>
          <w:sz w:val="16"/>
          <w:szCs w:val="16"/>
        </w:rPr>
        <w:softHyphen/>
        <w:t>на была обеспечить лучшие условия для прицеливания и стрельбы по танкам в сравнении с современными скорост</w:t>
      </w:r>
      <w:r w:rsidRPr="008127F8">
        <w:rPr>
          <w:rFonts w:ascii="Times New Roman" w:hAnsi="Times New Roman"/>
          <w:color w:val="000000" w:themeColor="text1"/>
          <w:sz w:val="16"/>
          <w:szCs w:val="16"/>
        </w:rPr>
        <w:softHyphen/>
        <w:t>ными штурмовиками Ил-2. Действитель</w:t>
      </w:r>
      <w:r w:rsidRPr="008127F8">
        <w:rPr>
          <w:rFonts w:ascii="Times New Roman" w:hAnsi="Times New Roman"/>
          <w:color w:val="000000" w:themeColor="text1"/>
          <w:sz w:val="16"/>
          <w:szCs w:val="16"/>
        </w:rPr>
        <w:softHyphen/>
        <w:t>но, в этом случае стрельбу по танкам про</w:t>
      </w:r>
      <w:r w:rsidRPr="008127F8">
        <w:rPr>
          <w:rFonts w:ascii="Times New Roman" w:hAnsi="Times New Roman"/>
          <w:color w:val="000000" w:themeColor="text1"/>
          <w:sz w:val="16"/>
          <w:szCs w:val="16"/>
        </w:rPr>
        <w:softHyphen/>
        <w:t>тивника можно было вести с предельно малых высот и почти под прямым углом к поверхности бортовой брони, а дистан</w:t>
      </w:r>
      <w:r w:rsidRPr="008127F8">
        <w:rPr>
          <w:rFonts w:ascii="Times New Roman" w:hAnsi="Times New Roman"/>
          <w:color w:val="000000" w:themeColor="text1"/>
          <w:sz w:val="16"/>
          <w:szCs w:val="16"/>
        </w:rPr>
        <w:softHyphen/>
        <w:t>ция прекращения стрельбы была значи</w:t>
      </w:r>
      <w:r w:rsidRPr="008127F8">
        <w:rPr>
          <w:rFonts w:ascii="Times New Roman" w:hAnsi="Times New Roman"/>
          <w:color w:val="000000" w:themeColor="text1"/>
          <w:sz w:val="16"/>
          <w:szCs w:val="16"/>
        </w:rPr>
        <w:softHyphen/>
        <w:t>тельно меньше, чем у Ил-2, что создава</w:t>
      </w:r>
      <w:r w:rsidRPr="008127F8">
        <w:rPr>
          <w:rFonts w:ascii="Times New Roman" w:hAnsi="Times New Roman"/>
          <w:color w:val="000000" w:themeColor="text1"/>
          <w:sz w:val="16"/>
          <w:szCs w:val="16"/>
        </w:rPr>
        <w:softHyphen/>
        <w:t>ло наилучшие условия для пробития тан</w:t>
      </w:r>
      <w:r w:rsidRPr="008127F8">
        <w:rPr>
          <w:rFonts w:ascii="Times New Roman" w:hAnsi="Times New Roman"/>
          <w:color w:val="000000" w:themeColor="text1"/>
          <w:sz w:val="16"/>
          <w:szCs w:val="16"/>
        </w:rPr>
        <w:softHyphen/>
        <w:t>ковой брони штатными боеприпасами к авиационным пушкам.</w:t>
      </w:r>
    </w:p>
    <w:p w14:paraId="5734720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учетом особенностей боевого при</w:t>
      </w:r>
      <w:r w:rsidRPr="008127F8">
        <w:rPr>
          <w:rFonts w:ascii="Times New Roman" w:hAnsi="Times New Roman"/>
          <w:color w:val="000000" w:themeColor="text1"/>
          <w:sz w:val="16"/>
          <w:szCs w:val="16"/>
        </w:rPr>
        <w:softHyphen/>
        <w:t>менения от машины требовались высо</w:t>
      </w:r>
      <w:r w:rsidRPr="008127F8">
        <w:rPr>
          <w:rFonts w:ascii="Times New Roman" w:hAnsi="Times New Roman"/>
          <w:color w:val="000000" w:themeColor="text1"/>
          <w:sz w:val="16"/>
          <w:szCs w:val="16"/>
        </w:rPr>
        <w:softHyphen/>
        <w:t>кие маневренные качества и взлетно-по</w:t>
      </w:r>
      <w:r w:rsidRPr="008127F8">
        <w:rPr>
          <w:rFonts w:ascii="Times New Roman" w:hAnsi="Times New Roman"/>
          <w:color w:val="000000" w:themeColor="text1"/>
          <w:sz w:val="16"/>
          <w:szCs w:val="16"/>
        </w:rPr>
        <w:softHyphen/>
        <w:t>садочные свойства. По технике пилотиро</w:t>
      </w:r>
      <w:r w:rsidRPr="008127F8">
        <w:rPr>
          <w:rFonts w:ascii="Times New Roman" w:hAnsi="Times New Roman"/>
          <w:color w:val="000000" w:themeColor="text1"/>
          <w:sz w:val="16"/>
          <w:szCs w:val="16"/>
        </w:rPr>
        <w:softHyphen/>
        <w:t>вания самолет должен был допускать ос</w:t>
      </w:r>
      <w:r w:rsidRPr="008127F8">
        <w:rPr>
          <w:rFonts w:ascii="Times New Roman" w:hAnsi="Times New Roman"/>
          <w:color w:val="000000" w:themeColor="text1"/>
          <w:sz w:val="16"/>
          <w:szCs w:val="16"/>
        </w:rPr>
        <w:softHyphen/>
        <w:t>воение летчиками с подготовкой ниже среднего.</w:t>
      </w:r>
    </w:p>
    <w:p w14:paraId="12075F1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проекту конструкция самолета полностью деревянная с бронекабиной в носовой части фюзеляжа. Схема - низ</w:t>
      </w:r>
      <w:r w:rsidRPr="008127F8">
        <w:rPr>
          <w:rFonts w:ascii="Times New Roman" w:hAnsi="Times New Roman"/>
          <w:color w:val="000000" w:themeColor="text1"/>
          <w:sz w:val="16"/>
          <w:szCs w:val="16"/>
        </w:rPr>
        <w:softHyphen/>
        <w:t>коплан. Контуры самолета образованы прямыми линиями, конструкция предель</w:t>
      </w:r>
      <w:r w:rsidRPr="008127F8">
        <w:rPr>
          <w:rFonts w:ascii="Times New Roman" w:hAnsi="Times New Roman"/>
          <w:color w:val="000000" w:themeColor="text1"/>
          <w:sz w:val="16"/>
          <w:szCs w:val="16"/>
        </w:rPr>
        <w:softHyphen/>
        <w:t>но проста и технологична, сборка без ста</w:t>
      </w:r>
      <w:r w:rsidRPr="008127F8">
        <w:rPr>
          <w:rFonts w:ascii="Times New Roman" w:hAnsi="Times New Roman"/>
          <w:color w:val="000000" w:themeColor="text1"/>
          <w:sz w:val="16"/>
          <w:szCs w:val="16"/>
        </w:rPr>
        <w:softHyphen/>
        <w:t>пелей, из выкроек. Использовались поде</w:t>
      </w:r>
      <w:r w:rsidRPr="008127F8">
        <w:rPr>
          <w:rFonts w:ascii="Times New Roman" w:hAnsi="Times New Roman"/>
          <w:color w:val="000000" w:themeColor="text1"/>
          <w:sz w:val="16"/>
          <w:szCs w:val="16"/>
        </w:rPr>
        <w:softHyphen/>
        <w:t>лочная сосна, строительная фанера, кро</w:t>
      </w:r>
      <w:r w:rsidRPr="008127F8">
        <w:rPr>
          <w:rFonts w:ascii="Times New Roman" w:hAnsi="Times New Roman"/>
          <w:color w:val="000000" w:themeColor="text1"/>
          <w:sz w:val="16"/>
          <w:szCs w:val="16"/>
        </w:rPr>
        <w:softHyphen/>
        <w:t>вельное железо (бензо- и маслобаки), мягкая сталь разных толщин (узлы бро</w:t>
      </w:r>
      <w:r w:rsidRPr="008127F8">
        <w:rPr>
          <w:rFonts w:ascii="Times New Roman" w:hAnsi="Times New Roman"/>
          <w:color w:val="000000" w:themeColor="text1"/>
          <w:sz w:val="16"/>
          <w:szCs w:val="16"/>
        </w:rPr>
        <w:softHyphen/>
        <w:t>неспинки), низкосортный дюралюминий (только капоты). Все стыки - фланцевые наружные. Отсутствовали сложные детали с механической обработкой, гидравличе</w:t>
      </w:r>
      <w:r w:rsidRPr="008127F8">
        <w:rPr>
          <w:rFonts w:ascii="Times New Roman" w:hAnsi="Times New Roman"/>
          <w:color w:val="000000" w:themeColor="text1"/>
          <w:sz w:val="16"/>
          <w:szCs w:val="16"/>
        </w:rPr>
        <w:softHyphen/>
        <w:t>ская и воздушная системы, электро- и ра</w:t>
      </w:r>
      <w:r w:rsidRPr="008127F8">
        <w:rPr>
          <w:rFonts w:ascii="Times New Roman" w:hAnsi="Times New Roman"/>
          <w:color w:val="000000" w:themeColor="text1"/>
          <w:sz w:val="16"/>
          <w:szCs w:val="16"/>
        </w:rPr>
        <w:softHyphen/>
        <w:t>диооборудование.</w:t>
      </w:r>
    </w:p>
    <w:p w14:paraId="3FD6F7E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Простота и дешевизна конструкции были предельные. Это позволяло быст</w:t>
      </w:r>
      <w:r w:rsidRPr="008127F8">
        <w:rPr>
          <w:rFonts w:ascii="Times New Roman" w:hAnsi="Times New Roman"/>
          <w:color w:val="000000" w:themeColor="text1"/>
          <w:sz w:val="16"/>
          <w:szCs w:val="16"/>
        </w:rPr>
        <w:softHyphen/>
        <w:t>ро разворачивать производство практи</w:t>
      </w:r>
      <w:r w:rsidRPr="008127F8">
        <w:rPr>
          <w:rFonts w:ascii="Times New Roman" w:hAnsi="Times New Roman"/>
          <w:color w:val="000000" w:themeColor="text1"/>
          <w:sz w:val="16"/>
          <w:szCs w:val="16"/>
        </w:rPr>
        <w:softHyphen/>
        <w:t>чески на любом заводе или мастерской с минимально необходимым составом станочного оборудования и неопытны</w:t>
      </w:r>
      <w:r w:rsidRPr="008127F8">
        <w:rPr>
          <w:rFonts w:ascii="Times New Roman" w:hAnsi="Times New Roman"/>
          <w:color w:val="000000" w:themeColor="text1"/>
          <w:sz w:val="16"/>
          <w:szCs w:val="16"/>
        </w:rPr>
        <w:softHyphen/>
        <w:t>ми рабочими.</w:t>
      </w:r>
    </w:p>
    <w:p w14:paraId="34F2166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Фюзеляж четырехгранного сечения с плоскими стенками, заготовляемыми за</w:t>
      </w:r>
      <w:r w:rsidRPr="008127F8">
        <w:rPr>
          <w:rFonts w:ascii="Times New Roman" w:hAnsi="Times New Roman"/>
          <w:color w:val="000000" w:themeColor="text1"/>
          <w:sz w:val="16"/>
          <w:szCs w:val="16"/>
        </w:rPr>
        <w:softHyphen/>
        <w:t>ранее вместе с лонжеронами и планка</w:t>
      </w:r>
      <w:r w:rsidRPr="008127F8">
        <w:rPr>
          <w:rFonts w:ascii="Times New Roman" w:hAnsi="Times New Roman"/>
          <w:color w:val="000000" w:themeColor="text1"/>
          <w:sz w:val="16"/>
          <w:szCs w:val="16"/>
        </w:rPr>
        <w:softHyphen/>
        <w:t>ми шпангоутов. Крыло и оперение пол</w:t>
      </w:r>
      <w:r w:rsidRPr="008127F8">
        <w:rPr>
          <w:rFonts w:ascii="Times New Roman" w:hAnsi="Times New Roman"/>
          <w:color w:val="000000" w:themeColor="text1"/>
          <w:sz w:val="16"/>
          <w:szCs w:val="16"/>
        </w:rPr>
        <w:softHyphen/>
        <w:t>ностью деревянные с фанерной обшив</w:t>
      </w:r>
      <w:r w:rsidRPr="008127F8">
        <w:rPr>
          <w:rFonts w:ascii="Times New Roman" w:hAnsi="Times New Roman"/>
          <w:color w:val="000000" w:themeColor="text1"/>
          <w:sz w:val="16"/>
          <w:szCs w:val="16"/>
        </w:rPr>
        <w:softHyphen/>
        <w:t>кой. Шасси - одностоечное неубираемое с резиновой пластинчатой амортизацией. Деревянными предполагались моторамы и колеса шасси. Электропроводка пред</w:t>
      </w:r>
      <w:r w:rsidRPr="008127F8">
        <w:rPr>
          <w:rFonts w:ascii="Times New Roman" w:hAnsi="Times New Roman"/>
          <w:color w:val="000000" w:themeColor="text1"/>
          <w:sz w:val="16"/>
          <w:szCs w:val="16"/>
        </w:rPr>
        <w:softHyphen/>
        <w:t>полагалась самая простейшая. Прибор</w:t>
      </w:r>
      <w:r w:rsidRPr="008127F8">
        <w:rPr>
          <w:rFonts w:ascii="Times New Roman" w:hAnsi="Times New Roman"/>
          <w:color w:val="000000" w:themeColor="text1"/>
          <w:sz w:val="16"/>
          <w:szCs w:val="16"/>
        </w:rPr>
        <w:softHyphen/>
        <w:t>ное оборудование использовалось от са</w:t>
      </w:r>
      <w:r w:rsidRPr="008127F8">
        <w:rPr>
          <w:rFonts w:ascii="Times New Roman" w:hAnsi="Times New Roman"/>
          <w:color w:val="000000" w:themeColor="text1"/>
          <w:sz w:val="16"/>
          <w:szCs w:val="16"/>
        </w:rPr>
        <w:softHyphen/>
        <w:t>молета У-2.</w:t>
      </w:r>
    </w:p>
    <w:p w14:paraId="4651C54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Летчик помещался в бронекабине простейших форм с толщиной брони от 6 до 13 мм (спереди -13 мм, сзади - 10- 13 мм, борта и пол - 6 мм),бронекозы- рек - 64 мм. Сразу же за кабиной в фю</w:t>
      </w:r>
      <w:r w:rsidRPr="008127F8">
        <w:rPr>
          <w:rFonts w:ascii="Times New Roman" w:hAnsi="Times New Roman"/>
          <w:color w:val="000000" w:themeColor="text1"/>
          <w:sz w:val="16"/>
          <w:szCs w:val="16"/>
        </w:rPr>
        <w:softHyphen/>
        <w:t>зеляже располагался небольшой отсек, который предполагалось использовать для размещения в нем патронных ящи</w:t>
      </w:r>
      <w:r w:rsidRPr="008127F8">
        <w:rPr>
          <w:rFonts w:ascii="Times New Roman" w:hAnsi="Times New Roman"/>
          <w:color w:val="000000" w:themeColor="text1"/>
          <w:sz w:val="16"/>
          <w:szCs w:val="16"/>
        </w:rPr>
        <w:softHyphen/>
        <w:t>ков сменного состава пушечного воору</w:t>
      </w:r>
      <w:r w:rsidRPr="008127F8">
        <w:rPr>
          <w:rFonts w:ascii="Times New Roman" w:hAnsi="Times New Roman"/>
          <w:color w:val="000000" w:themeColor="text1"/>
          <w:sz w:val="16"/>
          <w:szCs w:val="16"/>
        </w:rPr>
        <w:softHyphen/>
        <w:t>жения. Для этого центроплан имел вырез посередине. Без подвесок вооружения в отсеке можно было разместить двух чело</w:t>
      </w:r>
      <w:r w:rsidRPr="008127F8">
        <w:rPr>
          <w:rFonts w:ascii="Times New Roman" w:hAnsi="Times New Roman"/>
          <w:color w:val="000000" w:themeColor="text1"/>
          <w:sz w:val="16"/>
          <w:szCs w:val="16"/>
        </w:rPr>
        <w:softHyphen/>
        <w:t>век или 400 кг груза. Это позволяло при</w:t>
      </w:r>
      <w:r w:rsidRPr="008127F8">
        <w:rPr>
          <w:rFonts w:ascii="Times New Roman" w:hAnsi="Times New Roman"/>
          <w:color w:val="000000" w:themeColor="text1"/>
          <w:sz w:val="16"/>
          <w:szCs w:val="16"/>
        </w:rPr>
        <w:softHyphen/>
        <w:t>влекать самолет для решения ряда транс</w:t>
      </w:r>
      <w:r w:rsidRPr="008127F8">
        <w:rPr>
          <w:rFonts w:ascii="Times New Roman" w:hAnsi="Times New Roman"/>
          <w:color w:val="000000" w:themeColor="text1"/>
          <w:sz w:val="16"/>
          <w:szCs w:val="16"/>
        </w:rPr>
        <w:softHyphen/>
        <w:t>портных и диверсионных задач.</w:t>
      </w:r>
    </w:p>
    <w:p w14:paraId="4A09410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самолет устанавливались два мо</w:t>
      </w:r>
      <w:r w:rsidRPr="008127F8">
        <w:rPr>
          <w:rFonts w:ascii="Times New Roman" w:hAnsi="Times New Roman"/>
          <w:color w:val="000000" w:themeColor="text1"/>
          <w:sz w:val="16"/>
          <w:szCs w:val="16"/>
        </w:rPr>
        <w:softHyphen/>
        <w:t>тора М-11ф (140 л.с.), что обеспечивало потребную грузоподъемность, установку стрелково-пушечного вооружения вбли</w:t>
      </w:r>
      <w:r w:rsidRPr="008127F8">
        <w:rPr>
          <w:rFonts w:ascii="Times New Roman" w:hAnsi="Times New Roman"/>
          <w:color w:val="000000" w:themeColor="text1"/>
          <w:sz w:val="16"/>
          <w:szCs w:val="16"/>
        </w:rPr>
        <w:softHyphen/>
        <w:t>зи оси самолета и хороший обзор лет</w:t>
      </w:r>
      <w:r w:rsidRPr="008127F8">
        <w:rPr>
          <w:rFonts w:ascii="Times New Roman" w:hAnsi="Times New Roman"/>
          <w:color w:val="000000" w:themeColor="text1"/>
          <w:sz w:val="16"/>
          <w:szCs w:val="16"/>
        </w:rPr>
        <w:softHyphen/>
        <w:t>чику вперед и вниз. Сами моторы М-11ф были хорошо освоены промышленностью и летно-техническим составом, имели вы</w:t>
      </w:r>
      <w:r w:rsidRPr="008127F8">
        <w:rPr>
          <w:rFonts w:ascii="Times New Roman" w:hAnsi="Times New Roman"/>
          <w:color w:val="000000" w:themeColor="text1"/>
          <w:sz w:val="16"/>
          <w:szCs w:val="16"/>
        </w:rPr>
        <w:softHyphen/>
        <w:t>сокую надежность и невысокую стоимость в производстве и эксплуатации. По под</w:t>
      </w:r>
      <w:r w:rsidRPr="008127F8">
        <w:rPr>
          <w:rFonts w:ascii="Times New Roman" w:hAnsi="Times New Roman"/>
          <w:color w:val="000000" w:themeColor="text1"/>
          <w:sz w:val="16"/>
          <w:szCs w:val="16"/>
        </w:rPr>
        <w:softHyphen/>
        <w:t>счетам, пять противотанковых самолетов конструкции Томашевича расходовали при выполнении одного боевого вылета столько же горючего, сколько требовалось для обеспечения боевого вылета одного штурмовика Ил-2.</w:t>
      </w:r>
    </w:p>
    <w:p w14:paraId="6010916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повышения боевой живучести каждый мотор питался от своего бензо</w:t>
      </w:r>
      <w:r w:rsidRPr="008127F8">
        <w:rPr>
          <w:rFonts w:ascii="Times New Roman" w:hAnsi="Times New Roman"/>
          <w:color w:val="000000" w:themeColor="text1"/>
          <w:sz w:val="16"/>
          <w:szCs w:val="16"/>
        </w:rPr>
        <w:softHyphen/>
        <w:t>бака, который располагался за мотором и являлся обтекателем мотогондолы. При возгорании в полете бензобак сбрасывал</w:t>
      </w:r>
      <w:r w:rsidRPr="008127F8">
        <w:rPr>
          <w:rFonts w:ascii="Times New Roman" w:hAnsi="Times New Roman"/>
          <w:color w:val="000000" w:themeColor="text1"/>
          <w:sz w:val="16"/>
          <w:szCs w:val="16"/>
        </w:rPr>
        <w:softHyphen/>
        <w:t>ся. В момент сбрасывания мотор перехо</w:t>
      </w:r>
      <w:r w:rsidRPr="008127F8">
        <w:rPr>
          <w:rFonts w:ascii="Times New Roman" w:hAnsi="Times New Roman"/>
          <w:color w:val="000000" w:themeColor="text1"/>
          <w:sz w:val="16"/>
          <w:szCs w:val="16"/>
        </w:rPr>
        <w:softHyphen/>
        <w:t>дил на питание от специального брониро</w:t>
      </w:r>
      <w:r w:rsidRPr="008127F8">
        <w:rPr>
          <w:rFonts w:ascii="Times New Roman" w:hAnsi="Times New Roman"/>
          <w:color w:val="000000" w:themeColor="text1"/>
          <w:sz w:val="16"/>
          <w:szCs w:val="16"/>
        </w:rPr>
        <w:softHyphen/>
        <w:t>ванного бачка (рассчитанного на 30 мин полета).</w:t>
      </w:r>
    </w:p>
    <w:p w14:paraId="76A6A01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Отметим, что желание реализовать идею сбрасываемого бензобака предо</w:t>
      </w:r>
      <w:r w:rsidRPr="008127F8">
        <w:rPr>
          <w:rFonts w:ascii="Times New Roman" w:hAnsi="Times New Roman"/>
          <w:color w:val="000000" w:themeColor="text1"/>
          <w:sz w:val="16"/>
          <w:szCs w:val="16"/>
        </w:rPr>
        <w:softHyphen/>
        <w:t>пределило расположение мотора и баков под крылом. Как показали дальнейшие события, это решение создавало ряд труд</w:t>
      </w:r>
      <w:r w:rsidRPr="008127F8">
        <w:rPr>
          <w:rFonts w:ascii="Times New Roman" w:hAnsi="Times New Roman"/>
          <w:color w:val="000000" w:themeColor="text1"/>
          <w:sz w:val="16"/>
          <w:szCs w:val="16"/>
        </w:rPr>
        <w:softHyphen/>
        <w:t>ностей при эксплуатации самолета.</w:t>
      </w:r>
    </w:p>
    <w:p w14:paraId="7158685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Для получения высоких взлетно-поса</w:t>
      </w:r>
      <w:r w:rsidRPr="008127F8">
        <w:rPr>
          <w:rFonts w:ascii="Times New Roman" w:hAnsi="Times New Roman"/>
          <w:color w:val="000000" w:themeColor="text1"/>
          <w:sz w:val="16"/>
          <w:szCs w:val="16"/>
        </w:rPr>
        <w:softHyphen/>
        <w:t>дочных свойств предполагалось исполь</w:t>
      </w:r>
      <w:r w:rsidRPr="008127F8">
        <w:rPr>
          <w:rFonts w:ascii="Times New Roman" w:hAnsi="Times New Roman"/>
          <w:color w:val="000000" w:themeColor="text1"/>
          <w:sz w:val="16"/>
          <w:szCs w:val="16"/>
        </w:rPr>
        <w:softHyphen/>
        <w:t>зовать профиль крыла NACA 44 с высо</w:t>
      </w:r>
      <w:r w:rsidRPr="008127F8">
        <w:rPr>
          <w:rFonts w:ascii="Times New Roman" w:hAnsi="Times New Roman"/>
          <w:color w:val="000000" w:themeColor="text1"/>
          <w:sz w:val="16"/>
          <w:szCs w:val="16"/>
        </w:rPr>
        <w:softHyphen/>
        <w:t>кими несущими свойствами, а также по</w:t>
      </w:r>
      <w:r w:rsidRPr="008127F8">
        <w:rPr>
          <w:rFonts w:ascii="Times New Roman" w:hAnsi="Times New Roman"/>
          <w:color w:val="000000" w:themeColor="text1"/>
          <w:sz w:val="16"/>
          <w:szCs w:val="16"/>
        </w:rPr>
        <w:softHyphen/>
        <w:t>стоянные предкрылки (напротив элеро</w:t>
      </w:r>
      <w:r w:rsidRPr="008127F8">
        <w:rPr>
          <w:rFonts w:ascii="Times New Roman" w:hAnsi="Times New Roman"/>
          <w:color w:val="000000" w:themeColor="text1"/>
          <w:sz w:val="16"/>
          <w:szCs w:val="16"/>
        </w:rPr>
        <w:softHyphen/>
        <w:t>нов) и профилированные (над моторами) полукольцевые капоты. По расчетам все это вместе взятое должно обеспечи</w:t>
      </w:r>
      <w:r w:rsidRPr="008127F8">
        <w:rPr>
          <w:rFonts w:ascii="Times New Roman" w:hAnsi="Times New Roman"/>
          <w:color w:val="000000" w:themeColor="text1"/>
          <w:sz w:val="16"/>
          <w:szCs w:val="16"/>
        </w:rPr>
        <w:softHyphen/>
        <w:t>вать устойчивый полет без сваливания до углов атаки 20°.</w:t>
      </w:r>
    </w:p>
    <w:p w14:paraId="67A8F26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Вооружение самолета состоя</w:t>
      </w:r>
      <w:r w:rsidRPr="008127F8">
        <w:rPr>
          <w:rFonts w:ascii="Times New Roman" w:hAnsi="Times New Roman"/>
          <w:color w:val="000000" w:themeColor="text1"/>
          <w:sz w:val="16"/>
          <w:szCs w:val="16"/>
        </w:rPr>
        <w:softHyphen/>
        <w:t>ло из крупнокалиберного пулемета УБК (150 патронов) в носовом обтекателе фю</w:t>
      </w:r>
      <w:r w:rsidRPr="008127F8">
        <w:rPr>
          <w:rFonts w:ascii="Times New Roman" w:hAnsi="Times New Roman"/>
          <w:color w:val="000000" w:themeColor="text1"/>
          <w:sz w:val="16"/>
          <w:szCs w:val="16"/>
        </w:rPr>
        <w:softHyphen/>
        <w:t>зеляжа и пяти сменных составов бом</w:t>
      </w:r>
      <w:r w:rsidRPr="008127F8">
        <w:rPr>
          <w:rFonts w:ascii="Times New Roman" w:hAnsi="Times New Roman"/>
          <w:color w:val="000000" w:themeColor="text1"/>
          <w:sz w:val="16"/>
          <w:szCs w:val="16"/>
        </w:rPr>
        <w:softHyphen/>
        <w:t>бового, ракетного и пушечного оружия: 250 кг бомб, 4 РО-132, одна 37-мм пуш</w:t>
      </w:r>
      <w:r w:rsidRPr="008127F8">
        <w:rPr>
          <w:rFonts w:ascii="Times New Roman" w:hAnsi="Times New Roman"/>
          <w:color w:val="000000" w:themeColor="text1"/>
          <w:sz w:val="16"/>
          <w:szCs w:val="16"/>
        </w:rPr>
        <w:softHyphen/>
        <w:t>ка (50 снарядов), две пушки ВЯ калибра 23 мм (160 снарядов) и четыре «проти</w:t>
      </w:r>
      <w:r w:rsidRPr="008127F8">
        <w:rPr>
          <w:rFonts w:ascii="Times New Roman" w:hAnsi="Times New Roman"/>
          <w:color w:val="000000" w:themeColor="text1"/>
          <w:sz w:val="16"/>
          <w:szCs w:val="16"/>
        </w:rPr>
        <w:softHyphen/>
        <w:t>вотанковых автоматических ружья» ка</w:t>
      </w:r>
      <w:r w:rsidRPr="008127F8">
        <w:rPr>
          <w:rFonts w:ascii="Times New Roman" w:hAnsi="Times New Roman"/>
          <w:color w:val="000000" w:themeColor="text1"/>
          <w:sz w:val="16"/>
          <w:szCs w:val="16"/>
        </w:rPr>
        <w:softHyphen/>
        <w:t>либра 14,5 мм (600 снарядов). Все смен</w:t>
      </w:r>
      <w:r w:rsidRPr="008127F8">
        <w:rPr>
          <w:rFonts w:ascii="Times New Roman" w:hAnsi="Times New Roman"/>
          <w:color w:val="000000" w:themeColor="text1"/>
          <w:sz w:val="16"/>
          <w:szCs w:val="16"/>
        </w:rPr>
        <w:softHyphen/>
        <w:t>ные варианты размещались на специаль</w:t>
      </w:r>
      <w:r w:rsidRPr="008127F8">
        <w:rPr>
          <w:rFonts w:ascii="Times New Roman" w:hAnsi="Times New Roman"/>
          <w:color w:val="000000" w:themeColor="text1"/>
          <w:sz w:val="16"/>
          <w:szCs w:val="16"/>
        </w:rPr>
        <w:softHyphen/>
        <w:t>ных «мостах» (или лафетах) вооружения, которые подвешивались под фюзеляжем в районе центроплана.</w:t>
      </w:r>
    </w:p>
    <w:p w14:paraId="576951C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отношении последнего варианта сле</w:t>
      </w:r>
      <w:r w:rsidRPr="008127F8">
        <w:rPr>
          <w:rFonts w:ascii="Times New Roman" w:hAnsi="Times New Roman"/>
          <w:color w:val="000000" w:themeColor="text1"/>
          <w:sz w:val="16"/>
          <w:szCs w:val="16"/>
        </w:rPr>
        <w:softHyphen/>
        <w:t>дует дать пояснения. Здесь имелись в виду автоматические пушки калибра 14,5 мм конструкции Салищева-Галкина и Волкова- Ярцева, которые в сентябре 1942 г. прохо</w:t>
      </w:r>
      <w:r w:rsidRPr="008127F8">
        <w:rPr>
          <w:rFonts w:ascii="Times New Roman" w:hAnsi="Times New Roman"/>
          <w:color w:val="000000" w:themeColor="text1"/>
          <w:sz w:val="16"/>
          <w:szCs w:val="16"/>
        </w:rPr>
        <w:softHyphen/>
        <w:t>дили испытания на НИП АВ ВВС.</w:t>
      </w:r>
    </w:p>
    <w:p w14:paraId="7E734E1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Отметим, что все указанные вариан</w:t>
      </w:r>
      <w:r w:rsidRPr="008127F8">
        <w:rPr>
          <w:rFonts w:ascii="Times New Roman" w:hAnsi="Times New Roman"/>
          <w:color w:val="000000" w:themeColor="text1"/>
          <w:sz w:val="16"/>
          <w:szCs w:val="16"/>
        </w:rPr>
        <w:softHyphen/>
        <w:t>ты вооружения, за исключением третьего и отчасти пятого, нельзя назвать противо</w:t>
      </w:r>
      <w:r w:rsidRPr="008127F8">
        <w:rPr>
          <w:rFonts w:ascii="Times New Roman" w:hAnsi="Times New Roman"/>
          <w:color w:val="000000" w:themeColor="text1"/>
          <w:sz w:val="16"/>
          <w:szCs w:val="16"/>
        </w:rPr>
        <w:softHyphen/>
        <w:t>танковыми. Особенно это касается усло</w:t>
      </w:r>
      <w:r w:rsidRPr="008127F8">
        <w:rPr>
          <w:rFonts w:ascii="Times New Roman" w:hAnsi="Times New Roman"/>
          <w:color w:val="000000" w:themeColor="text1"/>
          <w:sz w:val="16"/>
          <w:szCs w:val="16"/>
        </w:rPr>
        <w:softHyphen/>
        <w:t>вий боев начала 1943 г., когда легкие тан</w:t>
      </w:r>
      <w:r w:rsidRPr="008127F8">
        <w:rPr>
          <w:rFonts w:ascii="Times New Roman" w:hAnsi="Times New Roman"/>
          <w:color w:val="000000" w:themeColor="text1"/>
          <w:sz w:val="16"/>
          <w:szCs w:val="16"/>
        </w:rPr>
        <w:softHyphen/>
        <w:t>ки вермахта повсеместно были вытесне</w:t>
      </w:r>
      <w:r w:rsidRPr="008127F8">
        <w:rPr>
          <w:rFonts w:ascii="Times New Roman" w:hAnsi="Times New Roman"/>
          <w:color w:val="000000" w:themeColor="text1"/>
          <w:sz w:val="16"/>
          <w:szCs w:val="16"/>
        </w:rPr>
        <w:softHyphen/>
        <w:t>ны более мощными средними танками типа Pz.IV и Pz.HI, а также новыми толсто- бронными Pz.VI «Тигр», Pz.V «Пантера» и Jgd Pz Tiger (Р) «Фердинанд». Единствен</w:t>
      </w:r>
      <w:r w:rsidRPr="008127F8">
        <w:rPr>
          <w:rFonts w:ascii="Times New Roman" w:hAnsi="Times New Roman"/>
          <w:color w:val="000000" w:themeColor="text1"/>
          <w:sz w:val="16"/>
          <w:szCs w:val="16"/>
        </w:rPr>
        <w:softHyphen/>
        <w:t>ными бронецелями вермахта, с которы</w:t>
      </w:r>
      <w:r w:rsidRPr="008127F8">
        <w:rPr>
          <w:rFonts w:ascii="Times New Roman" w:hAnsi="Times New Roman"/>
          <w:color w:val="000000" w:themeColor="text1"/>
          <w:sz w:val="16"/>
          <w:szCs w:val="16"/>
        </w:rPr>
        <w:softHyphen/>
        <w:t>ми штурмовик Д.Л. Томашевича еще мог как-то бороться, являлись легкоброниро</w:t>
      </w:r>
      <w:r w:rsidRPr="008127F8">
        <w:rPr>
          <w:rFonts w:ascii="Times New Roman" w:hAnsi="Times New Roman"/>
          <w:color w:val="000000" w:themeColor="text1"/>
          <w:sz w:val="16"/>
          <w:szCs w:val="16"/>
        </w:rPr>
        <w:softHyphen/>
        <w:t>ванные САУ (типа «Веспе» и т.д.) и проти</w:t>
      </w:r>
      <w:r w:rsidRPr="008127F8">
        <w:rPr>
          <w:rFonts w:ascii="Times New Roman" w:hAnsi="Times New Roman"/>
          <w:color w:val="000000" w:themeColor="text1"/>
          <w:sz w:val="16"/>
          <w:szCs w:val="16"/>
        </w:rPr>
        <w:softHyphen/>
        <w:t>вотанковые СУ (типа «Мардер-Il» и «Мар</w:t>
      </w:r>
      <w:r w:rsidRPr="008127F8">
        <w:rPr>
          <w:rFonts w:ascii="Times New Roman" w:hAnsi="Times New Roman"/>
          <w:color w:val="000000" w:themeColor="text1"/>
          <w:sz w:val="16"/>
          <w:szCs w:val="16"/>
        </w:rPr>
        <w:softHyphen/>
        <w:t>дер-111»), созданные на базе легких тан</w:t>
      </w:r>
      <w:r w:rsidRPr="008127F8">
        <w:rPr>
          <w:rFonts w:ascii="Times New Roman" w:hAnsi="Times New Roman"/>
          <w:color w:val="000000" w:themeColor="text1"/>
          <w:sz w:val="16"/>
          <w:szCs w:val="16"/>
        </w:rPr>
        <w:softHyphen/>
        <w:t>ков. При этом если учесть соотношение полетного веса самолета и силы отдачи при стрельбе из пушек калибра 23-37 мм, то можно смело утверждать, что единст</w:t>
      </w:r>
      <w:r w:rsidRPr="008127F8">
        <w:rPr>
          <w:rFonts w:ascii="Times New Roman" w:hAnsi="Times New Roman"/>
          <w:color w:val="000000" w:themeColor="text1"/>
          <w:sz w:val="16"/>
          <w:szCs w:val="16"/>
        </w:rPr>
        <w:softHyphen/>
        <w:t>венным приемлемым составом вооруже</w:t>
      </w:r>
      <w:r w:rsidRPr="008127F8">
        <w:rPr>
          <w:rFonts w:ascii="Times New Roman" w:hAnsi="Times New Roman"/>
          <w:color w:val="000000" w:themeColor="text1"/>
          <w:sz w:val="16"/>
          <w:szCs w:val="16"/>
        </w:rPr>
        <w:softHyphen/>
        <w:t>ния самолета был пятый вариант. Более того, в рамках принятых весогабаритных параметров штурмовика все попытки со</w:t>
      </w:r>
      <w:r w:rsidRPr="008127F8">
        <w:rPr>
          <w:rFonts w:ascii="Times New Roman" w:hAnsi="Times New Roman"/>
          <w:color w:val="000000" w:themeColor="text1"/>
          <w:sz w:val="16"/>
          <w:szCs w:val="16"/>
        </w:rPr>
        <w:softHyphen/>
        <w:t>здать противотанковый самолет с мощ</w:t>
      </w:r>
      <w:r w:rsidRPr="008127F8">
        <w:rPr>
          <w:rFonts w:ascii="Times New Roman" w:hAnsi="Times New Roman"/>
          <w:color w:val="000000" w:themeColor="text1"/>
          <w:sz w:val="16"/>
          <w:szCs w:val="16"/>
        </w:rPr>
        <w:softHyphen/>
        <w:t>ным пушечным вооружением, обеспечи</w:t>
      </w:r>
      <w:r w:rsidRPr="008127F8">
        <w:rPr>
          <w:rFonts w:ascii="Times New Roman" w:hAnsi="Times New Roman"/>
          <w:color w:val="000000" w:themeColor="text1"/>
          <w:sz w:val="16"/>
          <w:szCs w:val="16"/>
        </w:rPr>
        <w:softHyphen/>
        <w:t>вающим поражение средних и тяжелых танков, были заранее обречены на про</w:t>
      </w:r>
      <w:r w:rsidRPr="008127F8">
        <w:rPr>
          <w:rFonts w:ascii="Times New Roman" w:hAnsi="Times New Roman"/>
          <w:color w:val="000000" w:themeColor="text1"/>
          <w:sz w:val="16"/>
          <w:szCs w:val="16"/>
        </w:rPr>
        <w:softHyphen/>
        <w:t>вал, что и подтвердили последующие ис</w:t>
      </w:r>
      <w:r w:rsidRPr="008127F8">
        <w:rPr>
          <w:rFonts w:ascii="Times New Roman" w:hAnsi="Times New Roman"/>
          <w:color w:val="000000" w:themeColor="text1"/>
          <w:sz w:val="16"/>
          <w:szCs w:val="16"/>
        </w:rPr>
        <w:softHyphen/>
        <w:t>пытания машины.</w:t>
      </w:r>
    </w:p>
    <w:p w14:paraId="2888439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расчетам при нормальном по</w:t>
      </w:r>
      <w:r w:rsidRPr="008127F8">
        <w:rPr>
          <w:rFonts w:ascii="Times New Roman" w:hAnsi="Times New Roman"/>
          <w:color w:val="000000" w:themeColor="text1"/>
          <w:sz w:val="16"/>
          <w:szCs w:val="16"/>
        </w:rPr>
        <w:softHyphen/>
        <w:t>летном весе 1939 кг максимальная ско</w:t>
      </w:r>
      <w:r w:rsidRPr="008127F8">
        <w:rPr>
          <w:rFonts w:ascii="Times New Roman" w:hAnsi="Times New Roman"/>
          <w:color w:val="000000" w:themeColor="text1"/>
          <w:sz w:val="16"/>
          <w:szCs w:val="16"/>
        </w:rPr>
        <w:softHyphen/>
        <w:t>рость полета самолета у земли составляла 207 км/ч, вертикальная скорость - 2,4 м/с, время подъема на высоту 1000 м - 8 мин, посадочная скорость - 90 км/ч, разбег - 320 м, пробег - 280 м, практический пото</w:t>
      </w:r>
      <w:r w:rsidRPr="008127F8">
        <w:rPr>
          <w:rFonts w:ascii="Times New Roman" w:hAnsi="Times New Roman"/>
          <w:color w:val="000000" w:themeColor="text1"/>
          <w:sz w:val="16"/>
          <w:szCs w:val="16"/>
        </w:rPr>
        <w:softHyphen/>
        <w:t>лок - 2850 м.</w:t>
      </w:r>
    </w:p>
    <w:p w14:paraId="0E95D35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 полета у земли на скоро</w:t>
      </w:r>
      <w:r w:rsidRPr="008127F8">
        <w:rPr>
          <w:rFonts w:ascii="Times New Roman" w:hAnsi="Times New Roman"/>
          <w:color w:val="000000" w:themeColor="text1"/>
          <w:sz w:val="16"/>
          <w:szCs w:val="16"/>
        </w:rPr>
        <w:softHyphen/>
        <w:t>сти 0,7 максимальной (145 км/ч) при за</w:t>
      </w:r>
      <w:r w:rsidRPr="008127F8">
        <w:rPr>
          <w:rFonts w:ascii="Times New Roman" w:hAnsi="Times New Roman"/>
          <w:color w:val="000000" w:themeColor="text1"/>
          <w:sz w:val="16"/>
          <w:szCs w:val="16"/>
        </w:rPr>
        <w:softHyphen/>
        <w:t>пасе топлива в 135 кг достигала 520 км, и при запасе топлива 270 кг -1000 км.</w:t>
      </w:r>
    </w:p>
    <w:p w14:paraId="24D9A87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этом в сопроводительных мате</w:t>
      </w:r>
      <w:r w:rsidRPr="008127F8">
        <w:rPr>
          <w:rFonts w:ascii="Times New Roman" w:hAnsi="Times New Roman"/>
          <w:color w:val="000000" w:themeColor="text1"/>
          <w:sz w:val="16"/>
          <w:szCs w:val="16"/>
        </w:rPr>
        <w:softHyphen/>
        <w:t>риалах к проекту Д.Л. Томашевич гаран</w:t>
      </w:r>
      <w:r w:rsidRPr="008127F8">
        <w:rPr>
          <w:rFonts w:ascii="Times New Roman" w:hAnsi="Times New Roman"/>
          <w:color w:val="000000" w:themeColor="text1"/>
          <w:sz w:val="16"/>
          <w:szCs w:val="16"/>
        </w:rPr>
        <w:softHyphen/>
        <w:t>тировал, «что самолет в реальном поле</w:t>
      </w:r>
      <w:r w:rsidRPr="008127F8">
        <w:rPr>
          <w:rFonts w:ascii="Times New Roman" w:hAnsi="Times New Roman"/>
          <w:color w:val="000000" w:themeColor="text1"/>
          <w:sz w:val="16"/>
          <w:szCs w:val="16"/>
        </w:rPr>
        <w:softHyphen/>
        <w:t>те будет иметь расчетные летные данные».</w:t>
      </w:r>
    </w:p>
    <w:p w14:paraId="4D21B53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реализации замысла Томашевич и руководство ЦКБ-29 считали необходи</w:t>
      </w:r>
      <w:r w:rsidRPr="008127F8">
        <w:rPr>
          <w:rFonts w:ascii="Times New Roman" w:hAnsi="Times New Roman"/>
          <w:color w:val="000000" w:themeColor="text1"/>
          <w:sz w:val="16"/>
          <w:szCs w:val="16"/>
        </w:rPr>
        <w:softHyphen/>
        <w:t>мым немедленно приступить к построй</w:t>
      </w:r>
      <w:r w:rsidRPr="008127F8">
        <w:rPr>
          <w:rFonts w:ascii="Times New Roman" w:hAnsi="Times New Roman"/>
          <w:color w:val="000000" w:themeColor="text1"/>
          <w:sz w:val="16"/>
          <w:szCs w:val="16"/>
        </w:rPr>
        <w:softHyphen/>
        <w:t>ке пяти опытных экземпляров самолета на заводе №288. Проектирование и по</w:t>
      </w:r>
      <w:r w:rsidRPr="008127F8">
        <w:rPr>
          <w:rFonts w:ascii="Times New Roman" w:hAnsi="Times New Roman"/>
          <w:color w:val="000000" w:themeColor="text1"/>
          <w:sz w:val="16"/>
          <w:szCs w:val="16"/>
        </w:rPr>
        <w:softHyphen/>
        <w:t>стройку опытных машин планировали за</w:t>
      </w:r>
      <w:r w:rsidRPr="008127F8">
        <w:rPr>
          <w:rFonts w:ascii="Times New Roman" w:hAnsi="Times New Roman"/>
          <w:color w:val="000000" w:themeColor="text1"/>
          <w:sz w:val="16"/>
          <w:szCs w:val="16"/>
        </w:rPr>
        <w:softHyphen/>
        <w:t>вершить в течение не более трех месяцев. То есть, готовность первого опытного са</w:t>
      </w:r>
      <w:r w:rsidRPr="008127F8">
        <w:rPr>
          <w:rFonts w:ascii="Times New Roman" w:hAnsi="Times New Roman"/>
          <w:color w:val="000000" w:themeColor="text1"/>
          <w:sz w:val="16"/>
          <w:szCs w:val="16"/>
        </w:rPr>
        <w:softHyphen/>
        <w:t>молета ожидалась к 1 ноября 1942 г.</w:t>
      </w:r>
    </w:p>
    <w:p w14:paraId="2132488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требовалось выде</w:t>
      </w:r>
      <w:r w:rsidRPr="008127F8">
        <w:rPr>
          <w:rFonts w:ascii="Times New Roman" w:hAnsi="Times New Roman"/>
          <w:color w:val="000000" w:themeColor="text1"/>
          <w:sz w:val="16"/>
          <w:szCs w:val="16"/>
        </w:rPr>
        <w:softHyphen/>
        <w:t>лить два серийных завода («один - типа завода сельскохозяйственных машин - для постройки самолетов, другой - типа завода №29 - для изготовления авиамо</w:t>
      </w:r>
      <w:r w:rsidRPr="008127F8">
        <w:rPr>
          <w:rFonts w:ascii="Times New Roman" w:hAnsi="Times New Roman"/>
          <w:color w:val="000000" w:themeColor="text1"/>
          <w:sz w:val="16"/>
          <w:szCs w:val="16"/>
        </w:rPr>
        <w:softHyphen/>
        <w:t>торов»), на которых организовать выпуск противотанковых самолетов «немедлен</w:t>
      </w:r>
      <w:r w:rsidRPr="008127F8">
        <w:rPr>
          <w:rFonts w:ascii="Times New Roman" w:hAnsi="Times New Roman"/>
          <w:color w:val="000000" w:themeColor="text1"/>
          <w:sz w:val="16"/>
          <w:szCs w:val="16"/>
        </w:rPr>
        <w:softHyphen/>
        <w:t>но после готовности серийной техноло</w:t>
      </w:r>
      <w:r w:rsidRPr="008127F8">
        <w:rPr>
          <w:rFonts w:ascii="Times New Roman" w:hAnsi="Times New Roman"/>
          <w:color w:val="000000" w:themeColor="text1"/>
          <w:sz w:val="16"/>
          <w:szCs w:val="16"/>
        </w:rPr>
        <w:softHyphen/>
        <w:t>гии и оснастки», «независимо от готовно</w:t>
      </w:r>
      <w:r w:rsidRPr="008127F8">
        <w:rPr>
          <w:rFonts w:ascii="Times New Roman" w:hAnsi="Times New Roman"/>
          <w:color w:val="000000" w:themeColor="text1"/>
          <w:sz w:val="16"/>
          <w:szCs w:val="16"/>
        </w:rPr>
        <w:softHyphen/>
        <w:t>сти опытных самолетов и окончания их испытаний».</w:t>
      </w:r>
    </w:p>
    <w:p w14:paraId="2115A12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постройки первых пяти само</w:t>
      </w:r>
      <w:r w:rsidRPr="008127F8">
        <w:rPr>
          <w:rFonts w:ascii="Times New Roman" w:hAnsi="Times New Roman"/>
          <w:color w:val="000000" w:themeColor="text1"/>
          <w:sz w:val="16"/>
          <w:szCs w:val="16"/>
        </w:rPr>
        <w:softHyphen/>
        <w:t>летов, кроме обычных летных испыта</w:t>
      </w:r>
      <w:r w:rsidRPr="008127F8">
        <w:rPr>
          <w:rFonts w:ascii="Times New Roman" w:hAnsi="Times New Roman"/>
          <w:color w:val="000000" w:themeColor="text1"/>
          <w:sz w:val="16"/>
          <w:szCs w:val="16"/>
        </w:rPr>
        <w:softHyphen/>
        <w:t>ний, предлагалось отработать тактику боя с танками, для чего выделить танковую часть и оборудовать недалеко от г. Омск специальный полигон.</w:t>
      </w:r>
    </w:p>
    <w:p w14:paraId="55D38EB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Расходы на постройку пяти опытных машин и проведение летных и тактиче</w:t>
      </w:r>
      <w:r w:rsidRPr="008127F8">
        <w:rPr>
          <w:rFonts w:ascii="Times New Roman" w:hAnsi="Times New Roman"/>
          <w:color w:val="000000" w:themeColor="text1"/>
          <w:sz w:val="16"/>
          <w:szCs w:val="16"/>
        </w:rPr>
        <w:softHyphen/>
        <w:t>ских испытаний по оценкам составляли около 3 200 000 руб, а на подготовку се</w:t>
      </w:r>
      <w:r w:rsidRPr="008127F8">
        <w:rPr>
          <w:rFonts w:ascii="Times New Roman" w:hAnsi="Times New Roman"/>
          <w:color w:val="000000" w:themeColor="text1"/>
          <w:sz w:val="16"/>
          <w:szCs w:val="16"/>
        </w:rPr>
        <w:softHyphen/>
        <w:t>рийного производства, включая перво</w:t>
      </w:r>
      <w:r w:rsidRPr="008127F8">
        <w:rPr>
          <w:rFonts w:ascii="Times New Roman" w:hAnsi="Times New Roman"/>
          <w:color w:val="000000" w:themeColor="text1"/>
          <w:sz w:val="16"/>
          <w:szCs w:val="16"/>
        </w:rPr>
        <w:softHyphen/>
        <w:t>начальный серийный задел, - примерно 6 500 000 руб. (23181)</w:t>
      </w:r>
    </w:p>
    <w:p w14:paraId="3017A607"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lang w:eastAsia="ru-RU" w:bidi="ru-RU"/>
        </w:rPr>
      </w:pPr>
    </w:p>
    <w:p w14:paraId="16492B52"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Летом 1942 г. противотанковым самолетом за</w:t>
      </w:r>
      <w:r w:rsidRPr="008127F8">
        <w:rPr>
          <w:color w:val="000000" w:themeColor="text1"/>
          <w:sz w:val="16"/>
          <w:szCs w:val="16"/>
        </w:rPr>
        <w:softHyphen/>
        <w:t>нялись и в ЦКБ-29 наркомата внутренних дел СССР. Строго в духе проходившей реорганизации ВВС и мероприятий по повышению эффективности бо</w:t>
      </w:r>
      <w:r w:rsidRPr="008127F8">
        <w:rPr>
          <w:color w:val="000000" w:themeColor="text1"/>
          <w:sz w:val="16"/>
          <w:szCs w:val="16"/>
        </w:rPr>
        <w:softHyphen/>
        <w:t>евых сил авиации руководитель конструкторской бригады ЦКБ-29 Д. Л. Томашевич в инициативном порядке разработал проект бронированного про</w:t>
      </w:r>
      <w:r w:rsidRPr="008127F8">
        <w:rPr>
          <w:color w:val="000000" w:themeColor="text1"/>
          <w:sz w:val="16"/>
          <w:szCs w:val="16"/>
        </w:rPr>
        <w:softHyphen/>
        <w:t>тивотанкового самолета массовой постройки для вооружения им специальной противотанковой воздушной армии. Предлагалось к 1 августа 1943 г. построить 15 000 (!) машин этого типа и для дости</w:t>
      </w:r>
      <w:r w:rsidRPr="008127F8">
        <w:rPr>
          <w:color w:val="000000" w:themeColor="text1"/>
          <w:sz w:val="16"/>
          <w:szCs w:val="16"/>
        </w:rPr>
        <w:softHyphen/>
        <w:t>жения максимального эффекта внезапно массиро</w:t>
      </w:r>
      <w:r w:rsidRPr="008127F8">
        <w:rPr>
          <w:color w:val="000000" w:themeColor="text1"/>
          <w:sz w:val="16"/>
          <w:szCs w:val="16"/>
        </w:rPr>
        <w:softHyphen/>
        <w:t>ванно бросить их в бой против немецких танков. Томашевич и вместе с ним руководство ЦКБ-29 считали, что «в случае удовлетворительных такти</w:t>
      </w:r>
      <w:r w:rsidRPr="008127F8">
        <w:rPr>
          <w:color w:val="000000" w:themeColor="text1"/>
          <w:sz w:val="16"/>
          <w:szCs w:val="16"/>
        </w:rPr>
        <w:softHyphen/>
        <w:t>ческих свойств самолета страна получит в 1943 г. средство, которое решит исход кампании на нашем театре военных действий и, следовательно, исход всей войны. В свете такой перспективы /.../ работы должны быть немедленно развернуты во всю ши</w:t>
      </w:r>
      <w:r w:rsidRPr="008127F8">
        <w:rPr>
          <w:color w:val="000000" w:themeColor="text1"/>
          <w:sz w:val="16"/>
          <w:szCs w:val="16"/>
        </w:rPr>
        <w:softHyphen/>
        <w:t>рину».</w:t>
      </w:r>
    </w:p>
    <w:p w14:paraId="100F94ED"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 замыслу Томашевича самолет для противо</w:t>
      </w:r>
      <w:r w:rsidRPr="008127F8">
        <w:rPr>
          <w:color w:val="000000" w:themeColor="text1"/>
          <w:sz w:val="16"/>
          <w:szCs w:val="16"/>
        </w:rPr>
        <w:softHyphen/>
        <w:t>танковой воздушной армии должен быть одно</w:t>
      </w:r>
      <w:r w:rsidRPr="008127F8">
        <w:rPr>
          <w:color w:val="000000" w:themeColor="text1"/>
          <w:sz w:val="16"/>
          <w:szCs w:val="16"/>
        </w:rPr>
        <w:softHyphen/>
        <w:t>местным, простым и недорогим в изготовлении и эксплуатации, не требовать для освоения высо</w:t>
      </w:r>
      <w:r w:rsidRPr="008127F8">
        <w:rPr>
          <w:color w:val="000000" w:themeColor="text1"/>
          <w:sz w:val="16"/>
          <w:szCs w:val="16"/>
        </w:rPr>
        <w:softHyphen/>
        <w:t>кой квалификации летного состава, но при этом, что важно, оснащаться мощным пушечным и бом</w:t>
      </w:r>
      <w:r w:rsidRPr="008127F8">
        <w:rPr>
          <w:color w:val="000000" w:themeColor="text1"/>
          <w:sz w:val="16"/>
          <w:szCs w:val="16"/>
        </w:rPr>
        <w:softHyphen/>
        <w:t>бовым вооружением и обеспечивать защиту летчи</w:t>
      </w:r>
      <w:r w:rsidRPr="008127F8">
        <w:rPr>
          <w:color w:val="000000" w:themeColor="text1"/>
          <w:sz w:val="16"/>
          <w:szCs w:val="16"/>
        </w:rPr>
        <w:softHyphen/>
        <w:t>ка в бою от крупнокалиберных пуль и 20-мм сна</w:t>
      </w:r>
      <w:r w:rsidRPr="008127F8">
        <w:rPr>
          <w:color w:val="000000" w:themeColor="text1"/>
          <w:sz w:val="16"/>
          <w:szCs w:val="16"/>
        </w:rPr>
        <w:softHyphen/>
        <w:t>рядов.</w:t>
      </w:r>
    </w:p>
    <w:p w14:paraId="40D0FB0D"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Противотанковый самолет предназначался ис</w:t>
      </w:r>
      <w:r w:rsidRPr="008127F8">
        <w:rPr>
          <w:color w:val="000000" w:themeColor="text1"/>
          <w:sz w:val="16"/>
          <w:szCs w:val="16"/>
        </w:rPr>
        <w:softHyphen/>
        <w:t>ключительно для решения только одной задачи — «уничтожения танков и мобильных войск».</w:t>
      </w:r>
    </w:p>
    <w:p w14:paraId="2C3BE8FB"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Соответственно этому из конструкции самолета исключалось все, что напрямую не использовалось при решении задачи уничтожения танков. Оставал</w:t>
      </w:r>
      <w:r w:rsidRPr="008127F8">
        <w:rPr>
          <w:color w:val="000000" w:themeColor="text1"/>
          <w:sz w:val="16"/>
          <w:szCs w:val="16"/>
        </w:rPr>
        <w:softHyphen/>
        <w:t>ся только самый минимум, «который необходим для уничтожения танков».</w:t>
      </w:r>
    </w:p>
    <w:p w14:paraId="1165B50F"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Считалось, что новой ударной машине совер</w:t>
      </w:r>
      <w:r w:rsidRPr="008127F8">
        <w:rPr>
          <w:color w:val="000000" w:themeColor="text1"/>
          <w:sz w:val="16"/>
          <w:szCs w:val="16"/>
        </w:rPr>
        <w:softHyphen/>
        <w:t>шенно не требовались большая горизонтальная скорость и диапазон скоростей полета, а также высотность. Даже наоборот, небольшая минималь</w:t>
      </w:r>
      <w:r w:rsidRPr="008127F8">
        <w:rPr>
          <w:color w:val="000000" w:themeColor="text1"/>
          <w:sz w:val="16"/>
          <w:szCs w:val="16"/>
        </w:rPr>
        <w:softHyphen/>
        <w:t>ная скорость полета противотанкового самолета (по расчетам — 102 км/ч у земли) должна была обеспечить лучшие условия для прицеливания и стрельбы по танкам в сравнении с современ</w:t>
      </w:r>
      <w:r w:rsidRPr="008127F8">
        <w:rPr>
          <w:color w:val="000000" w:themeColor="text1"/>
          <w:sz w:val="16"/>
          <w:szCs w:val="16"/>
        </w:rPr>
        <w:softHyphen/>
        <w:t>ными скоростными штурмовиками Ил-2. Действи</w:t>
      </w:r>
      <w:r w:rsidRPr="008127F8">
        <w:rPr>
          <w:color w:val="000000" w:themeColor="text1"/>
          <w:sz w:val="16"/>
          <w:szCs w:val="16"/>
        </w:rPr>
        <w:softHyphen/>
        <w:t>тельно, в этом случае стрельбу по танкам против</w:t>
      </w:r>
      <w:r w:rsidRPr="008127F8">
        <w:rPr>
          <w:color w:val="000000" w:themeColor="text1"/>
          <w:sz w:val="16"/>
          <w:szCs w:val="16"/>
        </w:rPr>
        <w:softHyphen/>
        <w:t>ника можно было вести с предельно малых высот и почти под прямым углом к поверхности борто</w:t>
      </w:r>
      <w:r w:rsidRPr="008127F8">
        <w:rPr>
          <w:color w:val="000000" w:themeColor="text1"/>
          <w:sz w:val="16"/>
          <w:szCs w:val="16"/>
        </w:rPr>
        <w:softHyphen/>
        <w:t>вой брони, а дистанция прекращения стрельбы была значительно меньше, чем у Ил-2, что созда</w:t>
      </w:r>
      <w:r w:rsidRPr="008127F8">
        <w:rPr>
          <w:color w:val="000000" w:themeColor="text1"/>
          <w:sz w:val="16"/>
          <w:szCs w:val="16"/>
        </w:rPr>
        <w:softHyphen/>
        <w:t>вало наилучшие условия для пробития танковой брони штатными боеприпасами к авиационным пушкам.</w:t>
      </w:r>
    </w:p>
    <w:p w14:paraId="05DFCC0E"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С учетом особенностей боевого применения от машины требовались высокие маневренные каче</w:t>
      </w:r>
      <w:r w:rsidRPr="008127F8">
        <w:rPr>
          <w:color w:val="000000" w:themeColor="text1"/>
          <w:sz w:val="16"/>
          <w:szCs w:val="16"/>
        </w:rPr>
        <w:softHyphen/>
        <w:t>ства и взлетно-посадочные свойства. По технике пилотирования самолет должен был допускать ос</w:t>
      </w:r>
      <w:r w:rsidRPr="008127F8">
        <w:rPr>
          <w:color w:val="000000" w:themeColor="text1"/>
          <w:sz w:val="16"/>
          <w:szCs w:val="16"/>
        </w:rPr>
        <w:softHyphen/>
        <w:t>воение летчиками с подготовкой ниже среднего.</w:t>
      </w:r>
    </w:p>
    <w:p w14:paraId="75A3F320"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 проекту конструкция самолета полностью деревянная с бронекабиной в носовой части фю</w:t>
      </w:r>
      <w:r w:rsidRPr="008127F8">
        <w:rPr>
          <w:color w:val="000000" w:themeColor="text1"/>
          <w:sz w:val="16"/>
          <w:szCs w:val="16"/>
        </w:rPr>
        <w:softHyphen/>
        <w:t>зеляжа. Схема — низкоплан. Контуры самолета об</w:t>
      </w:r>
      <w:r w:rsidRPr="008127F8">
        <w:rPr>
          <w:color w:val="000000" w:themeColor="text1"/>
          <w:sz w:val="16"/>
          <w:szCs w:val="16"/>
        </w:rPr>
        <w:softHyphen/>
        <w:t>разованы прямыми линиями, конструкция предель</w:t>
      </w:r>
      <w:r w:rsidRPr="008127F8">
        <w:rPr>
          <w:color w:val="000000" w:themeColor="text1"/>
          <w:sz w:val="16"/>
          <w:szCs w:val="16"/>
        </w:rPr>
        <w:softHyphen/>
        <w:t>но проста и технологична, сборка без стапелей, из выкроек. Использовались поделочная сосна, строительная фанера, кровельное железо (бензо- и маслобаки), мягкая сталь разных толщин (узлы бронеспинки), низкосортный дюралюминий (толь</w:t>
      </w:r>
      <w:r w:rsidRPr="008127F8">
        <w:rPr>
          <w:color w:val="000000" w:themeColor="text1"/>
          <w:sz w:val="16"/>
          <w:szCs w:val="16"/>
        </w:rPr>
        <w:softHyphen/>
        <w:t>ко капоты). Все стыки — фланцевые наружные. Отсутствовали сложные детали с механической об</w:t>
      </w:r>
      <w:r w:rsidRPr="008127F8">
        <w:rPr>
          <w:color w:val="000000" w:themeColor="text1"/>
          <w:sz w:val="16"/>
          <w:szCs w:val="16"/>
        </w:rPr>
        <w:softHyphen/>
        <w:t>работкой, гидравлическая и воздушная системы, электро- и радиооборудование.</w:t>
      </w:r>
    </w:p>
    <w:p w14:paraId="2DB2FBC0"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Простота и дешевизна конструкции были пре</w:t>
      </w:r>
      <w:r w:rsidRPr="008127F8">
        <w:rPr>
          <w:color w:val="000000" w:themeColor="text1"/>
          <w:sz w:val="16"/>
          <w:szCs w:val="16"/>
        </w:rPr>
        <w:softHyphen/>
        <w:t>дельные. Это позволяло быстро разворачивать производство практически на любом заводе или мастерской с минимально необходимым составом станочного оборудования и неопытными рабо</w:t>
      </w:r>
      <w:r w:rsidRPr="008127F8">
        <w:rPr>
          <w:color w:val="000000" w:themeColor="text1"/>
          <w:sz w:val="16"/>
          <w:szCs w:val="16"/>
        </w:rPr>
        <w:softHyphen/>
        <w:t>чими.</w:t>
      </w:r>
    </w:p>
    <w:p w14:paraId="4670C898"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Фюзеляж четырехгранного сечения с плоскими стенками, заготовляемыми заранее вместе с лон</w:t>
      </w:r>
      <w:r w:rsidRPr="008127F8">
        <w:rPr>
          <w:color w:val="000000" w:themeColor="text1"/>
          <w:sz w:val="16"/>
          <w:szCs w:val="16"/>
        </w:rPr>
        <w:softHyphen/>
        <w:t>жеронами и планками шпангоутов. Крыло и опере</w:t>
      </w:r>
      <w:r w:rsidRPr="008127F8">
        <w:rPr>
          <w:color w:val="000000" w:themeColor="text1"/>
          <w:sz w:val="16"/>
          <w:szCs w:val="16"/>
        </w:rPr>
        <w:softHyphen/>
        <w:t>ние полностью деревянные, с фанерной обшивкой. Шасси — одностоечное, неубираемое, с резиновой пластинчатой амортизацией. Деревянными пред</w:t>
      </w:r>
      <w:r w:rsidRPr="008127F8">
        <w:rPr>
          <w:color w:val="000000" w:themeColor="text1"/>
          <w:sz w:val="16"/>
          <w:szCs w:val="16"/>
        </w:rPr>
        <w:softHyphen/>
        <w:t>полагались моторамы и колеса шасси. Электро</w:t>
      </w:r>
      <w:r w:rsidRPr="008127F8">
        <w:rPr>
          <w:color w:val="000000" w:themeColor="text1"/>
          <w:sz w:val="16"/>
          <w:szCs w:val="16"/>
        </w:rPr>
        <w:softHyphen/>
        <w:t>проводка предполагалась самая простейшая. При</w:t>
      </w:r>
      <w:r w:rsidRPr="008127F8">
        <w:rPr>
          <w:color w:val="000000" w:themeColor="text1"/>
          <w:sz w:val="16"/>
          <w:szCs w:val="16"/>
        </w:rPr>
        <w:softHyphen/>
        <w:t>борное оборудование использовалось от само</w:t>
      </w:r>
      <w:r w:rsidRPr="008127F8">
        <w:rPr>
          <w:color w:val="000000" w:themeColor="text1"/>
          <w:sz w:val="16"/>
          <w:szCs w:val="16"/>
        </w:rPr>
        <w:softHyphen/>
        <w:t>лета У-2.</w:t>
      </w:r>
    </w:p>
    <w:p w14:paraId="6FCC52DF"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Летчик помещался в бронекабине простейших форм с толщиной брони от 6 до 13 мм (спереди — 13 мм, сзади — 10—13 мм, борта и пол — 6 мм), бронекозырек — 64 мм. Сразу же за кабиной в фю</w:t>
      </w:r>
      <w:r w:rsidRPr="008127F8">
        <w:rPr>
          <w:color w:val="000000" w:themeColor="text1"/>
          <w:sz w:val="16"/>
          <w:szCs w:val="16"/>
        </w:rPr>
        <w:softHyphen/>
        <w:t>зеляже располагался небольшой отсек, который предполагалось использовать для размещения в нем патронных ящиков сменного состава пушеч</w:t>
      </w:r>
      <w:r w:rsidRPr="008127F8">
        <w:rPr>
          <w:color w:val="000000" w:themeColor="text1"/>
          <w:sz w:val="16"/>
          <w:szCs w:val="16"/>
        </w:rPr>
        <w:softHyphen/>
        <w:t>ного вооружения. Для этого центроплан имел вы</w:t>
      </w:r>
      <w:r w:rsidRPr="008127F8">
        <w:rPr>
          <w:color w:val="000000" w:themeColor="text1"/>
          <w:sz w:val="16"/>
          <w:szCs w:val="16"/>
        </w:rPr>
        <w:softHyphen/>
        <w:t>рез посередине. Без подвесок вооружения в отсеке можно было разместить 2 человек или 400 кг груза.</w:t>
      </w:r>
    </w:p>
    <w:p w14:paraId="0C94252F"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Это позволяло привлекать самолет для решения ряда транспортных и диверсионных задач.</w:t>
      </w:r>
    </w:p>
    <w:p w14:paraId="2A632C68"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На самолет устанавливались 2 мотора М-11ф (140 л.с.), что обе</w:t>
      </w:r>
      <w:r w:rsidRPr="008127F8">
        <w:rPr>
          <w:color w:val="000000" w:themeColor="text1"/>
          <w:sz w:val="16"/>
          <w:szCs w:val="16"/>
        </w:rPr>
        <w:softHyphen/>
        <w:t>спечивало потребную грузоподъ</w:t>
      </w:r>
      <w:r w:rsidRPr="008127F8">
        <w:rPr>
          <w:color w:val="000000" w:themeColor="text1"/>
          <w:sz w:val="16"/>
          <w:szCs w:val="16"/>
        </w:rPr>
        <w:softHyphen/>
        <w:t>емность, установку стрелково-пу- шечного вооружения вблизи оси самолета и хороший обзор летчику вперед и вниз. Сами моторы М-11ф были хорошо освоены промышлен</w:t>
      </w:r>
      <w:r w:rsidRPr="008127F8">
        <w:rPr>
          <w:color w:val="000000" w:themeColor="text1"/>
          <w:sz w:val="16"/>
          <w:szCs w:val="16"/>
        </w:rPr>
        <w:softHyphen/>
        <w:t>ностью и летно-техническим соста</w:t>
      </w:r>
      <w:r w:rsidRPr="008127F8">
        <w:rPr>
          <w:color w:val="000000" w:themeColor="text1"/>
          <w:sz w:val="16"/>
          <w:szCs w:val="16"/>
        </w:rPr>
        <w:softHyphen/>
        <w:t>вом, имели высокую надежность и невысокую стоимость в произ</w:t>
      </w:r>
      <w:r w:rsidRPr="008127F8">
        <w:rPr>
          <w:color w:val="000000" w:themeColor="text1"/>
          <w:sz w:val="16"/>
          <w:szCs w:val="16"/>
        </w:rPr>
        <w:softHyphen/>
        <w:t>водстве и эксплуатации. По подсче</w:t>
      </w:r>
      <w:r w:rsidRPr="008127F8">
        <w:rPr>
          <w:color w:val="000000" w:themeColor="text1"/>
          <w:sz w:val="16"/>
          <w:szCs w:val="16"/>
        </w:rPr>
        <w:softHyphen/>
        <w:t>там, 5 противотанковых самолетов конструкции Томашевича расходо</w:t>
      </w:r>
      <w:r w:rsidRPr="008127F8">
        <w:rPr>
          <w:color w:val="000000" w:themeColor="text1"/>
          <w:sz w:val="16"/>
          <w:szCs w:val="16"/>
        </w:rPr>
        <w:softHyphen/>
        <w:t>вали при выполнении одного бое</w:t>
      </w:r>
      <w:r w:rsidRPr="008127F8">
        <w:rPr>
          <w:color w:val="000000" w:themeColor="text1"/>
          <w:sz w:val="16"/>
          <w:szCs w:val="16"/>
        </w:rPr>
        <w:softHyphen/>
        <w:t>вого вылета столько же горючего, сколько требовалось для обеспече</w:t>
      </w:r>
      <w:r w:rsidRPr="008127F8">
        <w:rPr>
          <w:color w:val="000000" w:themeColor="text1"/>
          <w:sz w:val="16"/>
          <w:szCs w:val="16"/>
        </w:rPr>
        <w:softHyphen/>
        <w:t>ния боевого вылета одного штур</w:t>
      </w:r>
      <w:r w:rsidRPr="008127F8">
        <w:rPr>
          <w:color w:val="000000" w:themeColor="text1"/>
          <w:sz w:val="16"/>
          <w:szCs w:val="16"/>
        </w:rPr>
        <w:softHyphen/>
        <w:t>мовика Ил-2.</w:t>
      </w:r>
    </w:p>
    <w:p w14:paraId="39AB4B54"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Для повышения боевой живуче</w:t>
      </w:r>
      <w:r w:rsidRPr="008127F8">
        <w:rPr>
          <w:color w:val="000000" w:themeColor="text1"/>
          <w:sz w:val="16"/>
          <w:szCs w:val="16"/>
        </w:rPr>
        <w:softHyphen/>
        <w:t>сти каждый мотор питался от свое</w:t>
      </w:r>
      <w:r w:rsidRPr="008127F8">
        <w:rPr>
          <w:color w:val="000000" w:themeColor="text1"/>
          <w:sz w:val="16"/>
          <w:szCs w:val="16"/>
        </w:rPr>
        <w:softHyphen/>
        <w:t>го бензобака, который располагал</w:t>
      </w:r>
      <w:r w:rsidRPr="008127F8">
        <w:rPr>
          <w:color w:val="000000" w:themeColor="text1"/>
          <w:sz w:val="16"/>
          <w:szCs w:val="16"/>
        </w:rPr>
        <w:softHyphen/>
        <w:t>ся за мотором и являлся обтекателем мотогондолы. При возгорании в полете бензобак сбрасывался. В момент сбрасывания мотор переходил на пита</w:t>
      </w:r>
      <w:r w:rsidRPr="008127F8">
        <w:rPr>
          <w:color w:val="000000" w:themeColor="text1"/>
          <w:sz w:val="16"/>
          <w:szCs w:val="16"/>
        </w:rPr>
        <w:softHyphen/>
        <w:t>ние от специального бронированного бачка (рас</w:t>
      </w:r>
      <w:r w:rsidRPr="008127F8">
        <w:rPr>
          <w:color w:val="000000" w:themeColor="text1"/>
          <w:sz w:val="16"/>
          <w:szCs w:val="16"/>
        </w:rPr>
        <w:softHyphen/>
        <w:t>считанного на 30 мин полета).</w:t>
      </w:r>
    </w:p>
    <w:p w14:paraId="7B759C2B"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Отметим, что желание реализовать идею сбра</w:t>
      </w:r>
      <w:r w:rsidRPr="008127F8">
        <w:rPr>
          <w:color w:val="000000" w:themeColor="text1"/>
          <w:sz w:val="16"/>
          <w:szCs w:val="16"/>
        </w:rPr>
        <w:softHyphen/>
        <w:t>сываемого бензобака предопределило располо</w:t>
      </w:r>
      <w:r w:rsidRPr="008127F8">
        <w:rPr>
          <w:color w:val="000000" w:themeColor="text1"/>
          <w:sz w:val="16"/>
          <w:szCs w:val="16"/>
        </w:rPr>
        <w:softHyphen/>
        <w:t>жение мотора и баков под крылом. Как показали дальнейшие события, это решение создавало ряд трудностей при эксплуатации самолета.</w:t>
      </w:r>
    </w:p>
    <w:p w14:paraId="69F528D6"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 xml:space="preserve">Для получения высоких взлетно-посадочных свойств предполагалось использовать профиль крыла </w:t>
      </w:r>
      <w:r w:rsidRPr="008127F8">
        <w:rPr>
          <w:color w:val="000000" w:themeColor="text1"/>
          <w:sz w:val="16"/>
          <w:szCs w:val="16"/>
          <w:lang w:val="en-US"/>
        </w:rPr>
        <w:t>NACA</w:t>
      </w:r>
      <w:r w:rsidRPr="008127F8">
        <w:rPr>
          <w:color w:val="000000" w:themeColor="text1"/>
          <w:sz w:val="16"/>
          <w:szCs w:val="16"/>
        </w:rPr>
        <w:t xml:space="preserve"> 44 с высокими несущими свойствами, а также постоянные предкрылки (напротив элеро</w:t>
      </w:r>
      <w:r w:rsidRPr="008127F8">
        <w:rPr>
          <w:color w:val="000000" w:themeColor="text1"/>
          <w:sz w:val="16"/>
          <w:szCs w:val="16"/>
        </w:rPr>
        <w:softHyphen/>
        <w:t>нов) и профилированные (над моторами) полуколь</w:t>
      </w:r>
      <w:r w:rsidRPr="008127F8">
        <w:rPr>
          <w:color w:val="000000" w:themeColor="text1"/>
          <w:sz w:val="16"/>
          <w:szCs w:val="16"/>
        </w:rPr>
        <w:softHyphen/>
        <w:t>цевые капоты. По расчетам, все это, вместе взятое, должно обеспечивать устойчивый полет без свали</w:t>
      </w:r>
      <w:r w:rsidRPr="008127F8">
        <w:rPr>
          <w:color w:val="000000" w:themeColor="text1"/>
          <w:sz w:val="16"/>
          <w:szCs w:val="16"/>
        </w:rPr>
        <w:softHyphen/>
        <w:t>вания до угла атаки 20°.</w:t>
      </w:r>
    </w:p>
    <w:p w14:paraId="7D2C8676"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Вооружение самолета состояло из крупнокали</w:t>
      </w:r>
      <w:r w:rsidRPr="008127F8">
        <w:rPr>
          <w:color w:val="000000" w:themeColor="text1"/>
          <w:sz w:val="16"/>
          <w:szCs w:val="16"/>
        </w:rPr>
        <w:softHyphen/>
        <w:t>берного пулемета УБК (150 патронов) в носовом обтекателе фюзеляжа и 5 сменных составов бомбо</w:t>
      </w:r>
      <w:r w:rsidRPr="008127F8">
        <w:rPr>
          <w:color w:val="000000" w:themeColor="text1"/>
          <w:sz w:val="16"/>
          <w:szCs w:val="16"/>
        </w:rPr>
        <w:softHyphen/>
        <w:t>вого, ракетного и пушечного оружия: 250 кг бомб, 4 РО-132, 1 37-мм пушка (50 снарядов), 2 пушки ВЯ калибра 23 мм (160 снарядов) и 4 «противо</w:t>
      </w:r>
      <w:r w:rsidRPr="008127F8">
        <w:rPr>
          <w:color w:val="000000" w:themeColor="text1"/>
          <w:sz w:val="16"/>
          <w:szCs w:val="16"/>
        </w:rPr>
        <w:softHyphen/>
        <w:t>танковых автоматических ружья» калибра 14,5 мм (600 снарядов). Все сменные варианты размеща</w:t>
      </w:r>
      <w:r w:rsidRPr="008127F8">
        <w:rPr>
          <w:color w:val="000000" w:themeColor="text1"/>
          <w:sz w:val="16"/>
          <w:szCs w:val="16"/>
        </w:rPr>
        <w:softHyphen/>
        <w:t>лись на специальных «мостах» (или лафетах) воору</w:t>
      </w:r>
      <w:r w:rsidRPr="008127F8">
        <w:rPr>
          <w:color w:val="000000" w:themeColor="text1"/>
          <w:sz w:val="16"/>
          <w:szCs w:val="16"/>
        </w:rPr>
        <w:softHyphen/>
        <w:t>жения, которые подвешивались под фюзеляжем в районе центроплана.</w:t>
      </w:r>
    </w:p>
    <w:p w14:paraId="302F4C36"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В отношении последнего варианта следует дать пояснения. Здесь имелись в виду автоматические пушки калибра 14,5 мм конструкции Салищева— Галкина и Волкова—Ярцева, которые в сентябре 1942 г. проходили испытания на НИП АВ ВВС.</w:t>
      </w:r>
    </w:p>
    <w:p w14:paraId="218B8A76"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Отметим, что все указанные варианты воору</w:t>
      </w:r>
      <w:r w:rsidRPr="008127F8">
        <w:rPr>
          <w:color w:val="000000" w:themeColor="text1"/>
          <w:sz w:val="16"/>
          <w:szCs w:val="16"/>
        </w:rPr>
        <w:softHyphen/>
        <w:t>жения, за исключением третьего и отчасти пятого, нельзя назвать противотанковыми. Особенно это касается условий боев начала 1943 г., когда легкие танки вермахта повсеместно были вытеснены бо</w:t>
      </w:r>
      <w:r w:rsidRPr="008127F8">
        <w:rPr>
          <w:color w:val="000000" w:themeColor="text1"/>
          <w:sz w:val="16"/>
          <w:szCs w:val="16"/>
        </w:rPr>
        <w:softHyphen/>
        <w:t xml:space="preserve">лее мощными средними танками типа </w:t>
      </w:r>
      <w:r w:rsidRPr="008127F8">
        <w:rPr>
          <w:color w:val="000000" w:themeColor="text1"/>
          <w:sz w:val="16"/>
          <w:szCs w:val="16"/>
          <w:lang w:val="en-US"/>
        </w:rPr>
        <w:t>Pz</w:t>
      </w:r>
      <w:r w:rsidRPr="008127F8">
        <w:rPr>
          <w:color w:val="000000" w:themeColor="text1"/>
          <w:sz w:val="16"/>
          <w:szCs w:val="16"/>
        </w:rPr>
        <w:t>.</w:t>
      </w:r>
      <w:r w:rsidRPr="008127F8">
        <w:rPr>
          <w:color w:val="000000" w:themeColor="text1"/>
          <w:sz w:val="16"/>
          <w:szCs w:val="16"/>
          <w:lang w:val="en-US"/>
        </w:rPr>
        <w:t>IV</w:t>
      </w:r>
      <w:r w:rsidRPr="008127F8">
        <w:rPr>
          <w:color w:val="000000" w:themeColor="text1"/>
          <w:sz w:val="16"/>
          <w:szCs w:val="16"/>
        </w:rPr>
        <w:t xml:space="preserve"> и </w:t>
      </w:r>
      <w:r w:rsidRPr="008127F8">
        <w:rPr>
          <w:color w:val="000000" w:themeColor="text1"/>
          <w:sz w:val="16"/>
          <w:szCs w:val="16"/>
          <w:lang w:val="en-US"/>
        </w:rPr>
        <w:t>Pz</w:t>
      </w:r>
      <w:r w:rsidRPr="008127F8">
        <w:rPr>
          <w:color w:val="000000" w:themeColor="text1"/>
          <w:sz w:val="16"/>
          <w:szCs w:val="16"/>
        </w:rPr>
        <w:t>.</w:t>
      </w:r>
      <w:r w:rsidRPr="008127F8">
        <w:rPr>
          <w:color w:val="000000" w:themeColor="text1"/>
          <w:sz w:val="16"/>
          <w:szCs w:val="16"/>
          <w:lang w:val="en-US"/>
        </w:rPr>
        <w:t>III</w:t>
      </w:r>
      <w:r w:rsidRPr="008127F8">
        <w:rPr>
          <w:color w:val="000000" w:themeColor="text1"/>
          <w:sz w:val="16"/>
          <w:szCs w:val="16"/>
        </w:rPr>
        <w:t xml:space="preserve">, а также новыми толстобронными </w:t>
      </w:r>
      <w:r w:rsidRPr="008127F8">
        <w:rPr>
          <w:color w:val="000000" w:themeColor="text1"/>
          <w:sz w:val="16"/>
          <w:szCs w:val="16"/>
          <w:lang w:val="en-US"/>
        </w:rPr>
        <w:t>Pz</w:t>
      </w:r>
      <w:r w:rsidRPr="008127F8">
        <w:rPr>
          <w:color w:val="000000" w:themeColor="text1"/>
          <w:sz w:val="16"/>
          <w:szCs w:val="16"/>
        </w:rPr>
        <w:t>.</w:t>
      </w:r>
      <w:r w:rsidRPr="008127F8">
        <w:rPr>
          <w:color w:val="000000" w:themeColor="text1"/>
          <w:sz w:val="16"/>
          <w:szCs w:val="16"/>
          <w:lang w:val="en-US"/>
        </w:rPr>
        <w:t>VI</w:t>
      </w:r>
      <w:r w:rsidRPr="008127F8">
        <w:rPr>
          <w:color w:val="000000" w:themeColor="text1"/>
          <w:sz w:val="16"/>
          <w:szCs w:val="16"/>
        </w:rPr>
        <w:t xml:space="preserve"> «Тигр», </w:t>
      </w:r>
      <w:r w:rsidRPr="008127F8">
        <w:rPr>
          <w:color w:val="000000" w:themeColor="text1"/>
          <w:sz w:val="16"/>
          <w:szCs w:val="16"/>
          <w:lang w:val="en-US"/>
        </w:rPr>
        <w:t>Pz</w:t>
      </w:r>
      <w:r w:rsidRPr="008127F8">
        <w:rPr>
          <w:color w:val="000000" w:themeColor="text1"/>
          <w:sz w:val="16"/>
          <w:szCs w:val="16"/>
        </w:rPr>
        <w:t>.</w:t>
      </w:r>
      <w:r w:rsidRPr="008127F8">
        <w:rPr>
          <w:color w:val="000000" w:themeColor="text1"/>
          <w:sz w:val="16"/>
          <w:szCs w:val="16"/>
          <w:lang w:val="en-US"/>
        </w:rPr>
        <w:t>V</w:t>
      </w:r>
      <w:r w:rsidRPr="008127F8">
        <w:rPr>
          <w:color w:val="000000" w:themeColor="text1"/>
          <w:sz w:val="16"/>
          <w:szCs w:val="16"/>
        </w:rPr>
        <w:t xml:space="preserve"> «Пантера» и </w:t>
      </w:r>
      <w:r w:rsidRPr="008127F8">
        <w:rPr>
          <w:color w:val="000000" w:themeColor="text1"/>
          <w:sz w:val="16"/>
          <w:szCs w:val="16"/>
          <w:lang w:val="en-US"/>
        </w:rPr>
        <w:t>Jgd</w:t>
      </w:r>
      <w:r w:rsidRPr="008127F8">
        <w:rPr>
          <w:color w:val="000000" w:themeColor="text1"/>
          <w:sz w:val="16"/>
          <w:szCs w:val="16"/>
        </w:rPr>
        <w:t xml:space="preserve"> </w:t>
      </w:r>
      <w:r w:rsidRPr="008127F8">
        <w:rPr>
          <w:color w:val="000000" w:themeColor="text1"/>
          <w:sz w:val="16"/>
          <w:szCs w:val="16"/>
          <w:lang w:val="en-US"/>
        </w:rPr>
        <w:t>Pz</w:t>
      </w:r>
      <w:r w:rsidRPr="008127F8">
        <w:rPr>
          <w:color w:val="000000" w:themeColor="text1"/>
          <w:sz w:val="16"/>
          <w:szCs w:val="16"/>
        </w:rPr>
        <w:t xml:space="preserve"> </w:t>
      </w:r>
      <w:r w:rsidRPr="008127F8">
        <w:rPr>
          <w:color w:val="000000" w:themeColor="text1"/>
          <w:sz w:val="16"/>
          <w:szCs w:val="16"/>
          <w:lang w:val="en-US"/>
        </w:rPr>
        <w:t>Tiger</w:t>
      </w:r>
      <w:r w:rsidRPr="008127F8">
        <w:rPr>
          <w:color w:val="000000" w:themeColor="text1"/>
          <w:sz w:val="16"/>
          <w:szCs w:val="16"/>
        </w:rPr>
        <w:t xml:space="preserve"> (</w:t>
      </w:r>
      <w:r w:rsidRPr="008127F8">
        <w:rPr>
          <w:color w:val="000000" w:themeColor="text1"/>
          <w:sz w:val="16"/>
          <w:szCs w:val="16"/>
          <w:lang w:val="en-US"/>
        </w:rPr>
        <w:t>P</w:t>
      </w:r>
      <w:r w:rsidRPr="008127F8">
        <w:rPr>
          <w:color w:val="000000" w:themeColor="text1"/>
          <w:sz w:val="16"/>
          <w:szCs w:val="16"/>
        </w:rPr>
        <w:t>) «Фердинанд». Един</w:t>
      </w:r>
      <w:r w:rsidRPr="008127F8">
        <w:rPr>
          <w:color w:val="000000" w:themeColor="text1"/>
          <w:sz w:val="16"/>
          <w:szCs w:val="16"/>
        </w:rPr>
        <w:softHyphen/>
        <w:t xml:space="preserve">ственными бронецелями вермахта, с которыми штурмовик Д. Л. Томашевича еще мог как-то </w:t>
      </w:r>
      <w:r w:rsidRPr="008127F8">
        <w:rPr>
          <w:color w:val="000000" w:themeColor="text1"/>
          <w:sz w:val="16"/>
          <w:szCs w:val="16"/>
        </w:rPr>
        <w:lastRenderedPageBreak/>
        <w:t>бороть</w:t>
      </w:r>
      <w:r w:rsidRPr="008127F8">
        <w:rPr>
          <w:color w:val="000000" w:themeColor="text1"/>
          <w:sz w:val="16"/>
          <w:szCs w:val="16"/>
        </w:rPr>
        <w:softHyphen/>
        <w:t>ся, являлись легкобронированные САУ (типа «Ве- спе» и т.д.) и противотанковые СУ (типа «Мардер-</w:t>
      </w:r>
      <w:r w:rsidRPr="008127F8">
        <w:rPr>
          <w:color w:val="000000" w:themeColor="text1"/>
          <w:sz w:val="16"/>
          <w:szCs w:val="16"/>
          <w:lang w:val="en-US"/>
        </w:rPr>
        <w:t>II</w:t>
      </w:r>
      <w:r w:rsidRPr="008127F8">
        <w:rPr>
          <w:color w:val="000000" w:themeColor="text1"/>
          <w:sz w:val="16"/>
          <w:szCs w:val="16"/>
        </w:rPr>
        <w:t>» и «Мардер-</w:t>
      </w:r>
      <w:r w:rsidRPr="008127F8">
        <w:rPr>
          <w:color w:val="000000" w:themeColor="text1"/>
          <w:sz w:val="16"/>
          <w:szCs w:val="16"/>
          <w:lang w:val="en-US"/>
        </w:rPr>
        <w:t>III</w:t>
      </w:r>
      <w:r w:rsidRPr="008127F8">
        <w:rPr>
          <w:color w:val="000000" w:themeColor="text1"/>
          <w:sz w:val="16"/>
          <w:szCs w:val="16"/>
        </w:rPr>
        <w:t>»), созданные на базе легких танков. При этом если учесть соотношение полетного веса самолета и силы отдачи при стрельбе из пушек ка</w:t>
      </w:r>
      <w:r w:rsidRPr="008127F8">
        <w:rPr>
          <w:color w:val="000000" w:themeColor="text1"/>
          <w:sz w:val="16"/>
          <w:szCs w:val="16"/>
        </w:rPr>
        <w:softHyphen/>
        <w:t>либра 23—37 мм, то можно смело утверждать, что единственным приемлемым составом вооружения самолета был пятый вариант. Более того, в рамках принятых весогабаритных параметров штурмови</w:t>
      </w:r>
      <w:r w:rsidRPr="008127F8">
        <w:rPr>
          <w:color w:val="000000" w:themeColor="text1"/>
          <w:sz w:val="16"/>
          <w:szCs w:val="16"/>
        </w:rPr>
        <w:softHyphen/>
        <w:t>ка все попытки создать противотанковый самолет с мощным пушечным вооружением, обеспечиваю</w:t>
      </w:r>
      <w:r w:rsidRPr="008127F8">
        <w:rPr>
          <w:color w:val="000000" w:themeColor="text1"/>
          <w:sz w:val="16"/>
          <w:szCs w:val="16"/>
        </w:rPr>
        <w:softHyphen/>
        <w:t>щим поражение средних и тяжелых танков, были заранее обречены на провал, что и подтвердили последующие испытания машины.</w:t>
      </w:r>
    </w:p>
    <w:p w14:paraId="014B985A"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 расчетам, при нормальном полетном ве</w:t>
      </w:r>
      <w:r w:rsidRPr="008127F8">
        <w:rPr>
          <w:color w:val="000000" w:themeColor="text1"/>
          <w:sz w:val="16"/>
          <w:szCs w:val="16"/>
        </w:rPr>
        <w:softHyphen/>
        <w:t>се 1939 кг максимальная скорость полета само</w:t>
      </w:r>
      <w:r w:rsidRPr="008127F8">
        <w:rPr>
          <w:color w:val="000000" w:themeColor="text1"/>
          <w:sz w:val="16"/>
          <w:szCs w:val="16"/>
        </w:rPr>
        <w:softHyphen/>
        <w:t>лета у земли составляла 207 км/ч, вертикальная скорость — 2,4 м/с, время подъема на высоту 1000 м — 8 мин, посадочная скорость — 90 км/ч, разбег — 320 м, пробег — 280 м, практический по</w:t>
      </w:r>
      <w:r w:rsidRPr="008127F8">
        <w:rPr>
          <w:color w:val="000000" w:themeColor="text1"/>
          <w:sz w:val="16"/>
          <w:szCs w:val="16"/>
        </w:rPr>
        <w:softHyphen/>
        <w:t>толок — 2850 м.</w:t>
      </w:r>
    </w:p>
    <w:p w14:paraId="4C20731C"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Дальность полета у земли на скорости 0,7 мак</w:t>
      </w:r>
      <w:r w:rsidRPr="008127F8">
        <w:rPr>
          <w:color w:val="000000" w:themeColor="text1"/>
          <w:sz w:val="16"/>
          <w:szCs w:val="16"/>
        </w:rPr>
        <w:softHyphen/>
        <w:t>симальной (145 км/ч) при запасе топлива в 135 кг достигала 520 км и при запасе топлива 270 кг — 1000 км.</w:t>
      </w:r>
    </w:p>
    <w:p w14:paraId="13ECDEC7"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При этом в сопроводительных материалах к проекту Д. Л. Томашевич гарантировал, «что само</w:t>
      </w:r>
      <w:r w:rsidRPr="008127F8">
        <w:rPr>
          <w:color w:val="000000" w:themeColor="text1"/>
          <w:sz w:val="16"/>
          <w:szCs w:val="16"/>
        </w:rPr>
        <w:softHyphen/>
        <w:t>лет в реальном полете будет иметь расчетные лет</w:t>
      </w:r>
      <w:r w:rsidRPr="008127F8">
        <w:rPr>
          <w:color w:val="000000" w:themeColor="text1"/>
          <w:sz w:val="16"/>
          <w:szCs w:val="16"/>
        </w:rPr>
        <w:softHyphen/>
        <w:t>ные данные».</w:t>
      </w:r>
    </w:p>
    <w:p w14:paraId="012B42ED"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Для реализации замысла Томашевич и руко</w:t>
      </w:r>
      <w:r w:rsidRPr="008127F8">
        <w:rPr>
          <w:color w:val="000000" w:themeColor="text1"/>
          <w:sz w:val="16"/>
          <w:szCs w:val="16"/>
        </w:rPr>
        <w:softHyphen/>
        <w:t>водство ЦКБ-29 считали необходимым немедленно приступить к постройке 5 опытных экземпляров самолета на заводе № 288. Проектирование и по</w:t>
      </w:r>
      <w:r w:rsidRPr="008127F8">
        <w:rPr>
          <w:color w:val="000000" w:themeColor="text1"/>
          <w:sz w:val="16"/>
          <w:szCs w:val="16"/>
        </w:rPr>
        <w:softHyphen/>
        <w:t>стройку опытных машин планировали завершить в течение не более 3 месяцев. То есть готовность первого опытного самолета ожидалась к 1 ноября 1942 г.</w:t>
      </w:r>
    </w:p>
    <w:p w14:paraId="73B32E46"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Одновременно требовалось выделить два се</w:t>
      </w:r>
      <w:r w:rsidRPr="008127F8">
        <w:rPr>
          <w:color w:val="000000" w:themeColor="text1"/>
          <w:sz w:val="16"/>
          <w:szCs w:val="16"/>
        </w:rPr>
        <w:softHyphen/>
        <w:t>рийных завода («один — типа завода сельскохо</w:t>
      </w:r>
      <w:r w:rsidRPr="008127F8">
        <w:rPr>
          <w:color w:val="000000" w:themeColor="text1"/>
          <w:sz w:val="16"/>
          <w:szCs w:val="16"/>
        </w:rPr>
        <w:softHyphen/>
        <w:t>зяйственных машин — для постройки самолетов, другой — типа завода № 29 — для изготовления авиамоторов»), на которых организовать выпуск противотанковых самолетов «немедленно после готовности серийной технологии и оснастки», «не</w:t>
      </w:r>
      <w:r w:rsidRPr="008127F8">
        <w:rPr>
          <w:color w:val="000000" w:themeColor="text1"/>
          <w:sz w:val="16"/>
          <w:szCs w:val="16"/>
        </w:rPr>
        <w:softHyphen/>
        <w:t>зависимо от готовности опытных самолетов и окон</w:t>
      </w:r>
      <w:r w:rsidRPr="008127F8">
        <w:rPr>
          <w:color w:val="000000" w:themeColor="text1"/>
          <w:sz w:val="16"/>
          <w:szCs w:val="16"/>
        </w:rPr>
        <w:softHyphen/>
        <w:t>чания их испытаний».</w:t>
      </w:r>
    </w:p>
    <w:p w14:paraId="3C032BC4"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После постройки первых пяти самолетов, кро</w:t>
      </w:r>
      <w:r w:rsidRPr="008127F8">
        <w:rPr>
          <w:color w:val="000000" w:themeColor="text1"/>
          <w:sz w:val="16"/>
          <w:szCs w:val="16"/>
        </w:rPr>
        <w:softHyphen/>
        <w:t>ме обычных летных испытаний, предлагалось от</w:t>
      </w:r>
      <w:r w:rsidRPr="008127F8">
        <w:rPr>
          <w:color w:val="000000" w:themeColor="text1"/>
          <w:sz w:val="16"/>
          <w:szCs w:val="16"/>
        </w:rPr>
        <w:softHyphen/>
        <w:t>работать тактику боя с танками, для чего выделить танковую часть и оборудовать недалеко от г. Омск специальный полигон.</w:t>
      </w:r>
    </w:p>
    <w:p w14:paraId="60B2D8A4"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Расходы на постройку 5 опытных машин и про</w:t>
      </w:r>
      <w:r w:rsidRPr="008127F8">
        <w:rPr>
          <w:color w:val="000000" w:themeColor="text1"/>
          <w:sz w:val="16"/>
          <w:szCs w:val="16"/>
        </w:rPr>
        <w:softHyphen/>
        <w:t>ведение летных и тактических испытаний, по оцен</w:t>
      </w:r>
      <w:r w:rsidRPr="008127F8">
        <w:rPr>
          <w:color w:val="000000" w:themeColor="text1"/>
          <w:sz w:val="16"/>
          <w:szCs w:val="16"/>
        </w:rPr>
        <w:softHyphen/>
        <w:t>кам, составляли около 3 200 000 руб., а на подготов</w:t>
      </w:r>
      <w:r w:rsidRPr="008127F8">
        <w:rPr>
          <w:color w:val="000000" w:themeColor="text1"/>
          <w:sz w:val="16"/>
          <w:szCs w:val="16"/>
        </w:rPr>
        <w:softHyphen/>
        <w:t>ку серийного производства, включая первоначаль</w:t>
      </w:r>
      <w:r w:rsidRPr="008127F8">
        <w:rPr>
          <w:color w:val="000000" w:themeColor="text1"/>
          <w:sz w:val="16"/>
          <w:szCs w:val="16"/>
        </w:rPr>
        <w:softHyphen/>
        <w:t>ный серийный задел, — примерно 6 500 000 руб.</w:t>
      </w:r>
    </w:p>
    <w:p w14:paraId="482DEEA2"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Предложение о постройке противотанкового самолета «Пегас» и альбом «Эскизный проект само</w:t>
      </w:r>
      <w:r w:rsidRPr="008127F8">
        <w:rPr>
          <w:color w:val="000000" w:themeColor="text1"/>
          <w:sz w:val="16"/>
          <w:szCs w:val="16"/>
        </w:rPr>
        <w:softHyphen/>
        <w:t>лета противотанковой воздушной армии» началь</w:t>
      </w:r>
      <w:r w:rsidRPr="008127F8">
        <w:rPr>
          <w:color w:val="000000" w:themeColor="text1"/>
          <w:sz w:val="16"/>
          <w:szCs w:val="16"/>
        </w:rPr>
        <w:softHyphen/>
        <w:t>ник ЦКБ-29 НКВД и директор завода № 288 Г. Я. Ку- тепов 31 июля 1942 г. направил для рассмотрения начальнику Управления опытного строительства ГУ ИАС ВВС бригинженеру Г. П. Лешукову (17500).</w:t>
      </w:r>
    </w:p>
    <w:p w14:paraId="25289BA3"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21E78D7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лета 1942 ДБ-3Ф начали выпускать с новыми отъемными консолями крыльев с увеличенной на 3° стреловидностью по передней кромке (так называемое крыло со “стрелкой”), что позволило переместить полетную центровку вперед. Новое крыло кроме большей стреловидности имело и новую аэродинамическую компоновку: в центроплане и мотоотсеках сохранялся профиль Кларк Y-15, а в отъемной части применялся профиль NACA 230 с увеличенной до 10% относительной толщиной. Кроме этого, увеличили поперечное “V” крыла и площадь посадочных щитков. Конструкция отъемных частей крыла была смешанной: она имела металлические лонжероны, аналогичные устанавливаемым на серийных машинах, деревянные нервюры из сосны и фанерную обшивку. Более толстый профиль отъемных частей позволил установить в консоли вместо одного три топливных бака, увеличив вес горючего на 1135 кг по сравнению с обычными серийными машинами ДБ-3Ф. В конечном счете, из-за изменений в конструкции и увеличения запаса топлива, нормальный полетный вес Ил-4 возрос до 10055 кг при центровке 29,8% САХ. Перегрузочный вес самолета с 1000 кг бомб и с полной заправкой топливом достиг 12120 кг (9528).</w:t>
      </w:r>
    </w:p>
    <w:p w14:paraId="4B29D7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6DF376" w14:textId="77777777" w:rsidR="0044676C" w:rsidRPr="008A2E5A" w:rsidRDefault="0044676C" w:rsidP="004467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1942 года пошли реклама</w:t>
      </w:r>
      <w:r w:rsidRPr="008A2E5A">
        <w:rPr>
          <w:rFonts w:ascii="Times New Roman" w:hAnsi="Times New Roman"/>
          <w:color w:val="0070C0"/>
          <w:sz w:val="16"/>
          <w:szCs w:val="16"/>
        </w:rPr>
        <w:softHyphen/>
        <w:t>ции по случаям разрушений элементов конструкции Ил-4. До половины потерь были небоевыми и для улучшения про</w:t>
      </w:r>
      <w:r w:rsidRPr="008A2E5A">
        <w:rPr>
          <w:rFonts w:ascii="Times New Roman" w:hAnsi="Times New Roman"/>
          <w:color w:val="0070C0"/>
          <w:sz w:val="16"/>
          <w:szCs w:val="16"/>
        </w:rPr>
        <w:softHyphen/>
        <w:t>чности по бортам пустили внешние бимсы, усилили шпангоут, на котором устанавливалось хвостовое колесо, пе</w:t>
      </w:r>
      <w:r w:rsidRPr="008A2E5A">
        <w:rPr>
          <w:rFonts w:ascii="Times New Roman" w:hAnsi="Times New Roman"/>
          <w:color w:val="0070C0"/>
          <w:sz w:val="16"/>
          <w:szCs w:val="16"/>
        </w:rPr>
        <w:softHyphen/>
        <w:t>ределали лонжероны крыла.</w:t>
      </w:r>
    </w:p>
    <w:p w14:paraId="1021BE07" w14:textId="4B42856D" w:rsidR="0044676C" w:rsidRPr="008A2E5A" w:rsidRDefault="0044676C" w:rsidP="004467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ростом веса Ил-4 участились ава</w:t>
      </w:r>
      <w:r w:rsidRPr="008A2E5A">
        <w:rPr>
          <w:rFonts w:ascii="Times New Roman" w:hAnsi="Times New Roman"/>
          <w:color w:val="0070C0"/>
          <w:sz w:val="16"/>
          <w:szCs w:val="16"/>
        </w:rPr>
        <w:softHyphen/>
        <w:t>рии на пробеге из-за разрушения дис</w:t>
      </w:r>
      <w:r w:rsidRPr="008A2E5A">
        <w:rPr>
          <w:rFonts w:ascii="Times New Roman" w:hAnsi="Times New Roman"/>
          <w:color w:val="0070C0"/>
          <w:sz w:val="16"/>
          <w:szCs w:val="16"/>
        </w:rPr>
        <w:softHyphen/>
        <w:t>ков колес и неэффективных тормозов. Заводы № 120 и 286 (Нижний Тагил и Каменск-на-Урале) должны были с начала 1943 года поставлять усиленные колеса с дисками из магние</w:t>
      </w:r>
      <w:r w:rsidRPr="008A2E5A">
        <w:rPr>
          <w:rFonts w:ascii="Times New Roman" w:hAnsi="Times New Roman"/>
          <w:color w:val="0070C0"/>
          <w:sz w:val="16"/>
          <w:szCs w:val="16"/>
        </w:rPr>
        <w:softHyphen/>
        <w:t>вого сплава электрон, но их по-прежнему лили из дешевого си</w:t>
      </w:r>
      <w:r w:rsidRPr="008A2E5A">
        <w:rPr>
          <w:rFonts w:ascii="Times New Roman" w:hAnsi="Times New Roman"/>
          <w:color w:val="0070C0"/>
          <w:sz w:val="16"/>
          <w:szCs w:val="16"/>
        </w:rPr>
        <w:softHyphen/>
        <w:t>лумина. Ильюшин 16 января апеллирует к Наркому: «Усиление колеса 1000х350 делалось именно потому, что это усиление предназначалось на электронные колеса, т.к. изготовление этих колес из силумина влечет за собой общее понижение прочности указанных колес и в этом случае колеса совер</w:t>
      </w:r>
      <w:r w:rsidRPr="008A2E5A">
        <w:rPr>
          <w:rFonts w:ascii="Times New Roman" w:hAnsi="Times New Roman"/>
          <w:color w:val="0070C0"/>
          <w:sz w:val="16"/>
          <w:szCs w:val="16"/>
        </w:rPr>
        <w:softHyphen/>
        <w:t>шенно не годны для эксплуатации на самолете Ил-4. Тем не менее гл. конструктор Флеров (начальник серийного конс</w:t>
      </w:r>
      <w:r w:rsidRPr="008A2E5A">
        <w:rPr>
          <w:rFonts w:ascii="Times New Roman" w:hAnsi="Times New Roman"/>
          <w:color w:val="0070C0"/>
          <w:sz w:val="16"/>
          <w:szCs w:val="16"/>
        </w:rPr>
        <w:softHyphen/>
        <w:t>трукторского отдела завода №120 — авт.) запустил в произ</w:t>
      </w:r>
      <w:r w:rsidRPr="008A2E5A">
        <w:rPr>
          <w:rFonts w:ascii="Times New Roman" w:hAnsi="Times New Roman"/>
          <w:color w:val="0070C0"/>
          <w:sz w:val="16"/>
          <w:szCs w:val="16"/>
        </w:rPr>
        <w:softHyphen/>
        <w:t>водство эти колеса не из электрона, а из силумина, и таким образом самолеты Ил-4 по-прежнему летают на колесах с дефектами, с массовым выходом из строя в эксплуатации.» Такая же ситуация была и с освоением гидропневматических тормозов, которые обеспечивали надежную остановку самоле</w:t>
      </w:r>
      <w:r w:rsidRPr="008A2E5A">
        <w:rPr>
          <w:rFonts w:ascii="Times New Roman" w:hAnsi="Times New Roman"/>
          <w:color w:val="0070C0"/>
          <w:sz w:val="16"/>
          <w:szCs w:val="16"/>
        </w:rPr>
        <w:softHyphen/>
        <w:t>та на ВПП, но были сложнее камерных воздушных. На внедре</w:t>
      </w:r>
      <w:r w:rsidRPr="008A2E5A">
        <w:rPr>
          <w:rFonts w:ascii="Times New Roman" w:hAnsi="Times New Roman"/>
          <w:color w:val="0070C0"/>
          <w:sz w:val="16"/>
          <w:szCs w:val="16"/>
        </w:rPr>
        <w:softHyphen/>
        <w:t xml:space="preserve">ние магниевых дисков и новых тормозов потребовалось более года, а затем появились и увеличенные колеса 1100 х400 мм. (24140). </w:t>
      </w:r>
    </w:p>
    <w:p w14:paraId="7983C2F2" w14:textId="77777777" w:rsidR="0044676C" w:rsidRPr="008A2E5A" w:rsidRDefault="0044676C" w:rsidP="0044676C">
      <w:pPr>
        <w:spacing w:after="0" w:line="240" w:lineRule="auto"/>
        <w:jc w:val="both"/>
        <w:rPr>
          <w:rFonts w:ascii="Times New Roman" w:hAnsi="Times New Roman"/>
          <w:color w:val="0070C0"/>
          <w:sz w:val="16"/>
          <w:szCs w:val="16"/>
        </w:rPr>
      </w:pPr>
    </w:p>
    <w:p w14:paraId="1F42227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года Ильюшин предпринял вторую попытку создания дальнего бомбарди</w:t>
      </w:r>
      <w:r w:rsidRPr="008127F8">
        <w:rPr>
          <w:rFonts w:ascii="Times New Roman" w:hAnsi="Times New Roman"/>
          <w:color w:val="000000" w:themeColor="text1"/>
          <w:sz w:val="16"/>
          <w:szCs w:val="16"/>
        </w:rPr>
        <w:softHyphen/>
        <w:t>ровщика. Самолет очень напоминал Ил-4, выдавало только крыло, схожее с несущей поверх</w:t>
      </w:r>
      <w:r w:rsidRPr="008127F8">
        <w:rPr>
          <w:rFonts w:ascii="Times New Roman" w:hAnsi="Times New Roman"/>
          <w:color w:val="000000" w:themeColor="text1"/>
          <w:sz w:val="16"/>
          <w:szCs w:val="16"/>
        </w:rPr>
        <w:softHyphen/>
        <w:t>ностью пассажирского самолета DC-3 компании «Дуглас» и его советского аналога ПС-84. Расчеты показывали, что с перспективными 2000-сильными двигателями М-90 и М-71 можно увеличить бомбо</w:t>
      </w:r>
      <w:r w:rsidRPr="008127F8">
        <w:rPr>
          <w:rFonts w:ascii="Times New Roman" w:hAnsi="Times New Roman"/>
          <w:color w:val="000000" w:themeColor="text1"/>
          <w:sz w:val="16"/>
          <w:szCs w:val="16"/>
        </w:rPr>
        <w:softHyphen/>
        <w:t>вую нагрузку и скорость почти на 100 км/ч по срав</w:t>
      </w:r>
      <w:r w:rsidRPr="008127F8">
        <w:rPr>
          <w:rFonts w:ascii="Times New Roman" w:hAnsi="Times New Roman"/>
          <w:color w:val="000000" w:themeColor="text1"/>
          <w:sz w:val="16"/>
          <w:szCs w:val="16"/>
        </w:rPr>
        <w:softHyphen/>
        <w:t>нению с Ил-4.</w:t>
      </w:r>
    </w:p>
    <w:p w14:paraId="4730128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Первыми выпустили рабочие чертежи с М-90, за</w:t>
      </w:r>
      <w:r w:rsidRPr="008127F8">
        <w:rPr>
          <w:rFonts w:ascii="Times New Roman" w:hAnsi="Times New Roman"/>
          <w:color w:val="000000" w:themeColor="text1"/>
          <w:sz w:val="16"/>
          <w:szCs w:val="16"/>
        </w:rPr>
        <w:softHyphen/>
        <w:t>тем к 25 марта 1943 года — на самолет с двигате</w:t>
      </w:r>
      <w:r w:rsidRPr="008127F8">
        <w:rPr>
          <w:rFonts w:ascii="Times New Roman" w:hAnsi="Times New Roman"/>
          <w:color w:val="000000" w:themeColor="text1"/>
          <w:sz w:val="16"/>
          <w:szCs w:val="16"/>
        </w:rPr>
        <w:softHyphen/>
        <w:t>лями М-30 и к 23 июня должны были закончить про</w:t>
      </w:r>
      <w:r w:rsidRPr="008127F8">
        <w:rPr>
          <w:rFonts w:ascii="Times New Roman" w:hAnsi="Times New Roman"/>
          <w:color w:val="000000" w:themeColor="text1"/>
          <w:sz w:val="16"/>
          <w:szCs w:val="16"/>
        </w:rPr>
        <w:softHyphen/>
        <w:t>ектирование самолета с моторами М-71. По рас</w:t>
      </w:r>
      <w:r w:rsidRPr="008127F8">
        <w:rPr>
          <w:rFonts w:ascii="Times New Roman" w:hAnsi="Times New Roman"/>
          <w:color w:val="000000" w:themeColor="text1"/>
          <w:sz w:val="16"/>
          <w:szCs w:val="16"/>
        </w:rPr>
        <w:softHyphen/>
        <w:t>четам, максимальная скорость самолета на высоте 5500 м ожидалась 475 км/ч, практический потолок — 8000 метров, дальность в перегрузочном варианте с бомбовой нагрузкой — 2000—3500 км.</w:t>
      </w:r>
    </w:p>
    <w:p w14:paraId="1A44B2B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Оборонительное вооружение: носовая установ</w:t>
      </w:r>
      <w:r w:rsidRPr="008127F8">
        <w:rPr>
          <w:rFonts w:ascii="Times New Roman" w:hAnsi="Times New Roman"/>
          <w:color w:val="000000" w:themeColor="text1"/>
          <w:sz w:val="16"/>
          <w:szCs w:val="16"/>
        </w:rPr>
        <w:softHyphen/>
        <w:t>ка — пулемет калибра 12,7 мм (200 патронов), борто</w:t>
      </w:r>
      <w:r w:rsidRPr="008127F8">
        <w:rPr>
          <w:rFonts w:ascii="Times New Roman" w:hAnsi="Times New Roman"/>
          <w:color w:val="000000" w:themeColor="text1"/>
          <w:sz w:val="16"/>
          <w:szCs w:val="16"/>
        </w:rPr>
        <w:softHyphen/>
        <w:t>вые — два пулемета калибра 12,7 мм (400 патронов), верхняя турельная установка — пулемет калибра 12,7 мм (300 патронов) и люковая установка — пуле</w:t>
      </w:r>
      <w:r w:rsidRPr="008127F8">
        <w:rPr>
          <w:rFonts w:ascii="Times New Roman" w:hAnsi="Times New Roman"/>
          <w:color w:val="000000" w:themeColor="text1"/>
          <w:sz w:val="16"/>
          <w:szCs w:val="16"/>
        </w:rPr>
        <w:softHyphen/>
        <w:t>мет калибра 12,7 мм (300 патронов). Вес бронезащи- ты — 375 кг.</w:t>
      </w:r>
    </w:p>
    <w:p w14:paraId="588819B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оценке заказчика Илью</w:t>
      </w:r>
      <w:r w:rsidRPr="008127F8">
        <w:rPr>
          <w:rFonts w:ascii="Times New Roman" w:hAnsi="Times New Roman"/>
          <w:color w:val="000000" w:themeColor="text1"/>
          <w:sz w:val="16"/>
          <w:szCs w:val="16"/>
        </w:rPr>
        <w:softHyphen/>
        <w:t>шин занизил километровый рас</w:t>
      </w:r>
      <w:r w:rsidRPr="008127F8">
        <w:rPr>
          <w:rFonts w:ascii="Times New Roman" w:hAnsi="Times New Roman"/>
          <w:color w:val="000000" w:themeColor="text1"/>
          <w:sz w:val="16"/>
          <w:szCs w:val="16"/>
        </w:rPr>
        <w:softHyphen/>
        <w:t>ход горючего на 15—20 %, что привело к увеличению дально</w:t>
      </w:r>
      <w:r w:rsidRPr="008127F8">
        <w:rPr>
          <w:rFonts w:ascii="Times New Roman" w:hAnsi="Times New Roman"/>
          <w:color w:val="000000" w:themeColor="text1"/>
          <w:sz w:val="16"/>
          <w:szCs w:val="16"/>
        </w:rPr>
        <w:softHyphen/>
        <w:t>сти полета по сравнению с Ер-2, оснащенного дизельными мото</w:t>
      </w:r>
      <w:r w:rsidRPr="008127F8">
        <w:rPr>
          <w:rFonts w:ascii="Times New Roman" w:hAnsi="Times New Roman"/>
          <w:color w:val="000000" w:themeColor="text1"/>
          <w:sz w:val="16"/>
          <w:szCs w:val="16"/>
        </w:rPr>
        <w:softHyphen/>
        <w:t>рами АЧ-ЗОБ.</w:t>
      </w:r>
    </w:p>
    <w:p w14:paraId="784FBDD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Пока проектировался Ил-6, конструктор Чаромской сумел, как тогда считалось, довести ди</w:t>
      </w:r>
      <w:r w:rsidRPr="008127F8">
        <w:rPr>
          <w:rFonts w:ascii="Times New Roman" w:hAnsi="Times New Roman"/>
          <w:color w:val="000000" w:themeColor="text1"/>
          <w:sz w:val="16"/>
          <w:szCs w:val="16"/>
        </w:rPr>
        <w:softHyphen/>
        <w:t>зели АЧ-ЗОБ до кондиции, и их незамедлительно установили на новый бомбарди</w:t>
      </w:r>
      <w:r w:rsidRPr="008127F8">
        <w:rPr>
          <w:rFonts w:ascii="Times New Roman" w:hAnsi="Times New Roman"/>
          <w:color w:val="000000" w:themeColor="text1"/>
          <w:sz w:val="16"/>
          <w:szCs w:val="16"/>
        </w:rPr>
        <w:softHyphen/>
        <w:t>ровщик. Постройка Ил-6 началась весной 1943 года в Иркутске на заводе № 39, и 7 августа самолет, пи</w:t>
      </w:r>
      <w:r w:rsidRPr="008127F8">
        <w:rPr>
          <w:rFonts w:ascii="Times New Roman" w:hAnsi="Times New Roman"/>
          <w:color w:val="000000" w:themeColor="text1"/>
          <w:sz w:val="16"/>
          <w:szCs w:val="16"/>
        </w:rPr>
        <w:softHyphen/>
        <w:t>лотируемый В.К. Коккинаки, отправился в первый полет. Впоследствии опытную машину расстыкова</w:t>
      </w:r>
      <w:r w:rsidRPr="008127F8">
        <w:rPr>
          <w:rFonts w:ascii="Times New Roman" w:hAnsi="Times New Roman"/>
          <w:color w:val="000000" w:themeColor="text1"/>
          <w:sz w:val="16"/>
          <w:szCs w:val="16"/>
        </w:rPr>
        <w:softHyphen/>
        <w:t>ли и отправили по железной дороге в Москву.</w:t>
      </w:r>
    </w:p>
    <w:p w14:paraId="2633206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Летные испытания продолжили на Центральном аэродроме им. М.В. Фрунзе. Там же на Ил-6 дви</w:t>
      </w:r>
      <w:r w:rsidRPr="008127F8">
        <w:rPr>
          <w:rFonts w:ascii="Times New Roman" w:hAnsi="Times New Roman"/>
          <w:color w:val="000000" w:themeColor="text1"/>
          <w:sz w:val="16"/>
          <w:szCs w:val="16"/>
        </w:rPr>
        <w:softHyphen/>
        <w:t>гатели заменили опытными форсированными 1900-сильными АЧ-ЗОБФ, но в 1944 году, вслед</w:t>
      </w:r>
      <w:r w:rsidRPr="008127F8">
        <w:rPr>
          <w:rFonts w:ascii="Times New Roman" w:hAnsi="Times New Roman"/>
          <w:color w:val="000000" w:themeColor="text1"/>
          <w:sz w:val="16"/>
          <w:szCs w:val="16"/>
        </w:rPr>
        <w:softHyphen/>
        <w:t>ствие их плохой работы вернулись, на этот раз, к серийным дизелям АЧ-З0Б. Но и их тоже при</w:t>
      </w:r>
      <w:r w:rsidRPr="008127F8">
        <w:rPr>
          <w:rFonts w:ascii="Times New Roman" w:hAnsi="Times New Roman"/>
          <w:color w:val="000000" w:themeColor="text1"/>
          <w:sz w:val="16"/>
          <w:szCs w:val="16"/>
        </w:rPr>
        <w:softHyphen/>
        <w:t>шлось снять и отправить на авиамоторный завод № 500 для доработок. По получении с предпри</w:t>
      </w:r>
      <w:r w:rsidRPr="008127F8">
        <w:rPr>
          <w:rFonts w:ascii="Times New Roman" w:hAnsi="Times New Roman"/>
          <w:color w:val="000000" w:themeColor="text1"/>
          <w:sz w:val="16"/>
          <w:szCs w:val="16"/>
        </w:rPr>
        <w:softHyphen/>
        <w:t>ятия двигателей заводские испытания возобновили и закончили в ЛИИ, где его облетал А. И. Гринчик. В том же году все работы по машине прекратили. Но причиной тому были не столько некондиционные двигатели, сколько неудачный выбор аэродинами</w:t>
      </w:r>
      <w:r w:rsidRPr="008127F8">
        <w:rPr>
          <w:rFonts w:ascii="Times New Roman" w:hAnsi="Times New Roman"/>
          <w:color w:val="000000" w:themeColor="text1"/>
          <w:sz w:val="16"/>
          <w:szCs w:val="16"/>
        </w:rPr>
        <w:softHyphen/>
        <w:t>ческой компоновки крыла. Если на DC-3 эта ком</w:t>
      </w:r>
      <w:r w:rsidRPr="008127F8">
        <w:rPr>
          <w:rFonts w:ascii="Times New Roman" w:hAnsi="Times New Roman"/>
          <w:color w:val="000000" w:themeColor="text1"/>
          <w:sz w:val="16"/>
          <w:szCs w:val="16"/>
        </w:rPr>
        <w:softHyphen/>
        <w:t>поновка себя оправдала, то повышение удельной нагрузки на крыло, свойственное Ил-6, приводило к преждевременному срыву потока на его концевых частях (23188).</w:t>
      </w:r>
    </w:p>
    <w:p w14:paraId="126EB88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2DFDF56" w14:textId="77777777" w:rsidR="0044676C" w:rsidRPr="008A2E5A" w:rsidRDefault="0044676C" w:rsidP="004467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1942 г. проходили испытания опытных ближних бомбардировщиков Сухой Су-2 № 25095 и 26096 с М-82НВ. На самолете 26096был выполнен основной объем отработки мотора в полете, но 05.08.42 г. самолет № 26096 потерпел аварию, Сухой добился продолжения испытаний, но решение о продолжении выпуска самолета Су 2 не было принято (24263).</w:t>
      </w:r>
    </w:p>
    <w:p w14:paraId="3187B405" w14:textId="77777777" w:rsidR="0044676C" w:rsidRPr="008A2E5A" w:rsidRDefault="0044676C" w:rsidP="0044676C">
      <w:pPr>
        <w:spacing w:after="0" w:line="240" w:lineRule="auto"/>
        <w:jc w:val="both"/>
        <w:rPr>
          <w:rFonts w:ascii="Times New Roman" w:hAnsi="Times New Roman"/>
          <w:color w:val="0070C0"/>
          <w:sz w:val="16"/>
          <w:szCs w:val="16"/>
        </w:rPr>
      </w:pPr>
    </w:p>
    <w:p w14:paraId="1BC95EE7" w14:textId="77777777" w:rsidR="0044676C" w:rsidRPr="008A2E5A" w:rsidRDefault="0044676C" w:rsidP="004467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лета 1942 года ПС-84 стали использовать как ноч</w:t>
      </w:r>
      <w:r w:rsidRPr="008A2E5A">
        <w:rPr>
          <w:rFonts w:ascii="Times New Roman" w:hAnsi="Times New Roman"/>
          <w:color w:val="0070C0"/>
          <w:sz w:val="16"/>
          <w:szCs w:val="16"/>
        </w:rPr>
        <w:softHyphen/>
        <w:t>ные бомбардировщики с наружной подвеской 1000 кг бомб. Эта роль становилась все более важной, и в Таш</w:t>
      </w:r>
      <w:r w:rsidRPr="008A2E5A">
        <w:rPr>
          <w:rFonts w:ascii="Times New Roman" w:hAnsi="Times New Roman"/>
          <w:color w:val="0070C0"/>
          <w:sz w:val="16"/>
          <w:szCs w:val="16"/>
        </w:rPr>
        <w:softHyphen/>
        <w:t>кенте под руководством Голубкова создали несколько усовершенствованных боевых вариантов, из которых серийно строился только Ли-2НБ с измененными ком</w:t>
      </w:r>
      <w:r w:rsidRPr="008A2E5A">
        <w:rPr>
          <w:rFonts w:ascii="Times New Roman" w:hAnsi="Times New Roman"/>
          <w:color w:val="0070C0"/>
          <w:sz w:val="16"/>
          <w:szCs w:val="16"/>
        </w:rPr>
        <w:softHyphen/>
        <w:t>поновкой кабин и оборудованием. Остальные модификации бомбардировщика, начиная с проекта 1940 года с моторами М-71, так и остались в чертежах или опыт</w:t>
      </w:r>
      <w:r w:rsidRPr="008A2E5A">
        <w:rPr>
          <w:rFonts w:ascii="Times New Roman" w:hAnsi="Times New Roman"/>
          <w:color w:val="0070C0"/>
          <w:sz w:val="16"/>
          <w:szCs w:val="16"/>
        </w:rPr>
        <w:softHyphen/>
        <w:t>ных образцах. В частности, в 1943-1944 годах испыты</w:t>
      </w:r>
      <w:r w:rsidRPr="008A2E5A">
        <w:rPr>
          <w:rFonts w:ascii="Times New Roman" w:hAnsi="Times New Roman"/>
          <w:color w:val="0070C0"/>
          <w:sz w:val="16"/>
          <w:szCs w:val="16"/>
        </w:rPr>
        <w:softHyphen/>
        <w:t>вались Ли-2ВП с внутренним размещением бомб.</w:t>
      </w:r>
    </w:p>
    <w:p w14:paraId="174A89C1" w14:textId="77777777" w:rsidR="0044676C" w:rsidRPr="008A2E5A" w:rsidRDefault="0044676C" w:rsidP="004467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концу войны Ли-2 стал самым массовым самоле</w:t>
      </w:r>
      <w:r w:rsidRPr="008A2E5A">
        <w:rPr>
          <w:rFonts w:ascii="Times New Roman" w:hAnsi="Times New Roman"/>
          <w:color w:val="0070C0"/>
          <w:sz w:val="16"/>
          <w:szCs w:val="16"/>
        </w:rPr>
        <w:softHyphen/>
        <w:t>том дальней авиации, на них летали 19 полков. Много модификаций самолета строилось и в послевоенный пе</w:t>
      </w:r>
      <w:r w:rsidRPr="008A2E5A">
        <w:rPr>
          <w:rFonts w:ascii="Times New Roman" w:hAnsi="Times New Roman"/>
          <w:color w:val="0070C0"/>
          <w:sz w:val="16"/>
          <w:szCs w:val="16"/>
        </w:rPr>
        <w:softHyphen/>
        <w:t>риод. В Ташкенте вернулись к пассажирским Ли-2П, на заводе № 126 в Комсомольске-на-Амуре с конца 1946 года запустили грузовой Ли-2Т, использовавший элементы довоенного опытного ПС-84К. Серийно изго</w:t>
      </w:r>
      <w:r w:rsidRPr="008A2E5A">
        <w:rPr>
          <w:rFonts w:ascii="Times New Roman" w:hAnsi="Times New Roman"/>
          <w:color w:val="0070C0"/>
          <w:sz w:val="16"/>
          <w:szCs w:val="16"/>
        </w:rPr>
        <w:softHyphen/>
        <w:t>товлялись УчШЛи-2—для подготовки штурманов, Ли- 2Гр—грузо-пассажирские, Ли-2Ф—для аэрофотосъем</w:t>
      </w:r>
      <w:r w:rsidRPr="008A2E5A">
        <w:rPr>
          <w:rFonts w:ascii="Times New Roman" w:hAnsi="Times New Roman"/>
          <w:color w:val="0070C0"/>
          <w:sz w:val="16"/>
          <w:szCs w:val="16"/>
        </w:rPr>
        <w:softHyphen/>
        <w:t>ки. Было сделано и много интересных опытных машин, включая тральщик магнитных мин Ли-2МТ. Его разра</w:t>
      </w:r>
      <w:r w:rsidRPr="008A2E5A">
        <w:rPr>
          <w:rFonts w:ascii="Times New Roman" w:hAnsi="Times New Roman"/>
          <w:color w:val="0070C0"/>
          <w:sz w:val="16"/>
          <w:szCs w:val="16"/>
        </w:rPr>
        <w:softHyphen/>
        <w:t>ботку как ПС-84Т начали еще в 1943 году (23545).</w:t>
      </w:r>
    </w:p>
    <w:p w14:paraId="21936FAE" w14:textId="77777777" w:rsidR="0044676C" w:rsidRPr="008A2E5A" w:rsidRDefault="0044676C" w:rsidP="0044676C">
      <w:pPr>
        <w:spacing w:after="0" w:line="240" w:lineRule="auto"/>
        <w:jc w:val="both"/>
        <w:rPr>
          <w:rFonts w:ascii="Times New Roman" w:hAnsi="Times New Roman"/>
          <w:color w:val="0070C0"/>
          <w:sz w:val="16"/>
          <w:szCs w:val="16"/>
        </w:rPr>
      </w:pPr>
    </w:p>
    <w:p w14:paraId="3CAAEEB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Летом 1942 П.В.Дементьев предупредил Незваля, что </w:t>
      </w:r>
      <w:r w:rsidRPr="008127F8">
        <w:rPr>
          <w:rFonts w:ascii="Times New Roman" w:hAnsi="Times New Roman"/>
          <w:color w:val="000000" w:themeColor="text1"/>
          <w:sz w:val="16"/>
          <w:szCs w:val="16"/>
          <w:lang w:val="en-US"/>
        </w:rPr>
        <w:t>AM</w:t>
      </w:r>
      <w:r w:rsidRPr="008127F8">
        <w:rPr>
          <w:rFonts w:ascii="Times New Roman" w:hAnsi="Times New Roman"/>
          <w:color w:val="000000" w:themeColor="text1"/>
          <w:sz w:val="16"/>
          <w:szCs w:val="16"/>
        </w:rPr>
        <w:t>-35 А на Пе-8 давать больше не будут. Так что на последние машины с АМ-35 А выпуска 1942 года их наскребали из всех возможных мест. Спасение для серии Пе-8 было в М-82, какие бы проблемы с ними не были на начальном этапе освоения (12726).</w:t>
      </w:r>
    </w:p>
    <w:p w14:paraId="04948EC4" w14:textId="77777777" w:rsidR="007C5583" w:rsidRPr="008127F8" w:rsidRDefault="007C5583" w:rsidP="007C5583">
      <w:pPr>
        <w:pStyle w:val="af"/>
        <w:spacing w:before="0" w:after="0"/>
        <w:jc w:val="both"/>
        <w:rPr>
          <w:color w:val="000000" w:themeColor="text1"/>
          <w:sz w:val="16"/>
          <w:szCs w:val="16"/>
        </w:rPr>
      </w:pPr>
    </w:p>
    <w:p w14:paraId="32BFBEEB" w14:textId="77777777" w:rsidR="0044676C" w:rsidRPr="008A2E5A" w:rsidRDefault="0044676C" w:rsidP="004467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1942 г. П.В. Дементьев сооб</w:t>
      </w:r>
      <w:r w:rsidRPr="008A2E5A">
        <w:rPr>
          <w:rFonts w:ascii="Times New Roman" w:hAnsi="Times New Roman"/>
          <w:color w:val="0070C0"/>
          <w:sz w:val="16"/>
          <w:szCs w:val="16"/>
        </w:rPr>
        <w:softHyphen/>
        <w:t>щил, что поставка двигателей AM—35А для Пе—8 прекращается, и предложил перейти на двигатели воздушного охлаж</w:t>
      </w:r>
      <w:r w:rsidRPr="008A2E5A">
        <w:rPr>
          <w:rFonts w:ascii="Times New Roman" w:hAnsi="Times New Roman"/>
          <w:color w:val="0070C0"/>
          <w:sz w:val="16"/>
          <w:szCs w:val="16"/>
        </w:rPr>
        <w:softHyphen/>
        <w:t>дения АШ—82. Это требовало коренной переделки всей моторной установки. Ра</w:t>
      </w:r>
      <w:r w:rsidRPr="008A2E5A">
        <w:rPr>
          <w:rFonts w:ascii="Times New Roman" w:hAnsi="Times New Roman"/>
          <w:color w:val="0070C0"/>
          <w:sz w:val="16"/>
          <w:szCs w:val="16"/>
        </w:rPr>
        <w:softHyphen/>
        <w:t>бота выполнялась на самолете № 42047. Первые испытательные полеты провел шеф-пилот завода Б. Г. Говоров осенью 1942 г. Контрольный полет на дальность (Казань — район Ташкента) с грузом Зт выполнили В.В. Водопьянов и Б. Г. Гово</w:t>
      </w:r>
      <w:r w:rsidRPr="008A2E5A">
        <w:rPr>
          <w:rFonts w:ascii="Times New Roman" w:hAnsi="Times New Roman"/>
          <w:color w:val="0070C0"/>
          <w:sz w:val="16"/>
          <w:szCs w:val="16"/>
        </w:rPr>
        <w:softHyphen/>
        <w:t>ров. Полет продолжался около 15 ч, и его результаты вполне устроили воен</w:t>
      </w:r>
      <w:r w:rsidRPr="008A2E5A">
        <w:rPr>
          <w:rFonts w:ascii="Times New Roman" w:hAnsi="Times New Roman"/>
          <w:color w:val="0070C0"/>
          <w:sz w:val="16"/>
          <w:szCs w:val="16"/>
        </w:rPr>
        <w:softHyphen/>
        <w:t>ных. В январе 1943 г. первый серийный Пе—8 4АШ—82 №42058 поступил в 746-й авиаполк. Затем их заменили более со</w:t>
      </w:r>
      <w:r w:rsidRPr="008A2E5A">
        <w:rPr>
          <w:rFonts w:ascii="Times New Roman" w:hAnsi="Times New Roman"/>
          <w:color w:val="0070C0"/>
          <w:sz w:val="16"/>
          <w:szCs w:val="16"/>
        </w:rPr>
        <w:softHyphen/>
        <w:t>вершенными АШ—82ФНВ мощностью по 1850л.с. (23474).</w:t>
      </w:r>
    </w:p>
    <w:p w14:paraId="010C12B8" w14:textId="77777777" w:rsidR="0044676C" w:rsidRPr="008A2E5A" w:rsidRDefault="0044676C" w:rsidP="0044676C">
      <w:pPr>
        <w:spacing w:after="0" w:line="240" w:lineRule="auto"/>
        <w:jc w:val="both"/>
        <w:rPr>
          <w:rFonts w:ascii="Times New Roman" w:hAnsi="Times New Roman"/>
          <w:color w:val="0070C0"/>
          <w:sz w:val="16"/>
          <w:szCs w:val="16"/>
        </w:rPr>
      </w:pPr>
    </w:p>
    <w:p w14:paraId="5235B61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Летом 1942 года на самолете ДВБ-102 установили звездообразные двигатели воздушного охлаждения М-71, разработанные в ОКБ А.Д. Швецова. Но и этот двигатель был явно «сырым». Доводка самолета затянулась...(10745,238).</w:t>
      </w:r>
    </w:p>
    <w:p w14:paraId="719775B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8C7D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И.И.Калинин выполнил первый полет на МиГ-3 Д (И-230) - аэродинамически улучшенным МиГ-3 с АМ-35А (665,190).</w:t>
      </w:r>
    </w:p>
    <w:p w14:paraId="5AC78B4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другим данным это было в августе.</w:t>
      </w:r>
    </w:p>
    <w:p w14:paraId="34379D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два конструктора 22 завода В.Заулошнов и А.Виноградов разработали заводские управляемые батареи РС-82 РУБ-4 и РУБ-2Л (люковая) для Пе-2. Снабжали прицелом ОПТ-2 (1056,47).</w:t>
      </w:r>
    </w:p>
    <w:p w14:paraId="54ADAE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4C083B" w14:textId="77777777" w:rsidR="00EB7062" w:rsidRPr="008A2E5A" w:rsidRDefault="00EB7062" w:rsidP="00EB70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1942 г., пока шла доводка мотора АМ-39, в ОКБ Н.Н. Поликарпова по заданию НКАП был проработан вариант установ</w:t>
      </w:r>
      <w:r w:rsidRPr="008A2E5A">
        <w:rPr>
          <w:rFonts w:ascii="Times New Roman" w:hAnsi="Times New Roman"/>
          <w:color w:val="0070C0"/>
          <w:sz w:val="16"/>
          <w:szCs w:val="16"/>
        </w:rPr>
        <w:softHyphen/>
        <w:t>ки на ИТП (М-2) опытного мотора М-250 (2200/2500 л.с.) конструкции оКб-250 В.А. Добрынина.</w:t>
      </w:r>
    </w:p>
    <w:p w14:paraId="36E48904" w14:textId="77777777" w:rsidR="00EB7062" w:rsidRPr="008A2E5A" w:rsidRDefault="00EB7062" w:rsidP="00EB70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расчетам получалось, что с мо</w:t>
      </w:r>
      <w:r w:rsidRPr="008A2E5A">
        <w:rPr>
          <w:rFonts w:ascii="Times New Roman" w:hAnsi="Times New Roman"/>
          <w:color w:val="0070C0"/>
          <w:sz w:val="16"/>
          <w:szCs w:val="16"/>
        </w:rPr>
        <w:softHyphen/>
        <w:t>тором М-250 с трехскоростным нагне</w:t>
      </w:r>
      <w:r w:rsidRPr="008A2E5A">
        <w:rPr>
          <w:rFonts w:ascii="Times New Roman" w:hAnsi="Times New Roman"/>
          <w:color w:val="0070C0"/>
          <w:sz w:val="16"/>
          <w:szCs w:val="16"/>
        </w:rPr>
        <w:softHyphen/>
        <w:t>тателем нормальный полетный вес ИТП (М-2) возрастал до 4100 кг. Соответст</w:t>
      </w:r>
      <w:r w:rsidRPr="008A2E5A">
        <w:rPr>
          <w:rFonts w:ascii="Times New Roman" w:hAnsi="Times New Roman"/>
          <w:color w:val="0070C0"/>
          <w:sz w:val="16"/>
          <w:szCs w:val="16"/>
        </w:rPr>
        <w:softHyphen/>
        <w:t>венно, увеличивалась и нагрузка на кры</w:t>
      </w:r>
      <w:r w:rsidRPr="008A2E5A">
        <w:rPr>
          <w:rFonts w:ascii="Times New Roman" w:hAnsi="Times New Roman"/>
          <w:color w:val="0070C0"/>
          <w:sz w:val="16"/>
          <w:szCs w:val="16"/>
        </w:rPr>
        <w:softHyphen/>
        <w:t>ло - до 248,5 кг/м2. Однако резко улуч</w:t>
      </w:r>
      <w:r w:rsidRPr="008A2E5A">
        <w:rPr>
          <w:rFonts w:ascii="Times New Roman" w:hAnsi="Times New Roman"/>
          <w:color w:val="0070C0"/>
          <w:sz w:val="16"/>
          <w:szCs w:val="16"/>
        </w:rPr>
        <w:softHyphen/>
        <w:t>шались летные данные самолета. Мак</w:t>
      </w:r>
      <w:r w:rsidRPr="008A2E5A">
        <w:rPr>
          <w:rFonts w:ascii="Times New Roman" w:hAnsi="Times New Roman"/>
          <w:color w:val="0070C0"/>
          <w:sz w:val="16"/>
          <w:szCs w:val="16"/>
        </w:rPr>
        <w:softHyphen/>
        <w:t>симальная скорость полета у земли до</w:t>
      </w:r>
      <w:r w:rsidRPr="008A2E5A">
        <w:rPr>
          <w:rFonts w:ascii="Times New Roman" w:hAnsi="Times New Roman"/>
          <w:color w:val="0070C0"/>
          <w:sz w:val="16"/>
          <w:szCs w:val="16"/>
        </w:rPr>
        <w:softHyphen/>
        <w:t>стигала 650 км/ч, а на высоте 6500 м и 9500 м - 780 км/ч и 800 км/ч (все на бо</w:t>
      </w:r>
      <w:r w:rsidRPr="008A2E5A">
        <w:rPr>
          <w:rFonts w:ascii="Times New Roman" w:hAnsi="Times New Roman"/>
          <w:color w:val="0070C0"/>
          <w:sz w:val="16"/>
          <w:szCs w:val="16"/>
        </w:rPr>
        <w:softHyphen/>
        <w:t>евом режиме). Время подъема на высо</w:t>
      </w:r>
      <w:r w:rsidRPr="008A2E5A">
        <w:rPr>
          <w:rFonts w:ascii="Times New Roman" w:hAnsi="Times New Roman"/>
          <w:color w:val="0070C0"/>
          <w:sz w:val="16"/>
          <w:szCs w:val="16"/>
        </w:rPr>
        <w:softHyphen/>
        <w:t>ту 5000 м составляло всего 3,5 мин. Ско</w:t>
      </w:r>
      <w:r w:rsidRPr="008A2E5A">
        <w:rPr>
          <w:rFonts w:ascii="Times New Roman" w:hAnsi="Times New Roman"/>
          <w:color w:val="0070C0"/>
          <w:sz w:val="16"/>
          <w:szCs w:val="16"/>
        </w:rPr>
        <w:softHyphen/>
        <w:t>ростная дальность полета при запасе то</w:t>
      </w:r>
      <w:r w:rsidRPr="008A2E5A">
        <w:rPr>
          <w:rFonts w:ascii="Times New Roman" w:hAnsi="Times New Roman"/>
          <w:color w:val="0070C0"/>
          <w:sz w:val="16"/>
          <w:szCs w:val="16"/>
        </w:rPr>
        <w:softHyphen/>
        <w:t>плива 480 кг - 770 км.</w:t>
      </w:r>
    </w:p>
    <w:p w14:paraId="7869202A" w14:textId="77777777" w:rsidR="00EB7062" w:rsidRPr="008A2E5A" w:rsidRDefault="00EB7062" w:rsidP="00EB70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этом «кроме изменения агрегатов винтомоторной группы, установка мото</w:t>
      </w:r>
      <w:r w:rsidRPr="008A2E5A">
        <w:rPr>
          <w:rFonts w:ascii="Times New Roman" w:hAnsi="Times New Roman"/>
          <w:color w:val="0070C0"/>
          <w:sz w:val="16"/>
          <w:szCs w:val="16"/>
        </w:rPr>
        <w:softHyphen/>
        <w:t>ра М-250 на самолете ИТП вызовет из</w:t>
      </w:r>
      <w:r w:rsidRPr="008A2E5A">
        <w:rPr>
          <w:rFonts w:ascii="Times New Roman" w:hAnsi="Times New Roman"/>
          <w:color w:val="0070C0"/>
          <w:sz w:val="16"/>
          <w:szCs w:val="16"/>
        </w:rPr>
        <w:softHyphen/>
        <w:t>менения шасси и установки вооружения». То есть, переход на М-250 не требовал капитальных переделок существующей конструкции самолета.</w:t>
      </w:r>
    </w:p>
    <w:p w14:paraId="7403D08F" w14:textId="77777777" w:rsidR="00EB7062" w:rsidRPr="008A2E5A" w:rsidRDefault="00EB7062" w:rsidP="00EB70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Отметим, что под мотор М-250 также просчитывались и варианты таких само</w:t>
      </w:r>
      <w:r w:rsidRPr="008A2E5A">
        <w:rPr>
          <w:rFonts w:ascii="Times New Roman" w:hAnsi="Times New Roman"/>
          <w:color w:val="0070C0"/>
          <w:sz w:val="16"/>
          <w:szCs w:val="16"/>
        </w:rPr>
        <w:softHyphen/>
        <w:t>летов, как И-185, Як-1, ЛаГГ-3, Ту-2, Ил-2. Из них М-250 «пристраивался» только на И-185 и Ту-2.</w:t>
      </w:r>
    </w:p>
    <w:p w14:paraId="5164EDF7" w14:textId="77777777" w:rsidR="00EB7062" w:rsidRPr="008A2E5A" w:rsidRDefault="00EB7062" w:rsidP="00EB70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Впрочем, эта работа дальнейшего раз</w:t>
      </w:r>
      <w:r w:rsidRPr="008A2E5A">
        <w:rPr>
          <w:rFonts w:ascii="Times New Roman" w:hAnsi="Times New Roman"/>
          <w:color w:val="0070C0"/>
          <w:sz w:val="16"/>
          <w:szCs w:val="16"/>
        </w:rPr>
        <w:softHyphen/>
        <w:t>вития не получила, поскольку мотор Доб</w:t>
      </w:r>
      <w:r w:rsidRPr="008A2E5A">
        <w:rPr>
          <w:rFonts w:ascii="Times New Roman" w:hAnsi="Times New Roman"/>
          <w:color w:val="0070C0"/>
          <w:sz w:val="16"/>
          <w:szCs w:val="16"/>
        </w:rPr>
        <w:softHyphen/>
        <w:t>рынина был еще более «сырым», чем мо</w:t>
      </w:r>
      <w:r w:rsidRPr="008A2E5A">
        <w:rPr>
          <w:rFonts w:ascii="Times New Roman" w:hAnsi="Times New Roman"/>
          <w:color w:val="0070C0"/>
          <w:sz w:val="16"/>
          <w:szCs w:val="16"/>
        </w:rPr>
        <w:softHyphen/>
        <w:t>торы Микулина (24308).</w:t>
      </w:r>
    </w:p>
    <w:p w14:paraId="280A0BDA" w14:textId="77777777" w:rsidR="00EB7062" w:rsidRPr="008A2E5A" w:rsidRDefault="00EB7062" w:rsidP="00EB7062">
      <w:pPr>
        <w:spacing w:after="0" w:line="240" w:lineRule="auto"/>
        <w:jc w:val="both"/>
        <w:rPr>
          <w:rFonts w:ascii="Times New Roman" w:hAnsi="Times New Roman"/>
          <w:color w:val="0070C0"/>
          <w:sz w:val="16"/>
          <w:szCs w:val="16"/>
        </w:rPr>
      </w:pPr>
    </w:p>
    <w:p w14:paraId="26063CE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на Ла-5 провели работы по улучшению прилега</w:t>
      </w:r>
      <w:r w:rsidRPr="008127F8">
        <w:rPr>
          <w:rFonts w:ascii="Times New Roman" w:hAnsi="Times New Roman"/>
          <w:color w:val="000000" w:themeColor="text1"/>
          <w:sz w:val="16"/>
          <w:szCs w:val="16"/>
        </w:rPr>
        <w:softHyphen/>
        <w:t>ния люков и створок шасси. Обеспечили синхронность выпуска правого и левого предкрылков, лучше их подогнали и облегчили. Предусмотрели выпуск щитков-закрылков на вираже, сократив его радиус и время выполнения. По результатам исследований ЦАГИ изменили конструкцию и установку трубки Пито. Доработали элек</w:t>
      </w:r>
      <w:r w:rsidRPr="008127F8">
        <w:rPr>
          <w:rFonts w:ascii="Times New Roman" w:hAnsi="Times New Roman"/>
          <w:color w:val="000000" w:themeColor="text1"/>
          <w:sz w:val="16"/>
          <w:szCs w:val="16"/>
        </w:rPr>
        <w:softHyphen/>
        <w:t>тросистему (11123).</w:t>
      </w:r>
    </w:p>
    <w:p w14:paraId="585A9EE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8F57AB"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Летом и осенью 1942 г. подвергалась резкой критике. Как толь</w:t>
      </w:r>
      <w:r w:rsidRPr="008127F8">
        <w:rPr>
          <w:rFonts w:ascii="Times New Roman" w:cs="Times New Roman"/>
          <w:color w:val="000000" w:themeColor="text1"/>
          <w:spacing w:val="0"/>
        </w:rPr>
        <w:softHyphen/>
        <w:t>ко где-то начинались решительные бои, асы немецких люфтваффе легко перехватывали инициативу, а наши лётчи</w:t>
      </w:r>
      <w:r w:rsidRPr="008127F8">
        <w:rPr>
          <w:rFonts w:ascii="Times New Roman" w:cs="Times New Roman"/>
          <w:color w:val="000000" w:themeColor="text1"/>
          <w:spacing w:val="0"/>
        </w:rPr>
        <w:softHyphen/>
        <w:t>ки могли только оборо</w:t>
      </w:r>
      <w:r w:rsidRPr="008127F8">
        <w:rPr>
          <w:rFonts w:ascii="Times New Roman" w:cs="Times New Roman"/>
          <w:color w:val="000000" w:themeColor="text1"/>
          <w:spacing w:val="0"/>
        </w:rPr>
        <w:softHyphen/>
        <w:t>няться. Наземные войска высказывали серьезное не</w:t>
      </w:r>
      <w:r w:rsidRPr="008127F8">
        <w:rPr>
          <w:rFonts w:ascii="Times New Roman" w:cs="Times New Roman"/>
          <w:color w:val="000000" w:themeColor="text1"/>
          <w:spacing w:val="0"/>
        </w:rPr>
        <w:softHyphen/>
        <w:t>довольство действиями истребителей. Не стал ис</w:t>
      </w:r>
      <w:r w:rsidRPr="008127F8">
        <w:rPr>
          <w:rFonts w:ascii="Times New Roman" w:cs="Times New Roman"/>
          <w:color w:val="000000" w:themeColor="text1"/>
          <w:spacing w:val="0"/>
        </w:rPr>
        <w:softHyphen/>
        <w:t>ключением и 49-й киап, в котором проводились войсковые испытания ЛаГГ-5, понесший большие потери и вскоре потерявший бое</w:t>
      </w:r>
      <w:r w:rsidRPr="008127F8">
        <w:rPr>
          <w:rFonts w:ascii="Times New Roman" w:cs="Times New Roman"/>
          <w:color w:val="000000" w:themeColor="text1"/>
          <w:spacing w:val="0"/>
        </w:rPr>
        <w:softHyphen/>
        <w:t>способность (15813).</w:t>
      </w:r>
    </w:p>
    <w:p w14:paraId="4122FABC"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p>
    <w:p w14:paraId="75F9E04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появились первые «Яки» с пониженным гар</w:t>
      </w:r>
      <w:r w:rsidRPr="008127F8">
        <w:rPr>
          <w:rFonts w:ascii="Times New Roman" w:hAnsi="Times New Roman"/>
          <w:color w:val="000000" w:themeColor="text1"/>
          <w:sz w:val="16"/>
          <w:szCs w:val="16"/>
        </w:rPr>
        <w:softHyphen/>
        <w:t>гротом и с круговым обзором из кабины, а осенью подобную дора</w:t>
      </w:r>
      <w:r w:rsidRPr="008127F8">
        <w:rPr>
          <w:rFonts w:ascii="Times New Roman" w:hAnsi="Times New Roman"/>
          <w:color w:val="000000" w:themeColor="text1"/>
          <w:sz w:val="16"/>
          <w:szCs w:val="16"/>
        </w:rPr>
        <w:softHyphen/>
        <w:t>ботку внедрил и Лавочкин, переделав один серийный Ла-5. Его об</w:t>
      </w:r>
      <w:r w:rsidRPr="008127F8">
        <w:rPr>
          <w:rFonts w:ascii="Times New Roman" w:hAnsi="Times New Roman"/>
          <w:color w:val="000000" w:themeColor="text1"/>
          <w:sz w:val="16"/>
          <w:szCs w:val="16"/>
        </w:rPr>
        <w:softHyphen/>
        <w:t>легчили на 120 кг, сняв часть оборудования, баки в консолях крыла (баки в центроплане сделали на 350 кг бензина) и заменив одну пушку на пулемет БС. Со следующей машины предполагали «снять» уже 315 кг и довести ее вес до 3 т за счет частичной замены дерева металлом, в т.ч. сделать новые лонжероны крыла из стали ЗОХГСА (11123).</w:t>
      </w:r>
    </w:p>
    <w:p w14:paraId="0E1EDA4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A92D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был разработан проект истребителя Як-7Р с двумя прямоточными воздушно-реактивными двигателями (ПВРД) ДМ-4С конструкции И.А. Меркулова и одним ЖРД Д-1А конструкции Л.С. Душкина. Несмотря на название, заимствованное у серийной машины (за исключением буквы модификации) внешне самолет значительно отличался от обычного Як-7: кабина переместилась в носовую часть самолета, ЖРД смонтировали в хвосте, а ПВРД - под крылом. Только крыло вместе с основными стойками шасси и четырьмя бензобаками, да еще горизонтальное оперение были полностью заимствованы у обычной "семерки". ПВРД внешне выглядели как пустотелые цилиндры с расположенной внутри системой форсунок (масса каждого двигателя не превышала 24 кг). Конструкция "прямоточника" была простой и могла быть легко освоена в производстве. Двигатели прошли предварительные испытания на самолетах И-15 и И-153, выполнивших 60 полетов. С работающими ПВРД удавалось получить прирост скорости от 20 до 42 км/ч, но зато выключенные двигатели серьезно увеличивали лобовое сопротивление и уменьшали скорость полета. Кроме того, для работающего ПВРД был характерен существенный расход топлива - до 20 кг/мин. Известно также, что "прямоточники" крайне не любили скосов потока, т.е. отказывались нормально работать при выполнении виражей, резком изменении угла наклона траектории и т. п. А что это за истребитель, который не может маневрировать? (11407).</w:t>
      </w:r>
    </w:p>
    <w:p w14:paraId="0543D2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E5F563"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Летом 1942 г. проект Костикова был доложен И.В. Сталину. Тот одобрил его, возложив функции главного конструктора самолета на А.Г. Костикова, обосновывая это решение суждениями о том, что предлагаемый ракетный самолет «302» является не механизмом, а единым с двигательной установкой организмом, и что его создание может быть успешно осуществлено конст руктором, не владеющим традиционными методами проекти рования самолетов обычного типа. Устанавливался годичный срок его создания.</w:t>
      </w:r>
    </w:p>
    <w:p w14:paraId="32038E6A"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Для обеспечения работ РНИИ был передан из систем НКБ в подчинение СНК СССР. При нем создавался авиазавод № 55.</w:t>
      </w:r>
    </w:p>
    <w:p w14:paraId="4D7B3BDE"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К работе привлекались квалифицированные специалисты из Наркомавиапрома. Заместителем Андрея Григорьевича был на значен М.Р. Бисноват, имевший некоторый опыт создания ис требителей.</w:t>
      </w:r>
    </w:p>
    <w:p w14:paraId="0BB498CE"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Однако развернувшиеся работы не всем пришлись по душе.</w:t>
      </w:r>
    </w:p>
    <w:p w14:paraId="2A56D28E"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Главным и влиятельным противником стал А.С. Яковлев, из вестный авиаконструктор, первый заместитель наркома авиа ционной промышленности. Он считал проблему создания ра кетных и реактивных самолетов делом отдаленного будущего.</w:t>
      </w:r>
    </w:p>
    <w:p w14:paraId="5FD86282"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В соответствующих кругах он создавал мнение о нереальнос ти достижения заявленных по самолету «302» данных, обо сновывая это заключениями комиссий, состоявших из числа подчиненных ему специалистов НКАЛ.</w:t>
      </w:r>
    </w:p>
    <w:p w14:paraId="0B47F5AA"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В конце 1943 г. были успешно проведены летные испыта ния самолета «302» как планера. Известный летчик-испыта тель С.Н. Анохин дал ему высокую оценку. Впервые в рабо чем режиме хорошо показала себя конструкция ЖРД с ТНА многоразового действия с регулируемой тягой. Казалось бы, все шло нормально. И тут...</w:t>
      </w:r>
    </w:p>
    <w:p w14:paraId="62A82577"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Воспользовавшись тем, что Костиков с устного разреше ния Г.М. Маленкова, лично следившего за этой машиной, внес в середине 1943 г. изменения в последовательность выполне ния работ по самолету, отодвинул конечные сроки и не офор мил это постановлением правительства, А.С. Яковлев с помощью верных ему людей обвинил Андрея Григорьевича в обма не правительства и лично И.В. Сталина.</w:t>
      </w:r>
    </w:p>
    <w:p w14:paraId="67B23499"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Реакция со стороны «вождя народов» была быстрой и стро гой: работы по самолету «302» прекратить, РНИИ ликвиди ровать, создать вместо него НИИ-1 в системе НКАП, А.Г. Ко стикова отдать под суд. У «302П», находившегося на испыта ниях на аэродроме ЛИИ, отпилили хвост, сам самолет, обладавший отличными летными качествами, выбросили на свалку. Такая же участь готовилась и для двигателя, однако, работу над ним удалось продолжить в системе НИИ-1. Завер шилась она в январе 1945 г. успешным проведением государ ственных стендовых испытаний.</w:t>
      </w:r>
    </w:p>
    <w:p w14:paraId="3A98C0C7"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Ну а дальше события развивались следующим образом.</w:t>
      </w:r>
    </w:p>
    <w:p w14:paraId="11285B0D"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Летом 1944 г. на фронтах войны появился немецкий ракет ный самолет Ме-163, схожий по идее с «302П», но обладав ший худшими характеристиками. А через несколько месяцев были успешно завершены работы по созданию первых отече ственных конструкций ЖРД с ТНА многоразового действия (однокамерного РД-2М и двухкамерного РД-2М-ЗВ) и конст рукции ПВРД. Вскоре А.С. Яковлев был снят с поста кон сультанта в ГКО по авиационной технике.</w:t>
      </w:r>
    </w:p>
    <w:p w14:paraId="5439C382"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В связи с необоснованностью обвинений в техническом авантюризме и обмане правительства при создании самолета «302», в феврале 1945 г. А.Г. Костиков был реабилитиро ван»[50].</w:t>
      </w:r>
    </w:p>
    <w:p w14:paraId="470E3E7F"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После реабилитации Костикову довелось заниматься ак тивно-реактивными снарядами по теме «Гром», где он про явил себя и как конструктор, и как организатор работ высо кого уровня (19586).</w:t>
      </w:r>
    </w:p>
    <w:p w14:paraId="08807A0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3D67453"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Летом 1942 г. испытывался модер</w:t>
      </w:r>
      <w:r w:rsidRPr="008127F8">
        <w:rPr>
          <w:rFonts w:ascii="Times New Roman" w:cs="Times New Roman"/>
          <w:color w:val="000000" w:themeColor="text1"/>
          <w:spacing w:val="0"/>
        </w:rPr>
        <w:softHyphen/>
        <w:t>низированный вариант Та-Збис 2М-89 с увеличенной площадью крыла и емко</w:t>
      </w:r>
      <w:r w:rsidRPr="008127F8">
        <w:rPr>
          <w:rFonts w:ascii="Times New Roman" w:cs="Times New Roman"/>
          <w:color w:val="000000" w:themeColor="text1"/>
          <w:spacing w:val="0"/>
        </w:rPr>
        <w:softHyphen/>
        <w:t>стью бензобаков. При незначительном ухудшении летных данных была получе</w:t>
      </w:r>
      <w:r w:rsidRPr="008127F8">
        <w:rPr>
          <w:rFonts w:ascii="Times New Roman" w:cs="Times New Roman"/>
          <w:color w:val="000000" w:themeColor="text1"/>
          <w:spacing w:val="0"/>
        </w:rPr>
        <w:softHyphen/>
        <w:t>на требуемая дальность полета 2065 км, но решения о запуске самолета в серию не последовало.</w:t>
      </w:r>
    </w:p>
    <w:p w14:paraId="153971D1"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r w:rsidRPr="008127F8">
        <w:rPr>
          <w:rFonts w:ascii="Times New Roman" w:cs="Times New Roman"/>
          <w:color w:val="000000" w:themeColor="text1"/>
          <w:spacing w:val="0"/>
        </w:rPr>
        <w:t>Оставшийся после гибели В.К. Таи</w:t>
      </w:r>
      <w:r w:rsidRPr="008127F8">
        <w:rPr>
          <w:rFonts w:ascii="Times New Roman" w:cs="Times New Roman"/>
          <w:color w:val="000000" w:themeColor="text1"/>
          <w:spacing w:val="0"/>
        </w:rPr>
        <w:softHyphen/>
        <w:t>рова его заместитель В.Н. Елагин не по</w:t>
      </w:r>
      <w:r w:rsidRPr="008127F8">
        <w:rPr>
          <w:rFonts w:ascii="Times New Roman" w:cs="Times New Roman"/>
          <w:color w:val="000000" w:themeColor="text1"/>
          <w:spacing w:val="0"/>
        </w:rPr>
        <w:softHyphen/>
        <w:t>казался руководителям НКАП фигурой, способной самостоятельно создавать новые самолеты. В результате осенью 1942 г. ОКБ-483 было расформировано (15755).</w:t>
      </w:r>
    </w:p>
    <w:p w14:paraId="57D01459" w14:textId="77777777" w:rsidR="007C5583" w:rsidRPr="008127F8" w:rsidRDefault="007C5583" w:rsidP="007C5583">
      <w:pPr>
        <w:pStyle w:val="27"/>
        <w:shd w:val="clear" w:color="auto" w:fill="auto"/>
        <w:spacing w:after="0" w:line="240" w:lineRule="auto"/>
        <w:ind w:firstLine="0"/>
        <w:rPr>
          <w:rFonts w:ascii="Times New Roman" w:cs="Times New Roman"/>
          <w:color w:val="000000" w:themeColor="text1"/>
          <w:spacing w:val="0"/>
        </w:rPr>
      </w:pPr>
    </w:p>
    <w:p w14:paraId="64A987B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года испытывался модернизированный вариант Та-3бис 2М-89 с увеличенной площадью крыла и емкостью бензобаков. При незначительном ухудшении летных данных была получена требуемая дальность полета 2065</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км, но решения о запуске самолета в серию не последовало. Оставшийся после гибели В.</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К.</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Таирова (29 октября 1941 года Таиров погиб в авиационной катастрофе) его заместитель В.</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Н.</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Елагин не показался руководителям НКАП фигурой, способной самостоятельно создавать новые самолеты. В результате осенью 1942 года ОКБ-483 было расформировано (17490).</w:t>
      </w:r>
    </w:p>
    <w:p w14:paraId="56C8CBE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04334E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была выпущена малая войсковая серия истребителя И В.Ф.Болховитинова (449).</w:t>
      </w:r>
    </w:p>
    <w:p w14:paraId="5D50A56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E56E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был построен и испытан мотопланер Г-11 В.К.Грибовского с М-11 - М-11М или Г-30. Хотели поставить МВ-6 или два М-11 в крыльях (9080).</w:t>
      </w:r>
    </w:p>
    <w:p w14:paraId="71B9E83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0D72C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построили и испытали Мотопланер с двигателем М-11 под обозначением Г-11М или Г-30. Рассматривалось два варианта установки двигателя: в носовой части фюзеляжа и на пилоне над крылом. После анализа преимуществ и недостатков выбрали второй вариант, который позволял осуществить переделки с минимумом изменений на любом серийном аппарате. В дальнейшем предполагалось установить более мощный двигатель МВ-6 или два М-11 в крыльях. В последнем случае получался небольшой транспортный самолет. Развития это направление не получило в связи с прекращением в 1942 г. серийного производства Г-11. Позднее появился самолет Ще-2, и актуальность небольшого транспортного самолета с двумя М-11 была снята (11810).</w:t>
      </w:r>
    </w:p>
    <w:p w14:paraId="12F7E63A" w14:textId="77777777" w:rsidR="007C5583" w:rsidRPr="008127F8" w:rsidRDefault="007C5583" w:rsidP="007C5583">
      <w:pPr>
        <w:widowControl w:val="0"/>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47F492"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мотопланер под обозначением Г-11М или Г-30 построили и испытали.</w:t>
      </w:r>
    </w:p>
    <w:p w14:paraId="227E530B"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Еще в 1942 г. Грибовский на основе Г-11 разработал проект мотопланера с двигателем М-11. Рассматривалось два варианта установки двигателя: в носовой части фюзеляжа и на пилоне над крылом. После анализа преимуществ и недостатков выбрали второй вариант, который позволял осуществить переделки с минимумом изменений на любом серийном аппарате.</w:t>
      </w:r>
    </w:p>
    <w:p w14:paraId="634483D7"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дальнейшем предполагалось установить более мощный двигатель МВ-6 или два М-11 в крыльях. В последнем случае получался небольшой транспортный самолет. Развития это направление не получило в связи с прекращением в 1942 г. серийного производства Г-11. Позднее появился самолет Ще-2, и актуальность небольшого транспортного самолета с двумя М-11 была снята (12682).</w:t>
      </w:r>
    </w:p>
    <w:p w14:paraId="5682CDCF"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731E5D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планерный поезд БДП Н.Н.П. совершил перелет по маршруту Новосибирск-Омск-Свердловск и обратно. В Омске круто спикировали после отцепки и ви планера Ф.Ф.Мокроус передал А.Н.Т. пакет от Н.Н.П.. На следующий день шли на бреющем и сели до границы ВПП. Обратно долетели благополучно (2863,130).</w:t>
      </w:r>
    </w:p>
    <w:p w14:paraId="6F075F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ACC031" w14:textId="77777777" w:rsidR="00EB7062" w:rsidRPr="008A2E5A" w:rsidRDefault="00EB7062" w:rsidP="00EB70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течение лета 1942 года на завод № 490 в Сталинграде из Новосибирска поступали рабочие чертежи БДП Н.Н.П., шаблоны плазы, приспособления и инструмент. </w:t>
      </w:r>
    </w:p>
    <w:p w14:paraId="2F5613BC" w14:textId="77777777" w:rsidR="00EB7062" w:rsidRPr="008A2E5A" w:rsidRDefault="00EB7062" w:rsidP="00EB70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Там в это время строился планер КГ, конструктора Курбалы, но успехи были не велики. Два конструктора на одном заводе - ситуация, для того времени, не совсем нормальная </w:t>
      </w:r>
    </w:p>
    <w:p w14:paraId="143FD769" w14:textId="77777777" w:rsidR="00EB7062" w:rsidRPr="008A2E5A" w:rsidRDefault="00EB7062" w:rsidP="00EB70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планеру, определённо, не повезло: немцы вышли к Сталинграду, и выпуск планера стал невозможен. Кроме того, некоторый задел по БДП-2, в том числе головной серийный образец, сгорели в цехе во время бомбёжки. Да и сама целесообразность выпуска БДП-2 стала не актуальной - война приняла затяжной характер, и воздушно- десантные операции для Красной армии, в ближайшей перспективе, не просма</w:t>
      </w:r>
      <w:r w:rsidRPr="008A2E5A">
        <w:rPr>
          <w:rFonts w:ascii="Times New Roman" w:hAnsi="Times New Roman"/>
          <w:color w:val="0070C0"/>
          <w:sz w:val="16"/>
          <w:szCs w:val="16"/>
        </w:rPr>
        <w:softHyphen/>
        <w:t>тривались. Кроме того, транспортные планеры А-7, Г-11 и КЦ-20 уже выпускались серийно и полностью покрывали потребности ВВС и ВДВ. Есть данные, что один планер БДП-2 кратковременно использовался для гражданских перевозок на маршруте Новосибирск - Омск - Свердловск и обратно. После этого история БДП-2 закончилась.</w:t>
      </w:r>
    </w:p>
    <w:p w14:paraId="70378EE3" w14:textId="77777777" w:rsidR="00EB7062" w:rsidRPr="008A2E5A" w:rsidRDefault="00EB7062" w:rsidP="00EB70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Известны две модификации БДП-2. Ещё в 1941 году, когда БДП проходил испытания, Поликарпов, на его основе, предложил построить так называемый Бомбопланер (БП). С его помощью предполагалось увеличить бомбовую нагрузку бомбардировщиков. На планер предполагалось загружать бомбы крупного калибра (до 1000 кг), которые не помещались в бомбо</w:t>
      </w:r>
      <w:r w:rsidRPr="008A2E5A">
        <w:rPr>
          <w:rFonts w:ascii="Times New Roman" w:hAnsi="Times New Roman"/>
          <w:color w:val="0070C0"/>
          <w:sz w:val="16"/>
          <w:szCs w:val="16"/>
        </w:rPr>
        <w:softHyphen/>
        <w:t>отсек бомбардировщика. Сброс бомб предполагалось выполнять по команде штурмана бомбардировщика. Проект реализован не был. Справедливости ради нужно заметить, что идея бомбопланера впервые была высказана Гроховским, ещё в 30-х годах ХХ века.</w:t>
      </w:r>
    </w:p>
    <w:p w14:paraId="1E71A010" w14:textId="77777777" w:rsidR="00EB7062" w:rsidRPr="008A2E5A" w:rsidRDefault="00EB7062" w:rsidP="00EB70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1943 г на планер были установлены два мотора М-11Ф. Мотопланер получил обозначение БДП-МП (модернизированный планер). Машина поднималась в воздух, но из-за невысоких лётных данных в серию мотопланер не запускался (23909).</w:t>
      </w:r>
    </w:p>
    <w:p w14:paraId="08165A8F" w14:textId="77777777" w:rsidR="00EB7062" w:rsidRPr="008A2E5A" w:rsidRDefault="00EB7062" w:rsidP="00EB7062">
      <w:pPr>
        <w:spacing w:after="0" w:line="240" w:lineRule="auto"/>
        <w:jc w:val="both"/>
        <w:rPr>
          <w:rFonts w:ascii="Times New Roman" w:hAnsi="Times New Roman"/>
          <w:color w:val="0070C0"/>
          <w:sz w:val="16"/>
          <w:szCs w:val="16"/>
        </w:rPr>
      </w:pPr>
    </w:p>
    <w:p w14:paraId="08D7BC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лета 1942 г. на завод № 490 в Сталинграде начали поступать из Новосибирска рабочие чертежи, плазы, шаблоны, приспособления по БДП. Изменившаяся не в пользу Красной Армии обстановка на фронте, выход немцев к Сталинграду, привели к тому, что производство планеров здесь было прекращено. К этому моменту под вопросом оказалась и целесообразность постройки БДП. Война явно принимала затяжной и изматывающий характер, специальные задачи, для которых этот планёр был создан, представлялись маловероятными. Тем более, что планеры А-7 Антонова и Г-11 Грибовского уже пробили себе дорогу в жизнь и строи лись серийно (4540).</w:t>
      </w:r>
    </w:p>
    <w:p w14:paraId="575A63C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B1F4C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лета 1942 г. на завод № 490 в Сталинграде из Новосибирска поступали рабочие чер</w:t>
      </w:r>
      <w:r w:rsidRPr="008127F8">
        <w:rPr>
          <w:rFonts w:ascii="Times New Roman" w:hAnsi="Times New Roman"/>
          <w:color w:val="000000" w:themeColor="text1"/>
          <w:sz w:val="16"/>
          <w:szCs w:val="16"/>
        </w:rPr>
        <w:softHyphen/>
        <w:t>тежи, шаблоны плазы, приспособления и инструмент. Но планеру не повезло: немцы вышли к Сталинграду и выпуск планера стал невозможен. Кроме того, не</w:t>
      </w:r>
      <w:r w:rsidRPr="008127F8">
        <w:rPr>
          <w:rFonts w:ascii="Times New Roman" w:hAnsi="Times New Roman"/>
          <w:color w:val="000000" w:themeColor="text1"/>
          <w:sz w:val="16"/>
          <w:szCs w:val="16"/>
        </w:rPr>
        <w:softHyphen/>
        <w:t>который задел по БДП-2, в том числе головной се</w:t>
      </w:r>
      <w:r w:rsidRPr="008127F8">
        <w:rPr>
          <w:rFonts w:ascii="Times New Roman" w:hAnsi="Times New Roman"/>
          <w:color w:val="000000" w:themeColor="text1"/>
          <w:sz w:val="16"/>
          <w:szCs w:val="16"/>
        </w:rPr>
        <w:softHyphen/>
        <w:t>рийный образец, сгорел в цехе во время бомбежки. Да и сама целесообразность выпуска БДП-2 стала неактуальной — война приняла затяжной характер, и воздушно-десантные операции для Красной Ар</w:t>
      </w:r>
      <w:r w:rsidRPr="008127F8">
        <w:rPr>
          <w:rFonts w:ascii="Times New Roman" w:hAnsi="Times New Roman"/>
          <w:color w:val="000000" w:themeColor="text1"/>
          <w:sz w:val="16"/>
          <w:szCs w:val="16"/>
        </w:rPr>
        <w:softHyphen/>
        <w:t>мии в ближайшей перспективе не просматривались. Кроме того, транспортные планеры А-7, Г-11 и КЦ-20 уже выпускались серийно и полностью покрыва</w:t>
      </w:r>
      <w:r w:rsidRPr="008127F8">
        <w:rPr>
          <w:rFonts w:ascii="Times New Roman" w:hAnsi="Times New Roman"/>
          <w:color w:val="000000" w:themeColor="text1"/>
          <w:sz w:val="16"/>
          <w:szCs w:val="16"/>
        </w:rPr>
        <w:softHyphen/>
        <w:t>ли потребности ВВС и ВДВ. Есть данные, что один планер БДП-2 кратковременно использовался для гражданских перевозок на маршруте Новосибирск — Омск — Свердловск и обратно. После этого история БДП-2 закончилась (12300).</w:t>
      </w:r>
    </w:p>
    <w:p w14:paraId="63082DF6"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BD834FF" w14:textId="77777777" w:rsidR="007C5583" w:rsidRPr="008127F8" w:rsidRDefault="007C5583" w:rsidP="007C5583">
      <w:pPr>
        <w:pStyle w:val="162"/>
        <w:shd w:val="clear" w:color="auto" w:fill="auto"/>
        <w:spacing w:line="240" w:lineRule="auto"/>
        <w:jc w:val="both"/>
        <w:rPr>
          <w:color w:val="000000" w:themeColor="text1"/>
          <w:sz w:val="16"/>
          <w:szCs w:val="16"/>
        </w:rPr>
      </w:pPr>
      <w:r w:rsidRPr="008127F8">
        <w:rPr>
          <w:rFonts w:eastAsia="Calibri"/>
          <w:color w:val="000000" w:themeColor="text1"/>
          <w:sz w:val="16"/>
          <w:szCs w:val="16"/>
        </w:rPr>
        <w:t>Летом 1942 года планер вместе с танком доставили в ЛИИ ВВС (г. Жуков</w:t>
      </w:r>
      <w:r w:rsidRPr="008127F8">
        <w:rPr>
          <w:rFonts w:eastAsia="Calibri"/>
          <w:color w:val="000000" w:themeColor="text1"/>
          <w:sz w:val="16"/>
          <w:szCs w:val="16"/>
        </w:rPr>
        <w:softHyphen/>
        <w:t>ский Московской области), где начались летные испытания. Судя по фотографиям, для снижения взлетной массы с танка была демонтиро</w:t>
      </w:r>
      <w:r w:rsidRPr="008127F8">
        <w:rPr>
          <w:rFonts w:eastAsia="Calibri"/>
          <w:color w:val="000000" w:themeColor="text1"/>
          <w:sz w:val="16"/>
          <w:szCs w:val="16"/>
        </w:rPr>
        <w:softHyphen/>
        <w:t>вана башня. Для начала КТ испытали пробегом, в ходе которого вы</w:t>
      </w:r>
      <w:r w:rsidRPr="008127F8">
        <w:rPr>
          <w:rFonts w:eastAsia="Calibri"/>
          <w:color w:val="000000" w:themeColor="text1"/>
          <w:sz w:val="16"/>
          <w:szCs w:val="16"/>
        </w:rPr>
        <w:softHyphen/>
        <w:t>яснилось, что расчеты оказались верны и ходовая часть Т-60 выдер</w:t>
      </w:r>
      <w:r w:rsidRPr="008127F8">
        <w:rPr>
          <w:rFonts w:eastAsia="Calibri"/>
          <w:color w:val="000000" w:themeColor="text1"/>
          <w:sz w:val="16"/>
          <w:szCs w:val="16"/>
        </w:rPr>
        <w:softHyphen/>
        <w:t>живает разгон до 110—115 км/ч. Затем были проведены три подлета,которые предшествовали первому полноценному полету. Поскольку ТБ-7 для проведения данных испытаний не было, пришлось исполь</w:t>
      </w:r>
      <w:r w:rsidRPr="008127F8">
        <w:rPr>
          <w:rFonts w:eastAsia="Calibri"/>
          <w:color w:val="000000" w:themeColor="text1"/>
          <w:sz w:val="16"/>
          <w:szCs w:val="16"/>
        </w:rPr>
        <w:softHyphen/>
        <w:t>зовать бомбардировщик ТБ-3 с форсированными до 970 л.с. моторами. Этот же самолет, пилотируемый летчиком-испытателем П. А. Ереме</w:t>
      </w:r>
      <w:r w:rsidRPr="008127F8">
        <w:rPr>
          <w:rFonts w:eastAsia="Calibri"/>
          <w:color w:val="000000" w:themeColor="text1"/>
          <w:sz w:val="16"/>
          <w:szCs w:val="16"/>
        </w:rPr>
        <w:softHyphen/>
        <w:t>евым, использовался и в летных испытаниях планера КТ (им управлял известный летчик-испытатель С. Н. Анохин) (17485).</w:t>
      </w:r>
    </w:p>
    <w:p w14:paraId="4075F36D" w14:textId="77777777" w:rsidR="007C5583" w:rsidRPr="008127F8" w:rsidRDefault="007C5583" w:rsidP="007C5583">
      <w:pPr>
        <w:pStyle w:val="Bodytext141"/>
        <w:shd w:val="clear" w:color="auto" w:fill="auto"/>
        <w:spacing w:line="240" w:lineRule="auto"/>
        <w:ind w:firstLine="0"/>
        <w:jc w:val="both"/>
        <w:rPr>
          <w:i w:val="0"/>
          <w:color w:val="000000" w:themeColor="text1"/>
          <w:sz w:val="16"/>
          <w:szCs w:val="16"/>
        </w:rPr>
      </w:pPr>
    </w:p>
    <w:p w14:paraId="08087F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дирекция завода № 22 просила НКАП прекратить практику персональных откомандировок ИГР в Москву. Оно мотивировало это тем, что завод и без того ис</w:t>
      </w:r>
      <w:r w:rsidRPr="008127F8">
        <w:rPr>
          <w:rFonts w:ascii="Times New Roman" w:hAnsi="Times New Roman"/>
          <w:color w:val="000000" w:themeColor="text1"/>
          <w:sz w:val="16"/>
          <w:szCs w:val="16"/>
        </w:rPr>
        <w:softHyphen/>
        <w:t>пытывает постоянный некомплект инженерно-технических сотрудников, и в этой ситуации потворствовать желанию от</w:t>
      </w:r>
      <w:r w:rsidRPr="008127F8">
        <w:rPr>
          <w:rFonts w:ascii="Times New Roman" w:hAnsi="Times New Roman"/>
          <w:color w:val="000000" w:themeColor="text1"/>
          <w:sz w:val="16"/>
          <w:szCs w:val="16"/>
        </w:rPr>
        <w:softHyphen/>
        <w:t xml:space="preserve">дельных индивидов перебраться в столицу — недопустимо (РГАЭ. Ф. 8044. </w:t>
      </w:r>
      <w:r w:rsidRPr="008127F8">
        <w:rPr>
          <w:rFonts w:ascii="Times New Roman" w:hAnsi="Times New Roman"/>
          <w:color w:val="000000" w:themeColor="text1"/>
          <w:sz w:val="16"/>
          <w:szCs w:val="16"/>
          <w:lang w:val="en-US"/>
        </w:rPr>
        <w:t>On</w:t>
      </w:r>
      <w:r w:rsidRPr="008127F8">
        <w:rPr>
          <w:rFonts w:ascii="Times New Roman" w:hAnsi="Times New Roman"/>
          <w:color w:val="000000" w:themeColor="text1"/>
          <w:sz w:val="16"/>
          <w:szCs w:val="16"/>
        </w:rPr>
        <w:t>. 1. Д. 6432. Л. 167-168) (12011).</w:t>
      </w:r>
    </w:p>
    <w:p w14:paraId="491BC83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DBEF2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перед вторым штурмом Ржева, в войсках не было частей, вооруженных М-30, и их распределяли по дивизионам, оснащенным БМ-13. Вот и отец доставил в свой полк три грузовика новых снарядов и пусковых рам для них, а также инструкции по боевому применению. Последние солдаты тут же пустили на самокрутки. Счастье отца, что особист пребывал в “состоянии особой секретности”. Костя, ты не представляешь, что может быть, когда такой вдруг протрезвеет! – сказал отцу командир полка.</w:t>
      </w:r>
    </w:p>
    <w:p w14:paraId="1572352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первом же пуске не обошлось без сюрприза: у одного зарядного ящика забыли снять распорки, удерживающие снаряд, и при выстреле его подняло, раму скрутило, вся конструкция взлетела и, упав на “нейтральную полосу”, со страшным грохотом взорвалась. Немного погодя с той стороны раздался ехидный выкрик: – Рус! Сараями стреляешь? Вскоре немцам стало не до шуток – прямое попадание М-30 разрушало любые полевые укрепления, даже многонакатные блиндажи и ДЗОТы; железобетонные сооружения выдерживали, но землей забивало щели и амбразуры, а гарнизон тяжело контузило.</w:t>
      </w:r>
    </w:p>
    <w:p w14:paraId="596D39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Правда, дальность стрельбы М-30 не превышала 2,8 км, кучность была хуже, чем не только у ствольной артиллерии, но и у БМ-13, много времени уходило на подготовку к стрельбе.</w:t>
      </w:r>
    </w:p>
    <w:p w14:paraId="4E3A85F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Дальность стрельбы увеличили до 4,2 км у усовершенствованных М-31 с улучшенной аэродинамикой и большим метательным зарядом. Попытки умельцев с 1-го Прибалтийского фронта еще повысить ее за счет дополнительных стабилизаторов успехом не увенчалась: “крылатые” снаряды летели куда угодно, только не в цель.</w:t>
      </w:r>
    </w:p>
    <w:p w14:paraId="36336C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Кучность в шесть раз повысили у модификации М-31УК, внедрив Г-образные штуцеры, в которых создавался боковой отток пороховых газов и вращающий момент, как у артиллерийских снарядов при движении по нарезам ствола.</w:t>
      </w:r>
    </w:p>
    <w:p w14:paraId="6DD5E3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новых боеприпасов создали специальные рамы: усиленные – для восьми снарядов и облегченные – для четырех, а также боевую машину БМ-31-12 на базе мощных грузовиков “студебекер” (именно такую модель посетители музея приняли за обычную “катюшу”). Тяжелые гвардейские минометные бригады БМ-31-12 сопровождали танковые и механизированные части, прокладывая им дорогу через укрепления противника.</w:t>
      </w:r>
    </w:p>
    <w:p w14:paraId="4197F59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как же запускаемые с рам “сараи”? Там, где подъехать к передовой было трудно, по лесным и болотным тропам, вручную, переносили рамы и снаряды весом по 100 кг и ящики для их запуска. Поскольку тащить ящик с четырьмя снарядами было невозможно, “составляющие” доставлялись по очереди.</w:t>
      </w:r>
    </w:p>
    <w:p w14:paraId="7DB580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Именно залпы М-30 и М-31 обеспечили успех Брянской, Невельской, Городокской, Белорусской операций. Но “звездный час” М-30 пришелся на последние месяцы войны, когда они, подобно немецким “фаустпатронам”, стали грозным оружием боя в городах.</w:t>
      </w:r>
    </w:p>
    <w:p w14:paraId="371AA4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Своеобразным полигоном оказалась Познань. Старинный польский город был уже полностью онемечен, и фольксштурм – ополчение из вооруженных горожан разного пола и возраста – усилило 80-тысячный гарнизон не мощью, а знанием местности. Сам город превратили в сплошной укрепрайон – улицы перегородили баррикадами, капитальные здания в центре стали крепостями. Даже для бойцов 8-й гвардейской армии генерала В.И. Чуйкова, со времен Сталинграда специализировавшихся на уличных боях, штурм Познани представлялся весьма трудным делом.</w:t>
      </w:r>
    </w:p>
    <w:p w14:paraId="1427365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 именно М-30 и М-31 прокладывали путь красноармейцам. Пусковые рамы и снаряды затаскивали в окна домов в 150 – 200, а то и в 20 – 30 м от цели, налаживали электропроводку пускового устройства, убирали все, что могло гореть, расчеты укрывали за капитальной стеной и замыкали цепь. Попадание снаряда в баррикаду </w:t>
      </w:r>
      <w:r w:rsidRPr="008127F8">
        <w:rPr>
          <w:rFonts w:ascii="Times New Roman" w:hAnsi="Times New Roman"/>
          <w:color w:val="000000" w:themeColor="text1"/>
          <w:sz w:val="16"/>
          <w:szCs w:val="16"/>
        </w:rPr>
        <w:lastRenderedPageBreak/>
        <w:t>вело к ее уничтожению со всеми защитниками, в толстых стенах возникали огромные бреши, либо они рушились.</w:t>
      </w:r>
    </w:p>
    <w:p w14:paraId="3F5CC3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Была домина – стала руина! – шутили солдаты.</w:t>
      </w:r>
    </w:p>
    <w:p w14:paraId="64C8F1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Потом поляки возмущались разрушениями Познани, но как иначе вести бои в городе-крепости, к тому же насыщенном фаустниками и снайперами?!</w:t>
      </w:r>
    </w:p>
    <w:p w14:paraId="0BF496D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 штурма Познани пригодился в Берлине, причем там, наряду с М-30 и М-31, использовали и снаряды М-13. У них была меньше масса боевого заряда (5 кг), но больше дальность стрельбы, их было легче поднимать на этажи. Правда, для них не предусмотрели специальных пусковых рам, так что основная нагрузка ложилась на М-31 (9632).</w:t>
      </w:r>
    </w:p>
    <w:p w14:paraId="414B75D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F5B5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лета 1942 ОКО-22 под руководством А.И. Путилова удалось разработать чертежи новой винтомоторной группы и договориться с руководством наркомата авиапромышленности о выделении дефицитных опытных моторов М-107. “Полномасштабная” поддержка пришла только осенью, когда Красная Армия с тяжелыми боями откатилась к Сталинграду (4476).</w:t>
      </w:r>
    </w:p>
    <w:p w14:paraId="1B4449E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D514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П.В.Дементьев предупредил Незваля, что АМ-35А на Пе-8 давать больше не будут. Так что на последние машины с АМ-35А выпуска 1942 года их наскребали из всех возможных мест. Спасение для серии Пе-8 было в.М-82, какие бы проблемы с ними не были на начальном этапе освоения. Окончательно "дошлифовывать" установку пришлось уже в серии. Аналогичные проблемы были у всех самолетных фирм, ставивших на свои самолеты М-82, что у Туполева с первыми Т/-2 2М-82, что у Лавочкина с первыми Ла-5 М - 82 (7685).</w:t>
      </w:r>
    </w:p>
    <w:p w14:paraId="7A8A6CD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7EFC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1942-го сотрудники НКАП стали часто упоминать имя Д.Л.Томашевича. Малоизвестный до этого инженер, конструктор тюремного ЦКБ-29 предложил для борьбы с немецкими бронированными машинами создать ни много ни мало воздушную противотанковую армию. Так ее и называли: "Противотанковая армия Томашевича" (9653).</w:t>
      </w:r>
    </w:p>
    <w:p w14:paraId="41AD81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4558C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прошли испытания вооруженного самолета УТ-2МВ с мотором М-11Ф (140л. с.), предназначенного для боевого применения на фронте в качестве легкого бомбардировщика. Испытания вели ведущий инженер-летчик Синельников и ведущий инженер Калилец. В ходе испытаний было установлено, что точность бомбометания низкая. Максимальная скорость полета - 176 км/ч.</w:t>
      </w:r>
    </w:p>
    <w:p w14:paraId="576AEDC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своем письме А.И.Шахурину А.С.Яковлев писал: “Данное вооружение будет весьма эффективным при применении самолета в качестве ночного легкого бомбардировщика-штурмовика”, Яковлев просил Шахурина дать распоряжение об изготовлении 20 самолетов УТ-2 с бомбардировочным и реактивным вооружением для посылки на фронт в составе одного полка в целях проверки их качеств в боевых условиях (9649).</w:t>
      </w:r>
    </w:p>
    <w:p w14:paraId="3C2FF8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Вариант вооруженного самолета УТ-2В предназначался для обучения бомбометанию в летных училищах и был разработан ОКБ А.С.Я. Самолет вы пускался серийно.</w:t>
      </w:r>
    </w:p>
    <w:p w14:paraId="1768BBB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основе опыта постройки УТ-2В и, по-видимому, опираясь на опыт боевого применения вооруженного самолета УТ-1, заводом № 47 был оборудован и прошел испытания в НИИ ВВС вооруженный самолет УТ-2МВ с мотором М-11Ф (140л. с.), предназначенный для боевого применения на фронте в качестве легкого бомбардировщика.</w:t>
      </w:r>
    </w:p>
    <w:p w14:paraId="27F572B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 основу был взят модернизированный самолет УТ-2М, обладающий большими запасами устойчивости и менее строгой техникой пилотирования.</w:t>
      </w:r>
    </w:p>
    <w:p w14:paraId="0E3F4C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 крылом устанавливались четыре бомбардировочных замка ДЕР-31, обеспечивающих подвеску четырех бомб калибра 50 кг при одном члене экипажа и двух бомб по 50 кг при двух членах экипажа. Возможна была подвеска восьми реактивных снарядов PC-82 и двух бомб по 50 кг при одном члене экипажа. С РСами самолет мог применяться как легкий штурмовик (9649).</w:t>
      </w:r>
    </w:p>
    <w:p w14:paraId="2D5FBE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10B79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1942-го, судя по одной из фотографий, два До-215 с советскими опознавательными знаками находились в НИИ ВВС, эвакуированного на аэродром Кольцове под Свердловском (ныне Екатеринбург) (9663).</w:t>
      </w:r>
    </w:p>
    <w:p w14:paraId="1561035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CACDE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на планерном заводе в Тюмени был изготовлен опытный образец буксируемого планера, кото</w:t>
      </w:r>
      <w:r w:rsidRPr="008127F8">
        <w:rPr>
          <w:rFonts w:ascii="Times New Roman" w:hAnsi="Times New Roman"/>
          <w:color w:val="000000" w:themeColor="text1"/>
          <w:sz w:val="16"/>
          <w:szCs w:val="16"/>
        </w:rPr>
        <w:softHyphen/>
        <w:t>рый получил название АТ-1 или КТ ("Крылья танка"). В августе - сен</w:t>
      </w:r>
      <w:r w:rsidRPr="008127F8">
        <w:rPr>
          <w:rFonts w:ascii="Times New Roman" w:hAnsi="Times New Roman"/>
          <w:color w:val="000000" w:themeColor="text1"/>
          <w:sz w:val="16"/>
          <w:szCs w:val="16"/>
        </w:rPr>
        <w:softHyphen/>
        <w:t>тябре того же года опытный образец планера прошел испытания в г. Жу</w:t>
      </w:r>
      <w:r w:rsidRPr="008127F8">
        <w:rPr>
          <w:rFonts w:ascii="Times New Roman" w:hAnsi="Times New Roman"/>
          <w:color w:val="000000" w:themeColor="text1"/>
          <w:sz w:val="16"/>
          <w:szCs w:val="16"/>
        </w:rPr>
        <w:softHyphen/>
        <w:t>ковский под Москвой в Летно-исследовательском институте (ЛИИ). Крылья планера с двухбалочным хвостовым оперением были выпол</w:t>
      </w:r>
      <w:r w:rsidRPr="008127F8">
        <w:rPr>
          <w:rFonts w:ascii="Times New Roman" w:hAnsi="Times New Roman"/>
          <w:color w:val="000000" w:themeColor="text1"/>
          <w:sz w:val="16"/>
          <w:szCs w:val="16"/>
        </w:rPr>
        <w:softHyphen/>
        <w:t>нены по бипланной схеме. Эта конструкция навешивалась и крепилась на корпус танка Т-60. Планер имел длину фюзеляжа 12 м, размах крыльев 18 м, а площадь коробки крыльев - 86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Собственная масса планера составляла 2 т, полетная масса танка была доведена до 5,8 т, при этом по</w:t>
      </w:r>
      <w:r w:rsidRPr="008127F8">
        <w:rPr>
          <w:rFonts w:ascii="Times New Roman" w:hAnsi="Times New Roman"/>
          <w:color w:val="000000" w:themeColor="text1"/>
          <w:sz w:val="16"/>
          <w:szCs w:val="16"/>
        </w:rPr>
        <w:softHyphen/>
        <w:t>лезная нагрузка на крыло составляла 90 кгс/м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Для снижения полетной массы танка с него были демонтированы: вооружение с боекомплектом, надгусеничные полки, фары и слита большая часть топлива. Экипаж планера КТ состоял из одного человека, который выполнял функции пилота, механика-водителя и стрелка. Управление планером в воздухе осуществлялось рулями и элеронами с места механика-водите</w:t>
      </w:r>
      <w:r w:rsidRPr="008127F8">
        <w:rPr>
          <w:rFonts w:ascii="Times New Roman" w:hAnsi="Times New Roman"/>
          <w:color w:val="000000" w:themeColor="text1"/>
          <w:sz w:val="16"/>
          <w:szCs w:val="16"/>
        </w:rPr>
        <w:softHyphen/>
        <w:t>ля с помощью тросового привода. Для аэродинамической компенсации на рулях и элеронах были дополнительно установлены небольшие кры</w:t>
      </w:r>
      <w:r w:rsidRPr="008127F8">
        <w:rPr>
          <w:rFonts w:ascii="Times New Roman" w:hAnsi="Times New Roman"/>
          <w:color w:val="000000" w:themeColor="text1"/>
          <w:sz w:val="16"/>
          <w:szCs w:val="16"/>
        </w:rPr>
        <w:softHyphen/>
        <w:t>лья. С целью удобства управления в полете танк дополнительно был оборудован зеркалами заднего и бокового видов. После приземления танка крыло отсоединялось пилотом с помощью специального приспо</w:t>
      </w:r>
      <w:r w:rsidRPr="008127F8">
        <w:rPr>
          <w:rFonts w:ascii="Times New Roman" w:hAnsi="Times New Roman"/>
          <w:color w:val="000000" w:themeColor="text1"/>
          <w:sz w:val="16"/>
          <w:szCs w:val="16"/>
        </w:rPr>
        <w:softHyphen/>
        <w:t>собления без выхода из танка. При испытаниях опытного образца планера КТ для его буксирова-ния был использован бомбардировщик ТБ-3 с форсированными до 970 л.с. (713 кВт) двигателями АМ-34РН. Планером управлял извест</w:t>
      </w:r>
      <w:r w:rsidRPr="008127F8">
        <w:rPr>
          <w:rFonts w:ascii="Times New Roman" w:hAnsi="Times New Roman"/>
          <w:color w:val="000000" w:themeColor="text1"/>
          <w:sz w:val="16"/>
          <w:szCs w:val="16"/>
        </w:rPr>
        <w:softHyphen/>
        <w:t>ный летчик-испытатель С.Н. Анохин. Из-за большой массы и малой об-текае-мости планера КТ, буксировка проходила при работе двигателей самолета на мощности близкой к максимальной. Скорость полета со</w:t>
      </w:r>
      <w:r w:rsidRPr="008127F8">
        <w:rPr>
          <w:rFonts w:ascii="Times New Roman" w:hAnsi="Times New Roman"/>
          <w:color w:val="000000" w:themeColor="text1"/>
          <w:sz w:val="16"/>
          <w:szCs w:val="16"/>
        </w:rPr>
        <w:softHyphen/>
        <w:t>ставляла 130 км/ч, но скорость подъема все же оказалась недостаточной и самолет смог достичь лишь высоты 40 м, при этом температура воды в системе охлаждения двигателей самолета резко возросла, и из-за опас</w:t>
      </w:r>
      <w:r w:rsidRPr="008127F8">
        <w:rPr>
          <w:rFonts w:ascii="Times New Roman" w:hAnsi="Times New Roman"/>
          <w:color w:val="000000" w:themeColor="text1"/>
          <w:sz w:val="16"/>
          <w:szCs w:val="16"/>
        </w:rPr>
        <w:softHyphen/>
        <w:t>ности их перегрева был произведен отцеп планера, который совершил посадку в районе подмосковного аэродрома Быково. После приземле</w:t>
      </w:r>
      <w:r w:rsidRPr="008127F8">
        <w:rPr>
          <w:rFonts w:ascii="Times New Roman" w:hAnsi="Times New Roman"/>
          <w:color w:val="000000" w:themeColor="text1"/>
          <w:sz w:val="16"/>
          <w:szCs w:val="16"/>
        </w:rPr>
        <w:softHyphen/>
        <w:t>ния танк своим ходом прибыл на аэродром ЛИИ. Испытания показали, что при создании планера были допущены ошибки в расчетах его аэродинамических свойств и требуемой мощности двига</w:t>
      </w:r>
      <w:r w:rsidRPr="008127F8">
        <w:rPr>
          <w:rFonts w:ascii="Times New Roman" w:hAnsi="Times New Roman"/>
          <w:color w:val="000000" w:themeColor="text1"/>
          <w:sz w:val="16"/>
          <w:szCs w:val="16"/>
        </w:rPr>
        <w:softHyphen/>
        <w:t>телей самолета-буксировщика (расчеты проводились без учета сопротив</w:t>
      </w:r>
      <w:r w:rsidRPr="008127F8">
        <w:rPr>
          <w:rFonts w:ascii="Times New Roman" w:hAnsi="Times New Roman"/>
          <w:color w:val="000000" w:themeColor="text1"/>
          <w:sz w:val="16"/>
          <w:szCs w:val="16"/>
        </w:rPr>
        <w:softHyphen/>
        <w:t>ления тросов, соединявших бипланную коробку крьиа и оперения, гусе</w:t>
      </w:r>
      <w:r w:rsidRPr="008127F8">
        <w:rPr>
          <w:rFonts w:ascii="Times New Roman" w:hAnsi="Times New Roman"/>
          <w:color w:val="000000" w:themeColor="text1"/>
          <w:sz w:val="16"/>
          <w:szCs w:val="16"/>
        </w:rPr>
        <w:softHyphen/>
        <w:t>ниц танка и др.), которые не позволили двигателям самолета ТБ-3 поднять планер на требуемую высоту, и усложнили управление им в полете. После проведения пробного полета дальнейшие работы были пре</w:t>
      </w:r>
      <w:r w:rsidRPr="008127F8">
        <w:rPr>
          <w:rFonts w:ascii="Times New Roman" w:hAnsi="Times New Roman"/>
          <w:color w:val="000000" w:themeColor="text1"/>
          <w:sz w:val="16"/>
          <w:szCs w:val="16"/>
        </w:rPr>
        <w:softHyphen/>
        <w:t>кращены (10703).</w:t>
      </w:r>
    </w:p>
    <w:p w14:paraId="10498C2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91A1D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внедрение в серию Ту-2 сказалось на судьбе бомбардировщика НБ. Постройку машины, близкой по характеристикам к Ту-2, наркомат счел излишней. Существовало еще одно соображение. Фронт проле</w:t>
      </w:r>
      <w:r w:rsidRPr="008127F8">
        <w:rPr>
          <w:rFonts w:ascii="Times New Roman" w:hAnsi="Times New Roman"/>
          <w:color w:val="000000" w:themeColor="text1"/>
          <w:sz w:val="16"/>
          <w:szCs w:val="16"/>
        </w:rPr>
        <w:softHyphen/>
        <w:t>гал далеко от границ Германии. Небольшое число дальних бомбардировщиков Пе-8 (ТБ-7) не могло пол</w:t>
      </w:r>
      <w:r w:rsidRPr="008127F8">
        <w:rPr>
          <w:rFonts w:ascii="Times New Roman" w:hAnsi="Times New Roman"/>
          <w:color w:val="000000" w:themeColor="text1"/>
          <w:sz w:val="16"/>
          <w:szCs w:val="16"/>
        </w:rPr>
        <w:softHyphen/>
        <w:t>ностью решить задачи разрушения объектов и комму</w:t>
      </w:r>
      <w:r w:rsidRPr="008127F8">
        <w:rPr>
          <w:rFonts w:ascii="Times New Roman" w:hAnsi="Times New Roman"/>
          <w:color w:val="000000" w:themeColor="text1"/>
          <w:sz w:val="16"/>
          <w:szCs w:val="16"/>
        </w:rPr>
        <w:softHyphen/>
        <w:t>никаций в глубоком тылу противника. Поэтому в июне 1942 г. ВВС изменили свои взгляды на НБ. Теперь от По</w:t>
      </w:r>
      <w:r w:rsidRPr="008127F8">
        <w:rPr>
          <w:rFonts w:ascii="Times New Roman" w:hAnsi="Times New Roman"/>
          <w:color w:val="000000" w:themeColor="text1"/>
          <w:sz w:val="16"/>
          <w:szCs w:val="16"/>
        </w:rPr>
        <w:softHyphen/>
        <w:t>ликарпова стали требовать превращения НБ в дальний бомбардировщик с экипажем из пяти человек, включая двух летчиков, т.е. самолет иного класса. Фактически речь шла о полном перепроектировании машины (10667).</w:t>
      </w:r>
    </w:p>
    <w:p w14:paraId="1DFA4C0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43BF3A"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в поселке Билимбае группа инженеров авиазавода, эвакуированного из Москвы, пыталась (приватно) найти средство значительного увеличения дульных скоростей, а, следовательно, бронебойности пуль и снарядов. Эти инженеры окончили механико-математический факультет МГУ, удовлетворительно знали математику и механику, но в области огнестрельного оружия были, мягко выражаясь, дилетантами. Вероятно, потому и придумали оружие, «стреляющее керосином», что у порядочного артиллериста, скажи ему это, вызвало бы тогда лишь усмешку.</w:t>
      </w:r>
    </w:p>
    <w:p w14:paraId="100BD244"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Вначале была подвергнута расчетам давно известная схема электропушки в виде двух соленоидов, неподвижной части — ствола — и подвижной — снаряда. Получились такие потребные мощности, что размеры и вес конденсатора выросли неприемлемо. Идея электропушки была отклонена.</w:t>
      </w:r>
    </w:p>
    <w:p w14:paraId="308E250A"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Тогда один из этих инженеров, ранее работавший в реактивном НИИ в группе С.П.Королева по пороховым крылатым ракетам и знавший о регрессивности кривой давления пороховых газов в ракетной камере и канале ствола оружия (в РНИИ он иногда листал «Внутреннюю баллистику» Серебрякова), предложил сконструировать орудие, заряжаемое обычным порохом, но с зарядом, распределенным вдоль канала ствола в отдельных каморах, сообщающихся с каналом. Предполагалось, что по мере продвижения снаряда по стволу заряды в каморах станут по очереди воспламеняться и поддерживать давление в заснарядном пространстве примерно на постоянном уровне. Это должно было увеличить работу пороховых газов и повысить дульную скорость при неизменных длине ствола и максимально допустимом в нем давлении.</w:t>
      </w:r>
    </w:p>
    <w:p w14:paraId="582FBC29"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Получилось громоздко, неудобно в эксплуатации, опасно и т.д., вследствие чего схема также была забракована. После войны в каком-то журнале или газете была фотография такой пушки, созданной немцами и, по-видимому, тоже забракованной.</w:t>
      </w:r>
    </w:p>
    <w:p w14:paraId="3A524E55"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Наши старания уперлись было в тупик, но выручил случай. Однажды на берегу заводского пруда загрохотал жидкостный ракетный двигатель, испытываемый на соседнем заводе, главного конструктора Виктора Федоровича Болховитинова, где тогда создавался БИ-1, первый в СССР истребитель с ракетным мотором.</w:t>
      </w:r>
    </w:p>
    <w:p w14:paraId="0293D9C4"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Грохот РД навел нас на мысль использовать в огнестрельном орудии вместо пороха топливо жидкостных ракет с непрерывным впрыскиванием его в заснарядное пространство в течение всей продолжительности выстрела.</w:t>
      </w:r>
    </w:p>
    <w:p w14:paraId="7D15E13B"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Идея «жидкого пороха» привлекала изобретателей еще и тем, что удельная энергоемкость известных жидких смесей, скажем керосина с азотной кислотой, значительно превышала энергоемкость пороха.</w:t>
      </w:r>
    </w:p>
    <w:p w14:paraId="4B6E9B02"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Возникла проблема впрыскивания жидкости в пространство, где давление достигало нескольких тысяч атмосфер. Выручила память. Когда-то один из нас читал переведенную с английского книгу П.У. Бриджмена «физика высоких давлений», в которой описаны устройства для опытов с жидкостями, находящимися под </w:t>
      </w:r>
      <w:r w:rsidRPr="008127F8">
        <w:rPr>
          <w:rFonts w:ascii="Times New Roman" w:hAnsi="Times New Roman"/>
          <w:color w:val="000000" w:themeColor="text1"/>
          <w:sz w:val="16"/>
          <w:szCs w:val="16"/>
        </w:rPr>
        <w:lastRenderedPageBreak/>
        <w:t>давлением в десятки и даже сотни тысяч атмосфер. Используя некоторые идеи Бриджмена, мы придумали схему подачи жидкого топлива в область высокого давления силой самого же этого давления.</w:t>
      </w:r>
    </w:p>
    <w:p w14:paraId="6D3D6EF8"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Найдя схематические решения основных вопросов, мы приступили к конструированию жидкостного оружия (к сожалению, сразу автоматического) под готовый ствол дегтяревского противотанкового ружья калибра 14,5 мм. Выполнили подробные расчеты, в которых неоценимую помощь оказал мой ныне покойный товарищ по РНИИ крупный ученый-инженер Евгений Сергеевич Щетинкое, работавший тогда в ОКБ В.</w:t>
      </w:r>
      <w:r w:rsidRPr="008127F8">
        <w:rPr>
          <w:rFonts w:ascii="Times New Roman" w:hAnsi="Times New Roman"/>
          <w:color w:val="000000" w:themeColor="text1"/>
          <w:sz w:val="16"/>
          <w:szCs w:val="16"/>
          <w:lang w:val="en-US"/>
        </w:rPr>
        <w:t>A</w:t>
      </w:r>
      <w:r w:rsidRPr="008127F8">
        <w:rPr>
          <w:rFonts w:ascii="Times New Roman" w:hAnsi="Times New Roman"/>
          <w:color w:val="000000" w:themeColor="text1"/>
          <w:sz w:val="16"/>
          <w:szCs w:val="16"/>
        </w:rPr>
        <w:t>. Болховитинова . Расчеты дали обнадеживающие результаты. Быстро изготовили чертежи «жидкостного автоматического оружия» (ЖАО) и запустили в производство. Благо, один из соавторов изобретения был директором и главным конструктором нашего завода, поэтому опытный образец изготовили очень быстро. Из-за отсутствия штатных пуль ПТРД наточили самодельных, из красной меди, зарядили ими оружие и 5 марта 1943 года в тире, составленном из кожухов разрушенных вагранок (авиазавод был размещен на территории бывшего труболитейного завода) испытали «керосиновый» пулемет. Должна была последовать автоматическая очередь выстрелов, равная количеству пуль, вложенных в магазинную коробку. Но не последовала. Произошел лишь один, судя по звуку, полноценный выстрел.</w:t>
      </w:r>
    </w:p>
    <w:p w14:paraId="68D718BA"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Оказалось, что столбик пуль в стволе подвергся такому давлению газов со стороны заснарядного пространства, что заклинило механизм автоматической подачи пуль и компонента жидкого топлива.</w:t>
      </w:r>
    </w:p>
    <w:p w14:paraId="1EDC827F"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Ошибку изобретателей, решивших создать сразу пулемет доотработки системы одиночного выстрела, отметил в своем (в основном положительном) отзыве о изобретении зам. председателя Арткома генерал-лейтенант Е.А. Беркалов. Мы немедленно это учли.</w:t>
      </w:r>
    </w:p>
    <w:p w14:paraId="0C86FD55"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Пуля из красной меди первого жидкостного выстрела пробила 8-миллиметровую стальную плиту и застряла в кирпичной кладке, к которой была прислонена плита. По диаметру пробоина значительно превысила калибр пули и имела со стороны удара ясно видимый на фото венец выплеска стали навстречу пуле, которая реформировалась в «гриб». Ученые-артиллеристы решили, что выплеск материала на входе пули в плиту, по-видимому, следует объяснить высокой скоростью встречи, а также механическими свойствами плиты и пули.</w:t>
      </w:r>
    </w:p>
    <w:p w14:paraId="31B16C63"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Макет образца оружия, из которого был произведен, по утверждению артиллеристов-ученых, первый в истории выстрел жидким «порохом», хранится в музее завода (12579).</w:t>
      </w:r>
    </w:p>
    <w:p w14:paraId="7E97E8E1"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24CDF4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в Специальной экспериментально-исследовательской группе (СЭИГ) МАИ С. А. Лапушкиным (ответственный исполнитель), П. В. Маториным (ассистент) и студентом А. Волковым были начаты под руководством К. А. Путилова работы по гидрореактивным моторам (ГРМ). В 1943 г. в механической мастерской кафедры физики МАИ были изготовлены две действующие модели для отработки принципа работы ГРМ. Модели отличались оригинальным исполнением клапанных решеток. Принцип работы ГРМ состоял в многократном пульсирующем выбросе столба воды из рабочей части трубы мотора, расположенной в воде под днищем судна. Выброс воды осуществлялся с помощью сжатого воздуха или воспламеняющейся горючей смеси, для регулярной подачи которых устанавливалась клапанная решетка в передней части ГРМ. После удачных испытаний моделей работы по ГРМ проводились на Москве-реке, в районе Дорогомиловской набережной, где находилась база охраны правительства на водах. На берегу с разрешения начальника базы генерал-майора НКВД А. Г. Демидова появилась небольшая мастерская для экспериментальных и доводочных работ. Здесь был сделан испытательный стенд СП-3 на основе буксирного катера БМК водоизмещением около 5 т. Установленный на катере двигатель «Майбах» мощностью 100 л.с. приводил в действие самодельный компрессор сжатого воздуха, выполненный из авиационного мотора М-11 Г. Сжатый воздух от компрессора поступал в серийный торпедный парогазогенератор, откуда после сгорания бензина высокотемпературный газ подавался в рабочую камеру ГРМ. Гидромотор, получивший обозначение Г-4, обеспечивал тяжелому катеру БМК медленный разгон до 5 — 10 км/ч. Гидромотор Г-4 разрабатывал А. Волков. Следующий гидромотор М-36 имел диаметр рабочей трубы 100 мм, нагнетатель с приводом от двухтактного мотоциклетного двигателя, который подавал бензовоздушную смесь в рабочую камеру. Был установлен на новом испытательном стенде — легкой дюралевой лодке. Лодка ходила при включенном ГРМ со скоростью до 25 км/ч. При испытаниях произошел легкий взрыв в камере ГРМ, но лодка оказалась на плаву и дошла до берега. Указанные работы по ГРМ проводились в 1944 — 1946 гг., было изготовлено и испытано два стенда и три гидрореактивных мотора. Под руководством К.А.Путилова работала инициативная группа студентов МАИ (Г. Новожилов, М. Киселев, Б. Бобров, Г. Тихонов, А. Волков и др.), выполнявших основные работы по созданию двигателей и стендов. Эта работа для студентов явилась хорошей школой: Г. В. Новожилов стал впоследствии генеральным конструктором, М. К. Киселев — начальником летно-испытательной станции ММЗ им. Ильюшина, Г. С. Тихонов — зам. главного инженера ММЗ им. Микояна, А. В. Волков — ведущим конструктором ММЗ им. Микояна. Ввиду особой важности указанных работ в июне 1947 г. по приказу, подписанному Сталиным, была организована Спецлаборатория № 1 Минсудпрома, и все работы по ГРМ из Московского авиационного института были переведены в старый особняк на улице Станкевича. Директором и научным руководителем Спецлаборатории был назначен К. А. Путилов. В десятидневный срок были развернуты работы на новом месте, куда пришли часть сотрудников и некоторые студенты МАИ. По тематике Спецлаборатории студенты МАИ выполняли свои дипломные проекты. Тема дипломного проекта А. Волкова — конвертирование авиадизеля АЧ-ЗОБ в дизель-компрессор для работы на ГРМ. Работы по гидрореактивным двигателям в Судпроме продолжались до 1968 г. Они получили дальнейшее развитие и были доведены до испытаний на серийных судах (12075).</w:t>
      </w:r>
    </w:p>
    <w:p w14:paraId="0C2BA5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8A6E9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наступления лета 1942 г. в Билимбае удалось отре</w:t>
      </w:r>
      <w:r w:rsidRPr="008127F8">
        <w:rPr>
          <w:rFonts w:ascii="Times New Roman" w:hAnsi="Times New Roman"/>
          <w:color w:val="000000" w:themeColor="text1"/>
          <w:sz w:val="16"/>
          <w:szCs w:val="16"/>
        </w:rPr>
        <w:softHyphen/>
        <w:t>монтировать три привезенных А-7, которые в период сда</w:t>
      </w:r>
      <w:r w:rsidRPr="008127F8">
        <w:rPr>
          <w:rFonts w:ascii="Times New Roman" w:hAnsi="Times New Roman"/>
          <w:color w:val="000000" w:themeColor="text1"/>
          <w:sz w:val="16"/>
          <w:szCs w:val="16"/>
        </w:rPr>
        <w:softHyphen/>
        <w:t>точных испытаний до конца июня совершили около 250 по</w:t>
      </w:r>
      <w:r w:rsidRPr="008127F8">
        <w:rPr>
          <w:rFonts w:ascii="Times New Roman" w:hAnsi="Times New Roman"/>
          <w:color w:val="000000" w:themeColor="text1"/>
          <w:sz w:val="16"/>
          <w:szCs w:val="16"/>
        </w:rPr>
        <w:softHyphen/>
        <w:t>летов. Один автожир при этом потерпел аварию и не вос</w:t>
      </w:r>
      <w:r w:rsidRPr="008127F8">
        <w:rPr>
          <w:rFonts w:ascii="Times New Roman" w:hAnsi="Times New Roman"/>
          <w:color w:val="000000" w:themeColor="text1"/>
          <w:sz w:val="16"/>
          <w:szCs w:val="16"/>
        </w:rPr>
        <w:softHyphen/>
        <w:t>станавливался. В апреле 1942 г. командование ВВС издало приказ о расформировании 1-й акэ и создании на ее ос</w:t>
      </w:r>
      <w:r w:rsidRPr="008127F8">
        <w:rPr>
          <w:rFonts w:ascii="Times New Roman" w:hAnsi="Times New Roman"/>
          <w:color w:val="000000" w:themeColor="text1"/>
          <w:sz w:val="16"/>
          <w:szCs w:val="16"/>
        </w:rPr>
        <w:softHyphen/>
        <w:t>нове звена (два автожира) в составе 36-й корректировоч</w:t>
      </w:r>
      <w:r w:rsidRPr="008127F8">
        <w:rPr>
          <w:rFonts w:ascii="Times New Roman" w:hAnsi="Times New Roman"/>
          <w:color w:val="000000" w:themeColor="text1"/>
          <w:sz w:val="16"/>
          <w:szCs w:val="16"/>
        </w:rPr>
        <w:softHyphen/>
        <w:t>ной авиаэскадрильи на Калининском фронте. Автожиры пе</w:t>
      </w:r>
      <w:r w:rsidRPr="008127F8">
        <w:rPr>
          <w:rFonts w:ascii="Times New Roman" w:hAnsi="Times New Roman"/>
          <w:color w:val="000000" w:themeColor="text1"/>
          <w:sz w:val="16"/>
          <w:szCs w:val="16"/>
        </w:rPr>
        <w:softHyphen/>
        <w:t>ревезли на станцию Ухтомская под Москвой, где вновь во</w:t>
      </w:r>
      <w:r w:rsidRPr="008127F8">
        <w:rPr>
          <w:rFonts w:ascii="Times New Roman" w:hAnsi="Times New Roman"/>
          <w:color w:val="000000" w:themeColor="text1"/>
          <w:sz w:val="16"/>
          <w:szCs w:val="16"/>
        </w:rPr>
        <w:softHyphen/>
        <w:t>зобновили тренировочные полеты. 20 июля 1942 г. еще один автожир потерпел аварию, на ликвидацию которой по</w:t>
      </w:r>
      <w:r w:rsidRPr="008127F8">
        <w:rPr>
          <w:rFonts w:ascii="Times New Roman" w:hAnsi="Times New Roman"/>
          <w:color w:val="000000" w:themeColor="text1"/>
          <w:sz w:val="16"/>
          <w:szCs w:val="16"/>
        </w:rPr>
        <w:softHyphen/>
        <w:t>надобилось 6 дней. 26 июля подполковник Кошиц провел дополнительные контрольные испытания имеющихся двух машин. По его мнению, к полноценным полетам годился только один экземпляр. В результате, 30 июля последова</w:t>
      </w:r>
      <w:r w:rsidRPr="008127F8">
        <w:rPr>
          <w:rFonts w:ascii="Times New Roman" w:hAnsi="Times New Roman"/>
          <w:color w:val="000000" w:themeColor="text1"/>
          <w:sz w:val="16"/>
          <w:szCs w:val="16"/>
        </w:rPr>
        <w:softHyphen/>
        <w:t>ло решение ВВС о прекращении формирования автожир- ного соединения по причине отсутствия исправных лета</w:t>
      </w:r>
      <w:r w:rsidRPr="008127F8">
        <w:rPr>
          <w:rFonts w:ascii="Times New Roman" w:hAnsi="Times New Roman"/>
          <w:color w:val="000000" w:themeColor="text1"/>
          <w:sz w:val="16"/>
          <w:szCs w:val="16"/>
        </w:rPr>
        <w:softHyphen/>
        <w:t>тельных аппаратов. Все это свидетельствовало, что карь</w:t>
      </w:r>
      <w:r w:rsidRPr="008127F8">
        <w:rPr>
          <w:rFonts w:ascii="Times New Roman" w:hAnsi="Times New Roman"/>
          <w:color w:val="000000" w:themeColor="text1"/>
          <w:sz w:val="16"/>
          <w:szCs w:val="16"/>
        </w:rPr>
        <w:softHyphen/>
        <w:t>ера автожира А-7 закончилась.</w:t>
      </w:r>
    </w:p>
    <w:p w14:paraId="36C14E6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Последние события в судьбе А-7 практически совпали с последовавшим письмом генерал-полковника Воронова на имя заместителя наркома авиапромышленности Яковлева. В своем письме Воронов обвинял главного конструктора Камова в выпуске недоброкачественной техники и требо</w:t>
      </w:r>
      <w:r w:rsidRPr="008127F8">
        <w:rPr>
          <w:rFonts w:ascii="Times New Roman" w:hAnsi="Times New Roman"/>
          <w:color w:val="000000" w:themeColor="text1"/>
          <w:sz w:val="16"/>
          <w:szCs w:val="16"/>
        </w:rPr>
        <w:softHyphen/>
        <w:t>вал предать его суду. В прилагавшейся справке указыва</w:t>
      </w:r>
      <w:r w:rsidRPr="008127F8">
        <w:rPr>
          <w:rFonts w:ascii="Times New Roman" w:hAnsi="Times New Roman"/>
          <w:color w:val="000000" w:themeColor="text1"/>
          <w:sz w:val="16"/>
          <w:szCs w:val="16"/>
        </w:rPr>
        <w:softHyphen/>
        <w:t>лось, что автожир А-7 доводился в течение восьми лет, од</w:t>
      </w:r>
      <w:r w:rsidRPr="008127F8">
        <w:rPr>
          <w:rFonts w:ascii="Times New Roman" w:hAnsi="Times New Roman"/>
          <w:color w:val="000000" w:themeColor="text1"/>
          <w:sz w:val="16"/>
          <w:szCs w:val="16"/>
        </w:rPr>
        <w:softHyphen/>
        <w:t>нако так и не достиг уровня запланированных характери</w:t>
      </w:r>
      <w:r w:rsidRPr="008127F8">
        <w:rPr>
          <w:rFonts w:ascii="Times New Roman" w:hAnsi="Times New Roman"/>
          <w:color w:val="000000" w:themeColor="text1"/>
          <w:sz w:val="16"/>
          <w:szCs w:val="16"/>
        </w:rPr>
        <w:softHyphen/>
        <w:t>стик. Далее утверждалось, что за время пребывания на фронте эскадрилья автожиров не выполнила ни одного бо</w:t>
      </w:r>
      <w:r w:rsidRPr="008127F8">
        <w:rPr>
          <w:rFonts w:ascii="Times New Roman" w:hAnsi="Times New Roman"/>
          <w:color w:val="000000" w:themeColor="text1"/>
          <w:sz w:val="16"/>
          <w:szCs w:val="16"/>
        </w:rPr>
        <w:softHyphen/>
        <w:t>евого вылета.</w:t>
      </w:r>
    </w:p>
    <w:p w14:paraId="30E8A99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Было очевидно, что указанное послание заместителя наркома обороны Воронова не было лишено неточностей и даже отрицало объективные факты. В указанных об</w:t>
      </w:r>
      <w:r w:rsidRPr="008127F8">
        <w:rPr>
          <w:rFonts w:ascii="Times New Roman" w:hAnsi="Times New Roman"/>
          <w:color w:val="000000" w:themeColor="text1"/>
          <w:sz w:val="16"/>
          <w:szCs w:val="16"/>
        </w:rPr>
        <w:softHyphen/>
        <w:t>стоятельствах Яковлев вступился за Камова, мотивируя все неудачи сложностью и новизной дела. В ответном письме Воронову и в прокуратуру Яковлев оценил обвинение как необоснованное, чем спас Камова от крупных неприятно</w:t>
      </w:r>
      <w:r w:rsidRPr="008127F8">
        <w:rPr>
          <w:rFonts w:ascii="Times New Roman" w:hAnsi="Times New Roman"/>
          <w:color w:val="000000" w:themeColor="text1"/>
          <w:sz w:val="16"/>
          <w:szCs w:val="16"/>
        </w:rPr>
        <w:softHyphen/>
        <w:t>стей. Однако работы по автожирам с этого момента в Со</w:t>
      </w:r>
      <w:r w:rsidRPr="008127F8">
        <w:rPr>
          <w:rFonts w:ascii="Times New Roman" w:hAnsi="Times New Roman"/>
          <w:color w:val="000000" w:themeColor="text1"/>
          <w:sz w:val="16"/>
          <w:szCs w:val="16"/>
        </w:rPr>
        <w:softHyphen/>
        <w:t>ветском Союзе окончательно прекратили. Завод в Би</w:t>
      </w:r>
      <w:r w:rsidRPr="008127F8">
        <w:rPr>
          <w:rFonts w:ascii="Times New Roman" w:hAnsi="Times New Roman"/>
          <w:color w:val="000000" w:themeColor="text1"/>
          <w:sz w:val="16"/>
          <w:szCs w:val="16"/>
        </w:rPr>
        <w:softHyphen/>
        <w:t>лимбае перепрофилировали для ремонта поврежденной техники и выпуска необходимой для фронта продукции (20361).</w:t>
      </w:r>
    </w:p>
    <w:p w14:paraId="68BE0C2B"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5DE5CE6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в СИЭГ С. А. Лапушкиным (ответственный исполнитель), П. В. Маториным (ассистент) и студентом А. Волковым были начаты под руководством К. А. Путилова работы по гидрореактивным моторам (ГРМ). В 1943 г. в механической мастерской кафедры физики были изготовлены две действующие модели для отработки принципа работы ГРМ. Модели отличались оригинальным исполнением клапанных решеток. Принцип работы ГРМ состоял в многократном пульсирующем выбросе столба воды из рабочей части трубы мотора, расположенной в воде под днищем судна. Выброс воды осуществлялся с помощью сжатого воздуха или воспламеняющейся горючей смеси, для регулярной подачи которых устанавливалась клапанная решетка в передней части ГРМ. После удачных испытаний моделей работы по ГРМ проводились на Москве-реке, в районе Дорогомиловской набережной, где находилась база охраны правительства на водах. На берегу с разрешения начальника базы генерал-майора НКВД А. Г. Демидова появилась небольшая мастерская для экспериментальных и доводочных работ. Здесь был сделан испытательный стенд СП-3 на основе буксирного катера БМК водоизмещением около 5 т. Установленный на катере двигатель «Майбах» мощностью 100 л.с. приводил в действие самодельный компрессор сжатого воздуха, выполненный из авиационного мотора М-11 Г. Сжатый воздух от компрессора поступал в серийный торпедный парогазогенератор, откуда после сгорания бензина высокотемпературный газ подавался в рабочую камеру ГРМ. Гидромотор, получивший обозначение Г-4, обеспечивал тяжелому катеру БМК медленный разгон до 5 — 10 км/ч. Гидромотор Г-4 разрабатывал А. Волков. Следующий гидромотор М-36 имел диаметр рабочей трубы 100 мм, нагнетатель с приводом от двухтактного мотоциклетного двигателя, который подавал бензовоздушную смесь в рабочую камеру. Был установлен на новом испытательном стенде — легкой дюралевой лодке. Лодка ходила при включенном ГРМ со скоростью до 25 км/ч. При испытаниях произошел легкий взрыв в камере ГРМ, но лодка оказалась на плаву и дошла до берега. Указанные работы по ГРМ проводились в 1944 — 1946 гг., было изготовлено и испытано два стенда и три гидрореактивных мотора. Ввиду особой важности указанных работ в июне 1947 г. по приказу, подписанному Сталиным, была организована Спецлаборатория № 1 Минсудпрома, и все работы по ГРМ из Московского авиационного института были переведены в старый особняк на улице Станкевича. Директором и научным руководителем Спецлаборатории был назначен К. А. Путилов. В десятидневный срок были развернуты работы на новом месте, куда пришли часть сотрудников и некоторые студенты МАИ. По тематике Спецлаборатории студенты МАИ выполняли свои дипломные проекты. Тема дипломного проекта А. Волкова — конвертирование авиадизеля АЧ-ЗОБ в дизель-компрессор для работы на ГРМ. Работы по гидрореактивным двигателям в Судпроме продолжались до 1968 г. (15730).</w:t>
      </w:r>
    </w:p>
    <w:p w14:paraId="542CE84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9D83DA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Летом 1942 г. возник вопрос об унификации кабин самолетов, 14 июля вышел приказ НКАП и ГУ ВВС № 524/030: «...Для разработки схем стандартной кабины самолетов, назначаем комиссию под пред - седательством зам. нач. 7 ГУ Н. И. Петрова... Комис - сии к работе приступить немедленно и схемы стандартных кабин </w:t>
      </w:r>
      <w:r w:rsidRPr="008127F8">
        <w:rPr>
          <w:rFonts w:ascii="Times New Roman" w:hAnsi="Times New Roman"/>
          <w:color w:val="000000" w:themeColor="text1"/>
          <w:sz w:val="16"/>
          <w:szCs w:val="16"/>
        </w:rPr>
        <w:lastRenderedPageBreak/>
        <w:t>представить на утверждение: по истребителям к 20 июля 1942 г., по штурмовикам к 25 июля 1942 г., по бомбардировщикам к 30 июля 1942 г... Место работы комиссии — БНТ ЦАГИ» (19727).</w:t>
      </w:r>
    </w:p>
    <w:p w14:paraId="57C29A5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F16DA84" w14:textId="77777777" w:rsidR="00EB7062" w:rsidRPr="008A2E5A" w:rsidRDefault="00EB7062" w:rsidP="00EB70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1942 года возникла новая проблема в производстве порохов для РС: закончился централит. Вы</w:t>
      </w:r>
      <w:r w:rsidRPr="008A2E5A">
        <w:rPr>
          <w:rFonts w:ascii="Times New Roman" w:hAnsi="Times New Roman"/>
          <w:color w:val="0070C0"/>
          <w:sz w:val="16"/>
          <w:szCs w:val="16"/>
        </w:rPr>
        <w:softHyphen/>
        <w:t>пускавший централит Дорогомилов</w:t>
      </w:r>
      <w:r w:rsidRPr="008A2E5A">
        <w:rPr>
          <w:rFonts w:ascii="Times New Roman" w:hAnsi="Times New Roman"/>
          <w:color w:val="0070C0"/>
          <w:sz w:val="16"/>
          <w:szCs w:val="16"/>
        </w:rPr>
        <w:softHyphen/>
        <w:t>ский завод был эвакуирован из Мо</w:t>
      </w:r>
      <w:r w:rsidRPr="008A2E5A">
        <w:rPr>
          <w:rFonts w:ascii="Times New Roman" w:hAnsi="Times New Roman"/>
          <w:color w:val="0070C0"/>
          <w:sz w:val="16"/>
          <w:szCs w:val="16"/>
        </w:rPr>
        <w:softHyphen/>
        <w:t>сквы, и до его вступления в строй на новом месте использовались имеющи</w:t>
      </w:r>
      <w:r w:rsidRPr="008A2E5A">
        <w:rPr>
          <w:rFonts w:ascii="Times New Roman" w:hAnsi="Times New Roman"/>
          <w:color w:val="0070C0"/>
          <w:sz w:val="16"/>
          <w:szCs w:val="16"/>
        </w:rPr>
        <w:softHyphen/>
        <w:t>еся запасы. Запасы кончились, а завод к производству так и не приступил. Гальперин предложил смелое и оригинальное решение: заменить централит оксидом магния. Но где в войну его найти в чистом виде, без примесей? Нашли... в аптеке. Аптечный препарат жженая магнезия вполне подходил.</w:t>
      </w:r>
    </w:p>
    <w:p w14:paraId="0AC9E7F4" w14:textId="77777777" w:rsidR="00EB7062" w:rsidRPr="008A2E5A" w:rsidRDefault="00EB7062" w:rsidP="00EB70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Радовались недолго, так как вскоре все запасы жженой маг</w:t>
      </w:r>
      <w:r w:rsidRPr="008A2E5A">
        <w:rPr>
          <w:rFonts w:ascii="Times New Roman" w:hAnsi="Times New Roman"/>
          <w:color w:val="0070C0"/>
          <w:sz w:val="16"/>
          <w:szCs w:val="16"/>
        </w:rPr>
        <w:softHyphen/>
        <w:t>незии аптечной системы СССР были исчерпаны. На помощь Ба</w:t>
      </w:r>
      <w:r w:rsidRPr="008A2E5A">
        <w:rPr>
          <w:rFonts w:ascii="Times New Roman" w:hAnsi="Times New Roman"/>
          <w:color w:val="0070C0"/>
          <w:sz w:val="16"/>
          <w:szCs w:val="16"/>
        </w:rPr>
        <w:softHyphen/>
        <w:t>каеву и Гальперину пришли... двое рабочих, ранее трудившихся на заводе «Магнезит» Челябинской области. Завод вырабатывал оксид магния для производства огнеупорных кирпичей. Заинтере</w:t>
      </w:r>
      <w:r w:rsidRPr="008A2E5A">
        <w:rPr>
          <w:rFonts w:ascii="Times New Roman" w:hAnsi="Times New Roman"/>
          <w:color w:val="0070C0"/>
          <w:sz w:val="16"/>
          <w:szCs w:val="16"/>
        </w:rPr>
        <w:softHyphen/>
        <w:t>совавшись идеей, Бакаев и Гальперин отправили рабочих на этот завод за образцами. Вскоре они вернулись и привезли несколько мешков оксида магния.</w:t>
      </w:r>
    </w:p>
    <w:p w14:paraId="7ED421A0" w14:textId="77777777" w:rsidR="00EB7062" w:rsidRPr="008A2E5A" w:rsidRDefault="00EB7062" w:rsidP="00EB70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Взглянув, ученые пришли в ужас: серый порошок содержал огромное количество примесей, видимых не</w:t>
      </w:r>
      <w:r w:rsidRPr="008A2E5A">
        <w:rPr>
          <w:rFonts w:ascii="Times New Roman" w:hAnsi="Times New Roman"/>
          <w:color w:val="0070C0"/>
          <w:sz w:val="16"/>
          <w:szCs w:val="16"/>
        </w:rPr>
        <w:softHyphen/>
        <w:t>вооруженным глазом, и для производства пороха не годился.</w:t>
      </w:r>
    </w:p>
    <w:p w14:paraId="2B1AFADA" w14:textId="77777777" w:rsidR="00EB7062" w:rsidRPr="008A2E5A" w:rsidRDefault="00EB7062" w:rsidP="00EB70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иного выхода не было. Изменили технологию, приме</w:t>
      </w:r>
      <w:r w:rsidRPr="008A2E5A">
        <w:rPr>
          <w:rFonts w:ascii="Times New Roman" w:hAnsi="Times New Roman"/>
          <w:color w:val="0070C0"/>
          <w:sz w:val="16"/>
          <w:szCs w:val="16"/>
        </w:rPr>
        <w:softHyphen/>
        <w:t>нили имеющийся оксид магния и получили весьма удовлетво</w:t>
      </w:r>
      <w:r w:rsidRPr="008A2E5A">
        <w:rPr>
          <w:rFonts w:ascii="Times New Roman" w:hAnsi="Times New Roman"/>
          <w:color w:val="0070C0"/>
          <w:sz w:val="16"/>
          <w:szCs w:val="16"/>
        </w:rPr>
        <w:softHyphen/>
        <w:t>рительные результаты. Летом 1942 года порох Н был заменен порохом НМ-2. В 1943 году начались поставки американского централита по ленд-лизу. Но к пороху «Н» уже не возвраща</w:t>
      </w:r>
      <w:r w:rsidRPr="008A2E5A">
        <w:rPr>
          <w:rFonts w:ascii="Times New Roman" w:hAnsi="Times New Roman"/>
          <w:color w:val="0070C0"/>
          <w:sz w:val="16"/>
          <w:szCs w:val="16"/>
        </w:rPr>
        <w:softHyphen/>
        <w:t>лись, так как технологию НМ-2 удалось достаточно отработать (23510).</w:t>
      </w:r>
    </w:p>
    <w:p w14:paraId="45163D42" w14:textId="77777777" w:rsidR="00EB7062" w:rsidRPr="008A2E5A" w:rsidRDefault="00EB7062" w:rsidP="00EB7062">
      <w:pPr>
        <w:spacing w:after="0" w:line="240" w:lineRule="auto"/>
        <w:jc w:val="both"/>
        <w:rPr>
          <w:rFonts w:ascii="Times New Roman" w:hAnsi="Times New Roman"/>
          <w:color w:val="0070C0"/>
          <w:sz w:val="16"/>
          <w:szCs w:val="16"/>
        </w:rPr>
      </w:pPr>
    </w:p>
    <w:p w14:paraId="0138F26F" w14:textId="77777777" w:rsidR="00EB7062" w:rsidRPr="008A2E5A" w:rsidRDefault="00EB7062" w:rsidP="00EB70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1942 года в войска поступил 4-зарядный станок для стрель</w:t>
      </w:r>
      <w:r w:rsidRPr="008A2E5A">
        <w:rPr>
          <w:rFonts w:ascii="Times New Roman" w:hAnsi="Times New Roman"/>
          <w:color w:val="0070C0"/>
          <w:sz w:val="16"/>
          <w:szCs w:val="16"/>
        </w:rPr>
        <w:softHyphen/>
        <w:t>бы тяжелыми снарядами М-30 с надкалиберной головной частью. В это же время для фугасного снаряда М-20 были раз</w:t>
      </w:r>
      <w:r w:rsidRPr="008A2E5A">
        <w:rPr>
          <w:rFonts w:ascii="Times New Roman" w:hAnsi="Times New Roman"/>
          <w:color w:val="0070C0"/>
          <w:sz w:val="16"/>
          <w:szCs w:val="16"/>
        </w:rPr>
        <w:softHyphen/>
        <w:t>работаны специальные съемные направляющие, монтаж которых осуществлялся на серийных ма шинах БМ-13 (23510).</w:t>
      </w:r>
    </w:p>
    <w:p w14:paraId="00B93D8E" w14:textId="77777777" w:rsidR="00EB7062" w:rsidRPr="008A2E5A" w:rsidRDefault="00EB7062" w:rsidP="00EB7062">
      <w:pPr>
        <w:spacing w:after="0" w:line="240" w:lineRule="auto"/>
        <w:jc w:val="both"/>
        <w:rPr>
          <w:rFonts w:ascii="Times New Roman" w:hAnsi="Times New Roman"/>
          <w:color w:val="0070C0"/>
          <w:sz w:val="16"/>
          <w:szCs w:val="16"/>
        </w:rPr>
      </w:pPr>
    </w:p>
    <w:p w14:paraId="5FA7F7E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по заданию ГУВ ГМЧ СКБ московского завода №733 “Компрессор“ под руководством</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А. Н. Васильева разрабатывал с</w:t>
      </w:r>
      <w:hyperlink r:id="rId99"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 xml:space="preserve">и для запуска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100-мм реактивных противо</w:t>
      </w:r>
      <w:hyperlink r:id="rId100"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овых мин МП-10. Было создано три образца с</w:t>
      </w:r>
      <w:hyperlink r:id="rId101"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ов.</w:t>
      </w:r>
    </w:p>
    <w:p w14:paraId="49DE8C9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июле был создан первый из этой серии, открытый двухзарядный станок МП-10. Он состоял из рамы, на которой сверху были закреплены две направляющие в виде открытого лотка, а снизу два ходовых колеса малого диаметра</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и тяговое устройство (дышло) для передвижения с</w:t>
      </w:r>
      <w:hyperlink r:id="rId102"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а при смене позиций. С боку с</w:t>
      </w:r>
      <w:hyperlink r:id="rId103"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а на кронштейне имелось прицельное приспособление в виде мушки и рамки с пусковым механизмом.</w:t>
      </w:r>
    </w:p>
    <w:p w14:paraId="79C4931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августе 1942г. СКБ московского завода №733 “Компрессор“ был создан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опытный 2-х ствольный станок для пуска реактивной противо</w:t>
      </w:r>
      <w:hyperlink r:id="rId104"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 xml:space="preserve">овой мины МП-10. Станок разрабатывался по заданию ГУВ ГМЧ КА, ТЗ-00149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и предназначался для поражения </w:t>
      </w:r>
      <w:hyperlink r:id="rId105"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 xml:space="preserve">ов и бронемашин противника.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Заводское название: переносной двуствольный противо</w:t>
      </w:r>
      <w:hyperlink r:id="rId106"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овый реактивный миномет (ПДПРМ).</w:t>
      </w:r>
    </w:p>
    <w:p w14:paraId="054B941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Боевой станок (пусковая установка)для МП-10 представлял собой направляющие в виде двух тонкостенных гладких стальных труб, в которые сзади вставлялись мины МП-10. Снизу к направляющим крепились: спусковой механизм с рычагом и шепталом механического действия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с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двойным спусковым крючком, , передний суппорт и задний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упор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удерживающие мину от выпадения,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трубчатая рукоять для наведения, передняя трубчатая сошка. Прицельные приспособления</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 представляли собой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простые открытые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мушку и рамку приваренные к стволу с левой стороны.</w:t>
      </w:r>
    </w:p>
    <w:p w14:paraId="3F7D6C8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Пуск мины производился нажатием на спусковой крючок, при этом механизм выдергивал из мины запал мгновенного действия.</w:t>
      </w:r>
    </w:p>
    <w:p w14:paraId="49B8808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Прицеливание и пуск мины производился из лежачего положения. При пуске стрелок надевал на голову специальный защитный шлем.</w:t>
      </w:r>
    </w:p>
    <w:p w14:paraId="4626C76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Станок был испытан на артиллерийском полигоне ГАУ и был принят на вооружение РККА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(В индексах вооружения ГАУ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значился как: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52-У-931 - 2-зарядный станок серт. ТЗ-00149 для пуска 100-мм противо</w:t>
      </w:r>
      <w:hyperlink r:id="rId107"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 xml:space="preserve">овых мин 52-У-941Б.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журнал № 0018, 1942 г)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Заводом “Компрессор”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была изготовлена опытная серия.</w:t>
      </w:r>
    </w:p>
    <w:p w14:paraId="58BD966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сентябре 1942 г. была создана одноствольная версия с</w:t>
      </w:r>
      <w:hyperlink r:id="rId108"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а для пуска реактивной противо</w:t>
      </w:r>
      <w:hyperlink r:id="rId109"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овой мины МП-10. Конструкция была полностью аналогична двуствольному образцу.</w:t>
      </w:r>
    </w:p>
    <w:p w14:paraId="7C3F1C1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сожалению, ТТХ данных РПГ и характеристик противо</w:t>
      </w:r>
      <w:hyperlink r:id="rId110"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овой реактивной мины МП-10 и результатов испытаний не обнаружено…(15596).</w:t>
      </w:r>
    </w:p>
    <w:p w14:paraId="1C26A80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208FB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7DA7E08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5CDE9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 лету 1942 г. большая часть сотрудников ОТБ была с средоточена в Перми (город с 1940 г. по 1957 г. называло Молотов). В Перми сотрудники ОТБ были разбросаны по нескольким зданиям в разных частях города, по крайней мере, одно из них </w:t>
      </w:r>
      <w:r w:rsidRPr="008127F8">
        <w:rPr>
          <w:rFonts w:ascii="Times New Roman" w:hAnsi="Times New Roman"/>
          <w:smallCaps/>
          <w:color w:val="000000" w:themeColor="text1"/>
          <w:sz w:val="16"/>
          <w:szCs w:val="16"/>
        </w:rPr>
        <w:t xml:space="preserve">находилось </w:t>
      </w:r>
      <w:r w:rsidRPr="008127F8">
        <w:rPr>
          <w:rFonts w:ascii="Times New Roman" w:hAnsi="Times New Roman"/>
          <w:color w:val="000000" w:themeColor="text1"/>
          <w:sz w:val="16"/>
          <w:szCs w:val="16"/>
        </w:rPr>
        <w:t>на территории артиллерийского завода № 172 им. Молотова. По названию этого завода ОТВ было переименовано в ОКБ-172. На заводе № 172 и до 1942 г. и после функционировало свое КБ, где работали вольнонаемные инженеры (10675).</w:t>
      </w:r>
    </w:p>
    <w:p w14:paraId="01D3974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5F4B8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ОТБ 172 было целенаправленно переведено из Томска в г. Молотов (до 1940 г. и с 1957 г. Пермь) (18664).</w:t>
      </w:r>
      <w:r>
        <w:rPr>
          <w:rFonts w:ascii="Times New Roman" w:hAnsi="Times New Roman"/>
          <w:color w:val="000000" w:themeColor="text1"/>
          <w:sz w:val="16"/>
          <w:szCs w:val="16"/>
        </w:rPr>
        <w:t xml:space="preserve">  </w:t>
      </w:r>
    </w:p>
    <w:p w14:paraId="3BE1072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2DC72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Летом 1942 г. среднеуральский завод (98 им. Кирова, пермь) обязали увеличить выпуск зарядов для реактивной и крупнокалиберной артиллерии за три месяца в несколько раз против первоначально намеченного. Был разработан план-график круглосуточного ведения работ по строительству второй очереди завода. Намеченные темпы работ в довоенное время сочли бы фантастикой. </w:t>
      </w:r>
    </w:p>
    <w:p w14:paraId="1E162B9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Строители еще только заканчивали кладку стен, а монтажники уже устанавливали оборудование. Были выделены дополнительно продовольствие, обувь, одежда, большой премиальный фонд. </w:t>
      </w:r>
    </w:p>
    <w:p w14:paraId="53929BD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Задание Государственного комитета обороны было выполнено за два с половиной месяца. Страна высоко оценила этот подвиг. Более 1000 человек были награждены орденами и медалями.</w:t>
      </w:r>
    </w:p>
    <w:p w14:paraId="3A706C9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Огромное значение для страны имели завершенные на средне-уральском заводе во время войны работы по созданию новой более производительной технологии изготовления ниртоглицериновых порохов на основе применения системы аппаратов непрерывного действия. Эти работы были начаты в предвоенный период. Еще в ноябре 1940 г. результаты предварительных испытаний лабораторных установок непрерывного действия рассматривались НКБ СССР и получили положительную оценку. После этого были изготовлены укрупненные полузаводские аппараты, позволившие провести широкие технологические исследования, которые показали, что новая технология, кроме несравненно более высокой производительности, имеет ряд существенных преимуществ перед гидропрессовой технологией. Она обеспечивала: улучшение качества пороха; менее опасные условия работы для обслуживающего персонала; возможность использования женского труда, что в условиях войны имело исключительно важное значение; резкое, в 15-20 раз, снижение количества возвратного брака; уменьшение примерно в три раза расхода пара и электроэнергии на тонну пороха. </w:t>
      </w:r>
    </w:p>
    <w:p w14:paraId="06033B5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Полученные результаты были в начале 1942 г. рассмотрены и одобрены Коллегией НКБ СССР. По ее представлению Государственный комитет обороны принял Постановление от 18 мая 1942 г. о строительстве на среднеуральском заводе производственной линии на большую мощность.</w:t>
      </w:r>
    </w:p>
    <w:p w14:paraId="4507776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5 апреля 1943 г. строительство производственной линии по новой технологии коллективом среднеуральского завода было завершено. Таким образом, огромный объем работы в тяжелых условиях военного был выполнен менее чем за один год. </w:t>
      </w:r>
    </w:p>
    <w:p w14:paraId="4A7D8B1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апреле 1943 г. по новой технологии были изготовлены три становочно-валовые партии зарядов для M-13 по 3 тыс. штук в партии. Особым техническим бюро завода параллельно велись всесторонние исследования пороха, изготовляемого по новой технологии, прежде всего его баллистических характеристик. Было установлено, что скорость его горения примерно на 9% выше, чем у пороха, изготовленного по гидропрессовой технологии, а потому для обеспечения требований по максимальному давлению газа в двигателе, калорийность пороха, изготовляемого по новой технологии, была снижена на 4%. </w:t>
      </w:r>
    </w:p>
    <w:p w14:paraId="4D4E63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Изготовленные заряды были подвергнуты стендовым и стрельбовым испытаниям во всем интервале эксплуатационных температур. </w:t>
      </w:r>
    </w:p>
    <w:p w14:paraId="535E27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Результаты испытаний открыли широкую дорогу новой технологии изготовления зарядов. Все работы по ее созданию проводились под научным руководством А.С. Бакаева, техническим руководителем разработки аппаратуры и внедрения ее в производство был инженер А.Э. Спориус. Ведущими инженерами основных узлов — Ф.М. Хритинин, Б.А. Парфенов и др. /21;22;23/. </w:t>
      </w:r>
    </w:p>
    <w:p w14:paraId="5E10683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Кроме трудностей, типичных для работы всей промышленности в тяжелейших условиях войны, не раз возникали в ходе изготовления порохов и зарядов серьезные технические проблемы, специфичные для порохового производства. Многие из этих проблем требовали для правильного и быстрого решения глубокого научного подхода и широких научно-технических исследований. Огромную помощь заводу в преодолении этих трудностей оказало Особое бюро, переведенное в начале войны из Московского порохового института на среднеуральский завод. </w:t>
      </w:r>
    </w:p>
    <w:p w14:paraId="367A110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Особое бюро, научно-техническая деятельность которого возглавлялась главным инженером А.С.Бакаевым, было возложено не только научно-техническое обеспечение текущего производства, но и проведение работ по совершенствованию порохов и зарядов, а также по повышению производительности основных фаз технологического процесса. </w:t>
      </w:r>
    </w:p>
    <w:p w14:paraId="03EBB1E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Приведу несколько примеров, характеризующих научно-техническую деятельность Особого бюро в период Великой Отечественной Войны. </w:t>
      </w:r>
    </w:p>
    <w:p w14:paraId="0414B08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Вопросы обеспечения сырьем для изготовления нигроглицериновых порохов в условиях военного времени приобрели особую остроту. Отсутствие любого из компонентов пороха ставило под угрозу возможность производства ракетных зарядов. Поэтому исключительную важность имели работы по изысканию заменителей, прежде всего централита. Централит, вводимый в состав пороха в качестве стабилизатора химической стойкости, и до войны был самым дорогим и дефицитным компонентом нитроглицериновых порохов, что объяснялось сложностью изготовления как его самого, так и основного сырья для него. </w:t>
      </w:r>
    </w:p>
    <w:p w14:paraId="28C4FB1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 xml:space="preserve">После эвакуации из Москвы Дорогомиловского химзавода, единственного в тот период производителя централита, выпуск его в стране был прекращен. В середине 1942 г. запасы централита на среднеуральском заводе иссякали. Производство зарядов для PC вот-вот должно было остановиться. Однако выход был найден. В связи с отсутствием централита возникла идея вводить в качестве стабилизатора химической стойкости пороха окись магния, являющуюся слабым основанием. На этом порохе, получившем наименование НМ-2, были изготовлены опытные партии зарядов к М-8 и M-13. </w:t>
      </w:r>
    </w:p>
    <w:p w14:paraId="27E094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Широкие стендовые проверки, а также контрольные стрельбовые испытания, проведенные на полигоне, прошли с положительными результатами. При этих испытаниях было установлено, что если заряды, изготовленные из пороха Н, не всегда нормально работали при температурах минус 30°С и ниже, то заряды из пороха, содержавшего окись магния, устойчиво работали во всем диапазоне возможных температур боевого применения РС, давая одновременно более низкий уровень давлений при максимальной положительной температуре заряда. </w:t>
      </w:r>
    </w:p>
    <w:p w14:paraId="6DB60C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Оказалось, что окись магния, введенная только как стабилизатор химической стойкости пороха, заметно улучшила и баллистические качества его. Работы Особого бюро в этом направлении положили начало исследованиям каталитических процессов при горении порохов, поискам наиболее эффективных катализаторов горения и т.д. </w:t>
      </w:r>
    </w:p>
    <w:p w14:paraId="7C0FD97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7 сентября 1942 г., в связи с полным израсходованием запасов централита, порох с окисью магния был введен в производство. Всего три дня потребовалось заводу, чтобы наладить его внедрение и перейти к массовому изготовлению зарядов. За четыре месяца (по 1 января 1943 г.) среднеуральским заводом было изготовлено более 3000 т пороха НМ-2 для M-13 и М-8. Невозможно переоценить важность этих работ для обеспечения непрерывных поставок зарядов для нужд фронта. </w:t>
      </w:r>
    </w:p>
    <w:p w14:paraId="071603F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Еще один пример. В феврале 1942 г. пороховому заводу грозила полная остановка из-за отсутствия вазелина. Особое бюро в результате напряженных исследований предложило заменить вазелин менее дефицитным трансформаторным маслом. Проведенные эксперименты подтвердили не только возможность, но и целесообразность такой замены, так как жидкое трансформаторное масло вводить в пороховую массу значительно удобнее, чем густой и вязкий вазелин. Остановка работы завода была предотвращена. </w:t>
      </w:r>
    </w:p>
    <w:p w14:paraId="72A2156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Особым бюро были выполнены и другие, направленные на ликвидацию помех производству зарядов, работы, из которых упомянем следующие. Еще в конце 1941 г. при стендовых испытаниях ряда парий зарядов к M-13 и М-8 были получены в ракетных камерах давления газов, уровень которых превышал требования технической документации, причем по химическому составу и прочим показателям партии зарядов удовлетворяли требованиям ТУ. Приемка ракетных зарядов была приостановлена. В связи с этим сотрудники Особого бюро провели детальное исследование причин, вызывающих некондиционность изготовляемых заводом зарядов и выявили важное влияние калорийности пороховой массы на их баллистические характеристики. </w:t>
      </w:r>
    </w:p>
    <w:p w14:paraId="4F1D17D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Итогом работы являлось установление и введение в техническую документацию нормы на калорийность пороха, а также разработка и внедрение в производство уточненного дозирования компонентов пороха при варке пороховой массы. </w:t>
      </w:r>
    </w:p>
    <w:p w14:paraId="2A288F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Одновременно были улучшены условия вальцевания и прессования пороха. Реализация этих мероприятий обеспечила уже с января 1942 г. стабильный выпуск зарядов, полностью удовлетворяющих требованиям документации. </w:t>
      </w:r>
    </w:p>
    <w:p w14:paraId="7107169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Существенная помощь со стороны Особого бюро была оказана заводу по выяснению причин брака, получавшегося при прессовании пороховых шашек на прессах Круппа. Так, например, в феврале 1942 г. брак на фазе прессования зарядов М-8 и M-13 составлял в среднем 30-35%, доходя в отдельные дни до 55-60%. Бригада Особого бюро тщательно проанализирована причины брака и дала точные и конкретные рекомендации. В настоящее время нет необходимости перечислять все рекомендации, но нельзя не дать высокой оценки методической стороне работы Особого бюро, серьезности подхода к поискам причин трудностей, убедительности и доказательности рекомендаций. Достаточно сказать, что после разработки рекомендаций очередное изготовление зарядов круглосуточно во всех сменах проводилось под непосредственным и непрерывным контролем работников Особого бюро. В результате брак на фазе прессования был резко уменьшен, а по воздушным включениям ликвидирован полностью. </w:t>
      </w:r>
    </w:p>
    <w:p w14:paraId="37FB5F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концу 1944 г. объем продукции завода вырос в десятки раз по сравнению с 1942 г., и хотя к этому времени уже работали на полную мощность другие пороховые заводы, построенные за это время, темпы работы среднеуральского завода непрерывно нарастали (11209).</w:t>
      </w:r>
    </w:p>
    <w:p w14:paraId="417948D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ED1E6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года на Ленинградском фронте проводились войсковые испытания 76-мм пушки обр. 1927/1942 г. (3861).</w:t>
      </w:r>
    </w:p>
    <w:p w14:paraId="77B420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46E2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Летом 1942 г. заводу (Завод № 393 НКВ,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МОП, Красногорский механический завод (КМЗ) МОП, ПО «Красногорский завод им. С.А. Зверева» (КЗ) МОП, ОАО ФНПЦ «КЗ им. С.А. Зверева» /143400  г. Красногорск-7 Московской обл. ул. Речная, 8 тел. 561-80-83/) были переданы часть оборудования и кадров (800 чел.) эвакуированного завода № 356, завода № 106, а также часть оборудования ленинградского завода № 349. В начале 1943 г. на завод переведена группа специалистов эвакуированного завода № 296. Осенью 1945 г. создан цех по производству ширпотреба. В 1947 г. завод был значительно расширен, получил много нового оборудования с немецких заводов «Цейс» и «Шотт».</w:t>
      </w:r>
    </w:p>
    <w:p w14:paraId="3E6CA7B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1946 г. по начало 1950-х  г. на заводе работало более 100 немецких специалистов по оптике.</w:t>
      </w:r>
    </w:p>
    <w:p w14:paraId="696ACF1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1947 г. создан цех объективов и КБ по разработке оптических систем.</w:t>
      </w:r>
    </w:p>
    <w:p w14:paraId="4197039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1948 г. при заводе создано КБ по разработке фотоаппаратуры. В 03.1949 г. пущен конвейер по производству фотоаппаратов. В 1951 г. пущен второй конвейер в сборочном цехе фотоаппаратов, в 1953 г. - третий конвейер. К концу 1954 г. дйствовало 11 конвейерных линий.</w:t>
      </w:r>
    </w:p>
    <w:p w14:paraId="5970883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1950-52 г. разработан и запущен в производство первый отечественный кинофототеодолит (Ф.Е. Соболев). 25.06.1956 г. организовано КБ-4. В 1970 г. производство кинотеодолитов передано наБелОМО.</w:t>
      </w:r>
    </w:p>
    <w:p w14:paraId="4D26D5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начале 1950-х  г. на заводе организовано радиотехническое производство по выпуску комплектующих для ЗРК С-25, но затем оно было свернуто.</w:t>
      </w:r>
    </w:p>
    <w:p w14:paraId="65DAD90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Решением ВПК от 8.01.1969 г. завод определен головным по созданию экспериментального образца ОЭС для комплекса «Окно», приказом МОП от 17.08.1970 г. КМЗ назначен головным по проекту комплекса в целом. В 1969-72 г. проведена НИР «Окно» (В.И. Креопалов). В начале 1970-х  г. создан ОЭК «Окно», затем «Окно-С». В 1971-72 г. на Бюраканской обсерватории (Армения) построена экспериментальная база завода, на которой затем смонтирован экспериментальный образец ОЭК «Окно» для его отработки. 21.11.1974 г. вышло ПСМ о проведении ОКР по комплексу «Окно», в 07.1975 г. - решение ВПК «О порядке проведения работ по созданию головного образца комплекса «Окно». ПСМ от 04.1980 г. установлен срок сдачи комплекса «Окно»- 1986 г. </w:t>
      </w:r>
      <w:r w:rsidRPr="008127F8">
        <w:rPr>
          <w:rFonts w:ascii="Times New Roman" w:hAnsi="Times New Roman"/>
          <w:color w:val="000000" w:themeColor="text1"/>
          <w:sz w:val="16"/>
          <w:szCs w:val="16"/>
          <w:lang w:val="en-US"/>
        </w:rPr>
        <w:t>ITCM</w:t>
      </w:r>
      <w:r w:rsidRPr="008127F8">
        <w:rPr>
          <w:rFonts w:ascii="Times New Roman" w:hAnsi="Times New Roman"/>
          <w:color w:val="000000" w:themeColor="text1"/>
          <w:sz w:val="16"/>
          <w:szCs w:val="16"/>
        </w:rPr>
        <w:t xml:space="preserve"> от 24.04.1980 г. задана ОКР «Окно-С».</w:t>
      </w:r>
    </w:p>
    <w:p w14:paraId="17C425A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1986 г. введен в эксплуатацию инженерно-технологический корпус (с 06.2005 г. не принадлежит заводу). В начале 1990-х  г. был корпус сборки и испытаний аэрокосмической аппаратуры, корпус комплексных механических испытаний; в 2000 г.- лабораторно-производственный корпус.</w:t>
      </w:r>
    </w:p>
    <w:p w14:paraId="5AE632A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1979 г. ПО присвоено имя С.А. Зверева. В 1982 г. назывался Красногорский механический завод, в 1990 г. ПО «Красногорский завод»- в ведении МОП. По Указу Президента РФ № 1009 от 4.08.2004 г. вошло в число стратегических оборонных предприятий.</w:t>
      </w:r>
    </w:p>
    <w:p w14:paraId="4C32954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Направления деятельности (2005 г.): научные исследования; разработка и производство: космической и авиационной фотосъемочной аппаратуры (для панорамной съемки земной поверхности, панхроматической и многозональной для КА ДЗЗ, гиперспектральной съемки); оптико-электронных приборов для танковой и авиационной техники; систем управления огнем для танков и авиации; наземных оптико-электронных систем измерения и контроля воздушного и космического пространства (единственное предприятие в России); наблюдательных приборов (лазерных дальномеров и целеуказателей; снайперских панкратических прицелов; оптических прицелов для гранатометов); оптико-электронной ГСН; систем и комплексов РХБЗ; бортовых вертолетных комплексов: оптико-телевизионного для экологического мониторинга, оптико-электронного для инженерной разведки; систем мультипликации и совмещения фотолитографического комплекса для производства СБИС; медицинской и научной аппаратуры; рентгеновских и лазерных микроанализаторов.</w:t>
      </w:r>
    </w:p>
    <w:p w14:paraId="4B957F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2005 г. велось 78 НИОКР, из них 67- для МО.</w:t>
      </w:r>
    </w:p>
    <w:p w14:paraId="4144D47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составе завода (2004 г.)- НТЦ по разработке оптических средств бронетанковой и авиационной техники, приборов внешнетраекторных измерений, комплексов ККП, орбитальной космической аппаратуры и любительской фотоаппаратуры.</w:t>
      </w:r>
    </w:p>
    <w:p w14:paraId="089737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(1942-46 г.)- В.А. Колычев, (1946-50 г.)- Д.Ф. Скаржинский, (1950-53 г.)- А.Ф. Соловьев, (1953-65 г.)- Н.М. Егоров, (1965-68 г.)- Л.А. Воронин, (1968-73 г.)- В.И. Креопалов, (1973-75 г.)- О.М. Устинов, (1975-86 г.)- В. Г. Трифонов. Гендиректор (1986-05.2006г&gt; А.И. Гоев, (2008 г.)- В.П. Жигулич.</w:t>
      </w:r>
    </w:p>
    <w:p w14:paraId="2C3F40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инженер (1942 г.-)- А.Н. Ширяев, (1945 г.)- С.А. Зверев, (1979 г.)-  Г. Г. Янпольский.</w:t>
      </w:r>
    </w:p>
    <w:p w14:paraId="118F2E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(1949-56 г.-)- Ф.Е. Соболев, (1970-е)- В.В. Некрасов. Гл. металлург- И.Е. Дунаев.</w:t>
      </w:r>
    </w:p>
    <w:p w14:paraId="3CE7CCF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Зам. гл. конструктора (-1945 г.)- Ф.Е. Соболев.</w:t>
      </w:r>
    </w:p>
    <w:p w14:paraId="23B025A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архитертор (1970 г.)- О.Н. Умрихин.</w:t>
      </w:r>
    </w:p>
    <w:p w14:paraId="37A181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конструкторы: г Николаев (ГСН), (1949-70 г.)- Ф.Е. Соболев (кинотеодолиты), Ю.В. Рябушкин («Фтор-2», СА-34); направлений (2004 г.)- В.И. Колинько, (2004 г.)- С.А. Архипов, (2004 г.)- Н.Д. Волобуев, (2004 г.)- П.А. Лапин, (2004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Слободянюк.</w:t>
      </w:r>
      <w:r w:rsidRPr="008127F8">
        <w:rPr>
          <w:rFonts w:ascii="Times New Roman" w:hAnsi="Times New Roman"/>
          <w:color w:val="000000" w:themeColor="text1"/>
          <w:sz w:val="16"/>
          <w:szCs w:val="16"/>
          <w:vertAlign w:val="superscript"/>
        </w:rPr>
        <w:t>104</w:t>
      </w:r>
    </w:p>
    <w:p w14:paraId="49FBE69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НТЦ (2004 г.)- А.П. Тарасов.</w:t>
      </w:r>
    </w:p>
    <w:p w14:paraId="5FCAE78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отдела маркетинга (-2002-04 г.-)- В.К. Рыковский.</w:t>
      </w:r>
      <w:r w:rsidRPr="008127F8">
        <w:rPr>
          <w:rFonts w:ascii="Times New Roman" w:hAnsi="Times New Roman"/>
          <w:color w:val="000000" w:themeColor="text1"/>
          <w:sz w:val="16"/>
          <w:szCs w:val="16"/>
          <w:vertAlign w:val="superscript"/>
        </w:rPr>
        <w:t>69</w:t>
      </w:r>
    </w:p>
    <w:p w14:paraId="062125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цехов: объективов (1947 г.-)- Л.А. Стучинский.</w:t>
      </w:r>
    </w:p>
    <w:p w14:paraId="40B0F17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Ведущие конструкторы: Н.М. Маренков (фотоаппараты), А. Падалко (фотоаппараты).</w:t>
      </w:r>
    </w:p>
    <w:p w14:paraId="5F2C32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социально-психологической службы (-1985 г.)- С.В. Калашников.</w:t>
      </w:r>
    </w:p>
    <w:p w14:paraId="3D8B01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кинофототеодолит КФТ-10/20 (1952), кинотеодолит КТ-50 (1956); аэрофотоаппараты А-72, А-87, А- 10-10.</w:t>
      </w:r>
    </w:p>
    <w:p w14:paraId="18C1FD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Производство:</w:t>
      </w:r>
      <w:r w:rsidRPr="008127F8">
        <w:rPr>
          <w:rFonts w:ascii="Times New Roman" w:hAnsi="Times New Roman"/>
          <w:color w:val="000000" w:themeColor="text1"/>
          <w:sz w:val="16"/>
          <w:szCs w:val="16"/>
        </w:rPr>
        <w:t xml:space="preserve"> винтовочный оптический прицел «ПУ» (1943-44)- 80.591;</w:t>
      </w:r>
      <w:r w:rsidRPr="008127F8">
        <w:rPr>
          <w:rFonts w:ascii="Times New Roman" w:hAnsi="Times New Roman"/>
          <w:color w:val="000000" w:themeColor="text1"/>
          <w:sz w:val="16"/>
          <w:szCs w:val="16"/>
          <w:vertAlign w:val="superscript"/>
        </w:rPr>
        <w:t>4</w:t>
      </w:r>
      <w:r w:rsidRPr="008127F8">
        <w:rPr>
          <w:rFonts w:ascii="Times New Roman" w:hAnsi="Times New Roman"/>
          <w:color w:val="000000" w:themeColor="text1"/>
          <w:sz w:val="16"/>
          <w:szCs w:val="16"/>
        </w:rPr>
        <w:t xml:space="preserve"> кинотеодолиты: КФТ-10/20, КТ-50, КТС (-1970)- всего около 300; измерительный комплекс </w:t>
      </w:r>
      <w:r w:rsidRPr="008127F8">
        <w:rPr>
          <w:rFonts w:ascii="Times New Roman" w:hAnsi="Times New Roman"/>
          <w:color w:val="000000" w:themeColor="text1"/>
          <w:sz w:val="16"/>
          <w:szCs w:val="16"/>
        </w:rPr>
        <w:lastRenderedPageBreak/>
        <w:t>контроля траекторий ракет «Кубань»; прицельные комплексы: «Радуга», «Шквал»; высокоточная астрономическая установка ВАУ (1965-71)- 6; ИКТ «Соболь» (1972)- 3; ОЭС передачи азимута для РК «Искандер»; тепловизионная обзорно-прицельная подсистема для Ми- 24, обзорно-прицельная станция для Ми-28 (2000-е); тепловизионный прицел для Т-90С (2000-е);</w:t>
      </w:r>
      <w:r w:rsidRPr="008127F8">
        <w:rPr>
          <w:rFonts w:ascii="Times New Roman" w:hAnsi="Times New Roman"/>
          <w:iCs/>
          <w:color w:val="000000" w:themeColor="text1"/>
          <w:sz w:val="16"/>
          <w:szCs w:val="16"/>
        </w:rPr>
        <w:t xml:space="preserve"> А ФА, фотоаппараты:</w:t>
      </w:r>
      <w:r w:rsidRPr="008127F8">
        <w:rPr>
          <w:rFonts w:ascii="Times New Roman" w:hAnsi="Times New Roman"/>
          <w:color w:val="000000" w:themeColor="text1"/>
          <w:sz w:val="16"/>
          <w:szCs w:val="16"/>
        </w:rPr>
        <w:t xml:space="preserve"> «Фтор-2», СА-34 для КК «Восток», «Фтор-4» для КА «Зенит-4» (1965), СА-106 для «Зенит- 4МТ», С-180 для съемки северного сияния; панорамный фотоаппарат «Топаз» для КА «Янтарь-1КФТ»; фотоаппаратура «Природа» для КА «Фрам» (1970-е);</w:t>
      </w:r>
      <w:r w:rsidRPr="008127F8">
        <w:rPr>
          <w:rFonts w:ascii="Times New Roman" w:hAnsi="Times New Roman"/>
          <w:color w:val="000000" w:themeColor="text1"/>
          <w:sz w:val="16"/>
          <w:szCs w:val="16"/>
          <w:vertAlign w:val="superscript"/>
        </w:rPr>
        <w:t>77</w:t>
      </w:r>
      <w:r w:rsidRPr="008127F8">
        <w:rPr>
          <w:rFonts w:ascii="Times New Roman" w:hAnsi="Times New Roman"/>
          <w:color w:val="000000" w:themeColor="text1"/>
          <w:sz w:val="16"/>
          <w:szCs w:val="16"/>
        </w:rPr>
        <w:t xml:space="preserve"> электронные микроскопы: ЭМ-5 (1950-), ЭМ-6, ЭМ-8, ЭМ- 11М;</w:t>
      </w:r>
    </w:p>
    <w:p w14:paraId="6528CCF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фотоаппараты:</w:t>
      </w:r>
      <w:r w:rsidRPr="008127F8">
        <w:rPr>
          <w:rFonts w:ascii="Times New Roman" w:hAnsi="Times New Roman"/>
          <w:color w:val="000000" w:themeColor="text1"/>
          <w:sz w:val="16"/>
          <w:szCs w:val="16"/>
        </w:rPr>
        <w:t xml:space="preserve"> «Москва-1» (1946-49)- 31.632, «Москва-2» (1947-56)- 197.640, «Зоркий» (1948-56)- 835.502, «Москва-3» (1950-51)- 11.385, «Зоркий-З» (1951-56)- 87.569, «Зенит» (1952-56)- 39.019, «Зоркий-2» (1954-56)- 10.310, «Москва-4» (1955-58)- 62.632, «Зоркий-С» (1955-58)- 472.702, «Зоркий-2С» (1955-60)- 214.903, «Зоркий- ЗС» (1955-56)- 45.572, «Зенит-С» (1955-61)- 232.949, «Москва-5» (1956-60)- 216.457, «Зоркий-4» (1956-73), «Зоркий-5» (1958-59)- 236.501, «Старт» (1958-64)- 76.503, ФТ-2 (1958-65)- 16.662, «Мир» (1959-61)- 156.229, «Зоркий-6» (1959-66)- 385.207, «Юнкор» (1959-62)- 168.836, «Друг» (1960-62)- 23.702, «Зенит-З» (1960-62)- 81.776, «Искра» (1960-63)- 38.722, «Кристалл» (1961-62)- 65.433, «Искра-2» (1961-64)- 6118, «Нарцисс» (1961-65)- 10.939, «Зенит-ЗМ» (1962-70)- 781.678, «Зенит-4» (1964-68)- 19.740, «Зенит-5» (1964-68)- 11.616, «Зенит-6» (1964- 68)- 8930, «Зоркий-10» (1964-78)- 332.144, «Зоркий-11» (1964-66)- 60.745, «Зенит-Е» (1965-82), «Фотоснайпер» (1965-82)- 97.938, «Горизонт» (1967-73)- 49.849, «Зоркий-12» (1967-68)- 7200, «Зенит-7» (1968-71)- 3024, «Зенит- В» (1968-73)- 889.617, «Зенит-Д» (1969-70)- 63, «Фотон» (1969-76)- 1839, «Зокий-4К» (1972-78)- 524.646, «Зенит- ЕМ» (1972-85)- 979.140, «Зенит-ВМ» (1972-73)- 1239, «Зенит-16» (1972-77)- 11.124, «Зенит-ВЭ» (1972-85)- 1506, ФС-3 (1974-82)- 64.945, «Зенит-</w:t>
      </w:r>
      <w:r w:rsidRPr="008127F8">
        <w:rPr>
          <w:rFonts w:ascii="Times New Roman" w:hAnsi="Times New Roman"/>
          <w:color w:val="000000" w:themeColor="text1"/>
          <w:sz w:val="16"/>
          <w:szCs w:val="16"/>
          <w:lang w:val="en-US"/>
        </w:rPr>
        <w:t>TTL</w:t>
      </w:r>
      <w:r w:rsidRPr="008127F8">
        <w:rPr>
          <w:rFonts w:ascii="Times New Roman" w:hAnsi="Times New Roman"/>
          <w:color w:val="000000" w:themeColor="text1"/>
          <w:sz w:val="16"/>
          <w:szCs w:val="16"/>
        </w:rPr>
        <w:t>» (1977-85), «Фотон-ОС» (1979-81)- 62, «Зенит-19» (1979-87)- 121.993, «ФК Зенит» (1979-83)- 292, «Зенит-18» (1980-870- 7001, «ФК Зенит-2» (1980-82)- 11, ФС-4 (1981)- 20, «Зенит-10» (1981-82)- 19.865, «Зенит-11» (1981-92), «Зенит-ЕТ» (1981-82)- 61.099, «ФК Зенит-З» (1981)- 10, ФС-12 (1982-90)- 118.486, «Зенит-12» (1983-94)- 94.489, «Зенит-12сд» (1983-94)- 468.956, «Зенит-12хр» (1983-2000), «Зенит-22» (1984-85)- 5, «Зенит-автомат» (1984-94)- 68.002, «ФК Зенит-4» (1984)- 1, «ФК Зенит-6» (1986)- 100, «Зенит-14» (1987-90)- 567, ФС-5 (1988)- 1, «Зенит-АМ» (1988-95)- 7348, ФС-ЗСМС (1989-95)- 28.139, «Зенит-122» (1989- 2003), ФК-7А (1990)- 10, ФК-8А (1990)- 20, ФС-12-2 (1990-95)- 33.354, «Горизонт-202» (1991-2003)- 23.303, ФС- 122-3 (1992-96)- 7236, «Зенит-АПК» (1992-98)- 6394, «Зенит-АМ2» (1992-97)- 27.240, ФС-122-2 (1994-2003)- 42.804, «Зенит-АМЗ» (1994-95)- 13, «Зенит-212к» (1994-2003)- 32.149, «Зенит-АПМ» (1994-95)- 15, ФС- сувенирный (1996)- 210, «Зенит-501» (1997)- 250, «Зенит-502» (1997)- 258, «3енит-503» (1997)- 250, «Зенит-504» (1997)- 251, «Зенит-З 12т» (1999-2003)- 71.834, «Зенит-4120Х» (2000-03)- 21.257, «Горизонт-205» (2000-03)- 18, «Зенит-510» (2000-01)- 12.821, «Зенит-520» (2000-01)- 11.782, «Зенит-610» (2000-01)- 8777, «Зенит-620» (2000- 01)- 9000, «Зенит-КМ» (2001-03)- 15.097, «3</w:t>
      </w:r>
      <w:r w:rsidRPr="008127F8">
        <w:rPr>
          <w:rFonts w:ascii="Times New Roman" w:hAnsi="Times New Roman"/>
          <w:color w:val="000000" w:themeColor="text1"/>
          <w:sz w:val="16"/>
          <w:szCs w:val="16"/>
          <w:lang w:val="en-US"/>
        </w:rPr>
        <w:t>eHHT</w:t>
      </w:r>
      <w:r w:rsidRPr="008127F8">
        <w:rPr>
          <w:rFonts w:ascii="Times New Roman" w:hAnsi="Times New Roman"/>
          <w:color w:val="000000" w:themeColor="text1"/>
          <w:sz w:val="16"/>
          <w:szCs w:val="16"/>
        </w:rPr>
        <w:t>-412</w:t>
      </w:r>
      <w:r w:rsidRPr="008127F8">
        <w:rPr>
          <w:rFonts w:ascii="Times New Roman" w:hAnsi="Times New Roman"/>
          <w:color w:val="000000" w:themeColor="text1"/>
          <w:sz w:val="16"/>
          <w:szCs w:val="16"/>
          <w:lang w:val="en-US"/>
        </w:rPr>
        <w:t>LS</w:t>
      </w:r>
      <w:r w:rsidRPr="008127F8">
        <w:rPr>
          <w:rFonts w:ascii="Times New Roman" w:hAnsi="Times New Roman"/>
          <w:color w:val="000000" w:themeColor="text1"/>
          <w:sz w:val="16"/>
          <w:szCs w:val="16"/>
        </w:rPr>
        <w:t xml:space="preserve"> (2002-03)- 13.076, ФС-412 (20030- 100; объективы «Юпитер», «Индустар» (! 948-). «Гелиос» (1950-е-), «Таир», МТО, «Мир», «Орион», «Вега», «Телемар», «Рубин» (1960-е); кинокамеры: КСР-1 («Конвас»), СФР и ФП-22 для научных исследований (1958), «Кварц-1» (1960-68)- 77.965, «Кварц-2» (1961-68)- 146.472, «Кварц-3» (1963-69)- 56.365, «Кварц-5» (1965-74)- 56.365, «Кварц-2М» (1966-74)- 120.834, «Кварц-2х8С» (1968-77)- 123.402, «Кварц-1х8С-1» (1969-75)- 16.092, «Кварц-2х8С-3» (1971- 83)- 211.374, «Кварц-1х8с-2» (1974-93)- 301.102, «Кварц-8ХЬ» (1981-89)- 30.075, «Красногорск-1» (1965-74)- 36.683, «Красногорск-2» (1966-77)- 15.081, «Красногорск-3» (1971-93)- 105.435, «Красногорск-4» (1974-75)- 27; киносъемочный аппарат: 16СП.</w:t>
      </w:r>
    </w:p>
    <w:p w14:paraId="694CB35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завода № 393 Создано в 1947 г. для разработки оптических систем.</w:t>
      </w:r>
    </w:p>
    <w:p w14:paraId="3E8807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(1947 г.-)- М.Д. Мальцев.</w:t>
      </w:r>
    </w:p>
    <w:p w14:paraId="0385B17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фотообъективы: «Юпитер-8», «Индустар-22» (1948), «Мир-1», «Гелиос-44», «Таир-3», «Таир-11», «Юпитер-6» (1950-е), «Орион-15», «Вега-1», «Индустар-24М», «Юпитер-21», «Телемар-22», «Мир-5», «Мир-6», «Гелиос-65Ц», «Юиитер-25Ц», «Таир-38», «Рубин» (1960-е), «Мир-10», «Москва» (1968), «Индустар-60», «Гелиос-9», «Вариогоир-1», «Март-1», «Метеор-5, -8М», «Эра-бМ» (1970-е).</w:t>
      </w:r>
    </w:p>
    <w:p w14:paraId="3AF5D2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завода № 393</w:t>
      </w:r>
    </w:p>
    <w:p w14:paraId="038A58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 создано в 1948 г. при заводе для разработки фотоаппаратуры.</w:t>
      </w:r>
    </w:p>
    <w:p w14:paraId="6D771E3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Руководитель (1948 г.-)- П.А. Денисов. Начальник (1960-е)- И.К. Юрусов.</w:t>
      </w:r>
    </w:p>
    <w:p w14:paraId="0DCFC6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Ведущие конструкторы: (-1948-61 г.-)- П.Д. Деревянкин, (1960 г.)- Ф.Е. Соболев, (1970-е)- А.И. Акалупин.</w:t>
      </w:r>
    </w:p>
    <w:p w14:paraId="76FB38C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фотоаппараты: «Москва-1», «Зоркий», «Зенит», «Астра», «Комета», ФТ-2, «Старт», «Нарцисс», «Искра».</w:t>
      </w:r>
    </w:p>
    <w:p w14:paraId="1EBD2E1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КБ-4, СКБ-4</w:t>
      </w:r>
    </w:p>
    <w:p w14:paraId="5A9CEFA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Образовано приказом директора завода от 25.06.1956 г. для разработки кинотеодолитов, фотограмметрических приборов, киноаппаратуры для регистрации полетов </w:t>
      </w:r>
      <w:r w:rsidRPr="008127F8">
        <w:rPr>
          <w:rFonts w:ascii="Times New Roman" w:hAnsi="Times New Roman"/>
          <w:color w:val="000000" w:themeColor="text1"/>
          <w:sz w:val="16"/>
          <w:szCs w:val="16"/>
          <w:lang w:val="en-US"/>
        </w:rPr>
        <w:t>JIA</w:t>
      </w:r>
      <w:r w:rsidRPr="008127F8">
        <w:rPr>
          <w:rFonts w:ascii="Times New Roman" w:hAnsi="Times New Roman"/>
          <w:color w:val="000000" w:themeColor="text1"/>
          <w:sz w:val="16"/>
          <w:szCs w:val="16"/>
        </w:rPr>
        <w:t>, ракет и авиабомб. В 1960 г. выдано задание на разработку высокоточной астрономической установки ВАУ для пунктов ККП. В 1968 г. поручена разработка первого в СССР мобильного ИК теодолита-радиометра (ИКТ) «Соболь».</w:t>
      </w:r>
    </w:p>
    <w:p w14:paraId="51A2E3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12.05.1969 г. КБ-4 вошло в состав </w:t>
      </w:r>
      <w:r w:rsidRPr="008127F8">
        <w:rPr>
          <w:rFonts w:ascii="Times New Roman" w:hAnsi="Times New Roman"/>
          <w:color w:val="000000" w:themeColor="text1"/>
          <w:sz w:val="16"/>
          <w:szCs w:val="16"/>
          <w:lang w:val="en-US"/>
        </w:rPr>
        <w:t>IV</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ro</w:t>
      </w:r>
      <w:r w:rsidRPr="008127F8">
        <w:rPr>
          <w:rFonts w:ascii="Times New Roman" w:hAnsi="Times New Roman"/>
          <w:color w:val="000000" w:themeColor="text1"/>
          <w:sz w:val="16"/>
          <w:szCs w:val="16"/>
        </w:rPr>
        <w:t xml:space="preserve"> тематического направления ЦКБ.</w:t>
      </w:r>
    </w:p>
    <w:p w14:paraId="7105A0B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 (1956-70 г.)- Ф.Е. Соболев, (2005 г.)- В. Колинько.</w:t>
      </w:r>
    </w:p>
    <w:p w14:paraId="7FF46F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 конструктор (1956 г.-)- Ф.Е. Соболев.</w:t>
      </w:r>
    </w:p>
    <w:p w14:paraId="5F6BBF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фоторегистрирующие установки: ФУР, ФРК (1950-е), скоростная ШСК (1950-е); кинотеодолиты КФТ, КТ-50, КТС (1960); ВАУ (1965); ИКТ «Соболь» (1972); оптико-электронный комплекс контроля космического пространства «Окно».</w:t>
      </w:r>
    </w:p>
    <w:p w14:paraId="439F1C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ЦКБ-393 </w:t>
      </w:r>
      <w:r w:rsidRPr="008127F8">
        <w:rPr>
          <w:rFonts w:ascii="Times New Roman" w:hAnsi="Times New Roman"/>
          <w:color w:val="000000" w:themeColor="text1"/>
          <w:sz w:val="16"/>
          <w:szCs w:val="16"/>
          <w:lang w:val="en-US"/>
        </w:rPr>
        <w:t>MB</w:t>
      </w:r>
      <w:r w:rsidRPr="008127F8">
        <w:rPr>
          <w:rFonts w:ascii="Times New Roman" w:hAnsi="Times New Roman"/>
          <w:color w:val="000000" w:themeColor="text1"/>
          <w:sz w:val="16"/>
          <w:szCs w:val="16"/>
        </w:rPr>
        <w:t>, ОКБ С.Н. Николаева</w:t>
      </w:r>
    </w:p>
    <w:p w14:paraId="4A08891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1967 г. велись исследования по возможности обнаружения, распознавания и измерения координат космических объектов с помощью оптических средств.</w:t>
      </w:r>
    </w:p>
    <w:p w14:paraId="447F3D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12.05.1969 г. для разработки автоматизированного ОЭК «Окно» системы ККП в составе ЦКБ образовано </w:t>
      </w:r>
      <w:r w:rsidRPr="008127F8">
        <w:rPr>
          <w:rFonts w:ascii="Times New Roman" w:hAnsi="Times New Roman"/>
          <w:color w:val="000000" w:themeColor="text1"/>
          <w:sz w:val="16"/>
          <w:szCs w:val="16"/>
          <w:lang w:val="en-US"/>
        </w:rPr>
        <w:t>IV</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e</w:t>
      </w:r>
      <w:r w:rsidRPr="008127F8">
        <w:rPr>
          <w:rFonts w:ascii="Times New Roman" w:hAnsi="Times New Roman"/>
          <w:color w:val="000000" w:themeColor="text1"/>
          <w:sz w:val="16"/>
          <w:szCs w:val="16"/>
        </w:rPr>
        <w:t xml:space="preserve"> тематическое направление, в которое вошли КБ-4, специальный конструкторский отдел (СКО) и НИ отдел № 5 ЦКБ. В составе направления организованы: конструкторский отдел 4-1, лаборатория 4-1, макетная мастерская № 4.</w:t>
      </w:r>
    </w:p>
    <w:p w14:paraId="6059AA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 (1974-76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Чернов, (1979 г.)- В.В. Некрасов.</w:t>
      </w:r>
    </w:p>
    <w:p w14:paraId="6AFB60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Зам. начальника по IV-у направлению (1969-; 1976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Чернов.</w:t>
      </w:r>
    </w:p>
    <w:p w14:paraId="48B403B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 (1974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Чернов.</w:t>
      </w:r>
    </w:p>
    <w:p w14:paraId="3D00A0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Зам. гл. конструктора по </w:t>
      </w:r>
      <w:r w:rsidRPr="008127F8">
        <w:rPr>
          <w:rFonts w:ascii="Times New Roman" w:hAnsi="Times New Roman"/>
          <w:color w:val="000000" w:themeColor="text1"/>
          <w:sz w:val="16"/>
          <w:szCs w:val="16"/>
          <w:lang w:val="en-US"/>
        </w:rPr>
        <w:t>IV</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y</w:t>
      </w:r>
      <w:r w:rsidRPr="008127F8">
        <w:rPr>
          <w:rFonts w:ascii="Times New Roman" w:hAnsi="Times New Roman"/>
          <w:color w:val="000000" w:themeColor="text1"/>
          <w:sz w:val="16"/>
          <w:szCs w:val="16"/>
        </w:rPr>
        <w:t xml:space="preserve"> направлению (1969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Чернов.</w:t>
      </w:r>
    </w:p>
    <w:p w14:paraId="5C16B6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Начальники отделений: (1976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Чернов.</w:t>
      </w:r>
    </w:p>
    <w:p w14:paraId="6E6FF4C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отделов: СКО (1969 г.)- В.А. Баршев; НИО № 5 (1969 г.)- С.И. Козьмин; № 4-1 (1969 г.-)- Ф.Е. Соболев, (1970 г.-)- В.А. Баршев.</w:t>
      </w:r>
    </w:p>
    <w:p w14:paraId="580F088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Гл. конструкторы: (1969-80 г.-)- </w:t>
      </w:r>
      <w:r w:rsidRPr="008127F8">
        <w:rPr>
          <w:rFonts w:ascii="Times New Roman" w:hAnsi="Times New Roman"/>
          <w:color w:val="000000" w:themeColor="text1"/>
          <w:sz w:val="16"/>
          <w:szCs w:val="16"/>
          <w:lang w:val="en-US"/>
        </w:rPr>
        <w:t>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C</w:t>
      </w:r>
      <w:r w:rsidRPr="008127F8">
        <w:rPr>
          <w:rFonts w:ascii="Times New Roman" w:hAnsi="Times New Roman"/>
          <w:color w:val="000000" w:themeColor="text1"/>
          <w:sz w:val="16"/>
          <w:szCs w:val="16"/>
        </w:rPr>
        <w:t>. Чернов («Окно», «Окно-С»).</w:t>
      </w:r>
    </w:p>
    <w:p w14:paraId="53C71BC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Начальники: лабораторий: № 4-1 (1969 г.-)- В.В. Вацура, (1972 г.-)- Б.К. Раев; мастерской № 4 (1969 г.-)- В.И. Кирсанов.</w:t>
      </w:r>
    </w:p>
    <w:p w14:paraId="188086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iCs/>
          <w:color w:val="000000" w:themeColor="text1"/>
          <w:sz w:val="16"/>
          <w:szCs w:val="16"/>
        </w:rPr>
        <w:t>Создано:</w:t>
      </w:r>
      <w:r w:rsidRPr="008127F8">
        <w:rPr>
          <w:rFonts w:ascii="Times New Roman" w:hAnsi="Times New Roman"/>
          <w:color w:val="000000" w:themeColor="text1"/>
          <w:sz w:val="16"/>
          <w:szCs w:val="16"/>
        </w:rPr>
        <w:t xml:space="preserve"> ГСН: ЮНО-2 для планирующей АБ (конец 1940-х), Ж ГСН для: УАБ СНАБ-3000, для СНАРС-250, К-8М (11982).</w:t>
      </w:r>
    </w:p>
    <w:p w14:paraId="15B45F4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B7CF8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года к экранированию Т-34 вернулись, но теперь это было связано с применением немцами кумулятивных боеприпасов. Защиту от них разрабатывали на заводе № 112 под руководством начальника конструкторского отдела В. Крылова, а также в НИИ 48. Было спроектировано несколько различных конструкций экранов, изготовленных и отстрелянных на полигоне. на заводе № 112 также разработали три варианта экранировки Т-34, отличавшихся между собой главным образом углами наклона экрана и способом их крепления. Изготовленную модель такого танка, а также чертежи представили для утверждения в наркомат танковой промышленности, а также в ГАБТУ КА. Проект получил одобрение, и летом 1942 года на заводе № 112 оборудовали экранами 32 тридцатьчетверки для испытания их во фронтовых условиях. Между собой танки отличались типом экранировки - облегченной и усиленной. О результатах можно узнать из докладной записки начальника секции физических и тактических свойств брони ЦНИИ-48 Ларченко, направленной директору этого института А. Завьялову в августе 1943 года:</w:t>
      </w:r>
    </w:p>
    <w:p w14:paraId="7DA24D3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28 июля по 6 августа с/г. на одном из участков Западного фронта (севернее Орла) поводились боевые испытания опытных экранированных танков Т-34 в количества 32 шт. Подробные результаты походных и боевых испытаний изложены в дневниках танков и в акте. В настоящей докладной записке излагаются основные результаты испытаний и общее впечатление участника испытаний о действии танков на данном участке фронта.</w:t>
      </w:r>
    </w:p>
    <w:p w14:paraId="5679B7A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Испытание экранированных танков на маршах.</w:t>
      </w:r>
    </w:p>
    <w:p w14:paraId="16889A1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Готовая продукция во дворе СТЗ.</w:t>
      </w:r>
    </w:p>
    <w:p w14:paraId="118CB60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Перед боями 23 и 26 июля с/г. танки сделали 2 марша протяженностью 75 и 15 км по тяжелой дороге — песок, суглинок, частично болотистый грунт, подъемы до 20 град., Перед маршами и частично во время маршей были дожди. Случаев серьезных аварий и неполадок танков, обусловивших длительную их остановку, было 4:</w:t>
      </w:r>
    </w:p>
    <w:p w14:paraId="5E2F270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Рассыпался подшипник бортовой передачи (танк облегченного варианта экранировки — борт, подкрылки).</w:t>
      </w:r>
    </w:p>
    <w:p w14:paraId="51F9B34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Лопнул картер коробки перемены передач (танк облегченного варианта экранировки).</w:t>
      </w:r>
    </w:p>
    <w:p w14:paraId="736076C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и 4. Отошли главные фрикционы в конусах (танки усиленного варианта экранировки-борт, башня, подкрылки</w:t>
      </w:r>
    </w:p>
    <w:p w14:paraId="56BA6A8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Остальныеые машины прошли оба марша имея в отдельных случаях лишь мелкие неполадки.</w:t>
      </w:r>
    </w:p>
    <w:p w14:paraId="489628D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целом дополнительный вес от экранировки до 2,5 тн. не вызвал заметного ухудшения ходовых качествтанков.</w:t>
      </w:r>
    </w:p>
    <w:p w14:paraId="43A9B1D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Условия движения танков в бою.</w:t>
      </w:r>
    </w:p>
    <w:p w14:paraId="6018A15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Часть, в которую входили экранированные танки, за 6 дней боев продвинулась вперед на 35 км. Боевые атаки танков проводились по сустинистым и черноземным обработанным полям, частью засеянным рожью, частью оставленными под парами и частью занятым огородными культурами. Местность сильно пересеченная с большим количеством оврагов; подъемы до 15 град.</w:t>
      </w:r>
    </w:p>
    <w:p w14:paraId="2BF2090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Перед боями и во время боев шли дожди. В этих условиях танки: в атаках двигались главным образом на 1 и II передачах. Скорость движения танков не превышала 15км/ч падая иногда до 10 км/ч, а в отдельных случаях и до 8 км/ч. Два танка - один усиленного, другой облегченного варианта экранировки, во время атак застряли и не могли выбраться самостоятельно один из них был подожжен немцами, а второй после боя был вытащен тракторами.</w:t>
      </w:r>
    </w:p>
    <w:p w14:paraId="7F503E0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Наличие бортовых экранов несколько снизило маневренность танков в этих условиях, т.к. набивающаяся между экранами и ведущими колесами, а также ленивцами, земля затрудняла повороты танка.</w:t>
      </w:r>
    </w:p>
    <w:p w14:paraId="4467B9F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время атак поломок механизмов, а также серьезных аварий, которые могли бы быть причиной выхода танков из строя, не было.</w:t>
      </w:r>
    </w:p>
    <w:p w14:paraId="5A56915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Немецкая танковая я противотанковая артиллерия.</w:t>
      </w:r>
    </w:p>
    <w:p w14:paraId="4612E1E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 стороны противника против наших танков действовали танки Т-111, Т-1У, самоходные установки на базе танка врага ТНГС-38Т и значительное количество противотанковой артиллерии. «Тигров», «фердинандов» и «пантер» по-видимому, не было. Танки Т-111, Т-1У, а так же и указанные самоходные установки вооружены исключительно пушками калибра 75 мм. Противотанковая артиллерия немцев состояла главным образом из пушек калибров 75 и 88 мм. Пушек калибра 75 мм по всей вероятности было больше, чем 88 мм пушек. Пушек калибров менее 50 мм совершенно не было, а 50 мм пушек было очень немного. Сам я лично видел всего только одну такую пушку, а боеприпасы около нее были и бронебойные и подкалиберные снаряды. На одном экранированном танке отмечено одно поражение 50 мм бронебойным снарядом.</w:t>
      </w:r>
    </w:p>
    <w:p w14:paraId="5D70CA8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Артиллерия немцев калибра 75 мм стреляла по танкам главным образом бронебойными бескаморными снарядами (болванками), кумулятивные снаряды этого калибра применяются, но, по-видимому, в малом количестве. Возле одной брошенной немцами 75 мм противотанковой пушки обнаружил ящик с кумулятивными снарядами. На одном из, экранированных танков отмечено 2 поражения этими снарядами.</w:t>
      </w:r>
    </w:p>
    <w:p w14:paraId="4B15BF8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Немецкие пушки калибра 88 мм стреляли по танкам бронебойными каморными снарядами.</w:t>
      </w:r>
    </w:p>
    <w:p w14:paraId="1C61AA3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Танковые и противотанковые немецкие пушки, калибров 75 и 88 мм имеют большую длину ствола и их начальная скорость, по-видимому, очень велика (порядка 700 м/с и выше).</w:t>
      </w:r>
    </w:p>
    <w:p w14:paraId="69CC93D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Огонь по нашим танкам немцы вели главным образом с коротких дистанций (до 300 м). В ряде случаев эти дистанции удалось точно зафиксировать, т.к. и подбитый танк и подбившая его пушка при осмотре были на своих местах в этих условиях обстрела (большие калибры и короткие дистанции;</w:t>
      </w:r>
    </w:p>
    <w:p w14:paraId="68517DD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экранированные танки не могли показать и не показали каких либо реальных преимуществ броневой защиты, по сравнению с танками незаэкранированными.</w:t>
      </w:r>
    </w:p>
    <w:p w14:paraId="1955AB4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Поражаемость экранированных танков.</w:t>
      </w:r>
    </w:p>
    <w:p w14:paraId="0698742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32 экранированных танков один танк задержался в ремонте после марта и в боях не участвовал. Из остальных 31 танка подбито артиллерийским огнем 23 машины, (из них 10 сгорело) подорвалось на минах - 2 машины и сгорело от бутылок с горючей жидкостью - 2 машины, из подбитых артиллерией 23 танков, 3 танка не были осмотрены, т.к. они своим ходом ушли из боя в ремонт. Один танк был подбит 75 мм кумулятивными снарядами. Этот танк получил два попадания — одно в лобовую деталь корпуса, другое в экран подкрылка. В обоих случаях броня не пробита (проломы в экране), но от попадания в лобовую деталь, лопнула сварка этой детали с балкой носа на всей длине и балка отошла.</w:t>
      </w:r>
    </w:p>
    <w:p w14:paraId="21AD8A5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остальных 19 танков - 8 танков вышли из строя от первого попадания, 7 танков имеют по 2 снарядных поражения, один танк —11. Снаряды по поражению отдельных деталей танков разделяются следующим образом.</w:t>
      </w:r>
    </w:p>
    <w:p w14:paraId="19A1C51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19 танков пробита лобовая деталь корпуса у 6 танков, борта или подкрылки пробиты у 11 танков, башни пробиты у 5 танков (на таких башни имели поражения без пробития), корма пробита у 2 танков.</w:t>
      </w:r>
    </w:p>
    <w:p w14:paraId="6E13AD4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Один из последних двух танков подбит в разведке. Все пробоины сделаны снарядами калибров 75 и 88 мм.</w:t>
      </w:r>
    </w:p>
    <w:p w14:paraId="03EB11B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Если взять отдельно 6 танков, выведенных из строя только одним попаданием, то поражения деталей распределяются следующим образом:</w:t>
      </w:r>
    </w:p>
    <w:p w14:paraId="6C12CD9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лобовая деталь корпуса, пробита у 2 танков, у 2 танков - борт, у 2 танков - корма, а у 2 танков - башня.</w:t>
      </w:r>
    </w:p>
    <w:p w14:paraId="2865808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Случай обстрела ходовой части танка был только один и то по машине, которая была уже подбита и покинута экипажем. По-видимому, немцы, учитывая возросшую бронебойную способность своей артиллерии, ведут огонь преимущественно по броне. Из приведенных данных видно, что наибольшее количество поражений, выводящих танк из строя, падает на борта и подкрылки. В этом отношении нет никакого отличия от ранее собранных материалов по поражаемости наших танков.</w:t>
      </w:r>
    </w:p>
    <w:p w14:paraId="5900AC4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Значительное количество поражений, выводящих танк из строя, падает на лобовую деталь корпуса. В этом отношении есть конкретное отличие от ранее собранных материалов, которые показывали, что в лобовую часть корпуса попадания снарядов часты, но случаи ее пробития довольно редки. Из отмеченного факта следует, что броневая защита лобовой проекции корпуса должна быть усилена. Это усиление не только уменьшит поражаемость танка в лоб, но и снизит поражаемость бортовой его проекции.</w:t>
      </w:r>
    </w:p>
    <w:p w14:paraId="09DD4B6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самом деле, из рассмотрения после боя расположения подбитых танков и оставленных немцами пушок, можно подметить следующие особенности боя:</w:t>
      </w:r>
    </w:p>
    <w:p w14:paraId="09A35A3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когда танки развернутым строем идут в атаку, каждая противотанковая пушка, в особенности при коротких дистанциях боя, стремится стрелять по тому танку, который идет прямо на нее. Этот танк она может бить только в лоб и в значительном количестве случаев из-за слабости лобового бронирования подбивает его первым попаданием, уничтожив угрожавший непосредственно ей танк, пушка может перенести огонь на соседние танки, которые за это время несколько продвинутся вперед и откроют, для обстрела, свои борта.</w:t>
      </w:r>
    </w:p>
    <w:p w14:paraId="5AC8734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 более мощном бронировании лобовой части танка, пушка затратила бы на него больше времени и больше вероятности было бы, для уничтожения ее.</w:t>
      </w:r>
    </w:p>
    <w:p w14:paraId="56FB445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мало уязвимая лобовая проекция танка естественно приведет к уменьшению поражения танков и в боковую проекцию.</w:t>
      </w:r>
    </w:p>
    <w:p w14:paraId="00794D0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подбитие и не сгоревшие машины очень быстро сосредотачиваются на СПАМах, сортируются и в зависимости от сложности ремонта: поступают или в РГО или в ПРБ. На этом участке фронта с 29.7 по 5.8 на вторые сутки после боя ни разу не было замечено в поле ни одного подлежащего ремонту подбитого танка.</w:t>
      </w:r>
    </w:p>
    <w:p w14:paraId="488D628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Дополнительные замечания по танку Т-34.</w:t>
      </w:r>
    </w:p>
    <w:p w14:paraId="7308E1F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осмотра подбитых танков и из бесед с их экипажами выявились следующие моменты, заслуживающие особого внимания:</w:t>
      </w:r>
    </w:p>
    <w:p w14:paraId="36D132F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Триплекс механика-водителя после двух-трех выстрелов своей пушки загрязняется пороховой гарью и видимость через него резко ухудшается. Были случаи, когда механик водитель в атаке приоткрывал люк и так продолжал движение.</w:t>
      </w:r>
    </w:p>
    <w:p w14:paraId="129C379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Наблюдательный прибор командира танка — ПТК — так же имеет крупный недостаток. Для того чтобы, определить, куда направлен объектив ПТК, командир танка должен оторваться от окуляра, посмотреть на шкалу, ПТК, сообразить и подсчитать в какую сторону и на сколько повернут прибор, а если в ПТК обнаружена пушка противника, то секунды, которые командир танка затратит прежде чем будет поворачивать на нее башню, могут оказаться решающими для судьбы танка, иногда командир танка; наблюдая через ПТК, теряет ориентировку и вынужден открывать люк башни и ориентироваться через него. Необходимо или сделать на объективе ПТК подвижную шкалу, или же переделать поворотное устройство ПТК так, чтобы командир танка рукой чувствовал. куда смотрит объектив. Кроме того, желательно иметь указатель положения башни по отношению к линии движения танка.</w:t>
      </w:r>
    </w:p>
    <w:p w14:paraId="0E0CA4B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3.Танкисты одобрительно отзываются о появившихся на последних образцах Т-34 командирских башенках и высказывают также пожелания:</w:t>
      </w:r>
    </w:p>
    <w:p w14:paraId="1618080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командирская башенка должна иметь люк с быстро и безотказно действующим открывающим устройством;</w:t>
      </w:r>
    </w:p>
    <w:p w14:paraId="32F8BE9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у командира башни должен быть свойлюк.</w:t>
      </w:r>
    </w:p>
    <w:p w14:paraId="0BB3D29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Смотровые приборы в бортах башни имеют недостаточный обзор вверх. командиры танков заявляют, что через эти смотровые приборы обычно не видно линяю горизонта, а потому ориентировка через эти приборы затруднена.</w:t>
      </w:r>
    </w:p>
    <w:p w14:paraId="0CA1AAE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Танкисты высказывают пожелания. чтобы командир башни имел свой смотровой прибор перископического типа, хотя бы неподвижный, с обзором вперед и немного вправо.</w:t>
      </w:r>
    </w:p>
    <w:p w14:paraId="3125B8B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Командиры башен жалуются, что их сиденья мешают в бою обслужить пушку. Практически эти сиде- -нья обычно на исходных позициях перед первой атакой выбрасываются из танка и больше не устанавливаются. Следует пересмотреть конструкцию сиденья и сделать его уби- раюшимся так, чтобы; оно не было помехой.</w:t>
      </w:r>
    </w:p>
    <w:p w14:paraId="0F2CB7D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В башне танка очень тесно. ТанкисТЫ иногда, вопреки приказам, но из-за тесноты, а частью из-за боязни взрыва при попадании в башню, удаляют часть боеукладки из башни.</w:t>
      </w:r>
    </w:p>
    <w:p w14:paraId="4195D87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Во всех случаях, когда экранированные танки загорались от артиллерии или от бутылок, экипажи танков (включая тяжело раненых) успевали покидать машины, используя для этого все люки. Были случаи, когда весь экипаж танка выходил из него через аварийный люк.</w:t>
      </w:r>
    </w:p>
    <w:p w14:paraId="2C9E6F3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Танкисты высказывают пожелание, чтобы имеющиеся при танках малая саперная лопата и пулеметные сошки размещались не на борту танка, а внутри машины. Малая саперная лопата иногда бывает, необходима для того, чтобы подкопать землю, при выходе через аварийный люк. Пулеметные сошки иногда, покидая машину, не удается снять с борта ее из-за сильного обстрела ружейно-пу- леметным огнем.</w:t>
      </w:r>
    </w:p>
    <w:p w14:paraId="551DD2A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Выводы.</w:t>
      </w:r>
    </w:p>
    <w:p w14:paraId="7427D8B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Испытанные варианты экранировки танков Т-34 не дали реального усиления броневой защиты против пушек калибров 75 и 88 мм.</w:t>
      </w:r>
    </w:p>
    <w:p w14:paraId="37B1C23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Дополнительная нагрузка от экранировки до 2,5 т не оказала заметного влияния на ходовые качества танка Т-34.</w:t>
      </w:r>
    </w:p>
    <w:p w14:paraId="39749AD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Наличие бортовых экранов в тяжелых условиях движения (обработанные поля после дождей) затрудняет повороты танка.</w:t>
      </w:r>
    </w:p>
    <w:p w14:paraId="4963E77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Немецкая танковая и противотанковая артиллерия на данном участке фронта состояла главным образом из пушек калибра 75 и 88 мм. Пушек калибра 50 мм было очень мало, а более мелкого калибра пушек не было совсем.</w:t>
      </w:r>
    </w:p>
    <w:p w14:paraId="18B2B7A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По танкам немцев стреляли следующими типами снарядов:</w:t>
      </w:r>
    </w:p>
    <w:p w14:paraId="1B3BBD0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w:t>
      </w:r>
      <w:r w:rsidRPr="008127F8">
        <w:rPr>
          <w:rFonts w:ascii="Times New Roman" w:hAnsi="Times New Roman"/>
          <w:color w:val="000000" w:themeColor="text1"/>
          <w:sz w:val="16"/>
          <w:szCs w:val="16"/>
        </w:rPr>
        <w:tab/>
        <w:t>калибра 50 мм - подкалиберны- ми и бронебойными;</w:t>
      </w:r>
    </w:p>
    <w:p w14:paraId="5DCFCD6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б)</w:t>
      </w:r>
      <w:r w:rsidRPr="008127F8">
        <w:rPr>
          <w:rFonts w:ascii="Times New Roman" w:hAnsi="Times New Roman"/>
          <w:color w:val="000000" w:themeColor="text1"/>
          <w:sz w:val="16"/>
          <w:szCs w:val="16"/>
        </w:rPr>
        <w:tab/>
        <w:t>калибра 75 мм бронебойными бескаморными и очень мало кумулятивными.</w:t>
      </w:r>
    </w:p>
    <w:p w14:paraId="0808893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w:t>
      </w:r>
      <w:r w:rsidRPr="008127F8">
        <w:rPr>
          <w:rFonts w:ascii="Times New Roman" w:hAnsi="Times New Roman"/>
          <w:color w:val="000000" w:themeColor="text1"/>
          <w:sz w:val="16"/>
          <w:szCs w:val="16"/>
        </w:rPr>
        <w:tab/>
        <w:t>калибра 88 мм - бронебойными каморными.</w:t>
      </w:r>
    </w:p>
    <w:p w14:paraId="4A83F84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Огонь по нашим танкам немцы часто вели с очень коротких дистанций — порядка 600 м.</w:t>
      </w:r>
    </w:p>
    <w:p w14:paraId="43D9006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Подавляющее большинство экранированных танков (28 из 27) вышло из строя от артиллерийского огня, Значительное количество (16 из 23) выведено из строя 1-2 попаданиями снаряда. Несколько меньше половины подбитых артиллерией танков сгорали (10 из 23). Во всех 23 случаях танки выведены из строя снарядами калибров 75 и 88 мм.</w:t>
      </w:r>
    </w:p>
    <w:p w14:paraId="76F1613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деталям танка поражения распределяются следующим образом:</w:t>
      </w:r>
    </w:p>
    <w:p w14:paraId="252C114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w:t>
      </w:r>
      <w:r w:rsidRPr="008127F8">
        <w:rPr>
          <w:rFonts w:ascii="Times New Roman" w:hAnsi="Times New Roman"/>
          <w:color w:val="000000" w:themeColor="text1"/>
          <w:sz w:val="16"/>
          <w:szCs w:val="16"/>
        </w:rPr>
        <w:tab/>
        <w:t>наибольшее количество танков ( 11 из 19) имеют пробитыми борта и подкрылки;</w:t>
      </w:r>
    </w:p>
    <w:p w14:paraId="269F28D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w:t>
      </w:r>
      <w:r w:rsidRPr="008127F8">
        <w:rPr>
          <w:rFonts w:ascii="Times New Roman" w:hAnsi="Times New Roman"/>
          <w:color w:val="000000" w:themeColor="text1"/>
          <w:sz w:val="16"/>
          <w:szCs w:val="16"/>
        </w:rPr>
        <w:tab/>
        <w:t>значительное количество (6 из 19) имеют пробитыми лобовые детали корпуса;</w:t>
      </w:r>
    </w:p>
    <w:p w14:paraId="42EF3A8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w:t>
      </w:r>
      <w:r w:rsidRPr="008127F8">
        <w:rPr>
          <w:rFonts w:ascii="Times New Roman" w:hAnsi="Times New Roman"/>
          <w:color w:val="000000" w:themeColor="text1"/>
          <w:sz w:val="16"/>
          <w:szCs w:val="16"/>
        </w:rPr>
        <w:tab/>
        <w:t>значительное количество (6 из 19) имеют пробитыми башни;</w:t>
      </w:r>
    </w:p>
    <w:p w14:paraId="6EA4B57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w:t>
      </w:r>
      <w:r w:rsidRPr="008127F8">
        <w:rPr>
          <w:rFonts w:ascii="Times New Roman" w:hAnsi="Times New Roman"/>
          <w:color w:val="000000" w:themeColor="text1"/>
          <w:sz w:val="16"/>
          <w:szCs w:val="16"/>
        </w:rPr>
        <w:tab/>
        <w:t>сравнительно небольшое количество (5 из 19, в том числе один подбит в разведке) имеют пробитой корму, (у некоторых танков пробиты две детали и они засчитаны два раза.</w:t>
      </w:r>
    </w:p>
    <w:p w14:paraId="3FD1819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Усиление бронирования лобовой проекции танка, не только уменьшает поражаемость его в лоб, но увеличат и общую живучесть танка в атаках, т.к. поражаемость танков в бортовую проекцию тоже уменьшится. Это положение подтверждается взаимным расположением подбитых танков и подбившей их пушки на поле боя.</w:t>
      </w:r>
    </w:p>
    <w:p w14:paraId="6364AFD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Немцы бронируют свои танки тоже по принципу усиленного бронирования лобовой проекции при относительной слабости бортовой проекции, в частности так именно забронирован один из последних немецких танков Т-У («Пантера»), очень сходный по своей схеме с нашим танком Т-34. У «Пантеры» борт корпуса, подкрылок, борт башни, корма корпуса и башни забронированы 45 мм броней. Верхний лобовой лист (угол 55 град.) имеет толщину 85 мм, нижний (угол 58 град) - 75 мм: лоб башни - 100 мм. Балка носа отсутствует.</w:t>
      </w:r>
    </w:p>
    <w:p w14:paraId="28BB3B0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Усиление бронирования лобовой проекции танка Т-34 может быть выполнено за счет веса экранировки (2,5 т) при следующем примерном распределении этого веса:</w:t>
      </w:r>
    </w:p>
    <w:p w14:paraId="31D4468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w:t>
      </w:r>
      <w:r w:rsidRPr="008127F8">
        <w:rPr>
          <w:rFonts w:ascii="Times New Roman" w:hAnsi="Times New Roman"/>
          <w:color w:val="000000" w:themeColor="text1"/>
          <w:sz w:val="16"/>
          <w:szCs w:val="16"/>
        </w:rPr>
        <w:tab/>
        <w:t>увеличить толщину лобовой детали корпуса до 75-80 мм ок. 600 кг;</w:t>
      </w:r>
    </w:p>
    <w:p w14:paraId="37A33BE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w:t>
      </w:r>
      <w:r w:rsidRPr="008127F8">
        <w:rPr>
          <w:rFonts w:ascii="Times New Roman" w:hAnsi="Times New Roman"/>
          <w:color w:val="000000" w:themeColor="text1"/>
          <w:sz w:val="16"/>
          <w:szCs w:val="16"/>
        </w:rPr>
        <w:tab/>
        <w:t>увеличить толщину нижней носовой детали корпуса до 70-75мм ок. 200 кг;</w:t>
      </w:r>
    </w:p>
    <w:p w14:paraId="0C3D0A7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w:t>
      </w:r>
      <w:r w:rsidRPr="008127F8">
        <w:rPr>
          <w:rFonts w:ascii="Times New Roman" w:hAnsi="Times New Roman"/>
          <w:color w:val="000000" w:themeColor="text1"/>
          <w:sz w:val="16"/>
          <w:szCs w:val="16"/>
        </w:rPr>
        <w:tab/>
        <w:t>остальной вес (около 1700 кг) - на усиление бронирования башни.</w:t>
      </w:r>
    </w:p>
    <w:p w14:paraId="1CC76E5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Балку носа следует удалить, заменив ее непосредственным соединением верхнего и нижнего носового листов.</w:t>
      </w:r>
    </w:p>
    <w:p w14:paraId="29E1DEA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Забронированный таким образом танк Т-34 будет более живучим в наступательных операциях под огнем 75 и 88 мм пушек, чем экранированные или валовые машины этой марки.</w:t>
      </w:r>
    </w:p>
    <w:p w14:paraId="5927394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Броневую защиту разрабатываемых новых типов тяжелых танков следует рассчитывать против снарядов калибров 75 и 88 мм.</w:t>
      </w:r>
    </w:p>
    <w:p w14:paraId="50CC603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Ориентировочно требования к броневой защите этих танков должны быть предъявлены следующие:</w:t>
      </w:r>
    </w:p>
    <w:p w14:paraId="4B94ADA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w:t>
      </w:r>
      <w:r w:rsidRPr="008127F8">
        <w:rPr>
          <w:rFonts w:ascii="Times New Roman" w:hAnsi="Times New Roman"/>
          <w:color w:val="000000" w:themeColor="text1"/>
          <w:sz w:val="16"/>
          <w:szCs w:val="16"/>
        </w:rPr>
        <w:tab/>
        <w:t>лоб корпуса и башню защитить от 75 мм снаряда полностью и от 88 мм снаряда до дистанций 300-500 м;</w:t>
      </w:r>
    </w:p>
    <w:p w14:paraId="21D76B1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w:t>
      </w:r>
      <w:r w:rsidRPr="008127F8">
        <w:rPr>
          <w:rFonts w:ascii="Times New Roman" w:hAnsi="Times New Roman"/>
          <w:color w:val="000000" w:themeColor="text1"/>
          <w:sz w:val="16"/>
          <w:szCs w:val="16"/>
        </w:rPr>
        <w:tab/>
        <w:t>бортовую проекций корпуса при угле обстрела 50 град, от нормали защитить от 75 мм снаряда до дистанций 200-300 м и от 88 мм снаряда до дистанции 500-600 м.</w:t>
      </w:r>
    </w:p>
    <w:p w14:paraId="60340F6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Необходимо</w:t>
      </w:r>
      <w:r w:rsidRPr="008127F8">
        <w:rPr>
          <w:rFonts w:ascii="Times New Roman" w:hAnsi="Times New Roman"/>
          <w:color w:val="000000" w:themeColor="text1"/>
          <w:sz w:val="16"/>
          <w:szCs w:val="16"/>
        </w:rPr>
        <w:tab/>
        <w:t>улучшить видимость из танка Т-34:</w:t>
      </w:r>
    </w:p>
    <w:p w14:paraId="483F7ED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w:t>
      </w:r>
      <w:r w:rsidRPr="008127F8">
        <w:rPr>
          <w:rFonts w:ascii="Times New Roman" w:hAnsi="Times New Roman"/>
          <w:color w:val="000000" w:themeColor="text1"/>
          <w:sz w:val="16"/>
          <w:szCs w:val="16"/>
        </w:rPr>
        <w:tab/>
        <w:t>защитить триплекс механика - водителя от загрязнения его пороховой гарью своей пушки;</w:t>
      </w:r>
    </w:p>
    <w:p w14:paraId="46F0EBB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w:t>
      </w:r>
      <w:r w:rsidRPr="008127F8">
        <w:rPr>
          <w:rFonts w:ascii="Times New Roman" w:hAnsi="Times New Roman"/>
          <w:color w:val="000000" w:themeColor="text1"/>
          <w:sz w:val="16"/>
          <w:szCs w:val="16"/>
        </w:rPr>
        <w:tab/>
        <w:t>для танков без командирское башенки улучшить ориентировку ПТК;</w:t>
      </w:r>
    </w:p>
    <w:p w14:paraId="238EE85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w:t>
      </w:r>
      <w:r w:rsidRPr="008127F8">
        <w:rPr>
          <w:rFonts w:ascii="Times New Roman" w:hAnsi="Times New Roman"/>
          <w:color w:val="000000" w:themeColor="text1"/>
          <w:sz w:val="16"/>
          <w:szCs w:val="16"/>
        </w:rPr>
        <w:tab/>
        <w:t>увеличить обзор вверх смотровых подборов в бортах башни;</w:t>
      </w:r>
    </w:p>
    <w:p w14:paraId="3C74929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w:t>
      </w:r>
      <w:r w:rsidRPr="008127F8">
        <w:rPr>
          <w:rFonts w:ascii="Times New Roman" w:hAnsi="Times New Roman"/>
          <w:color w:val="000000" w:themeColor="text1"/>
          <w:sz w:val="16"/>
          <w:szCs w:val="16"/>
        </w:rPr>
        <w:tab/>
        <w:t>поставить для командира башни не вращающийся перископ с обзором вперед и сколько можно вправо.</w:t>
      </w:r>
    </w:p>
    <w:p w14:paraId="5F29B40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Весьма желательно установить в башне указатель положения ее по отношению к линии движения танка,</w:t>
      </w:r>
    </w:p>
    <w:p w14:paraId="5DEB66D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Необходимо пересмотреть и улучшить конструкцию сиденья командира башни.</w:t>
      </w:r>
    </w:p>
    <w:p w14:paraId="2AD48C0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Необходимо малую саперную лопату и пулеметные сошки разместить внутри танка, а не на борту.</w:t>
      </w:r>
    </w:p>
    <w:p w14:paraId="370D17E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ДАННАЯ поездка на фронт позволила получить сведения о боевой обстановке танковых операций только на одном участке и за короткий период. Весьма полезно в дальнейшем такие поездки практиковать по возможности шире и несколько длительнее, с обязательным требованием, чтобы обследование поля боя проводилось по возможности немедленно после боя для большей уверенности и сохранности собранных материалов, целесообразно посылать группы по 2 человека. Возможные потери в людях оправдаются точностью и свое- временым получением материалов».</w:t>
      </w:r>
    </w:p>
    <w:p w14:paraId="0C59C7B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Далнейшие работы по подобной экранировке были прекращены, так как по отчетам фронтов поражений кумулятивными боеприпасами было довольно мало (до 2 % общего количества) (12217).</w:t>
      </w:r>
    </w:p>
    <w:p w14:paraId="6B4F7B10"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3310ED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года Сталин поставил задачу максимально нарастить производство Т-34, даже путём снижения выпуска тяжёлых танков. В результате Т-34М разработки 1942 года так и не вышел из стадии макета, а выросший из него Т-43 не рассматривался как танк, который даже при запуске в серию тут же сменит «тридцатьчетвёрку». Кроме того, ещё на стадии разработки Т-43 КБ завода №183 столкнулось с тем, что некоторые из принципов проектирования машины вызвали неоднозначную реакцию в ГАБТУ КА. И если некоторые пункты (например, первый вариант командирской башенки) заводскому КБ всё же пришлось переделывать, то за часть унифицированных с Т-34 элементов Морозов встал горой. Одним из ключевых элементов стал башенный погон диаметром 1420 мм. Нередко пишется, что такой погон завод делать не мог, на самом же деле ситуация выглядела иначе. В теории на такой погон завод вполне мог перейти, но тогда требовалась переделка станочного оборудования. В таком случае требовалось время, а главное, Т-43 терял унификацию по башенным погонам и башням. Кроме того, рост погона башни Морозов напрямую связывал с ростом боевой массы, которая и так превысила 30 т (18587).</w:t>
      </w:r>
    </w:p>
    <w:p w14:paraId="6C1456C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352F5D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 1942 года прошло под знаком резкого повышения объёмов опытных работ по Т-34 на заводе №183. Это оказалось напрямую связано с подписанием 5 июня 1942 года Сталиным постановления ГКО №1879сс «Об улучшении танков Т-34». Именно этим закончилось совещание с участием Сталина и Малышева, на котором показывали макет Т-34М. Вместо внедрения совершенно новой машины планировалось улучшить старую. В числе улучшений значилась замена четырёхскоростной коробки передач на пятискоростную, а также внедрение командирской башенки. Не менее интересен пункт 5, вычеркнутый лично Сталиным. В нём упоминается тот самый Т-44, который предлагали в самом начале июля 1942 года (18420).</w:t>
      </w:r>
    </w:p>
    <w:p w14:paraId="00AE7DF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12266E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42 года В. А. Малышев, а затем И. М. Зальцман подписали ряд приказов, нацеленных на исправление кризисной ситуации с надёжностью. Но эффект их применения был неудовлетворительным даже с точки зрения самих руководителей наркомата. В конечном итоге руководство предприняло необычный шаг - оно организовало конференцию по качеству танка Т-34. В работе конференции приняло участие большое количество делегатов, в том числе: главные конструкторы танковых заводов, представители ОТК и военной приемки, работники центральных органов НКТП, представители бронетанковых войск и даже командир танкового батальона, расквартированного недалеко от Челябинска. Такой шаг со стороны руководства НКТП был вызван разочарованием в неэффективности в данном случае традиционных административных методов управления. Никакие приказы и постановления не смогли коренным образом переломить ситуацию, и на фронт по-прежнему шли некачественные, ненадежные танки. Нужны были новые подходы, новый взгляд на ситуацию. В этих условиях принимается нестандартное решение, продемонстрировавшее гибкость подходов руководства наркомата. Созыв конференции вовлекал сотрудников НКТП в работу над повышением качества продукции. Работа конференции прошла в здоровой атмосфере конструктивной критики. Выступающие смело говорили о существующих недостатках и предлагали свои идеи по улучшению ситуации. Открытая самокритика оказалась эффективным средством борьбы с недостатками, которые мешали производству качественных танков.</w:t>
      </w:r>
    </w:p>
    <w:p w14:paraId="5FD2C2C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Обращает на себя внимание формулировка темы конференции. Она именуется «Конференцией заводов Наркомата танковой промышленности по качеству танка Т-34», именно танка Т-34, а не танков вообще. Такая детализация темы вызывает очевидные вопросы: почему акцент делается именно на Т-34? Разве улучшать качество других танков считалось не нужным? Например, почему игнорировались проблемы с надёжностью танка КВ? Возможно, дело в прочных личных и деловых связях И. М. Зальцмана с Кировским заводом, его конструкторами и руководящими работниками. В силу этого у нового наркома вполне могло появиться желание выгородить своих старых сослуживцев от критики и проигнорировать вопрос о качестве выпускаемого ими танка КВ, сосредоточив основное внимание участников на Т-34, тем более, что обсуждение недостатков в организации производства на Кировском заводе могло поставить под сомнение и собственные способности И. М. Зальцмана как руководителя. Возможно, по этой причине конференция была проведена в Нижнем Тагиле, на заводе № 183. Председательствовал на конференции Ж. Я. Котин, совмещавший пост заместителя Наркома и главного конструктора Кировского завода, руководитель разработки танка КВ, то есть, человек, которому, как и Зальцману, была не нужна критика разработанного им самим танка, производящегося на заводе, где он сам был главным конструктором. Конечно, все вышесказанное является лишь версией автора работы. В любом случае эти гипотетические закулисные интриги не снижают практической ценности результатов конференции.</w:t>
      </w:r>
    </w:p>
    <w:p w14:paraId="3386175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Конференция открылась вступительным словом Ж. Я. Котина, в котором он охарактеризовал сложившуюся ситуацию: «Сейчас в армейских частях, в результате боевого применения танков, на Т-34 поступает большое количество жалоб. Причины дефектов по танкам вам всем известны. ... Хочется остановиться на таком вопросе, который связан чисто с производственными недостатками, которые у нас имеются. Это - небрежность при выпуске боевых машин заводов, недостаточная </w:t>
      </w:r>
      <w:r w:rsidRPr="008127F8">
        <w:rPr>
          <w:rFonts w:ascii="Times New Roman" w:hAnsi="Times New Roman"/>
          <w:color w:val="000000" w:themeColor="text1"/>
          <w:sz w:val="16"/>
          <w:szCs w:val="16"/>
        </w:rPr>
        <w:lastRenderedPageBreak/>
        <w:t>тщательность в сборке и приемке машин, приводящие к тому, что наши танки, находясь в условиях боевого применения, подчас не доходят до линии фронта, или, попадая на территорию, занятую противником для проведения боевых операций, иногда вынуждены из-за мелочей остаться на территории противника. .</w:t>
      </w:r>
    </w:p>
    <w:p w14:paraId="3A3A4B6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Недавно мы с тов. МОРОЗОВЫМ были у тов. СТАЛИНА. Товарищ Сталин обратил наше внимание на то, что танки противника свободно перебрасываются на большие расстояния, а наши машины, хотя и лучше, а обладают тем недостатком, что если пройдут 60 или 80 километров, так начинают чинить» (РГАЭ. Ф. 8752. Оп. 4. Д. 204. Л. 1).</w:t>
      </w:r>
    </w:p>
    <w:p w14:paraId="696BB6B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Особенно эмоциональным было, по-видимому, выступление начальника управления боевой подготовки ГАБТУ Красной Армии генерал- майора С. М. Кривошеина. Он нарисовал мрачную картину последствий низкой надежности наших танков. Он указал на то, что в ходе боев лета 1942 года большое число танков выходило из строя по техническим причинам, причем «лучшие люди, которые подбираются в танковые экипажи, обычно расплачиваются за это своей жизнью». Так, по его словам, «в одном из боев на Сталинградском направлении, когда количество танков наших и танков немецких было равным, с некоторым превышением у нас, в бой вышла четвертая часть наших танков. Фактически дрались, допустим, из 400 - 100 танков» (РГАЭ. Ф. 8752. Оп. 4. Д. 204. Л. 1).</w:t>
      </w:r>
    </w:p>
    <w:p w14:paraId="644D4D7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Причины, которые привели к ухудшению качества танка, были изложены главным конструктором завода № 183 А. А. Морозовым: «Первая и основная причина, которая влияет на выпуск доброкачественной, или же не полностью отработанной продукции, является отсутствие у нас на заводе личной строжайшей ответственности за выпуск доброкачественной продукции. Несмотря на целый ряд указаний и приказов по наркомату, вы на сей день не найдете на заводе человека, который отвечал бы за качество продукции. Отвечают все, а персонально я не знаю такого человека.</w:t>
      </w:r>
    </w:p>
    <w:p w14:paraId="04A1B6E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Второй причиной, которая также влияет на качество продукции, выпускаемой заводом, в частности, на заводе № 183, это недостаточная квалификация работников, изготовляющих машину. Я не ошибусь, если скажу, что все 80% занимающихся производством танков, это состав новый. Это в какой-то степени уже налагает свое лицо на качество машин. Этот состав не прошел достаточной выучки, не имеет достаточной квалификации и опыта и не без этого, что по вине этого состава проскальзывают те или иные дефекты ... Одной из причин, также могущих быть отнесенными к причинам появления дефектов на машинах, это недостаточная требовательность со стороны работников ОТК. Это чувствуется повсюду. Причиной этого, конечно, служит и то обстоятельство, что работники ОТК и сами недостаточной квалификации. Тов. Волков говорил уже, что из 900 человек штата ОТК из Харькова приехало всего лишь 100 с лишним человек. Весь остальной состав контролеров комплектовался из состава, ранее в органах ОТК не работавших..</w:t>
      </w:r>
    </w:p>
    <w:p w14:paraId="4AF2B29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Одной из причин появления дефектов на машине является не полностью освоенная или перенесенная технология производства танков, которая имела место в Харькове. Завод не располагает целиком и полностью тем оборудованием, которым завод располагал на старой площадке. Ввиду того, что заводу пришлось выискивать новые способы изготовления отдельных узлов и деталей, пришлось идти сознательно на то, чтобы ряд деталей и узлов были изменены на конструкцию с меньшей трудоемкостью их изготовления с тем, чтобы найти выход в тот момент, когда завод не располагал еще освоенной технологией..</w:t>
      </w:r>
    </w:p>
    <w:p w14:paraId="5BBAB35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Тов. Волков отмечал характерный пример с подшипниками, качество которых по сравнению с теми, которые мы получали раньше, значительно ухудшилось. Резина колес, которые ставятся на машину, размером 150 мм., изготовляемая в военный период, значительно хуже по своему качеству, нежели резина, изготовляемая ранее.</w:t>
      </w:r>
    </w:p>
    <w:p w14:paraId="247F9C1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второе - применение всякого рода заменителей. К заменителям могут быть отнесены и кривошип ленивца, и материал, и колеса с внутренней амортизацией, которые в целом снизили общий километраж машины. Из практики тагильских испытаний мы увидели разницу живучести машины в сравнении с тагильской машиной» (РГАЭ. Ф. 8752. Оп. 4. Д. 204. Л. 16-18).</w:t>
      </w:r>
    </w:p>
    <w:p w14:paraId="4E945674"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Интересные факты сообщил старший военпред на заводе № 183 Горидько. По его мнению, поступающие из частей рекламации составляли летом 1942 года 10% от общего выпуска. Однако, даже это число не отражает полной картины. Горидько утверждал, что в действительности только на четверть реальных дефектных машин пишется рекламация, а остальные остаются в частях и ремонтируются средствами войск, или же используются без устранения дефектов. По типам дефектов машины распределялись следующим образом: самый распространенный дефект - трещины в броне - 56%. Затем идет разрушение бортовой передачи - 13%, дефекты коробки передач - 8% и разрушения траков - 7%. Другие дефекты встречались реже. Вопрос о качестве брони поднимал на конференции не только Горидько. Представитель Кировского завода конструктор Л. Е. Сычев утверждал, что значительная часть танков, выпускаемых Кировским заводом, тоже имеет трещины и другие дефекты в бронелисте. Такая же ситуация, по его мнению, существует и на заводе № 183.</w:t>
      </w:r>
    </w:p>
    <w:p w14:paraId="2BC58525"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Работниками НКТП выдвигался тогда ряд объяснений появления этого дефекта. Причинами считали отмену низкого отпуска бронекорпусов после сварки, неправильные температурные режимы при закалке и отпуске, отступления от правильных технологий сварки, неучтённые примеси, неотработанную технологию производства металлургических заводов, которые в этот момент осваивали выплавку бронестали в мартенах и прокат бронелиста на блюминге и которым в ноябре 1941 года сильно облегчили технические условия. Можно предположить, что в данном случае действовал целый комплекс причин, приводивших к появлению трещин.</w:t>
      </w:r>
    </w:p>
    <w:p w14:paraId="5391B09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Порой недостаточно продуманная организация производства приводила к мелким ошибкам, которые имели крупные последствия. Например, не все из тех, кому было положено, имели на руках техпроцессы. Не хватало даже контрольно-измерительных инструментов. В итоге конференции по качеству пришлось принимать решение о том, что необходимо «спустить на рабочие места техпроцессы изготовления и контроля и оснастить их необходимыми контрольными приспособлениями и инструментом» (РГАЭ. Ф. 8752. Оп. 4. Д. 205. Л. 7).</w:t>
      </w:r>
    </w:p>
    <w:p w14:paraId="173043A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Конференция оказала существенное плодотворное влияние на улучшение качества советских танков. Было определено большое количество узлов и деталей танка Т-34, которые нуждались в доработке, и задания по этой доработке были распределены по конструкторским бюро заводов. В первую очередь было рекомендовано усовершенствовать бортовую передачу, ленивец и ввести башню с командирской башенкой. Также конференция обратила внимание на слабое оснащение экспериментальной базы танковых заводов для испытаний новых узлов.</w:t>
      </w:r>
    </w:p>
    <w:p w14:paraId="31A063B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Были внесены важные изменения в управление ОТК. Ранее ОТК полностью подчинялся директору своего завода. На практике это означало, что директор мог, пользуясь своей властью, заставлять ОТК принимать не соответствующие требованиям танки. Директор мог поощрять по своему усмотрению работников ОТК, что можно считать своеобразным инструментом влияния. Более того, даже начальники цехов, привлекая работников ОТК к сверхурочным работам под предлогом нехватки рабочей силы, имели возможность таким способом воздействовать на них в нужном для себя направлении. Такими способами производственники могли заставить ОТК пропускать некондиционную продукцию и закрывать глаза на нарушения технологии производства. Можно ли в этих условиях удивляться, что предыдущие решения наркомов танковой промышленности В. А. Малышева и И. М. Зальцмана не были выполнены. Теперь же положение ОТК изменилось. Хотя по-прежнему он должен был подчиняться директору завода, но его права расширились. Например, теперь начальник ОТК мог обратиться через голову директора непосредственно к наркому. Он также должен был постоянно отчитываться о своей деятельности перед главным инспектором НКТП. Работники ОТК могли не только запрещать приемку продукции, но и приостанавливать работу отдельных станков и агрегатов.</w:t>
      </w:r>
    </w:p>
    <w:p w14:paraId="711E3B9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Такое расширение прав ОТК означало, что наконец на заводах появился орган, который мог бы осуществлять политику качества, направленную на улучшение надёжности машины.</w:t>
      </w:r>
    </w:p>
    <w:p w14:paraId="2FE1277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Опыт проведения этой конференции оказался удачным. Её работа помогла руководству разобраться в сложившейся ситуации и найти пути преодоления существующих недостатков в работе отрасли. В последующем был проведён ещё ряд конференций, посвященных вопросу качества продукции, в которых принимали участие главные инженеры заводов, главные конструктора, главные механики, главные металлурги, начальники ОТК.</w:t>
      </w:r>
    </w:p>
    <w:p w14:paraId="6BB2B8D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26A29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лета 1942 г. основные усилия конструкторов НКТП были переключены с упрощения технологий изготовления на повышение надежности танков. В рамках работы над этой проблемой некоторые прежние решения были отменены. Кризисный период продолжался как минимум до второго квартала 1943 г. Это привело к тому, что освоение новых образцов бронетанковой техники в 1942 г. так и не было начато. Между тем когда в 1943 г. немцы начали активно использовать свои новые разработки - танки "Тигр" и "Пантера" - потребовалось в авральном порядке разрабатывать новые образцы советских вооружений, чтобы успешно противостоять им. Среди самых сложных проблем первого периода войны наиболее остро стояло обеспечение предприятий рабочей силой. В ходе эвакуации потери здесь были даже выше, чем потери оборудования. Очень многие работники предприятий отказались по разным причинам покидать родные места. Часто они просто не успевали эвакуироваться из-за слишком стремительного продвижения противника. Наконец, многие рабочие и служащие вступили в народное ополчение. В результате при организации производства на новом месте предприятия столкнулись с катастрофической нехваткой рабочей силы (11786).</w:t>
      </w:r>
    </w:p>
    <w:p w14:paraId="7DC36D3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40FF04"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Летом 1942 года ЧКЗ, изначально ориентированный на производство тяжёлых танков, нагрузили ещё и выпуском среднего Т-34. С сентября 1942 года именно Т-34 являлись основной продукцией Танкограда, причём объём выпуска этих танков постепенно рос. Пиком стал октябрь 1943 года, когда ЧКЗ сдал 366 машин (17721).</w:t>
      </w:r>
    </w:p>
    <w:p w14:paraId="51840D00"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51F39CF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НИИ-13 представил эскизный проект сразу нескольких вариантов истребителей танков на шасси из узлов легких танков Т-60 и Т-70. Проекты трех таких машин отличались друг от друга главным образом только вооружением. Особенностью этих САУ был бронекорпус малой высоты, изготовленный сваркой из катанных броневых листов толщиной - 35-15-мм. Располагавшаяся под большими углами наклона броня обеспечивала малочисленному экипажу (3 человека в линейной САУ, или 4 человека - в командирской) неплохую защиту от огня немецких 37-мм ПТП и 50-мм танковых пушек с длиной ствола 42 калибра (наиболее массовые в немецкой армии до второй половины 1942 г). Двигатель и коробку передач предлагалось заимствовать от автомобиля ЗИС-5 (путем форсирования предполагалось довести его мощность до 108 л.с.). Сравнительно малый размер боевого отделения не должен был утомлять экипаж при проведении длительных маршей, так как на марше крыша корпуса поднималась в виде дополнительных бортов, открывая боевое отделение сверху для доступа воздуха с улицы. В то же время эти дополнительные борта служили защитой экипажу от пуль и осколков снарядов на марше (5742, 14).</w:t>
      </w:r>
    </w:p>
    <w:p w14:paraId="09D9225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Первая машина: (И13.73-СУ) должна была нести вооружение из 45-мм пушки большой мощности, разработанной в НИИ-13 в 1941 г., которая была подобна принятой </w:t>
      </w:r>
      <w:r w:rsidRPr="008127F8">
        <w:rPr>
          <w:rFonts w:ascii="Times New Roman" w:hAnsi="Times New Roman"/>
          <w:color w:val="000000" w:themeColor="text1"/>
          <w:sz w:val="16"/>
          <w:szCs w:val="16"/>
        </w:rPr>
        <w:lastRenderedPageBreak/>
        <w:t>позднее на вооружение 45-мм пушке М-42, вторая (И13.75-СУ) - спаренную установку таких орудий, а третья (И13.76-СУ) - 76-мм “самоходное” орудие со стволом 50 калибров, переделанное в НИИ-13 из дивизионной пушки Ф-22 (5742, 14).</w:t>
      </w:r>
    </w:p>
    <w:p w14:paraId="6A0669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артсистемы предполагалось снабдить специальной “вильчатой карданной рамкой облегченного типа” с противоосколочным щитком и телескопическим прицелом (5742, 14).</w:t>
      </w:r>
    </w:p>
    <w:p w14:paraId="131A5D2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75440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года была выработана программа по созданию системы самоходной артиллерии для вооружения Красной Армии. К этому времени уже полным ходом шло создание новых самоходок. В апреле бюро самоходной артиллерии НКТП завершило разработку шасси для лёгкой самоходки с широким использованием автомобильных деталей и деталей танка Т-60. Конструктор УЗТМ А.Н. Шляков разработал на основе ЗИС-3 установку У-31, предназначенную для самоходки. Завод № 37 взялся за изготовление опытного образца, и в июне 1942 года уже шли его испытания. На УЗТМ был разработан проект самоходки У-33 на базе Т-34. УЗТМ и Танкоград совместно разрабатывали проект самоходки на базе КВ. Казалось, проблема САУ близка к своему решению.</w:t>
      </w:r>
    </w:p>
    <w:p w14:paraId="2EC0126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 как раз в этот момент работы над САУ неожиданно забуксовали. Виной этому стал план расширения производства Т-34, осуществляемый И. М. Зальцманом. В ходе реализации этого плана завод № 37 был слит с УЗТМ, после чего следы легкой самоходки, чей прототип уже проходил испытания на заводе, теряются. УЗТМ тоже прекратил работу над своими проектами, поскольку его конструктора были загружены работой, связанной с освоением Т-34. Работы над САУ возобновились только осенью 1942 года. Недовольное срывом разработок ГАУ подняло вопрос о самоходках в ГКО. ГКО 19 октября 1942 года принял постановление 2429сс (РГАСПИ. Ф. 644. Оп. 1. Д. 65. Л. 2-4), в котором предписывалось разработать и начать производство лёгких, средних и тяжелых САУ.</w:t>
      </w:r>
    </w:p>
    <w:p w14:paraId="198F642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D02A28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был изготовлен опытный об</w:t>
      </w:r>
      <w:r w:rsidRPr="008127F8">
        <w:rPr>
          <w:rFonts w:ascii="Times New Roman" w:hAnsi="Times New Roman"/>
          <w:color w:val="000000" w:themeColor="text1"/>
          <w:sz w:val="16"/>
          <w:szCs w:val="16"/>
        </w:rPr>
        <w:softHyphen/>
        <w:t>разец Т-70 с 37 мм пушкой. В декабре 1942 г. машина была пред</w:t>
      </w:r>
      <w:r w:rsidRPr="008127F8">
        <w:rPr>
          <w:rFonts w:ascii="Times New Roman" w:hAnsi="Times New Roman"/>
          <w:color w:val="000000" w:themeColor="text1"/>
          <w:sz w:val="16"/>
          <w:szCs w:val="16"/>
        </w:rPr>
        <w:softHyphen/>
        <w:t>ставлена на государственные испытания, которые не выдержала из-за неудачной компоновки боевого отделения. Танк был создан на базе серийного танка Т-70, от которого отличал</w:t>
      </w:r>
      <w:r w:rsidRPr="008127F8">
        <w:rPr>
          <w:rFonts w:ascii="Times New Roman" w:hAnsi="Times New Roman"/>
          <w:color w:val="000000" w:themeColor="text1"/>
          <w:sz w:val="16"/>
          <w:szCs w:val="16"/>
        </w:rPr>
        <w:softHyphen/>
        <w:t>ся установкой 37-мм автоматической пушки в несколько измененной башне на штатной опоре. Экипаж машины состоял из двух человек. Компоновка и размещение основных узлов и агрегатов, а также распо</w:t>
      </w:r>
      <w:r w:rsidRPr="008127F8">
        <w:rPr>
          <w:rFonts w:ascii="Times New Roman" w:hAnsi="Times New Roman"/>
          <w:color w:val="000000" w:themeColor="text1"/>
          <w:sz w:val="16"/>
          <w:szCs w:val="16"/>
        </w:rPr>
        <w:softHyphen/>
        <w:t>ложение экипажа танка основных изменений не претерпели, за исклю</w:t>
      </w:r>
      <w:r w:rsidRPr="008127F8">
        <w:rPr>
          <w:rFonts w:ascii="Times New Roman" w:hAnsi="Times New Roman"/>
          <w:color w:val="000000" w:themeColor="text1"/>
          <w:sz w:val="16"/>
          <w:szCs w:val="16"/>
        </w:rPr>
        <w:softHyphen/>
        <w:t>чением башни и установки вооружения. В качестве основного оружия на танке была установлена 37-мм авто</w:t>
      </w:r>
      <w:r w:rsidRPr="008127F8">
        <w:rPr>
          <w:rFonts w:ascii="Times New Roman" w:hAnsi="Times New Roman"/>
          <w:color w:val="000000" w:themeColor="text1"/>
          <w:sz w:val="16"/>
          <w:szCs w:val="16"/>
        </w:rPr>
        <w:softHyphen/>
        <w:t>матическая пушка Ш-37 конструкции Б.Г. Шпитального с начальной ско</w:t>
      </w:r>
      <w:r w:rsidRPr="008127F8">
        <w:rPr>
          <w:rFonts w:ascii="Times New Roman" w:hAnsi="Times New Roman"/>
          <w:color w:val="000000" w:themeColor="text1"/>
          <w:sz w:val="16"/>
          <w:szCs w:val="16"/>
        </w:rPr>
        <w:softHyphen/>
        <w:t>ростью снаряда 1000 м/с с возможностью стрельбы по воздушным целям. Конструкция автоматики пушки была основана на принципе отвода газов из канала ствола. Питание пушки - магазинное. Углы наводки по вертика</w:t>
      </w:r>
      <w:r w:rsidRPr="008127F8">
        <w:rPr>
          <w:rFonts w:ascii="Times New Roman" w:hAnsi="Times New Roman"/>
          <w:color w:val="000000" w:themeColor="text1"/>
          <w:sz w:val="16"/>
          <w:szCs w:val="16"/>
        </w:rPr>
        <w:softHyphen/>
        <w:t>ли составляли от -4 до +77°. При стрельбе по наземным целям использо</w:t>
      </w:r>
      <w:r w:rsidRPr="008127F8">
        <w:rPr>
          <w:rFonts w:ascii="Times New Roman" w:hAnsi="Times New Roman"/>
          <w:color w:val="000000" w:themeColor="text1"/>
          <w:sz w:val="16"/>
          <w:szCs w:val="16"/>
        </w:rPr>
        <w:softHyphen/>
        <w:t>вался телескопический прицел, по воздушным - коллиматорный прицел К-8Т. Наводка оружия на цель осуществлялось с помощью штатных при</w:t>
      </w:r>
      <w:r w:rsidRPr="008127F8">
        <w:rPr>
          <w:rFonts w:ascii="Times New Roman" w:hAnsi="Times New Roman"/>
          <w:color w:val="000000" w:themeColor="text1"/>
          <w:sz w:val="16"/>
          <w:szCs w:val="16"/>
        </w:rPr>
        <w:softHyphen/>
        <w:t>водов - шестеренчатого механизма поворота башни и винтового подъем</w:t>
      </w:r>
      <w:r w:rsidRPr="008127F8">
        <w:rPr>
          <w:rFonts w:ascii="Times New Roman" w:hAnsi="Times New Roman"/>
          <w:color w:val="000000" w:themeColor="text1"/>
          <w:sz w:val="16"/>
          <w:szCs w:val="16"/>
        </w:rPr>
        <w:softHyphen/>
        <w:t>ного механизма. При движении по-походному пушка стопорилась с помо</w:t>
      </w:r>
      <w:r w:rsidRPr="008127F8">
        <w:rPr>
          <w:rFonts w:ascii="Times New Roman" w:hAnsi="Times New Roman"/>
          <w:color w:val="000000" w:themeColor="text1"/>
          <w:sz w:val="16"/>
          <w:szCs w:val="16"/>
        </w:rPr>
        <w:softHyphen/>
        <w:t>щью двух специальных стоек, крепившихся на верхнем лобовом листе. В боекомплект пушки входили 200 выстрелов (10 магазинов). Дополнитель</w:t>
      </w:r>
      <w:r w:rsidRPr="008127F8">
        <w:rPr>
          <w:rFonts w:ascii="Times New Roman" w:hAnsi="Times New Roman"/>
          <w:color w:val="000000" w:themeColor="text1"/>
          <w:sz w:val="16"/>
          <w:szCs w:val="16"/>
        </w:rPr>
        <w:softHyphen/>
        <w:t>но в боевом отделении укладывались один 7,62-мм пистолет-пулемет ППШ с боекомплектом 213 патронов (3 диска) и 10 ручных гранат Ф-1 (10703).</w:t>
      </w:r>
    </w:p>
    <w:p w14:paraId="59221E3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EED40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были проведены испытания модифицированного Т-70, которые показали, что прочность ходовой части тан</w:t>
      </w:r>
      <w:r w:rsidRPr="008127F8">
        <w:rPr>
          <w:rFonts w:ascii="Times New Roman" w:hAnsi="Times New Roman"/>
          <w:color w:val="000000" w:themeColor="text1"/>
          <w:sz w:val="16"/>
          <w:szCs w:val="16"/>
        </w:rPr>
        <w:softHyphen/>
        <w:t>ка из-за возросшей массы стала недостаточ</w:t>
      </w:r>
      <w:r w:rsidRPr="008127F8">
        <w:rPr>
          <w:rFonts w:ascii="Times New Roman" w:hAnsi="Times New Roman"/>
          <w:color w:val="000000" w:themeColor="text1"/>
          <w:sz w:val="16"/>
          <w:szCs w:val="16"/>
        </w:rPr>
        <w:softHyphen/>
        <w:t>ной. Во время осенних испытаний у опытно</w:t>
      </w:r>
      <w:r w:rsidRPr="008127F8">
        <w:rPr>
          <w:rFonts w:ascii="Times New Roman" w:hAnsi="Times New Roman"/>
          <w:color w:val="000000" w:themeColor="text1"/>
          <w:sz w:val="16"/>
          <w:szCs w:val="16"/>
        </w:rPr>
        <w:softHyphen/>
        <w:t>го образца ломались траки, КПП работала в перенапряженном режиме, а при движении танка в гору при угле наклона свыше 20 град, были отмечены поломки зубьев КПП и бор</w:t>
      </w:r>
      <w:r w:rsidRPr="008127F8">
        <w:rPr>
          <w:rFonts w:ascii="Times New Roman" w:hAnsi="Times New Roman"/>
          <w:color w:val="000000" w:themeColor="text1"/>
          <w:sz w:val="16"/>
          <w:szCs w:val="16"/>
        </w:rPr>
        <w:softHyphen/>
        <w:t>товых редукторов. В ходе доработки в первую очередь была изменена конструкция рамы двигателя: вви</w:t>
      </w:r>
      <w:r w:rsidRPr="008127F8">
        <w:rPr>
          <w:rFonts w:ascii="Times New Roman" w:hAnsi="Times New Roman"/>
          <w:color w:val="000000" w:themeColor="text1"/>
          <w:sz w:val="16"/>
          <w:szCs w:val="16"/>
        </w:rPr>
        <w:softHyphen/>
        <w:t>ду возросшей нагрузки на ходовую часть она также потребовала упрочнения. Ширина траков была увеличена до 300 мм, а шаг - до 110-111 мм; возросла со 104 до 130 мм шири</w:t>
      </w:r>
      <w:r w:rsidRPr="008127F8">
        <w:rPr>
          <w:rFonts w:ascii="Times New Roman" w:hAnsi="Times New Roman"/>
          <w:color w:val="000000" w:themeColor="text1"/>
          <w:sz w:val="16"/>
          <w:szCs w:val="16"/>
        </w:rPr>
        <w:softHyphen/>
        <w:t>на опорных катков; с 34 до 36 мм был увели</w:t>
      </w:r>
      <w:r w:rsidRPr="008127F8">
        <w:rPr>
          <w:rFonts w:ascii="Times New Roman" w:hAnsi="Times New Roman"/>
          <w:color w:val="000000" w:themeColor="text1"/>
          <w:sz w:val="16"/>
          <w:szCs w:val="16"/>
        </w:rPr>
        <w:softHyphen/>
        <w:t>чен диаметр торсионов подвески. Поскольку шаг трака возрос, их число в одной цепи бы</w:t>
      </w:r>
      <w:r w:rsidRPr="008127F8">
        <w:rPr>
          <w:rFonts w:ascii="Times New Roman" w:hAnsi="Times New Roman"/>
          <w:color w:val="000000" w:themeColor="text1"/>
          <w:sz w:val="16"/>
          <w:szCs w:val="16"/>
        </w:rPr>
        <w:softHyphen/>
        <w:t>ло сокращено до 80 шт. (у Т-60 и Т-70 было 90-92 трака). Усилили поддерживающие катки, стояночные тормоза (увеличена ши</w:t>
      </w:r>
      <w:r w:rsidRPr="008127F8">
        <w:rPr>
          <w:rFonts w:ascii="Times New Roman" w:hAnsi="Times New Roman"/>
          <w:color w:val="000000" w:themeColor="text1"/>
          <w:sz w:val="16"/>
          <w:szCs w:val="16"/>
        </w:rPr>
        <w:softHyphen/>
        <w:t>рина тормозной ленты) и бортовые редукто</w:t>
      </w:r>
      <w:r w:rsidRPr="008127F8">
        <w:rPr>
          <w:rFonts w:ascii="Times New Roman" w:hAnsi="Times New Roman"/>
          <w:color w:val="000000" w:themeColor="text1"/>
          <w:sz w:val="16"/>
          <w:szCs w:val="16"/>
        </w:rPr>
        <w:softHyphen/>
        <w:t>ры. В таком виде танк Т-70 с двухместной башней к исходу августа был практически готов к выпуску на ГАЗе. Лишь одно поже</w:t>
      </w:r>
      <w:r w:rsidRPr="008127F8">
        <w:rPr>
          <w:rFonts w:ascii="Times New Roman" w:hAnsi="Times New Roman"/>
          <w:color w:val="000000" w:themeColor="text1"/>
          <w:sz w:val="16"/>
          <w:szCs w:val="16"/>
        </w:rPr>
        <w:softHyphen/>
        <w:t>лание выдвигалось комиссией заводскому бюро: расширить башню на 60-85 мм, что, впрочем, можно было сделать и в ходе се</w:t>
      </w:r>
      <w:r w:rsidRPr="008127F8">
        <w:rPr>
          <w:rFonts w:ascii="Times New Roman" w:hAnsi="Times New Roman"/>
          <w:color w:val="000000" w:themeColor="text1"/>
          <w:sz w:val="16"/>
          <w:szCs w:val="16"/>
        </w:rPr>
        <w:softHyphen/>
        <w:t>рийного производства (11084).</w:t>
      </w:r>
    </w:p>
    <w:p w14:paraId="4149613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23762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июне 1942 началась сборка опытного образца. Компоновка танка, вооружение, ходовая часть, корпус, МТО, рабочее место механика-водителя со всеми элемента</w:t>
      </w:r>
      <w:r w:rsidRPr="008127F8">
        <w:rPr>
          <w:rFonts w:ascii="Times New Roman" w:hAnsi="Times New Roman"/>
          <w:color w:val="000000" w:themeColor="text1"/>
          <w:sz w:val="16"/>
          <w:szCs w:val="16"/>
        </w:rPr>
        <w:softHyphen/>
        <w:t>ми управления были такими же, как и на Т-70. Отличия за</w:t>
      </w:r>
      <w:r w:rsidRPr="008127F8">
        <w:rPr>
          <w:rFonts w:ascii="Times New Roman" w:hAnsi="Times New Roman"/>
          <w:color w:val="000000" w:themeColor="text1"/>
          <w:sz w:val="16"/>
          <w:szCs w:val="16"/>
        </w:rPr>
        <w:softHyphen/>
        <w:t>ключались лишь в замене подбашенного листа с увеличен</w:t>
      </w:r>
      <w:r w:rsidRPr="008127F8">
        <w:rPr>
          <w:rFonts w:ascii="Times New Roman" w:hAnsi="Times New Roman"/>
          <w:color w:val="000000" w:themeColor="text1"/>
          <w:sz w:val="16"/>
          <w:szCs w:val="16"/>
        </w:rPr>
        <w:softHyphen/>
        <w:t>ным диаметром погона, на который устанавливалась новая двухместная башня с рабочими местами командира танка и заряжающего, ставшего по совместительству радистом. Пу</w:t>
      </w:r>
      <w:r w:rsidRPr="008127F8">
        <w:rPr>
          <w:rFonts w:ascii="Times New Roman" w:hAnsi="Times New Roman"/>
          <w:color w:val="000000" w:themeColor="text1"/>
          <w:sz w:val="16"/>
          <w:szCs w:val="16"/>
        </w:rPr>
        <w:softHyphen/>
        <w:t>лемет в двухместной башне был перемещен слева направо и его обслуживание было также передано заряжающему. Командиру машины для наблюдения за полем боя пла</w:t>
      </w:r>
      <w:r w:rsidRPr="008127F8">
        <w:rPr>
          <w:rFonts w:ascii="Times New Roman" w:hAnsi="Times New Roman"/>
          <w:color w:val="000000" w:themeColor="text1"/>
          <w:sz w:val="16"/>
          <w:szCs w:val="16"/>
        </w:rPr>
        <w:softHyphen/>
        <w:t>нировалось установить командирскую башенку, но она требовала не менее 5 перископических приборов наблюдения и имела приличный вес, мешающий открытию и закрытию башенного люка. Поэтому на опытном образце вновь раз</w:t>
      </w:r>
      <w:r w:rsidRPr="008127F8">
        <w:rPr>
          <w:rFonts w:ascii="Times New Roman" w:hAnsi="Times New Roman"/>
          <w:color w:val="000000" w:themeColor="text1"/>
          <w:sz w:val="16"/>
          <w:szCs w:val="16"/>
        </w:rPr>
        <w:softHyphen/>
        <w:t>местилась поворотная командирская панорама. Броневая защита корпуса также была усилена за счет повсеместного перехода на установку бортовых листов тол</w:t>
      </w:r>
      <w:r w:rsidRPr="008127F8">
        <w:rPr>
          <w:rFonts w:ascii="Times New Roman" w:hAnsi="Times New Roman"/>
          <w:color w:val="000000" w:themeColor="text1"/>
          <w:sz w:val="16"/>
          <w:szCs w:val="16"/>
        </w:rPr>
        <w:softHyphen/>
        <w:t>щиной 25 мм, а подбашенного листа - до 20 мм. Толщина лобовой брони была доведена до 35 мм (верхний лист) и 45 мм (средний лист), которые имели углы наклона к верти</w:t>
      </w:r>
      <w:r w:rsidRPr="008127F8">
        <w:rPr>
          <w:rFonts w:ascii="Times New Roman" w:hAnsi="Times New Roman"/>
          <w:color w:val="000000" w:themeColor="text1"/>
          <w:sz w:val="16"/>
          <w:szCs w:val="16"/>
        </w:rPr>
        <w:softHyphen/>
        <w:t>кали соответственно 60° и 30°. Броневые листы сварной башни высокой твердости теперь имели толщину 35 мм. Ввиду изменения места установки пулемета конструкция литой маски спаренной установки была изменена (11135).</w:t>
      </w:r>
    </w:p>
    <w:p w14:paraId="6678F46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45411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испытания показа</w:t>
      </w:r>
      <w:r w:rsidRPr="008127F8">
        <w:rPr>
          <w:rFonts w:ascii="Times New Roman" w:hAnsi="Times New Roman"/>
          <w:color w:val="000000" w:themeColor="text1"/>
          <w:sz w:val="16"/>
          <w:szCs w:val="16"/>
        </w:rPr>
        <w:softHyphen/>
        <w:t>ли, что прочность ходовой части танка Т-70 из-за возросшей массы стала недостаточной. Во время осенних испытаний у опытного образца танка постоянно ломались траки, КПП работала в перенапряженном режиме, и при движении тан</w:t>
      </w:r>
      <w:r w:rsidRPr="008127F8">
        <w:rPr>
          <w:rFonts w:ascii="Times New Roman" w:hAnsi="Times New Roman"/>
          <w:color w:val="000000" w:themeColor="text1"/>
          <w:sz w:val="16"/>
          <w:szCs w:val="16"/>
        </w:rPr>
        <w:softHyphen/>
        <w:t>ка в гору при угле наклона свыше 20° отмечались поломки зубьев КПП и бортовых редукторов. Для предотвращения этого, во-первых, была упрочнена конструкция рамы двигателя. Из-за возросшей нагрузки она также потребовала упрочнения. Таким образом, были увеличены до 300 мм ширина и до 110-111 мм шаг траков; со 104 до 130 мм возросла ширина опорных катков; с 34 до 36 мм увеличен диаметр всех торсионов подвески. По</w:t>
      </w:r>
      <w:r w:rsidRPr="008127F8">
        <w:rPr>
          <w:rFonts w:ascii="Times New Roman" w:hAnsi="Times New Roman"/>
          <w:color w:val="000000" w:themeColor="text1"/>
          <w:sz w:val="16"/>
          <w:szCs w:val="16"/>
        </w:rPr>
        <w:softHyphen/>
        <w:t>скольку шаг трака возрос, их число в цепи было сокращено до 80 шт. (у Т-60 и Т-70 было 90-92 трака). Были усилены поддерживающие катки, стояночные тормоза (увеличена ширина тормозной ленты) и бортовые редукторы. В таком виде танк Т-70 с двухместной башней к исходу августа был практически готов к выпуску на ГАЗе. Лишь од</w:t>
      </w:r>
      <w:r w:rsidRPr="008127F8">
        <w:rPr>
          <w:rFonts w:ascii="Times New Roman" w:hAnsi="Times New Roman"/>
          <w:color w:val="000000" w:themeColor="text1"/>
          <w:sz w:val="16"/>
          <w:szCs w:val="16"/>
        </w:rPr>
        <w:softHyphen/>
        <w:t>но пожелание выдвигалось заводскому бюро комиссией - уширение башни еще на 60-85 мм, что, впрочем, можно было сделать и в ходе серийного производства. Казалось бы, танку уготована «зеленая улица», но в этот момент бро</w:t>
      </w:r>
      <w:r w:rsidRPr="008127F8">
        <w:rPr>
          <w:rFonts w:ascii="Times New Roman" w:hAnsi="Times New Roman"/>
          <w:color w:val="000000" w:themeColor="text1"/>
          <w:sz w:val="16"/>
          <w:szCs w:val="16"/>
        </w:rPr>
        <w:softHyphen/>
        <w:t>нетанковое управление выдвинуло новые ТТТ, основанные на опыте боев в 1942 г. в городах. Согласно новым требованиям, основное вооружение легкого танка, как самого непосредственного спутника пе</w:t>
      </w:r>
      <w:r w:rsidRPr="008127F8">
        <w:rPr>
          <w:rFonts w:ascii="Times New Roman" w:hAnsi="Times New Roman"/>
          <w:color w:val="000000" w:themeColor="text1"/>
          <w:sz w:val="16"/>
          <w:szCs w:val="16"/>
        </w:rPr>
        <w:softHyphen/>
        <w:t>хоты во время боев в населенных пунктах, должно было обеспечивать ведение огня под углом не менее 65° для об</w:t>
      </w:r>
      <w:r w:rsidRPr="008127F8">
        <w:rPr>
          <w:rFonts w:ascii="Times New Roman" w:hAnsi="Times New Roman"/>
          <w:color w:val="000000" w:themeColor="text1"/>
          <w:sz w:val="16"/>
          <w:szCs w:val="16"/>
        </w:rPr>
        <w:softHyphen/>
        <w:t>стрела верхних этажей зданий. А для реализации этого тан</w:t>
      </w:r>
      <w:r w:rsidRPr="008127F8">
        <w:rPr>
          <w:rFonts w:ascii="Times New Roman" w:hAnsi="Times New Roman"/>
          <w:color w:val="000000" w:themeColor="text1"/>
          <w:sz w:val="16"/>
          <w:szCs w:val="16"/>
        </w:rPr>
        <w:softHyphen/>
        <w:t>ку требовалась уже новая башня. Но так как разработка улучшенного Т-70 шла вместе с ликвидацией отмеченных в ходе эксплуатации недостат</w:t>
      </w:r>
      <w:r w:rsidRPr="008127F8">
        <w:rPr>
          <w:rFonts w:ascii="Times New Roman" w:hAnsi="Times New Roman"/>
          <w:color w:val="000000" w:themeColor="text1"/>
          <w:sz w:val="16"/>
          <w:szCs w:val="16"/>
        </w:rPr>
        <w:softHyphen/>
        <w:t>ков, чтобы не терять наработок и темпа освоения новой ма</w:t>
      </w:r>
      <w:r w:rsidRPr="008127F8">
        <w:rPr>
          <w:rFonts w:ascii="Times New Roman" w:hAnsi="Times New Roman"/>
          <w:color w:val="000000" w:themeColor="text1"/>
          <w:sz w:val="16"/>
          <w:szCs w:val="16"/>
        </w:rPr>
        <w:softHyphen/>
        <w:t>шины руководство НКТП приняло решение о внесении всех доделок корпуса и МТО улучшенного трехместного танка в серию, не дожидаясь государственных испытаний танка в целом. Это позволило бы сразу по окончании до</w:t>
      </w:r>
      <w:r w:rsidRPr="008127F8">
        <w:rPr>
          <w:rFonts w:ascii="Times New Roman" w:hAnsi="Times New Roman"/>
          <w:color w:val="000000" w:themeColor="text1"/>
          <w:sz w:val="16"/>
          <w:szCs w:val="16"/>
        </w:rPr>
        <w:softHyphen/>
        <w:t>водки башни переходить на массовый выпуск трехместно</w:t>
      </w:r>
      <w:r w:rsidRPr="008127F8">
        <w:rPr>
          <w:rFonts w:ascii="Times New Roman" w:hAnsi="Times New Roman"/>
          <w:color w:val="000000" w:themeColor="text1"/>
          <w:sz w:val="16"/>
          <w:szCs w:val="16"/>
        </w:rPr>
        <w:softHyphen/>
        <w:t>го танка без дополнительных временных затрат (11135).</w:t>
      </w:r>
    </w:p>
    <w:p w14:paraId="00DF5DF0" w14:textId="77777777" w:rsidR="007C5583" w:rsidRPr="00A054E3" w:rsidRDefault="007C5583" w:rsidP="00A054E3">
      <w:pPr>
        <w:spacing w:after="0" w:line="240" w:lineRule="auto"/>
        <w:rPr>
          <w:rFonts w:ascii="Times New Roman" w:hAnsi="Times New Roman"/>
          <w:sz w:val="16"/>
          <w:szCs w:val="16"/>
        </w:rPr>
      </w:pPr>
    </w:p>
    <w:p w14:paraId="14236B59" w14:textId="77777777" w:rsidR="007C5583" w:rsidRPr="00A054E3" w:rsidRDefault="007C5583" w:rsidP="00A054E3">
      <w:pPr>
        <w:spacing w:after="0" w:line="240" w:lineRule="auto"/>
        <w:rPr>
          <w:rFonts w:ascii="Times New Roman" w:hAnsi="Times New Roman"/>
          <w:sz w:val="16"/>
          <w:szCs w:val="16"/>
        </w:rPr>
      </w:pPr>
      <w:r w:rsidRPr="00A054E3">
        <w:rPr>
          <w:rFonts w:ascii="Times New Roman" w:hAnsi="Times New Roman"/>
          <w:sz w:val="16"/>
          <w:szCs w:val="16"/>
        </w:rPr>
        <w:t>Летом 1942 года Шпитальный попытался спасти свое детище Ш-37. Помятуя зенитное прошлое своей Ш-37, он предложил «сухопутное» применение пушки. В КБ завода №37 под руководством Н.А.Попова был изготовлен опытный образец «зенитного» танка Т-70, вооруженного 37-мм пушкой Ш-37, установленной в открытой сверху башне довольно оригинального вида, сваренной из 16-мм бронелистов.</w:t>
      </w:r>
    </w:p>
    <w:p w14:paraId="2DDA00CA" w14:textId="77777777" w:rsidR="007C5583" w:rsidRPr="00A054E3" w:rsidRDefault="007C5583" w:rsidP="00A054E3">
      <w:pPr>
        <w:spacing w:after="0" w:line="240" w:lineRule="auto"/>
        <w:rPr>
          <w:rFonts w:ascii="Times New Roman" w:hAnsi="Times New Roman"/>
          <w:sz w:val="16"/>
          <w:szCs w:val="16"/>
        </w:rPr>
      </w:pPr>
      <w:r w:rsidRPr="00A054E3">
        <w:rPr>
          <w:rFonts w:ascii="Times New Roman" w:hAnsi="Times New Roman"/>
          <w:sz w:val="16"/>
          <w:szCs w:val="16"/>
        </w:rPr>
        <w:t>Орудие, как отмечалось, имело ленточное питание (скорее всего имелся ввиду все же магазин), боекомплект составлял 50 снарядов. В качестве зенитного прицела использовался коллиматорный прицел ОМП-3.</w:t>
      </w:r>
    </w:p>
    <w:p w14:paraId="1F5D00FE" w14:textId="77777777" w:rsidR="007C5583" w:rsidRPr="00A054E3" w:rsidRDefault="007C5583" w:rsidP="00A054E3">
      <w:pPr>
        <w:spacing w:after="0" w:line="240" w:lineRule="auto"/>
        <w:rPr>
          <w:rFonts w:ascii="Times New Roman" w:hAnsi="Times New Roman"/>
          <w:sz w:val="16"/>
          <w:szCs w:val="16"/>
        </w:rPr>
      </w:pPr>
      <w:r w:rsidRPr="00A054E3">
        <w:rPr>
          <w:rFonts w:ascii="Times New Roman" w:hAnsi="Times New Roman"/>
          <w:sz w:val="16"/>
          <w:szCs w:val="16"/>
        </w:rPr>
        <w:t>Испытания Т-70 с Ш-37 провели в сентябре — октябре 1942 года, при этом после первого этапа танк пришлось отправить на доработку — выяснилось, что ёмкости баллона со сжатым воздухом (он использовался для перезарядки пушки) хватает всего на 10-15 включений, также отмечалось большое время для перезарядки орудия и низкая скорость вращения башни (19169).</w:t>
      </w:r>
    </w:p>
    <w:p w14:paraId="4DFBC390" w14:textId="77777777" w:rsidR="007C5583" w:rsidRPr="00A054E3" w:rsidRDefault="007C5583" w:rsidP="00A054E3">
      <w:pPr>
        <w:spacing w:after="0" w:line="240" w:lineRule="auto"/>
        <w:rPr>
          <w:rFonts w:ascii="Times New Roman" w:hAnsi="Times New Roman"/>
          <w:sz w:val="16"/>
          <w:szCs w:val="16"/>
        </w:rPr>
      </w:pPr>
    </w:p>
    <w:p w14:paraId="4E8A3EB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НИИ-13 представил эскизные проекты трех вариантов истребителей танков (противотанковых самоходных установок), разработанных на базе легких танков Т-60 и Т-70, которые отличались друг от друга установленным вооружением. Особенностью этих устано</w:t>
      </w:r>
      <w:r w:rsidRPr="008127F8">
        <w:rPr>
          <w:rFonts w:ascii="Times New Roman" w:hAnsi="Times New Roman"/>
          <w:color w:val="000000" w:themeColor="text1"/>
          <w:sz w:val="16"/>
          <w:szCs w:val="16"/>
        </w:rPr>
        <w:softHyphen/>
        <w:t>вок был низкий сварной броневой корпус, изготовленный из катаных броневых листов толщиной 13 - 35 м, расположенных под рациональными углами наклона. Броневая защита машины обеспечивала защиты экипажа, состоящего из трех-четырех человек, и внутреннего оборудования от 37-мм противотанковых пушек и 50-мм танковых пушек прей тивника. Для удобства размещения экипажа на марше и в не боевой обстановке крыша боевого отделения машины была выполнена в виде двухстворчатых, открывающихся дверец, которые при подъеме образовывали дополнительные броневые борта, обеспечивая доступ воздух внутрь машины. Двигатель и коробка передач были заимствованы у грузового автомобиля ЗИС-5, причем предполагалось использовать форсированный двигатель мощностью 108 л.с. (79 кВт). Первый вариант установки, имевший индекс И13.73-СУ предполагалось вооружать 45-мм пушкой большой мощности, разработали НИИ-13 в 1941 г. Эта пушка являлась прототипом принятой по вооружение РККА 45-мм пушки М-42. Второй вариант - И13.75 должен был иметь спаренную установку аналогичных первому варианту 45-мм пушек, а третий - И13.76-СУ должен был вооруя 76,2-мм пушкой с длиной ствола 50 калибров, переделанной в НИИд из дивизионной пушки Ф-22. Все артиллерийские системы устанавливались в корпусе с помощью специально разработанной "вильчатой карданной рамки облегченного типа", прикрытой противоосколочным щитком. При стрельбе предполагалось использовать телескопический прицел. Разные проекты были рассмотрены на заседании технического совета по решению которого для доводки артиллерийских систем устано работам было привлечено ЦАКБ НКВ, а для отработки моторной рамы - ОКБ-38 и конструкторское бюро НАТИ. Доработка проектов продолжалась до декабря 1942 г., после чего проекты были представлены ГКО. После рассмотрения проектов распоряжением ГКО от 16 января 1943 г. НКТП и НКВ предписывалось изготовить и представить к 1 февраля 1943 г. опытные образцы двух самоходных установок НИИ-4 которым были присвоены наимено</w:t>
      </w:r>
      <w:r w:rsidRPr="008127F8">
        <w:rPr>
          <w:rFonts w:ascii="Times New Roman" w:hAnsi="Times New Roman"/>
          <w:color w:val="000000" w:themeColor="text1"/>
          <w:sz w:val="16"/>
          <w:szCs w:val="16"/>
        </w:rPr>
        <w:softHyphen/>
        <w:t xml:space="preserve">вания СУ-ИТ-45 и СУ-ИТ-76. </w:t>
      </w:r>
      <w:r w:rsidRPr="008127F8">
        <w:rPr>
          <w:rFonts w:ascii="Times New Roman" w:hAnsi="Times New Roman"/>
          <w:color w:val="000000" w:themeColor="text1"/>
          <w:sz w:val="16"/>
          <w:szCs w:val="16"/>
        </w:rPr>
        <w:lastRenderedPageBreak/>
        <w:t>Одна</w:t>
      </w:r>
      <w:r w:rsidRPr="008127F8">
        <w:rPr>
          <w:rFonts w:ascii="Times New Roman" w:hAnsi="Times New Roman"/>
          <w:color w:val="000000" w:themeColor="text1"/>
          <w:sz w:val="16"/>
          <w:szCs w:val="16"/>
        </w:rPr>
        <w:softHyphen/>
        <w:t>ко в начале 1943 г., в связи с отсутст</w:t>
      </w:r>
      <w:r w:rsidRPr="008127F8">
        <w:rPr>
          <w:rFonts w:ascii="Times New Roman" w:hAnsi="Times New Roman"/>
          <w:color w:val="000000" w:themeColor="text1"/>
          <w:sz w:val="16"/>
          <w:szCs w:val="16"/>
        </w:rPr>
        <w:softHyphen/>
        <w:t>вием форсированных двигателей ГАЗ-80 и невозможностью установки в моторно-трансмиссионное отделе</w:t>
      </w:r>
      <w:r w:rsidRPr="008127F8">
        <w:rPr>
          <w:rFonts w:ascii="Times New Roman" w:hAnsi="Times New Roman"/>
          <w:color w:val="000000" w:themeColor="text1"/>
          <w:sz w:val="16"/>
          <w:szCs w:val="16"/>
        </w:rPr>
        <w:softHyphen/>
        <w:t>ние машин силовой установки танка Т-70 (по размерам), потребовалась переработка компоновки их мотор</w:t>
      </w:r>
      <w:r w:rsidRPr="008127F8">
        <w:rPr>
          <w:rFonts w:ascii="Times New Roman" w:hAnsi="Times New Roman"/>
          <w:color w:val="000000" w:themeColor="text1"/>
          <w:sz w:val="16"/>
          <w:szCs w:val="16"/>
        </w:rPr>
        <w:softHyphen/>
        <w:t>ных отделений и коробки передач. Кроме того, ожидалось, что вскоре завод "Двигатель Революции" или Ярославский автозавод вот-вот освоят выпуск дизелей В-4 или "744", которые были так необходимы для установки в легкие танки, самоход</w:t>
      </w:r>
      <w:r w:rsidRPr="008127F8">
        <w:rPr>
          <w:rFonts w:ascii="Times New Roman" w:hAnsi="Times New Roman"/>
          <w:color w:val="000000" w:themeColor="text1"/>
          <w:sz w:val="16"/>
          <w:szCs w:val="16"/>
        </w:rPr>
        <w:softHyphen/>
        <w:t>ные установки и артиллерийские тягачи. Использование этих дизелей мощностью 150 - 250 л.с. (ПО - 184 кВт) позволило бы увеличить бро</w:t>
      </w:r>
      <w:r w:rsidRPr="008127F8">
        <w:rPr>
          <w:rFonts w:ascii="Times New Roman" w:hAnsi="Times New Roman"/>
          <w:color w:val="000000" w:themeColor="text1"/>
          <w:sz w:val="16"/>
          <w:szCs w:val="16"/>
        </w:rPr>
        <w:softHyphen/>
        <w:t>невую защиту самоходных установок и довести толщину броневых ли</w:t>
      </w:r>
      <w:r w:rsidRPr="008127F8">
        <w:rPr>
          <w:rFonts w:ascii="Times New Roman" w:hAnsi="Times New Roman"/>
          <w:color w:val="000000" w:themeColor="text1"/>
          <w:sz w:val="16"/>
          <w:szCs w:val="16"/>
        </w:rPr>
        <w:softHyphen/>
        <w:t>стов до 25 - 45 мм. Однако производство указанных дизелей не было ос</w:t>
      </w:r>
      <w:r w:rsidRPr="008127F8">
        <w:rPr>
          <w:rFonts w:ascii="Times New Roman" w:hAnsi="Times New Roman"/>
          <w:color w:val="000000" w:themeColor="text1"/>
          <w:sz w:val="16"/>
          <w:szCs w:val="16"/>
        </w:rPr>
        <w:softHyphen/>
        <w:t>воено промышленностью, поэтому проекты установок, перерабатывав</w:t>
      </w:r>
      <w:r w:rsidRPr="008127F8">
        <w:rPr>
          <w:rFonts w:ascii="Times New Roman" w:hAnsi="Times New Roman"/>
          <w:color w:val="000000" w:themeColor="text1"/>
          <w:sz w:val="16"/>
          <w:szCs w:val="16"/>
        </w:rPr>
        <w:softHyphen/>
        <w:t>шиеся под различные силовые установки, так и не были выполнены в срок (10703).</w:t>
      </w:r>
    </w:p>
    <w:p w14:paraId="2895F5D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05D5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были испытаны некоторые образцы новых самоходок (3905).</w:t>
      </w:r>
    </w:p>
    <w:p w14:paraId="26EC0F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0B5E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в КО УЗТМ был разработан проект СУ У-18, который предусматривал использование в качестве базовой машины самоходной установки КВ-7, на которой вместо нескольких орудий смонтировали одну 152-мм пушку-гаубицу МЛ-20. Разработка проекта была выполнена конструкторами Г.Н.Рыбиным, К.Н.Ильиным и др. Затем изготовили деревянный макет установки в натуральную величину. Монтаж артиллерийского орудия осуществлялся в рамке и предусматривал частичное изменение его конструкции. Углы наводки по вертикали составляли от -5° до +15°, по горизонту — в секторе 15°. Хорошие баллистические качества орудия обеспечивали 152-мм бронебойным снарядам массой 48 — 51 кг, имевшим начальную скорость 550 — 650 м/с, не только надежное поражение дотов и дзотов противника, но и пробитие танковой брони толщиной до 98 мм на дистанции 1000 м. Кроме того, осколочно-фугасный снаряд имел фугасное действие в три раза больше, чем осколочно-фугасный снаряд калибра 76 мм. Проект установки У-18 получил одобрение в НКТП и ГБТУ и затем был передан Челябинскому Кировскому заводу для использования при разработке самоходной установки СУ-152 (11638).</w:t>
      </w:r>
    </w:p>
    <w:p w14:paraId="5430D9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252A6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лета 1942 г. в Свердловске на заводе № 37 выпускались легкие танки, а затем заводу была отведена роль поставщика для "Уралмаша" (4018).</w:t>
      </w:r>
    </w:p>
    <w:p w14:paraId="39D8419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5993C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Летом 1942 года появился проект У-34, созданного на УЗТМ в инициативном порядке. До стадии рабочих чертежей, по целому ряду причин, этот процесс удалось довести только в ноябре, и в конечном итоге он привел к появлению СУ-122. Второй путь получил поддержку и одобрение в декабре 1942 года, сразу после получения данных об успехе наступления под Сталинградом. Тактико-технические требования, поступившие от БТУ в адрес НКТП, заключались в создании </w:t>
      </w:r>
      <w:hyperlink r:id="rId111"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 xml:space="preserve">а артиллерийского усиления </w:t>
      </w:r>
      <w:hyperlink r:id="rId112"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 xml:space="preserve">овых бригад. Мечта получить подобный штурмовой </w:t>
      </w:r>
      <w:hyperlink r:id="rId113"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 xml:space="preserve">, способный вести не только настильную стрельбу, но и поддерживать пехоту, осталась ещё с довоенных времен. Опыт использования КВ-2 подсказывал, что машина данного типа может иметь более тонкое бронирование, что снижало бы массу и улучшало ходовые качества </w:t>
      </w:r>
      <w:hyperlink r:id="rId114"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 xml:space="preserve">а. Таким образом, из серийных </w:t>
      </w:r>
      <w:hyperlink r:id="rId115"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 xml:space="preserve">ов на эту роль снова определили Т-34. Вопрос с типом вооружения тоже недолго оставался открытым, поскольку выбор был небольшим. Установленная ранее на КВ-2 пушка-гаубица М-10 калибра 152,4-мм была сразу отвергнута по причине избыточной мощности и громоздкости конструкции. От варианта с более новой М-30 также пришлось отказаться, а вот </w:t>
      </w:r>
      <w:hyperlink r:id="rId116"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 xml:space="preserve">овая гаубица У-11, созданная на её основе, была сочтена вполне приемлемой. Согласно ТТЗ </w:t>
      </w:r>
      <w:hyperlink r:id="rId117"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 xml:space="preserve"> артиллерийского усиления должен был сохранить базовое шасси и корпус. Заново предстояло разработать новую башню с вооружением из 122-мм орудия с баллистикой гаубицы обр.1938 г. Работу поручили сразу трем конструкторским коллективам – КБ УЗТМ под руководством Л.И.Горлицкого, КБ завода №9 под руководством Ф.Ф.Петрова и ЦАКБ под руководством В.Г.Грабина. Ожидалось, что “главный приз” будет разыгран между старыми соперниками -”артиллеристами”, но события развернулись несколько иначе (15625).</w:t>
      </w:r>
    </w:p>
    <w:p w14:paraId="5F87032C"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9918C92"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shd w:val="clear" w:color="auto" w:fill="FFFFFF"/>
        </w:rPr>
      </w:pPr>
      <w:r w:rsidRPr="008127F8">
        <w:rPr>
          <w:rFonts w:ascii="Times New Roman" w:eastAsia="Times New Roman" w:hAnsi="Times New Roman"/>
          <w:color w:val="000000" w:themeColor="text1"/>
          <w:sz w:val="16"/>
          <w:szCs w:val="16"/>
          <w:lang w:eastAsia="ru-RU"/>
        </w:rPr>
        <w:t xml:space="preserve">Летом 1942 года стали задумываться о том, что орудие У-11 можно использовать как "средство усиления". При этом последняя попытка пристроить КВ-9 случилась в октябре 1942 года, когда шло обсуждения вопроса создания средней штурмовой САУ. Но к тому времени КВ-1 уже не производился, да и КВ-9 явно уступал по характеристикам средним САУ на базе Т-34. Это не помешало потом еще раз попытаться протолкнуть идею "артиллерийского" танка, уже на базе КВ-13 (ИС-2, он же "234"). Что же касается опытного образца КВ-9, то он оказался на площадке опытного завода №100, где стоял без движения с июня 1942 года. Что было дальше, очень интересный вопрос. Согласно документам от декабря 1943 года, КВ-9, вместе с КВ-7 и несколькими другими опытными машинами, сдали в металлолом. Но на самом деле нет. Мало того, что танк пережил войну, так он еще и уехал потом в Ленинград, случилось это в 1946 году. В 1949-50 годах танк использовался как объект испытаний консервации бронетанковой техники. Так что в металлолом КВ-9 угодил уже после данных событий. В заключение стоит отметить, что У-11, при всем том, что данная система оказалась "запасной", да и не особо подходящей для башни КВ, имела очень важное значение. Дело в том, что она оказалась востребованной для самоходной артиллерии. Более компактная и изначально имеющая телескопический прицел, а также устанавливающаяся в рамке, У-11 выглядела более удачным решением, нежели гаубица М-30. Правда, в ГАУ КА по этому поводу имели иное мнение, посему любыми способами торпедировали использование данной системы. По итогам доторпедировались: в начале 1943 года внезапно выяснилось, что "максимально унифицированная" гаубица М-30 в СУ-122 является не очень умной идеей, поскольку получилась слишком громоздкой, тяжелой, да еще и требовала тумбу. Только после того, как из частей пошли лучи добра в отношение тех, благодаря кому СУ-122 оказалась тесной, в ГАУ КА начали о чем-то догадываться. Так в начале 1943 года начались работы по орудию Д-11, позже эволюционировавшего в 85-мм систему Д-5. В августе 1943 года началось производство КВ-85 и СУ-85, оснащавшихся орудиями семейства Д-5. Так что инициатива Котина, после нескольких ступеней эволюции, превратилась в серийное орудие </w:t>
      </w:r>
      <w:r w:rsidRPr="008127F8">
        <w:rPr>
          <w:rFonts w:ascii="Times New Roman" w:hAnsi="Times New Roman"/>
          <w:color w:val="000000" w:themeColor="text1"/>
          <w:sz w:val="16"/>
          <w:szCs w:val="16"/>
          <w:shd w:val="clear" w:color="auto" w:fill="FFFFFF"/>
        </w:rPr>
        <w:t>(20860).</w:t>
      </w:r>
    </w:p>
    <w:p w14:paraId="3FCA91DC" w14:textId="77777777" w:rsidR="007C5583" w:rsidRPr="008127F8" w:rsidRDefault="007C5583" w:rsidP="007C5583">
      <w:pPr>
        <w:spacing w:after="0" w:line="240" w:lineRule="auto"/>
        <w:jc w:val="both"/>
        <w:rPr>
          <w:rFonts w:ascii="Times New Roman" w:hAnsi="Times New Roman"/>
          <w:color w:val="000000" w:themeColor="text1"/>
          <w:sz w:val="16"/>
          <w:szCs w:val="16"/>
          <w:shd w:val="clear" w:color="auto" w:fill="FFFFFF"/>
        </w:rPr>
      </w:pPr>
    </w:p>
    <w:p w14:paraId="594A701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Летом 1942 года НИИ-13 представил эскизный проект сразу нескольких вариантов истребителей </w:t>
      </w:r>
      <w:hyperlink r:id="rId118"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 xml:space="preserve">ов на шасси из узлов легких </w:t>
      </w:r>
      <w:hyperlink r:id="rId119"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 xml:space="preserve">ов Т-60 и Т-70. Проекты трех таких машин отличались друг от друга главным образом только вооружением. Особенностью этих САУ был бронекорпус малой высоты, изготовленный сваркой из катанных броневых листов толщиной — 35-15-мм. Располагавшаяся под большими углами наклона броня обеспечивала малочисленному экипажу (3 человека в линейной САУ или 4 человека — в командирской) неплохую защиту от огня немецких 37-мм ПТП и 50-мм </w:t>
      </w:r>
      <w:hyperlink r:id="rId120" w:tgtFrame="_blank" w:history="1">
        <w:r w:rsidRPr="008127F8">
          <w:rPr>
            <w:rFonts w:ascii="Times New Roman" w:hAnsi="Times New Roman"/>
            <w:color w:val="000000" w:themeColor="text1"/>
            <w:sz w:val="16"/>
            <w:szCs w:val="16"/>
          </w:rPr>
          <w:t>танк</w:t>
        </w:r>
      </w:hyperlink>
      <w:r w:rsidRPr="008127F8">
        <w:rPr>
          <w:rFonts w:ascii="Times New Roman" w:hAnsi="Times New Roman"/>
          <w:color w:val="000000" w:themeColor="text1"/>
          <w:sz w:val="16"/>
          <w:szCs w:val="16"/>
        </w:rPr>
        <w:t>овых пушек с длиной ствола 42 калибра, то есть наиболее массовых пушек в немецкой армии вплоть до второй половины 1942 года. Двигатель и коробку передач предлагалось заимствовать от автомобиля ЗИС-5, причем предполагалось довести его мощность до 108 л.с. путем форсирования. Интересно было также то, что сравнительно малый размер боевого отделения не должен был утомлять экипаж при проведении длительных маршей, так как на марше крыша корпуса откидывалась в стороны в виде дополнительных бортов, открывая боевое отделение сверху. В то же время эти дополнительные борта служили защитой экипажу от пуль и осколков снарядов на марше.</w:t>
      </w:r>
    </w:p>
    <w:p w14:paraId="17BA69D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Первая машина И13.73-СУ была вооружена 45-мм пушкой большой мощности, разработанной в НИИ-13 в 1941 году, которая была подобна принятой позднее на вооружение 45-мм пушке М-42.</w:t>
      </w:r>
    </w:p>
    <w:p w14:paraId="657BF86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Вторая машина под обозначением И13.75-СУ была вооружена двумя спаренными 45-мм пушками, такими же, как и на первой машине.</w:t>
      </w:r>
    </w:p>
    <w:p w14:paraId="5FF5A5A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Третья машина под обозначением И13.76-СУ вооружалась 76-мм «самоходным» орудием со стволом 50 калибров, которое было переделано в НИИ-13 из дивизионной пушки Ф-22.</w:t>
      </w:r>
    </w:p>
    <w:p w14:paraId="6DE15C9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Все артсистемы предполагалось снабдить специальной «вильчатой карданной рамкой облегченного типа» с противоосколочным щитком и телескопическим прицелом (15643).</w:t>
      </w:r>
    </w:p>
    <w:p w14:paraId="79A949D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октябре 1942 года проекты И13.73-СУ и И13.73-СУ НИИ-13 были рассмотрены на заседании техсовста НКВ и для доводки артиллерийской части к работам было подключено ЦАКБ, а для отработки моторной группы — ОКБ-33 и КБ НАТИ (15643).</w:t>
      </w:r>
    </w:p>
    <w:p w14:paraId="6E83BB2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EB01B4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КБ УТЗ им. Сталина из-за большого чила нареканий на качество и боевые возможности Т-34 обратилось к И.В.С. с письмом с просьбой о разрешении продолжения работ над проектированием улучшенного среднего танка. При этом предполагалось достичь:</w:t>
      </w:r>
    </w:p>
    <w:p w14:paraId="5513C86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увеличения толщины брони до 60-75 мм (в противодействие новым немецким 50 мм и 75 мм танковым пушкам и ПТП, а также 88 мм зенитным пушкам), при сохранении маневренных качеств Т-34,</w:t>
      </w:r>
    </w:p>
    <w:p w14:paraId="72FC5EE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поднять скорость до 55-60 км/час (в 1942 серийные давали 42-46),</w:t>
      </w:r>
    </w:p>
    <w:p w14:paraId="56D0A57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увеличить гарантированный пробег до 1500-2000 км (против имеющегося меньше 1000 км),</w:t>
      </w:r>
    </w:p>
    <w:p w14:paraId="1D67D9D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снизить цену и упростить в ремонте и обслуживании</w:t>
      </w:r>
    </w:p>
    <w:p w14:paraId="341BBA6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ввести третьего члена экипажа в башню, снабдив его наблюдательной башенкой.</w:t>
      </w:r>
    </w:p>
    <w:p w14:paraId="26CB0A5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И.В.С. лично одобрил и обязал НКТП помочь.</w:t>
      </w:r>
    </w:p>
    <w:p w14:paraId="5657736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Получил индекс Т-43 и до конца 1942 именовался в бумагах - Т-34 (б Т-34М) (7815, 27).</w:t>
      </w:r>
    </w:p>
    <w:p w14:paraId="73F4310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09D33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несмотря на то что для скорей</w:t>
      </w:r>
      <w:r w:rsidRPr="008127F8">
        <w:rPr>
          <w:rFonts w:ascii="Times New Roman" w:hAnsi="Times New Roman"/>
          <w:color w:val="000000" w:themeColor="text1"/>
          <w:sz w:val="16"/>
          <w:szCs w:val="16"/>
        </w:rPr>
        <w:softHyphen/>
        <w:t>шего развертывания выпуска Т-34 допускалось временно сократить выпуск КВ, расширенным собранием дирекции завода и ее партийного бюро решено было производство КВ сохранить полностью. На ЧКЗ сборку танков Т-34 решили организовать на месте бывшего главного конвейера гусеничных тракторов «ЧТЗ С-65». Для организации производства Т-34 конструк</w:t>
      </w:r>
      <w:r w:rsidRPr="008127F8">
        <w:rPr>
          <w:rFonts w:ascii="Times New Roman" w:hAnsi="Times New Roman"/>
          <w:color w:val="000000" w:themeColor="text1"/>
          <w:sz w:val="16"/>
          <w:szCs w:val="16"/>
        </w:rPr>
        <w:softHyphen/>
        <w:t>торам и технологам ЧКЗ пришлось в предельно сжатые сроки разработать технологию более 2 тысяч деталей, спро</w:t>
      </w:r>
      <w:r w:rsidRPr="008127F8">
        <w:rPr>
          <w:rFonts w:ascii="Times New Roman" w:hAnsi="Times New Roman"/>
          <w:color w:val="000000" w:themeColor="text1"/>
          <w:sz w:val="16"/>
          <w:szCs w:val="16"/>
        </w:rPr>
        <w:softHyphen/>
        <w:t>ектировать и изготовить свыше 500 штампов, более 5 тысяч различных приспособлений. Гордостью ЧКЗ была организация литья башен Т-34 в стальной многоразовый кокиль. Причем особенности ко</w:t>
      </w:r>
      <w:r w:rsidRPr="008127F8">
        <w:rPr>
          <w:rFonts w:ascii="Times New Roman" w:hAnsi="Times New Roman"/>
          <w:color w:val="000000" w:themeColor="text1"/>
          <w:sz w:val="16"/>
          <w:szCs w:val="16"/>
        </w:rPr>
        <w:softHyphen/>
        <w:t>кильного литья (возможность прогрева кокиля перед заливкой и принудительного охлаждения формы) привели к тому, что качество и прочность отливаемых здесь башен были много выше, чем у отлитых в землю. В результате, уже в августе из ворот ЧКЗ вышло 30 шт Т-34, а в сентябре Красная Армия получила еще 220 сред</w:t>
      </w:r>
      <w:r w:rsidRPr="008127F8">
        <w:rPr>
          <w:rFonts w:ascii="Times New Roman" w:hAnsi="Times New Roman"/>
          <w:color w:val="000000" w:themeColor="text1"/>
          <w:sz w:val="16"/>
          <w:szCs w:val="16"/>
        </w:rPr>
        <w:softHyphen/>
        <w:t>них танков челябинской сборки. При этом на производст</w:t>
      </w:r>
      <w:r w:rsidRPr="008127F8">
        <w:rPr>
          <w:rFonts w:ascii="Times New Roman" w:hAnsi="Times New Roman"/>
          <w:color w:val="000000" w:themeColor="text1"/>
          <w:sz w:val="16"/>
          <w:szCs w:val="16"/>
        </w:rPr>
        <w:softHyphen/>
        <w:t xml:space="preserve">во Т-34 было </w:t>
      </w:r>
      <w:r w:rsidRPr="008127F8">
        <w:rPr>
          <w:rFonts w:ascii="Times New Roman" w:hAnsi="Times New Roman"/>
          <w:color w:val="000000" w:themeColor="text1"/>
          <w:sz w:val="16"/>
          <w:szCs w:val="16"/>
        </w:rPr>
        <w:lastRenderedPageBreak/>
        <w:t>переориентировано около 70—75% оборудо</w:t>
      </w:r>
      <w:r w:rsidRPr="008127F8">
        <w:rPr>
          <w:rFonts w:ascii="Times New Roman" w:hAnsi="Times New Roman"/>
          <w:color w:val="000000" w:themeColor="text1"/>
          <w:sz w:val="16"/>
          <w:szCs w:val="16"/>
        </w:rPr>
        <w:softHyphen/>
        <w:t>вания Кировского завода, тогда как на остальных мощнос</w:t>
      </w:r>
      <w:r w:rsidRPr="008127F8">
        <w:rPr>
          <w:rFonts w:ascii="Times New Roman" w:hAnsi="Times New Roman"/>
          <w:color w:val="000000" w:themeColor="text1"/>
          <w:sz w:val="16"/>
          <w:szCs w:val="16"/>
        </w:rPr>
        <w:softHyphen/>
        <w:t>тях продолжал производиться тяжелый танк КВ. И все же, несмотря на принятые меры, начало 1943 г. характеризовалось недостаточной отгрузкой танков в дей</w:t>
      </w:r>
      <w:r w:rsidRPr="008127F8">
        <w:rPr>
          <w:rFonts w:ascii="Times New Roman" w:hAnsi="Times New Roman"/>
          <w:color w:val="000000" w:themeColor="text1"/>
          <w:sz w:val="16"/>
          <w:szCs w:val="16"/>
        </w:rPr>
        <w:softHyphen/>
        <w:t>ствующую армию. Лишь к началу марта количественно и качественно последствия танкового кризиса осени 1942 г. были полностью преодолены (10782).</w:t>
      </w:r>
    </w:p>
    <w:p w14:paraId="65F9314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C906CD" w14:textId="77777777" w:rsidR="009332A8" w:rsidRPr="008A2E5A" w:rsidRDefault="009332A8" w:rsidP="009332A8">
      <w:pPr>
        <w:spacing w:after="0" w:line="240" w:lineRule="auto"/>
        <w:jc w:val="both"/>
        <w:rPr>
          <w:rFonts w:ascii="Times New Roman" w:hAnsi="Times New Roman"/>
          <w:color w:val="0070C0"/>
          <w:sz w:val="16"/>
          <w:szCs w:val="16"/>
        </w:rPr>
      </w:pPr>
      <w:bookmarkStart w:id="83" w:name="bookmark42"/>
      <w:r w:rsidRPr="008A2E5A">
        <w:rPr>
          <w:rFonts w:ascii="Times New Roman" w:hAnsi="Times New Roman"/>
          <w:color w:val="0070C0"/>
          <w:sz w:val="16"/>
          <w:szCs w:val="16"/>
        </w:rPr>
        <w:t>Летом 1942 г. в связи с началом наступления немецко-фашистских войск на Волгу и Северный Кавказ советское правительство приняло решение об эвакуации Сталинградского тракторного завода, завода № 264 и кооперирующих с ними предприятий. На тот момент СТЗ являлся крупнейшим предприятием по производству среднего танка: до эвакуации СТЗ выпустил 2520 танков Т-34, тогда как Уральский танковый завод, считавшийся головным предприятием НКТП по производству Т-34, в I и II кварталах 1942 г. - только 1820[494]. Совершенно очевидно, что в перспективе уже ближайшего полугодия УТЗ должен был нарастить выпуск средних танков и значительно превзойти уровень производства СТЗ. Мы приводим здесь эти данные для понимания проблемы масштабов потери сталинградских предприятий. Для снижения негативных последствий эвакуации принимается решение о сохранении общего объема производства танка Т-34 и двигателя В-2 за счет других предприятий.</w:t>
      </w:r>
      <w:bookmarkEnd w:id="83"/>
    </w:p>
    <w:p w14:paraId="2916D2BF" w14:textId="77777777" w:rsidR="009332A8" w:rsidRPr="008A2E5A" w:rsidRDefault="009332A8" w:rsidP="009332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 решение правительства имело далекоидущие последствия. Приказом по НКТП Уралмашу и Кировскому заводу предписывалось в течение августа 1942 г. подготовить производство и с сентября начать выпуск среднего танка Т-34. В целях обеспечения новой программы на УЗТМ прекращалось производство корпуса КВ, и в состав предприятия в статусе филиала включался завод № 37 НКТП. Для Кировского завода план выпуска тяжелых танков значительно сокращается[495]. В сентябре 1942 г. московский филиал завода № 37 был выделен в самостоятельное номерное предприятие «завод № 37 НКТП»[496].</w:t>
      </w:r>
    </w:p>
    <w:p w14:paraId="6B9FAEEB" w14:textId="77777777" w:rsidR="009332A8" w:rsidRPr="008A2E5A" w:rsidRDefault="009332A8" w:rsidP="009332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свердловском и челябинском танковых предприятиях сложилась ситуация, прямо напоминавшая события конца 1941 - начала 1942 г., когда в экстренном порядке необходимо было внедрить технологию, изготовить оснастку и наладить серийный выпуск новой, ранее незнакомой продукции. Хотя прежняя программа была существенно сокращена, этим уральским предприятиям так и не удалось выполнить переход на запланированные объемы выпуска среднего танка в установленные наркоматом сроки (23536).</w:t>
      </w:r>
    </w:p>
    <w:p w14:paraId="68065CCA" w14:textId="77777777" w:rsidR="009332A8" w:rsidRPr="008A2E5A" w:rsidRDefault="009332A8" w:rsidP="009332A8">
      <w:pPr>
        <w:spacing w:after="0" w:line="240" w:lineRule="auto"/>
        <w:jc w:val="both"/>
        <w:rPr>
          <w:rFonts w:ascii="Times New Roman" w:hAnsi="Times New Roman"/>
          <w:color w:val="0070C0"/>
          <w:sz w:val="16"/>
          <w:szCs w:val="16"/>
        </w:rPr>
      </w:pPr>
    </w:p>
    <w:p w14:paraId="57228F1E" w14:textId="77777777" w:rsidR="009332A8" w:rsidRPr="008A2E5A" w:rsidRDefault="009332A8" w:rsidP="009332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1942 г. на уральских танковых заводах (это подчеркивалось Наркоматом танковой промышленности именно в отношении заводов этого региона) обострились заболевания авитаминозом, цингой, они заняли первое место среди других заболеваний. В наиболее тяжелом положении оказался опять завод № 183. Здесь в течение июля - августа ежедневно от работы по больничному листу освобождалось до 1 тыс. человек, «а число рабочих, имевших те или иные признаки поражения авитаминозом, но еще практически трудоспособных, исчислялось цифрой до 10 000 человек».</w:t>
      </w:r>
    </w:p>
    <w:p w14:paraId="63D954A7" w14:textId="77777777" w:rsidR="009332A8" w:rsidRPr="008A2E5A" w:rsidRDefault="009332A8" w:rsidP="009332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Ситуация принципиально не изменилась и к январю 1943 года. В поселке № 8а, где была расселена основная масса рабочих стройколонн, не имелось элементарных условий для проживания, там продолжала господствовать антисанитария: разрушенные уборные так и не были восстановлены, отсутствовали мусорные ящики. «Бойцы» стройколонн, находясь в этих нечеловеческих условиях, получали самое худшее питание. Поэтому в подавляющем большинстве случаев именно они умирали от дистрофии и цинги[914]. Скученность и полная антисанитария приводили к вспышкам инфекционных заболеваний. За три дня февраля 1942 г. в Нижнем Тагиле было зарегистрировано 24 случая заболевания сыпным тифом на заводе № 183 и 6 случаев на соседнем заводе № 56 НКБ[915]. К концу марта 1942 г. в целом по области было зарегистрировано 179 случаев заболевания тифом[916].</w:t>
      </w:r>
    </w:p>
    <w:p w14:paraId="239173F2" w14:textId="77777777" w:rsidR="009332A8" w:rsidRPr="008A2E5A" w:rsidRDefault="009332A8" w:rsidP="009332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Нехватка витаминов и продуктов питания приводила к тому, что рабочие начинали быстро уставать и теряли работоспособность. Естественным следствием недостатка питания стала дистрофия. Именно такие больные, по мнению заведующего Свердловским облздравотделением Шаклеина, давали наиболее частые случаи хронических заболеваний с тяжелыми последствиями.</w:t>
      </w:r>
    </w:p>
    <w:p w14:paraId="1E19C642" w14:textId="77777777" w:rsidR="009332A8" w:rsidRPr="008A2E5A" w:rsidRDefault="009332A8" w:rsidP="009332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его данным, только в больнице УТЗ, где обслуживались в том числе работники завода № 56 НКБ, за 11 месяцев 1942 г. было зафиксировано 177 случаев смерти от дистрофии. За 20 дней декабря, кроме смертей в цехах и общежитиях, в приемном покое заводской больницы было 14 аналогичных случаев. Медсанчастью № 3 завода № 183 к концу 1942 г. было увезено домой и отпущено в длительные отпуска свыше 1,5 тыс. человек[917]. Из- за нехватки витаминов и пищи зимой 1942 г. на заводе ежедневно умирало по 2-3 человека[918].</w:t>
      </w:r>
    </w:p>
    <w:p w14:paraId="5DD7A66B" w14:textId="77777777" w:rsidR="009332A8" w:rsidRPr="008A2E5A" w:rsidRDefault="009332A8" w:rsidP="009332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состоянию на 1 марта 1943 г., количество только учтенных больных на Уралмаше составило 3,5 тыс. человек (более 11 % от списочного состава предприятия - подсчитано по данным таблицы 5.14 приложения), из них 535 было освобождено от работы по болезни и 215 госпитализировано. В период с 1 января по 24 февраля 1943 г. от дистрофии на Уралмашзаводе умерло 65 человек[919].</w:t>
      </w:r>
    </w:p>
    <w:p w14:paraId="35184BE9" w14:textId="77777777" w:rsidR="009332A8" w:rsidRPr="008A2E5A" w:rsidRDefault="009332A8" w:rsidP="009332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результате антисанитарных условий в общежитиях завода № 76, где была повсеместная грязь и теснота, постельное белье не менялось по несколько месяцев, отсутствовала холодная и тем более горячая вода, увеличилось количество заболеваний. В IV квартале 1942 г. болело 2 574 человека с потерей 25 810 рабочих дней, в январе 1943 г. - 545 человек с потерей 5 395 дней, в феврале 1943 г. - 946 человек с потерей 9 680 дней. До санобработки 50 % проживающих в общежитиях страдали от вшей.</w:t>
      </w:r>
    </w:p>
    <w:p w14:paraId="0024F8D9" w14:textId="77777777" w:rsidR="009332A8" w:rsidRPr="008A2E5A" w:rsidRDefault="009332A8" w:rsidP="009332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Основные виды заболеваний: грипп, фурункулез, вшивость, желудочные</w:t>
      </w:r>
    </w:p>
    <w:p w14:paraId="256B5016" w14:textId="77777777" w:rsidR="009332A8" w:rsidRPr="008A2E5A" w:rsidRDefault="009332A8" w:rsidP="009332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заболевания и травматизм. Проводимые мероприятия по оздоровлению труда были явно недостаточны. На заводе имелось 2 санпропускника, только в восьми цехах работали душевые, а в трех только умывальники с горячей водой.</w:t>
      </w:r>
    </w:p>
    <w:p w14:paraId="20EC18C3" w14:textId="77777777" w:rsidR="009332A8" w:rsidRPr="008A2E5A" w:rsidRDefault="009332A8" w:rsidP="009332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столовых дизельного предприятия была грязь, нехватка ложек (!), очереди, у обслуживающего персонала не было спецодежды. Неделями в меню присутствовали только щи из кислой капусты и грибы, а значительная часть продуктов расхищалась. Вследствие штурмовщины в конце месяца и отсутствия выходных дней оказалось неизбежным переутомление рабочих. В результате такого положения на заводе начинают встречаться дистрофия и авитаминоз: в январе 1943 г. - 252 случая (освобождено от работы 64 человека), в феврале 1943 г. - 567 случаев (освобождено 103 человека). В начале 1943 г. рабочим начали выдавать «витаминную воду», на витаминное питание (250 г молока и 50 г томатов) было переведено 500 человек, на усиленное питание было переведено 300 ослабевших рабочих[920].</w:t>
      </w:r>
    </w:p>
    <w:p w14:paraId="1C7EBE9E" w14:textId="77777777" w:rsidR="009332A8" w:rsidRPr="008A2E5A" w:rsidRDefault="009332A8" w:rsidP="009332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данным инструктора танкового отдела Свердловского горкома ВКП(б) В. Буряка на свердловском дизельном предприятии 19 и 20 мая на работу не вышло 20 % рабочих. На предприятии наблюдался рост заболеваемости по заводу: в апреле было выдано 1110 больничных листов, за 22 дня мая - 818. Основными заболеваниями были грипп и дистрофия [921] (23536).</w:t>
      </w:r>
    </w:p>
    <w:p w14:paraId="45637BB4" w14:textId="77777777" w:rsidR="009332A8" w:rsidRPr="008A2E5A" w:rsidRDefault="009332A8" w:rsidP="009332A8">
      <w:pPr>
        <w:spacing w:after="0" w:line="240" w:lineRule="auto"/>
        <w:jc w:val="both"/>
        <w:rPr>
          <w:rFonts w:ascii="Times New Roman" w:hAnsi="Times New Roman"/>
          <w:color w:val="0070C0"/>
          <w:sz w:val="16"/>
          <w:szCs w:val="16"/>
        </w:rPr>
      </w:pPr>
    </w:p>
    <w:p w14:paraId="23E58A6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года, когда над Сталинградом нависла угроза, "Уралмашу" было приказано начать производство Т-34, но осенью завод стал единственным производителем новых средних штурмовых орудий на базе Т-34. Сталинградская битва имела результатом дополнительный выпуск Т-34 Челябинском до марта 1944 года (4018).</w:t>
      </w:r>
    </w:p>
    <w:p w14:paraId="37FC529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Большая часть оборудования моторного завода № 75 была отправлена в Челябинск, где соединилось с Кировским/Челябинским тракторным заводами, образовав комплекс "Танкоград". Некоторые детали производились новым танковым заводом № 76 в Свердловске. Цеха Харьковского тракторного завода помогли завершить создание нового завода танковых двигателей в Рубцовске в Алтайском крае (на этой базе был создан Алтайский тракторный завод). Другие цеха соединились в Барнауле в завод по производству танковых дизелей № 77, который в 1943 г. начал поставлять дизели Омскому танковому заводу (4018).</w:t>
      </w:r>
    </w:p>
    <w:p w14:paraId="65F8256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C0622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в связи с ростом производства танков дефицит материалов стал ощущаться особенно остро. В результате бронетанковое управление РККА приняло решение о поиске более дешевого заменителя стали марки 8-С. В конце августа металлургический завод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178 изготовил для завода №</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112 пробные листы толщиной 35, 45 и 75 мм с содержанием никеля 0,8–1</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вместо принятых ранее 2,5–3</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хотя и последние параметры были следствием уменьшения содержания никеля в 1941</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г. БТУ поручило заводу-изготовителю проверить новую сталь на сварку, обработку и прочность. Стрельбы, проводившиеся с расстояния 64 метра, показали «удовлетворительную бронестойкость».  При попадании 45мм бронебойного снаряда в броневой лист толщиной 35 мм в основном образовывались вмятины глубиной 14–20 мм и иногда пробоины с отколом. При попадании в лист толщиной 45 мм образовывались вмятины глубиной 9-11 мм и пробоины без откола. [292 — ГУ ЦАНО, Ф. 15, Оп. 4, Д. 190, Л. 17–18.] В то же время опыты показали, что выплавка указанной стали в мартеновской печи не вызывает дополнительных затруднений. Новой марке стали был присвоен индекс «ФК». Снижение расхода ферросплавов на одну ее тонну показано в таблице: [293 — Там же, Л. 19–21.] (11741).</w:t>
      </w:r>
    </w:p>
    <w:p w14:paraId="1E8305D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8379B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в конструкторском отделе УЗТМ конструкторами Н.В. Куриным и Г.Ф. Ксюниным была выполнена инициативная ра</w:t>
      </w:r>
      <w:r w:rsidRPr="008127F8">
        <w:rPr>
          <w:rFonts w:ascii="Times New Roman" w:hAnsi="Times New Roman"/>
          <w:color w:val="000000" w:themeColor="text1"/>
          <w:sz w:val="16"/>
          <w:szCs w:val="16"/>
        </w:rPr>
        <w:softHyphen/>
        <w:t>бота по созданию проекта самоходной установки на базе среднего танка Т-34 и его вооружения (проект У-34). Согласно проекту, вмес</w:t>
      </w:r>
      <w:r w:rsidRPr="008127F8">
        <w:rPr>
          <w:rFonts w:ascii="Times New Roman" w:hAnsi="Times New Roman"/>
          <w:color w:val="000000" w:themeColor="text1"/>
          <w:sz w:val="16"/>
          <w:szCs w:val="16"/>
        </w:rPr>
        <w:softHyphen/>
        <w:t>то вращающейся башни была применена неподвижная броневая руб</w:t>
      </w:r>
      <w:r w:rsidRPr="008127F8">
        <w:rPr>
          <w:rFonts w:ascii="Times New Roman" w:hAnsi="Times New Roman"/>
          <w:color w:val="000000" w:themeColor="text1"/>
          <w:sz w:val="16"/>
          <w:szCs w:val="16"/>
        </w:rPr>
        <w:softHyphen/>
        <w:t>ка, в амбразуре которой устанавливалась 76,2-мм орудие с углом об</w:t>
      </w:r>
      <w:r w:rsidRPr="008127F8">
        <w:rPr>
          <w:rFonts w:ascii="Times New Roman" w:hAnsi="Times New Roman"/>
          <w:color w:val="000000" w:themeColor="text1"/>
          <w:sz w:val="16"/>
          <w:szCs w:val="16"/>
        </w:rPr>
        <w:softHyphen/>
        <w:t>стрела по горизонту в секторе 20°. Углы вертикальной наводки со</w:t>
      </w:r>
      <w:r w:rsidRPr="008127F8">
        <w:rPr>
          <w:rFonts w:ascii="Times New Roman" w:hAnsi="Times New Roman"/>
          <w:color w:val="000000" w:themeColor="text1"/>
          <w:sz w:val="16"/>
          <w:szCs w:val="16"/>
        </w:rPr>
        <w:softHyphen/>
        <w:t>ставляли от -4 до +31°. В результате экономии массы за счет отказа от вращающейся башни была увеличена толщина лобовой брони кор</w:t>
      </w:r>
      <w:r w:rsidRPr="008127F8">
        <w:rPr>
          <w:rFonts w:ascii="Times New Roman" w:hAnsi="Times New Roman"/>
          <w:color w:val="000000" w:themeColor="text1"/>
          <w:sz w:val="16"/>
          <w:szCs w:val="16"/>
        </w:rPr>
        <w:softHyphen/>
        <w:t>пуса. В ходе проектных работ общая высота машины по сравнению с высотой базовой машины была уменьшена на 700 мм, а боевая масса снижена на 2 т. Это позволило повысить маневренность машины и долговечность работы ее агрегатов. Дальнейшие работы по проекту У-34 были прекращены в связи с развертыванием на заводе работ по производству танка Т-34-76 (10703).</w:t>
      </w:r>
    </w:p>
    <w:p w14:paraId="05E2652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4FA86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года трал под маркой ПТ-34 (противоминный трал для танка Т-34) был рекомендован к принятию на вооружение, однако работа по постановке его на серийное производство была отложена из-за трудного положения па фронтах. Осенью 1942 г. конструкция трала ПТ-34 была усовершенствована с целью обеспечения ого крепления ко всем типам средних и тяжелых танков. После проведения всесторонних испытаний трал под маркой ПТ-3 в марте 1943 г. был принят для серий</w:t>
      </w:r>
      <w:r w:rsidRPr="008127F8">
        <w:rPr>
          <w:rFonts w:ascii="Times New Roman" w:hAnsi="Times New Roman"/>
          <w:color w:val="000000" w:themeColor="text1"/>
          <w:sz w:val="16"/>
          <w:szCs w:val="16"/>
        </w:rPr>
        <w:softHyphen/>
        <w:t>ного производства па Тульском машиностроительном заводе и заводе "Комсомолец". Таким образом, с апреля 1943 г. на вооружение броне</w:t>
      </w:r>
      <w:r w:rsidRPr="008127F8">
        <w:rPr>
          <w:rFonts w:ascii="Times New Roman" w:hAnsi="Times New Roman"/>
          <w:color w:val="000000" w:themeColor="text1"/>
          <w:sz w:val="16"/>
          <w:szCs w:val="16"/>
        </w:rPr>
        <w:softHyphen/>
        <w:t>танковых и механизированных войск РККА стал поступать серийно из</w:t>
      </w:r>
      <w:r w:rsidRPr="008127F8">
        <w:rPr>
          <w:rFonts w:ascii="Times New Roman" w:hAnsi="Times New Roman"/>
          <w:color w:val="000000" w:themeColor="text1"/>
          <w:sz w:val="16"/>
          <w:szCs w:val="16"/>
        </w:rPr>
        <w:softHyphen/>
        <w:t>готавливавшийся катковый минный трал ПТ-3, созданный иод непо</w:t>
      </w:r>
      <w:r w:rsidRPr="008127F8">
        <w:rPr>
          <w:rFonts w:ascii="Times New Roman" w:hAnsi="Times New Roman"/>
          <w:color w:val="000000" w:themeColor="text1"/>
          <w:sz w:val="16"/>
          <w:szCs w:val="16"/>
        </w:rPr>
        <w:softHyphen/>
        <w:t xml:space="preserve">средственным руководством П.М. Мугалева - </w:t>
      </w:r>
      <w:r w:rsidRPr="008127F8">
        <w:rPr>
          <w:rFonts w:ascii="Times New Roman" w:hAnsi="Times New Roman"/>
          <w:color w:val="000000" w:themeColor="text1"/>
          <w:sz w:val="16"/>
          <w:szCs w:val="16"/>
        </w:rPr>
        <w:lastRenderedPageBreak/>
        <w:t>преподавателя Вое-нпо-ипжсперной академии им. Куйбышева (10703). Трал ПТ-3 вполне оправдал себя в ходе боевых действий. Первое бо</w:t>
      </w:r>
      <w:r w:rsidRPr="008127F8">
        <w:rPr>
          <w:rFonts w:ascii="Times New Roman" w:hAnsi="Times New Roman"/>
          <w:color w:val="000000" w:themeColor="text1"/>
          <w:sz w:val="16"/>
          <w:szCs w:val="16"/>
        </w:rPr>
        <w:softHyphen/>
        <w:t>евое крещение отдельная танковая рота, тапки которой были оснащены градами ПТ-3, получила па Центральном фронте в полосе действия 16 Л, а два танковых полка, с установленными на тапки этими же трала</w:t>
      </w:r>
      <w:r w:rsidRPr="008127F8">
        <w:rPr>
          <w:rFonts w:ascii="Times New Roman" w:hAnsi="Times New Roman"/>
          <w:color w:val="000000" w:themeColor="text1"/>
          <w:sz w:val="16"/>
          <w:szCs w:val="16"/>
        </w:rPr>
        <w:softHyphen/>
        <w:t>ми, в июле</w:t>
      </w:r>
      <w:r w:rsidRPr="008127F8">
        <w:rPr>
          <w:rFonts w:ascii="Times New Roman" w:hAnsi="Times New Roman"/>
          <w:color w:val="000000" w:themeColor="text1"/>
          <w:sz w:val="16"/>
          <w:szCs w:val="16"/>
          <w:vertAlign w:val="superscript"/>
        </w:rPr>
        <w:t>1</w:t>
      </w:r>
      <w:r w:rsidRPr="008127F8">
        <w:rPr>
          <w:rFonts w:ascii="Times New Roman" w:hAnsi="Times New Roman"/>
          <w:color w:val="000000" w:themeColor="text1"/>
          <w:sz w:val="16"/>
          <w:szCs w:val="16"/>
        </w:rPr>
        <w:t xml:space="preserve"> 1943 г. в ходе наступления на Курской дуге (10703).</w:t>
      </w:r>
    </w:p>
    <w:p w14:paraId="5FFBDDA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668EB0" w14:textId="77777777" w:rsidR="009332A8" w:rsidRPr="008A2E5A" w:rsidRDefault="009332A8" w:rsidP="009332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1941 года сформировался новый средний танк Т-43, который должен был заменить Т-34. Это был уже второй танк с таким обозначением, причем он заметно отличался от танка, который иногда ошибочно именуют А-43. Разработка Т-34М оказалась среди программ отечественного танкостроения, которые пришлось сворачивать после начала Великой Отечественной войны. Несмотря на то, что второй по счету Т-34М построить так и не успели, он не исчез бесследно. Ряд наработок был использован заводом №183 уже в 1942 году, при создании третьего по счету Т-34М. Кроме того, ряд элементов, которые на нем отрабатывались, можно увидеть в случае с серийным Т-34. Наиболее заметными из них стали "шевронные" траки, далее появилась кормовая плита с круглым люком. Пригодилась и башня. Когда завод №183 эвакуировали в Нижний Тагил, возникли определенные проблемы с выпуском башни в штатной конфигурации. Так на свет появилась литая 6-гранная башня с орудийной установкой, чья бронировка прикручивалась на болтах. Она имела прямое отношение к башне Т-34М. Вместе с тем, совершенно новый танк завод №183 запускать в серию не имел возможностей (23824).</w:t>
      </w:r>
    </w:p>
    <w:p w14:paraId="7B7CF8FC" w14:textId="77777777" w:rsidR="009332A8" w:rsidRPr="008A2E5A" w:rsidRDefault="009332A8" w:rsidP="009332A8">
      <w:pPr>
        <w:spacing w:after="0" w:line="240" w:lineRule="auto"/>
        <w:jc w:val="both"/>
        <w:rPr>
          <w:rFonts w:ascii="Times New Roman" w:hAnsi="Times New Roman"/>
          <w:color w:val="0070C0"/>
          <w:sz w:val="16"/>
          <w:szCs w:val="16"/>
        </w:rPr>
      </w:pPr>
    </w:p>
    <w:p w14:paraId="5C72CA3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параллельно с созданием опытного образца среднего танка КВ-13 коллектив ЧКЗ на основании июльского постановления ГКО был подключен к серийному выпуску танка Т-34 (10703).</w:t>
      </w:r>
    </w:p>
    <w:p w14:paraId="3AC3D66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04F9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года были проведены испытания прототипа КВ-1с. (3862).</w:t>
      </w:r>
    </w:p>
    <w:p w14:paraId="07D2193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1E627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на ЧКЗ конструкторским бюро СКБ-2 под руководством Н.Л. Духова был разработан Танк КВ-1С (С - скоростной), являющийся дальнейшим развитием тя</w:t>
      </w:r>
      <w:r w:rsidRPr="008127F8">
        <w:rPr>
          <w:rFonts w:ascii="Times New Roman" w:hAnsi="Times New Roman"/>
          <w:color w:val="000000" w:themeColor="text1"/>
          <w:sz w:val="16"/>
          <w:szCs w:val="16"/>
        </w:rPr>
        <w:softHyphen/>
        <w:t>желого танка КВ-1 обр. 1941 г. в отношении повышения подвижности (за счет установки новой трансмиссии конструкции Н.Ф. Шашмурина) и улучшения надежности (за счет некоторого снижения защищеннос</w:t>
      </w:r>
      <w:r w:rsidRPr="008127F8">
        <w:rPr>
          <w:rFonts w:ascii="Times New Roman" w:hAnsi="Times New Roman"/>
          <w:color w:val="000000" w:themeColor="text1"/>
          <w:sz w:val="16"/>
          <w:szCs w:val="16"/>
        </w:rPr>
        <w:softHyphen/>
        <w:t>ти). Общее руководство осуществ</w:t>
      </w:r>
      <w:r w:rsidRPr="008127F8">
        <w:rPr>
          <w:rFonts w:ascii="Times New Roman" w:hAnsi="Times New Roman"/>
          <w:color w:val="000000" w:themeColor="text1"/>
          <w:sz w:val="16"/>
          <w:szCs w:val="16"/>
        </w:rPr>
        <w:softHyphen/>
        <w:t>лял Ж.Я. Котин. Ведущим инженером машины был М.Ф. Балжи. Танк был принят на вооружение РККА 20 августа 1942 г. и выпускался на ЧКЗ серийно до сентября 1943 г. Всего было выпущено 1083 танка (624 машины в 1942 г. и 459 машин в 1943 г.) данной модификации, которые широко применялись на фронтах Великой Отечественной войны. Танк КВ-1С был разработан на базе танка КВ-1 обр. 1941 г. и отли</w:t>
      </w:r>
      <w:r w:rsidRPr="008127F8">
        <w:rPr>
          <w:rFonts w:ascii="Times New Roman" w:hAnsi="Times New Roman"/>
          <w:color w:val="000000" w:themeColor="text1"/>
          <w:sz w:val="16"/>
          <w:szCs w:val="16"/>
        </w:rPr>
        <w:softHyphen/>
        <w:t>чался от последнего уменьшенной толщиной бортовых листов и листов днища корпуса, литой башней измененной формы, а также размещени</w:t>
      </w:r>
      <w:r w:rsidRPr="008127F8">
        <w:rPr>
          <w:rFonts w:ascii="Times New Roman" w:hAnsi="Times New Roman"/>
          <w:color w:val="000000" w:themeColor="text1"/>
          <w:sz w:val="16"/>
          <w:szCs w:val="16"/>
        </w:rPr>
        <w:softHyphen/>
        <w:t>ем членов экипажа в башне и установкой более совершенной коробки передач. Машина имела классическую схему общей компоновки. Забро</w:t>
      </w:r>
      <w:r w:rsidRPr="008127F8">
        <w:rPr>
          <w:rFonts w:ascii="Times New Roman" w:hAnsi="Times New Roman"/>
          <w:color w:val="000000" w:themeColor="text1"/>
          <w:sz w:val="16"/>
          <w:szCs w:val="16"/>
        </w:rPr>
        <w:softHyphen/>
        <w:t>нированный объем боевого и транс</w:t>
      </w:r>
      <w:r w:rsidRPr="008127F8">
        <w:rPr>
          <w:rFonts w:ascii="Times New Roman" w:hAnsi="Times New Roman"/>
          <w:color w:val="000000" w:themeColor="text1"/>
          <w:sz w:val="16"/>
          <w:szCs w:val="16"/>
        </w:rPr>
        <w:softHyphen/>
        <w:t>миссионного отделений машины был сокращен за счет уменьшения размеров башни и уменьшения вы</w:t>
      </w:r>
      <w:r w:rsidRPr="008127F8">
        <w:rPr>
          <w:rFonts w:ascii="Times New Roman" w:hAnsi="Times New Roman"/>
          <w:color w:val="000000" w:themeColor="text1"/>
          <w:sz w:val="16"/>
          <w:szCs w:val="16"/>
        </w:rPr>
        <w:softHyphen/>
        <w:t>соты кормовой части корпуса. Кро</w:t>
      </w:r>
      <w:r w:rsidRPr="008127F8">
        <w:rPr>
          <w:rFonts w:ascii="Times New Roman" w:hAnsi="Times New Roman"/>
          <w:color w:val="000000" w:themeColor="text1"/>
          <w:sz w:val="16"/>
          <w:szCs w:val="16"/>
        </w:rPr>
        <w:softHyphen/>
        <w:t>ме того, была снижена масса узлов и агрегатов трансмиссии и ходовой части танка (10703).</w:t>
      </w:r>
    </w:p>
    <w:p w14:paraId="02B4695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3AF17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на ЧКЗ конструкторским бюро СКБ-2 под руководством Н.Л. Духова был разработан Танк КВ-1С (опытный) являлся дальнейшим развитием тяжелого танка КВ-1 обр. 1941 г. в отношении повышения его подвижности и на</w:t>
      </w:r>
      <w:r w:rsidRPr="008127F8">
        <w:rPr>
          <w:rFonts w:ascii="Times New Roman" w:hAnsi="Times New Roman"/>
          <w:color w:val="000000" w:themeColor="text1"/>
          <w:sz w:val="16"/>
          <w:szCs w:val="16"/>
        </w:rPr>
        <w:softHyphen/>
        <w:t>дежности. Общее руководство осуще</w:t>
      </w:r>
      <w:r w:rsidRPr="008127F8">
        <w:rPr>
          <w:rFonts w:ascii="Times New Roman" w:hAnsi="Times New Roman"/>
          <w:color w:val="000000" w:themeColor="text1"/>
          <w:sz w:val="16"/>
          <w:szCs w:val="16"/>
        </w:rPr>
        <w:softHyphen/>
        <w:t>ствлял Ж.Я. Котин. Ведущим инженером машины был М.Ф. Балжи. Первый опытный образец машины был изготовлен заводом в июле 1942 г., который в период с 28 июля по 26 августа того же года прошел Государственные испытания на Опытном заводе № 100. По результатам испытаний с учетом устранения выявленных дефектов, танк был при</w:t>
      </w:r>
      <w:r w:rsidRPr="008127F8">
        <w:rPr>
          <w:rFonts w:ascii="Times New Roman" w:hAnsi="Times New Roman"/>
          <w:color w:val="000000" w:themeColor="text1"/>
          <w:sz w:val="16"/>
          <w:szCs w:val="16"/>
        </w:rPr>
        <w:softHyphen/>
        <w:t>нят на вооружение РККА. Второй изготовленный образец являлся предсерийным вариантом танка КВ-1С. В период с 13 августа по 20 ок</w:t>
      </w:r>
      <w:r w:rsidRPr="008127F8">
        <w:rPr>
          <w:rFonts w:ascii="Times New Roman" w:hAnsi="Times New Roman"/>
          <w:color w:val="000000" w:themeColor="text1"/>
          <w:sz w:val="16"/>
          <w:szCs w:val="16"/>
        </w:rPr>
        <w:softHyphen/>
        <w:t>тября 1943 г. он прошел длительные заводские испытания. Первый опытный образец танка КВ-1С был разработан на базе тан</w:t>
      </w:r>
      <w:r w:rsidRPr="008127F8">
        <w:rPr>
          <w:rFonts w:ascii="Times New Roman" w:hAnsi="Times New Roman"/>
          <w:color w:val="000000" w:themeColor="text1"/>
          <w:sz w:val="16"/>
          <w:szCs w:val="16"/>
        </w:rPr>
        <w:softHyphen/>
        <w:t>ка КВ-1 обр. 1941 г. и отличался от него уменьшенной толщиной борто</w:t>
      </w:r>
      <w:r w:rsidRPr="008127F8">
        <w:rPr>
          <w:rFonts w:ascii="Times New Roman" w:hAnsi="Times New Roman"/>
          <w:color w:val="000000" w:themeColor="text1"/>
          <w:sz w:val="16"/>
          <w:szCs w:val="16"/>
        </w:rPr>
        <w:softHyphen/>
        <w:t>вых листов корпуса и днища, а также размещением членов экипажа в башне. От предсерийного образца и серийного танка КВ-1 С он отличал</w:t>
      </w:r>
      <w:r w:rsidRPr="008127F8">
        <w:rPr>
          <w:rFonts w:ascii="Times New Roman" w:hAnsi="Times New Roman"/>
          <w:color w:val="000000" w:themeColor="text1"/>
          <w:sz w:val="16"/>
          <w:szCs w:val="16"/>
        </w:rPr>
        <w:softHyphen/>
        <w:t>ся отсутствием поручней для танкового десанта на корпусе и башне ма</w:t>
      </w:r>
      <w:r w:rsidRPr="008127F8">
        <w:rPr>
          <w:rFonts w:ascii="Times New Roman" w:hAnsi="Times New Roman"/>
          <w:color w:val="000000" w:themeColor="text1"/>
          <w:sz w:val="16"/>
          <w:szCs w:val="16"/>
        </w:rPr>
        <w:softHyphen/>
        <w:t>шины и установкой защитного козырька над смотровым люком механи</w:t>
      </w:r>
      <w:r w:rsidRPr="008127F8">
        <w:rPr>
          <w:rFonts w:ascii="Times New Roman" w:hAnsi="Times New Roman"/>
          <w:color w:val="000000" w:themeColor="text1"/>
          <w:sz w:val="16"/>
          <w:szCs w:val="16"/>
        </w:rPr>
        <w:softHyphen/>
        <w:t>ка-водителя. Танк, имевший классическую схему общей компоновки, был воору</w:t>
      </w:r>
      <w:r w:rsidRPr="008127F8">
        <w:rPr>
          <w:rFonts w:ascii="Times New Roman" w:hAnsi="Times New Roman"/>
          <w:color w:val="000000" w:themeColor="text1"/>
          <w:sz w:val="16"/>
          <w:szCs w:val="16"/>
        </w:rPr>
        <w:softHyphen/>
        <w:t>жен 76,2-мм танковой пушкой ЗИС-5 обр. 1941 г. и четырьмя 7,62-мм пулеметами ДТ, один из которых был спарен с пушкой. Пушка и спарен</w:t>
      </w:r>
      <w:r w:rsidRPr="008127F8">
        <w:rPr>
          <w:rFonts w:ascii="Times New Roman" w:hAnsi="Times New Roman"/>
          <w:color w:val="000000" w:themeColor="text1"/>
          <w:sz w:val="16"/>
          <w:szCs w:val="16"/>
        </w:rPr>
        <w:softHyphen/>
        <w:t>ный пулемет устанавливались в маске и имели общие приборы и меха</w:t>
      </w:r>
      <w:r w:rsidRPr="008127F8">
        <w:rPr>
          <w:rFonts w:ascii="Times New Roman" w:hAnsi="Times New Roman"/>
          <w:color w:val="000000" w:themeColor="text1"/>
          <w:sz w:val="16"/>
          <w:szCs w:val="16"/>
        </w:rPr>
        <w:softHyphen/>
        <w:t>низмы наводки и стрельбы (10703).</w:t>
      </w:r>
    </w:p>
    <w:p w14:paraId="164E7CE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19D75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НИИ-13 представил эскизный проект сразу нескольких вариантов истребителей танков на шасси из уз</w:t>
      </w:r>
      <w:r w:rsidRPr="008127F8">
        <w:rPr>
          <w:rFonts w:ascii="Times New Roman" w:hAnsi="Times New Roman"/>
          <w:color w:val="000000" w:themeColor="text1"/>
          <w:sz w:val="16"/>
          <w:szCs w:val="16"/>
        </w:rPr>
        <w:softHyphen/>
        <w:t>лов легких танков Т-60 и Т-70. Проекты трех таких машин отличались друг от друга главным образом только вооруже</w:t>
      </w:r>
      <w:r w:rsidRPr="008127F8">
        <w:rPr>
          <w:rFonts w:ascii="Times New Roman" w:hAnsi="Times New Roman"/>
          <w:color w:val="000000" w:themeColor="text1"/>
          <w:sz w:val="16"/>
          <w:szCs w:val="16"/>
        </w:rPr>
        <w:softHyphen/>
        <w:t>нием. Особенностью этих САУ был бронекорпус малой вы</w:t>
      </w:r>
      <w:r w:rsidRPr="008127F8">
        <w:rPr>
          <w:rFonts w:ascii="Times New Roman" w:hAnsi="Times New Roman"/>
          <w:color w:val="000000" w:themeColor="text1"/>
          <w:sz w:val="16"/>
          <w:szCs w:val="16"/>
        </w:rPr>
        <w:softHyphen/>
        <w:t>соты, изготовленный сваркой из катанных броневых листов толщиной — 35—15 мм. Располагавшаяся под большими уг</w:t>
      </w:r>
      <w:r w:rsidRPr="008127F8">
        <w:rPr>
          <w:rFonts w:ascii="Times New Roman" w:hAnsi="Times New Roman"/>
          <w:color w:val="000000" w:themeColor="text1"/>
          <w:sz w:val="16"/>
          <w:szCs w:val="16"/>
        </w:rPr>
        <w:softHyphen/>
        <w:t>лами наклона броня обеспечивала экипажу (3 человека в ли</w:t>
      </w:r>
      <w:r w:rsidRPr="008127F8">
        <w:rPr>
          <w:rFonts w:ascii="Times New Roman" w:hAnsi="Times New Roman"/>
          <w:color w:val="000000" w:themeColor="text1"/>
          <w:sz w:val="16"/>
          <w:szCs w:val="16"/>
        </w:rPr>
        <w:softHyphen/>
        <w:t>нейной САУ или 4 человека - в командирской) неплохую за</w:t>
      </w:r>
      <w:r w:rsidRPr="008127F8">
        <w:rPr>
          <w:rFonts w:ascii="Times New Roman" w:hAnsi="Times New Roman"/>
          <w:color w:val="000000" w:themeColor="text1"/>
          <w:sz w:val="16"/>
          <w:szCs w:val="16"/>
        </w:rPr>
        <w:softHyphen/>
        <w:t>щиту от огня немецких 37-мм ПТП и 50-мм танковых пушек с длиной ствола 42 калибра (наиболее массовые в немецкой армии до второй половины 1942 г.). Двигатель и коробку пе</w:t>
      </w:r>
      <w:r w:rsidRPr="008127F8">
        <w:rPr>
          <w:rFonts w:ascii="Times New Roman" w:hAnsi="Times New Roman"/>
          <w:color w:val="000000" w:themeColor="text1"/>
          <w:sz w:val="16"/>
          <w:szCs w:val="16"/>
        </w:rPr>
        <w:softHyphen/>
        <w:t>редач предлагалось заимствовать от автомобиля ЗИС-5 (пу</w:t>
      </w:r>
      <w:r w:rsidRPr="008127F8">
        <w:rPr>
          <w:rFonts w:ascii="Times New Roman" w:hAnsi="Times New Roman"/>
          <w:color w:val="000000" w:themeColor="text1"/>
          <w:sz w:val="16"/>
          <w:szCs w:val="16"/>
        </w:rPr>
        <w:softHyphen/>
        <w:t>тем форсирования предполагалось довести его мощность до 108 л.с.). Интересно бьшо также то, что сравнительно малый размер боевого отделения не должен был утомлять экипаж при проведении длительных маршей, так как на марше кры</w:t>
      </w:r>
      <w:r w:rsidRPr="008127F8">
        <w:rPr>
          <w:rFonts w:ascii="Times New Roman" w:hAnsi="Times New Roman"/>
          <w:color w:val="000000" w:themeColor="text1"/>
          <w:sz w:val="16"/>
          <w:szCs w:val="16"/>
        </w:rPr>
        <w:softHyphen/>
        <w:t>ша корпуса поднималась в виде дополнительных бортов, от</w:t>
      </w:r>
      <w:r w:rsidRPr="008127F8">
        <w:rPr>
          <w:rFonts w:ascii="Times New Roman" w:hAnsi="Times New Roman"/>
          <w:color w:val="000000" w:themeColor="text1"/>
          <w:sz w:val="16"/>
          <w:szCs w:val="16"/>
        </w:rPr>
        <w:softHyphen/>
        <w:t>крывая боевое отделение сверху для доступа воздуха с улицы. В то же время эти дополнительные борта служили защитой экипажу от пуль и осколков снарядов на марше.</w:t>
      </w:r>
    </w:p>
    <w:p w14:paraId="666744B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Первая машина (И13.73-СУ) должна была нести воору</w:t>
      </w:r>
      <w:r w:rsidRPr="008127F8">
        <w:rPr>
          <w:rFonts w:ascii="Times New Roman" w:hAnsi="Times New Roman"/>
          <w:color w:val="000000" w:themeColor="text1"/>
          <w:sz w:val="16"/>
          <w:szCs w:val="16"/>
        </w:rPr>
        <w:softHyphen/>
        <w:t>жение из 45-мм пушки большой мощности, разработанной в НИИ-13 в 1941 г., которая была подобна принятой позднее на вооружение 45-мм пушке М-42, вторая (И13.75-СУ) -спаренную установку таких орудий, а третья (И13.76-СУ) -76-мм «самоходное» орудие со стволом 50 калибров, переде</w:t>
      </w:r>
      <w:r w:rsidRPr="008127F8">
        <w:rPr>
          <w:rFonts w:ascii="Times New Roman" w:hAnsi="Times New Roman"/>
          <w:color w:val="000000" w:themeColor="text1"/>
          <w:sz w:val="16"/>
          <w:szCs w:val="16"/>
        </w:rPr>
        <w:softHyphen/>
        <w:t>ланное в НИИ-13 из дивизионной пушки Ф-22. Все артсистемы предполагалось снабдить специальной «вильчатой карданной рамкой облегченного типа» с проти-воосколочным щитком и телескопическим прицелом (11417).</w:t>
      </w:r>
    </w:p>
    <w:p w14:paraId="22C473C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9A7BD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года началась прямая конкуренция КБ завода №8 и КБ УЗТМ по некоторым темам, в том числе и по про</w:t>
      </w:r>
      <w:r w:rsidRPr="008127F8">
        <w:rPr>
          <w:rFonts w:ascii="Times New Roman" w:hAnsi="Times New Roman"/>
          <w:color w:val="000000" w:themeColor="text1"/>
          <w:sz w:val="16"/>
          <w:szCs w:val="16"/>
        </w:rPr>
        <w:softHyphen/>
        <w:t>екту тяжелой САУ. Особую пикантность происходящему добавлял тот факт, что КБ, возглавляемое Горлицким, располагалось на пятом эта</w:t>
      </w:r>
      <w:r w:rsidRPr="008127F8">
        <w:rPr>
          <w:rFonts w:ascii="Times New Roman" w:hAnsi="Times New Roman"/>
          <w:color w:val="000000" w:themeColor="text1"/>
          <w:sz w:val="16"/>
          <w:szCs w:val="16"/>
        </w:rPr>
        <w:softHyphen/>
        <w:t>же заводоуправления УЗТМ, а КБ, возглавляемое Петровым — на чет</w:t>
      </w:r>
      <w:r w:rsidRPr="008127F8">
        <w:rPr>
          <w:rFonts w:ascii="Times New Roman" w:hAnsi="Times New Roman"/>
          <w:color w:val="000000" w:themeColor="text1"/>
          <w:sz w:val="16"/>
          <w:szCs w:val="16"/>
        </w:rPr>
        <w:softHyphen/>
        <w:t>вертом</w:t>
      </w:r>
    </w:p>
    <w:p w14:paraId="728D2205"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2B5F07E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на Уралмаше вернулись к безбашенному танку, но уже по требованиям танковых войск. В августе 1942 г. на суд техотдела НКТП конструкторы Уралмашзаво-да предъявили проект танка У-34. От У-33 он отличался во</w:t>
      </w:r>
      <w:r w:rsidRPr="008127F8">
        <w:rPr>
          <w:rFonts w:ascii="Times New Roman" w:hAnsi="Times New Roman"/>
          <w:color w:val="000000" w:themeColor="text1"/>
          <w:sz w:val="16"/>
          <w:szCs w:val="16"/>
        </w:rPr>
        <w:softHyphen/>
        <w:t>оружением из самоходного варианта 76,2-мм танковой пуш</w:t>
      </w:r>
      <w:r w:rsidRPr="008127F8">
        <w:rPr>
          <w:rFonts w:ascii="Times New Roman" w:hAnsi="Times New Roman"/>
          <w:color w:val="000000" w:themeColor="text1"/>
          <w:sz w:val="16"/>
          <w:szCs w:val="16"/>
        </w:rPr>
        <w:softHyphen/>
        <w:t>ки Ф-34 обр. 1939/41 гг., спаренной с 7,62-мм пулеметом ДТ в рамочной установке с литой бронировкой. Кроме того, Н.В. Курин в инициативном порядке выполнил эскизный проект 122-мм самоходной гаубицы в конструктиве У-33. Но ввиду занятости Уралмашзавода организацией серийного выпуска танков Т-34, этот проект отдали для доработок на артиллерийский завод № 9, выделившийся из состава УЗТМ весной 1942 г., который ограничился лишь разработкой раз</w:t>
      </w:r>
      <w:r w:rsidRPr="008127F8">
        <w:rPr>
          <w:rFonts w:ascii="Times New Roman" w:hAnsi="Times New Roman"/>
          <w:color w:val="000000" w:themeColor="text1"/>
          <w:sz w:val="16"/>
          <w:szCs w:val="16"/>
        </w:rPr>
        <w:softHyphen/>
        <w:t>вернутого эскизного проекта, тогда как в недрах Наркомата вооружений родилось незапланированное дитя (11417).</w:t>
      </w:r>
    </w:p>
    <w:p w14:paraId="77BE62D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59608A" w14:textId="77777777" w:rsidR="009332A8" w:rsidRPr="008A2E5A" w:rsidRDefault="009332A8" w:rsidP="009332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1942 года основными местами, где использовалась продукция завода №264 – танки Т-60 - стали Воронежский и Сталинградские фронты. Этому способствовали как сложная ситуация, сложившаяся летом 1942 года, так и то, что основной объем Т-60 завод №264 сдал в мае-июне 1942 года. В условиях степной местности эти танки, увы, несли большие потери. Но надо быть справедливыми - точно так же потери несли и Т-34, и КВ-1, и зарубежные танки. Воевали Т-60 из Красноармейска и на Северном Кавказе, где 60-ки были одними из наиболее массовых танков.</w:t>
      </w:r>
    </w:p>
    <w:p w14:paraId="62D97502" w14:textId="77777777" w:rsidR="009332A8" w:rsidRPr="008A2E5A" w:rsidRDefault="009332A8" w:rsidP="009332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Самое активное участие танки выпуска завода №264 приняли в битве за Сталинград. Тут нельзя не вспомнить Екатерину Петлюк, одну из первых советских женщин-танкистов, которые сражались непосредственно на фронте. 2 июля 1942 года сержант Петлюк была назначена механиком-водителем Т-60, получала она свою машину непосредственно на заводе №264. Танк Петлюк воевал в составе 56-й танковой бригады, далее она оказалась в 90-й танковой бригаде, именно там и появилось прозвище "Малютка". Исходя из воспоминаний Петлюк, это оказалось связано с тем, как в 90-й ТБр обозначали танки. КВ-1 назвали "большими коробками", Т-34 "маленькими коробками", а Т-60 - "малютками". Имя танку родилось само собой. Позже Петлюк воевала на Т-70Б, причем каноничный танк "Малютка" - это уже 1943 год. В той истории некоторые факты сильно перемешались.</w:t>
      </w:r>
    </w:p>
    <w:p w14:paraId="4B6AB6A0" w14:textId="77777777" w:rsidR="009332A8" w:rsidRPr="008A2E5A" w:rsidRDefault="009332A8" w:rsidP="009332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Высокие потери Т-60 (на 1 января 1943 года числилось 1977 танков) привели к тому, что их постепенно стали заменять на более совершенные боевые машины. После войны практически все Т-60 были порезаны, до недавнего времени в России оставалось всего 2 танка. Помимо Т-60 в Кубинке (танк выпуска ГАЗ февраля 1942 года), на постаменте в поселке Глубокий Ростовской области стоит танк, выпущенный заводом №264. Ныне, благодаря работе реставраторов, число танков родом из Красноармейска стало больше. Один из них не так давно был восстановлен на ОАО "Волгоградский судостроительный завод" (ныне покойный, что не смогли немцы, смогли "реформаторы"). Был использован танк, найденный на дне реки Доброй Суровикинского района Волгоградской области. Ныне эта машина используется в военно-исторических мероприятиях, которые проводятся в Волгограде. Части танка выпуска завода №264, включая характерный 8-гранный люк, присутствуют на Т-60, который находится в коллекции Музея отечественной военной истории (23360).</w:t>
      </w:r>
    </w:p>
    <w:p w14:paraId="57ECFD5A" w14:textId="77777777" w:rsidR="009332A8" w:rsidRPr="008A2E5A" w:rsidRDefault="009332A8" w:rsidP="009332A8">
      <w:pPr>
        <w:spacing w:after="0" w:line="240" w:lineRule="auto"/>
        <w:jc w:val="both"/>
        <w:rPr>
          <w:rFonts w:ascii="Times New Roman" w:hAnsi="Times New Roman"/>
          <w:color w:val="0070C0"/>
          <w:sz w:val="16"/>
          <w:szCs w:val="16"/>
        </w:rPr>
      </w:pPr>
    </w:p>
    <w:p w14:paraId="39C04EBF" w14:textId="77777777" w:rsidR="009332A8" w:rsidRPr="008A2E5A" w:rsidRDefault="009332A8" w:rsidP="009332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1942 г. после потери Сталинграда ведущими предприятиями - изготовителями брони стали (в порядке убывания производственных мощностей) ММК, КМК, НТМЗ (23536).</w:t>
      </w:r>
    </w:p>
    <w:p w14:paraId="2199C231" w14:textId="77777777" w:rsidR="009332A8" w:rsidRPr="008A2E5A" w:rsidRDefault="009332A8" w:rsidP="009332A8">
      <w:pPr>
        <w:spacing w:after="0" w:line="240" w:lineRule="auto"/>
        <w:jc w:val="both"/>
        <w:rPr>
          <w:rFonts w:ascii="Times New Roman" w:hAnsi="Times New Roman"/>
          <w:color w:val="0070C0"/>
          <w:sz w:val="16"/>
          <w:szCs w:val="16"/>
        </w:rPr>
      </w:pPr>
    </w:p>
    <w:p w14:paraId="7046FADC" w14:textId="77777777" w:rsidR="001722AC" w:rsidRPr="007155F3" w:rsidRDefault="001722AC" w:rsidP="001722AC">
      <w:pPr>
        <w:spacing w:after="0" w:line="240" w:lineRule="auto"/>
        <w:jc w:val="both"/>
        <w:rPr>
          <w:rFonts w:ascii="Times New Roman" w:hAnsi="Times New Roman"/>
          <w:color w:val="0070C0"/>
          <w:sz w:val="16"/>
          <w:szCs w:val="16"/>
        </w:rPr>
      </w:pPr>
      <w:r w:rsidRPr="007155F3">
        <w:rPr>
          <w:rFonts w:ascii="Times New Roman" w:hAnsi="Times New Roman"/>
          <w:color w:val="0070C0"/>
          <w:sz w:val="16"/>
          <w:szCs w:val="16"/>
        </w:rPr>
        <w:lastRenderedPageBreak/>
        <w:t>Летом 1942 года, выяснилось, что одноместная башня</w:t>
      </w:r>
      <w:r>
        <w:rPr>
          <w:color w:val="0070C0"/>
          <w:sz w:val="16"/>
          <w:szCs w:val="16"/>
        </w:rPr>
        <w:t xml:space="preserve"> на Т-70</w:t>
      </w:r>
      <w:r w:rsidRPr="007155F3">
        <w:rPr>
          <w:rFonts w:ascii="Times New Roman" w:hAnsi="Times New Roman"/>
          <w:color w:val="0070C0"/>
          <w:sz w:val="16"/>
          <w:szCs w:val="16"/>
        </w:rPr>
        <w:t xml:space="preserve"> не есть хорошая идея. Вместе с тем, из выпускавшихся в 1942 году танков-одноклассников Т-70 три (Pz.Kpfw.II, Pz.Kpfw.38(t), Carro Armato L 6, Type 95 Ha-Go и Light Tank M3) имели ту же одноместную башню. Причем это считалось нормальным. Можно, конечно, вспомнить Pz.Sp.Wg.II Luchs, но там двухместная башня появилась исключительно по причине необходимости таковой у танка-разведчика. А так вообще немцы считали, что одноместной башни легкому танку хватит. Как и 20-мм автоматической пушки (24898).</w:t>
      </w:r>
    </w:p>
    <w:p w14:paraId="6E12CD1E" w14:textId="77777777" w:rsidR="001722AC" w:rsidRPr="007155F3" w:rsidRDefault="001722AC" w:rsidP="001722AC">
      <w:pPr>
        <w:spacing w:after="0" w:line="240" w:lineRule="auto"/>
        <w:jc w:val="both"/>
        <w:rPr>
          <w:rFonts w:ascii="Times New Roman" w:hAnsi="Times New Roman"/>
          <w:color w:val="0070C0"/>
          <w:sz w:val="16"/>
          <w:szCs w:val="16"/>
        </w:rPr>
      </w:pPr>
    </w:p>
    <w:p w14:paraId="5DE3722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 лета 1942 на рембазу № 82 продолжали завозить трофейные танки. Это и понятно Москва находилась в тылу Западного фронта, а Казань глубоко в тылу. В ноябре 1942 года при рембазе № 82 в спешном порядке сформировали филиал № I, задачей которого стал срочный ремонт танков Pz. III и штурмовых орудий StuG III, предназначенных в качестве базы для установки 122-ммгаубиц (об этом смотри подробнее в главе «Самоходки на трофейных шасси»). Филиал проработал три месяца, и после завершения работ по СГ-122 ремонтом трофейной техники больше не занимался. Всего по отчёту рембазы № 82 за 1942 год на ней (вместе с филиалом № 1) отремонтировали 90 танков всех типов (12689).</w:t>
      </w:r>
    </w:p>
    <w:p w14:paraId="799E3E8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6D148B0"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Летом 1942 года было решено провести совместные испытания иностранных и трофейных танков. Принимал в них участие и Pz.Kpfw.38 (t). За время испытаний, проходивших в июле 1942 года, машина прошла 120 километров, то есть меньше всех участников. Это наводит на мысль о том, что ее техническое состояние было далеким от идеального. Об этом говорит и максимальная скорость, составившая на булыжном шоссе всего 30 км/ч. Соответствующими оказались и средние скорости, составившие 25 км/ч по шоссе, 16 км/ч по проселку и 13 км/ч по бездорожью. Расход горючего при этом оказался наименьшим среди участников – 132, 169 и 185 литров соответственно. Максимальный угол преодолеваемого подъема составил 20 градусов, а крена – 25 градусов.</w:t>
      </w:r>
    </w:p>
    <w:p w14:paraId="65DE4FCB"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В целом можно сказать, что советских военных чешский танк не впечатлил. Даже если бы он был полностью исправен, характеристики вряд ли сильно улучшились. Кроме того, в случае с преодолением подъемов ограничивающим фактором оказалась не мощность двигателя, а сцепление гусениц с грунтом. В этом отношении танк оказался равным американским </w:t>
      </w:r>
      <w:hyperlink r:id="rId121" w:history="1">
        <w:r w:rsidRPr="008127F8">
          <w:rPr>
            <w:rFonts w:ascii="Times New Roman" w:eastAsia="Times New Roman" w:hAnsi="Times New Roman"/>
            <w:color w:val="000000" w:themeColor="text1"/>
            <w:sz w:val="16"/>
            <w:szCs w:val="16"/>
            <w:lang w:eastAsia="ru-RU"/>
          </w:rPr>
          <w:t>Light Tank M3</w:t>
        </w:r>
      </w:hyperlink>
      <w:r w:rsidRPr="008127F8">
        <w:rPr>
          <w:rFonts w:ascii="Times New Roman" w:eastAsia="Times New Roman" w:hAnsi="Times New Roman"/>
          <w:color w:val="000000" w:themeColor="text1"/>
          <w:sz w:val="16"/>
          <w:szCs w:val="16"/>
          <w:lang w:eastAsia="ru-RU"/>
        </w:rPr>
        <w:t xml:space="preserve"> и Medium Tank M3. Примерно та же картина была и с максимальным углом крена. Он ограничивался сбрасыванием гусениц, и здесь Pz.Kpfw.38(t) оказался в числе аутсайдеров. Аналогичный максимальный угол крена показал Medium Tank M3, остальные машины оказались в этом плане лучше.</w:t>
      </w:r>
    </w:p>
    <w:p w14:paraId="1CA80001"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случае с преодолением водной преграды сослаться на плохое техническое состояние было уже сложно. Итоги оказались печальными: пройдя 35 метров, танк погрузился на 1350 мм, вода быстро залила его моторное отделение, и мотор заглох. Вытаскивать машину пришлось с помощью тягача. Справедливости ради, немецкий Pz.Kpfw.III Ausf.H прошел еще меньше – 30 метров.</w:t>
      </w:r>
    </w:p>
    <w:p w14:paraId="7414F75C"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Реабилитировался чешский танк в ходе испытаний на преодоление болота. Машина несколько раз прошла болотистую местность вдоль и поперек, уверенно двигаясь по сложным участкам (17687).</w:t>
      </w:r>
    </w:p>
    <w:p w14:paraId="63626BD2"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51CF4A9A" w14:textId="77777777" w:rsidR="007C5583" w:rsidRPr="008127F8" w:rsidRDefault="007C5583" w:rsidP="007C5583">
      <w:pPr>
        <w:spacing w:after="0" w:line="240" w:lineRule="auto"/>
        <w:jc w:val="both"/>
        <w:textAlignment w:val="baseline"/>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 xml:space="preserve">Летом 1942 года сравнителоьные испытания танков под Казанью продолжились. На сей раз состав участников оказался иным: Т-34 и Matilda выбыли, место английского Valentine II занял его </w:t>
      </w:r>
      <w:hyperlink r:id="rId122" w:history="1">
        <w:r w:rsidRPr="008127F8">
          <w:rPr>
            <w:rFonts w:ascii="Times New Roman" w:eastAsia="Times New Roman" w:hAnsi="Times New Roman"/>
            <w:bCs/>
            <w:iCs/>
            <w:color w:val="000000" w:themeColor="text1"/>
            <w:sz w:val="16"/>
            <w:szCs w:val="16"/>
            <w:bdr w:val="none" w:sz="0" w:space="0" w:color="auto" w:frame="1"/>
          </w:rPr>
          <w:t>канадский собрат — Valentine VII</w:t>
        </w:r>
      </w:hyperlink>
      <w:r w:rsidRPr="008127F8">
        <w:rPr>
          <w:rFonts w:ascii="Times New Roman" w:eastAsia="Times New Roman" w:hAnsi="Times New Roman"/>
          <w:color w:val="000000" w:themeColor="text1"/>
          <w:sz w:val="16"/>
          <w:szCs w:val="16"/>
        </w:rPr>
        <w:t xml:space="preserve">. Место убывших танков заняли </w:t>
      </w:r>
      <w:hyperlink r:id="rId123" w:history="1">
        <w:r w:rsidRPr="008127F8">
          <w:rPr>
            <w:rFonts w:ascii="Times New Roman" w:eastAsia="Times New Roman" w:hAnsi="Times New Roman"/>
            <w:bCs/>
            <w:iCs/>
            <w:color w:val="000000" w:themeColor="text1"/>
            <w:sz w:val="16"/>
            <w:szCs w:val="16"/>
            <w:bdr w:val="none" w:sz="0" w:space="0" w:color="auto" w:frame="1"/>
          </w:rPr>
          <w:t>Pz.Kpfw.38(t)</w:t>
        </w:r>
      </w:hyperlink>
      <w:r w:rsidRPr="008127F8">
        <w:rPr>
          <w:rFonts w:ascii="Times New Roman" w:eastAsia="Times New Roman" w:hAnsi="Times New Roman"/>
          <w:color w:val="000000" w:themeColor="text1"/>
          <w:sz w:val="16"/>
          <w:szCs w:val="16"/>
        </w:rPr>
        <w:t xml:space="preserve"> Ausf.E, захваченный в начале августа 1941 года в сражении за Крапивню, а также американские </w:t>
      </w:r>
      <w:hyperlink r:id="rId124" w:history="1">
        <w:r w:rsidRPr="008127F8">
          <w:rPr>
            <w:rFonts w:ascii="Times New Roman" w:eastAsia="Times New Roman" w:hAnsi="Times New Roman"/>
            <w:bCs/>
            <w:iCs/>
            <w:color w:val="000000" w:themeColor="text1"/>
            <w:sz w:val="16"/>
            <w:szCs w:val="16"/>
            <w:bdr w:val="none" w:sz="0" w:space="0" w:color="auto" w:frame="1"/>
          </w:rPr>
          <w:t>Light Tank M3</w:t>
        </w:r>
      </w:hyperlink>
      <w:r w:rsidRPr="008127F8">
        <w:rPr>
          <w:rFonts w:ascii="Times New Roman" w:eastAsia="Times New Roman" w:hAnsi="Times New Roman"/>
          <w:color w:val="000000" w:themeColor="text1"/>
          <w:sz w:val="16"/>
          <w:szCs w:val="16"/>
        </w:rPr>
        <w:t xml:space="preserve"> (М3л) и </w:t>
      </w:r>
      <w:hyperlink r:id="rId125" w:history="1">
        <w:r w:rsidRPr="008127F8">
          <w:rPr>
            <w:rFonts w:ascii="Times New Roman" w:eastAsia="Times New Roman" w:hAnsi="Times New Roman"/>
            <w:bCs/>
            <w:iCs/>
            <w:color w:val="000000" w:themeColor="text1"/>
            <w:sz w:val="16"/>
            <w:szCs w:val="16"/>
            <w:bdr w:val="none" w:sz="0" w:space="0" w:color="auto" w:frame="1"/>
          </w:rPr>
          <w:t>Medium Tank M3</w:t>
        </w:r>
      </w:hyperlink>
      <w:r w:rsidRPr="008127F8">
        <w:rPr>
          <w:rFonts w:ascii="Times New Roman" w:eastAsia="Times New Roman" w:hAnsi="Times New Roman"/>
          <w:color w:val="000000" w:themeColor="text1"/>
          <w:sz w:val="16"/>
          <w:szCs w:val="16"/>
        </w:rPr>
        <w:t xml:space="preserve"> (М3Ср). Изучались проходимость танков, их скоростные характеристики и расход топлива.</w:t>
      </w:r>
    </w:p>
    <w:p w14:paraId="186DE4B1" w14:textId="77777777" w:rsidR="007C5583" w:rsidRPr="008127F8" w:rsidRDefault="007C5583" w:rsidP="007C5583">
      <w:pPr>
        <w:spacing w:after="0" w:line="240" w:lineRule="auto"/>
        <w:jc w:val="both"/>
        <w:textAlignment w:val="baseline"/>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Выяснилось, что Pz.Kpfw.III Ausf.G на булыжно-щебёночном шоссе разгоняется до 45 км/ч, что превосходило официальные характеристики. Средняя скорость по шоссе составила 35 км/ч, быстрее из зарубежных машин оказался только лёгкий М3л (38 км/ч). На просёлке средняя скорость немецкого танка составила 25 км/ч, а при езде по целине — 20 км/ч. Обратной стороной медали оказался расход топлива. При движении по шоссе у Pz.Kpfw.III Ausf.G он составил 215 литров на 100 километров, на просёлке — 280, а при движении по бездорожью — 335 литров. Больше топлива потреблял только М3Ср, который имел в полтора раза большую боевую массу.</w:t>
      </w:r>
    </w:p>
    <w:p w14:paraId="4AEB1F9C" w14:textId="77777777" w:rsidR="007C5583" w:rsidRPr="008127F8" w:rsidRDefault="007C5583" w:rsidP="007C5583">
      <w:pPr>
        <w:spacing w:after="0" w:line="240" w:lineRule="auto"/>
        <w:jc w:val="both"/>
        <w:textAlignment w:val="baseline"/>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Не впечатлил и запас хода немецкого танка: по шоссе он составил 150 километров, по просёлку — 115, а по целине — 95 км. Разница с заявленными характеристиками оказалась несущественной: по немецким данным, запас хода по шоссе составлял 165 километров, а по просёлку — 95 километров. Для полноты картины стоит упомянуть данные Т-34 выпуска завода №183, который испытывался в сентябре 1942 года. Его максимальная скорость составила 52,2 км/ч, средняя скорость его движения по булыжному шоссе — 37,6 км/ч, по грязному просёлку — 22 км/ч, по целине — 24 км/ч.</w:t>
      </w:r>
    </w:p>
    <w:p w14:paraId="39287E30" w14:textId="77777777" w:rsidR="007C5583" w:rsidRPr="008127F8" w:rsidRDefault="007C5583" w:rsidP="007C5583">
      <w:pPr>
        <w:spacing w:after="0" w:line="240" w:lineRule="auto"/>
        <w:jc w:val="both"/>
        <w:textAlignment w:val="baseline"/>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Максимальная крутизна преодолеваемого подъёма для Pz.Kpfw.III составила 35 градусов, что стало лучшим результатом. Траки скелетной конструкции обеспечивали хорошее сцепление с грунтом. Предельным углом крена при движении по косогорам для немецкой машины стали 32 градуса. Лучший показатель был только у М3л.</w:t>
      </w:r>
    </w:p>
    <w:p w14:paraId="617DBB19" w14:textId="77777777" w:rsidR="007C5583" w:rsidRPr="008127F8" w:rsidRDefault="007C5583" w:rsidP="007C5583">
      <w:pPr>
        <w:spacing w:after="0" w:line="240" w:lineRule="auto"/>
        <w:jc w:val="both"/>
        <w:textAlignment w:val="baseline"/>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Совсем по-другому проявили себя танки во время преодоления брода глубиной 1,4 метра. Полностью пройти дистанцию смог только М3л. Valentine VII и М3Ср набрали воды и заглохли при попытке выйти на берег, маневрируя задним ходом. Pz.Kpfw.III прошёл всего 30 метров, набрал воды и заглох, вытаскивать его пришлось при помощи тягача «Ворошиловец». Pz.Kpfw.38(t) прошёл по броду 35 метров.</w:t>
      </w:r>
    </w:p>
    <w:p w14:paraId="2F7F88BF" w14:textId="77777777" w:rsidR="007C5583" w:rsidRPr="008127F8" w:rsidRDefault="007C5583" w:rsidP="007C5583">
      <w:pPr>
        <w:spacing w:after="0" w:line="240" w:lineRule="auto"/>
        <w:jc w:val="both"/>
        <w:textAlignment w:val="baseline"/>
        <w:rPr>
          <w:rFonts w:ascii="Times New Roman" w:eastAsia="Times New Roman" w:hAnsi="Times New Roman"/>
          <w:color w:val="000000" w:themeColor="text1"/>
          <w:sz w:val="16"/>
          <w:szCs w:val="16"/>
        </w:rPr>
      </w:pPr>
      <w:r w:rsidRPr="008127F8">
        <w:rPr>
          <w:rFonts w:ascii="Times New Roman" w:eastAsia="Times New Roman" w:hAnsi="Times New Roman"/>
          <w:color w:val="000000" w:themeColor="text1"/>
          <w:sz w:val="16"/>
          <w:szCs w:val="16"/>
        </w:rPr>
        <w:t>При движении по заболоченной местности хорошо себя показали Valentine VII, М3л и Pz.Kpfw.38(t). М3Ср прошёл всего 30 метров и завяз. Pz.Kpfw.III прошёл половину дистанции — 50 м из 100, после чего равномерно погрузился и сел на брюхо. При попытке выехать задним ходом машина увязла ещё сильнее. Неудачей закончились и попытки выбраться при помощи бревна, закреплённого на гусеницах. «Ворошиловцу» снова нашлась работа. По итогам испытаний проходимость немецкого танка была признана неудовлетворительной (17720).</w:t>
      </w:r>
    </w:p>
    <w:p w14:paraId="4AADD8FC"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0A6A0DF9"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 xml:space="preserve">Летом 1942 года серийный танк Т-70 повели по заболоченному участку местности, где до того проверялись зарубежные танки. Итоги испытаний оказались неутешительными. Танк проехал 70 метров из 80, сев в итоге на брюхо. Выбрался он из болота сам, используя бревно для самовытаскивания. Для сравнения, Light Tank M3 преодолел этот же участок местности без проблем, также как </w:t>
      </w:r>
      <w:hyperlink r:id="rId126" w:history="1">
        <w:r w:rsidRPr="008127F8">
          <w:rPr>
            <w:rFonts w:ascii="Times New Roman" w:eastAsia="Times New Roman" w:hAnsi="Times New Roman"/>
            <w:color w:val="000000" w:themeColor="text1"/>
            <w:sz w:val="16"/>
            <w:szCs w:val="16"/>
            <w:lang w:eastAsia="ru-RU"/>
          </w:rPr>
          <w:t>Pz.Kpfw.38(t)</w:t>
        </w:r>
      </w:hyperlink>
      <w:r w:rsidRPr="008127F8">
        <w:rPr>
          <w:rFonts w:ascii="Times New Roman" w:eastAsia="Times New Roman" w:hAnsi="Times New Roman"/>
          <w:color w:val="000000" w:themeColor="text1"/>
          <w:sz w:val="16"/>
          <w:szCs w:val="16"/>
          <w:lang w:eastAsia="ru-RU"/>
        </w:rPr>
        <w:t xml:space="preserve"> и </w:t>
      </w:r>
      <w:hyperlink r:id="rId127" w:history="1">
        <w:r w:rsidRPr="008127F8">
          <w:rPr>
            <w:rFonts w:ascii="Times New Roman" w:eastAsia="Times New Roman" w:hAnsi="Times New Roman"/>
            <w:color w:val="000000" w:themeColor="text1"/>
            <w:sz w:val="16"/>
            <w:szCs w:val="16"/>
            <w:lang w:eastAsia="ru-RU"/>
          </w:rPr>
          <w:t>Valentine</w:t>
        </w:r>
      </w:hyperlink>
      <w:r w:rsidRPr="008127F8">
        <w:rPr>
          <w:rFonts w:ascii="Times New Roman" w:eastAsia="Times New Roman" w:hAnsi="Times New Roman"/>
          <w:color w:val="000000" w:themeColor="text1"/>
          <w:sz w:val="16"/>
          <w:szCs w:val="16"/>
          <w:lang w:eastAsia="ru-RU"/>
        </w:rPr>
        <w:t xml:space="preserve"> VII (17695).</w:t>
      </w:r>
    </w:p>
    <w:p w14:paraId="21A6B571"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138B7B6F"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hAnsi="Times New Roman"/>
          <w:color w:val="000000" w:themeColor="text1"/>
          <w:sz w:val="16"/>
          <w:szCs w:val="16"/>
        </w:rPr>
        <w:t>Летом 1942, п</w:t>
      </w:r>
      <w:r w:rsidRPr="008127F8">
        <w:rPr>
          <w:rFonts w:ascii="Times New Roman" w:eastAsia="Times New Roman" w:hAnsi="Times New Roman"/>
          <w:color w:val="000000" w:themeColor="text1"/>
          <w:sz w:val="16"/>
          <w:szCs w:val="16"/>
          <w:lang w:eastAsia="ru-RU"/>
        </w:rPr>
        <w:t>оскольку канадская машина отличалась от Valentine II, прибывавших с первыми конвоями, силовой установкой, в СССР было решено испытать один из танков. Для этого был взят Valentine VII с регистрационным номером T.23383. Этот танк, согласно документам, был построен в январе 1942 года, а прибыл в СССР с конвоем PQ-15. Он ещё имел башню и носовую часть корпуса старого типа. Помимо пулемета и фар, такие танки легко вычислялись по большому логотипу производителя и регистрационному номеру, нанесенному на борт башни. Подобные обозначения наносились на канадские Valentine до конца выпуска.</w:t>
      </w:r>
    </w:p>
    <w:p w14:paraId="690AFA75"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Одной из особенностей Valentine VII было то, что двигатель этого танка развивал мощность 165 лошадиных сил, а в инструкции к нему была указана другая цифра – 130. При этом отобранный для испытаний танк прибыл с завода с мотором, отрегулированным на максимальную мощность. Эта особенность была учтена при составлении программы испытаний.</w:t>
      </w:r>
    </w:p>
    <w:p w14:paraId="65374FFD"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Сначала танк прошел по проселку с мотором, отрегулированным на максимальную мощность. Всего он прошел 1360 километров, средняя скорость составила 18,8 км/ч, а скорость чистого движения 18,1 км/ч. Расход топлива составил 163 литра на 100 километров, а запас хода – 105 километров. Далее последовал пробег по проселку с двигателем, отрегулированным до 130 лошадиных сил. 280 километров было пройдено со средней скоростью 17,3 км/ч, а скорость чистого движения – 17 км/ч. Запас хода увеличился до 115 километров, а расход топлива уменьшился до 153 литров на 100 километров. Экономия топлива получилась небольшая, а вот маневренность танка заметно ухудшилась. Что же касается поведения на шоссе, то при регулировке двигателя на максимальную мощность средняя скорость и скорость чистого движения оказались одинаковыми – 25 км/ч. Всего танк прошел по шоссе 160 километров, при этом расход топлива составил 144 литра на 100 километров, а запас хода 125 километров. Максимальная скорость составила 26,4 км/ч, меньше, чем у Valentine II, но в рамках заявленных показателей.</w:t>
      </w:r>
    </w:p>
    <w:p w14:paraId="160495EC"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Испытания канадского танка совпали по времени с испытаниями других иностранных танков. Выяснилось, что при наименьшей максимальной скорости средняя скорость по шоссе у него была такой же, как у Pz.Kpfw.38(t) Ausf.F. На проселке и при движении по целине Valentine VII превзошел не только чешскую машину, но и американский Medium Tank M3. Канадский танк при движении по шоссе расходовал на 8–12 литров топлива больше, чем Light Tank M3 и Pz.Kpfw.38(t). На просёлке более экономичным оказался только Pz.Kpfw.38(t), да и то, разница в расходе топлива составляла всего 3–5 литров. В испытаниях по преодолению подъема Valentine VII занял второе место после Pz.Kpfw.III Ausf.H (32 и 35 градусов соответственно). Хуже канадский танк показал себя на косогорах: максимальный угол его крена составил 26 градусов, хотя это было не последнее место.</w:t>
      </w:r>
    </w:p>
    <w:p w14:paraId="48F83F9F"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Весьма интересными оказались и результаты преодоления брода. При том, что Valentine VII имел едва ли не самый низкий среди конкурентов корпус, итоги испытаний для него оказались вполне удовлетворительными. Машина вполне уверенно прошла через брод глубиной 1400 мм, заглохнув лишь при движении задним ходом. Pz.Kpfw.38(t) и Pz.Kpfw.III брод такой глубины преодолеть не смогли, заглохнув во время движения.</w:t>
      </w:r>
    </w:p>
    <w:p w14:paraId="76AD9C23"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Очень уверенно чувствовал себя канадский танк и на болотистой местности. Он оказался самой тяжелой машиной, которой удалось преодолеть болотистый участок. Благодаря широким гусеничным лентам удельное давление оказалось наименьшим среди конкурентов — 0,6 кг/см2. Танк уверенно преодолел заболоченную местность, передвигаясь на 2-й передаче. Посадить его на брюхо удалось только при преодолении болота по свежему следу. Используя бревно, танк выбрался из западни самостоятельно.</w:t>
      </w:r>
    </w:p>
    <w:p w14:paraId="7D4BE1B3"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Главным недостатком канадского танка оказалась малая надежность ходовой части. В ходе испытаний неоднократно наблюдались разрушения бандажей опорных катков, начавшиеся после 1200 км пробега. Еще одной проблемой, которой, впрочем, страдали все английские танки того периода, стало вооружение. Помимо того, что в боекомплекте пушки не было осколочно-фугасного боеприпаса, возможности бронебойного снаряда к ней тоже были довольно ограниченными. Броню толщиной 50 мм 2-фунтовое орудие не пробивало даже в упор.</w:t>
      </w:r>
    </w:p>
    <w:p w14:paraId="631E7AF3"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lastRenderedPageBreak/>
        <w:t>Тем не менее, общий вердикт испытаний канадского Valentine был положительным. Он оказался как минимум не хуже английского (17697).</w:t>
      </w:r>
    </w:p>
    <w:p w14:paraId="235F9DE9"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2639C11F" w14:textId="77777777" w:rsidR="007C5583" w:rsidRPr="008127F8" w:rsidRDefault="007C5583" w:rsidP="007C5583">
      <w:pPr>
        <w:pStyle w:val="book"/>
        <w:ind w:firstLine="0"/>
        <w:jc w:val="both"/>
        <w:rPr>
          <w:color w:val="000000" w:themeColor="text1"/>
          <w:sz w:val="16"/>
          <w:szCs w:val="16"/>
        </w:rPr>
      </w:pPr>
      <w:r w:rsidRPr="008127F8">
        <w:rPr>
          <w:color w:val="000000" w:themeColor="text1"/>
          <w:sz w:val="16"/>
          <w:szCs w:val="16"/>
        </w:rPr>
        <w:t>До лета 1942 г. завод №41 изготавливал аэросани НКЛ-16-41, а с осени приступил к выпуску НКП-16-42, который сохранялся до конца войны. Завод также осуществлял капитальный ремонт аэросаней прежних моделей (15468).</w:t>
      </w:r>
    </w:p>
    <w:p w14:paraId="10B29510" w14:textId="77777777" w:rsidR="007C5583" w:rsidRPr="008127F8" w:rsidRDefault="007C5583" w:rsidP="007C5583">
      <w:pPr>
        <w:pStyle w:val="book"/>
        <w:ind w:firstLine="0"/>
        <w:jc w:val="both"/>
        <w:rPr>
          <w:color w:val="000000" w:themeColor="text1"/>
          <w:sz w:val="16"/>
          <w:szCs w:val="16"/>
        </w:rPr>
      </w:pPr>
    </w:p>
    <w:p w14:paraId="2E0D2F46" w14:textId="77777777" w:rsidR="007C5583" w:rsidRPr="008127F8" w:rsidRDefault="007C5583" w:rsidP="007C5583">
      <w:pPr>
        <w:widowControl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лета 1942 года «виллисы» стали поступали в Красную Армию, и сразу нашли широкое применение в первую очередь в качестве командирских машин и тягачей 45-мм противотанковых пушек. </w:t>
      </w:r>
      <w:r w:rsidRPr="008127F8">
        <w:rPr>
          <w:rFonts w:ascii="Times New Roman" w:hAnsi="Times New Roman"/>
          <w:color w:val="000000" w:themeColor="text1"/>
          <w:sz w:val="16"/>
          <w:szCs w:val="16"/>
          <w:lang w:val="en-US"/>
        </w:rPr>
        <w:t>WillisMB</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FordGPW</w:t>
      </w:r>
      <w:r w:rsidRPr="008127F8">
        <w:rPr>
          <w:rFonts w:ascii="Times New Roman" w:hAnsi="Times New Roman"/>
          <w:color w:val="000000" w:themeColor="text1"/>
          <w:sz w:val="16"/>
          <w:szCs w:val="16"/>
        </w:rPr>
        <w:t xml:space="preserve"> был разработан в 1940-1941 годах американской фирмой </w:t>
      </w:r>
      <w:r w:rsidRPr="008127F8">
        <w:rPr>
          <w:rFonts w:ascii="Times New Roman" w:hAnsi="Times New Roman"/>
          <w:color w:val="000000" w:themeColor="text1"/>
          <w:sz w:val="16"/>
          <w:szCs w:val="16"/>
          <w:lang w:val="en-US"/>
        </w:rPr>
        <w:t>Willis</w:t>
      </w:r>
      <w:r w:rsidRPr="008127F8">
        <w:rPr>
          <w:rFonts w:ascii="Times New Roman" w:hAnsi="Times New Roman"/>
          <w:color w:val="000000" w:themeColor="text1"/>
          <w:sz w:val="16"/>
          <w:szCs w:val="16"/>
        </w:rPr>
        <w:t>-</w:t>
      </w:r>
      <w:r w:rsidRPr="008127F8">
        <w:rPr>
          <w:rFonts w:ascii="Times New Roman" w:hAnsi="Times New Roman"/>
          <w:color w:val="000000" w:themeColor="text1"/>
          <w:sz w:val="16"/>
          <w:szCs w:val="16"/>
          <w:lang w:val="en-US"/>
        </w:rPr>
        <w:t>OverlandInc</w:t>
      </w:r>
      <w:r w:rsidRPr="008127F8">
        <w:rPr>
          <w:rFonts w:ascii="Times New Roman" w:hAnsi="Times New Roman"/>
          <w:color w:val="000000" w:themeColor="text1"/>
          <w:sz w:val="16"/>
          <w:szCs w:val="16"/>
        </w:rPr>
        <w:t>. (г. Толедо, штат Огайо) в рамках требований к легкому командирско-разведывательному автомобилю. Автомобиль «Виллис» обладал большой скоростью движения, малыми габаритами, обеспечивавшими легкую маскировку, хорошей маневренностью благодаря малому радиусу поворота и приемистостью; удовлетворительной проходимостью. Применение автомобилей «Виллис» в боевых условиях показало, что как командирская и разведывательная машина он вполне отвечает своему назначению, но мало подходит в качестве артиллерийского тягача вследствие недостаточной мощности. В годы Второй мировой войны промышленность США согласно официальной статистике произвела 3</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200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 xml:space="preserve">436 армейских автомобилей. И примерно 320 тысяч из них (то есть каждый десятый) относились к так называемым «носителям оружия» – </w:t>
      </w:r>
      <w:r w:rsidRPr="008127F8">
        <w:rPr>
          <w:rFonts w:ascii="Times New Roman" w:hAnsi="Times New Roman"/>
          <w:color w:val="000000" w:themeColor="text1"/>
          <w:sz w:val="16"/>
          <w:szCs w:val="16"/>
          <w:lang w:val="en-US"/>
        </w:rPr>
        <w:t>WC</w:t>
      </w:r>
      <w:r w:rsidRPr="008127F8">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lang w:val="en-US"/>
        </w:rPr>
        <w:t>weaponcarriers</w:t>
      </w:r>
      <w:r w:rsidRPr="008127F8">
        <w:rPr>
          <w:rFonts w:ascii="Times New Roman" w:hAnsi="Times New Roman"/>
          <w:color w:val="000000" w:themeColor="text1"/>
          <w:sz w:val="16"/>
          <w:szCs w:val="16"/>
        </w:rPr>
        <w:t>) – обозначение класса легких полноприводных грузовиков, приспособленных для установки на них пулеметов или малокалиберных пушек, перевозки амуниции и расчета. Всего до конца войны СССР была поставлена 50</w:t>
      </w:r>
      <w:r>
        <w:rPr>
          <w:rFonts w:ascii="Times New Roman" w:hAnsi="Times New Roman"/>
          <w:color w:val="000000" w:themeColor="text1"/>
          <w:sz w:val="16"/>
          <w:szCs w:val="16"/>
        </w:rPr>
        <w:t xml:space="preserve">  </w:t>
      </w:r>
      <w:r w:rsidRPr="008127F8">
        <w:rPr>
          <w:rFonts w:ascii="Times New Roman" w:hAnsi="Times New Roman"/>
          <w:color w:val="000000" w:themeColor="text1"/>
          <w:sz w:val="16"/>
          <w:szCs w:val="16"/>
        </w:rPr>
        <w:t>501 машина (15218).</w:t>
      </w:r>
    </w:p>
    <w:p w14:paraId="4ADB6D91" w14:textId="77777777" w:rsidR="007C5583" w:rsidRPr="008127F8" w:rsidRDefault="007C5583" w:rsidP="007C5583">
      <w:pPr>
        <w:widowControl w:val="0"/>
        <w:spacing w:after="0" w:line="240" w:lineRule="auto"/>
        <w:jc w:val="both"/>
        <w:rPr>
          <w:rFonts w:ascii="Times New Roman" w:hAnsi="Times New Roman"/>
          <w:color w:val="000000" w:themeColor="text1"/>
          <w:sz w:val="16"/>
          <w:szCs w:val="16"/>
        </w:rPr>
      </w:pPr>
    </w:p>
    <w:p w14:paraId="5F07250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первая партия ма</w:t>
      </w:r>
      <w:r w:rsidRPr="008127F8">
        <w:rPr>
          <w:rFonts w:ascii="Times New Roman" w:hAnsi="Times New Roman"/>
          <w:color w:val="000000" w:themeColor="text1"/>
          <w:sz w:val="16"/>
          <w:szCs w:val="16"/>
        </w:rPr>
        <w:softHyphen/>
        <w:t>шин БА-64 была направлена в войска Брянского и Воронежского фронтов. Постановлением ГКО от 14 марта 1942 г. бронеавтомобиль был принят на вооружение и находился в серийном производстве на заводе ГАЗ с апреля 1942 г. до августа 1943 г. Первоначально изготовление корпусов и башен машины производилось на Выксунском заводе ДРО, имевшем для этого необходимое оборудование, впоследствии ГАЗ сам освоил производство корпусов и башен. Всего был выпущен 3901 бронеавтомо</w:t>
      </w:r>
      <w:r w:rsidRPr="008127F8">
        <w:rPr>
          <w:rFonts w:ascii="Times New Roman" w:hAnsi="Times New Roman"/>
          <w:color w:val="000000" w:themeColor="text1"/>
          <w:sz w:val="16"/>
          <w:szCs w:val="16"/>
        </w:rPr>
        <w:softHyphen/>
        <w:t>биль БА-64, из них 1352 машины с радиостанцией (10703).</w:t>
      </w:r>
    </w:p>
    <w:p w14:paraId="3025213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78FFD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для улучшения вентиляции обитаемых отделений бро</w:t>
      </w:r>
      <w:r w:rsidRPr="008127F8">
        <w:rPr>
          <w:rFonts w:ascii="Times New Roman" w:hAnsi="Times New Roman"/>
          <w:color w:val="000000" w:themeColor="text1"/>
          <w:sz w:val="16"/>
          <w:szCs w:val="16"/>
        </w:rPr>
        <w:softHyphen/>
        <w:t>неавтомобиля БА-64 на крыше над отделением управления был установлен верхний бронированный воздухозаборник. Кроме того, с осени 1942 г. в средней части крышки люка над моторным отделением в целях продув</w:t>
      </w:r>
      <w:r w:rsidRPr="008127F8">
        <w:rPr>
          <w:rFonts w:ascii="Times New Roman" w:hAnsi="Times New Roman"/>
          <w:color w:val="000000" w:themeColor="text1"/>
          <w:sz w:val="16"/>
          <w:szCs w:val="16"/>
        </w:rPr>
        <w:softHyphen/>
        <w:t>ки и дополнительного охлаждения отделения был сделан броневой ко</w:t>
      </w:r>
      <w:r w:rsidRPr="008127F8">
        <w:rPr>
          <w:rFonts w:ascii="Times New Roman" w:hAnsi="Times New Roman"/>
          <w:color w:val="000000" w:themeColor="text1"/>
          <w:sz w:val="16"/>
          <w:szCs w:val="16"/>
        </w:rPr>
        <w:softHyphen/>
        <w:t>зырек регулируемого воздухопритока (10703).</w:t>
      </w:r>
    </w:p>
    <w:p w14:paraId="0BFCD84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0182C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в КБ Горьковского автозавода под руководством В.А. Грачева по предло</w:t>
      </w:r>
      <w:r w:rsidRPr="008127F8">
        <w:rPr>
          <w:rFonts w:ascii="Times New Roman" w:hAnsi="Times New Roman"/>
          <w:color w:val="000000" w:themeColor="text1"/>
          <w:sz w:val="16"/>
          <w:szCs w:val="16"/>
        </w:rPr>
        <w:softHyphen/>
        <w:t>жению инжене-ра С.С. Строева был разработан Бронеавтомобиль БА-64-3 ("зимний"). В январе 1943 г. на автозаводе был изго</w:t>
      </w:r>
      <w:r w:rsidRPr="008127F8">
        <w:rPr>
          <w:rFonts w:ascii="Times New Roman" w:hAnsi="Times New Roman"/>
          <w:color w:val="000000" w:themeColor="text1"/>
          <w:sz w:val="16"/>
          <w:szCs w:val="16"/>
        </w:rPr>
        <w:softHyphen/>
        <w:t>товлен опытный образец, который в январе - феврале того же года про</w:t>
      </w:r>
      <w:r w:rsidRPr="008127F8">
        <w:rPr>
          <w:rFonts w:ascii="Times New Roman" w:hAnsi="Times New Roman"/>
          <w:color w:val="000000" w:themeColor="text1"/>
          <w:sz w:val="16"/>
          <w:szCs w:val="16"/>
        </w:rPr>
        <w:softHyphen/>
        <w:t>шел заводские испытания. БА-64-3 на вооружение не принимался и в се</w:t>
      </w:r>
      <w:r w:rsidRPr="008127F8">
        <w:rPr>
          <w:rFonts w:ascii="Times New Roman" w:hAnsi="Times New Roman"/>
          <w:color w:val="000000" w:themeColor="text1"/>
          <w:sz w:val="16"/>
          <w:szCs w:val="16"/>
        </w:rPr>
        <w:softHyphen/>
        <w:t>рийном производстве не состоял (10703).</w:t>
      </w:r>
    </w:p>
    <w:p w14:paraId="1B027FC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ECE8C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первые серийные бронеавтомобили БА-64 приняли участие в боях на Брянском и Воро</w:t>
      </w:r>
      <w:r w:rsidRPr="008127F8">
        <w:rPr>
          <w:rFonts w:ascii="Times New Roman" w:hAnsi="Times New Roman"/>
          <w:color w:val="000000" w:themeColor="text1"/>
          <w:sz w:val="16"/>
          <w:szCs w:val="16"/>
        </w:rPr>
        <w:softHyphen/>
        <w:t>нежском фронтах, а позднее - под Сталинградом (10703).</w:t>
      </w:r>
    </w:p>
    <w:p w14:paraId="20AA30C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1EBF2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Бронеавтомобиль БА-64В был разработан на Выксунском заводе ДРО. В июле того же года заводом ДРО был изготовлен опытный образец машины. В 1943 г. на Горьковском автозаводе были изготовлены еще три опытных образца БА-64В. На вооружении и в се</w:t>
      </w:r>
      <w:r w:rsidRPr="008127F8">
        <w:rPr>
          <w:rFonts w:ascii="Times New Roman" w:hAnsi="Times New Roman"/>
          <w:color w:val="000000" w:themeColor="text1"/>
          <w:sz w:val="16"/>
          <w:szCs w:val="16"/>
        </w:rPr>
        <w:softHyphen/>
        <w:t>рийном производстве бронеавтомобиль БА-64В не состоял. Бронеавтомобиль БА-64В отличался от серийного образца БА-64 наличием сменных железнодорожных колес, использовавшихся от ос</w:t>
      </w:r>
      <w:r w:rsidRPr="008127F8">
        <w:rPr>
          <w:rFonts w:ascii="Times New Roman" w:hAnsi="Times New Roman"/>
          <w:color w:val="000000" w:themeColor="text1"/>
          <w:sz w:val="16"/>
          <w:szCs w:val="16"/>
        </w:rPr>
        <w:softHyphen/>
        <w:t>тавшегося задела по машине БА-20 ж-д. Железнодорожные колеса устанавливались вместо основных - пневматических. Ввиду более узкой ко</w:t>
      </w:r>
      <w:r w:rsidRPr="008127F8">
        <w:rPr>
          <w:rFonts w:ascii="Times New Roman" w:hAnsi="Times New Roman"/>
          <w:color w:val="000000" w:themeColor="text1"/>
          <w:sz w:val="16"/>
          <w:szCs w:val="16"/>
        </w:rPr>
        <w:softHyphen/>
        <w:t>леи бронеавтомобиля БА-64 по сравнению с колеей бронеавтомобиля БА-20 металлические диски колес были сделаны с большим боковым вылетом бандажей, что привело к увеличению консольной нагрузки в подшипниках ступиц колес и снижению их ресурса. Основным недо</w:t>
      </w:r>
      <w:r w:rsidRPr="008127F8">
        <w:rPr>
          <w:rFonts w:ascii="Times New Roman" w:hAnsi="Times New Roman"/>
          <w:color w:val="000000" w:themeColor="text1"/>
          <w:sz w:val="16"/>
          <w:szCs w:val="16"/>
        </w:rPr>
        <w:softHyphen/>
        <w:t>статком бронеавтомобиля было отсутствие полного реверса и низкая скорость движения на передаче заднего хода - не более 13 км/ч. Кроме того, при движении задним ходом система охлаждения двигателя маши</w:t>
      </w:r>
      <w:r w:rsidRPr="008127F8">
        <w:rPr>
          <w:rFonts w:ascii="Times New Roman" w:hAnsi="Times New Roman"/>
          <w:color w:val="000000" w:themeColor="text1"/>
          <w:sz w:val="16"/>
          <w:szCs w:val="16"/>
        </w:rPr>
        <w:softHyphen/>
        <w:t>ны не получала достаточного количества охлаждающего воздуха, что приводило к перегреву двигателя. Коробка передач не была рассчитана на длительную работу на передаче заднего хода (пониженной), что так</w:t>
      </w:r>
      <w:r w:rsidRPr="008127F8">
        <w:rPr>
          <w:rFonts w:ascii="Times New Roman" w:hAnsi="Times New Roman"/>
          <w:color w:val="000000" w:themeColor="text1"/>
          <w:sz w:val="16"/>
          <w:szCs w:val="16"/>
        </w:rPr>
        <w:softHyphen/>
        <w:t>же приводило к преждевременному выходу ее из строя (10703).</w:t>
      </w:r>
    </w:p>
    <w:p w14:paraId="0298FC9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1FCFA7"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Летом 1942 года появилась переработанная версия ЧКШ, которая именовалась уже как ЧК. Боевая масса снизилась до 212 кг, была проведена существенная доработка системы. Орудие испытывалось на Гороховецком АНИОП с 7 августа по 17 сентября 1942 года, за это время было выполнено 590 выстрелов. Результаты испытаний оказались более успешными, хотя было выявлено около 20 дефектов, часть из которых было однозначно производственными. Максимальная скорострельность достигла 20-25 выстрелов в минуту, а практическая - 9-12. В целом орудие признали перспективным, хотя испытания оно не выдержало (20126).</w:t>
      </w:r>
    </w:p>
    <w:p w14:paraId="596E117C"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EA1AE6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был подготовлен список ОРСОов НКБ</w:t>
      </w:r>
    </w:p>
    <w:p w14:paraId="4BAC2531"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 Казань</w:t>
      </w:r>
    </w:p>
    <w:p w14:paraId="261BB42D"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 Молотов</w:t>
      </w:r>
    </w:p>
    <w:p w14:paraId="0FDBE0F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 Краснозаводск</w:t>
      </w:r>
    </w:p>
    <w:p w14:paraId="01531E0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 Электросталь</w:t>
      </w:r>
    </w:p>
    <w:p w14:paraId="6CB4D84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 Рошаль Московской обл.</w:t>
      </w:r>
    </w:p>
    <w:p w14:paraId="70D8EEE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15 – Чапаевск</w:t>
      </w:r>
    </w:p>
    <w:p w14:paraId="4D532A8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 – Казань</w:t>
      </w:r>
    </w:p>
    <w:p w14:paraId="0A945A7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42 – Куйбышев</w:t>
      </w:r>
    </w:p>
    <w:p w14:paraId="785E2DC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50 – Пенза</w:t>
      </w:r>
    </w:p>
    <w:p w14:paraId="500F739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 – Нижний Тагил</w:t>
      </w:r>
    </w:p>
    <w:p w14:paraId="7BD1BC7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 – Москва</w:t>
      </w:r>
    </w:p>
    <w:p w14:paraId="3838414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 – Липецк Воронежской обл.</w:t>
      </w:r>
    </w:p>
    <w:p w14:paraId="612D1A0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62 – Челябинск</w:t>
      </w:r>
    </w:p>
    <w:p w14:paraId="1A4C8B9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 – Нижний Тагил</w:t>
      </w:r>
    </w:p>
    <w:p w14:paraId="0592C0F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67 – Москва</w:t>
      </w:r>
    </w:p>
    <w:p w14:paraId="6A00CF2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68 – Невьянск</w:t>
      </w:r>
    </w:p>
    <w:p w14:paraId="3C178001"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70 – Москва</w:t>
      </w:r>
    </w:p>
    <w:p w14:paraId="6C967DB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72 – В. Тура</w:t>
      </w:r>
    </w:p>
    <w:p w14:paraId="646240D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73 – Свердловск</w:t>
      </w:r>
    </w:p>
    <w:p w14:paraId="285DF36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76 – Серов</w:t>
      </w:r>
    </w:p>
    <w:p w14:paraId="374EE5C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78 – Челябинск</w:t>
      </w:r>
    </w:p>
    <w:p w14:paraId="68D28BDD"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80 – Дзержинск Московской обл.</w:t>
      </w:r>
    </w:p>
    <w:p w14:paraId="704C856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98 – Молотов</w:t>
      </w:r>
    </w:p>
    <w:p w14:paraId="42A7DF9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114 – Копейск</w:t>
      </w:r>
    </w:p>
    <w:p w14:paraId="3D39B631"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179 – Новосибирск</w:t>
      </w:r>
    </w:p>
    <w:p w14:paraId="6A0F45D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184 – Зеленодольск Т. АССР</w:t>
      </w:r>
    </w:p>
    <w:p w14:paraId="66F68931"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204 – Тамбов</w:t>
      </w:r>
    </w:p>
    <w:p w14:paraId="1AF9F8F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253 – Муром Горьковской обл.</w:t>
      </w:r>
    </w:p>
    <w:p w14:paraId="02D0DF3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254 – Челябинск</w:t>
      </w:r>
    </w:p>
    <w:p w14:paraId="22111A41"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255 – Нижне-Ломово Пензенской обл.</w:t>
      </w:r>
    </w:p>
    <w:p w14:paraId="0528E31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257 – Орск</w:t>
      </w:r>
    </w:p>
    <w:p w14:paraId="0C9CD20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258 – Копейск</w:t>
      </w:r>
    </w:p>
    <w:p w14:paraId="77324D3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259 – Златоуст</w:t>
      </w:r>
    </w:p>
    <w:p w14:paraId="5FC99F7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260 – Молотов</w:t>
      </w:r>
    </w:p>
    <w:p w14:paraId="54F823C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309 – Чапаевск</w:t>
      </w:r>
    </w:p>
    <w:p w14:paraId="4E823B7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319 – Кемерово</w:t>
      </w:r>
    </w:p>
    <w:p w14:paraId="752F8BA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320 – Чебоксары</w:t>
      </w:r>
    </w:p>
    <w:p w14:paraId="3C0DA6E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322 – Орск</w:t>
      </w:r>
    </w:p>
    <w:p w14:paraId="72C934A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324 – Киров</w:t>
      </w:r>
    </w:p>
    <w:p w14:paraId="2BF5B5B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392 – Кемерово</w:t>
      </w:r>
    </w:p>
    <w:p w14:paraId="0C4A3A8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398 – Москва</w:t>
      </w:r>
    </w:p>
    <w:p w14:paraId="16B4143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510 – Омск</w:t>
      </w:r>
    </w:p>
    <w:p w14:paraId="1578BDF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512 – Люберцы</w:t>
      </w:r>
    </w:p>
    <w:p w14:paraId="541CEF8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513 – Омск</w:t>
      </w:r>
    </w:p>
    <w:p w14:paraId="751E8B8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521 – Владимир</w:t>
      </w:r>
    </w:p>
    <w:p w14:paraId="2FDB805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530 – Куйбышев</w:t>
      </w:r>
    </w:p>
    <w:p w14:paraId="12D6D8A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549 – Челябинск</w:t>
      </w:r>
    </w:p>
    <w:p w14:paraId="57434D9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550 – Саров Мордовской АССР</w:t>
      </w:r>
    </w:p>
    <w:p w14:paraId="4C04BDE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556 – Новосибирск</w:t>
      </w:r>
    </w:p>
    <w:p w14:paraId="6CF5054D"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564 – Новосибирск</w:t>
      </w:r>
    </w:p>
    <w:p w14:paraId="0ED94D6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572 – Саратов</w:t>
      </w:r>
    </w:p>
    <w:p w14:paraId="417AB6E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576 – Реж</w:t>
      </w:r>
    </w:p>
    <w:p w14:paraId="1BC7203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580 – Красноярск</w:t>
      </w:r>
    </w:p>
    <w:p w14:paraId="412AF01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582 – Балашиха</w:t>
      </w:r>
    </w:p>
    <w:p w14:paraId="27485DB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603 – Курган</w:t>
      </w:r>
    </w:p>
    <w:p w14:paraId="1E412A4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605 – Новосибирск</w:t>
      </w:r>
    </w:p>
    <w:p w14:paraId="44FEA62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606 – Кемерово</w:t>
      </w:r>
    </w:p>
    <w:p w14:paraId="7838016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613 – Касли Челябинской обл.</w:t>
      </w:r>
    </w:p>
    <w:p w14:paraId="179A95D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635 – Новосибирск</w:t>
      </w:r>
    </w:p>
    <w:p w14:paraId="20737FF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850 – Стерлитамак</w:t>
      </w:r>
    </w:p>
    <w:p w14:paraId="0A013AA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Комбинат 100 – Алексин Тульской обл.</w:t>
      </w:r>
    </w:p>
    <w:p w14:paraId="6C336E7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611 – Миассы Челябинской обл.</w:t>
      </w:r>
    </w:p>
    <w:p w14:paraId="0C225AC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176 – Тула</w:t>
      </w:r>
    </w:p>
    <w:p w14:paraId="1D011B9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187 – Тула</w:t>
      </w:r>
    </w:p>
    <w:p w14:paraId="4E8C82DD"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325 – Новосибирск</w:t>
      </w:r>
    </w:p>
    <w:p w14:paraId="7F8540A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358 – Москва</w:t>
      </w:r>
    </w:p>
    <w:p w14:paraId="360E6E3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460 – Подольск</w:t>
      </w:r>
    </w:p>
    <w:p w14:paraId="62A6C6C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520 – Биссерть Свердловской обл.</w:t>
      </w:r>
    </w:p>
    <w:p w14:paraId="3324FD9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548 – Ногинск Московской обл.</w:t>
      </w:r>
    </w:p>
    <w:p w14:paraId="2D20506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557 – Москва</w:t>
      </w:r>
    </w:p>
    <w:p w14:paraId="4BB9907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558 – Горький</w:t>
      </w:r>
    </w:p>
    <w:p w14:paraId="28E88B5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561 – Лианозово – Москва</w:t>
      </w:r>
    </w:p>
    <w:p w14:paraId="7C36351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562 – Москва</w:t>
      </w:r>
    </w:p>
    <w:p w14:paraId="46A06F5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568 – Москва</w:t>
      </w:r>
    </w:p>
    <w:p w14:paraId="13DBC29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571 – Москва</w:t>
      </w:r>
    </w:p>
    <w:p w14:paraId="70C58D0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577 – Боровск Молотовской обл.</w:t>
      </w:r>
    </w:p>
    <w:p w14:paraId="65BFFB6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599 – Ярославль</w:t>
      </w:r>
    </w:p>
    <w:p w14:paraId="111D026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(5910, 70-72).</w:t>
      </w:r>
    </w:p>
    <w:p w14:paraId="20F2DF2C"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401 – Аша</w:t>
      </w:r>
    </w:p>
    <w:p w14:paraId="2068711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546 – Краснодар</w:t>
      </w:r>
    </w:p>
    <w:p w14:paraId="61C6DACA"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567 – Рязань</w:t>
      </w:r>
    </w:p>
    <w:p w14:paraId="24C45F0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 4 – Ленинград</w:t>
      </w:r>
    </w:p>
    <w:p w14:paraId="1C7DB19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 Ленинград</w:t>
      </w:r>
    </w:p>
    <w:p w14:paraId="1D128383"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77 – Ленинград</w:t>
      </w:r>
    </w:p>
    <w:p w14:paraId="6A4BFF0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522 – Ленинград</w:t>
      </w:r>
    </w:p>
    <w:p w14:paraId="00835922"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676 – Куйбышев</w:t>
      </w:r>
    </w:p>
    <w:p w14:paraId="49FF198F"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552 – Реж</w:t>
      </w:r>
    </w:p>
    <w:p w14:paraId="5A84633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594 – Свердловск</w:t>
      </w:r>
    </w:p>
    <w:p w14:paraId="23DFC36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595 – Красноуральск</w:t>
      </w:r>
    </w:p>
    <w:p w14:paraId="5A57E84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607 – Свердловск</w:t>
      </w:r>
    </w:p>
    <w:p w14:paraId="79771640"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612 – Свердловск</w:t>
      </w:r>
    </w:p>
    <w:p w14:paraId="689D9E5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222 – Горький</w:t>
      </w:r>
    </w:p>
    <w:p w14:paraId="01D16594"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311 – Саратов</w:t>
      </w:r>
    </w:p>
    <w:p w14:paraId="593281AE"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348 – Саратов</w:t>
      </w:r>
    </w:p>
    <w:p w14:paraId="01A5E2C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602 – Саратов</w:t>
      </w:r>
    </w:p>
    <w:p w14:paraId="53F9D2B8"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317 – Акмолинск</w:t>
      </w:r>
    </w:p>
    <w:p w14:paraId="3215C24D"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608 – Киров</w:t>
      </w:r>
    </w:p>
    <w:p w14:paraId="07CBC0A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609 – Киров</w:t>
      </w:r>
    </w:p>
    <w:p w14:paraId="2EAB188B"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533 – Нерехта</w:t>
      </w:r>
    </w:p>
    <w:p w14:paraId="74D95DB7"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596 – Ярославль</w:t>
      </w:r>
    </w:p>
    <w:p w14:paraId="51ED31C9"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565 – Орджоникидзе</w:t>
      </w:r>
    </w:p>
    <w:p w14:paraId="139BD30D"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570 – Сумгаит</w:t>
      </w:r>
    </w:p>
    <w:p w14:paraId="5BFC43D5"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610 – Баку</w:t>
      </w:r>
    </w:p>
    <w:p w14:paraId="77C31F5D"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583 – Саранск (5910, 93-97).</w:t>
      </w:r>
    </w:p>
    <w:p w14:paraId="13971C96" w14:textId="77777777" w:rsidR="007C5583" w:rsidRPr="008127F8" w:rsidRDefault="007C5583" w:rsidP="007C558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306C4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существовал Завод № 525 – Куйбышев (9211)</w:t>
      </w:r>
    </w:p>
    <w:p w14:paraId="07B5B1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5C35E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заводу № 393 были переданы часть оборудования и кадров (800 чел.) эвакуированного завода № 356, а также часть оборудования ленинградского завода № 349. В начале 1943 г. на завод переведена группа специалистов эвакуированного завода № 296. Осенью 1945 г. создан цех по производству ширпотреба. В 1947 г. завод был значительно расширен, получил много нового оборудования с немецких заводов «Цейс» и «Шотт».</w:t>
      </w:r>
    </w:p>
    <w:p w14:paraId="4C8D2E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4DD03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лета 1942 г. для докования подводных лодок использовался плавучий док, установленный напротив Петропавловской крепости. Этим доком пользовался и завод 189, который в ноябре 1942 г. сдал К-56, а в декабре 1944 г. — К-55. К-54, доведенную к июлю 1944 г. до технической готовности 67% достроить не удалось, часть ее механизмов и оборудования была использована на других однотипных лодках. Несмотря на сокращенную программу ис</w:t>
      </w:r>
      <w:r w:rsidRPr="008127F8">
        <w:rPr>
          <w:rFonts w:ascii="Times New Roman" w:hAnsi="Times New Roman"/>
          <w:color w:val="000000" w:themeColor="text1"/>
          <w:sz w:val="16"/>
          <w:szCs w:val="16"/>
        </w:rPr>
        <w:softHyphen/>
        <w:t>пытаний, К-51, К-52, К-53 и К-56 успешно действовали в заверша</w:t>
      </w:r>
      <w:r w:rsidRPr="008127F8">
        <w:rPr>
          <w:rFonts w:ascii="Times New Roman" w:hAnsi="Times New Roman"/>
          <w:color w:val="000000" w:themeColor="text1"/>
          <w:sz w:val="16"/>
          <w:szCs w:val="16"/>
        </w:rPr>
        <w:softHyphen/>
        <w:t>ющей компании войны на Балтике (3898).</w:t>
      </w:r>
    </w:p>
    <w:p w14:paraId="473924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4477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в Ленинграде под руководством инженеров А. П. Замотаева и Ф. М. Иванова возобнови</w:t>
      </w:r>
      <w:r w:rsidRPr="008127F8">
        <w:rPr>
          <w:rFonts w:ascii="Times New Roman" w:hAnsi="Times New Roman"/>
          <w:color w:val="000000" w:themeColor="text1"/>
          <w:sz w:val="16"/>
          <w:szCs w:val="16"/>
        </w:rPr>
        <w:softHyphen/>
        <w:t>лись Работы по достройке головного корабля "Ястреб". Их обеспечивали специалисты небольшого фили</w:t>
      </w:r>
      <w:r w:rsidRPr="008127F8">
        <w:rPr>
          <w:rFonts w:ascii="Times New Roman" w:hAnsi="Times New Roman"/>
          <w:color w:val="000000" w:themeColor="text1"/>
          <w:sz w:val="16"/>
          <w:szCs w:val="16"/>
        </w:rPr>
        <w:softHyphen/>
        <w:t>ала ЦКБ-32, созданного при заводе 190 (3898).</w:t>
      </w:r>
    </w:p>
    <w:p w14:paraId="3B9BE7F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1FA01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миниподложка «Пигмей» оказался в руках немцев. В ав</w:t>
      </w:r>
      <w:r w:rsidRPr="008127F8">
        <w:rPr>
          <w:rFonts w:ascii="Times New Roman" w:hAnsi="Times New Roman"/>
          <w:color w:val="000000" w:themeColor="text1"/>
          <w:sz w:val="16"/>
          <w:szCs w:val="16"/>
        </w:rPr>
        <w:softHyphen/>
        <w:t>густе 1942 г. лодку с большим интересом осмотрели итальян</w:t>
      </w:r>
      <w:r w:rsidRPr="008127F8">
        <w:rPr>
          <w:rFonts w:ascii="Times New Roman" w:hAnsi="Times New Roman"/>
          <w:color w:val="000000" w:themeColor="text1"/>
          <w:sz w:val="16"/>
          <w:szCs w:val="16"/>
        </w:rPr>
        <w:softHyphen/>
        <w:t>ские офицеры — командиры сверхмалых подводных лодок типа СВ, базировавшихся в Балаклаве (10675).</w:t>
      </w:r>
    </w:p>
    <w:p w14:paraId="434C66C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0F6F0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1C243D9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5C55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Летом 1942 наблюдалось широкое привлечение штурмовиков Ил-2 для огневой поддер</w:t>
      </w:r>
      <w:r w:rsidRPr="008127F8">
        <w:rPr>
          <w:rFonts w:ascii="Times New Roman" w:hAnsi="Times New Roman"/>
          <w:color w:val="000000" w:themeColor="text1"/>
          <w:sz w:val="16"/>
          <w:szCs w:val="16"/>
        </w:rPr>
        <w:softHyphen/>
        <w:t>жки наземных войск (до 75-80% всех боевых вылетов) обострило проблему практического отсутствия на вооружении частей эффективной тактики боевого применения Ил-2 на поле боя. Дело в том, что штурмовые удары с бреющего полета, в силу специфичес</w:t>
      </w:r>
      <w:r w:rsidRPr="008127F8">
        <w:rPr>
          <w:rFonts w:ascii="Times New Roman" w:hAnsi="Times New Roman"/>
          <w:color w:val="000000" w:themeColor="text1"/>
          <w:sz w:val="16"/>
          <w:szCs w:val="16"/>
        </w:rPr>
        <w:softHyphen/>
        <w:t>ких недостатков последнего, принципи</w:t>
      </w:r>
      <w:r w:rsidRPr="008127F8">
        <w:rPr>
          <w:rFonts w:ascii="Times New Roman" w:hAnsi="Times New Roman"/>
          <w:color w:val="000000" w:themeColor="text1"/>
          <w:sz w:val="16"/>
          <w:szCs w:val="16"/>
        </w:rPr>
        <w:softHyphen/>
        <w:t>ально не могли дать должного эффекта. Кроме того, в штурмовых авиаполках в это время появилось очень много моло</w:t>
      </w:r>
      <w:r w:rsidRPr="008127F8">
        <w:rPr>
          <w:rFonts w:ascii="Times New Roman" w:hAnsi="Times New Roman"/>
          <w:color w:val="000000" w:themeColor="text1"/>
          <w:sz w:val="16"/>
          <w:szCs w:val="16"/>
        </w:rPr>
        <w:softHyphen/>
        <w:t>дого летного состава, еще не в полной мере овладевшего техникой пилотиро</w:t>
      </w:r>
      <w:r w:rsidRPr="008127F8">
        <w:rPr>
          <w:rFonts w:ascii="Times New Roman" w:hAnsi="Times New Roman"/>
          <w:color w:val="000000" w:themeColor="text1"/>
          <w:sz w:val="16"/>
          <w:szCs w:val="16"/>
        </w:rPr>
        <w:softHyphen/>
        <w:t>вания самолетом Ил-2 на предельно малой высоте.</w:t>
      </w:r>
    </w:p>
    <w:p w14:paraId="323A831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результате основные высоты бое</w:t>
      </w:r>
      <w:r w:rsidRPr="008127F8">
        <w:rPr>
          <w:rFonts w:ascii="Times New Roman" w:hAnsi="Times New Roman"/>
          <w:color w:val="000000" w:themeColor="text1"/>
          <w:sz w:val="16"/>
          <w:szCs w:val="16"/>
        </w:rPr>
        <w:softHyphen/>
        <w:t>вого применения Ил-2 при действии по объектам противника непосредственно на поле боя были повышены до 600-1200 м, а в штурмовых авиачастях Красной Армии стали широко осваивать методы нанесения бомбоштурмовых ударов с пикирования под углами 25-30°.</w:t>
      </w:r>
    </w:p>
    <w:p w14:paraId="09C3FA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По опыту 228-й </w:t>
      </w:r>
      <w:r w:rsidRPr="008127F8">
        <w:rPr>
          <w:rFonts w:ascii="Times New Roman" w:hAnsi="Times New Roman"/>
          <w:iCs/>
          <w:color w:val="000000" w:themeColor="text1"/>
          <w:sz w:val="16"/>
          <w:szCs w:val="16"/>
        </w:rPr>
        <w:t>шад</w:t>
      </w:r>
      <w:r w:rsidRPr="008127F8">
        <w:rPr>
          <w:rFonts w:ascii="Times New Roman" w:hAnsi="Times New Roman"/>
          <w:color w:val="000000" w:themeColor="text1"/>
          <w:sz w:val="16"/>
          <w:szCs w:val="16"/>
        </w:rPr>
        <w:t xml:space="preserve"> тактика нанесе</w:t>
      </w:r>
      <w:r w:rsidRPr="008127F8">
        <w:rPr>
          <w:rFonts w:ascii="Times New Roman" w:hAnsi="Times New Roman"/>
          <w:color w:val="000000" w:themeColor="text1"/>
          <w:sz w:val="16"/>
          <w:szCs w:val="16"/>
        </w:rPr>
        <w:softHyphen/>
        <w:t xml:space="preserve">ния </w:t>
      </w:r>
      <w:r w:rsidRPr="008127F8">
        <w:rPr>
          <w:rFonts w:ascii="Times New Roman" w:hAnsi="Times New Roman"/>
          <w:iCs/>
          <w:color w:val="000000" w:themeColor="text1"/>
          <w:sz w:val="16"/>
          <w:szCs w:val="16"/>
        </w:rPr>
        <w:t>"огневых штурмовых ударов с пи</w:t>
      </w:r>
      <w:r w:rsidRPr="008127F8">
        <w:rPr>
          <w:rFonts w:ascii="Times New Roman" w:hAnsi="Times New Roman"/>
          <w:iCs/>
          <w:color w:val="000000" w:themeColor="text1"/>
          <w:sz w:val="16"/>
          <w:szCs w:val="16"/>
        </w:rPr>
        <w:softHyphen/>
        <w:t>кирования"</w:t>
      </w:r>
      <w:r w:rsidRPr="008127F8">
        <w:rPr>
          <w:rFonts w:ascii="Times New Roman" w:hAnsi="Times New Roman"/>
          <w:color w:val="000000" w:themeColor="text1"/>
          <w:sz w:val="16"/>
          <w:szCs w:val="16"/>
        </w:rPr>
        <w:t xml:space="preserve"> заключалась в следующем.</w:t>
      </w:r>
    </w:p>
    <w:p w14:paraId="3E765E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Группа из 6-8 Ил-2 подходила к цели в боевом порядке "змейка" пар само</w:t>
      </w:r>
      <w:r w:rsidRPr="008127F8">
        <w:rPr>
          <w:rFonts w:ascii="Times New Roman" w:hAnsi="Times New Roman"/>
          <w:color w:val="000000" w:themeColor="text1"/>
          <w:sz w:val="16"/>
          <w:szCs w:val="16"/>
        </w:rPr>
        <w:softHyphen/>
        <w:t>летов на высоте 800-1200 м и, находясь в стороне от цели на удалении, обеспе</w:t>
      </w:r>
      <w:r w:rsidRPr="008127F8">
        <w:rPr>
          <w:rFonts w:ascii="Times New Roman" w:hAnsi="Times New Roman"/>
          <w:color w:val="000000" w:themeColor="text1"/>
          <w:sz w:val="16"/>
          <w:szCs w:val="16"/>
        </w:rPr>
        <w:softHyphen/>
        <w:t>чивающем защиту от огня МЗА и круп</w:t>
      </w:r>
      <w:r w:rsidRPr="008127F8">
        <w:rPr>
          <w:rFonts w:ascii="Times New Roman" w:hAnsi="Times New Roman"/>
          <w:color w:val="000000" w:themeColor="text1"/>
          <w:sz w:val="16"/>
          <w:szCs w:val="16"/>
        </w:rPr>
        <w:softHyphen/>
        <w:t>нокалиберных пулеметов, и маневрируя по горизонту и высоте, выбирала наи</w:t>
      </w:r>
      <w:r w:rsidRPr="008127F8">
        <w:rPr>
          <w:rFonts w:ascii="Times New Roman" w:hAnsi="Times New Roman"/>
          <w:color w:val="000000" w:themeColor="text1"/>
          <w:sz w:val="16"/>
          <w:szCs w:val="16"/>
        </w:rPr>
        <w:softHyphen/>
        <w:t>лучший способ атаки цели (заход со сто</w:t>
      </w:r>
      <w:r w:rsidRPr="008127F8">
        <w:rPr>
          <w:rFonts w:ascii="Times New Roman" w:hAnsi="Times New Roman"/>
          <w:color w:val="000000" w:themeColor="text1"/>
          <w:sz w:val="16"/>
          <w:szCs w:val="16"/>
        </w:rPr>
        <w:softHyphen/>
        <w:t>роны солнца, удар вдоль колонны в мес</w:t>
      </w:r>
      <w:r w:rsidRPr="008127F8">
        <w:rPr>
          <w:rFonts w:ascii="Times New Roman" w:hAnsi="Times New Roman"/>
          <w:color w:val="000000" w:themeColor="text1"/>
          <w:sz w:val="16"/>
          <w:szCs w:val="16"/>
        </w:rPr>
        <w:softHyphen/>
        <w:t>тах наибольшего скопления техники, в местах заправок, переправ и т.д.). Атака производилась из растянутого строя "змейка" или перестроением в "пеленг" с последующим переходом в пикиро</w:t>
      </w:r>
      <w:r w:rsidRPr="008127F8">
        <w:rPr>
          <w:rFonts w:ascii="Times New Roman" w:hAnsi="Times New Roman"/>
          <w:color w:val="000000" w:themeColor="text1"/>
          <w:sz w:val="16"/>
          <w:szCs w:val="16"/>
        </w:rPr>
        <w:softHyphen/>
        <w:t>вание под углом 25-30° с индивидуаль</w:t>
      </w:r>
      <w:r w:rsidRPr="008127F8">
        <w:rPr>
          <w:rFonts w:ascii="Times New Roman" w:hAnsi="Times New Roman"/>
          <w:color w:val="000000" w:themeColor="text1"/>
          <w:sz w:val="16"/>
          <w:szCs w:val="16"/>
        </w:rPr>
        <w:softHyphen/>
        <w:t xml:space="preserve">ным прицеливанием по целям, </w:t>
      </w:r>
      <w:r w:rsidRPr="008127F8">
        <w:rPr>
          <w:rFonts w:ascii="Times New Roman" w:hAnsi="Times New Roman"/>
          <w:iCs/>
          <w:color w:val="000000" w:themeColor="text1"/>
          <w:sz w:val="16"/>
          <w:szCs w:val="16"/>
        </w:rPr>
        <w:t>"созда</w:t>
      </w:r>
      <w:r w:rsidRPr="008127F8">
        <w:rPr>
          <w:rFonts w:ascii="Times New Roman" w:hAnsi="Times New Roman"/>
          <w:iCs/>
          <w:color w:val="000000" w:themeColor="text1"/>
          <w:sz w:val="16"/>
          <w:szCs w:val="16"/>
        </w:rPr>
        <w:softHyphen/>
        <w:t>вая наращивание огневого удара (один самолет за другим)".</w:t>
      </w:r>
      <w:r w:rsidRPr="008127F8">
        <w:rPr>
          <w:rFonts w:ascii="Times New Roman" w:hAnsi="Times New Roman"/>
          <w:color w:val="000000" w:themeColor="text1"/>
          <w:sz w:val="16"/>
          <w:szCs w:val="16"/>
        </w:rPr>
        <w:t xml:space="preserve"> В первой атаке цель поражалась PC или бомбами, в пос</w:t>
      </w:r>
      <w:r w:rsidRPr="008127F8">
        <w:rPr>
          <w:rFonts w:ascii="Times New Roman" w:hAnsi="Times New Roman"/>
          <w:color w:val="000000" w:themeColor="text1"/>
          <w:sz w:val="16"/>
          <w:szCs w:val="16"/>
        </w:rPr>
        <w:softHyphen/>
        <w:t>ледующих заходах - пулеметно-пушеч</w:t>
      </w:r>
      <w:r w:rsidRPr="008127F8">
        <w:rPr>
          <w:rFonts w:ascii="Times New Roman" w:hAnsi="Times New Roman"/>
          <w:color w:val="000000" w:themeColor="text1"/>
          <w:sz w:val="16"/>
          <w:szCs w:val="16"/>
        </w:rPr>
        <w:softHyphen/>
        <w:t>ным огнем. Бомбометание осуществля</w:t>
      </w:r>
      <w:r w:rsidRPr="008127F8">
        <w:rPr>
          <w:rFonts w:ascii="Times New Roman" w:hAnsi="Times New Roman"/>
          <w:color w:val="000000" w:themeColor="text1"/>
          <w:sz w:val="16"/>
          <w:szCs w:val="16"/>
        </w:rPr>
        <w:softHyphen/>
        <w:t>лось на выходе из пикирования с высо</w:t>
      </w:r>
      <w:r w:rsidRPr="008127F8">
        <w:rPr>
          <w:rFonts w:ascii="Times New Roman" w:hAnsi="Times New Roman"/>
          <w:color w:val="000000" w:themeColor="text1"/>
          <w:sz w:val="16"/>
          <w:szCs w:val="16"/>
        </w:rPr>
        <w:softHyphen/>
        <w:t xml:space="preserve">ты 400-600 м серией </w:t>
      </w:r>
      <w:r w:rsidRPr="008127F8">
        <w:rPr>
          <w:rFonts w:ascii="Times New Roman" w:hAnsi="Times New Roman"/>
          <w:iCs/>
          <w:color w:val="000000" w:themeColor="text1"/>
          <w:sz w:val="16"/>
          <w:szCs w:val="16"/>
        </w:rPr>
        <w:t>"с установкой взры</w:t>
      </w:r>
      <w:r w:rsidRPr="008127F8">
        <w:rPr>
          <w:rFonts w:ascii="Times New Roman" w:hAnsi="Times New Roman"/>
          <w:iCs/>
          <w:color w:val="000000" w:themeColor="text1"/>
          <w:sz w:val="16"/>
          <w:szCs w:val="16"/>
        </w:rPr>
        <w:softHyphen/>
        <w:t xml:space="preserve">вателей на мгновенное действие". </w:t>
      </w:r>
      <w:r w:rsidRPr="008127F8">
        <w:rPr>
          <w:rFonts w:ascii="Times New Roman" w:hAnsi="Times New Roman"/>
          <w:color w:val="000000" w:themeColor="text1"/>
          <w:sz w:val="16"/>
          <w:szCs w:val="16"/>
        </w:rPr>
        <w:t>Стрельба из стрелково-пушечного ору</w:t>
      </w:r>
      <w:r w:rsidRPr="008127F8">
        <w:rPr>
          <w:rFonts w:ascii="Times New Roman" w:hAnsi="Times New Roman"/>
          <w:color w:val="000000" w:themeColor="text1"/>
          <w:sz w:val="16"/>
          <w:szCs w:val="16"/>
        </w:rPr>
        <w:softHyphen/>
        <w:t>жия открывалась с высоты 300 м и про</w:t>
      </w:r>
      <w:r w:rsidRPr="008127F8">
        <w:rPr>
          <w:rFonts w:ascii="Times New Roman" w:hAnsi="Times New Roman"/>
          <w:color w:val="000000" w:themeColor="text1"/>
          <w:sz w:val="16"/>
          <w:szCs w:val="16"/>
        </w:rPr>
        <w:softHyphen/>
        <w:t>должалась до высоты 50 м, дистанция стрельбы составляла 600-100 м.</w:t>
      </w:r>
    </w:p>
    <w:p w14:paraId="5E09BA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случае сильного противодействия в районе целей со стороны истребите</w:t>
      </w:r>
      <w:r w:rsidRPr="008127F8">
        <w:rPr>
          <w:rFonts w:ascii="Times New Roman" w:hAnsi="Times New Roman"/>
          <w:color w:val="000000" w:themeColor="text1"/>
          <w:sz w:val="16"/>
          <w:szCs w:val="16"/>
        </w:rPr>
        <w:softHyphen/>
        <w:t>лей Люфтваффе, а также при бомбарди</w:t>
      </w:r>
      <w:r w:rsidRPr="008127F8">
        <w:rPr>
          <w:rFonts w:ascii="Times New Roman" w:hAnsi="Times New Roman"/>
          <w:color w:val="000000" w:themeColor="text1"/>
          <w:sz w:val="16"/>
          <w:szCs w:val="16"/>
        </w:rPr>
        <w:softHyphen/>
        <w:t>ровке площадных целей (скопления войск, населенные пункты, ж.д. узлы и т.д.) бомбовые удары производились с горизонтального полета с высоты 800 м и выше.</w:t>
      </w:r>
    </w:p>
    <w:p w14:paraId="36501B3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Переход к действиям со средних вы</w:t>
      </w:r>
      <w:r w:rsidRPr="008127F8">
        <w:rPr>
          <w:rFonts w:ascii="Times New Roman" w:hAnsi="Times New Roman"/>
          <w:color w:val="000000" w:themeColor="text1"/>
          <w:sz w:val="16"/>
          <w:szCs w:val="16"/>
        </w:rPr>
        <w:softHyphen/>
        <w:t>сот повысил боевую эффективность штурмовых авиачастей, хотя проблема борьбы с танками панцерваффе так и осталась не решенной (6467).</w:t>
      </w:r>
    </w:p>
    <w:p w14:paraId="3A32126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Повышение высот боевого примене</w:t>
      </w:r>
      <w:r w:rsidRPr="008127F8">
        <w:rPr>
          <w:rFonts w:ascii="Times New Roman" w:hAnsi="Times New Roman"/>
          <w:color w:val="000000" w:themeColor="text1"/>
          <w:sz w:val="16"/>
          <w:szCs w:val="16"/>
        </w:rPr>
        <w:softHyphen/>
        <w:t>ния штурмовиков Ил-2 и их переход к бомбометанию с пикирования (25-30°) выявило существенный недостаток взрывателей АПУВ и АПУВ-М, применяв</w:t>
      </w:r>
      <w:r w:rsidRPr="008127F8">
        <w:rPr>
          <w:rFonts w:ascii="Times New Roman" w:hAnsi="Times New Roman"/>
          <w:color w:val="000000" w:themeColor="text1"/>
          <w:sz w:val="16"/>
          <w:szCs w:val="16"/>
        </w:rPr>
        <w:softHyphen/>
        <w:t>шихся в головном снаряжении фугасных авиабомб различного калибра. Из стро</w:t>
      </w:r>
      <w:r w:rsidRPr="008127F8">
        <w:rPr>
          <w:rFonts w:ascii="Times New Roman" w:hAnsi="Times New Roman"/>
          <w:color w:val="000000" w:themeColor="text1"/>
          <w:sz w:val="16"/>
          <w:szCs w:val="16"/>
        </w:rPr>
        <w:softHyphen/>
        <w:t>евых частей ВВС КА в большом количе</w:t>
      </w:r>
      <w:r w:rsidRPr="008127F8">
        <w:rPr>
          <w:rFonts w:ascii="Times New Roman" w:hAnsi="Times New Roman"/>
          <w:color w:val="000000" w:themeColor="text1"/>
          <w:sz w:val="16"/>
          <w:szCs w:val="16"/>
        </w:rPr>
        <w:softHyphen/>
        <w:t>стве стали поступать донесения о преж</w:t>
      </w:r>
      <w:r w:rsidRPr="008127F8">
        <w:rPr>
          <w:rFonts w:ascii="Times New Roman" w:hAnsi="Times New Roman"/>
          <w:color w:val="000000" w:themeColor="text1"/>
          <w:sz w:val="16"/>
          <w:szCs w:val="16"/>
        </w:rPr>
        <w:softHyphen/>
        <w:t>девременном срабатывании этих взры</w:t>
      </w:r>
      <w:r w:rsidRPr="008127F8">
        <w:rPr>
          <w:rFonts w:ascii="Times New Roman" w:hAnsi="Times New Roman"/>
          <w:color w:val="000000" w:themeColor="text1"/>
          <w:sz w:val="16"/>
          <w:szCs w:val="16"/>
        </w:rPr>
        <w:softHyphen/>
        <w:t>вателей на небольшом удалении бомбы от самолета после сброса, что приводи</w:t>
      </w:r>
      <w:r w:rsidRPr="008127F8">
        <w:rPr>
          <w:rFonts w:ascii="Times New Roman" w:hAnsi="Times New Roman"/>
          <w:color w:val="000000" w:themeColor="text1"/>
          <w:sz w:val="16"/>
          <w:szCs w:val="16"/>
        </w:rPr>
        <w:softHyphen/>
        <w:t>ло, в большинстве случаев, к потере эки</w:t>
      </w:r>
      <w:r w:rsidRPr="008127F8">
        <w:rPr>
          <w:rFonts w:ascii="Times New Roman" w:hAnsi="Times New Roman"/>
          <w:color w:val="000000" w:themeColor="text1"/>
          <w:sz w:val="16"/>
          <w:szCs w:val="16"/>
        </w:rPr>
        <w:softHyphen/>
        <w:t>пажа и самолета.</w:t>
      </w:r>
    </w:p>
    <w:p w14:paraId="2DF812E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Взрыватели типа АПУВ пришлось срочно дорабатывать, однако, ввиду имевших место нарушений в техноло</w:t>
      </w:r>
      <w:r w:rsidRPr="008127F8">
        <w:rPr>
          <w:rFonts w:ascii="Times New Roman" w:hAnsi="Times New Roman"/>
          <w:color w:val="000000" w:themeColor="text1"/>
          <w:sz w:val="16"/>
          <w:szCs w:val="16"/>
        </w:rPr>
        <w:softHyphen/>
        <w:t>гии производства взрывателей на заво</w:t>
      </w:r>
      <w:r w:rsidRPr="008127F8">
        <w:rPr>
          <w:rFonts w:ascii="Times New Roman" w:hAnsi="Times New Roman"/>
          <w:color w:val="000000" w:themeColor="text1"/>
          <w:sz w:val="16"/>
          <w:szCs w:val="16"/>
        </w:rPr>
        <w:softHyphen/>
        <w:t>дах НКБ, случаи подрыва штурмовиков от своих же авиабомб продолжали встречаться (6467).</w:t>
      </w:r>
    </w:p>
    <w:p w14:paraId="20FA88A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58585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основным средством поражения бро</w:t>
      </w:r>
      <w:r w:rsidRPr="008127F8">
        <w:rPr>
          <w:rFonts w:ascii="Times New Roman" w:hAnsi="Times New Roman"/>
          <w:color w:val="000000" w:themeColor="text1"/>
          <w:sz w:val="16"/>
          <w:szCs w:val="16"/>
        </w:rPr>
        <w:softHyphen/>
        <w:t>нетанковой техники противника продолжали оставаться авиабом</w:t>
      </w:r>
      <w:r w:rsidRPr="008127F8">
        <w:rPr>
          <w:rFonts w:ascii="Times New Roman" w:hAnsi="Times New Roman"/>
          <w:color w:val="000000" w:themeColor="text1"/>
          <w:sz w:val="16"/>
          <w:szCs w:val="16"/>
        </w:rPr>
        <w:softHyphen/>
        <w:t>бы. Роль авиабомб еще более возрас</w:t>
      </w:r>
      <w:r w:rsidRPr="008127F8">
        <w:rPr>
          <w:rFonts w:ascii="Times New Roman" w:hAnsi="Times New Roman"/>
          <w:color w:val="000000" w:themeColor="text1"/>
          <w:sz w:val="16"/>
          <w:szCs w:val="16"/>
        </w:rPr>
        <w:softHyphen/>
        <w:t>тала при атаках укрепленных пунктов и живой силы противника на поле боя. Од</w:t>
      </w:r>
      <w:r w:rsidRPr="008127F8">
        <w:rPr>
          <w:rFonts w:ascii="Times New Roman" w:hAnsi="Times New Roman"/>
          <w:color w:val="000000" w:themeColor="text1"/>
          <w:sz w:val="16"/>
          <w:szCs w:val="16"/>
        </w:rPr>
        <w:softHyphen/>
        <w:t>нако во многих штурмовых авиаполках в это время имела место явная недооцен</w:t>
      </w:r>
      <w:r w:rsidRPr="008127F8">
        <w:rPr>
          <w:rFonts w:ascii="Times New Roman" w:hAnsi="Times New Roman"/>
          <w:color w:val="000000" w:themeColor="text1"/>
          <w:sz w:val="16"/>
          <w:szCs w:val="16"/>
        </w:rPr>
        <w:softHyphen/>
        <w:t>ка авиабомб как основного средства по</w:t>
      </w:r>
      <w:r w:rsidRPr="008127F8">
        <w:rPr>
          <w:rFonts w:ascii="Times New Roman" w:hAnsi="Times New Roman"/>
          <w:color w:val="000000" w:themeColor="text1"/>
          <w:sz w:val="16"/>
          <w:szCs w:val="16"/>
        </w:rPr>
        <w:softHyphen/>
        <w:t>ражения противника, поэтому очень ча</w:t>
      </w:r>
      <w:r w:rsidRPr="008127F8">
        <w:rPr>
          <w:rFonts w:ascii="Times New Roman" w:hAnsi="Times New Roman"/>
          <w:color w:val="000000" w:themeColor="text1"/>
          <w:sz w:val="16"/>
          <w:szCs w:val="16"/>
        </w:rPr>
        <w:softHyphen/>
        <w:t>сто практиковались боевые вылеты на штурмовку войск без бомбовой нагрузки. В связи с этим 17 июня 1942 г. вы</w:t>
      </w:r>
      <w:r w:rsidRPr="008127F8">
        <w:rPr>
          <w:rFonts w:ascii="Times New Roman" w:hAnsi="Times New Roman"/>
          <w:color w:val="000000" w:themeColor="text1"/>
          <w:sz w:val="16"/>
          <w:szCs w:val="16"/>
        </w:rPr>
        <w:softHyphen/>
        <w:t>шел приказ НКО № 0490, который кате</w:t>
      </w:r>
      <w:r w:rsidRPr="008127F8">
        <w:rPr>
          <w:rFonts w:ascii="Times New Roman" w:hAnsi="Times New Roman"/>
          <w:color w:val="000000" w:themeColor="text1"/>
          <w:sz w:val="16"/>
          <w:szCs w:val="16"/>
        </w:rPr>
        <w:softHyphen/>
        <w:t>горически запре</w:t>
      </w:r>
      <w:r w:rsidRPr="008127F8">
        <w:rPr>
          <w:rFonts w:ascii="Times New Roman" w:hAnsi="Times New Roman"/>
          <w:color w:val="000000" w:themeColor="text1"/>
          <w:sz w:val="16"/>
          <w:szCs w:val="16"/>
        </w:rPr>
        <w:softHyphen/>
        <w:t>щал выпуск Ил-2 в боевой вылет без бомбовой нагруз</w:t>
      </w:r>
      <w:r w:rsidRPr="008127F8">
        <w:rPr>
          <w:rFonts w:ascii="Times New Roman" w:hAnsi="Times New Roman"/>
          <w:color w:val="000000" w:themeColor="text1"/>
          <w:sz w:val="16"/>
          <w:szCs w:val="16"/>
        </w:rPr>
        <w:softHyphen/>
        <w:t>ки. Более того, мак</w:t>
      </w:r>
      <w:r w:rsidRPr="008127F8">
        <w:rPr>
          <w:rFonts w:ascii="Times New Roman" w:hAnsi="Times New Roman"/>
          <w:color w:val="000000" w:themeColor="text1"/>
          <w:sz w:val="16"/>
          <w:szCs w:val="16"/>
        </w:rPr>
        <w:softHyphen/>
        <w:t>симальная бомбо</w:t>
      </w:r>
      <w:r w:rsidRPr="008127F8">
        <w:rPr>
          <w:rFonts w:ascii="Times New Roman" w:hAnsi="Times New Roman"/>
          <w:color w:val="000000" w:themeColor="text1"/>
          <w:sz w:val="16"/>
          <w:szCs w:val="16"/>
        </w:rPr>
        <w:softHyphen/>
        <w:t>вая нагрузка для Ил-2 была поднята с 400 кг до 600 кг (6467).</w:t>
      </w:r>
    </w:p>
    <w:p w14:paraId="4642B36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E8C15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на сталинградском направлении большие потери штурмовиков обус</w:t>
      </w:r>
      <w:r w:rsidRPr="008127F8">
        <w:rPr>
          <w:rFonts w:ascii="Times New Roman" w:hAnsi="Times New Roman"/>
          <w:color w:val="000000" w:themeColor="text1"/>
          <w:sz w:val="16"/>
          <w:szCs w:val="16"/>
        </w:rPr>
        <w:softHyphen/>
        <w:t>лавливались главным образом несовер</w:t>
      </w:r>
      <w:r w:rsidRPr="008127F8">
        <w:rPr>
          <w:rFonts w:ascii="Times New Roman" w:hAnsi="Times New Roman"/>
          <w:color w:val="000000" w:themeColor="text1"/>
          <w:sz w:val="16"/>
          <w:szCs w:val="16"/>
        </w:rPr>
        <w:softHyphen/>
        <w:t>шенной тактикой боевого применения и слабой летно-боевой подготовкой лет</w:t>
      </w:r>
      <w:r w:rsidRPr="008127F8">
        <w:rPr>
          <w:rFonts w:ascii="Times New Roman" w:hAnsi="Times New Roman"/>
          <w:color w:val="000000" w:themeColor="text1"/>
          <w:sz w:val="16"/>
          <w:szCs w:val="16"/>
        </w:rPr>
        <w:softHyphen/>
        <w:t>ного состава полков. Дело в том, что в этот период време</w:t>
      </w:r>
      <w:r w:rsidRPr="008127F8">
        <w:rPr>
          <w:rFonts w:ascii="Times New Roman" w:hAnsi="Times New Roman"/>
          <w:color w:val="000000" w:themeColor="text1"/>
          <w:sz w:val="16"/>
          <w:szCs w:val="16"/>
        </w:rPr>
        <w:softHyphen/>
        <w:t>ни в штурмовых авиаполках вылеты для ударов по целям на поле боя произво</w:t>
      </w:r>
      <w:r w:rsidRPr="008127F8">
        <w:rPr>
          <w:rFonts w:ascii="Times New Roman" w:hAnsi="Times New Roman"/>
          <w:color w:val="000000" w:themeColor="text1"/>
          <w:sz w:val="16"/>
          <w:szCs w:val="16"/>
        </w:rPr>
        <w:softHyphen/>
        <w:t>дились в основном эскадрильями в со</w:t>
      </w:r>
      <w:r w:rsidRPr="008127F8">
        <w:rPr>
          <w:rFonts w:ascii="Times New Roman" w:hAnsi="Times New Roman"/>
          <w:color w:val="000000" w:themeColor="text1"/>
          <w:sz w:val="16"/>
          <w:szCs w:val="16"/>
        </w:rPr>
        <w:softHyphen/>
        <w:t>ставе 6-8 самолетов, а бомбардирование и стрельба выполнялись в боевом порядке "пеленг звеньев" с одного или с двух-трех заходов. При этом "пеленг звеньев" уже после первого захода на цель, как правило, превращался в разом</w:t>
      </w:r>
      <w:r w:rsidRPr="008127F8">
        <w:rPr>
          <w:rFonts w:ascii="Times New Roman" w:hAnsi="Times New Roman"/>
          <w:color w:val="000000" w:themeColor="text1"/>
          <w:sz w:val="16"/>
          <w:szCs w:val="16"/>
        </w:rPr>
        <w:softHyphen/>
        <w:t>кнутую "колонну" одиночных самолетов (как тогда говорили - "в цепочку"). В результате между заходами группы Ил-2 на цель получался большой времен</w:t>
      </w:r>
      <w:r w:rsidRPr="008127F8">
        <w:rPr>
          <w:rFonts w:ascii="Times New Roman" w:hAnsi="Times New Roman"/>
          <w:color w:val="000000" w:themeColor="text1"/>
          <w:sz w:val="16"/>
          <w:szCs w:val="16"/>
        </w:rPr>
        <w:softHyphen/>
        <w:t>ной "разрыв", а между самолетами на</w:t>
      </w:r>
      <w:r w:rsidRPr="008127F8">
        <w:rPr>
          <w:rFonts w:ascii="Times New Roman" w:hAnsi="Times New Roman"/>
          <w:color w:val="000000" w:themeColor="text1"/>
          <w:sz w:val="16"/>
          <w:szCs w:val="16"/>
        </w:rPr>
        <w:softHyphen/>
        <w:t>рушалось огневое взаимодействие. Пос</w:t>
      </w:r>
      <w:r w:rsidRPr="008127F8">
        <w:rPr>
          <w:rFonts w:ascii="Times New Roman" w:hAnsi="Times New Roman"/>
          <w:color w:val="000000" w:themeColor="text1"/>
          <w:sz w:val="16"/>
          <w:szCs w:val="16"/>
        </w:rPr>
        <w:softHyphen/>
        <w:t>леднее позволяло немецким зенитчикам встречать Ил-2 при повторных заходах хорошо организованным, сосредоточен</w:t>
      </w:r>
      <w:r w:rsidRPr="008127F8">
        <w:rPr>
          <w:rFonts w:ascii="Times New Roman" w:hAnsi="Times New Roman"/>
          <w:color w:val="000000" w:themeColor="text1"/>
          <w:sz w:val="16"/>
          <w:szCs w:val="16"/>
        </w:rPr>
        <w:softHyphen/>
        <w:t>ным огнем, и, кроме этого, в образовав</w:t>
      </w:r>
      <w:r w:rsidRPr="008127F8">
        <w:rPr>
          <w:rFonts w:ascii="Times New Roman" w:hAnsi="Times New Roman"/>
          <w:color w:val="000000" w:themeColor="text1"/>
          <w:sz w:val="16"/>
          <w:szCs w:val="16"/>
        </w:rPr>
        <w:softHyphen/>
        <w:t>шийся "разрыв" нередко вклинивались истребители Люфтваффе и атаковывали "Илы" снизу-сзади из "слепого" сек</w:t>
      </w:r>
      <w:r w:rsidRPr="008127F8">
        <w:rPr>
          <w:rFonts w:ascii="Times New Roman" w:hAnsi="Times New Roman"/>
          <w:color w:val="000000" w:themeColor="text1"/>
          <w:sz w:val="16"/>
          <w:szCs w:val="16"/>
        </w:rPr>
        <w:softHyphen/>
        <w:t>тора, не просматриваемого летчиком...</w:t>
      </w:r>
    </w:p>
    <w:p w14:paraId="074F1C4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Более того, действия Ил-2 со сред</w:t>
      </w:r>
      <w:r w:rsidRPr="008127F8">
        <w:rPr>
          <w:rFonts w:ascii="Times New Roman" w:hAnsi="Times New Roman"/>
          <w:color w:val="000000" w:themeColor="text1"/>
          <w:sz w:val="16"/>
          <w:szCs w:val="16"/>
        </w:rPr>
        <w:softHyphen/>
        <w:t>них высот без прикрытия своих истре</w:t>
      </w:r>
      <w:r w:rsidRPr="008127F8">
        <w:rPr>
          <w:rFonts w:ascii="Times New Roman" w:hAnsi="Times New Roman"/>
          <w:color w:val="000000" w:themeColor="text1"/>
          <w:sz w:val="16"/>
          <w:szCs w:val="16"/>
        </w:rPr>
        <w:softHyphen/>
        <w:t>бителей стали практически невозмож</w:t>
      </w:r>
      <w:r w:rsidRPr="008127F8">
        <w:rPr>
          <w:rFonts w:ascii="Times New Roman" w:hAnsi="Times New Roman"/>
          <w:color w:val="000000" w:themeColor="text1"/>
          <w:sz w:val="16"/>
          <w:szCs w:val="16"/>
        </w:rPr>
        <w:softHyphen/>
        <w:t>ными, так как при уходе группы от цели, который осуществлялся на повышенной скорости, замыкающие самолеты обыч</w:t>
      </w:r>
      <w:r w:rsidRPr="008127F8">
        <w:rPr>
          <w:rFonts w:ascii="Times New Roman" w:hAnsi="Times New Roman"/>
          <w:color w:val="000000" w:themeColor="text1"/>
          <w:sz w:val="16"/>
          <w:szCs w:val="16"/>
        </w:rPr>
        <w:softHyphen/>
        <w:t>но отставали, подвергались атакам ис</w:t>
      </w:r>
      <w:r w:rsidRPr="008127F8">
        <w:rPr>
          <w:rFonts w:ascii="Times New Roman" w:hAnsi="Times New Roman"/>
          <w:color w:val="000000" w:themeColor="text1"/>
          <w:sz w:val="16"/>
          <w:szCs w:val="16"/>
        </w:rPr>
        <w:softHyphen/>
        <w:t>требителей противника и сбивались. Даже при наличии прикрывающих ис</w:t>
      </w:r>
      <w:r w:rsidRPr="008127F8">
        <w:rPr>
          <w:rFonts w:ascii="Times New Roman" w:hAnsi="Times New Roman"/>
          <w:color w:val="000000" w:themeColor="text1"/>
          <w:sz w:val="16"/>
          <w:szCs w:val="16"/>
        </w:rPr>
        <w:softHyphen/>
        <w:t>требителей практически было трудно обеспечить защиту штурмовиков от атак немецких истребителей, когда первые образовывали разомкнутую "колонну" одиночных самолетов. Отсутствие же налаженной двухсторонней радиосвязи между штурмовиками и истребителями со</w:t>
      </w:r>
      <w:r w:rsidRPr="008127F8">
        <w:rPr>
          <w:rFonts w:ascii="Times New Roman" w:hAnsi="Times New Roman"/>
          <w:color w:val="000000" w:themeColor="text1"/>
          <w:sz w:val="16"/>
          <w:szCs w:val="16"/>
        </w:rPr>
        <w:softHyphen/>
        <w:t>провождения только усугубляло положение.</w:t>
      </w:r>
    </w:p>
    <w:p w14:paraId="00FC7D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Статистика боевых потерь штурмовых авиаполков Сталинградского направле</w:t>
      </w:r>
      <w:r w:rsidRPr="008127F8">
        <w:rPr>
          <w:rFonts w:ascii="Times New Roman" w:hAnsi="Times New Roman"/>
          <w:color w:val="000000" w:themeColor="text1"/>
          <w:sz w:val="16"/>
          <w:szCs w:val="16"/>
        </w:rPr>
        <w:softHyphen/>
        <w:t>ния показывает, что истребителями Люфтваффе сбивалось около 62% (!) само</w:t>
      </w:r>
      <w:r w:rsidRPr="008127F8">
        <w:rPr>
          <w:rFonts w:ascii="Times New Roman" w:hAnsi="Times New Roman"/>
          <w:color w:val="000000" w:themeColor="text1"/>
          <w:sz w:val="16"/>
          <w:szCs w:val="16"/>
        </w:rPr>
        <w:softHyphen/>
        <w:t>летов Ил-2 от общего числа потерян</w:t>
      </w:r>
      <w:r w:rsidRPr="008127F8">
        <w:rPr>
          <w:rFonts w:ascii="Times New Roman" w:hAnsi="Times New Roman"/>
          <w:color w:val="000000" w:themeColor="text1"/>
          <w:sz w:val="16"/>
          <w:szCs w:val="16"/>
        </w:rPr>
        <w:softHyphen/>
        <w:t>ных штурмовиков за этот период.</w:t>
      </w:r>
    </w:p>
    <w:p w14:paraId="715BEA3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Отметим, что усреднение по всем воз</w:t>
      </w:r>
      <w:r w:rsidRPr="008127F8">
        <w:rPr>
          <w:rFonts w:ascii="Times New Roman" w:hAnsi="Times New Roman"/>
          <w:color w:val="000000" w:themeColor="text1"/>
          <w:sz w:val="16"/>
          <w:szCs w:val="16"/>
        </w:rPr>
        <w:softHyphen/>
        <w:t>душным армиям дает существенно меньшие цифры - официальные потери штурмовой авиации Красной Армии от воздействия истребителей противника составили 36% от общего числа сбитых за этот период штурмовиков Ил-2.</w:t>
      </w:r>
    </w:p>
    <w:p w14:paraId="6E350DE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Оценки, основанные на теории воз</w:t>
      </w:r>
      <w:r w:rsidRPr="008127F8">
        <w:rPr>
          <w:rFonts w:ascii="Times New Roman" w:hAnsi="Times New Roman"/>
          <w:color w:val="000000" w:themeColor="text1"/>
          <w:sz w:val="16"/>
          <w:szCs w:val="16"/>
        </w:rPr>
        <w:softHyphen/>
        <w:t>душной стрельбы и полигонных испы</w:t>
      </w:r>
      <w:r w:rsidRPr="008127F8">
        <w:rPr>
          <w:rFonts w:ascii="Times New Roman" w:hAnsi="Times New Roman"/>
          <w:color w:val="000000" w:themeColor="text1"/>
          <w:sz w:val="16"/>
          <w:szCs w:val="16"/>
        </w:rPr>
        <w:softHyphen/>
        <w:t>таниях эффективности действия герман</w:t>
      </w:r>
      <w:r w:rsidRPr="008127F8">
        <w:rPr>
          <w:rFonts w:ascii="Times New Roman" w:hAnsi="Times New Roman"/>
          <w:color w:val="000000" w:themeColor="text1"/>
          <w:sz w:val="16"/>
          <w:szCs w:val="16"/>
        </w:rPr>
        <w:softHyphen/>
        <w:t>ского стрелково-пушечного вооружения по штурмовику Ил-2, показывают, что применительно к типичным условиям ведения воздушных боев этого периода потенциальная вероятность сбития од</w:t>
      </w:r>
      <w:r w:rsidRPr="008127F8">
        <w:rPr>
          <w:rFonts w:ascii="Times New Roman" w:hAnsi="Times New Roman"/>
          <w:color w:val="000000" w:themeColor="text1"/>
          <w:sz w:val="16"/>
          <w:szCs w:val="16"/>
        </w:rPr>
        <w:softHyphen/>
        <w:t>номестного Ил-2 со стороны задней по</w:t>
      </w:r>
      <w:r w:rsidRPr="008127F8">
        <w:rPr>
          <w:rFonts w:ascii="Times New Roman" w:hAnsi="Times New Roman"/>
          <w:color w:val="000000" w:themeColor="text1"/>
          <w:sz w:val="16"/>
          <w:szCs w:val="16"/>
        </w:rPr>
        <w:softHyphen/>
        <w:t>лусферы истребителем Люфтваффе Bf109G-2 (трехточечный) в одной атаке (летчик с отличной летной и стрелко</w:t>
      </w:r>
      <w:r w:rsidRPr="008127F8">
        <w:rPr>
          <w:rFonts w:ascii="Times New Roman" w:hAnsi="Times New Roman"/>
          <w:color w:val="000000" w:themeColor="text1"/>
          <w:sz w:val="16"/>
          <w:szCs w:val="16"/>
        </w:rPr>
        <w:softHyphen/>
        <w:t>вой подготовкой, а штурмовик не совер</w:t>
      </w:r>
      <w:r w:rsidRPr="008127F8">
        <w:rPr>
          <w:rFonts w:ascii="Times New Roman" w:hAnsi="Times New Roman"/>
          <w:color w:val="000000" w:themeColor="text1"/>
          <w:sz w:val="16"/>
          <w:szCs w:val="16"/>
        </w:rPr>
        <w:softHyphen/>
        <w:t>шает активного противоистребительного маневра) могла составлять довольно внушительную величину - 0,51, а пяти</w:t>
      </w:r>
      <w:r w:rsidRPr="008127F8">
        <w:rPr>
          <w:rFonts w:ascii="Times New Roman" w:hAnsi="Times New Roman"/>
          <w:color w:val="000000" w:themeColor="text1"/>
          <w:sz w:val="16"/>
          <w:szCs w:val="16"/>
        </w:rPr>
        <w:softHyphen/>
        <w:t>точечным Bf109G-2 в этих же условиях еще больше - 0,75.</w:t>
      </w:r>
    </w:p>
    <w:p w14:paraId="04635F1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реальных же боевых условиях ре</w:t>
      </w:r>
      <w:r w:rsidRPr="008127F8">
        <w:rPr>
          <w:rFonts w:ascii="Times New Roman" w:hAnsi="Times New Roman"/>
          <w:color w:val="000000" w:themeColor="text1"/>
          <w:sz w:val="16"/>
          <w:szCs w:val="16"/>
        </w:rPr>
        <w:softHyphen/>
        <w:t>зультативность летчиков Люфтваффе была хуже, соответственно и вероятность сбития ИЛ-2 - несколько меньше...</w:t>
      </w:r>
    </w:p>
    <w:p w14:paraId="7342C4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силу огромных потерь от истреби</w:t>
      </w:r>
      <w:r w:rsidRPr="008127F8">
        <w:rPr>
          <w:rFonts w:ascii="Times New Roman" w:hAnsi="Times New Roman"/>
          <w:color w:val="000000" w:themeColor="text1"/>
          <w:sz w:val="16"/>
          <w:szCs w:val="16"/>
        </w:rPr>
        <w:softHyphen/>
        <w:t xml:space="preserve">телей Люфтваффе у летного состава штурмовых авиачастей ВВС КА в это время, как выразился командир 11-й </w:t>
      </w:r>
      <w:r w:rsidRPr="008127F8">
        <w:rPr>
          <w:rFonts w:ascii="Times New Roman" w:hAnsi="Times New Roman"/>
          <w:iCs/>
          <w:color w:val="000000" w:themeColor="text1"/>
          <w:sz w:val="16"/>
          <w:szCs w:val="16"/>
        </w:rPr>
        <w:t>гшад</w:t>
      </w:r>
      <w:r w:rsidRPr="008127F8">
        <w:rPr>
          <w:rFonts w:ascii="Times New Roman" w:hAnsi="Times New Roman"/>
          <w:color w:val="000000" w:themeColor="text1"/>
          <w:sz w:val="16"/>
          <w:szCs w:val="16"/>
        </w:rPr>
        <w:t xml:space="preserve"> п-к А.Г.Наконечников в своем вы</w:t>
      </w:r>
      <w:r w:rsidRPr="008127F8">
        <w:rPr>
          <w:rFonts w:ascii="Times New Roman" w:hAnsi="Times New Roman"/>
          <w:color w:val="000000" w:themeColor="text1"/>
          <w:sz w:val="16"/>
          <w:szCs w:val="16"/>
        </w:rPr>
        <w:softHyphen/>
        <w:t xml:space="preserve">ступлении на конференции по итогам боевого применения Ил-2 в прошедшей войне, </w:t>
      </w:r>
      <w:r w:rsidRPr="008127F8">
        <w:rPr>
          <w:rFonts w:ascii="Times New Roman" w:hAnsi="Times New Roman"/>
          <w:iCs/>
          <w:color w:val="000000" w:themeColor="text1"/>
          <w:sz w:val="16"/>
          <w:szCs w:val="16"/>
        </w:rPr>
        <w:t>"...было такое настроение, что штурмовику драться с истребителями противника вообще невозможно... мол "летчик-штурмовик</w:t>
      </w:r>
      <w:r w:rsidRPr="008127F8">
        <w:rPr>
          <w:rFonts w:ascii="Times New Roman" w:hAnsi="Times New Roman"/>
          <w:color w:val="000000" w:themeColor="text1"/>
          <w:sz w:val="16"/>
          <w:szCs w:val="16"/>
        </w:rPr>
        <w:t xml:space="preserve"> - </w:t>
      </w:r>
      <w:r w:rsidRPr="008127F8">
        <w:rPr>
          <w:rFonts w:ascii="Times New Roman" w:hAnsi="Times New Roman"/>
          <w:iCs/>
          <w:color w:val="000000" w:themeColor="text1"/>
          <w:sz w:val="16"/>
          <w:szCs w:val="16"/>
        </w:rPr>
        <w:t>это смертник", а у некоторых слабых духом, которые боя</w:t>
      </w:r>
      <w:r w:rsidRPr="008127F8">
        <w:rPr>
          <w:rFonts w:ascii="Times New Roman" w:hAnsi="Times New Roman"/>
          <w:iCs/>
          <w:color w:val="000000" w:themeColor="text1"/>
          <w:sz w:val="16"/>
          <w:szCs w:val="16"/>
        </w:rPr>
        <w:softHyphen/>
        <w:t>лись за свою жизнь, появлялась тру</w:t>
      </w:r>
      <w:r w:rsidRPr="008127F8">
        <w:rPr>
          <w:rFonts w:ascii="Times New Roman" w:hAnsi="Times New Roman"/>
          <w:iCs/>
          <w:color w:val="000000" w:themeColor="text1"/>
          <w:sz w:val="16"/>
          <w:szCs w:val="16"/>
        </w:rPr>
        <w:softHyphen/>
        <w:t>сость..."</w:t>
      </w:r>
      <w:r w:rsidRPr="008127F8">
        <w:rPr>
          <w:rFonts w:ascii="Times New Roman" w:hAnsi="Times New Roman"/>
          <w:color w:val="000000" w:themeColor="text1"/>
          <w:sz w:val="16"/>
          <w:szCs w:val="16"/>
        </w:rPr>
        <w:t xml:space="preserve"> По этим причинам </w:t>
      </w:r>
      <w:r w:rsidRPr="008127F8">
        <w:rPr>
          <w:rFonts w:ascii="Times New Roman" w:hAnsi="Times New Roman"/>
          <w:iCs/>
          <w:color w:val="000000" w:themeColor="text1"/>
          <w:sz w:val="16"/>
          <w:szCs w:val="16"/>
        </w:rPr>
        <w:t>"...группы штурмовиков при встрече с истребите</w:t>
      </w:r>
      <w:r w:rsidRPr="008127F8">
        <w:rPr>
          <w:rFonts w:ascii="Times New Roman" w:hAnsi="Times New Roman"/>
          <w:iCs/>
          <w:color w:val="000000" w:themeColor="text1"/>
          <w:sz w:val="16"/>
          <w:szCs w:val="16"/>
        </w:rPr>
        <w:softHyphen/>
        <w:t>лями противника в бой не вступали, а чаще всего по существу бежали с поля боя на бреющей высоте, в результате чего несли колоссальные потери, неред</w:t>
      </w:r>
      <w:r w:rsidRPr="008127F8">
        <w:rPr>
          <w:rFonts w:ascii="Times New Roman" w:hAnsi="Times New Roman"/>
          <w:iCs/>
          <w:color w:val="000000" w:themeColor="text1"/>
          <w:sz w:val="16"/>
          <w:szCs w:val="16"/>
        </w:rPr>
        <w:softHyphen/>
        <w:t>ко теряя полные группы".</w:t>
      </w:r>
    </w:p>
    <w:p w14:paraId="63718F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это действительно было так. Опыт войны убедительно показал, что во всех случаях, когда штурмовики пытались уйти от истребителей, не принимая боя, они всегда несли потери (6467).</w:t>
      </w:r>
    </w:p>
    <w:p w14:paraId="169AC6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C1655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Летом 1942 г. в 233-й </w:t>
      </w:r>
      <w:r w:rsidRPr="008127F8">
        <w:rPr>
          <w:rFonts w:ascii="Times New Roman" w:hAnsi="Times New Roman"/>
          <w:iCs/>
          <w:color w:val="000000" w:themeColor="text1"/>
          <w:sz w:val="16"/>
          <w:szCs w:val="16"/>
        </w:rPr>
        <w:t>шад</w:t>
      </w:r>
      <w:r w:rsidRPr="008127F8">
        <w:rPr>
          <w:rFonts w:ascii="Times New Roman" w:hAnsi="Times New Roman"/>
          <w:color w:val="000000" w:themeColor="text1"/>
          <w:sz w:val="16"/>
          <w:szCs w:val="16"/>
        </w:rPr>
        <w:t xml:space="preserve"> 1-й ВА одноместный Ил-2 был успешно исполь</w:t>
      </w:r>
      <w:r w:rsidRPr="008127F8">
        <w:rPr>
          <w:rFonts w:ascii="Times New Roman" w:hAnsi="Times New Roman"/>
          <w:color w:val="000000" w:themeColor="text1"/>
          <w:sz w:val="16"/>
          <w:szCs w:val="16"/>
        </w:rPr>
        <w:softHyphen/>
        <w:t>зован для транспортировки технического и штабного состава при перебазирова</w:t>
      </w:r>
      <w:r w:rsidRPr="008127F8">
        <w:rPr>
          <w:rFonts w:ascii="Times New Roman" w:hAnsi="Times New Roman"/>
          <w:color w:val="000000" w:themeColor="text1"/>
          <w:sz w:val="16"/>
          <w:szCs w:val="16"/>
        </w:rPr>
        <w:softHyphen/>
        <w:t>нии авиаполков. Ил-2 без каких-либо существенных изменений оказался спо</w:t>
      </w:r>
      <w:r w:rsidRPr="008127F8">
        <w:rPr>
          <w:rFonts w:ascii="Times New Roman" w:hAnsi="Times New Roman"/>
          <w:color w:val="000000" w:themeColor="text1"/>
          <w:sz w:val="16"/>
          <w:szCs w:val="16"/>
        </w:rPr>
        <w:softHyphen/>
        <w:t>собным перебросить 3-4 "пассажиров". Люди размещались в люках шасси и в бомбоотсеках. Шасси в таких полетах, естественно, не убиралось, что несколь</w:t>
      </w:r>
      <w:r w:rsidRPr="008127F8">
        <w:rPr>
          <w:rFonts w:ascii="Times New Roman" w:hAnsi="Times New Roman"/>
          <w:color w:val="000000" w:themeColor="text1"/>
          <w:sz w:val="16"/>
          <w:szCs w:val="16"/>
        </w:rPr>
        <w:softHyphen/>
        <w:t>ко снижало дальность полета. Более того, применялись специальные меры предо</w:t>
      </w:r>
      <w:r w:rsidRPr="008127F8">
        <w:rPr>
          <w:rFonts w:ascii="Times New Roman" w:hAnsi="Times New Roman"/>
          <w:color w:val="000000" w:themeColor="text1"/>
          <w:sz w:val="16"/>
          <w:szCs w:val="16"/>
        </w:rPr>
        <w:softHyphen/>
        <w:t>сторожности, исключающие случайные уборку шасси и открытие створок бомболюков (6367).</w:t>
      </w:r>
    </w:p>
    <w:p w14:paraId="7858EC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688D8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на ЧМ флоте сформировали новый, 36-й МТАП, поначалу также располагавший Ил-4, а весной 1943 г. перевооруженный на "Бостоны". Всего черноморские торпедоносцы выполнили 607 боевых вылетов, в которых израсходовали 276 торпед (2867,31).</w:t>
      </w:r>
    </w:p>
    <w:p w14:paraId="740B3DF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548A6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положение Красной Армии опять ухудшилось. После ее неудачного наступления под Харьковом немцы вновь ринулись на восток. Часть сил АДД задействовали против наступаю</w:t>
      </w:r>
      <w:r w:rsidRPr="008127F8">
        <w:rPr>
          <w:rFonts w:ascii="Times New Roman" w:hAnsi="Times New Roman"/>
          <w:color w:val="000000" w:themeColor="text1"/>
          <w:sz w:val="16"/>
          <w:szCs w:val="16"/>
        </w:rPr>
        <w:softHyphen/>
        <w:t>щих войск противника. Опять стали ле</w:t>
      </w:r>
      <w:r w:rsidRPr="008127F8">
        <w:rPr>
          <w:rFonts w:ascii="Times New Roman" w:hAnsi="Times New Roman"/>
          <w:color w:val="000000" w:themeColor="text1"/>
          <w:sz w:val="16"/>
          <w:szCs w:val="16"/>
        </w:rPr>
        <w:softHyphen/>
        <w:t>тать днем, бомбить с малых высот, раз</w:t>
      </w:r>
      <w:r w:rsidRPr="008127F8">
        <w:rPr>
          <w:rFonts w:ascii="Times New Roman" w:hAnsi="Times New Roman"/>
          <w:color w:val="000000" w:themeColor="text1"/>
          <w:sz w:val="16"/>
          <w:szCs w:val="16"/>
        </w:rPr>
        <w:softHyphen/>
        <w:t>ве что улучшилось прикрытие истреби</w:t>
      </w:r>
      <w:r w:rsidRPr="008127F8">
        <w:rPr>
          <w:rFonts w:ascii="Times New Roman" w:hAnsi="Times New Roman"/>
          <w:color w:val="000000" w:themeColor="text1"/>
          <w:sz w:val="16"/>
          <w:szCs w:val="16"/>
        </w:rPr>
        <w:softHyphen/>
        <w:t>телями. Применяли в основном бомбы ФАБ-ЮОТГА и ЗАБ-100, а также кас</w:t>
      </w:r>
      <w:r w:rsidRPr="008127F8">
        <w:rPr>
          <w:rFonts w:ascii="Times New Roman" w:hAnsi="Times New Roman"/>
          <w:color w:val="000000" w:themeColor="text1"/>
          <w:sz w:val="16"/>
          <w:szCs w:val="16"/>
        </w:rPr>
        <w:softHyphen/>
        <w:t>сеты РРАБ. В последние грузили не только мелкие бомбы, но иногда тер</w:t>
      </w:r>
      <w:r w:rsidRPr="008127F8">
        <w:rPr>
          <w:rFonts w:ascii="Times New Roman" w:hAnsi="Times New Roman"/>
          <w:color w:val="000000" w:themeColor="text1"/>
          <w:sz w:val="16"/>
          <w:szCs w:val="16"/>
        </w:rPr>
        <w:softHyphen/>
        <w:t>митные шары или стеклянные капсулы с самовоспламеняющейся жидкостью КС (тоже шаровой формы). На Сталинградском направлении сначала воевала 50-я дивизия АЛЛ, а затем еще три. Особенностью этих опе</w:t>
      </w:r>
      <w:r w:rsidRPr="008127F8">
        <w:rPr>
          <w:rFonts w:ascii="Times New Roman" w:hAnsi="Times New Roman"/>
          <w:color w:val="000000" w:themeColor="text1"/>
          <w:sz w:val="16"/>
          <w:szCs w:val="16"/>
        </w:rPr>
        <w:softHyphen/>
        <w:t>раций были полеты «на коротком пле</w:t>
      </w:r>
      <w:r w:rsidRPr="008127F8">
        <w:rPr>
          <w:rFonts w:ascii="Times New Roman" w:hAnsi="Times New Roman"/>
          <w:color w:val="000000" w:themeColor="text1"/>
          <w:sz w:val="16"/>
          <w:szCs w:val="16"/>
        </w:rPr>
        <w:softHyphen/>
        <w:t>че» — цели находились непосредствен</w:t>
      </w:r>
      <w:r w:rsidRPr="008127F8">
        <w:rPr>
          <w:rFonts w:ascii="Times New Roman" w:hAnsi="Times New Roman"/>
          <w:color w:val="000000" w:themeColor="text1"/>
          <w:sz w:val="16"/>
          <w:szCs w:val="16"/>
        </w:rPr>
        <w:softHyphen/>
        <w:t>но на передовой, вблизи от аэродромов. Делали по три-пять вылетов подряд (10734,69).</w:t>
      </w:r>
    </w:p>
    <w:p w14:paraId="3C4ED72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A0DA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лета 1942 года ПС-84 стали использовать как ночные бомбардировщики с наружной подвеской 1000 кг бомб. Эта роль становилась все более важной, и в Ташкенте под руководством Голубкова создали несколько усовершенствованных боевых вариантов, из которых серийно строился только Ли-2ПБ с измененными компоновкой кабин и оборудованием. Остальные модификации бомбардировщика, начиная с проекта 1940 года с моторами М-71, так и остались в чертежах или опытных образцах. В частности, в 1943-1944 годах испытывались Ли-2ВП с внутренним размещением бомб (3457,54).</w:t>
      </w:r>
    </w:p>
    <w:p w14:paraId="30EB001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7071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Летом 1942 г. самолет СБ (заводской №4/129) 456-го бомбардировочного авиаполка, базирующегося восточнее озера Байкал под Читой, выполнял тренировочный полет. По причине потери ориентировки и выработки горючего самолет совершил вынужденную посадку в устье таежной реки Укшум. Приземление произошло на заболоченный участок местности, СБ на посадке перевернулся и разломился пополам в районе кабины стрел ка-ради ста. Экипаж в составе сержанта Михаила Волкова (летчик), сержанта Петра Карпова (штурман) и стрелка- радиста (фамилия неизвестна) остался невредим и через трое суток выбрался к ближайшему населенному </w:t>
      </w:r>
      <w:r w:rsidRPr="008127F8">
        <w:rPr>
          <w:rFonts w:ascii="Times New Roman" w:hAnsi="Times New Roman"/>
          <w:color w:val="000000" w:themeColor="text1"/>
          <w:sz w:val="16"/>
          <w:szCs w:val="16"/>
        </w:rPr>
        <w:lastRenderedPageBreak/>
        <w:t>пункту.</w:t>
      </w:r>
    </w:p>
    <w:p w14:paraId="6EC9312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Позднее, к месту вынужденной посадки прибыла ремонтная бригада, которая обследовала самолет. Эвакуировать его по причине удаленности от дорог ремонтники не смогли, поэтому сняли с аварийной машины и позднее эвакуировали лишь часть снаряжения и оборудования. Тогда же местные жители демонтировали с самолета один двигатель М-100, который позднее использовался в качестве электрогенератора в местном хозяйстве.</w:t>
      </w:r>
    </w:p>
    <w:p w14:paraId="376EE9C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Более 40 лет об аварийном самолете не вспоминали, хотя пилоты гражданской авиации знали о его существовании и неоднократно отмечали местонахождение на своих полетных картах.</w:t>
      </w:r>
    </w:p>
    <w:p w14:paraId="350A431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1980 г. во многом благодаря усилиям авиационного энтузиаста Е.А. Коноплева аварийный СБ был эвакуирован. Первоначально, в зимнее время, вертолетами Ми-6 и Ми-8 из состава ВВС самолет по частям доставили в Читу. В апреле 1980 г. на военно- транспортном Ан-22 СБ перевезли в Москву, где его в течение двух лет восстановили на опытном авиазаводе ОКБ им. А.Н.Тупо лева. При этом заново была изготовлена передняя, штурманская кабина, обшивка центроплана, капоты двигателей (сами двигатели М-100 установлены не были). Кроме этого, переделке подверглась средняя часть фюзеляжа в районе разлома, полученного в результате аварии, и законцовка вертикального оперения. Самолет окрасили серебристой краской и нанесли на него стандартные пятиконечные красные звезды советских ВВС.</w:t>
      </w:r>
    </w:p>
    <w:p w14:paraId="65BCA9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14 августа 1980 г. восстановленный СБ торжественно передали в музей Военно- Воздушных сил в Монино, где он находится по сей день.</w:t>
      </w:r>
    </w:p>
    <w:p w14:paraId="11B09C9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Хвостовое оперение самолета N94/129 сохранилось наилучшим образом. Даже стальные расчалки, связывающие стабилизатор с фюзеляжем, натянуты с прежним напряжением. Следов видимых повреждений нет, лишь неведомый обладатель острого ножа срезал часть резины с хвостового колеса</w:t>
      </w:r>
    </w:p>
    <w:p w14:paraId="3F7546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Насколько известно автору, на сегодняшний день фрагменты самолета (или самолетов) СБ имеются в запасниках авиационных музеев в Финляндии (The Finnish national collection). Кроме этого, в последние годы места аварийных посадок нескольких СБ были обнаружены в северной части России и на Дальнем Востоке. При наличии интереса и соответствующем финансировании эти самолеты вполне могут быть использованы для реставрации полноценного музейного образца (12027).</w:t>
      </w:r>
    </w:p>
    <w:p w14:paraId="111E3B9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E11EA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когда сложилась крайне напряженная ситуация под Сталинградом, Ставка ВГК приняла решение переформировать 10 воздушно-десантных корпусов в стрелковые дивизии и направить их на оборону города (3013).</w:t>
      </w:r>
    </w:p>
    <w:p w14:paraId="0A6267E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38E45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37-й БАП, прибывший с Дальнего Востока на аэродром Кратово в Подмосковье, стал первой строевой войсковой частью советских ВВС, приступившей к освоению бомбардировщика В-25 (3198).</w:t>
      </w:r>
    </w:p>
    <w:p w14:paraId="2D9C5B6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6C80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года в 561-м блнжнебомбарднровочный полк, который базировался тогда в Ломопосовке, на берегу Северной Двины, и в котором остались всего три СБ и один У-2, на барже привезли три "Бостона", которые довольно быстро пустили в дело (3457,100).</w:t>
      </w:r>
    </w:p>
    <w:p w14:paraId="779CAD8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397F51" w14:textId="77777777" w:rsidR="00A054E3" w:rsidRPr="008A2E5A" w:rsidRDefault="00A054E3" w:rsidP="00A054E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1942 г. начался сбор денежных средств в Кали</w:t>
      </w:r>
      <w:r w:rsidRPr="008A2E5A">
        <w:rPr>
          <w:rFonts w:ascii="Times New Roman" w:hAnsi="Times New Roman"/>
          <w:color w:val="0070C0"/>
          <w:sz w:val="16"/>
          <w:szCs w:val="16"/>
        </w:rPr>
        <w:softHyphen/>
        <w:t>нинской области (сейчас Тверская область) на построй</w:t>
      </w:r>
      <w:r w:rsidRPr="008A2E5A">
        <w:rPr>
          <w:rFonts w:ascii="Times New Roman" w:hAnsi="Times New Roman"/>
          <w:color w:val="0070C0"/>
          <w:sz w:val="16"/>
          <w:szCs w:val="16"/>
        </w:rPr>
        <w:softHyphen/>
        <w:t>ку эскадрильи самолетов имени Лизы Чайкиной. Иници</w:t>
      </w:r>
      <w:r w:rsidRPr="008A2E5A">
        <w:rPr>
          <w:rFonts w:ascii="Times New Roman" w:hAnsi="Times New Roman"/>
          <w:color w:val="0070C0"/>
          <w:sz w:val="16"/>
          <w:szCs w:val="16"/>
        </w:rPr>
        <w:softHyphen/>
        <w:t>аторами патриотического начинания выступили комсо</w:t>
      </w:r>
      <w:r w:rsidRPr="008A2E5A">
        <w:rPr>
          <w:rFonts w:ascii="Times New Roman" w:hAnsi="Times New Roman"/>
          <w:color w:val="0070C0"/>
          <w:sz w:val="16"/>
          <w:szCs w:val="16"/>
        </w:rPr>
        <w:softHyphen/>
        <w:t>мольские организации Калининского железнодорожно</w:t>
      </w:r>
      <w:r w:rsidRPr="008A2E5A">
        <w:rPr>
          <w:rFonts w:ascii="Times New Roman" w:hAnsi="Times New Roman"/>
          <w:color w:val="0070C0"/>
          <w:sz w:val="16"/>
          <w:szCs w:val="16"/>
        </w:rPr>
        <w:softHyphen/>
        <w:t>го узла, завода резиновой подошвы КРПЗ и областной конторы Госбанка СССР. К ноябрю собрали 5704 тысячи рублей, на которые приобрели для фронта 12 самолетов Як-7Б. Девять из них 2 февраля 1943 г. передали летчи</w:t>
      </w:r>
      <w:r w:rsidRPr="008A2E5A">
        <w:rPr>
          <w:rFonts w:ascii="Times New Roman" w:hAnsi="Times New Roman"/>
          <w:color w:val="0070C0"/>
          <w:sz w:val="16"/>
          <w:szCs w:val="16"/>
        </w:rPr>
        <w:softHyphen/>
        <w:t>кам 1 -й авиаэскадрильи 630-го иап ПВО под командова</w:t>
      </w:r>
      <w:r w:rsidRPr="008A2E5A">
        <w:rPr>
          <w:rFonts w:ascii="Times New Roman" w:hAnsi="Times New Roman"/>
          <w:color w:val="0070C0"/>
          <w:sz w:val="16"/>
          <w:szCs w:val="16"/>
        </w:rPr>
        <w:softHyphen/>
        <w:t>нием майора В.С. Комарова (11+1). Действуя в оператив</w:t>
      </w:r>
      <w:r w:rsidRPr="008A2E5A">
        <w:rPr>
          <w:rFonts w:ascii="Times New Roman" w:hAnsi="Times New Roman"/>
          <w:color w:val="0070C0"/>
          <w:sz w:val="16"/>
          <w:szCs w:val="16"/>
        </w:rPr>
        <w:softHyphen/>
        <w:t>ном подчинении 13-й ВА Ленинградского фронта, летчи</w:t>
      </w:r>
      <w:r w:rsidRPr="008A2E5A">
        <w:rPr>
          <w:rFonts w:ascii="Times New Roman" w:hAnsi="Times New Roman"/>
          <w:color w:val="0070C0"/>
          <w:sz w:val="16"/>
          <w:szCs w:val="16"/>
        </w:rPr>
        <w:softHyphen/>
        <w:t>ки полка с 26 марта по 19 июня 1943 г. уничтожили 49 са</w:t>
      </w:r>
      <w:r w:rsidRPr="008A2E5A">
        <w:rPr>
          <w:rFonts w:ascii="Times New Roman" w:hAnsi="Times New Roman"/>
          <w:color w:val="0070C0"/>
          <w:sz w:val="16"/>
          <w:szCs w:val="16"/>
        </w:rPr>
        <w:softHyphen/>
        <w:t>молетов противника (из них на Як-7Б - шесть) и заслужи</w:t>
      </w:r>
      <w:r w:rsidRPr="008A2E5A">
        <w:rPr>
          <w:rFonts w:ascii="Times New Roman" w:hAnsi="Times New Roman"/>
          <w:color w:val="0070C0"/>
          <w:sz w:val="16"/>
          <w:szCs w:val="16"/>
        </w:rPr>
        <w:softHyphen/>
        <w:t>ли гвардейское звание (9 октября 1943 г. 630-му иап при</w:t>
      </w:r>
      <w:r w:rsidRPr="008A2E5A">
        <w:rPr>
          <w:rFonts w:ascii="Times New Roman" w:hAnsi="Times New Roman"/>
          <w:color w:val="0070C0"/>
          <w:sz w:val="16"/>
          <w:szCs w:val="16"/>
        </w:rPr>
        <w:softHyphen/>
        <w:t>своено наименование 147-го гвардейского иап) (23381).</w:t>
      </w:r>
    </w:p>
    <w:p w14:paraId="6DD61C97" w14:textId="77777777" w:rsidR="00A054E3" w:rsidRPr="008A2E5A" w:rsidRDefault="00A054E3" w:rsidP="00A054E3">
      <w:pPr>
        <w:spacing w:after="0" w:line="240" w:lineRule="auto"/>
        <w:jc w:val="both"/>
        <w:rPr>
          <w:rFonts w:ascii="Times New Roman" w:hAnsi="Times New Roman"/>
          <w:color w:val="0070C0"/>
          <w:sz w:val="16"/>
          <w:szCs w:val="16"/>
        </w:rPr>
      </w:pPr>
    </w:p>
    <w:p w14:paraId="4A13C8B6" w14:textId="77777777" w:rsidR="00A054E3" w:rsidRPr="008A2E5A" w:rsidRDefault="00A054E3" w:rsidP="00A054E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1942 г. Первыми Бе-4 получили ВВС Черноморского флота. Поскольку обстановка на театре боевых действий в это время сложилась такая, что о службе на кораблях не могло быть и речи, все четыре гидросамолета были сведены в отдельное корректировочное звено с базированием в районе Туапсе. Осенью, после того как экипажи освоили свои машины, эта четверка вошла в состав 60-й отдельной авиационной эскадрильи. Затем новыми гидросамолетами была вооружена и 82-я отдельная эскадрилья, базировавшаяся на озеро Палеостоми в Поти. На Черном море Бе-4 использовались исключительно как базовые ближние морские разведчики, систематически просматривая 40-мильную прибрежную полосу и выполняя задачи ПЛО в границах военно-морских баз. Несколько раз в воздухе Бе-4 встречались с немецкими летающими лодками BV-138 и Do-24, однако каких-либо последствий эти столкновения не имели.</w:t>
      </w:r>
    </w:p>
    <w:p w14:paraId="7407D1B2" w14:textId="77777777" w:rsidR="00A054E3" w:rsidRPr="008A2E5A" w:rsidRDefault="00A054E3" w:rsidP="00A054E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Только с изменением общей обстановки на фронтах в нашу пользу Бе-4 появились на борту боевых кораблей. На крейсере «Молотов» по решению ГКО № 4093 от 12 сентября 1943 г. установили модернизированную катапульту ЗК-1 а. В Батуми в августе 1944 г. с нее запускали грузовые макеты — «болванки», а в следующем месяце в Новороссийске начались сдаточные испытания. В акте от 24 октября 1944 г. отмечено, что «катапульта, проверенная многократными стартами самолетов Бе-4 и «Спитфайр», работает отлично и может быть допущена к эксплуатации».</w:t>
      </w:r>
    </w:p>
    <w:p w14:paraId="6B0482DC" w14:textId="77777777" w:rsidR="00A054E3" w:rsidRPr="008A2E5A" w:rsidRDefault="00A054E3" w:rsidP="00A054E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1944 г. на ЧФ была сформирована 24-я отдельная эскадрилья корабельной авиации, в состав которой помимо Бе-4 вошли истребители «Спитфайр» MR.VB. В июле 1945 г. в составе этой эскадрильи насчитывалось 8 Бе-4 (23541).</w:t>
      </w:r>
    </w:p>
    <w:p w14:paraId="271D3306" w14:textId="77777777" w:rsidR="00A054E3" w:rsidRPr="008A2E5A" w:rsidRDefault="00A054E3" w:rsidP="00A054E3">
      <w:pPr>
        <w:spacing w:after="0" w:line="240" w:lineRule="auto"/>
        <w:jc w:val="both"/>
        <w:rPr>
          <w:rFonts w:ascii="Times New Roman" w:hAnsi="Times New Roman"/>
          <w:color w:val="0070C0"/>
          <w:sz w:val="16"/>
          <w:szCs w:val="16"/>
        </w:rPr>
      </w:pPr>
    </w:p>
    <w:p w14:paraId="50B991B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на фронте стали появляться новые немецкие истребители Bf. 109G и FW. 190. Новый "Мессершмитт", имевший лучшую бронезашиту и пять точек вооружения, немецкие пилоты охотнее стали применять для лобовых атак, стараясь взять "Як" в "клещи". Бой на встречных курсах для Як-1 стал невыгоден. Вертикальный маневр у Як-1 был несколько хуже. Противник мог заканчивать фигуры пилотажа на скорости 140-150 км/ч, а наш истребитель - лишь на 150-160 км/ч. По-прежнему лучшими оставались у Як-1 характеристики горизонтального маневра, но на скоростях 300-320 км/ч зайти в хвост Bf. 109G стало труднее. Своих высших показателей при вираже Як-1 стал достигать на скорости 250-260 км/ч. Дальнейшая модернизация Bf. 109G происходила с увеличением его полетного веса, что привело к ухудшению маневренных характеристик самолета. Это быстро выяснилось, и, по мнению фронтовых летчиков, вести с ним бой стало проше, чем с Bf. 109F.</w:t>
      </w:r>
    </w:p>
    <w:p w14:paraId="7A1827E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боях на Юго-Западном фронте за 21 день летчики 434-го иап Героя Советского Союза майора И.И. Клешева на Як-1 выполнили 880 боевых вылетов и 144 воздушных боях сбили 35 самолетов, из которых 10 бомбардировщиков. Свои потери составили четыре "Яка". Сам командир полка за войну сбил 31 машину (16+15). Свой счет победам на Як-1 прославленный летчик открыл на следующий день после перебазирования полка - 13 июня 1942 г. Из других летчиков полка в этот период отличились Захватаев (3+1), И.И. Избинский (3+1), А.Г. Котов (3+1), А.И. Хользунов (3+1). Такая высокая результативность полка была прежде всего связана с мастерством пилотов в него входивших: 434-й иап специально формировался из опытных летчиков. В первом (не отборном) своем составе на самолетах ЛаГГ-3 за семь месяцев с 24 августа 1941 по 12 марта 1942 г. результат был скромнее - 28 сбитых самолетов противника, а свои потери составили 23 самолета и 12 летчиков (12048).</w:t>
      </w:r>
    </w:p>
    <w:p w14:paraId="0BC047A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8A818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на фронте появились Як-7Б с БС (196,12).</w:t>
      </w:r>
    </w:p>
    <w:p w14:paraId="5E96FA8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32F3A9" w14:textId="77777777" w:rsidR="00200A42" w:rsidRPr="008A2E5A" w:rsidRDefault="00200A42" w:rsidP="00200A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1942 г. командующий 3-м воздуш</w:t>
      </w:r>
      <w:r w:rsidRPr="008A2E5A">
        <w:rPr>
          <w:rFonts w:ascii="Times New Roman" w:hAnsi="Times New Roman"/>
          <w:color w:val="0070C0"/>
          <w:sz w:val="16"/>
          <w:szCs w:val="16"/>
        </w:rPr>
        <w:softHyphen/>
        <w:t>ным флотом генерал-фельдмаршал X. Шперрле приказал перевооружить 10-е (истреби</w:t>
      </w:r>
      <w:r w:rsidRPr="008A2E5A">
        <w:rPr>
          <w:rFonts w:ascii="Times New Roman" w:hAnsi="Times New Roman"/>
          <w:color w:val="0070C0"/>
          <w:sz w:val="16"/>
          <w:szCs w:val="16"/>
        </w:rPr>
        <w:softHyphen/>
        <w:t>тельно-бомбардировочные) отряды (они су</w:t>
      </w:r>
      <w:r w:rsidRPr="008A2E5A">
        <w:rPr>
          <w:rFonts w:ascii="Times New Roman" w:hAnsi="Times New Roman"/>
          <w:color w:val="0070C0"/>
          <w:sz w:val="16"/>
          <w:szCs w:val="16"/>
        </w:rPr>
        <w:softHyphen/>
        <w:t>ществовали с марта) истребительных эскадр JG 2 и JG 26 самолетами FW 190A-3/U1 (мно</w:t>
      </w:r>
      <w:r w:rsidRPr="008A2E5A">
        <w:rPr>
          <w:rFonts w:ascii="Times New Roman" w:hAnsi="Times New Roman"/>
          <w:color w:val="0070C0"/>
          <w:sz w:val="16"/>
          <w:szCs w:val="16"/>
        </w:rPr>
        <w:softHyphen/>
        <w:t>гие из них имели моторы BMW 801 С) и A-4/U8. Полное перевооружение с Bf I09F удалось завершить к концу июля; в обоих подразделениях имелось 20—30 «Фокке- Вульфов». Впоследствии истребители-бом</w:t>
      </w:r>
      <w:r w:rsidRPr="008A2E5A">
        <w:rPr>
          <w:rFonts w:ascii="Times New Roman" w:hAnsi="Times New Roman"/>
          <w:color w:val="0070C0"/>
          <w:sz w:val="16"/>
          <w:szCs w:val="16"/>
        </w:rPr>
        <w:softHyphen/>
        <w:t>бардировщики наносили удары по целям, расположенным на южном побережье Анг</w:t>
      </w:r>
      <w:r w:rsidRPr="008A2E5A">
        <w:rPr>
          <w:rFonts w:ascii="Times New Roman" w:hAnsi="Times New Roman"/>
          <w:color w:val="0070C0"/>
          <w:sz w:val="16"/>
          <w:szCs w:val="16"/>
        </w:rPr>
        <w:softHyphen/>
        <w:t>лии, используя принцип «бей и убегай»; бое</w:t>
      </w:r>
      <w:r w:rsidRPr="008A2E5A">
        <w:rPr>
          <w:rFonts w:ascii="Times New Roman" w:hAnsi="Times New Roman"/>
          <w:color w:val="0070C0"/>
          <w:sz w:val="16"/>
          <w:szCs w:val="16"/>
        </w:rPr>
        <w:softHyphen/>
        <w:t>вые потери до конца 1942 г. не превысили дю</w:t>
      </w:r>
      <w:r w:rsidRPr="008A2E5A">
        <w:rPr>
          <w:rFonts w:ascii="Times New Roman" w:hAnsi="Times New Roman"/>
          <w:color w:val="0070C0"/>
          <w:sz w:val="16"/>
          <w:szCs w:val="16"/>
        </w:rPr>
        <w:softHyphen/>
        <w:t>жины машин.</w:t>
      </w:r>
    </w:p>
    <w:p w14:paraId="01BA4F73" w14:textId="77777777" w:rsidR="00200A42" w:rsidRPr="008A2E5A" w:rsidRDefault="00200A42" w:rsidP="00200A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достижения внезапности, скрываясь от радаров, летали на предельно малых вы</w:t>
      </w:r>
      <w:r w:rsidRPr="008A2E5A">
        <w:rPr>
          <w:rFonts w:ascii="Times New Roman" w:hAnsi="Times New Roman"/>
          <w:color w:val="0070C0"/>
          <w:sz w:val="16"/>
          <w:szCs w:val="16"/>
        </w:rPr>
        <w:softHyphen/>
        <w:t>сотах и нередко возвращались со следами ударов о ветки деревьев. Каждый самолет имел по одному подфюзеляжному бомбо</w:t>
      </w:r>
      <w:r w:rsidRPr="008A2E5A">
        <w:rPr>
          <w:rFonts w:ascii="Times New Roman" w:hAnsi="Times New Roman"/>
          <w:color w:val="0070C0"/>
          <w:sz w:val="16"/>
          <w:szCs w:val="16"/>
        </w:rPr>
        <w:softHyphen/>
        <w:t>держателю и был способен доставлять к це</w:t>
      </w:r>
      <w:r w:rsidRPr="008A2E5A">
        <w:rPr>
          <w:rFonts w:ascii="Times New Roman" w:hAnsi="Times New Roman"/>
          <w:color w:val="0070C0"/>
          <w:sz w:val="16"/>
          <w:szCs w:val="16"/>
        </w:rPr>
        <w:softHyphen/>
        <w:t>ли только одну 250- или 500-кг бомбу. Осво</w:t>
      </w:r>
      <w:r w:rsidRPr="008A2E5A">
        <w:rPr>
          <w:rFonts w:ascii="Times New Roman" w:hAnsi="Times New Roman"/>
          <w:color w:val="0070C0"/>
          <w:sz w:val="16"/>
          <w:szCs w:val="16"/>
        </w:rPr>
        <w:softHyphen/>
        <w:t>бодившись от груза, истребители-бомбарди</w:t>
      </w:r>
      <w:r w:rsidRPr="008A2E5A">
        <w:rPr>
          <w:rFonts w:ascii="Times New Roman" w:hAnsi="Times New Roman"/>
          <w:color w:val="0070C0"/>
          <w:sz w:val="16"/>
          <w:szCs w:val="16"/>
        </w:rPr>
        <w:softHyphen/>
        <w:t>ровщики вполне могли постоять за себя в бою с английскими перехватчиками. Нако</w:t>
      </w:r>
      <w:r w:rsidRPr="008A2E5A">
        <w:rPr>
          <w:rFonts w:ascii="Times New Roman" w:hAnsi="Times New Roman"/>
          <w:color w:val="0070C0"/>
          <w:sz w:val="16"/>
          <w:szCs w:val="16"/>
        </w:rPr>
        <w:softHyphen/>
        <w:t>пив положительный опыт нанесения вне</w:t>
      </w:r>
      <w:r w:rsidRPr="008A2E5A">
        <w:rPr>
          <w:rFonts w:ascii="Times New Roman" w:hAnsi="Times New Roman"/>
          <w:color w:val="0070C0"/>
          <w:sz w:val="16"/>
          <w:szCs w:val="16"/>
        </w:rPr>
        <w:softHyphen/>
        <w:t>запных бомбоштурмовых ударов с малых высот, немцы решили развернуть против Англии специальную эскадру — SKGI0 (ко</w:t>
      </w:r>
      <w:r w:rsidRPr="008A2E5A">
        <w:rPr>
          <w:rFonts w:ascii="Times New Roman" w:hAnsi="Times New Roman"/>
          <w:color w:val="0070C0"/>
          <w:sz w:val="16"/>
          <w:szCs w:val="16"/>
        </w:rPr>
        <w:softHyphen/>
        <w:t>мандир майор Г. Тонне), при этом IV группу капитана Г Баумана создали в апреле 1943 г. на основе двух истребительно-бомбардиро</w:t>
      </w:r>
      <w:r w:rsidRPr="008A2E5A">
        <w:rPr>
          <w:rFonts w:ascii="Times New Roman" w:hAnsi="Times New Roman"/>
          <w:color w:val="0070C0"/>
          <w:sz w:val="16"/>
          <w:szCs w:val="16"/>
        </w:rPr>
        <w:softHyphen/>
        <w:t>вочных отрядов эскадр JG2 и JG26. Один из пилотов части впоследствии повторил ошибку' обер-лейтенанта А. Фабера, и у анг</w:t>
      </w:r>
      <w:r w:rsidRPr="008A2E5A">
        <w:rPr>
          <w:rFonts w:ascii="Times New Roman" w:hAnsi="Times New Roman"/>
          <w:color w:val="0070C0"/>
          <w:sz w:val="16"/>
          <w:szCs w:val="16"/>
        </w:rPr>
        <w:softHyphen/>
        <w:t>личан появился второй, опять совершенно исправный «сто девяностый», на этот раз модификации A-4/U8 (24190).</w:t>
      </w:r>
    </w:p>
    <w:p w14:paraId="638692F7" w14:textId="77777777" w:rsidR="00200A42" w:rsidRPr="008A2E5A" w:rsidRDefault="00200A42" w:rsidP="00200A42">
      <w:pPr>
        <w:spacing w:after="0" w:line="240" w:lineRule="auto"/>
        <w:jc w:val="both"/>
        <w:rPr>
          <w:rFonts w:ascii="Times New Roman" w:hAnsi="Times New Roman"/>
          <w:color w:val="0070C0"/>
          <w:sz w:val="16"/>
          <w:szCs w:val="16"/>
        </w:rPr>
      </w:pPr>
    </w:p>
    <w:p w14:paraId="611687A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течение лета 1942 г. на центральном направлении советско-гер</w:t>
      </w:r>
      <w:r w:rsidRPr="008127F8">
        <w:rPr>
          <w:rFonts w:ascii="Times New Roman" w:hAnsi="Times New Roman"/>
          <w:color w:val="000000" w:themeColor="text1"/>
          <w:sz w:val="16"/>
          <w:szCs w:val="16"/>
        </w:rPr>
        <w:softHyphen/>
        <w:t>манского фронта немцы стали использовать специальные высотные разведчики Ю-86Р, оснащенные турбокомпрессорами и герме</w:t>
      </w:r>
      <w:r w:rsidRPr="008127F8">
        <w:rPr>
          <w:rFonts w:ascii="Times New Roman" w:hAnsi="Times New Roman"/>
          <w:color w:val="000000" w:themeColor="text1"/>
          <w:sz w:val="16"/>
          <w:szCs w:val="16"/>
        </w:rPr>
        <w:softHyphen/>
        <w:t>тичными кабинами для экипажа. Неоднократно эти самолеты в ясную погоду показывались над Москвой на высотах 11500—12000 м. Здесь огонь нашей зенит</w:t>
      </w:r>
      <w:r w:rsidRPr="008127F8">
        <w:rPr>
          <w:rFonts w:ascii="Times New Roman" w:hAnsi="Times New Roman"/>
          <w:color w:val="000000" w:themeColor="text1"/>
          <w:sz w:val="16"/>
          <w:szCs w:val="16"/>
        </w:rPr>
        <w:softHyphen/>
        <w:t>ной артиллерии был неэффективен, а вылетавшие на перехват патрули истребителей не могли достигнуть такого потолка (9984).</w:t>
      </w:r>
    </w:p>
    <w:p w14:paraId="385FE83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5D57A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года впервые на Восточном фронте были зафиксированы полеты стратосферного разведчика-бомбардировщика Ju 86R. Самолеты действовали преимущественно на московском направлении, и, хотя они не сбросили на столицу ни одной бомбы, командование авиации ПВО и ГКО забили тревогу, поскольку ни один истребитель, включая МиГ-З, который и по сей день ошибочно считают высотным, не мог перехватить "немца".</w:t>
      </w:r>
    </w:p>
    <w:p w14:paraId="61F9A12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итоге в 1943 году постановлением ГКО №2946 промышленность обязали обеспечить высотными авиамоторами истребительную авиацию 6-й воздушной истребительной армии ПВО Москвы. Но решить эту задачу одним лишь повышением высотности двигателей было невозможно, поскольку параллельно с ней требовалось снизить удельную нагрузку на крыло перехватчика, установить обогрев на оружие и обеспечить если не комфортные, то, во всяком случае, нормальные </w:t>
      </w:r>
      <w:r w:rsidRPr="008127F8">
        <w:rPr>
          <w:rFonts w:ascii="Times New Roman" w:hAnsi="Times New Roman"/>
          <w:color w:val="000000" w:themeColor="text1"/>
          <w:sz w:val="16"/>
          <w:szCs w:val="16"/>
        </w:rPr>
        <w:lastRenderedPageBreak/>
        <w:t>условия работы летчика. Поэтому все попытки поднятия высотности отечественных серийных истребителей МиГ-З, Як-9, Ла-5ФН и Ла-7 не увенчались успехом. В конце августа 1943 года разведывательные полеты Ju 86R над Москвой прекратились, но актуальность проблемы не исчезла. Поэтому работы по созданию высотного перехватчика в ОКБ-115 пошли по двум направлениям, причем ставка делалась на базовый истребитель Як-3.</w:t>
      </w:r>
    </w:p>
    <w:p w14:paraId="40A8211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Первым направлением повышения высотности самолета стало оснащение его высотным двигателем, а второе, позволявшее значительно поднять потолок и скорость, - оснащение машины ускорителем с жидкостно-реактивным двигателем (12047).</w:t>
      </w:r>
    </w:p>
    <w:p w14:paraId="0D09897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EAFFC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МиГ-3 действовали над многими фронтами, но количество истребителей Микояна и Гуревича не превышало двух-трех процентов от общего числа истребителей.</w:t>
      </w:r>
    </w:p>
    <w:p w14:paraId="6F6370E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началу контрнаступления Красной Армии под Сталинградом в ВВС КА имелось 1646 истребителей, из них 27 МиГ-3. Пролеты этих машин отмечались над Карелией, Западным, Северо-Западном и Брянским фронтами. При этом в трех подразделениях 15-й ВА насчитывалось 16 МиГов, из которых лишь четыре являлись боеспособными.</w:t>
      </w:r>
    </w:p>
    <w:p w14:paraId="54F002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 наконец, к лету 1943 г. численный состав истребительной авиации вырос более чем вдвое, но МиГов осталось всего 20. Они заканчивали свою службу в составе ВВС Закавказского фронта и 257-й отдельной авиадивизии, подчинявшейся непосредственно Ставке ВГК (12045).</w:t>
      </w:r>
    </w:p>
    <w:p w14:paraId="16A4555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6A829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в воздушных боях под Сталинградом у немцев появились новые модифицированные истребители Ме-109Г-2 с более мощными моторами ДБ-605А/I и со значительно усиленным стрелково-пушечным вооружением в вариантах: 3 пушки калибра 20 мм и 2 пулемета калибра 7,92 мм (на ударном самолете) и 1 пушка калибра 20 мм и 2 пулемета калибра 7,92 мм (на прикрывающем). Эти истребители имели полное превосходство над нашими Як-1, Як-7, ЛаГГ-3 с форсированными моторами М-105ПФ и поступившем на вооружение ВВС КА Ла-5 с М-82, как по максимальной скорости и вертикальному маневру, так и по мощности огня (5-ти точечный Ме-109Г-2). Истребители противника располагали большим преимуществом в выборе наивыгоднейший позиции для атаки, они меньшей группой сковывали численно превосходящую группу наших истребителей (4092). Летный состав строевых частей, вооруженных истребителями Як-1 и Як-7, считал, что для успешного исхода воздушного боя под Сталинградом на каждый немецкий истребитель необходимо было иметь два истребителя Як (4093) (3573).</w:t>
      </w:r>
    </w:p>
    <w:p w14:paraId="46206C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истребительная авиация Люфтваффе опять ушла вперед, а наша, к сожалению, опять оказалась в положении "отстающей - догоняющей" (3573).</w:t>
      </w:r>
    </w:p>
    <w:p w14:paraId="64F95E7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AABF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по показаниям пленных немецких летчиков на один потерянный в бою Hsl29B-l приходилось около 20 боевых вылетов. И это в условиях полного господства люфтваффе в воздухе. Для сравнения, живучесть советского штурмовика Ил-2 в это же время составляла примерно 15-17 боевых самолето-вылетов на одну потерю (8907).</w:t>
      </w:r>
    </w:p>
    <w:p w14:paraId="2A8510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D3CFC8"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года самолеты Р-10 в составе авиации ЧФ выполняли задачи по поддержке войск, оборонявших Кавказ, активно содействовали 18-й и 47-й армиям и морской пехоте на подступах к Новороссийску и Туапсе. В августе 1942 года с аэродрома в Кемле перевели на Кавказ 23-й штурмовой авиаполк (ШАП), в составе которого имелись три эскадрильи, укомплектованные самолетами Р-10. Вскоре 1-ю и 3-ю АЭ этого полка отправили на Балтику (11456).</w:t>
      </w:r>
    </w:p>
    <w:p w14:paraId="51D70F9C"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p>
    <w:p w14:paraId="427EB95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Летний период 1942 г. характеризовался общим повышением активности сил КБФ в Финском заливе. Стержнем, вокруг которого вертелись события, стало развертывание трех эшелонов наших подводных лодок из Ленинграда и Кронштадта на просторы Балтики, где с осени 1941 г. противник восстановил плавание одиночных неохраняемых судов, так, словно все происходило в мирное время. Немцы и финны ответили на появление подводной угрозы постановкой многочисленных минных полей на двух противолодочных рубежах - Гогландском (простирался на север и на юг от острова Гогланд) и Нарген-Поркалла-уддском (в самом узком месте Финского залива, между эстонским островом Найссар (Нар-ген) и финским полуостровом Поркалла-Удд). За линиями мин несли дозорную службу группы охотников за подводными лодками, на которые в свою очередь охотились немногочисленные торпедные катера и штурмовики Балт-флота. Впрочем, нередко мобилизованные из рыболовных судов вражеские сторожевики и охотники классифицировались нашей воздушной разведкой как транспорты, что породило у нашего командования ощущение интенсивных перевозок в Финском заливе и даже сосредоточения десантных сил на рейдах в Нарвском заливе! (9965).</w:t>
      </w:r>
    </w:p>
    <w:p w14:paraId="129977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96DA7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первые КОР-2 поступили на Черномор</w:t>
      </w:r>
      <w:r w:rsidRPr="008127F8">
        <w:rPr>
          <w:rFonts w:ascii="Times New Roman" w:hAnsi="Times New Roman"/>
          <w:color w:val="000000" w:themeColor="text1"/>
          <w:sz w:val="16"/>
          <w:szCs w:val="16"/>
        </w:rPr>
        <w:softHyphen/>
        <w:t>ский флот, хотя о службе на кораблях и тем более о ката-пультных стартах в этот период не приходилось и помы</w:t>
      </w:r>
      <w:r w:rsidRPr="008127F8">
        <w:rPr>
          <w:rFonts w:ascii="Times New Roman" w:hAnsi="Times New Roman"/>
          <w:color w:val="000000" w:themeColor="text1"/>
          <w:sz w:val="16"/>
          <w:szCs w:val="16"/>
        </w:rPr>
        <w:softHyphen/>
        <w:t>шлять - сложнейшая обстановка этого периода войны привела к единодушному мнению, что катапульты и па</w:t>
      </w:r>
      <w:r w:rsidRPr="008127F8">
        <w:rPr>
          <w:rFonts w:ascii="Times New Roman" w:hAnsi="Times New Roman"/>
          <w:color w:val="000000" w:themeColor="text1"/>
          <w:sz w:val="16"/>
          <w:szCs w:val="16"/>
        </w:rPr>
        <w:softHyphen/>
        <w:t>лубные самолеты являются обузой и сковывают маневр кораблей. Поэтому все хозяйство БЧ-6 сняли до лучших времен (11107).</w:t>
      </w:r>
    </w:p>
    <w:p w14:paraId="4A47773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B497F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новые разведчики КОР-2 первыми поступили на Черноморский флот. Хотя о службе на кораблях и тем более ката</w:t>
      </w:r>
      <w:r w:rsidRPr="008127F8">
        <w:rPr>
          <w:rFonts w:ascii="Times New Roman" w:hAnsi="Times New Roman"/>
          <w:color w:val="000000" w:themeColor="text1"/>
          <w:sz w:val="16"/>
          <w:szCs w:val="16"/>
        </w:rPr>
        <w:softHyphen/>
        <w:t>пультных стартах в этот период не приходи</w:t>
      </w:r>
      <w:r w:rsidRPr="008127F8">
        <w:rPr>
          <w:rFonts w:ascii="Times New Roman" w:hAnsi="Times New Roman"/>
          <w:color w:val="000000" w:themeColor="text1"/>
          <w:sz w:val="16"/>
          <w:szCs w:val="16"/>
        </w:rPr>
        <w:softHyphen/>
        <w:t>лось и помышлять. Сложнейшая обстановка первого периода войны привела к единодуш</w:t>
      </w:r>
      <w:r w:rsidRPr="008127F8">
        <w:rPr>
          <w:rFonts w:ascii="Times New Roman" w:hAnsi="Times New Roman"/>
          <w:color w:val="000000" w:themeColor="text1"/>
          <w:sz w:val="16"/>
          <w:szCs w:val="16"/>
        </w:rPr>
        <w:softHyphen/>
        <w:t>ному мнению, что катапульты и самолеты являются обузой и сковывают маневр кора</w:t>
      </w:r>
      <w:r w:rsidRPr="008127F8">
        <w:rPr>
          <w:rFonts w:ascii="Times New Roman" w:hAnsi="Times New Roman"/>
          <w:color w:val="000000" w:themeColor="text1"/>
          <w:sz w:val="16"/>
          <w:szCs w:val="16"/>
        </w:rPr>
        <w:softHyphen/>
        <w:t>блей. Поэтому все хозяйство БЧ-6 демонти</w:t>
      </w:r>
      <w:r w:rsidRPr="008127F8">
        <w:rPr>
          <w:rFonts w:ascii="Times New Roman" w:hAnsi="Times New Roman"/>
          <w:color w:val="000000" w:themeColor="text1"/>
          <w:sz w:val="16"/>
          <w:szCs w:val="16"/>
        </w:rPr>
        <w:softHyphen/>
        <w:t>ровали и отправили на берегло лучших вре</w:t>
      </w:r>
      <w:r w:rsidRPr="008127F8">
        <w:rPr>
          <w:rFonts w:ascii="Times New Roman" w:hAnsi="Times New Roman"/>
          <w:color w:val="000000" w:themeColor="text1"/>
          <w:sz w:val="16"/>
          <w:szCs w:val="16"/>
        </w:rPr>
        <w:softHyphen/>
        <w:t>мен. В интересах флота в качестве разведчи</w:t>
      </w:r>
      <w:r w:rsidRPr="008127F8">
        <w:rPr>
          <w:rFonts w:ascii="Times New Roman" w:hAnsi="Times New Roman"/>
          <w:color w:val="000000" w:themeColor="text1"/>
          <w:sz w:val="16"/>
          <w:szCs w:val="16"/>
        </w:rPr>
        <w:softHyphen/>
        <w:t>ков в ту пору наиболее активно действовали несколько самолетов МБР-2, которые 18 но</w:t>
      </w:r>
      <w:r w:rsidRPr="008127F8">
        <w:rPr>
          <w:rFonts w:ascii="Times New Roman" w:hAnsi="Times New Roman"/>
          <w:color w:val="000000" w:themeColor="text1"/>
          <w:sz w:val="16"/>
          <w:szCs w:val="16"/>
        </w:rPr>
        <w:softHyphen/>
        <w:t>ября 1941 г. перебазировали в бухту Геленд</w:t>
      </w:r>
      <w:r w:rsidRPr="008127F8">
        <w:rPr>
          <w:rFonts w:ascii="Times New Roman" w:hAnsi="Times New Roman"/>
          <w:color w:val="000000" w:themeColor="text1"/>
          <w:sz w:val="16"/>
          <w:szCs w:val="16"/>
        </w:rPr>
        <w:softHyphen/>
        <w:t>жика, где включили в состав 82-й эскадрильи капитана Чебаника. Четыре КОР-2, прибыв</w:t>
      </w:r>
      <w:r w:rsidRPr="008127F8">
        <w:rPr>
          <w:rFonts w:ascii="Times New Roman" w:hAnsi="Times New Roman"/>
          <w:color w:val="000000" w:themeColor="text1"/>
          <w:sz w:val="16"/>
          <w:szCs w:val="16"/>
        </w:rPr>
        <w:softHyphen/>
        <w:t>шие на Черноморский флот, поначалу опре</w:t>
      </w:r>
      <w:r w:rsidRPr="008127F8">
        <w:rPr>
          <w:rFonts w:ascii="Times New Roman" w:hAnsi="Times New Roman"/>
          <w:color w:val="000000" w:themeColor="text1"/>
          <w:sz w:val="16"/>
          <w:szCs w:val="16"/>
        </w:rPr>
        <w:softHyphen/>
        <w:t>делили в отдельное корректировочное зве</w:t>
      </w:r>
      <w:r w:rsidRPr="008127F8">
        <w:rPr>
          <w:rFonts w:ascii="Times New Roman" w:hAnsi="Times New Roman"/>
          <w:color w:val="000000" w:themeColor="text1"/>
          <w:sz w:val="16"/>
          <w:szCs w:val="16"/>
        </w:rPr>
        <w:softHyphen/>
        <w:t>но с базированием в районе Туапсе. Осенью 1942 г., после того как материальная часть была окончательно освоена экипажами, чет</w:t>
      </w:r>
      <w:r w:rsidRPr="008127F8">
        <w:rPr>
          <w:rFonts w:ascii="Times New Roman" w:hAnsi="Times New Roman"/>
          <w:color w:val="000000" w:themeColor="text1"/>
          <w:sz w:val="16"/>
          <w:szCs w:val="16"/>
        </w:rPr>
        <w:softHyphen/>
        <w:t>верка вошла в состав 60-й эскадрильи и пере</w:t>
      </w:r>
      <w:r w:rsidRPr="008127F8">
        <w:rPr>
          <w:rFonts w:ascii="Times New Roman" w:hAnsi="Times New Roman"/>
          <w:color w:val="000000" w:themeColor="text1"/>
          <w:sz w:val="16"/>
          <w:szCs w:val="16"/>
        </w:rPr>
        <w:softHyphen/>
        <w:t>летела в Поти. Вместе с десятком МБР-2 они использовались в качестве самолетов оборо</w:t>
      </w:r>
      <w:r w:rsidRPr="008127F8">
        <w:rPr>
          <w:rFonts w:ascii="Times New Roman" w:hAnsi="Times New Roman"/>
          <w:color w:val="000000" w:themeColor="text1"/>
          <w:sz w:val="16"/>
          <w:szCs w:val="16"/>
        </w:rPr>
        <w:softHyphen/>
        <w:t>ны военно-морской базы, вели поиск под</w:t>
      </w:r>
      <w:r w:rsidRPr="008127F8">
        <w:rPr>
          <w:rFonts w:ascii="Times New Roman" w:hAnsi="Times New Roman"/>
          <w:color w:val="000000" w:themeColor="text1"/>
          <w:sz w:val="16"/>
          <w:szCs w:val="16"/>
        </w:rPr>
        <w:softHyphen/>
        <w:t>водных лодок и плавучих мин. Неоднократно происходили встречи с немецкими самолета</w:t>
      </w:r>
      <w:r w:rsidRPr="008127F8">
        <w:rPr>
          <w:rFonts w:ascii="Times New Roman" w:hAnsi="Times New Roman"/>
          <w:color w:val="000000" w:themeColor="text1"/>
          <w:sz w:val="16"/>
          <w:szCs w:val="16"/>
        </w:rPr>
        <w:softHyphen/>
        <w:t>ми</w:t>
      </w:r>
      <w:r w:rsidRPr="008127F8">
        <w:rPr>
          <w:rStyle w:val="LucidaSansUnicode"/>
          <w:rFonts w:ascii="Times New Roman" w:hAnsi="Times New Roman"/>
          <w:color w:val="000000" w:themeColor="text1"/>
          <w:spacing w:val="0"/>
          <w:sz w:val="16"/>
          <w:szCs w:val="16"/>
        </w:rPr>
        <w:t xml:space="preserve"> В</w:t>
      </w:r>
      <w:r w:rsidRPr="008127F8">
        <w:rPr>
          <w:rStyle w:val="9pt"/>
          <w:rFonts w:ascii="Times New Roman" w:hAnsi="Times New Roman" w:cs="Times New Roman"/>
          <w:color w:val="000000" w:themeColor="text1"/>
        </w:rPr>
        <w:t>у</w:t>
      </w:r>
      <w:r w:rsidRPr="008127F8">
        <w:rPr>
          <w:rStyle w:val="LucidaSansUnicode"/>
          <w:rFonts w:ascii="Times New Roman" w:hAnsi="Times New Roman"/>
          <w:color w:val="000000" w:themeColor="text1"/>
          <w:spacing w:val="0"/>
          <w:sz w:val="16"/>
          <w:szCs w:val="16"/>
        </w:rPr>
        <w:t>1 38</w:t>
      </w:r>
      <w:r w:rsidRPr="008127F8">
        <w:rPr>
          <w:rFonts w:ascii="Times New Roman" w:hAnsi="Times New Roman"/>
          <w:color w:val="000000" w:themeColor="text1"/>
          <w:sz w:val="16"/>
          <w:szCs w:val="16"/>
        </w:rPr>
        <w:t xml:space="preserve"> и Оо 24, базирующимися в бухтах Севастополя и осуществляющими дальнюю разведку. Увидев КОР-2 впервые, немецкие летчики были весьма заинтригованы и пыта</w:t>
      </w:r>
      <w:r w:rsidRPr="008127F8">
        <w:rPr>
          <w:rFonts w:ascii="Times New Roman" w:hAnsi="Times New Roman"/>
          <w:color w:val="000000" w:themeColor="text1"/>
          <w:sz w:val="16"/>
          <w:szCs w:val="16"/>
        </w:rPr>
        <w:softHyphen/>
        <w:t>лись атаковать необычный самолет. По вос</w:t>
      </w:r>
      <w:r w:rsidRPr="008127F8">
        <w:rPr>
          <w:rFonts w:ascii="Times New Roman" w:hAnsi="Times New Roman"/>
          <w:color w:val="000000" w:themeColor="text1"/>
          <w:sz w:val="16"/>
          <w:szCs w:val="16"/>
        </w:rPr>
        <w:softHyphen/>
        <w:t>поминаниям пилота КОР-2 Александра Еф</w:t>
      </w:r>
      <w:r w:rsidRPr="008127F8">
        <w:rPr>
          <w:rFonts w:ascii="Times New Roman" w:hAnsi="Times New Roman"/>
          <w:color w:val="000000" w:themeColor="text1"/>
          <w:sz w:val="16"/>
          <w:szCs w:val="16"/>
        </w:rPr>
        <w:softHyphen/>
        <w:t>ремова, отмечено до десятка воздушных бо</w:t>
      </w:r>
      <w:r w:rsidRPr="008127F8">
        <w:rPr>
          <w:rFonts w:ascii="Times New Roman" w:hAnsi="Times New Roman"/>
          <w:color w:val="000000" w:themeColor="text1"/>
          <w:sz w:val="16"/>
          <w:szCs w:val="16"/>
        </w:rPr>
        <w:softHyphen/>
        <w:t>ев с немецкими морскими разведчиками, од</w:t>
      </w:r>
      <w:r w:rsidRPr="008127F8">
        <w:rPr>
          <w:rFonts w:ascii="Times New Roman" w:hAnsi="Times New Roman"/>
          <w:color w:val="000000" w:themeColor="text1"/>
          <w:sz w:val="16"/>
          <w:szCs w:val="16"/>
        </w:rPr>
        <w:softHyphen/>
        <w:t>нако, о подробностях или результатах этих столкновений сведения отсутствуют/</w:t>
      </w:r>
    </w:p>
    <w:p w14:paraId="5536168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1944 г. из семи поставленных на Черное море КОР-2 в строю оставалось три экзем</w:t>
      </w:r>
      <w:r w:rsidRPr="008127F8">
        <w:rPr>
          <w:rFonts w:ascii="Times New Roman" w:hAnsi="Times New Roman"/>
          <w:color w:val="000000" w:themeColor="text1"/>
          <w:sz w:val="16"/>
          <w:szCs w:val="16"/>
        </w:rPr>
        <w:softHyphen/>
        <w:t>пляра, которые входили в состав 82-й эска</w:t>
      </w:r>
      <w:r w:rsidRPr="008127F8">
        <w:rPr>
          <w:rFonts w:ascii="Times New Roman" w:hAnsi="Times New Roman"/>
          <w:color w:val="000000" w:themeColor="text1"/>
          <w:sz w:val="16"/>
          <w:szCs w:val="16"/>
        </w:rPr>
        <w:softHyphen/>
        <w:t>дрильи. Именно в этом году началось вос</w:t>
      </w:r>
      <w:r w:rsidRPr="008127F8">
        <w:rPr>
          <w:rFonts w:ascii="Times New Roman" w:hAnsi="Times New Roman"/>
          <w:color w:val="000000" w:themeColor="text1"/>
          <w:sz w:val="16"/>
          <w:szCs w:val="16"/>
        </w:rPr>
        <w:softHyphen/>
        <w:t>становление катапульт и возвращение кора</w:t>
      </w:r>
      <w:r w:rsidRPr="008127F8">
        <w:rPr>
          <w:rFonts w:ascii="Times New Roman" w:hAnsi="Times New Roman"/>
          <w:color w:val="000000" w:themeColor="text1"/>
          <w:sz w:val="16"/>
          <w:szCs w:val="16"/>
        </w:rPr>
        <w:softHyphen/>
        <w:t>бельных разведчиков на корабли (12301).</w:t>
      </w:r>
    </w:p>
    <w:p w14:paraId="170A0272"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60C900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авиапланёрные полки стали участвовать в боевых действиях, доставляя грузы и диверсион</w:t>
      </w:r>
      <w:r w:rsidRPr="008127F8">
        <w:rPr>
          <w:rFonts w:ascii="Times New Roman" w:hAnsi="Times New Roman"/>
          <w:color w:val="000000" w:themeColor="text1"/>
          <w:sz w:val="16"/>
          <w:szCs w:val="16"/>
        </w:rPr>
        <w:softHyphen/>
        <w:t>ные группы к брянским партизанам. Но эти полёты были единичными и не но</w:t>
      </w:r>
      <w:r w:rsidRPr="008127F8">
        <w:rPr>
          <w:rFonts w:ascii="Times New Roman" w:hAnsi="Times New Roman"/>
          <w:color w:val="000000" w:themeColor="text1"/>
          <w:sz w:val="16"/>
          <w:szCs w:val="16"/>
        </w:rPr>
        <w:softHyphen/>
        <w:t>сили систематического характера (12266).</w:t>
      </w:r>
    </w:p>
    <w:p w14:paraId="5AFD3FDE"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08808D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появились отдельные огнеметно-танковые батальоны по 10 КВ и 11 Т-34 (359,181).</w:t>
      </w:r>
    </w:p>
    <w:p w14:paraId="3DC79D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EE8A4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лету 1942 года в войсках практически не осталось САУ ЗИС-30. Часть машин была потеряна в боях, а часть, вышла из строя по техническим причинам (3862).</w:t>
      </w:r>
    </w:p>
    <w:p w14:paraId="333C9EE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A942E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лету 1942 г. ЗИС-30 практически не осталось в вой</w:t>
      </w:r>
      <w:r w:rsidRPr="008127F8">
        <w:rPr>
          <w:rFonts w:ascii="Times New Roman" w:hAnsi="Times New Roman"/>
          <w:color w:val="000000" w:themeColor="text1"/>
          <w:sz w:val="16"/>
          <w:szCs w:val="16"/>
        </w:rPr>
        <w:softHyphen/>
        <w:t>сках. Часть из них была потеряна в боях, а часть вышла из строя по причине поломок (11417).</w:t>
      </w:r>
    </w:p>
    <w:p w14:paraId="7378BE8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334C9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года Т-60 составляли значительную часть боевых машин 1-го танкового корпуса (командир - генерал-майор М.Е.Катуков), совместно с другими соединениями Брянского фронта отражавшего немецкое наступление на Воронежском направлении. В ходе боевых действий корпус Катукова, составлявший единую боевую группу с 16-м танковым корпусом, попал в тяжелое положение (3862).</w:t>
      </w:r>
    </w:p>
    <w:p w14:paraId="1D0E123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DD042C"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Летом 1942 года на советско-германском фронте Valentine впервые пошли в бой. На тот момент в РККА различий между танками, имевшими двуместную и трёхместную башни, не делали. Это не позволяет точно определить боевой путь машин различных модификаций. Подбитые Valentine V, а затем и Valentine III изредка попадаются на фронтовых фотографиях немецких солдат и офицеров, которыми ныне торгуют на интернет-аукционах. Различать между собой эти танки начинают уже с начала 1944 года. Если в случае с Valentine III сложно определить, какая эта модификация, то с Valentine V ситуация иная. Дело в том, что в переписке эти танки очень часто обозначаются как Mk.5, либо Mk.V. В переписке за 1944 год и позже эти машины тоже выделяют отдельно, так же как Valentine VII (Mk.7 или Mk.VII) и Valentine IX (Mk.9 или Mk.XIX) (17702).</w:t>
      </w:r>
    </w:p>
    <w:p w14:paraId="1CF5D711"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1E485AC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серийные броневики приняли участие в боевых действиях на Брянском, Воронежском фронтах и позднее - под Сталинградом (3862).</w:t>
      </w:r>
    </w:p>
    <w:p w14:paraId="58D04A1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B6D8C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при обороне Сталинграда особенно отличились собаки. Так, в 62-й армии спецотряд под командованием майора Кунина уничтожил 42 танка и 2 бронемашины, а спецотряд старшего лейтенанта Шанцева - 21 танк (3861).</w:t>
      </w:r>
    </w:p>
    <w:p w14:paraId="06A7194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8130C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Летом 1942 г. в среднем через Сталинградский речной порт ежедневно проходили около 20 кораблей. Непосредственно перевозка нефтепродуктов в основном осуществлялась предприятием «Волготанкер», располагавшим в тот момент примерно 170 самоходными и несамоходными баржами. Условия судоходства были довольно тяжелыми. Узкий фарватер, сильное течение, наличие крутых поворотов и перекатов, интенсивное движение, все это требовало большого напряжения от </w:t>
      </w:r>
      <w:r w:rsidRPr="008127F8">
        <w:rPr>
          <w:rFonts w:ascii="Times New Roman" w:hAnsi="Times New Roman"/>
          <w:color w:val="000000" w:themeColor="text1"/>
          <w:sz w:val="16"/>
          <w:szCs w:val="16"/>
        </w:rPr>
        <w:lastRenderedPageBreak/>
        <w:t>судовых команд и их капитанов. В 1942 г. кавказская нефть поставлялась в центральные районы СССР только по двум транспортным артериям: нефтеналивными судами по Волге и цистернами по однопутной железной дороге Астрахань – Урбах, проходящей восточнее, по границе Казахстана. Бесперебойное функционирование этих магистралей имело огромное стратегическое значение для страны. Кроме танкеров и нефтебарж, по Волге регулярно ходили пассажирские пароходы, военные транспорты и др. суда различного назначения (11774).</w:t>
      </w:r>
    </w:p>
    <w:p w14:paraId="1E390B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7812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52787FF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D17B0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центр получил из Нью-Йорка шифровку с грифом «срочно» — «особой важности». В телеграмме сообщалось о том, что к агенту-групповоду (руководитель группы агентов) Луису обратился знакомый ученый-атомщик А. Филдинг из Чикагского университета с просьбой вывести его на кого-нибудь из советских людей, работающих в Амторге. При этом Филдинг заявил о том, что он хотел бы передать русским сверхсекретную информацию о начавшихся в США разработках супёроружия и что они должны узнать об этом как можно раньше (Соболев Д. А. Немецкий след в истории советской авиации: Об участии немецких специалистов в развитии авиастроения в СССР. — М.: РИД «Авиантик», 1996. — 128 с.).</w:t>
      </w:r>
    </w:p>
    <w:p w14:paraId="466A592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Одновременно с этим событием важную документальную информацию по проекту «Манхэттен» удалось получить молодому, но уже имевшему хороший опыт оперативной работы по линии научно-технической разведки А. Феклисову.</w:t>
      </w:r>
    </w:p>
    <w:p w14:paraId="78EBB05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года к нему на прием в Генеральное консульство пришел инженер-химик из закупочной комиссии П. Н. Ласточкин, который поведал о своем знакомстве с руководителем инженерной группы «Монти». Эта группа строила химические предприятия в США и за рубежом, в том числе опытный завод в Ок-Ридже, (штат Теннесси), на котором вырабатывался уран-235.</w:t>
      </w:r>
    </w:p>
    <w:p w14:paraId="04D905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 источника Монти была получена подробная информация о секретных работах компании «Кэллекс» по строительству в США опытного завода, на котором практически была отработана технология урана-235 для атомных зарядов. Кроме этого, он сообщил о возведении большого промышленного объекта в Ок-Ридже, на котором получали уран-235 методом газовой диффузии (Соболев Д. А., Хазанов Д. Б. Немецкий след в истории отечественной авиации. — М.: РУСАВИА, 2000. — 336 с.).</w:t>
      </w:r>
    </w:p>
    <w:p w14:paraId="14A658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Информация по атомной бомбе, полученная резидентурой Л. Р. Квасникова, довольно высоко оценивалась И. В. Курчатовым. Он с первых дней признавал, что данные разведки «указывают на технические возможности решения всей проблемы в значительно более короткие сроки, чем думают наши ученые, не знакомые с ходом работ по этой проблеме за границей». Заместитель Курчатова по советскому атомному проекту В. В. Гончаров считал, что «вклад разведки неоспорим, многих тупиков и ошибок удалось избежать». Такого же высокого мнения придерживался и академик А. Ф. Иоффе: «…получаемая нами информация всегда оказывалась точной и большей частью всегда полной, наличие такой информации на много месяцев сокращает объем нашей работы и облегчает выбор направлений, освобождает от длительных поисков. Я не встречал пока ни одного ложного указания…» (11765).</w:t>
      </w:r>
    </w:p>
    <w:p w14:paraId="4C9DB8A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0F70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За рубежом:</w:t>
      </w:r>
    </w:p>
    <w:p w14:paraId="5AD232D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F4634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лета 1942 года Р-38 "Лайтнинг" стали применяться над Европой. Как истребители-бомбардировщики и самолеты дальнего сопровождения они воевали в Средиземноморье (3457,88).</w:t>
      </w:r>
    </w:p>
    <w:p w14:paraId="56907A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BC0C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начались полеты Ме-262 (223,78) и двухмоторного Глостера - Метеора (223,92).</w:t>
      </w:r>
    </w:p>
    <w:p w14:paraId="6C286CE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E79E21"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лета 1942 года  серию пошел Do 217K-1 с кабиной без выступающего фонаря и новейшими моторами BMW 801D (1700 л.с. на взлете и 1440 л.с. на высоте 5700 м). Они позволили поднять бомбовую нагрузку до 4 т и усилить оборону, всего было построено 220 самолетов Do 217K, в т.ч. около 80 носителей управляемого оружия K-2 и -3.</w:t>
      </w:r>
    </w:p>
    <w:p w14:paraId="01AA56B2"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Выпуск Do 217 рос и за 1943 год достиг 848 машин. Но в мае 1944 года были сданы последние пятьдесят Do 217, «Грайф» в серии продержался до осени, когда пришлось резко сократить постройку бомбардировщиков в пользу истребителей: Союзники завоевали полное господство в воздухе не только на всех фронтах, но и над самой Германией. Всего было построено 1959 Do 217, в т.ч. около 1340 серийных бомбардировщиков (22839).</w:t>
      </w:r>
    </w:p>
    <w:p w14:paraId="7ECCA40E"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0BBEB28A"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Летом 1942 года завод «Боинг» в Сиэтле сдал первые В-17F в войска. </w:t>
      </w:r>
    </w:p>
    <w:p w14:paraId="2DD4041E"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Важнейшие системы модели B-17F теперь защищали экраны из броневой стали или твердого алюминиевого сплава, было обновлено оборудование, а штурман получил шикарное остекление носовой кабины, отформованное из больших листов плексигласа так, что долго не теряло идеальной прозрачности. Под центропланом установили еще четыре держателя, увеличив бомбовую нагрузку до 4534 кг, причем на два замка можно было брать фугаски калибра 1814 кг. В консолях поставили дополнительные «баки для Токио», а взлет с большим весом в любую жару облегчили новые воздушные винты с широкими «веслообразными» лопастями, которые имели более высокие КПД и тягу. Взлетная мощность двигателей Райт R-1820-97 была такой же, как и у моторов 65-й серии на В-17Е (1200 л.с.), но на высоте их можно было вывести на кратковременный боевой режим, форсировав до 1380 л.с. Всего внедрили более 400 изменений.</w:t>
      </w:r>
    </w:p>
    <w:p w14:paraId="39AEBE47"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Стоимость серийного самолета возросла до 357655$, в сравнении с 298065 за каждый B-17E. Чтобы догнать по объему заказов конкурентов из фирмы «Консолидейтед», был сформирован пул BVD. Он объединил три сборочных завода на Тихоокеанском побережье США, «Боинг» в Сиэтле, штат Вашингтон, и калифорнийские «Локхид — Вега» в Бербанке и «Дуглас» в городе Лонг-Бич, а также многочисленных поставщиков комплектующих. «Боинг» построил 2300 бомбардировщиков B-17FBO, «Дуглас» сдал 605 серийных B-17F-DL, а «Локхид» ровно пятьсот B-17F-VE.</w:t>
      </w:r>
    </w:p>
    <w:p w14:paraId="7FC6794A"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Англичане отреагировали на появление новой «крепости» вяло, купив лишь 19 машин для авиации Берегового Командования, которые были обозначены «Фортресс» Mk.II. Их не строили специально, а взяли из заказа для USAAF, начав поставки в августе 1942 года (22865).</w:t>
      </w:r>
    </w:p>
    <w:p w14:paraId="7C28015E"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25C96C29"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лета 1942 г. с усилением ночных налетов британских бомбардировщиков, в серию был запущен ночной истребитель Bf-110F-4, получивший пару 30-мм пушек MK-108 в подфюзеляжном обтекателе. Чтобы улучшить управляемость, была увеличена площадь рулей, а также расположение килевых шайб. В том же 1942 г. на машины модификации F-4 стали устанавливать бортовые РЛС FuG 202 «Lichtenstein B/C». Истребители с РЛС обозначались Bf-110F-4a, при этом пушки MG FF заменялись на MG-151 того же калибра. В 1943 г. часть самолетов получила вместо пушек под фюзеляжем те же 30-миллиметровки, но в установке «шраге музик». Такой вариант получил обозначение Bf-110F-4/U1.</w:t>
      </w:r>
    </w:p>
    <w:p w14:paraId="3B4721DC"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Параллельно с возобновлением производства самолетов серий «E» и «F» в серию был запущен новый базовый вариант — Bf-110G с двигателями DB-601B-1 (1475 л.с.). Предсерийные Bf110G-0, кроме двигателей, ничем не отличались от Bf-110F. На выпущенных небольшой серией Bf-110G-1 пушки MG FF заменили на MG-151 и сняли бомбодержатели (22894).</w:t>
      </w:r>
    </w:p>
    <w:p w14:paraId="32EABAE8"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721122C8"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т.е. раньше, чем разведчики, из заводских цехов стали выходить ночные истребители Bf-110G-4, изначально спроектированные для установки на них РЛС FuG 202 «Lichtenstein B/C». Вооружение соответствовало варианту G-2. С этой модификацией применялось несколько «наборов заводской установки»: U-1 — две пушки MK-108 в установке «шраге музик», U-5 — бортовая РЛС FuG 212 «Lichtenstein C-1», U-6 — РЛС дополнялась пеленгатором FuG 221a «Rosendaal-Halbe», U-7 — система форсирования двигателя GM-1 и новая антенна РЛС, U8 — дальний ночной истребитель с установкой на месте стрелка дополнительного 540-л бака (22894).</w:t>
      </w:r>
    </w:p>
    <w:p w14:paraId="16703DF5"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6B0597AC"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лета 1942 г. комплект торпедного вооружения R4 придавался и самолетам Do 217K-1 с новой кабиной с улучшенным обзором, но плохую маневренность изжить не удалось, и этот самолет эксплуатировался в качестве торпедоносца в KG40 недолго. Недостатком Do217 считалось и то, что в отсеке можно было подвесить только одну торпеду. Серийный экземпляр Do217K-1 №21 получил четыре замка ЕТС2000/ХII для торпед LT F5b под крылом, но его маневренность стала еще хуже, и принят он не был (22902).</w:t>
      </w:r>
    </w:p>
    <w:p w14:paraId="5098A01D"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0A43517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года команде Вернера фон Брауна удалось выпустить первые опытные образцы «Большой ракеты».</w:t>
      </w:r>
    </w:p>
    <w:p w14:paraId="5399801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Они были почти на целую тонну тяжелее ракет «А-4», впоследствии запущенных в серийное производство. В законченном виде ракета она выглядела следующим образом.</w:t>
      </w:r>
    </w:p>
    <w:p w14:paraId="42D4239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Общая длина – 14300 мм, наибольший диаметр – 1650 мм, размах стабилизаторов – 3550 мм. Стартовый вес – 12700 кг, вес топлива – 8760 кг.</w:t>
      </w:r>
    </w:p>
    <w:p w14:paraId="5F65150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Ракета «А-4» состояла из четырех отсеков.</w:t>
      </w:r>
    </w:p>
    <w:p w14:paraId="43E516A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Носовая часть представляла собой боевую головку весом около 1 тонны, сделанную из мягкой стали толщиной 6 миллиметров и наполненную аматолом. Выбор этого взрывчатого вещества объяснялся его малой чувствительностью к тепловым и ударным воздействиям.</w:t>
      </w:r>
    </w:p>
    <w:p w14:paraId="46A2950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Ниже боевой головки находился приборный отсек, в котором наряду с аппаратурой помещалось несколько стальных цилиндров со сжатым азотом, применявшимся главным образом для повышения давления в баке с горючим.</w:t>
      </w:r>
    </w:p>
    <w:p w14:paraId="663B11C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Ниже приборного располагался топливный отсек – самая объемистая и тяжелая часть ракеты. При полной заправке на топливный отсек приходилось три четверти веса ракеты. Бак со спиртом помещался наверху; из него через центр бака с кислородом проходил трубопровод, подававший горючее в камеру сгорания. Пространство между топливными баками и внешней оболочкой ракеты, а также полости между обоими баками заполнялись стекловолокном. Заправка ракеты жидким кислородом производилась перед самым пуском, так как потери кислорода за счет испарения составляли 2 кг в минуту. Поэтому даже 20-минутный интервал между заправкой и пуском приводил к потере около 40 кг жидкого кислорода. Это считалось (и считается) допустимым, но более длительная задержка требовала дозаправки бака с кислородом.</w:t>
      </w:r>
    </w:p>
    <w:p w14:paraId="0325743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Самой важной новинкой в этой ракете было наличие турбонасосного агрегата для подачи компонентов топлива. В небольших ракетах проблема подачи жидких топлив в ракетный двигатель решалась путем наддува баков. При этом требуемое давление составляло около 21 атм. В большой же ракете подобная система неприменима. Задача обеспечения давления для подачи топлива в ней может быть выполнена только специальными насосами.</w:t>
      </w:r>
    </w:p>
    <w:p w14:paraId="4EE7CD3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то время построить такой насос казалось почти невозможным, тем более, что он должен был выполнять ряд функций: подавать компоненты топлива, одним из которых являлся сжиженный газ, под давлением порядка 21 атм и перекачивать более 190 литров топлива в секунду. Кроме того, ему следовало быть достаточно простым по конструкции и очень легким, а в довершение всего насос должен был запускаться на полную мощность в течение очень короткого (6 секунд) промежутка времени. Когда фон Браун излагал эти требования персоналу завода, выпускающего насосы, он ожидал возражений и споров. Однако оказалось, что требуемый насос напоминает один из видов центробежного пожарного насоса.</w:t>
      </w:r>
    </w:p>
    <w:p w14:paraId="2DB8F7D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Разумеется, любой насос нуждается в источнике энергии, то есть должен чем-то приводиться в движение. Для этого были использованы концентрированная перекись водорода («Т-Stoff») и раствор перманганата калия («Z-Stoff»), соединяя которые можно было быстро получить определенное количество парогаза постоянной температуры. Агрегат турбонасоса, парогазогенератор для турбины и два небольших бака для перекиси водорода и перманганата калия помещались в одном отсеке с двигательной установкой. Отработанный парогаз, пройдя через турбину, все еще оставался горячим и мог совершить дополнительную работу. Поэтому его направляли в теплообменник, где он нагревал некоторое количество жидкого кислорода. Поступая обратно в бак, этот кислород создавал там небольшой наддув, что несколько облегчало работу турбонасосного агрегата и одновременно предупреждало сплющивание стенок бака, когда он становился пустым. Эту же работу в линии подачи топлива выполнял сжатый азот.</w:t>
      </w:r>
    </w:p>
    <w:p w14:paraId="2C091F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турбонасосного агрегата оба жидких компонента топлива под давлением подавались в двигатель. Кислород поступал непосредственно к 18 форсункам, расположенным в головке двигателя. Спирт, прежде чем попасть к форсункам, проходил через рубашку охлаждения двигателя.</w:t>
      </w:r>
    </w:p>
    <w:p w14:paraId="74FC83B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Для пуска ракета «А-4» устанавливалась на стартовом столе, представлявшем собой массивное стальное кольцо, укрепленное на четырех стойках (Abschu?plattform). Кольцо должно было иметь строго горизонтальное положение, чтобы ракета стояла на столе в вертикальном положении. Ниже стального кольца по оси ракеты находился дефлектор (отражатель) реактивной струи, который представлял собой пирамиду из листовой стали, разбивавшей газовую струю ракетного двигателя в момент старта. Для повышения живучести дефлектора его наполняли водой, поглощавшей часть тепла.</w:t>
      </w:r>
    </w:p>
    <w:p w14:paraId="1655E2F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Заправка ракеты производилась после ее установки на стартовом столе. Все это время электрооборудование ракеты работало от внешнего источника питания, ток от которого подавался по кабелю к разрывному штекеру, удерживаемому в специальном гнезде на корпусе ракеты с помощью электромагнита. Штекер с кабелем отсоединялся от ракеты в момент старта. Воспламенение в ракетном двигателе осуществлялось с помощью простого пиротехнического устройства, вращающегося в горизонтальной плоскости внутри камеры сгорания. Из-за крестообразной формы оно было названо «воспламенительным крестом». Когда двигатель начинал работать, этот «крест» сжигался струей истекающих газов.</w:t>
      </w:r>
    </w:p>
    <w:p w14:paraId="77EFFAE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Запуск ракеты «А-4» осуществлялся в три этапа.</w:t>
      </w:r>
    </w:p>
    <w:p w14:paraId="4C79A1C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Сначала воспламенялось пиротехническое устройство. Когда оно сгорало, открывались клапаны, и спирт и кислород первое время попадали в камеру сгорания только под действием силы тяжести, поскольку баки помещались над двигателем. Немцы называли этот этап «малой» или «предварительной» ступенью пуска.</w:t>
      </w:r>
    </w:p>
    <w:p w14:paraId="7140F15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 «предварительной» ступени двигатель работал с типичным оглушающим шумом, похожим на шум водопада; пламя, разбиваемое пирамидальным дефлектором, разбрасывалось во все стороны на много метров. Тяга составляла около 7 т, и этого, конечно, было недостаточно, чтобы поднять ракету, весящую почти в два раза больше. Но целью «предварительной» ступени являлся не действительный пуск ракеты, а показ того, что двигатель работает нормально.</w:t>
      </w:r>
    </w:p>
    <w:p w14:paraId="6377757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Если двигатель функционировал без перебоев, тут же включался парогазогенератор и начинал работать турбонасосный агрегат, создававший необходимое давление для подачи компонентов топлива в камеру сгорания. Чтобы поднять это давление до уровня, обеспечивающего переход к «главной ступени пуска», требовалось около 3 секунд. За это время резко увеличивалось пламя, вырывающееся из сопла двигателя, нарастал шум, а тяга поднималась с 7 до 27 т, заставляя ракету оторваться от земли.</w:t>
      </w:r>
    </w:p>
    <w:p w14:paraId="78E22E9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Самым критическим периодом считались первые секунды полета, когда скорость была еще небольшой и ракета оказывалась весьма неустойчивой. В это время задачу балансировки ракеты выполняли газовые рули. Затем, когда скорость ракеты возрастала, аэродинамические стабилизаторы помогали газовым рулям, но дальше ракета поднималась на такие высоты, где окружающий воздух был слишком разреженным, и поэтому задача стабилизации ракеты опять ложилась на газовые рули. При вертикальном запуске газовые рули должны были только выравнивать ракету и держать ее в вертикальном положении, но при запуске по цели ракету приходилось еще на активном участке траектории наклонять в направлении цели. В последнем случае ракета оставалась в строго вертикальном положении только в течение первых 4 секунд, затем она наклонялась. Звуковой барьер ракета преодолевала через 25 секунд после старта, еще в период выведения ракеты на заданную траекторию. Этот период заканчивался на 54-й секунде. В течение следующих 8 – 10 секунд ракета продолжала движение по восходящей ветви наклонной и прямолинейной траектории.</w:t>
      </w:r>
    </w:p>
    <w:p w14:paraId="182176C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Главное отличие тяжелых ракет от более ранних проектов заключалось в профиле их полета, поскольку теперь задача состояла в том, чтобы не просто запустить ракету вертикально вверх в атмосферу, а послать ее к наземной цели, удаленной на сотни километров, а для этого был необходим комплекс сложных приборов. При малых габаритах ракеты основное направление полета достигалось просто соответствующим положением пускового стола – так чтобы азимут соответствовал направлению на цель, а затем можно было с помощью гирокомпаса производить небольшие поправки курса. Но обеспечить верный курс баллистической ракеты больших размеров было совершенно иной задачей, поскольку его приходилось запускать из вертикального положения, а затем поворачивать точно в направлении на цель. Угол поворота составлял 41° к горизонту, и в этом положении ракета стабилизировалась в полете. Дальность определялась временем сгорания топлива, а это означало, что момент отключения двигателей должен быть абсолютно точным и мгновенным. Отключение осуществлялось сначала путем радиосигнала с земли, и это было единственным внешним вмешательством, применяемым после того, как совершен запуск (впоследствии и этот момент был автоматизирован).</w:t>
      </w:r>
    </w:p>
    <w:p w14:paraId="56D74F5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Проблемы управления полетом ракеты были наиболее сложными из тех, с которыми пришлось столкнуться команде Вернера фон Брауна. И они были решены с помощью механических компьютеров, которые специально создавались для обсчета сложных баллистических задач. Ниже я еще расскажу об этих компьютерах, а пока вернемся к ракете (11688).</w:t>
      </w:r>
    </w:p>
    <w:p w14:paraId="1D0BB7A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90CBC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1942 г. впервые Харрикейн 110 применили в боях у Бир-Хакейма. Пушки эффективно поражали с малых высот немецкие и итальянские танки и бронеавтомобили. Однако, из-за отсутствия брони или ее недостаточности 110 оказался очень уязвим и со стороны огня с земли, и от истребителей противника. Поэтому, с июля 1942 г. броню нарастили, что подняло взлетный вес до 3935 кг, и в сочетании с большим сопротивлением подкрыльных гондол серьезно ухудшило и скоростные, и маневренные качества самолета. "Харрикейны" IIC летали обычно с сильным истребительным прикрытием. В Европе на IIC летала всего одна эскадрилья, 184-я, в Англии. Она имела на вооружении самолеты с пушками Роллс-Ройс ВР. Она занималась, в основном, охотой за транспортными средствами - автомобилями, поездами, небольшими судами (15129).</w:t>
      </w:r>
    </w:p>
    <w:p w14:paraId="7EE713F1"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01F505A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shd w:val="clear" w:color="auto" w:fill="FFFFFF"/>
        </w:rPr>
        <w:t>С лета 1942 года немцы начали работы над стандартной линейкой дизельных двигателей воздушного охлаждения. Позже они приведут к созданию X-образного 16-цилиндрового танкового дизеля Sla 16 (19677).</w:t>
      </w:r>
    </w:p>
    <w:p w14:paraId="2FE6B04F"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0069B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589A5E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2FB831"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конца лета 1942 г. на заводе № 41 в Москве начали собирать М-11Д. На заводе № 41 имелось свое конструкторское бюро, которым руководил И.А. Мужилов. Таким образом, возникла возможность двух параллельных ветвей эволюции М-11. На первом плане стояло наращивание серийного выпуска. Для этого в 1943 г. М-11Д подвергся значительному упрощению с целью удешевления и ускорения производства - изменили конструкцию головок цилиндров, коленчатого вала, комплектацию агрегатами, сняли пневмопуск. В Москве даже работали над переводом мотора на газ. Собирался ли Мужилов укомплектовать У-2 газогенератором, или хранить уже выработанный газ в баллонах, по документам выяснить не удалось. В первом случае это был бы первый в мире самолет на дровах! (11479).</w:t>
      </w:r>
    </w:p>
    <w:p w14:paraId="02BA0E5D"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p>
    <w:p w14:paraId="36C5C21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5BB441C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4B5F95" w14:textId="77777777" w:rsidR="007C5583" w:rsidRPr="008127F8" w:rsidRDefault="007C5583" w:rsidP="007C5583">
      <w:pPr>
        <w:pStyle w:val="af"/>
        <w:spacing w:before="0" w:after="0"/>
        <w:jc w:val="both"/>
        <w:textAlignment w:val="baseline"/>
        <w:rPr>
          <w:color w:val="000000" w:themeColor="text1"/>
          <w:sz w:val="16"/>
          <w:szCs w:val="16"/>
        </w:rPr>
      </w:pPr>
      <w:r w:rsidRPr="008127F8">
        <w:rPr>
          <w:color w:val="000000" w:themeColor="text1"/>
          <w:sz w:val="16"/>
          <w:szCs w:val="16"/>
        </w:rPr>
        <w:t>Летом и осенью 1942 немецкие самолеты-разведчики регулярно летали над Куйбышевской областью и производили аэрофотосъемку. В самом городе даже объявлялась воздушная тревога. Большинство полетов выполнялось разведывательной авиагруппой при главнокомандующем люфтваффе (Aufkl.Gr.Ob.d.L.) под командованием оберст-лейтенанта Теодора Ровеля, занимавшейся стратегической авиаразведкой (19522).</w:t>
      </w:r>
    </w:p>
    <w:p w14:paraId="3F9EA222" w14:textId="77777777" w:rsidR="007C5583" w:rsidRPr="008127F8" w:rsidRDefault="007C5583" w:rsidP="007C5583">
      <w:pPr>
        <w:pStyle w:val="af"/>
        <w:spacing w:before="0" w:after="0"/>
        <w:jc w:val="both"/>
        <w:textAlignment w:val="baseline"/>
        <w:rPr>
          <w:color w:val="000000" w:themeColor="text1"/>
          <w:sz w:val="16"/>
          <w:szCs w:val="16"/>
        </w:rPr>
      </w:pPr>
    </w:p>
    <w:p w14:paraId="641C8307" w14:textId="77777777" w:rsidR="00200A42" w:rsidRPr="008A2E5A" w:rsidRDefault="00200A42" w:rsidP="00200A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Летом-осенью 1941 г. и весной 1942 г. широкая эксплуатация истребителей Як с полевых аэ</w:t>
      </w:r>
      <w:r w:rsidRPr="008A2E5A">
        <w:rPr>
          <w:rFonts w:ascii="Times New Roman" w:hAnsi="Times New Roman"/>
          <w:color w:val="0070C0"/>
          <w:sz w:val="16"/>
          <w:szCs w:val="16"/>
        </w:rPr>
        <w:softHyphen/>
        <w:t>родромов показала, что пыль, мелкие комья земли и камешки, поднятые струей от винта на разбеге, попадали в воздушный тракт мотора, выводя из сброя крыльчатку нагнетателя, засоряя карбюраторы. Если более крупные предметы задержива</w:t>
      </w:r>
      <w:r w:rsidRPr="008A2E5A">
        <w:rPr>
          <w:rFonts w:ascii="Times New Roman" w:hAnsi="Times New Roman"/>
          <w:color w:val="0070C0"/>
          <w:sz w:val="16"/>
          <w:szCs w:val="16"/>
        </w:rPr>
        <w:softHyphen/>
        <w:t>лись штатной защитной сеткой, установленной в воздухо</w:t>
      </w:r>
      <w:r w:rsidRPr="008A2E5A">
        <w:rPr>
          <w:rFonts w:ascii="Times New Roman" w:hAnsi="Times New Roman"/>
          <w:color w:val="0070C0"/>
          <w:sz w:val="16"/>
          <w:szCs w:val="16"/>
        </w:rPr>
        <w:softHyphen/>
        <w:t>заборниках нагнетателя, то пыль и песок проникали в воз</w:t>
      </w:r>
      <w:r w:rsidRPr="008A2E5A">
        <w:rPr>
          <w:rFonts w:ascii="Times New Roman" w:hAnsi="Times New Roman"/>
          <w:color w:val="0070C0"/>
          <w:sz w:val="16"/>
          <w:szCs w:val="16"/>
        </w:rPr>
        <w:softHyphen/>
        <w:t>душный тракт мотора свободно. Попадание песка и пыли в трущиеся части приводило к повышенному износу дета</w:t>
      </w:r>
      <w:r w:rsidRPr="008A2E5A">
        <w:rPr>
          <w:rFonts w:ascii="Times New Roman" w:hAnsi="Times New Roman"/>
          <w:color w:val="0070C0"/>
          <w:sz w:val="16"/>
          <w:szCs w:val="16"/>
        </w:rPr>
        <w:softHyphen/>
        <w:t>лей поршневой группы и преждевременному выходу мо</w:t>
      </w:r>
      <w:r w:rsidRPr="008A2E5A">
        <w:rPr>
          <w:rFonts w:ascii="Times New Roman" w:hAnsi="Times New Roman"/>
          <w:color w:val="0070C0"/>
          <w:sz w:val="16"/>
          <w:szCs w:val="16"/>
        </w:rPr>
        <w:softHyphen/>
        <w:t>тора из строя. Например, в 45-м иап, эксплуатировав</w:t>
      </w:r>
      <w:r w:rsidRPr="008A2E5A">
        <w:rPr>
          <w:rFonts w:ascii="Times New Roman" w:hAnsi="Times New Roman"/>
          <w:color w:val="0070C0"/>
          <w:sz w:val="16"/>
          <w:szCs w:val="16"/>
        </w:rPr>
        <w:softHyphen/>
        <w:t>шим самолеты Як-1 в условиях пыльных и песчаных аэро</w:t>
      </w:r>
      <w:r w:rsidRPr="008A2E5A">
        <w:rPr>
          <w:rFonts w:ascii="Times New Roman" w:hAnsi="Times New Roman"/>
          <w:color w:val="0070C0"/>
          <w:sz w:val="16"/>
          <w:szCs w:val="16"/>
        </w:rPr>
        <w:softHyphen/>
        <w:t>дромов Закавказья, на 13 моторах, наработавших всего от 7 до 30 часов, по этой причине наблюдались перебои в работе и забрасывание свечей маслом, что потребовало отстранения самолетов от полетов и досрочной замены поршневых колец на моторах этих машин.</w:t>
      </w:r>
    </w:p>
    <w:p w14:paraId="34DB9CDA" w14:textId="77777777" w:rsidR="00200A42" w:rsidRPr="008A2E5A" w:rsidRDefault="00200A42" w:rsidP="00200A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Вопрос об установке защитного фильтра на входе воз</w:t>
      </w:r>
      <w:r w:rsidRPr="008A2E5A">
        <w:rPr>
          <w:rFonts w:ascii="Times New Roman" w:hAnsi="Times New Roman"/>
          <w:color w:val="0070C0"/>
          <w:sz w:val="16"/>
          <w:szCs w:val="16"/>
        </w:rPr>
        <w:softHyphen/>
        <w:t>духа в мотор неоднократно ставился руководством ВВС КА. При этом считалось, что такой фильтр должен стать неотъемлемой частью моторного оборудования и раз</w:t>
      </w:r>
      <w:r w:rsidRPr="008A2E5A">
        <w:rPr>
          <w:rFonts w:ascii="Times New Roman" w:hAnsi="Times New Roman"/>
          <w:color w:val="0070C0"/>
          <w:sz w:val="16"/>
          <w:szCs w:val="16"/>
        </w:rPr>
        <w:softHyphen/>
        <w:t>рабатываться конструкторскими бюро соответствующих моторных заводов. Однако последние не имели для про</w:t>
      </w:r>
      <w:r w:rsidRPr="008A2E5A">
        <w:rPr>
          <w:rFonts w:ascii="Times New Roman" w:hAnsi="Times New Roman"/>
          <w:color w:val="0070C0"/>
          <w:sz w:val="16"/>
          <w:szCs w:val="16"/>
        </w:rPr>
        <w:softHyphen/>
        <w:t>ведения исследований и испытаний, в том числе летных, никакой собственной базы и самолетного парка. Поэтому для повышения длительности и надежности работы ави</w:t>
      </w:r>
      <w:r w:rsidRPr="008A2E5A">
        <w:rPr>
          <w:rFonts w:ascii="Times New Roman" w:hAnsi="Times New Roman"/>
          <w:color w:val="0070C0"/>
          <w:sz w:val="16"/>
          <w:szCs w:val="16"/>
        </w:rPr>
        <w:softHyphen/>
        <w:t>ационных моторов нарком авиационной промышленно</w:t>
      </w:r>
      <w:r w:rsidRPr="008A2E5A">
        <w:rPr>
          <w:rFonts w:ascii="Times New Roman" w:hAnsi="Times New Roman"/>
          <w:color w:val="0070C0"/>
          <w:sz w:val="16"/>
          <w:szCs w:val="16"/>
        </w:rPr>
        <w:softHyphen/>
        <w:t>сти своим приказом №254 от 6 апреля 1942 г. поручил на</w:t>
      </w:r>
      <w:r w:rsidRPr="008A2E5A">
        <w:rPr>
          <w:rFonts w:ascii="Times New Roman" w:hAnsi="Times New Roman"/>
          <w:color w:val="0070C0"/>
          <w:sz w:val="16"/>
          <w:szCs w:val="16"/>
        </w:rPr>
        <w:softHyphen/>
        <w:t>чальнику ЦАГИ С.Н. Шишкину, начальнику филиала ЦИАМ Гудзинскому, и.о. начальника ЛИИ НКАП А.В. Чесалову к 1 мая разработать и испытать для внедрения в серийное производство пылеуловитель для всасывающего патруб</w:t>
      </w:r>
      <w:r w:rsidRPr="008A2E5A">
        <w:rPr>
          <w:rFonts w:ascii="Times New Roman" w:hAnsi="Times New Roman"/>
          <w:color w:val="0070C0"/>
          <w:sz w:val="16"/>
          <w:szCs w:val="16"/>
        </w:rPr>
        <w:softHyphen/>
        <w:t>ка мотора к самолетам Як-1 и Як-7 (23381).</w:t>
      </w:r>
    </w:p>
    <w:p w14:paraId="681D33F4" w14:textId="77777777" w:rsidR="00200A42" w:rsidRPr="008A2E5A" w:rsidRDefault="00200A42" w:rsidP="00200A42">
      <w:pPr>
        <w:spacing w:after="0" w:line="240" w:lineRule="auto"/>
        <w:jc w:val="both"/>
        <w:rPr>
          <w:rFonts w:ascii="Times New Roman" w:hAnsi="Times New Roman"/>
          <w:color w:val="0070C0"/>
          <w:sz w:val="16"/>
          <w:szCs w:val="16"/>
        </w:rPr>
      </w:pPr>
    </w:p>
    <w:p w14:paraId="43BEC55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08A6B13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EA684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Летом-осенью 1942 по согласованию КБ УТЗ и ОГК НКТП на УТЗ им. Сталина были изготовлены и испытаны Т-34 с элементами конструкции Т-43: с трехместной башней, разработанной для Т-43 по типу немецких с командирской башенкой по центру сзади (сделали три варианта), с пятискоростной КПП и внешним механизмом натяжения гусениц конструкции ЧКЗ (7518, 30).</w:t>
      </w:r>
    </w:p>
    <w:p w14:paraId="24AFFE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B42B3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 осенью 1942 г. были проведены испытания Т-70 с новым вооружением и представителями Бронетанкового управления было выска</w:t>
      </w:r>
      <w:r w:rsidRPr="008127F8">
        <w:rPr>
          <w:rFonts w:ascii="Times New Roman" w:hAnsi="Times New Roman"/>
          <w:color w:val="000000" w:themeColor="text1"/>
          <w:sz w:val="16"/>
          <w:szCs w:val="16"/>
        </w:rPr>
        <w:softHyphen/>
        <w:t>зано пожелание об обеспечении возможности ведения огня по зенитным целям. Поэтому в сентябре для обеспечения стрельбы под большими углами возвышения амбразура башни танка была увеличена, в крыше сделан вырез, на орудии предусмотрели установку коллиматорного прицела. Однако танк оказался все же непригодным для ведения зенитного огня, а мощность 37-мм снарядика для обстрела целей в верхних этажах каменных зданий была признана недостаточной, а в январе 1943 г. работы над этой пушкой были прекращены (11135).</w:t>
      </w:r>
    </w:p>
    <w:p w14:paraId="30EA11C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7FE600" w14:textId="77777777" w:rsidR="00200A42" w:rsidRPr="008A2E5A" w:rsidRDefault="00200A42" w:rsidP="00200A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течение лета-осени 1942 года в осажденный Ленинград доставили довольно большое количество 60-к, все выпуска завода №37. В их числе были и те самые машины, которые досдавали в сентябре 1942 года. Основная часть этих танков поступила в состав 61-й танковой бригады, которую сформировали в июле 1942 года. Она стала уникальной: всего в ее состав попало 66 Т-60, а как средство усиления использовался бронебатальон, вооруженный броневиками БА-10М (всего их было 28 штук).</w:t>
      </w:r>
    </w:p>
    <w:p w14:paraId="66A73C87" w14:textId="77777777" w:rsidR="00200A42" w:rsidRPr="008A2E5A" w:rsidRDefault="00200A42" w:rsidP="00200A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Наиболее ярко 61-я танковая бригада показала себя во время проведения операции "Искра" в январе 1943 года. "Малыши", действуя на подхвате, внесли существенный вклад в прорыв блокады Ленинграда. Тогда же свой подвиг совершил самый известный экипаж Т-60 - лейтенант Дмитрий Иванович Осатюк и старшина Иван Михайлович Макаренков. Утром 18 января 1943 года они направились в разведку, им навстречу выдвинулось 3 Pz.Kpw.III из состава 502-го тяжелого танкового батальона, который поддерживал немецкую пехоту. Отчаянно маневрируя, танк Осатюка добрался до своих позиций, заманив немецкие машины в засаду. С этого момента началась череда событий, которая привела к освобождению рабочего поселка №5 и прорыву блокады Ленинграда. После январских боев 61-я танковая бригада стала 30-й гвардейской. Уникальный случай - гвардейская танковая бригада, вооруженная исключительно "малышами". Осатюк и Макаренков были удостоены звания Героев Советского Союза (23355).</w:t>
      </w:r>
    </w:p>
    <w:p w14:paraId="38C9FF87" w14:textId="77777777" w:rsidR="00200A42" w:rsidRPr="008A2E5A" w:rsidRDefault="00200A42" w:rsidP="00200A42">
      <w:pPr>
        <w:spacing w:after="0" w:line="240" w:lineRule="auto"/>
        <w:jc w:val="both"/>
        <w:rPr>
          <w:rFonts w:ascii="Times New Roman" w:hAnsi="Times New Roman"/>
          <w:color w:val="0070C0"/>
          <w:sz w:val="16"/>
          <w:szCs w:val="16"/>
        </w:rPr>
      </w:pPr>
    </w:p>
    <w:p w14:paraId="1EB7E4D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Летом — осенью 1942 года на заводе № 189 собрали 6—9 (по разным данным) броневиков БА-10. Но несмотря на то, что эти машины значились как вновь изготовленные, на са</w:t>
      </w:r>
      <w:r w:rsidRPr="008127F8">
        <w:rPr>
          <w:rFonts w:ascii="Times New Roman" w:hAnsi="Times New Roman"/>
          <w:color w:val="000000" w:themeColor="text1"/>
          <w:sz w:val="16"/>
          <w:szCs w:val="16"/>
        </w:rPr>
        <w:softHyphen/>
        <w:t>мом деле для их сборки использовались разбитые БА-10 с изготовлением недостающих деталей (11284).</w:t>
      </w:r>
    </w:p>
    <w:p w14:paraId="0FD3E4A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F6AF0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68A4B43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A3AA8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второго квартала 1942 23 завод (сейчас им. Хруничева) начал сдачу Ил-4, производство которых началось в марте 1942 и за год поставил 703 (568,27).</w:t>
      </w:r>
    </w:p>
    <w:p w14:paraId="4ED1EE7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B6E50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117D69E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53AD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1942 г. на вооружении штур</w:t>
      </w:r>
      <w:r w:rsidRPr="008127F8">
        <w:rPr>
          <w:rFonts w:ascii="Times New Roman" w:hAnsi="Times New Roman"/>
          <w:color w:val="000000" w:themeColor="text1"/>
          <w:sz w:val="16"/>
          <w:szCs w:val="16"/>
        </w:rPr>
        <w:softHyphen/>
        <w:t>мовых авиачастей появился взрыватель АВ-1ДУ (двойная установка), обеспечи</w:t>
      </w:r>
      <w:r w:rsidRPr="008127F8">
        <w:rPr>
          <w:rFonts w:ascii="Times New Roman" w:hAnsi="Times New Roman"/>
          <w:color w:val="000000" w:themeColor="text1"/>
          <w:sz w:val="16"/>
          <w:szCs w:val="16"/>
        </w:rPr>
        <w:softHyphen/>
        <w:t>вавший замедление в 10 и 22 секунды (6467).</w:t>
      </w:r>
    </w:p>
    <w:p w14:paraId="0C42AC7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DE2FC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1942 И.А.Ларионов предложил конструкцию легкой кумулятивной бомбы. Ил-2 нес 4 кассеты и мог бросать с 25 м. Ларионову рекомендовали уменьшить массу бомбы с 10 до 2.5 (177,420).</w:t>
      </w:r>
    </w:p>
    <w:p w14:paraId="0ADB14F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C052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середины 1942 выпуск Ил-4 составлял до 40 в месяц (556,194).</w:t>
      </w:r>
    </w:p>
    <w:p w14:paraId="1A325AE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1942 в одной из частей да на ДБ-3Ф установили 2 подвесных бака на 650 л, что увеличило дальность на 450-480 км. По этому образцу к маю 1942 заводские бригады и техсостав переоборудовали несколько сот машин (2467,6).</w:t>
      </w:r>
    </w:p>
    <w:p w14:paraId="18D50AC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0B787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1942 было сформулировано предложение по Ил-6. Все сохранялось как на Ил-4, но крейсерская скорость при полете на максимальную дальность увеличивалась на 100 км/ч (5,50) и было более мощное оборонительное вооружение. Предполагалось использовать выхлопные газы М-71 по 2000 л.с. для обогрева передней кромки крыла и оперения (24,217).</w:t>
      </w:r>
    </w:p>
    <w:p w14:paraId="131956F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ТТТ были одобрены ВВС в качестве торпедоносца и топ-мачтового бомбардировщика.</w:t>
      </w:r>
    </w:p>
    <w:p w14:paraId="4E29B3C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Позднее решили оснастить Ил-6 дизелями АЧ-30Б и затем АЧ-30БФ мощностью 1900 л.с. А.Д.Чаромского (24,218) чтобы повысить дальность. Предполагалось, что более экономичные дизели позволят сэкономить топливо и повысить бомбовую нагрузку в два раза. Керосин был безопасней и требовал баки меньшего объема (5,51).</w:t>
      </w:r>
    </w:p>
    <w:p w14:paraId="30E354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3A19F1"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1942 года С.В.И. выступил с предложением о создании нового дальнего бомбардировщика с теми же, что и у Ил-4, дальностью полета и величиной бомбовой загрузки, но со значительно большей (почти на 100 км/ч) крейсерской скоростью при полете на максимальную дальность, с усиленным бортовым оборонительным вооружением и лучшей бронезащитой экипажа. Боевую эффективность бомбардировщика предполагалось повысить также введением в состав экипажа второго пилота и оснащением самолета противообледенительной системой, использующей для обогрева передних кромок крыла и оперения тепло выхлопных газов двух звездообразных двигателей воздушного охлаждения М-71 с взлетной мощностью по 2000 л.с.</w:t>
      </w:r>
    </w:p>
    <w:p w14:paraId="7C01EC9E"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Представители ВВС одобрили проект нового дальнего бомбардировщика, получившего обозначение Ил-6. Однако уже в процессе проектирования было высказано пожелание об увеличении дальности полета самолета и установке на него дизельных двигателей АЧ-30Б, созданных под руководством А.Д. Чаромского. Бомбардировщик Ил-6, внешне сильно напоминающий увеличенный Ил-4, был создан по схеме двухдвигательного низкоплана с обычным однокилевым вертикальным оперением. Его основные размеры, такие как площадь крыла и длина фюзеляжа, были выбраны практически одинаковыми с размерами ранее рассмотренного ильюшинского бомбардировщика ДБ-4. Дизельные двигатели на Ил-6 устанавливались в двух гондолах, в которых были установлены масляные радиаторы. Водяные радиаторы системы охлаждения двигателей располагались в крыльевых туннелях с входом охлаждающего воздуха через носок крыла. Выход из туннеля находился под крылом и регулировался заслонкой с электроуправлением из кабины пилота. Убирающиеся в мотогондолы главные опоры шасси Ил-6 выполнялись по той же конструктивной схеме что и на самолете Ил-4. Топливо размещалось в шести баках, располагавшихся в центроплане и отъемных частях крыла. Суммарная емкость баков – 5935 литров. Двигатели оснащались воздушными винтами диаметром 4,1 метра. Экипаж Ил-6 состоял из шести человек: двух летчиков, располагавшихся в одной кабине рядом, штурмана в носовой кабине, стрелка-радиста и двух воздушных стрелков, находившихся в средней части фюзеляжа. Все члены экипажа имели бронезащиту, общая масса которой на самолете достигала 400 кг. Кабина экипажа оборудовалась обычным для того времени набором пилотажно-навигационных приборов. В распоряжении экипажа имелись радиокомпас и автопилот, мощная приемо-передающая радиостанция РСБ-3бис, аэрофотоаппаратура для контроля результатов бомбометания. Представители ВВС требовали, чтобы оборонительное вооружение бомбардировщика Ил-6 было таким же, как и на немецких самолетах «Хейнкель» Не-111Н-11. Однако в отличие от наружной подвески бомб на Не-111Н-11, самолет Ил-6 должен был нести нормальный груз в 2000 кг из авиабомб большой массы в фюзеляжном бомбоотсеке. В соответствии с этим требованием защита Ил-6 от нападения истребителей противника была очень мощной и осуществлялась с помощью пяти подвижных пушечных установок: носовой, верхней турельной, нижней и двух боковых, установленных на правом и левом бортах фюзеляжа. Каждая оборонительная установка оснащалась одной пушкой Ш-20 калибра 20 мм. На внутренней подвеске в фюзеляжном бомбоотсеке </w:t>
      </w:r>
      <w:r w:rsidRPr="008127F8">
        <w:rPr>
          <w:rFonts w:ascii="Times New Roman" w:hAnsi="Times New Roman"/>
          <w:color w:val="000000" w:themeColor="text1"/>
          <w:sz w:val="16"/>
          <w:szCs w:val="16"/>
        </w:rPr>
        <w:lastRenderedPageBreak/>
        <w:t>Ил-6 размещались 20 бомб массой по 100 кг, или 8 бомб по 250 кг, или 4 бомбы массой по 500 кг. Максимальная масса бомбового груза, находящегося в бомбоотсеке самолета достигала 2500 кг. На наружных бомбодержателях самолет мог нести две бомбы массой по 1000 кг или две торпеды (15223).</w:t>
      </w:r>
    </w:p>
    <w:p w14:paraId="70DF60D5"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4492B9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середине 1942 было изготовлено 180 ДС-3 в ударном варианте, задуманном Сеньковым еще до войны. Потом делали по 40 в месяц. В кабине по левому борту за креслом командира поставили рабочее место ш с прицелом НКПБ-7. На перегородке поставили 2 8-мм бронеплиты 720х440 мм и под ЦП - держатели с ЭСБР на ФАБ-100, а потом - и ФАБ-250/500 - всего до 1000 кг. Иногда - РС. Сначала - 4хШКАС: на носовой неподвижной установке 5Т-275У, верхней - 5Т-259 с МВ-3 (1200 патронов) и двух шкворневых - ШКУ-1 (500) в специальных окнах между шп. 36 и 39. Потом - УБТ. Экипаж - 6 чел. (3772,7).</w:t>
      </w:r>
    </w:p>
    <w:p w14:paraId="4BF2836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A7A78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1942 года завод №22 поставил М-30Б на Пе-8 №42038 (7685).</w:t>
      </w:r>
    </w:p>
    <w:p w14:paraId="07D317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3B3B7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1942 года завод №22 поставил М-30Б на Пе-8 №42038, который поступил в ноябре 1942 года в опытную эксплуатацию в 45-ю дивизию АДД. Самолет прибыл с завода в часть 6 ноября 1942 года и проходил испытания по программе опытной эксплуатации до 6 февраля 1943 года. За этот период было выполнено 35 полетов, из них два полета на боевое задание. За время опытно-боевой эксплуатации по причинам различных дефектов было заменено три двигателя М-ЗОБ. Основные дефекты двигателей были в основном производственно-технологического характера, сопровождавшиеся поломками элементов и агрегатов двигателя. На основе испытаний была дана удовлетворительная оценка работе М-ЗОБ на Пе-8.</w:t>
      </w:r>
    </w:p>
    <w:p w14:paraId="2365036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заключении к акту по испытаниям отмечалось:</w:t>
      </w:r>
    </w:p>
    <w:p w14:paraId="7540183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процессе эксплуатации М-ЗОБ на самолете Пе-8 работал удовлетворительно на всем диапазоне высот до 9000 м.</w:t>
      </w:r>
    </w:p>
    <w:p w14:paraId="36EF31E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Двигатели могут быть рекомендованы в серийное производство для самолета Пе-8.Устранить все дефекты, выявленные в опытной эксплуатации" (12726).</w:t>
      </w:r>
    </w:p>
    <w:p w14:paraId="115B59D8" w14:textId="77777777" w:rsidR="007C5583" w:rsidRPr="008127F8" w:rsidRDefault="007C5583" w:rsidP="007C5583">
      <w:pPr>
        <w:pStyle w:val="af"/>
        <w:spacing w:before="0" w:after="0"/>
        <w:jc w:val="both"/>
        <w:rPr>
          <w:color w:val="000000" w:themeColor="text1"/>
          <w:sz w:val="16"/>
          <w:szCs w:val="16"/>
        </w:rPr>
      </w:pPr>
    </w:p>
    <w:p w14:paraId="789279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1942 г. М-30Б смонтировали на одном Пе-8. В 1942 г. на свободу вышел А.Д. Чаромский, начались работы по "реанимации" авиационных дизелей. После приёма у Сталина бывшему заключённому присвоили звание генерал-майора и дали Сталинскую премию за создание более надёжного дизеля М-ЗОБ (позже АЧ-ЗОБ), на котором турбонаддув дополнили ПЦН. 6 ноября того же года он поступил в опытную эксплуатацию в 45-ю дивизию АДД. Самолёт проходил испытания до 6 февраля 1943 г. За этот период выполнили 35 полётов, два из них - на боевое задание. За время эксплуатации из-за различных дефектов три М-ЗОБ пришлось заменить. Несмотря на это, в заключении к акту по испытаниям отмечалось: "В процессе эксплуатации М-ЗОБ на самолёте Пе-8 работал удовлетворительно на всём диапазоне высот до 9000 м. Двигатели могут быть рекомендованы в серийное производство для самолёта Пе-8".</w:t>
      </w:r>
    </w:p>
    <w:p w14:paraId="265B62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1942 г. завод № 22 выпустил два Пе-8 с двигателями М-ЗОБ. Один самолёт передали АДД, а второй до конца года продолжал проходить испытания на заводе. Последние четыре машины выпуска 1944 г. тоже комплектовались М-ЗОБ, из них два модификации Пе-80Н, описанной далее. Полностью довести М-ЗОБ так и не удалось, и боевое применение машин с ними было эпизодическим (11966).</w:t>
      </w:r>
    </w:p>
    <w:p w14:paraId="1AECB1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5A7180"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1942 года был достроен ТБ-7 №42038, на который установили четыре М-30Б. После заводских испытаний 6 ноября 1942 года его сдали в опытную эксплуатацию в 45-ю дивизию АДД, где экипаж летчика Лисачева сделал 35 полетов, в т.ч. два боевых. По бумагам М-30Б работали нормально до потолка 9000 м, но за это время пришлось поменять три дизеля. В 1942 году построили еще два ТБ-7 с М-30Б, но улучшенные дизели строились пока поштучно (22871).</w:t>
      </w:r>
    </w:p>
    <w:p w14:paraId="79C0FA83"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7B576A93" w14:textId="77777777" w:rsidR="007C5583" w:rsidRPr="008127F8" w:rsidRDefault="007C5583" w:rsidP="007C5583">
      <w:pPr>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1942 года коллектив КБ завода № 289 приступил к эс</w:t>
      </w:r>
      <w:r w:rsidRPr="008127F8">
        <w:rPr>
          <w:rFonts w:ascii="Times New Roman" w:hAnsi="Times New Roman"/>
          <w:color w:val="000000" w:themeColor="text1"/>
          <w:sz w:val="16"/>
          <w:szCs w:val="16"/>
        </w:rPr>
        <w:softHyphen/>
        <w:t>кизному проектированию дальнего ночного бомбардировщика с дви</w:t>
      </w:r>
      <w:r w:rsidRPr="008127F8">
        <w:rPr>
          <w:rFonts w:ascii="Times New Roman" w:hAnsi="Times New Roman"/>
          <w:color w:val="000000" w:themeColor="text1"/>
          <w:sz w:val="16"/>
          <w:szCs w:val="16"/>
        </w:rPr>
        <w:softHyphen/>
        <w:t>гателем АМ-37. В сентябре работа была завершена. При проектиро</w:t>
      </w:r>
      <w:r w:rsidRPr="008127F8">
        <w:rPr>
          <w:rFonts w:ascii="Times New Roman" w:hAnsi="Times New Roman"/>
          <w:color w:val="000000" w:themeColor="text1"/>
          <w:sz w:val="16"/>
          <w:szCs w:val="16"/>
        </w:rPr>
        <w:softHyphen/>
        <w:t>вании ДБ-АМ-37 конструкторы ста</w:t>
      </w:r>
      <w:r w:rsidRPr="008127F8">
        <w:rPr>
          <w:rFonts w:ascii="Times New Roman" w:hAnsi="Times New Roman"/>
          <w:color w:val="000000" w:themeColor="text1"/>
          <w:sz w:val="16"/>
          <w:szCs w:val="16"/>
        </w:rPr>
        <w:softHyphen/>
        <w:t>вили перед собой задачу создать экономичный, простой в производ</w:t>
      </w:r>
      <w:r w:rsidRPr="008127F8">
        <w:rPr>
          <w:rFonts w:ascii="Times New Roman" w:hAnsi="Times New Roman"/>
          <w:color w:val="000000" w:themeColor="text1"/>
          <w:sz w:val="16"/>
          <w:szCs w:val="16"/>
        </w:rPr>
        <w:softHyphen/>
        <w:t>стве дальний бомбардировщик с летными характеристиками, близки</w:t>
      </w:r>
      <w:r w:rsidRPr="008127F8">
        <w:rPr>
          <w:rFonts w:ascii="Times New Roman" w:hAnsi="Times New Roman"/>
          <w:color w:val="000000" w:themeColor="text1"/>
          <w:sz w:val="16"/>
          <w:szCs w:val="16"/>
        </w:rPr>
        <w:softHyphen/>
        <w:t>ми к характеристикам самолета ТБ-7 (Пе-8). По мнению проектантов при сравнении этих двух самолетов, самолет ДБ-АМ-37 обладал явным преимуществом, т.к. «...для пере</w:t>
      </w:r>
      <w:r w:rsidRPr="008127F8">
        <w:rPr>
          <w:rFonts w:ascii="Times New Roman" w:hAnsi="Times New Roman"/>
          <w:color w:val="000000" w:themeColor="text1"/>
          <w:sz w:val="16"/>
          <w:szCs w:val="16"/>
        </w:rPr>
        <w:softHyphen/>
        <w:t>броски при равных скоростях оди</w:t>
      </w:r>
      <w:r w:rsidRPr="008127F8">
        <w:rPr>
          <w:rFonts w:ascii="Times New Roman" w:hAnsi="Times New Roman"/>
          <w:color w:val="000000" w:themeColor="text1"/>
          <w:sz w:val="16"/>
          <w:szCs w:val="16"/>
        </w:rPr>
        <w:softHyphen/>
        <w:t>накового груза на равные рас</w:t>
      </w:r>
      <w:r w:rsidRPr="008127F8">
        <w:rPr>
          <w:rFonts w:ascii="Times New Roman" w:hAnsi="Times New Roman"/>
          <w:color w:val="000000" w:themeColor="text1"/>
          <w:sz w:val="16"/>
          <w:szCs w:val="16"/>
        </w:rPr>
        <w:softHyphen/>
        <w:t>стояния, самолет ДБ потребует в 4 раза меньше моторов и горючего и в 2-2,5 раза меньше членов эки</w:t>
      </w:r>
      <w:r w:rsidRPr="008127F8">
        <w:rPr>
          <w:rFonts w:ascii="Times New Roman" w:hAnsi="Times New Roman"/>
          <w:color w:val="000000" w:themeColor="text1"/>
          <w:sz w:val="16"/>
          <w:szCs w:val="16"/>
        </w:rPr>
        <w:softHyphen/>
        <w:t>пажа. Кроме того, для изготовле</w:t>
      </w:r>
      <w:r w:rsidRPr="008127F8">
        <w:rPr>
          <w:rFonts w:ascii="Times New Roman" w:hAnsi="Times New Roman"/>
          <w:color w:val="000000" w:themeColor="text1"/>
          <w:sz w:val="16"/>
          <w:szCs w:val="16"/>
        </w:rPr>
        <w:softHyphen/>
        <w:t>ния самолета ДБ на заводе будет требоваться в 15-20 раз меньше дюраля и в 4-5 раз меньшая трудо</w:t>
      </w:r>
      <w:r w:rsidRPr="008127F8">
        <w:rPr>
          <w:rFonts w:ascii="Times New Roman" w:hAnsi="Times New Roman"/>
          <w:color w:val="000000" w:themeColor="text1"/>
          <w:sz w:val="16"/>
          <w:szCs w:val="16"/>
        </w:rPr>
        <w:softHyphen/>
        <w:t>емкость...»</w:t>
      </w:r>
    </w:p>
    <w:p w14:paraId="63A07453"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Согласно эскизному проекту самолет ДБ-АМ-37 представлял со</w:t>
      </w:r>
      <w:r w:rsidRPr="008127F8">
        <w:rPr>
          <w:rFonts w:ascii="Times New Roman" w:hAnsi="Times New Roman"/>
          <w:color w:val="000000" w:themeColor="text1"/>
          <w:sz w:val="16"/>
          <w:szCs w:val="16"/>
        </w:rPr>
        <w:softHyphen/>
        <w:t>бой одномоторный трехместный свободнонесущий среднеплан с однокилевым хвостовым оперением и убирающимся шасси.</w:t>
      </w:r>
    </w:p>
    <w:p w14:paraId="1D9B75C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Фюзеляж технологически делил</w:t>
      </w:r>
      <w:r w:rsidRPr="008127F8">
        <w:rPr>
          <w:rFonts w:ascii="Times New Roman" w:hAnsi="Times New Roman"/>
          <w:color w:val="000000" w:themeColor="text1"/>
          <w:sz w:val="16"/>
          <w:szCs w:val="16"/>
        </w:rPr>
        <w:softHyphen/>
        <w:t>ся на две части: кабину пилота и штурмана и основную часть фюзе</w:t>
      </w:r>
      <w:r w:rsidRPr="008127F8">
        <w:rPr>
          <w:rFonts w:ascii="Times New Roman" w:hAnsi="Times New Roman"/>
          <w:color w:val="000000" w:themeColor="text1"/>
          <w:sz w:val="16"/>
          <w:szCs w:val="16"/>
        </w:rPr>
        <w:softHyphen/>
        <w:t>ляжа:</w:t>
      </w:r>
    </w:p>
    <w:p w14:paraId="70026D7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кабина пилота и штурмана была выполнена целиком из бро</w:t>
      </w:r>
      <w:r w:rsidRPr="008127F8">
        <w:rPr>
          <w:rFonts w:ascii="Times New Roman" w:hAnsi="Times New Roman"/>
          <w:color w:val="000000" w:themeColor="text1"/>
          <w:sz w:val="16"/>
          <w:szCs w:val="16"/>
        </w:rPr>
        <w:softHyphen/>
        <w:t>невой стали толщиной 1,5 мм и крепилась к основной части фюзе</w:t>
      </w:r>
      <w:r w:rsidRPr="008127F8">
        <w:rPr>
          <w:rFonts w:ascii="Times New Roman" w:hAnsi="Times New Roman"/>
          <w:color w:val="000000" w:themeColor="text1"/>
          <w:sz w:val="16"/>
          <w:szCs w:val="16"/>
        </w:rPr>
        <w:softHyphen/>
        <w:t>ляжа при помощи стыковых узлов;</w:t>
      </w:r>
    </w:p>
    <w:p w14:paraId="282F73E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основная часть фюзеляжа представляла собой монокок дере</w:t>
      </w:r>
      <w:r w:rsidRPr="008127F8">
        <w:rPr>
          <w:rFonts w:ascii="Times New Roman" w:hAnsi="Times New Roman"/>
          <w:color w:val="000000" w:themeColor="text1"/>
          <w:sz w:val="16"/>
          <w:szCs w:val="16"/>
        </w:rPr>
        <w:softHyphen/>
        <w:t>вянной конструкции. Спереди, ввер</w:t>
      </w:r>
      <w:r w:rsidRPr="008127F8">
        <w:rPr>
          <w:rFonts w:ascii="Times New Roman" w:hAnsi="Times New Roman"/>
          <w:color w:val="000000" w:themeColor="text1"/>
          <w:sz w:val="16"/>
          <w:szCs w:val="16"/>
        </w:rPr>
        <w:softHyphen/>
        <w:t>ху располагалась турель УТК-1. В нижней части под крылом - бомбовый отсек. Над бомбовым отсеком размещался стальной сварной бен</w:t>
      </w:r>
      <w:r w:rsidRPr="008127F8">
        <w:rPr>
          <w:rFonts w:ascii="Times New Roman" w:hAnsi="Times New Roman"/>
          <w:color w:val="000000" w:themeColor="text1"/>
          <w:sz w:val="16"/>
          <w:szCs w:val="16"/>
        </w:rPr>
        <w:softHyphen/>
        <w:t>зиновый бак. В задней части фюзеляжа помещался стрелок, обслуживаюший люковой установкой размещалось различное управление, а также оборудование.</w:t>
      </w:r>
    </w:p>
    <w:p w14:paraId="3F7F66B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Крыло - двухлонжеронное, тра</w:t>
      </w:r>
      <w:r w:rsidRPr="008127F8">
        <w:rPr>
          <w:rFonts w:ascii="Times New Roman" w:hAnsi="Times New Roman"/>
          <w:color w:val="000000" w:themeColor="text1"/>
          <w:sz w:val="16"/>
          <w:szCs w:val="16"/>
        </w:rPr>
        <w:softHyphen/>
        <w:t>пециевидной формы в плане состо</w:t>
      </w:r>
      <w:r w:rsidRPr="008127F8">
        <w:rPr>
          <w:rFonts w:ascii="Times New Roman" w:hAnsi="Times New Roman"/>
          <w:color w:val="000000" w:themeColor="text1"/>
          <w:sz w:val="16"/>
          <w:szCs w:val="16"/>
        </w:rPr>
        <w:softHyphen/>
        <w:t>яло из двух отъемных консолей, сты</w:t>
      </w:r>
      <w:r w:rsidRPr="008127F8">
        <w:rPr>
          <w:rFonts w:ascii="Times New Roman" w:hAnsi="Times New Roman"/>
          <w:color w:val="000000" w:themeColor="text1"/>
          <w:sz w:val="16"/>
          <w:szCs w:val="16"/>
        </w:rPr>
        <w:softHyphen/>
        <w:t>кующихся с узлами на фюзеляже. Передний лонжерон коробчатой конструкции с полками из клееного березового шпона и фанерными стенками. Задний лонжерон с пол</w:t>
      </w:r>
      <w:r w:rsidRPr="008127F8">
        <w:rPr>
          <w:rFonts w:ascii="Times New Roman" w:hAnsi="Times New Roman"/>
          <w:color w:val="000000" w:themeColor="text1"/>
          <w:sz w:val="16"/>
          <w:szCs w:val="16"/>
        </w:rPr>
        <w:softHyphen/>
        <w:t>ками из сосны и фанерными стен</w:t>
      </w:r>
      <w:r w:rsidRPr="008127F8">
        <w:rPr>
          <w:rFonts w:ascii="Times New Roman" w:hAnsi="Times New Roman"/>
          <w:color w:val="000000" w:themeColor="text1"/>
          <w:sz w:val="16"/>
          <w:szCs w:val="16"/>
        </w:rPr>
        <w:softHyphen/>
        <w:t>ками. Нервюры - деревянной конструкции, за исключением бортовой и второй нервюры (в зоне крепле</w:t>
      </w:r>
      <w:r w:rsidRPr="008127F8">
        <w:rPr>
          <w:rFonts w:ascii="Times New Roman" w:hAnsi="Times New Roman"/>
          <w:color w:val="000000" w:themeColor="text1"/>
          <w:sz w:val="16"/>
          <w:szCs w:val="16"/>
        </w:rPr>
        <w:softHyphen/>
        <w:t>ния шасси). Обшивка из фанеры. В носке крыла и между лонжеронами располагались бензобаки (по два в каждой консоли) сварной конст</w:t>
      </w:r>
      <w:r w:rsidRPr="008127F8">
        <w:rPr>
          <w:rFonts w:ascii="Times New Roman" w:hAnsi="Times New Roman"/>
          <w:color w:val="000000" w:themeColor="text1"/>
          <w:sz w:val="16"/>
          <w:szCs w:val="16"/>
        </w:rPr>
        <w:softHyphen/>
        <w:t>рукции из броневой стали, толщи</w:t>
      </w:r>
      <w:r w:rsidRPr="008127F8">
        <w:rPr>
          <w:rFonts w:ascii="Times New Roman" w:hAnsi="Times New Roman"/>
          <w:color w:val="000000" w:themeColor="text1"/>
          <w:sz w:val="16"/>
          <w:szCs w:val="16"/>
        </w:rPr>
        <w:softHyphen/>
        <w:t>ной 1,5 мм. Носковый бак и нижняя панель межлонжеронного бака были включены в силовую схему крыла. Механизация крыла включала элероны и посадочные щитки типа «Шренк». Каркас элеронов и посадочные щитки выполнены из дюраля. Элероны обтянуты полот</w:t>
      </w:r>
      <w:r w:rsidRPr="008127F8">
        <w:rPr>
          <w:rFonts w:ascii="Times New Roman" w:hAnsi="Times New Roman"/>
          <w:color w:val="000000" w:themeColor="text1"/>
          <w:sz w:val="16"/>
          <w:szCs w:val="16"/>
        </w:rPr>
        <w:softHyphen/>
        <w:t>ном. На правом элероне имелся триммер.</w:t>
      </w:r>
    </w:p>
    <w:p w14:paraId="1594AB5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Хвостовое оперение состояло из киля и стабилизатора деревянной конструкции с обшивкой из фане</w:t>
      </w:r>
      <w:r w:rsidRPr="008127F8">
        <w:rPr>
          <w:rFonts w:ascii="Times New Roman" w:hAnsi="Times New Roman"/>
          <w:color w:val="000000" w:themeColor="text1"/>
          <w:sz w:val="16"/>
          <w:szCs w:val="16"/>
        </w:rPr>
        <w:softHyphen/>
        <w:t>ры. Каркасы рулей выполнены из дюралюминия с полотняной обшив</w:t>
      </w:r>
      <w:r w:rsidRPr="008127F8">
        <w:rPr>
          <w:rFonts w:ascii="Times New Roman" w:hAnsi="Times New Roman"/>
          <w:color w:val="000000" w:themeColor="text1"/>
          <w:sz w:val="16"/>
          <w:szCs w:val="16"/>
        </w:rPr>
        <w:softHyphen/>
        <w:t>кой. Рули имели весовую и аэроди</w:t>
      </w:r>
      <w:r w:rsidRPr="008127F8">
        <w:rPr>
          <w:rFonts w:ascii="Times New Roman" w:hAnsi="Times New Roman"/>
          <w:color w:val="000000" w:themeColor="text1"/>
          <w:sz w:val="16"/>
          <w:szCs w:val="16"/>
        </w:rPr>
        <w:softHyphen/>
        <w:t>намическую компенсацию и были снабжены триммерами.</w:t>
      </w:r>
    </w:p>
    <w:p w14:paraId="037CE95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Шасси - трехколесное с хвос</w:t>
      </w:r>
      <w:r w:rsidRPr="008127F8">
        <w:rPr>
          <w:rFonts w:ascii="Times New Roman" w:hAnsi="Times New Roman"/>
          <w:color w:val="000000" w:themeColor="text1"/>
          <w:sz w:val="16"/>
          <w:szCs w:val="16"/>
        </w:rPr>
        <w:softHyphen/>
        <w:t>товым колесом. Основные опоры убирались по потоку в специальные обтекатели на крыле, а колеса с поворотом на 90° - в ниши крыла. Хвостовая опора с колесом убира</w:t>
      </w:r>
      <w:r w:rsidRPr="008127F8">
        <w:rPr>
          <w:rFonts w:ascii="Times New Roman" w:hAnsi="Times New Roman"/>
          <w:color w:val="000000" w:themeColor="text1"/>
          <w:sz w:val="16"/>
          <w:szCs w:val="16"/>
        </w:rPr>
        <w:softHyphen/>
        <w:t>лась в фюзеляж. Уборка и выпуск шасси и посадочных щитков осу</w:t>
      </w:r>
      <w:r w:rsidRPr="008127F8">
        <w:rPr>
          <w:rFonts w:ascii="Times New Roman" w:hAnsi="Times New Roman"/>
          <w:color w:val="000000" w:themeColor="text1"/>
          <w:sz w:val="16"/>
          <w:szCs w:val="16"/>
        </w:rPr>
        <w:softHyphen/>
        <w:t>ществлялась при помощи гидроси</w:t>
      </w:r>
      <w:r w:rsidRPr="008127F8">
        <w:rPr>
          <w:rFonts w:ascii="Times New Roman" w:hAnsi="Times New Roman"/>
          <w:color w:val="000000" w:themeColor="text1"/>
          <w:sz w:val="16"/>
          <w:szCs w:val="16"/>
        </w:rPr>
        <w:softHyphen/>
        <w:t>стемы. Источник давления - элект</w:t>
      </w:r>
      <w:r w:rsidRPr="008127F8">
        <w:rPr>
          <w:rFonts w:ascii="Times New Roman" w:hAnsi="Times New Roman"/>
          <w:color w:val="000000" w:themeColor="text1"/>
          <w:sz w:val="16"/>
          <w:szCs w:val="16"/>
        </w:rPr>
        <w:softHyphen/>
        <w:t>роприводной гидронасос.</w:t>
      </w:r>
    </w:p>
    <w:p w14:paraId="6A0F865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Система управления самолетом - жесткого типа.</w:t>
      </w:r>
    </w:p>
    <w:p w14:paraId="70A0AC9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Поршневой двигатель жидкостно</w:t>
      </w:r>
      <w:r w:rsidRPr="008127F8">
        <w:rPr>
          <w:rFonts w:ascii="Times New Roman" w:hAnsi="Times New Roman"/>
          <w:color w:val="000000" w:themeColor="text1"/>
          <w:sz w:val="16"/>
          <w:szCs w:val="16"/>
        </w:rPr>
        <w:softHyphen/>
        <w:t>го охлаждения АМ-37 (1400 л.с.) с воздушным винтом изменяемого шага монтировался на стальной мотораме сварной конструкции, крепящейся к узлам кабины. Двига</w:t>
      </w:r>
      <w:r w:rsidRPr="008127F8">
        <w:rPr>
          <w:rFonts w:ascii="Times New Roman" w:hAnsi="Times New Roman"/>
          <w:color w:val="000000" w:themeColor="text1"/>
          <w:sz w:val="16"/>
          <w:szCs w:val="16"/>
        </w:rPr>
        <w:softHyphen/>
        <w:t>тель закрывался капотом, нижними створками которого служили броневые листы толщиной 1,5 мм. Мас-лорадиатор помещался под двига</w:t>
      </w:r>
      <w:r w:rsidRPr="008127F8">
        <w:rPr>
          <w:rFonts w:ascii="Times New Roman" w:hAnsi="Times New Roman"/>
          <w:color w:val="000000" w:themeColor="text1"/>
          <w:sz w:val="16"/>
          <w:szCs w:val="16"/>
        </w:rPr>
        <w:softHyphen/>
        <w:t>телем, а радиатор системы охлаж</w:t>
      </w:r>
      <w:r w:rsidRPr="008127F8">
        <w:rPr>
          <w:rFonts w:ascii="Times New Roman" w:hAnsi="Times New Roman"/>
          <w:color w:val="000000" w:themeColor="text1"/>
          <w:sz w:val="16"/>
          <w:szCs w:val="16"/>
        </w:rPr>
        <w:softHyphen/>
        <w:t>дения двигателя - в носке корне</w:t>
      </w:r>
      <w:r w:rsidRPr="008127F8">
        <w:rPr>
          <w:rFonts w:ascii="Times New Roman" w:hAnsi="Times New Roman"/>
          <w:color w:val="000000" w:themeColor="text1"/>
          <w:sz w:val="16"/>
          <w:szCs w:val="16"/>
        </w:rPr>
        <w:softHyphen/>
        <w:t>вой части правой консоли крыла.</w:t>
      </w:r>
    </w:p>
    <w:p w14:paraId="5F0ADF0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Стрелковое вооружение - вер</w:t>
      </w:r>
      <w:r w:rsidRPr="008127F8">
        <w:rPr>
          <w:rFonts w:ascii="Times New Roman" w:hAnsi="Times New Roman"/>
          <w:color w:val="000000" w:themeColor="text1"/>
          <w:sz w:val="16"/>
          <w:szCs w:val="16"/>
        </w:rPr>
        <w:softHyphen/>
        <w:t>хняя турель УТК-1 с пулеметом ка</w:t>
      </w:r>
      <w:r w:rsidRPr="008127F8">
        <w:rPr>
          <w:rFonts w:ascii="Times New Roman" w:hAnsi="Times New Roman"/>
          <w:color w:val="000000" w:themeColor="text1"/>
          <w:sz w:val="16"/>
          <w:szCs w:val="16"/>
        </w:rPr>
        <w:softHyphen/>
        <w:t>либра 12,7 мм и боекомплектом 200 патронов обслуживалась штурма</w:t>
      </w:r>
      <w:r w:rsidRPr="008127F8">
        <w:rPr>
          <w:rFonts w:ascii="Times New Roman" w:hAnsi="Times New Roman"/>
          <w:color w:val="000000" w:themeColor="text1"/>
          <w:sz w:val="16"/>
          <w:szCs w:val="16"/>
        </w:rPr>
        <w:softHyphen/>
        <w:t>ном. Люковая установка с пулеме</w:t>
      </w:r>
      <w:r w:rsidRPr="008127F8">
        <w:rPr>
          <w:rFonts w:ascii="Times New Roman" w:hAnsi="Times New Roman"/>
          <w:color w:val="000000" w:themeColor="text1"/>
          <w:sz w:val="16"/>
          <w:szCs w:val="16"/>
        </w:rPr>
        <w:softHyphen/>
        <w:t>том калибра 12,7 мм и боекомплек</w:t>
      </w:r>
      <w:r w:rsidRPr="008127F8">
        <w:rPr>
          <w:rFonts w:ascii="Times New Roman" w:hAnsi="Times New Roman"/>
          <w:color w:val="000000" w:themeColor="text1"/>
          <w:sz w:val="16"/>
          <w:szCs w:val="16"/>
        </w:rPr>
        <w:softHyphen/>
        <w:t>том 200 патронов обслуживалась стрелком.</w:t>
      </w:r>
    </w:p>
    <w:p w14:paraId="3F1BAB4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Бомбовое вооружение разме</w:t>
      </w:r>
      <w:r w:rsidRPr="008127F8">
        <w:rPr>
          <w:rFonts w:ascii="Times New Roman" w:hAnsi="Times New Roman"/>
          <w:color w:val="000000" w:themeColor="text1"/>
          <w:sz w:val="16"/>
          <w:szCs w:val="16"/>
        </w:rPr>
        <w:softHyphen/>
        <w:t>щалось в бомбоотсеке. Нормаль</w:t>
      </w:r>
      <w:r w:rsidRPr="008127F8">
        <w:rPr>
          <w:rFonts w:ascii="Times New Roman" w:hAnsi="Times New Roman"/>
          <w:color w:val="000000" w:themeColor="text1"/>
          <w:sz w:val="16"/>
          <w:szCs w:val="16"/>
        </w:rPr>
        <w:softHyphen/>
        <w:t>ная бомбовая нагрузка - 1000 кг, в перегрузочном варианте - 2000 кг.</w:t>
      </w:r>
    </w:p>
    <w:p w14:paraId="2387579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Экипаж состоял из трех человек: летчика, штурмана-стрелка-радис</w:t>
      </w:r>
      <w:r w:rsidRPr="008127F8">
        <w:rPr>
          <w:rFonts w:ascii="Times New Roman" w:hAnsi="Times New Roman"/>
          <w:color w:val="000000" w:themeColor="text1"/>
          <w:sz w:val="16"/>
          <w:szCs w:val="16"/>
        </w:rPr>
        <w:softHyphen/>
        <w:t>та, стрелка.</w:t>
      </w:r>
    </w:p>
    <w:p w14:paraId="1A37A1D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Бронирование экипажа, мотора, масло-водорадиаторов и бензоба</w:t>
      </w:r>
      <w:r w:rsidRPr="008127F8">
        <w:rPr>
          <w:rFonts w:ascii="Times New Roman" w:hAnsi="Times New Roman"/>
          <w:color w:val="000000" w:themeColor="text1"/>
          <w:sz w:val="16"/>
          <w:szCs w:val="16"/>
        </w:rPr>
        <w:softHyphen/>
        <w:t>ков обеспечивало защиту от оскол</w:t>
      </w:r>
      <w:r w:rsidRPr="008127F8">
        <w:rPr>
          <w:rFonts w:ascii="Times New Roman" w:hAnsi="Times New Roman"/>
          <w:color w:val="000000" w:themeColor="text1"/>
          <w:sz w:val="16"/>
          <w:szCs w:val="16"/>
        </w:rPr>
        <w:softHyphen/>
        <w:t>ков зенитных снарядов. Кроме того, для защиты сзади от крупнокали</w:t>
      </w:r>
      <w:r w:rsidRPr="008127F8">
        <w:rPr>
          <w:rFonts w:ascii="Times New Roman" w:hAnsi="Times New Roman"/>
          <w:color w:val="000000" w:themeColor="text1"/>
          <w:sz w:val="16"/>
          <w:szCs w:val="16"/>
        </w:rPr>
        <w:softHyphen/>
        <w:t>берного оружия летчик и штурман имели бронеспинки толщиной 15 мм, а стрелок люковой установки -бронеплиту толщиной 15 мм.</w:t>
      </w:r>
    </w:p>
    <w:p w14:paraId="6349274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Эскизный проект дальнего ноч</w:t>
      </w:r>
      <w:r w:rsidRPr="008127F8">
        <w:rPr>
          <w:rFonts w:ascii="Times New Roman" w:hAnsi="Times New Roman"/>
          <w:color w:val="000000" w:themeColor="text1"/>
          <w:sz w:val="16"/>
          <w:szCs w:val="16"/>
        </w:rPr>
        <w:softHyphen/>
        <w:t>ного бомбардировщика ДБ с АМ-37 был рассмотрен в НИИ ВВС КА. В Заключении, утвержденном глав</w:t>
      </w:r>
      <w:r w:rsidRPr="008127F8">
        <w:rPr>
          <w:rFonts w:ascii="Times New Roman" w:hAnsi="Times New Roman"/>
          <w:color w:val="000000" w:themeColor="text1"/>
          <w:sz w:val="16"/>
          <w:szCs w:val="16"/>
        </w:rPr>
        <w:softHyphen/>
        <w:t>ным инженером ВВС 21.10.42 г., от</w:t>
      </w:r>
      <w:r w:rsidRPr="008127F8">
        <w:rPr>
          <w:rFonts w:ascii="Times New Roman" w:hAnsi="Times New Roman"/>
          <w:color w:val="000000" w:themeColor="text1"/>
          <w:sz w:val="16"/>
          <w:szCs w:val="16"/>
        </w:rPr>
        <w:softHyphen/>
        <w:t>мечалось, что предъявленный эскиз</w:t>
      </w:r>
      <w:r w:rsidRPr="008127F8">
        <w:rPr>
          <w:rFonts w:ascii="Times New Roman" w:hAnsi="Times New Roman"/>
          <w:color w:val="000000" w:themeColor="text1"/>
          <w:sz w:val="16"/>
          <w:szCs w:val="16"/>
        </w:rPr>
        <w:softHyphen/>
        <w:t>ный проект: «...утвержден быть не может, по следующим причинам:</w:t>
      </w:r>
    </w:p>
    <w:p w14:paraId="087484A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Одномоторная схема само</w:t>
      </w:r>
      <w:r w:rsidRPr="008127F8">
        <w:rPr>
          <w:rFonts w:ascii="Times New Roman" w:hAnsi="Times New Roman"/>
          <w:color w:val="000000" w:themeColor="text1"/>
          <w:sz w:val="16"/>
          <w:szCs w:val="16"/>
        </w:rPr>
        <w:softHyphen/>
        <w:t>лета дальнего действия, из условий надежности и безопасности поле</w:t>
      </w:r>
      <w:r w:rsidRPr="008127F8">
        <w:rPr>
          <w:rFonts w:ascii="Times New Roman" w:hAnsi="Times New Roman"/>
          <w:color w:val="000000" w:themeColor="text1"/>
          <w:sz w:val="16"/>
          <w:szCs w:val="16"/>
        </w:rPr>
        <w:softHyphen/>
        <w:t>та нецелесообразна.</w:t>
      </w:r>
    </w:p>
    <w:p w14:paraId="79125E9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На самолете автор проекта предполагает установить мотор АМ-37. Мотор с производства снят, в широкой эксплуатации не прове</w:t>
      </w:r>
      <w:r w:rsidRPr="008127F8">
        <w:rPr>
          <w:rFonts w:ascii="Times New Roman" w:hAnsi="Times New Roman"/>
          <w:color w:val="000000" w:themeColor="text1"/>
          <w:sz w:val="16"/>
          <w:szCs w:val="16"/>
        </w:rPr>
        <w:softHyphen/>
        <w:t>рен и имеет ряд существенных де</w:t>
      </w:r>
      <w:r w:rsidRPr="008127F8">
        <w:rPr>
          <w:rFonts w:ascii="Times New Roman" w:hAnsi="Times New Roman"/>
          <w:color w:val="000000" w:themeColor="text1"/>
          <w:sz w:val="16"/>
          <w:szCs w:val="16"/>
        </w:rPr>
        <w:softHyphen/>
        <w:t>фектов.</w:t>
      </w:r>
    </w:p>
    <w:p w14:paraId="50C4028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Взлетные свойства самолета (тем более, ночного) неудовлетво</w:t>
      </w:r>
      <w:r w:rsidRPr="008127F8">
        <w:rPr>
          <w:rFonts w:ascii="Times New Roman" w:hAnsi="Times New Roman"/>
          <w:color w:val="000000" w:themeColor="text1"/>
          <w:sz w:val="16"/>
          <w:szCs w:val="16"/>
        </w:rPr>
        <w:softHyphen/>
        <w:t>рительные. (Разбег 1030 м в нор</w:t>
      </w:r>
      <w:r w:rsidRPr="008127F8">
        <w:rPr>
          <w:rFonts w:ascii="Times New Roman" w:hAnsi="Times New Roman"/>
          <w:color w:val="000000" w:themeColor="text1"/>
          <w:sz w:val="16"/>
          <w:szCs w:val="16"/>
        </w:rPr>
        <w:softHyphen/>
        <w:t>мальном варианте).</w:t>
      </w:r>
    </w:p>
    <w:p w14:paraId="0AA2B58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Размещение и количество эки</w:t>
      </w:r>
      <w:r w:rsidRPr="008127F8">
        <w:rPr>
          <w:rFonts w:ascii="Times New Roman" w:hAnsi="Times New Roman"/>
          <w:color w:val="000000" w:themeColor="text1"/>
          <w:sz w:val="16"/>
          <w:szCs w:val="16"/>
        </w:rPr>
        <w:softHyphen/>
        <w:t>пажа не обеспечит нормальное выполнение боевого задания:</w:t>
      </w:r>
    </w:p>
    <w:p w14:paraId="1F1A37B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одному летчику физически трудно производить полет ночью в течение 10 часов на высоте 6000 -8000 м;</w:t>
      </w:r>
    </w:p>
    <w:p w14:paraId="4BD801C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штурман не сможет выполнять обязанности^, навигатора, бомбар</w:t>
      </w:r>
      <w:r w:rsidRPr="008127F8">
        <w:rPr>
          <w:rFonts w:ascii="Times New Roman" w:hAnsi="Times New Roman"/>
          <w:color w:val="000000" w:themeColor="text1"/>
          <w:sz w:val="16"/>
          <w:szCs w:val="16"/>
        </w:rPr>
        <w:softHyphen/>
        <w:t>дира и стрелка-радиста, тем более, что рабочие места его располо</w:t>
      </w:r>
      <w:r w:rsidRPr="008127F8">
        <w:rPr>
          <w:rFonts w:ascii="Times New Roman" w:hAnsi="Times New Roman"/>
          <w:color w:val="000000" w:themeColor="text1"/>
          <w:sz w:val="16"/>
          <w:szCs w:val="16"/>
        </w:rPr>
        <w:softHyphen/>
        <w:t>жены в разных кабинах».</w:t>
      </w:r>
    </w:p>
    <w:p w14:paraId="38C9262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в Заключение по эскизному проекту ДБ-АМ-37 были включены замечания консультанта НИИ ВВС КА генерал-майора ИАС В.С.Пышнова:</w:t>
      </w:r>
    </w:p>
    <w:p w14:paraId="17C89CF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«Желание построить бомбар</w:t>
      </w:r>
      <w:r w:rsidRPr="008127F8">
        <w:rPr>
          <w:rFonts w:ascii="Times New Roman" w:hAnsi="Times New Roman"/>
          <w:color w:val="000000" w:themeColor="text1"/>
          <w:sz w:val="16"/>
          <w:szCs w:val="16"/>
        </w:rPr>
        <w:softHyphen/>
        <w:t>дировщик с большой производитель</w:t>
      </w:r>
      <w:r w:rsidRPr="008127F8">
        <w:rPr>
          <w:rFonts w:ascii="Times New Roman" w:hAnsi="Times New Roman"/>
          <w:color w:val="000000" w:themeColor="text1"/>
          <w:sz w:val="16"/>
          <w:szCs w:val="16"/>
        </w:rPr>
        <w:softHyphen/>
        <w:t>ностью, т.е. хорошим соотношени</w:t>
      </w:r>
      <w:r w:rsidRPr="008127F8">
        <w:rPr>
          <w:rFonts w:ascii="Times New Roman" w:hAnsi="Times New Roman"/>
          <w:color w:val="000000" w:themeColor="text1"/>
          <w:sz w:val="16"/>
          <w:szCs w:val="16"/>
        </w:rPr>
        <w:softHyphen/>
        <w:t>ем между весом бомб и расходом горючего, заслуживает одобрения. Однако в этом деле не следует очень увлекаться. Улучшение про</w:t>
      </w:r>
      <w:r w:rsidRPr="008127F8">
        <w:rPr>
          <w:rFonts w:ascii="Times New Roman" w:hAnsi="Times New Roman"/>
          <w:color w:val="000000" w:themeColor="text1"/>
          <w:sz w:val="16"/>
          <w:szCs w:val="16"/>
        </w:rPr>
        <w:softHyphen/>
        <w:t>изводительности дается ценой боль</w:t>
      </w:r>
      <w:r w:rsidRPr="008127F8">
        <w:rPr>
          <w:rFonts w:ascii="Times New Roman" w:hAnsi="Times New Roman"/>
          <w:color w:val="000000" w:themeColor="text1"/>
          <w:sz w:val="16"/>
          <w:szCs w:val="16"/>
        </w:rPr>
        <w:softHyphen/>
        <w:t>шой работы над конструкцией и удачным замыслом.</w:t>
      </w:r>
    </w:p>
    <w:p w14:paraId="063AE64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Обещание увеличить произво</w:t>
      </w:r>
      <w:r w:rsidRPr="008127F8">
        <w:rPr>
          <w:rFonts w:ascii="Times New Roman" w:hAnsi="Times New Roman"/>
          <w:color w:val="000000" w:themeColor="text1"/>
          <w:sz w:val="16"/>
          <w:szCs w:val="16"/>
        </w:rPr>
        <w:softHyphen/>
        <w:t>дительность в 4 раза не может не вызвать сомнений.</w:t>
      </w:r>
    </w:p>
    <w:p w14:paraId="1CA037B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Во-первых, едва ли целесообраз</w:t>
      </w:r>
      <w:r w:rsidRPr="008127F8">
        <w:rPr>
          <w:rFonts w:ascii="Times New Roman" w:hAnsi="Times New Roman"/>
          <w:color w:val="000000" w:themeColor="text1"/>
          <w:sz w:val="16"/>
          <w:szCs w:val="16"/>
        </w:rPr>
        <w:softHyphen/>
        <w:t>но одномоторный бомбардировщик делать дальним. Здесь дело не толь</w:t>
      </w:r>
      <w:r w:rsidRPr="008127F8">
        <w:rPr>
          <w:rFonts w:ascii="Times New Roman" w:hAnsi="Times New Roman"/>
          <w:color w:val="000000" w:themeColor="text1"/>
          <w:sz w:val="16"/>
          <w:szCs w:val="16"/>
        </w:rPr>
        <w:softHyphen/>
        <w:t>ко в надежности, но и в возможно</w:t>
      </w:r>
      <w:r w:rsidRPr="008127F8">
        <w:rPr>
          <w:rFonts w:ascii="Times New Roman" w:hAnsi="Times New Roman"/>
          <w:color w:val="000000" w:themeColor="text1"/>
          <w:sz w:val="16"/>
          <w:szCs w:val="16"/>
        </w:rPr>
        <w:softHyphen/>
        <w:t>сти размещения спецоборудования. В самолете применено необычное размещение экипажа. Обстрел штурмана сильно стеснен крылом.</w:t>
      </w:r>
    </w:p>
    <w:p w14:paraId="4987054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Основной вопрос о полетном весе. Ночной старт труден и его не следует выполнять с предельно большим весом. Нормальный полет</w:t>
      </w:r>
      <w:r w:rsidRPr="008127F8">
        <w:rPr>
          <w:rFonts w:ascii="Times New Roman" w:hAnsi="Times New Roman"/>
          <w:color w:val="000000" w:themeColor="text1"/>
          <w:sz w:val="16"/>
          <w:szCs w:val="16"/>
        </w:rPr>
        <w:softHyphen/>
        <w:t>ный вес данного самолета едва ли можно принять более 8000 - 8500 кг. Потребная величина аэродро</w:t>
      </w:r>
      <w:r w:rsidRPr="008127F8">
        <w:rPr>
          <w:rFonts w:ascii="Times New Roman" w:hAnsi="Times New Roman"/>
          <w:color w:val="000000" w:themeColor="text1"/>
          <w:sz w:val="16"/>
          <w:szCs w:val="16"/>
        </w:rPr>
        <w:softHyphen/>
        <w:t>ма должна быть, примерно в 2 раза более длины разбега, т.е. свыше 2 км. Следует предложить конструк</w:t>
      </w:r>
      <w:r w:rsidRPr="008127F8">
        <w:rPr>
          <w:rFonts w:ascii="Times New Roman" w:hAnsi="Times New Roman"/>
          <w:color w:val="000000" w:themeColor="text1"/>
          <w:sz w:val="16"/>
          <w:szCs w:val="16"/>
        </w:rPr>
        <w:softHyphen/>
        <w:t>тору еще поработать над проек</w:t>
      </w:r>
      <w:r w:rsidRPr="008127F8">
        <w:rPr>
          <w:rFonts w:ascii="Times New Roman" w:hAnsi="Times New Roman"/>
          <w:color w:val="000000" w:themeColor="text1"/>
          <w:sz w:val="16"/>
          <w:szCs w:val="16"/>
        </w:rPr>
        <w:softHyphen/>
        <w:t>том» (11758).</w:t>
      </w:r>
    </w:p>
    <w:p w14:paraId="5BE1864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E9085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1942 г. под руководством Лавочкина проводились работы по установке на истребитель ЛаГГ-3 пушки Нудельмана/Суранова НС-37. В декабре 40 ЛаГГ-3, вооруженные НС-37, отправили на Сталинградский фронт (4707).</w:t>
      </w:r>
    </w:p>
    <w:p w14:paraId="07F1D47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6F96A4"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середины 1942 г. развернулась кампания по дискредитации истребителя И-185 и одновременно травля Н.Н.Поликарпова. Особенностью И-185 являлась необычно большая удельная нагрузка на крыло - до 235 кг/м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Это вызвало много возражений и споров, особенно среди руководя</w:t>
      </w:r>
      <w:r w:rsidRPr="008127F8">
        <w:rPr>
          <w:rFonts w:ascii="Times New Roman" w:hAnsi="Times New Roman"/>
          <w:color w:val="000000" w:themeColor="text1"/>
          <w:sz w:val="16"/>
          <w:szCs w:val="16"/>
        </w:rPr>
        <w:softHyphen/>
        <w:t>щих работников наркомата и отдельных сотрудников ЦАГИ. Оппоненты Поликарпова исходили из того, что повышение удельной нагрузки приводит к ухудшению горизонтальной маневренности и повышению посадоч</w:t>
      </w:r>
      <w:r w:rsidRPr="008127F8">
        <w:rPr>
          <w:rFonts w:ascii="Times New Roman" w:hAnsi="Times New Roman"/>
          <w:color w:val="000000" w:themeColor="text1"/>
          <w:sz w:val="16"/>
          <w:szCs w:val="16"/>
        </w:rPr>
        <w:softHyphen/>
        <w:t>ной скорости самолета. При этом практически не учи</w:t>
      </w:r>
      <w:r w:rsidRPr="008127F8">
        <w:rPr>
          <w:rFonts w:ascii="Times New Roman" w:hAnsi="Times New Roman"/>
          <w:color w:val="000000" w:themeColor="text1"/>
          <w:sz w:val="16"/>
          <w:szCs w:val="16"/>
        </w:rPr>
        <w:softHyphen/>
        <w:t>тывалось большое влияние на исход воздушного боя вертикальной маневренности. Для подтверждения сво</w:t>
      </w:r>
      <w:r w:rsidRPr="008127F8">
        <w:rPr>
          <w:rFonts w:ascii="Times New Roman" w:hAnsi="Times New Roman"/>
          <w:color w:val="000000" w:themeColor="text1"/>
          <w:sz w:val="16"/>
          <w:szCs w:val="16"/>
        </w:rPr>
        <w:softHyphen/>
        <w:t>ей точки зрения они ссылались на опыт постройки не</w:t>
      </w:r>
      <w:r w:rsidRPr="008127F8">
        <w:rPr>
          <w:rFonts w:ascii="Times New Roman" w:hAnsi="Times New Roman"/>
          <w:color w:val="000000" w:themeColor="text1"/>
          <w:sz w:val="16"/>
          <w:szCs w:val="16"/>
        </w:rPr>
        <w:softHyphen/>
        <w:t>мецких самолетов и истребителей «Як», имевших гораздо меньшую удельную нагрузку на крыло. Специ</w:t>
      </w:r>
      <w:r w:rsidRPr="008127F8">
        <w:rPr>
          <w:rFonts w:ascii="Times New Roman" w:hAnsi="Times New Roman"/>
          <w:color w:val="000000" w:themeColor="text1"/>
          <w:sz w:val="16"/>
          <w:szCs w:val="16"/>
        </w:rPr>
        <w:softHyphen/>
        <w:t>альная работа ЦАГИ, завершенная к середине 1942 г., ус</w:t>
      </w:r>
      <w:r w:rsidRPr="008127F8">
        <w:rPr>
          <w:rFonts w:ascii="Times New Roman" w:hAnsi="Times New Roman"/>
          <w:color w:val="000000" w:themeColor="text1"/>
          <w:sz w:val="16"/>
          <w:szCs w:val="16"/>
        </w:rPr>
        <w:softHyphen/>
        <w:t>танавливала предельное значение удельной нагрузки для истребителей равным 180-185 кг/м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Следовательно, в вину Поликарпову ставилось то, что он осмелился ид</w:t>
      </w:r>
      <w:r w:rsidRPr="008127F8">
        <w:rPr>
          <w:rFonts w:ascii="Times New Roman" w:hAnsi="Times New Roman"/>
          <w:color w:val="000000" w:themeColor="text1"/>
          <w:sz w:val="16"/>
          <w:szCs w:val="16"/>
        </w:rPr>
        <w:softHyphen/>
        <w:t>ти против устоявшихся взглядов и воззрений. В принципе этот вопрос не был новым для нашей авиации. Его изучение проводилось с 1933 г., и в 1936 г. в ЦАГИ уже было опубликовано исследование Б.Н.Юрьева под названием «Пределы современной авиации и способы их преодоления», в котором указы</w:t>
      </w:r>
      <w:r w:rsidRPr="008127F8">
        <w:rPr>
          <w:rFonts w:ascii="Times New Roman" w:hAnsi="Times New Roman"/>
          <w:color w:val="000000" w:themeColor="text1"/>
          <w:sz w:val="16"/>
          <w:szCs w:val="16"/>
        </w:rPr>
        <w:softHyphen/>
        <w:t>валось, что повышение удельной нагрузки на крыло до 200 кг/м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xml:space="preserve"> существенно увеличивает максимальную ско</w:t>
      </w:r>
      <w:r w:rsidRPr="008127F8">
        <w:rPr>
          <w:rFonts w:ascii="Times New Roman" w:hAnsi="Times New Roman"/>
          <w:color w:val="000000" w:themeColor="text1"/>
          <w:sz w:val="16"/>
          <w:szCs w:val="16"/>
        </w:rPr>
        <w:softHyphen/>
        <w:t>рость полета (с мотором мощностью 1200 л.с. до 567 км/ч у земли и до 700 км/ч на высоте). Однако Юрьева в околонаучных авиационных кругах не любили за неза</w:t>
      </w:r>
      <w:r w:rsidRPr="008127F8">
        <w:rPr>
          <w:rFonts w:ascii="Times New Roman" w:hAnsi="Times New Roman"/>
          <w:color w:val="000000" w:themeColor="text1"/>
          <w:sz w:val="16"/>
          <w:szCs w:val="16"/>
        </w:rPr>
        <w:softHyphen/>
        <w:t>висимость суждений. Поэтому ни его работа, ни разви</w:t>
      </w:r>
      <w:r w:rsidRPr="008127F8">
        <w:rPr>
          <w:rFonts w:ascii="Times New Roman" w:hAnsi="Times New Roman"/>
          <w:color w:val="000000" w:themeColor="text1"/>
          <w:sz w:val="16"/>
          <w:szCs w:val="16"/>
        </w:rPr>
        <w:softHyphen/>
        <w:t>тие его взглядов в трудах других исследователей распространения не получили. До середины 1943 г. ак</w:t>
      </w:r>
      <w:r w:rsidRPr="008127F8">
        <w:rPr>
          <w:rFonts w:ascii="Times New Roman" w:hAnsi="Times New Roman"/>
          <w:color w:val="000000" w:themeColor="text1"/>
          <w:sz w:val="16"/>
          <w:szCs w:val="16"/>
        </w:rPr>
        <w:softHyphen/>
        <w:t>тивным сторонником и проводником теории предель</w:t>
      </w:r>
      <w:r w:rsidRPr="008127F8">
        <w:rPr>
          <w:rFonts w:ascii="Times New Roman" w:hAnsi="Times New Roman"/>
          <w:color w:val="000000" w:themeColor="text1"/>
          <w:sz w:val="16"/>
          <w:szCs w:val="16"/>
        </w:rPr>
        <w:softHyphen/>
        <w:t>ных значений удельной нагрузки на крыло являлся А.С.Яковлев. Не удивительно, что от Поликарпова стали требо</w:t>
      </w:r>
      <w:r w:rsidRPr="008127F8">
        <w:rPr>
          <w:rFonts w:ascii="Times New Roman" w:hAnsi="Times New Roman"/>
          <w:color w:val="000000" w:themeColor="text1"/>
          <w:sz w:val="16"/>
          <w:szCs w:val="16"/>
        </w:rPr>
        <w:softHyphen/>
        <w:t>вать увеличения площади крыла для выполнения реко</w:t>
      </w:r>
      <w:r w:rsidRPr="008127F8">
        <w:rPr>
          <w:rFonts w:ascii="Times New Roman" w:hAnsi="Times New Roman"/>
          <w:color w:val="000000" w:themeColor="text1"/>
          <w:sz w:val="16"/>
          <w:szCs w:val="16"/>
        </w:rPr>
        <w:softHyphen/>
        <w:t>мендаций ЦАГИ, либо, при той же площади, резкого снижения массы самолета, что совершенно невозможно было сделать ввиду большого веса мотора М-71. Не ис</w:t>
      </w:r>
      <w:r w:rsidRPr="008127F8">
        <w:rPr>
          <w:rFonts w:ascii="Times New Roman" w:hAnsi="Times New Roman"/>
          <w:color w:val="000000" w:themeColor="text1"/>
          <w:sz w:val="16"/>
          <w:szCs w:val="16"/>
        </w:rPr>
        <w:softHyphen/>
        <w:t>ключено, что имели место и конъюнктурные соображе</w:t>
      </w:r>
      <w:r w:rsidRPr="008127F8">
        <w:rPr>
          <w:rFonts w:ascii="Times New Roman" w:hAnsi="Times New Roman"/>
          <w:color w:val="000000" w:themeColor="text1"/>
          <w:sz w:val="16"/>
          <w:szCs w:val="16"/>
        </w:rPr>
        <w:softHyphen/>
        <w:t>ния, связанные с желанием оставить в серийном производстве истребители «Як» и «Ла». Как конструктор, как ученый Поликарпов не мог со</w:t>
      </w:r>
      <w:r w:rsidRPr="008127F8">
        <w:rPr>
          <w:rFonts w:ascii="Times New Roman" w:hAnsi="Times New Roman"/>
          <w:color w:val="000000" w:themeColor="text1"/>
          <w:sz w:val="16"/>
          <w:szCs w:val="16"/>
        </w:rPr>
        <w:softHyphen/>
        <w:t>гласиться со столь односторонней оценкой роста удель</w:t>
      </w:r>
      <w:r w:rsidRPr="008127F8">
        <w:rPr>
          <w:rFonts w:ascii="Times New Roman" w:hAnsi="Times New Roman"/>
          <w:color w:val="000000" w:themeColor="text1"/>
          <w:sz w:val="16"/>
          <w:szCs w:val="16"/>
        </w:rPr>
        <w:softHyphen/>
        <w:t>ной нагрузки на крыло. В своей записке по этому вопросу он указывал:</w:t>
      </w:r>
    </w:p>
    <w:p w14:paraId="4AF2F622"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«Повышение нагрузки на 1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xml:space="preserve"> крыла истребителя -явление неизбежное и прогрессивное, вызываемое сле</w:t>
      </w:r>
      <w:r w:rsidRPr="008127F8">
        <w:rPr>
          <w:rFonts w:ascii="Times New Roman" w:hAnsi="Times New Roman"/>
          <w:color w:val="000000" w:themeColor="text1"/>
          <w:sz w:val="16"/>
          <w:szCs w:val="16"/>
        </w:rPr>
        <w:softHyphen/>
        <w:t>дующими соображениями:</w:t>
      </w:r>
    </w:p>
    <w:p w14:paraId="65D9470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веса истребителей непрерывно растут за счет уве</w:t>
      </w:r>
      <w:r w:rsidRPr="008127F8">
        <w:rPr>
          <w:rFonts w:ascii="Times New Roman" w:hAnsi="Times New Roman"/>
          <w:color w:val="000000" w:themeColor="text1"/>
          <w:sz w:val="16"/>
          <w:szCs w:val="16"/>
        </w:rPr>
        <w:softHyphen/>
        <w:t>личения боевых нагрузок и весов моторов: истребитель в 1933 г. весил 1300 кг, в 1937 г. - 1600-1700 кг, в 1940 г. - 2700-2800 кг, в 1942 г. - 3500-3600 кг;</w:t>
      </w:r>
    </w:p>
    <w:p w14:paraId="5B87894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веса истребительных моторов растут еще в боль</w:t>
      </w:r>
      <w:r w:rsidRPr="008127F8">
        <w:rPr>
          <w:rFonts w:ascii="Times New Roman" w:hAnsi="Times New Roman"/>
          <w:color w:val="000000" w:themeColor="text1"/>
          <w:sz w:val="16"/>
          <w:szCs w:val="16"/>
        </w:rPr>
        <w:softHyphen/>
        <w:t>шей пропорции: мотор М25 весил около 400 кг в 1933 г., М62 - 510 кг в 1937 г., М88 - 700-750 кг в 1940 г., М71 -1070 кг в 1942 г.;</w:t>
      </w:r>
    </w:p>
    <w:p w14:paraId="79A939AF"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мощное вооружение (пушечное) и большие боеза</w:t>
      </w:r>
      <w:r w:rsidRPr="008127F8">
        <w:rPr>
          <w:rFonts w:ascii="Times New Roman" w:hAnsi="Times New Roman"/>
          <w:color w:val="000000" w:themeColor="text1"/>
          <w:sz w:val="16"/>
          <w:szCs w:val="16"/>
        </w:rPr>
        <w:softHyphen/>
        <w:t>пасы весят также много: 1 пулемет БС с установкой ве</w:t>
      </w:r>
      <w:r w:rsidRPr="008127F8">
        <w:rPr>
          <w:rFonts w:ascii="Times New Roman" w:hAnsi="Times New Roman"/>
          <w:color w:val="000000" w:themeColor="text1"/>
          <w:sz w:val="16"/>
          <w:szCs w:val="16"/>
        </w:rPr>
        <w:softHyphen/>
        <w:t>сит 60-65 кг, 1 пушка ШВАК моторная со 120 снарядами и установкой весит 75-80 кг, 1 пушка синхронная со 150 снарядами и установкой - 95-100 кг...;</w:t>
      </w:r>
    </w:p>
    <w:p w14:paraId="6C16DBD1"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разъемное крыло, столь необходимое для облегче</w:t>
      </w:r>
      <w:r w:rsidRPr="008127F8">
        <w:rPr>
          <w:rFonts w:ascii="Times New Roman" w:hAnsi="Times New Roman"/>
          <w:color w:val="000000" w:themeColor="text1"/>
          <w:sz w:val="16"/>
          <w:szCs w:val="16"/>
        </w:rPr>
        <w:softHyphen/>
        <w:t>ния эксплуатации, также утяжеляет вес самолета на 40-50 кг.</w:t>
      </w:r>
    </w:p>
    <w:p w14:paraId="43FBDAD6"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Однако, несмотря на это, резкое увеличение мощно</w:t>
      </w:r>
      <w:r w:rsidRPr="008127F8">
        <w:rPr>
          <w:rFonts w:ascii="Times New Roman" w:hAnsi="Times New Roman"/>
          <w:color w:val="000000" w:themeColor="text1"/>
          <w:sz w:val="16"/>
          <w:szCs w:val="16"/>
        </w:rPr>
        <w:softHyphen/>
        <w:t>сти современных истребительных моторов позволяет значительно повысить нагрузку на 1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xml:space="preserve"> крыла без ухуд</w:t>
      </w:r>
      <w:r w:rsidRPr="008127F8">
        <w:rPr>
          <w:rFonts w:ascii="Times New Roman" w:hAnsi="Times New Roman"/>
          <w:color w:val="000000" w:themeColor="text1"/>
          <w:sz w:val="16"/>
          <w:szCs w:val="16"/>
        </w:rPr>
        <w:softHyphen/>
        <w:t>шения вертикальной маневренности (а она-то ведь и яв</w:t>
      </w:r>
      <w:r w:rsidRPr="008127F8">
        <w:rPr>
          <w:rFonts w:ascii="Times New Roman" w:hAnsi="Times New Roman"/>
          <w:color w:val="000000" w:themeColor="text1"/>
          <w:sz w:val="16"/>
          <w:szCs w:val="16"/>
        </w:rPr>
        <w:softHyphen/>
        <w:t>ляется боевой маневренностью на сегодня).</w:t>
      </w:r>
    </w:p>
    <w:p w14:paraId="30070B9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ЦАГИ в своей «квазинаучной» работе по подбору на</w:t>
      </w:r>
      <w:r w:rsidRPr="008127F8">
        <w:rPr>
          <w:rFonts w:ascii="Times New Roman" w:hAnsi="Times New Roman"/>
          <w:color w:val="000000" w:themeColor="text1"/>
          <w:sz w:val="16"/>
          <w:szCs w:val="16"/>
        </w:rPr>
        <w:softHyphen/>
        <w:t>грузки на 1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xml:space="preserve"> крыла истребителя «случайно» не досмотрело такого могучего фактора (по существу оп</w:t>
      </w:r>
      <w:r w:rsidRPr="008127F8">
        <w:rPr>
          <w:rFonts w:ascii="Times New Roman" w:hAnsi="Times New Roman"/>
          <w:color w:val="000000" w:themeColor="text1"/>
          <w:sz w:val="16"/>
          <w:szCs w:val="16"/>
        </w:rPr>
        <w:softHyphen/>
        <w:t>ределяющего вертикальную маневренность), как на</w:t>
      </w:r>
      <w:r w:rsidRPr="008127F8">
        <w:rPr>
          <w:rFonts w:ascii="Times New Roman" w:hAnsi="Times New Roman"/>
          <w:color w:val="000000" w:themeColor="text1"/>
          <w:sz w:val="16"/>
          <w:szCs w:val="16"/>
        </w:rPr>
        <w:softHyphen/>
        <w:t>грузка на 1 л.с. мощности мотора, каковая в выражения для потолка и вертикальной скорости входит в первой степени, в то время как нагрузка на 1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xml:space="preserve"> крыла только под корнем квадратным...</w:t>
      </w:r>
    </w:p>
    <w:p w14:paraId="1954CDD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Исходя из этого и задавшись вертикальной манев</w:t>
      </w:r>
      <w:r w:rsidRPr="008127F8">
        <w:rPr>
          <w:rFonts w:ascii="Times New Roman" w:hAnsi="Times New Roman"/>
          <w:color w:val="000000" w:themeColor="text1"/>
          <w:sz w:val="16"/>
          <w:szCs w:val="16"/>
        </w:rPr>
        <w:softHyphen/>
        <w:t>ренностью, одинаковой с маневренностью самолета Як-7, мы могли бы повысить нагрузку на 1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xml:space="preserve"> крыла у И185-М71 у земли до 275 кг/м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а для высоты 5000 м - до 307 кг/м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xml:space="preserve"> вместо имеющейся 235 кг/м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w:t>
      </w:r>
    </w:p>
    <w:p w14:paraId="6569821A"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Справедливость изложенного видна хотя бы из того, что Як-7 при нагрузке на 1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равной 177 кг/м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имеет вертикальную скорость у земли 16,5 м/сек, а И185-М71 при нагрузке 235 кг/м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xml:space="preserve"> - 20 м/сек.</w:t>
      </w:r>
    </w:p>
    <w:p w14:paraId="1BB106D9"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Набор высоты на боевом развороте у Як-7 - 800-900 м, у И185-М71 - до 1200-1500 м...</w:t>
      </w:r>
    </w:p>
    <w:p w14:paraId="71607FC8"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Таким образом, очевидно, настало время брать высо</w:t>
      </w:r>
      <w:r w:rsidRPr="008127F8">
        <w:rPr>
          <w:rFonts w:ascii="Times New Roman" w:hAnsi="Times New Roman"/>
          <w:color w:val="000000" w:themeColor="text1"/>
          <w:sz w:val="16"/>
          <w:szCs w:val="16"/>
        </w:rPr>
        <w:softHyphen/>
        <w:t>кие нагрузки на 1 м</w:t>
      </w:r>
      <w:r w:rsidRPr="008127F8">
        <w:rPr>
          <w:rFonts w:ascii="Times New Roman" w:hAnsi="Times New Roman"/>
          <w:color w:val="000000" w:themeColor="text1"/>
          <w:sz w:val="16"/>
          <w:szCs w:val="16"/>
          <w:vertAlign w:val="superscript"/>
        </w:rPr>
        <w:t>2</w:t>
      </w:r>
      <w:r w:rsidRPr="008127F8">
        <w:rPr>
          <w:rFonts w:ascii="Times New Roman" w:hAnsi="Times New Roman"/>
          <w:color w:val="000000" w:themeColor="text1"/>
          <w:sz w:val="16"/>
          <w:szCs w:val="16"/>
        </w:rPr>
        <w:t xml:space="preserve"> крыла, но одновременно с этим на</w:t>
      </w:r>
      <w:r w:rsidRPr="008127F8">
        <w:rPr>
          <w:rFonts w:ascii="Times New Roman" w:hAnsi="Times New Roman"/>
          <w:color w:val="000000" w:themeColor="text1"/>
          <w:sz w:val="16"/>
          <w:szCs w:val="16"/>
        </w:rPr>
        <w:softHyphen/>
        <w:t>до сильно работать над подбором крыла и его механизацией с тем, чтобы полностью использовать Су для посадки.</w:t>
      </w:r>
    </w:p>
    <w:p w14:paraId="1E130A6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Мы имеем для этого на самолете И185-М71 все дан</w:t>
      </w:r>
      <w:r w:rsidRPr="008127F8">
        <w:rPr>
          <w:rFonts w:ascii="Times New Roman" w:hAnsi="Times New Roman"/>
          <w:color w:val="000000" w:themeColor="text1"/>
          <w:sz w:val="16"/>
          <w:szCs w:val="16"/>
        </w:rPr>
        <w:softHyphen/>
        <w:t>ные: - сужение крыла в плане 2,45; - профиль ЫАСА-2312; - срыв потока по продувкам ЦАГИ начинается на больших углах и от фюзеляжа; - у крыла имеются силь</w:t>
      </w:r>
      <w:r w:rsidRPr="008127F8">
        <w:rPr>
          <w:rFonts w:ascii="Times New Roman" w:hAnsi="Times New Roman"/>
          <w:color w:val="000000" w:themeColor="text1"/>
          <w:sz w:val="16"/>
          <w:szCs w:val="16"/>
        </w:rPr>
        <w:softHyphen/>
        <w:t>но развитые предкрылки; - крыло имеет мощные за</w:t>
      </w:r>
      <w:r w:rsidRPr="008127F8">
        <w:rPr>
          <w:rFonts w:ascii="Times New Roman" w:hAnsi="Times New Roman"/>
          <w:color w:val="000000" w:themeColor="text1"/>
          <w:sz w:val="16"/>
          <w:szCs w:val="16"/>
        </w:rPr>
        <w:softHyphen/>
        <w:t>крылки, открывающиеся до 58-60°; - посадочный угол нашего самолета большой: 16,5-17°; - профиль крыла выдержан в постройке по замерам НИИ ВВС очень хо</w:t>
      </w:r>
      <w:r w:rsidRPr="008127F8">
        <w:rPr>
          <w:rFonts w:ascii="Times New Roman" w:hAnsi="Times New Roman"/>
          <w:color w:val="000000" w:themeColor="text1"/>
          <w:sz w:val="16"/>
          <w:szCs w:val="16"/>
        </w:rPr>
        <w:softHyphen/>
        <w:t>рошо» (10667).</w:t>
      </w:r>
    </w:p>
    <w:p w14:paraId="5B82D6E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7A37D3"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В середине 1942 г. у идеи скорейшего запуска в серию истребителя И-185 на заводе №31 в Тбилиси появился влиятельный сторонник - А.С. Яковлев, совмещавший тогда посты главного конструктора ОКБ-115 и заместителя наркома авиапромышленности по опытному самолетостроению.</w:t>
      </w:r>
    </w:p>
    <w:p w14:paraId="7CBC7B6E"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Некоторые историки в "постперестроечное" время считали, что он тем самым хотел "выдавить" оттуда ЛаГГ-3 и заменить каким-то своим самолетом. Но в 1942 г. для выпуска Як-1 вполне хватало одного 292-го завода (он их сделал за этот год 3474). Самолет Як-7 выпускали два завода - 153-й и 82-й, краткий эпизод с его внедрением вместо ЛаГГ-3 в Горьком на заводе №21 особого значения не имел и ничем не закончился. Истребитель Як-9 вполне естественно пустили в серию сначала на том же новосибирском 153-м заводе, потому что он был преемственен с Як-7, а затем еще и на 82-м, и на 166-м... А когда у Александра Сергеевича стало что предложить действительно нового (в 1944 г. появился серийный Як-3), он легко добился начала его выпуска и в Тбилиси, обойдясь без такой сложной "многоходовой комбинации". Потому что его самолет был объективно нужен и готов к серии.</w:t>
      </w:r>
    </w:p>
    <w:p w14:paraId="65D82CBC"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А в данном случае Яковлев просто предлагал кратчайший путь - запуск в серийное производство самолета И-185 по типу машины №6204, но только с заменой пулеметов на пушки ШВАК. И тогда в случае успеха И-185 на фронте неизбежно встал бы вопрос о расширении его выпуска.</w:t>
      </w:r>
    </w:p>
    <w:p w14:paraId="31391937"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Однако в актах по результатам Совместных государственных испытаний наряду с высокими летными данными значилось и много существенных дефектов. Так на И-185 М-71 неожиданно выявилась недостаточная продольная устойчивость. К конструктивно-производственным недостаткам можно было отнести плохую работу системы уборкивыпуска шасси и ее сигнализации, кинематики управления карбюратором на нормальном газе, плохую подгонку капота мотора и ненадежность его нестандартных замков, заедание замков закрылков, недостаточную эффективность тормозов, неудобство расположения и размеров ручки управления самолетом, сектора газа, рычагов управления шасси и закрылков (последние два были рядом, летчики их путали). В винтомоторной группе плохо работали регулятор постоянных оборотов Р-7, регулятор наддува и высотный корректор.</w:t>
      </w:r>
    </w:p>
    <w:p w14:paraId="7689228D"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Самолет "И" страдал перегревом мотора, охлаждению которого мешали "утопленные" в капот патрубки подвода воздуха к нагнетателю. В наборе высоты и в горизонтальном полете даже при работе мотора на номинале была слишком высока температура масла. Стойки шасси шесть раз "отказывались" становиться на замки, а один раз встали только черед 16 минут после начала уборки. В полете щитки шасси отсасывало потоком. Пневмосистема травила воздух. Козырек кабины забрызгивался маслом, в полете открыть фонарь ручкой было невозможно, а аварийный сброс не предусмотрели. Неустойчиво работал регулятор постоянных оборотов Р-7, а мотор М-82 дважды отказывал в полете - благо, обошлось без аварии.</w:t>
      </w:r>
    </w:p>
    <w:p w14:paraId="05FF77AF"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Только некоторые дефекты можно было легко устранить, здесь они даже не упомянуты, а эти требовали больших переделок конструкции.</w:t>
      </w:r>
    </w:p>
    <w:p w14:paraId="349F1CD0"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8127F8">
        <w:rPr>
          <w:rFonts w:ascii="Times New Roman" w:eastAsia="Times New Roman" w:hAnsi="Times New Roman"/>
          <w:color w:val="000000" w:themeColor="text1"/>
          <w:sz w:val="16"/>
          <w:szCs w:val="16"/>
          <w:lang w:eastAsia="ru-RU"/>
        </w:rPr>
        <w:t>Из строчек летных данных И-185 с двигателями М-71 и М-82 напрашивался однозначный вывод - от первого надо взять силовую установку, от второго - остальное и переделать конструкцию так, чтобы изжить все перечисленные недостатки самолета. Поликарпов был горячим сторонником доводки М-71, считая, что в серии он будет более надежным, чем теплонапряженный М-82, которых за короткое время испытаний только на первом самолете "И" заменили четыре штуки (17737).</w:t>
      </w:r>
    </w:p>
    <w:p w14:paraId="57211FCB"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2CCD8C7C" w14:textId="77777777" w:rsidR="007C5583" w:rsidRPr="008127F8" w:rsidRDefault="007C5583" w:rsidP="007C5583">
      <w:pPr>
        <w:pStyle w:val="Bodytext1"/>
        <w:shd w:val="clear" w:color="auto" w:fill="auto"/>
        <w:spacing w:line="240" w:lineRule="auto"/>
        <w:ind w:firstLine="0"/>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середине 1942 г. Яковлев берет це</w:t>
      </w:r>
      <w:r w:rsidRPr="008127F8">
        <w:rPr>
          <w:rFonts w:ascii="Times New Roman" w:hAnsi="Times New Roman" w:cs="Times New Roman"/>
          <w:color w:val="000000" w:themeColor="text1"/>
          <w:sz w:val="16"/>
          <w:szCs w:val="16"/>
        </w:rPr>
        <w:softHyphen/>
        <w:t>лый ряд заданий на создание новых и со</w:t>
      </w:r>
      <w:r w:rsidRPr="008127F8">
        <w:rPr>
          <w:rFonts w:ascii="Times New Roman" w:hAnsi="Times New Roman" w:cs="Times New Roman"/>
          <w:color w:val="000000" w:themeColor="text1"/>
          <w:sz w:val="16"/>
          <w:szCs w:val="16"/>
        </w:rPr>
        <w:softHyphen/>
        <w:t>вершенствование серийных истребителей и самолетов других классов и теперь ему надо посмотреть, чем же пожертвовать ради своевременного выполнения наи</w:t>
      </w:r>
      <w:r w:rsidRPr="008127F8">
        <w:rPr>
          <w:rFonts w:ascii="Times New Roman" w:hAnsi="Times New Roman" w:cs="Times New Roman"/>
          <w:color w:val="000000" w:themeColor="text1"/>
          <w:sz w:val="16"/>
          <w:szCs w:val="16"/>
        </w:rPr>
        <w:softHyphen/>
        <w:t>более важных из них. И одной из таких «жертв» стала работа по реактив</w:t>
      </w:r>
      <w:r w:rsidRPr="008127F8">
        <w:rPr>
          <w:rFonts w:ascii="Times New Roman" w:hAnsi="Times New Roman" w:cs="Times New Roman"/>
          <w:color w:val="000000" w:themeColor="text1"/>
          <w:sz w:val="16"/>
          <w:szCs w:val="16"/>
        </w:rPr>
        <w:softHyphen/>
        <w:t>ной тематике, в т.ч. по летающей лаборатории для воздушных ис</w:t>
      </w:r>
      <w:r w:rsidRPr="008127F8">
        <w:rPr>
          <w:rFonts w:ascii="Times New Roman" w:hAnsi="Times New Roman" w:cs="Times New Roman"/>
          <w:color w:val="000000" w:themeColor="text1"/>
          <w:sz w:val="16"/>
          <w:szCs w:val="16"/>
        </w:rPr>
        <w:softHyphen/>
        <w:t>пытаний ПВРД.</w:t>
      </w:r>
    </w:p>
    <w:p w14:paraId="64932D70" w14:textId="77777777" w:rsidR="007C5583" w:rsidRPr="008127F8" w:rsidRDefault="007C5583" w:rsidP="007C5583">
      <w:pPr>
        <w:pStyle w:val="12a"/>
        <w:shd w:val="clear" w:color="auto" w:fill="auto"/>
        <w:spacing w:after="0" w:line="240" w:lineRule="auto"/>
        <w:jc w:val="both"/>
        <w:rPr>
          <w:color w:val="000000" w:themeColor="text1"/>
          <w:sz w:val="16"/>
          <w:szCs w:val="16"/>
        </w:rPr>
      </w:pPr>
      <w:r w:rsidRPr="008127F8">
        <w:rPr>
          <w:color w:val="000000" w:themeColor="text1"/>
          <w:sz w:val="16"/>
          <w:szCs w:val="16"/>
        </w:rPr>
        <w:t>Первоначально срок ее сдачи в эксплуатацию был определен на октябрь 1942 г., а потом был сдвинут на май 1943 г., что при сравнительно небольшом объ</w:t>
      </w:r>
      <w:r w:rsidRPr="008127F8">
        <w:rPr>
          <w:color w:val="000000" w:themeColor="text1"/>
          <w:sz w:val="16"/>
          <w:szCs w:val="16"/>
        </w:rPr>
        <w:softHyphen/>
        <w:t>еме работ было очень «мягко», но ОКБ-115 все равно не успело, предпочтя не опоздать по гора</w:t>
      </w:r>
      <w:r w:rsidRPr="008127F8">
        <w:rPr>
          <w:color w:val="000000" w:themeColor="text1"/>
          <w:sz w:val="16"/>
          <w:szCs w:val="16"/>
        </w:rPr>
        <w:softHyphen/>
        <w:t>здо более важным темам - Як-9 и «Москиту», будущему Як-3. Только в первые дни 1944 г. для этой ра</w:t>
      </w:r>
      <w:r w:rsidRPr="008127F8">
        <w:rPr>
          <w:color w:val="000000" w:themeColor="text1"/>
          <w:sz w:val="16"/>
          <w:szCs w:val="16"/>
        </w:rPr>
        <w:softHyphen/>
        <w:t>боты был выделен самолет Як-7Б №820803.</w:t>
      </w:r>
    </w:p>
    <w:p w14:paraId="7D430AF5" w14:textId="77777777" w:rsidR="007C5583" w:rsidRPr="008127F8" w:rsidRDefault="007C5583" w:rsidP="007C5583">
      <w:pPr>
        <w:pStyle w:val="Bodytext1"/>
        <w:shd w:val="clear" w:color="auto" w:fill="auto"/>
        <w:spacing w:line="240" w:lineRule="auto"/>
        <w:ind w:firstLine="0"/>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Истребитель Як-7 сочетал хорошую скорость, устойчивость и управляемость, а за креслом пилота оставалось сво</w:t>
      </w:r>
      <w:r w:rsidRPr="008127F8">
        <w:rPr>
          <w:rFonts w:ascii="Times New Roman" w:hAnsi="Times New Roman" w:cs="Times New Roman"/>
          <w:color w:val="000000" w:themeColor="text1"/>
          <w:sz w:val="16"/>
          <w:szCs w:val="16"/>
        </w:rPr>
        <w:softHyphen/>
        <w:t>бодное место, на котором при переба</w:t>
      </w:r>
      <w:r w:rsidRPr="008127F8">
        <w:rPr>
          <w:rFonts w:ascii="Times New Roman" w:hAnsi="Times New Roman" w:cs="Times New Roman"/>
          <w:color w:val="000000" w:themeColor="text1"/>
          <w:sz w:val="16"/>
          <w:szCs w:val="16"/>
        </w:rPr>
        <w:softHyphen/>
        <w:t>зировании обычно возили аэродромное имущество и даже механиков. Там можно было разместить инженера-эксперимен</w:t>
      </w:r>
      <w:r w:rsidRPr="008127F8">
        <w:rPr>
          <w:rFonts w:ascii="Times New Roman" w:hAnsi="Times New Roman" w:cs="Times New Roman"/>
          <w:color w:val="000000" w:themeColor="text1"/>
          <w:sz w:val="16"/>
          <w:szCs w:val="16"/>
        </w:rPr>
        <w:softHyphen/>
        <w:t>татора с органами управления контроля работы ПВРД и стандартный набор са</w:t>
      </w:r>
      <w:r w:rsidRPr="008127F8">
        <w:rPr>
          <w:rFonts w:ascii="Times New Roman" w:hAnsi="Times New Roman" w:cs="Times New Roman"/>
          <w:color w:val="000000" w:themeColor="text1"/>
          <w:sz w:val="16"/>
          <w:szCs w:val="16"/>
        </w:rPr>
        <w:softHyphen/>
        <w:t>мописцев. В сдвижной фанерной крышке этой кабины не составляло труда про</w:t>
      </w:r>
      <w:r w:rsidRPr="008127F8">
        <w:rPr>
          <w:rFonts w:ascii="Times New Roman" w:hAnsi="Times New Roman" w:cs="Times New Roman"/>
          <w:color w:val="000000" w:themeColor="text1"/>
          <w:sz w:val="16"/>
          <w:szCs w:val="16"/>
        </w:rPr>
        <w:softHyphen/>
        <w:t>резать окна и зашить их целлулоидом, чтобы видеть состояние двигателей под крылом. Из всех советских самолетов того времени, Як-7 лучше всего подходил для такой работы. Но теперь о плохом.</w:t>
      </w:r>
    </w:p>
    <w:p w14:paraId="10086114" w14:textId="77777777" w:rsidR="007C5583" w:rsidRPr="008127F8" w:rsidRDefault="007C5583" w:rsidP="007C5583">
      <w:pPr>
        <w:pStyle w:val="Bodytext1"/>
        <w:shd w:val="clear" w:color="auto" w:fill="auto"/>
        <w:spacing w:line="240" w:lineRule="auto"/>
        <w:ind w:firstLine="0"/>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Взятый самолет был выпуска завода №82, качество самолетов которого было самым низким среди продукции всех трех производителей машин этого типа. Эта машина отлетала уже два года, практи</w:t>
      </w:r>
      <w:r w:rsidRPr="008127F8">
        <w:rPr>
          <w:rFonts w:ascii="Times New Roman" w:hAnsi="Times New Roman" w:cs="Times New Roman"/>
          <w:color w:val="000000" w:themeColor="text1"/>
          <w:sz w:val="16"/>
          <w:szCs w:val="16"/>
        </w:rPr>
        <w:softHyphen/>
        <w:t>чески исчерпав свой ресурс, она успела пройти доработку для испытаний бомбо</w:t>
      </w:r>
      <w:r w:rsidRPr="008127F8">
        <w:rPr>
          <w:rFonts w:ascii="Times New Roman" w:hAnsi="Times New Roman" w:cs="Times New Roman"/>
          <w:color w:val="000000" w:themeColor="text1"/>
          <w:sz w:val="16"/>
          <w:szCs w:val="16"/>
        </w:rPr>
        <w:softHyphen/>
        <w:t>вого вооружения и ремонт после поломки, что тоже не улучшало ее летные качества. И наконец, основной мотор М-105ПФ не имел положенной мощности - нагнетатель недодавал давления наддува.</w:t>
      </w:r>
    </w:p>
    <w:p w14:paraId="2C80EA59" w14:textId="77777777" w:rsidR="007C5583" w:rsidRPr="008127F8" w:rsidRDefault="007C5583" w:rsidP="007C5583">
      <w:pPr>
        <w:pStyle w:val="Bodytext1"/>
        <w:shd w:val="clear" w:color="auto" w:fill="auto"/>
        <w:spacing w:line="240" w:lineRule="auto"/>
        <w:ind w:firstLine="0"/>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lastRenderedPageBreak/>
        <w:t>Но как бы то ни было, в начале 1944 г. на заводе №482 под руководством Б.А. Николаевского, ведущего инженера СКБ Меркулова, данный Як-7Б начали до</w:t>
      </w:r>
      <w:r w:rsidRPr="008127F8">
        <w:rPr>
          <w:rFonts w:ascii="Times New Roman" w:hAnsi="Times New Roman" w:cs="Times New Roman"/>
          <w:color w:val="000000" w:themeColor="text1"/>
          <w:sz w:val="16"/>
          <w:szCs w:val="16"/>
        </w:rPr>
        <w:softHyphen/>
        <w:t>рабатывать, подрезав ему на 500 мм по</w:t>
      </w:r>
      <w:r w:rsidRPr="008127F8">
        <w:rPr>
          <w:rFonts w:ascii="Times New Roman" w:hAnsi="Times New Roman" w:cs="Times New Roman"/>
          <w:color w:val="000000" w:themeColor="text1"/>
          <w:sz w:val="16"/>
          <w:szCs w:val="16"/>
        </w:rPr>
        <w:softHyphen/>
        <w:t>садочные щитки и установив под крыло прибывшие из Ташкента модифицирован</w:t>
      </w:r>
      <w:r w:rsidRPr="008127F8">
        <w:rPr>
          <w:rFonts w:ascii="Times New Roman" w:hAnsi="Times New Roman" w:cs="Times New Roman"/>
          <w:color w:val="000000" w:themeColor="text1"/>
          <w:sz w:val="16"/>
          <w:szCs w:val="16"/>
        </w:rPr>
        <w:softHyphen/>
        <w:t>ные прямоточные воздушно-реактивные двигатели ДМ-4с (17742).</w:t>
      </w:r>
    </w:p>
    <w:p w14:paraId="68AB2701" w14:textId="77777777" w:rsidR="007C5583" w:rsidRPr="008127F8" w:rsidRDefault="007C5583" w:rsidP="007C558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90446EE"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С середины 1942 г., параллельно с испытаниями опыт ного самолета БИ на заводе А.С. Москалева в условиях боль шой секретности был развернут выпуск войсковой серии са молетов БИ-ВС (рис. 2.26). От опытного самолета БИ № 4 се рийные образцы отличались подвесной кассетой с 10 бомбами калибра более 2 кг, обладавшими внушительной убойной си лой. Корпус бомб был выполнен из термитных магниевых сплавов, использован новый вид взрывчатого вещества. Пос ле гибели Г.Я. Бахчиванджи, уже построенные 30...40 само летов БИ-ВС вынуждены были уничтожить (19586).</w:t>
      </w:r>
    </w:p>
    <w:p w14:paraId="0421CBB7" w14:textId="77777777" w:rsidR="007C5583" w:rsidRPr="008127F8" w:rsidRDefault="007C5583" w:rsidP="007C5583">
      <w:pPr>
        <w:pStyle w:val="af"/>
        <w:shd w:val="clear" w:color="auto" w:fill="FFFFFF"/>
        <w:spacing w:before="0" w:after="0"/>
        <w:jc w:val="both"/>
        <w:rPr>
          <w:color w:val="000000" w:themeColor="text1"/>
          <w:sz w:val="16"/>
          <w:szCs w:val="16"/>
        </w:rPr>
      </w:pPr>
    </w:p>
    <w:p w14:paraId="1F90E84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середине 1942 г. был построен второй опыт</w:t>
      </w:r>
      <w:r w:rsidRPr="008127F8">
        <w:rPr>
          <w:rFonts w:ascii="Times New Roman" w:hAnsi="Times New Roman"/>
          <w:color w:val="000000" w:themeColor="text1"/>
          <w:sz w:val="16"/>
          <w:szCs w:val="16"/>
        </w:rPr>
        <w:softHyphen/>
        <w:t>ный экземпляр планера Курбалы, получивший название «К-Г-Эталон». Предполагалось, что он станет эталоном для серии. Планер имел следующие изменения. Установили щитки и интерцепторы, а также триммер на руле вы</w:t>
      </w:r>
      <w:r w:rsidRPr="008127F8">
        <w:rPr>
          <w:rFonts w:ascii="Times New Roman" w:hAnsi="Times New Roman"/>
          <w:color w:val="000000" w:themeColor="text1"/>
          <w:sz w:val="16"/>
          <w:szCs w:val="16"/>
        </w:rPr>
        <w:softHyphen/>
        <w:t>соты. Установили новое шасси, состоящее из по</w:t>
      </w:r>
      <w:r w:rsidRPr="008127F8">
        <w:rPr>
          <w:rFonts w:ascii="Times New Roman" w:hAnsi="Times New Roman"/>
          <w:color w:val="000000" w:themeColor="text1"/>
          <w:sz w:val="16"/>
          <w:szCs w:val="16"/>
        </w:rPr>
        <w:softHyphen/>
        <w:t>садочных лыж и сбрасываемой тележки, с колесами размером 600 х 250 мм. Увеличена прочность фю</w:t>
      </w:r>
      <w:r w:rsidRPr="008127F8">
        <w:rPr>
          <w:rFonts w:ascii="Times New Roman" w:hAnsi="Times New Roman"/>
          <w:color w:val="000000" w:themeColor="text1"/>
          <w:sz w:val="16"/>
          <w:szCs w:val="16"/>
        </w:rPr>
        <w:softHyphen/>
        <w:t>зеляжа, в районе передней стойки, хвостовых балок, стабилизатора, узлов крепления крыла к фюзеляжу и т.д. Увеличили площадь элеронов и снабдили их ро</w:t>
      </w:r>
      <w:r w:rsidRPr="008127F8">
        <w:rPr>
          <w:rFonts w:ascii="Times New Roman" w:hAnsi="Times New Roman"/>
          <w:color w:val="000000" w:themeColor="text1"/>
          <w:sz w:val="16"/>
          <w:szCs w:val="16"/>
        </w:rPr>
        <w:softHyphen/>
        <w:t>говой компенсацией. В кабине установили штурвал вместо ручки. Был выполнен ряд других доработок. В результате масса пустого КГ-Эталона возросла до 3740 кг (12300).</w:t>
      </w:r>
    </w:p>
    <w:p w14:paraId="152A9EA4"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1F14C6A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1942 г. руководство разработками самолетных приборов опознавания взял на себя НИИ ВВС. Им был заключен договор с радиозаводом-институтом НКЭП на изготовление прибора («свой – чужой»). Коллектив специалистов радиозавода, в который входил Н. Ф. Алексеев, изучил все созданные к тому времени модели приборов опознавания и в лаборатории проф. С. Э. Хайкина создал прибор, успешно прошедший испытания на истребителях Московской зоны ПВО. Он был принят на вооружение и с начала 1943 г. поставлен на серийное производство (11026).</w:t>
      </w:r>
    </w:p>
    <w:p w14:paraId="7B16D78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573979" w14:textId="77777777" w:rsidR="007C5583" w:rsidRPr="008127F8" w:rsidRDefault="007C5583" w:rsidP="007C5583">
      <w:pPr>
        <w:pStyle w:val="Bodytext1"/>
        <w:shd w:val="clear" w:color="auto" w:fill="auto"/>
        <w:spacing w:line="240" w:lineRule="auto"/>
        <w:ind w:firstLine="0"/>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В середине 1942 г. стало известно, что в Германии разработан ряд боевых само</w:t>
      </w:r>
      <w:r w:rsidRPr="008127F8">
        <w:rPr>
          <w:rFonts w:ascii="Times New Roman" w:hAnsi="Times New Roman" w:cs="Times New Roman"/>
          <w:color w:val="000000" w:themeColor="text1"/>
          <w:sz w:val="16"/>
          <w:szCs w:val="16"/>
        </w:rPr>
        <w:softHyphen/>
        <w:t>летов с различными типами реактивных двигателей - ракетных, пульсирующих и газотурбинных. Вскоре официальное со</w:t>
      </w:r>
      <w:r w:rsidRPr="008127F8">
        <w:rPr>
          <w:rFonts w:ascii="Times New Roman" w:hAnsi="Times New Roman" w:cs="Times New Roman"/>
          <w:color w:val="000000" w:themeColor="text1"/>
          <w:sz w:val="16"/>
          <w:szCs w:val="16"/>
        </w:rPr>
        <w:softHyphen/>
        <w:t>общение о создании реактивных самоле</w:t>
      </w:r>
      <w:r w:rsidRPr="008127F8">
        <w:rPr>
          <w:rFonts w:ascii="Times New Roman" w:hAnsi="Times New Roman" w:cs="Times New Roman"/>
          <w:color w:val="000000" w:themeColor="text1"/>
          <w:sz w:val="16"/>
          <w:szCs w:val="16"/>
        </w:rPr>
        <w:softHyphen/>
        <w:t>тов пришло и от союзников - из Англии, а затем и из США. Те строили истребители только с турбореактивными двигателями, поскольку собирались действовать над территорией противника, и им была нужна большая продолжительность полета.</w:t>
      </w:r>
    </w:p>
    <w:p w14:paraId="4B44B24B" w14:textId="77777777" w:rsidR="007C5583" w:rsidRPr="008127F8" w:rsidRDefault="007C5583" w:rsidP="007C5583">
      <w:pPr>
        <w:pStyle w:val="Bodytext1"/>
        <w:shd w:val="clear" w:color="auto" w:fill="auto"/>
        <w:spacing w:line="240" w:lineRule="auto"/>
        <w:ind w:firstLine="0"/>
        <w:rPr>
          <w:rFonts w:ascii="Times New Roman" w:hAnsi="Times New Roman" w:cs="Times New Roman"/>
          <w:color w:val="000000" w:themeColor="text1"/>
          <w:sz w:val="16"/>
          <w:szCs w:val="16"/>
        </w:rPr>
      </w:pPr>
      <w:r w:rsidRPr="008127F8">
        <w:rPr>
          <w:rFonts w:ascii="Times New Roman" w:hAnsi="Times New Roman" w:cs="Times New Roman"/>
          <w:color w:val="000000" w:themeColor="text1"/>
          <w:sz w:val="16"/>
          <w:szCs w:val="16"/>
        </w:rPr>
        <w:t>Работы по ТРД в Светском Союзе пока находились лишь в теоретической ста</w:t>
      </w:r>
      <w:r w:rsidRPr="008127F8">
        <w:rPr>
          <w:rFonts w:ascii="Times New Roman" w:hAnsi="Times New Roman" w:cs="Times New Roman"/>
          <w:color w:val="000000" w:themeColor="text1"/>
          <w:sz w:val="16"/>
          <w:szCs w:val="16"/>
        </w:rPr>
        <w:softHyphen/>
        <w:t>дии, потому совсем останавливать разви</w:t>
      </w:r>
      <w:r w:rsidRPr="008127F8">
        <w:rPr>
          <w:rFonts w:ascii="Times New Roman" w:hAnsi="Times New Roman" w:cs="Times New Roman"/>
          <w:color w:val="000000" w:themeColor="text1"/>
          <w:sz w:val="16"/>
          <w:szCs w:val="16"/>
        </w:rPr>
        <w:softHyphen/>
        <w:t>тие иных реактивных силовых установок было нельзя, но их значение, особенно в долгосрочной перспективе, существенно уменьшалось (17742).</w:t>
      </w:r>
    </w:p>
    <w:p w14:paraId="2578D132" w14:textId="77777777" w:rsidR="007C5583" w:rsidRPr="008127F8" w:rsidRDefault="007C5583" w:rsidP="007C5583">
      <w:pPr>
        <w:pStyle w:val="12a"/>
        <w:shd w:val="clear" w:color="auto" w:fill="auto"/>
        <w:spacing w:after="0" w:line="240" w:lineRule="auto"/>
        <w:jc w:val="both"/>
        <w:rPr>
          <w:color w:val="000000" w:themeColor="text1"/>
          <w:sz w:val="16"/>
          <w:szCs w:val="16"/>
        </w:rPr>
      </w:pPr>
    </w:p>
    <w:p w14:paraId="26FE3ED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середине 1942 г. запасы централита на среднеуральском заводе (98 им. Кирова, Пермь) иссякали. Производство зарядов для PC вот-вот должно было остановиться. Однако выход был найден. В связи с отсутствием централита возникла идея вводить в качестве стабилизатора химической стойкости пороха окись магния, являющуюся слабым основанием. На этом порохе, получившем наименование НМ-2, были изготовлены опытные партии зарядов к М-8 и M-13. </w:t>
      </w:r>
    </w:p>
    <w:p w14:paraId="02BE53A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Широкие стендовые проверки, а также контрольные стрельбовые испытания, проведенные на полигоне, прошли с положительными результатами. При этих испытаниях было установлено, что если заряды, изготовленные из пороха Н, не всегда нормально работали при температурах минус 30°С и ниже, то заряды из пороха, содержавшего окись магния, устойчиво работали во всем диапазоне возможных температур боевого применения РС, давая одновременно более низкий уровень давлений при максимальной положительной температуре заряда. </w:t>
      </w:r>
    </w:p>
    <w:p w14:paraId="5A9B8CA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Оказалось, что окись магния, введенная только как стабилизатор химической стойкости пороха, заметно улучшила и баллистические качества его. Работы Особого бюро в этом направлении положили начало исследованиям каталитических процессов при горении порохов, поискам наиболее эффективных катализаторов горения и т.д. (11209).</w:t>
      </w:r>
    </w:p>
    <w:p w14:paraId="1C6EABF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C9264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середине 1942 г. ис</w:t>
      </w:r>
      <w:r w:rsidRPr="008127F8">
        <w:rPr>
          <w:rFonts w:ascii="Times New Roman" w:hAnsi="Times New Roman"/>
          <w:color w:val="000000" w:themeColor="text1"/>
          <w:sz w:val="16"/>
          <w:szCs w:val="16"/>
        </w:rPr>
        <w:softHyphen/>
        <w:t>сякли запасы централита. Дорогомиловский завод в Москве, который его вырабатывал, эвакуировался. На новом месте это производство соз</w:t>
      </w:r>
      <w:r w:rsidRPr="008127F8">
        <w:rPr>
          <w:rFonts w:ascii="Times New Roman" w:hAnsi="Times New Roman"/>
          <w:color w:val="000000" w:themeColor="text1"/>
          <w:sz w:val="16"/>
          <w:szCs w:val="16"/>
        </w:rPr>
        <w:softHyphen/>
        <w:t>дать не успели. Возникла идея вводить в качестве стабилизатора химиче</w:t>
      </w:r>
      <w:r w:rsidRPr="008127F8">
        <w:rPr>
          <w:rFonts w:ascii="Times New Roman" w:hAnsi="Times New Roman"/>
          <w:color w:val="000000" w:themeColor="text1"/>
          <w:sz w:val="16"/>
          <w:szCs w:val="16"/>
        </w:rPr>
        <w:softHyphen/>
        <w:t>ской стойкости пороха оксид магния. Согласились на аптечном препара</w:t>
      </w:r>
      <w:r w:rsidRPr="008127F8">
        <w:rPr>
          <w:rFonts w:ascii="Times New Roman" w:hAnsi="Times New Roman"/>
          <w:color w:val="000000" w:themeColor="text1"/>
          <w:sz w:val="16"/>
          <w:szCs w:val="16"/>
        </w:rPr>
        <w:softHyphen/>
        <w:t>те - жженой магнезии - белоснежной чистой пудре. Попробовали - получилось хорошо и в технологическом смысле, и по показателям химиче</w:t>
      </w:r>
      <w:r w:rsidRPr="008127F8">
        <w:rPr>
          <w:rFonts w:ascii="Times New Roman" w:hAnsi="Times New Roman"/>
          <w:color w:val="000000" w:themeColor="text1"/>
          <w:sz w:val="16"/>
          <w:szCs w:val="16"/>
        </w:rPr>
        <w:softHyphen/>
        <w:t>ской стойкости пороха. Однако, скоро не стало и ее. Проблему решили случайно, благодаря двум рабочим саткинского завода «Магнезит», где вырабатывали оксид магния для изготовления ог</w:t>
      </w:r>
      <w:r w:rsidRPr="008127F8">
        <w:rPr>
          <w:rFonts w:ascii="Times New Roman" w:hAnsi="Times New Roman"/>
          <w:color w:val="000000" w:themeColor="text1"/>
          <w:sz w:val="16"/>
          <w:szCs w:val="16"/>
        </w:rPr>
        <w:softHyphen/>
        <w:t>неупорных кирпичей. Рабочие привезли из Сатки несколько мешков ок</w:t>
      </w:r>
      <w:r w:rsidRPr="008127F8">
        <w:rPr>
          <w:rFonts w:ascii="Times New Roman" w:hAnsi="Times New Roman"/>
          <w:color w:val="000000" w:themeColor="text1"/>
          <w:sz w:val="16"/>
          <w:szCs w:val="16"/>
        </w:rPr>
        <w:softHyphen/>
        <w:t>сида магния. С первого взгляда на продукт инженеров-пороховиков бро</w:t>
      </w:r>
      <w:r w:rsidRPr="008127F8">
        <w:rPr>
          <w:rFonts w:ascii="Times New Roman" w:hAnsi="Times New Roman"/>
          <w:color w:val="000000" w:themeColor="text1"/>
          <w:sz w:val="16"/>
          <w:szCs w:val="16"/>
        </w:rPr>
        <w:softHyphen/>
        <w:t>сило в дрожь - серый, не очень дисперсный порошок содержал до 10% видимых примесей. Теоретически, использовать его в составе пороховой массы - значит обеспечить обилие вспышек на вальцах. Между тем. ос</w:t>
      </w:r>
      <w:r w:rsidRPr="008127F8">
        <w:rPr>
          <w:rFonts w:ascii="Times New Roman" w:hAnsi="Times New Roman"/>
          <w:color w:val="000000" w:themeColor="text1"/>
          <w:sz w:val="16"/>
          <w:szCs w:val="16"/>
        </w:rPr>
        <w:softHyphen/>
        <w:t>торожное вальцевание прошло гладко, а химическая стойкость пороха и технологические качества пороховой массы вполне удовлетворяли. ГАУ разрешило использовать такой магнезит. Таким образом, с лета 1942 г. порох рецептуры Н для РС заменили на магниевый порох НМ2 не только на этом заводе, но и на других, которые были заново построены на востоке страны и запушены к этому времени (11402).</w:t>
      </w:r>
    </w:p>
    <w:p w14:paraId="2BCD9CE7"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0905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715F00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A6ACEA" w14:textId="77777777" w:rsidR="007C5583" w:rsidRPr="008127F8" w:rsidRDefault="007C5583" w:rsidP="007C5583">
      <w:pPr>
        <w:pStyle w:val="af"/>
        <w:shd w:val="clear" w:color="auto" w:fill="FFFFFF"/>
        <w:spacing w:before="0" w:after="0"/>
        <w:jc w:val="both"/>
        <w:rPr>
          <w:color w:val="000000" w:themeColor="text1"/>
          <w:sz w:val="16"/>
          <w:szCs w:val="16"/>
        </w:rPr>
      </w:pPr>
      <w:r w:rsidRPr="008127F8">
        <w:rPr>
          <w:color w:val="000000" w:themeColor="text1"/>
          <w:sz w:val="16"/>
          <w:szCs w:val="16"/>
        </w:rPr>
        <w:t>С середины 1942 г. выпуск боеприпасов стал увеличиваться. В 1944 г., по сравнению с довоенным 1940 г., было произведено 637 % снарядов, 432 % мин, 146 % патронов, 136 % авиабомб. Всего за военный период к производству боеприпасов было привлечено около предприятий различных гражданских наркоматов и ведомств. В 1942 г. возобновили производство эвакуированные пороховые заводы и начали давать продукцию вновь построенные, а также реконструированные и расширенные старые заводы. При этом более интенсивно развивалось производство нитроглицериновых порохов. При этом выпуск пироксилиновых порохов сократился в 2 раза, а более эффективные нитроглицериновые пороха в общем объёме порохов составили более 1/3. Несмотря на отмеченные успехи, советская промышленность в целом оказалась не в состоянии полностью обеспечить оборонные заводы тротилом и толуолом. Поэтому имевшуюся нехватку восполняли поставки союзников по антигитлеровской коалиции. Они начались в 1942 г., но приобрели регулярный характер только с 1943 г., когда ежемесячная потребность заводов в толуоле (в объеме т), необходимом для изготовления взрывчатых веществ, стала возмещаться за Что касается производства взрывчатых веществ, то со времен Первой мировой войны самым массовым бризантным из них был тротил (тринитротолуол). Широкое распространение тротила (применялся для снаряжения боеприпасов во всех воюющих странах) объясняется его малой чувствительностью к механическим воздействиям, что очень важно для хранения и транспортировки взрывчатых веществ (19154).</w:t>
      </w:r>
    </w:p>
    <w:p w14:paraId="78445B74" w14:textId="77777777" w:rsidR="007C5583" w:rsidRPr="008127F8" w:rsidRDefault="007C5583" w:rsidP="007C5583">
      <w:pPr>
        <w:pStyle w:val="af"/>
        <w:shd w:val="clear" w:color="auto" w:fill="FFFFFF"/>
        <w:spacing w:before="0" w:after="0"/>
        <w:jc w:val="both"/>
        <w:rPr>
          <w:color w:val="000000" w:themeColor="text1"/>
          <w:sz w:val="16"/>
          <w:szCs w:val="16"/>
        </w:rPr>
      </w:pPr>
    </w:p>
    <w:p w14:paraId="717578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1942 года за время применения МТВ на фронте было выполнено более 500 выстрелов. Имело место три случая, когда при выходе мины из ящика сопло зарядной камеры срывалось с нарезов и мина падала рядом. Для устранения недостатков на заводах им. Ленина, №371 и №232 были выполнены необходимые мероприятия. На фугасных 280-мм реактивных снарядах отрабатывалось различное боевое снаряжение. Так на АНИОПе были проведены испытания восьми 280-мм фугасных мин, снаряженных набивкой в ручную на заводе №522 синалом. Четыре мины имели пороховой заряд 6,52-6,59 кг, его для испытаний заменили на заряды весом в 7,0 кг. Другие четыре снаряда имели пороховой заряд от 6,92 до 7,15 кг, его оставили без изменений. Испытания показали одинаковое дейст-ше снарядов, снаряженных синалом и амматолом (6403, 42).</w:t>
      </w:r>
    </w:p>
    <w:p w14:paraId="428FA3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6DE6D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середине 1942 г. завод (Завод № 540 НКВ /г. Иркутск/) вошел в четверку наиболее мощных патронных заводов страны, он выпускал до 15 млн. патронов в месяц. Всего за годы войны изготовлено 700 млн. патронов.</w:t>
      </w:r>
    </w:p>
    <w:p w14:paraId="623D68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Сюда с началом войны эвакуирована часть завода № 60 НКВ,</w:t>
      </w:r>
      <w:r w:rsidRPr="008127F8">
        <w:rPr>
          <w:rFonts w:ascii="Times New Roman" w:hAnsi="Times New Roman"/>
          <w:color w:val="000000" w:themeColor="text1"/>
          <w:sz w:val="16"/>
          <w:szCs w:val="16"/>
          <w:vertAlign w:val="superscript"/>
        </w:rPr>
        <w:t>92</w:t>
      </w:r>
      <w:r w:rsidRPr="008127F8">
        <w:rPr>
          <w:rFonts w:ascii="Times New Roman" w:hAnsi="Times New Roman"/>
          <w:color w:val="000000" w:themeColor="text1"/>
          <w:sz w:val="16"/>
          <w:szCs w:val="16"/>
        </w:rPr>
        <w:t xml:space="preserve"> и, возможно, завод № 540 НКВ, которые были размещены в помещениях Иркутского авиационного техникума и художественного музея. </w:t>
      </w:r>
    </w:p>
    <w:p w14:paraId="68DBD86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соответствии с пост. ГКО № 3618 от 21.06.1943 г. на завод направлено 500 рабочих и служащих.</w:t>
      </w:r>
    </w:p>
    <w:p w14:paraId="550A4AE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05.1945 г. завод ликвидирован, оборудование и кадры переведены на другие заводы.</w:t>
      </w:r>
    </w:p>
    <w:p w14:paraId="06E845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Численность персонала (ВОВ)- около 6000 чел. (11982).</w:t>
      </w:r>
    </w:p>
    <w:p w14:paraId="17AEDCD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5B165F" w14:textId="77777777" w:rsidR="007C5583" w:rsidRPr="008127F8" w:rsidRDefault="007C5583" w:rsidP="007C5583">
      <w:pPr>
        <w:pStyle w:val="a4"/>
        <w:rPr>
          <w:color w:val="000000" w:themeColor="text1"/>
          <w:lang w:val="ru-RU"/>
        </w:rPr>
      </w:pPr>
      <w:r w:rsidRPr="008127F8">
        <w:rPr>
          <w:color w:val="000000" w:themeColor="text1"/>
          <w:lang w:val="ru-RU"/>
        </w:rPr>
        <w:t>Когда в середине 1942 г. фронт начал при</w:t>
      </w:r>
      <w:r w:rsidRPr="008127F8">
        <w:rPr>
          <w:color w:val="000000" w:themeColor="text1"/>
          <w:lang w:val="ru-RU"/>
        </w:rPr>
        <w:softHyphen/>
        <w:t>ближаться к Сталинграду, встал вопрос о ком</w:t>
      </w:r>
      <w:r w:rsidRPr="008127F8">
        <w:rPr>
          <w:color w:val="000000" w:themeColor="text1"/>
          <w:lang w:val="ru-RU"/>
        </w:rPr>
        <w:softHyphen/>
        <w:t>пенсации сокращения выпуска Т-34 на Сталин</w:t>
      </w:r>
      <w:r w:rsidRPr="008127F8">
        <w:rPr>
          <w:color w:val="000000" w:themeColor="text1"/>
          <w:lang w:val="ru-RU"/>
        </w:rPr>
        <w:softHyphen/>
        <w:t>градском тракторном заводе (СТЗ), поскольку он мог оказаться в зоне боевых действий. И Государственный Комитет обороны принял решение об освоении производства «тридцать</w:t>
      </w:r>
      <w:r w:rsidRPr="008127F8">
        <w:rPr>
          <w:color w:val="000000" w:themeColor="text1"/>
          <w:lang w:val="ru-RU"/>
        </w:rPr>
        <w:softHyphen/>
        <w:t>четверок» в Челябинске на ЧКЗ — единственном заводе, производившем тяжелые танки КВ.</w:t>
      </w:r>
    </w:p>
    <w:p w14:paraId="0376146E" w14:textId="77777777" w:rsidR="007C5583" w:rsidRPr="008127F8" w:rsidRDefault="007C5583" w:rsidP="007C5583">
      <w:pPr>
        <w:pStyle w:val="a4"/>
        <w:rPr>
          <w:color w:val="000000" w:themeColor="text1"/>
          <w:lang w:val="ru-RU"/>
        </w:rPr>
      </w:pPr>
      <w:r w:rsidRPr="008127F8">
        <w:rPr>
          <w:color w:val="000000" w:themeColor="text1"/>
          <w:lang w:val="ru-RU"/>
        </w:rPr>
        <w:t>В это же время (к середине 1942 г.) про</w:t>
      </w:r>
      <w:r w:rsidRPr="008127F8">
        <w:rPr>
          <w:color w:val="000000" w:themeColor="text1"/>
          <w:lang w:val="ru-RU"/>
        </w:rPr>
        <w:softHyphen/>
        <w:t>изошло изменение в составе руководства Наркомтанкопрома. На пост наркома вместо В.А. Малышева был назначен директор Челя</w:t>
      </w:r>
      <w:r w:rsidRPr="008127F8">
        <w:rPr>
          <w:color w:val="000000" w:themeColor="text1"/>
          <w:lang w:val="ru-RU"/>
        </w:rPr>
        <w:softHyphen/>
        <w:t>бинского Кировского завода И.М. Зальцман. Перед ним была поставлена задача — всемерно наращивать количественный выпуск танков. И.М. Зальцман обещал Сталину стремиться довести суточный выпуск до 100 единиц (12617).</w:t>
      </w:r>
    </w:p>
    <w:p w14:paraId="63FA723C" w14:textId="77777777" w:rsidR="007C5583" w:rsidRPr="008127F8" w:rsidRDefault="007C5583" w:rsidP="007C5583">
      <w:pPr>
        <w:pStyle w:val="a4"/>
        <w:rPr>
          <w:color w:val="000000" w:themeColor="text1"/>
          <w:lang w:val="ru-RU"/>
        </w:rPr>
      </w:pPr>
    </w:p>
    <w:p w14:paraId="19FD636E"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С середины 1942 г. Т-34-76 обр. 1942 г., переоборудованный в агитационный танк - танковую громкоговорящую установку ТГУ использовались на Брянском и Северо-Западном, а позднее и на некоторых других фронтах. Танки с громкоговорящими установками вводились обычно с подвижными частями в прорыв и включались в </w:t>
      </w:r>
      <w:r w:rsidRPr="008127F8">
        <w:rPr>
          <w:rFonts w:ascii="Times New Roman" w:hAnsi="Times New Roman"/>
          <w:color w:val="000000" w:themeColor="text1"/>
          <w:sz w:val="16"/>
          <w:szCs w:val="16"/>
        </w:rPr>
        <w:lastRenderedPageBreak/>
        <w:t>преследование против</w:t>
      </w:r>
      <w:r w:rsidRPr="008127F8">
        <w:rPr>
          <w:rFonts w:ascii="Times New Roman" w:hAnsi="Times New Roman"/>
          <w:color w:val="000000" w:themeColor="text1"/>
          <w:sz w:val="16"/>
          <w:szCs w:val="16"/>
        </w:rPr>
        <w:softHyphen/>
        <w:t>ника, в рейды по его тылам. Использование танковых громкоговорящих установок расширяло радиус применения устного вещания, которое проводилось на отступающие и контратакующие войска противника и на резервные гарнизоны, расположенные в нескольких километрах за линией фронта. Танковая громкоговорящая установка ТГУ представля</w:t>
      </w:r>
      <w:r w:rsidRPr="008127F8">
        <w:rPr>
          <w:rFonts w:ascii="Times New Roman" w:hAnsi="Times New Roman"/>
          <w:color w:val="000000" w:themeColor="text1"/>
          <w:sz w:val="16"/>
          <w:szCs w:val="16"/>
        </w:rPr>
        <w:softHyphen/>
        <w:t>ла собой средний танк Т-34-76, в передней части корпуса которого, на надгусеничпых полках в броневых ящиках были установлены окопные громкоговорящие установки (ОГУ). Со стороны репродукторов в бро</w:t>
      </w:r>
      <w:r w:rsidRPr="008127F8">
        <w:rPr>
          <w:rFonts w:ascii="Times New Roman" w:hAnsi="Times New Roman"/>
          <w:color w:val="000000" w:themeColor="text1"/>
          <w:sz w:val="16"/>
          <w:szCs w:val="16"/>
        </w:rPr>
        <w:softHyphen/>
        <w:t>невых ящиках имелись броневые жалюзи. В связи с монтажом ОГУ ан</w:t>
      </w:r>
      <w:r w:rsidRPr="008127F8">
        <w:rPr>
          <w:rFonts w:ascii="Times New Roman" w:hAnsi="Times New Roman"/>
          <w:color w:val="000000" w:themeColor="text1"/>
          <w:sz w:val="16"/>
          <w:szCs w:val="16"/>
        </w:rPr>
        <w:softHyphen/>
        <w:t>тенный ввод радиостанции с правого борта был перенесен на правую часть верхнего лобового листа. Мощность каждой из двух громкогово</w:t>
      </w:r>
      <w:r w:rsidRPr="008127F8">
        <w:rPr>
          <w:rFonts w:ascii="Times New Roman" w:hAnsi="Times New Roman"/>
          <w:color w:val="000000" w:themeColor="text1"/>
          <w:sz w:val="16"/>
          <w:szCs w:val="16"/>
        </w:rPr>
        <w:softHyphen/>
        <w:t>рящих установок составляла 70 Вт, что обеспечивало ведение устного вещания на дальности 1 - 2 км (10703).</w:t>
      </w:r>
    </w:p>
    <w:p w14:paraId="28DC4190"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CBF98C"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1942 г. была закончена раз</w:t>
      </w:r>
      <w:r w:rsidRPr="008127F8">
        <w:rPr>
          <w:rFonts w:ascii="Times New Roman" w:hAnsi="Times New Roman"/>
          <w:color w:val="000000" w:themeColor="text1"/>
          <w:sz w:val="16"/>
          <w:szCs w:val="16"/>
        </w:rPr>
        <w:softHyphen/>
        <w:t>работка проектов и изготовлены опытные образцы бронеавтомобиля БА-64 на железнодорожном ходу. Бронеавтомобиль конструкции Выксунского завода ДРО, спроектированный в июле 1942 г., имел сменные железнодорожные колеса. При переводе машины на железнодорожный ход колеса, предназначавшиеся для движения по обычным дорогам, снимались и закреплялись на корпусе машины. В проекте Горьковского автозавода, разработанном в ноябре 1942 г., предусматривалась возмож</w:t>
      </w:r>
      <w:r w:rsidRPr="008127F8">
        <w:rPr>
          <w:rFonts w:ascii="Times New Roman" w:hAnsi="Times New Roman"/>
          <w:color w:val="000000" w:themeColor="text1"/>
          <w:sz w:val="16"/>
          <w:szCs w:val="16"/>
        </w:rPr>
        <w:softHyphen/>
        <w:t>ность движения бронеавтомобиля по рельсам с помощью резинового хода па специальных откидных направляющих роликах (в виде желез-подорожных бандажей), устанавливавшихся на кронштейнах с пружи</w:t>
      </w:r>
      <w:r w:rsidRPr="008127F8">
        <w:rPr>
          <w:rFonts w:ascii="Times New Roman" w:hAnsi="Times New Roman"/>
          <w:color w:val="000000" w:themeColor="text1"/>
          <w:sz w:val="16"/>
          <w:szCs w:val="16"/>
        </w:rPr>
        <w:softHyphen/>
        <w:t>нами спереди и сзади машины. В предложенном проекте значительно сокращалось время подготовки бронеавтомобиля для движения сто по железнодорожной колее. Аналогичные работы в 1944 г. велись и на Московском вагоноремонтном заводе им. Войтовича. Кроме того, в годы Великой Отечественной войны велись работы по повышению проходимости серийных бронеавтомобилей по грунтам со слабой несущей способностью. Так, в 1942 - 1943 гг. был разработан, из</w:t>
      </w:r>
      <w:r w:rsidRPr="008127F8">
        <w:rPr>
          <w:rFonts w:ascii="Times New Roman" w:hAnsi="Times New Roman"/>
          <w:color w:val="000000" w:themeColor="text1"/>
          <w:sz w:val="16"/>
          <w:szCs w:val="16"/>
        </w:rPr>
        <w:softHyphen/>
        <w:t>готовлен и испытан опытный образец бронеавтомобиля БА-64 с лыжно-гуееничным движителем (10703).</w:t>
      </w:r>
    </w:p>
    <w:p w14:paraId="4031273B"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BAE53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середине 1942 коллектив под руководством В.В.Тихомирова изготовил опытный образец самолетного РЛС "Гнейс-2" (384,222).</w:t>
      </w:r>
    </w:p>
    <w:p w14:paraId="74F74BB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2066D3"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1942 г. передвижная теплопеленгаторная станция АТП-39 с личным составом была перебазирована на ораниенбаумский участок с подчинением Кронштадтскому укрепленному району (КУРу). Ее задачей было блокирование прохода южного фарватера в секторе Кронштадт — Б. Ижора — Шепелев маяк.</w:t>
      </w:r>
    </w:p>
    <w:p w14:paraId="4C15811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Дополнительной задачей являлась охрана прилегающего побережья. Особенно важно это было в зимний период при замерзании залива и возможности выхода противника на лед. Подразделение спецстанции в тот период было единственной морской воинской частью в этом прибрежном районе. Наиболее эффективная боевая работа спецстанции АТП-39 была после перебазирования ее в конце 1943 г. на о. Лавенсаари (о. Мощный). За период боевой службы на о. Лавенсари с июля 1943 г. по 20 сентября 1944 г. спецстанция АТП-39 проработала свыше двух тысяч часов в ночное время, дав 1879 обнаружений объектов — надводных кораблей и подводных лодок в надводном положении</w:t>
      </w:r>
    </w:p>
    <w:p w14:paraId="70066AC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момента освобождения г. Таллинна (22 сентября 1944 г.) спецстанция АТП-39 вместе с личным составом из ОВМБ КБФ была перебазирована в Таллиннский морской оборонительный район (18157).</w:t>
      </w:r>
    </w:p>
    <w:p w14:paraId="413A63AD"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780EBD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688A1AD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35984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середине 1942 года Т-40 практически исчезли из боевых частей. Хотя позже, при наступлении Красной Армии они могли бы принести большую пользу при форсировании крупных рек, особенно Днепра (осенью 1943 года), что позволило бы резко сократить потери при переправах (3862).</w:t>
      </w:r>
    </w:p>
    <w:p w14:paraId="441FCFA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6D4CA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середины 1942 года, когда стали создаваться механизированные корпуса 2-го формирования, а также с осени 1942 года, когда появились первые советские танковые корпуса начала складываться достаточно стройная система тактических обозначений в бронетанковых силах РККА (11993).</w:t>
      </w:r>
    </w:p>
    <w:p w14:paraId="63224B2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Можно сказать, что с 1943 года до окончания Второй Мировой войны в советских бронетанковых войсках сложилась корпусная система тактических обозначений. Приказом командира корпуса определялись символы, буквы и цифры, определяющие тактические обозначения соединений.</w:t>
      </w:r>
    </w:p>
    <w:p w14:paraId="35A90E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23-м Танковом корпусе тактическим знаком соединения являлся белый ромб обычно высотой 400 мм с буквами русского алфавита в центре. Буква "В" идентифицировала 3-ю танковую бригаду, буква "Г" - 39, а буква "Д" - 135-ю ТБр. В нравом нижнем углу относительно буквы наносилась небольшая арабская цифра, обозначавшая номер батальона. Например "В1" - 1-й батальон 3-й Танковой бригады 23-го танкового корпуса. Кроме тактического обозначения соединения на танк крупными цифрами наносился персональный идентификационный номер.</w:t>
      </w:r>
    </w:p>
    <w:p w14:paraId="318FB30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10-м Гвардейском Танковом корпусе опознавательным знаком являлась так называемая "расческа", по количеству зубьев которой определялся номер бригады в составе корпуса: 61-я Гв. ТБр. - 1 "зуб", 62-я и 63-я - 2 и 3 соответственно. Над "расческой" наносился тактический номер боевой машины ("1-24" - 1-й батальон, 24 машина, танк Т34/85).</w:t>
      </w:r>
    </w:p>
    <w:p w14:paraId="70D2C48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Отличительным знаком 7-го Гвардейского Танкового корпуса была двойная окружность с арабской цифрой в центре: "1" - для 54 Гв. ТБр., "2" - для 55-й, "3" - для 56-й.</w:t>
      </w:r>
    </w:p>
    <w:p w14:paraId="60C9DAA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11 -й Гвардейский танковый корпус имел в качестве отличительного знака короткую (подобную прямоугольнику, длиной 200 мм) белую "полосу-шеврон". Одна такая полоска обозначала 40-ю Гв. ТБр., две - 44-ю Гв. ТБр., три - 45-ю Гв. Танковую бригаду. Кроме полос-прямоугольников в 11-м Гвардейском танковом корпусе (ранее 6-й ТК) существовал другой тактический знак в виде ромба, в верхнем поле которого был цифровой номер бригады, а в нижнем - тактический номер самой машины. </w:t>
      </w:r>
    </w:p>
    <w:p w14:paraId="3AD6760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2-м Гвардейском танковом корпусе эмблемой был особый знак, под которым двузначной арабской цифрой наносили код части. Сам танк или САУ идентифицировались трехзначным тактическим номером.</w:t>
      </w:r>
    </w:p>
    <w:p w14:paraId="507A2B2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Механизированные корпуса также имели собственную систему тактических обозначений. В 7-м механизированном корпусе символом соединения являлась стилизованная стрелка. Она же обозначала 41 -ю Гв.танковую бригаду. Танковые полки механизированных бригад обозначались "размещением" стрелки внутри геометрической фигуры: треугольник - 58-й танковый полк 16-й мехбригады, круг - 84-й танковый полк 63-й мехбригады, квадрат - 177-й танковый полк 64-й мехбригады.</w:t>
      </w:r>
    </w:p>
    <w:p w14:paraId="79D65DB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Пожалуй, самая интересная и всеобъемлющая система тактических обозначений была принята в 4-м Гвардейском механизированном корпусе. Имея до июля 1944 года достаточно типичные для Красной Армии тактические обозначения в виде квадратов с цифрой знутри (квадрат с цифрой "7" имела, например 36-я Гвардейская танковая бригада), корпус в августе 1944 года должен был быть введен в прорыв на одном из участков 3-го Укра- жнского фронта. Чтобы скрыть от противника гринадлежность техники к механизированно- ну корпусу на танках, автомашинах и орудиях вместо прежних обозначений появились бе- ".ые силуэты различных зверей и птиц. Танковая бригада (36-я Гв. ТБр.) имела силуэт идущего на задних лапах медведя, 13-я Гвардей- :кая механизированная бригада - оленя, 14-я Гв. мехбригада - лошади, 15-я Гв. мехбригада - ласточки, 292-й самоходно-артиллерий- ский полк - носорога, 62-й отдельный мотоциклетный батальон (танковая рота - 10 Т34/85) - жирафа и т.д. Кроме силуэтов жи- зотных тактические обозначения дополняли буквы ("РР" - разведрота) и персональные номера или названия ("От отца Шульги сыну Кисенко" - 36 Гв. ТБр.). Всего было более 20 различных видов опознавательных знаков, которые наносились на башни танков, кабины машин, щиты орудий. С этими опознавательными знаками корпус участвовал в боях в Румынии, Болгарии, Югославии и Венгрии, а закончил боевые действия на территории Чехословакии.</w:t>
      </w:r>
    </w:p>
    <w:p w14:paraId="2FD7356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Нанесение тактических номеров также имело свои особенности. Так, в 1944-1945 годах 1-й Гвардейский механизированный корпус использовал трехзначную систему тактических обозначений. 1-я цифра соответствовала номеру бригады, а 2 и 3-я номеру танка (от 1 до 65) в механизированной бригаде. Номер 103 принадлежал 1 -й Гвардейской механизированной бригаде, номер 234 - 2-й Гвардейской мехбригаде, 340 - 3-й Гв. МБр. Подобная система использовалась также в 18-м танковом корпусе. Первые цифры 4, 5, 6 обозначали 110, 170, 181-ю бригады соответственно, а 2 и 3-я цифры - номер танка. Были и другие цифровые системы. Первой цифрой обозначался номер батальона, второй - рота, третьей - взвод или номер машины в роте.</w:t>
      </w:r>
    </w:p>
    <w:p w14:paraId="6E28F2D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Некоторые полки танков типа ИС, а также тяжелые самоходно-артиллерийские полки, придававшиеся различным соединениям, имели собственные тактические обозначения. Эти части не входили в состав танковых или механизированных корпусов, а придавались им для решения конкретной задачи или действовали наряду с корпусами в составе танковых армий.</w:t>
      </w:r>
    </w:p>
    <w:p w14:paraId="33F9A31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непосредственно танковых соединений общевойсковым армиям придавались отдельные самоходно-артиллерийские полки СУ-76, тактические обозначения которых отличались чрезвычайным разнообразием, так как единой системы характерной для танкового, механизированного или кавалерийского корпуса в таких частях не было. Например 8-я самоходно- артиллерийская бригада имела свой особый отличительный знак в виде "орла в круге". Кроме шестизначного заводского номера, нехарактерного для других советских танков и САУ, СУ-76 этой бригады имели достаточно оригинальную систему обозначения дивизиона (горизонтальные полоски над "орлом" в крут) и батареи (количество треугольников под кругом).</w:t>
      </w:r>
    </w:p>
    <w:p w14:paraId="0AF344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Самоходные полки истребителей танков также имели свои характерные знаки идентификации. Либо это были трехзначные или двузначные тактические номера с символом соединения, либо обозначение из букв русского алфавита, определяющие номер батареи в совокупности с персональным номером САУ. Например, С-13 - 4-я батарея, 13-я самоходно-артиллерийская установка.</w:t>
      </w:r>
    </w:p>
    <w:p w14:paraId="318C99B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1047-м Калиниковичском САП (САУ СУ-85), например, была разработана целая система тактических обозначений. Кроме специального тактического знака, трехзначного номера и двух красных звезд на каждом борту, справа по ходу САУ, на каждой машине имелась надпись: "Смерть немецким оккупантам!".</w:t>
      </w:r>
    </w:p>
    <w:p w14:paraId="79F0FF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На танках, поставляемых в СССР по ленд- лизу из Великобритании, Канады и США, также были присущие только им обозначения. Еще в стране-производителе на </w:t>
      </w:r>
      <w:r w:rsidRPr="008127F8">
        <w:rPr>
          <w:rFonts w:ascii="Times New Roman" w:hAnsi="Times New Roman"/>
          <w:color w:val="000000" w:themeColor="text1"/>
          <w:sz w:val="16"/>
          <w:szCs w:val="16"/>
        </w:rPr>
        <w:lastRenderedPageBreak/>
        <w:t>машину наносились четырех-, пяти- или шестизначные регистрационные знаки - белой краской с начальной литерой "т" (tank) - английские, "СТ" (Canadian tank) - канадские, а серо-голубой краской с надписью "USA" и шестизначным номером - американские. В бронетанковых частях Красной Армии заводские регистрационные знаки обычно оставляли без изменений и не закрашивали.</w:t>
      </w:r>
    </w:p>
    <w:p w14:paraId="2D85E5E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Ряд танков (особенно британских), предназначенных для поставок в СССР, изымались непосредственно из боевых частей, поэтому многие из них кроме заводских регистрационных номеров имели тактические знаки английской или американской армии. Так, танки "Тетрарх" английского производства, переданные в 151-ю танковую бригаду РККА из 9-го Уланского королевского танкового полка (Queen Lancers) 1-й английской бронетанковой дивизии уже в советской части имели британские опознавательные знаки: "белый носорог в черном овале" - знак дивизии, цифра "53" в красном квадрате - обозначения батальона. </w:t>
      </w:r>
    </w:p>
    <w:p w14:paraId="04D1AF0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регистрационного номера и тактических обозначений большинство британских танков имело личные наименования, наносимые краской но бортам корпуса. Так как танков, поставляемых из боевых частей, было немного, эти надписи присутствовали не на всех машинах, но если они были, из уважения к английским, канадским и американским танкистам их не закрашивали.</w:t>
      </w:r>
    </w:p>
    <w:p w14:paraId="7B35614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Остальные тактические и опознавательные знаки на машины, поставляемые по ленд-лизу, наносились в зависимости от соединения, театра военных действий и периода применения без существенных отличий от танков советского производства. Единственным исключением для машин зарубежного производства являлось более частое использование опознавательных красных звезд для гарантированной идентификации менее знакомых советским бойцам танков взаимодействующими частями.</w:t>
      </w:r>
    </w:p>
    <w:p w14:paraId="49E2060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Касаясь знаков воздушного опознавания, можно со всей уверенностью утверждать, что с 1941 года основным опознавательным знаком являлась уже упоминавшаяся широкая белая поперечная полоса на крыше башни. В 1942- 1945 годах ее сменил другой знак воздушной идентификации - белый (красный - для зимы) треугольник с желтым кругом в центре. Иногда в круге рисовали красную звезду, однако, и звезда, и сам круг в полевых условиях были редкостью -' на крышу башни или рубки САУ просто наносили белый треугольник. В отдельных случаях (Ленинградский фронт, 4-й Гвардейский мехкорпус) в качестве знака воздушного опознавания использовали белый (красный - для зимы) круг или другие опознавательные знаки. В 1945 году, когда Красная Армия вышла на границы Германии, возникла проблема взаимного опознавания техники между советскими и англо-американскими войсками, также вступившими в пределы III Рейха. На одном из совместных совещаний было решено, что для взаимоопознавания на советские танки будет наноситься одна, а на союзные - две белые полосы по периметру башни. На крыше башни также наносились перекрещенные белые полосы. Однако вскоре союзники отказались от этой системы и продолжали использовать красно-желтые флюоресцирующие панели воздушного опознавания, продублированные белой звездой - американским национальным опознавательным знаком, принятым в качестве основного для всех войск Антигитлеровской коалиции на Западе. В советских танковых войсках белые полосы наносили только на танки, участвовавшие в Берлинской операции. К тому же оказалось, что немцы разгадали "опознавательный код" и стали наносить опознавательные полосы на свои танки. Поэтому уже в майских, завершающих боях, на советской технике кроме полос можно было видеть вновь нанесенные белые треугольники (11993).</w:t>
      </w:r>
    </w:p>
    <w:p w14:paraId="7F0D68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6EADF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711406A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4F805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первой половине 1942 была подготовлена справка и 1 отд. Упр. технической эксплуатации ВВС Черемных для командующего ВВС Новикова:</w:t>
      </w:r>
    </w:p>
    <w:p w14:paraId="0CFC786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"Заводские дефекты по штурмовикам и истребителям. Из опроса л и командиров частей выявлен ряд дефектов в самолетах:</w:t>
      </w:r>
    </w:p>
    <w:p w14:paraId="4CA3001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самолету Ил-2</w:t>
      </w:r>
    </w:p>
    <w:p w14:paraId="2447974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Немедленно устранить недостатки в замке ДЕР-31, которые при подвеске на них ФАБ-100 от электроспуска срабатывают не все (электромагниты замка не притягивают к себе якорь, который в свою очередь не освобождает поддерживающий бомбу рычаг. Бомба с самолета не сбрасывается).</w:t>
      </w:r>
    </w:p>
    <w:p w14:paraId="69832A4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Замок бомбодержателя Дер-21 во время пикирования работает только в момент окончательного выхода из пике самолета, а надо, чтобы он срабатывал в момент пике под углом 3--35 гр. В 606 шап его переделали.</w:t>
      </w:r>
    </w:p>
    <w:p w14:paraId="67F8C09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3. Сверху центроплана над пиропистолетом бомбодержателя ДЕР-31 необходимо сделать люк для удобства съемки пиропистолета и завертывания гайки затвора</w:t>
      </w:r>
    </w:p>
    <w:p w14:paraId="4D00B3C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Установить спец. прицел, Т7К7 имеющийся во время пикирования, цели не показывает, она закрывается мотором</w:t>
      </w:r>
    </w:p>
    <w:p w14:paraId="2EFC994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5. Определить точнее угол пикирования Ил-2 для внутренних и внешних подвесок отдельно</w:t>
      </w:r>
    </w:p>
    <w:p w14:paraId="2B9017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6. Изменить предохр. стенку люка, т.к. о стенку во время сбрасывания 100 кг бомб может удариться и смяться ветряк, отчего не произойдет взрыв.</w:t>
      </w:r>
    </w:p>
    <w:p w14:paraId="51E433E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7. Сделать Ил-2 двухместным, бак с бензином, который занимает второе место, переконструировать в центроплан</w:t>
      </w:r>
    </w:p>
    <w:p w14:paraId="3AA7B07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8. Слабое место Ил-2 - хвост. Нельзя ли поставить 1-2 пулемета, чтобы можно было стрелять через хвост</w:t>
      </w:r>
    </w:p>
    <w:p w14:paraId="4E29514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9. Продумать вопрос о броне самолета, т.к. сегодняшнюю броню пробивает пуля</w:t>
      </w:r>
    </w:p>
    <w:p w14:paraId="22208D7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10. Вместо броневого железа кабины ставить небьющееся стекло, что увеличит обзор как воздушного, так и наземного противника</w:t>
      </w:r>
    </w:p>
    <w:p w14:paraId="55DF617F"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11. На Ил-2 установлены зимние жиклеры, что дает рост расхода горючего на 30-40 кг в час, что снижает радиус и врем пребывания в воздухе.</w:t>
      </w:r>
    </w:p>
    <w:p w14:paraId="75AC347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12 Установить на самолетах приспособление, изобретенное и Кривицким для самоперезярядки ВЯ при задержках</w:t>
      </w:r>
    </w:p>
    <w:p w14:paraId="6A66296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13. На затыльнике ВЯ раззенковку для штифта затыльника делать с обеих сторон, что даст возможность снимать затыльник без снятия пушки</w:t>
      </w:r>
    </w:p>
    <w:p w14:paraId="6C4E27D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 моторам:</w:t>
      </w:r>
    </w:p>
    <w:p w14:paraId="0D5BF08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1. Моторы Ил-2 по единодушному отзыву летного и технического состава - низкого качества и часто выходят из строя.</w:t>
      </w:r>
    </w:p>
    <w:p w14:paraId="1B280B9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Основные дефекты: низкое качество металлических блоков, быстрое изнашивание бронзовых шестеренок распределительных валиков, выхлопных и всасывающих патрубков, завальцовка цилиндров.</w:t>
      </w:r>
    </w:p>
    <w:p w14:paraId="6A518CC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2. Свечи СВ-20 и СВ-19 не выдерживают температурного режима и вместо 30 час. выходят из строя за 10-12 даже при нормальной работе не в боевых условиях</w:t>
      </w:r>
    </w:p>
    <w:p w14:paraId="5593725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4. В самолетах Ил-2 происходит чрезмерное выбрасывание масла через винт, чем загрязняется стекло кабины и ограничивается видимость (1633,227).</w:t>
      </w:r>
    </w:p>
    <w:p w14:paraId="1496FDC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E4D04A" w14:textId="77777777" w:rsidR="00A52711" w:rsidRPr="008A2E5A" w:rsidRDefault="00A52711" w:rsidP="00A527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первой половине 1942 г. под ру</w:t>
      </w:r>
      <w:r w:rsidRPr="008A2E5A">
        <w:rPr>
          <w:rFonts w:ascii="Times New Roman" w:hAnsi="Times New Roman"/>
          <w:color w:val="0070C0"/>
          <w:sz w:val="16"/>
          <w:szCs w:val="16"/>
        </w:rPr>
        <w:softHyphen/>
        <w:t>ководством А.А. Микулина и его зама на серийном заводе №24 в Куйбыше</w:t>
      </w:r>
      <w:r w:rsidRPr="008A2E5A">
        <w:rPr>
          <w:rFonts w:ascii="Times New Roman" w:hAnsi="Times New Roman"/>
          <w:color w:val="0070C0"/>
          <w:sz w:val="16"/>
          <w:szCs w:val="16"/>
        </w:rPr>
        <w:softHyphen/>
        <w:t>ве М.Р. Флисского на основе запускаемо</w:t>
      </w:r>
      <w:r w:rsidRPr="008A2E5A">
        <w:rPr>
          <w:rFonts w:ascii="Times New Roman" w:hAnsi="Times New Roman"/>
          <w:color w:val="0070C0"/>
          <w:sz w:val="16"/>
          <w:szCs w:val="16"/>
        </w:rPr>
        <w:softHyphen/>
        <w:t>го в серию для штурмовиков Ил-2 дви</w:t>
      </w:r>
      <w:r w:rsidRPr="008A2E5A">
        <w:rPr>
          <w:rFonts w:ascii="Times New Roman" w:hAnsi="Times New Roman"/>
          <w:color w:val="0070C0"/>
          <w:sz w:val="16"/>
          <w:szCs w:val="16"/>
        </w:rPr>
        <w:softHyphen/>
        <w:t>гателя АМ-38Ф началась разработка мо</w:t>
      </w:r>
      <w:r w:rsidRPr="008A2E5A">
        <w:rPr>
          <w:rFonts w:ascii="Times New Roman" w:hAnsi="Times New Roman"/>
          <w:color w:val="0070C0"/>
          <w:sz w:val="16"/>
          <w:szCs w:val="16"/>
        </w:rPr>
        <w:softHyphen/>
        <w:t>тора двухтысячесильного класса АМ-42. Они надеялись одновременно добиться улучшения эксплуатационной пригодно</w:t>
      </w:r>
      <w:r w:rsidRPr="008A2E5A">
        <w:rPr>
          <w:rFonts w:ascii="Times New Roman" w:hAnsi="Times New Roman"/>
          <w:color w:val="0070C0"/>
          <w:sz w:val="16"/>
          <w:szCs w:val="16"/>
        </w:rPr>
        <w:softHyphen/>
        <w:t>сти и ресурса без значительного увеличе</w:t>
      </w:r>
      <w:r w:rsidRPr="008A2E5A">
        <w:rPr>
          <w:rFonts w:ascii="Times New Roman" w:hAnsi="Times New Roman"/>
          <w:color w:val="0070C0"/>
          <w:sz w:val="16"/>
          <w:szCs w:val="16"/>
        </w:rPr>
        <w:softHyphen/>
        <w:t>ния веса и расхода топлива, чтобы сохра</w:t>
      </w:r>
      <w:r w:rsidRPr="008A2E5A">
        <w:rPr>
          <w:rFonts w:ascii="Times New Roman" w:hAnsi="Times New Roman"/>
          <w:color w:val="0070C0"/>
          <w:sz w:val="16"/>
          <w:szCs w:val="16"/>
        </w:rPr>
        <w:softHyphen/>
        <w:t>нить возможность применения нового из</w:t>
      </w:r>
      <w:r w:rsidRPr="008A2E5A">
        <w:rPr>
          <w:rFonts w:ascii="Times New Roman" w:hAnsi="Times New Roman"/>
          <w:color w:val="0070C0"/>
          <w:sz w:val="16"/>
          <w:szCs w:val="16"/>
        </w:rPr>
        <w:softHyphen/>
        <w:t>делия не только на тяжелых самолётах, но и на истребителях.</w:t>
      </w:r>
    </w:p>
    <w:p w14:paraId="42175BA2" w14:textId="77777777" w:rsidR="00A52711" w:rsidRPr="008A2E5A" w:rsidRDefault="00A52711" w:rsidP="00A527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Уменьшение степени сжатия с 6,0 до 5,5 позволило использовать бензин с бо</w:t>
      </w:r>
      <w:r w:rsidRPr="008A2E5A">
        <w:rPr>
          <w:rFonts w:ascii="Times New Roman" w:hAnsi="Times New Roman"/>
          <w:color w:val="0070C0"/>
          <w:sz w:val="16"/>
          <w:szCs w:val="16"/>
        </w:rPr>
        <w:softHyphen/>
        <w:t>лее низким октановым числом, что оста</w:t>
      </w:r>
      <w:r w:rsidRPr="008A2E5A">
        <w:rPr>
          <w:rFonts w:ascii="Times New Roman" w:hAnsi="Times New Roman"/>
          <w:color w:val="0070C0"/>
          <w:sz w:val="16"/>
          <w:szCs w:val="16"/>
        </w:rPr>
        <w:softHyphen/>
        <w:t>валось крайне важно при возникшей не</w:t>
      </w:r>
      <w:r w:rsidRPr="008A2E5A">
        <w:rPr>
          <w:rFonts w:ascii="Times New Roman" w:hAnsi="Times New Roman"/>
          <w:color w:val="0070C0"/>
          <w:sz w:val="16"/>
          <w:szCs w:val="16"/>
        </w:rPr>
        <w:softHyphen/>
        <w:t>хватке качественного топлива, а форсиро</w:t>
      </w:r>
      <w:r w:rsidRPr="008A2E5A">
        <w:rPr>
          <w:rFonts w:ascii="Times New Roman" w:hAnsi="Times New Roman"/>
          <w:color w:val="0070C0"/>
          <w:sz w:val="16"/>
          <w:szCs w:val="16"/>
        </w:rPr>
        <w:softHyphen/>
        <w:t>вали двигатель по оборотам и мощности за счёт увеличения давления наддува, по</w:t>
      </w:r>
      <w:r w:rsidRPr="008A2E5A">
        <w:rPr>
          <w:rFonts w:ascii="Times New Roman" w:hAnsi="Times New Roman"/>
          <w:color w:val="0070C0"/>
          <w:sz w:val="16"/>
          <w:szCs w:val="16"/>
        </w:rPr>
        <w:softHyphen/>
        <w:t>лучив все это по расчёту без чрезмерного расхода бензина только лишь повышени</w:t>
      </w:r>
      <w:r w:rsidRPr="008A2E5A">
        <w:rPr>
          <w:rFonts w:ascii="Times New Roman" w:hAnsi="Times New Roman"/>
          <w:color w:val="0070C0"/>
          <w:sz w:val="16"/>
          <w:szCs w:val="16"/>
        </w:rPr>
        <w:softHyphen/>
        <w:t>ем полноты его сгорания.</w:t>
      </w:r>
    </w:p>
    <w:p w14:paraId="15232AE7" w14:textId="77777777" w:rsidR="00A52711" w:rsidRPr="008A2E5A" w:rsidRDefault="00A52711" w:rsidP="00A527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ростом оборотов теплонапряжённость и нагрузки на детали, в т.ч. и частот</w:t>
      </w:r>
      <w:r w:rsidRPr="008A2E5A">
        <w:rPr>
          <w:rFonts w:ascii="Times New Roman" w:hAnsi="Times New Roman"/>
          <w:color w:val="0070C0"/>
          <w:sz w:val="16"/>
          <w:szCs w:val="16"/>
        </w:rPr>
        <w:softHyphen/>
        <w:t>ные выросли на 6-14% в зависимости от режима. Потому, чтобы не «убить» ре</w:t>
      </w:r>
      <w:r w:rsidRPr="008A2E5A">
        <w:rPr>
          <w:rFonts w:ascii="Times New Roman" w:hAnsi="Times New Roman"/>
          <w:color w:val="0070C0"/>
          <w:sz w:val="16"/>
          <w:szCs w:val="16"/>
        </w:rPr>
        <w:softHyphen/>
        <w:t>сурс двигателя, пришлось менять конструк</w:t>
      </w:r>
      <w:r w:rsidRPr="008A2E5A">
        <w:rPr>
          <w:rFonts w:ascii="Times New Roman" w:hAnsi="Times New Roman"/>
          <w:color w:val="0070C0"/>
          <w:sz w:val="16"/>
          <w:szCs w:val="16"/>
        </w:rPr>
        <w:softHyphen/>
        <w:t>цию, «удаляя» её от прототипа против же</w:t>
      </w:r>
      <w:r w:rsidRPr="008A2E5A">
        <w:rPr>
          <w:rFonts w:ascii="Times New Roman" w:hAnsi="Times New Roman"/>
          <w:color w:val="0070C0"/>
          <w:sz w:val="16"/>
          <w:szCs w:val="16"/>
        </w:rPr>
        <w:softHyphen/>
        <w:t>лания технологов серийного производ</w:t>
      </w:r>
      <w:r w:rsidRPr="008A2E5A">
        <w:rPr>
          <w:rFonts w:ascii="Times New Roman" w:hAnsi="Times New Roman"/>
          <w:color w:val="0070C0"/>
          <w:sz w:val="16"/>
          <w:szCs w:val="16"/>
        </w:rPr>
        <w:softHyphen/>
        <w:t>ства. В проекте АМ-42 усилили поршни, шатуны и коленвал, для снижения крутиль</w:t>
      </w:r>
      <w:r w:rsidRPr="008A2E5A">
        <w:rPr>
          <w:rFonts w:ascii="Times New Roman" w:hAnsi="Times New Roman"/>
          <w:color w:val="0070C0"/>
          <w:sz w:val="16"/>
          <w:szCs w:val="16"/>
        </w:rPr>
        <w:softHyphen/>
        <w:t>ных колебаний на щеках его предусмотре</w:t>
      </w:r>
      <w:r w:rsidRPr="008A2E5A">
        <w:rPr>
          <w:rFonts w:ascii="Times New Roman" w:hAnsi="Times New Roman"/>
          <w:color w:val="0070C0"/>
          <w:sz w:val="16"/>
          <w:szCs w:val="16"/>
        </w:rPr>
        <w:softHyphen/>
        <w:t>ли соответствующие противовесы, улуч</w:t>
      </w:r>
      <w:r w:rsidRPr="008A2E5A">
        <w:rPr>
          <w:rFonts w:ascii="Times New Roman" w:hAnsi="Times New Roman"/>
          <w:color w:val="0070C0"/>
          <w:sz w:val="16"/>
          <w:szCs w:val="16"/>
        </w:rPr>
        <w:softHyphen/>
        <w:t>шили смазку основных трущихся деталей. С учетом увеличенных проектных значе</w:t>
      </w:r>
      <w:r w:rsidRPr="008A2E5A">
        <w:rPr>
          <w:rFonts w:ascii="Times New Roman" w:hAnsi="Times New Roman"/>
          <w:color w:val="0070C0"/>
          <w:sz w:val="16"/>
          <w:szCs w:val="16"/>
        </w:rPr>
        <w:softHyphen/>
        <w:t>ний давлений наддува сделали новый кар</w:t>
      </w:r>
      <w:r w:rsidRPr="008A2E5A">
        <w:rPr>
          <w:rFonts w:ascii="Times New Roman" w:hAnsi="Times New Roman"/>
          <w:color w:val="0070C0"/>
          <w:sz w:val="16"/>
          <w:szCs w:val="16"/>
        </w:rPr>
        <w:softHyphen/>
        <w:t>бюратор К-42, который оставили поплав</w:t>
      </w:r>
      <w:r w:rsidRPr="008A2E5A">
        <w:rPr>
          <w:rFonts w:ascii="Times New Roman" w:hAnsi="Times New Roman"/>
          <w:color w:val="0070C0"/>
          <w:sz w:val="16"/>
          <w:szCs w:val="16"/>
        </w:rPr>
        <w:softHyphen/>
        <w:t>ковым, один на двигатель (23586).</w:t>
      </w:r>
    </w:p>
    <w:p w14:paraId="01318A42" w14:textId="77777777" w:rsidR="00A52711" w:rsidRPr="008A2E5A" w:rsidRDefault="00A52711" w:rsidP="00A52711">
      <w:pPr>
        <w:spacing w:after="0" w:line="240" w:lineRule="auto"/>
        <w:jc w:val="both"/>
        <w:rPr>
          <w:rFonts w:ascii="Times New Roman" w:hAnsi="Times New Roman"/>
          <w:color w:val="0070C0"/>
          <w:sz w:val="16"/>
          <w:szCs w:val="16"/>
        </w:rPr>
      </w:pPr>
    </w:p>
    <w:p w14:paraId="6472DCDA" w14:textId="77777777" w:rsidR="00200A42" w:rsidRPr="008A2E5A" w:rsidRDefault="00200A42" w:rsidP="00200A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первой половине 1942 г. проходил испытания опытный дальний бомбардировщик Ильюшин Ил-4 (переоборудован из серийного самолета) с М-82НВ. Модификация испытаний не выдержала и в серию не запущена (24263).</w:t>
      </w:r>
    </w:p>
    <w:p w14:paraId="258F760E" w14:textId="77777777" w:rsidR="00200A42" w:rsidRPr="008A2E5A" w:rsidRDefault="00200A42" w:rsidP="00200A42">
      <w:pPr>
        <w:spacing w:after="0" w:line="240" w:lineRule="auto"/>
        <w:jc w:val="both"/>
        <w:rPr>
          <w:rFonts w:ascii="Times New Roman" w:hAnsi="Times New Roman"/>
          <w:color w:val="0070C0"/>
          <w:sz w:val="16"/>
          <w:szCs w:val="16"/>
        </w:rPr>
      </w:pPr>
    </w:p>
    <w:p w14:paraId="7F918FC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первой половине 1942 г. в Казани продолжали заканчивать постройку самолетов Пе-8 из имеющегося задела. Одновременно на заводе продолжали переоборудование построенных экземпляров под двигатели АМ-35А. Хотя эти авиадвигатели также обладали отдельными недостатками, однако в эксплуатации считались более надежными, поэтому уже с конца 1941 г. АМ-35А устанавливались на машины, раньше летавшие с АМ-34ФРН. Указывалось, что до июля 1942 г. 12 бомбардировщиков переоснастили двигателями АМ-35А (в том числе №4218, 4221, 4215). Одновременно на всех этих прошедших ремонт самолетах демонтировали пятый двигатель в фюзеляже (АЦН). Боевая практика показала, что он утяжеляет самолет, расходует много горючего, хлопот с ним много, а преимущества не очевидны - при выполнении заданий экипажам редко приходилось забираться на максимальный потолок, а бомбометание практически всегда велось на высотах до 8000 метров.</w:t>
      </w:r>
    </w:p>
    <w:p w14:paraId="0E45CE1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Тем временем, в первой половине 1942 г. необходимость наличия в отечественных ВВС тяжелых четырехмоторных бомбардировщиков окончательно была осознана высшим руководством Советского Союза. Оказалось, что действующие по ночам крупные бомбардировочные авиагруппы могут весьма заметно влиять на обстановку на фронте. Все чаше боевые задания бомбардировщикам дальней авиации даются непосредственно Ставкой ВГК. Все больший интерес к действиям дальней авиации начинает проявлять Сталин - он, наконец, понял, какой действенный инструмент оказался у него в руках. Оказывается, отныне он мог лично, минуя различных командующих, отдавать приказания, после которых где-то на далеких аэродромах взлетали самолеты, летели за сотни, а то и за тысячи километров, исполняя задуманное в тиши кремлевского кабинета. Очевидно, именно тогда Сталин задался целью создать воздушный флот из тысячи дальних бомбардировщиков и в течение всего следующего года собирал и наращивал их количество. После создания в марте 1942 г. Авиации Дальнего Действия он опять вспомнил о ТБ-7, теперь уже именуемом Пе-8. По воспоминаниям Незваля Сталин позвонил бывшему директору завода №124 В.А.Окулову, переведенному на тот момент в Москву (на бывший авиазавод №22, теперь именуемый авиазаводом №23 и занимающемся ремонтом поврежденной техники) и спросил, сохранилась ли оснастка на Пе-8, а если </w:t>
      </w:r>
      <w:r w:rsidRPr="008127F8">
        <w:rPr>
          <w:rFonts w:ascii="Times New Roman" w:hAnsi="Times New Roman"/>
          <w:color w:val="000000" w:themeColor="text1"/>
          <w:sz w:val="16"/>
          <w:szCs w:val="16"/>
        </w:rPr>
        <w:lastRenderedPageBreak/>
        <w:t>сохранилась, возможно ли выпускать по пять таких бомбардировщиков в месяц. Окулов ответил утвердительно и скоро узнал, что производство Пе-8 восстанавливается, а он вновь назначается ответственным за его строительство (12025).</w:t>
      </w:r>
    </w:p>
    <w:p w14:paraId="2700FC1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D3B1C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первой половине 1942 г., когда программа по М-40Ф была свернута, всякие доработки Ер-2 с этим вариантом силовой установки прекратились. Не был реализован и план возобновления производства дизельных Ер-2 на заводе N 18, хотя конструкторы ОКБ Ермолаева еще в первой половине 1941 г. передали в Воронеж полный комплект чертежей (3322,36).</w:t>
      </w:r>
    </w:p>
    <w:p w14:paraId="33572A2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78BAB7"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первой половине 1942 г. завод № 153 продолжил укре</w:t>
      </w:r>
      <w:r w:rsidRPr="008A2E5A">
        <w:rPr>
          <w:rFonts w:ascii="Times New Roman" w:hAnsi="Times New Roman"/>
          <w:color w:val="0070C0"/>
          <w:sz w:val="16"/>
          <w:szCs w:val="16"/>
        </w:rPr>
        <w:softHyphen/>
        <w:t>пление своей производственной и материально-техниче</w:t>
      </w:r>
      <w:r w:rsidRPr="008A2E5A">
        <w:rPr>
          <w:rFonts w:ascii="Times New Roman" w:hAnsi="Times New Roman"/>
          <w:color w:val="0070C0"/>
          <w:sz w:val="16"/>
          <w:szCs w:val="16"/>
        </w:rPr>
        <w:softHyphen/>
        <w:t>ской базы. Для производства испытаний самолетов за</w:t>
      </w:r>
      <w:r w:rsidRPr="008A2E5A">
        <w:rPr>
          <w:rFonts w:ascii="Times New Roman" w:hAnsi="Times New Roman"/>
          <w:color w:val="0070C0"/>
          <w:sz w:val="16"/>
          <w:szCs w:val="16"/>
        </w:rPr>
        <w:softHyphen/>
        <w:t>вод им.Чкалова, не имея собственного летного поля, вы</w:t>
      </w:r>
      <w:r w:rsidRPr="008A2E5A">
        <w:rPr>
          <w:rFonts w:ascii="Times New Roman" w:hAnsi="Times New Roman"/>
          <w:color w:val="0070C0"/>
          <w:sz w:val="16"/>
          <w:szCs w:val="16"/>
        </w:rPr>
        <w:softHyphen/>
        <w:t>нужденно использовал аэродром ГВФ (гражданского воз</w:t>
      </w:r>
      <w:r w:rsidRPr="008A2E5A">
        <w:rPr>
          <w:rFonts w:ascii="Times New Roman" w:hAnsi="Times New Roman"/>
          <w:color w:val="0070C0"/>
          <w:sz w:val="16"/>
          <w:szCs w:val="16"/>
        </w:rPr>
        <w:softHyphen/>
        <w:t>душного флота), расположенный на расстоянии 14 км от цехов, куда под покровом ночи трактором возили самолеты через всю центральную часть города. В рекордно ко</w:t>
      </w:r>
      <w:r w:rsidRPr="008A2E5A">
        <w:rPr>
          <w:rFonts w:ascii="Times New Roman" w:hAnsi="Times New Roman"/>
          <w:color w:val="0070C0"/>
          <w:sz w:val="16"/>
          <w:szCs w:val="16"/>
        </w:rPr>
        <w:softHyphen/>
        <w:t>роткие сроки, за 35 дней, в тяжелых условиях сибирской зимы 1942 г. трест №7 НКАП построил бетонную взлетно- посадочную полосу размером 70x1200 м с рулежными до</w:t>
      </w:r>
      <w:r w:rsidRPr="008A2E5A">
        <w:rPr>
          <w:rFonts w:ascii="Times New Roman" w:hAnsi="Times New Roman"/>
          <w:color w:val="0070C0"/>
          <w:sz w:val="16"/>
          <w:szCs w:val="16"/>
        </w:rPr>
        <w:softHyphen/>
        <w:t>рожками, стоянками, уложив бетон на площади 111 500 м2 (согласно приказу НКАП №89с от 31 января 1942 г. земля</w:t>
      </w:r>
      <w:r w:rsidRPr="008A2E5A">
        <w:rPr>
          <w:rFonts w:ascii="Times New Roman" w:hAnsi="Times New Roman"/>
          <w:color w:val="0070C0"/>
          <w:sz w:val="16"/>
          <w:szCs w:val="16"/>
        </w:rPr>
        <w:softHyphen/>
        <w:t>ные работы должны были закончиться к 1 марта, укладка бетонных плит - к 20 апреля, а сдачу ВПП следовало про</w:t>
      </w:r>
      <w:r w:rsidRPr="008A2E5A">
        <w:rPr>
          <w:rFonts w:ascii="Times New Roman" w:hAnsi="Times New Roman"/>
          <w:color w:val="0070C0"/>
          <w:sz w:val="16"/>
          <w:szCs w:val="16"/>
        </w:rPr>
        <w:softHyphen/>
        <w:t>извести к 1 мая 1942 г.). Раньше такое строительство вес</w:t>
      </w:r>
      <w:r w:rsidRPr="008A2E5A">
        <w:rPr>
          <w:rFonts w:ascii="Times New Roman" w:hAnsi="Times New Roman"/>
          <w:color w:val="0070C0"/>
          <w:sz w:val="16"/>
          <w:szCs w:val="16"/>
        </w:rPr>
        <w:softHyphen/>
        <w:t>ти зимой и тем более в Сибири считалось невозможным. Вспоминает участник событий Ю.М. Магалиф: «Простой, краткий и понятный лозунг «Все для фронта, все для по</w:t>
      </w:r>
      <w:r w:rsidRPr="008A2E5A">
        <w:rPr>
          <w:rFonts w:ascii="Times New Roman" w:hAnsi="Times New Roman"/>
          <w:color w:val="0070C0"/>
          <w:sz w:val="16"/>
          <w:szCs w:val="16"/>
        </w:rPr>
        <w:softHyphen/>
        <w:t>беды!» определял тогда жизнь всей страны - и на воле, и в заключении, придавая ей важный смысл и наполняя каждый день активной деятельностью.</w:t>
      </w:r>
    </w:p>
    <w:p w14:paraId="149FD0FB"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конца сорок первого и всю зиму сорок второго г. за</w:t>
      </w:r>
      <w:r w:rsidRPr="008A2E5A">
        <w:rPr>
          <w:rFonts w:ascii="Times New Roman" w:hAnsi="Times New Roman"/>
          <w:color w:val="0070C0"/>
          <w:sz w:val="16"/>
          <w:szCs w:val="16"/>
        </w:rPr>
        <w:softHyphen/>
        <w:t>ключенные Центрального лагпункта сооружали аэродром для завода им. Чкалова...</w:t>
      </w:r>
    </w:p>
    <w:p w14:paraId="5220E022"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Однажды на аэродром приехал первый секретарь об</w:t>
      </w:r>
      <w:r w:rsidRPr="008A2E5A">
        <w:rPr>
          <w:rFonts w:ascii="Times New Roman" w:hAnsi="Times New Roman"/>
          <w:color w:val="0070C0"/>
          <w:sz w:val="16"/>
          <w:szCs w:val="16"/>
        </w:rPr>
        <w:softHyphen/>
        <w:t>кома партии Михаил Васильевич Кулагин. Он привез с со</w:t>
      </w:r>
      <w:r w:rsidRPr="008A2E5A">
        <w:rPr>
          <w:rFonts w:ascii="Times New Roman" w:hAnsi="Times New Roman"/>
          <w:color w:val="0070C0"/>
          <w:sz w:val="16"/>
          <w:szCs w:val="16"/>
        </w:rPr>
        <w:softHyphen/>
        <w:t>бой ящик водки. Я очень хорошо запомнил его необычай</w:t>
      </w:r>
      <w:r w:rsidRPr="008A2E5A">
        <w:rPr>
          <w:rFonts w:ascii="Times New Roman" w:hAnsi="Times New Roman"/>
          <w:color w:val="0070C0"/>
          <w:sz w:val="16"/>
          <w:szCs w:val="16"/>
        </w:rPr>
        <w:softHyphen/>
        <w:t>ную речь на небольшом митинге. Как всегда, было ветре</w:t>
      </w:r>
      <w:r w:rsidRPr="008A2E5A">
        <w:rPr>
          <w:rFonts w:ascii="Times New Roman" w:hAnsi="Times New Roman"/>
          <w:color w:val="0070C0"/>
          <w:sz w:val="16"/>
          <w:szCs w:val="16"/>
        </w:rPr>
        <w:softHyphen/>
        <w:t>но. И Кулагин кричал что было сил, ветер далеко разно</w:t>
      </w:r>
      <w:r w:rsidRPr="008A2E5A">
        <w:rPr>
          <w:rFonts w:ascii="Times New Roman" w:hAnsi="Times New Roman"/>
          <w:color w:val="0070C0"/>
          <w:sz w:val="16"/>
          <w:szCs w:val="16"/>
        </w:rPr>
        <w:softHyphen/>
        <w:t>сил его голос: «Дорогие товарищи заключенные! Да, я не оговорился - знаю, что обращаюсь к вам не по правилам, не по инструкции. Но к черту сейчас всякие инструкции! Мы сегодня с вами действительно товарищи, потому что делаем общее дело: помогаем громить фашистов. Я вам верю, как самому себе. Вы настоящие герои военного времени! Вы построите аэродром досрочно!.».</w:t>
      </w:r>
    </w:p>
    <w:p w14:paraId="524365F9"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Мы, политзаключенные, которых иначе как «контрики поганые» никто не называл, слушали секретаря обкома, разинув рты. Многие молча плакали - я это видел своими глазами. И водка тут, пожалуй, была уже не нужна: взлет</w:t>
      </w:r>
      <w:r w:rsidRPr="008A2E5A">
        <w:rPr>
          <w:rFonts w:ascii="Times New Roman" w:hAnsi="Times New Roman"/>
          <w:color w:val="0070C0"/>
          <w:sz w:val="16"/>
          <w:szCs w:val="16"/>
        </w:rPr>
        <w:softHyphen/>
        <w:t>но-посадочная полоса вырастала прямо на глазах» (23381).</w:t>
      </w:r>
    </w:p>
    <w:p w14:paraId="7EABD154" w14:textId="77777777" w:rsidR="00DB4B0C" w:rsidRPr="008A2E5A" w:rsidRDefault="00DB4B0C" w:rsidP="00DB4B0C">
      <w:pPr>
        <w:spacing w:after="0" w:line="240" w:lineRule="auto"/>
        <w:jc w:val="both"/>
        <w:rPr>
          <w:rFonts w:ascii="Times New Roman" w:hAnsi="Times New Roman"/>
          <w:color w:val="0070C0"/>
          <w:sz w:val="16"/>
          <w:szCs w:val="16"/>
        </w:rPr>
      </w:pPr>
    </w:p>
    <w:p w14:paraId="208A757C"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первой половине 1942 г. на заводе № 153 в эксплуатацию сдали лесосушилку, летно-испытательную станцию, склад боеприпасов, жилой дом площадью 3500 м2, два барака и фабрику-кух</w:t>
      </w:r>
      <w:r w:rsidRPr="008A2E5A">
        <w:rPr>
          <w:rFonts w:ascii="Times New Roman" w:hAnsi="Times New Roman"/>
          <w:color w:val="0070C0"/>
          <w:sz w:val="16"/>
          <w:szCs w:val="16"/>
        </w:rPr>
        <w:softHyphen/>
        <w:t>ню на 1400 мест. Объектом пристального внимания руко</w:t>
      </w:r>
      <w:r w:rsidRPr="008A2E5A">
        <w:rPr>
          <w:rFonts w:ascii="Times New Roman" w:hAnsi="Times New Roman"/>
          <w:color w:val="0070C0"/>
          <w:sz w:val="16"/>
          <w:szCs w:val="16"/>
        </w:rPr>
        <w:softHyphen/>
        <w:t>водства области, НКАП и завода стало улучшение мате</w:t>
      </w:r>
      <w:r w:rsidRPr="008A2E5A">
        <w:rPr>
          <w:rFonts w:ascii="Times New Roman" w:hAnsi="Times New Roman"/>
          <w:color w:val="0070C0"/>
          <w:sz w:val="16"/>
          <w:szCs w:val="16"/>
        </w:rPr>
        <w:softHyphen/>
        <w:t>риально-бытового обслуживания трудящихся. Для улуч</w:t>
      </w:r>
      <w:r w:rsidRPr="008A2E5A">
        <w:rPr>
          <w:rFonts w:ascii="Times New Roman" w:hAnsi="Times New Roman"/>
          <w:color w:val="0070C0"/>
          <w:sz w:val="16"/>
          <w:szCs w:val="16"/>
        </w:rPr>
        <w:softHyphen/>
        <w:t>шения питания работников строились объекты подсоб</w:t>
      </w:r>
      <w:r w:rsidRPr="008A2E5A">
        <w:rPr>
          <w:rFonts w:ascii="Times New Roman" w:hAnsi="Times New Roman"/>
          <w:color w:val="0070C0"/>
          <w:sz w:val="16"/>
          <w:szCs w:val="16"/>
        </w:rPr>
        <w:softHyphen/>
        <w:t>ного хозяйства - овощехранилища, фермы, свинарники, птичники, теплицы, созданы артели рыбаков (12 человек) и охотников (50 человек) для заготовки рыбы и дичи. Хле</w:t>
      </w:r>
      <w:r w:rsidRPr="008A2E5A">
        <w:rPr>
          <w:rFonts w:ascii="Times New Roman" w:hAnsi="Times New Roman"/>
          <w:color w:val="0070C0"/>
          <w:sz w:val="16"/>
          <w:szCs w:val="16"/>
        </w:rPr>
        <w:softHyphen/>
        <w:t>бопекарни завода ежедневно выпекали до 60 тонн хлеба в сутки, 10 заводских столовых на 3660 посадочных мест ежедневно выдавали 33 242 обеда (в том числе 2000 обедов для школьников). Для работников, выполнявших нор</w:t>
      </w:r>
      <w:r w:rsidRPr="008A2E5A">
        <w:rPr>
          <w:rFonts w:ascii="Times New Roman" w:hAnsi="Times New Roman"/>
          <w:color w:val="0070C0"/>
          <w:sz w:val="16"/>
          <w:szCs w:val="16"/>
        </w:rPr>
        <w:softHyphen/>
        <w:t>мы более 200%, а также работавших сверхурочно (по 12 часов) организовали двухразовое питание.</w:t>
      </w:r>
    </w:p>
    <w:p w14:paraId="2EE6B5BD"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Следствием повышенного внимания руководства к условиям труда стало всемерное развитие на заводе со</w:t>
      </w:r>
      <w:r w:rsidRPr="008A2E5A">
        <w:rPr>
          <w:rFonts w:ascii="Times New Roman" w:hAnsi="Times New Roman"/>
          <w:color w:val="0070C0"/>
          <w:sz w:val="16"/>
          <w:szCs w:val="16"/>
        </w:rPr>
        <w:softHyphen/>
        <w:t>циалистического соревнования, когда отдельные рабо</w:t>
      </w:r>
      <w:r w:rsidRPr="008A2E5A">
        <w:rPr>
          <w:rFonts w:ascii="Times New Roman" w:hAnsi="Times New Roman"/>
          <w:color w:val="0070C0"/>
          <w:sz w:val="16"/>
          <w:szCs w:val="16"/>
        </w:rPr>
        <w:softHyphen/>
        <w:t>чие, бригады и цеха, несмотря на ежемесячное увеличе</w:t>
      </w:r>
      <w:r w:rsidRPr="008A2E5A">
        <w:rPr>
          <w:rFonts w:ascii="Times New Roman" w:hAnsi="Times New Roman"/>
          <w:color w:val="0070C0"/>
          <w:sz w:val="16"/>
          <w:szCs w:val="16"/>
        </w:rPr>
        <w:softHyphen/>
        <w:t>ние задания, снижение норм времени и внедрение техни</w:t>
      </w:r>
      <w:r w:rsidRPr="008A2E5A">
        <w:rPr>
          <w:rFonts w:ascii="Times New Roman" w:hAnsi="Times New Roman"/>
          <w:color w:val="0070C0"/>
          <w:sz w:val="16"/>
          <w:szCs w:val="16"/>
        </w:rPr>
        <w:softHyphen/>
        <w:t>чески расчетных норм трудоемкости, по личной инициа</w:t>
      </w:r>
      <w:r w:rsidRPr="008A2E5A">
        <w:rPr>
          <w:rFonts w:ascii="Times New Roman" w:hAnsi="Times New Roman"/>
          <w:color w:val="0070C0"/>
          <w:sz w:val="16"/>
          <w:szCs w:val="16"/>
        </w:rPr>
        <w:softHyphen/>
        <w:t>тиве выполняли и перевыполняли свой производствен</w:t>
      </w:r>
      <w:r w:rsidRPr="008A2E5A">
        <w:rPr>
          <w:rFonts w:ascii="Times New Roman" w:hAnsi="Times New Roman"/>
          <w:color w:val="0070C0"/>
          <w:sz w:val="16"/>
          <w:szCs w:val="16"/>
        </w:rPr>
        <w:softHyphen/>
        <w:t>ный план. На заводе наряду со стахановцами (рабочие, ИТР - последователи А.Г. Стаханова, многократно пре</w:t>
      </w:r>
      <w:r w:rsidRPr="008A2E5A">
        <w:rPr>
          <w:rFonts w:ascii="Times New Roman" w:hAnsi="Times New Roman"/>
          <w:color w:val="0070C0"/>
          <w:sz w:val="16"/>
          <w:szCs w:val="16"/>
        </w:rPr>
        <w:softHyphen/>
        <w:t>вышающие установленные нормы производства за счет наивысшей производительности труда и наилучшего ис</w:t>
      </w:r>
      <w:r w:rsidRPr="008A2E5A">
        <w:rPr>
          <w:rFonts w:ascii="Times New Roman" w:hAnsi="Times New Roman"/>
          <w:color w:val="0070C0"/>
          <w:sz w:val="16"/>
          <w:szCs w:val="16"/>
        </w:rPr>
        <w:softHyphen/>
        <w:t>пользования техники) появились двухсотники, трехсотники и даже тысячники, которые путем рационализации, ис</w:t>
      </w:r>
      <w:r w:rsidRPr="008A2E5A">
        <w:rPr>
          <w:rFonts w:ascii="Times New Roman" w:hAnsi="Times New Roman"/>
          <w:color w:val="0070C0"/>
          <w:sz w:val="16"/>
          <w:szCs w:val="16"/>
        </w:rPr>
        <w:softHyphen/>
        <w:t>пользования новых приспособлений, приемов и методов перевыполняли установленные нормы боле чем на 200, 300 и 1000% соответственно. В апреле 1942 г. из 3681 стахановца (24,5% от числа производственных рабочих) 1568 составляли двухсотники и 144 - тысячники. К декаб</w:t>
      </w:r>
      <w:r w:rsidRPr="008A2E5A">
        <w:rPr>
          <w:rFonts w:ascii="Times New Roman" w:hAnsi="Times New Roman"/>
          <w:color w:val="0070C0"/>
          <w:sz w:val="16"/>
          <w:szCs w:val="16"/>
        </w:rPr>
        <w:softHyphen/>
        <w:t>рю на заводе насчитывалось 5200 стахановцев (33,9% от числа производственных рабочих), в том числе 1663двух- сотника. Отдельные рабочие завода намного перевыпол</w:t>
      </w:r>
      <w:r w:rsidRPr="008A2E5A">
        <w:rPr>
          <w:rFonts w:ascii="Times New Roman" w:hAnsi="Times New Roman"/>
          <w:color w:val="0070C0"/>
          <w:sz w:val="16"/>
          <w:szCs w:val="16"/>
        </w:rPr>
        <w:softHyphen/>
        <w:t>няли дневную норму. Например, токарь Б.Н. Зенков 9 мая выполнил 10 002% планового задания, а фрезеровщик И.И. Монахов, работая на двух станках, 24 мая 1942 г. - 14 490%. Следует особо отметить, что это пиковые ре</w:t>
      </w:r>
      <w:r w:rsidRPr="008A2E5A">
        <w:rPr>
          <w:rFonts w:ascii="Times New Roman" w:hAnsi="Times New Roman"/>
          <w:color w:val="0070C0"/>
          <w:sz w:val="16"/>
          <w:szCs w:val="16"/>
        </w:rPr>
        <w:softHyphen/>
        <w:t>зультаты выработки, в то время как среднемесячный про</w:t>
      </w:r>
      <w:r w:rsidRPr="008A2E5A">
        <w:rPr>
          <w:rFonts w:ascii="Times New Roman" w:hAnsi="Times New Roman"/>
          <w:color w:val="0070C0"/>
          <w:sz w:val="16"/>
          <w:szCs w:val="16"/>
        </w:rPr>
        <w:softHyphen/>
        <w:t>цент выполнения норм рабочими-тысячниками на заводе №153 в апреле-июне 1942 г. составлял от 100 до 260%.</w:t>
      </w:r>
    </w:p>
    <w:p w14:paraId="63D6D106"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 по себе многократное перевыполнение плана ква</w:t>
      </w:r>
      <w:r w:rsidRPr="008A2E5A">
        <w:rPr>
          <w:rFonts w:ascii="Times New Roman" w:hAnsi="Times New Roman"/>
          <w:color w:val="0070C0"/>
          <w:sz w:val="16"/>
          <w:szCs w:val="16"/>
        </w:rPr>
        <w:softHyphen/>
        <w:t>лифицированными специалистами на отдель</w:t>
      </w:r>
      <w:r w:rsidRPr="008A2E5A">
        <w:rPr>
          <w:rFonts w:ascii="Times New Roman" w:hAnsi="Times New Roman"/>
          <w:color w:val="0070C0"/>
          <w:sz w:val="16"/>
          <w:szCs w:val="16"/>
        </w:rPr>
        <w:softHyphen/>
        <w:t>ных операциях, деталях и агрегатах, безусловно, не приводило к сверхпла</w:t>
      </w:r>
      <w:r w:rsidRPr="008A2E5A">
        <w:rPr>
          <w:rFonts w:ascii="Times New Roman" w:hAnsi="Times New Roman"/>
          <w:color w:val="0070C0"/>
          <w:sz w:val="16"/>
          <w:szCs w:val="16"/>
        </w:rPr>
        <w:softHyphen/>
        <w:t>новому выпуску самоле</w:t>
      </w:r>
      <w:r w:rsidRPr="008A2E5A">
        <w:rPr>
          <w:rFonts w:ascii="Times New Roman" w:hAnsi="Times New Roman"/>
          <w:color w:val="0070C0"/>
          <w:sz w:val="16"/>
          <w:szCs w:val="16"/>
        </w:rPr>
        <w:softHyphen/>
        <w:t>тов. Более того, создав за короткий промежуток времени многомесячный задел каких-то узлов или деталей, передовые ра</w:t>
      </w:r>
      <w:r w:rsidRPr="008A2E5A">
        <w:rPr>
          <w:rFonts w:ascii="Times New Roman" w:hAnsi="Times New Roman"/>
          <w:color w:val="0070C0"/>
          <w:sz w:val="16"/>
          <w:szCs w:val="16"/>
        </w:rPr>
        <w:softHyphen/>
        <w:t>бочие вынужденно ока</w:t>
      </w:r>
      <w:r w:rsidRPr="008A2E5A">
        <w:rPr>
          <w:rFonts w:ascii="Times New Roman" w:hAnsi="Times New Roman"/>
          <w:color w:val="0070C0"/>
          <w:sz w:val="16"/>
          <w:szCs w:val="16"/>
        </w:rPr>
        <w:softHyphen/>
        <w:t>зывались в многоднев</w:t>
      </w:r>
      <w:r w:rsidRPr="008A2E5A">
        <w:rPr>
          <w:rFonts w:ascii="Times New Roman" w:hAnsi="Times New Roman"/>
          <w:color w:val="0070C0"/>
          <w:sz w:val="16"/>
          <w:szCs w:val="16"/>
        </w:rPr>
        <w:softHyphen/>
        <w:t>ном простое из-за пере</w:t>
      </w:r>
      <w:r w:rsidRPr="008A2E5A">
        <w:rPr>
          <w:rFonts w:ascii="Times New Roman" w:hAnsi="Times New Roman"/>
          <w:color w:val="0070C0"/>
          <w:sz w:val="16"/>
          <w:szCs w:val="16"/>
        </w:rPr>
        <w:softHyphen/>
        <w:t>расхода лимитирован</w:t>
      </w:r>
      <w:r w:rsidRPr="008A2E5A">
        <w:rPr>
          <w:rFonts w:ascii="Times New Roman" w:hAnsi="Times New Roman"/>
          <w:color w:val="0070C0"/>
          <w:sz w:val="16"/>
          <w:szCs w:val="16"/>
        </w:rPr>
        <w:softHyphen/>
        <w:t>ных, а порой и остроде</w:t>
      </w:r>
      <w:r w:rsidRPr="008A2E5A">
        <w:rPr>
          <w:rFonts w:ascii="Times New Roman" w:hAnsi="Times New Roman"/>
          <w:color w:val="0070C0"/>
          <w:sz w:val="16"/>
          <w:szCs w:val="16"/>
        </w:rPr>
        <w:softHyphen/>
        <w:t>фицитных, материалов. При этом число рабочих, не выполнявших нормы, хотя и снизилось к апре</w:t>
      </w:r>
      <w:r w:rsidRPr="008A2E5A">
        <w:rPr>
          <w:rFonts w:ascii="Times New Roman" w:hAnsi="Times New Roman"/>
          <w:color w:val="0070C0"/>
          <w:sz w:val="16"/>
          <w:szCs w:val="16"/>
        </w:rPr>
        <w:softHyphen/>
        <w:t>лю с 27,8 до 14,5% от чи</w:t>
      </w:r>
      <w:r w:rsidRPr="008A2E5A">
        <w:rPr>
          <w:rFonts w:ascii="Times New Roman" w:hAnsi="Times New Roman"/>
          <w:color w:val="0070C0"/>
          <w:sz w:val="16"/>
          <w:szCs w:val="16"/>
        </w:rPr>
        <w:softHyphen/>
        <w:t>сла производственных рабочих, все равно оста</w:t>
      </w:r>
      <w:r w:rsidRPr="008A2E5A">
        <w:rPr>
          <w:rFonts w:ascii="Times New Roman" w:hAnsi="Times New Roman"/>
          <w:color w:val="0070C0"/>
          <w:sz w:val="16"/>
          <w:szCs w:val="16"/>
        </w:rPr>
        <w:softHyphen/>
        <w:t>валось достаточно высо</w:t>
      </w:r>
      <w:r w:rsidRPr="008A2E5A">
        <w:rPr>
          <w:rFonts w:ascii="Times New Roman" w:hAnsi="Times New Roman"/>
          <w:color w:val="0070C0"/>
          <w:sz w:val="16"/>
          <w:szCs w:val="16"/>
        </w:rPr>
        <w:softHyphen/>
        <w:t>ким. Одной из причин не</w:t>
      </w:r>
      <w:r w:rsidRPr="008A2E5A">
        <w:rPr>
          <w:rFonts w:ascii="Times New Roman" w:hAnsi="Times New Roman"/>
          <w:color w:val="0070C0"/>
          <w:sz w:val="16"/>
          <w:szCs w:val="16"/>
        </w:rPr>
        <w:softHyphen/>
        <w:t>выполнения норм и низ</w:t>
      </w:r>
      <w:r w:rsidRPr="008A2E5A">
        <w:rPr>
          <w:rFonts w:ascii="Times New Roman" w:hAnsi="Times New Roman"/>
          <w:color w:val="0070C0"/>
          <w:sz w:val="16"/>
          <w:szCs w:val="16"/>
        </w:rPr>
        <w:softHyphen/>
        <w:t>кой производительно</w:t>
      </w:r>
      <w:r w:rsidRPr="008A2E5A">
        <w:rPr>
          <w:rFonts w:ascii="Times New Roman" w:hAnsi="Times New Roman"/>
          <w:color w:val="0070C0"/>
          <w:sz w:val="16"/>
          <w:szCs w:val="16"/>
        </w:rPr>
        <w:softHyphen/>
        <w:t>сти труда являлся недо</w:t>
      </w:r>
      <w:r w:rsidRPr="008A2E5A">
        <w:rPr>
          <w:rFonts w:ascii="Times New Roman" w:hAnsi="Times New Roman"/>
          <w:color w:val="0070C0"/>
          <w:sz w:val="16"/>
          <w:szCs w:val="16"/>
        </w:rPr>
        <w:softHyphen/>
        <w:t>статочный профессионализм рабочих в связи с тем, что в большинстве они, при</w:t>
      </w:r>
      <w:r w:rsidRPr="008A2E5A">
        <w:rPr>
          <w:rFonts w:ascii="Times New Roman" w:hAnsi="Times New Roman"/>
          <w:color w:val="0070C0"/>
          <w:sz w:val="16"/>
          <w:szCs w:val="16"/>
        </w:rPr>
        <w:softHyphen/>
        <w:t>шедшие недавно на производство, еще не приобрели тре</w:t>
      </w:r>
      <w:r w:rsidRPr="008A2E5A">
        <w:rPr>
          <w:rFonts w:ascii="Times New Roman" w:hAnsi="Times New Roman"/>
          <w:color w:val="0070C0"/>
          <w:sz w:val="16"/>
          <w:szCs w:val="16"/>
        </w:rPr>
        <w:softHyphen/>
        <w:t>буемой квалификации. Для них, а также для рабочих с ма</w:t>
      </w:r>
      <w:r w:rsidRPr="008A2E5A">
        <w:rPr>
          <w:rFonts w:ascii="Times New Roman" w:hAnsi="Times New Roman"/>
          <w:color w:val="0070C0"/>
          <w:sz w:val="16"/>
          <w:szCs w:val="16"/>
        </w:rPr>
        <w:softHyphen/>
        <w:t>лым процентом перевыполнения плана организовали 307 стахановских школ, чтобы, распространяя и внедряя пе</w:t>
      </w:r>
      <w:r w:rsidRPr="008A2E5A">
        <w:rPr>
          <w:rFonts w:ascii="Times New Roman" w:hAnsi="Times New Roman"/>
          <w:color w:val="0070C0"/>
          <w:sz w:val="16"/>
          <w:szCs w:val="16"/>
        </w:rPr>
        <w:softHyphen/>
        <w:t>редовой опыт, добиться безусловного выполнения госу</w:t>
      </w:r>
      <w:r w:rsidRPr="008A2E5A">
        <w:rPr>
          <w:rFonts w:ascii="Times New Roman" w:hAnsi="Times New Roman"/>
          <w:color w:val="0070C0"/>
          <w:sz w:val="16"/>
          <w:szCs w:val="16"/>
        </w:rPr>
        <w:softHyphen/>
        <w:t>дарственных заданий (23381).</w:t>
      </w:r>
    </w:p>
    <w:p w14:paraId="431DCA51" w14:textId="77777777" w:rsidR="00DB4B0C" w:rsidRPr="008A2E5A" w:rsidRDefault="00DB4B0C" w:rsidP="00DB4B0C">
      <w:pPr>
        <w:spacing w:after="0" w:line="240" w:lineRule="auto"/>
        <w:jc w:val="both"/>
        <w:rPr>
          <w:rFonts w:ascii="Times New Roman" w:hAnsi="Times New Roman"/>
          <w:color w:val="0070C0"/>
          <w:sz w:val="16"/>
          <w:szCs w:val="16"/>
        </w:rPr>
      </w:pPr>
    </w:p>
    <w:p w14:paraId="6C374C51"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первой половине 1942 г., когда подписывали последние чертежи, первый опытный самолет </w:t>
      </w:r>
      <w:r>
        <w:rPr>
          <w:rFonts w:ascii="Times New Roman" w:hAnsi="Times New Roman"/>
          <w:color w:val="0070C0"/>
          <w:sz w:val="16"/>
          <w:szCs w:val="16"/>
        </w:rPr>
        <w:t xml:space="preserve">ОКБ-155 </w:t>
      </w:r>
      <w:r w:rsidRPr="008A2E5A">
        <w:rPr>
          <w:rFonts w:ascii="Times New Roman" w:hAnsi="Times New Roman"/>
          <w:color w:val="0070C0"/>
          <w:sz w:val="16"/>
          <w:szCs w:val="16"/>
        </w:rPr>
        <w:t>уже почти закончили. Объемную и сложную работу только не</w:t>
      </w:r>
      <w:r w:rsidRPr="008A2E5A">
        <w:rPr>
          <w:rFonts w:ascii="Times New Roman" w:hAnsi="Times New Roman"/>
          <w:color w:val="0070C0"/>
          <w:sz w:val="16"/>
          <w:szCs w:val="16"/>
        </w:rPr>
        <w:softHyphen/>
        <w:t>давно созданный завод №155 выполнил довольно быстро с учетом небольшой чи</w:t>
      </w:r>
      <w:r w:rsidRPr="008A2E5A">
        <w:rPr>
          <w:rFonts w:ascii="Times New Roman" w:hAnsi="Times New Roman"/>
          <w:color w:val="0070C0"/>
          <w:sz w:val="16"/>
          <w:szCs w:val="16"/>
        </w:rPr>
        <w:softHyphen/>
        <w:t>сленности его работников и того, что кол</w:t>
      </w:r>
      <w:r w:rsidRPr="008A2E5A">
        <w:rPr>
          <w:rFonts w:ascii="Times New Roman" w:hAnsi="Times New Roman"/>
          <w:color w:val="0070C0"/>
          <w:sz w:val="16"/>
          <w:szCs w:val="16"/>
        </w:rPr>
        <w:softHyphen/>
        <w:t>лектив был занят и другими заданиями (23396).</w:t>
      </w:r>
    </w:p>
    <w:p w14:paraId="2077A541" w14:textId="77777777" w:rsidR="00DB4B0C" w:rsidRPr="008A2E5A" w:rsidRDefault="00DB4B0C" w:rsidP="00DB4B0C">
      <w:pPr>
        <w:spacing w:after="0" w:line="240" w:lineRule="auto"/>
        <w:jc w:val="both"/>
        <w:rPr>
          <w:rFonts w:ascii="Times New Roman" w:hAnsi="Times New Roman"/>
          <w:color w:val="0070C0"/>
          <w:sz w:val="16"/>
          <w:szCs w:val="16"/>
        </w:rPr>
      </w:pPr>
    </w:p>
    <w:p w14:paraId="31FA04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первой половине 1942 г. в лаборатории завода 36 была разработана нитрошпатлевка, в которой в качестве наполнителя использовался мел; исследовались рецептуры аэролаков АМТ с уменьшенным количеством активных растворителей (ацетона, этилацетата) (3092).</w:t>
      </w:r>
    </w:p>
    <w:p w14:paraId="5F83AC6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7AC31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559C107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318D4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первой половине 1942 года, из-за потери большой территории страны и эвакуации большого числа предприятий, танковые заводы испытывали огромный дефицит различных материалов и оборудования. Чтобы не снижать выпуск танков приходилось использовать различные методы, упрощая и удешевляя производство. Например, вместо использовавшегося ранее масляного воздухоочистителя в системе питания двигателя топливом установили воздухоочиститель типа «Циклон», повысивший степень очистки воздуха и увеличив- шийсрок работы двигателя без обслуживания. Из системы смазки двигателя убрали масляный радиатор и увеличили до 50 литров емкость масляного бака. Из-за непоставки контрольно-измерительных и электрических приборов с других заводов на танках, не выпускавшихся до лета 1942 года, часто устанавливали топливный манометр, амперметр, вольтметр, спидометр, фары, задний фонарь, электромотор вентилятора, звуковой сигнал и танковое переговорное устройство. Кроме того, значительно сократился список инструмента и запасных частей.</w:t>
      </w:r>
    </w:p>
    <w:p w14:paraId="0B0514D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связи с резким сокращением поставок резиновых бандажей для опорных катков с Ярославского резинокомбината, с января 1942 года на тридцатьчетверки ставили литые опорные катки с внутренней амортизацией, спроектированные на СТЗ осенью 1941 года. При этом как правило первый и последний катки старались ставить с резиновым бандажом. Такое решение позволяло сэкономить до полутоны резины на каждый танк. От катков с внутренней амортизацией отказались только в сентябре 1943 года, когда исчез дефицит резины.</w:t>
      </w:r>
    </w:p>
    <w:p w14:paraId="5CFE2DB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Вводились и другие упрощения. Например, наркомат танковой промышленности совместно с главным конструктором и главным технологом завода № 183 проработали в сторону упрощения и сокращения механической обработки ряд деталей и механизмов Т-34. В результате значительно сократилось время по механической обработке и освободился ряд дефицитного оборудования, например:</w:t>
      </w:r>
    </w:p>
    <w:p w14:paraId="1E2D8221"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вместо применяемого ранее метода соединения листов брони в четверть перешли на соединение листов в стык, что уменьшало время сборки до 200 часов на машину, при этом механическая прочность не снижалась;</w:t>
      </w:r>
    </w:p>
    <w:p w14:paraId="52E5F6FE"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в целях сокращения трудоемкое - ти механической обработки и освобождения прессового оборудования, детали ходовой части - механизм натяжения гусениц, ведущее колесо и др. были переведены на литье. Причем опорные катки и ведущее колесо отливали как одно целое ступицы с диском. Также отменялась «как излишняя деталь» втулка ролика ведущего колеса. Такие рекомендации рассылались НКТП по другим заводам для внедрения в производство.</w:t>
      </w:r>
    </w:p>
    <w:p w14:paraId="5B41414B"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Большая заслуга в увеличении выпуска танков Т-34 в годы Великой Отечественной войны принадлежит академику Евгению Оскаровичу Патону, разработавшему метод автоматической сварки под флюсом. Внедренный сначала на заводе № 183, а затем на других предприятиях, этот метод позволил значительно увеличить выпуск продукции.</w:t>
      </w:r>
    </w:p>
    <w:p w14:paraId="7172BDF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Возглавляемый Патоном Институт электросварки Академии наук УССР в июле - августе 1941 года по распоряжению СНК СССР эвакуировали в Нижний Тагил. С первых дней работы на Урале Евгений Оскарович направил все усилия коллектива института на разработку вопросов сварки под флюсом специальных броневых сталей для применения ее при производстве танков.</w:t>
      </w:r>
    </w:p>
    <w:p w14:paraId="59EEF097"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Дело в том, что кое-какой опыт у коллектива института уже имелся - еще до войны здесь разработали и внедрили в производство автоматическую сварку под флюсом при изготовлении железнодорожных вагонов-цистерн. Естественно, в конструкции последних использовалась другая сталь, нежели чем в танках, да и толщина материала различалась. Но самое главное, метод-то уже работал!</w:t>
      </w:r>
    </w:p>
    <w:p w14:paraId="3E90C9D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Бригада технологов под руководством В. Дятлова начала изучение вопроса возможности сварки брони, при этом основным вопросом, который предстояло решить, было образование трещин в металлах сварного шва и в зонах термического влияния.</w:t>
      </w:r>
    </w:p>
    <w:p w14:paraId="539D0A89"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Параллельно с этим под руководством главного конструктора института П. Севбо, при активном участии инженеров Ф. Руденко и Рубчинско- го, а также главного механика и главного энергетика корпусного отдела завода № 183 велось проектирование. изготовление и монтаж двух установок для сварки борта корпуса танка Т-34 с подкрылком.</w:t>
      </w:r>
    </w:p>
    <w:p w14:paraId="4AAA0F2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январе 1942 года прошло первое испытание для проверки технологии и работы оборудования. Результаты оказались хорошими, производительность сварки автоматом оказалась в десять раз выше, чем традиционной ручной.</w:t>
      </w:r>
    </w:p>
    <w:p w14:paraId="7913F56D"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После освоения сварки бортов на двух автоматических установках, на заводе № 183 постепенно перешли и на автоматическую сварку носового узла танка, картеров бортовых редукторов, крыши башни, командирской башенки, ободов опорных катков и некоторых других узлов.</w:t>
      </w:r>
    </w:p>
    <w:p w14:paraId="0DBB418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Помимо увеличения скорости выполнения работ, еще одним важным преимуществом автоматической сварки была возможность использовать для этой работы людей, не имеющих специальной подготовки даже подростков и девушек - больших физических усилий здесь не требовалось.</w:t>
      </w:r>
    </w:p>
    <w:p w14:paraId="63CD6CF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концу 1942 года на заводе № 183 имелось шесть автоматических установок, через год - 15, а еще через год - 30 штук. С середины 1942 года аналогичные установки стали устанавливать и вводить в строй и на других танковых заводах.</w:t>
      </w:r>
    </w:p>
    <w:p w14:paraId="5AD973C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Благодаря применению автоматической сварки под флюсом трудоемкость изготовления корпуса танка Т-34 снизилась в пять раз, что позволило только на заводе № 183 освободить для других работ 250 квалифицированных сварщиков (12217).</w:t>
      </w:r>
    </w:p>
    <w:p w14:paraId="633A85E8"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57300A7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xml:space="preserve">В первой половине 1942 года на различных заводах предпринимаются попытки усиления вооружения танка Т-34 и создания на его базе различных боевых машин (12217). </w:t>
      </w:r>
    </w:p>
    <w:p w14:paraId="690E7ABA"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B87294E"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первой половине 1942 года выпуск танков Т-34 осуществлялся на трех заводах:</w:t>
      </w:r>
    </w:p>
    <w:p w14:paraId="3B48793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№183 в Нижнем Тагиле;</w:t>
      </w:r>
    </w:p>
    <w:p w14:paraId="665F11C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№112 "Красное Сормово";</w:t>
      </w:r>
    </w:p>
    <w:p w14:paraId="68395D6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 Сталинградский Тракторный завод (3862).</w:t>
      </w:r>
    </w:p>
    <w:p w14:paraId="7BC1F48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Незыблемыми оставались только ТТХ танка, в деталях же танки разных заводов-изготовителей существенно отличались (3862).</w:t>
      </w:r>
    </w:p>
    <w:p w14:paraId="5ACF391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CDCAA5"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первой половине 1942 г. в КБ завода № 37 под руководством Н.А. Попова был разработан Танк Т-70 с 37-мм пушкой Ш-37. Опытный об</w:t>
      </w:r>
      <w:r w:rsidRPr="008127F8">
        <w:rPr>
          <w:rFonts w:ascii="Times New Roman" w:hAnsi="Times New Roman"/>
          <w:color w:val="000000" w:themeColor="text1"/>
          <w:sz w:val="16"/>
          <w:szCs w:val="16"/>
        </w:rPr>
        <w:softHyphen/>
        <w:t>разец был изготовлен летом 1942 г. В декабре 1942 г. машина была пред</w:t>
      </w:r>
      <w:r w:rsidRPr="008127F8">
        <w:rPr>
          <w:rFonts w:ascii="Times New Roman" w:hAnsi="Times New Roman"/>
          <w:color w:val="000000" w:themeColor="text1"/>
          <w:sz w:val="16"/>
          <w:szCs w:val="16"/>
        </w:rPr>
        <w:softHyphen/>
        <w:t>ставлена на государственные испытания, которые не выдержала из-за неудачной компоновки боевого отделения. Танк был создан на базе серийного танка Т-70, от которого отличал</w:t>
      </w:r>
      <w:r w:rsidRPr="008127F8">
        <w:rPr>
          <w:rFonts w:ascii="Times New Roman" w:hAnsi="Times New Roman"/>
          <w:color w:val="000000" w:themeColor="text1"/>
          <w:sz w:val="16"/>
          <w:szCs w:val="16"/>
        </w:rPr>
        <w:softHyphen/>
        <w:t>ся установкой 37-мм автоматической пушки в несколько измененной башне на штатной опоре. Экипаж машины состоял из двух человек. Компоновка и размещение основных узлов и агрегатов, а также распо</w:t>
      </w:r>
      <w:r w:rsidRPr="008127F8">
        <w:rPr>
          <w:rFonts w:ascii="Times New Roman" w:hAnsi="Times New Roman"/>
          <w:color w:val="000000" w:themeColor="text1"/>
          <w:sz w:val="16"/>
          <w:szCs w:val="16"/>
        </w:rPr>
        <w:softHyphen/>
        <w:t>ложение экипажа танка основных изменений не претерпели, за исклю</w:t>
      </w:r>
      <w:r w:rsidRPr="008127F8">
        <w:rPr>
          <w:rFonts w:ascii="Times New Roman" w:hAnsi="Times New Roman"/>
          <w:color w:val="000000" w:themeColor="text1"/>
          <w:sz w:val="16"/>
          <w:szCs w:val="16"/>
        </w:rPr>
        <w:softHyphen/>
        <w:t>чением башни и установки вооружения. В качестве основного оружия на танке была установлена 37-мм авто</w:t>
      </w:r>
      <w:r w:rsidRPr="008127F8">
        <w:rPr>
          <w:rFonts w:ascii="Times New Roman" w:hAnsi="Times New Roman"/>
          <w:color w:val="000000" w:themeColor="text1"/>
          <w:sz w:val="16"/>
          <w:szCs w:val="16"/>
        </w:rPr>
        <w:softHyphen/>
        <w:t>матическая пушка Ш-37 конструкции Б.Г. Шпитального с начальной ско</w:t>
      </w:r>
      <w:r w:rsidRPr="008127F8">
        <w:rPr>
          <w:rFonts w:ascii="Times New Roman" w:hAnsi="Times New Roman"/>
          <w:color w:val="000000" w:themeColor="text1"/>
          <w:sz w:val="16"/>
          <w:szCs w:val="16"/>
        </w:rPr>
        <w:softHyphen/>
        <w:t>ростью снаряда 1000 м/с с возможностью стрельбы по воздушным целям. Конструкция автоматики пушки была основана на принципе отвода газов из канала ствола. Питание пушки - магазинное. Углы наводки по вертика</w:t>
      </w:r>
      <w:r w:rsidRPr="008127F8">
        <w:rPr>
          <w:rFonts w:ascii="Times New Roman" w:hAnsi="Times New Roman"/>
          <w:color w:val="000000" w:themeColor="text1"/>
          <w:sz w:val="16"/>
          <w:szCs w:val="16"/>
        </w:rPr>
        <w:softHyphen/>
        <w:t>ли составляли от -4 до +77°. При стрельбе по наземным целям использо</w:t>
      </w:r>
      <w:r w:rsidRPr="008127F8">
        <w:rPr>
          <w:rFonts w:ascii="Times New Roman" w:hAnsi="Times New Roman"/>
          <w:color w:val="000000" w:themeColor="text1"/>
          <w:sz w:val="16"/>
          <w:szCs w:val="16"/>
        </w:rPr>
        <w:softHyphen/>
        <w:t>вался телескопический прицел, по воздушным - коллиматорный прицел К-8Т. Наводка оружия на цель осуществлялось с помощью штатных при</w:t>
      </w:r>
      <w:r w:rsidRPr="008127F8">
        <w:rPr>
          <w:rFonts w:ascii="Times New Roman" w:hAnsi="Times New Roman"/>
          <w:color w:val="000000" w:themeColor="text1"/>
          <w:sz w:val="16"/>
          <w:szCs w:val="16"/>
        </w:rPr>
        <w:softHyphen/>
        <w:t>водов - шестеренчатого механизма поворота башни и винтового подъем</w:t>
      </w:r>
      <w:r w:rsidRPr="008127F8">
        <w:rPr>
          <w:rFonts w:ascii="Times New Roman" w:hAnsi="Times New Roman"/>
          <w:color w:val="000000" w:themeColor="text1"/>
          <w:sz w:val="16"/>
          <w:szCs w:val="16"/>
        </w:rPr>
        <w:softHyphen/>
        <w:t>ного механизма. При движении по-походному пушка стопорилась с помо</w:t>
      </w:r>
      <w:r w:rsidRPr="008127F8">
        <w:rPr>
          <w:rFonts w:ascii="Times New Roman" w:hAnsi="Times New Roman"/>
          <w:color w:val="000000" w:themeColor="text1"/>
          <w:sz w:val="16"/>
          <w:szCs w:val="16"/>
        </w:rPr>
        <w:softHyphen/>
        <w:t>щью двух специальных стоек, крепившихся на верхнем лобовом листе. В боекомплект пушки входили 200 выстрелов (10 магазинов). Дополнитель</w:t>
      </w:r>
      <w:r w:rsidRPr="008127F8">
        <w:rPr>
          <w:rFonts w:ascii="Times New Roman" w:hAnsi="Times New Roman"/>
          <w:color w:val="000000" w:themeColor="text1"/>
          <w:sz w:val="16"/>
          <w:szCs w:val="16"/>
        </w:rPr>
        <w:softHyphen/>
        <w:t>но в боевом отделении укладывались один 7,62-мм пистолет-пулемет ППШ с боекомплектом 213 патронов (3 диска) и 10 ручных гранат Ф-1 (10703).</w:t>
      </w:r>
    </w:p>
    <w:p w14:paraId="23E40AFD" w14:textId="77777777" w:rsidR="007C5583" w:rsidRPr="008127F8" w:rsidRDefault="007C5583" w:rsidP="007C558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47C748"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первой половине 1942 года начали проявляться основные проблемы организации работы свердловского завода № 37 - эвакуированные производства были размещены на трех площадках города, которые были отдалены друг от друга на несколько километров. Транспортные трудности взаимодействия разных цехов внутри одного завода стали лишь первым номером в длинном списке проблемных моментов существования предприятия.</w:t>
      </w:r>
    </w:p>
    <w:p w14:paraId="49B4F570"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г. сказалась поспешность при возведении цехов завода в конце предыдущего года. Крыши двух корпусов на территории бывшего завода им. Воеводина были временного типа: дощатый настил покрыт одним слоем толя. Во время дождя влага просачивалась сквозь образовавшиеся щели и попадала на оборудование и электропроводку[449].</w:t>
      </w:r>
    </w:p>
    <w:p w14:paraId="3E38B330"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этот же период на заводе официально на должность начальника конструкторского отдела никто не был назначен. Фактически отделом руководил Суренян, поставленный устным распоряжением директора. Впоследствии все назначения на эту должность носили случайный и непостоянный характер. Такое отношение к конструкторскому отделу привело к тому, что он «из мозга завода превратился в самый плохой отдел». Конструкторы практически перестали общаться с производственниками, работы по улучшению конструкции танка Т-60 и внедрению в производство танка Т-70 по отдельным узлам или проводились с большим трудом, или не проводились совсем.</w:t>
      </w:r>
    </w:p>
    <w:p w14:paraId="203F08B0"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Экспериментальный цех хоть и был создан, но совершенно не обеспечен ни кадрами, ни оборудованием, ни площадями и влачил жалкое существование. По словам самих конструкторов завода, танк Т-60 танкисты, не лишенные чувства юмора, прозвали ГД-2 («гроб на двоих»); но при таком отношении к изыскательским работам ни о каком усовершенствовании машины не могло быть и речи[450].</w:t>
      </w:r>
    </w:p>
    <w:p w14:paraId="2D3D1005"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Необходимо отметить, что танки, собираемые заводом № 37, за весь период его существования были довольно низкого качества. Предприятие постоянно получало на свою продукцию большое количество рекламаций. В основном это были претензии на плохое качество бронекорпуса: при пробитии брони образовывалось не отверстие, а раскол плиты; сварные швы были не способны выдержать необходимые нагрузки и при попадании снаряда лопались[451].</w:t>
      </w:r>
    </w:p>
    <w:p w14:paraId="1A9C5F9E"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первой половине 1942 года начали проявляться основные проблемы организации работы свердловского завода № 37. Мы уже видели, что эвакуированные производства были размещены на трех площадках города, которые были отдалены друг от друга на несколько километров.</w:t>
      </w:r>
    </w:p>
    <w:p w14:paraId="7C0CF508"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Транспортные трудно сти взаимодействия разных цехов внутри одного завода стали лишь первым номером в длинном списке проблемных моментов существования предприятия.</w:t>
      </w:r>
    </w:p>
    <w:p w14:paraId="18211C6F"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1942 г. сказалась поспешность при возведении цехов завода в конце предыдущего года. Крыши двух корпусов на территории бывшего завода им. Воеводина были временного типа: дощатый настил покрыт одним слоем толя. Во время дождя влага просачивалась сквозь образовавшиеся щели и попадала на оборудование и электропроводку[449].</w:t>
      </w:r>
    </w:p>
    <w:p w14:paraId="494C90C9"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этот же период на заводе официально на должность начальника конструкторского отдела никто не был назначен. Фактически отделом руководил Суренян, поставленный устным распоряжением директора. Впоследствии все назначения на эту должность носили случайный и непостоянный характер. Такое отношение к конструкторскому отделу привело к тому, что он «из мозга завода превратился в самый плохой отдел». Конструкторы практически перестали общаться с производственниками, работы по улучшению конструкции танка Т-60 и внедрению в производство танка Т-70 по отдельным узлам или проводились с большим трудом, или не проводились совсем.</w:t>
      </w:r>
    </w:p>
    <w:p w14:paraId="195B4D48"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Экспериментальный цех хоть и был создан, но совершенно не обеспечен ни кадрами, ни оборудованием, ни площадями и влачил жалкое существование. По словам самих конструкторов завода, танк Т-60 танкисты, не лишенные чувства юмора, прозвали ГД-2 («гроб на двоих»); но при таком отношении к изыскательским работам ни о каком усовершенствовании машины не могло быть и речи[450].</w:t>
      </w:r>
    </w:p>
    <w:p w14:paraId="5EB089F6"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Необходимо отметить, что танки, собираемые заводом № 37, за весь период его существования были довольно низкого качества. Предприятие постоянно получало на свою продукцию большое количество рекламаций. В основном это были претензии на плохое качество бронекорпуса: при пробитии брони образовывалось не отверстие, а раскол плиты; сварные швы были не способны выдержать необходимые нагрузки и при попадании снаряда лопались[451].</w:t>
      </w:r>
    </w:p>
    <w:p w14:paraId="35A99529"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Зависимость предприятия от поставок комплектующих с других заводов стала главной «ахиллесовой пятой» завода и причиной постоянных головных болей его руководства. Завод № 183, согласно приказу наркома танковой промышленности В.А. Малышева от 2 декабря 1941 г., являлся постоянной базой по поставке литья для завода № 37: отливка траков, катков, ленивцев, масок и т. д.[453] Позже к поставкам литья, а также поковок были подключены челябинский Кировский завод, УЗТМ и СТЗ. Новотагильский металлургический завод поставлял броневой лист, Горьковский автомобильный завод - двигатели, среди поставщиков были</w:t>
      </w:r>
    </w:p>
    <w:p w14:paraId="45CC03DC"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Свердловский завод РТИ и другие предприятия[454].</w:t>
      </w:r>
    </w:p>
    <w:p w14:paraId="3EBCF114"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самого начала производства (конец ноября 1941 г.) и вплоть до переподчинения в сентябре 1942 года Уралмашу завод № 37 испытывал трудности из-за постоянных задержек предприятиями-изготовителями поставок по основным деталям. Нерешенность вопросов кооперирования и отсутствие надежной базы снабжения приводили к частым простоям конвейера сборки танков; руководство завода № 37 буквально завалило отдел танковой промышленности Свердловского обкома ВКП(б) жалобами на своих поставщиков. Задержки поставок комплектующих приводили к простоям собственного производства: «За первую пятидневку [мая 1942 г.] Горьковский автомобильный завод отгрузил нам третьего мая всего лишь 9 моторов [из 75]. Таким образом, завод в настоящее время третьи сутки стоит из-за отсутствия моторов и не собирает машин. Поставщиками траков для нашего завода является завод № 183. и завод СТЗ... [Из-за недопоставок этими заводами данной продукции в апреле заводом № 37] спущено с конвейера 109 машин без траков.» (из обращения директора завода № 37 Г.Р. Фрезерова к секретарю Свердловского обкома ВКП(б) В.М. Андрианову)[455].</w:t>
      </w:r>
    </w:p>
    <w:p w14:paraId="71796427"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Склады и территория забивались недоделанными машинами, мешая производству новых. Особенно тяжелое положение было с траками. Например, директор завода № 37 Г.Р. Фрезеров в своей жалобе писал следующее: «.аппарат [директора завода № 183 И.М. Зальцмана] в лице начальника цеха тов. Грачева заявил нашему представителю, что отливать траки не собирается»[456]. И только вмешательство свердловского обкома или Наркомата помогало выйти из очередной кризисной ситуации и заставить поставщиков выполнить свои обязательства[457]. Пытаясь найти выход из создавшейся ситуации, Наркомат танковой промышленности разрешил заводу № 37 премировать из собственных фондов работников предприятий - поставщиков, выполнявших графики поставок[458].</w:t>
      </w:r>
    </w:p>
    <w:p w14:paraId="59042ED7"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заводе создалось сложное положение, среди причин которого можно выделить следующие: чрезмерно затянутый монтаж оборудования эвакуированных заводов, плохо организованная структура управления заводом, недостаток кадров и срывы по заказам кооперации[459]. Кроме того, внутри руководства завода сложились отношения, которые директор Уралмашзавода охарактеризовал как «ненормальные»[460].</w:t>
      </w:r>
    </w:p>
    <w:p w14:paraId="1085E5EB"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Поскольку новый завод был создан из трех эвакуированных предприятий и двух местных, на нем неизбежно возникали трения внутри объединенного коллектива. Но вместо устранения разногласий они только усиливались дирекцией завода. Например, бывший главный инженер Подольского завода был послан на свердловский завод № 37 в качестве директора, но впоследствии директор завода Г.Р. Фрезеров назначил его сначала своим заместителем, затем заместителем главного инженера, а в самый разгар восстановительных работ - помощником директора по социально-бытовым вопросам. На заводе существовала внутренняя борьба между бывшими работниками московского завода № 37 и завода «КИМ». По сути дела, именно руководством был спровоцирован конфликт с бывшими работниками Подольского завода, после чего большинство из них ушло на другие предприятия.</w:t>
      </w:r>
    </w:p>
    <w:p w14:paraId="7BD22CDA"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Существовавшая на заводе дисциплина находилась явно в неудовлетворительном состоянии. Приказы руководства были не продуманы и часто отменялись. Неудивительно, что в таких условиях работники завода не считали себя обязанными выполнять волю дирекции. На фоне этого необходимо отметить тот факт, что, по данным директора Уралмаша, завод № 37 располагал самым большим в Свердловске парком легковых автомобилей (26 машин) для обслуживания нужд руководящего состава (к примеру, у гораздо более крупного Уралмаша их было 16, у артиллерийского завода № 8 НКВ - 13 и т. д.)[461]. Сам по себе этот факт не является примером отрицательным. Необходимо иметь в виду, что завод был разнесен по разным частям Свердловска, а нужды оперативного управления требовали регулярного присутствия представите - лей дирекции на том или ином участке. Но Б.Г. Музруков именно факт большого количества автомобилей считал отрицательной характеристикой руководства завода № 37.</w:t>
      </w:r>
    </w:p>
    <w:p w14:paraId="490FA826"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марта 1942 г. ГКО принял на вооружение новый легкий танк Т-70. Это была глубокая модернизация Т-60. Новая машина получила усиленную на 10 мм лобовую броню и броню башни, а вместо 20-миллиметровой авиационной пушки - 45-миллиметровую пушку. Но остался один из важнейших недостатков Т-60 - экипаж всего 2 человека. Выпуск нового танка уже в апреле должны были начать свердловский завод № 37 и кировский завод № 38 (бывший Коломенский). До конца мая изготовление Т-60 и Т-70 должно было идти параллельно, а с июня - только Т-70: в июне 125 танков на заводе № 37 и 120 танков на заводе № 38, в июле 175 и 150 танков соответственно[462]. Также легкие танки продолжал выпускать ГАЗ. Сталинградский завод № 264 выпускал только Т-60. Корпусное производство Т-70 было организовано на заводах № 176, 177 и 180[463]. Двигатели поставлял ГАЗ[464].</w:t>
      </w:r>
    </w:p>
    <w:p w14:paraId="78B28481"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завод № 37 так и не смог наладить производство нового легкого танка. Видя бесперспективность увеличения количества выпускаемых на свердловском заводе легких танков, правительство приняло решение о снижении плана для этого предприятия. Приказом наркома танковой промышленности от 29 апреля 1942 г. заводу № 37 было предписано перейти на ежесуточный выпуск 15 танков (вместо 20-25) и передать освободившееся оборудование заводу № 76[465].</w:t>
      </w:r>
    </w:p>
    <w:p w14:paraId="73924CBC"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Тем не менее с конца 1941 г. и по середину 1942 г. завод непрерывно увеличивал выпуск легких танков. Уже в течение II квартала 1942 г. он фактически вышел на уровень планового производства. Всего за период своего существования в Свердловске завод № 37 произвел 1249 легких танков[466]. По данным А. А. Антуфьева, завод в 1942 г. выпустил 1218 танков Т-60 и около десяти Т-70[467]. По другим данным - 1219 легких танков Т-30 и Т-60 (см. таблицу 5.7 приложения) (23536).</w:t>
      </w:r>
    </w:p>
    <w:p w14:paraId="4E96BC83" w14:textId="77777777" w:rsidR="00DB4B0C" w:rsidRPr="008A2E5A" w:rsidRDefault="00DB4B0C" w:rsidP="00DB4B0C">
      <w:pPr>
        <w:spacing w:after="0" w:line="240" w:lineRule="auto"/>
        <w:jc w:val="both"/>
        <w:rPr>
          <w:rFonts w:ascii="Times New Roman" w:hAnsi="Times New Roman"/>
          <w:color w:val="0070C0"/>
          <w:sz w:val="16"/>
          <w:szCs w:val="16"/>
        </w:rPr>
      </w:pPr>
    </w:p>
    <w:p w14:paraId="07CABCF1"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течение первой половины 1942 года Свердловский дизельный завод № 76 активно наращивал производственные обороты. Но этот процесс был связан с низким качеством танковых двигателей, выпускаемых заводом. Во многом (но не во всём) проблемы завода № 76 объяснялись неудовлетворительными поставками отдельных узлов и деталей кооперирующими предприятиями. Прежде всего Уралмашем. Поставки Уралмашем силуминовых отливок для Уралтурбозавода, начиная с осени 1941 г., постоянно росли.</w:t>
      </w:r>
    </w:p>
    <w:p w14:paraId="07BF2ABE"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в то же время поставки с УЗТМ и других предприятий отличались, во- первых, неритмичностью, а во-вторых, большим количеством брака, что очень часто создавало напряженную ситуацию с производством на заводе. Например, вследствие серьезного нарушения технологического процесса, захламленности и неорганизованности рабочих мест продукция цеха № 34 УЗТМ (производство деталей В-2) содержала большое количество брака[469].</w:t>
      </w:r>
    </w:p>
    <w:p w14:paraId="4BD76F8C"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1942 г. Уралмашзавод, являясь для завода № 76 единственным производителем бронзовых прутков БАЖМ, постоянно задерживал их поставки[470]; в апреле того же года временно прекратил производство штамповок для В-2, чем вынудил директора завода № 76 Д.Е. Кочеткова обратиться непосредственно в СНК СССР с просьбой оказать давление на руководство УЗТМ[471]. В январе 1942 г. задержки поставок ряда деталей к двигателю В-2 (топливных насосов, форсунок и др.) и отсутствие поставок ковкого чугуна с Кировского завода привели к временной остановке производства моторов и потребовали личного вмешательства секретаря Свердловского обкома В.М. Андрианова[472]. В июне 1942 г. Златоустовский металлургический завод и Магнитогорский металлургический комбинат задержали поставку легированного металла свердловскому дизельному заводу[473].</w:t>
      </w:r>
    </w:p>
    <w:p w14:paraId="22DF345D"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списывать вину только на соответствующие предприятия нельзя, поскольку сами они находились в абсолютно схожих условиях. Задержки у УЗТМ возникали, как правило, по причинам задержек поставок со стороны других контрагентов или в результате неудовлетворительной работы железной дороги. К сожалению, невозможность, например, Серовского завода вовремя изготовить специальные сплавы для Уралмаша оборачивалась срывом производства комплектующих для Кировского завода или завода № 76.</w:t>
      </w:r>
    </w:p>
    <w:p w14:paraId="67E899D7"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говоря о плохом качестве двигателей завода № 76, необходимо учитывать тот факт, что значительная часть полуфабрикатов, получаемых от заводов-поставщиков (в первую очередь от УЗТМ - основной заготовительной базы и Кировского завода - поставщика топливной аппаратуры), содержали большое количество брака, исправлять который приходилось уже дизельному заводу. Вопрос о качестве поставляемых заготовок, отдельных узлов и агрегатов периодически вставал в течение всей войны.</w:t>
      </w:r>
    </w:p>
    <w:p w14:paraId="6162C6F0"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все же, несмотря на все эти трудности, начиная со второй половины 1942 г. завод № 76 начал успешно выполнять заданную программу по двигателю В-2. Оговоримся сразу, что в этом выполнении не учитывалась дефектная продукция, которая выявлялась после приемки военпредами. Уже в сентябре 1942 г. заводом было произведено на 50 моторов больше плановых показателей, за что в октябре он получил переходящее Красное знамя Государственного Комитета Обороны[474] и продолжал его держать в течение четырех месяцев[475] (23536).</w:t>
      </w:r>
    </w:p>
    <w:p w14:paraId="2576CC5E" w14:textId="77777777" w:rsidR="00DB4B0C" w:rsidRPr="008A2E5A" w:rsidRDefault="00DB4B0C" w:rsidP="00DB4B0C">
      <w:pPr>
        <w:spacing w:after="0" w:line="240" w:lineRule="auto"/>
        <w:jc w:val="both"/>
        <w:rPr>
          <w:rFonts w:ascii="Times New Roman" w:hAnsi="Times New Roman"/>
          <w:color w:val="0070C0"/>
          <w:sz w:val="16"/>
          <w:szCs w:val="16"/>
        </w:rPr>
      </w:pPr>
    </w:p>
    <w:p w14:paraId="7E8646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00543DF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D9F1E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середине 1942 кончился запас бронелистов, поставленных заводом "Красный Октябрь" из Сталинграда, который успел до эвакуации выдать большую партию. После обсуждения с И.Ф.Тевосяном, где делать тонкий броневой - решили с середины 1942 - на Новокузнецком металлургическом заводе. Здесь стали делать не АБ-1, а АБ-2 с меньшим содержанием никеля, но требующей более четкое следование технологии штамповки (180,124).</w:t>
      </w:r>
    </w:p>
    <w:p w14:paraId="56218468"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E16411"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1942 г. С.В.Ильюшин, учитывая опыт боевого применения самолетов Ил-4, выступил с предложением о создании дальнего бомбардировщика с теми же, что и у Ил-4, дальностью полета и величиной нормального бомбового груза, но со значительно большей (почти на 100 км/ч) крейсерской скоростью при полете на максимальную дальность, усиленным бортовым оборонительным вооружением, лучшей бронезащитой рабочих мест экипажа. Боевую эффективность нового бомбардировщика повысили также введением в состав экипажа второго пилота и оснащением самолета проти-вообледенительной системой, использующей для обогрева передних кромок крыла и оперения тепло выхлопных газов двух звездообразных двигателей воздушного охлаждения М-71 с взлетной мощностью по 2000 л.с. Именно под мощность двигателей М-71 и были “завязаны” все основные параметры этого самолета (9528).</w:t>
      </w:r>
    </w:p>
    <w:p w14:paraId="07C8DBA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42BAB8"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1942 г. в ЦАГИ провели исследо</w:t>
      </w:r>
      <w:r w:rsidRPr="008A2E5A">
        <w:rPr>
          <w:rFonts w:ascii="Times New Roman" w:hAnsi="Times New Roman"/>
          <w:color w:val="0070C0"/>
          <w:sz w:val="16"/>
          <w:szCs w:val="16"/>
        </w:rPr>
        <w:softHyphen/>
        <w:t>вания аэродинамики первых серийных самолетов Як-7Б 22-й серии. В качестве показателя совершенства аэроди</w:t>
      </w:r>
      <w:r w:rsidRPr="008A2E5A">
        <w:rPr>
          <w:rFonts w:ascii="Times New Roman" w:hAnsi="Times New Roman"/>
          <w:color w:val="0070C0"/>
          <w:sz w:val="16"/>
          <w:szCs w:val="16"/>
        </w:rPr>
        <w:softHyphen/>
        <w:t>намики самолета выбрали коэффициент Сх, отнесенный к площади всей внешней поверхности самолета и характе</w:t>
      </w:r>
      <w:r w:rsidRPr="008A2E5A">
        <w:rPr>
          <w:rFonts w:ascii="Times New Roman" w:hAnsi="Times New Roman"/>
          <w:color w:val="0070C0"/>
          <w:sz w:val="16"/>
          <w:szCs w:val="16"/>
        </w:rPr>
        <w:softHyphen/>
        <w:t>ризующий лобовое сопротивление самолета за вычетом индуктивного сопротивления крыла и сопротивления ох</w:t>
      </w:r>
      <w:r w:rsidRPr="008A2E5A">
        <w:rPr>
          <w:rFonts w:ascii="Times New Roman" w:hAnsi="Times New Roman"/>
          <w:color w:val="0070C0"/>
          <w:sz w:val="16"/>
          <w:szCs w:val="16"/>
        </w:rPr>
        <w:softHyphen/>
        <w:t>лаждения. При анализе оказалось, что истребитель Як-7Б занимает достаточно хорошее место в отношении аэро</w:t>
      </w:r>
      <w:r w:rsidRPr="008A2E5A">
        <w:rPr>
          <w:rFonts w:ascii="Times New Roman" w:hAnsi="Times New Roman"/>
          <w:color w:val="0070C0"/>
          <w:sz w:val="16"/>
          <w:szCs w:val="16"/>
        </w:rPr>
        <w:softHyphen/>
        <w:t>динамики.</w:t>
      </w:r>
    </w:p>
    <w:p w14:paraId="5C01FE88"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Последующие расчеты показали, что сравнительно простыми изменениями конструкции самолета возмож</w:t>
      </w:r>
      <w:r w:rsidRPr="008A2E5A">
        <w:rPr>
          <w:rFonts w:ascii="Times New Roman" w:hAnsi="Times New Roman"/>
          <w:color w:val="0070C0"/>
          <w:sz w:val="16"/>
          <w:szCs w:val="16"/>
        </w:rPr>
        <w:softHyphen/>
        <w:t>но достичь упомянутого выше коэффициента, равного 0,0047-0,0048, соответствовавшего увеличению макси</w:t>
      </w:r>
      <w:r w:rsidRPr="008A2E5A">
        <w:rPr>
          <w:rFonts w:ascii="Times New Roman" w:hAnsi="Times New Roman"/>
          <w:color w:val="0070C0"/>
          <w:sz w:val="16"/>
          <w:szCs w:val="16"/>
        </w:rPr>
        <w:softHyphen/>
        <w:t>мальной скорости Як-7Б до 590-600 км/ч (без РО и PC). За счет устранения недостатков аэродинамики (умень</w:t>
      </w:r>
      <w:r w:rsidRPr="008A2E5A">
        <w:rPr>
          <w:rFonts w:ascii="Times New Roman" w:hAnsi="Times New Roman"/>
          <w:color w:val="0070C0"/>
          <w:sz w:val="16"/>
          <w:szCs w:val="16"/>
        </w:rPr>
        <w:softHyphen/>
        <w:t>шение щелей в месте сопряжения рулей высоты и пово</w:t>
      </w:r>
      <w:r w:rsidRPr="008A2E5A">
        <w:rPr>
          <w:rFonts w:ascii="Times New Roman" w:hAnsi="Times New Roman"/>
          <w:color w:val="0070C0"/>
          <w:sz w:val="16"/>
          <w:szCs w:val="16"/>
        </w:rPr>
        <w:softHyphen/>
        <w:t>рота и торцевых щелей элеронов, удаление уступов под</w:t>
      </w:r>
      <w:r w:rsidRPr="008A2E5A">
        <w:rPr>
          <w:rFonts w:ascii="Times New Roman" w:hAnsi="Times New Roman"/>
          <w:color w:val="0070C0"/>
          <w:sz w:val="16"/>
          <w:szCs w:val="16"/>
        </w:rPr>
        <w:softHyphen/>
        <w:t>вижной части фонаря кабины и откидной крышки задней кабины, уменьшение щелей в капотах мотора у выхлоп</w:t>
      </w:r>
      <w:r w:rsidRPr="008A2E5A">
        <w:rPr>
          <w:rFonts w:ascii="Times New Roman" w:hAnsi="Times New Roman"/>
          <w:color w:val="0070C0"/>
          <w:sz w:val="16"/>
          <w:szCs w:val="16"/>
        </w:rPr>
        <w:softHyphen/>
        <w:t>ных патрубков и в желобах пулеметов, устранение окон гильзоотводов в зализах за счет установки гильзосборников) увеличение максимальной скорости могло соста</w:t>
      </w:r>
      <w:r w:rsidRPr="008A2E5A">
        <w:rPr>
          <w:rFonts w:ascii="Times New Roman" w:hAnsi="Times New Roman"/>
          <w:color w:val="0070C0"/>
          <w:sz w:val="16"/>
          <w:szCs w:val="16"/>
        </w:rPr>
        <w:softHyphen/>
        <w:t>вить 6-8 км/ч. Улучшение форм и тоннелей водо- и мас- лорадиаторов могло увеличить скорость еще примерно на 10 км/ч, а переход на обороты 2500 об/мин на высо</w:t>
      </w:r>
      <w:r w:rsidRPr="008A2E5A">
        <w:rPr>
          <w:rFonts w:ascii="Times New Roman" w:hAnsi="Times New Roman"/>
          <w:color w:val="0070C0"/>
          <w:sz w:val="16"/>
          <w:szCs w:val="16"/>
        </w:rPr>
        <w:softHyphen/>
        <w:t>тах до 4000 м мог дать прибавку 3-4 км/ч. Всего - 19-22 км/ч. Почти все мероприятия по улучшению аэродинами</w:t>
      </w:r>
      <w:r w:rsidRPr="008A2E5A">
        <w:rPr>
          <w:rFonts w:ascii="Times New Roman" w:hAnsi="Times New Roman"/>
          <w:color w:val="0070C0"/>
          <w:sz w:val="16"/>
          <w:szCs w:val="16"/>
        </w:rPr>
        <w:softHyphen/>
        <w:t>ки самолета, предложенные ЦАГИ, реализовали вначале на Як-7Б №2815329, а потом и на серийных машинах в процессе работы по восстановлению максимальных ско</w:t>
      </w:r>
      <w:r w:rsidRPr="008A2E5A">
        <w:rPr>
          <w:rFonts w:ascii="Times New Roman" w:hAnsi="Times New Roman"/>
          <w:color w:val="0070C0"/>
          <w:sz w:val="16"/>
          <w:szCs w:val="16"/>
        </w:rPr>
        <w:softHyphen/>
        <w:t>ростей Як-7Б (23381).</w:t>
      </w:r>
    </w:p>
    <w:p w14:paraId="538E9181" w14:textId="77777777" w:rsidR="00DB4B0C" w:rsidRPr="008A2E5A" w:rsidRDefault="00DB4B0C" w:rsidP="00DB4B0C">
      <w:pPr>
        <w:spacing w:after="0" w:line="240" w:lineRule="auto"/>
        <w:jc w:val="both"/>
        <w:rPr>
          <w:rFonts w:ascii="Times New Roman" w:hAnsi="Times New Roman"/>
          <w:color w:val="0070C0"/>
          <w:sz w:val="16"/>
          <w:szCs w:val="16"/>
        </w:rPr>
      </w:pPr>
    </w:p>
    <w:p w14:paraId="1F70E37F"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1942 г. одновременно в Московском (ведущий инженер В.В. Косточкин) и Новосибирском (ведущий инженер Н.И. Тихо</w:t>
      </w:r>
      <w:r w:rsidRPr="008A2E5A">
        <w:rPr>
          <w:rFonts w:ascii="Times New Roman" w:hAnsi="Times New Roman"/>
          <w:color w:val="0070C0"/>
          <w:sz w:val="16"/>
          <w:szCs w:val="16"/>
        </w:rPr>
        <w:softHyphen/>
        <w:t>нов) филиалах ЛИИ НКАП проводились работы по обнаружению причин дефекта топливной си</w:t>
      </w:r>
      <w:r w:rsidRPr="008A2E5A">
        <w:rPr>
          <w:rFonts w:ascii="Times New Roman" w:hAnsi="Times New Roman"/>
          <w:color w:val="0070C0"/>
          <w:sz w:val="16"/>
          <w:szCs w:val="16"/>
        </w:rPr>
        <w:softHyphen/>
        <w:t>стемы истребителей Як. В результате тщательной про</w:t>
      </w:r>
      <w:r w:rsidRPr="008A2E5A">
        <w:rPr>
          <w:rFonts w:ascii="Times New Roman" w:hAnsi="Times New Roman"/>
          <w:color w:val="0070C0"/>
          <w:sz w:val="16"/>
          <w:szCs w:val="16"/>
        </w:rPr>
        <w:softHyphen/>
        <w:t>верки работы бензосистемы Як-7Б №820205 выяснилось, что неравномерность выработки горючего зависит как от качества монтажа (негерметичности) дренажной систе</w:t>
      </w:r>
      <w:r w:rsidRPr="008A2E5A">
        <w:rPr>
          <w:rFonts w:ascii="Times New Roman" w:hAnsi="Times New Roman"/>
          <w:color w:val="0070C0"/>
          <w:sz w:val="16"/>
          <w:szCs w:val="16"/>
        </w:rPr>
        <w:softHyphen/>
        <w:t>мы, так и от конструктивного несовершенства этой сис</w:t>
      </w:r>
      <w:r w:rsidRPr="008A2E5A">
        <w:rPr>
          <w:rFonts w:ascii="Times New Roman" w:hAnsi="Times New Roman"/>
          <w:color w:val="0070C0"/>
          <w:sz w:val="16"/>
          <w:szCs w:val="16"/>
        </w:rPr>
        <w:softHyphen/>
        <w:t>темы и бензопроводки (несимметричностью трубопро</w:t>
      </w:r>
      <w:r w:rsidRPr="008A2E5A">
        <w:rPr>
          <w:rFonts w:ascii="Times New Roman" w:hAnsi="Times New Roman"/>
          <w:color w:val="0070C0"/>
          <w:sz w:val="16"/>
          <w:szCs w:val="16"/>
        </w:rPr>
        <w:softHyphen/>
        <w:t>водов дренажа бензобаков, неравномерной их заливкой бензином и конденсатом, а также несимметричной рабо</w:t>
      </w:r>
      <w:r w:rsidRPr="008A2E5A">
        <w:rPr>
          <w:rFonts w:ascii="Times New Roman" w:hAnsi="Times New Roman"/>
          <w:color w:val="0070C0"/>
          <w:sz w:val="16"/>
          <w:szCs w:val="16"/>
        </w:rPr>
        <w:softHyphen/>
        <w:t>той обратных клапанов в бензопроводах между баками). Поскольку дренажная система бензобаков участвовала в работе системы НГ, то ее доработку на Як-7Б проводи</w:t>
      </w:r>
      <w:r w:rsidRPr="008A2E5A">
        <w:rPr>
          <w:rFonts w:ascii="Times New Roman" w:hAnsi="Times New Roman"/>
          <w:color w:val="0070C0"/>
          <w:sz w:val="16"/>
          <w:szCs w:val="16"/>
        </w:rPr>
        <w:softHyphen/>
        <w:t>ли совместно с последней. Бензосистему самолета для устранения дефекта рекомендовали оборудовать трех</w:t>
      </w:r>
      <w:r w:rsidRPr="008A2E5A">
        <w:rPr>
          <w:rFonts w:ascii="Times New Roman" w:hAnsi="Times New Roman"/>
          <w:color w:val="0070C0"/>
          <w:sz w:val="16"/>
          <w:szCs w:val="16"/>
        </w:rPr>
        <w:softHyphen/>
        <w:t>ходовым бензокраном, соединявшим мотор или с обеи</w:t>
      </w:r>
      <w:r w:rsidRPr="008A2E5A">
        <w:rPr>
          <w:rFonts w:ascii="Times New Roman" w:hAnsi="Times New Roman"/>
          <w:color w:val="0070C0"/>
          <w:sz w:val="16"/>
          <w:szCs w:val="16"/>
        </w:rPr>
        <w:softHyphen/>
        <w:t>ми группами бензобаков, или только с правой, или толь</w:t>
      </w:r>
      <w:r w:rsidRPr="008A2E5A">
        <w:rPr>
          <w:rFonts w:ascii="Times New Roman" w:hAnsi="Times New Roman"/>
          <w:color w:val="0070C0"/>
          <w:sz w:val="16"/>
          <w:szCs w:val="16"/>
        </w:rPr>
        <w:softHyphen/>
        <w:t>ко с левой группой баков. При этом из бензосистемы изымались пожарный кран и обратные клапаны в трубопрово</w:t>
      </w:r>
      <w:r w:rsidRPr="008A2E5A">
        <w:rPr>
          <w:rFonts w:ascii="Times New Roman" w:hAnsi="Times New Roman"/>
          <w:color w:val="0070C0"/>
          <w:sz w:val="16"/>
          <w:szCs w:val="16"/>
        </w:rPr>
        <w:softHyphen/>
        <w:t>дах. Управление переключением групп баков должен был осуществлять летчик, ориентируясь на показания крыль</w:t>
      </w:r>
      <w:r w:rsidRPr="008A2E5A">
        <w:rPr>
          <w:rFonts w:ascii="Times New Roman" w:hAnsi="Times New Roman"/>
          <w:color w:val="0070C0"/>
          <w:sz w:val="16"/>
          <w:szCs w:val="16"/>
        </w:rPr>
        <w:softHyphen/>
        <w:t>евых бензомеров. В серии трехходовый бензокран ввели с Як-7Б №4315339 (апрель 1943 г.) и №821003 на заводах №153 и №82 соответственно. Для самолетов, находящих</w:t>
      </w:r>
      <w:r w:rsidRPr="008A2E5A">
        <w:rPr>
          <w:rFonts w:ascii="Times New Roman" w:hAnsi="Times New Roman"/>
          <w:color w:val="0070C0"/>
          <w:sz w:val="16"/>
          <w:szCs w:val="16"/>
        </w:rPr>
        <w:softHyphen/>
        <w:t>ся в эксплуатации, выпустили бюллетень по проведению доработки бензосистемы в авиачастях (23381).</w:t>
      </w:r>
    </w:p>
    <w:p w14:paraId="48D44C9D" w14:textId="77777777" w:rsidR="00DB4B0C" w:rsidRPr="008A2E5A" w:rsidRDefault="00DB4B0C" w:rsidP="00DB4B0C">
      <w:pPr>
        <w:spacing w:after="0" w:line="240" w:lineRule="auto"/>
        <w:jc w:val="both"/>
        <w:rPr>
          <w:rFonts w:ascii="Times New Roman" w:hAnsi="Times New Roman"/>
          <w:color w:val="0070C0"/>
          <w:sz w:val="16"/>
          <w:szCs w:val="16"/>
        </w:rPr>
      </w:pPr>
    </w:p>
    <w:p w14:paraId="60F1AD6D" w14:textId="77777777" w:rsidR="00A52711" w:rsidRPr="008A2E5A" w:rsidRDefault="00A52711" w:rsidP="00A527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середины 1942 г. самолеты Киттихок начали перегонять через Иран. С осе</w:t>
      </w:r>
      <w:r w:rsidRPr="008A2E5A">
        <w:rPr>
          <w:rFonts w:ascii="Times New Roman" w:hAnsi="Times New Roman"/>
          <w:color w:val="0070C0"/>
          <w:sz w:val="16"/>
          <w:szCs w:val="16"/>
        </w:rPr>
        <w:softHyphen/>
        <w:t>ни того же года «Киттихауки» пошли по АЛСИБу (23513).</w:t>
      </w:r>
    </w:p>
    <w:p w14:paraId="3297176C" w14:textId="77777777" w:rsidR="00A52711" w:rsidRPr="008A2E5A" w:rsidRDefault="00A52711" w:rsidP="00A52711">
      <w:pPr>
        <w:spacing w:after="0" w:line="240" w:lineRule="auto"/>
        <w:jc w:val="both"/>
        <w:rPr>
          <w:rFonts w:ascii="Times New Roman" w:hAnsi="Times New Roman"/>
          <w:color w:val="0070C0"/>
          <w:sz w:val="16"/>
          <w:szCs w:val="16"/>
        </w:rPr>
      </w:pPr>
    </w:p>
    <w:p w14:paraId="3F9FA30F"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1942 г. Камову в Билимбае удалось вернуться к продолжению работ по автожиру АК. К наступлению ново</w:t>
      </w:r>
      <w:r w:rsidRPr="008127F8">
        <w:rPr>
          <w:rFonts w:ascii="Times New Roman" w:hAnsi="Times New Roman"/>
          <w:color w:val="000000" w:themeColor="text1"/>
          <w:sz w:val="16"/>
          <w:szCs w:val="16"/>
        </w:rPr>
        <w:softHyphen/>
        <w:t>го 1943 г. практически все агрегаты двух автожиров АК бы</w:t>
      </w:r>
      <w:r w:rsidRPr="008127F8">
        <w:rPr>
          <w:rFonts w:ascii="Times New Roman" w:hAnsi="Times New Roman"/>
          <w:color w:val="000000" w:themeColor="text1"/>
          <w:sz w:val="16"/>
          <w:szCs w:val="16"/>
        </w:rPr>
        <w:softHyphen/>
        <w:t>ли изготовлены, велась их окончательная сборка. Остава</w:t>
      </w:r>
      <w:r w:rsidRPr="008127F8">
        <w:rPr>
          <w:rFonts w:ascii="Times New Roman" w:hAnsi="Times New Roman"/>
          <w:color w:val="000000" w:themeColor="text1"/>
          <w:sz w:val="16"/>
          <w:szCs w:val="16"/>
        </w:rPr>
        <w:softHyphen/>
        <w:t>лось совсем немного, уже в феврале Камов предполагал приступить к летным испытаниям первого опытного экземп</w:t>
      </w:r>
      <w:r w:rsidRPr="008127F8">
        <w:rPr>
          <w:rFonts w:ascii="Times New Roman" w:hAnsi="Times New Roman"/>
          <w:color w:val="000000" w:themeColor="text1"/>
          <w:sz w:val="16"/>
          <w:szCs w:val="16"/>
        </w:rPr>
        <w:softHyphen/>
        <w:t>ляра. В этот период уже закончилась эпопея А-7, и на за</w:t>
      </w:r>
      <w:r w:rsidRPr="008127F8">
        <w:rPr>
          <w:rFonts w:ascii="Times New Roman" w:hAnsi="Times New Roman"/>
          <w:color w:val="000000" w:themeColor="text1"/>
          <w:sz w:val="16"/>
          <w:szCs w:val="16"/>
        </w:rPr>
        <w:softHyphen/>
        <w:t>вод дошли слухи о прекращении работ по автожирам. Слухи не были лишены оснований, 30 января 1943 г. ру</w:t>
      </w:r>
      <w:r w:rsidRPr="008127F8">
        <w:rPr>
          <w:rFonts w:ascii="Times New Roman" w:hAnsi="Times New Roman"/>
          <w:color w:val="000000" w:themeColor="text1"/>
          <w:sz w:val="16"/>
          <w:szCs w:val="16"/>
        </w:rPr>
        <w:softHyphen/>
        <w:t>ководство НКАП подготовило приказ о расформировании завода № 290.</w:t>
      </w:r>
    </w:p>
    <w:p w14:paraId="6A3F46EC"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Директор и Главный конструктор завода Н.И. Камов на</w:t>
      </w:r>
      <w:r w:rsidRPr="008127F8">
        <w:rPr>
          <w:rFonts w:ascii="Times New Roman" w:hAnsi="Times New Roman"/>
          <w:color w:val="000000" w:themeColor="text1"/>
          <w:sz w:val="16"/>
          <w:szCs w:val="16"/>
        </w:rPr>
        <w:softHyphen/>
        <w:t>значался начальником серийного конструкторского отде</w:t>
      </w:r>
      <w:r w:rsidRPr="008127F8">
        <w:rPr>
          <w:rFonts w:ascii="Times New Roman" w:hAnsi="Times New Roman"/>
          <w:color w:val="000000" w:themeColor="text1"/>
          <w:sz w:val="16"/>
          <w:szCs w:val="16"/>
        </w:rPr>
        <w:softHyphen/>
        <w:t>ла (СКО) завода №494, выпускающего самолеты По-2, а его заместитель М.Л. Миль направлялся в ЦАГИ (20361).</w:t>
      </w:r>
    </w:p>
    <w:p w14:paraId="1890A8B9" w14:textId="77777777" w:rsidR="007C5583" w:rsidRPr="008127F8" w:rsidRDefault="007C5583" w:rsidP="007C5583">
      <w:pPr>
        <w:shd w:val="clear" w:color="auto" w:fill="FFFFFF"/>
        <w:spacing w:after="0" w:line="240" w:lineRule="auto"/>
        <w:jc w:val="both"/>
        <w:rPr>
          <w:rFonts w:ascii="Times New Roman" w:hAnsi="Times New Roman"/>
          <w:color w:val="000000" w:themeColor="text1"/>
          <w:sz w:val="16"/>
          <w:szCs w:val="16"/>
        </w:rPr>
      </w:pPr>
    </w:p>
    <w:p w14:paraId="00A584A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1942 г. конструкторский коллектив под руководством А.М.Добротворского завершил разработку самого мощного на то время советского мотора жидкостного охлаждения МБ-100, развивавшего на взлетном режиме мощность 2200 л.с. МБ-100 имел Х-образную схему и представлял собой объединение в единый агрегат двух серийных 12-цилиндровых V-образных моторов М-103. каждый из М-103 работал на общий редуктор, вращавший винт. МБ-100 был оснащен двухскоростным приводным центробежным нагнетателем, благодаря чему мощность этого оригинального мотора на первой границе высотности (2000 м) равнялась 2200 л.с., а на второй (4000 м) – 2000 л.с. Летные испытания новых моторов решено было провести на специально модифицированном бомбардировщике Ер-2. 6 марта 1944 г. состоялся первый полет, а 29 июня программа была завершена. За три месяца моторы практически полностью отработали назначенный 50-часовой ресурс и показали удовлетворительную надежность. В связи с изменившейся обстановкой на фронте актуальность работ по подбору наивыгоднейшего винта и увеличению расчетной высоты мотора до 6000 м снизилась, что привело к их прекращению в пользу более совершенного и мощного мотора М-250 конструкции В.Добрынина (11856).</w:t>
      </w:r>
    </w:p>
    <w:p w14:paraId="68DE73B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0977FD"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1942 были проведены испытания планерных аэропоездов на магистрали Москва - Иркутск на линии Новосибирск - Свердловск с посадками в Омске и Кургане и Новосибирск - Барабинск. Летали ПС-40 с БДП-2 и П-5 с одним или двумя А-7 и (94,124).</w:t>
      </w:r>
    </w:p>
    <w:p w14:paraId="3B4D01A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45F86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1942 коллектив А.М.Добротворского завершил разработку мотора с жидкостным охлаждением МБ-100 мощностью 2200 нр Х-образной формы из двух М-103 (1643,39).</w:t>
      </w:r>
    </w:p>
    <w:p w14:paraId="5B56735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946D4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1942 О.К.А. стал нач. КО з-да № 388, где серийно строили воздушные прицепы его конструкции, но с января 1943 стал зам. ГК А.С.Я. (7483, 9).</w:t>
      </w:r>
    </w:p>
    <w:p w14:paraId="3F3058D7"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669068"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1942 года по инициативе Наркомата авиационной промышленности (НКАП) в ЦК ВКП(б) состоялось специальное совещание, после которого представители НКАП и Наркомата лесной промышленности (НКЛеспрома) «разъехались по всем фанерным и деревообрабатывающим заводам, во все леспромхозы, на все базы, где хранился лес». Древесину, пригодную для изготовления авиационных материалов, как отмечал А.И. Шахурин, отбирали даже на шпалопропиточных заводах Наркомата путей сообщения (НКПС) СССР (24303).</w:t>
      </w:r>
    </w:p>
    <w:p w14:paraId="22BECCBC" w14:textId="77777777" w:rsidR="00DB4B0C" w:rsidRPr="008A2E5A" w:rsidRDefault="00DB4B0C" w:rsidP="00DB4B0C">
      <w:pPr>
        <w:spacing w:after="0" w:line="240" w:lineRule="auto"/>
        <w:jc w:val="both"/>
        <w:rPr>
          <w:rFonts w:ascii="Times New Roman" w:hAnsi="Times New Roman"/>
          <w:color w:val="0070C0"/>
          <w:sz w:val="16"/>
          <w:szCs w:val="16"/>
        </w:rPr>
      </w:pPr>
    </w:p>
    <w:p w14:paraId="3CCCFE1B"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Другие оборонные отрасли:</w:t>
      </w:r>
    </w:p>
    <w:p w14:paraId="1F3D2F06"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801E68"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состоянию на середину 1942 года и до конца войны единственным предприятием в стране, выпускавшим первичный алюминий, являлся Уральский алюминиевый завод (УАЗ) проектной мощностью 84 тыс. т алюминия в год. Фактическая выработка (это отмечено в нескольких постановлениях ГКО за 1942—1944 гг.) была гораздо ниже — порядка 50 тыс. т в год. Электроэнергия для электролиза поступала с Красногорской ТЭЦ (установленная мощность электростанции за годы войны выросла с 50 тыс. кВт до 275 тыс. кВт).</w:t>
      </w:r>
    </w:p>
    <w:p w14:paraId="3E1B4656"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Дефицит алюминия в размере 55 проц. от потребности оборонной промышленности обеспечили союзники. Ленд-лиз из США в СССР был эквивалентен 256,4 тыс. т первичного алюминия. Кроме того, в СССР поступило 35,4 тыс. т алюминия из Великобритании и 36,3 тыс. т из Канады, так что суммарные западные поставки алюминия в СССР в 1941—1945 гг. составили 328,1 тыс. т. Профессор-историк Роберт Джонс полагает, что объём американских поставок алюминия в СССР (261 109 т) был «равен почти четырёхгодичному производству в стране» (24303).</w:t>
      </w:r>
    </w:p>
    <w:p w14:paraId="376620D1" w14:textId="77777777" w:rsidR="00DB4B0C" w:rsidRPr="008A2E5A" w:rsidRDefault="00DB4B0C" w:rsidP="00DB4B0C">
      <w:pPr>
        <w:spacing w:after="0" w:line="240" w:lineRule="auto"/>
        <w:jc w:val="both"/>
        <w:rPr>
          <w:rFonts w:ascii="Times New Roman" w:hAnsi="Times New Roman"/>
          <w:color w:val="0070C0"/>
          <w:sz w:val="16"/>
          <w:szCs w:val="16"/>
        </w:rPr>
      </w:pPr>
    </w:p>
    <w:p w14:paraId="62F04FB5" w14:textId="77777777" w:rsidR="00A52711" w:rsidRPr="008A2E5A" w:rsidRDefault="00A52711" w:rsidP="00A527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середины 1942 г. рост производства двигателей В-2 на Кировском заводе - основном предприятии Наркомата по выпуску танковых дизелей - фактически остановился и возобновился только во второй половине 1943 г. Это в очередной раз подтверждает тезис о влиянии эвакуации сталинградского танкостроительного центра на работу всей танковой промышленности страны. План для этого предприятия был увеличен с 1000 до 1200 моторов в месяц в июле 1942 г., но полностью выйти на этот уровень и продолжить стабильное производство Кировский завод смог только к июлю 1943 г.</w:t>
      </w:r>
    </w:p>
    <w:p w14:paraId="382EC911" w14:textId="77777777" w:rsidR="00A52711" w:rsidRPr="008A2E5A" w:rsidRDefault="00A52711" w:rsidP="00A527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Здесь мы вновь можем отметить практику И.М. Зальцмана (на тот момент он оставил пост наркома и был снова директором Кировского завода) во что бы то ни стало выполнять план на своем предприятии. Даже если это чревато осложнениями для других заводов и в целом для танкостроения. Завод № 183 постоянно слал Кировскому заводу рекламации на его двигатели для Т-34. К январю 1944 г. их накопилась некая критическая масса, которая заставила И.М. Зальцмана отправить в Нижний Тагил заместителя начальника производства Коробова и заместителя начальника ОТК Волощенко. 26 января они прибыли на УТЗ и осмотрели кировские двигатели, которые находились на складе и на потоке. Вместо детального анализа ситуации и выявления типичных дефектов кировчане решили сосредоточиться в основном на обследовании недавно созданного моторного склада[1069]. После завершения своих работ они составили соответствующий акт (правда, не стали его согласовывать ни с директором завода № 183 Ю.Е. Максаревым, ни с другими руководителями УТЗ). Эта командировка позволила Исааку Моисеевичу отчитаться перед наркомом В.А. Малышевым и «свалить» всю вину на руководство нижнетагильского завода. Якобы в основной массе дефектов был виноват сам УТЗ:</w:t>
      </w:r>
    </w:p>
    <w:p w14:paraId="75E463BE" w14:textId="77777777" w:rsidR="00A52711" w:rsidRPr="008A2E5A" w:rsidRDefault="00A52711" w:rsidP="00A527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небрежные разгрузка и хранение моторов, что вызвало различные механические повреждения и попадание грязи внутрь;</w:t>
      </w:r>
    </w:p>
    <w:p w14:paraId="55D376AB" w14:textId="77777777" w:rsidR="00A52711" w:rsidRPr="008A2E5A" w:rsidRDefault="00A52711" w:rsidP="00A527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в 14 случаях, когда мотор не развивал положенную мощность, необходимо было надлежащим образом регулировать тяги и устранять люфты;</w:t>
      </w:r>
    </w:p>
    <w:p w14:paraId="2C7C67B2" w14:textId="77777777" w:rsidR="00A52711" w:rsidRPr="008A2E5A" w:rsidRDefault="00A52711" w:rsidP="00A527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небрежный монтаж и состояние документации.</w:t>
      </w:r>
    </w:p>
    <w:p w14:paraId="3BA2EEE2" w14:textId="77777777" w:rsidR="00A52711" w:rsidRPr="008A2E5A" w:rsidRDefault="00A52711" w:rsidP="00A527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действительно, на УЗТ относительно недавно был создан моторный склад, где были случаи плохой разгрузки и хранения. Уже 22 января меры были приняты, а виновные наказаны (то есть еще до приезда кировчан). 11 февраля Ю.Е. Максарев направил заместителю наркома танковой промышленности П.М. Зернову письмо, в котором представил свою точку зрения. УТЗ регулярно направлял в Челябинск рекламации на моторы, в ответ на которые Кировский завод все же провел некоторые мероприятия по улучшению, но значительная часть дефектов осталась. Прибывшие 26 января представители Кировского завода всё пытались трактовать неудовлетворительными условиями хранения В-2, но, по мнению Юрия Евгеньевича, основная причина дефектов заключалась в некачественной сборке и транспортировке моторов. Ю.Е. Максарев согласился, что случаи неудовлетворительной разгрузки были. За небрежность и халатность ответственный кладовщик был осужден, а заведующий складом получил выговор (23536).</w:t>
      </w:r>
    </w:p>
    <w:p w14:paraId="74B3180F" w14:textId="77777777" w:rsidR="00A52711" w:rsidRPr="008A2E5A" w:rsidRDefault="00A52711" w:rsidP="00A52711">
      <w:pPr>
        <w:spacing w:after="0" w:line="240" w:lineRule="auto"/>
        <w:jc w:val="both"/>
        <w:rPr>
          <w:rFonts w:ascii="Times New Roman" w:hAnsi="Times New Roman"/>
          <w:color w:val="0070C0"/>
          <w:sz w:val="16"/>
          <w:szCs w:val="16"/>
        </w:rPr>
      </w:pPr>
    </w:p>
    <w:p w14:paraId="15AEEDFD" w14:textId="77777777" w:rsidR="00A52711" w:rsidRPr="008A2E5A" w:rsidRDefault="00A52711" w:rsidP="00A527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1942 г. для В-2 был разработан новый воздухоочиститель «Циклон», который с конца года стал устанавливаться на серийные машины вместо откровенно неработающего «Помона». Но из-за малого объема бункера для улавливания грязи его пришлось увеличивать. Так к осени 1943 г. появился очиститель «Мультициклон», который помимо прочего отличался более высокой степенью очистки поступающего воздуха от пыли. Если «Помоны» по регламенту необходимо было чистить каждые 30 минут, то новые очистители - уже каждые 2 часа. Однако даже последний вариант воздухоочистителя не давал надежного фильтрования. На марше после 2 часов хода (в летний период) бункеры «Мультициклона» заполнялись пылью более чем на 75 %. К этому нужно добавить разработку и внедрение в производство в 1942-1943 гг. новых радиаторов, которые хоть и были далеки от идеала (плохая пайка радиаторов приводила к потере их производительности), но уже позволяли эксплуатировать бронетехнику в летний период без боязни перегрева двигателя[1105] (23536).</w:t>
      </w:r>
    </w:p>
    <w:p w14:paraId="72ECC42B" w14:textId="77777777" w:rsidR="00A52711" w:rsidRPr="008A2E5A" w:rsidRDefault="00A52711" w:rsidP="00A52711">
      <w:pPr>
        <w:spacing w:after="0" w:line="240" w:lineRule="auto"/>
        <w:jc w:val="both"/>
        <w:rPr>
          <w:rFonts w:ascii="Times New Roman" w:hAnsi="Times New Roman"/>
          <w:color w:val="0070C0"/>
          <w:sz w:val="16"/>
          <w:szCs w:val="16"/>
        </w:rPr>
      </w:pPr>
    </w:p>
    <w:p w14:paraId="0941AB2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1942 г. в США была создана Государственная закупочная комиссия СССР, в которую вошли квалифицированные представители от морского флота (3898).</w:t>
      </w:r>
    </w:p>
    <w:p w14:paraId="374FFD4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B4DEF8" w14:textId="5B32A3BD"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1942 г. было решено создать на заводе 640 в Сосновке специализированное производство для крупносерийной постройки унифицированных боевых катеров с деревянными корпусами. Специалисты Оргсудпрома и ГСПИ-2 совместно с проектировщиками катеров и технологами верфи в кратчайшие сроки разработали проект такого производства, предусмотрев в нем поточно-позиционный метод постройки катеров с принудитель</w:t>
      </w:r>
      <w:r w:rsidRPr="008127F8">
        <w:rPr>
          <w:rFonts w:ascii="Times New Roman" w:hAnsi="Times New Roman"/>
          <w:color w:val="000000" w:themeColor="text1"/>
          <w:sz w:val="16"/>
          <w:szCs w:val="16"/>
        </w:rPr>
        <w:softHyphen/>
        <w:t>ным ритмом конвейера. Принятый метод позволял до минимума упростить все технологические операции и использовать на кон</w:t>
      </w:r>
      <w:r w:rsidRPr="008127F8">
        <w:rPr>
          <w:rFonts w:ascii="Times New Roman" w:hAnsi="Times New Roman"/>
          <w:color w:val="000000" w:themeColor="text1"/>
          <w:sz w:val="16"/>
          <w:szCs w:val="16"/>
        </w:rPr>
        <w:softHyphen/>
        <w:t>вейере труд низкоквалифицированных рабочих. Проект был реализован, и уже в следующем году на вновь созданных мощностях началась постройка малых охотников типа ОД-200. Ин</w:t>
      </w:r>
      <w:r w:rsidRPr="008127F8">
        <w:rPr>
          <w:rFonts w:ascii="Times New Roman" w:hAnsi="Times New Roman"/>
          <w:color w:val="000000" w:themeColor="text1"/>
          <w:sz w:val="16"/>
          <w:szCs w:val="16"/>
        </w:rPr>
        <w:softHyphen/>
        <w:t>тересно, что в январе 1945 г. это производство посетила делегация военной миссии США по ленд-лизу (на строящихся катерах уста</w:t>
      </w:r>
      <w:r w:rsidRPr="008127F8">
        <w:rPr>
          <w:rFonts w:ascii="Times New Roman" w:hAnsi="Times New Roman"/>
          <w:color w:val="000000" w:themeColor="text1"/>
          <w:sz w:val="16"/>
          <w:szCs w:val="16"/>
        </w:rPr>
        <w:softHyphen/>
        <w:t>навливались американские двигатели фирмы "Паккард"), на ко</w:t>
      </w:r>
      <w:r w:rsidRPr="008127F8">
        <w:rPr>
          <w:rFonts w:ascii="Times New Roman" w:hAnsi="Times New Roman"/>
          <w:color w:val="000000" w:themeColor="text1"/>
          <w:sz w:val="16"/>
          <w:szCs w:val="16"/>
        </w:rPr>
        <w:softHyphen/>
        <w:t>торую увиденное произвело впечатление (3898).</w:t>
      </w:r>
    </w:p>
    <w:p w14:paraId="3FDA96D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D9087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1942 года бьшо дано указание ЦКБ-17 форсировать разработку эсминца проекта 30 с американскими механизмами (пр. 30А). Механиче</w:t>
      </w:r>
      <w:r w:rsidRPr="008127F8">
        <w:rPr>
          <w:rFonts w:ascii="Times New Roman" w:hAnsi="Times New Roman"/>
          <w:color w:val="000000" w:themeColor="text1"/>
          <w:sz w:val="16"/>
          <w:szCs w:val="16"/>
        </w:rPr>
        <w:softHyphen/>
        <w:t>ская установка фирмы "Вестингауз" была закуплена еще до войны, однако при эвакуации и доставке закупленных механизмов в годы войны часть их была утрачена и реализовать пр. 30А не удалось (3898).</w:t>
      </w:r>
    </w:p>
    <w:p w14:paraId="0426F26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2E619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Внешняя политика:</w:t>
      </w:r>
    </w:p>
    <w:p w14:paraId="3F61ACBA"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2C262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Во второй половине 1942 г. большую часть СБ сосредоточили на границе с Бирмой и использовали в операциях против местных "опиумных королей". Самолеты выискивали и бомбили маковые плантации на западе провинции Сычуань. Кроме того, авиация поддерживала наземные войска, оборонявшие позиции на границе Китая и Индии. К началу 1943 г. единственной по-настоящему боеспособной авиачастью на С Б оставалась 1-я группа. В ней насчитывалось 19 СБ с моторами М-103. В мае группа совершила последние вылеты на Хубэйском фронте (2958).</w:t>
      </w:r>
    </w:p>
    <w:p w14:paraId="35BF6933"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339FA0"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Армия:</w:t>
      </w:r>
    </w:p>
    <w:p w14:paraId="567F6549"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5D8925"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1942 г. количество ЛаГГ-3 и Як-1 на фронте было примерно одинаковым. При этом продолжалось перевооружение полков, летавших ранее на И-16 и МиГ-3 (11983).</w:t>
      </w:r>
    </w:p>
    <w:p w14:paraId="4F63324C"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8D7024"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С середины 1942 года "Киттихауки" начали перегонять через Иран. С осени того же года они пошли но АЛСИБу (3457,63).</w:t>
      </w:r>
    </w:p>
    <w:p w14:paraId="6C13E972" w14:textId="77777777" w:rsidR="007C5583" w:rsidRPr="008127F8" w:rsidRDefault="007C5583" w:rsidP="007C558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EFA87C" w14:textId="77777777" w:rsidR="007C5583" w:rsidRPr="008127F8" w:rsidRDefault="007C5583" w:rsidP="007C5583">
      <w:pPr>
        <w:pStyle w:val="Iauiue"/>
        <w:jc w:val="both"/>
        <w:rPr>
          <w:i/>
          <w:iCs/>
          <w:color w:val="000000" w:themeColor="text1"/>
          <w:sz w:val="16"/>
          <w:szCs w:val="16"/>
        </w:rPr>
      </w:pPr>
      <w:r w:rsidRPr="008127F8">
        <w:rPr>
          <w:i/>
          <w:iCs/>
          <w:color w:val="000000" w:themeColor="text1"/>
          <w:sz w:val="16"/>
          <w:szCs w:val="16"/>
        </w:rPr>
        <w:t>За рубежом:</w:t>
      </w:r>
    </w:p>
    <w:p w14:paraId="4F1F7071" w14:textId="77777777" w:rsidR="007C5583" w:rsidRPr="008127F8" w:rsidRDefault="007C5583" w:rsidP="007C5583">
      <w:pPr>
        <w:pStyle w:val="Iauiue"/>
        <w:jc w:val="both"/>
        <w:rPr>
          <w:i/>
          <w:iCs/>
          <w:color w:val="000000" w:themeColor="text1"/>
          <w:sz w:val="16"/>
          <w:szCs w:val="16"/>
        </w:rPr>
      </w:pPr>
    </w:p>
    <w:p w14:paraId="31FD7CEB" w14:textId="77777777" w:rsidR="00DB4B0C" w:rsidRPr="008A2E5A" w:rsidRDefault="00DB4B0C" w:rsidP="00DB4B0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1942 г. на смену Ме-109 «Фридрихам» уже шла серия G (24195).</w:t>
      </w:r>
    </w:p>
    <w:p w14:paraId="6ACFBB89" w14:textId="77777777" w:rsidR="00DB4B0C" w:rsidRDefault="00DB4B0C" w:rsidP="007C5583">
      <w:pPr>
        <w:spacing w:after="0" w:line="240" w:lineRule="auto"/>
        <w:jc w:val="both"/>
        <w:rPr>
          <w:rFonts w:ascii="Times New Roman" w:hAnsi="Times New Roman"/>
          <w:color w:val="000000" w:themeColor="text1"/>
          <w:sz w:val="16"/>
          <w:szCs w:val="16"/>
        </w:rPr>
      </w:pPr>
    </w:p>
    <w:p w14:paraId="04297F43" w14:textId="1CD6783F"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середине 1942 года самолет В-24, получивший в ВВС США официальное наименование «Либерейтор», стал основным американским бомбардировщиком, оттеснив Боинг В-17.</w:t>
      </w:r>
    </w:p>
    <w:p w14:paraId="4703E982"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Англичане также закупали B-24D, но по-прежнему использовали их только в качестве патрульных машин над Атлантикой.</w:t>
      </w:r>
    </w:p>
    <w:p w14:paraId="7C21F498"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Фирма же продолжала выпускать бомбардировочный вариант, стремясь не сбавлять темп поставок и, видимо, в этом перестаралась: технологически упрощенная модификация В-24Е без нижней турели А-13, специально созданная для ускоренного запуска в производство на самолетостроительном заводе Форда в городе Уиллоу Ран, была признана не соответствующей требованиям ВВС. В результате 490 самолетов B-24E-FO выпуска фирмы «Форд», 144 сделанных из фордовских агрегатов в Форт-Уорсе B-24E-CF и 167 построенных в Тулсе также из агрегатов «Форда» B-24E-DT командование ВВС отказалось направлять в боевые эскадрильи.</w:t>
      </w:r>
    </w:p>
    <w:p w14:paraId="3DB1594A"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Не приняла 20 таких «либерейторов» Mk. IV и Великобритания. Несколько лучше обстояли дела у завода фирмы «Норт Америкен» в Далласе. Его руководство не стало гнаться за простотой и сроками и взяло за образец самолет B-24D-CO последних блоков с нижней шаровой турелью (22838).</w:t>
      </w:r>
    </w:p>
    <w:p w14:paraId="57BB3F47"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45776700"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середине 1942 г. Флот США заказал пятьдесят PBJ-1C, первых морских бомбардировщиков фирмы «Норт Америкен» (ее обозначала литера J). Это был морской вариант сухопутного В-25С, который массово строился и быстро совершенствовался. Но его популярность обернулась тем, что Флот оказался в хвосте длинной очереди заказчиков, — и только 20 февраля 1943 г. завод «Норт Америкен» в Инглвуде сдал первый серийный PBJ-1C, а последний был принят ВМС США 19 апреля. Первый морской «Митчелл» почти не отличался от обычного В-25С с двигателями Райт R-2600-13 «Дуплекс Циклон» по 1700 сил на взлете и 1500 — на высоте 2040 м. С одновременной подвеской в фюзеляже и бомб, и дополнительных баков он имел дальность более 2000 км. Ударное вооружение включало бомбы калибра от 907 до 45 кг (в том числе бронебойные общим весом до 2360 кг). В носовой кабине штурмана был подвижный пулемет М-2 калибра 12,7 мм, еще два таких пулемета крепились жестко. Верхнюю полусферу защищала спаренная турель «Бендикс», но нижней установкой пришлось пожертвовать — на ее месте поставили опускаемый купол с антенной локатора AN/APS-2 «Джордж» (23002).</w:t>
      </w:r>
    </w:p>
    <w:p w14:paraId="10B74D89" w14:textId="77777777" w:rsidR="007C5583" w:rsidRPr="008127F8" w:rsidRDefault="007C5583" w:rsidP="007C5583">
      <w:pPr>
        <w:spacing w:after="0" w:line="240" w:lineRule="auto"/>
        <w:jc w:val="both"/>
        <w:rPr>
          <w:rFonts w:ascii="Times New Roman" w:hAnsi="Times New Roman"/>
          <w:color w:val="000000" w:themeColor="text1"/>
          <w:sz w:val="16"/>
          <w:szCs w:val="16"/>
        </w:rPr>
      </w:pPr>
    </w:p>
    <w:p w14:paraId="63262EC6" w14:textId="77777777" w:rsidR="007C5583" w:rsidRPr="008127F8" w:rsidRDefault="007C5583" w:rsidP="007C5583">
      <w:pPr>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 середине 1942 г. боевые качества и надежность немецкой торпеды LTF5b удалось существенно улучшить, установив электрические рулевые машины, которые не отказывали при сбросе со скоростью до 240-280 км/ч. Дальнейшая доработка вспомогательного стабилизатора позволила довести скорость сброса до 340 км/ч и поднять высоту с 30-40 до 120 м, существенно сократив время нахождения в зоне огня зениток. Модифицированная торпеда LT1B осенью пошла в строевые части (22902).</w:t>
      </w:r>
    </w:p>
    <w:p w14:paraId="4ADD5000" w14:textId="77777777" w:rsidR="007C5583" w:rsidRPr="008127F8" w:rsidRDefault="007C5583" w:rsidP="007C5583">
      <w:pPr>
        <w:pStyle w:val="Iauiue"/>
        <w:jc w:val="both"/>
        <w:rPr>
          <w:color w:val="000000" w:themeColor="text1"/>
          <w:sz w:val="16"/>
          <w:szCs w:val="16"/>
        </w:rPr>
      </w:pPr>
    </w:p>
    <w:p w14:paraId="7F1A6F23" w14:textId="6362EB03" w:rsidR="00AE7191" w:rsidRPr="001E2C69" w:rsidRDefault="00267F26" w:rsidP="007C558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Авиапромышленность:</w:t>
      </w:r>
    </w:p>
    <w:p w14:paraId="3426830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8619A1" w14:textId="77777777" w:rsidR="00A52711" w:rsidRPr="008A2E5A" w:rsidRDefault="00A52711" w:rsidP="00A527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июлю 1942 за год войны в частях 1-й заб произошло 101 летное происшествие, из них: катастроф - 23, аварий самолетов - 9, аварий моторов - 47, поломок самолетов - 6, вынужден</w:t>
      </w:r>
      <w:r w:rsidRPr="008A2E5A">
        <w:rPr>
          <w:rFonts w:ascii="Times New Roman" w:hAnsi="Times New Roman"/>
          <w:color w:val="0070C0"/>
          <w:sz w:val="16"/>
          <w:szCs w:val="16"/>
        </w:rPr>
        <w:softHyphen/>
        <w:t>ных посадок - 16.</w:t>
      </w:r>
    </w:p>
    <w:p w14:paraId="6792067C" w14:textId="77777777" w:rsidR="00A52711" w:rsidRPr="008A2E5A" w:rsidRDefault="00A52711" w:rsidP="00A527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далеко неполным данным, инженерами полков бри</w:t>
      </w:r>
      <w:r w:rsidRPr="008A2E5A">
        <w:rPr>
          <w:rFonts w:ascii="Times New Roman" w:hAnsi="Times New Roman"/>
          <w:color w:val="0070C0"/>
          <w:sz w:val="16"/>
          <w:szCs w:val="16"/>
        </w:rPr>
        <w:softHyphen/>
        <w:t>гады к 15 мая 1942 г. было зафиксировано свыше тысячи мелких и 718 крупных дефектов по моторам и самолетам (по моторному заводу № 24 - 322, по самолетным заводам №№ 18 и 1 - 235 и 161, соответственно). Ввиду невозмож</w:t>
      </w:r>
      <w:r w:rsidRPr="008A2E5A">
        <w:rPr>
          <w:rFonts w:ascii="Times New Roman" w:hAnsi="Times New Roman"/>
          <w:color w:val="0070C0"/>
          <w:sz w:val="16"/>
          <w:szCs w:val="16"/>
        </w:rPr>
        <w:softHyphen/>
        <w:t>ности дальнейшей эксплуатации с самолетов было снято по рекламациям 142 мотора АМ-38.</w:t>
      </w:r>
    </w:p>
    <w:p w14:paraId="680FAA72" w14:textId="77777777" w:rsidR="00A52711" w:rsidRPr="008A2E5A" w:rsidRDefault="00A52711" w:rsidP="00A527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ряду массовых дефектов отмечались течь бензина в штуцерах бензопроводов и по сварным швам бензобаков, течь воды и масла в различных соединениях, а также амор</w:t>
      </w:r>
      <w:r w:rsidRPr="008A2E5A">
        <w:rPr>
          <w:rFonts w:ascii="Times New Roman" w:hAnsi="Times New Roman"/>
          <w:color w:val="0070C0"/>
          <w:sz w:val="16"/>
          <w:szCs w:val="16"/>
        </w:rPr>
        <w:softHyphen/>
        <w:t>тизационной смеси из стоек шасси.</w:t>
      </w:r>
    </w:p>
    <w:p w14:paraId="3C0ACABB" w14:textId="77777777" w:rsidR="00A52711" w:rsidRPr="008A2E5A" w:rsidRDefault="00A52711" w:rsidP="00A527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Серьезнейшим дефектом являлось травление воздуш</w:t>
      </w:r>
      <w:r w:rsidRPr="008A2E5A">
        <w:rPr>
          <w:rFonts w:ascii="Times New Roman" w:hAnsi="Times New Roman"/>
          <w:color w:val="0070C0"/>
          <w:sz w:val="16"/>
          <w:szCs w:val="16"/>
        </w:rPr>
        <w:softHyphen/>
        <w:t>ной системы на всех самолетах («это дает большой расход воздуха, что может делать самолет небоеспособным») (23346).</w:t>
      </w:r>
    </w:p>
    <w:p w14:paraId="05103051" w14:textId="77777777" w:rsidR="00A52711" w:rsidRPr="008A2E5A" w:rsidRDefault="00A52711" w:rsidP="00A52711">
      <w:pPr>
        <w:spacing w:after="0" w:line="240" w:lineRule="auto"/>
        <w:jc w:val="both"/>
        <w:rPr>
          <w:rFonts w:ascii="Times New Roman" w:hAnsi="Times New Roman"/>
          <w:color w:val="0070C0"/>
          <w:sz w:val="16"/>
          <w:szCs w:val="16"/>
        </w:rPr>
      </w:pPr>
    </w:p>
    <w:p w14:paraId="447CAFC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июлю 1942 года в Билимбае на заводе № 290 было отремонтирова</w:t>
      </w:r>
      <w:r w:rsidRPr="001E2C69">
        <w:rPr>
          <w:rFonts w:ascii="Times New Roman" w:hAnsi="Times New Roman"/>
          <w:color w:val="000000" w:themeColor="text1"/>
          <w:sz w:val="16"/>
          <w:szCs w:val="16"/>
        </w:rPr>
        <w:softHyphen/>
        <w:t>но 3 автожира А-7, по</w:t>
      </w:r>
      <w:r w:rsidRPr="001E2C69">
        <w:rPr>
          <w:rFonts w:ascii="Times New Roman" w:hAnsi="Times New Roman"/>
          <w:color w:val="000000" w:themeColor="text1"/>
          <w:sz w:val="16"/>
          <w:szCs w:val="16"/>
        </w:rPr>
        <w:softHyphen/>
        <w:t>врежденных в боях под Ельней. Их погрузили на две железнодорожные платформы и вме сте с экипажами отправили в «Ухтомку». Сопровождал экспедицию веду</w:t>
      </w:r>
      <w:r w:rsidRPr="001E2C69">
        <w:rPr>
          <w:rFonts w:ascii="Times New Roman" w:hAnsi="Times New Roman"/>
          <w:color w:val="000000" w:themeColor="text1"/>
          <w:sz w:val="16"/>
          <w:szCs w:val="16"/>
        </w:rPr>
        <w:softHyphen/>
        <w:t>щий инженер В.С.Морозов (10224,56).</w:t>
      </w:r>
    </w:p>
    <w:p w14:paraId="7E704D2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AB8362" w14:textId="77777777" w:rsidR="00A52711" w:rsidRPr="008A2E5A" w:rsidRDefault="00A52711" w:rsidP="00A527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июлю 1942 г. через северные порты в СССР довезли 1903 самолета. Но поставки че</w:t>
      </w:r>
      <w:r w:rsidRPr="008A2E5A">
        <w:rPr>
          <w:rFonts w:ascii="Times New Roman" w:hAnsi="Times New Roman"/>
          <w:color w:val="0070C0"/>
          <w:sz w:val="16"/>
          <w:szCs w:val="16"/>
        </w:rPr>
        <w:softHyphen/>
        <w:t>рез север шли неравномерно. Это опре</w:t>
      </w:r>
      <w:r w:rsidRPr="008A2E5A">
        <w:rPr>
          <w:rFonts w:ascii="Times New Roman" w:hAnsi="Times New Roman"/>
          <w:color w:val="0070C0"/>
          <w:sz w:val="16"/>
          <w:szCs w:val="16"/>
        </w:rPr>
        <w:softHyphen/>
        <w:t>делялось движением конвоев. После пе</w:t>
      </w:r>
      <w:r w:rsidRPr="008A2E5A">
        <w:rPr>
          <w:rFonts w:ascii="Times New Roman" w:hAnsi="Times New Roman"/>
          <w:color w:val="0070C0"/>
          <w:sz w:val="16"/>
          <w:szCs w:val="16"/>
        </w:rPr>
        <w:softHyphen/>
        <w:t>рехода полярной ночи в полярный день оно становилось все более небезопасным. Арктические конвои сталкивались с не</w:t>
      </w:r>
      <w:r w:rsidRPr="008A2E5A">
        <w:rPr>
          <w:rFonts w:ascii="Times New Roman" w:hAnsi="Times New Roman"/>
          <w:color w:val="0070C0"/>
          <w:sz w:val="16"/>
          <w:szCs w:val="16"/>
        </w:rPr>
        <w:softHyphen/>
        <w:t>погодой, льдами и немецкими подводны</w:t>
      </w:r>
      <w:r w:rsidRPr="008A2E5A">
        <w:rPr>
          <w:rFonts w:ascii="Times New Roman" w:hAnsi="Times New Roman"/>
          <w:color w:val="0070C0"/>
          <w:sz w:val="16"/>
          <w:szCs w:val="16"/>
        </w:rPr>
        <w:softHyphen/>
        <w:t>ми лодками. Последние вкупе с авиацией противника, сосредоточенной в Норве</w:t>
      </w:r>
      <w:r w:rsidRPr="008A2E5A">
        <w:rPr>
          <w:rFonts w:ascii="Times New Roman" w:hAnsi="Times New Roman"/>
          <w:color w:val="0070C0"/>
          <w:sz w:val="16"/>
          <w:szCs w:val="16"/>
        </w:rPr>
        <w:softHyphen/>
        <w:t>гии, наносили все большие потери иду</w:t>
      </w:r>
      <w:r w:rsidRPr="008A2E5A">
        <w:rPr>
          <w:rFonts w:ascii="Times New Roman" w:hAnsi="Times New Roman"/>
          <w:color w:val="0070C0"/>
          <w:sz w:val="16"/>
          <w:szCs w:val="16"/>
        </w:rPr>
        <w:softHyphen/>
        <w:t>щим в северные порты России судам. Са</w:t>
      </w:r>
      <w:r w:rsidRPr="008A2E5A">
        <w:rPr>
          <w:rFonts w:ascii="Times New Roman" w:hAnsi="Times New Roman"/>
          <w:color w:val="0070C0"/>
          <w:sz w:val="16"/>
          <w:szCs w:val="16"/>
        </w:rPr>
        <w:softHyphen/>
        <w:t>мая страшная судьба досталась конвою PQ 17, разгромленному немцами в нача</w:t>
      </w:r>
      <w:r w:rsidRPr="008A2E5A">
        <w:rPr>
          <w:rFonts w:ascii="Times New Roman" w:hAnsi="Times New Roman"/>
          <w:color w:val="0070C0"/>
          <w:sz w:val="16"/>
          <w:szCs w:val="16"/>
        </w:rPr>
        <w:softHyphen/>
        <w:t>ле июля 1942 г. По приказу британского адмиралтейства большая часть кораблей охранения покинула торговые суда, ко</w:t>
      </w:r>
      <w:r w:rsidRPr="008A2E5A">
        <w:rPr>
          <w:rFonts w:ascii="Times New Roman" w:hAnsi="Times New Roman"/>
          <w:color w:val="0070C0"/>
          <w:sz w:val="16"/>
          <w:szCs w:val="16"/>
        </w:rPr>
        <w:softHyphen/>
        <w:t>торые стали добычей подводных лодок, бомбардировщиков и торпедоносцев. Из 32 судов погибло 21, на дно ушли 122 000 т ценных грузов, включая 210 самолетов. После разгрома PQ 17 движение конвоев прекратили до осени — рассчитывали, что далее начавшаяся полярная ночь за</w:t>
      </w:r>
      <w:r w:rsidRPr="008A2E5A">
        <w:rPr>
          <w:rFonts w:ascii="Times New Roman" w:hAnsi="Times New Roman"/>
          <w:color w:val="0070C0"/>
          <w:sz w:val="16"/>
          <w:szCs w:val="16"/>
        </w:rPr>
        <w:softHyphen/>
        <w:t>труднит действия противника. Такая же ситуация имела место в 1943 г., когда на весь период полярного дня судоходство прекратилось (23513).</w:t>
      </w:r>
    </w:p>
    <w:p w14:paraId="3EDC2636" w14:textId="77777777" w:rsidR="00A52711" w:rsidRPr="008A2E5A" w:rsidRDefault="00A52711" w:rsidP="00A52711">
      <w:pPr>
        <w:spacing w:after="0" w:line="240" w:lineRule="auto"/>
        <w:jc w:val="both"/>
        <w:rPr>
          <w:rFonts w:ascii="Times New Roman" w:hAnsi="Times New Roman"/>
          <w:color w:val="0070C0"/>
          <w:sz w:val="16"/>
          <w:szCs w:val="16"/>
        </w:rPr>
      </w:pPr>
    </w:p>
    <w:p w14:paraId="354C54D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июлю 1942 года количество советских самолётов на фронтах войны возросло против января более чем в 1,3 раза. Однако новых машин среди них было пока что меньше половины. Особенно не хватало новых бомбардировщиков, удельный вес которых в тогдашнем составе этого типового комплекса не превышал 10% (12018).</w:t>
      </w:r>
    </w:p>
    <w:p w14:paraId="4C5F923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FB4A9E" w14:textId="77777777" w:rsidR="00A52711" w:rsidRPr="008A2E5A" w:rsidRDefault="00A52711" w:rsidP="00A527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К июлю 1942 г. количество советских самолетов на фронтах войны возросло по сравнению с январем в 1,3 раза, новых машин среди них было пока что меньше половины (47%). Особенно не хватало новых бомбардировщиков, удельный вес которых в авиапарке ВВС не превышал 10% (23472). </w:t>
      </w:r>
    </w:p>
    <w:p w14:paraId="146A462D" w14:textId="77777777" w:rsidR="00A52711" w:rsidRPr="008A2E5A" w:rsidRDefault="00A52711" w:rsidP="00A52711">
      <w:pPr>
        <w:spacing w:after="0" w:line="240" w:lineRule="auto"/>
        <w:jc w:val="both"/>
        <w:rPr>
          <w:rFonts w:ascii="Times New Roman" w:hAnsi="Times New Roman"/>
          <w:color w:val="0070C0"/>
          <w:sz w:val="16"/>
          <w:szCs w:val="16"/>
        </w:rPr>
      </w:pPr>
    </w:p>
    <w:p w14:paraId="09787D0E" w14:textId="77777777" w:rsidR="00C40D73"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Другие оборонные отрасли:</w:t>
      </w:r>
    </w:p>
    <w:p w14:paraId="6E624359" w14:textId="77777777" w:rsidR="00C40D73" w:rsidRPr="001E2C69" w:rsidRDefault="00C40D73"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BE8F30" w14:textId="77777777" w:rsidR="00C40D73" w:rsidRPr="001E2C69" w:rsidRDefault="00C40D73" w:rsidP="00722885">
      <w:pPr>
        <w:pStyle w:val="162"/>
        <w:shd w:val="clear" w:color="auto" w:fill="auto"/>
        <w:spacing w:line="240" w:lineRule="auto"/>
        <w:jc w:val="both"/>
        <w:rPr>
          <w:color w:val="000000" w:themeColor="text1"/>
          <w:sz w:val="16"/>
          <w:szCs w:val="16"/>
        </w:rPr>
      </w:pPr>
      <w:r w:rsidRPr="001E2C69">
        <w:rPr>
          <w:rFonts w:eastAsia="Calibri"/>
          <w:color w:val="000000" w:themeColor="text1"/>
          <w:sz w:val="16"/>
          <w:szCs w:val="16"/>
        </w:rPr>
        <w:t>К июлю 1942 на заводе № 37 была готова «машина 32», получившая обозначение СУ-32. Образец изготовили в варианте БГС-5. Как и в случае с СУ-31, использовалась неброневая сталь толщиной 15 мм по периметру. Обе САУ испытывались с 21 августа по 3 сентября, причем СУ-31 показала себя с лучшей стороны, в то время как у СУ-32 наблюдался перегрев двигателей. Впрочем, к тому моменту, когда машины вышли на испы</w:t>
      </w:r>
      <w:r w:rsidRPr="001E2C69">
        <w:rPr>
          <w:rFonts w:eastAsia="Calibri"/>
          <w:color w:val="000000" w:themeColor="text1"/>
          <w:sz w:val="16"/>
          <w:szCs w:val="16"/>
        </w:rPr>
        <w:softHyphen/>
        <w:t>тания, завод № 37 уже объединился с Уралмашем и о серийном произ</w:t>
      </w:r>
      <w:r w:rsidRPr="001E2C69">
        <w:rPr>
          <w:rFonts w:eastAsia="Calibri"/>
          <w:color w:val="000000" w:themeColor="text1"/>
          <w:sz w:val="16"/>
          <w:szCs w:val="16"/>
        </w:rPr>
        <w:softHyphen/>
        <w:t>водстве легких САУ в Свердловске речь не шла (17485).</w:t>
      </w:r>
    </w:p>
    <w:p w14:paraId="0B8806F9" w14:textId="77777777" w:rsidR="00C40D73" w:rsidRPr="001E2C69" w:rsidRDefault="00C40D73" w:rsidP="00722885">
      <w:pPr>
        <w:spacing w:after="0" w:line="240" w:lineRule="auto"/>
        <w:jc w:val="both"/>
        <w:rPr>
          <w:rFonts w:ascii="Times New Roman" w:hAnsi="Times New Roman"/>
          <w:color w:val="000000" w:themeColor="text1"/>
          <w:sz w:val="16"/>
          <w:szCs w:val="16"/>
        </w:rPr>
      </w:pPr>
    </w:p>
    <w:p w14:paraId="7C802C76"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Армия:</w:t>
      </w:r>
    </w:p>
    <w:p w14:paraId="5C3698E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96029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июлю 1942 доля новых машин в советских ВВС достигла 47% (237,199).</w:t>
      </w:r>
    </w:p>
    <w:p w14:paraId="56EDEE5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DD3BC7" w14:textId="77777777" w:rsidR="009C7E3C" w:rsidRPr="001E2C69" w:rsidRDefault="009C7E3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июлю 1942 г. количество советских самолетов на фронтах войны возросло по сравнению с январем в 1,3 раза, новых машин среди них было пока что меньше половины (47%). Особенно не хватало новых бомбардировщиков, удельный вес которых в авиапарке ВВС не превышал 10% (18305).</w:t>
      </w:r>
    </w:p>
    <w:p w14:paraId="424AEF4D" w14:textId="77777777" w:rsidR="009C7E3C" w:rsidRPr="001E2C69" w:rsidRDefault="009C7E3C" w:rsidP="00722885">
      <w:pPr>
        <w:spacing w:after="0" w:line="240" w:lineRule="auto"/>
        <w:jc w:val="both"/>
        <w:rPr>
          <w:rFonts w:ascii="Times New Roman" w:hAnsi="Times New Roman"/>
          <w:color w:val="000000" w:themeColor="text1"/>
          <w:sz w:val="16"/>
          <w:szCs w:val="16"/>
        </w:rPr>
      </w:pPr>
    </w:p>
    <w:p w14:paraId="4FCB24A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июлю 1942 на фронтах было 57 ГМП М-8 и М-13. В течение июня и начала июля сформировали 20 дивизионов М-30 из 3 батарей по 32 раме в батарее (3890).</w:t>
      </w:r>
    </w:p>
    <w:p w14:paraId="3F4B05F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31D8DC" w14:textId="77777777" w:rsidR="00B01B2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За рубежом:</w:t>
      </w:r>
    </w:p>
    <w:p w14:paraId="5F5945DD" w14:textId="77777777" w:rsidR="00B01B21" w:rsidRPr="001E2C69" w:rsidRDefault="00B01B2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DA163C" w14:textId="2D6E5433"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июлю 1942 г из-за различных проблем были летными только два вертолета Fa.223. Успешные испытания Fa.223 и особенно его транспортный потенциал для снабжения сухопутных войск позволили заказать еще 100 машин, но из них были испытаны только восемь, а шесть было разбито во время налета союзников на Лаупгейм в июле 1944 г. Производство вновь пришлось восстанавливать, на этот раз в Берлине, с мощностью 400 вертолетов в месяц, но до конца года по этому плану удалось сдать только один вертолет.</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Несмотря на все усилия, одновременно летали только десять-одиннадцать Fa.223. Общий налет составил 400 часов, было покрыто до 10 000 км. Максимальный налет на одну машину составил 100 часов. Интересна судьба одного Fa.223 (#12): для спасения 17 человек, попавших под лавину на горе Блане, вертолет перелетел почти через всю Германию. К несчастью, из-за разрушения ротора машина провалилась вниз, и хотя приземлилась на колеса, вертолет перевернуло и экипаж погиб.</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Хотя Fa.223 был особенно эффективен при спасательных операциях, реально для таких задач он не использовался; иногда его применяли для транспортных перевозок. На апрель 1945 г в 40-й авиатранспортной эскадрилье были три Fa.223. Один из них к концу войны был разбит, а два других достались американцам. Fa.223 (#14) был перегнан в Англию немецким экипажем, став первым вертолетом, пересекшим Ла-Манш (15139).</w:t>
      </w:r>
    </w:p>
    <w:p w14:paraId="0F93EBAB" w14:textId="77777777" w:rsidR="00B01B21" w:rsidRPr="001E2C69" w:rsidRDefault="00B01B21" w:rsidP="00722885">
      <w:pPr>
        <w:spacing w:after="0" w:line="240" w:lineRule="auto"/>
        <w:jc w:val="both"/>
        <w:rPr>
          <w:rFonts w:ascii="Times New Roman" w:hAnsi="Times New Roman"/>
          <w:color w:val="000000" w:themeColor="text1"/>
          <w:sz w:val="16"/>
          <w:szCs w:val="16"/>
        </w:rPr>
      </w:pPr>
    </w:p>
    <w:p w14:paraId="272AFEF9" w14:textId="77777777" w:rsidR="00E74794" w:rsidRPr="001E2C69" w:rsidRDefault="00E74794"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Авиапромышленность:</w:t>
      </w:r>
    </w:p>
    <w:p w14:paraId="37845B3E" w14:textId="77777777" w:rsidR="00E74794" w:rsidRPr="001E2C69" w:rsidRDefault="00E74794"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C1C7B7" w14:textId="77777777" w:rsidR="00E74794" w:rsidRPr="001E2C69" w:rsidRDefault="00E74794"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началу июля 1942 г. самолет Су-6 М-71 с небольшими доработками по схеме бронирования (общий вес брони был дове</w:t>
      </w:r>
      <w:r w:rsidRPr="001E2C69">
        <w:rPr>
          <w:rFonts w:ascii="Times New Roman" w:hAnsi="Times New Roman"/>
          <w:color w:val="000000" w:themeColor="text1"/>
          <w:sz w:val="16"/>
          <w:szCs w:val="16"/>
        </w:rPr>
        <w:softHyphen/>
        <w:t>ден до 660 кг), с улучшенным обзором впе</w:t>
      </w:r>
      <w:r w:rsidRPr="001E2C69">
        <w:rPr>
          <w:rFonts w:ascii="Times New Roman" w:hAnsi="Times New Roman"/>
          <w:color w:val="000000" w:themeColor="text1"/>
          <w:sz w:val="16"/>
          <w:szCs w:val="16"/>
        </w:rPr>
        <w:softHyphen/>
        <w:t>ред-вниз (сиденье летчика было поднято на 35 мм) снова проходил совместные испыта</w:t>
      </w:r>
      <w:r w:rsidRPr="001E2C69">
        <w:rPr>
          <w:rFonts w:ascii="Times New Roman" w:hAnsi="Times New Roman"/>
          <w:color w:val="000000" w:themeColor="text1"/>
          <w:sz w:val="16"/>
          <w:szCs w:val="16"/>
        </w:rPr>
        <w:softHyphen/>
        <w:t>ния. Их выполняли ведущий инженер А.В.Синельников и ведущий летчик А.К.Долгов. В акте государственных испы</w:t>
      </w:r>
      <w:r w:rsidRPr="001E2C69">
        <w:rPr>
          <w:rFonts w:ascii="Times New Roman" w:hAnsi="Times New Roman"/>
          <w:color w:val="000000" w:themeColor="text1"/>
          <w:sz w:val="16"/>
          <w:szCs w:val="16"/>
        </w:rPr>
        <w:softHyphen/>
        <w:t>таний отмечалось:</w:t>
      </w:r>
    </w:p>
    <w:p w14:paraId="00176976" w14:textId="77777777" w:rsidR="00E74794" w:rsidRPr="001E2C69" w:rsidRDefault="00E74794" w:rsidP="00722885">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color w:val="000000" w:themeColor="text1"/>
          <w:sz w:val="16"/>
          <w:szCs w:val="16"/>
        </w:rPr>
        <w:t>“...самолет Су-6 с мотором М-71 по мак</w:t>
      </w:r>
      <w:r w:rsidRPr="001E2C69">
        <w:rPr>
          <w:rFonts w:ascii="Times New Roman" w:hAnsi="Times New Roman"/>
          <w:color w:val="000000" w:themeColor="text1"/>
          <w:sz w:val="16"/>
          <w:szCs w:val="16"/>
        </w:rPr>
        <w:softHyphen/>
        <w:t>симальной скорости горизонтального поле</w:t>
      </w:r>
      <w:r w:rsidRPr="001E2C69">
        <w:rPr>
          <w:rFonts w:ascii="Times New Roman" w:hAnsi="Times New Roman"/>
          <w:color w:val="000000" w:themeColor="text1"/>
          <w:sz w:val="16"/>
          <w:szCs w:val="16"/>
        </w:rPr>
        <w:softHyphen/>
        <w:t>та стоит выше штурмовика Ил-2</w:t>
      </w:r>
      <w:r w:rsidRPr="001E2C69">
        <w:rPr>
          <w:rFonts w:ascii="Times New Roman" w:hAnsi="Times New Roman"/>
          <w:iCs/>
          <w:color w:val="000000" w:themeColor="text1"/>
          <w:sz w:val="16"/>
          <w:szCs w:val="16"/>
        </w:rPr>
        <w:t xml:space="preserve"> АМ-38;</w:t>
      </w:r>
    </w:p>
    <w:p w14:paraId="1D358D44" w14:textId="77777777" w:rsidR="00E74794" w:rsidRPr="001E2C69" w:rsidRDefault="00E74794"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 xml:space="preserve">- </w:t>
      </w:r>
      <w:r w:rsidRPr="001E2C69">
        <w:rPr>
          <w:rFonts w:ascii="Times New Roman" w:hAnsi="Times New Roman"/>
          <w:color w:val="000000" w:themeColor="text1"/>
          <w:sz w:val="16"/>
          <w:szCs w:val="16"/>
        </w:rPr>
        <w:t>после, выполнения задания (сбрасыва</w:t>
      </w:r>
      <w:r w:rsidRPr="001E2C69">
        <w:rPr>
          <w:rFonts w:ascii="Times New Roman" w:hAnsi="Times New Roman"/>
          <w:color w:val="000000" w:themeColor="text1"/>
          <w:sz w:val="16"/>
          <w:szCs w:val="16"/>
        </w:rPr>
        <w:softHyphen/>
        <w:t>ния бомб и PC-132) самолет Су-6 М-71 об</w:t>
      </w:r>
      <w:r w:rsidRPr="001E2C69">
        <w:rPr>
          <w:rFonts w:ascii="Times New Roman" w:hAnsi="Times New Roman"/>
          <w:color w:val="000000" w:themeColor="text1"/>
          <w:sz w:val="16"/>
          <w:szCs w:val="16"/>
        </w:rPr>
        <w:softHyphen/>
        <w:t>ладает максимальной скоростью 483 км/час на 10-ти минутном форсаже. Эта скорость делает самолет Су-6 труднодосягаемым для истребителей противника, имеющих незначительное преимущество в скорости;</w:t>
      </w:r>
    </w:p>
    <w:p w14:paraId="2A79226D" w14:textId="77777777" w:rsidR="00E74794" w:rsidRPr="001E2C69" w:rsidRDefault="00E74794" w:rsidP="00722885">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Cs/>
          <w:color w:val="000000" w:themeColor="text1"/>
          <w:sz w:val="16"/>
          <w:szCs w:val="16"/>
        </w:rPr>
        <w:t>- считать целесообразным постройку небольшой войсковой серии самолетов Су-6 М-71, как представляющих интерес по сравнительно большой максимальной го</w:t>
      </w:r>
      <w:r w:rsidRPr="001E2C69">
        <w:rPr>
          <w:rFonts w:ascii="Times New Roman" w:hAnsi="Times New Roman"/>
          <w:iCs/>
          <w:color w:val="000000" w:themeColor="text1"/>
          <w:sz w:val="16"/>
          <w:szCs w:val="16"/>
        </w:rPr>
        <w:softHyphen/>
        <w:t>ризонтальной скорости и имеющих мощ</w:t>
      </w:r>
      <w:r w:rsidRPr="001E2C69">
        <w:rPr>
          <w:rFonts w:ascii="Times New Roman" w:hAnsi="Times New Roman"/>
          <w:iCs/>
          <w:color w:val="000000" w:themeColor="text1"/>
          <w:sz w:val="16"/>
          <w:szCs w:val="16"/>
        </w:rPr>
        <w:softHyphen/>
        <w:t>ное стрелково -пушечное и реактивное во</w:t>
      </w:r>
      <w:r w:rsidRPr="001E2C69">
        <w:rPr>
          <w:rFonts w:ascii="Times New Roman" w:hAnsi="Times New Roman"/>
          <w:iCs/>
          <w:color w:val="000000" w:themeColor="text1"/>
          <w:sz w:val="16"/>
          <w:szCs w:val="16"/>
        </w:rPr>
        <w:softHyphen/>
        <w:t>оружение”.</w:t>
      </w:r>
    </w:p>
    <w:p w14:paraId="042A83F9" w14:textId="77777777" w:rsidR="00E74794" w:rsidRPr="001E2C69" w:rsidRDefault="00E74794"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технике пилотирования машина ока</w:t>
      </w:r>
      <w:r w:rsidRPr="001E2C69">
        <w:rPr>
          <w:rFonts w:ascii="Times New Roman" w:hAnsi="Times New Roman"/>
          <w:color w:val="000000" w:themeColor="text1"/>
          <w:sz w:val="16"/>
          <w:szCs w:val="16"/>
        </w:rPr>
        <w:softHyphen/>
        <w:t>залась вполне доступной для летчиков средней квалификации. Она имела хоро</w:t>
      </w:r>
      <w:r w:rsidRPr="001E2C69">
        <w:rPr>
          <w:rFonts w:ascii="Times New Roman" w:hAnsi="Times New Roman"/>
          <w:color w:val="000000" w:themeColor="text1"/>
          <w:sz w:val="16"/>
          <w:szCs w:val="16"/>
        </w:rPr>
        <w:softHyphen/>
        <w:t>шую устойчивость и управляемость. Вмес</w:t>
      </w:r>
      <w:r w:rsidRPr="001E2C69">
        <w:rPr>
          <w:rFonts w:ascii="Times New Roman" w:hAnsi="Times New Roman"/>
          <w:color w:val="000000" w:themeColor="text1"/>
          <w:sz w:val="16"/>
          <w:szCs w:val="16"/>
        </w:rPr>
        <w:softHyphen/>
        <w:t>те с тем, отмечалось, что обзор на рулежке недостаточен и поэтому приходится ру</w:t>
      </w:r>
      <w:r w:rsidRPr="001E2C69">
        <w:rPr>
          <w:rFonts w:ascii="Times New Roman" w:hAnsi="Times New Roman"/>
          <w:color w:val="000000" w:themeColor="text1"/>
          <w:sz w:val="16"/>
          <w:szCs w:val="16"/>
        </w:rPr>
        <w:softHyphen/>
        <w:t>лить змейкой. В воздухе обзор оценивался как удовлетворительный.</w:t>
      </w:r>
    </w:p>
    <w:p w14:paraId="6E1588CC" w14:textId="77777777" w:rsidR="00E74794" w:rsidRPr="001E2C69" w:rsidRDefault="00E74794"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Несмотря на совершенно недвусмыслен</w:t>
      </w:r>
      <w:r w:rsidRPr="001E2C69">
        <w:rPr>
          <w:rFonts w:ascii="Times New Roman" w:hAnsi="Times New Roman"/>
          <w:color w:val="000000" w:themeColor="text1"/>
          <w:sz w:val="16"/>
          <w:szCs w:val="16"/>
        </w:rPr>
        <w:softHyphen/>
        <w:t>ным образом выраженную заинтересован</w:t>
      </w:r>
      <w:r w:rsidRPr="001E2C69">
        <w:rPr>
          <w:rFonts w:ascii="Times New Roman" w:hAnsi="Times New Roman"/>
          <w:color w:val="000000" w:themeColor="text1"/>
          <w:sz w:val="16"/>
          <w:szCs w:val="16"/>
        </w:rPr>
        <w:softHyphen/>
        <w:t>ность руководства ВВС в Су-6, самолет по-прежнему в серии не строился. П.О.Сухой не смог (или не захотел) “пробить” запуск свое</w:t>
      </w:r>
      <w:r w:rsidRPr="001E2C69">
        <w:rPr>
          <w:rFonts w:ascii="Times New Roman" w:hAnsi="Times New Roman"/>
          <w:color w:val="000000" w:themeColor="text1"/>
          <w:sz w:val="16"/>
          <w:szCs w:val="16"/>
        </w:rPr>
        <w:softHyphen/>
        <w:t>го детища в производство. Вместо этого им было принято решение об установке на са</w:t>
      </w:r>
      <w:r w:rsidRPr="001E2C69">
        <w:rPr>
          <w:rFonts w:ascii="Times New Roman" w:hAnsi="Times New Roman"/>
          <w:color w:val="000000" w:themeColor="text1"/>
          <w:sz w:val="16"/>
          <w:szCs w:val="16"/>
        </w:rPr>
        <w:softHyphen/>
        <w:t>молете Су-6 М-71 двух крыльевых пушек калибра 37 мм вместо ВЯ. На первом экземп</w:t>
      </w:r>
      <w:r w:rsidRPr="001E2C69">
        <w:rPr>
          <w:rFonts w:ascii="Times New Roman" w:hAnsi="Times New Roman"/>
          <w:color w:val="000000" w:themeColor="text1"/>
          <w:sz w:val="16"/>
          <w:szCs w:val="16"/>
        </w:rPr>
        <w:softHyphen/>
        <w:t>ляре монтировались пушки конструкции А.Э.Нудельмана и А.С.Суранова НС-37 (тог</w:t>
      </w:r>
      <w:r w:rsidRPr="001E2C69">
        <w:rPr>
          <w:rFonts w:ascii="Times New Roman" w:hAnsi="Times New Roman"/>
          <w:color w:val="000000" w:themeColor="text1"/>
          <w:sz w:val="16"/>
          <w:szCs w:val="16"/>
        </w:rPr>
        <w:softHyphen/>
        <w:t>да они назывались “37-мм пушки ОКБ-16”). Срок готовности — ноябрь 1942 г. На втором экземпляре устанавливались орудия Б.Г.Шпитального Ш-37 (“37-мм пушки ОКБ-15”). Срок готовности — декабрь 1942 г.</w:t>
      </w:r>
    </w:p>
    <w:p w14:paraId="4B2DF3CB" w14:textId="77777777" w:rsidR="00E74794" w:rsidRPr="001E2C69" w:rsidRDefault="00E74794"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соответствии с разрешением НКАП, ОКБ П.О.Сухого дополнительно строило два самолета Су-6 М-71 с бронекорпусом, включенным в конструкцию самолета и усиленным бронированием силовой уста</w:t>
      </w:r>
      <w:r w:rsidRPr="001E2C69">
        <w:rPr>
          <w:rFonts w:ascii="Times New Roman" w:hAnsi="Times New Roman"/>
          <w:color w:val="000000" w:themeColor="text1"/>
          <w:sz w:val="16"/>
          <w:szCs w:val="16"/>
        </w:rPr>
        <w:softHyphen/>
        <w:t>новки. Одновременно в интересах упроще</w:t>
      </w:r>
      <w:r w:rsidRPr="001E2C69">
        <w:rPr>
          <w:rFonts w:ascii="Times New Roman" w:hAnsi="Times New Roman"/>
          <w:color w:val="000000" w:themeColor="text1"/>
          <w:sz w:val="16"/>
          <w:szCs w:val="16"/>
        </w:rPr>
        <w:softHyphen/>
        <w:t>ния технологии производства предусмат</w:t>
      </w:r>
      <w:r w:rsidRPr="001E2C69">
        <w:rPr>
          <w:rFonts w:ascii="Times New Roman" w:hAnsi="Times New Roman"/>
          <w:color w:val="000000" w:themeColor="text1"/>
          <w:sz w:val="16"/>
          <w:szCs w:val="16"/>
        </w:rPr>
        <w:softHyphen/>
        <w:t>ривалась замена консолей на деревянные (5011).</w:t>
      </w:r>
    </w:p>
    <w:p w14:paraId="3CEE8BFC" w14:textId="77777777" w:rsidR="00E74794" w:rsidRPr="001E2C69" w:rsidRDefault="00E74794"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Су-6 М-71 устойчиво планировал (как с газом, так и без газа) под углами до 40-45° - стремления к переходу в пикирование под большими углами штурмовик не проявлял. Скорость ввода в пикирование 270-380 км/ч.</w:t>
      </w:r>
    </w:p>
    <w:p w14:paraId="267D2933" w14:textId="77777777" w:rsidR="00E74794" w:rsidRPr="001E2C69" w:rsidRDefault="00E74794"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Взлет и посадка были простыми, но несколько сложнее, чем у Ил-2, самолет на пробеге вел себя устойчиво. Из-за большого лба мотора обзор из кабины на рулежке был недостаточен, вследствие этого, руление приходилось производить змейкой. В воздухе обзор оценивался удовлетворительно.</w:t>
      </w:r>
    </w:p>
    <w:p w14:paraId="2AA25D86" w14:textId="77777777" w:rsidR="00E74794" w:rsidRPr="001E2C69" w:rsidRDefault="00E74794"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Броню рекомендовалось сделать по типу Ил-2.</w:t>
      </w:r>
    </w:p>
    <w:p w14:paraId="31EAA8E9" w14:textId="77777777" w:rsidR="00E74794" w:rsidRPr="001E2C69" w:rsidRDefault="00E74794"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ходе испытаний мотор М-71 заменялся.</w:t>
      </w:r>
    </w:p>
    <w:p w14:paraId="125EB436" w14:textId="77777777" w:rsidR="00E74794" w:rsidRPr="001E2C69" w:rsidRDefault="00E74794"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акте государственных испытаний отмечалось:</w:t>
      </w:r>
    </w:p>
    <w:p w14:paraId="56342C9F" w14:textId="77777777" w:rsidR="00E74794" w:rsidRPr="001E2C69" w:rsidRDefault="00E74794"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“...Самолет Су-б с мотором М-71 по максимальной скорости горизонтального полета стоит выше штурмовика Ил-2 АМ-38;</w:t>
      </w:r>
    </w:p>
    <w:p w14:paraId="2AA0A1A9" w14:textId="77777777" w:rsidR="00E74794" w:rsidRPr="001E2C69" w:rsidRDefault="00E74794"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выполнения задания (сбрасывания бомби PC-132) самолет Су-б М-71 обладает максимальной скоростью 483 км/час на 10-ти минутном форсаже. Эта скорость делает самолет Су-б труднодосягае-мым для истребителей противника, имеющих незначительное преимущество в скорости.</w:t>
      </w:r>
    </w:p>
    <w:p w14:paraId="6F669853" w14:textId="77777777" w:rsidR="00E74794" w:rsidRPr="001E2C69" w:rsidRDefault="00E74794"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Считать целесообразным постройку небольшой войсковой серии самолетов Су-б М-71, как представляющих интерес по сравнительно большой максимальной горизонтальной скорости и имеющих мощное стрелково-пушечное и реактивное вооружение” (9649).</w:t>
      </w:r>
    </w:p>
    <w:p w14:paraId="4DEE9061" w14:textId="77777777" w:rsidR="00E74794" w:rsidRPr="001E2C69" w:rsidRDefault="00E74794"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25A630" w14:textId="77777777" w:rsidR="00E74794" w:rsidRPr="001E2C69" w:rsidRDefault="00E74794"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К началу июля 1942 г. самолет Су-6 М-71 с небольшими доработками, включающими улучшение бронирования (общий вес брони был доведен до 660 кг) и обзора вперед-вниз (сидение летчика было поднято на 35 мм), снова проходил совместные с заводом № 289 государственные испытания.</w:t>
      </w:r>
    </w:p>
    <w:p w14:paraId="43656E2E" w14:textId="77777777" w:rsidR="00E74794" w:rsidRPr="001E2C69" w:rsidRDefault="00E74794"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Испытания проводили ведущий инженер инженер-майор А. В. Синельников и ведущий летчик-испытатель майор А. К. Долгов. Летчики облета: майор М. А. Нюхтиков и капитан Коробов.</w:t>
      </w:r>
    </w:p>
    <w:p w14:paraId="2540C663" w14:textId="77777777" w:rsidR="00E74794" w:rsidRPr="001E2C69" w:rsidRDefault="00E74794"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Вес пустого самолета составил 3727 кг, вес нагрузки — 1523 кг. Винт трехлопастный типа АВ-5–4А диаметром 3,25 м.</w:t>
      </w:r>
    </w:p>
    <w:p w14:paraId="4107781D" w14:textId="77777777" w:rsidR="00E74794" w:rsidRPr="001E2C69" w:rsidRDefault="00E74794"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Стрелково-пушечное вооружение состояло из двух крыльевых пушек ВЯ-23 и двух крыльевых пулеметов ШКАС. Боекомплект к пушкам ВЯ-23 включал 230 снарядов, к пулеметам ШКАС — 3000 патронов.</w:t>
      </w:r>
    </w:p>
    <w:p w14:paraId="5697DA8F" w14:textId="77777777" w:rsidR="00E74794" w:rsidRPr="001E2C69" w:rsidRDefault="00E74794"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Бомбовое вооружение допускало подвеску: внутри на держателях КД-2 четырех бомб типа ФАБ-50 или ФАБ-100 (в перегрузку) и снаружи на двух держателях типа Д3–40 бомбы ФАБ-50 или ФАБ-100.</w:t>
      </w:r>
    </w:p>
    <w:p w14:paraId="1AA87A9D" w14:textId="77777777" w:rsidR="00E74794" w:rsidRPr="001E2C69" w:rsidRDefault="00E74794"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Реактивное вооружение состояло из 10 РС-132 или РС-82.</w:t>
      </w:r>
    </w:p>
    <w:p w14:paraId="4C74AAA2" w14:textId="77777777" w:rsidR="00E74794" w:rsidRPr="001E2C69" w:rsidRDefault="00E74794"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При нормальном полетном весе 5250 кг (10×РС-132, 200 кг бомб, две пушки ВЯ-23 и четыре пулемета ШКАС с полным боекомплектом) штурмовик имел максимальную скорость у земли 445 км/ч, а на высоте 2500 м — 491 км/ч.</w:t>
      </w:r>
    </w:p>
    <w:p w14:paraId="32C2DB46" w14:textId="77777777" w:rsidR="00E74794" w:rsidRPr="001E2C69" w:rsidRDefault="00E74794"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Время подъема на высоту 1000 м составляло 1,7 мин, а на высоту 3000 м — 5,1 мин. Максимальная дальность полета на высоте 670 м при скорости полета 360 км/ч достигала 576 км.</w:t>
      </w:r>
    </w:p>
    <w:p w14:paraId="7862DEC6" w14:textId="77777777" w:rsidR="00E74794" w:rsidRPr="001E2C69" w:rsidRDefault="00E74794"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В отчете по испытаниям отмечалось, что кабина летчика достаточно просторная, расположение приборов удобное. Козырек кабины целесообразно сделать по типу Ил-2.</w:t>
      </w:r>
    </w:p>
    <w:p w14:paraId="040943AD" w14:textId="77777777" w:rsidR="00E74794" w:rsidRPr="001E2C69" w:rsidRDefault="00E74794"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По технике пилотирования штурмовик был доступен летчикам средней квалификации.</w:t>
      </w:r>
    </w:p>
    <w:p w14:paraId="7275ED21" w14:textId="77777777" w:rsidR="00E74794" w:rsidRPr="001E2C69" w:rsidRDefault="00E74794"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Самолет во всем диапазоне скоростей от минимальной (скорость сваливания 270 км/ч) до максимальной устойчив по всем трем осям.</w:t>
      </w:r>
    </w:p>
    <w:p w14:paraId="31170E6A" w14:textId="77777777" w:rsidR="00E74794" w:rsidRPr="001E2C69" w:rsidRDefault="00E74794"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Вираж «сухой» выполнял устойчиво. Оптимальной скоростью при выполнении виража или восьмерки с креном до 60° являлась скорость в 310–320 км/ч по прибору.</w:t>
      </w:r>
    </w:p>
    <w:p w14:paraId="5C90C30F" w14:textId="77777777" w:rsidR="00E74794" w:rsidRPr="001E2C69" w:rsidRDefault="00E74794"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Управляемость и маневренность машины (как в горизонтальной, так и в вертикальной плоскостях) были замечательными.</w:t>
      </w:r>
    </w:p>
    <w:p w14:paraId="38980C63" w14:textId="77777777" w:rsidR="00E74794" w:rsidRPr="001E2C69" w:rsidRDefault="00E74794"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Вертикальная скорость с полной боевой нагрузкой у земли равнялась 9,8 м/с. За один боевой разворот штурмовик без бомб и PC набирал 600–700 м высоты (скорость ввода 390 км/ч, скорость выхода в горизонтальное положение 270 км/ч).</w:t>
      </w:r>
    </w:p>
    <w:p w14:paraId="3C20080F" w14:textId="77777777" w:rsidR="00E74794" w:rsidRPr="001E2C69" w:rsidRDefault="00E74794"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 xml:space="preserve">Су-6 М-71 устойчиво планировал (как с газом, так и без газа) под углами до 40–45° — стремления к переходу в пикирование под большими углами штурмовик не </w:t>
      </w:r>
      <w:r w:rsidRPr="001E2C69">
        <w:rPr>
          <w:color w:val="000000" w:themeColor="text1"/>
          <w:sz w:val="16"/>
          <w:szCs w:val="16"/>
        </w:rPr>
        <w:lastRenderedPageBreak/>
        <w:t>проявлял. Скорость ввода в пикирование 270–380 км/ч.</w:t>
      </w:r>
    </w:p>
    <w:p w14:paraId="33E1F5FA" w14:textId="77777777" w:rsidR="00E74794" w:rsidRPr="001E2C69" w:rsidRDefault="00E74794"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Взлет и посадка были простыми, но несколько сложнее, чем у Ил-2, самолет на пробеге вел себя устойчиво. Из-за большого лба мотора обзор из кабины на рулежке был недостаточен, вследствие этого, руление приходилось производить змейкой. В воздухе обзор оценивался удовлетворительно.</w:t>
      </w:r>
    </w:p>
    <w:p w14:paraId="7EA63914" w14:textId="77777777" w:rsidR="00E74794" w:rsidRPr="001E2C69" w:rsidRDefault="00E74794"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Броню рекомендовалось сделать по типу Ил-2.</w:t>
      </w:r>
    </w:p>
    <w:p w14:paraId="49E8BC7C" w14:textId="77777777" w:rsidR="00E74794" w:rsidRPr="001E2C69" w:rsidRDefault="00E74794"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В ходе испытаний мотор М-71 заменялся.</w:t>
      </w:r>
    </w:p>
    <w:p w14:paraId="0093C395" w14:textId="77777777" w:rsidR="00E74794" w:rsidRPr="001E2C69" w:rsidRDefault="00E74794"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В акте государственных испытаний отмечалось:</w:t>
      </w:r>
    </w:p>
    <w:p w14:paraId="3FC2D923" w14:textId="77777777" w:rsidR="00E74794" w:rsidRPr="001E2C69" w:rsidRDefault="00E74794" w:rsidP="00722885">
      <w:pPr>
        <w:pStyle w:val="af"/>
        <w:shd w:val="clear" w:color="auto" w:fill="FFFFFF"/>
        <w:spacing w:before="0" w:after="0"/>
        <w:jc w:val="both"/>
        <w:textAlignment w:val="baseline"/>
        <w:rPr>
          <w:color w:val="000000" w:themeColor="text1"/>
          <w:sz w:val="16"/>
          <w:szCs w:val="16"/>
        </w:rPr>
      </w:pPr>
      <w:r w:rsidRPr="001E2C69">
        <w:rPr>
          <w:rStyle w:val="af1"/>
          <w:i w:val="0"/>
          <w:color w:val="000000" w:themeColor="text1"/>
          <w:sz w:val="16"/>
          <w:szCs w:val="16"/>
          <w:bdr w:val="none" w:sz="0" w:space="0" w:color="auto" w:frame="1"/>
        </w:rPr>
        <w:t>«…Самолет Су-6 с мотором М-71 по максимальной скорости горизонтального полета стоит выше штурмовика Ил-2 АМ-38;</w:t>
      </w:r>
    </w:p>
    <w:p w14:paraId="3110DB6C" w14:textId="77777777" w:rsidR="00E74794" w:rsidRPr="001E2C69" w:rsidRDefault="00E74794" w:rsidP="00722885">
      <w:pPr>
        <w:pStyle w:val="af"/>
        <w:shd w:val="clear" w:color="auto" w:fill="FFFFFF"/>
        <w:spacing w:before="0" w:after="0"/>
        <w:jc w:val="both"/>
        <w:textAlignment w:val="baseline"/>
        <w:rPr>
          <w:color w:val="000000" w:themeColor="text1"/>
          <w:sz w:val="16"/>
          <w:szCs w:val="16"/>
        </w:rPr>
      </w:pPr>
      <w:r w:rsidRPr="001E2C69">
        <w:rPr>
          <w:rStyle w:val="af1"/>
          <w:i w:val="0"/>
          <w:color w:val="000000" w:themeColor="text1"/>
          <w:sz w:val="16"/>
          <w:szCs w:val="16"/>
          <w:bdr w:val="none" w:sz="0" w:space="0" w:color="auto" w:frame="1"/>
        </w:rPr>
        <w:t>…После выполнения задания (сбрасывания бомб и РС-132) самолет Су-6 М-71 обладает максимальной скоростью 483 км/час на 10-ти минутном форсаже. Эта скорость делает самолет Су-6 труднодосягаемым для истребителей противника, имеющих незначительное преимущество в скорости.</w:t>
      </w:r>
    </w:p>
    <w:p w14:paraId="6EBE9D04" w14:textId="77777777" w:rsidR="00E74794" w:rsidRPr="001E2C69" w:rsidRDefault="00E74794" w:rsidP="00722885">
      <w:pPr>
        <w:pStyle w:val="af"/>
        <w:shd w:val="clear" w:color="auto" w:fill="FFFFFF"/>
        <w:spacing w:before="0" w:after="0"/>
        <w:jc w:val="both"/>
        <w:textAlignment w:val="baseline"/>
        <w:rPr>
          <w:rStyle w:val="af1"/>
          <w:i w:val="0"/>
          <w:color w:val="000000" w:themeColor="text1"/>
          <w:sz w:val="16"/>
          <w:szCs w:val="16"/>
          <w:bdr w:val="none" w:sz="0" w:space="0" w:color="auto" w:frame="1"/>
        </w:rPr>
      </w:pPr>
      <w:r w:rsidRPr="001E2C69">
        <w:rPr>
          <w:rStyle w:val="af1"/>
          <w:i w:val="0"/>
          <w:color w:val="000000" w:themeColor="text1"/>
          <w:sz w:val="16"/>
          <w:szCs w:val="16"/>
          <w:bdr w:val="none" w:sz="0" w:space="0" w:color="auto" w:frame="1"/>
        </w:rPr>
        <w:t>…Считать целесообразным постройку небольшой войсковой серии самолетов Су-6 М-71, как представляющих интерес по сравнительно большой максимальной горизонтальной скорости и имеющих мощное стрелково-пушечное и реактивное вооружение» (19188).</w:t>
      </w:r>
    </w:p>
    <w:p w14:paraId="219A9A0A" w14:textId="77777777" w:rsidR="00E74794" w:rsidRPr="001E2C69" w:rsidRDefault="00E74794" w:rsidP="00722885">
      <w:pPr>
        <w:pStyle w:val="af"/>
        <w:shd w:val="clear" w:color="auto" w:fill="FFFFFF"/>
        <w:spacing w:before="0" w:after="0"/>
        <w:jc w:val="both"/>
        <w:textAlignment w:val="baseline"/>
        <w:rPr>
          <w:color w:val="000000" w:themeColor="text1"/>
          <w:sz w:val="16"/>
          <w:szCs w:val="16"/>
        </w:rPr>
      </w:pPr>
    </w:p>
    <w:p w14:paraId="09F8A2CF" w14:textId="77777777" w:rsidR="00E74794" w:rsidRPr="001E2C69" w:rsidRDefault="00E7479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К началу июля 1942 г. оба летных эк</w:t>
      </w:r>
      <w:r w:rsidRPr="001E2C69">
        <w:rPr>
          <w:rFonts w:ascii="Times New Roman" w:hAnsi="Times New Roman" w:cs="Times New Roman"/>
          <w:color w:val="000000" w:themeColor="text1"/>
          <w:sz w:val="16"/>
          <w:szCs w:val="16"/>
        </w:rPr>
        <w:softHyphen/>
        <w:t>земпляра самолета Су-6 («81» и «82») на</w:t>
      </w:r>
      <w:r w:rsidRPr="001E2C69">
        <w:rPr>
          <w:rFonts w:ascii="Times New Roman" w:hAnsi="Times New Roman" w:cs="Times New Roman"/>
          <w:color w:val="000000" w:themeColor="text1"/>
          <w:sz w:val="16"/>
          <w:szCs w:val="16"/>
        </w:rPr>
        <w:softHyphen/>
        <w:t>ходились в Молотове на заводе №289, где на них предполагалось установить новые форсированные моторы М-71ф (взлетная мощность 2200 л.с.). Все работы планировалось провести силами завода №19. Первый экземпляр («81») отличался от второго экземпляра («82») отсутствием предкрылков и установкой восьми РО-82 вместо 10. На нем не было пушек. В свое время на него планировалось установить 23-мм пушки ПТБ-23 Таубина-Бабурина, но они, как известно, были сняты с серий</w:t>
      </w:r>
      <w:r w:rsidRPr="001E2C69">
        <w:rPr>
          <w:rFonts w:ascii="Times New Roman" w:hAnsi="Times New Roman" w:cs="Times New Roman"/>
          <w:color w:val="000000" w:themeColor="text1"/>
          <w:sz w:val="16"/>
          <w:szCs w:val="16"/>
        </w:rPr>
        <w:softHyphen/>
        <w:t>ного производства.</w:t>
      </w:r>
    </w:p>
    <w:p w14:paraId="228A9AFE" w14:textId="77777777" w:rsidR="00E74794" w:rsidRPr="001E2C69" w:rsidRDefault="00E7479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Трезво оценивая складывающуюся обстановку вокруг Су-6 и мотора М-71, Сухой принимает решение усилить про</w:t>
      </w:r>
      <w:r w:rsidRPr="001E2C69">
        <w:rPr>
          <w:rFonts w:ascii="Times New Roman" w:hAnsi="Times New Roman" w:cs="Times New Roman"/>
          <w:color w:val="000000" w:themeColor="text1"/>
          <w:sz w:val="16"/>
          <w:szCs w:val="16"/>
        </w:rPr>
        <w:softHyphen/>
        <w:t>тивотанковую компоненту самолета, уста</w:t>
      </w:r>
      <w:r w:rsidRPr="001E2C69">
        <w:rPr>
          <w:rFonts w:ascii="Times New Roman" w:hAnsi="Times New Roman" w:cs="Times New Roman"/>
          <w:color w:val="000000" w:themeColor="text1"/>
          <w:sz w:val="16"/>
          <w:szCs w:val="16"/>
        </w:rPr>
        <w:softHyphen/>
        <w:t>новив на него две 37-мм пушки, устранить выявленные на государственных испыта</w:t>
      </w:r>
      <w:r w:rsidRPr="001E2C69">
        <w:rPr>
          <w:rFonts w:ascii="Times New Roman" w:hAnsi="Times New Roman" w:cs="Times New Roman"/>
          <w:color w:val="000000" w:themeColor="text1"/>
          <w:sz w:val="16"/>
          <w:szCs w:val="16"/>
        </w:rPr>
        <w:softHyphen/>
        <w:t>ниях недостатки и доработать его в соот</w:t>
      </w:r>
      <w:r w:rsidRPr="001E2C69">
        <w:rPr>
          <w:rFonts w:ascii="Times New Roman" w:hAnsi="Times New Roman" w:cs="Times New Roman"/>
          <w:color w:val="000000" w:themeColor="text1"/>
          <w:sz w:val="16"/>
          <w:szCs w:val="16"/>
        </w:rPr>
        <w:softHyphen/>
        <w:t>ветствии с ТТТ ВВС к самолету-штурмо</w:t>
      </w:r>
      <w:r w:rsidRPr="001E2C69">
        <w:rPr>
          <w:rFonts w:ascii="Times New Roman" w:hAnsi="Times New Roman" w:cs="Times New Roman"/>
          <w:color w:val="000000" w:themeColor="text1"/>
          <w:sz w:val="16"/>
          <w:szCs w:val="16"/>
        </w:rPr>
        <w:softHyphen/>
        <w:t>вику на 1943 г.</w:t>
      </w:r>
    </w:p>
    <w:p w14:paraId="3A68DA2A" w14:textId="77777777" w:rsidR="00E74794" w:rsidRPr="001E2C69" w:rsidRDefault="00E7479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На первом экземпляре Су-6 предпо</w:t>
      </w:r>
      <w:r w:rsidRPr="001E2C69">
        <w:rPr>
          <w:rFonts w:ascii="Times New Roman" w:hAnsi="Times New Roman" w:cs="Times New Roman"/>
          <w:color w:val="000000" w:themeColor="text1"/>
          <w:sz w:val="16"/>
          <w:szCs w:val="16"/>
        </w:rPr>
        <w:softHyphen/>
        <w:t>лагалось смонтировать 37-мм пушки 11П ОКБ-16, на втором - Ш-37 ОКБ-15. При этом количество пулеметов ШКАС со</w:t>
      </w:r>
      <w:r w:rsidRPr="001E2C69">
        <w:rPr>
          <w:rFonts w:ascii="Times New Roman" w:hAnsi="Times New Roman" w:cs="Times New Roman"/>
          <w:color w:val="000000" w:themeColor="text1"/>
          <w:sz w:val="16"/>
          <w:szCs w:val="16"/>
        </w:rPr>
        <w:softHyphen/>
        <w:t>кращалось до двух, а ракетных орудий - до шести. Боезапас к пушкам включал 80 снарядов, к пулеметам - 1500 патро</w:t>
      </w:r>
      <w:r w:rsidRPr="001E2C69">
        <w:rPr>
          <w:rFonts w:ascii="Times New Roman" w:hAnsi="Times New Roman" w:cs="Times New Roman"/>
          <w:color w:val="000000" w:themeColor="text1"/>
          <w:sz w:val="16"/>
          <w:szCs w:val="16"/>
        </w:rPr>
        <w:softHyphen/>
        <w:t>нов. Срок готовности первого экземпляра устанавливался - ноябрь, второго - де</w:t>
      </w:r>
      <w:r w:rsidRPr="001E2C69">
        <w:rPr>
          <w:rFonts w:ascii="Times New Roman" w:hAnsi="Times New Roman" w:cs="Times New Roman"/>
          <w:color w:val="000000" w:themeColor="text1"/>
          <w:sz w:val="16"/>
          <w:szCs w:val="16"/>
        </w:rPr>
        <w:softHyphen/>
        <w:t>кабрь 1942 г. (19846).</w:t>
      </w:r>
    </w:p>
    <w:p w14:paraId="63865991" w14:textId="77777777" w:rsidR="00E74794" w:rsidRPr="001E2C69" w:rsidRDefault="00E7479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1ABFAAF4" w14:textId="77777777" w:rsidR="00A52711" w:rsidRPr="008A2E5A" w:rsidRDefault="00A52711" w:rsidP="00A527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началу июля 1942 г. из 89 по</w:t>
      </w:r>
      <w:r w:rsidRPr="008A2E5A">
        <w:rPr>
          <w:rFonts w:ascii="Times New Roman" w:hAnsi="Times New Roman"/>
          <w:color w:val="0070C0"/>
          <w:sz w:val="16"/>
          <w:szCs w:val="16"/>
        </w:rPr>
        <w:softHyphen/>
        <w:t>строенных М-107 72 мотора разрушились на различных стадиях во время заводских и государственных стен</w:t>
      </w:r>
      <w:r w:rsidRPr="008A2E5A">
        <w:rPr>
          <w:rFonts w:ascii="Times New Roman" w:hAnsi="Times New Roman"/>
          <w:color w:val="0070C0"/>
          <w:sz w:val="16"/>
          <w:szCs w:val="16"/>
        </w:rPr>
        <w:softHyphen/>
        <w:t>довых испытаний. Еще 17 моторов передали различ</w:t>
      </w:r>
      <w:r w:rsidRPr="008A2E5A">
        <w:rPr>
          <w:rFonts w:ascii="Times New Roman" w:hAnsi="Times New Roman"/>
          <w:color w:val="0070C0"/>
          <w:sz w:val="16"/>
          <w:szCs w:val="16"/>
        </w:rPr>
        <w:softHyphen/>
        <w:t>ным конструкторским бюро для производства работ по опытным самолетам, но судьба их ненамного отлича</w:t>
      </w:r>
      <w:r w:rsidRPr="008A2E5A">
        <w:rPr>
          <w:rFonts w:ascii="Times New Roman" w:hAnsi="Times New Roman"/>
          <w:color w:val="0070C0"/>
          <w:sz w:val="16"/>
          <w:szCs w:val="16"/>
        </w:rPr>
        <w:softHyphen/>
        <w:t xml:space="preserve">лась от остальных. </w:t>
      </w:r>
    </w:p>
    <w:p w14:paraId="460E176D" w14:textId="77777777" w:rsidR="00A52711" w:rsidRPr="008A2E5A" w:rsidRDefault="00A52711" w:rsidP="00A527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Работы по установке мотора М-107 на истребитель И-26 начались в ОКБ А.С. Яковлева еще в 1940 г. По пла</w:t>
      </w:r>
      <w:r w:rsidRPr="008A2E5A">
        <w:rPr>
          <w:rFonts w:ascii="Times New Roman" w:hAnsi="Times New Roman"/>
          <w:color w:val="0070C0"/>
          <w:sz w:val="16"/>
          <w:szCs w:val="16"/>
        </w:rPr>
        <w:softHyphen/>
        <w:t>ну машину следовало построить к 1 января 1941 г., но отсутствие мотора не позволило реализовать этот про</w:t>
      </w:r>
      <w:r w:rsidRPr="008A2E5A">
        <w:rPr>
          <w:rFonts w:ascii="Times New Roman" w:hAnsi="Times New Roman"/>
          <w:color w:val="0070C0"/>
          <w:sz w:val="16"/>
          <w:szCs w:val="16"/>
        </w:rPr>
        <w:softHyphen/>
        <w:t>ект. Из-за отсутствия доведенного мотора также при</w:t>
      </w:r>
      <w:r w:rsidRPr="008A2E5A">
        <w:rPr>
          <w:rFonts w:ascii="Times New Roman" w:hAnsi="Times New Roman"/>
          <w:color w:val="0070C0"/>
          <w:sz w:val="16"/>
          <w:szCs w:val="16"/>
        </w:rPr>
        <w:softHyphen/>
        <w:t xml:space="preserve">шлось свернуть намечавшееся с начала 1942 г. </w:t>
      </w:r>
    </w:p>
    <w:p w14:paraId="25A580B3" w14:textId="77777777" w:rsidR="00A52711" w:rsidRPr="008A2E5A" w:rsidRDefault="00A52711" w:rsidP="00A527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Если для 1940 г. мотор по своим за</w:t>
      </w:r>
      <w:r w:rsidRPr="008A2E5A">
        <w:rPr>
          <w:rFonts w:ascii="Times New Roman" w:hAnsi="Times New Roman"/>
          <w:color w:val="0070C0"/>
          <w:sz w:val="16"/>
          <w:szCs w:val="16"/>
        </w:rPr>
        <w:softHyphen/>
        <w:t>явленным характеристикам представлял исключитель</w:t>
      </w:r>
      <w:r w:rsidRPr="008A2E5A">
        <w:rPr>
          <w:rFonts w:ascii="Times New Roman" w:hAnsi="Times New Roman"/>
          <w:color w:val="0070C0"/>
          <w:sz w:val="16"/>
          <w:szCs w:val="16"/>
        </w:rPr>
        <w:softHyphen/>
        <w:t>ный интерес, то к середине 1942 г. практически утратил свое преимущество перед модернизированными мото</w:t>
      </w:r>
      <w:r w:rsidRPr="008A2E5A">
        <w:rPr>
          <w:rFonts w:ascii="Times New Roman" w:hAnsi="Times New Roman"/>
          <w:color w:val="0070C0"/>
          <w:sz w:val="16"/>
          <w:szCs w:val="16"/>
        </w:rPr>
        <w:softHyphen/>
        <w:t>рами М-105П (таблица 20).</w:t>
      </w:r>
    </w:p>
    <w:p w14:paraId="59470D2C" w14:textId="77777777" w:rsidR="00A52711" w:rsidRPr="008A2E5A" w:rsidRDefault="00A52711" w:rsidP="00A527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Таблица №20. Сравнительные характеристики моторов</w:t>
      </w:r>
    </w:p>
    <w:tbl>
      <w:tblPr>
        <w:tblOverlap w:val="never"/>
        <w:tblW w:w="0" w:type="auto"/>
        <w:tblLayout w:type="fixed"/>
        <w:tblCellMar>
          <w:left w:w="10" w:type="dxa"/>
          <w:right w:w="10" w:type="dxa"/>
        </w:tblCellMar>
        <w:tblLook w:val="04A0" w:firstRow="1" w:lastRow="0" w:firstColumn="1" w:lastColumn="0" w:noHBand="0" w:noVBand="1"/>
      </w:tblPr>
      <w:tblGrid>
        <w:gridCol w:w="4296"/>
        <w:gridCol w:w="1070"/>
        <w:gridCol w:w="1070"/>
        <w:gridCol w:w="1070"/>
        <w:gridCol w:w="1070"/>
        <w:gridCol w:w="1066"/>
      </w:tblGrid>
      <w:tr w:rsidR="00A52711" w:rsidRPr="008A2E5A" w14:paraId="19B8A326" w14:textId="77777777" w:rsidTr="004C5D62">
        <w:trPr>
          <w:trHeight w:val="254"/>
        </w:trPr>
        <w:tc>
          <w:tcPr>
            <w:tcW w:w="4296" w:type="dxa"/>
            <w:tcBorders>
              <w:top w:val="single" w:sz="4" w:space="0" w:color="auto"/>
              <w:left w:val="single" w:sz="4" w:space="0" w:color="auto"/>
            </w:tcBorders>
            <w:shd w:val="clear" w:color="auto" w:fill="auto"/>
            <w:vAlign w:val="bottom"/>
          </w:tcPr>
          <w:p w14:paraId="15D12907"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Параметры</w:t>
            </w:r>
          </w:p>
        </w:tc>
        <w:tc>
          <w:tcPr>
            <w:tcW w:w="1070" w:type="dxa"/>
            <w:tcBorders>
              <w:top w:val="single" w:sz="4" w:space="0" w:color="auto"/>
              <w:left w:val="single" w:sz="4" w:space="0" w:color="auto"/>
            </w:tcBorders>
            <w:shd w:val="clear" w:color="auto" w:fill="auto"/>
            <w:vAlign w:val="bottom"/>
          </w:tcPr>
          <w:p w14:paraId="141FB56E"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М-105П</w:t>
            </w:r>
          </w:p>
        </w:tc>
        <w:tc>
          <w:tcPr>
            <w:tcW w:w="1070" w:type="dxa"/>
            <w:tcBorders>
              <w:top w:val="single" w:sz="4" w:space="0" w:color="auto"/>
              <w:left w:val="single" w:sz="4" w:space="0" w:color="auto"/>
            </w:tcBorders>
            <w:shd w:val="clear" w:color="auto" w:fill="auto"/>
            <w:vAlign w:val="bottom"/>
          </w:tcPr>
          <w:p w14:paraId="1F80062B"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М-105ПФ</w:t>
            </w:r>
          </w:p>
        </w:tc>
        <w:tc>
          <w:tcPr>
            <w:tcW w:w="1070" w:type="dxa"/>
            <w:tcBorders>
              <w:top w:val="single" w:sz="4" w:space="0" w:color="auto"/>
              <w:left w:val="single" w:sz="4" w:space="0" w:color="auto"/>
            </w:tcBorders>
            <w:shd w:val="clear" w:color="auto" w:fill="auto"/>
            <w:vAlign w:val="bottom"/>
          </w:tcPr>
          <w:p w14:paraId="0D7964DC"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М-105ПД</w:t>
            </w:r>
          </w:p>
        </w:tc>
        <w:tc>
          <w:tcPr>
            <w:tcW w:w="1070" w:type="dxa"/>
            <w:tcBorders>
              <w:top w:val="single" w:sz="4" w:space="0" w:color="auto"/>
              <w:left w:val="single" w:sz="4" w:space="0" w:color="auto"/>
            </w:tcBorders>
            <w:shd w:val="clear" w:color="auto" w:fill="auto"/>
            <w:vAlign w:val="bottom"/>
          </w:tcPr>
          <w:p w14:paraId="051EF91C"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М-105ПДФ</w:t>
            </w:r>
          </w:p>
        </w:tc>
        <w:tc>
          <w:tcPr>
            <w:tcW w:w="1066" w:type="dxa"/>
            <w:tcBorders>
              <w:top w:val="single" w:sz="4" w:space="0" w:color="auto"/>
              <w:left w:val="single" w:sz="4" w:space="0" w:color="auto"/>
              <w:right w:val="single" w:sz="4" w:space="0" w:color="auto"/>
            </w:tcBorders>
            <w:shd w:val="clear" w:color="auto" w:fill="auto"/>
            <w:vAlign w:val="bottom"/>
          </w:tcPr>
          <w:p w14:paraId="10474898"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М-107</w:t>
            </w:r>
          </w:p>
        </w:tc>
      </w:tr>
      <w:tr w:rsidR="00A52711" w:rsidRPr="008A2E5A" w14:paraId="0DA8818D" w14:textId="77777777" w:rsidTr="004C5D62">
        <w:trPr>
          <w:trHeight w:val="254"/>
        </w:trPr>
        <w:tc>
          <w:tcPr>
            <w:tcW w:w="4296" w:type="dxa"/>
            <w:tcBorders>
              <w:top w:val="single" w:sz="4" w:space="0" w:color="auto"/>
              <w:left w:val="single" w:sz="4" w:space="0" w:color="auto"/>
            </w:tcBorders>
            <w:shd w:val="clear" w:color="auto" w:fill="auto"/>
            <w:vAlign w:val="bottom"/>
          </w:tcPr>
          <w:p w14:paraId="5B57978F"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мотора (сухой), кг</w:t>
            </w:r>
          </w:p>
        </w:tc>
        <w:tc>
          <w:tcPr>
            <w:tcW w:w="1070" w:type="dxa"/>
            <w:tcBorders>
              <w:top w:val="single" w:sz="4" w:space="0" w:color="auto"/>
              <w:left w:val="single" w:sz="4" w:space="0" w:color="auto"/>
            </w:tcBorders>
            <w:shd w:val="clear" w:color="auto" w:fill="auto"/>
            <w:vAlign w:val="bottom"/>
          </w:tcPr>
          <w:p w14:paraId="4A5E2FFA"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580</w:t>
            </w:r>
          </w:p>
        </w:tc>
        <w:tc>
          <w:tcPr>
            <w:tcW w:w="1070" w:type="dxa"/>
            <w:tcBorders>
              <w:top w:val="single" w:sz="4" w:space="0" w:color="auto"/>
              <w:left w:val="single" w:sz="4" w:space="0" w:color="auto"/>
            </w:tcBorders>
            <w:shd w:val="clear" w:color="auto" w:fill="auto"/>
            <w:vAlign w:val="bottom"/>
          </w:tcPr>
          <w:p w14:paraId="1A635A4C"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600</w:t>
            </w:r>
          </w:p>
        </w:tc>
        <w:tc>
          <w:tcPr>
            <w:tcW w:w="1070" w:type="dxa"/>
            <w:tcBorders>
              <w:top w:val="single" w:sz="4" w:space="0" w:color="auto"/>
              <w:left w:val="single" w:sz="4" w:space="0" w:color="auto"/>
            </w:tcBorders>
            <w:shd w:val="clear" w:color="auto" w:fill="auto"/>
            <w:vAlign w:val="bottom"/>
          </w:tcPr>
          <w:p w14:paraId="708BCC3B"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650</w:t>
            </w:r>
          </w:p>
        </w:tc>
        <w:tc>
          <w:tcPr>
            <w:tcW w:w="1070" w:type="dxa"/>
            <w:tcBorders>
              <w:top w:val="single" w:sz="4" w:space="0" w:color="auto"/>
              <w:left w:val="single" w:sz="4" w:space="0" w:color="auto"/>
            </w:tcBorders>
            <w:shd w:val="clear" w:color="auto" w:fill="auto"/>
            <w:vAlign w:val="bottom"/>
          </w:tcPr>
          <w:p w14:paraId="3E26DD3C"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650</w:t>
            </w:r>
          </w:p>
        </w:tc>
        <w:tc>
          <w:tcPr>
            <w:tcW w:w="1066" w:type="dxa"/>
            <w:tcBorders>
              <w:top w:val="single" w:sz="4" w:space="0" w:color="auto"/>
              <w:left w:val="single" w:sz="4" w:space="0" w:color="auto"/>
              <w:right w:val="single" w:sz="4" w:space="0" w:color="auto"/>
            </w:tcBorders>
            <w:shd w:val="clear" w:color="auto" w:fill="auto"/>
            <w:vAlign w:val="bottom"/>
          </w:tcPr>
          <w:p w14:paraId="74020C8D"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735</w:t>
            </w:r>
          </w:p>
        </w:tc>
      </w:tr>
      <w:tr w:rsidR="00A52711" w:rsidRPr="008A2E5A" w14:paraId="397EC16D" w14:textId="77777777" w:rsidTr="004C5D62">
        <w:trPr>
          <w:trHeight w:val="250"/>
        </w:trPr>
        <w:tc>
          <w:tcPr>
            <w:tcW w:w="4296" w:type="dxa"/>
            <w:tcBorders>
              <w:top w:val="single" w:sz="4" w:space="0" w:color="auto"/>
              <w:left w:val="single" w:sz="4" w:space="0" w:color="auto"/>
            </w:tcBorders>
            <w:shd w:val="clear" w:color="auto" w:fill="auto"/>
            <w:vAlign w:val="bottom"/>
          </w:tcPr>
          <w:p w14:paraId="147EA94F"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Обороты мотора, об/мин</w:t>
            </w:r>
          </w:p>
        </w:tc>
        <w:tc>
          <w:tcPr>
            <w:tcW w:w="1070" w:type="dxa"/>
            <w:tcBorders>
              <w:top w:val="single" w:sz="4" w:space="0" w:color="auto"/>
              <w:left w:val="single" w:sz="4" w:space="0" w:color="auto"/>
            </w:tcBorders>
            <w:shd w:val="clear" w:color="auto" w:fill="auto"/>
            <w:vAlign w:val="bottom"/>
          </w:tcPr>
          <w:p w14:paraId="5A32002F"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2700</w:t>
            </w:r>
          </w:p>
        </w:tc>
        <w:tc>
          <w:tcPr>
            <w:tcW w:w="1070" w:type="dxa"/>
            <w:tcBorders>
              <w:top w:val="single" w:sz="4" w:space="0" w:color="auto"/>
              <w:left w:val="single" w:sz="4" w:space="0" w:color="auto"/>
            </w:tcBorders>
            <w:shd w:val="clear" w:color="auto" w:fill="auto"/>
            <w:vAlign w:val="bottom"/>
          </w:tcPr>
          <w:p w14:paraId="4B3DE5AA"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2550-2700</w:t>
            </w:r>
          </w:p>
        </w:tc>
        <w:tc>
          <w:tcPr>
            <w:tcW w:w="1070" w:type="dxa"/>
            <w:tcBorders>
              <w:top w:val="single" w:sz="4" w:space="0" w:color="auto"/>
              <w:left w:val="single" w:sz="4" w:space="0" w:color="auto"/>
            </w:tcBorders>
            <w:shd w:val="clear" w:color="auto" w:fill="auto"/>
            <w:vAlign w:val="bottom"/>
          </w:tcPr>
          <w:p w14:paraId="20A07563"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2530</w:t>
            </w:r>
          </w:p>
        </w:tc>
        <w:tc>
          <w:tcPr>
            <w:tcW w:w="1070" w:type="dxa"/>
            <w:tcBorders>
              <w:top w:val="single" w:sz="4" w:space="0" w:color="auto"/>
              <w:left w:val="single" w:sz="4" w:space="0" w:color="auto"/>
            </w:tcBorders>
            <w:shd w:val="clear" w:color="auto" w:fill="auto"/>
            <w:vAlign w:val="bottom"/>
          </w:tcPr>
          <w:p w14:paraId="46C42D82"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2530</w:t>
            </w:r>
          </w:p>
        </w:tc>
        <w:tc>
          <w:tcPr>
            <w:tcW w:w="1066" w:type="dxa"/>
            <w:tcBorders>
              <w:top w:val="single" w:sz="4" w:space="0" w:color="auto"/>
              <w:left w:val="single" w:sz="4" w:space="0" w:color="auto"/>
              <w:right w:val="single" w:sz="4" w:space="0" w:color="auto"/>
            </w:tcBorders>
            <w:shd w:val="clear" w:color="auto" w:fill="auto"/>
            <w:vAlign w:val="bottom"/>
          </w:tcPr>
          <w:p w14:paraId="6F12A632"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3200</w:t>
            </w:r>
          </w:p>
        </w:tc>
      </w:tr>
      <w:tr w:rsidR="00A52711" w:rsidRPr="008A2E5A" w14:paraId="48437AD2" w14:textId="77777777" w:rsidTr="004C5D62">
        <w:trPr>
          <w:trHeight w:val="250"/>
        </w:trPr>
        <w:tc>
          <w:tcPr>
            <w:tcW w:w="4296" w:type="dxa"/>
            <w:tcBorders>
              <w:top w:val="single" w:sz="4" w:space="0" w:color="auto"/>
              <w:left w:val="single" w:sz="4" w:space="0" w:color="auto"/>
            </w:tcBorders>
            <w:shd w:val="clear" w:color="auto" w:fill="auto"/>
            <w:vAlign w:val="bottom"/>
          </w:tcPr>
          <w:p w14:paraId="4ECF56C7"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Наддув, мм рт.ст.</w:t>
            </w:r>
          </w:p>
        </w:tc>
        <w:tc>
          <w:tcPr>
            <w:tcW w:w="1070" w:type="dxa"/>
            <w:tcBorders>
              <w:top w:val="single" w:sz="4" w:space="0" w:color="auto"/>
              <w:left w:val="single" w:sz="4" w:space="0" w:color="auto"/>
            </w:tcBorders>
            <w:shd w:val="clear" w:color="auto" w:fill="auto"/>
            <w:vAlign w:val="bottom"/>
          </w:tcPr>
          <w:p w14:paraId="0340E484"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910</w:t>
            </w:r>
          </w:p>
        </w:tc>
        <w:tc>
          <w:tcPr>
            <w:tcW w:w="1070" w:type="dxa"/>
            <w:tcBorders>
              <w:top w:val="single" w:sz="4" w:space="0" w:color="auto"/>
              <w:left w:val="single" w:sz="4" w:space="0" w:color="auto"/>
            </w:tcBorders>
            <w:shd w:val="clear" w:color="auto" w:fill="auto"/>
            <w:vAlign w:val="bottom"/>
          </w:tcPr>
          <w:p w14:paraId="6B8B55B8"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1050</w:t>
            </w:r>
          </w:p>
        </w:tc>
        <w:tc>
          <w:tcPr>
            <w:tcW w:w="1070" w:type="dxa"/>
            <w:tcBorders>
              <w:top w:val="single" w:sz="4" w:space="0" w:color="auto"/>
              <w:left w:val="single" w:sz="4" w:space="0" w:color="auto"/>
            </w:tcBorders>
            <w:shd w:val="clear" w:color="auto" w:fill="auto"/>
            <w:vAlign w:val="bottom"/>
          </w:tcPr>
          <w:p w14:paraId="5B6475C5"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1030</w:t>
            </w:r>
          </w:p>
        </w:tc>
        <w:tc>
          <w:tcPr>
            <w:tcW w:w="1070" w:type="dxa"/>
            <w:tcBorders>
              <w:top w:val="single" w:sz="4" w:space="0" w:color="auto"/>
              <w:left w:val="single" w:sz="4" w:space="0" w:color="auto"/>
            </w:tcBorders>
            <w:shd w:val="clear" w:color="auto" w:fill="auto"/>
            <w:vAlign w:val="bottom"/>
          </w:tcPr>
          <w:p w14:paraId="3806F623"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w:t>
            </w:r>
          </w:p>
        </w:tc>
        <w:tc>
          <w:tcPr>
            <w:tcW w:w="1066" w:type="dxa"/>
            <w:tcBorders>
              <w:top w:val="single" w:sz="4" w:space="0" w:color="auto"/>
              <w:left w:val="single" w:sz="4" w:space="0" w:color="auto"/>
              <w:right w:val="single" w:sz="4" w:space="0" w:color="auto"/>
            </w:tcBorders>
            <w:shd w:val="clear" w:color="auto" w:fill="auto"/>
            <w:vAlign w:val="bottom"/>
          </w:tcPr>
          <w:p w14:paraId="7E1D61F2"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1050</w:t>
            </w:r>
          </w:p>
        </w:tc>
      </w:tr>
      <w:tr w:rsidR="00A52711" w:rsidRPr="008A2E5A" w14:paraId="534209A1" w14:textId="77777777" w:rsidTr="004C5D62">
        <w:trPr>
          <w:trHeight w:val="254"/>
        </w:trPr>
        <w:tc>
          <w:tcPr>
            <w:tcW w:w="4296" w:type="dxa"/>
            <w:tcBorders>
              <w:top w:val="single" w:sz="4" w:space="0" w:color="auto"/>
              <w:left w:val="single" w:sz="4" w:space="0" w:color="auto"/>
            </w:tcBorders>
            <w:shd w:val="clear" w:color="auto" w:fill="auto"/>
            <w:vAlign w:val="bottom"/>
          </w:tcPr>
          <w:p w14:paraId="5FCBB882"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мощность у земли, л.с.</w:t>
            </w:r>
          </w:p>
        </w:tc>
        <w:tc>
          <w:tcPr>
            <w:tcW w:w="1070" w:type="dxa"/>
            <w:tcBorders>
              <w:top w:val="single" w:sz="4" w:space="0" w:color="auto"/>
              <w:left w:val="single" w:sz="4" w:space="0" w:color="auto"/>
            </w:tcBorders>
            <w:shd w:val="clear" w:color="auto" w:fill="auto"/>
            <w:vAlign w:val="bottom"/>
          </w:tcPr>
          <w:p w14:paraId="2572347C"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1020</w:t>
            </w:r>
          </w:p>
        </w:tc>
        <w:tc>
          <w:tcPr>
            <w:tcW w:w="1070" w:type="dxa"/>
            <w:tcBorders>
              <w:top w:val="single" w:sz="4" w:space="0" w:color="auto"/>
              <w:left w:val="single" w:sz="4" w:space="0" w:color="auto"/>
            </w:tcBorders>
            <w:shd w:val="clear" w:color="auto" w:fill="auto"/>
            <w:vAlign w:val="bottom"/>
          </w:tcPr>
          <w:p w14:paraId="29544A0C"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1210</w:t>
            </w:r>
          </w:p>
        </w:tc>
        <w:tc>
          <w:tcPr>
            <w:tcW w:w="1070" w:type="dxa"/>
            <w:tcBorders>
              <w:top w:val="single" w:sz="4" w:space="0" w:color="auto"/>
              <w:left w:val="single" w:sz="4" w:space="0" w:color="auto"/>
            </w:tcBorders>
            <w:shd w:val="clear" w:color="auto" w:fill="auto"/>
            <w:vAlign w:val="bottom"/>
          </w:tcPr>
          <w:p w14:paraId="21A96F66"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ИЗО</w:t>
            </w:r>
          </w:p>
        </w:tc>
        <w:tc>
          <w:tcPr>
            <w:tcW w:w="1070" w:type="dxa"/>
            <w:tcBorders>
              <w:top w:val="single" w:sz="4" w:space="0" w:color="auto"/>
              <w:left w:val="single" w:sz="4" w:space="0" w:color="auto"/>
            </w:tcBorders>
            <w:shd w:val="clear" w:color="auto" w:fill="auto"/>
            <w:vAlign w:val="bottom"/>
          </w:tcPr>
          <w:p w14:paraId="7C236901"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1320</w:t>
            </w:r>
          </w:p>
        </w:tc>
        <w:tc>
          <w:tcPr>
            <w:tcW w:w="1066" w:type="dxa"/>
            <w:tcBorders>
              <w:top w:val="single" w:sz="4" w:space="0" w:color="auto"/>
              <w:left w:val="single" w:sz="4" w:space="0" w:color="auto"/>
              <w:right w:val="single" w:sz="4" w:space="0" w:color="auto"/>
            </w:tcBorders>
            <w:shd w:val="clear" w:color="auto" w:fill="auto"/>
            <w:vAlign w:val="bottom"/>
          </w:tcPr>
          <w:p w14:paraId="75803A1B"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1300</w:t>
            </w:r>
          </w:p>
        </w:tc>
      </w:tr>
      <w:tr w:rsidR="00A52711" w:rsidRPr="008A2E5A" w14:paraId="4C8C95B9" w14:textId="77777777" w:rsidTr="004C5D62">
        <w:trPr>
          <w:trHeight w:val="427"/>
        </w:trPr>
        <w:tc>
          <w:tcPr>
            <w:tcW w:w="4296" w:type="dxa"/>
            <w:tcBorders>
              <w:top w:val="single" w:sz="4" w:space="0" w:color="auto"/>
              <w:left w:val="single" w:sz="4" w:space="0" w:color="auto"/>
            </w:tcBorders>
            <w:shd w:val="clear" w:color="auto" w:fill="auto"/>
            <w:vAlign w:val="bottom"/>
          </w:tcPr>
          <w:p w14:paraId="27784E04"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мощность на первой границе высотности, л.с./м</w:t>
            </w:r>
          </w:p>
        </w:tc>
        <w:tc>
          <w:tcPr>
            <w:tcW w:w="1070" w:type="dxa"/>
            <w:tcBorders>
              <w:top w:val="single" w:sz="4" w:space="0" w:color="auto"/>
              <w:left w:val="single" w:sz="4" w:space="0" w:color="auto"/>
            </w:tcBorders>
            <w:shd w:val="clear" w:color="auto" w:fill="auto"/>
            <w:vAlign w:val="center"/>
          </w:tcPr>
          <w:p w14:paraId="4D55B1D7"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1100/2000</w:t>
            </w:r>
          </w:p>
        </w:tc>
        <w:tc>
          <w:tcPr>
            <w:tcW w:w="1070" w:type="dxa"/>
            <w:tcBorders>
              <w:top w:val="single" w:sz="4" w:space="0" w:color="auto"/>
              <w:left w:val="single" w:sz="4" w:space="0" w:color="auto"/>
            </w:tcBorders>
            <w:shd w:val="clear" w:color="auto" w:fill="auto"/>
            <w:vAlign w:val="center"/>
          </w:tcPr>
          <w:p w14:paraId="6B945C65"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1260/700</w:t>
            </w:r>
          </w:p>
        </w:tc>
        <w:tc>
          <w:tcPr>
            <w:tcW w:w="1070" w:type="dxa"/>
            <w:tcBorders>
              <w:top w:val="single" w:sz="4" w:space="0" w:color="auto"/>
              <w:left w:val="single" w:sz="4" w:space="0" w:color="auto"/>
            </w:tcBorders>
            <w:shd w:val="clear" w:color="auto" w:fill="auto"/>
            <w:vAlign w:val="center"/>
          </w:tcPr>
          <w:p w14:paraId="35A97FFC"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1200/2300</w:t>
            </w:r>
          </w:p>
        </w:tc>
        <w:tc>
          <w:tcPr>
            <w:tcW w:w="1070" w:type="dxa"/>
            <w:tcBorders>
              <w:top w:val="single" w:sz="4" w:space="0" w:color="auto"/>
              <w:left w:val="single" w:sz="4" w:space="0" w:color="auto"/>
            </w:tcBorders>
            <w:shd w:val="clear" w:color="auto" w:fill="auto"/>
            <w:vAlign w:val="center"/>
          </w:tcPr>
          <w:p w14:paraId="429FB299"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1350/1000</w:t>
            </w:r>
          </w:p>
        </w:tc>
        <w:tc>
          <w:tcPr>
            <w:tcW w:w="1066" w:type="dxa"/>
            <w:tcBorders>
              <w:top w:val="single" w:sz="4" w:space="0" w:color="auto"/>
              <w:left w:val="single" w:sz="4" w:space="0" w:color="auto"/>
              <w:right w:val="single" w:sz="4" w:space="0" w:color="auto"/>
            </w:tcBorders>
            <w:shd w:val="clear" w:color="auto" w:fill="auto"/>
            <w:vAlign w:val="center"/>
          </w:tcPr>
          <w:p w14:paraId="03937F70"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1400/2350</w:t>
            </w:r>
          </w:p>
        </w:tc>
      </w:tr>
      <w:tr w:rsidR="00A52711" w:rsidRPr="008A2E5A" w14:paraId="63E0158A" w14:textId="77777777" w:rsidTr="004C5D62">
        <w:trPr>
          <w:trHeight w:val="442"/>
        </w:trPr>
        <w:tc>
          <w:tcPr>
            <w:tcW w:w="4296" w:type="dxa"/>
            <w:tcBorders>
              <w:top w:val="single" w:sz="4" w:space="0" w:color="auto"/>
              <w:left w:val="single" w:sz="4" w:space="0" w:color="auto"/>
              <w:bottom w:val="single" w:sz="4" w:space="0" w:color="auto"/>
            </w:tcBorders>
            <w:shd w:val="clear" w:color="auto" w:fill="auto"/>
          </w:tcPr>
          <w:p w14:paraId="4858B039"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мощность на второй границе высотности, л.с./м</w:t>
            </w:r>
          </w:p>
        </w:tc>
        <w:tc>
          <w:tcPr>
            <w:tcW w:w="1070" w:type="dxa"/>
            <w:tcBorders>
              <w:top w:val="single" w:sz="4" w:space="0" w:color="auto"/>
              <w:left w:val="single" w:sz="4" w:space="0" w:color="auto"/>
              <w:bottom w:val="single" w:sz="4" w:space="0" w:color="auto"/>
            </w:tcBorders>
            <w:shd w:val="clear" w:color="auto" w:fill="auto"/>
            <w:vAlign w:val="center"/>
          </w:tcPr>
          <w:p w14:paraId="0D6D68A1"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1050/4000</w:t>
            </w:r>
          </w:p>
        </w:tc>
        <w:tc>
          <w:tcPr>
            <w:tcW w:w="1070" w:type="dxa"/>
            <w:tcBorders>
              <w:top w:val="single" w:sz="4" w:space="0" w:color="auto"/>
              <w:left w:val="single" w:sz="4" w:space="0" w:color="auto"/>
              <w:bottom w:val="single" w:sz="4" w:space="0" w:color="auto"/>
            </w:tcBorders>
            <w:shd w:val="clear" w:color="auto" w:fill="auto"/>
            <w:vAlign w:val="center"/>
          </w:tcPr>
          <w:p w14:paraId="3953ADDF"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1180/2700</w:t>
            </w:r>
          </w:p>
        </w:tc>
        <w:tc>
          <w:tcPr>
            <w:tcW w:w="1070" w:type="dxa"/>
            <w:tcBorders>
              <w:top w:val="single" w:sz="4" w:space="0" w:color="auto"/>
              <w:left w:val="single" w:sz="4" w:space="0" w:color="auto"/>
              <w:bottom w:val="single" w:sz="4" w:space="0" w:color="auto"/>
            </w:tcBorders>
            <w:shd w:val="clear" w:color="auto" w:fill="auto"/>
            <w:vAlign w:val="center"/>
          </w:tcPr>
          <w:p w14:paraId="5A42257E"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1050/6300</w:t>
            </w:r>
          </w:p>
        </w:tc>
        <w:tc>
          <w:tcPr>
            <w:tcW w:w="1070" w:type="dxa"/>
            <w:tcBorders>
              <w:top w:val="single" w:sz="4" w:space="0" w:color="auto"/>
              <w:left w:val="single" w:sz="4" w:space="0" w:color="auto"/>
              <w:bottom w:val="single" w:sz="4" w:space="0" w:color="auto"/>
            </w:tcBorders>
            <w:shd w:val="clear" w:color="auto" w:fill="auto"/>
            <w:vAlign w:val="center"/>
          </w:tcPr>
          <w:p w14:paraId="36A538AD"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1200/5000</w:t>
            </w:r>
          </w:p>
        </w:tc>
        <w:tc>
          <w:tcPr>
            <w:tcW w:w="1066" w:type="dxa"/>
            <w:tcBorders>
              <w:top w:val="single" w:sz="4" w:space="0" w:color="auto"/>
              <w:left w:val="single" w:sz="4" w:space="0" w:color="auto"/>
              <w:bottom w:val="single" w:sz="4" w:space="0" w:color="auto"/>
              <w:right w:val="single" w:sz="4" w:space="0" w:color="auto"/>
            </w:tcBorders>
            <w:shd w:val="clear" w:color="auto" w:fill="auto"/>
            <w:vAlign w:val="center"/>
          </w:tcPr>
          <w:p w14:paraId="7B7C1FE2" w14:textId="77777777" w:rsidR="00A52711" w:rsidRPr="008A2E5A" w:rsidRDefault="00A527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1300/5000</w:t>
            </w:r>
          </w:p>
        </w:tc>
      </w:tr>
    </w:tbl>
    <w:p w14:paraId="26A73377" w14:textId="77777777" w:rsidR="00A52711" w:rsidRPr="008A2E5A" w:rsidRDefault="00A52711" w:rsidP="00A527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Модернизированные моторы М-105П имели меньший вес, существенно меньшие теплоотдачу в воду и масло, были доработаны и не требовали, как М-107, серьезных переделок конструкции самолетов и реорганизации про</w:t>
      </w:r>
      <w:r w:rsidRPr="008A2E5A">
        <w:rPr>
          <w:rFonts w:ascii="Times New Roman" w:hAnsi="Times New Roman"/>
          <w:color w:val="0070C0"/>
          <w:sz w:val="16"/>
          <w:szCs w:val="16"/>
        </w:rPr>
        <w:softHyphen/>
        <w:t>изводства на моторных заводах. В июне и августе 1942 г. мотор М-107 прошел удовлетворительно заводские дли</w:t>
      </w:r>
      <w:r w:rsidRPr="008A2E5A">
        <w:rPr>
          <w:rFonts w:ascii="Times New Roman" w:hAnsi="Times New Roman"/>
          <w:color w:val="0070C0"/>
          <w:sz w:val="16"/>
          <w:szCs w:val="16"/>
        </w:rPr>
        <w:softHyphen/>
        <w:t>тельные 50- и 100-часовые испытания, но государствен</w:t>
      </w:r>
      <w:r w:rsidRPr="008A2E5A">
        <w:rPr>
          <w:rFonts w:ascii="Times New Roman" w:hAnsi="Times New Roman"/>
          <w:color w:val="0070C0"/>
          <w:sz w:val="16"/>
          <w:szCs w:val="16"/>
        </w:rPr>
        <w:softHyphen/>
        <w:t>ных так и не завершил (последнее, проведенное с 10 по 25 сентября 1942 г., закончилось поломкой одного из ша</w:t>
      </w:r>
      <w:r w:rsidRPr="008A2E5A">
        <w:rPr>
          <w:rFonts w:ascii="Times New Roman" w:hAnsi="Times New Roman"/>
          <w:color w:val="0070C0"/>
          <w:sz w:val="16"/>
          <w:szCs w:val="16"/>
        </w:rPr>
        <w:softHyphen/>
        <w:t>тунов). Понимая, что судьба нового мотора достаточно проблематична, ОКБ В.Я. Климова в июле 1942 г. провело стендовые испытания одного М-107 с повышенным над</w:t>
      </w:r>
      <w:r w:rsidRPr="008A2E5A">
        <w:rPr>
          <w:rFonts w:ascii="Times New Roman" w:hAnsi="Times New Roman"/>
          <w:color w:val="0070C0"/>
          <w:sz w:val="16"/>
          <w:szCs w:val="16"/>
        </w:rPr>
        <w:softHyphen/>
        <w:t>дувом. На этих испытаниях удалось получить мощность 1600 л.с. на второй границе высотности мотора. Другой альтернативы появившимся на истребителях противни</w:t>
      </w:r>
      <w:r w:rsidRPr="008A2E5A">
        <w:rPr>
          <w:rFonts w:ascii="Times New Roman" w:hAnsi="Times New Roman"/>
          <w:color w:val="0070C0"/>
          <w:sz w:val="16"/>
          <w:szCs w:val="16"/>
        </w:rPr>
        <w:softHyphen/>
        <w:t>ка мощным моторам DB-605A в СССР не создали, поэ</w:t>
      </w:r>
      <w:r w:rsidRPr="008A2E5A">
        <w:rPr>
          <w:rFonts w:ascii="Times New Roman" w:hAnsi="Times New Roman"/>
          <w:color w:val="0070C0"/>
          <w:sz w:val="16"/>
          <w:szCs w:val="16"/>
        </w:rPr>
        <w:softHyphen/>
        <w:t>тому постановлением ГКО №2346сс от 25 сентября 1942 г. (дублирующий приказ НКАП №733 от 29.09.42 г.) ОКБ В.Я. Климова и моторостроительный завод №26 г.Уфа обязали ускорить доводку форсированного мотора, по</w:t>
      </w:r>
      <w:r w:rsidRPr="008A2E5A">
        <w:rPr>
          <w:rFonts w:ascii="Times New Roman" w:hAnsi="Times New Roman"/>
          <w:color w:val="0070C0"/>
          <w:sz w:val="16"/>
          <w:szCs w:val="16"/>
        </w:rPr>
        <w:softHyphen/>
        <w:t>лучившего наименование М-107А, чтобы к концу г. обес</w:t>
      </w:r>
      <w:r w:rsidRPr="008A2E5A">
        <w:rPr>
          <w:rFonts w:ascii="Times New Roman" w:hAnsi="Times New Roman"/>
          <w:color w:val="0070C0"/>
          <w:sz w:val="16"/>
          <w:szCs w:val="16"/>
        </w:rPr>
        <w:softHyphen/>
        <w:t>печить 100-часовой ресурс и подготовить производство к его серийному выпуску. Постановлением ГКО №2397сс (23381).</w:t>
      </w:r>
    </w:p>
    <w:p w14:paraId="776E1805" w14:textId="77777777" w:rsidR="00A52711" w:rsidRPr="008A2E5A" w:rsidRDefault="00A52711" w:rsidP="00A52711">
      <w:pPr>
        <w:spacing w:after="0" w:line="240" w:lineRule="auto"/>
        <w:jc w:val="both"/>
        <w:rPr>
          <w:rFonts w:ascii="Times New Roman" w:hAnsi="Times New Roman"/>
          <w:color w:val="0070C0"/>
          <w:sz w:val="16"/>
          <w:szCs w:val="16"/>
        </w:rPr>
      </w:pPr>
    </w:p>
    <w:p w14:paraId="4867C2A7" w14:textId="752D888E" w:rsidR="00AB33D6" w:rsidRPr="001E2C69" w:rsidRDefault="00AB33D6" w:rsidP="00722885">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1E2C69">
        <w:rPr>
          <w:rFonts w:ascii="Times New Roman" w:hAnsi="Times New Roman"/>
          <w:i/>
          <w:iCs/>
          <w:color w:val="000000" w:themeColor="text1"/>
          <w:sz w:val="16"/>
          <w:szCs w:val="16"/>
        </w:rPr>
        <w:t>Армия:</w:t>
      </w:r>
    </w:p>
    <w:p w14:paraId="492D1AE4" w14:textId="77777777" w:rsidR="00AB33D6" w:rsidRPr="001E2C69" w:rsidRDefault="00AB33D6" w:rsidP="00722885">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6EDC9DCE" w14:textId="77777777" w:rsidR="00AB33D6" w:rsidRPr="001E2C69" w:rsidRDefault="00AB33D6"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началу июля 1942 на фронтах и в запасных авиаполках на</w:t>
      </w:r>
      <w:r w:rsidRPr="001E2C69">
        <w:rPr>
          <w:rFonts w:ascii="Times New Roman" w:hAnsi="Times New Roman"/>
          <w:color w:val="000000" w:themeColor="text1"/>
          <w:sz w:val="16"/>
          <w:szCs w:val="16"/>
        </w:rPr>
        <w:softHyphen/>
        <w:t>считывалось 579 исправных современных самолетов без мото</w:t>
      </w:r>
      <w:r w:rsidRPr="001E2C69">
        <w:rPr>
          <w:rFonts w:ascii="Times New Roman" w:hAnsi="Times New Roman"/>
          <w:color w:val="000000" w:themeColor="text1"/>
          <w:sz w:val="16"/>
          <w:szCs w:val="16"/>
        </w:rPr>
        <w:softHyphen/>
        <w:t>ров и 122 самолета без винтов, а также 1364 мотора, требующих ремонта. Для приведения моторного парка ВВС КА в порядок гене</w:t>
      </w:r>
      <w:r w:rsidRPr="001E2C69">
        <w:rPr>
          <w:rFonts w:ascii="Times New Roman" w:hAnsi="Times New Roman"/>
          <w:color w:val="000000" w:themeColor="text1"/>
          <w:sz w:val="16"/>
          <w:szCs w:val="16"/>
        </w:rPr>
        <w:softHyphen/>
        <w:t>рал Шульговский считал необходимым форсировать выпуск остродефицитных запчастей для восстановления неисправных моторов: «То, что дает НКАП по запасным моторным частям, ничтожно мало и, безусловно, не позволит решить задачу вве</w:t>
      </w:r>
      <w:r w:rsidRPr="001E2C69">
        <w:rPr>
          <w:rFonts w:ascii="Times New Roman" w:hAnsi="Times New Roman"/>
          <w:color w:val="000000" w:themeColor="text1"/>
          <w:sz w:val="16"/>
          <w:szCs w:val="16"/>
        </w:rPr>
        <w:softHyphen/>
        <w:t>дения в строй самолетов. Для бесперебойной боевой работы нужно иметь хотя бы минимальный оборотный фонд исправ</w:t>
      </w:r>
      <w:r w:rsidRPr="001E2C69">
        <w:rPr>
          <w:rFonts w:ascii="Times New Roman" w:hAnsi="Times New Roman"/>
          <w:color w:val="000000" w:themeColor="text1"/>
          <w:sz w:val="16"/>
          <w:szCs w:val="16"/>
        </w:rPr>
        <w:softHyphen/>
        <w:t>ных моторов, которого ВВС КА не имеют» (11474,264).</w:t>
      </w:r>
    </w:p>
    <w:p w14:paraId="209EC92C" w14:textId="77777777" w:rsidR="00AB33D6" w:rsidRPr="001E2C69" w:rsidRDefault="00AB33D6"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C4B9F1" w14:textId="4FA35CD4"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Авиапромышленность:</w:t>
      </w:r>
    </w:p>
    <w:p w14:paraId="6E1E1C9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3B454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А.С.Я. обратился к наркому с предложением о войсковой серии Як-1б. Не стали и решили сразу новый - Як-1м (198,50).</w:t>
      </w:r>
    </w:p>
    <w:p w14:paraId="40DDF48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FAFEA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в ОКБ А.С.Я. была закончена модернизация Як-1 (Як-1Б) М-105ПА N 35-60 292 завода и на нем улучшили обзор, планирование, вооружение. Машина была предъявлена в НИИ ВВС (65,65).</w:t>
      </w:r>
    </w:p>
    <w:p w14:paraId="4107AF5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А.С.Я. писал НАРОДНОМУ КОМИССАРУ АВИАЦИОННОЙ ПРОМЫШЛЕННОСТИ тов. ЩАХУРИНУ А.И.</w:t>
      </w:r>
    </w:p>
    <w:p w14:paraId="5EDFA88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дополнение к устному докладу сообщаю, что мною закон</w:t>
      </w:r>
      <w:r w:rsidRPr="001E2C69">
        <w:rPr>
          <w:rFonts w:ascii="Times New Roman" w:hAnsi="Times New Roman"/>
          <w:color w:val="000000" w:themeColor="text1"/>
          <w:sz w:val="16"/>
          <w:szCs w:val="16"/>
        </w:rPr>
        <w:softHyphen/>
        <w:t>чены работы по улучшению обзора самолета ЯК-1 за счет сниже</w:t>
      </w:r>
      <w:r w:rsidRPr="001E2C69">
        <w:rPr>
          <w:rFonts w:ascii="Times New Roman" w:hAnsi="Times New Roman"/>
          <w:color w:val="000000" w:themeColor="text1"/>
          <w:sz w:val="16"/>
          <w:szCs w:val="16"/>
        </w:rPr>
        <w:softHyphen/>
        <w:t>ния фюзеляжа за кабиной летчика удалось изменить конструкцию фонаря. Сзади летчика поставлена прозрачная броня. Впереди поставлено зеркало, позволяющее летчику видеть заднюю полусферу.</w:t>
      </w:r>
    </w:p>
    <w:p w14:paraId="455114C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Облет самолет.а показал значительное улучшение обзора, особенно задней полусферы, что дает большое преимущество в бою, по сравнению с обычным фонарем ибо .позволяет летчику видеть находящегося сзади противника, определить его намерения и предупредить соответствующим маневром.</w:t>
      </w:r>
    </w:p>
    <w:p w14:paraId="529769B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Прошу Вашего распоряжения о срочном изготовлении 20 самолето: ЯК-1 с улучшенным обзором для посылки на фронт в составе одного полка, в целях проверки их качеств в боевых условиях (1676,32).</w:t>
      </w:r>
    </w:p>
    <w:p w14:paraId="15C0682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67861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г. А.С.Я. обратился к наркому авиационной промышленности с просьбой о выпуске войсковой серии в 20 самолетов с изменениями, аналогичными изменениями, выполненным в июне, и отправки их на фронт для проверки в боевых условиях.</w:t>
      </w:r>
    </w:p>
    <w:p w14:paraId="4B90F55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июне месяце 1942 на заводе № 115 подвергся восстановительному ремонту и переделкам Як-1 № 3560. Как и на предыдущем образце, на нем был срезан гаргрот и установлен новый каплевидный фонарь с зеркалом обзора ЗПС. Но козырек фонаря был выполнен с прямыми стеклами. У самолета № 1047 он был беспереплетным. Даже на опытном заводе не удалось избежать волнистости плексигласа, которая искажала видимость. В условиях серийного производства бесперсплетный козырек был бы еще худшего качества, и от него пришлось временно отказаться (впоследствии такой козырек установили на Як-3). На машине № 3560 были установлены переднее и заднее бронестекла (на самолете № 1047 стоял только макет заднего). Кроме бронестекол и бронеспинки (со срезанным верхом) летчик был защищен броненадголовником, установленным на неподвижной части фонаря, и бронеподлокотником для левой руки.</w:t>
      </w:r>
    </w:p>
    <w:p w14:paraId="1321705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Вооружение тоже было изменено, но качественно. Вместо двух пулеметов (по отношению к серийным машинам, так как Як-1 № 3560 ранее подвергся мероприятиям по облегчению, и пулеметы ШКАС на нем не стояли) винтовочного калибра, которые уже не удовлетворяли современным требованиям, - противник тоже усиливал защиту и бронирование своих самолетов, - поставили один синхронный крупнокалиберный пулемет УБС. Боекомплект к пулемету УБС состоял из 200 патронов. Изменилось и управление огнем. Механический и пневмомеханический спуски пушки и пулеметов были заменены электрическим и пневмоэлектри- ческим </w:t>
      </w:r>
      <w:r w:rsidRPr="001E2C69">
        <w:rPr>
          <w:rFonts w:ascii="Times New Roman" w:hAnsi="Times New Roman"/>
          <w:color w:val="000000" w:themeColor="text1"/>
          <w:sz w:val="16"/>
          <w:szCs w:val="16"/>
        </w:rPr>
        <w:lastRenderedPageBreak/>
        <w:t>соответственно, приводимые в действие от спусковой кнопки и спускового крючка на ручке управления. Новая ручка, сделанная по типу Bf. 109 позволяла вести огонь только правой рукой, оставляя левую свободной для управления режимами работы мотора при маневрировании. Все эти изменения были внесены в расчете на запущенный в серийное производство мотор М-105ПФ.</w:t>
      </w:r>
    </w:p>
    <w:p w14:paraId="04DF69A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Преимущества были столь очевидны, что войсковую серию строить не стали. Постановлением ГКО от 11 августа 1942 г. было дано распоряжение директору завода № 292 о внедрении в серию изменений, опробованных на Як-1 № 3560. Кроме того, постановлением предусматривалась установка на модифицированных "яках" маслорадиатора по типу Як-?, винта ВИШ-105, всасывающего патрубка нагнетателя с пылефильтром конструкции ЦАГИ и убирающейся хвостовой опоры. Сроки устанавливались следующие: первые 10 машин изготовить в сентябре, 100 машин - в октябре, а с ноября выпускать только новые Як-1 (позже приказом наркома авиационной промышленности от 2 октября 1942 г. полный переход на выпуск "яков" с улучшенным обзором предписыва- &gt; лось начать с 10 октября).</w:t>
      </w:r>
    </w:p>
    <w:p w14:paraId="09E4564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заданием завод справился. Оговоренное постановлением количество Як-16 в заданные сроки вышло из заводских цехов. Наименование новой модификации почему-то не прижилось, хотя и употреблялось повсеместно. Наименование Як-1 СБ, упомянутое в заголовке, появилось в результате ошибки военпреда УВВС ВМФ, который к секретному названию "Як-1" добавил открытое наименование машины "С-Б", употребляемое на заводе. Все нововведения внедрялись в производство постепенно, чтобы не снизить количества выпускаемых самолетов. Так, убирающуюся хвостовую опору начали ставить на Як-1 с 87-й серии, с 89-й серии появился маслоотражаюший щиток, уменьшавший забрызгивание фонаря кабины маслом, новые фонарь и вооружение впервые появились на машине № 1094 серии. Поскольку испытания мер, предложенных ЦАГИ для совершенствования аэродинамики, были закончены лишь к 11 сентября, то их внедрение в серию тоже задержалось. Оно началось с 15 ноября 1942 г. и проводилось тоже постепенно. Полностью процесс завершился примерно к 110-й серии.</w:t>
      </w:r>
    </w:p>
    <w:p w14:paraId="17CDAC6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Одновременно были проведены мероприятия по частичному облегчению конструкции серийных самолетов. По постановлению ГКО от 22 сентября 1942 г. с Як-1 сняли: фару с предохранителем и выключателем сети, световую сигнализацию выпущенного положения хвостовой опоры, экранирование электросети после разъемных коробок, проводку обогрева часов, штепсельную розетку хвостового аэронавигационного огня (АНО), автомат давления, манометр вооружения, устройство пневмоперезарядки МП-20, радиополукомпас РПК-10, вариометр, трос-дублер ножного управления. Этим же постановлением предписывалось устанавливать на самолетах ночное свето- оборудование, фару, вариометр и РПК-10 только по особому заказу для самолетов ПВО. Улучшению тактических свойств самолета способствовала установка с 20 августа 1942 г. на всех Як-1 радиоприемника PC И-4, а на каждом пятом (с 1 октября на каждом четном) радиопередатчика РСИ -3.</w:t>
      </w:r>
    </w:p>
    <w:p w14:paraId="485B5BA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Модифицированный "Як" уверенно лидировал на сравнительных контрольных испытаниях, проведенных в Саратове бригадой Л И И Н КАП совместно с летно-испыта- тельной группой завода № 292. Из характеристик, представленных в табл., видно, почему не получила поддержки идея облегченного Як-1. Як-1б с улучшенной аэродинамикой и штатным вооружением уступал облегченному варианту только в вертикальном маневре и во всех отношениях был лучше серийного Як-1.</w:t>
      </w:r>
    </w:p>
    <w:p w14:paraId="73D91CD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Сравнительные характеристики Як-1 (№ 2898), Як-16 (№ 1699) и облегченного Як-1 (№ 4596)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1E2C69" w:rsidRPr="001E2C69" w14:paraId="616C9BD2" w14:textId="77777777" w:rsidTr="00CC5360">
        <w:tc>
          <w:tcPr>
            <w:tcW w:w="2802" w:type="dxa"/>
            <w:tcBorders>
              <w:top w:val="single" w:sz="12" w:space="0" w:color="auto"/>
            </w:tcBorders>
          </w:tcPr>
          <w:p w14:paraId="6B3557B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Основные данные</w:t>
            </w:r>
          </w:p>
        </w:tc>
        <w:tc>
          <w:tcPr>
            <w:tcW w:w="2802" w:type="dxa"/>
            <w:tcBorders>
              <w:top w:val="single" w:sz="12" w:space="0" w:color="auto"/>
            </w:tcBorders>
          </w:tcPr>
          <w:p w14:paraId="7874383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2898</w:t>
            </w:r>
          </w:p>
        </w:tc>
        <w:tc>
          <w:tcPr>
            <w:tcW w:w="2802" w:type="dxa"/>
            <w:tcBorders>
              <w:top w:val="single" w:sz="12" w:space="0" w:color="auto"/>
            </w:tcBorders>
          </w:tcPr>
          <w:p w14:paraId="1D9C88B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серийный номер машины 4596</w:t>
            </w:r>
          </w:p>
        </w:tc>
        <w:tc>
          <w:tcPr>
            <w:tcW w:w="2802" w:type="dxa"/>
            <w:tcBorders>
              <w:top w:val="single" w:sz="12" w:space="0" w:color="auto"/>
            </w:tcBorders>
          </w:tcPr>
          <w:p w14:paraId="1936ABE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1699</w:t>
            </w:r>
          </w:p>
        </w:tc>
      </w:tr>
      <w:tr w:rsidR="001E2C69" w:rsidRPr="001E2C69" w14:paraId="2299B8F0" w14:textId="77777777" w:rsidTr="00CC5360">
        <w:tc>
          <w:tcPr>
            <w:tcW w:w="2802" w:type="dxa"/>
          </w:tcPr>
          <w:p w14:paraId="1EA2B34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Полетный вес, кг</w:t>
            </w:r>
          </w:p>
        </w:tc>
        <w:tc>
          <w:tcPr>
            <w:tcW w:w="2802" w:type="dxa"/>
          </w:tcPr>
          <w:p w14:paraId="62C3E15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2940</w:t>
            </w:r>
          </w:p>
        </w:tc>
        <w:tc>
          <w:tcPr>
            <w:tcW w:w="2802" w:type="dxa"/>
          </w:tcPr>
          <w:p w14:paraId="0FA9865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2780</w:t>
            </w:r>
          </w:p>
        </w:tc>
        <w:tc>
          <w:tcPr>
            <w:tcW w:w="2802" w:type="dxa"/>
          </w:tcPr>
          <w:p w14:paraId="7592FA5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2920</w:t>
            </w:r>
          </w:p>
        </w:tc>
      </w:tr>
      <w:tr w:rsidR="001E2C69" w:rsidRPr="001E2C69" w14:paraId="3DC5BC35" w14:textId="77777777" w:rsidTr="00CC5360">
        <w:tc>
          <w:tcPr>
            <w:tcW w:w="2802" w:type="dxa"/>
          </w:tcPr>
          <w:p w14:paraId="7E589BF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Максимальная скорость, км/ч у земли</w:t>
            </w:r>
          </w:p>
        </w:tc>
        <w:tc>
          <w:tcPr>
            <w:tcW w:w="2802" w:type="dxa"/>
          </w:tcPr>
          <w:p w14:paraId="286519B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516</w:t>
            </w:r>
          </w:p>
        </w:tc>
        <w:tc>
          <w:tcPr>
            <w:tcW w:w="2802" w:type="dxa"/>
          </w:tcPr>
          <w:p w14:paraId="4998756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526</w:t>
            </w:r>
          </w:p>
        </w:tc>
        <w:tc>
          <w:tcPr>
            <w:tcW w:w="2802" w:type="dxa"/>
          </w:tcPr>
          <w:p w14:paraId="78DC7D7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524</w:t>
            </w:r>
          </w:p>
        </w:tc>
      </w:tr>
      <w:tr w:rsidR="001E2C69" w:rsidRPr="001E2C69" w14:paraId="428DE1BE" w14:textId="77777777" w:rsidTr="00CC5360">
        <w:tc>
          <w:tcPr>
            <w:tcW w:w="2802" w:type="dxa"/>
          </w:tcPr>
          <w:p w14:paraId="65D21AD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высоте второй границы высотности при оборотах мотора М-105ПФ 2550 об/мин</w:t>
            </w:r>
          </w:p>
        </w:tc>
        <w:tc>
          <w:tcPr>
            <w:tcW w:w="2802" w:type="dxa"/>
          </w:tcPr>
          <w:p w14:paraId="485C7EE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566</w:t>
            </w:r>
          </w:p>
        </w:tc>
        <w:tc>
          <w:tcPr>
            <w:tcW w:w="2802" w:type="dxa"/>
          </w:tcPr>
          <w:p w14:paraId="1F7E154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586</w:t>
            </w:r>
          </w:p>
        </w:tc>
        <w:tc>
          <w:tcPr>
            <w:tcW w:w="2802" w:type="dxa"/>
          </w:tcPr>
          <w:p w14:paraId="4302193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584</w:t>
            </w:r>
          </w:p>
        </w:tc>
      </w:tr>
      <w:tr w:rsidR="001E2C69" w:rsidRPr="001E2C69" w14:paraId="4C658AE8" w14:textId="77777777" w:rsidTr="00CC5360">
        <w:tc>
          <w:tcPr>
            <w:tcW w:w="2802" w:type="dxa"/>
          </w:tcPr>
          <w:p w14:paraId="581A078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высоте второй границы высотности при оборотах мотора М-105ПФ 2700 об/мин</w:t>
            </w:r>
          </w:p>
        </w:tc>
        <w:tc>
          <w:tcPr>
            <w:tcW w:w="2802" w:type="dxa"/>
          </w:tcPr>
          <w:p w14:paraId="79A0514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569</w:t>
            </w:r>
          </w:p>
        </w:tc>
        <w:tc>
          <w:tcPr>
            <w:tcW w:w="2802" w:type="dxa"/>
          </w:tcPr>
          <w:p w14:paraId="165C408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592</w:t>
            </w:r>
          </w:p>
        </w:tc>
        <w:tc>
          <w:tcPr>
            <w:tcW w:w="2802" w:type="dxa"/>
          </w:tcPr>
          <w:p w14:paraId="6C246C8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492F8584" w14:textId="77777777" w:rsidTr="00CC5360">
        <w:tc>
          <w:tcPr>
            <w:tcW w:w="2802" w:type="dxa"/>
            <w:tcBorders>
              <w:bottom w:val="single" w:sz="12" w:space="0" w:color="auto"/>
            </w:tcBorders>
          </w:tcPr>
          <w:p w14:paraId="6E8EC1E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Время набора высоты 5000 м, мин</w:t>
            </w:r>
          </w:p>
        </w:tc>
        <w:tc>
          <w:tcPr>
            <w:tcW w:w="2802" w:type="dxa"/>
            <w:tcBorders>
              <w:bottom w:val="single" w:sz="12" w:space="0" w:color="auto"/>
            </w:tcBorders>
          </w:tcPr>
          <w:p w14:paraId="75B233D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5,8</w:t>
            </w:r>
          </w:p>
        </w:tc>
        <w:tc>
          <w:tcPr>
            <w:tcW w:w="2802" w:type="dxa"/>
            <w:tcBorders>
              <w:bottom w:val="single" w:sz="12" w:space="0" w:color="auto"/>
            </w:tcBorders>
          </w:tcPr>
          <w:p w14:paraId="507B35B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4,7</w:t>
            </w:r>
          </w:p>
        </w:tc>
        <w:tc>
          <w:tcPr>
            <w:tcW w:w="2802" w:type="dxa"/>
            <w:tcBorders>
              <w:bottom w:val="single" w:sz="12" w:space="0" w:color="auto"/>
            </w:tcBorders>
          </w:tcPr>
          <w:p w14:paraId="21C978E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5,2</w:t>
            </w:r>
          </w:p>
        </w:tc>
      </w:tr>
    </w:tbl>
    <w:p w14:paraId="3F21E5C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Войсковые испытания самолетов Я к-16 проводились в 32-м гиап 210-й иад 3 ВА Калининского фронта и в 176-м иап 283-й иад 16-й В А Сталинградского фронта с 10 декабря 1942 г. по 28 января 1943 г. На испытаниях произвели 669 боевых вылетов на 58 самолетах с налетом 617 часов. Провели 38 воздушных боев, в результате которых сбили 25 самолетов противника. Свои потери составили шесть самолетов Я к-16. По общему мнению летного состава кабина с улучшенным обзором задней полусферы повысила боевые качества самолета. Ее рекомендовали для установки на всех самолетах истребительного типа.</w:t>
      </w:r>
    </w:p>
    <w:p w14:paraId="1277FDE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Эта модификация Як-1 выпускалась вплоть до перехода завода № 292 на изготовление еще более глубокой модификации самолета - Як-3 (12048).</w:t>
      </w:r>
    </w:p>
    <w:p w14:paraId="2055144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E00AA9" w14:textId="77777777" w:rsidR="004C3EBE" w:rsidRPr="008A2E5A" w:rsidRDefault="004C3EBE" w:rsidP="004C3E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 июля 1942 г. (с 23-й серии) в производстве на заводе №153 внедрили установку бомбодер</w:t>
      </w:r>
      <w:r w:rsidRPr="008A2E5A">
        <w:rPr>
          <w:rFonts w:ascii="Times New Roman" w:hAnsi="Times New Roman"/>
          <w:color w:val="0070C0"/>
          <w:sz w:val="16"/>
          <w:szCs w:val="16"/>
        </w:rPr>
        <w:softHyphen/>
        <w:t>жателей на Як-7. Управ</w:t>
      </w:r>
      <w:r w:rsidRPr="008A2E5A">
        <w:rPr>
          <w:rFonts w:ascii="Times New Roman" w:hAnsi="Times New Roman"/>
          <w:color w:val="0070C0"/>
          <w:sz w:val="16"/>
          <w:szCs w:val="16"/>
        </w:rPr>
        <w:softHyphen/>
        <w:t>ление замками держателей, сначала Дер-31, а затем БИ- 42, осуществлялось механически посредством тросовой проводки от ручки у левого пульта в кабине летчика. Для возможности подвески выливных авиационных приборов ВАП-6 на самолетах дополнительно монтировалась элек</w:t>
      </w:r>
      <w:r w:rsidRPr="008A2E5A">
        <w:rPr>
          <w:rFonts w:ascii="Times New Roman" w:hAnsi="Times New Roman"/>
          <w:color w:val="0070C0"/>
          <w:sz w:val="16"/>
          <w:szCs w:val="16"/>
        </w:rPr>
        <w:softHyphen/>
        <w:t>тропроводка управления ВАП. Пусковая кнопка под кол</w:t>
      </w:r>
      <w:r w:rsidRPr="008A2E5A">
        <w:rPr>
          <w:rFonts w:ascii="Times New Roman" w:hAnsi="Times New Roman"/>
          <w:color w:val="0070C0"/>
          <w:sz w:val="16"/>
          <w:szCs w:val="16"/>
        </w:rPr>
        <w:softHyphen/>
        <w:t>пачком устанавливалась на левом пульте у приборной до</w:t>
      </w:r>
      <w:r w:rsidRPr="008A2E5A">
        <w:rPr>
          <w:rFonts w:ascii="Times New Roman" w:hAnsi="Times New Roman"/>
          <w:color w:val="0070C0"/>
          <w:sz w:val="16"/>
          <w:szCs w:val="16"/>
        </w:rPr>
        <w:softHyphen/>
        <w:t>ски. Сброс ВАП, как и бомб, - механическим способом. Бомбовое вооружение испытали на заводе при полигон</w:t>
      </w:r>
      <w:r w:rsidRPr="008A2E5A">
        <w:rPr>
          <w:rFonts w:ascii="Times New Roman" w:hAnsi="Times New Roman"/>
          <w:color w:val="0070C0"/>
          <w:sz w:val="16"/>
          <w:szCs w:val="16"/>
        </w:rPr>
        <w:softHyphen/>
        <w:t>ных испытаниях Як-7Б №2315310, которые закончились с положительным результатом. Из-за падения максималь</w:t>
      </w:r>
      <w:r w:rsidRPr="008A2E5A">
        <w:rPr>
          <w:rFonts w:ascii="Times New Roman" w:hAnsi="Times New Roman"/>
          <w:color w:val="0070C0"/>
          <w:sz w:val="16"/>
          <w:szCs w:val="16"/>
        </w:rPr>
        <w:softHyphen/>
        <w:t>ных скоростей серийных самолетов установку бомбово</w:t>
      </w:r>
      <w:r w:rsidRPr="008A2E5A">
        <w:rPr>
          <w:rFonts w:ascii="Times New Roman" w:hAnsi="Times New Roman"/>
          <w:color w:val="0070C0"/>
          <w:sz w:val="16"/>
          <w:szCs w:val="16"/>
        </w:rPr>
        <w:softHyphen/>
        <w:t>го вооружения временно прекратили с 30-й серии и воз</w:t>
      </w:r>
      <w:r w:rsidRPr="008A2E5A">
        <w:rPr>
          <w:rFonts w:ascii="Times New Roman" w:hAnsi="Times New Roman"/>
          <w:color w:val="0070C0"/>
          <w:sz w:val="16"/>
          <w:szCs w:val="16"/>
        </w:rPr>
        <w:softHyphen/>
        <w:t>обновили после проведения на серийных машинах реко</w:t>
      </w:r>
      <w:r w:rsidRPr="008A2E5A">
        <w:rPr>
          <w:rFonts w:ascii="Times New Roman" w:hAnsi="Times New Roman"/>
          <w:color w:val="0070C0"/>
          <w:sz w:val="16"/>
          <w:szCs w:val="16"/>
        </w:rPr>
        <w:softHyphen/>
        <w:t>мендованных ОКБ мероприятий с самолета №3115361. На заводе №82 бомбовое вооружение начали устанавли</w:t>
      </w:r>
      <w:r w:rsidRPr="008A2E5A">
        <w:rPr>
          <w:rFonts w:ascii="Times New Roman" w:hAnsi="Times New Roman"/>
          <w:color w:val="0070C0"/>
          <w:sz w:val="16"/>
          <w:szCs w:val="16"/>
        </w:rPr>
        <w:softHyphen/>
        <w:t>вать с машины №820205.</w:t>
      </w:r>
    </w:p>
    <w:p w14:paraId="0605D9CD" w14:textId="77777777" w:rsidR="004C3EBE" w:rsidRPr="008A2E5A" w:rsidRDefault="004C3EBE" w:rsidP="004C3E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1943 г. на Як-7Б производилась опытная установка держателей Д-2-42 конструкции завода №43. Держате</w:t>
      </w:r>
      <w:r w:rsidRPr="008A2E5A">
        <w:rPr>
          <w:rFonts w:ascii="Times New Roman" w:hAnsi="Times New Roman"/>
          <w:color w:val="0070C0"/>
          <w:sz w:val="16"/>
          <w:szCs w:val="16"/>
        </w:rPr>
        <w:softHyphen/>
        <w:t>ли предназначались для подвески и сбрасывания авиа</w:t>
      </w:r>
      <w:r w:rsidRPr="008A2E5A">
        <w:rPr>
          <w:rFonts w:ascii="Times New Roman" w:hAnsi="Times New Roman"/>
          <w:color w:val="0070C0"/>
          <w:sz w:val="16"/>
          <w:szCs w:val="16"/>
        </w:rPr>
        <w:softHyphen/>
        <w:t>бомб калибром от 25 до 100 кг и выливных авиаприборов В-100, В-6М (8-В-116М). Основной особенностью держателей являлась уборка ухватов после сбрасывания груза и однопроводная система управления сбросом. Несмо</w:t>
      </w:r>
      <w:r w:rsidRPr="008A2E5A">
        <w:rPr>
          <w:rFonts w:ascii="Times New Roman" w:hAnsi="Times New Roman"/>
          <w:color w:val="0070C0"/>
          <w:sz w:val="16"/>
          <w:szCs w:val="16"/>
        </w:rPr>
        <w:softHyphen/>
        <w:t>тря на цикл доводочных испытаний, проведенных в мае, августе, ноябре 1943 и январе 1944 г., полностью устра</w:t>
      </w:r>
      <w:r w:rsidRPr="008A2E5A">
        <w:rPr>
          <w:rFonts w:ascii="Times New Roman" w:hAnsi="Times New Roman"/>
          <w:color w:val="0070C0"/>
          <w:sz w:val="16"/>
          <w:szCs w:val="16"/>
        </w:rPr>
        <w:softHyphen/>
        <w:t>нить производственные и конструктивные недостатки держателей не удалось (23381).</w:t>
      </w:r>
    </w:p>
    <w:p w14:paraId="2981503C" w14:textId="77777777" w:rsidR="004C3EBE" w:rsidRPr="008A2E5A" w:rsidRDefault="004C3EBE" w:rsidP="004C3EBE">
      <w:pPr>
        <w:spacing w:after="0" w:line="240" w:lineRule="auto"/>
        <w:jc w:val="both"/>
        <w:rPr>
          <w:rFonts w:ascii="Times New Roman" w:hAnsi="Times New Roman"/>
          <w:color w:val="0070C0"/>
          <w:sz w:val="16"/>
          <w:szCs w:val="16"/>
        </w:rPr>
      </w:pPr>
    </w:p>
    <w:p w14:paraId="7AF80E4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Тараканов ознакомил Пышнова и Доброхотова с Техническим отчетом ЦАГИ N 10 по опыту борьбы с флаттером на серийных самолетах (СБ (АНТ-40), ЛаГГ-3 и ТБ-3 (АНТ-6)), подготовленный Е.П.Гроссманом и М.В.Келдышем</w:t>
      </w:r>
    </w:p>
    <w:p w14:paraId="1948D13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Исполнители Е.П.Гроссманом и М.В.Келдышем</w:t>
      </w:r>
    </w:p>
    <w:p w14:paraId="198F554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Общее заключение: цель настоящего отчета дать описание явления флаттера, наблюдающегося нап некоторых серийных с-тах и мер, применением которых достигается его устранение. На с-тах СБ, ЛаГГ-3 и ТБ-3 наблюдались случаи флаттера, связанные с органами управления: на с-те СБ - изгибно-элеронный флаттер, а на с-тах ЛаГГ-3 и ТБ-3 - флаттер руля направления.</w:t>
      </w:r>
    </w:p>
    <w:p w14:paraId="2AC7F31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Флаттер на СБ</w:t>
      </w:r>
    </w:p>
    <w:p w14:paraId="53C49E5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испытаниях опытного с-та СБ в 1935 на скорости, близкой к максимальной, возник флаттер, сопровождающийся антисимметричным изгибом крыльев и отклонением элеронов - антисимметричный изгибно-элеронный флаттер. Флаттер возникал внезапно. Л-к резко убирал газ и выбирал штурвал на себя. Это привело к снижению скорости примерно на 20% и вибрация резко прекратилась.</w:t>
      </w:r>
    </w:p>
    <w:p w14:paraId="38FADD7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частях ВВС наблюдался ряд аварий с-та СБ, вызванных вибрацией крыльев. В 1940 УВВС совместно с ЦАГИ было предпринято детальное обследование двух таких случаев. В обоих случаях причиной аварий было внезапное возникновение изгибно-элеронного флаттера крыла на скоростях порядка 250-270 км/час.</w:t>
      </w:r>
    </w:p>
    <w:p w14:paraId="0B0F467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Существенно отметить, что флаттер наступал на скорости ниже максимальной, неоднократно достигаемой в предыдущей эксплуатации с-та. Наступление флаттера характеризуется резкими колебаниями и баранки штурвала, которую обычно вырывало из рук л. Одновременно с колебаниями штурвала наблюдались известные колебания крыла с большой амплитудой и тряской всего с-та.</w:t>
      </w:r>
    </w:p>
    <w:p w14:paraId="640E54E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Анализ аварий показал, что флаттер СБ может наступать только на с-тах первых 40 серий, на которых балансировка элеронов осуществлялась на 40-50%. На последующих сериях с-тов с балансировкой элеронов на 90-100% ни одного случая флаттера зафиксировано не было.</w:t>
      </w:r>
    </w:p>
    <w:p w14:paraId="14DD46A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фигуре изображена зависимость критической скорости изгибно-элеронного флаттера крыла от степени балансировки элеронов.</w:t>
      </w:r>
    </w:p>
    <w:p w14:paraId="07EBD80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дальнейшем балансировка с-тов была доведена на всех с-тах до 95%, после чего случаи флаттера не повторялись.</w:t>
      </w:r>
    </w:p>
    <w:p w14:paraId="7DCC0F5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с-те СБ флаттер наступал на скорости 250-270 км/час по приборам (как показало летные испытания все зависело от трения в органах управления.</w:t>
      </w:r>
    </w:p>
    <w:p w14:paraId="187635C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Наличие трения всегда приводит к повышению критической скорости флаттера</w:t>
      </w:r>
    </w:p>
    <w:p w14:paraId="09FB039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Флаттер с-та ЛаГГ-3</w:t>
      </w:r>
    </w:p>
    <w:p w14:paraId="7DC4A27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С-т ЛаГГ-3 имел уровновешенные элероны и РВ, сбалансированные согласно расчету, по которому требовалась его перебалансировка. Руль направления сбалансирован не был При заводских испытаниях серийных с-тов на ряде из них наблюдалась сильная тряска при скорости по прибору порядка 590-630 км/час. При снижении скорости тряска прекращалась и, как правило, ни к каким поломкам не приводила. У части же с-тов тряска вообще не наблюдалась Специальные исследования вибрации с-тов ЛаГГ-3 были предприняты в связи с происшедшей аварией одного из с-тов. При пикировании на этом с-те при скорости по приборам около 620 км/час возникли сильные вибрации с-та. Л-к снизил скорость и вибрации пракратились. После этого л, в соответствии с заданием на полет, совершил два захода на стрельбу и затем, обнаружив необычное ощущение управления, пошел на посадку. Посадка была совершена с небольшим плюхом, т.к. неожиданно не хватило рулей. После посадки было обраружено разрушение фюзеляжа возле люка, находящегося на боковой стенке вблизи оперения. В обшивке фюзеляжа были </w:t>
      </w:r>
      <w:r w:rsidRPr="001E2C69">
        <w:rPr>
          <w:rFonts w:ascii="Times New Roman" w:hAnsi="Times New Roman"/>
          <w:color w:val="000000" w:themeColor="text1"/>
          <w:sz w:val="16"/>
          <w:szCs w:val="16"/>
        </w:rPr>
        <w:lastRenderedPageBreak/>
        <w:t>трещины, идущие от углов люка, почти поперек фюзеляжа вверх и вниз, заходящие на плоскость симметрии с-та. По всей длише трещин были разрушены стрингеры и лонжероны фюзеляжа Характер поломок показывал разрушение от кручения ф-жа.</w:t>
      </w:r>
    </w:p>
    <w:p w14:paraId="7B98E84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Увеличение балансира РВ не дало положительного рез-та. Произведенная затем проверка показала, что элероны с-та уравновешены не полностью. После этого балансировка элеронов была доведена до 105% и одновременно установкой балансиров был уравновешен РН на 100% на нижнем и верхнем концах руля. Эти мероприятия привели к уничтожению флаттера.</w:t>
      </w:r>
    </w:p>
    <w:p w14:paraId="34139ED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связи с тем, что перебалансировку РВ вредно отразилась на управляемости с-та, ЛИИ НКАП были предприняты полеты с целью ыфяснения возможности ее уменьшения и одновременно исследовались возможности уменьшения балансировки РН. В первом полете балансировка РВ была доведена до 100%. С-т пикировал со скоростью свыше 700 км/час и никаких признаков наступления флаттера было не обнаружено. Этот результат был подтвержден на вторичных полетах.</w:t>
      </w:r>
    </w:p>
    <w:p w14:paraId="6FC0AC9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с-те, из соображений безопасности, вызываемых возможностью небольших колебаний весовых характеристик, был установлен балансир, дающий незначительную перебалансировку РВ. После этого приступили к полетам с уменьшенным балансиров РН. Сначала были произведены полеты без ниэнего балансира, показавшие отсутствие флаттера.Когда был снат и верхний балансир РН, то в первом же полете наступил флаттер на скорости 620-630 км/час., вызвавший разрушения, аналогичные тем, которые имели место в описанном выше случае. Это позволило ракомендовать сохранение (или оставление) на РН только верхнего балансира, доведя его вес до 2,5 кг (при плече 265 мм).</w:t>
      </w:r>
    </w:p>
    <w:p w14:paraId="4DA9EF9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Представлет интерес сравнение частоты флаттера с собственными частотами фюзеляжа. Частота флаттера, записанная в ЛИИ при помощи самописца отклонения рулей, равнялась 780 кол./минуту. Эта частота ближе к собственным частотам фюзеляжа. Для фюзеляжа собственная частота колебаний кручения равна 880 к/м, а собственная частота колебаний изгиба фюзедляжа в горизонтальной плоскости - 800 к/м.</w:t>
      </w:r>
    </w:p>
    <w:p w14:paraId="0B58C8A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Критическая скорость флаттера ВО была расчитана по способу, разработанному в ЦАГИ Е.П.Гроссманом в самое последнее время (см. ТО ЦАГИ № 12, 1942). Расчет дал значение критической скорости без балансира РН, равное 554 км/час и частоту флаттера 744 к/м, а при наличии верхнего балансира - скорость 814 км/час, что удовлетворительно согласуется с результатами полетных испытаний. Следует опять отметить, что вследствие пренебрежения трением расчет дает максимальное значение критической скорости, которое на с-те в действительности значительно превосходилась вследствие наличия трения.</w:t>
      </w:r>
    </w:p>
    <w:p w14:paraId="68155D0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Флаттер на ТБ-3</w:t>
      </w:r>
    </w:p>
    <w:p w14:paraId="169E59D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того, как на с-те ТБ-3 роговая компенсация была заменена серворулем, на с-те были обнаружены весьма сильные колеьания РН и всенй хвостовой части фюзеляжа. Эти колебания возникали при значительном отклонении руля. Колебания имели тенденции к прогрессивному возрастанию, но путем своевременного внимания л их удавалось своевременно гасить.</w:t>
      </w:r>
    </w:p>
    <w:p w14:paraId="53E867F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Ы ЦАГИ проводились исследования этого явления в полете. Было обнаружено, что закрепление серворуля устраняет возможность появления колебаний. Тот же резулььтат дало уменьшение площади серворуля, разрезкой его и закреплением одной из частей, а также уменьшением его хорды. Эта последняя мера и была рекомендована для серийного строительства (см. А.В.Чесалов Опыт борьбы с вибрациями на с-тах - Труды ЦАГИ, вып. 494, ст. 32).</w:t>
      </w:r>
    </w:p>
    <w:p w14:paraId="15E93BA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последние годы на с-те ТБ-3 было несколько аварий, на которые не было обращено должного внимания, т.к. они не носили массового характера. Изучение материалов по этим авариям, произведенное в 1941 г. совместно ЦАГИ и ВВС, показали, что аварии были вызваны флаттеромВО.</w:t>
      </w:r>
    </w:p>
    <w:p w14:paraId="2FA370F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Флаттер наступал на скоростях 165-190 км/час, колебания развивались сравнительно медленно, но в тех случаях, когда л не удавалось вовремя их погасить, они вызывали разрушение с-та.</w:t>
      </w:r>
    </w:p>
    <w:p w14:paraId="2C312C5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Приведем случаи, наглядно иллюстрирующие роль серворуля в явлении флаттера на с-те ТБ-3. Во время полета на одном из с-тов возникли сильные вибрации оперения и хвостовой части фюзеляжа. Бортмеханик прошел в хвостовую часть и обнаружил, что тяга серворуля оборвалась и происходят сильные вибрации РН, сопровождающиеся колебаниями серворуля. Бортмеханик зажал оборванную тягу серворуля руками, после чего вибрации прекратились и с-т удалось посадить.</w:t>
      </w:r>
    </w:p>
    <w:p w14:paraId="757DD39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Проведенные в ЦАГИ в 1941 г. летные исследования показали, что устранение виюраций м.б. достигнуто зажатием серво-руля или постановкой на РН и серворуль балансиров.</w:t>
      </w:r>
    </w:p>
    <w:p w14:paraId="772A986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Заключение:</w:t>
      </w:r>
    </w:p>
    <w:p w14:paraId="3826685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флаттере органов управления большую роль играет трение. Благодаря ему критическая скорость флаттера м.б. значительно превзойдена, а в некоторых случаях флаттер может вообще не возникнуть.</w:t>
      </w:r>
    </w:p>
    <w:p w14:paraId="347D83E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Единственный полет недостаточен для установления безопасности машины в отношение флаттера. Безопасность машины от флаттера может быть обеспечена при минимально возможном трении. Значение критической скорости при отсутствии трения устанавливается расчетно.</w:t>
      </w:r>
    </w:p>
    <w:p w14:paraId="4E394A5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 всех известных случаях флаттера органов управления колебания конструкции нарастают сравнительно медленно и их можно погасить уменьшением скорости полета, для чего необходимо сбросить газ и взять ручку (штурвал) на себя (761).</w:t>
      </w:r>
    </w:p>
    <w:p w14:paraId="06E6ED1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2339C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 июля 1942 группа Люльки в составе 15 чел. была переведена в КБ В.Ф.Б. на завод 293 в Свердловск (2168,4).</w:t>
      </w:r>
    </w:p>
    <w:p w14:paraId="366BF1F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2D66F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1 июля 1942 Паспорт завода № 25:</w:t>
      </w:r>
    </w:p>
    <w:p w14:paraId="76D314D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 Исаков</w:t>
      </w:r>
    </w:p>
    <w:p w14:paraId="1AD2C45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Адрес: Ульяновск, п/я 61</w:t>
      </w:r>
    </w:p>
    <w:p w14:paraId="22C3D1D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25 эвакуирован из Москвы на строительную площадку в Ульяновске за рекой Свиягой, готовившуюся под завод № 283. Строительство завода № 283 не было закончено, а все находилось в процессе закладки.</w:t>
      </w:r>
    </w:p>
    <w:p w14:paraId="4D57005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25 по своему профилю является заводом станко-инструментального производства, а строительство завода № 283 предназначалось и ведется по проекту профиля агрегатного завода для авиационного моторостроения (9481).</w:t>
      </w:r>
    </w:p>
    <w:p w14:paraId="1DB43F5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EF395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вышло Постановление ГКО № 1943 О т.т. Диброва П.А., Лебедеве П.С. и Мельникове С.И. РГАНИР, Фонд ГКО, д. 40, лл. 90 (11012).</w:t>
      </w:r>
    </w:p>
    <w:p w14:paraId="42766ED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86A0C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вышло Постановление ГКО № 1944 Об изготовлении опытных партий фугасных авиабомб с литыми бумажными корпусами. РГАНИР, Фонд ГКО, д. 40, лл. 91 (11012).</w:t>
      </w:r>
    </w:p>
    <w:p w14:paraId="4BD272A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85E070" w14:textId="77777777" w:rsidR="00227D12" w:rsidRPr="001E2C69" w:rsidRDefault="00227D1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вышло Постановление ГКО № 1944 Об изготовлении опытных партий фугасных авиабомб с литыми бумажными корпусами</w:t>
      </w:r>
    </w:p>
    <w:p w14:paraId="22000C1F" w14:textId="77777777" w:rsidR="00227D12" w:rsidRPr="001E2C69" w:rsidRDefault="00227D12" w:rsidP="00722885">
      <w:pPr>
        <w:pStyle w:val="47"/>
        <w:shd w:val="clear" w:color="auto" w:fill="auto"/>
        <w:tabs>
          <w:tab w:val="left" w:pos="950"/>
        </w:tabs>
        <w:spacing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1. Обязать Наркомпищепром (т.Пронина):</w:t>
      </w:r>
    </w:p>
    <w:p w14:paraId="76DDB628" w14:textId="77777777" w:rsidR="00227D12" w:rsidRPr="001E2C69" w:rsidRDefault="00227D12" w:rsidP="00722885">
      <w:pPr>
        <w:pStyle w:val="47"/>
        <w:shd w:val="clear" w:color="auto" w:fill="auto"/>
        <w:tabs>
          <w:tab w:val="left" w:pos="950"/>
        </w:tabs>
        <w:spacing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 xml:space="preserve">а) в срок до 12 июля </w:t>
      </w:r>
      <w:r w:rsidRPr="001E2C69">
        <w:rPr>
          <w:rStyle w:val="0pt"/>
          <w:rFonts w:ascii="Times New Roman" w:hAnsi="Times New Roman" w:cs="Times New Roman"/>
          <w:color w:val="000000" w:themeColor="text1"/>
          <w:spacing w:val="0"/>
          <w:sz w:val="16"/>
          <w:szCs w:val="16"/>
        </w:rPr>
        <w:t>1</w:t>
      </w:r>
      <w:r w:rsidRPr="001E2C69">
        <w:rPr>
          <w:rStyle w:val="0pt"/>
          <w:rFonts w:ascii="Times New Roman" w:hAnsi="Times New Roman" w:cs="Times New Roman"/>
          <w:color w:val="000000" w:themeColor="text1"/>
          <w:spacing w:val="0"/>
          <w:sz w:val="16"/>
          <w:szCs w:val="16"/>
          <w:lang w:val="en-US"/>
        </w:rPr>
        <w:t>S</w:t>
      </w:r>
      <w:r w:rsidRPr="001E2C69">
        <w:rPr>
          <w:rStyle w:val="0pt"/>
          <w:rFonts w:ascii="Times New Roman" w:hAnsi="Times New Roman" w:cs="Times New Roman"/>
          <w:color w:val="000000" w:themeColor="text1"/>
          <w:spacing w:val="0"/>
          <w:sz w:val="16"/>
          <w:szCs w:val="16"/>
        </w:rPr>
        <w:t>42</w:t>
      </w:r>
      <w:r w:rsidRPr="001E2C69">
        <w:rPr>
          <w:rFonts w:ascii="Times New Roman" w:hAnsi="Times New Roman" w:cs="Times New Roman"/>
          <w:color w:val="000000" w:themeColor="text1"/>
          <w:sz w:val="16"/>
          <w:szCs w:val="16"/>
        </w:rPr>
        <w:t xml:space="preserve"> </w:t>
      </w:r>
      <w:r w:rsidRPr="001E2C69">
        <w:rPr>
          <w:rStyle w:val="0pt"/>
          <w:rFonts w:ascii="Times New Roman" w:hAnsi="Times New Roman" w:cs="Times New Roman"/>
          <w:color w:val="000000" w:themeColor="text1"/>
          <w:spacing w:val="0"/>
          <w:sz w:val="16"/>
          <w:szCs w:val="16"/>
        </w:rPr>
        <w:t>г.</w:t>
      </w:r>
      <w:r w:rsidRPr="001E2C69">
        <w:rPr>
          <w:rFonts w:ascii="Times New Roman" w:hAnsi="Times New Roman" w:cs="Times New Roman"/>
          <w:color w:val="000000" w:themeColor="text1"/>
          <w:sz w:val="16"/>
          <w:szCs w:val="16"/>
        </w:rPr>
        <w:t xml:space="preserve"> закончить разработку кон</w:t>
      </w:r>
      <w:r w:rsidRPr="001E2C69">
        <w:rPr>
          <w:rFonts w:ascii="Times New Roman" w:hAnsi="Times New Roman" w:cs="Times New Roman"/>
          <w:color w:val="000000" w:themeColor="text1"/>
          <w:sz w:val="16"/>
          <w:szCs w:val="16"/>
        </w:rPr>
        <w:softHyphen/>
        <w:t xml:space="preserve">струкции и изготовить 40 штук корпусов фугасных авиабомб из бумажного литья, в том числе .20 штук корпусов для фугасных 100 кгр. бомб и 20 штук корпусов для фугасных </w:t>
      </w:r>
      <w:r w:rsidRPr="001E2C69">
        <w:rPr>
          <w:rStyle w:val="0pt"/>
          <w:rFonts w:ascii="Times New Roman" w:hAnsi="Times New Roman" w:cs="Times New Roman"/>
          <w:color w:val="000000" w:themeColor="text1"/>
          <w:spacing w:val="0"/>
          <w:sz w:val="16"/>
          <w:szCs w:val="16"/>
        </w:rPr>
        <w:t>250</w:t>
      </w:r>
      <w:r w:rsidRPr="001E2C69">
        <w:rPr>
          <w:rFonts w:ascii="Times New Roman" w:hAnsi="Times New Roman" w:cs="Times New Roman"/>
          <w:color w:val="000000" w:themeColor="text1"/>
          <w:sz w:val="16"/>
          <w:szCs w:val="16"/>
        </w:rPr>
        <w:t xml:space="preserve"> кгр. бомб;</w:t>
      </w:r>
    </w:p>
    <w:p w14:paraId="32A225E0" w14:textId="77777777" w:rsidR="00227D12" w:rsidRPr="001E2C69" w:rsidRDefault="00227D12" w:rsidP="00722885">
      <w:pPr>
        <w:pStyle w:val="47"/>
        <w:shd w:val="clear" w:color="auto" w:fill="auto"/>
        <w:spacing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 xml:space="preserve">б) в срок до 15 июля </w:t>
      </w:r>
      <w:r w:rsidRPr="001E2C69">
        <w:rPr>
          <w:rStyle w:val="0pt"/>
          <w:rFonts w:ascii="Times New Roman" w:hAnsi="Times New Roman" w:cs="Times New Roman"/>
          <w:color w:val="000000" w:themeColor="text1"/>
          <w:spacing w:val="0"/>
          <w:sz w:val="16"/>
          <w:szCs w:val="16"/>
        </w:rPr>
        <w:t>1942г.</w:t>
      </w:r>
      <w:r w:rsidRPr="001E2C69">
        <w:rPr>
          <w:rFonts w:ascii="Times New Roman" w:hAnsi="Times New Roman" w:cs="Times New Roman"/>
          <w:color w:val="000000" w:themeColor="text1"/>
          <w:sz w:val="16"/>
          <w:szCs w:val="16"/>
        </w:rPr>
        <w:t xml:space="preserve"> изготовить 10 штук корпусов из бумажного литья с двойной стенкой для снаряжения их окси</w:t>
      </w:r>
      <w:r w:rsidRPr="001E2C69">
        <w:rPr>
          <w:rStyle w:val="Gungsuh75pt0pt"/>
          <w:rFonts w:ascii="Times New Roman" w:hAnsi="Times New Roman" w:cs="Times New Roman"/>
          <w:color w:val="000000" w:themeColor="text1"/>
          <w:sz w:val="16"/>
          <w:szCs w:val="16"/>
        </w:rPr>
        <w:t>ликвитами.</w:t>
      </w:r>
    </w:p>
    <w:p w14:paraId="1193DA45" w14:textId="77777777" w:rsidR="00227D12" w:rsidRPr="001E2C69" w:rsidRDefault="00227D12" w:rsidP="00722885">
      <w:pPr>
        <w:pStyle w:val="47"/>
        <w:shd w:val="clear" w:color="auto" w:fill="auto"/>
        <w:tabs>
          <w:tab w:val="left" w:pos="950"/>
        </w:tabs>
        <w:spacing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 xml:space="preserve">2. Обязать Наркомбоеприпасов (т.Ванникова) снарядить и сдать комплектно бумажные литые авиабомбы к 17 июля </w:t>
      </w:r>
      <w:r w:rsidRPr="001E2C69">
        <w:rPr>
          <w:rStyle w:val="0pt"/>
          <w:rFonts w:ascii="Times New Roman" w:hAnsi="Times New Roman" w:cs="Times New Roman"/>
          <w:color w:val="000000" w:themeColor="text1"/>
          <w:spacing w:val="0"/>
          <w:sz w:val="16"/>
          <w:szCs w:val="16"/>
        </w:rPr>
        <w:t xml:space="preserve">1942 г. </w:t>
      </w:r>
      <w:r w:rsidRPr="001E2C69">
        <w:rPr>
          <w:rFonts w:ascii="Times New Roman" w:hAnsi="Times New Roman" w:cs="Times New Roman"/>
          <w:color w:val="000000" w:themeColor="text1"/>
          <w:sz w:val="16"/>
          <w:szCs w:val="16"/>
        </w:rPr>
        <w:t>в количестве 50 штук, в том числе:</w:t>
      </w:r>
    </w:p>
    <w:p w14:paraId="70293F03" w14:textId="77777777" w:rsidR="00227D12" w:rsidRPr="001E2C69" w:rsidRDefault="00227D12" w:rsidP="00722885">
      <w:pPr>
        <w:pStyle w:val="47"/>
        <w:shd w:val="clear" w:color="auto" w:fill="auto"/>
        <w:spacing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а) снарядить амматолом с осевым детонатором:</w:t>
      </w:r>
    </w:p>
    <w:p w14:paraId="79634DE6" w14:textId="77777777" w:rsidR="00227D12" w:rsidRPr="001E2C69" w:rsidRDefault="00227D12" w:rsidP="00722885">
      <w:pPr>
        <w:pStyle w:val="47"/>
        <w:shd w:val="clear" w:color="auto" w:fill="auto"/>
        <w:tabs>
          <w:tab w:val="left" w:pos="3303"/>
          <w:tab w:val="left" w:pos="4105"/>
        </w:tabs>
        <w:spacing w:line="240" w:lineRule="auto"/>
        <w:ind w:firstLine="0"/>
        <w:jc w:val="both"/>
        <w:rPr>
          <w:rFonts w:ascii="Times New Roman" w:hAnsi="Times New Roman" w:cs="Times New Roman"/>
          <w:color w:val="000000" w:themeColor="text1"/>
          <w:sz w:val="16"/>
          <w:szCs w:val="16"/>
        </w:rPr>
      </w:pPr>
      <w:r w:rsidRPr="001E2C69">
        <w:rPr>
          <w:rStyle w:val="0pt"/>
          <w:rFonts w:ascii="Times New Roman" w:hAnsi="Times New Roman" w:cs="Times New Roman"/>
          <w:color w:val="000000" w:themeColor="text1"/>
          <w:spacing w:val="0"/>
          <w:sz w:val="16"/>
          <w:szCs w:val="16"/>
        </w:rPr>
        <w:t>250</w:t>
      </w:r>
      <w:r w:rsidRPr="001E2C69">
        <w:rPr>
          <w:rFonts w:ascii="Times New Roman" w:hAnsi="Times New Roman" w:cs="Times New Roman"/>
          <w:color w:val="000000" w:themeColor="text1"/>
          <w:sz w:val="16"/>
          <w:szCs w:val="16"/>
        </w:rPr>
        <w:t xml:space="preserve"> кгр. авиабомб - 15 штук </w:t>
      </w:r>
    </w:p>
    <w:p w14:paraId="71B05B7A" w14:textId="77777777" w:rsidR="00227D12" w:rsidRPr="001E2C69" w:rsidRDefault="00227D12" w:rsidP="00722885">
      <w:pPr>
        <w:pStyle w:val="47"/>
        <w:shd w:val="clear" w:color="auto" w:fill="auto"/>
        <w:tabs>
          <w:tab w:val="left" w:pos="3303"/>
          <w:tab w:val="left" w:pos="4105"/>
        </w:tabs>
        <w:spacing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100 - 15 "</w:t>
      </w:r>
    </w:p>
    <w:p w14:paraId="15B238F4" w14:textId="77777777" w:rsidR="00227D12" w:rsidRPr="001E2C69" w:rsidRDefault="00227D12" w:rsidP="00722885">
      <w:pPr>
        <w:pStyle w:val="47"/>
        <w:shd w:val="clear" w:color="auto" w:fill="auto"/>
        <w:tabs>
          <w:tab w:val="left" w:pos="958"/>
        </w:tabs>
        <w:spacing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б) снарядить мощным взрывчатым веществом с большой скоростью детонации:</w:t>
      </w:r>
    </w:p>
    <w:p w14:paraId="713FB630" w14:textId="77777777" w:rsidR="00227D12" w:rsidRPr="001E2C69" w:rsidRDefault="00227D12" w:rsidP="00722885">
      <w:pPr>
        <w:pStyle w:val="47"/>
        <w:shd w:val="clear" w:color="auto" w:fill="auto"/>
        <w:tabs>
          <w:tab w:val="left" w:pos="3295"/>
        </w:tabs>
        <w:spacing w:line="240" w:lineRule="auto"/>
        <w:ind w:firstLine="0"/>
        <w:jc w:val="both"/>
        <w:rPr>
          <w:rFonts w:ascii="Times New Roman" w:hAnsi="Times New Roman" w:cs="Times New Roman"/>
          <w:color w:val="000000" w:themeColor="text1"/>
          <w:sz w:val="16"/>
          <w:szCs w:val="16"/>
        </w:rPr>
      </w:pPr>
      <w:r w:rsidRPr="001E2C69">
        <w:rPr>
          <w:rStyle w:val="0pt"/>
          <w:rFonts w:ascii="Times New Roman" w:hAnsi="Times New Roman" w:cs="Times New Roman"/>
          <w:color w:val="000000" w:themeColor="text1"/>
          <w:spacing w:val="0"/>
          <w:sz w:val="16"/>
          <w:szCs w:val="16"/>
        </w:rPr>
        <w:t>100</w:t>
      </w:r>
      <w:r w:rsidRPr="001E2C69">
        <w:rPr>
          <w:rFonts w:ascii="Times New Roman" w:hAnsi="Times New Roman" w:cs="Times New Roman"/>
          <w:color w:val="000000" w:themeColor="text1"/>
          <w:sz w:val="16"/>
          <w:szCs w:val="16"/>
        </w:rPr>
        <w:t xml:space="preserve"> кгр. авиабомб - 5 штук</w:t>
      </w:r>
    </w:p>
    <w:p w14:paraId="343D4F91" w14:textId="77777777" w:rsidR="00227D12" w:rsidRPr="001E2C69" w:rsidRDefault="00227D12" w:rsidP="00722885">
      <w:pPr>
        <w:pStyle w:val="47"/>
        <w:shd w:val="clear" w:color="auto" w:fill="auto"/>
        <w:tabs>
          <w:tab w:val="left" w:pos="3295"/>
        </w:tabs>
        <w:spacing w:line="240" w:lineRule="auto"/>
        <w:ind w:firstLine="0"/>
        <w:jc w:val="both"/>
        <w:rPr>
          <w:rFonts w:ascii="Times New Roman" w:hAnsi="Times New Roman" w:cs="Times New Roman"/>
          <w:color w:val="000000" w:themeColor="text1"/>
          <w:sz w:val="16"/>
          <w:szCs w:val="16"/>
        </w:rPr>
      </w:pPr>
      <w:r w:rsidRPr="001E2C69">
        <w:rPr>
          <w:rStyle w:val="0pt"/>
          <w:rFonts w:ascii="Times New Roman" w:hAnsi="Times New Roman" w:cs="Times New Roman"/>
          <w:color w:val="000000" w:themeColor="text1"/>
          <w:spacing w:val="0"/>
          <w:sz w:val="16"/>
          <w:szCs w:val="16"/>
        </w:rPr>
        <w:t>250 - 5 "</w:t>
      </w:r>
    </w:p>
    <w:p w14:paraId="2F223888" w14:textId="77777777" w:rsidR="00227D12" w:rsidRPr="001E2C69" w:rsidRDefault="00227D12" w:rsidP="00722885">
      <w:pPr>
        <w:pStyle w:val="47"/>
        <w:shd w:val="clear" w:color="auto" w:fill="auto"/>
        <w:tabs>
          <w:tab w:val="left" w:pos="953"/>
        </w:tabs>
        <w:spacing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 xml:space="preserve">в) снарядить оксиликвитами </w:t>
      </w:r>
      <w:r w:rsidRPr="001E2C69">
        <w:rPr>
          <w:rStyle w:val="0pt"/>
          <w:rFonts w:ascii="Times New Roman" w:hAnsi="Times New Roman" w:cs="Times New Roman"/>
          <w:color w:val="000000" w:themeColor="text1"/>
          <w:spacing w:val="0"/>
          <w:sz w:val="16"/>
          <w:szCs w:val="16"/>
        </w:rPr>
        <w:t>100</w:t>
      </w:r>
      <w:r w:rsidRPr="001E2C69">
        <w:rPr>
          <w:rFonts w:ascii="Times New Roman" w:hAnsi="Times New Roman" w:cs="Times New Roman"/>
          <w:color w:val="000000" w:themeColor="text1"/>
          <w:sz w:val="16"/>
          <w:szCs w:val="16"/>
        </w:rPr>
        <w:t xml:space="preserve"> кгр. авиабомб 10 штук.</w:t>
      </w:r>
    </w:p>
    <w:p w14:paraId="4EDF7E7D" w14:textId="77777777" w:rsidR="00227D12" w:rsidRPr="001E2C69" w:rsidRDefault="00227D1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Обяэать ВВС (т.Новикова) провести испытания опытных партий фугасных авиабомб с литыми бумажными корпусами к 20 (10344).</w:t>
      </w:r>
    </w:p>
    <w:p w14:paraId="6F046D61" w14:textId="77777777" w:rsidR="00227D12" w:rsidRPr="001E2C69" w:rsidRDefault="00227D12"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E518A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вышло Постановление ГКО № 1945 Об изготовлении фугасных авиабомб конструкции т.т. Шпитального и Солдатова. РГАНИР, Фонд ГКО, д. 40, лл. 92 (11012).</w:t>
      </w:r>
    </w:p>
    <w:p w14:paraId="4AEE8BA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70D4EC" w14:textId="77777777" w:rsidR="00696E07" w:rsidRPr="001E2C69" w:rsidRDefault="00696E0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вышло Постановление ГКО № 1945 Об изготовлении фугасных авиабомб конструкции т.т. Шпитального и Солдатова</w:t>
      </w:r>
    </w:p>
    <w:p w14:paraId="4FA5253E" w14:textId="77777777" w:rsidR="00696E07" w:rsidRPr="001E2C69" w:rsidRDefault="00696E0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Обязать НКБ (т.Ванникова) снарядить 4 авиабомбы 1000 кг. конструкции т.т. Шпитального и Солдатова (1П.С.) и к 5 июля сдать НКО.</w:t>
      </w:r>
    </w:p>
    <w:p w14:paraId="0D92AE9E" w14:textId="77777777" w:rsidR="00696E07" w:rsidRPr="001E2C69" w:rsidRDefault="00696E07" w:rsidP="00722885">
      <w:pPr>
        <w:spacing w:after="0" w:line="240" w:lineRule="auto"/>
        <w:jc w:val="both"/>
        <w:rPr>
          <w:rFonts w:ascii="Times New Roman" w:hAnsi="Times New Roman"/>
          <w:color w:val="000000" w:themeColor="text1"/>
          <w:sz w:val="16"/>
          <w:szCs w:val="16"/>
        </w:rPr>
      </w:pPr>
      <w:r w:rsidRPr="001E2C69">
        <w:rPr>
          <w:rStyle w:val="9pt1pt"/>
          <w:rFonts w:ascii="Times New Roman" w:hAnsi="Times New Roman" w:cs="Times New Roman"/>
          <w:i w:val="0"/>
          <w:color w:val="000000" w:themeColor="text1"/>
          <w:spacing w:val="0"/>
          <w:sz w:val="16"/>
          <w:szCs w:val="16"/>
          <w:lang w:val="ru-RU"/>
        </w:rPr>
        <w:t>2</w:t>
      </w:r>
      <w:r w:rsidRPr="001E2C69">
        <w:rPr>
          <w:rStyle w:val="9pt1pt"/>
          <w:rFonts w:ascii="Times New Roman" w:hAnsi="Times New Roman" w:cs="Times New Roman"/>
          <w:color w:val="000000" w:themeColor="text1"/>
          <w:spacing w:val="0"/>
          <w:sz w:val="16"/>
          <w:szCs w:val="16"/>
          <w:lang w:val="ru-RU"/>
        </w:rPr>
        <w:t>.</w:t>
      </w:r>
      <w:r w:rsidRPr="001E2C69">
        <w:rPr>
          <w:rFonts w:ascii="Times New Roman" w:hAnsi="Times New Roman"/>
          <w:color w:val="000000" w:themeColor="text1"/>
          <w:sz w:val="16"/>
          <w:szCs w:val="16"/>
        </w:rPr>
        <w:t xml:space="preserve"> Разрешить ВВС КА т.Новикову использовать 1000 кг. авиабомбы (Ш.С.) в боевой обстановке.</w:t>
      </w:r>
    </w:p>
    <w:p w14:paraId="4F4196E0" w14:textId="77777777" w:rsidR="00696E07" w:rsidRPr="001E2C69" w:rsidRDefault="00696E07" w:rsidP="00722885">
      <w:pPr>
        <w:tabs>
          <w:tab w:val="left" w:pos="171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3. Обязать </w:t>
      </w:r>
      <w:r w:rsidRPr="001E2C69">
        <w:rPr>
          <w:rStyle w:val="-1pt"/>
          <w:rFonts w:ascii="Times New Roman" w:hAnsi="Times New Roman" w:cs="Times New Roman"/>
          <w:color w:val="000000" w:themeColor="text1"/>
          <w:spacing w:val="0"/>
          <w:sz w:val="16"/>
          <w:szCs w:val="16"/>
        </w:rPr>
        <w:t>НКБ</w:t>
      </w:r>
      <w:r w:rsidRPr="001E2C69">
        <w:rPr>
          <w:rFonts w:ascii="Times New Roman" w:hAnsi="Times New Roman"/>
          <w:color w:val="000000" w:themeColor="text1"/>
          <w:sz w:val="16"/>
          <w:szCs w:val="16"/>
        </w:rPr>
        <w:t xml:space="preserve"> т.Ванникова изготовить в </w:t>
      </w:r>
      <w:r w:rsidRPr="001E2C69">
        <w:rPr>
          <w:rStyle w:val="-1pt"/>
          <w:rFonts w:ascii="Times New Roman" w:hAnsi="Times New Roman" w:cs="Times New Roman"/>
          <w:color w:val="000000" w:themeColor="text1"/>
          <w:spacing w:val="0"/>
          <w:sz w:val="16"/>
          <w:szCs w:val="16"/>
        </w:rPr>
        <w:t>3-м</w:t>
      </w:r>
      <w:r w:rsidRPr="001E2C69">
        <w:rPr>
          <w:rFonts w:ascii="Times New Roman" w:hAnsi="Times New Roman"/>
          <w:color w:val="000000" w:themeColor="text1"/>
          <w:sz w:val="16"/>
          <w:szCs w:val="16"/>
        </w:rPr>
        <w:t xml:space="preserve"> квартале 30 штук 1000 кг. авиабомбе Ш.С., из них:</w:t>
      </w:r>
    </w:p>
    <w:p w14:paraId="2245E10D" w14:textId="77777777" w:rsidR="00696E07" w:rsidRPr="001E2C69" w:rsidRDefault="00696E07" w:rsidP="00722885">
      <w:pPr>
        <w:tabs>
          <w:tab w:val="left" w:pos="3873"/>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- 8 шт.</w:t>
      </w:r>
    </w:p>
    <w:p w14:paraId="6DD762BF" w14:textId="77777777" w:rsidR="00696E07" w:rsidRPr="001E2C69" w:rsidRDefault="00696E0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- 10</w:t>
      </w:r>
    </w:p>
    <w:p w14:paraId="7AF42DF9" w14:textId="77777777" w:rsidR="00696E07" w:rsidRPr="001E2C69" w:rsidRDefault="00696E0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сентябре - 12</w:t>
      </w:r>
    </w:p>
    <w:p w14:paraId="04949B94" w14:textId="77777777" w:rsidR="00696E07" w:rsidRPr="001E2C69" w:rsidRDefault="00696E07" w:rsidP="00722885">
      <w:pPr>
        <w:tabs>
          <w:tab w:val="left" w:pos="1575"/>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Обязать конструкторов т.т. Шпитального и Солдатова отработать чертежи для бомб калибра 500 кг. и 250 кг. к 10 июля 1942 года (19345).</w:t>
      </w:r>
    </w:p>
    <w:p w14:paraId="54212274" w14:textId="77777777" w:rsidR="00227D12" w:rsidRPr="001E2C69" w:rsidRDefault="00227D12"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33A3FE"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Другие оборонные отрасли:</w:t>
      </w:r>
    </w:p>
    <w:p w14:paraId="562717A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C3F781" w14:textId="77777777" w:rsidR="00B33D31" w:rsidRPr="001E2C69"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С 1 июля 1942 г. из состава завода №74 был выделен завод №622, куда вошло и производство ПТ ружей, а с 1943 г. на нем выпускали только ПТРС. С октября этого года ПТРД стали выпускать на заводе №385 в Златоусте, прекратив с ноября его производство в Коврове. В Саратове выпускали ПТРС по июнь 1944 г., в Ижевске – по декабрь. В Златоусте прекратили делать ПТРД в марте, но затем выпустили мелкую партию в декабре. В 1945 г., согласно документам, ПТ ружья уже не выпускались.</w:t>
      </w:r>
    </w:p>
    <w:p w14:paraId="5CFAD76B" w14:textId="77777777" w:rsidR="00B33D31" w:rsidRPr="001E2C69"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ходе войны были созданы и испытывались многие опытные ПТР: два варианта 12,7-мм однозарядного ПТР Рукавишникова, однозарядное 14,5-мм ПТР Никитина-Романова под мощный патрон, 14,5-мм ПТР Блюма, Горова и другие. 20-мм ружье РЕС (Рашкова-Ермолаева-Слухоцкого) даже выпускалось малыми партиями для войсковых испытаний (17498).</w:t>
      </w:r>
    </w:p>
    <w:p w14:paraId="1E270F9F" w14:textId="77777777" w:rsidR="00B33D31" w:rsidRPr="001E2C69" w:rsidRDefault="00B33D31" w:rsidP="00722885">
      <w:pPr>
        <w:spacing w:after="0" w:line="240" w:lineRule="auto"/>
        <w:jc w:val="both"/>
        <w:rPr>
          <w:rFonts w:ascii="Times New Roman" w:eastAsia="Times New Roman" w:hAnsi="Times New Roman"/>
          <w:color w:val="000000" w:themeColor="text1"/>
          <w:sz w:val="16"/>
          <w:szCs w:val="16"/>
          <w:lang w:eastAsia="ru-RU"/>
        </w:rPr>
      </w:pPr>
    </w:p>
    <w:p w14:paraId="5B8F01E1" w14:textId="32D246E7" w:rsidR="009C7E3C" w:rsidRPr="001E2C69" w:rsidRDefault="009C7E3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 июля 1942</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г. из состава завода №74 был выделен завод №622, куда вошло и производство ПТ ружей, а с 1943</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г. на нем выпускали только ПТРС. С октября этого года ПТРД стали выпускать на заводе №385 в Златоусте, прекратив с ноября его производство в Коврове. В Саратове выпускали ПТРС по июнь 1944</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г., в Ижевске</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по декабрь. В Златоусте прекратили делать ПТРД в марте, но затем выпустили мелкую партию в декабре. В 1945</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г., согласно документам, ПТ ружья уже не выпускались.</w:t>
      </w:r>
    </w:p>
    <w:p w14:paraId="1847FAA5" w14:textId="77777777" w:rsidR="009C7E3C" w:rsidRPr="001E2C69" w:rsidRDefault="009C7E3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ходе войны были созданы и испытывались многие опытные ПТР: два варианта 12,7-мм однозарядного ПТР Рукавишникова, однозарядное 14,5-мм ПТР Никитина–Романова под мощный патрон (рис. 27), 14,5-мм ПТР Блюма, Горова и другие. 20-мм ружье РЕС (Рашкова–Ермолаева–Слухоцкого) даже выпускалось малыми партиями для войсковых испытаний (16838).</w:t>
      </w:r>
    </w:p>
    <w:p w14:paraId="1C67409E" w14:textId="77777777" w:rsidR="009C7E3C" w:rsidRPr="001E2C69" w:rsidRDefault="009C7E3C" w:rsidP="00722885">
      <w:pPr>
        <w:spacing w:after="0" w:line="240" w:lineRule="auto"/>
        <w:jc w:val="both"/>
        <w:rPr>
          <w:rFonts w:ascii="Times New Roman" w:hAnsi="Times New Roman"/>
          <w:color w:val="000000" w:themeColor="text1"/>
          <w:sz w:val="16"/>
          <w:szCs w:val="16"/>
        </w:rPr>
      </w:pPr>
    </w:p>
    <w:p w14:paraId="4026BB7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г. Приказом НКМВ № 232с заводу  (Завод № 735 НКМВ, Завод «Красный Аксай» НКМВ /г. Ташкент/) поручено организовать выпуск электродов для производства химбоеприпасов.</w:t>
      </w:r>
    </w:p>
    <w:p w14:paraId="28F2F52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Затем, вероятно, завод реэвакуирован обратно в Ростов-на-Дону.</w:t>
      </w:r>
    </w:p>
    <w:p w14:paraId="0BB313F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(03.1946 г.)- 2755 чел.</w:t>
      </w:r>
    </w:p>
    <w:p w14:paraId="701097F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 г.)- Гланцов.</w:t>
      </w:r>
    </w:p>
    <w:p w14:paraId="47A26D9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корпуса химичесих авиабомб ХАБ-100, 50-мм мины (1942), морские мины МИРАБ (1942); Р- 1.РДП-3 (1942).</w:t>
      </w:r>
    </w:p>
    <w:p w14:paraId="3D522C5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Механический медно-чугунолитейный завод, Завод «Красный Аксай» НКМВ, ЗАО «Красный Аксай» /344025  г. Ростов-на-Дону ул. 35-я Линия, 83/</w:t>
      </w:r>
    </w:p>
    <w:p w14:paraId="147AF4B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Механический медно-чугунолитейный завод основан в 1891 г.</w:t>
      </w:r>
    </w:p>
    <w:p w14:paraId="4C0A1F4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«Красный Аксай», вероятно, был реэвакурован в Ростов-на-Дону, в 07.1942 г. действовал в Ростове-на- Дону в ведении Главсельмаша НКМВ (в 02.1942 г. завод планировалось передать в 1ГУ НКМВ под № 713).</w:t>
      </w:r>
    </w:p>
    <w:p w14:paraId="3B5E3BE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тракторных культиваторов (1967 г.).</w:t>
      </w:r>
    </w:p>
    <w:p w14:paraId="292E1D9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(03.1946 г.)- 2300 чел. (11982)</w:t>
      </w:r>
    </w:p>
    <w:p w14:paraId="6930D9B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1CB7A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К 1 июля 1942г. 2-й Московский часовой завод (оборудование и 500 чел.), который действовал сначала как «2-й часовой завод в Чистополе», а затем стал 5-м часовым заводом, полностью вступил в строй. В 06.1942г. 2-й часовой завод в Чистополе - в ведении Главприбора НКМВ. от </w:t>
      </w:r>
    </w:p>
    <w:p w14:paraId="72BED67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1942г. в соответствии с пост. СНК № 837-430сс от 3.06.1942г. приказом НКМВ № 250с 5-й часовой завод НКМВ переименован в завод № 835 в ведении 5ГУ (Завод №835 НКМВ, 5 -й часовой завод НКМВ, Чистопольский часовой завод (ЧЧЗ) ММиП, МРП, ПО «Восток», АП, АООТ, ОАО «ЧЧЗ «Восток» /г. Чистополь ул. К. Маркса, 15 «Часзавод» (1948г.)/ /Татарстан 422981 г. Чистополь ул. Энгельса, 127/ /Московское представительство: г. Москва ул. Клары Цеткин, 2/3/).</w:t>
      </w:r>
    </w:p>
    <w:p w14:paraId="1E3667A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 № 102 от 29.02.1944г. производство часов-ходиков и оборудование с завода было передано на ГЧЗ-5 (Сердобский часовой завод).</w:t>
      </w:r>
    </w:p>
    <w:p w14:paraId="2834269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1947-48г. Чистопольский часовой завод - в ведении Главчаспрома ММиП.</w:t>
      </w:r>
    </w:p>
    <w:p w14:paraId="73B991B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(1947г.) цехи: основные: автоматный, прессовый, механический (К-43), механо</w:t>
      </w:r>
      <w:r w:rsidRPr="001E2C69">
        <w:rPr>
          <w:rFonts w:ascii="Times New Roman" w:hAnsi="Times New Roman"/>
          <w:color w:val="000000" w:themeColor="text1"/>
          <w:sz w:val="16"/>
          <w:szCs w:val="16"/>
        </w:rPr>
        <w:softHyphen/>
        <w:t>сборочный спецприборов, гальванический, сборочный электрочасов, механо-сборочный электрочасов, инструментальный, сборочный (К-43), ремонтно-механический, платино-мостовой, деревообделочный, корпусной; вспомогательные: ремонтно-строительный, энергетический, котельные.</w:t>
      </w:r>
    </w:p>
    <w:p w14:paraId="3119483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Сразу после войны освоен выпуск механических наручных часов, которые стали основной продукцией завода. В начале 1950-х г. разработаны часы «Победа» в пылевлагонепроницаемом корпусе (В.П. Дудин). В 1965г. разработаны часы «Командирские», завод стал официальным поставщиком часов для МО.</w:t>
      </w:r>
    </w:p>
    <w:p w14:paraId="31F5561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Затем завод частично перепрофилирован для производства высокоточных компонентов антенных станций. 15.01.1970г. ЧЧЗ вошел в состав ЦНПО «Вымпел».</w:t>
      </w:r>
      <w:r w:rsidRPr="001E2C69">
        <w:rPr>
          <w:rFonts w:ascii="Times New Roman" w:hAnsi="Times New Roman"/>
          <w:color w:val="000000" w:themeColor="text1"/>
          <w:sz w:val="16"/>
          <w:szCs w:val="16"/>
          <w:vertAlign w:val="superscript"/>
        </w:rPr>
        <w:t>1</w:t>
      </w:r>
      <w:r w:rsidRPr="001E2C69">
        <w:rPr>
          <w:rFonts w:ascii="Times New Roman" w:hAnsi="Times New Roman"/>
          <w:color w:val="000000" w:themeColor="text1"/>
          <w:sz w:val="16"/>
          <w:szCs w:val="16"/>
        </w:rPr>
        <w:t>® С 1986г. ЧЧЗ - в ведении МРП.</w:t>
      </w:r>
    </w:p>
    <w:p w14:paraId="2BF50CA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начале 2000-х г. завод выпускал около 1 млн часов в год. В 2007г. планировалось организовать совместное производство кварцевых часов с швейцарской фирмой </w:t>
      </w:r>
      <w:r w:rsidRPr="001E2C69">
        <w:rPr>
          <w:rFonts w:ascii="Times New Roman" w:hAnsi="Times New Roman"/>
          <w:color w:val="000000" w:themeColor="text1"/>
          <w:sz w:val="16"/>
          <w:szCs w:val="16"/>
          <w:lang w:val="en-US"/>
        </w:rPr>
        <w:t>TechnoTime</w:t>
      </w:r>
      <w:r w:rsidRPr="001E2C69">
        <w:rPr>
          <w:rFonts w:ascii="Times New Roman" w:hAnsi="Times New Roman"/>
          <w:color w:val="000000" w:themeColor="text1"/>
          <w:sz w:val="16"/>
          <w:szCs w:val="16"/>
        </w:rPr>
        <w:t xml:space="preserve"> мощностью 1,5 млн часов в год, но это не было реализовано. Являлся (2010г.) одним из двух часовых заводов полного цикла в России (наряду с заводом «Мак-Тайм»).</w:t>
      </w:r>
    </w:p>
    <w:p w14:paraId="72F2F0A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04.2010г. начата процедура банкротства предприятия.</w:t>
      </w:r>
    </w:p>
    <w:p w14:paraId="6D081BC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(1946г.)- 923 ед., (1947г.)- 1118 ед.</w:t>
      </w:r>
    </w:p>
    <w:p w14:paraId="6B1E6FB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(1947г.)- 5,34 га; застройки (1947г.)- 16702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(1946г.)-</w:t>
      </w:r>
    </w:p>
    <w:p w14:paraId="09B1ACC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11558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(1947г.)- 12717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003D552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(1946г.)- 2124 чел., (1947г.)- 2112 чел.</w:t>
      </w:r>
    </w:p>
    <w:p w14:paraId="4BF7DE3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(-06.1942-48Г.-)- Лукьянов, (1986г.-)- В.В. Цивилин. Гендиректор (04.2010г.)- Е. Пухов. Временный управляющий (04.2010г.-)- А. Волков.</w:t>
      </w:r>
    </w:p>
    <w:p w14:paraId="7F145D7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(1948г.)- Григорьев.</w:t>
      </w:r>
    </w:p>
    <w:p w14:paraId="4B5267A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механик (1950-е)- В.П. Дудин.</w:t>
      </w:r>
    </w:p>
    <w:p w14:paraId="335F988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Руководитель Московского представительства (2000г.)- Е.П. Сидоров.</w:t>
      </w:r>
    </w:p>
    <w:p w14:paraId="756B86F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 часы:</w:t>
      </w:r>
      <w:r w:rsidRPr="001E2C69">
        <w:rPr>
          <w:rFonts w:ascii="Times New Roman" w:hAnsi="Times New Roman"/>
          <w:color w:val="000000" w:themeColor="text1"/>
          <w:sz w:val="16"/>
          <w:szCs w:val="16"/>
        </w:rPr>
        <w:t xml:space="preserve"> карманные КЧ (1947); наручные РЧД (1947), «Победа» (1950-е), «Командирские» (1965- ), «Генеральские», «Восток», «Амфибия», «Штурманские» (1990-е); морские МЧМ, МЧД (1947); автомобильные электрочасы 5ЧТ (1947); танковые ТЧ (1947); пульсомер К-43 к прибору ПАУ-22; часовые механизмы для специзделий 13А, РР-45, РР-19, 509 (ЯМД); механизм срочности МС (1947).</w:t>
      </w:r>
      <w:r w:rsidRPr="001E2C69">
        <w:rPr>
          <w:rFonts w:ascii="Times New Roman" w:hAnsi="Times New Roman"/>
          <w:color w:val="000000" w:themeColor="text1"/>
          <w:sz w:val="16"/>
          <w:szCs w:val="16"/>
          <w:vertAlign w:val="superscript"/>
        </w:rPr>
        <w:t>129</w:t>
      </w:r>
    </w:p>
    <w:p w14:paraId="3925078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Чистопольское конструкторско-технологическое бюро (КТБ)</w:t>
      </w:r>
    </w:p>
    <w:p w14:paraId="5C9F55A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15.01.1970г. вошло в состав ЦНПО «Вымпел» (11982).</w:t>
      </w:r>
      <w:r w:rsidRPr="001E2C69">
        <w:rPr>
          <w:rFonts w:ascii="Times New Roman" w:hAnsi="Times New Roman"/>
          <w:color w:val="000000" w:themeColor="text1"/>
          <w:sz w:val="16"/>
          <w:szCs w:val="16"/>
          <w:vertAlign w:val="superscript"/>
        </w:rPr>
        <w:t>104</w:t>
      </w:r>
    </w:p>
    <w:p w14:paraId="67A5F90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5133E9" w14:textId="77777777" w:rsidR="00C26A2B" w:rsidRPr="008A2E5A" w:rsidRDefault="00C26A2B" w:rsidP="00C26A2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июля 1942 года был подготовлен проект постановления ГКО "Об изготовлении опытных образцов танков Т-44 и модернизации танка Т-34". Но в работу он не пошел. В начале июля Малышева понизили в должности, а Зальцману, который стал вторым по счету наркому, дали четкое задание - нарастить темпы выпуска Т-34. В сложившейся ситуации это был единственно верный вариант развития событий (23824).</w:t>
      </w:r>
    </w:p>
    <w:p w14:paraId="644142F1" w14:textId="77777777" w:rsidR="00C26A2B" w:rsidRPr="008A2E5A" w:rsidRDefault="00C26A2B" w:rsidP="00C26A2B">
      <w:pPr>
        <w:spacing w:after="0" w:line="240" w:lineRule="auto"/>
        <w:jc w:val="both"/>
        <w:rPr>
          <w:rFonts w:ascii="Times New Roman" w:hAnsi="Times New Roman"/>
          <w:color w:val="0070C0"/>
          <w:sz w:val="16"/>
          <w:szCs w:val="16"/>
        </w:rPr>
      </w:pPr>
    </w:p>
    <w:p w14:paraId="654F6A1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г. вышло ПРЕДЛОЖЕНИЕ АТУ ГАБТУ В ГУНАРТ О ВЫДЕЛЕНИИ ПРЕДСТАВИТЕЛЯ НА ИСПЫТАНИЯ АРТТЯГАЧЕЙ</w:t>
      </w:r>
    </w:p>
    <w:p w14:paraId="32A4F6E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приказанию начальника АТУ ГАБТУ КА генерал-майора технических войск т. Тягунова НИ полигон ГАБТУ приступает к проведению срочных испытаний импортных автомобилей: Додж, Шев</w:t>
      </w:r>
      <w:r w:rsidRPr="001E2C69">
        <w:rPr>
          <w:rFonts w:ascii="Times New Roman" w:hAnsi="Times New Roman"/>
          <w:color w:val="000000" w:themeColor="text1"/>
          <w:sz w:val="16"/>
          <w:szCs w:val="16"/>
        </w:rPr>
        <w:softHyphen/>
        <w:t>роле и Форд (английский). Все эти машины имеют по два ведущих моста и при использовании в ка</w:t>
      </w:r>
      <w:r w:rsidRPr="001E2C69">
        <w:rPr>
          <w:rFonts w:ascii="Times New Roman" w:hAnsi="Times New Roman"/>
          <w:color w:val="000000" w:themeColor="text1"/>
          <w:sz w:val="16"/>
          <w:szCs w:val="16"/>
        </w:rPr>
        <w:softHyphen/>
        <w:t>честве транспортных — рассчитаны на номинальную грузоподъемность в 1,5 тонны. Испытания преследуют цель выяснить тяговые характеристики, динамические свойства машин, прочность бук-сирньщ приспособлений и прочее — при буксировке этими машинами соответствующих артсистем. В связи с изложенным прошу Вашего распоряжения о выделении ответственного представителя ГУ-НАРТа для разработки — программ, обеспечения материальной частью артсистем и участия в испы</w:t>
      </w:r>
      <w:r w:rsidRPr="001E2C69">
        <w:rPr>
          <w:rFonts w:ascii="Times New Roman" w:hAnsi="Times New Roman"/>
          <w:color w:val="000000" w:themeColor="text1"/>
          <w:sz w:val="16"/>
          <w:szCs w:val="16"/>
        </w:rPr>
        <w:softHyphen/>
        <w:t>таниях совместно с АТУ и НИ полигоном ГАБТУ КА.</w:t>
      </w:r>
    </w:p>
    <w:p w14:paraId="7DA1B96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5 отдела АТУ ГАБТУ КА инженер-подполковник Лебедев</w:t>
      </w:r>
    </w:p>
    <w:p w14:paraId="4051FC4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ЦАМО. Ф.38. Оп. 11386. Д. 138. Л. 75. Копия (11211).</w:t>
      </w:r>
    </w:p>
    <w:p w14:paraId="24473C0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D6C06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 июля 1942 г. Малышев в своем дневнике: "Позвонил по телефону т. Сталин и крепко ругался за то, что не выполняется план по танкам Т-34. Я ответил т. Сталину, что много трудностей у заводов с людьми и оборудованием и что, хотя план не выполняется, но выпуск танков Т-34 из месяца в месяц растет, но тов. Сталин опять крепко выругал меня и повесил трубку. Через полчаса позвонил Молотов и сказал: «Мы решили освободить Вас от работы наркома танковой промышленности за невыполнения плана по танкам Т-34 и назначили наркомом И.М. Зальцмана». Мне, конечно, после 2-х лет работы по танкам очень и очень тяжело переносить такое решение, но решение ЦК есть закон и направлено к улучшению дела. А это самое главное. Я же буду работать там, куда пошлет партия, и буду стараться работать лучше, чем работал в танкопроме" (Источник. 1997. № 5. С. 119.). Впоследствии Сталин более объективно оценил деятельность Малышева на посту наркома. Во многом этому способствовало то, что Зальцман тоже не смог добиться запланированного роста объемов производства. В 1943 г. Сталин вернул опальному бывшему </w:t>
      </w:r>
      <w:r w:rsidRPr="001E2C69">
        <w:rPr>
          <w:rFonts w:ascii="Times New Roman" w:hAnsi="Times New Roman"/>
          <w:color w:val="000000" w:themeColor="text1"/>
          <w:sz w:val="16"/>
          <w:szCs w:val="16"/>
        </w:rPr>
        <w:lastRenderedPageBreak/>
        <w:t>наркому прежнюю должность. Позже Малышев получил звание генерал-полковника и был награжден многочисленными правительственными наградами, в том числе и за работу в 1941-1942 гг. После войны он был министром среднего машиностроения СССР и принял участие в работе над советским "атомным проектом". Несмотря на то, что общий промышленный потенциал СССР был в 1941-1942 гг. значительно ниже, чем у Германии, в распоряжении которой была промышленность всех завоеванных ею европейских стран, а СССР только начинал получать первые поставки из США и Великобритании по ленд-лизу, в 1942 г. выпуск вооружения и военной техники в СССР значительно превысил аналогичные показатели в Германии. В СССР в 1942 г. было произведено 24 504 танка и САУ, а в Германии - только 6 189, боевых самолетов - соответственно 21 681 и 11 408, артиллерийских орудий калибром от 75 мм и выше - 33 111 и 14 316. Между тем в Германии было выплавлено 28.7 млн т стали (31.1 млн т с учетом оккупированных стран), а в СССР - только 8.1 млн т. Электроэнергии было произведено в Германии 43.4 млрд кВч., а в СССР - 29.1 млрд кВч. Те мероприятия, которые были проведены в первый период войны, предопределили последующую успешную работу советской военной промышленности. В СССР было произведено танков и САУ: в 1943 г. 24 006 (в Германии 10.7 тыс.), в 1944 г. - 28 983 (в Германии 18.3 тыс.), в первом полугодии 1945 г. - 15 422 (в Германии только 4.4 тыс.) (РГАЭ, ф. 8752, оп. 4, д. 728, л. 158-164; История Второй мировой войны. Т. 12. М., 1978. С. 200.). Это тем более удивительно, что почти до самого конца войны общие объемы производства основных видов промышленной продукции в Германии были выше, чем в СССР. На примере работы советской танковой промышленности можно видеть, как этот успех достигался. Прежде всего он стал возможен благодаря максимальному сосредоточению всех ресурсов страны для достижения главной цели - разгрома врага. Успех обеспечила и возможность добиться рационального использования этих ресурсов в процессе производства. Немалое значение имела также работа наших конструкторов. Нельзя забывать и о том, что рабочие и служащие НКТП на всех уровнях самоотверженно выполняли свой долг в любых условиях, работая по 10 и более часов в сутки. Большое значение имело и то, что руководство страны рассматривало танковую промышленность как одну из приоритетных отраслей и оказывало ей всю возможную в тех условиях помощь. Несмотря на все трудности, НКТП в целом продемонстрировал способность оперативно, эффективно и грамотно решать стоявшие перед ним задачи (11786).</w:t>
      </w:r>
    </w:p>
    <w:p w14:paraId="589FB31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A64F6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года, как записал В. А. Малышев в своём дневнике, «Позвонил по телефону т. Сталин и крепко ругался за то, что не выполняется план по танкам Т-34. Я ответил т. Сталину, что много трудностей у заводов с людьми и оборудованием и что, хотя план не выполняется, но выпуск танков Т-34 из месяца в месяц растёт, но тов. Сталин опять крепко выругал меня и повесил трубку. Через полчаса позвонил Молотов и сказал: «Мы решили освободить Вас от работы Наркома танковой промышленности за невыполнение плана по танкам Т-34 и назначили наркомом И. М. Зальцмана». Мне, конечно, после 2-х лет работы по танкам очень и очень тяжело переносить такое решение, но решение ЦК есть закон и направлено к улучшению дела. А это самое главное. Я же буду работать там, куда пошлёт партия, и буду стараться работать лучше, чем работал в танкопроме» («Пройдёт десяток лет, и этих встреч не восстановишь уже в памяти»// Источник. 1997. № 5. С. 119.)</w:t>
      </w:r>
    </w:p>
    <w:p w14:paraId="643FDD6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Таким образом, новым наркомом танковой промышленности стал Исаак Моисеевич Зальцман, человек необычный и интересный. Он родился 26 ноября 1905 года в поселке Томашполь Ямпольского уезда Подольской губернии. Свой трудовой путь начал рабочим сахарного завода. В 1924 году Зальцман начинает делать карьеру как комсомольский работник. Побывав на разных должностях от управделами до районного детского организатора, он в 1926 году стал секретарем Брацлавского райкома комсомола. В 1928 году Зальцман вступает в ВКП(б). В 1929 он поступил в Одесский индустриальный институт. Закончив в 1933 году это учебное заведение, он переезжает в Ленинград и начинает работать на заводе «Красный Путиловец» (позже - Кировский завод). Начав работу мастером, он быстро становится начальником цеха. В 1937 году он уже главный инженер, а в 1938 году - директор Кировского завода. Молодой удачливый директор быстро нашел себе недоброжелателей. Одним из них был В. С. Емельянов, описавший, не называя имен, стиль работы И. М. Зальцмана в должности директора Кировского завода в своих воспоминаниях:</w:t>
      </w:r>
    </w:p>
    <w:p w14:paraId="011EB0B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«Это был очень ловкий человек, умевший выходить сухим из воды, даже при сложных обстоятельствах. Он был большим демагогом и умел искусно использовать свою демагогию. Приемы у него были просты, но он ими с успехом пользовался. Он называл большую программу, зная, что заводы, поставляющие ему узлы и детали машины, не смогут выполнить тех огромных цифр плана, которые он предлагал». .«Ну и циник, - подумал я. - Почему он держится? Неужели никто не видит, что это очковтиратель? Как он ловко вывернулся в прошлый раз. Он согласился принять большой заказ. А когда дело стало проваливаться, внес новое предложение об изготовлении новой конструкции с более высокими показателями. В объяснительной записке он давал развёрнутую критику всех недостатков старой конструкции и приводил многочисленные и убедительные доводы в защиту новой. Его предложение было принято. А кто же после этого будет смотреть на то, что установленный план не выполнен - ведь речь шла уже о старой технике». ... «За обедом директор был хлебосольным хозяином и старался угодить всем и каждому. Он славился своим гостеприимством. Как он покрывал расходы, было не известно. Он был на виду, и ревизовать его боялись» (Без тайн и секретов / Н. С. Попов, В. И. Петров и др. Под ред. Н. С. Попова. Спб., 1997. С. 145.).</w:t>
      </w:r>
    </w:p>
    <w:p w14:paraId="116DFCB4"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DF2532B" w14:textId="77777777" w:rsidR="008B6729" w:rsidRPr="001E2C69" w:rsidRDefault="008B672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года</w:t>
      </w:r>
    </w:p>
    <w:p w14:paraId="646D6EDD" w14:textId="77777777" w:rsidR="008B6729" w:rsidRPr="001E2C69" w:rsidRDefault="008B672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РГАЭ Фонд 8752 Опись 4 Дело 91 лист 182 – 183</w:t>
      </w:r>
    </w:p>
    <w:p w14:paraId="5542F0BF" w14:textId="77777777" w:rsidR="008B6729" w:rsidRPr="001E2C69" w:rsidRDefault="008B672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Секретно</w:t>
      </w:r>
    </w:p>
    <w:p w14:paraId="041AAEC6" w14:textId="77777777" w:rsidR="008B6729" w:rsidRPr="001E2C69" w:rsidRDefault="008B672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 НАРОДНОГО КОМИССАРА ТАНКОВОЙ ПРОМЫШЛЕННОСТИ СОЮЗА ССР № 495с</w:t>
      </w:r>
    </w:p>
    <w:p w14:paraId="0EAF9E2D" w14:textId="77777777" w:rsidR="008B6729" w:rsidRPr="001E2C69" w:rsidRDefault="008B672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Москва</w:t>
      </w:r>
    </w:p>
    <w:p w14:paraId="0253D953" w14:textId="77777777" w:rsidR="008B6729" w:rsidRPr="001E2C69" w:rsidRDefault="008B672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года</w:t>
      </w:r>
    </w:p>
    <w:p w14:paraId="65C508BC" w14:textId="77777777" w:rsidR="008B6729" w:rsidRPr="001E2C69" w:rsidRDefault="008B672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результате безответственного отношения со стороны руководства Главснаба (начальник т. Розин, зам. начальника т. Ефремов) к обеспечению подшипниками важнейшего танкового завода № 183, 26 июня на этом заводе не оказалось подшипников № 7526.</w:t>
      </w:r>
    </w:p>
    <w:p w14:paraId="52ED0E5B" w14:textId="77777777" w:rsidR="008B6729" w:rsidRPr="001E2C69" w:rsidRDefault="008B672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Вместо того, чтобы всеми возможными способами доставить в кратчайший срок эти подшипники на завод № 183 и тем самым предотвратить срыв программы, т. Розин и т. Ефремов, непосредственно отвечающий за подшипники, не приняли должных мер к доставке подшипников несмотря на то, что эти подшипники были в Москве на складе и находились в излишке на заводе № 112, откуда могли быть переброшены и своевременно доставлены заводу № 183.</w:t>
      </w:r>
    </w:p>
    <w:p w14:paraId="6B4CA5C7" w14:textId="77777777" w:rsidR="008B6729" w:rsidRPr="001E2C69" w:rsidRDefault="008B672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результате проявленной безответственности со стороны т. Розина и т. Ефремова, лучший завод Наркомата, имеющий переходящее Красное Знамя Государственного Комитета Обороны, весь месяц выполнявший график выпуска танков, последние 4 дня месяца сорвал выполнение плана. ПРИКАЗЫВАЮ:</w:t>
      </w:r>
    </w:p>
    <w:p w14:paraId="7680B2A2" w14:textId="77777777" w:rsidR="008B6729" w:rsidRPr="001E2C69" w:rsidRDefault="008B672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За проявленную беспечность в обеспечении заводов подшипниками и за прямую вину в срыве плана важнейшего танкового завода, начальнику Главснаба т. РОЗИНУ объявить выговор. Зам. начальника Главснаба т. ЕФРЕМОВА, как непосредственно отвечающего за снабжение заводов подшипниками, снять с работы заместителя начальника Главснаба и назначить на три месяца исполняющим обязанности зам. начальника Главснаба, объявив ему строгий выговор с предупреждением.</w:t>
      </w:r>
    </w:p>
    <w:p w14:paraId="4251EE0F" w14:textId="77777777" w:rsidR="008B6729" w:rsidRPr="001E2C69" w:rsidRDefault="008B672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Предупредить т. Розина и т. Ефремова, что при повторении подобных безобразных случаев со снабжением танковых заводов, они будут строго наказаны вплоть до придания суду.</w:t>
      </w:r>
    </w:p>
    <w:p w14:paraId="5C267D01" w14:textId="77777777" w:rsidR="008B6729" w:rsidRPr="001E2C69" w:rsidRDefault="008B672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Начальника Отдела шарикоподшипников тов. ЗЕЛЬМАНЗОНА с работы снять и на 3 месяца назначить руководителем группы в Отделе шарикоподшипников и объявить ему строгий выговор с предупреждением.</w:t>
      </w:r>
    </w:p>
    <w:p w14:paraId="4B967B1C" w14:textId="77777777" w:rsidR="008B6729" w:rsidRPr="001E2C69" w:rsidRDefault="008B672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Предупредить всех руководящих работников Главснаба, что безобразный факт срыва программы на заводе № 183 является результатом благодушия и беспечности, появившихся в июне месяце среди руководящих работников Главснаба. В связи с ростом программы сейчас требуется от всех работников Главснаба все большее и большее напряжение, большая оперативность и умение, а не благодушие и беспечность, которые приводят к таким позорным результатам работы, как указанный факт с заводом № 183.</w:t>
      </w:r>
    </w:p>
    <w:p w14:paraId="66FDC2A7" w14:textId="77777777" w:rsidR="008B6729" w:rsidRPr="001E2C69" w:rsidRDefault="008B672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НАРОДНЫЙ КОМИССАР ТАНКОВОЙ ПРОМЫШЛЕННОСТИ СОЮЗА ССР подпись (В. МАЛЫШЕВ) (21210).</w:t>
      </w:r>
    </w:p>
    <w:p w14:paraId="30216692" w14:textId="77777777" w:rsidR="008B6729" w:rsidRPr="001E2C69" w:rsidRDefault="008B6729" w:rsidP="00722885">
      <w:pPr>
        <w:spacing w:after="0" w:line="240" w:lineRule="auto"/>
        <w:jc w:val="both"/>
        <w:rPr>
          <w:rFonts w:ascii="Times New Roman" w:hAnsi="Times New Roman"/>
          <w:color w:val="000000" w:themeColor="text1"/>
          <w:sz w:val="16"/>
          <w:szCs w:val="16"/>
        </w:rPr>
      </w:pPr>
    </w:p>
    <w:p w14:paraId="43843CE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1 июля 1942 года был подготовлен Паспорт завода № 76</w:t>
      </w:r>
    </w:p>
    <w:p w14:paraId="4321B2D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 Кочетков</w:t>
      </w:r>
    </w:p>
    <w:p w14:paraId="7ED6AB6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Производственный профиль – моторное производство</w:t>
      </w:r>
    </w:p>
    <w:p w14:paraId="0C79C12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Основное изделие – мотор В-2, ремонт мотора В-2, мотор М-17</w:t>
      </w:r>
    </w:p>
    <w:p w14:paraId="35F45E1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Год начала строительства – 1937</w:t>
      </w:r>
    </w:p>
    <w:p w14:paraId="7ACB9A6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Год пуска предприятия – 1941</w:t>
      </w:r>
    </w:p>
    <w:p w14:paraId="6FEE9A9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Бывш. УТЗ (9670).</w:t>
      </w:r>
    </w:p>
    <w:p w14:paraId="2FAE3A0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F3D80F"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Армия:</w:t>
      </w:r>
    </w:p>
    <w:p w14:paraId="2AB48AE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42408C"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1 июля</w:t>
      </w:r>
      <w:r w:rsidRPr="001E2C69">
        <w:rPr>
          <w:rFonts w:ascii="Times New Roman" w:hAnsi="Times New Roman"/>
          <w:color w:val="000000" w:themeColor="text1"/>
          <w:sz w:val="16"/>
          <w:szCs w:val="16"/>
        </w:rPr>
        <w:t xml:space="preserve"> в 1942 году утреннее сообщение Совинформбюро:</w:t>
      </w:r>
    </w:p>
    <w:p w14:paraId="67B31944"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1 июля на Курском и Севастопольском направлениях наши войска вели бои с противником.</w:t>
      </w:r>
    </w:p>
    <w:p w14:paraId="5CDD40CF"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2F0C2FC0"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Курском направлении продолжаются упорные бои, в ходе которых наши войска наносят противнику огромные потери. Танкисты под командованием тов. Аникушкина стремительно обрушились на танковую колонну гитлеровцев и уничтожили 9 немецких танков. На другом участке танки противника пытались переправиться через реку, но были встречены огнём бойцов части, где командиром тов. Савченко. Потеряв 12 танков, гитлеровцы были вынуждены отступить.</w:t>
      </w:r>
    </w:p>
    <w:p w14:paraId="01909778"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Артиллеристы и миномётчики, обороняющие Севастополь, метко бьют по технике и живой силе немецко-румынских войск. Артиллеристы под командованием тов. Моргунова в течение пяти дней подбили 7 немецких танков, уничтожили миномётную батарею, 4 орудия и до двух полков пехоты противника. Миномётчики командира Рыбакова в течение нескольких дней уничтожили до 4 батальонов немецкой пехоты, 5 автомашин, 3 наблюдательных пункта и подбили 15 немецких танков. Артиллеристы под командованием лейтенанта Юрасова были окружены противником. В течение трёх часов они отбивали атаки немцев и уничтожили до 200 гитлеровцев. С наступлением темноты бойцы другого подразделения прорвались на помощь артиллеристам и вывели их из окружения вместе с материальной частью. Орудия тт. Мезецкого и Кочергина уничтожили до батальона вражеской пехоты, подбили 3 танка и взорвали 5 автомашин с боеприпасами противника.</w:t>
      </w:r>
    </w:p>
    <w:p w14:paraId="230F8B58"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полтора месяца снайперы Н-ской части (Калининский фронт) уничтожили 360 гитлеровцев. Снайпер тов. Макаров истребил 26 немцев, тов. Прядеин — 28, лейтенант Вишняков — 34, тов. Ломбин уничтожил 23 гитлеровца.</w:t>
      </w:r>
    </w:p>
    <w:p w14:paraId="26618404"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Белорусские партизаны успешно истребляют немецко-фашистских захватчиков. Отряд под командованием тов. Р. за двенадцать дней боевых действий уничтожил 450 оккупантов. Партизаны под командованием тов. Л. подожгли торф, сложенный в штабелях. Огнём уничтожено 50.000 тонн торфа и 3 автомашины. Отряд, где командиром тов. М., в течение шести дней уничтожил 50 немецких солдат и офицеров, организовал крушение двух поездов с войсками противника. Партизаны из отряда тов. Д. за десять дней уничтожили 214 гитлеровцев и в нескольких местах взорвали полотно железной дороги.</w:t>
      </w:r>
    </w:p>
    <w:p w14:paraId="061252A7"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Взятый в плен под Севастополем ефрейтор 10 роты 266 полка 72 немецкой пехотной дивизии Вильгельм Клейн рассказал: «Нам говорили, что командование предусмотрело все детали и Севастополь будет взят в два-три дня. Теперь мы поняли, что нас бросили на верную гибель. Полк понёс огромные потери. Это наступление уже обошлось очень дорого, а что будет впереди, еще неизвестно».</w:t>
      </w:r>
    </w:p>
    <w:p w14:paraId="07F98D8D"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537 полка 385 немецкой пехотной дивизии Иозеф К. сообщил: «Я работал на заводе Круппа в г. Эссене. Уже в 1941 году рабочие жили впроголодь, а теперь многие буквально голодают. Жена и зять писали мне, что каждый месяц сокращают нормы выдачи продуктов. Наша дивизия укомплектована рабочими военных предприятий. В феврале и марте мы проходили военную подготовку недалеко от Ганновера. Учили нас наспех. Уезжая на фронт, многие не умели обращаться с гранатой, пулемётом. 80 процентов офицеров дивизии призваны из запаса. Они тоже имеют очень слабую военную подготовку. Среди солдат очень сильны антивоенные настроения. Пять солдат и четыре ефрейтора из моей роты, фамилии которых, по известным соображениям, нецелесообразно оглашать, доказывали мне, что Германия проигрывает войну и медленно, но верно идёт к своему поражению».</w:t>
      </w:r>
    </w:p>
    <w:p w14:paraId="0BB810E3"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Получено сообщение о новых чудовищных злодеяниях немецко-фашистских мерзавцев. Гитлеровцы ограбили Макарьевский дом инвалидок (Ленинградскаяобласть), отняли у беззащитных женщин всё продовольствие и тем самым обрекли их на голодную смерть. За короткий срок 60 человек умерли от голода. Вскоре гестаповцы выгнали 244 оставшиеся в живых женщины в поле и расстреляли их из пулемётов.»</w:t>
      </w:r>
    </w:p>
    <w:p w14:paraId="2F6C8834" w14:textId="77777777" w:rsidR="00B01B21" w:rsidRPr="001E2C69" w:rsidRDefault="00B01B21" w:rsidP="00722885">
      <w:pPr>
        <w:spacing w:after="0" w:line="240" w:lineRule="auto"/>
        <w:jc w:val="both"/>
        <w:rPr>
          <w:rFonts w:ascii="Times New Roman" w:hAnsi="Times New Roman"/>
          <w:color w:val="000000" w:themeColor="text1"/>
          <w:sz w:val="16"/>
          <w:szCs w:val="16"/>
        </w:rPr>
      </w:pPr>
    </w:p>
    <w:p w14:paraId="71B209C4"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1 июля</w:t>
      </w:r>
      <w:r w:rsidRPr="001E2C69">
        <w:rPr>
          <w:rFonts w:ascii="Times New Roman" w:hAnsi="Times New Roman"/>
          <w:color w:val="000000" w:themeColor="text1"/>
          <w:sz w:val="16"/>
          <w:szCs w:val="16"/>
        </w:rPr>
        <w:t xml:space="preserve"> в 1942 году вечернее сообщение Совинформбюро:</w:t>
      </w:r>
    </w:p>
    <w:p w14:paraId="562DA8B6"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1 июля на Курском направлении наши войска отбивали атаки немецко-фашистских войск. На некоторых участках происходили крупные танковые сражения. В ходе боёв противник понёс большие потери в людях и технике.</w:t>
      </w:r>
    </w:p>
    <w:p w14:paraId="30AE4421"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Севастопольском участке фронта противнику ценой огромных потерь удалось продвинуться вперёд. Шли ожесточённые рукопашные бои.</w:t>
      </w:r>
    </w:p>
    <w:p w14:paraId="2878830D"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32485421"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30 июня частями нашей авиации на различных участках фронта уничтожено или повреждено 136 немецких танков, 235 автомашин с войсками и грузами, подавлен огонь 7 артиллерийских батарей и 30 зенитно-пулемётных точек, разбит железнодорожный состав, взорван склад с боеприпасами, рассеяно и частью уничтожено до четырёх батальонов пехоты противника.</w:t>
      </w:r>
    </w:p>
    <w:p w14:paraId="1BD037A1"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Курском направлении в течение дня шли напряжённые танковые бои. Противник, в связи с большими потерями, ввёл в бой новые резервы. Наши танкисты, артиллеристы, лётчики и пехотинцы успешно громят танковые и пехотные части гитлеровцев. Танкисты под командованием тов. Павелкина уничтожили несколько десятков немецких танков. Наши штурмовики, поддерживая наземные части, в течение дня уничтожили много танков, 130 автомашин, 15 зенитных орудий и два батальона пехоты противника.</w:t>
      </w:r>
    </w:p>
    <w:p w14:paraId="1DF2D376"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Противник, не считаясь с огромными потерями, продолжает ожесточённый штурм Севастополя. Славные защитники города ведут самоотверженную борьбу с превосходящими силами гитлеровцев. В течение дня немцы произвели до 20 атак на позиции, которые обороняет подразделение части, где командиром тов. Гусаров. На поле боя остались сотни трупов солдат и офицеров противника. Бойцы роты подразделения командира тов. Запорощенко разгромили немцев, просочившихся в тыл. Противник потерял убитыми свыше 600 солдат и офицеров. На другом участке заместитель политрука роты тов. Кусрашвили вместе с пулемётным расчётом уничтожил до 200 гитлеровцев.</w:t>
      </w:r>
    </w:p>
    <w:p w14:paraId="07A723A6"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Гвардейцы-миномётчики (Калининский фронт) уничтожили 7 немецких пулемётных точек, 10 подвод с боеприпасами и до 200 гитлеровцев.</w:t>
      </w:r>
    </w:p>
    <w:p w14:paraId="320F3940"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Группа бойцов-разведчиков под командованием старшего лейтенанта Василенко преодолела проволочные заграждения и ворвалась в траншеи белофиннов. Красноармейцы тт. Коваленко, Худоман, Крынский и другие уничтожили 15 белофиннов и захватили 3 пулемёта.</w:t>
      </w:r>
    </w:p>
    <w:p w14:paraId="0D140A98"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немецкого железнодорожного управления Антон М. рассказал: «...Недавно хорошо вооружённые партизаны напали на станцию Жолынец. Они перебили охрану и солдат, прикомандированных для обслуживания станции. Я сдался в плен.Меня отвели в штаб, а затем на самолёте перебросили через линию фронта. Русские лётчики на тяжёлых бомбардировщиках каждую ночь совершают налёты на железнодорожные узлы. Им удалось разрушить мост через реку Десну. Многие немецкие солдаты считают войну против России бессмысленной и безнадёжной».</w:t>
      </w:r>
    </w:p>
    <w:p w14:paraId="54E7217D"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 убитого немецкого унтер-офицера Леопольда Фогеля найдено неотправленное письмо к жене. В нём говорится: «...Поверь мне — за пять месяцев я претерпел все муки ада, какие только могут быть... Вчера наш батальон пережил самый чёрныйдень. Это была настоящая катастрофа. У одной маленькой деревушки мы потеряли 250 человек. Только чудом я уцелел. Русские становятся всё злее и яростнее. Ты знаешь, что я не из робких, но поверь, что один только вид русских в бою внушает страх. В их глазах столько ненависти и решимости! Такие не покоряются и не сдаются...»</w:t>
      </w:r>
    </w:p>
    <w:p w14:paraId="41FCA20F"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оккупированных советских районах немецко-фашистские захватчики отнимают у крестьян землю и передают её немецким «колонистам» и помещикам. В деревне Надбелье, Ленинградской области, гитлеровцы забрали у колхозников под огороды 40 гектаров лучшей земли и отдали её в собственность немцу. Обрабатывать землю заставили крестьян, без всякой оплаты за труд. В совхоз имени Володарского, Лужского района, приехал из Германии барон фон Бильдерлинг. Новоявленный помещик собрал крестьян из ближайших деревень и объявил о переходе земель и имущества совхоза в его собственность. Он приказал крестьянам безвозмездно работать у него в имении. Правда, барону не долго удалось хозяйничать на русской земле. Он был убит партизанами.</w:t>
      </w:r>
    </w:p>
    <w:p w14:paraId="13E1F7A3"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Инициатор Всесоюзного соревнования машиностроителей коллектив станкостроительного завода «Красный пролетарий» добился новых производственных успехов. Во втором квартале завод выпустил сверх плана 137 станков.» (14939).</w:t>
      </w:r>
    </w:p>
    <w:p w14:paraId="5EE5E80D" w14:textId="77777777" w:rsidR="00B01B21" w:rsidRPr="001E2C69" w:rsidRDefault="00B01B21" w:rsidP="00722885">
      <w:pPr>
        <w:spacing w:after="0" w:line="240" w:lineRule="auto"/>
        <w:jc w:val="both"/>
        <w:rPr>
          <w:rFonts w:ascii="Times New Roman" w:hAnsi="Times New Roman"/>
          <w:color w:val="000000" w:themeColor="text1"/>
          <w:sz w:val="16"/>
          <w:szCs w:val="16"/>
        </w:rPr>
      </w:pPr>
    </w:p>
    <w:p w14:paraId="350431A3"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1 июля 1942 г. Приказом по НИП АВ всесторон</w:t>
      </w:r>
      <w:r w:rsidRPr="001E2C69">
        <w:rPr>
          <w:color w:val="000000" w:themeColor="text1"/>
          <w:sz w:val="16"/>
          <w:szCs w:val="16"/>
        </w:rPr>
        <w:softHyphen/>
        <w:t>ние исследования по оценке действенности состо</w:t>
      </w:r>
      <w:r w:rsidRPr="001E2C69">
        <w:rPr>
          <w:color w:val="000000" w:themeColor="text1"/>
          <w:sz w:val="16"/>
          <w:szCs w:val="16"/>
        </w:rPr>
        <w:softHyphen/>
        <w:t>ящих на вооружении авиации средств поражения танков и разработать рациональную тактику и спо</w:t>
      </w:r>
      <w:r w:rsidRPr="001E2C69">
        <w:rPr>
          <w:color w:val="000000" w:themeColor="text1"/>
          <w:sz w:val="16"/>
          <w:szCs w:val="16"/>
        </w:rPr>
        <w:softHyphen/>
        <w:t>собы боевого применения самолетов Ил-2, в том числе с пушками калибра 37 мм на НИПАВ, затребованные 27 мая 1942 г. Приказом командующего ВВС КА генерал-лейте</w:t>
      </w:r>
      <w:r w:rsidRPr="001E2C69">
        <w:rPr>
          <w:color w:val="000000" w:themeColor="text1"/>
          <w:sz w:val="16"/>
          <w:szCs w:val="16"/>
        </w:rPr>
        <w:softHyphen/>
        <w:t>нанта А. А. Новикова, требовалось «провести в период с 29 июня по 15 июля по программе, утвержденной зам. Ко</w:t>
      </w:r>
      <w:r w:rsidRPr="001E2C69">
        <w:rPr>
          <w:color w:val="000000" w:themeColor="text1"/>
          <w:sz w:val="16"/>
          <w:szCs w:val="16"/>
        </w:rPr>
        <w:softHyphen/>
        <w:t>мандующего ВВС КА». Основная сумма «денежного вознаграждения согласно приказу НКО за № 0341 от 04.12.40 г.» была установлена «в сумме 2500 рублей».</w:t>
      </w:r>
    </w:p>
    <w:p w14:paraId="7CF0F7CD"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Основную часть летных испытаний провел по</w:t>
      </w:r>
      <w:r w:rsidRPr="001E2C69">
        <w:rPr>
          <w:color w:val="000000" w:themeColor="text1"/>
          <w:sz w:val="16"/>
          <w:szCs w:val="16"/>
        </w:rPr>
        <w:softHyphen/>
        <w:t>мощник начальника НИП АВ по летной подготовке майор Н. И. Звонарев. Ему помогали летчики-испы</w:t>
      </w:r>
      <w:r w:rsidRPr="001E2C69">
        <w:rPr>
          <w:color w:val="000000" w:themeColor="text1"/>
          <w:sz w:val="16"/>
          <w:szCs w:val="16"/>
        </w:rPr>
        <w:softHyphen/>
        <w:t>татели военком филиала НИП АВ старший политрук С. И. Лябихов и капитан В. М. Кравченко. Помимо них, к испытаниям привлекались строевые летчи</w:t>
      </w:r>
      <w:r w:rsidRPr="001E2C69">
        <w:rPr>
          <w:color w:val="000000" w:themeColor="text1"/>
          <w:sz w:val="16"/>
          <w:szCs w:val="16"/>
        </w:rPr>
        <w:softHyphen/>
        <w:t>ки, имевшие боевой опыт: командир 2-й эскадри</w:t>
      </w:r>
      <w:r w:rsidRPr="001E2C69">
        <w:rPr>
          <w:color w:val="000000" w:themeColor="text1"/>
          <w:sz w:val="16"/>
          <w:szCs w:val="16"/>
        </w:rPr>
        <w:softHyphen/>
        <w:t>льи капитан И. А. Яшанов, командир звена старший лейтенант Н. С. Канюко и летчик младший лейте</w:t>
      </w:r>
      <w:r w:rsidRPr="001E2C69">
        <w:rPr>
          <w:color w:val="000000" w:themeColor="text1"/>
          <w:sz w:val="16"/>
          <w:szCs w:val="16"/>
        </w:rPr>
        <w:softHyphen/>
        <w:t>нант А. Л. Назаров — от 245-го шап, а также майор Н. А. Зуб — от 7-го гшап, который провел показа</w:t>
      </w:r>
      <w:r w:rsidRPr="001E2C69">
        <w:rPr>
          <w:color w:val="000000" w:themeColor="text1"/>
          <w:sz w:val="16"/>
          <w:szCs w:val="16"/>
        </w:rPr>
        <w:softHyphen/>
        <w:t>тельные стрельбы ракетными снарядами.</w:t>
      </w:r>
    </w:p>
    <w:p w14:paraId="435F7F84"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испытаниях были задействованы 3 самолета Ил-2 с пушками ВЯ и 8 РО-82, 1 Ил-2 с пушками ВЯ и 8 РО-132 и 1 Ил-2 с пушками ШВАК и 4 РО-203.</w:t>
      </w:r>
    </w:p>
    <w:p w14:paraId="41ABB129"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Ввиду неподачи в установленные сроки само</w:t>
      </w:r>
      <w:r w:rsidRPr="001E2C69">
        <w:rPr>
          <w:color w:val="000000" w:themeColor="text1"/>
          <w:sz w:val="16"/>
          <w:szCs w:val="16"/>
        </w:rPr>
        <w:softHyphen/>
        <w:t>летов Ил-2 войсковой серии с пушками Ш-37, для отработки программы испытаний привлекались 1 ЛаГГ-3 (зав. № 312197) с опытной пушкой 11П ка</w:t>
      </w:r>
      <w:r w:rsidRPr="001E2C69">
        <w:rPr>
          <w:color w:val="000000" w:themeColor="text1"/>
          <w:sz w:val="16"/>
          <w:szCs w:val="16"/>
        </w:rPr>
        <w:softHyphen/>
        <w:t>либра 37 мм ОКБ-16 и 2 серийных ЛаГГ-3 с пушкой Ш-37, которые были взяты из 42-го иап.</w:t>
      </w:r>
    </w:p>
    <w:p w14:paraId="72B8534C"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Противотанковый Ил-2 зав. № 1861704 с пушка</w:t>
      </w:r>
      <w:r w:rsidRPr="001E2C69">
        <w:rPr>
          <w:color w:val="000000" w:themeColor="text1"/>
          <w:sz w:val="16"/>
          <w:szCs w:val="16"/>
        </w:rPr>
        <w:softHyphen/>
        <w:t>ми Ш-37 поступил в НИП АВ только в конце августа и проходил полигонные испытания в период с 11 по 14 сентября.</w:t>
      </w:r>
    </w:p>
    <w:p w14:paraId="24608FE9"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общей сложности в ходе испытаний было вы</w:t>
      </w:r>
      <w:r w:rsidRPr="001E2C69">
        <w:rPr>
          <w:color w:val="000000" w:themeColor="text1"/>
          <w:sz w:val="16"/>
          <w:szCs w:val="16"/>
        </w:rPr>
        <w:softHyphen/>
        <w:t>полнено 136 полетов, из них 101 — на самолетах Ил-2 с пушками ВЯ и ШВАК, 16 — на Ил-2 с Ш-37 и 19 — на самолетах ЛаГГ-3. На самолетах ЛаГГ-3 летали майор Звонарев и капитан Кравченко, а на Ил-2 с Ш-37 — только Звонарев.</w:t>
      </w:r>
    </w:p>
    <w:p w14:paraId="277D9684"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ходе испытаний выполнялась стрельба в воз</w:t>
      </w:r>
      <w:r w:rsidRPr="001E2C69">
        <w:rPr>
          <w:color w:val="000000" w:themeColor="text1"/>
          <w:sz w:val="16"/>
          <w:szCs w:val="16"/>
        </w:rPr>
        <w:softHyphen/>
        <w:t>духе из пушек калибра 20, 23 и 37 мм, а также ракет</w:t>
      </w:r>
      <w:r w:rsidRPr="001E2C69">
        <w:rPr>
          <w:color w:val="000000" w:themeColor="text1"/>
          <w:sz w:val="16"/>
          <w:szCs w:val="16"/>
        </w:rPr>
        <w:softHyphen/>
        <w:t>ными снарядами типа РС-82 (осколочный), РБС-82 (бронебойный), РС-132 (осколочный), РОФС-132 (осколочно-фугасный) и РБТС-203 (бетонобойный), установленных на Ил-2, и бомбометание штатными фугасными и осколочными бомбами типа ФАБ-50, АО-25, АО-8 и АО-2,5.</w:t>
      </w:r>
    </w:p>
    <w:p w14:paraId="18041AA0"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Кроме того, при наземных испытаниях опреде</w:t>
      </w:r>
      <w:r w:rsidRPr="001E2C69">
        <w:rPr>
          <w:color w:val="000000" w:themeColor="text1"/>
          <w:sz w:val="16"/>
          <w:szCs w:val="16"/>
        </w:rPr>
        <w:softHyphen/>
        <w:t>лялась бронестойкость немецкой танковой брони путем обстрела из пулемета УБ калибра 12,7 мм, авиапушек ШВАК, ВЯ и Ш-37, а так</w:t>
      </w:r>
      <w:r w:rsidRPr="001E2C69">
        <w:rPr>
          <w:color w:val="000000" w:themeColor="text1"/>
          <w:sz w:val="16"/>
          <w:szCs w:val="16"/>
        </w:rPr>
        <w:softHyphen/>
        <w:t>же подрывом бомб типа АО-25, ФАБ-50, ФАБ-100 и ФАБ-250 и ра</w:t>
      </w:r>
      <w:r w:rsidRPr="001E2C69">
        <w:rPr>
          <w:color w:val="000000" w:themeColor="text1"/>
          <w:sz w:val="16"/>
          <w:szCs w:val="16"/>
        </w:rPr>
        <w:softHyphen/>
        <w:t>кетных снарядов всех типов не</w:t>
      </w:r>
      <w:r w:rsidRPr="001E2C69">
        <w:rPr>
          <w:color w:val="000000" w:themeColor="text1"/>
          <w:sz w:val="16"/>
          <w:szCs w:val="16"/>
        </w:rPr>
        <w:softHyphen/>
        <w:t>посредственно около трофейных танков.</w:t>
      </w:r>
    </w:p>
    <w:p w14:paraId="707E2957"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качестве мишеней использо</w:t>
      </w:r>
      <w:r w:rsidRPr="001E2C69">
        <w:rPr>
          <w:color w:val="000000" w:themeColor="text1"/>
          <w:sz w:val="16"/>
          <w:szCs w:val="16"/>
        </w:rPr>
        <w:softHyphen/>
        <w:t>вались трофейные легкие и сред</w:t>
      </w:r>
      <w:r w:rsidRPr="001E2C69">
        <w:rPr>
          <w:color w:val="000000" w:themeColor="text1"/>
          <w:sz w:val="16"/>
          <w:szCs w:val="16"/>
        </w:rPr>
        <w:softHyphen/>
        <w:t xml:space="preserve">ние танки типа </w:t>
      </w:r>
      <w:r w:rsidRPr="001E2C69">
        <w:rPr>
          <w:color w:val="000000" w:themeColor="text1"/>
          <w:sz w:val="16"/>
          <w:szCs w:val="16"/>
          <w:lang w:val="en-US"/>
        </w:rPr>
        <w:t>Pz</w:t>
      </w:r>
      <w:r w:rsidRPr="001E2C69">
        <w:rPr>
          <w:color w:val="000000" w:themeColor="text1"/>
          <w:sz w:val="16"/>
          <w:szCs w:val="16"/>
        </w:rPr>
        <w:t>.</w:t>
      </w:r>
      <w:r w:rsidRPr="001E2C69">
        <w:rPr>
          <w:color w:val="000000" w:themeColor="text1"/>
          <w:sz w:val="16"/>
          <w:szCs w:val="16"/>
          <w:lang w:val="en-US"/>
        </w:rPr>
        <w:t>III</w:t>
      </w:r>
      <w:r w:rsidRPr="001E2C69">
        <w:rPr>
          <w:color w:val="000000" w:themeColor="text1"/>
          <w:sz w:val="16"/>
          <w:szCs w:val="16"/>
        </w:rPr>
        <w:t>/</w:t>
      </w:r>
      <w:r w:rsidRPr="001E2C69">
        <w:rPr>
          <w:color w:val="000000" w:themeColor="text1"/>
          <w:sz w:val="16"/>
          <w:szCs w:val="16"/>
          <w:lang w:val="en-US"/>
        </w:rPr>
        <w:t>G</w:t>
      </w:r>
      <w:r w:rsidRPr="001E2C69">
        <w:rPr>
          <w:color w:val="000000" w:themeColor="text1"/>
          <w:sz w:val="16"/>
          <w:szCs w:val="16"/>
        </w:rPr>
        <w:t xml:space="preserve">, </w:t>
      </w:r>
      <w:r w:rsidRPr="001E2C69">
        <w:rPr>
          <w:color w:val="000000" w:themeColor="text1"/>
          <w:sz w:val="16"/>
          <w:szCs w:val="16"/>
          <w:lang w:val="en-US"/>
        </w:rPr>
        <w:t>StuG</w:t>
      </w:r>
      <w:r w:rsidRPr="001E2C69">
        <w:rPr>
          <w:color w:val="000000" w:themeColor="text1"/>
          <w:sz w:val="16"/>
          <w:szCs w:val="16"/>
        </w:rPr>
        <w:t>.</w:t>
      </w:r>
      <w:r w:rsidRPr="001E2C69">
        <w:rPr>
          <w:color w:val="000000" w:themeColor="text1"/>
          <w:sz w:val="16"/>
          <w:szCs w:val="16"/>
          <w:lang w:val="en-US"/>
        </w:rPr>
        <w:t>III</w:t>
      </w:r>
      <w:r w:rsidRPr="001E2C69">
        <w:rPr>
          <w:color w:val="000000" w:themeColor="text1"/>
          <w:sz w:val="16"/>
          <w:szCs w:val="16"/>
        </w:rPr>
        <w:t>/</w:t>
      </w:r>
      <w:r w:rsidRPr="001E2C69">
        <w:rPr>
          <w:color w:val="000000" w:themeColor="text1"/>
          <w:sz w:val="16"/>
          <w:szCs w:val="16"/>
          <w:lang w:val="en-US"/>
        </w:rPr>
        <w:t>E</w:t>
      </w:r>
      <w:r w:rsidRPr="001E2C69">
        <w:rPr>
          <w:color w:val="000000" w:themeColor="text1"/>
          <w:sz w:val="16"/>
          <w:szCs w:val="16"/>
        </w:rPr>
        <w:t xml:space="preserve">, </w:t>
      </w:r>
      <w:r w:rsidRPr="001E2C69">
        <w:rPr>
          <w:color w:val="000000" w:themeColor="text1"/>
          <w:sz w:val="16"/>
          <w:szCs w:val="16"/>
          <w:lang w:val="en-US"/>
        </w:rPr>
        <w:t>Pz</w:t>
      </w:r>
      <w:r w:rsidRPr="001E2C69">
        <w:rPr>
          <w:color w:val="000000" w:themeColor="text1"/>
          <w:sz w:val="16"/>
          <w:szCs w:val="16"/>
        </w:rPr>
        <w:t>.</w:t>
      </w:r>
      <w:r w:rsidRPr="001E2C69">
        <w:rPr>
          <w:color w:val="000000" w:themeColor="text1"/>
          <w:sz w:val="16"/>
          <w:szCs w:val="16"/>
          <w:lang w:val="en-US"/>
        </w:rPr>
        <w:t>II</w:t>
      </w:r>
      <w:r w:rsidRPr="001E2C69">
        <w:rPr>
          <w:color w:val="000000" w:themeColor="text1"/>
          <w:sz w:val="16"/>
          <w:szCs w:val="16"/>
        </w:rPr>
        <w:t>/</w:t>
      </w:r>
      <w:r w:rsidRPr="001E2C69">
        <w:rPr>
          <w:color w:val="000000" w:themeColor="text1"/>
          <w:sz w:val="16"/>
          <w:szCs w:val="16"/>
          <w:lang w:val="en-US"/>
        </w:rPr>
        <w:t>F</w:t>
      </w:r>
      <w:r w:rsidRPr="001E2C69">
        <w:rPr>
          <w:color w:val="000000" w:themeColor="text1"/>
          <w:sz w:val="16"/>
          <w:szCs w:val="16"/>
        </w:rPr>
        <w:t xml:space="preserve">, </w:t>
      </w:r>
      <w:r w:rsidRPr="001E2C69">
        <w:rPr>
          <w:color w:val="000000" w:themeColor="text1"/>
          <w:sz w:val="16"/>
          <w:szCs w:val="16"/>
          <w:lang w:val="en-US"/>
        </w:rPr>
        <w:t>Pz</w:t>
      </w:r>
      <w:r w:rsidRPr="001E2C69">
        <w:rPr>
          <w:color w:val="000000" w:themeColor="text1"/>
          <w:sz w:val="16"/>
          <w:szCs w:val="16"/>
        </w:rPr>
        <w:t>.38 (</w:t>
      </w:r>
      <w:r w:rsidRPr="001E2C69">
        <w:rPr>
          <w:color w:val="000000" w:themeColor="text1"/>
          <w:sz w:val="16"/>
          <w:szCs w:val="16"/>
          <w:lang w:val="en-US"/>
        </w:rPr>
        <w:t>t</w:t>
      </w:r>
      <w:r w:rsidRPr="001E2C69">
        <w:rPr>
          <w:color w:val="000000" w:themeColor="text1"/>
          <w:sz w:val="16"/>
          <w:szCs w:val="16"/>
        </w:rPr>
        <w:t>) /</w:t>
      </w:r>
      <w:r w:rsidRPr="001E2C69">
        <w:rPr>
          <w:color w:val="000000" w:themeColor="text1"/>
          <w:sz w:val="16"/>
          <w:szCs w:val="16"/>
          <w:lang w:val="en-US"/>
        </w:rPr>
        <w:t>C</w:t>
      </w:r>
      <w:r w:rsidRPr="001E2C69">
        <w:rPr>
          <w:color w:val="000000" w:themeColor="text1"/>
          <w:sz w:val="16"/>
          <w:szCs w:val="16"/>
        </w:rPr>
        <w:t xml:space="preserve"> и </w:t>
      </w:r>
      <w:r w:rsidRPr="001E2C69">
        <w:rPr>
          <w:color w:val="000000" w:themeColor="text1"/>
          <w:sz w:val="16"/>
          <w:szCs w:val="16"/>
          <w:lang w:val="en-US"/>
        </w:rPr>
        <w:t>E</w:t>
      </w:r>
      <w:r w:rsidRPr="001E2C69">
        <w:rPr>
          <w:color w:val="000000" w:themeColor="text1"/>
          <w:sz w:val="16"/>
          <w:szCs w:val="16"/>
        </w:rPr>
        <w:t>, а также бро</w:t>
      </w:r>
      <w:r w:rsidRPr="001E2C69">
        <w:rPr>
          <w:color w:val="000000" w:themeColor="text1"/>
          <w:sz w:val="16"/>
          <w:szCs w:val="16"/>
        </w:rPr>
        <w:softHyphen/>
        <w:t xml:space="preserve">немашины типа </w:t>
      </w:r>
      <w:r w:rsidRPr="001E2C69">
        <w:rPr>
          <w:color w:val="000000" w:themeColor="text1"/>
          <w:sz w:val="16"/>
          <w:szCs w:val="16"/>
          <w:lang w:val="en-US"/>
        </w:rPr>
        <w:t>Sd</w:t>
      </w:r>
      <w:r w:rsidRPr="001E2C69">
        <w:rPr>
          <w:color w:val="000000" w:themeColor="text1"/>
          <w:sz w:val="16"/>
          <w:szCs w:val="16"/>
        </w:rPr>
        <w:t xml:space="preserve"> </w:t>
      </w:r>
      <w:r w:rsidRPr="001E2C69">
        <w:rPr>
          <w:color w:val="000000" w:themeColor="text1"/>
          <w:sz w:val="16"/>
          <w:szCs w:val="16"/>
          <w:lang w:val="en-US"/>
        </w:rPr>
        <w:t>Kfz</w:t>
      </w:r>
      <w:r w:rsidRPr="001E2C69">
        <w:rPr>
          <w:color w:val="000000" w:themeColor="text1"/>
          <w:sz w:val="16"/>
          <w:szCs w:val="16"/>
        </w:rPr>
        <w:t xml:space="preserve"> 250. 8 еди</w:t>
      </w:r>
      <w:r w:rsidRPr="001E2C69">
        <w:rPr>
          <w:color w:val="000000" w:themeColor="text1"/>
          <w:sz w:val="16"/>
          <w:szCs w:val="16"/>
        </w:rPr>
        <w:softHyphen/>
        <w:t>ниц бронетехники составляли Т-образную колонну, что позволяло вести огонь и бомбометание под различными углами к броне танков.</w:t>
      </w:r>
    </w:p>
    <w:p w14:paraId="3304D7CE"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Кроме колонны танков, для испытания по отра</w:t>
      </w:r>
      <w:r w:rsidRPr="001E2C69">
        <w:rPr>
          <w:color w:val="000000" w:themeColor="text1"/>
          <w:sz w:val="16"/>
          <w:szCs w:val="16"/>
        </w:rPr>
        <w:softHyphen/>
        <w:t>ботке методики бомбометания и стрельб была соз</w:t>
      </w:r>
      <w:r w:rsidRPr="001E2C69">
        <w:rPr>
          <w:color w:val="000000" w:themeColor="text1"/>
          <w:sz w:val="16"/>
          <w:szCs w:val="16"/>
        </w:rPr>
        <w:softHyphen/>
        <w:t>дана специальная мишень, представляющая собой колонну из 9 танков и 200 макетов солдат.</w:t>
      </w:r>
    </w:p>
    <w:p w14:paraId="5BD7D493"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lastRenderedPageBreak/>
        <w:t>Атаки немецких танков самолетами Ил-2 выпол</w:t>
      </w:r>
      <w:r w:rsidRPr="001E2C69">
        <w:rPr>
          <w:color w:val="000000" w:themeColor="text1"/>
          <w:sz w:val="16"/>
          <w:szCs w:val="16"/>
        </w:rPr>
        <w:softHyphen/>
        <w:t>нялись как вдоль колонны, так и сбоку, а также спо</w:t>
      </w:r>
      <w:r w:rsidRPr="001E2C69">
        <w:rPr>
          <w:color w:val="000000" w:themeColor="text1"/>
          <w:sz w:val="16"/>
          <w:szCs w:val="16"/>
        </w:rPr>
        <w:softHyphen/>
        <w:t>собами, установившимися к этому времени в строе</w:t>
      </w:r>
      <w:r w:rsidRPr="001E2C69">
        <w:rPr>
          <w:color w:val="000000" w:themeColor="text1"/>
          <w:sz w:val="16"/>
          <w:szCs w:val="16"/>
        </w:rPr>
        <w:softHyphen/>
        <w:t>вых частях ВВС КА.</w:t>
      </w:r>
    </w:p>
    <w:p w14:paraId="0202E3F9"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Кроме этого, при атаке колонны танков и макетов солдат были проведены различные варианты комбинированной стрельбы из пу</w:t>
      </w:r>
      <w:r w:rsidRPr="001E2C69">
        <w:rPr>
          <w:color w:val="000000" w:themeColor="text1"/>
          <w:sz w:val="16"/>
          <w:szCs w:val="16"/>
        </w:rPr>
        <w:softHyphen/>
        <w:t>леметов, пушек и ракетных снарядов с одно</w:t>
      </w:r>
      <w:r w:rsidRPr="001E2C69">
        <w:rPr>
          <w:color w:val="000000" w:themeColor="text1"/>
          <w:sz w:val="16"/>
          <w:szCs w:val="16"/>
        </w:rPr>
        <w:softHyphen/>
        <w:t>временным бомбометанием на выходе из пикиро</w:t>
      </w:r>
      <w:r w:rsidRPr="001E2C69">
        <w:rPr>
          <w:color w:val="000000" w:themeColor="text1"/>
          <w:sz w:val="16"/>
          <w:szCs w:val="16"/>
        </w:rPr>
        <w:softHyphen/>
        <w:t>вания.</w:t>
      </w:r>
    </w:p>
    <w:p w14:paraId="43F06F65"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Стрельба и бомбометание производились с планирования под углами 5—10° (высота подхо</w:t>
      </w:r>
      <w:r w:rsidRPr="001E2C69">
        <w:rPr>
          <w:color w:val="000000" w:themeColor="text1"/>
          <w:sz w:val="16"/>
          <w:szCs w:val="16"/>
        </w:rPr>
        <w:softHyphen/>
        <w:t>да 100 м) и с пикирования под углами до 25—30° (высота подхода 400—700 м), а также и на брею</w:t>
      </w:r>
      <w:r w:rsidRPr="001E2C69">
        <w:rPr>
          <w:color w:val="000000" w:themeColor="text1"/>
          <w:sz w:val="16"/>
          <w:szCs w:val="16"/>
        </w:rPr>
        <w:softHyphen/>
        <w:t>щих полетах. Стрельба из пушек ШВАК и ВЯ велась очередями по 10—15 выстрелов с дистанции 400 м и ближе, а из пушек ОКБ-15 — очередями по 3—5 выстрелов с дистанции 600—400 м. Пуск ракетных снарядов производился одиночно и залпами по 2, 4 и 8 снарядов в залпе. Дистанция ведения огня для РС-82 и РБС-82 составляла 400—500 м, РС-132 и РОФС-132 — 500—600 м, а РБТС-203 — 700— 800 м.</w:t>
      </w:r>
    </w:p>
    <w:p w14:paraId="79EE4869"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Как и следовало ожидать, наиболее эффектив</w:t>
      </w:r>
      <w:r w:rsidRPr="001E2C69">
        <w:rPr>
          <w:color w:val="000000" w:themeColor="text1"/>
          <w:sz w:val="16"/>
          <w:szCs w:val="16"/>
        </w:rPr>
        <w:softHyphen/>
        <w:t>ным оружием оказались пушки калибра 37 мм: «...поражение легких танков с дистанции не бо</w:t>
      </w:r>
      <w:r w:rsidRPr="001E2C69">
        <w:rPr>
          <w:color w:val="000000" w:themeColor="text1"/>
          <w:sz w:val="16"/>
          <w:szCs w:val="16"/>
        </w:rPr>
        <w:softHyphen/>
        <w:t>лее 500 м возможно при стрельбе с любых на</w:t>
      </w:r>
      <w:r w:rsidRPr="001E2C69">
        <w:rPr>
          <w:color w:val="000000" w:themeColor="text1"/>
          <w:sz w:val="16"/>
          <w:szCs w:val="16"/>
        </w:rPr>
        <w:softHyphen/>
        <w:t>правлений, средние танки могут быть пораже ны стрельбой по борту или по кормовой части танка».</w:t>
      </w:r>
    </w:p>
    <w:p w14:paraId="455CE95E"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Действительно, танковая броня толщиной 30 мм пробивалась бронебойно-зажигательным снаря</w:t>
      </w:r>
      <w:r w:rsidRPr="001E2C69">
        <w:rPr>
          <w:color w:val="000000" w:themeColor="text1"/>
          <w:sz w:val="16"/>
          <w:szCs w:val="16"/>
        </w:rPr>
        <w:softHyphen/>
        <w:t>дом БЗТ-37 с дистанций до 500 м при углах встречи в пределах 45°. При этом снаряд выдавливал бро</w:t>
      </w:r>
      <w:r w:rsidRPr="001E2C69">
        <w:rPr>
          <w:color w:val="000000" w:themeColor="text1"/>
          <w:sz w:val="16"/>
          <w:szCs w:val="16"/>
        </w:rPr>
        <w:softHyphen/>
        <w:t>ню по своему калибру и делал глубокую вмятину на противоположной внутренней стенке корпуса танка. Выдавленная же броня и оставшиеся части снаряда производили сильные разрушения внутри танка. Броня толщиной 50 мм пробивалась с дис</w:t>
      </w:r>
      <w:r w:rsidRPr="001E2C69">
        <w:rPr>
          <w:color w:val="000000" w:themeColor="text1"/>
          <w:sz w:val="16"/>
          <w:szCs w:val="16"/>
        </w:rPr>
        <w:softHyphen/>
        <w:t>танций не более 200 м при углах встречи, не пре</w:t>
      </w:r>
      <w:r w:rsidRPr="001E2C69">
        <w:rPr>
          <w:color w:val="000000" w:themeColor="text1"/>
          <w:sz w:val="16"/>
          <w:szCs w:val="16"/>
        </w:rPr>
        <w:softHyphen/>
        <w:t>вышающих 5°. Попадания снарядов в элементы ходовой части танка производили существенные разрушения, выводящие танк из строя.</w:t>
      </w:r>
    </w:p>
    <w:p w14:paraId="1871937E"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Осколочно-зажигательный 37-мм снаряд ОЗТ-37 пробивал немецкую танковую броню толщиной не более 15 мм с дистанций, не превышающих 200 м, при углах встречи, близких к нормали.</w:t>
      </w:r>
    </w:p>
    <w:p w14:paraId="5834022B"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То есть противотанковые Ил-2 и ЛаГГ-3 мог</w:t>
      </w:r>
      <w:r w:rsidRPr="001E2C69">
        <w:rPr>
          <w:color w:val="000000" w:themeColor="text1"/>
          <w:sz w:val="16"/>
          <w:szCs w:val="16"/>
        </w:rPr>
        <w:softHyphen/>
        <w:t xml:space="preserve">ли поражать немецкие легкие танки типа </w:t>
      </w:r>
      <w:r w:rsidRPr="001E2C69">
        <w:rPr>
          <w:color w:val="000000" w:themeColor="text1"/>
          <w:sz w:val="16"/>
          <w:szCs w:val="16"/>
          <w:lang w:val="en-US"/>
        </w:rPr>
        <w:t>Pz</w:t>
      </w:r>
      <w:r w:rsidRPr="001E2C69">
        <w:rPr>
          <w:color w:val="000000" w:themeColor="text1"/>
          <w:sz w:val="16"/>
          <w:szCs w:val="16"/>
        </w:rPr>
        <w:t>.38 (</w:t>
      </w:r>
      <w:r w:rsidRPr="001E2C69">
        <w:rPr>
          <w:color w:val="000000" w:themeColor="text1"/>
          <w:sz w:val="16"/>
          <w:szCs w:val="16"/>
          <w:lang w:val="en-US"/>
        </w:rPr>
        <w:t>t</w:t>
      </w:r>
      <w:r w:rsidRPr="001E2C69">
        <w:rPr>
          <w:color w:val="000000" w:themeColor="text1"/>
          <w:sz w:val="16"/>
          <w:szCs w:val="16"/>
        </w:rPr>
        <w:t xml:space="preserve">) и </w:t>
      </w:r>
      <w:r w:rsidRPr="001E2C69">
        <w:rPr>
          <w:color w:val="000000" w:themeColor="text1"/>
          <w:sz w:val="16"/>
          <w:szCs w:val="16"/>
          <w:lang w:val="en-US"/>
        </w:rPr>
        <w:t>Pz</w:t>
      </w:r>
      <w:r w:rsidRPr="001E2C69">
        <w:rPr>
          <w:color w:val="000000" w:themeColor="text1"/>
          <w:sz w:val="16"/>
          <w:szCs w:val="16"/>
        </w:rPr>
        <w:t>.</w:t>
      </w:r>
      <w:r w:rsidRPr="001E2C69">
        <w:rPr>
          <w:color w:val="000000" w:themeColor="text1"/>
          <w:sz w:val="16"/>
          <w:szCs w:val="16"/>
          <w:lang w:val="en-US"/>
        </w:rPr>
        <w:t>II</w:t>
      </w:r>
      <w:r w:rsidRPr="001E2C69">
        <w:rPr>
          <w:color w:val="000000" w:themeColor="text1"/>
          <w:sz w:val="16"/>
          <w:szCs w:val="16"/>
        </w:rPr>
        <w:t xml:space="preserve"> с дистанций до 500 м с любого направления и при любых углах планирования. Средние танки типа </w:t>
      </w:r>
      <w:r w:rsidRPr="001E2C69">
        <w:rPr>
          <w:color w:val="000000" w:themeColor="text1"/>
          <w:sz w:val="16"/>
          <w:szCs w:val="16"/>
          <w:lang w:val="en-US"/>
        </w:rPr>
        <w:t>StuG</w:t>
      </w:r>
      <w:r w:rsidRPr="001E2C69">
        <w:rPr>
          <w:color w:val="000000" w:themeColor="text1"/>
          <w:sz w:val="16"/>
          <w:szCs w:val="16"/>
        </w:rPr>
        <w:t>.</w:t>
      </w:r>
      <w:r w:rsidRPr="001E2C69">
        <w:rPr>
          <w:color w:val="000000" w:themeColor="text1"/>
          <w:sz w:val="16"/>
          <w:szCs w:val="16"/>
          <w:lang w:val="en-US"/>
        </w:rPr>
        <w:t>III</w:t>
      </w:r>
      <w:r w:rsidRPr="001E2C69">
        <w:rPr>
          <w:color w:val="000000" w:themeColor="text1"/>
          <w:sz w:val="16"/>
          <w:szCs w:val="16"/>
        </w:rPr>
        <w:t xml:space="preserve"> и </w:t>
      </w:r>
      <w:r w:rsidRPr="001E2C69">
        <w:rPr>
          <w:color w:val="000000" w:themeColor="text1"/>
          <w:sz w:val="16"/>
          <w:szCs w:val="16"/>
          <w:lang w:val="en-US"/>
        </w:rPr>
        <w:t>Pz</w:t>
      </w:r>
      <w:r w:rsidRPr="001E2C69">
        <w:rPr>
          <w:color w:val="000000" w:themeColor="text1"/>
          <w:sz w:val="16"/>
          <w:szCs w:val="16"/>
        </w:rPr>
        <w:t>.</w:t>
      </w:r>
      <w:r w:rsidRPr="001E2C69">
        <w:rPr>
          <w:color w:val="000000" w:themeColor="text1"/>
          <w:sz w:val="16"/>
          <w:szCs w:val="16"/>
          <w:lang w:val="en-US"/>
        </w:rPr>
        <w:t>III</w:t>
      </w:r>
      <w:r w:rsidRPr="001E2C69">
        <w:rPr>
          <w:color w:val="000000" w:themeColor="text1"/>
          <w:sz w:val="16"/>
          <w:szCs w:val="16"/>
        </w:rPr>
        <w:t xml:space="preserve">, а также танки </w:t>
      </w:r>
      <w:r w:rsidRPr="001E2C69">
        <w:rPr>
          <w:color w:val="000000" w:themeColor="text1"/>
          <w:sz w:val="16"/>
          <w:szCs w:val="16"/>
          <w:lang w:val="en-US"/>
        </w:rPr>
        <w:t>Pz</w:t>
      </w:r>
      <w:r w:rsidRPr="001E2C69">
        <w:rPr>
          <w:color w:val="000000" w:themeColor="text1"/>
          <w:sz w:val="16"/>
          <w:szCs w:val="16"/>
        </w:rPr>
        <w:t>.38 (</w:t>
      </w:r>
      <w:r w:rsidRPr="001E2C69">
        <w:rPr>
          <w:color w:val="000000" w:themeColor="text1"/>
          <w:sz w:val="16"/>
          <w:szCs w:val="16"/>
          <w:lang w:val="en-US"/>
        </w:rPr>
        <w:t>t</w:t>
      </w:r>
      <w:r w:rsidRPr="001E2C69">
        <w:rPr>
          <w:color w:val="000000" w:themeColor="text1"/>
          <w:sz w:val="16"/>
          <w:szCs w:val="16"/>
        </w:rPr>
        <w:t>) с толщи</w:t>
      </w:r>
      <w:r w:rsidRPr="001E2C69">
        <w:rPr>
          <w:color w:val="000000" w:themeColor="text1"/>
          <w:sz w:val="16"/>
          <w:szCs w:val="16"/>
        </w:rPr>
        <w:softHyphen/>
        <w:t>ной брони на бортах до 30 мм уверенно поража</w:t>
      </w:r>
      <w:r w:rsidRPr="001E2C69">
        <w:rPr>
          <w:color w:val="000000" w:themeColor="text1"/>
          <w:sz w:val="16"/>
          <w:szCs w:val="16"/>
        </w:rPr>
        <w:softHyphen/>
        <w:t>лись снарядом БЗТ-37 с дистанций до 500 м при углах пикирования не более 30°. Стрельбу следо</w:t>
      </w:r>
      <w:r w:rsidRPr="001E2C69">
        <w:rPr>
          <w:color w:val="000000" w:themeColor="text1"/>
          <w:sz w:val="16"/>
          <w:szCs w:val="16"/>
        </w:rPr>
        <w:softHyphen/>
        <w:t>вало вести по борту или по задней части корпуса и башни танков.</w:t>
      </w:r>
    </w:p>
    <w:p w14:paraId="5E440AB4"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выводах отчета по испытаниям отмечалось, что самолеты Ил-2 и ЛаГГ-3, вооруженные пушками калибра 37 мм, являются эффективным средством борьбы с немецкими танками.</w:t>
      </w:r>
    </w:p>
    <w:p w14:paraId="735B887C"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Однако возможности самолетов ЛаГГ-3 и Ил-2 с пушками калибра 37 мм по ряду причин были все же ограниченны.</w:t>
      </w:r>
    </w:p>
    <w:p w14:paraId="198FE8DF"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Действительно, не всякое попадание в танк со</w:t>
      </w:r>
      <w:r w:rsidRPr="001E2C69">
        <w:rPr>
          <w:color w:val="000000" w:themeColor="text1"/>
          <w:sz w:val="16"/>
          <w:szCs w:val="16"/>
        </w:rPr>
        <w:softHyphen/>
        <w:t>провождается пробитием брони. При этом проби</w:t>
      </w:r>
      <w:r w:rsidRPr="001E2C69">
        <w:rPr>
          <w:color w:val="000000" w:themeColor="text1"/>
          <w:sz w:val="16"/>
          <w:szCs w:val="16"/>
        </w:rPr>
        <w:softHyphen/>
        <w:t>тие снарядом брони далеко не всегда выводило танк из строя, не говоря уже об его уничтожении. К тому же вероятность попадания в танк была все же невелика. Даже в условиях полигона при от</w:t>
      </w:r>
      <w:r w:rsidRPr="001E2C69">
        <w:rPr>
          <w:color w:val="000000" w:themeColor="text1"/>
          <w:sz w:val="16"/>
          <w:szCs w:val="16"/>
        </w:rPr>
        <w:softHyphen/>
        <w:t>стреле всего боекомплекта пушки Ш-37 с самолета ЛаГГ-3 в среднем можно было рассчитывать только на 1—2 попадания в танк, а при рациональном рас</w:t>
      </w:r>
      <w:r w:rsidRPr="001E2C69">
        <w:rPr>
          <w:color w:val="000000" w:themeColor="text1"/>
          <w:sz w:val="16"/>
          <w:szCs w:val="16"/>
        </w:rPr>
        <w:softHyphen/>
        <w:t>ходе 2 боекомплектов к пушкам Ш-37 на самолете Ил-2 — примерно на 5—7 попаданий.</w:t>
      </w:r>
    </w:p>
    <w:p w14:paraId="40E5752C"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Результаты стрельбы в боевых условиях по движущимся танкам, очевидно, могли быть толь</w:t>
      </w:r>
      <w:r w:rsidRPr="001E2C69">
        <w:rPr>
          <w:color w:val="000000" w:themeColor="text1"/>
          <w:sz w:val="16"/>
          <w:szCs w:val="16"/>
        </w:rPr>
        <w:softHyphen/>
        <w:t>ко хуже, так как «подавляющая масса летчиков та</w:t>
      </w:r>
      <w:r w:rsidRPr="001E2C69">
        <w:rPr>
          <w:color w:val="000000" w:themeColor="text1"/>
          <w:sz w:val="16"/>
          <w:szCs w:val="16"/>
        </w:rPr>
        <w:softHyphen/>
        <w:t>ких целей поражать не в состоянии». Прицельная стрельба по малоразмерным целям доступна «толь</w:t>
      </w:r>
      <w:r w:rsidRPr="001E2C69">
        <w:rPr>
          <w:color w:val="000000" w:themeColor="text1"/>
          <w:sz w:val="16"/>
          <w:szCs w:val="16"/>
        </w:rPr>
        <w:softHyphen/>
        <w:t>ко отлично тренированным летчикам».</w:t>
      </w:r>
    </w:p>
    <w:p w14:paraId="3DCD01BC"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За все время полигонных испытаний истреби</w:t>
      </w:r>
      <w:r w:rsidRPr="001E2C69">
        <w:rPr>
          <w:color w:val="000000" w:themeColor="text1"/>
          <w:sz w:val="16"/>
          <w:szCs w:val="16"/>
        </w:rPr>
        <w:softHyphen/>
        <w:t>телей ЛаГГ-3 с крупнокалиберными пушками из 288 выстрелов, произведенных по немецким тан</w:t>
      </w:r>
      <w:r w:rsidRPr="001E2C69">
        <w:rPr>
          <w:color w:val="000000" w:themeColor="text1"/>
          <w:sz w:val="16"/>
          <w:szCs w:val="16"/>
        </w:rPr>
        <w:softHyphen/>
        <w:t>кам, было получено 31 попадание (углы планиро</w:t>
      </w:r>
      <w:r w:rsidRPr="001E2C69">
        <w:rPr>
          <w:color w:val="000000" w:themeColor="text1"/>
          <w:sz w:val="16"/>
          <w:szCs w:val="16"/>
        </w:rPr>
        <w:softHyphen/>
        <w:t xml:space="preserve">вания от 5—10° до 25—30°): 18 прямых попаданий в танк </w:t>
      </w:r>
      <w:r w:rsidRPr="001E2C69">
        <w:rPr>
          <w:color w:val="000000" w:themeColor="text1"/>
          <w:sz w:val="16"/>
          <w:szCs w:val="16"/>
          <w:lang w:val="en-US"/>
        </w:rPr>
        <w:t>Pz</w:t>
      </w:r>
      <w:r w:rsidRPr="001E2C69">
        <w:rPr>
          <w:color w:val="000000" w:themeColor="text1"/>
          <w:sz w:val="16"/>
          <w:szCs w:val="16"/>
        </w:rPr>
        <w:t>.</w:t>
      </w:r>
      <w:r w:rsidRPr="001E2C69">
        <w:rPr>
          <w:color w:val="000000" w:themeColor="text1"/>
          <w:sz w:val="16"/>
          <w:szCs w:val="16"/>
          <w:lang w:val="en-US"/>
        </w:rPr>
        <w:t>III</w:t>
      </w:r>
      <w:r w:rsidRPr="001E2C69">
        <w:rPr>
          <w:color w:val="000000" w:themeColor="text1"/>
          <w:sz w:val="16"/>
          <w:szCs w:val="16"/>
        </w:rPr>
        <w:t xml:space="preserve"> и 13 попаданий — в танк </w:t>
      </w:r>
      <w:r w:rsidRPr="001E2C69">
        <w:rPr>
          <w:color w:val="000000" w:themeColor="text1"/>
          <w:sz w:val="16"/>
          <w:szCs w:val="16"/>
          <w:lang w:val="en-US"/>
        </w:rPr>
        <w:t>Pz</w:t>
      </w:r>
      <w:r w:rsidRPr="001E2C69">
        <w:rPr>
          <w:color w:val="000000" w:themeColor="text1"/>
          <w:sz w:val="16"/>
          <w:szCs w:val="16"/>
        </w:rPr>
        <w:t>.38 (</w:t>
      </w:r>
      <w:r w:rsidRPr="001E2C69">
        <w:rPr>
          <w:color w:val="000000" w:themeColor="text1"/>
          <w:sz w:val="16"/>
          <w:szCs w:val="16"/>
          <w:lang w:val="en-US"/>
        </w:rPr>
        <w:t>t</w:t>
      </w:r>
      <w:r w:rsidRPr="001E2C69">
        <w:rPr>
          <w:color w:val="000000" w:themeColor="text1"/>
          <w:sz w:val="16"/>
          <w:szCs w:val="16"/>
        </w:rPr>
        <w:t>). При этом средний процент попаданий в танк точки на</w:t>
      </w:r>
      <w:r w:rsidRPr="001E2C69">
        <w:rPr>
          <w:color w:val="000000" w:themeColor="text1"/>
          <w:sz w:val="16"/>
          <w:szCs w:val="16"/>
        </w:rPr>
        <w:softHyphen/>
        <w:t>водки ведущего летчика-испытателя НИП АВ май</w:t>
      </w:r>
      <w:r w:rsidRPr="001E2C69">
        <w:rPr>
          <w:color w:val="000000" w:themeColor="text1"/>
          <w:sz w:val="16"/>
          <w:szCs w:val="16"/>
        </w:rPr>
        <w:softHyphen/>
        <w:t>ора Н. И. Звонарева, имевшего отличную летную и стрелковую подготовку, составлял 12% (16 попа</w:t>
      </w:r>
      <w:r w:rsidRPr="001E2C69">
        <w:rPr>
          <w:color w:val="000000" w:themeColor="text1"/>
          <w:sz w:val="16"/>
          <w:szCs w:val="16"/>
        </w:rPr>
        <w:softHyphen/>
        <w:t>даний из 134 выстрелов в семи полетах) и 18% при стрельбе по колонне танков. Капитан В. М. Крав</w:t>
      </w:r>
      <w:r w:rsidRPr="001E2C69">
        <w:rPr>
          <w:color w:val="000000" w:themeColor="text1"/>
          <w:sz w:val="16"/>
          <w:szCs w:val="16"/>
        </w:rPr>
        <w:softHyphen/>
        <w:t>ченко в 12 полетах при 154 выстрелах смог обе</w:t>
      </w:r>
      <w:r w:rsidRPr="001E2C69">
        <w:rPr>
          <w:color w:val="000000" w:themeColor="text1"/>
          <w:sz w:val="16"/>
          <w:szCs w:val="16"/>
        </w:rPr>
        <w:softHyphen/>
        <w:t>спечить в этих же условиях лишь 2% попаданий в танк точки наводки и 6% попаданий в колонну танков.</w:t>
      </w:r>
    </w:p>
    <w:p w14:paraId="7CC86096"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Было зафиксировано всего 5 сквозных проби</w:t>
      </w:r>
      <w:r w:rsidRPr="001E2C69">
        <w:rPr>
          <w:color w:val="000000" w:themeColor="text1"/>
          <w:sz w:val="16"/>
          <w:szCs w:val="16"/>
        </w:rPr>
        <w:softHyphen/>
        <w:t xml:space="preserve">тий верхней брони немецких танков: 4 — в 10-мм броне над моторным отделением легкого танка </w:t>
      </w:r>
      <w:r w:rsidRPr="001E2C69">
        <w:rPr>
          <w:color w:val="000000" w:themeColor="text1"/>
          <w:sz w:val="16"/>
          <w:szCs w:val="16"/>
          <w:lang w:val="en-US"/>
        </w:rPr>
        <w:t>Pz</w:t>
      </w:r>
      <w:r w:rsidRPr="001E2C69">
        <w:rPr>
          <w:color w:val="000000" w:themeColor="text1"/>
          <w:sz w:val="16"/>
          <w:szCs w:val="16"/>
        </w:rPr>
        <w:t>.38 (</w:t>
      </w:r>
      <w:r w:rsidRPr="001E2C69">
        <w:rPr>
          <w:color w:val="000000" w:themeColor="text1"/>
          <w:sz w:val="16"/>
          <w:szCs w:val="16"/>
          <w:lang w:val="en-US"/>
        </w:rPr>
        <w:t>t</w:t>
      </w:r>
      <w:r w:rsidRPr="001E2C69">
        <w:rPr>
          <w:color w:val="000000" w:themeColor="text1"/>
          <w:sz w:val="16"/>
          <w:szCs w:val="16"/>
        </w:rPr>
        <w:t xml:space="preserve">) и 1 — в 16-мм броне танка </w:t>
      </w:r>
      <w:r w:rsidRPr="001E2C69">
        <w:rPr>
          <w:color w:val="000000" w:themeColor="text1"/>
          <w:sz w:val="16"/>
          <w:szCs w:val="16"/>
          <w:lang w:val="en-US"/>
        </w:rPr>
        <w:t>Pz</w:t>
      </w:r>
      <w:r w:rsidRPr="001E2C69">
        <w:rPr>
          <w:color w:val="000000" w:themeColor="text1"/>
          <w:sz w:val="16"/>
          <w:szCs w:val="16"/>
        </w:rPr>
        <w:t>.</w:t>
      </w:r>
      <w:r w:rsidRPr="001E2C69">
        <w:rPr>
          <w:color w:val="000000" w:themeColor="text1"/>
          <w:sz w:val="16"/>
          <w:szCs w:val="16"/>
          <w:lang w:val="en-US"/>
        </w:rPr>
        <w:t>III</w:t>
      </w:r>
      <w:r w:rsidRPr="001E2C69">
        <w:rPr>
          <w:color w:val="000000" w:themeColor="text1"/>
          <w:sz w:val="16"/>
          <w:szCs w:val="16"/>
        </w:rPr>
        <w:t>. Во всех случаях атака производилась с пикирования под углом 30°.</w:t>
      </w:r>
    </w:p>
    <w:p w14:paraId="2E2E4BC9"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При стрельбе из пушек Ш-37 с самолета Ил-2 летчик с высокой квалификацией, каковым являл</w:t>
      </w:r>
      <w:r w:rsidRPr="001E2C69">
        <w:rPr>
          <w:color w:val="000000" w:themeColor="text1"/>
          <w:sz w:val="16"/>
          <w:szCs w:val="16"/>
        </w:rPr>
        <w:softHyphen/>
        <w:t>ся майор Звонарев, при расходе в общей сложно</w:t>
      </w:r>
      <w:r w:rsidRPr="001E2C69">
        <w:rPr>
          <w:color w:val="000000" w:themeColor="text1"/>
          <w:sz w:val="16"/>
          <w:szCs w:val="16"/>
        </w:rPr>
        <w:softHyphen/>
        <w:t xml:space="preserve">сти 153 снарядов обеспечил 23 попадания в танк (стрельба очередями по 3—5 выстрелов, углы планирования от 5—10° до 25—30°). При этом из 16 попаданий в легкие танки типа </w:t>
      </w:r>
      <w:r w:rsidRPr="001E2C69">
        <w:rPr>
          <w:color w:val="000000" w:themeColor="text1"/>
          <w:sz w:val="16"/>
          <w:szCs w:val="16"/>
          <w:lang w:val="en-US"/>
        </w:rPr>
        <w:t>Pz</w:t>
      </w:r>
      <w:r w:rsidRPr="001E2C69">
        <w:rPr>
          <w:color w:val="000000" w:themeColor="text1"/>
          <w:sz w:val="16"/>
          <w:szCs w:val="16"/>
        </w:rPr>
        <w:t>.</w:t>
      </w:r>
      <w:r w:rsidRPr="001E2C69">
        <w:rPr>
          <w:color w:val="000000" w:themeColor="text1"/>
          <w:sz w:val="16"/>
          <w:szCs w:val="16"/>
          <w:lang w:val="en-US"/>
        </w:rPr>
        <w:t>II</w:t>
      </w:r>
      <w:r w:rsidRPr="001E2C69">
        <w:rPr>
          <w:color w:val="000000" w:themeColor="text1"/>
          <w:sz w:val="16"/>
          <w:szCs w:val="16"/>
        </w:rPr>
        <w:t xml:space="preserve"> и </w:t>
      </w:r>
      <w:r w:rsidRPr="001E2C69">
        <w:rPr>
          <w:color w:val="000000" w:themeColor="text1"/>
          <w:sz w:val="16"/>
          <w:szCs w:val="16"/>
          <w:lang w:val="en-US"/>
        </w:rPr>
        <w:t>Pz</w:t>
      </w:r>
      <w:r w:rsidRPr="001E2C69">
        <w:rPr>
          <w:color w:val="000000" w:themeColor="text1"/>
          <w:sz w:val="16"/>
          <w:szCs w:val="16"/>
        </w:rPr>
        <w:t>.38 (</w:t>
      </w:r>
      <w:r w:rsidRPr="001E2C69">
        <w:rPr>
          <w:color w:val="000000" w:themeColor="text1"/>
          <w:sz w:val="16"/>
          <w:szCs w:val="16"/>
          <w:lang w:val="en-US"/>
        </w:rPr>
        <w:t>t</w:t>
      </w:r>
      <w:r w:rsidRPr="001E2C69">
        <w:rPr>
          <w:color w:val="000000" w:themeColor="text1"/>
          <w:sz w:val="16"/>
          <w:szCs w:val="16"/>
        </w:rPr>
        <w:t>) было получено 10 зачетных пробитий брони (борт и башня — толщина брони 15—30 мм), а из 7 по</w:t>
      </w:r>
      <w:r w:rsidRPr="001E2C69">
        <w:rPr>
          <w:color w:val="000000" w:themeColor="text1"/>
          <w:sz w:val="16"/>
          <w:szCs w:val="16"/>
        </w:rPr>
        <w:softHyphen/>
        <w:t xml:space="preserve">паданий в средний танк типа </w:t>
      </w:r>
      <w:r w:rsidRPr="001E2C69">
        <w:rPr>
          <w:color w:val="000000" w:themeColor="text1"/>
          <w:sz w:val="16"/>
          <w:szCs w:val="16"/>
          <w:lang w:val="en-US"/>
        </w:rPr>
        <w:t>Pz</w:t>
      </w:r>
      <w:r w:rsidRPr="001E2C69">
        <w:rPr>
          <w:color w:val="000000" w:themeColor="text1"/>
          <w:sz w:val="16"/>
          <w:szCs w:val="16"/>
        </w:rPr>
        <w:t>.</w:t>
      </w:r>
      <w:r w:rsidRPr="001E2C69">
        <w:rPr>
          <w:color w:val="000000" w:themeColor="text1"/>
          <w:sz w:val="16"/>
          <w:szCs w:val="16"/>
          <w:lang w:val="en-US"/>
        </w:rPr>
        <w:t>III</w:t>
      </w:r>
      <w:r w:rsidRPr="001E2C69">
        <w:rPr>
          <w:color w:val="000000" w:themeColor="text1"/>
          <w:sz w:val="16"/>
          <w:szCs w:val="16"/>
        </w:rPr>
        <w:t xml:space="preserve"> пробитий было всего два (оба в борт — броня 30 мм).</w:t>
      </w:r>
    </w:p>
    <w:p w14:paraId="411E2A12"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Для получения наилучших результатов при стрельбе из пушек Ш-37 с самолета Ил-2 длина очереди ограничивалась 3—7 выстрелами. Более двух очередей за один заход делать не рекомен</w:t>
      </w:r>
      <w:r w:rsidRPr="001E2C69">
        <w:rPr>
          <w:color w:val="000000" w:themeColor="text1"/>
          <w:sz w:val="16"/>
          <w:szCs w:val="16"/>
        </w:rPr>
        <w:softHyphen/>
        <w:t>довалось. Майор Звонарев указывал: «Дистанция прицеливания 800—600 м для летчика средней техники пилотирования на данном типе самолета дает вполне достаточное время для наведения са</w:t>
      </w:r>
      <w:r w:rsidRPr="001E2C69">
        <w:rPr>
          <w:color w:val="000000" w:themeColor="text1"/>
          <w:sz w:val="16"/>
          <w:szCs w:val="16"/>
        </w:rPr>
        <w:softHyphen/>
        <w:t>молета на цель, и при заданной дистанции откры</w:t>
      </w:r>
      <w:r w:rsidRPr="001E2C69">
        <w:rPr>
          <w:color w:val="000000" w:themeColor="text1"/>
          <w:sz w:val="16"/>
          <w:szCs w:val="16"/>
        </w:rPr>
        <w:softHyphen/>
        <w:t>тия огня 600—400 м возможно дать прицельную очередь от 5 до 7 выстрелов». Стрельба с самолета Ил-2 из одной пушки Ш-37 допускалась, но длина очереди при этом сокращалась до 2—3 выстрелов, так как «во время стрельбы точка наводки сбивает</w:t>
      </w:r>
      <w:r w:rsidRPr="001E2C69">
        <w:rPr>
          <w:color w:val="000000" w:themeColor="text1"/>
          <w:sz w:val="16"/>
          <w:szCs w:val="16"/>
        </w:rPr>
        <w:softHyphen/>
        <w:t>ся» и «не хватает возможности парировать рулями уход самолета с точки наводки». Из-за того что про</w:t>
      </w:r>
      <w:r w:rsidRPr="001E2C69">
        <w:rPr>
          <w:color w:val="000000" w:themeColor="text1"/>
          <w:sz w:val="16"/>
          <w:szCs w:val="16"/>
        </w:rPr>
        <w:softHyphen/>
        <w:t>садка Ил-2 с «большими пушками» на выводе из пи</w:t>
      </w:r>
      <w:r w:rsidRPr="001E2C69">
        <w:rPr>
          <w:color w:val="000000" w:themeColor="text1"/>
          <w:sz w:val="16"/>
          <w:szCs w:val="16"/>
        </w:rPr>
        <w:softHyphen/>
        <w:t>кирования была несколько больше, чем у обычно</w:t>
      </w:r>
      <w:r w:rsidRPr="001E2C69">
        <w:rPr>
          <w:color w:val="000000" w:themeColor="text1"/>
          <w:sz w:val="16"/>
          <w:szCs w:val="16"/>
        </w:rPr>
        <w:softHyphen/>
        <w:t>го серийного Ил-2, скорость ввода в пикирование ограничивалась 220 км/ч по прибору.</w:t>
      </w:r>
    </w:p>
    <w:p w14:paraId="3D40DC64"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Испытание пушки ШВАК стрельбой по трофей</w:t>
      </w:r>
      <w:r w:rsidRPr="001E2C69">
        <w:rPr>
          <w:color w:val="000000" w:themeColor="text1"/>
          <w:sz w:val="16"/>
          <w:szCs w:val="16"/>
        </w:rPr>
        <w:softHyphen/>
        <w:t xml:space="preserve">ным танкам показало, что бронебойно-зажигатель- ный снаряд БЗ-20 этой пушки может пробить броню толщиной до 15 мм (танки </w:t>
      </w:r>
      <w:r w:rsidRPr="001E2C69">
        <w:rPr>
          <w:color w:val="000000" w:themeColor="text1"/>
          <w:sz w:val="16"/>
          <w:szCs w:val="16"/>
          <w:lang w:val="en-US"/>
        </w:rPr>
        <w:t>Pz</w:t>
      </w:r>
      <w:r w:rsidRPr="001E2C69">
        <w:rPr>
          <w:color w:val="000000" w:themeColor="text1"/>
          <w:sz w:val="16"/>
          <w:szCs w:val="16"/>
        </w:rPr>
        <w:t>.</w:t>
      </w:r>
      <w:r w:rsidRPr="001E2C69">
        <w:rPr>
          <w:color w:val="000000" w:themeColor="text1"/>
          <w:sz w:val="16"/>
          <w:szCs w:val="16"/>
          <w:lang w:val="en-US"/>
        </w:rPr>
        <w:t>II</w:t>
      </w:r>
      <w:r w:rsidRPr="001E2C69">
        <w:rPr>
          <w:color w:val="000000" w:themeColor="text1"/>
          <w:sz w:val="16"/>
          <w:szCs w:val="16"/>
        </w:rPr>
        <w:t xml:space="preserve">, </w:t>
      </w:r>
      <w:r w:rsidRPr="001E2C69">
        <w:rPr>
          <w:color w:val="000000" w:themeColor="text1"/>
          <w:sz w:val="16"/>
          <w:szCs w:val="16"/>
          <w:lang w:val="en-US"/>
        </w:rPr>
        <w:t>Pz</w:t>
      </w:r>
      <w:r w:rsidRPr="001E2C69">
        <w:rPr>
          <w:color w:val="000000" w:themeColor="text1"/>
          <w:sz w:val="16"/>
          <w:szCs w:val="16"/>
        </w:rPr>
        <w:t>.38 (</w:t>
      </w:r>
      <w:r w:rsidRPr="001E2C69">
        <w:rPr>
          <w:color w:val="000000" w:themeColor="text1"/>
          <w:sz w:val="16"/>
          <w:szCs w:val="16"/>
          <w:lang w:val="en-US"/>
        </w:rPr>
        <w:t>t</w:t>
      </w:r>
      <w:r w:rsidRPr="001E2C69">
        <w:rPr>
          <w:color w:val="000000" w:themeColor="text1"/>
          <w:sz w:val="16"/>
          <w:szCs w:val="16"/>
        </w:rPr>
        <w:t>), бронема</w:t>
      </w:r>
      <w:r w:rsidRPr="001E2C69">
        <w:rPr>
          <w:color w:val="000000" w:themeColor="text1"/>
          <w:sz w:val="16"/>
          <w:szCs w:val="16"/>
        </w:rPr>
        <w:softHyphen/>
        <w:t xml:space="preserve">шина </w:t>
      </w:r>
      <w:r w:rsidRPr="001E2C69">
        <w:rPr>
          <w:color w:val="000000" w:themeColor="text1"/>
          <w:sz w:val="16"/>
          <w:szCs w:val="16"/>
          <w:lang w:val="en-US"/>
        </w:rPr>
        <w:t>Sd</w:t>
      </w:r>
      <w:r w:rsidRPr="001E2C69">
        <w:rPr>
          <w:color w:val="000000" w:themeColor="text1"/>
          <w:sz w:val="16"/>
          <w:szCs w:val="16"/>
        </w:rPr>
        <w:t xml:space="preserve"> </w:t>
      </w:r>
      <w:r w:rsidRPr="001E2C69">
        <w:rPr>
          <w:color w:val="000000" w:themeColor="text1"/>
          <w:sz w:val="16"/>
          <w:szCs w:val="16"/>
          <w:lang w:val="en-US"/>
        </w:rPr>
        <w:t>Kfz</w:t>
      </w:r>
      <w:r w:rsidRPr="001E2C69">
        <w:rPr>
          <w:color w:val="000000" w:themeColor="text1"/>
          <w:sz w:val="16"/>
          <w:szCs w:val="16"/>
        </w:rPr>
        <w:t xml:space="preserve"> 250) с дистанции не более 250—300 м при углах встречи, близких к нормали. При откло</w:t>
      </w:r>
      <w:r w:rsidRPr="001E2C69">
        <w:rPr>
          <w:color w:val="000000" w:themeColor="text1"/>
          <w:sz w:val="16"/>
          <w:szCs w:val="16"/>
        </w:rPr>
        <w:softHyphen/>
        <w:t>нении от этих условий стрельба становилась не</w:t>
      </w:r>
      <w:r w:rsidRPr="001E2C69">
        <w:rPr>
          <w:color w:val="000000" w:themeColor="text1"/>
          <w:sz w:val="16"/>
          <w:szCs w:val="16"/>
        </w:rPr>
        <w:softHyphen/>
        <w:t>эффективной. При угле встречи снаряда с броней более 40° сплошные рикошеты получались даже на участках брони толщиной 6—8 мм.</w:t>
      </w:r>
    </w:p>
    <w:p w14:paraId="7C53B8B9"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 xml:space="preserve">При стрельбах с самолета Ил-2 из 19 попаданий по бронемашине </w:t>
      </w:r>
      <w:r w:rsidRPr="001E2C69">
        <w:rPr>
          <w:color w:val="000000" w:themeColor="text1"/>
          <w:sz w:val="16"/>
          <w:szCs w:val="16"/>
          <w:lang w:val="en-US"/>
        </w:rPr>
        <w:t>Sd</w:t>
      </w:r>
      <w:r w:rsidRPr="001E2C69">
        <w:rPr>
          <w:color w:val="000000" w:themeColor="text1"/>
          <w:sz w:val="16"/>
          <w:szCs w:val="16"/>
        </w:rPr>
        <w:t xml:space="preserve"> </w:t>
      </w:r>
      <w:r w:rsidRPr="001E2C69">
        <w:rPr>
          <w:color w:val="000000" w:themeColor="text1"/>
          <w:sz w:val="16"/>
          <w:szCs w:val="16"/>
          <w:lang w:val="en-US"/>
        </w:rPr>
        <w:t>Kfz</w:t>
      </w:r>
      <w:r w:rsidRPr="001E2C69">
        <w:rPr>
          <w:color w:val="000000" w:themeColor="text1"/>
          <w:sz w:val="16"/>
          <w:szCs w:val="16"/>
        </w:rPr>
        <w:t xml:space="preserve"> 250 (высота подхода 400 м, угол планирования 30°, дистанция открытия огня 400 м) было получено всего 6 сквозных пробоин в 8-мм броне и 4 — в броне крыши капота мото</w:t>
      </w:r>
      <w:r w:rsidRPr="001E2C69">
        <w:rPr>
          <w:color w:val="000000" w:themeColor="text1"/>
          <w:sz w:val="16"/>
          <w:szCs w:val="16"/>
        </w:rPr>
        <w:softHyphen/>
        <w:t>ра толщиной 6 мм. В трех случаях имели место ри</w:t>
      </w:r>
      <w:r w:rsidRPr="001E2C69">
        <w:rPr>
          <w:color w:val="000000" w:themeColor="text1"/>
          <w:sz w:val="16"/>
          <w:szCs w:val="16"/>
        </w:rPr>
        <w:softHyphen/>
        <w:t>кошеты и шесть попаданий пришлись на ходовую часть. Существенных повреждений бронемашине они не нанесли.</w:t>
      </w:r>
    </w:p>
    <w:p w14:paraId="32E28D97"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Из 15 попаданий, полученных при стрельбе по легким танкам (высота подхода 100 м, угол плани</w:t>
      </w:r>
      <w:r w:rsidRPr="001E2C69">
        <w:rPr>
          <w:color w:val="000000" w:themeColor="text1"/>
          <w:sz w:val="16"/>
          <w:szCs w:val="16"/>
        </w:rPr>
        <w:softHyphen/>
        <w:t>рования 5—10°, дистанция открытия огня 400 м), только одно попадание в бортовую часть (толщи</w:t>
      </w:r>
      <w:r w:rsidRPr="001E2C69">
        <w:rPr>
          <w:color w:val="000000" w:themeColor="text1"/>
          <w:sz w:val="16"/>
          <w:szCs w:val="16"/>
        </w:rPr>
        <w:softHyphen/>
        <w:t>на брони 15 мм) оказалось сквозным. Еще в од</w:t>
      </w:r>
      <w:r w:rsidRPr="001E2C69">
        <w:rPr>
          <w:color w:val="000000" w:themeColor="text1"/>
          <w:sz w:val="16"/>
          <w:szCs w:val="16"/>
        </w:rPr>
        <w:softHyphen/>
        <w:t>ном случае сердечник застрял в броне толщиной 15 мм, что характеризует предельные возможности снаряда БЗ-20. Во всех остальных случаях снаря</w:t>
      </w:r>
      <w:r w:rsidRPr="001E2C69">
        <w:rPr>
          <w:color w:val="000000" w:themeColor="text1"/>
          <w:sz w:val="16"/>
          <w:szCs w:val="16"/>
        </w:rPr>
        <w:softHyphen/>
        <w:t>ды либо рикошетировали, либо попали в ходовую часть.</w:t>
      </w:r>
    </w:p>
    <w:p w14:paraId="385EA16A"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При стрельбе же по среднему немецкому тан</w:t>
      </w:r>
      <w:r w:rsidRPr="001E2C69">
        <w:rPr>
          <w:color w:val="000000" w:themeColor="text1"/>
          <w:sz w:val="16"/>
          <w:szCs w:val="16"/>
        </w:rPr>
        <w:softHyphen/>
        <w:t xml:space="preserve">ку </w:t>
      </w:r>
      <w:r w:rsidRPr="001E2C69">
        <w:rPr>
          <w:color w:val="000000" w:themeColor="text1"/>
          <w:sz w:val="16"/>
          <w:szCs w:val="16"/>
          <w:lang w:val="en-US"/>
        </w:rPr>
        <w:t>Pz</w:t>
      </w:r>
      <w:r w:rsidRPr="001E2C69">
        <w:rPr>
          <w:color w:val="000000" w:themeColor="text1"/>
          <w:sz w:val="16"/>
          <w:szCs w:val="16"/>
        </w:rPr>
        <w:t>.</w:t>
      </w:r>
      <w:r w:rsidRPr="001E2C69">
        <w:rPr>
          <w:color w:val="000000" w:themeColor="text1"/>
          <w:sz w:val="16"/>
          <w:szCs w:val="16"/>
          <w:lang w:val="en-US"/>
        </w:rPr>
        <w:t>III</w:t>
      </w:r>
      <w:r w:rsidRPr="001E2C69">
        <w:rPr>
          <w:color w:val="000000" w:themeColor="text1"/>
          <w:sz w:val="16"/>
          <w:szCs w:val="16"/>
        </w:rPr>
        <w:t xml:space="preserve"> в этих же условиях во всех 24 попаданиях вообще не было получено ни одного пробития брони.</w:t>
      </w:r>
    </w:p>
    <w:p w14:paraId="216324E5"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выводах отчета по испытаниям указывалось, что стрельба с самолета Ил-2 из пушек ШВАК по немецким легким и средним танкам совершен</w:t>
      </w:r>
      <w:r w:rsidRPr="001E2C69">
        <w:rPr>
          <w:color w:val="000000" w:themeColor="text1"/>
          <w:sz w:val="16"/>
          <w:szCs w:val="16"/>
        </w:rPr>
        <w:softHyphen/>
        <w:t>но неэффективна: «Самолеты Ил-2, вооруженные пушками ШВАК, по танкам использовать неэффек тивно, а лучше использовать их на 5—10 км в тылу по пехоте и горю</w:t>
      </w:r>
      <w:r w:rsidRPr="001E2C69">
        <w:rPr>
          <w:color w:val="000000" w:themeColor="text1"/>
          <w:sz w:val="16"/>
          <w:szCs w:val="16"/>
        </w:rPr>
        <w:softHyphen/>
        <w:t>чему, обеспечивающему танки».</w:t>
      </w:r>
    </w:p>
    <w:p w14:paraId="738B204F"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Стрельба с самолета Ил-2 из пу</w:t>
      </w:r>
      <w:r w:rsidRPr="001E2C69">
        <w:rPr>
          <w:color w:val="000000" w:themeColor="text1"/>
          <w:sz w:val="16"/>
          <w:szCs w:val="16"/>
        </w:rPr>
        <w:softHyphen/>
        <w:t xml:space="preserve">шек ВЯ показала, что устойчивое поражение легких танков типа </w:t>
      </w:r>
      <w:r w:rsidRPr="001E2C69">
        <w:rPr>
          <w:color w:val="000000" w:themeColor="text1"/>
          <w:sz w:val="16"/>
          <w:szCs w:val="16"/>
          <w:lang w:val="en-US"/>
        </w:rPr>
        <w:t>Pz</w:t>
      </w:r>
      <w:r w:rsidRPr="001E2C69">
        <w:rPr>
          <w:color w:val="000000" w:themeColor="text1"/>
          <w:sz w:val="16"/>
          <w:szCs w:val="16"/>
        </w:rPr>
        <w:t>.</w:t>
      </w:r>
      <w:r w:rsidRPr="001E2C69">
        <w:rPr>
          <w:color w:val="000000" w:themeColor="text1"/>
          <w:sz w:val="16"/>
          <w:szCs w:val="16"/>
          <w:lang w:val="en-US"/>
        </w:rPr>
        <w:t>II</w:t>
      </w:r>
      <w:r w:rsidRPr="001E2C69">
        <w:rPr>
          <w:color w:val="000000" w:themeColor="text1"/>
          <w:sz w:val="16"/>
          <w:szCs w:val="16"/>
        </w:rPr>
        <w:t xml:space="preserve"> и </w:t>
      </w:r>
      <w:r w:rsidRPr="001E2C69">
        <w:rPr>
          <w:color w:val="000000" w:themeColor="text1"/>
          <w:sz w:val="16"/>
          <w:szCs w:val="16"/>
          <w:lang w:val="en-US"/>
        </w:rPr>
        <w:t>Pz</w:t>
      </w:r>
      <w:r w:rsidRPr="001E2C69">
        <w:rPr>
          <w:color w:val="000000" w:themeColor="text1"/>
          <w:sz w:val="16"/>
          <w:szCs w:val="16"/>
        </w:rPr>
        <w:t>.38 (</w:t>
      </w:r>
      <w:r w:rsidRPr="001E2C69">
        <w:rPr>
          <w:color w:val="000000" w:themeColor="text1"/>
          <w:sz w:val="16"/>
          <w:szCs w:val="16"/>
          <w:lang w:val="en-US"/>
        </w:rPr>
        <w:t>t</w:t>
      </w:r>
      <w:r w:rsidRPr="001E2C69">
        <w:rPr>
          <w:color w:val="000000" w:themeColor="text1"/>
          <w:sz w:val="16"/>
          <w:szCs w:val="16"/>
        </w:rPr>
        <w:t>) обеспечивалось лишь при стрельбе бронебойно-зажигатель- ными снарядами БЗ-23. При этом атаку следовало производить сбоку или сзади с дистанции 300—400 м и при углах пикирования до 30°.</w:t>
      </w:r>
    </w:p>
    <w:p w14:paraId="3B635C9A"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 xml:space="preserve">Поражение танка </w:t>
      </w:r>
      <w:r w:rsidRPr="001E2C69">
        <w:rPr>
          <w:color w:val="000000" w:themeColor="text1"/>
          <w:sz w:val="16"/>
          <w:szCs w:val="16"/>
          <w:lang w:val="en-US"/>
        </w:rPr>
        <w:t>Pz</w:t>
      </w:r>
      <w:r w:rsidRPr="001E2C69">
        <w:rPr>
          <w:color w:val="000000" w:themeColor="text1"/>
          <w:sz w:val="16"/>
          <w:szCs w:val="16"/>
        </w:rPr>
        <w:t>.38 (</w:t>
      </w:r>
      <w:r w:rsidRPr="001E2C69">
        <w:rPr>
          <w:color w:val="000000" w:themeColor="text1"/>
          <w:sz w:val="16"/>
          <w:szCs w:val="16"/>
          <w:lang w:val="en-US"/>
        </w:rPr>
        <w:t>t</w:t>
      </w:r>
      <w:r w:rsidRPr="001E2C69">
        <w:rPr>
          <w:color w:val="000000" w:themeColor="text1"/>
          <w:sz w:val="16"/>
          <w:szCs w:val="16"/>
        </w:rPr>
        <w:t>) с уси</w:t>
      </w:r>
      <w:r w:rsidRPr="001E2C69">
        <w:rPr>
          <w:color w:val="000000" w:themeColor="text1"/>
          <w:sz w:val="16"/>
          <w:szCs w:val="16"/>
        </w:rPr>
        <w:softHyphen/>
        <w:t>ленным бронированием при тех же условиях атаки было возмож</w:t>
      </w:r>
      <w:r w:rsidRPr="001E2C69">
        <w:rPr>
          <w:color w:val="000000" w:themeColor="text1"/>
          <w:sz w:val="16"/>
          <w:szCs w:val="16"/>
        </w:rPr>
        <w:softHyphen/>
        <w:t>ным только в борт у ходовой части танка, где устанавливалась 15-мм броня. Но попадания в «чистую» броню были маловероятными, по</w:t>
      </w:r>
      <w:r w:rsidRPr="001E2C69">
        <w:rPr>
          <w:color w:val="000000" w:themeColor="text1"/>
          <w:sz w:val="16"/>
          <w:szCs w:val="16"/>
        </w:rPr>
        <w:softHyphen/>
        <w:t>скольку большая ее часть закрыва</w:t>
      </w:r>
      <w:r w:rsidRPr="001E2C69">
        <w:rPr>
          <w:color w:val="000000" w:themeColor="text1"/>
          <w:sz w:val="16"/>
          <w:szCs w:val="16"/>
        </w:rPr>
        <w:softHyphen/>
        <w:t>лась роликами, катками и гусеницами, а попадания в элементы ходовой части повреждений танку не на носили.</w:t>
      </w:r>
    </w:p>
    <w:p w14:paraId="6DE45AFB"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 xml:space="preserve">Броня средних танков типа </w:t>
      </w:r>
      <w:r w:rsidRPr="001E2C69">
        <w:rPr>
          <w:color w:val="000000" w:themeColor="text1"/>
          <w:sz w:val="16"/>
          <w:szCs w:val="16"/>
          <w:lang w:val="en-US"/>
        </w:rPr>
        <w:t>Pz</w:t>
      </w:r>
      <w:r w:rsidRPr="001E2C69">
        <w:rPr>
          <w:color w:val="000000" w:themeColor="text1"/>
          <w:sz w:val="16"/>
          <w:szCs w:val="16"/>
        </w:rPr>
        <w:t>.</w:t>
      </w:r>
      <w:r w:rsidRPr="001E2C69">
        <w:rPr>
          <w:color w:val="000000" w:themeColor="text1"/>
          <w:sz w:val="16"/>
          <w:szCs w:val="16"/>
          <w:lang w:val="en-US"/>
        </w:rPr>
        <w:t>III</w:t>
      </w:r>
      <w:r w:rsidRPr="001E2C69">
        <w:rPr>
          <w:color w:val="000000" w:themeColor="text1"/>
          <w:sz w:val="16"/>
          <w:szCs w:val="16"/>
        </w:rPr>
        <w:t xml:space="preserve"> и </w:t>
      </w:r>
      <w:r w:rsidRPr="001E2C69">
        <w:rPr>
          <w:color w:val="000000" w:themeColor="text1"/>
          <w:sz w:val="16"/>
          <w:szCs w:val="16"/>
          <w:lang w:val="en-US"/>
        </w:rPr>
        <w:t>StuG</w:t>
      </w:r>
      <w:r w:rsidRPr="001E2C69">
        <w:rPr>
          <w:color w:val="000000" w:themeColor="text1"/>
          <w:sz w:val="16"/>
          <w:szCs w:val="16"/>
        </w:rPr>
        <w:t xml:space="preserve"> III с тол</w:t>
      </w:r>
      <w:r w:rsidRPr="001E2C69">
        <w:rPr>
          <w:color w:val="000000" w:themeColor="text1"/>
          <w:sz w:val="16"/>
          <w:szCs w:val="16"/>
        </w:rPr>
        <w:softHyphen/>
        <w:t>щиной бортовой брони 30 мм и лобовой 50 мм при стрельбе с самолета Ил-2 из пушки ВЯ не поража</w:t>
      </w:r>
      <w:r w:rsidRPr="001E2C69">
        <w:rPr>
          <w:color w:val="000000" w:themeColor="text1"/>
          <w:sz w:val="16"/>
          <w:szCs w:val="16"/>
        </w:rPr>
        <w:softHyphen/>
        <w:t>лась ни с одного направления атаки.</w:t>
      </w:r>
    </w:p>
    <w:p w14:paraId="6C83439F"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Поражение надмоторной брони и брони крыши башен немецких танков всех типов при стрельбе из пушек ВЯ и ШВАК получалось лишь при углах пи</w:t>
      </w:r>
      <w:r w:rsidRPr="001E2C69">
        <w:rPr>
          <w:color w:val="000000" w:themeColor="text1"/>
          <w:sz w:val="16"/>
          <w:szCs w:val="16"/>
        </w:rPr>
        <w:softHyphen/>
        <w:t>кирования более 40°. Однако пилотирование Ил-2 на этих режимах было сложным, а вероятность по</w:t>
      </w:r>
      <w:r w:rsidRPr="001E2C69">
        <w:rPr>
          <w:color w:val="000000" w:themeColor="text1"/>
          <w:sz w:val="16"/>
          <w:szCs w:val="16"/>
        </w:rPr>
        <w:softHyphen/>
        <w:t>падания в уязвимые части танков (из-за малой их площади) — небольшой.</w:t>
      </w:r>
    </w:p>
    <w:p w14:paraId="02C60F18"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Другими словами, штурмовик Ил-2, вооружен</w:t>
      </w:r>
      <w:r w:rsidRPr="001E2C69">
        <w:rPr>
          <w:color w:val="000000" w:themeColor="text1"/>
          <w:sz w:val="16"/>
          <w:szCs w:val="16"/>
        </w:rPr>
        <w:softHyphen/>
        <w:t>ный пушками ВЯ, мог наносить устойчивое пораже</w:t>
      </w:r>
      <w:r w:rsidRPr="001E2C69">
        <w:rPr>
          <w:color w:val="000000" w:themeColor="text1"/>
          <w:sz w:val="16"/>
          <w:szCs w:val="16"/>
        </w:rPr>
        <w:softHyphen/>
        <w:t>ние только легким танкам и бронемашинам с тол</w:t>
      </w:r>
      <w:r w:rsidRPr="001E2C69">
        <w:rPr>
          <w:color w:val="000000" w:themeColor="text1"/>
          <w:sz w:val="16"/>
          <w:szCs w:val="16"/>
        </w:rPr>
        <w:softHyphen/>
        <w:t>щиной брони до 20 мм. Причем в среднем только 30% попаданий бронебойно-зажигательных снаря</w:t>
      </w:r>
      <w:r w:rsidRPr="001E2C69">
        <w:rPr>
          <w:color w:val="000000" w:themeColor="text1"/>
          <w:sz w:val="16"/>
          <w:szCs w:val="16"/>
        </w:rPr>
        <w:softHyphen/>
        <w:t>дов БЗ-23 в броню давали сквозные пробоины.</w:t>
      </w:r>
    </w:p>
    <w:p w14:paraId="033DC797"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 мнению летчиков-испытателей НИП АВ, са</w:t>
      </w:r>
      <w:r w:rsidRPr="001E2C69">
        <w:rPr>
          <w:color w:val="000000" w:themeColor="text1"/>
          <w:sz w:val="16"/>
          <w:szCs w:val="16"/>
        </w:rPr>
        <w:softHyphen/>
        <w:t>мой эффективной стрельбой из пушек по танкам с самолета Ил-2 с точки зрения лучших условий ориентировки, маневрирования, времени нахож</w:t>
      </w:r>
      <w:r w:rsidRPr="001E2C69">
        <w:rPr>
          <w:color w:val="000000" w:themeColor="text1"/>
          <w:sz w:val="16"/>
          <w:szCs w:val="16"/>
        </w:rPr>
        <w:softHyphen/>
        <w:t>дения на боевом курсе, точности прицеливания и т.д. являлась стрельба с пикирования под углом 25—30°.</w:t>
      </w:r>
    </w:p>
    <w:p w14:paraId="741EA45A"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При этом высота ввода в пикирование составля</w:t>
      </w:r>
      <w:r w:rsidRPr="001E2C69">
        <w:rPr>
          <w:color w:val="000000" w:themeColor="text1"/>
          <w:sz w:val="16"/>
          <w:szCs w:val="16"/>
        </w:rPr>
        <w:softHyphen/>
        <w:t>ла 500—700 м, скорость на вводе — 240—220 км/ч по прибору, высота вывода — 200—150 м. Ско</w:t>
      </w:r>
      <w:r w:rsidRPr="001E2C69">
        <w:rPr>
          <w:color w:val="000000" w:themeColor="text1"/>
          <w:sz w:val="16"/>
          <w:szCs w:val="16"/>
        </w:rPr>
        <w:softHyphen/>
        <w:t>рость Ил-2 на планировании при этих углах увели</w:t>
      </w:r>
      <w:r w:rsidRPr="001E2C69">
        <w:rPr>
          <w:color w:val="000000" w:themeColor="text1"/>
          <w:sz w:val="16"/>
          <w:szCs w:val="16"/>
        </w:rPr>
        <w:softHyphen/>
        <w:t>чивалась незначительно — всего на 9—11 м/с, что допускало маневрирование для уточнения наводки по прицелу или трассе. Полное время атаки цели колебалось от 6 до 9 с. Это позволяло летчику сде</w:t>
      </w:r>
      <w:r w:rsidRPr="001E2C69">
        <w:rPr>
          <w:color w:val="000000" w:themeColor="text1"/>
          <w:sz w:val="16"/>
          <w:szCs w:val="16"/>
        </w:rPr>
        <w:softHyphen/>
        <w:t>лать 2—3 прицельные очереди из пушек ВЯ и 1—2 очереди из пушек Ш-37.</w:t>
      </w:r>
    </w:p>
    <w:p w14:paraId="5693FFE2"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Действительно, на устранение бокового сколь</w:t>
      </w:r>
      <w:r w:rsidRPr="001E2C69">
        <w:rPr>
          <w:color w:val="000000" w:themeColor="text1"/>
          <w:sz w:val="16"/>
          <w:szCs w:val="16"/>
        </w:rPr>
        <w:softHyphen/>
        <w:t>жения штурмовика при развороте на цель в сред</w:t>
      </w:r>
      <w:r w:rsidRPr="001E2C69">
        <w:rPr>
          <w:color w:val="000000" w:themeColor="text1"/>
          <w:sz w:val="16"/>
          <w:szCs w:val="16"/>
        </w:rPr>
        <w:softHyphen/>
        <w:t>нем необходимо затратить около 1,5—2 с, на при</w:t>
      </w:r>
      <w:r w:rsidRPr="001E2C69">
        <w:rPr>
          <w:color w:val="000000" w:themeColor="text1"/>
          <w:sz w:val="16"/>
          <w:szCs w:val="16"/>
        </w:rPr>
        <w:softHyphen/>
        <w:t>целивание и исправление наводки между очере</w:t>
      </w:r>
      <w:r w:rsidRPr="001E2C69">
        <w:rPr>
          <w:color w:val="000000" w:themeColor="text1"/>
          <w:sz w:val="16"/>
          <w:szCs w:val="16"/>
        </w:rPr>
        <w:softHyphen/>
        <w:t>дями требуется также 1,5—2 с, длина очереди не должна превышать одной секунды. Ведение огня из пушек ВЯ и Ш-37 более 1—2 с приводило к суще</w:t>
      </w:r>
      <w:r w:rsidRPr="001E2C69">
        <w:rPr>
          <w:color w:val="000000" w:themeColor="text1"/>
          <w:sz w:val="16"/>
          <w:szCs w:val="16"/>
        </w:rPr>
        <w:softHyphen/>
        <w:t>ственному нарушению наводки и к резкому увели</w:t>
      </w:r>
      <w:r w:rsidRPr="001E2C69">
        <w:rPr>
          <w:color w:val="000000" w:themeColor="text1"/>
          <w:sz w:val="16"/>
          <w:szCs w:val="16"/>
        </w:rPr>
        <w:softHyphen/>
        <w:t>чению рассеивания снарядов, то есть к снижению точности стрельбы. Дистанция начала прицелива</w:t>
      </w:r>
      <w:r w:rsidRPr="001E2C69">
        <w:rPr>
          <w:color w:val="000000" w:themeColor="text1"/>
          <w:sz w:val="16"/>
          <w:szCs w:val="16"/>
        </w:rPr>
        <w:softHyphen/>
        <w:t>ния — 600—800 м, минимальная дистанция откры</w:t>
      </w:r>
      <w:r w:rsidRPr="001E2C69">
        <w:rPr>
          <w:color w:val="000000" w:themeColor="text1"/>
          <w:sz w:val="16"/>
          <w:szCs w:val="16"/>
        </w:rPr>
        <w:softHyphen/>
        <w:t>тия огня — около 300—400 м.</w:t>
      </w:r>
    </w:p>
    <w:p w14:paraId="06CC68BB"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Результаты наземных подрывов ракетных оско</w:t>
      </w:r>
      <w:r w:rsidRPr="001E2C69">
        <w:rPr>
          <w:color w:val="000000" w:themeColor="text1"/>
          <w:sz w:val="16"/>
          <w:szCs w:val="16"/>
        </w:rPr>
        <w:softHyphen/>
        <w:t>лочных снарядов (РС-82, РС-132) подтвердили, что поражение танков боеприпасами этого типа возможно лишь при прямом попадании в танк. Во всех остальных случаях танк получал поврежде дения, серьезно не влиявшие на его боеспособ</w:t>
      </w:r>
      <w:r w:rsidRPr="001E2C69">
        <w:rPr>
          <w:color w:val="000000" w:themeColor="text1"/>
          <w:sz w:val="16"/>
          <w:szCs w:val="16"/>
        </w:rPr>
        <w:softHyphen/>
        <w:t>ность.</w:t>
      </w:r>
    </w:p>
    <w:p w14:paraId="6ADA896D"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Разрывы осколочно-фугасных ракетных снаря</w:t>
      </w:r>
      <w:r w:rsidRPr="001E2C69">
        <w:rPr>
          <w:color w:val="000000" w:themeColor="text1"/>
          <w:sz w:val="16"/>
          <w:szCs w:val="16"/>
        </w:rPr>
        <w:softHyphen/>
        <w:t>дов РОФС-132 на расстоянии 3 м от легких танков вполне обеспечивали пробитие осколками брони толщиной 16 мм. Осколки бетонобойных ракетных снарядов РБТС-203 в этих же условиях устойчиво пробивали 30-мм броню средних немецких танков. Размер пробоин достигал 4—12 см в поперечнике. Более того, от воздействия взрывной волны разру</w:t>
      </w:r>
      <w:r w:rsidRPr="001E2C69">
        <w:rPr>
          <w:color w:val="000000" w:themeColor="text1"/>
          <w:sz w:val="16"/>
          <w:szCs w:val="16"/>
        </w:rPr>
        <w:softHyphen/>
        <w:t>шались заклепочные и сварные швы и срывались с посадочных мест бронеплиты. Значительные по</w:t>
      </w:r>
      <w:r w:rsidRPr="001E2C69">
        <w:rPr>
          <w:color w:val="000000" w:themeColor="text1"/>
          <w:sz w:val="16"/>
          <w:szCs w:val="16"/>
        </w:rPr>
        <w:softHyphen/>
        <w:t>ражения наносились ходовой части танков (про</w:t>
      </w:r>
      <w:r w:rsidRPr="001E2C69">
        <w:rPr>
          <w:color w:val="000000" w:themeColor="text1"/>
          <w:sz w:val="16"/>
          <w:szCs w:val="16"/>
        </w:rPr>
        <w:softHyphen/>
        <w:t>битие гидравлических амортизаторов, разрушения зубьев ведущего колеса, пробитие и срыв роликов и ведущего колеса, срыв гусениц). Во всех случаях танк выходил из строя, но не уничтожался. Для по</w:t>
      </w:r>
      <w:r w:rsidRPr="001E2C69">
        <w:rPr>
          <w:color w:val="000000" w:themeColor="text1"/>
          <w:sz w:val="16"/>
          <w:szCs w:val="16"/>
        </w:rPr>
        <w:softHyphen/>
        <w:t>ражения танка необходимо было только прямое попадание в танк.</w:t>
      </w:r>
    </w:p>
    <w:p w14:paraId="5CD6FCFA"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lastRenderedPageBreak/>
        <w:t>Между тем точность стрельбы в воздухе ракет</w:t>
      </w:r>
      <w:r w:rsidRPr="001E2C69">
        <w:rPr>
          <w:color w:val="000000" w:themeColor="text1"/>
          <w:sz w:val="16"/>
          <w:szCs w:val="16"/>
        </w:rPr>
        <w:softHyphen/>
        <w:t>ными снарядами всех типов была невысокой. Веро</w:t>
      </w:r>
      <w:r w:rsidRPr="001E2C69">
        <w:rPr>
          <w:color w:val="000000" w:themeColor="text1"/>
          <w:sz w:val="16"/>
          <w:szCs w:val="16"/>
        </w:rPr>
        <w:softHyphen/>
        <w:t>ятность попадания при стрельбе с самолета Ил-2 летчиком с отличной стрелковой и летной подго</w:t>
      </w:r>
      <w:r w:rsidRPr="001E2C69">
        <w:rPr>
          <w:color w:val="000000" w:themeColor="text1"/>
          <w:sz w:val="16"/>
          <w:szCs w:val="16"/>
        </w:rPr>
        <w:softHyphen/>
        <w:t>товкой (майор Звонарев) по колонне из 4 танков общей длиной 58 м оказалась всего 6,4%. Из 3 бо</w:t>
      </w:r>
      <w:r w:rsidRPr="001E2C69">
        <w:rPr>
          <w:color w:val="000000" w:themeColor="text1"/>
          <w:sz w:val="16"/>
          <w:szCs w:val="16"/>
        </w:rPr>
        <w:softHyphen/>
        <w:t>евых летчиков 245-го шап в колонну танков попал только старший лейтенант Канюко. При стрельбе по отдельным танкам результаты были еще хуже. Усредненная по всем летчикам вероятность попа</w:t>
      </w:r>
      <w:r w:rsidRPr="001E2C69">
        <w:rPr>
          <w:color w:val="000000" w:themeColor="text1"/>
          <w:sz w:val="16"/>
          <w:szCs w:val="16"/>
        </w:rPr>
        <w:softHyphen/>
        <w:t>дания в колонну танков не превысила 3,7%, а по от</w:t>
      </w:r>
      <w:r w:rsidRPr="001E2C69">
        <w:rPr>
          <w:color w:val="000000" w:themeColor="text1"/>
          <w:sz w:val="16"/>
          <w:szCs w:val="16"/>
        </w:rPr>
        <w:softHyphen/>
        <w:t>дельному танку — 1,1%. Эти результаты позволили специалистам НИП АВ сделать вывод, что «ведение стрельбы по отдель</w:t>
      </w:r>
      <w:r w:rsidRPr="001E2C69">
        <w:rPr>
          <w:color w:val="000000" w:themeColor="text1"/>
          <w:sz w:val="16"/>
          <w:szCs w:val="16"/>
        </w:rPr>
        <w:softHyphen/>
        <w:t>ным танкам и целям малых размеров (или длины) с самолета Ил-2 ракетными снарядами всех калибров считать неэф</w:t>
      </w:r>
      <w:r w:rsidRPr="001E2C69">
        <w:rPr>
          <w:color w:val="000000" w:themeColor="text1"/>
          <w:sz w:val="16"/>
          <w:szCs w:val="16"/>
        </w:rPr>
        <w:softHyphen/>
        <w:t>фективным». Вместе с этим отмечалось, что по площадным и линейно вытянутым целям применение РС дает определен</w:t>
      </w:r>
      <w:r w:rsidRPr="001E2C69">
        <w:rPr>
          <w:color w:val="000000" w:themeColor="text1"/>
          <w:sz w:val="16"/>
          <w:szCs w:val="16"/>
        </w:rPr>
        <w:softHyphen/>
        <w:t>ный эффект.</w:t>
      </w:r>
    </w:p>
    <w:p w14:paraId="3EB3EFB1"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Подрывы штатных бомб показали, что для борьбы с немецкими легкими танками могут использоваться только АО-25М-13, АО-25сл и ФАБ-50, которые наносят поражение танку с пробитием боковой брони толщиной 15—20 мм осколками при прямом попадании или в непосредственной близости от него. По средним танкам целесообразно применять фугасные бомбы типа ФАБ-100цк и ФАБ-250. При разрыве на рассто</w:t>
      </w:r>
      <w:r w:rsidRPr="001E2C69">
        <w:rPr>
          <w:color w:val="000000" w:themeColor="text1"/>
          <w:sz w:val="16"/>
          <w:szCs w:val="16"/>
        </w:rPr>
        <w:softHyphen/>
        <w:t>янии 1—5 м осколки этих бомб пробивают броню толщиной 30 мм, а от взрывной волны разруша</w:t>
      </w:r>
      <w:r w:rsidRPr="001E2C69">
        <w:rPr>
          <w:color w:val="000000" w:themeColor="text1"/>
          <w:sz w:val="16"/>
          <w:szCs w:val="16"/>
        </w:rPr>
        <w:softHyphen/>
        <w:t>ются заклепочные и сварные швы танков. Во всех случаях действия авиабомб осколки наносят суще</w:t>
      </w:r>
      <w:r w:rsidRPr="001E2C69">
        <w:rPr>
          <w:color w:val="000000" w:themeColor="text1"/>
          <w:sz w:val="16"/>
          <w:szCs w:val="16"/>
        </w:rPr>
        <w:softHyphen/>
        <w:t>ственные поражения ходовой части танков. Однако поскольку «прямые попадания бомб в ограничен</w:t>
      </w:r>
      <w:r w:rsidRPr="001E2C69">
        <w:rPr>
          <w:color w:val="000000" w:themeColor="text1"/>
          <w:sz w:val="16"/>
          <w:szCs w:val="16"/>
        </w:rPr>
        <w:softHyphen/>
        <w:t>ные цели (отдельный танк и их колонны) маловеро</w:t>
      </w:r>
      <w:r w:rsidRPr="001E2C69">
        <w:rPr>
          <w:color w:val="000000" w:themeColor="text1"/>
          <w:sz w:val="16"/>
          <w:szCs w:val="16"/>
        </w:rPr>
        <w:softHyphen/>
        <w:t>ятно, то следует рассчитывать лишь на осколочное действие авиабомб и применять главным образом взрыватели мгновенного действия».</w:t>
      </w:r>
    </w:p>
    <w:p w14:paraId="17FF3038"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Действительно, при бомбометании с Ил-2 с го</w:t>
      </w:r>
      <w:r w:rsidRPr="001E2C69">
        <w:rPr>
          <w:color w:val="000000" w:themeColor="text1"/>
          <w:sz w:val="16"/>
          <w:szCs w:val="16"/>
        </w:rPr>
        <w:softHyphen/>
        <w:t>ризонтального полета с прицеливанием по суще</w:t>
      </w:r>
      <w:r w:rsidRPr="001E2C69">
        <w:rPr>
          <w:color w:val="000000" w:themeColor="text1"/>
          <w:sz w:val="16"/>
          <w:szCs w:val="16"/>
        </w:rPr>
        <w:softHyphen/>
        <w:t>ствующим меткам на бронекозырьке и бронека- поте вероятность попадания одной бомбы типа ФАБ-50 в полосу 20x100 м с высоты 50 м составила 3,5% при одиночном бомбометании и 8% — при бомбометании серией из 4 ФАБ-50. При увеличе</w:t>
      </w:r>
      <w:r w:rsidRPr="001E2C69">
        <w:rPr>
          <w:color w:val="000000" w:themeColor="text1"/>
          <w:sz w:val="16"/>
          <w:szCs w:val="16"/>
        </w:rPr>
        <w:softHyphen/>
        <w:t>нии высоты бомбометания до 200 м вероятность попадания уменьшалась примерно в 1,5—2 раза.</w:t>
      </w:r>
    </w:p>
    <w:p w14:paraId="33E9A2CB"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отчете по испытаниям особо указывалось, что эти результаты получены при бомбометании по мягкому грунту, «при котором рикошеты незна</w:t>
      </w:r>
      <w:r w:rsidRPr="001E2C69">
        <w:rPr>
          <w:color w:val="000000" w:themeColor="text1"/>
          <w:sz w:val="16"/>
          <w:szCs w:val="16"/>
        </w:rPr>
        <w:softHyphen/>
        <w:t>чительны». При бомбометании по более твердому грунту «результаты бомбометания из-за больших рикошетов, различных по величине, были бы хуже».</w:t>
      </w:r>
    </w:p>
    <w:p w14:paraId="25172668"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1,5—2 раза лучшие результаты получались, если бомбометание осуществлялось с помощью временного механизма штурмовика (ВМШ). Это устройство было разработано в апреле — мае 1942 г. преподавателем кафедры бомбомета</w:t>
      </w:r>
      <w:r w:rsidRPr="001E2C69">
        <w:rPr>
          <w:color w:val="000000" w:themeColor="text1"/>
          <w:sz w:val="16"/>
          <w:szCs w:val="16"/>
        </w:rPr>
        <w:softHyphen/>
        <w:t>ния ВВА им. Н. Е. Жуковского инженер-майором М. К. Цветковым.</w:t>
      </w:r>
    </w:p>
    <w:p w14:paraId="04292366"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Работа с ВМШ Цветкова была простой и до</w:t>
      </w:r>
      <w:r w:rsidRPr="001E2C69">
        <w:rPr>
          <w:color w:val="000000" w:themeColor="text1"/>
          <w:sz w:val="16"/>
          <w:szCs w:val="16"/>
        </w:rPr>
        <w:softHyphen/>
        <w:t>статочно удобной. Перед заходом на цель летчик заводил пружинный механизм и устанавливал вы</w:t>
      </w:r>
      <w:r w:rsidRPr="001E2C69">
        <w:rPr>
          <w:color w:val="000000" w:themeColor="text1"/>
          <w:sz w:val="16"/>
          <w:szCs w:val="16"/>
        </w:rPr>
        <w:softHyphen/>
        <w:t>соту полета и скорость полета (совмещал кривую высоты бомбометания на поворотном диске с ри</w:t>
      </w:r>
      <w:r w:rsidRPr="001E2C69">
        <w:rPr>
          <w:color w:val="000000" w:themeColor="text1"/>
          <w:sz w:val="16"/>
          <w:szCs w:val="16"/>
        </w:rPr>
        <w:softHyphen/>
        <w:t>ской путевой скорости на шкале прибора). Затем, соблюдая режим полета (скорость и высоту), в мо</w:t>
      </w:r>
      <w:r w:rsidRPr="001E2C69">
        <w:rPr>
          <w:color w:val="000000" w:themeColor="text1"/>
          <w:sz w:val="16"/>
          <w:szCs w:val="16"/>
        </w:rPr>
        <w:softHyphen/>
        <w:t>мент совмещения с целью линии на бронекозырь- ке с оцифровкой 50—100 и мушки на бронекапоте летчик нажатием пускового рычага запускал ВМШ и далее соблюдал режим полета до момента заго</w:t>
      </w:r>
      <w:r w:rsidRPr="001E2C69">
        <w:rPr>
          <w:color w:val="000000" w:themeColor="text1"/>
          <w:sz w:val="16"/>
          <w:szCs w:val="16"/>
        </w:rPr>
        <w:softHyphen/>
        <w:t>рания сигнальной лампочки, указывающей момент автоматического сбрасывания авиабомб. При этом за 5 с до сбрасывания бомб загоралась зеленая сигнальная лампочка, а в момент сбрасывания бомб — красная лампочка.</w:t>
      </w:r>
    </w:p>
    <w:p w14:paraId="393FBBB3"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При разработке ВМШ в качестве основной рас</w:t>
      </w:r>
      <w:r w:rsidRPr="001E2C69">
        <w:rPr>
          <w:color w:val="000000" w:themeColor="text1"/>
          <w:sz w:val="16"/>
          <w:szCs w:val="16"/>
        </w:rPr>
        <w:softHyphen/>
        <w:t>четной высоты боевого применения на самолете Ил-2 была принята высота 200 м, но на полигоне были отработаны и варианты бомбометания с вы</w:t>
      </w:r>
      <w:r w:rsidRPr="001E2C69">
        <w:rPr>
          <w:color w:val="000000" w:themeColor="text1"/>
          <w:sz w:val="16"/>
          <w:szCs w:val="16"/>
        </w:rPr>
        <w:softHyphen/>
        <w:t>сот 70, 100, 300 и 400 м.</w:t>
      </w:r>
    </w:p>
    <w:p w14:paraId="5D108BFB"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Во всех случаях результаты бомбометания ока</w:t>
      </w:r>
      <w:r w:rsidRPr="001E2C69">
        <w:rPr>
          <w:color w:val="000000" w:themeColor="text1"/>
          <w:sz w:val="16"/>
          <w:szCs w:val="16"/>
        </w:rPr>
        <w:softHyphen/>
        <w:t>зались выше, чем при бомбометании по существу</w:t>
      </w:r>
      <w:r w:rsidRPr="001E2C69">
        <w:rPr>
          <w:color w:val="000000" w:themeColor="text1"/>
          <w:sz w:val="16"/>
          <w:szCs w:val="16"/>
        </w:rPr>
        <w:softHyphen/>
        <w:t>ющим меткам на бронекозырьке и бронекапоте самолета.</w:t>
      </w:r>
    </w:p>
    <w:p w14:paraId="5ED700BC"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Летчиками НИП АВ был сделан вывод о целесо</w:t>
      </w:r>
      <w:r w:rsidRPr="001E2C69">
        <w:rPr>
          <w:color w:val="000000" w:themeColor="text1"/>
          <w:sz w:val="16"/>
          <w:szCs w:val="16"/>
        </w:rPr>
        <w:softHyphen/>
        <w:t>образности применения ВМШ на Ил-2 при бомбо</w:t>
      </w:r>
      <w:r w:rsidRPr="001E2C69">
        <w:rPr>
          <w:color w:val="000000" w:themeColor="text1"/>
          <w:sz w:val="16"/>
          <w:szCs w:val="16"/>
        </w:rPr>
        <w:softHyphen/>
        <w:t>метании с горизонтального полета в строевых ча</w:t>
      </w:r>
      <w:r w:rsidRPr="001E2C69">
        <w:rPr>
          <w:color w:val="000000" w:themeColor="text1"/>
          <w:sz w:val="16"/>
          <w:szCs w:val="16"/>
        </w:rPr>
        <w:softHyphen/>
        <w:t>стях ВВС КА, поскольку работа летчика с ним в по</w:t>
      </w:r>
      <w:r w:rsidRPr="001E2C69">
        <w:rPr>
          <w:color w:val="000000" w:themeColor="text1"/>
          <w:sz w:val="16"/>
          <w:szCs w:val="16"/>
        </w:rPr>
        <w:softHyphen/>
        <w:t>лете проста и он дает лучшие результаты.</w:t>
      </w:r>
    </w:p>
    <w:p w14:paraId="7944235B"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Кроме положительных сторон применения ВМШ на штурмовике, был отмечен и ряд существенных недостатков конструкции устройства, снижающих его боевую ценность. К основным недостаткам от</w:t>
      </w:r>
      <w:r w:rsidRPr="001E2C69">
        <w:rPr>
          <w:color w:val="000000" w:themeColor="text1"/>
          <w:sz w:val="16"/>
          <w:szCs w:val="16"/>
        </w:rPr>
        <w:softHyphen/>
        <w:t>носились: дискретность выбора и ограниченность диапазона высот боевого применения, а также от</w:t>
      </w:r>
      <w:r w:rsidRPr="001E2C69">
        <w:rPr>
          <w:color w:val="000000" w:themeColor="text1"/>
          <w:sz w:val="16"/>
          <w:szCs w:val="16"/>
        </w:rPr>
        <w:softHyphen/>
        <w:t>сутствие режима бомбометания на выходе из пи</w:t>
      </w:r>
      <w:r w:rsidRPr="001E2C69">
        <w:rPr>
          <w:color w:val="000000" w:themeColor="text1"/>
          <w:sz w:val="16"/>
          <w:szCs w:val="16"/>
        </w:rPr>
        <w:softHyphen/>
        <w:t>кирования (планирования), который обеспечивал в 2—3 раза большую точность бомбометания.</w:t>
      </w:r>
    </w:p>
    <w:p w14:paraId="460D4BF3"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Действительно, в ходе отработки методов бом</w:t>
      </w:r>
      <w:r w:rsidRPr="001E2C69">
        <w:rPr>
          <w:color w:val="000000" w:themeColor="text1"/>
          <w:sz w:val="16"/>
          <w:szCs w:val="16"/>
        </w:rPr>
        <w:softHyphen/>
        <w:t>бометания с самолета Ил-2 усредненная вероят</w:t>
      </w:r>
      <w:r w:rsidRPr="001E2C69">
        <w:rPr>
          <w:color w:val="000000" w:themeColor="text1"/>
          <w:sz w:val="16"/>
          <w:szCs w:val="16"/>
        </w:rPr>
        <w:softHyphen/>
        <w:t>ность попадания бомбы ФАБ-50 в полосу 20x100 м на выходе из крутого планирования (25—30°) равнялась 7%, а при серийном сбросе бомб (4 ФАБ-50) — 12,8%.</w:t>
      </w:r>
    </w:p>
    <w:p w14:paraId="072786B7"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Сброс бомб производился в момент, когда верх</w:t>
      </w:r>
      <w:r w:rsidRPr="001E2C69">
        <w:rPr>
          <w:color w:val="000000" w:themeColor="text1"/>
          <w:sz w:val="16"/>
          <w:szCs w:val="16"/>
        </w:rPr>
        <w:softHyphen/>
        <w:t>ний обрез кольца сетки прицела совпадал с гори</w:t>
      </w:r>
      <w:r w:rsidRPr="001E2C69">
        <w:rPr>
          <w:color w:val="000000" w:themeColor="text1"/>
          <w:sz w:val="16"/>
          <w:szCs w:val="16"/>
        </w:rPr>
        <w:softHyphen/>
        <w:t>зонтом, при этом во время пикирования летчик должен был совместить перекрестие сетки прицела и мушку с целью.</w:t>
      </w:r>
    </w:p>
    <w:p w14:paraId="1267E15E"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Высота ввода в пикирование штурмовика со</w:t>
      </w:r>
      <w:r w:rsidRPr="001E2C69">
        <w:rPr>
          <w:color w:val="000000" w:themeColor="text1"/>
          <w:sz w:val="16"/>
          <w:szCs w:val="16"/>
        </w:rPr>
        <w:softHyphen/>
        <w:t>ставляла 450 м, а высота сброса бомб — 200 м. Вывод из пикирования следовало начинать на вы</w:t>
      </w:r>
      <w:r w:rsidRPr="001E2C69">
        <w:rPr>
          <w:color w:val="000000" w:themeColor="text1"/>
          <w:sz w:val="16"/>
          <w:szCs w:val="16"/>
        </w:rPr>
        <w:softHyphen/>
        <w:t>соте 300 м. Перед вводом самолета в пикирование требовалось «сбросить» скорость полета до 250— 270 км/ч по прибору. В противном случае штурмо</w:t>
      </w:r>
      <w:r w:rsidRPr="001E2C69">
        <w:rPr>
          <w:color w:val="000000" w:themeColor="text1"/>
          <w:sz w:val="16"/>
          <w:szCs w:val="16"/>
        </w:rPr>
        <w:softHyphen/>
        <w:t>вик на выходе из пикирования терял слишком мно</w:t>
      </w:r>
      <w:r w:rsidRPr="001E2C69">
        <w:rPr>
          <w:color w:val="000000" w:themeColor="text1"/>
          <w:sz w:val="16"/>
          <w:szCs w:val="16"/>
        </w:rPr>
        <w:softHyphen/>
        <w:t>го высоты, что было небезопасно.</w:t>
      </w:r>
    </w:p>
    <w:p w14:paraId="363D802E"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Надо сказать, что бомбометание на выходе из пикирования требовало от летчиков повышен</w:t>
      </w:r>
      <w:r w:rsidRPr="001E2C69">
        <w:rPr>
          <w:color w:val="000000" w:themeColor="text1"/>
          <w:sz w:val="16"/>
          <w:szCs w:val="16"/>
        </w:rPr>
        <w:softHyphen/>
        <w:t>ной летной и стрелковой подготовки. Испыта</w:t>
      </w:r>
      <w:r w:rsidRPr="001E2C69">
        <w:rPr>
          <w:color w:val="000000" w:themeColor="text1"/>
          <w:sz w:val="16"/>
          <w:szCs w:val="16"/>
        </w:rPr>
        <w:softHyphen/>
        <w:t>ния показали, что летчик с отличной подготовкой и большим опытом в прицельном бомбометании (майор Н.И. Звонарев) обеспечивал вероятность попадания бомбы в полосу 20х100 м при оди</w:t>
      </w:r>
      <w:r w:rsidRPr="001E2C69">
        <w:rPr>
          <w:color w:val="000000" w:themeColor="text1"/>
          <w:sz w:val="16"/>
          <w:szCs w:val="16"/>
        </w:rPr>
        <w:softHyphen/>
        <w:t>ночном бомбометании 12,4%, тогда как строевые летчики из 245-го шап показали в 3 (!) раза худ</w:t>
      </w:r>
      <w:r w:rsidRPr="001E2C69">
        <w:rPr>
          <w:color w:val="000000" w:themeColor="text1"/>
          <w:sz w:val="16"/>
          <w:szCs w:val="16"/>
        </w:rPr>
        <w:softHyphen/>
        <w:t>ший результат — в тех же условиях они добились средней вероятности попадания одной авиабомбы только 4,6%.</w:t>
      </w:r>
    </w:p>
    <w:p w14:paraId="706B44EB"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соответствии с результатами испытания дей</w:t>
      </w:r>
      <w:r w:rsidRPr="001E2C69">
        <w:rPr>
          <w:color w:val="000000" w:themeColor="text1"/>
          <w:sz w:val="16"/>
          <w:szCs w:val="16"/>
        </w:rPr>
        <w:softHyphen/>
        <w:t>ственности вооружения самолета Ил-2 по немец</w:t>
      </w:r>
      <w:r w:rsidRPr="001E2C69">
        <w:rPr>
          <w:color w:val="000000" w:themeColor="text1"/>
          <w:sz w:val="16"/>
          <w:szCs w:val="16"/>
        </w:rPr>
        <w:softHyphen/>
        <w:t>ким танкам специалистами НИП АВ ВВС были опре</w:t>
      </w:r>
      <w:r w:rsidRPr="001E2C69">
        <w:rPr>
          <w:color w:val="000000" w:themeColor="text1"/>
          <w:sz w:val="16"/>
          <w:szCs w:val="16"/>
        </w:rPr>
        <w:softHyphen/>
        <w:t>делены наиболее эффективные способы атак танко</w:t>
      </w:r>
      <w:r w:rsidRPr="001E2C69">
        <w:rPr>
          <w:color w:val="000000" w:themeColor="text1"/>
          <w:sz w:val="16"/>
          <w:szCs w:val="16"/>
        </w:rPr>
        <w:softHyphen/>
        <w:t>вых и мотомеханизированных колонн. Наилучшие результаты получились при атаке колонны сзади вдоль или сбоку при угле планирования 30° с вы</w:t>
      </w:r>
      <w:r w:rsidRPr="001E2C69">
        <w:rPr>
          <w:color w:val="000000" w:themeColor="text1"/>
          <w:sz w:val="16"/>
          <w:szCs w:val="16"/>
        </w:rPr>
        <w:softHyphen/>
        <w:t>сот 500—700 м, дальность прицеливания порядка 800 м, а ведения огня — до 200—300 м. Прице</w:t>
      </w:r>
      <w:r w:rsidRPr="001E2C69">
        <w:rPr>
          <w:color w:val="000000" w:themeColor="text1"/>
          <w:sz w:val="16"/>
          <w:szCs w:val="16"/>
        </w:rPr>
        <w:softHyphen/>
        <w:t>ливание необходимо производить по отдельному танку или автомашине из состава колонны. Атака должна была выполняться в нескольких заходах. Причем в первом заходе удар наносится по голо</w:t>
      </w:r>
      <w:r w:rsidRPr="001E2C69">
        <w:rPr>
          <w:color w:val="000000" w:themeColor="text1"/>
          <w:sz w:val="16"/>
          <w:szCs w:val="16"/>
        </w:rPr>
        <w:softHyphen/>
        <w:t>ве колонны сначала стрельбой ракетными сна</w:t>
      </w:r>
      <w:r w:rsidRPr="001E2C69">
        <w:rPr>
          <w:color w:val="000000" w:themeColor="text1"/>
          <w:sz w:val="16"/>
          <w:szCs w:val="16"/>
        </w:rPr>
        <w:softHyphen/>
        <w:t>рядами (дистанции пуска — 600—700 м), а затем стрельбой из пушек. В последующих заходах сбра</w:t>
      </w:r>
      <w:r w:rsidRPr="001E2C69">
        <w:rPr>
          <w:color w:val="000000" w:themeColor="text1"/>
          <w:sz w:val="16"/>
          <w:szCs w:val="16"/>
        </w:rPr>
        <w:softHyphen/>
        <w:t>сываются бомбы и ведется огонь из пулеметов и пушек.</w:t>
      </w:r>
    </w:p>
    <w:p w14:paraId="5E3FCDE6"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Применительно к такому способу атаки в 12 самолето-вылетах средний процент попадания из пушек ВЯ в танк точки наводки составил 7%, а в колонну танков — 7,5% (общий расход — 426 снарядов). При этом летчик с лучшей стрелковой подготовкой (ведущий летчик-испытатель НИП АВ майор Н. И. Звонарев) обеспечил 7,4% попаданий в отдельный танк (или танк точки наводки) и 9,5% попаданий в колонну танков. Летчики с удовлет</w:t>
      </w:r>
      <w:r w:rsidRPr="001E2C69">
        <w:rPr>
          <w:color w:val="000000" w:themeColor="text1"/>
          <w:sz w:val="16"/>
          <w:szCs w:val="16"/>
        </w:rPr>
        <w:softHyphen/>
        <w:t>ворительной подготовкой (строевые летчики из 245-го шап) отстрелялись заметно хуже. Средний процент попадания в танк точки наводки у них не превысил 4,2% (разброс от 1,5 до 6%), хотя процент попадания в колонну танков был довольно высо</w:t>
      </w:r>
      <w:r w:rsidRPr="001E2C69">
        <w:rPr>
          <w:color w:val="000000" w:themeColor="text1"/>
          <w:sz w:val="16"/>
          <w:szCs w:val="16"/>
        </w:rPr>
        <w:softHyphen/>
        <w:t>ким — 12,6% (разброс от 6 до 20%).</w:t>
      </w:r>
    </w:p>
    <w:p w14:paraId="50CAEB5D"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Атаку длинной небронированной цели реко</w:t>
      </w:r>
      <w:r w:rsidRPr="001E2C69">
        <w:rPr>
          <w:color w:val="000000" w:themeColor="text1"/>
          <w:sz w:val="16"/>
          <w:szCs w:val="16"/>
        </w:rPr>
        <w:softHyphen/>
        <w:t>мендовалось производить с бреющего полета, об</w:t>
      </w:r>
      <w:r w:rsidRPr="001E2C69">
        <w:rPr>
          <w:color w:val="000000" w:themeColor="text1"/>
          <w:sz w:val="16"/>
          <w:szCs w:val="16"/>
        </w:rPr>
        <w:softHyphen/>
        <w:t>стреливая цель сначала из РС с дистанции 600— 700 м, а затем из пулеметов и пушек с дистанции 400—600 м. Бомбометание в этом случае необхо димо было осуществлять в последующих заходах, сбрасывая бомбы серией с высоты 100—200 м, применяя взрыватель мгновенного действия.</w:t>
      </w:r>
    </w:p>
    <w:p w14:paraId="13B41D77"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Причем для достижения наибольшего эффекта предлагалось действовать по цели двумя группа</w:t>
      </w:r>
      <w:r w:rsidRPr="001E2C69">
        <w:rPr>
          <w:color w:val="000000" w:themeColor="text1"/>
          <w:sz w:val="16"/>
          <w:szCs w:val="16"/>
        </w:rPr>
        <w:softHyphen/>
        <w:t>ми, которые выходили на нее почти одновременно. Первая группа работала с бреющего полета, об</w:t>
      </w:r>
      <w:r w:rsidRPr="001E2C69">
        <w:rPr>
          <w:color w:val="000000" w:themeColor="text1"/>
          <w:sz w:val="16"/>
          <w:szCs w:val="16"/>
        </w:rPr>
        <w:softHyphen/>
        <w:t>стреливая цель из РС и стрелково-пушечного во</w:t>
      </w:r>
      <w:r w:rsidRPr="001E2C69">
        <w:rPr>
          <w:color w:val="000000" w:themeColor="text1"/>
          <w:sz w:val="16"/>
          <w:szCs w:val="16"/>
        </w:rPr>
        <w:softHyphen/>
        <w:t>оружения и сбрасывая бомбы серией (взрыватель замедленного действия АВ-1), а вторая — с пики</w:t>
      </w:r>
      <w:r w:rsidRPr="001E2C69">
        <w:rPr>
          <w:color w:val="000000" w:themeColor="text1"/>
          <w:sz w:val="16"/>
          <w:szCs w:val="16"/>
        </w:rPr>
        <w:softHyphen/>
        <w:t>рования с высоты 500—700 м, ведя огонь сначала ракетными снарядами, затем из пушек и пулеме</w:t>
      </w:r>
      <w:r w:rsidRPr="001E2C69">
        <w:rPr>
          <w:color w:val="000000" w:themeColor="text1"/>
          <w:sz w:val="16"/>
          <w:szCs w:val="16"/>
        </w:rPr>
        <w:softHyphen/>
        <w:t>тов и сбрасывая бомбы на выводе из пикирования (взрыватель мгновенного действия).</w:t>
      </w:r>
    </w:p>
    <w:p w14:paraId="7FDB0710"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Атаку самолетами Ил-2 скоплений пехоты и ав</w:t>
      </w:r>
      <w:r w:rsidRPr="001E2C69">
        <w:rPr>
          <w:color w:val="000000" w:themeColor="text1"/>
          <w:sz w:val="16"/>
          <w:szCs w:val="16"/>
        </w:rPr>
        <w:softHyphen/>
        <w:t>тотранспорта лучше всего производить с бреющего полета и с планирования под углом 5—10° с высо</w:t>
      </w:r>
      <w:r w:rsidRPr="001E2C69">
        <w:rPr>
          <w:color w:val="000000" w:themeColor="text1"/>
          <w:sz w:val="16"/>
          <w:szCs w:val="16"/>
        </w:rPr>
        <w:softHyphen/>
        <w:t>ты 100—200 м с последующим заходом на бомбо</w:t>
      </w:r>
      <w:r w:rsidRPr="001E2C69">
        <w:rPr>
          <w:color w:val="000000" w:themeColor="text1"/>
          <w:sz w:val="16"/>
          <w:szCs w:val="16"/>
        </w:rPr>
        <w:softHyphen/>
        <w:t>метание на выводе из пикирования.</w:t>
      </w:r>
    </w:p>
    <w:p w14:paraId="10AAF0CB"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 короткой цели, как бронированной, так и небронированной, а также по точечным целям (отдельный танк, автомашина и т.д.) атаку самоле</w:t>
      </w:r>
      <w:r w:rsidRPr="001E2C69">
        <w:rPr>
          <w:color w:val="000000" w:themeColor="text1"/>
          <w:sz w:val="16"/>
          <w:szCs w:val="16"/>
        </w:rPr>
        <w:softHyphen/>
        <w:t>тами Ил-2 необходимо было производить только с пикирования под углом 25—30° с высоты 500— 700 м.</w:t>
      </w:r>
    </w:p>
    <w:p w14:paraId="08E45884"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Во всех случаях бомбометания с горизонтально</w:t>
      </w:r>
      <w:r w:rsidRPr="001E2C69">
        <w:rPr>
          <w:color w:val="000000" w:themeColor="text1"/>
          <w:sz w:val="16"/>
          <w:szCs w:val="16"/>
        </w:rPr>
        <w:softHyphen/>
        <w:t>го полета считалось целесообразным применение временного механизма штурмовика ВМШ, посколь</w:t>
      </w:r>
      <w:r w:rsidRPr="001E2C69">
        <w:rPr>
          <w:color w:val="000000" w:themeColor="text1"/>
          <w:sz w:val="16"/>
          <w:szCs w:val="16"/>
        </w:rPr>
        <w:softHyphen/>
        <w:t>ку обеспечивается более высокая точность, «чем при бомбометании по существующим меткам на капоте мотора».</w:t>
      </w:r>
    </w:p>
    <w:p w14:paraId="3B247F58"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отчете по испытаниям особо указывалось, что бомбометание с горизонтального полета должно применяться лишь «в случае невозможности ис</w:t>
      </w:r>
      <w:r w:rsidRPr="001E2C69">
        <w:rPr>
          <w:color w:val="000000" w:themeColor="text1"/>
          <w:sz w:val="16"/>
          <w:szCs w:val="16"/>
        </w:rPr>
        <w:softHyphen/>
        <w:t>пользования способа бомбометания на выходе из пикирования из-за условий боевой обстановки или погоды, а также может применяться по целям круп</w:t>
      </w:r>
      <w:r w:rsidRPr="001E2C69">
        <w:rPr>
          <w:color w:val="000000" w:themeColor="text1"/>
          <w:sz w:val="16"/>
          <w:szCs w:val="16"/>
        </w:rPr>
        <w:softHyphen/>
        <w:t>ных размеров (ж.-д. станции, скопление войск, обо</w:t>
      </w:r>
      <w:r w:rsidRPr="001E2C69">
        <w:rPr>
          <w:color w:val="000000" w:themeColor="text1"/>
          <w:sz w:val="16"/>
          <w:szCs w:val="16"/>
        </w:rPr>
        <w:softHyphen/>
        <w:t>зов, склады и т.д.)».</w:t>
      </w:r>
    </w:p>
    <w:p w14:paraId="02362013"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Совмещение стрельбы и бомбометания в од</w:t>
      </w:r>
      <w:r w:rsidRPr="001E2C69">
        <w:rPr>
          <w:color w:val="000000" w:themeColor="text1"/>
          <w:sz w:val="16"/>
          <w:szCs w:val="16"/>
        </w:rPr>
        <w:softHyphen/>
        <w:t>ном заходе запрещалось категорически. Исключе</w:t>
      </w:r>
      <w:r w:rsidRPr="001E2C69">
        <w:rPr>
          <w:color w:val="000000" w:themeColor="text1"/>
          <w:sz w:val="16"/>
          <w:szCs w:val="16"/>
        </w:rPr>
        <w:softHyphen/>
        <w:t>ние делалось лишь в случае атаки «цели большой протяженности (например, колонны войск длиной свыше 500—700 м), когда перед выходом на го</w:t>
      </w:r>
      <w:r w:rsidRPr="001E2C69">
        <w:rPr>
          <w:color w:val="000000" w:themeColor="text1"/>
          <w:sz w:val="16"/>
          <w:szCs w:val="16"/>
        </w:rPr>
        <w:softHyphen/>
        <w:t>ризонтальный полет и сбрасыванием бомб может производиться стрельба с планирования из пушек, пулеметов и ракетных орудий». Если цель имела протяженность свыше 1 км, то допускалось бом</w:t>
      </w:r>
      <w:r w:rsidRPr="001E2C69">
        <w:rPr>
          <w:color w:val="000000" w:themeColor="text1"/>
          <w:sz w:val="16"/>
          <w:szCs w:val="16"/>
        </w:rPr>
        <w:softHyphen/>
        <w:t>бометание с планирования под углом 5—10°. При этом разрешалось «прицеливание по дальности не вести вовсе, а сохранять только направление поле</w:t>
      </w:r>
      <w:r w:rsidRPr="001E2C69">
        <w:rPr>
          <w:color w:val="000000" w:themeColor="text1"/>
          <w:sz w:val="16"/>
          <w:szCs w:val="16"/>
        </w:rPr>
        <w:softHyphen/>
        <w:t>та перед целью».</w:t>
      </w:r>
    </w:p>
    <w:p w14:paraId="717928DB"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заключении отчета по полигонным испытани</w:t>
      </w:r>
      <w:r w:rsidRPr="001E2C69">
        <w:rPr>
          <w:color w:val="000000" w:themeColor="text1"/>
          <w:sz w:val="16"/>
          <w:szCs w:val="16"/>
        </w:rPr>
        <w:softHyphen/>
        <w:t>ям вооружения самолетов Ил-2 от 24 июля 1942 г. специалисты НИП АВ отмечали, что «...для более рационального использования существующего во</w:t>
      </w:r>
      <w:r w:rsidRPr="001E2C69">
        <w:rPr>
          <w:color w:val="000000" w:themeColor="text1"/>
          <w:sz w:val="16"/>
          <w:szCs w:val="16"/>
        </w:rPr>
        <w:softHyphen/>
        <w:t>оружения самолета Ил-2 в борьбе с немецкими тан</w:t>
      </w:r>
      <w:r w:rsidRPr="001E2C69">
        <w:rPr>
          <w:color w:val="000000" w:themeColor="text1"/>
          <w:sz w:val="16"/>
          <w:szCs w:val="16"/>
        </w:rPr>
        <w:softHyphen/>
        <w:t>ками необходимо выделить штурмовые авиаполки, /.../ основной задачей которых должно быть дей</w:t>
      </w:r>
      <w:r w:rsidRPr="001E2C69">
        <w:rPr>
          <w:color w:val="000000" w:themeColor="text1"/>
          <w:sz w:val="16"/>
          <w:szCs w:val="16"/>
        </w:rPr>
        <w:softHyphen/>
        <w:t>ствие по танкам. Летный состав этих частей дол</w:t>
      </w:r>
      <w:r w:rsidRPr="001E2C69">
        <w:rPr>
          <w:color w:val="000000" w:themeColor="text1"/>
          <w:sz w:val="16"/>
          <w:szCs w:val="16"/>
        </w:rPr>
        <w:softHyphen/>
        <w:t>жен пройти спецподготовку. /.../ Наиболее эффек</w:t>
      </w:r>
      <w:r w:rsidRPr="001E2C69">
        <w:rPr>
          <w:color w:val="000000" w:themeColor="text1"/>
          <w:sz w:val="16"/>
          <w:szCs w:val="16"/>
        </w:rPr>
        <w:softHyphen/>
        <w:t>тивным средством борьбы с немецкими танками, имеющими броню до 40 мм, оказались авиапушки 37 мм. В этой связи необходимо создать специаль</w:t>
      </w:r>
      <w:r w:rsidRPr="001E2C69">
        <w:rPr>
          <w:color w:val="000000" w:themeColor="text1"/>
          <w:sz w:val="16"/>
          <w:szCs w:val="16"/>
        </w:rPr>
        <w:softHyphen/>
        <w:t>ные противотанковые части, вооруженные истре</w:t>
      </w:r>
      <w:r w:rsidRPr="001E2C69">
        <w:rPr>
          <w:color w:val="000000" w:themeColor="text1"/>
          <w:sz w:val="16"/>
          <w:szCs w:val="16"/>
        </w:rPr>
        <w:softHyphen/>
        <w:t>бителями ЛаГГ-3 и Як с 37-мм авиапушками и уси</w:t>
      </w:r>
      <w:r w:rsidRPr="001E2C69">
        <w:rPr>
          <w:color w:val="000000" w:themeColor="text1"/>
          <w:sz w:val="16"/>
          <w:szCs w:val="16"/>
        </w:rPr>
        <w:softHyphen/>
        <w:t>ленным бронированием. Летному составу этих частей дать специальную подготовку. /.../ Считать необходимым создание специального центра по отработке вопросов боевого применения АВ ВВС КА, на базе которого проводить систематическую подготовку летных кадров в ведении прицельной стрельбы и бомбометания. Обратить особое вни</w:t>
      </w:r>
      <w:r w:rsidRPr="001E2C69">
        <w:rPr>
          <w:color w:val="000000" w:themeColor="text1"/>
          <w:sz w:val="16"/>
          <w:szCs w:val="16"/>
        </w:rPr>
        <w:softHyphen/>
        <w:t>мание на повышение качества боевой подготовки летного состава штурмовых частей в ЗАП в при</w:t>
      </w:r>
      <w:r w:rsidRPr="001E2C69">
        <w:rPr>
          <w:color w:val="000000" w:themeColor="text1"/>
          <w:sz w:val="16"/>
          <w:szCs w:val="16"/>
        </w:rPr>
        <w:softHyphen/>
        <w:t>цельной стрельбе и бомбометании».</w:t>
      </w:r>
    </w:p>
    <w:p w14:paraId="50213CFD"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Требовалось «поручить НКАП в срочном по</w:t>
      </w:r>
      <w:r w:rsidRPr="001E2C69">
        <w:rPr>
          <w:color w:val="000000" w:themeColor="text1"/>
          <w:sz w:val="16"/>
          <w:szCs w:val="16"/>
        </w:rPr>
        <w:softHyphen/>
        <w:t>рядке создать штурмовик, вооруженный 37-мм пушкой, расположенной в плоскости оси само</w:t>
      </w:r>
      <w:r w:rsidRPr="001E2C69">
        <w:rPr>
          <w:color w:val="000000" w:themeColor="text1"/>
          <w:sz w:val="16"/>
          <w:szCs w:val="16"/>
        </w:rPr>
        <w:softHyphen/>
        <w:t>лета».</w:t>
      </w:r>
    </w:p>
    <w:p w14:paraId="262DA82D"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Кроме этого, считалось необходимым прове</w:t>
      </w:r>
      <w:r w:rsidRPr="001E2C69">
        <w:rPr>
          <w:color w:val="000000" w:themeColor="text1"/>
          <w:sz w:val="16"/>
          <w:szCs w:val="16"/>
        </w:rPr>
        <w:softHyphen/>
        <w:t>дение работ по увеличению бронепробиваемости снарядов калибра 23 и 37 мм, а также создание «специальных противотанковых и зажигательных средств борьбы против танков».</w:t>
      </w:r>
    </w:p>
    <w:p w14:paraId="4099A043"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lastRenderedPageBreak/>
        <w:t>Учитывая, что временной механизм штурмовика Цветкова во всех случаях позволяет получить луч</w:t>
      </w:r>
      <w:r w:rsidRPr="001E2C69">
        <w:rPr>
          <w:color w:val="000000" w:themeColor="text1"/>
          <w:sz w:val="16"/>
          <w:szCs w:val="16"/>
        </w:rPr>
        <w:softHyphen/>
        <w:t>шие результаты при бомбометании и в некоторой степени компенсировать недостаточную подготов</w:t>
      </w:r>
      <w:r w:rsidRPr="001E2C69">
        <w:rPr>
          <w:color w:val="000000" w:themeColor="text1"/>
          <w:sz w:val="16"/>
          <w:szCs w:val="16"/>
        </w:rPr>
        <w:softHyphen/>
        <w:t>ку летного состава боевых частей, рекомендова</w:t>
      </w:r>
      <w:r w:rsidRPr="001E2C69">
        <w:rPr>
          <w:color w:val="000000" w:themeColor="text1"/>
          <w:sz w:val="16"/>
          <w:szCs w:val="16"/>
        </w:rPr>
        <w:softHyphen/>
        <w:t>лось срочно доработать ВМШ, обеспечив возмож</w:t>
      </w:r>
      <w:r w:rsidRPr="001E2C69">
        <w:rPr>
          <w:color w:val="000000" w:themeColor="text1"/>
          <w:sz w:val="16"/>
          <w:szCs w:val="16"/>
        </w:rPr>
        <w:softHyphen/>
        <w:t>ность бомбометания с его помощью на выходе из пикирования.</w:t>
      </w:r>
    </w:p>
    <w:p w14:paraId="60A602FA"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Акте «По полигонному отстрелу самолета Ил-2, вооруженного 2 крыльевыми пушками ка</w:t>
      </w:r>
      <w:r w:rsidRPr="001E2C69">
        <w:rPr>
          <w:color w:val="000000" w:themeColor="text1"/>
          <w:sz w:val="16"/>
          <w:szCs w:val="16"/>
        </w:rPr>
        <w:softHyphen/>
        <w:t>либра 37 мм системы Шпитального (ОКБ-15)» от 2 октября 1942 г. отмечалось, что «для повышения эффективности стрельбы необходимо организо</w:t>
      </w:r>
      <w:r w:rsidRPr="001E2C69">
        <w:rPr>
          <w:color w:val="000000" w:themeColor="text1"/>
          <w:sz w:val="16"/>
          <w:szCs w:val="16"/>
        </w:rPr>
        <w:softHyphen/>
        <w:t>вать систематическую тренировку летного состава в стрельбе по танкам».</w:t>
      </w:r>
    </w:p>
    <w:p w14:paraId="5BCD2C73"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Общий вывод состоял в том, что штурмовик Ил-2 с пушками Ш-37 является мощным средством борьбы с немецкими легкими и средними танками. Для его эффективного боевого применения летный состав должен быть хорошо натренирован в веде</w:t>
      </w:r>
      <w:r w:rsidRPr="001E2C69">
        <w:rPr>
          <w:color w:val="000000" w:themeColor="text1"/>
          <w:sz w:val="16"/>
          <w:szCs w:val="16"/>
        </w:rPr>
        <w:softHyphen/>
        <w:t>нии прицельного огня короткими очередями (3—5 снарядов в очереди) по малоразмерным целям (от</w:t>
      </w:r>
      <w:r w:rsidRPr="001E2C69">
        <w:rPr>
          <w:color w:val="000000" w:themeColor="text1"/>
          <w:sz w:val="16"/>
          <w:szCs w:val="16"/>
        </w:rPr>
        <w:softHyphen/>
        <w:t>дельный танк, автомашина и т.д.) и иметь отличную летную подготовку.</w:t>
      </w:r>
    </w:p>
    <w:p w14:paraId="692F2CBD"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Рекомендовалось построить небольшую серию таких самолетов для проведения войсковых испы</w:t>
      </w:r>
      <w:r w:rsidRPr="001E2C69">
        <w:rPr>
          <w:color w:val="000000" w:themeColor="text1"/>
          <w:sz w:val="16"/>
          <w:szCs w:val="16"/>
        </w:rPr>
        <w:softHyphen/>
        <w:t>таний и сформировать в полках специальные груп</w:t>
      </w:r>
      <w:r w:rsidRPr="001E2C69">
        <w:rPr>
          <w:color w:val="000000" w:themeColor="text1"/>
          <w:sz w:val="16"/>
          <w:szCs w:val="16"/>
        </w:rPr>
        <w:softHyphen/>
        <w:t>пы летчиков-штурмовиков, обученных прицельной стрельбе из крупнокалиберных пушек с Ил-2 по наземным целям и натренированных для борьбы с немецкими танками.</w:t>
      </w:r>
    </w:p>
    <w:p w14:paraId="51D43D41"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Попутно заметим, что последнее положение, например, нашло свое отражение в «Основных ука</w:t>
      </w:r>
      <w:r w:rsidRPr="001E2C69">
        <w:rPr>
          <w:color w:val="000000" w:themeColor="text1"/>
          <w:sz w:val="16"/>
          <w:szCs w:val="16"/>
        </w:rPr>
        <w:softHyphen/>
        <w:t>заниях по использованию германской штурмовой авиации для действий по танкам» от 3 июня 1942 г., где указывается: «Для действий по танкам исполь</w:t>
      </w:r>
      <w:r w:rsidRPr="001E2C69">
        <w:rPr>
          <w:color w:val="000000" w:themeColor="text1"/>
          <w:sz w:val="16"/>
          <w:szCs w:val="16"/>
        </w:rPr>
        <w:softHyphen/>
        <w:t>зуются специально подготовленные экипажи. Ис</w:t>
      </w:r>
      <w:r w:rsidRPr="001E2C69">
        <w:rPr>
          <w:color w:val="000000" w:themeColor="text1"/>
          <w:sz w:val="16"/>
          <w:szCs w:val="16"/>
        </w:rPr>
        <w:softHyphen/>
        <w:t>пользование малоопытных летчиков запрещается в связи с необходимостью экономить боеприпасы. Специальные экипажи должны путем постоянных тренировок непрерывно повышать свою стрелко</w:t>
      </w:r>
      <w:r w:rsidRPr="001E2C69">
        <w:rPr>
          <w:color w:val="000000" w:themeColor="text1"/>
          <w:sz w:val="16"/>
          <w:szCs w:val="16"/>
        </w:rPr>
        <w:softHyphen/>
        <w:t>вую подготовку».</w:t>
      </w:r>
    </w:p>
    <w:p w14:paraId="563EC459"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После утверждения результатов по полигон</w:t>
      </w:r>
      <w:r w:rsidRPr="001E2C69">
        <w:rPr>
          <w:color w:val="000000" w:themeColor="text1"/>
          <w:sz w:val="16"/>
          <w:szCs w:val="16"/>
        </w:rPr>
        <w:softHyphen/>
        <w:t>ным испытаниям вооружения самолета Ил-2 на эффективность действия по трофейным немец</w:t>
      </w:r>
      <w:r w:rsidRPr="001E2C69">
        <w:rPr>
          <w:color w:val="000000" w:themeColor="text1"/>
          <w:sz w:val="16"/>
          <w:szCs w:val="16"/>
        </w:rPr>
        <w:softHyphen/>
        <w:t>ким танкам и бронемашинам начальником НИП АВ ВВС полковником Л. П. Лобачевым материалы 21 июля были направлены главному инженеру ВВС генерал-лейтенанту А. К. Репину, который ут</w:t>
      </w:r>
      <w:r w:rsidRPr="001E2C69">
        <w:rPr>
          <w:color w:val="000000" w:themeColor="text1"/>
          <w:sz w:val="16"/>
          <w:szCs w:val="16"/>
        </w:rPr>
        <w:softHyphen/>
        <w:t>вердил отчет 24 июля. Уже через два дня, 26 июля, с отчетом ознакомился командующий ВВС гене</w:t>
      </w:r>
      <w:r w:rsidRPr="001E2C69">
        <w:rPr>
          <w:color w:val="000000" w:themeColor="text1"/>
          <w:sz w:val="16"/>
          <w:szCs w:val="16"/>
        </w:rPr>
        <w:softHyphen/>
        <w:t>рал-лейтенант А. А. Новиков и утвердил результа</w:t>
      </w:r>
      <w:r w:rsidRPr="001E2C69">
        <w:rPr>
          <w:color w:val="000000" w:themeColor="text1"/>
          <w:sz w:val="16"/>
          <w:szCs w:val="16"/>
        </w:rPr>
        <w:softHyphen/>
        <w:t>ты испытаний.</w:t>
      </w:r>
    </w:p>
    <w:p w14:paraId="40FF6D16"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 распоряжению командующего ВВС один эк</w:t>
      </w:r>
      <w:r w:rsidRPr="001E2C69">
        <w:rPr>
          <w:color w:val="000000" w:themeColor="text1"/>
          <w:sz w:val="16"/>
          <w:szCs w:val="16"/>
        </w:rPr>
        <w:softHyphen/>
        <w:t>земпляр отчета 31 июля был направлен для озна</w:t>
      </w:r>
      <w:r w:rsidRPr="001E2C69">
        <w:rPr>
          <w:color w:val="000000" w:themeColor="text1"/>
          <w:sz w:val="16"/>
          <w:szCs w:val="16"/>
        </w:rPr>
        <w:softHyphen/>
        <w:t>комления начальнику Генерального штаба Красной Армии маршалу Б. М. Шапошникову. По одному экземпляру получили начальник НИИ ВВС гене</w:t>
      </w:r>
      <w:r w:rsidRPr="001E2C69">
        <w:rPr>
          <w:color w:val="000000" w:themeColor="text1"/>
          <w:sz w:val="16"/>
          <w:szCs w:val="16"/>
        </w:rPr>
        <w:softHyphen/>
        <w:t>рал-майор П. А. Лосюков и заместитель командую</w:t>
      </w:r>
      <w:r w:rsidRPr="001E2C69">
        <w:rPr>
          <w:color w:val="000000" w:themeColor="text1"/>
          <w:sz w:val="16"/>
          <w:szCs w:val="16"/>
        </w:rPr>
        <w:softHyphen/>
        <w:t>щего ВВС КА по воздушно-стрелковой службе гене</w:t>
      </w:r>
      <w:r w:rsidRPr="001E2C69">
        <w:rPr>
          <w:color w:val="000000" w:themeColor="text1"/>
          <w:sz w:val="16"/>
          <w:szCs w:val="16"/>
        </w:rPr>
        <w:softHyphen/>
        <w:t>рал-майор А. М. Рафалович.</w:t>
      </w:r>
    </w:p>
    <w:p w14:paraId="2208CE45"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Если подойти критически к оценке результатов полигонных испытаний, то можно сказать следую</w:t>
      </w:r>
      <w:r w:rsidRPr="001E2C69">
        <w:rPr>
          <w:color w:val="000000" w:themeColor="text1"/>
          <w:sz w:val="16"/>
          <w:szCs w:val="16"/>
        </w:rPr>
        <w:softHyphen/>
        <w:t>щее. Испытание пушечного вооружения было про</w:t>
      </w:r>
      <w:r w:rsidRPr="001E2C69">
        <w:rPr>
          <w:color w:val="000000" w:themeColor="text1"/>
          <w:sz w:val="16"/>
          <w:szCs w:val="16"/>
        </w:rPr>
        <w:softHyphen/>
        <w:t>ведено достаточно тщательно, а испытание бомб и ракетных снарядов — неполно.</w:t>
      </w:r>
    </w:p>
    <w:p w14:paraId="46DDE869"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Так, например, с целью определения эффектив</w:t>
      </w:r>
      <w:r w:rsidRPr="001E2C69">
        <w:rPr>
          <w:color w:val="000000" w:themeColor="text1"/>
          <w:sz w:val="16"/>
          <w:szCs w:val="16"/>
        </w:rPr>
        <w:softHyphen/>
        <w:t>ности действия были испытаны подрывом бом</w:t>
      </w:r>
      <w:r w:rsidRPr="001E2C69">
        <w:rPr>
          <w:color w:val="000000" w:themeColor="text1"/>
          <w:sz w:val="16"/>
          <w:szCs w:val="16"/>
        </w:rPr>
        <w:softHyphen/>
        <w:t>бы типа АО-25сл, АО-25м13, ФАБ-50сч, ФАБ-100цк и ФАБ-250, тогда как наиболее успешно применя</w:t>
      </w:r>
      <w:r w:rsidRPr="001E2C69">
        <w:rPr>
          <w:color w:val="000000" w:themeColor="text1"/>
          <w:sz w:val="16"/>
          <w:szCs w:val="16"/>
        </w:rPr>
        <w:softHyphen/>
        <w:t>ются в условиях боя бомбы ФАБ-50м2 и ФАБ-50м9. Опытные бомбы типа ФАБ-50—100 вообще не ис- пытывались.</w:t>
      </w:r>
    </w:p>
    <w:p w14:paraId="4A29D897"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Методика испытаний подрывами бомб на по</w:t>
      </w:r>
      <w:r w:rsidRPr="001E2C69">
        <w:rPr>
          <w:color w:val="000000" w:themeColor="text1"/>
          <w:sz w:val="16"/>
          <w:szCs w:val="16"/>
        </w:rPr>
        <w:softHyphen/>
        <w:t>верхности грунта не отражает работу бомб при сбрасывании их с самолета в боевой обстановке. Действительно, бомба с взрывателем мгновенного действия, сброшенная с высоты, благодаря инерт</w:t>
      </w:r>
      <w:r w:rsidRPr="001E2C69">
        <w:rPr>
          <w:color w:val="000000" w:themeColor="text1"/>
          <w:sz w:val="16"/>
          <w:szCs w:val="16"/>
        </w:rPr>
        <w:softHyphen/>
        <w:t>ности последнего успевает углубиться в преграду. При взрыве образуется воронка глубиной до 0,6 м и часть наиболее крупных осколков от головной части бомбы перехватывается преградой или ча</w:t>
      </w:r>
      <w:r w:rsidRPr="001E2C69">
        <w:rPr>
          <w:color w:val="000000" w:themeColor="text1"/>
          <w:sz w:val="16"/>
          <w:szCs w:val="16"/>
        </w:rPr>
        <w:softHyphen/>
        <w:t>стично выбрасывается вместе с преградой со зна</w:t>
      </w:r>
      <w:r w:rsidRPr="001E2C69">
        <w:rPr>
          <w:color w:val="000000" w:themeColor="text1"/>
          <w:sz w:val="16"/>
          <w:szCs w:val="16"/>
        </w:rPr>
        <w:softHyphen/>
        <w:t>чительно меньшей начальной скоростью, чем при открытом взрыве. Кроме того, выбранные значения углов места, при которых проводились подрывы бомб, не соответствуют углам падения бомб при сбросе с типовых высот боевого применения штур</w:t>
      </w:r>
      <w:r w:rsidRPr="001E2C69">
        <w:rPr>
          <w:color w:val="000000" w:themeColor="text1"/>
          <w:sz w:val="16"/>
          <w:szCs w:val="16"/>
        </w:rPr>
        <w:softHyphen/>
        <w:t>мовика Ил-2.</w:t>
      </w:r>
    </w:p>
    <w:p w14:paraId="4266E788"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Таким образом, предложенный метод подрыва бомб не давал полной картины действительных ус</w:t>
      </w:r>
      <w:r w:rsidRPr="001E2C69">
        <w:rPr>
          <w:color w:val="000000" w:themeColor="text1"/>
          <w:sz w:val="16"/>
          <w:szCs w:val="16"/>
        </w:rPr>
        <w:softHyphen/>
        <w:t>ловий взрыва ни бомб, сброшенных с высоты, ни бомб, сброшенных на штурмовом полете, так как в последнем случае, как правило, бомбы рвутся в горизонтальном положении, после падения их на земле.</w:t>
      </w:r>
    </w:p>
    <w:p w14:paraId="00CD1B9C"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Выводы о действии бомб и РОФС по танкам были сделаны, судя по отчету, на основании еди</w:t>
      </w:r>
      <w:r w:rsidRPr="001E2C69">
        <w:rPr>
          <w:color w:val="000000" w:themeColor="text1"/>
          <w:sz w:val="16"/>
          <w:szCs w:val="16"/>
        </w:rPr>
        <w:softHyphen/>
        <w:t>ничных наблюдений, а потому не могут быть пол</w:t>
      </w:r>
      <w:r w:rsidRPr="001E2C69">
        <w:rPr>
          <w:color w:val="000000" w:themeColor="text1"/>
          <w:sz w:val="16"/>
          <w:szCs w:val="16"/>
        </w:rPr>
        <w:softHyphen/>
        <w:t>ными и безупречными. В частности, РОФС-132 был подорван на удалении 1 м от танка и дал меньшее поражение танка по сравнению с АО-25м13 (явля</w:t>
      </w:r>
      <w:r w:rsidRPr="001E2C69">
        <w:rPr>
          <w:color w:val="000000" w:themeColor="text1"/>
          <w:sz w:val="16"/>
          <w:szCs w:val="16"/>
        </w:rPr>
        <w:softHyphen/>
        <w:t>ющейся переделкой из головной части РОФС-132), подорванной на удалении 3 м от танка.</w:t>
      </w:r>
    </w:p>
    <w:p w14:paraId="57A8E2EC"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Кроме того, в рекомендациях строевым частям были значительно завышены дальности стрельбы ракетными снарядами и не совсем корректно обо</w:t>
      </w:r>
      <w:r w:rsidRPr="001E2C69">
        <w:rPr>
          <w:color w:val="000000" w:themeColor="text1"/>
          <w:sz w:val="16"/>
          <w:szCs w:val="16"/>
        </w:rPr>
        <w:softHyphen/>
        <w:t>сновано использование двух видов вооружения (например, РС и пушек или пушек и бомб) в одном заходе.</w:t>
      </w:r>
    </w:p>
    <w:p w14:paraId="05165ADF"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Действительно, как следует из расчетов по ре</w:t>
      </w:r>
      <w:r w:rsidRPr="001E2C69">
        <w:rPr>
          <w:color w:val="000000" w:themeColor="text1"/>
          <w:sz w:val="16"/>
          <w:szCs w:val="16"/>
        </w:rPr>
        <w:softHyphen/>
        <w:t>зультатам полигонных испытаний и анализа бое</w:t>
      </w:r>
      <w:r w:rsidRPr="001E2C69">
        <w:rPr>
          <w:color w:val="000000" w:themeColor="text1"/>
          <w:sz w:val="16"/>
          <w:szCs w:val="16"/>
        </w:rPr>
        <w:softHyphen/>
        <w:t>вого опыта, выполнение одиночных или парных пусков РС-82 с дальности 600 м, как это рекомен</w:t>
      </w:r>
      <w:r w:rsidRPr="001E2C69">
        <w:rPr>
          <w:color w:val="000000" w:themeColor="text1"/>
          <w:sz w:val="16"/>
          <w:szCs w:val="16"/>
        </w:rPr>
        <w:softHyphen/>
        <w:t>довалось НИП АВ, обеспечивало вероятность поражения танка в 6—7 раз меньше, чем стрельба залпом по 4—8 ракетных снарядов с дальности 400—300 м.</w:t>
      </w:r>
    </w:p>
    <w:p w14:paraId="45A8C180"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то же время использование двух видов во</w:t>
      </w:r>
      <w:r w:rsidRPr="001E2C69">
        <w:rPr>
          <w:color w:val="000000" w:themeColor="text1"/>
          <w:sz w:val="16"/>
          <w:szCs w:val="16"/>
        </w:rPr>
        <w:softHyphen/>
        <w:t>оружения штурмовика в одном заходе не позволя</w:t>
      </w:r>
      <w:r w:rsidRPr="001E2C69">
        <w:rPr>
          <w:color w:val="000000" w:themeColor="text1"/>
          <w:sz w:val="16"/>
          <w:szCs w:val="16"/>
        </w:rPr>
        <w:softHyphen/>
        <w:t>ло с максимальной эффективностью использовать второй по счету вид оружия, поскольку точность прицеливания для этого вида оружия снижалась примерно на 20—25% по сравнению с ситуацией, когда в одном заходе используется только одно оружие.</w:t>
      </w:r>
    </w:p>
    <w:p w14:paraId="761436F2"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Анализ боевых возможностей Ил-2 показывает, что более правильным было бы атаковывать ко</w:t>
      </w:r>
      <w:r w:rsidRPr="001E2C69">
        <w:rPr>
          <w:color w:val="000000" w:themeColor="text1"/>
          <w:sz w:val="16"/>
          <w:szCs w:val="16"/>
        </w:rPr>
        <w:softHyphen/>
        <w:t>роткую цель (бронированную или небронирован ную) как минимум в трех заходах с планирования под углом 25—30° с высоты 500—800 м, применяя в каждом заходе только один вид оружия. Напри</w:t>
      </w:r>
      <w:r w:rsidRPr="001E2C69">
        <w:rPr>
          <w:color w:val="000000" w:themeColor="text1"/>
          <w:sz w:val="16"/>
          <w:szCs w:val="16"/>
        </w:rPr>
        <w:softHyphen/>
        <w:t>мер, в первом заходе осуществляется пуск реак</w:t>
      </w:r>
      <w:r w:rsidRPr="001E2C69">
        <w:rPr>
          <w:color w:val="000000" w:themeColor="text1"/>
          <w:sz w:val="16"/>
          <w:szCs w:val="16"/>
        </w:rPr>
        <w:softHyphen/>
        <w:t>тивных снарядов залпом из 4 снарядов с дально</w:t>
      </w:r>
      <w:r w:rsidRPr="001E2C69">
        <w:rPr>
          <w:color w:val="000000" w:themeColor="text1"/>
          <w:sz w:val="16"/>
          <w:szCs w:val="16"/>
        </w:rPr>
        <w:softHyphen/>
        <w:t>сти не более 400—300 м. Затем, во втором заходе, на выходе из планирования выполняется сброс бомб. Начиная с третьего захода, цель обстрели</w:t>
      </w:r>
      <w:r w:rsidRPr="001E2C69">
        <w:rPr>
          <w:color w:val="000000" w:themeColor="text1"/>
          <w:sz w:val="16"/>
          <w:szCs w:val="16"/>
        </w:rPr>
        <w:softHyphen/>
        <w:t>вается пушечно-пулеметным огнем с дистанции до 400—300 м. Атака длинной цели вполне могла производиться с бреющего полета, как это реко</w:t>
      </w:r>
      <w:r w:rsidRPr="001E2C69">
        <w:rPr>
          <w:color w:val="000000" w:themeColor="text1"/>
          <w:sz w:val="16"/>
          <w:szCs w:val="16"/>
        </w:rPr>
        <w:softHyphen/>
        <w:t>мендовали специалисты НИП АВ, но обязательно с раздельным использованием каждого вида во</w:t>
      </w:r>
      <w:r w:rsidRPr="001E2C69">
        <w:rPr>
          <w:color w:val="000000" w:themeColor="text1"/>
          <w:sz w:val="16"/>
          <w:szCs w:val="16"/>
        </w:rPr>
        <w:softHyphen/>
        <w:t>оружения Ил-2 при дальностях залпового пуска РС и начала пулеметно-пушечной стрельбы не более 400 м.</w:t>
      </w:r>
    </w:p>
    <w:p w14:paraId="008CCDE4"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заключении от 12 сентября 1942 г. к отчету НИП АВ ВВС, подготовленном помощником началь</w:t>
      </w:r>
      <w:r w:rsidRPr="001E2C69">
        <w:rPr>
          <w:color w:val="000000" w:themeColor="text1"/>
          <w:sz w:val="16"/>
          <w:szCs w:val="16"/>
        </w:rPr>
        <w:softHyphen/>
        <w:t>ника 2-го отдела Оперативного управления штаба ВВС КА военным инженером 2-го ранга И. В. Пиме- новым, отмечалась «необходимость самого срочно</w:t>
      </w:r>
      <w:r w:rsidRPr="001E2C69">
        <w:rPr>
          <w:color w:val="000000" w:themeColor="text1"/>
          <w:sz w:val="16"/>
          <w:szCs w:val="16"/>
        </w:rPr>
        <w:softHyphen/>
        <w:t>го введения на вооружение Ил-2 с 37-мм пушками ОКБ-15 или ОКБ-16, лучше одной для стрельбы че</w:t>
      </w:r>
      <w:r w:rsidRPr="001E2C69">
        <w:rPr>
          <w:color w:val="000000" w:themeColor="text1"/>
          <w:sz w:val="16"/>
          <w:szCs w:val="16"/>
        </w:rPr>
        <w:softHyphen/>
        <w:t>рез втулку редуктора». Предлагалось незамедли</w:t>
      </w:r>
      <w:r w:rsidRPr="001E2C69">
        <w:rPr>
          <w:color w:val="000000" w:themeColor="text1"/>
          <w:sz w:val="16"/>
          <w:szCs w:val="16"/>
        </w:rPr>
        <w:softHyphen/>
        <w:t>тельно отработать и принять «на вооружение спе</w:t>
      </w:r>
      <w:r w:rsidRPr="001E2C69">
        <w:rPr>
          <w:color w:val="000000" w:themeColor="text1"/>
          <w:sz w:val="16"/>
          <w:szCs w:val="16"/>
        </w:rPr>
        <w:softHyphen/>
        <w:t>циальных противотанковых авиапушек с началь</w:t>
      </w:r>
      <w:r w:rsidRPr="001E2C69">
        <w:rPr>
          <w:color w:val="000000" w:themeColor="text1"/>
          <w:sz w:val="16"/>
          <w:szCs w:val="16"/>
        </w:rPr>
        <w:softHyphen/>
        <w:t>ной скоростью снаряда порядка 1300—1400 м/с (подобные скорости имеют немецкие противотан</w:t>
      </w:r>
      <w:r w:rsidRPr="001E2C69">
        <w:rPr>
          <w:color w:val="000000" w:themeColor="text1"/>
          <w:sz w:val="16"/>
          <w:szCs w:val="16"/>
        </w:rPr>
        <w:softHyphen/>
        <w:t>ковые пушки с так называемыми термитными сна</w:t>
      </w:r>
      <w:r w:rsidRPr="001E2C69">
        <w:rPr>
          <w:color w:val="000000" w:themeColor="text1"/>
          <w:sz w:val="16"/>
          <w:szCs w:val="16"/>
        </w:rPr>
        <w:softHyphen/>
        <w:t>рядами)». Кроме того, требовалось изыскание «но</w:t>
      </w:r>
      <w:r w:rsidRPr="001E2C69">
        <w:rPr>
          <w:color w:val="000000" w:themeColor="text1"/>
          <w:sz w:val="16"/>
          <w:szCs w:val="16"/>
        </w:rPr>
        <w:softHyphen/>
        <w:t>вых методов применения зажигательных средств штурмовиками по танкам, так как зажиганием оди</w:t>
      </w:r>
      <w:r w:rsidRPr="001E2C69">
        <w:rPr>
          <w:color w:val="000000" w:themeColor="text1"/>
          <w:sz w:val="16"/>
          <w:szCs w:val="16"/>
        </w:rPr>
        <w:softHyphen/>
        <w:t>наково достигается уничтожение как легкого, так и тяжелого танка, а горящий танк, как известно, является полностью безвозвратной потерей, чего нельзя сказать о танках, пораженных бомбой или пушечным огнем».</w:t>
      </w:r>
    </w:p>
    <w:p w14:paraId="34C34D90"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Интересно отметить еще один результат иссле</w:t>
      </w:r>
      <w:r w:rsidRPr="001E2C69">
        <w:rPr>
          <w:color w:val="000000" w:themeColor="text1"/>
          <w:sz w:val="16"/>
          <w:szCs w:val="16"/>
        </w:rPr>
        <w:softHyphen/>
        <w:t>довательской работы по оценке эффективности вооружения Ил-2. В августе 1942 г. с формулиров</w:t>
      </w:r>
      <w:r w:rsidRPr="001E2C69">
        <w:rPr>
          <w:color w:val="000000" w:themeColor="text1"/>
          <w:sz w:val="16"/>
          <w:szCs w:val="16"/>
        </w:rPr>
        <w:softHyphen/>
        <w:t>кой «в связи с необходимостью проведения ин</w:t>
      </w:r>
      <w:r w:rsidRPr="001E2C69">
        <w:rPr>
          <w:color w:val="000000" w:themeColor="text1"/>
          <w:sz w:val="16"/>
          <w:szCs w:val="16"/>
        </w:rPr>
        <w:softHyphen/>
        <w:t>структажа летного состава вновь формируемых штурмовых и истребительных противотанковых полков в стрельбе, бомбометании и выполнении атак по танкам» старший лейтенант Канюко и млад</w:t>
      </w:r>
      <w:r w:rsidRPr="001E2C69">
        <w:rPr>
          <w:color w:val="000000" w:themeColor="text1"/>
          <w:sz w:val="16"/>
          <w:szCs w:val="16"/>
        </w:rPr>
        <w:softHyphen/>
        <w:t>ший лейтенант Назаров из 245-го шап были отко</w:t>
      </w:r>
      <w:r w:rsidRPr="001E2C69">
        <w:rPr>
          <w:color w:val="000000" w:themeColor="text1"/>
          <w:sz w:val="16"/>
          <w:szCs w:val="16"/>
        </w:rPr>
        <w:softHyphen/>
        <w:t>мандированы в 4-й отдел НИИ ВВС. Утверждалось, что «указанные летчики прошли специальную тре</w:t>
      </w:r>
      <w:r w:rsidRPr="001E2C69">
        <w:rPr>
          <w:color w:val="000000" w:themeColor="text1"/>
          <w:sz w:val="16"/>
          <w:szCs w:val="16"/>
        </w:rPr>
        <w:softHyphen/>
        <w:t>нировку в действии по танкам и являются вполне подготовленными инструкторами, которых можно с успехом использовать при переучивании летного состава противотанковых полков».</w:t>
      </w:r>
    </w:p>
    <w:p w14:paraId="43836DD2"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После получения из НИП АВ отчета с материала</w:t>
      </w:r>
      <w:r w:rsidRPr="001E2C69">
        <w:rPr>
          <w:color w:val="000000" w:themeColor="text1"/>
          <w:sz w:val="16"/>
          <w:szCs w:val="16"/>
        </w:rPr>
        <w:softHyphen/>
        <w:t>ми испытаний вооружения самолетов Ил-2 и ЛаГГ-3 при действии по немецкой бронетехнике специ</w:t>
      </w:r>
      <w:r w:rsidRPr="001E2C69">
        <w:rPr>
          <w:color w:val="000000" w:themeColor="text1"/>
          <w:sz w:val="16"/>
          <w:szCs w:val="16"/>
        </w:rPr>
        <w:softHyphen/>
        <w:t>алисты 2-го отдела (отдел по использованию опыта войны) Оперативного управления штаба ВВС в кон</w:t>
      </w:r>
      <w:r w:rsidRPr="001E2C69">
        <w:rPr>
          <w:color w:val="000000" w:themeColor="text1"/>
          <w:sz w:val="16"/>
          <w:szCs w:val="16"/>
        </w:rPr>
        <w:softHyphen/>
        <w:t>це июля выехали на участки Брянского и Западного фронтов с целью оценки эффективности действия немецкой авиации по бронетанковым частям Крас</w:t>
      </w:r>
      <w:r w:rsidRPr="001E2C69">
        <w:rPr>
          <w:color w:val="000000" w:themeColor="text1"/>
          <w:sz w:val="16"/>
          <w:szCs w:val="16"/>
        </w:rPr>
        <w:softHyphen/>
        <w:t>ной Армии (17500).</w:t>
      </w:r>
    </w:p>
    <w:p w14:paraId="2418F4D5" w14:textId="77777777" w:rsidR="00B33D31" w:rsidRPr="001E2C69" w:rsidRDefault="00B33D31" w:rsidP="00722885">
      <w:pPr>
        <w:spacing w:after="0" w:line="240" w:lineRule="auto"/>
        <w:jc w:val="both"/>
        <w:rPr>
          <w:rFonts w:ascii="Times New Roman" w:eastAsia="Times New Roman" w:hAnsi="Times New Roman"/>
          <w:color w:val="000000" w:themeColor="text1"/>
          <w:sz w:val="16"/>
          <w:szCs w:val="16"/>
          <w:lang w:eastAsia="ru-RU"/>
        </w:rPr>
      </w:pPr>
    </w:p>
    <w:p w14:paraId="6C7561F3"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1 июля</w:t>
      </w:r>
      <w:r w:rsidRPr="001E2C69">
        <w:rPr>
          <w:rFonts w:ascii="Times New Roman" w:hAnsi="Times New Roman"/>
          <w:color w:val="000000" w:themeColor="text1"/>
          <w:sz w:val="16"/>
          <w:szCs w:val="16"/>
        </w:rPr>
        <w:t xml:space="preserve"> в 1942 году ночью весь командный и руководящий партийный аппарат Севастополя (около 600 человек что в 2,5 раза больше разрешенного Ставкой) покинул осажденный город на 13 «Ли-2» и подлодках «Щ-209» и «Л-23». На аэродроме возле Херсонесского маяка разъяренные солдаты едва не расстреляли вице-адмирала Октябрьского, командующего войсками СОР. К исходу дня немцы захватили бухты Омега, Стрелецкая и подошли к 305-мм береговой батарее №35 (14939).</w:t>
      </w:r>
    </w:p>
    <w:p w14:paraId="6E3B878F" w14:textId="77777777" w:rsidR="00B01B21" w:rsidRPr="001E2C69" w:rsidRDefault="00B01B21" w:rsidP="00722885">
      <w:pPr>
        <w:spacing w:after="0" w:line="240" w:lineRule="auto"/>
        <w:jc w:val="both"/>
        <w:rPr>
          <w:rFonts w:ascii="Times New Roman" w:hAnsi="Times New Roman"/>
          <w:color w:val="000000" w:themeColor="text1"/>
          <w:sz w:val="16"/>
          <w:szCs w:val="16"/>
        </w:rPr>
      </w:pPr>
    </w:p>
    <w:p w14:paraId="7CCC6285"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1 июля</w:t>
      </w:r>
      <w:r w:rsidRPr="001E2C69">
        <w:rPr>
          <w:rFonts w:ascii="Times New Roman" w:hAnsi="Times New Roman"/>
          <w:color w:val="000000" w:themeColor="text1"/>
          <w:sz w:val="16"/>
          <w:szCs w:val="16"/>
        </w:rPr>
        <w:t xml:space="preserve"> в 1942 году за взятие Севастополя немецкий генерал фон Манштейн провозглашается в фельдмаршалы (14939).</w:t>
      </w:r>
    </w:p>
    <w:p w14:paraId="47EC85F9" w14:textId="77777777" w:rsidR="00B01B21" w:rsidRPr="001E2C69" w:rsidRDefault="00B01B21" w:rsidP="00722885">
      <w:pPr>
        <w:spacing w:after="0" w:line="240" w:lineRule="auto"/>
        <w:jc w:val="both"/>
        <w:rPr>
          <w:rFonts w:ascii="Times New Roman" w:hAnsi="Times New Roman"/>
          <w:color w:val="000000" w:themeColor="text1"/>
          <w:sz w:val="16"/>
          <w:szCs w:val="16"/>
        </w:rPr>
      </w:pPr>
    </w:p>
    <w:p w14:paraId="57DC6C7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1 июля 1942:</w:t>
      </w:r>
    </w:p>
    <w:p w14:paraId="3E39BDE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Боевая живучесть Ил-2 ВВС КА в 1941-45 гг. (среднее количество боевых вылетов, приходящихся на одну боевую потерю)</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1559"/>
        <w:gridCol w:w="1559"/>
        <w:gridCol w:w="1559"/>
        <w:gridCol w:w="1559"/>
      </w:tblGrid>
      <w:tr w:rsidR="001E2C69" w:rsidRPr="001E2C69" w14:paraId="4B3969C2" w14:textId="77777777" w:rsidTr="00CC5360">
        <w:tc>
          <w:tcPr>
            <w:tcW w:w="2660" w:type="dxa"/>
            <w:tcBorders>
              <w:top w:val="single" w:sz="12" w:space="0" w:color="auto"/>
            </w:tcBorders>
          </w:tcPr>
          <w:p w14:paraId="4836913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Период</w:t>
            </w:r>
          </w:p>
        </w:tc>
        <w:tc>
          <w:tcPr>
            <w:tcW w:w="1559" w:type="dxa"/>
            <w:tcBorders>
              <w:top w:val="single" w:sz="12" w:space="0" w:color="auto"/>
            </w:tcBorders>
          </w:tcPr>
          <w:p w14:paraId="706CFBE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26.06.41-01.07.42 </w:t>
            </w:r>
          </w:p>
        </w:tc>
        <w:tc>
          <w:tcPr>
            <w:tcW w:w="1559" w:type="dxa"/>
            <w:tcBorders>
              <w:top w:val="single" w:sz="12" w:space="0" w:color="auto"/>
            </w:tcBorders>
          </w:tcPr>
          <w:p w14:paraId="2009F8B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01.08.42-01.06.43</w:t>
            </w:r>
          </w:p>
        </w:tc>
        <w:tc>
          <w:tcPr>
            <w:tcW w:w="1559" w:type="dxa"/>
            <w:tcBorders>
              <w:top w:val="single" w:sz="12" w:space="0" w:color="auto"/>
            </w:tcBorders>
          </w:tcPr>
          <w:p w14:paraId="39962AF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01.11.44.</w:t>
            </w:r>
          </w:p>
        </w:tc>
        <w:tc>
          <w:tcPr>
            <w:tcW w:w="1559" w:type="dxa"/>
            <w:tcBorders>
              <w:top w:val="single" w:sz="12" w:space="0" w:color="auto"/>
            </w:tcBorders>
          </w:tcPr>
          <w:p w14:paraId="50FB13F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01.01.45-09.05.45</w:t>
            </w:r>
          </w:p>
        </w:tc>
      </w:tr>
      <w:tr w:rsidR="001E2C69" w:rsidRPr="001E2C69" w14:paraId="275CD966" w14:textId="77777777" w:rsidTr="00CC5360">
        <w:tc>
          <w:tcPr>
            <w:tcW w:w="2660" w:type="dxa"/>
          </w:tcPr>
          <w:p w14:paraId="749B037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Ил-2</w:t>
            </w:r>
          </w:p>
        </w:tc>
        <w:tc>
          <w:tcPr>
            <w:tcW w:w="1559" w:type="dxa"/>
          </w:tcPr>
          <w:p w14:paraId="79E05A0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w:t>
            </w:r>
          </w:p>
        </w:tc>
        <w:tc>
          <w:tcPr>
            <w:tcW w:w="1559" w:type="dxa"/>
          </w:tcPr>
          <w:p w14:paraId="2EEA6CC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w:t>
            </w:r>
          </w:p>
        </w:tc>
        <w:tc>
          <w:tcPr>
            <w:tcW w:w="1559" w:type="dxa"/>
          </w:tcPr>
          <w:p w14:paraId="725BC49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85</w:t>
            </w:r>
          </w:p>
        </w:tc>
        <w:tc>
          <w:tcPr>
            <w:tcW w:w="1559" w:type="dxa"/>
          </w:tcPr>
          <w:p w14:paraId="4592AF5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90</w:t>
            </w:r>
          </w:p>
        </w:tc>
      </w:tr>
      <w:tr w:rsidR="001E2C69" w:rsidRPr="001E2C69" w14:paraId="1B84F5A4" w14:textId="77777777" w:rsidTr="00CC5360">
        <w:tc>
          <w:tcPr>
            <w:tcW w:w="2660" w:type="dxa"/>
          </w:tcPr>
          <w:p w14:paraId="300CD42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Истребители</w:t>
            </w:r>
          </w:p>
        </w:tc>
        <w:tc>
          <w:tcPr>
            <w:tcW w:w="1559" w:type="dxa"/>
          </w:tcPr>
          <w:p w14:paraId="7733BB8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w:t>
            </w:r>
          </w:p>
        </w:tc>
        <w:tc>
          <w:tcPr>
            <w:tcW w:w="1559" w:type="dxa"/>
          </w:tcPr>
          <w:p w14:paraId="16AEF2D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69</w:t>
            </w:r>
          </w:p>
        </w:tc>
        <w:tc>
          <w:tcPr>
            <w:tcW w:w="1559" w:type="dxa"/>
          </w:tcPr>
          <w:p w14:paraId="50A68A5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127</w:t>
            </w:r>
          </w:p>
        </w:tc>
        <w:tc>
          <w:tcPr>
            <w:tcW w:w="1559" w:type="dxa"/>
          </w:tcPr>
          <w:p w14:paraId="201688A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194</w:t>
            </w:r>
          </w:p>
        </w:tc>
      </w:tr>
      <w:tr w:rsidR="009B487A" w:rsidRPr="001E2C69" w14:paraId="2AA4921D" w14:textId="77777777" w:rsidTr="00CC5360">
        <w:tc>
          <w:tcPr>
            <w:tcW w:w="2660" w:type="dxa"/>
            <w:tcBorders>
              <w:bottom w:val="single" w:sz="12" w:space="0" w:color="auto"/>
            </w:tcBorders>
          </w:tcPr>
          <w:p w14:paraId="56D043E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Бомбардировщики</w:t>
            </w:r>
          </w:p>
        </w:tc>
        <w:tc>
          <w:tcPr>
            <w:tcW w:w="1559" w:type="dxa"/>
            <w:tcBorders>
              <w:bottom w:val="single" w:sz="12" w:space="0" w:color="auto"/>
            </w:tcBorders>
          </w:tcPr>
          <w:p w14:paraId="0ECAF9E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w:t>
            </w:r>
          </w:p>
        </w:tc>
        <w:tc>
          <w:tcPr>
            <w:tcW w:w="1559" w:type="dxa"/>
            <w:tcBorders>
              <w:bottom w:val="single" w:sz="12" w:space="0" w:color="auto"/>
            </w:tcBorders>
          </w:tcPr>
          <w:p w14:paraId="1BE0B5E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48</w:t>
            </w:r>
          </w:p>
        </w:tc>
        <w:tc>
          <w:tcPr>
            <w:tcW w:w="1559" w:type="dxa"/>
            <w:tcBorders>
              <w:bottom w:val="single" w:sz="12" w:space="0" w:color="auto"/>
            </w:tcBorders>
          </w:tcPr>
          <w:p w14:paraId="16AE58B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125</w:t>
            </w:r>
          </w:p>
        </w:tc>
        <w:tc>
          <w:tcPr>
            <w:tcW w:w="1559" w:type="dxa"/>
            <w:tcBorders>
              <w:bottom w:val="single" w:sz="12" w:space="0" w:color="auto"/>
            </w:tcBorders>
          </w:tcPr>
          <w:p w14:paraId="398E7ED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133</w:t>
            </w:r>
          </w:p>
        </w:tc>
      </w:tr>
    </w:tbl>
    <w:p w14:paraId="0686291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E441C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был подготовлен отчет о боевой работе 746-го авиаполка за июнь 1942 г.:</w:t>
      </w:r>
    </w:p>
    <w:p w14:paraId="46BC865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Дополним картину боевой обстановки отчетом о боевой работе 746-го авиаполка за июнь 1942 г.</w:t>
      </w:r>
    </w:p>
    <w:p w14:paraId="497AE55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1.07.1942 г.</w:t>
      </w:r>
    </w:p>
    <w:p w14:paraId="0ABE033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Отчет о боевой работе 746 апДД за июнь месяц 1942 г.</w:t>
      </w:r>
    </w:p>
    <w:p w14:paraId="368F2EE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За отчетный период 746 апДД выполнял следующие боевые задачи:</w:t>
      </w:r>
    </w:p>
    <w:p w14:paraId="2E0805E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Бомбардирование городов: Брянск, Щигры, Полтава, Орел с задачей уничтожения штабов и скопления войск противника.</w:t>
      </w:r>
    </w:p>
    <w:p w14:paraId="04D8280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Бомбардирование ж.д. станции Брянск-2 с задачей уничтожения ж.д. эшелонов и ж.д. путей.</w:t>
      </w:r>
    </w:p>
    <w:p w14:paraId="73850AC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в) Бомбардирование аэродромов противника: Брянск, Харьков, Белгород, Смоленск, Боровское, Сеша, Курск с задачей уничтожения самолетов противника и разрушения летного поля.</w:t>
      </w:r>
    </w:p>
    <w:p w14:paraId="51FA895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Бомбардирование скопления танков, артиллерии и пехоты противника в населенных пунктах 16 км восточнее г. Курск с задачей их уничтожения.</w:t>
      </w:r>
    </w:p>
    <w:p w14:paraId="1374D3B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Всего за июнь месяц полк на самолетах ТБ-7 с моторами АМ-35А сделал 50 самолетовылетов ночью, из них 6 самолетов задание не выполнили по следующим причинам:</w:t>
      </w:r>
    </w:p>
    <w:p w14:paraId="03EAAA9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4.06.1942 г. с-т № 42086 кк (командир корабля-М.М.) м-р Лисачев вылетел на бомбометание ст. Брянск-2 с задачей уничтожения ж.д. эшелонов и разрушения путей - задание не выполнили из-за расхождения показаний магнитного компаса кабины штурмана на 100 градусов. Виновник штурман м-р Томкевич. Через 30 мин. полета произвел посадку на своем аэродроме с бомбами благополучно.</w:t>
      </w:r>
    </w:p>
    <w:p w14:paraId="5C9E07B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11.06.1942 г. с-т № 42106 - кк ст. л-т Видный вылетел на бомбометание аэродрома и г. Харьков с задачей уничтожения мат- части с-тов, разрушения летного поля и уничтожения штабов пр-ка в городе. Задание не выполнили из-за отказа 1-го мотора, оборвался поршень, пробит картер. Через 34 мин. полета произвел посадку на своем аэродроме с бомбами благополучно.</w:t>
      </w:r>
    </w:p>
    <w:p w14:paraId="3599DFA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18.06.1942 г. с-т № 42057 - кк к-н До- донов вылетел на бомбардирование аэродрома Сеща с задачей уничтожения матчас- ти с-тов пр-ка и разрушения летного поля. Задание не выполнили из-за отказа 4-го мотора. Разрушена шестерня наклонного валика газораспределения. Через 1 час полета произвел посадку с бомбами на своем аэродроме благополучно.</w:t>
      </w:r>
    </w:p>
    <w:p w14:paraId="6B26C98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26.06.1942 г. с-т № 42067 - кк к-н Обухов вылетел на бомбардирование г. Полтава с задачей уничтожения штабов и войск пр-ка. Задание не выполнил, зависли 2 ФАБ-ЮОО и I РРАБ-2 из-за неисправности бомбардировочного вооружения - не полного соединения шипа карданного валика с механизмом сбрасывания балки П-2. Возвращаясь на свой аэродром с бомбами, из-за опасности, что не хватит горючего, произвел посадку на аэродроме Дягилево.</w:t>
      </w:r>
    </w:p>
    <w:p w14:paraId="4A0E76D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 26.06.1942 г. с-т № 42066 - кк м-р Пусэп вылетел на бомбардирование г. Полтава с задачей уничтожения штабов и войск противника. Задание не выполнил из-за отказа 1-го мотора. Через 38 мин. полета произвел посадку с бомбами на своем аэродроме благополучно.</w:t>
      </w:r>
    </w:p>
    <w:p w14:paraId="27F3044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 28.06.1942 г. с-т № 42086 - кк м-р Лисачев вылетел на бомбардирование г. Щигры с задачей уничтожения скопления войск пр- ка. Задание не выполнил из-за плохих метеоусловий в районе цели. Возвратился на свой аэродром с бомбами. Сел благополучно.</w:t>
      </w:r>
    </w:p>
    <w:p w14:paraId="30F80BA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Из намеченных к вылету самолетов на задание не вылетело:</w:t>
      </w:r>
    </w:p>
    <w:p w14:paraId="36E318A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2.06.1942 г. - с-т № 42106 - кк ст. л-т Видный на задание не вышел из-за неисправности матчасти с-та, лопнула клапанная пружина на третьем моторе.</w:t>
      </w:r>
    </w:p>
    <w:p w14:paraId="4135672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12.06.1942 г. - с-т № 42037 кк ст. л-т Родных на задание не вышел из-за неисправности матчасти. Лопнула покрышка колеса.</w:t>
      </w:r>
    </w:p>
    <w:p w14:paraId="38C23A2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13.06.1942 г. - с-т № 4225 кк к-н Перегудов на задание не вышел из-за неисправности матчасти, упало давление масла.</w:t>
      </w:r>
    </w:p>
    <w:p w14:paraId="0E3CAF0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14.06.1942 г. - с-т № 4225 кк к-н Перегудов на задание не вышел из-за личной неподготовленности к полету.</w:t>
      </w:r>
    </w:p>
    <w:p w14:paraId="4912508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26.06.1942 г. - с-т № 42086 кк м-р Лисачев на задание не вышел, заболел борттех- ник. Вина борттехника инж. к-на Смагина заключается в том, что он своевременно не поставил в известность командира корабля о болезни.</w:t>
      </w:r>
    </w:p>
    <w:p w14:paraId="5EA7B6A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26.06.1942 г. - с-т № 42057 кк к-н Додо- нов на задание не вышел из-за неисправности магнето в 3-м моторе. Виновник борттех- ник ст. тех. л-т Клейменов.</w:t>
      </w:r>
    </w:p>
    <w:p w14:paraId="6317620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Общий боевой налет ночью - 216 ч 40 мин.</w:t>
      </w:r>
    </w:p>
    <w:p w14:paraId="1317E72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Достигнутые результаты в итоге БД: бомбометание производилось ночью с больших высот, в основном 4500 - 6000 м, фотографирование результатов бомбометания не производилось, т.к. высота бомбометания значительно превышала предел высоты ночного фотографирования.</w:t>
      </w:r>
    </w:p>
    <w:p w14:paraId="170BA9B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Успешное бомбометание подтверждено разведданными, а также взаимным контролем экипажей, бомбардировавших цель. </w:t>
      </w:r>
    </w:p>
    <w:p w14:paraId="357BD16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 успешно выполнили бомбометание: экипаж корабля №4218 кк ст. л-т Родных, штурман Прудкий - бомбы сброшены не по заданной точке города Брянск, а по северовосточной части города.</w:t>
      </w:r>
    </w:p>
    <w:p w14:paraId="6A1D9ED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Экипаж корабля № 42057 кк к-н Додо- нов, штурман к-н Ушаков, бомбил г. Орел. Бомбы сброшены на город, но в какой части разорвались бомбы, штурман доложить не мог, т.к. бомбы сброшены из-за облаков с высоты 5600 м.</w:t>
      </w:r>
    </w:p>
    <w:p w14:paraId="0D641F1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Экипаж корабля № 42086 кк м-р Лисачев, штурман м-р Томкевич, бомбил аэродром Смоленск, бомбы сброшены из-за облаков с высоты 5300 м по зареву пожара. Точно установить место падения бомб экипаж не смог из-за облаков.</w:t>
      </w:r>
    </w:p>
    <w:p w14:paraId="550A500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Экипаж корабля № 42067 кк к-н Обухов, штурман ст. л-т Шараев, бомбил г. Щигры из-за облаков с высоты 4700 м. Бомбы сброшены по площади, ограниченной действующими прожекторами и ЗА. Точно указать, куда попали бомбы, экипаж не смог.</w:t>
      </w:r>
    </w:p>
    <w:p w14:paraId="07AE35F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Наблюдениями экипажей, производившими бомбометание, установлено:</w:t>
      </w:r>
    </w:p>
    <w:p w14:paraId="415897B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г. Брянск - отмечено прямое попадание 59 бомб, из них 1 - ФАБ-2000, 2 - ФАБ-1000, 6 - ФАБ-500, 2 - ЗАБ-500ТШ, 32 - ФАБ-250, 8 - ФАБ-100, 8 -ЗАБ-100ЦК. В результате бомбометания возникло 10 очагов пожара.</w:t>
      </w:r>
    </w:p>
    <w:p w14:paraId="7EC0817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г. Харьков - отмечено прямое попадание 32 бомбы, из них: 8 - ФАБ-500, 16 - ФАБ-250, 8 - РРАБ-2 с начинкой АО-10-300, АО-25-36, ЗАБ-2,5-320. В результате бомбометания возникло 2 очага пожара.</w:t>
      </w:r>
    </w:p>
    <w:p w14:paraId="3A34CC5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г. Щигры - отмечено попадание 58 бомб, из них: 2 - ФАБ-500, 2 - ЗАБ-500тш, 24 - ФАБ-250, 20 - ФАБ-100, 10 - РРАБ-2 с начинкой АО-10-300,</w:t>
      </w:r>
    </w:p>
    <w:p w14:paraId="168EF78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АО-15-60, АО-25-36, ЗАБ-2,5-400.</w:t>
      </w:r>
    </w:p>
    <w:p w14:paraId="05BB919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д. Пахонок - отмечено попадание 30 бомб, из них: 4 - ФАБ-500, 22 - ФАБ-100, 4 - РРАБ-2 с начинкой АО-15-60, ЗАБ-2,5-80. В результате бомбометания пожаров не возникло.</w:t>
      </w:r>
    </w:p>
    <w:p w14:paraId="07CC747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 г. Полтава - отмечено попадание 10 бомб, из них: 8 - ФАБ-250 и 2 - РРАБ-2 с начинкой АО-15-60, ЗАБ-2,5-80. В результате бомбометаний пожаров не возникло.</w:t>
      </w:r>
    </w:p>
    <w:p w14:paraId="499CDEA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 г. Орел - отмечено прямое попадание 6 - ФАБ-500, в результате бомбометания пожаров не возникло. Наблюдение за результатами бомбометания было затруднено облачностью.</w:t>
      </w:r>
    </w:p>
    <w:p w14:paraId="2217B72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ж) г. Курск - отмечено прямое попадание 2 бомб ФАБ-1000 и 2 - РРАБ-2 с начинкой</w:t>
      </w:r>
    </w:p>
    <w:p w14:paraId="02DAAD1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АО-10-100, ЗАБ-2,5-80. В результате бомбометания в городе наблюдали один большой взрыв.</w:t>
      </w:r>
    </w:p>
    <w:p w14:paraId="1A2DFA6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 Ж.д. ст. Брянск-2 - отмечено попадание 69 бомб, из них: 1 - ФАБ-2000, 10 - ФАБ-1000, 8 - ФАБ-500, 2 - ЗАБ-500тш, 8 - ФАБ-250, 24 - ФАБ-100, 16 - ЗАБ-1цк. В результате бомбометания возникло 12 очагов пожара.</w:t>
      </w:r>
    </w:p>
    <w:p w14:paraId="70EB449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 Аэродром Брянск - отмечено прямое попадание 46 бомб, из них: 2 - ФАБ-1000, 8 - ФАБ-500, 24 - ФАБ-250, 12 - РРАБ-2 с начинкой АО-10-600, ЗАБ-2,5-480. В результате бомбометания возникло 9 пожаров и 1 взрыв.</w:t>
      </w:r>
    </w:p>
    <w:p w14:paraId="0CB32E2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 аэродром Смоленск - отмечено прямое попадание 52 бомбы, из них: 4 - ФАБ-500, 16 - ФАБ-250, 20 - ФАБ-100, 4 - ЗАБ-ЮОцк и 8 РРАБ-2 с начинкой АО-10-200, АО-25-72, ЗАБ-2,5-300. В результате бомбометания возникло 5 очагов пожара.</w:t>
      </w:r>
    </w:p>
    <w:p w14:paraId="50FF153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 Аэродром Боровское - отмечено прямое попадание 20 бомб: из них 16 - ФАБ-250 и 4 - РРАБ-2 с начинкой АО-25-72, ЗАБ-2,5-160. В результате бомбометания возникло 2 очага пожара и I взрыв.</w:t>
      </w:r>
    </w:p>
    <w:p w14:paraId="64DEBB6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 Аэродром Сеща - отмечено прямое попадание 10 бомб, из них: 8 - ФАБ-250 и 2 - РРАБ-2 с начинкой АО-10-100, ЗАБ-2,5-80. В результате бомбометания возникло 3 очага пожара.</w:t>
      </w:r>
    </w:p>
    <w:p w14:paraId="4FC803A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 Аэродром Курск - отмечено попадание 10 бомб, из них: 8 - ФАБ-250 и 2 - РРАБ-2 с начинкой АО-15-бО, ЗАБ-2,5-80. В результате бомбометания пожаров не возникло.</w:t>
      </w:r>
    </w:p>
    <w:p w14:paraId="4741286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 Аэродром Харьков - отмечено попадание 14 бомб, из них: 2 - ФАБ-1000, 8 - ФАБ-250 и 4 - РРАБ-2 с начинкой АО-10-100, ЗАБ-2,5-160 и АО-25-36. В результате бомбометания возникло 6 очагов пожара.</w:t>
      </w:r>
    </w:p>
    <w:p w14:paraId="29B9137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Результаты бомбометания первых экипажей, бомбивших цель, проверялись наблюдением экипажей, бомбивших цель последними. Так, например:</w:t>
      </w:r>
    </w:p>
    <w:p w14:paraId="3C2BF68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бомбометание штурмана Волкова по аэродрому Боровское подтверждается штурманом Томкевичем, бомбившим цель за Волковым. В результате чего возникло 2 очага пожара и один взрыв.</w:t>
      </w:r>
    </w:p>
    <w:p w14:paraId="7D9E358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Бомбометание по г. Щигры. Экипаж, бомбивший цель последним, после бомбометания наших самолетов, наблюдал до 12 очагов пожара.</w:t>
      </w:r>
    </w:p>
    <w:p w14:paraId="397909C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ПВО противника:</w:t>
      </w:r>
    </w:p>
    <w:p w14:paraId="73793A4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Объекты, по которым производилось бомбометание за отчетный период, прикрыты ЗА и ПА.</w:t>
      </w:r>
    </w:p>
    <w:p w14:paraId="0CBCF8C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Города Брянск, Курск, Харьков и аэродромы Смоленск, Брянск, Сеша, ж.д. узел Брянск-2 - прикрыты интенсивным огнем ЗА всех калибров, во взаимодействии с прожекторами.</w:t>
      </w:r>
    </w:p>
    <w:p w14:paraId="48A1B00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Скопление танков, артиллерии и живой силы противника в р-не г. Щигры - прикрыто интенсивным огнем МЗА и ЗП до 30- ти огневых точек и небольшим количеством ЗА среднего калибра до 4-х орудий. Действовали до 8 прожекторов.</w:t>
      </w:r>
    </w:p>
    <w:p w14:paraId="7DEA06E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Над г. Брянск и аэродромами Смоленск и Брянск отмечено патрулирование ночных истребителей противника, так 2.06.1942 г. один из наших самолетов при бомбардировании г. Брянск на высоте 5600 м был атакован истребителем пр-ка безуспешно, после ответного огня пулеметов нашего корабля, истребитель отвалил и ушел.</w:t>
      </w:r>
    </w:p>
    <w:p w14:paraId="1617C56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Слабо прикрыты ЗА г. Полтава, аэродром Белгород и Боровское.</w:t>
      </w:r>
    </w:p>
    <w:p w14:paraId="28FBDEA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За отчетный период сброшено 6470 тыс листовок.</w:t>
      </w:r>
    </w:p>
    <w:p w14:paraId="619959E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Боевых потерь за отчетный период нет, имеется одна авария:</w:t>
      </w:r>
    </w:p>
    <w:p w14:paraId="531BA7D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1.06.1942 г. кк № 42035 п/п-к Курбан стартовал с аэродрома Раменское для опробыва- ния матчасти в воздухе. На высоте 75 м отказали все моторы из-за недозаправки с-та горючим по вине борттехника инженера к-на Плетнева. В результате самолет разбит, экипаж невредим. Вывод.</w:t>
      </w:r>
    </w:p>
    <w:p w14:paraId="670305F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При возвращении наших самолетов на свой аэродром, вражеские самолеты подстерегают их и на посадке атакуют. В июне месяце было 2 случая.</w:t>
      </w:r>
    </w:p>
    <w:p w14:paraId="7A0A037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Патрулирование истребителей пр-ка над объектами бомбометания на больших высотах отмечается в редких случаях.</w:t>
      </w:r>
    </w:p>
    <w:p w14:paraId="6D34DC4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Предложения</w:t>
      </w:r>
    </w:p>
    <w:p w14:paraId="1FF3720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Необходимо изменить график работы с Раменского аэродрома, с тем, чтобы возвращение на свой аэродром не было изо дня в день в одно и то же время. С другой стороны, изредка делать посадки после выполнения задания на другом, мало известном противнику, аэродроме.</w:t>
      </w:r>
    </w:p>
    <w:p w14:paraId="596A2F1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Основной удар по объекту наносить массированно, а после массированного удара необходимо выделять некоторое количество самолетов, которые бы воздействовали по объекту в течение всей ночи с целью изматывания живой силы врага и не давать возможности производить восстановительные работы.</w:t>
      </w:r>
    </w:p>
    <w:p w14:paraId="599E4AB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Командир полка майор (ЕГОРОВ) Военком полка полковой комиссар (БРЮЗГИН) Начальник штаба подполковник (ИВАЩЕНКО)" (12025).</w:t>
      </w:r>
    </w:p>
    <w:p w14:paraId="28A45C5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78437C" w14:textId="780450BE" w:rsidR="009C7E3C" w:rsidRPr="001E2C69" w:rsidRDefault="009C7E3C" w:rsidP="00722885">
      <w:pPr>
        <w:pStyle w:val="af"/>
        <w:spacing w:before="0" w:after="0"/>
        <w:jc w:val="both"/>
        <w:textAlignment w:val="baseline"/>
        <w:rPr>
          <w:color w:val="000000" w:themeColor="text1"/>
          <w:sz w:val="16"/>
          <w:szCs w:val="16"/>
        </w:rPr>
      </w:pPr>
      <w:r w:rsidRPr="001E2C69">
        <w:rPr>
          <w:color w:val="000000" w:themeColor="text1"/>
          <w:sz w:val="16"/>
          <w:szCs w:val="16"/>
        </w:rPr>
        <w:t>1 июля 1942</w:t>
      </w:r>
      <w:r w:rsidR="001E2C69">
        <w:rPr>
          <w:color w:val="000000" w:themeColor="text1"/>
          <w:sz w:val="16"/>
          <w:szCs w:val="16"/>
        </w:rPr>
        <w:t xml:space="preserve">   </w:t>
      </w:r>
      <w:r w:rsidRPr="001E2C69">
        <w:rPr>
          <w:color w:val="000000" w:themeColor="text1"/>
          <w:sz w:val="16"/>
          <w:szCs w:val="16"/>
        </w:rPr>
        <w:t>г. приказом наркома обороны были образованы 1-я и 2-я истребительные авиационные армии (ИАА), чьими командующими были назначены генерал-майоры Е.</w:t>
      </w:r>
      <w:r w:rsidR="001E2C69">
        <w:rPr>
          <w:color w:val="000000" w:themeColor="text1"/>
          <w:sz w:val="16"/>
          <w:szCs w:val="16"/>
        </w:rPr>
        <w:t xml:space="preserve">   </w:t>
      </w:r>
      <w:r w:rsidRPr="001E2C69">
        <w:rPr>
          <w:color w:val="000000" w:themeColor="text1"/>
          <w:sz w:val="16"/>
          <w:szCs w:val="16"/>
        </w:rPr>
        <w:t>М.</w:t>
      </w:r>
      <w:r w:rsidR="001E2C69">
        <w:rPr>
          <w:color w:val="000000" w:themeColor="text1"/>
          <w:sz w:val="16"/>
          <w:szCs w:val="16"/>
        </w:rPr>
        <w:t xml:space="preserve">   </w:t>
      </w:r>
      <w:r w:rsidRPr="001E2C69">
        <w:rPr>
          <w:color w:val="000000" w:themeColor="text1"/>
          <w:sz w:val="16"/>
          <w:szCs w:val="16"/>
        </w:rPr>
        <w:t>Белецкий и В.</w:t>
      </w:r>
      <w:r w:rsidR="001E2C69">
        <w:rPr>
          <w:color w:val="000000" w:themeColor="text1"/>
          <w:sz w:val="16"/>
          <w:szCs w:val="16"/>
        </w:rPr>
        <w:t xml:space="preserve">   </w:t>
      </w:r>
      <w:r w:rsidRPr="001E2C69">
        <w:rPr>
          <w:color w:val="000000" w:themeColor="text1"/>
          <w:sz w:val="16"/>
          <w:szCs w:val="16"/>
        </w:rPr>
        <w:t>Г.</w:t>
      </w:r>
      <w:r w:rsidR="001E2C69">
        <w:rPr>
          <w:color w:val="000000" w:themeColor="text1"/>
          <w:sz w:val="16"/>
          <w:szCs w:val="16"/>
        </w:rPr>
        <w:t xml:space="preserve">   </w:t>
      </w:r>
      <w:r w:rsidRPr="001E2C69">
        <w:rPr>
          <w:color w:val="000000" w:themeColor="text1"/>
          <w:sz w:val="16"/>
          <w:szCs w:val="16"/>
        </w:rPr>
        <w:t>Рязанов, а также 1-я бомбардировочная авиационная армия (БАА), которую возглавил генерал-майор В.</w:t>
      </w:r>
      <w:r w:rsidR="001E2C69">
        <w:rPr>
          <w:color w:val="000000" w:themeColor="text1"/>
          <w:sz w:val="16"/>
          <w:szCs w:val="16"/>
        </w:rPr>
        <w:t xml:space="preserve">   </w:t>
      </w:r>
      <w:r w:rsidRPr="001E2C69">
        <w:rPr>
          <w:color w:val="000000" w:themeColor="text1"/>
          <w:sz w:val="16"/>
          <w:szCs w:val="16"/>
        </w:rPr>
        <w:t>А.</w:t>
      </w:r>
      <w:r w:rsidR="001E2C69">
        <w:rPr>
          <w:color w:val="000000" w:themeColor="text1"/>
          <w:sz w:val="16"/>
          <w:szCs w:val="16"/>
        </w:rPr>
        <w:t xml:space="preserve">   </w:t>
      </w:r>
      <w:r w:rsidRPr="001E2C69">
        <w:rPr>
          <w:color w:val="000000" w:themeColor="text1"/>
          <w:sz w:val="16"/>
          <w:szCs w:val="16"/>
        </w:rPr>
        <w:t>Судец. После этого предполагалось ввести еще несколько бомбардировочных и штурмовых армий. Последние, по мысли Новикова, должны были состоять из четырех-пяти шад и насчитывать до 500 штурмовиков! Они могли использоваться для массированной поддержки наступления, либо, наоборот, для массированных атак прорвавшихся танков врага.</w:t>
      </w:r>
    </w:p>
    <w:p w14:paraId="54C1D4DF" w14:textId="3A503619" w:rsidR="009C7E3C" w:rsidRPr="001E2C69" w:rsidRDefault="009C7E3C" w:rsidP="00722885">
      <w:pPr>
        <w:pStyle w:val="af"/>
        <w:spacing w:before="0" w:after="0"/>
        <w:jc w:val="both"/>
        <w:textAlignment w:val="baseline"/>
        <w:rPr>
          <w:color w:val="000000" w:themeColor="text1"/>
          <w:sz w:val="16"/>
          <w:szCs w:val="16"/>
        </w:rPr>
      </w:pPr>
      <w:r w:rsidRPr="001E2C69">
        <w:rPr>
          <w:color w:val="000000" w:themeColor="text1"/>
          <w:sz w:val="16"/>
          <w:szCs w:val="16"/>
        </w:rPr>
        <w:t>Однако начавшееся немецкое летнее наступление и развернувшиеся кровопролитные сражения поглотили все созданные резервы самолетов. И в итоге в боях приняла участие лишь одна 1-я ИАА, имевшая 231 истребитель. 5</w:t>
      </w:r>
      <w:r w:rsidR="001E2C69">
        <w:rPr>
          <w:color w:val="000000" w:themeColor="text1"/>
          <w:sz w:val="16"/>
          <w:szCs w:val="16"/>
        </w:rPr>
        <w:t xml:space="preserve">   </w:t>
      </w:r>
      <w:r w:rsidRPr="001E2C69">
        <w:rPr>
          <w:color w:val="000000" w:themeColor="text1"/>
          <w:sz w:val="16"/>
          <w:szCs w:val="16"/>
        </w:rPr>
        <w:t>июля ее бросили в бой с люфтваффе на Воронежском направлении. За семь последующих дней армия понесла огромные потери. Были сбиты 93 машины, еще 23 получили сильные повреждения и совершили вынужденные посадки на своей территории. Кроме того, 49 истребителей отправились в ремонт. Таким образом, к исходу 12 июля в строю осталось всего 66 самолетов, и 1-я ИАА фактически перестала существовать. В конце июля ее остатки использовали для формирования 16-й воздушной армии.</w:t>
      </w:r>
    </w:p>
    <w:p w14:paraId="2B104D46" w14:textId="77777777" w:rsidR="009C7E3C" w:rsidRPr="001E2C69" w:rsidRDefault="009C7E3C" w:rsidP="00722885">
      <w:pPr>
        <w:pStyle w:val="af"/>
        <w:spacing w:before="0" w:after="0"/>
        <w:jc w:val="both"/>
        <w:textAlignment w:val="baseline"/>
        <w:rPr>
          <w:color w:val="000000" w:themeColor="text1"/>
          <w:sz w:val="16"/>
          <w:szCs w:val="16"/>
        </w:rPr>
      </w:pPr>
      <w:r w:rsidRPr="001E2C69">
        <w:rPr>
          <w:color w:val="000000" w:themeColor="text1"/>
          <w:sz w:val="16"/>
          <w:szCs w:val="16"/>
        </w:rPr>
        <w:t>1-я БАА лишь частично задействовалась в боях, после чего подчиненные ей полки передали в 1-ю воздушную армию и в авиацию дальнего действия (АДД). Что же касается штурмовых армий, то успели приступить к формированию лишь одних их управлений, когда сама идея сошла на нет из-за огромных потерь на фронте.</w:t>
      </w:r>
    </w:p>
    <w:p w14:paraId="2B713D3D" w14:textId="77777777" w:rsidR="009C7E3C" w:rsidRPr="001E2C69" w:rsidRDefault="009C7E3C" w:rsidP="00722885">
      <w:pPr>
        <w:pStyle w:val="af"/>
        <w:spacing w:before="0" w:after="0"/>
        <w:jc w:val="both"/>
        <w:textAlignment w:val="baseline"/>
        <w:rPr>
          <w:color w:val="000000" w:themeColor="text1"/>
          <w:sz w:val="16"/>
          <w:szCs w:val="16"/>
        </w:rPr>
      </w:pPr>
      <w:r w:rsidRPr="001E2C69">
        <w:rPr>
          <w:color w:val="000000" w:themeColor="text1"/>
          <w:sz w:val="16"/>
          <w:szCs w:val="16"/>
        </w:rPr>
        <w:t>Однако Новиков не отказался от планов создания крупных специализированных авиационных соединений. Только теперь вместо воздушной армии за основу был взят авиакорпус, которым в случае необходимости могла быть усилена та или иная воздушная армия. В числе прочих предлагалось сформировать штурмовые авиакорпуса (шак), которые бы состояли из двух штурмовых дивизий и по штату имели бы около 220 Ил-2 (19522).</w:t>
      </w:r>
    </w:p>
    <w:p w14:paraId="32471997" w14:textId="77777777" w:rsidR="009C7E3C" w:rsidRPr="001E2C69" w:rsidRDefault="009C7E3C" w:rsidP="00722885">
      <w:pPr>
        <w:pStyle w:val="af"/>
        <w:spacing w:before="0" w:after="0"/>
        <w:jc w:val="both"/>
        <w:textAlignment w:val="baseline"/>
        <w:rPr>
          <w:color w:val="000000" w:themeColor="text1"/>
          <w:sz w:val="16"/>
          <w:szCs w:val="16"/>
        </w:rPr>
      </w:pPr>
    </w:p>
    <w:p w14:paraId="578F8404" w14:textId="311E733A" w:rsidR="00B40455" w:rsidRPr="001E2C69" w:rsidRDefault="00B4045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г. приказом наркома обороны были образованы 1</w:t>
      </w:r>
      <w:r w:rsidRPr="001E2C69">
        <w:rPr>
          <w:rFonts w:ascii="Times New Roman" w:hAnsi="Times New Roman"/>
          <w:color w:val="000000" w:themeColor="text1"/>
          <w:sz w:val="16"/>
          <w:szCs w:val="16"/>
        </w:rPr>
        <w:noBreakHyphen/>
        <w:t>я и 2</w:t>
      </w:r>
      <w:r w:rsidRPr="001E2C69">
        <w:rPr>
          <w:rFonts w:ascii="Times New Roman" w:hAnsi="Times New Roman"/>
          <w:color w:val="000000" w:themeColor="text1"/>
          <w:sz w:val="16"/>
          <w:szCs w:val="16"/>
        </w:rPr>
        <w:noBreakHyphen/>
        <w:t>я истребительные авиационные армии (ИАА), чьими командующими были назначены генерал</w:t>
      </w:r>
      <w:r w:rsidRPr="001E2C69">
        <w:rPr>
          <w:rFonts w:ascii="Times New Roman" w:hAnsi="Times New Roman"/>
          <w:color w:val="000000" w:themeColor="text1"/>
          <w:sz w:val="16"/>
          <w:szCs w:val="16"/>
        </w:rPr>
        <w:noBreakHyphen/>
        <w:t>майоры Е.М. Белецкий и В.Г. Рязанов, а также 1</w:t>
      </w:r>
      <w:r w:rsidRPr="001E2C69">
        <w:rPr>
          <w:rFonts w:ascii="Times New Roman" w:hAnsi="Times New Roman"/>
          <w:color w:val="000000" w:themeColor="text1"/>
          <w:sz w:val="16"/>
          <w:szCs w:val="16"/>
        </w:rPr>
        <w:noBreakHyphen/>
        <w:t>я бомбардировочная авиационная армия (БАА), которую возглавил генерал</w:t>
      </w:r>
      <w:r w:rsidRPr="001E2C69">
        <w:rPr>
          <w:rFonts w:ascii="Times New Roman" w:hAnsi="Times New Roman"/>
          <w:color w:val="000000" w:themeColor="text1"/>
          <w:sz w:val="16"/>
          <w:szCs w:val="16"/>
        </w:rPr>
        <w:noBreakHyphen/>
        <w:t>майор В.А. Судец. После этого предполагалось ввести еще несколько бомбардировочных и штурмовых армий. Последние, по мысли Новикова, должны были состоять из четырех</w:t>
      </w:r>
      <w:r w:rsidRPr="001E2C69">
        <w:rPr>
          <w:rFonts w:ascii="Times New Roman" w:hAnsi="Times New Roman"/>
          <w:color w:val="000000" w:themeColor="text1"/>
          <w:sz w:val="16"/>
          <w:szCs w:val="16"/>
        </w:rPr>
        <w:noBreakHyphen/>
        <w:t>пяти шад и насчитывать до 500 штурмовиков! Они могли использоваться для массированной поддержки наступления, либо, наоборот, для массированных атак прорвавшихся танков врага.</w:t>
      </w:r>
    </w:p>
    <w:p w14:paraId="37C8808B" w14:textId="7C489515" w:rsidR="00B40455" w:rsidRPr="001E2C69" w:rsidRDefault="00B4045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Однако начавшееся немецкое летнее наступление и развернувшиеся кровопролитные сражения поглотили все созданные резервы самолетов. И в итоге в боях приняла участие лишь одна 1</w:t>
      </w:r>
      <w:r w:rsidRPr="001E2C69">
        <w:rPr>
          <w:rFonts w:ascii="Times New Roman" w:hAnsi="Times New Roman"/>
          <w:color w:val="000000" w:themeColor="text1"/>
          <w:sz w:val="16"/>
          <w:szCs w:val="16"/>
        </w:rPr>
        <w:noBreakHyphen/>
        <w:t>я ИАА, имевшая 231 истребитель. 5</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июля ее бросили в бой с люфтваффе на Воронежском направлении. За семь последующих дней армия понесла огромные потери. Были сбиты 93 машины, еще 23 получили сильные повреждения и совершили вынужденные посадки на своей территории. Кроме того, 49 истребителей отправились в ремонт. Таким образом, к исходу 12 июля в строю осталось всего 66 самолетов, и 1</w:t>
      </w:r>
      <w:r w:rsidRPr="001E2C69">
        <w:rPr>
          <w:rFonts w:ascii="Times New Roman" w:hAnsi="Times New Roman"/>
          <w:color w:val="000000" w:themeColor="text1"/>
          <w:sz w:val="16"/>
          <w:szCs w:val="16"/>
        </w:rPr>
        <w:noBreakHyphen/>
        <w:t>я ИАА фактически перестала существовать. В конце июля ее остатки использовали для формирования 16</w:t>
      </w:r>
      <w:r w:rsidRPr="001E2C69">
        <w:rPr>
          <w:rFonts w:ascii="Times New Roman" w:hAnsi="Times New Roman"/>
          <w:color w:val="000000" w:themeColor="text1"/>
          <w:sz w:val="16"/>
          <w:szCs w:val="16"/>
        </w:rPr>
        <w:noBreakHyphen/>
        <w:t>й воздушной армии.</w:t>
      </w:r>
    </w:p>
    <w:p w14:paraId="21F82E56" w14:textId="77777777" w:rsidR="00B40455" w:rsidRPr="001E2C69" w:rsidRDefault="00B4045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w:t>
      </w:r>
      <w:r w:rsidRPr="001E2C69">
        <w:rPr>
          <w:rFonts w:ascii="Times New Roman" w:hAnsi="Times New Roman"/>
          <w:color w:val="000000" w:themeColor="text1"/>
          <w:sz w:val="16"/>
          <w:szCs w:val="16"/>
        </w:rPr>
        <w:noBreakHyphen/>
        <w:t>я БАА лишь частично задействовалась в боях, после чего подчиненные ей полки передали в 1</w:t>
      </w:r>
      <w:r w:rsidRPr="001E2C69">
        <w:rPr>
          <w:rFonts w:ascii="Times New Roman" w:hAnsi="Times New Roman"/>
          <w:color w:val="000000" w:themeColor="text1"/>
          <w:sz w:val="16"/>
          <w:szCs w:val="16"/>
        </w:rPr>
        <w:noBreakHyphen/>
        <w:t>ю воздушную армию и в авиацию дальнего действия (АДД). Что же касается штурмовых армий, то успели приступить к формированию лишь одних их управлений, когда сама идея сошла на нет из</w:t>
      </w:r>
      <w:r w:rsidRPr="001E2C69">
        <w:rPr>
          <w:rFonts w:ascii="Times New Roman" w:hAnsi="Times New Roman"/>
          <w:color w:val="000000" w:themeColor="text1"/>
          <w:sz w:val="16"/>
          <w:szCs w:val="16"/>
        </w:rPr>
        <w:noBreakHyphen/>
        <w:t>за огромных потерь на фронте. (23199).</w:t>
      </w:r>
    </w:p>
    <w:p w14:paraId="49166AEA" w14:textId="77777777" w:rsidR="00B40455" w:rsidRPr="001E2C69" w:rsidRDefault="00B40455" w:rsidP="00722885">
      <w:pPr>
        <w:spacing w:after="0" w:line="240" w:lineRule="auto"/>
        <w:jc w:val="both"/>
        <w:rPr>
          <w:rFonts w:ascii="Times New Roman" w:hAnsi="Times New Roman"/>
          <w:color w:val="000000" w:themeColor="text1"/>
          <w:sz w:val="16"/>
          <w:szCs w:val="16"/>
        </w:rPr>
      </w:pPr>
    </w:p>
    <w:p w14:paraId="6CAD73D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г. на МТБ-2 из Севастополя вывезли 20 человек (из них 9 раненых) на кавказское побережье Черного моря. Очевидно, это был последний, или один из последних полетов Ивана Сухомлина на МТБ-2. Далее он был командирован в тыл для продолжения службы в качестве летчика-испытателя. Позднее смог попасть на фронт, совершил более 200 боевых вылетов, одержал 7 воздушных побед (11962).</w:t>
      </w:r>
    </w:p>
    <w:p w14:paraId="5541217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ACEA7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lang w:val="en-US"/>
        </w:rPr>
        <w:t>July 1 1942 Germans complete capture of Sevastopol (1037).</w:t>
      </w:r>
    </w:p>
    <w:p w14:paraId="0AAB4E6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8EB1B8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Немцы захватили Севастополь (1037) в сотрудничестве с Румынами (2245,6).</w:t>
      </w:r>
    </w:p>
    <w:p w14:paraId="1E8C1C0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1B25E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ночь с 1 на 2 июля 1942 году в Севастополе была взорвана батарея N35, которая вела огонь буквально до последнего снаряда (Батарея № 30 взорвана 16 июня) (3861).</w:t>
      </w:r>
    </w:p>
    <w:p w14:paraId="2C8A236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7DE6E3"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за взятие Севастополя немецкий генерал фон Манштейн провозглашен в фельдмаршалы (4962).</w:t>
      </w:r>
    </w:p>
    <w:p w14:paraId="5B0F75F8"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2D8D52"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ночью весь командный и руководящий партийный аппарат Севастополя (около 600 чел, что в 2,5 раза больше разрешенного Ставкой) покинул осажденный город на 13 Ли-2 и подлодках Щ-209 и Л-23. На аэродроме возле Херсонесского маяка разъяренные солдаты едва не расстреляли вице-адмирала Октябрьского, командующего войсками СОР. К исходу дня немцы захватили бухты Омега, Стрелецкая и подошли к 305-мм береговой батарее №35 (4963 ).</w:t>
      </w:r>
    </w:p>
    <w:p w14:paraId="1D938804"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D5B36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вышел приказ НКО о формировании двух истребительных (гг Е.М.Белецкий, В.Г.Рязанов) и одной бомбардировочной авиаармий (В.А.Судец). Хотели, чтобы каждая была из 200-300 машин и 3-5 ад. Практически сформировали только 1-ю истребительную в районе Ельца, т.к. не успев сформировать ее ввели в бой под Воронежем, где она во взаимодействии с 5ТА вела тяжелые бои. Потом решили, что АА не нужны и достаточно ВА (340,81).</w:t>
      </w:r>
    </w:p>
    <w:p w14:paraId="045162B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450BE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1 июля 1942-го в составе двух штурмовых авиадивизий 8-й ВА - 226-й (504-й и 505-й штурмовые авиаполки) и 228-й (211 -и, 285-й и 431 -и штурмовые авиаполки) имелось всего 14 исправных (из 29) штурмовиков Ил-2 при наличии 81 подготовленного лет</w:t>
      </w:r>
      <w:r w:rsidRPr="001E2C69">
        <w:rPr>
          <w:rFonts w:ascii="Times New Roman" w:hAnsi="Times New Roman"/>
          <w:color w:val="000000" w:themeColor="text1"/>
          <w:sz w:val="16"/>
          <w:szCs w:val="16"/>
        </w:rPr>
        <w:softHyphen/>
        <w:t>чика. В этой ситуации командующий 8-й ВА генерал-майор Т.Т.Хрюкин в своем приказе от 02.07.42 г. потребовал от командиров авиаполков обеспечивать не менее 5 боевых самолето-вылетов на каждый исправный самолет Ил-2. Фак</w:t>
      </w:r>
      <w:r w:rsidRPr="001E2C69">
        <w:rPr>
          <w:rFonts w:ascii="Times New Roman" w:hAnsi="Times New Roman"/>
          <w:color w:val="000000" w:themeColor="text1"/>
          <w:sz w:val="16"/>
          <w:szCs w:val="16"/>
        </w:rPr>
        <w:softHyphen/>
        <w:t>тически же штурмовые авиадивизии армии были небоеспособны и нуждались в срочном пополнении самолетами. По</w:t>
      </w:r>
      <w:r w:rsidRPr="001E2C69">
        <w:rPr>
          <w:rFonts w:ascii="Times New Roman" w:hAnsi="Times New Roman"/>
          <w:color w:val="000000" w:themeColor="text1"/>
          <w:sz w:val="16"/>
          <w:szCs w:val="16"/>
        </w:rPr>
        <w:softHyphen/>
        <w:t>добное положение дел было и в истре</w:t>
      </w:r>
      <w:r w:rsidRPr="001E2C69">
        <w:rPr>
          <w:rFonts w:ascii="Times New Roman" w:hAnsi="Times New Roman"/>
          <w:color w:val="000000" w:themeColor="text1"/>
          <w:sz w:val="16"/>
          <w:szCs w:val="16"/>
        </w:rPr>
        <w:softHyphen/>
        <w:t>бительной авиации фронта.. (6467).</w:t>
      </w:r>
    </w:p>
    <w:p w14:paraId="10E7703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C7F3A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1 июля 1942 на флотах:</w:t>
      </w:r>
    </w:p>
    <w:p w14:paraId="26DA033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Данные о числе И-16: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1E2C69" w:rsidRPr="001E2C69" w14:paraId="2050F4BA" w14:textId="77777777" w:rsidTr="00CC5360">
        <w:tc>
          <w:tcPr>
            <w:tcW w:w="1401" w:type="dxa"/>
            <w:tcBorders>
              <w:top w:val="single" w:sz="12" w:space="0" w:color="auto"/>
            </w:tcBorders>
          </w:tcPr>
          <w:p w14:paraId="14BA106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4113F47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1.05.42</w:t>
            </w:r>
          </w:p>
        </w:tc>
        <w:tc>
          <w:tcPr>
            <w:tcW w:w="1401" w:type="dxa"/>
            <w:tcBorders>
              <w:top w:val="single" w:sz="12" w:space="0" w:color="auto"/>
            </w:tcBorders>
          </w:tcPr>
          <w:p w14:paraId="35966A2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1.07.42</w:t>
            </w:r>
          </w:p>
        </w:tc>
        <w:tc>
          <w:tcPr>
            <w:tcW w:w="1401" w:type="dxa"/>
            <w:tcBorders>
              <w:top w:val="single" w:sz="12" w:space="0" w:color="auto"/>
            </w:tcBorders>
          </w:tcPr>
          <w:p w14:paraId="6673036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18.11.42</w:t>
            </w:r>
          </w:p>
        </w:tc>
        <w:tc>
          <w:tcPr>
            <w:tcW w:w="1401" w:type="dxa"/>
            <w:tcBorders>
              <w:top w:val="single" w:sz="12" w:space="0" w:color="auto"/>
            </w:tcBorders>
          </w:tcPr>
          <w:p w14:paraId="6555765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1.07.43</w:t>
            </w:r>
          </w:p>
        </w:tc>
        <w:tc>
          <w:tcPr>
            <w:tcW w:w="1401" w:type="dxa"/>
            <w:tcBorders>
              <w:top w:val="single" w:sz="12" w:space="0" w:color="auto"/>
            </w:tcBorders>
          </w:tcPr>
          <w:p w14:paraId="1AA9696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1.01.44</w:t>
            </w:r>
          </w:p>
        </w:tc>
        <w:tc>
          <w:tcPr>
            <w:tcW w:w="1401" w:type="dxa"/>
            <w:tcBorders>
              <w:top w:val="single" w:sz="12" w:space="0" w:color="auto"/>
            </w:tcBorders>
          </w:tcPr>
          <w:p w14:paraId="703D7C0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1.06.44</w:t>
            </w:r>
          </w:p>
        </w:tc>
        <w:tc>
          <w:tcPr>
            <w:tcW w:w="1401" w:type="dxa"/>
            <w:tcBorders>
              <w:top w:val="single" w:sz="12" w:space="0" w:color="auto"/>
            </w:tcBorders>
          </w:tcPr>
          <w:p w14:paraId="01CC93D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1.01.45</w:t>
            </w:r>
          </w:p>
        </w:tc>
      </w:tr>
      <w:tr w:rsidR="001E2C69" w:rsidRPr="001E2C69" w14:paraId="714EF39C" w14:textId="77777777" w:rsidTr="00CC5360">
        <w:tc>
          <w:tcPr>
            <w:tcW w:w="1401" w:type="dxa"/>
          </w:tcPr>
          <w:p w14:paraId="5CC957F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ВВС СФ</w:t>
            </w:r>
          </w:p>
        </w:tc>
        <w:tc>
          <w:tcPr>
            <w:tcW w:w="1401" w:type="dxa"/>
          </w:tcPr>
          <w:p w14:paraId="333F974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12/3</w:t>
            </w:r>
          </w:p>
        </w:tc>
        <w:tc>
          <w:tcPr>
            <w:tcW w:w="1401" w:type="dxa"/>
          </w:tcPr>
          <w:p w14:paraId="299AAF9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8/3</w:t>
            </w:r>
          </w:p>
        </w:tc>
        <w:tc>
          <w:tcPr>
            <w:tcW w:w="1401" w:type="dxa"/>
          </w:tcPr>
          <w:p w14:paraId="2E4F344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10/6</w:t>
            </w:r>
          </w:p>
        </w:tc>
        <w:tc>
          <w:tcPr>
            <w:tcW w:w="1401" w:type="dxa"/>
          </w:tcPr>
          <w:p w14:paraId="2F9594B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5/0</w:t>
            </w:r>
          </w:p>
        </w:tc>
        <w:tc>
          <w:tcPr>
            <w:tcW w:w="1401" w:type="dxa"/>
          </w:tcPr>
          <w:p w14:paraId="1877BD5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4/0</w:t>
            </w:r>
          </w:p>
        </w:tc>
        <w:tc>
          <w:tcPr>
            <w:tcW w:w="1401" w:type="dxa"/>
          </w:tcPr>
          <w:p w14:paraId="44A6E88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3/1</w:t>
            </w:r>
          </w:p>
        </w:tc>
        <w:tc>
          <w:tcPr>
            <w:tcW w:w="1401" w:type="dxa"/>
          </w:tcPr>
          <w:p w14:paraId="52325E0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w:t>
            </w:r>
          </w:p>
        </w:tc>
      </w:tr>
      <w:tr w:rsidR="001E2C69" w:rsidRPr="001E2C69" w14:paraId="3AFA33F3" w14:textId="77777777" w:rsidTr="00CC5360">
        <w:tc>
          <w:tcPr>
            <w:tcW w:w="1401" w:type="dxa"/>
          </w:tcPr>
          <w:p w14:paraId="7CE48E2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ВВС КБФ</w:t>
            </w:r>
          </w:p>
        </w:tc>
        <w:tc>
          <w:tcPr>
            <w:tcW w:w="1401" w:type="dxa"/>
          </w:tcPr>
          <w:p w14:paraId="672F1A6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52/17</w:t>
            </w:r>
          </w:p>
        </w:tc>
        <w:tc>
          <w:tcPr>
            <w:tcW w:w="1401" w:type="dxa"/>
          </w:tcPr>
          <w:p w14:paraId="1514DB5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23/7</w:t>
            </w:r>
          </w:p>
        </w:tc>
        <w:tc>
          <w:tcPr>
            <w:tcW w:w="1401" w:type="dxa"/>
          </w:tcPr>
          <w:p w14:paraId="5C2EED4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28/11</w:t>
            </w:r>
          </w:p>
        </w:tc>
        <w:tc>
          <w:tcPr>
            <w:tcW w:w="1401" w:type="dxa"/>
          </w:tcPr>
          <w:p w14:paraId="0F5256E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21/3</w:t>
            </w:r>
          </w:p>
        </w:tc>
        <w:tc>
          <w:tcPr>
            <w:tcW w:w="1401" w:type="dxa"/>
          </w:tcPr>
          <w:p w14:paraId="64DC8AA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8/1</w:t>
            </w:r>
          </w:p>
        </w:tc>
        <w:tc>
          <w:tcPr>
            <w:tcW w:w="1401" w:type="dxa"/>
          </w:tcPr>
          <w:p w14:paraId="7BC0CF8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401" w:type="dxa"/>
          </w:tcPr>
          <w:p w14:paraId="2EE5A51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r>
      <w:tr w:rsidR="001E2C69" w:rsidRPr="001E2C69" w14:paraId="7B003A81" w14:textId="77777777" w:rsidTr="00CC5360">
        <w:tc>
          <w:tcPr>
            <w:tcW w:w="1401" w:type="dxa"/>
          </w:tcPr>
          <w:p w14:paraId="2BA7C2A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ВВС ЧФ</w:t>
            </w:r>
          </w:p>
        </w:tc>
        <w:tc>
          <w:tcPr>
            <w:tcW w:w="1401" w:type="dxa"/>
          </w:tcPr>
          <w:p w14:paraId="5DE33E2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27/0</w:t>
            </w:r>
          </w:p>
        </w:tc>
        <w:tc>
          <w:tcPr>
            <w:tcW w:w="1401" w:type="dxa"/>
          </w:tcPr>
          <w:p w14:paraId="71D56FC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14/8</w:t>
            </w:r>
          </w:p>
        </w:tc>
        <w:tc>
          <w:tcPr>
            <w:tcW w:w="1401" w:type="dxa"/>
          </w:tcPr>
          <w:p w14:paraId="242E3C4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8/2</w:t>
            </w:r>
          </w:p>
        </w:tc>
        <w:tc>
          <w:tcPr>
            <w:tcW w:w="1401" w:type="dxa"/>
          </w:tcPr>
          <w:p w14:paraId="1CCB239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3/1</w:t>
            </w:r>
          </w:p>
        </w:tc>
        <w:tc>
          <w:tcPr>
            <w:tcW w:w="1401" w:type="dxa"/>
          </w:tcPr>
          <w:p w14:paraId="38205F3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7/3</w:t>
            </w:r>
          </w:p>
        </w:tc>
        <w:tc>
          <w:tcPr>
            <w:tcW w:w="1401" w:type="dxa"/>
          </w:tcPr>
          <w:p w14:paraId="4CF1D69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w:t>
            </w:r>
          </w:p>
        </w:tc>
        <w:tc>
          <w:tcPr>
            <w:tcW w:w="1401" w:type="dxa"/>
          </w:tcPr>
          <w:p w14:paraId="74C314C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r>
      <w:tr w:rsidR="001E2C69" w:rsidRPr="001E2C69" w14:paraId="2352379B" w14:textId="77777777" w:rsidTr="00CC5360">
        <w:tc>
          <w:tcPr>
            <w:tcW w:w="1401" w:type="dxa"/>
            <w:tcBorders>
              <w:bottom w:val="single" w:sz="12" w:space="0" w:color="auto"/>
            </w:tcBorders>
          </w:tcPr>
          <w:p w14:paraId="52D1539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Всего</w:t>
            </w:r>
          </w:p>
        </w:tc>
        <w:tc>
          <w:tcPr>
            <w:tcW w:w="1401" w:type="dxa"/>
            <w:tcBorders>
              <w:bottom w:val="single" w:sz="12" w:space="0" w:color="auto"/>
            </w:tcBorders>
          </w:tcPr>
          <w:p w14:paraId="43806A8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91/27</w:t>
            </w:r>
          </w:p>
        </w:tc>
        <w:tc>
          <w:tcPr>
            <w:tcW w:w="1401" w:type="dxa"/>
            <w:tcBorders>
              <w:bottom w:val="single" w:sz="12" w:space="0" w:color="auto"/>
            </w:tcBorders>
          </w:tcPr>
          <w:p w14:paraId="30845A8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45/18</w:t>
            </w:r>
          </w:p>
        </w:tc>
        <w:tc>
          <w:tcPr>
            <w:tcW w:w="1401" w:type="dxa"/>
            <w:tcBorders>
              <w:bottom w:val="single" w:sz="12" w:space="0" w:color="auto"/>
            </w:tcBorders>
          </w:tcPr>
          <w:p w14:paraId="60917C1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46/19</w:t>
            </w:r>
          </w:p>
        </w:tc>
        <w:tc>
          <w:tcPr>
            <w:tcW w:w="1401" w:type="dxa"/>
            <w:tcBorders>
              <w:bottom w:val="single" w:sz="12" w:space="0" w:color="auto"/>
            </w:tcBorders>
          </w:tcPr>
          <w:p w14:paraId="4852DED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29/4 1</w:t>
            </w:r>
          </w:p>
        </w:tc>
        <w:tc>
          <w:tcPr>
            <w:tcW w:w="1401" w:type="dxa"/>
            <w:tcBorders>
              <w:bottom w:val="single" w:sz="12" w:space="0" w:color="auto"/>
            </w:tcBorders>
          </w:tcPr>
          <w:p w14:paraId="2E3BBF7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9/4</w:t>
            </w:r>
          </w:p>
        </w:tc>
        <w:tc>
          <w:tcPr>
            <w:tcW w:w="1401" w:type="dxa"/>
            <w:tcBorders>
              <w:bottom w:val="single" w:sz="12" w:space="0" w:color="auto"/>
            </w:tcBorders>
          </w:tcPr>
          <w:p w14:paraId="452C03A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15/1</w:t>
            </w:r>
          </w:p>
        </w:tc>
        <w:tc>
          <w:tcPr>
            <w:tcW w:w="1401" w:type="dxa"/>
            <w:tcBorders>
              <w:bottom w:val="single" w:sz="12" w:space="0" w:color="auto"/>
            </w:tcBorders>
          </w:tcPr>
          <w:p w14:paraId="449500F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w:t>
            </w:r>
          </w:p>
        </w:tc>
      </w:tr>
    </w:tbl>
    <w:p w14:paraId="242BFA2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числителе - всего машин; в знаменателе - в том числе неисправных на данный момент (12015).</w:t>
      </w:r>
    </w:p>
    <w:p w14:paraId="46291AB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F1AE5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1 июля 1942 шесть полков, которые осваивали "Бостоны", достигли боеготовности: 57-и, 45-й, 861-й, 860-й, 201-й и 453-й. В том же месяце ушел па фронт 745-й полк (3457,100).</w:t>
      </w:r>
    </w:p>
    <w:p w14:paraId="1FB97E9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396767"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вышло Постановление ГКО № 1942 Об усилении огневых средств в стрелковых дивизиях резервных армий. (7039, 89).</w:t>
      </w:r>
    </w:p>
    <w:p w14:paraId="7740B561"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7B37B6"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вышло Постановление ГКО № 1946 Об усилении выгрузки грузов на железных дорогах. (7039, 93).</w:t>
      </w:r>
    </w:p>
    <w:p w14:paraId="7A150320"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25E3C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С 1 по 17 июля 1942 в период подготовки к Сталинградской оборонительной операции воздушное фотографирование составило 10.2% (518,213).</w:t>
      </w:r>
    </w:p>
    <w:p w14:paraId="2FA10F0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C989E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г. вышел ПРИКАЗ О ПЕРЕИМЕНОВАНИИ ПРОТИВОТАНКОВЫХ АРТИЛЛЕРИЙСКИХ ЧАСТЕЙ И ПОДРАЗДЕЛЕНИЙ В ИСТРЕБИТЕЛЬНО-ПРОТИВОТАНКОВЫЕ АРТИЛЛЕРИЙСКИЕ ЧАСТИ И УСТАНОВЛЕНИИ ПРЕИМУЩЕСТВ НАЧАЛЬСТВУЮЩЕМУ И РЯДОВОМУ СОСТАВУ ЭТИХ ЧАСТЕЙ № 0528</w:t>
      </w:r>
    </w:p>
    <w:p w14:paraId="5EBC5C6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целях улучшения качества борьбы с танками противника, создания и накопления кадров артиллеристов-истребителей танков, повышения их квалификации и выделения противотанковых артиллерийских частей из других видов артиллерии приказываю:</w:t>
      </w:r>
    </w:p>
    <w:p w14:paraId="7B30B99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Легкие и противотанковые артиллерийские полки РГК, противотанковые дивизионы стрелковых дивизий и батареи 45-мм пушек стрелковых полков переименовать в истребительно-противотанковые артиллерийские полки, дивизионы и батареи.</w:t>
      </w:r>
    </w:p>
    <w:p w14:paraId="174C090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Установить начальствующему составу этих частей и подразделений полуторный, а младшему начальствующему и рядовому составу — двойной оклад содержания.</w:t>
      </w:r>
    </w:p>
    <w:p w14:paraId="5B04310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Весь начальствующий состав истребительно-противотанковых артиллерийских частей и подразделений, до командира дивизиона включительно, взять на особый учет и использовать только в указанных частях.</w:t>
      </w:r>
    </w:p>
    <w:p w14:paraId="4AD9DCA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Командирам орудий и заместителям командиров орудий (наводчикам) этих частей присвоить военное звание “старший сержант” — “сержант” соответственно и ввести должность заместителя наводчика с присвоением ему военного звания “младший сержант”.</w:t>
      </w:r>
    </w:p>
    <w:p w14:paraId="22F3610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Начальствующий, младший начальствующий и рядовой состав истребительно-противотанковых артиллерийских частей и подразделений, находящийся на излечении в госпиталях, после излечения направлять только в указанные части.</w:t>
      </w:r>
    </w:p>
    <w:p w14:paraId="6DDDA89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Установить для всего личного состава истребительно-противотанковых артиллерийских частей и подразделений специальный нарукавный знак согласно прилагаемого описания, носимый на левом рукаве шинели и гимнастерки.</w:t>
      </w:r>
    </w:p>
    <w:p w14:paraId="6B98EC3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Установить премию за каждый подбитый танк в сумме: командиру орудия и наводчику — по 500 рублей, остальному составу орудийного расчета — по 200 рублей.</w:t>
      </w:r>
    </w:p>
    <w:p w14:paraId="64ABBC1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Количество подбитых орудием танков отмечать цифрой на фигуре танка, нарисованной в правом верхнем углу внутренней стороны щита орудия. Фигуру танка рисовать черной, а цифру, показывающую число подбитых танков, — белой краской.</w:t>
      </w:r>
    </w:p>
    <w:p w14:paraId="2B5BE02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В целях использования истребительно-противотанковых артиллерийских частей для решения задач непосредственной поддержки пехоты личный состав этих частей обучать не только стрельбе по танкам прямой наводкой, но и стрельбе по другим целям с открытых и закрытых огневых позиций.</w:t>
      </w:r>
    </w:p>
    <w:p w14:paraId="7EB20BA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Пункт 2 настоящего приказа не распространяется на противотанковые артиллерийские части Дальневосточного, Забайкальского и Закавказского фронтов.</w:t>
      </w:r>
    </w:p>
    <w:p w14:paraId="0F770D2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 ввести в действие по телеграфу.</w:t>
      </w:r>
    </w:p>
    <w:p w14:paraId="6541074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Народный комиссар обороны И. СТАЛИН (10691).</w:t>
      </w:r>
    </w:p>
    <w:p w14:paraId="0AC22FA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A9E35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года 6-я и 114-я танковые бригады начали наступление, не имея данных о силах противника, без организации взаимодействия с пехотой, артиллерией и авиацией.</w:t>
      </w:r>
    </w:p>
    <w:p w14:paraId="4E84699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результате такой неорганизованности, танки были встречены из засад активным артиллерийским огнем противника во взаимодействии с авиацией, что сразу нарушило боевой порядок наступающих наших танков.</w:t>
      </w:r>
    </w:p>
    <w:p w14:paraId="48D4650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Вследствие непродуманного наступления, части корпуса потеряли только за два дня боя до 30 танков и с боем отошли на восточный берег реки Оскол.</w:t>
      </w:r>
    </w:p>
    <w:p w14:paraId="1735ACB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Таким образом, задача - приостановить противника 23-м танковым корпусом - выполнена не была по причине неправильного руководства частями со стороны командующего 28-й армией генерал-лейтенанта Рябышева и члена Военного совета бригадного комиссара Попеля, а противнику удалось форсировать реку Оскол и продвинуться на восток».</w:t>
      </w:r>
    </w:p>
    <w:p w14:paraId="012EDDA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вечеру 2 июля 1942 года, оборона на стыке 21 -й и 28-й армий была прорвана на глубину до 80 км. В результате, на стыке двух фронтов образовалась брешь, и немецким войскам открылся путь к Воронежу.</w:t>
      </w:r>
    </w:p>
    <w:p w14:paraId="7DF9A02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усиления войск Брянского фронта 2 июля из резерва Ставки ВГК срочно выдвигались три общевойсковых армии, в район Ельца перебрасывалась только что сформированная 5-я танковая армия, а севернее и южнее Воронежа разворачивались 25 и 18-й танковые корпуса (12217).</w:t>
      </w:r>
    </w:p>
    <w:p w14:paraId="6C823EF4"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BB5F7F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начальник Генерального штаба генерал-полковник А.М. Василевский по поручению Сталина передал командующему Брянским фронтом генерал-лейтенанту Ф.И. Голикову, что Ставка недовольна тем, что «некоторые танковые корпуса перестали быть танковыми и перешли на методы боевых действий пехоты, примеры: Катуков вместо быстрого уничтожения пехоты противника в течение суток занимался окружением двух полков, и вы, по-видимому, это поощряете; второй пример с корпусом Павелкина - отход 119-й отдельной стрелковой бригады заставляет кричать командира танкового корпуса об окружении его фланга. А где же танки? Разве так должны действовать танковые соединения?» (12217).</w:t>
      </w:r>
    </w:p>
    <w:p w14:paraId="6EF6E37F"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0826963"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Жизнь и внутренняя политика:</w:t>
      </w:r>
    </w:p>
    <w:p w14:paraId="7611C45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A550F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июня 1942 года была подготовлена докладная записка секретаря Мурманского горкома ВКП(б) по кадрам Осолодкина секретарю Мурманского обкома и горкома партии М.И. Старостину:</w:t>
      </w:r>
    </w:p>
    <w:p w14:paraId="3B1FB8D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«Сов.секретно.</w:t>
      </w:r>
    </w:p>
    <w:p w14:paraId="4B0226C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Несмотря на трудности, вызванные войной, население города бесперебойно снабжается хлебом и продуктами питания по нормам, установленным Наркомторгом СССР.</w:t>
      </w:r>
    </w:p>
    <w:p w14:paraId="2C95AB7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Рабочие и служащие предприятий и учреждений, члены семей мобилизованных в РККА и Военно-Морской Флот, пенсионеры, инвалиды и нетрудоспособное население получают общественное питание через закрытую сеть столовых.</w:t>
      </w:r>
    </w:p>
    <w:p w14:paraId="04E060B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Более 32 тысяч человек питаются в 42 столовых, принадлежащих 6 различным торгующим организациям...</w:t>
      </w:r>
    </w:p>
    <w:p w14:paraId="2EEABD1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Общественное питание трудящихся производится дифференцированным порядком. Усиленное питание получают группы рабочих и служащих ведущих предприятий...Из 30918 рабочих и служащих города 15282 человека, занятых на тяжелых работах и военных заказах, получают ежедневно по 2 обеда, а на ведущих предприятиях преобладающее число рабочих получают двойные обеды...</w:t>
      </w:r>
    </w:p>
    <w:p w14:paraId="7E661F0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939 школьников, учащихся в 4-х школах города, получают обеды непосредственно в школах. Обеспечиваются питанием находящиеся в 3-х детских садах 208 детей и в 5-ти детских яслях 275 детей.</w:t>
      </w:r>
    </w:p>
    <w:p w14:paraId="2EC16EC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Дети грудного возраста в количестве 438 человек ежедневно получают через детскую консультацию 270 литров молока.</w:t>
      </w:r>
    </w:p>
    <w:p w14:paraId="4DC32E9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Дети дошкольного возраста в количестве 3533 человек получают на детские продовольственные карточки продукты в сухом виде. Для желудочно-больных организовано диетпитание на 60 чел.</w:t>
      </w:r>
    </w:p>
    <w:p w14:paraId="53DF4B7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Кроме общественного питания в закрытых столовых, в городе еще имеется и непрерывно работает одна открытая столовая, где помимо командировочных, каждый желающий может получить обед и 200 грамм хлеба без карточек. Эта открытая столовая ежедневно выпускает свыше 2-х тысяч обедов и расходует 400 килограмм хлеба по коммерческой цене...» (Там же, ф. П-1, оп. 2, д. 126, л. 5, 6.) (11911).</w:t>
      </w:r>
    </w:p>
    <w:p w14:paraId="385E202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04DD9A"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Внешняя политика:</w:t>
      </w:r>
    </w:p>
    <w:p w14:paraId="6BB6177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AF04C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года было отравлено:</w:t>
      </w:r>
    </w:p>
    <w:p w14:paraId="2C560F6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 В. СТАЛИН Ф. РУЗВЕЛЬТУ*</w:t>
      </w:r>
    </w:p>
    <w:p w14:paraId="7C9960C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связи с Вашими последними посланиями я считаю необходимым сообщить, что полностью разделяю Ваше мнение о целесообразности маршрута для переброски самолетов из США через Аляску и Сибирь на западный фронт. Учитывая это, Советское Правительство уже дало необходимые указания об окончании в кратчайший срок проводящихся в Сибири работ по подготовке к приему самолетов, т. е. работ по приспособлению имеющихся аэродромов и соответствующему дооборудованию их. Что касается того, силами чьих летчиков доставлять самолеты из Аляски, то мне кажется, что это дело можно будет поручить, как это и предлагал в свое время Государственный Департамент, советским летчикам, которые прибудут в Ном или другое подходящее место к условленному времени. Соответствующей группе этих летчиков можно будет поручить произвести и предложенный Вами рекогносцировочный полет. В целях полного обеспечения приемки этих самолетов нам желательно было бы уже теперь знать количество самолетов, предоставляемых США для переброски на западный фронт этим путем.</w:t>
      </w:r>
    </w:p>
    <w:p w14:paraId="23223F8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Что касается Вашего предложения о встрече представителей армии и флота США и Советского Союза для обмена информацией, поскольку она будет необходима, то Советское Правительство согласно на устройство такой встречи и предпочитает, чтобы она состоялась в Москве (7430).</w:t>
      </w:r>
    </w:p>
    <w:p w14:paraId="73ED0A4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AFD12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И.В.С. отказал американцам в предложении перегонять американские машины используя американских летчиков до Байкала и 2 июля 1942 подтвердил это послу США Стендли (1261,32).</w:t>
      </w:r>
    </w:p>
    <w:p w14:paraId="5EF8C2E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E1CE43" w14:textId="77777777" w:rsidR="004C3EBE" w:rsidRPr="008A2E5A" w:rsidRDefault="004C3EBE" w:rsidP="004C3E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1 июля 1932 Сталин сообщал Рузвельту: «Советское правительство уже дало необ</w:t>
      </w:r>
      <w:r w:rsidRPr="008A2E5A">
        <w:rPr>
          <w:rFonts w:ascii="Times New Roman" w:hAnsi="Times New Roman"/>
          <w:color w:val="0070C0"/>
          <w:sz w:val="16"/>
          <w:szCs w:val="16"/>
        </w:rPr>
        <w:softHyphen/>
        <w:t>ходимые указания об окончании в крат</w:t>
      </w:r>
      <w:r w:rsidRPr="008A2E5A">
        <w:rPr>
          <w:rFonts w:ascii="Times New Roman" w:hAnsi="Times New Roman"/>
          <w:color w:val="0070C0"/>
          <w:sz w:val="16"/>
          <w:szCs w:val="16"/>
        </w:rPr>
        <w:softHyphen/>
        <w:t>чайший срок проводящихся в Сибири работ по подготовке к приему самоле</w:t>
      </w:r>
      <w:r w:rsidRPr="008A2E5A">
        <w:rPr>
          <w:rFonts w:ascii="Times New Roman" w:hAnsi="Times New Roman"/>
          <w:color w:val="0070C0"/>
          <w:sz w:val="16"/>
          <w:szCs w:val="16"/>
        </w:rPr>
        <w:softHyphen/>
        <w:t>тов...». Работы шли уже довольно давно.</w:t>
      </w:r>
    </w:p>
    <w:p w14:paraId="69B2CAC6" w14:textId="77777777" w:rsidR="004C3EBE" w:rsidRPr="008A2E5A" w:rsidRDefault="004C3EBE" w:rsidP="004C3E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Еще в июле 1941 г. Государственный ко</w:t>
      </w:r>
      <w:r w:rsidRPr="008A2E5A">
        <w:rPr>
          <w:rFonts w:ascii="Times New Roman" w:hAnsi="Times New Roman"/>
          <w:color w:val="0070C0"/>
          <w:sz w:val="16"/>
          <w:szCs w:val="16"/>
        </w:rPr>
        <w:softHyphen/>
        <w:t>митет обороны (ГКО) принял постанов</w:t>
      </w:r>
      <w:r w:rsidRPr="008A2E5A">
        <w:rPr>
          <w:rFonts w:ascii="Times New Roman" w:hAnsi="Times New Roman"/>
          <w:color w:val="0070C0"/>
          <w:sz w:val="16"/>
          <w:szCs w:val="16"/>
        </w:rPr>
        <w:softHyphen/>
        <w:t>ление о проведении изысканий маршру</w:t>
      </w:r>
      <w:r w:rsidRPr="008A2E5A">
        <w:rPr>
          <w:rFonts w:ascii="Times New Roman" w:hAnsi="Times New Roman"/>
          <w:color w:val="0070C0"/>
          <w:sz w:val="16"/>
          <w:szCs w:val="16"/>
        </w:rPr>
        <w:softHyphen/>
        <w:t>та будущей авиатрассы, которая должна была соединить СССР и США кратчай</w:t>
      </w:r>
      <w:r w:rsidRPr="008A2E5A">
        <w:rPr>
          <w:rFonts w:ascii="Times New Roman" w:hAnsi="Times New Roman"/>
          <w:color w:val="0070C0"/>
          <w:sz w:val="16"/>
          <w:szCs w:val="16"/>
        </w:rPr>
        <w:softHyphen/>
        <w:t>шим путем.</w:t>
      </w:r>
    </w:p>
    <w:p w14:paraId="0B19FBC7" w14:textId="77777777" w:rsidR="004C3EBE" w:rsidRPr="008A2E5A" w:rsidRDefault="004C3EBE" w:rsidP="004C3E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Регулярного авиационного сообще</w:t>
      </w:r>
      <w:r w:rsidRPr="008A2E5A">
        <w:rPr>
          <w:rFonts w:ascii="Times New Roman" w:hAnsi="Times New Roman"/>
          <w:color w:val="0070C0"/>
          <w:sz w:val="16"/>
          <w:szCs w:val="16"/>
        </w:rPr>
        <w:softHyphen/>
        <w:t>ния в те годы на севере Восточной Си</w:t>
      </w:r>
      <w:r w:rsidRPr="008A2E5A">
        <w:rPr>
          <w:rFonts w:ascii="Times New Roman" w:hAnsi="Times New Roman"/>
          <w:color w:val="0070C0"/>
          <w:sz w:val="16"/>
          <w:szCs w:val="16"/>
        </w:rPr>
        <w:softHyphen/>
        <w:t>бири не существовало. Более-менее при</w:t>
      </w:r>
      <w:r w:rsidRPr="008A2E5A">
        <w:rPr>
          <w:rFonts w:ascii="Times New Roman" w:hAnsi="Times New Roman"/>
          <w:color w:val="0070C0"/>
          <w:sz w:val="16"/>
          <w:szCs w:val="16"/>
        </w:rPr>
        <w:softHyphen/>
        <w:t>личные грунтовые аэродромы имелись только в Магадане, Якутске и Петропав</w:t>
      </w:r>
      <w:r w:rsidRPr="008A2E5A">
        <w:rPr>
          <w:rFonts w:ascii="Times New Roman" w:hAnsi="Times New Roman"/>
          <w:color w:val="0070C0"/>
          <w:sz w:val="16"/>
          <w:szCs w:val="16"/>
        </w:rPr>
        <w:softHyphen/>
        <w:t>ловске-Камчатском. Аэродромов вообще было очень мало, и они предназначались в основном для легких машин типа У-2 или Р-5, зимой ставившихся на лыжи. Ле</w:t>
      </w:r>
      <w:r w:rsidRPr="008A2E5A">
        <w:rPr>
          <w:rFonts w:ascii="Times New Roman" w:hAnsi="Times New Roman"/>
          <w:color w:val="0070C0"/>
          <w:sz w:val="16"/>
          <w:szCs w:val="16"/>
        </w:rPr>
        <w:softHyphen/>
        <w:t>том использовали летающие лодки и по</w:t>
      </w:r>
      <w:r w:rsidRPr="008A2E5A">
        <w:rPr>
          <w:rFonts w:ascii="Times New Roman" w:hAnsi="Times New Roman"/>
          <w:color w:val="0070C0"/>
          <w:sz w:val="16"/>
          <w:szCs w:val="16"/>
        </w:rPr>
        <w:softHyphen/>
        <w:t>плавковые самолеты. Местность была ма</w:t>
      </w:r>
      <w:r w:rsidRPr="008A2E5A">
        <w:rPr>
          <w:rFonts w:ascii="Times New Roman" w:hAnsi="Times New Roman"/>
          <w:color w:val="0070C0"/>
          <w:sz w:val="16"/>
          <w:szCs w:val="16"/>
        </w:rPr>
        <w:softHyphen/>
        <w:t>лонаселенной и плохо изученной, большая ее часть заросла густой тайгой. Зимой там стояли сильные морозы.</w:t>
      </w:r>
    </w:p>
    <w:p w14:paraId="7EDCBFB4" w14:textId="77777777" w:rsidR="004C3EBE" w:rsidRPr="008A2E5A" w:rsidRDefault="004C3EBE" w:rsidP="004C3E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Авиатрассу нужно было создавать заново: строить аэродромы, доставляя в труднодоступные места людей, строи</w:t>
      </w:r>
      <w:r w:rsidRPr="008A2E5A">
        <w:rPr>
          <w:rFonts w:ascii="Times New Roman" w:hAnsi="Times New Roman"/>
          <w:color w:val="0070C0"/>
          <w:sz w:val="16"/>
          <w:szCs w:val="16"/>
        </w:rPr>
        <w:softHyphen/>
        <w:t>тельные материалы и технику, создавать систему снабжения горючим, налаживать метеослужбу и связь, ставить приводные радиомаяки.</w:t>
      </w:r>
    </w:p>
    <w:p w14:paraId="75B3685B" w14:textId="77777777" w:rsidR="004C3EBE" w:rsidRPr="008A2E5A" w:rsidRDefault="004C3EBE" w:rsidP="004C3E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Рассматривались три варианта мар</w:t>
      </w:r>
      <w:r w:rsidRPr="008A2E5A">
        <w:rPr>
          <w:rFonts w:ascii="Times New Roman" w:hAnsi="Times New Roman"/>
          <w:color w:val="0070C0"/>
          <w:sz w:val="16"/>
          <w:szCs w:val="16"/>
        </w:rPr>
        <w:softHyphen/>
        <w:t>шрута. Первый шел вдоль Северного мор</w:t>
      </w:r>
      <w:r w:rsidRPr="008A2E5A">
        <w:rPr>
          <w:rFonts w:ascii="Times New Roman" w:hAnsi="Times New Roman"/>
          <w:color w:val="0070C0"/>
          <w:sz w:val="16"/>
          <w:szCs w:val="16"/>
        </w:rPr>
        <w:softHyphen/>
        <w:t>ского пути, где имелась сеть небольших баз и постов, созданных ГУСМП. Их ис</w:t>
      </w:r>
      <w:r w:rsidRPr="008A2E5A">
        <w:rPr>
          <w:rFonts w:ascii="Times New Roman" w:hAnsi="Times New Roman"/>
          <w:color w:val="0070C0"/>
          <w:sz w:val="16"/>
          <w:szCs w:val="16"/>
        </w:rPr>
        <w:softHyphen/>
        <w:t>пользовала Полярная авиация. Но в этих местах зимой царила полярная ночь. Вто</w:t>
      </w:r>
      <w:r w:rsidRPr="008A2E5A">
        <w:rPr>
          <w:rFonts w:ascii="Times New Roman" w:hAnsi="Times New Roman"/>
          <w:color w:val="0070C0"/>
          <w:sz w:val="16"/>
          <w:szCs w:val="16"/>
        </w:rPr>
        <w:softHyphen/>
        <w:t>рой путь вел через Камчатку и северную часть Сахалина к Комсомольску-на-Аму</w:t>
      </w:r>
      <w:r w:rsidRPr="008A2E5A">
        <w:rPr>
          <w:rFonts w:ascii="Times New Roman" w:hAnsi="Times New Roman"/>
          <w:color w:val="0070C0"/>
          <w:sz w:val="16"/>
          <w:szCs w:val="16"/>
        </w:rPr>
        <w:softHyphen/>
        <w:t>ре. Этот маршрут находился в опасной близости от баз японцев, которые уже вое</w:t>
      </w:r>
      <w:r w:rsidRPr="008A2E5A">
        <w:rPr>
          <w:rFonts w:ascii="Times New Roman" w:hAnsi="Times New Roman"/>
          <w:color w:val="0070C0"/>
          <w:sz w:val="16"/>
          <w:szCs w:val="16"/>
        </w:rPr>
        <w:softHyphen/>
        <w:t>вали с США и в любой момент могли стать противниками и СССР. Третий же вари</w:t>
      </w:r>
      <w:r w:rsidRPr="008A2E5A">
        <w:rPr>
          <w:rFonts w:ascii="Times New Roman" w:hAnsi="Times New Roman"/>
          <w:color w:val="0070C0"/>
          <w:sz w:val="16"/>
          <w:szCs w:val="16"/>
        </w:rPr>
        <w:softHyphen/>
        <w:t>ант, сочтенный наиболее выгодным, про</w:t>
      </w:r>
      <w:r w:rsidRPr="008A2E5A">
        <w:rPr>
          <w:rFonts w:ascii="Times New Roman" w:hAnsi="Times New Roman"/>
          <w:color w:val="0070C0"/>
          <w:sz w:val="16"/>
          <w:szCs w:val="16"/>
        </w:rPr>
        <w:softHyphen/>
        <w:t>легал через Чукотку и Якутию на Красно</w:t>
      </w:r>
      <w:r w:rsidRPr="008A2E5A">
        <w:rPr>
          <w:rFonts w:ascii="Times New Roman" w:hAnsi="Times New Roman"/>
          <w:color w:val="0070C0"/>
          <w:sz w:val="16"/>
          <w:szCs w:val="16"/>
        </w:rPr>
        <w:softHyphen/>
        <w:t>ярск. При этом можно было использовать некоторые уже существующие аэродро</w:t>
      </w:r>
      <w:r w:rsidRPr="008A2E5A">
        <w:rPr>
          <w:rFonts w:ascii="Times New Roman" w:hAnsi="Times New Roman"/>
          <w:color w:val="0070C0"/>
          <w:sz w:val="16"/>
          <w:szCs w:val="16"/>
        </w:rPr>
        <w:softHyphen/>
        <w:t>мы. В результате советское правительство утвердило маршрут Уэлькаль — Сейм- чан — Якутск — Киренск — Красноярск.</w:t>
      </w:r>
    </w:p>
    <w:p w14:paraId="7EB75095" w14:textId="77777777" w:rsidR="004C3EBE" w:rsidRPr="008A2E5A" w:rsidRDefault="004C3EBE" w:rsidP="004C3E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Строительство советской части трассы началось по постановлению ГКО от 9 ок</w:t>
      </w:r>
      <w:r w:rsidRPr="008A2E5A">
        <w:rPr>
          <w:rFonts w:ascii="Times New Roman" w:hAnsi="Times New Roman"/>
          <w:color w:val="0070C0"/>
          <w:sz w:val="16"/>
          <w:szCs w:val="16"/>
        </w:rPr>
        <w:softHyphen/>
        <w:t>тября 1941 г. Руководил им опытный ин</w:t>
      </w:r>
      <w:r w:rsidRPr="008A2E5A">
        <w:rPr>
          <w:rFonts w:ascii="Times New Roman" w:hAnsi="Times New Roman"/>
          <w:color w:val="0070C0"/>
          <w:sz w:val="16"/>
          <w:szCs w:val="16"/>
        </w:rPr>
        <w:softHyphen/>
        <w:t>женер Д.Е. Чусов. К работам привлекли большое количество людей. Их забирали из всех населенных пунктов на будущем маршруте. К ним добавились работники ГВФ, военнослужащие и заключенные из лагерей «Дальстроя» НКВД; лагеря тогда густой сетью покрывали Чукотку и Ко</w:t>
      </w:r>
      <w:r w:rsidRPr="008A2E5A">
        <w:rPr>
          <w:rFonts w:ascii="Times New Roman" w:hAnsi="Times New Roman"/>
          <w:color w:val="0070C0"/>
          <w:sz w:val="16"/>
          <w:szCs w:val="16"/>
        </w:rPr>
        <w:softHyphen/>
        <w:t>лыму. Но рабочих все равно не хватало; в Марково прекратили занятия в школе и вывели на вспомогательные работы даже детей 12-13 лет. К отдельным выбранным площадкам вообще не было дорог. Людей и все необходимое туда завозили гидроса</w:t>
      </w:r>
      <w:r w:rsidRPr="008A2E5A">
        <w:rPr>
          <w:rFonts w:ascii="Times New Roman" w:hAnsi="Times New Roman"/>
          <w:color w:val="0070C0"/>
          <w:sz w:val="16"/>
          <w:szCs w:val="16"/>
        </w:rPr>
        <w:softHyphen/>
        <w:t>молеты. В еще более глухие места ехали на оленях и собачьих упряжках, шли на лы</w:t>
      </w:r>
      <w:r w:rsidRPr="008A2E5A">
        <w:rPr>
          <w:rFonts w:ascii="Times New Roman" w:hAnsi="Times New Roman"/>
          <w:color w:val="0070C0"/>
          <w:sz w:val="16"/>
          <w:szCs w:val="16"/>
        </w:rPr>
        <w:softHyphen/>
        <w:t>жах и просто пешком.</w:t>
      </w:r>
    </w:p>
    <w:p w14:paraId="599B6920" w14:textId="77777777" w:rsidR="004C3EBE" w:rsidRPr="008A2E5A" w:rsidRDefault="004C3EBE" w:rsidP="004C3E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июню 1942 г. уже завершилось стро</w:t>
      </w:r>
      <w:r w:rsidRPr="008A2E5A">
        <w:rPr>
          <w:rFonts w:ascii="Times New Roman" w:hAnsi="Times New Roman"/>
          <w:color w:val="0070C0"/>
          <w:sz w:val="16"/>
          <w:szCs w:val="16"/>
        </w:rPr>
        <w:softHyphen/>
        <w:t>ительство основных аэродромов. На всем маршруте протяженностью свыше 6 000 км реконструировали или построили заново полтора десятка основных и запасных пло</w:t>
      </w:r>
      <w:r w:rsidRPr="008A2E5A">
        <w:rPr>
          <w:rFonts w:ascii="Times New Roman" w:hAnsi="Times New Roman"/>
          <w:color w:val="0070C0"/>
          <w:sz w:val="16"/>
          <w:szCs w:val="16"/>
        </w:rPr>
        <w:softHyphen/>
        <w:t>щадок. Они появились даже в таких диких местах, как Хандыга, Чайбуха и Уэлькаль.</w:t>
      </w:r>
    </w:p>
    <w:p w14:paraId="3A1CDA59" w14:textId="77777777" w:rsidR="004C3EBE" w:rsidRPr="008A2E5A" w:rsidRDefault="004C3EBE" w:rsidP="004C3E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 в Уэлькале аэродром располагал</w:t>
      </w:r>
      <w:r w:rsidRPr="008A2E5A">
        <w:rPr>
          <w:rFonts w:ascii="Times New Roman" w:hAnsi="Times New Roman"/>
          <w:color w:val="0070C0"/>
          <w:sz w:val="16"/>
          <w:szCs w:val="16"/>
        </w:rPr>
        <w:softHyphen/>
        <w:t>ся на галечной косе в заливе Креста. Его решили построить из деревянных реек, укрепленных глиной. На Чукотке тундра, лесов нет, все дерево привозное. Рейки в сентябре 1942 г. доставили морем из Владивостока. Но из-за мелководья суда к берегу пристать не могли. Рейки сбро</w:t>
      </w:r>
      <w:r w:rsidRPr="008A2E5A">
        <w:rPr>
          <w:rFonts w:ascii="Times New Roman" w:hAnsi="Times New Roman"/>
          <w:color w:val="0070C0"/>
          <w:sz w:val="16"/>
          <w:szCs w:val="16"/>
        </w:rPr>
        <w:softHyphen/>
        <w:t>сили за борт, и их волной прибило к бе</w:t>
      </w:r>
      <w:r w:rsidRPr="008A2E5A">
        <w:rPr>
          <w:rFonts w:ascii="Times New Roman" w:hAnsi="Times New Roman"/>
          <w:color w:val="0070C0"/>
          <w:sz w:val="16"/>
          <w:szCs w:val="16"/>
        </w:rPr>
        <w:softHyphen/>
        <w:t>регу. Немногочисленные местные жители и привлеченные к работе заключенные собирали рейки и таскали на место стро</w:t>
      </w:r>
      <w:r w:rsidRPr="008A2E5A">
        <w:rPr>
          <w:rFonts w:ascii="Times New Roman" w:hAnsi="Times New Roman"/>
          <w:color w:val="0070C0"/>
          <w:sz w:val="16"/>
          <w:szCs w:val="16"/>
        </w:rPr>
        <w:softHyphen/>
        <w:t>ительства. Для обслуживающего персо</w:t>
      </w:r>
      <w:r w:rsidRPr="008A2E5A">
        <w:rPr>
          <w:rFonts w:ascii="Times New Roman" w:hAnsi="Times New Roman"/>
          <w:color w:val="0070C0"/>
          <w:sz w:val="16"/>
          <w:szCs w:val="16"/>
        </w:rPr>
        <w:softHyphen/>
        <w:t>нала установили металлический барак и несколько яранг со стенками из фанеры, обложенными снаружи для тепла снежны</w:t>
      </w:r>
      <w:r w:rsidRPr="008A2E5A">
        <w:rPr>
          <w:rFonts w:ascii="Times New Roman" w:hAnsi="Times New Roman"/>
          <w:color w:val="0070C0"/>
          <w:sz w:val="16"/>
          <w:szCs w:val="16"/>
        </w:rPr>
        <w:softHyphen/>
        <w:t>ми кирпичами. Спали там на деревянных нарах, застеленных оленьими шкурами. Позже из Канады самолетами доставили несколько сборных домиков.</w:t>
      </w:r>
    </w:p>
    <w:p w14:paraId="7FF16D7B" w14:textId="77777777" w:rsidR="004C3EBE" w:rsidRPr="008A2E5A" w:rsidRDefault="004C3EBE" w:rsidP="004C3E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Киренске аэродром строили вруч</w:t>
      </w:r>
      <w:r w:rsidRPr="008A2E5A">
        <w:rPr>
          <w:rFonts w:ascii="Times New Roman" w:hAnsi="Times New Roman"/>
          <w:color w:val="0070C0"/>
          <w:sz w:val="16"/>
          <w:szCs w:val="16"/>
        </w:rPr>
        <w:softHyphen/>
        <w:t>ную — лопатами и кирками. Грунт перево</w:t>
      </w:r>
      <w:r w:rsidRPr="008A2E5A">
        <w:rPr>
          <w:rFonts w:ascii="Times New Roman" w:hAnsi="Times New Roman"/>
          <w:color w:val="0070C0"/>
          <w:sz w:val="16"/>
          <w:szCs w:val="16"/>
        </w:rPr>
        <w:softHyphen/>
        <w:t>зили на лошадях, трамбовали его ручны</w:t>
      </w:r>
      <w:r w:rsidRPr="008A2E5A">
        <w:rPr>
          <w:rFonts w:ascii="Times New Roman" w:hAnsi="Times New Roman"/>
          <w:color w:val="0070C0"/>
          <w:sz w:val="16"/>
          <w:szCs w:val="16"/>
        </w:rPr>
        <w:softHyphen/>
        <w:t>ми колотушками.</w:t>
      </w:r>
    </w:p>
    <w:p w14:paraId="6C021020" w14:textId="77777777" w:rsidR="004C3EBE" w:rsidRPr="008A2E5A" w:rsidRDefault="004C3EBE" w:rsidP="004C3E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Работы по созданию и обслуживанию трассы возлагались на несколько ведомств. Главное управление ГВФ отвечало за стро</w:t>
      </w:r>
      <w:r w:rsidRPr="008A2E5A">
        <w:rPr>
          <w:rFonts w:ascii="Times New Roman" w:hAnsi="Times New Roman"/>
          <w:color w:val="0070C0"/>
          <w:sz w:val="16"/>
          <w:szCs w:val="16"/>
        </w:rPr>
        <w:softHyphen/>
        <w:t>ительство аэродромов и дальнейшее об</w:t>
      </w:r>
      <w:r w:rsidRPr="008A2E5A">
        <w:rPr>
          <w:rFonts w:ascii="Times New Roman" w:hAnsi="Times New Roman"/>
          <w:color w:val="0070C0"/>
          <w:sz w:val="16"/>
          <w:szCs w:val="16"/>
        </w:rPr>
        <w:softHyphen/>
        <w:t>служивание трассы. Ему должны были помогать военные и НКВД, выделявшие рабочих. НКВТ оформлял получение тех</w:t>
      </w:r>
      <w:r w:rsidRPr="008A2E5A">
        <w:rPr>
          <w:rFonts w:ascii="Times New Roman" w:hAnsi="Times New Roman"/>
          <w:color w:val="0070C0"/>
          <w:sz w:val="16"/>
          <w:szCs w:val="16"/>
        </w:rPr>
        <w:softHyphen/>
        <w:t>ники от американской стороны. Приемку самолетов обеспечивали ВВС, которые направляли в США инженеров и техни</w:t>
      </w:r>
      <w:r w:rsidRPr="008A2E5A">
        <w:rPr>
          <w:rFonts w:ascii="Times New Roman" w:hAnsi="Times New Roman"/>
          <w:color w:val="0070C0"/>
          <w:sz w:val="16"/>
          <w:szCs w:val="16"/>
        </w:rPr>
        <w:softHyphen/>
        <w:t>ков. Они же предоставляли часть летного состава, которому предстояло перегонять технику в Красноярск. Другим ведомствам дали задания по снабжению трассы всем необходимым. Общее руководство Крас</w:t>
      </w:r>
      <w:r w:rsidRPr="008A2E5A">
        <w:rPr>
          <w:rFonts w:ascii="Times New Roman" w:hAnsi="Times New Roman"/>
          <w:color w:val="0070C0"/>
          <w:sz w:val="16"/>
          <w:szCs w:val="16"/>
        </w:rPr>
        <w:softHyphen/>
        <w:t>ноярской трассой сначала осуществлялось Главным управлением ВВС, потом недолго она подчинялась Авиации дальнего дейст</w:t>
      </w:r>
      <w:r w:rsidRPr="008A2E5A">
        <w:rPr>
          <w:rFonts w:ascii="Times New Roman" w:hAnsi="Times New Roman"/>
          <w:color w:val="0070C0"/>
          <w:sz w:val="16"/>
          <w:szCs w:val="16"/>
        </w:rPr>
        <w:softHyphen/>
        <w:t>вия (АДД), а с 15 июня 1943 г. — Главному управлению ГВФ.</w:t>
      </w:r>
    </w:p>
    <w:p w14:paraId="263192FD" w14:textId="77777777" w:rsidR="004C3EBE" w:rsidRPr="008A2E5A" w:rsidRDefault="004C3EBE" w:rsidP="004C3E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Предполагалось, что американцы бу</w:t>
      </w:r>
      <w:r w:rsidRPr="008A2E5A">
        <w:rPr>
          <w:rFonts w:ascii="Times New Roman" w:hAnsi="Times New Roman"/>
          <w:color w:val="0070C0"/>
          <w:sz w:val="16"/>
          <w:szCs w:val="16"/>
        </w:rPr>
        <w:softHyphen/>
        <w:t>дут доставлять самолеты на Аляску, где их подготовят к дальнейшей перегонке. В качестве основной базы на Аляске аме</w:t>
      </w:r>
      <w:r w:rsidRPr="008A2E5A">
        <w:rPr>
          <w:rFonts w:ascii="Times New Roman" w:hAnsi="Times New Roman"/>
          <w:color w:val="0070C0"/>
          <w:sz w:val="16"/>
          <w:szCs w:val="16"/>
        </w:rPr>
        <w:softHyphen/>
        <w:t>риканская сторона сперва намеревалась выбрать аэродром Маркс-филд в Номе, но побоялась возможного удара японской авиации с Алеутских островов. Останови</w:t>
      </w:r>
      <w:r w:rsidRPr="008A2E5A">
        <w:rPr>
          <w:rFonts w:ascii="Times New Roman" w:hAnsi="Times New Roman"/>
          <w:color w:val="0070C0"/>
          <w:sz w:val="16"/>
          <w:szCs w:val="16"/>
        </w:rPr>
        <w:softHyphen/>
        <w:t>лись на базе Лэдд-филд возле Фэрбенкса. Там размещались советская военная мис</w:t>
      </w:r>
      <w:r w:rsidRPr="008A2E5A">
        <w:rPr>
          <w:rFonts w:ascii="Times New Roman" w:hAnsi="Times New Roman"/>
          <w:color w:val="0070C0"/>
          <w:sz w:val="16"/>
          <w:szCs w:val="16"/>
        </w:rPr>
        <w:softHyphen/>
        <w:t>сия и база перегонщиков. Оттуда машины должны были вести в Красноярск совет</w:t>
      </w:r>
      <w:r w:rsidRPr="008A2E5A">
        <w:rPr>
          <w:rFonts w:ascii="Times New Roman" w:hAnsi="Times New Roman"/>
          <w:color w:val="0070C0"/>
          <w:sz w:val="16"/>
          <w:szCs w:val="16"/>
        </w:rPr>
        <w:softHyphen/>
        <w:t>ские экипажи.</w:t>
      </w:r>
    </w:p>
    <w:p w14:paraId="56E0B506" w14:textId="77777777" w:rsidR="004C3EBE" w:rsidRPr="008A2E5A" w:rsidRDefault="004C3EBE" w:rsidP="004C3E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Американцы назвали трассу АЛСИБ (от «Аляска — Сибирь»), а в СССР она официально именовалась Краснояр</w:t>
      </w:r>
      <w:r w:rsidRPr="008A2E5A">
        <w:rPr>
          <w:rFonts w:ascii="Times New Roman" w:hAnsi="Times New Roman"/>
          <w:color w:val="0070C0"/>
          <w:sz w:val="16"/>
          <w:szCs w:val="16"/>
        </w:rPr>
        <w:softHyphen/>
        <w:t>ской трассой — поскольку заканчивалась в Красноярске. В некоторых советских документах она фигурирует также как Се</w:t>
      </w:r>
      <w:r w:rsidRPr="008A2E5A">
        <w:rPr>
          <w:rFonts w:ascii="Times New Roman" w:hAnsi="Times New Roman"/>
          <w:color w:val="0070C0"/>
          <w:sz w:val="16"/>
          <w:szCs w:val="16"/>
        </w:rPr>
        <w:softHyphen/>
        <w:t>верная воздушная трасса.</w:t>
      </w:r>
    </w:p>
    <w:p w14:paraId="058D7B1A" w14:textId="77777777" w:rsidR="004C3EBE" w:rsidRPr="008A2E5A" w:rsidRDefault="004C3EBE" w:rsidP="004C3E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Специальная авиагруппа перегонщи</w:t>
      </w:r>
      <w:r w:rsidRPr="008A2E5A">
        <w:rPr>
          <w:rFonts w:ascii="Times New Roman" w:hAnsi="Times New Roman"/>
          <w:color w:val="0070C0"/>
          <w:sz w:val="16"/>
          <w:szCs w:val="16"/>
        </w:rPr>
        <w:softHyphen/>
        <w:t>ков формировалась в 6-й заб в Иваново. Должны были быть сформированы семь перегоночных полков и 8-й транспортный полк для обслуживания трассы. Летчиков старались брать из строевых полков, уже повоевавших на импортной технике, из числа перегонщиков, работавших на юж</w:t>
      </w:r>
      <w:r w:rsidRPr="008A2E5A">
        <w:rPr>
          <w:rFonts w:ascii="Times New Roman" w:hAnsi="Times New Roman"/>
          <w:color w:val="0070C0"/>
          <w:sz w:val="16"/>
          <w:szCs w:val="16"/>
        </w:rPr>
        <w:softHyphen/>
        <w:t>ной трассе из Ирана, но часть пополне</w:t>
      </w:r>
      <w:r w:rsidRPr="008A2E5A">
        <w:rPr>
          <w:rFonts w:ascii="Times New Roman" w:hAnsi="Times New Roman"/>
          <w:color w:val="0070C0"/>
          <w:sz w:val="16"/>
          <w:szCs w:val="16"/>
        </w:rPr>
        <w:softHyphen/>
        <w:t>ния прибыла прямо из летных школ. Для получения опыта обращения с иностран</w:t>
      </w:r>
      <w:r w:rsidRPr="008A2E5A">
        <w:rPr>
          <w:rFonts w:ascii="Times New Roman" w:hAnsi="Times New Roman"/>
          <w:color w:val="0070C0"/>
          <w:sz w:val="16"/>
          <w:szCs w:val="16"/>
        </w:rPr>
        <w:softHyphen/>
        <w:t>ными самолетами проводились полеты на истребителях Р-39, Р-40 и «Мустанг» I. Специально пригнали несколько бомбар</w:t>
      </w:r>
      <w:r w:rsidRPr="008A2E5A">
        <w:rPr>
          <w:rFonts w:ascii="Times New Roman" w:hAnsi="Times New Roman"/>
          <w:color w:val="0070C0"/>
          <w:sz w:val="16"/>
          <w:szCs w:val="16"/>
        </w:rPr>
        <w:softHyphen/>
        <w:t>дировщиков А-20 и В-25. На истребителях обучали в Иваново, а на бомбардировщи</w:t>
      </w:r>
      <w:r w:rsidRPr="008A2E5A">
        <w:rPr>
          <w:rFonts w:ascii="Times New Roman" w:hAnsi="Times New Roman"/>
          <w:color w:val="0070C0"/>
          <w:sz w:val="16"/>
          <w:szCs w:val="16"/>
        </w:rPr>
        <w:softHyphen/>
        <w:t>ках — в Ундоле (Горьковская область). Об</w:t>
      </w:r>
      <w:r w:rsidRPr="008A2E5A">
        <w:rPr>
          <w:rFonts w:ascii="Times New Roman" w:hAnsi="Times New Roman"/>
          <w:color w:val="0070C0"/>
          <w:sz w:val="16"/>
          <w:szCs w:val="16"/>
        </w:rPr>
        <w:softHyphen/>
        <w:t>учением руководил полковник Н.К. Рома</w:t>
      </w:r>
      <w:r w:rsidRPr="008A2E5A">
        <w:rPr>
          <w:rFonts w:ascii="Times New Roman" w:hAnsi="Times New Roman"/>
          <w:color w:val="0070C0"/>
          <w:sz w:val="16"/>
          <w:szCs w:val="16"/>
        </w:rPr>
        <w:softHyphen/>
        <w:t>нов. Особое внимание уделялось технике взлета и посадки на самолетах с носовым колесом, которое на отечественных маши</w:t>
      </w:r>
      <w:r w:rsidRPr="008A2E5A">
        <w:rPr>
          <w:rFonts w:ascii="Times New Roman" w:hAnsi="Times New Roman"/>
          <w:color w:val="0070C0"/>
          <w:sz w:val="16"/>
          <w:szCs w:val="16"/>
        </w:rPr>
        <w:softHyphen/>
        <w:t>нах тогда еще не встречалось.</w:t>
      </w:r>
    </w:p>
    <w:p w14:paraId="1FB858B5" w14:textId="77777777" w:rsidR="004C3EBE" w:rsidRPr="008A2E5A" w:rsidRDefault="004C3EBE" w:rsidP="004C3E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Отбор летного состава велся довольно строго. Три серьезные ошибки — и кан</w:t>
      </w:r>
      <w:r w:rsidRPr="008A2E5A">
        <w:rPr>
          <w:rFonts w:ascii="Times New Roman" w:hAnsi="Times New Roman"/>
          <w:color w:val="0070C0"/>
          <w:sz w:val="16"/>
          <w:szCs w:val="16"/>
        </w:rPr>
        <w:softHyphen/>
        <w:t>дидат отчислялся обратно. В результате взяли лучших, из числа прибывших в Ива</w:t>
      </w:r>
      <w:r w:rsidRPr="008A2E5A">
        <w:rPr>
          <w:rFonts w:ascii="Times New Roman" w:hAnsi="Times New Roman"/>
          <w:color w:val="0070C0"/>
          <w:sz w:val="16"/>
          <w:szCs w:val="16"/>
        </w:rPr>
        <w:softHyphen/>
        <w:t>ново в перегоночные полки зачислили только каждого пятого.</w:t>
      </w:r>
    </w:p>
    <w:p w14:paraId="7E2FDD6F" w14:textId="77777777" w:rsidR="004C3EBE" w:rsidRPr="008A2E5A" w:rsidRDefault="004C3EBE" w:rsidP="004C3EB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8-й транспортный полк укомплекто</w:t>
      </w:r>
      <w:r w:rsidRPr="008A2E5A">
        <w:rPr>
          <w:rFonts w:ascii="Times New Roman" w:hAnsi="Times New Roman"/>
          <w:color w:val="0070C0"/>
          <w:sz w:val="16"/>
          <w:szCs w:val="16"/>
        </w:rPr>
        <w:softHyphen/>
        <w:t>вали опытными экипажами из ГВФ и По</w:t>
      </w:r>
      <w:r w:rsidRPr="008A2E5A">
        <w:rPr>
          <w:rFonts w:ascii="Times New Roman" w:hAnsi="Times New Roman"/>
          <w:color w:val="0070C0"/>
          <w:sz w:val="16"/>
          <w:szCs w:val="16"/>
        </w:rPr>
        <w:softHyphen/>
        <w:t>лярной авиации. Оттуда же для него взяли самолеты ПС-84 (Ли-2) (23513).</w:t>
      </w:r>
    </w:p>
    <w:p w14:paraId="0D4EE8AF" w14:textId="77777777" w:rsidR="004C3EBE" w:rsidRPr="008A2E5A" w:rsidRDefault="004C3EBE" w:rsidP="004C3EBE">
      <w:pPr>
        <w:spacing w:after="0" w:line="240" w:lineRule="auto"/>
        <w:jc w:val="both"/>
        <w:rPr>
          <w:rFonts w:ascii="Times New Roman" w:hAnsi="Times New Roman"/>
          <w:color w:val="0070C0"/>
          <w:sz w:val="16"/>
          <w:szCs w:val="16"/>
        </w:rPr>
      </w:pPr>
    </w:p>
    <w:p w14:paraId="085AE98C"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За рубежом:</w:t>
      </w:r>
    </w:p>
    <w:p w14:paraId="22BE657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D21A94" w14:textId="384B0556" w:rsidR="00AD4360" w:rsidRPr="001E2C69" w:rsidRDefault="00AD43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июля 1943 конструктор фирмы «Виккерс» Барнис Уоллис, занимающийся разработкой тяжелых и сверхтяжелых бомб с 1930-х, получил разрешение на создание 12</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000-фунтовых бомб «Толлбой» («Верзила»). Осенью 1943 г. был проведен ряд экспериментов с моделями весом 4</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000 фунтов (1,7</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т). Сначала опыты на полигоне Кричел Даун шли нормально, но когда бомбы начали сбрасывать с высоты 20</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000 футов (около 6</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км), они стали показывать большую нестабильность полета. Однажды бомба даже разломилась в воздухе, и ее хвостовое оперение упало в 500</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м от носовой части.</w:t>
      </w:r>
    </w:p>
    <w:p w14:paraId="0152946F" w14:textId="0A6A052E" w:rsidR="00AD4360" w:rsidRPr="001E2C69" w:rsidRDefault="00AD43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Причина этой нестабильности была давно известна. При переходе звукового барьера турбулентность воздушных потоков сбивала бомбу с курса. Уоллис предложил развернуть плоскости хвостового оперения, чтобы они заставили бомбу вращаться вокруг своей оси. Потом пришлось решать проблему прочности корпуса, чтобы бомба не раскалывалась при ударе о землю. Чтобы добиться требуемой прочности, применили специальные методы литья и закатки корпусов. Краткие ТТХ бомбы Tallboy: масса</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5443 кг; длина</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6,35 м; диаметр</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0,95 м; тип взрывчатого вещества (ВВ)</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Торпекс; масса ВВ</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2358 кг (22888).</w:t>
      </w:r>
    </w:p>
    <w:p w14:paraId="581512C1" w14:textId="77777777" w:rsidR="00AD4360" w:rsidRPr="001E2C69" w:rsidRDefault="00AD4360" w:rsidP="00722885">
      <w:pPr>
        <w:spacing w:after="0" w:line="240" w:lineRule="auto"/>
        <w:jc w:val="both"/>
        <w:rPr>
          <w:rFonts w:ascii="Times New Roman" w:hAnsi="Times New Roman"/>
          <w:color w:val="000000" w:themeColor="text1"/>
          <w:sz w:val="16"/>
          <w:szCs w:val="16"/>
        </w:rPr>
      </w:pPr>
    </w:p>
    <w:p w14:paraId="7D477C9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первый Б-17 прилетел в Англию (223,60).</w:t>
      </w:r>
    </w:p>
    <w:p w14:paraId="3A8492F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BD0E45" w14:textId="77777777" w:rsidR="00AD4360" w:rsidRPr="001E2C69" w:rsidRDefault="00AD43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Военно -воздушные силы Соединенных Штатов создают Управление воздушного транспорта, централизованную стратегическую службу воздушного транспорта, управляемую военным министерством США (20793).</w:t>
      </w:r>
    </w:p>
    <w:p w14:paraId="44D94AF4" w14:textId="77777777" w:rsidR="00AD4360" w:rsidRPr="001E2C69" w:rsidRDefault="00AD4360" w:rsidP="00722885">
      <w:pPr>
        <w:spacing w:after="0" w:line="240" w:lineRule="auto"/>
        <w:jc w:val="both"/>
        <w:rPr>
          <w:rFonts w:ascii="Times New Roman" w:hAnsi="Times New Roman"/>
          <w:color w:val="000000" w:themeColor="text1"/>
          <w:sz w:val="16"/>
          <w:szCs w:val="16"/>
        </w:rPr>
      </w:pPr>
    </w:p>
    <w:p w14:paraId="0B05DD6E"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1 июля</w:t>
      </w:r>
      <w:r w:rsidRPr="001E2C69">
        <w:rPr>
          <w:rFonts w:ascii="Times New Roman" w:hAnsi="Times New Roman"/>
          <w:color w:val="000000" w:themeColor="text1"/>
          <w:sz w:val="16"/>
          <w:szCs w:val="16"/>
        </w:rPr>
        <w:t xml:space="preserve"> в 1942 году в Великобритании Комиссия по углю на основании закона 1938 года отбирает лицензии на разработку угольных месторождений (14939).</w:t>
      </w:r>
    </w:p>
    <w:p w14:paraId="7B0C6913" w14:textId="77777777" w:rsidR="00B01B21" w:rsidRPr="001E2C69" w:rsidRDefault="00B01B21" w:rsidP="00722885">
      <w:pPr>
        <w:spacing w:after="0" w:line="240" w:lineRule="auto"/>
        <w:jc w:val="both"/>
        <w:rPr>
          <w:rFonts w:ascii="Times New Roman" w:hAnsi="Times New Roman"/>
          <w:color w:val="000000" w:themeColor="text1"/>
          <w:sz w:val="16"/>
          <w:szCs w:val="16"/>
        </w:rPr>
      </w:pPr>
    </w:p>
    <w:p w14:paraId="2627ECE0" w14:textId="77777777" w:rsidR="00B01B21" w:rsidRPr="001E2C69" w:rsidRDefault="00B01B21" w:rsidP="00722885">
      <w:pPr>
        <w:spacing w:after="0" w:line="240" w:lineRule="auto"/>
        <w:jc w:val="both"/>
        <w:rPr>
          <w:rFonts w:ascii="Times New Roman" w:hAnsi="Times New Roman"/>
          <w:color w:val="000000" w:themeColor="text1"/>
          <w:sz w:val="16"/>
          <w:szCs w:val="16"/>
          <w:lang w:val="en-US"/>
        </w:rPr>
      </w:pPr>
      <w:r w:rsidRPr="001E2C69">
        <w:rPr>
          <w:rFonts w:ascii="Times New Roman" w:hAnsi="Times New Roman"/>
          <w:bCs/>
          <w:color w:val="000000" w:themeColor="text1"/>
          <w:sz w:val="16"/>
          <w:szCs w:val="16"/>
        </w:rPr>
        <w:t>1 июля</w:t>
      </w:r>
      <w:r w:rsidRPr="001E2C69">
        <w:rPr>
          <w:rFonts w:ascii="Times New Roman" w:hAnsi="Times New Roman"/>
          <w:color w:val="000000" w:themeColor="text1"/>
          <w:sz w:val="16"/>
          <w:szCs w:val="16"/>
        </w:rPr>
        <w:t xml:space="preserve"> в 1942 году в палате общин британского парламента обсуждается вопрос о вотуме недоверия правительству по "главному направлению ведения войны". Отвергается</w:t>
      </w:r>
      <w:r w:rsidRPr="001E2C69">
        <w:rPr>
          <w:rFonts w:ascii="Times New Roman" w:hAnsi="Times New Roman"/>
          <w:color w:val="000000" w:themeColor="text1"/>
          <w:sz w:val="16"/>
          <w:szCs w:val="16"/>
          <w:lang w:val="en-US"/>
        </w:rPr>
        <w:t xml:space="preserve"> 476 </w:t>
      </w:r>
      <w:r w:rsidRPr="001E2C69">
        <w:rPr>
          <w:rFonts w:ascii="Times New Roman" w:hAnsi="Times New Roman"/>
          <w:color w:val="000000" w:themeColor="text1"/>
          <w:sz w:val="16"/>
          <w:szCs w:val="16"/>
        </w:rPr>
        <w:t>голосамипротив</w:t>
      </w:r>
      <w:r w:rsidRPr="001E2C69">
        <w:rPr>
          <w:rFonts w:ascii="Times New Roman" w:hAnsi="Times New Roman"/>
          <w:color w:val="000000" w:themeColor="text1"/>
          <w:sz w:val="16"/>
          <w:szCs w:val="16"/>
          <w:lang w:val="en-US"/>
        </w:rPr>
        <w:t xml:space="preserve"> 25 (14939).</w:t>
      </w:r>
    </w:p>
    <w:p w14:paraId="64B7014C" w14:textId="77777777" w:rsidR="00B01B21" w:rsidRPr="001E2C69" w:rsidRDefault="00B01B21" w:rsidP="00722885">
      <w:pPr>
        <w:spacing w:after="0" w:line="240" w:lineRule="auto"/>
        <w:jc w:val="both"/>
        <w:rPr>
          <w:rFonts w:ascii="Times New Roman" w:hAnsi="Times New Roman"/>
          <w:color w:val="000000" w:themeColor="text1"/>
          <w:sz w:val="16"/>
          <w:szCs w:val="16"/>
          <w:lang w:val="en-US"/>
        </w:rPr>
      </w:pPr>
    </w:p>
    <w:p w14:paraId="5BB9BC1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lang w:val="en-US"/>
        </w:rPr>
        <w:t>July 1st, 1942: Infantry and combat engineers trof 11.Armee (von Manstein) complete the capture of the fortress of Sevastopol in the Crimea. In Egypt, armored units of the Afrikakorps approach the defensive lines of the British Eighth Army at El Alamein on the road to Alexandria (3819).</w:t>
      </w:r>
    </w:p>
    <w:p w14:paraId="7F71A56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5E2711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lang w:val="en-US"/>
        </w:rPr>
        <w:t>July 1-30 1942 First Battle of El Alamein (1050).</w:t>
      </w:r>
    </w:p>
    <w:p w14:paraId="1B18C30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FFF280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 по 30 июля 1942 состоялась первая битва за Эль Аламейн (1050).</w:t>
      </w:r>
    </w:p>
    <w:p w14:paraId="1AAE923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2D333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Гейзенберг стал руководителем KWI и начал планировать серию экспериментов с большим реактором, в которых бы был задействован весь немецкий уран и тяжелая вода. Листы из металлического урана оказались трудными в производстве и изготовлении и он перешел к другим исследованиям (2221).</w:t>
      </w:r>
    </w:p>
    <w:p w14:paraId="7F134F0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CC7FC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немецкие подлодки потопили 93 судна союзников общим тоннажем 454.5 т (2168,4).</w:t>
      </w:r>
    </w:p>
    <w:p w14:paraId="1A4F28C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DB025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июля 1942 немецкая разведка обнаружила конвой PQ-17 из 36 транспортов (22 американских и 8 английских). Спаслось 11 и потеряли 400 танков, 3 тыс. грузовиков и 200 самолетов (2438,231).</w:t>
      </w:r>
    </w:p>
    <w:p w14:paraId="11F5FDC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1689C6"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Авиапромышленность:</w:t>
      </w:r>
    </w:p>
    <w:p w14:paraId="6CB044C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4B439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июля 1942 вышел приказ НКАП N 483сс:</w:t>
      </w:r>
    </w:p>
    <w:p w14:paraId="7F6C9B7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целях своевременного обеспечения самолетов ПС-84, ДБ-3Ф и ТБ-7 надежными устройствами для защиты от обледенения:</w:t>
      </w:r>
    </w:p>
    <w:p w14:paraId="049448F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Директору завода 84 обеспечить к 15 июля 1942 окончание монтажа противообледенителя на самолете ПС-84, разработанного заводом при участии ЛИИ. Испытание противообледенителя произвести непосредственно при участии представителей ЛИИ и НИИ ВВС и закончить их к 15 августа 1942</w:t>
      </w:r>
    </w:p>
    <w:p w14:paraId="47C022F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Директору завода 23 к 1 августа обеспечить изготовление деталей и монтаж противообледенителей на самолете ДБ-3Ф, разработанного заводом 126 при участии ЛИИ. Испытание противообледенителя произвести непосредственно при участии представителей ЛИИ и НИИ ВВС и закончить их к 1 сентября 1942</w:t>
      </w:r>
    </w:p>
    <w:p w14:paraId="3109510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Директору завода 22 к 1 августа обеспечить окончание изготовления деталей и монтаж противообледенителей на самолете ТБ-7, разработанного заводом при участии ЛИИ. Испытание противообледенителя произвести непосредственно при участии представителей ЛИИ и НИИ ВВС и закончить их к 1 сентября 1942 (1574,15).</w:t>
      </w:r>
    </w:p>
    <w:p w14:paraId="4D75DBA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7836F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 2 июля 1942 г. во исполнение постановления ГКО и приказа НКАП ОКБ, заводом № 23 и Летно-исследовательским институтом велась напряженная работа по оснащению части Ил-4 противообледенительными системами, обеспечивающими защиту от льда передних кромок крыла и оперения.</w:t>
      </w:r>
    </w:p>
    <w:p w14:paraId="47E0618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0AC87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июля 1942 вышел приказ НКАП N 482сс:</w:t>
      </w:r>
    </w:p>
    <w:p w14:paraId="66BA700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целях повышения противопожарных свойств боевых самолетов и проверки систем заполнения крыльевых отсеков нейтральными газами для серийных самолетов Як-1, Як-7, ЛаГГ-3 и ДБ-3Ф, предусмотрев в монтажных схемах возможность включения испытательных приборов.</w:t>
      </w:r>
    </w:p>
    <w:p w14:paraId="19697A3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Директору завода 156 Ржищеву изготовить агрегаты систем по чертежам спец. КБ и провести монтаж системы на самолетах.</w:t>
      </w:r>
    </w:p>
    <w:p w14:paraId="7E8355F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Сроки окончания монтажа: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1E2C69" w:rsidRPr="001E2C69" w14:paraId="5D1C9B90" w14:textId="77777777" w:rsidTr="00CC5360">
        <w:tc>
          <w:tcPr>
            <w:tcW w:w="3757" w:type="dxa"/>
            <w:tcBorders>
              <w:top w:val="single" w:sz="12" w:space="0" w:color="auto"/>
            </w:tcBorders>
          </w:tcPr>
          <w:p w14:paraId="0F86D75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Як-1</w:t>
            </w:r>
          </w:p>
        </w:tc>
        <w:tc>
          <w:tcPr>
            <w:tcW w:w="3757" w:type="dxa"/>
            <w:tcBorders>
              <w:top w:val="single" w:sz="12" w:space="0" w:color="auto"/>
            </w:tcBorders>
          </w:tcPr>
          <w:p w14:paraId="42FF744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июля</w:t>
            </w:r>
          </w:p>
        </w:tc>
      </w:tr>
      <w:tr w:rsidR="001E2C69" w:rsidRPr="001E2C69" w14:paraId="4B639357" w14:textId="77777777" w:rsidTr="00CC5360">
        <w:tc>
          <w:tcPr>
            <w:tcW w:w="3757" w:type="dxa"/>
          </w:tcPr>
          <w:p w14:paraId="2D88C00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Як-7</w:t>
            </w:r>
          </w:p>
        </w:tc>
        <w:tc>
          <w:tcPr>
            <w:tcW w:w="3757" w:type="dxa"/>
          </w:tcPr>
          <w:p w14:paraId="723A8DE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июля</w:t>
            </w:r>
          </w:p>
        </w:tc>
      </w:tr>
      <w:tr w:rsidR="001E2C69" w:rsidRPr="001E2C69" w14:paraId="14D20E73" w14:textId="77777777" w:rsidTr="00CC5360">
        <w:tc>
          <w:tcPr>
            <w:tcW w:w="3757" w:type="dxa"/>
          </w:tcPr>
          <w:p w14:paraId="46184D2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ЛаГГ-3</w:t>
            </w:r>
          </w:p>
        </w:tc>
        <w:tc>
          <w:tcPr>
            <w:tcW w:w="3757" w:type="dxa"/>
          </w:tcPr>
          <w:p w14:paraId="2D54446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июля</w:t>
            </w:r>
          </w:p>
        </w:tc>
      </w:tr>
      <w:tr w:rsidR="001E2C69" w:rsidRPr="001E2C69" w14:paraId="5262012D" w14:textId="77777777" w:rsidTr="00CC5360">
        <w:tc>
          <w:tcPr>
            <w:tcW w:w="3757" w:type="dxa"/>
            <w:tcBorders>
              <w:bottom w:val="single" w:sz="12" w:space="0" w:color="auto"/>
            </w:tcBorders>
          </w:tcPr>
          <w:p w14:paraId="5981072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ДБ-3Ф</w:t>
            </w:r>
          </w:p>
        </w:tc>
        <w:tc>
          <w:tcPr>
            <w:tcW w:w="3757" w:type="dxa"/>
            <w:tcBorders>
              <w:bottom w:val="single" w:sz="12" w:space="0" w:color="auto"/>
            </w:tcBorders>
          </w:tcPr>
          <w:p w14:paraId="45FB3D0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августа 1942</w:t>
            </w:r>
          </w:p>
        </w:tc>
      </w:tr>
    </w:tbl>
    <w:p w14:paraId="14D3F2F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Монтаж систем на Як-1, Як-7 и ДБ-3Ф произвести на самолетах, переданных в ЛИИ (1574,8).</w:t>
      </w:r>
    </w:p>
    <w:p w14:paraId="221BC7F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4B7E93" w14:textId="77777777" w:rsidR="00F71359" w:rsidRPr="008A2E5A" w:rsidRDefault="00F71359" w:rsidP="00F7135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2 июля 1942 г. в соответствии с приказом на</w:t>
      </w:r>
      <w:r w:rsidRPr="008A2E5A">
        <w:rPr>
          <w:rFonts w:ascii="Times New Roman" w:hAnsi="Times New Roman"/>
          <w:color w:val="0070C0"/>
          <w:sz w:val="16"/>
          <w:szCs w:val="16"/>
        </w:rPr>
        <w:softHyphen/>
        <w:t>ркома авиационной промышленности в Московском филиале ЛИИ НКАП ведущими инженерами ЛИИ и специального КБ завода №156 В.В. Косточкиным и Ханкишиевым под общим руководством начальни</w:t>
      </w:r>
      <w:r w:rsidRPr="008A2E5A">
        <w:rPr>
          <w:rFonts w:ascii="Times New Roman" w:hAnsi="Times New Roman"/>
          <w:color w:val="0070C0"/>
          <w:sz w:val="16"/>
          <w:szCs w:val="16"/>
        </w:rPr>
        <w:softHyphen/>
        <w:t>ка винтомоторного отдела лаборатории №3 ЛИИ НКАП Е.И. Погосского продолжились работы по системе НГ на самолете Як-7Б. В результате натурных испытаний на самолете Як-7Б №820205 различных вариантов систе</w:t>
      </w:r>
      <w:r w:rsidRPr="008A2E5A">
        <w:rPr>
          <w:rFonts w:ascii="Times New Roman" w:hAnsi="Times New Roman"/>
          <w:color w:val="0070C0"/>
          <w:sz w:val="16"/>
          <w:szCs w:val="16"/>
        </w:rPr>
        <w:softHyphen/>
        <w:t>мы НГ отобрали один, показавший наилучшие резуль</w:t>
      </w:r>
      <w:r w:rsidRPr="008A2E5A">
        <w:rPr>
          <w:rFonts w:ascii="Times New Roman" w:hAnsi="Times New Roman"/>
          <w:color w:val="0070C0"/>
          <w:sz w:val="16"/>
          <w:szCs w:val="16"/>
        </w:rPr>
        <w:softHyphen/>
        <w:t>таты. Эту схему системы НГ приказом НКАП №747с от 8 октября 1942 г. рекомендовали заводам №82 и №153 для немедленного (к 25 и 20 октября соответственно) внедрения на истребителях Як-7Б (23381).</w:t>
      </w:r>
    </w:p>
    <w:p w14:paraId="3C438BBE" w14:textId="77777777" w:rsidR="00F71359" w:rsidRPr="008A2E5A" w:rsidRDefault="00F71359" w:rsidP="00F71359">
      <w:pPr>
        <w:spacing w:after="0" w:line="240" w:lineRule="auto"/>
        <w:jc w:val="both"/>
        <w:rPr>
          <w:rFonts w:ascii="Times New Roman" w:hAnsi="Times New Roman"/>
          <w:color w:val="0070C0"/>
          <w:sz w:val="16"/>
          <w:szCs w:val="16"/>
        </w:rPr>
      </w:pPr>
    </w:p>
    <w:p w14:paraId="0654D6A9" w14:textId="77777777" w:rsidR="00F71359" w:rsidRPr="008A2E5A" w:rsidRDefault="00F71359" w:rsidP="00F7135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июля 1942 г. нарком авиационной промышленности своим приказом обязал КБ завода № 156 разработать и изготовить усовершенствованную систему НГ для Як-1, Як-7 и других самолетов, к 15 июля смонтировать ее на Як-1 и далее в десятидневный срок совместно с ЛИИ НКАП испытать. Этим же приказом КБ поручалось разработать мероприятия по устранению конструктивных дефектов существующих систем к 1 августа 1942 г. и потом в десятидневный срок провести и их испытания.</w:t>
      </w:r>
    </w:p>
    <w:p w14:paraId="7FBBD4AD" w14:textId="77777777" w:rsidR="00F71359" w:rsidRPr="008A2E5A" w:rsidRDefault="00F71359" w:rsidP="00F7135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Новая система НГ была спроектирована, успешно прошла испытания, была утверждена, и с сентября 1942 г. (с 102-й серии) ее начали устанавливать на самолетах. Истребители более ранних серий указанием главного инженера ВВС КА № 88 от 14 сентября 1942 г. должны были пройти доработку, но предложенные КБ завода № 156 мероприятия оказались недостаточно эффективными, и указанием № 21 от 27 января 1943 г. эксплуатацию системы НГ на Як-1 до 102-й серии запретили до особых распоряжений (23451).</w:t>
      </w:r>
    </w:p>
    <w:p w14:paraId="63DAF565" w14:textId="77777777" w:rsidR="00F71359" w:rsidRPr="008A2E5A" w:rsidRDefault="00F71359" w:rsidP="00F71359">
      <w:pPr>
        <w:spacing w:after="0" w:line="240" w:lineRule="auto"/>
        <w:jc w:val="both"/>
        <w:rPr>
          <w:rFonts w:ascii="Times New Roman" w:hAnsi="Times New Roman"/>
          <w:color w:val="0070C0"/>
          <w:sz w:val="16"/>
          <w:szCs w:val="16"/>
        </w:rPr>
      </w:pPr>
    </w:p>
    <w:p w14:paraId="1ED416D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июля 1942 И.о. нач. ПГУ А.Шиц писал НКАП А.И.Ш. письмо N 659/357 о том, что приказом N 108сс от 9 февраля 1942 директор завода 153 обязан сдавать с 15 февраля Як-7 в двухместном варианте. Завод выполняет приказ, но тренировочный Як-7 отличается от серийного и прежде всего неубирающимся шасси и костылем. Просил разрешить делать 2-х местные с убирающимся шасси и делать без фиксаторов взлетного положения закрылков, как требовал А.С.Я. (2493,53).</w:t>
      </w:r>
    </w:p>
    <w:p w14:paraId="497D1F7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2C8DD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июля 1942 г. нарком авиационной промышленности своим приказом обязал КБ завода № 156 разработать и изготовить усовершенствованную систему НГ для Як-1, Як-7 и других самолетов. К 15 июля ее следовало смонтировать на Як-1 и далее, в десятидневный срок, совместно с ЛИ И НКАП испытать. Этим же приказом КБ поручалось разработать мероприятия по устранению конструктивных дефектов существующих систем к I августа и в десятидневный срок провести и их испытания.</w:t>
      </w:r>
    </w:p>
    <w:p w14:paraId="28495B4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Новая система НГ была спроектирована, успешно прошла испытания, была утверждена, и с сентября 1942 г. (со 102-й серии) ее начали устанавливать на самолетах. По указанию Главного инженера ВВС КА № 88 от 14 сентября 1942 г. истребители Як-1 более ранних серий выпуска должны были пройти доработку. В новой системе отвод газов производился через штуцер от левого заднего выхлопного патрубка мотора. Далее газы охлаждались в проложенной по левому борту стальной трубе, доходящей до шестой рамы фюзеляжа и возвращающейся обратно к фильтру, расположенному у переднего лонжерона. Температура газов снижалась с 800-1000°С до 5-10°С. Газопровод имел наклон в сторону фильтра, одновременно использовавшегося как отстойник для конденсирующейся при охлаждении газов влаги. Охлажденные и очищенные от механических примесей в фильтре газы через кран НГ поступали в баки. Кран, установленный на нравом пульте кабины сообщал баки или с системой НГ, или, для заправки топливом на земле, с атмосферой.</w:t>
      </w:r>
    </w:p>
    <w:p w14:paraId="213E754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наступления холодов в эксплуатации не представилось возможным испытать эту схему. При понижении температуры наружного воздуха завод получил много рекламаций на деформацию бензобаков из-за замерзания конденсата, образующегося при охлаждении газов в дренажных трубах. При этом после включения системы в работу в баках образовывалось разряжение, препятствующее нормальной выработке топлива, - моторы глохли. На завод прибыли специалисты соответствующих отделов ЛИИ Н КАП, Н И И ВВС и завода № 156 во главе с Хайкешиевым и Погосским. В процессе жарких теоретических споров по схеме НГ был разработан ряд мероприятий оказавшихся недостаточно эффективными, и, указанием № 21 от 27 января 1943 г., эксплуатацию системы НГ на Як-1 младше 102-й серии запретили до особых распоряжений. С 168-й серии (и на каждом десятом самолете 167-й серии) кран НГ вентильного типа заменили двухходовым с положениями: "Закрыто" - баки сообщены с системой НГ, "Открыто" - с атмосферой (12048).</w:t>
      </w:r>
    </w:p>
    <w:p w14:paraId="7426D6A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0589AE"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Другие оборонные отрасли:</w:t>
      </w:r>
    </w:p>
    <w:p w14:paraId="1C7F96E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CDDD3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июля 1942 года на письме, направленном председателем арткома ГАУ Хохловым заместителю начальника ГАБТУ КА генерал-майору Лебедеву с просьбой о проведении ходовых испытаний СГ-122 на полигоне в Кубинке, последний написал следующую резолюцию:</w:t>
      </w:r>
    </w:p>
    <w:p w14:paraId="25AC35A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«Это совершенно несерьезная затея „игра в испытания“. „Артштурмов“ у нас нет. из ремонта их не выпускают. Если починили 2–3 штуки, то необходимо их, не мешкая, направлять на фронт, как мы это делаем с трофейными танками, которых отремонтировали гораздо больше, чем „артштурмов“» (12688).</w:t>
      </w:r>
    </w:p>
    <w:p w14:paraId="5A937474"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5E75AB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июля 1942 года в письме в главное артуправление заместитель начальника БТУ ГАБТУ КА Алымов сообщал:</w:t>
      </w:r>
    </w:p>
    <w:p w14:paraId="7790BAE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«Прошу Вашего распоряжения об отпуске для 132 ОРВБ следующее артвооружение в счёт лимитов, выделенных ГАУ КА для ГАБТУ КА на ремонт:</w:t>
      </w:r>
    </w:p>
    <w:p w14:paraId="065F439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20 мм пушек ШВАК — 1 шт.;</w:t>
      </w:r>
    </w:p>
    <w:p w14:paraId="0FB14563" w14:textId="07410D28"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Пулемётов ДТ — 15 шт.;</w:t>
      </w:r>
    </w:p>
    <w:p w14:paraId="1EBFA3A9" w14:textId="23F591A2"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Коробов к 20 мм ШВАК — 32;</w:t>
      </w:r>
    </w:p>
    <w:p w14:paraId="38F642D1" w14:textId="2CB96518"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Дисков к ДТ — 308;</w:t>
      </w:r>
    </w:p>
    <w:p w14:paraId="5A6E1D26" w14:textId="35044658"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ЗИП к пушке ШВАК — 4к-та;</w:t>
      </w:r>
    </w:p>
    <w:p w14:paraId="4D6110BF" w14:textId="50DB0A92"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ЗИПкДТ — 26к-тов;</w:t>
      </w:r>
    </w:p>
    <w:p w14:paraId="1FCC5657" w14:textId="49AD818D"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Прицелов ТМФП-1 — 4;</w:t>
      </w:r>
    </w:p>
    <w:p w14:paraId="7D19111B" w14:textId="336E207C"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Банников к 37-мм — 13;</w:t>
      </w:r>
    </w:p>
    <w:p w14:paraId="45B24047" w14:textId="2C4D4B6F"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Прицелов ТМФ — 13,</w:t>
      </w:r>
    </w:p>
    <w:p w14:paraId="6258CD37" w14:textId="23290CF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ЗИП к 37 мм пушке — 1 к-т;</w:t>
      </w:r>
    </w:p>
    <w:p w14:paraId="03C5A6A1" w14:textId="3F4431CC"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ЗИП к 76 мм пушке — 1 к-т;</w:t>
      </w:r>
    </w:p>
    <w:p w14:paraId="50961454" w14:textId="01ACFBA4"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Прицелов ТОД-6 — 2 шт. (12688)</w:t>
      </w:r>
    </w:p>
    <w:p w14:paraId="2896A9F1"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7024AB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2 июля 1942 г. ИЗ ДОКЛАДА ПЕРВОГО СЕКРЕТАРЯ НОВОСИБИРСКОГО ОБКОМА ВКП(б) М.В. КУЛАГИНА НА VII ПЛЕНУМЕ ОБКОМА ПАРТИИ О МАКСИМАЛЬНОМ ИСПОЛЬЗОВАНИИ ПРОИЗВОДСТВЕННЫХ МОЩНОСТЕЙ И О МЕРАХ ПОВЫШЕНИЯ ПРОИЗВОДИТЕЛЬНОСТИ ТРУДА НА ПРЕДПРИЯТИЯХ, ШАХТАХ, ТРАНСПОРТЕ</w:t>
      </w:r>
    </w:p>
    <w:p w14:paraId="6DF8D88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Итоги работы промышленности Новосибирской области за истекший год</w:t>
      </w:r>
    </w:p>
    <w:p w14:paraId="7E974D3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этот период в нашей области восстановлены и начали выдавать продукцию десятки эвакуированных предприятий, в числе их крупнейшие заводы №№ 556, 65, 635,... 325, 564, 617, 208, 644, 69, 350 ... и многие другие. Налаживаются производственные связи между заводами. В промышленность направлены десятки тысяч новых рабочих, которые проходят производственное обучение, и многие из них уже стали многосот-никами и тысячниками. Каковы итоги работы промышленности области за истекший период? В чем, собственно говоря, выразилась наша помощь фронту, ибо только с этой точки зрения и следует вообще рассматривать всю нашу работу? Основные итоги характеризуются следующими цифровыми данными: по промышленности боеприпасов из 19 заводов выполнили государственный план: в январе — 5 заводов, в феврале - 5 заводов, в марте — 10 заводов, в апреле — 12 заводов, в мае — 13 заводов, в июне — 11 заводов. Резко ухудшил свою работу в июне месяце инициатор предмайского социалистического соревнования - завод N? 1 комбината № 179, не выполнивший государственного плана по ряду изделий ... Не выполнил своих обязательств также и завод № 2 комбината № 179, достигший ранее неплохих показателей в своей работе. По промышленности вооружения из 10 заводов выполнили план: в январе - 4 завода, в феврале - 5 заводов, в марте - 8 заводов, в апреле — 6 заводов, в мае - 7 заводов. По авиационной промышленности из 4 заводов выполнили план: в январе - 1 завод, в феврале - 1 завод, в марте - 4 завода, в апреле -3 завода, в мае - 2 завода. Если взять все заводы боеприпасов, вооружения и авиации вместе, то в январе план выполнили 10 заводов, в феврале - 11 заводов, в марте - 19 заводов, в апреле - 21 завод, в мае - 22 завода, то есть количество заводов, выполняющих государственные задания, увеличилось больше чем вдвое и это при систематически возрастающих заданиях Государственного Комитета Обороны. По заводам электропромышленности из 10 заводов выполнили план: в марте - 1 завод, в апреле - 1 завод, в мае - 5 заводов, в июне -5 заводов. Заводы, производящие боеприпасы и вооружение, преодолели имевшееся к VI пленуму обкома ВКП(б) отставание, значительно увеличили производство всех видов боеприпасов и вооружения и в последние месяцы выполняют установленные им задания Государственного Комитета Обороны (завод № 5 комбината № 179, заводы № 69, 350 и другие). Производство снарядов за прошедший период увеличено в 3 с лишним раза, снарядов крупного калибра - в 3,6 раза, производство патронов - в 2 раза. За этот же период в области освоено производство ряда новых видов боеприпасов и вооружения - крупных мин, бронебойных и трассирующих снарядов, авиавыстрела, взрывателей и других. Ряд заводов, производящих вооружение, систематически перевыполняет свои производственные планы (заводы [№] 69, 350 и другие). Увеличение выпуска предметов вооружения только по одному заводу № 69 в мае месяце по сравнению с январем позволяет дополнительно вооружить 9 артиллерийских полков, полторы танковых дивизии, 9 противотанковых артиллерийских полков, 20 зенитных батарей. Производство самолетов на заводе им. Чкалова за 5 месяцев увеличилось в несколько раз. Только прирост продукции за апрель и май месяцы дает возможность скомплектовать несколько авиационных полков. Как вы знаете, одного выполнения планов сейчас уже недостаточно. Напряжение на фронтах Великой Отечественной войны непрерывно растет. И мы вправе требовать от заводов, чтобы и в их производственной деятельности изо дня в день росло напряжение, рос подъем и энтузиазм рабочих масс, росла отдача продукции фронту. Надо не забывать, что каждый процент перевыполнения плана, каждый процент повышения мощности завода - это оснащение для новых полков и дивизий, это новые воздушные эскадрильи и корабли, это новые сотни тысяч снарядов, несущих смерть и уничтожение фашистским оккупантам. Промышленность нашей области до сих пор пополнялась огромным количеством оборудования за счет эвакуированных предприятий. Теперь, когда эвакуация предприятий закончена, эта возможность получения дополнительного количества станков и другого оборудования таким путем отпала. Ожидать дополнительных ресурсов станочного оборудования извне за счет других источников также нельзя, и надеяться на это мы не имеем права. Поэтому для повышения мощностей завода их хозяйственные и партийные руководители должны сейчас рассчитывать только на мобилизацию внутренних ресурсов станочного и другого оборудования, на более высокопроизводительное использование имеющегося оборудования. Рабочей силой область до сих пор удовлетворяла нужды заводов за счет мобилизации неработающего населения в городах, за счет комплектования строительных батальонов, за счет мобилизации рабочей силы в городских и районных центрах, колхозах, а также и за счет других источников организованного получения рабочей силы. Эти возможности получения рабочей силы теперь почти исчерпаны и, лучше сказать, отпали. Хозяйственным и партийным руководителям заводов следует ориентироваться только на правильное, наиболее полное и высокопроизводительное использование имеющихся кадров, на тщательное их обучение. Однако наша промышленность располагает огромными, все еще слабо используемыми резервами производственных мощностей и рабочей силы. Вот вам примеры. В день проверки:</w:t>
      </w:r>
    </w:p>
    <w:p w14:paraId="0D7939C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заводе № 188 мощности имеющегося оборудования используются только на 60%. На оборудовании этого завода имеется полная возможность увеличить производство патронов в 2-2,5 раза против того, что он сейчас дает.</w:t>
      </w:r>
    </w:p>
    <w:p w14:paraId="7EAA4D3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заводу № 3 смонтированное оборудование в мае месяце было использовано по снарядам крупного калибра всего лишь на 60—85 %.</w:t>
      </w:r>
    </w:p>
    <w:p w14:paraId="6660896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заводе № 635 мощность смонтированного оборудования используется только на 56 %.</w:t>
      </w:r>
    </w:p>
    <w:p w14:paraId="2084E3A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заводе № 564 из эвакуированного оборудования остались не пущенными в действие 240 станков и совершенно не установлены еще 40 станков.</w:t>
      </w:r>
    </w:p>
    <w:p w14:paraId="251E5B5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заводе имени Воскова не введено до сих пор в действие 157 станков ...</w:t>
      </w:r>
    </w:p>
    <w:p w14:paraId="18A2814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заводам химической промышленности картина использования мощностей еще более разительна. Например, на заводе № 759 мощность установленного оборудования в мае месяце использована только на 23 %.</w:t>
      </w:r>
    </w:p>
    <w:p w14:paraId="2D47545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заводе № 296 револьверные станки используются на 62 %, токарные - на 57 %, шлифовальные - на 38 %, фрезерные - на 66 % и прессы — на 63 %.</w:t>
      </w:r>
    </w:p>
    <w:p w14:paraId="247C7B7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эти цифры входят только учтенные, официально зарегистрированные потери. А сколько таких потерь не регистрируется, сколько станков ежедневно простаивают по разным причинам без регистрации этих простоев в сводках и графиках?!</w:t>
      </w:r>
    </w:p>
    <w:p w14:paraId="5699F5A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заводе № 1 комбината № 179 в день проверки по различным уважительным и неуважительным причинам простояло 19 % оборудования. За одну только смену из-за этого простоя недодано фронту 1 400 штук снарядов.</w:t>
      </w:r>
    </w:p>
    <w:p w14:paraId="6B71C49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Мы по заслугам отмечали сегодня неплохую работу завода № 69, но и на этом заводе в день проверки только по одному механическому цеху оборудование имело 407 часов простоя по разным причинам. Поэтому один только этот цех в течение одного рабочего дня недодал вооружение для двух средних танков. В другом цехе этого завода (оптическом) в течение дня станки простояли 400 часов. При использовании хотя бы наполовину этих станков можно было бы выпустить дополнительно оптики для 15 средних и легких танков. На заводе № 350 по трем основным цехам простой оборудования по различным причинам в ночь на 1 июня составил 195 часов. При сокращении этих простоев наполовину можно было бы изготовить оснащение для целой артиллерийской батареи.</w:t>
      </w:r>
    </w:p>
    <w:p w14:paraId="068F7BD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заводе № 590 за май месяц простои рабочих составили 16 890 человеко-часов, а в день проверки - 29 мая, т.е. в конце месяца, когда по вредной традиции заводов напряжение достигает до предела, рабочие простояли 740 человеко-часов, т.е. каждый рабочий из основных цехов потерял в среднем 1 час 40 минут за смену. Потери от простоев оборудования в автоматно-револьверном цехе этого завода выражаются в 92 комплектах деталей для радиоприемника в сутки. Только ликвидация простоев оборудования на этом заводе даст возможность повысить выпуск продукции до 60 процентов.</w:t>
      </w:r>
    </w:p>
    <w:p w14:paraId="498DEC2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заводе имени Чкалова 3 мая стояло 220 станков, из них 27 станков - из-за отсутствия работы. Очень низок на заводе коэффициент использования оборудования. Например, по металлодавящему оборудованию он составляет всего 35 процентов.</w:t>
      </w:r>
    </w:p>
    <w:p w14:paraId="64A944D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На заводе № 65 при проверке 2 июня в первой смене 20 % оборудования бесцельно простаивало по причинам: неподачи инструмента на рабочие места, неподачи полуфабриката, из-за прогула рабочих, аварийного ремонта станков, то есть по причинам, полностью зависящим от нераспорядительности и бесхозяйственного отношения к использованию оборудования со стороны работников завода, со стороны его командиров. В результате за одну смену этим заводом недодано фронту 2 644 штуки различных снарядов. Директор этого завода т. Демидов, вместо устранения на самом заводе причин, мешающих нормальной работе по выполнению установленного плана, 28 мая направил в обком партии докладную, в которой сообщает, что на имеющемся оборудовании завод может ежесуточно выпускать всего только: детали №4 -600 штук, детали № 7 - 350 штук, детали № 10 - 650 штук, и то при условии бесперебойного снабжения качественным инструментом и тиражными деталями приспособлений. А для выполнения программы в 1 200 единиц в сутки по детали № 4 ему необходимо дополнительно дать 15 станков. Подписывая эту заявку на станки, т. Демидов допустил серьезную ошибку, не изучив предварительно мощности завода. Не успели, как говорят, еще высохнуть чернила, как оказывается, что в тот же самый день, т.е. 28 мая, рабочие изготовили на имеющемся оборудовании: детали № 4 - 675 штук, детали № 10 — 708 штук и на следующий день соответственно: детали № 4 — 850 штук, детали № 10 — 720 штук, а затем вскоре без всякого дополнительного оборудования выпуск детали № 4 был доведен до 1 100 штук в сутки. Если выпуск деталей на имеющемся оборудовании увеличен почти вдвое, то наверняка можно сказать, что при надлежащем руководстве со стороны директора и парторганизации отдача от станков на заводе W? 65 может быть значительно увеличена и на том же оборудовании можно намного увеличить выпуск снарядов. Это как раз и случилось. В июне месяце производство изделий на этом заводе увеличилось в 2-3 раза против мая. Эти успехи не пришли самотеком, тов. Демидов действительно поработал так, как подобает работать руководителю-большевику. О том, насколько неблагополучно обстоит дело с нарушениями трудовой дисциплины и прогулами на предприятиях, свидетельствует такой факт, когда за 5 месяцев 1942 года в суды области поступило 24 844 дела и за самовольный уход с предприятий 5 610 дел. Некоторые руководители тешат себя тем, что количество прогулов против довоенного времени сократилось, и все еще руководствуются средне-арифметическими довоенными цифрами, проявляя здесь ничем не прикрытое настроение тылового благодушия и забывая о том, что прогулы в военные время - явление совершенно нетерпимое и ни с одним фактом прогула руководители не имеют права мириться. Многие наши директора, да и руководители партийных организаций, свою роль в борьбе с прогульщиками часто сводят к одному -- отдать под суд. А суды, кстати сказать, до того мягкосердечны к прогульщикам и дезертирам производства, что часть из них месяцами, а то и полугодиями не привлекаются к ответственности. Немалые потери рабочего времени происходят у нас на многих предприятиях из-за неупорядоченности работы столовых, общежитий, трамвая, бань, парикмахерских и других социально-бытовых учреждений. Огромное количество рабочей силы, которое принял за последние 8 месяцев комбинат № 179, как вы знаете, мобилизовала вся область (наши города, районные центры, колхозы </w:t>
      </w:r>
      <w:r w:rsidRPr="001E2C69">
        <w:rPr>
          <w:rFonts w:ascii="Times New Roman" w:hAnsi="Times New Roman"/>
          <w:color w:val="000000" w:themeColor="text1"/>
          <w:sz w:val="16"/>
          <w:szCs w:val="16"/>
        </w:rPr>
        <w:lastRenderedPageBreak/>
        <w:t xml:space="preserve">и даже предприятия). Руководителям комбината оставалось только проявить должную заботу по приему рабочей силы и бытовому ее устройству. Однако с этой работой руководители комбината не справились, в том числе и заместитель наркома боеприпасов т. Ивановский недооценил значения этого дела, передоверил его второстепенным лицам. Некоторой части мобилизованных для работы на комбинате, особенно девушкам, были созданы совершенно нетерпимые бытовые условия, в результате чего только за последние три месяца ушло с заводов комбината около 1 000 молодых рабочих. Почему это произошло? Да потому, что руководители комбината № 179 закрывают глаза на полную запущенность работы в жилищно-коммунальном управлении, на засоренность состава работников жилищных и бытовых учреждений сомнительными и чуждыми людьми, всевозможного рода ворами и расхитителями имущества. В общежитиях этого комбината в числе расхищенного более чем на один миллион рублей имущества было, например, такое, как одеяла, простыни, наволочки, подушки, кровати, т.е. как раз то имущество, недостаток которого особенно остро испытывал на себе мобилизованный на комбинат рабочий. О том, насколько бездушно и нечутко относились некоторые руководители предприятий к квалифицированным рабочим, свидетельствует известное областному активу дело о приеме и устройстве ленинградских рабочих, в результате которого бюро обкома ВКП(б) вынуждено было снять с постов и привлечь к ответственности большую группу руководителей областных и городских организаций, проявивших исключительно хамское отношение к рабочим города Ленина. Очень многие руководители предприятий сами жилья не строят. О подсобном хозяйстве не заботятся, транспорт не приобретают и не восстанавливают имеющийся, а продолжают писать в различных вариантах красноречивые записки о необходимости предоставления им готовых жилых домов, мобилизации транспорта для нужд предприятий, выделения им особых фондов питания и т.д. Подобного рода руководители, как правило, заканчивают свои трактаты так: «Непредоставление того-то и ... того-то повлечет за собой невыполнение очень важных заданий Государственного Комитета Обороны». Экономия средств, сырья, материалов, инструмента, электроэнергии - это дополнительное количество боеприпасов для фронта. Борьба за строжайшую экономию во всем должна вестись непрерывно, неослабно, должна стать незыблемым законом военного времени для каждого советского человека. Огромный ущерб в использовании мощностей наносят аварии станков и оборудования. Анализ показывает, что в большинстве случаев аварии станков происходят из-за невнимательного ухода, несоблюдения технического режима станков, а также из-за отсутствия своевременного планово-предупредительного ремонта. Например, на заводе JM» 208 металлорежущие станки, как правило, работают без охлаждения; на заводе № 644 охлаждение у многих станков бездействует. На многих заводах не установлен порядок выдачи инструктивной технической карты и не задается режим станка. Ремонт станков, как общее явление для многих предприятий, производится лишь в экстренных случаях, в связи с аварией и нередко длится многие дни. Например, на заводе имени Чкалова ремонт станка продолжается 10—12 дней, в результате чего ежедневно простаивают до 80 станков. Руководители многих заводов мало утруждают себя тем, чтобы перенести, применительно к своему оборудованию, высокопроизводительную технологию других предприятий, а «мудрят», затрачивая на это непомерно много времени, сил и средств, и не дают по этой причине фронту продукции. Вот вам пример: решением ГКО заводу № 296 было поручено организовать у себя выпуск артиллерийских панорам. Эти панорамы уже много лет тому назад освоены заводом № 69, на них разработана подробная технология, тщательно проверенная многолетним опытом. Технологическая документация была полностью передана заводу № 296, оказывалась также необходимая техническая консультация специалистами 69[го] завода. И что же? Вместо того, чтобы внедрить у себя проверенную технологию, главный технолог завода Шнейгауз, с санкции директора завода т. Бермана, начал «мудрить», придумывать «новости». Несмотря на категорическое запрещение заказчика, заменил один материал другим, и в результате освоение панорамы на заводе № 296 тянется недопустимо долго. Неоднократно устанавливаемые ГКО сроки сдачи продукции систематически срываются. Из этих данных с очевидностью вытекают следующие выводы: о большой нетерпимой текучести рабочей силы, переливе ее из одних предприятий в другие; о неосновательности ссылок на недостаток рабочей силы в связи с мобилизацией в РККА; несмотря на существующие указы Президиума Верховного Совета, о чрезвычайно большом количестве лиц, уволенных по собственному желанию; о росте числа прогульщиков. Текучесть рабочей силы в мирное время была нетерпимым явлением, тем более она не должна иметь места в условиях военной обстановки. Борьба за закрепление рабочей силы, борьба за постоянный состав рабочих — боевая неотложная задача всех хозяйственных руководителей, всех партийных организаций области. Для того чтобы закрепить постоянный состав рабочих на предприятиях, необходимо создать условия, и в первую очередь обеспечить правильную систему зарплаты. Однако некоторые хозяйственные и партийные руководители этого до сих пор еще не понимают. Так, одной из причин ухода мобилизованных девушек с завода № 65 является несвоевременный перевод учеников в высшие разряды. Девушки прошли ученическую подготовку, научились работать, получили квалификацию, однако их искусственно держат в разряде учеников. В связи с этим их материальное положение не улучшается. Ненормальным явлением как комбината № 179, так и многих других предприятий является низкий процент сдельщины и применения прогрессивной системы в заработной плате. Например, было охвачено сдельщиной в мае месяце по заводу № 325 — 43 процента, по заводу № 590 - 54 процента, по заводу № 556 - 63 процента. На комбинате №179 количество сдельщиков в мае составляет 63 процента, на заводе №617-31,9 процента. Колоссальные резервы мощностей заводов кроются не только в простоях оборудования, установленного и не установленного, не только в невыполнении норм выработки. На предприятиях нашей области имеет место совершенно недопустимое в военных условиях ослабление борьбы с нарушениями трудовой дисциплины. При проверке 2 июня завода № 1 установлено, что в этот день не вышел на работу по разным уважительным и неуважительным причинам 351 человек. На заводе имени Воскова в этот же день не вышло на работу 209 человек. На заводе имени Чкалова только в одном 3-м цехе 30 мая не вышли на работу с разрешения администрации 83 рабочих, в цехе №90 -28 рабочих, в механическом цехе № 1 - 19 рабочих, а в целом по заводу 180 человек не вышли на работу с разрешения администрации. От таких отпусков «благодетелей» заводом имени Чкалова недодано фронту только за май месяц несколько самолетов. Другими словами, директор встал на путь нарушения закона, чего мы не можем разрешить никому. На заводе № 590 только так называемые административные отпуска за 5 месяцев составили 1 176 человеко-дней, на заводе № '617 — 1 236 человеко-дней. По заводам комбината №179-61 496 человеко-дней. Большие достижения в совершенствовании технологии и повышении производительности труда принадлежат тысячникам, многосот-никам, многостаночникам, рабочим, совмещающим несколько профессий,- всем гвардейцам трудового фронта, вскрывшим огромные резервы повышения производительности труда, резервы, которые используются нами пока еще неудовлетворительно. За последние месяцы на наших заводах резко возросло число многосотников и тысячников, новаторов производства, смело ломающих установленные каноны и обычаи. Так, завод имени Чкалова вырастил в своих рядах 277 тысячников и больше 4 000 двухсотников, почти половина всех рабочих завода № 69 является стахановцами. Число этих примеров можно было бы умножить, но и приведенные факты говорят сами за себя. Широко известны достижения инициатора движения тысячников в нашей области тов. Ширшова, токаря завода имени Чкалова Бориса Зенкова, дающего свыше 10 000 % нормы, шруповщика завода № 69 тов. Афанасьева, достигшего производительности почти в 7 000 % нормы, фрезеровщика Давыдова с завода № 350, Таллалова, Лисенкова и многих других передовиков. Недавно в нашей печати были опубликованы данные о подлинно стахановской работе слесаря-инструментальщика т. Таллалова (с комбината № 179). Тов. Таллалов 30 мая применил оригинальное приспособление на производстве клейм и выполнил 212 норм, заменив таким образом 212 рабочих. Вместо 8 минут, затрачиваемых раньше на изготовление одного клейма, тов. Таллалов затрачивает на эту операцию сейчас немного больше 2 секунд. Вслед за ним 31 мая другой слесарь-инструментальщик этого же завода т. Лисенков, используя приспособление т. Таллалова, за 1 ч. 22 мин. изготовил 44 тысячи клейм, т.е. затратил на изготовление одного клейма меньше 2 секунд. За несколько часов работы тт. Лисенков и Таллалов сделали такое количество клейм, которое обычно выполнялось за 1,5—2 месяца, а ведь клейма изготовляются в больших количествах на всех или почти на всех наших предприятиях. Методы работы тт. Ширшова, Марцинкевича, Гуцулюка и других на токарных, фрезеровочных и шлифовальных работах, позволяющие им выполнять по 30 норм в смену, дают возможность освободить огромное количество слесарей, фрезеровщиков и шлифовальщиков на предприятиях нашей промышленности для других работ. Так, например, только тт. Ширшов и Марцинкевич за май месяц сделали работы столько, сколько обычно на этом заводе выполняли раньше 367 токарей. Но мы не можем за деревьями не замечать леса, не можем не видеть того, что стахановцев на наших предприятиях по сравнению со всей массой рабочих, занятых на промышленных предприятиях, еще мало. Так, общее число стахановцев на всех промышленных предприятиях города Новосибирска в мае месяце было всего лишь 27 процентов к общему числу рабочих. Из них многосотников - 7,6 процента, многотысячников -пока первые сотни. Двадцатников, оканчивающих месячное задание к 20 числу месяца, насчитывается 4 056 человек, причем большинство их на предприятиях местной промышленности и промкооперации. При общем росте производительности труда на предприятиях области в течение I квартала почти на 25 процентов многие крупные предприятия еще далеко не достигли установленного для них уровня производительности труда. Так, выработка продукции на одного рабочего за I квартал 1942 года составила ... по заводу имени Чкалова - 86,3 процента к плану, по заводу № 65 — 41,4 процента к плану, по комбинату № 179 — 77,1 процента к плану. Причиной низкой производительности труда является в первую очередь невыполнение государственных норм рабочими. Не выполняющие нормы выработки по отношению только к общему числу сдельщиков по отдельным предприятиям за май месяц составляют: по комбинату № 179 - 16,4 процента, по заводу № 325 - 25,6 процента, по заводу № 635 — 18,3 процента, по заводу .№ 69 - 15,3 процента, по заводу имени Чкалова — 14,0 процента, по заводу № 208 — 17,0 процента, по заводу № 644 - 16,4 процента. На заводе № 296 до 40 процентов рабочих не выполняют норм, на заводе № 65 около 60 процентов рабочих, не выполняющих норм. В общей сложности во всей промышленности нашей области наберутся десятки тысяч рабочих, которые не выполняют установленных норм выработки. Только по предприятиям города Новосибирска насчитывается свыше 10 тыс. рабочих, не выполняющих норм. А это значит, что десятки тысяч рабочих недодают весьма значительную долю продукции, нужную для страны и для фронта. Одной из причин невыполнения норм и низкой производительности труда является недостаточная квалификация рабочих в связи с тем, что в большинстве они, пришедшие недавно на производство, еще не приобрели этой квалификации. Для повышения квалификации рабочих есть один путь - это настойчивое производственное обучение рабочих. Предприятия, вступившие на этот путь, добились отличных результатов. Тот же завод № 69, где производственное обучение рабочих во всех формах поставлено широко, имеет и производительность труда значительно выше многих предприятий. Например, в феврале по отношению к плану января 1942 года производительность труда на этом заводе составила 162,4 процента, в марте - 154,1 процента, в апреле - 182,7 процента. На предприятиях области развернулась большая работа по обучению рабочих в стахановских школах индивидуальным и групповым обучением, но сделано еще очень мало. За пять месяцев по городу Новосибирску обучено 12 000 человек. Получила же промышленность ... новых рабочих за это время много больше. Кроме того, анализ работы школ по городу Новосибирску показывает, что они работают еще недостаточно эффективно и к внутреннему содержанию их работы внимание руководящих работников цехов и заводов не приковано. Мало набрать рабочих. Для того, чтобы обеспечить наши предприятия рабочей силой и добиться выполнения </w:t>
      </w:r>
      <w:r w:rsidRPr="001E2C69">
        <w:rPr>
          <w:rFonts w:ascii="Times New Roman" w:hAnsi="Times New Roman"/>
          <w:color w:val="000000" w:themeColor="text1"/>
          <w:sz w:val="16"/>
          <w:szCs w:val="16"/>
        </w:rPr>
        <w:lastRenderedPageBreak/>
        <w:t>норм выработки каждым рабочим, необходимо закрепить рабочих за производством и сделать состав рабочих на предприятиях постоянным. За период военного времени в составе рабочей силы Новосибирской области произошли известные изменения; часть рабочих мобилизована в Красную Армию, на смену им пришла молодежь, пришли женщины, девушки из деревень и городов. Со стороны партии и правительства для обеспечения промышленности и транспорта рабочей силой принят целый ряд мер, изданы указ о мобилизации городского неработающего населения, указ об ответственности рабочих за самовольный уход с оборонных предприятий, организована широкая сеть ремесленных училищ и ФЗО, отпускаются значительные средства предприятиям непосредственно для организации различных школ и проведения курсовых мероприятий по подготовке и переквалификации рабочей силы. Однако в результате очень слабой борьбы партийных, профсоюзных и хозяйственных руководителей за закрепление рабочей силы на отдельных предприятиях, за выполнение указов правительства, в нашей области происходит колоссальная текучесть рабочей силы. На значительном количестве предприятий области чрезмерно велики потери времени из-за неорганизованности общественного питания. Очереди и простои в столовой происходят из-за близорукости некоторых директоров, до сих пор не принимающих должных мер по обеспечению столовых посудой, мебелью, всем необходимым, чтобы устранить эти очереди и потери времени. На заводе № 65 рабочие затрачивают на обеды по 2 и больше часа, потому что в столовых несвоевременно приготовляют пищу. Огромной движущей силой в борьбе за дальнейший подъем производительности труда в нашей стране является социалистическое соревнование и стахановский труд. Руководство соцсоревнованием отнюдь не означает формальное принятие условий соревнования заводом, цехом, бригадой, рабочим. Само принятие обязательств не решает успеха дела. Соревнование даст свои результаты лишь тогда, когда партийные организации поднимут активность рабочих, обеспечат их готовность, закалят их волю к полному выполнению обязательств. А этого можно добиться лишь при работе с каждой группой рабочих, с каждым рабочим в отдельности. В нашей области есть много предприятий, где правильно поняли задачи социалистического соревнования и правильно его организовали, используя различные новые формы соревнования. Например, на ряде заводов — № 1 и № 5 комбината № 179 и других - применяются ... фронтовые задания, сатирические листовки, остро бичующие недостатки работы, газеты-многотиражки, бюллетени с трудового фронта, цеховые радиопередачи примеров высокой производительности труда, показ на киноэкране методов работы многосотников и тысячников. Цехам ежедекадно передаются заводские переходящие Красные знамена, организуются бригады имени героев Отечественной войны, фронтовые бригады и смены, производится передача на хранение областных и городских переходящих Красных знамен лучшим цехам, 15-минутки на стыках смен, фотовитрины выдающихся стахановцев с показателями их работы и т.д. В цехе висят плакаты: «Большевистское спасибо т. Алексеевой, давшей 320 процентов своего дневного задания!», «Равняйтесь все по т. Иванову, выполнившему 1 020 процентов нормы!» и т.д. Плакаты эти вывешиваются сразу же после достижения рабочим рекордной выработки и имеют большое мобилизующее значение. В ряде цехов многих заводов широко распространены плакаты с технологическим описанием метода, пользуясь которым тысячники добивались рекордной выработки. В этих плакатах показана технологическая схема старого метода обработки, затем дано описание внесенного усовершенствования и нового метода обработки детали. Такие плакаты пользуются популярностью и способствуют выращиванию новых тысячников. В развертывании социалистического соревнования имеется довольно пестрая картина. Есть бригады, цеха, предприятия, где социалистическое соревнование стало действительно фактором, движущим рост производительности и выполнения планов выпуска продукции. Но есть бригады, цеха, даже на предприятиях инициаторах Всесоюзного социалистического соревнования, которые еще по-настоящему не включились в социалистическое соревнование. Вот, например, завод № 188. Коллектив этого завода взял обязательство во Всесоюзном соревновании программу II квартала выполнить 28 июля сего года. Этого обязательства коллектив не выполнил. На 1 июля программа выполнена на 99 процентов, а июньская программа -всего лишь на 80,2 процента. Коллектив цеха X? 22 этого завода взял обязательство июньский план выполнить к 28 июня на 105 процентов, а фактически к 1 июля выполнил его на 50,5 процента. Товарищи, наша область - крупнейшая индустриальная, военная и продовольственная база Советского Союза. Наша область в числе других областей обеспечивает победу Красной Армии на фронте и окончательный разгром германского фашизма. Это обстоятельство учтено гермайскими фашистами и их агентурой. Германское командование через разведывательные органы всячески изощряется и выискивает средства и пути для ослабления нашего тыла. Вражеские шпионы, диверсанты и лазутчики стремятся любыми способами проникнуть не только в прифронтовую полосу, но и в наш глубокий тыл с тем, чтобы какими угодно средствами поколебать единство советского народа и подорвать его экономическую силу. Поэтому сегодня на пленуме областного комитета партии вопрос о бдительности и беспощадной борьбе с благодушием, беспечностью, разгильдяйством и ротозейством в наших рядах должен быть поднят с еще большей силой, с еще большей остротой, с еще большей суровой критикой, с разоблачением конкретных носителей этого зла, равносильного в условиях военного времени, в условиях сложившейся обстановки прямому предательству и измене нашей Родине. В связи с этим я должен сообщить пленуму, что наша Новосибирская область является объектом самой активной агрессии фашистов и их союзников. Вот вам факты. Недавно поймали одного из диверсантов, заброшенного в октябре 1941 года в нашу область. Этот диверсант для выполнения задания гестапо устроился на заводе имени Чкалова и готовил большую по замыслам и размеру диверсию на заводе. Такой же диверсант, заброшенный немцами, был недавно задержан и разоблачен чекистами на комбинате № 179, куда он устроился на работу для того, чтобы собрать интересующие немцев сведения и подготовить взрыв. Нашими наркомвнудельцами пару месяцев тому назад была раскрыта шпионская подрывная организация, действовавшая по заданиям германской разведки. Эта организация была создана немцами в Новосибирской области за несколько месяцев до войны. В организацию гестаповцами были завербованы троцкисты, бывшие белые офицеры, кулаки, пробравшиеся на военные заводы нашей области. Эти предатели, продавшиеся гестапо, передавали врагу сведения о нашей промышленности и по указанию своих хозяев готовили взрывы на крупнейших предприятиях ... Эта организация не совершила этих диверсионных актов лишь потому, что наши чекисты не прозевали и своевременно эту организацию арестовали. На один из военных заводов нашей области пробрался под видом политэмигранта, члена французской компании германский шпион Ш. О том, как он попал в Советский Союз и с какими целями, при допросе показал: «В апреле 1941 года я получил визу на выезд в Советский Союз и явился к обер-лейтенанту Бернгард. Последний дал мне инструкции, указав, что гестапо прежде всего интересует состояние Красной Армии, ее вооружение, а также работа военных заводов. Бернгард дал мне указания, — рассказывает шпион Ш. — добиваться создания к себе соответствующего доверия и авторитета. В этом направлении я должен был использовать свою "принадлежность" к французской компартии и пребывание в рядах республиканской армии в Испании; рассказать, что я вынужден был бежать из Франции по причинам преследования меня, как еврея, и спасения от репрессий со стороны полиции за революционную деятельность». Этот шпион в начале войны вместе с эвакуированными прибыл в Новосибирскую область и успел из среды антисоветских элементов навербовать агентуру, готовясь к проведению диверсионных актов в военной промышленности. Этому шпиону не удалось привести свой план в действие только лишь потому, что наши чекисты не прозевали и своевременно его и созданную им агентуру арестовали. Не так давно наши чекисты вскрыли группу так называемых «вырвавшихся из окружения немцев», как они себя зарекомендовали. Последующая проверка показала, что эти уголовники бежали из лагерей и в районе Днепропетровска перешли к немцам. На следствии они показали, что немцами были приняты хорошо и им даже было разрешено в течение нескольких дней грабить и убивать советских граждан. Затем этих грабителей немцы поместили в специальную школу, где они прошли курс обучения по шпионажу и подрывной работе, а затем были переброшены с заданием - пробраться в тыл, устроиться на военных заводах, устраивать пожары, ломать станки, производить крушения железнодорожных поездов и так далее. Как видите, для германской разведки расстояние не имеет значения, что у нас, в так называемом глубоком тылу, не так уже все спокойно. Однако это еще не все. Есть еще другое государство, которое с нами не воюет, но готовится к войне, а в связи с этим готовится к подрывной, диверсионной и террористической борьбе опять же в нашем тылу и, в частности, в нашей Новосибирской области. Я не буду называть это государство, но приведу несколько фактов из деятельности разведки этого государства. В 1942 году в Новосибирске вскрыта шпионская организация разведки этого же государства, которая была создана по указанию консульства, находящегося в Новосибирске. Путем подкупа, шантажа и разложения молодежи, работающей на военных заводах, агенты разведки вербовали свою агентуру, покупали от них секретные сведения как о промышленности, так и о Красной Армии. Наряду со шпионажем, эта организация с началом войны на востоке против Советского Союза должна была проводить подрывную деятельность.</w:t>
      </w:r>
    </w:p>
    <w:p w14:paraId="4CC3FB6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Секретарь Новосибирского обкома ВКП(б) М. Кулагин</w:t>
      </w:r>
    </w:p>
    <w:p w14:paraId="1590507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ГАНО. Ф. П-4. Оп. 33. Д. 520. Л. 4-8, 10-11, 13, 16-17, 20. 21, 32-33. Копия. Типографский экземпляр (12159).</w:t>
      </w:r>
    </w:p>
    <w:p w14:paraId="5C6BF252"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43C0EC1"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июля 1942 вышло Распоряжение ГКО № 1947 [О направлении на московские заводы, изготовляющие 82 мм мины и спецстанки для их обработки, 1200 слушателей Московского учебно-курсового института обкома Союза работников высшей школы.] (7039, 94).</w:t>
      </w:r>
    </w:p>
    <w:p w14:paraId="7F0EC937"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4A51A4"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июля 1942 вышло Постановление ГКО № 1948 Об ответственности железнодорожных служащих за сохранность перевозимых по железным дорогам народнохозяйственных грузов в военное время. (7039, 95-96).</w:t>
      </w:r>
    </w:p>
    <w:p w14:paraId="3F2AFAC9"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E3D4B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июля 1942 вышло Постановление ГКО № 1949 Об организации ремонта 203 мм гаубиц образца 1931 г. Б-4 на заводах Наркомвооружения. РГАНИР, Фонд ГКО, д. 40, лл. 97-97об (11012).</w:t>
      </w:r>
    </w:p>
    <w:p w14:paraId="35659A8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E5D954"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июля 1942 вышло Постановление ГКО № 1950 Об обеспечении Дальневосточной армии и Тихоокеанского флота аккумуляторными батареями для подводных лодок, танков и самолетов. (7039, 98-99,100-102).</w:t>
      </w:r>
    </w:p>
    <w:p w14:paraId="2DCF2C68"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E750C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июля 1942 вышло Постановление ГКО № 1951 О т.т. Колонине С.Е. и Иванченко З.Ф. РГАНИР, Фонд ГКО, д. 40, лл. 103 (11012).</w:t>
      </w:r>
    </w:p>
    <w:p w14:paraId="681372B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255ADB"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Армия:</w:t>
      </w:r>
    </w:p>
    <w:p w14:paraId="2D1B651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02F669"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lastRenderedPageBreak/>
        <w:t>2 июля</w:t>
      </w:r>
      <w:r w:rsidRPr="001E2C69">
        <w:rPr>
          <w:rFonts w:ascii="Times New Roman" w:hAnsi="Times New Roman"/>
          <w:color w:val="000000" w:themeColor="text1"/>
          <w:sz w:val="16"/>
          <w:szCs w:val="16"/>
        </w:rPr>
        <w:t xml:space="preserve"> в 1942 году утреннее сообщение Совинформбюро:</w:t>
      </w:r>
    </w:p>
    <w:p w14:paraId="7FB3CAB2"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2 июля на Курском и Севастопольском направлениях наши войска вели бои с противником.</w:t>
      </w:r>
    </w:p>
    <w:p w14:paraId="2F74037B"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10B6400E"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Курском направлении наши войска отбивали атаки немецко-фашистских войск и нанесли противнику большие потери. За два дня части под командованием тов. Пухова уничтожили 39 немецких танков и бронемашин, 64 миномёта, 24 орудия, 6автомашин и 36 повозок с боеприпасами. На этом участке противник потерял убитыми до 7.000 солдат и офицеров. Красноармейцы и командиры проявляют величайшее мужество и отвагу в борьбе с гитлеровцами. Когда у миномётчиков младшего лейтенанта Сорокина был израсходован весь запас мин, бойцы начали бить немцев из винтовок. Младший лейтенант Сорокин уничтожил 25 гитлеровцев, красноармейцы тов. Реус — 35, тов. Гасанов — более 30 гитлеровцев. Младший лейтенант Паршин из пулемёта истребил 60 немцев. Артиллерийская батарея старшего лейтенанта Пантелеева подверглась ожесточённой бомбардировке 20 немецких самолётов. Вслед за этим пехота противника перешла в наступление. Наши артиллеристы смело встретили врага. Ведя огонь прямой наводкой, они уничтожили до 400 солдат и офицеров противника. Успешно действует на Курском направлении наша авиация. В течение дня сбито 28 немецких самолётов.</w:t>
      </w:r>
    </w:p>
    <w:p w14:paraId="3AC41FAB"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Неувядаемой славой покрыли себя защитники Севастополя. Они стойко и мужественно обороняют от немецко-фашистских захватчиков каждую пядь советскойземли. Противник крупными силами предпринял атаку на участок подразделения тов. Торбуна. Наши бойцы бросились в контратаку и уничтожили до роты гитлеровцев. Миномётная батарея старшего лейтенанта Мельченко уничтожила свыше 150 солдат и офицеров противника. Краснофлотцы тт. Киселёв, Новицкий Я Корван подбили тяжёлый немецкий танк. Командир противотанковой пушки тов. Джаман сбил немецкий самолёт «Хеншель-126».</w:t>
      </w:r>
    </w:p>
    <w:p w14:paraId="10FFC102"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Бойцы мотострелкового подразделения тов. Пузыревского (Юго-Западный фронт) в течение двух дней отражали атаки численно превосходящих сил противника. Потеряв до 1.000 человек убитыми и ранеными, немцы отступили на исходные позиции.</w:t>
      </w:r>
    </w:p>
    <w:p w14:paraId="3E9C340E"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Разведывательная группа одной нашей части (Южный фронт) уничтожила 268 солдат и офицеров противника. Нашими бойцами захвачены 8 пулемётов и пленные.</w:t>
      </w:r>
    </w:p>
    <w:p w14:paraId="0985DE1F"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Шесть наших лётчиков-истребителей из части тов. Клещёва в воздушном бою сбили 6 немецких бомбардировщиков.</w:t>
      </w:r>
    </w:p>
    <w:p w14:paraId="6FA7075A"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под командованием тов. Д., действующий в одном из оккупированных немцами районов Калининской области, на днях совершил налёт на посадочную площадку самолётов противника. Партизаны перебили охрану и сожгли два разведывательных немецких самолёта.</w:t>
      </w:r>
    </w:p>
    <w:p w14:paraId="75D1FB75"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Партизаны отряда тов. О., действующие в одном из районов Орловской области, за два месяца истребили до 1.000 немецких оккупантов, уничтожили 16 повозок, 37 автомашин, взорвали склад с боеприпасами и пустили под откос 8 эшелонов противника. В боях с немецкими захватчиками партизаны захватили винтовки, пулемёты, миномёт и несколько тысяч патронов.</w:t>
      </w:r>
    </w:p>
    <w:p w14:paraId="13A8A9C6"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Немецкий обер-ефрейтор Пауль Кремд писал недавно из Могилёва унтер-офицеру Густаву Кнорру: «Каждый день в военную тюрьму прибывают новые группы арестованных. Все камеры переполнены. Сегодня в моё дежурство доставили фельдфебеля, дезертировавшего из части. В французскую кампанию мы с ним служили в одной роте. Он держался очень развязно и насмешливо сказал: «Приготовьте хорошие квартиры, к вам идёт пополнение. Отвоевавшиеся солдаты идут на отдых в тюрьму». В ночь на воскресенье из тюрьмы сбежали пять дезертиров, приговорённых к смертной казни... Здесь очень неспокойно. Каждый день исчезают автомобили, повозки, лошади. Вчера украли два «Мерседеса», а недавно кто-то увёл штабную машину... Жители ненавидят нас».</w:t>
      </w:r>
    </w:p>
    <w:p w14:paraId="4885C48E"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лесах у города Соданкюля (Финляндия) скрываются вооружённые группы финских солдат, дезертировавших с фронта. Эти солдаты называют себя «лесной гвардией». Они недавно напали на отряд шюцкоровцев и немецких солдат. В завязавшейся схватке убито 18 немцев и 5 шюцкоровцев. Недавно группа «лесной гвардии» совершила вылазку в город Соданкюль и увела с собой в лес двух немецких офицеров.</w:t>
      </w:r>
    </w:p>
    <w:p w14:paraId="4ED25B32"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где директором тов. Кисурин, был эвакуирован из прифронтовой полосы в глубокий тыл. На новом месте коллектив завода выпускает боеприпасов в два раза больше, чем раньше. Июньский план заводом выполнен за семь дней до срока.» (14940).</w:t>
      </w:r>
    </w:p>
    <w:p w14:paraId="77015E4F" w14:textId="77777777" w:rsidR="00B01B21" w:rsidRPr="001E2C69" w:rsidRDefault="00B01B21" w:rsidP="00722885">
      <w:pPr>
        <w:spacing w:after="0" w:line="240" w:lineRule="auto"/>
        <w:jc w:val="both"/>
        <w:rPr>
          <w:rFonts w:ascii="Times New Roman" w:hAnsi="Times New Roman"/>
          <w:color w:val="000000" w:themeColor="text1"/>
          <w:sz w:val="16"/>
          <w:szCs w:val="16"/>
        </w:rPr>
      </w:pPr>
    </w:p>
    <w:p w14:paraId="0A8BF20A"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2 июля</w:t>
      </w:r>
      <w:r w:rsidRPr="001E2C69">
        <w:rPr>
          <w:rFonts w:ascii="Times New Roman" w:hAnsi="Times New Roman"/>
          <w:color w:val="000000" w:themeColor="text1"/>
          <w:sz w:val="16"/>
          <w:szCs w:val="16"/>
        </w:rPr>
        <w:t xml:space="preserve"> в 1942 году вечернее сообщение Совинформбюро:</w:t>
      </w:r>
    </w:p>
    <w:p w14:paraId="35D12E7E"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2 июля на Курском направлении наши войска весь день вели крупные танковые бои с противником.</w:t>
      </w:r>
    </w:p>
    <w:p w14:paraId="34F16ED7"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Белгородском и Волчанском направлениях завязались упорные бои наших войск с наступающими немецко-фашистскими войсками.</w:t>
      </w:r>
    </w:p>
    <w:p w14:paraId="2D360A7E"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Севастопольском участке фронта наши войска вели ожесточённые рукопашные бои с противником на окраине города.</w:t>
      </w:r>
    </w:p>
    <w:p w14:paraId="0D3D5C31"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0606842B"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1 июля частями нашей авиации на различных участках фронта уничтожено или повреждено несколько десятков немецких танков, более 300 автомашин с войсками игрузами, около 40 подвод с боеприпасами, взорваны 3 склада с боеприпасами и один склад с горючим, рассеяно и частью уничтожено до четырёх батальонов пехоты противника.</w:t>
      </w:r>
    </w:p>
    <w:p w14:paraId="43091A39"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Упорные бои на одном из участков Юго-Западного фронта вела наша танковая часть. В течение дня танкисты уничтожили свыше 1.000 немецких солдат и офицеров, подбили и сожгли 16 танков противника. В этом бою командир тов. Кановин своим танком уничтожил четыре немецких машины. На другом участке пятьдесят немецких танков пытались прорваться в расположение наших войск. Девять отважных бронебойщиков из истребительного отряда старшего лейтенанта Шанцева открыли огонь и подожгли 7 немецких танков.</w:t>
      </w:r>
    </w:p>
    <w:p w14:paraId="4F3FC3D0"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отдельных участках Западного фронта артиллерийским огнём наших частей разрушено 10 немецких ДЗОТов и блиндажей, взорвано минное поле, подавлен огонь 5 миномётных и одной артиллерийской батарей, рассеяно и частично уничтожено несколько групп вражеской пехоты общей численностью до трёх батальонов.</w:t>
      </w:r>
    </w:p>
    <w:p w14:paraId="5C47EADC"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Пехота противника, поддержанная авиацией и 40 танками, перешла в наступление на одном из участков Калининского фронта. Ценой больших потерь гитлеровцам удалось потеснить наше боевое охранение и занять высоту. Бойцы части, где командиром тов. Тарасов, контрударом отбросили противника и снова овладели высотой. Подбито 6 немецких танков, сбит бомбардировщик противника. Гитлеровцы потеряли убитыми и ранеными свыше 200 солдат и офицеров.</w:t>
      </w:r>
    </w:p>
    <w:p w14:paraId="4E09F421"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Часть, действующая на одном из участков Ленинградского фронта, в трёхдневных боях с противником уничтожила до 300 немецких солдат и офицеров, 4 огневые пулемётные точки и обоз с боеприпасами и продовольствием. Наши артиллеристы подавили огонь миномётной и 5 артиллерийских батарей противника.</w:t>
      </w:r>
    </w:p>
    <w:p w14:paraId="6EE779A4"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Бойцы тт. Чуб и Бригневич огнём из винтовок сбили немецкий самолёт. На другом участке группа красноармейцев ружейно-пулемётным огнём уничтожила «Мессершмитт-109».</w:t>
      </w:r>
    </w:p>
    <w:p w14:paraId="413278BF"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Несколько партизанских отрядов, находящихся в Минской и Полесской областях Белоруссии, за время своей боевой деятельности уничтожили до 3.000 немецких оккупантов. Партизаны организовали крушение 13 железнодорожных эшелонов противника, уничтожили 140 автомашин и десятки складов с боеприпасами, горючим и продовольствием.</w:t>
      </w:r>
    </w:p>
    <w:p w14:paraId="484F0E14"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11 роты 61 полка 7 немецкой пехотной дивизии Иозеф Крексгаммер рассказал: «Зимой 7 дивизия понесла огромные потери. Полки были обескровлены. В ротах осталось очень мало людей. В 11 роте, например, насчитывалось всего лишь 30 солдат. В апреле прибыло пополнение, и наша рота получила 100 человек. 28 июня части дивизии атаковали позиции русских и пытались захватить важный оборонительный рубеж. Все атаки закончились неудачей. Нам нанесли тяжёлое поражение. Из 11 роты в живых осталось всего 10 раненых солдат».</w:t>
      </w:r>
    </w:p>
    <w:p w14:paraId="1BDBF52D"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мерзавцы истребляют мирное население в оккупированных советских районах. 11 июня гитлеровские бандиты загнали в болото 80 женщин, стариков и детей—жителей деревни Кузьмино, Смоленской области, и расстреляли их из автоматов. Немецкие захватчики дочиста ограбили крестьян деревни Шиловичи, а все дома и постройки сожгли. По приказу военных властей гитлеровцы скашивают на сено еще не созревшую рожь, обрекая население на голодную смерть.» (14940).</w:t>
      </w:r>
    </w:p>
    <w:p w14:paraId="60598601" w14:textId="77777777" w:rsidR="00B01B21" w:rsidRPr="001E2C69" w:rsidRDefault="00B01B21" w:rsidP="00722885">
      <w:pPr>
        <w:spacing w:after="0" w:line="240" w:lineRule="auto"/>
        <w:jc w:val="both"/>
        <w:rPr>
          <w:rFonts w:ascii="Times New Roman" w:hAnsi="Times New Roman"/>
          <w:color w:val="000000" w:themeColor="text1"/>
          <w:sz w:val="16"/>
          <w:szCs w:val="16"/>
        </w:rPr>
      </w:pPr>
    </w:p>
    <w:p w14:paraId="6576B937"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2 июля</w:t>
      </w:r>
      <w:r w:rsidRPr="001E2C69">
        <w:rPr>
          <w:rFonts w:ascii="Times New Roman" w:hAnsi="Times New Roman"/>
          <w:color w:val="000000" w:themeColor="text1"/>
          <w:sz w:val="16"/>
          <w:szCs w:val="16"/>
        </w:rPr>
        <w:t xml:space="preserve"> в 1942 году к концу дня противник продвинулся в полосе Брянского фронта на глубину 60 - 80 км и в полосе Юго-Западного фронта до 80 км, окружив западнее Старого Оскола часть сил 40-й и 21-й армий (14940).</w:t>
      </w:r>
    </w:p>
    <w:p w14:paraId="16AC5F8E" w14:textId="77777777" w:rsidR="00B01B21" w:rsidRPr="001E2C69" w:rsidRDefault="00B01B21" w:rsidP="00722885">
      <w:pPr>
        <w:spacing w:after="0" w:line="240" w:lineRule="auto"/>
        <w:jc w:val="both"/>
        <w:rPr>
          <w:rFonts w:ascii="Times New Roman" w:hAnsi="Times New Roman"/>
          <w:color w:val="000000" w:themeColor="text1"/>
          <w:sz w:val="16"/>
          <w:szCs w:val="16"/>
        </w:rPr>
      </w:pPr>
    </w:p>
    <w:p w14:paraId="6DDA85A1"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2 июля</w:t>
      </w:r>
      <w:r w:rsidRPr="001E2C69">
        <w:rPr>
          <w:rFonts w:ascii="Times New Roman" w:hAnsi="Times New Roman"/>
          <w:color w:val="000000" w:themeColor="text1"/>
          <w:sz w:val="16"/>
          <w:szCs w:val="16"/>
        </w:rPr>
        <w:t xml:space="preserve"> в 1942 году подводная лодка «С-7» под командованием С.П.Лисина вышла из Кронштадта в свой знаменитый поход. Спустя три дня она покинула Лавенсари. Лисину удалось быстро и скрытно форсировать Финский залив благодаря рискованному маневру — ночному переходу через минное поле «Юминда» в надводном положении. Уже вечером 7-го «эска» вышла из залива и направилась к Норчёпингской бухте. Необходимо отметить, что отведенная «С-7» позиция захватывала и территориальные воды Швеции, а в боевом приказе значилось: «Уничтожать все транспорты и неприятельские военные корабли, за Исключением военных кораблей шведского флота, атаки которых запрещаются». Такое указание объясняется использованием немцами шведских территориальных вод для перевозки стратегически важной железной руды. Кстати, первым нарушили нейтралитет шведы — утром 9 июля их патрульный самолет безуспешно атаковал заряжавшую аккумуляторы «С-7». В тот же день Лисин в отместку выпустил две торпеды в шведский пароход «Норег», но тот сумел уклониться. Вечером подлодка напала на оди</w:t>
      </w:r>
      <w:r w:rsidRPr="001E2C69">
        <w:rPr>
          <w:rFonts w:ascii="Times New Roman" w:hAnsi="Times New Roman"/>
          <w:color w:val="000000" w:themeColor="text1"/>
          <w:sz w:val="16"/>
          <w:szCs w:val="16"/>
        </w:rPr>
        <w:softHyphen/>
        <w:t xml:space="preserve">ночный транспорт. При выстреле торпеду зажало в аппарате, и второй залп пришлось делать уже из надводного положения. Погибший пароход «Маргарета» : 1272 брт) совершал рейс из Германии в Швецию с грузом угля. Утром 11 июля атаке подвергся очередной конвой. На этот раз торпеда поразила направлявшийся в рейх рудовоз «Лулео» (5611 брт) (Оба потопленных «С-7» шведских судна, вопреки утверждениям МИД Швеции, были торпедированы в 8 милях от суши, то есть за пределами 6-мильной зоны территориальных вод). Судно быстро затонуло, а шведские сторожевики «Снаппханен» и «Ягарен» сбросили на «С-7» 26 глубинных бомб, не причинивших ей никаких повреждений. К утру 5 августа, после четырехдневного поиска у западного побережья Моонзундских островов, «эска» вернулась к маяку Ужава. Спустя несколько часов Лисин обнаружил одиночный транспорт — финский пароход «Похьянлахти» (682 брт), шедший с грузом картофеля из Риги в Мянтилуото. Командир выпустил последнюю торпеду, но она изменила траекторию и прошла мимо. В распоряжении командира оставалось лишь 45-мм орудие. После первых же выстрелов </w:t>
      </w:r>
      <w:r w:rsidRPr="001E2C69">
        <w:rPr>
          <w:rFonts w:ascii="Times New Roman" w:hAnsi="Times New Roman"/>
          <w:color w:val="000000" w:themeColor="text1"/>
          <w:sz w:val="16"/>
          <w:szCs w:val="16"/>
        </w:rPr>
        <w:lastRenderedPageBreak/>
        <w:t>судно остановилось и спустило шлюпки. Поскольку оно долго не хотело тонуть («С-7» пришлось израсходовать 380 45-мм снарядов!), обстрел продолжали в течение часа. 9 августа практически безоружная субмарина получила разрешение возвращаться в базу. Переход был совершен в рекордно короткие сроки. Уже вечером 11-го лодка всплыла в 2 милях от Лавенсари и на следующий день оказалась в Кронштадте. Это был самый успешный поход советской ПЛ. Швеция на месяц приостановила вывоз железной руды в Германию. Немцы были вынуждены разработать целый комплекс мер по недопущению проникновения советских лодок к берегам Швеции (14940).</w:t>
      </w:r>
    </w:p>
    <w:p w14:paraId="7345506B" w14:textId="77777777" w:rsidR="00B01B21" w:rsidRPr="001E2C69" w:rsidRDefault="00B01B21" w:rsidP="00722885">
      <w:pPr>
        <w:spacing w:after="0" w:line="240" w:lineRule="auto"/>
        <w:jc w:val="both"/>
        <w:rPr>
          <w:rFonts w:ascii="Times New Roman" w:hAnsi="Times New Roman"/>
          <w:color w:val="000000" w:themeColor="text1"/>
          <w:sz w:val="16"/>
          <w:szCs w:val="16"/>
        </w:rPr>
      </w:pPr>
    </w:p>
    <w:p w14:paraId="452B1E78"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2 июля</w:t>
      </w:r>
      <w:r w:rsidRPr="001E2C69">
        <w:rPr>
          <w:rFonts w:ascii="Times New Roman" w:hAnsi="Times New Roman"/>
          <w:color w:val="000000" w:themeColor="text1"/>
          <w:sz w:val="16"/>
          <w:szCs w:val="16"/>
        </w:rPr>
        <w:t xml:space="preserve"> в 1942 году под Севастополем уцелевшие командиры возродили Военный совет Приморской армии и попытались восстановить управление войсками СОР. Из всех тыловиков и ходячих раненых создали сводные роты и отправили на передовую. В течение дня возле 35-й батареи отбиты 10 немецких атак. Защищая Херсонесский аэродром погибли остатки 172-й стрелковой дивизии. С наступлением темноты сводный отряд моряков ЧФ и красноармейцев после рукопашного боя вернул Камышовую бухту, пытаясь обеспечить подход ночью транспортов для эвакуации Приморской армии (14940).</w:t>
      </w:r>
    </w:p>
    <w:p w14:paraId="223CB657" w14:textId="77777777" w:rsidR="00B01B21" w:rsidRPr="001E2C69" w:rsidRDefault="00B01B21" w:rsidP="00722885">
      <w:pPr>
        <w:spacing w:after="0" w:line="240" w:lineRule="auto"/>
        <w:jc w:val="both"/>
        <w:rPr>
          <w:rFonts w:ascii="Times New Roman" w:hAnsi="Times New Roman"/>
          <w:color w:val="000000" w:themeColor="text1"/>
          <w:sz w:val="16"/>
          <w:szCs w:val="16"/>
        </w:rPr>
      </w:pPr>
    </w:p>
    <w:p w14:paraId="0E2BEBCB"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2 июля</w:t>
      </w:r>
      <w:r w:rsidRPr="001E2C69">
        <w:rPr>
          <w:rFonts w:ascii="Times New Roman" w:hAnsi="Times New Roman"/>
          <w:color w:val="000000" w:themeColor="text1"/>
          <w:sz w:val="16"/>
          <w:szCs w:val="16"/>
        </w:rPr>
        <w:t xml:space="preserve"> в 1942 году немецкая авиация осуществила массированный налет на Новороссийск. В Цемесской бухте немецкой авиацией потоплен лидер эсминцев Черноморского флота </w:t>
      </w:r>
      <w:hyperlink r:id="rId128" w:anchor="102479" w:tgtFrame="_blank" w:history="1">
        <w:r w:rsidRPr="001E2C69">
          <w:rPr>
            <w:rFonts w:ascii="Times New Roman" w:hAnsi="Times New Roman"/>
            <w:color w:val="000000" w:themeColor="text1"/>
            <w:sz w:val="16"/>
            <w:szCs w:val="16"/>
          </w:rPr>
          <w:t xml:space="preserve">"Ташкент". </w:t>
        </w:r>
      </w:hyperlink>
    </w:p>
    <w:p w14:paraId="46018976" w14:textId="77777777" w:rsidR="00B01B21" w:rsidRPr="001E2C69" w:rsidRDefault="00B01B21" w:rsidP="00722885">
      <w:pPr>
        <w:spacing w:after="0" w:line="240" w:lineRule="auto"/>
        <w:jc w:val="both"/>
        <w:rPr>
          <w:rFonts w:ascii="Times New Roman" w:hAnsi="Times New Roman"/>
          <w:color w:val="000000" w:themeColor="text1"/>
          <w:sz w:val="16"/>
          <w:szCs w:val="16"/>
        </w:rPr>
      </w:pPr>
    </w:p>
    <w:p w14:paraId="44034EF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период с 22 июня 1941 по 1 июля 1942 г. средний налет, приходящий</w:t>
      </w:r>
      <w:r w:rsidRPr="001E2C69">
        <w:rPr>
          <w:rFonts w:ascii="Times New Roman" w:hAnsi="Times New Roman"/>
          <w:color w:val="000000" w:themeColor="text1"/>
          <w:sz w:val="16"/>
          <w:szCs w:val="16"/>
        </w:rPr>
        <w:softHyphen/>
        <w:t>ся на одну боевую потерю Ил-2 по всем фронтам по официальным данным ВВС, составил 13 самолето-вылетов, то в пе</w:t>
      </w:r>
      <w:r w:rsidRPr="001E2C69">
        <w:rPr>
          <w:rFonts w:ascii="Times New Roman" w:hAnsi="Times New Roman"/>
          <w:color w:val="000000" w:themeColor="text1"/>
          <w:sz w:val="16"/>
          <w:szCs w:val="16"/>
        </w:rPr>
        <w:softHyphen/>
        <w:t>риод с 01.08.42 г. по 01.06.43 г. - уже 26'самолето-вылетов на одну боевую потерю (6467).</w:t>
      </w:r>
    </w:p>
    <w:p w14:paraId="4DF9C83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833922"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июля 1942 по дороге из осажденного Севастополя погиб русский писатель, автор “12 стульев” Евгений Петров (4962).</w:t>
      </w:r>
    </w:p>
    <w:p w14:paraId="7F337B94"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18DFBD"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июля 1942 под Севастополем уцелевшие командиры возродили Военный совет Приморской армии и попытались восстановить управление войсками СОР. Из всех тыловиков и ходячих раненых создали сводные роты и отправили на передовую. В течение дня возле 35-й батареи отбиты 10 немецких атак. Защищая Херсонесский аэродром погибли остатки 172-й сд. С наступлением темноты сводный отряд моряков ЧФ и красноармейцев после рукопашного боя вернул Камышовую бухту, пытаясь обеспечить подход ночью транспортов для эвакуации Приморской армии (4963 ).</w:t>
      </w:r>
    </w:p>
    <w:p w14:paraId="564C5A0F"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27C9CA"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июля 1942 после 8-месячной осады пал Севастополь (4962).</w:t>
      </w:r>
    </w:p>
    <w:p w14:paraId="73752A23"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DE862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июля 1942 при налете на Новороссийск и Анапу немцы потопили лидер Баку и транспорт Украину + 2 буксира (1085,161).</w:t>
      </w:r>
    </w:p>
    <w:p w14:paraId="23CDC01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4E18A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июля 1942 немецкая авиация выполнила массовой налет на Новороссийск (3186).</w:t>
      </w:r>
    </w:p>
    <w:p w14:paraId="7A15902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47B97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июля 1942 ЧФ понес большие потери в результате авианалета на Новороссийск. Досталось и ТКА - №33 и 112 погибли и, по крайней мере, один получил повреждения (6002).</w:t>
      </w:r>
    </w:p>
    <w:p w14:paraId="62A355A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1A142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и 17 июля 1942 г. североморцы выполнили первые вылеты с торпедами, совершили, но успех пришел позже. 29 июля, на основании данных воздушной разведки, пара Ил-4, которую вел капитан Гарбуз, атаковала конвой противника, состоявший из двух транспортов и семи кораблей охране</w:t>
      </w:r>
      <w:r w:rsidRPr="001E2C69">
        <w:rPr>
          <w:rFonts w:ascii="Times New Roman" w:hAnsi="Times New Roman"/>
          <w:color w:val="000000" w:themeColor="text1"/>
          <w:sz w:val="16"/>
          <w:szCs w:val="16"/>
        </w:rPr>
        <w:softHyphen/>
        <w:t>ния. В результате попадания двух тор</w:t>
      </w:r>
      <w:r w:rsidRPr="001E2C69">
        <w:rPr>
          <w:rFonts w:ascii="Times New Roman" w:hAnsi="Times New Roman"/>
          <w:color w:val="000000" w:themeColor="text1"/>
          <w:sz w:val="16"/>
          <w:szCs w:val="16"/>
        </w:rPr>
        <w:softHyphen/>
        <w:t>пед большой транспорт (водоизмеще</w:t>
      </w:r>
      <w:r w:rsidRPr="001E2C69">
        <w:rPr>
          <w:rFonts w:ascii="Times New Roman" w:hAnsi="Times New Roman"/>
          <w:color w:val="000000" w:themeColor="text1"/>
          <w:sz w:val="16"/>
          <w:szCs w:val="16"/>
        </w:rPr>
        <w:softHyphen/>
        <w:t>нием около 15000 г) затонул (10734,85).</w:t>
      </w:r>
    </w:p>
    <w:p w14:paraId="1683FB4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4AB35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июля 1942 по</w:t>
      </w:r>
      <w:r w:rsidRPr="001E2C69">
        <w:rPr>
          <w:rFonts w:ascii="Times New Roman" w:hAnsi="Times New Roman"/>
          <w:color w:val="000000" w:themeColor="text1"/>
          <w:sz w:val="16"/>
          <w:szCs w:val="16"/>
        </w:rPr>
        <w:softHyphen/>
        <w:t>вреждений лидер Ташкент затонул у портовой стенки, не выдержав двух пря</w:t>
      </w:r>
      <w:r w:rsidRPr="001E2C69">
        <w:rPr>
          <w:rFonts w:ascii="Times New Roman" w:hAnsi="Times New Roman"/>
          <w:color w:val="000000" w:themeColor="text1"/>
          <w:sz w:val="16"/>
          <w:szCs w:val="16"/>
        </w:rPr>
        <w:softHyphen/>
        <w:t>мых попаданий авиабомб (3898).</w:t>
      </w:r>
    </w:p>
    <w:p w14:paraId="2CCF22C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7687D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июля 1942 года в районе Волово- Васильевка части 109 и 164-й танковых бригад встретились с основными силами 11-й танковой дивизии 4-й танковой армии (с немецкой стороны в бою участвовало до 80 боевых машин). Весь день здесь шли тяжелые танковые бои, стоившие больших потерь обеим сторонам. Так, по показанию пленного ефрейтора 11-й танковой дивизии, к концу дня в его роте из 17 танков оставалось боеспособными лишь 8 машин». Но и потери 16-го танкового корпуса были большими. Например, только 164-я танковая бригада безвозвратно потеряла 10 Т-34 и 10 Т-60, а 360-й танковый батальон 109-й танковой бригады, потеряв в ходе боя связь со своим штабом, стал отходить, попал в засаду и был полностью уничтожен (в батальоне к тому времени насчитывалось 8 танков).</w:t>
      </w:r>
    </w:p>
    <w:p w14:paraId="5B45D82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последующих дней части корпуса получили задачу атаковать противника совместно с 1-м танковым корпусом и овладеть Захаров- кой. Однако из-за больших потерь и отставания 1-го танкового корпуса атака не удалась. Более того, 5 июля под давлением превосходящих частей противника, части 16-го танкового корпуса отошли на восточный берег реки Олым. Попытки корпуса в течение пяти раз восстановить положение успеха не имели.</w:t>
      </w:r>
    </w:p>
    <w:p w14:paraId="2182784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Причиной неудачных действий 16-го танкового корпуса являлось плохое взаимодействие подразделений внутри танковых бригад, взаимодействие между бригадами практически отсутствовало, разведка почти не велась. Кроме того, в воздухе полностью господствовала немецкая авиация.</w:t>
      </w:r>
    </w:p>
    <w:p w14:paraId="254E394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Бывшему командиру Х79-й танковой бригады 16-го танкового корпуса, впоследствии генерал-полковнику танковых войск В.С. Архипову бои на реке Кшень запомнились «особенно крепко из-за многочисленных неиспользованных нами возможностей... Вместо того, чтобы сбить противника с плацдарма ударом танкового кулака, мы пытались столкнуть его пальцем. В первый день бросили против двадцати немецких танков и двух батальонов автоматчиков, овладевших Новым Поселком, примерно столько же стрелков, но вдвое меньше танков. На второй день - 20 наших танков против 4050 фашистских и так далее. Противник, наращивая свои силы, опережал нас, и если первый день боя за плацдарм мы имели общее превосходство в танках, но не использовали его в атаках, то к четвертому дню это превосходство перешло к противнику. Вот что значит применение танков с оглядкой, с дроблением танковых бригад и батальонов для закрытия брешей» (12217).</w:t>
      </w:r>
    </w:p>
    <w:p w14:paraId="44F74230"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CB30187"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июля 1942 к концу дня противник продвинулся в полосе Брянского фронта на глубину 60 - 80 км и в полосе Юго-Западного фронта до 80 км, окружив западнее Старого Оскола часть сил 40-й и 21-й армий (4963 ).</w:t>
      </w:r>
    </w:p>
    <w:p w14:paraId="5A4E8CEE"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816E1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июля 1942 года в оперативной сводке Советского Информбюро от сообщалось:</w:t>
      </w:r>
    </w:p>
    <w:p w14:paraId="0A6923D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другом участке 50 немецких танков пытались прорваться в расположение наших войск. 9 отважных истребителей из Истребительного отряда старшего лейтенанта Шанцева подожгли 7 немецких танков” (10697).</w:t>
      </w:r>
    </w:p>
    <w:p w14:paraId="7E911E3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40EA6A"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За рубежом:</w:t>
      </w:r>
    </w:p>
    <w:p w14:paraId="756DB47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B0BF1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июля 1942 конвой PQ-17 не встретился с PQ-13, а Тирпиц и Хиппер стали готовится к атаке. 4 июля 1942 последовал приказ рассосредоточиться (2100).</w:t>
      </w:r>
    </w:p>
    <w:p w14:paraId="739F1C5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0EE051"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2 июля</w:t>
      </w:r>
      <w:r w:rsidRPr="001E2C69">
        <w:rPr>
          <w:rFonts w:ascii="Times New Roman" w:hAnsi="Times New Roman"/>
          <w:color w:val="000000" w:themeColor="text1"/>
          <w:sz w:val="16"/>
          <w:szCs w:val="16"/>
        </w:rPr>
        <w:t xml:space="preserve"> в 1942 году неудачная попытка британского парламента вынести вотум недоверия правительству У.Черчилля (за – 25 голосов, против 476, воздержалось – 30) (14940).</w:t>
      </w:r>
    </w:p>
    <w:p w14:paraId="67C04B94" w14:textId="77777777" w:rsidR="00B01B21" w:rsidRPr="001E2C69" w:rsidRDefault="00B01B21" w:rsidP="00722885">
      <w:pPr>
        <w:spacing w:after="0" w:line="240" w:lineRule="auto"/>
        <w:jc w:val="both"/>
        <w:rPr>
          <w:rFonts w:ascii="Times New Roman" w:hAnsi="Times New Roman"/>
          <w:color w:val="000000" w:themeColor="text1"/>
          <w:sz w:val="16"/>
          <w:szCs w:val="16"/>
        </w:rPr>
      </w:pPr>
    </w:p>
    <w:p w14:paraId="572069E5"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Авиапромышленность:</w:t>
      </w:r>
    </w:p>
    <w:p w14:paraId="118B5D1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20EB45" w14:textId="77777777" w:rsidR="005E42EC" w:rsidRPr="008A2E5A" w:rsidRDefault="005E42EC" w:rsidP="005E42E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июля 1942 г. на аэродром вывели Ту-2Д №718, и первый полет на нем экипаж А.Д. Перелета выполнил 12-го числа. Основой для проекта «62» стал серийный Ту-2 «стандартного типа», а как опытные образцы были использованы два серийных самолета с заводскими номерами 100714 и 100718. Скорость оказалась выше заданной, но потолок был хуже. Самолет имел много дефектов, но Заказчик хотел не только устранить их, но дополнительно установить сдвоенное управление, перенести бомбардиро</w:t>
      </w:r>
      <w:r w:rsidRPr="008A2E5A">
        <w:rPr>
          <w:rFonts w:ascii="Times New Roman" w:hAnsi="Times New Roman"/>
          <w:color w:val="0070C0"/>
          <w:sz w:val="16"/>
          <w:szCs w:val="16"/>
        </w:rPr>
        <w:softHyphen/>
        <w:t>вочный прицел в носовую кабину, улучшить оборудование для полетов на большую дальность, увеличить запас кислорода и добавить еще тонну бомб (24140).</w:t>
      </w:r>
    </w:p>
    <w:p w14:paraId="23EEB3DF" w14:textId="77777777" w:rsidR="005E42EC" w:rsidRPr="008A2E5A" w:rsidRDefault="005E42EC" w:rsidP="005E42EC">
      <w:pPr>
        <w:spacing w:after="0" w:line="240" w:lineRule="auto"/>
        <w:jc w:val="both"/>
        <w:rPr>
          <w:rFonts w:ascii="Times New Roman" w:hAnsi="Times New Roman"/>
          <w:color w:val="0070C0"/>
          <w:sz w:val="16"/>
          <w:szCs w:val="16"/>
        </w:rPr>
      </w:pPr>
    </w:p>
    <w:p w14:paraId="2A7E3E1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июля 1942 г. вышел ПРИКАЗ НКОП № 0534 С ОБЪЯВЛЕНИЕМ БЛАГОДАРНОСТИ ЛЕТНОМУ СОСТАВУ 49 ББАП ЗА ОТЛИЧНУЮ ПЕРЕГОНКУ САМОЛЕТОВ С ИРКУТСКОГО АВИАЗАВОДА</w:t>
      </w:r>
    </w:p>
    <w:p w14:paraId="4820442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марте и июне месяцах 1942 г. командир 49 ББАП майор Сажин Н. И. с двадцатью экипажами своего полка перегнал с Иркутского авиазавода в район Москвы 21 самолет Пе-2 и 20 самолетов Пе-3.</w:t>
      </w:r>
    </w:p>
    <w:p w14:paraId="18E28F0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Благодаря отличной подготовке полка, отличной организации и руководства перелетом, несмотря на сложность условий перелета и дальность маршрута, экипажи 49 ББАП в короткие сроки перегнали 41 самолет без единого летного происшествия.</w:t>
      </w:r>
    </w:p>
    <w:p w14:paraId="46963F6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Приказываю:</w:t>
      </w:r>
    </w:p>
    <w:p w14:paraId="0D0C662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1. Командиру 49 ББАП майору Сажину Н. И. за образцовую организацию перегонки самолетов для фронта в короткие сроки без единого летного происшествия присвоить внеочередное военное звание подполковник.</w:t>
      </w:r>
    </w:p>
    <w:p w14:paraId="2FB6F3E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Штурману 49 ББАП капитану Воробьеву А. Н. за хорошую подготовку к перелету личного состава в навигационном отношении присвоить внеочередное звание майор.</w:t>
      </w:r>
    </w:p>
    <w:p w14:paraId="18B7BEA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Инженера 49 ББАП военинженера 2 ранга Михалева М. С., техника-лейтенанта Беспальцева Д. И., техника-лейтенанта Мерзлякова Я. П. и лейтенанта Шибаева В. П. за отличное руководство и подготовку материальной части к перелетам, обеспечивших ее безотказность на протяжении всего маршрута наградить ценными подарками.</w:t>
      </w:r>
    </w:p>
    <w:p w14:paraId="5C1B0A4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Остальному личному составу 49 ББАП, участвовавшему в перегонке самолетов, объявить благодарность.</w:t>
      </w:r>
    </w:p>
    <w:p w14:paraId="1466234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Приказ объявить всему составу частей ВВС Красной Армии.</w:t>
      </w:r>
    </w:p>
    <w:p w14:paraId="2D65353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 xml:space="preserve">Заместитель Народного комиссара обороны СССР генерал-лейтенант авиации НОВИКОВ </w:t>
      </w:r>
      <w:r w:rsidRPr="001E2C69">
        <w:rPr>
          <w:rFonts w:ascii="Times New Roman" w:hAnsi="Times New Roman"/>
          <w:color w:val="000000" w:themeColor="text1"/>
          <w:sz w:val="16"/>
          <w:szCs w:val="16"/>
        </w:rPr>
        <w:t>(9844).</w:t>
      </w:r>
    </w:p>
    <w:p w14:paraId="1EB641B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03C3B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3 июля 1942 г. в соответствии с постановлением ГОКО № 1868сс и приказом № 533с от 16.07.1942 г. заводу-дублеру № 145 присвоено наименование ГС завод № 455 в системе 2ГУ НКАП. </w:t>
      </w:r>
    </w:p>
    <w:p w14:paraId="1877890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1944 г. на завод передано производство агрегатов вооружения с завода № 487 в связи с изменением его профиля.</w:t>
      </w:r>
    </w:p>
    <w:p w14:paraId="3CD1046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1943-46 г. на заводе действовало ОКБ-455 НКАП гл. конструктора И.И. Картукова. </w:t>
      </w:r>
    </w:p>
    <w:p w14:paraId="39A286A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имел экспериментально-испытательную станцию с лабораторией и мастерскими в Кузьминках Ухтомского района. В 1946 г. она передана заводу № 81.</w:t>
      </w:r>
    </w:p>
    <w:p w14:paraId="2B13DCE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1946 г. началась реконструкция завода для расширения производства установок авиационного вооружения.</w:t>
      </w:r>
    </w:p>
    <w:p w14:paraId="340F556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По приказу № 283ссоп от 25.04.1955 г. завод № 455 с 1.04.1955 г. передан из 2ГУ в 6ГУ. Началось освоение производства УРВВ, а позднее- и УРВП. </w:t>
      </w:r>
    </w:p>
    <w:p w14:paraId="4B4C1A1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Велись работы по ракете Р-6 (К-53) с ТГСН; планировалось (но не было осуществлено) производство К-33; работы по К-5В (1960 г.). </w:t>
      </w:r>
    </w:p>
    <w:p w14:paraId="4191139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1973 г. КМЗ имел наименование «предприятие- п/я В-2704». До начала 1990-х г. действовало НПО «Стрела», в состав которого входили КМЗ, КБ «Звезда», Бендерский машиностроительный завод (возможно, это завод «Прибор») и Костромской механический завод. Затем НПО распалось.</w:t>
      </w:r>
    </w:p>
    <w:p w14:paraId="75A91C4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начале 1995 г. произошло обьединение ОКБ "Звезда" и Калининградского машиностроительного завода "Стрела" в ГНПЦ (Государственный научно-производственный центр) "Звезда-Стрела". </w:t>
      </w:r>
    </w:p>
    <w:p w14:paraId="73AFF31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Головное предприятие по разработке и производству авиационных, морских и сухопутных тактических КР (2002 г.).</w:t>
      </w:r>
    </w:p>
    <w:p w14:paraId="400DA4E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(2002 г.)- 2500 чел.</w:t>
      </w:r>
    </w:p>
    <w:p w14:paraId="667B186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(1942 г.-)- Н.К. Сорокин, (-05.1943-03.1946 г.-)- Горбунов, (конец 1946 г.-)- М.П. Аржаков (одновременно был руководителем строительства завода), (-1995 г.)- С.П. Яковлев.</w:t>
      </w:r>
    </w:p>
    <w:p w14:paraId="1B63873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Гл. конструктор (2002 г.)- Ю.Д. Новиков. </w:t>
      </w:r>
    </w:p>
    <w:p w14:paraId="5446855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Научный директор (2002 г.)- Ю.Д. Новиков. Технический директор (2002 г.)- И.Д. Тесля.</w:t>
      </w:r>
    </w:p>
    <w:p w14:paraId="307573C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(1946 г.-)- М.И. Муромцев.</w:t>
      </w:r>
    </w:p>
    <w:p w14:paraId="24E8779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Работали: Горбунов, (начало 1950-х)- Кузьмин. </w:t>
      </w:r>
    </w:p>
    <w:p w14:paraId="05406F7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Гл. конструктора (1974 г.)- В.Г. Кореньков.</w:t>
      </w:r>
    </w:p>
    <w:p w14:paraId="1401D88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ВАП-6М, ВАП-500 (1942-), ВАП-100, ВАП-250 (ВОВ); УРВВ: изд. "М" (РС-1-У) (1956-57), "И" (РС-2У) (1957-59), "ИС" (РС-2-УС) (1959-), "24" (Р-8М) (1959-), К-13, Р-98, К-55, К-40 (-1991), К-80 (Р-4); УРВП: Х-66, Х-23, Х-27, Х-25, Х-25М, Х-31, Х-35; ЗУР: 3М9; гладильные машины «Калинка».</w:t>
      </w:r>
    </w:p>
    <w:p w14:paraId="25DC0C1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ГС Завод № 455 НКАП, МАП, Костинский машиностроительный завод (КМЗ), Калининградский машиностроительный завод (КМЗ), НПО «Стрела», В-2704, КПКО «Стрела» </w:t>
      </w:r>
    </w:p>
    <w:p w14:paraId="05C84A1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Костино Московской обл. ст. Болшево</w:t>
      </w:r>
    </w:p>
    <w:p w14:paraId="6FCEFA4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141070 г. Королев Московской обл. ул. Ильича, 7</w:t>
      </w:r>
    </w:p>
    <w:p w14:paraId="7263FF7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ОКБ завода № 455, ОКБ-455 НКАП гл. конструктора И.И. Картукова</w:t>
      </w:r>
    </w:p>
    <w:p w14:paraId="014C15F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Костино Московской обл.</w:t>
      </w:r>
    </w:p>
    <w:p w14:paraId="5EF3F60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ОКБ-145 НКАП И.И. Картукова в соответствии с приказом НКАП № 272с от 6.05.1943 г. возвращается из эвакуации на новое место в г. Костино на завод № 455 НКАП с образованием ОКБ-455 НКАП. Здесь продолжены работы по химическим боеприпасам. Создан химический разовый прибор ХАРП-500-300А для ВМФ. С 1946 г.- работы по пиропатронам для катапультных кресел летчиков по типу Не-162 и Не-219.</w:t>
      </w:r>
    </w:p>
    <w:p w14:paraId="50316A9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По приказу № 148с от 22.03.1946 г. ОКБ-455 МАП гл. конструктора И.И. Картукова в полном составе переведено на вновь образованный Завод № 81 МАП. </w:t>
      </w:r>
    </w:p>
    <w:p w14:paraId="12D218B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СКБ завода № 455, ОКБ-455 МАП, ОКБ "Звезда", А-3497</w:t>
      </w:r>
    </w:p>
    <w:p w14:paraId="2109F3E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141070 г. Королев Московской обл., ул. Ильича, 7 тел. 519-55-01</w:t>
      </w:r>
    </w:p>
    <w:p w14:paraId="15DDAD5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СКБ образовано на заводе № 455 в 1956 г. для освоения производства РС-1-У (изд."М"). На базе К-5 и К-8 создана Х-66, на базе РС-2-УС – К-55.</w:t>
      </w:r>
    </w:p>
    <w:p w14:paraId="744FE20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1966 г.- ОКБ-455 МАП. Головное предприятие по разработке тактических УРВП.</w:t>
      </w:r>
    </w:p>
    <w:p w14:paraId="37A0322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начале 1995 г. произошло обьединение ОКБ "Звезда" и Калининградского машиностроительного завода "Стрела" в ГНПЦ "Звезда-Стрела". </w:t>
      </w:r>
    </w:p>
    <w:p w14:paraId="17B1517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(1956-59 г.-)- М.Е. Едидович, Н.Т. Пикот.</w:t>
      </w:r>
    </w:p>
    <w:p w14:paraId="08903F9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 (1966-73 г.)- Ю.Н. Королев, (1974-83 г.)- В.Н. Бугайский, (1983-86 г.)- В.Г. Голушко, (25.11.1986-94 г.)- Г.И. Хохлов (до этого- гл. конструктор УРВП в МКБ «Вымпел»), (1994-99 г.-)- Ю.Д. Новиков.</w:t>
      </w:r>
    </w:p>
    <w:p w14:paraId="20E5590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гл. конструктора (1970-е)- В.Г. Кореньков (далее работал в НИИАС), (-1994 г.)- Ю.Д. Новиков.</w:t>
      </w:r>
    </w:p>
    <w:p w14:paraId="1994559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конструкторы (1956 г.-)- М.Е. Едидович (изд. «М»), С.П. Яковлев (Х-35).</w:t>
      </w:r>
    </w:p>
    <w:p w14:paraId="6AA3DCE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Создано: УРВП: К-5 (РС-1У), Х-66 (пнв в 1968 г.), Х-23 (пнв в 1973 г.), -М, -Л, Х-27ПС (1974 г.), Х-25 (1976 г.), -Р, -МР, -Л, -МЛ, -МЛП, -П, -МП, -ПС, -МТ, -МТЛ, -МПУ, Х-31А (пнв в 1989 г.), -П (пнв в 1988 г.), Х-35 (пнв в 1987 г.), Х-35У (1983 г.), Х-36; ККР: «Уран» 3М24 (пнв в 1987 г.)58; высотная мишень ИЦ-59В (1960-е).</w:t>
      </w:r>
    </w:p>
    <w:p w14:paraId="2B5EE82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Государственный Научно-производственный центр (ГНПЦ) "Звезда-Стрела"</w:t>
      </w:r>
    </w:p>
    <w:p w14:paraId="72FD16A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141070 г. Калининград, г. Королев Московской обл. ул. Ильича, 7 тел. 519-20-02</w:t>
      </w:r>
    </w:p>
    <w:p w14:paraId="7259FEF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Создано в начале 1995 г. обьединеним ОКБ "Звезда" и Калининградского машиностроительного завода "Стрела". В 02.1998 г. в ГНПЦ вошло ОКБ ДУ «Пламя».</w:t>
      </w:r>
    </w:p>
    <w:p w14:paraId="019854A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Гендиректор (1995-2002 г.-)- С.П. Яковлев.</w:t>
      </w:r>
    </w:p>
    <w:p w14:paraId="4BF55B2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Ген. Конструктор (2002 г.)- С.П. Яковлев.</w:t>
      </w:r>
    </w:p>
    <w:p w14:paraId="1EB7772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ОАО «Корпорация «Тактическое ракетное вооружение» (ТРВ) РАКА</w:t>
      </w:r>
    </w:p>
    <w:p w14:paraId="7F632C7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141070 г. Королев Московской обл. ул. Ильича, 7 тел. 542-57-09 www.ktrv.ru</w:t>
      </w:r>
    </w:p>
    <w:p w14:paraId="1AADE9D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Создана 24.01.2002 г. на базе головного предприятия «Звезда-Стрела». Кроме него, в корпорацию вошли еше 5 предприятий, в т.ч. ГНПП «Регион». В соответствии с Указом Президента № 591 от 9.05.2004 г. и распоряжением правительства № 396 от 20.07.2004 г. определено дальнейшее развитие Корпорации, в составе которой стало 14 предприятий, в т.ч. ГосМКБ «Радуга», ГосМКБ «Вымпел», КБМ, завод «Красный гидропресс». По решению правительства № 22-р от 9.01.2004 г. и Указу Президента РФ № 1009 от 4.08.2004 г. вошло в число стратегических оборонных предприятий.</w:t>
      </w:r>
    </w:p>
    <w:p w14:paraId="1CF176E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Разработка, производство, поставка и модернизация комплексов УР.</w:t>
      </w:r>
    </w:p>
    <w:p w14:paraId="766BA84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Гендиректор (2003-05 г.-)- Б.В. Обносов.</w:t>
      </w:r>
    </w:p>
    <w:p w14:paraId="1B2296C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Председатель совета директоров (2005 г.)- С. Приходько (10776).</w:t>
      </w:r>
    </w:p>
    <w:p w14:paraId="18FE85E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63478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июля 1942 вышел приказ НКАП № 487с:</w:t>
      </w:r>
    </w:p>
    <w:p w14:paraId="36BB0B3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связи с невозможностью разместить на бывших площадях з-да № 261 цеха разделки с-тов и моторов из аварийного имущества з-да № 453:</w:t>
      </w:r>
    </w:p>
    <w:p w14:paraId="40AAE1E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Передать з-ду № 453 здания и сооружения бывшего з-да 291 (8 ГУ) со всем имуществом и материалами, оставшимися на площадке после эвакуации,</w:t>
      </w:r>
    </w:p>
    <w:p w14:paraId="76A8297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Организовать на площадях бывшего з-да 291 цех по разделке авиамоторов и с-тов.</w:t>
      </w:r>
    </w:p>
    <w:p w14:paraId="2C4C757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Дементьев (1574, 52).</w:t>
      </w:r>
    </w:p>
    <w:p w14:paraId="0C42C34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4A2FF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3 июля 1942 г. и по приказу № 487с для размещения завода № 453 были переданы здания и сооружения бывшего завода № 291 </w:t>
      </w:r>
      <w:r w:rsidRPr="001E2C69">
        <w:rPr>
          <w:rFonts w:ascii="Times New Roman" w:hAnsi="Times New Roman"/>
          <w:color w:val="000000" w:themeColor="text1"/>
          <w:sz w:val="16"/>
          <w:szCs w:val="16"/>
          <w:lang w:val="en-US"/>
        </w:rPr>
        <w:t>HKA</w:t>
      </w:r>
      <w:r w:rsidRPr="001E2C69">
        <w:rPr>
          <w:rFonts w:ascii="Times New Roman" w:hAnsi="Times New Roman"/>
          <w:color w:val="000000" w:themeColor="text1"/>
          <w:sz w:val="16"/>
          <w:szCs w:val="16"/>
        </w:rPr>
        <w:t>П (11982).</w:t>
      </w:r>
    </w:p>
    <w:p w14:paraId="511FFBC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0A559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июля 1942 г. по приказу № 487с здания и сооружения бывшего завода № 291 НКАП в Тушино были переданы заводу № 453 НКАП.</w:t>
      </w:r>
    </w:p>
    <w:p w14:paraId="4E831F7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(-05.1940; 03.1942 г.)- Л.Б. Евангулов, (05.1940 г.- С.В. Михайлов.</w:t>
      </w:r>
    </w:p>
    <w:p w14:paraId="175B9B6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ОКБ-291 НКАП /г. Москва/</w:t>
      </w:r>
    </w:p>
    <w:p w14:paraId="3065C9F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Спецоборудование. Эвакуировано в 1941 г. в Уфу (11982).</w:t>
      </w:r>
    </w:p>
    <w:p w14:paraId="4C00B7E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9C103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3 июля 1942 г. по приказу № 487с заводу № 453, ко торый должен был быть переведен на территорию бывшего завода № 261 НКАП, были переданы здания и </w:t>
      </w:r>
      <w:r w:rsidRPr="001E2C69">
        <w:rPr>
          <w:rFonts w:ascii="Times New Roman" w:hAnsi="Times New Roman"/>
          <w:color w:val="000000" w:themeColor="text1"/>
          <w:sz w:val="16"/>
          <w:szCs w:val="16"/>
        </w:rPr>
        <w:lastRenderedPageBreak/>
        <w:t>сооружения бывшего завода № 291 НКАП в Тушино. Проводились работы по разделке самолетов. По приказу № 158с от 19.03.1943 г. разделочная база завода № 453 НКАП со всем оборудованием и личным составом передана заводу № 500.</w:t>
      </w:r>
    </w:p>
    <w:p w14:paraId="48267B5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соответствии с пост. ГКО № 3218с от 21.04.1943 г. и приказом № 276с от 7.05.1943 г. завод № 453 передан из 6ГУ в систему Треста «Оргавиапром». Далее по приказу № 459с от 31.07.1943 г. на заводе началась организация производства специнструмента и приспособлений, и завод реорганизован в филиал завода № 165 НКАП. С завода № 165 из Куйбышева сюда для укрепления производства переведена группа рабочих и ИТР (120 чел.). В том же году на площадку филиала из Куйбышева переведен завод № 165 НКАП (11982).</w:t>
      </w:r>
    </w:p>
    <w:p w14:paraId="0755F03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EDA915"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июля 1942 года, Постановлением Совета Народных Комиссаров №1413/РС создана Научно-экспериментальная база (НЭБ) по ремонту материальной части ВВС Красной Армии.</w:t>
      </w:r>
    </w:p>
    <w:p w14:paraId="667C2D18"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Хотя днем создания института принято считать 29 октября 1942 года, когда Начальником НЭБ ВВС был издан приказ №1 о формировании базы с дислокацией на станции Павшино Московской области, однако свою историю институт ведет от авиамастерских Качинской школы летчиков, созданной еще в 1910 году, на базе которых и была сформирована Научно-экспериментальная база. </w:t>
      </w:r>
    </w:p>
    <w:p w14:paraId="44DAE0D6"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Директивой Главного Штаба Красной Армии №10/314259 от 31 октября 1944 года НЭБ была переименована в Центральную НЭБ по ремонту материальной части ВВС Красной Армии.</w:t>
      </w:r>
    </w:p>
    <w:p w14:paraId="1BF059E5"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годы войны личный состав ЦНЭБ внес немалый вклад в повышение эффективности функционирования ремонтной сети ВВС и обеспечение боеготовности авиационных частей:</w:t>
      </w:r>
    </w:p>
    <w:p w14:paraId="6EB56C19"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выполнено 280 тематических работ, связанных с разработкой технологий ремонта самолетов, двигателей, вооружения и электрооборудования;</w:t>
      </w:r>
    </w:p>
    <w:p w14:paraId="4100E6FB"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издано 147 бюллетеней и указаний по технологии ремонта;</w:t>
      </w:r>
    </w:p>
    <w:p w14:paraId="5AA9F43D"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осуществлено около 200 выездов на ремонтные предприятия;</w:t>
      </w:r>
    </w:p>
    <w:p w14:paraId="450BA5D2"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выполнен капитально-восстановительный ремонт 116 самолетов и 484 двигателей различных типов.</w:t>
      </w:r>
    </w:p>
    <w:p w14:paraId="6AE54513"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февраля 1947 года согласно Директиве ГК ВВС КА №334585 ЦНЭБ перебазируется в город Люберцы.</w:t>
      </w:r>
    </w:p>
    <w:p w14:paraId="7897D74B"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послевоенные годы зародились новые направления в работе института, которые в дальнейшем развивались на протяжении всей истории института. Одно из таких направлений было связано с определением причин отказов авиационной техники.</w:t>
      </w:r>
    </w:p>
    <w:p w14:paraId="742B5FF0"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31 августа 1957 года Постановлением Совета Министров СССР №1050-478 Центральная научно-экспериментальная база была преобразована в Научно-исследовательский институт эксплуатации и ремонта авиационной техники ВВС, а 8 декабря 1962 года Постановлением Совета Министров СССР №1236-517 НИИ ЭРАТ получил статус Государственного.</w:t>
      </w:r>
    </w:p>
    <w:p w14:paraId="3F0C7898"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1964 году была создана и придана институту отдельная авиационная эскадрилья, состоящая из 11 самолетов Ан-12 и 7 самолетов Ил-14, на которых ежегодно выполнялись сотни вылетов во все концы страны (11560).</w:t>
      </w:r>
    </w:p>
    <w:p w14:paraId="5C7B232D"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p>
    <w:p w14:paraId="7B016BE2"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Другие оборонные отрасли:</w:t>
      </w:r>
    </w:p>
    <w:p w14:paraId="0094A49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7A95C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июля 1942 года, как описывает В. А. Малышев, «Вызвал т. Сталин. Обсуждали вопрос о плане по производству танков на III кв. Сперва я несколько недоумевал о моей роли на этом совещании и цели моего присутствия. Потом т. Сталин сказал: «Ну а что же т. Малышев будет делать? Я думаю, пусть он Молотову помогает по танкам, он знает танки, вот пусть и работает по танкам». Меня это очень обрадовало. Значит, т. Сталин доверяет мне работать по танкам, а я сделаю всё, что могу. Танки я люблю и буду работать не покладая рук» («Пройдёт десяток лет, и этих встреч не восстановишь уже в памяти»// Источник. 1997. № 5. С. 119)</w:t>
      </w:r>
    </w:p>
    <w:p w14:paraId="36D0251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Впоследствии И. В. Сталин более объективно оценил деятельность В. А. Малышева на посту наркома. Возможно, этому способствовало то, что новый нарком тоже не смог добиться роста производства до запланированных объёмов. Уже в 1943 году Сталин вернул опальному бывшему наркому прежнюю должность, отстранив И. М. Зальцмана. В. А. Малышев получит звание генерал-полковника и будет награждён многочисленными правительственными наградами, в том числе и за свою работу в 1941-1942 годах (12290).</w:t>
      </w:r>
    </w:p>
    <w:p w14:paraId="6A2AF090"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C5BBA0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июля 1942 г. вышли УКАЗАНИЯ НАЧАЛЬНИКА ГАБТУ КА СТАРШЕМУ ВОЕНПРЕДУ НА КИРОВСКОМ ЗАВОДЕ О ПОДГОТОВКЕ К ОТПРАВКЕ 3 ТАНКОВ КВ-1 В АМЕРИКУ</w:t>
      </w:r>
    </w:p>
    <w:p w14:paraId="35FC5FB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Срочно подготовьте к отправке 3 танка КВ-1. Один из них должен быть отправлен в первых чис</w:t>
      </w:r>
      <w:r w:rsidRPr="001E2C69">
        <w:rPr>
          <w:rFonts w:ascii="Times New Roman" w:hAnsi="Times New Roman"/>
          <w:color w:val="000000" w:themeColor="text1"/>
          <w:sz w:val="16"/>
          <w:szCs w:val="16"/>
        </w:rPr>
        <w:softHyphen/>
        <w:t>лах июля 1942 г. в Америку.</w:t>
      </w:r>
    </w:p>
    <w:p w14:paraId="2DF163D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Указание об отгрузке остальных 2 танков получите дополнительно.</w:t>
      </w:r>
    </w:p>
    <w:p w14:paraId="208F55C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Танки должны быть последнего выпуска с пластинчатыми радиаторами, новым вентилятором и с рациями Р-9.</w:t>
      </w:r>
    </w:p>
    <w:p w14:paraId="35DB12C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Каждый танк должен быть полностью укомплектован положенным ему ЗИПом.</w:t>
      </w:r>
    </w:p>
    <w:p w14:paraId="306D3C4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Перечень запасных агрегатов, деталей и материалов, подлежащих отправке вместе с каждым танком, прилагаю.</w:t>
      </w:r>
    </w:p>
    <w:p w14:paraId="69AF638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Подготовку танков к транспортировке необходимо провести особо тщательно с таким расчетом, чтобы избежать во время транспортировки морем коррозии металла танка и поломок.</w:t>
      </w:r>
    </w:p>
    <w:p w14:paraId="0889770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этого следует:</w:t>
      </w:r>
    </w:p>
    <w:p w14:paraId="1CA70FB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Тщательно подготовить танк к окраске и выкрасить его как внутри, так и снаружи не менее 3 раз.</w:t>
      </w:r>
    </w:p>
    <w:p w14:paraId="5013D69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Сменить масло из двигателя, промыть баки и заправить свежим маслом.</w:t>
      </w:r>
    </w:p>
    <w:p w14:paraId="241B841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Заменить масло в коробке перемены передач и бортовых передачах.</w:t>
      </w:r>
    </w:p>
    <w:p w14:paraId="4EA84E0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Заправить полностью все топливные баки.</w:t>
      </w:r>
    </w:p>
    <w:p w14:paraId="29C59E2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Тщательно вычистить танк как внутри, так и снаружи.</w:t>
      </w:r>
    </w:p>
    <w:p w14:paraId="1D505E6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Полностью зарядить баллоны воздухопуска.</w:t>
      </w:r>
    </w:p>
    <w:p w14:paraId="2F42B6B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Снять заряженные аккумуляторы и установить аккумуляторы без электролита.</w:t>
      </w:r>
    </w:p>
    <w:p w14:paraId="2D694D4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Инструмент и возимое имущество с крыльев и из ящиков на крыльях снять и уложить в башне.</w:t>
      </w:r>
    </w:p>
    <w:p w14:paraId="3BC63D6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Снять пулеметы, смазать их и уложить внутри танка.</w:t>
      </w:r>
    </w:p>
    <w:p w14:paraId="3F2DD95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Наложить густой слой солидола на воротники балансиров, крышки и сальниковые кольца катков ведущего колеса и ленивца.</w:t>
      </w:r>
    </w:p>
    <w:p w14:paraId="5CF7479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Промазать солидолом люки днища.</w:t>
      </w:r>
    </w:p>
    <w:p w14:paraId="1582C1D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Подвесить внутри тапка несколько марлевых мешочков с хлористым кальцием.</w:t>
      </w:r>
    </w:p>
    <w:p w14:paraId="5453990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Заклеить снаружи клеенкой или полотняной калькой, покрытой лаком:</w:t>
      </w:r>
    </w:p>
    <w:p w14:paraId="2623147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Смотровой лючок водителя;</w:t>
      </w:r>
    </w:p>
    <w:p w14:paraId="2AD4C810"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Отверстия засоса и выхода воздуха;</w:t>
      </w:r>
    </w:p>
    <w:p w14:paraId="400BD57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Отверстия для зеркалов и смотровые щели и щели колпаков перископа;</w:t>
      </w:r>
    </w:p>
    <w:p w14:paraId="210842C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Щель между подбашенным кольцом и башней;</w:t>
      </w:r>
    </w:p>
    <w:p w14:paraId="54F6369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 Шаровые установки пулеметов, бронировку маски и пушку; е) Люки лазы, люки трансмиссии и люк над мотором. 13. К каждому танку должно быть приложено:</w:t>
      </w:r>
    </w:p>
    <w:p w14:paraId="0498189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Наставление по танку.</w:t>
      </w:r>
    </w:p>
    <w:p w14:paraId="59F4305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Наставление по двигателю.</w:t>
      </w:r>
    </w:p>
    <w:p w14:paraId="07F08C5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Инструкция по эксплуатации.</w:t>
      </w:r>
    </w:p>
    <w:p w14:paraId="3244F20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Наставление по пушке и пулемету.</w:t>
      </w:r>
    </w:p>
    <w:p w14:paraId="1A0592C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Комплект чертежей, включающий только общие виды и сборочные чертежи.</w:t>
      </w:r>
    </w:p>
    <w:p w14:paraId="62DD3B9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Запасные части по прилагаемой ведомости. Приложение: ведомость запасных частей на 3 листах.</w:t>
      </w:r>
    </w:p>
    <w:p w14:paraId="5C4381B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начальника ГАБТУ КА генерал-майор Лебедев</w:t>
      </w:r>
    </w:p>
    <w:p w14:paraId="24D356D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Военный комиссар БТУ ГАБТУ КА полковой комиссар Воробьев</w:t>
      </w:r>
    </w:p>
    <w:p w14:paraId="5AB7536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ЦАМО. Ф. 38. Оп. 11355. Д. 936. Л. 47-48. Копия (11211).</w:t>
      </w:r>
    </w:p>
    <w:p w14:paraId="460702A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FD02DB"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июля 1942 вышло Постановление ГКО № 1955 О распространении действия постановления ГОКО от 2 июля 1942 г. за № 1948сс "Об ответственности железнодорожных служащих за сохранность перевозимых по железным дорогам народнохозяйственных грузов в военное время" и на служащих морских и речных пароходств СССР. (7039, 108).</w:t>
      </w:r>
    </w:p>
    <w:p w14:paraId="266344A8"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4DA43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июля 1942 вышло Постановление ГКО № 1957 О расследовании Прокуратурой СССР фактов ухудшения качества части танков Т-34, выпущенных СТЗ, в результате применения новой неразрешенной конструкции бортовой передачи. РГАНИР, Фонд ГКО, д. 40, лл. 110 (11012).</w:t>
      </w:r>
    </w:p>
    <w:p w14:paraId="42A2B5B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22FDF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3 июля 1942 вышло Постановление ГКО № 1958 О производстве танков Т-34 и Т-70. РГАНИР, Фонд ГКО, д. 40, лл. 111 (11012).</w:t>
      </w:r>
    </w:p>
    <w:p w14:paraId="14767CB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9B8679" w14:textId="77777777" w:rsidR="00B01B21" w:rsidRPr="001E2C69" w:rsidRDefault="00B01B21"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3 июля 1942 года было подписано постановление ГКО № 1598сс, в котором среди прочего, был и пункт о развертывании в месячный срок производства танков Т-34 на Челябин</w:t>
      </w:r>
      <w:r w:rsidRPr="001E2C69">
        <w:rPr>
          <w:rFonts w:ascii="Times New Roman" w:cs="Times New Roman"/>
          <w:color w:val="000000" w:themeColor="text1"/>
          <w:spacing w:val="0"/>
        </w:rPr>
        <w:softHyphen/>
        <w:t>ском Кировском заводе. При этом произ</w:t>
      </w:r>
      <w:r w:rsidRPr="001E2C69">
        <w:rPr>
          <w:rFonts w:ascii="Times New Roman" w:cs="Times New Roman"/>
          <w:color w:val="000000" w:themeColor="text1"/>
          <w:spacing w:val="0"/>
        </w:rPr>
        <w:softHyphen/>
        <w:t xml:space="preserve">водство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 xml:space="preserve"> существенно сокращалось. Ру</w:t>
      </w:r>
      <w:r w:rsidRPr="001E2C69">
        <w:rPr>
          <w:rFonts w:ascii="Times New Roman" w:cs="Times New Roman"/>
          <w:color w:val="000000" w:themeColor="text1"/>
          <w:spacing w:val="0"/>
        </w:rPr>
        <w:softHyphen/>
        <w:t>ководство ЧКЗ пыталось отстоять выпуск тяжелых танков, обещая увеличить их про</w:t>
      </w:r>
      <w:r w:rsidRPr="001E2C69">
        <w:rPr>
          <w:rFonts w:ascii="Times New Roman" w:cs="Times New Roman"/>
          <w:color w:val="000000" w:themeColor="text1"/>
          <w:spacing w:val="0"/>
        </w:rPr>
        <w:softHyphen/>
        <w:t>изводство и улучшить качество, но реше</w:t>
      </w:r>
      <w:r w:rsidRPr="001E2C69">
        <w:rPr>
          <w:rFonts w:ascii="Times New Roman" w:cs="Times New Roman"/>
          <w:color w:val="000000" w:themeColor="text1"/>
          <w:spacing w:val="0"/>
        </w:rPr>
        <w:softHyphen/>
        <w:t>ние руководства страны было непоколеби</w:t>
      </w:r>
      <w:r w:rsidRPr="001E2C69">
        <w:rPr>
          <w:rFonts w:ascii="Times New Roman" w:cs="Times New Roman"/>
          <w:color w:val="000000" w:themeColor="text1"/>
          <w:spacing w:val="0"/>
        </w:rPr>
        <w:softHyphen/>
        <w:t>мым - армии нужны танки и в большом ко</w:t>
      </w:r>
      <w:r w:rsidRPr="001E2C69">
        <w:rPr>
          <w:rFonts w:ascii="Times New Roman" w:cs="Times New Roman"/>
          <w:color w:val="000000" w:themeColor="text1"/>
          <w:spacing w:val="0"/>
        </w:rPr>
        <w:softHyphen/>
        <w:t>личестве. Естественно, такое решение потребова</w:t>
      </w:r>
      <w:r w:rsidRPr="001E2C69">
        <w:rPr>
          <w:rFonts w:ascii="Times New Roman" w:cs="Times New Roman"/>
          <w:color w:val="000000" w:themeColor="text1"/>
          <w:spacing w:val="0"/>
        </w:rPr>
        <w:softHyphen/>
        <w:t>ло существенной перестройки работы всего завода - тридцатьчетверка для челябинцев была машиной новой и незнакомой. При</w:t>
      </w:r>
      <w:r w:rsidRPr="001E2C69">
        <w:rPr>
          <w:rFonts w:ascii="Times New Roman" w:cs="Times New Roman"/>
          <w:color w:val="000000" w:themeColor="text1"/>
          <w:spacing w:val="0"/>
        </w:rPr>
        <w:softHyphen/>
        <w:t>шлось в спешном порядке разрабатывать техпроцессы, переставлять оборудование. На ЧКЗ сборку танков Т-34 решили ве</w:t>
      </w:r>
      <w:r w:rsidRPr="001E2C69">
        <w:rPr>
          <w:rFonts w:ascii="Times New Roman" w:cs="Times New Roman"/>
          <w:color w:val="000000" w:themeColor="text1"/>
          <w:spacing w:val="0"/>
        </w:rPr>
        <w:softHyphen/>
        <w:t>сти на месте бывшего главного конвейера гусеничных тракторов С-65. Этот цех лег</w:t>
      </w:r>
      <w:r w:rsidRPr="001E2C69">
        <w:rPr>
          <w:rFonts w:ascii="Times New Roman" w:cs="Times New Roman"/>
          <w:color w:val="000000" w:themeColor="text1"/>
          <w:spacing w:val="0"/>
        </w:rPr>
        <w:softHyphen/>
        <w:t>че, чем другие, можно было переоборудовать для изготовления нового типа танка. Для ор</w:t>
      </w:r>
      <w:r w:rsidRPr="001E2C69">
        <w:rPr>
          <w:rFonts w:ascii="Times New Roman" w:cs="Times New Roman"/>
          <w:color w:val="000000" w:themeColor="text1"/>
          <w:spacing w:val="0"/>
        </w:rPr>
        <w:softHyphen/>
        <w:t>ганизации производства Т-34 конструкто</w:t>
      </w:r>
      <w:r w:rsidRPr="001E2C69">
        <w:rPr>
          <w:rFonts w:ascii="Times New Roman" w:cs="Times New Roman"/>
          <w:color w:val="000000" w:themeColor="text1"/>
          <w:spacing w:val="0"/>
        </w:rPr>
        <w:softHyphen/>
        <w:t>рам и технологам ЧКЗ пришлось в предельно сжатые сроки заново разработать технологию более двух тысяч деталей, свыше 500 штам</w:t>
      </w:r>
      <w:r w:rsidRPr="001E2C69">
        <w:rPr>
          <w:rFonts w:ascii="Times New Roman" w:cs="Times New Roman"/>
          <w:color w:val="000000" w:themeColor="text1"/>
          <w:spacing w:val="0"/>
        </w:rPr>
        <w:softHyphen/>
        <w:t>пов, более пяти тысяч различных приспо</w:t>
      </w:r>
      <w:r w:rsidRPr="001E2C69">
        <w:rPr>
          <w:rFonts w:ascii="Times New Roman" w:cs="Times New Roman"/>
          <w:color w:val="000000" w:themeColor="text1"/>
          <w:spacing w:val="0"/>
        </w:rPr>
        <w:softHyphen/>
        <w:t>соблений. Все это требовало чрезвычайного напряжения всех ресурсов и сил работников завода. В результате, в августе из ворот ЧКЗ вышло 30 «тридцатьчетверок», а в сентябре Красная Армия получила уже 220 танков Т-34 челябинской сборки. В дальнейшем вы</w:t>
      </w:r>
      <w:r w:rsidRPr="001E2C69">
        <w:rPr>
          <w:rFonts w:ascii="Times New Roman" w:cs="Times New Roman"/>
          <w:color w:val="000000" w:themeColor="text1"/>
          <w:spacing w:val="0"/>
        </w:rPr>
        <w:softHyphen/>
        <w:t>пуск Т-34 на ЧКЗ продолжал расти. При этом около 75% оборудования Кировского завода было задействовано на производстве танков Т-34, на остальных мощностях производился тяжелый танк КВ (15226).</w:t>
      </w:r>
    </w:p>
    <w:p w14:paraId="09828B74" w14:textId="77777777" w:rsidR="00B01B21" w:rsidRPr="001E2C69" w:rsidRDefault="00B01B21" w:rsidP="00722885">
      <w:pPr>
        <w:pStyle w:val="27"/>
        <w:shd w:val="clear" w:color="auto" w:fill="auto"/>
        <w:spacing w:after="0" w:line="240" w:lineRule="auto"/>
        <w:ind w:firstLine="0"/>
        <w:rPr>
          <w:rFonts w:ascii="Times New Roman" w:cs="Times New Roman"/>
          <w:color w:val="000000" w:themeColor="text1"/>
          <w:spacing w:val="0"/>
        </w:rPr>
      </w:pPr>
    </w:p>
    <w:p w14:paraId="702C9D28" w14:textId="77777777" w:rsidR="00C40D73" w:rsidRPr="001E2C69" w:rsidRDefault="00C40D73" w:rsidP="00722885">
      <w:pPr>
        <w:pStyle w:val="162"/>
        <w:shd w:val="clear" w:color="auto" w:fill="auto"/>
        <w:spacing w:line="240" w:lineRule="auto"/>
        <w:jc w:val="both"/>
        <w:rPr>
          <w:color w:val="000000" w:themeColor="text1"/>
          <w:sz w:val="16"/>
          <w:szCs w:val="16"/>
        </w:rPr>
      </w:pPr>
      <w:r w:rsidRPr="001E2C69">
        <w:rPr>
          <w:rFonts w:eastAsia="Calibri"/>
          <w:color w:val="000000" w:themeColor="text1"/>
          <w:sz w:val="16"/>
          <w:szCs w:val="16"/>
        </w:rPr>
        <w:t>3 июля 1942 вышло постановление ГКО № 1958сс «О производстве танков Т-34 и Т-70» (постановление написано Сталиным собствен</w:t>
      </w:r>
      <w:r w:rsidRPr="001E2C69">
        <w:rPr>
          <w:rFonts w:eastAsia="Calibri"/>
          <w:color w:val="000000" w:themeColor="text1"/>
          <w:sz w:val="16"/>
          <w:szCs w:val="16"/>
        </w:rPr>
        <w:softHyphen/>
        <w:t>норучно), продублированное на следующий день в приказе НКТП № 499сс:</w:t>
      </w:r>
    </w:p>
    <w:p w14:paraId="7A95F453" w14:textId="77777777" w:rsidR="00C40D73" w:rsidRPr="001E2C69" w:rsidRDefault="00C40D73"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Директорам заводов №37 (т. Фрезерову), №264 (т. Кордкнеру) с 5 июля прекратить изготовление танков Т-60. Сохранить оснастку и часть мощностей для изготовления запасных частей к танку Т-60.</w:t>
      </w:r>
    </w:p>
    <w:p w14:paraId="65CB0A76" w14:textId="77777777" w:rsidR="00C40D73" w:rsidRPr="001E2C69" w:rsidRDefault="00C40D73" w:rsidP="00722885">
      <w:pPr>
        <w:tabs>
          <w:tab w:val="left" w:pos="1454"/>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Директору завода № 37(т. Фрезерову) развернуть подготовку про</w:t>
      </w:r>
      <w:r w:rsidRPr="001E2C69">
        <w:rPr>
          <w:rFonts w:ascii="Times New Roman" w:hAnsi="Times New Roman"/>
          <w:color w:val="000000" w:themeColor="text1"/>
          <w:sz w:val="16"/>
          <w:szCs w:val="16"/>
        </w:rPr>
        <w:softHyphen/>
        <w:t>изводства к выпуску танков Т-70 и обеспечить выпуск в июле месяце 25 танков Т- 70 по следующему суточному графику:</w:t>
      </w:r>
    </w:p>
    <w:p w14:paraId="395D49E1" w14:textId="77777777" w:rsidR="00C40D73" w:rsidRPr="001E2C69" w:rsidRDefault="00C40D73" w:rsidP="00722885">
      <w:pPr>
        <w:tabs>
          <w:tab w:val="left" w:pos="1736"/>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lang w:val="en-US"/>
        </w:rPr>
        <w:t>II</w:t>
      </w:r>
      <w:r w:rsidRPr="001E2C69">
        <w:rPr>
          <w:rFonts w:ascii="Times New Roman" w:hAnsi="Times New Roman"/>
          <w:color w:val="000000" w:themeColor="text1"/>
          <w:sz w:val="16"/>
          <w:szCs w:val="16"/>
        </w:rPr>
        <w:t>. декада — 5 штук.</w:t>
      </w:r>
    </w:p>
    <w:p w14:paraId="4AE7FDA0" w14:textId="77777777" w:rsidR="00C40D73" w:rsidRPr="001E2C69" w:rsidRDefault="00C40D73" w:rsidP="00722885">
      <w:pPr>
        <w:tabs>
          <w:tab w:val="left" w:pos="1827"/>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lang w:val="en-US"/>
        </w:rPr>
        <w:t>III</w:t>
      </w:r>
      <w:r w:rsidRPr="001E2C69">
        <w:rPr>
          <w:rFonts w:ascii="Times New Roman" w:hAnsi="Times New Roman"/>
          <w:color w:val="000000" w:themeColor="text1"/>
          <w:sz w:val="16"/>
          <w:szCs w:val="16"/>
        </w:rPr>
        <w:t>. декада — по 2 штуки в день.</w:t>
      </w:r>
    </w:p>
    <w:p w14:paraId="40F9C881" w14:textId="77777777" w:rsidR="00C40D73" w:rsidRPr="001E2C69" w:rsidRDefault="00C40D73"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Имеющийся задел по танкам Т-60 сдать в запасные части ТАБТУ в счет плана, а имеющийся задел по корпусам танков Т-60, не могущий быть использован для танков Т- 70, законсервировать.</w:t>
      </w:r>
    </w:p>
    <w:p w14:paraId="498DCD7C" w14:textId="77777777" w:rsidR="00C40D73" w:rsidRPr="001E2C69" w:rsidRDefault="00C40D73" w:rsidP="00722885">
      <w:pPr>
        <w:tabs>
          <w:tab w:val="left" w:pos="143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Директору завода № 264освободившиеся от производства Т-бОмощ- ности использовать для производства узлов и деталей для завода СТЗ по производству танков Т-34 и дизелей.</w:t>
      </w:r>
    </w:p>
    <w:p w14:paraId="6010F8F8" w14:textId="77777777" w:rsidR="00C40D73" w:rsidRPr="001E2C69" w:rsidRDefault="00C40D73"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Учесть, что часть оборудования моим дополнительным распоряжени</w:t>
      </w:r>
      <w:r w:rsidRPr="001E2C69">
        <w:rPr>
          <w:rFonts w:ascii="Times New Roman" w:hAnsi="Times New Roman"/>
          <w:color w:val="000000" w:themeColor="text1"/>
          <w:sz w:val="16"/>
          <w:szCs w:val="16"/>
        </w:rPr>
        <w:softHyphen/>
        <w:t>ем будет изъята с завода и передана другим заводам, производящим танки Т-34 и дизеля.</w:t>
      </w:r>
    </w:p>
    <w:p w14:paraId="062C23A7" w14:textId="77777777" w:rsidR="00C40D73" w:rsidRPr="001E2C69" w:rsidRDefault="00C40D73"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Оставшийся задел по танкам Т-60 сдать в запасные части в счет пла</w:t>
      </w:r>
      <w:r w:rsidRPr="001E2C69">
        <w:rPr>
          <w:rFonts w:ascii="Times New Roman" w:hAnsi="Times New Roman"/>
          <w:color w:val="000000" w:themeColor="text1"/>
          <w:sz w:val="16"/>
          <w:szCs w:val="16"/>
        </w:rPr>
        <w:softHyphen/>
        <w:t>на, имеющийся задел готовых корпусов законсервировать.</w:t>
      </w:r>
    </w:p>
    <w:p w14:paraId="6660842C" w14:textId="77777777" w:rsidR="00C40D73" w:rsidRPr="001E2C69" w:rsidRDefault="00C40D73" w:rsidP="00722885">
      <w:pPr>
        <w:tabs>
          <w:tab w:val="left" w:pos="1478"/>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Моему заместителю т. Торегляд немедленно выехать в Сталинград и на месте установить объем кооперации и изготовления деталей танка Т-34 и дизелей между заводами СТЗ и № 264.</w:t>
      </w:r>
    </w:p>
    <w:p w14:paraId="1FBB8944" w14:textId="77777777" w:rsidR="00C40D73" w:rsidRPr="001E2C69" w:rsidRDefault="00C40D73"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Разрешить использование механического оборудования, освободивше</w:t>
      </w:r>
      <w:r w:rsidRPr="001E2C69">
        <w:rPr>
          <w:rFonts w:ascii="Times New Roman" w:hAnsi="Times New Roman"/>
          <w:color w:val="000000" w:themeColor="text1"/>
          <w:sz w:val="16"/>
          <w:szCs w:val="16"/>
        </w:rPr>
        <w:softHyphen/>
        <w:t>гося от производства танков Т-60, на увеличение производства корпусов танков Т-34» (17485).</w:t>
      </w:r>
    </w:p>
    <w:p w14:paraId="788DC426" w14:textId="77777777" w:rsidR="00C40D73" w:rsidRPr="001E2C69" w:rsidRDefault="00C40D73" w:rsidP="00722885">
      <w:pPr>
        <w:spacing w:after="0" w:line="240" w:lineRule="auto"/>
        <w:jc w:val="both"/>
        <w:rPr>
          <w:rFonts w:ascii="Times New Roman" w:hAnsi="Times New Roman"/>
          <w:color w:val="000000" w:themeColor="text1"/>
          <w:sz w:val="16"/>
          <w:szCs w:val="16"/>
        </w:rPr>
      </w:pPr>
    </w:p>
    <w:p w14:paraId="71AAECD3" w14:textId="77777777" w:rsidR="00B33D31" w:rsidRPr="001E2C69"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3 июля 1942 года вышло постановление ГКО №1958 «О танках Т-34 и Т-70», согласно которому на ЧКЗ организовывалось производство Т-34. Все силы предприятия были брошены на новое задание, ради него пришлось сократить выпуск КВ-1. Организация производства Т-34 сильно повлияла на работы по КВ-1с, что же касается КВ-13, то активность по нему и вовсе на время затихла. Больше того, появилась угроза окончательного закрытия программы (17637).</w:t>
      </w:r>
    </w:p>
    <w:p w14:paraId="454C40C8" w14:textId="77777777" w:rsidR="00B33D31" w:rsidRPr="001E2C69" w:rsidRDefault="00B33D31" w:rsidP="00722885">
      <w:pPr>
        <w:spacing w:after="0" w:line="240" w:lineRule="auto"/>
        <w:jc w:val="both"/>
        <w:rPr>
          <w:rFonts w:ascii="Times New Roman" w:eastAsia="Times New Roman" w:hAnsi="Times New Roman"/>
          <w:color w:val="000000" w:themeColor="text1"/>
          <w:sz w:val="16"/>
          <w:szCs w:val="16"/>
          <w:lang w:eastAsia="ru-RU"/>
        </w:rPr>
      </w:pPr>
    </w:p>
    <w:p w14:paraId="195E0250" w14:textId="77777777" w:rsidR="00B33D31" w:rsidRPr="001E2C69"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3 июля 1942 вышло постановление ГКО № 1958сс «О производстве танков Т-34 и Т-70». Согласно ему завод № 264 с 5 июля прекращал выпуск Т-60, сконцентрировавшись на выпуске корпусов и башен для Т-34. Решение было абсолютно верным: к тому моменту уже вовсю шел выпуск Т-70, а СТЗ корпуса «тридцатьчетвёрок» были нужны как воздух. Тем не менее заводу № 264 удалось в июле сдать ещё 51 танк Т-60. Из-за несвоевременного поступления двигателей с ГАЗ и траков с СТЗ доукомплектование последних Т-60 закончилась 26 июля.</w:t>
      </w:r>
    </w:p>
    <w:p w14:paraId="468B7FBE" w14:textId="77777777" w:rsidR="00B33D31" w:rsidRPr="001E2C69"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Большинство танков июльского выпуска было отправлено на комплектование частей Сталинградского и Воронежского фронтов. Часть башен Т-60 из задела была использована в качестве неподвижных огневых точек. Несмотря на все трудности, завод № 264 оказался на втором месте по числу выпущенных Т-60: всего в Красноармейске было построено 1174 таких танка (17677).</w:t>
      </w:r>
    </w:p>
    <w:p w14:paraId="70B07D34" w14:textId="77777777" w:rsidR="00B33D31" w:rsidRPr="001E2C69" w:rsidRDefault="00B33D31" w:rsidP="00722885">
      <w:pPr>
        <w:spacing w:after="0" w:line="240" w:lineRule="auto"/>
        <w:jc w:val="both"/>
        <w:rPr>
          <w:rFonts w:ascii="Times New Roman" w:eastAsia="Times New Roman" w:hAnsi="Times New Roman"/>
          <w:color w:val="000000" w:themeColor="text1"/>
          <w:sz w:val="16"/>
          <w:szCs w:val="16"/>
          <w:lang w:eastAsia="ru-RU"/>
        </w:rPr>
      </w:pPr>
    </w:p>
    <w:p w14:paraId="5E0C1919" w14:textId="77777777" w:rsidR="00AD4360" w:rsidRPr="001E2C69" w:rsidRDefault="00AD4360" w:rsidP="00722885">
      <w:pPr>
        <w:shd w:val="clear" w:color="auto" w:fill="FFFFFF"/>
        <w:spacing w:after="0" w:line="240" w:lineRule="auto"/>
        <w:jc w:val="both"/>
        <w:rPr>
          <w:rFonts w:ascii="Times New Roman" w:hAnsi="Times New Roman"/>
          <w:color w:val="000000" w:themeColor="text1"/>
          <w:sz w:val="16"/>
          <w:szCs w:val="16"/>
        </w:rPr>
      </w:pPr>
      <w:r w:rsidRPr="001E2C69">
        <w:rPr>
          <w:rStyle w:val="920"/>
          <w:rFonts w:ascii="Times New Roman" w:hAnsi="Times New Roman" w:cs="Times New Roman"/>
          <w:color w:val="000000" w:themeColor="text1"/>
          <w:sz w:val="16"/>
          <w:szCs w:val="16"/>
        </w:rPr>
        <w:t>3 июля 1942 года вышло постановление ГКО № 1958 «О танках Т-34 и Т-70», согласно которому на ЧКЗ организовы</w:t>
      </w:r>
      <w:r w:rsidRPr="001E2C69">
        <w:rPr>
          <w:rStyle w:val="920"/>
          <w:rFonts w:ascii="Times New Roman" w:hAnsi="Times New Roman" w:cs="Times New Roman"/>
          <w:color w:val="000000" w:themeColor="text1"/>
          <w:sz w:val="16"/>
          <w:szCs w:val="16"/>
        </w:rPr>
        <w:softHyphen/>
        <w:t>валось производство Т-34. Ради нового танка Зальцман, которого назначили вместо Малы</w:t>
      </w:r>
      <w:r w:rsidRPr="001E2C69">
        <w:rPr>
          <w:rStyle w:val="920"/>
          <w:rFonts w:ascii="Times New Roman" w:hAnsi="Times New Roman" w:cs="Times New Roman"/>
          <w:color w:val="000000" w:themeColor="text1"/>
          <w:sz w:val="16"/>
          <w:szCs w:val="16"/>
        </w:rPr>
        <w:softHyphen/>
        <w:t>шева наркомом танковой промышленности, был вынужден сильно сократить выпуск КВ-1, а затем и КВ-1с. КВ-13 и вовсе «поставили на паузу». Все эти изменения фатально сказа</w:t>
      </w:r>
      <w:r w:rsidRPr="001E2C69">
        <w:rPr>
          <w:rStyle w:val="920"/>
          <w:rFonts w:ascii="Times New Roman" w:hAnsi="Times New Roman" w:cs="Times New Roman"/>
          <w:color w:val="000000" w:themeColor="text1"/>
          <w:sz w:val="16"/>
          <w:szCs w:val="16"/>
        </w:rPr>
        <w:softHyphen/>
        <w:t>лись на здоровье Цейца, который очень пере</w:t>
      </w:r>
      <w:r w:rsidRPr="001E2C69">
        <w:rPr>
          <w:rStyle w:val="920"/>
          <w:rFonts w:ascii="Times New Roman" w:hAnsi="Times New Roman" w:cs="Times New Roman"/>
          <w:color w:val="000000" w:themeColor="text1"/>
          <w:sz w:val="16"/>
          <w:szCs w:val="16"/>
        </w:rPr>
        <w:softHyphen/>
        <w:t>живал за свою машину. 12 июля 1942 года он умер на рабочем месте.</w:t>
      </w:r>
    </w:p>
    <w:p w14:paraId="112BC082" w14:textId="77777777" w:rsidR="00AD4360" w:rsidRPr="001E2C69" w:rsidRDefault="00AD4360" w:rsidP="00722885">
      <w:pPr>
        <w:pStyle w:val="1162"/>
        <w:shd w:val="clear" w:color="auto" w:fill="auto"/>
        <w:spacing w:after="0" w:line="240" w:lineRule="auto"/>
        <w:ind w:firstLine="0"/>
        <w:jc w:val="both"/>
        <w:rPr>
          <w:rStyle w:val="930"/>
          <w:rFonts w:ascii="Times New Roman" w:hAnsi="Times New Roman" w:cs="Times New Roman"/>
          <w:color w:val="000000" w:themeColor="text1"/>
          <w:sz w:val="16"/>
          <w:szCs w:val="16"/>
        </w:rPr>
      </w:pPr>
      <w:r w:rsidRPr="001E2C69">
        <w:rPr>
          <w:rStyle w:val="930"/>
          <w:rFonts w:ascii="Times New Roman" w:hAnsi="Times New Roman" w:cs="Times New Roman"/>
          <w:color w:val="000000" w:themeColor="text1"/>
          <w:sz w:val="16"/>
          <w:szCs w:val="16"/>
        </w:rPr>
        <w:t>После смерти Цейца ведущим инженером по КВ-13 стал Н.Ф. Шашмурин. Данный про</w:t>
      </w:r>
      <w:r w:rsidRPr="001E2C69">
        <w:rPr>
          <w:rStyle w:val="930"/>
          <w:rFonts w:ascii="Times New Roman" w:hAnsi="Times New Roman" w:cs="Times New Roman"/>
          <w:color w:val="000000" w:themeColor="text1"/>
          <w:sz w:val="16"/>
          <w:szCs w:val="16"/>
        </w:rPr>
        <w:softHyphen/>
        <w:t>ект он очень не любил, поскольку считал, что машина не является полноценным тяжелым танком</w:t>
      </w:r>
      <w:r w:rsidRPr="001E2C69">
        <w:rPr>
          <w:rStyle w:val="930"/>
          <w:rFonts w:ascii="Times New Roman" w:hAnsi="Times New Roman" w:cs="Times New Roman"/>
          <w:color w:val="000000" w:themeColor="text1"/>
          <w:sz w:val="16"/>
          <w:szCs w:val="16"/>
          <w:lang w:val="ru-RU"/>
        </w:rPr>
        <w:t xml:space="preserve"> (19872)</w:t>
      </w:r>
      <w:r w:rsidRPr="001E2C69">
        <w:rPr>
          <w:rStyle w:val="930"/>
          <w:rFonts w:ascii="Times New Roman" w:hAnsi="Times New Roman" w:cs="Times New Roman"/>
          <w:color w:val="000000" w:themeColor="text1"/>
          <w:sz w:val="16"/>
          <w:szCs w:val="16"/>
        </w:rPr>
        <w:t>.</w:t>
      </w:r>
    </w:p>
    <w:p w14:paraId="5684F6B8" w14:textId="77777777" w:rsidR="00AD4360" w:rsidRPr="001E2C69" w:rsidRDefault="00AD4360" w:rsidP="00722885">
      <w:pPr>
        <w:pStyle w:val="1162"/>
        <w:shd w:val="clear" w:color="auto" w:fill="auto"/>
        <w:spacing w:after="0" w:line="240" w:lineRule="auto"/>
        <w:ind w:firstLine="0"/>
        <w:jc w:val="both"/>
        <w:rPr>
          <w:rStyle w:val="930"/>
          <w:rFonts w:ascii="Times New Roman" w:hAnsi="Times New Roman" w:cs="Times New Roman"/>
          <w:color w:val="000000" w:themeColor="text1"/>
          <w:sz w:val="16"/>
          <w:szCs w:val="16"/>
        </w:rPr>
      </w:pPr>
    </w:p>
    <w:p w14:paraId="0CAB1514"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июля 1942 года вышло постановление ГКО № 1958сс “О производстве танков Т-34 и Т-70”, по которому выпуск Т-60 с завода №37 снимался. Всего за июль было сдано 10 Т-60, уже 5 июля сдача прекратилась, после чего началась подготовка производства Т-70. Правда, 70-ке повезло еще меньше. 28 июля 1942 года было подписано постановление ГКО №2120 "Об организации производства танков Т-34 на Уралмашзаводе и заводе №37 Наркомтанкопрома". Уже к 29 сентября реорганизованный завод №37, ставший частью УЗТМ (завод №50), изготовил первые два Т-34. Наработки по производству Т-70 были переданы заводу №38. А вот история свердловских Т-60 продолжалось немного дольше, чем планировалось (23355).</w:t>
      </w:r>
    </w:p>
    <w:p w14:paraId="1A5458C4" w14:textId="77777777" w:rsidR="007F3738" w:rsidRPr="008A2E5A" w:rsidRDefault="007F3738" w:rsidP="007F3738">
      <w:pPr>
        <w:spacing w:after="0" w:line="240" w:lineRule="auto"/>
        <w:jc w:val="both"/>
        <w:rPr>
          <w:rFonts w:ascii="Times New Roman" w:hAnsi="Times New Roman"/>
          <w:color w:val="0070C0"/>
          <w:sz w:val="16"/>
          <w:szCs w:val="16"/>
        </w:rPr>
      </w:pPr>
    </w:p>
    <w:p w14:paraId="30DE0908"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июля 1942 года Сталин подписал постановление ГКО № 1958сс "О производстве танков Т-34 и Т-70". Согласно ему, выпуск Т-60 на заводе №37 и №264 прекращался. Несмотря на подобный поворот событий, заводу №264 удалось сдать в июле 51 танк. В виду несвоевременного поступления двигателей и ГАЗ и траков с СТЗ, доукомплектование последних Т-60 закончилось 26 июля. Большинство танков июльского выпуска было отправлено на комплектование частей Сталинградского и Воронежского фронтов. Впрочем, наступающих на Сталинград немцев и румын встретили не только танки: часть башен Т-60 из задела было использовано в качестве неподвижных огневых точек. Несмотря на все трудности, завод №264 оказался на втором месте по числу выпущенных Т-60: всего в Красноармейске было выпущено 1174 танка. Сам же завод №264 продолжил заниматься корпусным производством. Например, он занимался рубками для ИСУ, а также являлся смежником по Т-44 (23360).</w:t>
      </w:r>
    </w:p>
    <w:p w14:paraId="510D49BA" w14:textId="77777777" w:rsidR="007F3738" w:rsidRPr="008A2E5A" w:rsidRDefault="007F3738" w:rsidP="007F3738">
      <w:pPr>
        <w:spacing w:after="0" w:line="240" w:lineRule="auto"/>
        <w:jc w:val="both"/>
        <w:rPr>
          <w:rFonts w:ascii="Times New Roman" w:hAnsi="Times New Roman"/>
          <w:color w:val="0070C0"/>
          <w:sz w:val="16"/>
          <w:szCs w:val="16"/>
        </w:rPr>
      </w:pPr>
    </w:p>
    <w:p w14:paraId="45F9D339" w14:textId="77777777" w:rsidR="00AD4360" w:rsidRPr="001E2C69" w:rsidRDefault="00AD43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июля 1942 г.</w:t>
      </w:r>
    </w:p>
    <w:p w14:paraId="1C291E81" w14:textId="77777777" w:rsidR="00AD4360" w:rsidRPr="001E2C69" w:rsidRDefault="00AD43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РГАЭ Фонд 8752 Опись 4 Дело 91 лист 207</w:t>
      </w:r>
    </w:p>
    <w:p w14:paraId="70840ACF" w14:textId="77777777" w:rsidR="00AD4360" w:rsidRPr="001E2C69" w:rsidRDefault="00AD43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Секретно</w:t>
      </w:r>
    </w:p>
    <w:p w14:paraId="149FA023" w14:textId="77777777" w:rsidR="00AD4360" w:rsidRPr="001E2C69" w:rsidRDefault="00AD43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 ПО НАРОДНОМУ КОМИССАРИАТУ ТАНКОВОЙ ПРОМЫШЛЕННОСТИ СОЮЗА ССР № 498с</w:t>
      </w:r>
    </w:p>
    <w:p w14:paraId="4ACF18C9" w14:textId="77777777" w:rsidR="00AD4360" w:rsidRPr="001E2C69" w:rsidRDefault="00AD43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Москва</w:t>
      </w:r>
    </w:p>
    <w:p w14:paraId="05F6A819" w14:textId="77777777" w:rsidR="00AD4360" w:rsidRPr="001E2C69" w:rsidRDefault="00AD43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июля 1942 г.</w:t>
      </w:r>
    </w:p>
    <w:p w14:paraId="629B68B9" w14:textId="77777777" w:rsidR="00AD4360" w:rsidRPr="001E2C69" w:rsidRDefault="00AD43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отработки конструкции катковых минных тралов ПРИКАЗЫВАЮ:</w:t>
      </w:r>
    </w:p>
    <w:p w14:paraId="7F0D7066" w14:textId="77777777" w:rsidR="00AD4360" w:rsidRPr="001E2C69" w:rsidRDefault="00AD43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Главному инженеру Кировского завода т. Махонину и директору завода № 100 т. Ворошилову – изготовить к 1-му августа опытную партию катковых минных тралов, унифицированных для танков КВ-1 и Т-34, в количестве 3 шт.</w:t>
      </w:r>
    </w:p>
    <w:p w14:paraId="419DE82C" w14:textId="77777777" w:rsidR="00AD4360" w:rsidRPr="001E2C69" w:rsidRDefault="00AD43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Главному инженеру Кировского завода т. Махонину:</w:t>
      </w:r>
    </w:p>
    <w:p w14:paraId="61E0C835" w14:textId="77777777" w:rsidR="00AD4360" w:rsidRPr="001E2C69" w:rsidRDefault="00AD43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при проектировании использовать конструкции катковых минных тралов, ранее разработанных Кировским заводом, НАТИ и заводом № 174.</w:t>
      </w:r>
    </w:p>
    <w:p w14:paraId="076D8C7F" w14:textId="77777777" w:rsidR="00AD4360" w:rsidRPr="001E2C69" w:rsidRDefault="00AD43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испытания тралов провести с представителями ГАБТУ КА, закончить их к 10-му августа и отчет представить на утверждение не позднее 12-го августа с.г.</w:t>
      </w:r>
    </w:p>
    <w:p w14:paraId="10B3A58D" w14:textId="77777777" w:rsidR="00AD4360" w:rsidRPr="001E2C69" w:rsidRDefault="00AD43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2-му отделу НКТП разработать и согласовать с ГАБТУ КА программу испытания тралов.</w:t>
      </w:r>
    </w:p>
    <w:p w14:paraId="56E2DBA7" w14:textId="77777777" w:rsidR="00AD4360" w:rsidRPr="001E2C69" w:rsidRDefault="00AD43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Контроль за выполнением данного приказа возлагаю на т. Гинзбурга.</w:t>
      </w:r>
    </w:p>
    <w:p w14:paraId="58116FCE" w14:textId="77777777" w:rsidR="00AD4360" w:rsidRPr="001E2C69" w:rsidRDefault="00AD43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ЗАМЕСТИТЕЛЬ НАРОДНОГО КОМИССАР ТАНКОВОЙ ПРОМЫШЛЕННОСТИ СОЮЗА ССР:</w:t>
      </w:r>
    </w:p>
    <w:p w14:paraId="2FFB1F62" w14:textId="77777777" w:rsidR="00AD4360" w:rsidRPr="001E2C69" w:rsidRDefault="00AD43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подпись (СТЕПАНОВ) (21211).</w:t>
      </w:r>
    </w:p>
    <w:p w14:paraId="4FEFBB82" w14:textId="77777777" w:rsidR="00AD4360" w:rsidRPr="001E2C69" w:rsidRDefault="00AD4360" w:rsidP="00722885">
      <w:pPr>
        <w:spacing w:after="0" w:line="240" w:lineRule="auto"/>
        <w:jc w:val="both"/>
        <w:rPr>
          <w:rFonts w:ascii="Times New Roman" w:hAnsi="Times New Roman"/>
          <w:color w:val="000000" w:themeColor="text1"/>
          <w:sz w:val="16"/>
          <w:szCs w:val="16"/>
        </w:rPr>
      </w:pPr>
    </w:p>
    <w:p w14:paraId="3DC02449" w14:textId="77777777" w:rsidR="00C40D73" w:rsidRPr="001E2C69" w:rsidRDefault="00C40D73" w:rsidP="00722885">
      <w:pPr>
        <w:pStyle w:val="162"/>
        <w:shd w:val="clear" w:color="auto" w:fill="auto"/>
        <w:spacing w:line="240" w:lineRule="auto"/>
        <w:jc w:val="both"/>
        <w:rPr>
          <w:color w:val="000000" w:themeColor="text1"/>
          <w:sz w:val="16"/>
          <w:szCs w:val="16"/>
        </w:rPr>
      </w:pPr>
      <w:r w:rsidRPr="001E2C69">
        <w:rPr>
          <w:rFonts w:eastAsia="Calibri"/>
          <w:color w:val="000000" w:themeColor="text1"/>
          <w:sz w:val="16"/>
          <w:szCs w:val="16"/>
        </w:rPr>
        <w:t>3 июля 1942 было готово заключение 4-го отдела ГВХУ КА (Главное военно-химическое управление Красной Армии) по разработанному на ЧТЗ в конце июня 1942 года проекту ГХП:</w:t>
      </w:r>
    </w:p>
    <w:p w14:paraId="0F3CC9AF" w14:textId="77777777" w:rsidR="00C40D73" w:rsidRPr="001E2C69" w:rsidRDefault="00C40D73"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«КБ завода 200 предлагает конструкцию гусеничного химического при</w:t>
      </w:r>
      <w:r w:rsidRPr="001E2C69">
        <w:rPr>
          <w:rFonts w:ascii="Times New Roman" w:hAnsi="Times New Roman"/>
          <w:color w:val="000000" w:themeColor="text1"/>
          <w:sz w:val="16"/>
          <w:szCs w:val="16"/>
        </w:rPr>
        <w:softHyphen/>
        <w:t>цепа к танкам «КБ» и «Т-34». ГХП предназначен для заражения мест</w:t>
      </w:r>
      <w:r w:rsidRPr="001E2C69">
        <w:rPr>
          <w:rFonts w:ascii="Times New Roman" w:hAnsi="Times New Roman"/>
          <w:color w:val="000000" w:themeColor="text1"/>
          <w:sz w:val="16"/>
          <w:szCs w:val="16"/>
        </w:rPr>
        <w:softHyphen/>
        <w:t>ности СОВ, газопуска ВОВ, туманопуска СОВ, нейтрального дымопуска и дегазации местности.</w:t>
      </w:r>
    </w:p>
    <w:p w14:paraId="2A11E4CA" w14:textId="77777777" w:rsidR="00C40D73" w:rsidRPr="001E2C69" w:rsidRDefault="00C40D73"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Химическая аппаратура монтируется на прицепах типа десантных, разработанных и изготовленных заводом № 200 в виде опытных образцов.</w:t>
      </w:r>
    </w:p>
    <w:p w14:paraId="0B82E54A" w14:textId="77777777" w:rsidR="00C40D73" w:rsidRPr="001E2C69" w:rsidRDefault="00C40D73"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консультации с БТУ ГАБТУ КА установлена дефицитность с тра</w:t>
      </w:r>
      <w:r w:rsidRPr="001E2C69">
        <w:rPr>
          <w:rFonts w:ascii="Times New Roman" w:hAnsi="Times New Roman"/>
          <w:color w:val="000000" w:themeColor="text1"/>
          <w:sz w:val="16"/>
          <w:szCs w:val="16"/>
        </w:rPr>
        <w:softHyphen/>
        <w:t>ками, качественными сталями для подвесок и подшипников для танко</w:t>
      </w:r>
      <w:r w:rsidRPr="001E2C69">
        <w:rPr>
          <w:rFonts w:ascii="Times New Roman" w:hAnsi="Times New Roman"/>
          <w:color w:val="000000" w:themeColor="text1"/>
          <w:sz w:val="16"/>
          <w:szCs w:val="16"/>
        </w:rPr>
        <w:softHyphen/>
        <w:t>строения Основным направлением к проектированию танковых прицепов решено идти по линии создания в массовом количестве танковых прицепов-воло- куш, с меньшей емкостью химической аппаратуры, чем можно получить на базе гусеничного прицепа, но с отсутствием дефицитных материалов, деталей и дешевизной в изготовлении.</w:t>
      </w:r>
    </w:p>
    <w:p w14:paraId="37A2FB6F" w14:textId="77777777" w:rsidR="00C40D73" w:rsidRPr="001E2C69" w:rsidRDefault="00C40D73"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Химический прицеп-волокуша предполагает более широкое тактиче</w:t>
      </w:r>
      <w:r w:rsidRPr="001E2C69">
        <w:rPr>
          <w:rFonts w:ascii="Times New Roman" w:hAnsi="Times New Roman"/>
          <w:color w:val="000000" w:themeColor="text1"/>
          <w:sz w:val="16"/>
          <w:szCs w:val="16"/>
        </w:rPr>
        <w:softHyphen/>
        <w:t>ское применение, чем ГХП.</w:t>
      </w:r>
    </w:p>
    <w:p w14:paraId="0294A9F8" w14:textId="77777777" w:rsidR="00C40D73" w:rsidRPr="001E2C69" w:rsidRDefault="00C40D73"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Заключение</w:t>
      </w:r>
    </w:p>
    <w:p w14:paraId="1C493E00" w14:textId="77777777" w:rsidR="00C40D73" w:rsidRPr="001E2C69" w:rsidRDefault="00C40D73" w:rsidP="00722885">
      <w:pPr>
        <w:tabs>
          <w:tab w:val="left" w:pos="547"/>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Предполагаемый гусеничный химический прицеп ввиду дефицитно</w:t>
      </w:r>
      <w:r w:rsidRPr="001E2C69">
        <w:rPr>
          <w:rFonts w:ascii="Times New Roman" w:hAnsi="Times New Roman"/>
          <w:color w:val="000000" w:themeColor="text1"/>
          <w:sz w:val="16"/>
          <w:szCs w:val="16"/>
        </w:rPr>
        <w:softHyphen/>
        <w:t>сти ряда материалов и деталей ходовой части прицепа — принятым для изготовления опытных образцов быть не может.</w:t>
      </w:r>
    </w:p>
    <w:p w14:paraId="40DC549A" w14:textId="77777777" w:rsidR="00C40D73" w:rsidRPr="001E2C69" w:rsidRDefault="00C40D73" w:rsidP="00722885">
      <w:pPr>
        <w:tabs>
          <w:tab w:val="left" w:pos="514"/>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По утверждении ТТТ на прицепы-волокуши, заводу будет выслан 1 экземпляр для проектирования» (17485).</w:t>
      </w:r>
    </w:p>
    <w:p w14:paraId="5FA6772D" w14:textId="77777777" w:rsidR="00C40D73" w:rsidRPr="001E2C69" w:rsidRDefault="00C40D73" w:rsidP="00722885">
      <w:pPr>
        <w:pStyle w:val="af"/>
        <w:spacing w:before="0" w:after="0"/>
        <w:jc w:val="both"/>
        <w:rPr>
          <w:color w:val="000000" w:themeColor="text1"/>
          <w:sz w:val="16"/>
          <w:szCs w:val="16"/>
        </w:rPr>
      </w:pPr>
    </w:p>
    <w:p w14:paraId="1036F46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июля 1942 вышло Постановление ГКО № 1959 О назначении Малышева и Зернова. РГАНИР, Фонд ГКО, д. 40, лл. 112 (11012).</w:t>
      </w:r>
    </w:p>
    <w:p w14:paraId="274A10D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740B20"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Армия:</w:t>
      </w:r>
    </w:p>
    <w:p w14:paraId="01DBA55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63B959"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3 июля</w:t>
      </w:r>
      <w:r w:rsidRPr="001E2C69">
        <w:rPr>
          <w:rFonts w:ascii="Times New Roman" w:hAnsi="Times New Roman"/>
          <w:color w:val="000000" w:themeColor="text1"/>
          <w:sz w:val="16"/>
          <w:szCs w:val="16"/>
        </w:rPr>
        <w:t xml:space="preserve"> в 1942 году утреннее сообщение Совинформбюро:</w:t>
      </w:r>
    </w:p>
    <w:p w14:paraId="26CA8000"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3 июля на Курском, Белгородском и Волчанском направлениях наши войска вели бои с противником.</w:t>
      </w:r>
    </w:p>
    <w:p w14:paraId="419D435C"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Севастопольском участке фронта продолжались бои на улицах города.</w:t>
      </w:r>
    </w:p>
    <w:p w14:paraId="492E0593"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0598BA7D"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Курском направлении идут напряжённые бои, в ходе которых наши войска наносят противнику большие потери. По неполным данным, только за одни сутки немцы потеряли убитыми несколько тысяч солдат и офицеров. Гитлеровцам ценою больших потерь удалось ворваться на южную окраину деревни Б. Наши бойцы подкомандованием тов. Бурдакова перешли в контратаку и отбросили противника. Немцы потеряли в этом бою убитыми и ранеными более 100 человек. Батарея лейтенанта Пискарёва в течение дня рассеяла и в значительной части уничтожила до двух батальонов пехоты противника.</w:t>
      </w:r>
    </w:p>
    <w:p w14:paraId="4F36F7F8"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Наша авиация, действующая на Курском направлении, уничтожила несколько десятков немецких танков, до 200 автомашин, 15 зенитных орудий и взорвала склад с боеприпасами противника. В воздушных боях советские лётчики сбили 20 немецких самолётов и 5 самолётов уничтожили на аэродромах.</w:t>
      </w:r>
    </w:p>
    <w:p w14:paraId="0AD3C588"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Батальон немецкой пехоты атаковал позиции одной нашей части. Гвардейцы-артиллеристы огнём своих орудий прижали гитлеровцев к земле и уничтожили 2 станковых пулемёта, миномётную батарею и 150 солдат и офицеров противника. На другом участке 3 немецких танка зашли в тыл орудийного расчёта Козырева. Метким огнём гвардеец-наводчик подбил два немецких танка. Третий танк противника повернул назад, но уйти ему не удалось. Одним из снарядов была разбита башня танка. Немецкие автоматчики соскочили с подбитых танков и пытались скрыться. Артиллеристы открыли огонь шрапнелью и уничтожили свыше 40 гитлеровцев.</w:t>
      </w:r>
    </w:p>
    <w:p w14:paraId="794D9D1D"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Миномётная батарея части, где командиром тов. Митрофанов, за последние дни уничтожила зенитное орудие противника, разбила 3 блиндажа, взорвала склад с боеприпасами, рассеяла и частью уничтожила до двух рот пехоты противника.</w:t>
      </w:r>
    </w:p>
    <w:p w14:paraId="31914FE8"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Разведывательная группа бойцов под командованием лейтенанта Игнатенкова, внезапно атаковав немцев, уничтожила 2 пулемёта и до 30 гитлеровцев.</w:t>
      </w:r>
    </w:p>
    <w:p w14:paraId="2EB34030"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«Смерть немецким оккупантам», действующий в одном из районов Орловской области, пустил под откос воинский эшелон противника. Разбито 14 вагонов с живой силой и 3 платформы с бронемашинами. Погибло при крушении до 300 оккупантов.</w:t>
      </w:r>
    </w:p>
    <w:p w14:paraId="2DB2412A"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Украинский партизанский отряд под командованием тов. М. в конце июня месяца разгромил роту эсэсовцев. Партизаны захватили у немцев 10 пулемётов, 81 винтовку, 2 миномёта, 7 пистолетов, 12.000 винтовочных патронов, обмундирование и другое военное имущество.</w:t>
      </w:r>
    </w:p>
    <w:p w14:paraId="2A7AA5ED"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Взятый в плен на Курском направлении солдат 45 немецкой пехотной дивизии Тюхлер заявил: «Приказ о наступлении солдаты встретили ропотом. Нас напоили водкой и погнали вперёд. Позади наступающей пехоты были расположены пулемёты, готовые открыть огонь по тому, кто остановится или повернёт назад. Когда начались приготовления к наступлению, два солдата из моей роты дезертировали. 30 июня наша рота была разгромлена и фактически перестала существовать. В ней осталось только 18 человек.</w:t>
      </w:r>
    </w:p>
    <w:p w14:paraId="3E3C3B61"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поле боя подобрано письмо немецкого военного врача Вальтера Баума к хирургу, проживающему во Франкфурте-на-Майне. В письме говорится: «...Я смертельно устал. Никогда и нигде еще врачу не приходилось так трудно, как нам в России. За три месяца я обслужил около 9 тысяч раненых и больных. Тяжелораненные — это обречённые люди. Они заживо гниют, и все смотрят на них как на обузу... Некоторые умоляют сестёр и врачей дать им яду и помочь раз и навсегда избавиться от страданий... Госпитали и лазареты набиты до отказа. Медикаментов нет. Каждый день мы отправляем на кладбище длинный транспорт гробов... Люди проехали тысячу с лишним километров, чтобы найти свою смерть на чужбине...Сплошное безумие».</w:t>
      </w:r>
    </w:p>
    <w:p w14:paraId="27BEE09D"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Военный завод в Герстале (Бельгия), выпускавший продукцию для германской армии, был вынужден прекратить работу из-за недостатка меди.» (14941).</w:t>
      </w:r>
    </w:p>
    <w:p w14:paraId="60BBC1D9" w14:textId="77777777" w:rsidR="00B01B21" w:rsidRPr="001E2C69" w:rsidRDefault="00B01B21" w:rsidP="00722885">
      <w:pPr>
        <w:spacing w:after="0" w:line="240" w:lineRule="auto"/>
        <w:jc w:val="both"/>
        <w:rPr>
          <w:rFonts w:ascii="Times New Roman" w:hAnsi="Times New Roman"/>
          <w:color w:val="000000" w:themeColor="text1"/>
          <w:sz w:val="16"/>
          <w:szCs w:val="16"/>
        </w:rPr>
      </w:pPr>
    </w:p>
    <w:p w14:paraId="1E08815E"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3 июля</w:t>
      </w:r>
      <w:r w:rsidRPr="001E2C69">
        <w:rPr>
          <w:rFonts w:ascii="Times New Roman" w:hAnsi="Times New Roman"/>
          <w:color w:val="000000" w:themeColor="text1"/>
          <w:sz w:val="16"/>
          <w:szCs w:val="16"/>
        </w:rPr>
        <w:t xml:space="preserve"> в 1942 году вечернее сообщение Совинформбюро:</w:t>
      </w:r>
    </w:p>
    <w:p w14:paraId="4757BD54"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3 июля на Курском направлении наши войска отражали крупные и ожесточённые танковые атаки немецко-фашистских войск. Противник несёт огромные потери. За день боёв уничтожено более 250 танков и свыше 15.000 немецких солдат и офицеров.</w:t>
      </w:r>
    </w:p>
    <w:p w14:paraId="0C07129D"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Белгородском и Волчанском направлениях наши войска отражали атаки противника.</w:t>
      </w:r>
    </w:p>
    <w:p w14:paraId="0661D560"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восьмимесячной героической обороны наши войска оставилиСевастополь.</w:t>
      </w:r>
    </w:p>
    <w:p w14:paraId="72436A29"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1F4CA021"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2 июля частями нашей авиации на различных участках фронта уничтожено или повреждено до 50 немецких танков, свыше 200 автомашин с войсками и грузами, подавлен огонь 6 батарей полевой и зенитной артиллерии, взорвано 3 склада с боеприпасами, сожжено 13 автоцистерн и бензозаправщиков, рассеяно и частью уничтожено до двух батальонов пехоты противника.</w:t>
      </w:r>
    </w:p>
    <w:p w14:paraId="59A7E7EE"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Волчанского направления немцы бросили в атаку против наших войск до 100 танков. Наши танкисты и бронебойщики стойко встретили вражеские машины. В результате боевых действий на поле боя осталось несколько десятков подбитых и горящих немецких танков.</w:t>
      </w:r>
    </w:p>
    <w:p w14:paraId="19797C6A"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Белгородского направления крупные силы пехоты противника, поддержанные танками, пытались прорвать нашу оборону. Наши войска отбили атаку немцев и нанесли им большой урон. На другом участке артиллеристы и танкисты уничтожили 27 танков и свыше 500 солдат и офицеров противника.</w:t>
      </w:r>
    </w:p>
    <w:p w14:paraId="64A6B803"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отдельных участках Западного фронта нашей артиллерией разрушены ДЗОТ, 7 блиндажей, уничтожены орудие, миномёт и взорвано два склада с боеприпасами противника.</w:t>
      </w:r>
    </w:p>
    <w:p w14:paraId="6AEE2C32"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Девятнадцать наших разведчиков под командованием лейтенанта Жученко (Калининский фронт) пробрались в тыл противника и устроили засаду в одном населённом пункте. На следующий день в этот населённый пункт пришло до 250 немцев. Несмотря на численное превосходство противника, разведчики решили вступить в бой. Первыми же выстрелами они уничтожили 17 гитлеровцев. Опомнившисьот внезапного удара, немцы пошли в атаку. Им удалось окружить дом, в котором находился лейтенант Жученко с группой бойцов. Отважные разведчики гранатами и огнём из автоматов уничтожили 80 гитлеровцев, прорвали вражеское кольцо и вернулись в свою часть.</w:t>
      </w:r>
    </w:p>
    <w:p w14:paraId="4E226396"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партизан, действующий в одном из районов Киевской области, устроил ночью завал на линии железной дороги. Когда поезд с немецкими войсками был вынужден остановиться, партизаны забросали вагоны гранатами, открыли огонь из пулемётов и уничтожили свыше 150 оккупантов.</w:t>
      </w:r>
    </w:p>
    <w:p w14:paraId="18536137"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Немецкий ефрейтор Шмидт писал недавно семье Флершингер в Дуденгофен: «Насколько легко нам было во Франции, настолько тяжело здесь. Недавно русские очень сильно обстреляли наш транспорт. До самого вечера мы хоронили убитых. Русские стреляют очень точно — это мы уже почувствовали... Последняя атака стоила нам тяжёлых потерь, и через три дня мы вынуждены были отступить. Многим не удалось выскочить живыми из землянок. На бумаге всего этого не опишешь. Я никому не желал бы попасть сюда».</w:t>
      </w:r>
    </w:p>
    <w:p w14:paraId="51C527C9"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Немецкий унтер-офицер Адольф Мертинг пишет своему брату Августу Мертингу в Шверин (Мекленбург): «Скоро тебя, вероятно, отправят в действующую армию. Да спасёт тебя судьба от России! Здесь нас повсюду подстерегает смерть, причём сейчас даже более опасно, чем в самые трудные зимние дни».</w:t>
      </w:r>
    </w:p>
    <w:p w14:paraId="13943BB0"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Среди населения Румынии за последнее время усилились антивоенные настроения. В Бухаресте полиция раскрыла подпольную организацию, в которую входили представители различных политических течений. Участники этой организации ставили перед собой задачу добиться выхода Румынии из войны. Организация имела типографию и склады с оружием.»</w:t>
      </w:r>
    </w:p>
    <w:p w14:paraId="38C29778"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250 дней героической обороны Севастополя.</w:t>
      </w:r>
    </w:p>
    <w:p w14:paraId="1C39A9D7"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 войска оставили Севастополь.</w:t>
      </w:r>
    </w:p>
    <w:p w14:paraId="6B356F60"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Верховного Командования Красной Армии 3 июля советские войска оставили город Севастополь.</w:t>
      </w:r>
    </w:p>
    <w:p w14:paraId="7BFEA0A5"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течение 250 дней героический советский город с беспримерным мужеством и стойкостью отбивал бесчисленные атаки немецких войск. Последние 25 дней противник ожесточённо и беспрерывно штурмовал город с суши и с воздуха. Отрезанные от сухопутных связей с тылом, испытывая трудности с подвозом боеприпасов и продовольствия, не имея в своём распоряжении аэродромов, а стало быть, и достаточного прикрытия с воздуха, советские пехотинцы, моряки, командирыи политработники совершали чудеса воинской доблести и геройства в деле обороны Севастополя. Немцы в июне бросили против отважных защитников Севастополя </w:t>
      </w:r>
      <w:r w:rsidRPr="001E2C69">
        <w:rPr>
          <w:rFonts w:ascii="Times New Roman" w:hAnsi="Times New Roman"/>
          <w:color w:val="000000" w:themeColor="text1"/>
          <w:sz w:val="16"/>
          <w:szCs w:val="16"/>
        </w:rPr>
        <w:lastRenderedPageBreak/>
        <w:t>до 300.000 своих солдат, свыше 400 танков и до 900 самолётов. Основная задача защитников Севастополя сводилась к тому, чтобы приковать на севастопольском участке фронта как можно больше немецко-фашистских войск и уничтожить как можно больше живой силы и техники противника.</w:t>
      </w:r>
    </w:p>
    <w:p w14:paraId="7265D3FF"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Сколь успешно выполнил севастопольский гарнизон свою задачу, это лучше всеговидно из следующих фактических данных. Только за последние 25 дней штурма севастопольской обороны полностью разгромлены 22, 24, 28, 50, 132 и 170 немецкие пехотные дивизии и четыре отдельных полка, 22 танковая дивизия и отдельная мехбригада, 1, 4 и 18 румынские дивизии и большое количество частей из других соединений. За этот короткий период немцы потеряли под Севастополем до 150.000солдат и офицеров, из них не менее 60.000 убитыми, более 250 танков, до 250 орудий. В воздушных боях над городом сбито более 300 немецких самолётов. За все 8 месяцев обороны Севастополя враг потерял до 300.000 своих солдат убитыми и ранеными. В боях за Севастополь немецкие войска понесли огромные потери, приобрели же — руины. Немецкая авиация, в течение многих дней производившая массовые налёты на город, почти разрушила его.</w:t>
      </w:r>
    </w:p>
    <w:p w14:paraId="4782D9CB"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Советские войска потеряли с 7 июня по 3 июля 11.385 человек убитыми, 21.099 ранеными, 8.300 пропавшими без вести, 30 танков, 300 орудий, 77 самолётов. Бойцы, командиры и раненые из Севастополя эвакуированы.</w:t>
      </w:r>
    </w:p>
    <w:p w14:paraId="01EA19D7"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Военное и политическое значение севастопольской обороны в Отечественной войне советского народа огромно. Сковывая большое количество немецко-румынских войск, защитники города спутали и расстроили планы немецкого командования. Железная стойкость севастопольцев явилась одной из важнейших причин, сорвавших пресловутое «весеннее наступление» немцев. Гитлеровцы проиграли во времени, в темпах, понесли огромные потери людьми.</w:t>
      </w:r>
    </w:p>
    <w:p w14:paraId="0CEDFF76"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Севастополь оставлен советскими войсками, но оборона Севастополя войдёт в историю Отечественной войны Советского Союза как одна из самых ярких её страниц. Севастопольцы обогатили славные боевые традиции народов СССР. Беззаветное мужество, ярость в борьбе с врагом и самоотверженность защитников Севастополя вдохновляют советских патриотов на дальнейшие героические подвиги в борьбе против ненавистных оккупантов.</w:t>
      </w:r>
    </w:p>
    <w:p w14:paraId="216E07BF" w14:textId="77777777" w:rsidR="00B01B21" w:rsidRPr="001E2C69" w:rsidRDefault="00B01B2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Слава о главных организаторах героической обороны Севастополя— вице-адмирале Октябрьском, генерал-майоре Петрове, дивизионном комиссаре Кулакове, дивизионном комиссаре Чухнове, генерал-майоре Рыжи, генерал-майоре Моргунове, генерал-майоре авиации Ермаченкове, генерал-майоре авиации Острякове, генерал-майоре Новикове, генерал-майоре Коломийце, генерал-майоре Крылове, полковнике Капитохине — войдёт в историю Отечественной войны против немецко-фашистских мерзавцев как одна из самых блестящих страниц.» (14941).</w:t>
      </w:r>
    </w:p>
    <w:p w14:paraId="152BE580" w14:textId="77777777" w:rsidR="00B01B21" w:rsidRPr="001E2C69" w:rsidRDefault="00B01B21" w:rsidP="00722885">
      <w:pPr>
        <w:spacing w:after="0" w:line="240" w:lineRule="auto"/>
        <w:jc w:val="both"/>
        <w:rPr>
          <w:rFonts w:ascii="Times New Roman" w:hAnsi="Times New Roman"/>
          <w:color w:val="000000" w:themeColor="text1"/>
          <w:sz w:val="16"/>
          <w:szCs w:val="16"/>
        </w:rPr>
      </w:pPr>
    </w:p>
    <w:p w14:paraId="50100FC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июля 1942 г. были подготовлены СВЕДЕНИЯ О КОЛИЧЕСТВЕ ТРОФЕЙНОГО И ОТЕЧЕСТВЕННОГО ВООРУЖЕНИЯ И ИМУЩЕСТВА СОБРАННОГО ВОЙСКАМИ НКВД ЗА ПЕРИОД С 1.12.1941 ПО 1.07.1942 гг.</w:t>
      </w:r>
    </w:p>
    <w:tbl>
      <w:tblPr>
        <w:tblW w:w="0" w:type="auto"/>
        <w:tblInd w:w="40" w:type="dxa"/>
        <w:tblLayout w:type="fixed"/>
        <w:tblCellMar>
          <w:left w:w="40" w:type="dxa"/>
          <w:right w:w="40" w:type="dxa"/>
        </w:tblCellMar>
        <w:tblLook w:val="0000" w:firstRow="0" w:lastRow="0" w:firstColumn="0" w:lastColumn="0" w:noHBand="0" w:noVBand="0"/>
      </w:tblPr>
      <w:tblGrid>
        <w:gridCol w:w="1258"/>
        <w:gridCol w:w="9"/>
        <w:gridCol w:w="548"/>
        <w:gridCol w:w="9"/>
        <w:gridCol w:w="596"/>
        <w:gridCol w:w="9"/>
        <w:gridCol w:w="538"/>
        <w:gridCol w:w="9"/>
        <w:gridCol w:w="568"/>
        <w:gridCol w:w="533"/>
        <w:gridCol w:w="18"/>
        <w:gridCol w:w="583"/>
        <w:gridCol w:w="509"/>
        <w:gridCol w:w="18"/>
        <w:gridCol w:w="607"/>
        <w:gridCol w:w="654"/>
        <w:gridCol w:w="695"/>
        <w:gridCol w:w="13"/>
        <w:gridCol w:w="6"/>
        <w:gridCol w:w="568"/>
        <w:gridCol w:w="606"/>
        <w:gridCol w:w="14"/>
        <w:gridCol w:w="544"/>
        <w:gridCol w:w="28"/>
        <w:gridCol w:w="626"/>
        <w:gridCol w:w="24"/>
      </w:tblGrid>
      <w:tr w:rsidR="001E2C69" w:rsidRPr="001E2C69" w14:paraId="6378DAD3" w14:textId="77777777" w:rsidTr="00CC5360">
        <w:trPr>
          <w:gridAfter w:val="1"/>
          <w:wAfter w:w="22" w:type="dxa"/>
          <w:trHeight w:val="154"/>
        </w:trPr>
        <w:tc>
          <w:tcPr>
            <w:tcW w:w="1258" w:type="dxa"/>
            <w:tcBorders>
              <w:top w:val="single" w:sz="6" w:space="0" w:color="auto"/>
              <w:left w:val="single" w:sz="6" w:space="0" w:color="auto"/>
              <w:bottom w:val="nil"/>
              <w:right w:val="single" w:sz="6" w:space="0" w:color="auto"/>
            </w:tcBorders>
          </w:tcPr>
          <w:p w14:paraId="133AA7F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Наименование вооружения и имущества</w:t>
            </w:r>
          </w:p>
        </w:tc>
        <w:tc>
          <w:tcPr>
            <w:tcW w:w="1162" w:type="dxa"/>
            <w:gridSpan w:val="4"/>
            <w:tcBorders>
              <w:top w:val="single" w:sz="6" w:space="0" w:color="auto"/>
              <w:left w:val="single" w:sz="6" w:space="0" w:color="auto"/>
              <w:bottom w:val="nil"/>
              <w:right w:val="single" w:sz="6" w:space="0" w:color="auto"/>
            </w:tcBorders>
          </w:tcPr>
          <w:p w14:paraId="4C4B70C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Всего учтено за период с 1.12.41 г. по 1.07.42г.</w:t>
            </w:r>
          </w:p>
        </w:tc>
        <w:tc>
          <w:tcPr>
            <w:tcW w:w="4741" w:type="dxa"/>
            <w:gridSpan w:val="12"/>
            <w:tcBorders>
              <w:top w:val="single" w:sz="6" w:space="0" w:color="auto"/>
              <w:left w:val="single" w:sz="6" w:space="0" w:color="auto"/>
              <w:bottom w:val="single" w:sz="6" w:space="0" w:color="auto"/>
              <w:right w:val="single" w:sz="6" w:space="0" w:color="auto"/>
            </w:tcBorders>
          </w:tcPr>
          <w:p w14:paraId="053229E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1" w:type="dxa"/>
            <w:gridSpan w:val="8"/>
            <w:tcBorders>
              <w:top w:val="single" w:sz="6" w:space="0" w:color="auto"/>
              <w:left w:val="single" w:sz="6" w:space="0" w:color="auto"/>
              <w:bottom w:val="single" w:sz="6" w:space="0" w:color="auto"/>
              <w:right w:val="single" w:sz="6" w:space="0" w:color="auto"/>
            </w:tcBorders>
          </w:tcPr>
          <w:p w14:paraId="707F6CA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Осталось по состоянию на 1 07.1942 г.</w:t>
            </w:r>
          </w:p>
        </w:tc>
      </w:tr>
      <w:tr w:rsidR="001E2C69" w:rsidRPr="001E2C69" w14:paraId="02416DB3" w14:textId="77777777" w:rsidTr="00CC5360">
        <w:trPr>
          <w:gridAfter w:val="1"/>
          <w:wAfter w:w="24" w:type="dxa"/>
          <w:trHeight w:val="413"/>
        </w:trPr>
        <w:tc>
          <w:tcPr>
            <w:tcW w:w="1258" w:type="dxa"/>
            <w:tcBorders>
              <w:top w:val="nil"/>
              <w:left w:val="single" w:sz="6" w:space="0" w:color="auto"/>
              <w:bottom w:val="nil"/>
              <w:right w:val="single" w:sz="6" w:space="0" w:color="auto"/>
            </w:tcBorders>
          </w:tcPr>
          <w:p w14:paraId="2E6FB07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62" w:type="dxa"/>
            <w:gridSpan w:val="4"/>
            <w:tcBorders>
              <w:top w:val="nil"/>
              <w:left w:val="single" w:sz="6" w:space="0" w:color="auto"/>
              <w:bottom w:val="single" w:sz="6" w:space="0" w:color="auto"/>
              <w:right w:val="single" w:sz="6" w:space="0" w:color="auto"/>
            </w:tcBorders>
          </w:tcPr>
          <w:p w14:paraId="0DD26B1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4" w:type="dxa"/>
            <w:gridSpan w:val="4"/>
            <w:tcBorders>
              <w:top w:val="single" w:sz="6" w:space="0" w:color="auto"/>
              <w:left w:val="single" w:sz="6" w:space="0" w:color="auto"/>
              <w:bottom w:val="single" w:sz="6" w:space="0" w:color="auto"/>
              <w:right w:val="single" w:sz="6" w:space="0" w:color="auto"/>
            </w:tcBorders>
          </w:tcPr>
          <w:p w14:paraId="5C63870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войсковым частям</w:t>
            </w:r>
          </w:p>
        </w:tc>
        <w:tc>
          <w:tcPr>
            <w:tcW w:w="1134" w:type="dxa"/>
            <w:gridSpan w:val="3"/>
            <w:tcBorders>
              <w:top w:val="single" w:sz="6" w:space="0" w:color="auto"/>
              <w:left w:val="single" w:sz="6" w:space="0" w:color="auto"/>
              <w:bottom w:val="single" w:sz="6" w:space="0" w:color="auto"/>
              <w:right w:val="single" w:sz="6" w:space="0" w:color="auto"/>
            </w:tcBorders>
          </w:tcPr>
          <w:p w14:paraId="7141104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сдано на арм , фронт., центр, скл. и базы НКО</w:t>
            </w:r>
          </w:p>
        </w:tc>
        <w:tc>
          <w:tcPr>
            <w:tcW w:w="1134" w:type="dxa"/>
            <w:gridSpan w:val="3"/>
            <w:tcBorders>
              <w:top w:val="single" w:sz="6" w:space="0" w:color="auto"/>
              <w:left w:val="single" w:sz="6" w:space="0" w:color="auto"/>
              <w:bottom w:val="single" w:sz="6" w:space="0" w:color="auto"/>
              <w:right w:val="single" w:sz="6" w:space="0" w:color="auto"/>
            </w:tcBorders>
          </w:tcPr>
          <w:p w14:paraId="681A7F1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сдано в рем. органы НКО и з-ды промыш</w:t>
            </w:r>
          </w:p>
        </w:tc>
        <w:tc>
          <w:tcPr>
            <w:tcW w:w="1367" w:type="dxa"/>
            <w:gridSpan w:val="4"/>
            <w:tcBorders>
              <w:top w:val="single" w:sz="6" w:space="0" w:color="auto"/>
              <w:left w:val="single" w:sz="6" w:space="0" w:color="auto"/>
              <w:bottom w:val="single" w:sz="6" w:space="0" w:color="auto"/>
              <w:right w:val="single" w:sz="6" w:space="0" w:color="auto"/>
            </w:tcBorders>
          </w:tcPr>
          <w:p w14:paraId="5B8A3C3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сдано на окр. и центр, скл. НКВД для рем. и восстановления</w:t>
            </w:r>
          </w:p>
        </w:tc>
        <w:tc>
          <w:tcPr>
            <w:tcW w:w="1172" w:type="dxa"/>
            <w:gridSpan w:val="2"/>
            <w:tcBorders>
              <w:top w:val="single" w:sz="6" w:space="0" w:color="auto"/>
              <w:left w:val="single" w:sz="6" w:space="0" w:color="auto"/>
              <w:bottom w:val="single" w:sz="6" w:space="0" w:color="auto"/>
              <w:right w:val="single" w:sz="6" w:space="0" w:color="auto"/>
            </w:tcBorders>
          </w:tcPr>
          <w:p w14:paraId="6135FAC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временно хранится на сборн пунктах и арм. скл.</w:t>
            </w:r>
          </w:p>
        </w:tc>
        <w:tc>
          <w:tcPr>
            <w:tcW w:w="1209" w:type="dxa"/>
            <w:gridSpan w:val="4"/>
            <w:tcBorders>
              <w:top w:val="single" w:sz="6" w:space="0" w:color="auto"/>
              <w:left w:val="single" w:sz="6" w:space="0" w:color="auto"/>
              <w:bottom w:val="single" w:sz="6" w:space="0" w:color="auto"/>
              <w:right w:val="single" w:sz="6" w:space="0" w:color="auto"/>
            </w:tcBorders>
          </w:tcPr>
          <w:p w14:paraId="6EE27F7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оставалось не вывезено с поля боя</w:t>
            </w:r>
          </w:p>
        </w:tc>
      </w:tr>
      <w:tr w:rsidR="001E2C69" w:rsidRPr="001E2C69" w14:paraId="076F36DE" w14:textId="77777777" w:rsidTr="00CC5360">
        <w:trPr>
          <w:gridAfter w:val="1"/>
          <w:wAfter w:w="18" w:type="dxa"/>
          <w:trHeight w:val="144"/>
        </w:trPr>
        <w:tc>
          <w:tcPr>
            <w:tcW w:w="1258" w:type="dxa"/>
            <w:tcBorders>
              <w:top w:val="nil"/>
              <w:left w:val="single" w:sz="6" w:space="0" w:color="auto"/>
              <w:bottom w:val="single" w:sz="6" w:space="0" w:color="auto"/>
              <w:right w:val="single" w:sz="6" w:space="0" w:color="auto"/>
            </w:tcBorders>
          </w:tcPr>
          <w:p w14:paraId="231A219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7" w:type="dxa"/>
            <w:gridSpan w:val="2"/>
            <w:tcBorders>
              <w:top w:val="single" w:sz="6" w:space="0" w:color="auto"/>
              <w:left w:val="single" w:sz="6" w:space="0" w:color="auto"/>
              <w:bottom w:val="single" w:sz="6" w:space="0" w:color="auto"/>
              <w:right w:val="single" w:sz="6" w:space="0" w:color="auto"/>
            </w:tcBorders>
          </w:tcPr>
          <w:p w14:paraId="3C87E5E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отеч</w:t>
            </w:r>
          </w:p>
        </w:tc>
        <w:tc>
          <w:tcPr>
            <w:tcW w:w="605" w:type="dxa"/>
            <w:gridSpan w:val="2"/>
            <w:tcBorders>
              <w:top w:val="single" w:sz="6" w:space="0" w:color="auto"/>
              <w:left w:val="single" w:sz="6" w:space="0" w:color="auto"/>
              <w:bottom w:val="single" w:sz="6" w:space="0" w:color="auto"/>
              <w:right w:val="single" w:sz="6" w:space="0" w:color="auto"/>
            </w:tcBorders>
          </w:tcPr>
          <w:p w14:paraId="448C321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троф.</w:t>
            </w:r>
          </w:p>
        </w:tc>
        <w:tc>
          <w:tcPr>
            <w:tcW w:w="547" w:type="dxa"/>
            <w:gridSpan w:val="2"/>
            <w:tcBorders>
              <w:top w:val="single" w:sz="6" w:space="0" w:color="auto"/>
              <w:left w:val="single" w:sz="6" w:space="0" w:color="auto"/>
              <w:bottom w:val="single" w:sz="6" w:space="0" w:color="auto"/>
              <w:right w:val="single" w:sz="6" w:space="0" w:color="auto"/>
            </w:tcBorders>
          </w:tcPr>
          <w:p w14:paraId="516ADF1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отеч.</w:t>
            </w:r>
          </w:p>
        </w:tc>
        <w:tc>
          <w:tcPr>
            <w:tcW w:w="577" w:type="dxa"/>
            <w:gridSpan w:val="2"/>
            <w:tcBorders>
              <w:top w:val="single" w:sz="6" w:space="0" w:color="auto"/>
              <w:left w:val="single" w:sz="6" w:space="0" w:color="auto"/>
              <w:bottom w:val="single" w:sz="6" w:space="0" w:color="auto"/>
              <w:right w:val="single" w:sz="6" w:space="0" w:color="auto"/>
            </w:tcBorders>
          </w:tcPr>
          <w:p w14:paraId="0BFD78C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троф.</w:t>
            </w:r>
          </w:p>
        </w:tc>
        <w:tc>
          <w:tcPr>
            <w:tcW w:w="551" w:type="dxa"/>
            <w:gridSpan w:val="2"/>
            <w:tcBorders>
              <w:top w:val="single" w:sz="6" w:space="0" w:color="auto"/>
              <w:left w:val="single" w:sz="6" w:space="0" w:color="auto"/>
              <w:bottom w:val="single" w:sz="6" w:space="0" w:color="auto"/>
              <w:right w:val="single" w:sz="6" w:space="0" w:color="auto"/>
            </w:tcBorders>
          </w:tcPr>
          <w:p w14:paraId="160F5B1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отеч</w:t>
            </w:r>
          </w:p>
        </w:tc>
        <w:tc>
          <w:tcPr>
            <w:tcW w:w="583" w:type="dxa"/>
            <w:tcBorders>
              <w:top w:val="single" w:sz="6" w:space="0" w:color="auto"/>
              <w:left w:val="single" w:sz="6" w:space="0" w:color="auto"/>
              <w:bottom w:val="single" w:sz="6" w:space="0" w:color="auto"/>
              <w:right w:val="single" w:sz="6" w:space="0" w:color="auto"/>
            </w:tcBorders>
          </w:tcPr>
          <w:p w14:paraId="6625367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троф.</w:t>
            </w:r>
          </w:p>
        </w:tc>
        <w:tc>
          <w:tcPr>
            <w:tcW w:w="527" w:type="dxa"/>
            <w:gridSpan w:val="2"/>
            <w:tcBorders>
              <w:top w:val="single" w:sz="6" w:space="0" w:color="auto"/>
              <w:left w:val="single" w:sz="6" w:space="0" w:color="auto"/>
              <w:bottom w:val="single" w:sz="6" w:space="0" w:color="auto"/>
              <w:right w:val="single" w:sz="6" w:space="0" w:color="auto"/>
            </w:tcBorders>
          </w:tcPr>
          <w:p w14:paraId="3CA6B81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отеч.</w:t>
            </w:r>
          </w:p>
        </w:tc>
        <w:tc>
          <w:tcPr>
            <w:tcW w:w="607" w:type="dxa"/>
            <w:tcBorders>
              <w:top w:val="single" w:sz="6" w:space="0" w:color="auto"/>
              <w:left w:val="single" w:sz="6" w:space="0" w:color="auto"/>
              <w:bottom w:val="single" w:sz="6" w:space="0" w:color="auto"/>
              <w:right w:val="single" w:sz="6" w:space="0" w:color="auto"/>
            </w:tcBorders>
          </w:tcPr>
          <w:p w14:paraId="62F1FE4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троф</w:t>
            </w:r>
          </w:p>
        </w:tc>
        <w:tc>
          <w:tcPr>
            <w:tcW w:w="654" w:type="dxa"/>
            <w:tcBorders>
              <w:top w:val="single" w:sz="6" w:space="0" w:color="auto"/>
              <w:left w:val="single" w:sz="6" w:space="0" w:color="auto"/>
              <w:bottom w:val="single" w:sz="6" w:space="0" w:color="auto"/>
              <w:right w:val="single" w:sz="6" w:space="0" w:color="auto"/>
            </w:tcBorders>
          </w:tcPr>
          <w:p w14:paraId="78B60B5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отеч.</w:t>
            </w:r>
          </w:p>
        </w:tc>
        <w:tc>
          <w:tcPr>
            <w:tcW w:w="714" w:type="dxa"/>
            <w:gridSpan w:val="3"/>
            <w:tcBorders>
              <w:top w:val="single" w:sz="6" w:space="0" w:color="auto"/>
              <w:left w:val="single" w:sz="6" w:space="0" w:color="auto"/>
              <w:bottom w:val="single" w:sz="6" w:space="0" w:color="auto"/>
              <w:right w:val="single" w:sz="6" w:space="0" w:color="auto"/>
            </w:tcBorders>
          </w:tcPr>
          <w:p w14:paraId="7ADEF9D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троф.</w:t>
            </w:r>
          </w:p>
        </w:tc>
        <w:tc>
          <w:tcPr>
            <w:tcW w:w="568" w:type="dxa"/>
            <w:tcBorders>
              <w:top w:val="single" w:sz="6" w:space="0" w:color="auto"/>
              <w:left w:val="single" w:sz="6" w:space="0" w:color="auto"/>
              <w:bottom w:val="single" w:sz="6" w:space="0" w:color="auto"/>
              <w:right w:val="single" w:sz="6" w:space="0" w:color="auto"/>
            </w:tcBorders>
          </w:tcPr>
          <w:p w14:paraId="5723FED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отеч.</w:t>
            </w:r>
          </w:p>
        </w:tc>
        <w:tc>
          <w:tcPr>
            <w:tcW w:w="606" w:type="dxa"/>
            <w:tcBorders>
              <w:top w:val="single" w:sz="6" w:space="0" w:color="auto"/>
              <w:left w:val="single" w:sz="6" w:space="0" w:color="auto"/>
              <w:bottom w:val="single" w:sz="6" w:space="0" w:color="auto"/>
              <w:right w:val="single" w:sz="6" w:space="0" w:color="auto"/>
            </w:tcBorders>
          </w:tcPr>
          <w:p w14:paraId="1AF3F4B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троф.</w:t>
            </w:r>
          </w:p>
        </w:tc>
        <w:tc>
          <w:tcPr>
            <w:tcW w:w="558" w:type="dxa"/>
            <w:gridSpan w:val="2"/>
            <w:tcBorders>
              <w:top w:val="single" w:sz="6" w:space="0" w:color="auto"/>
              <w:left w:val="single" w:sz="6" w:space="0" w:color="auto"/>
              <w:bottom w:val="single" w:sz="6" w:space="0" w:color="auto"/>
              <w:right w:val="single" w:sz="6" w:space="0" w:color="auto"/>
            </w:tcBorders>
          </w:tcPr>
          <w:p w14:paraId="1C00DBD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отеч</w:t>
            </w:r>
          </w:p>
        </w:tc>
        <w:tc>
          <w:tcPr>
            <w:tcW w:w="654" w:type="dxa"/>
            <w:gridSpan w:val="2"/>
            <w:tcBorders>
              <w:top w:val="single" w:sz="6" w:space="0" w:color="auto"/>
              <w:left w:val="single" w:sz="6" w:space="0" w:color="auto"/>
              <w:bottom w:val="single" w:sz="6" w:space="0" w:color="auto"/>
              <w:right w:val="single" w:sz="6" w:space="0" w:color="auto"/>
            </w:tcBorders>
          </w:tcPr>
          <w:p w14:paraId="67FD9CA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троф.</w:t>
            </w:r>
          </w:p>
        </w:tc>
      </w:tr>
      <w:tr w:rsidR="001E2C69" w:rsidRPr="001E2C69" w14:paraId="2336B5AC" w14:textId="77777777" w:rsidTr="00CC5360">
        <w:trPr>
          <w:gridAfter w:val="1"/>
          <w:wAfter w:w="18" w:type="dxa"/>
          <w:trHeight w:val="326"/>
        </w:trPr>
        <w:tc>
          <w:tcPr>
            <w:tcW w:w="1258" w:type="dxa"/>
            <w:tcBorders>
              <w:top w:val="single" w:sz="6" w:space="0" w:color="auto"/>
              <w:left w:val="single" w:sz="6" w:space="0" w:color="auto"/>
              <w:bottom w:val="single" w:sz="6" w:space="0" w:color="auto"/>
              <w:right w:val="single" w:sz="6" w:space="0" w:color="auto"/>
            </w:tcBorders>
          </w:tcPr>
          <w:p w14:paraId="50989CB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Автомобили легковые</w:t>
            </w:r>
          </w:p>
        </w:tc>
        <w:tc>
          <w:tcPr>
            <w:tcW w:w="557" w:type="dxa"/>
            <w:gridSpan w:val="2"/>
            <w:tcBorders>
              <w:top w:val="single" w:sz="6" w:space="0" w:color="auto"/>
              <w:left w:val="single" w:sz="6" w:space="0" w:color="auto"/>
              <w:bottom w:val="single" w:sz="6" w:space="0" w:color="auto"/>
              <w:right w:val="single" w:sz="6" w:space="0" w:color="auto"/>
            </w:tcBorders>
          </w:tcPr>
          <w:p w14:paraId="09C10FE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4E8C726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w:t>
            </w:r>
          </w:p>
        </w:tc>
        <w:tc>
          <w:tcPr>
            <w:tcW w:w="547" w:type="dxa"/>
            <w:gridSpan w:val="2"/>
            <w:tcBorders>
              <w:top w:val="single" w:sz="6" w:space="0" w:color="auto"/>
              <w:left w:val="single" w:sz="6" w:space="0" w:color="auto"/>
              <w:bottom w:val="single" w:sz="6" w:space="0" w:color="auto"/>
              <w:right w:val="single" w:sz="6" w:space="0" w:color="auto"/>
            </w:tcBorders>
          </w:tcPr>
          <w:p w14:paraId="7D0CBC1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6C97C74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w:t>
            </w:r>
          </w:p>
        </w:tc>
        <w:tc>
          <w:tcPr>
            <w:tcW w:w="551" w:type="dxa"/>
            <w:gridSpan w:val="2"/>
            <w:tcBorders>
              <w:top w:val="single" w:sz="6" w:space="0" w:color="auto"/>
              <w:left w:val="single" w:sz="6" w:space="0" w:color="auto"/>
              <w:bottom w:val="single" w:sz="6" w:space="0" w:color="auto"/>
              <w:right w:val="single" w:sz="6" w:space="0" w:color="auto"/>
            </w:tcBorders>
          </w:tcPr>
          <w:p w14:paraId="15C5707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52789EE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527" w:type="dxa"/>
            <w:gridSpan w:val="2"/>
            <w:tcBorders>
              <w:top w:val="single" w:sz="6" w:space="0" w:color="auto"/>
              <w:left w:val="single" w:sz="6" w:space="0" w:color="auto"/>
              <w:bottom w:val="single" w:sz="6" w:space="0" w:color="auto"/>
              <w:right w:val="single" w:sz="6" w:space="0" w:color="auto"/>
            </w:tcBorders>
          </w:tcPr>
          <w:p w14:paraId="7875190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3F4DE6D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Borders>
              <w:top w:val="single" w:sz="6" w:space="0" w:color="auto"/>
              <w:left w:val="single" w:sz="6" w:space="0" w:color="auto"/>
              <w:bottom w:val="single" w:sz="6" w:space="0" w:color="auto"/>
              <w:right w:val="single" w:sz="6" w:space="0" w:color="auto"/>
            </w:tcBorders>
          </w:tcPr>
          <w:p w14:paraId="2A9E13C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0D69D0A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568" w:type="dxa"/>
            <w:tcBorders>
              <w:top w:val="single" w:sz="6" w:space="0" w:color="auto"/>
              <w:left w:val="single" w:sz="6" w:space="0" w:color="auto"/>
              <w:bottom w:val="single" w:sz="6" w:space="0" w:color="auto"/>
              <w:right w:val="single" w:sz="6" w:space="0" w:color="auto"/>
            </w:tcBorders>
          </w:tcPr>
          <w:p w14:paraId="2F7646D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6788C4C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558" w:type="dxa"/>
            <w:gridSpan w:val="2"/>
            <w:tcBorders>
              <w:top w:val="single" w:sz="6" w:space="0" w:color="auto"/>
              <w:left w:val="single" w:sz="6" w:space="0" w:color="auto"/>
              <w:bottom w:val="single" w:sz="6" w:space="0" w:color="auto"/>
              <w:right w:val="single" w:sz="6" w:space="0" w:color="auto"/>
            </w:tcBorders>
          </w:tcPr>
          <w:p w14:paraId="04F2E1B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74CACD6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r>
      <w:tr w:rsidR="001E2C69" w:rsidRPr="001E2C69" w14:paraId="0D9D3773" w14:textId="77777777" w:rsidTr="00CC5360">
        <w:trPr>
          <w:gridAfter w:val="1"/>
          <w:wAfter w:w="18" w:type="dxa"/>
          <w:trHeight w:val="317"/>
        </w:trPr>
        <w:tc>
          <w:tcPr>
            <w:tcW w:w="1258" w:type="dxa"/>
            <w:tcBorders>
              <w:top w:val="single" w:sz="6" w:space="0" w:color="auto"/>
              <w:left w:val="single" w:sz="6" w:space="0" w:color="auto"/>
              <w:bottom w:val="single" w:sz="6" w:space="0" w:color="auto"/>
              <w:right w:val="single" w:sz="6" w:space="0" w:color="auto"/>
            </w:tcBorders>
          </w:tcPr>
          <w:p w14:paraId="04E4457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Автомобили «Пикап»</w:t>
            </w:r>
          </w:p>
        </w:tc>
        <w:tc>
          <w:tcPr>
            <w:tcW w:w="557" w:type="dxa"/>
            <w:gridSpan w:val="2"/>
            <w:tcBorders>
              <w:top w:val="single" w:sz="6" w:space="0" w:color="auto"/>
              <w:left w:val="single" w:sz="6" w:space="0" w:color="auto"/>
              <w:bottom w:val="single" w:sz="6" w:space="0" w:color="auto"/>
              <w:right w:val="single" w:sz="6" w:space="0" w:color="auto"/>
            </w:tcBorders>
          </w:tcPr>
          <w:p w14:paraId="44492EE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469A5EB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w:t>
            </w:r>
          </w:p>
        </w:tc>
        <w:tc>
          <w:tcPr>
            <w:tcW w:w="547" w:type="dxa"/>
            <w:gridSpan w:val="2"/>
            <w:tcBorders>
              <w:top w:val="single" w:sz="6" w:space="0" w:color="auto"/>
              <w:left w:val="single" w:sz="6" w:space="0" w:color="auto"/>
              <w:bottom w:val="single" w:sz="6" w:space="0" w:color="auto"/>
              <w:right w:val="single" w:sz="6" w:space="0" w:color="auto"/>
            </w:tcBorders>
          </w:tcPr>
          <w:p w14:paraId="2B306EC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7C17333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w:t>
            </w:r>
          </w:p>
        </w:tc>
        <w:tc>
          <w:tcPr>
            <w:tcW w:w="551" w:type="dxa"/>
            <w:gridSpan w:val="2"/>
            <w:tcBorders>
              <w:top w:val="single" w:sz="6" w:space="0" w:color="auto"/>
              <w:left w:val="single" w:sz="6" w:space="0" w:color="auto"/>
              <w:bottom w:val="single" w:sz="6" w:space="0" w:color="auto"/>
              <w:right w:val="single" w:sz="6" w:space="0" w:color="auto"/>
            </w:tcBorders>
          </w:tcPr>
          <w:p w14:paraId="2113C9A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0F2BC00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7" w:type="dxa"/>
            <w:gridSpan w:val="2"/>
            <w:tcBorders>
              <w:top w:val="single" w:sz="6" w:space="0" w:color="auto"/>
              <w:left w:val="single" w:sz="6" w:space="0" w:color="auto"/>
              <w:bottom w:val="single" w:sz="6" w:space="0" w:color="auto"/>
              <w:right w:val="single" w:sz="6" w:space="0" w:color="auto"/>
            </w:tcBorders>
          </w:tcPr>
          <w:p w14:paraId="1C733E9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0C33E89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654" w:type="dxa"/>
            <w:tcBorders>
              <w:top w:val="single" w:sz="6" w:space="0" w:color="auto"/>
              <w:left w:val="single" w:sz="6" w:space="0" w:color="auto"/>
              <w:bottom w:val="single" w:sz="6" w:space="0" w:color="auto"/>
              <w:right w:val="single" w:sz="6" w:space="0" w:color="auto"/>
            </w:tcBorders>
          </w:tcPr>
          <w:p w14:paraId="3E6FA1C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5B9D575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568" w:type="dxa"/>
            <w:tcBorders>
              <w:top w:val="single" w:sz="6" w:space="0" w:color="auto"/>
              <w:left w:val="single" w:sz="6" w:space="0" w:color="auto"/>
              <w:bottom w:val="single" w:sz="6" w:space="0" w:color="auto"/>
              <w:right w:val="single" w:sz="6" w:space="0" w:color="auto"/>
            </w:tcBorders>
          </w:tcPr>
          <w:p w14:paraId="3E2C392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4198C4B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8" w:type="dxa"/>
            <w:gridSpan w:val="2"/>
            <w:tcBorders>
              <w:top w:val="single" w:sz="6" w:space="0" w:color="auto"/>
              <w:left w:val="single" w:sz="6" w:space="0" w:color="auto"/>
              <w:bottom w:val="single" w:sz="6" w:space="0" w:color="auto"/>
              <w:right w:val="single" w:sz="6" w:space="0" w:color="auto"/>
            </w:tcBorders>
          </w:tcPr>
          <w:p w14:paraId="1CBF618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750CF84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3827A48B" w14:textId="77777777" w:rsidTr="00CC5360">
        <w:trPr>
          <w:gridAfter w:val="1"/>
          <w:wAfter w:w="18" w:type="dxa"/>
          <w:trHeight w:val="326"/>
        </w:trPr>
        <w:tc>
          <w:tcPr>
            <w:tcW w:w="1258" w:type="dxa"/>
            <w:tcBorders>
              <w:top w:val="single" w:sz="6" w:space="0" w:color="auto"/>
              <w:left w:val="single" w:sz="6" w:space="0" w:color="auto"/>
              <w:bottom w:val="single" w:sz="6" w:space="0" w:color="auto"/>
              <w:right w:val="single" w:sz="6" w:space="0" w:color="auto"/>
            </w:tcBorders>
          </w:tcPr>
          <w:p w14:paraId="6364FC3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Автомобили грузовые</w:t>
            </w:r>
          </w:p>
        </w:tc>
        <w:tc>
          <w:tcPr>
            <w:tcW w:w="557" w:type="dxa"/>
            <w:gridSpan w:val="2"/>
            <w:tcBorders>
              <w:top w:val="single" w:sz="6" w:space="0" w:color="auto"/>
              <w:left w:val="single" w:sz="6" w:space="0" w:color="auto"/>
              <w:bottom w:val="single" w:sz="6" w:space="0" w:color="auto"/>
              <w:right w:val="single" w:sz="6" w:space="0" w:color="auto"/>
            </w:tcBorders>
          </w:tcPr>
          <w:p w14:paraId="342D723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4E84BCA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264</w:t>
            </w:r>
          </w:p>
        </w:tc>
        <w:tc>
          <w:tcPr>
            <w:tcW w:w="547" w:type="dxa"/>
            <w:gridSpan w:val="2"/>
            <w:tcBorders>
              <w:top w:val="single" w:sz="6" w:space="0" w:color="auto"/>
              <w:left w:val="single" w:sz="6" w:space="0" w:color="auto"/>
              <w:bottom w:val="single" w:sz="6" w:space="0" w:color="auto"/>
              <w:right w:val="single" w:sz="6" w:space="0" w:color="auto"/>
            </w:tcBorders>
          </w:tcPr>
          <w:p w14:paraId="5546C78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17619D5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52</w:t>
            </w:r>
          </w:p>
        </w:tc>
        <w:tc>
          <w:tcPr>
            <w:tcW w:w="551" w:type="dxa"/>
            <w:gridSpan w:val="2"/>
            <w:tcBorders>
              <w:top w:val="single" w:sz="6" w:space="0" w:color="auto"/>
              <w:left w:val="single" w:sz="6" w:space="0" w:color="auto"/>
              <w:bottom w:val="single" w:sz="6" w:space="0" w:color="auto"/>
              <w:right w:val="single" w:sz="6" w:space="0" w:color="auto"/>
            </w:tcBorders>
          </w:tcPr>
          <w:p w14:paraId="16DD48B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423BDDA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212</w:t>
            </w:r>
          </w:p>
        </w:tc>
        <w:tc>
          <w:tcPr>
            <w:tcW w:w="527" w:type="dxa"/>
            <w:gridSpan w:val="2"/>
            <w:tcBorders>
              <w:top w:val="single" w:sz="6" w:space="0" w:color="auto"/>
              <w:left w:val="single" w:sz="6" w:space="0" w:color="auto"/>
              <w:bottom w:val="single" w:sz="6" w:space="0" w:color="auto"/>
              <w:right w:val="single" w:sz="6" w:space="0" w:color="auto"/>
            </w:tcBorders>
          </w:tcPr>
          <w:p w14:paraId="0DB3914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3CD95EC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654" w:type="dxa"/>
            <w:tcBorders>
              <w:top w:val="single" w:sz="6" w:space="0" w:color="auto"/>
              <w:left w:val="single" w:sz="6" w:space="0" w:color="auto"/>
              <w:bottom w:val="single" w:sz="6" w:space="0" w:color="auto"/>
              <w:right w:val="single" w:sz="6" w:space="0" w:color="auto"/>
            </w:tcBorders>
          </w:tcPr>
          <w:p w14:paraId="7A16008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391E83F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568" w:type="dxa"/>
            <w:tcBorders>
              <w:top w:val="single" w:sz="6" w:space="0" w:color="auto"/>
              <w:left w:val="single" w:sz="6" w:space="0" w:color="auto"/>
              <w:bottom w:val="single" w:sz="6" w:space="0" w:color="auto"/>
              <w:right w:val="single" w:sz="6" w:space="0" w:color="auto"/>
            </w:tcBorders>
          </w:tcPr>
          <w:p w14:paraId="62B9ADF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0853B3A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8" w:type="dxa"/>
            <w:gridSpan w:val="2"/>
            <w:tcBorders>
              <w:top w:val="single" w:sz="6" w:space="0" w:color="auto"/>
              <w:left w:val="single" w:sz="6" w:space="0" w:color="auto"/>
              <w:bottom w:val="single" w:sz="6" w:space="0" w:color="auto"/>
              <w:right w:val="single" w:sz="6" w:space="0" w:color="auto"/>
            </w:tcBorders>
          </w:tcPr>
          <w:p w14:paraId="0E1FB5C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718C8DC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r>
      <w:tr w:rsidR="001E2C69" w:rsidRPr="001E2C69" w14:paraId="41808648" w14:textId="77777777" w:rsidTr="00CC5360">
        <w:trPr>
          <w:gridAfter w:val="1"/>
          <w:wAfter w:w="18" w:type="dxa"/>
          <w:trHeight w:val="317"/>
        </w:trPr>
        <w:tc>
          <w:tcPr>
            <w:tcW w:w="1258" w:type="dxa"/>
            <w:tcBorders>
              <w:top w:val="single" w:sz="6" w:space="0" w:color="auto"/>
              <w:left w:val="single" w:sz="6" w:space="0" w:color="auto"/>
              <w:bottom w:val="single" w:sz="6" w:space="0" w:color="auto"/>
              <w:right w:val="single" w:sz="6" w:space="0" w:color="auto"/>
            </w:tcBorders>
          </w:tcPr>
          <w:p w14:paraId="63E04A9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Танки</w:t>
            </w:r>
          </w:p>
        </w:tc>
        <w:tc>
          <w:tcPr>
            <w:tcW w:w="557" w:type="dxa"/>
            <w:gridSpan w:val="2"/>
            <w:tcBorders>
              <w:top w:val="single" w:sz="6" w:space="0" w:color="auto"/>
              <w:left w:val="single" w:sz="6" w:space="0" w:color="auto"/>
              <w:bottom w:val="single" w:sz="6" w:space="0" w:color="auto"/>
              <w:right w:val="single" w:sz="6" w:space="0" w:color="auto"/>
            </w:tcBorders>
          </w:tcPr>
          <w:p w14:paraId="2E99E0B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604DA05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w:t>
            </w:r>
          </w:p>
        </w:tc>
        <w:tc>
          <w:tcPr>
            <w:tcW w:w="547" w:type="dxa"/>
            <w:gridSpan w:val="2"/>
            <w:tcBorders>
              <w:top w:val="single" w:sz="6" w:space="0" w:color="auto"/>
              <w:left w:val="single" w:sz="6" w:space="0" w:color="auto"/>
              <w:bottom w:val="single" w:sz="6" w:space="0" w:color="auto"/>
              <w:right w:val="single" w:sz="6" w:space="0" w:color="auto"/>
            </w:tcBorders>
          </w:tcPr>
          <w:p w14:paraId="1D0E2D9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43F79B8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551" w:type="dxa"/>
            <w:gridSpan w:val="2"/>
            <w:tcBorders>
              <w:top w:val="single" w:sz="6" w:space="0" w:color="auto"/>
              <w:left w:val="single" w:sz="6" w:space="0" w:color="auto"/>
              <w:bottom w:val="single" w:sz="6" w:space="0" w:color="auto"/>
              <w:right w:val="single" w:sz="6" w:space="0" w:color="auto"/>
            </w:tcBorders>
          </w:tcPr>
          <w:p w14:paraId="0D15465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0437F3A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w:t>
            </w:r>
          </w:p>
        </w:tc>
        <w:tc>
          <w:tcPr>
            <w:tcW w:w="527" w:type="dxa"/>
            <w:gridSpan w:val="2"/>
            <w:tcBorders>
              <w:top w:val="single" w:sz="6" w:space="0" w:color="auto"/>
              <w:left w:val="single" w:sz="6" w:space="0" w:color="auto"/>
              <w:bottom w:val="single" w:sz="6" w:space="0" w:color="auto"/>
              <w:right w:val="single" w:sz="6" w:space="0" w:color="auto"/>
            </w:tcBorders>
          </w:tcPr>
          <w:p w14:paraId="718A760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67DDCA4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654" w:type="dxa"/>
            <w:tcBorders>
              <w:top w:val="single" w:sz="6" w:space="0" w:color="auto"/>
              <w:left w:val="single" w:sz="6" w:space="0" w:color="auto"/>
              <w:bottom w:val="single" w:sz="6" w:space="0" w:color="auto"/>
              <w:right w:val="single" w:sz="6" w:space="0" w:color="auto"/>
            </w:tcBorders>
          </w:tcPr>
          <w:p w14:paraId="42A5A50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67B940A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8" w:type="dxa"/>
            <w:tcBorders>
              <w:top w:val="single" w:sz="6" w:space="0" w:color="auto"/>
              <w:left w:val="single" w:sz="6" w:space="0" w:color="auto"/>
              <w:bottom w:val="single" w:sz="6" w:space="0" w:color="auto"/>
              <w:right w:val="single" w:sz="6" w:space="0" w:color="auto"/>
            </w:tcBorders>
          </w:tcPr>
          <w:p w14:paraId="48F2469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118A2B3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8" w:type="dxa"/>
            <w:gridSpan w:val="2"/>
            <w:tcBorders>
              <w:top w:val="single" w:sz="6" w:space="0" w:color="auto"/>
              <w:left w:val="single" w:sz="6" w:space="0" w:color="auto"/>
              <w:bottom w:val="single" w:sz="6" w:space="0" w:color="auto"/>
              <w:right w:val="single" w:sz="6" w:space="0" w:color="auto"/>
            </w:tcBorders>
          </w:tcPr>
          <w:p w14:paraId="7CA82D6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5AE2952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791790CF" w14:textId="77777777" w:rsidTr="00CC5360">
        <w:trPr>
          <w:gridAfter w:val="1"/>
          <w:wAfter w:w="18" w:type="dxa"/>
          <w:trHeight w:val="326"/>
        </w:trPr>
        <w:tc>
          <w:tcPr>
            <w:tcW w:w="1258" w:type="dxa"/>
            <w:tcBorders>
              <w:top w:val="single" w:sz="6" w:space="0" w:color="auto"/>
              <w:left w:val="single" w:sz="6" w:space="0" w:color="auto"/>
              <w:bottom w:val="single" w:sz="6" w:space="0" w:color="auto"/>
              <w:right w:val="single" w:sz="6" w:space="0" w:color="auto"/>
            </w:tcBorders>
          </w:tcPr>
          <w:p w14:paraId="7AAC49D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Тракторы и тягачи</w:t>
            </w:r>
          </w:p>
        </w:tc>
        <w:tc>
          <w:tcPr>
            <w:tcW w:w="557" w:type="dxa"/>
            <w:gridSpan w:val="2"/>
            <w:tcBorders>
              <w:top w:val="single" w:sz="6" w:space="0" w:color="auto"/>
              <w:left w:val="single" w:sz="6" w:space="0" w:color="auto"/>
              <w:bottom w:val="single" w:sz="6" w:space="0" w:color="auto"/>
              <w:right w:val="single" w:sz="6" w:space="0" w:color="auto"/>
            </w:tcBorders>
          </w:tcPr>
          <w:p w14:paraId="3E99236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13F01B1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w:t>
            </w:r>
          </w:p>
        </w:tc>
        <w:tc>
          <w:tcPr>
            <w:tcW w:w="547" w:type="dxa"/>
            <w:gridSpan w:val="2"/>
            <w:tcBorders>
              <w:top w:val="single" w:sz="6" w:space="0" w:color="auto"/>
              <w:left w:val="single" w:sz="6" w:space="0" w:color="auto"/>
              <w:bottom w:val="single" w:sz="6" w:space="0" w:color="auto"/>
              <w:right w:val="single" w:sz="6" w:space="0" w:color="auto"/>
            </w:tcBorders>
          </w:tcPr>
          <w:p w14:paraId="7D4BC75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5F2B8F8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w:t>
            </w:r>
          </w:p>
        </w:tc>
        <w:tc>
          <w:tcPr>
            <w:tcW w:w="551" w:type="dxa"/>
            <w:gridSpan w:val="2"/>
            <w:tcBorders>
              <w:top w:val="single" w:sz="6" w:space="0" w:color="auto"/>
              <w:left w:val="single" w:sz="6" w:space="0" w:color="auto"/>
              <w:bottom w:val="single" w:sz="6" w:space="0" w:color="auto"/>
              <w:right w:val="single" w:sz="6" w:space="0" w:color="auto"/>
            </w:tcBorders>
          </w:tcPr>
          <w:p w14:paraId="252EF58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158F208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7" w:type="dxa"/>
            <w:gridSpan w:val="2"/>
            <w:tcBorders>
              <w:top w:val="single" w:sz="6" w:space="0" w:color="auto"/>
              <w:left w:val="single" w:sz="6" w:space="0" w:color="auto"/>
              <w:bottom w:val="single" w:sz="6" w:space="0" w:color="auto"/>
              <w:right w:val="single" w:sz="6" w:space="0" w:color="auto"/>
            </w:tcBorders>
          </w:tcPr>
          <w:p w14:paraId="2EE0A48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7B13B63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Borders>
              <w:top w:val="single" w:sz="6" w:space="0" w:color="auto"/>
              <w:left w:val="single" w:sz="6" w:space="0" w:color="auto"/>
              <w:bottom w:val="single" w:sz="6" w:space="0" w:color="auto"/>
              <w:right w:val="single" w:sz="6" w:space="0" w:color="auto"/>
            </w:tcBorders>
          </w:tcPr>
          <w:p w14:paraId="3E413AA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67743C8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568" w:type="dxa"/>
            <w:tcBorders>
              <w:top w:val="single" w:sz="6" w:space="0" w:color="auto"/>
              <w:left w:val="single" w:sz="6" w:space="0" w:color="auto"/>
              <w:bottom w:val="single" w:sz="6" w:space="0" w:color="auto"/>
              <w:right w:val="single" w:sz="6" w:space="0" w:color="auto"/>
            </w:tcBorders>
          </w:tcPr>
          <w:p w14:paraId="7143371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3AA69AE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558" w:type="dxa"/>
            <w:gridSpan w:val="2"/>
            <w:tcBorders>
              <w:top w:val="single" w:sz="6" w:space="0" w:color="auto"/>
              <w:left w:val="single" w:sz="6" w:space="0" w:color="auto"/>
              <w:bottom w:val="single" w:sz="6" w:space="0" w:color="auto"/>
              <w:right w:val="single" w:sz="6" w:space="0" w:color="auto"/>
            </w:tcBorders>
          </w:tcPr>
          <w:p w14:paraId="2492108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1291A94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10F7258A" w14:textId="77777777" w:rsidTr="00CC5360">
        <w:trPr>
          <w:gridAfter w:val="1"/>
          <w:wAfter w:w="18" w:type="dxa"/>
          <w:trHeight w:val="317"/>
        </w:trPr>
        <w:tc>
          <w:tcPr>
            <w:tcW w:w="1258" w:type="dxa"/>
            <w:tcBorders>
              <w:top w:val="single" w:sz="6" w:space="0" w:color="auto"/>
              <w:left w:val="single" w:sz="6" w:space="0" w:color="auto"/>
              <w:bottom w:val="single" w:sz="6" w:space="0" w:color="auto"/>
              <w:right w:val="single" w:sz="6" w:space="0" w:color="auto"/>
            </w:tcBorders>
          </w:tcPr>
          <w:p w14:paraId="181B3FC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Бронемашины</w:t>
            </w:r>
          </w:p>
        </w:tc>
        <w:tc>
          <w:tcPr>
            <w:tcW w:w="557" w:type="dxa"/>
            <w:gridSpan w:val="2"/>
            <w:tcBorders>
              <w:top w:val="single" w:sz="6" w:space="0" w:color="auto"/>
              <w:left w:val="single" w:sz="6" w:space="0" w:color="auto"/>
              <w:bottom w:val="single" w:sz="6" w:space="0" w:color="auto"/>
              <w:right w:val="single" w:sz="6" w:space="0" w:color="auto"/>
            </w:tcBorders>
          </w:tcPr>
          <w:p w14:paraId="6869679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2EB8DB1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w:t>
            </w:r>
          </w:p>
        </w:tc>
        <w:tc>
          <w:tcPr>
            <w:tcW w:w="547" w:type="dxa"/>
            <w:gridSpan w:val="2"/>
            <w:tcBorders>
              <w:top w:val="single" w:sz="6" w:space="0" w:color="auto"/>
              <w:left w:val="single" w:sz="6" w:space="0" w:color="auto"/>
              <w:bottom w:val="single" w:sz="6" w:space="0" w:color="auto"/>
              <w:right w:val="single" w:sz="6" w:space="0" w:color="auto"/>
            </w:tcBorders>
          </w:tcPr>
          <w:p w14:paraId="04B9A7C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6166F78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w:t>
            </w:r>
          </w:p>
        </w:tc>
        <w:tc>
          <w:tcPr>
            <w:tcW w:w="551" w:type="dxa"/>
            <w:gridSpan w:val="2"/>
            <w:tcBorders>
              <w:top w:val="single" w:sz="6" w:space="0" w:color="auto"/>
              <w:left w:val="single" w:sz="6" w:space="0" w:color="auto"/>
              <w:bottom w:val="single" w:sz="6" w:space="0" w:color="auto"/>
              <w:right w:val="single" w:sz="6" w:space="0" w:color="auto"/>
            </w:tcBorders>
          </w:tcPr>
          <w:p w14:paraId="4633D02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4CC4A87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527" w:type="dxa"/>
            <w:gridSpan w:val="2"/>
            <w:tcBorders>
              <w:top w:val="single" w:sz="6" w:space="0" w:color="auto"/>
              <w:left w:val="single" w:sz="6" w:space="0" w:color="auto"/>
              <w:bottom w:val="single" w:sz="6" w:space="0" w:color="auto"/>
              <w:right w:val="single" w:sz="6" w:space="0" w:color="auto"/>
            </w:tcBorders>
          </w:tcPr>
          <w:p w14:paraId="2F80416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6659507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654" w:type="dxa"/>
            <w:tcBorders>
              <w:top w:val="single" w:sz="6" w:space="0" w:color="auto"/>
              <w:left w:val="single" w:sz="6" w:space="0" w:color="auto"/>
              <w:bottom w:val="single" w:sz="6" w:space="0" w:color="auto"/>
              <w:right w:val="single" w:sz="6" w:space="0" w:color="auto"/>
            </w:tcBorders>
          </w:tcPr>
          <w:p w14:paraId="0B71262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0ED2354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8" w:type="dxa"/>
            <w:tcBorders>
              <w:top w:val="single" w:sz="6" w:space="0" w:color="auto"/>
              <w:left w:val="single" w:sz="6" w:space="0" w:color="auto"/>
              <w:bottom w:val="single" w:sz="6" w:space="0" w:color="auto"/>
              <w:right w:val="single" w:sz="6" w:space="0" w:color="auto"/>
            </w:tcBorders>
          </w:tcPr>
          <w:p w14:paraId="3152058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32AC1DF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8" w:type="dxa"/>
            <w:gridSpan w:val="2"/>
            <w:tcBorders>
              <w:top w:val="single" w:sz="6" w:space="0" w:color="auto"/>
              <w:left w:val="single" w:sz="6" w:space="0" w:color="auto"/>
              <w:bottom w:val="single" w:sz="6" w:space="0" w:color="auto"/>
              <w:right w:val="single" w:sz="6" w:space="0" w:color="auto"/>
            </w:tcBorders>
          </w:tcPr>
          <w:p w14:paraId="1006262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56F1AFE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1E50C8D6" w14:textId="77777777" w:rsidTr="00CC5360">
        <w:trPr>
          <w:gridAfter w:val="1"/>
          <w:wAfter w:w="18" w:type="dxa"/>
          <w:trHeight w:val="326"/>
        </w:trPr>
        <w:tc>
          <w:tcPr>
            <w:tcW w:w="1258" w:type="dxa"/>
            <w:tcBorders>
              <w:top w:val="single" w:sz="6" w:space="0" w:color="auto"/>
              <w:left w:val="single" w:sz="6" w:space="0" w:color="auto"/>
              <w:bottom w:val="single" w:sz="6" w:space="0" w:color="auto"/>
              <w:right w:val="single" w:sz="6" w:space="0" w:color="auto"/>
            </w:tcBorders>
          </w:tcPr>
          <w:p w14:paraId="7467DE1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Мотоциклы разных марок</w:t>
            </w:r>
          </w:p>
        </w:tc>
        <w:tc>
          <w:tcPr>
            <w:tcW w:w="557" w:type="dxa"/>
            <w:gridSpan w:val="2"/>
            <w:tcBorders>
              <w:top w:val="single" w:sz="6" w:space="0" w:color="auto"/>
              <w:left w:val="single" w:sz="6" w:space="0" w:color="auto"/>
              <w:bottom w:val="single" w:sz="6" w:space="0" w:color="auto"/>
              <w:right w:val="single" w:sz="6" w:space="0" w:color="auto"/>
            </w:tcBorders>
          </w:tcPr>
          <w:p w14:paraId="4FBF488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784F5EB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256</w:t>
            </w:r>
          </w:p>
        </w:tc>
        <w:tc>
          <w:tcPr>
            <w:tcW w:w="547" w:type="dxa"/>
            <w:gridSpan w:val="2"/>
            <w:tcBorders>
              <w:top w:val="single" w:sz="6" w:space="0" w:color="auto"/>
              <w:left w:val="single" w:sz="6" w:space="0" w:color="auto"/>
              <w:bottom w:val="single" w:sz="6" w:space="0" w:color="auto"/>
              <w:right w:val="single" w:sz="6" w:space="0" w:color="auto"/>
            </w:tcBorders>
          </w:tcPr>
          <w:p w14:paraId="17F1078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14BB258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166</w:t>
            </w:r>
          </w:p>
        </w:tc>
        <w:tc>
          <w:tcPr>
            <w:tcW w:w="551" w:type="dxa"/>
            <w:gridSpan w:val="2"/>
            <w:tcBorders>
              <w:top w:val="single" w:sz="6" w:space="0" w:color="auto"/>
              <w:left w:val="single" w:sz="6" w:space="0" w:color="auto"/>
              <w:bottom w:val="single" w:sz="6" w:space="0" w:color="auto"/>
              <w:right w:val="single" w:sz="6" w:space="0" w:color="auto"/>
            </w:tcBorders>
          </w:tcPr>
          <w:p w14:paraId="6A9C8C0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12B5DC4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90</w:t>
            </w:r>
          </w:p>
        </w:tc>
        <w:tc>
          <w:tcPr>
            <w:tcW w:w="527" w:type="dxa"/>
            <w:gridSpan w:val="2"/>
            <w:tcBorders>
              <w:top w:val="single" w:sz="6" w:space="0" w:color="auto"/>
              <w:left w:val="single" w:sz="6" w:space="0" w:color="auto"/>
              <w:bottom w:val="single" w:sz="6" w:space="0" w:color="auto"/>
              <w:right w:val="single" w:sz="6" w:space="0" w:color="auto"/>
            </w:tcBorders>
          </w:tcPr>
          <w:p w14:paraId="65CFD4B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71219E7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Borders>
              <w:top w:val="single" w:sz="6" w:space="0" w:color="auto"/>
              <w:left w:val="single" w:sz="6" w:space="0" w:color="auto"/>
              <w:bottom w:val="single" w:sz="6" w:space="0" w:color="auto"/>
              <w:right w:val="single" w:sz="6" w:space="0" w:color="auto"/>
            </w:tcBorders>
          </w:tcPr>
          <w:p w14:paraId="31CA325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34F9590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8" w:type="dxa"/>
            <w:tcBorders>
              <w:top w:val="single" w:sz="6" w:space="0" w:color="auto"/>
              <w:left w:val="single" w:sz="6" w:space="0" w:color="auto"/>
              <w:bottom w:val="single" w:sz="6" w:space="0" w:color="auto"/>
              <w:right w:val="single" w:sz="6" w:space="0" w:color="auto"/>
            </w:tcBorders>
          </w:tcPr>
          <w:p w14:paraId="5CD8D78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05D03CA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558" w:type="dxa"/>
            <w:gridSpan w:val="2"/>
            <w:tcBorders>
              <w:top w:val="single" w:sz="6" w:space="0" w:color="auto"/>
              <w:left w:val="single" w:sz="6" w:space="0" w:color="auto"/>
              <w:bottom w:val="single" w:sz="6" w:space="0" w:color="auto"/>
              <w:right w:val="single" w:sz="6" w:space="0" w:color="auto"/>
            </w:tcBorders>
          </w:tcPr>
          <w:p w14:paraId="20B4269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3A38563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2C512A76" w14:textId="77777777" w:rsidTr="00CC5360">
        <w:trPr>
          <w:gridAfter w:val="1"/>
          <w:wAfter w:w="18" w:type="dxa"/>
          <w:trHeight w:val="317"/>
        </w:trPr>
        <w:tc>
          <w:tcPr>
            <w:tcW w:w="1258" w:type="dxa"/>
            <w:tcBorders>
              <w:top w:val="single" w:sz="6" w:space="0" w:color="auto"/>
              <w:left w:val="single" w:sz="6" w:space="0" w:color="auto"/>
              <w:bottom w:val="single" w:sz="6" w:space="0" w:color="auto"/>
              <w:right w:val="single" w:sz="6" w:space="0" w:color="auto"/>
            </w:tcBorders>
          </w:tcPr>
          <w:p w14:paraId="1C35847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Велосипеды</w:t>
            </w:r>
          </w:p>
        </w:tc>
        <w:tc>
          <w:tcPr>
            <w:tcW w:w="557" w:type="dxa"/>
            <w:gridSpan w:val="2"/>
            <w:tcBorders>
              <w:top w:val="single" w:sz="6" w:space="0" w:color="auto"/>
              <w:left w:val="single" w:sz="6" w:space="0" w:color="auto"/>
              <w:bottom w:val="single" w:sz="6" w:space="0" w:color="auto"/>
              <w:right w:val="single" w:sz="6" w:space="0" w:color="auto"/>
            </w:tcBorders>
          </w:tcPr>
          <w:p w14:paraId="4C26E6E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0B75DFF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928</w:t>
            </w:r>
          </w:p>
        </w:tc>
        <w:tc>
          <w:tcPr>
            <w:tcW w:w="547" w:type="dxa"/>
            <w:gridSpan w:val="2"/>
            <w:tcBorders>
              <w:top w:val="single" w:sz="6" w:space="0" w:color="auto"/>
              <w:left w:val="single" w:sz="6" w:space="0" w:color="auto"/>
              <w:bottom w:val="single" w:sz="6" w:space="0" w:color="auto"/>
              <w:right w:val="single" w:sz="6" w:space="0" w:color="auto"/>
            </w:tcBorders>
          </w:tcPr>
          <w:p w14:paraId="441D3C8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30A8CDC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668</w:t>
            </w:r>
          </w:p>
        </w:tc>
        <w:tc>
          <w:tcPr>
            <w:tcW w:w="551" w:type="dxa"/>
            <w:gridSpan w:val="2"/>
            <w:tcBorders>
              <w:top w:val="single" w:sz="6" w:space="0" w:color="auto"/>
              <w:left w:val="single" w:sz="6" w:space="0" w:color="auto"/>
              <w:bottom w:val="single" w:sz="6" w:space="0" w:color="auto"/>
              <w:right w:val="single" w:sz="6" w:space="0" w:color="auto"/>
            </w:tcBorders>
          </w:tcPr>
          <w:p w14:paraId="56EC36D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3F00E29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260</w:t>
            </w:r>
          </w:p>
        </w:tc>
        <w:tc>
          <w:tcPr>
            <w:tcW w:w="527" w:type="dxa"/>
            <w:gridSpan w:val="2"/>
            <w:tcBorders>
              <w:top w:val="single" w:sz="6" w:space="0" w:color="auto"/>
              <w:left w:val="single" w:sz="6" w:space="0" w:color="auto"/>
              <w:bottom w:val="single" w:sz="6" w:space="0" w:color="auto"/>
              <w:right w:val="single" w:sz="6" w:space="0" w:color="auto"/>
            </w:tcBorders>
          </w:tcPr>
          <w:p w14:paraId="2001D12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00C1F9F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Borders>
              <w:top w:val="single" w:sz="6" w:space="0" w:color="auto"/>
              <w:left w:val="single" w:sz="6" w:space="0" w:color="auto"/>
              <w:bottom w:val="single" w:sz="6" w:space="0" w:color="auto"/>
              <w:right w:val="single" w:sz="6" w:space="0" w:color="auto"/>
            </w:tcBorders>
          </w:tcPr>
          <w:p w14:paraId="2C9F846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7EA706B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8" w:type="dxa"/>
            <w:tcBorders>
              <w:top w:val="single" w:sz="6" w:space="0" w:color="auto"/>
              <w:left w:val="single" w:sz="6" w:space="0" w:color="auto"/>
              <w:bottom w:val="single" w:sz="6" w:space="0" w:color="auto"/>
              <w:right w:val="single" w:sz="6" w:space="0" w:color="auto"/>
            </w:tcBorders>
          </w:tcPr>
          <w:p w14:paraId="68B9484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27177B7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8" w:type="dxa"/>
            <w:gridSpan w:val="2"/>
            <w:tcBorders>
              <w:top w:val="single" w:sz="6" w:space="0" w:color="auto"/>
              <w:left w:val="single" w:sz="6" w:space="0" w:color="auto"/>
              <w:bottom w:val="single" w:sz="6" w:space="0" w:color="auto"/>
              <w:right w:val="single" w:sz="6" w:space="0" w:color="auto"/>
            </w:tcBorders>
          </w:tcPr>
          <w:p w14:paraId="4AE8D86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61C3B70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78813B79" w14:textId="77777777" w:rsidTr="00CC5360">
        <w:trPr>
          <w:gridAfter w:val="1"/>
          <w:wAfter w:w="18" w:type="dxa"/>
          <w:trHeight w:val="326"/>
        </w:trPr>
        <w:tc>
          <w:tcPr>
            <w:tcW w:w="1258" w:type="dxa"/>
            <w:tcBorders>
              <w:top w:val="single" w:sz="6" w:space="0" w:color="auto"/>
              <w:left w:val="single" w:sz="6" w:space="0" w:color="auto"/>
              <w:bottom w:val="single" w:sz="6" w:space="0" w:color="auto"/>
              <w:right w:val="single" w:sz="6" w:space="0" w:color="auto"/>
            </w:tcBorders>
          </w:tcPr>
          <w:p w14:paraId="40D6BD1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Мотоколяски</w:t>
            </w:r>
          </w:p>
        </w:tc>
        <w:tc>
          <w:tcPr>
            <w:tcW w:w="557" w:type="dxa"/>
            <w:gridSpan w:val="2"/>
            <w:tcBorders>
              <w:top w:val="single" w:sz="6" w:space="0" w:color="auto"/>
              <w:left w:val="single" w:sz="6" w:space="0" w:color="auto"/>
              <w:bottom w:val="single" w:sz="6" w:space="0" w:color="auto"/>
              <w:right w:val="single" w:sz="6" w:space="0" w:color="auto"/>
            </w:tcBorders>
          </w:tcPr>
          <w:p w14:paraId="09202AF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321D0DE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w:t>
            </w:r>
          </w:p>
        </w:tc>
        <w:tc>
          <w:tcPr>
            <w:tcW w:w="547" w:type="dxa"/>
            <w:gridSpan w:val="2"/>
            <w:tcBorders>
              <w:top w:val="single" w:sz="6" w:space="0" w:color="auto"/>
              <w:left w:val="single" w:sz="6" w:space="0" w:color="auto"/>
              <w:bottom w:val="single" w:sz="6" w:space="0" w:color="auto"/>
              <w:right w:val="single" w:sz="6" w:space="0" w:color="auto"/>
            </w:tcBorders>
          </w:tcPr>
          <w:p w14:paraId="1FAA943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6E05824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w:t>
            </w:r>
          </w:p>
        </w:tc>
        <w:tc>
          <w:tcPr>
            <w:tcW w:w="551" w:type="dxa"/>
            <w:gridSpan w:val="2"/>
            <w:tcBorders>
              <w:top w:val="single" w:sz="6" w:space="0" w:color="auto"/>
              <w:left w:val="single" w:sz="6" w:space="0" w:color="auto"/>
              <w:bottom w:val="single" w:sz="6" w:space="0" w:color="auto"/>
              <w:right w:val="single" w:sz="6" w:space="0" w:color="auto"/>
            </w:tcBorders>
          </w:tcPr>
          <w:p w14:paraId="6464F99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10C847D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527" w:type="dxa"/>
            <w:gridSpan w:val="2"/>
            <w:tcBorders>
              <w:top w:val="single" w:sz="6" w:space="0" w:color="auto"/>
              <w:left w:val="single" w:sz="6" w:space="0" w:color="auto"/>
              <w:bottom w:val="single" w:sz="6" w:space="0" w:color="auto"/>
              <w:right w:val="single" w:sz="6" w:space="0" w:color="auto"/>
            </w:tcBorders>
          </w:tcPr>
          <w:p w14:paraId="6E77B93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020A990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654" w:type="dxa"/>
            <w:tcBorders>
              <w:top w:val="single" w:sz="6" w:space="0" w:color="auto"/>
              <w:left w:val="single" w:sz="6" w:space="0" w:color="auto"/>
              <w:bottom w:val="single" w:sz="6" w:space="0" w:color="auto"/>
              <w:right w:val="single" w:sz="6" w:space="0" w:color="auto"/>
            </w:tcBorders>
          </w:tcPr>
          <w:p w14:paraId="6B9E689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371FD6D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568" w:type="dxa"/>
            <w:tcBorders>
              <w:top w:val="single" w:sz="6" w:space="0" w:color="auto"/>
              <w:left w:val="single" w:sz="6" w:space="0" w:color="auto"/>
              <w:bottom w:val="single" w:sz="6" w:space="0" w:color="auto"/>
              <w:right w:val="single" w:sz="6" w:space="0" w:color="auto"/>
            </w:tcBorders>
          </w:tcPr>
          <w:p w14:paraId="5B816FB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0FA86EA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558" w:type="dxa"/>
            <w:gridSpan w:val="2"/>
            <w:tcBorders>
              <w:top w:val="single" w:sz="6" w:space="0" w:color="auto"/>
              <w:left w:val="single" w:sz="6" w:space="0" w:color="auto"/>
              <w:bottom w:val="single" w:sz="6" w:space="0" w:color="auto"/>
              <w:right w:val="single" w:sz="6" w:space="0" w:color="auto"/>
            </w:tcBorders>
          </w:tcPr>
          <w:p w14:paraId="4BA9604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3BDF16F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0A821444" w14:textId="77777777" w:rsidTr="00CC5360">
        <w:trPr>
          <w:gridAfter w:val="1"/>
          <w:wAfter w:w="18" w:type="dxa"/>
          <w:trHeight w:val="326"/>
        </w:trPr>
        <w:tc>
          <w:tcPr>
            <w:tcW w:w="1258" w:type="dxa"/>
            <w:tcBorders>
              <w:top w:val="single" w:sz="6" w:space="0" w:color="auto"/>
              <w:left w:val="single" w:sz="6" w:space="0" w:color="auto"/>
              <w:bottom w:val="single" w:sz="6" w:space="0" w:color="auto"/>
              <w:right w:val="single" w:sz="6" w:space="0" w:color="auto"/>
            </w:tcBorders>
          </w:tcPr>
          <w:p w14:paraId="10D39C2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Автодвигатели</w:t>
            </w:r>
          </w:p>
        </w:tc>
        <w:tc>
          <w:tcPr>
            <w:tcW w:w="557" w:type="dxa"/>
            <w:gridSpan w:val="2"/>
            <w:tcBorders>
              <w:top w:val="single" w:sz="6" w:space="0" w:color="auto"/>
              <w:left w:val="single" w:sz="6" w:space="0" w:color="auto"/>
              <w:bottom w:val="single" w:sz="6" w:space="0" w:color="auto"/>
              <w:right w:val="single" w:sz="6" w:space="0" w:color="auto"/>
            </w:tcBorders>
          </w:tcPr>
          <w:p w14:paraId="211B30B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2B2858B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w:t>
            </w:r>
          </w:p>
        </w:tc>
        <w:tc>
          <w:tcPr>
            <w:tcW w:w="547" w:type="dxa"/>
            <w:gridSpan w:val="2"/>
            <w:tcBorders>
              <w:top w:val="single" w:sz="6" w:space="0" w:color="auto"/>
              <w:left w:val="single" w:sz="6" w:space="0" w:color="auto"/>
              <w:bottom w:val="single" w:sz="6" w:space="0" w:color="auto"/>
              <w:right w:val="single" w:sz="6" w:space="0" w:color="auto"/>
            </w:tcBorders>
          </w:tcPr>
          <w:p w14:paraId="45E0FAF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63099BD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w:t>
            </w:r>
          </w:p>
        </w:tc>
        <w:tc>
          <w:tcPr>
            <w:tcW w:w="551" w:type="dxa"/>
            <w:gridSpan w:val="2"/>
            <w:tcBorders>
              <w:top w:val="single" w:sz="6" w:space="0" w:color="auto"/>
              <w:left w:val="single" w:sz="6" w:space="0" w:color="auto"/>
              <w:bottom w:val="single" w:sz="6" w:space="0" w:color="auto"/>
              <w:right w:val="single" w:sz="6" w:space="0" w:color="auto"/>
            </w:tcBorders>
          </w:tcPr>
          <w:p w14:paraId="02AB8DF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0A7161C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7" w:type="dxa"/>
            <w:gridSpan w:val="2"/>
            <w:tcBorders>
              <w:top w:val="single" w:sz="6" w:space="0" w:color="auto"/>
              <w:left w:val="single" w:sz="6" w:space="0" w:color="auto"/>
              <w:bottom w:val="single" w:sz="6" w:space="0" w:color="auto"/>
              <w:right w:val="single" w:sz="6" w:space="0" w:color="auto"/>
            </w:tcBorders>
          </w:tcPr>
          <w:p w14:paraId="3AC088C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074C0C5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654" w:type="dxa"/>
            <w:tcBorders>
              <w:top w:val="single" w:sz="6" w:space="0" w:color="auto"/>
              <w:left w:val="single" w:sz="6" w:space="0" w:color="auto"/>
              <w:bottom w:val="single" w:sz="6" w:space="0" w:color="auto"/>
              <w:right w:val="single" w:sz="6" w:space="0" w:color="auto"/>
            </w:tcBorders>
          </w:tcPr>
          <w:p w14:paraId="0B81DF7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10668FC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8" w:type="dxa"/>
            <w:tcBorders>
              <w:top w:val="single" w:sz="6" w:space="0" w:color="auto"/>
              <w:left w:val="single" w:sz="6" w:space="0" w:color="auto"/>
              <w:bottom w:val="single" w:sz="6" w:space="0" w:color="auto"/>
              <w:right w:val="single" w:sz="6" w:space="0" w:color="auto"/>
            </w:tcBorders>
          </w:tcPr>
          <w:p w14:paraId="49A5A97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7362351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8" w:type="dxa"/>
            <w:gridSpan w:val="2"/>
            <w:tcBorders>
              <w:top w:val="single" w:sz="6" w:space="0" w:color="auto"/>
              <w:left w:val="single" w:sz="6" w:space="0" w:color="auto"/>
              <w:bottom w:val="single" w:sz="6" w:space="0" w:color="auto"/>
              <w:right w:val="single" w:sz="6" w:space="0" w:color="auto"/>
            </w:tcBorders>
          </w:tcPr>
          <w:p w14:paraId="199B491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754F9E8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4362F8B8" w14:textId="77777777" w:rsidTr="00CC5360">
        <w:trPr>
          <w:gridAfter w:val="1"/>
          <w:wAfter w:w="18" w:type="dxa"/>
          <w:trHeight w:val="317"/>
        </w:trPr>
        <w:tc>
          <w:tcPr>
            <w:tcW w:w="1258" w:type="dxa"/>
            <w:tcBorders>
              <w:top w:val="single" w:sz="6" w:space="0" w:color="auto"/>
              <w:left w:val="single" w:sz="6" w:space="0" w:color="auto"/>
              <w:bottom w:val="single" w:sz="6" w:space="0" w:color="auto"/>
              <w:right w:val="single" w:sz="6" w:space="0" w:color="auto"/>
            </w:tcBorders>
          </w:tcPr>
          <w:p w14:paraId="3B50193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Автопокрышки</w:t>
            </w:r>
          </w:p>
        </w:tc>
        <w:tc>
          <w:tcPr>
            <w:tcW w:w="557" w:type="dxa"/>
            <w:gridSpan w:val="2"/>
            <w:tcBorders>
              <w:top w:val="single" w:sz="6" w:space="0" w:color="auto"/>
              <w:left w:val="single" w:sz="6" w:space="0" w:color="auto"/>
              <w:bottom w:val="single" w:sz="6" w:space="0" w:color="auto"/>
              <w:right w:val="single" w:sz="6" w:space="0" w:color="auto"/>
            </w:tcBorders>
          </w:tcPr>
          <w:p w14:paraId="0AE3584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4EBD54D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265</w:t>
            </w:r>
          </w:p>
        </w:tc>
        <w:tc>
          <w:tcPr>
            <w:tcW w:w="547" w:type="dxa"/>
            <w:gridSpan w:val="2"/>
            <w:tcBorders>
              <w:top w:val="single" w:sz="6" w:space="0" w:color="auto"/>
              <w:left w:val="single" w:sz="6" w:space="0" w:color="auto"/>
              <w:bottom w:val="single" w:sz="6" w:space="0" w:color="auto"/>
              <w:right w:val="single" w:sz="6" w:space="0" w:color="auto"/>
            </w:tcBorders>
          </w:tcPr>
          <w:p w14:paraId="506D4BF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0C075C7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206</w:t>
            </w:r>
          </w:p>
        </w:tc>
        <w:tc>
          <w:tcPr>
            <w:tcW w:w="551" w:type="dxa"/>
            <w:gridSpan w:val="2"/>
            <w:tcBorders>
              <w:top w:val="single" w:sz="6" w:space="0" w:color="auto"/>
              <w:left w:val="single" w:sz="6" w:space="0" w:color="auto"/>
              <w:bottom w:val="single" w:sz="6" w:space="0" w:color="auto"/>
              <w:right w:val="single" w:sz="6" w:space="0" w:color="auto"/>
            </w:tcBorders>
          </w:tcPr>
          <w:p w14:paraId="1172AA4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76FC35D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59</w:t>
            </w:r>
          </w:p>
        </w:tc>
        <w:tc>
          <w:tcPr>
            <w:tcW w:w="527" w:type="dxa"/>
            <w:gridSpan w:val="2"/>
            <w:tcBorders>
              <w:top w:val="single" w:sz="6" w:space="0" w:color="auto"/>
              <w:left w:val="single" w:sz="6" w:space="0" w:color="auto"/>
              <w:bottom w:val="single" w:sz="6" w:space="0" w:color="auto"/>
              <w:right w:val="single" w:sz="6" w:space="0" w:color="auto"/>
            </w:tcBorders>
          </w:tcPr>
          <w:p w14:paraId="44AA928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5EC551C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Borders>
              <w:top w:val="single" w:sz="6" w:space="0" w:color="auto"/>
              <w:left w:val="single" w:sz="6" w:space="0" w:color="auto"/>
              <w:bottom w:val="single" w:sz="6" w:space="0" w:color="auto"/>
              <w:right w:val="single" w:sz="6" w:space="0" w:color="auto"/>
            </w:tcBorders>
          </w:tcPr>
          <w:p w14:paraId="52DF840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63D9E67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8" w:type="dxa"/>
            <w:tcBorders>
              <w:top w:val="single" w:sz="6" w:space="0" w:color="auto"/>
              <w:left w:val="single" w:sz="6" w:space="0" w:color="auto"/>
              <w:bottom w:val="single" w:sz="6" w:space="0" w:color="auto"/>
              <w:right w:val="single" w:sz="6" w:space="0" w:color="auto"/>
            </w:tcBorders>
          </w:tcPr>
          <w:p w14:paraId="396BA48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71945A9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558" w:type="dxa"/>
            <w:gridSpan w:val="2"/>
            <w:tcBorders>
              <w:top w:val="single" w:sz="6" w:space="0" w:color="auto"/>
              <w:left w:val="single" w:sz="6" w:space="0" w:color="auto"/>
              <w:bottom w:val="single" w:sz="6" w:space="0" w:color="auto"/>
              <w:right w:val="single" w:sz="6" w:space="0" w:color="auto"/>
            </w:tcBorders>
          </w:tcPr>
          <w:p w14:paraId="6365050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357E251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7DE504E7" w14:textId="77777777" w:rsidTr="00CC5360">
        <w:trPr>
          <w:gridAfter w:val="1"/>
          <w:wAfter w:w="18" w:type="dxa"/>
          <w:trHeight w:val="317"/>
        </w:trPr>
        <w:tc>
          <w:tcPr>
            <w:tcW w:w="1258" w:type="dxa"/>
            <w:tcBorders>
              <w:top w:val="single" w:sz="6" w:space="0" w:color="auto"/>
              <w:left w:val="single" w:sz="6" w:space="0" w:color="auto"/>
              <w:bottom w:val="single" w:sz="6" w:space="0" w:color="auto"/>
              <w:right w:val="single" w:sz="6" w:space="0" w:color="auto"/>
            </w:tcBorders>
          </w:tcPr>
          <w:p w14:paraId="46EC783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Велопокрышки</w:t>
            </w:r>
          </w:p>
        </w:tc>
        <w:tc>
          <w:tcPr>
            <w:tcW w:w="557" w:type="dxa"/>
            <w:gridSpan w:val="2"/>
            <w:tcBorders>
              <w:top w:val="single" w:sz="6" w:space="0" w:color="auto"/>
              <w:left w:val="single" w:sz="6" w:space="0" w:color="auto"/>
              <w:bottom w:val="single" w:sz="6" w:space="0" w:color="auto"/>
              <w:right w:val="single" w:sz="6" w:space="0" w:color="auto"/>
            </w:tcBorders>
          </w:tcPr>
          <w:p w14:paraId="78CDD4B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0B66436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317</w:t>
            </w:r>
          </w:p>
        </w:tc>
        <w:tc>
          <w:tcPr>
            <w:tcW w:w="547" w:type="dxa"/>
            <w:gridSpan w:val="2"/>
            <w:tcBorders>
              <w:top w:val="single" w:sz="6" w:space="0" w:color="auto"/>
              <w:left w:val="single" w:sz="6" w:space="0" w:color="auto"/>
              <w:bottom w:val="single" w:sz="6" w:space="0" w:color="auto"/>
              <w:right w:val="single" w:sz="6" w:space="0" w:color="auto"/>
            </w:tcBorders>
          </w:tcPr>
          <w:p w14:paraId="6D35896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39E6433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317</w:t>
            </w:r>
          </w:p>
        </w:tc>
        <w:tc>
          <w:tcPr>
            <w:tcW w:w="551" w:type="dxa"/>
            <w:gridSpan w:val="2"/>
            <w:tcBorders>
              <w:top w:val="single" w:sz="6" w:space="0" w:color="auto"/>
              <w:left w:val="single" w:sz="6" w:space="0" w:color="auto"/>
              <w:bottom w:val="single" w:sz="6" w:space="0" w:color="auto"/>
              <w:right w:val="single" w:sz="6" w:space="0" w:color="auto"/>
            </w:tcBorders>
          </w:tcPr>
          <w:p w14:paraId="51AC569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5B82A3A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527" w:type="dxa"/>
            <w:gridSpan w:val="2"/>
            <w:tcBorders>
              <w:top w:val="single" w:sz="6" w:space="0" w:color="auto"/>
              <w:left w:val="single" w:sz="6" w:space="0" w:color="auto"/>
              <w:bottom w:val="single" w:sz="6" w:space="0" w:color="auto"/>
              <w:right w:val="single" w:sz="6" w:space="0" w:color="auto"/>
            </w:tcBorders>
          </w:tcPr>
          <w:p w14:paraId="3DCC9AA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6D56BF5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Borders>
              <w:top w:val="single" w:sz="6" w:space="0" w:color="auto"/>
              <w:left w:val="single" w:sz="6" w:space="0" w:color="auto"/>
              <w:bottom w:val="single" w:sz="6" w:space="0" w:color="auto"/>
              <w:right w:val="single" w:sz="6" w:space="0" w:color="auto"/>
            </w:tcBorders>
          </w:tcPr>
          <w:p w14:paraId="33F7DE1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47104F6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568" w:type="dxa"/>
            <w:tcBorders>
              <w:top w:val="single" w:sz="6" w:space="0" w:color="auto"/>
              <w:left w:val="single" w:sz="6" w:space="0" w:color="auto"/>
              <w:bottom w:val="single" w:sz="6" w:space="0" w:color="auto"/>
              <w:right w:val="single" w:sz="6" w:space="0" w:color="auto"/>
            </w:tcBorders>
          </w:tcPr>
          <w:p w14:paraId="57C318F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72A1301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8" w:type="dxa"/>
            <w:gridSpan w:val="2"/>
            <w:tcBorders>
              <w:top w:val="single" w:sz="6" w:space="0" w:color="auto"/>
              <w:left w:val="single" w:sz="6" w:space="0" w:color="auto"/>
              <w:bottom w:val="single" w:sz="6" w:space="0" w:color="auto"/>
              <w:right w:val="single" w:sz="6" w:space="0" w:color="auto"/>
            </w:tcBorders>
          </w:tcPr>
          <w:p w14:paraId="2CBFC2D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53A1B68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559A2121" w14:textId="77777777" w:rsidTr="00CC5360">
        <w:trPr>
          <w:gridAfter w:val="1"/>
          <w:wAfter w:w="18" w:type="dxa"/>
          <w:trHeight w:val="346"/>
        </w:trPr>
        <w:tc>
          <w:tcPr>
            <w:tcW w:w="1258" w:type="dxa"/>
            <w:tcBorders>
              <w:top w:val="single" w:sz="6" w:space="0" w:color="auto"/>
              <w:left w:val="single" w:sz="6" w:space="0" w:color="auto"/>
              <w:bottom w:val="single" w:sz="6" w:space="0" w:color="auto"/>
              <w:right w:val="single" w:sz="6" w:space="0" w:color="auto"/>
            </w:tcBorders>
          </w:tcPr>
          <w:p w14:paraId="55FA0F4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Бочки (баки ГСМ)</w:t>
            </w:r>
          </w:p>
        </w:tc>
        <w:tc>
          <w:tcPr>
            <w:tcW w:w="557" w:type="dxa"/>
            <w:gridSpan w:val="2"/>
            <w:tcBorders>
              <w:top w:val="single" w:sz="6" w:space="0" w:color="auto"/>
              <w:left w:val="single" w:sz="6" w:space="0" w:color="auto"/>
              <w:bottom w:val="single" w:sz="6" w:space="0" w:color="auto"/>
              <w:right w:val="single" w:sz="6" w:space="0" w:color="auto"/>
            </w:tcBorders>
          </w:tcPr>
          <w:p w14:paraId="7528C5E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383DD23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495</w:t>
            </w:r>
          </w:p>
        </w:tc>
        <w:tc>
          <w:tcPr>
            <w:tcW w:w="547" w:type="dxa"/>
            <w:gridSpan w:val="2"/>
            <w:tcBorders>
              <w:top w:val="single" w:sz="6" w:space="0" w:color="auto"/>
              <w:left w:val="single" w:sz="6" w:space="0" w:color="auto"/>
              <w:bottom w:val="single" w:sz="6" w:space="0" w:color="auto"/>
              <w:right w:val="single" w:sz="6" w:space="0" w:color="auto"/>
            </w:tcBorders>
          </w:tcPr>
          <w:p w14:paraId="36B7506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3193EB3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373</w:t>
            </w:r>
          </w:p>
        </w:tc>
        <w:tc>
          <w:tcPr>
            <w:tcW w:w="551" w:type="dxa"/>
            <w:gridSpan w:val="2"/>
            <w:tcBorders>
              <w:top w:val="single" w:sz="6" w:space="0" w:color="auto"/>
              <w:left w:val="single" w:sz="6" w:space="0" w:color="auto"/>
              <w:bottom w:val="single" w:sz="6" w:space="0" w:color="auto"/>
              <w:right w:val="single" w:sz="6" w:space="0" w:color="auto"/>
            </w:tcBorders>
          </w:tcPr>
          <w:p w14:paraId="12B268A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6164BA4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122</w:t>
            </w:r>
          </w:p>
        </w:tc>
        <w:tc>
          <w:tcPr>
            <w:tcW w:w="527" w:type="dxa"/>
            <w:gridSpan w:val="2"/>
            <w:tcBorders>
              <w:top w:val="single" w:sz="6" w:space="0" w:color="auto"/>
              <w:left w:val="single" w:sz="6" w:space="0" w:color="auto"/>
              <w:bottom w:val="single" w:sz="6" w:space="0" w:color="auto"/>
              <w:right w:val="single" w:sz="6" w:space="0" w:color="auto"/>
            </w:tcBorders>
          </w:tcPr>
          <w:p w14:paraId="704C500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3AA6E28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Borders>
              <w:top w:val="single" w:sz="6" w:space="0" w:color="auto"/>
              <w:left w:val="single" w:sz="6" w:space="0" w:color="auto"/>
              <w:bottom w:val="single" w:sz="6" w:space="0" w:color="auto"/>
              <w:right w:val="single" w:sz="6" w:space="0" w:color="auto"/>
            </w:tcBorders>
          </w:tcPr>
          <w:p w14:paraId="2F4D21B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3D127C8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568" w:type="dxa"/>
            <w:tcBorders>
              <w:top w:val="single" w:sz="6" w:space="0" w:color="auto"/>
              <w:left w:val="single" w:sz="6" w:space="0" w:color="auto"/>
              <w:bottom w:val="single" w:sz="6" w:space="0" w:color="auto"/>
              <w:right w:val="single" w:sz="6" w:space="0" w:color="auto"/>
            </w:tcBorders>
          </w:tcPr>
          <w:p w14:paraId="0940699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071E925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558" w:type="dxa"/>
            <w:gridSpan w:val="2"/>
            <w:tcBorders>
              <w:top w:val="single" w:sz="6" w:space="0" w:color="auto"/>
              <w:left w:val="single" w:sz="6" w:space="0" w:color="auto"/>
              <w:bottom w:val="single" w:sz="6" w:space="0" w:color="auto"/>
              <w:right w:val="single" w:sz="6" w:space="0" w:color="auto"/>
            </w:tcBorders>
          </w:tcPr>
          <w:p w14:paraId="3AE0724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4F8C54B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5E6A64A0" w14:textId="77777777" w:rsidTr="00CC5360">
        <w:trPr>
          <w:trHeight w:val="326"/>
        </w:trPr>
        <w:tc>
          <w:tcPr>
            <w:tcW w:w="1267" w:type="dxa"/>
            <w:gridSpan w:val="2"/>
            <w:tcBorders>
              <w:top w:val="single" w:sz="6" w:space="0" w:color="auto"/>
              <w:left w:val="single" w:sz="6" w:space="0" w:color="auto"/>
              <w:bottom w:val="single" w:sz="6" w:space="0" w:color="auto"/>
              <w:right w:val="single" w:sz="6" w:space="0" w:color="auto"/>
            </w:tcBorders>
          </w:tcPr>
          <w:p w14:paraId="14F5E17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Автоприцепы</w:t>
            </w:r>
          </w:p>
        </w:tc>
        <w:tc>
          <w:tcPr>
            <w:tcW w:w="557" w:type="dxa"/>
            <w:gridSpan w:val="2"/>
            <w:tcBorders>
              <w:top w:val="single" w:sz="6" w:space="0" w:color="auto"/>
              <w:left w:val="single" w:sz="6" w:space="0" w:color="auto"/>
              <w:bottom w:val="single" w:sz="6" w:space="0" w:color="auto"/>
              <w:right w:val="single" w:sz="6" w:space="0" w:color="auto"/>
            </w:tcBorders>
          </w:tcPr>
          <w:p w14:paraId="37D7F42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72BDD55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w:t>
            </w:r>
          </w:p>
        </w:tc>
        <w:tc>
          <w:tcPr>
            <w:tcW w:w="547" w:type="dxa"/>
            <w:gridSpan w:val="2"/>
            <w:tcBorders>
              <w:top w:val="single" w:sz="6" w:space="0" w:color="auto"/>
              <w:left w:val="single" w:sz="6" w:space="0" w:color="auto"/>
              <w:bottom w:val="single" w:sz="6" w:space="0" w:color="auto"/>
              <w:right w:val="single" w:sz="6" w:space="0" w:color="auto"/>
            </w:tcBorders>
          </w:tcPr>
          <w:p w14:paraId="77AEDA7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8" w:type="dxa"/>
            <w:tcBorders>
              <w:top w:val="single" w:sz="6" w:space="0" w:color="auto"/>
              <w:left w:val="single" w:sz="6" w:space="0" w:color="auto"/>
              <w:bottom w:val="single" w:sz="6" w:space="0" w:color="auto"/>
              <w:right w:val="single" w:sz="6" w:space="0" w:color="auto"/>
            </w:tcBorders>
          </w:tcPr>
          <w:p w14:paraId="09FF584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w:t>
            </w:r>
          </w:p>
        </w:tc>
        <w:tc>
          <w:tcPr>
            <w:tcW w:w="533" w:type="dxa"/>
            <w:tcBorders>
              <w:top w:val="single" w:sz="6" w:space="0" w:color="auto"/>
              <w:left w:val="single" w:sz="6" w:space="0" w:color="auto"/>
              <w:bottom w:val="single" w:sz="6" w:space="0" w:color="auto"/>
              <w:right w:val="single" w:sz="6" w:space="0" w:color="auto"/>
            </w:tcBorders>
          </w:tcPr>
          <w:p w14:paraId="23E96D7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1" w:type="dxa"/>
            <w:gridSpan w:val="2"/>
            <w:tcBorders>
              <w:top w:val="single" w:sz="6" w:space="0" w:color="auto"/>
              <w:left w:val="single" w:sz="6" w:space="0" w:color="auto"/>
              <w:bottom w:val="single" w:sz="6" w:space="0" w:color="auto"/>
              <w:right w:val="single" w:sz="6" w:space="0" w:color="auto"/>
            </w:tcBorders>
          </w:tcPr>
          <w:p w14:paraId="4D18218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509" w:type="dxa"/>
            <w:tcBorders>
              <w:top w:val="single" w:sz="6" w:space="0" w:color="auto"/>
              <w:left w:val="single" w:sz="6" w:space="0" w:color="auto"/>
              <w:bottom w:val="single" w:sz="6" w:space="0" w:color="auto"/>
              <w:right w:val="single" w:sz="6" w:space="0" w:color="auto"/>
            </w:tcBorders>
          </w:tcPr>
          <w:p w14:paraId="31CB089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5" w:type="dxa"/>
            <w:gridSpan w:val="2"/>
            <w:tcBorders>
              <w:top w:val="single" w:sz="6" w:space="0" w:color="auto"/>
              <w:left w:val="single" w:sz="6" w:space="0" w:color="auto"/>
              <w:bottom w:val="single" w:sz="6" w:space="0" w:color="auto"/>
              <w:right w:val="single" w:sz="6" w:space="0" w:color="auto"/>
            </w:tcBorders>
          </w:tcPr>
          <w:p w14:paraId="55156CC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650" w:type="dxa"/>
            <w:tcBorders>
              <w:top w:val="single" w:sz="6" w:space="0" w:color="auto"/>
              <w:left w:val="single" w:sz="6" w:space="0" w:color="auto"/>
              <w:bottom w:val="single" w:sz="6" w:space="0" w:color="auto"/>
              <w:right w:val="single" w:sz="6" w:space="0" w:color="auto"/>
            </w:tcBorders>
          </w:tcPr>
          <w:p w14:paraId="31FC26E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gridSpan w:val="2"/>
            <w:tcBorders>
              <w:top w:val="single" w:sz="6" w:space="0" w:color="auto"/>
              <w:left w:val="single" w:sz="6" w:space="0" w:color="auto"/>
              <w:bottom w:val="single" w:sz="6" w:space="0" w:color="auto"/>
              <w:right w:val="single" w:sz="6" w:space="0" w:color="auto"/>
            </w:tcBorders>
          </w:tcPr>
          <w:p w14:paraId="316C4BD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572" w:type="dxa"/>
            <w:gridSpan w:val="2"/>
            <w:tcBorders>
              <w:top w:val="single" w:sz="6" w:space="0" w:color="auto"/>
              <w:left w:val="single" w:sz="6" w:space="0" w:color="auto"/>
              <w:bottom w:val="single" w:sz="6" w:space="0" w:color="auto"/>
              <w:right w:val="single" w:sz="6" w:space="0" w:color="auto"/>
            </w:tcBorders>
          </w:tcPr>
          <w:p w14:paraId="22A7847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0" w:type="dxa"/>
            <w:gridSpan w:val="2"/>
            <w:tcBorders>
              <w:top w:val="single" w:sz="6" w:space="0" w:color="auto"/>
              <w:left w:val="single" w:sz="6" w:space="0" w:color="auto"/>
              <w:bottom w:val="single" w:sz="6" w:space="0" w:color="auto"/>
              <w:right w:val="single" w:sz="6" w:space="0" w:color="auto"/>
            </w:tcBorders>
          </w:tcPr>
          <w:p w14:paraId="0F9112D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572" w:type="dxa"/>
            <w:gridSpan w:val="2"/>
            <w:tcBorders>
              <w:top w:val="single" w:sz="6" w:space="0" w:color="auto"/>
              <w:left w:val="single" w:sz="6" w:space="0" w:color="auto"/>
              <w:bottom w:val="single" w:sz="6" w:space="0" w:color="auto"/>
              <w:right w:val="single" w:sz="6" w:space="0" w:color="auto"/>
            </w:tcBorders>
          </w:tcPr>
          <w:p w14:paraId="4B8C542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0" w:type="dxa"/>
            <w:gridSpan w:val="2"/>
            <w:tcBorders>
              <w:top w:val="single" w:sz="6" w:space="0" w:color="auto"/>
              <w:left w:val="single" w:sz="6" w:space="0" w:color="auto"/>
              <w:bottom w:val="single" w:sz="6" w:space="0" w:color="auto"/>
              <w:right w:val="single" w:sz="6" w:space="0" w:color="auto"/>
            </w:tcBorders>
          </w:tcPr>
          <w:p w14:paraId="6185A07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35DD2828" w14:textId="77777777" w:rsidTr="00CC5360">
        <w:trPr>
          <w:trHeight w:val="326"/>
        </w:trPr>
        <w:tc>
          <w:tcPr>
            <w:tcW w:w="1267" w:type="dxa"/>
            <w:gridSpan w:val="2"/>
            <w:tcBorders>
              <w:top w:val="single" w:sz="6" w:space="0" w:color="auto"/>
              <w:left w:val="single" w:sz="6" w:space="0" w:color="auto"/>
              <w:bottom w:val="single" w:sz="6" w:space="0" w:color="auto"/>
              <w:right w:val="single" w:sz="6" w:space="0" w:color="auto"/>
            </w:tcBorders>
          </w:tcPr>
          <w:p w14:paraId="32A3351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Автомашины легковые</w:t>
            </w:r>
          </w:p>
        </w:tc>
        <w:tc>
          <w:tcPr>
            <w:tcW w:w="557" w:type="dxa"/>
            <w:gridSpan w:val="2"/>
            <w:tcBorders>
              <w:top w:val="single" w:sz="6" w:space="0" w:color="auto"/>
              <w:left w:val="single" w:sz="6" w:space="0" w:color="auto"/>
              <w:bottom w:val="single" w:sz="6" w:space="0" w:color="auto"/>
              <w:right w:val="single" w:sz="6" w:space="0" w:color="auto"/>
            </w:tcBorders>
          </w:tcPr>
          <w:p w14:paraId="3A3809C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w:t>
            </w:r>
          </w:p>
        </w:tc>
        <w:tc>
          <w:tcPr>
            <w:tcW w:w="605" w:type="dxa"/>
            <w:gridSpan w:val="2"/>
            <w:tcBorders>
              <w:top w:val="single" w:sz="6" w:space="0" w:color="auto"/>
              <w:left w:val="single" w:sz="6" w:space="0" w:color="auto"/>
              <w:bottom w:val="single" w:sz="6" w:space="0" w:color="auto"/>
              <w:right w:val="single" w:sz="6" w:space="0" w:color="auto"/>
            </w:tcBorders>
          </w:tcPr>
          <w:p w14:paraId="12DBABA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7" w:type="dxa"/>
            <w:gridSpan w:val="2"/>
            <w:tcBorders>
              <w:top w:val="single" w:sz="6" w:space="0" w:color="auto"/>
              <w:left w:val="single" w:sz="6" w:space="0" w:color="auto"/>
              <w:bottom w:val="single" w:sz="6" w:space="0" w:color="auto"/>
              <w:right w:val="single" w:sz="6" w:space="0" w:color="auto"/>
            </w:tcBorders>
          </w:tcPr>
          <w:p w14:paraId="1055CEE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w:t>
            </w:r>
          </w:p>
        </w:tc>
        <w:tc>
          <w:tcPr>
            <w:tcW w:w="568" w:type="dxa"/>
            <w:tcBorders>
              <w:top w:val="single" w:sz="6" w:space="0" w:color="auto"/>
              <w:left w:val="single" w:sz="6" w:space="0" w:color="auto"/>
              <w:bottom w:val="single" w:sz="6" w:space="0" w:color="auto"/>
              <w:right w:val="single" w:sz="6" w:space="0" w:color="auto"/>
            </w:tcBorders>
          </w:tcPr>
          <w:p w14:paraId="46EF89E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6E8B154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601" w:type="dxa"/>
            <w:gridSpan w:val="2"/>
            <w:tcBorders>
              <w:top w:val="single" w:sz="6" w:space="0" w:color="auto"/>
              <w:left w:val="single" w:sz="6" w:space="0" w:color="auto"/>
              <w:bottom w:val="single" w:sz="6" w:space="0" w:color="auto"/>
              <w:right w:val="single" w:sz="6" w:space="0" w:color="auto"/>
            </w:tcBorders>
          </w:tcPr>
          <w:p w14:paraId="68BCFA6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34DEE33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625" w:type="dxa"/>
            <w:gridSpan w:val="2"/>
            <w:tcBorders>
              <w:top w:val="single" w:sz="6" w:space="0" w:color="auto"/>
              <w:left w:val="single" w:sz="6" w:space="0" w:color="auto"/>
              <w:bottom w:val="single" w:sz="6" w:space="0" w:color="auto"/>
              <w:right w:val="single" w:sz="6" w:space="0" w:color="auto"/>
            </w:tcBorders>
          </w:tcPr>
          <w:p w14:paraId="65BF656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0" w:type="dxa"/>
            <w:tcBorders>
              <w:top w:val="single" w:sz="6" w:space="0" w:color="auto"/>
              <w:left w:val="single" w:sz="6" w:space="0" w:color="auto"/>
              <w:bottom w:val="single" w:sz="6" w:space="0" w:color="auto"/>
              <w:right w:val="single" w:sz="6" w:space="0" w:color="auto"/>
            </w:tcBorders>
          </w:tcPr>
          <w:p w14:paraId="7AA1477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708" w:type="dxa"/>
            <w:gridSpan w:val="2"/>
            <w:tcBorders>
              <w:top w:val="single" w:sz="6" w:space="0" w:color="auto"/>
              <w:left w:val="single" w:sz="6" w:space="0" w:color="auto"/>
              <w:bottom w:val="single" w:sz="6" w:space="0" w:color="auto"/>
              <w:right w:val="single" w:sz="6" w:space="0" w:color="auto"/>
            </w:tcBorders>
          </w:tcPr>
          <w:p w14:paraId="183FFC3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2" w:type="dxa"/>
            <w:gridSpan w:val="2"/>
            <w:tcBorders>
              <w:top w:val="single" w:sz="6" w:space="0" w:color="auto"/>
              <w:left w:val="single" w:sz="6" w:space="0" w:color="auto"/>
              <w:bottom w:val="single" w:sz="6" w:space="0" w:color="auto"/>
              <w:right w:val="single" w:sz="6" w:space="0" w:color="auto"/>
            </w:tcBorders>
          </w:tcPr>
          <w:p w14:paraId="69BBD59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620" w:type="dxa"/>
            <w:gridSpan w:val="2"/>
            <w:tcBorders>
              <w:top w:val="single" w:sz="6" w:space="0" w:color="auto"/>
              <w:left w:val="single" w:sz="6" w:space="0" w:color="auto"/>
              <w:bottom w:val="single" w:sz="6" w:space="0" w:color="auto"/>
              <w:right w:val="single" w:sz="6" w:space="0" w:color="auto"/>
            </w:tcBorders>
          </w:tcPr>
          <w:p w14:paraId="65FD2B1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2" w:type="dxa"/>
            <w:gridSpan w:val="2"/>
            <w:tcBorders>
              <w:top w:val="single" w:sz="6" w:space="0" w:color="auto"/>
              <w:left w:val="single" w:sz="6" w:space="0" w:color="auto"/>
              <w:bottom w:val="single" w:sz="6" w:space="0" w:color="auto"/>
              <w:right w:val="single" w:sz="6" w:space="0" w:color="auto"/>
            </w:tcBorders>
          </w:tcPr>
          <w:p w14:paraId="3C6ADE2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0" w:type="dxa"/>
            <w:gridSpan w:val="2"/>
            <w:tcBorders>
              <w:top w:val="single" w:sz="6" w:space="0" w:color="auto"/>
              <w:left w:val="single" w:sz="6" w:space="0" w:color="auto"/>
              <w:bottom w:val="single" w:sz="6" w:space="0" w:color="auto"/>
              <w:right w:val="single" w:sz="6" w:space="0" w:color="auto"/>
            </w:tcBorders>
          </w:tcPr>
          <w:p w14:paraId="6AD9855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2FB1FB23" w14:textId="77777777" w:rsidTr="00CC5360">
        <w:trPr>
          <w:trHeight w:val="317"/>
        </w:trPr>
        <w:tc>
          <w:tcPr>
            <w:tcW w:w="1267" w:type="dxa"/>
            <w:gridSpan w:val="2"/>
            <w:tcBorders>
              <w:top w:val="single" w:sz="6" w:space="0" w:color="auto"/>
              <w:left w:val="single" w:sz="6" w:space="0" w:color="auto"/>
              <w:bottom w:val="single" w:sz="6" w:space="0" w:color="auto"/>
              <w:right w:val="single" w:sz="6" w:space="0" w:color="auto"/>
            </w:tcBorders>
          </w:tcPr>
          <w:p w14:paraId="005A606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Автомашины грузовые</w:t>
            </w:r>
          </w:p>
        </w:tc>
        <w:tc>
          <w:tcPr>
            <w:tcW w:w="557" w:type="dxa"/>
            <w:gridSpan w:val="2"/>
            <w:tcBorders>
              <w:top w:val="single" w:sz="6" w:space="0" w:color="auto"/>
              <w:left w:val="single" w:sz="6" w:space="0" w:color="auto"/>
              <w:bottom w:val="single" w:sz="6" w:space="0" w:color="auto"/>
              <w:right w:val="single" w:sz="6" w:space="0" w:color="auto"/>
            </w:tcBorders>
          </w:tcPr>
          <w:p w14:paraId="262FEE2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w:t>
            </w:r>
          </w:p>
        </w:tc>
        <w:tc>
          <w:tcPr>
            <w:tcW w:w="605" w:type="dxa"/>
            <w:gridSpan w:val="2"/>
            <w:tcBorders>
              <w:top w:val="single" w:sz="6" w:space="0" w:color="auto"/>
              <w:left w:val="single" w:sz="6" w:space="0" w:color="auto"/>
              <w:bottom w:val="single" w:sz="6" w:space="0" w:color="auto"/>
              <w:right w:val="single" w:sz="6" w:space="0" w:color="auto"/>
            </w:tcBorders>
          </w:tcPr>
          <w:p w14:paraId="17D15A7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7" w:type="dxa"/>
            <w:gridSpan w:val="2"/>
            <w:tcBorders>
              <w:top w:val="single" w:sz="6" w:space="0" w:color="auto"/>
              <w:left w:val="single" w:sz="6" w:space="0" w:color="auto"/>
              <w:bottom w:val="single" w:sz="6" w:space="0" w:color="auto"/>
              <w:right w:val="single" w:sz="6" w:space="0" w:color="auto"/>
            </w:tcBorders>
          </w:tcPr>
          <w:p w14:paraId="558863D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w:t>
            </w:r>
          </w:p>
        </w:tc>
        <w:tc>
          <w:tcPr>
            <w:tcW w:w="568" w:type="dxa"/>
            <w:tcBorders>
              <w:top w:val="single" w:sz="6" w:space="0" w:color="auto"/>
              <w:left w:val="single" w:sz="6" w:space="0" w:color="auto"/>
              <w:bottom w:val="single" w:sz="6" w:space="0" w:color="auto"/>
              <w:right w:val="single" w:sz="6" w:space="0" w:color="auto"/>
            </w:tcBorders>
          </w:tcPr>
          <w:p w14:paraId="6C6B1C6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642E5BF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601" w:type="dxa"/>
            <w:gridSpan w:val="2"/>
            <w:tcBorders>
              <w:top w:val="single" w:sz="6" w:space="0" w:color="auto"/>
              <w:left w:val="single" w:sz="6" w:space="0" w:color="auto"/>
              <w:bottom w:val="single" w:sz="6" w:space="0" w:color="auto"/>
              <w:right w:val="single" w:sz="6" w:space="0" w:color="auto"/>
            </w:tcBorders>
          </w:tcPr>
          <w:p w14:paraId="618AC89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243EACC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625" w:type="dxa"/>
            <w:gridSpan w:val="2"/>
            <w:tcBorders>
              <w:top w:val="single" w:sz="6" w:space="0" w:color="auto"/>
              <w:left w:val="single" w:sz="6" w:space="0" w:color="auto"/>
              <w:bottom w:val="single" w:sz="6" w:space="0" w:color="auto"/>
              <w:right w:val="single" w:sz="6" w:space="0" w:color="auto"/>
            </w:tcBorders>
          </w:tcPr>
          <w:p w14:paraId="137789F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0" w:type="dxa"/>
            <w:tcBorders>
              <w:top w:val="single" w:sz="6" w:space="0" w:color="auto"/>
              <w:left w:val="single" w:sz="6" w:space="0" w:color="auto"/>
              <w:bottom w:val="single" w:sz="6" w:space="0" w:color="auto"/>
              <w:right w:val="single" w:sz="6" w:space="0" w:color="auto"/>
            </w:tcBorders>
          </w:tcPr>
          <w:p w14:paraId="6BF5891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gridSpan w:val="2"/>
            <w:tcBorders>
              <w:top w:val="single" w:sz="6" w:space="0" w:color="auto"/>
              <w:left w:val="single" w:sz="6" w:space="0" w:color="auto"/>
              <w:bottom w:val="single" w:sz="6" w:space="0" w:color="auto"/>
              <w:right w:val="single" w:sz="6" w:space="0" w:color="auto"/>
            </w:tcBorders>
          </w:tcPr>
          <w:p w14:paraId="459A5EC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2" w:type="dxa"/>
            <w:gridSpan w:val="2"/>
            <w:tcBorders>
              <w:top w:val="single" w:sz="6" w:space="0" w:color="auto"/>
              <w:left w:val="single" w:sz="6" w:space="0" w:color="auto"/>
              <w:bottom w:val="single" w:sz="6" w:space="0" w:color="auto"/>
              <w:right w:val="single" w:sz="6" w:space="0" w:color="auto"/>
            </w:tcBorders>
          </w:tcPr>
          <w:p w14:paraId="4E32BD2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0" w:type="dxa"/>
            <w:gridSpan w:val="2"/>
            <w:tcBorders>
              <w:top w:val="single" w:sz="6" w:space="0" w:color="auto"/>
              <w:left w:val="single" w:sz="6" w:space="0" w:color="auto"/>
              <w:bottom w:val="single" w:sz="6" w:space="0" w:color="auto"/>
              <w:right w:val="single" w:sz="6" w:space="0" w:color="auto"/>
            </w:tcBorders>
          </w:tcPr>
          <w:p w14:paraId="0B8F583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2" w:type="dxa"/>
            <w:gridSpan w:val="2"/>
            <w:tcBorders>
              <w:top w:val="single" w:sz="6" w:space="0" w:color="auto"/>
              <w:left w:val="single" w:sz="6" w:space="0" w:color="auto"/>
              <w:bottom w:val="single" w:sz="6" w:space="0" w:color="auto"/>
              <w:right w:val="single" w:sz="6" w:space="0" w:color="auto"/>
            </w:tcBorders>
          </w:tcPr>
          <w:p w14:paraId="1538D23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0" w:type="dxa"/>
            <w:gridSpan w:val="2"/>
            <w:tcBorders>
              <w:top w:val="single" w:sz="6" w:space="0" w:color="auto"/>
              <w:left w:val="single" w:sz="6" w:space="0" w:color="auto"/>
              <w:bottom w:val="single" w:sz="6" w:space="0" w:color="auto"/>
              <w:right w:val="single" w:sz="6" w:space="0" w:color="auto"/>
            </w:tcBorders>
          </w:tcPr>
          <w:p w14:paraId="3FE42D7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0DFE7197" w14:textId="77777777" w:rsidTr="00CC5360">
        <w:trPr>
          <w:trHeight w:val="346"/>
        </w:trPr>
        <w:tc>
          <w:tcPr>
            <w:tcW w:w="1267" w:type="dxa"/>
            <w:gridSpan w:val="2"/>
            <w:tcBorders>
              <w:top w:val="single" w:sz="6" w:space="0" w:color="auto"/>
              <w:left w:val="single" w:sz="6" w:space="0" w:color="auto"/>
              <w:bottom w:val="single" w:sz="6" w:space="0" w:color="auto"/>
              <w:right w:val="single" w:sz="6" w:space="0" w:color="auto"/>
            </w:tcBorders>
          </w:tcPr>
          <w:p w14:paraId="59FC48A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Тракторы</w:t>
            </w:r>
          </w:p>
        </w:tc>
        <w:tc>
          <w:tcPr>
            <w:tcW w:w="557" w:type="dxa"/>
            <w:gridSpan w:val="2"/>
            <w:tcBorders>
              <w:top w:val="single" w:sz="6" w:space="0" w:color="auto"/>
              <w:left w:val="single" w:sz="6" w:space="0" w:color="auto"/>
              <w:bottom w:val="single" w:sz="6" w:space="0" w:color="auto"/>
              <w:right w:val="single" w:sz="6" w:space="0" w:color="auto"/>
            </w:tcBorders>
          </w:tcPr>
          <w:p w14:paraId="3E7D025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w:t>
            </w:r>
          </w:p>
        </w:tc>
        <w:tc>
          <w:tcPr>
            <w:tcW w:w="605" w:type="dxa"/>
            <w:gridSpan w:val="2"/>
            <w:tcBorders>
              <w:top w:val="single" w:sz="6" w:space="0" w:color="auto"/>
              <w:left w:val="single" w:sz="6" w:space="0" w:color="auto"/>
              <w:bottom w:val="single" w:sz="6" w:space="0" w:color="auto"/>
              <w:right w:val="single" w:sz="6" w:space="0" w:color="auto"/>
            </w:tcBorders>
          </w:tcPr>
          <w:p w14:paraId="5CCEC5B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7" w:type="dxa"/>
            <w:gridSpan w:val="2"/>
            <w:tcBorders>
              <w:top w:val="single" w:sz="6" w:space="0" w:color="auto"/>
              <w:left w:val="single" w:sz="6" w:space="0" w:color="auto"/>
              <w:bottom w:val="single" w:sz="6" w:space="0" w:color="auto"/>
              <w:right w:val="single" w:sz="6" w:space="0" w:color="auto"/>
            </w:tcBorders>
          </w:tcPr>
          <w:p w14:paraId="0384446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w:t>
            </w:r>
          </w:p>
        </w:tc>
        <w:tc>
          <w:tcPr>
            <w:tcW w:w="568" w:type="dxa"/>
            <w:tcBorders>
              <w:top w:val="single" w:sz="6" w:space="0" w:color="auto"/>
              <w:left w:val="single" w:sz="6" w:space="0" w:color="auto"/>
              <w:bottom w:val="single" w:sz="6" w:space="0" w:color="auto"/>
              <w:right w:val="single" w:sz="6" w:space="0" w:color="auto"/>
            </w:tcBorders>
          </w:tcPr>
          <w:p w14:paraId="04417A2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5EF8671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1" w:type="dxa"/>
            <w:gridSpan w:val="2"/>
            <w:tcBorders>
              <w:top w:val="single" w:sz="6" w:space="0" w:color="auto"/>
              <w:left w:val="single" w:sz="6" w:space="0" w:color="auto"/>
              <w:bottom w:val="single" w:sz="6" w:space="0" w:color="auto"/>
              <w:right w:val="single" w:sz="6" w:space="0" w:color="auto"/>
            </w:tcBorders>
          </w:tcPr>
          <w:p w14:paraId="7A96A76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00A1FFE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625" w:type="dxa"/>
            <w:gridSpan w:val="2"/>
            <w:tcBorders>
              <w:top w:val="single" w:sz="6" w:space="0" w:color="auto"/>
              <w:left w:val="single" w:sz="6" w:space="0" w:color="auto"/>
              <w:bottom w:val="single" w:sz="6" w:space="0" w:color="auto"/>
              <w:right w:val="single" w:sz="6" w:space="0" w:color="auto"/>
            </w:tcBorders>
          </w:tcPr>
          <w:p w14:paraId="61E30BC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0" w:type="dxa"/>
            <w:tcBorders>
              <w:top w:val="single" w:sz="6" w:space="0" w:color="auto"/>
              <w:left w:val="single" w:sz="6" w:space="0" w:color="auto"/>
              <w:bottom w:val="single" w:sz="6" w:space="0" w:color="auto"/>
              <w:right w:val="single" w:sz="6" w:space="0" w:color="auto"/>
            </w:tcBorders>
          </w:tcPr>
          <w:p w14:paraId="5E47700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708" w:type="dxa"/>
            <w:gridSpan w:val="2"/>
            <w:tcBorders>
              <w:top w:val="single" w:sz="6" w:space="0" w:color="auto"/>
              <w:left w:val="single" w:sz="6" w:space="0" w:color="auto"/>
              <w:bottom w:val="single" w:sz="6" w:space="0" w:color="auto"/>
              <w:right w:val="single" w:sz="6" w:space="0" w:color="auto"/>
            </w:tcBorders>
          </w:tcPr>
          <w:p w14:paraId="75A11A8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2" w:type="dxa"/>
            <w:gridSpan w:val="2"/>
            <w:tcBorders>
              <w:top w:val="single" w:sz="6" w:space="0" w:color="auto"/>
              <w:left w:val="single" w:sz="6" w:space="0" w:color="auto"/>
              <w:bottom w:val="single" w:sz="6" w:space="0" w:color="auto"/>
              <w:right w:val="single" w:sz="6" w:space="0" w:color="auto"/>
            </w:tcBorders>
          </w:tcPr>
          <w:p w14:paraId="4083750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620" w:type="dxa"/>
            <w:gridSpan w:val="2"/>
            <w:tcBorders>
              <w:top w:val="single" w:sz="6" w:space="0" w:color="auto"/>
              <w:left w:val="single" w:sz="6" w:space="0" w:color="auto"/>
              <w:bottom w:val="single" w:sz="6" w:space="0" w:color="auto"/>
              <w:right w:val="single" w:sz="6" w:space="0" w:color="auto"/>
            </w:tcBorders>
          </w:tcPr>
          <w:p w14:paraId="0E2E3CA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2" w:type="dxa"/>
            <w:gridSpan w:val="2"/>
            <w:tcBorders>
              <w:top w:val="single" w:sz="6" w:space="0" w:color="auto"/>
              <w:left w:val="single" w:sz="6" w:space="0" w:color="auto"/>
              <w:bottom w:val="single" w:sz="6" w:space="0" w:color="auto"/>
              <w:right w:val="single" w:sz="6" w:space="0" w:color="auto"/>
            </w:tcBorders>
          </w:tcPr>
          <w:p w14:paraId="1ED8BC3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650" w:type="dxa"/>
            <w:gridSpan w:val="2"/>
            <w:tcBorders>
              <w:top w:val="single" w:sz="6" w:space="0" w:color="auto"/>
              <w:left w:val="single" w:sz="6" w:space="0" w:color="auto"/>
              <w:bottom w:val="single" w:sz="6" w:space="0" w:color="auto"/>
              <w:right w:val="single" w:sz="6" w:space="0" w:color="auto"/>
            </w:tcBorders>
          </w:tcPr>
          <w:p w14:paraId="7BB947A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558700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Врид начальника 10 отдела управления трофейного вооружения и имущества ГУТ КА полковник Капралов</w:t>
      </w:r>
    </w:p>
    <w:p w14:paraId="5CCE323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ЦАМО. Ф. 38. Оп. 11386. Д. 135. Л. 1-2. Подлинник (11211).</w:t>
      </w:r>
    </w:p>
    <w:p w14:paraId="6D68CC5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73B1BE"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июля 1942 ночью в Севастополь корабли за Приморской армией так и не пришли. Войска самостоятельно, без приказа, вернулись на позиции сражаться до новой ночи. Бой продолжался весь день вдоль линии побережья (4963 ).</w:t>
      </w:r>
    </w:p>
    <w:p w14:paraId="3976B059"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581682"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июля 1942 вышло Постановление ГКО № 1954 О приведении 6, 5 и 3-й резервных армий в полную боевую готовность. (7039, 106-107).</w:t>
      </w:r>
    </w:p>
    <w:p w14:paraId="63643A56"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1EEF8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July 3 1942 Germans take Sevastopol (1050).</w:t>
      </w:r>
    </w:p>
    <w:p w14:paraId="18D7D24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ABC00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июля 1942 немцы захватили Севастополь (438,848).</w:t>
      </w:r>
    </w:p>
    <w:p w14:paraId="19F256D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F9189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июля 1942 г. немецкие танки захватили плацдарм на восточном берегу Дона и вскоре вышли к Воронежу. Таким образом, за неделю стремительного наступления Вермахт преодолел 150 км. Узнав об этих событиях, пусть и в искаженной форме, из сводок Совинформбюро, жители Саратова испытали страх. Даже любой школьник мог без труда посчитать, что расстояние от волжского города до линии фронта сократилось ровно на четверть. Да тут еще пришло известие о падении Севастополя, означавшее, что весь Крым отныне в руках немцев. Саратовцы еще не оправились от недавних налетов авиации, и в силу всего этого в городе в эти жаркие июльские дни царила очень возбужденная обстановка. Тем более люди, приезжавшие на поездах, рассказывали, что немцы бомбят железные дороги где-то в районе Борисоглебска и Уварово (11774).</w:t>
      </w:r>
    </w:p>
    <w:p w14:paraId="6F3241E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18542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3 июля 1942 вышло Постановление ГКО № 1952 О назначении т. Воронцова П.С. членом Калининского штаба партизанского движения. РГАНИР, Фонд ГКО, д. 40, лл. 104 (11012).</w:t>
      </w:r>
    </w:p>
    <w:p w14:paraId="1E622C6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4D134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июля 1942 вышло Постановление ГКО № 1953 О т. Клокове В.Я. РГАНИР, Фонд ГКО, д. 40, лл. 105 (11012).</w:t>
      </w:r>
    </w:p>
    <w:p w14:paraId="22E856D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575E3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июля 1942 вышло Постановление ГКО № 1954 О приведении 6, 5 и 3-й резервных армий в полную боевую готовность. РГАНИР, Фонд ГКО, д. 40, лл. 106-107 (11012).</w:t>
      </w:r>
    </w:p>
    <w:p w14:paraId="20C6A9C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6C989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июля 1942 вышло Постановление ГКО № 1956 О повышении окладов содержания руководящему начальствующему составу военно-учебных заведений Красной Армии. РГАНИР, Фонд ГКО, д. 40, лл. 109 (11012).</w:t>
      </w:r>
    </w:p>
    <w:p w14:paraId="61272D3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FDF4E4"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За рубежом:</w:t>
      </w:r>
    </w:p>
    <w:p w14:paraId="47A89B5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2811CE" w14:textId="77777777" w:rsidR="00AD4360" w:rsidRPr="001E2C69" w:rsidRDefault="00AD43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июля 1942 года состоялся первый полет прототип Martin XPB2M-1 Mars (20793).</w:t>
      </w:r>
    </w:p>
    <w:p w14:paraId="5F3FC501" w14:textId="77777777" w:rsidR="00AD4360" w:rsidRPr="001E2C69" w:rsidRDefault="00AD4360" w:rsidP="00722885">
      <w:pPr>
        <w:spacing w:after="0" w:line="240" w:lineRule="auto"/>
        <w:jc w:val="both"/>
        <w:rPr>
          <w:rFonts w:ascii="Times New Roman" w:hAnsi="Times New Roman"/>
          <w:color w:val="000000" w:themeColor="text1"/>
          <w:sz w:val="16"/>
          <w:szCs w:val="16"/>
        </w:rPr>
      </w:pPr>
    </w:p>
    <w:p w14:paraId="2C75A7E8" w14:textId="4A131678" w:rsidR="00AD4360" w:rsidRPr="001E2C69" w:rsidRDefault="00AD43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июля 1942</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Первый полет опытного образца XPB2M-1 летающей лодки Martin 170, которую предполагалось использовать в качестве патрульного бомбардировщика. Затем было принято решение о превращении самолета в транспортный. Он был переименован в XPB2M-1R и в декабре 1943 года поступил в эксплуатацию. Этот самолет до сих пор остается самой крупной летающей лодкой ВМФ США (22441).</w:t>
      </w:r>
    </w:p>
    <w:p w14:paraId="38B74261" w14:textId="77777777" w:rsidR="00AD4360" w:rsidRPr="001E2C69" w:rsidRDefault="00AD4360" w:rsidP="00722885">
      <w:pPr>
        <w:spacing w:after="0" w:line="240" w:lineRule="auto"/>
        <w:jc w:val="both"/>
        <w:rPr>
          <w:rFonts w:ascii="Times New Roman" w:hAnsi="Times New Roman"/>
          <w:color w:val="000000" w:themeColor="text1"/>
          <w:sz w:val="16"/>
          <w:szCs w:val="16"/>
        </w:rPr>
      </w:pPr>
    </w:p>
    <w:p w14:paraId="2A5BD0D1"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3 июля</w:t>
      </w:r>
      <w:r w:rsidRPr="001E2C69">
        <w:rPr>
          <w:rFonts w:ascii="Times New Roman" w:hAnsi="Times New Roman"/>
          <w:color w:val="000000" w:themeColor="text1"/>
          <w:sz w:val="16"/>
          <w:szCs w:val="16"/>
        </w:rPr>
        <w:t xml:space="preserve"> в 1942 году министерство авиации заключило с компанией "Де Хевилленд" контракт на постройку экспериментального "Москито", оснащенного двумя высотными моторами "Мерлин" 61 и герметичной кабиной. Для этого «W40502 вернули на завод в Хатфилд, где были выполнены соответствующие переделки. В частности, на самолете смонтировали четырехлопастные винты. Мощность "Мерлина" 61 у земли была практически той же, что и у 21-й модели, зато на высоте 7170 м за счет применения двухступенчатого двухскоростного компрессора она сохранялась на уровне 1390 л.с. Теоретически это позволяло получить очень высокую скорость. Однако уже в первых полетах обнаружилась сильная вибрация силовой установки на высотах более 4500 м. Аналогичные явления наблюдались и на "Спитфайрах" с "Мерлинами" 61. Машина требовала длительной доводки (14941).</w:t>
      </w:r>
    </w:p>
    <w:p w14:paraId="1F66999A" w14:textId="77777777" w:rsidR="00030668" w:rsidRPr="001E2C69" w:rsidRDefault="00030668" w:rsidP="00722885">
      <w:pPr>
        <w:spacing w:after="0" w:line="240" w:lineRule="auto"/>
        <w:jc w:val="both"/>
        <w:rPr>
          <w:rFonts w:ascii="Times New Roman" w:hAnsi="Times New Roman"/>
          <w:color w:val="000000" w:themeColor="text1"/>
          <w:sz w:val="16"/>
          <w:szCs w:val="16"/>
        </w:rPr>
      </w:pPr>
    </w:p>
    <w:p w14:paraId="3E1F5AD9"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3 июля</w:t>
      </w:r>
      <w:r w:rsidRPr="001E2C69">
        <w:rPr>
          <w:rFonts w:ascii="Times New Roman" w:hAnsi="Times New Roman"/>
          <w:color w:val="000000" w:themeColor="text1"/>
          <w:sz w:val="16"/>
          <w:szCs w:val="16"/>
        </w:rPr>
        <w:t xml:space="preserve"> в 1942 году завершились (с 23 июня) тестовые полеты </w:t>
      </w:r>
      <w:hyperlink r:id="rId129" w:tgtFrame="_blank" w:history="1">
        <w:r w:rsidRPr="001E2C69">
          <w:rPr>
            <w:rFonts w:ascii="Times New Roman" w:hAnsi="Times New Roman"/>
            <w:color w:val="000000" w:themeColor="text1"/>
            <w:sz w:val="16"/>
            <w:szCs w:val="16"/>
          </w:rPr>
          <w:t xml:space="preserve">«Z.1015», </w:t>
        </w:r>
      </w:hyperlink>
      <w:r w:rsidRPr="001E2C69">
        <w:rPr>
          <w:rFonts w:ascii="Times New Roman" w:hAnsi="Times New Roman"/>
          <w:color w:val="000000" w:themeColor="text1"/>
          <w:sz w:val="16"/>
          <w:szCs w:val="16"/>
        </w:rPr>
        <w:t>полностью его реабилитировавшие. «Z.1015» показал скорость 563 км\ч при прежних характеристиках грузоподъёмности и дальности. Большие нарекания вызывала только большая масса самолёта и отсутствие бронирования, что могло сделать его лёгкой добычей вражеской ПВО и истребителей. От серийного производства «Z.1015» отказались, но с конца 1942 года самолёт передали в ограниченную эксплуатацию. К перемирию он находился в распоряжении фирмы и вероятнее всего был захвачен немецкими войсками, после чего следы единственного экземпляра «Z.1015» теряются (14941).</w:t>
      </w:r>
    </w:p>
    <w:p w14:paraId="53ED0F9F" w14:textId="77777777" w:rsidR="00030668" w:rsidRPr="001E2C69" w:rsidRDefault="00030668" w:rsidP="00722885">
      <w:pPr>
        <w:spacing w:after="0" w:line="240" w:lineRule="auto"/>
        <w:jc w:val="both"/>
        <w:rPr>
          <w:rFonts w:ascii="Times New Roman" w:hAnsi="Times New Roman"/>
          <w:color w:val="000000" w:themeColor="text1"/>
          <w:sz w:val="16"/>
          <w:szCs w:val="16"/>
        </w:rPr>
      </w:pPr>
    </w:p>
    <w:p w14:paraId="487D29F7"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3 июля</w:t>
      </w:r>
      <w:r w:rsidRPr="001E2C69">
        <w:rPr>
          <w:rFonts w:ascii="Times New Roman" w:hAnsi="Times New Roman"/>
          <w:color w:val="000000" w:themeColor="text1"/>
          <w:sz w:val="16"/>
          <w:szCs w:val="16"/>
        </w:rPr>
        <w:t xml:space="preserve"> в 1942 году первый полет опытного образца </w:t>
      </w:r>
      <w:hyperlink r:id="rId130" w:tgtFrame="_blank" w:history="1">
        <w:r w:rsidRPr="001E2C69">
          <w:rPr>
            <w:rFonts w:ascii="Times New Roman" w:hAnsi="Times New Roman"/>
            <w:color w:val="000000" w:themeColor="text1"/>
            <w:sz w:val="16"/>
            <w:szCs w:val="16"/>
          </w:rPr>
          <w:t xml:space="preserve">«XPB2M-1» </w:t>
        </w:r>
      </w:hyperlink>
      <w:r w:rsidRPr="001E2C69">
        <w:rPr>
          <w:rFonts w:ascii="Times New Roman" w:hAnsi="Times New Roman"/>
          <w:color w:val="000000" w:themeColor="text1"/>
          <w:sz w:val="16"/>
          <w:szCs w:val="16"/>
        </w:rPr>
        <w:t>летающей лодки «Martin 170», которую предполагалось использовать в качестве патрульного бомбардировщика. Затем было принято решение о превращении самолета в транспортный. Он был переименован в «XPB2M-1R» и в декабре 1943 года поступил в эксплуатацию. Этот самолет до сих пор остается самой крупной летающей лодкой ВМФ США (14941).</w:t>
      </w:r>
    </w:p>
    <w:p w14:paraId="04BFD575" w14:textId="77777777" w:rsidR="00030668" w:rsidRPr="001E2C69" w:rsidRDefault="00030668" w:rsidP="00722885">
      <w:pPr>
        <w:spacing w:after="0" w:line="240" w:lineRule="auto"/>
        <w:jc w:val="both"/>
        <w:rPr>
          <w:rFonts w:ascii="Times New Roman" w:hAnsi="Times New Roman"/>
          <w:color w:val="000000" w:themeColor="text1"/>
          <w:sz w:val="16"/>
          <w:szCs w:val="16"/>
        </w:rPr>
      </w:pPr>
    </w:p>
    <w:p w14:paraId="4E6C8C1F" w14:textId="77777777" w:rsidR="00030668" w:rsidRPr="001E2C69" w:rsidRDefault="00030668"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июля 1942 произошли успешные испытания противолодочной ракеты Калифорнийского технологического (Калтеха), выпущенной вертикально вниз в полете с самолета PBY-5A (1090).</w:t>
      </w:r>
    </w:p>
    <w:p w14:paraId="354857F4" w14:textId="77777777" w:rsidR="00030668" w:rsidRPr="001E2C69" w:rsidRDefault="00030668"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630B8D" w14:textId="77777777" w:rsidR="00030668" w:rsidRPr="001E2C69" w:rsidRDefault="00030668"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rPr>
        <w:t>3 июля 1942 на аэродроме Голдстоун Лэйк, ш Калифорния, США, при старте PBY-5A использовали ракетные ускорители. Пилотировал</w:t>
      </w:r>
      <w:r w:rsidRPr="001E2C69">
        <w:rPr>
          <w:rFonts w:ascii="Times New Roman" w:hAnsi="Times New Roman"/>
          <w:color w:val="000000" w:themeColor="text1"/>
          <w:sz w:val="16"/>
          <w:szCs w:val="16"/>
          <w:lang w:val="en-US"/>
        </w:rPr>
        <w:t xml:space="preserve"> John Hean (2990).</w:t>
      </w:r>
    </w:p>
    <w:p w14:paraId="79BEE6E0" w14:textId="77777777" w:rsidR="00030668" w:rsidRPr="001E2C69" w:rsidRDefault="00030668"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BAC2A98"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lang w:val="en-US"/>
        </w:rPr>
        <w:t xml:space="preserve">3 </w:t>
      </w:r>
      <w:r w:rsidRPr="001E2C69">
        <w:rPr>
          <w:rFonts w:ascii="Times New Roman" w:hAnsi="Times New Roman"/>
          <w:color w:val="000000" w:themeColor="text1"/>
          <w:sz w:val="16"/>
          <w:szCs w:val="16"/>
        </w:rPr>
        <w:t>июля</w:t>
      </w:r>
      <w:r w:rsidRPr="001E2C69">
        <w:rPr>
          <w:rFonts w:ascii="Times New Roman" w:hAnsi="Times New Roman"/>
          <w:color w:val="000000" w:themeColor="text1"/>
          <w:sz w:val="16"/>
          <w:szCs w:val="16"/>
          <w:lang w:val="en-US"/>
        </w:rPr>
        <w:t xml:space="preserve"> 1942 </w:t>
      </w:r>
      <w:r w:rsidRPr="001E2C69">
        <w:rPr>
          <w:rFonts w:ascii="Times New Roman" w:hAnsi="Times New Roman"/>
          <w:color w:val="000000" w:themeColor="text1"/>
          <w:sz w:val="16"/>
          <w:szCs w:val="16"/>
        </w:rPr>
        <w:t>вКраковенацистамирасстреляны</w:t>
      </w:r>
      <w:r w:rsidRPr="001E2C69">
        <w:rPr>
          <w:rFonts w:ascii="Times New Roman" w:hAnsi="Times New Roman"/>
          <w:color w:val="000000" w:themeColor="text1"/>
          <w:sz w:val="16"/>
          <w:szCs w:val="16"/>
          <w:lang w:val="en-US"/>
        </w:rPr>
        <w:t xml:space="preserve"> 93 </w:t>
      </w:r>
      <w:r w:rsidRPr="001E2C69">
        <w:rPr>
          <w:rFonts w:ascii="Times New Roman" w:hAnsi="Times New Roman"/>
          <w:color w:val="000000" w:themeColor="text1"/>
          <w:sz w:val="16"/>
          <w:szCs w:val="16"/>
        </w:rPr>
        <w:t>цыгана</w:t>
      </w:r>
      <w:r w:rsidRPr="001E2C69">
        <w:rPr>
          <w:rFonts w:ascii="Times New Roman" w:hAnsi="Times New Roman"/>
          <w:color w:val="000000" w:themeColor="text1"/>
          <w:sz w:val="16"/>
          <w:szCs w:val="16"/>
          <w:lang w:val="en-US"/>
        </w:rPr>
        <w:t xml:space="preserve"> (4962).</w:t>
      </w:r>
    </w:p>
    <w:p w14:paraId="06EACF95"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792A29B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lang w:val="en-US"/>
        </w:rPr>
        <w:t>July 3rd, 1942: In Egypt, due to exhaustion and lack of supplies, especially fuel for the armored divisions, German and Italian forces of the Afrikakorps suspend all offensive operations before El Alamein and begin constructing defensive positions (3819).</w:t>
      </w:r>
    </w:p>
    <w:p w14:paraId="61905B1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A02EE3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июля 1942 из-за исчерпания горючего и боеприпасов немецкие и итальянские части Африканского корпуса приостановили наступление на Эль Аламейн и перешли к обороне (3819).</w:t>
      </w:r>
    </w:p>
    <w:p w14:paraId="5D7ADAE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2BA41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lang w:val="en-US"/>
        </w:rPr>
        <w:t>July 3 1942 In the first successful firing of an American rocket from a plane in flight, Lieutenant Commander J. H. Hean, Gunnery Officer of Transition Training Squadron, Pacific Fleet, fired a retro-rocket from a PBY-5A in flight at Goldstone Lake, Calif. The rocket, designed to be fired aft with a velocity equal to the forward velocity of the airplane, and thus to fall vertically, was designed at the California Institute of Technology. Following successful tests, the retro-rocket became a weapon complementary to the magnetic airborne detector with Patrol Squadron 63 receiving the first service installation in February 1943 (1090).</w:t>
      </w:r>
    </w:p>
    <w:p w14:paraId="1E438CC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07BA60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июля 1942 японцы высадились на Гвадалканале (2245,7).</w:t>
      </w:r>
    </w:p>
    <w:p w14:paraId="429C185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5E2F8B"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Авиапромышленность:</w:t>
      </w:r>
    </w:p>
    <w:p w14:paraId="2D52F05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DA20F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4 по 14 июля 1942 проходили гос. испытания Як-1б М-105ПА с улучшенным обзором, вооружением, бронированием. А.Г.Прошаков и летчики облета П.М.Стефановский, А.Г.Кочетков, Л.М.Кувшинов, В.И.Хомяков выполнили 16 полетов и налетали 8:15. В инженером был М.А.Пронин, а т Л.В.Николаев (65,66). Самолет N 35-60 (796,4).</w:t>
      </w:r>
    </w:p>
    <w:p w14:paraId="082FF09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2D753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вышел приказ № 488с:</w:t>
      </w:r>
    </w:p>
    <w:p w14:paraId="14F5DCA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Ввиду того, что большая часть мощности опытного з-да № 294 используется не выполнение серийных заказов по изделиям из плпстмасс:</w:t>
      </w:r>
    </w:p>
    <w:p w14:paraId="371FA6B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Передать з-д 294 совместно с ОКБ ГК Д.А.Михайлова из 7 ГУ в 10 ГУ и организовать з-д как филиал з-да 22</w:t>
      </w:r>
    </w:p>
    <w:p w14:paraId="544AF04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Д-ру з-да 294 И.П.Младенцеву передать, а д-ру з-да 22 Окулову В.А принять зд- 294.</w:t>
      </w:r>
    </w:p>
    <w:p w14:paraId="59F19A8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Дементьев (1574, 59).</w:t>
      </w:r>
    </w:p>
    <w:p w14:paraId="24C3189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93655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вышел приказ НКАП N 489сс в изменение 2-го п. приказа 342сс от 3 мая 1942 о постройке деревянного дешевого самолета с 2М-11 конструкции А.С.Я.</w:t>
      </w:r>
    </w:p>
    <w:p w14:paraId="10A3D0E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И.о. нач. ПГУ Шиц и директору завода 47 Шаройко опытные образцы деревянного дешевого самолета с 2М-11 и войсковую серию в количестве 10 экз. построить на заводе 47, имея в виду дальнейшее серийное производство этого самолета на заводе 47 (1574,64).</w:t>
      </w:r>
    </w:p>
    <w:p w14:paraId="779262D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4F4FB6"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июля 1941 г. Постановление ГКО СССР № 22сс -«О плане выпуска Наркоматом авиационной промышленности самолетов и моторов в III квартале 1941 г.»</w:t>
      </w:r>
    </w:p>
    <w:p w14:paraId="2FB1DA13"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5507E664"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 изменение постановления СНК Союза ССР от 19 июня 1941 г. № 1681-708сс «О плане текущих военных заказов НКО, НКВМФ и НКВД на III квартал 1941 г.» принять предложение НКАП о введении увеличенного плана выпуска самолетов и моторов на III квартал и считать его мобилизационным планом33:</w:t>
      </w:r>
    </w:p>
    <w:p w14:paraId="2B1E5BDA"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Самолеты</w:t>
      </w:r>
    </w:p>
    <w:p w14:paraId="46B685A6"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Типы самолетов</w:t>
      </w:r>
      <w:r w:rsidRPr="008A2E5A">
        <w:rPr>
          <w:rFonts w:ascii="Times New Roman" w:hAnsi="Times New Roman"/>
          <w:color w:val="0070C0"/>
          <w:sz w:val="16"/>
          <w:szCs w:val="16"/>
        </w:rPr>
        <w:tab/>
        <w:t>№ заводов</w:t>
      </w:r>
      <w:r w:rsidRPr="008A2E5A">
        <w:rPr>
          <w:rFonts w:ascii="Times New Roman" w:hAnsi="Times New Roman"/>
          <w:color w:val="0070C0"/>
          <w:sz w:val="16"/>
          <w:szCs w:val="16"/>
        </w:rPr>
        <w:tab/>
        <w:t>План на III квартал 1941 г.</w:t>
      </w:r>
      <w:r w:rsidRPr="008A2E5A">
        <w:rPr>
          <w:rFonts w:ascii="Times New Roman" w:hAnsi="Times New Roman"/>
          <w:color w:val="0070C0"/>
          <w:sz w:val="16"/>
          <w:szCs w:val="16"/>
        </w:rPr>
        <w:tab/>
        <w:t>В том числе по месяцам:</w:t>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633207C5"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ИЮЛЬ</w:t>
      </w:r>
      <w:r w:rsidRPr="008A2E5A">
        <w:rPr>
          <w:rFonts w:ascii="Times New Roman" w:hAnsi="Times New Roman"/>
          <w:color w:val="0070C0"/>
          <w:sz w:val="16"/>
          <w:szCs w:val="16"/>
        </w:rPr>
        <w:tab/>
        <w:t>август</w:t>
      </w:r>
      <w:r w:rsidRPr="008A2E5A">
        <w:rPr>
          <w:rFonts w:ascii="Times New Roman" w:hAnsi="Times New Roman"/>
          <w:color w:val="0070C0"/>
          <w:sz w:val="16"/>
          <w:szCs w:val="16"/>
        </w:rPr>
        <w:tab/>
        <w:t>сентябрь</w:t>
      </w:r>
    </w:p>
    <w:p w14:paraId="116101F0"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Истребители</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519400D8"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МиГ-3</w:t>
      </w:r>
      <w:r w:rsidRPr="008A2E5A">
        <w:rPr>
          <w:rFonts w:ascii="Times New Roman" w:hAnsi="Times New Roman"/>
          <w:color w:val="0070C0"/>
          <w:sz w:val="16"/>
          <w:szCs w:val="16"/>
        </w:rPr>
        <w:tab/>
        <w:t>1</w:t>
      </w:r>
      <w:r w:rsidRPr="008A2E5A">
        <w:rPr>
          <w:rFonts w:ascii="Times New Roman" w:hAnsi="Times New Roman"/>
          <w:color w:val="0070C0"/>
          <w:sz w:val="16"/>
          <w:szCs w:val="16"/>
        </w:rPr>
        <w:tab/>
        <w:t>1640</w:t>
      </w:r>
      <w:r w:rsidRPr="008A2E5A">
        <w:rPr>
          <w:rFonts w:ascii="Times New Roman" w:hAnsi="Times New Roman"/>
          <w:color w:val="0070C0"/>
          <w:sz w:val="16"/>
          <w:szCs w:val="16"/>
        </w:rPr>
        <w:tab/>
        <w:t>496</w:t>
      </w:r>
      <w:r w:rsidRPr="008A2E5A">
        <w:rPr>
          <w:rFonts w:ascii="Times New Roman" w:hAnsi="Times New Roman"/>
          <w:color w:val="0070C0"/>
          <w:sz w:val="16"/>
          <w:szCs w:val="16"/>
        </w:rPr>
        <w:tab/>
        <w:t>544</w:t>
      </w:r>
      <w:r w:rsidRPr="008A2E5A">
        <w:rPr>
          <w:rFonts w:ascii="Times New Roman" w:hAnsi="Times New Roman"/>
          <w:color w:val="0070C0"/>
          <w:sz w:val="16"/>
          <w:szCs w:val="16"/>
        </w:rPr>
        <w:tab/>
        <w:t>600</w:t>
      </w:r>
    </w:p>
    <w:p w14:paraId="35F14233"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ЛаГГ-3</w:t>
      </w:r>
      <w:r w:rsidRPr="008A2E5A">
        <w:rPr>
          <w:rFonts w:ascii="Times New Roman" w:hAnsi="Times New Roman"/>
          <w:color w:val="0070C0"/>
          <w:sz w:val="16"/>
          <w:szCs w:val="16"/>
        </w:rPr>
        <w:tab/>
        <w:t>21</w:t>
      </w:r>
      <w:r w:rsidRPr="008A2E5A">
        <w:rPr>
          <w:rFonts w:ascii="Times New Roman" w:hAnsi="Times New Roman"/>
          <w:color w:val="0070C0"/>
          <w:sz w:val="16"/>
          <w:szCs w:val="16"/>
        </w:rPr>
        <w:tab/>
        <w:t>915</w:t>
      </w:r>
      <w:r w:rsidRPr="008A2E5A">
        <w:rPr>
          <w:rFonts w:ascii="Times New Roman" w:hAnsi="Times New Roman"/>
          <w:color w:val="0070C0"/>
          <w:sz w:val="16"/>
          <w:szCs w:val="16"/>
        </w:rPr>
        <w:tab/>
        <w:t>259</w:t>
      </w:r>
      <w:r w:rsidRPr="008A2E5A">
        <w:rPr>
          <w:rFonts w:ascii="Times New Roman" w:hAnsi="Times New Roman"/>
          <w:color w:val="0070C0"/>
          <w:sz w:val="16"/>
          <w:szCs w:val="16"/>
        </w:rPr>
        <w:tab/>
        <w:t>300</w:t>
      </w:r>
      <w:r w:rsidRPr="008A2E5A">
        <w:rPr>
          <w:rFonts w:ascii="Times New Roman" w:hAnsi="Times New Roman"/>
          <w:color w:val="0070C0"/>
          <w:sz w:val="16"/>
          <w:szCs w:val="16"/>
        </w:rPr>
        <w:tab/>
        <w:t>356</w:t>
      </w:r>
    </w:p>
    <w:p w14:paraId="03856F4E"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ЛаГГ-3</w:t>
      </w:r>
      <w:r w:rsidRPr="008A2E5A">
        <w:rPr>
          <w:rFonts w:ascii="Times New Roman" w:hAnsi="Times New Roman"/>
          <w:color w:val="0070C0"/>
          <w:sz w:val="16"/>
          <w:szCs w:val="16"/>
        </w:rPr>
        <w:tab/>
        <w:t>23</w:t>
      </w:r>
      <w:r w:rsidRPr="008A2E5A">
        <w:rPr>
          <w:rFonts w:ascii="Times New Roman" w:hAnsi="Times New Roman"/>
          <w:color w:val="0070C0"/>
          <w:sz w:val="16"/>
          <w:szCs w:val="16"/>
        </w:rPr>
        <w:tab/>
        <w:t>200</w:t>
      </w:r>
      <w:r w:rsidRPr="008A2E5A">
        <w:rPr>
          <w:rFonts w:ascii="Times New Roman" w:hAnsi="Times New Roman"/>
          <w:color w:val="0070C0"/>
          <w:sz w:val="16"/>
          <w:szCs w:val="16"/>
        </w:rPr>
        <w:tab/>
        <w:t>62</w:t>
      </w:r>
      <w:r w:rsidRPr="008A2E5A">
        <w:rPr>
          <w:rFonts w:ascii="Times New Roman" w:hAnsi="Times New Roman"/>
          <w:color w:val="0070C0"/>
          <w:sz w:val="16"/>
          <w:szCs w:val="16"/>
        </w:rPr>
        <w:tab/>
        <w:t>62</w:t>
      </w:r>
      <w:r w:rsidRPr="008A2E5A">
        <w:rPr>
          <w:rFonts w:ascii="Times New Roman" w:hAnsi="Times New Roman"/>
          <w:color w:val="0070C0"/>
          <w:sz w:val="16"/>
          <w:szCs w:val="16"/>
        </w:rPr>
        <w:tab/>
        <w:t>76</w:t>
      </w:r>
    </w:p>
    <w:p w14:paraId="310BAF78"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ЛаГГ-3</w:t>
      </w:r>
      <w:r w:rsidRPr="008A2E5A">
        <w:rPr>
          <w:rFonts w:ascii="Times New Roman" w:hAnsi="Times New Roman"/>
          <w:color w:val="0070C0"/>
          <w:sz w:val="16"/>
          <w:szCs w:val="16"/>
        </w:rPr>
        <w:tab/>
        <w:t>31</w:t>
      </w:r>
      <w:r w:rsidRPr="008A2E5A">
        <w:rPr>
          <w:rFonts w:ascii="Times New Roman" w:hAnsi="Times New Roman"/>
          <w:color w:val="0070C0"/>
          <w:sz w:val="16"/>
          <w:szCs w:val="16"/>
        </w:rPr>
        <w:tab/>
        <w:t>550</w:t>
      </w:r>
      <w:r w:rsidRPr="008A2E5A">
        <w:rPr>
          <w:rFonts w:ascii="Times New Roman" w:hAnsi="Times New Roman"/>
          <w:color w:val="0070C0"/>
          <w:sz w:val="16"/>
          <w:szCs w:val="16"/>
        </w:rPr>
        <w:tab/>
        <w:t>166</w:t>
      </w:r>
      <w:r w:rsidRPr="008A2E5A">
        <w:rPr>
          <w:rFonts w:ascii="Times New Roman" w:hAnsi="Times New Roman"/>
          <w:color w:val="0070C0"/>
          <w:sz w:val="16"/>
          <w:szCs w:val="16"/>
        </w:rPr>
        <w:tab/>
        <w:t>186</w:t>
      </w:r>
      <w:r w:rsidRPr="008A2E5A">
        <w:rPr>
          <w:rFonts w:ascii="Times New Roman" w:hAnsi="Times New Roman"/>
          <w:color w:val="0070C0"/>
          <w:sz w:val="16"/>
          <w:szCs w:val="16"/>
        </w:rPr>
        <w:tab/>
        <w:t>198</w:t>
      </w:r>
    </w:p>
    <w:p w14:paraId="285767E9"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ЛаГГ-3</w:t>
      </w:r>
      <w:r w:rsidRPr="008A2E5A">
        <w:rPr>
          <w:rFonts w:ascii="Times New Roman" w:hAnsi="Times New Roman"/>
          <w:color w:val="0070C0"/>
          <w:sz w:val="16"/>
          <w:szCs w:val="16"/>
        </w:rPr>
        <w:tab/>
        <w:t>153</w:t>
      </w:r>
      <w:r w:rsidRPr="008A2E5A">
        <w:rPr>
          <w:rFonts w:ascii="Times New Roman" w:hAnsi="Times New Roman"/>
          <w:color w:val="0070C0"/>
          <w:sz w:val="16"/>
          <w:szCs w:val="16"/>
        </w:rPr>
        <w:tab/>
        <w:t>150</w:t>
      </w:r>
      <w:r w:rsidRPr="008A2E5A">
        <w:rPr>
          <w:rFonts w:ascii="Times New Roman" w:hAnsi="Times New Roman"/>
          <w:color w:val="0070C0"/>
          <w:sz w:val="16"/>
          <w:szCs w:val="16"/>
        </w:rPr>
        <w:tab/>
        <w:t>31</w:t>
      </w:r>
      <w:r w:rsidRPr="008A2E5A">
        <w:rPr>
          <w:rFonts w:ascii="Times New Roman" w:hAnsi="Times New Roman"/>
          <w:color w:val="0070C0"/>
          <w:sz w:val="16"/>
          <w:szCs w:val="16"/>
        </w:rPr>
        <w:tab/>
        <w:t>50</w:t>
      </w:r>
      <w:r w:rsidRPr="008A2E5A">
        <w:rPr>
          <w:rFonts w:ascii="Times New Roman" w:hAnsi="Times New Roman"/>
          <w:color w:val="0070C0"/>
          <w:sz w:val="16"/>
          <w:szCs w:val="16"/>
        </w:rPr>
        <w:tab/>
        <w:t>69</w:t>
      </w:r>
    </w:p>
    <w:p w14:paraId="3C3A1CE7"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Як-1</w:t>
      </w:r>
      <w:r w:rsidRPr="008A2E5A">
        <w:rPr>
          <w:rFonts w:ascii="Times New Roman" w:hAnsi="Times New Roman"/>
          <w:color w:val="0070C0"/>
          <w:sz w:val="16"/>
          <w:szCs w:val="16"/>
        </w:rPr>
        <w:tab/>
        <w:t>292</w:t>
      </w:r>
      <w:r w:rsidRPr="008A2E5A">
        <w:rPr>
          <w:rFonts w:ascii="Times New Roman" w:hAnsi="Times New Roman"/>
          <w:color w:val="0070C0"/>
          <w:sz w:val="16"/>
          <w:szCs w:val="16"/>
        </w:rPr>
        <w:tab/>
        <w:t>643</w:t>
      </w:r>
      <w:r w:rsidRPr="008A2E5A">
        <w:rPr>
          <w:rFonts w:ascii="Times New Roman" w:hAnsi="Times New Roman"/>
          <w:color w:val="0070C0"/>
          <w:sz w:val="16"/>
          <w:szCs w:val="16"/>
        </w:rPr>
        <w:tab/>
        <w:t>186</w:t>
      </w:r>
      <w:r w:rsidRPr="008A2E5A">
        <w:rPr>
          <w:rFonts w:ascii="Times New Roman" w:hAnsi="Times New Roman"/>
          <w:color w:val="0070C0"/>
          <w:sz w:val="16"/>
          <w:szCs w:val="16"/>
        </w:rPr>
        <w:tab/>
        <w:t>217</w:t>
      </w:r>
      <w:r w:rsidRPr="008A2E5A">
        <w:rPr>
          <w:rFonts w:ascii="Times New Roman" w:hAnsi="Times New Roman"/>
          <w:color w:val="0070C0"/>
          <w:sz w:val="16"/>
          <w:szCs w:val="16"/>
        </w:rPr>
        <w:tab/>
        <w:t>240</w:t>
      </w:r>
    </w:p>
    <w:p w14:paraId="1C7399CB"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истребителей:</w:t>
      </w:r>
      <w:r w:rsidRPr="008A2E5A">
        <w:rPr>
          <w:rFonts w:ascii="Times New Roman" w:hAnsi="Times New Roman"/>
          <w:color w:val="0070C0"/>
          <w:sz w:val="16"/>
          <w:szCs w:val="16"/>
        </w:rPr>
        <w:tab/>
      </w:r>
      <w:r w:rsidRPr="008A2E5A">
        <w:rPr>
          <w:rFonts w:ascii="Times New Roman" w:hAnsi="Times New Roman"/>
          <w:color w:val="0070C0"/>
          <w:sz w:val="16"/>
          <w:szCs w:val="16"/>
        </w:rPr>
        <w:tab/>
        <w:t>4098</w:t>
      </w:r>
      <w:r w:rsidRPr="008A2E5A">
        <w:rPr>
          <w:rFonts w:ascii="Times New Roman" w:hAnsi="Times New Roman"/>
          <w:color w:val="0070C0"/>
          <w:sz w:val="16"/>
          <w:szCs w:val="16"/>
        </w:rPr>
        <w:tab/>
        <w:t>1200</w:t>
      </w:r>
      <w:r w:rsidRPr="008A2E5A">
        <w:rPr>
          <w:rFonts w:ascii="Times New Roman" w:hAnsi="Times New Roman"/>
          <w:color w:val="0070C0"/>
          <w:sz w:val="16"/>
          <w:szCs w:val="16"/>
        </w:rPr>
        <w:tab/>
        <w:t>1359</w:t>
      </w:r>
      <w:r w:rsidRPr="008A2E5A">
        <w:rPr>
          <w:rFonts w:ascii="Times New Roman" w:hAnsi="Times New Roman"/>
          <w:color w:val="0070C0"/>
          <w:sz w:val="16"/>
          <w:szCs w:val="16"/>
        </w:rPr>
        <w:tab/>
        <w:t>1539</w:t>
      </w:r>
    </w:p>
    <w:p w14:paraId="19DFCC5A"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Бомбардировщики</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39AF56BD"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Пе-2</w:t>
      </w:r>
      <w:r w:rsidRPr="008A2E5A">
        <w:rPr>
          <w:rFonts w:ascii="Times New Roman" w:hAnsi="Times New Roman"/>
          <w:color w:val="0070C0"/>
          <w:sz w:val="16"/>
          <w:szCs w:val="16"/>
        </w:rPr>
        <w:tab/>
        <w:t>22</w:t>
      </w:r>
      <w:r w:rsidRPr="008A2E5A">
        <w:rPr>
          <w:rFonts w:ascii="Times New Roman" w:hAnsi="Times New Roman"/>
          <w:color w:val="0070C0"/>
          <w:sz w:val="16"/>
          <w:szCs w:val="16"/>
        </w:rPr>
        <w:tab/>
        <w:t>896</w:t>
      </w:r>
      <w:r w:rsidRPr="008A2E5A">
        <w:rPr>
          <w:rFonts w:ascii="Times New Roman" w:hAnsi="Times New Roman"/>
          <w:color w:val="0070C0"/>
          <w:sz w:val="16"/>
          <w:szCs w:val="16"/>
        </w:rPr>
        <w:tab/>
        <w:t>255</w:t>
      </w:r>
      <w:r w:rsidRPr="008A2E5A">
        <w:rPr>
          <w:rFonts w:ascii="Times New Roman" w:hAnsi="Times New Roman"/>
          <w:color w:val="0070C0"/>
          <w:sz w:val="16"/>
          <w:szCs w:val="16"/>
        </w:rPr>
        <w:tab/>
        <w:t>295</w:t>
      </w:r>
      <w:r w:rsidRPr="008A2E5A">
        <w:rPr>
          <w:rFonts w:ascii="Times New Roman" w:hAnsi="Times New Roman"/>
          <w:color w:val="0070C0"/>
          <w:sz w:val="16"/>
          <w:szCs w:val="16"/>
        </w:rPr>
        <w:tab/>
        <w:t>346</w:t>
      </w:r>
    </w:p>
    <w:p w14:paraId="169F536D"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Пе-2</w:t>
      </w:r>
      <w:r w:rsidRPr="008A2E5A">
        <w:rPr>
          <w:rFonts w:ascii="Times New Roman" w:hAnsi="Times New Roman"/>
          <w:color w:val="0070C0"/>
          <w:sz w:val="16"/>
          <w:szCs w:val="16"/>
        </w:rPr>
        <w:tab/>
        <w:t>39</w:t>
      </w:r>
      <w:r w:rsidRPr="008A2E5A">
        <w:rPr>
          <w:rFonts w:ascii="Times New Roman" w:hAnsi="Times New Roman"/>
          <w:color w:val="0070C0"/>
          <w:sz w:val="16"/>
          <w:szCs w:val="16"/>
        </w:rPr>
        <w:tab/>
        <w:t>276</w:t>
      </w:r>
      <w:r w:rsidRPr="008A2E5A">
        <w:rPr>
          <w:rFonts w:ascii="Times New Roman" w:hAnsi="Times New Roman"/>
          <w:color w:val="0070C0"/>
          <w:sz w:val="16"/>
          <w:szCs w:val="16"/>
        </w:rPr>
        <w:tab/>
        <w:t>93</w:t>
      </w:r>
      <w:r w:rsidRPr="008A2E5A">
        <w:rPr>
          <w:rFonts w:ascii="Times New Roman" w:hAnsi="Times New Roman"/>
          <w:color w:val="0070C0"/>
          <w:sz w:val="16"/>
          <w:szCs w:val="16"/>
        </w:rPr>
        <w:tab/>
        <w:t>93</w:t>
      </w:r>
      <w:r w:rsidRPr="008A2E5A">
        <w:rPr>
          <w:rFonts w:ascii="Times New Roman" w:hAnsi="Times New Roman"/>
          <w:color w:val="0070C0"/>
          <w:sz w:val="16"/>
          <w:szCs w:val="16"/>
        </w:rPr>
        <w:tab/>
        <w:t>90</w:t>
      </w:r>
    </w:p>
    <w:p w14:paraId="79502A00"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Пе-2</w:t>
      </w:r>
      <w:r w:rsidRPr="008A2E5A">
        <w:rPr>
          <w:rFonts w:ascii="Times New Roman" w:hAnsi="Times New Roman"/>
          <w:color w:val="0070C0"/>
          <w:sz w:val="16"/>
          <w:szCs w:val="16"/>
        </w:rPr>
        <w:tab/>
        <w:t>125</w:t>
      </w:r>
      <w:r w:rsidRPr="008A2E5A">
        <w:rPr>
          <w:rFonts w:ascii="Times New Roman" w:hAnsi="Times New Roman"/>
          <w:color w:val="0070C0"/>
          <w:sz w:val="16"/>
          <w:szCs w:val="16"/>
        </w:rPr>
        <w:tab/>
        <w:t>86</w:t>
      </w:r>
      <w:r w:rsidRPr="008A2E5A">
        <w:rPr>
          <w:rFonts w:ascii="Times New Roman" w:hAnsi="Times New Roman"/>
          <w:color w:val="0070C0"/>
          <w:sz w:val="16"/>
          <w:szCs w:val="16"/>
        </w:rPr>
        <w:tab/>
        <w:t>25</w:t>
      </w:r>
      <w:r w:rsidRPr="008A2E5A">
        <w:rPr>
          <w:rFonts w:ascii="Times New Roman" w:hAnsi="Times New Roman"/>
          <w:color w:val="0070C0"/>
          <w:sz w:val="16"/>
          <w:szCs w:val="16"/>
        </w:rPr>
        <w:tab/>
        <w:t>31</w:t>
      </w:r>
      <w:r w:rsidRPr="008A2E5A">
        <w:rPr>
          <w:rFonts w:ascii="Times New Roman" w:hAnsi="Times New Roman"/>
          <w:color w:val="0070C0"/>
          <w:sz w:val="16"/>
          <w:szCs w:val="16"/>
        </w:rPr>
        <w:tab/>
        <w:t>30</w:t>
      </w:r>
    </w:p>
    <w:p w14:paraId="1368450D"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Пе-2</w:t>
      </w:r>
      <w:r w:rsidRPr="008A2E5A">
        <w:rPr>
          <w:rFonts w:ascii="Times New Roman" w:hAnsi="Times New Roman"/>
          <w:color w:val="0070C0"/>
          <w:sz w:val="16"/>
          <w:szCs w:val="16"/>
        </w:rPr>
        <w:tab/>
        <w:t>124</w:t>
      </w:r>
      <w:r w:rsidRPr="008A2E5A">
        <w:rPr>
          <w:rFonts w:ascii="Times New Roman" w:hAnsi="Times New Roman"/>
          <w:color w:val="0070C0"/>
          <w:sz w:val="16"/>
          <w:szCs w:val="16"/>
        </w:rPr>
        <w:tab/>
        <w:t>159</w:t>
      </w:r>
      <w:r w:rsidRPr="008A2E5A">
        <w:rPr>
          <w:rFonts w:ascii="Times New Roman" w:hAnsi="Times New Roman"/>
          <w:color w:val="0070C0"/>
          <w:sz w:val="16"/>
          <w:szCs w:val="16"/>
        </w:rPr>
        <w:tab/>
        <w:t>37</w:t>
      </w:r>
      <w:r w:rsidRPr="008A2E5A">
        <w:rPr>
          <w:rFonts w:ascii="Times New Roman" w:hAnsi="Times New Roman"/>
          <w:color w:val="0070C0"/>
          <w:sz w:val="16"/>
          <w:szCs w:val="16"/>
        </w:rPr>
        <w:tab/>
        <w:t>62</w:t>
      </w:r>
      <w:r w:rsidRPr="008A2E5A">
        <w:rPr>
          <w:rFonts w:ascii="Times New Roman" w:hAnsi="Times New Roman"/>
          <w:color w:val="0070C0"/>
          <w:sz w:val="16"/>
          <w:szCs w:val="16"/>
        </w:rPr>
        <w:tab/>
        <w:t>60</w:t>
      </w:r>
    </w:p>
    <w:p w14:paraId="222DD1BA"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Ер-2</w:t>
      </w:r>
      <w:r w:rsidRPr="008A2E5A">
        <w:rPr>
          <w:rFonts w:ascii="Times New Roman" w:hAnsi="Times New Roman"/>
          <w:color w:val="0070C0"/>
          <w:sz w:val="16"/>
          <w:szCs w:val="16"/>
        </w:rPr>
        <w:tab/>
        <w:t>18</w:t>
      </w:r>
      <w:r w:rsidRPr="008A2E5A">
        <w:rPr>
          <w:rFonts w:ascii="Times New Roman" w:hAnsi="Times New Roman"/>
          <w:color w:val="0070C0"/>
          <w:sz w:val="16"/>
          <w:szCs w:val="16"/>
        </w:rPr>
        <w:tab/>
        <w:t>30</w:t>
      </w:r>
      <w:r w:rsidRPr="008A2E5A">
        <w:rPr>
          <w:rFonts w:ascii="Times New Roman" w:hAnsi="Times New Roman"/>
          <w:color w:val="0070C0"/>
          <w:sz w:val="16"/>
          <w:szCs w:val="16"/>
        </w:rPr>
        <w:tab/>
        <w:t>30</w:t>
      </w:r>
      <w:r w:rsidRPr="008A2E5A">
        <w:rPr>
          <w:rFonts w:ascii="Times New Roman" w:hAnsi="Times New Roman"/>
          <w:color w:val="0070C0"/>
          <w:sz w:val="16"/>
          <w:szCs w:val="16"/>
        </w:rPr>
        <w:tab/>
      </w:r>
      <w:r w:rsidRPr="008A2E5A">
        <w:rPr>
          <w:rFonts w:ascii="Times New Roman" w:hAnsi="Times New Roman"/>
          <w:color w:val="0070C0"/>
          <w:sz w:val="16"/>
          <w:szCs w:val="16"/>
        </w:rPr>
        <w:tab/>
        <w:t>—</w:t>
      </w:r>
    </w:p>
    <w:p w14:paraId="52D3836B"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ДБ-ЗФ</w:t>
      </w:r>
      <w:r w:rsidRPr="008A2E5A">
        <w:rPr>
          <w:rFonts w:ascii="Times New Roman" w:hAnsi="Times New Roman"/>
          <w:color w:val="0070C0"/>
          <w:sz w:val="16"/>
          <w:szCs w:val="16"/>
        </w:rPr>
        <w:tab/>
        <w:t>126</w:t>
      </w:r>
      <w:r w:rsidRPr="008A2E5A">
        <w:rPr>
          <w:rFonts w:ascii="Times New Roman" w:hAnsi="Times New Roman"/>
          <w:color w:val="0070C0"/>
          <w:sz w:val="16"/>
          <w:szCs w:val="16"/>
        </w:rPr>
        <w:tab/>
        <w:t>184</w:t>
      </w:r>
      <w:r w:rsidRPr="008A2E5A">
        <w:rPr>
          <w:rFonts w:ascii="Times New Roman" w:hAnsi="Times New Roman"/>
          <w:color w:val="0070C0"/>
          <w:sz w:val="16"/>
          <w:szCs w:val="16"/>
        </w:rPr>
        <w:tab/>
        <w:t>62</w:t>
      </w:r>
      <w:r w:rsidRPr="008A2E5A">
        <w:rPr>
          <w:rFonts w:ascii="Times New Roman" w:hAnsi="Times New Roman"/>
          <w:color w:val="0070C0"/>
          <w:sz w:val="16"/>
          <w:szCs w:val="16"/>
        </w:rPr>
        <w:tab/>
        <w:t>62</w:t>
      </w:r>
      <w:r w:rsidRPr="008A2E5A">
        <w:rPr>
          <w:rFonts w:ascii="Times New Roman" w:hAnsi="Times New Roman"/>
          <w:color w:val="0070C0"/>
          <w:sz w:val="16"/>
          <w:szCs w:val="16"/>
        </w:rPr>
        <w:tab/>
        <w:t>60</w:t>
      </w:r>
    </w:p>
    <w:p w14:paraId="17657837"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Су-2</w:t>
      </w:r>
      <w:r w:rsidRPr="008A2E5A">
        <w:rPr>
          <w:rFonts w:ascii="Times New Roman" w:hAnsi="Times New Roman"/>
          <w:color w:val="0070C0"/>
          <w:sz w:val="16"/>
          <w:szCs w:val="16"/>
        </w:rPr>
        <w:tab/>
        <w:t>135</w:t>
      </w:r>
      <w:r w:rsidRPr="008A2E5A">
        <w:rPr>
          <w:rFonts w:ascii="Times New Roman" w:hAnsi="Times New Roman"/>
          <w:color w:val="0070C0"/>
          <w:sz w:val="16"/>
          <w:szCs w:val="16"/>
        </w:rPr>
        <w:tab/>
        <w:t>368</w:t>
      </w:r>
      <w:r w:rsidRPr="008A2E5A">
        <w:rPr>
          <w:rFonts w:ascii="Times New Roman" w:hAnsi="Times New Roman"/>
          <w:color w:val="0070C0"/>
          <w:sz w:val="16"/>
          <w:szCs w:val="16"/>
        </w:rPr>
        <w:tab/>
        <w:t>124</w:t>
      </w:r>
      <w:r w:rsidRPr="008A2E5A">
        <w:rPr>
          <w:rFonts w:ascii="Times New Roman" w:hAnsi="Times New Roman"/>
          <w:color w:val="0070C0"/>
          <w:sz w:val="16"/>
          <w:szCs w:val="16"/>
        </w:rPr>
        <w:tab/>
        <w:t>124</w:t>
      </w:r>
      <w:r w:rsidRPr="008A2E5A">
        <w:rPr>
          <w:rFonts w:ascii="Times New Roman" w:hAnsi="Times New Roman"/>
          <w:color w:val="0070C0"/>
          <w:sz w:val="16"/>
          <w:szCs w:val="16"/>
        </w:rPr>
        <w:tab/>
        <w:t>120</w:t>
      </w:r>
    </w:p>
    <w:p w14:paraId="2AC18F61"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Су-2</w:t>
      </w:r>
      <w:r w:rsidRPr="008A2E5A">
        <w:rPr>
          <w:rFonts w:ascii="Times New Roman" w:hAnsi="Times New Roman"/>
          <w:color w:val="0070C0"/>
          <w:sz w:val="16"/>
          <w:szCs w:val="16"/>
        </w:rPr>
        <w:tab/>
        <w:t>207</w:t>
      </w:r>
      <w:r w:rsidRPr="008A2E5A">
        <w:rPr>
          <w:rFonts w:ascii="Times New Roman" w:hAnsi="Times New Roman"/>
          <w:color w:val="0070C0"/>
          <w:sz w:val="16"/>
          <w:szCs w:val="16"/>
        </w:rPr>
        <w:tab/>
        <w:t>92</w:t>
      </w:r>
      <w:r w:rsidRPr="008A2E5A">
        <w:rPr>
          <w:rFonts w:ascii="Times New Roman" w:hAnsi="Times New Roman"/>
          <w:color w:val="0070C0"/>
          <w:sz w:val="16"/>
          <w:szCs w:val="16"/>
        </w:rPr>
        <w:tab/>
        <w:t>31</w:t>
      </w:r>
      <w:r w:rsidRPr="008A2E5A">
        <w:rPr>
          <w:rFonts w:ascii="Times New Roman" w:hAnsi="Times New Roman"/>
          <w:color w:val="0070C0"/>
          <w:sz w:val="16"/>
          <w:szCs w:val="16"/>
        </w:rPr>
        <w:tab/>
        <w:t>31</w:t>
      </w:r>
      <w:r w:rsidRPr="008A2E5A">
        <w:rPr>
          <w:rFonts w:ascii="Times New Roman" w:hAnsi="Times New Roman"/>
          <w:color w:val="0070C0"/>
          <w:sz w:val="16"/>
          <w:szCs w:val="16"/>
        </w:rPr>
        <w:tab/>
        <w:t>30</w:t>
      </w:r>
    </w:p>
    <w:p w14:paraId="5EA634F5"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ТБ-7</w:t>
      </w:r>
      <w:r w:rsidRPr="008A2E5A">
        <w:rPr>
          <w:rFonts w:ascii="Times New Roman" w:hAnsi="Times New Roman"/>
          <w:color w:val="0070C0"/>
          <w:sz w:val="16"/>
          <w:szCs w:val="16"/>
        </w:rPr>
        <w:tab/>
        <w:t>124</w:t>
      </w:r>
      <w:r w:rsidRPr="008A2E5A">
        <w:rPr>
          <w:rFonts w:ascii="Times New Roman" w:hAnsi="Times New Roman"/>
          <w:color w:val="0070C0"/>
          <w:sz w:val="16"/>
          <w:szCs w:val="16"/>
        </w:rPr>
        <w:tab/>
        <w:t>17</w:t>
      </w:r>
      <w:r w:rsidRPr="008A2E5A">
        <w:rPr>
          <w:rFonts w:ascii="Times New Roman" w:hAnsi="Times New Roman"/>
          <w:color w:val="0070C0"/>
          <w:sz w:val="16"/>
          <w:szCs w:val="16"/>
        </w:rPr>
        <w:tab/>
        <w:t>4</w:t>
      </w:r>
      <w:r w:rsidRPr="008A2E5A">
        <w:rPr>
          <w:rFonts w:ascii="Times New Roman" w:hAnsi="Times New Roman"/>
          <w:color w:val="0070C0"/>
          <w:sz w:val="16"/>
          <w:szCs w:val="16"/>
        </w:rPr>
        <w:tab/>
        <w:t>6</w:t>
      </w:r>
      <w:r w:rsidRPr="008A2E5A">
        <w:rPr>
          <w:rFonts w:ascii="Times New Roman" w:hAnsi="Times New Roman"/>
          <w:color w:val="0070C0"/>
          <w:sz w:val="16"/>
          <w:szCs w:val="16"/>
        </w:rPr>
        <w:tab/>
        <w:t>7</w:t>
      </w:r>
    </w:p>
    <w:p w14:paraId="294A881A"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бомбардировщиков:</w:t>
      </w:r>
      <w:r w:rsidRPr="008A2E5A">
        <w:rPr>
          <w:rFonts w:ascii="Times New Roman" w:hAnsi="Times New Roman"/>
          <w:color w:val="0070C0"/>
          <w:sz w:val="16"/>
          <w:szCs w:val="16"/>
        </w:rPr>
        <w:tab/>
      </w:r>
      <w:r w:rsidRPr="008A2E5A">
        <w:rPr>
          <w:rFonts w:ascii="Times New Roman" w:hAnsi="Times New Roman"/>
          <w:color w:val="0070C0"/>
          <w:sz w:val="16"/>
          <w:szCs w:val="16"/>
        </w:rPr>
        <w:tab/>
        <w:t>2108</w:t>
      </w:r>
      <w:r w:rsidRPr="008A2E5A">
        <w:rPr>
          <w:rFonts w:ascii="Times New Roman" w:hAnsi="Times New Roman"/>
          <w:color w:val="0070C0"/>
          <w:sz w:val="16"/>
          <w:szCs w:val="16"/>
        </w:rPr>
        <w:tab/>
        <w:t>661</w:t>
      </w:r>
      <w:r w:rsidRPr="008A2E5A">
        <w:rPr>
          <w:rFonts w:ascii="Times New Roman" w:hAnsi="Times New Roman"/>
          <w:color w:val="0070C0"/>
          <w:sz w:val="16"/>
          <w:szCs w:val="16"/>
        </w:rPr>
        <w:tab/>
        <w:t>704</w:t>
      </w:r>
      <w:r w:rsidRPr="008A2E5A">
        <w:rPr>
          <w:rFonts w:ascii="Times New Roman" w:hAnsi="Times New Roman"/>
          <w:color w:val="0070C0"/>
          <w:sz w:val="16"/>
          <w:szCs w:val="16"/>
        </w:rPr>
        <w:tab/>
        <w:t>743</w:t>
      </w:r>
    </w:p>
    <w:p w14:paraId="2B5412E8"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Штурмовики</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5366105E"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Ил-2</w:t>
      </w:r>
      <w:r w:rsidRPr="008A2E5A">
        <w:rPr>
          <w:rFonts w:ascii="Times New Roman" w:hAnsi="Times New Roman"/>
          <w:color w:val="0070C0"/>
          <w:sz w:val="16"/>
          <w:szCs w:val="16"/>
        </w:rPr>
        <w:tab/>
        <w:t>18</w:t>
      </w:r>
      <w:r w:rsidRPr="008A2E5A">
        <w:rPr>
          <w:rFonts w:ascii="Times New Roman" w:hAnsi="Times New Roman"/>
          <w:color w:val="0070C0"/>
          <w:sz w:val="16"/>
          <w:szCs w:val="16"/>
        </w:rPr>
        <w:tab/>
        <w:t>995</w:t>
      </w:r>
      <w:r w:rsidRPr="008A2E5A">
        <w:rPr>
          <w:rFonts w:ascii="Times New Roman" w:hAnsi="Times New Roman"/>
          <w:color w:val="0070C0"/>
          <w:sz w:val="16"/>
          <w:szCs w:val="16"/>
        </w:rPr>
        <w:tab/>
        <w:t>310</w:t>
      </w:r>
      <w:r w:rsidRPr="008A2E5A">
        <w:rPr>
          <w:rFonts w:ascii="Times New Roman" w:hAnsi="Times New Roman"/>
          <w:color w:val="0070C0"/>
          <w:sz w:val="16"/>
          <w:szCs w:val="16"/>
        </w:rPr>
        <w:tab/>
        <w:t>325</w:t>
      </w:r>
      <w:r w:rsidRPr="008A2E5A">
        <w:rPr>
          <w:rFonts w:ascii="Times New Roman" w:hAnsi="Times New Roman"/>
          <w:color w:val="0070C0"/>
          <w:sz w:val="16"/>
          <w:szCs w:val="16"/>
        </w:rPr>
        <w:tab/>
        <w:t>360</w:t>
      </w:r>
    </w:p>
    <w:p w14:paraId="0D8EC7EF"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идросамол еты</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3998D0E0"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МДР-6</w:t>
      </w:r>
      <w:r w:rsidRPr="008A2E5A">
        <w:rPr>
          <w:rFonts w:ascii="Times New Roman" w:hAnsi="Times New Roman"/>
          <w:color w:val="0070C0"/>
          <w:sz w:val="16"/>
          <w:szCs w:val="16"/>
        </w:rPr>
        <w:tab/>
        <w:t>30</w:t>
      </w:r>
      <w:r w:rsidRPr="008A2E5A">
        <w:rPr>
          <w:rFonts w:ascii="Times New Roman" w:hAnsi="Times New Roman"/>
          <w:color w:val="0070C0"/>
          <w:sz w:val="16"/>
          <w:szCs w:val="16"/>
        </w:rPr>
        <w:tab/>
        <w:t>15</w:t>
      </w:r>
      <w:r w:rsidRPr="008A2E5A">
        <w:rPr>
          <w:rFonts w:ascii="Times New Roman" w:hAnsi="Times New Roman"/>
          <w:color w:val="0070C0"/>
          <w:sz w:val="16"/>
          <w:szCs w:val="16"/>
        </w:rPr>
        <w:tab/>
        <w:t>3</w:t>
      </w:r>
      <w:r w:rsidRPr="008A2E5A">
        <w:rPr>
          <w:rFonts w:ascii="Times New Roman" w:hAnsi="Times New Roman"/>
          <w:color w:val="0070C0"/>
          <w:sz w:val="16"/>
          <w:szCs w:val="16"/>
        </w:rPr>
        <w:tab/>
        <w:t>5</w:t>
      </w:r>
      <w:r w:rsidRPr="008A2E5A">
        <w:rPr>
          <w:rFonts w:ascii="Times New Roman" w:hAnsi="Times New Roman"/>
          <w:color w:val="0070C0"/>
          <w:sz w:val="16"/>
          <w:szCs w:val="16"/>
        </w:rPr>
        <w:tab/>
        <w:t>7</w:t>
      </w:r>
    </w:p>
    <w:p w14:paraId="3691EBEE"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боевых:</w:t>
      </w:r>
      <w:r w:rsidRPr="008A2E5A">
        <w:rPr>
          <w:rFonts w:ascii="Times New Roman" w:hAnsi="Times New Roman"/>
          <w:color w:val="0070C0"/>
          <w:sz w:val="16"/>
          <w:szCs w:val="16"/>
        </w:rPr>
        <w:tab/>
      </w:r>
      <w:r w:rsidRPr="008A2E5A">
        <w:rPr>
          <w:rFonts w:ascii="Times New Roman" w:hAnsi="Times New Roman"/>
          <w:color w:val="0070C0"/>
          <w:sz w:val="16"/>
          <w:szCs w:val="16"/>
        </w:rPr>
        <w:tab/>
        <w:t>7216</w:t>
      </w:r>
      <w:r w:rsidRPr="008A2E5A">
        <w:rPr>
          <w:rFonts w:ascii="Times New Roman" w:hAnsi="Times New Roman"/>
          <w:color w:val="0070C0"/>
          <w:sz w:val="16"/>
          <w:szCs w:val="16"/>
        </w:rPr>
        <w:tab/>
        <w:t>2174</w:t>
      </w:r>
      <w:r w:rsidRPr="008A2E5A">
        <w:rPr>
          <w:rFonts w:ascii="Times New Roman" w:hAnsi="Times New Roman"/>
          <w:color w:val="0070C0"/>
          <w:sz w:val="16"/>
          <w:szCs w:val="16"/>
        </w:rPr>
        <w:tab/>
        <w:t>2393</w:t>
      </w:r>
      <w:r w:rsidRPr="008A2E5A">
        <w:rPr>
          <w:rFonts w:ascii="Times New Roman" w:hAnsi="Times New Roman"/>
          <w:color w:val="0070C0"/>
          <w:sz w:val="16"/>
          <w:szCs w:val="16"/>
        </w:rPr>
        <w:tab/>
        <w:t>2649</w:t>
      </w:r>
    </w:p>
    <w:p w14:paraId="1714D90A"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Транспортные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15D7045D"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ПС-84</w:t>
      </w:r>
      <w:r w:rsidRPr="008A2E5A">
        <w:rPr>
          <w:rFonts w:ascii="Times New Roman" w:hAnsi="Times New Roman"/>
          <w:color w:val="0070C0"/>
          <w:sz w:val="16"/>
          <w:szCs w:val="16"/>
        </w:rPr>
        <w:tab/>
        <w:t>84</w:t>
      </w:r>
      <w:r w:rsidRPr="008A2E5A">
        <w:rPr>
          <w:rFonts w:ascii="Times New Roman" w:hAnsi="Times New Roman"/>
          <w:color w:val="0070C0"/>
          <w:sz w:val="16"/>
          <w:szCs w:val="16"/>
        </w:rPr>
        <w:tab/>
        <w:t>116</w:t>
      </w:r>
      <w:r w:rsidRPr="008A2E5A">
        <w:rPr>
          <w:rFonts w:ascii="Times New Roman" w:hAnsi="Times New Roman"/>
          <w:color w:val="0070C0"/>
          <w:sz w:val="16"/>
          <w:szCs w:val="16"/>
        </w:rPr>
        <w:tab/>
        <w:t>31</w:t>
      </w:r>
      <w:r w:rsidRPr="008A2E5A">
        <w:rPr>
          <w:rFonts w:ascii="Times New Roman" w:hAnsi="Times New Roman"/>
          <w:color w:val="0070C0"/>
          <w:sz w:val="16"/>
          <w:szCs w:val="16"/>
        </w:rPr>
        <w:tab/>
        <w:t>40</w:t>
      </w:r>
      <w:r w:rsidRPr="008A2E5A">
        <w:rPr>
          <w:rFonts w:ascii="Times New Roman" w:hAnsi="Times New Roman"/>
          <w:color w:val="0070C0"/>
          <w:sz w:val="16"/>
          <w:szCs w:val="16"/>
        </w:rPr>
        <w:tab/>
        <w:t>45</w:t>
      </w:r>
    </w:p>
    <w:p w14:paraId="74CF324F"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Учебные, учебно-тренировочные и санитарные</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4BC9E853"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УТИ-4</w:t>
      </w:r>
      <w:r w:rsidRPr="008A2E5A">
        <w:rPr>
          <w:rFonts w:ascii="Times New Roman" w:hAnsi="Times New Roman"/>
          <w:color w:val="0070C0"/>
          <w:sz w:val="16"/>
          <w:szCs w:val="16"/>
        </w:rPr>
        <w:tab/>
        <w:t>153</w:t>
      </w:r>
      <w:r w:rsidRPr="008A2E5A">
        <w:rPr>
          <w:rFonts w:ascii="Times New Roman" w:hAnsi="Times New Roman"/>
          <w:color w:val="0070C0"/>
          <w:sz w:val="16"/>
          <w:szCs w:val="16"/>
        </w:rPr>
        <w:tab/>
        <w:t>160</w:t>
      </w:r>
      <w:r w:rsidRPr="008A2E5A">
        <w:rPr>
          <w:rFonts w:ascii="Times New Roman" w:hAnsi="Times New Roman"/>
          <w:color w:val="0070C0"/>
          <w:sz w:val="16"/>
          <w:szCs w:val="16"/>
        </w:rPr>
        <w:tab/>
        <w:t>62</w:t>
      </w:r>
      <w:r w:rsidRPr="008A2E5A">
        <w:rPr>
          <w:rFonts w:ascii="Times New Roman" w:hAnsi="Times New Roman"/>
          <w:color w:val="0070C0"/>
          <w:sz w:val="16"/>
          <w:szCs w:val="16"/>
        </w:rPr>
        <w:tab/>
        <w:t>62</w:t>
      </w:r>
      <w:r w:rsidRPr="008A2E5A">
        <w:rPr>
          <w:rFonts w:ascii="Times New Roman" w:hAnsi="Times New Roman"/>
          <w:color w:val="0070C0"/>
          <w:sz w:val="16"/>
          <w:szCs w:val="16"/>
        </w:rPr>
        <w:tab/>
        <w:t>36</w:t>
      </w:r>
    </w:p>
    <w:p w14:paraId="1BE29A16"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УТИ-4</w:t>
      </w:r>
      <w:r w:rsidRPr="008A2E5A">
        <w:rPr>
          <w:rFonts w:ascii="Times New Roman" w:hAnsi="Times New Roman"/>
          <w:color w:val="0070C0"/>
          <w:sz w:val="16"/>
          <w:szCs w:val="16"/>
        </w:rPr>
        <w:tab/>
        <w:t>458</w:t>
      </w:r>
      <w:r w:rsidRPr="008A2E5A">
        <w:rPr>
          <w:rFonts w:ascii="Times New Roman" w:hAnsi="Times New Roman"/>
          <w:color w:val="0070C0"/>
          <w:sz w:val="16"/>
          <w:szCs w:val="16"/>
        </w:rPr>
        <w:tab/>
        <w:t>163</w:t>
      </w:r>
      <w:r w:rsidRPr="008A2E5A">
        <w:rPr>
          <w:rFonts w:ascii="Times New Roman" w:hAnsi="Times New Roman"/>
          <w:color w:val="0070C0"/>
          <w:sz w:val="16"/>
          <w:szCs w:val="16"/>
        </w:rPr>
        <w:tab/>
        <w:t>41</w:t>
      </w:r>
      <w:r w:rsidRPr="008A2E5A">
        <w:rPr>
          <w:rFonts w:ascii="Times New Roman" w:hAnsi="Times New Roman"/>
          <w:color w:val="0070C0"/>
          <w:sz w:val="16"/>
          <w:szCs w:val="16"/>
        </w:rPr>
        <w:tab/>
        <w:t>62</w:t>
      </w:r>
      <w:r w:rsidRPr="008A2E5A">
        <w:rPr>
          <w:rFonts w:ascii="Times New Roman" w:hAnsi="Times New Roman"/>
          <w:color w:val="0070C0"/>
          <w:sz w:val="16"/>
          <w:szCs w:val="16"/>
        </w:rPr>
        <w:tab/>
        <w:t>60</w:t>
      </w:r>
    </w:p>
    <w:p w14:paraId="5F3E00FA"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УТИ-26</w:t>
      </w:r>
      <w:r w:rsidRPr="008A2E5A">
        <w:rPr>
          <w:rFonts w:ascii="Times New Roman" w:hAnsi="Times New Roman"/>
          <w:color w:val="0070C0"/>
          <w:sz w:val="16"/>
          <w:szCs w:val="16"/>
        </w:rPr>
        <w:tab/>
        <w:t>301</w:t>
      </w:r>
      <w:r w:rsidRPr="008A2E5A">
        <w:rPr>
          <w:rFonts w:ascii="Times New Roman" w:hAnsi="Times New Roman"/>
          <w:color w:val="0070C0"/>
          <w:sz w:val="16"/>
          <w:szCs w:val="16"/>
        </w:rPr>
        <w:tab/>
        <w:t>202</w:t>
      </w:r>
      <w:r w:rsidRPr="008A2E5A">
        <w:rPr>
          <w:rFonts w:ascii="Times New Roman" w:hAnsi="Times New Roman"/>
          <w:color w:val="0070C0"/>
          <w:sz w:val="16"/>
          <w:szCs w:val="16"/>
        </w:rPr>
        <w:tab/>
        <w:t>50</w:t>
      </w:r>
      <w:r w:rsidRPr="008A2E5A">
        <w:rPr>
          <w:rFonts w:ascii="Times New Roman" w:hAnsi="Times New Roman"/>
          <w:color w:val="0070C0"/>
          <w:sz w:val="16"/>
          <w:szCs w:val="16"/>
        </w:rPr>
        <w:tab/>
        <w:t>62</w:t>
      </w:r>
      <w:r w:rsidRPr="008A2E5A">
        <w:rPr>
          <w:rFonts w:ascii="Times New Roman" w:hAnsi="Times New Roman"/>
          <w:color w:val="0070C0"/>
          <w:sz w:val="16"/>
          <w:szCs w:val="16"/>
        </w:rPr>
        <w:tab/>
        <w:t>90</w:t>
      </w:r>
    </w:p>
    <w:p w14:paraId="68B85F7E"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УТ-2</w:t>
      </w:r>
      <w:r w:rsidRPr="008A2E5A">
        <w:rPr>
          <w:rFonts w:ascii="Times New Roman" w:hAnsi="Times New Roman"/>
          <w:color w:val="0070C0"/>
          <w:sz w:val="16"/>
          <w:szCs w:val="16"/>
        </w:rPr>
        <w:tab/>
        <w:t>47</w:t>
      </w:r>
      <w:r w:rsidRPr="008A2E5A">
        <w:rPr>
          <w:rFonts w:ascii="Times New Roman" w:hAnsi="Times New Roman"/>
          <w:color w:val="0070C0"/>
          <w:sz w:val="16"/>
          <w:szCs w:val="16"/>
        </w:rPr>
        <w:tab/>
        <w:t>276</w:t>
      </w:r>
      <w:r w:rsidRPr="008A2E5A">
        <w:rPr>
          <w:rFonts w:ascii="Times New Roman" w:hAnsi="Times New Roman"/>
          <w:color w:val="0070C0"/>
          <w:sz w:val="16"/>
          <w:szCs w:val="16"/>
        </w:rPr>
        <w:tab/>
        <w:t>93</w:t>
      </w:r>
      <w:r w:rsidRPr="008A2E5A">
        <w:rPr>
          <w:rFonts w:ascii="Times New Roman" w:hAnsi="Times New Roman"/>
          <w:color w:val="0070C0"/>
          <w:sz w:val="16"/>
          <w:szCs w:val="16"/>
        </w:rPr>
        <w:tab/>
        <w:t>93</w:t>
      </w:r>
      <w:r w:rsidRPr="008A2E5A">
        <w:rPr>
          <w:rFonts w:ascii="Times New Roman" w:hAnsi="Times New Roman"/>
          <w:color w:val="0070C0"/>
          <w:sz w:val="16"/>
          <w:szCs w:val="16"/>
        </w:rPr>
        <w:tab/>
        <w:t>90</w:t>
      </w:r>
    </w:p>
    <w:p w14:paraId="04345B77"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УТ-2</w:t>
      </w:r>
      <w:r w:rsidRPr="008A2E5A">
        <w:rPr>
          <w:rFonts w:ascii="Times New Roman" w:hAnsi="Times New Roman"/>
          <w:color w:val="0070C0"/>
          <w:sz w:val="16"/>
          <w:szCs w:val="16"/>
        </w:rPr>
        <w:tab/>
        <w:t>116</w:t>
      </w:r>
      <w:r w:rsidRPr="008A2E5A">
        <w:rPr>
          <w:rFonts w:ascii="Times New Roman" w:hAnsi="Times New Roman"/>
          <w:color w:val="0070C0"/>
          <w:sz w:val="16"/>
          <w:szCs w:val="16"/>
        </w:rPr>
        <w:tab/>
        <w:t>65</w:t>
      </w:r>
      <w:r w:rsidRPr="008A2E5A">
        <w:rPr>
          <w:rFonts w:ascii="Times New Roman" w:hAnsi="Times New Roman"/>
          <w:color w:val="0070C0"/>
          <w:sz w:val="16"/>
          <w:szCs w:val="16"/>
        </w:rPr>
        <w:tab/>
        <w:t>15</w:t>
      </w:r>
      <w:r w:rsidRPr="008A2E5A">
        <w:rPr>
          <w:rFonts w:ascii="Times New Roman" w:hAnsi="Times New Roman"/>
          <w:color w:val="0070C0"/>
          <w:sz w:val="16"/>
          <w:szCs w:val="16"/>
        </w:rPr>
        <w:tab/>
        <w:t>20</w:t>
      </w:r>
      <w:r w:rsidRPr="008A2E5A">
        <w:rPr>
          <w:rFonts w:ascii="Times New Roman" w:hAnsi="Times New Roman"/>
          <w:color w:val="0070C0"/>
          <w:sz w:val="16"/>
          <w:szCs w:val="16"/>
        </w:rPr>
        <w:tab/>
        <w:t>30</w:t>
      </w:r>
    </w:p>
    <w:p w14:paraId="67A58CEA"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У-2</w:t>
      </w:r>
      <w:r w:rsidRPr="008A2E5A">
        <w:rPr>
          <w:rFonts w:ascii="Times New Roman" w:hAnsi="Times New Roman"/>
          <w:color w:val="0070C0"/>
          <w:sz w:val="16"/>
          <w:szCs w:val="16"/>
        </w:rPr>
        <w:tab/>
        <w:t>387</w:t>
      </w:r>
      <w:r w:rsidRPr="008A2E5A">
        <w:rPr>
          <w:rFonts w:ascii="Times New Roman" w:hAnsi="Times New Roman"/>
          <w:color w:val="0070C0"/>
          <w:sz w:val="16"/>
          <w:szCs w:val="16"/>
        </w:rPr>
        <w:tab/>
        <w:t>324</w:t>
      </w:r>
      <w:r w:rsidRPr="008A2E5A">
        <w:rPr>
          <w:rFonts w:ascii="Times New Roman" w:hAnsi="Times New Roman"/>
          <w:color w:val="0070C0"/>
          <w:sz w:val="16"/>
          <w:szCs w:val="16"/>
        </w:rPr>
        <w:tab/>
        <w:t>141</w:t>
      </w:r>
      <w:r w:rsidRPr="008A2E5A">
        <w:rPr>
          <w:rFonts w:ascii="Times New Roman" w:hAnsi="Times New Roman"/>
          <w:color w:val="0070C0"/>
          <w:sz w:val="16"/>
          <w:szCs w:val="16"/>
        </w:rPr>
        <w:tab/>
        <w:t>93</w:t>
      </w:r>
      <w:r w:rsidRPr="008A2E5A">
        <w:rPr>
          <w:rFonts w:ascii="Times New Roman" w:hAnsi="Times New Roman"/>
          <w:color w:val="0070C0"/>
          <w:sz w:val="16"/>
          <w:szCs w:val="16"/>
        </w:rPr>
        <w:tab/>
        <w:t>90</w:t>
      </w:r>
    </w:p>
    <w:p w14:paraId="551BDF0C"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С-2</w:t>
      </w:r>
      <w:r w:rsidRPr="008A2E5A">
        <w:rPr>
          <w:rFonts w:ascii="Times New Roman" w:hAnsi="Times New Roman"/>
          <w:color w:val="0070C0"/>
          <w:sz w:val="16"/>
          <w:szCs w:val="16"/>
        </w:rPr>
        <w:tab/>
        <w:t>387</w:t>
      </w:r>
      <w:r w:rsidRPr="008A2E5A">
        <w:rPr>
          <w:rFonts w:ascii="Times New Roman" w:hAnsi="Times New Roman"/>
          <w:color w:val="0070C0"/>
          <w:sz w:val="16"/>
          <w:szCs w:val="16"/>
        </w:rPr>
        <w:tab/>
        <w:t>141</w:t>
      </w:r>
      <w:r w:rsidRPr="008A2E5A">
        <w:rPr>
          <w:rFonts w:ascii="Times New Roman" w:hAnsi="Times New Roman"/>
          <w:color w:val="0070C0"/>
          <w:sz w:val="16"/>
          <w:szCs w:val="16"/>
        </w:rPr>
        <w:tab/>
        <w:t>14</w:t>
      </w:r>
      <w:r w:rsidRPr="008A2E5A">
        <w:rPr>
          <w:rFonts w:ascii="Times New Roman" w:hAnsi="Times New Roman"/>
          <w:color w:val="0070C0"/>
          <w:sz w:val="16"/>
          <w:szCs w:val="16"/>
        </w:rPr>
        <w:tab/>
        <w:t>62</w:t>
      </w:r>
      <w:r w:rsidRPr="008A2E5A">
        <w:rPr>
          <w:rFonts w:ascii="Times New Roman" w:hAnsi="Times New Roman"/>
          <w:color w:val="0070C0"/>
          <w:sz w:val="16"/>
          <w:szCs w:val="16"/>
        </w:rPr>
        <w:tab/>
        <w:t>65</w:t>
      </w:r>
    </w:p>
    <w:p w14:paraId="2948BABC"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Итого учебных, учебно-трениро- вочных и санитарных</w:t>
      </w:r>
      <w:r w:rsidRPr="008A2E5A">
        <w:rPr>
          <w:rFonts w:ascii="Times New Roman" w:hAnsi="Times New Roman"/>
          <w:color w:val="0070C0"/>
          <w:sz w:val="16"/>
          <w:szCs w:val="16"/>
        </w:rPr>
        <w:tab/>
      </w:r>
      <w:r w:rsidRPr="008A2E5A">
        <w:rPr>
          <w:rFonts w:ascii="Times New Roman" w:hAnsi="Times New Roman"/>
          <w:color w:val="0070C0"/>
          <w:sz w:val="16"/>
          <w:szCs w:val="16"/>
        </w:rPr>
        <w:tab/>
        <w:t>1331</w:t>
      </w:r>
      <w:r w:rsidRPr="008A2E5A">
        <w:rPr>
          <w:rFonts w:ascii="Times New Roman" w:hAnsi="Times New Roman"/>
          <w:color w:val="0070C0"/>
          <w:sz w:val="16"/>
          <w:szCs w:val="16"/>
        </w:rPr>
        <w:tab/>
        <w:t>416</w:t>
      </w:r>
      <w:r w:rsidRPr="008A2E5A">
        <w:rPr>
          <w:rFonts w:ascii="Times New Roman" w:hAnsi="Times New Roman"/>
          <w:color w:val="0070C0"/>
          <w:sz w:val="16"/>
          <w:szCs w:val="16"/>
        </w:rPr>
        <w:tab/>
        <w:t>454</w:t>
      </w:r>
      <w:r w:rsidRPr="008A2E5A">
        <w:rPr>
          <w:rFonts w:ascii="Times New Roman" w:hAnsi="Times New Roman"/>
          <w:color w:val="0070C0"/>
          <w:sz w:val="16"/>
          <w:szCs w:val="16"/>
        </w:rPr>
        <w:tab/>
        <w:t>461</w:t>
      </w:r>
    </w:p>
    <w:p w14:paraId="66307CEF"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самолетов:</w:t>
      </w:r>
      <w:r w:rsidRPr="008A2E5A">
        <w:rPr>
          <w:rFonts w:ascii="Times New Roman" w:hAnsi="Times New Roman"/>
          <w:color w:val="0070C0"/>
          <w:sz w:val="16"/>
          <w:szCs w:val="16"/>
        </w:rPr>
        <w:tab/>
      </w:r>
      <w:r w:rsidRPr="008A2E5A">
        <w:rPr>
          <w:rFonts w:ascii="Times New Roman" w:hAnsi="Times New Roman"/>
          <w:color w:val="0070C0"/>
          <w:sz w:val="16"/>
          <w:szCs w:val="16"/>
        </w:rPr>
        <w:tab/>
        <w:t>8663</w:t>
      </w:r>
      <w:r w:rsidRPr="008A2E5A">
        <w:rPr>
          <w:rFonts w:ascii="Times New Roman" w:hAnsi="Times New Roman"/>
          <w:color w:val="0070C0"/>
          <w:sz w:val="16"/>
          <w:szCs w:val="16"/>
        </w:rPr>
        <w:tab/>
        <w:t>2621</w:t>
      </w:r>
      <w:r w:rsidRPr="008A2E5A">
        <w:rPr>
          <w:rFonts w:ascii="Times New Roman" w:hAnsi="Times New Roman"/>
          <w:color w:val="0070C0"/>
          <w:sz w:val="16"/>
          <w:szCs w:val="16"/>
        </w:rPr>
        <w:tab/>
        <w:t>2887</w:t>
      </w:r>
      <w:r w:rsidRPr="008A2E5A">
        <w:rPr>
          <w:rFonts w:ascii="Times New Roman" w:hAnsi="Times New Roman"/>
          <w:color w:val="0070C0"/>
          <w:sz w:val="16"/>
          <w:szCs w:val="16"/>
        </w:rPr>
        <w:tab/>
        <w:t>3155</w:t>
      </w:r>
    </w:p>
    <w:p w14:paraId="6D35D754"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Моторы</w:t>
      </w:r>
    </w:p>
    <w:p w14:paraId="4592B10B"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Типы моторов</w:t>
      </w:r>
      <w:r w:rsidRPr="008A2E5A">
        <w:rPr>
          <w:rFonts w:ascii="Times New Roman" w:hAnsi="Times New Roman"/>
          <w:color w:val="0070C0"/>
          <w:sz w:val="16"/>
          <w:szCs w:val="16"/>
        </w:rPr>
        <w:tab/>
        <w:t>№ заводов</w:t>
      </w:r>
      <w:r w:rsidRPr="008A2E5A">
        <w:rPr>
          <w:rFonts w:ascii="Times New Roman" w:hAnsi="Times New Roman"/>
          <w:color w:val="0070C0"/>
          <w:sz w:val="16"/>
          <w:szCs w:val="16"/>
        </w:rPr>
        <w:tab/>
        <w:t>План на III квартал 1941 г.</w:t>
      </w:r>
      <w:r w:rsidRPr="008A2E5A">
        <w:rPr>
          <w:rFonts w:ascii="Times New Roman" w:hAnsi="Times New Roman"/>
          <w:color w:val="0070C0"/>
          <w:sz w:val="16"/>
          <w:szCs w:val="16"/>
        </w:rPr>
        <w:tab/>
        <w:t>В том числе по месяцам:</w:t>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279ED2D5"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ИЮЛЬ</w:t>
      </w:r>
      <w:r w:rsidRPr="008A2E5A">
        <w:rPr>
          <w:rFonts w:ascii="Times New Roman" w:hAnsi="Times New Roman"/>
          <w:color w:val="0070C0"/>
          <w:sz w:val="16"/>
          <w:szCs w:val="16"/>
        </w:rPr>
        <w:tab/>
        <w:t>август</w:t>
      </w:r>
      <w:r w:rsidRPr="008A2E5A">
        <w:rPr>
          <w:rFonts w:ascii="Times New Roman" w:hAnsi="Times New Roman"/>
          <w:color w:val="0070C0"/>
          <w:sz w:val="16"/>
          <w:szCs w:val="16"/>
        </w:rPr>
        <w:tab/>
        <w:t>сентябрь</w:t>
      </w:r>
    </w:p>
    <w:p w14:paraId="130AF512"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М-105Р</w:t>
      </w:r>
      <w:r w:rsidRPr="008A2E5A">
        <w:rPr>
          <w:rFonts w:ascii="Times New Roman" w:hAnsi="Times New Roman"/>
          <w:color w:val="0070C0"/>
          <w:sz w:val="16"/>
          <w:szCs w:val="16"/>
        </w:rPr>
        <w:tab/>
        <w:t>16</w:t>
      </w:r>
      <w:r w:rsidRPr="008A2E5A">
        <w:rPr>
          <w:rFonts w:ascii="Times New Roman" w:hAnsi="Times New Roman"/>
          <w:color w:val="0070C0"/>
          <w:sz w:val="16"/>
          <w:szCs w:val="16"/>
        </w:rPr>
        <w:tab/>
        <w:t>784</w:t>
      </w:r>
      <w:r w:rsidRPr="008A2E5A">
        <w:rPr>
          <w:rFonts w:ascii="Times New Roman" w:hAnsi="Times New Roman"/>
          <w:color w:val="0070C0"/>
          <w:sz w:val="16"/>
          <w:szCs w:val="16"/>
        </w:rPr>
        <w:tab/>
        <w:t>235</w:t>
      </w:r>
      <w:r w:rsidRPr="008A2E5A">
        <w:rPr>
          <w:rFonts w:ascii="Times New Roman" w:hAnsi="Times New Roman"/>
          <w:color w:val="0070C0"/>
          <w:sz w:val="16"/>
          <w:szCs w:val="16"/>
        </w:rPr>
        <w:tab/>
        <w:t>264</w:t>
      </w:r>
      <w:r w:rsidRPr="008A2E5A">
        <w:rPr>
          <w:rFonts w:ascii="Times New Roman" w:hAnsi="Times New Roman"/>
          <w:color w:val="0070C0"/>
          <w:sz w:val="16"/>
          <w:szCs w:val="16"/>
        </w:rPr>
        <w:tab/>
        <w:t>285</w:t>
      </w:r>
    </w:p>
    <w:p w14:paraId="26687627"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М-105Р</w:t>
      </w:r>
      <w:r w:rsidRPr="008A2E5A">
        <w:rPr>
          <w:rFonts w:ascii="Times New Roman" w:hAnsi="Times New Roman"/>
          <w:color w:val="0070C0"/>
          <w:sz w:val="16"/>
          <w:szCs w:val="16"/>
        </w:rPr>
        <w:tab/>
        <w:t>26</w:t>
      </w:r>
      <w:r w:rsidRPr="008A2E5A">
        <w:rPr>
          <w:rFonts w:ascii="Times New Roman" w:hAnsi="Times New Roman"/>
          <w:color w:val="0070C0"/>
          <w:sz w:val="16"/>
          <w:szCs w:val="16"/>
        </w:rPr>
        <w:tab/>
        <w:t>1461</w:t>
      </w:r>
      <w:r w:rsidRPr="008A2E5A">
        <w:rPr>
          <w:rFonts w:ascii="Times New Roman" w:hAnsi="Times New Roman"/>
          <w:color w:val="0070C0"/>
          <w:sz w:val="16"/>
          <w:szCs w:val="16"/>
        </w:rPr>
        <w:tab/>
        <w:t>485</w:t>
      </w:r>
      <w:r w:rsidRPr="008A2E5A">
        <w:rPr>
          <w:rFonts w:ascii="Times New Roman" w:hAnsi="Times New Roman"/>
          <w:color w:val="0070C0"/>
          <w:sz w:val="16"/>
          <w:szCs w:val="16"/>
        </w:rPr>
        <w:tab/>
        <w:t>496</w:t>
      </w:r>
      <w:r w:rsidRPr="008A2E5A">
        <w:rPr>
          <w:rFonts w:ascii="Times New Roman" w:hAnsi="Times New Roman"/>
          <w:color w:val="0070C0"/>
          <w:sz w:val="16"/>
          <w:szCs w:val="16"/>
        </w:rPr>
        <w:tab/>
        <w:t>480</w:t>
      </w:r>
    </w:p>
    <w:p w14:paraId="10897C01"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М-105Р</w:t>
      </w:r>
      <w:r w:rsidRPr="008A2E5A">
        <w:rPr>
          <w:rFonts w:ascii="Times New Roman" w:hAnsi="Times New Roman"/>
          <w:color w:val="0070C0"/>
          <w:sz w:val="16"/>
          <w:szCs w:val="16"/>
        </w:rPr>
        <w:tab/>
        <w:t>27</w:t>
      </w:r>
      <w:r w:rsidRPr="008A2E5A">
        <w:rPr>
          <w:rFonts w:ascii="Times New Roman" w:hAnsi="Times New Roman"/>
          <w:color w:val="0070C0"/>
          <w:sz w:val="16"/>
          <w:szCs w:val="16"/>
        </w:rPr>
        <w:tab/>
        <w:t>300</w:t>
      </w:r>
      <w:r w:rsidRPr="008A2E5A">
        <w:rPr>
          <w:rFonts w:ascii="Times New Roman" w:hAnsi="Times New Roman"/>
          <w:color w:val="0070C0"/>
          <w:sz w:val="16"/>
          <w:szCs w:val="16"/>
        </w:rPr>
        <w:tab/>
        <w:t>75</w:t>
      </w:r>
      <w:r w:rsidRPr="008A2E5A">
        <w:rPr>
          <w:rFonts w:ascii="Times New Roman" w:hAnsi="Times New Roman"/>
          <w:color w:val="0070C0"/>
          <w:sz w:val="16"/>
          <w:szCs w:val="16"/>
        </w:rPr>
        <w:tab/>
        <w:t>100</w:t>
      </w:r>
      <w:r w:rsidRPr="008A2E5A">
        <w:rPr>
          <w:rFonts w:ascii="Times New Roman" w:hAnsi="Times New Roman"/>
          <w:color w:val="0070C0"/>
          <w:sz w:val="16"/>
          <w:szCs w:val="16"/>
        </w:rPr>
        <w:tab/>
        <w:t>125</w:t>
      </w:r>
    </w:p>
    <w:p w14:paraId="0566F0EF"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М-105Р</w:t>
      </w:r>
      <w:r w:rsidRPr="008A2E5A">
        <w:rPr>
          <w:rFonts w:ascii="Times New Roman" w:hAnsi="Times New Roman"/>
          <w:color w:val="0070C0"/>
          <w:sz w:val="16"/>
          <w:szCs w:val="16"/>
        </w:rPr>
        <w:tab/>
        <w:t>384</w:t>
      </w:r>
      <w:r w:rsidRPr="008A2E5A">
        <w:rPr>
          <w:rFonts w:ascii="Times New Roman" w:hAnsi="Times New Roman"/>
          <w:color w:val="0070C0"/>
          <w:sz w:val="16"/>
          <w:szCs w:val="16"/>
        </w:rPr>
        <w:tab/>
        <w:t>325</w:t>
      </w:r>
      <w:r w:rsidRPr="008A2E5A">
        <w:rPr>
          <w:rFonts w:ascii="Times New Roman" w:hAnsi="Times New Roman"/>
          <w:color w:val="0070C0"/>
          <w:sz w:val="16"/>
          <w:szCs w:val="16"/>
        </w:rPr>
        <w:tab/>
        <w:t>70</w:t>
      </w:r>
      <w:r w:rsidRPr="008A2E5A">
        <w:rPr>
          <w:rFonts w:ascii="Times New Roman" w:hAnsi="Times New Roman"/>
          <w:color w:val="0070C0"/>
          <w:sz w:val="16"/>
          <w:szCs w:val="16"/>
        </w:rPr>
        <w:tab/>
        <w:t>110</w:t>
      </w:r>
      <w:r w:rsidRPr="008A2E5A">
        <w:rPr>
          <w:rFonts w:ascii="Times New Roman" w:hAnsi="Times New Roman"/>
          <w:color w:val="0070C0"/>
          <w:sz w:val="16"/>
          <w:szCs w:val="16"/>
        </w:rPr>
        <w:tab/>
        <w:t>145</w:t>
      </w:r>
    </w:p>
    <w:p w14:paraId="5935A7A3"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М-105П</w:t>
      </w:r>
      <w:r w:rsidRPr="008A2E5A">
        <w:rPr>
          <w:rFonts w:ascii="Times New Roman" w:hAnsi="Times New Roman"/>
          <w:color w:val="0070C0"/>
          <w:sz w:val="16"/>
          <w:szCs w:val="16"/>
        </w:rPr>
        <w:tab/>
        <w:t>26</w:t>
      </w:r>
      <w:r w:rsidRPr="008A2E5A">
        <w:rPr>
          <w:rFonts w:ascii="Times New Roman" w:hAnsi="Times New Roman"/>
          <w:color w:val="0070C0"/>
          <w:sz w:val="16"/>
          <w:szCs w:val="16"/>
        </w:rPr>
        <w:tab/>
        <w:t>1820</w:t>
      </w:r>
      <w:r w:rsidRPr="008A2E5A">
        <w:rPr>
          <w:rFonts w:ascii="Times New Roman" w:hAnsi="Times New Roman"/>
          <w:color w:val="0070C0"/>
          <w:sz w:val="16"/>
          <w:szCs w:val="16"/>
        </w:rPr>
        <w:tab/>
        <w:t>600</w:t>
      </w:r>
      <w:r w:rsidRPr="008A2E5A">
        <w:rPr>
          <w:rFonts w:ascii="Times New Roman" w:hAnsi="Times New Roman"/>
          <w:color w:val="0070C0"/>
          <w:sz w:val="16"/>
          <w:szCs w:val="16"/>
        </w:rPr>
        <w:tab/>
        <w:t>620</w:t>
      </w:r>
      <w:r w:rsidRPr="008A2E5A">
        <w:rPr>
          <w:rFonts w:ascii="Times New Roman" w:hAnsi="Times New Roman"/>
          <w:color w:val="0070C0"/>
          <w:sz w:val="16"/>
          <w:szCs w:val="16"/>
        </w:rPr>
        <w:tab/>
        <w:t>600</w:t>
      </w:r>
    </w:p>
    <w:p w14:paraId="7A6CF57F"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М-105П</w:t>
      </w:r>
      <w:r w:rsidRPr="008A2E5A">
        <w:rPr>
          <w:rFonts w:ascii="Times New Roman" w:hAnsi="Times New Roman"/>
          <w:color w:val="0070C0"/>
          <w:sz w:val="16"/>
          <w:szCs w:val="16"/>
        </w:rPr>
        <w:tab/>
        <w:t>234</w:t>
      </w:r>
      <w:r w:rsidRPr="008A2E5A">
        <w:rPr>
          <w:rFonts w:ascii="Times New Roman" w:hAnsi="Times New Roman"/>
          <w:color w:val="0070C0"/>
          <w:sz w:val="16"/>
          <w:szCs w:val="16"/>
        </w:rPr>
        <w:tab/>
        <w:t>385</w:t>
      </w:r>
      <w:r w:rsidRPr="008A2E5A">
        <w:rPr>
          <w:rFonts w:ascii="Times New Roman" w:hAnsi="Times New Roman"/>
          <w:color w:val="0070C0"/>
          <w:sz w:val="16"/>
          <w:szCs w:val="16"/>
        </w:rPr>
        <w:tab/>
        <w:t>80</w:t>
      </w:r>
      <w:r w:rsidRPr="008A2E5A">
        <w:rPr>
          <w:rFonts w:ascii="Times New Roman" w:hAnsi="Times New Roman"/>
          <w:color w:val="0070C0"/>
          <w:sz w:val="16"/>
          <w:szCs w:val="16"/>
        </w:rPr>
        <w:tab/>
        <w:t>130</w:t>
      </w:r>
      <w:r w:rsidRPr="008A2E5A">
        <w:rPr>
          <w:rFonts w:ascii="Times New Roman" w:hAnsi="Times New Roman"/>
          <w:color w:val="0070C0"/>
          <w:sz w:val="16"/>
          <w:szCs w:val="16"/>
        </w:rPr>
        <w:tab/>
        <w:t>175</w:t>
      </w:r>
    </w:p>
    <w:p w14:paraId="41130ECF"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М-107</w:t>
      </w:r>
      <w:r w:rsidRPr="008A2E5A">
        <w:rPr>
          <w:rFonts w:ascii="Times New Roman" w:hAnsi="Times New Roman"/>
          <w:color w:val="0070C0"/>
          <w:sz w:val="16"/>
          <w:szCs w:val="16"/>
        </w:rPr>
        <w:tab/>
        <w:t>26</w:t>
      </w:r>
      <w:r w:rsidRPr="008A2E5A">
        <w:rPr>
          <w:rFonts w:ascii="Times New Roman" w:hAnsi="Times New Roman"/>
          <w:color w:val="0070C0"/>
          <w:sz w:val="16"/>
          <w:szCs w:val="16"/>
        </w:rPr>
        <w:tab/>
        <w:t>90</w:t>
      </w:r>
      <w:r w:rsidRPr="008A2E5A">
        <w:rPr>
          <w:rFonts w:ascii="Times New Roman" w:hAnsi="Times New Roman"/>
          <w:color w:val="0070C0"/>
          <w:sz w:val="16"/>
          <w:szCs w:val="16"/>
        </w:rPr>
        <w:tab/>
        <w:t>15</w:t>
      </w:r>
      <w:r w:rsidRPr="008A2E5A">
        <w:rPr>
          <w:rFonts w:ascii="Times New Roman" w:hAnsi="Times New Roman"/>
          <w:color w:val="0070C0"/>
          <w:sz w:val="16"/>
          <w:szCs w:val="16"/>
        </w:rPr>
        <w:tab/>
        <w:t>25</w:t>
      </w:r>
      <w:r w:rsidRPr="008A2E5A">
        <w:rPr>
          <w:rFonts w:ascii="Times New Roman" w:hAnsi="Times New Roman"/>
          <w:color w:val="0070C0"/>
          <w:sz w:val="16"/>
          <w:szCs w:val="16"/>
        </w:rPr>
        <w:tab/>
        <w:t>50</w:t>
      </w:r>
    </w:p>
    <w:p w14:paraId="132BF6D7"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АМ-35А</w:t>
      </w:r>
      <w:r w:rsidRPr="008A2E5A">
        <w:rPr>
          <w:rFonts w:ascii="Times New Roman" w:hAnsi="Times New Roman"/>
          <w:color w:val="0070C0"/>
          <w:sz w:val="16"/>
          <w:szCs w:val="16"/>
        </w:rPr>
        <w:tab/>
        <w:t>24</w:t>
      </w:r>
      <w:r w:rsidRPr="008A2E5A">
        <w:rPr>
          <w:rFonts w:ascii="Times New Roman" w:hAnsi="Times New Roman"/>
          <w:color w:val="0070C0"/>
          <w:sz w:val="16"/>
          <w:szCs w:val="16"/>
        </w:rPr>
        <w:tab/>
        <w:t>1720</w:t>
      </w:r>
      <w:r w:rsidRPr="008A2E5A">
        <w:rPr>
          <w:rFonts w:ascii="Times New Roman" w:hAnsi="Times New Roman"/>
          <w:color w:val="0070C0"/>
          <w:sz w:val="16"/>
          <w:szCs w:val="16"/>
        </w:rPr>
        <w:tab/>
        <w:t>520</w:t>
      </w:r>
      <w:r w:rsidRPr="008A2E5A">
        <w:rPr>
          <w:rFonts w:ascii="Times New Roman" w:hAnsi="Times New Roman"/>
          <w:color w:val="0070C0"/>
          <w:sz w:val="16"/>
          <w:szCs w:val="16"/>
        </w:rPr>
        <w:tab/>
        <w:t>600</w:t>
      </w:r>
      <w:r w:rsidRPr="008A2E5A">
        <w:rPr>
          <w:rFonts w:ascii="Times New Roman" w:hAnsi="Times New Roman"/>
          <w:color w:val="0070C0"/>
          <w:sz w:val="16"/>
          <w:szCs w:val="16"/>
        </w:rPr>
        <w:tab/>
        <w:t>600</w:t>
      </w:r>
    </w:p>
    <w:p w14:paraId="18A94F34"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АМ-38</w:t>
      </w:r>
      <w:r w:rsidRPr="008A2E5A">
        <w:rPr>
          <w:rFonts w:ascii="Times New Roman" w:hAnsi="Times New Roman"/>
          <w:color w:val="0070C0"/>
          <w:sz w:val="16"/>
          <w:szCs w:val="16"/>
        </w:rPr>
        <w:tab/>
        <w:t>24</w:t>
      </w:r>
      <w:r w:rsidRPr="008A2E5A">
        <w:rPr>
          <w:rFonts w:ascii="Times New Roman" w:hAnsi="Times New Roman"/>
          <w:color w:val="0070C0"/>
          <w:sz w:val="16"/>
          <w:szCs w:val="16"/>
        </w:rPr>
        <w:tab/>
        <w:t>1320</w:t>
      </w:r>
      <w:r w:rsidRPr="008A2E5A">
        <w:rPr>
          <w:rFonts w:ascii="Times New Roman" w:hAnsi="Times New Roman"/>
          <w:color w:val="0070C0"/>
          <w:sz w:val="16"/>
          <w:szCs w:val="16"/>
        </w:rPr>
        <w:tab/>
        <w:t>480</w:t>
      </w:r>
      <w:r w:rsidRPr="008A2E5A">
        <w:rPr>
          <w:rFonts w:ascii="Times New Roman" w:hAnsi="Times New Roman"/>
          <w:color w:val="0070C0"/>
          <w:sz w:val="16"/>
          <w:szCs w:val="16"/>
        </w:rPr>
        <w:tab/>
        <w:t>410</w:t>
      </w:r>
      <w:r w:rsidRPr="008A2E5A">
        <w:rPr>
          <w:rFonts w:ascii="Times New Roman" w:hAnsi="Times New Roman"/>
          <w:color w:val="0070C0"/>
          <w:sz w:val="16"/>
          <w:szCs w:val="16"/>
        </w:rPr>
        <w:tab/>
        <w:t>430</w:t>
      </w:r>
    </w:p>
    <w:p w14:paraId="3250411A"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М-62</w:t>
      </w:r>
      <w:r w:rsidRPr="008A2E5A">
        <w:rPr>
          <w:rFonts w:ascii="Times New Roman" w:hAnsi="Times New Roman"/>
          <w:color w:val="0070C0"/>
          <w:sz w:val="16"/>
          <w:szCs w:val="16"/>
        </w:rPr>
        <w:tab/>
        <w:t>19</w:t>
      </w:r>
      <w:r w:rsidRPr="008A2E5A">
        <w:rPr>
          <w:rFonts w:ascii="Times New Roman" w:hAnsi="Times New Roman"/>
          <w:color w:val="0070C0"/>
          <w:sz w:val="16"/>
          <w:szCs w:val="16"/>
        </w:rPr>
        <w:tab/>
        <w:t>273</w:t>
      </w:r>
      <w:r w:rsidRPr="008A2E5A">
        <w:rPr>
          <w:rFonts w:ascii="Times New Roman" w:hAnsi="Times New Roman"/>
          <w:color w:val="0070C0"/>
          <w:sz w:val="16"/>
          <w:szCs w:val="16"/>
        </w:rPr>
        <w:tab/>
        <w:t>90</w:t>
      </w:r>
      <w:r w:rsidRPr="008A2E5A">
        <w:rPr>
          <w:rFonts w:ascii="Times New Roman" w:hAnsi="Times New Roman"/>
          <w:color w:val="0070C0"/>
          <w:sz w:val="16"/>
          <w:szCs w:val="16"/>
        </w:rPr>
        <w:tab/>
        <w:t>93</w:t>
      </w:r>
      <w:r w:rsidRPr="008A2E5A">
        <w:rPr>
          <w:rFonts w:ascii="Times New Roman" w:hAnsi="Times New Roman"/>
          <w:color w:val="0070C0"/>
          <w:sz w:val="16"/>
          <w:szCs w:val="16"/>
        </w:rPr>
        <w:tab/>
        <w:t>90</w:t>
      </w:r>
    </w:p>
    <w:p w14:paraId="4BDE59A9"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М-62ИР</w:t>
      </w:r>
      <w:r w:rsidRPr="008A2E5A">
        <w:rPr>
          <w:rFonts w:ascii="Times New Roman" w:hAnsi="Times New Roman"/>
          <w:color w:val="0070C0"/>
          <w:sz w:val="16"/>
          <w:szCs w:val="16"/>
        </w:rPr>
        <w:tab/>
        <w:t>19</w:t>
      </w:r>
      <w:r w:rsidRPr="008A2E5A">
        <w:rPr>
          <w:rFonts w:ascii="Times New Roman" w:hAnsi="Times New Roman"/>
          <w:color w:val="0070C0"/>
          <w:sz w:val="16"/>
          <w:szCs w:val="16"/>
        </w:rPr>
        <w:tab/>
        <w:t>344</w:t>
      </w:r>
      <w:r w:rsidRPr="008A2E5A">
        <w:rPr>
          <w:rFonts w:ascii="Times New Roman" w:hAnsi="Times New Roman"/>
          <w:color w:val="0070C0"/>
          <w:sz w:val="16"/>
          <w:szCs w:val="16"/>
        </w:rPr>
        <w:tab/>
        <w:t>100</w:t>
      </w:r>
      <w:r w:rsidRPr="008A2E5A">
        <w:rPr>
          <w:rFonts w:ascii="Times New Roman" w:hAnsi="Times New Roman"/>
          <w:color w:val="0070C0"/>
          <w:sz w:val="16"/>
          <w:szCs w:val="16"/>
        </w:rPr>
        <w:tab/>
        <w:t>124</w:t>
      </w:r>
      <w:r w:rsidRPr="008A2E5A">
        <w:rPr>
          <w:rFonts w:ascii="Times New Roman" w:hAnsi="Times New Roman"/>
          <w:color w:val="0070C0"/>
          <w:sz w:val="16"/>
          <w:szCs w:val="16"/>
        </w:rPr>
        <w:tab/>
        <w:t>120</w:t>
      </w:r>
    </w:p>
    <w:p w14:paraId="2C2292B8"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М-25В</w:t>
      </w:r>
      <w:r w:rsidRPr="008A2E5A">
        <w:rPr>
          <w:rFonts w:ascii="Times New Roman" w:hAnsi="Times New Roman"/>
          <w:color w:val="0070C0"/>
          <w:sz w:val="16"/>
          <w:szCs w:val="16"/>
        </w:rPr>
        <w:tab/>
        <w:t>19</w:t>
      </w:r>
      <w:r w:rsidRPr="008A2E5A">
        <w:rPr>
          <w:rFonts w:ascii="Times New Roman" w:hAnsi="Times New Roman"/>
          <w:color w:val="0070C0"/>
          <w:sz w:val="16"/>
          <w:szCs w:val="16"/>
        </w:rPr>
        <w:tab/>
        <w:t>470</w:t>
      </w:r>
      <w:r w:rsidRPr="008A2E5A">
        <w:rPr>
          <w:rFonts w:ascii="Times New Roman" w:hAnsi="Times New Roman"/>
          <w:color w:val="0070C0"/>
          <w:sz w:val="16"/>
          <w:szCs w:val="16"/>
        </w:rPr>
        <w:tab/>
        <w:t>230</w:t>
      </w:r>
      <w:r w:rsidRPr="008A2E5A">
        <w:rPr>
          <w:rFonts w:ascii="Times New Roman" w:hAnsi="Times New Roman"/>
          <w:color w:val="0070C0"/>
          <w:sz w:val="16"/>
          <w:szCs w:val="16"/>
        </w:rPr>
        <w:tab/>
        <w:t>120</w:t>
      </w:r>
      <w:r w:rsidRPr="008A2E5A">
        <w:rPr>
          <w:rFonts w:ascii="Times New Roman" w:hAnsi="Times New Roman"/>
          <w:color w:val="0070C0"/>
          <w:sz w:val="16"/>
          <w:szCs w:val="16"/>
        </w:rPr>
        <w:tab/>
        <w:t>120</w:t>
      </w:r>
    </w:p>
    <w:p w14:paraId="45636D04"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М-88</w:t>
      </w:r>
      <w:r w:rsidRPr="008A2E5A">
        <w:rPr>
          <w:rFonts w:ascii="Times New Roman" w:hAnsi="Times New Roman"/>
          <w:color w:val="0070C0"/>
          <w:sz w:val="16"/>
          <w:szCs w:val="16"/>
        </w:rPr>
        <w:tab/>
        <w:t>29</w:t>
      </w:r>
      <w:r w:rsidRPr="008A2E5A">
        <w:rPr>
          <w:rFonts w:ascii="Times New Roman" w:hAnsi="Times New Roman"/>
          <w:color w:val="0070C0"/>
          <w:sz w:val="16"/>
          <w:szCs w:val="16"/>
        </w:rPr>
        <w:tab/>
        <w:t>1146</w:t>
      </w:r>
      <w:r w:rsidRPr="008A2E5A">
        <w:rPr>
          <w:rFonts w:ascii="Times New Roman" w:hAnsi="Times New Roman"/>
          <w:color w:val="0070C0"/>
          <w:sz w:val="16"/>
          <w:szCs w:val="16"/>
        </w:rPr>
        <w:tab/>
        <w:t>400</w:t>
      </w:r>
      <w:r w:rsidRPr="008A2E5A">
        <w:rPr>
          <w:rFonts w:ascii="Times New Roman" w:hAnsi="Times New Roman"/>
          <w:color w:val="0070C0"/>
          <w:sz w:val="16"/>
          <w:szCs w:val="16"/>
        </w:rPr>
        <w:tab/>
        <w:t>406</w:t>
      </w:r>
      <w:r w:rsidRPr="008A2E5A">
        <w:rPr>
          <w:rFonts w:ascii="Times New Roman" w:hAnsi="Times New Roman"/>
          <w:color w:val="0070C0"/>
          <w:sz w:val="16"/>
          <w:szCs w:val="16"/>
        </w:rPr>
        <w:tab/>
        <w:t>340</w:t>
      </w:r>
    </w:p>
    <w:p w14:paraId="125A19EF"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М-89</w:t>
      </w:r>
      <w:r w:rsidRPr="008A2E5A">
        <w:rPr>
          <w:rFonts w:ascii="Times New Roman" w:hAnsi="Times New Roman"/>
          <w:color w:val="0070C0"/>
          <w:sz w:val="16"/>
          <w:szCs w:val="16"/>
        </w:rPr>
        <w:tab/>
        <w:t>29</w:t>
      </w:r>
      <w:r w:rsidRPr="008A2E5A">
        <w:rPr>
          <w:rFonts w:ascii="Times New Roman" w:hAnsi="Times New Roman"/>
          <w:color w:val="0070C0"/>
          <w:sz w:val="16"/>
          <w:szCs w:val="16"/>
        </w:rPr>
        <w:tab/>
        <w:t>550</w:t>
      </w:r>
      <w:r w:rsidRPr="008A2E5A">
        <w:rPr>
          <w:rFonts w:ascii="Times New Roman" w:hAnsi="Times New Roman"/>
          <w:color w:val="0070C0"/>
          <w:sz w:val="16"/>
          <w:szCs w:val="16"/>
        </w:rPr>
        <w:tab/>
        <w:t>104</w:t>
      </w:r>
      <w:r w:rsidRPr="008A2E5A">
        <w:rPr>
          <w:rFonts w:ascii="Times New Roman" w:hAnsi="Times New Roman"/>
          <w:color w:val="0070C0"/>
          <w:sz w:val="16"/>
          <w:szCs w:val="16"/>
        </w:rPr>
        <w:tab/>
        <w:t>200</w:t>
      </w:r>
      <w:r w:rsidRPr="008A2E5A">
        <w:rPr>
          <w:rFonts w:ascii="Times New Roman" w:hAnsi="Times New Roman"/>
          <w:color w:val="0070C0"/>
          <w:sz w:val="16"/>
          <w:szCs w:val="16"/>
        </w:rPr>
        <w:tab/>
        <w:t>246</w:t>
      </w:r>
    </w:p>
    <w:p w14:paraId="25A19362"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М-90</w:t>
      </w:r>
      <w:r w:rsidRPr="008A2E5A">
        <w:rPr>
          <w:rFonts w:ascii="Times New Roman" w:hAnsi="Times New Roman"/>
          <w:color w:val="0070C0"/>
          <w:sz w:val="16"/>
          <w:szCs w:val="16"/>
        </w:rPr>
        <w:tab/>
        <w:t>29</w:t>
      </w:r>
      <w:r w:rsidRPr="008A2E5A">
        <w:rPr>
          <w:rFonts w:ascii="Times New Roman" w:hAnsi="Times New Roman"/>
          <w:color w:val="0070C0"/>
          <w:sz w:val="16"/>
          <w:szCs w:val="16"/>
        </w:rPr>
        <w:tab/>
        <w:t>10</w:t>
      </w:r>
      <w:r w:rsidRPr="008A2E5A">
        <w:rPr>
          <w:rFonts w:ascii="Times New Roman" w:hAnsi="Times New Roman"/>
          <w:color w:val="0070C0"/>
          <w:sz w:val="16"/>
          <w:szCs w:val="16"/>
        </w:rPr>
        <w:tab/>
      </w:r>
      <w:r w:rsidRPr="008A2E5A">
        <w:rPr>
          <w:rFonts w:ascii="Times New Roman" w:hAnsi="Times New Roman"/>
          <w:color w:val="0070C0"/>
          <w:sz w:val="16"/>
          <w:szCs w:val="16"/>
        </w:rPr>
        <w:tab/>
        <w:t>1</w:t>
      </w:r>
      <w:r w:rsidRPr="008A2E5A">
        <w:rPr>
          <w:rFonts w:ascii="Times New Roman" w:hAnsi="Times New Roman"/>
          <w:color w:val="0070C0"/>
          <w:sz w:val="16"/>
          <w:szCs w:val="16"/>
        </w:rPr>
        <w:tab/>
        <w:t>10</w:t>
      </w:r>
    </w:p>
    <w:p w14:paraId="429FDADD"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М-11</w:t>
      </w:r>
      <w:r w:rsidRPr="008A2E5A">
        <w:rPr>
          <w:rFonts w:ascii="Times New Roman" w:hAnsi="Times New Roman"/>
          <w:color w:val="0070C0"/>
          <w:sz w:val="16"/>
          <w:szCs w:val="16"/>
        </w:rPr>
        <w:tab/>
        <w:t>154</w:t>
      </w:r>
      <w:r w:rsidRPr="008A2E5A">
        <w:rPr>
          <w:rFonts w:ascii="Times New Roman" w:hAnsi="Times New Roman"/>
          <w:color w:val="0070C0"/>
          <w:sz w:val="16"/>
          <w:szCs w:val="16"/>
        </w:rPr>
        <w:tab/>
        <w:t>1050</w:t>
      </w:r>
      <w:r w:rsidRPr="008A2E5A">
        <w:rPr>
          <w:rFonts w:ascii="Times New Roman" w:hAnsi="Times New Roman"/>
          <w:color w:val="0070C0"/>
          <w:sz w:val="16"/>
          <w:szCs w:val="16"/>
        </w:rPr>
        <w:tab/>
        <w:t>341</w:t>
      </w:r>
      <w:r w:rsidRPr="008A2E5A">
        <w:rPr>
          <w:rFonts w:ascii="Times New Roman" w:hAnsi="Times New Roman"/>
          <w:color w:val="0070C0"/>
          <w:sz w:val="16"/>
          <w:szCs w:val="16"/>
        </w:rPr>
        <w:tab/>
        <w:t>350</w:t>
      </w:r>
      <w:r w:rsidRPr="008A2E5A">
        <w:rPr>
          <w:rFonts w:ascii="Times New Roman" w:hAnsi="Times New Roman"/>
          <w:color w:val="0070C0"/>
          <w:sz w:val="16"/>
          <w:szCs w:val="16"/>
        </w:rPr>
        <w:tab/>
        <w:t>359</w:t>
      </w:r>
    </w:p>
    <w:p w14:paraId="099C15F9"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М-82</w:t>
      </w:r>
      <w:r w:rsidRPr="008A2E5A">
        <w:rPr>
          <w:rFonts w:ascii="Times New Roman" w:hAnsi="Times New Roman"/>
          <w:color w:val="0070C0"/>
          <w:sz w:val="16"/>
          <w:szCs w:val="16"/>
        </w:rPr>
        <w:tab/>
        <w:t>19</w:t>
      </w:r>
      <w:r w:rsidRPr="008A2E5A">
        <w:rPr>
          <w:rFonts w:ascii="Times New Roman" w:hAnsi="Times New Roman"/>
          <w:color w:val="0070C0"/>
          <w:sz w:val="16"/>
          <w:szCs w:val="16"/>
        </w:rPr>
        <w:tab/>
        <w:t>450</w:t>
      </w:r>
      <w:r w:rsidRPr="008A2E5A">
        <w:rPr>
          <w:rFonts w:ascii="Times New Roman" w:hAnsi="Times New Roman"/>
          <w:color w:val="0070C0"/>
          <w:sz w:val="16"/>
          <w:szCs w:val="16"/>
        </w:rPr>
        <w:tab/>
        <w:t>50</w:t>
      </w:r>
      <w:r w:rsidRPr="008A2E5A">
        <w:rPr>
          <w:rFonts w:ascii="Times New Roman" w:hAnsi="Times New Roman"/>
          <w:color w:val="0070C0"/>
          <w:sz w:val="16"/>
          <w:szCs w:val="16"/>
        </w:rPr>
        <w:tab/>
        <w:t>150</w:t>
      </w:r>
      <w:r w:rsidRPr="008A2E5A">
        <w:rPr>
          <w:rFonts w:ascii="Times New Roman" w:hAnsi="Times New Roman"/>
          <w:color w:val="0070C0"/>
          <w:sz w:val="16"/>
          <w:szCs w:val="16"/>
        </w:rPr>
        <w:tab/>
        <w:t>250</w:t>
      </w:r>
    </w:p>
    <w:p w14:paraId="4403A216"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МВ-6</w:t>
      </w:r>
      <w:r w:rsidRPr="008A2E5A">
        <w:rPr>
          <w:rFonts w:ascii="Times New Roman" w:hAnsi="Times New Roman"/>
          <w:color w:val="0070C0"/>
          <w:sz w:val="16"/>
          <w:szCs w:val="16"/>
        </w:rPr>
        <w:tab/>
        <w:t>154</w:t>
      </w:r>
      <w:r w:rsidRPr="008A2E5A">
        <w:rPr>
          <w:rFonts w:ascii="Times New Roman" w:hAnsi="Times New Roman"/>
          <w:color w:val="0070C0"/>
          <w:sz w:val="16"/>
          <w:szCs w:val="16"/>
        </w:rPr>
        <w:tab/>
        <w:t>15</w:t>
      </w:r>
      <w:r w:rsidRPr="008A2E5A">
        <w:rPr>
          <w:rFonts w:ascii="Times New Roman" w:hAnsi="Times New Roman"/>
          <w:color w:val="0070C0"/>
          <w:sz w:val="16"/>
          <w:szCs w:val="16"/>
        </w:rPr>
        <w:tab/>
        <w:t>-</w:t>
      </w:r>
      <w:r w:rsidRPr="008A2E5A">
        <w:rPr>
          <w:rFonts w:ascii="Times New Roman" w:hAnsi="Times New Roman"/>
          <w:color w:val="0070C0"/>
          <w:sz w:val="16"/>
          <w:szCs w:val="16"/>
        </w:rPr>
        <w:tab/>
        <w:t>-</w:t>
      </w:r>
      <w:r w:rsidRPr="008A2E5A">
        <w:rPr>
          <w:rFonts w:ascii="Times New Roman" w:hAnsi="Times New Roman"/>
          <w:color w:val="0070C0"/>
          <w:sz w:val="16"/>
          <w:szCs w:val="16"/>
        </w:rPr>
        <w:tab/>
        <w:t>15</w:t>
      </w:r>
    </w:p>
    <w:p w14:paraId="5A6DFB69"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МВ-6</w:t>
      </w:r>
      <w:r w:rsidRPr="008A2E5A">
        <w:rPr>
          <w:rFonts w:ascii="Times New Roman" w:hAnsi="Times New Roman"/>
          <w:color w:val="0070C0"/>
          <w:sz w:val="16"/>
          <w:szCs w:val="16"/>
        </w:rPr>
        <w:tab/>
        <w:t>16</w:t>
      </w:r>
      <w:r w:rsidRPr="008A2E5A">
        <w:rPr>
          <w:rFonts w:ascii="Times New Roman" w:hAnsi="Times New Roman"/>
          <w:color w:val="0070C0"/>
          <w:sz w:val="16"/>
          <w:szCs w:val="16"/>
        </w:rPr>
        <w:tab/>
        <w:t>10</w:t>
      </w:r>
      <w:r w:rsidRPr="008A2E5A">
        <w:rPr>
          <w:rFonts w:ascii="Times New Roman" w:hAnsi="Times New Roman"/>
          <w:color w:val="0070C0"/>
          <w:sz w:val="16"/>
          <w:szCs w:val="16"/>
        </w:rPr>
        <w:tab/>
        <w:t>10</w:t>
      </w:r>
      <w:r w:rsidRPr="008A2E5A">
        <w:rPr>
          <w:rFonts w:ascii="Times New Roman" w:hAnsi="Times New Roman"/>
          <w:color w:val="0070C0"/>
          <w:sz w:val="16"/>
          <w:szCs w:val="16"/>
        </w:rPr>
        <w:tab/>
        <w:t>-</w:t>
      </w:r>
      <w:r w:rsidRPr="008A2E5A">
        <w:rPr>
          <w:rFonts w:ascii="Times New Roman" w:hAnsi="Times New Roman"/>
          <w:color w:val="0070C0"/>
          <w:sz w:val="16"/>
          <w:szCs w:val="16"/>
        </w:rPr>
        <w:tab/>
        <w:t>10</w:t>
      </w:r>
    </w:p>
    <w:p w14:paraId="4852C7AE"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ГАМ-34БС</w:t>
      </w:r>
      <w:r w:rsidRPr="008A2E5A">
        <w:rPr>
          <w:rFonts w:ascii="Times New Roman" w:hAnsi="Times New Roman"/>
          <w:color w:val="0070C0"/>
          <w:sz w:val="16"/>
          <w:szCs w:val="16"/>
        </w:rPr>
        <w:tab/>
        <w:t>24</w:t>
      </w:r>
      <w:r w:rsidRPr="008A2E5A">
        <w:rPr>
          <w:rFonts w:ascii="Times New Roman" w:hAnsi="Times New Roman"/>
          <w:color w:val="0070C0"/>
          <w:sz w:val="16"/>
          <w:szCs w:val="16"/>
        </w:rPr>
        <w:tab/>
        <w:t>130</w:t>
      </w:r>
      <w:r w:rsidRPr="008A2E5A">
        <w:rPr>
          <w:rFonts w:ascii="Times New Roman" w:hAnsi="Times New Roman"/>
          <w:color w:val="0070C0"/>
          <w:sz w:val="16"/>
          <w:szCs w:val="16"/>
        </w:rPr>
        <w:tab/>
        <w:t>50</w:t>
      </w:r>
      <w:r w:rsidRPr="008A2E5A">
        <w:rPr>
          <w:rFonts w:ascii="Times New Roman" w:hAnsi="Times New Roman"/>
          <w:color w:val="0070C0"/>
          <w:sz w:val="16"/>
          <w:szCs w:val="16"/>
        </w:rPr>
        <w:tab/>
        <w:t>50</w:t>
      </w:r>
      <w:r w:rsidRPr="008A2E5A">
        <w:rPr>
          <w:rFonts w:ascii="Times New Roman" w:hAnsi="Times New Roman"/>
          <w:color w:val="0070C0"/>
          <w:sz w:val="16"/>
          <w:szCs w:val="16"/>
        </w:rPr>
        <w:tab/>
        <w:t>30</w:t>
      </w:r>
    </w:p>
    <w:p w14:paraId="2AC34491"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Итого по НКАП</w:t>
      </w:r>
      <w:r w:rsidRPr="008A2E5A">
        <w:rPr>
          <w:rFonts w:ascii="Times New Roman" w:hAnsi="Times New Roman"/>
          <w:color w:val="0070C0"/>
          <w:sz w:val="16"/>
          <w:szCs w:val="16"/>
        </w:rPr>
        <w:tab/>
      </w:r>
      <w:r w:rsidRPr="008A2E5A">
        <w:rPr>
          <w:rFonts w:ascii="Times New Roman" w:hAnsi="Times New Roman"/>
          <w:color w:val="0070C0"/>
          <w:sz w:val="16"/>
          <w:szCs w:val="16"/>
        </w:rPr>
        <w:tab/>
        <w:t>12 653</w:t>
      </w:r>
      <w:r w:rsidRPr="008A2E5A">
        <w:rPr>
          <w:rFonts w:ascii="Times New Roman" w:hAnsi="Times New Roman"/>
          <w:color w:val="0070C0"/>
          <w:sz w:val="16"/>
          <w:szCs w:val="16"/>
        </w:rPr>
        <w:tab/>
        <w:t>3935</w:t>
      </w:r>
      <w:r w:rsidRPr="008A2E5A">
        <w:rPr>
          <w:rFonts w:ascii="Times New Roman" w:hAnsi="Times New Roman"/>
          <w:color w:val="0070C0"/>
          <w:sz w:val="16"/>
          <w:szCs w:val="16"/>
        </w:rPr>
        <w:tab/>
        <w:t>4248</w:t>
      </w:r>
      <w:r w:rsidRPr="008A2E5A">
        <w:rPr>
          <w:rFonts w:ascii="Times New Roman" w:hAnsi="Times New Roman"/>
          <w:color w:val="0070C0"/>
          <w:sz w:val="16"/>
          <w:szCs w:val="16"/>
        </w:rPr>
        <w:tab/>
        <w:t>4470</w:t>
      </w:r>
    </w:p>
    <w:p w14:paraId="202A26CD"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М-105Р</w:t>
      </w:r>
      <w:r w:rsidRPr="008A2E5A">
        <w:rPr>
          <w:rFonts w:ascii="Times New Roman" w:hAnsi="Times New Roman"/>
          <w:color w:val="0070C0"/>
          <w:sz w:val="16"/>
          <w:szCs w:val="16"/>
        </w:rPr>
        <w:tab/>
        <w:t>466 НКСМ</w:t>
      </w:r>
      <w:r w:rsidRPr="008A2E5A">
        <w:rPr>
          <w:rFonts w:ascii="Times New Roman" w:hAnsi="Times New Roman"/>
          <w:color w:val="0070C0"/>
          <w:sz w:val="16"/>
          <w:szCs w:val="16"/>
        </w:rPr>
        <w:tab/>
        <w:t>390</w:t>
      </w:r>
      <w:r w:rsidRPr="008A2E5A">
        <w:rPr>
          <w:rFonts w:ascii="Times New Roman" w:hAnsi="Times New Roman"/>
          <w:color w:val="0070C0"/>
          <w:sz w:val="16"/>
          <w:szCs w:val="16"/>
        </w:rPr>
        <w:tab/>
        <w:t>100</w:t>
      </w:r>
      <w:r w:rsidRPr="008A2E5A">
        <w:rPr>
          <w:rFonts w:ascii="Times New Roman" w:hAnsi="Times New Roman"/>
          <w:color w:val="0070C0"/>
          <w:sz w:val="16"/>
          <w:szCs w:val="16"/>
        </w:rPr>
        <w:tab/>
        <w:t>125</w:t>
      </w:r>
      <w:r w:rsidRPr="008A2E5A">
        <w:rPr>
          <w:rFonts w:ascii="Times New Roman" w:hAnsi="Times New Roman"/>
          <w:color w:val="0070C0"/>
          <w:sz w:val="16"/>
          <w:szCs w:val="16"/>
        </w:rPr>
        <w:tab/>
        <w:t>165</w:t>
      </w:r>
    </w:p>
    <w:p w14:paraId="0C1F3BD3"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моторов</w:t>
      </w:r>
      <w:r w:rsidRPr="008A2E5A">
        <w:rPr>
          <w:rFonts w:ascii="Times New Roman" w:hAnsi="Times New Roman"/>
          <w:color w:val="0070C0"/>
          <w:sz w:val="16"/>
          <w:szCs w:val="16"/>
        </w:rPr>
        <w:tab/>
      </w:r>
      <w:r w:rsidRPr="008A2E5A">
        <w:rPr>
          <w:rFonts w:ascii="Times New Roman" w:hAnsi="Times New Roman"/>
          <w:color w:val="0070C0"/>
          <w:sz w:val="16"/>
          <w:szCs w:val="16"/>
        </w:rPr>
        <w:tab/>
        <w:t>13 043</w:t>
      </w:r>
      <w:r w:rsidRPr="008A2E5A">
        <w:rPr>
          <w:rFonts w:ascii="Times New Roman" w:hAnsi="Times New Roman"/>
          <w:color w:val="0070C0"/>
          <w:sz w:val="16"/>
          <w:szCs w:val="16"/>
        </w:rPr>
        <w:tab/>
        <w:t>4035</w:t>
      </w:r>
      <w:r w:rsidRPr="008A2E5A">
        <w:rPr>
          <w:rFonts w:ascii="Times New Roman" w:hAnsi="Times New Roman"/>
          <w:color w:val="0070C0"/>
          <w:sz w:val="16"/>
          <w:szCs w:val="16"/>
        </w:rPr>
        <w:tab/>
        <w:t>4373</w:t>
      </w:r>
      <w:r w:rsidRPr="008A2E5A">
        <w:rPr>
          <w:rFonts w:ascii="Times New Roman" w:hAnsi="Times New Roman"/>
          <w:color w:val="0070C0"/>
          <w:sz w:val="16"/>
          <w:szCs w:val="16"/>
        </w:rPr>
        <w:tab/>
        <w:t>4635</w:t>
      </w:r>
    </w:p>
    <w:p w14:paraId="2546CDB8"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Государственного комитета обороны [И. Сталин]</w:t>
      </w:r>
    </w:p>
    <w:p w14:paraId="284ECAEF"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1. Д. 1. Л. 83-85. Подлинник (24085).</w:t>
      </w:r>
    </w:p>
    <w:p w14:paraId="71CC0A6A" w14:textId="77777777" w:rsidR="007F3738" w:rsidRPr="008A2E5A" w:rsidRDefault="007F3738" w:rsidP="007F3738">
      <w:pPr>
        <w:spacing w:after="0" w:line="240" w:lineRule="auto"/>
        <w:jc w:val="both"/>
        <w:rPr>
          <w:rFonts w:ascii="Times New Roman" w:hAnsi="Times New Roman"/>
          <w:color w:val="0070C0"/>
          <w:sz w:val="16"/>
          <w:szCs w:val="16"/>
        </w:rPr>
      </w:pPr>
    </w:p>
    <w:p w14:paraId="45E7D1E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г. по приказу НКАП № 488с в состав завода № 22 влит также опытный завод № 294 НКАП 7ГУ. По приказу № 755с от 16.12.1943 г. завод № 294 вновь выделен из состава завода № 22 в самостоятельный с 1.01.1944 г. (11982).</w:t>
      </w:r>
    </w:p>
    <w:p w14:paraId="696BD96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7FA8B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г. по приказу № 488с ОКБ по материалам гл. конструктора Д.А. Михайлова, образованное в Казани, было передано вместе с заводом в подчинение вновь образованному заводу № 22 НКАП в качестве филиала. Экспериментальные работы по крупноблочному прессованию пластмасс переданы в ВИАМ. По приказу № 789с от 19.10.1942 г. коллектив гл. конструктора Д.А. Михайлова со всем оборудованием и заделом переведен в состав вновь образованной группы ПМ (пластмасс) при заводе № 464 (11982).</w:t>
      </w:r>
    </w:p>
    <w:p w14:paraId="6177868F" w14:textId="77777777" w:rsidR="00030668" w:rsidRPr="001E2C69" w:rsidRDefault="00030668"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720A3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(авиадизелей). В 1930 году на месте завода находились ремонтные мастерские 4-го Московского авиатехникума ГВФ, где производился мелкий ремонт агрегатов и аппаратуры моторов М-11. В январе 1932 года постановлением Правительства указанным мастерским был присвоен № 63 ГВФ, директором которого был назначен Емельянов. В конце 1933 года по решению Правительства заводу № 63 был присвоен № 82. Первое задание завод получил по изготовлению унифицированной семьи бензиновых звездообразных моторов воздушного охлаждения: МГ-11, МГ-21, МГ-31 и изготовление запасных частей к М-11. В 1936 году на завод был назначен новый директор Войтов. Завод как опытный был подчинен НИИ ГВФ. В 1937 году директором был назначен Черников и завод снова выделили в самостоятельную единицу, как малосерийный завод. В 1937 году на заводе были сконструированы и изготовлены образцы учебного пятицилиндрового с воздушным охлаждением авиадвигателя Д-11 конструкции Мелькумова. В 1938 году согласно постановлению Правительства от 31 июля завод № 82 был переведен из системы ГВФ в систему НКВД с заданием изготовления дизельного мотора АН-1Р. Директор завода Жилин, гл. конструктор Тулупов. В конце 1940 года завод № 82 был передан из НКВД в НКАП как опытный завод 8-го гл. управления. 26 июня 1941 года завод № 82 был эвакуирован в Казань.</w:t>
      </w:r>
    </w:p>
    <w:p w14:paraId="4EFFD4C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Основные кадры и имущество завода 3 82 были переданы заводу № 27.</w:t>
      </w:r>
    </w:p>
    <w:p w14:paraId="479196A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НКАП от 1 ноября 1941 года за № 1091сс завод № 82 был выделен из системы завода № 87 в самостоятельную единицу и директором назначен Дубов.</w:t>
      </w:r>
    </w:p>
    <w:p w14:paraId="374C5FE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площадке после эвакуации завода № 82 была размещена разделочная база № 453, которая работала по использованию металла, трофейных моторов, самолетов и прочей военной техники. База существовала до возвращения завода № 82 из эвакуации. В 1942 году решением от 24 января КО обязал НКАП организовать производство дизельных моторов М-30 на площадях эвакуированного завода № 82 в Тушино, для чего к 1 марта 1942 года должен был вернуться завод № 82 со всем оборудованием.</w:t>
      </w:r>
    </w:p>
    <w:p w14:paraId="0807EA5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После реэвакуации завода № 82 в Тушино во исполнение Постановления ГОКО от 14 марта 1942 года за № 1440с, приказом НКАП от 16 марта за № 206сс, завод № </w:t>
      </w:r>
      <w:r w:rsidRPr="001E2C69">
        <w:rPr>
          <w:rFonts w:ascii="Times New Roman" w:hAnsi="Times New Roman"/>
          <w:color w:val="000000" w:themeColor="text1"/>
          <w:sz w:val="16"/>
          <w:szCs w:val="16"/>
        </w:rPr>
        <w:lastRenderedPageBreak/>
        <w:t>82 был ликвидирован с передачей всех кадров и оборудования заводу № 45, а опытные образцы дизеоя М-30, техдокументацию, конструкторские кадры передать в ЦИАМ.</w:t>
      </w:r>
    </w:p>
    <w:p w14:paraId="32B6327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Постановлением ГОКО от 4 июня 1942 года на площадях бывш. завода № 82 организован опытный завод № 500 по доводке и производству мелких серийных моторов М-30. Завод начал свою деятельность в июне 1942 года. Постановлением ГОКО от 4 июня 1942 года кадры конструкторов, работающие над разными дизелями (КБ Тулупова, группа Яковлева, дизельная группа 4-го спецотдела НКВД) были объединены в одно КБ завода № 500, на которое возлагалась задача быстрейшей доводки мотора М-30. Директором завода был назначен Вовк, гл. конструктором Чаромский.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12BB132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2DDA14F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2263D74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Адрес: Тушино. Производственный профиль – авиамоторный (9861).</w:t>
      </w:r>
    </w:p>
    <w:p w14:paraId="6B46561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61C35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(авиадизелей).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3590AF5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0AA2527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1041DD1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Адрес: Тушино. Производственный профиль – авиамоторный (9861).</w:t>
      </w:r>
    </w:p>
    <w:p w14:paraId="49CAC67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2CB5A6"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Другие оборонные отрасли:</w:t>
      </w:r>
    </w:p>
    <w:p w14:paraId="654162C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CAC20D" w14:textId="3303BCAE" w:rsidR="00C64375" w:rsidRPr="001E2C69" w:rsidRDefault="00C64375" w:rsidP="00722885">
      <w:pPr>
        <w:pStyle w:val="article-renderblock"/>
        <w:shd w:val="clear" w:color="auto" w:fill="FFFFFF"/>
        <w:spacing w:before="0" w:beforeAutospacing="0" w:after="0" w:afterAutospacing="0"/>
        <w:jc w:val="both"/>
        <w:rPr>
          <w:color w:val="000000" w:themeColor="text1"/>
          <w:sz w:val="16"/>
          <w:szCs w:val="16"/>
        </w:rPr>
      </w:pPr>
      <w:r w:rsidRPr="001E2C69">
        <w:rPr>
          <w:color w:val="000000" w:themeColor="text1"/>
          <w:sz w:val="16"/>
          <w:szCs w:val="16"/>
        </w:rPr>
        <w:t>4 июля 1942 года вышло постановление ГКО №1961сс "О плане производства и поставок артиллерийского и стрелкового вооружения и военных приборов на июль и 3 квартал 1942 года". Пунктом 3 в нем значилось</w:t>
      </w:r>
      <w:r w:rsidR="001E2C69">
        <w:rPr>
          <w:color w:val="000000" w:themeColor="text1"/>
          <w:sz w:val="16"/>
          <w:szCs w:val="16"/>
        </w:rPr>
        <w:t xml:space="preserve">   </w:t>
      </w:r>
      <w:r w:rsidRPr="001E2C69">
        <w:rPr>
          <w:color w:val="000000" w:themeColor="text1"/>
          <w:sz w:val="16"/>
          <w:szCs w:val="16"/>
        </w:rPr>
        <w:t>"прекратить с 1 июля 1942 года на заводе №74 Наркомвооружения производство 37 мм автоматических пушек". Отчасти это было связано и с результатами войсковых испытаний, и с тем, что ОКБ-16 работала над более удачной системой, в тот момент имевшей обозначение 11-П. Но про тот факт, что Ш-37 с производства снята, в ГАБТУ КА узнали только к февралю 1943 года (20346).</w:t>
      </w:r>
    </w:p>
    <w:p w14:paraId="44835DCA" w14:textId="77777777" w:rsidR="00C64375" w:rsidRPr="001E2C69" w:rsidRDefault="00C64375" w:rsidP="00722885">
      <w:pPr>
        <w:pStyle w:val="article-renderblock"/>
        <w:shd w:val="clear" w:color="auto" w:fill="FFFFFF"/>
        <w:spacing w:before="0" w:beforeAutospacing="0" w:after="0" w:afterAutospacing="0"/>
        <w:jc w:val="both"/>
        <w:rPr>
          <w:color w:val="000000" w:themeColor="text1"/>
          <w:sz w:val="16"/>
          <w:szCs w:val="16"/>
        </w:rPr>
      </w:pPr>
    </w:p>
    <w:p w14:paraId="1877D62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4-5 июля 1942 года были проведены испытания 320-мм мин ГМ-320, изготовленных заводом №371, на герметичность корпусов и сварных швов с гидравлическим давлением до 10 атмосфер. Две мины 851 и 828 течи не дали и были направлены для снаряжения в ГИПХ. Всего из 16 испытываемых мин семь оказались годными, девять дали течь (6403, 42).</w:t>
      </w:r>
    </w:p>
    <w:p w14:paraId="485F367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0D6521"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июля 1941 г. Постановление ГКО СССР № 21сс о выработке военно-хозяйственного плана обеспечения обороны страны</w:t>
      </w:r>
    </w:p>
    <w:p w14:paraId="66ED8D89"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425BA5D9"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w:t>
      </w:r>
    </w:p>
    <w:p w14:paraId="50F650F2"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Поручить т. Вознесенскому (созыв), Сабурову, Малышеву, Первухину с привлечением наркомов вооружения, боеприпасов, авиационной промышленности, цветной металлургии и других наркомов выработать народно-хозяйственный план обеспечения обороны страны, имея в виду использование ресурсов и предприятий, существующих на Волге, в Западной Сибири и на Урале, а также ресурсов и предприятий, вывозимых в указанные районы в порядке эвакуации. При выработке плана учесть как основные предприятия, так и смежные, с тем, чтобы можно было производить вполне комплектную продукцию.</w:t>
      </w:r>
    </w:p>
    <w:p w14:paraId="148C28F6"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Первый доклад т. Вознесенского о военно-хозяйственном плане заслушать 7 июля.</w:t>
      </w:r>
    </w:p>
    <w:p w14:paraId="600C1F0F"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w:t>
      </w:r>
    </w:p>
    <w:p w14:paraId="4C107D68"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Назначить членами Военного совета Северо-Западного фронта т. Бочкова и Штыкова, обязав т. Штыкова держать связь с Ленинградом и сообщать т. Жданову о делах Северо-Западного фронта, а т. Бочкова держать связь с ЦК ВКП(б) и сообщать о делах Северо-Западного фронта.</w:t>
      </w:r>
    </w:p>
    <w:p w14:paraId="2FA7DB65"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Государственного комитета обороны И. Сталин</w:t>
      </w:r>
    </w:p>
    <w:p w14:paraId="559878A6"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1. Д. 1. Л. 82. Подлинник (24085).</w:t>
      </w:r>
    </w:p>
    <w:p w14:paraId="555952AB" w14:textId="77777777" w:rsidR="007F3738" w:rsidRPr="008A2E5A" w:rsidRDefault="007F3738" w:rsidP="007F3738">
      <w:pPr>
        <w:spacing w:after="0" w:line="240" w:lineRule="auto"/>
        <w:jc w:val="both"/>
        <w:rPr>
          <w:rFonts w:ascii="Times New Roman" w:hAnsi="Times New Roman"/>
          <w:color w:val="0070C0"/>
          <w:sz w:val="16"/>
          <w:szCs w:val="16"/>
        </w:rPr>
      </w:pPr>
    </w:p>
    <w:p w14:paraId="07B931B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вышло Постановление ГКО № 1960 О плане производства боеприпасов на июль месяц и III квартал 1942 г. РГАНИР, Фонд ГКО, д. 40, лл. 113-129, 130-372 (11012).</w:t>
      </w:r>
    </w:p>
    <w:p w14:paraId="66B54C6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415FE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года Решением ГОКО № 1961сс в Москву возвращен ГПКИ-40 (9267).</w:t>
      </w:r>
    </w:p>
    <w:p w14:paraId="6B0972F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8B66B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вышло Постановление ГКО № 1961 О плане производства и поставок артиллерийского и стрелкового вооружения и военных приборов на июль и III квартал 1942 г. РГАНИР, Фонд ГКО, д. 41, лл. 1-11, 12-63 (11012).</w:t>
      </w:r>
    </w:p>
    <w:p w14:paraId="52F021F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53F65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вышло Постановление ГКО № 1962 О плане производства минометов на июль и III квартал 1942 г. РГАНИР, Фонд ГКО, д. 41, лл. 64-69, 70-84 (11012).</w:t>
      </w:r>
    </w:p>
    <w:p w14:paraId="6D1F54B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0268F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вышло Постановление ГКО № 1963 О плане производства и поставок пулеметов-пистолетов Шпагина в июле и III квартале 1942 г. РГАНИР, Фонд ГКО, д. 41, лл. 85-89, 90-93 (11012).</w:t>
      </w:r>
    </w:p>
    <w:p w14:paraId="0580CBA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129BC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вышло Постановление ГКО № 1964 О плане производства патронов и звеньев в третьем квартале и июле 1942 г. РГАНИР, Фонд ГКО, д. 41, лл. 94-96, 97-129 (11012).</w:t>
      </w:r>
    </w:p>
    <w:p w14:paraId="19EF7C7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9441F9"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г.</w:t>
      </w:r>
    </w:p>
    <w:p w14:paraId="32B3CDE4"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РГАЭ Фонд 8752 Опись 4 Дело 91 лист 211 – 209</w:t>
      </w:r>
    </w:p>
    <w:p w14:paraId="36EE74E7"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Сов. секретно</w:t>
      </w:r>
    </w:p>
    <w:p w14:paraId="750789EC"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 НАРОДНОГО КОМИССАРА ТАНКОВОЙ ПРОМЫШЛЕННОСТИ СОЮЗА ССР № 499сс</w:t>
      </w:r>
    </w:p>
    <w:p w14:paraId="3D4311EE"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Москва</w:t>
      </w:r>
    </w:p>
    <w:p w14:paraId="5113A037"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г.</w:t>
      </w:r>
    </w:p>
    <w:p w14:paraId="78F64621"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Во исполнение постановления ГОКО от 3-го июля за № 1958сс ПРИКАЗЫВАЮ:</w:t>
      </w:r>
    </w:p>
    <w:p w14:paraId="1AED4C43"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Директорам заводов № 37 (т. Фрезерову), № 264 (т. Кордунеру) с 5 июля прекратить изготовление танков Т-60. Сохранить оснастку и часть мощностей для изготовления запасных частей к танку Т-60.</w:t>
      </w:r>
    </w:p>
    <w:p w14:paraId="1C936BF3"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Директору завода № 37 (т. Фрезерову) развернуть подготовку производства к выпуску танков Т-70 и обеспечить выпуск в июле месяце 25 танков Т-70 по следующему суточному графику:</w:t>
      </w:r>
    </w:p>
    <w:p w14:paraId="5EA1194D"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II декада – всего 5 шт.</w:t>
      </w:r>
    </w:p>
    <w:p w14:paraId="65547883"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III декада – по 2 шт. в день.</w:t>
      </w:r>
    </w:p>
    <w:p w14:paraId="74A015C0"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Имеющийся задел по танкам Т-60 сдать в запасные части ГАБТУ в счет плана, а имеющийся задел по корпусам танков Т-60, не могущий быть использован для танков Т-70 законсервировать.</w:t>
      </w:r>
    </w:p>
    <w:p w14:paraId="3C6F50A0"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Директору завода № 264 освободившиеся от производства мощности использовать для производства узлов и деталей для завода СТЗ по производству танков Т-34 и дизелей.</w:t>
      </w:r>
    </w:p>
    <w:p w14:paraId="1574D6EE"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Учесть, что часть оборудования моим дополнительным распоряжением будет изъята с завода и передана другим заводам, производящим танки Т-34 и дизеля.</w:t>
      </w:r>
    </w:p>
    <w:p w14:paraId="3E6622E8"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Остающийся задел по танкам Т-60 сдать в запасные части ГАБТУ в счет плана. Имеющийся задел готовых корпусов законсервировать.</w:t>
      </w:r>
    </w:p>
    <w:p w14:paraId="6F55EBD4"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Моему заместителю т. ГОРЕГЛЯД немедленно выехать в Сталинград и на месте установить объем кооперации по изготовлению деталей танков Т-34 и дизелей между заводами СТЗ и № 264. Разрешить использовать часть механического оборудования, освободившегося от производства танков Т-60 на увеличение производства корпусов танков Т-34.</w:t>
      </w:r>
    </w:p>
    <w:p w14:paraId="4E452424"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И.О. директора Кировского завода (т. Махонину):</w:t>
      </w:r>
    </w:p>
    <w:p w14:paraId="4D886A4B"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с 5 июля производить не больше 5 – 6 танков КВ в день, а всего в июле произвести не больше 150 танков КВ;</w:t>
      </w:r>
    </w:p>
    <w:p w14:paraId="0562AAB2"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немедленно приступить к подготовке производства танков Т-34 с тем, чтобы в августе произвести не менее 100 танков, а в сентябре не менее 250 танков Т-34;</w:t>
      </w:r>
    </w:p>
    <w:p w14:paraId="353B3446"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учесть, что означенным постановлением ГОКО разрешено подготовку производства тракторов С-10 на заводе временно приостановить с тем, чтобы облегчить Кировскому заводу переход на производство танков Т-34.</w:t>
      </w:r>
    </w:p>
    <w:p w14:paraId="3B513174"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немедленно командировать на завод № 183 рабочих и инженерно-технических работников: сборщиков танков, сдатчиков, обкатчиков, а также часть станочников для обучения их сборке, сдаче, обкатке и изготовлению отдельных деталей танков Т-34.</w:t>
      </w:r>
    </w:p>
    <w:p w14:paraId="34E308AE"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Директору Уралмашзавода (т. Музрукову) изготовить в июле месяце 100 корпусов танков КВ (облегченных) и 200 корпусов с башнями танков Т-34, из них 50 корпусов для Кировского завода, 50 корпусов для СТЗ и 100 корпусов для завода № 183.</w:t>
      </w:r>
    </w:p>
    <w:p w14:paraId="04D0D760"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Установить следующую программу производства танков Т-34 в июле месяце по заводам:</w:t>
      </w:r>
    </w:p>
    <w:p w14:paraId="5AE34162"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по заводу № 183 – 600 танков по следующему суточному графику:</w:t>
      </w:r>
    </w:p>
    <w:p w14:paraId="5B503FB1"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I декада по 18 шт. в день;</w:t>
      </w:r>
    </w:p>
    <w:p w14:paraId="30A84324"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II декада по 20 шт. в день;</w:t>
      </w:r>
    </w:p>
    <w:p w14:paraId="42248DC0"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III декада по 23 – 24 шт. в день.</w:t>
      </w:r>
    </w:p>
    <w:p w14:paraId="0F5ED825"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По СТЗ – 420 танков по следующему суточному графику:</w:t>
      </w:r>
    </w:p>
    <w:p w14:paraId="4496AB4E"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I декада по 13 шт. в день;</w:t>
      </w:r>
    </w:p>
    <w:p w14:paraId="63369B16"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II декада по 14 шт. в день;</w:t>
      </w:r>
    </w:p>
    <w:p w14:paraId="40E88D55"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III декада по 16 шт. в день.</w:t>
      </w:r>
    </w:p>
    <w:p w14:paraId="3482D6C3"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По заводу № 112 – 250 шт. по следующему суточному графику:</w:t>
      </w:r>
    </w:p>
    <w:p w14:paraId="1A75CB5D"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I декада по 7 шт. в день;</w:t>
      </w:r>
    </w:p>
    <w:p w14:paraId="34075E11"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II декада по 8 – 9 шт. в день;</w:t>
      </w:r>
    </w:p>
    <w:p w14:paraId="19B07D42"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III декада по 9 – 10 шт. в день.</w:t>
      </w:r>
    </w:p>
    <w:p w14:paraId="22C2009B"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По заводу № 174 – 50 шт. по следующему суточному графику:</w:t>
      </w:r>
    </w:p>
    <w:p w14:paraId="079DF38F"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I декада по 1 шт. в день;</w:t>
      </w:r>
    </w:p>
    <w:p w14:paraId="51955FBC"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II декада по 2 шт. в день;</w:t>
      </w:r>
    </w:p>
    <w:p w14:paraId="6A867E45"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III декада по 2 шт. в день.</w:t>
      </w:r>
    </w:p>
    <w:p w14:paraId="44A70824"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Установить следующую программу производства танков Т-70 по заводу № 38 – 150 шт. по следующему суточному графику:</w:t>
      </w:r>
    </w:p>
    <w:p w14:paraId="56F01635"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I декада по 3 шт. в день;</w:t>
      </w:r>
    </w:p>
    <w:p w14:paraId="5390D3E2"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II декада по 6 шт. в день;</w:t>
      </w:r>
    </w:p>
    <w:p w14:paraId="761D5CC4"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III декада по 6 – 7 шт. в день.</w:t>
      </w:r>
    </w:p>
    <w:p w14:paraId="5F7CB8F9"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Обязать Начальника 3-го Главного Управления т. ХАБАХПАШЕВА и директора завода № 180 (т. Суворова) немедленно прекратить на заводе № 180 производство корпусов танков Т-60 и приступить к производству корпусов танков Т-70, обеспечив в июле месяце изготовление 50 корпусов танков Т-70 и в августе 120 корпусов.</w:t>
      </w:r>
    </w:p>
    <w:p w14:paraId="4ED10657"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В изменение ранее изданного приказа – начальнику 3-го Главного Управления т. ХАБАХПАШЕВУ и директорам заводов № 176 т. ФЕДОТОВУ и № 177 т. ВОЛКОВУ изготовить в июле месяце корпусов для Т-70 на заводе № 176 – 350 шт. и на заводе № 177 – 150 шт.</w:t>
      </w:r>
    </w:p>
    <w:p w14:paraId="43ED284C" w14:textId="77777777"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НАРОДНЫЙ КОМИССАР ТАНКОВОЙ ПРОМЫШЛЕННОСТИ СОЮЗА ССР подпись И. ЗАЛЬЦМАН (21212).</w:t>
      </w:r>
    </w:p>
    <w:p w14:paraId="7C2FCCA3" w14:textId="77777777" w:rsidR="00C64375" w:rsidRPr="001E2C69" w:rsidRDefault="00C64375" w:rsidP="00722885">
      <w:pPr>
        <w:spacing w:after="0" w:line="240" w:lineRule="auto"/>
        <w:jc w:val="both"/>
        <w:rPr>
          <w:rFonts w:ascii="Times New Roman" w:hAnsi="Times New Roman"/>
          <w:color w:val="000000" w:themeColor="text1"/>
          <w:sz w:val="16"/>
          <w:szCs w:val="16"/>
        </w:rPr>
      </w:pPr>
    </w:p>
    <w:p w14:paraId="138679C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вышло Постановление ГКО № 1965 Об эвакуации завода СК-3 из г.Ефремова. РГАНИР, Фонд ГКО, д. 41, лл. 130 (11012).</w:t>
      </w:r>
    </w:p>
    <w:p w14:paraId="28FBC3D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95713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вышло Постановление ГКО № 1966 Об эвакуации оборудования, готовой продукции, материалов и рабочих предприятий Hаркомчермета Воронежской области. РГАНИР, Фонд ГКО, д. 41, лл. 131-132, 133-136 (11012).</w:t>
      </w:r>
    </w:p>
    <w:p w14:paraId="4926125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9A83F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вышло Постановление ГКО № 1967 Об эвакуации завода № 61 HКБ из г.Липецка. РГАНИР, Фонд ГКО, д. 41, лл. 137 (11012).</w:t>
      </w:r>
    </w:p>
    <w:p w14:paraId="46C6B92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BA267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вышло Постановление ГКО № 1968 Об эвакуации оборудования и рабочих Липецкого чугунолитейного завода Наркомстройматериалов СССР. РГАНИР, Фонд ГКО, д. 41, лл. 138 (11012).</w:t>
      </w:r>
    </w:p>
    <w:p w14:paraId="1062BBD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CDC0D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вышло Постановление ГКО № 1969 Об эвакуации оборудования Подгорненского. цементного завода. . РГАНИР, Фонд ГКО, д. 41, лл. 139 (11012).</w:t>
      </w:r>
    </w:p>
    <w:p w14:paraId="0E6BAA6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7446D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вышло Постановление ГКО № 1970 Об эвакуации оборудования, материалов, рабочих, ИТР и членов их семей предприятий Наркомлегпрома СССР Воронежской области. РГАНИР, Фонд ГКО, д. 41, лл. 140, 141 (11012).</w:t>
      </w:r>
    </w:p>
    <w:p w14:paraId="2ECFA79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5DFA4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вышло Постановление ГКО № 1971 Об эвакуации оборудования, рабочих, ИТР и членов их семей предприятий Наркомпищепрома СССР, расположенных в Воронежской области. РГАНИР, Фонд ГКО, д. 41, лл. 142, 143 (11012).</w:t>
      </w:r>
    </w:p>
    <w:p w14:paraId="0356E07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ED0B85"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вышло Постановление ГКО № 1972 Об эвакуации оборудования стрелочного завода со ст. Грязи-Орловские. (7040, 144).</w:t>
      </w:r>
    </w:p>
    <w:p w14:paraId="3EDFB732"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83D6C0"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вышло Постановление ГКО № 1973 Об эвакуации оборудования Отрожского вагоноремонтного завода НКПС [Воронежская обл.]. (7040, 145).</w:t>
      </w:r>
    </w:p>
    <w:p w14:paraId="07D25893"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9CA43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вышло Постановление ГКО № 1974 Об эвакуации Воронежского завода СК-2. РГАНИР, Фонд ГКО, д. 41, лл. 146 (11012).</w:t>
      </w:r>
    </w:p>
    <w:p w14:paraId="3353CCC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E309F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вышло Постановление ГКО № 1975 Об эвакуации оборудования и рабочих Воронежского завода прессов им. Калинина Наркомстанкостроения. РГАНИР, Фонд ГКО, д. 41, лл. 147 (11012).</w:t>
      </w:r>
    </w:p>
    <w:p w14:paraId="11021A4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B5FB1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вышло Постановление ГКО № 1976 Об эвакуации оборудования Воронежской ГРЭС. РГАНИР, Фонд ГКО, д. 41, лл. 148 (11012).</w:t>
      </w:r>
    </w:p>
    <w:p w14:paraId="186D91A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7931F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вышло Постановление ГКО № 1977 Об эвакуации оборудования и рабочих Воронежской кордной фабрики Наркомтекстиля СССР. РГАНИР, Фонд ГКО, д. 41, лл. 149 (11012).</w:t>
      </w:r>
    </w:p>
    <w:p w14:paraId="4A7DE3E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9E2B8D"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4 июля 1942 вышло Постановление ГКО № 1979 Об эвакуации учащихся ремесленных и железнодорожных училищ и школ ФЗО из г. Воронежа и Воронежской </w:t>
      </w:r>
      <w:r w:rsidRPr="001E2C69">
        <w:rPr>
          <w:rFonts w:ascii="Times New Roman" w:hAnsi="Times New Roman"/>
          <w:color w:val="000000" w:themeColor="text1"/>
          <w:sz w:val="16"/>
          <w:szCs w:val="16"/>
        </w:rPr>
        <w:lastRenderedPageBreak/>
        <w:t>области. (7040, 151,152).</w:t>
      </w:r>
    </w:p>
    <w:p w14:paraId="00F9B75D"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FC16E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вышло Постановление ГКО № 1981 Об эвакуации оборудования Ворошиловградского завода им. 20-летия Октября. Наркомсредмаша. РГАНИР, Фонд ГКО, д. 41, лл. 154 (11012).</w:t>
      </w:r>
    </w:p>
    <w:p w14:paraId="10080EB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2848B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вышло Постановление ГКО № 1982 Об эвакуации оборудования, материалов, а также рабочих, ИТР и членов их семей с предприятий Наркомстройматериалов СССР. РГАНИР, Фонд ГКО, д. 41, лл. 155 (11012).</w:t>
      </w:r>
    </w:p>
    <w:p w14:paraId="4479B33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DC047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вышло Постановление ГКО № 1984 Об эвакуации и восстановлении производства Ворошиловградского завода им. Октябрьской Революции Наркомтяжмаша. РГАНИР, Фонд ГКО, д. 41, лл. 157-159, 160-161 (11012).</w:t>
      </w:r>
    </w:p>
    <w:p w14:paraId="12A3A75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5870B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вышло Постановление ГКО № 1985 О т.т. Сенине Г.С., Слонь М.В. РГАНИР, Фонд ГКО, д. 41, лл. 162 (11012).</w:t>
      </w:r>
    </w:p>
    <w:p w14:paraId="7AE9768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74BC2F"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Армия:</w:t>
      </w:r>
    </w:p>
    <w:p w14:paraId="3E64384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CF0602"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4 июля</w:t>
      </w:r>
      <w:r w:rsidRPr="001E2C69">
        <w:rPr>
          <w:rFonts w:ascii="Times New Roman" w:hAnsi="Times New Roman"/>
          <w:color w:val="000000" w:themeColor="text1"/>
          <w:sz w:val="16"/>
          <w:szCs w:val="16"/>
        </w:rPr>
        <w:t xml:space="preserve"> в 1942 году утреннее сообщение Совинформбюро:</w:t>
      </w:r>
    </w:p>
    <w:p w14:paraId="12263FE3"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4 июля на Курском, Белгородском и Волчанском направлениях наши войска вели бои с противником.</w:t>
      </w:r>
    </w:p>
    <w:p w14:paraId="606DB40A"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6BA0D5E5"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Курском направлении продолжаются ожесточённые бои. По неполным данным, частями под командованием тов. Парсегова за три дня боевых действий уничтожено несколько тысяч солдат и офицеров противника, принадлежащих преимущественно к третьему венгерскому корпусу. За это же время подбито и сожжено 63 немецких танка. На другом участке уничтожено ещё несколько десятков танков и большое количество живой силы немцев. Нашей авиацией в воздушных боях сбито 13 самолётов противника.</w:t>
      </w:r>
    </w:p>
    <w:p w14:paraId="143AB279"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Волчанском направлении наши бойцы проявляют величайшую стойкость, отражая многочисленные атаки противника. Танковый экипаж старшего сержанта Прохорова уничтожил 4 немецких танка. Снарядом противника были перебиты гусеницы танка. Не имея возможности двигаться, танкисты пулемётным огнём уничтожили более 200 немецких солдат и офицеров.</w:t>
      </w:r>
    </w:p>
    <w:p w14:paraId="2ADD7E3C"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 артиллеристы на отдельных участках Западного фронта уничтожили 9 немецких ДЗОТов и блиндажей, 4 станковых пулемёта, подавили огонь артиллерийской и миномётной батарей, рассеяли и частью уничтожили до трёх рот пехоты противника. На одном из участков фронта красноармейцы ружейно-пулемётным огнём сбили немецкий транспортный самолёт.</w:t>
      </w:r>
    </w:p>
    <w:p w14:paraId="0E409912"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Семь бойцов под командованием младшего лейтенанта. Парфёнова произвели смелую вылазку в тыл противника. Разведчики пробрались к немецким блиндажам и забросали их гранатами. Перепуганные гитлеровцы выскочили из блиндажей, но попали под огонь наших автоматчиков. В короткой схватке наши бойцы уничтожили 14 немецких солдат и офицеров и без потерь вернулись в свою часть.</w:t>
      </w:r>
    </w:p>
    <w:p w14:paraId="5F3CEFC6"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белорусских партизан под командованием тов. Л. за девять дней боёв с противником истребил 200 немецко-фашистских оккупантов. Партизаны уничтожили 6 автомашин, сожгли 3 продовольственных склада гитлеровцев и взорвали несколько мостов. У противника захвачено 3 станковых пулемёта, 60 винтовок, 7 автомашин, 35 автоматов, большое количество боеприпасов и продовольствия. Группа партизан этого же отряда организовала крушение двух железнодорожных эшелонов противника, следовавших на фронт.</w:t>
      </w:r>
    </w:p>
    <w:p w14:paraId="3FC76D86"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11 полка 14 немецкой мотодивизии Рейнгольд Яник рассказал: «Война разрушила мою семью. Брат Антон на Восточном фронте лишился ноги. Второй брат Конрад убит под Вязьмой. Мне повезло — я попал в плен, и, стало быть, нахожусь вне опасности. На фронте я служил несколько месяцев шофёром. Проезжая в лесу близ пункта Х., я видел изуродованные автомашины. Около одной из них находились шофёры и пытались её отремонтировать. Они рассказали мне, что на колонну напали партизаны, разбили три автомашины, захватили грузы и исчезли.Даже в глубоком тылу солдаты живут в постоянном страхе. В районах деятельности партизан они боятся поодиночке выходить из дому».</w:t>
      </w:r>
    </w:p>
    <w:p w14:paraId="60C18B6A"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Немецкому солдату Францу пишет зять из Штруллендорфа: «Я был вторично ранен в России... У нас остались одни женщины, а мужчины все призваны на фронт. Смотри, не лезь в огонь. От всего сердца желаю тебе небольшой раны, чтобы ты тоже мог вырваться из пекла. Помни, в России всё равно ничего не получишь, кроме смерти».</w:t>
      </w:r>
    </w:p>
    <w:p w14:paraId="7C0E4443"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Группа мирных жителей посёлка Учкуевка, находящегося недалеко от Севастополя, укрылась в пещере от вражеских авиабомб и артиллерийских снарядов. 19 июня вечером в пещеру ворвались несколько немецких автоматчиков. Гитлеровские изверги подвергли мучениям, а потом расстреляли 27 стариков, женщин и детей.» (14942).</w:t>
      </w:r>
    </w:p>
    <w:p w14:paraId="4A5DA79D" w14:textId="77777777" w:rsidR="00030668" w:rsidRPr="001E2C69" w:rsidRDefault="00030668" w:rsidP="00722885">
      <w:pPr>
        <w:spacing w:after="0" w:line="240" w:lineRule="auto"/>
        <w:jc w:val="both"/>
        <w:rPr>
          <w:rFonts w:ascii="Times New Roman" w:hAnsi="Times New Roman"/>
          <w:color w:val="000000" w:themeColor="text1"/>
          <w:sz w:val="16"/>
          <w:szCs w:val="16"/>
        </w:rPr>
      </w:pPr>
    </w:p>
    <w:p w14:paraId="05F413D2"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4 июля</w:t>
      </w:r>
      <w:r w:rsidRPr="001E2C69">
        <w:rPr>
          <w:rFonts w:ascii="Times New Roman" w:hAnsi="Times New Roman"/>
          <w:color w:val="000000" w:themeColor="text1"/>
          <w:sz w:val="16"/>
          <w:szCs w:val="16"/>
        </w:rPr>
        <w:t xml:space="preserve"> в 1942 году вечернее сообщение Совинформбюро:</w:t>
      </w:r>
    </w:p>
    <w:p w14:paraId="7FA91456"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4 июля на Курском направлении наши войска вели тяжёлые бои против танков и пехоты противника. На одном из участков этого направления наши войска отошли и заняли новые позиции.</w:t>
      </w:r>
    </w:p>
    <w:p w14:paraId="147E182A"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Белгородском и Волчанском направлениях продолжались упорные бои с противником.</w:t>
      </w:r>
    </w:p>
    <w:p w14:paraId="4471AC8B"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57F52D8E"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3 июля частями нашей авиации на различных участках фронта уничтожено или повреждено несколько десятков немецких танков, более 200 автомашин с войсками и грузами, взорвано 3 склада с боеприпасами, подавлен огонь 5 артиллерийских батарей, рассеяно и частью уничтожено до пяти рот пехоты и эскадрон конницы противника.</w:t>
      </w:r>
    </w:p>
    <w:p w14:paraId="73E1915A"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Курском направлении в бою за населённый пункт П. группа наших танков под командованием капитана Козлова уничтожила 3 средних немецких танка, 5 противотанковых орудий, штабную машину и свыше 200 немецких солдат и офицеров. После этого противник вновь бросил в атаку на пункт П. более 30 танков и потеснил нашу часть восточнее этого пункта. Пулемётчики роты, которой командует лейтенант Махначёв, за два дня уничтожили до 300 гитлеровцев. На позиции нашего стрелкового батальона наступало 8 немецких танков. Командир роты тов. Кисляков пополз навстречу противнику и бутылками с горючей смесью поджёг один немецкий танк. Воодушевлённые примером своего командира, бойцы отбили танковую атаку.</w:t>
      </w:r>
    </w:p>
    <w:p w14:paraId="2F9211B2"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Волчанского направления взвод противотанковых ружей, которым командует старшина Рева, в течение дня отразил несколько танковых атак противника. Бойцами взвода подбито и сожжено 11 немецких танков. Артиллерийская батарея старшего лейтенанта Санкеева прямой наводкой уничтожила 6 немецких танков. Следовавшую за танками пехоту противника наши бойцы встретили убийственным ружейно-пулемётным огнём. Немцы потеряли убитыми и ранеными несколько сот солдат и офицеров.</w:t>
      </w:r>
    </w:p>
    <w:p w14:paraId="11BDB800"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Утром пехота противника при поддержке 60—80 танков и авиации предприняла наступление на двух участках Калининского фронта. Потеряв до 2.000 солдат и офицеров и 27 танков, немцам удалось потеснить наше боевое охранение и передовые отряды. На следующий день противник пытался развить наступление, но потерпел неудачу. Все атаки немцев отбиты. Бои продолжаются.</w:t>
      </w:r>
    </w:p>
    <w:p w14:paraId="3648A5C7"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Шесть наших истребителей под командованием старшего политрука Ибатулина встретили 18 немецких «Мессершмиттов-109». Советские лётчики атаковали противника и сбили 6 немецких самолётов. Тов. Ибатулин сбил 2 самолёта противника. Лейтенанты Фёдоров, Скачков, Апухтин и сержант Латышев уничтожили по одному немецкому самолёту. Все наши самолёты вернулись на свой аэродром.</w:t>
      </w:r>
    </w:p>
    <w:p w14:paraId="1C0C8B9A"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Артиллерийская батарея тов. Баландина (Южный фронт) обстреляла большую колонну войск и обоз противника. Артиллеристы уничтожили не менее 300 немецких солдат и офицеров и много подвод с боеприпасами.</w:t>
      </w:r>
    </w:p>
    <w:p w14:paraId="2854514A"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партизан под командованием тов. Р., действующий в Черниговской области, на днях сжёг немецкий склад с бензином. Группа партизан этого отряда гранатами разрушила транспортный самолёт «Юнкерс-52», сделавший вынужденную посадку. В течение двух недель советские патриоты вели бои с немецкой карательной экспедицией. Немецкие оккупанты потеряли в этих боях только убитыми 56 солдат и офицеров.</w:t>
      </w:r>
    </w:p>
    <w:p w14:paraId="45BF3C27"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Получено сообщение о чудовищном злодеянии немецко-фашистских мерзавцев. Недавно многие жители города Осипенко получили из немецкой комендатуры приказ явиться с семьями на Мерликовую балку для отправки в тыл. Когда старики и женщины с детьми собрались в указанном месте, их окружили немецкие автоматчики и заставили рыть ров. Затем гитлеровские палачи открыли по своим жертвам огонь. Всего было расстреляно более 800 советских граждан.</w:t>
      </w:r>
    </w:p>
    <w:p w14:paraId="54738DD1"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Лейпциге немецкие власти расстреляли 12 поляков, которые бросили работу на военном заводе и пытались пробраться на родину.» (14942).</w:t>
      </w:r>
    </w:p>
    <w:p w14:paraId="7014691C" w14:textId="77777777" w:rsidR="00030668" w:rsidRPr="001E2C69" w:rsidRDefault="00030668" w:rsidP="00722885">
      <w:pPr>
        <w:spacing w:after="0" w:line="240" w:lineRule="auto"/>
        <w:jc w:val="both"/>
        <w:rPr>
          <w:rFonts w:ascii="Times New Roman" w:hAnsi="Times New Roman"/>
          <w:color w:val="000000" w:themeColor="text1"/>
          <w:sz w:val="16"/>
          <w:szCs w:val="16"/>
        </w:rPr>
      </w:pPr>
    </w:p>
    <w:p w14:paraId="5A113D5F"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4 июля</w:t>
      </w:r>
      <w:r w:rsidRPr="001E2C69">
        <w:rPr>
          <w:rFonts w:ascii="Times New Roman" w:hAnsi="Times New Roman"/>
          <w:color w:val="000000" w:themeColor="text1"/>
          <w:sz w:val="16"/>
          <w:szCs w:val="16"/>
        </w:rPr>
        <w:t xml:space="preserve"> в 1942 году завершилась героическая 250-дневная Севастопольская оборона в годы Великой Отечественной войны. С 30 октября 1941 по 4 июля 1942 года продолжалась героическая оборона Севастополя в годы Великой Отечественной войны. До войныСевастополь был подготовлен только для обороны с моря и воздуха. Севастопольский гарнизон насчитывал около 23 тысяч человек и имел около 150 полевых и береговых орудий, 82 самолета. Оборона с моря осуществлялась береговой артиллерией и кораблями Черноморского флота. Система сухопутной обороны города стала создаваться с июля 1941 года. Она состояла из трех рубежей: передового, главного и тылового, оборудование которых к моменту выхода противника на ближние подступы к городу (30 октября) не было закончено. Всего было сооружено 82 </w:t>
      </w:r>
      <w:r w:rsidRPr="001E2C69">
        <w:rPr>
          <w:rFonts w:ascii="Times New Roman" w:hAnsi="Times New Roman"/>
          <w:color w:val="000000" w:themeColor="text1"/>
          <w:sz w:val="16"/>
          <w:szCs w:val="16"/>
        </w:rPr>
        <w:lastRenderedPageBreak/>
        <w:t>артиллерийских дота с морскими орудиями и 220 пулеметных дотов и дзотов, 33 километров противотанкового рва, 56 километров проволочных заграждений, установлено 9600 мин. Войска 11-й немецкой армии, прорвавшиеся в октябре 1941 года в Крым, 30-31 октября и в первых числах ноября предприняли попытку с ходу овладеть городом. Эти попытки были отражены севастопольским гарнизоном при поддержке корабельной артиллерии и авиации. В первых же боях защитники города проявили стойкость и героизм, сопротивляясь ударам превосходящих сил врага. В боях в районе Дуванкоя бессмертный подвиг совершили морские пехотинцы во главе с политруком Н.Д.Фильченковым, ценой жизни остановившие танки противника. Большую помощь в обороне оказывало население города. После провала попытки с ходу овладеть Севастополем, немецкое командование предприняло еще три крупных наступления на город - в ноябре и декабре 1941, а также в мае-июне 1942 года. Особенно мощной была третья атака. Противник имел двукратное превосходство в живой силе, более чем трехкратное в артиллерии, десятикратное в танках и самолетах. С 27 мая Севастополь непрерывно подвергался ударам немецкой авиации и артиллерии, а 7 июня началось наступление. К середине июня противнику удалось прорваться к побережью Северной бухты. Защитники города оказывали ожесточенное сопротивление, но силы их были на исходе, потери росли, кончались боеприпасы, продовольствие, питьевая вода. 30 июня остатки войск стали отходить из Севастополя к Бухтам Стрелецкая, Камышевая, Казачья и на мыс Херсонес, где продолжали борьбу до 4 июля. Часть защитников города была эвакуирована, часть прорвалась в горы к партизанам. С 4 июля 1942 по 9 мая 1944 года Севастополь был оккупирован немецко-фашистскими войсками; освобожден в ходе Крымской операции 1944 года. Оборона Севастополя продолжалась 250 дней. Она имела важное военно-политическое и стратегическое значение, сковав крупные силы противника на южном крыле советско-германского фронта и не позволив ему развернуть наступление на Кавказ. В ходе обороны было достигнуто четкое взаимодействие между армией, флотом и авиацией в результате создания единого командования и правильной организации управления. В борьбе за город противник потерял около 300 тысяч человек убитыми и ранеными. Севастопольская оборона вошла в историю как пример массового героизма и самопожертвования защитников города. Более 30 человек были удостоены звания Героя Советского Союза. 22 декабря 1942 года учреждена медаль «За оборону Севастополя», которой награждено свыше 30 тысяч человек. Севастополю присвоено звание город-герой. День памяти и скорби по погибшим в боях героическим защитникам Севастополя. Отмечается в первое воскресенье июля по решению сессии Севастопольского горсовета (июнь 1999 г.) (14942).</w:t>
      </w:r>
    </w:p>
    <w:p w14:paraId="626C5C6C" w14:textId="77777777" w:rsidR="00030668" w:rsidRPr="001E2C69" w:rsidRDefault="00030668" w:rsidP="00722885">
      <w:pPr>
        <w:spacing w:after="0" w:line="240" w:lineRule="auto"/>
        <w:jc w:val="both"/>
        <w:rPr>
          <w:rFonts w:ascii="Times New Roman" w:hAnsi="Times New Roman"/>
          <w:color w:val="000000" w:themeColor="text1"/>
          <w:sz w:val="16"/>
          <w:szCs w:val="16"/>
        </w:rPr>
      </w:pPr>
    </w:p>
    <w:p w14:paraId="72227F30"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4 июля</w:t>
      </w:r>
      <w:r w:rsidRPr="001E2C69">
        <w:rPr>
          <w:rFonts w:ascii="Times New Roman" w:hAnsi="Times New Roman"/>
          <w:color w:val="000000" w:themeColor="text1"/>
          <w:sz w:val="16"/>
          <w:szCs w:val="16"/>
        </w:rPr>
        <w:t xml:space="preserve"> в 1942 году на рассвете начался бой в районе Херсонеского маяка. Днем в него включились немецкие боевые катера. Среди защитников Севастополя начались самоубийственные попытки в штыки прорваться через пулеметы и уйти в горы, или уплыть на досках и бочках. К ночи сопротивление в районе Херсонеской, Казачьей, Камышовой и Пещаной бухт было подавлено. Вспоминает начальник артиллерии 95-й стралковой дивизии полковник Д.Пискунов об увиденном в Херсонеской бухте через ночь после боя: «Берег был завален трупами. Они лежали кучами и просто в ряд так, что не было где поставить ногу. Это был результат расправы озверевшего врага во время очистки этой бухты от остатков войск Приморской армии 4 июля 1942 г». (Перед боем на песке выкладывали в ряд тяжелораненых в надежде на приход кораблей для эвакуации, но немцы прорвались раньше и добивали всех на месте) (14942).</w:t>
      </w:r>
    </w:p>
    <w:p w14:paraId="30763A1E" w14:textId="77777777" w:rsidR="00030668" w:rsidRPr="001E2C69" w:rsidRDefault="00030668" w:rsidP="00722885">
      <w:pPr>
        <w:spacing w:after="0" w:line="240" w:lineRule="auto"/>
        <w:jc w:val="both"/>
        <w:rPr>
          <w:rFonts w:ascii="Times New Roman" w:hAnsi="Times New Roman"/>
          <w:color w:val="000000" w:themeColor="text1"/>
          <w:sz w:val="16"/>
          <w:szCs w:val="16"/>
        </w:rPr>
      </w:pPr>
    </w:p>
    <w:p w14:paraId="42A0571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г. после падения Севастополя и отхода к Новороссийску советская авиация лишилась многих своих береговых баз и посадочных площадок. Немцы в этот период завладели аэродромами под Новороссийском и в Тамани. Используя свое преимущество, противник настойчиво пытался заблокировать два советских аэродрома в Геленджике (сухопутный и морской) и полностью уничтожить все базирующиеся здесь самолеты. Налеты, бомбардировки и блокирование этих аэродромов происходили постоянно. По свидетельству майора в отставке Федора Пантелеевича Мамай (в 1942 г. ст. техника по вооружению самолетов), в отношении МТБ-2 существовало предписание (или приказ) - каждый его взлет обеспечивать охраной истребителей. В противном случае эту заметную машину могли сбить на взлете немецкие истребители, которые неустанно барражировали вдоль прибрежных отрогов кавказского хребта (11962).</w:t>
      </w:r>
    </w:p>
    <w:p w14:paraId="1C3A883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8884EB"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на рассвете начался бой в районе Херсонеского маяка. Днем в него включились немецкие боевые катера. Среди защитников Севастополя начались самоубийственные попытки в штыки прорваться через пулеметы и уйти в горы, или уплыть на досках и бочках. К ночи сопротивление в районе Херсонеской, Казачьей, Камышовой и Пещаной бухт было подавлено. Вспоминает начальник артиллерии 95-й сд полковник Д.Пискунов об увиденном в Херсонеской бухте через ночь после боя: “Берег был завален трупами. Они лежали кучами и просто в ряд так, что не было где поставить ногу. Это был результат расправы озверевшего врага во время очистки этой бухты от остатков войск Приморской армии 4 июля 1942 г”. (Перед боем на песке выкладывали в ряд тяжелораненых в надежде на приход кораблей для эвакуации, но немцы прорвались раньше и добивали всех на месте) (4963 ).</w:t>
      </w:r>
    </w:p>
    <w:p w14:paraId="6C5FE42A"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C11353"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1942 бои еще продолжались на берегах Карантинной и Стрелецкой бухт Севастополя. К вечеру подавлены последние очаги сопротивления. Многие в отчаянии бросались в море вплавь, отвергая плен. При попытке вырваться из окружения в верховье Казачьей бухты на Юхарину балку погибли последние бойцы 25-й Чапаевской сд во главе с начальником связи дивизии. 80 бойцов 95-й сд погибли в развалинах 35-й батареи после немецкой атаки с огнеметами. Четверо неизвестных солдат и политрук приняли бой с тремя танками и взводом автоматчиков на мысе Фиолент, отбили атаку, а затем покончили с собой (4963).</w:t>
      </w:r>
    </w:p>
    <w:p w14:paraId="4B0F1890"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2E3C1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л Потапов сумел таранить Bf.109 (3295).</w:t>
      </w:r>
    </w:p>
    <w:p w14:paraId="11C4B1F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EB7E7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части 4-й танковой армии немцев вышли на подступы к Воронежу, форсировали Дон и ворвались на западную окраину города.</w:t>
      </w:r>
    </w:p>
    <w:p w14:paraId="025F3DC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тот же день начальник Генерального Штаба генерал-полковник А. Василевский, прибывший в район Ельца, лично поставил боевую задачу командующему 5-й танковой армией, при этом операцию было приказано начать не позднее 15-16 часов 5 июля, не ожидая полного сосредоточения всех сил армии.</w:t>
      </w:r>
    </w:p>
    <w:p w14:paraId="1AD1A4A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Формирование 5-й танковой армии началось в последних числах мая 1942 года, и к концу июня в ее состав входили 2-й (26, 27, 148-я танковые, 2-я мотострелковая бригады) и 11-й (53, 59, 160-я танковые, 12-я мотострелковая бригады) танковые корпуса, 340-я стрелковая дивизия, 19-я отдельная танковая бригада, 66-й гвардейский минометный полк, 611-й легкий артиллерийский полк РГК, отдельный батальон связи, отдельный зенитный дивизион и рота охраны штаба армии. Командующим армией назначили гвардии генерал-майора Александра Ильича Лизюкова. Дополнительно, директивой Ставки ВГК, полученной в 2 часа ночи 5 июля, в состав армии включили 7-й танковый корпус (3-я гвардейская, 62, 87-я танковые, 7-я мотострелковая бригады). Всего с учетом 7-го корпуса, к 5 июля 1942 года в составе 5-й танковой армии имелся 641 танк, из них 228 Т-34 (35,5% общего количества).</w:t>
      </w:r>
    </w:p>
    <w:p w14:paraId="77A67EB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Одновременно с этим, штаб 5-й танковой армии получил задачу «нанести удар в направлении Зем- лянск, Хохол, перехватить коммуникации танковой группы противника, прорывавшейся к реке Дон на Воронеж и, действуя по ее тылам, сорвать его переправу через Дон и помочь выходу частей 40-й армии, ведущих бой в районе Касторной». Причем Ставка ВГК требовала начать операцию не дожидаясь сосредоточения всех частей 5-й танковой армии, «вводя 2 и 11-й танковые корпуса в бой по-бригадно».</w:t>
      </w:r>
    </w:p>
    <w:p w14:paraId="4957765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Бывший начальник штаба Брянского фронта, генерал армии М.И. Казаков впоследствии, вспоминал: «Вместо того чтобы организовать одновременную массовую атаку танков силами, хотя бы четырех-пяти бригад на фронте 12-15 километров, командиры корпусов вводили их в бой прямо из колонн по методу ввода в готовый прорыв с выделением передовых батальонов, примерно по два батальона от корпуса. В итоге наступление танковых корпусов свелось, по существу, к боевым действиям только этих передовых батальонов, а остальные их силы стояли на месте и несли неоправданно большие потери от немецкой авиации. Но дажеэти весьма слабые удары вынудили противника повернуть на север обе тенковые дивизии 24-го танкового корпуса</w:t>
      </w:r>
    </w:p>
    <w:p w14:paraId="3B62BA7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Части армии выходили в районы сосреточения в течение 6-го и утра 7.07. 1942 года. Поэтому утром 6.07 нанести контрудар смог только 7-й танковый корпус, половина бригад которого находилась во втором эшелоне и резерве. В ходе атаки части корпуса встретились с танками наступавшей 11-й танковой дивизией вермахта, с которыми вели бой в теченее всего дня.</w:t>
      </w:r>
    </w:p>
    <w:p w14:paraId="55978A0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7 часов утра 7 июля части 7-го и подошедшего 11-го танкового корпуса вновь перешли в атаку и отбросили немецкие части на рубеж Пере- коповка. Озерки, Каменка. Утром 8 июля бригады 7 и 11-го корпусов вновь атаковали противника и вышли на реку Сухая Верейка.</w:t>
      </w:r>
    </w:p>
    <w:p w14:paraId="3196BD2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18.30 7 июля в штаб 5-й танковой армии получил следующую директиву: «Товарищ Сталин приказал во что бы то ни стало сегодня взять Землянск. 2-й танковый корпус ни в коем случае не выдвигать, а держать его во втором эшелоне. Отдельными машинами прорываться подальше и громить тылы и транспорты противника».</w:t>
      </w:r>
    </w:p>
    <w:p w14:paraId="7EE36B1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Однако поставленную задачу корпуса 5-й танковой армии выполнить не смогли - наши танки были остановлены сильным огнем артиллерии и танков противника. Кроме того, заболоченный ручей Кобылья Снова и река Сухая Верейка оказались непроходимыми для танков, что сильно снизило темп наступления. Но особенно большой урон наносила немецкая авиация, которая непрерывно бомбила боевые порядки, тылы и коммуникации 5-й танковой армии. Наиболее активно самолеты люфтваффе действовали с 14.00 8 июля, когда бомбардировщики группами по 12-20 машин бомбили некоторые объекты по 7-9 раз.</w:t>
      </w:r>
    </w:p>
    <w:p w14:paraId="7591319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Командир 5-й танковой армии генерал-майор А.И. Лизюков требовал от командования Брянского фронта надежного авиационного прикрытия: «Прикройте нас с воздуха, и мы сделаем все. что необходимо. Вы не дали мне нанести удар железным кулаком, заставили вводить армию в бой по частям, так хоть теперь сделайте по-моему - дайте авиацию, иначе все погибнет». Однако надежной поддержки с воздуха армия так и не получила (12217).</w:t>
      </w:r>
    </w:p>
    <w:p w14:paraId="5E286A03"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F77CE2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немцы на широком фронте вышли к Дону (2261).</w:t>
      </w:r>
    </w:p>
    <w:p w14:paraId="422D936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7D98D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сталинградский городской комитет обороны принял постановление «О мерах усиления противопожарной обороны г. Сталинграда», в котором, в частности, говорилось:</w:t>
      </w:r>
    </w:p>
    <w:p w14:paraId="125D143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 xml:space="preserve">«Начальнику МПВО Д.М. Пигалеву (председателю горсовета депутатов трудящихся) в декадный срок: </w:t>
      </w:r>
    </w:p>
    <w:p w14:paraId="17DD975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а) привести в полную боевую готовность все имеющиеся противопожарные звенья групп самозащиты жилых домов, учреждений и предприятий и Комсомольске-молодежные взводы и участковые команды МПВО, полностью их укомплектовать и оснастить положенным по табелю имуществом…, </w:t>
      </w:r>
    </w:p>
    <w:p w14:paraId="2B02B24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установить непрерывное несение пожарной постовой службы в жилых, общественных и производственных зданиях…» </w:t>
      </w:r>
    </w:p>
    <w:p w14:paraId="217E1BF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Принимались и другие меры по усилению средств местной противовоздушной обороны: совершенствовались линии телефонной и радиосвязи для зенитной артиллерии и прожекторных станций, повысилась требовательность к соблюдению светомаскировки. Все формирования МПВО отныне находились на казарменном положении. Жители города вновь принялись рыть пожарные водоемы, восстанавливать старые и строить новые убежища и щели. Многие делали это с неохотой, поскольку не верили в возможность массированной бомбежки города, находящегося далеко от линии фронта.</w:t>
      </w:r>
    </w:p>
    <w:p w14:paraId="7E02D7B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 дни, пожалуй, только руководство «Волготанкера» пребывало в хорошем настроении. К этому времени из Астрахани были вывезены практически все запасы нефтепродуктов. Только за июнь по волжской артерии прошли более 1,3 млн т! Нефтебазы в Камышине, Саратове, Сызрани, Казани, Горьком и др. городах были заполнены до отказа. Что будет дальше, никто не знал, поэтому едва с Каспийского моря прибывал очередной танкер, нефть сразу же перекачивали на речные суда и как можно быстрее отправляли вверх по течению (11774).</w:t>
      </w:r>
    </w:p>
    <w:p w14:paraId="4E19BE2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9FB235"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Жизнь и внутренняя политика:</w:t>
      </w:r>
    </w:p>
    <w:p w14:paraId="25847A4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53427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вышло Постановление ГКО № 1978 Об эвакуации Россошанского. птицекомбината. РГАНИР, Фонд ГКО, д. 41, лл. 150 (11012).</w:t>
      </w:r>
    </w:p>
    <w:p w14:paraId="2329BF2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97E31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вышло Постановление ГКО № 1980 Об эвакуации населения из г.Воронежа. РГАНИР, Фонд ГКО, д. 41, лл. 153 (11012).</w:t>
      </w:r>
    </w:p>
    <w:p w14:paraId="44EE9BC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DA04C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вышло Постановление ГКО № 1983 Об эвакуации семей начсостава из прифронтовой полосы Брянского фронта. РГАНИР, Фонд ГКО, д. 41, лл. 156 (11012).</w:t>
      </w:r>
    </w:p>
    <w:p w14:paraId="16F5C24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29CC11"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 Луцке фашистами расстреляны до 4 тысяч человек (4962).</w:t>
      </w:r>
    </w:p>
    <w:p w14:paraId="77869891"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97DE34"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1E2C69">
        <w:rPr>
          <w:rFonts w:ascii="Times New Roman" w:hAnsi="Times New Roman"/>
          <w:i/>
          <w:iCs/>
          <w:color w:val="000000" w:themeColor="text1"/>
          <w:sz w:val="16"/>
          <w:szCs w:val="16"/>
        </w:rPr>
        <w:t>За</w:t>
      </w:r>
      <w:r w:rsidRPr="001E2C69">
        <w:rPr>
          <w:rFonts w:ascii="Times New Roman" w:hAnsi="Times New Roman"/>
          <w:i/>
          <w:iCs/>
          <w:color w:val="000000" w:themeColor="text1"/>
          <w:sz w:val="16"/>
          <w:szCs w:val="16"/>
          <w:lang w:val="en-US"/>
        </w:rPr>
        <w:t xml:space="preserve"> </w:t>
      </w:r>
      <w:r w:rsidRPr="001E2C69">
        <w:rPr>
          <w:rFonts w:ascii="Times New Roman" w:hAnsi="Times New Roman"/>
          <w:i/>
          <w:iCs/>
          <w:color w:val="000000" w:themeColor="text1"/>
          <w:sz w:val="16"/>
          <w:szCs w:val="16"/>
        </w:rPr>
        <w:t>рубежом</w:t>
      </w:r>
      <w:r w:rsidRPr="001E2C69">
        <w:rPr>
          <w:rFonts w:ascii="Times New Roman" w:hAnsi="Times New Roman"/>
          <w:i/>
          <w:iCs/>
          <w:color w:val="000000" w:themeColor="text1"/>
          <w:sz w:val="16"/>
          <w:szCs w:val="16"/>
          <w:lang w:val="en-US"/>
        </w:rPr>
        <w:t>:</w:t>
      </w:r>
    </w:p>
    <w:p w14:paraId="3A34172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7B6A129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lang w:val="en-US"/>
        </w:rPr>
        <w:t>July 4 1942 American crews participate in Royal Air Force raid on airfields in the Netherlands, in the first United States air operation in Europe (1037).</w:t>
      </w:r>
    </w:p>
    <w:p w14:paraId="2F57BF6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4560A1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rPr>
        <w:t xml:space="preserve">4 июля 1942 американские экипажи первый раз приняли участие в рейде RAF на Европу (Голландию) </w:t>
      </w:r>
      <w:r w:rsidRPr="001E2C69">
        <w:rPr>
          <w:rFonts w:ascii="Times New Roman" w:hAnsi="Times New Roman"/>
          <w:color w:val="000000" w:themeColor="text1"/>
          <w:sz w:val="16"/>
          <w:szCs w:val="16"/>
          <w:lang w:val="en-US"/>
        </w:rPr>
        <w:t>(1037).</w:t>
      </w:r>
    </w:p>
    <w:p w14:paraId="03CEC98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F156B4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lang w:val="en-US"/>
        </w:rPr>
        <w:t>July 4, 1942. The first Army Air Force bomber mission over western Europe in World War II is flown by B 17s of the 97th Bombardment Group against the Rouen-Sotteville Railyards in France (1089).</w:t>
      </w:r>
    </w:p>
    <w:p w14:paraId="63C2321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C08F41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В-17 ВВС США бомбили цели во Франции (1089).</w:t>
      </w:r>
    </w:p>
    <w:p w14:paraId="6E88549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212C7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lang w:val="en-US"/>
        </w:rPr>
        <w:t>July 4th, 1942: Off the northern coast of Norway, German U-boats and Luftwaffe torpedo planes attack Convoy PQ-17 bound for Murmansk. Over a period of 6 days, they sink 24 ships out of a total of 37. In the East, the German 11.Armee (von Manstein) completes the occupation of the Crimea, taking 97,000 Soviet prisoners. For the first time, 6 B-17s of the US 8th Air Force join an RAF bomber formation in raids on German airfields in Holland (3819).</w:t>
      </w:r>
    </w:p>
    <w:p w14:paraId="36B2EF4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1E77C58" w14:textId="4F920222" w:rsidR="00C64375" w:rsidRPr="001E2C69" w:rsidRDefault="00C6437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B-17 ВВС США летят на первую бомбардировку в Европе, - на железнодорожный узел Руан-Соттевиль во Франции (22440).</w:t>
      </w:r>
    </w:p>
    <w:p w14:paraId="2899F2E5" w14:textId="77777777" w:rsidR="00C64375" w:rsidRPr="001E2C69" w:rsidRDefault="00C64375" w:rsidP="00722885">
      <w:pPr>
        <w:pStyle w:val="article-renderblock"/>
        <w:shd w:val="clear" w:color="auto" w:fill="FFFFFF"/>
        <w:spacing w:before="0" w:beforeAutospacing="0" w:after="0" w:afterAutospacing="0"/>
        <w:jc w:val="both"/>
        <w:rPr>
          <w:color w:val="000000" w:themeColor="text1"/>
          <w:sz w:val="16"/>
          <w:szCs w:val="16"/>
        </w:rPr>
      </w:pPr>
    </w:p>
    <w:p w14:paraId="09932761"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4 июля</w:t>
      </w:r>
      <w:r w:rsidRPr="001E2C69">
        <w:rPr>
          <w:rFonts w:ascii="Times New Roman" w:hAnsi="Times New Roman"/>
          <w:color w:val="000000" w:themeColor="text1"/>
          <w:sz w:val="16"/>
          <w:szCs w:val="16"/>
        </w:rPr>
        <w:t xml:space="preserve"> в 1942 году первая американская бомбардировка оккупированной территории Европы (14942).</w:t>
      </w:r>
    </w:p>
    <w:p w14:paraId="6D5A75DF" w14:textId="77777777" w:rsidR="00030668" w:rsidRPr="001E2C69" w:rsidRDefault="00030668" w:rsidP="00722885">
      <w:pPr>
        <w:spacing w:after="0" w:line="240" w:lineRule="auto"/>
        <w:jc w:val="both"/>
        <w:rPr>
          <w:rFonts w:ascii="Times New Roman" w:hAnsi="Times New Roman"/>
          <w:color w:val="000000" w:themeColor="text1"/>
          <w:sz w:val="16"/>
          <w:szCs w:val="16"/>
        </w:rPr>
      </w:pPr>
    </w:p>
    <w:p w14:paraId="4268F0B6" w14:textId="77777777" w:rsidR="00030668" w:rsidRPr="001E2C69" w:rsidRDefault="000306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4 июля</w:t>
      </w:r>
      <w:r w:rsidRPr="001E2C69">
        <w:rPr>
          <w:rFonts w:ascii="Times New Roman" w:hAnsi="Times New Roman"/>
          <w:color w:val="000000" w:themeColor="text1"/>
          <w:sz w:val="16"/>
          <w:szCs w:val="16"/>
        </w:rPr>
        <w:t xml:space="preserve"> в 1942 году около 22.00 контр-адмирал Л.К.Г.Гамильтон, находящийся на флагмане "Лондон" и осуществляющий ближнее прикрытие конвоя PQ-17, следующего в Мурманск, получает от Адмиралтейства приказ, имеющий гриф "Особо срочно": "Крейсерам на полной скорости отойти на запад". Через несколько минут он получает новый приказ, имеющий гриф "Срочно": "Ввиду угрозы надводных кораблей конвою рассредоточиться и следовать в русские порты". За ней следует еще одна радиограмма с грифом "Особо срочно", подтверждающая предыдущую: "Конвою рассеяться". В 22.15 крейсера покидают конвой. С этого момента начинается самая грандиозная катастрофа в истории полярных конвоев второй мировой. Она будет продолжаться до 28 июля, когда в Мурманск придет последний уцелевший корабль. В результате разгрома общее количество уцелевших транспортов составило 11. Из 35 транспортов и 1 танкера, начавших переход, 2 судна вернулись назад, 13 транспортов и 1 спасательное судно были потоплены самолетами, 10 были потоплены подводными лодками. Немцы потеряли всего 6 самолетов. Из 156492 тонн грузов до цели дошли только 57176 тонн. Погибли 430 танков, 210 самолетов и 3350 автомобилей, чего хватило бы для оснащения армии. Позднее стало известно, что немцы использовали для атаки конвоя 202 самолета, в том числе 130 бомбардировщиков, 43 торпедоносца и 29 разведчиков. Споры о причинах и виновных в катастрофе не утихли до сих пор (14942).</w:t>
      </w:r>
    </w:p>
    <w:p w14:paraId="4EE743F8" w14:textId="77777777" w:rsidR="00030668" w:rsidRPr="001E2C69" w:rsidRDefault="00030668" w:rsidP="00722885">
      <w:pPr>
        <w:spacing w:after="0" w:line="240" w:lineRule="auto"/>
        <w:jc w:val="both"/>
        <w:rPr>
          <w:rFonts w:ascii="Times New Roman" w:hAnsi="Times New Roman"/>
          <w:color w:val="000000" w:themeColor="text1"/>
          <w:sz w:val="16"/>
          <w:szCs w:val="16"/>
        </w:rPr>
      </w:pPr>
    </w:p>
    <w:p w14:paraId="1927505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июля 1942 после воздушных атак на PQ-17 эскорт ушел и конвой распался (2261).</w:t>
      </w:r>
    </w:p>
    <w:p w14:paraId="144306B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6612F1"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Авиапромышленность:</w:t>
      </w:r>
    </w:p>
    <w:p w14:paraId="68F18DA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D515C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1942 Нач. ГРУ Генштаба г-м танковых войск Панфилов и Военком Ильичев писали письмо N 138616 А.И.Ш.:</w:t>
      </w:r>
    </w:p>
    <w:p w14:paraId="2AB1CE7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"Направляю переводы с немецких документов, изъятых с самолета, сбитого 25 июня 1942 на ЮЗФ. Из документов следует, что немцы создают штурмовую авиацию, одной из задач которой является борьба с танками. Для борьбы с танками применяется Хе-129, на котором наряду с другим вооружением, устанавливается автоматическая пушка ЛЕК-101 калибра 30 мм со скорострельностью 240 выстрелов в минуту. В перспективе на самолете предусмотрена установка пушки МК-103 со скорострельностью вдвое выше, чем у МК-101.</w:t>
      </w:r>
    </w:p>
    <w:p w14:paraId="024A43D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Результаты проведенных полигонных стрельб по нашим танкам типа КВ, показывают, что из МК-101 пробивается броня толщиной до 120 мм." (1633,118).</w:t>
      </w:r>
    </w:p>
    <w:p w14:paraId="761825D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710B3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1942 Зам. Гл. военного прокурора Гаврилов писал письмо Зам. НКО Новикову письмо N 1/6214:</w:t>
      </w:r>
    </w:p>
    <w:p w14:paraId="66C91B6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связи с неоднократными случаями летных происшествий и катастроф в ЗАБ, базирующийся на ст. Белой, Иркутской обл.... было установлено, что из 12 самолетов, потерпевших аварию - 11 конструкции Пе-2 выпускаемые заводом 39 в Иркутске...</w:t>
      </w:r>
    </w:p>
    <w:p w14:paraId="4C2DC62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Кроме того, были проверены самолеты, уже выпущенные с завода и находящиеся в частях ВВС.</w:t>
      </w:r>
    </w:p>
    <w:p w14:paraId="1318217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31 самолете были обнаружены 41 деталь, оказавшаяся производственным браком... (1633,139).</w:t>
      </w:r>
    </w:p>
    <w:p w14:paraId="1FC95EE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4B6B8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1942 г. в Новосибирске на аэродроме ГВФ закончились совместные заводские и государственные испытания И-185 М-82 «И», которые проходили с 13 апреля 1942. Всего было произведено 42 полета с налетом 31 час 58 минут. От завод №51 летал Логинов, от НИИ ВВС - Никашин. Максимальная скорость у земли на форса же составила 549 км/ч, на высоте 6470 м - 615 км/ч. Указывалось, что И-185 М-82А «по своим летным данным в основном соответствует со</w:t>
      </w:r>
      <w:r w:rsidRPr="001E2C69">
        <w:rPr>
          <w:rFonts w:ascii="Times New Roman" w:hAnsi="Times New Roman"/>
          <w:color w:val="000000" w:themeColor="text1"/>
          <w:sz w:val="16"/>
          <w:szCs w:val="16"/>
        </w:rPr>
        <w:softHyphen/>
        <w:t>временным требованиям ВВС Красной Армии» и может быть рекомендован для постройки вой</w:t>
      </w:r>
      <w:r w:rsidRPr="001E2C69">
        <w:rPr>
          <w:rFonts w:ascii="Times New Roman" w:hAnsi="Times New Roman"/>
          <w:color w:val="000000" w:themeColor="text1"/>
          <w:sz w:val="16"/>
          <w:szCs w:val="16"/>
        </w:rPr>
        <w:softHyphen/>
        <w:t>сковой серии. Предлагалось устранить недо</w:t>
      </w:r>
      <w:r w:rsidRPr="001E2C69">
        <w:rPr>
          <w:rFonts w:ascii="Times New Roman" w:hAnsi="Times New Roman"/>
          <w:color w:val="000000" w:themeColor="text1"/>
          <w:sz w:val="16"/>
          <w:szCs w:val="16"/>
        </w:rPr>
        <w:softHyphen/>
        <w:t>статки и довести самолет до боевого состоя</w:t>
      </w:r>
      <w:r w:rsidRPr="001E2C69">
        <w:rPr>
          <w:rFonts w:ascii="Times New Roman" w:hAnsi="Times New Roman"/>
          <w:color w:val="000000" w:themeColor="text1"/>
          <w:sz w:val="16"/>
          <w:szCs w:val="16"/>
        </w:rPr>
        <w:softHyphen/>
        <w:t>ния вместе с М-71 №6204 не позднее 15 авгус</w:t>
      </w:r>
      <w:r w:rsidRPr="001E2C69">
        <w:rPr>
          <w:rFonts w:ascii="Times New Roman" w:hAnsi="Times New Roman"/>
          <w:color w:val="000000" w:themeColor="text1"/>
          <w:sz w:val="16"/>
          <w:szCs w:val="16"/>
        </w:rPr>
        <w:softHyphen/>
        <w:t>та 1942 г. (9979).</w:t>
      </w:r>
    </w:p>
    <w:p w14:paraId="67684A0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EC7BF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1942 г. И-185 М-82 летчик НИИ ВВС Никашин приземлился вне границ аэродрома и снес шасси (9979).</w:t>
      </w:r>
    </w:p>
    <w:p w14:paraId="595C2D2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3E535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1942 года И-185 М-82 на посадке потерпел аварию (10686).</w:t>
      </w:r>
    </w:p>
    <w:p w14:paraId="321026B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A9385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1942 г. И-185 с М-82А, оснащенный винтом изменяемого шага АВ-5-119, потерпел аварию. Летчик А.И.Никашин из-за ошибки в пилотировании разбил машину при заходе на посадку. Самолет отправили на завод для ремонта. В заключении по летным испытани</w:t>
      </w:r>
      <w:r w:rsidRPr="001E2C69">
        <w:rPr>
          <w:rFonts w:ascii="Times New Roman" w:hAnsi="Times New Roman"/>
          <w:color w:val="000000" w:themeColor="text1"/>
          <w:sz w:val="16"/>
          <w:szCs w:val="16"/>
        </w:rPr>
        <w:softHyphen/>
        <w:t>ям И-185 с М-82А указывалось, что самолет их выдержал и что его летные данные соответствуют тактико-техниче</w:t>
      </w:r>
      <w:r w:rsidRPr="001E2C69">
        <w:rPr>
          <w:rFonts w:ascii="Times New Roman" w:hAnsi="Times New Roman"/>
          <w:color w:val="000000" w:themeColor="text1"/>
          <w:sz w:val="16"/>
          <w:szCs w:val="16"/>
        </w:rPr>
        <w:softHyphen/>
        <w:t>ским требованиям ВВС КА. Рекомендовалось запустить И-185 с М-82А в серийное производство (10667).</w:t>
      </w:r>
    </w:p>
    <w:p w14:paraId="66E2DB2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FE9C4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5 июля 1942 закончились гос. испытания второго варианта И-185 с М-82А, которые проходили с 13 апреля (228,165).</w:t>
      </w:r>
    </w:p>
    <w:p w14:paraId="6DBDDDE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другим данным они проводились с 13 июня (662,63).</w:t>
      </w:r>
    </w:p>
    <w:p w14:paraId="27F5E04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A9A7B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1942 был составлен аварийный акт по аварии СБ N 3741 в районе Стаханово-Раменки из-за поломки тормозов (2131).</w:t>
      </w:r>
    </w:p>
    <w:p w14:paraId="6D92BEA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1E2C69" w:rsidRPr="001E2C69" w14:paraId="7851CBC6" w14:textId="77777777" w:rsidTr="00CC5360">
        <w:tc>
          <w:tcPr>
            <w:tcW w:w="675" w:type="dxa"/>
            <w:tcBorders>
              <w:top w:val="single" w:sz="12" w:space="0" w:color="auto"/>
            </w:tcBorders>
          </w:tcPr>
          <w:p w14:paraId="31A859C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п/п</w:t>
            </w:r>
          </w:p>
        </w:tc>
        <w:tc>
          <w:tcPr>
            <w:tcW w:w="993" w:type="dxa"/>
            <w:tcBorders>
              <w:top w:val="single" w:sz="12" w:space="0" w:color="auto"/>
            </w:tcBorders>
          </w:tcPr>
          <w:p w14:paraId="22898DD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Дата</w:t>
            </w:r>
          </w:p>
        </w:tc>
        <w:tc>
          <w:tcPr>
            <w:tcW w:w="708" w:type="dxa"/>
            <w:tcBorders>
              <w:top w:val="single" w:sz="12" w:space="0" w:color="auto"/>
            </w:tcBorders>
          </w:tcPr>
          <w:p w14:paraId="1213942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Заводов</w:t>
            </w:r>
          </w:p>
        </w:tc>
        <w:tc>
          <w:tcPr>
            <w:tcW w:w="1418" w:type="dxa"/>
            <w:tcBorders>
              <w:top w:val="single" w:sz="12" w:space="0" w:color="auto"/>
            </w:tcBorders>
          </w:tcPr>
          <w:p w14:paraId="1427593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Летчик</w:t>
            </w:r>
          </w:p>
        </w:tc>
        <w:tc>
          <w:tcPr>
            <w:tcW w:w="2364" w:type="dxa"/>
            <w:tcBorders>
              <w:top w:val="single" w:sz="12" w:space="0" w:color="auto"/>
            </w:tcBorders>
          </w:tcPr>
          <w:p w14:paraId="44972E0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76CED86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Краткое описание и причины происшествия</w:t>
            </w:r>
          </w:p>
        </w:tc>
      </w:tr>
      <w:tr w:rsidR="001E2C69" w:rsidRPr="001E2C69" w14:paraId="7395035A" w14:textId="77777777" w:rsidTr="00CC5360">
        <w:tc>
          <w:tcPr>
            <w:tcW w:w="675" w:type="dxa"/>
            <w:tcBorders>
              <w:bottom w:val="single" w:sz="12" w:space="0" w:color="auto"/>
            </w:tcBorders>
          </w:tcPr>
          <w:p w14:paraId="750366A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42</w:t>
            </w:r>
          </w:p>
        </w:tc>
        <w:tc>
          <w:tcPr>
            <w:tcW w:w="993" w:type="dxa"/>
            <w:tcBorders>
              <w:bottom w:val="single" w:sz="12" w:space="0" w:color="auto"/>
            </w:tcBorders>
          </w:tcPr>
          <w:p w14:paraId="1E8550D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1942</w:t>
            </w:r>
          </w:p>
        </w:tc>
        <w:tc>
          <w:tcPr>
            <w:tcW w:w="708" w:type="dxa"/>
            <w:tcBorders>
              <w:bottom w:val="single" w:sz="12" w:space="0" w:color="auto"/>
            </w:tcBorders>
          </w:tcPr>
          <w:p w14:paraId="7B7BD31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ЛИИ Раменское</w:t>
            </w:r>
          </w:p>
        </w:tc>
        <w:tc>
          <w:tcPr>
            <w:tcW w:w="1418" w:type="dxa"/>
            <w:tcBorders>
              <w:bottom w:val="single" w:sz="12" w:space="0" w:color="auto"/>
            </w:tcBorders>
          </w:tcPr>
          <w:p w14:paraId="585D60D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Д.С.Зосим</w:t>
            </w:r>
          </w:p>
        </w:tc>
        <w:tc>
          <w:tcPr>
            <w:tcW w:w="2364" w:type="dxa"/>
            <w:tcBorders>
              <w:bottom w:val="single" w:sz="12" w:space="0" w:color="auto"/>
            </w:tcBorders>
          </w:tcPr>
          <w:p w14:paraId="1159B39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Авария СБ транспортного</w:t>
            </w:r>
          </w:p>
        </w:tc>
        <w:tc>
          <w:tcPr>
            <w:tcW w:w="4440" w:type="dxa"/>
            <w:tcBorders>
              <w:bottom w:val="single" w:sz="12" w:space="0" w:color="auto"/>
            </w:tcBorders>
          </w:tcPr>
          <w:p w14:paraId="394A546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посадке с неработающим двигателем из-за недостаточности давления л допустил ошибку, выключив моторы, что привело к резкому развороту с-та и поломке левой ноги</w:t>
            </w:r>
          </w:p>
        </w:tc>
      </w:tr>
    </w:tbl>
    <w:p w14:paraId="36AE914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(2108,266)</w:t>
      </w:r>
    </w:p>
    <w:p w14:paraId="620814C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11004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1944 г. по приказу № 424с завод № 482 перебазирован на площадку ликвидируемого завода № 89 НКАП (Ленинградское ш., 55) и слит с его частью под прежним названием- завод № 482. Мясищеву передана часть оборудования и личного состава завода № 89.</w:t>
      </w:r>
    </w:p>
    <w:p w14:paraId="0644D80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старой территории (Ново-Владыкино) оставлена небольшая часть личного состава (в основном, охрана и обслуживающий персонал). По приказу № 655с от 11.11.1944 г. эта территория передана НИИ-1 НКАП для организации работ по реактивной авиации (образован филиал № 2 НИИ-1).</w:t>
      </w:r>
    </w:p>
    <w:p w14:paraId="1A1F25A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Далее, с 09.1944 г. (завершено в начале 1945 г.) сюда переведена из Казани основная часть ОКБ-22 В.М. Мясищева и влита в состав завода № 482.</w:t>
      </w:r>
    </w:p>
    <w:p w14:paraId="37F3831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начале 1946 г. ОКБ завода № 482 гл. конструктора В.М. Мясищева ликвидировано. В соответствии с пост. СМ от 1.02.1946 г. и приказом № 61с от 20.02.1946 г. после ликвидации ОКБ-482 завод № 482 был передан со всем оборудованием и личным составом заводу № 240 НКАП гл. конструктора С.В. Ильюшина.</w:t>
      </w:r>
    </w:p>
    <w:p w14:paraId="13F87E3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(04.1941-42 г.)- А .Я. Щербаков; и.о. директора (01-05.1943 г.)- Б.А. Новосельский; (06.1943-11.1944 г.- )- Я.М. Каневский.</w:t>
      </w:r>
    </w:p>
    <w:p w14:paraId="3F0DF52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директора (04.1941 г.-)- А.И. Меркулов.</w:t>
      </w:r>
    </w:p>
    <w:p w14:paraId="1583448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 (1941-06.1943 г.)- А.Я. Щербаков, (06.1943-46 г.)- В.М. Мясищев.</w:t>
      </w:r>
    </w:p>
    <w:p w14:paraId="67E86A3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(1946 г.-)- Е.П. Шекунов.</w:t>
      </w:r>
    </w:p>
    <w:p w14:paraId="5A40DB1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гл. конструктора (04.1941 г.-)- А.И. Меркулов.</w:t>
      </w:r>
    </w:p>
    <w:p w14:paraId="0522B46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ОКБ гл. конструктора А.Я. Щербакова при заводе № 482 НКАП</w:t>
      </w:r>
    </w:p>
    <w:p w14:paraId="1F7007E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296с от 4.04.1941 г. с завода № 289 НКАП на вновь образованный завод № 482 к 15.04.1941 г. переведено со всем оборудованием и личным составом ОКБ гл. конструктора А.Я. Щербакова и специальная конструкторская группа А.И. Меркулова.</w:t>
      </w:r>
    </w:p>
    <w:p w14:paraId="27ECB22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Работы по гермокабинам и реактивным двигателям для опытных высотных самолетов. Испытывались И-15бис и И-153 с дополнительными ПВРД. Был проект самолета с дополнительным ЖРД. Оборудование Як-7 ВРД ДМ- 4. Кроме того, работы по оборудованию самолета У-2 поплавками и подвесными кассетами (1942 г.).</w:t>
      </w:r>
    </w:p>
    <w:p w14:paraId="3E7BCF6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1037с от 2.10.1941 г. практически все работы по высотно-скоростным самолетам были свернуты (оставлена только доводка опытного планера СП-1 и работы по высотным кабинам). Одновременно по приказу № 1044с от 6.10.1941 г. для развития работ по авиационным ВРД группа А.И. Меркулова с тех. документацией, оборудованием и опытными изделиями (ВРД ДМ-1, ДМ-2, ДМ-4, ДМ-4бис, ДМ-11) переведена с завода № 482 в лабораторию № 1 ЦАГИ.</w:t>
      </w:r>
    </w:p>
    <w:p w14:paraId="2ED0433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концу 1942 г. создан Ще-2 (ведущий конструктор- И.В. Ляпин, ведупЦш по производству- В.В. Вентцель).</w:t>
      </w:r>
    </w:p>
    <w:p w14:paraId="06B0441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По приказу № 367сс от 22.06.1943 г. Щербаков освобожден от должности гл. конструктора завода № 482. В конце 1943 г. еще велись совместные работы Щербакова с ОКБ Мясищева по доводке гермокабин Як-7Б, </w:t>
      </w:r>
      <w:r w:rsidRPr="001E2C69">
        <w:rPr>
          <w:rFonts w:ascii="Times New Roman" w:hAnsi="Times New Roman"/>
          <w:color w:val="000000" w:themeColor="text1"/>
          <w:sz w:val="16"/>
          <w:szCs w:val="16"/>
          <w:lang w:val="en-US"/>
        </w:rPr>
        <w:t>JIa</w:t>
      </w:r>
      <w:r w:rsidRPr="001E2C69">
        <w:rPr>
          <w:rFonts w:ascii="Times New Roman" w:hAnsi="Times New Roman"/>
          <w:color w:val="000000" w:themeColor="text1"/>
          <w:sz w:val="16"/>
          <w:szCs w:val="16"/>
        </w:rPr>
        <w:t>-5 и Пе-2ВИ.</w:t>
      </w:r>
    </w:p>
    <w:p w14:paraId="33300FE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Затем в соответствии с пост. ГКО № 4194с от 24.09.1943 г. и приказом № 573с от 25.09.1943 г. Щербаков назначен гл. конструктором завода № 47. Тем же приказом личный состав (48 чел.), оборудование, документация и опытный образец Ще-2 № 01 к 10.1943 г. переведены на завод № 47.</w:t>
      </w:r>
    </w:p>
    <w:p w14:paraId="55DECE9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Филиал ОКБ завода № 22 гл. конструктора В.М. Мясищева, ОКБ-482 НКАП, МАП /г. Москва/</w:t>
      </w:r>
    </w:p>
    <w:p w14:paraId="5FA816C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соответствии с пост. ГКО № 3601 от 18.06.1943 г. и приказом № 367сс от 22.06.1943 г. при заводе № 482 образован филиал ОКБ завода № 22 по боевым высотным самолетам, и сюда из Омска с завода № 288 переведена часть коллектива и оборудования отдела «102» гл. конструктора В.М. Мясищева. Завод передан в распоряжение Мясищева. Тем же приказом основной конструкторский состав Мясищева переведен с завода № 288 в ОКБ и опытный цех завода № 22.</w:t>
      </w:r>
    </w:p>
    <w:p w14:paraId="4E7E924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гибели В.М. Петлякова в 06.1943 г. В.М.Мясищев возглавил его ОКБ-22 НКАП, занимавшееся созданием модификаций Пе-2. Одновременно оставался гл. конструктором ОКБ-482 НКАП.</w:t>
      </w:r>
    </w:p>
    <w:p w14:paraId="68BF952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Далее, с 09.1944 г. (завершено в начале 1945 г.) на завод № 482 переведена из Казани основная часть ОКБ-22 В.М. Мясищева (часть ОКБ, видимо, осталась на заводе № 22 для участия в работах по Б-4) и влита в состав завода № 482.</w:t>
      </w:r>
    </w:p>
    <w:p w14:paraId="18C9B25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 № 358 от 27.05.1944 г. на базе Пе-2 начата разработка скоростного бомбардировщика ДБ-108. Построено несколько опытных машин: ВМ-16 (ДБ-1-108, 5.03.1945 г.); ВМ-17 (ДБ-П-108, 06.1945 г.), на его базе по пр. № 270 от 29.06.1945 г. разработан двухместный истребитель сопровождения ДИС; ВМ-18 (ДБ-IV-108, 1945 г.); высотный ВБ-109 (ВМ-19), построен в 08.1945 г.</w:t>
      </w:r>
    </w:p>
    <w:p w14:paraId="0CCB7DC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1945 г. под руководством Мясищева проводилось изучение трофейных Ме-262; разрабатывались проекты тяжелых бомбардировщиков ДВБ-202 (ВМ-22, 1945 г.) и ДВБ-302 (ВМ-23, 1945 г.) (закрыты распоряжением Сталина, в связи с разработкой Ту-4). Разработан проект первого реактивного бомбардировщика РБ-17 (ВМ-24), в 1946 г. пост. № 2548-1065 работы прекращены.</w:t>
      </w:r>
    </w:p>
    <w:p w14:paraId="75A55B1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01.1946 г. ОКБ-482 НКАП закрыто, его сотрудники (в т.ч. конструкторы Д.А. Аверьянова, В.И. Горюнов, Б .Я. Каплиенко, М.И. Карасева, Н.И. Кубышкин, Н.М. Либерхейн, В.А. Лихачев, Д.С. Лозинский, Т.М. Никишова, В.А. Орлов, В.Н. Петрова, П.И. Прокофьев, В.В. Рогов, В.Д. Смирнов, В.М. Шокин) переведены в ОКБ-240. Мясищев назначен деканом самолетостроительного факультета МАИ.</w:t>
      </w:r>
    </w:p>
    <w:p w14:paraId="63A5523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 (1944-46 г.)- В.М. Мясищев.</w:t>
      </w:r>
    </w:p>
    <w:p w14:paraId="5850947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Ведущие конструкторы: (1944-01.1946 г.)- Л.Л. Селяков (ДВБ-202, -302, РБ-17), (1945 г.)- М.К. Янгель (ВБ- 109) (11982).</w:t>
      </w:r>
    </w:p>
    <w:p w14:paraId="265BD2A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AD0019"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Другие оборонные отрасли:</w:t>
      </w:r>
    </w:p>
    <w:p w14:paraId="26E9981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7CC8D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5 июля 1942 г. Госкомитет Обороны распорядился модернизировать Т-34 - установить командирскую башенку кругового обзора, пятискоростную КПП, дополнительные топливные баки; требовалось также усовершенствовать воздушные фильтры и систему смазки. Эти доработки были в основном осуществлены. Кроме того, в апреле 1943 г. в боекомплект пушки Ф-34 ввели подкалиберные выстрелы, что заметно увеличило бронепробиваемость системы. В 1942-1943 гг. велись работы над танком Т-43 с торсионной подвеской, усиленным лобовым бронированием (корпус до 75 мм, башня - до 90 мм). Но по ряду причин эта разработка не получила развития. В октябре 1943 г. стали заниматься проблемой повышения огневой мощи Т-34. Для установки 85-мм пушки С-53 КБ Грабина (разработчик Ф-34) предложило увеличить башню и расширить ее погон. Также компоновалась 85-мм пушка КБ Ф.Ф. Петрова. Был создан совместный образец ЗИС-С-53, установленный в новой башне с усиленным бронированием (лоб - 90 мм, борт - 75 мм). Выпуск этой машины под обозначением Т-34-85 начался в марте 1944 г. Попытку радикального усовершенствования Т-34 предприняли в 1945 г., с началом выпуска Т-44, который при равной с Т-34-85 боевой массе (31,5 т) имел лобовое бронирование корпуса 120 мм. Бронирование башни не изменилось, но ее сместили наконец-то к центру корпуса, одновременно увеличив в размерах. Тем самым постарались улучшить условия деятельности экипажа, как в бою, так и на марше (стало просторнее и уменьшилась укачиваемость). Повысилась маневренность и проходимость машины с длинноствольной пушкой (длина ствола - 50,1 калибра). Этому же способствовало использование торсионной подвески и планетарного механизма поворота. Увеличение бронирования и боевого отделения стало возможным при установке двигателя поперек корпуса. Сравним теперь наш танк с германскими соперниками. Т-III разрабатывался фирмой "Даймлер-Бенц" и выпускался серийно с 1938 г. Оснащался карбюраторным "Майбахом" мощностью 230-300 л.с. и по удельной энерговооруженности не уступал Т-34. Бронирование поначалу было противопульным, но уже в 1939 г. оно возросло до 30 мм. С середины 1940 г. танки имели бронирование 50 мм (башня и лобовой лист корпуса) и пушку калибра 50 мм, которая по бронепробиваемости на дистанциях до 500 м не уступала пушке Л-11 (при стрельбе подкалиберным выстрелом). В боекомплекте Т-34, напомним, такие выстрелы появились только в 1943 г. С лета 1941 г. преимущество в вооружении постепенно перешло к нашему танку, когда на него стали устанавливать Ф-34 (с сентября этого года машины выпускались только с такой пушкой). Поэтому с декабря 1941 г. на германский танк установили 50-мм пушку с длиной ствола 60 калибров. В 1942 г. танк Т-III по бронепробиваемости на дистанциях до 700 м превосходил Т-34 с пушкой Ф-34. Бронирование их было примерно одинаковым. Дефицит вольфрама для сердечников подкалиберных выстрелов заставил выпускать в 1942 и 1943 гг. некоторое количество танков Т-III с короткоствольной 75-мм пушкой, стрелявшей по танкам кумулятивной гранатой. При неплохой бронепробиваемости (до 70 мм) эти системы могли эффективно применяться на малых дистанциях. В 1942 г. начался массовый выпуск штурмовых орудий на шасси Т-III с пушками калибра 75 мм и длиной ствола 43 и 48 калибров, которые по бронепробиваемости имели большое превосходство перед пушкой Ф-34. Эти самоходные установки стали весьма эффективным средством боевой поддержки наиболее массового германского танка Т-IV. Машина фирмы "Крупп" выпускалась с 1938 г. и оснащалась таким же </w:t>
      </w:r>
      <w:r w:rsidRPr="001E2C69">
        <w:rPr>
          <w:rFonts w:ascii="Times New Roman" w:hAnsi="Times New Roman"/>
          <w:color w:val="000000" w:themeColor="text1"/>
          <w:sz w:val="16"/>
          <w:szCs w:val="16"/>
        </w:rPr>
        <w:lastRenderedPageBreak/>
        <w:t>двигателем, что и Т-III. Сварной корпус простой конфигурации разделялся внутренними перегородками на три отделения для повышения живучести. В переднем отделении находились механик-водитель и стрелок-радист. В боевом отделении с башней многогранной формы (размещавшейся по центру танка) находились командир, наводчик и заряжающий. На башне стояла командирская башенка с пятью смотровыми приборами с броневыми заслонками. В Т-IV по сравнению с Т-34 не было такой стесненности, намного лучше был обзор. Бронирование и вооружение выпускавшихся массовой серией в 1941 г. Т-IV примерно соответствовало показателям первых серий Т-34 с пушкой Л-11. Поэтому во второй половине 1941 и в начале 1942 гг. германский танк стал уступать в боевом единоборстве Т-34. Но уже с марта 1942 г. начался выпуск Т-IV с пушкой калибра 75 мм и длиной ствола 43 калибра. В 1943 и 1944 гг. крупными сериями выпускались танки Т-IV с еще более мощными 75-мм пушками (длина ствола 48 калибров) и бронированием лобовым корпуса до 85 мм. Вместе со штурмовыми орудиями на шасси Т-III и T-IV c таким же бронированием и вооружением они превосходили советские средние танки вплоть до середины 1944 г., когда в массовых количествах стал выпускаться Т-34-85. При отработке и принятии на вооружение танка Т-34 было проигнорировано мнение военных. Не проведены в полном объеме испытания. В итоге в конструкции машины были законсервированы очень существенные недостатки. Поэтому некоторое превосходство Т-34 над серийными германскими танками Т-III и Т-IV быстро было утеряно и восстановилось лишь к середине 1944г. (причем только по мощности пушки, а не по условиям обитания экипажа) (11224).</w:t>
      </w:r>
    </w:p>
    <w:p w14:paraId="50314D5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7225FC"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5 июля</w:t>
      </w:r>
      <w:r w:rsidRPr="001E2C69">
        <w:rPr>
          <w:rFonts w:ascii="Times New Roman" w:hAnsi="Times New Roman"/>
          <w:color w:val="000000" w:themeColor="text1"/>
          <w:sz w:val="16"/>
          <w:szCs w:val="16"/>
        </w:rPr>
        <w:t xml:space="preserve"> в 1942 году ГКО принял постановление о производстве танков «Т-34» на Кировском заводе (14943).</w:t>
      </w:r>
    </w:p>
    <w:p w14:paraId="4C27DA4F" w14:textId="77777777" w:rsidR="00B65961" w:rsidRPr="001E2C69" w:rsidRDefault="00B65961" w:rsidP="00722885">
      <w:pPr>
        <w:spacing w:after="0" w:line="240" w:lineRule="auto"/>
        <w:jc w:val="both"/>
        <w:rPr>
          <w:rFonts w:ascii="Times New Roman" w:hAnsi="Times New Roman"/>
          <w:color w:val="000000" w:themeColor="text1"/>
          <w:sz w:val="16"/>
          <w:szCs w:val="16"/>
        </w:rPr>
      </w:pPr>
    </w:p>
    <w:p w14:paraId="2FEEF785" w14:textId="77777777" w:rsidR="00265C4C" w:rsidRPr="001E2C69" w:rsidRDefault="00265C4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5 июля 1942 года согласно постановлению ГКО № 1958сс “О производстве танков Т-34 и Т-70”, прекратилось производство малых танков Т-60. Они окончательно сошли со сцены, уступив место более совершенному Т-70. Одновременно завод №264 в Красноармейске полностью переключился с производства Т-60 на корпуса для Т-34, которые были нужны войскам как воздух (17530).</w:t>
      </w:r>
    </w:p>
    <w:p w14:paraId="7D9A7597" w14:textId="77777777" w:rsidR="00265C4C" w:rsidRPr="001E2C69" w:rsidRDefault="00265C4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99E1E9D" w14:textId="77777777" w:rsidR="00B33D31" w:rsidRPr="001E2C69"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 xml:space="preserve">5 июля 1942 года было подписано постановление Государственного комитета обороны (ГКО) №1878 «Об улучшении танков КВ». Оно стало отправной точкой для перехода от КВ-1 к облегченной версии танка, получившей обозначение КВ-1с. К 27 июля </w:t>
      </w:r>
      <w:hyperlink r:id="rId131" w:history="1">
        <w:r w:rsidRPr="001E2C69">
          <w:rPr>
            <w:rFonts w:ascii="Times New Roman" w:eastAsia="Times New Roman" w:hAnsi="Times New Roman"/>
            <w:iCs/>
            <w:color w:val="000000" w:themeColor="text1"/>
            <w:sz w:val="16"/>
            <w:szCs w:val="16"/>
            <w:lang w:eastAsia="ru-RU"/>
          </w:rPr>
          <w:t>были изготовлены два опытных образца</w:t>
        </w:r>
      </w:hyperlink>
      <w:r w:rsidRPr="001E2C69">
        <w:rPr>
          <w:rFonts w:ascii="Times New Roman" w:eastAsia="Times New Roman" w:hAnsi="Times New Roman"/>
          <w:iCs/>
          <w:color w:val="000000" w:themeColor="text1"/>
          <w:sz w:val="16"/>
          <w:szCs w:val="16"/>
          <w:lang w:eastAsia="ru-RU"/>
        </w:rPr>
        <w:t>, а к 20-м числам августа в Челябинске приступили к серийному производству танка. Хотя КВ-1с не стал такой легендой, как КВ-1, именно эти машины участвовали в разгроме немцев в Сталинградской битве и сражались на Курской дуге. Их создание и производство являлись во многом вынужденной мерой, но КВ-1с продержался на конвейере ровно год, а на фронте задержался до конца 1944 года (17692).</w:t>
      </w:r>
    </w:p>
    <w:p w14:paraId="32093125" w14:textId="77777777" w:rsidR="00B33D31" w:rsidRPr="001E2C69" w:rsidRDefault="00B33D31" w:rsidP="00722885">
      <w:pPr>
        <w:spacing w:after="0" w:line="240" w:lineRule="auto"/>
        <w:jc w:val="both"/>
        <w:rPr>
          <w:rFonts w:ascii="Times New Roman" w:eastAsia="Times New Roman" w:hAnsi="Times New Roman"/>
          <w:color w:val="000000" w:themeColor="text1"/>
          <w:sz w:val="16"/>
          <w:szCs w:val="16"/>
          <w:lang w:eastAsia="ru-RU"/>
        </w:rPr>
      </w:pPr>
    </w:p>
    <w:p w14:paraId="542D18E2" w14:textId="77777777" w:rsidR="00C64375" w:rsidRPr="001E2C69" w:rsidRDefault="00C6437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5 июля 1942 на Гороховецком АНИОП закончились испытания танка КВ-2 с пушкой ЗИС-6, которые начались 25 июня. При этом в отчете указывалось, что в танке стояло орудие №1 с трубой №8. Дополнительным фактором стало то, что испытания решили проводить на усиленном заряде, с начальной скоростью снаряда 840 м/с.</w:t>
      </w:r>
    </w:p>
    <w:p w14:paraId="61207E8D" w14:textId="77777777" w:rsidR="00C64375" w:rsidRPr="001E2C69" w:rsidRDefault="00C6437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общей сложности из орудия произвели 618 выстрелов. Как правило, по поводу итогов испытаний пишутся фразы о том, что орудие показало недостаточную живучесть ствола, снаряд под конец испытаний прилетал плашмя, и так далее. Отчасти это правда, если не смотреть на некоторые вещи. Для начала, комиссия признала, что главной причиной быстрого износа ствола стало повышение начальной скорости снаряда. Проблемы начались после 486 выстрелов. Именно тогда и резко упала кучность. До того кучность была вполне удовлетворительной. Далее, бронепробиваемость орудия оказалась вполне достаточной. На дистанции 1600 метров бронебойный снаряд пробивал лист толщиной 120 мм, установленный под углом 30 градусов от вертикали. Это означало, что КВ-3 мог на этой дистанции пробить сам себя. Безусловно, имелись проблемы, например, после 315 выстрелов сломался досылатель. Вместе с тем, говорить о неготовности орудия не совсем корректно.</w:t>
      </w:r>
    </w:p>
    <w:p w14:paraId="36A3C901" w14:textId="77777777" w:rsidR="00C64375" w:rsidRPr="001E2C69" w:rsidRDefault="00C6437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После окончания испытаний орудие срочно вернули на завод №92, после чего провели серию дополнительных испытаний. Всплыли дополнительные дефекты, которые требовалось устранить. Вместе с тем, уже в июне начался валовый выпуск орудий. По этому поводу сломано немало копий, но справка завода №92 от 10 июля 1941 года однозначно показывает - Грабин отнюдь не лукавил. В разной степени готовности находилось 213 труб, причем минимум 4 было уже окончательно закончено. Уже потом пришлось менять планы, поскольку стало ясно - КВ-3 в Ленинграде выпускать не будут. Выпуск данного танка переносили на ЧТЗ, куда отправили незаконченный танк. При этом объемы выпуска явно выглядели скромно. Теперь от завода №92 требовалось всего 35 орудий - 5 в октябре, 10 в ноябре и 20 в декабре 1941 года. В июле 1941 года Грабин выходил с идеей установки ЗИС-6 в КВ-2, но данную идею реализовывать не стали. Причина прозаична - данные танки прекратили выпускать (20349).</w:t>
      </w:r>
    </w:p>
    <w:p w14:paraId="446306C7" w14:textId="77777777" w:rsidR="00C64375" w:rsidRPr="001E2C69" w:rsidRDefault="00C6437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5AF368E" w14:textId="77777777" w:rsidR="00C40D73" w:rsidRPr="001E2C69" w:rsidRDefault="00C40D73" w:rsidP="00722885">
      <w:pPr>
        <w:pStyle w:val="162"/>
        <w:shd w:val="clear" w:color="auto" w:fill="auto"/>
        <w:spacing w:line="240" w:lineRule="auto"/>
        <w:jc w:val="both"/>
        <w:rPr>
          <w:color w:val="000000" w:themeColor="text1"/>
          <w:sz w:val="16"/>
          <w:szCs w:val="16"/>
        </w:rPr>
      </w:pPr>
      <w:r w:rsidRPr="001E2C69">
        <w:rPr>
          <w:rFonts w:eastAsia="Calibri"/>
          <w:color w:val="000000" w:themeColor="text1"/>
          <w:sz w:val="16"/>
          <w:szCs w:val="16"/>
        </w:rPr>
        <w:t>5 июля 1942 года на стол начальнику ГАБТУ КА ге</w:t>
      </w:r>
      <w:r w:rsidRPr="001E2C69">
        <w:rPr>
          <w:rFonts w:eastAsia="Calibri"/>
          <w:color w:val="000000" w:themeColor="text1"/>
          <w:sz w:val="16"/>
          <w:szCs w:val="16"/>
        </w:rPr>
        <w:softHyphen/>
        <w:t xml:space="preserve">нерал-лейтенанту Я. Н. Федоренко легло письмо от главного инженера завода № 200 </w:t>
      </w:r>
      <w:r w:rsidRPr="001E2C69">
        <w:rPr>
          <w:rFonts w:eastAsia="Calibri"/>
          <w:color w:val="000000" w:themeColor="text1"/>
          <w:sz w:val="16"/>
          <w:szCs w:val="16"/>
          <w:lang w:val="en-US"/>
        </w:rPr>
        <w:t>J</w:t>
      </w:r>
      <w:r w:rsidRPr="001E2C69">
        <w:rPr>
          <w:rFonts w:eastAsia="Calibri"/>
          <w:color w:val="000000" w:themeColor="text1"/>
          <w:sz w:val="16"/>
          <w:szCs w:val="16"/>
        </w:rPr>
        <w:t>1. И. Эйранова:</w:t>
      </w:r>
    </w:p>
    <w:p w14:paraId="4DCC9E75" w14:textId="77777777" w:rsidR="00C40D73" w:rsidRPr="001E2C69" w:rsidRDefault="00C40D73"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«Нашим заводом разработаны, кроме танкового прицепа ТД-200, еще два варианта танковых прицепов: ТД-2и ТД-3, отличающихся от ТД-200 габаритными размерами, весами и размещением количества команды.</w:t>
      </w:r>
    </w:p>
    <w:p w14:paraId="3DE7C32C" w14:textId="77777777" w:rsidR="00C40D73" w:rsidRPr="001E2C69" w:rsidRDefault="00C40D73"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ТД-2 разработаны на 15 человек команды при толщине листов: на</w:t>
      </w:r>
      <w:r w:rsidRPr="001E2C69">
        <w:rPr>
          <w:rFonts w:ascii="Times New Roman" w:hAnsi="Times New Roman"/>
          <w:color w:val="000000" w:themeColor="text1"/>
          <w:sz w:val="16"/>
          <w:szCs w:val="16"/>
        </w:rPr>
        <w:softHyphen/>
        <w:t>клонные бортовые — 40мм, лобовые — 30мм, крыша 15мм и днище 10мм, вес полный с полезной нагрузкой в 1125 кг равен 5750 кг, и при толщине листов: наклонные бортовые — 30 мм, лобовые — 20 мм, крыша — 15 мм и днище — 10мм, вес полный с полезной нагрузкой равен 5100 кг.</w:t>
      </w:r>
    </w:p>
    <w:p w14:paraId="7F37528F" w14:textId="77777777" w:rsidR="00C40D73" w:rsidRPr="001E2C69" w:rsidRDefault="00C40D73"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ТД-3 разработаны на 20 человек команды при толщине листов: наклон</w:t>
      </w:r>
      <w:r w:rsidRPr="001E2C69">
        <w:rPr>
          <w:rFonts w:ascii="Times New Roman" w:hAnsi="Times New Roman"/>
          <w:color w:val="000000" w:themeColor="text1"/>
          <w:sz w:val="16"/>
          <w:szCs w:val="16"/>
        </w:rPr>
        <w:softHyphen/>
        <w:t>ные бортовые — 40 мм, лобовые — 30 мм, крыша 15 мм, и днище 10 мм, вес полный с полезной нагрузкой в 1500 кг равен 7850 кг, и при толщине листов: наклонные бортовые — 30мм, лобовые — 20мм, крыша — 15мм, и днище — 10мм, вес полный с полезной нагрузкой равен 7000 кг.</w:t>
      </w:r>
    </w:p>
    <w:p w14:paraId="08674784" w14:textId="77777777" w:rsidR="00C40D73" w:rsidRPr="001E2C69" w:rsidRDefault="00C40D73"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Представляем на Ваше рассмотрение разработанные проекты общих видов ТД-2 и ТД-3, просим Вас разрешить нам изготовить опытный об</w:t>
      </w:r>
      <w:r w:rsidRPr="001E2C69">
        <w:rPr>
          <w:rFonts w:ascii="Times New Roman" w:hAnsi="Times New Roman"/>
          <w:color w:val="000000" w:themeColor="text1"/>
          <w:sz w:val="16"/>
          <w:szCs w:val="16"/>
        </w:rPr>
        <w:softHyphen/>
        <w:t>разец машины ТД-2»'.</w:t>
      </w:r>
    </w:p>
    <w:p w14:paraId="7D2F4753" w14:textId="77777777" w:rsidR="00C40D73" w:rsidRPr="001E2C69" w:rsidRDefault="00C40D73" w:rsidP="00722885">
      <w:pPr>
        <w:pStyle w:val="162"/>
        <w:shd w:val="clear" w:color="auto" w:fill="auto"/>
        <w:spacing w:line="240" w:lineRule="auto"/>
        <w:jc w:val="both"/>
        <w:rPr>
          <w:color w:val="000000" w:themeColor="text1"/>
          <w:sz w:val="16"/>
          <w:szCs w:val="16"/>
        </w:rPr>
      </w:pPr>
      <w:r w:rsidRPr="001E2C69">
        <w:rPr>
          <w:rFonts w:eastAsia="Calibri"/>
          <w:color w:val="000000" w:themeColor="text1"/>
          <w:sz w:val="16"/>
          <w:szCs w:val="16"/>
        </w:rPr>
        <w:t>В первоначальном тексте речь шла о постройке также и одного об</w:t>
      </w:r>
      <w:r w:rsidRPr="001E2C69">
        <w:rPr>
          <w:rFonts w:eastAsia="Calibri"/>
          <w:color w:val="000000" w:themeColor="text1"/>
          <w:sz w:val="16"/>
          <w:szCs w:val="16"/>
        </w:rPr>
        <w:softHyphen/>
        <w:t>разца ТД-3, но после рассмотрения письма Федоренко была сделана правка ручкой, и постройку ограничили прицепом ТД-2. По характе</w:t>
      </w:r>
      <w:r w:rsidRPr="001E2C69">
        <w:rPr>
          <w:rFonts w:eastAsia="Calibri"/>
          <w:color w:val="000000" w:themeColor="text1"/>
          <w:sz w:val="16"/>
          <w:szCs w:val="16"/>
        </w:rPr>
        <w:softHyphen/>
        <w:t>ристикам прицеп ТД-3, как и его предшественник ТД-200, не вписы</w:t>
      </w:r>
      <w:r w:rsidRPr="001E2C69">
        <w:rPr>
          <w:rFonts w:eastAsia="Calibri"/>
          <w:color w:val="000000" w:themeColor="text1"/>
          <w:sz w:val="16"/>
          <w:szCs w:val="16"/>
        </w:rPr>
        <w:softHyphen/>
        <w:t>вался в выдвинутые военными требования. Что же касается ТД-2, то он вполне подходил под необходимые нормативы и его постройке дали зеленый свет. В качестве ответственного за работы по ТД-2 выступал П. К. Ворошилов. Согласно его докладу, опытный образец был изго</w:t>
      </w:r>
      <w:r w:rsidRPr="001E2C69">
        <w:rPr>
          <w:rFonts w:eastAsia="Calibri"/>
          <w:color w:val="000000" w:themeColor="text1"/>
          <w:sz w:val="16"/>
          <w:szCs w:val="16"/>
        </w:rPr>
        <w:softHyphen/>
        <w:t>товлен к 10 октября и проходил заводские испытания. К тому моменту, впрочем, более актуальной стала идея постройки десантных прицепов на базе корпусов снятых с вооружения танков. Тем не менее, челябин</w:t>
      </w:r>
      <w:r w:rsidRPr="001E2C69">
        <w:rPr>
          <w:rFonts w:eastAsia="Calibri"/>
          <w:color w:val="000000" w:themeColor="text1"/>
          <w:sz w:val="16"/>
          <w:szCs w:val="16"/>
        </w:rPr>
        <w:softHyphen/>
        <w:t>ским бронированным прицепам все же довелось повоевать. Согласно переписке, три опытных прицепа ТД-200 в конце сентября 1942 года были направлены в 19 танковую бригаду. Помимо прицепов, в этой бригаде, действовавшей на Сталинградском фронте, также обкатыва</w:t>
      </w:r>
      <w:r w:rsidRPr="001E2C69">
        <w:rPr>
          <w:rFonts w:eastAsia="Calibri"/>
          <w:color w:val="000000" w:themeColor="text1"/>
          <w:sz w:val="16"/>
          <w:szCs w:val="16"/>
        </w:rPr>
        <w:softHyphen/>
        <w:t>лись приборы ночного вождения танков (17485).</w:t>
      </w:r>
    </w:p>
    <w:p w14:paraId="19D03A15" w14:textId="77777777" w:rsidR="00C40D73" w:rsidRPr="001E2C69" w:rsidRDefault="00C40D73" w:rsidP="00722885">
      <w:pPr>
        <w:spacing w:after="0" w:line="240" w:lineRule="auto"/>
        <w:jc w:val="both"/>
        <w:rPr>
          <w:rFonts w:ascii="Times New Roman" w:hAnsi="Times New Roman"/>
          <w:color w:val="000000" w:themeColor="text1"/>
          <w:sz w:val="16"/>
          <w:szCs w:val="16"/>
        </w:rPr>
      </w:pPr>
    </w:p>
    <w:p w14:paraId="64510614" w14:textId="77777777" w:rsidR="00265C4C" w:rsidRPr="001E2C69" w:rsidRDefault="00265C4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5 июля 1942 года на адрес отдела изобретений Главного автобронетанкового управления Красной армии (ГАБТУ КА) пришло письмо, в котором находился проект боевой машины, по своим характеристикам вполне способной заменить Т-60. Автором проекта являлся лейтенант Константин Яковлевич Проворнов. Воевал Проворнов на Т-34, и это самым прямым образом отразилось на проекте лёгкого танка, который он предложил отделу изобретений ГАБТУ. На тот момент лейтенанту было всего 22 года, но предложенный им лёгкий танк отличается очень серьёзной проработкой. Этот факт напрямую связан с тем, что молодой танкист хорошо знал технику, состоявшую на вооружении Красной армии. Ему, как практику, были хорошо видны достоинства и недостатки танков, на которых он служил.</w:t>
      </w:r>
    </w:p>
    <w:p w14:paraId="13630DED" w14:textId="77777777" w:rsidR="00265C4C" w:rsidRPr="001E2C69" w:rsidRDefault="00265C4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Лёгкий танк Проворнова представлял собой трёхместную боевую машину массой 11 тонн. Длина корпуса составляла всего 4 метра — это меньше не только в сравнении с Т-70, но и с Т-60. Ширина корпуса также отличалась от аналогов в меньшую сторону – она составляла 2 метра. При таких габаритах компоновка корпуса представляла собой крайне сложную задачу, но, к чести автора, на бумаге он её решил. Как уже говорилось выше, из-за использования компоновки плавающего танка Т-40 внутреннее пространство Т-60 и Т-70 использовалось нерационально. Особенно это касается носовой части, где много места попросту пустовало. Благодаря использованию формы корпуса по типу Т-34 лёгкий танк Проворнова был лишён этого недостатка.</w:t>
      </w:r>
    </w:p>
    <w:p w14:paraId="5A19FCB6" w14:textId="77777777" w:rsidR="00265C4C" w:rsidRPr="001E2C69" w:rsidRDefault="00265C4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Место механика-водителя по сравнению с Т-60 и Т-70 оказалось сдвинуто вперёд, что позволило высвободить пространство сзади. Для попадания внутрь танка для механика-водителя изобретатель предусмотрел большой люк по типу Т-34, оснащённый двумя смотровыми приборами. Справа от люка предполагалось поставить шаровую установку с пулемётом ДТ, а также перископический прибор вроде того, что ставился на Т-34 выпуска Сталинградского Тракторного Завода (СТЗ). Для эвакуации экипажа в полу был предусмотрен аварийный люк.</w:t>
      </w:r>
    </w:p>
    <w:p w14:paraId="3200B420" w14:textId="77777777" w:rsidR="00265C4C" w:rsidRPr="001E2C69" w:rsidRDefault="00265C4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Много общего с Т-34 было у лёгкого танка Проворнова в компоновке кормовой части. В качестве силовой установки предполагалось использовать спарку двигателей ГАЗ-11. Такие же моторы ставились на Т-40, Т-60 и Т-70. Суммарной мощности 170 л.с. должно было хватить для расчётной скорости 45 км/ч. Весьма оригинально выглядела идея использования спарки двигателей: по задумке автора, моторы были соединены при помощи поперечной передачи. Оба мотора закреплялись на общей раме, общими у них были система питания топливом, выключатель зажигания и кнопка электростартёра.</w:t>
      </w:r>
    </w:p>
    <w:p w14:paraId="600AF994" w14:textId="77777777" w:rsidR="00265C4C" w:rsidRPr="001E2C69" w:rsidRDefault="00265C4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Оригинальным было и устройство системы охлаждения. Радиаторы Проворнов решил разместить над двигателями. Подобное решение применялось на лёгком танке Т-26. Получилась компактная силовая установка, вполне вписывающаяся в столь небольшой корпус. В кормовой части также находились бензобаки общей ёмкостью 500 литров. Согласно расчётам автора, запас хода по шоссе должен был составить 430 км, а по просёлку – 300 км. Вынос бензобаков из боевого отделения был несомненным плюсом конструкции Проворнова. В корме находилась и трансмиссия. Бортовые передачи без изменений брались от Т-60. Для доступа в МТО предполагалось использовать большие люки, аналогичные тем, что стояли на Т-34.</w:t>
      </w:r>
    </w:p>
    <w:p w14:paraId="20158752" w14:textId="77777777" w:rsidR="00265C4C" w:rsidRPr="001E2C69" w:rsidRDefault="00265C4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 xml:space="preserve">Весьма рационально выглядит и ходовая часть танка, представлявшая собой смесь решений, взятых от Т-34 и Т-60. На проекте Проворнова должна была использоваться торсионная подвеска. В отличие от Т-60 или Т-70, применение поддерживающих катков не предусматривалось. На каждый борт предполагалось </w:t>
      </w:r>
      <w:r w:rsidRPr="001E2C69">
        <w:rPr>
          <w:rFonts w:ascii="Times New Roman" w:eastAsia="Times New Roman" w:hAnsi="Times New Roman"/>
          <w:color w:val="000000" w:themeColor="text1"/>
          <w:sz w:val="16"/>
          <w:szCs w:val="16"/>
          <w:lang w:eastAsia="ru-RU"/>
        </w:rPr>
        <w:lastRenderedPageBreak/>
        <w:t>установить по 4 катка диаметром 650 мм, что значительно больше, чем у Т-60. Ширина траков должна была составить 300 мм. Любопытно, что именно такую ширину имели траки модернизированного Т-70, который появился спустя несколько месяцев после проекта лейтенанта Проворнова.</w:t>
      </w:r>
    </w:p>
    <w:p w14:paraId="74F5257C" w14:textId="77777777" w:rsidR="00265C4C" w:rsidRPr="001E2C69" w:rsidRDefault="00265C4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Если с компоновкой корпуса всё выглядит разумно, то с башней возникают вполне закономерные вопросы. Как ни странно, но при таких небольших габаритах и плотной компоновке Проворнову удалось установить на свой танк двухместную башню. Продольная схема даёт лишь примерное представление о размерах, но в целом диаметр башенного погона примерно соответствует таковому у Т-26 и БТ-7, где спокойно размещались два человека.</w:t>
      </w:r>
    </w:p>
    <w:p w14:paraId="7BABF7EF" w14:textId="77777777" w:rsidR="00265C4C" w:rsidRPr="001E2C69" w:rsidRDefault="00265C4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По конструкции башня лёгкого танка в уменьшенном виде повторяла башню Т-34. Согласно описанию, при изготовлении башни предполагалось использовать литьё. От Т-34 башня унаследовала не только форму, но и большой люк, а также смотровые приборы. В качестве вооружения предлагалось использовать 45-мм пушку и спаренный с ней пулемёт ДТ. Боекомплект включал в себя 150 снарядов и 75 магазинов для ДТ. С учётом размеров танка, реальный боекомплект явно получился бы меньшим (17540).</w:t>
      </w:r>
    </w:p>
    <w:p w14:paraId="0F538FA0" w14:textId="77777777" w:rsidR="00265C4C" w:rsidRPr="001E2C69" w:rsidRDefault="00265C4C" w:rsidP="00722885">
      <w:pPr>
        <w:spacing w:after="0" w:line="240" w:lineRule="auto"/>
        <w:jc w:val="both"/>
        <w:rPr>
          <w:rFonts w:ascii="Times New Roman" w:hAnsi="Times New Roman"/>
          <w:color w:val="000000" w:themeColor="text1"/>
          <w:sz w:val="16"/>
          <w:szCs w:val="16"/>
        </w:rPr>
      </w:pPr>
    </w:p>
    <w:p w14:paraId="1AD90BF2" w14:textId="77777777" w:rsidR="007F3738" w:rsidRPr="008A2E5A" w:rsidRDefault="007F3738" w:rsidP="007F373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июля 1942 г. сдача Т-60 заводом № 37 прекратилась, после чего началась подготовка производства Т-70. Правда, 70-ке повезло еще меньше. 28 июля 1942 года было подписано постановление ГКО №2120 "Об организации производства танков Т-34 на Уралмашзаводе и заводе №37 Наркомтанкопрома". Уже к 29 сентября реорганизованный завод №37, ставший частью УЗТМ (завод №50), изготовил первые два Т-34. Наработки по производству Т-70 были переданы заводу №38. А вот история свердловских Т-60 продолжалось немного дольше, чем планировалось (23355).</w:t>
      </w:r>
    </w:p>
    <w:p w14:paraId="13AC0DFF" w14:textId="77777777" w:rsidR="007F3738" w:rsidRPr="008A2E5A" w:rsidRDefault="007F3738" w:rsidP="007F3738">
      <w:pPr>
        <w:spacing w:after="0" w:line="240" w:lineRule="auto"/>
        <w:jc w:val="both"/>
        <w:rPr>
          <w:rFonts w:ascii="Times New Roman" w:hAnsi="Times New Roman"/>
          <w:color w:val="0070C0"/>
          <w:sz w:val="16"/>
          <w:szCs w:val="16"/>
        </w:rPr>
      </w:pPr>
    </w:p>
    <w:p w14:paraId="13B9B416" w14:textId="77777777" w:rsidR="00B33D31" w:rsidRPr="001E2C69" w:rsidRDefault="00B33D31" w:rsidP="00722885">
      <w:pPr>
        <w:pStyle w:val="af"/>
        <w:shd w:val="clear" w:color="auto" w:fill="FFFFFF"/>
        <w:spacing w:before="0" w:after="0"/>
        <w:jc w:val="both"/>
        <w:rPr>
          <w:color w:val="000000" w:themeColor="text1"/>
          <w:sz w:val="16"/>
          <w:szCs w:val="16"/>
        </w:rPr>
      </w:pPr>
      <w:r w:rsidRPr="001E2C69">
        <w:rPr>
          <w:color w:val="000000" w:themeColor="text1"/>
          <w:sz w:val="16"/>
          <w:szCs w:val="16"/>
        </w:rPr>
        <w:t>5 июля 1942 года, на стол начальнику ГАБТУ КА генерал-лейтенанту Я.Н. Федоренко легло письмо от главного инженера завода №200 Л.И. Эйранова. В нём он предлагал ещё два варианта бронированных прицепов, обозначавшихся как ТД-2 и ТД-3. Это была последняя попытка спасти положение. Ничего особо нового завод №200 не придумал: фактически это был тот же ТД-200, но в уменьшенном виде. ТД-2, имевший боевую массу 5750 килограмм, был расcчитан на перевозку 15 человек. Количество опорных катков сократилось до трёх. ТД-3, рассчитанный на 20 человек, оказался крупнее и весил 7850 кг. Как и ТД-200, этот прицеп имел по 4 опорных катка на борт.</w:t>
      </w:r>
    </w:p>
    <w:p w14:paraId="563E63FE" w14:textId="77777777" w:rsidR="00B33D31" w:rsidRPr="001E2C69" w:rsidRDefault="00B33D31" w:rsidP="00722885">
      <w:pPr>
        <w:pStyle w:val="af"/>
        <w:shd w:val="clear" w:color="auto" w:fill="FFFFFF"/>
        <w:spacing w:before="0" w:after="0"/>
        <w:jc w:val="both"/>
        <w:rPr>
          <w:color w:val="000000" w:themeColor="text1"/>
          <w:sz w:val="16"/>
          <w:szCs w:val="16"/>
        </w:rPr>
      </w:pPr>
      <w:r w:rsidRPr="001E2C69">
        <w:rPr>
          <w:color w:val="000000" w:themeColor="text1"/>
          <w:sz w:val="16"/>
          <w:szCs w:val="16"/>
        </w:rPr>
        <w:t>В первоначальном тексте речь шла о постройке и одного образца ТД-3, но после рассмотрения письма Федоренко была сделана правка ручкой и постройку ограничили прицепом ТД-2. По характеристикам прицеп ТД-3, как и его предшественник ТД-200, не вписывался в выдвинутые военными требования. Что же касается ТД-2, то он вполне подходил под необходимые нормативы и получил зелёный свет. Ответственным за работы по ТД-2 был П.К. Ворошилов. Как следует из его доклада, опытный образец был изготовлен к 10 октября и проходил заводские испытания. К тому моменту, впрочем, приоритет получила идея постройки десантных прицепов на базе корпусов снятых с вооружения танков. Тем не менее челябинские бронированные прицепы получили возможность повоевать. Согласно переписке, три опытных прицепа ТД-200 в конце сентября 1942 года были направлены в 19-ю танковую бригаду, в которой, к слову, испытывались и приборы ночного вождения танков. Увы, в документах бригады прицепы не упоминаются (17711).</w:t>
      </w:r>
    </w:p>
    <w:p w14:paraId="328EE35D" w14:textId="77777777" w:rsidR="00B33D31" w:rsidRPr="001E2C69" w:rsidRDefault="00B33D31" w:rsidP="00722885">
      <w:pPr>
        <w:spacing w:after="0" w:line="240" w:lineRule="auto"/>
        <w:jc w:val="both"/>
        <w:rPr>
          <w:rFonts w:ascii="Times New Roman" w:eastAsia="Times New Roman" w:hAnsi="Times New Roman"/>
          <w:color w:val="000000" w:themeColor="text1"/>
          <w:sz w:val="16"/>
          <w:szCs w:val="16"/>
          <w:lang w:eastAsia="ru-RU"/>
        </w:rPr>
      </w:pPr>
    </w:p>
    <w:p w14:paraId="2EB5235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1942 г. был подготовлен ПЛАН ПОЛУЧЕНИЯ НКО АВТОМАШИН НА ИЮЛЬ МЕСЯЦ 1942 г.</w:t>
      </w:r>
    </w:p>
    <w:p w14:paraId="76191E5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дополнение к № 712461с от 23.6.1942 г. сообщаю план получения автомашин НКО на июль ме</w:t>
      </w:r>
      <w:r w:rsidRPr="001E2C69">
        <w:rPr>
          <w:rFonts w:ascii="Times New Roman" w:hAnsi="Times New Roman"/>
          <w:color w:val="000000" w:themeColor="text1"/>
          <w:sz w:val="16"/>
          <w:szCs w:val="16"/>
        </w:rPr>
        <w:softHyphen/>
        <w:t>сяц 1942г.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1276"/>
      </w:tblGrid>
      <w:tr w:rsidR="001E2C69" w:rsidRPr="001E2C69" w14:paraId="73AB3FC9" w14:textId="77777777" w:rsidTr="00CC5360">
        <w:tc>
          <w:tcPr>
            <w:tcW w:w="2660" w:type="dxa"/>
            <w:tcBorders>
              <w:top w:val="single" w:sz="12" w:space="0" w:color="auto"/>
            </w:tcBorders>
            <w:shd w:val="clear" w:color="auto" w:fill="FFFFFF"/>
          </w:tcPr>
          <w:p w14:paraId="3CAEAF4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Импортные автомашины:</w:t>
            </w:r>
          </w:p>
        </w:tc>
        <w:tc>
          <w:tcPr>
            <w:tcW w:w="1276" w:type="dxa"/>
            <w:tcBorders>
              <w:top w:val="single" w:sz="12" w:space="0" w:color="auto"/>
            </w:tcBorders>
            <w:shd w:val="clear" w:color="auto" w:fill="FFFFFF"/>
          </w:tcPr>
          <w:p w14:paraId="1485FF9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76134C34" w14:textId="77777777" w:rsidTr="00CC5360">
        <w:tc>
          <w:tcPr>
            <w:tcW w:w="2660" w:type="dxa"/>
            <w:shd w:val="clear" w:color="auto" w:fill="FFFFFF"/>
          </w:tcPr>
          <w:p w14:paraId="0BBAEC7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Виллис</w:t>
            </w:r>
          </w:p>
        </w:tc>
        <w:tc>
          <w:tcPr>
            <w:tcW w:w="1276" w:type="dxa"/>
            <w:shd w:val="clear" w:color="auto" w:fill="FFFFFF"/>
          </w:tcPr>
          <w:p w14:paraId="1D0F7BF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- 1 000 штук</w:t>
            </w:r>
          </w:p>
        </w:tc>
      </w:tr>
      <w:tr w:rsidR="001E2C69" w:rsidRPr="001E2C69" w14:paraId="0DA8CC26" w14:textId="77777777" w:rsidTr="00CC5360">
        <w:tc>
          <w:tcPr>
            <w:tcW w:w="2660" w:type="dxa"/>
            <w:shd w:val="clear" w:color="auto" w:fill="FFFFFF"/>
          </w:tcPr>
          <w:p w14:paraId="5D5F5DC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Студебекер</w:t>
            </w:r>
          </w:p>
        </w:tc>
        <w:tc>
          <w:tcPr>
            <w:tcW w:w="1276" w:type="dxa"/>
            <w:shd w:val="clear" w:color="auto" w:fill="FFFFFF"/>
          </w:tcPr>
          <w:p w14:paraId="2E9E658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- 1 475 штук</w:t>
            </w:r>
          </w:p>
        </w:tc>
      </w:tr>
      <w:tr w:rsidR="001E2C69" w:rsidRPr="001E2C69" w14:paraId="7DCC7531" w14:textId="77777777" w:rsidTr="00CC5360">
        <w:tc>
          <w:tcPr>
            <w:tcW w:w="2660" w:type="dxa"/>
            <w:shd w:val="clear" w:color="auto" w:fill="FFFFFF"/>
          </w:tcPr>
          <w:p w14:paraId="1FAC8FD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Джиемси</w:t>
            </w:r>
          </w:p>
        </w:tc>
        <w:tc>
          <w:tcPr>
            <w:tcW w:w="1276" w:type="dxa"/>
            <w:shd w:val="clear" w:color="auto" w:fill="FFFFFF"/>
          </w:tcPr>
          <w:p w14:paraId="3A161FB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- 467 штук</w:t>
            </w:r>
          </w:p>
        </w:tc>
      </w:tr>
      <w:tr w:rsidR="001E2C69" w:rsidRPr="001E2C69" w14:paraId="6374F840" w14:textId="77777777" w:rsidTr="00CC5360">
        <w:tc>
          <w:tcPr>
            <w:tcW w:w="2660" w:type="dxa"/>
            <w:shd w:val="clear" w:color="auto" w:fill="FFFFFF"/>
          </w:tcPr>
          <w:p w14:paraId="27B8C95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Шевроле</w:t>
            </w:r>
          </w:p>
        </w:tc>
        <w:tc>
          <w:tcPr>
            <w:tcW w:w="1276" w:type="dxa"/>
            <w:shd w:val="clear" w:color="auto" w:fill="FFFFFF"/>
          </w:tcPr>
          <w:p w14:paraId="7711083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- 1 800 штук</w:t>
            </w:r>
          </w:p>
        </w:tc>
      </w:tr>
      <w:tr w:rsidR="001E2C69" w:rsidRPr="001E2C69" w14:paraId="70D97A00" w14:textId="77777777" w:rsidTr="00CC5360">
        <w:tc>
          <w:tcPr>
            <w:tcW w:w="2660" w:type="dxa"/>
            <w:shd w:val="clear" w:color="auto" w:fill="FFFFFF"/>
          </w:tcPr>
          <w:p w14:paraId="19649A2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Форд</w:t>
            </w:r>
          </w:p>
        </w:tc>
        <w:tc>
          <w:tcPr>
            <w:tcW w:w="1276" w:type="dxa"/>
            <w:shd w:val="clear" w:color="auto" w:fill="FFFFFF"/>
          </w:tcPr>
          <w:p w14:paraId="437B6B8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- 516 штук</w:t>
            </w:r>
          </w:p>
        </w:tc>
      </w:tr>
      <w:tr w:rsidR="001E2C69" w:rsidRPr="001E2C69" w14:paraId="33D159F8" w14:textId="77777777" w:rsidTr="00CC5360">
        <w:tc>
          <w:tcPr>
            <w:tcW w:w="2660" w:type="dxa"/>
            <w:shd w:val="clear" w:color="auto" w:fill="FFFFFF"/>
          </w:tcPr>
          <w:p w14:paraId="622A4F4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Додж</w:t>
            </w:r>
          </w:p>
        </w:tc>
        <w:tc>
          <w:tcPr>
            <w:tcW w:w="1276" w:type="dxa"/>
            <w:shd w:val="clear" w:color="auto" w:fill="FFFFFF"/>
          </w:tcPr>
          <w:p w14:paraId="0C304B9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- 1 245 штук</w:t>
            </w:r>
          </w:p>
        </w:tc>
      </w:tr>
      <w:tr w:rsidR="001E2C69" w:rsidRPr="001E2C69" w14:paraId="5EAC0DCB" w14:textId="77777777" w:rsidTr="00CC5360">
        <w:tc>
          <w:tcPr>
            <w:tcW w:w="2660" w:type="dxa"/>
            <w:shd w:val="clear" w:color="auto" w:fill="FFFFFF"/>
          </w:tcPr>
          <w:p w14:paraId="01753EB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Интернейшнл</w:t>
            </w:r>
          </w:p>
        </w:tc>
        <w:tc>
          <w:tcPr>
            <w:tcW w:w="1276" w:type="dxa"/>
            <w:shd w:val="clear" w:color="auto" w:fill="FFFFFF"/>
          </w:tcPr>
          <w:p w14:paraId="09F387C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- 26 штук</w:t>
            </w:r>
          </w:p>
        </w:tc>
      </w:tr>
      <w:tr w:rsidR="001E2C69" w:rsidRPr="001E2C69" w14:paraId="2928634C" w14:textId="77777777" w:rsidTr="00CC5360">
        <w:tc>
          <w:tcPr>
            <w:tcW w:w="2660" w:type="dxa"/>
            <w:shd w:val="clear" w:color="auto" w:fill="FFFFFF"/>
          </w:tcPr>
          <w:p w14:paraId="099A14C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Бантам</w:t>
            </w:r>
          </w:p>
        </w:tc>
        <w:tc>
          <w:tcPr>
            <w:tcW w:w="1276" w:type="dxa"/>
            <w:shd w:val="clear" w:color="auto" w:fill="FFFFFF"/>
          </w:tcPr>
          <w:p w14:paraId="771CDBC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- 5 штук</w:t>
            </w:r>
          </w:p>
        </w:tc>
      </w:tr>
      <w:tr w:rsidR="001E2C69" w:rsidRPr="001E2C69" w14:paraId="3D3D49D7" w14:textId="77777777" w:rsidTr="00CC5360">
        <w:tc>
          <w:tcPr>
            <w:tcW w:w="2660" w:type="dxa"/>
            <w:shd w:val="clear" w:color="auto" w:fill="FFFFFF"/>
          </w:tcPr>
          <w:p w14:paraId="0D7613C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Бедфорд</w:t>
            </w:r>
          </w:p>
        </w:tc>
        <w:tc>
          <w:tcPr>
            <w:tcW w:w="1276" w:type="dxa"/>
            <w:shd w:val="clear" w:color="auto" w:fill="FFFFFF"/>
          </w:tcPr>
          <w:p w14:paraId="05E1A9D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- 84 штуки</w:t>
            </w:r>
          </w:p>
        </w:tc>
      </w:tr>
      <w:tr w:rsidR="001E2C69" w:rsidRPr="001E2C69" w14:paraId="2D4F0456" w14:textId="77777777" w:rsidTr="00CC5360">
        <w:tc>
          <w:tcPr>
            <w:tcW w:w="2660" w:type="dxa"/>
            <w:shd w:val="clear" w:color="auto" w:fill="FFFFFF"/>
          </w:tcPr>
          <w:p w14:paraId="7346817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Форд</w:t>
            </w:r>
          </w:p>
        </w:tc>
        <w:tc>
          <w:tcPr>
            <w:tcW w:w="1276" w:type="dxa"/>
            <w:shd w:val="clear" w:color="auto" w:fill="FFFFFF"/>
          </w:tcPr>
          <w:p w14:paraId="72E098B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- 63 штуки</w:t>
            </w:r>
          </w:p>
        </w:tc>
      </w:tr>
      <w:tr w:rsidR="001E2C69" w:rsidRPr="001E2C69" w14:paraId="3DF922FD" w14:textId="77777777" w:rsidTr="00CC5360">
        <w:tc>
          <w:tcPr>
            <w:tcW w:w="2660" w:type="dxa"/>
            <w:shd w:val="clear" w:color="auto" w:fill="FFFFFF"/>
          </w:tcPr>
          <w:p w14:paraId="4B66341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Итого:</w:t>
            </w:r>
          </w:p>
        </w:tc>
        <w:tc>
          <w:tcPr>
            <w:tcW w:w="1276" w:type="dxa"/>
            <w:shd w:val="clear" w:color="auto" w:fill="FFFFFF"/>
          </w:tcPr>
          <w:p w14:paraId="2AE8BF2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- 5 678 штук</w:t>
            </w:r>
          </w:p>
        </w:tc>
      </w:tr>
      <w:tr w:rsidR="001E2C69" w:rsidRPr="001E2C69" w14:paraId="384345B4" w14:textId="77777777" w:rsidTr="00CC5360">
        <w:tc>
          <w:tcPr>
            <w:tcW w:w="2660" w:type="dxa"/>
            <w:shd w:val="clear" w:color="auto" w:fill="FFFFFF"/>
          </w:tcPr>
          <w:p w14:paraId="19C0212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Отечественные автомашины:</w:t>
            </w:r>
          </w:p>
        </w:tc>
        <w:tc>
          <w:tcPr>
            <w:tcW w:w="1276" w:type="dxa"/>
            <w:shd w:val="clear" w:color="auto" w:fill="FFFFFF"/>
          </w:tcPr>
          <w:p w14:paraId="7AC37A9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59171653" w14:textId="77777777" w:rsidTr="00CC5360">
        <w:tc>
          <w:tcPr>
            <w:tcW w:w="2660" w:type="dxa"/>
            <w:shd w:val="clear" w:color="auto" w:fill="FFFFFF"/>
          </w:tcPr>
          <w:p w14:paraId="07D5E9A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ГАЗ</w:t>
            </w:r>
          </w:p>
        </w:tc>
        <w:tc>
          <w:tcPr>
            <w:tcW w:w="1276" w:type="dxa"/>
            <w:shd w:val="clear" w:color="auto" w:fill="FFFFFF"/>
          </w:tcPr>
          <w:p w14:paraId="347073C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- 620 штук</w:t>
            </w:r>
          </w:p>
        </w:tc>
      </w:tr>
      <w:tr w:rsidR="001E2C69" w:rsidRPr="001E2C69" w14:paraId="29D864E4" w14:textId="77777777" w:rsidTr="00CC5360">
        <w:tc>
          <w:tcPr>
            <w:tcW w:w="2660" w:type="dxa"/>
            <w:shd w:val="clear" w:color="auto" w:fill="FFFFFF"/>
          </w:tcPr>
          <w:p w14:paraId="65C0575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ЗИС</w:t>
            </w:r>
          </w:p>
        </w:tc>
        <w:tc>
          <w:tcPr>
            <w:tcW w:w="1276" w:type="dxa"/>
            <w:shd w:val="clear" w:color="auto" w:fill="FFFFFF"/>
          </w:tcPr>
          <w:p w14:paraId="1EE3F27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- 880 штук</w:t>
            </w:r>
          </w:p>
        </w:tc>
      </w:tr>
      <w:tr w:rsidR="001E2C69" w:rsidRPr="001E2C69" w14:paraId="2BC4B6FA" w14:textId="77777777" w:rsidTr="00CC5360">
        <w:tc>
          <w:tcPr>
            <w:tcW w:w="2660" w:type="dxa"/>
            <w:shd w:val="clear" w:color="auto" w:fill="FFFFFF"/>
          </w:tcPr>
          <w:p w14:paraId="6DA34D2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Итого:</w:t>
            </w:r>
          </w:p>
        </w:tc>
        <w:tc>
          <w:tcPr>
            <w:tcW w:w="1276" w:type="dxa"/>
            <w:shd w:val="clear" w:color="auto" w:fill="FFFFFF"/>
          </w:tcPr>
          <w:p w14:paraId="2CD2BDB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- 1 500 штук</w:t>
            </w:r>
          </w:p>
        </w:tc>
      </w:tr>
      <w:tr w:rsidR="001E2C69" w:rsidRPr="001E2C69" w14:paraId="74685FB8" w14:textId="77777777" w:rsidTr="00CC5360">
        <w:tc>
          <w:tcPr>
            <w:tcW w:w="2660" w:type="dxa"/>
            <w:tcBorders>
              <w:bottom w:val="single" w:sz="12" w:space="0" w:color="auto"/>
            </w:tcBorders>
            <w:shd w:val="clear" w:color="auto" w:fill="FFFFFF"/>
          </w:tcPr>
          <w:p w14:paraId="34AC4FB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Всего: - 7 178 штук.</w:t>
            </w:r>
          </w:p>
        </w:tc>
        <w:tc>
          <w:tcPr>
            <w:tcW w:w="1276" w:type="dxa"/>
            <w:tcBorders>
              <w:bottom w:val="single" w:sz="12" w:space="0" w:color="auto"/>
            </w:tcBorders>
            <w:shd w:val="clear" w:color="auto" w:fill="FFFFFF"/>
          </w:tcPr>
          <w:p w14:paraId="517AF07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632D092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Прошу обеспечить эти машины водительским составом.</w:t>
      </w:r>
    </w:p>
    <w:p w14:paraId="51C5325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АТУ ГАБТУ КА генерал-майор технических войск Тягунов</w:t>
      </w:r>
    </w:p>
    <w:p w14:paraId="152972F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Военный комиссар АТУ ГАБТУ КА полковой комиссар Лозовский</w:t>
      </w:r>
    </w:p>
    <w:p w14:paraId="722C90D9"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ЦАМО. Ф. 38. Оп. 11386. Д. 118. Л. 308. Копия (11211).</w:t>
      </w:r>
    </w:p>
    <w:p w14:paraId="32BDBF3B"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p>
    <w:p w14:paraId="345E119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1942 вышло Постановление ГКО № 1987 Об организации Всесоюзного социалистического соревнования предприятий Наркомата промышленности строительных материалов СССР. РГАНИР, Фонд ГКО, д. 41, лл. 168, 169-172 (11012).</w:t>
      </w:r>
    </w:p>
    <w:p w14:paraId="17D517C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FD41C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1942 вышло Постановление ГКО № 1988 Об организации Всесоюзного социалистического соревнования предприятий Наркомлеса СССР, Главлессбыта, Главлесоспирта и Главлесохраны при Совнаркоме СССР. РГАНИР, Фонд ГКО, д. 41, лл. 173-174, 175-184 (11012).</w:t>
      </w:r>
    </w:p>
    <w:p w14:paraId="62D109A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6CBC9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1942 вышло Постановление ГКО № 1989 Об организации Всесоюзного социалистического соревнования работников связи. РГАНИР, Фонд ГКО, д. 41, лл. 185, 186-190 (11012).</w:t>
      </w:r>
    </w:p>
    <w:p w14:paraId="4E8AB92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EEDD8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1942 вышло Постановление ГКО № 1991 Об условиях Всесоюзного социалистического соревнования электростанций Наркомчермета. РГАНИР, Фонд ГКО, д. 41, лл. 199 (11012).</w:t>
      </w:r>
    </w:p>
    <w:p w14:paraId="78B51FE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9643BA"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5 июля</w:t>
      </w:r>
      <w:r w:rsidRPr="001E2C69">
        <w:rPr>
          <w:rFonts w:ascii="Times New Roman" w:hAnsi="Times New Roman"/>
          <w:color w:val="000000" w:themeColor="text1"/>
          <w:sz w:val="16"/>
          <w:szCs w:val="16"/>
        </w:rPr>
        <w:t xml:space="preserve"> в 1942 году выдал первую плавку завод ферросплавов в городе Сталинске (Новокузнецке, Кемеровская область). Ныне — ОАО "Кузнецкие ферросплавы" — одно из ведущих металлургических предприятий России</w:t>
      </w:r>
    </w:p>
    <w:p w14:paraId="3AB109D1" w14:textId="77777777" w:rsidR="00B65961" w:rsidRPr="001E2C69" w:rsidRDefault="00B65961" w:rsidP="00722885">
      <w:pPr>
        <w:spacing w:after="0" w:line="240" w:lineRule="auto"/>
        <w:jc w:val="both"/>
        <w:rPr>
          <w:rFonts w:ascii="Times New Roman" w:hAnsi="Times New Roman"/>
          <w:color w:val="000000" w:themeColor="text1"/>
          <w:sz w:val="16"/>
          <w:szCs w:val="16"/>
        </w:rPr>
      </w:pPr>
    </w:p>
    <w:p w14:paraId="34D26933"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Армия:</w:t>
      </w:r>
    </w:p>
    <w:p w14:paraId="071A8DF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C403CF"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5 июля</w:t>
      </w:r>
      <w:r w:rsidRPr="001E2C69">
        <w:rPr>
          <w:rFonts w:ascii="Times New Roman" w:hAnsi="Times New Roman"/>
          <w:color w:val="000000" w:themeColor="text1"/>
          <w:sz w:val="16"/>
          <w:szCs w:val="16"/>
        </w:rPr>
        <w:t xml:space="preserve"> в 1942 году утреннее сообщение Совинформбюро:</w:t>
      </w:r>
    </w:p>
    <w:p w14:paraId="1AD2EAF4"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5 июля на Курском, Белгородском и Волчанском направлениях наши войска вели ожесточённые бои с противником.</w:t>
      </w:r>
    </w:p>
    <w:p w14:paraId="288C4272"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27DDE4E9"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Наше танковое подразделение (Юго-Западный фронт) уничтожило свыше 200 немецких солдат и офицеров, 4 орудия, 4 миномёта и 20 автомашин. На другом участке экипаж танка политрука Абрамкова уничтожил 3 немецких танка и 7 автомашин.</w:t>
      </w:r>
    </w:p>
    <w:p w14:paraId="06A37BCA"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Курского направления артиллеристы батареи тов. Кошелева прямой наводкой расстреляли до 300 гитлеровцев. Кроме того, огнём батареи было рассеяно две роты пехоты противника. В боях за один населённый пункт отличился пулемётчик. Алексей Кравченко. Четыре немецких автоматчика засели на колокольне церкви и вели оттуда огонь. Тов. Кравченко пробрался к церкви и уничтожил автоматчиков. Захватив оружие убитых гитлеровцев, смелый пулемётчик присоединился к своему подразделению.</w:t>
      </w:r>
    </w:p>
    <w:p w14:paraId="48D0B040"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Вчера в течение дня на Юго-Западном фронте произошло несколько воздушных боёв. Наши лётчики сбили 17 немецких самолётов, в том числе 13 «Мессершмиттов-109», «Мессершмитт-110», «Юнкерс-88», «Хейнкель-111» и «Фокке-Вульф». Успешно действует подразделение Героя Советского Союза Клещёва. За десять дней лётчики подразделения сбили 19 немецких самолётов.</w:t>
      </w:r>
    </w:p>
    <w:p w14:paraId="0906661D"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два месяца снайперами соединения, действующего на Карельском фронте, уничтожено 1.653 солдата и офицера противника.</w:t>
      </w:r>
    </w:p>
    <w:p w14:paraId="5588185D"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Заместитель политрука тов. Старков незаметно проник к блиндажу противника, уничтожил находившихся там четырёх немецких солдат и, забрав два пулемёта, автомат и полевую сумку с документами, благополучно вернулся в свою часть.</w:t>
      </w:r>
    </w:p>
    <w:p w14:paraId="611B799B"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белорусских партизан под командованием тов. Б. за последние полтора месяца уничтожил 150 немецких солдат, 9 офицеров, в том числе подполковника и полковника. Партизаны сожгли железнодорожный состав с бензином и 14 автомашин. Группа партизан под руководством тов. Г. заминировала шоссейную дорогу. На минах подорвались две автомашины противника. Убиты несколько немецких оккупантов, среди которых «начальник Минской волости» капитан Шедер.</w:t>
      </w:r>
    </w:p>
    <w:p w14:paraId="761516A2"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Перешедший на сторону Красной Армии солдат испанской «Голубой дивизии» Педро Сальседо П. рассказал: «Многие солдаты дивизии одержимы страхом перед русскими. Подавленное настроение усиливается в связи с тяжёлыми потерями, которые мы несём на фронте. Я сдался в плен не потому, что боюсь смерти, а потому, что считаю бессмысленным воевать против Красной Армии. Зачем мне, испанцу, проливать свою кровь и погибать на русской земле за интересы Гитлера? Сбежать из части и сдаться в плен было довольно трудно. Не один десяток испанских солдат уже поплатился жизнью за подобного рода попытки. Однако теперь солдаты сами расправляются с доносчиками. Недавно в первом батальоне полка «Вьерна» солдат Хозе Санчес убил сержанта Лопеса, отъявленного мерзавца и немецкого холуя».</w:t>
      </w:r>
    </w:p>
    <w:p w14:paraId="22123133"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немецкий ефрейтор Герман Беер рассказал: «Я ехал на фронт через Литву. По дороге и на станциях валяется много разбитых железнодорожных составов и вагонов. Солдаты, с которыми я беседовал, говорили мне, что крушения поездов стали частым явлением. Это делают партизаны, а население им помогает».</w:t>
      </w:r>
    </w:p>
    <w:p w14:paraId="2EF63E2E"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германских предприятиях катастрофически возросло количество несчастных случаев. На военных заводах Нюрнберга за 5 месяцев текущего года несчастных случаев было в два раза больше, чем за весь прошлый год.» (14943).</w:t>
      </w:r>
    </w:p>
    <w:p w14:paraId="37BC3D95" w14:textId="77777777" w:rsidR="00B65961" w:rsidRPr="001E2C69" w:rsidRDefault="00B65961" w:rsidP="00722885">
      <w:pPr>
        <w:spacing w:after="0" w:line="240" w:lineRule="auto"/>
        <w:jc w:val="both"/>
        <w:rPr>
          <w:rFonts w:ascii="Times New Roman" w:hAnsi="Times New Roman"/>
          <w:color w:val="000000" w:themeColor="text1"/>
          <w:sz w:val="16"/>
          <w:szCs w:val="16"/>
        </w:rPr>
      </w:pPr>
    </w:p>
    <w:p w14:paraId="4B9352EC"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5 июля</w:t>
      </w:r>
      <w:r w:rsidRPr="001E2C69">
        <w:rPr>
          <w:rFonts w:ascii="Times New Roman" w:hAnsi="Times New Roman"/>
          <w:color w:val="000000" w:themeColor="text1"/>
          <w:sz w:val="16"/>
          <w:szCs w:val="16"/>
        </w:rPr>
        <w:t xml:space="preserve"> в 1942 году вечернее сообщение Совинформбюро:</w:t>
      </w:r>
    </w:p>
    <w:p w14:paraId="6DE100BF"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5 июля на Курском направлении наши войска вели бои с танками и пехотой противника.</w:t>
      </w:r>
    </w:p>
    <w:p w14:paraId="6BE6977F"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Белгородском и Волчанском направлениях продолжались упорные бои спротивником.</w:t>
      </w:r>
    </w:p>
    <w:p w14:paraId="084EC393"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50B18930"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истекшую неделю, с 28 июня по 4 июля включительно, в воздушных боях, на аэродромах и огнём зенитной артиллерии уничтожено 380 немецких самолётов. Наши потери за это же время 187 самолётов.</w:t>
      </w:r>
    </w:p>
    <w:p w14:paraId="45E8C569"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4 июля частями нашей авиации на различных участках фронта уничтожено или повреждено несколько десятков немецких танков, 180 автомашин с войсками и грузами, 30 повозок с боеприпасами, 4 тяжёлых орудия на механической тяге, взорван склад с боеприпасами, подавлен огонь 7 артиллерийских батарей, рассеяно и частью уничтожено до четырёх рот пехоты противника.</w:t>
      </w:r>
    </w:p>
    <w:p w14:paraId="0DEA3838"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Курском направлении наши войска отражают непрерывные атаки немцев. Противник несёт огромные потери и вводит в бой резервы. На одном из участков наша танковая часть отбила несколько атак гитлеровцев и уничтожила 24 немецких танка. На другом участке пехота противника в течение двух дней ведёт атаки на один населённый пункт. В боях за этот населённый пункт наши бойцы уничтожили свыше 700 гитлеровцев, 3 танка, 5 орудий, 14 пулемётов и 2 миномётные батареи.</w:t>
      </w:r>
    </w:p>
    <w:p w14:paraId="6D7B8579"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Белгородского направления ценой больших потерь немцы вклинились в расположение нашей обороны. Ударом с фланга наши пехотинцы и танкисты нанесли гитлеровцам большой урон. На поле боя остались сотни трупов немецких солдат и офицеров. Подразделение противотанковых ружей сожгло и подбило 6 немецких танков.</w:t>
      </w:r>
    </w:p>
    <w:p w14:paraId="36BC5796"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Калининского фронта немецкая пехота при поддержке 16 танков атаковала советские передовые подразделения и овладела двумя населёнными пунктами. Наши части, перейдя в контратаку, вернули свои позиции обратно и уничтожили при этом до трёх батальонов пехоты противника и подбили 2 немецких танка. На другом участке наша танковая группа разгромила батальон вражеской пехоты, уничтожила 5 орудий, 3 пулемёта, автобус и штабную машину.</w:t>
      </w:r>
    </w:p>
    <w:p w14:paraId="7278ED3B"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Группа наших разведчиков под командованием младшего лейтенанта Сафонова пробралась в тыл врага и устроила засаду около деревни А. Разведчики прождали всю ночь. На рассвете по дороге шли 14 немецких солдат. Пропустив гитлеровцев на несколько метров от места засады, наши бойцы открыли по ним огонь. 11 оккупантов были убиты, а 3 взяты в плен. Разведчики захватили ручной пулемёт, автомат и 12 винтовок.</w:t>
      </w:r>
    </w:p>
    <w:p w14:paraId="2431E52D"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Зенитчики подразделения гвардии капитана Радионова подбили немецкий истребитель «Фокке-Вульф». Батареи старших лейтенантов Зверева и Попова сбили немецкий бомбардировщик «Юнкерс-88».</w:t>
      </w:r>
    </w:p>
    <w:p w14:paraId="2931A2D3"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Артиллеристы части, где командиром тов. Юдинцев, за три дня уничтожили немецкую батарею тяжёлых миномётов, несколько пулемётных точек, 4 автомашины и 5 повозок с грузом.</w:t>
      </w:r>
    </w:p>
    <w:p w14:paraId="70404A52"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Восемьдесят немецких солдат атаковали рубеж, который защищали 5 наших бойцов под командованием гвардии сержанта Инютина. Подпустив противника на близкое расстояние, гвардейцы огнём из ручных пулемётов, а затем гранатами уничтожили 60 гитлеровцев.</w:t>
      </w:r>
    </w:p>
    <w:p w14:paraId="6D702B8A"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под командованием тов. В., действующий в одном из районов Ленинградской области, пустил под откос железнодорожный эшелон противника. В результате крушения разбито 3 классных вагона с войсками и 27 товарных вагонов со снаряжением. Погибло до 200 немецких оккупантов.» (14943).</w:t>
      </w:r>
    </w:p>
    <w:p w14:paraId="034341CD" w14:textId="77777777" w:rsidR="00B65961" w:rsidRPr="001E2C69" w:rsidRDefault="00B65961" w:rsidP="00722885">
      <w:pPr>
        <w:spacing w:after="0" w:line="240" w:lineRule="auto"/>
        <w:jc w:val="both"/>
        <w:rPr>
          <w:rFonts w:ascii="Times New Roman" w:hAnsi="Times New Roman"/>
          <w:color w:val="000000" w:themeColor="text1"/>
          <w:sz w:val="16"/>
          <w:szCs w:val="16"/>
        </w:rPr>
      </w:pPr>
    </w:p>
    <w:p w14:paraId="464001E8" w14:textId="77777777" w:rsidR="00B33D31" w:rsidRPr="001E2C69" w:rsidRDefault="00B33D31" w:rsidP="00722885">
      <w:pPr>
        <w:pStyle w:val="af"/>
        <w:shd w:val="clear" w:color="auto" w:fill="FFFFFF"/>
        <w:spacing w:before="0" w:after="0"/>
        <w:jc w:val="both"/>
        <w:rPr>
          <w:color w:val="000000" w:themeColor="text1"/>
          <w:sz w:val="16"/>
          <w:szCs w:val="16"/>
        </w:rPr>
      </w:pPr>
      <w:r w:rsidRPr="001E2C69">
        <w:rPr>
          <w:color w:val="000000" w:themeColor="text1"/>
          <w:sz w:val="16"/>
          <w:szCs w:val="16"/>
        </w:rPr>
        <w:t>За 5 июля 1943 года танкисты 245-го тп на М3 отчитались об 1 уничтоженном Pz.Kpfw.Tiger Ausf.E, 13 Pz.Kpfw.III и 10 лёгких танках, а также 4 противотанковых пушках. О том, что против них действовали «Пантеры», советские танкисты не знали. В документах описан огонь по немецким танкам, которые с трудом преодолевали противотанковые рвы и минные поля. В бою 5 июля отличились М3л, которые метким огнём умудрились подбить 5 «Пантер», но и М3Ср не выглядели какими-то статистами.</w:t>
      </w:r>
    </w:p>
    <w:p w14:paraId="2095F01C" w14:textId="77777777" w:rsidR="00B33D31" w:rsidRPr="001E2C69" w:rsidRDefault="00B33D31" w:rsidP="00722885">
      <w:pPr>
        <w:pStyle w:val="af"/>
        <w:shd w:val="clear" w:color="auto" w:fill="FFFFFF"/>
        <w:spacing w:before="0" w:after="0"/>
        <w:jc w:val="both"/>
        <w:rPr>
          <w:color w:val="000000" w:themeColor="text1"/>
          <w:sz w:val="16"/>
          <w:szCs w:val="16"/>
        </w:rPr>
      </w:pPr>
      <w:r w:rsidRPr="001E2C69">
        <w:rPr>
          <w:color w:val="000000" w:themeColor="text1"/>
          <w:sz w:val="16"/>
          <w:szCs w:val="16"/>
        </w:rPr>
        <w:t xml:space="preserve">На южном фасе Курской дуги сражался 245-й танковый полк (12 М3Ср и 27 М3л), подчинявшийся 67-й стрелковой дивизии. Именно сюда пришёлся удар немецкой группировки, в составе которой находилось 200 «Пантер». Обычно этот бой описывается как избиение американских танков. Действительно, в первый же день боёв полк понёс тяжелые потери, но отнюдь не с сухим счётом. В документах полка рассказывается об атаке Pz.Kpfw.Tiger Ausf.E, Pz.Kpfw.III и лёгких немецких танков. </w:t>
      </w:r>
    </w:p>
    <w:p w14:paraId="33292FF3" w14:textId="77777777" w:rsidR="00B33D31" w:rsidRPr="001E2C69" w:rsidRDefault="00B33D31" w:rsidP="00722885">
      <w:pPr>
        <w:pStyle w:val="af"/>
        <w:shd w:val="clear" w:color="auto" w:fill="FFFFFF"/>
        <w:spacing w:before="0" w:after="0"/>
        <w:jc w:val="both"/>
        <w:rPr>
          <w:color w:val="000000" w:themeColor="text1"/>
          <w:sz w:val="16"/>
          <w:szCs w:val="16"/>
        </w:rPr>
      </w:pPr>
      <w:r w:rsidRPr="001E2C69">
        <w:rPr>
          <w:color w:val="000000" w:themeColor="text1"/>
          <w:sz w:val="16"/>
          <w:szCs w:val="16"/>
        </w:rPr>
        <w:t>Стоит отметить, что со второй половины 1942 года в СССР поступали танки, оснащённые 75-мм пушками M3. Эти орудия имели систему вертикальной стабилизации. Бронебойные снаряды такой пушки, в зависимости от типа, могли пробивать бортовую броню «Тигра» на дистанции от 400 до 600 метров. А Т-34, например, не мог пробить её и со 100 метров. Как раз такие американские танки имелись и в составе 245-го танкового полка. О том, сколько на самом деле немецких боевых машин подбили танкисты полка, можно спорить. А вот то, что именно о 67-ю стрелковую дивизию и 245-й танковый полк «сточилась» значительная часть немецких танков – бесспорный факт (17705).</w:t>
      </w:r>
    </w:p>
    <w:p w14:paraId="4E214595" w14:textId="77777777" w:rsidR="00B33D31" w:rsidRPr="001E2C69" w:rsidRDefault="00B33D31" w:rsidP="00722885">
      <w:pPr>
        <w:spacing w:after="0" w:line="240" w:lineRule="auto"/>
        <w:jc w:val="both"/>
        <w:rPr>
          <w:rFonts w:ascii="Times New Roman" w:eastAsia="Times New Roman" w:hAnsi="Times New Roman"/>
          <w:color w:val="000000" w:themeColor="text1"/>
          <w:sz w:val="16"/>
          <w:szCs w:val="16"/>
          <w:lang w:eastAsia="ru-RU"/>
        </w:rPr>
      </w:pPr>
    </w:p>
    <w:p w14:paraId="6D7749D5"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5 июля</w:t>
      </w:r>
      <w:r w:rsidRPr="001E2C69">
        <w:rPr>
          <w:rFonts w:ascii="Times New Roman" w:hAnsi="Times New Roman"/>
          <w:color w:val="000000" w:themeColor="text1"/>
          <w:sz w:val="16"/>
          <w:szCs w:val="16"/>
        </w:rPr>
        <w:t xml:space="preserve"> в 1942 году бои еще продолжались на берегах Карантинной и Стрелецкой бухт Севастополя. К вечеру подавлены последние очаги сопротивления. Многие в отчаянии бросались в море вплавь, отвергая плен. При попытке вырваться из окружения в верховье Казачьей бухты на Юхарину балку погибли последние бойцы 25-й Чапаевской сд во главе с начальником связи дивизии. 80 бойцов 95-й стрелковой дивизии погибли в развалинах 35-й батареи после немецкой атаки с огнеметами. Четверо неизвестных солдат и политрук приняли бой с тремя танками и взводом автоматчиков на мысе Фиолент, отбили атаку, а затем покончили с собой (14943).</w:t>
      </w:r>
    </w:p>
    <w:p w14:paraId="14584F04" w14:textId="77777777" w:rsidR="00B65961" w:rsidRPr="001E2C69" w:rsidRDefault="00B65961" w:rsidP="00722885">
      <w:pPr>
        <w:spacing w:after="0" w:line="240" w:lineRule="auto"/>
        <w:jc w:val="both"/>
        <w:rPr>
          <w:rFonts w:ascii="Times New Roman" w:hAnsi="Times New Roman"/>
          <w:color w:val="000000" w:themeColor="text1"/>
          <w:sz w:val="16"/>
          <w:szCs w:val="16"/>
        </w:rPr>
      </w:pPr>
    </w:p>
    <w:p w14:paraId="1ADC0FD1"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5 июля</w:t>
      </w:r>
      <w:r w:rsidRPr="001E2C69">
        <w:rPr>
          <w:rFonts w:ascii="Times New Roman" w:hAnsi="Times New Roman"/>
          <w:color w:val="000000" w:themeColor="text1"/>
          <w:sz w:val="16"/>
          <w:szCs w:val="16"/>
        </w:rPr>
        <w:t xml:space="preserve"> в 1942 году на Западном фронте в районе города Белёва впервые произвели залпы по укрепленным пунктам противника 68-й и 69-й гвардейские минометные полки четырехдивизионного состава, имевшие на вооружении новые пусковые установки для запуска тяжелых фугасных реактивных снарядов «М-30». Снаряд «М-30» предназначался для подавления и уничтожения укрытых огневых средств и живой силы, а также разрушения полевых оборонительных сооружений противника. Снаряд состоял из выполненной в виде эллипсоида калибром 300 мм головной части, к которой был присоединен ракетный двигатель от снаряда «М-13». Вес взрывчатого вещества в головной части снаряда составлял 28,9 кг. Такая конструкция снаряда позволила быстро освоить его в производстве, однако вследствие большого веса головной части и неудовлетворительной баллистической формы снаряда дальность его полета составляла всего 2800 м. Впрочем, этот недостаток компенсировался огромной разрушительной силой снаряда: взрываясь, такой снаряд оставлял после себя воронку семи-восьми метров в диаметре и до двух с половиной метров в глубину. Для запуска реактивных снарядов была разработана пусковая установка (станок) «М-30». Конструкция установки предусматривала запуск снарядов непосредственно из их транспортной укупорки (14943).</w:t>
      </w:r>
    </w:p>
    <w:p w14:paraId="075783B8" w14:textId="77777777" w:rsidR="00B65961" w:rsidRPr="001E2C69" w:rsidRDefault="00B65961" w:rsidP="00722885">
      <w:pPr>
        <w:spacing w:after="0" w:line="240" w:lineRule="auto"/>
        <w:jc w:val="both"/>
        <w:rPr>
          <w:rFonts w:ascii="Times New Roman" w:hAnsi="Times New Roman"/>
          <w:color w:val="000000" w:themeColor="text1"/>
          <w:sz w:val="16"/>
          <w:szCs w:val="16"/>
        </w:rPr>
      </w:pPr>
    </w:p>
    <w:p w14:paraId="4364E59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1942 приказом генерала Хрюкина 226-я и 228-я шад в полном составе были выведены для переформирования на тыловой аэродром Бобров, откуда обе дивизии 15 июля перелетели на передовые аэродромы. 13 июля в состав 8-й ВА вошла 206-я шад, имевшая три полка: 811-й, 873-й и 621-й шап. Несмотря на предпринимаемые командованием 8 ВА меры, эффективность авиационной поддержки войск осталась на прежнем уровне. Немецкие моторизованные и танковые группы продолжали стремительное движение к Сталинграду (12020).</w:t>
      </w:r>
    </w:p>
    <w:p w14:paraId="10C7963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DB5C3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5 июля 1942 г. в районе аэродрома посадки, когда у истребителей ЛаГГ-3 практически не осталось топлива для ведения воздушного боя (да и пилотировали их неопытные новички) в ходе одного из полетов на лидирование эскадрильи истребителей ЛаГГ-3 самолет Пе-3 капитана К. Данилкина атаковали 14 немецких истребителей неподалеку от Воронежа. Немецкие летчики все внимание сосредоточили на самолете - лидере, по-видимому, решив, что на его борту находится какая-то важная персона. По нашим данным, штурман К. Мантуров из ту- рельного пулемета БТ сбил одного за другим два ВГ 109. Еще один упал, прошитый очередями носовой установки. Последний, четвертый Bf 109 Данилкин сбил уже на горящем самолете. Пулемет штурмана молчал, когда немецкие истребители заходили в очередную атаку. Самолет капитана Данилкина взорвался в воздухе. Он оказался единственным Пе-3, потерянным 9-м бап в воздушном бою за восемь месяцев боев. Еще два Пе-3 сбила зенитная артиллерия немцев, один не вернулся с боевого задания, а пятая машина была потеряна при налете вражеской авиации на аэродром </w:t>
      </w:r>
      <w:r w:rsidRPr="001E2C69">
        <w:rPr>
          <w:rFonts w:ascii="Times New Roman" w:hAnsi="Times New Roman"/>
          <w:color w:val="000000" w:themeColor="text1"/>
          <w:sz w:val="16"/>
          <w:szCs w:val="16"/>
        </w:rPr>
        <w:lastRenderedPageBreak/>
        <w:t>Грабцево. В авариях и катастрофах полк потерял еще четыре Пе-3 (12042).</w:t>
      </w:r>
    </w:p>
    <w:p w14:paraId="216E148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15873C"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5 июля 1942 г. подлодка К-21 под командованием капитана 2 ранга Н.А. Лунина атаковала немецкий линкор "Тирпиц", направлявшийся к печально известному конвою </w:t>
      </w:r>
      <w:r w:rsidRPr="001E2C69">
        <w:rPr>
          <w:rFonts w:ascii="Times New Roman" w:hAnsi="Times New Roman"/>
          <w:color w:val="000000" w:themeColor="text1"/>
          <w:sz w:val="16"/>
          <w:szCs w:val="16"/>
          <w:lang w:val="en-US"/>
        </w:rPr>
        <w:t>PQ</w:t>
      </w:r>
      <w:r w:rsidRPr="001E2C69">
        <w:rPr>
          <w:rFonts w:ascii="Times New Roman" w:hAnsi="Times New Roman"/>
          <w:color w:val="000000" w:themeColor="text1"/>
          <w:sz w:val="16"/>
          <w:szCs w:val="16"/>
        </w:rPr>
        <w:t>-17 (9873).</w:t>
      </w:r>
    </w:p>
    <w:p w14:paraId="2FF1D1A1"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p>
    <w:p w14:paraId="6B03D63E" w14:textId="77777777" w:rsidR="00B6596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lang w:val="en-US"/>
        </w:rPr>
        <w:t>J</w:t>
      </w:r>
      <w:r w:rsidR="00B65961" w:rsidRPr="001E2C69">
        <w:rPr>
          <w:rFonts w:ascii="Times New Roman" w:hAnsi="Times New Roman"/>
          <w:bCs/>
          <w:color w:val="000000" w:themeColor="text1"/>
          <w:sz w:val="16"/>
          <w:szCs w:val="16"/>
        </w:rPr>
        <w:t>5 июля</w:t>
      </w:r>
      <w:r w:rsidR="00B65961" w:rsidRPr="001E2C69">
        <w:rPr>
          <w:rFonts w:ascii="Times New Roman" w:hAnsi="Times New Roman"/>
          <w:color w:val="000000" w:themeColor="text1"/>
          <w:sz w:val="16"/>
          <w:szCs w:val="16"/>
        </w:rPr>
        <w:t xml:space="preserve"> в 1942 году подводная лодка Северного флота «К-21» под командованием капитана 2-го ранга Н.А.Лунина атаковала у побережья Северной Норвегии немецкий линейный корабль "Тирпиц" и нанесла ему повреждения (14943).</w:t>
      </w:r>
    </w:p>
    <w:p w14:paraId="0D3EF0AD" w14:textId="77777777" w:rsidR="00B65961" w:rsidRPr="001E2C69" w:rsidRDefault="00B65961" w:rsidP="00722885">
      <w:pPr>
        <w:spacing w:after="0" w:line="240" w:lineRule="auto"/>
        <w:jc w:val="both"/>
        <w:rPr>
          <w:rFonts w:ascii="Times New Roman" w:hAnsi="Times New Roman"/>
          <w:color w:val="000000" w:themeColor="text1"/>
          <w:sz w:val="16"/>
          <w:szCs w:val="16"/>
        </w:rPr>
      </w:pPr>
    </w:p>
    <w:p w14:paraId="42A3E2E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lang w:val="en-US"/>
        </w:rPr>
        <w:t xml:space="preserve">uly 5 1942 Soviet resistance in the Crimea ends (1050) - 4 </w:t>
      </w:r>
      <w:r w:rsidRPr="001E2C69">
        <w:rPr>
          <w:rFonts w:ascii="Times New Roman" w:hAnsi="Times New Roman"/>
          <w:color w:val="000000" w:themeColor="text1"/>
          <w:sz w:val="16"/>
          <w:szCs w:val="16"/>
        </w:rPr>
        <w:t>июля</w:t>
      </w:r>
      <w:r w:rsidRPr="001E2C69">
        <w:rPr>
          <w:rFonts w:ascii="Times New Roman" w:hAnsi="Times New Roman"/>
          <w:color w:val="000000" w:themeColor="text1"/>
          <w:sz w:val="16"/>
          <w:szCs w:val="16"/>
          <w:lang w:val="en-US"/>
        </w:rPr>
        <w:t xml:space="preserve"> 1942 </w:t>
      </w:r>
      <w:r w:rsidRPr="001E2C69">
        <w:rPr>
          <w:rFonts w:ascii="Times New Roman" w:hAnsi="Times New Roman"/>
          <w:color w:val="000000" w:themeColor="text1"/>
          <w:sz w:val="16"/>
          <w:szCs w:val="16"/>
        </w:rPr>
        <w:t>палСевастополь</w:t>
      </w:r>
      <w:r w:rsidRPr="001E2C69">
        <w:rPr>
          <w:rFonts w:ascii="Times New Roman" w:hAnsi="Times New Roman"/>
          <w:color w:val="000000" w:themeColor="text1"/>
          <w:sz w:val="16"/>
          <w:szCs w:val="16"/>
          <w:lang w:val="en-US"/>
        </w:rPr>
        <w:t xml:space="preserve"> (1348,224).</w:t>
      </w:r>
    </w:p>
    <w:p w14:paraId="2444B1C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A63F9E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1942 закончилось наше сопротивление в Крыму (1050) и 4 июля 1942 пал Севастополь (1348,224).</w:t>
      </w:r>
    </w:p>
    <w:p w14:paraId="6877D78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936AF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lang w:val="en-US"/>
        </w:rPr>
        <w:t>July 5th, 1942: Armored units of 4.Panzerarmee (Hoth) reach the Don at Voronesh (3819).</w:t>
      </w:r>
    </w:p>
    <w:p w14:paraId="2A7B96A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24EF6A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1942 танковые части 4ТА (Хот) достигли Днепра у Воронежа (3819).</w:t>
      </w:r>
    </w:p>
    <w:p w14:paraId="0A59662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B06E7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1942 вышло Постановление ГКО № 1986 Об отпуске продовольственных пайков для Красной Армии, Военно-Морского Флота и войск НКВД в июле 1942 г. РГАНИР, Фонд ГКО, д. 41, лл. 163-165, 166-167 (11012).</w:t>
      </w:r>
    </w:p>
    <w:p w14:paraId="658B6B1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98BF67" w14:textId="77777777" w:rsidR="00B65961" w:rsidRPr="001E2C69" w:rsidRDefault="00B6596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1942 г. в ходе полета на лидирование эскадрильи истребителей ЛаГГ-3 самолет Пе-3 капитана К. Данилкина 9 ббап был атакован 14 немецкими истребителями неподалеку от Воронежа. Бой разгорелся в районе аэродрома посадки, когда у истребителей ЛаГГ-3 практически не осталось топлива, да и пилотировали их неопытные новички, что поставило нашу группу в невыгодное положение. Немецкие пилоты все внимание сосредоточили на самолете-лидере, решив, что на борту его находится какая-то важная персона. Штурман К. Мантуров из турельного пулемета стрелял достаточно метко, поразив два “мессера”. Еще в одного попал очередями носовой установки Данилкин, когда их Пе-3 уже горел. Пулемет штурмана замолчал, после чего немецкие истребители в упор расстреляли машину; самолет капитана Данилкина взорвался в воздухе. Он оказался единственным Пе-3, потерянным 9-м ббап в воздушном бою за 8 месяцев пребывания на фронте. Еще две “пешки” сбила зенитная артиллерия, один не вернулся с боевого задания, а пятая машина была потеряна при налете вражеской авиации на аэродром Грабцево. В авариях и катастрофах полк потерял еще четыре Пе-3 (4476).</w:t>
      </w:r>
    </w:p>
    <w:p w14:paraId="6EF3AF07" w14:textId="77777777" w:rsidR="00B65961" w:rsidRPr="001E2C69" w:rsidRDefault="00B6596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8E8CDE"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Жизнь и внутренняя политика:</w:t>
      </w:r>
    </w:p>
    <w:p w14:paraId="18BED4B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F3A04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1942 вышло Постановление ГКО № 1990 Об организации социалистического соревнования организаций и предприятий торговли и общественного питания, Наркомторга СССР, Центросоюза и промышленных наркоматов. РГАНИР, Фонд ГКО, д. 41, лл. 191, 192-198 (11012).</w:t>
      </w:r>
    </w:p>
    <w:p w14:paraId="7C58091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62E1EC" w14:textId="77777777" w:rsidR="009C7E3C" w:rsidRPr="001E2C69" w:rsidRDefault="009C7E3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1942 г. Военный совет Ленинградского фронта принимает постановление № 001048 «О необходимых мероприятиях по г. Ленинграду», предусматривавшее превращение Ленинграда в военный город. Для реализации этой задачи требовалось оставить в нем минимум самодеятельного населения, необходимый для решения самых неотложных вопрос по обеспечению жизнедеятельности и обороны города, прежде всего «…для обслуживания промышленности, выпускающей боеприпасы, вооружение, средства связи и снаряжение для нужд Ленинградского фронта и КБФ». Было признано целесообразным оставить в городе 172 действующих предприятия, обеспеченных электроэнергией и имевших лимит рабочих, инженерно-технического потенциала и служащих. «Все остальные промышленные предприятия, за исключением подлежащих эвакуации, временно законсервировать, обеспечив сохранность и поддержание в полном порядке остающегося оборудования и имущества всех предприятий, а рабочую силу частью перевести на работающие предприятия, а частью эвакуировать».</w:t>
      </w:r>
    </w:p>
    <w:p w14:paraId="6481F7B8" w14:textId="77777777" w:rsidR="009C7E3C" w:rsidRPr="001E2C69" w:rsidRDefault="009C7E3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Из заводов, производивших средства связи, закрытию подлежали «Красная заря» и завод № 615 (18297).</w:t>
      </w:r>
    </w:p>
    <w:p w14:paraId="690937A4" w14:textId="77777777" w:rsidR="009C7E3C" w:rsidRPr="001E2C69" w:rsidRDefault="009C7E3C" w:rsidP="00722885">
      <w:pPr>
        <w:spacing w:after="0" w:line="240" w:lineRule="auto"/>
        <w:jc w:val="both"/>
        <w:rPr>
          <w:rFonts w:ascii="Times New Roman" w:hAnsi="Times New Roman"/>
          <w:color w:val="000000" w:themeColor="text1"/>
          <w:sz w:val="16"/>
          <w:szCs w:val="16"/>
        </w:rPr>
      </w:pPr>
    </w:p>
    <w:p w14:paraId="21A87AB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1942 зам. наркома Круглов подписал приказ № 0243:</w:t>
      </w:r>
    </w:p>
    <w:p w14:paraId="577802F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января 1942 года из мест заключения УНКВД Вологодской области в Тавдинлаг НКВД на строительство оборонного завода № 8 было отправлено 843 осужденных.</w:t>
      </w:r>
    </w:p>
    <w:p w14:paraId="3217753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Согласно распоряжению ГУЛАГа отправке подлежали только здоровые, пригодные к физическому труду заключенные.</w:t>
      </w:r>
    </w:p>
    <w:p w14:paraId="48F84F2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результате безответственного отношения работников Вологодского ОИТК (так в тексте) к отбору заключенных и ряда грубых нарушений приказов НКВД и указаний ГУЛАГа, допущенных при формировании, снабжении и организации отправки эшелона, а также преступного отношения конвоя к своим обязанностям в пути следования, эшелон в лагерь прибыл со значительными потерями в людях, резким истощением заключенных, наличием больных и обмороженных.</w:t>
      </w:r>
    </w:p>
    <w:p w14:paraId="7901E11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преступное отношение к своим обязанностям в пути следования начальник эшелона Проскурин Ф. Я. (работник УИТЛК) и оперативный работник Холмов Н. Ф. осуждены военным Трибуналом войск НКВД Уральского округа по ст. 193-17 к 10 годам лишения свободы каждый.</w:t>
      </w:r>
    </w:p>
    <w:p w14:paraId="5824F93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Учитывая, что и другими работниками УИТЛК УНКВД Вологодской области были допущены грубые нарушения приказов НКВД и безответственное отношение к выполнению указаний ГУЛАГа при отборе и организации отправки заключенных, приказываю:</w:t>
      </w:r>
    </w:p>
    <w:p w14:paraId="1D7A508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Начальника пересыльного пункта УИТЛК УНКВД Вологодской области Смирнова Николая Николаевича арестовать на 20 суток без исполнения служебных обязанностей и по отбытии ареста из органов НКВД уволить.</w:t>
      </w:r>
    </w:p>
    <w:p w14:paraId="7870542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Начальника Санчасти Вологодской ИТК Павлову Татьяну Васильевну арестовать на 10 суток с исполнением служебных обязанностей.</w:t>
      </w:r>
    </w:p>
    <w:p w14:paraId="0859922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Начальнику УИТЛК Смирнову Сергею Васильевичу объявить строгий выговор.</w:t>
      </w:r>
    </w:p>
    <w:p w14:paraId="6F495D6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Производившим отбор заключенных:</w:t>
      </w:r>
    </w:p>
    <w:p w14:paraId="6C9113D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фельдшеру Вологодской ИТК Козловской Антонине Николаевне;</w:t>
      </w:r>
    </w:p>
    <w:p w14:paraId="14B29CE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зубному врачу пересыльного пункта Лазаревой Кире Михайловне;</w:t>
      </w:r>
    </w:p>
    <w:p w14:paraId="233B4C7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фельдшеру пересыльного пункта Черняевой Екатерине Александровне -</w:t>
      </w:r>
    </w:p>
    <w:p w14:paraId="34F19B0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объявить строгий выговор с предупреждением.</w:t>
      </w:r>
    </w:p>
    <w:p w14:paraId="33D4D93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связи с тем, что начальник 2 отделения УИТЛК Миронов, начальник Санчасти УИТЛК Хлебова и начальник Вологодской ИТК Слепухин в настоящее время находятся в действующей Красной Армии, материал о их действиях при отправке заключенных в Тавдинлаг производством прекратить.</w:t>
      </w:r>
    </w:p>
    <w:p w14:paraId="079E215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настоящим приказом ознакомить всех работников УИТЛК-ОИТК и лагерей НКВД, связанных с работой по этапированию заключенных” (7560).</w:t>
      </w:r>
    </w:p>
    <w:p w14:paraId="58720B4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287D1D"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За рубежом:</w:t>
      </w:r>
    </w:p>
    <w:p w14:paraId="6E5489D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38E1CF"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5 июля</w:t>
      </w:r>
      <w:r w:rsidRPr="001E2C69">
        <w:rPr>
          <w:rFonts w:ascii="Times New Roman" w:hAnsi="Times New Roman"/>
          <w:color w:val="000000" w:themeColor="text1"/>
          <w:sz w:val="16"/>
          <w:szCs w:val="16"/>
        </w:rPr>
        <w:t xml:space="preserve"> в 1942 году продемонстрирован представителям ВВС макет бомбардировщика </w:t>
      </w:r>
      <w:hyperlink r:id="rId132" w:tgtFrame="_blank" w:history="1">
        <w:r w:rsidRPr="001E2C69">
          <w:rPr>
            <w:rFonts w:ascii="Times New Roman" w:hAnsi="Times New Roman"/>
            <w:color w:val="000000" w:themeColor="text1"/>
            <w:sz w:val="16"/>
            <w:szCs w:val="16"/>
          </w:rPr>
          <w:t xml:space="preserve">«В-35» </w:t>
        </w:r>
      </w:hyperlink>
      <w:r w:rsidRPr="001E2C69">
        <w:rPr>
          <w:rFonts w:ascii="Times New Roman" w:hAnsi="Times New Roman"/>
          <w:color w:val="000000" w:themeColor="text1"/>
          <w:sz w:val="16"/>
          <w:szCs w:val="16"/>
        </w:rPr>
        <w:t>(внутрифирменное обозначение «NS-9A») выполненного по аэродинамической схеме "летающее крыло". Гигантское "летающее крыло" произвело на комиссию военных неизгладимое впечатление. Размах самолета-крыла составлял 52,98 м, стреловидность по передней кромке 27 градусов, хорда крыла в плоскости симметрии-11,4 м и 2,74 м на концах. Габаритная длина самолета-крыла превышала 16,2 м (14943).</w:t>
      </w:r>
    </w:p>
    <w:p w14:paraId="6D3BA0D5" w14:textId="77777777" w:rsidR="00B65961" w:rsidRPr="001E2C69" w:rsidRDefault="00B65961" w:rsidP="00722885">
      <w:pPr>
        <w:spacing w:after="0" w:line="240" w:lineRule="auto"/>
        <w:jc w:val="both"/>
        <w:rPr>
          <w:rFonts w:ascii="Times New Roman" w:hAnsi="Times New Roman"/>
          <w:color w:val="000000" w:themeColor="text1"/>
          <w:sz w:val="16"/>
          <w:szCs w:val="16"/>
        </w:rPr>
      </w:pPr>
    </w:p>
    <w:p w14:paraId="2395F508"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5 июля</w:t>
      </w:r>
      <w:r w:rsidRPr="001E2C69">
        <w:rPr>
          <w:rFonts w:ascii="Times New Roman" w:hAnsi="Times New Roman"/>
          <w:color w:val="000000" w:themeColor="text1"/>
          <w:sz w:val="16"/>
          <w:szCs w:val="16"/>
        </w:rPr>
        <w:t xml:space="preserve"> в 1942 году опытный образец английского транспортного самолета </w:t>
      </w:r>
      <w:hyperlink r:id="rId133" w:tgtFrame="_blank" w:history="1">
        <w:r w:rsidRPr="001E2C69">
          <w:rPr>
            <w:rFonts w:ascii="Times New Roman" w:hAnsi="Times New Roman"/>
            <w:color w:val="000000" w:themeColor="text1"/>
            <w:sz w:val="16"/>
            <w:szCs w:val="16"/>
          </w:rPr>
          <w:t xml:space="preserve">«Avro» «York» </w:t>
        </w:r>
      </w:hyperlink>
      <w:r w:rsidRPr="001E2C69">
        <w:rPr>
          <w:rFonts w:ascii="Times New Roman" w:hAnsi="Times New Roman"/>
          <w:color w:val="000000" w:themeColor="text1"/>
          <w:sz w:val="16"/>
          <w:szCs w:val="16"/>
        </w:rPr>
        <w:t>совершил первый полет в Рингуэе (Манчестер). Буквально накануне полета был сделан официальный заказ на 4 самолета (первые два - с двигателями Rolls-Royce Merlin ХХ, остальные - с «Bristol» «Hercules VI») на завод «Avro» в Чаддертоне, где в феврале 1942 года конструктор Рой Чедвик и его бюро завершили проектирование «Avro 685» «York» - четырехмоторного транспортного самолета большой дальности. В нем объединили крылья, хвостовое оперение, двигатели и шасси Ланкастера и новый фюзеляж квадратного поперечного сечения. Фактически в итоге все четыре самолета были выпущены с первыми типами двигателей. Единственный оснащенный двигателем Геркулес самолет был опытным образцом (14943).</w:t>
      </w:r>
    </w:p>
    <w:p w14:paraId="4AE5EBE1" w14:textId="77777777" w:rsidR="00B65961" w:rsidRPr="001E2C69" w:rsidRDefault="00B65961" w:rsidP="00722885">
      <w:pPr>
        <w:spacing w:after="0" w:line="240" w:lineRule="auto"/>
        <w:jc w:val="both"/>
        <w:rPr>
          <w:rFonts w:ascii="Times New Roman" w:hAnsi="Times New Roman"/>
          <w:color w:val="000000" w:themeColor="text1"/>
          <w:sz w:val="16"/>
          <w:szCs w:val="16"/>
        </w:rPr>
      </w:pPr>
    </w:p>
    <w:p w14:paraId="4854B3B2" w14:textId="77777777" w:rsidR="00E74794" w:rsidRPr="001E2C69" w:rsidRDefault="00E7479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1942 года состоялся первый полет Авро Йорк (20793).</w:t>
      </w:r>
    </w:p>
    <w:p w14:paraId="747E98AA" w14:textId="77777777" w:rsidR="00E74794" w:rsidRPr="001E2C69" w:rsidRDefault="00E74794" w:rsidP="00722885">
      <w:pPr>
        <w:spacing w:after="0" w:line="240" w:lineRule="auto"/>
        <w:jc w:val="both"/>
        <w:rPr>
          <w:rFonts w:ascii="Times New Roman" w:hAnsi="Times New Roman"/>
          <w:color w:val="000000" w:themeColor="text1"/>
          <w:sz w:val="16"/>
          <w:szCs w:val="16"/>
        </w:rPr>
      </w:pPr>
    </w:p>
    <w:p w14:paraId="37B3AC44" w14:textId="5CA2D0FB" w:rsidR="00E74794" w:rsidRPr="001E2C69" w:rsidRDefault="00E7479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1942</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Опытный образец английского транспортного самолёта Avro York совершил первый полёт в Рингуэе (Манчестер). Буквально накануне полёта был сделан официальный заказ на 4 самолёта (первые два - с двигателями Rolls-Royce Merlin ХХ, остальные - с Bristol Hercules VI) на завод Avro в Чаддертоне, где в феврале 1942года конструктор Рой Чедвик и его бюро завершили проектирование Avro 685 York - четырёхмоторного транспортного самолёта большой дальности. В нём объединили крылья, хвостовое оперение, двигатели и шасси Ланкастера и новый фюзеляж квадратного поперечного сечения.</w:t>
      </w:r>
    </w:p>
    <w:p w14:paraId="02E485F2" w14:textId="77777777" w:rsidR="00E74794" w:rsidRPr="001E2C69" w:rsidRDefault="00E7479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Фактически в итоге все четыре самолёта были выпущены с первыми типами двигателей. Единственный оснащенный двигателем Геркулес самолет был опытным образцом (22439).</w:t>
      </w:r>
    </w:p>
    <w:p w14:paraId="13F35535" w14:textId="77777777" w:rsidR="00E74794" w:rsidRPr="001E2C69" w:rsidRDefault="00E74794" w:rsidP="00722885">
      <w:pPr>
        <w:spacing w:after="0" w:line="240" w:lineRule="auto"/>
        <w:jc w:val="both"/>
        <w:rPr>
          <w:rFonts w:ascii="Times New Roman" w:hAnsi="Times New Roman"/>
          <w:color w:val="000000" w:themeColor="text1"/>
          <w:sz w:val="16"/>
          <w:szCs w:val="16"/>
        </w:rPr>
      </w:pPr>
    </w:p>
    <w:p w14:paraId="7196E483"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5 июля</w:t>
      </w:r>
      <w:r w:rsidRPr="001E2C69">
        <w:rPr>
          <w:rFonts w:ascii="Times New Roman" w:hAnsi="Times New Roman"/>
          <w:color w:val="000000" w:themeColor="text1"/>
          <w:sz w:val="16"/>
          <w:szCs w:val="16"/>
        </w:rPr>
        <w:t xml:space="preserve"> в 1942 году впервые взлетел прототип </w:t>
      </w:r>
      <w:hyperlink r:id="rId134" w:tgtFrame="_blank" w:history="1">
        <w:r w:rsidRPr="001E2C69">
          <w:rPr>
            <w:rFonts w:ascii="Times New Roman" w:hAnsi="Times New Roman"/>
            <w:color w:val="000000" w:themeColor="text1"/>
            <w:sz w:val="16"/>
            <w:szCs w:val="16"/>
          </w:rPr>
          <w:t xml:space="preserve">«XPBB-1» </w:t>
        </w:r>
      </w:hyperlink>
      <w:r w:rsidRPr="001E2C69">
        <w:rPr>
          <w:rFonts w:ascii="Times New Roman" w:hAnsi="Times New Roman"/>
          <w:color w:val="000000" w:themeColor="text1"/>
          <w:sz w:val="16"/>
          <w:szCs w:val="16"/>
        </w:rPr>
        <w:t>(бортовой номер 3144). 29 июня 1940 года ВМС США подписали предварительный контракт с компанией Boeing на строительство прототипа самолета, получившего обозначение «XPBB-1» «Sea Ranger», с последующей поставкой еще 57 экземпляров самолета. Но к этому времени произошло событие, коренным образом повлиявшее на судьбу самолета - за месяц до первого полета произошла битва при атолле Мидуэй. В ее ходе американские бомбардировщики уничтожили четыре японских авианосца. В связи с этим Командование ВМС пересмотрело свои взгляды на дальние патрульные лодки, сделав ставку на наземные бомбардировщики, и контракт на поставку «Sea Ranger» был аннулирован. Единственный построенный «XPBB-1» (которого шутники окрестили «Lone Ranger» - одинокий рэйнджер) в 1943 году был переведен на военно-морскую базу в Сан-Диего, где еще в течении нескольких лет использовался для различных испытаний. После чего его передали в «Norfolk Naval Air Station» в штате Виржиния (14943).</w:t>
      </w:r>
    </w:p>
    <w:p w14:paraId="44C96442" w14:textId="77777777" w:rsidR="00B65961" w:rsidRPr="001E2C69" w:rsidRDefault="00B65961" w:rsidP="00722885">
      <w:pPr>
        <w:spacing w:after="0" w:line="240" w:lineRule="auto"/>
        <w:jc w:val="both"/>
        <w:rPr>
          <w:rFonts w:ascii="Times New Roman" w:hAnsi="Times New Roman"/>
          <w:color w:val="000000" w:themeColor="text1"/>
          <w:sz w:val="16"/>
          <w:szCs w:val="16"/>
        </w:rPr>
      </w:pPr>
    </w:p>
    <w:p w14:paraId="55D0B2B9" w14:textId="77777777" w:rsidR="00E74794" w:rsidRPr="001E2C69" w:rsidRDefault="00E7479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1942 американский самолет-разведчик обнаруживает, что японцы строят аэродром на Гуадалканале (20793).</w:t>
      </w:r>
    </w:p>
    <w:p w14:paraId="42654AE8" w14:textId="77777777" w:rsidR="00E74794" w:rsidRPr="001E2C69" w:rsidRDefault="00E74794" w:rsidP="00722885">
      <w:pPr>
        <w:spacing w:after="0" w:line="240" w:lineRule="auto"/>
        <w:jc w:val="both"/>
        <w:rPr>
          <w:rFonts w:ascii="Times New Roman" w:hAnsi="Times New Roman"/>
          <w:color w:val="000000" w:themeColor="text1"/>
          <w:sz w:val="16"/>
          <w:szCs w:val="16"/>
        </w:rPr>
      </w:pPr>
    </w:p>
    <w:p w14:paraId="7D181CC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lang w:val="en-US"/>
        </w:rPr>
        <w:t>July 5 - PQ17 to Murmansk loses 23 of 36 ships to subs and Kondors - worst single loss of war (1052).</w:t>
      </w:r>
    </w:p>
    <w:p w14:paraId="2113FDB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6F93B0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1942 конвой Пи-Ку-17 потерял 23 из 36 судов из-за подводных лодок и Кондоров, самая большая единичная потеря в ходе войны (1052).</w:t>
      </w:r>
    </w:p>
    <w:p w14:paraId="72599A4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80C533"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1942 будущий писатель Ян Флеминг с отличием окончил школу для шпионов в Канаде (4962).</w:t>
      </w:r>
    </w:p>
    <w:p w14:paraId="511A17E8"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140C26"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Авиапромышленность:</w:t>
      </w:r>
    </w:p>
    <w:p w14:paraId="29230B1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6D197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июля 1942 закончились гос. испытания двухместного Ил-2 с АМ-38Ф (3846,17).</w:t>
      </w:r>
    </w:p>
    <w:p w14:paraId="3475E4B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D3D9B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июля 1942 А.А.Новиков докладывал Председателю ГКО И.В.Сталину:</w:t>
      </w:r>
    </w:p>
    <w:p w14:paraId="3F54BCF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"Докладываю, что по донесениям из строевых частей боевые потери Ил-2 с деревянными плоскостями увеличились по сравнению с Ил-2, имеющими металлические плоскости. Кроме того удлинились сроки восстановления поврежден самолетов. Это происходит потому, что в металлических плоскостях пробоины от снарядов и даже мин не превышают в выходной части 25-35 см в диаметре и легко заделываются металлическими листами. В деревянных плоскостях пробоины получаются размером более квадратного метра и ремонт их затруднен." (483).</w:t>
      </w:r>
    </w:p>
    <w:p w14:paraId="30E1338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81C06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6 июля 1942 завод № 289 изготовил три фюзеляжа и два центроплана, а также ряд других агрегатов для пяти самолетов малой войсковой серии Су-6, которую завод № 289 все же начал. Однако в конце месяца Шахурин распорядился приостановить работы, а имеющийся задел за</w:t>
      </w:r>
      <w:r w:rsidRPr="001E2C69">
        <w:rPr>
          <w:rFonts w:ascii="Times New Roman" w:hAnsi="Times New Roman"/>
          <w:color w:val="000000" w:themeColor="text1"/>
          <w:sz w:val="16"/>
          <w:szCs w:val="16"/>
        </w:rPr>
        <w:softHyphen/>
        <w:t>консервировать.</w:t>
      </w:r>
    </w:p>
    <w:p w14:paraId="6EBF999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этому времени оба летных экземпляра самолета Су-6 на</w:t>
      </w:r>
      <w:r w:rsidRPr="001E2C69">
        <w:rPr>
          <w:rFonts w:ascii="Times New Roman" w:hAnsi="Times New Roman"/>
          <w:color w:val="000000" w:themeColor="text1"/>
          <w:sz w:val="16"/>
          <w:szCs w:val="16"/>
        </w:rPr>
        <w:softHyphen/>
        <w:t>ходились в Молотове на заводе № 289 (территория моторо</w:t>
      </w:r>
      <w:r w:rsidRPr="001E2C69">
        <w:rPr>
          <w:rFonts w:ascii="Times New Roman" w:hAnsi="Times New Roman"/>
          <w:color w:val="000000" w:themeColor="text1"/>
          <w:sz w:val="16"/>
          <w:szCs w:val="16"/>
        </w:rPr>
        <w:softHyphen/>
        <w:t>строительного завода № 19), где на них предполагалось уста</w:t>
      </w:r>
      <w:r w:rsidRPr="001E2C69">
        <w:rPr>
          <w:rFonts w:ascii="Times New Roman" w:hAnsi="Times New Roman"/>
          <w:color w:val="000000" w:themeColor="text1"/>
          <w:sz w:val="16"/>
          <w:szCs w:val="16"/>
        </w:rPr>
        <w:softHyphen/>
        <w:t>новить новые моторы М-71ф и отработать винтомоторную группу. Все работы планировалось провести силами завода № 19. Первый экземпляр («81») отличался от второго экземп</w:t>
      </w:r>
      <w:r w:rsidRPr="001E2C69">
        <w:rPr>
          <w:rFonts w:ascii="Times New Roman" w:hAnsi="Times New Roman"/>
          <w:color w:val="000000" w:themeColor="text1"/>
          <w:sz w:val="16"/>
          <w:szCs w:val="16"/>
        </w:rPr>
        <w:softHyphen/>
        <w:t>ляра («82») отсутствием предкрылков и установкой восьми РО-82 вместо десяти. На нем не было пушек. В свое время на него планировалось установить пушки МП-6 калибра 23 мм, но они, как известно, были сняты с серийного производства.</w:t>
      </w:r>
    </w:p>
    <w:p w14:paraId="4773419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Трезво оценивая складывающуюся обстановку вокруг Су-6, П.О. Сухой принимает решение установить на самолет две пушки калибра 37 мм, устранить выявленные на государствен</w:t>
      </w:r>
      <w:r w:rsidRPr="001E2C69">
        <w:rPr>
          <w:rFonts w:ascii="Times New Roman" w:hAnsi="Times New Roman"/>
          <w:color w:val="000000" w:themeColor="text1"/>
          <w:sz w:val="16"/>
          <w:szCs w:val="16"/>
        </w:rPr>
        <w:softHyphen/>
        <w:t>ных испытаниях недостатки и доработать в соответствии с так</w:t>
      </w:r>
      <w:r w:rsidRPr="001E2C69">
        <w:rPr>
          <w:rFonts w:ascii="Times New Roman" w:hAnsi="Times New Roman"/>
          <w:color w:val="000000" w:themeColor="text1"/>
          <w:sz w:val="16"/>
          <w:szCs w:val="16"/>
        </w:rPr>
        <w:softHyphen/>
        <w:t>тико-техническими требованиями ВВС к самолету-штурмови</w:t>
      </w:r>
      <w:r w:rsidRPr="001E2C69">
        <w:rPr>
          <w:rFonts w:ascii="Times New Roman" w:hAnsi="Times New Roman"/>
          <w:color w:val="000000" w:themeColor="text1"/>
          <w:sz w:val="16"/>
          <w:szCs w:val="16"/>
        </w:rPr>
        <w:softHyphen/>
        <w:t>ку на 1943 г. На первом экземпляре модифицированной «шестерки» должны были монтироваться пушки 11П ОКБ-16 (в серии НС-37). На втором экземпляре — пушки Ш-37 ОКБ-15. При этом количество пулеметов ШКАС сокращалось до двух, а ра</w:t>
      </w:r>
      <w:r w:rsidRPr="001E2C69">
        <w:rPr>
          <w:rFonts w:ascii="Times New Roman" w:hAnsi="Times New Roman"/>
          <w:color w:val="000000" w:themeColor="text1"/>
          <w:sz w:val="16"/>
          <w:szCs w:val="16"/>
        </w:rPr>
        <w:softHyphen/>
        <w:t>кетных орудий — до шести. Боезапас к пушкам включал 80 снарядов, а к пулеметам — 1500 патронов. Срок готовности первого экземпляра устанавливался — ноябрь, а второго — де</w:t>
      </w:r>
      <w:r w:rsidRPr="001E2C69">
        <w:rPr>
          <w:rFonts w:ascii="Times New Roman" w:hAnsi="Times New Roman"/>
          <w:color w:val="000000" w:themeColor="text1"/>
          <w:sz w:val="16"/>
          <w:szCs w:val="16"/>
        </w:rPr>
        <w:softHyphen/>
        <w:t>кабрь 1942 г. (11474,412).</w:t>
      </w:r>
    </w:p>
    <w:p w14:paraId="2BA7351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AD606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июля 1942 состоялся первый полет Як-7ДИ - прототипа Як-9 (237,199).</w:t>
      </w:r>
    </w:p>
    <w:p w14:paraId="3E58BC4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3B5CE9"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6 июля</w:t>
      </w:r>
      <w:r w:rsidRPr="001E2C69">
        <w:rPr>
          <w:rFonts w:ascii="Times New Roman" w:hAnsi="Times New Roman"/>
          <w:color w:val="000000" w:themeColor="text1"/>
          <w:sz w:val="16"/>
          <w:szCs w:val="16"/>
        </w:rPr>
        <w:t xml:space="preserve"> в 1942 году состоялся первый полет самолета «Як-7ДИ» (прототипа серийного истребителя «Як-9»), П.Я.Федрови (14944).</w:t>
      </w:r>
    </w:p>
    <w:p w14:paraId="1968392E" w14:textId="77777777" w:rsidR="00B65961" w:rsidRPr="001E2C69" w:rsidRDefault="00B65961" w:rsidP="00722885">
      <w:pPr>
        <w:spacing w:after="0" w:line="240" w:lineRule="auto"/>
        <w:jc w:val="both"/>
        <w:rPr>
          <w:rFonts w:ascii="Times New Roman" w:hAnsi="Times New Roman"/>
          <w:color w:val="000000" w:themeColor="text1"/>
          <w:sz w:val="16"/>
          <w:szCs w:val="16"/>
        </w:rPr>
      </w:pPr>
    </w:p>
    <w:p w14:paraId="7E147C5B" w14:textId="77777777" w:rsidR="00422805" w:rsidRPr="008A2E5A" w:rsidRDefault="00422805" w:rsidP="0042280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июля 1942 г. П.Я. Федрови совер</w:t>
      </w:r>
      <w:r w:rsidRPr="008A2E5A">
        <w:rPr>
          <w:rFonts w:ascii="Times New Roman" w:hAnsi="Times New Roman"/>
          <w:color w:val="0070C0"/>
          <w:sz w:val="16"/>
          <w:szCs w:val="16"/>
        </w:rPr>
        <w:softHyphen/>
        <w:t>шил первый полет на новом варианте истребителя Як-7 - Як-7 ДИ (Як-7Д №1, Як-7Д опытный №1, Як-7-ДИ, Як-9) Заводские летные ис</w:t>
      </w:r>
      <w:r w:rsidRPr="008A2E5A">
        <w:rPr>
          <w:rFonts w:ascii="Times New Roman" w:hAnsi="Times New Roman"/>
          <w:color w:val="0070C0"/>
          <w:sz w:val="16"/>
          <w:szCs w:val="16"/>
        </w:rPr>
        <w:softHyphen/>
        <w:t>пытания длились недолго (всего выполнено 15 полетов с налетом 13 часов 15 минут). В процессе заводских испы</w:t>
      </w:r>
      <w:r w:rsidRPr="008A2E5A">
        <w:rPr>
          <w:rFonts w:ascii="Times New Roman" w:hAnsi="Times New Roman"/>
          <w:color w:val="0070C0"/>
          <w:sz w:val="16"/>
          <w:szCs w:val="16"/>
        </w:rPr>
        <w:softHyphen/>
        <w:t>таний произошло переобозначение машины. Ее стали на</w:t>
      </w:r>
      <w:r w:rsidRPr="008A2E5A">
        <w:rPr>
          <w:rFonts w:ascii="Times New Roman" w:hAnsi="Times New Roman"/>
          <w:color w:val="0070C0"/>
          <w:sz w:val="16"/>
          <w:szCs w:val="16"/>
        </w:rPr>
        <w:softHyphen/>
        <w:t>зывать Як-7-ДИ (дальний истребитель). Указание о новом официальном наименовании машины пришло из Москвы в Новосибирский филиал завода №115 несколько позже. Поэтому и на заводских, и на государственных испытани</w:t>
      </w:r>
      <w:r w:rsidRPr="008A2E5A">
        <w:rPr>
          <w:rFonts w:ascii="Times New Roman" w:hAnsi="Times New Roman"/>
          <w:color w:val="0070C0"/>
          <w:sz w:val="16"/>
          <w:szCs w:val="16"/>
        </w:rPr>
        <w:softHyphen/>
        <w:t>ях самолет продолжил нести индекс «7-Д» на плоскостях и оперении. Перед передачей самолета на государст</w:t>
      </w:r>
      <w:r w:rsidRPr="008A2E5A">
        <w:rPr>
          <w:rFonts w:ascii="Times New Roman" w:hAnsi="Times New Roman"/>
          <w:color w:val="0070C0"/>
          <w:sz w:val="16"/>
          <w:szCs w:val="16"/>
        </w:rPr>
        <w:softHyphen/>
        <w:t>твенные испытания фибровые непротектированные бензобаки заменили алюминиевыми протектированными, что увеличило полетный вес машины до 3033 кг (23381).</w:t>
      </w:r>
    </w:p>
    <w:p w14:paraId="72F3B960" w14:textId="77777777" w:rsidR="00422805" w:rsidRPr="008A2E5A" w:rsidRDefault="00422805" w:rsidP="00422805">
      <w:pPr>
        <w:spacing w:after="0" w:line="240" w:lineRule="auto"/>
        <w:jc w:val="both"/>
        <w:rPr>
          <w:rFonts w:ascii="Times New Roman" w:hAnsi="Times New Roman"/>
          <w:color w:val="0070C0"/>
          <w:sz w:val="16"/>
          <w:szCs w:val="16"/>
        </w:rPr>
      </w:pPr>
    </w:p>
    <w:p w14:paraId="4E6647C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июля 1942 вышло Постановление ГКО № 1993 О графике выпуска самолетов и моторов в июле месяце 1942 г. РГАНИР, Фонд ГКО, д. 42, лл. 7, 8-9 (11012).</w:t>
      </w:r>
    </w:p>
    <w:p w14:paraId="44DD056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25CF6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июля 1942 вышло Постановление ГКО № 1994 О плане капитальных работ и материально-техническом обеспечении строительства заводов Наркомавиапрома в III квартале 1942 г. РГАНИР, Фонд ГКО, д. 42, лл. 10-11, 12-29 (11012).</w:t>
      </w:r>
    </w:p>
    <w:p w14:paraId="3B93AEF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AB105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июля 1942 вышло Постановление ГКО № 1995 О материально-техническом обеспечении авиационной промышленности в III квартале 1942 г. РГАНИР, Фонд ГКО, д. 42, лл. 30-49, 50-117 (11012).</w:t>
      </w:r>
    </w:p>
    <w:p w14:paraId="5C9DD92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A186D0"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Другие оборонные отрасли:</w:t>
      </w:r>
    </w:p>
    <w:p w14:paraId="05BDAFE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112E2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июля 1942 вышло Постановление ГКО № 1992 Об эвакуации предприятий Наркомчермета Ворошиловградской обл. РГАНИР, Фонд ГКО, д. 42, лл. 1, 2-6 (11012).</w:t>
      </w:r>
    </w:p>
    <w:p w14:paraId="032502E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EC7B15"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июля 1942 г. вышло постановление Государственного Комитета Обороны от "О строительстве на Дорогомиловском химическом заводе им. Фрунзе Наркомхимпрома цеха производства резерцина"</w:t>
      </w:r>
    </w:p>
    <w:p w14:paraId="343AAC73"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"Обязать НКХимпром (т. Первухина):</w:t>
      </w:r>
    </w:p>
    <w:p w14:paraId="49F67DC3"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организовать производство резерцина на Дорогомиловском заводе им. Фрунзе (г. Москва) мощностью 25 тонн в год;</w:t>
      </w:r>
    </w:p>
    <w:p w14:paraId="10436E58"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закончить строительство и монтаж оборудования цеха производства резерцина к 1 сентября 42 г…."</w:t>
      </w:r>
    </w:p>
    <w:p w14:paraId="05ECEAE8"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Председатель ГКО И. Сталин (11493).</w:t>
      </w:r>
    </w:p>
    <w:p w14:paraId="6CFC7DF3"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p>
    <w:p w14:paraId="2D78D1E8"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Армия:</w:t>
      </w:r>
    </w:p>
    <w:p w14:paraId="0F198A3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D8777C"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6 июля</w:t>
      </w:r>
      <w:r w:rsidRPr="001E2C69">
        <w:rPr>
          <w:rFonts w:ascii="Times New Roman" w:hAnsi="Times New Roman"/>
          <w:color w:val="000000" w:themeColor="text1"/>
          <w:sz w:val="16"/>
          <w:szCs w:val="16"/>
        </w:rPr>
        <w:t xml:space="preserve"> в 1942 году утреннее сообщение Совинформбюро:</w:t>
      </w:r>
    </w:p>
    <w:p w14:paraId="486CB487"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6 июля на Курском, Белгородском и Волчанском направлениях наши войска вели бои с противником.</w:t>
      </w:r>
    </w:p>
    <w:p w14:paraId="0D5668C7"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46FE4394"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Курском направлении идут кровопролитные бои, в ходе которых противник несёт огромные потери. В последних боях на одном из участков танкисты уничтожили полк немецкой пехоты и артиллерийский дивизион противника. На другом участке наша танковая часть уничтожила до 600 немецких солдат и офицеров, сожгла несколько танков и уничтожила 16 станковых пулемётов, 11 орудий и 17 автомашин. Активно действуют наши лётчики. За сутки они уничтожили несколько десятков немецких танков, свыше 70 автомашин с пехотой, 6 орудий и сбили в воздушных боях 14 немецких самолётов.</w:t>
      </w:r>
    </w:p>
    <w:p w14:paraId="237361D4"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Калининского фронта пехота противника, поддержанная танками, вклинилась в нашу оборону. Массированным огнём нашей артиллерии ипехоты гитлеровцы были отброшены на исходные позиции, оставив на поле боя свыше 200 трупов. В этом бою подбито 3 немецких танка.</w:t>
      </w:r>
    </w:p>
    <w:p w14:paraId="1C7CCC6C"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 части, действующие на отдельных участках Ленинградского фронта, за два дня уничтожили свыше 300 солдат и офицеров противника. Огнём артиллерии рассеяно три группы пехоты противника, разрушено 9 ДЗОТов, 6 блиндажей и 3 наблюдательных пункта, подавлен огонь 2-х полевых артиллерийских батарей, уничтожено несколько орудий и станковых пулемётов.</w:t>
      </w:r>
    </w:p>
    <w:p w14:paraId="7ABB0CDE"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Отряд наших бойцов под командованием лейтенанта Савельева, действующий в тылу врага, совершил налёт на немецкий гарнизон, находившийся в деревне Р. Красноармейцы уничтожили 80 гитлеровцев и захватили 2 пулемёта, 2 автомата, 21 винтовку и 2 тысячи патронов.</w:t>
      </w:r>
    </w:p>
    <w:p w14:paraId="74E9A558"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Немцы атаковали нашу артиллерийскую батарею. Артиллеристы почти в упор расстреливали гитлеровцев из орудий и нанесли им большой урон. Когда все снаряды были израсходованы, наши бойцы под руководством старшего политрука Степаненко бросились в штыки и отбили атаку противника.</w:t>
      </w:r>
    </w:p>
    <w:p w14:paraId="4279152F"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Группа партизан одного из отрядов, действующих в Могилёвской области, за пять дней уничтожила 12 немецких солдат и 8 офицеров, подорвала 2 штабные и 3 грузовые автомашины и сожгла 8 тонн бензина. Другая группа партизан этого же отряда организовала крушение железнодорожного эшелона противника.</w:t>
      </w:r>
    </w:p>
    <w:p w14:paraId="3A2E7B6D"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102 пехотной немецкой дивизии, поляк по национальности, Валентин Б. рассказал: «В конце марта 1942 года меня призвали в германскую армию и направили в запасный батальон в город Мец. В батальоне было около 80 процентов поляков. После двухмесячного обучения нас послали на фронт. По дороге 6 человек сбежали, но большинство решило не дезертировать. Еще в Меце мы сговорились между собой, что воевать против России не будем, перебьём немецких офицеров и с оружием в руках перейдём на сторону русских. Но на фронте поляков распихали по разным частям и подразделениям. Я шёл сдаваться в плен не один, со мной вместе перешёл и мой товарищ Георг А. Население Польши всей душой ненавидит немцев. Многие польские патриоты ушли в партизанские отряды. Особенно активно действуют партизаны в районах Варшавы, Лодзи и Кракова».</w:t>
      </w:r>
    </w:p>
    <w:p w14:paraId="2441C5CA"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Карельского фронта на территории, отбитой у противника, найден труп советского бойца. Медицинским освидетельствованием установлено, что гитлеровцы подвергли этого красноармейца жестоким пыткам. Живот, половые органыи бедро имеют следы ожогов. Голова разбита тупым предметом. Всё тело исколото штыками.» (14944).</w:t>
      </w:r>
    </w:p>
    <w:p w14:paraId="0A4D8AE9" w14:textId="77777777" w:rsidR="00B65961" w:rsidRPr="001E2C69" w:rsidRDefault="00B65961" w:rsidP="00722885">
      <w:pPr>
        <w:spacing w:after="0" w:line="240" w:lineRule="auto"/>
        <w:jc w:val="both"/>
        <w:rPr>
          <w:rFonts w:ascii="Times New Roman" w:hAnsi="Times New Roman"/>
          <w:color w:val="000000" w:themeColor="text1"/>
          <w:sz w:val="16"/>
          <w:szCs w:val="16"/>
        </w:rPr>
      </w:pPr>
    </w:p>
    <w:p w14:paraId="5BD6CCC8"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6 июля</w:t>
      </w:r>
      <w:r w:rsidRPr="001E2C69">
        <w:rPr>
          <w:rFonts w:ascii="Times New Roman" w:hAnsi="Times New Roman"/>
          <w:color w:val="000000" w:themeColor="text1"/>
          <w:sz w:val="16"/>
          <w:szCs w:val="16"/>
        </w:rPr>
        <w:t xml:space="preserve"> в 1942 году вечернее сообщение Совинформбюро:</w:t>
      </w:r>
    </w:p>
    <w:p w14:paraId="5A7B0114"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6 июля наши войска вели жестокие бои западнее Воронежа и юго-западнее Старый Оскол. Наши войска оставили ряд населённых пунктов.</w:t>
      </w:r>
    </w:p>
    <w:p w14:paraId="3BE52FBC"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62652679"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5 июля частями нашей авиации на различных участках фронта уничтожено или повреждено до 70 немецких танков, более 80 автомашин с войсками и грузами, 45 повозок с боеприпасами, взорвано 3 склада с боеприпасами, подавлен огонь 11 батарей полевой и зенитной артиллерии, разбито два железнодорожных состава, рассеяно и частью уничтожено до полка пехоты и два эскадрона конницы противника.</w:t>
      </w:r>
    </w:p>
    <w:p w14:paraId="5D81CE5D"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ожесточённых боях западнее Воронежа наши танкисты нанесли противнику огромные потери. Только за один ночной бой они уничтожили более 1.000 немецких солдат и офицеров. На другом участке наша часть под командованием тов. Батюка в бою за селение К. гранатами, бутылками с зажигательной смесью, огнём артиллерии, противотанковых ружей и миномётов за четыре дня боёв вывела из строя свыше ста немецких танков и уничтожила до 800 гитлеровцев. Помогая частям Красной Армий, партизаны Курской области организовали крушение немецкого воинского эшелона. Разбиты 30 вагонов и паровоз. Под обломками погибло много солдат и офицеров противника.</w:t>
      </w:r>
    </w:p>
    <w:p w14:paraId="57D6C0E4"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Пехотная дивизия противника при поддержке танков и бронемашин атаковала на одном из участков Калининского фронта передний край нашей обороны. Ожесточённый бой продолжался весь день. Противник потерял только убитыми свыше 500 солдат и офицеров, а также 7 танков и 5 бронемашин. На другом участке немецкой пехоте при поддержке танков удалось потеснить наши части. Наше танковое подразделение контратаковало наступающего противника и уничтожило 11 немецких танков, 2 противотанковые пушки и большое количество вражеской пехоты. Не дав возможности немцам закрепиться, наши бойцы успешной контратакой выбили противника из занятых им позиций. В этом бою гитлеровцы потеряли убитыми и ранеными до 400 солдат и офицеров, 13 танков и 5 орудий.</w:t>
      </w:r>
    </w:p>
    <w:p w14:paraId="64B2D560"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Миномётчики и артиллеристы под командованием тт. Турьева и Квашника уничтожила 2 немецких танка, 5 орудий, 19 повозок с боеприпасами, автомашину и около 200 гитлеровцев.</w:t>
      </w:r>
    </w:p>
    <w:p w14:paraId="3BB0A8F4"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Бойцы части, где командиром тов. Лыскин, ружейно-пулемётным огнём сбили над полем боя немецкий бомбардировщик. Экипаж самолёта противника взят в плен.</w:t>
      </w:r>
    </w:p>
    <w:p w14:paraId="034E73C2"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Сдавшиеся в плен капитан, унтер-офицер и 18 солдат 88 немецкой пехотной дивизии заявили: «Немецкие войска несут колоссальные потери. На полях сражения навалены горы трупов наших товарищей. Убитых так много, что их не успевают убирать. Германское командование не считается ни с какими жертвами и бросает всё новые массы солдат. Они буквально шагают по трупам. Мы поняли, что всех нас ждёт гибель, и поэтому решили сложить оружие».</w:t>
      </w:r>
    </w:p>
    <w:p w14:paraId="73BB8827"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мерзавцы, истребляют население оккупированных ими советских районов. В городе Чернигове гитлеровцы в июне расстреляли свыше 300 жителей только за то, что они отказались поехать на принудительные работы в Германию. Среди расстрелянных много женщин и подростков. Немецкие власти ежедневно устраивают массовые обыски, сопровождающиеся грабежами и убийствами.</w:t>
      </w:r>
    </w:p>
    <w:p w14:paraId="7C634697"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Несмотря на жесточайший террор гитлеровцев, освободительное движение в Югославии принимает всё больший размах. Много тысяч хорватских партизан ведут успешную борьбу против немецко-итальянских оккупантов. Партизанские отряды совершают внезапные налёты на города и уничтожают там гарнизоны итальянских захватчиков. В двадцатых числах июня партизаны разгромили колонну итальянской пехоты, направлявшуюся в город Брод. Уничтожено свыше ста оккупантов.» (14944).</w:t>
      </w:r>
    </w:p>
    <w:p w14:paraId="0797FA88" w14:textId="77777777" w:rsidR="00B65961" w:rsidRPr="001E2C69" w:rsidRDefault="00B65961" w:rsidP="00722885">
      <w:pPr>
        <w:spacing w:after="0" w:line="240" w:lineRule="auto"/>
        <w:jc w:val="both"/>
        <w:rPr>
          <w:rFonts w:ascii="Times New Roman" w:hAnsi="Times New Roman"/>
          <w:color w:val="000000" w:themeColor="text1"/>
          <w:sz w:val="16"/>
          <w:szCs w:val="16"/>
        </w:rPr>
      </w:pPr>
    </w:p>
    <w:p w14:paraId="6C72E7A1"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6 июля</w:t>
      </w:r>
      <w:r w:rsidRPr="001E2C69">
        <w:rPr>
          <w:rFonts w:ascii="Times New Roman" w:hAnsi="Times New Roman"/>
          <w:color w:val="000000" w:themeColor="text1"/>
          <w:sz w:val="16"/>
          <w:szCs w:val="16"/>
        </w:rPr>
        <w:t xml:space="preserve"> в 1942 году немeцко-фашиcтcкиe войска форсировали реку Дон и овладели большей частью Воронежа. В этот же день 5-я танковая армия нанесла контрудар южнее Ельца по войскам левого фланга армейской группы "Вейхс", для отражения которого противник был вынужден привлечь 24-й танковый корпус, 3 пехотные дивизии и 4-ю танковую армию и ослабить этим свою группировку, наступавшую вдоль Дона (14944).</w:t>
      </w:r>
    </w:p>
    <w:p w14:paraId="0F2CFC7C" w14:textId="77777777" w:rsidR="00B65961" w:rsidRPr="001E2C69" w:rsidRDefault="00B65961" w:rsidP="00722885">
      <w:pPr>
        <w:spacing w:after="0" w:line="240" w:lineRule="auto"/>
        <w:jc w:val="both"/>
        <w:rPr>
          <w:rFonts w:ascii="Times New Roman" w:hAnsi="Times New Roman"/>
          <w:color w:val="000000" w:themeColor="text1"/>
          <w:sz w:val="16"/>
          <w:szCs w:val="16"/>
        </w:rPr>
      </w:pPr>
    </w:p>
    <w:p w14:paraId="4BDED13A"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июля 1942 в Севастополе продолжались отдельные столкновения вдоль побережья и попытки защитников города пробраться в Крымские горы поодиночке и мелкими группами. В районе Сухарной балки развернут стотысячный лагерь для военнопленных (4963 ).</w:t>
      </w:r>
    </w:p>
    <w:p w14:paraId="3E0D700B"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9024E6"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июля 1942 нем.-фаш. войска форсировали р. Дон и овладели большей частью Воронежа. В этот же день 5-я танковая армия нанесла контрудар южнее Ельца по войскам левого фланга армейской группы "Вейхс", для отражения которого противник был вынужден привлечь 24-й танковый корпус, 3 пехотные дивизии и 4-ю танковую армию и ослабить этим свою группировку, наступавшую вдоль Дона (4963 ).</w:t>
      </w:r>
    </w:p>
    <w:p w14:paraId="48E4494C"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DCB5DB"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июля 1942 немецкие войска начали операцию по уничтожению советских партизан под Дрогобычем (4962).</w:t>
      </w:r>
    </w:p>
    <w:p w14:paraId="46399D2D"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4FA2B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lang w:val="en-US"/>
        </w:rPr>
        <w:t>July 6 (7 - 2261) 1942 Germans capture Voronezh, near Don River (1037).</w:t>
      </w:r>
    </w:p>
    <w:p w14:paraId="2920FD8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1AAD15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(7 - 2261) июля 1942 немцы захватили Воронеж у реки Дон (1037).</w:t>
      </w:r>
    </w:p>
    <w:p w14:paraId="412F259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20A44"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За рубежом:</w:t>
      </w:r>
    </w:p>
    <w:p w14:paraId="5710A89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1FC906"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6 июля</w:t>
      </w:r>
      <w:r w:rsidRPr="001E2C69">
        <w:rPr>
          <w:rFonts w:ascii="Times New Roman" w:hAnsi="Times New Roman"/>
          <w:color w:val="000000" w:themeColor="text1"/>
          <w:sz w:val="16"/>
          <w:szCs w:val="16"/>
        </w:rPr>
        <w:t xml:space="preserve"> в 1942 году принят на вооружение "палубный самолет-разведчик морской тип 2 модель 11", или же </w:t>
      </w:r>
      <w:hyperlink r:id="rId135" w:tgtFrame="_blank" w:history="1">
        <w:r w:rsidRPr="001E2C69">
          <w:rPr>
            <w:rFonts w:ascii="Times New Roman" w:hAnsi="Times New Roman"/>
            <w:color w:val="000000" w:themeColor="text1"/>
            <w:sz w:val="16"/>
            <w:szCs w:val="16"/>
          </w:rPr>
          <w:t xml:space="preserve">«D4Y1-C». </w:t>
        </w:r>
      </w:hyperlink>
      <w:r w:rsidRPr="001E2C69">
        <w:rPr>
          <w:rFonts w:ascii="Times New Roman" w:hAnsi="Times New Roman"/>
          <w:color w:val="000000" w:themeColor="text1"/>
          <w:sz w:val="16"/>
          <w:szCs w:val="16"/>
        </w:rPr>
        <w:t>Его радиус действия существенно превышал аналогичный показатель самолета "Накадзима" «B5N2», ранее применявшегося в качестве палубного разведчика (14944).</w:t>
      </w:r>
    </w:p>
    <w:p w14:paraId="1F6FB8CF" w14:textId="77777777" w:rsidR="00B65961" w:rsidRPr="001E2C69" w:rsidRDefault="00B65961" w:rsidP="00722885">
      <w:pPr>
        <w:spacing w:after="0" w:line="240" w:lineRule="auto"/>
        <w:jc w:val="both"/>
        <w:rPr>
          <w:rFonts w:ascii="Times New Roman" w:hAnsi="Times New Roman"/>
          <w:color w:val="000000" w:themeColor="text1"/>
          <w:sz w:val="16"/>
          <w:szCs w:val="16"/>
        </w:rPr>
      </w:pPr>
    </w:p>
    <w:p w14:paraId="1C119792" w14:textId="77777777" w:rsidR="00B33D31" w:rsidRPr="001E2C69" w:rsidRDefault="00B33D31" w:rsidP="00722885">
      <w:pPr>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6 июля 1942 года в Германии был принятие на снабжение «стальной шлем модели 1942 года» (также М1942 или М42).</w:t>
      </w:r>
    </w:p>
    <w:p w14:paraId="69F0829F" w14:textId="77777777" w:rsidR="00B33D31" w:rsidRPr="001E2C69" w:rsidRDefault="00B33D31" w:rsidP="00722885">
      <w:pPr>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Требовалось максимальное удешевление и технологичность производства, и по обе стороны фронта велись работы в этом направлении. Параллельно для соответствия требованиям массового производства военного времени искали замену дорогим и дефицитным легирующим добавкам в составе стали, по возможности не в ущерб защитным свойствам готовых изделий</w:t>
      </w:r>
    </w:p>
    <w:p w14:paraId="4ACFEBA6" w14:textId="77777777" w:rsidR="00B33D31" w:rsidRPr="001E2C69" w:rsidRDefault="00B33D31" w:rsidP="00722885">
      <w:pPr>
        <w:spacing w:after="0" w:line="240" w:lineRule="auto"/>
        <w:jc w:val="both"/>
        <w:rPr>
          <w:rFonts w:ascii="Times New Roman" w:hAnsi="Times New Roman"/>
          <w:color w:val="000000" w:themeColor="text1"/>
          <w:sz w:val="16"/>
          <w:szCs w:val="16"/>
        </w:rPr>
      </w:pPr>
      <w:r w:rsidRPr="001E2C69">
        <w:rPr>
          <w:rFonts w:ascii="Times New Roman" w:eastAsia="Times New Roman" w:hAnsi="Times New Roman"/>
          <w:color w:val="000000" w:themeColor="text1"/>
          <w:sz w:val="16"/>
          <w:szCs w:val="16"/>
          <w:lang w:eastAsia="ru-RU"/>
        </w:rPr>
        <w:t>Серийно первые шлемы M42 были произведены 1 августа 1942 года – они были технологичнее в производстве, имели упрощённый состав стали. М42 использовался в немецкой армии наряду с М35 и М40 до конца войны, постепенно заменяя их (17495).</w:t>
      </w:r>
    </w:p>
    <w:p w14:paraId="259009A3" w14:textId="77777777" w:rsidR="00B33D31" w:rsidRPr="001E2C69" w:rsidRDefault="00B33D31" w:rsidP="00722885">
      <w:pPr>
        <w:spacing w:after="0" w:line="240" w:lineRule="auto"/>
        <w:jc w:val="both"/>
        <w:rPr>
          <w:rFonts w:ascii="Times New Roman" w:hAnsi="Times New Roman"/>
          <w:color w:val="000000" w:themeColor="text1"/>
          <w:sz w:val="16"/>
          <w:szCs w:val="16"/>
        </w:rPr>
      </w:pPr>
    </w:p>
    <w:p w14:paraId="21CE6CE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lang w:val="en-US"/>
        </w:rPr>
        <w:t>July 6th, 1942: In Egypt, the Afrikakorps is holding on to its positions before El Alamein against continuous attacks by the British Eighth Army. U-132 (Kptlt. Vogelsang) enters the Gulf of St. Lawrence on the Canadian east coast and sinks 3 merchant ships (3819).</w:t>
      </w:r>
    </w:p>
    <w:p w14:paraId="0733FC9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06CC75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июля 1942 У-132 (Фогельсанг) вошла в залив Святого Лаврентия в Канаде и потопила 3 торговых судна. В Африке Африканский корпус отбивал британские атаки под Эль Аламейном (3819).</w:t>
      </w:r>
    </w:p>
    <w:p w14:paraId="1828938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B04EA0"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июля 1942 Аргентина заявила о своем нейтралитете во второй мировой войне (4962).</w:t>
      </w:r>
    </w:p>
    <w:p w14:paraId="71C52CE2"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57D55C"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Внешняя политика:</w:t>
      </w:r>
    </w:p>
    <w:p w14:paraId="28A0FC9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081D3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6 июля 1942 года было получено:</w:t>
      </w:r>
    </w:p>
    <w:p w14:paraId="29552BA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 РУЗВЕЛЬТ И. В. СТАЛИНУ *</w:t>
      </w:r>
    </w:p>
    <w:p w14:paraId="4377B43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Египетский кризис, угрожающий путям снабжения Союза Советских Социалистических Республик, побудил Премьер-министра Черчилля обратиться ко мне со срочным запросом о возможности передачи на египетский фронт 40 бомбардировщиков А-20, находящихся в настоящее время в Ираке по пути в Союз Советских Социалистических Республик. Ввиду того, что информация, которой мы располагаем здесь, недостаточна, я не имею возможности вынести суждение по этому делу. По этой причине я полагал, что лучше обратиться к Вам с просьбой принять решение, учитывая интересы военных усилий Объединенных Наций в целом (7430).</w:t>
      </w:r>
    </w:p>
    <w:p w14:paraId="6249EEC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597293"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Авиапромышленность:</w:t>
      </w:r>
    </w:p>
    <w:p w14:paraId="078D530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B74DB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начале июля 1942-го ОКБ С.В.Илью</w:t>
      </w:r>
      <w:r w:rsidRPr="001E2C69">
        <w:rPr>
          <w:rFonts w:ascii="Times New Roman" w:hAnsi="Times New Roman"/>
          <w:color w:val="000000" w:themeColor="text1"/>
          <w:sz w:val="16"/>
          <w:szCs w:val="16"/>
        </w:rPr>
        <w:softHyphen/>
        <w:t>шина передало в НИП АВ ВВС для про</w:t>
      </w:r>
      <w:r w:rsidRPr="001E2C69">
        <w:rPr>
          <w:rFonts w:ascii="Times New Roman" w:hAnsi="Times New Roman"/>
          <w:color w:val="000000" w:themeColor="text1"/>
          <w:sz w:val="16"/>
          <w:szCs w:val="16"/>
        </w:rPr>
        <w:softHyphen/>
        <w:t>ведения испытаний свой вариант при</w:t>
      </w:r>
      <w:r w:rsidRPr="001E2C69">
        <w:rPr>
          <w:rFonts w:ascii="Times New Roman" w:hAnsi="Times New Roman"/>
          <w:color w:val="000000" w:themeColor="text1"/>
          <w:sz w:val="16"/>
          <w:szCs w:val="16"/>
        </w:rPr>
        <w:softHyphen/>
        <w:t>цела для Ил-2 - кабинный прицел КП-11. Принцип действия КП-11 был тот же, что и у ВВ-1, но мушка крепилась внут</w:t>
      </w:r>
      <w:r w:rsidRPr="001E2C69">
        <w:rPr>
          <w:rFonts w:ascii="Times New Roman" w:hAnsi="Times New Roman"/>
          <w:color w:val="000000" w:themeColor="text1"/>
          <w:sz w:val="16"/>
          <w:szCs w:val="16"/>
        </w:rPr>
        <w:softHyphen/>
        <w:t>ри кабины пилота на сдвижной части фо</w:t>
      </w:r>
      <w:r w:rsidRPr="001E2C69">
        <w:rPr>
          <w:rFonts w:ascii="Times New Roman" w:hAnsi="Times New Roman"/>
          <w:color w:val="000000" w:themeColor="text1"/>
          <w:sz w:val="16"/>
          <w:szCs w:val="16"/>
        </w:rPr>
        <w:softHyphen/>
        <w:t>наря на складывающемся шарнире.</w:t>
      </w:r>
    </w:p>
    <w:p w14:paraId="12C8018A" w14:textId="77777777" w:rsidR="00A438D1" w:rsidRPr="001E2C69" w:rsidRDefault="00A438D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2E6B2F" w14:textId="7BAC0EFD"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началу июля 1942 г. самолет Су-6 М-71 с небольшими доработками, включающими улучшение бронирования (общий вес брони был доведен до 660 кг) и обзора вперед-вниз (сидение летчика было поднято на 35 мм), снова проходил совместные с заводом № 289 государственные испытания.</w:t>
      </w:r>
    </w:p>
    <w:p w14:paraId="21D2B8E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Испытания проводили ведущий инженер инженер-майор А.В.Синельников и ведущий летчик-испытатель майор А. К. Долгов. Летчики облета: майор М.А.Нюхтиков и капитан Коробов.</w:t>
      </w:r>
    </w:p>
    <w:p w14:paraId="2C0C2CB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Вес пустого самолета составил 3727 кг, вес нагрузки - 1523 кг. Винт трехлопастный типа АВ-5-4А диаметром 3,25 м.</w:t>
      </w:r>
    </w:p>
    <w:p w14:paraId="6A1B53A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Стрелково-пушечное вооружение состояло из двух крыльевых пушек ВЯ-23 и двух крыльевых пулеметов ШКАС. Боекомплект к пушкам ВЯ-23 включал 230 снарядов, к пулеметам ШКАС -3000 патронов.</w:t>
      </w:r>
    </w:p>
    <w:p w14:paraId="3565D15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Бомбовое вооружение допускало подвеску: внутри на держателях КД-2 четырех бомб типа ФАБ-50 или ФАБ-100 (в перегрузку) и снаружи на двух держателях типа ДЗ-40 бомбы ФАБ-50 или ФАБ-100.</w:t>
      </w:r>
    </w:p>
    <w:p w14:paraId="1E1DBB7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Реактивное вооружение состояло из 10 PC-132 или PC-82.</w:t>
      </w:r>
    </w:p>
    <w:p w14:paraId="75AEC16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нормальном полетном весе 5250 кг (10хРС-132, 200 кг бомб, две пушки ВЯ-23 и четыре пулемета ШКАС с полным боекомплектом) штурмовик имел максимальную скоростьу земли 445 км/ч, а на высоте 2500 м - 491 км/ч.</w:t>
      </w:r>
    </w:p>
    <w:p w14:paraId="4C3DF36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Время подъема на высоту 1000 м составляло 1,7 мин, а на высоту 3000 м - 5,1 мин. Максимальная дальность полета на высоте 670 м при скорости полета 360 км/ч достигала 576 км.</w:t>
      </w:r>
    </w:p>
    <w:p w14:paraId="7FAF2A0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отчете по испытаниям отмечалось, что кабина летчика достаточно просторная, расположение приборов удобное. Козырек кабины целесообразно сделать по типу Ил-2.</w:t>
      </w:r>
    </w:p>
    <w:p w14:paraId="7DED360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технике пилотирования штурмовик был доступен летчикам средней квалификации.</w:t>
      </w:r>
    </w:p>
    <w:p w14:paraId="103F57F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Самолет во всем диапазоне скоростей от минимальной (скорость сваливания 270 км/ч) до максимальной устойчив по всем трем осям.</w:t>
      </w:r>
    </w:p>
    <w:p w14:paraId="691F082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Вираж “сухой” выполнял устойчиво. Оптимальной скоростью при выполнении виража или восьмерки с креном до 60° являлась скорость в 310-320 км/ч по прибору.</w:t>
      </w:r>
    </w:p>
    <w:p w14:paraId="6687D2E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Управляемость и маневренность машины (как в горизонтальной, так и в вертикальной плоскостях) были замечательными.</w:t>
      </w:r>
    </w:p>
    <w:p w14:paraId="03B3880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Вертикальная скорость с полной боевой нагрузкой у земли равнялась 9,8 м/с. За один боевой разворот штурмовик без бомб и PC набирал 600-700 м высоты (скорость ввода 390 км/ч, скорость выхода в горизонтальное положение 270 км/ч).</w:t>
      </w:r>
    </w:p>
    <w:p w14:paraId="1975EAF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DB2A87" w14:textId="1C99FE83" w:rsidR="00E74794" w:rsidRPr="001E2C69" w:rsidRDefault="00E7479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В начале июля 1942 г. самолеты МиГ-3 М-82 №№ 6503, 6504 и 6205 были направлены на прохождение войсковых испытаний в 34-й истребительный авиаполк 6-го ИАК ПВО, которым командовал майор Н.А. Александров. Он базировался в</w:t>
      </w:r>
      <w:r w:rsidR="001E2C69">
        <w:rPr>
          <w:rFonts w:ascii="Times New Roman" w:hAnsi="Times New Roman" w:cs="Times New Roman"/>
          <w:color w:val="000000" w:themeColor="text1"/>
          <w:sz w:val="16"/>
          <w:szCs w:val="16"/>
        </w:rPr>
        <w:t xml:space="preserve">   </w:t>
      </w:r>
      <w:r w:rsidRPr="001E2C69">
        <w:rPr>
          <w:rFonts w:ascii="Times New Roman" w:hAnsi="Times New Roman" w:cs="Times New Roman"/>
          <w:color w:val="000000" w:themeColor="text1"/>
          <w:sz w:val="16"/>
          <w:szCs w:val="16"/>
        </w:rPr>
        <w:t>то время во Внуково, защищая столицу с юго-западного направления.</w:t>
      </w:r>
    </w:p>
    <w:p w14:paraId="6EFB3E27" w14:textId="77777777" w:rsidR="00E74794" w:rsidRPr="001E2C69" w:rsidRDefault="00E7479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Новые самолеты Микояна и Гуревича с моторами Швецова получили в ПВО ожидаемо неудовлетворительную оценку и были возвращены на завод, когда решение об отказе от серийного производства МиГ-3 М-82 уже приняли.</w:t>
      </w:r>
    </w:p>
    <w:p w14:paraId="378C5874" w14:textId="2D97F6F6" w:rsidR="00E74794" w:rsidRPr="001E2C69" w:rsidRDefault="00E7479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Но есть сведения о нахождении по</w:t>
      </w:r>
      <w:r w:rsidR="001E2C69">
        <w:rPr>
          <w:rFonts w:ascii="Times New Roman" w:hAnsi="Times New Roman" w:cs="Times New Roman"/>
          <w:color w:val="000000" w:themeColor="text1"/>
          <w:sz w:val="16"/>
          <w:szCs w:val="16"/>
        </w:rPr>
        <w:t xml:space="preserve">   </w:t>
      </w:r>
      <w:r w:rsidRPr="001E2C69">
        <w:rPr>
          <w:rFonts w:ascii="Times New Roman" w:hAnsi="Times New Roman" w:cs="Times New Roman"/>
          <w:color w:val="000000" w:themeColor="text1"/>
          <w:sz w:val="16"/>
          <w:szCs w:val="16"/>
        </w:rPr>
        <w:t>меньшей мере одного самолета И-210 в</w:t>
      </w:r>
      <w:r w:rsidR="001E2C69">
        <w:rPr>
          <w:rFonts w:ascii="Times New Roman" w:hAnsi="Times New Roman" w:cs="Times New Roman"/>
          <w:color w:val="000000" w:themeColor="text1"/>
          <w:sz w:val="16"/>
          <w:szCs w:val="16"/>
        </w:rPr>
        <w:t xml:space="preserve">   </w:t>
      </w:r>
      <w:r w:rsidRPr="001E2C69">
        <w:rPr>
          <w:rFonts w:ascii="Times New Roman" w:hAnsi="Times New Roman" w:cs="Times New Roman"/>
          <w:color w:val="000000" w:themeColor="text1"/>
          <w:sz w:val="16"/>
          <w:szCs w:val="16"/>
        </w:rPr>
        <w:t>260-й смешанной авиадивизии полковника Г.А. Калугина на Карельском фронте в первой половине 1943 г. Согласно «Перечню № 6 кавалерийских, танковых, воздушно-десантных дивизий и управлений артиллерийских, зенитно-артиллерийских, минометных, авиационных и истребительных дивизий, входивших в состав действующей армии в годы Великой Отечественной войны 1941–1945 гг.» (Приложение к директиве Генштаба Летчики час от 1956 г.), это соединение было создано на базе упраздненной чисто бомбардировочной 260-й дивизии. Оно находилось на Карельском фронте с 1 марта 1943 г. по 14 ноября 1944 г., когда было переформировано в дивизию чисто штурмовую. Таким образом, известные снимки МиГ-3 М-82 в строевой части, на которых видны военнослужащие во введенной в</w:t>
      </w:r>
      <w:r w:rsidR="001E2C69">
        <w:rPr>
          <w:rFonts w:ascii="Times New Roman" w:hAnsi="Times New Roman" w:cs="Times New Roman"/>
          <w:color w:val="000000" w:themeColor="text1"/>
          <w:sz w:val="16"/>
          <w:szCs w:val="16"/>
        </w:rPr>
        <w:t xml:space="preserve">   </w:t>
      </w:r>
      <w:r w:rsidRPr="001E2C69">
        <w:rPr>
          <w:rFonts w:ascii="Times New Roman" w:hAnsi="Times New Roman" w:cs="Times New Roman"/>
          <w:color w:val="000000" w:themeColor="text1"/>
          <w:sz w:val="16"/>
          <w:szCs w:val="16"/>
        </w:rPr>
        <w:t>начале 1943 г. новой форме с погонами, сделаны, скорее всего, именно в этом соединении, но подробностей использования там самолета не нашлось. В то время в 260-й САД было два истребительных авиаполка, 197-й на Як-9 и 609-й на самолетах ЛаГГ-3 и «Харрикейн», но скорее всего, И-210 был приписан к звену управления дивизии. Так вот на этих снимках МиГ-3 М-92 уже с полным вооружением – тремя пулеметами БС и двумя ШКАС (23187).</w:t>
      </w:r>
    </w:p>
    <w:p w14:paraId="1E2A1E67" w14:textId="77777777" w:rsidR="00E74794" w:rsidRPr="001E2C69" w:rsidRDefault="00E7479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14FB360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начале июля 1942 года группа А.М.Люльки была переведена на за</w:t>
      </w:r>
      <w:r w:rsidRPr="001E2C69">
        <w:rPr>
          <w:rFonts w:ascii="Times New Roman" w:hAnsi="Times New Roman"/>
          <w:color w:val="000000" w:themeColor="text1"/>
          <w:sz w:val="16"/>
          <w:szCs w:val="16"/>
        </w:rPr>
        <w:softHyphen/>
        <w:t>вод № 293 в ОКБ В.Ф.Болховитино-ва. Но производственная база завода, ориентированная на создание опыт</w:t>
      </w:r>
      <w:r w:rsidRPr="001E2C69">
        <w:rPr>
          <w:rFonts w:ascii="Times New Roman" w:hAnsi="Times New Roman"/>
          <w:color w:val="000000" w:themeColor="text1"/>
          <w:sz w:val="16"/>
          <w:szCs w:val="16"/>
        </w:rPr>
        <w:softHyphen/>
        <w:t>ных самолетов, не могла обеспечить изготовление ряда специфических уз</w:t>
      </w:r>
      <w:r w:rsidRPr="001E2C69">
        <w:rPr>
          <w:rFonts w:ascii="Times New Roman" w:hAnsi="Times New Roman"/>
          <w:color w:val="000000" w:themeColor="text1"/>
          <w:sz w:val="16"/>
          <w:szCs w:val="16"/>
        </w:rPr>
        <w:softHyphen/>
        <w:t>лов и агрегатов ТРД, в результате чего работа по созданию двигателя А.М.</w:t>
      </w:r>
      <w:r w:rsidRPr="001E2C69">
        <w:rPr>
          <w:rFonts w:ascii="Times New Roman" w:hAnsi="Times New Roman"/>
          <w:color w:val="000000" w:themeColor="text1"/>
          <w:sz w:val="16"/>
          <w:szCs w:val="16"/>
        </w:rPr>
        <w:softHyphen/>
        <w:t>Люльки практически остановилась. Последовавший в 1943 году перевод группы в ЦИАМ также не ускорил тем</w:t>
      </w:r>
      <w:r w:rsidRPr="001E2C69">
        <w:rPr>
          <w:rFonts w:ascii="Times New Roman" w:hAnsi="Times New Roman"/>
          <w:color w:val="000000" w:themeColor="text1"/>
          <w:sz w:val="16"/>
          <w:szCs w:val="16"/>
        </w:rPr>
        <w:softHyphen/>
        <w:t>пов работ по ТРД (10706).</w:t>
      </w:r>
    </w:p>
    <w:p w14:paraId="0454F3B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16F51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начале июля 1942 г. группа А.М. Люльки была переведена на завод № 293 в ОКБ В.Ф. Болховитинова. Но производственная база завода, ориентированная на создание опытных самолетов, не могла обеспечить изготовление ряда специфических узлов и агрегатов ГТД, в результате чего создание двигателя А.М. Люльки снова практически остановилось. Последовавший в 1943 г. перевод группы в ЦИАМ также не ускорил темпов работ. Лишь информация о том, что в Германии производятся испытания нескольких типов реактивных самолетов, а в Англии в серию передан двухдвигательный "Метеор" фирмы "Глостер" заставило высшее руководство отрасли изменить отношение к проблеме создания отечественного ГТД. Впрочем, и это внимание оказалось по большому счету формально-бюрократическим, не соответствующим реальной важности поставленной задачи (11147).</w:t>
      </w:r>
    </w:p>
    <w:p w14:paraId="6DC5815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FFEED3" w14:textId="77777777" w:rsidR="00B33D31" w:rsidRPr="001E2C69" w:rsidRDefault="00B33D3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Другие оборонные отрасли:</w:t>
      </w:r>
    </w:p>
    <w:p w14:paraId="1179F730" w14:textId="77777777" w:rsidR="00B33D31" w:rsidRPr="001E2C69" w:rsidRDefault="00B33D3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6ECE6F" w14:textId="77777777" w:rsidR="00AB33D6" w:rsidRPr="001E2C69" w:rsidRDefault="00AB33D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начале июля 1942 года последовала команда окончательно прекратить выпуск Т-60. При этом завод №264 полностью перевел свои мощности на корпусное производство Т-34, а завод №37, в конце июля 1942 года, обязали начать подготовку у выпуску Т-34. Будьте уверены, если бы в Горьком и Кирове имелась возможность выпускать Т-34, производили их и там (21457).</w:t>
      </w:r>
    </w:p>
    <w:p w14:paraId="7EF2581E" w14:textId="77777777" w:rsidR="00AB33D6" w:rsidRPr="001E2C69" w:rsidRDefault="00AB33D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00B3B65" w14:textId="77777777" w:rsidR="001E6380" w:rsidRPr="008A2E5A" w:rsidRDefault="001E6380" w:rsidP="001E638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июля 1942 года по танку Т-70 приняли решение об окончательном прекращении его выпуска (23367).</w:t>
      </w:r>
    </w:p>
    <w:p w14:paraId="29F27CFE" w14:textId="77777777" w:rsidR="001E6380" w:rsidRPr="008A2E5A" w:rsidRDefault="001E6380" w:rsidP="001E6380">
      <w:pPr>
        <w:spacing w:after="0" w:line="240" w:lineRule="auto"/>
        <w:jc w:val="both"/>
        <w:rPr>
          <w:rFonts w:ascii="Times New Roman" w:hAnsi="Times New Roman"/>
          <w:color w:val="0070C0"/>
          <w:sz w:val="16"/>
          <w:szCs w:val="16"/>
        </w:rPr>
      </w:pPr>
    </w:p>
    <w:p w14:paraId="0F0C9A72" w14:textId="77777777" w:rsidR="00B33D31" w:rsidRPr="001E2C69" w:rsidRDefault="00B33D31" w:rsidP="00722885">
      <w:pPr>
        <w:pStyle w:val="af"/>
        <w:shd w:val="clear" w:color="auto" w:fill="FFFFFF"/>
        <w:spacing w:before="0" w:after="0"/>
        <w:jc w:val="both"/>
        <w:rPr>
          <w:color w:val="000000" w:themeColor="text1"/>
          <w:sz w:val="16"/>
          <w:szCs w:val="16"/>
        </w:rPr>
      </w:pPr>
      <w:r w:rsidRPr="001E2C69">
        <w:rPr>
          <w:color w:val="000000" w:themeColor="text1"/>
          <w:sz w:val="16"/>
          <w:szCs w:val="16"/>
        </w:rPr>
        <w:t>В начале июля 1942 появились отчёты с Брянского и Центрального фронтов, изучение которых спровоцировало начало работ по модернизации танка Т-70. Что же касается башни, катализатором начала работ по её двухместной версии стало письмо командира 1-й гвардейской танковой бригады гвардии полковника Н.Д. Чухина:</w:t>
      </w:r>
    </w:p>
    <w:p w14:paraId="718DCF1E" w14:textId="77777777" w:rsidR="00B33D31" w:rsidRPr="001E2C69" w:rsidRDefault="00B33D31" w:rsidP="00722885">
      <w:pPr>
        <w:pStyle w:val="af"/>
        <w:shd w:val="clear" w:color="auto" w:fill="FFFFFF"/>
        <w:spacing w:before="0" w:after="0"/>
        <w:jc w:val="both"/>
        <w:rPr>
          <w:color w:val="000000" w:themeColor="text1"/>
          <w:sz w:val="16"/>
          <w:szCs w:val="16"/>
        </w:rPr>
      </w:pPr>
      <w:r w:rsidRPr="001E2C69">
        <w:rPr>
          <w:iCs/>
          <w:color w:val="000000" w:themeColor="text1"/>
          <w:sz w:val="16"/>
          <w:szCs w:val="16"/>
        </w:rPr>
        <w:t>«1. Командиру танка Т-70 трудно одновременно наблюдать за полем боя, заряжать пушку, пулемёт и вести прицельный огонь. Работа командира роты ещё больше усложняется, так как кроме этой работы он должен руководить ротой.</w:t>
      </w:r>
    </w:p>
    <w:p w14:paraId="684FAB94" w14:textId="77777777" w:rsidR="00B33D31" w:rsidRPr="001E2C69" w:rsidRDefault="00B33D31" w:rsidP="00722885">
      <w:pPr>
        <w:pStyle w:val="af"/>
        <w:shd w:val="clear" w:color="auto" w:fill="FFFFFF"/>
        <w:spacing w:before="0" w:after="0"/>
        <w:jc w:val="both"/>
        <w:rPr>
          <w:color w:val="000000" w:themeColor="text1"/>
          <w:sz w:val="16"/>
          <w:szCs w:val="16"/>
        </w:rPr>
      </w:pPr>
      <w:r w:rsidRPr="001E2C69">
        <w:rPr>
          <w:iCs/>
          <w:color w:val="000000" w:themeColor="text1"/>
          <w:sz w:val="16"/>
          <w:szCs w:val="16"/>
        </w:rPr>
        <w:t>Необходимо расширить башню танка до 2-х человек» (17712).</w:t>
      </w:r>
    </w:p>
    <w:p w14:paraId="53764C5E" w14:textId="77777777" w:rsidR="00B33D31" w:rsidRPr="001E2C69" w:rsidRDefault="00B33D31" w:rsidP="00722885">
      <w:pPr>
        <w:spacing w:after="0" w:line="240" w:lineRule="auto"/>
        <w:jc w:val="both"/>
        <w:rPr>
          <w:rFonts w:ascii="Times New Roman" w:hAnsi="Times New Roman"/>
          <w:color w:val="000000" w:themeColor="text1"/>
          <w:sz w:val="16"/>
          <w:szCs w:val="16"/>
        </w:rPr>
      </w:pPr>
    </w:p>
    <w:p w14:paraId="3DC569DD" w14:textId="77777777" w:rsidR="00AB33D6" w:rsidRPr="001E2C69" w:rsidRDefault="00AB33D6" w:rsidP="00722885">
      <w:pPr>
        <w:pStyle w:val="article-renderblock"/>
        <w:shd w:val="clear" w:color="auto" w:fill="FFFFFF"/>
        <w:spacing w:before="0" w:beforeAutospacing="0" w:after="0" w:afterAutospacing="0"/>
        <w:jc w:val="both"/>
        <w:rPr>
          <w:color w:val="000000" w:themeColor="text1"/>
          <w:sz w:val="16"/>
          <w:szCs w:val="16"/>
        </w:rPr>
      </w:pPr>
      <w:r w:rsidRPr="001E2C69">
        <w:rPr>
          <w:color w:val="000000" w:themeColor="text1"/>
          <w:sz w:val="16"/>
          <w:szCs w:val="16"/>
        </w:rPr>
        <w:t>В начале июля 1942 было ясно, что одобрения гаубичный Т-34 не получит. Во-первых, данный проект страдал теми же недостатками, что и КВ-9, причем они только усугубились. Это теснота боевого отделения и низкая скорострельность. Во-вторых, у ГАУ КА и НКВ уже имелся проект средней гаубичной САУ. Речь идет об СГ-122. Больше того, уже в июне 1942 года КБ завода №592 подготовило предварительный проект САУ СГ-122У, с той же У-11. Параллельно разрабатывался и другой проект - СГ-122М, с более традиционной гаубицей М-30. Так что КБ завода №8 было вынуждено выступать в роли догоняющих. В связи с работами по У-22 разработка свердловской штурмовой САУ с рубочным расположением вооружения началась только в июле 1942 года. Ну а гаубичный Т-34 убрали глубоко в недры заводских и ведомственных архивов, от греха подальше (20881).</w:t>
      </w:r>
    </w:p>
    <w:p w14:paraId="597B2690" w14:textId="77777777" w:rsidR="00AB33D6" w:rsidRPr="001E2C69" w:rsidRDefault="00AB33D6" w:rsidP="00722885">
      <w:pPr>
        <w:pStyle w:val="article-renderblock"/>
        <w:shd w:val="clear" w:color="auto" w:fill="FFFFFF"/>
        <w:spacing w:before="0" w:beforeAutospacing="0" w:after="0" w:afterAutospacing="0"/>
        <w:jc w:val="both"/>
        <w:rPr>
          <w:color w:val="000000" w:themeColor="text1"/>
          <w:sz w:val="16"/>
          <w:szCs w:val="16"/>
        </w:rPr>
      </w:pPr>
    </w:p>
    <w:p w14:paraId="7C5C98CC"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Армия:</w:t>
      </w:r>
    </w:p>
    <w:p w14:paraId="075EC47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A3FAE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начале июля 1942 немецкие самолеты нанесли серию ударов по периферийным городам и железнодорожным станциям, Так, 8 и 9 июля бомбардировке дважды подвергся важный железнодорожный узел Ртищево, расположенный на железной дороге Тамбов – Саратов. 8 июля на аэродром Кутейниково, в 50 км юго-восточнее </w:t>
      </w:r>
      <w:r w:rsidRPr="001E2C69">
        <w:rPr>
          <w:rFonts w:ascii="Times New Roman" w:hAnsi="Times New Roman"/>
          <w:color w:val="000000" w:themeColor="text1"/>
          <w:sz w:val="16"/>
          <w:szCs w:val="16"/>
        </w:rPr>
        <w:lastRenderedPageBreak/>
        <w:t>Донецка, прибыла I./KG55 «Грайф», и уже на следующую ночь ее «Хейнкели» совершили налет на Сталинград, сбросив фугасные бомбы на промышленные объекты Кировского района города и железнодорожную станцию Бекетовка. К этому моменту город на Волге, на который было нацелено острие германского наступления, являлся одним из важнейших промышленных центров Советского Союза, уступая в значении разве что Горькому. Достаточно сказать, что Сталинградский тракторный завод им. Дзержинского производил половину всех средних танков Т-34, а металлургический завод «Красный Октябрь» был основным производителем высококачественных сталей для танковой, авиационной и подшипниковой промышленности. Поэтому противовоздушная и сухопутная оборона Сталинграда имела огромное значение для поддержания боеспособности Красной Армии (11774).</w:t>
      </w:r>
    </w:p>
    <w:p w14:paraId="02DD121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0BA93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начале июля 1942 г. к операционной зоне советского Северного флота приближался печально известный конвой PQ-17. Оставшиеся в результате ошибки британского адмиралтейства почти без прикрытия суда конвоя были еще далеко, когда немецкие подлодки и авиация начали наносить по ним удар за ударом. Только с 4 по 10 июля конвой атаковали 130 бомбардировщиков Ju 88, 43 Пушка ШВАК самолета Не 111 и 26 торпедоносцев Не 115. на истребителе Пе-3 Самолеты 95-го иап приступили к прикры- в боевом положении тию уцелевших судов из состава конвоя PQ-I7, действуя на предельном радиусе. На самом берегу Кольского полуострова нашли полевую площадку, позволившую еше немного выдвинуть на северо-запад зону авиационного прикрытия. Четверки Пе-3 попеременно вылетали на барражирование, делая 2-3 полета в сутки, каждый продолжительностью по 4-5 часов. Немцы признают, что 10 июля огнем истребителей Пе-3 был сбит и упал в Баренцево море Ju 88А № 882130, который пилотировал командир 1/KG30 капитан Э. Шродер (12042).</w:t>
      </w:r>
    </w:p>
    <w:p w14:paraId="38685B6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888CD1"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начале июля 1942 года у моста через Дон в Воронеже были разгромлены немецкими танками и пикирующими бомбардировщиками два бронепоезда 62-го дивизиона – №14 «Борис Петрович» и №15 «Бесстрашный» (15218).</w:t>
      </w:r>
    </w:p>
    <w:p w14:paraId="0F8ED916" w14:textId="77777777" w:rsidR="00B65961" w:rsidRPr="001E2C69" w:rsidRDefault="00B65961" w:rsidP="00722885">
      <w:pPr>
        <w:spacing w:after="0" w:line="240" w:lineRule="auto"/>
        <w:jc w:val="both"/>
        <w:rPr>
          <w:rFonts w:ascii="Times New Roman" w:hAnsi="Times New Roman"/>
          <w:color w:val="000000" w:themeColor="text1"/>
          <w:sz w:val="16"/>
          <w:szCs w:val="16"/>
        </w:rPr>
      </w:pPr>
    </w:p>
    <w:p w14:paraId="762AEC71"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Авиапромышленность:</w:t>
      </w:r>
    </w:p>
    <w:p w14:paraId="67BDA7E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DE544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вышел приказ НКАП N 598 по проектированию удлиненной части фюзеляжа Ил-2 (2212,64).</w:t>
      </w:r>
    </w:p>
    <w:p w14:paraId="7953229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6216A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 16 июля 1942 потерпели аварии новенькие бомбардировщики Ту-2. Экипажи (летчиков Котякова и Бакина) не пострадали. Недостатки тормозной системь неоднократно приводили к неуправляемому развороту на посадке. Например, у майора В.Д. Бакина машину № 100303 вывернуло вправо, что привело к поломке стойки шасси. Бывали случаи, когда бомбардировщик делал на поле до двух кругов и оставался цел. Но чаще ломали шасси, винты, законцовки крыла, мяли мотогондолы. Самолет летчика Полевого после посадки с разворотом вспыхнул; экипаж успел выбраться и убежать.</w:t>
      </w:r>
    </w:p>
    <w:p w14:paraId="1F0CCA6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Дефекты серийных Ту-2 вызвали распоряжение командования ВВС прекратить приемку бомбардировщиков. НКАП направил на завод авторитетную комиссию во главе с известным авиаконструктором Н.Н. Поликарповым. Члены комиссии согласились с заводскими испытателями в том, что причиной разворотов на посадке является несинхронная работа тормозов правого и левого колес. Предложено было заменить тормозную гидросистему, скопированную туполевцами по настоянию ВВС с немецкого бомбардиров- . щика Ju 88, на более надежную, применявшуюся на самолетах фирмы "Дуглас". В качестве же временного решения попробовали на пробеге стопорить хвостовое колесо. На Ту-2 имелся автоматический стопор, который должен был фиксировать стойку хвостового колеса при резких ее разворотах, но срабатывал он далеко не всегда. С 20 июля заводские испытатели стали садиться с включенным механическим стопором хвостового колеса. Управляемость машины на пробеге значительно улучшилась.</w:t>
      </w:r>
    </w:p>
    <w:p w14:paraId="48BCDBC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Еще одной серьезной проблемой являлись двигатели. Моторы М-82, хотя и выпускались серийно, еще оставались достаточно "сырыми". На высоте более 6000 м они недодавали мощность, страдали значительными вибрациями и расходовали много масла. Хотя за это отвечал их конструктор А.Д. Швецов и завод № 19, дефекты мотоустановки сильно сказывались на летных и эксплуатационных характеристиках Ту-2.</w:t>
      </w:r>
    </w:p>
    <w:p w14:paraId="10485AC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Кроме того, комиссия подвергла критике чрезмерный вес серийных машин. Весовая отдача у них при нормальной бомбовой нагрузке не превышала 27,5%, в то время как у других самолетов такого же класса она составляла около 30%. Это была плата за возможность бомбить с крутого пикирования.</w:t>
      </w:r>
    </w:p>
    <w:p w14:paraId="42CE627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 в целом Поликарпов и его коллеги поддержали Туполева. В Москву отправили документ, в котором, в частности, говорилось: "... самолет Ту-2 по своим летно-тактическим данным превосходит современные советские и заграничные бомбардировщики". Комиссия сочла, что при устранении основных дефектов самолет сможет успешно выполнять боевые задачи.</w:t>
      </w:r>
    </w:p>
    <w:p w14:paraId="02A3A26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Приемка бомбардировщиков возобновилась. Реагируя на требования военных, завод вносил изменения в строящиеся бомбардировщики. С 5-й серии (июль - август 1942 г.) внедрили тормоза типа "Дуглас", окончательно снявшие проблемы с неуправляемым разворотом на посадке. Одновременно изменили управление пуском реактивных снарядов. Ранее стрельба РС-82 велась с помощью бомбосбрасывателя ЭСБР-6, переключавшегося на другой режим. Бомбы при этом сбрасывать было нельзя. С 5-й серии пуск ракет осуществлялся независимым устройством.</w:t>
      </w:r>
    </w:p>
    <w:p w14:paraId="5A9B28D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Часть бомбардировщиков перевооружили. Во всяком случае, на фронт попали омские самолеты либо с двумя, либо с тремя 12,7-мм пулеметами УБТ. Поскольку на установке ТСС-1 этот пулемет не мог быть смонтирован, то, по-видимому, вариант с двумя УБТ предусматривал один пулемет на несколько доработанной установке БУШ у штурмана и второй - на люковой ЛУ-УБТ. При этом на ТСС-1 оставался ШКАС. Вообще Туполев рассматривал несколько возможных вариантов перевооружения Ту-2, в том числе один - с установкой четырех пусковых балок для РС-82 на фюзеляже для стрельбы назад.</w:t>
      </w:r>
    </w:p>
    <w:p w14:paraId="0D7A492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Занятие немцами значительной части территории СССР привело к сокращению производства алюминия в стране. Потребности же в нем резко возросли. Алюминий в листах и чушках везли из США и Канады, но его все равно не хватало. Всем самолетостроительным конструкторским бюро было предложено поискать возможности применения узлов из дерева. Это сократило бы расход дефицитного алюминия и дало возможность привлечь к постройке самолетов деревообрабатывающие предприятия. В конце июля 1942 г. конструкторы разработали для Ту-2 изготавливаемые из дерева и фанеры узлы носовой и хвостовой частей фюзеляжа, створок бомболюков, стабилизатора, килевых шайб, мотогондол, законцо- вок крыла. Реально в производство внедрили носовую часть фюзеляжа (до 3-го шпангоута) и хвостовой кок. Они обшивались фанерой (11988).</w:t>
      </w:r>
    </w:p>
    <w:p w14:paraId="27560D0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3DA80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вышел приказ НКАП N 492а/с о мероприятиях по внедрению в серийное производство самолета ЛаГГ-5 на заводе 21 (1573,19).</w:t>
      </w:r>
    </w:p>
    <w:p w14:paraId="77648F2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D5A1B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1942-го вышел приказ НКАП, в котором говорилось, что "внедрение самолета ЛаГГ-5 на заводе №21 идет совершенно неудовлетворительно и выпуск этих машин по графику в июне месяце и 1-й пятидневке июля сорван". После подробного перечисления недостатков организационного и технологического плана, замнар-кома Воронин потребовал разработки почасового графика псдачи деталей и агрегатов в цех 40. Начальников производства и цехов предупредили, что выполнение “суточного задания является железным законом производства и за срыв суточных заданий они будут привлекаться к ответственности ”. С завода не снимали выпуск ЛаГТ-3: к августу 1942-го приказано изготовить их 20, а затем к сентябрю еще 20 модифицированных ЛаГТов с пушкой калибра 37 мм и боекомплектом 20 снарядов: перевести на завод №82 в Москве для обеспечения производства Як-7 100 рабочих.</w:t>
      </w:r>
    </w:p>
    <w:p w14:paraId="09AABB3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Новый самолет получил заводское обозначение: тип "37" (4573).</w:t>
      </w:r>
    </w:p>
    <w:p w14:paraId="75DBC6A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336E36" w14:textId="77777777" w:rsidR="007C4DB4" w:rsidRPr="008A2E5A" w:rsidRDefault="007C4DB4" w:rsidP="007C4D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июля 1942 г. Письмо директора Института физических проблем Академии наук СССР П. Л. Капицы председателю ГКО СССР И. В. Сталину о строительстве установок по производству жидкого кислорода для кислородных бомб</w:t>
      </w:r>
    </w:p>
    <w:p w14:paraId="1217D34E" w14:textId="77777777" w:rsidR="007C4DB4" w:rsidRPr="008A2E5A" w:rsidRDefault="007C4DB4" w:rsidP="007C4D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371207F7" w14:textId="77777777" w:rsidR="007C4DB4" w:rsidRPr="008A2E5A" w:rsidRDefault="007C4DB4" w:rsidP="007C4D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Товарищ Сталин!</w:t>
      </w:r>
    </w:p>
    <w:p w14:paraId="49C86426" w14:textId="77777777" w:rsidR="007C4DB4" w:rsidRPr="008A2E5A" w:rsidRDefault="007C4DB4" w:rsidP="007C4D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Согласно постановлению ГКО от 2 марта с. г. № 1373сс «О строительстве установок для производства жидкого кислорода и т. д.» первая подобная установка должна быть построена Наркомтяжмашем (Глававтоген) к 1 сентября 1942 г.127 Это Наркомтяжма-шем выполнено не будет. Считаю необходимым довести об этом до Вашего сведения, а также и о ряде обстоятельств, происшедших со времени издания постановления ГКО.</w:t>
      </w:r>
    </w:p>
    <w:p w14:paraId="27B6E258" w14:textId="77777777" w:rsidR="007C4DB4" w:rsidRPr="008A2E5A" w:rsidRDefault="007C4DB4" w:rsidP="007C4D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Постройка таких установок в настоящее время требует от промышленности больших усилий. Поэтому я ставлю вопрос: по-прежнему ли срочно нужны эти установки и оправдывают ли они себя? Я думаю, что да, и вот почему: 1) опытное применение за последние месяцы кислородных авиабомб на Западном фронте было успешным и показало, что их разрушительная сила, по-видимому, больше обычных. Также они дают больше огня, поэтому видимость попадания ими выше. Летчики довольны ими. Нет данных, что подобные бомбы есть у немцев. (Более подробные сведения имеются у работников НИИ № 6 или у т. Кафтанова); 2) кислородные бомбы по сравнению с обычными обладают при разном объеме меньшим весом; 3) наполнители этих бомб не включают дефицитных материалов. Хорошо известно, что взрывчатое вещество получается при смеси жидкого кислорода с любым сухим и измельченным горючим, как например сажей, соломой, торфом, опилками, мхом и т. п. Жидкий кислород, добываемый просто из воздуха, смешанный с любым из этих веществ, и образует взрывчатое вещество, называемое оксиликвитом. Очевидно, что применение оксиликвитов в большом масштабе для авиабомб сможет освободить у нас более ценные взрывчатые вещества, как тол, аммонал и прочие, необходимые для других целей; 4) оксиликвитные авиабомбы дешевле других. По государственной расценке 1 кг тола обходится около 7 руб. Для наполнения той же бомбы оксиликвитными взрывателями ценность представляет только электроэнергия, необходимая для получения жидкого кислорода. На 1 кг веса наполнителя бомбы потребуется от 1 до 2 кВт/ч, т. е. в среднем от 10 до 20 коп.; 5) немцы не смогут применить этих бомб в большом масштабе, так как у них нет методов для получения дешевого кислорода в масштабах, какими мы потенциально располагаем.</w:t>
      </w:r>
    </w:p>
    <w:p w14:paraId="2E1609F5" w14:textId="77777777" w:rsidR="007C4DB4" w:rsidRPr="008A2E5A" w:rsidRDefault="007C4DB4" w:rsidP="007C4D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Теперь следующий вопрос: надежны ли разработанные нами установки и стоит ли затратить на них усилия и средства? Я думаю, что да, и вот почему. Работающая на нашем принципе передвижная установка производительностью 15—17 кг/ч была уже освоена нашей промышленностью еще прошлым летом на 1-м Автогенном заводе в Москве. Она предназначалась специально для целей снабжения кислородом летчиков.</w:t>
      </w:r>
    </w:p>
    <w:p w14:paraId="1E88DA7E" w14:textId="77777777" w:rsidR="007C4DB4" w:rsidRPr="008A2E5A" w:rsidRDefault="007C4DB4" w:rsidP="007C4D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заводе эта установка надежно проработала несколько месяцев. При осмотре ее представителями Военно-воздушного флота она была признана пригодной. Очень жалко, что эта установка не принята еще на вооружение. Она имеет значительно лучшие показатели, чем прежние установки. Так, например, она помещалась на одном грузовике с прицепом вместо обычной, размещавшейся на двух-трех грузовиках, а производительность ее при этом была в два раза выше, чем [у] обычных установок, пусковой период меньше, кислород чище и пр.</w:t>
      </w:r>
    </w:p>
    <w:p w14:paraId="0332C920" w14:textId="77777777" w:rsidR="007C4DB4" w:rsidRPr="008A2E5A" w:rsidRDefault="007C4DB4" w:rsidP="007C4D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последнее время, уже в Казани, мы усердно работали над рядом усовершенствований наших установок, повышая производительность и надежность. Построенная нами стационарная установка дает теперь 25-30 кг жидкого кислорода в час, и мы ее эксплуатируем систематически в течение нескольких месяцев. В сутки она дает более 600 кг жидкого кислорода, и мы сейчас непрерывно снабжаем им не менее 4-х заводов военной промышленности Казани и все институты Академии наук.</w:t>
      </w:r>
    </w:p>
    <w:p w14:paraId="4E5A90B0" w14:textId="77777777" w:rsidR="007C4DB4" w:rsidRPr="008A2E5A" w:rsidRDefault="007C4DB4" w:rsidP="007C4D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Будут ли экономичны эти установки? За три месяца эксплуатации нашей установки, продавая жидкий кислород заводам по твердым казенным ценам, мы полностью окупили затраты на постройку установки, считая их с обычной 200% надбавкой (заводской). Это показывает, что она на деле значительно экономичнее прежних установок высокого давления.</w:t>
      </w:r>
    </w:p>
    <w:p w14:paraId="036D9566" w14:textId="77777777" w:rsidR="007C4DB4" w:rsidRPr="008A2E5A" w:rsidRDefault="007C4DB4" w:rsidP="007C4D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будет работать машина большего масштаба, предусмотренная постановлением ГКО? Теория и практика таких турбинных механизмов показывают, что чем они больше, тем они рентабельнее и надежнее. Прежние немецкие, французские и другие установки жидкого кислорода применяют высокое давление и потому работают на поршневых механизмах, и их не удавалось до сих пор строить производительностью больше 300-350 кг жидкого кислорода в час. Проект показывает, что наши машины, равные немецкой по весу, по размеру и по цене, будут давать вместо 350 кг/ч примерно до 2 тыс. кг жидкого кислорода в час. Это не практический предел, так как можно было бы строить и большие машины.</w:t>
      </w:r>
    </w:p>
    <w:p w14:paraId="1E090BED" w14:textId="77777777" w:rsidR="007C4DB4" w:rsidRPr="008A2E5A" w:rsidRDefault="007C4DB4" w:rsidP="007C4D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изложенное, мне кажется, еще сильнее указывает, что необходимо приложить все усилия для возможно более быстрой постройки мощных кислородных установок, предусмотренных постановлением ГКО от 2 марта. Что было выполнено для исполнения этого постановления? Согласно постановлению, за последние 4 месяца наш институт к определенным срокам должен был разработать технический проект и дать спецификацию необходимых материалов, в то время как Наркомтяжмаш должен был приготовить по этой спецификации материалы и наладить производственную базу.</w:t>
      </w:r>
    </w:p>
    <w:p w14:paraId="5C1B3A78" w14:textId="77777777" w:rsidR="007C4DB4" w:rsidRPr="008A2E5A" w:rsidRDefault="007C4DB4" w:rsidP="007C4D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то, что конструкторы, присланные заводом к нам в институт, запоздали приездом более чем на месяц и прибыли в половинном количестве, мы дали спецификацию материалов вовремя, а с техническим проектом запоздали на 15 дней.</w:t>
      </w:r>
    </w:p>
    <w:p w14:paraId="1B9EF05A" w14:textId="77777777" w:rsidR="007C4DB4" w:rsidRPr="008A2E5A" w:rsidRDefault="007C4DB4" w:rsidP="007C4D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Нам, работникам института, очень обидно, что в то время как мы относились к заданию ГКО очень серьезно и работали как над чертежами, так и над испытаниями установок, часто фактически днем и ночью, чтобы выдержать сроки и сделать установку наиболее совершенной, Глававтоген, как это выяснил мой заместитель, только что вернувшийся из Москвы, практически никаких шагов по подготовке базы для производства и для реализации спецификации не предпринял. Теперь уже совершенно ясно, что за оставшийся до 1 сентября срок ему не успеть выполнить постановление.</w:t>
      </w:r>
    </w:p>
    <w:p w14:paraId="3B776F9B" w14:textId="77777777" w:rsidR="007C4DB4" w:rsidRPr="008A2E5A" w:rsidRDefault="007C4DB4" w:rsidP="007C4D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Хочу отметить, что если бы Глававтоген Наркомтяжмаша действовал более активно с того времени, когда ему было поручено освоить эти установки (постановление Экономсовета [от] 22 июля 1940 г. № 1310)1*, наша установка была бы уже внедрена. Я хочу указать, что и в этом случае вина лежит на промышленности, а не на научном учреждении.</w:t>
      </w:r>
    </w:p>
    <w:p w14:paraId="70016F03" w14:textId="77777777" w:rsidR="007C4DB4" w:rsidRPr="008A2E5A" w:rsidRDefault="007C4DB4" w:rsidP="007C4D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Мы все довели до конца — промышленности оставалось только честно копировать. Мы не только разработали у себя в институте все детальные чертежи установок, но разработали и всю технологию изготовления специальных узлов установки и обучили этой технологии мастеров 1-го Автогенного завода, которые без труда выстроили, например, вышеуказанную передвижную установку у себя на заводе. Теперь оказалось, что за мое отсутствие из Москвы все эти кадры обученных нами мастеров и инженеров 1-й Автогенный завод распустил — они ушли на другие заводы, и я не вижу, как без кадров, при создавшихся условиях, Глававтоген вообще справится с постройкой этих больших установок.</w:t>
      </w:r>
    </w:p>
    <w:p w14:paraId="020CC0E7" w14:textId="77777777" w:rsidR="007C4DB4" w:rsidRPr="008A2E5A" w:rsidRDefault="007C4DB4" w:rsidP="007C4D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Поэтому если Государственный комитет обороны считает срочным освоение и применение машин жидкого кислорода для обороны страны, я думаю, необходимо принять следующие меры: 1) самым решительным образом внушить как Наркомтяжмашу (т. Казаков), так и Глававтогену (т. Суков) срочность и важность задания и необходимость его выполнения в кратчайшие сроки; 2) потребовать детального графика выполнения задания по срокам, с указанием, где и как оно будет выполнено; 3) необходимо начать снова создавать твердую производственную базу для выполнения этих установок, так как недопустимо рассовывать заказы по разным заводам, как теперь, по-видимому, предполагает сделать Глававтоген. Это не создаст необходимых условий в дальнейшем для быстрого серийного выпуска этих установок; 4) считаю очень желательным выделение ответственного лица для наблюдения за выполнением этого постановления ГКО, причем лица: а) которого бы промышленность слушалась (меня, как ученого, они, конечно, мало боятся и почти не слушаются); б) которое бы в случае необходимости не считало бы для себя зазорным вникать в мелкие вопросы; в) которое было бы для меня доступно (можно было бы звонить ему по телефону, не нужно было бы ждать в приемной, чтобы оно отвечало на письма).</w:t>
      </w:r>
    </w:p>
    <w:p w14:paraId="3E51064E" w14:textId="77777777" w:rsidR="007C4DB4" w:rsidRPr="008A2E5A" w:rsidRDefault="007C4DB4" w:rsidP="007C4D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 своей стороны должен сказать, что сейчас, когда остаются в основном хозяйственные вопросы организации внедрения, от которых я как ученый, конечно, далек, я все же готов заняться любой работой, связанной с этим внедрением, и посредством работников моего института и сам буду, если нужно, вести обычный присмотр за осуществлением этих установок и также прошу при малейшей необходимости выяснения</w:t>
      </w:r>
    </w:p>
    <w:p w14:paraId="456BB481" w14:textId="77777777" w:rsidR="007C4DB4" w:rsidRPr="008A2E5A" w:rsidRDefault="007C4DB4" w:rsidP="007C4D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любых вопросов вызывать меня.</w:t>
      </w:r>
    </w:p>
    <w:p w14:paraId="4FF8A55C" w14:textId="77777777" w:rsidR="007C4DB4" w:rsidRPr="008A2E5A" w:rsidRDefault="007C4DB4" w:rsidP="007C4D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Ваш П. Капица</w:t>
      </w:r>
    </w:p>
    <w:p w14:paraId="10EC94DD" w14:textId="77777777" w:rsidR="007C4DB4" w:rsidRPr="008A2E5A" w:rsidRDefault="007C4DB4" w:rsidP="007C4D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Резолюция черным карандашом: «Т[овари]щу Молотову. Разберись в этом деле, а потом обсудим совместно. И. Сталин.»</w:t>
      </w:r>
    </w:p>
    <w:p w14:paraId="5F179EFA" w14:textId="77777777" w:rsidR="007C4DB4" w:rsidRPr="008A2E5A" w:rsidRDefault="007C4DB4" w:rsidP="007C4D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82. Оп. 2. Д. 940. Л. 6-10. Подлинник (24070).</w:t>
      </w:r>
    </w:p>
    <w:p w14:paraId="283ABB9B" w14:textId="77777777" w:rsidR="007C4DB4" w:rsidRPr="008A2E5A" w:rsidRDefault="007C4DB4" w:rsidP="007C4DB4">
      <w:pPr>
        <w:spacing w:after="0" w:line="240" w:lineRule="auto"/>
        <w:jc w:val="both"/>
        <w:rPr>
          <w:rFonts w:ascii="Times New Roman" w:hAnsi="Times New Roman"/>
          <w:color w:val="0070C0"/>
          <w:sz w:val="16"/>
          <w:szCs w:val="16"/>
        </w:rPr>
      </w:pPr>
    </w:p>
    <w:p w14:paraId="0B60C093"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Другие оборонные отрасли:</w:t>
      </w:r>
    </w:p>
    <w:p w14:paraId="19C87B0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249B27" w14:textId="5FA798B0"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Приказом наркома вооружения № 354 КБ «Большевика» и ЛМЗ, эвакуированные в</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Сталинград, были объединены в КБ морского вооружения (КБМВ) (15132).</w:t>
      </w:r>
    </w:p>
    <w:p w14:paraId="0660F852" w14:textId="77777777" w:rsidR="00B65961" w:rsidRPr="001E2C69" w:rsidRDefault="00B65961" w:rsidP="00722885">
      <w:pPr>
        <w:spacing w:after="0" w:line="240" w:lineRule="auto"/>
        <w:jc w:val="both"/>
        <w:rPr>
          <w:rFonts w:ascii="Times New Roman" w:hAnsi="Times New Roman"/>
          <w:color w:val="000000" w:themeColor="text1"/>
          <w:sz w:val="16"/>
          <w:szCs w:val="16"/>
        </w:rPr>
      </w:pPr>
    </w:p>
    <w:p w14:paraId="51230A6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237сс в соответствии с Пост. ГКО № 1962сс от 4.07.1942 г. заводу № 808 (Завод № 808 НКМВ, АО «Феникс», «Полиграфзавод» НКМВ, ГС Ордена Ленина и Ордена Трудового Красного Знамени Щербаковский завод полиграфического машириборостроения («Полнграфмаш») ММиП, Рыбинский завод полиграфических машин, ОАО «КПЦ «Полиграфмаш», ООО «ЛИТЭКС» /г. Рига; г. Рыбинск Ярославской обл.; г. Щербаков ул. Луговая, 7 «Станок» (1948г.)/ /152900 г. Рыбинск Ярославской обл. ул. Луговая, 7/) установлен план выпуска на 3-й квартал 1942г. 82-мм минометов - 4500 шт. Пост. ГКО № 1962сс от 4.07.1942г. и приказом НКМВ № 237сс от 7.07.1942г. заводу установлен план выпуска на 3-й квартал 1942г. угломеров-квадрантов к 82-мм минометам - 4500 шт. Наряду с этим с 1943г. освоен выпуск малых печатных машин. Завод № 808 был в 1945г.</w:t>
      </w:r>
    </w:p>
    <w:p w14:paraId="4852D62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1947-48г. Щербаковский завод - в ведении Главполиграфмаша ММиП, в 1960-е г. - Рыбинский завод полиграфических машин.</w:t>
      </w:r>
    </w:p>
    <w:p w14:paraId="2CED791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(1947г.) цехи: основные: механические № 1, 3, 5, 6, сборочный № 2, деревообделочный № 9, литейный № 10, кузнечно-прессовый № 12, заготовительный № 16, ширпотреба № 20; вспомогательные: инструментальный № 4, ремонтно-механический № 7, паровое хозяйство, электро-ремонтный № 14, ремонтно- строительный № 15, центральная лаборатория № 17.</w:t>
      </w:r>
    </w:p>
    <w:p w14:paraId="2D4C588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2006г. предприятие преобразовано в ООО «ЛИТЭКС».</w:t>
      </w:r>
    </w:p>
    <w:p w14:paraId="64ED0AB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(1939г.)- 702 ед., (1946г.)- 774 ед., (1947г.)- 985 ед.</w:t>
      </w:r>
    </w:p>
    <w:p w14:paraId="74C0AF8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(1947г.)- 34,75 га; застройки (1947г.)- 58850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(1939г.)- 20841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(1946-47Г.)- 22342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1F1A857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(1939г.)- 2430 чел., (1946г.)- 3204 чел., (1947г.)- 3001 чел. Директор (06.1942г.)- Манин, (1948г.)- Федосов. Гл. инженер (1948г.)- Елисеев.</w:t>
      </w:r>
    </w:p>
    <w:p w14:paraId="577FF62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полиграфические машины: плоскопечатная «Пионер-1» (1931); машины ротационные: газетная 20Р, книжная 2РК; станки: стереотипные: отливочный ОГ, ростовой НГ, НК, отделочный ОК, фрезерный отделочный ЕГ, ЕК; гидравлический матричный пресс МП (1947); 82-мм минометы, угломеры-квадранты к 82-мм минометам; 120-мм мины (1942) (11982).</w:t>
      </w:r>
      <w:r w:rsidRPr="001E2C69">
        <w:rPr>
          <w:rFonts w:ascii="Times New Roman" w:hAnsi="Times New Roman"/>
          <w:color w:val="000000" w:themeColor="text1"/>
          <w:sz w:val="16"/>
          <w:szCs w:val="16"/>
          <w:vertAlign w:val="superscript"/>
        </w:rPr>
        <w:t>129</w:t>
      </w:r>
    </w:p>
    <w:p w14:paraId="63125B8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4D45F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1942г. в соответствии с Пост. ГКО № 1962сс от 4.07.1942г. приказом НКМВ № 237сс заводу установлен план выпуска на 3-й квартал 1942г.: прицелов к 50-мм минометам- 2700 шт.; угломеров-квадрантов к 82-мм минометам- 2800 шт. В соответствии с пост. ГКО № 2679 от 31.12.1942г. на заводе организовано дублирующее производство танковых радиоприемников. В годы войны выпускал взрыватели, прицелы, радиостанции для танков, бойки для гранат.</w:t>
      </w:r>
    </w:p>
    <w:p w14:paraId="798125D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войны завод освоил выпуск радиоприемников, конденсаторов, запчастей для сельхозтехники.</w:t>
      </w:r>
    </w:p>
    <w:p w14:paraId="6A95632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Имел наименование «п/я А-1892». 16.07.1994г. завод «Кузбассрадио» акционирован и преобразован в ОАО «Сибэлком». В 2009г. ОАО «Сибэлком» являлось банкротом. Затем преобразовано в ОАО «Кузбассрадио». В 2008г. ОАО «Кузбассрадио» являлось банкротом.</w:t>
      </w:r>
    </w:p>
    <w:p w14:paraId="000A868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(2000-е): коммутационные изделия (тумблеры, микропереключатели, переключатели: кнопочные, движковые; держатели плавких вставок); установочные изделия РЭ аппаратуры для МО, космической техники и нардного хозяйства.</w:t>
      </w:r>
    </w:p>
    <w:p w14:paraId="2ED6851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(1980-е г.)- более 10 тыс. чел.</w:t>
      </w:r>
    </w:p>
    <w:p w14:paraId="76BD6E3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Директор (06.1942г.)- Жуков, (06.1942г.)- Шифрин. Гендиректор (2000-е)- В.А. Красноперов.</w:t>
      </w:r>
    </w:p>
    <w:p w14:paraId="5C3B3DA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взрыватели АМБ, КТМ-1; прицелы к 50-мм минометам, угломеры-квадранты к 82-мм минометам (1942-); радиоприемники: танковый «Малютка» (1943-); бытовой «Рекорд-46».</w:t>
      </w:r>
    </w:p>
    <w:p w14:paraId="67B916B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«КинАп» /г. Одесса/</w:t>
      </w:r>
    </w:p>
    <w:p w14:paraId="42A87B2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киноаппаратуры «КинАп» после начала войны был эвакуирован в Белово, где на его базе был создан завод № 842 НКЭП.</w:t>
      </w:r>
    </w:p>
    <w:p w14:paraId="5488CAB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освобождения Одессы завод «КинАп» восстановлен, был в 1975г.</w:t>
      </w:r>
    </w:p>
    <w:p w14:paraId="1ED51ED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разъем 16СТК-1 (1973).</w:t>
      </w:r>
    </w:p>
    <w:p w14:paraId="710C70C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Фабрика граммпластинок «Метрополь-Рекорд», Фабрика им. 1905 года, Апрелевский завод граммпластинок (АЗГ) Памяти 1905 года НКТП, НКМ, НКМВ, Апрелевский патефонный завод, Фирма «Мелодия» /г. Апрелевка Наро-Фоминского р-на Московской обл./</w:t>
      </w:r>
    </w:p>
    <w:p w14:paraId="054F39E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1910г. в пос. Апрелевка Б.В. Молль, А. Кибарт и Фогт основали фабрику граммпластинок «Метрополь- Рекорд». Производство было оснащено 35 одноместными прессами. Запись звука осуществлялась в Москве, там же находился и гальванический цех, где изготовлялись матрицы. Сами граммпластинки изготовлялись в Апрелевке. Выпускалось около 500 тыс. пластинок в год.</w:t>
      </w:r>
    </w:p>
    <w:p w14:paraId="4B6CB14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революции, в 1918-25г. фабрика работала с перебоями из-за отсутствия сырья. В 1925г. производство было восстановлено, в этом году на 8 прессах было выпущено 80 тыс. пластинок. В 1928-32г. были построены котельная и силовая станция, начата механизация производства. В 1930-е г. одноместные прессы были заменены на двухместные полуавтоматические, установлены полуавтоматические молотковые дробилки. К 1937г. производство пластинок достигло 18 млн. в год.</w:t>
      </w:r>
    </w:p>
    <w:p w14:paraId="23D9B54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завода (1928г.)- матричное отделение, прессовый, мельнично-вальцевой цехи, химическая лаборатория.</w:t>
      </w:r>
    </w:p>
    <w:p w14:paraId="720C3F6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1919г. фабрика граммпластинок - в ведении отдела «Советская пластинка» агентства Центропечать. В 1925г. получила название «Фабрика им. 1905 года». В 1933г. фабрика переименована в АЗГ Памяти 1905г. в ведении Грампластреста НКТП, в 1938г. - в ведении Главширпотреба НКМ.</w:t>
      </w:r>
    </w:p>
    <w:p w14:paraId="5AE85D3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10.1941г. Апрелевский патефонный завод эвакуирован в Белово, где на его базе создан завод № 842 НКЭП.</w:t>
      </w:r>
    </w:p>
    <w:p w14:paraId="1F4D76F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оставшемся оборудовании в Апрелевке был налажен выпуск боеприпасов. Весной 1942г. после освобождения Наро-Фоминска на заводе восстановлено производство пластинок. На 15 прессах в 1942г. было изготовлено 250 тыс. пластинок. В 07.1942г. Апрелевский завод граммпластинок- в ведении 5ГУ НКМВ.</w:t>
      </w:r>
    </w:p>
    <w:p w14:paraId="79DA26C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войны завод был реконструирован. В 1953г. освоен выпуск долгоиграющих пластинок. В 1958г. начата очередная реконструкция. Было построено два новых прессовых цеха, гальванический, механический. В 1962г. начато промышленное производство стереофонических пластинок, начато строительство нового прессового цеха.</w:t>
      </w:r>
    </w:p>
    <w:p w14:paraId="410F08A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1964г. на базе АЗГ создана фирма «Мелодия».</w:t>
      </w:r>
    </w:p>
    <w:p w14:paraId="78CB861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кроме пластинок, выпускал матрицы, пресс-формы, пластмассу для других предприятий отрасли.</w:t>
      </w:r>
    </w:p>
    <w:p w14:paraId="32E5277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2007г. завод не действовал, его оборудование распродано, площади сданы в аренду коммерческим структурам.</w:t>
      </w:r>
    </w:p>
    <w:p w14:paraId="1C2879D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(1912г.)- 100 чел., (1916г.)- 50 чел., (1930г.)- 215 чел., (1933г.)- 541 чел.</w:t>
      </w:r>
    </w:p>
    <w:p w14:paraId="57D6227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(1910г.)- Б.В. Молль.</w:t>
      </w:r>
    </w:p>
    <w:p w14:paraId="4CF5EDE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химической лаборатории (1960-е)- В.М. Хазанджи (11982).</w:t>
      </w:r>
    </w:p>
    <w:p w14:paraId="11B47E4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5C341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237сс и Пост. ГКО № 1962сс от 4.07.1942г. заводу (Завод № 815 НКВМ, Шадринский мотороремонтный завод (МРЗ), Завод противопожарного оборудования НКМВ, Шадринский завод полиграфических машин («Полиграфмаш») ММиП, ОАО «Шадринский завод транспортного машиностроения» /г. Шадринск пл. Революции «Молот» (1948г.)/ /641878 г. Шадринск Курганской обл. ул. Первомайская, 5/) был установлен план выпуска на 3-й квартал 1942г. 50-мм минометов- 1200 шт. В 1943г. освоен выпуск 6 новых изделий. В 1945г. начат переход на выпуск гражданской продукции.</w:t>
      </w:r>
    </w:p>
    <w:p w14:paraId="7047443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1946г. завод № 815 преобразован в завод «Полиграфмаш», в 1947-48г. завод - в ведении Главполиграфмаша ММиП.</w:t>
      </w:r>
    </w:p>
    <w:p w14:paraId="79103D4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(1947г.) цехи: основные: машиностроительный, станкостроительный, литейный; вспомогательные: кузнечно-прессовый, инструментальный, ремонтно-механический, электроцех.</w:t>
      </w:r>
    </w:p>
    <w:p w14:paraId="7F0CBF0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1996г. завод «Полиграфмаш» обанкрочен и ликвидирован.</w:t>
      </w:r>
    </w:p>
    <w:p w14:paraId="2708C2A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(1946г.)- 285 ед., (1947г.)- 281 ед.</w:t>
      </w:r>
    </w:p>
    <w:p w14:paraId="1620AEE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(1947г.)- 2,0 га; застройки (1947г.)- 8170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(1946-47г.)- 5570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7EE1AD4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(1946г.)- 1053 чел., (1947г.)- 956 чел.</w:t>
      </w:r>
    </w:p>
    <w:p w14:paraId="32C157D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(06.1942г.)- Стругацкий, (1948г.)- Седелев.</w:t>
      </w:r>
    </w:p>
    <w:p w14:paraId="3E53548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(1948г.)- Росаткевич.</w:t>
      </w:r>
    </w:p>
    <w:p w14:paraId="1DDEAA3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50-мм минометы; мины: 50-мм, 82-мм, АМБ, детали для </w:t>
      </w:r>
      <w:r w:rsidRPr="001E2C69">
        <w:rPr>
          <w:rFonts w:ascii="Times New Roman" w:hAnsi="Times New Roman"/>
          <w:color w:val="000000" w:themeColor="text1"/>
          <w:sz w:val="16"/>
          <w:szCs w:val="16"/>
          <w:lang w:val="en-US"/>
        </w:rPr>
        <w:t>PC</w:t>
      </w:r>
      <w:r w:rsidRPr="001E2C69">
        <w:rPr>
          <w:rFonts w:ascii="Times New Roman" w:hAnsi="Times New Roman"/>
          <w:color w:val="000000" w:themeColor="text1"/>
          <w:sz w:val="16"/>
          <w:szCs w:val="16"/>
        </w:rPr>
        <w:t xml:space="preserve"> М-8, М-13 (1942); машина печатная тигельная ТЦ, Т2, ТТ-1; пресс ручной позолотный ПЗ-1; мотопомпа М; станки: токарный Т-1, токарный специальный ТЛ-1, часовой К-8 (1947).</w:t>
      </w:r>
      <w:r w:rsidRPr="001E2C69">
        <w:rPr>
          <w:rFonts w:ascii="Times New Roman" w:hAnsi="Times New Roman"/>
          <w:color w:val="000000" w:themeColor="text1"/>
          <w:sz w:val="16"/>
          <w:szCs w:val="16"/>
          <w:vertAlign w:val="superscript"/>
        </w:rPr>
        <w:t>124</w:t>
      </w:r>
    </w:p>
    <w:p w14:paraId="0233E9E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Прилукский завод противопожарного оборудования (ППО) им. Войкова ММиП /Украина пос. Ладан Прилукского р-на Черниговской обл. «Огнетушитель» (1948г.)/</w:t>
      </w:r>
    </w:p>
    <w:p w14:paraId="1CA0FD1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1941г. действовал цех № 1 по производству авиационных взрывателей.</w:t>
      </w:r>
    </w:p>
    <w:p w14:paraId="671926D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10.1941г. завод был эвакуирован в Шадринск на площадку Мотороремонтного завода; производство ЗАБ-50 эвакуировано в Свердловск на площадку завода № 612 НКБ.</w:t>
      </w:r>
    </w:p>
    <w:p w14:paraId="4AF47A7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Затем завод был восстановлен в Прилуках. В 1947-48г. завод - в ведении ГлавУППО ММиП.</w:t>
      </w:r>
    </w:p>
    <w:p w14:paraId="200A4DE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(1947г.) цехи: основные: огнетушительный, механический, литейный, сборочный пожарных машин, деревообделочный; вспомогательные: ремонтный, инструментальный, сантехнический.</w:t>
      </w:r>
    </w:p>
    <w:p w14:paraId="465BF66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(1939г.)- 110 ед., (1946г.)- 128 ед, (1947г.)- 246 ед.</w:t>
      </w:r>
    </w:p>
    <w:p w14:paraId="5109AD6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(1947г.)- 21,65 га; застройки (1947г.)- 20474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(1939г.)-</w:t>
      </w:r>
    </w:p>
    <w:p w14:paraId="7B4F3C2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9600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(1946г.)- 9113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(1947г.)- 9767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29C2E92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(1939г.)- 1651 чел, (1946г.)- 520 чел, (1947г.)- 594 чел.</w:t>
      </w:r>
    </w:p>
    <w:p w14:paraId="3576455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(1948г.)- Реутов.</w:t>
      </w:r>
    </w:p>
    <w:p w14:paraId="155011B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(1948г.)- Бурко.</w:t>
      </w:r>
    </w:p>
    <w:p w14:paraId="3BC3BEB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авиационные взрыватели «АМБ б/в» (-1941); автонасосы ПМГ-3, огнетушители ОП-3, ОП-1, спринклерная головка 2СП, дренчлерная головка (1947) (11982).</w:t>
      </w:r>
      <w:r w:rsidRPr="001E2C69">
        <w:rPr>
          <w:rFonts w:ascii="Times New Roman" w:hAnsi="Times New Roman"/>
          <w:color w:val="000000" w:themeColor="text1"/>
          <w:sz w:val="16"/>
          <w:szCs w:val="16"/>
          <w:vertAlign w:val="superscript"/>
        </w:rPr>
        <w:t>129</w:t>
      </w:r>
    </w:p>
    <w:p w14:paraId="5F795A2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83C5C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в соответствии с пост. СНК № 837-430сс от 3.06.1942г. приказом НКМВ № 250с Патефонный завод НКМВ переименован в завод № 819 в ведении ЗГУ (Завод № 819 НКМВ, Патефонный завод НКМВ, Коломенский граммофонный завод НКМВ, Коломенский завод текстильного машиностроения («Текмаш», «Текстльмаш»), ММиП, ММ, ОАО «Коломнатекстильмаш» /г. Коломна Московской обл. ул. Левшша, 19 «Тестильмаш» (1947-54г.)).</w:t>
      </w:r>
    </w:p>
    <w:p w14:paraId="5346838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Патефонный завод НКМВ (употреблялось также название Коломенский граммофонный завод) был восстановлен в Коломне (либо часть завода осталась в Коломне при эвакуации, см. завод № 482).</w:t>
      </w:r>
    </w:p>
    <w:p w14:paraId="5330F35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завода (1947г.) цехи: основные: станкостроительный № 1, шпинделей № 2, мелких серий № 3, блочков и втулок № 4, термический № 6, заготовительный № 9, роликовых втулок № 10, сборочный № 11, ширпотреба № 12; вспомогательные: деревообрабатывающий цех № 5, инструментальный № 7, ремонтный № 8. (1954г.): основные: машиностроительный № 1, веретено-сборочный № 2, шпинделей № 3, массовых деталей № 4, роликовых втулок № 5, термический № 7, заготовительный № 9, деревообрабатывающий № 11, штамповочный № 12, механический № 16; вспомогательные: инструментальный № 8, ремонтно-механический № 10, электроцех № 13, паро-цех № 14, транспортный № 15.</w:t>
      </w:r>
    </w:p>
    <w:p w14:paraId="17F5136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1947г. Коломенский завод текстильного машиностроения - в ведении Главтекстильлегмаша ММиП, в 01.1954г. - в ведении Главлегмаша ММ; был в 1960-е г.</w:t>
      </w:r>
    </w:p>
    <w:p w14:paraId="2FF5F70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(1946г.)- 920 ед., (1947г.)- 1386 ед., (1953г.)- 1753 ед.</w:t>
      </w:r>
    </w:p>
    <w:p w14:paraId="0A12087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(1947-53г.)- 3,99 га; застройки (1947г.)- 13563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(1953г.)- 14807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(1947г.)- 18759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(1953г.)- 29604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70DB263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(1946г.)- 2356 чел., (1947г.)- 2222 чел.</w:t>
      </w:r>
    </w:p>
    <w:p w14:paraId="225661F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(06.1948г.)- Корощенко.</w:t>
      </w:r>
    </w:p>
    <w:p w14:paraId="66F984A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(06.1948г.)- Захаров.</w:t>
      </w:r>
    </w:p>
    <w:p w14:paraId="0D636D9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веретена ОГ-25, -28, ВЛ, СВ (1947), В-25, -28, ВН-25, -28, ВТ-25, -28, ВК-2, -28, -32, ВНТ-2, - 32, - 45, КФ-45 (1954); машины: тростильные Т-150, ТК-190; узловязательная УС-175 (1954) (11982).</w:t>
      </w:r>
      <w:r w:rsidRPr="001E2C69">
        <w:rPr>
          <w:rFonts w:ascii="Times New Roman" w:hAnsi="Times New Roman"/>
          <w:color w:val="000000" w:themeColor="text1"/>
          <w:sz w:val="16"/>
          <w:szCs w:val="16"/>
          <w:vertAlign w:val="superscript"/>
        </w:rPr>
        <w:t>129</w:t>
      </w:r>
    </w:p>
    <w:p w14:paraId="3A6FE8B0" w14:textId="77777777" w:rsidR="00B65961" w:rsidRPr="001E2C69" w:rsidRDefault="00B6596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3E6F9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250с завод (Завод № 815 НКВМ, Шадринский мотороремонтный завод (МРЗ), Завод противопожарного оборудования НКМВ, Шадринский завод полиграфических машин («Полиграфмаш») ММиП, ОАО «Шадринский завод транспортного машиностроения» /г. Шадринск пл. Революции «Молот» (1948г.)/ /641878 г. Шадринск Курганской обл. ул. Первомайская, 5/) был передан в ведение ЗГУ.</w:t>
      </w:r>
      <w:r w:rsidRPr="001E2C69">
        <w:rPr>
          <w:rFonts w:ascii="Times New Roman" w:hAnsi="Times New Roman"/>
          <w:color w:val="000000" w:themeColor="text1"/>
          <w:sz w:val="16"/>
          <w:szCs w:val="16"/>
          <w:vertAlign w:val="superscript"/>
        </w:rPr>
        <w:t>129</w:t>
      </w:r>
    </w:p>
    <w:p w14:paraId="604B006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24.12.1941г. был введен в строй минометный цех № 2, к 1.01.1942г. выпущены первые минометы, в 03.1942г.- первая партия 50-мм мин. Приказом НКМВ № 236сс от </w:t>
      </w:r>
      <w:r w:rsidRPr="001E2C69">
        <w:rPr>
          <w:rFonts w:ascii="Times New Roman" w:hAnsi="Times New Roman"/>
          <w:color w:val="000000" w:themeColor="text1"/>
          <w:sz w:val="16"/>
          <w:szCs w:val="16"/>
        </w:rPr>
        <w:lastRenderedPageBreak/>
        <w:t>6.07.1942г. заводу поручено организовать производство 82-мм агитационных мин с выпуском в 08.1942г. 10 тыс. штук. Пост. ГКО № 1962сс от 4.07.1942г. и приказом НКМВ № 237сс от 7.07.1942г. заводу установлен план выпуска на 3-й квартал 1942г. 50-мм минометов- 1200 шт. В 1943г. освоен выпуск 6 новых изделий. В 1945г. начат переход на выпуск гражданской продукции.</w:t>
      </w:r>
    </w:p>
    <w:p w14:paraId="385AD9C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1946г. завод № 815 преобразован в завод «Полиграфмаш», в 1947-48г. завод - в ведении Главполиграфмаша ММиП.</w:t>
      </w:r>
    </w:p>
    <w:p w14:paraId="1060FB1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(1947г.) цехи: основные: машиностроительный, станкостроительный, литейный; вспомогательные: кузнечно-прессовый, инструментальный, ремонтно-механический, электроцех.</w:t>
      </w:r>
    </w:p>
    <w:p w14:paraId="738D4E6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1996г. завод «Полиграфмаш» обанкрочен и ликвидирован.</w:t>
      </w:r>
    </w:p>
    <w:p w14:paraId="0F050C2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(1946г.)- 285 ед., (1947г.)- 281 ед.</w:t>
      </w:r>
    </w:p>
    <w:p w14:paraId="4FB0D68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(1947г.)- 2,0 га; застройки (1947г.)- 8170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(1946-47г.)- 5570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4E225A5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(1946г.)- 1053 чел., (1947г.)- 956 чел.</w:t>
      </w:r>
    </w:p>
    <w:p w14:paraId="16EFE9D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(06.1942г.)- Стругацкий, (1948г.)- Седелев.</w:t>
      </w:r>
    </w:p>
    <w:p w14:paraId="0CEB703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(1948г.)- Росаткевич.</w:t>
      </w:r>
    </w:p>
    <w:p w14:paraId="3F3DD3C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50-мм минометы; мины: 50-мм, 82-мм, АМБ, детали для </w:t>
      </w:r>
      <w:r w:rsidRPr="001E2C69">
        <w:rPr>
          <w:rFonts w:ascii="Times New Roman" w:hAnsi="Times New Roman"/>
          <w:color w:val="000000" w:themeColor="text1"/>
          <w:sz w:val="16"/>
          <w:szCs w:val="16"/>
          <w:lang w:val="en-US"/>
        </w:rPr>
        <w:t>PC</w:t>
      </w:r>
      <w:r w:rsidRPr="001E2C69">
        <w:rPr>
          <w:rFonts w:ascii="Times New Roman" w:hAnsi="Times New Roman"/>
          <w:color w:val="000000" w:themeColor="text1"/>
          <w:sz w:val="16"/>
          <w:szCs w:val="16"/>
        </w:rPr>
        <w:t xml:space="preserve"> М-8, М-13 (1942); машина печатная тигельная ТЦ, Т2, ТТ-1; пресс ручной позолотный ПЗ-1; мотопомпа М; станки: токарный Т-1, токарный специальный ТЛ-1, часовой К-8 (1947).</w:t>
      </w:r>
      <w:r w:rsidRPr="001E2C69">
        <w:rPr>
          <w:rFonts w:ascii="Times New Roman" w:hAnsi="Times New Roman"/>
          <w:color w:val="000000" w:themeColor="text1"/>
          <w:sz w:val="16"/>
          <w:szCs w:val="16"/>
          <w:vertAlign w:val="superscript"/>
        </w:rPr>
        <w:t>124</w:t>
      </w:r>
    </w:p>
    <w:p w14:paraId="41F1C67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Прилукский завод противопожарного оборудования (ППО) им. Войкова ММиП /Украина пос. Ладан Прилукского р-на Черниговской обл. «Огнетушитель» (1948г.)/</w:t>
      </w:r>
    </w:p>
    <w:p w14:paraId="7358A3C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1941г. действовал цех № 1 по производству авиационных взрывателей.</w:t>
      </w:r>
    </w:p>
    <w:p w14:paraId="2A8F87C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10.1941г. завод был эвакуирован в Шадринск на площадку Мотороремонтного завода; производство ЗАБ-50 эвакуировано в Свердловск на площадку завода № 612 НКБ.</w:t>
      </w:r>
    </w:p>
    <w:p w14:paraId="5F595EA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Затем завод был восстановлен в Прилуках. В 1947-48г. завод - в ведении ГлавУППО ММиП.</w:t>
      </w:r>
    </w:p>
    <w:p w14:paraId="0291C3D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(1947г.) цехи: основные: огнетушительный, механический, литейный, сборочный пожарных машин, деревообделочный; вспомогательные: ремонтный, инструментальный, сантехнический.</w:t>
      </w:r>
    </w:p>
    <w:p w14:paraId="2D13541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(1939г.)- 110 ед., (1946г.)- 128 ед, (1947г.)- 246 ед.</w:t>
      </w:r>
    </w:p>
    <w:p w14:paraId="598DE4A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(1947г.)- 21,65 га; застройки (1947г.)- 20474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(1939г.)-</w:t>
      </w:r>
    </w:p>
    <w:p w14:paraId="3389B38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9600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(1946г.)- 9113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(1947г.)- 9767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44B9529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(1939г.)- 1651 чел, (1946г.)- 520 чел, (1947г.)- 594 чел.</w:t>
      </w:r>
    </w:p>
    <w:p w14:paraId="14A1E05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(1948г.)- Реутов.</w:t>
      </w:r>
    </w:p>
    <w:p w14:paraId="21293F8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(1948г.)- Бурко.</w:t>
      </w:r>
    </w:p>
    <w:p w14:paraId="46760B0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авиационные взрыватели «АМБ б/в» (-1941); автонасосы ПМГ-3, огнетушители ОП-3, ОП-1, спринклерная головка 2СП, дренчлерная головка (1947) (11982).</w:t>
      </w:r>
      <w:r w:rsidRPr="001E2C69">
        <w:rPr>
          <w:rFonts w:ascii="Times New Roman" w:hAnsi="Times New Roman"/>
          <w:color w:val="000000" w:themeColor="text1"/>
          <w:sz w:val="16"/>
          <w:szCs w:val="16"/>
          <w:vertAlign w:val="superscript"/>
        </w:rPr>
        <w:t>129</w:t>
      </w:r>
    </w:p>
    <w:p w14:paraId="3992239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6B86E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и приказом НКМВ № 250с в соответствии с пост, правительства № 837-430сс от 3.06.1942 г. Люберецкий завод сельхозмашин НКМВ переименован в завод № 711 им. Ухтомского (Завод № 711 им. Ухтомского НКМВ, НКСХМ, Люберецкий завод сельскохозяйственного машиностроения им. А.В. Ухтомского, Люберецкий завод им. А.В. Ухтомского НКМВ, ОАО «ПО «Завод им. Ухтомского» /г. Люберцы Московской обл. ул. Транспортная/) в ведении 1ГУ. В соответствии с распоряжением ГКО № 6181 от 13.07.1944 г. заводу передано 500 чел. из лагеря НКВД. В соответствии с пост, правительства № 23 от 7.01.1946 г. и приказом НКМВ/НКСХМ № 14/1 от 11.01.1946 г. завод передан из ГСМ НКМВ в НКСХМ.</w:t>
      </w:r>
    </w:p>
    <w:p w14:paraId="5624521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Приказом № 206сс от 9.06.1942 г. заводу к 1.07.1942 г. задано изготовить 500 корпусов 160-мм мин.</w:t>
      </w:r>
      <w:r w:rsidRPr="001E2C69">
        <w:rPr>
          <w:rFonts w:ascii="Times New Roman" w:hAnsi="Times New Roman"/>
          <w:color w:val="000000" w:themeColor="text1"/>
          <w:sz w:val="16"/>
          <w:szCs w:val="16"/>
          <w:vertAlign w:val="superscript"/>
        </w:rPr>
        <w:t xml:space="preserve">129 </w:t>
      </w:r>
      <w:r w:rsidRPr="001E2C69">
        <w:rPr>
          <w:rFonts w:ascii="Times New Roman" w:hAnsi="Times New Roman"/>
          <w:color w:val="000000" w:themeColor="text1"/>
          <w:sz w:val="16"/>
          <w:szCs w:val="16"/>
        </w:rPr>
        <w:t>31.01.1944 г. вышло распоряжение ГКО № 5070 о срочном обеспечении завода сырьем, материалами и топливом.</w:t>
      </w:r>
    </w:p>
    <w:p w14:paraId="4A6D4EC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(11.1945 г.)- 348 чел., (03.1946 г.)- 8360 чел.</w:t>
      </w:r>
    </w:p>
    <w:p w14:paraId="5E7545F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 г.)- Волков.</w:t>
      </w:r>
    </w:p>
    <w:p w14:paraId="540A351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Технический директор (1927-30 г.)- Б.Л. Ванников.</w:t>
      </w:r>
    </w:p>
    <w:p w14:paraId="26A30F0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120-мм мины (-1942-44-) (11982).</w:t>
      </w:r>
    </w:p>
    <w:p w14:paraId="5883E29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99C34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в соответствии с пост. СНК № 837-430сс от 3.06.1942г. приказом НКМВ № 250с завод «Готовальня» НКМВ переименован в завод № 843 в ведении 5ГУ (Завод № 843 НКМВ , Лакокрасочная фабрика, Завод чертежных принадлежностей «Готовальня» НКМВ, ММиП, ЗАО «Готовальня» /г. Москва, 23 ул. Электрозаводская, 52 «Ось» (1948г.)/ /105023 г. Москва ул. Электрозаводская, 52/).</w:t>
      </w:r>
    </w:p>
    <w:p w14:paraId="63E4781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Производил литье под давлением заготовок для боеприпасов, выпускал детали для ППШ (1942г.). Пост. ГКО № 1962сс от 4.07.1942г. и приказом НКМВ № 237сс от 7.07.1942г. заводу установлен план выпуска на 3-й квартал 1942г. квадрантов- 19500 шт.</w:t>
      </w:r>
    </w:p>
    <w:p w14:paraId="4EE0F92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1947-48г. завод «Готовальня» - в ведении Главмервеспрома ММиП.</w:t>
      </w:r>
    </w:p>
    <w:p w14:paraId="27C245D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(1947г.) цехи: основные: автоматно-револьверный, фрезерный, литейный, сборочный, футлярный, отделочный, механо-сборочный; вспомогательные: инструментальный, ремонтный, котельная.</w:t>
      </w:r>
    </w:p>
    <w:p w14:paraId="62FE6E0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войны выпускал канцелярские товары (линейки, угольники, скрепки, тубусы), чертежные принадлежности (циркули, готовальни).</w:t>
      </w:r>
    </w:p>
    <w:p w14:paraId="55CFAE0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конце 1990-х г. завод ликвидирован, на его месте образован офисный центр.</w:t>
      </w:r>
    </w:p>
    <w:p w14:paraId="1B531D5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(1939г.)- 198 ед., (1946г.)- 350 ед., (1947г.)- 419 ед.</w:t>
      </w:r>
    </w:p>
    <w:p w14:paraId="5E98E57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(1947г.)- 0,4 га; застройки (1947г.)- 2665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(1939г.)- 2600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(1946- 47г.)- 3930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2AA92C0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(1939г.)- 724 чел., (1946г.)- 678 чел., (1947г.)- 663 чел.</w:t>
      </w:r>
    </w:p>
    <w:p w14:paraId="3709E74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(-06.1942-48г.-)- Абрамовский.</w:t>
      </w:r>
    </w:p>
    <w:p w14:paraId="11FB2CA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(1948г.)- Кац.</w:t>
      </w:r>
    </w:p>
    <w:p w14:paraId="6BEC8E3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технолог (1941г.)- Н.П. Трындин.</w:t>
      </w:r>
    </w:p>
    <w:p w14:paraId="6D18600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детали для </w:t>
      </w:r>
      <w:r w:rsidRPr="001E2C69">
        <w:rPr>
          <w:rFonts w:ascii="Times New Roman" w:hAnsi="Times New Roman"/>
          <w:color w:val="000000" w:themeColor="text1"/>
          <w:sz w:val="16"/>
          <w:szCs w:val="16"/>
          <w:lang w:val="en-US"/>
        </w:rPr>
        <w:t>PC</w:t>
      </w:r>
      <w:r w:rsidRPr="001E2C69">
        <w:rPr>
          <w:rFonts w:ascii="Times New Roman" w:hAnsi="Times New Roman"/>
          <w:color w:val="000000" w:themeColor="text1"/>
          <w:sz w:val="16"/>
          <w:szCs w:val="16"/>
        </w:rPr>
        <w:t xml:space="preserve"> М-13, квадранты (1942); готовальни Г-7, -10, -13, -14, № 117, 119, 112; весы «Пурка» ПХ, замок ЗЧП типа </w:t>
      </w:r>
      <w:r w:rsidRPr="001E2C69">
        <w:rPr>
          <w:rFonts w:ascii="Times New Roman" w:hAnsi="Times New Roman"/>
          <w:color w:val="000000" w:themeColor="text1"/>
          <w:sz w:val="16"/>
          <w:szCs w:val="16"/>
          <w:lang w:val="en-US"/>
        </w:rPr>
        <w:t>Link</w:t>
      </w:r>
      <w:r w:rsidRPr="001E2C69">
        <w:rPr>
          <w:rFonts w:ascii="Times New Roman" w:hAnsi="Times New Roman"/>
          <w:color w:val="000000" w:themeColor="text1"/>
          <w:sz w:val="16"/>
          <w:szCs w:val="16"/>
        </w:rPr>
        <w:t xml:space="preserve"> (1947) (11982).</w:t>
      </w:r>
      <w:r w:rsidRPr="001E2C69">
        <w:rPr>
          <w:rFonts w:ascii="Times New Roman" w:hAnsi="Times New Roman"/>
          <w:color w:val="000000" w:themeColor="text1"/>
          <w:sz w:val="16"/>
          <w:szCs w:val="16"/>
          <w:vertAlign w:val="superscript"/>
        </w:rPr>
        <w:t>129</w:t>
      </w:r>
    </w:p>
    <w:p w14:paraId="5B29694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B8963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в соответствии с пост. СНК № 837-430сс от 3.06.1942г. приказом НКМВ № 250с завод «Металлометр» НКМВ переименован в завод № 844 в ведении 5ГУ (Завод № 844 НКМВ, Завод «Металлометр» НКМВ /г. Ленинград/) (11982).</w:t>
      </w:r>
      <w:r w:rsidRPr="001E2C69">
        <w:rPr>
          <w:rFonts w:ascii="Times New Roman" w:hAnsi="Times New Roman"/>
          <w:color w:val="000000" w:themeColor="text1"/>
          <w:sz w:val="16"/>
          <w:szCs w:val="16"/>
          <w:vertAlign w:val="superscript"/>
        </w:rPr>
        <w:t>129</w:t>
      </w:r>
    </w:p>
    <w:p w14:paraId="6A66C7F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132E3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в соответствии с пост. СНК № 837-430сс от 3.06.1942г. приказом НКМВ № 250с 1-й часовой завод в Москве НКМВ переименован в завод № 845 в ведении 5ГУ (Завод № 845 ИМ. С.М. Кирова НКМВ, 1-й Государственный часовой завод им. С.М. Кирова, 1-й часовой завод НКМВ, 1-й Московский часовой завод им. С.М. Кирова ММиП, ОАО «1-й часовой завод» /г. Москва, 4 ул. Воронцовская, 35А «Минута» (1948г.)/ /109147 г. Москва ул. Марксистская, 34 тел. 276-47-07/).</w:t>
      </w:r>
      <w:r w:rsidRPr="001E2C69">
        <w:rPr>
          <w:rFonts w:ascii="Times New Roman" w:hAnsi="Times New Roman"/>
          <w:color w:val="000000" w:themeColor="text1"/>
          <w:sz w:val="16"/>
          <w:szCs w:val="16"/>
          <w:vertAlign w:val="superscript"/>
        </w:rPr>
        <w:t>129</w:t>
      </w:r>
    </w:p>
    <w:p w14:paraId="6EE0F71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1947-48г. 1-й московский часовой завод им. Кирова - в ведении Главчаспрома ММиП.</w:t>
      </w:r>
    </w:p>
    <w:p w14:paraId="47749BB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цехи (1947г.): основные: 1-й и 2-й сборочный, 1-й и 2-й механический, мелких серий, автоматный, гальванический, прессовый, платино-корпусной, ходовой, станкостроения, ширпотреба; вспомогательные: строительный, заготовительный, инструментальный, ремонтный.</w:t>
      </w:r>
    </w:p>
    <w:p w14:paraId="5F861A9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ОАО было в 2005г. К 2010г. завод прекратил существование.</w:t>
      </w:r>
    </w:p>
    <w:p w14:paraId="36B6D04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(2002г.): хронометры и запчасти к ним.</w:t>
      </w:r>
    </w:p>
    <w:p w14:paraId="1E61CB5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(1939г.)- 1416 ед., (1946г.)- 1270 ед., (1947г.)- 1640 ед.</w:t>
      </w:r>
    </w:p>
    <w:p w14:paraId="28C30A1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(1947г.)- 17,5 га; застройки (1947г.)- 5905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(1939-47г.)- 14072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5D662E3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(1939г.)- 3515 чел., (1946г.)- 1906 чел., (1947г.)- 2199 чел., (2002г.)- 1800 чел.</w:t>
      </w:r>
    </w:p>
    <w:p w14:paraId="3408512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(06.1942г.)- Кочнев, (1948г.)- Матвеев. Гендиректор (-2000-05г.-)- С.Б. Ксенофонтов.</w:t>
      </w:r>
    </w:p>
    <w:p w14:paraId="3E1EC04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(1948г.)- Калганов, (2002г.)- М.В. Бакланов.</w:t>
      </w:r>
      <w:r w:rsidRPr="001E2C69">
        <w:rPr>
          <w:rFonts w:ascii="Times New Roman" w:hAnsi="Times New Roman"/>
          <w:color w:val="000000" w:themeColor="text1"/>
          <w:sz w:val="16"/>
          <w:szCs w:val="16"/>
          <w:vertAlign w:val="superscript"/>
        </w:rPr>
        <w:t>69</w:t>
      </w:r>
    </w:p>
    <w:p w14:paraId="3CC24B1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 часы:</w:t>
      </w:r>
      <w:r w:rsidRPr="001E2C69">
        <w:rPr>
          <w:rFonts w:ascii="Times New Roman" w:hAnsi="Times New Roman"/>
          <w:color w:val="000000" w:themeColor="text1"/>
          <w:sz w:val="16"/>
          <w:szCs w:val="16"/>
        </w:rPr>
        <w:t xml:space="preserve"> авиационные: АЧХ (1934-41; 1943-), АВР (-1935-42-), АЧ, АЧО, АЧХО (-1936-47-), АЧБ (1936), АВРМ (1943-47-), АЧХОП (1947); ЧСМ (1939), ручные АНЧС, «Победа» (1947-), карманные, каминные, автомобильные 1ЧТ, Ч2Т, морской хронометр </w:t>
      </w:r>
      <w:r w:rsidRPr="001E2C69">
        <w:rPr>
          <w:rFonts w:ascii="Times New Roman" w:hAnsi="Times New Roman"/>
          <w:color w:val="000000" w:themeColor="text1"/>
          <w:sz w:val="16"/>
          <w:szCs w:val="16"/>
          <w:lang w:val="en-US"/>
        </w:rPr>
        <w:t>MX</w:t>
      </w:r>
      <w:r w:rsidRPr="001E2C69">
        <w:rPr>
          <w:rFonts w:ascii="Times New Roman" w:hAnsi="Times New Roman"/>
          <w:color w:val="000000" w:themeColor="text1"/>
          <w:sz w:val="16"/>
          <w:szCs w:val="16"/>
        </w:rPr>
        <w:t xml:space="preserve"> (1947); секундомеры (1942); тахометр «Хаслер» (1938); взрыватели «МП», детали для </w:t>
      </w:r>
      <w:r w:rsidRPr="001E2C69">
        <w:rPr>
          <w:rFonts w:ascii="Times New Roman" w:hAnsi="Times New Roman"/>
          <w:color w:val="000000" w:themeColor="text1"/>
          <w:sz w:val="16"/>
          <w:szCs w:val="16"/>
          <w:lang w:val="en-US"/>
        </w:rPr>
        <w:t>PC</w:t>
      </w:r>
      <w:r w:rsidRPr="001E2C69">
        <w:rPr>
          <w:rFonts w:ascii="Times New Roman" w:hAnsi="Times New Roman"/>
          <w:color w:val="000000" w:themeColor="text1"/>
          <w:sz w:val="16"/>
          <w:szCs w:val="16"/>
        </w:rPr>
        <w:t xml:space="preserve"> М-13 (1942); газовый счетчик (1947) (11982).</w:t>
      </w:r>
      <w:r w:rsidRPr="001E2C69">
        <w:rPr>
          <w:rFonts w:ascii="Times New Roman" w:hAnsi="Times New Roman"/>
          <w:color w:val="000000" w:themeColor="text1"/>
          <w:sz w:val="16"/>
          <w:szCs w:val="16"/>
          <w:vertAlign w:val="superscript"/>
        </w:rPr>
        <w:t>129</w:t>
      </w:r>
    </w:p>
    <w:p w14:paraId="04C7842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259AF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в соответствии с пост. СНК № 837-430сс от 3.06.1942г. и приказом НКМВ № 250с 2-й часовой завод в Москве НКМВ переименован в завод № 853 в ведении 5ГУ (Завод № 853 НКМВ, 2-й Московский часовой завод ММиП, Второй Государственный часовой завод (ВЧЗ), завод «Слава», Московское ОАО (МОАО) «Слава» /г. Москва, 40 Ленинградское ш., 10 «Мосчасдва» (1948г.)/ /125040 г. Москва Ленинградский пр., 8 тел. 251-29-37/ /производство № 1: г. Москва Научный пр-д, 20 стр. 1-9 тел. 332-83-11 (2002г.)/).</w:t>
      </w:r>
      <w:r w:rsidRPr="001E2C69">
        <w:rPr>
          <w:rFonts w:ascii="Times New Roman" w:hAnsi="Times New Roman"/>
          <w:color w:val="000000" w:themeColor="text1"/>
          <w:sz w:val="16"/>
          <w:szCs w:val="16"/>
          <w:vertAlign w:val="superscript"/>
        </w:rPr>
        <w:t>129</w:t>
      </w:r>
    </w:p>
    <w:p w14:paraId="3EB7DF6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По приказу НКМВ № 203сс от 7.06.1942г. с Златоустовского часового завода в Москву на 1-й и 2-й часовые заводы возвращено 30 станков. Пост. ГКО № 1962сс от </w:t>
      </w:r>
      <w:r w:rsidRPr="001E2C69">
        <w:rPr>
          <w:rFonts w:ascii="Times New Roman" w:hAnsi="Times New Roman"/>
          <w:color w:val="000000" w:themeColor="text1"/>
          <w:sz w:val="16"/>
          <w:szCs w:val="16"/>
        </w:rPr>
        <w:lastRenderedPageBreak/>
        <w:t>4.07.1942г. и приказом НКМВ № 237сс от 7.07.1942г. заводу установлен план выпуска на 3-й квартал 1942г.: прицелов к 50-мм минометам- 12 тыс. шт.; угломеров- квадрантов к 82-мм минометам- 7800 шт. В годы войны в Москве налажен выпуск часов К-43, выпускалось по 3000-3500 шт. в год. Решением ГКО в 1945г. заводу поручено освоение карманных часов «Салют», выпуск К-43 прекращен.</w:t>
      </w:r>
    </w:p>
    <w:p w14:paraId="2F02909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1947-48г. 2-й московский часовой завод - в ведении Главчаспрома ММиП.</w:t>
      </w:r>
    </w:p>
    <w:p w14:paraId="1071DBB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(1947г.) цехи: будильников, прессовый, станкостроительный, гальванический, маятников часов, автоматный, 1-й, 2-й, 3-й, 4-й, 5-й механический, 2-й и 14-й сборочный, опытный; вспомогательные: ширпотреба, ремонтный, электроремонтный, инструментальный.</w:t>
      </w:r>
    </w:p>
    <w:p w14:paraId="7B0662F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войны вновь налажен выпуск часов: карманных, женских наручных, настольных. Во второй половине 1950-х г. освоено производство женских наручных часов «Слава», малогабаритных будильников, секундомеров, электронно-механических часов и наручных камертонных. Затем освоен выпуск мужских наручных часов с одинарным и двойным календарем, автоподзаводом. В начале 1970-х г. созданы первые советские кварцевые часы.</w:t>
      </w:r>
    </w:p>
    <w:p w14:paraId="3F1001D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часов (2005г.): механических и кварцевых будильников, мужских механических наручных «Слава»; настенных, настольных и сувенирных.</w:t>
      </w:r>
    </w:p>
    <w:p w14:paraId="64225F1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ОАО «Слава» было в 2004г. Завод имел производственный корпус площадью 80 тыс.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xml:space="preserve"> на Ленинградском пр. и площадку в 2,8 га на Научном пр. (производство № 1; площадь- 8500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В 2005г. планировалось все производственные мощности с Ленинградского пр. перевести на Научный пр., производство часов прекратить. 13.02.2008г. вышло распоряжение правительства Москвы № 276-РП «О мероприятиях по освобождению от производственного использования и градостроительной реабилитации территории МО АО «Слава».</w:t>
      </w:r>
    </w:p>
    <w:p w14:paraId="15A760C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(1946г.)- 1048 ед., (1947г.)- 1546 ед.</w:t>
      </w:r>
    </w:p>
    <w:p w14:paraId="5138A78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(1948г.)- 2,089 га; застройки (1948г.)- 11528 (в т.ч. жилые здания 1734м)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(1946-47г.)- 19150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0580D6B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(1939г.)- 3534 чел., (1946г.)- 2015 чел., (1947г.)- 2401 чел.</w:t>
      </w:r>
    </w:p>
    <w:p w14:paraId="3AB9118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(06.1942г.)- Виноградов, (1948г.)- Буторин. Гендиректор (-2000-02г.-)- В.М. Королев.</w:t>
      </w:r>
    </w:p>
    <w:p w14:paraId="68E3327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гендиректора- С.Б. Ривкин.</w:t>
      </w:r>
    </w:p>
    <w:p w14:paraId="6F144D8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(1948г.)- Галлай.</w:t>
      </w:r>
    </w:p>
    <w:p w14:paraId="78EE503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 часы:</w:t>
      </w:r>
      <w:r w:rsidRPr="001E2C69">
        <w:rPr>
          <w:rFonts w:ascii="Times New Roman" w:hAnsi="Times New Roman"/>
          <w:color w:val="000000" w:themeColor="text1"/>
          <w:sz w:val="16"/>
          <w:szCs w:val="16"/>
        </w:rPr>
        <w:t xml:space="preserve"> карманные К-46 (1935-), К-43 (1936-41; 1942-45), «Салют» (1945-47-); «Победа» (1940- е); женские наручные «Эра» (1940-е), «Слава» (1950-е); будильники Б-6, Б-8; стенные М; настольные НЧ-5, -8, 6; шахматные ШЧ (1947);</w:t>
      </w:r>
      <w:r w:rsidRPr="001E2C69">
        <w:rPr>
          <w:rFonts w:ascii="Times New Roman" w:hAnsi="Times New Roman"/>
          <w:color w:val="000000" w:themeColor="text1"/>
          <w:sz w:val="16"/>
          <w:szCs w:val="16"/>
          <w:vertAlign w:val="superscript"/>
        </w:rPr>
        <w:t>129</w:t>
      </w:r>
      <w:r w:rsidRPr="001E2C69">
        <w:rPr>
          <w:rFonts w:ascii="Times New Roman" w:hAnsi="Times New Roman"/>
          <w:color w:val="000000" w:themeColor="text1"/>
          <w:sz w:val="16"/>
          <w:szCs w:val="16"/>
        </w:rPr>
        <w:t xml:space="preserve"> часовые механизмы для мин и глубинных бомб (1939); детали для ППШ, для </w:t>
      </w:r>
      <w:r w:rsidRPr="001E2C69">
        <w:rPr>
          <w:rFonts w:ascii="Times New Roman" w:hAnsi="Times New Roman"/>
          <w:color w:val="000000" w:themeColor="text1"/>
          <w:sz w:val="16"/>
          <w:szCs w:val="16"/>
          <w:lang w:val="en-US"/>
        </w:rPr>
        <w:t>PC</w:t>
      </w:r>
      <w:r w:rsidRPr="001E2C69">
        <w:rPr>
          <w:rFonts w:ascii="Times New Roman" w:hAnsi="Times New Roman"/>
          <w:color w:val="000000" w:themeColor="text1"/>
          <w:sz w:val="16"/>
          <w:szCs w:val="16"/>
        </w:rPr>
        <w:t xml:space="preserve"> М-13, взрыватели «МП», прицелы к 50-мм минометам, угломеры-квадранты к 82-мм минометам (1942).</w:t>
      </w:r>
    </w:p>
    <w:p w14:paraId="6989101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СКБ часового станкостроения</w:t>
      </w:r>
    </w:p>
    <w:p w14:paraId="4A3B642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Москва Научный пр-д, 20 тел. 332-88-66/</w:t>
      </w:r>
    </w:p>
    <w:p w14:paraId="637CFFA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Разработка станков и технологических линий для часовой промышленности. В 1990-х г. - разработка автоматизированных линий по розливу напитков.</w:t>
      </w:r>
    </w:p>
    <w:p w14:paraId="4D69B12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Руководитель (2000г.)- А.А. Струков. Гендиректор (-30.09.2005г.)- Е. Вайсман (убит) (11982).</w:t>
      </w:r>
    </w:p>
    <w:p w14:paraId="6ABE9B3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5613C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1942г. в соответствии с пост. СНК № 837-430сс от 3.06.1942г. приказом НКМВ № 250с завод «Электрогазовых приборов» НКМВ переименован в завод № 850 в ведении 5ГУ (Завод № 850 НКМВ, Механический завод АО «Зигель», Монтажный завод № 57, Петроградский государственный механический завод «Гидравлика», Петроградский завод «Машиностроитель», Механический завод «Гидравлика», Завод «Гидравлика» по монтажу тепло-санитарных установок, Завод санитарно-технического оборудования «Гидравлика», Механический завод НКМС, Завод «Электрогазовых приборов» НКОМ, НКМВ, Ленинградскийзавод электрических часов «Электрические часы Ленинграда» (ЭЧЛ) ММиП, Завод электрических часов, Опытный завод электронных приборов времени «Хронотроп», ОАО «Хронотроп» /г. Санкт-Петербург, г. Петроград, г. Ленинград ул. Достоевского, 44 «Коллектор» (1948г.)/ /191126 г. Санкт-Петербург ул. Достоевского, 44/).</w:t>
      </w:r>
      <w:r w:rsidRPr="001E2C69">
        <w:rPr>
          <w:rFonts w:ascii="Times New Roman" w:hAnsi="Times New Roman"/>
          <w:color w:val="000000" w:themeColor="text1"/>
          <w:sz w:val="16"/>
          <w:szCs w:val="16"/>
          <w:vertAlign w:val="superscript"/>
        </w:rPr>
        <w:t>129</w:t>
      </w:r>
    </w:p>
    <w:p w14:paraId="5A40AD7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1946г. завод перепрофилирован на выпуск электрических часов и переименован в ЭЧЛ в ведении Главчаспрома ММиП (и на 01.1948г.). Упоминается также название - Завод электрических часов. С 05.1957г. - в ведении Управления приборостроительной промышленности ЛенСНХ, с 1958г. - Управления агрегатостроения и приборостроения ЛенСНХ.</w:t>
      </w:r>
    </w:p>
    <w:p w14:paraId="7E4BFD6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цехи (1947г.): основные: заготовительный, механический, сборочный ЭПЧ, сборочный ЭВЧ, гальванический, деревообделочный; вспомогательные: инструментальный, ремонтно-механический.</w:t>
      </w:r>
    </w:p>
    <w:p w14:paraId="444561B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1966г. завод выпускал электромеханические часы (городские, фасадные, промышленные), в т.ч. для станций метрополитена, Кремлевского дворца съездов. Затем освоено производство электромеханических и электронных приборов и систем времени. В 1974г. предприятие переименовано в Опытный завод электронных приборов времени «Хронотрон». В 1980г. завод вошел в состав созданного Ленинградского ПО «Петродворцовый часовой завод».</w:t>
      </w:r>
      <w:r w:rsidRPr="001E2C69">
        <w:rPr>
          <w:rFonts w:ascii="Times New Roman" w:hAnsi="Times New Roman"/>
          <w:color w:val="000000" w:themeColor="text1"/>
          <w:sz w:val="16"/>
          <w:szCs w:val="16"/>
          <w:vertAlign w:val="superscript"/>
        </w:rPr>
        <w:t>ь 1</w:t>
      </w:r>
    </w:p>
    <w:p w14:paraId="34C16DC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(1946г.)- 149 ед., (1947г.)- 307 ед. Площадь: территории (1947г.)- 0,56 га; застройки (1947г.)- 2868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7B9D917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производственная (1946-47г.)- 5291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Численность персонала: (1946г.)- 436 чел., (1947г.)- 499 чел. Директор (1948г.)- Саранчук. Гл. инженер (1948г.)- Былимов.</w:t>
      </w:r>
    </w:p>
    <w:p w14:paraId="66E3173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 электрические часы:</w:t>
      </w:r>
      <w:r w:rsidRPr="001E2C69">
        <w:rPr>
          <w:rFonts w:ascii="Times New Roman" w:hAnsi="Times New Roman"/>
          <w:color w:val="000000" w:themeColor="text1"/>
          <w:sz w:val="16"/>
          <w:szCs w:val="16"/>
        </w:rPr>
        <w:t xml:space="preserve"> первичные ЭПЧ, вторичные </w:t>
      </w:r>
      <w:r w:rsidRPr="001E2C69">
        <w:rPr>
          <w:rFonts w:ascii="Times New Roman" w:hAnsi="Times New Roman"/>
          <w:color w:val="000000" w:themeColor="text1"/>
          <w:sz w:val="16"/>
          <w:szCs w:val="16"/>
          <w:lang w:val="en-US"/>
        </w:rPr>
        <w:t>IK</w:t>
      </w:r>
      <w:r w:rsidRPr="001E2C69">
        <w:rPr>
          <w:rFonts w:ascii="Times New Roman" w:hAnsi="Times New Roman"/>
          <w:color w:val="000000" w:themeColor="text1"/>
          <w:sz w:val="16"/>
          <w:szCs w:val="16"/>
        </w:rPr>
        <w:t xml:space="preserve">, 1КХ, 2КХ, 8К, 8КД, 9К, 9КД, 4КГ, 5КГ, 6К, ЗК; АТО, сигнальные; реле РПУ, реле мощное РМ, кенотронный выпрямитель </w:t>
      </w:r>
      <w:r w:rsidRPr="001E2C69">
        <w:rPr>
          <w:rFonts w:ascii="Times New Roman" w:hAnsi="Times New Roman"/>
          <w:color w:val="000000" w:themeColor="text1"/>
          <w:sz w:val="16"/>
          <w:szCs w:val="16"/>
          <w:lang w:val="en-US"/>
        </w:rPr>
        <w:t>KB</w:t>
      </w:r>
      <w:r w:rsidRPr="001E2C69">
        <w:rPr>
          <w:rFonts w:ascii="Times New Roman" w:hAnsi="Times New Roman"/>
          <w:color w:val="000000" w:themeColor="text1"/>
          <w:sz w:val="16"/>
          <w:szCs w:val="16"/>
        </w:rPr>
        <w:t>, водомер ВКУ (1947) (11982).</w:t>
      </w:r>
      <w:r w:rsidRPr="001E2C69">
        <w:rPr>
          <w:rFonts w:ascii="Times New Roman" w:hAnsi="Times New Roman"/>
          <w:color w:val="000000" w:themeColor="text1"/>
          <w:sz w:val="16"/>
          <w:szCs w:val="16"/>
          <w:vertAlign w:val="superscript"/>
        </w:rPr>
        <w:t>129</w:t>
      </w:r>
    </w:p>
    <w:p w14:paraId="30FF6D3B" w14:textId="77777777" w:rsidR="00B65961" w:rsidRPr="001E2C69" w:rsidRDefault="00B6596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0E43C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1942г. в соответствии с пост. СНК № 837-430сс от 3.06.1942г. приказом НКМВ № 250с завод «Электрогазовых приборов» НКМВ переименован в завод № 850 в ведении 5ГУ (Завод № 850 НКМВ, Механический завод АО «Зигель», Монтажный завод № 57, Петроградский государственный механический завод «Гидравлика», Петроградский завод «Машиностроитель», Механический завод «Гидравлика», Завод «Гидравлика» по монтажу тепло-санитарных установок, Завод санитарно-технического оборудования «Гидравлика», Механический завод НКМС, Завод «Электрогазовых приборов» НКОМ, НКМВ, Ленинградскийзавод электрических часов «Электрические часы Ленинграда» (ЭЧЛ) ММиП, Завод электрических часов, Опытный завод электронных приборов времени «Хронотроп», ОАО «Хронотроп» /г. Санкт-Петербург, г. Петроград, г. Ленинград ул. Достоевского, 44 «Коллектор» (1948г.)/ /191126 г. Санкт-Петербург ул. Достоевского, 44/).</w:t>
      </w:r>
      <w:r w:rsidRPr="001E2C69">
        <w:rPr>
          <w:rFonts w:ascii="Times New Roman" w:hAnsi="Times New Roman"/>
          <w:color w:val="000000" w:themeColor="text1"/>
          <w:sz w:val="16"/>
          <w:szCs w:val="16"/>
          <w:vertAlign w:val="superscript"/>
        </w:rPr>
        <w:t>129</w:t>
      </w:r>
    </w:p>
    <w:p w14:paraId="084A1C5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1946г. завод перепрофилирован на выпуск электрических часов и переименован в ЭЧЛ в ведении Главчаспрома ММиП (и на 01.1948г.). Упоминается также название - Завод электрических часов. С 05.1957г. - в ведении Управления приборостроительной промышленности ЛенСНХ, с 1958г. - Управления агрегатостроения и приборостроения ЛенСНХ.</w:t>
      </w:r>
    </w:p>
    <w:p w14:paraId="1E2E8F5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цехи (1947г.): основные: заготовительный, механический, сборочный ЭПЧ, сборочный ЭВЧ, гальванический, деревообделочный; вспомогательные: инструментальный, ремонтно-механический.</w:t>
      </w:r>
    </w:p>
    <w:p w14:paraId="7B3E1D5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1966г. завод выпускал электромеханические часы (городские, фасадные, промышленные), в т.ч. для станций метрополитена, Кремлевского дворца съездов. Затем освоено производство электромеханических и электронных приборов и систем времени. В 1974г. предприятие переименовано в Опытный завод электронных приборов времени «Хронотрон». В 1980г. завод вошел в состав созданного Ленинградского ПО «Петродворцовый часовой завод».</w:t>
      </w:r>
      <w:r w:rsidRPr="001E2C69">
        <w:rPr>
          <w:rFonts w:ascii="Times New Roman" w:hAnsi="Times New Roman"/>
          <w:color w:val="000000" w:themeColor="text1"/>
          <w:sz w:val="16"/>
          <w:szCs w:val="16"/>
          <w:vertAlign w:val="superscript"/>
        </w:rPr>
        <w:t>ь 1</w:t>
      </w:r>
    </w:p>
    <w:p w14:paraId="18F7EAB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(1946г.)- 149 ед., (1947г.)- 307 ед. Площадь: территории (1947г.)- 0,56 га; застройки (1947г.)- 2868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79F562F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производственная (1946-47г.)- 5291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Численность персонала: (1946г.)- 436 чел., (1947г.)- 499 чел. Директор (1948г.)- Саранчук. Гл. инженер (1948г.)- Былимов.</w:t>
      </w:r>
    </w:p>
    <w:p w14:paraId="55E1DBA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 электрические часы:</w:t>
      </w:r>
      <w:r w:rsidRPr="001E2C69">
        <w:rPr>
          <w:rFonts w:ascii="Times New Roman" w:hAnsi="Times New Roman"/>
          <w:color w:val="000000" w:themeColor="text1"/>
          <w:sz w:val="16"/>
          <w:szCs w:val="16"/>
        </w:rPr>
        <w:t xml:space="preserve"> первичные ЭПЧ, вторичные </w:t>
      </w:r>
      <w:r w:rsidRPr="001E2C69">
        <w:rPr>
          <w:rFonts w:ascii="Times New Roman" w:hAnsi="Times New Roman"/>
          <w:color w:val="000000" w:themeColor="text1"/>
          <w:sz w:val="16"/>
          <w:szCs w:val="16"/>
          <w:lang w:val="en-US"/>
        </w:rPr>
        <w:t>IK</w:t>
      </w:r>
      <w:r w:rsidRPr="001E2C69">
        <w:rPr>
          <w:rFonts w:ascii="Times New Roman" w:hAnsi="Times New Roman"/>
          <w:color w:val="000000" w:themeColor="text1"/>
          <w:sz w:val="16"/>
          <w:szCs w:val="16"/>
        </w:rPr>
        <w:t xml:space="preserve">, 1КХ, 2КХ, 8К, 8КД, 9К, 9КД, 4КГ, 5КГ, 6К, ЗК; АТО, сигнальные; реле РПУ, реле мощное РМ, кенотронный выпрямитель </w:t>
      </w:r>
      <w:r w:rsidRPr="001E2C69">
        <w:rPr>
          <w:rFonts w:ascii="Times New Roman" w:hAnsi="Times New Roman"/>
          <w:color w:val="000000" w:themeColor="text1"/>
          <w:sz w:val="16"/>
          <w:szCs w:val="16"/>
          <w:lang w:val="en-US"/>
        </w:rPr>
        <w:t>KB</w:t>
      </w:r>
      <w:r w:rsidRPr="001E2C69">
        <w:rPr>
          <w:rFonts w:ascii="Times New Roman" w:hAnsi="Times New Roman"/>
          <w:color w:val="000000" w:themeColor="text1"/>
          <w:sz w:val="16"/>
          <w:szCs w:val="16"/>
        </w:rPr>
        <w:t>, водомер ВКУ (1947) (11982).</w:t>
      </w:r>
      <w:r w:rsidRPr="001E2C69">
        <w:rPr>
          <w:rFonts w:ascii="Times New Roman" w:hAnsi="Times New Roman"/>
          <w:color w:val="000000" w:themeColor="text1"/>
          <w:sz w:val="16"/>
          <w:szCs w:val="16"/>
          <w:vertAlign w:val="superscript"/>
        </w:rPr>
        <w:t>129</w:t>
      </w:r>
    </w:p>
    <w:p w14:paraId="54B41AFD" w14:textId="77777777" w:rsidR="00B65961" w:rsidRPr="001E2C69" w:rsidRDefault="00B6596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7C31C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в соответствии с пост. СНК № 837-430сс от 3.06.1942г. приказом НКМВ № 250с ДОЗ НКМВ был переименован в завод № 847 в ведении ЗГУ (Завод № 847 НКМВ, 1-я Государственная фабрика образцов, Деревообделочный завод (ДОЗ) НКТП, НКОП, НКМВ, Московский деревообделочный завод (ДОЗ) ММиП, Московский завод художественных часов /г. Москва ул. Б. Семеновская, 11 «ДОЗ Главчаспрома» (1948г.)/ /г. Москва ул. Б. Семеновская, 11 тел. 268-63-36/).</w:t>
      </w:r>
    </w:p>
    <w:p w14:paraId="638E7F4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1941г. основное оборудование было эвакуировано в Чистополь, где продолжало оставаться на 1948г., хотя сам завод в это время действовал в Москве.</w:t>
      </w:r>
    </w:p>
    <w:p w14:paraId="6CB5946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1947-48г. ДОЗ - в ведении Главчаспрома ММиП.</w:t>
      </w:r>
    </w:p>
    <w:p w14:paraId="0D0BAD9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цехи (1947г.): основные: лесосушилка № 1, машинно-заготовительный № 2, столярно- сборочный № 3, лакировочный № 5; вспомогательные: ремонтно-механический № 6, электроцех № 7.</w:t>
      </w:r>
    </w:p>
    <w:p w14:paraId="140FD9F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2000г. - Московский завод художественных часов.</w:t>
      </w:r>
    </w:p>
    <w:p w14:paraId="3F29BD9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(1946г.)- 104 ед., (1947г.)-147 ед.</w:t>
      </w:r>
    </w:p>
    <w:p w14:paraId="3F5AE9B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(1947г.)- 1,075 га; застройки (1947г.)- 5120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(1939г.)- 5647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(1946-47г.)-4215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1DC4597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(1939г.)-693 чел., (1946-47г.)- 402 чел.</w:t>
      </w:r>
    </w:p>
    <w:p w14:paraId="10A7D64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(1948г.)- А. Павлов. Гендиректор (2000г.)- Е.И. Спиридонов.</w:t>
      </w:r>
    </w:p>
    <w:p w14:paraId="11D3812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(1948г.)- Володаев.</w:t>
      </w:r>
      <w:r w:rsidRPr="001E2C69">
        <w:rPr>
          <w:rFonts w:ascii="Times New Roman" w:hAnsi="Times New Roman"/>
          <w:color w:val="000000" w:themeColor="text1"/>
          <w:sz w:val="16"/>
          <w:szCs w:val="16"/>
          <w:vertAlign w:val="superscript"/>
        </w:rPr>
        <w:t>129</w:t>
      </w:r>
    </w:p>
    <w:p w14:paraId="7A0DE96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детали для ППШ (1942); футляры для часов: электрических, маятниковых, настольных, шахматных, морских хронометров (1947).</w:t>
      </w:r>
    </w:p>
    <w:p w14:paraId="02C06F3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772D1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в соответствии с пост, правительства № 837-430сс от 3.06.1942г. приказом НКМВ № 250с Завод фильтрующих приборов НКМВ переименован в завод № 849 в ведении 1ГУ (Завод № 849 НКМВ, завод «Красный ореховец», Завод № 4, Завод фильтрующих приборов НКМВ, Орехово-Зуевский весовой завод ММиП, Орехово-Зуевский специализированный завод «Прибордеталь», ОАО «Прибордеталь» /142602 г. Орехово-Зуево Московской обл. Ликинское ш., 4 «Шатун»/).</w:t>
      </w:r>
    </w:p>
    <w:p w14:paraId="1609368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1946г. завод перепрофилирован на выпуск весоизмерительных приборов и переименован в Весовой завод, в 1947-48г. - в ведении Главмервеспрома ММиП. С 1957г. </w:t>
      </w:r>
      <w:r w:rsidRPr="001E2C69">
        <w:rPr>
          <w:rFonts w:ascii="Times New Roman" w:hAnsi="Times New Roman"/>
          <w:color w:val="000000" w:themeColor="text1"/>
          <w:sz w:val="16"/>
          <w:szCs w:val="16"/>
        </w:rPr>
        <w:lastRenderedPageBreak/>
        <w:t>- Орехово-Зуевский специализированный завод «Прибордеталь».</w:t>
      </w:r>
    </w:p>
    <w:p w14:paraId="7A7DB6D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(1947г.) цехи: основные: литейный, механический, сборочный, заготовительный; вспомогательные: инструментальный, ремонтный, лаборатория, котельная, строительный.</w:t>
      </w:r>
    </w:p>
    <w:p w14:paraId="43DCB2E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1992г. завод преобразован в АО.</w:t>
      </w:r>
    </w:p>
    <w:p w14:paraId="04C8C69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(1990-е)- более 300 единиц, в т.ч. 18 автоматов и полуавтоматических станков.</w:t>
      </w:r>
    </w:p>
    <w:p w14:paraId="2577C4A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(1990-е): весы: медицинские, почтовые, счетные, бытовые; ограничители грузоподъемности, автоматические дозаторы дистанционного управления; щитки для защиты картера двигателя легковых автомобилей; пилы-ножовки; лыжные крепления.</w:t>
      </w:r>
    </w:p>
    <w:p w14:paraId="7EBF47A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(1939г.)- 117 ед., (1946г.)- 143 ед., (1947г.)-190 ед.</w:t>
      </w:r>
    </w:p>
    <w:p w14:paraId="0B2CB27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(1947г.)- 4,8 га; застройки (1947г.)- 6394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(1939г.)- 2763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(1946г.)- 3060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(1947г.)- 4037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4CC7BFD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(1913г.)- около 200 чел., (1917г.)- около 130 чел., (1939г.)- 390 чел., (1946г.)- 495 чел., (1947г.)- 463 чел., (1990-е)- около 350 чел. Директор (1948г.)- Огурцов. Гл. инженер (1948г.)- Гордон.</w:t>
      </w:r>
    </w:p>
    <w:p w14:paraId="2618A7C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 весы:</w:t>
      </w:r>
      <w:r w:rsidRPr="001E2C69">
        <w:rPr>
          <w:rFonts w:ascii="Times New Roman" w:hAnsi="Times New Roman"/>
          <w:color w:val="000000" w:themeColor="text1"/>
          <w:sz w:val="16"/>
          <w:szCs w:val="16"/>
        </w:rPr>
        <w:t xml:space="preserve"> посылочные ТП-50, медицинские М150, детские ВО-20, для масла МЖ-50, счетные, гири (1947) (11982).</w:t>
      </w:r>
      <w:r w:rsidRPr="001E2C69">
        <w:rPr>
          <w:rFonts w:ascii="Times New Roman" w:hAnsi="Times New Roman"/>
          <w:color w:val="000000" w:themeColor="text1"/>
          <w:sz w:val="16"/>
          <w:szCs w:val="16"/>
          <w:vertAlign w:val="superscript"/>
        </w:rPr>
        <w:t>129</w:t>
      </w:r>
    </w:p>
    <w:p w14:paraId="1AE9480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7BDF2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1942г. завод № 846 в соответствии с пост. СНК № 837-430сс от 3.06.1942г. приказом НКМВ № 250с передан в ведение 5ГУ (Завод № 846 НКМВ, Завод «Арматура» НКОМ, НКМВ, Московский экспериментальный завод химического машиностроения (МЭЗХМ) ММиП, Экспериментальный завод химического машиностроения ММиП, ОАО «МЭЗХМ» /г. Москва ул. Панская, 14 «Вентиль» (1948г.)/ /127015 г. Москва ул. Б. Новодмитровская, 14А тел. 285-67-05/).</w:t>
      </w:r>
      <w:r w:rsidRPr="001E2C69">
        <w:rPr>
          <w:rFonts w:ascii="Times New Roman" w:hAnsi="Times New Roman"/>
          <w:color w:val="000000" w:themeColor="text1"/>
          <w:sz w:val="16"/>
          <w:szCs w:val="16"/>
          <w:vertAlign w:val="superscript"/>
        </w:rPr>
        <w:t>129</w:t>
      </w:r>
    </w:p>
    <w:p w14:paraId="652C82A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«Арматура» НКОМ располагался возле ст. Товарная-Бутырская рядом с Заводом им. КПГ НКОМ.</w:t>
      </w:r>
    </w:p>
    <w:p w14:paraId="779D364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1940г. при передаче Завода им. КПГ в НКАП его литейный цех был передан заводу «Арматура».</w:t>
      </w:r>
    </w:p>
    <w:p w14:paraId="653945E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Осенью 1941г. завод эвакуирован в Барнаул (прибыл в 12.1941г.), где на его базе создан завод № 839 НКМВ; часть оборудования эвакуирована в г. Ирбит.</w:t>
      </w:r>
    </w:p>
    <w:p w14:paraId="613C44A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1942г. в Москве вновь организован завод «Арматура» НКМВ, в 05.1942г. завод № 846 - в ведении Главприбора НКМВ.</w:t>
      </w:r>
    </w:p>
    <w:p w14:paraId="602387C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соответствии с пост. ГКО № 1909сс от 16.06.1942г. и приказом НКМВ № 225сс от 23.06.1942г. на заводе организовано производство редукторов для корабельной дымаппаратуры.</w:t>
      </w:r>
    </w:p>
    <w:p w14:paraId="4E1D8CF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1947г. завод - в ведении Главхиммаша ММиП.</w:t>
      </w:r>
    </w:p>
    <w:p w14:paraId="5EB633E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завода (1947г.) цехи: основные: литейный, механический, слесарно-механический, слесарно- сборочный, гальванический; вспомогательные: ремонтный, строительный, электроцех, котельная.</w:t>
      </w:r>
    </w:p>
    <w:p w14:paraId="0EF2F48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(1946г.)- 347 ед., (1947г.)- 308 ед.</w:t>
      </w:r>
    </w:p>
    <w:p w14:paraId="199B81F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(1947г.)- 2,3 га; застройки (1947г.)- 11160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(1946г.)- 7255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(1947г.)- 7255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7DD5869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(1946г.)- 1140 чел., (1947г.)- 1084 чел.</w:t>
      </w:r>
    </w:p>
    <w:p w14:paraId="03985E7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(06.1942г.)- Чувашов, (1942г.)- Н.А. Доллежаль, (1948г.)- В. Манин. Гендиректор (2000г.)- А.И. Лепеха.</w:t>
      </w:r>
    </w:p>
    <w:p w14:paraId="076CC36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 (1943г.-)- М.П. Сергеев.</w:t>
      </w:r>
    </w:p>
    <w:p w14:paraId="729083B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ранцевый огнемет РОКС (1942); редуктор для дымаппаратуры РВ-12 (1942-); детали для ППИ1 (1942), детали для мин, корпуса снарядов, взрыватели к ним, огнеметы, металлические бочки. </w:t>
      </w:r>
    </w:p>
    <w:p w14:paraId="2D1A83D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НИИ Химического машиностроения (НИИХиммаш) НКМВ, ММиП, ОАО «Свердловский НИИ Химического машиностроения» («СвердНИИхиммаш») Минатома /620010 г. Свердловск, г. Екатеринбург ул. Грибоедова, 32 тел. 27-43-03/</w:t>
      </w:r>
    </w:p>
    <w:p w14:paraId="6D3F852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НИИХиммаш создан на базе ЭКИХиммаша и Гипробумхиммаша. В 07.1942г. НИИХиммаш - в ведении Главхиммаша НКМВ (сначала, в 12.1941г., планировалось передать его в 2ГУ НКМВ как НИИ-2).</w:t>
      </w:r>
    </w:p>
    <w:p w14:paraId="38E4D52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НКМВ № 41 от 21.02.1943г. был организован Московский филиал НИИХиммаша, размещен в главном корпусе завода № 846 НКМВ.</w:t>
      </w:r>
    </w:p>
    <w:p w14:paraId="3DD32AA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1947г. НИИХИММАШ - в ведении Главхиммаша ММиП.</w:t>
      </w:r>
    </w:p>
    <w:p w14:paraId="6917A2C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~1946г. институту поручено проектирование первого промышленного уран-графитового реактора «А» для комбината № 817.</w:t>
      </w:r>
    </w:p>
    <w:p w14:paraId="4ACBA36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начале 1950-х г. разработана конструкция ТВЭЛов </w:t>
      </w:r>
      <w:r w:rsidRPr="001E2C69">
        <w:rPr>
          <w:rFonts w:ascii="Times New Roman" w:hAnsi="Times New Roman"/>
          <w:color w:val="000000" w:themeColor="text1"/>
          <w:sz w:val="16"/>
          <w:szCs w:val="16"/>
          <w:lang w:val="en-US"/>
        </w:rPr>
        <w:t>AM</w:t>
      </w:r>
      <w:r w:rsidRPr="001E2C69">
        <w:rPr>
          <w:rFonts w:ascii="Times New Roman" w:hAnsi="Times New Roman"/>
          <w:color w:val="000000" w:themeColor="text1"/>
          <w:sz w:val="16"/>
          <w:szCs w:val="16"/>
        </w:rPr>
        <w:t xml:space="preserve"> для Обнинской АЭС, в 1950-е г. разработано и изготовлено оборудование для разделения изотопов лития на заводе № 12.</w:t>
      </w:r>
    </w:p>
    <w:p w14:paraId="01485F5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1954г. при институте имелся опытный завод.</w:t>
      </w:r>
    </w:p>
    <w:p w14:paraId="507F4E6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Указу Президента РФ № 1009 от 4.08.2004г. вошло в число стратегических оборонных предприятий.</w:t>
      </w:r>
    </w:p>
    <w:p w14:paraId="3EF064B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(1946г.)- Н.А. Доллежаль.</w:t>
      </w:r>
    </w:p>
    <w:p w14:paraId="2753CF5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директора- И.Я. Емельянов.</w:t>
      </w:r>
    </w:p>
    <w:p w14:paraId="55460BC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конструкторы: (1946г.)- Н.А. Доллежаль (реактор «А»).</w:t>
      </w:r>
    </w:p>
    <w:p w14:paraId="7B3FB77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Создано:</w:t>
      </w:r>
      <w:r w:rsidRPr="001E2C69">
        <w:rPr>
          <w:rFonts w:ascii="Times New Roman" w:hAnsi="Times New Roman"/>
          <w:color w:val="000000" w:themeColor="text1"/>
          <w:sz w:val="16"/>
          <w:szCs w:val="16"/>
        </w:rPr>
        <w:t xml:space="preserve"> опреснительная установка для Прикаспийского ГМЗ, автоклавные установки для переработки урановых руд;</w:t>
      </w:r>
      <w:r w:rsidRPr="001E2C69">
        <w:rPr>
          <w:rFonts w:ascii="Times New Roman" w:hAnsi="Times New Roman"/>
          <w:color w:val="000000" w:themeColor="text1"/>
          <w:sz w:val="16"/>
          <w:szCs w:val="16"/>
          <w:vertAlign w:val="superscript"/>
        </w:rPr>
        <w:t>70</w:t>
      </w:r>
      <w:r w:rsidRPr="001E2C69">
        <w:rPr>
          <w:rFonts w:ascii="Times New Roman" w:hAnsi="Times New Roman"/>
          <w:color w:val="000000" w:themeColor="text1"/>
          <w:sz w:val="16"/>
          <w:szCs w:val="16"/>
        </w:rPr>
        <w:t xml:space="preserve"> опреснительная установка «Каскад» (2005, совместно с ММ1111 «Салют»).</w:t>
      </w:r>
    </w:p>
    <w:p w14:paraId="566D99E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Экспериментальный институт химического машиностроения (ЭКИХиммаш)</w:t>
      </w:r>
    </w:p>
    <w:p w14:paraId="45B63F1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Вошел в состав НИИХиммаша.</w:t>
      </w:r>
    </w:p>
    <w:p w14:paraId="7B9FE93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Государственный институт по проектированию предприятий бумажного и химического</w:t>
      </w:r>
    </w:p>
    <w:p w14:paraId="40C3C1B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машиностроения («Гипробумхиммаш»)</w:t>
      </w:r>
    </w:p>
    <w:p w14:paraId="30EB93B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Вошел в состав НИИХиммаша. Московский филиал НИИ Химического машиностроения, ОАО «Научно-исследовательский и конструкторский институт химического машиностроения» (НИИХИММАШ) /127015 г. Москва ул. Б. Новодмитровская, 14 685-56-74/</w:t>
      </w:r>
    </w:p>
    <w:p w14:paraId="588EFEE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Московский филиал НИИХиммаша создан по приказу НКМВ № 41 от 21.02.1943г. и размещен в главном корпусе завода № 846 НКМВ. Велась разработка ранцевого огнемета РОКС-2 конструкции Сергеева-Клюева (1943г.).</w:t>
      </w:r>
    </w:p>
    <w:p w14:paraId="00D647A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1952г. на базе КБ филиала создан самостоятельный НИИ-8.</w:t>
      </w:r>
    </w:p>
    <w:p w14:paraId="37869F3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(1943г.)- 71 чел.</w:t>
      </w:r>
    </w:p>
    <w:p w14:paraId="4295DB0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Руководитель (2000г.)- Н.М. Самсонов.</w:t>
      </w:r>
    </w:p>
    <w:p w14:paraId="0A0000F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НИИ-8 ГКИАЭ, ФГУП «Научно-исследовательский и конструкторский институт энерготехники (НИКИЭТ) им. Н.А. Доллежаля» Росатома /107140 г. Москва ул. М. Красносельская, 2/8 а/я 788 тел. 263-73-13/</w:t>
      </w:r>
    </w:p>
    <w:p w14:paraId="3D310B3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1952г. на базе КБ Московского филиала НИИХиммаш создан самостоятельный НИИ-8 для разработки ЯЭУ для первой советской атомной ПЛ К-3. В 1957г. НИИ-8- в ведении ГКИАЭ.</w:t>
      </w:r>
    </w:p>
    <w:p w14:paraId="1D8946B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Создан проект атомной паропроизводящей установки, рабочее проектирование передано в ОКБМ завода № 92.</w:t>
      </w:r>
    </w:p>
    <w:p w14:paraId="366B3B6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Здесь в 1952-53г. работала группа В.Н. Перегудова по эскизному проектированию АПЛ, затем переведена в СКБ-143. В 1957г. институту поручено разработать эскизный проект атомной паропроизводящей установки для крейсера пр. 63.</w:t>
      </w:r>
    </w:p>
    <w:p w14:paraId="4AD3364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Созданы ядерные реакторы для многих АЭС; 27 исследовательских реакторов в СССР и за рубежом. Производство оборудования для АЭС (1999г.). Разработаны системы глубокой очистки инертных газов для спецпроизводств. Создано оборудование для анестезиологии с использованием ксенона.</w:t>
      </w:r>
    </w:p>
    <w:p w14:paraId="23D6742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решению правительства № 22-р от 9.01.2004г. вошло в перечень стратегических предприятий. В 12.2004г. - в ведении Управления атомной энергетики Росатома.</w:t>
      </w:r>
    </w:p>
    <w:p w14:paraId="7531AEC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Институт являся головным (2000-е) по ядерной и радиационной безопасности при утилизации судов с ЯЭУ и экологической реабилитации радиационно-опасных объектов.</w:t>
      </w:r>
    </w:p>
    <w:p w14:paraId="0E0B59F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Работы (2005г.): разработка и исследования: быстрый реактор естественной безопасности с жидкометаллическим теплоносителем (БРЕСТ); корпусной кипящий реактор с естественной циркуляцией теплоносителя ВК-300; усовершенствованный канальный реактор МКЭР; судовые и космические ЯЭУ; транспортабельные автономные АЭС для удаленных районов; исследовательские ректоры; комплексные АСУ ЯЭУ. Ведутся исследования в рамках международного проекта экспериментального термоядерного реактора (ИТЭР). Разрабатывается ядерная энергодвигательная установка для КА. Институту поручена разработка и монтаж торцевых адронных калориметров детектора </w:t>
      </w:r>
      <w:r w:rsidRPr="001E2C69">
        <w:rPr>
          <w:rFonts w:ascii="Times New Roman" w:hAnsi="Times New Roman"/>
          <w:color w:val="000000" w:themeColor="text1"/>
          <w:sz w:val="16"/>
          <w:szCs w:val="16"/>
          <w:lang w:val="en-US"/>
        </w:rPr>
        <w:t>CMS</w:t>
      </w:r>
      <w:r w:rsidRPr="001E2C69">
        <w:rPr>
          <w:rFonts w:ascii="Times New Roman" w:hAnsi="Times New Roman"/>
          <w:color w:val="000000" w:themeColor="text1"/>
          <w:sz w:val="16"/>
          <w:szCs w:val="16"/>
        </w:rPr>
        <w:t xml:space="preserve"> для лаборатории ЦЕРН (Швейцария).</w:t>
      </w:r>
    </w:p>
    <w:p w14:paraId="6486556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Имеется экспериментальная база с теплофизическими стендами, стендами для испытания систем управления и защиты реактора.</w:t>
      </w:r>
    </w:p>
    <w:p w14:paraId="10865A7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(2005г.)- около 2000 чел.</w:t>
      </w:r>
    </w:p>
    <w:p w14:paraId="0D49FE4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(1952-86г.)- академик НА. Доллежаль (уволен после Чернобыльской аварии), (1986-03.1998г.)- Е.О. Адамов (затем- министр Минатома), (1998-2005г.-)- Б.А. Габараев.</w:t>
      </w:r>
    </w:p>
    <w:p w14:paraId="6AAC71E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 (1955г.)- Н.А. Доллежаль (ВМ-А). Ген. конструктор (1986-03.1998г.)- Е.О. Адамов.</w:t>
      </w:r>
    </w:p>
    <w:p w14:paraId="7499DC9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Научный руководитель (1952г.-)- Н.А. Доллежаль, (03.2001-05г.-)- Е.О. Адамов. Директор по НИОКР (2005г.)- В. Аден.</w:t>
      </w:r>
      <w:r w:rsidRPr="001E2C69">
        <w:rPr>
          <w:rFonts w:ascii="Times New Roman" w:hAnsi="Times New Roman"/>
          <w:color w:val="000000" w:themeColor="text1"/>
          <w:sz w:val="16"/>
          <w:szCs w:val="16"/>
          <w:vertAlign w:val="superscript"/>
        </w:rPr>
        <w:t>101</w:t>
      </w:r>
    </w:p>
    <w:p w14:paraId="4DB17A5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Создано: ядерные реакторы:</w:t>
      </w:r>
      <w:r w:rsidRPr="001E2C69">
        <w:rPr>
          <w:rFonts w:ascii="Times New Roman" w:hAnsi="Times New Roman"/>
          <w:color w:val="000000" w:themeColor="text1"/>
          <w:sz w:val="16"/>
          <w:szCs w:val="16"/>
        </w:rPr>
        <w:t xml:space="preserve"> ВМ-А для первой АПЛ К-3, для Обнинской АЭС, энергетический для Сибирской АЭС, для Белоярской АЭС, РБМК для Ленинградской, Курской, Чернобыльской, Смоленской, Ингалинской АЭС (11982).</w:t>
      </w:r>
    </w:p>
    <w:p w14:paraId="2CAFD0B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E61C1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7 июля 1942 г. приказом НКМВ № 250с в соответствии с пост, правительства № 837-430сс от 3.06.1942 г. Каменский завод сельхозмашин НКМВ переименован в завод № 704 в ведении 1 ГУ (Завод № 704 НКМВ , Каменский завод сельскохозяйственных машин НКМВ, ГС завод сельскохозяйственного машиностроения «Белинсксельмаш», ЗАО «Белинсксельмаш» /ст. Белинская/ /442246  г. Каменка Пензенской обл. ул. Чернышевского, 1 тел. (84156) 2-22-01/).</w:t>
      </w:r>
    </w:p>
    <w:p w14:paraId="69D1BAD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войны специализировался на производстве сеялок. В 1950-53 г. выпущено более 60 тыс. сеялок. С 1953 г. начато производство картофелесажалок. Единственный в РСФСР завод по выпуску' картофелепосадочных машин (1960-е  г.).</w:t>
      </w:r>
    </w:p>
    <w:p w14:paraId="2DF97B0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разработки новых образцов техники при заводе создано собственное КБ.</w:t>
      </w:r>
    </w:p>
    <w:p w14:paraId="56F1D33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2001 г. до 11.2004 г. входил в группу МАИР, затем продан АО «Красная звезда».</w:t>
      </w:r>
    </w:p>
    <w:p w14:paraId="1640179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(08.1941 г.)- менее 200 чел., (03.1946 г.)- 1655 чел.</w:t>
      </w:r>
    </w:p>
    <w:p w14:paraId="33D5709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 г.)- Шинкаревич. Гендиректор (2005 г.)- В.Б. Мельников.</w:t>
      </w:r>
    </w:p>
    <w:p w14:paraId="1E4E2DC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коммерческий (2005 г.)- В.И. Балицкий; по качеству (2005 г.)- С.В. Жиляев.</w:t>
      </w:r>
    </w:p>
    <w:p w14:paraId="383FC12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отделов: сбыта (2005 г.)- И.Ю. Улитина; снабжения (2005 г.)- Д.В. Анчуткин.</w:t>
      </w:r>
    </w:p>
    <w:p w14:paraId="00E0D68D" w14:textId="77777777" w:rsidR="00B6596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45-мм снаряды, 50-мм мины (1942);</w:t>
      </w:r>
      <w:r w:rsidRPr="001E2C69">
        <w:rPr>
          <w:rFonts w:ascii="Times New Roman" w:hAnsi="Times New Roman"/>
          <w:iCs/>
          <w:color w:val="000000" w:themeColor="text1"/>
          <w:sz w:val="16"/>
          <w:szCs w:val="16"/>
        </w:rPr>
        <w:t xml:space="preserve"> сеялки:</w:t>
      </w:r>
      <w:r w:rsidRPr="001E2C69">
        <w:rPr>
          <w:rFonts w:ascii="Times New Roman" w:hAnsi="Times New Roman"/>
          <w:color w:val="000000" w:themeColor="text1"/>
          <w:sz w:val="16"/>
          <w:szCs w:val="16"/>
        </w:rPr>
        <w:t xml:space="preserve"> зерновые СД-12 (1943-), СД-24 (1949-), СЗГ-9, -2,1 (1969-72), СЗУ-3,6 (1972-80-), С3-3,6А (2000-е); льна СЛ-44 (1949-), узкорядные СЗУ-3,6 (1972-), СУБ-48 (1956- 69), стерневые зернотуковые СКП-2,1 (2000-е), СЗК-4,5, свекловичная ССТ-12В (2000-е); картофелесажалки: СКГ-4 (1953-), СН-4Б (1959-), КСН-90, СКМ-6, САЯ-4, КСМ-6, КСМ-4 (1982-), КСНД-2, «Крот» (2000-е); картофелекопатель КТН-2В (2000-е); культиваторы: КНК-4,0, -6,0, КПЭ-3,8, КПС-4 (2000-е), УКРМР-5,4, окучник ОК-1,4 (2000-е); плуги: ПЛН-3-35, безотвальные ПБ-5, ПБ-9 (2000-е); борона БЗС-1,0, пресс-подборщик ПФ-350, грабли-ворошилка ГВР-4,5М, корнеподъемник УКН-1,3 (2000-</w:t>
      </w:r>
      <w:r w:rsidRPr="001E2C69">
        <w:rPr>
          <w:rFonts w:ascii="Times New Roman" w:hAnsi="Times New Roman"/>
          <w:color w:val="000000" w:themeColor="text1"/>
          <w:sz w:val="16"/>
          <w:szCs w:val="16"/>
          <w:lang w:val="en-US"/>
        </w:rPr>
        <w:t>e</w:t>
      </w:r>
      <w:r w:rsidRPr="001E2C69">
        <w:rPr>
          <w:rFonts w:ascii="Times New Roman" w:hAnsi="Times New Roman"/>
          <w:color w:val="000000" w:themeColor="text1"/>
          <w:sz w:val="16"/>
          <w:szCs w:val="16"/>
        </w:rPr>
        <w:t>).</w:t>
      </w:r>
    </w:p>
    <w:p w14:paraId="4C937E3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«Красная звезда» НКМВ /г. Кировоград/</w:t>
      </w:r>
    </w:p>
    <w:p w14:paraId="515EF20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08.1941 г. завод эвакуирован в  г. Каменка.</w:t>
      </w:r>
    </w:p>
    <w:p w14:paraId="427701B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4.05.1944 г. вышло постановление ГКО № 5816 о неотложных мерах по восстановлению завода сельскохозяйственного машиностроения «Красная звезда» в Кировограде.</w:t>
      </w:r>
    </w:p>
    <w:p w14:paraId="6A8A35F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(03.1946 г.)- 2910 чел. (11982).</w:t>
      </w:r>
    </w:p>
    <w:p w14:paraId="5344B55F" w14:textId="77777777" w:rsidR="00B65961" w:rsidRPr="001E2C69" w:rsidRDefault="00B6596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EECE4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250с в соответствии с пост, правительства № 837-430сс от 3.06.1942 г. завод «Продмашин» НКМВ, размещенный в корпусах бывшей красильной фабрики постройки 1875 г., был переименован в завод № 715 ()Завод № 715 НКМВ, Завод «Продмашин» НКМВ, Болшевский машиностроительный завод ММиП /г. Болшево Московской обл.; ст. Болшево Ярославской ж/д ул. Советская, 16 «Метизы» (1948 г.)/ в ведении 1ГУ (в 02.1942 г. завод планировалось передать в ведение 6ГУ НКМВ как завод № 811).</w:t>
      </w:r>
    </w:p>
    <w:p w14:paraId="1D6C990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1947-48 г. приказом НКМВ № 250с Болшевский машиностроительный завод - в ведении Главпродмаша ММиП.</w:t>
      </w:r>
    </w:p>
    <w:p w14:paraId="6A3707C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(1947 г.) цехи: основные: механические № 1, 2, котельно-жестяной № 3, прессовый № 4, литейный № 5; вспомогательные: инструментальный № 6, ремонтно-механический № 7, электроцех № 8, строительный.</w:t>
      </w:r>
    </w:p>
    <w:p w14:paraId="5C31D7D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 г.)- 138 ед., (1946 г.)- 187 ед., (1947 г.)- 346 ед.</w:t>
      </w:r>
    </w:p>
    <w:p w14:paraId="7F31898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 г.)- 8,5 га; застройки (1947 г.)- 8330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 г.)- 4196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(1946 г.)- 4945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(1947 г.)- 5249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2A75CBA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 г.)- 692 чел., (1946 г.)- 783 чел., (1947 г.)- 779 чел.</w:t>
      </w:r>
    </w:p>
    <w:p w14:paraId="04125D6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 г.)- Лопатин, (1948 г.)- Губанов.</w:t>
      </w:r>
    </w:p>
    <w:p w14:paraId="4F96C1F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 г.)- Архипов.</w:t>
      </w:r>
    </w:p>
    <w:p w14:paraId="659BF06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корпуса 82-мм мин, детали для </w:t>
      </w:r>
      <w:r w:rsidRPr="001E2C69">
        <w:rPr>
          <w:rFonts w:ascii="Times New Roman" w:hAnsi="Times New Roman"/>
          <w:color w:val="000000" w:themeColor="text1"/>
          <w:sz w:val="16"/>
          <w:szCs w:val="16"/>
          <w:lang w:val="en-US"/>
        </w:rPr>
        <w:t>PC</w:t>
      </w:r>
      <w:r w:rsidRPr="001E2C69">
        <w:rPr>
          <w:rFonts w:ascii="Times New Roman" w:hAnsi="Times New Roman"/>
          <w:color w:val="000000" w:themeColor="text1"/>
          <w:sz w:val="16"/>
          <w:szCs w:val="16"/>
        </w:rPr>
        <w:t xml:space="preserve"> М-13 (1942); фризеры ОФН, ОФА, ОФЕ; гомогенизатор ОГБ; сепаратор молочный ОСК; транспортер цепной ТТА-50, ковши для зерна ТКЗ; станок вертикально- сверлильный 211-Р, тиски машинные (1947) (11982).</w:t>
      </w:r>
    </w:p>
    <w:p w14:paraId="2A61964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CFD26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237сс Пост. ГКО № 1962сс от 4.07.1942 г. заводу (Завод № 707 НКМВ, НКСХМ, МСХМ, Завод «Уралсельмаш», Завод, ПО, ОАО «Кургансельмаш» /640006  г. Курган ул. Куйбышева, 144/) установлен план выпуска на 3-й квартал 1942 г. 82-мм минометов - 250 шт. 30.03.1944 г. вышло распоряжение ГКО № 5512 о срочной вывозке с завода готовых корпусов 82-мм мин из-за угрозы затопления.</w:t>
      </w:r>
    </w:p>
    <w:p w14:paraId="4BC694E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войны начат выпуск сельскохозяйственных машин: моторных и конных сенных прессов, конных молотилок, силосорезок. С 1953 г. начата реконструкция завода; освоен выпуск безбашенной электрической водоподъемной установки. В 1959 г. начато освоение нового направления: сдана в эксплуатацию 1-я очередь блока цехов экскаваторного производства, в 1961 г. - 2-я очередь, в 1970 г. - 3-я очередь. В середине 1960-х  г. завод стал специализироваться на выпуске машин для животноводства. В 1974 г. вступил в строй цех цветного литья под давлением № 2, новая котельная. В 1980-е  г. закуплено кузнечно-прессовое оборудование в ГДР, чехословацкая линия для сварки ванн охладителей молока. В 1984 г. введен в строй новый корпус цеха № 24 по выпуску резервуаров-охладителей молока и вакуумных насосов. В 1987 г. сдан в эксплуатацию цех кокильного литья № 3.</w:t>
      </w:r>
    </w:p>
    <w:p w14:paraId="1C4A33B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01.1946 г. завод передан в ведение НКСХМ, затем- МСХМ. 1.04.1950 г. из состава завода «Уралсельмаш» выделилось самостоятельное предприятие (далее - КЗКТ); оставшийся на прежней площадке завод переименован в «Кургансельмаш». В 1974 г. завод объединен с Сидоровским механическим заводом и образовано ПО «Кургансельмаш». В 1992 г. ПО «Кургансельмаш» преобразовано в ОАО.</w:t>
      </w:r>
    </w:p>
    <w:p w14:paraId="65AE9AE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Работы (2000-е): разработка и производство: машины для животноводства и молочной промышленности; резервуары-охладители для молока.</w:t>
      </w:r>
    </w:p>
    <w:p w14:paraId="76790B7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(1938 г.)- 817 чел., (ВОВ)- около 1000 чел., (03.1946 г.)- 3695 чел.</w:t>
      </w:r>
    </w:p>
    <w:p w14:paraId="1CBAEBD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(1918 г.-)- Ф.Р. Вотяков, (1921 г.-)- А.Ф. Ледус, (1932 г.-)- Гаврюшин, (1941-06.1942 г.-&gt; А.К. Генкин, (1953 г.-)- А.П. Леонов, (1957 г.-)-  Г.М. Кетов, (1961 г.-)- Н.П. Строганов, (1966 г.-)- А.А. Минаков. Гендиректор (1978 г.-)- В.В. Пискунов, (1987 г.-)- Н.Д. Багрецов, (1994 г.-)- П.К. Гринюк.</w:t>
      </w:r>
    </w:p>
    <w:p w14:paraId="49F675B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(1957-66 г.)- А.А. Минаков, (1966 г.-)- В.В. Пискунов, (1978 г.-)- Л.А. Сентяков, (1987 г.-)- С.П. Аносов.</w:t>
      </w:r>
    </w:p>
    <w:p w14:paraId="0F0FBD5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82-мм минометы; корпуса 82-мм мин, детали для </w:t>
      </w:r>
      <w:r w:rsidRPr="001E2C69">
        <w:rPr>
          <w:rFonts w:ascii="Times New Roman" w:hAnsi="Times New Roman"/>
          <w:color w:val="000000" w:themeColor="text1"/>
          <w:sz w:val="16"/>
          <w:szCs w:val="16"/>
          <w:lang w:val="en-US"/>
        </w:rPr>
        <w:t>PC</w:t>
      </w:r>
      <w:r w:rsidRPr="001E2C69">
        <w:rPr>
          <w:rFonts w:ascii="Times New Roman" w:hAnsi="Times New Roman"/>
          <w:color w:val="000000" w:themeColor="text1"/>
          <w:sz w:val="16"/>
          <w:szCs w:val="16"/>
        </w:rPr>
        <w:t xml:space="preserve"> М-13 (-1942-44-); силосорезка РКС-12 (1940-е), сепаратор кукурузных семян ОКС-4 (1957-), свеклоуборочный комбайн СКН-2А (1961-), подборщик- копнитель сена ПКС-2М (1966-), универсальная доильная станция УДС-3 (1966-), УДС-ЗА, установки УДА-8. УДА-16; вакуумный насос для доильных установок УВА12000 (1960-е); охладители молока РПО-2,5, МКА-2000Л (1983-), минимолокозавод КВМ-2000 (1994-), маслобойка МБЦ-020 (1994-); экскаватор Э-155 (1959-); тракторный прицеп ЗПТС-12 (1965-), навесной снегоотвал для автомобилей «КамАЗ», «Урал» (1997-).</w:t>
      </w:r>
    </w:p>
    <w:p w14:paraId="69DE5DE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«Гомсельмаш» НКМВ /Белоруссия  г. Гомель/</w:t>
      </w:r>
    </w:p>
    <w:p w14:paraId="12C48D4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«Гомсельмаш» в 07.1941 г. эвакуирован в  г. Курган на площадку завода сельхозмашин.</w:t>
      </w:r>
    </w:p>
    <w:p w14:paraId="196DB9E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25.03.1944 г. вышло постановление ГКО № 5464 о неотложных мерах по восстановлению завода сельхозмашиностроения «Гомсельмаш» НКМВ.</w:t>
      </w:r>
    </w:p>
    <w:p w14:paraId="2180F70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1980-е  г. изготовлены металлоконструкции для ЗГРЛС в Чернобыле.</w:t>
      </w:r>
    </w:p>
    <w:p w14:paraId="6B92B9C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(03.1946 г.)- 1010 чел.</w:t>
      </w:r>
    </w:p>
    <w:p w14:paraId="76ED5A5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Курганский завод колесных тягачей (КЗКТ) им. Д.М. Карбышева, ОАО «Русич-КЗКТ» /640003  г. Курган ул. Невежина, 3 тел. (3522) 44-00-71/</w:t>
      </w:r>
    </w:p>
    <w:p w14:paraId="0AAF6FA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создан 1.04.1950 г. в результате разделения завода «Уралсельмаш». В конце 1950-х  г. завод реконструирован и перепрофилирован на выпуск колесных тягачей-танковозов. В 1960-е  г. освоено производство бронетранспортеров. В 1980-е  г. выпускал 1000 тягачей в год, более 1600 БТР.</w:t>
      </w:r>
    </w:p>
    <w:p w14:paraId="075C495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1975 г. заводу присвоено имя Д.М. Карбышева.</w:t>
      </w:r>
    </w:p>
    <w:p w14:paraId="7A76745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1990 г. прекращен выпуск БТР, резко сокращено производство тягачей, освоен выпуск полуприцепов большой грузоподъемности. В 10.2005 г. завод обанкрочен, на заводе введено конкурсное производство.</w:t>
      </w:r>
    </w:p>
    <w:p w14:paraId="2D5ABA8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(2002 г.)- 7000 чел.</w:t>
      </w:r>
    </w:p>
    <w:p w14:paraId="0CB27D1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Гендиректор (-2000-02 г.-)- Б.М. Черва, (10.2005 г.)- В. Бобин.</w:t>
      </w:r>
    </w:p>
    <w:p w14:paraId="367505F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 (2000 г.)- М. Бухман.</w:t>
      </w:r>
    </w:p>
    <w:p w14:paraId="42719F5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БТР-60ЛБ (1960-е); аэродромные тягачи (2002), тягач КЗКТ-7428 с полуприцепом КЗКТ-9101 (2000), машина технической помощи МТП-А4 на шасси КЗКТ-74281 (2000), тягач КЗКТ-8014 (2000) (11982).</w:t>
      </w:r>
    </w:p>
    <w:p w14:paraId="1BFA3CE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FE0B4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250с в соответствии с пост, правительства № 837-430сс от 3.06.1942 г. Ташкентский завод сельхозмашин НКМВ переименован в завод № 708 в ведении 1ГУ (Завод № 708 ИМ. Сталина НКМВ, Ташкентский завод сельскохозяйственных машин («Ташсельмаш») им. Сталина НКМВ, Завод «Таштекстильмаш» ММиП /г. Ташкент ул. Текстильная, 7 «Сталинец»/).</w:t>
      </w:r>
    </w:p>
    <w:p w14:paraId="5204967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НКМВ № 223с от 20.06.1942 г. с завода передано 80 единиц оборудования на Рубцовский завод сельхозмашин. Пост. ГКО № 1962сс от 4.07.1942 г. и приказом НКМВ № 237сс от 7.07.1942 г. заводу установлен план выпуска на 3-й квартал 1942 г. 50-мм минометов- 2250 шт.</w:t>
      </w:r>
    </w:p>
    <w:p w14:paraId="150C1E2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Далее - завод «Таштекстильмаш», в 1947 г. завод - в ведении Главтекстильлегмаша ММиП.</w:t>
      </w:r>
    </w:p>
    <w:p w14:paraId="0CECB0D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заводов (1947 г.) цехи: основные: РВК № 1, механический № 5, метизный № 7, механический крепежных деталей № 8, механический массовых деталей № 9, рогулек № 10, литейный № 2, кузнечно-прессовый № 3, сборочный № 6; вспомогательные: ДОК № 15, экспериментальный № 20, модельный № 23, ремонтно- механический № 29, инструментальный № 32, энергоцех № 33, центральная лаборатория (цех № 35).</w:t>
      </w:r>
    </w:p>
    <w:p w14:paraId="6F49855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(1946 г.)- 1398 ед., (1947 г.)- 1448 ед.</w:t>
      </w:r>
    </w:p>
    <w:p w14:paraId="728E4FB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Площадь: территории (1947 г.)- 25 га; застройки (1947 г.)- 60981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(1947 г.)- 39788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5896421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(1946 г.)- 3642 чел., (1947 г.)- 3558 чел.</w:t>
      </w:r>
    </w:p>
    <w:p w14:paraId="1772D90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 г.)- Титаренко, (1948 г.)- Виноградов.</w:t>
      </w:r>
    </w:p>
    <w:p w14:paraId="2BFDC05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 г.)- Котов.</w:t>
      </w:r>
    </w:p>
    <w:p w14:paraId="40C94DD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50-мм минометы; корпуса мин 82-мм, 120-мм, химической «ОТ», бомб ФАБ-100, АО-25 (1942); ватеры: ВВ-66, В-66; тазово-перегонный банкаброш БТП2 (1947) (11982).</w:t>
      </w:r>
    </w:p>
    <w:p w14:paraId="05BBB80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8EA6C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250с в соответствии с пост. СНК № 837-430сс от 3.06.1942 г. завод «Продмаш» НКМВ переименован в Завод им. Ленина в ведении Главсельмаша НКМВ. Затем, вероятно, переименован в завод № 727 НКМВ (Завод № 727 НКМВ, Воронежский машиностроительный завод им. Ленина, Завод «Продмаш» НКМВ, Завод им. Ленина НКТП, НКМВ, Машиностроительный завод им. Ленива ММиП, ОАО «Упмаш» /г. Воронеж;  г. Пенза;  г. Воронеж ул. Карла Маркса, 81 «Завод Ленина» (1948 г.)/ /394030  г. Воронеж ул. К. Маркса, 67Б/).</w:t>
      </w:r>
    </w:p>
    <w:p w14:paraId="349FE9E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Воронежский машиностроительный завод им. Ленина эвакуирован в Пензу, где был создан завод № 744 НКМВ. Приказом НКМВ № 209сс от 10.06.1942 г. заводу поручено изготовление задвижек Лудлои.</w:t>
      </w:r>
    </w:p>
    <w:p w14:paraId="75DDB1D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период временной оккупации Воронежа завод был разрушен. Восстановление начато в 1944 г. одновременно с производственной деятельностью. В 10.1945 г. под монтаж сдан первый корпус ремонтно-тструментальный, где временно размещены цеха механосборочный, инструментальный и ремонтно-механический. В 1948 г. введен в строй основной корпус - механический.</w:t>
      </w:r>
    </w:p>
    <w:p w14:paraId="54FD4EC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1947-48 г. Воронежский машиностроительный завод им. Ленина - в ведении Главпродмаша ММиП.</w:t>
      </w:r>
    </w:p>
    <w:p w14:paraId="14C47D9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(1947 г.) цехи: основные: механосборочный, кузнечный, термический; вспомогательные: ремонтно-механический, инструментальный, электроцех.</w:t>
      </w:r>
    </w:p>
    <w:p w14:paraId="5113CEE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 г.)- 493 ед., (1946 г.)- 82 ед., (1947 г.)- 185 ед.</w:t>
      </w:r>
    </w:p>
    <w:p w14:paraId="7FF4FF6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 г.)- 4,45 га; застройки (1947 г.)- 9760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 г.)- 11631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(1946 г.)- 2710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74F6246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 г.)- 1896 чел., (1946 г.)- 275 чел., (1947 г.)- 279 чел.</w:t>
      </w:r>
    </w:p>
    <w:p w14:paraId="21E02A9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 г.)- Плешко, (1948 г.)- Проскурин.</w:t>
      </w:r>
    </w:p>
    <w:p w14:paraId="2FCD9C5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 г.)- Сильченко.</w:t>
      </w:r>
    </w:p>
    <w:p w14:paraId="7DF4BBF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станки: вальцевый ЗВН, ЗМН, заточной ЮЗА, шлифовально-рифельный ШРС; шлюзовый затвор ШЗ-200; россева (для просева муки) ЗРА (1947) (11982).</w:t>
      </w:r>
    </w:p>
    <w:p w14:paraId="30DC735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426EE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250с в соответствии с пост. СНК № 837-430сс от 3.06.1942 г. Завод игольно-платиновых изделий НКМВ переименован в завод № 728 (Завод № 728 НКМВ, Завод игольно-платиновых изделий НКМВ /г. Орск Оренбургской обл./) в ведении 5ГУ (сначала, в 12.1941 г., планировалось передать его в 2ГУ НКМВ).</w:t>
      </w:r>
      <w:r w:rsidRPr="001E2C69">
        <w:rPr>
          <w:rFonts w:ascii="Times New Roman" w:hAnsi="Times New Roman"/>
          <w:color w:val="000000" w:themeColor="text1"/>
          <w:sz w:val="16"/>
          <w:szCs w:val="16"/>
          <w:vertAlign w:val="superscript"/>
        </w:rPr>
        <w:t>129</w:t>
      </w:r>
    </w:p>
    <w:p w14:paraId="53A595F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игольно-платиновых изделий создан на базе эвакуированного сюда в 1941 г. оборудования Кунцевского завода им. КИМ.</w:t>
      </w:r>
    </w:p>
    <w:p w14:paraId="127817B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06.1942 г. завод - в ведении Главлегмаша НКМВ.</w:t>
      </w:r>
    </w:p>
    <w:p w14:paraId="2432137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 г.)- Чистов.</w:t>
      </w:r>
    </w:p>
    <w:p w14:paraId="30222D4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взрыватели «МП» (1942) (11982).</w:t>
      </w:r>
    </w:p>
    <w:p w14:paraId="2A2FBD3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7B625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1942г. в соответствии с пост. СНК № 837-430сс от 3.06.1942г. приказом НКМВ № 250с 5-й часовой завод НКМВ переименован в завод № 835 в ведении 5ГУ (Завод №835 НКМВ, 5 -й часовой завод НКМВ, Чистопольский часовой завод (ЧЧЗ) ММиП, МРП, ПО «Восток», АП, АООТ, ОАО «ЧЧЗ «Восток» /г. Чистополь ул. К. Маркса, 15 «Часзавод» (1948г.)/ /Татарстан 422981 г. Чистополь ул. Энгельса, 127/ /Московское представительство: г. Москва ул. Клары Цеткин, 2/3/).</w:t>
      </w:r>
    </w:p>
    <w:p w14:paraId="0C79732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 № 102 от 29.02.1944г. производство часов-ходиков и оборудование с завода было передано на ГЧЗ-5 (Сердобский часовой завод).</w:t>
      </w:r>
    </w:p>
    <w:p w14:paraId="2A42C80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1947-48г. Чистопольский часовой завод - в ведении Главчаспрома ММиП.</w:t>
      </w:r>
    </w:p>
    <w:p w14:paraId="5F0084D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(1947г.) цехи: основные: автоматный, прессовый, механический (К-43), механо</w:t>
      </w:r>
      <w:r w:rsidRPr="001E2C69">
        <w:rPr>
          <w:rFonts w:ascii="Times New Roman" w:hAnsi="Times New Roman"/>
          <w:color w:val="000000" w:themeColor="text1"/>
          <w:sz w:val="16"/>
          <w:szCs w:val="16"/>
        </w:rPr>
        <w:softHyphen/>
        <w:t>сборочный спецприборов, гальванический, сборочный электрочасов, механо-сборочный электрочасов, инструментальный, сборочный (К-43), ремонтно-механический, платино-мостовой, деревообделочный, корпусной; вспомогательные: ремонтно-строительный, энергетический, котельные.</w:t>
      </w:r>
    </w:p>
    <w:p w14:paraId="31F607B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Сразу после войны освоен выпуск механических наручных часов, которые стали основной продукцией завода. В начале 1950-х г. разработаны часы «Победа» в пылевлагонепроницаемом корпусе (В.П. Дудин). В 1965г. разработаны часы «Командирские», завод стал официальным поставщиком часов для МО.</w:t>
      </w:r>
    </w:p>
    <w:p w14:paraId="469229B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Затем завод частично перепрофилирован для производства высокоточных компонентов антенных станций. 15.01.1970г. ЧЧЗ вошел в состав ЦНПО «Вымпел».</w:t>
      </w:r>
      <w:r w:rsidRPr="001E2C69">
        <w:rPr>
          <w:rFonts w:ascii="Times New Roman" w:hAnsi="Times New Roman"/>
          <w:color w:val="000000" w:themeColor="text1"/>
          <w:sz w:val="16"/>
          <w:szCs w:val="16"/>
          <w:vertAlign w:val="superscript"/>
        </w:rPr>
        <w:t>1</w:t>
      </w:r>
      <w:r w:rsidRPr="001E2C69">
        <w:rPr>
          <w:rFonts w:ascii="Times New Roman" w:hAnsi="Times New Roman"/>
          <w:color w:val="000000" w:themeColor="text1"/>
          <w:sz w:val="16"/>
          <w:szCs w:val="16"/>
        </w:rPr>
        <w:t>® С 1986г. ЧЧЗ - в ведении МРП.</w:t>
      </w:r>
    </w:p>
    <w:p w14:paraId="7056C9C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начале 2000-х г. завод выпускал около 1 млн часов в год. В 2007г. планировалось организовать совместное производство кварцевых часов с швейцарской фирмой </w:t>
      </w:r>
      <w:r w:rsidRPr="001E2C69">
        <w:rPr>
          <w:rFonts w:ascii="Times New Roman" w:hAnsi="Times New Roman"/>
          <w:color w:val="000000" w:themeColor="text1"/>
          <w:sz w:val="16"/>
          <w:szCs w:val="16"/>
          <w:lang w:val="en-US"/>
        </w:rPr>
        <w:t>TechnoTime</w:t>
      </w:r>
      <w:r w:rsidRPr="001E2C69">
        <w:rPr>
          <w:rFonts w:ascii="Times New Roman" w:hAnsi="Times New Roman"/>
          <w:color w:val="000000" w:themeColor="text1"/>
          <w:sz w:val="16"/>
          <w:szCs w:val="16"/>
        </w:rPr>
        <w:t xml:space="preserve"> мощностью 1,5 млн часов в год, но это не было реализовано. Являлся (2010г.) одним из двух часовых заводов полного цикла в России (наряду с заводом «Мак-Тайм»).</w:t>
      </w:r>
    </w:p>
    <w:p w14:paraId="4C8722D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04.2010г. начата процедура банкротства предприятия.</w:t>
      </w:r>
    </w:p>
    <w:p w14:paraId="77508C9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(1946г.)- 923 ед., (1947г.)- 1118 ед.</w:t>
      </w:r>
    </w:p>
    <w:p w14:paraId="682F3C3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(1947г.)- 5,34 га; застройки (1947г.)- 16702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(1946г.)-</w:t>
      </w:r>
    </w:p>
    <w:p w14:paraId="7725505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11558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(1947г.)- 12717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6D88BF7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(1946г.)- 2124 чел., (1947г.)- 2112 чел.</w:t>
      </w:r>
    </w:p>
    <w:p w14:paraId="32266E1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(-06.1942-48Г.-)- Лукьянов, (1986г.-)- В.В. Цивилин. Гендиректор (04.2010г.)- Е. Пухов. Временный управляющий (04.2010г.-)- А. Волков.</w:t>
      </w:r>
    </w:p>
    <w:p w14:paraId="0759EF7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(1948г.)- Григорьев.</w:t>
      </w:r>
    </w:p>
    <w:p w14:paraId="2044D89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механик (1950-е)- В.П. Дудин.</w:t>
      </w:r>
    </w:p>
    <w:p w14:paraId="0C36C8D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Руководитель Московского представительства (2000г.)- Е.П. Сидоров.</w:t>
      </w:r>
    </w:p>
    <w:p w14:paraId="2CC3B6B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 часы:</w:t>
      </w:r>
      <w:r w:rsidRPr="001E2C69">
        <w:rPr>
          <w:rFonts w:ascii="Times New Roman" w:hAnsi="Times New Roman"/>
          <w:color w:val="000000" w:themeColor="text1"/>
          <w:sz w:val="16"/>
          <w:szCs w:val="16"/>
        </w:rPr>
        <w:t xml:space="preserve"> карманные КЧ (1947); наручные РЧД (1947), «Победа» (1950-е), «Командирские» (1965- ), «Генеральские», «Восток», «Амфибия», «Штурманские» (1990-е); морские МЧМ, МЧД (1947); автомобильные электрочасы 5ЧТ (1947); танковые ТЧ (1947); пульсомер К-43 к прибору ПАУ-22; часовые механизмы для специзделий 13А, РР-45, РР-19, 509 (ЯМД); механизм срочности МС (1947).</w:t>
      </w:r>
      <w:r w:rsidRPr="001E2C69">
        <w:rPr>
          <w:rFonts w:ascii="Times New Roman" w:hAnsi="Times New Roman"/>
          <w:color w:val="000000" w:themeColor="text1"/>
          <w:sz w:val="16"/>
          <w:szCs w:val="16"/>
          <w:vertAlign w:val="superscript"/>
        </w:rPr>
        <w:t>129</w:t>
      </w:r>
    </w:p>
    <w:p w14:paraId="6B45B02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Чистопольское конструкторско-технологическое бюро (КТБ)</w:t>
      </w:r>
    </w:p>
    <w:p w14:paraId="6B836C9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15.01.1970г. вошло в состав ЦНПО «Вымпел» (11982).</w:t>
      </w:r>
      <w:r w:rsidRPr="001E2C69">
        <w:rPr>
          <w:rFonts w:ascii="Times New Roman" w:hAnsi="Times New Roman"/>
          <w:color w:val="000000" w:themeColor="text1"/>
          <w:sz w:val="16"/>
          <w:szCs w:val="16"/>
          <w:vertAlign w:val="superscript"/>
        </w:rPr>
        <w:t>104</w:t>
      </w:r>
    </w:p>
    <w:p w14:paraId="2BE974C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310E3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1942г. в соответствии с пост. СНК № 837-430сс от 3.06.1942г. и приказом НКМВ № 250с ГЗИП НКМВ переименован в завод № 840 в ведении 5ГУ (Завод № 840 НКМВ, Государственный завод испытательных приборов (ГЗИП) НКТП, НКОП, НКМВ, ММиП /г. Москва, 69 Кудринский пер., 10 «Индикатор» (1948г.)/).</w:t>
      </w:r>
    </w:p>
    <w:p w14:paraId="12FB48B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1947-48г. ГЗИП - в ведении Главмервеспрома ММиП.</w:t>
      </w:r>
    </w:p>
    <w:p w14:paraId="4D21948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(1947г.) цехи: основные: механический, сборочный, термический, гальванический; вспомогательные: инструментальный, ремонтный.</w:t>
      </w:r>
    </w:p>
    <w:p w14:paraId="1C4C0F8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(1939г.)- 323 ед., (1946г.)- 288 ед., (1947г.)- 292 ед.</w:t>
      </w:r>
    </w:p>
    <w:p w14:paraId="2CFBA97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(1947г.)- 0,39 га; застройки (1947г.)- 2434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(1939г.)- 2701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(1946г.)- 2928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(1947г.)- 2969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4DA23A9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(1939г.)- 573 чел., (1946г.)- 345 чел., (1947г.)- 324 чел.</w:t>
      </w:r>
    </w:p>
    <w:p w14:paraId="63AF6BD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(-06.1942-48г.-)- Лашук.</w:t>
      </w:r>
    </w:p>
    <w:p w14:paraId="5BC8993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(1948г.)- Гальперин.</w:t>
      </w:r>
    </w:p>
    <w:p w14:paraId="39AA3D0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детали для ППШ, для </w:t>
      </w:r>
      <w:r w:rsidRPr="001E2C69">
        <w:rPr>
          <w:rFonts w:ascii="Times New Roman" w:hAnsi="Times New Roman"/>
          <w:color w:val="000000" w:themeColor="text1"/>
          <w:sz w:val="16"/>
          <w:szCs w:val="16"/>
          <w:lang w:val="en-US"/>
        </w:rPr>
        <w:t>PC</w:t>
      </w:r>
      <w:r w:rsidRPr="001E2C69">
        <w:rPr>
          <w:rFonts w:ascii="Times New Roman" w:hAnsi="Times New Roman"/>
          <w:color w:val="000000" w:themeColor="text1"/>
          <w:sz w:val="16"/>
          <w:szCs w:val="16"/>
        </w:rPr>
        <w:t xml:space="preserve"> М-13 (1942); прессы: лабораторный Бринелля ЛБ, ЛБР, ЛБМ; прибор Роквелл-Вильсона РВ; разрывная машина Р-5; маятниковый копер МК; приборы Виккерса В, НВ; прибор Эриксен Э; динамометр ДК; индикатор мерительный ИМ; машина для испытания проводов НГ (1947) (11982).</w:t>
      </w:r>
      <w:r w:rsidRPr="001E2C69">
        <w:rPr>
          <w:rFonts w:ascii="Times New Roman" w:hAnsi="Times New Roman"/>
          <w:color w:val="000000" w:themeColor="text1"/>
          <w:sz w:val="16"/>
          <w:szCs w:val="16"/>
          <w:vertAlign w:val="superscript"/>
        </w:rPr>
        <w:t>129</w:t>
      </w:r>
    </w:p>
    <w:p w14:paraId="52F406EA" w14:textId="77777777" w:rsidR="00B65961" w:rsidRPr="001E2C69" w:rsidRDefault="00B6596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BA22E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в соответствии с пост. СНК № 837- 430сс от 3.06.1942г. и приказом НКМВ № 250с завод «Госметр» НКМВ, эвакуированный в Горький и Верхнюю Салду, был переименован в завод № 841 в ведении 5ГУ (Завод № 841 НКМВ, Весовой и механический завод «Госметр» ВСНХ, Завод весов «Госметр» НКТП, НКМВ, Ленинградский государственный весовой завод «Госметр» ММиП, МПиСА, ФГУП «Санкт-Петербургский завод «Госметр» /г. Ленинград-7 ул. Тамбовская, 22 «Госметр» (1948г.)/ /192007 г. Санкт-Петербург ул. Курская, 28/32/).</w:t>
      </w:r>
    </w:p>
    <w:p w14:paraId="5DD93D2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конца 1943г. наряду с военной продукцией возобновлен выпуск лабораторных весов. После войны завод выпускал прецизионные аналитические и микроаналитические весы для высокоточных анализов, взвешивания драгоценных камней, проверки образцовых мер массы.</w:t>
      </w:r>
    </w:p>
    <w:p w14:paraId="720CB19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1947-48г. Ленинградский государственный весовой завод «Госметр» - в ведении Главмервеспрома ММиП, с 1957г. - в ведении Управления приборостроительной </w:t>
      </w:r>
      <w:r w:rsidRPr="001E2C69">
        <w:rPr>
          <w:rFonts w:ascii="Times New Roman" w:hAnsi="Times New Roman"/>
          <w:color w:val="000000" w:themeColor="text1"/>
          <w:sz w:val="16"/>
          <w:szCs w:val="16"/>
        </w:rPr>
        <w:lastRenderedPageBreak/>
        <w:t>промышленности ЛенСНХ, с 1958г. - Управления агрегатостроения и приборостроения ЛенСНХ, с 11.1965г. - МПиСА.</w:t>
      </w:r>
      <w:r w:rsidRPr="001E2C69">
        <w:rPr>
          <w:rFonts w:ascii="Times New Roman" w:hAnsi="Times New Roman"/>
          <w:color w:val="000000" w:themeColor="text1"/>
          <w:sz w:val="16"/>
          <w:szCs w:val="16"/>
          <w:vertAlign w:val="superscript"/>
        </w:rPr>
        <w:t>131</w:t>
      </w:r>
    </w:p>
    <w:p w14:paraId="6C063B0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(1947г.) цехи: основные: механический № 1, сборочный № 2, станкостроительный № 3, деревообделочный № 4, экспериментальный; вспомогательные: инструментальный № 5, ремонтно-механический №7.</w:t>
      </w:r>
    </w:p>
    <w:p w14:paraId="4612A27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2002г. завод перешел на производство электронных весов специального класса точности.</w:t>
      </w:r>
    </w:p>
    <w:p w14:paraId="53EF172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(1946г.)- 288 ед., (1947г.)- 322 ед.</w:t>
      </w:r>
    </w:p>
    <w:p w14:paraId="16590DC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(1947г.)- 1,873 га; застройки (1947г.)- 3915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(1939г.)- 3045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(1946г.)- 4315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(1947г.)- 5472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7172BC3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(1939г.)- 849 чел., (1946г.)- 900 чел., (1947г.)- 880 чел.</w:t>
      </w:r>
    </w:p>
    <w:p w14:paraId="59AAC4B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(1925г.-)- П.И. Паршин, (1948г.)- Спиридонов, (-2008г.)- В.М. Мануйлов.</w:t>
      </w:r>
    </w:p>
    <w:p w14:paraId="074AB38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(1948г.)- Самойленко.</w:t>
      </w:r>
    </w:p>
    <w:p w14:paraId="57D5D0E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 весы:</w:t>
      </w:r>
      <w:r w:rsidRPr="001E2C69">
        <w:rPr>
          <w:rFonts w:ascii="Times New Roman" w:hAnsi="Times New Roman"/>
          <w:color w:val="000000" w:themeColor="text1"/>
          <w:sz w:val="16"/>
          <w:szCs w:val="16"/>
        </w:rPr>
        <w:t xml:space="preserve"> аналитические С-200; технические Т-200, -1000, -5000; контрольные К-5, -20, -50; конвейерные КВ-1; разновесы (1947) (11982).</w:t>
      </w:r>
      <w:r w:rsidRPr="001E2C69">
        <w:rPr>
          <w:rFonts w:ascii="Times New Roman" w:hAnsi="Times New Roman"/>
          <w:color w:val="000000" w:themeColor="text1"/>
          <w:sz w:val="16"/>
          <w:szCs w:val="16"/>
          <w:vertAlign w:val="superscript"/>
        </w:rPr>
        <w:t>129</w:t>
      </w:r>
    </w:p>
    <w:p w14:paraId="40BB203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D03EC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1942г. в соответствии с пост. СНК № 837-430сс от 3.06.1942г. приказом НКМВ № 250с Завод «Манометр» НКМВ переименован в завод № 836 в ведении 5ГУ (Завод № 836 НКМВ, Бронзомеднолитейный, чугунолитейный и арматурный завод и фабрика манометров «Ф.Ф. Гакенталь и К</w:t>
      </w:r>
      <w:r w:rsidRPr="001E2C69">
        <w:rPr>
          <w:rFonts w:ascii="Times New Roman" w:hAnsi="Times New Roman"/>
          <w:color w:val="000000" w:themeColor="text1"/>
          <w:sz w:val="16"/>
          <w:szCs w:val="16"/>
          <w:vertAlign w:val="superscript"/>
        </w:rPr>
        <w:t>0</w:t>
      </w:r>
      <w:r w:rsidRPr="001E2C69">
        <w:rPr>
          <w:rFonts w:ascii="Times New Roman" w:hAnsi="Times New Roman"/>
          <w:color w:val="000000" w:themeColor="text1"/>
          <w:sz w:val="16"/>
          <w:szCs w:val="16"/>
        </w:rPr>
        <w:t>», 1-й Арматурный завод, Завод «Манометр» НКТП, НКМС, НКОМ, НКМВ, Московский манометровый завод «Манометр» ММиП, МПиСА, Московский приборостроительный завод «Манометр» МПиСА, Московское ПО «Манометр» МПиСА, ЗАО «Манометр» /г. Москва ул. Нижние Сыромятники, 2 «Давление» (1948г.)/ /107120 (105120) г. Москва ул. Н. Сыромятническая, 5/7 тел. 916-15-20/).</w:t>
      </w:r>
      <w:r w:rsidRPr="001E2C69">
        <w:rPr>
          <w:rFonts w:ascii="Times New Roman" w:hAnsi="Times New Roman"/>
          <w:color w:val="000000" w:themeColor="text1"/>
          <w:sz w:val="16"/>
          <w:szCs w:val="16"/>
          <w:vertAlign w:val="superscript"/>
        </w:rPr>
        <w:t>129</w:t>
      </w:r>
    </w:p>
    <w:p w14:paraId="0104BC0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1946г. завод был вновь переименован в «Манометр» в ведении Главприбора ММиП (1946-53; 1954-56г.), МПиСА (1956-57г.), Управления радиотехнической промышленности МосгорСНХ (1957-61г.), Управления приборостроения МосгорСНХ (1961-65г.), Главпромприбора МПиСА (1965-66г.), Главаналитприбора МПиСА (1966-68г.). В 1968г. переименован в Московский приборостроительный завод «Манометр» Главаналитприбора МПиСА (1968-70г.), Союзаналитприбора МПиСА (1971-77г.). В 1977г. на базе завода создано МПО «Манометр» в ведении Союзаналитприбора МПиСА.</w:t>
      </w:r>
    </w:p>
    <w:p w14:paraId="2DAEDFD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(1947г.) цехи: 8 основных: № 1 приборный, № 3 лубрикаторов, № 4 манометров механический, № 5 манометров сборочный, № 6 экспериментальный, № 7 инструментальный, № 8 кузнечно- штамповочный, № 10 литейный; вспомогательные: № 9 ремонтно-механический, № 11 гальванический, № 12 электродах, № 13 ремонтно-строительный, № 14 транспортный, № 15 паросиловой. В 1948г. проведена реконструкция завода. В начале 1980-х г. вновь проведена модернизация производства, введено в строй 9 механизированных поточных и автоматических линий.</w:t>
      </w:r>
    </w:p>
    <w:p w14:paraId="28CE1FE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войны в КБ завода разработано и освоено в производстве более 30 типов и 100 мо.</w:t>
      </w:r>
    </w:p>
    <w:p w14:paraId="06AA123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Работы (2000-е): разработка и производство приборов для контроля параметров процессов.</w:t>
      </w:r>
    </w:p>
    <w:p w14:paraId="45894911" w14:textId="77777777" w:rsidR="00AE7191" w:rsidRPr="001E2C69" w:rsidRDefault="00AE7191" w:rsidP="00722885">
      <w:pPr>
        <w:widowControl w:val="0"/>
        <w:tabs>
          <w:tab w:val="left" w:pos="967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(1939г.)- 614 ед., (1946г.)- 490 ед., (1947г.)- 543 ед.</w:t>
      </w:r>
      <w:r w:rsidRPr="001E2C69">
        <w:rPr>
          <w:rFonts w:ascii="Times New Roman" w:hAnsi="Times New Roman"/>
          <w:color w:val="000000" w:themeColor="text1"/>
          <w:sz w:val="16"/>
          <w:szCs w:val="16"/>
        </w:rPr>
        <w:tab/>
        <w:t>,</w:t>
      </w:r>
    </w:p>
    <w:p w14:paraId="3EC4F02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(1947г.)- 1,384 га; застройки (1947г.)- 7970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(1939г.)- (1946-47г.)- 11015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243DB13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(1895г.)- более 500 чел., (1939г.)- 2675 чел., (1946г.)- 1114 чел., (1947г.)- 1126чеж, (1980-е)- около 2500 чел.</w:t>
      </w:r>
    </w:p>
    <w:p w14:paraId="6DC4EC9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(06-07.1942г.)- Долженко, (1948г.)- Горин. Гендиректор (2000г.)- Ю.Ф. Мягков.</w:t>
      </w:r>
    </w:p>
    <w:p w14:paraId="36B533A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(1948г.)- Укладов.</w:t>
      </w:r>
    </w:p>
    <w:p w14:paraId="608A41C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 манометры:</w:t>
      </w:r>
      <w:r w:rsidRPr="001E2C69">
        <w:rPr>
          <w:rFonts w:ascii="Times New Roman" w:hAnsi="Times New Roman"/>
          <w:color w:val="000000" w:themeColor="text1"/>
          <w:sz w:val="16"/>
          <w:szCs w:val="16"/>
        </w:rPr>
        <w:t xml:space="preserve"> воздушные (1936), 60-02 (1947), типа Вьет (1936), для кислородных приборов (1936), 60-00 (1947), технический 150-00 (1947), МКШ (2000-); перепускные краны (1936); взрыватель КВ-4 (1942); преобразователи давления: «Сапфир-22» (1984-), ИПД, ИПДЦ (1980-е), «Сапфир-22МП» (2000-); лубрикаторы; прессы: Бринеля ПБМ, Роквелла РВ (1947) (11982).</w:t>
      </w:r>
      <w:r w:rsidRPr="001E2C69">
        <w:rPr>
          <w:rFonts w:ascii="Times New Roman" w:hAnsi="Times New Roman"/>
          <w:color w:val="000000" w:themeColor="text1"/>
          <w:sz w:val="16"/>
          <w:szCs w:val="16"/>
          <w:vertAlign w:val="superscript"/>
        </w:rPr>
        <w:t>129</w:t>
      </w:r>
    </w:p>
    <w:p w14:paraId="330AB2D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7C588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1942г. в соответствии с пост. СНК № 837-430сс от 3.06.1942г. и приказом НКМВ № 250с завод «Манометр» НКМВ переименован в завод № 838 в ведении 5ГУ (Завод № 838 НКМВ, Завод «Манометр» НКМВ, Томский манометровый завод ММиП, ОАО «Манотомь» /г. Томск Новосибирской обл. (1942г.) пр. Тимирязева, 68 «Манометр» (1948г.)/ /634061 г. Томск пр. Комсомольский, 62/).</w:t>
      </w:r>
    </w:p>
    <w:p w14:paraId="095DB64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1947-48г. Томский манометровый завод - в ведении Главлаборприбора ММиП.</w:t>
      </w:r>
    </w:p>
    <w:p w14:paraId="6B27475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(1947г.) цехи: основные: приборостроения № 3, механической обработки манометров № 4, манометровый № 5, покрытий № 6, штамповочный № 8, литейный № 10; вспомогательные: паросиловой № 1, экспериментальный № 2, инструментальный № 7, ремонтно-механический № 9, электроцех № 11, столярно- тарный№ 12.</w:t>
      </w:r>
    </w:p>
    <w:p w14:paraId="5CE9BF1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войны объем производства увеличен в 2,5 раза. Завод выпускал манометры, манометрические краны, лаги, регуляторы давления, шахтные скоростемеры, тахометры.</w:t>
      </w:r>
    </w:p>
    <w:p w14:paraId="0E55669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1952г. решением правительства было начато строительство нового завода, которому был поручен выпуск аммиачных и электроконтактных манометров, термометров. В 1958-61г. на новой площадке по Тимирязевскому (затем- Комсомольскому) пр. были построены новые корпуса № 1, 2, 3 и 4. В 1968г. построен корпус № 5. Были созданы ЦЗЛ, лаборатория измерительной техники, контрольно-испытательная станция. В 1970-е-80-е г. номенклатура выпускаемых приборов расширена до 60 наименований. В 1980-е г. был проведено техническое перевооружение предприятия. Действовало 12 производственных цехов.</w:t>
      </w:r>
    </w:p>
    <w:p w14:paraId="7D4EA63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1993г. предприятие акционировано и преобразовано в ОАО «Манотомь».</w:t>
      </w:r>
    </w:p>
    <w:p w14:paraId="4D4C997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начале 2000-х г. выпускалось более 30 типов приборов.</w:t>
      </w:r>
    </w:p>
    <w:p w14:paraId="0EA8A80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(1946г.)- 329 ед., (1947г.)- 416 ед.</w:t>
      </w:r>
    </w:p>
    <w:p w14:paraId="7742CBB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(1947г.)- 2,74 га; застройки (1947г.)- 6321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(1946г.)- 3650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(1947г.)- 4289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588D132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(1946г.)- 934 чел., (1947г.)- 959 чел., (1980-е)- 4500 чел., (2000-е)-1100 чел.</w:t>
      </w:r>
    </w:p>
    <w:p w14:paraId="37248E8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(1941г.)- Б. Пиль, (06.1942г.)- Жуков, (1948г.)- Баранов.</w:t>
      </w:r>
    </w:p>
    <w:p w14:paraId="107C458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(1942-46г.)- Ю.Я. Базилевский, (1948г.)- Спивак.</w:t>
      </w:r>
    </w:p>
    <w:p w14:paraId="0A8340C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взрыватель КВ-2 (ВОВ);</w:t>
      </w:r>
      <w:r w:rsidRPr="001E2C69">
        <w:rPr>
          <w:rFonts w:ascii="Times New Roman" w:hAnsi="Times New Roman"/>
          <w:iCs/>
          <w:color w:val="000000" w:themeColor="text1"/>
          <w:sz w:val="16"/>
          <w:szCs w:val="16"/>
        </w:rPr>
        <w:t xml:space="preserve"> манометры:</w:t>
      </w:r>
      <w:r w:rsidRPr="001E2C69">
        <w:rPr>
          <w:rFonts w:ascii="Times New Roman" w:hAnsi="Times New Roman"/>
          <w:color w:val="000000" w:themeColor="text1"/>
          <w:sz w:val="16"/>
          <w:szCs w:val="16"/>
        </w:rPr>
        <w:t xml:space="preserve"> гидравлические МГ-Н, паровозные МП-А, ФД, пульсирующие, тормозные ИТ-150, финиметры, кислородные М-60, аммиачные М-</w:t>
      </w:r>
      <w:r w:rsidRPr="001E2C69">
        <w:rPr>
          <w:rFonts w:ascii="Times New Roman" w:hAnsi="Times New Roman"/>
          <w:color w:val="000000" w:themeColor="text1"/>
          <w:sz w:val="16"/>
          <w:szCs w:val="16"/>
          <w:lang w:val="en-US"/>
        </w:rPr>
        <w:t>AM</w:t>
      </w:r>
      <w:r w:rsidRPr="001E2C69">
        <w:rPr>
          <w:rFonts w:ascii="Times New Roman" w:hAnsi="Times New Roman"/>
          <w:color w:val="000000" w:themeColor="text1"/>
          <w:sz w:val="16"/>
          <w:szCs w:val="16"/>
        </w:rPr>
        <w:t>, артиллерийские, дифференциальные, котловые; тахометры ТС-120, краны: манометрические КТК, контрольные, ПК; предохранительные клапаны ППК (1947).</w:t>
      </w:r>
      <w:r w:rsidRPr="001E2C69">
        <w:rPr>
          <w:rFonts w:ascii="Times New Roman" w:hAnsi="Times New Roman"/>
          <w:color w:val="000000" w:themeColor="text1"/>
          <w:sz w:val="16"/>
          <w:szCs w:val="16"/>
          <w:vertAlign w:val="superscript"/>
        </w:rPr>
        <w:t>129</w:t>
      </w:r>
    </w:p>
    <w:p w14:paraId="6857EC4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0F3FA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в соответствии с пост. СНК № 837-430сс от 3.06.1942 г. приказом НКМВ № 250с ТЭЗ НКМВ переименован в завод № 770 в ведении 2ГУ (Завод № 770 НКМВ, Ташкентский завод «Электростанок», Ташкентский электротехнический завод (ТЭЗ) НКМВ, МЭТП, НПО «Средазэлектроаппарат» /Узбекистан 100105  г. Ташкент ул. Таллимаржон (Фетисова), 1/).</w:t>
      </w:r>
      <w:r w:rsidRPr="001E2C69">
        <w:rPr>
          <w:rFonts w:ascii="Times New Roman" w:hAnsi="Times New Roman"/>
          <w:color w:val="000000" w:themeColor="text1"/>
          <w:sz w:val="16"/>
          <w:szCs w:val="16"/>
          <w:vertAlign w:val="superscript"/>
        </w:rPr>
        <w:t>129</w:t>
      </w:r>
    </w:p>
    <w:p w14:paraId="340A7CF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Распоряжением правительства в 1946 г. заводы «Электростанок» и «Токов высокой частоты» объединены в единый ТЭЗ МЭТП.</w:t>
      </w:r>
    </w:p>
    <w:p w14:paraId="116883D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1949 г. ТЭЗ стал головным в СССР по выпуску пакетных выключателей и переключателей для токов</w:t>
      </w:r>
    </w:p>
    <w:p w14:paraId="7195C75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10-400 А.</w:t>
      </w:r>
    </w:p>
    <w:p w14:paraId="1A0D02F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1965 г. при ТЭЗ организован филиал ГКТБ «Электропривод».</w:t>
      </w:r>
    </w:p>
    <w:p w14:paraId="0038682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1988 г. на базе ТЭЗ как головного предприятия создано НПО «Средазэлектроаппарат». В 2000 г. на базе ТЭЗ организовано два СП с иностранными фирмами: СП «Ташэлектроаппарат» и ОАО «Узэлектроаппарат». В 2006 г. оба СП вошли в состав ЗАО «ГК «Электрощит»-ТМ Самара как СП «ОАО «Узэлектроаппарат-Электрощит» (11982).</w:t>
      </w:r>
    </w:p>
    <w:p w14:paraId="0F0125A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0EE81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в соответствии с пост. СНК № 837-430сс от 3.06.1942 г. приказом НКМВ № 250с завод «Пролетарская свобода» НКМВ переименован в завод № 771 в ведении 2ГУ (Завод № 771 НКМВ, Завод «Пролетарская свобода» НКМВ, ММиП, ОАО «Завод «Пролетарская свобода» /150002  г. Ярославль ул. Б. Федоровская, 103/).</w:t>
      </w:r>
      <w:r w:rsidRPr="001E2C69">
        <w:rPr>
          <w:rFonts w:ascii="Times New Roman" w:hAnsi="Times New Roman"/>
          <w:color w:val="000000" w:themeColor="text1"/>
          <w:sz w:val="16"/>
          <w:szCs w:val="16"/>
          <w:vertAlign w:val="superscript"/>
        </w:rPr>
        <w:t>129</w:t>
      </w:r>
    </w:p>
    <w:p w14:paraId="68EB845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 г. завод «Пролетарская свобода» - в ведении Главбумдревмаша ММиП (есть упоминание, что в 1947 г. завод № 771 действовал в Кургане).</w:t>
      </w:r>
    </w:p>
    <w:p w14:paraId="2E401D6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 г.)- Захаркин.</w:t>
      </w:r>
    </w:p>
    <w:p w14:paraId="6CB4A33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корпуса 82-мм мин (1942) (11982).</w:t>
      </w:r>
    </w:p>
    <w:p w14:paraId="68E5D0DD" w14:textId="77777777" w:rsidR="00B65961" w:rsidRPr="001E2C69" w:rsidRDefault="00B6596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8A998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в соответствии с пост. СНК № 837-430сс от 3.06.1942 г. приказом НКМВ № 250с завод «Северный коммунар» НКМВ переименован в завод № 772 в ведении 2ГУ (Завод № 772 НКМВ, Завод «Красный пахарь», Завод «Северный коммунар» НКМВ, ММиП, АООТ, ОАО «Северный коммунар» /г. Вологда ул. М. Кожевники/ /160029  г. Вологда ул. Машиностроительная, 19/).</w:t>
      </w:r>
      <w:r w:rsidRPr="001E2C69">
        <w:rPr>
          <w:rFonts w:ascii="Times New Roman" w:hAnsi="Times New Roman"/>
          <w:color w:val="000000" w:themeColor="text1"/>
          <w:sz w:val="16"/>
          <w:szCs w:val="16"/>
          <w:vertAlign w:val="superscript"/>
        </w:rPr>
        <w:t>129</w:t>
      </w:r>
    </w:p>
    <w:p w14:paraId="072FE74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1946 г. завод передан в ведение Министерства станкоинструментальной промышленности. В 1947 г. завод «Северный коммунар» - в ведении Главбумдревмаша ММиП..</w:t>
      </w:r>
    </w:p>
    <w:p w14:paraId="53C904A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1946-47 г. построена пристройка к механическому цеху (сборочный участок). Завод вновь перешел на выпуск лесопильных рам, рольгангов, бревнотасок. С 1950 г. завод становится единственным в стране по выпуску мощных лесопильных рам и околорамного оборудования. С 1961 г. освоен выпуск крупногабаритного оборудования для механизации работ на складах пиломатериалов.</w:t>
      </w:r>
    </w:p>
    <w:p w14:paraId="61C3934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В 1961 г. на заводе создано Вологодское головное КБ по проектированию деревообрабатывающего оборудования.</w:t>
      </w:r>
    </w:p>
    <w:p w14:paraId="26F57E6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завода образованы отделы: гл. конструктора, гл. технолога, гл. металлурга, гл. механика, гл. энергетика, ПЭО, ОТиЗ, производственный, сбыта, снабжения, ЖКХ, ОКС. Имелись цехи: литейный, кузнечный, сварочно-заготовительный, механический, сборочный, инструментальный, ремонтный, энергоремонтный, транспортный. В соответствии с ПСМ № 962 от 27.10.1979 г. начата реконструкция завода. В 1980-85 г. построены заготовительно-складской корпус, газовая котельная.</w:t>
      </w:r>
    </w:p>
    <w:p w14:paraId="33001CE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1978 г. завод «Северный коммунар» вошел в состав вновь образованного Вологодского производственного станкостроительного объединения ВПО «Союздревстанкопрома» Министерства станкоинструментальной промышленности. В 1986 г. завод передан в ведение Главдревстанкопрома Министерства станкоинструментальной промышленности, с 1990 г. завод в подчинении концерна «Древмаш» Государственного АО «Станкоинструмент». В 12.1992 г. завод преобразован в АООТ «Северный коммунар», его Устав зарегистрирован пост, администрации  г. Вологды № 2062 от 29.12.1992 г. Решением акционеров от 5.05.1996 г. АООТ преобразовано в ОАО.</w:t>
      </w:r>
    </w:p>
    <w:p w14:paraId="2662773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(1992 г.)-1170 чел.</w:t>
      </w:r>
    </w:p>
    <w:p w14:paraId="2A83EE3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лесопильные рамы Р65-1, Р65-2, ГГС-2 (1930-е) (11982).</w:t>
      </w:r>
    </w:p>
    <w:p w14:paraId="2255A1A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271A9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в соответствии с пост. СНК № 837-430сс от 3.06.1942 г. приказом НКМВ № 250с завод «Рабочий металлист» НКМВ переименован в завод № 773 в ведении 2ГУ (Завод № 773 НКМВ, Завод наследниц Л.Ф. Пло, Завод «Рабочий металлист» НКМВ, Костромской экскаваторный завод, ОАО, ООО «ЭКСКО» /г. Рига;  г. Кострома/ /156604  г. Кострома Инженерный пер., 3/).</w:t>
      </w:r>
      <w:r w:rsidRPr="001E2C69">
        <w:rPr>
          <w:rFonts w:ascii="Times New Roman" w:hAnsi="Times New Roman"/>
          <w:color w:val="000000" w:themeColor="text1"/>
          <w:sz w:val="16"/>
          <w:szCs w:val="16"/>
          <w:vertAlign w:val="superscript"/>
        </w:rPr>
        <w:t>Ш</w:t>
      </w:r>
    </w:p>
    <w:p w14:paraId="5934296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годы войны завод выпускал оборонную продукцию, в 1944 г. возобновлен выпуск экскаваторов. С 1948 г. завод специализируется на выпуске механических канатных экскаваторов. В 1960-е  г. - завод «Рабочий металлист». Директор (06.1942 г.)-Киселев.</w:t>
      </w:r>
    </w:p>
    <w:p w14:paraId="4124919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122-мм снаряды, авиабомбы ФОТАБ (1942); экскаваторы: тросовой универсальный ЭО-5119 (1990-е); машина бурильная БМ-2501 (1990-е); запчасти для экскаваторов (11982).</w:t>
      </w:r>
    </w:p>
    <w:p w14:paraId="32F1DA1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47AF5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в соответствии с пост. СНК № 837-430сс от 3.06.1942 г. приказом НКМВ № 250с завод «Армалит» НКМВ переименован в завод № 774 в ведении 2ГУ (Завод № 774 НКМВ, Завод «Армалит» НКМВ, Армавирский государственный весовой завод «Армалит» ММиП, Армавирский приборостроительный завод, ОАО «Армалит» /г. Армавир ул. Карла Маркса, 72 «Армалит» (1948 г.)/ /350000  г. Армавир Краснодарского кр. ул. К. Маркса, 86/).</w:t>
      </w:r>
    </w:p>
    <w:p w14:paraId="701D9AE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НКМВ № 241сс от 7.07.1942 г. на заводе прекращен выпуск ХАБ-100. В 1947-48 г. завод «Армалит» - в ведении Главмервеспрома ММиП.</w:t>
      </w:r>
    </w:p>
    <w:p w14:paraId="3ACC800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(1947 г.) цехи: основные: литейный, кузнечный, крупных весов, товарных весов, дизельная; вспомогательные: инструментальный, ремонтно-механический, ремонтно-строительный, парокотельная.</w:t>
      </w:r>
    </w:p>
    <w:p w14:paraId="5257D9D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 г.)- 190 ед., (1946 г.)- 412 ед., (1947 г.)- 436 ед.</w:t>
      </w:r>
    </w:p>
    <w:p w14:paraId="0F4C01E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 г.)- 7,5 га; застройки (1947 г.)- 19849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 г.)- 13697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(1946 г.)- 8335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(1947 г.)- 10085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71F14EE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 г.)- 1104 чел., (1946 г.)- 678 чел., (1947 г.)- 900 чел. Директор (06.1942 г.)- Видгорчик, (1948 г.)- Никитин. Гл. инженер (1948 г.)- Петухов.</w:t>
      </w:r>
    </w:p>
    <w:p w14:paraId="516E0F2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корпуса авиабомб: АО-2,5, АО-Ю, химических ХАБ-100; 122-мм снаряды, 120-мм мины, ТМ- 35, АМБ (1942);</w:t>
      </w:r>
      <w:r w:rsidRPr="001E2C69">
        <w:rPr>
          <w:rFonts w:ascii="Times New Roman" w:hAnsi="Times New Roman"/>
          <w:iCs/>
          <w:color w:val="000000" w:themeColor="text1"/>
          <w:sz w:val="16"/>
          <w:szCs w:val="16"/>
        </w:rPr>
        <w:t xml:space="preserve"> весы:</w:t>
      </w:r>
      <w:r w:rsidRPr="001E2C69">
        <w:rPr>
          <w:rFonts w:ascii="Times New Roman" w:hAnsi="Times New Roman"/>
          <w:color w:val="000000" w:themeColor="text1"/>
          <w:sz w:val="16"/>
          <w:szCs w:val="16"/>
        </w:rPr>
        <w:t xml:space="preserve"> товарные ТПМ-1, ТПМ-2, типа «Фербенкс»; вагонные В-100; для коксовых башен У-75; мех. авт. А-10; ЗА-50 «Хронос № 6»; пресс эксцентриковый ЭР-35 (1947) (11982).</w:t>
      </w:r>
    </w:p>
    <w:p w14:paraId="0647127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9C693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в соответствии с пост. СНК № 837-430сс от 3.06.1942 г. приказом НКМВ № 250с завод «Краснолит» НКМВ переименован в завод № 776 в ведении 2ГУ (Завод № 776 НКМВ, Металлообрабатывающий завод К. Гусника, Екатеринодарский чугунолитейный завод, Завод «Касный литейщик», Завод «Краснолит» НКМВ, Краснодарский литейно-механический завод «Краснолит» ММиП, Государственный Краснодарский весовой завод «Краснолит» ММиП, Краснодарский завод тензометрических приборов «Тензоприбор», ОАО «Тензоприбор» / г. Екатеринодар,  г. Краснодар ул. Кузнечная, 79 «Краснолит» (1948 г.)/ /350721  г. Краснодар ул. Калинина, 327/). 9.08.1942 г., при вступлении немцев в город, завод в числе других 40 предприятий города был взорван.</w:t>
      </w:r>
    </w:p>
    <w:p w14:paraId="5E7E860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1947-48 г. завод «Краснолит» - в ведении Главмервеспрома ММиП. С 1963 г. - Краснодарский завод тензометрических приборов «Тензоприбор».</w:t>
      </w:r>
    </w:p>
    <w:p w14:paraId="36E99DC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(1947 г.) цехи: основные: литейный № 1 и 2, механо-сборочный; вспомогательные: ремонтно-механический, инструментальный.</w:t>
      </w:r>
    </w:p>
    <w:p w14:paraId="3B56BB3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 г.)- 199 ед., (1946 г.)- 81 ед., (1947 г.)- 155 ед.</w:t>
      </w:r>
    </w:p>
    <w:p w14:paraId="0958808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 г.)- 4,2 га; застройки (1947 г.)- 9915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 г.)- 7521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(1946 г.)- 5240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(1947 г.)- 7627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23485FB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 г.)- 717 чел., (1946 г.)- 525</w:t>
      </w:r>
      <w:r w:rsidRPr="001E2C69">
        <w:rPr>
          <w:rFonts w:ascii="Times New Roman" w:hAnsi="Times New Roman"/>
          <w:iCs/>
          <w:color w:val="000000" w:themeColor="text1"/>
          <w:sz w:val="16"/>
          <w:szCs w:val="16"/>
        </w:rPr>
        <w:t xml:space="preserve"> чел.,</w:t>
      </w:r>
      <w:r w:rsidRPr="001E2C69">
        <w:rPr>
          <w:rFonts w:ascii="Times New Roman" w:hAnsi="Times New Roman"/>
          <w:color w:val="000000" w:themeColor="text1"/>
          <w:sz w:val="16"/>
          <w:szCs w:val="16"/>
        </w:rPr>
        <w:t xml:space="preserve"> (1947 г.)- 587 чел. Директор (06.1942 г.)- Топоров, (1948 г.)- Зенин. Гл. инженер (1948 г.)- Честников.</w:t>
      </w:r>
    </w:p>
    <w:p w14:paraId="2A8CB5B1" w14:textId="77777777" w:rsidR="00AE7191" w:rsidRPr="001E2C69" w:rsidRDefault="00AE7191" w:rsidP="00722885">
      <w:pPr>
        <w:widowControl w:val="0"/>
        <w:tabs>
          <w:tab w:val="left" w:pos="8780"/>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корпуса 82-мм мин, гранат Ф-1 (1942); весы: товарные ВТ-500, ВТ-1000, специальные (1947) (11982).</w:t>
      </w:r>
    </w:p>
    <w:p w14:paraId="73230257" w14:textId="77777777" w:rsidR="00AE7191" w:rsidRPr="001E2C69" w:rsidRDefault="00AE7191" w:rsidP="00722885">
      <w:pPr>
        <w:widowControl w:val="0"/>
        <w:tabs>
          <w:tab w:val="left" w:pos="8780"/>
        </w:tabs>
        <w:autoSpaceDE w:val="0"/>
        <w:autoSpaceDN w:val="0"/>
        <w:adjustRightInd w:val="0"/>
        <w:spacing w:after="0" w:line="240" w:lineRule="auto"/>
        <w:jc w:val="both"/>
        <w:rPr>
          <w:rFonts w:ascii="Times New Roman" w:hAnsi="Times New Roman"/>
          <w:color w:val="000000" w:themeColor="text1"/>
          <w:sz w:val="16"/>
          <w:szCs w:val="16"/>
        </w:rPr>
      </w:pPr>
    </w:p>
    <w:p w14:paraId="211DC8E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в соответствии с пост. СНК № 837-430сс от 3.06.1942 г. приказом НКМВ № 250с завод «Красный маяк» НКМВ переименован в завод № 777 в ведении 2ГУ (Завод № 777 НКМВ, Завод «Красный маяк» НКМВ, ОАО «Ярославский завод «Красный маяк» /150008  г. Ярославль пр. Машиностроителей, 83/).</w:t>
      </w:r>
      <w:r w:rsidRPr="001E2C69">
        <w:rPr>
          <w:rFonts w:ascii="Times New Roman" w:hAnsi="Times New Roman"/>
          <w:color w:val="000000" w:themeColor="text1"/>
          <w:sz w:val="16"/>
          <w:szCs w:val="16"/>
          <w:vertAlign w:val="superscript"/>
        </w:rPr>
        <w:t>129</w:t>
      </w:r>
    </w:p>
    <w:p w14:paraId="0EB1252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электромеханических и электромагнитных вибраторов для уплотнения бетона (1960-е), выпускал также электродвигатели, трансформаторы.</w:t>
      </w:r>
    </w:p>
    <w:p w14:paraId="3CEB1DD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1960-е  г. назывался «Красный маяк», в 1992 г. преобразован в АООТ, затем - ОАО «Ярославский завод «Красный маяк».</w:t>
      </w:r>
    </w:p>
    <w:p w14:paraId="22E47E5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2004-05 г. завод перебазирован из центра города на новую площадку в Заволжский район.</w:t>
      </w:r>
    </w:p>
    <w:p w14:paraId="32CEF8F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(2000-е): электрические вибраторы (в 2004 г. выпущено 37 тыс. шт., в 2007 г. - 70 тыс.).</w:t>
      </w:r>
    </w:p>
    <w:p w14:paraId="4932DCA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Основной владелец завода (2008 г.)- ЗАО «Вибропромтех».</w:t>
      </w:r>
    </w:p>
    <w:p w14:paraId="3F47A4D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Гендиректор (07.2000-08 г.-&gt; К. Сонин.</w:t>
      </w:r>
    </w:p>
    <w:p w14:paraId="3A8CCD5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Исполнительный директор- О. Басовец.</w:t>
      </w:r>
    </w:p>
    <w:p w14:paraId="46AD48C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ранцевый огнемет РОКС (1942) (11982).</w:t>
      </w:r>
    </w:p>
    <w:p w14:paraId="00CE0EE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1D88A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в соответствии с пост. СНК № 837-430сс от 3.06.1942 г. приказом НКМВ № 250с Экскаваторный завод НКМВ переименован в завод № 769 в ведении 2ГУ (Завод № 769 НКМВ, Экскаваторный завод НКМВ, Тюменский завод строительных машин, ООО «Завод «Строймаш» /625630  г. Тюмень ул. Индустриальная, 47/).</w:t>
      </w:r>
      <w:r w:rsidRPr="001E2C69">
        <w:rPr>
          <w:rFonts w:ascii="Times New Roman" w:hAnsi="Times New Roman"/>
          <w:color w:val="000000" w:themeColor="text1"/>
          <w:sz w:val="16"/>
          <w:szCs w:val="16"/>
          <w:vertAlign w:val="superscript"/>
        </w:rPr>
        <w:t>129</w:t>
      </w:r>
    </w:p>
    <w:p w14:paraId="140F7FD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годы войны завод выпускал военную продукцию, а также было построено 10 экскаваторов МК-1. После войны начат выпуск растворо- и бетоносмесителей.</w:t>
      </w:r>
    </w:p>
    <w:p w14:paraId="31A89AD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1992 г. предприятие преобразовано в АО.</w:t>
      </w:r>
    </w:p>
    <w:p w14:paraId="2C4949B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(2000-е): бетоносмесители; сельскохозяйственная техника (сенокосилки, сеноворошилки, стогометатели); ТНП (печи, микромельницы, лебедки).</w:t>
      </w:r>
    </w:p>
    <w:p w14:paraId="129D543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(2000-е): пенобетоно-смеситель ПБС-600; растворосмесительная установка СБ-176 (11982).</w:t>
      </w:r>
    </w:p>
    <w:p w14:paraId="38B3681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AD0C1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250с в соответствии с пост, правительства № 837-430сс от 3.06.1942 г. завод «Текмаш» Главтекстильмаша НКМВ переименован в завод № 743 (Завод № 743 НКМВ , Завод «Текмаш» НКМВ, Ивановский завод текстильного машиностроения «Ивтекмаш» ММиП / г. Иваново ул. Загородная, 28 «Ивтекмаш» (1948 г.)/) в ведении 1ГУ. В 1947-48 г. «Ивтекмаш» - в ведении Главтекстильлегмаша ММиП.</w:t>
      </w:r>
    </w:p>
    <w:p w14:paraId="6AB621C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завода цехи (1948 г.): основные: механические № 1, № 5, литейный, металлоконструкций, сборочный, заготовительный; вспомогательные: инструментальный, ремонтный, модельный, термический, транспортный.</w:t>
      </w:r>
    </w:p>
    <w:p w14:paraId="683BA5F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1960-е  г. - единственный в СССР завод по производству красильно-отделочных агрегатов для текстильной промышленности.</w:t>
      </w:r>
    </w:p>
    <w:p w14:paraId="5359DAA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 г.)- 506 ед., (1946 г.)- 621 ед., (1947 г.)- 615 ед.</w:t>
      </w:r>
    </w:p>
    <w:p w14:paraId="39270DA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производственная (1947 г.)- 15790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общая (1947 г.)- 25308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2A44256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 г.)- 2923 чел., (1946 г.)- 2261 чел., (1947 г.)- 2251 чел.</w:t>
      </w:r>
    </w:p>
    <w:p w14:paraId="135B907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 г.)- Димов, (1948 г.)- Линьков.</w:t>
      </w:r>
    </w:p>
    <w:p w14:paraId="3AC14FD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 г.)- Егоров.</w:t>
      </w:r>
    </w:p>
    <w:p w14:paraId="251FB5B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головки СБ-4 от </w:t>
      </w:r>
      <w:r w:rsidRPr="001E2C69">
        <w:rPr>
          <w:rFonts w:ascii="Times New Roman" w:hAnsi="Times New Roman"/>
          <w:color w:val="000000" w:themeColor="text1"/>
          <w:sz w:val="16"/>
          <w:szCs w:val="16"/>
          <w:lang w:val="en-US"/>
        </w:rPr>
        <w:t>PC</w:t>
      </w:r>
      <w:r w:rsidRPr="001E2C69">
        <w:rPr>
          <w:rFonts w:ascii="Times New Roman" w:hAnsi="Times New Roman"/>
          <w:color w:val="000000" w:themeColor="text1"/>
          <w:sz w:val="16"/>
          <w:szCs w:val="16"/>
        </w:rPr>
        <w:t xml:space="preserve"> М-30, 76-мм дистанционная граната, бомба ЗАБ-100 (1942); сушильно- барабанный агрегат, центрифуга Д-1200, финиш-декатир; машин: жгутомойная, сушильно-ширильная, шлихтовально-барабанная; каландры, красильный аппарат (1947) (11982).</w:t>
      </w:r>
    </w:p>
    <w:p w14:paraId="4C8A9DB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D27CA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250с в соответствии с пост, правительства № 837-430сс от 3.06.1942 г. завод «Пензтекстильмаш» НКМВ переименован в завод № 744 в ведении 1ГУ.</w:t>
      </w:r>
      <w:r w:rsidRPr="001E2C69">
        <w:rPr>
          <w:rFonts w:ascii="Times New Roman" w:hAnsi="Times New Roman"/>
          <w:color w:val="000000" w:themeColor="text1"/>
          <w:sz w:val="16"/>
          <w:szCs w:val="16"/>
          <w:vertAlign w:val="superscript"/>
        </w:rPr>
        <w:t>129</w:t>
      </w:r>
      <w:r w:rsidRPr="001E2C69">
        <w:rPr>
          <w:rFonts w:ascii="Times New Roman" w:hAnsi="Times New Roman"/>
          <w:color w:val="000000" w:themeColor="text1"/>
          <w:sz w:val="16"/>
          <w:szCs w:val="16"/>
        </w:rPr>
        <w:t xml:space="preserve"> По 1945 г. имел наименование завод № 744 (Завод № 744 НКМВ, Пензенский завод текстильного машиностроения («Пензтекстильмаш», «Пензтекмаш») НКМВ, ММиП, АООТ, ОАО «Пензтекстильмаш» /г. Пенза ул. Каракозовская, 33 «Пензтекстильмаш» (1948 г.)/ /440061  г. Пенза ул. Каракозова, 33/).</w:t>
      </w:r>
    </w:p>
    <w:p w14:paraId="3206065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 г. завод «Пензтекстильмаш» - в ведении Главтекстильлегмаша ММиП.</w:t>
      </w:r>
    </w:p>
    <w:p w14:paraId="2C2D028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завода (1947 г.) цехи: основные: заготовительный, литейный, рифленых цилиндров, механосборочный, механический, малярно-упаковочный; вспомогательные: инструментальный, ремонтно- механический, электроцех, ремонтно-строительный, теплосиловой, транспортный.</w:t>
      </w:r>
    </w:p>
    <w:p w14:paraId="55C5E7B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начале 1945 г. завод перешел на выпуск токарно-универсальных станков, в этом же году начато освоение текстильного машиностроения. В 1959 г. завод первым в </w:t>
      </w:r>
      <w:r w:rsidRPr="001E2C69">
        <w:rPr>
          <w:rFonts w:ascii="Times New Roman" w:hAnsi="Times New Roman"/>
          <w:color w:val="000000" w:themeColor="text1"/>
          <w:sz w:val="16"/>
          <w:szCs w:val="16"/>
        </w:rPr>
        <w:lastRenderedPageBreak/>
        <w:t>стране наладил выпуск ленточных машин для хлопка, штапельного и искусственного волокна. В 1980-е  г. разрабатывались машины собственной конструкции. Кроме того, в 1980-е  г. освоено производство оборудования для цветной металлургии и кабельной промышленности. В 1982 г. начата разработка гладильных прессов.</w:t>
      </w:r>
    </w:p>
    <w:p w14:paraId="2457B4B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1992 г. завод преобразован в АООТ «Пензтекстильмаш».</w:t>
      </w:r>
    </w:p>
    <w:p w14:paraId="53BDC59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(1946 г.)- 219 ед., (1947 г.)- 248 ед.</w:t>
      </w:r>
    </w:p>
    <w:p w14:paraId="3253547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 г.)- 4,8 га; застройки (1947 г.)- 8090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(1946 г.)- 4027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(1947 г.)- 4290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41DCC5D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(1946 г.)- 821 чел., (1947 г.)- 795 чел.</w:t>
      </w:r>
    </w:p>
    <w:p w14:paraId="4D9F2DD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(1941 г.-)- Н.А. Смелов, (06.1942 г.)- Н.Д. Павлов, (ВОВ)- П.Т. Стрельцов, Д.Д. Гридин, (1948 г.)- В.Н. Лавров, Ф.П. Борисов, Н.А. Ивашин, А.С. Сафронов, И.Ф. Болотин. Гендиректор (1995 г.)- И.П. Купцов.</w:t>
      </w:r>
    </w:p>
    <w:p w14:paraId="6EAF3FD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 г.)- Альтшулер.</w:t>
      </w:r>
    </w:p>
    <w:p w14:paraId="5430082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корпуса 37-мм снарядов, 50-мм мин (1942); станки: токарно-универсальный ТУ-4 (1945-47-); </w:t>
      </w:r>
      <w:r w:rsidRPr="001E2C69">
        <w:rPr>
          <w:rFonts w:ascii="Times New Roman" w:hAnsi="Times New Roman"/>
          <w:iCs/>
          <w:color w:val="000000" w:themeColor="text1"/>
          <w:sz w:val="16"/>
          <w:szCs w:val="16"/>
        </w:rPr>
        <w:t>машины:</w:t>
      </w:r>
      <w:r w:rsidRPr="001E2C69">
        <w:rPr>
          <w:rFonts w:ascii="Times New Roman" w:hAnsi="Times New Roman"/>
          <w:color w:val="000000" w:themeColor="text1"/>
          <w:sz w:val="16"/>
          <w:szCs w:val="16"/>
        </w:rPr>
        <w:t xml:space="preserve"> ленточные: ЛН-4-4 (1946-47-), ЛВС (1947), по переработке химволокон РС-220-ИС, ЛР-230-ИС (1964-), скоростные Л2-50 (1978), ЛАТ-50, ЛАВ-50, ЛВА-1 (1980-е); гребнечесальная ГД-12 (1950-), для чесания короткого льняного волокна ГК-185-Л, лентосоединительные СЛС (1947), РС-2-260П, холстовытяжные ХВ (1947), ХОМ-80 (1972); гладильные прессы ПСП, НПП (1980-е); изолировочные машины ОГ-8, ОГ-12 (1980-е); тестоокруглительная машина </w:t>
      </w:r>
      <w:r w:rsidRPr="001E2C69">
        <w:rPr>
          <w:rFonts w:ascii="Times New Roman" w:hAnsi="Times New Roman"/>
          <w:color w:val="000000" w:themeColor="text1"/>
          <w:sz w:val="16"/>
          <w:szCs w:val="16"/>
          <w:lang w:val="en-US"/>
        </w:rPr>
        <w:t>Tl</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XTH</w:t>
      </w:r>
      <w:r w:rsidRPr="001E2C69">
        <w:rPr>
          <w:rFonts w:ascii="Times New Roman" w:hAnsi="Times New Roman"/>
          <w:color w:val="000000" w:themeColor="text1"/>
          <w:sz w:val="16"/>
          <w:szCs w:val="16"/>
        </w:rPr>
        <w:t xml:space="preserve"> (1984-); вальцовые мельницы «Фермер-1», «Фермер-2» (1994-).</w:t>
      </w:r>
    </w:p>
    <w:p w14:paraId="51B6525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Орловский завод текстильного машиностроения, Орловский машиностроительный завод «Текмаш» ММиП, ОАО «Орелтекмаш» /г. Орел ул. Московская, 155 «Текмаш» (1948 г.)/</w:t>
      </w:r>
    </w:p>
    <w:p w14:paraId="5A81524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соответствии с пост. ЭКОСО при СНК № 684-142сс от 23.09.1938 г. по пр. НКОП № 395сс от 8.10.1938 г. на завод с завода № 7 ЗГУ с 01.1939 г. передано производство текстильных машин (пеньковые: ленточные, гильспининги; льняные: ленточные, банкаброши; рифленые цилиндры; хлопчатобумажные банкаброши).</w:t>
      </w:r>
    </w:p>
    <w:p w14:paraId="2E3D7D7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1941 г. после начала войны Орловский завод текстильного машиностроения эвакуирован: основная часть - в Пензу, где 27.12.1941 г. создан завод № 744 НКМВ; другая часть - на площадку Кузнецкого завода текстильного машиностроения, где был создан завод № 748 НКМВ.</w:t>
      </w:r>
    </w:p>
    <w:p w14:paraId="0803807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5.08.1944 г. вышло распоряжение ГКО № 6316 об установке на заводе «Текмаш» в Орле дизельагрегатов и их пуске в 1944 г. В 1947 г. завод «Текмаш» - в ведении Главтекстильлегмаша ММиП. В 1960-е  г. - производство автоматических линий и машин для легкой и пищевой промышленности.</w:t>
      </w:r>
    </w:p>
    <w:p w14:paraId="0963681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завода (1947 г.) цехи: основные: литейный, заготовительный, механический, сборочный, массовых деталей; вспомогательные: инструментальный, термический, модельный, котельно-компрессорная, ремонтно- механический, кислородная станция, электроцех, экспериментальный, ремонтно-строительный.</w:t>
      </w:r>
    </w:p>
    <w:p w14:paraId="459BEEB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0A212E6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 г.)- 825 ед., (1946 г.)- 407 ед., (1947 г.)- 524 ед.</w:t>
      </w:r>
    </w:p>
    <w:p w14:paraId="35FE1C6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 г.)- 18 га; застройки (1947 г.)- 35413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 г.)- 39963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(1946 г.)- 8127 м , (1947 г.)- 11782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7094865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 г.)- 4039 чел., (1946 г.)-1187 чел., (1947 г.)- 1341 чел.</w:t>
      </w:r>
    </w:p>
    <w:p w14:paraId="0CF2992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(1948 г.)- Иванов.</w:t>
      </w:r>
    </w:p>
    <w:p w14:paraId="51EAA6E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 г.)- Усиков.</w:t>
      </w:r>
    </w:p>
    <w:p w14:paraId="321243D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машины: банкаброш оческов ОБ, ленточная оческов ЛОС, ленточная пеньковая ЛПС, куделеприг КММ, трясилка ТГ, трепальная ОТ; пресс для волокна РП, веретена УБВ, рогульки УБР, полотна гребенок ПГ, финишер пеньковый ФП-1 (1947).</w:t>
      </w:r>
      <w:r w:rsidRPr="001E2C69">
        <w:rPr>
          <w:rFonts w:ascii="Times New Roman" w:hAnsi="Times New Roman"/>
          <w:color w:val="000000" w:themeColor="text1"/>
          <w:sz w:val="16"/>
          <w:szCs w:val="16"/>
          <w:vertAlign w:val="superscript"/>
        </w:rPr>
        <w:t>129</w:t>
      </w:r>
    </w:p>
    <w:p w14:paraId="01C23B7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Орловский машиностроительный завод им. М. Г. Медведева ММиП /г. Орел ул. Московская, 69 «Завод Медведева» (1948 г.)/</w:t>
      </w:r>
    </w:p>
    <w:p w14:paraId="1371322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Основан в 1867 г. Вначале велось производство аппаратов для розлива минеральной воды. Затем - плугов и гирь.</w:t>
      </w:r>
    </w:p>
    <w:p w14:paraId="789EEDA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1919 г. присвоено имя М. Г. Медведева.</w:t>
      </w:r>
    </w:p>
    <w:p w14:paraId="040FC91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соответствии с пост. ЭКОСО при СНК № 684-142сс от 23.09.1938 г. по пр. НКОП № 395сс от 8.10.1938 г. на завод с завода № 7 ЗГУ с 01.1939 г. передано производство банкаброшных рогулек (для текстильной промышленности).</w:t>
      </w:r>
    </w:p>
    <w:p w14:paraId="6CA2D58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 г. завод - в ведении Главтекстильлегмаша ММиП.</w:t>
      </w:r>
    </w:p>
    <w:p w14:paraId="3DE6187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завода цехи (1947 г.) цехи: основные: механический, ламельный; вспомогательные: дизельный, котельная.</w:t>
      </w:r>
    </w:p>
    <w:p w14:paraId="3F44B20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 г.)- 827 ед., (1946 г.)- 28 ед., (1947 г.)- 93 ед.</w:t>
      </w:r>
    </w:p>
    <w:p w14:paraId="496F27A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 г.)- 18,2 га; производственная (1939 г.)- 18626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(1946 г.)- 1009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(1947 г.)- 1073 м2.</w:t>
      </w:r>
    </w:p>
    <w:p w14:paraId="48516C2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 г.)- 2296 чел., (1946 г.)- 72 чел., (1947 г.)- 225 чел.</w:t>
      </w:r>
    </w:p>
    <w:p w14:paraId="76AF651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(1948 г.)- Тимохин.</w:t>
      </w:r>
    </w:p>
    <w:p w14:paraId="41C526E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 г.)- Бич.</w:t>
      </w:r>
    </w:p>
    <w:p w14:paraId="43722AC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прибор ламельный ПМД-46; станки: ткацкие </w:t>
      </w:r>
      <w:r w:rsidRPr="001E2C69">
        <w:rPr>
          <w:rFonts w:ascii="Times New Roman" w:hAnsi="Times New Roman"/>
          <w:color w:val="000000" w:themeColor="text1"/>
          <w:sz w:val="16"/>
          <w:szCs w:val="16"/>
          <w:lang w:val="en-US"/>
        </w:rPr>
        <w:t>ATK</w:t>
      </w:r>
      <w:r w:rsidRP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lang w:val="en-US"/>
        </w:rPr>
        <w:t>JTA</w:t>
      </w:r>
      <w:r w:rsidRPr="001E2C69">
        <w:rPr>
          <w:rFonts w:ascii="Times New Roman" w:hAnsi="Times New Roman"/>
          <w:color w:val="000000" w:themeColor="text1"/>
          <w:sz w:val="16"/>
          <w:szCs w:val="16"/>
        </w:rPr>
        <w:t>, АМХ-5, 1ТСА, 2ТСА, ЗТСА, ЛШ; уточно-перемоточный (1947) (11982).</w:t>
      </w:r>
    </w:p>
    <w:p w14:paraId="0DE023B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C6A38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250с в соответствии с пост. СНК № 837-430сс от 3.06.1942 г. завод «Текмаш» Главтекстильмаша НКМВ переименован в завод № 745 в ведении ЗГУ (Завод № 745 им. М.В. Фрунзе НКМВ, Завод «Текмаш» НКМВ, Машиностроительный завод им. М.В. Фрунзе ММиП, Шуйский машиностроительный завод им. М.В. Фрунзе, ОАО «Шуйский машиностроительный завод им. М.В. Фрунзе», Шуйская машиностроительная компания /155600  г. Шуя Ивановской обл. ул. 1-я Нагорная, 16 «Завод Фрунзе»/).</w:t>
      </w:r>
    </w:p>
    <w:p w14:paraId="617D5F6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Пост. ГКО № 1962сс от 4.07.1942 г. и приказом НКМВ № 237сс от 7.07.1942 г. заводу установлен план выпуска на 3-й квартал 1942 г. 120-мм минометов - 340 шт.</w:t>
      </w:r>
    </w:p>
    <w:p w14:paraId="21C1733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 г. Шуйский завод им. Фрунзе - в ведении Главтекстильлегмаша ММиП. В 1960-е  г. - Шуйский машиностроительный завод им. Фрунзе.</w:t>
      </w:r>
    </w:p>
    <w:p w14:paraId="156EEB4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завода (1947 г.) цехи: основные: литейный, механический, сборочный, модельный, кузнечный, нормалей; вспомогательные: инструментальный, ремонтно механический, ремонтно-строительный.</w:t>
      </w:r>
    </w:p>
    <w:p w14:paraId="5B45409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ткацких станков (1960-е  г.).</w:t>
      </w:r>
    </w:p>
    <w:p w14:paraId="0ACB980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 г.)- 181 ед., (1946 г.)- 268 ед., (1947 г.)- 310 ед.</w:t>
      </w:r>
    </w:p>
    <w:p w14:paraId="3F932C3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 г.)- 8,94 га; застройки (1947 г.)- 11532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 г.)- 6795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(1946 г.)- 4138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(1947 г.)- 4302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0C14094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 г.)- 1303 чел., (1946 г.)-1108 чел., (1947 г.)- 1071 чел.</w:t>
      </w:r>
    </w:p>
    <w:p w14:paraId="77B3E33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 г.)- Линьков, (1948 г.)- Леонов.</w:t>
      </w:r>
    </w:p>
    <w:p w14:paraId="4B1FD42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 г.)- Гарин.</w:t>
      </w:r>
    </w:p>
    <w:p w14:paraId="1F1B821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120-мм минометы; корпуса 45-мм снарядов (1942); станки: ткацкие ЭТП-66, СЛ-1; многоручный Р; машины: сновальная С, браковочно-мерильная БМК; тростильная Т; токарный станок СТ (1947) (11982).</w:t>
      </w:r>
    </w:p>
    <w:p w14:paraId="7D5B5C1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E9AC9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250с в соответствии с пост. СНК № 837-430сс от 3.06.1942 г. завод «Леншвеймаш» НКМВ переименован в завод № 754 в ведении ЗГУ (Завод № 754 НКМВ, Ленинградский завод швейных машин «Леншвеймаш» НКМВ /г. Ленинград/) (11982).</w:t>
      </w:r>
    </w:p>
    <w:p w14:paraId="038FC20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143D5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250с в соответствии с пост, правительства № 837-430сс от 3.06.1942 г. Пресненский механический завод НКМВ переименован в завод № 755 в ведении 1ГУ (Завод № 755 НКМВ, Пресненский механический завод НКМВ, Пресненский машиностроительный завод НКМВ, ММиП, ОАО «Пресненский машиностроительный завод» /г. Москва 2-я Звенигородская ул., 7 «Самовес» (1947 г.)/ / г. Москва 2-я Звенигородская ул., 13 тел. 256-31-65/).</w:t>
      </w:r>
    </w:p>
    <w:p w14:paraId="4C8243E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 г. Пресненский машиностроительный завод - в ведении Главтекстильлегмаша ММиП.</w:t>
      </w:r>
    </w:p>
    <w:p w14:paraId="3C73636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завода (1947 г.) цехи: основные: 1-й и 2-й механические, станкостроительный, литейный, сборочный, штамповочный, кузнечно-заготовительный, нормалей; вспомогательные: цеха ОГМ, строительный, модельный, инструментальный, центральная котельная.</w:t>
      </w:r>
    </w:p>
    <w:p w14:paraId="31B8937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Был в 1975 г. Производство оборудования для текстильной промышленности (2000 г.).</w:t>
      </w:r>
    </w:p>
    <w:p w14:paraId="10FE5FE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 г.)- 362 ед., (1946 г.)- 490 ед., (1947 г.)- 630 ед.</w:t>
      </w:r>
    </w:p>
    <w:p w14:paraId="09B0E2D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 г.)- 4,4 га; застройки (1947 г.)- 13737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 г.)- 14255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(1946 г.)- 10455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(1947 г.)- 11567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61FA994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 г.)- 1582 чел., (1946 г.)- 1398 чел., (1947 г.)- 1416 чел. Директор (06.1942 г.)- Демин, (1948 г.)- Гусев. Гендиректор (-2000-03 г.-)- А.А. Громадчук. Гл. инженер (1948 г.)- Володенко.</w:t>
      </w:r>
    </w:p>
    <w:p w14:paraId="65D851A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корпуса 82-мм мин (1942); машины текстильные: однопрочесная Ш-110, двухпрочесная РШ- 221, трехпрочесная РШ-311, кардокамвольная КФ-211, щипальная ЩЗ-4; станок шлифовальный ПКШ (1947) (11982).</w:t>
      </w:r>
    </w:p>
    <w:p w14:paraId="36C23BD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7F0A8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250с в соответствии с пост. СНК № 837-430сс от 3.06.1942 г. завод «Вперед» НКМВ переименован в завод № 756 в ведении ЗГУ (Завод № 756 НКМВ, Механический завод «Роберт Круг» АО механических заводов, Государственный механический завод № 1, Государственный механический завод «Вперед», Государственный завод теплообменных аппаратов, Государственный завод «Вперед» ВСНХ, Государственный машиностроительный завод «Вперед» ВСНХ, НКТП, ММиП, Завод «Вперед» НКМВ / г. Санкт-Петербург,  г. Петроград,  г. Ленинград наб. р. Смоленки, 19-21 «Вперед» (1948 г.)/).</w:t>
      </w:r>
      <w:r w:rsidRPr="001E2C69">
        <w:rPr>
          <w:rFonts w:ascii="Times New Roman" w:hAnsi="Times New Roman"/>
          <w:color w:val="000000" w:themeColor="text1"/>
          <w:sz w:val="16"/>
          <w:szCs w:val="16"/>
          <w:vertAlign w:val="superscript"/>
        </w:rPr>
        <w:t>129</w:t>
      </w:r>
      <w:r w:rsidRPr="001E2C69">
        <w:rPr>
          <w:rFonts w:ascii="Times New Roman" w:hAnsi="Times New Roman"/>
          <w:color w:val="000000" w:themeColor="text1"/>
          <w:sz w:val="16"/>
          <w:szCs w:val="16"/>
        </w:rPr>
        <w:t xml:space="preserve"> Производство боеприпасов.</w:t>
      </w:r>
      <w:r w:rsidRPr="001E2C69">
        <w:rPr>
          <w:rFonts w:ascii="Times New Roman" w:hAnsi="Times New Roman"/>
          <w:color w:val="000000" w:themeColor="text1"/>
          <w:sz w:val="16"/>
          <w:szCs w:val="16"/>
          <w:vertAlign w:val="superscript"/>
        </w:rPr>
        <w:t>65</w:t>
      </w:r>
    </w:p>
    <w:p w14:paraId="28C3282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1946 г. завод № 756 вновь переименован в Государственный машиностроительный завод «Вперед» в ведении Главтекстильлегмаша ММиП. Затем действовал в </w:t>
      </w:r>
      <w:r w:rsidRPr="001E2C69">
        <w:rPr>
          <w:rFonts w:ascii="Times New Roman" w:hAnsi="Times New Roman"/>
          <w:color w:val="000000" w:themeColor="text1"/>
          <w:sz w:val="16"/>
          <w:szCs w:val="16"/>
        </w:rPr>
        <w:lastRenderedPageBreak/>
        <w:t>ведении ММ (1956-57 г.), с 06.1957 г. - в ведении Управления машиностроения ЛенСНХ. В соответствии с пост. ЛенСНХ от 14.09.1962 г. завод вошел в состав Ленинградского объединения им. Карла Маркса по производству машин для легкой промышленности.</w:t>
      </w:r>
    </w:p>
    <w:p w14:paraId="61E7E42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завода (1947 г.) цехи: основные: литейный, кузнечно-штамповый, механический № 2, механосборочный, термическая; вспомогательные: ремонтный, инструментальный. Количество оборудования: (1939 г.)-186 ед., (1946 г.)- 227 ед., (1947 г.)- 367 ед.</w:t>
      </w:r>
    </w:p>
    <w:p w14:paraId="1828049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 г.)- 2,97 га; застройки (1947 г.)- 7957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 г.)- 5189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(1946 г.)- 5509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(1947 г.)- 5878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52458BB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 г.)- 516 чел., (1946 г.)- 642 чел., (1947 г.)- 697 чел. Директор (1948 г.)- Михайлов. Гл. инженер (1948 г.)- Антоник.</w:t>
      </w:r>
    </w:p>
    <w:p w14:paraId="510EE54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опреснители и испарители воды для броненосцев «Иоанн Златоуст» и «Евстафий» (1904), для канонерских лодок (1905), теплообменные аппараты для крейсеров (1914);</w:t>
      </w:r>
      <w:r w:rsidRPr="001E2C69">
        <w:rPr>
          <w:rFonts w:ascii="Times New Roman" w:hAnsi="Times New Roman"/>
          <w:color w:val="000000" w:themeColor="text1"/>
          <w:sz w:val="16"/>
          <w:szCs w:val="16"/>
          <w:vertAlign w:val="superscript"/>
        </w:rPr>
        <w:t>Ш,П4</w:t>
      </w:r>
      <w:r w:rsidRPr="001E2C69">
        <w:rPr>
          <w:rFonts w:ascii="Times New Roman" w:hAnsi="Times New Roman"/>
          <w:color w:val="000000" w:themeColor="text1"/>
          <w:sz w:val="16"/>
          <w:szCs w:val="16"/>
        </w:rPr>
        <w:t xml:space="preserve"> прессы: «Идеал» ВПБ, НВП «Революция», машины для обувного производства: НДВ, ПКГ, ООВ, ОКА, ОПБ, ПФЕ; электротельфер ЭТ-1 (1947) (11982).</w:t>
      </w:r>
    </w:p>
    <w:p w14:paraId="437E5B7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879E1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1E2C69">
        <w:rPr>
          <w:rFonts w:ascii="Times New Roman" w:hAnsi="Times New Roman"/>
          <w:color w:val="000000" w:themeColor="text1"/>
          <w:sz w:val="16"/>
          <w:szCs w:val="16"/>
        </w:rPr>
        <w:t>7 июля 1942 г. приказом НКМВ № 250с завод № 760 передан в ведение ЗГУ (Завод № 760 НКМВ, Областной завод дорожного машиностроения («Облдормаш», «Дормашзавод»), Минометный завод НКМВ, Уральский компрессорный завод (УКЗ) ММиП, ОАО «УКЗ» /г. Свердловск, 7 «Уралкомпрессор» (1948 г.)/ /620007  г. Екатеринбург ул. Эстонская, 6/).</w:t>
      </w:r>
      <w:r w:rsidRPr="001E2C69">
        <w:rPr>
          <w:rFonts w:ascii="Times New Roman" w:hAnsi="Times New Roman"/>
          <w:color w:val="000000" w:themeColor="text1"/>
          <w:sz w:val="16"/>
          <w:szCs w:val="16"/>
          <w:vertAlign w:val="superscript"/>
        </w:rPr>
        <w:t>129</w:t>
      </w:r>
    </w:p>
    <w:p w14:paraId="2AC8216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1941 г. после начала войны на площадку завода эвакуированы Смоленский завод «Дормаш» и Воронежский завод им. Коминтерна (затем восстановлен в Воронеже как завод № 723). На базе трех заводов в начале 1942 г. образован единый Минометный завод НКМВ. В 06.1942 г. завод № 760 - в ведении Главстройдревмаша НКМВ.</w:t>
      </w:r>
    </w:p>
    <w:p w14:paraId="5AB773B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Налажен выпуск реактивных минометов «Катюша». Приказом НКМВ № 201сс от 7.06.1942 г. заводу поручено организовать производство ХАБ-100 с выпуском в 06.1942 г. 1000 шт; приказом НКМВ № 232с от 1.07.1942 г. заводу поручено организовать выпуск электродов для производства химбоеприпасов. Пост. ГКО № 1962сс от 4.07.1942 г. и приказом НКМВ № 237сс от 7.07.1942 г. заводу установлен план выпуска на 3-й квартал 1942 г. 82- мм минометов- 2900 шт.</w:t>
      </w:r>
    </w:p>
    <w:p w14:paraId="4ADE3B5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1944 г. наряду с выпуском минометов начато освоение производства аэродромных компрессорных станций для заправки боевых самолетов сжатым воздухом. В 1945 г. начат их серийный выпуск, и завод стал специализироваться на данной продукции.</w:t>
      </w:r>
    </w:p>
    <w:p w14:paraId="4A987ED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02.1946 г. пост. СНК завод переименован в Уральский компрессорный, в 1947-53 г. завод - в ведении Главхиммаша ММиП.</w:t>
      </w:r>
    </w:p>
    <w:p w14:paraId="57468A9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завода (1947 г.) цехи: основные: механо-сборочный № 1, механический № 2, котельно-прессовый № 3, литейный № 5; вспомогательные: инструментальный № 4, ремонтно-механический № 6, электроцех № 8, ремонтно-строительный № 9, транспортный № 10. Кроме того, (1953 г.): основные: сборочный № 7, механический №13, деревообрабатывающий № 9, термический № 22.</w:t>
      </w:r>
    </w:p>
    <w:p w14:paraId="4840B60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1956 г. выпускались передвижные авиационные компрессорные станции сжатого воздуха, кислорода, углекислого газа. Затем проведено техническое перевооружение производства, построены новые цехи. Освоен выпуск компрессоров для энергетики, химической и нефтегазовой промышленности. В 1956 г. выпущены первые компрессоры для воздушных высоковольтных выключателей в составе распределительных устройств электростанций. К 1970-м  г. их построено около 3000.</w:t>
      </w:r>
    </w:p>
    <w:p w14:paraId="7594E4B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начала 1990-х  г. освоено производство компрессорных станций и азотных компрессорных комплексов для нефтяных скважин, газонаполнительных станций.</w:t>
      </w:r>
    </w:p>
    <w:p w14:paraId="6C17321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1993 г. предприятие было акционировано и преобразовано в АО. Продолжен выпуск компрессоров для авиационной и РКТ. С 2004 г. на базе УКЗ налажен выпуск криогенного оборудования под маркой «Уралкриотехника».</w:t>
      </w:r>
    </w:p>
    <w:p w14:paraId="50E8C47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 г.)- 81 ед., (1946 г.)- 460 ед., (1947 г.)- 464 ед., (1953 г.)- 449 ед.</w:t>
      </w:r>
    </w:p>
    <w:p w14:paraId="0CC5E0A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 г.)- 7,9 га, (1953 г.)- 15,29 га; застройки (1947 г.)- 11436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(1953 г.)- 41888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 г.)- 2692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(1946 г.)- 10639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(1947 г.)- 11206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(1953 г.)- 14646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1E48FF5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 г.)- 423 чел., (1946 г.)- 969 чел., (1947 г.)- 937 чел., (1953 г.)- 1495 чел.</w:t>
      </w:r>
    </w:p>
    <w:p w14:paraId="7178E38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 г.)- Салтанов, (1948 г.)- Суворов.</w:t>
      </w:r>
    </w:p>
    <w:p w14:paraId="45BCB47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 г.)- Ахмечет.</w:t>
      </w:r>
    </w:p>
    <w:p w14:paraId="7364029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82-мм минометы; стабилизаторы для </w:t>
      </w:r>
      <w:r w:rsidRPr="001E2C69">
        <w:rPr>
          <w:rFonts w:ascii="Times New Roman" w:hAnsi="Times New Roman"/>
          <w:color w:val="000000" w:themeColor="text1"/>
          <w:sz w:val="16"/>
          <w:szCs w:val="16"/>
          <w:lang w:val="en-US"/>
        </w:rPr>
        <w:t>PC</w:t>
      </w:r>
      <w:r w:rsidRPr="001E2C69">
        <w:rPr>
          <w:rFonts w:ascii="Times New Roman" w:hAnsi="Times New Roman"/>
          <w:color w:val="000000" w:themeColor="text1"/>
          <w:sz w:val="16"/>
          <w:szCs w:val="16"/>
        </w:rPr>
        <w:t xml:space="preserve"> М-30, авиабомбы ЗАБ-50 (1942); аэродромно- компрессорная станция АКС-2 (-1947-53-), -80 (1953), автомобильная кислородно-зарядная станция АКЗС-40, компрессорная станция СМ-14 (1953); вакуум-фильтр ФДШ; шахтный регулятор давления ШРД (1947) (11982).</w:t>
      </w:r>
    </w:p>
    <w:p w14:paraId="5EC407A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p>
    <w:p w14:paraId="2166D03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250с в соответствии с пост. СНК № 837-430сс от 3.06.1942 г. Механический завод НКМВ переименован в завод № 716 в ведении 2ГУ (Завод № 716 НКМВ, Дмитровский чугунолитейный завод, Дмитровский экскаваторный завод, Механический завод НКМВ, ФГУП «Дмитровский экскаваторный завод» /141800  г. Дмитров Московской обл. ул. Пушкинская, 1/).</w:t>
      </w:r>
    </w:p>
    <w:p w14:paraId="004E7E1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1946 г. Дмитровский завод был единственным действующим заводом по выпуску траншейных экскаваторов, им в этот год было выпущено два экскаватора. В 1956 г. изготовлено 439 экскаваторов. *</w:t>
      </w:r>
    </w:p>
    <w:p w14:paraId="5E47DCF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 экскаваторы</w:t>
      </w:r>
      <w:r w:rsidRPr="001E2C69">
        <w:rPr>
          <w:rFonts w:ascii="Times New Roman" w:hAnsi="Times New Roman"/>
          <w:color w:val="000000" w:themeColor="text1"/>
          <w:sz w:val="16"/>
          <w:szCs w:val="16"/>
        </w:rPr>
        <w:t>: многоковшовый МК-1 (1934-), канавокопатели МК-1М (1947-), ЭТ-351 (-1951), ЭТН-352 (1951-55); роторные КГ-65 (1940-е-54), ЭТР-152 (1954-56), БТМ на базе артиллерийского тягача «409У» (1957-70-е); цепной ЭТ-251 (1940-е-55); универсальный траншейный ЭТУ-353 (1956-) 911982).</w:t>
      </w:r>
    </w:p>
    <w:p w14:paraId="05F5F5A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DE202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250с в соответствии с пост. СНК № 837-430сс от 3.06.1942 г. завод «Дормашин» НКМВ переименован в завод № 761 в ведении 2ГУ (Завод № 761 НКМВ, Завод «Дормашин» НКМВ, Курганский завод дорожных машин, ОАО «Курганский завод дорожных машин» /640000  г. Курган ул. Урицкого, 36/).</w:t>
      </w:r>
    </w:p>
    <w:p w14:paraId="2F841DC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1941 г. после начала войны в Курган был эвакуирован Кременчугский завод дорожных машин, и образован завод «Дормашин».</w:t>
      </w:r>
    </w:p>
    <w:p w14:paraId="7A77628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годы войны выпускал военную технику, минометы, детали орудий, снаряды, мины.</w:t>
      </w:r>
    </w:p>
    <w:p w14:paraId="510C1CA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окончания войны начат выпуск топливозаправщиков, сначала для армии, а затем и для народного хозяйства. Позднее освоен выпуск битумовозов, гудронаторов, машин для содержания автомобильных дорог, коммунальной техники.</w:t>
      </w:r>
    </w:p>
    <w:p w14:paraId="58B4084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Курганский завод дорожных машин был в 1960-е  г. (11982).</w:t>
      </w:r>
    </w:p>
    <w:p w14:paraId="0DAFB02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052F1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250с Завод № 762 НКМВ, Завод «Механик» НКМВ, ММиП, Тюменский станкостроительный завод (ТСЗ), ОАО «ТСЗ» /г. Тюмень ул. Механическая/ /625631  г. Тюмень ул. Станкостроителей, 1/ был передан в ведение 2ГУ, в 01.1946 г. - в ведении 7ГУ.</w:t>
      </w:r>
      <w:r w:rsidRPr="001E2C69">
        <w:rPr>
          <w:rFonts w:ascii="Times New Roman" w:hAnsi="Times New Roman"/>
          <w:color w:val="000000" w:themeColor="text1"/>
          <w:sz w:val="16"/>
          <w:szCs w:val="16"/>
          <w:vertAlign w:val="superscript"/>
        </w:rPr>
        <w:t>129</w:t>
      </w:r>
      <w:r w:rsidRPr="001E2C69">
        <w:rPr>
          <w:rFonts w:ascii="Times New Roman" w:hAnsi="Times New Roman"/>
          <w:color w:val="000000" w:themeColor="text1"/>
          <w:sz w:val="16"/>
          <w:szCs w:val="16"/>
        </w:rPr>
        <w:t xml:space="preserve"> В годы войны завод выпускал минометы, мины, корпуса артиллерийских снарядов. По приказу НКМВ № 203сс от 7.06.1942 г. на завод мобилизовано 100 рабочих.</w:t>
      </w:r>
    </w:p>
    <w:p w14:paraId="69EB7EC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XIX в. А. Заколяпиным была основана литейная мастерская, в 1899 г. она была куплена Н. Машаровым и преобразована в чугуно-литейный завод. В то же году начато строительство кирпичного здания, в котором разместились литейный и слесарно-механический цехи, гвоздильное отделение. Завод выпускал художественное, посудное и печное литье, гвозди. Затем освоен выпуск молотилок, веялок, маслобоек.</w:t>
      </w:r>
    </w:p>
    <w:p w14:paraId="0A6BB62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1925 г. на заводе изготовлена лесопильная рама «Болиндер». С 1929 г. налажен выпуск шпалорезных станков.</w:t>
      </w:r>
    </w:p>
    <w:p w14:paraId="61385E9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Далее - завод «Механик» НКМВ. В 06.1942 г. завод № 762 - в ведении Главстройдревмаша НКМВ.</w:t>
      </w:r>
    </w:p>
    <w:p w14:paraId="4A91D84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 г. завод - в ведении Главбумдревмаша ММиП (есть упоминание, что завод № 762 в 1947 г. действовал в Ташкенте).</w:t>
      </w:r>
    </w:p>
    <w:p w14:paraId="58237E6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(1946 г.): боеприпасы, шпалорезы, фуговки, лесорамы, токарные станки.</w:t>
      </w:r>
    </w:p>
    <w:p w14:paraId="64B40D8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1966 г. завод переименован в ТСЗ, а ул. Механическая переименована в ул. Станкостроителей.</w:t>
      </w:r>
    </w:p>
    <w:p w14:paraId="6A76E58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2005 г. завод перебазирован на новую площадку в районе дер. Будино.</w:t>
      </w:r>
    </w:p>
    <w:p w14:paraId="6E5059C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(1944 г.)- 1379 чел., (1945 г.)-1210 чел.</w:t>
      </w:r>
    </w:p>
    <w:p w14:paraId="1B925E6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 г.)- Родионов; и.о. (26.01.1946 г.)- В.В. Раковский; (1946 г.-)- А.Н. Ахлюстин (пр. № 600-к от 27.12.1945 г.).</w:t>
      </w:r>
    </w:p>
    <w:p w14:paraId="593B4C3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механик (1946 г.)- Коробейников.</w:t>
      </w:r>
    </w:p>
    <w:p w14:paraId="52E87EF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отделов: снабжения (1946 г.)- Архипов; сбыта (1946 г.)- Алипов, Ямпольский; ОКС (1946 г.)- Юркин; ППО (1946 г.)- Сюзев; технического (1946 г.)- Святненко; ОТиЗ (1946 г.)- Козковский; ОТК (1946 г.)- Прижепюрко; Спецотдела (1946 г.)- Курмильцев; АХО (1946 г.)- Шульга; ОК (1946 г.)- Калабина.</w:t>
      </w:r>
    </w:p>
    <w:p w14:paraId="3C5B125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корпуса мин 82-мм, 120-мм, 122-мм снаряды (1942) (11982).</w:t>
      </w:r>
    </w:p>
    <w:p w14:paraId="0CDC245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6B246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250с завод № 763 (Завод № 763 НКМВ, Вятские мастерские пожарных машин, Государственный чугунолитейный и механический завод № 1, Завод «Вятский металлист», Завод «Кировский металлист» НКМВ, ММиП, Кировский станкостроительный завод, АООТ, ОАО «Кировский станкостроительный завод» /610000  г. Киров ул. Московская, 32/) передан в ведение ЗГУ.</w:t>
      </w:r>
      <w:r w:rsidRPr="001E2C69">
        <w:rPr>
          <w:rFonts w:ascii="Times New Roman" w:hAnsi="Times New Roman"/>
          <w:color w:val="000000" w:themeColor="text1"/>
          <w:sz w:val="16"/>
          <w:szCs w:val="16"/>
          <w:vertAlign w:val="superscript"/>
        </w:rPr>
        <w:t>129</w:t>
      </w:r>
    </w:p>
    <w:p w14:paraId="4D60547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годы войны завод выпускал минометы и боеприпасы к ним. Пост. ГКО № 1962сс от 4.07.1942 г. и приказом НКМВ № 237сс от 7.07.1942 г. заводу установлен план выпуска на 3-й квартал 1942 г. 50-мм минометов- 1050 шт.</w:t>
      </w:r>
    </w:p>
    <w:p w14:paraId="03962DE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1918 г. были национализированы и преобразованы в Государственный чугунолитейный и механический завод № 1 мастерские Вятского технического училища, в которых с 1874 было организовано изготовление пожарных машин и с 1880 г. в связи с реорганизацией училища они были преобразованы в самостоятельные Вятские мастерские пожарных машин. Кроме пожарных машин, был налажен выпуск молотилок и конных приводов.Выпускал небольшие бомбы, снаряды, гранаты, армейские </w:t>
      </w:r>
      <w:r w:rsidRPr="001E2C69">
        <w:rPr>
          <w:rFonts w:ascii="Times New Roman" w:hAnsi="Times New Roman"/>
          <w:color w:val="000000" w:themeColor="text1"/>
          <w:sz w:val="16"/>
          <w:szCs w:val="16"/>
        </w:rPr>
        <w:lastRenderedPageBreak/>
        <w:t>повозки, другое обозное имущество. В 1920-е  г., наряду с довоенной продукцией, освоено производство лесопильного оборудования. В 03.1927 г. в состав завода была влита фабрика «Метиз», и завод переименован в «Вятский металлист», с 1934 г. - «Кировский металлист».</w:t>
      </w:r>
    </w:p>
    <w:p w14:paraId="336CDA3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соответствии с пост. ГКО № 99сс от 11.07.1941 г. на площадку завода «Кировский металлист» подлежал эвакуации Завод им. Матвеева НКОМ из Ленинграда. В 06.1942 г. завод № 763 - в ведении Главстройдревмаша НКМВ</w:t>
      </w:r>
    </w:p>
    <w:p w14:paraId="71FCC9F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 г. завод «Кировский металлист» - в ведении Главбумдревмаша ММиП. В 1959 г. завод переименован в Кировский станкостроительный. Его специализацией стало заточное оборудование и оборудование по уходу за деревообрабатывающими станками. Являлся единственным в стране (1990-е) предприятием данного профиля.</w:t>
      </w:r>
    </w:p>
    <w:p w14:paraId="09DC31D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1992 г. завод преобразован в АООТ.</w:t>
      </w:r>
    </w:p>
    <w:p w14:paraId="5F6FDDC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И.О. директора (06.1942 г.)- Раховский. Гендиректор (2003 г.)- П. Торонченко.</w:t>
      </w:r>
    </w:p>
    <w:p w14:paraId="619C776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50-мм минометы; 50-мм мины (1942) (11982).</w:t>
      </w:r>
    </w:p>
    <w:p w14:paraId="4A9EAA2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F16E6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250с завод в соответствии с пост. СНК № 837-430сс от 3.06.1942 г. «Красный металлист» НКМВ переименован в завод № 764 в ведении 2ГУ (Завод № 764 НКМВ, Чугуно-меднолитейный завод А. Руднева и А. Шмидта, Завод «Красный металлист» НКМВ, ММиП, ЗАО «Красный металлист» /г. Ворошиловск,  г. Ставрополь/ /355000  г. Ставрополь пр. К. Маркса, 2/). В 1943 г. реэвакуировано оборудование завода из Тюмени.</w:t>
      </w:r>
    </w:p>
    <w:p w14:paraId="202665E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1922 г. Чугунно-меднолитейный завод А. Руднева и А. Шмидта, основанный в 1902 г., был переименован в «Красный металлист».</w:t>
      </w:r>
    </w:p>
    <w:p w14:paraId="7C1F1C2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1932 г. налажен выпуск деревообрабатывающих станков. С 1941 г. перешел на выпуск военной продукции.</w:t>
      </w:r>
    </w:p>
    <w:p w14:paraId="50875BC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1942 г. завод эвакуирован в Тюмень, затем восстановлен в Ворошиловскеи от </w:t>
      </w:r>
    </w:p>
    <w:p w14:paraId="73D8E53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1945 г. возобновлен выпуск деревообрабатывающих станков.</w:t>
      </w:r>
    </w:p>
    <w:p w14:paraId="62DF505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 г. - завод «Красный металлист» - в ведении Главбумдревмаша ММиП, был в 1967 г.</w:t>
      </w:r>
    </w:p>
    <w:p w14:paraId="2C1A0B2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деревообрабатывающих станков (1967 г.).</w:t>
      </w:r>
    </w:p>
    <w:p w14:paraId="7E29853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2009 г. на предприятии действовало внешнее управление.</w:t>
      </w:r>
    </w:p>
    <w:p w14:paraId="19E890D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 г.)- Клюев. Внешний управляющий (6.04.2009 г.-)- Ю.Ф. Калакутин.</w:t>
      </w:r>
    </w:p>
    <w:p w14:paraId="0A090CF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корпуса 82-мм мин (1942) (11982).</w:t>
      </w:r>
    </w:p>
    <w:p w14:paraId="1843A53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270DD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1942г. в соответствии с пост. СНК № 837-430сс от 3.06.1942г. приказом НКМВ № 250с 4-й часовой завод НКМВ переименован в завод № 834 в ведении 5ГУ (Завод № 834 НКМВ, Златоустовский часовой завод НКМВ, ММиП, 4-й часовой завод НКМВ, ОАО «Златоустовский часовой завод» /456200 г. Златоуст Челябинской обл. ул. Ленина, 2 п/я 62 «Баланс» (1948г.)/).</w:t>
      </w:r>
      <w:r w:rsidRPr="001E2C69">
        <w:rPr>
          <w:rFonts w:ascii="Times New Roman" w:hAnsi="Times New Roman"/>
          <w:color w:val="000000" w:themeColor="text1"/>
          <w:sz w:val="16"/>
          <w:szCs w:val="16"/>
          <w:vertAlign w:val="superscript"/>
        </w:rPr>
        <w:t>129</w:t>
      </w:r>
    </w:p>
    <w:p w14:paraId="534BEF6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годы войны выпущено более 300 тыс. приборов времени (92% танковых и 98% авиационных часов) и более 14 млн. деталей боеприпасов.</w:t>
      </w:r>
    </w:p>
    <w:p w14:paraId="232B9EF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1947-48г. Златоустовский часовой завод - в ведении Главчаспрома ММиП.</w:t>
      </w:r>
    </w:p>
    <w:p w14:paraId="5B7EB9E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цехи (1947г.): основные: механический № 1,2, гшатино-мостовой № 4, сборочный № 8, 9-й, корпусной № 5, термическое отделение; вспомогательные: ремонтно-механический № 7, инструментальный № 6, котельная, компрессорная.</w:t>
      </w:r>
    </w:p>
    <w:p w14:paraId="27ADDD8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войны завод переведен на выпуск гражданской продукции. В 1950-е г. освоен выпуск часов для слепых, курвиметров, карманных часов, автомобильных, реле времени для стиральных машин. В 1960-е г. налажен выпуск секундомеров суммирующего действия. В 1970-е г. начат выпуск таймера, был разработан и внедрен в производство один из первых в СССР электронный секундомер с цифровой индексацией; на его базе создан счетчик частоты дыхания и пульса. В 1980-е г. был разработан новый противоударный секундомер, 30-минутное реле времени. Затем освоен выпуск переключателя к электроплитам.</w:t>
      </w:r>
    </w:p>
    <w:p w14:paraId="541785D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(2000-е): секундомеры механические (единственный завод в России), часы, курвиметры, реле времени, переключатели мощности.</w:t>
      </w:r>
    </w:p>
    <w:p w14:paraId="25774D9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(1946г.)- 717 ед., (1947г.)- 517 ед.</w:t>
      </w:r>
    </w:p>
    <w:p w14:paraId="6CE99A8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(1947г.)-1,44 га; застройки (1947г.)- 4262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(1946-47г.)-</w:t>
      </w:r>
    </w:p>
    <w:p w14:paraId="58DA687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3238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4DE5757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(1946г.)- 1147 чел., (1947г.)- 1123 чел.</w:t>
      </w:r>
    </w:p>
    <w:p w14:paraId="76D83BD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(06-07.1942г.)- Бочаров, (1948г.)- Печенов.</w:t>
      </w:r>
    </w:p>
    <w:p w14:paraId="607C3FE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(1948г.)- Пушкин.</w:t>
      </w:r>
    </w:p>
    <w:p w14:paraId="19AC85E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 часы:</w:t>
      </w:r>
      <w:r w:rsidRPr="001E2C69">
        <w:rPr>
          <w:rFonts w:ascii="Times New Roman" w:hAnsi="Times New Roman"/>
          <w:color w:val="000000" w:themeColor="text1"/>
          <w:sz w:val="16"/>
          <w:szCs w:val="16"/>
        </w:rPr>
        <w:t xml:space="preserve"> авиационные АЧХО (ВОВ), АЧХ (1947); карманные К-43, молн. К-36, каминные, ТЧ (1947), настольные ЧБН-160 (] 980-е); секундомер </w:t>
      </w:r>
      <w:r w:rsidRPr="001E2C69">
        <w:rPr>
          <w:rFonts w:ascii="Times New Roman" w:hAnsi="Times New Roman"/>
          <w:color w:val="000000" w:themeColor="text1"/>
          <w:sz w:val="16"/>
          <w:szCs w:val="16"/>
          <w:lang w:val="en-US"/>
        </w:rPr>
        <w:t>CM</w:t>
      </w:r>
      <w:r w:rsidRPr="001E2C69">
        <w:rPr>
          <w:rFonts w:ascii="Times New Roman" w:hAnsi="Times New Roman"/>
          <w:color w:val="000000" w:themeColor="text1"/>
          <w:sz w:val="16"/>
          <w:szCs w:val="16"/>
        </w:rPr>
        <w:t xml:space="preserve"> (1947);</w:t>
      </w:r>
      <w:r w:rsidRPr="001E2C69">
        <w:rPr>
          <w:rFonts w:ascii="Times New Roman" w:hAnsi="Times New Roman"/>
          <w:color w:val="000000" w:themeColor="text1"/>
          <w:sz w:val="16"/>
          <w:szCs w:val="16"/>
          <w:vertAlign w:val="superscript"/>
        </w:rPr>
        <w:t>129</w:t>
      </w:r>
      <w:r w:rsidRPr="001E2C69">
        <w:rPr>
          <w:rFonts w:ascii="Times New Roman" w:hAnsi="Times New Roman"/>
          <w:color w:val="000000" w:themeColor="text1"/>
          <w:sz w:val="16"/>
          <w:szCs w:val="16"/>
        </w:rPr>
        <w:t xml:space="preserve"> счетчик частоты дыхания и пульса СДП-70 (1970- е); реле времени циклическое РВЦ (1980-е) (11982).</w:t>
      </w:r>
    </w:p>
    <w:p w14:paraId="0A9A4BA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554A3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1942г. в соответствии с пост. СНК № 837-430сс от 3.06.1942г. приказом НКМВ № 250с завод «Кислородных приборов» НКМВ переименован в завод № 856 в ведении 5ГУ (Завод № 856 НКМВ, Завод № 3 Треста техники безопасности, Завод «Кислородных приборов» НКМВ, Завод кислородных приборов «Респиратор» ММиП, АООТ «Респиратор», ОАО «Производственно-конструкторское предприятие (ПКП) «Респиратор», А-3439 /г. Орехово-Зуево «Респиратор» (1948г.)/ /142602 г. Орехово-Зуево Московской обл., ул. Гагарина, 1 тел. 2-70-54/).</w:t>
      </w:r>
    </w:p>
    <w:p w14:paraId="4F0D062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Выпускал стабилизаторы для мин. Затем был освоен выпуск подрывных машинок, авиационных кислородных приборов, аэродромных кислородно-заправочных станций.</w:t>
      </w:r>
    </w:p>
    <w:p w14:paraId="41B3099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1947-48г. Завод кислородных приборов «Респиратор» - в ведении Главлаборприбора ММиП. Имел наименование А-3439 (1983г.).</w:t>
      </w:r>
    </w:p>
    <w:p w14:paraId="0C84FCB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(1947г.) цехи: основные: гальванический, медницкий, автоматный, механический, станкостроительный, № 1, № 2, термостатный; вспомогательные: ремонтно-механический, экспериментальный, инструментальный, электроцех.</w:t>
      </w:r>
    </w:p>
    <w:p w14:paraId="64DFDE2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Указу Президента РФ № 1009 от 4.08.2004г. вошло в число стратегических оборонных предприятий.</w:t>
      </w:r>
    </w:p>
    <w:p w14:paraId="7B5A910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Производство авиационного бортового кислородного оборудования. Поставщик агрегатов кислородной системы для создаваемого регионального самолета </w:t>
      </w:r>
      <w:r w:rsidRPr="001E2C69">
        <w:rPr>
          <w:rFonts w:ascii="Times New Roman" w:hAnsi="Times New Roman"/>
          <w:color w:val="000000" w:themeColor="text1"/>
          <w:sz w:val="16"/>
          <w:szCs w:val="16"/>
          <w:lang w:val="en-US"/>
        </w:rPr>
        <w:t>RRJ</w:t>
      </w:r>
      <w:r w:rsidRPr="001E2C69">
        <w:rPr>
          <w:rFonts w:ascii="Times New Roman" w:hAnsi="Times New Roman"/>
          <w:color w:val="000000" w:themeColor="text1"/>
          <w:sz w:val="16"/>
          <w:szCs w:val="16"/>
        </w:rPr>
        <w:t xml:space="preserve"> (2003г.).</w:t>
      </w:r>
    </w:p>
    <w:p w14:paraId="5C7A93F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(1939г.)- 321 ед., (1946г.)- 498 ед., (1947г.)- 514 ед.</w:t>
      </w:r>
    </w:p>
    <w:p w14:paraId="658BE75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(1947г.)- 3,14 га; застройки (1947г.)- 11632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(1939г.)- 6432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(1946г.)- 11630 м, (1947г.)- 11696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4335CDD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(1932г.)- 65 чел., (1937г.)- 585 чел., (1939г.)- 1437 чел., (1946г.)- 1503 чел., (1947г.)- 1525 чел.</w:t>
      </w:r>
    </w:p>
    <w:p w14:paraId="0225980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(07.1942г.)- Попов, (1948г.)- Жуков.</w:t>
      </w:r>
    </w:p>
    <w:p w14:paraId="77461AD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(1948г.)- Адамов.</w:t>
      </w:r>
    </w:p>
    <w:p w14:paraId="57814D5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 кислородные приборы:</w:t>
      </w:r>
      <w:r w:rsidRPr="001E2C69">
        <w:rPr>
          <w:rFonts w:ascii="Times New Roman" w:hAnsi="Times New Roman"/>
          <w:color w:val="000000" w:themeColor="text1"/>
          <w:sz w:val="16"/>
          <w:szCs w:val="16"/>
        </w:rPr>
        <w:t xml:space="preserve"> авиационный КПА-Збис (ВОВ), ИПА-3, КП-14, -16, -17, парашютный КП-15 (1947); индивидуальный спасательный аппарат ИСАМ-48 (1947); маска КМ-35; кислородно-изолирующий противогаз КИП-5 (-1942-47-); кислородные насосы КН-2, КН-3 (1942), антифризное оборудование А-45, кислородный вентиль КВБ-46 (1947); машинка подрывная ПМ-1, ПМ-2 (ВОВ); лабораторная мельница ШМ, установка для взбалтывания УВВ, лабораторная мешалка М-1, ручная центрифуга ЦР-2, КИП-5, термостат ТР-1 (1947).</w:t>
      </w:r>
      <w:r w:rsidRPr="001E2C69">
        <w:rPr>
          <w:rFonts w:ascii="Times New Roman" w:hAnsi="Times New Roman"/>
          <w:color w:val="000000" w:themeColor="text1"/>
          <w:sz w:val="16"/>
          <w:szCs w:val="16"/>
          <w:vertAlign w:val="superscript"/>
        </w:rPr>
        <w:t>129</w:t>
      </w:r>
    </w:p>
    <w:p w14:paraId="168167F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Орехово-Зуевское КБ кислородного оборудования, ОАО «КАМПО» /142602 г. Орехово-Зуево Московской обл. ул. Гагарина, 1 тел. 12-60-37/</w:t>
      </w:r>
    </w:p>
    <w:p w14:paraId="7D7E224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Создано в 1953г. для проведения НИОКР в области систем жизнеобеспечения.</w:t>
      </w:r>
    </w:p>
    <w:p w14:paraId="6AF5FCC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Разработаны: первый советский акваланг АВМ-1; образцы кислородно-дыхательной аппаратуры для всех типов самолетов, для индивидуальных систем жизнеобеспечения (в т.ч. для выхода в открытый космос); профессиональная водолазная дыхательная аппаратура, снаряжение для ВМФ; аварийно-спасательная и пожарная дыхательная аппаратура.</w:t>
      </w:r>
    </w:p>
    <w:p w14:paraId="79EFF37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1993г. Орехово-Зуевское КБ кислородного оборудования преобразовано в ОАО «КАМПО». По решению правительства № 22-р от 9.01.2004г. вошло в перечень стратегических предприятий. В 2005г. входило в состав НПЦ «Технокомплекс».</w:t>
      </w:r>
    </w:p>
    <w:p w14:paraId="055B7EC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Гендиректор (2005г.)- А.Ю. Кулик.</w:t>
      </w:r>
    </w:p>
    <w:p w14:paraId="221BB02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Создано:</w:t>
      </w:r>
      <w:r w:rsidRPr="001E2C69">
        <w:rPr>
          <w:rFonts w:ascii="Times New Roman" w:hAnsi="Times New Roman"/>
          <w:color w:val="000000" w:themeColor="text1"/>
          <w:sz w:val="16"/>
          <w:szCs w:val="16"/>
        </w:rPr>
        <w:t xml:space="preserve"> акваланг АВМ-1; изолирующий противогаз для пожарных КИП-8, аппараты пожарного АП-93К, АП-96М; воздушно-дыхательные аппараты: АП «Север» для ВМФ, АП-2000 (2000-е); снаряжение: глубоководное водолазное СВГ-200, СЖВ-1; спасательное для экипажей ПЛ ССП; кислородная станция КИС-2; авиационная дыхательная аппаратура КП-52М, КП-98, КДА-15, АПД-1; контрольная установка КУ-9В, комплекс испытательного оборудования КИО-1 (2000-е); медицинский кислородный ингалятор КИ-5 (11982).</w:t>
      </w:r>
      <w:r w:rsidRPr="001E2C69">
        <w:rPr>
          <w:rFonts w:ascii="Times New Roman" w:hAnsi="Times New Roman"/>
          <w:color w:val="000000" w:themeColor="text1"/>
          <w:sz w:val="16"/>
          <w:szCs w:val="16"/>
          <w:vertAlign w:val="superscript"/>
        </w:rPr>
        <w:t>101</w:t>
      </w:r>
    </w:p>
    <w:p w14:paraId="1B4268F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C0C10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1942г. в соответствии с пост. СНК № 837-430сс от 3.06.1942г. приказом НКМВ № 250с завод «Геологоразведка» НКМВ переименован в завод № 854 в ведении 5ГУ (Завод № 854 НКМВ, Завод «Геологоразведка» НКОМ, НКМВ, Мингео, НПО «Рудгеофизика» /г. Ленинград ул. Гоголя, 11 (1947г.)/ /193019 г. Санкт-Петербург ул. Книпович, 11/).</w:t>
      </w:r>
      <w:r w:rsidRPr="001E2C69">
        <w:rPr>
          <w:rFonts w:ascii="Times New Roman" w:hAnsi="Times New Roman"/>
          <w:color w:val="000000" w:themeColor="text1"/>
          <w:sz w:val="16"/>
          <w:szCs w:val="16"/>
          <w:vertAlign w:val="superscript"/>
        </w:rPr>
        <w:t>129</w:t>
      </w:r>
    </w:p>
    <w:p w14:paraId="46BA6E2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1947г. завод «Мингео» - в ведении Мингео.</w:t>
      </w:r>
    </w:p>
    <w:p w14:paraId="7920BFF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НПО «Рудгеофизика» принимало участие в разработке аэромагнитометров для поиска АПЛ (11982).</w:t>
      </w:r>
    </w:p>
    <w:p w14:paraId="7871FD0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044D9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7 июля 1942 г. в соответствии с пост. СНК № 837-430сс от 3.06.1942 г. приказом НКМВ № 250с завод «Дормашин» НКМВ переименован в завод № 765 в ведении 2ГУ (Завод № 765 НКМВ, Рыбинский ремонтный завод № 2, Завод «Дормашин» НКМВ, Рыбинский завод дорожных машин, ЗАО «Раскат» /152900  г. Рыбинск Ярославской обл. ул. Труда, 2/).</w:t>
      </w:r>
    </w:p>
    <w:p w14:paraId="6822145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годы войны - производство корпусов мин и авиабомб, в т.ч. химических. Приказом НКМВ № 232с от 1.07.1942 г. заводу поручено организовать выпуск электродов для производства химбоеприпасов.</w:t>
      </w:r>
    </w:p>
    <w:p w14:paraId="7E73300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Рыбинский завод дорожных машин был в 1960-е  г. В 1992 г. завод преобразован в ЗАО «Раскат».</w:t>
      </w:r>
    </w:p>
    <w:p w14:paraId="2407A33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 г.)- Дворядкин.</w:t>
      </w:r>
    </w:p>
    <w:p w14:paraId="540D40E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 дорожные катки:</w:t>
      </w:r>
      <w:r w:rsidRPr="001E2C69">
        <w:rPr>
          <w:rFonts w:ascii="Times New Roman" w:hAnsi="Times New Roman"/>
          <w:color w:val="000000" w:themeColor="text1"/>
          <w:sz w:val="16"/>
          <w:szCs w:val="16"/>
        </w:rPr>
        <w:t xml:space="preserve"> МКК (1931-), МК-3, МК-5 (1930-е), Д-83 (1945-), Д-211, ДУ-48Б (1980-), ДУ-52, ДУ-58, ДУ-63; виброкатки: ДМ-85 (1957-), Д-480 (1967); снегоочиститель Д-45 (1945-); химическая авиабомба ХАБ-200, мина 120-мм (1942) (11982).</w:t>
      </w:r>
    </w:p>
    <w:p w14:paraId="1B7EF80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FD8A1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в соответствии с пост. СНК № 837-430сс от 3.06.1942 г. приказом НКМВ № 250с завод «Строймеханизмов» НКМВ переименован в завод № 766 в ведении 2ГУ (Завод № 766 НКМВ, Завод «Строймеханизмов» НКМВ, ООО «Сибстроймаш» /г. Тюмень Омской обл./ /625059  г. Тюмень ул. Тимофея Чаркова, 6/).</w:t>
      </w:r>
    </w:p>
    <w:p w14:paraId="49A78FF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 г.)- Лейзерович.</w:t>
      </w:r>
    </w:p>
    <w:p w14:paraId="3C4BABA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мина 50-мм (11982).</w:t>
      </w:r>
    </w:p>
    <w:p w14:paraId="3E05489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BD91C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250с завод № 768 (Завод № 768 НКМВ, Завод деревообделочных станков (ЗДС) НКМВ, ММиП /г. Москва/) передан в ведение ЗГУ.</w:t>
      </w:r>
    </w:p>
    <w:p w14:paraId="628F6F5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в соответствие с Пост. ГКО № 1962сс от 4.07.1942 г. приказом НКМВ № 237сс заводу установлен план выпуска на 3-й квартал 1942 г. 50-мм минометов- 300 шт.</w:t>
      </w:r>
      <w:r w:rsidRPr="001E2C69">
        <w:rPr>
          <w:rFonts w:ascii="Times New Roman" w:hAnsi="Times New Roman"/>
          <w:color w:val="000000" w:themeColor="text1"/>
          <w:sz w:val="16"/>
          <w:szCs w:val="16"/>
          <w:vertAlign w:val="superscript"/>
        </w:rPr>
        <w:t>129</w:t>
      </w:r>
    </w:p>
    <w:p w14:paraId="33AF3ED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 г. ЗДС - в ведении Главбумдревмаша ММиП.</w:t>
      </w:r>
    </w:p>
    <w:p w14:paraId="650A769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 г.)- Дудин.</w:t>
      </w:r>
    </w:p>
    <w:p w14:paraId="5D74CA2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50-мм минометы; 122-мм снаряды (1942) (11982).</w:t>
      </w:r>
    </w:p>
    <w:p w14:paraId="647B728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E5D91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250с в соответствии с пост. СНК № 837-430сс от 3.06.1942 г. завод «Трикотажных машин» НКМВ переименован в завод № 738 в ведении ЗГУ (Завод № 738 НКБ, НКМВ, Завод «Трикотажных машин» («Трикмаш») НКМВ /г. Москваи/).</w:t>
      </w:r>
    </w:p>
    <w:p w14:paraId="02C65A1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 время ВОВ создано ОТБ по внедрению термообработки ТВЧ на заводах НКБ.</w:t>
      </w:r>
    </w:p>
    <w:p w14:paraId="0E7A0AD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НКМВ от 25.11.1942 г. при заводе № 738 создано СКБ.</w:t>
      </w:r>
    </w:p>
    <w:p w14:paraId="7AFE39E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 г.)- Дружинин.</w:t>
      </w:r>
    </w:p>
    <w:p w14:paraId="05FFA64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Руководитель ОТБ (ВОВ)- Б.Н. Орлов.</w:t>
      </w:r>
    </w:p>
    <w:p w14:paraId="3B9A284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детали для ППШ, для </w:t>
      </w:r>
      <w:r w:rsidRPr="001E2C69">
        <w:rPr>
          <w:rFonts w:ascii="Times New Roman" w:hAnsi="Times New Roman"/>
          <w:color w:val="000000" w:themeColor="text1"/>
          <w:sz w:val="16"/>
          <w:szCs w:val="16"/>
          <w:lang w:val="en-US"/>
        </w:rPr>
        <w:t>PC</w:t>
      </w:r>
      <w:r w:rsidRPr="001E2C69">
        <w:rPr>
          <w:rFonts w:ascii="Times New Roman" w:hAnsi="Times New Roman"/>
          <w:color w:val="000000" w:themeColor="text1"/>
          <w:sz w:val="16"/>
          <w:szCs w:val="16"/>
        </w:rPr>
        <w:t xml:space="preserve"> М-13 (1942).</w:t>
      </w:r>
    </w:p>
    <w:p w14:paraId="2408717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СКБ завода № 738 НКМВ, СКБ-3 НКМВ, НИИ-3 НКМВ, НИИ полиграфического машиностроения (НИИПолиграфмаш) ММиП, ММ, Мннлегпищемаша, Всесоюзный НИИ оборудования для печатных изданий, картонной и бумажной тары (ВНИИОПИТ) Минлегпищемаша, ВНИИПолиграфмаш, ЗАО «НИИ полиграфического машиностроения» («НИИПолиграфмаш») /117420  г. Москва ул. Профсоюзная, 57 тел. 334-20-88/</w:t>
      </w:r>
    </w:p>
    <w:p w14:paraId="72F54F6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СКБ завода № 738 создано по приказу НКМВ от 25.11.1942 г. Решением СНК от 2.08.1943 г. оно выделено из состава завода и преобразовано в самостоятельное СКБ-3 НКМВ. По приказу НКМВ от 26.05.1945 г. СКБ-3 реорганизовано в НИИ-3 НКМВ. В 1946 г. НИИ-3 переименован в НИИполиграфмаш ММиП, в ведении которого находился в 1946-53 г. и в 1954-56г (в 1947 г. - в ведении Главполиграфмаша ММиП). В 1953-54 г. и в 1956-57 г. - в ведении ММ. В 1957 г. передан в ведение Госплана РСФСР, а в 1958 г. - в ведение МосгорСНХ. В 1959-63 г. - в ведении ГК по автоматизации и машиностроению, в 1963-65 г. - ГК по печати. С 1965 г. передан в подчинение Минлегпищемаша. По приказу Минлегпищемаша от 15.07.1968 г. институт реорганизован во ВНИИОПИТ, а по приказу от 22.09.1977 г. переименован во ВНИИполиграфмаш.</w:t>
      </w:r>
    </w:p>
    <w:p w14:paraId="47F4CBB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Имел филиалы: Ленинградский, Рыбинский (Щербаковский).</w:t>
      </w:r>
    </w:p>
    <w:p w14:paraId="1538BB8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Работы: проектирование нового и модернизация действующего оборудования для полиграфической промышленности и предприятий по производству картонной и бумажной тары.</w:t>
      </w:r>
    </w:p>
    <w:p w14:paraId="3C7FB1F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Гендиректор (1999 г.)- </w:t>
      </w:r>
      <w:r w:rsidRPr="001E2C69">
        <w:rPr>
          <w:rFonts w:ascii="Times New Roman" w:hAnsi="Times New Roman"/>
          <w:color w:val="000000" w:themeColor="text1"/>
          <w:sz w:val="16"/>
          <w:szCs w:val="16"/>
          <w:lang w:val="en-US"/>
        </w:rPr>
        <w:t>B</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C</w:t>
      </w:r>
      <w:r w:rsidRPr="001E2C69">
        <w:rPr>
          <w:rFonts w:ascii="Times New Roman" w:hAnsi="Times New Roman"/>
          <w:color w:val="000000" w:themeColor="text1"/>
          <w:sz w:val="16"/>
          <w:szCs w:val="16"/>
        </w:rPr>
        <w:t>. Присяжный (11982).</w:t>
      </w:r>
    </w:p>
    <w:p w14:paraId="09DA3A5A" w14:textId="77777777" w:rsidR="00B65961" w:rsidRPr="001E2C69" w:rsidRDefault="00B6596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FD535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250с в соответствии с пост. СНК № 837-430сс от 3.06.1942 г. экскаваторный завод НКМВ переименован в завод № 717 в ведении 2ГУ (Завод № 717 НКМВ, Экскаваторный завод НКМВ /г. Ростов-на-Дону/).</w:t>
      </w:r>
    </w:p>
    <w:p w14:paraId="7872A60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им. Ворошилова /г. Ростов-на-Дону/</w:t>
      </w:r>
    </w:p>
    <w:p w14:paraId="6158B66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начала войны оборудование завода эвакуировано в Баку, где на его базе создан Экскаваторный завод (11982).</w:t>
      </w:r>
    </w:p>
    <w:p w14:paraId="2359A50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1D6FD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1942г. завод САМ НКМВ в соответствии с пост. СНК № 837-430сс от 3.06.1942г. приказом НКМВ № 250с 1-й Государственный завод счетно-аналитических машин (САМ) переименован в завод № 828 в ведении ЗГУ (Завод № 828 НКМВ, Завод «Бюро точной механики», 1-й Государственный завод счетно-аналитических машин (САМ) НКМВ, Ордена Отечественной Войны 1-й степени Московский завод счетных и пишущих машин (СПМ, «Счетпишмаш») ММиП, Московский завод САМ им. В.Д. Калмыкова ММиП, ОАО «Московский завод САМ им. В.Д. Калмыкова» /г. Москва, 5 ул. Н. Красносельская, 33-35 «Табулятор» (1948г.)/ /105066 (107066) г. Москва ул. Н. Красносельская, 35 тел. 264-38-83/).</w:t>
      </w:r>
      <w:r w:rsidRPr="001E2C69">
        <w:rPr>
          <w:rFonts w:ascii="Times New Roman" w:hAnsi="Times New Roman"/>
          <w:color w:val="000000" w:themeColor="text1"/>
          <w:sz w:val="16"/>
          <w:szCs w:val="16"/>
          <w:vertAlign w:val="superscript"/>
        </w:rPr>
        <w:t>129</w:t>
      </w:r>
    </w:p>
    <w:p w14:paraId="2159351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соответствии с пост. ГКО № 1963сс от 4.07.1942г. и приказом НКМВ № 238сс от 7.07.1942г. заводу определен план на 3-й квартал по выпуску ППЩ- 50 тыс. шт., магазинов к ППШ- 60 тыс. шт.</w:t>
      </w:r>
    </w:p>
    <w:p w14:paraId="7656C25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1947-48г. завод «Счетпишмаш» - в ведении Главполиграфмаша ММиП. В начале 1950-х г. - в ведении ММиП. В 1963г. получило название Московский завод САМ, в 1974г. присвоено имя В.Д. Калмыкова.</w:t>
      </w:r>
    </w:p>
    <w:p w14:paraId="79698D2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(1947г.) цехи: основные: арифмометров № 2, пишущих машин № 3, гальванический № 4, прессовый № 5, автоматно-револьверный № 6, табуляторный № 7, термический № 8, лакопокрытий № 15, заготовительный № 16; вспомогательные: инструментальный №11, ремонтно-механический № 12, строительный № 13, электроцех № 14, котельная № 20.</w:t>
      </w:r>
    </w:p>
    <w:p w14:paraId="615897A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соответствии с пост. СМ СССР № 4663-1829 от 17.12.1948г. при 1-м Государственном заводе САМ создано СКБ-245.</w:t>
      </w:r>
    </w:p>
    <w:p w14:paraId="1EC00D4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войны возобновлен выпуск счетно-перфорационной техники. В 1952г. начата организация производства ЭВМ. Принимал участие в создании ЭВМ «Стрела» (вместе с НИИ «Счетмаш» и СКБ-245). В 1972г. выпущен головной экземпляр ЭВМ ЕС-1050. С 1975г. начат выпуск многопроцессорных вычислительных комплексов (МВК) серии «Эльбрус».</w:t>
      </w:r>
    </w:p>
    <w:p w14:paraId="48CA74E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1994г. проведено техническое переоснащение завода при участии немецкой фирмы "</w:t>
      </w:r>
      <w:r w:rsidRPr="001E2C69">
        <w:rPr>
          <w:rFonts w:ascii="Times New Roman" w:hAnsi="Times New Roman"/>
          <w:color w:val="000000" w:themeColor="text1"/>
          <w:sz w:val="16"/>
          <w:szCs w:val="16"/>
          <w:lang w:val="en-US"/>
        </w:rPr>
        <w:t>SiemensNixdorf</w:t>
      </w:r>
      <w:r w:rsidRPr="001E2C69">
        <w:rPr>
          <w:rFonts w:ascii="Times New Roman" w:hAnsi="Times New Roman"/>
          <w:color w:val="000000" w:themeColor="text1"/>
          <w:sz w:val="16"/>
          <w:szCs w:val="16"/>
        </w:rPr>
        <w:t>". Созданы новые участки входного контроля, монтажа печатных плат, изготовления сетчатых рам и шаблонов для трафаретной печати, производства шкафов, кабелей, покрытия порошковыми полимерными материалами.</w:t>
      </w:r>
      <w:r w:rsidRPr="001E2C69">
        <w:rPr>
          <w:rFonts w:ascii="Times New Roman" w:hAnsi="Times New Roman"/>
          <w:color w:val="000000" w:themeColor="text1"/>
          <w:sz w:val="16"/>
          <w:szCs w:val="16"/>
          <w:vertAlign w:val="superscript"/>
        </w:rPr>
        <w:t>101</w:t>
      </w:r>
    </w:p>
    <w:p w14:paraId="19F36B0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1994г. завод преобразован в ОАО. По решению правительства № 22-р от 9.01.2004г. вошло в число стратегических предприятий. В 2007г. планировалось вхождение предприятия в холдинг «Электронные системы» ОПК «Оборонпром».</w:t>
      </w:r>
    </w:p>
    <w:p w14:paraId="2A5EC73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(1939г.)- 772 ед., (1946г.)- 1205 ед., (1947г.)- 1364 ед.</w:t>
      </w:r>
    </w:p>
    <w:p w14:paraId="110D354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(1947г.)- 3,61 га; застройки (1947г.)- 36134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(1939г.)- 5654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(1946-47г.)-9614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42C1329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(1939г.)- 1341 чел., (1946г.)- 1922 чел., (1947г.)- 1939 чел.</w:t>
      </w:r>
    </w:p>
    <w:p w14:paraId="08BEB03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Руководитель (1923г.-)- В.А. Томский. Директор (06-07.1942г.)- Незимов, (1948г.)- М.А. Лесечко. Гендиректор (2000г.)- В.Н. Воронов, (2004г.)- М. Шурыгин.</w:t>
      </w:r>
    </w:p>
    <w:p w14:paraId="167BBE6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(1948г.)- Карелин.</w:t>
      </w:r>
      <w:r w:rsidRPr="001E2C69">
        <w:rPr>
          <w:rFonts w:ascii="Times New Roman" w:hAnsi="Times New Roman"/>
          <w:color w:val="000000" w:themeColor="text1"/>
          <w:sz w:val="16"/>
          <w:szCs w:val="16"/>
          <w:vertAlign w:val="superscript"/>
        </w:rPr>
        <w:t>129</w:t>
      </w:r>
    </w:p>
    <w:p w14:paraId="2444F9C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арифмометры «Союз» (1926-), «Феликс» (1939-); десятиклавишная счетная машина ДСМ (1933-), табуляторы Т-1 (1933-47-), -2, -4 (1947), Т-5М; арифмометр «Феликс», счетно-печатающая машина ДСМ (1947); часовые станки С-38, -49, -51, -62, -67, -79, -97, -99 (1947); перфораторы, контрольники, сортировки; пистолет-пулеметы ППП1-41 (1941-42-), ППС (1943-)- всего более 1 млн.; детали для тракторов и с/х машин (ВОВ); полуавтоматическое устройство ввода данных (ПУВД) для ЭВМ (1950-е);</w:t>
      </w:r>
      <w:r w:rsidRPr="001E2C69">
        <w:rPr>
          <w:rFonts w:ascii="Times New Roman" w:hAnsi="Times New Roman"/>
          <w:color w:val="000000" w:themeColor="text1"/>
          <w:sz w:val="16"/>
          <w:szCs w:val="16"/>
          <w:vertAlign w:val="superscript"/>
        </w:rPr>
        <w:t>77</w:t>
      </w:r>
      <w:r w:rsidRPr="001E2C69">
        <w:rPr>
          <w:rFonts w:ascii="Times New Roman" w:hAnsi="Times New Roman"/>
          <w:iCs/>
          <w:color w:val="000000" w:themeColor="text1"/>
          <w:sz w:val="16"/>
          <w:szCs w:val="16"/>
        </w:rPr>
        <w:t xml:space="preserve"> ЭВМ:</w:t>
      </w:r>
      <w:r w:rsidRPr="001E2C69">
        <w:rPr>
          <w:rFonts w:ascii="Times New Roman" w:hAnsi="Times New Roman"/>
          <w:color w:val="000000" w:themeColor="text1"/>
          <w:sz w:val="16"/>
          <w:szCs w:val="16"/>
        </w:rPr>
        <w:t xml:space="preserve"> аналоговые «Стрела» (1950-е)- 7, М-20 (1957-61), «Урал-14» (1964-), БЭСМ-6 (1967-83); ВК АС-6, МВК «Эльбрус-1» (1975-), суперЭВМ «Эльбрус-3-1» (1990-е)- 4, «Эльбрус-90микро» для МО (2000-е, совместно с ЗАО МЦСТ); накопители на сменных магнитных дисках (НСМД), пакеты магнитных дисков (ПМД) (1972-85-); специальная вычислительная система СВС-1 (1980-); модульный конвейрный процессор МКГ1 (1989-); пишущие машинки «Москва» (1947); «Лель РЦ» (11982).</w:t>
      </w:r>
    </w:p>
    <w:p w14:paraId="052FC24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3DF0D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1942г. в соответствии с пост. СНК № 837-430сс от 3.06.1942г. и приказом НКМВ № 250с Завод кассовых аппаратов НКМВ переименован в завод № 829 в ведении ЗГУ (Завод № 829 НКМВ, 1-й Государственный завод кассовых аппаратов НКОМ, Завод кассовых аппаратов НКМВ, Завод «Электроаппарат» ММиП, Московский Государственный опытный завод по ремонту вычислительной техники, ОАО «Московский Государственный опытный завод» («МГОС») /г. Москва, 5 ул. Ольховская, 27 Уровень» (1948г.)/ /115088 г. Москва 2-й Южнопортовый пр., 12В тел. 354-41-74/). После 1943г. завод переименован в «Электроаппарат».</w:t>
      </w:r>
    </w:p>
    <w:p w14:paraId="274D656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 xml:space="preserve">Пост. ГКО № 1962сс от 4.07.1942г. и приказом НКМВ № 237сс от 7.07.1942г. заводу установлен план выпуска на 3-й квартал 1942г. угломеры-квадранты к 82-мм минометам - 800 шт. С 1943г. начато освоение выпуска электропусковой аппаратуры. </w:t>
      </w:r>
      <w:r w:rsidRPr="001E2C69">
        <w:rPr>
          <w:rFonts w:ascii="Times New Roman" w:hAnsi="Times New Roman"/>
          <w:color w:val="000000" w:themeColor="text1"/>
          <w:sz w:val="16"/>
          <w:szCs w:val="16"/>
          <w:vertAlign w:val="superscript"/>
        </w:rPr>
        <w:t>29</w:t>
      </w:r>
    </w:p>
    <w:p w14:paraId="5F37556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1947-48г. завод «Электроаппарат» - в ведении Главлаборприбора ММиП. Устав завода утвержден приказом ММиП № 161у от 3.06.1948г.</w:t>
      </w:r>
    </w:p>
    <w:p w14:paraId="68D4A42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(1947г.) цехи: основные: прессовый № 1, гальваническое и малярное отделения, механический № 2, сборочный № 3; вспомогательные: ремонтный № 6 со столярным отделением, № 5 с термическим отделением. Имелся (1948г.) 3-этажный главный корпус (надстройка на два этажа проведена в1936- 38г.). В 10.1948г. завод реконструирован, на его площадке размещен НИИлаборприбор с небольшим опытным производством.</w:t>
      </w:r>
    </w:p>
    <w:p w14:paraId="40AAC53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1989г. МГОЗ по ремонту ВТ входил в Московское ПО вычислительной техники и информатики.</w:t>
      </w:r>
    </w:p>
    <w:p w14:paraId="725D70C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ОАО «МГОС» было в 2004г.</w:t>
      </w:r>
    </w:p>
    <w:p w14:paraId="05BD58C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(1939г.)- 124 ед., (1946г.)- 160 ед., (1947г.)- 172 ед.</w:t>
      </w:r>
    </w:p>
    <w:p w14:paraId="4C04220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(1947г.)- 0,23 га; застройки (1947г.)- 1202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(1939г.)- 1294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(1946- 47г.)- 1882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5599A4C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(1939г.)- 430 чел., (1946г.)- 443 чел., (1947г.)- 421 чел.</w:t>
      </w:r>
    </w:p>
    <w:p w14:paraId="02526DE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(1948г.)- Березин, (1989г.)- С.Г. Гасанов.</w:t>
      </w:r>
    </w:p>
    <w:p w14:paraId="2F4E54E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(1948г.)- Видгоф.</w:t>
      </w:r>
    </w:p>
    <w:p w14:paraId="6B1C585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кассовые аппараты (1939-08.1941); детали для ППШ, угломеры-квадранты к 82-мм минометам (1942); электропусковая аппаратура: магнитный пускатель КУ-22, реле: тепловое РТ, промежуточное РП-1, РД-1 (1947), датчик времени ТЛ-1 (1943-10.1948) (11982).</w:t>
      </w:r>
      <w:r w:rsidRPr="001E2C69">
        <w:rPr>
          <w:rFonts w:ascii="Times New Roman" w:hAnsi="Times New Roman"/>
          <w:color w:val="000000" w:themeColor="text1"/>
          <w:sz w:val="16"/>
          <w:szCs w:val="16"/>
          <w:vertAlign w:val="superscript"/>
        </w:rPr>
        <w:t>129</w:t>
      </w:r>
    </w:p>
    <w:p w14:paraId="39770A4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D32B6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в соответствии с пост. СНК № 837-430сс от 3.06.1942г. приказом НКМВ № 250с Экспериментальный завод НКМВ переименован в завод № 830 в ведении ЗГУ (Завод № 830 НКМВ, Экспериментальный завод НКМВ, Московский экспериментальный завод полиграфического машиностроения ММиП /г. Москва Калужский пер., 4 «Матрица» (1948г.)/).</w:t>
      </w:r>
    </w:p>
    <w:p w14:paraId="0E35CD5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1947-48г. завод - в ведении Главполиграфмаша ММиП.</w:t>
      </w:r>
    </w:p>
    <w:p w14:paraId="4112524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(1947г.) цехи: основные: матричный, экспериментальный, заготовительный; вспомогательные: ремонтный, котельная, кузница.</w:t>
      </w:r>
    </w:p>
    <w:p w14:paraId="76EC1E7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(1939г.)- 145 ед., (1946г.)-195 ед., (1947г.)- 184 ед.</w:t>
      </w:r>
    </w:p>
    <w:p w14:paraId="5B5910B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(1947г.)- 0,66 га; застройки (1947г.)- 3462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(1939г.)- 2754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(1946г.)- 2682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(1947г.)- 2592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02E449A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(1939г.)- 744 чел., (1946г.)- 352 чел, (1947г.)- 347 чел.</w:t>
      </w:r>
    </w:p>
    <w:p w14:paraId="0AEB46F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(06.1942г.)- Дубровин, (1948г.)- Дутиков.</w:t>
      </w:r>
    </w:p>
    <w:p w14:paraId="7F0E58C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(1948г.)- Селезнев.</w:t>
      </w:r>
    </w:p>
    <w:p w14:paraId="646FF1F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запал УЗРГ (1942); мотально-оплеточная машина; матрицы линотипные, монотипные; спецстанки; литье чугунное (1947) (11982).</w:t>
      </w:r>
      <w:r w:rsidRPr="001E2C69">
        <w:rPr>
          <w:rFonts w:ascii="Times New Roman" w:hAnsi="Times New Roman"/>
          <w:color w:val="000000" w:themeColor="text1"/>
          <w:sz w:val="16"/>
          <w:szCs w:val="16"/>
          <w:vertAlign w:val="superscript"/>
        </w:rPr>
        <w:t>129</w:t>
      </w:r>
    </w:p>
    <w:p w14:paraId="35A195A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F5E44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в соответствии с пост. СНК № 837-430сс от 3.06.1942 г. и приказом НКМВ № 250с завод «Красная Пресня» НКМВ переименован в завод № 798 в ведении ЗГУ.</w:t>
      </w:r>
      <w:r w:rsidRPr="001E2C69">
        <w:rPr>
          <w:rFonts w:ascii="Times New Roman" w:hAnsi="Times New Roman"/>
          <w:color w:val="000000" w:themeColor="text1"/>
          <w:sz w:val="16"/>
          <w:szCs w:val="16"/>
          <w:vertAlign w:val="superscript"/>
        </w:rPr>
        <w:t>129</w:t>
      </w:r>
    </w:p>
    <w:p w14:paraId="7E42763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годы войны завод не эвакуировался, на нем организован ремонт гвардейских минометов «Катюша». Пост. ГКО № 1962сс от 4.07.1942 г. и приказом НКМВ № 237сс от 7.07.1942 г. заводу установлен план выпуска на 3-й квартал 1942 г. 50-мм минометов- 300 шт.</w:t>
      </w:r>
    </w:p>
    <w:p w14:paraId="56BF003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войны завод был реконструирован и вошел в состав НПО «ВНИИЛИТМАШ». В 1975 г. - завод «Красная Пресня».</w:t>
      </w:r>
    </w:p>
    <w:p w14:paraId="78771F5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1970-х  г. завод разрабатывал и выпускал вибропрессовое оборудование.</w:t>
      </w:r>
    </w:p>
    <w:p w14:paraId="0CFAD1C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1993 г. завод акционирован и преобразован в ОАО.</w:t>
      </w:r>
    </w:p>
    <w:p w14:paraId="0D4FAD7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 г.)- Гусев. Гендиректор (2000 г.)- Д.К. Семенов.</w:t>
      </w:r>
    </w:p>
    <w:p w14:paraId="44BEA21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50-мм минометы; ПУ для </w:t>
      </w:r>
      <w:r w:rsidRPr="001E2C69">
        <w:rPr>
          <w:rFonts w:ascii="Times New Roman" w:hAnsi="Times New Roman"/>
          <w:color w:val="000000" w:themeColor="text1"/>
          <w:sz w:val="16"/>
          <w:szCs w:val="16"/>
          <w:lang w:val="en-US"/>
        </w:rPr>
        <w:t>PC</w:t>
      </w:r>
      <w:r w:rsidRPr="001E2C69">
        <w:rPr>
          <w:rFonts w:ascii="Times New Roman" w:hAnsi="Times New Roman"/>
          <w:color w:val="000000" w:themeColor="text1"/>
          <w:sz w:val="16"/>
          <w:szCs w:val="16"/>
        </w:rPr>
        <w:t xml:space="preserve"> М-30 (1942), детали для ПГШ1 (1942); литейные машины (1975) (11982).</w:t>
      </w:r>
    </w:p>
    <w:p w14:paraId="605C5F5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C2351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1942г. в соответствии с пост. СНК № 837-430сс от 3.06.1942г. приказом НКМВ № 250с завод «Граммпластинок» НКМВ переименован в завод № 842 в ведении 5ГУ (Завод № 842 НКМВ, НКЭП, Завод «Граммнластинок» НКМВ, Беловскнй граммофонный завод НКМВ, Беловский завод «Кузбассрадио», А-1892, ОАО «Сибирская электрическая комплектация» («Сибэлком»), ОАО «Кузбассрадио» /652600 г. Белово Кемеровской обл. ул. Чкалова, 14/).</w:t>
      </w:r>
      <w:r w:rsidRPr="001E2C69">
        <w:rPr>
          <w:rFonts w:ascii="Times New Roman" w:hAnsi="Times New Roman"/>
          <w:color w:val="000000" w:themeColor="text1"/>
          <w:sz w:val="16"/>
          <w:szCs w:val="16"/>
          <w:vertAlign w:val="superscript"/>
        </w:rPr>
        <w:t>129</w:t>
      </w:r>
    </w:p>
    <w:p w14:paraId="7F7AAA4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июня 1942г. Приказом НКМВ № 210сс Беловскому граммофонному заводу предписано организовать производство взрывателей КТМ-1 мощностью 100 тыс. шт. в месяц.</w:t>
      </w:r>
    </w:p>
    <w:p w14:paraId="1FE4907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1942г. в соответствии с Пост. ГКО № 1962сс от 4.07.1942г. приказом НКМВ № 237сс заводу установлен план выпуска на 3-й квартал 1942г.: прицелов к 50-мм минометам- 2700 шт.; угломеров-квадрантов к 82-мм минометам- 2800 шт. В соответствии с пост. ГКО № 2679 от 31.12.1942г. на заводе организовано дублирующее производство танковых радиоприемников. В годы войны выпускал взрыватели, прицелы, радиостанции для танков, бойки для гранат.</w:t>
      </w:r>
    </w:p>
    <w:p w14:paraId="1E85D65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войны завод освоил выпуск радиоприемников, конденсаторов, запчастей для сельхозтехники.</w:t>
      </w:r>
    </w:p>
    <w:p w14:paraId="0F7D275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Имел наименование «п/я А-1892». 16.07.1994г. завод «Кузбассрадио» акционирован и преобразован в ОАО «Сибэлком». В 2009г. ОАО «Сибэлком» являлось банкротом. Затем преобразовано в ОАО «Кузбассрадио». В 2008г. ОАО «Кузбассрадио» являлось банкротом.</w:t>
      </w:r>
    </w:p>
    <w:p w14:paraId="4F5B1CF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(2000-е): коммутационные изделия (тумблеры, микропереключатели, переключатели: кнопочные, движковые; держатели плавких вставок); установочные изделия РЭ аппаратуры для МО, космической техники и нардного хозяйства.</w:t>
      </w:r>
    </w:p>
    <w:p w14:paraId="7573A3F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(1980-е г.)- более 10 тыс. чел.</w:t>
      </w:r>
    </w:p>
    <w:p w14:paraId="70674D2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(06.1942г.)- Жуков, (06.1942г.)- Шифрин. Гендиректор (2000-е)- В.А. Красноперов.</w:t>
      </w:r>
    </w:p>
    <w:p w14:paraId="46085B3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взрыватели АМБ, КТМ-1; прицелы к 50-мм минометам, угломеры-квадранты к 82-мм минометам (1942-); радиоприемники: танковый «Малютка» (1943-); бытовой «Рекорд-46».</w:t>
      </w:r>
    </w:p>
    <w:p w14:paraId="49A10D4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«КинАп» /г. Одесса/</w:t>
      </w:r>
    </w:p>
    <w:p w14:paraId="42880A2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киноаппаратуры «КинАп» после начала войны был эвакуирован в Белово, где на его базе был создан завод № 842 НКЭП.</w:t>
      </w:r>
    </w:p>
    <w:p w14:paraId="77FA696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освобождения Одессы завод «КинАп» восстановлен, был в 1975г.</w:t>
      </w:r>
    </w:p>
    <w:p w14:paraId="5CABBD6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разъем 16СТК-1 (1973).</w:t>
      </w:r>
    </w:p>
    <w:p w14:paraId="438E492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Фабрика граммпластинок «Метрополь-Рекорд», Фабрика им. 1905 года, Апрелевский завод граммпластинок (АЗГ) Памяти 1905 года НКТП, НКМ, НКМВ, Апрелевский патефонный завод, Фирма «Мелодия» /г. Апрелевка Наро-Фоминского р-на Московской обл./</w:t>
      </w:r>
    </w:p>
    <w:p w14:paraId="449A09A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1910г. в пос. Апрелевка Б.В. Молль, А. Кибарт и Фогт основали фабрику граммпластинок «Метрополь- Рекорд». Производство было оснащено 35 одноместными прессами. Запись звука осуществлялась в Москве, там же находился и гальванический цех, где изготовлялись матрицы. Сами граммпластинки изготовлялись в Апрелевке. Выпускалось около 500 тыс. пластинок в год.</w:t>
      </w:r>
    </w:p>
    <w:p w14:paraId="64704DD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революции, в 1918-25г. фабрика работала с перебоями из-за отсутствия сырья. В 1925г. производство было восстановлено, в этом году на 8 прессах было выпущено 80 тыс. пластинок. В 1928-32г. были построены котельная и силовая станция, начата механизация производства. В 1930-е г. одноместные прессы были заменены на двухместные полуавтоматические, установлены полуавтоматические молотковые дробилки. К 1937г. производство пластинок достигло 18 млн. в год.</w:t>
      </w:r>
    </w:p>
    <w:p w14:paraId="4367F21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завода (1928г.)- матричное отделение, прессовый, мельнично-вальцевой цехи, химическая лаборатория.</w:t>
      </w:r>
    </w:p>
    <w:p w14:paraId="05BF889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1919г. фабрика граммпластинок - в ведении отдела «Советская пластинка» агентства Центропечать. В 1925г. получила название «Фабрика им. 1905 года». В 1933г. фабрика переименована в АЗГ Памяти 1905г. в ведении Грампластреста НКТП, в 1938г. - в ведении Главширпотреба НКМ.</w:t>
      </w:r>
    </w:p>
    <w:p w14:paraId="1FE8DF9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10.1941г. Апрелевский патефонный завод эвакуирован в Белово, где на его базе создан завод № 842 НКЭП.</w:t>
      </w:r>
    </w:p>
    <w:p w14:paraId="43D603D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оставшемся оборудовании в Апрелевке был налажен выпуск боеприпасов. Весной 1942г. после освобождения Наро-Фоминска на заводе восстановлено производство пластинок. На 15 прессах в 1942г. было изготовлено 250 тыс. пластинок. В 07.1942г. Апрелевский завод граммпластинок- в ведении 5ГУ НКМВ.</w:t>
      </w:r>
    </w:p>
    <w:p w14:paraId="045EF9A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войны завод был реконструирован. В 1953г. освоен выпуск долгоиграющих пластинок. В 1958г. начата очередная реконструкция. Было построено два новых прессовых цеха, гальванический, механический. В 1962г. начато промышленное производство стереофонических пластинок, начато строительство нового прессового цеха.</w:t>
      </w:r>
    </w:p>
    <w:p w14:paraId="4A9B156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1964г. на базе АЗГ создана фирма «Мелодия».</w:t>
      </w:r>
    </w:p>
    <w:p w14:paraId="3A91566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кроме пластинок, выпускал матрицы, пресс-формы, пластмассу для других предприятий отрасли.</w:t>
      </w:r>
    </w:p>
    <w:p w14:paraId="74AB9D0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2007г. завод не действовал, его оборудование распродано, площади сданы в аренду коммерческим структурам.</w:t>
      </w:r>
    </w:p>
    <w:p w14:paraId="76B414E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(1912г.)- 100 чел., (1916г.)- 50 чел., (1930г.)- 215 чел., (1933г.)- 541 чел.</w:t>
      </w:r>
    </w:p>
    <w:p w14:paraId="7593737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(1910г.)- Б.В. Молль.</w:t>
      </w:r>
    </w:p>
    <w:p w14:paraId="34C2161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химической лаборатории (1960-е)- В.М. Хазанджи (11982).</w:t>
      </w:r>
    </w:p>
    <w:p w14:paraId="14D74E0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D9F15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7 июля 1942 г. завод № 748 (Завод № 748 НКМВ, Завод «Текмаш» НКМВ, Кузнецкий завод текстильного машиностроения (КЗТМ, «Кузтекстильмаш») ММиП, ОАО «КЗТМ» /г. Кузнецк Пензенской обл. ул. Белинская, 117 «Кузтекстильмаш» (1948 г.)/ /442530  г. Кузнецк Пензенской обл. ул. Московская, 70А/) - в ведении </w:t>
      </w:r>
      <w:r w:rsidRPr="001E2C69">
        <w:rPr>
          <w:rFonts w:ascii="Times New Roman" w:hAnsi="Times New Roman"/>
          <w:color w:val="000000" w:themeColor="text1"/>
          <w:sz w:val="16"/>
          <w:szCs w:val="16"/>
        </w:rPr>
        <w:lastRenderedPageBreak/>
        <w:t>Главтекстильмаша НКМВ был передан в ведение ЗГУ.</w:t>
      </w:r>
    </w:p>
    <w:p w14:paraId="1E0C34F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Пост. ГКО № 1962сс от 4.07.1942 г. и приказом НКМВ № 237сс от 7.07.1942 г. заводу установлен план выпуска на 3-Й квартал 1942 г. 50-мм минометов- 3600 шт.</w:t>
      </w:r>
    </w:p>
    <w:p w14:paraId="55583DC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 г. завод «Кузтекстильмаш» - в ведении Главтекстильлегмаша ММиП.</w:t>
      </w:r>
    </w:p>
    <w:p w14:paraId="3546933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завода (1947 г.) цехи: основные: литейный, механический № 1, заготовительный, сборочный; вспомогательные: транспортный, строительный, инструментальный, ремонтно-механический, котельная, дизельная.</w:t>
      </w:r>
    </w:p>
    <w:p w14:paraId="6F89BCD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войны завод перепрофилирован на выпуск машин для текстильной промышленности (для разрыхлительно-трепальных агрегатов), для кабельной промышленности (крутильных сигарного и фонарного типов, бронировочных, обмоточных, изолировочных). Выпускал также гладильные прессы, стиральные машины, детали прядильных головок для пневмопрядильных машин, замочные изделия, алюминиевое литье. Производство оборудования дня текстильных и обувных фабрик (1960-е  г.).</w:t>
      </w:r>
    </w:p>
    <w:p w14:paraId="121DFEC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(1946 г.)- 225 ед., (1947 г.)- 369 ед.</w:t>
      </w:r>
    </w:p>
    <w:p w14:paraId="23C442E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 г.)- 2,5 га; застройки (1947 г.)- 8390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(1946 г.)- 5598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(1947 г.)-6127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3B47889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(1946 г.)- 1223 чел., (1947 г.)-1184 чел.</w:t>
      </w:r>
    </w:p>
    <w:p w14:paraId="4250A9B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 г.)- Спиридонов, (1948 г.)- Курпяков. Гендиректор (2007 г.)- С.А. Сущев.</w:t>
      </w:r>
    </w:p>
    <w:p w14:paraId="2B8B40D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 г.)- Дворников.</w:t>
      </w:r>
    </w:p>
    <w:p w14:paraId="1843923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50-мм миномет; 50-мм мина (1942); станок трепальный ОТ-3, -6, АМ-2, дистрибютор грабельный РХСГ, головной питатель ПС-3, конденсер КХ-2, питатель-смеситель ПС-1, поркупайн «Оппенер» ПО-2, -4, пыльный барабан ПБ-1, крейтон ПХ-4, фильтрующий барабан ФР-1 (1947).</w:t>
      </w:r>
      <w:r w:rsidRPr="001E2C69">
        <w:rPr>
          <w:rFonts w:ascii="Times New Roman" w:hAnsi="Times New Roman"/>
          <w:color w:val="000000" w:themeColor="text1"/>
          <w:sz w:val="16"/>
          <w:szCs w:val="16"/>
          <w:vertAlign w:val="superscript"/>
        </w:rPr>
        <w:t>129</w:t>
      </w:r>
    </w:p>
    <w:p w14:paraId="734DD39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Клинцовский завод текстильного машиностроения им. Калинина /г. Клинцы Брянской обл./</w:t>
      </w:r>
    </w:p>
    <w:p w14:paraId="0BBC741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начала войны эвакуирован в Кузнецк, где был организован завод № 748 НКМВ.</w:t>
      </w:r>
    </w:p>
    <w:p w14:paraId="57BDB36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Затем восстановлен на прежнем месте. Производство текстильных машин (1960-е  г.) (11982).</w:t>
      </w:r>
    </w:p>
    <w:p w14:paraId="239745B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5B31A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250с в соответствии с пост, правительства № 837 от 3.06.1942 г. Климовский завод НКМВ переименован в завод № 750 (Завод № 750 НКМВ , Завод ткацких станков «Московского товарищества механических изделий», Государственный Климовский машиностроительный завод, Климовский Ордена Трудового Красного Знамени машиностроительный завод им. В.М. Доенина ММиП, ММ, ЗАО «Климовский машиностроительный завод» / г. Климовск; ст. Гривно Московско-Курской ж/д «Молот» (1942-48 г.)/ /142180  г. Климовск Подольского р-на Московской обл. ул. Ленина, 1/) в  ведении 1ГУ. В годы войны выпускал продукцию для фронта.</w:t>
      </w:r>
    </w:p>
    <w:p w14:paraId="2E8CFD9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 г. Климовский ОТКЗ машзавод - в ведении Главтекстильлегмаша ММиП, в 01.1954 г. - в вед Главлегмаша ММ.</w:t>
      </w:r>
    </w:p>
    <w:p w14:paraId="71E9FBA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составе завода (1947-54 г.) цехи: основные: литейный и обрубной № 1, механические: № 7 (станкострое1 № 10 (мотальные и сновальные машины), № 12 (ткацкие станки); модельный № 8, кузнечный № 4. сбороч ткацких станков № 9; вспомогательные: ремонтно-механический, инструментальный № 6, метал, мод. </w:t>
      </w:r>
      <w:r w:rsidRPr="001E2C69">
        <w:rPr>
          <w:rFonts w:ascii="Times New Roman" w:hAnsi="Times New Roman"/>
          <w:color w:val="000000" w:themeColor="text1"/>
          <w:sz w:val="16"/>
          <w:szCs w:val="16"/>
          <w:lang w:val="en-US"/>
        </w:rPr>
        <w:t>J</w:t>
      </w:r>
      <w:r w:rsidRPr="001E2C69">
        <w:rPr>
          <w:rFonts w:ascii="Times New Roman" w:hAnsi="Times New Roman"/>
          <w:color w:val="000000" w:themeColor="text1"/>
          <w:sz w:val="16"/>
          <w:szCs w:val="16"/>
        </w:rPr>
        <w:t xml:space="preserve"> котельные № 1 и № 2, насосная. Кроме того, (1954 г.): заготовительный № 14, механический № гальванопоктрытий № 16, сборочный № 17, производственная лаборатория, компрессорная.</w:t>
      </w:r>
    </w:p>
    <w:p w14:paraId="3867EF1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войны завод перешел на производство ткацких станков. В 1967 г. освоен выпуск новых бесчелноч пневморапирных станков АТПР. В 07.1972 г. был выпущен 10-тысячный станок.</w:t>
      </w:r>
    </w:p>
    <w:p w14:paraId="064B180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Имелся филиал в  г. Калуга, в 1995 г. он преобразован в самостоятельный завод «Техмашдеталь».</w:t>
      </w:r>
    </w:p>
    <w:p w14:paraId="09E6590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07.2002 г. предприятие было признано банкротом и ликвидировано. На территории завода разместил торговые фирмы и мелкие предприятия.</w:t>
      </w:r>
    </w:p>
    <w:p w14:paraId="64F2451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 г.)- 1569 ед., (1946 г.)- 1039 ед., (1947 г.)- 1249 ед., (1954 г.)- 1212 ед.</w:t>
      </w:r>
    </w:p>
    <w:p w14:paraId="3D529F7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(1947-54 г.)- 23,5 га; застройки (1947-54 г.)- 28252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 г.}- 181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(1946 г.)- 18654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(1947 г.)- 23647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(1954 г.)- 46935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25BC4C9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(1900 г.)- около 1000 чел., (1939 г.)- 3067 чел., (1946 г.)- 3251 чел., (1947 г.)- 3252 -к (1954 г.)- 4447 чел.</w:t>
      </w:r>
    </w:p>
    <w:p w14:paraId="43D3AEE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 г.)- Чикиш, (1948 г.)- В.А. Шалашов; и.о. (01.1954 г.)- Нехотящий.</w:t>
      </w:r>
    </w:p>
    <w:p w14:paraId="2AE895A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директора по строительству (01.1954 г.)- Потапов.</w:t>
      </w:r>
    </w:p>
    <w:p w14:paraId="37C2E09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 г.)- И.И. Воронин.</w:t>
      </w:r>
    </w:p>
    <w:p w14:paraId="4A2E08E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гл. инженера (01.1954 г.)- Похил.</w:t>
      </w:r>
    </w:p>
    <w:p w14:paraId="63181A7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механик (1948 г.)- Минецкий.</w:t>
      </w:r>
    </w:p>
    <w:p w14:paraId="2EBB7EC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корпуса 82-мм мин (1942); машины: мотальная МБ (1947), М-150, МТ-150, ММ-150 (1954 сновальная С-2 (1947), С-140, С-177 (1954); жаккардовая Ж-13 (1954); ткацкие станки: автоматический </w:t>
      </w:r>
      <w:r w:rsidRPr="001E2C69">
        <w:rPr>
          <w:rFonts w:ascii="Times New Roman" w:hAnsi="Times New Roman"/>
          <w:color w:val="000000" w:themeColor="text1"/>
          <w:sz w:val="16"/>
          <w:szCs w:val="16"/>
          <w:lang w:val="en-US"/>
        </w:rPr>
        <w:t>AT</w:t>
      </w:r>
      <w:r w:rsidRPr="001E2C69">
        <w:rPr>
          <w:rFonts w:ascii="Times New Roman" w:hAnsi="Times New Roman"/>
          <w:color w:val="000000" w:themeColor="text1"/>
          <w:sz w:val="16"/>
          <w:szCs w:val="16"/>
        </w:rPr>
        <w:t xml:space="preserve"> (1947), </w:t>
      </w:r>
      <w:r w:rsidRPr="001E2C69">
        <w:rPr>
          <w:rFonts w:ascii="Times New Roman" w:hAnsi="Times New Roman"/>
          <w:color w:val="000000" w:themeColor="text1"/>
          <w:sz w:val="16"/>
          <w:szCs w:val="16"/>
          <w:lang w:val="en-US"/>
        </w:rPr>
        <w:t>AT</w:t>
      </w:r>
      <w:r w:rsidRPr="001E2C69">
        <w:rPr>
          <w:rFonts w:ascii="Times New Roman" w:hAnsi="Times New Roman"/>
          <w:color w:val="000000" w:themeColor="text1"/>
          <w:sz w:val="16"/>
          <w:szCs w:val="16"/>
        </w:rPr>
        <w:t>-100, АТ-175, АТТ-120, АТМ-175 (1954), АТ-120-5, АТ-100-5М, АТ-2-120ШЛ5, АТПР (1967-): станс токарно-винторезный ТОК-200 (1954).</w:t>
      </w:r>
      <w:r w:rsidRPr="001E2C69">
        <w:rPr>
          <w:rFonts w:ascii="Times New Roman" w:hAnsi="Times New Roman"/>
          <w:color w:val="000000" w:themeColor="text1"/>
          <w:sz w:val="16"/>
          <w:szCs w:val="16"/>
          <w:vertAlign w:val="superscript"/>
        </w:rPr>
        <w:t>129</w:t>
      </w:r>
    </w:p>
    <w:p w14:paraId="69FB595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«Техмашдеталь» /248600  г. Калуга ул. Плеханова, 96/</w:t>
      </w:r>
    </w:p>
    <w:p w14:paraId="6A9EDED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«Техмашдеталь» создан в 1995 г. на базе филиала Кяимовского машиностроительного завода. Выпуска узлы и запчасти (валы, шестерни, втулки, корпуса) к ткацким станкам АТПР, технологическую оснастку дд обработки деталей. С 2002 г. освоен выпуск продукции для гостиниц (тележки для горничных).</w:t>
      </w:r>
    </w:p>
    <w:p w14:paraId="6BD759C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заводе имелось металлообрабатывающее производство, сварочное; ремонтная и инструментальная службы</w:t>
      </w:r>
    </w:p>
    <w:p w14:paraId="3F9B532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2004 г. введен в строй 3-й производственный корпус металлоконструкций (11982).</w:t>
      </w:r>
    </w:p>
    <w:p w14:paraId="44D1B36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DBF45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250с в соответствии с пост. СНК № 837-430сс от 3.06.1942 г. завод «Лентрикмаш» НКМВ переименован в завод № 752 в ведении ЗГУ (Завод № 752 НКМВ, Ленинградский завод трикотажных машин («Лентрикмаш») НКМВ /г. Ленинград/) (11982).</w:t>
      </w:r>
    </w:p>
    <w:p w14:paraId="0038C45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D0C2D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в соответствии с пост. СНК № 837-430сс от 3.06.1942 г. приказом НКМВ № 250с завод «Продмашин» НКМВ переименован в завод № 753 им. Калинина (Завод № 753 НКМВ, Чугунолитейный завод, 1-й триерный и механический завод им. Калинина, Экспериментальный завод сложного автоматостроения для пищевой промышленности НКПП, Завод «Продмашин» НКМВ, Московский завод строительных инструментов им. Калинина МСиДМ, Московский машиностроительный завод им. Калинина, АП, ТОО, ОАО «ММЗ им. Калинина» /127287  г. Москва 2-я Хуторская ул., 38А/). в ведении 5ГУ,</w:t>
      </w:r>
      <w:r w:rsidRPr="001E2C69">
        <w:rPr>
          <w:rFonts w:ascii="Times New Roman" w:hAnsi="Times New Roman"/>
          <w:color w:val="000000" w:themeColor="text1"/>
          <w:sz w:val="16"/>
          <w:szCs w:val="16"/>
          <w:vertAlign w:val="superscript"/>
        </w:rPr>
        <w:t>129</w:t>
      </w:r>
      <w:r w:rsidRPr="001E2C69">
        <w:rPr>
          <w:rFonts w:ascii="Times New Roman" w:hAnsi="Times New Roman"/>
          <w:color w:val="000000" w:themeColor="text1"/>
          <w:sz w:val="16"/>
          <w:szCs w:val="16"/>
        </w:rPr>
        <w:t xml:space="preserve"> в ведении НКМВ по 1945 г.</w:t>
      </w:r>
    </w:p>
    <w:p w14:paraId="0FCFF41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соответствии с пост. ГКО № 1900сс от 8.06.1942 г. и приказом НКМВ № 219с от 18.06.1942 г. заводу поручено организовать производство прицелов к станку «30» с выпуском в июне- 600 шт., в июле 1942 г. - 2500 шт. Пост. ГКО № 1962сс от 4.07.1942 г. и приказом НКМВ № 237сс от 7.07.1942 г. заводу установлен план выпуска на 3-й квартал 1942 г. прицелов к 50-мм минометам - 12 тыс. шт.</w:t>
      </w:r>
    </w:p>
    <w:p w14:paraId="37D42F3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1946 г. завод № 753 переименован в Московский завод строительных инструментов им. Калинина в ведении ГУ по производству строительных инструментов МСиДМ (по 1952 г.). В 1953 г. переименован в Московский машиностроительный завод им. Калинина в ведении ГУ строительного машиностроения МТиТМ (1953-54 г.), ГУ строительного машиностроения МСиДМ (1954-57 г.), Управления машиностроения МосгорСНХ (1957-59 г.), Управления автомобильной промышленности МосгорСНХ (1959-65 г.), ГУ по производству экскаваторов и кранов Министерства строительного, дорожного и коммунального машиностроения (с 1965 г.).</w:t>
      </w:r>
    </w:p>
    <w:p w14:paraId="6223F31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 г.)- Волков.</w:t>
      </w:r>
    </w:p>
    <w:p w14:paraId="1830EC2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прицелы: к станку «30», к 50-мм минометам (1942-) (11982).</w:t>
      </w:r>
    </w:p>
    <w:p w14:paraId="27E1771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A30AD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250с в соответствии с пост, правительства № 837-430сс от 3.06.1942 г. завод «Курганпродмаш» НКМВ переименован в завод № 709 в ведении 1 ГУ (Завод № 709 НКМВ, Завод «Курганпродмаш» НКМВ, Курганский завод деревообрабатывающих станков (ЗДС) ММиП / г. Курган/).</w:t>
      </w:r>
      <w:r w:rsidRPr="001E2C69">
        <w:rPr>
          <w:rFonts w:ascii="Times New Roman" w:hAnsi="Times New Roman"/>
          <w:color w:val="000000" w:themeColor="text1"/>
          <w:sz w:val="16"/>
          <w:szCs w:val="16"/>
          <w:vertAlign w:val="superscript"/>
        </w:rPr>
        <w:t>129</w:t>
      </w:r>
    </w:p>
    <w:p w14:paraId="7CE3D79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Курганский завод деревообрабатывающих станков в 1947 г. - в ведении Главбумдревмаша ММиП, был в 1960-е  г.</w:t>
      </w:r>
    </w:p>
    <w:p w14:paraId="4BD35F0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 г.)- Якубов, (1945 г.)- Ильин.</w:t>
      </w:r>
    </w:p>
    <w:p w14:paraId="06F163F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корпуса 82-мм мин (1942).</w:t>
      </w:r>
    </w:p>
    <w:p w14:paraId="7595AF9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7DDCB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250с в соответствии с пост. СНК № 837-430сс от 3.06.1942 г. завод «Челябкомпрессор» НКМВ переименован в завод № 721 (Завод № 721 НКМВ, Завод «Челябкомпрессор» НКМВ /г. Челябинск /) в ведении 4ГУ.</w:t>
      </w:r>
    </w:p>
    <w:p w14:paraId="19884BF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 г.)- Боганов.</w:t>
      </w:r>
    </w:p>
    <w:p w14:paraId="1CD8130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(06.1042 г.)- Корчагин.</w:t>
      </w:r>
    </w:p>
    <w:p w14:paraId="285E155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автокомпрессорная станция АКС-2; детали для </w:t>
      </w:r>
      <w:r w:rsidRPr="001E2C69">
        <w:rPr>
          <w:rFonts w:ascii="Times New Roman" w:hAnsi="Times New Roman"/>
          <w:color w:val="000000" w:themeColor="text1"/>
          <w:sz w:val="16"/>
          <w:szCs w:val="16"/>
          <w:lang w:val="en-US"/>
        </w:rPr>
        <w:t>PC</w:t>
      </w:r>
      <w:r w:rsidRPr="001E2C69">
        <w:rPr>
          <w:rFonts w:ascii="Times New Roman" w:hAnsi="Times New Roman"/>
          <w:color w:val="000000" w:themeColor="text1"/>
          <w:sz w:val="16"/>
          <w:szCs w:val="16"/>
        </w:rPr>
        <w:t xml:space="preserve"> М-13 (1942) (11982).</w:t>
      </w:r>
    </w:p>
    <w:p w14:paraId="3C6637E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7B455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1942г. в соответствии с пост. СНК № 837-430сс от 3.06.1942 г. приказом НКМВ № 250с завод «Агроприбор» НКМВ переименован в завод № 857 в ведении 5ГУ (Завод № 857 НКМВ, Завод «Агроприбор» НКМВ, НПО «Агроприбор» /125040 г. Москва ул. Скаковая, 36/).</w:t>
      </w:r>
    </w:p>
    <w:p w14:paraId="6C205C8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(06.1942г.)- Нестерович.</w:t>
      </w:r>
    </w:p>
    <w:p w14:paraId="308A377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детали для </w:t>
      </w:r>
      <w:r w:rsidRPr="001E2C69">
        <w:rPr>
          <w:rFonts w:ascii="Times New Roman" w:hAnsi="Times New Roman"/>
          <w:color w:val="000000" w:themeColor="text1"/>
          <w:sz w:val="16"/>
          <w:szCs w:val="16"/>
          <w:lang w:val="en-US"/>
        </w:rPr>
        <w:t>PC</w:t>
      </w:r>
      <w:r w:rsidRPr="001E2C69">
        <w:rPr>
          <w:rFonts w:ascii="Times New Roman" w:hAnsi="Times New Roman"/>
          <w:color w:val="000000" w:themeColor="text1"/>
          <w:sz w:val="16"/>
          <w:szCs w:val="16"/>
        </w:rPr>
        <w:t xml:space="preserve"> М-13 (1942) (11982).</w:t>
      </w:r>
      <w:r w:rsidRPr="001E2C69">
        <w:rPr>
          <w:rFonts w:ascii="Times New Roman" w:hAnsi="Times New Roman"/>
          <w:color w:val="000000" w:themeColor="text1"/>
          <w:sz w:val="16"/>
          <w:szCs w:val="16"/>
          <w:vertAlign w:val="superscript"/>
        </w:rPr>
        <w:t>129</w:t>
      </w:r>
    </w:p>
    <w:p w14:paraId="417E2E97" w14:textId="77777777" w:rsidR="00B65961" w:rsidRPr="001E2C69" w:rsidRDefault="00B6596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CE1B5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1942г. приказом НКМВ/НКВД № 240сс/001431 в соответствии с пост. ГКО № 1960сс от 4 июля 1942г. Кунгурский механический завод № 806 Главпродмаша НКМВ передан со всем оборудованием в ведение НКВД к 15.07.1942г.</w:t>
      </w:r>
    </w:p>
    <w:p w14:paraId="1DFBB33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июня 1942 г. по приказу НКМВ № 224с на заводе (Кунгурский механический завод № 806 НКМВ, Минометный завод НКМВ /г. Кунгур Пермской обл./) начата реконструкция для организации с 1.10.1942г. производства минометов образца 1937г. мощностью 1000 шт. в месяц. Для этого был расширен механический цех, выделено 200 ед. оборудования.</w:t>
      </w:r>
    </w:p>
    <w:p w14:paraId="5C164FC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Приказом НКВД № 001191 от 10.06.1942г. решено на базе завода организовать ИТЛ по производству 82-мм мин и оставить производство редукторов для пороховых заводов НКБ. По приказу НКМВ № 250с от 7.07.1942г. завод № 806 передан в ведение ЗГУ. </w:t>
      </w:r>
      <w:r w:rsidRPr="001E2C69">
        <w:rPr>
          <w:rFonts w:ascii="Times New Roman" w:hAnsi="Times New Roman"/>
          <w:color w:val="000000" w:themeColor="text1"/>
          <w:sz w:val="16"/>
          <w:szCs w:val="16"/>
          <w:vertAlign w:val="superscript"/>
        </w:rPr>
        <w:t>129</w:t>
      </w:r>
    </w:p>
    <w:p w14:paraId="5EFFF54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(06.1942г.)- Проскурин.</w:t>
      </w:r>
    </w:p>
    <w:p w14:paraId="1C71E9D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детали для минометов (1942) (11982).</w:t>
      </w:r>
    </w:p>
    <w:p w14:paraId="59254575" w14:textId="77777777" w:rsidR="00B65961" w:rsidRPr="001E2C69" w:rsidRDefault="00B6596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E67D9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250с в соответствии с пост, правительства № 837-430сс от 3.06.1942 г. завод Холодилного оборудования НКМВ переименован в завод № 725 в ведении 1ГУ (Завод № 725 НКМВ, Завод «Химаппаратура», Щелковский Государственный завод холодильного оборудования НКМВ, Щелковский завод малых гидротурбин ММиП, Щелковский насосный завод, ОАО «ЭНА» /г. Щелково Московской обл. «Турбина»/ /141101  г. Щелково Московской обл. ул. Заводская, 14/).</w:t>
      </w:r>
    </w:p>
    <w:p w14:paraId="766D96E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войны заводу поручено освоение производства гидротурбин малой мощности. В 07.1946 г. завод № 725 переименован в Щелковский завод малых гидротурбин, в 1947-48 г. - в ведении Главхиммаша ММиП.</w:t>
      </w:r>
    </w:p>
    <w:p w14:paraId="6543BFF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завода цехи: основные: гидротурбинный, электромоторный, ширпотреба, литейный, кузнечно- прессовый; вспомогательные: инструментальный.</w:t>
      </w:r>
    </w:p>
    <w:p w14:paraId="7329283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1950 г. начато производство насосов. В 06.1956 г. завод переименован в Щелковский насосный завод. Специализировался на выпуске центробежных насосов. В 1960-е  г. завод реконструирован, расширены производственные площади.</w:t>
      </w:r>
    </w:p>
    <w:p w14:paraId="0CF9E2D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9.10.1992 г. завод преобразован в ОАО «ЭНА».</w:t>
      </w:r>
    </w:p>
    <w:p w14:paraId="697FFF9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 г.)- 89 ед., (1946 г.)- 230 ед., (1947 г.)- 313 ед.</w:t>
      </w:r>
    </w:p>
    <w:p w14:paraId="6E7D012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 г.)- 7,1 га; застройки (1947 г.)- 9471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 г.)- 3390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(1946 г.)- 5975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(1947 г.)- 6308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4CA1D89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 г.)- 527 чел., (1946 г.)- 651 чел., (1947 г.)- 644 чел.</w:t>
      </w:r>
    </w:p>
    <w:p w14:paraId="77FFAF5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 г.)- Быков, (1948 г.)-  Г.А. Седов, (16.03.1987 г.-)- Ю.В. Гусев. Гендиректор (1992 г.-)- Ю.В. Гусев.</w:t>
      </w:r>
    </w:p>
    <w:p w14:paraId="26F762B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 г.)- А.А. Демин.</w:t>
      </w:r>
    </w:p>
    <w:p w14:paraId="7B920D5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поршневые насосы «ДН» (193 7-); полуавтоматы ФОРА (1937-); корпуса 82-мм мин (1942); турбины: В059, ГТ2, ВТЗ, ВТ2; электродвигатели, печь «Чудо» (1947) (11982).</w:t>
      </w:r>
    </w:p>
    <w:p w14:paraId="2D15E7A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646B4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1942г. в соответствии с пост. СНК № 837-430сс от 3.06.1942г. приказом НКМВ № 250с завод «Красный Профинтерн» НКМВ переименован в завод № 802 в ведении 2ГУ (Завод № 802 НКМВ, Завод «Красный Профинтерн» НКМВ, Арматурный завод «Красный Профинтерн» ММиП, ОАО «Армагус» /г. Гусь-Хрустальный ул. Ткацкая «Арматурный завод» (1948 г.)/ /601501 г. Гусь-Хрустальный Владимирской обл. ул. Рудницкой, 4/).</w:t>
      </w:r>
    </w:p>
    <w:p w14:paraId="737531F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1947-48г. завод «Красный профинтерн» - в ведении Главармалита ММиП.</w:t>
      </w:r>
    </w:p>
    <w:p w14:paraId="720A345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(1947г.) цехи: основные: литейный, кузнечный, арматурно-механический, сборочный; вспомогательные: ремонтный, инструментальный, модельный.</w:t>
      </w:r>
    </w:p>
    <w:p w14:paraId="0C8680D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(1939г.)- 115 ед., (1946г.)-129 ед., (1947г.)-168 ед.</w:t>
      </w:r>
    </w:p>
    <w:p w14:paraId="1F0A6BF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(1947г.)- 3,6 га; застройки (1947г.)- 5987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(1939-46г.)-4080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(1947г.)- 4406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6DDD8A3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(1939г.)- 444 чел., (1946г.)- 511 чел., (1947г.)- 449 чел.</w:t>
      </w:r>
    </w:p>
    <w:p w14:paraId="670D7BB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(06.1942г.)- Кафторов, (1948г.)- Горожанкин.</w:t>
      </w:r>
    </w:p>
    <w:p w14:paraId="0B4FD37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(1948г.)- Солнцев.</w:t>
      </w:r>
    </w:p>
    <w:p w14:paraId="106FD6E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корпуса 82-мм мин, гранаты Ф-1 (1942); задвижки Луддо, клапаны предохранительные, вентили (1947) (11982).</w:t>
      </w:r>
      <w:r w:rsidRPr="001E2C69">
        <w:rPr>
          <w:rFonts w:ascii="Times New Roman" w:hAnsi="Times New Roman"/>
          <w:color w:val="000000" w:themeColor="text1"/>
          <w:sz w:val="16"/>
          <w:szCs w:val="16"/>
          <w:vertAlign w:val="superscript"/>
        </w:rPr>
        <w:t>129</w:t>
      </w:r>
    </w:p>
    <w:p w14:paraId="2D94BDA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3D7A8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1942г. в соответствии с пост. СНК № 837-430сс от 3.06.1942г. приказом НКМВ № 250с Литейно- механический завод НКМВ переименован в завод № 821 в ведении ЗГУ (Завод № 821 НКМВ , Литейно -механический завод НКМВ, Пензенский литейно-механический завод ММиП /г. Пенза ул. Каракозовская, 44 «Силумин» (1948г.)/).</w:t>
      </w:r>
    </w:p>
    <w:p w14:paraId="579351D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1947-48г. завод - в ведении Главполиграфмаша ММиП.</w:t>
      </w:r>
    </w:p>
    <w:p w14:paraId="49B8283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(1947г.) цехи: основные: литейный, механо-сборочный; вспомогательные: модельно- столярный, ремонтный.</w:t>
      </w:r>
    </w:p>
    <w:p w14:paraId="38EB577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(1939г.)- 27 ед., (1946г.)- 70 ед., (1947г.)- 87 ед.</w:t>
      </w:r>
    </w:p>
    <w:p w14:paraId="378649E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(1947г.)- 1,69 га; застройки (1947г.)- 2538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(1946-47г.)- 1472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35CD806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(1939г.)- 90 чел., (1946г.)- 210 чел., (1947г.)- 223 чел.</w:t>
      </w:r>
    </w:p>
    <w:p w14:paraId="27C2C6D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(06.1942г.)- Клюквин.</w:t>
      </w:r>
    </w:p>
    <w:p w14:paraId="765298B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(1948г.)- Денисович.</w:t>
      </w:r>
    </w:p>
    <w:p w14:paraId="59B8AACC" w14:textId="77777777" w:rsidR="00B6596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50-мм мины (1942);</w:t>
      </w:r>
      <w:r w:rsidRPr="001E2C69">
        <w:rPr>
          <w:rFonts w:ascii="Times New Roman" w:hAnsi="Times New Roman"/>
          <w:iCs/>
          <w:color w:val="000000" w:themeColor="text1"/>
          <w:sz w:val="16"/>
          <w:szCs w:val="16"/>
        </w:rPr>
        <w:t xml:space="preserve"> станки:</w:t>
      </w:r>
      <w:r w:rsidRPr="001E2C69">
        <w:rPr>
          <w:rFonts w:ascii="Times New Roman" w:hAnsi="Times New Roman"/>
          <w:color w:val="000000" w:themeColor="text1"/>
          <w:sz w:val="16"/>
          <w:szCs w:val="16"/>
        </w:rPr>
        <w:t xml:space="preserve"> отливные СУ, СО; фрезерно-отделочный ФР, фацетно-торцевой ФТ, ТА, дисковая пила ДП, лобофрезерный ЛФ, лобзиковый, для шлифовки цинка, торцевой для обработки клише; цинкорубилка ЦР; гартоплавильная печь СГ; гальваническая установка, центрифуга для цинкографии МЦ1; малая копировальная рама МК1 (1947) (11982).</w:t>
      </w:r>
      <w:r w:rsidRPr="001E2C69">
        <w:rPr>
          <w:rFonts w:ascii="Times New Roman" w:hAnsi="Times New Roman"/>
          <w:color w:val="000000" w:themeColor="text1"/>
          <w:sz w:val="16"/>
          <w:szCs w:val="16"/>
          <w:vertAlign w:val="superscript"/>
        </w:rPr>
        <w:t>129</w:t>
      </w:r>
    </w:p>
    <w:p w14:paraId="1C7D2E8D" w14:textId="77777777" w:rsidR="00B65961" w:rsidRPr="001E2C69" w:rsidRDefault="00B65961" w:rsidP="00722885">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p>
    <w:p w14:paraId="096F93E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1942г. в соответствии с пост. СНК № 837-430сс от 3.06.1942г. приказом НКМВ № 250с завод «Полиграфмашин» НКМВ переименован в завод № 822 в ведении 2ГУ (Завод № 822 НКМВ, Сысертский механический завод, Завод «Полиграфмашин» НКМВ, Уральский завод гидромашин («Гидромаш») ММиП, Сысертский электротехнический завод, ОАО «Уралгидромаш» /г. Сысерть Свердловской обл. «Турбина» (1948г.)/ /г. Сысерть Свердловской обл./).</w:t>
      </w:r>
      <w:r w:rsidRPr="001E2C69">
        <w:rPr>
          <w:rFonts w:ascii="Times New Roman" w:hAnsi="Times New Roman"/>
          <w:color w:val="000000" w:themeColor="text1"/>
          <w:sz w:val="16"/>
          <w:szCs w:val="16"/>
          <w:vertAlign w:val="superscript"/>
        </w:rPr>
        <w:t>129</w:t>
      </w:r>
    </w:p>
    <w:p w14:paraId="188A56C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1947г. Уральский завод гидромашин - в ведении Главхиммаша ММиП.</w:t>
      </w:r>
    </w:p>
    <w:p w14:paraId="0E307AF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завода (1947г.) цехи: основные: литейный, механосборочный, кузнечный, ширпотреба; вспомогательные: модельный, ремонтно-механический, энергетический, инструментальный.</w:t>
      </w:r>
    </w:p>
    <w:p w14:paraId="74EA520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турбин для ГЭС и водяных насосов.</w:t>
      </w:r>
    </w:p>
    <w:p w14:paraId="5C5A0A3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(1939г.)- 105 ед., (1946г.)- 212 ед., (1947г.)- 416 ед.</w:t>
      </w:r>
    </w:p>
    <w:p w14:paraId="0546F65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(1947г.)- 30 га; застройки (1947г.)- 22112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(1939г.)- 4997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(1946- 47г.)- 14931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0E66167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(1939г.)- 626 чел., (1946г.)-1241 чел., (1947г.)-1218 чел.</w:t>
      </w:r>
    </w:p>
    <w:p w14:paraId="7D78B46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(06.1942г.)- Куракин, (1948г.)- Волынский.</w:t>
      </w:r>
    </w:p>
    <w:p w14:paraId="1AAE108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(1948г.)- Галкин.</w:t>
      </w:r>
    </w:p>
    <w:p w14:paraId="22BD434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реактивный миномет М-13 (1941-42-); 82-мм минометы; корпуса 82-мм мин (1942), авиабомб, гранаты Ф-1, гильзы 45-мм, 152-мм снарядов (1942);</w:t>
      </w:r>
      <w:r w:rsidRPr="001E2C69">
        <w:rPr>
          <w:rFonts w:ascii="Times New Roman" w:hAnsi="Times New Roman"/>
          <w:iCs/>
          <w:color w:val="000000" w:themeColor="text1"/>
          <w:sz w:val="16"/>
          <w:szCs w:val="16"/>
        </w:rPr>
        <w:t xml:space="preserve"> гидротурбины:</w:t>
      </w:r>
      <w:r w:rsidRPr="001E2C69">
        <w:rPr>
          <w:rFonts w:ascii="Times New Roman" w:hAnsi="Times New Roman"/>
          <w:color w:val="000000" w:themeColor="text1"/>
          <w:sz w:val="16"/>
          <w:szCs w:val="16"/>
        </w:rPr>
        <w:t xml:space="preserve"> средние: Ф-40, -60, -123, -130, -140, -300, ВМ-123, -275, ПРК-70, -245, ВБ-140, -185, -220, ДГО-80, Г0-80, ГФ-80, ВО-120, -128; малые: Ф-300, ГОМ-бО, ГФ- 60, Г0-60, В0-60; насосы: центробежный 18НДС, пропеллерный ВП-60, фекальные 6НФ, 8НФ; шаровая мельница (1947) (11982).</w:t>
      </w:r>
    </w:p>
    <w:p w14:paraId="51CB60D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4E4A8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приказом НКМВ № 250с в соответствии с пост, правительства № 837-430сс от 3.06.1942 г. завод «Красный Аксай» НКМВ переименован в завод № 735 в ведении 1ГУ (Завод № 735 НКМВ, Завод «Красный Аксай» НКМВ /г. Ташкент/).</w:t>
      </w:r>
    </w:p>
    <w:p w14:paraId="108F038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Вероятно, после начала войны завод «Красный Аксай» эвакуирован в Ташкент. В 06.1942 г. завод - в ведении Главсельмаша НКМВ.</w:t>
      </w:r>
    </w:p>
    <w:p w14:paraId="59861E2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Приказом НКМВ № 232с от 1.07.1942 г. заводу поручено организовать выпуск электродов для производства химбоеприпасов.</w:t>
      </w:r>
    </w:p>
    <w:p w14:paraId="093F375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Затем, вероятно, завод реэвакуирован обратно в Ростов-на-Дону.</w:t>
      </w:r>
    </w:p>
    <w:p w14:paraId="593B3D3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(03.1946 г.)- 2755 чел.</w:t>
      </w:r>
    </w:p>
    <w:p w14:paraId="50A8C97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(06.1942 г.)- Гланцов.</w:t>
      </w:r>
    </w:p>
    <w:p w14:paraId="76469E1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корпуса химичесих авиабомб ХАБ-100, 50-мм мины (1942), морские мины МИРАБ (1942); Р- 1.РДП-3 (1942).</w:t>
      </w:r>
    </w:p>
    <w:p w14:paraId="0E2AF45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Механический медно-чугунолитейный завод, Завод «Красный Аксай» НКМВ, ЗАО «Красный Аксай» /344025  г. Ростов-на-Дону ул. 35-я Линия, 83/</w:t>
      </w:r>
    </w:p>
    <w:p w14:paraId="20EC01A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Механический медно-чугунолитейный завод основан в 1891 г.</w:t>
      </w:r>
    </w:p>
    <w:p w14:paraId="1907191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«Красный Аксай», вероятно, был реэвакурован в Ростов-на-Дону, в 07.1942 г. действовал в Ростове-на- Дону в ведении Главсельмаша НКМВ (в 02.1942 г. завод планировалось передать в 1ГУ НКМВ под № 713).</w:t>
      </w:r>
    </w:p>
    <w:p w14:paraId="40594EA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тракторных культиваторов (1967 г.).</w:t>
      </w:r>
    </w:p>
    <w:p w14:paraId="3D2B66B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Численность персонала: (03.1946 г.)- 2300 чел. (11982)</w:t>
      </w:r>
    </w:p>
    <w:p w14:paraId="450F37B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DA4AA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7 по 17 июля 1942 на АНИОПе испытывались 320-мм зажигательные и химические мины ГМ-320. На них было представлено пять мин, изготовленных Государственным союзным заводом №371 им. И.В.Сталина и снаряженных на заводе №522 и в ГИПХе. Вес корпусов мин составлял от 30,5 до 30,9 кг. Вес снаряжения головных частей был различным: 31,0кг, 41,0кг, 45,4 кг и 58 кг. Пороховые заряды мин находились в пределах от 6,46 кг до 6,833 кг. Из-за разброса веса снаряжения все мины имели различный вес: 79,596 кг, 89,18 кг, 88,28 кг, 70,1 кг и 94,8 кг. На минах был применен взрыватель МКТМЗ. По результатам испытаний корпуса по прочности и герметичности были признаны неудовлетворительными. В тоже время зажигательные смеси завода №522 и ГИПХа испытаний не выдержали (6403, 42).</w:t>
      </w:r>
    </w:p>
    <w:p w14:paraId="186E4E8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дальнейшем на “Ржевском полигоне” проводились испытания двух зажигательных мин ГМ-320, снаряженных заводом №522 различными зажигательными составами. На одной была применена смесь (вариант 1), весом 36,3 кг с ВВ - 0,04 кг: 80% дизельного топлива, 10% нитроклетчатки, 10% бензина. Другая смесь (вариант 2), весом 36,4 кг с ВВ в 0,04 кг, имела следующие компоненты: 50% дизельного топлива, 10% нитроклетчатки, 10% бензина и 30% битума. Стрельба снарядами была произведена 22 июля 1942 года с деревянной рамы при угле возвышения пускового станка 42 градусов. На минах устанавливался взрыватель МКТМЗ.</w:t>
      </w:r>
    </w:p>
    <w:p w14:paraId="5AC70F2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Результаты испытаний были признаны неудовлетворительными, в основном, из-за зажигательного состава, но было предложено продолжить испытания (6403, 42).</w:t>
      </w:r>
    </w:p>
    <w:p w14:paraId="219DD01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44082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года на АНИОП проводилось дальнейшие испытания мин ГМ-320 обкаткой в течении трех часов на автомобиле ГАЗ-АА. Мины размещались в упаковке ГМ-320-1Д. При этом маршрут пролегал по булыжному шоссе, асфальтовой и проселочной дорогам. Скорость автомобиля составила 25-30 км/ч, было пройдено 80 км пути. По результатам осмотра мин у нескольких мин была обнаружена течь (6403, 42).</w:t>
      </w:r>
    </w:p>
    <w:p w14:paraId="52F969D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5DC38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 по распоряжению СНК № 12506-р заводы «Томкабель» и «Сибкабель», созданные в Томске на площади Дома науки им. Макушина и электромеханического техникума, куда были эвакуированы московские заводы «Москабель» и «Электропровод», были объединены в ГС кабельный завод «Сибкабель» в ведении ГУ электрокабельной промышленности НКЭП. По приказу НКЭП № МК-325 от 15.08.1942 г. завод «Сибкабель» переименован в ГС завод № 631 (ГС завод № 631 НКЭП, ГС кабельный завод «Сибкабель» НКЭП, Томский кабельный завод («Томкабель») МЭТП /634059  г. Томск ул. Смирнова, 3/). 12.06.1954 г. завод № 631 переименован в Томский кабельный завод «Томкабель» МЭТП.</w:t>
      </w:r>
    </w:p>
    <w:p w14:paraId="3923FAC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04.1952 г. на базе завода создан НИИ кабельной промышленности.</w:t>
      </w:r>
    </w:p>
    <w:p w14:paraId="34575B4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1955 г. в состав завода влит завод № 673. С 07.1957 г. «Томкабель»- в ведении Томского СНХ, с 03.1963 г. - в ведении Управления электротехнической промышленности Западно-Сибирского совнархоза.</w:t>
      </w:r>
      <w:r w:rsidRPr="001E2C69">
        <w:rPr>
          <w:rFonts w:ascii="Times New Roman" w:hAnsi="Times New Roman"/>
          <w:color w:val="000000" w:themeColor="text1"/>
          <w:sz w:val="16"/>
          <w:szCs w:val="16"/>
          <w:vertAlign w:val="superscript"/>
        </w:rPr>
        <w:t>80</w:t>
      </w:r>
      <w:r w:rsidRPr="001E2C69">
        <w:rPr>
          <w:rFonts w:ascii="Times New Roman" w:hAnsi="Times New Roman"/>
          <w:color w:val="000000" w:themeColor="text1"/>
          <w:sz w:val="16"/>
          <w:szCs w:val="16"/>
        </w:rPr>
        <w:t xml:space="preserve"> С 1966 г.- вновь в ведении МЭТП.</w:t>
      </w:r>
    </w:p>
    <w:p w14:paraId="1654E61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1971 г. на базе заводов «Томкабель», «Эмальпровод», «Металлист» ( г. Колпашево Томской обл.) и НИИ кабельной промышленности с опытным производством создано ПО «Сибкабель» МЭТП.</w:t>
      </w:r>
    </w:p>
    <w:p w14:paraId="520AF40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кабели: силовые, шахтные, морские; электропровод.</w:t>
      </w:r>
    </w:p>
    <w:p w14:paraId="09400F2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НИИ Кабельной промышленности МЭТП</w:t>
      </w:r>
    </w:p>
    <w:p w14:paraId="7991180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Создан в 04.1952 г. на базе завода «Томкабель». В 1971 г. НИИ с опытным производством вошел в состав ПО «Сибкабель». Был в 2002 г.</w:t>
      </w:r>
    </w:p>
    <w:p w14:paraId="4E531FA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«Сибкабель» МЭТП, НПО, АППО, АОЗТ, ЗАО «Сибкабель» /643003  г. Томск ул. Пушкина, 46/ /Московское представительство:  г. Москва ш. Энтузиастов, 5/</w:t>
      </w:r>
    </w:p>
    <w:p w14:paraId="65F321F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«Сибкабель» МЭТП создано в 1971 г. на базе заводов «Томкабель», «Эмальпровод», «Металлист» ( г. Колпашево Томской обл.) и НИИ кабельной промышленности с опытным производством. В 1992 г. предприятие преобразовано в АОЗТ «Сибкабель» (11982).</w:t>
      </w:r>
    </w:p>
    <w:p w14:paraId="3B6ACCB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3C1CA4"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года вышел приказ № 440 НКБ</w:t>
      </w:r>
    </w:p>
    <w:p w14:paraId="1C236DBD"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571 – Москва</w:t>
      </w:r>
    </w:p>
    <w:p w14:paraId="16359AF1"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562 – Москва</w:t>
      </w:r>
    </w:p>
    <w:p w14:paraId="2185DAA2"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568 – Москва</w:t>
      </w:r>
    </w:p>
    <w:p w14:paraId="27212C7B"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557 – Москва</w:t>
      </w:r>
    </w:p>
    <w:p w14:paraId="3EB423EE"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358 – Москва</w:t>
      </w:r>
    </w:p>
    <w:p w14:paraId="1FD3329C"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561 – Лианозово Моск. обл.</w:t>
      </w:r>
    </w:p>
    <w:p w14:paraId="044959A6"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520 – Биссерть Свердловской обл.</w:t>
      </w:r>
    </w:p>
    <w:p w14:paraId="0D00FA04"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176 – Тула</w:t>
      </w:r>
    </w:p>
    <w:p w14:paraId="79843494"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187 – Тула</w:t>
      </w:r>
    </w:p>
    <w:p w14:paraId="5FE21CC2"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599 – Ярославль</w:t>
      </w:r>
    </w:p>
    <w:p w14:paraId="00761639"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577 – Боровск Молотовской обл.</w:t>
      </w:r>
    </w:p>
    <w:p w14:paraId="4D3F30B8"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558 – Горький</w:t>
      </w:r>
    </w:p>
    <w:p w14:paraId="0C3CDC8A"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325 – Новосибирск</w:t>
      </w:r>
    </w:p>
    <w:p w14:paraId="15E542F9"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(5907, 156).</w:t>
      </w:r>
    </w:p>
    <w:p w14:paraId="1746FDB6"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7FEBE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года была подготовлена справка:</w:t>
      </w:r>
    </w:p>
    <w:p w14:paraId="5B8922D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Заводы №№ 66 и 385 – Златоуст (9211)</w:t>
      </w:r>
    </w:p>
    <w:p w14:paraId="370AF8A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F241B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вышло Постановление ГКО № 1996 Об эвакуации оборудования и материалов предприятий Орловской области. РГАНИР, Фонд ГКО, д. 42, лл. 118 (11012).</w:t>
      </w:r>
    </w:p>
    <w:p w14:paraId="7ACFC68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00C42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вышло Постановление ГКО № 1997 Об эвакуации оборудования и рабочих предприятий Наркомпищепрома Орловской области. РГАНИР, Фонд ГКО, д. 42, лл. 119, 120-121 (11012).</w:t>
      </w:r>
    </w:p>
    <w:p w14:paraId="0870BC6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F82E1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вышло Постановление ГКО № 1998 Об эвакуации оставшегося оборудования Елецкого. станкостроительного завода. . РГАНИР, Фонд ГКО, д. 42, лл. 122 (11012).</w:t>
      </w:r>
    </w:p>
    <w:p w14:paraId="370CA8B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B1E43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вышло Постановление ГКО № 1999 Об эвакуации II очереди предприятий комбинатов "Ворошиловградуголь" и "Ростовуголь". РГАНИР, Фонд ГКО, д. 42, лл. 123-124, 125 (11012).</w:t>
      </w:r>
    </w:p>
    <w:p w14:paraId="728E4EA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6D448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вышло Постановление ГКО № 2000 Об обеспечении выпуска танков на заводе № 183. Наркомтанкопрома. РГАНИР, Фонд ГКО, д. 42, лл. 126-128, 129-130 (11012).</w:t>
      </w:r>
    </w:p>
    <w:p w14:paraId="72EB98E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54F0C4"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вышло Постановление ГКО № 2001 Об оборудовании ледовой защиты кораблей Военно-Морского Флота. (7041, 131-132,133-135).</w:t>
      </w:r>
    </w:p>
    <w:p w14:paraId="7CA560F2"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90F15F"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года</w:t>
      </w:r>
    </w:p>
    <w:p w14:paraId="0E88BDA7"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РГАЭ Фонд 8752 Опись 4 Дело 92 лист 8 – 7</w:t>
      </w:r>
    </w:p>
    <w:p w14:paraId="2EE07820"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Секретно</w:t>
      </w:r>
    </w:p>
    <w:p w14:paraId="746D2FE6"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 НАРОДНОГО КОМИССАРА ТАНКОВОЙ ПРОМЫШЛЕННОСТИ СОЮЗА ССР № 503с</w:t>
      </w:r>
    </w:p>
    <w:p w14:paraId="1BD38750"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Москва</w:t>
      </w:r>
    </w:p>
    <w:p w14:paraId="1CFACC2D"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года.</w:t>
      </w:r>
    </w:p>
    <w:p w14:paraId="5C779218"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Работа танковых заводов за первую пятидневку июля идет крайне неудовлетворительно. Установленный суточный график сдачи танков не выполняется.</w:t>
      </w:r>
    </w:p>
    <w:p w14:paraId="722C81F3"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Так, завод № 112 (директор т. Рубинчик) вместо установленного ему плана по суточному графику 28 машин, сдал всего восемь машин; завод № 183 (директор т. Максарев) вместо установленного ему плана по суточному графику 60 машин, сдал всего 36 машин. Аналогичное положение на заводе № 174 (директор т. Кацнельсон), № 38 (директор т. Яковлев). Такая работа заводов по выпуску танков в наиболее ответственный период войны терпима быть не может.</w:t>
      </w:r>
    </w:p>
    <w:p w14:paraId="30824250"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целях обеспечения безусловного выполнения плана июля месяца и ритмичной работы заводов по суточному графику – ПРИКАЗЫВАЮ:</w:t>
      </w:r>
    </w:p>
    <w:p w14:paraId="1036B46F"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Директорам и главным инженерам заводов:</w:t>
      </w:r>
    </w:p>
    <w:p w14:paraId="1DB4B0BC"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с 7.VII-с.г. обеспечить безоговорочное выполнение суточного графика сдачи танков и моторов при всех условиях;</w:t>
      </w:r>
    </w:p>
    <w:p w14:paraId="37ECEECB"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в случае срыва выполнения графика по сдаче танков директорам заводов давать по ВЧ не позже 12 часов для объяснения: о причинах срыва суточного графика, о виновниках срыва и о принятых мерах директором завода по восполнению недоданной части программы.</w:t>
      </w:r>
    </w:p>
    <w:p w14:paraId="1791BB10"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2. Зам. начальника 1-го отдела т. ДАВТЯН ежедневно вместе с отчетными данными по выпуску машин докладывать мне донесения директоров заводов о случаях срыва выполнения суточного графика, виновных срыва и мерах, принятых директором по ликвидации отставания.</w:t>
      </w:r>
    </w:p>
    <w:p w14:paraId="4CC21C12"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Зам. начальника 1-го отдела т. ДАВТЯН, зам. начальника металлургического отдела т. ЧЕРНУШЕВИЧУ и начальнику Главснаба т. РОЗИНУ представлять мне и моим заместителям: т. ЗЕРНОВУ и т. ГОРЕГЛЯД рапорта об обеспечении выполнения суточного графика каждым танковым и моторным заводом вперед на десять дней, с проектом проработанных предложений о необходимых мерах помощи заводам.</w:t>
      </w:r>
    </w:p>
    <w:p w14:paraId="4DBBAE6A"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Предупредить директоров заводов, начальников отделов и управлений Наркомата, что невыполнение суточных графиков по выпуску танков, танковых дизелей и корпусов заводами по причине непринятия своевременных мер будет рассматриваться как преступление перед Родиной со всеми вытекающими отсюда последствиями.</w:t>
      </w:r>
    </w:p>
    <w:p w14:paraId="341EE41D"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НАРОДНЫЙ КОМИССАР ТАНКОВОЙ ПРОМЫШЛЕННОСТИ СОЮЗА ССР подпись (И. ЗАЛЬЦМАН) (21213).</w:t>
      </w:r>
    </w:p>
    <w:p w14:paraId="2021EA94" w14:textId="77777777" w:rsidR="00442DB8" w:rsidRPr="001E2C69" w:rsidRDefault="00442DB8" w:rsidP="00722885">
      <w:pPr>
        <w:spacing w:after="0" w:line="240" w:lineRule="auto"/>
        <w:jc w:val="both"/>
        <w:rPr>
          <w:rFonts w:ascii="Times New Roman" w:hAnsi="Times New Roman"/>
          <w:color w:val="000000" w:themeColor="text1"/>
          <w:sz w:val="16"/>
          <w:szCs w:val="16"/>
        </w:rPr>
      </w:pPr>
    </w:p>
    <w:p w14:paraId="6F852AA2"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Армия:</w:t>
      </w:r>
    </w:p>
    <w:p w14:paraId="62C1797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5DCABC"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7 июля</w:t>
      </w:r>
      <w:r w:rsidRPr="001E2C69">
        <w:rPr>
          <w:rFonts w:ascii="Times New Roman" w:hAnsi="Times New Roman"/>
          <w:color w:val="000000" w:themeColor="text1"/>
          <w:sz w:val="16"/>
          <w:szCs w:val="16"/>
        </w:rPr>
        <w:t xml:space="preserve"> в 1942 году утреннее сообщение Совинформбюро:</w:t>
      </w:r>
    </w:p>
    <w:p w14:paraId="3037557B"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7 июля наши войска вели бои с противником западнее Воронежа и юго-западнее Старый Оскол.</w:t>
      </w:r>
    </w:p>
    <w:p w14:paraId="55D71896"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37D72894"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 войска западнее Воронежа ведут ожесточённые бои с танками и пехотой противника и наносят им большой урон. На одном из участков наша часть отбила три атаки гитлеровцев. На поле боя немцы оставили 450 трупов солдат и офицеров и 8 подбитых танков. На другом участке советские танкисты разгромили немецкий батальон, уничтожили 8 орудий, 6 пулемётов и батарею тяжёлых миномётов. На подступах к одному населённому пункту немцы потеряли только убитыми свыше 600 солдат и офицеров.</w:t>
      </w:r>
    </w:p>
    <w:p w14:paraId="543C99CB"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узком участке фронта юго-западнее Старого Оскола за один день боёв гитлеровцы потеряли до 500 солдат и офицеров и 4 танка. Наши части огнём всех видов оружия непрерывно выматывают немцев и уничтожают их технику. Свыше 40 немецких танков и автоматчики атаковали один населённый пункт. Наши артиллеристы огнём с открытых позиций уничтожили 11 немецких танков и около 200 немцев.</w:t>
      </w:r>
    </w:p>
    <w:p w14:paraId="33E4ED65"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 части, действующие на одном из участков Калининского фронта, за два дня боёв уничтожили 25 немецких танков и свыше 2.000 солдат и офицеров противника. Бойцы части под командованием тов. Гавилевского ружейно-пулемётным огнём уничтожили более 200 гитлеровцев. На другом участке бойцы и командиры части тов. Лесового разгромили до батальона пехоты противника, уничтожили 2 немецких танка и 4 орудия.</w:t>
      </w:r>
    </w:p>
    <w:p w14:paraId="7073FDB3"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Лётчики капитан Бунин, старший лейтенант Игнатьев, младшие лейтенантыБорововых и Шкиров, прикрывая наземные войска, встретили два немецкихистребителя и 12 «Юнкерсов-88». Отважная четвёрка бросилась в атаку. Немецкиеистребители, как только заметили наши самолёты, дали полный газ и удрали. Нашилётчики атаковали оставшиеся самолёты противника и сбили два «Юнкерса-88».</w:t>
      </w:r>
    </w:p>
    <w:p w14:paraId="2CD8BD35"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Группа наших бойцов, выполняя боевое задание, встретилась с немецкой разведкой. Завязался бой. Один гитлеровец пытался выстрелить в командира группы тов. Игнатьева, но вовремя подоспевший красноармеец Шавелев прикладом размозжил немцу голову. Красноармеец тов. Ершов метким выстрелом убил немецкого офицера, тов. Риткин уничтожил трёх гитлеровцев. Наши бойцы, уничтожив 10 немцев и взяв 2 немецких солдат в плен, без потерь вернулись в часть.</w:t>
      </w:r>
    </w:p>
    <w:p w14:paraId="11DF536D"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Танк противника прошёл через окоп, в котором находился сержант Отов. Смелый боец поднялся и метнул в него зажигательную бутылку. Немецкий танк сгорел.</w:t>
      </w:r>
    </w:p>
    <w:p w14:paraId="3F9046C7"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действующий в одном из районов Витебской области, организовал крушение двух воинских эшелонов противника. Во время крушения сгорело 20 вагонов, 4 цистерны с горючим и убито свыше 200 немецко-фашистских оккупантов. В другом районе партизанские отряды под командованием тт. К. и К. совершили налёт на немецкий гарнизон, расположённый в одном селе. Партизаны забросали гранатами помещения, где находились гитлеровцы. Истреблено 40 немецкихс олдат, выбежавших из домов на улицу.</w:t>
      </w:r>
    </w:p>
    <w:p w14:paraId="1CF81364"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Украинские партизаны в одном из районов Сумской области напали на немецкий гарнизон в селе Я. Оккупанты вначале открыли сильный огонь из пулемётов и винтовок, но, заметив, что партизаны окружают село, бежали на автомашинах. Во время этой операции убито 50 и ранено 12 гитлеровцев. Партизаны захватили оружие и боеприпасы.</w:t>
      </w:r>
    </w:p>
    <w:p w14:paraId="740CA7A9"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письмах из Германии, найденных у убитых немецких солдат, родные сообщают о гибели посевов и о плохих видах на урожай. Немецкому унтер-офицеру Отто Юнгу пишут: «...Пшеница и клевер пропали, рожь гибнет». Ефрейтору Эрвину Дамме сообщают: «...Озимые почти все вымерзли... кормов нет...» Эмиль Вернер пишет обер-ефрейтору Эдлинду Вернеру: «Урожай в этом году будет скудный. Многие съели уже последний картофель. Сено тоже кончилось. Многим пришлось пересеять клевер. Всходы ржи и пшеницы очень редкие и ничего хорошего не обещают. Отец говорит, что если будет неурожай, то война скорее кончится».</w:t>
      </w:r>
    </w:p>
    <w:p w14:paraId="2488F169"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заводах Круппа (Германия) после каждой воздушной тревоги тысячи рабочих демонстративно опаздывают или вовсе не выходят на работу. На одном из заводов в июне месяце было в три раза больше прогулов, чем в мае. После налётов английской авиации на Эссен многие рабочие покинули предприятия и бежали в сельские местности.» (14945).</w:t>
      </w:r>
    </w:p>
    <w:p w14:paraId="34A21C17" w14:textId="77777777" w:rsidR="00B65961" w:rsidRPr="001E2C69" w:rsidRDefault="00B65961" w:rsidP="00722885">
      <w:pPr>
        <w:spacing w:after="0" w:line="240" w:lineRule="auto"/>
        <w:jc w:val="both"/>
        <w:rPr>
          <w:rFonts w:ascii="Times New Roman" w:hAnsi="Times New Roman"/>
          <w:color w:val="000000" w:themeColor="text1"/>
          <w:sz w:val="16"/>
          <w:szCs w:val="16"/>
        </w:rPr>
      </w:pPr>
    </w:p>
    <w:p w14:paraId="4A1C7B1E"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7 июля</w:t>
      </w:r>
      <w:r w:rsidRPr="001E2C69">
        <w:rPr>
          <w:rFonts w:ascii="Times New Roman" w:hAnsi="Times New Roman"/>
          <w:color w:val="000000" w:themeColor="text1"/>
          <w:sz w:val="16"/>
          <w:szCs w:val="16"/>
        </w:rPr>
        <w:t xml:space="preserve"> в 1942 году вечернее сообщение Совинформбюро:</w:t>
      </w:r>
    </w:p>
    <w:p w14:paraId="41AC02CB"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7 июля продолжались ожесточённые бои западнее Воронежа и юго-западнее Старый Оскол.</w:t>
      </w:r>
    </w:p>
    <w:p w14:paraId="7EF3F7DD"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7078DC7B"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6 июля частями нашей авиации на различных участках фронта уничтожено или повреждено несколько десятков немецких танков, 75 автомашин с войсками и грузами, 46 повозок с боеприпасами, подавлен огонь 4 дивизионов полевой и зенитной артиллерии и двух отдельных батарей, разбито три железнодорожных состава, взорван склад с боеприпасами, рассеяно и частью уничтожено до полка пехоты и два эскадрона конницы противника.</w:t>
      </w:r>
    </w:p>
    <w:p w14:paraId="67AF5CFB"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Юго-западнее Старого Оскола идут напряжённые бои с пехотой и танковыми войсками противника. На одном из участков немцы бросили в атаку около 200 танков и значительное количество пехоты. Артиллеристы, миномётчики, бронебойщики и танкисты стойко встретили гитлеровцев и подбили 80 немецких танков. Огромный урон понесла также и пехота противника. Наши бойцы в упор расстреливали гитлеровцев из пулемётов, автоматов и винтовок. Уничтожив несколько сот солдат и офицеров противника, наши части отошли на новый, заранее подготовленный оборонительный рубеж.</w:t>
      </w:r>
    </w:p>
    <w:p w14:paraId="4D8F0497"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западнее Воронежа наша танковая часть сдерживает напор крупных сил противника. В результате боя в течение дня уничтожено 700 гитлеровцев, 14 немецких танков, 6 противотанковых орудий, 7 автомашин и 2 миномётные батареи. На другом участке наши артиллеристы и пехотинцы в течениедвух дней отстаивали населённый пункт от превосходящих сил противника. На подступах к селу гитлеровцы потеряли только убитыми свыше 1.000 солдат и офицеров.</w:t>
      </w:r>
    </w:p>
    <w:p w14:paraId="02AFF4EB"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Большой урон противнику наносят артиллеристы, действующие на одном из участков Калининского фронта. Немцы пытались окружить и уничтожить батарею лейтенанта Шишкина. Семь раз гитлеровцы переходили в атаку на батарею, и каждый раз, неся большие потери, откатывались назад. В этом бою противник потерял свыше батальона пехоты, 2 орудия, пулемёты, автоматы, винтовки и другое вооружение.</w:t>
      </w:r>
    </w:p>
    <w:p w14:paraId="3353899A"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Наша часть (Ленинградский фронт) за два дня боёв уничтожила 8 вражеских ДЗОТов и блиндажей, 2 наблюдательных пункта, противотанковое орудие и 2 станковых пулемёта. Взорвано 2 склада с боеприпасами. Взяты пленные. Противник потерял убитыми до 200 солдат и офицеров.</w:t>
      </w:r>
    </w:p>
    <w:p w14:paraId="26D2B590"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Две роты пехоты противника пытались выбить наше подразделение, занявшее высоту на одном из участков Южного фронта. Встреченные сильным огнём, гитлеровцы отступили, потеряв при этом убитыми свыше 100 солдат и офицеров.</w:t>
      </w:r>
    </w:p>
    <w:p w14:paraId="7C8C0CE8"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Артиллеристы части, где командиром тов. Епифанов, подавили огонь вражеской батареи 75-мм орудий, разбили 2 блиндажа, уничтожили несколько автомашин и 70 гитлеровцев.</w:t>
      </w:r>
    </w:p>
    <w:p w14:paraId="23D817F2"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Подразделение зенитчиков лейтенанта Ковзела сбило тяжёлый транспортный самолёт противника.</w:t>
      </w:r>
    </w:p>
    <w:p w14:paraId="341B558A"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Несколько партизанских отрядов под командованием товарищей В. и Г., действующих в одном из районов Ленинградской области, за 25 дней июня истребили 150 оккупантов, уничтожили 2 автомашины с военным грузом, 7 повозок с боеприпасами и захватили у немцев трофеи.</w:t>
      </w:r>
    </w:p>
    <w:p w14:paraId="17AD5292"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Взятый в плен на одном из участков Западного фронта унтер-офицер немецкой танковой дивизии Ганс Зигерт рассказал: «Я нахожусь на Восточном фронте с первого дня войны. Когда мы начали поход, в роте было 220 человек. В течение года она девять раз получала пополнение, и тем не менее сейчас в роте насчитывается около 100 солдат. В моём взводе из 48 солдат уцелело только трое: фельдфебель Отто и два ефрейтора. Один из них недавно в тесном кругу товарищей заявил: «Если война будет ещё долго продолжаться, я брошу винтовку и перебегу к русским». На днях вернулся из командировки мой сослуживец обер-ефрейтор Кюнрих. Он был в Германии и заезжал к себе на родину. Кюнрих приехал очень расстроенный. Он сообщил, что в тылу происходят отвратительные дела, эсэсовцы безобразничают с жёнами солдат и воруют всюду. Мы на фронте страдаем, а они наживаются на войне».</w:t>
      </w:r>
    </w:p>
    <w:p w14:paraId="6F4570CB"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Среди рабочих германской горно-рудной промышленности резко увеличилось число случаев саботажа и диверсий. Шахтёры рудника, расположенного близ Аахена, организовали на подземной железной дороге крушение поезда с углём. Работа была приостановлена в течение суток.» (14945).</w:t>
      </w:r>
    </w:p>
    <w:p w14:paraId="56052012" w14:textId="77777777" w:rsidR="00B65961" w:rsidRPr="001E2C69" w:rsidRDefault="00B65961" w:rsidP="00722885">
      <w:pPr>
        <w:spacing w:after="0" w:line="240" w:lineRule="auto"/>
        <w:jc w:val="both"/>
        <w:rPr>
          <w:rFonts w:ascii="Times New Roman" w:hAnsi="Times New Roman"/>
          <w:color w:val="000000" w:themeColor="text1"/>
          <w:sz w:val="16"/>
          <w:szCs w:val="16"/>
        </w:rPr>
      </w:pPr>
    </w:p>
    <w:p w14:paraId="1DAC23FD"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7 июля</w:t>
      </w:r>
      <w:r w:rsidRPr="001E2C69">
        <w:rPr>
          <w:rFonts w:ascii="Times New Roman" w:hAnsi="Times New Roman"/>
          <w:color w:val="000000" w:themeColor="text1"/>
          <w:sz w:val="16"/>
          <w:szCs w:val="16"/>
        </w:rPr>
        <w:t xml:space="preserve"> в 1942 году Ставка ВГК разделила Брянский фронт на Брянский и Воронежский (20 октября 1943 переименован в 1-й Украинский. фронт) фронты. Командующий Воронежским фронтом - генерал-лейтенант (с января 1943 генерал-полковник) Ф.И.Голиков (июль 1942, октябрь 1942 - март 1943), генерал-лейтенант (с декабря 1942 генерал-полковник, с февраля 1943 генерал армии) Н.Ф.Ватутин (июль-октябрь1942, март-октябрь 1943), члены Военного совета - корпусной комиссар </w:t>
      </w:r>
      <w:r w:rsidRPr="001E2C69">
        <w:rPr>
          <w:rFonts w:ascii="Times New Roman" w:hAnsi="Times New Roman"/>
          <w:color w:val="000000" w:themeColor="text1"/>
          <w:sz w:val="16"/>
          <w:szCs w:val="16"/>
        </w:rPr>
        <w:lastRenderedPageBreak/>
        <w:t>И.3.Сусайков (июль-сентябрь 1942), корпусной комиссар Л.3.Мехлис (сентябрь-октябрь 1942), армейский комиссар 2-го ранга (с декабря 1942 генерал-лейтенант) Ф.Ф.Кузнецов (октябрь 1942 - март 1943), генерал-лейтенант Ф.Ф.Кузнецов (октябрь 1942 - март 1943), генерал-лейтенант Н.С.Хрущев (март-октябрь 1943), генерал-майор К.В.Крайнюков (октябрь 1943), начальник. штаба - генерал-майор Ф.И.Шевченко (июль 1942), генерал-лейтенант М.И.Казаков (июль 1942 - февраль 1943), генерал-майор А.П.Пилипенко (февраль-март 1943), генерал-майор Ф.К.Корженевич (март-май 1943), генерал-лейтенант С.П.Иванов (май-октябрь 1943) (14945).</w:t>
      </w:r>
    </w:p>
    <w:p w14:paraId="6FED6564" w14:textId="77777777" w:rsidR="00B65961" w:rsidRPr="001E2C69" w:rsidRDefault="00B65961" w:rsidP="00722885">
      <w:pPr>
        <w:spacing w:after="0" w:line="240" w:lineRule="auto"/>
        <w:jc w:val="both"/>
        <w:rPr>
          <w:rFonts w:ascii="Times New Roman" w:hAnsi="Times New Roman"/>
          <w:color w:val="000000" w:themeColor="text1"/>
          <w:sz w:val="16"/>
          <w:szCs w:val="16"/>
        </w:rPr>
      </w:pPr>
    </w:p>
    <w:p w14:paraId="0157AE49"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7 июля 1942 в корму танка КВ-1 комиссара бригады старшего батальонного комиссара Седякина попа</w:t>
      </w:r>
      <w:r w:rsidRPr="001E2C69">
        <w:rPr>
          <w:color w:val="000000" w:themeColor="text1"/>
          <w:sz w:val="16"/>
          <w:szCs w:val="16"/>
        </w:rPr>
        <w:softHyphen/>
        <w:t>ла бомба калибра 50 кг. В результате взрыва было сорвано крыло, разбиты триплекс и телескопиче</w:t>
      </w:r>
      <w:r w:rsidRPr="001E2C69">
        <w:rPr>
          <w:color w:val="000000" w:themeColor="text1"/>
          <w:sz w:val="16"/>
          <w:szCs w:val="16"/>
        </w:rPr>
        <w:softHyphen/>
        <w:t>ский прицел. Экипаж остался цел, а сам танк остал</w:t>
      </w:r>
      <w:r w:rsidRPr="001E2C69">
        <w:rPr>
          <w:color w:val="000000" w:themeColor="text1"/>
          <w:sz w:val="16"/>
          <w:szCs w:val="16"/>
        </w:rPr>
        <w:softHyphen/>
        <w:t>ся на ходу и боеспособности не потерял.</w:t>
      </w:r>
    </w:p>
    <w:p w14:paraId="1BC5CADD" w14:textId="77777777" w:rsidR="00B33D31" w:rsidRPr="001E2C69" w:rsidRDefault="00B33D3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этот же день бомба калибром 500—1000 кг упала на расстоянии 0,5—0,8 м от танка командира бригады полковника Вовченко. От взрыва образо</w:t>
      </w:r>
      <w:r w:rsidRPr="001E2C69">
        <w:rPr>
          <w:color w:val="000000" w:themeColor="text1"/>
          <w:sz w:val="16"/>
          <w:szCs w:val="16"/>
        </w:rPr>
        <w:softHyphen/>
        <w:t>валась воронка диаметром 18 м и глубиной до 5 м. Танк основательно встряхнуло, затем он опустил</w:t>
      </w:r>
      <w:r w:rsidRPr="001E2C69">
        <w:rPr>
          <w:color w:val="000000" w:themeColor="text1"/>
          <w:sz w:val="16"/>
          <w:szCs w:val="16"/>
        </w:rPr>
        <w:softHyphen/>
        <w:t>ся в образовавшуюся воронку. У танка оказались разбитыми триплекс и телескопический прицел, сорвана гусеница. Экипаж был легко контужен. Че</w:t>
      </w:r>
      <w:r w:rsidRPr="001E2C69">
        <w:rPr>
          <w:color w:val="000000" w:themeColor="text1"/>
          <w:sz w:val="16"/>
          <w:szCs w:val="16"/>
        </w:rPr>
        <w:softHyphen/>
        <w:t>рез 5 часов исправленный танк и экипаж пошли в бой (17500).</w:t>
      </w:r>
    </w:p>
    <w:p w14:paraId="0E043770" w14:textId="77777777" w:rsidR="00B33D31" w:rsidRPr="001E2C69" w:rsidRDefault="00B33D31" w:rsidP="00722885">
      <w:pPr>
        <w:spacing w:after="0" w:line="240" w:lineRule="auto"/>
        <w:jc w:val="both"/>
        <w:rPr>
          <w:rFonts w:ascii="Times New Roman" w:hAnsi="Times New Roman"/>
          <w:color w:val="000000" w:themeColor="text1"/>
          <w:sz w:val="16"/>
          <w:szCs w:val="16"/>
        </w:rPr>
      </w:pPr>
    </w:p>
    <w:p w14:paraId="52CF76AD"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7 июля</w:t>
      </w:r>
      <w:r w:rsidRPr="001E2C69">
        <w:rPr>
          <w:rFonts w:ascii="Times New Roman" w:hAnsi="Times New Roman"/>
          <w:color w:val="000000" w:themeColor="text1"/>
          <w:sz w:val="16"/>
          <w:szCs w:val="16"/>
        </w:rPr>
        <w:t xml:space="preserve"> в 1942 году в Севастополе немецко-румынские войска установили полный контроль над побережьем и начали прочесывание штолен, береговых батарей и подвалов в городе. «Зачистка» территории СОР закончена к 12 июля. В Берлине под председательством Геббельса состоялось первое секретное совещание, как охарактеризовать события в Крыму и пояснить факт тотального сопротивления войск и местного населения в Севастополе? Следующее совещание состоится 9 июля, когда Геббельс лично запретит всякое упоминание в немецких СМИ о сопротивлении противника в районе Севастополя (14945).</w:t>
      </w:r>
    </w:p>
    <w:p w14:paraId="7C08A8C4" w14:textId="77777777" w:rsidR="00B65961" w:rsidRPr="001E2C69" w:rsidRDefault="00B65961" w:rsidP="00722885">
      <w:pPr>
        <w:spacing w:after="0" w:line="240" w:lineRule="auto"/>
        <w:jc w:val="both"/>
        <w:rPr>
          <w:rFonts w:ascii="Times New Roman" w:hAnsi="Times New Roman"/>
          <w:color w:val="000000" w:themeColor="text1"/>
          <w:sz w:val="16"/>
          <w:szCs w:val="16"/>
        </w:rPr>
      </w:pPr>
    </w:p>
    <w:p w14:paraId="733F6E85" w14:textId="77777777" w:rsidR="00AE7191" w:rsidRPr="001E2C69" w:rsidRDefault="00AE7191" w:rsidP="00722885">
      <w:pPr>
        <w:pStyle w:val="a4"/>
        <w:rPr>
          <w:color w:val="000000" w:themeColor="text1"/>
          <w:lang w:val="ru-RU"/>
        </w:rPr>
      </w:pPr>
      <w:r w:rsidRPr="001E2C69">
        <w:rPr>
          <w:color w:val="000000" w:themeColor="text1"/>
          <w:lang w:val="ru-RU"/>
        </w:rPr>
        <w:t>7 июля 1942 в корму танка КВ-1 комиссара бригады старшего батальонного комиссара Седякина попала бомба калибра 50 кг. В результате взрыва было сорвано крыло, разбиты триплекс и телескопический при</w:t>
      </w:r>
      <w:r w:rsidRPr="001E2C69">
        <w:rPr>
          <w:color w:val="000000" w:themeColor="text1"/>
          <w:lang w:val="ru-RU"/>
        </w:rPr>
        <w:softHyphen/>
        <w:t>цел . Экипаж остался цел, а сам танк остался на ходу и боеспособности не потерял.</w:t>
      </w:r>
    </w:p>
    <w:p w14:paraId="637FE651" w14:textId="77777777" w:rsidR="00AE7191" w:rsidRPr="001E2C69" w:rsidRDefault="00AE7191" w:rsidP="00722885">
      <w:pPr>
        <w:pStyle w:val="a4"/>
        <w:rPr>
          <w:color w:val="000000" w:themeColor="text1"/>
          <w:lang w:val="ru-RU"/>
        </w:rPr>
      </w:pPr>
      <w:r w:rsidRPr="001E2C69">
        <w:rPr>
          <w:color w:val="000000" w:themeColor="text1"/>
          <w:lang w:val="ru-RU"/>
        </w:rPr>
        <w:t>В этот же день бомба калибром 500- 1000 кг упала на расстоянии 0,5-0,8 м от танка командира бригады полковника Вовченко. От взрыва образовалась воронка диаметром 18 м и глубиной до 5 м. Танк основательно встряхнуло, затем он сполз в образовавшуюся воронку. У танка оказались разбитыми триплекс и телескопический прицел, сорвана гусеница. Экипаж был легко контужен. Через 5 ч исправленный танк и экипаж пошли в бой.</w:t>
      </w:r>
    </w:p>
    <w:p w14:paraId="3CB390F6" w14:textId="77777777" w:rsidR="00AE7191" w:rsidRPr="001E2C69" w:rsidRDefault="00AE7191" w:rsidP="00722885">
      <w:pPr>
        <w:pStyle w:val="a4"/>
        <w:rPr>
          <w:color w:val="000000" w:themeColor="text1"/>
          <w:lang w:val="ru-RU"/>
        </w:rPr>
      </w:pPr>
      <w:r w:rsidRPr="001E2C69">
        <w:rPr>
          <w:color w:val="000000" w:themeColor="text1"/>
          <w:lang w:val="ru-RU"/>
        </w:rPr>
        <w:t>По заявлению командира 1 -го батальона 71 -й танковой бригады майора Я.И. Плисова в марте 1942 г. в районе г. Холм в поле остался один тяжелый танк КВ-1, который авиация противника пыталась уничтожить в течение двух дней. В общей сложности по танку «работало» около 60 самолетов 87, ^ 88 и Не111. Пилоты люфтваффе бомбили танк и с пикирования и с горизонтального полета, но безрезультатно. Вся земля вокруг танка и в непосредственной близости от него была изрыта воронками, но прямых попаданий не было. Осколки поражения танку не причинили (12733).</w:t>
      </w:r>
    </w:p>
    <w:p w14:paraId="4FCCF78C" w14:textId="77777777" w:rsidR="00AE7191" w:rsidRPr="001E2C69" w:rsidRDefault="00AE7191" w:rsidP="00722885">
      <w:pPr>
        <w:pStyle w:val="a4"/>
        <w:rPr>
          <w:color w:val="000000" w:themeColor="text1"/>
          <w:lang w:val="ru-RU"/>
        </w:rPr>
      </w:pPr>
    </w:p>
    <w:p w14:paraId="054188F5"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в Севастополе немецко-румынские войска установили полный контроль над побережьем и начали прочесывание штолен, береговых батарей и подвалов в городе. “Зачистка” территории СОР закончена к 12 июля. В Берлине под председательством Геббельса состоялось первое секретное совещание, как охарактеризовать события в Крыму и пояснить факт тотального сопротивления войск и местного населения в Севастополе? Следующее совещание состоится 9 июля, когда Геббельс лично запретит всякое упоминание в немецких СМИ о сопротивлении противника в районе Севастополя (4963 ).</w:t>
      </w:r>
    </w:p>
    <w:p w14:paraId="3E2FE357"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314D4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ночь на 7 июля 1942 перешедшие в наступление 4-я танковая и 6-я армии немцев к вечеру, двигаясь вдоль правого берега Дона, заняли Россошь.</w:t>
      </w:r>
    </w:p>
    <w:p w14:paraId="546DAFD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Командование 28-й армии приказало командиру 23-го танкового корпуса, не считаясь ни с какими потерями, к утру 8 июля взять Рос- сошь обратно. Получив этот приказ, командование корпуса назвало его авантюрой, так как к указанному сроку вывести бригады из боя и сконцентрировать их на выполнение поставленной задачи было невозможно.</w:t>
      </w:r>
    </w:p>
    <w:p w14:paraId="0EFFEDA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Использовав все возможности для быстрейшего выполнения приказа, командование корпуса лишь в 10.30 утра 8 июля собрало остатки бригад, передав все оставшиеся к этому времени в строю танки (40 машин, из них до половины Т-34) 6-й гвардейской танковой бригаде.</w:t>
      </w:r>
    </w:p>
    <w:p w14:paraId="0B4BEC2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Утром 8 мая командование 6-й гвардейской танковой бригады бросило танки в бой в направлении на Россошь без разведки. В результате наши танки неожиданно столкнулись с немецкими танками и артиллерией и, потеряв несколько машин, отошли. Прибыв около 9.00 в расположение бригады, командир корпуса выяснил, что часть танков из-за отсутствия масла и топлива отстали и стоят в пути, а прибывшие также не имеют горючего. Вскоре на одной из авиабаз удалось достать около тонны топлива и немного масла, минимально заправить танки и выступить на Россошь, до которой предстояло пройти около 40 километров. Имея минимум горючего и крайне мало боеприпасов, 6-я гвардейская танковая бригада не могли вести длительного боя и фактически были обречены на гибель.</w:t>
      </w:r>
    </w:p>
    <w:p w14:paraId="7AAEF2D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10 июля, вследствие неправильного использования 23-го танкового корпуса, его бригады остались без материальной части, потеряв при этом значительную часть своего личного состава (12217).</w:t>
      </w:r>
    </w:p>
    <w:p w14:paraId="24A66903"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F17625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1 млн. немецких солдат начали наступление на Кавказ (2245,7).</w:t>
      </w:r>
    </w:p>
    <w:p w14:paraId="5F24A40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5AD7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lang w:val="en-US"/>
        </w:rPr>
        <w:t>July 7th, 1942: In the East, units of 4.Panzerarmee (Hoth) capture Voronesh on the Don (3819).</w:t>
      </w:r>
    </w:p>
    <w:p w14:paraId="23CD3B1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360174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части 4ТА (Хот) захватили Воронеж (3819).</w:t>
      </w:r>
    </w:p>
    <w:p w14:paraId="6868D9C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78685D"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Внешняя политика:</w:t>
      </w:r>
    </w:p>
    <w:p w14:paraId="3B4877E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2D852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года было отправлено:</w:t>
      </w:r>
    </w:p>
    <w:p w14:paraId="7B5A230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 В. СТАЛИН Ф. РУЗВЕЛЬТУ*</w:t>
      </w:r>
    </w:p>
    <w:p w14:paraId="4BFD9E2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Ввиду создавшегося для союзных войск положения в Египте не возражаю против передачи 40 бомбардировщиков А-20 из числа находящихся в Ираке для СССР на египетский фронт (7430).</w:t>
      </w:r>
    </w:p>
    <w:p w14:paraId="5BAA02D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3B8118"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За рубежом:</w:t>
      </w:r>
    </w:p>
    <w:p w14:paraId="19D435C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201F1B" w14:textId="77777777" w:rsidR="00B65961" w:rsidRPr="001E2C69" w:rsidRDefault="00B6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7 июля</w:t>
      </w:r>
      <w:r w:rsidRPr="001E2C69">
        <w:rPr>
          <w:rFonts w:ascii="Times New Roman" w:hAnsi="Times New Roman"/>
          <w:color w:val="000000" w:themeColor="text1"/>
          <w:sz w:val="16"/>
          <w:szCs w:val="16"/>
        </w:rPr>
        <w:t xml:space="preserve"> в 1942 году поступил на вооружение прототип «V5» немецкого дальнего морского разведчика - патрульного самолета </w:t>
      </w:r>
      <w:hyperlink r:id="rId136" w:tgtFrame="_blank" w:history="1">
        <w:r w:rsidRPr="001E2C69">
          <w:rPr>
            <w:rFonts w:ascii="Times New Roman" w:hAnsi="Times New Roman"/>
            <w:color w:val="000000" w:themeColor="text1"/>
            <w:sz w:val="16"/>
            <w:szCs w:val="16"/>
          </w:rPr>
          <w:t xml:space="preserve">«Blohm und Voss» «BV.222C» «Wiking», </w:t>
        </w:r>
      </w:hyperlink>
      <w:r w:rsidRPr="001E2C69">
        <w:rPr>
          <w:rFonts w:ascii="Times New Roman" w:hAnsi="Times New Roman"/>
          <w:color w:val="000000" w:themeColor="text1"/>
          <w:sz w:val="16"/>
          <w:szCs w:val="16"/>
        </w:rPr>
        <w:t xml:space="preserve">который действовал в составе эскадрильи воздушного сообщения "Ц". Пока не присоединились к «ВV.222-V1», вернувшемуся в строй 10 мая 1942года в составе воздушно-транспортной эскадрильи «See-222». «ВV.222-V3» в мае был отправлен в Бискайский залив в качестве дальнего разведчика в состав командования "Атлантик". В течении лета LTS «Sее-222» была дополнена </w:t>
      </w:r>
      <w:hyperlink r:id="rId137" w:tgtFrame="_blank" w:history="1">
        <w:r w:rsidRPr="001E2C69">
          <w:rPr>
            <w:rFonts w:ascii="Times New Roman" w:hAnsi="Times New Roman"/>
            <w:color w:val="000000" w:themeColor="text1"/>
            <w:sz w:val="16"/>
            <w:szCs w:val="16"/>
          </w:rPr>
          <w:t xml:space="preserve">«BV.222-V2», </w:t>
        </w:r>
      </w:hyperlink>
      <w:r w:rsidRPr="001E2C69">
        <w:rPr>
          <w:rFonts w:ascii="Times New Roman" w:hAnsi="Times New Roman"/>
          <w:color w:val="000000" w:themeColor="text1"/>
          <w:sz w:val="16"/>
          <w:szCs w:val="16"/>
        </w:rPr>
        <w:t>который задержался с испытаниями в Травемюнде, и «V6», поступившими 10 и 21 августа. Всего с возвращением 26 октября «VЗ» штат подразделения составили шесть "Викингов" (14945).</w:t>
      </w:r>
    </w:p>
    <w:p w14:paraId="54564CC3" w14:textId="77777777" w:rsidR="00B65961" w:rsidRPr="001E2C69" w:rsidRDefault="00B65961" w:rsidP="00722885">
      <w:pPr>
        <w:spacing w:after="0" w:line="240" w:lineRule="auto"/>
        <w:jc w:val="both"/>
        <w:rPr>
          <w:rFonts w:ascii="Times New Roman" w:hAnsi="Times New Roman"/>
          <w:color w:val="000000" w:themeColor="text1"/>
          <w:sz w:val="16"/>
          <w:szCs w:val="16"/>
        </w:rPr>
      </w:pPr>
    </w:p>
    <w:p w14:paraId="0DCBBBB8"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немецким флотом южнее Шпицбергена уничтожены две трети американского конвоя (23 корабля) с 430 танками, шедшими в СССР (самые большие потери в истории морских конвоев) (4962).</w:t>
      </w:r>
    </w:p>
    <w:p w14:paraId="5BED4461"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652278"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на встрече с нацистскими докторами Гиммлер распорядился начать медицинские эксперименты в концлагерях (4962).</w:t>
      </w:r>
    </w:p>
    <w:p w14:paraId="1AE81848"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F84EF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Гимлер разрешил эксперименты по стерилизации в Освенциме (1798).</w:t>
      </w:r>
    </w:p>
    <w:p w14:paraId="54F9EDC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25121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В-18 американской авиации впервые уверенно потопила немецкую подлодку у Атлантического побережья (2255).</w:t>
      </w:r>
    </w:p>
    <w:p w14:paraId="1034BC4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28A0AD"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японские войска захватили остров Гвадалканал (Соломоновы острова) (4962).</w:t>
      </w:r>
    </w:p>
    <w:p w14:paraId="7BA8EA5B"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33994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японские войска вели наступление на Соломоновых островах и овладели Гуадалканалом (3907,236).</w:t>
      </w:r>
    </w:p>
    <w:p w14:paraId="488BE1C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5A2041"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1942 ВВС армии США активизируют Целевое воздушное соединение Китая (20793).</w:t>
      </w:r>
    </w:p>
    <w:p w14:paraId="6D94052D" w14:textId="77777777" w:rsidR="00442DB8" w:rsidRPr="001E2C69" w:rsidRDefault="00442DB8" w:rsidP="00722885">
      <w:pPr>
        <w:spacing w:after="0" w:line="240" w:lineRule="auto"/>
        <w:jc w:val="both"/>
        <w:rPr>
          <w:rFonts w:ascii="Times New Roman" w:hAnsi="Times New Roman"/>
          <w:color w:val="000000" w:themeColor="text1"/>
          <w:sz w:val="16"/>
          <w:szCs w:val="16"/>
        </w:rPr>
      </w:pPr>
    </w:p>
    <w:p w14:paraId="396176D8"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Авиапромышленность:</w:t>
      </w:r>
    </w:p>
    <w:p w14:paraId="6B19175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A1E49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8 по 19 июля 1942 прошли испытания УИЛ-2 и Як-7в с М-105 с целью возможностей приспособления одного из них для обслуживания задач артиллерии на современном поле боя (1633,182).</w:t>
      </w:r>
    </w:p>
    <w:p w14:paraId="29CA2E5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61C5F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июля 1942 М.К.Янгель, находившийся в Москве, писал жене И.В.Стражевой в Новосибирск, о том, что А.И.Ш. предлагал ему выделить московский завод Н.Н.П., дать ему новый номер и стать во главе (2495,41).</w:t>
      </w:r>
    </w:p>
    <w:p w14:paraId="5DF5155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4148D5"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Другие оборонные отрасли:</w:t>
      </w:r>
    </w:p>
    <w:p w14:paraId="4993E81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00105E"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июля 1942 г.</w:t>
      </w:r>
    </w:p>
    <w:p w14:paraId="1A80B546"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РГАЭ Фонд 8752 Опись 4 Дело 92 лист 14 – 13</w:t>
      </w:r>
    </w:p>
    <w:p w14:paraId="56B71113"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Секретно</w:t>
      </w:r>
    </w:p>
    <w:p w14:paraId="4816ED27"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 НАРОДНОГО КОМИССАРА ТАНКОВОЙ ПРОМЫШЛЕННОСТИ СОЮЗА ССР № 505с</w:t>
      </w:r>
    </w:p>
    <w:p w14:paraId="3294D68C"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Москва</w:t>
      </w:r>
    </w:p>
    <w:p w14:paraId="12F7897C"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июля 1942 г.</w:t>
      </w:r>
    </w:p>
    <w:p w14:paraId="3D621E9B"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План производства запасных частей к танкам и моторам, установленный на июнь месяц с.г. постановлением Государственного Комитета Обороны и приказом НКТП № 332с от 12.IV-42 г., выполнен заводами совершенно неудовлетворительно, всего на 60,1%. Отдельные заводы Наркомтанкопрома дали следующие результаты по выполнению плана запасных частей июня месяца:</w:t>
      </w:r>
    </w:p>
    <w:p w14:paraId="783D01DD"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Завод № 37 (директор т. Фрезеров) – 122%</w:t>
      </w:r>
    </w:p>
    <w:p w14:paraId="577D6828"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Завод № 264 (директор т. Кордунер) – 112,5%</w:t>
      </w:r>
    </w:p>
    <w:p w14:paraId="01119D87"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Завод № 38 (директор т. Яковлев) – 105,0%</w:t>
      </w:r>
    </w:p>
    <w:p w14:paraId="1BD4F31A"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Завод № 76 (директор т. Кочетков) – 104,0%</w:t>
      </w:r>
    </w:p>
    <w:p w14:paraId="537EE29E"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Кировский завод (и.о. директора т. Махонин) – 63,3%</w:t>
      </w:r>
    </w:p>
    <w:p w14:paraId="45C8B940"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Завод № 183 (директор т. Максарев) – 58,2%</w:t>
      </w:r>
    </w:p>
    <w:p w14:paraId="4077B959"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СТЗ (директор т. Задорожный) – 54,5%</w:t>
      </w:r>
    </w:p>
    <w:p w14:paraId="4C0E50CA"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ЗЭМ (директор т. Мороз) – 44,4%</w:t>
      </w:r>
    </w:p>
    <w:p w14:paraId="5C3E3DD5"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Завод № 112 (директор т. Рубинчик) – 30,2%</w:t>
      </w:r>
    </w:p>
    <w:p w14:paraId="5AD6F629"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Завод № 174 (директор т. Кацнельсон) – 28,7%.</w:t>
      </w:r>
    </w:p>
    <w:p w14:paraId="03AE5E50"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Неудовлетворительно выполнили план июня по запасным частям заводы: Кировский, № 183, СТЗ, ЗЭМ, № 112 и № 174. Исключительно плохо работали на протяжении всего II кв. заводы: СТЗ, № 174 и ЗЭМ. Командный состав заводов: Кировского и № 183 в июне месяце не сумел закрепить успехи социалистического соревнования танковых заводов и высокий уровень работы мая месяца.</w:t>
      </w:r>
    </w:p>
    <w:p w14:paraId="5364C741"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Несмотря на неоднократные указания заводам о равномерном выпуске танковых запасных частей, сдача таковых по большинству заводов относится на конец месяца. Суточный график, установленный приказом НКТП № 415с от 22.V-42 г. заводами не выполнялся.</w:t>
      </w:r>
    </w:p>
    <w:p w14:paraId="5C3CD830"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Директора указанных заводов не сделали практических выводов из постановления ГОКО № 1416сс и приказов НКТП № 267с от 12.III-42 г. и № 397с от 11.V-42 г. о том, что для обеспечения боеспособности Красной Армии снабжение запасными частями является делом особой важности.</w:t>
      </w:r>
    </w:p>
    <w:p w14:paraId="253E7F88"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ПРИКАЗЫВАЮ:</w:t>
      </w:r>
    </w:p>
    <w:p w14:paraId="69AF52EE"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Отметить, что заводы: № 37, №264, № 38 и № 76 перевыполнили план июня по производству запчастей и систематически выполняли план в течение II кв. с.г.</w:t>
      </w:r>
    </w:p>
    <w:p w14:paraId="060D5C17"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За срыв выполнения плана производства запасных частей для танков Т-34 директору СТЗ т. ЗАДОРОЖНОМУ поставить на вид.</w:t>
      </w:r>
    </w:p>
    <w:p w14:paraId="499299D9"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Директору завода № 174 т. КАЦНЕЛЬСОН за срыв выпуска запасных частей к танкам Т-34 и Т-26 объявить выговор.</w:t>
      </w:r>
    </w:p>
    <w:p w14:paraId="1824FC37"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Директору ЗЭМ т. МОРОЗ за невыполнение плана по выпуску в запчасти танкового электрооборудования поставить на вид.</w:t>
      </w:r>
    </w:p>
    <w:p w14:paraId="5DEC9069"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Отметить, что директор завода № 183 т. МАКСАРЕВ систематически не выполняет плана по выпуску запчастей к танку БТ.</w:t>
      </w:r>
    </w:p>
    <w:p w14:paraId="576D0275"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Директорам заводов: Кировского (т. Махонину), № 183 (т. Максареву), СТЗ (т. Задорожному), № 112 (т. Рубинчик), № 174 (т. Кацнельсон) и ЗЭМ (т. Мороз) обеспечить в III кв. с.г. равномерный и комплектный выпуск и сдачу запасных частей по пятидневкам, наравне с выполнением плана по танкам и моторам.</w:t>
      </w:r>
    </w:p>
    <w:p w14:paraId="0C041514"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Категорически запретить передачу в сборочные цеха деталей и узлов, сданных отделами сбыта заводов в запасные части.</w:t>
      </w:r>
    </w:p>
    <w:p w14:paraId="13A95A30"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В цеховых суточных планах-графиках по изготовлению деталей и узлов для танков и моторов устанавливать отдельно план изготовления деталей и узлов для сдачи в запчасти в объеме не менее 1/28 месячного задания на каждые сутки.</w:t>
      </w:r>
    </w:p>
    <w:p w14:paraId="62F5A692"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Обращаю внимание директоров и главных инженеров, особенно заводов, выпускающих Т-34, на их ответственность перед страной за выполнение плана и снабжение Красной Армии запасными частями к танкам и моторам для обеспечения всего боевого танкового парка.</w:t>
      </w:r>
    </w:p>
    <w:p w14:paraId="050425A8" w14:textId="77777777" w:rsidR="00442DB8" w:rsidRPr="001E2C69" w:rsidRDefault="00442D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НАРОДНЫЙ КОМИССАР ТАНКОВОЙ ПРОМЫШЛЕННОСТИ СОЮЗА ССР подпись (И. ЗАЛЬЦМАН) (21215).</w:t>
      </w:r>
    </w:p>
    <w:p w14:paraId="0B253FC1" w14:textId="77777777" w:rsidR="00442DB8" w:rsidRPr="001E2C69" w:rsidRDefault="00442DB8" w:rsidP="00722885">
      <w:pPr>
        <w:spacing w:after="0" w:line="240" w:lineRule="auto"/>
        <w:jc w:val="both"/>
        <w:rPr>
          <w:rFonts w:ascii="Times New Roman" w:hAnsi="Times New Roman"/>
          <w:color w:val="000000" w:themeColor="text1"/>
          <w:sz w:val="16"/>
          <w:szCs w:val="16"/>
        </w:rPr>
      </w:pPr>
    </w:p>
    <w:p w14:paraId="4A3CD7C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июля 1942 года проводились испытания с заполнением головных частей керосином в объеме до 40 литров. Из пяти мин годными были признаны только две (6403, 42).</w:t>
      </w:r>
    </w:p>
    <w:p w14:paraId="1B30054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474FE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июля 1942 г. совместным приказом наркматов ВМФ и судостроительной про</w:t>
      </w:r>
      <w:r w:rsidRPr="001E2C69">
        <w:rPr>
          <w:rFonts w:ascii="Times New Roman" w:hAnsi="Times New Roman"/>
          <w:color w:val="000000" w:themeColor="text1"/>
          <w:sz w:val="16"/>
          <w:szCs w:val="16"/>
        </w:rPr>
        <w:softHyphen/>
        <w:t>мышленности предписывалось "с целью круп</w:t>
      </w:r>
      <w:r w:rsidRPr="001E2C69">
        <w:rPr>
          <w:rFonts w:ascii="Times New Roman" w:hAnsi="Times New Roman"/>
          <w:color w:val="000000" w:themeColor="text1"/>
          <w:sz w:val="16"/>
          <w:szCs w:val="16"/>
        </w:rPr>
        <w:softHyphen/>
        <w:t>носерийного производства боевых катеров, вместо 4 типов катеров (торпедных проекта Д-3 и пр. 158 и противолодочных проекта МО-4 и пр. 164) перейти на единый унифицированный тип боево</w:t>
      </w:r>
      <w:r w:rsidRPr="001E2C69">
        <w:rPr>
          <w:rFonts w:ascii="Times New Roman" w:hAnsi="Times New Roman"/>
          <w:color w:val="000000" w:themeColor="text1"/>
          <w:sz w:val="16"/>
          <w:szCs w:val="16"/>
        </w:rPr>
        <w:softHyphen/>
        <w:t>го катера по аналогии с проектом П-26, но как в деревянном, так и металлическом исполнении". Новому проекту присваивался но</w:t>
      </w:r>
      <w:r w:rsidRPr="001E2C69">
        <w:rPr>
          <w:rFonts w:ascii="Times New Roman" w:hAnsi="Times New Roman"/>
          <w:color w:val="000000" w:themeColor="text1"/>
          <w:sz w:val="16"/>
          <w:szCs w:val="16"/>
        </w:rPr>
        <w:softHyphen/>
        <w:t>мер 200, а главным конструктором оставался Л. Л. Ермаш (3898).</w:t>
      </w:r>
    </w:p>
    <w:p w14:paraId="76D14C5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69EC36"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Армия:</w:t>
      </w:r>
    </w:p>
    <w:p w14:paraId="3897A85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22BBF9"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8 июля</w:t>
      </w:r>
      <w:r w:rsidRPr="001E2C69">
        <w:rPr>
          <w:rFonts w:ascii="Times New Roman" w:hAnsi="Times New Roman"/>
          <w:color w:val="000000" w:themeColor="text1"/>
          <w:sz w:val="16"/>
          <w:szCs w:val="16"/>
        </w:rPr>
        <w:t xml:space="preserve"> в 1942 году утреннее сообщение Совинформбюро:</w:t>
      </w:r>
    </w:p>
    <w:p w14:paraId="2891FE2C"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8 июля наши войска вели бои с противником западнее Воронежа и юго-западнее Старый Оскол.</w:t>
      </w:r>
    </w:p>
    <w:p w14:paraId="03D0B91A"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7959C91F"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Западнее Воронежа продолжаются ожесточённые бои. На одном из участков крупные силы немцев пытались овладеть высотой, которую обороняло наше танковое подразделение. Танкисты стойко встретили удар. Экипаж старшего лейтенанта Салюкова несколькими выстрелами подбил немецкий танк и уничтожил два тяжёлых орудия. Экипаж танка в составе лейтенанта Баклогова, башенного стрелка Трущака, механика-водителя старшего сержанта Медведева уничтожил 4 орудия и 50гитлеровцев. В бою за высоту противник потерял убитыми сотни солдат и офицеров.</w:t>
      </w:r>
    </w:p>
    <w:p w14:paraId="0485B0B0"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участке фронта юго-западнее Старого Оскола противник, не считаясь с огромными потерями, рвётся вперёд и бросает в бой новые резервы. В одном пункте 30 немецких танков и свыше полка пехоты при поддержке авиации перешли в атаку. Наши артиллеристы встретили гитлеровцев массированным огнём и уничтожили 12 немецких танков. Под прикрытием артиллерийского огня вступили в бой наши тяжёлые танки и пехотинцы. Контрударом противник был отброшен на исходные позиции. На поле боя осталось свыше 700 вражеских трупов. Захвачены пленные. На другом участке наша часть под давлением численно превосходящих сил противника отошла на новые рубежи. В ходе боя подбито 9 немецких танков и уничтожено до 400 гитлеровцев.</w:t>
      </w:r>
    </w:p>
    <w:p w14:paraId="17D7FE52"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Две роты противника окружили взвод младшего лейтенанта Трапезникова. Наши бойцы встретили атакующих гитлеровцев дружным огнём из пулемётов и винтовок. Потеряв свыше 100 человек убитыми, немцы вынуждены были отойти.</w:t>
      </w:r>
    </w:p>
    <w:p w14:paraId="544453F9"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Командир орудия тов. Шехтер подпустил на близкое расстояние наступающую немецкую пехоту и, стреляя прямой наводкой, уничтожил 50 солдат и офицеров противника. Будучи дважды ранен, тов. Шехтер продолжал вести огонь до тех пор, пока не была отбита атака противника.</w:t>
      </w:r>
    </w:p>
    <w:p w14:paraId="5C565C89"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Красноармеец тов. Сухов меткими выстрелами из винтовки уничтожил расчёт немецкого пулемёта. Захватив пулемёт, тов. Сухов открыл из него огонь и уничтожил ещё 15 немецких солдат и офицеров.</w:t>
      </w:r>
    </w:p>
    <w:p w14:paraId="7828CEE1"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смоленских партизан под командованием тов. А. за время своей боевой деятельности уничтожил 560 немецко-фашистских оккупантов. Кроме того, партизаны, взаимодействуя с частями Красной Армии, истребили 450 гитлеровцев. Советские патриоты организовали крушение 5 воинских эшелонов противника, взорвали железнодорожный мост, уничтожили 80 километров линии телефонной связи.</w:t>
      </w:r>
    </w:p>
    <w:p w14:paraId="50958925"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Ниже публикуются выдержки из дневника убитого немецкого обер-лейтенанта Гольца:</w:t>
      </w:r>
    </w:p>
    <w:p w14:paraId="13BB3094"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января 1942 г. Выехали из Дании на Восточный фронт.</w:t>
      </w:r>
    </w:p>
    <w:p w14:paraId="0F4352F8"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января. Наш 323 пехотный полк выгрузился в Великих Луках и вступил в бой.</w:t>
      </w:r>
    </w:p>
    <w:p w14:paraId="24D2A639"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февраля. Наши потери только убитыми 750 человек.</w:t>
      </w:r>
    </w:p>
    <w:p w14:paraId="403FA00A"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февраля. Второй батальон отрезан. 10 рота потеряла 50 процентов личного состава.</w:t>
      </w:r>
    </w:p>
    <w:p w14:paraId="63EB7679"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23 февраля. Батальон разгромлен. Много товарищей погибло. Пробились только полковник Мотц, лейтенант Лютце и 85 рядовых. У каждого из нас слёзы на глазах. Командир 2 батальона 323 пехотного полка граф Кейзерлин убит. Командир 14 роты Мюллер — убит. Убитых — 396 человек, а с пропавшими без вести —свыше 600.</w:t>
      </w:r>
    </w:p>
    <w:p w14:paraId="5B2CEDCD"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марта. Наступление сорвалось. Русские дрались мужественно и одержали успех.</w:t>
      </w:r>
    </w:p>
    <w:p w14:paraId="65ABB640"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мая. Русские взорвали железнодорожный мост. Бронепоезд полетел под откос.</w:t>
      </w:r>
    </w:p>
    <w:p w14:paraId="077B9ADB"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июня. Партизаны атаковали опорный пункт. У нас убито 60 человек».</w:t>
      </w:r>
    </w:p>
    <w:p w14:paraId="2BF082BA"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мерзавцы чинят чудовищную расправу над мирными жителями города Витебска. В городе ежедневно десятки людей умирают голодной смертью. 23 июня оккупационные власти повесили 17 человек, в том числе 4 женщин, за то, что они пытались, без пропуска пробраться из города в деревню за картофелем. Недавно в Витебске был убит немецкий офицер. Гитлеровцы устроили массовые облавы и расстреляли 100 жителей города.</w:t>
      </w:r>
    </w:p>
    <w:p w14:paraId="44D3D1C4"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Восточной Боснии (Югославия) партизаны продолжают успешные операции против немецко-итальянских захватчиков. Партизаны разгромили крупные отряды жандармерии. Две итальянские альпийские дивизии, посланные для борьбы с партизанским движением, также потерпели серьёзные неудачи. За июнь месяц эти дивизии оккупантов потеряли 1.800 человек убитыми и ранеными.» (14946).</w:t>
      </w:r>
    </w:p>
    <w:p w14:paraId="0D232EE3" w14:textId="77777777" w:rsidR="0091110F" w:rsidRPr="001E2C69" w:rsidRDefault="0091110F" w:rsidP="00722885">
      <w:pPr>
        <w:spacing w:after="0" w:line="240" w:lineRule="auto"/>
        <w:jc w:val="both"/>
        <w:rPr>
          <w:rFonts w:ascii="Times New Roman" w:hAnsi="Times New Roman"/>
          <w:color w:val="000000" w:themeColor="text1"/>
          <w:sz w:val="16"/>
          <w:szCs w:val="16"/>
        </w:rPr>
      </w:pPr>
    </w:p>
    <w:p w14:paraId="19CA7669"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8 июля</w:t>
      </w:r>
      <w:r w:rsidRPr="001E2C69">
        <w:rPr>
          <w:rFonts w:ascii="Times New Roman" w:hAnsi="Times New Roman"/>
          <w:color w:val="000000" w:themeColor="text1"/>
          <w:sz w:val="16"/>
          <w:szCs w:val="16"/>
        </w:rPr>
        <w:t xml:space="preserve"> в 1942 году вечернее сообщение Совинформбюро:</w:t>
      </w:r>
    </w:p>
    <w:p w14:paraId="072D599D"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8 июля наши войска вели жестокие бои западнее Воронежа. После упорных боёв наши войска оставили город Старый Оскол.</w:t>
      </w:r>
    </w:p>
    <w:p w14:paraId="71D389BD"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5B581038"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Баренцевом море одна из наших подводных лодок атаковала новейший немецкий линкор «Тирпиц», попала в него двумя торпедами и нанесла линкору серьёзные повреждения.</w:t>
      </w:r>
    </w:p>
    <w:p w14:paraId="5C731839"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7 июля частями нашей авиации на различных участках фронта уничтожено или повреждено свыше 50 немецких танков, 90 автомашин с войсками и грузами, 125 повозок с боеприпасами, 28 автоцистерн с горючим, подавлен огонь 2 дивизионов полевой артиллерии, 6 батарей зенитной артиллерии, взорван склад с горючим и два склада с боеприпасами, рассеяно и частью уничтожено до четырёх рот пехоты противника. В Баренцевом море потоплен немецкий транспорт, и в Финском заливе повреждён транспорт противника.</w:t>
      </w:r>
    </w:p>
    <w:p w14:paraId="4675216B"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западнее Воронежа немцы бросили в атаку свыше 100 танков. Завязался танковый бой, в результате которого уничтожено 40 немецких танков.</w:t>
      </w:r>
    </w:p>
    <w:p w14:paraId="168FD021"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 бойцы и командиры показывают замечательные образцы стойкости и героизма в борьбе с превосходящими силами врага. Красноармеец тов. Вегаев ворвался в окоп противника и ручной гранатой уничтожил четырёх солдат. Немецкий офицер пытался застрелить бойца, но Вегаев быстрым ударом штыка заколол гитлеровца. Красноармеец тов. Большаков гранатой уничтожил станковый пулемёт, пулемётчика и офицера. В штыковом бою тов. Большаков вывел из строя 17 гитлеровцев. К одномуиз наших орудий приближалось несколько немецких танков. Наводчик тов. Фаустов близко подпустил противника и подбил 2 немецких танка.</w:t>
      </w:r>
    </w:p>
    <w:p w14:paraId="263035B1"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Шесть раз пытались немцы выбить из окопов взвод, которым командует тов. Воробьёв. Отважные бойцы не отступили ни на один шаг. На подступах к окопам немцы оставили до 200 трупов солдат и офицеров.</w:t>
      </w:r>
    </w:p>
    <w:p w14:paraId="22888784"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Наше танковое подразделение, где командиром тов. Котырло (Калининский фронт), в трёхдневных боях с противником уничтожило 15 немецких танков, 20 противотанковых орудий и несколько сот солдат и офицеров противника.</w:t>
      </w:r>
    </w:p>
    <w:p w14:paraId="6AC39FFA"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воздушных боях с противником истребительная авиачасть, которой командует майор Осмаков (Калининский фронт), за четыре дня сбила 16 «Юнкерсов». 4 «Мессершмитта-109» и 5 «Мессершмиттов-109-Ф».</w:t>
      </w:r>
    </w:p>
    <w:p w14:paraId="6DDD2F88"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Снайпер Фёдор Чегодаев за время Отечественной войны истребил 240 гитлеровцев. Он обучил искусству меткой стрельбы 24 красноармейца, которые под руководством тов. Чегодаева уничтожили 180 немецких оккупантов.</w:t>
      </w:r>
    </w:p>
    <w:p w14:paraId="59755BF5"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Партизаны, действующие в тылу противника на Северо-Западном фронте, пустили под откос поезд с немецкой пехотой и эшелон с автомашинами. Советские патриоты разрушили телефонно-телеграфную сеть на протяжении двух километров и уничтожили 40 оккупантов.</w:t>
      </w:r>
    </w:p>
    <w:p w14:paraId="0655A10C"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Партизанские отряды, действующие в одном из районов Ленинградской области, организовали крушение воинского эшелона противника. Разбито 38 вагонов. Партизаны этих же отрядов уничтожили три штабные автомашины противника. Убиты 9 немецких офицеров и один генерал, награждённый двумя нагрудными знаками и железным крестом.</w:t>
      </w:r>
    </w:p>
    <w:p w14:paraId="1E0FF113"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7 роты 33 полка 10 румынской пехотной дивизии Ион Самойла рассказал: «С тех пор, как немцы пришли в Румынию, она перестала быть самостоятельной страной. Немцы обобрали города, разорили деревни. Всё ценное вывозится в Германию. Румынским крестьянам предстоит тяжёлая зима. По дороге на фронт я видел огромные площади незасеянной пахотной земли. Посевы кукурузы заросли бурьяном. Дезертирство из армии не прекращается несмотря на то, что военно-судебные власти применяют самые суровые меры. Из моей роты в течение месяца дезертировало более 30 солдат.</w:t>
      </w:r>
    </w:p>
    <w:p w14:paraId="64A023B7"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Группа бойцов составила акт о чудовищном преступлении гитлеровских мерзавцев. В акте говорится: «У блиндажей, отбитых у немцев, найдены 18 трупов замученных командиров и красноармейцев. У бойцов переломаны руки и вывихнуты ноги. На одном трупе обнаружены многочисленные следы ожогов». Акт подписали: младший политрук Галелей, военфельдшер Акчурина, красноармейцы Денисов, Миронов и Пластинин.</w:t>
      </w:r>
    </w:p>
    <w:p w14:paraId="6E871E10"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Предатели французского народа выслуживаются перед своими хозяевами из Берлина. В городе Безье (Франция) полиция раскрыла подпольную типографию, печатавшую антигерманские листовки. 12 молодых французов, организаторов этой типографии, были казнены. Тем не менее, листовки снова продолжают широко распространяться не только в Безье, но и в других городах.</w:t>
      </w:r>
    </w:p>
    <w:p w14:paraId="50992BF2"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польских патриотов в годовщину вероломного нападения Германии на Советский Союз пустил под откос поезд оккупантов на линии Краков - Львов. В результате крушения и взрыва было на сутки прервано движение поездов.» (14946).</w:t>
      </w:r>
    </w:p>
    <w:p w14:paraId="1F37BE8E" w14:textId="77777777" w:rsidR="0091110F" w:rsidRPr="001E2C69" w:rsidRDefault="0091110F" w:rsidP="00722885">
      <w:pPr>
        <w:spacing w:after="0" w:line="240" w:lineRule="auto"/>
        <w:jc w:val="both"/>
        <w:rPr>
          <w:rFonts w:ascii="Times New Roman" w:hAnsi="Times New Roman"/>
          <w:color w:val="000000" w:themeColor="text1"/>
          <w:sz w:val="16"/>
          <w:szCs w:val="16"/>
        </w:rPr>
      </w:pPr>
    </w:p>
    <w:p w14:paraId="389606AF" w14:textId="77777777" w:rsidR="00A47188" w:rsidRPr="001E2C69" w:rsidRDefault="00A47188" w:rsidP="00722885">
      <w:pPr>
        <w:pStyle w:val="af"/>
        <w:spacing w:before="0" w:after="0"/>
        <w:jc w:val="both"/>
        <w:textAlignment w:val="baseline"/>
        <w:rPr>
          <w:color w:val="000000" w:themeColor="text1"/>
          <w:sz w:val="16"/>
          <w:szCs w:val="16"/>
        </w:rPr>
      </w:pPr>
      <w:r w:rsidRPr="001E2C69">
        <w:rPr>
          <w:color w:val="000000" w:themeColor="text1"/>
          <w:sz w:val="16"/>
          <w:szCs w:val="16"/>
        </w:rPr>
        <w:t>Вечером 8 июля 1942 первыми аэродром Миллерово в намеченное время атаковали пешки. Затем над Миллеровом на бреющем полете появились Илы, которые обстреляли взлетную полосу и стоянки «эрэсами» и сбросили на них бомбы. Но вот обида, никакого скопища транспортников там не оказалось. По-иному и быть не могло, самолеты садились и взлетали, длительные простои при немецкой педантичности были большой редкостью, а тем более сразу 150 машин. Здесь сказалась вечная проблема организации советских штурмовых ударов по авиабазам — слишком большой промежуток между обнаружением цели и ударом по ней.</w:t>
      </w:r>
    </w:p>
    <w:p w14:paraId="6E8B2AC8" w14:textId="0D603AE9" w:rsidR="00A47188" w:rsidRPr="001E2C69" w:rsidRDefault="00A47188" w:rsidP="00722885">
      <w:pPr>
        <w:pStyle w:val="af"/>
        <w:spacing w:before="0" w:after="0"/>
        <w:jc w:val="both"/>
        <w:textAlignment w:val="baseline"/>
        <w:rPr>
          <w:color w:val="000000" w:themeColor="text1"/>
          <w:sz w:val="16"/>
          <w:szCs w:val="16"/>
        </w:rPr>
      </w:pPr>
      <w:r w:rsidRPr="001E2C69">
        <w:rPr>
          <w:color w:val="000000" w:themeColor="text1"/>
          <w:sz w:val="16"/>
          <w:szCs w:val="16"/>
        </w:rPr>
        <w:t>Ко всему прочему, когда самолеты уже повернули обратно, в небе появились Bf-109F из штабного звена II./JG3. Они атаковали группу Пе-2 и в течение десяти минут сбили сразу шесть бомбардировщиков. По три победы были на счету командира группы гауптмана Вернера Курта Брэндле, только неделю назад награжденного Рыцарским крестом, и лейтенанта Ханса Фусса. При этом две сбитые пешки принадлежали командирам звеньев 150-го сбап, имевшим звания Героев Советского Союза,</w:t>
      </w:r>
      <w:r w:rsidR="001E2C69">
        <w:rPr>
          <w:color w:val="000000" w:themeColor="text1"/>
          <w:sz w:val="16"/>
          <w:szCs w:val="16"/>
        </w:rPr>
        <w:t xml:space="preserve">   </w:t>
      </w:r>
      <w:r w:rsidRPr="001E2C69">
        <w:rPr>
          <w:color w:val="000000" w:themeColor="text1"/>
          <w:sz w:val="16"/>
          <w:szCs w:val="16"/>
        </w:rPr>
        <w:t>— старшему лейтенанту Федору Демченкову и старшему лейтенанту Андрею Хвостунову. К счастью, оба летчика остались невредимыми и затем благополучно дожили до конца войны (19522).</w:t>
      </w:r>
    </w:p>
    <w:p w14:paraId="6BF5383C" w14:textId="77777777" w:rsidR="00A47188" w:rsidRPr="001E2C69" w:rsidRDefault="00A47188" w:rsidP="00722885">
      <w:pPr>
        <w:pStyle w:val="af"/>
        <w:spacing w:before="0" w:after="0"/>
        <w:jc w:val="both"/>
        <w:textAlignment w:val="baseline"/>
        <w:rPr>
          <w:color w:val="000000" w:themeColor="text1"/>
          <w:sz w:val="16"/>
          <w:szCs w:val="16"/>
        </w:rPr>
      </w:pPr>
    </w:p>
    <w:p w14:paraId="397B401F"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8 июля</w:t>
      </w:r>
      <w:r w:rsidRPr="001E2C69">
        <w:rPr>
          <w:rFonts w:ascii="Times New Roman" w:hAnsi="Times New Roman"/>
          <w:color w:val="000000" w:themeColor="text1"/>
          <w:sz w:val="16"/>
          <w:szCs w:val="16"/>
        </w:rPr>
        <w:t xml:space="preserve"> в 1942 году части 6-й полевой и 1-й танковой армий противника начали преследование отходивших войск Южного и левого крыла Юго-Западного фронта (14946).</w:t>
      </w:r>
    </w:p>
    <w:p w14:paraId="4857B582" w14:textId="77777777" w:rsidR="0091110F" w:rsidRPr="001E2C69" w:rsidRDefault="0091110F" w:rsidP="00722885">
      <w:pPr>
        <w:spacing w:after="0" w:line="240" w:lineRule="auto"/>
        <w:jc w:val="both"/>
        <w:rPr>
          <w:rFonts w:ascii="Times New Roman" w:hAnsi="Times New Roman"/>
          <w:color w:val="000000" w:themeColor="text1"/>
          <w:sz w:val="16"/>
          <w:szCs w:val="16"/>
        </w:rPr>
      </w:pPr>
    </w:p>
    <w:p w14:paraId="67DB2AA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rPr>
        <w:t xml:space="preserve">8 июля 1942 г. экипажем 507-го бап. Когда самолет мл. лейтенанта А.О. Оганджаняна был поврежден зенитной артиллерией около города Семилуки, то летчик направил самолет со всем экипажем на танковую колонну врага. Летевший рядом лейтенант Н. Д. Гулаев из 487-го иап ПВО, впоследствии дважды удостоенный "Золотой Звезды" Героя, слышал последние возгласы своих друзей и засвидетельствовал, что Пе-2 управлялся вплоть до взрыва... </w:t>
      </w:r>
      <w:r w:rsidRPr="001E2C69">
        <w:rPr>
          <w:rFonts w:ascii="Times New Roman" w:hAnsi="Times New Roman"/>
          <w:color w:val="000000" w:themeColor="text1"/>
          <w:sz w:val="16"/>
          <w:szCs w:val="16"/>
          <w:lang w:val="en-US"/>
        </w:rPr>
        <w:t>(12042).</w:t>
      </w:r>
    </w:p>
    <w:p w14:paraId="5E00D84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1762D2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lang w:val="en-US"/>
        </w:rPr>
        <w:t>July 8th, 1942: In the East, 4.Panzerarmee (Hoth) at Voronesh begins an offensive SE along the west bank of the Don to meet up with 6.Armee (Paulus) advancing E toward the Don from Charkov with the objective of establishing bridgeheads across the river in the Kalach area and continue on to capture Stalingrad on the Volga. Axis bombers carry out raids on harbor facilities at Malta in the Mediterranean (3819).</w:t>
      </w:r>
    </w:p>
    <w:p w14:paraId="0DAF19B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179840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июля 1942 4ТА (Гот) начал наступление от Воронежа вдоль Дона для соединения с 6А (Паулюса), направлявшейся к дону от Харькова и навели переправы у Калача. Авиация оси выполнила налет на Мальту (3819).</w:t>
      </w:r>
    </w:p>
    <w:p w14:paraId="7DCBBE0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456A6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июля 1942 на большой высоте показался само</w:t>
      </w:r>
      <w:r w:rsidRPr="001E2C69">
        <w:rPr>
          <w:rFonts w:ascii="Times New Roman" w:hAnsi="Times New Roman"/>
          <w:color w:val="000000" w:themeColor="text1"/>
          <w:sz w:val="16"/>
          <w:szCs w:val="16"/>
        </w:rPr>
        <w:softHyphen/>
        <w:t>лет, определенный постами ВНОС как Ю 88, кото</w:t>
      </w:r>
      <w:r w:rsidRPr="001E2C69">
        <w:rPr>
          <w:rFonts w:ascii="Times New Roman" w:hAnsi="Times New Roman"/>
          <w:color w:val="000000" w:themeColor="text1"/>
          <w:sz w:val="16"/>
          <w:szCs w:val="16"/>
        </w:rPr>
        <w:softHyphen/>
        <w:t>рый два—три раза прошел над центром столицы. По приказу командира 6-го иак ПВО полковника А.И.Митенкова на перехват устремилось 11 пар раз</w:t>
      </w:r>
      <w:r w:rsidRPr="001E2C69">
        <w:rPr>
          <w:rFonts w:ascii="Times New Roman" w:hAnsi="Times New Roman"/>
          <w:color w:val="000000" w:themeColor="text1"/>
          <w:sz w:val="16"/>
          <w:szCs w:val="16"/>
        </w:rPr>
        <w:softHyphen/>
        <w:t>личных отечественных и импортных истребителей, среди которых имелись и МиГ—3. Наиболее высоко «забралась» (9500 м) одна из «Аэрокобр», но против</w:t>
      </w:r>
      <w:r w:rsidRPr="001E2C69">
        <w:rPr>
          <w:rFonts w:ascii="Times New Roman" w:hAnsi="Times New Roman"/>
          <w:color w:val="000000" w:themeColor="text1"/>
          <w:sz w:val="16"/>
          <w:szCs w:val="16"/>
        </w:rPr>
        <w:softHyphen/>
        <w:t>ник находился примерно на 1600 м выше и, естест</w:t>
      </w:r>
      <w:r w:rsidRPr="001E2C69">
        <w:rPr>
          <w:rFonts w:ascii="Times New Roman" w:hAnsi="Times New Roman"/>
          <w:color w:val="000000" w:themeColor="text1"/>
          <w:sz w:val="16"/>
          <w:szCs w:val="16"/>
        </w:rPr>
        <w:softHyphen/>
        <w:t>венно, чувствовал себя в безопасности. Это был не первый случай, когда противник ока</w:t>
      </w:r>
      <w:r w:rsidRPr="001E2C69">
        <w:rPr>
          <w:rFonts w:ascii="Times New Roman" w:hAnsi="Times New Roman"/>
          <w:color w:val="000000" w:themeColor="text1"/>
          <w:sz w:val="16"/>
          <w:szCs w:val="16"/>
        </w:rPr>
        <w:softHyphen/>
        <w:t>зался недосягаем для наших истребителей. Ставка ВГК и Генеральный штаб потребовали объяснений от руководства истребительной авиации ПВО Терри</w:t>
      </w:r>
      <w:r w:rsidRPr="001E2C69">
        <w:rPr>
          <w:rFonts w:ascii="Times New Roman" w:hAnsi="Times New Roman"/>
          <w:color w:val="000000" w:themeColor="text1"/>
          <w:sz w:val="16"/>
          <w:szCs w:val="16"/>
        </w:rPr>
        <w:softHyphen/>
        <w:t>тории Страны. По инициативе командования 6-го иак ПВО 19 августа 1942 г. были проведены импрови</w:t>
      </w:r>
      <w:r w:rsidRPr="001E2C69">
        <w:rPr>
          <w:rFonts w:ascii="Times New Roman" w:hAnsi="Times New Roman"/>
          <w:color w:val="000000" w:themeColor="text1"/>
          <w:sz w:val="16"/>
          <w:szCs w:val="16"/>
        </w:rPr>
        <w:softHyphen/>
        <w:t>зированные испытания по определению скороподъ</w:t>
      </w:r>
      <w:r w:rsidRPr="001E2C69">
        <w:rPr>
          <w:rFonts w:ascii="Times New Roman" w:hAnsi="Times New Roman"/>
          <w:color w:val="000000" w:themeColor="text1"/>
          <w:sz w:val="16"/>
          <w:szCs w:val="16"/>
        </w:rPr>
        <w:softHyphen/>
        <w:t>емности и практического потолка нескольких ма</w:t>
      </w:r>
      <w:r w:rsidRPr="001E2C69">
        <w:rPr>
          <w:rFonts w:ascii="Times New Roman" w:hAnsi="Times New Roman"/>
          <w:color w:val="000000" w:themeColor="text1"/>
          <w:sz w:val="16"/>
          <w:szCs w:val="16"/>
        </w:rPr>
        <w:softHyphen/>
        <w:t>шин, находившихся на вооружении корпуса. Результаты откровенно разочаровывали: прибли</w:t>
      </w:r>
      <w:r w:rsidRPr="001E2C69">
        <w:rPr>
          <w:rFonts w:ascii="Times New Roman" w:hAnsi="Times New Roman"/>
          <w:color w:val="000000" w:themeColor="text1"/>
          <w:sz w:val="16"/>
          <w:szCs w:val="16"/>
        </w:rPr>
        <w:softHyphen/>
        <w:t xml:space="preserve">зиться к 10000 м смогли только импортные машины, а отечественные заметно уступали. Лишь один МиГ—3 (взлетной массой 3248 кг) смог набрать высоту 9000 м, остальные заканчивали набор на 500—1000 м ниже, а для подъема на практический потолок уходило почти по 40 минут. При этом МиГ—3 </w:t>
      </w:r>
      <w:r w:rsidRPr="001E2C69">
        <w:rPr>
          <w:rFonts w:ascii="Times New Roman" w:hAnsi="Times New Roman"/>
          <w:color w:val="000000" w:themeColor="text1"/>
          <w:sz w:val="16"/>
          <w:szCs w:val="16"/>
        </w:rPr>
        <w:lastRenderedPageBreak/>
        <w:t>обладали наихудшими данными по сравнению с другими истребителями; их практический потолок определили всего в 8600 м (в среднем) (9984).</w:t>
      </w:r>
    </w:p>
    <w:p w14:paraId="5E0EFDA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25D78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июля 1942 над Москвой средь бела дня на высоте 12500 м прошел разведчик Ju-86R. Потом появлялся и в другие дни как по расписанию (3417,23).</w:t>
      </w:r>
    </w:p>
    <w:p w14:paraId="46C9D9B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B2178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июля 1942 в 400 км юго-западнее Сталинграда произошло важное, но почти никем не замеченное событие в истории воздушной войны на Восточном фронте. В этот день в ходе массированной бомбардировки Ростова-на-Дону одновременно с фугасными и мелкими зажигательными бомбами германская авиация впервые применила зажигательные бомбы крупного калибра. Падая на крыши зданий, они разбрызгивали вязкую горючую жидкость, напоминавшую расплавленную резину, которая растекалась по стенам и перекрытиям, поджигая все на своем пути. Потушить ее водой или песком было нельзя, а если огонь и сбивался, то вскоре вспыхивал вновь. В результате в городе одновременно возникли десятки крупных очагов пожара, и целые кварталы были объяты пламенем. Кроме новых бомб, самолеты сбрасывали куски рельсов и пустые бочки, которые, падая, создавали оглушительный вой, усиливая панику. Производство и поставки в Люфтваффе этих бомб начались незадолго до начала операции «Блау». Опыт бомбардировок городов в 1939—1941 гг. показал, что зажигательные бомбы наносят гораздо больший ущерб кварталам и промышленным объектам, чем самые крупные фугасные боеприпасы. Возникновение одновременно десятков и сотен очагов пожаров затрудняло тушение, чаще всего приводило к неконтролируемому распространению огня и как результат к уничтожению целых кварталов и заводских корпусов. Мелкие одно– и двухкилограммовые зажигалки типа Bl, B2EZ и B2.2EZ доказали свою надежность и эффективность, однако для достижения большего разрушительного эффекта требовались новые типы бомб. В 1942 г. на вооружение были приняты семь типов тяжелых зажигательных бомб: Brand C50A массой 40 кг, Brand C50B и Spreng Brand 50Амассой по 35 кг; FLAM KC250 массой 110 кг; Brand C250A массой 250 кг, FLAM C250 массой 250 кг и FLAM500 весом 500 кг. В бомбах типа Brand в качестве начинки использовалась смесь нефти, бензина, чистого каучука (или полистирена) и фосфора, за исключением Brand 50B, которая снаряжалась только белым фосфором. В бомбах типа FLAM, помимо смеси нефти с бензином, использовался небольшой заряд тротила. Взрываясь, он воспламенял и разбрызгивал горючую жидкость вокруг места падения на 15—20 м, существенно увеличивая площадь одновременного возгорания. Наиболее сложная по конструкции бомба Spreng Brand 50A оснащалась 76 термитными зарядами, которые при подрыве небольшого заряда тротила разлетались в радиусе 30 м и затем воспламенялись. Примечательно, что, хотя тяжелые зажигательные бомбы Люфтваффе имели разную массу, 8 июля в Ростове и в последующие годы войны советская служба МПВО фиксировала применение лишь  «ЗАВ весом 50 и 250 кг». Бомбы, имевшие подрывной заряд тринитротолуола, обычно обзывали  «фугасно-зажигательными» или  «комбинированными», что совершенно не соответствовало действительности. И это при том, что несработавшие зажигалки нередко доставались русским (11774).</w:t>
      </w:r>
    </w:p>
    <w:p w14:paraId="733C5F7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26590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8 по 11 июля 1942 Краснознаменный Балтийский флот предпринял попытку овладеть находившимся близ Лавансаари финским островом Соммерс. В соответствии с крайне неудачно составленным планом 12 Ил-4 нанесли бомбовый удар по островному гарнизону за час до высадки, предопределив тем самым утрату внезапности и тяжелые потери штурмовых групп. С рассветом вражеское командование подтянуло в район сравнительно крупную корабельную группировку, не только поддержавшую гарнизон огнем, но и пополнившую его людьми и боеприпасами. В дальнейшем противнику удалось полностью блокировать наш десант, что в конечном итоге привело к его полной гибели. В полдень 9 июля наземные бои окончились. Не имея связи с берегом, наши катера в течение 9-10 июля несколько раз пытались высадить на остров подкрепления, но либо не могли прорвать блокады, либо гибли в бою. Все это время ВВС Балтфлота, имевшие неоспоримое господство в воздухе, непрестанно атаковали вражеские корабли. Только торпедоносцы 1-го гмтап совершили 15 вылетов (экипажи Дроздова, Бунимовича, Преснякова и замкомандира эскадрильи капитана В.А. Балебина) и сбросили 12 торпед, доложив об уничтожении 2 канонерских лодок и трех сторожевых кораблей. Однако из принимавших участие в операции финских и немецких кораблей (финские минные заградители "Руотсинсалми", "Риилахти", канонерские лодки "Уусима", "Хяменмаа", "Турунмаа", немецкие тральщики "М 17", "М 19", тяжелая плавбатарея "Ост" и плавбаза "Неттельбек") ни один потоплен не был. В большинстве случаев торпедные атаки воспринимались как сброс мин, но утренняя атака 9 июля, направленная против финских минных заградителей, впервые прошла во вражеских документах как торпедная. Немцы восприняли это финское донесение с определенной долей скептицизма - сами они все еще не были убеждены, что противник имеет в своем арсенале торпедоносцы. С определенной натяжкой к результатам действий самолетов 1-го гмтап можно отнести лишь повреждение 11 июля канлодки "Турунмаа", на которой во время отражения очередного налета взорвалось 20-мм орудие, убив двух и ранив 8 человек. Ответными действиями вызванных в район боя финских истребителей был поврежден Ил-4 Преснякова. Самолет чудом не загорелся и с изрешеченными бенза- баками сел на острове Лавансаари.</w:t>
      </w:r>
    </w:p>
    <w:p w14:paraId="5031450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Командование бригады и полка осталось явно недовольно результатами первых ударов. В отчете 1-го гмтап за 13-й месяц войны (22.6-22.7.1942), в частности, говорилось следующее:</w:t>
      </w:r>
    </w:p>
    <w:p w14:paraId="0D31999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самолето-вылетов, произведенных на торпедные удары кораблей противника, были малоэффективны по причине:</w:t>
      </w:r>
    </w:p>
    <w:p w14:paraId="42DD5E3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Недостаточная степень подготовки летного состава и отсутствие опыта боевых торпедных атак. В результате чего выход в атаку производился неграмотно, всеми самолетами с одной стороны, что давало возможность кораблям противника на скорости путем маневра легко уклоняться от атаки.</w:t>
      </w:r>
    </w:p>
    <w:p w14:paraId="417343B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Прицел для торпедометания не использовался всеми экипажами при выходе в атаку, сбрасывание торпед происходило на глаз, что значительно понижало эффективность удара (экипажи, пренебрегавшие прицелом ПТН-5: майора Кузнецова, лейтенанта Кудряшова, капитана Литовчук).</w:t>
      </w:r>
    </w:p>
    <w:p w14:paraId="7DF962A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Выход на цель и атаку происходил на высоте 50-30 метров. в результате экипажи недостаточно определяли расположение и строй кораблей противника, не могли достаточно точно определить элементы движения их и выбрать наивыгоднейший заход для атаки.</w:t>
      </w:r>
    </w:p>
    <w:p w14:paraId="634A69B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Задачи на торпедный удар ставились дежурным экипажам перед вылетом за 20-30 минут, что не позволяло производить подготовку экипажей, и экипажи уходили на выполнение заданий с общей предполетной подготовкой".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1E2C69" w:rsidRPr="001E2C69" w14:paraId="063DDA23" w14:textId="77777777" w:rsidTr="00CC5360">
        <w:tc>
          <w:tcPr>
            <w:tcW w:w="1601" w:type="dxa"/>
            <w:tcBorders>
              <w:top w:val="single" w:sz="12" w:space="0" w:color="auto"/>
            </w:tcBorders>
          </w:tcPr>
          <w:p w14:paraId="38C6BBF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Задача</w:t>
            </w:r>
          </w:p>
        </w:tc>
        <w:tc>
          <w:tcPr>
            <w:tcW w:w="1601" w:type="dxa"/>
            <w:tcBorders>
              <w:top w:val="single" w:sz="12" w:space="0" w:color="auto"/>
            </w:tcBorders>
          </w:tcPr>
          <w:p w14:paraId="3B24EF4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22.6-22.7</w:t>
            </w:r>
          </w:p>
        </w:tc>
        <w:tc>
          <w:tcPr>
            <w:tcW w:w="1601" w:type="dxa"/>
            <w:tcBorders>
              <w:top w:val="single" w:sz="12" w:space="0" w:color="auto"/>
            </w:tcBorders>
          </w:tcPr>
          <w:p w14:paraId="12FD6C9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22.7-22.8</w:t>
            </w:r>
          </w:p>
        </w:tc>
        <w:tc>
          <w:tcPr>
            <w:tcW w:w="1601" w:type="dxa"/>
            <w:tcBorders>
              <w:top w:val="single" w:sz="12" w:space="0" w:color="auto"/>
            </w:tcBorders>
          </w:tcPr>
          <w:p w14:paraId="1F3C7E6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22.8-22.9</w:t>
            </w:r>
          </w:p>
        </w:tc>
        <w:tc>
          <w:tcPr>
            <w:tcW w:w="1601" w:type="dxa"/>
            <w:tcBorders>
              <w:top w:val="single" w:sz="12" w:space="0" w:color="auto"/>
            </w:tcBorders>
          </w:tcPr>
          <w:p w14:paraId="6EC923A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22.9-22.10</w:t>
            </w:r>
          </w:p>
        </w:tc>
        <w:tc>
          <w:tcPr>
            <w:tcW w:w="1601" w:type="dxa"/>
            <w:tcBorders>
              <w:top w:val="single" w:sz="12" w:space="0" w:color="auto"/>
            </w:tcBorders>
          </w:tcPr>
          <w:p w14:paraId="356ABF4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22.10-22.12</w:t>
            </w:r>
          </w:p>
        </w:tc>
        <w:tc>
          <w:tcPr>
            <w:tcW w:w="1601" w:type="dxa"/>
            <w:tcBorders>
              <w:top w:val="single" w:sz="12" w:space="0" w:color="auto"/>
            </w:tcBorders>
          </w:tcPr>
          <w:p w14:paraId="5B37C99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Всего</w:t>
            </w:r>
          </w:p>
        </w:tc>
      </w:tr>
      <w:tr w:rsidR="001E2C69" w:rsidRPr="001E2C69" w14:paraId="0F57B95A" w14:textId="77777777" w:rsidTr="00CC5360">
        <w:tc>
          <w:tcPr>
            <w:tcW w:w="1601" w:type="dxa"/>
          </w:tcPr>
          <w:p w14:paraId="0DE6253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BP</w:t>
            </w:r>
          </w:p>
        </w:tc>
        <w:tc>
          <w:tcPr>
            <w:tcW w:w="1601" w:type="dxa"/>
          </w:tcPr>
          <w:p w14:paraId="512F7BA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w:t>
            </w:r>
          </w:p>
        </w:tc>
        <w:tc>
          <w:tcPr>
            <w:tcW w:w="1601" w:type="dxa"/>
          </w:tcPr>
          <w:p w14:paraId="25A7EED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_</w:t>
            </w:r>
          </w:p>
        </w:tc>
        <w:tc>
          <w:tcPr>
            <w:tcW w:w="1601" w:type="dxa"/>
          </w:tcPr>
          <w:p w14:paraId="36819B6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53358D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601" w:type="dxa"/>
          </w:tcPr>
          <w:p w14:paraId="3DE51B0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601" w:type="dxa"/>
          </w:tcPr>
          <w:p w14:paraId="194BE33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w:t>
            </w:r>
          </w:p>
        </w:tc>
      </w:tr>
      <w:tr w:rsidR="001E2C69" w:rsidRPr="001E2C69" w14:paraId="2EACCA5F" w14:textId="77777777" w:rsidTr="00CC5360">
        <w:tc>
          <w:tcPr>
            <w:tcW w:w="1601" w:type="dxa"/>
          </w:tcPr>
          <w:p w14:paraId="336E706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БУ по войскам</w:t>
            </w:r>
          </w:p>
        </w:tc>
        <w:tc>
          <w:tcPr>
            <w:tcW w:w="1601" w:type="dxa"/>
          </w:tcPr>
          <w:p w14:paraId="2EDB474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w:t>
            </w:r>
          </w:p>
        </w:tc>
        <w:tc>
          <w:tcPr>
            <w:tcW w:w="1601" w:type="dxa"/>
          </w:tcPr>
          <w:p w14:paraId="2D49840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w:t>
            </w:r>
          </w:p>
        </w:tc>
        <w:tc>
          <w:tcPr>
            <w:tcW w:w="1601" w:type="dxa"/>
          </w:tcPr>
          <w:p w14:paraId="785A93D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601" w:type="dxa"/>
          </w:tcPr>
          <w:p w14:paraId="45E7CCF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601" w:type="dxa"/>
          </w:tcPr>
          <w:p w14:paraId="68AF22C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601" w:type="dxa"/>
          </w:tcPr>
          <w:p w14:paraId="21D6209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w:t>
            </w:r>
          </w:p>
        </w:tc>
      </w:tr>
      <w:tr w:rsidR="001E2C69" w:rsidRPr="001E2C69" w14:paraId="04DB4AE2" w14:textId="77777777" w:rsidTr="00CC5360">
        <w:tc>
          <w:tcPr>
            <w:tcW w:w="1601" w:type="dxa"/>
          </w:tcPr>
          <w:p w14:paraId="35DC7AF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БУпо ж/д узлам</w:t>
            </w:r>
          </w:p>
        </w:tc>
        <w:tc>
          <w:tcPr>
            <w:tcW w:w="1601" w:type="dxa"/>
          </w:tcPr>
          <w:p w14:paraId="666681D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w:t>
            </w:r>
          </w:p>
        </w:tc>
        <w:tc>
          <w:tcPr>
            <w:tcW w:w="1601" w:type="dxa"/>
          </w:tcPr>
          <w:p w14:paraId="058FF7B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w:t>
            </w:r>
          </w:p>
        </w:tc>
        <w:tc>
          <w:tcPr>
            <w:tcW w:w="1601" w:type="dxa"/>
          </w:tcPr>
          <w:p w14:paraId="7F1EDC7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121</w:t>
            </w:r>
          </w:p>
        </w:tc>
        <w:tc>
          <w:tcPr>
            <w:tcW w:w="1601" w:type="dxa"/>
          </w:tcPr>
          <w:p w14:paraId="5DFC381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w:t>
            </w:r>
          </w:p>
        </w:tc>
        <w:tc>
          <w:tcPr>
            <w:tcW w:w="1601" w:type="dxa"/>
          </w:tcPr>
          <w:p w14:paraId="30009E3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w:t>
            </w:r>
          </w:p>
        </w:tc>
        <w:tc>
          <w:tcPr>
            <w:tcW w:w="1601" w:type="dxa"/>
          </w:tcPr>
          <w:p w14:paraId="22C1EE2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171</w:t>
            </w:r>
          </w:p>
        </w:tc>
      </w:tr>
      <w:tr w:rsidR="001E2C69" w:rsidRPr="001E2C69" w14:paraId="73652C2A" w14:textId="77777777" w:rsidTr="00CC5360">
        <w:tc>
          <w:tcPr>
            <w:tcW w:w="1601" w:type="dxa"/>
          </w:tcPr>
          <w:p w14:paraId="6BD4705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БУ по аэродромам</w:t>
            </w:r>
          </w:p>
        </w:tc>
        <w:tc>
          <w:tcPr>
            <w:tcW w:w="1601" w:type="dxa"/>
          </w:tcPr>
          <w:p w14:paraId="4FE72BF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601" w:type="dxa"/>
          </w:tcPr>
          <w:p w14:paraId="728FC6D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601" w:type="dxa"/>
          </w:tcPr>
          <w:p w14:paraId="10CC84A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w:t>
            </w:r>
          </w:p>
        </w:tc>
        <w:tc>
          <w:tcPr>
            <w:tcW w:w="1601" w:type="dxa"/>
          </w:tcPr>
          <w:p w14:paraId="110973B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39</w:t>
            </w:r>
          </w:p>
        </w:tc>
        <w:tc>
          <w:tcPr>
            <w:tcW w:w="1601" w:type="dxa"/>
          </w:tcPr>
          <w:p w14:paraId="32A877F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601" w:type="dxa"/>
          </w:tcPr>
          <w:p w14:paraId="040FF63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63</w:t>
            </w:r>
          </w:p>
        </w:tc>
      </w:tr>
      <w:tr w:rsidR="001E2C69" w:rsidRPr="001E2C69" w14:paraId="6EA36A62" w14:textId="77777777" w:rsidTr="00CC5360">
        <w:tc>
          <w:tcPr>
            <w:tcW w:w="1601" w:type="dxa"/>
          </w:tcPr>
          <w:p w14:paraId="0B5C2A1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БУ по портам</w:t>
            </w:r>
          </w:p>
        </w:tc>
        <w:tc>
          <w:tcPr>
            <w:tcW w:w="1601" w:type="dxa"/>
          </w:tcPr>
          <w:p w14:paraId="69C77E4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38</w:t>
            </w:r>
          </w:p>
        </w:tc>
        <w:tc>
          <w:tcPr>
            <w:tcW w:w="1601" w:type="dxa"/>
          </w:tcPr>
          <w:p w14:paraId="2545814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49</w:t>
            </w:r>
          </w:p>
        </w:tc>
        <w:tc>
          <w:tcPr>
            <w:tcW w:w="1601" w:type="dxa"/>
          </w:tcPr>
          <w:p w14:paraId="767C6B4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54</w:t>
            </w:r>
          </w:p>
        </w:tc>
        <w:tc>
          <w:tcPr>
            <w:tcW w:w="1601" w:type="dxa"/>
          </w:tcPr>
          <w:p w14:paraId="1E2DA79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w:t>
            </w:r>
          </w:p>
        </w:tc>
        <w:tc>
          <w:tcPr>
            <w:tcW w:w="1601" w:type="dxa"/>
          </w:tcPr>
          <w:p w14:paraId="5883294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31</w:t>
            </w:r>
          </w:p>
        </w:tc>
        <w:tc>
          <w:tcPr>
            <w:tcW w:w="1601" w:type="dxa"/>
          </w:tcPr>
          <w:p w14:paraId="3AD3E92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181</w:t>
            </w:r>
          </w:p>
        </w:tc>
      </w:tr>
      <w:tr w:rsidR="001E2C69" w:rsidRPr="001E2C69" w14:paraId="5EF77A93" w14:textId="77777777" w:rsidTr="00CC5360">
        <w:tc>
          <w:tcPr>
            <w:tcW w:w="1601" w:type="dxa"/>
          </w:tcPr>
          <w:p w14:paraId="0E3511D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БУ по кораблям в море</w:t>
            </w:r>
          </w:p>
        </w:tc>
        <w:tc>
          <w:tcPr>
            <w:tcW w:w="1601" w:type="dxa"/>
          </w:tcPr>
          <w:p w14:paraId="24F914B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w:t>
            </w:r>
          </w:p>
        </w:tc>
        <w:tc>
          <w:tcPr>
            <w:tcW w:w="1601" w:type="dxa"/>
          </w:tcPr>
          <w:p w14:paraId="029D1E4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601" w:type="dxa"/>
          </w:tcPr>
          <w:p w14:paraId="60A05E0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601" w:type="dxa"/>
          </w:tcPr>
          <w:p w14:paraId="03449F5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601" w:type="dxa"/>
          </w:tcPr>
          <w:p w14:paraId="7AA0D6A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601" w:type="dxa"/>
          </w:tcPr>
          <w:p w14:paraId="07583BB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w:t>
            </w:r>
          </w:p>
        </w:tc>
      </w:tr>
      <w:tr w:rsidR="001E2C69" w:rsidRPr="001E2C69" w14:paraId="03D33B80" w14:textId="77777777" w:rsidTr="00CC5360">
        <w:tc>
          <w:tcPr>
            <w:tcW w:w="1601" w:type="dxa"/>
          </w:tcPr>
          <w:p w14:paraId="572641D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торпедные удары</w:t>
            </w:r>
          </w:p>
        </w:tc>
        <w:tc>
          <w:tcPr>
            <w:tcW w:w="1601" w:type="dxa"/>
          </w:tcPr>
          <w:p w14:paraId="71B929F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w:t>
            </w:r>
          </w:p>
        </w:tc>
        <w:tc>
          <w:tcPr>
            <w:tcW w:w="1601" w:type="dxa"/>
          </w:tcPr>
          <w:p w14:paraId="678C373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w:t>
            </w:r>
          </w:p>
        </w:tc>
        <w:tc>
          <w:tcPr>
            <w:tcW w:w="1601" w:type="dxa"/>
          </w:tcPr>
          <w:p w14:paraId="092FC35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w:t>
            </w:r>
          </w:p>
        </w:tc>
        <w:tc>
          <w:tcPr>
            <w:tcW w:w="1601" w:type="dxa"/>
          </w:tcPr>
          <w:p w14:paraId="0866234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w:t>
            </w:r>
          </w:p>
        </w:tc>
        <w:tc>
          <w:tcPr>
            <w:tcW w:w="1601" w:type="dxa"/>
          </w:tcPr>
          <w:p w14:paraId="5163E42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w:t>
            </w:r>
          </w:p>
        </w:tc>
        <w:tc>
          <w:tcPr>
            <w:tcW w:w="1601" w:type="dxa"/>
          </w:tcPr>
          <w:p w14:paraId="0034C76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64</w:t>
            </w:r>
          </w:p>
        </w:tc>
      </w:tr>
      <w:tr w:rsidR="001E2C69" w:rsidRPr="001E2C69" w14:paraId="2438D5FE" w14:textId="77777777" w:rsidTr="00CC5360">
        <w:tc>
          <w:tcPr>
            <w:tcW w:w="1601" w:type="dxa"/>
          </w:tcPr>
          <w:p w14:paraId="599E58F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минные постановки**</w:t>
            </w:r>
          </w:p>
        </w:tc>
        <w:tc>
          <w:tcPr>
            <w:tcW w:w="1601" w:type="dxa"/>
          </w:tcPr>
          <w:p w14:paraId="2AC8F90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43</w:t>
            </w:r>
          </w:p>
        </w:tc>
        <w:tc>
          <w:tcPr>
            <w:tcW w:w="1601" w:type="dxa"/>
          </w:tcPr>
          <w:p w14:paraId="7B0652B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w:t>
            </w:r>
          </w:p>
        </w:tc>
        <w:tc>
          <w:tcPr>
            <w:tcW w:w="1601" w:type="dxa"/>
          </w:tcPr>
          <w:p w14:paraId="3C9F1F4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w:t>
            </w:r>
          </w:p>
        </w:tc>
        <w:tc>
          <w:tcPr>
            <w:tcW w:w="1601" w:type="dxa"/>
          </w:tcPr>
          <w:p w14:paraId="3F7FABA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601" w:type="dxa"/>
          </w:tcPr>
          <w:p w14:paraId="1FE8FCB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601" w:type="dxa"/>
          </w:tcPr>
          <w:p w14:paraId="483494A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72</w:t>
            </w:r>
          </w:p>
        </w:tc>
      </w:tr>
      <w:tr w:rsidR="001E2C69" w:rsidRPr="001E2C69" w14:paraId="16809FEF" w14:textId="77777777" w:rsidTr="00CC5360">
        <w:tc>
          <w:tcPr>
            <w:tcW w:w="1601" w:type="dxa"/>
          </w:tcPr>
          <w:p w14:paraId="337631A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прочие</w:t>
            </w:r>
          </w:p>
        </w:tc>
        <w:tc>
          <w:tcPr>
            <w:tcW w:w="1601" w:type="dxa"/>
          </w:tcPr>
          <w:p w14:paraId="585B152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601" w:type="dxa"/>
          </w:tcPr>
          <w:p w14:paraId="39484CD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w:t>
            </w:r>
          </w:p>
        </w:tc>
        <w:tc>
          <w:tcPr>
            <w:tcW w:w="1601" w:type="dxa"/>
          </w:tcPr>
          <w:p w14:paraId="25B7D63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w:t>
            </w:r>
          </w:p>
        </w:tc>
        <w:tc>
          <w:tcPr>
            <w:tcW w:w="1601" w:type="dxa"/>
          </w:tcPr>
          <w:p w14:paraId="18A242E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w:t>
            </w:r>
          </w:p>
        </w:tc>
        <w:tc>
          <w:tcPr>
            <w:tcW w:w="1601" w:type="dxa"/>
          </w:tcPr>
          <w:p w14:paraId="23EDEEA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601" w:type="dxa"/>
          </w:tcPr>
          <w:p w14:paraId="79E9B98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w:t>
            </w:r>
          </w:p>
        </w:tc>
      </w:tr>
      <w:tr w:rsidR="001E2C69" w:rsidRPr="001E2C69" w14:paraId="7F2F8629" w14:textId="77777777" w:rsidTr="00CC5360">
        <w:tc>
          <w:tcPr>
            <w:tcW w:w="1601" w:type="dxa"/>
            <w:tcBorders>
              <w:bottom w:val="single" w:sz="12" w:space="0" w:color="auto"/>
            </w:tcBorders>
          </w:tcPr>
          <w:p w14:paraId="5F84466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Итого</w:t>
            </w:r>
          </w:p>
        </w:tc>
        <w:tc>
          <w:tcPr>
            <w:tcW w:w="1601" w:type="dxa"/>
            <w:tcBorders>
              <w:bottom w:val="single" w:sz="12" w:space="0" w:color="auto"/>
            </w:tcBorders>
          </w:tcPr>
          <w:p w14:paraId="708DA83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132</w:t>
            </w:r>
          </w:p>
        </w:tc>
        <w:tc>
          <w:tcPr>
            <w:tcW w:w="1601" w:type="dxa"/>
            <w:tcBorders>
              <w:bottom w:val="single" w:sz="12" w:space="0" w:color="auto"/>
            </w:tcBorders>
          </w:tcPr>
          <w:p w14:paraId="057A6AA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112</w:t>
            </w:r>
          </w:p>
        </w:tc>
        <w:tc>
          <w:tcPr>
            <w:tcW w:w="1601" w:type="dxa"/>
            <w:tcBorders>
              <w:bottom w:val="single" w:sz="12" w:space="0" w:color="auto"/>
            </w:tcBorders>
          </w:tcPr>
          <w:p w14:paraId="445A05B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208</w:t>
            </w:r>
          </w:p>
        </w:tc>
        <w:tc>
          <w:tcPr>
            <w:tcW w:w="1601" w:type="dxa"/>
            <w:tcBorders>
              <w:bottom w:val="single" w:sz="12" w:space="0" w:color="auto"/>
            </w:tcBorders>
          </w:tcPr>
          <w:p w14:paraId="4C9B470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84</w:t>
            </w:r>
          </w:p>
        </w:tc>
        <w:tc>
          <w:tcPr>
            <w:tcW w:w="1601" w:type="dxa"/>
            <w:tcBorders>
              <w:bottom w:val="single" w:sz="12" w:space="0" w:color="auto"/>
            </w:tcBorders>
          </w:tcPr>
          <w:p w14:paraId="7BFFCA4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70</w:t>
            </w:r>
          </w:p>
        </w:tc>
        <w:tc>
          <w:tcPr>
            <w:tcW w:w="1601" w:type="dxa"/>
            <w:tcBorders>
              <w:bottom w:val="single" w:sz="12" w:space="0" w:color="auto"/>
            </w:tcBorders>
          </w:tcPr>
          <w:p w14:paraId="1F00DD1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606</w:t>
            </w:r>
          </w:p>
        </w:tc>
      </w:tr>
    </w:tbl>
    <w:p w14:paraId="5D3AD0E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Примечания. * Удар по опорным пунктам противника на о. Соммерс; " С учетом вылетов на обеспечение минных постановок (отвлекающие бомбоудары, фотоконтроль) (12002).</w:t>
      </w:r>
    </w:p>
    <w:p w14:paraId="346DDBA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90816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июля 1942 ТКА №155 и 175, севшие в Керченском проливе на мель, были уничтожены немецкими минометчиками (6002).</w:t>
      </w:r>
    </w:p>
    <w:p w14:paraId="43C1A0F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49EFE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июля 1942 десантные группы на Г-5 развернулись и пошли к местам высадки, финны встретили их огнем. На ТКА №121 при подходе к берегу заглохли моторы с муфтами, включенными на передний ход и при заводке моторов он сразу сел на камни. После того, как десантники покинули катер, его попытались снять с камней, но неудачно. Хорошо еще, что удалось спасти экипаж. Также на подходе к месту высадки получил повреждения ТКА №71. Несмотря на это, ему удалось высадить находившихся на борту бойцов, но не в предусмотренном планом месте, а “куда придется”. Отходивший после этого от острова 71-й вновь попал под артиллерийский огонь, загорелся и погиб. Личный состав с него под непрекращающимся обстрелом сумел забрать катер №152 (типа Д-3), сам имевший повреждения. Досталось и “пятерке” с бортовым номером 171 - погиб командир, из числа десантников трое были убиты и четверо ранены. Реакция финского командования на действия Балтфлота оказалась быстрой и энергичной - в бой были брошены канонерские лодки “Уусимаа” и “Хямеенмаа”, а также пять сторожевых катеров. Подходившая к Соммерсу первой “Уусимаа” подверглась нападению двух “Гэ-пятых” (№73 и 113) из состава дозорной группы и сумела успешно отразить атаку, потопив 113-й. Советские катерники доложили о потоплении неприятельской канлодки - первой из заявленных в ходе боев побед. Ожесточенные бои за Соммерс шли до 10 июля, причем основными противниками наших катерников были финские канонерки и сторожевые катера типа VMV. И надо сказать, что они балтийцам оказались не по зубам - несмотря на целый ряд докладов об уничтожении вражеских кораблей ни одна торпедная атака не завершилась успехом, а ответный огонь часто достигал цели. В перестрелках из бортового оружия перевес был полностью на стороне финнов, катера которых имели на вооружении скорострельные малокалиберные пушки. По огневой мощи им уступали даже малые охотники, а о “Гэ-пятых” и говорить нечего. Из “пятерок”, кроме уже упомянутых, погибли еще и №31 и 123. Кроме того, жертвами провалившейся операции стали два представителя других типов ТК (Д-3 №22 и Ш-4 №83), а также малый охотник №306 (6002).</w:t>
      </w:r>
    </w:p>
    <w:p w14:paraId="0D84B97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CC20E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С 8 по 11 июля 1942 Краснознаменный Балтийский флот предпринял попытку овладеть находившимся близ Лавенсаари финским островом Соммерс. В соответствии </w:t>
      </w:r>
      <w:r w:rsidRPr="001E2C69">
        <w:rPr>
          <w:rFonts w:ascii="Times New Roman" w:hAnsi="Times New Roman"/>
          <w:color w:val="000000" w:themeColor="text1"/>
          <w:sz w:val="16"/>
          <w:szCs w:val="16"/>
        </w:rPr>
        <w:lastRenderedPageBreak/>
        <w:t>с крайне неудачно составленным планом, 12 Ил-4 нанесли бомбовой удар по финскому гарнизону за час до высадки, предопределив тем самым утрату внезапности и тяжелые потери среди штурмовых групп. С рассветом вражеское командование подтянуло в район сравнительно крупную корабельную группировку, не только поддержавшую гарнизон огнем, но и пополнившую его людьми и боеприпасами. В дальнейшем противнику удалось полностью блокировать наш десант, что в конечном итоге привело к его полной гибели. В полдень 9 июля бои окончились. Не имея связи с берегом, наши катера в течение 9-10 июля несколько раз пытались высадить на остров подкрепления, но либо не могли прорвать блокады, либо гибли в бою. Все это время ВВС Балтфлота, имевшие неоспоримое господство в воздухе, непрестанно атаковали вражеские корабли. Только торпедоносцы 1-го ГМТАП совершили 15 вылетов (экипажи Дроздова, Бунимовича, Преснякова и замкомандира эскадрильи капитана В.А. Балебина) и сбросили 12 торпед, доложив об уничтожении двух канонерских лодок и трех сторожевых кораблей. Однако, из принимавших участие в операции финских и немецких кораблей (финские минные заградители «Ру-отсинсалми», «Риилахти», канонерские лодки «Уусима», «Хяменмаа», «Турунмаа», немецкие тральщики «М 17» и «М 19», тяжелая плавбата-рея «Ост» и плавбаза «Неттельбек») ни один потоплен не был. С определенной натяжкой к результатам действий торпедоносцев можно притянуть лишь повреждение 11 июля канлодки «Турунмаа», на которой во время отражения очередного налета взорвалось 20-мм орудие, убив двух и ранив восемь человек. Ответными действиями вызванных в район боя финских истребителей был поврежден Ил-4 Преснякова. Самолет чудом не загорелся и с изрешеченными бензабаками сел на острове Лавенсаари. С этого момента финское командование, обеспокоенное действиями наших торпедоносцев в Финском заливе, начало регулярно посылать группы своих истребителей к Лавенсаари для охоты на наших «охотников» (9965).</w:t>
      </w:r>
    </w:p>
    <w:p w14:paraId="2D176F3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11C83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8-11 июля 1942 г. в сражении за остров Соммерс нашей авиации пришлось иметь дело такими с малоуязвимыми для торпедоносцев целями как финская канонерская лодка «Турунмаа» и минзаг «Руотсинсалми», которые сыграли определяющую роль в разгроме советского десанта. Несмотря на победные реляции, в ходе воздушно-морского сражения у Соммерса немцы и финны не потеряли ни одного боевого корабля, чего не скажешь о нашем КБФ (9965).</w:t>
      </w:r>
    </w:p>
    <w:p w14:paraId="003B249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F7DF0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июля 1942 Введение для обслуживания ВПУ фронта (армии) отдельных батальонов связи резерва фронта и армии (11072).</w:t>
      </w:r>
    </w:p>
    <w:p w14:paraId="7B3389B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3679D0" w14:textId="77777777" w:rsidR="0091110F"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За рубежом:</w:t>
      </w:r>
    </w:p>
    <w:p w14:paraId="5BEBD5AF" w14:textId="77777777" w:rsidR="0091110F" w:rsidRPr="001E2C69" w:rsidRDefault="0091110F"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719277"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8 июля</w:t>
      </w:r>
      <w:r w:rsidRPr="001E2C69">
        <w:rPr>
          <w:rFonts w:ascii="Times New Roman" w:hAnsi="Times New Roman"/>
          <w:color w:val="000000" w:themeColor="text1"/>
          <w:sz w:val="16"/>
          <w:szCs w:val="16"/>
        </w:rPr>
        <w:t xml:space="preserve"> в 1942 году впервые полетел на реактивной тяге знаменитый «Мессершмитт» «Me 262» «V3» . Первый турбореактивный истребитель «Хейнкель» «Не 280» «V3» был облетан 2 апреля 1941 года (14946).</w:t>
      </w:r>
    </w:p>
    <w:p w14:paraId="7D0C9B52" w14:textId="77777777" w:rsidR="0091110F" w:rsidRPr="001E2C69" w:rsidRDefault="0091110F" w:rsidP="00722885">
      <w:pPr>
        <w:spacing w:after="0" w:line="240" w:lineRule="auto"/>
        <w:jc w:val="both"/>
        <w:rPr>
          <w:rFonts w:ascii="Times New Roman" w:hAnsi="Times New Roman"/>
          <w:color w:val="000000" w:themeColor="text1"/>
          <w:sz w:val="16"/>
          <w:szCs w:val="16"/>
        </w:rPr>
      </w:pPr>
    </w:p>
    <w:p w14:paraId="67AF8C8D"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Авиапромышленность:</w:t>
      </w:r>
    </w:p>
    <w:p w14:paraId="54AFFB0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3E1468" w14:textId="77777777" w:rsidR="00A47188" w:rsidRPr="001E2C69" w:rsidRDefault="00A47188" w:rsidP="00722885">
      <w:pPr>
        <w:pStyle w:val="af"/>
        <w:shd w:val="clear" w:color="auto" w:fill="FFFFFF"/>
        <w:spacing w:before="0" w:after="0"/>
        <w:jc w:val="both"/>
        <w:rPr>
          <w:color w:val="000000" w:themeColor="text1"/>
          <w:sz w:val="16"/>
          <w:szCs w:val="16"/>
        </w:rPr>
      </w:pPr>
      <w:r w:rsidRPr="001E2C69">
        <w:rPr>
          <w:color w:val="000000" w:themeColor="text1"/>
          <w:sz w:val="16"/>
          <w:szCs w:val="16"/>
        </w:rPr>
        <w:t>9 июля 1942 года на заводе № 1 постановлением завкома были заведены уголовные дела на заведующего базой т. Урецкова и зав. отделом коммерческого хлеба т. Давыдчика, которые занимались незаконной продажей коммерческого хлеба, отпуская знакомым спекулянтам по 6-7 буханок в одни руки. Народный суд приговаривал спекулянтов к лишению свободы на срок от 5 до 8 лет с последующим поражением в правах до 3-х лет.</w:t>
      </w:r>
    </w:p>
    <w:p w14:paraId="2EA1C3F5" w14:textId="77777777" w:rsidR="00A47188" w:rsidRPr="001E2C69" w:rsidRDefault="00A47188" w:rsidP="00722885">
      <w:pPr>
        <w:pStyle w:val="af"/>
        <w:shd w:val="clear" w:color="auto" w:fill="FFFFFF"/>
        <w:spacing w:before="0" w:after="0"/>
        <w:jc w:val="both"/>
        <w:rPr>
          <w:color w:val="000000" w:themeColor="text1"/>
          <w:sz w:val="16"/>
          <w:szCs w:val="16"/>
        </w:rPr>
      </w:pPr>
      <w:r w:rsidRPr="001E2C69">
        <w:rPr>
          <w:color w:val="000000" w:themeColor="text1"/>
          <w:sz w:val="16"/>
          <w:szCs w:val="16"/>
        </w:rPr>
        <w:t>За воровство продуктов очень часто судили также продавцов магазинов и работников предприятий общественного питания. Так директор и бухгалтер столовой карбюраторного завода осенью 1941 года были осуждены за то, что тайком урезали рацион питания рабочих и за счет недовложения продуктов «сэкономили» себе 1332 рубля. Строжайшим образом пресекалось воровство картошки на колхозных полях и частных огородах. За это тоже наказывали длительными сроками тюремного заключения. Продукты были стратегическим товаром и за них спрашивали по законам военного времени.</w:t>
      </w:r>
    </w:p>
    <w:p w14:paraId="0EE75052" w14:textId="77777777" w:rsidR="00A47188" w:rsidRPr="001E2C69" w:rsidRDefault="00A47188" w:rsidP="00722885">
      <w:pPr>
        <w:pStyle w:val="af"/>
        <w:shd w:val="clear" w:color="auto" w:fill="FFFFFF"/>
        <w:spacing w:before="0" w:after="0"/>
        <w:jc w:val="both"/>
        <w:rPr>
          <w:color w:val="000000" w:themeColor="text1"/>
          <w:sz w:val="16"/>
          <w:szCs w:val="16"/>
        </w:rPr>
      </w:pPr>
    </w:p>
    <w:p w14:paraId="5B0103B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июля 1942 л 166 завода Н.Д.Бакин совершил аварию на Ту-2, допустив посадку на большой скорости и не справившегося с разворотом (2109).</w:t>
      </w:r>
    </w:p>
    <w:p w14:paraId="50F9ABC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40A327"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июля 1942 г. полпред Панюшкин ознакомил Чан Кайши с позицией, занятой дубанем Синьцзяна и текстом ответного письма В.М. Молотова Шэн Шицаю. В примечании к за</w:t>
      </w:r>
      <w:r w:rsidRPr="001E2C69">
        <w:rPr>
          <w:rFonts w:ascii="Times New Roman" w:hAnsi="Times New Roman"/>
          <w:color w:val="000000" w:themeColor="text1"/>
          <w:sz w:val="16"/>
          <w:szCs w:val="16"/>
        </w:rPr>
        <w:softHyphen/>
        <w:t>писи беседы посол отметил: «Трудно было прочесть что-либо на его лице... Единствен</w:t>
      </w:r>
      <w:r w:rsidRPr="001E2C69">
        <w:rPr>
          <w:rFonts w:ascii="Times New Roman" w:hAnsi="Times New Roman"/>
          <w:color w:val="000000" w:themeColor="text1"/>
          <w:sz w:val="16"/>
          <w:szCs w:val="16"/>
        </w:rPr>
        <w:softHyphen/>
        <w:t>ное его замечание о том, что Советскому Правительству следует обращаться по делам Синьцзяна к Центральному Правительству Китая, было сделано не в достаточно лояль</w:t>
      </w:r>
      <w:r w:rsidRPr="001E2C69">
        <w:rPr>
          <w:rFonts w:ascii="Times New Roman" w:hAnsi="Times New Roman"/>
          <w:color w:val="000000" w:themeColor="text1"/>
          <w:sz w:val="16"/>
          <w:szCs w:val="16"/>
        </w:rPr>
        <w:softHyphen/>
        <w:t>ном тоне, обычном для наших бесед» (15811).</w:t>
      </w:r>
    </w:p>
    <w:p w14:paraId="6BBFD42D" w14:textId="77777777" w:rsidR="0091110F" w:rsidRPr="001E2C69" w:rsidRDefault="0091110F" w:rsidP="00722885">
      <w:pPr>
        <w:spacing w:after="0" w:line="240" w:lineRule="auto"/>
        <w:jc w:val="both"/>
        <w:rPr>
          <w:rFonts w:ascii="Times New Roman" w:hAnsi="Times New Roman"/>
          <w:color w:val="000000" w:themeColor="text1"/>
          <w:sz w:val="16"/>
          <w:szCs w:val="16"/>
        </w:rPr>
      </w:pPr>
    </w:p>
    <w:p w14:paraId="393BA75A"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Другие оборонные отрасли:</w:t>
      </w:r>
    </w:p>
    <w:p w14:paraId="408FFBD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BD404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июля 1942 вышло Постановление ГКО № 2003 О мерах помощи заводу № 112. Наркомтанкопрома. РГАНИР, Фонд ГКО, д. 42, лл. 137-140, 141-148 (11012).</w:t>
      </w:r>
    </w:p>
    <w:p w14:paraId="6D5776B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3814E8"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июля 1942 г.</w:t>
      </w:r>
    </w:p>
    <w:p w14:paraId="2F86BD8E"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РГАЭ Фонд 8752 Опись 4 Дело 92 лист 84 – 82</w:t>
      </w:r>
    </w:p>
    <w:p w14:paraId="5F22D00B"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Секретно.</w:t>
      </w:r>
    </w:p>
    <w:p w14:paraId="55941F92"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 НАРОДНОГО КОМИССАРА ТАНКОВОЙ ПРОМЫШЛЕННОСТИ СОЮЗА ССР № 514с</w:t>
      </w:r>
    </w:p>
    <w:p w14:paraId="2E8BFB42"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Москва</w:t>
      </w:r>
    </w:p>
    <w:p w14:paraId="4B32D6F0"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июля 1942 г.</w:t>
      </w:r>
    </w:p>
    <w:p w14:paraId="786C855C"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обеспечения выполнения программы заводом № 174 ПРИКАЗЫВАЮ:</w:t>
      </w:r>
    </w:p>
    <w:p w14:paraId="764501E5"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1.</w:t>
      </w:r>
    </w:p>
    <w:p w14:paraId="5066A88C"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Директору завода № 183 т. МАКСАРЕВУ отгрузить заводу № 174 в июле месяце:</w:t>
      </w:r>
    </w:p>
    <w:p w14:paraId="0D5CF487"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65 комплектов радиаторов по следующему графику:</w:t>
      </w:r>
    </w:p>
    <w:p w14:paraId="421DA793"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 по 10 июля – 15 комплектов</w:t>
      </w:r>
    </w:p>
    <w:p w14:paraId="06B285A7"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10 по 15 июля – 15 комплектов</w:t>
      </w:r>
    </w:p>
    <w:p w14:paraId="09BE0394"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15 по 20 июля – 20 комплектов</w:t>
      </w:r>
    </w:p>
    <w:p w14:paraId="599C092D"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20 по 25 июля – 15 комплектов</w:t>
      </w:r>
    </w:p>
    <w:p w14:paraId="5218D6F8"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Двадцать пар конических шестерен в готовом виде:</w:t>
      </w:r>
    </w:p>
    <w:p w14:paraId="1DFBB6D9"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12 июля – 10 пар</w:t>
      </w:r>
    </w:p>
    <w:p w14:paraId="5CA252A3"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15 июля – 10 пар</w:t>
      </w:r>
    </w:p>
    <w:p w14:paraId="5A490CB5"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Отгрузить до 12 июля остродефицитные позиции стального литья:</w:t>
      </w:r>
    </w:p>
    <w:p w14:paraId="3F795F42"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15-070 – диск ленивца – 100 штук</w:t>
      </w:r>
    </w:p>
    <w:p w14:paraId="2E484935"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11-029 – ведущее колесо – 100 штук</w:t>
      </w:r>
    </w:p>
    <w:p w14:paraId="262D551D"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16-003 – крышка бортовой передачи – 50 штук</w:t>
      </w:r>
    </w:p>
    <w:p w14:paraId="342711BA"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29-1646 – кронштейн правый – 100 штук</w:t>
      </w:r>
    </w:p>
    <w:p w14:paraId="59DFDE64"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29-1647 – кронштейн левый – 100 штук</w:t>
      </w:r>
    </w:p>
    <w:p w14:paraId="7C6389A7"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29-1649 – кронштейн балансира – 200 штук</w:t>
      </w:r>
    </w:p>
    <w:p w14:paraId="11A4B804"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Остальные количества и позиции стального литья, согласно приложения № 1 отгружать равномерно в течении июля месяца.</w:t>
      </w:r>
    </w:p>
    <w:p w14:paraId="77343E1A"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Отгрузить до 15 июля остродефицитные позиции горящей штамповки:</w:t>
      </w:r>
    </w:p>
    <w:p w14:paraId="2A3F64AE"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15-027 Кривошип ленивца – 50 штук</w:t>
      </w:r>
    </w:p>
    <w:p w14:paraId="5D063D27"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18-037 Шток – 110 штук</w:t>
      </w:r>
    </w:p>
    <w:p w14:paraId="5364E81E"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Остальные позиции горячей штамповки, согласно приложения № 1 отгружать равномерно в течении июля месяца.</w:t>
      </w:r>
    </w:p>
    <w:p w14:paraId="6129B6C4"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Ответственность за изготовление и отгрузку деталей, перечисленных в пункте в) и г) возлагаю на Зам. Начальника Металлургического отдела т. Середина.</w:t>
      </w:r>
    </w:p>
    <w:p w14:paraId="18555E50"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Радиаторы и конические шестерни отгружать до Челябинска самолетом и от Челябинска до Омска багажом пассажирским поездом. Ответственность за перегрузку радиаторов и шестерен с самолета и отправку багажом возлагаю на Управляющего Челябинской конторой Главснаба т. МОГАРИЛЛО.</w:t>
      </w:r>
    </w:p>
    <w:p w14:paraId="1E0FE620"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Ответственность по Наркомату за своевременную доставку радиаторов и шестерен самолетами и пассажирским поездом возложить на заместителя начальника Главснаба т. Тарасова.</w:t>
      </w:r>
    </w:p>
    <w:p w14:paraId="62FC22E7"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Ответственность за сдачу для отправки радиаторов в указанные сроки возлагаю на ведущего инженера 1-го отдела т. Богданова.</w:t>
      </w:r>
    </w:p>
    <w:p w14:paraId="7DD3EA7B"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2.</w:t>
      </w:r>
    </w:p>
    <w:p w14:paraId="45D76679"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Директору завода № 200 т. Сочивко:</w:t>
      </w:r>
    </w:p>
    <w:p w14:paraId="7382F81C"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Отгрузить до 15-го июля остродефицитные позиции стального литья:</w:t>
      </w:r>
    </w:p>
    <w:p w14:paraId="0275474E"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30-474 – башня – 50 шт.</w:t>
      </w:r>
    </w:p>
    <w:p w14:paraId="683D3BFF"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30-475 – лобовой щит – 50 шт.</w:t>
      </w:r>
    </w:p>
    <w:p w14:paraId="10339C7B"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11-029 – ведущее колесо – 50 шт.</w:t>
      </w:r>
    </w:p>
    <w:p w14:paraId="2706C1F3"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29-1649 – кронштейн балансира – 100 шт.</w:t>
      </w:r>
    </w:p>
    <w:p w14:paraId="494B41A5"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Остальные позиции стального литья согласно приложения № 2 отгружать равномерно в течение июля месяца.</w:t>
      </w:r>
    </w:p>
    <w:p w14:paraId="672243E3"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Предупредить т. Сочивко, что он несет персональную ответственность за выполнение программы по стальному литью для завода № 174.</w:t>
      </w:r>
    </w:p>
    <w:p w14:paraId="2893395A"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Наркомату ответственность за выполнение настоящего пункта возлагаю на тов. ХАБАХПАШЕВА.</w:t>
      </w:r>
    </w:p>
    <w:p w14:paraId="330BFC06"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3.</w:t>
      </w:r>
    </w:p>
    <w:p w14:paraId="6DD05336"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Директору Кировского завода т. МАХОНИНУ:</w:t>
      </w:r>
    </w:p>
    <w:p w14:paraId="6C152112"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Отгрузить заводу № 174 шестерни чертеж 16-006 (горячая штамповка):</w:t>
      </w:r>
    </w:p>
    <w:p w14:paraId="01A2A375"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11-го июля – 20 штук</w:t>
      </w:r>
    </w:p>
    <w:p w14:paraId="576572FB"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11 по 15 июля – 20 штук</w:t>
      </w:r>
    </w:p>
    <w:p w14:paraId="69F8D8DB"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15 по 20 июля – 20 штук</w:t>
      </w:r>
    </w:p>
    <w:p w14:paraId="0AA42E6A"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20 по 30 июля – 40 штук</w:t>
      </w:r>
    </w:p>
    <w:p w14:paraId="57955EB7"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Всего – 100 штук.</w:t>
      </w:r>
    </w:p>
    <w:p w14:paraId="185F73E4"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Отгрузку производить багажом пассажирским поездом или прицепкой к пассажирскому поезду. Ответственный в Челябинске за отправку пассажирской скоростью управляющий Челябинской конторой Главснаба т. МАГАРИЛЛО, а по Наркомату на ведущего инженера т. Быстрицкого.</w:t>
      </w:r>
    </w:p>
    <w:p w14:paraId="20EDAA67"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4.</w:t>
      </w:r>
    </w:p>
    <w:p w14:paraId="58AEEA36"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Директору завода № 76 т. Кочеткову отгрузить заводу № 174 в июле месяце 85 моторов в следующие сроки:</w:t>
      </w:r>
    </w:p>
    <w:p w14:paraId="495C0DAE"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10.VII – 15 шт.</w:t>
      </w:r>
    </w:p>
    <w:p w14:paraId="6B85B3E9"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10 по 15.VII – 17 штук</w:t>
      </w:r>
    </w:p>
    <w:p w14:paraId="0353DA79"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16 по 20.VII – 17 штук</w:t>
      </w:r>
    </w:p>
    <w:p w14:paraId="42F10BEE"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20 по 25.VII – 17 штук</w:t>
      </w:r>
    </w:p>
    <w:p w14:paraId="3463773D"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25 по 31.VII – 19 штук</w:t>
      </w:r>
    </w:p>
    <w:p w14:paraId="66E23E78"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Ответственный за своевременную отгрузку – старший ведущий инженер 1-го отдела т. Магидсон.</w:t>
      </w:r>
    </w:p>
    <w:p w14:paraId="10835D3C"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5.</w:t>
      </w:r>
    </w:p>
    <w:p w14:paraId="1A9C7FE5"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Директору СТЗ т. Задорожному отгрузить заводу № 174 не позднее 12 июля 80 комплектов траков. Отгрузку производить через Владимирскую пристань – станция Ахтуба.</w:t>
      </w:r>
    </w:p>
    <w:p w14:paraId="00E33768"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Отгрузить в июле 50 пар обработанных конических шестерен. Отгрузку произвести самолетами до Куйбышева в следующие сроки:</w:t>
      </w:r>
    </w:p>
    <w:p w14:paraId="27D141A3"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11-го июля – 20 пар</w:t>
      </w:r>
    </w:p>
    <w:p w14:paraId="21CFCE2E"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11 по 15 июля – 15 пар</w:t>
      </w:r>
    </w:p>
    <w:p w14:paraId="3C257006"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15 по 20 июля – 15 пар</w:t>
      </w:r>
    </w:p>
    <w:p w14:paraId="034765F2"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Заместителю Начальника Главснаба т. Тарасову, управляющему Куйбышевской конторой Главснаба т. Дедову обеспечить отправку шестерен самолетом до Челябинска. Управляющему Челябинской конторой Главснаба т. Магарилло обеспечить отправку шестерен из Челябинска в Омск багажом пассажирским поездом. Контроль за выполнением настоящего пункта приказа возложить на ведущего инженера 1-го отдела т. Фрадкина.</w:t>
      </w:r>
    </w:p>
    <w:p w14:paraId="651EA2EB"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Контроль за выполнением настоящего приказа возложить на заместителя начальника 1-го Отдела т. Давтян.</w:t>
      </w:r>
    </w:p>
    <w:p w14:paraId="635CFF71" w14:textId="77777777" w:rsidR="00143BEF" w:rsidRPr="001E2C69" w:rsidRDefault="00143BE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НАРОДНЫЙ КОМИССАР ТАНКОВОЙ ПРОМЫШЛЕННОСТИ СОЮЗА ССР подпись И. ЗАЛЬЦМАН (21214).</w:t>
      </w:r>
    </w:p>
    <w:p w14:paraId="01C07C61" w14:textId="77777777" w:rsidR="00143BEF" w:rsidRPr="001E2C69" w:rsidRDefault="00143BEF" w:rsidP="00722885">
      <w:pPr>
        <w:spacing w:after="0" w:line="240" w:lineRule="auto"/>
        <w:jc w:val="both"/>
        <w:rPr>
          <w:rFonts w:ascii="Times New Roman" w:hAnsi="Times New Roman"/>
          <w:color w:val="000000" w:themeColor="text1"/>
          <w:sz w:val="16"/>
          <w:szCs w:val="16"/>
        </w:rPr>
      </w:pPr>
    </w:p>
    <w:p w14:paraId="4F737BF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июля 1942 вышло Постановление ГКО № 2004 О мобилизации 500 человек служащих городских учреждений г.Сталинграда для Сталинградского тракторного завода НКТП. РГАНИР, Фонд ГКО, д. 42, лл. 149 (11012).</w:t>
      </w:r>
    </w:p>
    <w:p w14:paraId="1C669E7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D969B6"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Армия:</w:t>
      </w:r>
    </w:p>
    <w:p w14:paraId="5AB92CF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FF6610"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июля в 1942 году утреннее сообщение Совинформбюро:</w:t>
      </w:r>
    </w:p>
    <w:p w14:paraId="3CFB353A"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9 июля наши войска вели бои с противником западнее Воронежа.</w:t>
      </w:r>
    </w:p>
    <w:p w14:paraId="0C35BB81"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0466F7A5"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Западнее Воронежа наши бойцы мужественно ведут борьбу с превосходящими силами противника. На подступах к двум населённым пунктам немцы в течение дня восемь раз переходили в атаку, но неизменно отбрасывались назад. Вечером две роты гитлеровцев девятый раз пытались атаковать наши позиции. Наши бойцы, подпустив противника на близкое расстояние, полностью уничтожили наступавших немцев. На другом участке миномётчики части, где командиром тов. Сазонов, уничтожили до 200 немецких солдат и офицеров. Бойцу пулемётчику Умарову было приказано залечь на фланге роты и отражать атаки противника. Вскоре немцы бросили на фланг, где находился Умаров, до двух рот пехоты. Отважный пулемётчик меткими очередями уничтожил более 50 гитлеровцев и держался до тех пор, пока ему на помощь не подоспели бойцы, находившиеся в резерве.</w:t>
      </w:r>
    </w:p>
    <w:p w14:paraId="7D3715C2"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Юго-Западного направления немцы четыре раза атаковалипозиции, которые оборонял наш стрелковый батальон. Оставив на поле боя 13 подбитых танков и свыше 500 трупов, противник отказался от лобовых атак. Только тогда, когда создалась опасность окружения, наши бойцы по приказу командования отошли на новые рубежи. На другом участке в ожесточённом танковом бою уничтожено19 немецких танков и свыше 200 автоматчиков противника.</w:t>
      </w:r>
    </w:p>
    <w:p w14:paraId="454AA2BF"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Части, действующие на одном из участков Калининского фронта, за пять дней боевых действий уничтожили до 2 тысяч немецких солдат и офицеров. На другом участке бойцы части, где командиром тов. Тарасов, за четыре дня подбили и сожгли 67 немецких танков, уничтожили 21 орудие и огнём пехотного оружия сбили два самолёта противника. Немецкие войска на этом участке потеряли свыше тысячи солдат и офицеров.</w:t>
      </w:r>
    </w:p>
    <w:p w14:paraId="5B52492F"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Истребители авиачасти под командованием тов. Немцевича за три дня в воздушных боях сбили 24 и подбили 18 самолётов противника. Штурмовики подразделения тов. Чертова и лётчики подразделения тов. Петровец за два дня боёв уничтожили 15 немецких самолётов. Майор Караченцев 7 июля сбил два бомбардировщика «Юнкерс-88».</w:t>
      </w:r>
    </w:p>
    <w:p w14:paraId="7ECE7B11"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Танковый экипаж в составе лейтенанта И.И.Королькова, механика-водителястаршего сержанта С.И.Краснопёрова, командира орудия младшего сержанта П.М.Бондаренко и радиста-стрелка сержанта Я.Ф.Симонова за время войны противнемецко-фашистских захватчиков уничтожил 17 немецких танков, 10 орудий, 22 миномёта и несколько сот гитлеровцев.</w:t>
      </w:r>
    </w:p>
    <w:p w14:paraId="52544A10"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Красноармеец Степан Турков из противотанкового ружья сбил немецкий самолёт.</w:t>
      </w:r>
    </w:p>
    <w:p w14:paraId="06AA30A4"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Группа партизан под командованием тов. М. в одном из районов Белоруссии организовала крушение воинского эшелона противника. Из 53 вагонов 47 вагонов разбиты полностью. Отряд витебских партизан под командованием тов. К. пустил под откос немецкий поезд. Сгорело 20 вагонов и 4 цистерны с бензином. Погибло свыше 300 немецко-фашистских оккупантов.</w:t>
      </w:r>
    </w:p>
    <w:p w14:paraId="4A18BB79"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Два партизанских отряда, действующих в одном из районов Орловской области, разгромили карательный отряд немецких оккупантов. Во время боя уничтожено 39 солдат противника. Партизаны захватили у немцев 2 орудия, 100 снарядов, 6 станковых пулемётов и несколько тысяч винтовочных патронов.</w:t>
      </w:r>
    </w:p>
    <w:p w14:paraId="31DCFE21"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Сдавшийся в плен унтер-офицер 2 батальона 524 немецкого пехотного полка Генрих П. рассказал: «В последних боях батальон понёс большие потери. Шестая рота была разгромлена. В ней осталось 3 кадровых солдата и несколько резервистов. За короткий срок в полку сменилось три командира полка, а во втором батальоне — пять командиров. Три командира батальона — майор Бауэр, капитан Шлин и капитан Кауфман были убиты в боях, двух командование сместило за нерешительность».</w:t>
      </w:r>
    </w:p>
    <w:p w14:paraId="060E046B"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Патриоты Югославии на днях выбили гарнизоны немецко-итальянских оккупантов с целого ряда станций очень важной железной дороги. На протяжении 80 километров дорога находится в руках партизан. Отрядами партизан захвачены большие трофеи.» (14947).</w:t>
      </w:r>
    </w:p>
    <w:p w14:paraId="62CC3AD6" w14:textId="77777777" w:rsidR="0091110F" w:rsidRPr="001E2C69" w:rsidRDefault="0091110F" w:rsidP="00722885">
      <w:pPr>
        <w:spacing w:after="0" w:line="240" w:lineRule="auto"/>
        <w:jc w:val="both"/>
        <w:rPr>
          <w:rFonts w:ascii="Times New Roman" w:hAnsi="Times New Roman"/>
          <w:color w:val="000000" w:themeColor="text1"/>
          <w:sz w:val="16"/>
          <w:szCs w:val="16"/>
        </w:rPr>
      </w:pPr>
    </w:p>
    <w:p w14:paraId="4FFA05E6"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июля в 1942 году вечернее сообщение Совинформбюро:</w:t>
      </w:r>
    </w:p>
    <w:p w14:paraId="45C12072"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9 июля наши войска вели упорные бои с противником западнее Воронежа и в районе города Россошь.</w:t>
      </w:r>
    </w:p>
    <w:p w14:paraId="1D0691BA"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20115E05"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Нашими кораблями в Балтийском море потоплены два транспорта и танкер противника общим водоизмещением в 22.000 тонн.</w:t>
      </w:r>
    </w:p>
    <w:p w14:paraId="5550AA4D"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8 июля частями нашей авиации на различных участках фронта уничтожено или повреждено свыше 30 немецких танков, 215 автомашин с войсками и грузами, 4 автоцистерны с горючим, подавлен огонь 6 батарей полевой и зенитной артиллерии, взорван склад с боеприпасами, потоплены канонерская лодка и сторожевой катер,повреждено несколько транспортов, рассеяно и частью уничтожено до полка пехоты противника.</w:t>
      </w:r>
    </w:p>
    <w:p w14:paraId="12A22690"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На одном из участков западнее Воронежа продолжаются ожесточённые бои. Танковое подразделение, которым командует тов. Слобода, атаковало позиции противника. Командир подразделения первым врезался в боевые порядки немецкой пехоты и нанёс ей большой урон. На выручку своей пехоты гитлеровцы бросилибольшое количество танков. В завязавшемся танковом бою наши танкисты уничтожили 4 средних немецких танка, 19 противотанковых орудий и 2 миномёта с расчётами. Бои за Воронеж полны примеров мужества и отваги советских воинов. На позиции противотанкового взвода, которым командует младший лейтенант </w:t>
      </w:r>
      <w:r w:rsidRPr="001E2C69">
        <w:rPr>
          <w:rFonts w:ascii="Times New Roman" w:hAnsi="Times New Roman"/>
          <w:color w:val="000000" w:themeColor="text1"/>
          <w:sz w:val="16"/>
          <w:szCs w:val="16"/>
        </w:rPr>
        <w:lastRenderedPageBreak/>
        <w:t>Сиротин, наступал батальон вражеской пехоты. Огнём из двух пушек смелые бойцы отбили пять атак противника и уничтожили 200 гитлеровцев. Миномётная рота, которой командует тов. Вестник, в течение дня уничтожила 400 немецких солдат и офицеров.</w:t>
      </w:r>
    </w:p>
    <w:p w14:paraId="71AE2CF0"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Части, действующие на отдельных участках Ленинградского фронта, за два дня уничтожили 7 немецких пулемётов, разрушили ДЗОТ, 10 блиндажей и взорвали склад с боеприпасами противника. Гитлеровцы потеряли убитыми и ранеными до 300 солдат иофицеров.</w:t>
      </w:r>
    </w:p>
    <w:p w14:paraId="41FEF018"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Четыре пикирующих бомбардировщика подразделения тов. Скока (Северо-Западныйфронт) совершили налёт на аэродром противника. Несмотря на сильный огонь зенитной артиллерии, наши лётчики уничтожили 7 и повредили 2 немецких самолёта.</w:t>
      </w:r>
    </w:p>
    <w:p w14:paraId="6C4D9AC3"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Восемь бронебойщиков под руководством сержанта Баталова открыли огонь из противотанковых ружей по немецким самолётам и сбили «Юнкерс-88». Три немецких лётчика взяты в плен.</w:t>
      </w:r>
    </w:p>
    <w:p w14:paraId="78372711"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Группа разведчиков под командованием сержанта Соколова проникла в глубь вражеской обороны. Нарушив телефонную связь, наши бойцы забросали гранатами дом, в котором находились немецкие солдаты, и уничтожили более 30 гитлеровцев. В завязавшейся затем рукопашной схватке разведчики уничтожили ещё 20 немцев и без потерь вернулись в свою часть.</w:t>
      </w:r>
    </w:p>
    <w:p w14:paraId="76E2BDAB"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Немецкий самолёт несколькими очередями из пулемёта зажёг ящики со снарядамина автомашине, которую вёл шофёр тов. Абрамов. Отважный водитель, рискуя жизнью, стащил горящие ящики и затушил огонь. Боеприпасы были вовремя доставлены на позиции.</w:t>
      </w:r>
    </w:p>
    <w:p w14:paraId="73934B1E"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Несколько партизанских отрядов Ленинградской области, объединённых подкомандованием товарищей Б. и К., в бою с немецкой карательной экспедицией уничтожили 120 оккупантов и захватили пулемёт, 12 винтовок, автоматы, пистолеты и различное военное снаряжение.</w:t>
      </w:r>
    </w:p>
    <w:p w14:paraId="74B5C3CB"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Бежавший из фашистского плена сержант Иван Иванович Юдин рассказал следующее: «Лагерь, в котором я находился, перевели из села Николаевка (12 километров от Таганрога) в Сталино. По дороге из села Николаевка до села Степановка (45 километров) гитлеровцы расстреляли 150 пленных. Фашистские мерзавцы безжалостно убивали всех, кто, обессилев, отставал от колонны. В лагере для военнопленных в Сталино от голода, болезней и побоев ежедневно умирает по 15—20 человек. Немцы кормят пленных гнилой капустой — один котелок на 5 человек. Изнурённых непосильной работой и больных гитлеровские бандиты расстреливают на месте».</w:t>
      </w:r>
    </w:p>
    <w:p w14:paraId="7C25335C"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Огромные потери немецко-фашистской армии на советско-германском фронте вынудили гитлеровскую клику снять значительное количество войск из Франции и направить их на Восток. Ослабленные немецкие гарнизоны не в состоянии обеспечить охрану укреплений. В связи с этим диверсионные акты приняли массовый характер. В июне в районе Лилля (Франция) французские патриоты подорвали 16 бетонированных ДОТ'ов. Многие ДОТ'ы засыпаны землёй и залиты водой.» (14947).</w:t>
      </w:r>
    </w:p>
    <w:p w14:paraId="3A3050ED" w14:textId="77777777" w:rsidR="0091110F" w:rsidRPr="001E2C69" w:rsidRDefault="0091110F" w:rsidP="00722885">
      <w:pPr>
        <w:spacing w:after="0" w:line="240" w:lineRule="auto"/>
        <w:jc w:val="both"/>
        <w:rPr>
          <w:rFonts w:ascii="Times New Roman" w:hAnsi="Times New Roman"/>
          <w:color w:val="000000" w:themeColor="text1"/>
          <w:sz w:val="16"/>
          <w:szCs w:val="16"/>
        </w:rPr>
      </w:pPr>
    </w:p>
    <w:p w14:paraId="6A9D5B5A"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июля в 1942 году германское командование разделило группу армий "Юг" на две группы армий: "Б" (действовала на Воронежско-сталинградском направлении, в феврале 1943 расформирована; командующий генерал-фельдмаршал Федор Бок, с 13 июля генерал-полковник М.Вейхс) и "А" (действовала на южном крыле советско-германского фронта, в апреле 1944 переименована в группу армий "Южная Украина"; командующий генерал-фельдмаршал В.Лист) (14947).</w:t>
      </w:r>
    </w:p>
    <w:p w14:paraId="31C681EF" w14:textId="77777777" w:rsidR="0091110F" w:rsidRPr="001E2C69" w:rsidRDefault="0091110F" w:rsidP="00722885">
      <w:pPr>
        <w:spacing w:after="0" w:line="240" w:lineRule="auto"/>
        <w:jc w:val="both"/>
        <w:rPr>
          <w:rFonts w:ascii="Times New Roman" w:hAnsi="Times New Roman"/>
          <w:color w:val="000000" w:themeColor="text1"/>
          <w:sz w:val="16"/>
          <w:szCs w:val="16"/>
        </w:rPr>
      </w:pPr>
    </w:p>
    <w:p w14:paraId="2773796E"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июля в 1942 году Адольф Гитлер приказывает разделить группу армий «Юг» на две части для атаки на Кавказ и Сталинград (14947).</w:t>
      </w:r>
    </w:p>
    <w:p w14:paraId="14062F01" w14:textId="77777777" w:rsidR="0091110F" w:rsidRPr="001E2C69" w:rsidRDefault="0091110F" w:rsidP="00722885">
      <w:pPr>
        <w:spacing w:after="0" w:line="240" w:lineRule="auto"/>
        <w:jc w:val="both"/>
        <w:rPr>
          <w:rFonts w:ascii="Times New Roman" w:hAnsi="Times New Roman"/>
          <w:color w:val="000000" w:themeColor="text1"/>
          <w:sz w:val="16"/>
          <w:szCs w:val="16"/>
        </w:rPr>
      </w:pPr>
    </w:p>
    <w:p w14:paraId="4C45FC2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июля 1942 в 4 часа утра 7-й танковый корпус вновь возобновил атаки, и через некоторое время часть танков 19-й танковой бригады удалось переправить через Сухую Верейку. Однако под воздействием немецкой авиации, бомбившей боевые порядки корпуса в течение всего дня, навести переправы через реку не удалось. 2-й танковый корпус, согласно полученному приказу, в бой не вводился и находился во втором эшелоне.</w:t>
      </w:r>
    </w:p>
    <w:p w14:paraId="33E62B6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следующий день бои разгорелись с новой силой. Командование 5-й танковой армии наконец-то получило разрешение ввести в бой 2-й танковый корпус. Однако и немцы не теряли времени даром — они подтянули дополнительные силы артиллерии и танков. Весь день шли ожесточенные танковые бои, но нашим частям продвинуться не удалось.</w:t>
      </w:r>
    </w:p>
    <w:p w14:paraId="201B9E6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июля танковые корпуса, под непрерывной бомбежкой немецкой авиации медленно продвигались вперед, неся большие потери. Немецкие части тоже несли большие потери - только 2-й танковый корпус за день подбил и уничтожил 25 танков противника, а один был захвачен исправным. Свои потери составили 16 машин, из них 6 Т-34.</w:t>
      </w:r>
    </w:p>
    <w:p w14:paraId="5E97BD2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подтянув силы, немцы нанесли контрудар, атаковав 7 и 2-й танковые корпуса крупными силами пехоты и танков. Понесшие в предыдущих боях большие потери, ослабленные бригады 5-й танковой армии стали отходить, но на следующий день немецкое наступление на север удалось остановить частями 7 и 11-го танковых корпусов.</w:t>
      </w:r>
    </w:p>
    <w:p w14:paraId="7E40CA7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14.00 12 июля в тыл противника была брошена находившаяся в резерве 26-я танковая бригада 2-го танкового корпуса. Против бригады действовало 38 немецких танков и до полка пехоты, но благодаря внезапной и стремительной атаке в результате трехчасового боя бригада не только задержала, но и отбросила немцев назад. Было уничтожено 8 и подбито 7 танков, разбито 36 автомашин, 40 мотоциклов, 5 бронетранспортеров и 1 тягач. Потери 26-й танковой бригады составили 3 человека ранеными и 5 танков Т-34 получили легкие повреждения (все остались на ходу). Танкисты израсходовали 766 снарядов (из них 52 бронебойных) и 5000 патронов.</w:t>
      </w:r>
    </w:p>
    <w:p w14:paraId="16A56CF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два последующих дня части армии вели бои на занимаемых рубежах, а вечером 15 июля перешли в наступление, потеснив противника..</w:t>
      </w:r>
    </w:p>
    <w:p w14:paraId="6351F8E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ночь на 18 июля части 5-й танковой армии отведены в тыл, и в тот же день, на основании директивы Ставки 5-ю танковую армию расформировали.</w:t>
      </w:r>
    </w:p>
    <w:p w14:paraId="5AC6801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данным штаба армии, в боях 6-16 июля 1942 года соединения 5-й танковой армии уничтожили 18920 солдат и офицеров противника, 317 танков, 358 орудий, 166 минометов, 119 пулеметов, 310 автомашин и 30 самолетов. Свои потери составили 7929 человек (убитыми, ранеными и пропавшими без вести). а аткже безвозвратно 341 танк, из них 130 Т-34.</w:t>
      </w:r>
    </w:p>
    <w:p w14:paraId="0C2D122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Контрудар 5-й танковой армии в отечественной литературе освещен довольно слабо и зачастую необъективно. Да, армия вводилась в бой по частям, без разведки и авиационного прикрытия, да она понесла огромные потери. Но главной заслугой танкистов генерал-майора Лизюкова было то. что они оттянули на себя и задержали на несколько дней основные силы 4-й танковой армии немцев, предназначенные для охвата всего Юго-Западного фронта. Контрудар 5-й танковой армии генерал-майора Лизюкова в значительной степени способствовал срыву первоначальных планов немецкого командования по проведению операции «Блау».</w:t>
      </w:r>
    </w:p>
    <w:p w14:paraId="381F330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срочном порядке перебрасываемый в район Воронежа 18-й танковый корпус (ПО, 18.0, 181-я танковые, 18-я мотострелковая бригады) насчитывал к 4 июля 1942 года 181 танк, из них 88 Т-34. Однако следует отметить, что части корпуса формировались наспех, танковые бригады не имели зенитных орудий и радиостанций, а мотострелковая бригада была просто небоеспособной: в ней не хватало не только 628 человек младшего комсостава, вообще не было боеприпасов и шоферов для автомашин. Штаб корпуса не был полностью укомплектован, многие офицеры не соответствовали своим должностям.</w:t>
      </w:r>
    </w:p>
    <w:p w14:paraId="1FF6200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таком виде корпус сразу после разгрузки вводился в бой отдельными частями, действуя на фронте 78 километров. Так, 5 июля танковые бригады корпуса в одиночку сдерживали части противника в юго-западной части города. За этот день только 110-я танковая бригада подбила и уничтожила 38 немецких танков и 22 орудия.</w:t>
      </w:r>
    </w:p>
    <w:p w14:paraId="4036E5F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июля 3-я моторизованная дивизия немцев к вечеру заняла всю северную часть Воронежа, в результате чего ПО и 181-я танковые бригады оказались отрезанными, так как мосты через Воронеж взорвали по распоряжению начальника гарнизона. Потеряв все танки, 9 июля бригады вырвались из окружения. На следующий день части 18-го танкового корпуса вывели в тыл для доукомплектования.</w:t>
      </w:r>
    </w:p>
    <w:p w14:paraId="1520E42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Следует отметить, что в ходе боев за Воронеж корпус действовал отдельными бригадами, которые получали приказы не только от штаба корпуса, но и других вышестоящих штабов. Например, за 4-8 июля 180-я танковая бригада получила 11 различных приказаний на изменение дислокации (помимо тех, которые отдавал штаб корпуса), из-за чего прошла 300 километров не сделав ни одного выстрела.</w:t>
      </w:r>
    </w:p>
    <w:p w14:paraId="29DDD1E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Кроме того, танковые бригады не имели пехоты (их мотострелковые батальоны действовали отдельно), артиллерийского и авиационного прикрытия. Но, несмотря на это, с 4 по 9 июля танкисты отбивали 58 немецких атак в день (12217).</w:t>
      </w:r>
    </w:p>
    <w:p w14:paraId="3DCAA964"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2D141B0"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июля 1942 Гитлер приказал разделить группу армий “Юг” на две части для атаки на Кавказ и Сталинград (4962).</w:t>
      </w:r>
    </w:p>
    <w:p w14:paraId="50D1C70A"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CDBD2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lang w:val="en-US"/>
        </w:rPr>
        <w:t>July 9 1942 German offensive in the USSR divides, one army group advancing through Rostov into the Caucasus oilfields and the other toward Stalingrad (1037).</w:t>
      </w:r>
    </w:p>
    <w:p w14:paraId="61DD3D1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F7D1AE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июля 1942 немецкое наступление разделилось. Одна армейская группировка пошла через Ростов на Кавказ, а другая - на Сталинград (1037).</w:t>
      </w:r>
    </w:p>
    <w:p w14:paraId="7D7E0CA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B90CF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июля 1942 по рассказам партизан л-ш л В.Л.Дегтярев, возвращаясь с боевого задания, был подбит и тяжело ранен. Приземлился и увидев подходящего врага приготовился к бою. Снял пулемет и уложил 175. Фашисты расстреляли самолет из минометов. Отстреливаясь из пистолета Дегтярев убил еще 5. Немцы похоронили с почестью (438,849).</w:t>
      </w:r>
    </w:p>
    <w:p w14:paraId="4132F13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5BA4A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июля 1942 вышло Вопросы № 2002 Центрального штаба партизанского движения. РГАНИР, Фонд ГКО, д. 42, лл. 136 (11012).</w:t>
      </w:r>
    </w:p>
    <w:p w14:paraId="08C7F82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86C793"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Внешняя политика:</w:t>
      </w:r>
    </w:p>
    <w:p w14:paraId="1FA35E7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6B019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июля 1942 года</w:t>
      </w:r>
    </w:p>
    <w:p w14:paraId="792A122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 РУЗВЕЛЬТ И. В. СТАЛИНУ *</w:t>
      </w:r>
    </w:p>
    <w:p w14:paraId="5E07DA8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Я глубоко признателен за Вашу телеграмму, содержащую разрешение на передачу сорока бомбардировщиков в Египет. Я отдал распоряжение о немедленной отправке Вам ста пятнадцати средних танков с боеприпасами и запасными частями помимо всех танков, отгружаемых в соответствии с условиями июльского протокола (7430).</w:t>
      </w:r>
    </w:p>
    <w:p w14:paraId="6E5858D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5444F5"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1E2C69">
        <w:rPr>
          <w:rFonts w:ascii="Times New Roman" w:hAnsi="Times New Roman"/>
          <w:i/>
          <w:iCs/>
          <w:color w:val="000000" w:themeColor="text1"/>
          <w:sz w:val="16"/>
          <w:szCs w:val="16"/>
        </w:rPr>
        <w:t>За</w:t>
      </w:r>
      <w:r w:rsidRPr="001E2C69">
        <w:rPr>
          <w:rFonts w:ascii="Times New Roman" w:hAnsi="Times New Roman"/>
          <w:i/>
          <w:iCs/>
          <w:color w:val="000000" w:themeColor="text1"/>
          <w:sz w:val="16"/>
          <w:szCs w:val="16"/>
          <w:lang w:val="en-US"/>
        </w:rPr>
        <w:t xml:space="preserve"> </w:t>
      </w:r>
      <w:r w:rsidRPr="001E2C69">
        <w:rPr>
          <w:rFonts w:ascii="Times New Roman" w:hAnsi="Times New Roman"/>
          <w:i/>
          <w:iCs/>
          <w:color w:val="000000" w:themeColor="text1"/>
          <w:sz w:val="16"/>
          <w:szCs w:val="16"/>
        </w:rPr>
        <w:t>рубежом</w:t>
      </w:r>
      <w:r w:rsidRPr="001E2C69">
        <w:rPr>
          <w:rFonts w:ascii="Times New Roman" w:hAnsi="Times New Roman"/>
          <w:i/>
          <w:iCs/>
          <w:color w:val="000000" w:themeColor="text1"/>
          <w:sz w:val="16"/>
          <w:szCs w:val="16"/>
          <w:lang w:val="en-US"/>
        </w:rPr>
        <w:t>:</w:t>
      </w:r>
    </w:p>
    <w:p w14:paraId="11E64EB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4B67531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lang w:val="en-US"/>
        </w:rPr>
        <w:t>July 9th, 1942: In Egypt, renewed attacks by the Afrikakorps against British defenses at El Alamein bog down in the face of stubborn British resistance (3819).</w:t>
      </w:r>
    </w:p>
    <w:p w14:paraId="55EAAC0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6D6AE9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июля 1942 возобновилось наступление Африканского корпуса против британцев, оборонявших Эль Адамейн (3819).</w:t>
      </w:r>
    </w:p>
    <w:p w14:paraId="14F477C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A2D0A1"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Авиапромышленность:</w:t>
      </w:r>
    </w:p>
    <w:p w14:paraId="5E2A55B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27A4F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1942 г. в письме секретаря Воронежского обкома ВКП(б) В. Никитина за № 747 на имя наркома Шахурина впервые встал вопрос о защите хвоста Ил-2. Никитин писал: «Командиры, летчики авиаполка Ил-2, возвратившиеся на днях в Воронеж, со</w:t>
      </w:r>
      <w:r w:rsidRPr="001E2C69">
        <w:rPr>
          <w:rFonts w:ascii="Times New Roman" w:hAnsi="Times New Roman"/>
          <w:color w:val="000000" w:themeColor="text1"/>
          <w:sz w:val="16"/>
          <w:szCs w:val="16"/>
        </w:rPr>
        <w:softHyphen/>
        <w:t>общают, что враг применяет технику боя с самолетами Ил-2 путем поражения их сзади в хвостовое оперение, сверху по мотору, а так</w:t>
      </w:r>
      <w:r w:rsidRPr="001E2C69">
        <w:rPr>
          <w:rFonts w:ascii="Times New Roman" w:hAnsi="Times New Roman"/>
          <w:color w:val="000000" w:themeColor="text1"/>
          <w:sz w:val="16"/>
          <w:szCs w:val="16"/>
        </w:rPr>
        <w:softHyphen/>
        <w:t>же в голову летчика. Командный состав в связи с этим считает не</w:t>
      </w:r>
      <w:r w:rsidRPr="001E2C69">
        <w:rPr>
          <w:rFonts w:ascii="Times New Roman" w:hAnsi="Times New Roman"/>
          <w:color w:val="000000" w:themeColor="text1"/>
          <w:sz w:val="16"/>
          <w:szCs w:val="16"/>
        </w:rPr>
        <w:softHyphen/>
        <w:t>обходимым: 1) в конце фюзеляжа под хвостовым оперением уста</w:t>
      </w:r>
      <w:r w:rsidRPr="001E2C69">
        <w:rPr>
          <w:rFonts w:ascii="Times New Roman" w:hAnsi="Times New Roman"/>
          <w:color w:val="000000" w:themeColor="text1"/>
          <w:sz w:val="16"/>
          <w:szCs w:val="16"/>
        </w:rPr>
        <w:softHyphen/>
        <w:t>новить огневую точку; 2) установить хотя бы 4-мм броню над голо</w:t>
      </w:r>
      <w:r w:rsidRPr="001E2C69">
        <w:rPr>
          <w:rFonts w:ascii="Times New Roman" w:hAnsi="Times New Roman"/>
          <w:color w:val="000000" w:themeColor="text1"/>
          <w:sz w:val="16"/>
          <w:szCs w:val="16"/>
        </w:rPr>
        <w:softHyphen/>
        <w:t>вой летчика; 3) установить броню над мотором сверху» (10695).</w:t>
      </w:r>
    </w:p>
    <w:p w14:paraId="20F0D90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C36D1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1942 вышел приказ НКАП N 499с:</w:t>
      </w:r>
    </w:p>
    <w:p w14:paraId="2E3DBD8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массовой эксплуатации серийных истребителей наблюдается много случаев забрызгивания маслом козырьков, что понижает боеспособность самолетов.</w:t>
      </w:r>
    </w:p>
    <w:p w14:paraId="119C2B7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устранения указанного дефекта:</w:t>
      </w:r>
    </w:p>
    <w:p w14:paraId="2F3C957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И.о. нач. ЛИИ Чесалову и Нач. ЦИАМ Поликовскому провести необходимые работы по выяснению причин забрызгивания маслом и совместно с ЦАГИ дать рекомендации по устранению этого дефекта без снижения скорости самолетов.</w:t>
      </w:r>
    </w:p>
    <w:p w14:paraId="423F3EF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работу провести на самолетах ЛаГГ-3 и Як-1 в 2 недельный срок (1573,97).</w:t>
      </w:r>
    </w:p>
    <w:p w14:paraId="0F5F54D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45633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1942 состоялся первый полет И-185-М-71 эталона (130,35).</w:t>
      </w:r>
    </w:p>
    <w:p w14:paraId="1BFB080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70858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1942 вышел приказ НКАП 3 505с</w:t>
      </w:r>
    </w:p>
    <w:p w14:paraId="5FBE9B3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дополнение к приказу № 464с от 24 июня 1942 по организации радиаторного з-да на площадях бывшего з-да 469 в Солнечногорске:</w:t>
      </w:r>
    </w:p>
    <w:p w14:paraId="2E54DE9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Организовать на площади бывшего з-да № 469 самостоятельный з-д по пр-ву авиарадиаторов, присвоив ему № 459. З—д № 459 подчинить 2 ГУ. Др- Данилов.</w:t>
      </w:r>
    </w:p>
    <w:p w14:paraId="08EC831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Шахурин (1572, 60).</w:t>
      </w:r>
    </w:p>
    <w:p w14:paraId="746D548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50BD1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1942 г. приказу № 505с самостоятельный радиаторный завод, созданный 24 июня 1942 по приказу № 464с на базе филиал завода № 469, получил наименование ГС завод № 459 при 2ГУ НКАП (ГС Завод № 459 НКАП, Завод № 10 НКЛП, Солнечногорский механический завод (СМЗ) Минлегпрома, МАП, ОАО «СМЗ» /141500  г. Солнечногорск Московской обл. ул. Набережная, 2 тел. 539-33-95/). На завод возвращена часть оборудования и кадров с заводов № 469 и № 472 НКАП. Производство и ремонт радиаторов масла и воды, а с конца 1943 г.- и масло-, бензобаков.</w:t>
      </w:r>
    </w:p>
    <w:p w14:paraId="3172497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134с/20с от 25.02.1944 г. завод со всеми сооружениями и личным составом передан в систему НКЛП и переименован в завод № 10 НКЛП. Производство парашютной техники для систем катапультирования самолетов МиГ, Ил-28, Ту-4. Затем- в ведении МособлСНХ. В 1963 г. переименован в СМЗ в ведении Минлегпрома. В 1965 г. СМЗ передан в МАП.</w:t>
      </w:r>
    </w:p>
    <w:p w14:paraId="0878F94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1968 г. налажен выпуск туристического снаряжения- палаток и рюкзаков.</w:t>
      </w:r>
    </w:p>
    <w:p w14:paraId="23FEEDB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11.1992 г. завод преобразован в АО. По решению правительства № 22-р от 9.01.2004 г. вошло в перечень стратегических предприятий.</w:t>
      </w:r>
    </w:p>
    <w:p w14:paraId="05F304D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(2002 г.) тормозных парашютных систем, грузовых, спасательных и спортивных парашютов разработки НИИП, парапланов, воздушных шаров.</w:t>
      </w:r>
    </w:p>
    <w:p w14:paraId="570D60C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(2004 г.)- 646 чел.</w:t>
      </w:r>
    </w:p>
    <w:p w14:paraId="3746A6B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(1942 г.-)- Денисов(Данилов). Начальник- Ткачев. Гендиректор (2002 г.)- Ю.В. Торбахов, (2007 г.)- А.А. Королев.</w:t>
      </w:r>
    </w:p>
    <w:p w14:paraId="2C77381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Коммерческий директор (2002 г.)- М.М. Пахомов (11982).</w:t>
      </w:r>
    </w:p>
    <w:p w14:paraId="74B084C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AFB5A6"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С 10 июля 1942 г. В.Н.Челомей переведен на должность научного сотрудника по группе прочности. </w:t>
      </w:r>
      <w:r w:rsidRPr="001E2C69">
        <w:rPr>
          <w:rFonts w:ascii="Times New Roman" w:hAnsi="Times New Roman"/>
          <w:color w:val="000000" w:themeColor="text1"/>
          <w:sz w:val="16"/>
          <w:szCs w:val="16"/>
          <w:shd w:val="clear" w:color="auto" w:fill="FFFFFF"/>
        </w:rPr>
        <w:t xml:space="preserve">он переведен на должность научного сотрудника по группе прочности. Здесь он занимается вопросами нестационарной газовой динамики. В ЦИАМ им. П. И. Баранова он приступает к реализации давно задуманного — созданию пульсирующего воздушно-реактивного двигателя (ПуВРД) </w:t>
      </w:r>
      <w:r w:rsidRPr="001E2C69">
        <w:rPr>
          <w:rFonts w:ascii="Times New Roman" w:hAnsi="Times New Roman"/>
          <w:color w:val="000000" w:themeColor="text1"/>
          <w:sz w:val="16"/>
          <w:szCs w:val="16"/>
        </w:rPr>
        <w:t>(19823).</w:t>
      </w:r>
    </w:p>
    <w:p w14:paraId="4BD849EA" w14:textId="77777777" w:rsidR="00093471" w:rsidRPr="001E2C69" w:rsidRDefault="00093471" w:rsidP="00722885">
      <w:pPr>
        <w:spacing w:after="0" w:line="240" w:lineRule="auto"/>
        <w:jc w:val="both"/>
        <w:rPr>
          <w:rFonts w:ascii="Times New Roman" w:hAnsi="Times New Roman"/>
          <w:color w:val="000000" w:themeColor="text1"/>
          <w:sz w:val="16"/>
          <w:szCs w:val="16"/>
        </w:rPr>
      </w:pPr>
    </w:p>
    <w:p w14:paraId="32E1C03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1942 во исполнение постановления ГОКО вышел приказ НКБ о переводе группы двигетелистов на завод 293 НКАП (2928,12).</w:t>
      </w:r>
    </w:p>
    <w:p w14:paraId="19990C8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825024"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Другие оборонные отрасли:</w:t>
      </w:r>
    </w:p>
    <w:p w14:paraId="6549384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014619" w14:textId="77777777" w:rsidR="00B33D31" w:rsidRPr="001E2C69" w:rsidRDefault="00B33D31" w:rsidP="00722885">
      <w:pPr>
        <w:pStyle w:val="Bodytext1"/>
        <w:shd w:val="clear" w:color="auto" w:fill="auto"/>
        <w:spacing w:line="240" w:lineRule="auto"/>
        <w:ind w:firstLine="0"/>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10 июля 1942 начальник артиллерии гене- рал-майор Одинцов утвердил акт комиссии по испытаниям забронированной поворотной минометной установки, которые прошли С 26 июня по 3 июля 1942 г. в Ленинграде. Машины рекомендовались к принятию на вооружение Красной Армии.</w:t>
      </w:r>
    </w:p>
    <w:p w14:paraId="5CEB1767" w14:textId="77777777" w:rsidR="00B33D31" w:rsidRPr="001E2C69" w:rsidRDefault="00B33D31" w:rsidP="00722885">
      <w:pPr>
        <w:pStyle w:val="Bodytext1"/>
        <w:shd w:val="clear" w:color="auto" w:fill="auto"/>
        <w:spacing w:line="240" w:lineRule="auto"/>
        <w:ind w:firstLine="0"/>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Учитывая недостаточную проходимость базового шасси, можно предположить, что боевое применение минометных установок на пересеченной местности было бы затруд</w:t>
      </w:r>
      <w:r w:rsidRPr="001E2C69">
        <w:rPr>
          <w:rFonts w:ascii="Times New Roman" w:hAnsi="Times New Roman" w:cs="Times New Roman"/>
          <w:color w:val="000000" w:themeColor="text1"/>
          <w:sz w:val="16"/>
          <w:szCs w:val="16"/>
        </w:rPr>
        <w:softHyphen/>
        <w:t>нено. Кроме того, возможность организации серийного производства подобной техники в условиях блокадного Ленинграда напрямую зависела от количества пригодных автомо</w:t>
      </w:r>
      <w:r w:rsidRPr="001E2C69">
        <w:rPr>
          <w:rFonts w:ascii="Times New Roman" w:hAnsi="Times New Roman" w:cs="Times New Roman"/>
          <w:color w:val="000000" w:themeColor="text1"/>
          <w:sz w:val="16"/>
          <w:szCs w:val="16"/>
        </w:rPr>
        <w:softHyphen/>
        <w:t>билей (17747).</w:t>
      </w:r>
    </w:p>
    <w:p w14:paraId="41EDC0F4" w14:textId="77777777" w:rsidR="00B33D31" w:rsidRPr="001E2C69"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910381E" w14:textId="77777777" w:rsidR="001F6A06" w:rsidRPr="001E2C69" w:rsidRDefault="001F6A06" w:rsidP="00722885">
      <w:pPr>
        <w:pStyle w:val="rtejustify"/>
        <w:shd w:val="clear" w:color="auto" w:fill="FFFFFF"/>
        <w:spacing w:before="0" w:beforeAutospacing="0" w:after="0" w:afterAutospacing="0"/>
        <w:jc w:val="both"/>
        <w:textAlignment w:val="baseline"/>
        <w:rPr>
          <w:color w:val="000000" w:themeColor="text1"/>
          <w:sz w:val="16"/>
          <w:szCs w:val="16"/>
        </w:rPr>
      </w:pPr>
      <w:r w:rsidRPr="001E2C69">
        <w:rPr>
          <w:color w:val="000000" w:themeColor="text1"/>
          <w:sz w:val="16"/>
          <w:szCs w:val="16"/>
        </w:rPr>
        <w:t>10 июля 1942 начальник артиллерии генерал-майор Одинцов утвердил акт комиссии испытания установки миномета в кузове грузовика, которые прошли с 26 июня по 3 июля 1942 года в Ленинграде. По акту данные машины рекомендовались к принятию на вооружение Красной Армии.</w:t>
      </w:r>
    </w:p>
    <w:p w14:paraId="5E45AAD1" w14:textId="77777777" w:rsidR="001F6A06" w:rsidRPr="001E2C69" w:rsidRDefault="001F6A06" w:rsidP="00722885">
      <w:pPr>
        <w:pStyle w:val="rtejustify"/>
        <w:shd w:val="clear" w:color="auto" w:fill="FFFFFF"/>
        <w:spacing w:before="0" w:beforeAutospacing="0" w:after="0" w:afterAutospacing="0"/>
        <w:jc w:val="both"/>
        <w:textAlignment w:val="baseline"/>
        <w:rPr>
          <w:color w:val="000000" w:themeColor="text1"/>
          <w:sz w:val="16"/>
          <w:szCs w:val="16"/>
        </w:rPr>
      </w:pPr>
      <w:r w:rsidRPr="001E2C69">
        <w:rPr>
          <w:color w:val="000000" w:themeColor="text1"/>
          <w:sz w:val="16"/>
          <w:szCs w:val="16"/>
        </w:rPr>
        <w:t>Учитывая недостаточную проходимость базового шасси, можно предположить, что боевое применение минометных установок на пересеченной местности было бы затруднено. Кроме того, возможность организации серийного производства подобной техники в условиях блокадного Ленинграда напрямую зависела от количества пригодных автомобилей.</w:t>
      </w:r>
    </w:p>
    <w:p w14:paraId="31B6FE8D" w14:textId="77777777" w:rsidR="001F6A06" w:rsidRPr="001E2C69" w:rsidRDefault="001F6A06" w:rsidP="00722885">
      <w:pPr>
        <w:pStyle w:val="rtejustify"/>
        <w:shd w:val="clear" w:color="auto" w:fill="FFFFFF"/>
        <w:spacing w:before="0" w:beforeAutospacing="0" w:after="0" w:afterAutospacing="0"/>
        <w:jc w:val="both"/>
        <w:textAlignment w:val="baseline"/>
        <w:rPr>
          <w:color w:val="000000" w:themeColor="text1"/>
          <w:sz w:val="16"/>
          <w:szCs w:val="16"/>
        </w:rPr>
      </w:pPr>
      <w:r w:rsidRPr="001E2C69">
        <w:rPr>
          <w:color w:val="000000" w:themeColor="text1"/>
          <w:sz w:val="16"/>
          <w:szCs w:val="16"/>
        </w:rPr>
        <w:t>Тем не менее, приведенный эпизод ярко характеризует стремление всех организаций внести посильный вклад в общую победу над врагом. Помимо описанных работ, в период блокады ЛОНИТОМАШ успешно выполнял самые различные задания Военного совета Ленинградского фронта. Перечислим лишь основные из них:</w:t>
      </w:r>
    </w:p>
    <w:p w14:paraId="54502CE8" w14:textId="77777777" w:rsidR="001F6A06" w:rsidRPr="001E2C69" w:rsidRDefault="001F6A06"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 формирование авторемонтного дивизиона («завод на колесах» в составе 33 машин) для нужд ВВС. Все автомашины и оборудование, собрали, восстановили и смонтировали силами общественных организаций;</w:t>
      </w:r>
    </w:p>
    <w:p w14:paraId="22D79746" w14:textId="77777777" w:rsidR="001F6A06" w:rsidRPr="001E2C69" w:rsidRDefault="001F6A06"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 изготовление десяти подвижных ремонтных мастерских для частей Ленинградского фронта;</w:t>
      </w:r>
    </w:p>
    <w:p w14:paraId="43D32DD9" w14:textId="77777777" w:rsidR="001F6A06" w:rsidRPr="001E2C69" w:rsidRDefault="001F6A06"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 выпуск более 500 000 специальных пакетов для химических грелок;</w:t>
      </w:r>
    </w:p>
    <w:p w14:paraId="1792BA5F" w14:textId="77777777" w:rsidR="001F6A06" w:rsidRPr="001E2C69" w:rsidRDefault="001F6A06"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 восстановление 90 автомобилей и около 25 т различных дефицитных запасных частей к ним.</w:t>
      </w:r>
    </w:p>
    <w:p w14:paraId="73048E7F" w14:textId="77777777" w:rsidR="001F6A06" w:rsidRPr="001E2C69" w:rsidRDefault="001F6A06" w:rsidP="00722885">
      <w:pPr>
        <w:pStyle w:val="rtejustify"/>
        <w:shd w:val="clear" w:color="auto" w:fill="FFFFFF"/>
        <w:spacing w:before="0" w:beforeAutospacing="0" w:after="0" w:afterAutospacing="0"/>
        <w:jc w:val="both"/>
        <w:textAlignment w:val="baseline"/>
        <w:rPr>
          <w:color w:val="000000" w:themeColor="text1"/>
          <w:sz w:val="16"/>
          <w:szCs w:val="16"/>
        </w:rPr>
      </w:pPr>
      <w:r w:rsidRPr="001E2C69">
        <w:rPr>
          <w:color w:val="000000" w:themeColor="text1"/>
          <w:sz w:val="16"/>
          <w:szCs w:val="16"/>
        </w:rPr>
        <w:t>Стоит отметить, что все работы ЛОНИТОМАШа в период блокады выполнялись в авторемонтных мастерских, организованных с большим трудом в неприспособленных помещениях на площадке законсервированного строительства Выборгской ТЭЦ, а также в небольших электроремонтных мастерских в здании эвакуированного НИИ-46 (19768).</w:t>
      </w:r>
    </w:p>
    <w:p w14:paraId="10DBA2FD" w14:textId="77777777" w:rsidR="001F6A06" w:rsidRPr="001E2C69" w:rsidRDefault="001F6A06" w:rsidP="00722885">
      <w:pPr>
        <w:spacing w:after="0" w:line="240" w:lineRule="auto"/>
        <w:jc w:val="both"/>
        <w:rPr>
          <w:rFonts w:ascii="Times New Roman" w:hAnsi="Times New Roman"/>
          <w:color w:val="000000" w:themeColor="text1"/>
          <w:sz w:val="16"/>
          <w:szCs w:val="16"/>
        </w:rPr>
      </w:pPr>
    </w:p>
    <w:p w14:paraId="5508795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1942 вышло Постановление ГКО № 2007 Об эвакуации из г.Мичуринска оборудования завода им.Ленина. РГАНИР, Фонд ГКО, д. 42, лл. 152 (11012).</w:t>
      </w:r>
    </w:p>
    <w:p w14:paraId="41239F4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A221C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1942 вышло Постановление ГКО № 2008 О строительстве завода № 576 по производству нитроглицериновых порохов и нитрогликолевых ВВ в пос. Реж, Свердловской области. РГАНИР, Фонд ГКО, д. 42, лл. 153-154, 155 (11012).</w:t>
      </w:r>
    </w:p>
    <w:p w14:paraId="7CF60DC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7C7B1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1942 вышло Постановление ГКО № 2009 О мероприятиях по обеспечению в III квартале 1942 г. поставок химического сырья для производства боеприпасов. РГАНИР, Фонд ГКО, д. 42, лл. 156-157 (11012).</w:t>
      </w:r>
    </w:p>
    <w:p w14:paraId="708BFB4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3484C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1942 вышло Постановление ГКО № 2010 О надкалиберной кумулятивной мине к 45 мм противотанковой пушке. РГАНИР, Фонд ГКО, д. 42, лл. 158 (11012).</w:t>
      </w:r>
    </w:p>
    <w:p w14:paraId="0AD77F6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4008A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1942 вышло Постановление ГКО № 2011 Об обеспечении углем электростанций в III квартале 1942 г. РГАНИР, Фонд ГКО, д. 42, лл. 159, 160 (11012).</w:t>
      </w:r>
    </w:p>
    <w:p w14:paraId="1B9803B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15A73F"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1942 г.</w:t>
      </w:r>
    </w:p>
    <w:p w14:paraId="62BDDCC6"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РГАЭ Фонд 8752 Опись 4 Дело 92 лист 58 – 57</w:t>
      </w:r>
    </w:p>
    <w:p w14:paraId="28CB7D4F"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Секретно</w:t>
      </w:r>
    </w:p>
    <w:p w14:paraId="21931053"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 НАРОДНОГО КОМИССАРА ТАНКОВОЙ ПРОМЫШЛЕННОСТИ СОЮЗА ССР № 512с</w:t>
      </w:r>
    </w:p>
    <w:p w14:paraId="21E604B7"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Москва</w:t>
      </w:r>
    </w:p>
    <w:p w14:paraId="104F9BAD"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1942 г.</w:t>
      </w:r>
    </w:p>
    <w:p w14:paraId="5914025B"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целях ускорения подготовки к пуску первой очереди Барнаульского завода танковых дизелей ПРИКАЗЫВАЮ:</w:t>
      </w:r>
    </w:p>
    <w:p w14:paraId="6FAB33F9"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Утвердить представленную схему организации управления Барнаульского завода танковых дизельмоторов.</w:t>
      </w:r>
    </w:p>
    <w:p w14:paraId="15F5CC46"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Назначить главным инженером и первым заместителем директора завода тов. ТОЛМАЧЕВА Д.И., с освобождением его от работы на заводе № 264.</w:t>
      </w:r>
    </w:p>
    <w:p w14:paraId="11AA53CD"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Назначить начальником производства и заместителем главного инженера завода тов. ХАИТОВА А.Л., освободив его от работы на Кировском заводе.</w:t>
      </w:r>
    </w:p>
    <w:p w14:paraId="4E5DA60E"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Назначить главным конструктором завода тов. ВИХМАН, с освобождением его от работы на Кировском заводе.</w:t>
      </w:r>
    </w:p>
    <w:p w14:paraId="79B844F8"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Назначить начальником инструментального отдела и инструментального цеха завода тов. ЦЕПКОВСКОГО, с освобождением его от работы на заводе № 264.</w:t>
      </w:r>
    </w:p>
    <w:p w14:paraId="2D3ACECA"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Назначить начальником отдела снабжения завода тов. ГОЛОВИНЧИС, с освобождением его от работы на Кировском заводе.</w:t>
      </w:r>
    </w:p>
    <w:p w14:paraId="441BD60D"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Назначить начальниками цехов:</w:t>
      </w:r>
    </w:p>
    <w:p w14:paraId="7AEF932D"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цеха № 120 – тов. КРИВУЦ (завод № 76)</w:t>
      </w:r>
    </w:p>
    <w:p w14:paraId="53EE191C"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цеха № 130 – тов. ГУСЬКОВА (Кировский завод)</w:t>
      </w:r>
    </w:p>
    <w:p w14:paraId="7046396F"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цеха № 140 – тов. МАЛЯРОВА Ф.М. (СТЗ)</w:t>
      </w:r>
    </w:p>
    <w:p w14:paraId="5116579A"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цеха № 160 – тов. СУХОВА А.И. (завод № 76)</w:t>
      </w:r>
    </w:p>
    <w:p w14:paraId="612B8795"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цеха № 161 – тов. ЯЛЫНЫЧЕВА Д.А. (СТЗ)</w:t>
      </w:r>
    </w:p>
    <w:p w14:paraId="5DFD5AC2"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цеха № 170 – тов. БОРОВЕНКО Е.Е. (завод № 264)</w:t>
      </w:r>
    </w:p>
    <w:p w14:paraId="5B8FB970"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цеха № 310 – тов. ГРУЗДЕВА (завод № 174)</w:t>
      </w:r>
    </w:p>
    <w:p w14:paraId="33C9EC48"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цеха № 340 – тов. АРЕФЬЕВА В.М. (Кировский завод)</w:t>
      </w:r>
    </w:p>
    <w:p w14:paraId="647A63E4"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Перевести на постоянную работу в г. Барнаул следующих работников:</w:t>
      </w:r>
    </w:p>
    <w:p w14:paraId="46570495"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тов. УСТИМЕНКО Ю.Г. – (СТЗ)</w:t>
      </w:r>
    </w:p>
    <w:p w14:paraId="1357B168"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тов. ЛИПКИНА Х.С. – (завод № 264)</w:t>
      </w:r>
    </w:p>
    <w:p w14:paraId="263D9E20"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тов. НЕСТЕРЕНКО М.Н. – (СТЗ)</w:t>
      </w:r>
    </w:p>
    <w:p w14:paraId="24E80612"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тов. МОРОХОВСКОГО М.М. – (СТЗ)</w:t>
      </w:r>
    </w:p>
    <w:p w14:paraId="743DAF36"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тов. КУЧМАС И.П. – (Кировский завод)</w:t>
      </w:r>
    </w:p>
    <w:p w14:paraId="7D77A02D"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тов. ОСАДЧЕГО Д.Л. – (завод № 264)</w:t>
      </w:r>
    </w:p>
    <w:p w14:paraId="7148DE66"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тов. ЗЫСИНА В.А. – (СТЗ)</w:t>
      </w:r>
    </w:p>
    <w:p w14:paraId="1388D93B"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тов. РОЗЕНБЕРГА Д.С. – (Кировский завод)</w:t>
      </w:r>
    </w:p>
    <w:p w14:paraId="04026EC0"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тов. БАРАНОВА Р.Т. – (СТЗ)</w:t>
      </w:r>
    </w:p>
    <w:p w14:paraId="6C5F65B5"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тов. САВЕНКОВА Я.А. – (Кировский завод)</w:t>
      </w:r>
    </w:p>
    <w:p w14:paraId="22CDC62B"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Обязать директоров заводов: СТЗ – т. Задорожного, Кировского – т. Махонина, завода № 174 – т. Кацнельсон, завод № 76 – т. Кочеткова в 10-дневный срок откомандировать указанных в настоящем приказе работников на Барнаульский завод № С-10.</w:t>
      </w:r>
    </w:p>
    <w:p w14:paraId="4B382B60"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В соответствии с приказом НКТП № 447с от 10 июня с.г. установить, что поставка топливных насосов в 1942 г. для Барнаульского завода производится Кировским заводом, в соответствии с установленной программой.</w:t>
      </w:r>
    </w:p>
    <w:p w14:paraId="44E4CDDA"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Зам. начальника технического отдела НКТП т. Зубкову и начальнику Главснаба т. Розину пересмотреть распределение специальных станков отечественного производства, выделенных моторным заводам НКТП с таким расчетом, чтобы в III квартале покрыть минимальную комплектную потребность Барнаульского завода и в пятидневный срок представить на утверждение Зам. Наркома т. Зернову П.М.</w:t>
      </w:r>
    </w:p>
    <w:p w14:paraId="18BA0515"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Начальнику Главснаба т. Розину выдать из резерва НКТП Барнаульскому заводу 10 грузовых машин и 1 легковую машину.</w:t>
      </w:r>
    </w:p>
    <w:p w14:paraId="3361A4C9"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Разрешить директору Барнаульского завода т. Поливановскому организовать временно до конца 1942 г. представительство при Главснабе НКТП в количестве 4-х человек.</w:t>
      </w:r>
    </w:p>
    <w:p w14:paraId="43FB88AA" w14:textId="77777777" w:rsidR="00093471" w:rsidRPr="001E2C69" w:rsidRDefault="000934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НАРОДНЫЙ КОМИССАР ТАНКОВОЙ ПРОМЫШЛЕННОСТИ СОЮЗА ССР подпись (И. ЗАЛЬЦМАН) (21216).</w:t>
      </w:r>
    </w:p>
    <w:p w14:paraId="23B6ACD7" w14:textId="77777777" w:rsidR="00093471" w:rsidRPr="001E2C69" w:rsidRDefault="00093471" w:rsidP="00722885">
      <w:pPr>
        <w:spacing w:after="0" w:line="240" w:lineRule="auto"/>
        <w:jc w:val="both"/>
        <w:rPr>
          <w:rFonts w:ascii="Times New Roman" w:hAnsi="Times New Roman"/>
          <w:color w:val="000000" w:themeColor="text1"/>
          <w:sz w:val="16"/>
          <w:szCs w:val="16"/>
        </w:rPr>
      </w:pPr>
    </w:p>
    <w:p w14:paraId="31D48882"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Армия:</w:t>
      </w:r>
    </w:p>
    <w:p w14:paraId="4185C01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2601AD"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в 1942 году утреннее сообщение Совинформбюро:</w:t>
      </w:r>
    </w:p>
    <w:p w14:paraId="241B17DA"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10 июля наши войска вели бои с противником западнее Воронежа и в районе города Россошь.</w:t>
      </w:r>
    </w:p>
    <w:p w14:paraId="3E6EBD0B"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39572756"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 части, действующие западнее Воронежа, наносят противнику большие потери. На одном из участков наши бойцы отбили три атаки немецкого пехотного полка и уничтожили 7 танков и свыше 500 гитлеровцев. На другом участке советские танкисты разгромили колонну вражеской мотопехоты и уничтожили 26 автомашин и 300 немецких солдат и офицеров.</w:t>
      </w:r>
    </w:p>
    <w:p w14:paraId="5F8CEE00"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 части, действующие на отдельных участках Калининского фронта, за три дня боевых действий уничтожили до четырёх тысяч немецких солдат и офицеров, 27 танков и 5 бронемашин.</w:t>
      </w:r>
    </w:p>
    <w:p w14:paraId="3C935516"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Артиллеристы части, которой командует тов. Морозов, за последние дни уничтожили 2 немецких орудия, 2 станковых пулемёта, склад боеприпасов, автомашину и 4 повозки с грузом, подавили огонь 7 артиллерийских и 2 миномётных батарей.</w:t>
      </w:r>
    </w:p>
    <w:p w14:paraId="7B33F3B9"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Прикрывая наземные войска, группа истребителей под командованием капитана Бунделеева сбила три немецких самолёта «Юнкерс-88».</w:t>
      </w:r>
    </w:p>
    <w:p w14:paraId="1319EC08"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Десять разведчиков во главе с лейтенантом Захаровым и младшим политрукомБарановым пробрались к переднему краю немецкой обороны. Обнаружив наших бойцов, гитлеровцы направили в помощь своему боевому охранению до 100 солдат. Наши разведчики вступили в бой с противником, уничтожили до 50 немцев и без потерь вернулись в свою часть.</w:t>
      </w:r>
    </w:p>
    <w:p w14:paraId="6480B111"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Несколько партизанских отрядов, действующих в оккупированных районах Калининской области, за июнь пустили под откос 9 немецких воинских эшелонов с живой силой и военным грузом, 2 бронепоезда, взорвали 12 железнодорожных и шоссейных мостов и уничтожили свыше 600 оккупантов.</w:t>
      </w:r>
    </w:p>
    <w:p w14:paraId="3815C1ED"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22 отдельного батальона финской армии Лаури P. рассказал: «Наш батальон сформирован из дезертиров, досрочно освобождённых из тюрем. Когда мы приехали на фронт, 9 солдат категорически заявили, что они не будут воевать, и их немедленно арестовали. Командир батальона подполковник Лахденсуо невысокого мнения о своих солдатах. Он заявил на днях: «Я сплю всё время в сапогах, потому что больше надеюсь на свои ноги, чем на свой батальон».</w:t>
      </w:r>
    </w:p>
    <w:p w14:paraId="35BD7864"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Перешедший на сторону Красной Армии капрал 8 венгерской пехотной бригады Шандор К. рассказал: «Последние бои убедили многих венгерских солдат, что немцы хотят чужими руками жар загребать. Немецкое командование бросает венгерские части на самые опасные участки под смертоносный огонь русских. Как только мы раскусили эту подлость, многочисленные группы солдат отказались идти в бой и потребовали отправки на родину. Немцы пытались запугать нас расстрелами, но солдаты, поддержанные группой офицеров, заявили, что они с оружием в руках будут отстаивать свои права и защищать свою жизнь. По приказу германского командования некоторые венгерские подразделения были отведены в ближний тыл. Там всех солдат и офицеров разоружили и арестовали. Их посадили в санитарные вагоны и под видом раненых отправили в Венгрию. Мне и ещё небольшой группе солдат удалось бежать. Мы решили поодиночке перейти линию фронта и сдаться в плен».</w:t>
      </w:r>
    </w:p>
    <w:p w14:paraId="40C05F42"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Французские патриоты подожгли в Марселе склады с военными материалами, предназначавшимися для итало-германской армии в Африке. Возник огромный пожар. В течение нескольких дней порт и все прилегающие районы были окутаны клубами дыма.</w:t>
      </w:r>
    </w:p>
    <w:p w14:paraId="2F133308"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Успешно выполнил июньский план коллектив завода Наркомата боеприпасов, где директором тов. Невструев. Завод продолжает работать строго по графику, с нарастающим подъёмом. За семь дней июля месяца коллектив завода перевыполнил задание по всем видам продукции на 33,3 процента.» (14948).</w:t>
      </w:r>
    </w:p>
    <w:p w14:paraId="0E997B66" w14:textId="77777777" w:rsidR="0091110F" w:rsidRPr="001E2C69" w:rsidRDefault="0091110F" w:rsidP="00722885">
      <w:pPr>
        <w:spacing w:after="0" w:line="240" w:lineRule="auto"/>
        <w:jc w:val="both"/>
        <w:rPr>
          <w:rFonts w:ascii="Times New Roman" w:hAnsi="Times New Roman"/>
          <w:color w:val="000000" w:themeColor="text1"/>
          <w:sz w:val="16"/>
          <w:szCs w:val="16"/>
        </w:rPr>
      </w:pPr>
    </w:p>
    <w:p w14:paraId="311FA217"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в 1942 году вечернее сообщение Совинформбюро:</w:t>
      </w:r>
    </w:p>
    <w:p w14:paraId="259A2260"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10 июля западнее Воронежа продолжались ожесточённые бои.</w:t>
      </w:r>
    </w:p>
    <w:p w14:paraId="2525846F"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 войска оставили город Россошь, бои происходили в районе Кантемировка.</w:t>
      </w:r>
    </w:p>
    <w:p w14:paraId="2B565BB6"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Лисичанском направлении завязались бои с перешедшими в наступление войсками противника.</w:t>
      </w:r>
    </w:p>
    <w:p w14:paraId="2B09103D"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15C0B3B4"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За 9 июля частями нашей авиации на различных участках фронта уничтожено или повреждено 55 немецких танков, 230 автомашин с войсками и грузами, подавлен огонь 2 дивизионов полевой и зенитной артиллерии, взорвано два склада сбоеприпасами, разбит железнодорожный состав, потоплена канонерская лодка и повреждены миноносец, две канонерских лодки и два катера, рассеяно и частью уничтожено до полка пехоты противника.</w:t>
      </w:r>
    </w:p>
    <w:p w14:paraId="1CBAB511"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западнее Воронежа продолжались напряжённые бои. Бойцы части под командованием тов. Мазнеченко стойко обороняли один населённый пункт, который несколько раз был атакован противником. В этом бою, часто переходившем в рукопашную схватку, уничтожено свыше 300 немецких солдат и офицеров, захвачены 7 автомашин, противотанковая пушка, пулемёты и несколько десятков тысяч патронов. В напряжённый момент боя пулемёт противника задержал продвижение нашей пехоты. Лейтенант Синельников, вооружившись гранатами, подполз к вражескому пулемётному гнезду и уничтожил пулемётчика. Повернув пулемёт в сторону противника, он расстрелял несколько десятков гитлеровцев. На другом участке в течение трёх дней продолжались ожесточённые бои за крупный населённый пункт и железнодорожную станцию, которые неоднократно переходили из рук в руки. Только за день противник потерял на этом участке более 600 солдат и офицеров. Населённый пункт и станция к исходу дня удерживались нашими войсками.</w:t>
      </w:r>
    </w:p>
    <w:p w14:paraId="41C11B40"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двух суток наши войска вели непрерывные и напряжённые бои в районе города Россошь. Противник на этом направлении бросил крупные силы танков и мотопехоты. После упорных боёв наши части под давлением противника отошли на новый оборонительный рубеж.</w:t>
      </w:r>
    </w:p>
    <w:p w14:paraId="283F4A6E"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Артиллеристы-гвардейцы под командованием тов. Гришина (Калининский фронт) за последние дни уничтожили до тысячи немецких солдат и офицеров, 3 танка, 14 автомашин с грузом, 6 станковых пулемётов, орудийную батарею и подавили огонь 3 орудийных и 3 миномётных батарей. На этом же участке артиллеристы части, гдекомандиром тов. Пушкарёв, уничтожили 400 гитлеровцев и подбили 16 немецких танков.</w:t>
      </w:r>
    </w:p>
    <w:p w14:paraId="1F17322F"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Разведчики тт. Шаповалов и Шатов во время боя проникли в деревню, занятую немцами. Старик-колхозник указал бойцам, где расположен штаб немецкой части. Наши бойцы ворвались в помещение штаба, гранатами уничтожили группу офицеров и захватили важные документы.</w:t>
      </w:r>
    </w:p>
    <w:p w14:paraId="57ECEED8"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B течение дня снайперы Н-ской части уничтожили 101 гитлеровца. Снайперы тт. Григорьев и Осадчий истребили 14 немецких оккупантов. Снайперы тт. Самодуров, Петрусев, Павленко и Гулин уничтожили по четыре гитлеровца каждый.</w:t>
      </w:r>
    </w:p>
    <w:p w14:paraId="3793B008"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Брянские партизаны в последних боях с оккупантами уничтожили 770 солдат и офицеров противника. Партизаны пустили под откос 2 железнодорожных эшелона и сожгли немецкий танк.</w:t>
      </w:r>
    </w:p>
    <w:p w14:paraId="37D4FB66"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Группа бойцов Н-ской части, действующей на Ленинградском фронте, составила акт о чудовищном злодеянии немецко-фашистских извергов. В акте указывается, чтона одном из участков в захваченном у немцев блиндаже обнаружено пять трупов красноармейцев и командиров Красной Армии. Личность погибших установить не удалось. Все трупы носят следы страшных пыток. У одного красноармейца отрублены обе руки. У второго красноармейца шея туго перетянута портянками. У трёхостальных бойцов выколоты глаза, сожжены волосы и имеются следы удушения. Акт подписали: старший политрук Смолин, военврач третьего ранга Варваркин, старший лейтенант Вохминов, красноармейцы Смахтин, Игнатьев, Урастемиров и Овченков.</w:t>
      </w:r>
    </w:p>
    <w:p w14:paraId="00BD3F64"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Польские партизаны в окрестностях одного города разгромили отряд гестапо. Убито 50 оккупантов. В стычке с партизанами в лесу убито свыше десяти гитлеровцев, в том числе руководитель гестапо Петроковского округа.</w:t>
      </w:r>
    </w:p>
    <w:p w14:paraId="77358FCE"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Ферраре (Италия) сгорели большие склады вооружения. Попытки фашистских властей обнаружить виновных оказались безуспешными.</w:t>
      </w:r>
    </w:p>
    <w:p w14:paraId="5CDABFAE"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где директором Герой Социалистического Труда тов. Быховский, перевыполнил июньский план выпуска вооружения и продолжает работать по установленному графику. Цехи, где начальниками тт. Струнников и Палкин, дали фронту значительное количество боевой техники сверх плана. За последние несколько месяцев коллектив завода обучил 1.000 женщин вторым, более сложным специальностям.» (14948).</w:t>
      </w:r>
    </w:p>
    <w:p w14:paraId="4EF86687" w14:textId="77777777" w:rsidR="0091110F" w:rsidRPr="001E2C69" w:rsidRDefault="0091110F" w:rsidP="00722885">
      <w:pPr>
        <w:spacing w:after="0" w:line="240" w:lineRule="auto"/>
        <w:jc w:val="both"/>
        <w:rPr>
          <w:rFonts w:ascii="Times New Roman" w:hAnsi="Times New Roman"/>
          <w:color w:val="000000" w:themeColor="text1"/>
          <w:sz w:val="16"/>
          <w:szCs w:val="16"/>
        </w:rPr>
      </w:pPr>
    </w:p>
    <w:p w14:paraId="2A822D99"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в 1942 году подводя итог штурму Севастополя, разведотдел штаба 30-го армейского корпуса в донесении командованию 11-й немецкой армии сообщил о 119 тысяч взятых в плен советских военнослужащих. В число пленных включено все мужское население Севастополя от подростков до 60-летних (14948).</w:t>
      </w:r>
    </w:p>
    <w:p w14:paraId="5F1C1747" w14:textId="77777777" w:rsidR="0091110F" w:rsidRPr="001E2C69" w:rsidRDefault="0091110F" w:rsidP="00722885">
      <w:pPr>
        <w:spacing w:after="0" w:line="240" w:lineRule="auto"/>
        <w:jc w:val="both"/>
        <w:rPr>
          <w:rFonts w:ascii="Times New Roman" w:hAnsi="Times New Roman"/>
          <w:color w:val="000000" w:themeColor="text1"/>
          <w:sz w:val="16"/>
          <w:szCs w:val="16"/>
        </w:rPr>
      </w:pPr>
    </w:p>
    <w:p w14:paraId="53B5F0A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1942 огнем истребителей Пе-3 был сбит и упал в Баренцево море Ju 88А № 882130, который пилотировал командир 1/KG30 капитан Э. Шродер (12042).</w:t>
      </w:r>
    </w:p>
    <w:p w14:paraId="05DF470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41B61B" w14:textId="77777777" w:rsidR="00093471" w:rsidRPr="001E2C69" w:rsidRDefault="00093471"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10-го июля 1942 шестерка, ведомая буду</w:t>
      </w:r>
      <w:r w:rsidRPr="001E2C69">
        <w:rPr>
          <w:rFonts w:ascii="Times New Roman" w:cs="Times New Roman"/>
          <w:color w:val="000000" w:themeColor="text1"/>
          <w:spacing w:val="0"/>
          <w:sz w:val="16"/>
          <w:szCs w:val="16"/>
        </w:rPr>
        <w:softHyphen/>
        <w:t>щим дважды Героем Н.Г. Степаняном, вылетела для нанесения удара по двум финским канонерским лодкам и четырем кате</w:t>
      </w:r>
      <w:r w:rsidRPr="001E2C69">
        <w:rPr>
          <w:rFonts w:ascii="Times New Roman" w:cs="Times New Roman"/>
          <w:color w:val="000000" w:themeColor="text1"/>
          <w:spacing w:val="0"/>
          <w:sz w:val="16"/>
          <w:szCs w:val="16"/>
        </w:rPr>
        <w:softHyphen/>
        <w:t>рам, которые обстреливали советские позиции на острове Соммерс. По пути отстал ст. л-т Карбуков, поэтому на цель вышли пять машин, отработавших бомбами и «эрэсами». По возвращении ведущий доложил о повреждении одной канонерки и о сильном ответном огне. На самом деле они атаковали свои дозорные катера МО-Ю1 и МО-ЮЗ. Их экипажи, поняв, что к чему, ответного огня не открывали и выложили на палубах опознавательные знаки «Я свой!». Но ... Опытный ведущий, представленный к званию Героя, почему-то их проигнорировал. Пять раз «Илы» атаковали катера, но, к счастью, не добились ни одного попадания. При повторном вылете штурмовики действительно вышли на про</w:t>
      </w:r>
      <w:r w:rsidRPr="001E2C69">
        <w:rPr>
          <w:rFonts w:ascii="Times New Roman" w:cs="Times New Roman"/>
          <w:color w:val="000000" w:themeColor="text1"/>
          <w:spacing w:val="0"/>
          <w:sz w:val="16"/>
          <w:szCs w:val="16"/>
        </w:rPr>
        <w:softHyphen/>
        <w:t xml:space="preserve">тивника и один из выпущенных </w:t>
      </w:r>
      <w:r w:rsidRPr="001E2C69">
        <w:rPr>
          <w:rFonts w:ascii="Times New Roman" w:cs="Times New Roman"/>
          <w:color w:val="000000" w:themeColor="text1"/>
          <w:spacing w:val="0"/>
          <w:sz w:val="16"/>
          <w:szCs w:val="16"/>
          <w:lang w:val="en-US"/>
        </w:rPr>
        <w:t>PC</w:t>
      </w:r>
      <w:r w:rsidRPr="001E2C69">
        <w:rPr>
          <w:rFonts w:ascii="Times New Roman" w:cs="Times New Roman"/>
          <w:color w:val="000000" w:themeColor="text1"/>
          <w:spacing w:val="0"/>
          <w:sz w:val="16"/>
          <w:szCs w:val="16"/>
        </w:rPr>
        <w:t>-132 даже повредил немецкий тральщик М-17, прибывший на поддержку финнов (19854).</w:t>
      </w:r>
    </w:p>
    <w:p w14:paraId="11F4017A" w14:textId="77777777" w:rsidR="00093471" w:rsidRPr="001E2C69" w:rsidRDefault="00093471" w:rsidP="00722885">
      <w:pPr>
        <w:pStyle w:val="36"/>
        <w:shd w:val="clear" w:color="auto" w:fill="auto"/>
        <w:spacing w:after="0" w:line="240" w:lineRule="auto"/>
        <w:jc w:val="both"/>
        <w:rPr>
          <w:rFonts w:ascii="Times New Roman" w:cs="Times New Roman"/>
          <w:color w:val="000000" w:themeColor="text1"/>
          <w:spacing w:val="0"/>
          <w:sz w:val="16"/>
          <w:szCs w:val="16"/>
        </w:rPr>
      </w:pPr>
    </w:p>
    <w:p w14:paraId="61B404F8"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1942 подводя итог штурму Севастополя, разведотдел штаба 30-го армейского корпуса в донесении командованию 11-й немецкой армии сообщил о 119 тыс. взятых в плен советских военнослужащих. В число пленных включено все мужское население Севастополя от подростков до 60-летних (4963 ).</w:t>
      </w:r>
    </w:p>
    <w:p w14:paraId="522F97DA"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E16668"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1942 немецкие войска форсировали Дон (4962).</w:t>
      </w:r>
    </w:p>
    <w:p w14:paraId="10225FF4"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C7C1A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lang w:val="en-US"/>
        </w:rPr>
        <w:t>July 10th, 1942: In the East, armored units of 4.Panzerarmee (Hoth) and 6.Armee (Paulus) of Heeresgruppe B (von Weichs) join up N of Kalach on the Don, while 17.Armee (Ruoff) and 1.Panzerarmee (von Kleist) of Heeresgruppe A (List) continue their advance toward Rostov (3819).</w:t>
      </w:r>
    </w:p>
    <w:p w14:paraId="375CC50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CFED76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1942 бронечасти 4ТА (Гот) и 6А (Паулюс) группы Б (Вайс) соединились у Калача на Дону, а 17А (Руоф) и 1ТА (фон Клейст) группы А (лист) продолжили наступление на Ростов (3819).</w:t>
      </w:r>
    </w:p>
    <w:p w14:paraId="579AB06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6D865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1942 появилось письмо Командующего Мурманского дивизионного района ПВО п Иванова командиру 122 иад:</w:t>
      </w:r>
    </w:p>
    <w:p w14:paraId="58C71F7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целях правильного учета сбитых самолетов противника и правильной информации ГК КА приказало самолеты противника считать сбитыми после подтверждения:</w:t>
      </w:r>
    </w:p>
    <w:p w14:paraId="6A0F78C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Постами ВНОС или НП ЗА;</w:t>
      </w:r>
    </w:p>
    <w:p w14:paraId="6E99C5A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Группы л, видевших падение самолета противника разведкой после боя.</w:t>
      </w:r>
    </w:p>
    <w:p w14:paraId="1C419E6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окончательного утверждения о сбитии самолета противника представлять материал на сбитого самолета в штаб МДР ПВО (3796).</w:t>
      </w:r>
    </w:p>
    <w:p w14:paraId="1C67529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D8AEB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1942 вышло Постановление ГКО № 2006 О дивизионах М-30. РГАНИР, Фонд ГКО, д. 42, лл. 151 (11012).</w:t>
      </w:r>
    </w:p>
    <w:p w14:paraId="0DB39B5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5B31EC"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в 1942 году (10 - 15 июля) Гитлер прибыл в Винницу, где была оборудована его военная ставка на Восточном Фронте – «Верфольф» (14948).</w:t>
      </w:r>
    </w:p>
    <w:p w14:paraId="4B96F1FE" w14:textId="77777777" w:rsidR="0091110F" w:rsidRPr="001E2C69" w:rsidRDefault="0091110F" w:rsidP="00722885">
      <w:pPr>
        <w:spacing w:after="0" w:line="240" w:lineRule="auto"/>
        <w:jc w:val="both"/>
        <w:rPr>
          <w:rFonts w:ascii="Times New Roman" w:hAnsi="Times New Roman"/>
          <w:color w:val="000000" w:themeColor="text1"/>
          <w:sz w:val="16"/>
          <w:szCs w:val="16"/>
        </w:rPr>
      </w:pPr>
    </w:p>
    <w:p w14:paraId="78CE6D25"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Жизнь и внутренняя политика:</w:t>
      </w:r>
    </w:p>
    <w:p w14:paraId="223E166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EE7843"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1942 вышло Постановление ГКО № 2005 О мобилизации молодежи в прифронтовых районах Воронежской, Ворошиловградской, Орловской, Курской, Калининской, Тульской, Ростовской и Смоленской областей для производственного обучения в ремесленных, железнодорожных училищах и школах ФЗО. (7041, 150).</w:t>
      </w:r>
    </w:p>
    <w:p w14:paraId="51886C12"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A6BE2F"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Внешняя политика:</w:t>
      </w:r>
    </w:p>
    <w:p w14:paraId="0CDB148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AE3D0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1942 года было получено:</w:t>
      </w:r>
    </w:p>
    <w:p w14:paraId="766911A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 ЧЕРЧИЛЛЬ И. В. СТАЛИНУ *</w:t>
      </w:r>
    </w:p>
    <w:p w14:paraId="37D7567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Я только что узнал от Президента Рузвельта о том, что Вы дали согласие на отправку нашим вооруженным силам в Египте 40 бомбардировщиков “Бостон”, прибывших в Басру по пути к Вам.</w:t>
      </w:r>
    </w:p>
    <w:p w14:paraId="5B1DC80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нынешнее время было трудно обращаться к Вам с такой просьбой, и я весьма обязан Вам за Ваш быстрый и великодушный ответ. Они направляются прямо в бой, где наши самолеты наносят тяжелый урон противнику (7430).</w:t>
      </w:r>
    </w:p>
    <w:p w14:paraId="208EE35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B39E8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1942 были установлены дипотношения между СССР и Нидерландами (3186).</w:t>
      </w:r>
    </w:p>
    <w:p w14:paraId="19D55D7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6E549A"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За рубежом:</w:t>
      </w:r>
    </w:p>
    <w:p w14:paraId="08B0534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781253"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10 июля в 1942 году совершил первый вылет пассажирский вариант самолета – </w:t>
      </w:r>
      <w:hyperlink r:id="rId138" w:tgtFrame="_blank" w:history="1">
        <w:r w:rsidRPr="001E2C69">
          <w:rPr>
            <w:rFonts w:ascii="Times New Roman" w:hAnsi="Times New Roman"/>
            <w:color w:val="000000" w:themeColor="text1"/>
            <w:sz w:val="16"/>
            <w:szCs w:val="16"/>
          </w:rPr>
          <w:t xml:space="preserve">«Р.108С». </w:t>
        </w:r>
      </w:hyperlink>
      <w:r w:rsidRPr="001E2C69">
        <w:rPr>
          <w:rFonts w:ascii="Times New Roman" w:hAnsi="Times New Roman"/>
          <w:color w:val="000000" w:themeColor="text1"/>
          <w:sz w:val="16"/>
          <w:szCs w:val="16"/>
        </w:rPr>
        <w:t>Хотя Италия в первую очередь нуждалась в бомбардировщиках, собрали пять таких машин. Но шла война, и итальянской авиации было явно не до авиалайнеров, поэтому все «Р.108С» попали в 248-ю отдельную транспортную эскадрилью. Герметизация салона была уже не нужна, а вместо мягких кресел установили скамейки для 56 десантников. На борту появилась грузовая дверь. Пол был усилен для перевозки тяжелого оборудования. Специально для грузовых полетов разработали транспортный вариант «Р.108Т», аналогичный доработанному «Р.108С». Четырнадцать таких самолетов появились в ВВС Италии (14948).</w:t>
      </w:r>
    </w:p>
    <w:p w14:paraId="6C63EF30" w14:textId="77777777" w:rsidR="0091110F" w:rsidRPr="001E2C69" w:rsidRDefault="0091110F" w:rsidP="00722885">
      <w:pPr>
        <w:spacing w:after="0" w:line="240" w:lineRule="auto"/>
        <w:jc w:val="both"/>
        <w:rPr>
          <w:rFonts w:ascii="Times New Roman" w:hAnsi="Times New Roman"/>
          <w:color w:val="000000" w:themeColor="text1"/>
          <w:sz w:val="16"/>
          <w:szCs w:val="16"/>
        </w:rPr>
      </w:pPr>
    </w:p>
    <w:p w14:paraId="50DBFA26"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10 июля в 1942 году военные выдали фирме «Curtiss-Wright» контракт на постройку трех прототипов «Cw 24В» истребителя-перехватчика </w:t>
      </w:r>
      <w:hyperlink r:id="rId139" w:tgtFrame="_blank" w:history="1">
        <w:r w:rsidRPr="001E2C69">
          <w:rPr>
            <w:rFonts w:ascii="Times New Roman" w:hAnsi="Times New Roman"/>
            <w:color w:val="000000" w:themeColor="text1"/>
            <w:sz w:val="16"/>
            <w:szCs w:val="16"/>
          </w:rPr>
          <w:t xml:space="preserve">«P-55» «Ascender». </w:t>
        </w:r>
      </w:hyperlink>
      <w:r w:rsidRPr="001E2C69">
        <w:rPr>
          <w:rFonts w:ascii="Times New Roman" w:hAnsi="Times New Roman"/>
          <w:color w:val="000000" w:themeColor="text1"/>
          <w:sz w:val="16"/>
          <w:szCs w:val="16"/>
        </w:rPr>
        <w:t>Новый истребитель получил обозначение «ХР-55» и имя "Асендер" (набирающий высоту). Он представлял свободнонесущий цельнометаллический низкоплан с передним горизонтальным оперением довольно небольшой площади и крылом стреловидностью 35 град, по передней кромке. Примерно на 3/4 размаха каждого крыла располагались треугольные вертикальные кили с рулями направления. На внешней части крыла (за килями) были установлены элероны, а на внутренней - закрылки. В хвостовой части фюзеляжа, за кабиной пилота, находился двигатель «Аллисон» «V-1710-95» взлетной мощностью 1275 л. с, который выбрали после отказа от разработки мотора «Х-1800». Первоначально предполагалось установить два соосных винта, но потом выбрали один, трехлопастный, который мог сбрасываться при аварийном покидании кабины. Воздухозаборник над двигателем и радиатор под ним образовывали вертикальное оперение. В ходе создания «ХР-55» построили полноразмерный макет, а в конструкцию самолета не раз вносились изменения. С целью улучшения обзора неоднократно менялось остекление кабины, было установлено бронестекло и уменьшен запас топлива. Первый "Асендер", еще без вооружения, доставили из сборочного цеха на аэродром СкотФилд штат Иллинойс 10 июля 1943 года. На следующий день начались наземные испытания, а 13 июля пилот Харви Грей поднял этот необычный истребитель в воздух (14948).</w:t>
      </w:r>
    </w:p>
    <w:p w14:paraId="22186B6F" w14:textId="77777777" w:rsidR="0091110F" w:rsidRPr="001E2C69" w:rsidRDefault="0091110F" w:rsidP="00722885">
      <w:pPr>
        <w:spacing w:after="0" w:line="240" w:lineRule="auto"/>
        <w:jc w:val="both"/>
        <w:rPr>
          <w:rFonts w:ascii="Times New Roman" w:hAnsi="Times New Roman"/>
          <w:color w:val="000000" w:themeColor="text1"/>
          <w:sz w:val="16"/>
          <w:szCs w:val="16"/>
        </w:rPr>
      </w:pPr>
    </w:p>
    <w:p w14:paraId="1DDE3CD2"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10 июля в 1942 году подписан контракт под номером АС-28120 относительно развития нового проекта, получившего название «Vega» «Model V-134-1». Поскольку самолет нового проекта значительно отличался от стандартного «B-17E», то он получил новое обозначение с другим числом ряда – «XB-38». Для изучения конструкции «Flying Fortress» в процессе освоения производства в составе объединения B.V.D., фирме «Vega» был передан девятый серийный самолет «B-17E» (серийный номер 41-2401). Впоследствии этот самолет и использовали для переоборудования в «XB-38». </w:t>
      </w:r>
      <w:hyperlink r:id="rId140" w:tgtFrame="_blank" w:history="1">
        <w:r w:rsidRPr="001E2C69">
          <w:rPr>
            <w:rFonts w:ascii="Times New Roman" w:hAnsi="Times New Roman"/>
            <w:color w:val="000000" w:themeColor="text1"/>
            <w:sz w:val="16"/>
            <w:szCs w:val="16"/>
          </w:rPr>
          <w:t xml:space="preserve">«B-38» </w:t>
        </w:r>
      </w:hyperlink>
      <w:r w:rsidRPr="001E2C69">
        <w:rPr>
          <w:rFonts w:ascii="Times New Roman" w:hAnsi="Times New Roman"/>
          <w:color w:val="000000" w:themeColor="text1"/>
          <w:sz w:val="16"/>
          <w:szCs w:val="16"/>
        </w:rPr>
        <w:t>- дальний бомбардировщик, разработанный американской фирмой «Lockheed Vega» на базе дальнего бомбардировщика «Boeing» «B-17». С одним из участников объединения B.V.D. - отделением «Vega» компании «Lockheed», USAAF заключили контракт на переоборудование одного планера «B-17E» 12-цилиндровыми V-образными двигателями жидкостного охлаждения «Allison» «V-1710-89 «мощностью 1425 л.с., применявшимися на истребителе «Lockheed» «P-38» (14948).</w:t>
      </w:r>
    </w:p>
    <w:p w14:paraId="71D0004E" w14:textId="77777777" w:rsidR="0091110F" w:rsidRPr="001E2C69" w:rsidRDefault="0091110F" w:rsidP="00722885">
      <w:pPr>
        <w:spacing w:after="0" w:line="240" w:lineRule="auto"/>
        <w:jc w:val="both"/>
        <w:rPr>
          <w:rFonts w:ascii="Times New Roman" w:hAnsi="Times New Roman"/>
          <w:color w:val="000000" w:themeColor="text1"/>
          <w:sz w:val="16"/>
          <w:szCs w:val="16"/>
        </w:rPr>
      </w:pPr>
    </w:p>
    <w:p w14:paraId="6BFFF514" w14:textId="77777777" w:rsidR="006375A9" w:rsidRPr="001E2C69" w:rsidRDefault="006375A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1942 года состоялся первый полет Douglas A-26 Invader (20793).</w:t>
      </w:r>
    </w:p>
    <w:p w14:paraId="5569E498" w14:textId="77777777" w:rsidR="006375A9" w:rsidRPr="001E2C69" w:rsidRDefault="006375A9" w:rsidP="00722885">
      <w:pPr>
        <w:spacing w:after="0" w:line="240" w:lineRule="auto"/>
        <w:jc w:val="both"/>
        <w:rPr>
          <w:rFonts w:ascii="Times New Roman" w:hAnsi="Times New Roman"/>
          <w:color w:val="000000" w:themeColor="text1"/>
          <w:sz w:val="16"/>
          <w:szCs w:val="16"/>
        </w:rPr>
      </w:pPr>
    </w:p>
    <w:p w14:paraId="53A89D22"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10 июля в 1942 году первый полет прототип </w:t>
      </w:r>
      <w:hyperlink r:id="rId141" w:tgtFrame="_blank" w:history="1">
        <w:r w:rsidRPr="001E2C69">
          <w:rPr>
            <w:rFonts w:ascii="Times New Roman" w:hAnsi="Times New Roman"/>
            <w:color w:val="000000" w:themeColor="text1"/>
            <w:sz w:val="16"/>
            <w:szCs w:val="16"/>
          </w:rPr>
          <w:t xml:space="preserve">«XA-26-DE» </w:t>
        </w:r>
      </w:hyperlink>
      <w:r w:rsidRPr="001E2C69">
        <w:rPr>
          <w:rFonts w:ascii="Times New Roman" w:hAnsi="Times New Roman"/>
          <w:color w:val="000000" w:themeColor="text1"/>
          <w:sz w:val="16"/>
          <w:szCs w:val="16"/>
        </w:rPr>
        <w:t>(серийный номер № 41-19504), американского ударного самолета «Douglas» «XA-26» «Invader», оснащенного двумя двигателями «Pratt&amp;Whitney» «R-2800-27» взлетной мощностью 2000 л.с., расположенными в больших подкрыльных гондолах, под управлением летчика-испытателя Бена Ховарда (Ben O.Howard). Двигатели приводили во вращение трехлопастные воздушные винты изменяемого шага с большими обтекателями. Первый полет прошел без проблем, что побудило Ховарда сообщить представителям Авиакорпуса армии СШA, что самолет готов к выполнении своих обязанностей. К сожалению его восторженная оценка была нереалистична, и до поступления «A-26» на вооружение прошло еще около двух лет (14948).</w:t>
      </w:r>
    </w:p>
    <w:p w14:paraId="06A0F14E" w14:textId="77777777" w:rsidR="0091110F" w:rsidRPr="001E2C69" w:rsidRDefault="0091110F" w:rsidP="00722885">
      <w:pPr>
        <w:spacing w:after="0" w:line="240" w:lineRule="auto"/>
        <w:jc w:val="both"/>
        <w:rPr>
          <w:rFonts w:ascii="Times New Roman" w:hAnsi="Times New Roman"/>
          <w:color w:val="000000" w:themeColor="text1"/>
          <w:sz w:val="16"/>
          <w:szCs w:val="16"/>
        </w:rPr>
      </w:pPr>
    </w:p>
    <w:p w14:paraId="2BBFC8E2" w14:textId="77777777" w:rsidR="006375A9" w:rsidRPr="001E2C69" w:rsidRDefault="006375A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1942 главнокомандующий ВМС США, адмирал Эрнест Дж Кинг, упорядочивает работу морских пограничных командиров ВМС США, чтобы создать систему, при которой коммерческие авиаторы могут сообщать о результатах наблюдений за п/л. К ноябрю в работе принимают участие пять крупнейших американских авиакомпаний, Naval Air Transport Service, Air Command Transport Армии США и британские летающие лодки на трансатлантических маршрутах.</w:t>
      </w:r>
    </w:p>
    <w:p w14:paraId="778A3E25" w14:textId="77777777" w:rsidR="006375A9" w:rsidRPr="001E2C69" w:rsidRDefault="006375A9" w:rsidP="00722885">
      <w:pPr>
        <w:spacing w:after="0" w:line="240" w:lineRule="auto"/>
        <w:jc w:val="both"/>
        <w:rPr>
          <w:rFonts w:ascii="Times New Roman" w:hAnsi="Times New Roman"/>
          <w:color w:val="000000" w:themeColor="text1"/>
          <w:sz w:val="16"/>
          <w:szCs w:val="16"/>
        </w:rPr>
      </w:pPr>
    </w:p>
    <w:p w14:paraId="6755E98B"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1942 нацистские доктора в Освенциме выбрали около 100 узниц для медицинских экспериментов (4962).</w:t>
      </w:r>
    </w:p>
    <w:p w14:paraId="65ED59C7"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9A10CA"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Авиапромышленность:</w:t>
      </w:r>
    </w:p>
    <w:p w14:paraId="7A830BF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6FFDB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июля 1942 Бендерский подготовил Справку по Основным производственным дефектам по самолетам Ил-2 (1649,288).</w:t>
      </w:r>
    </w:p>
    <w:p w14:paraId="33654BC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Основные производственные дефекты по самолетам Ил-2</w:t>
      </w:r>
    </w:p>
    <w:p w14:paraId="50197D5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Течь труб водосистемы, идущих к радиатору в местах сварных швов, вследствие некачественной сварки. Дефект массовый, приводит к вытеканию воды из системы, к перегреву мотора и невыполнения боевого задания.</w:t>
      </w:r>
    </w:p>
    <w:p w14:paraId="7CE96CB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Течь горючего из бензопроводки вследствие плохого качества монтажа. Дефект массовый, не исключена возможность пожара в воздухе.</w:t>
      </w:r>
    </w:p>
    <w:p w14:paraId="21FC454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Травление воздушной системы вследствие ее негерметичности, особенно при низких температурах. Дефект массовый, приводящий к отказам пневмосистемы и тормозов.</w:t>
      </w:r>
    </w:p>
    <w:p w14:paraId="65F99ED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Трещины среднего узла ломающегося подкоса шасси. Дефект в основном на продукции завода 18.</w:t>
      </w:r>
    </w:p>
    <w:p w14:paraId="34504C5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Разрыв маслопетрофлексов, идущих к радиатору, вследствие плохого качества и плохой заделки наконечников (только на Брянском фронте в январе зафиксировано 12 случаев). Дефект массовый, приводит к срыву выполнения боевых заданий, авариям моторов и самолетов.</w:t>
      </w:r>
    </w:p>
    <w:p w14:paraId="078E81F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Выбрасывание масла из РС-7 и замасливание козырька пилота - дефект массовый, приводящий к ухудшению обзора вперед, что снижает боевые качества самолета.</w:t>
      </w:r>
    </w:p>
    <w:p w14:paraId="011C0BE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Срез крепления бронированных капотов и люков из-за плохой подгонки</w:t>
      </w:r>
    </w:p>
    <w:p w14:paraId="2C01D22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Трещины передних кронштейнов крепления пулеметов ШКАС в местах сварки</w:t>
      </w:r>
    </w:p>
    <w:p w14:paraId="5CE8A45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Лопаются бронированные шланги тормозов (на самолетах завода 18). Только в 606 шап зарегистрировано 9 случаев</w:t>
      </w:r>
    </w:p>
    <w:p w14:paraId="63F6B34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Проколы тормозной камеры вследствие небрежного монтажа пружины, скрепляющей тормозные секции (на самолетах завода 19). В 606 шап обнаружено 8 случаев.</w:t>
      </w:r>
    </w:p>
    <w:p w14:paraId="0A4990F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Заплывают лобовые стекла фонаря л (появление режущих цветов), вследствие накачественного материала склейки. дефект выявлен на последних самолетах выпуска завода 16. искажает обзор вперед и снижает боевые качества самолетов.</w:t>
      </w:r>
    </w:p>
    <w:p w14:paraId="434A9D6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Дефекты в п. 4, 7, 8, 9, 10 приводят к преждевременному выходу матчасти из строя и срыву боевых заданий.</w:t>
      </w:r>
    </w:p>
    <w:p w14:paraId="2085848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Составлено по материалам инспекции ВВС КА - о конструктивно-производственных дефектах самолета Ил-2, выявленных в процессе эксплуатации за 1 кв. 1942.</w:t>
      </w:r>
    </w:p>
    <w:p w14:paraId="3D3A48D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Верно: Бендерский (1649,288).</w:t>
      </w:r>
    </w:p>
    <w:p w14:paraId="000A695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779EF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июля 1942 А.С.Я. писал письмо N Н-36/2655 ГИ ВВС Репину:</w:t>
      </w:r>
    </w:p>
    <w:p w14:paraId="4A19852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целях обеспечения самолетов устройствами для защиты от обледенения, приказом НКАП от 2 июля с.г. заводы 84, 23 и 22 обязаны оборудовать по одному самолету противообледенителями и провести их испытания при непосредственном участии ЛИИ и НИИ ВВС в следующие сроки:</w:t>
      </w:r>
    </w:p>
    <w:p w14:paraId="5016FFF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84 по ПС-84 - окончание монтажа - 15 июля, испытания - к 15 августа</w:t>
      </w:r>
    </w:p>
    <w:p w14:paraId="1D6680C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23 по Ил-4 - 1 августа, 1 сентября</w:t>
      </w:r>
    </w:p>
    <w:p w14:paraId="0067D25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22 по Пе-2 - 1 августа, 1 сентября (1633,143).</w:t>
      </w:r>
    </w:p>
    <w:p w14:paraId="29FC872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DABF0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июля 1942 г. А.И.Репин утвердил Заключение на проект истребителя на базе Су-6 М-71Ф. Самолет не получил одобрения из-за низких летных данных. Схема бронирования почему-то тоже оценили как неудовлетворительную. Тем не менее истребитель начали строить, однако дальнейшего развития не последовало. Он мог бы успешно использоваться для борьбы с более скоростными модификациями самолета Ju-88, имевшими и более мощное оборонительное вооружение. Но ко времени реальной постройки истребителя эти немецкие самолеты стали исчезать с Восточного фронта. К решению бомбардировочных задач все чаще привлекались Не 111 и истребители-бомбардировщики FW 190, успешными противниками которых являлись Ла-7 и Як-9 с мотор-пушками 37-мм калибра (6406).</w:t>
      </w:r>
    </w:p>
    <w:p w14:paraId="7DE0986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42E40F"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июля 1942 года Главный инженер ВВС КА генерал-лейтенант А.И. Репин утвердил «Заключение по эскизному проекту одномоторного одноместного пушечного истребителя с М-71 П.О.С.».</w:t>
      </w:r>
    </w:p>
    <w:p w14:paraId="1D33E20D"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Согласно эскизному проекту самолет предназначался для ведения активного воздушного боя с самолетами противника, а в перегрузочном варианте мог использоваться для борьбы с </w:t>
      </w:r>
      <w:hyperlink r:id="rId142"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ами противника.</w:t>
      </w:r>
    </w:p>
    <w:p w14:paraId="6A73D4F4"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Самолет, являясь уменьшенным (по размерам и массе) аналогом одноместного штурмовика Су-6, представлял собой свободнонесущий моноплан смешанной конструкции, с низко расположенным крылом, нормальным оперением и убирающимся в полете шасси.</w:t>
      </w:r>
    </w:p>
    <w:p w14:paraId="78BD725F"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Фюзеляж - типа монокок, выклеен из шпона. Внутри фюзеляжа, под полом кабины пилота располагался бензобак на 400 кг топлива. Крышка фонаря кабины откидывалась вправо. В обтекателе фонаря были предусмотрены окна для обзора задней полусферы. В хвостовой части фюзеляжа размещалось радиооборудование, кислородный баллон, аккумулятор и т.д.</w:t>
      </w:r>
    </w:p>
    <w:p w14:paraId="16D9AFA2"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Крыло двухлонжеронной конструкции состояло из центроплана и двух отъемных консолей. Центроплан имел цельнометаллическую конструкцию, а консоли - смешанную (лонжерон - металл, нервюры, стрингеры и обшивка - дерево). Элероны - каркас металлический, обтянутый полотном, на левом элероне - триммер. Для обеспечения боковой устойчивостью на закритических углах атаки крыло имело автоматические предкрылки.</w:t>
      </w:r>
    </w:p>
    <w:p w14:paraId="38339CEA"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Стабилизатор и киль были выполнены из дерева, причем киль — заодно с фюзеляжем. Стабилизатор вставлялся в специальный вырез в хвостовой части и крепился по контуру болтами. Рули металлические с полотняной обшивкой, имели весовую компенсацию и были снабжены триммерами.</w:t>
      </w:r>
    </w:p>
    <w:p w14:paraId="2F17864A"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Шасси - трехопорное с хвостовым колесом. Основные опоры убирались в центроплан назад, с поворотом колес на 90°. Уборка и выпуск шасси при помощи гидросистемы.</w:t>
      </w:r>
    </w:p>
    <w:p w14:paraId="34879116"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Двигатель М-71 (Nвзл=2000 л.с.) крепился к стальной сварной мотораме. Патрубки выхлопного коллектора - реактивного типа. Регулировка охлаждения цилиндров двигателя осуществлялась при помощи подвижных «юбок». Всасывающий патрубок приводного центробежного нагнетателя располагался над мотором и вписывался в контур капота. Масляные радиаторы размещались в центроплане, температура масла регулировалась створками.</w:t>
      </w:r>
    </w:p>
    <w:p w14:paraId="4FD5C86A"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Вооружение самолета в нормальном варианте состояло из двух крыльевых пушек ВЯ-23 с суммарным боезапасом 160 патронов и синхронного пулемета БС-12,7 с боезапасом 300 патронов.</w:t>
      </w:r>
    </w:p>
    <w:p w14:paraId="57767907"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Пилот был защищен от обстрела сзади бронеспинкой толщиной 12 мм и заголовником — 8 мм. Защита спереди — прозрачная броня, двигатель и стальной щиток толщиной 8 мм.</w:t>
      </w:r>
    </w:p>
    <w:p w14:paraId="770DD84F"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Основные расчетные данные истребителя с М-71</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5661"/>
        <w:gridCol w:w="5661"/>
      </w:tblGrid>
      <w:tr w:rsidR="001E2C69" w:rsidRPr="001E2C69" w14:paraId="5F671C12" w14:textId="77777777" w:rsidTr="00627011">
        <w:trPr>
          <w:tblCellSpacing w:w="0" w:type="dxa"/>
        </w:trPr>
        <w:tc>
          <w:tcPr>
            <w:tcW w:w="250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69303593"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Длина самолета, мм</w:t>
            </w:r>
          </w:p>
        </w:tc>
        <w:tc>
          <w:tcPr>
            <w:tcW w:w="2500" w:type="pct"/>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79843160"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8830</w:t>
            </w:r>
          </w:p>
        </w:tc>
      </w:tr>
      <w:tr w:rsidR="001E2C69" w:rsidRPr="001E2C69" w14:paraId="70A525D9"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1ACC378"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Размах крыла, мм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BD39FC5"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12100</w:t>
            </w:r>
          </w:p>
        </w:tc>
      </w:tr>
      <w:tr w:rsidR="001E2C69" w:rsidRPr="001E2C69" w14:paraId="5FB690F5"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AA9FB82"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крыла, м2</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6225F80"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22,5</w:t>
            </w:r>
          </w:p>
        </w:tc>
      </w:tr>
      <w:tr w:rsidR="001E2C69" w:rsidRPr="001E2C69" w14:paraId="389134FC" w14:textId="77777777" w:rsidTr="00627011">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9E3F093"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Масса самолета, кг</w:t>
            </w:r>
          </w:p>
        </w:tc>
      </w:tr>
      <w:tr w:rsidR="001E2C69" w:rsidRPr="001E2C69" w14:paraId="09C67289"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5AA6B82"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пустого</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5EB2A66"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2967</w:t>
            </w:r>
          </w:p>
        </w:tc>
      </w:tr>
      <w:tr w:rsidR="001E2C69" w:rsidRPr="001E2C69" w14:paraId="42E020FA"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D249F54"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нормальная полетная</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1011DC7"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3775</w:t>
            </w:r>
          </w:p>
        </w:tc>
      </w:tr>
      <w:tr w:rsidR="001E2C69" w:rsidRPr="001E2C69" w14:paraId="4D7919FB" w14:textId="77777777" w:rsidTr="00627011">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B5DEDD0"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Максимальная скорость, км/ч</w:t>
            </w:r>
          </w:p>
        </w:tc>
      </w:tr>
      <w:tr w:rsidR="001E2C69" w:rsidRPr="001E2C69" w14:paraId="1999CFA7"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9E68EB9"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 земли</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CFE0F32"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502</w:t>
            </w:r>
          </w:p>
        </w:tc>
      </w:tr>
      <w:tr w:rsidR="001E2C69" w:rsidRPr="001E2C69" w14:paraId="27156731"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CBFEF04"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Н=6000м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A4152E2"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602</w:t>
            </w:r>
          </w:p>
        </w:tc>
      </w:tr>
      <w:tr w:rsidR="001E2C69" w:rsidRPr="001E2C69" w14:paraId="335434EC"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B249A63"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Время набора Н=5000 м, мин</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643D521"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5,1</w:t>
            </w:r>
          </w:p>
        </w:tc>
      </w:tr>
      <w:tr w:rsidR="001E2C69" w:rsidRPr="001E2C69" w14:paraId="60C591A3"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07F04B8"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Время виража на Н=0 м, с</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3E4EF84"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20,6</w:t>
            </w:r>
          </w:p>
        </w:tc>
      </w:tr>
      <w:tr w:rsidR="001E2C69" w:rsidRPr="001E2C69" w14:paraId="3A5CB9A1"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6710FA1"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Практический потолок,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A715F2B"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10500</w:t>
            </w:r>
          </w:p>
        </w:tc>
      </w:tr>
      <w:tr w:rsidR="001E2C69" w:rsidRPr="001E2C69" w14:paraId="19AC5B8A"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24A3A7F"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Дальность полета на V=0.9Vmax. км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4B2C7EB"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700</w:t>
            </w:r>
          </w:p>
        </w:tc>
      </w:tr>
      <w:tr w:rsidR="001E2C69" w:rsidRPr="001E2C69" w14:paraId="696866D4"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4407675"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Длина разбега,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80D1842"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223</w:t>
            </w:r>
          </w:p>
        </w:tc>
      </w:tr>
    </w:tbl>
    <w:p w14:paraId="653DBE76"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(15578).</w:t>
      </w:r>
    </w:p>
    <w:p w14:paraId="0CC0A0D8" w14:textId="77777777" w:rsidR="0091110F" w:rsidRPr="001E2C69" w:rsidRDefault="0091110F" w:rsidP="00722885">
      <w:pPr>
        <w:spacing w:after="0" w:line="240" w:lineRule="auto"/>
        <w:jc w:val="both"/>
        <w:rPr>
          <w:rFonts w:ascii="Times New Roman" w:hAnsi="Times New Roman"/>
          <w:color w:val="000000" w:themeColor="text1"/>
          <w:sz w:val="16"/>
          <w:szCs w:val="16"/>
        </w:rPr>
      </w:pPr>
    </w:p>
    <w:p w14:paraId="54E7282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июля 1942 года Главный ин</w:t>
      </w:r>
      <w:r w:rsidRPr="001E2C69">
        <w:rPr>
          <w:rFonts w:ascii="Times New Roman" w:hAnsi="Times New Roman"/>
          <w:color w:val="000000" w:themeColor="text1"/>
          <w:sz w:val="16"/>
          <w:szCs w:val="16"/>
        </w:rPr>
        <w:softHyphen/>
        <w:t>женер ВВС КА генерал-лейтенант А.И.Репин утвердил «Заключение по эскизному проекту одномоторного одноместного пушечного истреби</w:t>
      </w:r>
      <w:r w:rsidRPr="001E2C69">
        <w:rPr>
          <w:rFonts w:ascii="Times New Roman" w:hAnsi="Times New Roman"/>
          <w:color w:val="000000" w:themeColor="text1"/>
          <w:sz w:val="16"/>
          <w:szCs w:val="16"/>
        </w:rPr>
        <w:softHyphen/>
        <w:t>теля с М-71».</w:t>
      </w:r>
    </w:p>
    <w:p w14:paraId="42FB538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Согласно эскизному проекту самолет предназначался для веде</w:t>
      </w:r>
      <w:r w:rsidRPr="001E2C69">
        <w:rPr>
          <w:rFonts w:ascii="Times New Roman" w:hAnsi="Times New Roman"/>
          <w:color w:val="000000" w:themeColor="text1"/>
          <w:sz w:val="16"/>
          <w:szCs w:val="16"/>
        </w:rPr>
        <w:softHyphen/>
        <w:t>ния активного воздушного боя с самолетами противника, а в пере</w:t>
      </w:r>
      <w:r w:rsidRPr="001E2C69">
        <w:rPr>
          <w:rFonts w:ascii="Times New Roman" w:hAnsi="Times New Roman"/>
          <w:color w:val="000000" w:themeColor="text1"/>
          <w:sz w:val="16"/>
          <w:szCs w:val="16"/>
        </w:rPr>
        <w:softHyphen/>
        <w:t>грузочном варианте мог использо</w:t>
      </w:r>
      <w:r w:rsidRPr="001E2C69">
        <w:rPr>
          <w:rFonts w:ascii="Times New Roman" w:hAnsi="Times New Roman"/>
          <w:color w:val="000000" w:themeColor="text1"/>
          <w:sz w:val="16"/>
          <w:szCs w:val="16"/>
        </w:rPr>
        <w:softHyphen/>
        <w:t>ваться для борьбы с танками про</w:t>
      </w:r>
      <w:r w:rsidRPr="001E2C69">
        <w:rPr>
          <w:rFonts w:ascii="Times New Roman" w:hAnsi="Times New Roman"/>
          <w:color w:val="000000" w:themeColor="text1"/>
          <w:sz w:val="16"/>
          <w:szCs w:val="16"/>
        </w:rPr>
        <w:softHyphen/>
        <w:t>тивника.</w:t>
      </w:r>
    </w:p>
    <w:p w14:paraId="3EC03E3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Самолет, являясь уменьшенным (по размерам и массе) аналогом одноместного штурмовика Су-6, представлял собой свободнонесу-щий моноплан смешанной конструк</w:t>
      </w:r>
      <w:r w:rsidRPr="001E2C69">
        <w:rPr>
          <w:rFonts w:ascii="Times New Roman" w:hAnsi="Times New Roman"/>
          <w:color w:val="000000" w:themeColor="text1"/>
          <w:sz w:val="16"/>
          <w:szCs w:val="16"/>
        </w:rPr>
        <w:softHyphen/>
        <w:t>ции, с низко расположенным кры</w:t>
      </w:r>
      <w:r w:rsidRPr="001E2C69">
        <w:rPr>
          <w:rFonts w:ascii="Times New Roman" w:hAnsi="Times New Roman"/>
          <w:color w:val="000000" w:themeColor="text1"/>
          <w:sz w:val="16"/>
          <w:szCs w:val="16"/>
        </w:rPr>
        <w:softHyphen/>
        <w:t>лом, нормальным оперением и уби</w:t>
      </w:r>
      <w:r w:rsidRPr="001E2C69">
        <w:rPr>
          <w:rFonts w:ascii="Times New Roman" w:hAnsi="Times New Roman"/>
          <w:color w:val="000000" w:themeColor="text1"/>
          <w:sz w:val="16"/>
          <w:szCs w:val="16"/>
        </w:rPr>
        <w:softHyphen/>
        <w:t>рающимся в полете шасси.</w:t>
      </w:r>
    </w:p>
    <w:p w14:paraId="701F3AC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Фюзеляж - типа монокок, вык</w:t>
      </w:r>
      <w:r w:rsidRPr="001E2C69">
        <w:rPr>
          <w:rFonts w:ascii="Times New Roman" w:hAnsi="Times New Roman"/>
          <w:color w:val="000000" w:themeColor="text1"/>
          <w:sz w:val="16"/>
          <w:szCs w:val="16"/>
        </w:rPr>
        <w:softHyphen/>
        <w:t>леен из шпона. Внутри фюзеляжа, под полом кабины пилота распола</w:t>
      </w:r>
      <w:r w:rsidRPr="001E2C69">
        <w:rPr>
          <w:rFonts w:ascii="Times New Roman" w:hAnsi="Times New Roman"/>
          <w:color w:val="000000" w:themeColor="text1"/>
          <w:sz w:val="16"/>
          <w:szCs w:val="16"/>
        </w:rPr>
        <w:softHyphen/>
        <w:t>гался бензобак на 400 кг топлива. Крышка фонаря кабины откидыва</w:t>
      </w:r>
      <w:r w:rsidRPr="001E2C69">
        <w:rPr>
          <w:rFonts w:ascii="Times New Roman" w:hAnsi="Times New Roman"/>
          <w:color w:val="000000" w:themeColor="text1"/>
          <w:sz w:val="16"/>
          <w:szCs w:val="16"/>
        </w:rPr>
        <w:softHyphen/>
        <w:t>лась вправо. В обтекателе фонаря были предусмотрены окна для об</w:t>
      </w:r>
      <w:r w:rsidRPr="001E2C69">
        <w:rPr>
          <w:rFonts w:ascii="Times New Roman" w:hAnsi="Times New Roman"/>
          <w:color w:val="000000" w:themeColor="text1"/>
          <w:sz w:val="16"/>
          <w:szCs w:val="16"/>
        </w:rPr>
        <w:softHyphen/>
        <w:t>зора задней полусферы. В хвосто</w:t>
      </w:r>
      <w:r w:rsidRPr="001E2C69">
        <w:rPr>
          <w:rFonts w:ascii="Times New Roman" w:hAnsi="Times New Roman"/>
          <w:color w:val="000000" w:themeColor="text1"/>
          <w:sz w:val="16"/>
          <w:szCs w:val="16"/>
        </w:rPr>
        <w:softHyphen/>
        <w:t>вой части фюзеляжа размещалось радиооборудование, кислородный баллон, аккумулятор и т.д.</w:t>
      </w:r>
    </w:p>
    <w:p w14:paraId="791E3DED"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Крыло двухлонжеронной конст</w:t>
      </w:r>
      <w:r w:rsidRPr="001E2C69">
        <w:rPr>
          <w:rFonts w:ascii="Times New Roman" w:hAnsi="Times New Roman"/>
          <w:color w:val="000000" w:themeColor="text1"/>
          <w:sz w:val="16"/>
          <w:szCs w:val="16"/>
        </w:rPr>
        <w:softHyphen/>
        <w:t>рукции состояло из центроплана и двух отъемных консолей. Центроп</w:t>
      </w:r>
      <w:r w:rsidRPr="001E2C69">
        <w:rPr>
          <w:rFonts w:ascii="Times New Roman" w:hAnsi="Times New Roman"/>
          <w:color w:val="000000" w:themeColor="text1"/>
          <w:sz w:val="16"/>
          <w:szCs w:val="16"/>
        </w:rPr>
        <w:softHyphen/>
        <w:t>лан имел цельнометаллическую кон</w:t>
      </w:r>
      <w:r w:rsidRPr="001E2C69">
        <w:rPr>
          <w:rFonts w:ascii="Times New Roman" w:hAnsi="Times New Roman"/>
          <w:color w:val="000000" w:themeColor="text1"/>
          <w:sz w:val="16"/>
          <w:szCs w:val="16"/>
        </w:rPr>
        <w:softHyphen/>
        <w:t>струкцию, а консоли - смешанную (лонжерон - металл, нервюры, стрингеры и обшивка - дерево). Элероны - каркас металлический, обтянутый полотном, на левом эле-</w:t>
      </w:r>
    </w:p>
    <w:p w14:paraId="183AAD4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роне - триммер. Для обеспечения боковой устойчивостью на закри-тических углах атаки крыло имело автоматические предкрылки.</w:t>
      </w:r>
    </w:p>
    <w:p w14:paraId="1E1734B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Стабилизатор и киль были вы</w:t>
      </w:r>
      <w:r w:rsidRPr="001E2C69">
        <w:rPr>
          <w:rFonts w:ascii="Times New Roman" w:hAnsi="Times New Roman"/>
          <w:color w:val="000000" w:themeColor="text1"/>
          <w:sz w:val="16"/>
          <w:szCs w:val="16"/>
        </w:rPr>
        <w:softHyphen/>
        <w:t>полнены из дерева, причем киль -заодно с фюзеляжем. Стабилизатор вставлялся в специальный вырез в хвостовой части и крепился по кон</w:t>
      </w:r>
      <w:r w:rsidRPr="001E2C69">
        <w:rPr>
          <w:rFonts w:ascii="Times New Roman" w:hAnsi="Times New Roman"/>
          <w:color w:val="000000" w:themeColor="text1"/>
          <w:sz w:val="16"/>
          <w:szCs w:val="16"/>
        </w:rPr>
        <w:softHyphen/>
        <w:t>туру болтами. Рули металлические с полотняной обшивкой, имели ве</w:t>
      </w:r>
      <w:r w:rsidRPr="001E2C69">
        <w:rPr>
          <w:rFonts w:ascii="Times New Roman" w:hAnsi="Times New Roman"/>
          <w:color w:val="000000" w:themeColor="text1"/>
          <w:sz w:val="16"/>
          <w:szCs w:val="16"/>
        </w:rPr>
        <w:softHyphen/>
        <w:t>совую компенсацию и были снаб</w:t>
      </w:r>
      <w:r w:rsidRPr="001E2C69">
        <w:rPr>
          <w:rFonts w:ascii="Times New Roman" w:hAnsi="Times New Roman"/>
          <w:color w:val="000000" w:themeColor="text1"/>
          <w:sz w:val="16"/>
          <w:szCs w:val="16"/>
        </w:rPr>
        <w:softHyphen/>
        <w:t>жены триммерами.</w:t>
      </w:r>
    </w:p>
    <w:p w14:paraId="7B4E573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Шасси - трехопорное с хвосто</w:t>
      </w:r>
      <w:r w:rsidRPr="001E2C69">
        <w:rPr>
          <w:rFonts w:ascii="Times New Roman" w:hAnsi="Times New Roman"/>
          <w:color w:val="000000" w:themeColor="text1"/>
          <w:sz w:val="16"/>
          <w:szCs w:val="16"/>
        </w:rPr>
        <w:softHyphen/>
        <w:t>вым колесом. Основные опоры уби</w:t>
      </w:r>
      <w:r w:rsidRPr="001E2C69">
        <w:rPr>
          <w:rFonts w:ascii="Times New Roman" w:hAnsi="Times New Roman"/>
          <w:color w:val="000000" w:themeColor="text1"/>
          <w:sz w:val="16"/>
          <w:szCs w:val="16"/>
        </w:rPr>
        <w:softHyphen/>
        <w:t>рались в центроплан назад, с по</w:t>
      </w:r>
      <w:r w:rsidRPr="001E2C69">
        <w:rPr>
          <w:rFonts w:ascii="Times New Roman" w:hAnsi="Times New Roman"/>
          <w:color w:val="000000" w:themeColor="text1"/>
          <w:sz w:val="16"/>
          <w:szCs w:val="16"/>
        </w:rPr>
        <w:softHyphen/>
        <w:t>воротом колес на 90°. Уборка и выпуск шасси при помощи гидроси</w:t>
      </w:r>
      <w:r w:rsidRPr="001E2C69">
        <w:rPr>
          <w:rFonts w:ascii="Times New Roman" w:hAnsi="Times New Roman"/>
          <w:color w:val="000000" w:themeColor="text1"/>
          <w:sz w:val="16"/>
          <w:szCs w:val="16"/>
        </w:rPr>
        <w:softHyphen/>
        <w:t>стемы.</w:t>
      </w:r>
    </w:p>
    <w:p w14:paraId="0774300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Двигатель М-71 (Мвзл=2000л.с.) крепился к стальной сварной мото</w:t>
      </w:r>
      <w:r w:rsidRPr="001E2C69">
        <w:rPr>
          <w:rFonts w:ascii="Times New Roman" w:hAnsi="Times New Roman"/>
          <w:color w:val="000000" w:themeColor="text1"/>
          <w:sz w:val="16"/>
          <w:szCs w:val="16"/>
        </w:rPr>
        <w:softHyphen/>
        <w:t>раме. Патрубки выхлопного коллек</w:t>
      </w:r>
      <w:r w:rsidRPr="001E2C69">
        <w:rPr>
          <w:rFonts w:ascii="Times New Roman" w:hAnsi="Times New Roman"/>
          <w:color w:val="000000" w:themeColor="text1"/>
          <w:sz w:val="16"/>
          <w:szCs w:val="16"/>
        </w:rPr>
        <w:softHyphen/>
        <w:t>тора — реактивного типа. Регули</w:t>
      </w:r>
      <w:r w:rsidRPr="001E2C69">
        <w:rPr>
          <w:rFonts w:ascii="Times New Roman" w:hAnsi="Times New Roman"/>
          <w:color w:val="000000" w:themeColor="text1"/>
          <w:sz w:val="16"/>
          <w:szCs w:val="16"/>
        </w:rPr>
        <w:softHyphen/>
        <w:t>ровка охлаждения цилиндров дви</w:t>
      </w:r>
      <w:r w:rsidRPr="001E2C69">
        <w:rPr>
          <w:rFonts w:ascii="Times New Roman" w:hAnsi="Times New Roman"/>
          <w:color w:val="000000" w:themeColor="text1"/>
          <w:sz w:val="16"/>
          <w:szCs w:val="16"/>
        </w:rPr>
        <w:softHyphen/>
        <w:t>гателя осуществлялась при помощи подвижных «юбок». Всасывающий патрубок приводного центробежно</w:t>
      </w:r>
      <w:r w:rsidRPr="001E2C69">
        <w:rPr>
          <w:rFonts w:ascii="Times New Roman" w:hAnsi="Times New Roman"/>
          <w:color w:val="000000" w:themeColor="text1"/>
          <w:sz w:val="16"/>
          <w:szCs w:val="16"/>
        </w:rPr>
        <w:softHyphen/>
        <w:t>го нагнетателя располагался над мотором и вписывался в контур капота. Масляные радиаторы раз</w:t>
      </w:r>
      <w:r w:rsidRPr="001E2C69">
        <w:rPr>
          <w:rFonts w:ascii="Times New Roman" w:hAnsi="Times New Roman"/>
          <w:color w:val="000000" w:themeColor="text1"/>
          <w:sz w:val="16"/>
          <w:szCs w:val="16"/>
        </w:rPr>
        <w:softHyphen/>
        <w:t>мещались в центроплане, темпера</w:t>
      </w:r>
      <w:r w:rsidRPr="001E2C69">
        <w:rPr>
          <w:rFonts w:ascii="Times New Roman" w:hAnsi="Times New Roman"/>
          <w:color w:val="000000" w:themeColor="text1"/>
          <w:sz w:val="16"/>
          <w:szCs w:val="16"/>
        </w:rPr>
        <w:softHyphen/>
        <w:t>тура масла регулировалась створ</w:t>
      </w:r>
      <w:r w:rsidRPr="001E2C69">
        <w:rPr>
          <w:rFonts w:ascii="Times New Roman" w:hAnsi="Times New Roman"/>
          <w:color w:val="000000" w:themeColor="text1"/>
          <w:sz w:val="16"/>
          <w:szCs w:val="16"/>
        </w:rPr>
        <w:softHyphen/>
        <w:t>ками.</w:t>
      </w:r>
    </w:p>
    <w:p w14:paraId="0F6215D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Вооружение самолета в нор</w:t>
      </w:r>
      <w:r w:rsidRPr="001E2C69">
        <w:rPr>
          <w:rFonts w:ascii="Times New Roman" w:hAnsi="Times New Roman"/>
          <w:color w:val="000000" w:themeColor="text1"/>
          <w:sz w:val="16"/>
          <w:szCs w:val="16"/>
        </w:rPr>
        <w:softHyphen/>
        <w:t>мальном варианте состояло из двух крыльевых пушек ВЯ-23 с суммар</w:t>
      </w:r>
      <w:r w:rsidRPr="001E2C69">
        <w:rPr>
          <w:rFonts w:ascii="Times New Roman" w:hAnsi="Times New Roman"/>
          <w:color w:val="000000" w:themeColor="text1"/>
          <w:sz w:val="16"/>
          <w:szCs w:val="16"/>
        </w:rPr>
        <w:softHyphen/>
        <w:t>ным боезапасом 160 патронов и синхронного пулемета БС-12,7 с боезапасом 300 патронов.</w:t>
      </w:r>
    </w:p>
    <w:p w14:paraId="40ECA88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Пилот был защищен от обстре</w:t>
      </w:r>
      <w:r w:rsidRPr="001E2C69">
        <w:rPr>
          <w:rFonts w:ascii="Times New Roman" w:hAnsi="Times New Roman"/>
          <w:color w:val="000000" w:themeColor="text1"/>
          <w:sz w:val="16"/>
          <w:szCs w:val="16"/>
        </w:rPr>
        <w:softHyphen/>
        <w:t>ла сзади бронеспинкой толщиной 12 мм и заголовником - 8 мм. За</w:t>
      </w:r>
      <w:r w:rsidRPr="001E2C69">
        <w:rPr>
          <w:rFonts w:ascii="Times New Roman" w:hAnsi="Times New Roman"/>
          <w:color w:val="000000" w:themeColor="text1"/>
          <w:sz w:val="16"/>
          <w:szCs w:val="16"/>
        </w:rPr>
        <w:softHyphen/>
        <w:t>щита спереди - прозрачная бро</w:t>
      </w:r>
      <w:r w:rsidRPr="001E2C69">
        <w:rPr>
          <w:rFonts w:ascii="Times New Roman" w:hAnsi="Times New Roman"/>
          <w:color w:val="000000" w:themeColor="text1"/>
          <w:sz w:val="16"/>
          <w:szCs w:val="16"/>
        </w:rPr>
        <w:softHyphen/>
        <w:t>ня, двигатель и стальной щиток тол</w:t>
      </w:r>
      <w:r w:rsidRPr="001E2C69">
        <w:rPr>
          <w:rFonts w:ascii="Times New Roman" w:hAnsi="Times New Roman"/>
          <w:color w:val="000000" w:themeColor="text1"/>
          <w:sz w:val="16"/>
          <w:szCs w:val="16"/>
        </w:rPr>
        <w:softHyphen/>
        <w:t>щиной 8 мм.</w:t>
      </w:r>
    </w:p>
    <w:p w14:paraId="520A319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Основные расчетные данные истребителя с М-71</w:t>
      </w:r>
    </w:p>
    <w:p w14:paraId="6C1C381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Длина самолета, мм................. 8830</w:t>
      </w:r>
    </w:p>
    <w:p w14:paraId="11A03E2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Размах крыла, мм .................... 12100</w:t>
      </w:r>
    </w:p>
    <w:p w14:paraId="4B7CD40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крыла,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xml:space="preserve"> .................... 22,5</w:t>
      </w:r>
    </w:p>
    <w:p w14:paraId="0EDFE2E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Масса самолета, кг: пустого......................................... 2967</w:t>
      </w:r>
    </w:p>
    <w:p w14:paraId="3E11364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нормальная полетная............. 3775</w:t>
      </w:r>
    </w:p>
    <w:p w14:paraId="355CF52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Максимальная скорость, км/ч: у земли........................................... 502</w:t>
      </w:r>
    </w:p>
    <w:p w14:paraId="4A35901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Н=6000м ................................. 602</w:t>
      </w:r>
    </w:p>
    <w:p w14:paraId="03E5A1A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Время набора Н=5000 м, мин ...5,1 Время виража на Н=0 м, с .... 20,6</w:t>
      </w:r>
    </w:p>
    <w:p w14:paraId="1B77D26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Практический потолок, м..... 10500</w:t>
      </w:r>
    </w:p>
    <w:p w14:paraId="5ECF4C2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Дальность полета</w:t>
      </w:r>
    </w:p>
    <w:p w14:paraId="51A9376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У=0.9Утах. км ........................ 700</w:t>
      </w:r>
    </w:p>
    <w:p w14:paraId="63BE5B7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Длина разбега, м........................ 223 (11754)</w:t>
      </w:r>
    </w:p>
    <w:p w14:paraId="18C75B7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771A8C" w14:textId="2ACB4D0D" w:rsidR="00C01762" w:rsidRPr="008A2E5A" w:rsidRDefault="00C01762" w:rsidP="00C017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июля 1942 г. транспорт «Оушн фридом» доставил в Иоканьгу амфибию «Уолрэс».</w:t>
      </w:r>
    </w:p>
    <w:p w14:paraId="3742286E" w14:textId="77777777" w:rsidR="00C01762" w:rsidRPr="008A2E5A" w:rsidRDefault="00C01762" w:rsidP="00C017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Уолрэс» был запущен с катапульты крейсера «Норфолк», шедше</w:t>
      </w:r>
      <w:r w:rsidRPr="008A2E5A">
        <w:rPr>
          <w:rFonts w:ascii="Times New Roman" w:hAnsi="Times New Roman"/>
          <w:color w:val="0070C0"/>
          <w:sz w:val="16"/>
          <w:szCs w:val="16"/>
        </w:rPr>
        <w:softHyphen/>
        <w:t>го в охранении конвоя PQ 17. Испугавшись возможного подхода немецкого линкора «Тирпиц», британское командование при</w:t>
      </w:r>
      <w:r w:rsidRPr="008A2E5A">
        <w:rPr>
          <w:rFonts w:ascii="Times New Roman" w:hAnsi="Times New Roman"/>
          <w:color w:val="0070C0"/>
          <w:sz w:val="16"/>
          <w:szCs w:val="16"/>
        </w:rPr>
        <w:softHyphen/>
        <w:t>казало большей части сил прикрытия отой</w:t>
      </w:r>
      <w:r w:rsidRPr="008A2E5A">
        <w:rPr>
          <w:rFonts w:ascii="Times New Roman" w:hAnsi="Times New Roman"/>
          <w:color w:val="0070C0"/>
          <w:sz w:val="16"/>
          <w:szCs w:val="16"/>
        </w:rPr>
        <w:softHyphen/>
        <w:t>ти, а судам конвоя — рассыпаться и следо</w:t>
      </w:r>
      <w:r w:rsidRPr="008A2E5A">
        <w:rPr>
          <w:rFonts w:ascii="Times New Roman" w:hAnsi="Times New Roman"/>
          <w:color w:val="0070C0"/>
          <w:sz w:val="16"/>
          <w:szCs w:val="16"/>
        </w:rPr>
        <w:softHyphen/>
        <w:t>вать в советские порты самостоятельно. Вернувшись с разведки, экипаж амфибии обнаружил, что крейсера в условленном ме</w:t>
      </w:r>
      <w:r w:rsidRPr="008A2E5A">
        <w:rPr>
          <w:rFonts w:ascii="Times New Roman" w:hAnsi="Times New Roman"/>
          <w:color w:val="0070C0"/>
          <w:sz w:val="16"/>
          <w:szCs w:val="16"/>
        </w:rPr>
        <w:softHyphen/>
        <w:t>сте нет. Разыскивая своих, летчики нашли группу транспортов, которую сопровождал сторожевик «Позарика». Бензин уже кон</w:t>
      </w:r>
      <w:r w:rsidRPr="008A2E5A">
        <w:rPr>
          <w:rFonts w:ascii="Times New Roman" w:hAnsi="Times New Roman"/>
          <w:color w:val="0070C0"/>
          <w:sz w:val="16"/>
          <w:szCs w:val="16"/>
        </w:rPr>
        <w:softHyphen/>
        <w:t>чался, и пришлось садиться. Дальше само</w:t>
      </w:r>
      <w:r w:rsidRPr="008A2E5A">
        <w:rPr>
          <w:rFonts w:ascii="Times New Roman" w:hAnsi="Times New Roman"/>
          <w:color w:val="0070C0"/>
          <w:sz w:val="16"/>
          <w:szCs w:val="16"/>
        </w:rPr>
        <w:softHyphen/>
        <w:t>лет потащили на буксире, а затем погрузи</w:t>
      </w:r>
      <w:r w:rsidRPr="008A2E5A">
        <w:rPr>
          <w:rFonts w:ascii="Times New Roman" w:hAnsi="Times New Roman"/>
          <w:color w:val="0070C0"/>
          <w:sz w:val="16"/>
          <w:szCs w:val="16"/>
        </w:rPr>
        <w:softHyphen/>
        <w:t xml:space="preserve">ли на </w:t>
      </w:r>
      <w:bookmarkStart w:id="84" w:name="_Hlk132034846"/>
      <w:r w:rsidRPr="008A2E5A">
        <w:rPr>
          <w:rFonts w:ascii="Times New Roman" w:hAnsi="Times New Roman"/>
          <w:color w:val="0070C0"/>
          <w:sz w:val="16"/>
          <w:szCs w:val="16"/>
        </w:rPr>
        <w:t>транспорт «Оушн фридом»</w:t>
      </w:r>
      <w:bookmarkEnd w:id="84"/>
      <w:r w:rsidRPr="008A2E5A">
        <w:rPr>
          <w:rFonts w:ascii="Times New Roman" w:hAnsi="Times New Roman"/>
          <w:color w:val="0070C0"/>
          <w:sz w:val="16"/>
          <w:szCs w:val="16"/>
        </w:rPr>
        <w:t>.</w:t>
      </w:r>
    </w:p>
    <w:p w14:paraId="0015C6F3" w14:textId="6E71BC70" w:rsidR="00C01762" w:rsidRPr="008A2E5A" w:rsidRDefault="00C01762" w:rsidP="00C017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Буксировка по волнующемуся морю, конечно, не пошла на пользу «Уолрэсу». Ему требовался ремонт. В полуразобран</w:t>
      </w:r>
      <w:r w:rsidRPr="008A2E5A">
        <w:rPr>
          <w:rFonts w:ascii="Times New Roman" w:hAnsi="Times New Roman"/>
          <w:color w:val="0070C0"/>
          <w:sz w:val="16"/>
          <w:szCs w:val="16"/>
        </w:rPr>
        <w:softHyphen/>
        <w:t>ном виде самолет некоторое время стоял на причале в Архангельске. Похоже, что англичане сочли, что «овчинка выделки не стоит», и бросили машину, записав как не</w:t>
      </w:r>
      <w:r w:rsidRPr="008A2E5A">
        <w:rPr>
          <w:rFonts w:ascii="Times New Roman" w:hAnsi="Times New Roman"/>
          <w:color w:val="0070C0"/>
          <w:sz w:val="16"/>
          <w:szCs w:val="16"/>
        </w:rPr>
        <w:softHyphen/>
        <w:t>пригодную к восстановлению. Но залежа</w:t>
      </w:r>
      <w:r w:rsidRPr="008A2E5A">
        <w:rPr>
          <w:rFonts w:ascii="Times New Roman" w:hAnsi="Times New Roman"/>
          <w:color w:val="0070C0"/>
          <w:sz w:val="16"/>
          <w:szCs w:val="16"/>
        </w:rPr>
        <w:softHyphen/>
        <w:t>лый аппарат привлек к себе внимание ко</w:t>
      </w:r>
      <w:r w:rsidRPr="008A2E5A">
        <w:rPr>
          <w:rFonts w:ascii="Times New Roman" w:hAnsi="Times New Roman"/>
          <w:color w:val="0070C0"/>
          <w:sz w:val="16"/>
          <w:szCs w:val="16"/>
        </w:rPr>
        <w:softHyphen/>
        <w:t>го-то из командования ВВС Беломорской флотилии. Официально «Уолрэс» ника</w:t>
      </w:r>
      <w:r w:rsidRPr="008A2E5A">
        <w:rPr>
          <w:rFonts w:ascii="Times New Roman" w:hAnsi="Times New Roman"/>
          <w:color w:val="0070C0"/>
          <w:sz w:val="16"/>
          <w:szCs w:val="16"/>
        </w:rPr>
        <w:softHyphen/>
        <w:t>кими документами советской стороне не передавался, но был отремонтирован и поставлен в строй 16-го трао, имевше</w:t>
      </w:r>
      <w:r w:rsidRPr="008A2E5A">
        <w:rPr>
          <w:rFonts w:ascii="Times New Roman" w:hAnsi="Times New Roman"/>
          <w:color w:val="0070C0"/>
          <w:sz w:val="16"/>
          <w:szCs w:val="16"/>
        </w:rPr>
        <w:softHyphen/>
        <w:t>го весьма разношерстный парк техники, в основном устаревшей. Там он эксплуати</w:t>
      </w:r>
      <w:r w:rsidRPr="008A2E5A">
        <w:rPr>
          <w:rFonts w:ascii="Times New Roman" w:hAnsi="Times New Roman"/>
          <w:color w:val="0070C0"/>
          <w:sz w:val="16"/>
          <w:szCs w:val="16"/>
        </w:rPr>
        <w:softHyphen/>
        <w:t>ровался в 1942-43 годах. Когда его списа</w:t>
      </w:r>
      <w:r w:rsidRPr="008A2E5A">
        <w:rPr>
          <w:rFonts w:ascii="Times New Roman" w:hAnsi="Times New Roman"/>
          <w:color w:val="0070C0"/>
          <w:sz w:val="16"/>
          <w:szCs w:val="16"/>
        </w:rPr>
        <w:softHyphen/>
        <w:t>ли — неизвестно.</w:t>
      </w:r>
    </w:p>
    <w:p w14:paraId="5E7E1A96" w14:textId="77777777" w:rsidR="00C01762" w:rsidRPr="008A2E5A" w:rsidRDefault="00C01762" w:rsidP="00C017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Данные амфибии Супермарин «Уолрэс» II</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4080"/>
        <w:gridCol w:w="4200"/>
      </w:tblGrid>
      <w:tr w:rsidR="00C01762" w:rsidRPr="008A2E5A" w14:paraId="72F66EFA" w14:textId="77777777" w:rsidTr="004C5D62">
        <w:trPr>
          <w:trHeight w:val="317"/>
        </w:trPr>
        <w:tc>
          <w:tcPr>
            <w:tcW w:w="4080" w:type="dxa"/>
            <w:tcBorders>
              <w:top w:val="single" w:sz="4" w:space="0" w:color="auto"/>
              <w:left w:val="single" w:sz="4" w:space="0" w:color="auto"/>
            </w:tcBorders>
            <w:shd w:val="clear" w:color="auto" w:fill="auto"/>
            <w:vAlign w:val="bottom"/>
          </w:tcPr>
          <w:p w14:paraId="26CEE32F" w14:textId="77777777" w:rsidR="00C01762" w:rsidRPr="008A2E5A" w:rsidRDefault="00C0176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Длина, м</w:t>
            </w:r>
          </w:p>
        </w:tc>
        <w:tc>
          <w:tcPr>
            <w:tcW w:w="4200" w:type="dxa"/>
            <w:tcBorders>
              <w:top w:val="single" w:sz="4" w:space="0" w:color="auto"/>
              <w:left w:val="single" w:sz="4" w:space="0" w:color="auto"/>
              <w:right w:val="single" w:sz="4" w:space="0" w:color="auto"/>
            </w:tcBorders>
            <w:shd w:val="clear" w:color="auto" w:fill="auto"/>
            <w:vAlign w:val="bottom"/>
          </w:tcPr>
          <w:p w14:paraId="69EE3865" w14:textId="77777777" w:rsidR="00C01762" w:rsidRPr="008A2E5A" w:rsidRDefault="00C0176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11,35</w:t>
            </w:r>
          </w:p>
        </w:tc>
      </w:tr>
      <w:tr w:rsidR="00C01762" w:rsidRPr="008A2E5A" w14:paraId="1F5C99C8" w14:textId="77777777" w:rsidTr="004C5D62">
        <w:trPr>
          <w:trHeight w:val="302"/>
        </w:trPr>
        <w:tc>
          <w:tcPr>
            <w:tcW w:w="4080" w:type="dxa"/>
            <w:tcBorders>
              <w:top w:val="single" w:sz="4" w:space="0" w:color="auto"/>
              <w:left w:val="single" w:sz="4" w:space="0" w:color="auto"/>
            </w:tcBorders>
            <w:shd w:val="clear" w:color="auto" w:fill="auto"/>
            <w:vAlign w:val="bottom"/>
          </w:tcPr>
          <w:p w14:paraId="730C696C" w14:textId="77777777" w:rsidR="00C01762" w:rsidRPr="008A2E5A" w:rsidRDefault="00C0176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м</w:t>
            </w:r>
          </w:p>
        </w:tc>
        <w:tc>
          <w:tcPr>
            <w:tcW w:w="4200" w:type="dxa"/>
            <w:tcBorders>
              <w:top w:val="single" w:sz="4" w:space="0" w:color="auto"/>
              <w:left w:val="single" w:sz="4" w:space="0" w:color="auto"/>
              <w:right w:val="single" w:sz="4" w:space="0" w:color="auto"/>
            </w:tcBorders>
            <w:shd w:val="clear" w:color="auto" w:fill="auto"/>
            <w:vAlign w:val="bottom"/>
          </w:tcPr>
          <w:p w14:paraId="3E355722" w14:textId="77777777" w:rsidR="00C01762" w:rsidRPr="008A2E5A" w:rsidRDefault="00C0176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13,97</w:t>
            </w:r>
          </w:p>
        </w:tc>
      </w:tr>
      <w:tr w:rsidR="00C01762" w:rsidRPr="008A2E5A" w14:paraId="16C1E7A0" w14:textId="77777777" w:rsidTr="004C5D62">
        <w:trPr>
          <w:trHeight w:val="302"/>
        </w:trPr>
        <w:tc>
          <w:tcPr>
            <w:tcW w:w="4080" w:type="dxa"/>
            <w:tcBorders>
              <w:top w:val="single" w:sz="4" w:space="0" w:color="auto"/>
              <w:left w:val="single" w:sz="4" w:space="0" w:color="auto"/>
            </w:tcBorders>
            <w:shd w:val="clear" w:color="auto" w:fill="auto"/>
            <w:vAlign w:val="bottom"/>
          </w:tcPr>
          <w:p w14:paraId="3E844CBF" w14:textId="77777777" w:rsidR="00C01762" w:rsidRPr="008A2E5A" w:rsidRDefault="00C0176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м</w:t>
            </w:r>
          </w:p>
        </w:tc>
        <w:tc>
          <w:tcPr>
            <w:tcW w:w="4200" w:type="dxa"/>
            <w:tcBorders>
              <w:top w:val="single" w:sz="4" w:space="0" w:color="auto"/>
              <w:left w:val="single" w:sz="4" w:space="0" w:color="auto"/>
              <w:right w:val="single" w:sz="4" w:space="0" w:color="auto"/>
            </w:tcBorders>
            <w:shd w:val="clear" w:color="auto" w:fill="auto"/>
            <w:vAlign w:val="bottom"/>
          </w:tcPr>
          <w:p w14:paraId="748112FA" w14:textId="77777777" w:rsidR="00C01762" w:rsidRPr="008A2E5A" w:rsidRDefault="00C0176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4,65</w:t>
            </w:r>
          </w:p>
        </w:tc>
      </w:tr>
      <w:tr w:rsidR="00C01762" w:rsidRPr="008A2E5A" w14:paraId="593D8D78" w14:textId="77777777" w:rsidTr="004C5D62">
        <w:trPr>
          <w:trHeight w:val="782"/>
        </w:trPr>
        <w:tc>
          <w:tcPr>
            <w:tcW w:w="4080" w:type="dxa"/>
            <w:tcBorders>
              <w:top w:val="single" w:sz="4" w:space="0" w:color="auto"/>
              <w:left w:val="single" w:sz="4" w:space="0" w:color="auto"/>
            </w:tcBorders>
            <w:shd w:val="clear" w:color="auto" w:fill="auto"/>
            <w:vAlign w:val="bottom"/>
          </w:tcPr>
          <w:p w14:paraId="27DFA0B2" w14:textId="77777777" w:rsidR="00C01762" w:rsidRPr="008A2E5A" w:rsidRDefault="00C0176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кг</w:t>
            </w:r>
          </w:p>
          <w:p w14:paraId="49248FA6" w14:textId="77777777" w:rsidR="00C01762" w:rsidRPr="008A2E5A" w:rsidRDefault="00C0176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пустого</w:t>
            </w:r>
          </w:p>
          <w:p w14:paraId="1AA7BBFB" w14:textId="77777777" w:rsidR="00C01762" w:rsidRPr="008A2E5A" w:rsidRDefault="00C0176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максимальный</w:t>
            </w:r>
          </w:p>
        </w:tc>
        <w:tc>
          <w:tcPr>
            <w:tcW w:w="4200" w:type="dxa"/>
            <w:tcBorders>
              <w:top w:val="single" w:sz="4" w:space="0" w:color="auto"/>
              <w:left w:val="single" w:sz="4" w:space="0" w:color="auto"/>
              <w:right w:val="single" w:sz="4" w:space="0" w:color="auto"/>
            </w:tcBorders>
            <w:shd w:val="clear" w:color="auto" w:fill="auto"/>
            <w:vAlign w:val="bottom"/>
          </w:tcPr>
          <w:p w14:paraId="2FE35C82" w14:textId="77777777" w:rsidR="00C01762" w:rsidRPr="008A2E5A" w:rsidRDefault="00C0176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2223</w:t>
            </w:r>
          </w:p>
          <w:p w14:paraId="4060B647" w14:textId="77777777" w:rsidR="00C01762" w:rsidRPr="008A2E5A" w:rsidRDefault="00C0176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3266</w:t>
            </w:r>
          </w:p>
        </w:tc>
      </w:tr>
      <w:tr w:rsidR="00C01762" w:rsidRPr="008A2E5A" w14:paraId="25269F71" w14:textId="77777777" w:rsidTr="004C5D62">
        <w:trPr>
          <w:trHeight w:val="307"/>
        </w:trPr>
        <w:tc>
          <w:tcPr>
            <w:tcW w:w="4080" w:type="dxa"/>
            <w:tcBorders>
              <w:top w:val="single" w:sz="4" w:space="0" w:color="auto"/>
              <w:left w:val="single" w:sz="4" w:space="0" w:color="auto"/>
            </w:tcBorders>
            <w:shd w:val="clear" w:color="auto" w:fill="auto"/>
            <w:vAlign w:val="bottom"/>
          </w:tcPr>
          <w:p w14:paraId="29691FF8" w14:textId="77777777" w:rsidR="00C01762" w:rsidRPr="008A2E5A" w:rsidRDefault="00C0176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максимальная, км/ч</w:t>
            </w:r>
          </w:p>
        </w:tc>
        <w:tc>
          <w:tcPr>
            <w:tcW w:w="4200" w:type="dxa"/>
            <w:tcBorders>
              <w:top w:val="single" w:sz="4" w:space="0" w:color="auto"/>
              <w:left w:val="single" w:sz="4" w:space="0" w:color="auto"/>
              <w:right w:val="single" w:sz="4" w:space="0" w:color="auto"/>
            </w:tcBorders>
            <w:shd w:val="clear" w:color="auto" w:fill="auto"/>
            <w:vAlign w:val="bottom"/>
          </w:tcPr>
          <w:p w14:paraId="40FC2BBC" w14:textId="77777777" w:rsidR="00C01762" w:rsidRPr="008A2E5A" w:rsidRDefault="00C0176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217</w:t>
            </w:r>
          </w:p>
        </w:tc>
      </w:tr>
      <w:tr w:rsidR="00C01762" w:rsidRPr="008A2E5A" w14:paraId="0622FDE1" w14:textId="77777777" w:rsidTr="004C5D62">
        <w:trPr>
          <w:trHeight w:val="302"/>
        </w:trPr>
        <w:tc>
          <w:tcPr>
            <w:tcW w:w="4080" w:type="dxa"/>
            <w:tcBorders>
              <w:top w:val="single" w:sz="4" w:space="0" w:color="auto"/>
              <w:left w:val="single" w:sz="4" w:space="0" w:color="auto"/>
            </w:tcBorders>
            <w:shd w:val="clear" w:color="auto" w:fill="auto"/>
            <w:vAlign w:val="bottom"/>
          </w:tcPr>
          <w:p w14:paraId="55BF8B37" w14:textId="77777777" w:rsidR="00C01762" w:rsidRPr="008A2E5A" w:rsidRDefault="00C0176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м</w:t>
            </w:r>
          </w:p>
        </w:tc>
        <w:tc>
          <w:tcPr>
            <w:tcW w:w="4200" w:type="dxa"/>
            <w:tcBorders>
              <w:top w:val="single" w:sz="4" w:space="0" w:color="auto"/>
              <w:left w:val="single" w:sz="4" w:space="0" w:color="auto"/>
              <w:right w:val="single" w:sz="4" w:space="0" w:color="auto"/>
            </w:tcBorders>
            <w:shd w:val="clear" w:color="auto" w:fill="auto"/>
            <w:vAlign w:val="bottom"/>
          </w:tcPr>
          <w:p w14:paraId="304C9CAA" w14:textId="77777777" w:rsidR="00C01762" w:rsidRPr="008A2E5A" w:rsidRDefault="00C0176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5640</w:t>
            </w:r>
          </w:p>
        </w:tc>
      </w:tr>
      <w:tr w:rsidR="00C01762" w:rsidRPr="008A2E5A" w14:paraId="57CB8CEC" w14:textId="77777777" w:rsidTr="004C5D62">
        <w:trPr>
          <w:trHeight w:val="307"/>
        </w:trPr>
        <w:tc>
          <w:tcPr>
            <w:tcW w:w="4080" w:type="dxa"/>
            <w:tcBorders>
              <w:top w:val="single" w:sz="4" w:space="0" w:color="auto"/>
              <w:left w:val="single" w:sz="4" w:space="0" w:color="auto"/>
            </w:tcBorders>
            <w:shd w:val="clear" w:color="auto" w:fill="auto"/>
            <w:vAlign w:val="bottom"/>
          </w:tcPr>
          <w:p w14:paraId="0772453B" w14:textId="77777777" w:rsidR="00C01762" w:rsidRPr="008A2E5A" w:rsidRDefault="00C0176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км</w:t>
            </w:r>
          </w:p>
        </w:tc>
        <w:tc>
          <w:tcPr>
            <w:tcW w:w="4200" w:type="dxa"/>
            <w:tcBorders>
              <w:top w:val="single" w:sz="4" w:space="0" w:color="auto"/>
              <w:left w:val="single" w:sz="4" w:space="0" w:color="auto"/>
              <w:right w:val="single" w:sz="4" w:space="0" w:color="auto"/>
            </w:tcBorders>
            <w:shd w:val="clear" w:color="auto" w:fill="auto"/>
            <w:vAlign w:val="bottom"/>
          </w:tcPr>
          <w:p w14:paraId="45D6AD84" w14:textId="77777777" w:rsidR="00C01762" w:rsidRPr="008A2E5A" w:rsidRDefault="00C0176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970</w:t>
            </w:r>
          </w:p>
        </w:tc>
      </w:tr>
      <w:tr w:rsidR="00C01762" w:rsidRPr="008A2E5A" w14:paraId="5C8A0AA2" w14:textId="77777777" w:rsidTr="004C5D62">
        <w:trPr>
          <w:trHeight w:val="302"/>
        </w:trPr>
        <w:tc>
          <w:tcPr>
            <w:tcW w:w="4080" w:type="dxa"/>
            <w:tcBorders>
              <w:top w:val="single" w:sz="4" w:space="0" w:color="auto"/>
              <w:left w:val="single" w:sz="4" w:space="0" w:color="auto"/>
            </w:tcBorders>
            <w:shd w:val="clear" w:color="auto" w:fill="auto"/>
            <w:vAlign w:val="bottom"/>
          </w:tcPr>
          <w:p w14:paraId="36EA301F" w14:textId="77777777" w:rsidR="00C01762" w:rsidRPr="008A2E5A" w:rsidRDefault="00C0176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w:t>
            </w:r>
          </w:p>
        </w:tc>
        <w:tc>
          <w:tcPr>
            <w:tcW w:w="4200" w:type="dxa"/>
            <w:tcBorders>
              <w:top w:val="single" w:sz="4" w:space="0" w:color="auto"/>
              <w:left w:val="single" w:sz="4" w:space="0" w:color="auto"/>
              <w:right w:val="single" w:sz="4" w:space="0" w:color="auto"/>
            </w:tcBorders>
            <w:shd w:val="clear" w:color="auto" w:fill="auto"/>
            <w:vAlign w:val="bottom"/>
          </w:tcPr>
          <w:p w14:paraId="5144EECD" w14:textId="77777777" w:rsidR="00C01762" w:rsidRPr="008A2E5A" w:rsidRDefault="00C0176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х 7,69</w:t>
            </w:r>
          </w:p>
        </w:tc>
      </w:tr>
      <w:tr w:rsidR="00C01762" w:rsidRPr="008A2E5A" w14:paraId="7B8B9B72" w14:textId="77777777" w:rsidTr="004C5D62">
        <w:trPr>
          <w:trHeight w:val="322"/>
        </w:trPr>
        <w:tc>
          <w:tcPr>
            <w:tcW w:w="4080" w:type="dxa"/>
            <w:tcBorders>
              <w:top w:val="single" w:sz="4" w:space="0" w:color="auto"/>
              <w:left w:val="single" w:sz="4" w:space="0" w:color="auto"/>
              <w:bottom w:val="single" w:sz="4" w:space="0" w:color="auto"/>
            </w:tcBorders>
            <w:shd w:val="clear" w:color="auto" w:fill="auto"/>
            <w:vAlign w:val="bottom"/>
          </w:tcPr>
          <w:p w14:paraId="36C6D2BA" w14:textId="77777777" w:rsidR="00C01762" w:rsidRPr="008A2E5A" w:rsidRDefault="00C0176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Бомбовая нагрузка, кг</w:t>
            </w:r>
          </w:p>
        </w:tc>
        <w:tc>
          <w:tcPr>
            <w:tcW w:w="4200" w:type="dxa"/>
            <w:tcBorders>
              <w:top w:val="single" w:sz="4" w:space="0" w:color="auto"/>
              <w:left w:val="single" w:sz="4" w:space="0" w:color="auto"/>
              <w:bottom w:val="single" w:sz="4" w:space="0" w:color="auto"/>
              <w:right w:val="single" w:sz="4" w:space="0" w:color="auto"/>
            </w:tcBorders>
            <w:shd w:val="clear" w:color="auto" w:fill="auto"/>
            <w:vAlign w:val="bottom"/>
          </w:tcPr>
          <w:p w14:paraId="048EF64D" w14:textId="77777777" w:rsidR="00C01762" w:rsidRPr="008A2E5A" w:rsidRDefault="00C0176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345</w:t>
            </w:r>
          </w:p>
        </w:tc>
      </w:tr>
    </w:tbl>
    <w:p w14:paraId="35D75C73" w14:textId="77777777" w:rsidR="00C01762" w:rsidRPr="008A2E5A" w:rsidRDefault="00C01762" w:rsidP="00C017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(23513).</w:t>
      </w:r>
    </w:p>
    <w:p w14:paraId="22028152" w14:textId="77777777" w:rsidR="00C01762" w:rsidRPr="008A2E5A" w:rsidRDefault="00C01762" w:rsidP="00C01762">
      <w:pPr>
        <w:spacing w:after="0" w:line="240" w:lineRule="auto"/>
        <w:jc w:val="both"/>
        <w:rPr>
          <w:rFonts w:ascii="Times New Roman" w:hAnsi="Times New Roman"/>
          <w:color w:val="0070C0"/>
          <w:sz w:val="16"/>
          <w:szCs w:val="16"/>
        </w:rPr>
      </w:pPr>
    </w:p>
    <w:p w14:paraId="330CB46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июля 1942 вышел приказ НКАП N 512с "О мероприятиях по повышению огнестойкости самолетов" в исполнение постановления ГКО M 1995с от 6 июля 1942:</w:t>
      </w:r>
    </w:p>
    <w:p w14:paraId="0971BAE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Директору завода 292 обеспечить к 1 августа выпуск 10 самолетов Як-1 с трудновоспламенимым покрытием деревянных и обтянутых полотном частей самолетов.</w:t>
      </w:r>
    </w:p>
    <w:p w14:paraId="6B1BB71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Этим же постановлением ГКО обязал</w:t>
      </w:r>
    </w:p>
    <w:p w14:paraId="214C97C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ВВС Новикова к 10 августа провести испытания самолетов с трудновоспламенимым покрытием в боевых условиях и в НИИ ВВС (1571,15).</w:t>
      </w:r>
    </w:p>
    <w:p w14:paraId="126832D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744C9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июля 1942 вышел приказ НКАП № 510с:</w:t>
      </w:r>
    </w:p>
    <w:p w14:paraId="02ABCDF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З-ду Точизмеритель им. Молотова НКАП присвоить № 384,</w:t>
      </w:r>
    </w:p>
    <w:p w14:paraId="1409800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з-ду ОЗПО НКАП присвоить № 452.</w:t>
      </w:r>
    </w:p>
    <w:p w14:paraId="4B80893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Дементьев (1571, 3).</w:t>
      </w:r>
    </w:p>
    <w:p w14:paraId="1D1C240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9FB4E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июля 1942 г. по приказу № 510с заводу «Точизмеритель» (ГС Завод № 384 ИМ. Молотова НКАП, НКМ, ГС завод «Точизмеритель» им. Молотова НКТП, НКОП, Натальинский стекольный завод, АООТ, ОАО «Натальинский стекольный завод» /г. Москва ул. Н. Сыромятники, 11; н/п Мончаж Свердловской обл./ /623320 пгт. Натальинск Красноуфимского р-на Свердловской обл. ул. Советская, 4 тел. 23-100,40-740/) присвоено наименование ГС завод № 384 НКАП в системе 5ГУ.</w:t>
      </w:r>
    </w:p>
    <w:p w14:paraId="18EAF16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Москве на старой площадке образован филиал завода, который в 04.1942 г. преобразован в самостоятельный завод № 382.</w:t>
      </w:r>
    </w:p>
    <w:p w14:paraId="083B07A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572с/1206 от 24.10.1944 г. завод передан с 1.11.1944 г. в НКМ. Далее это- Натальинский стекольный завод.</w:t>
      </w:r>
    </w:p>
    <w:p w14:paraId="5BA2783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1957-58 г. завод выпускал ламповое и фонарное стекло, детали авиационных приборов (ампулы ПК и креноскопы), осваивал новые изделия. В 1962 г. начат выпуск рассеивателей и молочно-накладного стекла. В 1971 г. начата реконструкция завода, построены новые корпуса.</w:t>
      </w:r>
    </w:p>
    <w:p w14:paraId="02EA1C2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1993 г. Натальинский стекольный завод акционирован и преобразован в АООТ, а затем- в ОАО. В 1995-97 г. завод на лето прекращал работу, работники распускались в отпуска без содержания.</w:t>
      </w:r>
    </w:p>
    <w:p w14:paraId="6A463BD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(2000-е): стеклянные светотехнические изделия.</w:t>
      </w:r>
    </w:p>
    <w:p w14:paraId="23735C4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(1943 г.)- 1070 чел., (2001 г.)- 570 чел., (2005 г.)- 540 чел.</w:t>
      </w:r>
    </w:p>
    <w:p w14:paraId="1BA7520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(-02.1938-43 Г.)- Л.И. Гольдберг, (1943 г.-)- П.П. Волков, (1944 г.-&gt; М.А. Томашевский, (1957 г.-&gt; К.Д. Крупенников, (1969 г.)- Р.Н. Демчук, (1971 г.)- П.П. Ивахненко. Гендиректор (2002 г.)- Н.П. Бушуев, (2004-06 г.-)-B.Н.Саликов.</w:t>
      </w:r>
    </w:p>
    <w:p w14:paraId="7D03A32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(2.02.1938 г.-)- В.А. Абрамович.</w:t>
      </w:r>
      <w:r w:rsidRPr="001E2C69">
        <w:rPr>
          <w:rFonts w:ascii="Times New Roman" w:hAnsi="Times New Roman"/>
          <w:color w:val="000000" w:themeColor="text1"/>
          <w:sz w:val="16"/>
          <w:szCs w:val="16"/>
          <w:vertAlign w:val="superscript"/>
        </w:rPr>
        <w:t>139</w:t>
      </w:r>
    </w:p>
    <w:p w14:paraId="0F96CE4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механик (1930-е)- Н.Б. Валаев.</w:t>
      </w:r>
    </w:p>
    <w:p w14:paraId="277391B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термометры авиационные воздушные (1936).</w:t>
      </w:r>
    </w:p>
    <w:p w14:paraId="17AA0E3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Артель «Возрождение», Артель им. С.М. Кирова, Натальинский стекольный завод</w:t>
      </w:r>
    </w:p>
    <w:p w14:paraId="71F0540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1871 г. И.А. Шевелиным недалеко от Красноуфимска основан стекольный завод. Выпускал оконное стекло, посуду, вино-водочную тару, парфюмерную и аптечную посуду. Перед революцией хозяином завода был сын А.И. Шевелин.</w:t>
      </w:r>
    </w:p>
    <w:p w14:paraId="2BD4A10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революции завод национализирован. В 1926 г. завод закрыт, деревянные здания заводоуправления и клуба разобраны и отправлены на Зиновьевский стекольный завод.</w:t>
      </w:r>
    </w:p>
    <w:p w14:paraId="173184F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Затем завод восстановлен в форме артели «Возрождение». В 1929 г. начата реконструкция завода: расширены площади, строится ванная печь непрерывного действия, установлен локомобиль. В 1935 г. артели присвоено имя C.М.Кирова.</w:t>
      </w:r>
    </w:p>
    <w:p w14:paraId="61C7F81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начала войны был освоен выпуск новой продукции- фляжек для армии. Затем сюда был эвакуирован из Москвы завод «Точизмеритель» и по приказу № 5 10с от 11.07.1942 г. объединенный завод получил наименование ГС завод №384 НКАП (11982).</w:t>
      </w:r>
    </w:p>
    <w:p w14:paraId="4F864355" w14:textId="77777777" w:rsidR="0091110F" w:rsidRPr="001E2C69" w:rsidRDefault="0091110F"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D1E2B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июля 1942 г. ОЗПО по приказу № 5 10с присвоено наименование ГС завод № 452 НКАП в 5ГУ. По приказу № 605сс от 23.10.1944 г. завод с 1.10.1944 г. передан в 17ГУ. Станкостроение. В 1947 г. - в ведении МАП.</w:t>
      </w:r>
    </w:p>
    <w:p w14:paraId="4AF2F08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Позднее передан из НКАП в другое ведомство (к 1951 г.).</w:t>
      </w:r>
    </w:p>
    <w:p w14:paraId="65023C7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(10.1937; 8.03.1938-09.1943 г.-)- И.И. Цагшин.</w:t>
      </w:r>
    </w:p>
    <w:p w14:paraId="21D7724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(06.1938 г.)- А.С. Дроздов (11982).</w:t>
      </w:r>
    </w:p>
    <w:p w14:paraId="6147289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5ACD9E" w14:textId="77777777" w:rsidR="00C01762" w:rsidRPr="008A2E5A" w:rsidRDefault="00C01762" w:rsidP="00C017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июля 1942</w:t>
      </w:r>
    </w:p>
    <w:p w14:paraId="0A8F0244" w14:textId="77777777" w:rsidR="00C01762" w:rsidRPr="008A2E5A" w:rsidRDefault="00C01762" w:rsidP="00C017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Справка отдела планирования Главного управления заказов и технического снабжения ВВС Красной армии о выполнении плана заказов промышленностью по самолетам за июнь и первое полугодие 1942 г.</w:t>
      </w:r>
    </w:p>
    <w:p w14:paraId="2B569257" w14:textId="77777777" w:rsidR="00C01762" w:rsidRPr="008A2E5A" w:rsidRDefault="00C01762" w:rsidP="00C017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ИЮЛЯ 1942 Г.</w:t>
      </w:r>
    </w:p>
    <w:p w14:paraId="3338F0D1" w14:textId="77777777" w:rsidR="00C01762" w:rsidRPr="008A2E5A" w:rsidRDefault="00C01762" w:rsidP="00C017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2A7B5A45" w14:textId="77777777" w:rsidR="00C01762" w:rsidRPr="008A2E5A" w:rsidRDefault="00C01762" w:rsidP="00C017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шт.)</w:t>
      </w:r>
    </w:p>
    <w:tbl>
      <w:tblPr>
        <w:tblStyle w:val="afffff5"/>
        <w:tblW w:w="0" w:type="auto"/>
        <w:tblLook w:val="04A0" w:firstRow="1" w:lastRow="0" w:firstColumn="1" w:lastColumn="0" w:noHBand="0" w:noVBand="1"/>
      </w:tblPr>
      <w:tblGrid>
        <w:gridCol w:w="1544"/>
        <w:gridCol w:w="802"/>
        <w:gridCol w:w="718"/>
        <w:gridCol w:w="912"/>
        <w:gridCol w:w="615"/>
        <w:gridCol w:w="1025"/>
        <w:gridCol w:w="756"/>
        <w:gridCol w:w="685"/>
        <w:gridCol w:w="1038"/>
        <w:gridCol w:w="630"/>
        <w:gridCol w:w="1023"/>
        <w:gridCol w:w="671"/>
        <w:gridCol w:w="909"/>
      </w:tblGrid>
      <w:tr w:rsidR="00C01762" w:rsidRPr="008A2E5A" w14:paraId="365EADF7" w14:textId="77777777" w:rsidTr="004C5D62">
        <w:tc>
          <w:tcPr>
            <w:tcW w:w="1441" w:type="dxa"/>
          </w:tcPr>
          <w:p w14:paraId="5942C276" w14:textId="77777777" w:rsidR="00C01762" w:rsidRPr="008A2E5A" w:rsidRDefault="00C01762" w:rsidP="004C5D62">
            <w:pPr>
              <w:spacing w:after="0" w:line="240" w:lineRule="auto"/>
              <w:jc w:val="both"/>
              <w:rPr>
                <w:color w:val="0070C0"/>
                <w:sz w:val="16"/>
                <w:szCs w:val="16"/>
              </w:rPr>
            </w:pPr>
            <w:r w:rsidRPr="008A2E5A">
              <w:rPr>
                <w:color w:val="0070C0"/>
                <w:sz w:val="16"/>
                <w:szCs w:val="16"/>
              </w:rPr>
              <w:t>№  п/п</w:t>
            </w:r>
          </w:p>
        </w:tc>
        <w:tc>
          <w:tcPr>
            <w:tcW w:w="758" w:type="dxa"/>
          </w:tcPr>
          <w:p w14:paraId="712B07F3" w14:textId="77777777" w:rsidR="00C01762" w:rsidRPr="008A2E5A" w:rsidRDefault="00C01762" w:rsidP="004C5D62">
            <w:pPr>
              <w:spacing w:after="0" w:line="240" w:lineRule="auto"/>
              <w:jc w:val="both"/>
              <w:rPr>
                <w:color w:val="0070C0"/>
                <w:sz w:val="16"/>
                <w:szCs w:val="16"/>
              </w:rPr>
            </w:pPr>
            <w:r w:rsidRPr="008A2E5A">
              <w:rPr>
                <w:color w:val="0070C0"/>
                <w:sz w:val="16"/>
                <w:szCs w:val="16"/>
              </w:rPr>
              <w:t>Типы са- молетов</w:t>
            </w:r>
          </w:p>
        </w:tc>
        <w:tc>
          <w:tcPr>
            <w:tcW w:w="680" w:type="dxa"/>
          </w:tcPr>
          <w:p w14:paraId="1ADCE260" w14:textId="77777777" w:rsidR="00C01762" w:rsidRPr="008A2E5A" w:rsidRDefault="00C01762" w:rsidP="004C5D62">
            <w:pPr>
              <w:spacing w:after="0" w:line="240" w:lineRule="auto"/>
              <w:jc w:val="both"/>
              <w:rPr>
                <w:color w:val="0070C0"/>
                <w:sz w:val="16"/>
                <w:szCs w:val="16"/>
              </w:rPr>
            </w:pPr>
            <w:r w:rsidRPr="008A2E5A">
              <w:rPr>
                <w:color w:val="0070C0"/>
                <w:sz w:val="16"/>
                <w:szCs w:val="16"/>
              </w:rPr>
              <w:t>Завод-  постав-  щик</w:t>
            </w:r>
          </w:p>
        </w:tc>
        <w:tc>
          <w:tcPr>
            <w:tcW w:w="859" w:type="dxa"/>
          </w:tcPr>
          <w:p w14:paraId="26E54256" w14:textId="77777777" w:rsidR="00C01762" w:rsidRPr="008A2E5A" w:rsidRDefault="00C01762" w:rsidP="004C5D62">
            <w:pPr>
              <w:spacing w:after="0" w:line="240" w:lineRule="auto"/>
              <w:jc w:val="both"/>
              <w:rPr>
                <w:color w:val="0070C0"/>
                <w:sz w:val="16"/>
                <w:szCs w:val="16"/>
              </w:rPr>
            </w:pPr>
            <w:r w:rsidRPr="008A2E5A">
              <w:rPr>
                <w:color w:val="0070C0"/>
                <w:sz w:val="16"/>
                <w:szCs w:val="16"/>
              </w:rPr>
              <w:t>Положено сдать с на- чала года</w:t>
            </w:r>
          </w:p>
        </w:tc>
        <w:tc>
          <w:tcPr>
            <w:tcW w:w="585" w:type="dxa"/>
          </w:tcPr>
          <w:p w14:paraId="442E9F54" w14:textId="77777777" w:rsidR="00C01762" w:rsidRPr="008A2E5A" w:rsidRDefault="00C01762" w:rsidP="004C5D62">
            <w:pPr>
              <w:spacing w:after="0" w:line="240" w:lineRule="auto"/>
              <w:jc w:val="both"/>
              <w:rPr>
                <w:color w:val="0070C0"/>
                <w:sz w:val="16"/>
                <w:szCs w:val="16"/>
              </w:rPr>
            </w:pPr>
            <w:r w:rsidRPr="008A2E5A">
              <w:rPr>
                <w:color w:val="0070C0"/>
                <w:sz w:val="16"/>
                <w:szCs w:val="16"/>
              </w:rPr>
              <w:t>в том числе за июнь месяц</w:t>
            </w:r>
          </w:p>
        </w:tc>
        <w:tc>
          <w:tcPr>
            <w:tcW w:w="964" w:type="dxa"/>
          </w:tcPr>
          <w:p w14:paraId="4BA33B4C" w14:textId="77777777" w:rsidR="00C01762" w:rsidRPr="008A2E5A" w:rsidRDefault="00C01762" w:rsidP="004C5D62">
            <w:pPr>
              <w:spacing w:after="0" w:line="240" w:lineRule="auto"/>
              <w:jc w:val="both"/>
              <w:rPr>
                <w:color w:val="0070C0"/>
                <w:sz w:val="16"/>
                <w:szCs w:val="16"/>
              </w:rPr>
            </w:pPr>
            <w:r w:rsidRPr="008A2E5A">
              <w:rPr>
                <w:color w:val="0070C0"/>
                <w:sz w:val="16"/>
                <w:szCs w:val="16"/>
              </w:rPr>
              <w:t>Фактически сдано с начала  года</w:t>
            </w:r>
          </w:p>
        </w:tc>
        <w:tc>
          <w:tcPr>
            <w:tcW w:w="715" w:type="dxa"/>
          </w:tcPr>
          <w:p w14:paraId="5026AE05" w14:textId="77777777" w:rsidR="00C01762" w:rsidRPr="008A2E5A" w:rsidRDefault="00C01762" w:rsidP="004C5D62">
            <w:pPr>
              <w:spacing w:after="0" w:line="240" w:lineRule="auto"/>
              <w:jc w:val="both"/>
              <w:rPr>
                <w:color w:val="0070C0"/>
                <w:sz w:val="16"/>
                <w:szCs w:val="16"/>
              </w:rPr>
            </w:pPr>
            <w:r w:rsidRPr="008A2E5A">
              <w:rPr>
                <w:color w:val="0070C0"/>
                <w:sz w:val="16"/>
                <w:szCs w:val="16"/>
              </w:rPr>
              <w:t>в том числе за июнь по  оконча-  тельной  сборке</w:t>
            </w:r>
          </w:p>
        </w:tc>
        <w:tc>
          <w:tcPr>
            <w:tcW w:w="650" w:type="dxa"/>
          </w:tcPr>
          <w:p w14:paraId="76EEE6BB" w14:textId="77777777" w:rsidR="00C01762" w:rsidRPr="008A2E5A" w:rsidRDefault="00C01762" w:rsidP="004C5D62">
            <w:pPr>
              <w:spacing w:after="0" w:line="240" w:lineRule="auto"/>
              <w:jc w:val="both"/>
              <w:rPr>
                <w:color w:val="0070C0"/>
                <w:sz w:val="16"/>
                <w:szCs w:val="16"/>
              </w:rPr>
            </w:pPr>
            <w:r w:rsidRPr="008A2E5A">
              <w:rPr>
                <w:color w:val="0070C0"/>
                <w:sz w:val="16"/>
                <w:szCs w:val="16"/>
              </w:rPr>
              <w:t>По  боевой  готов-  ности</w:t>
            </w:r>
          </w:p>
        </w:tc>
        <w:tc>
          <w:tcPr>
            <w:tcW w:w="976" w:type="dxa"/>
          </w:tcPr>
          <w:p w14:paraId="461689DF" w14:textId="77777777" w:rsidR="00C01762" w:rsidRPr="008A2E5A" w:rsidRDefault="00C01762" w:rsidP="004C5D62">
            <w:pPr>
              <w:spacing w:after="0" w:line="240" w:lineRule="auto"/>
              <w:jc w:val="both"/>
              <w:rPr>
                <w:color w:val="0070C0"/>
                <w:sz w:val="16"/>
                <w:szCs w:val="16"/>
              </w:rPr>
            </w:pPr>
            <w:r w:rsidRPr="008A2E5A">
              <w:rPr>
                <w:color w:val="0070C0"/>
                <w:sz w:val="16"/>
                <w:szCs w:val="16"/>
              </w:rPr>
              <w:t>Процент  выполнения с на- чала года</w:t>
            </w:r>
          </w:p>
        </w:tc>
        <w:tc>
          <w:tcPr>
            <w:tcW w:w="599" w:type="dxa"/>
          </w:tcPr>
          <w:p w14:paraId="69B40641" w14:textId="77777777" w:rsidR="00C01762" w:rsidRPr="008A2E5A" w:rsidRDefault="00C01762" w:rsidP="004C5D62">
            <w:pPr>
              <w:spacing w:after="0" w:line="240" w:lineRule="auto"/>
              <w:jc w:val="both"/>
              <w:rPr>
                <w:color w:val="0070C0"/>
                <w:sz w:val="16"/>
                <w:szCs w:val="16"/>
              </w:rPr>
            </w:pPr>
            <w:r w:rsidRPr="008A2E5A">
              <w:rPr>
                <w:color w:val="0070C0"/>
                <w:sz w:val="16"/>
                <w:szCs w:val="16"/>
              </w:rPr>
              <w:t>июнь-  ского  плана</w:t>
            </w:r>
          </w:p>
        </w:tc>
        <w:tc>
          <w:tcPr>
            <w:tcW w:w="962" w:type="dxa"/>
          </w:tcPr>
          <w:p w14:paraId="3A60C813" w14:textId="77777777" w:rsidR="00C01762" w:rsidRPr="008A2E5A" w:rsidRDefault="00C01762" w:rsidP="004C5D62">
            <w:pPr>
              <w:spacing w:after="0" w:line="240" w:lineRule="auto"/>
              <w:jc w:val="both"/>
              <w:rPr>
                <w:color w:val="0070C0"/>
                <w:sz w:val="16"/>
                <w:szCs w:val="16"/>
              </w:rPr>
            </w:pPr>
            <w:r w:rsidRPr="008A2E5A">
              <w:rPr>
                <w:color w:val="0070C0"/>
                <w:sz w:val="16"/>
                <w:szCs w:val="16"/>
              </w:rPr>
              <w:t>Отправлено за июнь</w:t>
            </w:r>
          </w:p>
        </w:tc>
        <w:tc>
          <w:tcPr>
            <w:tcW w:w="636" w:type="dxa"/>
          </w:tcPr>
          <w:p w14:paraId="2DE8604A" w14:textId="77777777" w:rsidR="00C01762" w:rsidRPr="008A2E5A" w:rsidRDefault="00C01762" w:rsidP="004C5D62">
            <w:pPr>
              <w:spacing w:after="0" w:line="240" w:lineRule="auto"/>
              <w:jc w:val="both"/>
              <w:rPr>
                <w:color w:val="0070C0"/>
                <w:sz w:val="16"/>
                <w:szCs w:val="16"/>
              </w:rPr>
            </w:pPr>
            <w:r w:rsidRPr="008A2E5A">
              <w:rPr>
                <w:color w:val="0070C0"/>
                <w:sz w:val="16"/>
                <w:szCs w:val="16"/>
              </w:rPr>
              <w:t>с начала года</w:t>
            </w:r>
          </w:p>
        </w:tc>
        <w:tc>
          <w:tcPr>
            <w:tcW w:w="857" w:type="dxa"/>
          </w:tcPr>
          <w:p w14:paraId="46C2B320" w14:textId="77777777" w:rsidR="00C01762" w:rsidRPr="008A2E5A" w:rsidRDefault="00C01762" w:rsidP="004C5D62">
            <w:pPr>
              <w:spacing w:after="0" w:line="240" w:lineRule="auto"/>
              <w:jc w:val="both"/>
              <w:rPr>
                <w:color w:val="0070C0"/>
                <w:sz w:val="16"/>
                <w:szCs w:val="16"/>
              </w:rPr>
            </w:pPr>
            <w:r w:rsidRPr="008A2E5A">
              <w:rPr>
                <w:color w:val="0070C0"/>
                <w:sz w:val="16"/>
                <w:szCs w:val="16"/>
              </w:rPr>
              <w:t>Остаток самолетов на заводе на 1 июля 1942 г.</w:t>
            </w:r>
          </w:p>
        </w:tc>
      </w:tr>
      <w:tr w:rsidR="00C01762" w:rsidRPr="008A2E5A" w14:paraId="53B4BEDC" w14:textId="77777777" w:rsidTr="004C5D62">
        <w:tc>
          <w:tcPr>
            <w:tcW w:w="1441" w:type="dxa"/>
          </w:tcPr>
          <w:p w14:paraId="6944A050" w14:textId="77777777" w:rsidR="00C01762" w:rsidRPr="008A2E5A" w:rsidRDefault="00C01762" w:rsidP="004C5D62">
            <w:pPr>
              <w:spacing w:after="0" w:line="240" w:lineRule="auto"/>
              <w:jc w:val="both"/>
              <w:rPr>
                <w:color w:val="0070C0"/>
                <w:sz w:val="16"/>
                <w:szCs w:val="16"/>
              </w:rPr>
            </w:pPr>
            <w:r w:rsidRPr="008A2E5A">
              <w:rPr>
                <w:color w:val="0070C0"/>
                <w:sz w:val="16"/>
                <w:szCs w:val="16"/>
              </w:rPr>
              <w:t>Бомбардировщики</w:t>
            </w:r>
          </w:p>
        </w:tc>
        <w:tc>
          <w:tcPr>
            <w:tcW w:w="758" w:type="dxa"/>
          </w:tcPr>
          <w:p w14:paraId="08C71720" w14:textId="77777777" w:rsidR="00C01762" w:rsidRPr="008A2E5A" w:rsidRDefault="00C01762" w:rsidP="004C5D62">
            <w:pPr>
              <w:spacing w:after="0" w:line="240" w:lineRule="auto"/>
              <w:jc w:val="both"/>
              <w:rPr>
                <w:color w:val="0070C0"/>
                <w:sz w:val="16"/>
                <w:szCs w:val="16"/>
              </w:rPr>
            </w:pPr>
          </w:p>
        </w:tc>
        <w:tc>
          <w:tcPr>
            <w:tcW w:w="680" w:type="dxa"/>
          </w:tcPr>
          <w:p w14:paraId="58CED5FA" w14:textId="77777777" w:rsidR="00C01762" w:rsidRPr="008A2E5A" w:rsidRDefault="00C01762" w:rsidP="004C5D62">
            <w:pPr>
              <w:spacing w:after="0" w:line="240" w:lineRule="auto"/>
              <w:jc w:val="both"/>
              <w:rPr>
                <w:color w:val="0070C0"/>
                <w:sz w:val="16"/>
                <w:szCs w:val="16"/>
              </w:rPr>
            </w:pPr>
          </w:p>
        </w:tc>
        <w:tc>
          <w:tcPr>
            <w:tcW w:w="859" w:type="dxa"/>
          </w:tcPr>
          <w:p w14:paraId="11F3D03C" w14:textId="77777777" w:rsidR="00C01762" w:rsidRPr="008A2E5A" w:rsidRDefault="00C01762" w:rsidP="004C5D62">
            <w:pPr>
              <w:spacing w:after="0" w:line="240" w:lineRule="auto"/>
              <w:jc w:val="both"/>
              <w:rPr>
                <w:color w:val="0070C0"/>
                <w:sz w:val="16"/>
                <w:szCs w:val="16"/>
              </w:rPr>
            </w:pPr>
          </w:p>
        </w:tc>
        <w:tc>
          <w:tcPr>
            <w:tcW w:w="585" w:type="dxa"/>
          </w:tcPr>
          <w:p w14:paraId="51883D4D" w14:textId="77777777" w:rsidR="00C01762" w:rsidRPr="008A2E5A" w:rsidRDefault="00C01762" w:rsidP="004C5D62">
            <w:pPr>
              <w:spacing w:after="0" w:line="240" w:lineRule="auto"/>
              <w:jc w:val="both"/>
              <w:rPr>
                <w:color w:val="0070C0"/>
                <w:sz w:val="16"/>
                <w:szCs w:val="16"/>
              </w:rPr>
            </w:pPr>
          </w:p>
        </w:tc>
        <w:tc>
          <w:tcPr>
            <w:tcW w:w="964" w:type="dxa"/>
          </w:tcPr>
          <w:p w14:paraId="72A492F4" w14:textId="77777777" w:rsidR="00C01762" w:rsidRPr="008A2E5A" w:rsidRDefault="00C01762" w:rsidP="004C5D62">
            <w:pPr>
              <w:spacing w:after="0" w:line="240" w:lineRule="auto"/>
              <w:jc w:val="both"/>
              <w:rPr>
                <w:color w:val="0070C0"/>
                <w:sz w:val="16"/>
                <w:szCs w:val="16"/>
              </w:rPr>
            </w:pPr>
          </w:p>
        </w:tc>
        <w:tc>
          <w:tcPr>
            <w:tcW w:w="715" w:type="dxa"/>
          </w:tcPr>
          <w:p w14:paraId="2EA68EA2" w14:textId="77777777" w:rsidR="00C01762" w:rsidRPr="008A2E5A" w:rsidRDefault="00C01762" w:rsidP="004C5D62">
            <w:pPr>
              <w:spacing w:after="0" w:line="240" w:lineRule="auto"/>
              <w:jc w:val="both"/>
              <w:rPr>
                <w:color w:val="0070C0"/>
                <w:sz w:val="16"/>
                <w:szCs w:val="16"/>
              </w:rPr>
            </w:pPr>
          </w:p>
        </w:tc>
        <w:tc>
          <w:tcPr>
            <w:tcW w:w="650" w:type="dxa"/>
          </w:tcPr>
          <w:p w14:paraId="46BA9738" w14:textId="77777777" w:rsidR="00C01762" w:rsidRPr="008A2E5A" w:rsidRDefault="00C01762" w:rsidP="004C5D62">
            <w:pPr>
              <w:spacing w:after="0" w:line="240" w:lineRule="auto"/>
              <w:jc w:val="both"/>
              <w:rPr>
                <w:color w:val="0070C0"/>
                <w:sz w:val="16"/>
                <w:szCs w:val="16"/>
              </w:rPr>
            </w:pPr>
          </w:p>
        </w:tc>
        <w:tc>
          <w:tcPr>
            <w:tcW w:w="976" w:type="dxa"/>
          </w:tcPr>
          <w:p w14:paraId="7F482C49" w14:textId="77777777" w:rsidR="00C01762" w:rsidRPr="008A2E5A" w:rsidRDefault="00C01762" w:rsidP="004C5D62">
            <w:pPr>
              <w:spacing w:after="0" w:line="240" w:lineRule="auto"/>
              <w:jc w:val="both"/>
              <w:rPr>
                <w:color w:val="0070C0"/>
                <w:sz w:val="16"/>
                <w:szCs w:val="16"/>
              </w:rPr>
            </w:pPr>
          </w:p>
        </w:tc>
        <w:tc>
          <w:tcPr>
            <w:tcW w:w="599" w:type="dxa"/>
          </w:tcPr>
          <w:p w14:paraId="0ED7F0C5" w14:textId="77777777" w:rsidR="00C01762" w:rsidRPr="008A2E5A" w:rsidRDefault="00C01762" w:rsidP="004C5D62">
            <w:pPr>
              <w:spacing w:after="0" w:line="240" w:lineRule="auto"/>
              <w:jc w:val="both"/>
              <w:rPr>
                <w:color w:val="0070C0"/>
                <w:sz w:val="16"/>
                <w:szCs w:val="16"/>
              </w:rPr>
            </w:pPr>
          </w:p>
        </w:tc>
        <w:tc>
          <w:tcPr>
            <w:tcW w:w="962" w:type="dxa"/>
          </w:tcPr>
          <w:p w14:paraId="0D3C7FF9" w14:textId="77777777" w:rsidR="00C01762" w:rsidRPr="008A2E5A" w:rsidRDefault="00C01762" w:rsidP="004C5D62">
            <w:pPr>
              <w:spacing w:after="0" w:line="240" w:lineRule="auto"/>
              <w:jc w:val="both"/>
              <w:rPr>
                <w:color w:val="0070C0"/>
                <w:sz w:val="16"/>
                <w:szCs w:val="16"/>
              </w:rPr>
            </w:pPr>
          </w:p>
        </w:tc>
        <w:tc>
          <w:tcPr>
            <w:tcW w:w="636" w:type="dxa"/>
          </w:tcPr>
          <w:p w14:paraId="65063518" w14:textId="77777777" w:rsidR="00C01762" w:rsidRPr="008A2E5A" w:rsidRDefault="00C01762" w:rsidP="004C5D62">
            <w:pPr>
              <w:spacing w:after="0" w:line="240" w:lineRule="auto"/>
              <w:jc w:val="both"/>
              <w:rPr>
                <w:color w:val="0070C0"/>
                <w:sz w:val="16"/>
                <w:szCs w:val="16"/>
              </w:rPr>
            </w:pPr>
          </w:p>
        </w:tc>
        <w:tc>
          <w:tcPr>
            <w:tcW w:w="857" w:type="dxa"/>
          </w:tcPr>
          <w:p w14:paraId="3A2FB80E" w14:textId="77777777" w:rsidR="00C01762" w:rsidRPr="008A2E5A" w:rsidRDefault="00C01762" w:rsidP="004C5D62">
            <w:pPr>
              <w:spacing w:after="0" w:line="240" w:lineRule="auto"/>
              <w:jc w:val="both"/>
              <w:rPr>
                <w:color w:val="0070C0"/>
                <w:sz w:val="16"/>
                <w:szCs w:val="16"/>
              </w:rPr>
            </w:pPr>
          </w:p>
        </w:tc>
      </w:tr>
      <w:tr w:rsidR="00C01762" w:rsidRPr="008A2E5A" w14:paraId="3E513F5D" w14:textId="77777777" w:rsidTr="004C5D62">
        <w:tc>
          <w:tcPr>
            <w:tcW w:w="1441" w:type="dxa"/>
          </w:tcPr>
          <w:p w14:paraId="580AEC97" w14:textId="77777777" w:rsidR="00C01762" w:rsidRPr="008A2E5A" w:rsidRDefault="00C01762" w:rsidP="004C5D62">
            <w:pPr>
              <w:spacing w:after="0" w:line="240" w:lineRule="auto"/>
              <w:jc w:val="both"/>
              <w:rPr>
                <w:color w:val="0070C0"/>
                <w:sz w:val="16"/>
                <w:szCs w:val="16"/>
              </w:rPr>
            </w:pPr>
            <w:r w:rsidRPr="008A2E5A">
              <w:rPr>
                <w:color w:val="0070C0"/>
                <w:sz w:val="16"/>
                <w:szCs w:val="16"/>
              </w:rPr>
              <w:t>1.</w:t>
            </w:r>
          </w:p>
        </w:tc>
        <w:tc>
          <w:tcPr>
            <w:tcW w:w="758" w:type="dxa"/>
          </w:tcPr>
          <w:p w14:paraId="3623418F" w14:textId="77777777" w:rsidR="00C01762" w:rsidRPr="008A2E5A" w:rsidRDefault="00C01762" w:rsidP="004C5D62">
            <w:pPr>
              <w:spacing w:after="0" w:line="240" w:lineRule="auto"/>
              <w:jc w:val="both"/>
              <w:rPr>
                <w:color w:val="0070C0"/>
                <w:sz w:val="16"/>
                <w:szCs w:val="16"/>
              </w:rPr>
            </w:pPr>
            <w:r w:rsidRPr="008A2E5A">
              <w:rPr>
                <w:color w:val="0070C0"/>
                <w:sz w:val="16"/>
                <w:szCs w:val="16"/>
              </w:rPr>
              <w:t>Пе-2</w:t>
            </w:r>
          </w:p>
        </w:tc>
        <w:tc>
          <w:tcPr>
            <w:tcW w:w="680" w:type="dxa"/>
          </w:tcPr>
          <w:p w14:paraId="0196E996" w14:textId="77777777" w:rsidR="00C01762" w:rsidRPr="008A2E5A" w:rsidRDefault="00C01762" w:rsidP="004C5D62">
            <w:pPr>
              <w:spacing w:after="0" w:line="240" w:lineRule="auto"/>
              <w:jc w:val="both"/>
              <w:rPr>
                <w:color w:val="0070C0"/>
                <w:sz w:val="16"/>
                <w:szCs w:val="16"/>
              </w:rPr>
            </w:pPr>
            <w:r w:rsidRPr="008A2E5A">
              <w:rPr>
                <w:color w:val="0070C0"/>
                <w:sz w:val="16"/>
                <w:szCs w:val="16"/>
              </w:rPr>
              <w:t>22</w:t>
            </w:r>
          </w:p>
        </w:tc>
        <w:tc>
          <w:tcPr>
            <w:tcW w:w="859" w:type="dxa"/>
          </w:tcPr>
          <w:p w14:paraId="158BE2C8" w14:textId="77777777" w:rsidR="00C01762" w:rsidRPr="008A2E5A" w:rsidRDefault="00C01762" w:rsidP="004C5D62">
            <w:pPr>
              <w:spacing w:after="0" w:line="240" w:lineRule="auto"/>
              <w:jc w:val="both"/>
              <w:rPr>
                <w:color w:val="0070C0"/>
                <w:sz w:val="16"/>
                <w:szCs w:val="16"/>
              </w:rPr>
            </w:pPr>
            <w:r w:rsidRPr="008A2E5A">
              <w:rPr>
                <w:color w:val="0070C0"/>
                <w:sz w:val="16"/>
                <w:szCs w:val="16"/>
              </w:rPr>
              <w:t>987</w:t>
            </w:r>
          </w:p>
        </w:tc>
        <w:tc>
          <w:tcPr>
            <w:tcW w:w="585" w:type="dxa"/>
          </w:tcPr>
          <w:p w14:paraId="3287CA7B" w14:textId="77777777" w:rsidR="00C01762" w:rsidRPr="008A2E5A" w:rsidRDefault="00C01762" w:rsidP="004C5D62">
            <w:pPr>
              <w:spacing w:after="0" w:line="240" w:lineRule="auto"/>
              <w:jc w:val="both"/>
              <w:rPr>
                <w:color w:val="0070C0"/>
                <w:sz w:val="16"/>
                <w:szCs w:val="16"/>
              </w:rPr>
            </w:pPr>
            <w:r w:rsidRPr="008A2E5A">
              <w:rPr>
                <w:color w:val="0070C0"/>
                <w:sz w:val="16"/>
                <w:szCs w:val="16"/>
              </w:rPr>
              <w:t>224</w:t>
            </w:r>
          </w:p>
        </w:tc>
        <w:tc>
          <w:tcPr>
            <w:tcW w:w="964" w:type="dxa"/>
          </w:tcPr>
          <w:p w14:paraId="1E6F9C07" w14:textId="77777777" w:rsidR="00C01762" w:rsidRPr="008A2E5A" w:rsidRDefault="00C01762" w:rsidP="004C5D62">
            <w:pPr>
              <w:spacing w:after="0" w:line="240" w:lineRule="auto"/>
              <w:jc w:val="both"/>
              <w:rPr>
                <w:color w:val="0070C0"/>
                <w:sz w:val="16"/>
                <w:szCs w:val="16"/>
              </w:rPr>
            </w:pPr>
            <w:r w:rsidRPr="008A2E5A">
              <w:rPr>
                <w:color w:val="0070C0"/>
                <w:sz w:val="16"/>
                <w:szCs w:val="16"/>
              </w:rPr>
              <w:t>790</w:t>
            </w:r>
          </w:p>
        </w:tc>
        <w:tc>
          <w:tcPr>
            <w:tcW w:w="715" w:type="dxa"/>
          </w:tcPr>
          <w:p w14:paraId="3AC17160" w14:textId="77777777" w:rsidR="00C01762" w:rsidRPr="008A2E5A" w:rsidRDefault="00C01762" w:rsidP="004C5D62">
            <w:pPr>
              <w:spacing w:after="0" w:line="240" w:lineRule="auto"/>
              <w:jc w:val="both"/>
              <w:rPr>
                <w:color w:val="0070C0"/>
                <w:sz w:val="16"/>
                <w:szCs w:val="16"/>
              </w:rPr>
            </w:pPr>
            <w:r w:rsidRPr="008A2E5A">
              <w:rPr>
                <w:color w:val="0070C0"/>
                <w:sz w:val="16"/>
                <w:szCs w:val="16"/>
              </w:rPr>
              <w:t>188</w:t>
            </w:r>
          </w:p>
        </w:tc>
        <w:tc>
          <w:tcPr>
            <w:tcW w:w="650" w:type="dxa"/>
          </w:tcPr>
          <w:p w14:paraId="2A27543E" w14:textId="77777777" w:rsidR="00C01762" w:rsidRPr="008A2E5A" w:rsidRDefault="00C01762" w:rsidP="004C5D62">
            <w:pPr>
              <w:spacing w:after="0" w:line="240" w:lineRule="auto"/>
              <w:jc w:val="both"/>
              <w:rPr>
                <w:color w:val="0070C0"/>
                <w:sz w:val="16"/>
                <w:szCs w:val="16"/>
              </w:rPr>
            </w:pPr>
            <w:r w:rsidRPr="008A2E5A">
              <w:rPr>
                <w:color w:val="0070C0"/>
                <w:sz w:val="16"/>
                <w:szCs w:val="16"/>
              </w:rPr>
              <w:t>257</w:t>
            </w:r>
          </w:p>
        </w:tc>
        <w:tc>
          <w:tcPr>
            <w:tcW w:w="976" w:type="dxa"/>
          </w:tcPr>
          <w:p w14:paraId="41D7A0F2" w14:textId="77777777" w:rsidR="00C01762" w:rsidRPr="008A2E5A" w:rsidRDefault="00C01762" w:rsidP="004C5D62">
            <w:pPr>
              <w:spacing w:after="0" w:line="240" w:lineRule="auto"/>
              <w:jc w:val="both"/>
              <w:rPr>
                <w:color w:val="0070C0"/>
                <w:sz w:val="16"/>
                <w:szCs w:val="16"/>
              </w:rPr>
            </w:pPr>
            <w:r w:rsidRPr="008A2E5A">
              <w:rPr>
                <w:color w:val="0070C0"/>
                <w:sz w:val="16"/>
                <w:szCs w:val="16"/>
              </w:rPr>
              <w:t>80,0</w:t>
            </w:r>
          </w:p>
        </w:tc>
        <w:tc>
          <w:tcPr>
            <w:tcW w:w="599" w:type="dxa"/>
          </w:tcPr>
          <w:p w14:paraId="08463644" w14:textId="77777777" w:rsidR="00C01762" w:rsidRPr="008A2E5A" w:rsidRDefault="00C01762" w:rsidP="004C5D62">
            <w:pPr>
              <w:spacing w:after="0" w:line="240" w:lineRule="auto"/>
              <w:jc w:val="both"/>
              <w:rPr>
                <w:color w:val="0070C0"/>
                <w:sz w:val="16"/>
                <w:szCs w:val="16"/>
              </w:rPr>
            </w:pPr>
            <w:r w:rsidRPr="008A2E5A">
              <w:rPr>
                <w:color w:val="0070C0"/>
                <w:sz w:val="16"/>
                <w:szCs w:val="16"/>
              </w:rPr>
              <w:t>83,9</w:t>
            </w:r>
          </w:p>
        </w:tc>
        <w:tc>
          <w:tcPr>
            <w:tcW w:w="962" w:type="dxa"/>
          </w:tcPr>
          <w:p w14:paraId="089C73B9" w14:textId="77777777" w:rsidR="00C01762" w:rsidRPr="008A2E5A" w:rsidRDefault="00C01762" w:rsidP="004C5D62">
            <w:pPr>
              <w:spacing w:after="0" w:line="240" w:lineRule="auto"/>
              <w:jc w:val="both"/>
              <w:rPr>
                <w:color w:val="0070C0"/>
                <w:sz w:val="16"/>
                <w:szCs w:val="16"/>
              </w:rPr>
            </w:pPr>
            <w:r w:rsidRPr="008A2E5A">
              <w:rPr>
                <w:color w:val="0070C0"/>
                <w:sz w:val="16"/>
                <w:szCs w:val="16"/>
              </w:rPr>
              <w:t>252</w:t>
            </w:r>
          </w:p>
        </w:tc>
        <w:tc>
          <w:tcPr>
            <w:tcW w:w="636" w:type="dxa"/>
          </w:tcPr>
          <w:p w14:paraId="75102957" w14:textId="77777777" w:rsidR="00C01762" w:rsidRPr="008A2E5A" w:rsidRDefault="00C01762" w:rsidP="004C5D62">
            <w:pPr>
              <w:spacing w:after="0" w:line="240" w:lineRule="auto"/>
              <w:jc w:val="both"/>
              <w:rPr>
                <w:color w:val="0070C0"/>
                <w:sz w:val="16"/>
                <w:szCs w:val="16"/>
              </w:rPr>
            </w:pPr>
            <w:r w:rsidRPr="008A2E5A">
              <w:rPr>
                <w:color w:val="0070C0"/>
                <w:sz w:val="16"/>
                <w:szCs w:val="16"/>
              </w:rPr>
              <w:t>767</w:t>
            </w:r>
          </w:p>
        </w:tc>
        <w:tc>
          <w:tcPr>
            <w:tcW w:w="857" w:type="dxa"/>
          </w:tcPr>
          <w:p w14:paraId="080EE419" w14:textId="77777777" w:rsidR="00C01762" w:rsidRPr="008A2E5A" w:rsidRDefault="00C01762" w:rsidP="004C5D62">
            <w:pPr>
              <w:spacing w:after="0" w:line="240" w:lineRule="auto"/>
              <w:jc w:val="both"/>
              <w:rPr>
                <w:color w:val="0070C0"/>
                <w:sz w:val="16"/>
                <w:szCs w:val="16"/>
              </w:rPr>
            </w:pPr>
            <w:r w:rsidRPr="008A2E5A">
              <w:rPr>
                <w:color w:val="0070C0"/>
                <w:sz w:val="16"/>
                <w:szCs w:val="16"/>
              </w:rPr>
              <w:t>50</w:t>
            </w:r>
          </w:p>
        </w:tc>
      </w:tr>
      <w:tr w:rsidR="00C01762" w:rsidRPr="008A2E5A" w14:paraId="749327AC" w14:textId="77777777" w:rsidTr="004C5D62">
        <w:tc>
          <w:tcPr>
            <w:tcW w:w="1441" w:type="dxa"/>
          </w:tcPr>
          <w:p w14:paraId="4DF8BA09" w14:textId="77777777" w:rsidR="00C01762" w:rsidRPr="008A2E5A" w:rsidRDefault="00C01762" w:rsidP="004C5D62">
            <w:pPr>
              <w:spacing w:after="0" w:line="240" w:lineRule="auto"/>
              <w:jc w:val="both"/>
              <w:rPr>
                <w:color w:val="0070C0"/>
                <w:sz w:val="16"/>
                <w:szCs w:val="16"/>
              </w:rPr>
            </w:pPr>
            <w:r w:rsidRPr="008A2E5A">
              <w:rPr>
                <w:color w:val="0070C0"/>
                <w:sz w:val="16"/>
                <w:szCs w:val="16"/>
              </w:rPr>
              <w:t>2.</w:t>
            </w:r>
          </w:p>
        </w:tc>
        <w:tc>
          <w:tcPr>
            <w:tcW w:w="758" w:type="dxa"/>
          </w:tcPr>
          <w:p w14:paraId="5A05D0A5" w14:textId="77777777" w:rsidR="00C01762" w:rsidRPr="008A2E5A" w:rsidRDefault="00C01762" w:rsidP="004C5D62">
            <w:pPr>
              <w:spacing w:after="0" w:line="240" w:lineRule="auto"/>
              <w:jc w:val="both"/>
              <w:rPr>
                <w:color w:val="0070C0"/>
                <w:sz w:val="16"/>
                <w:szCs w:val="16"/>
              </w:rPr>
            </w:pPr>
            <w:r w:rsidRPr="008A2E5A">
              <w:rPr>
                <w:color w:val="0070C0"/>
                <w:sz w:val="16"/>
                <w:szCs w:val="16"/>
              </w:rPr>
              <w:t>Пе-2</w:t>
            </w:r>
          </w:p>
        </w:tc>
        <w:tc>
          <w:tcPr>
            <w:tcW w:w="680" w:type="dxa"/>
          </w:tcPr>
          <w:p w14:paraId="2C2240EE" w14:textId="77777777" w:rsidR="00C01762" w:rsidRPr="008A2E5A" w:rsidRDefault="00C01762" w:rsidP="004C5D62">
            <w:pPr>
              <w:spacing w:after="0" w:line="240" w:lineRule="auto"/>
              <w:jc w:val="both"/>
              <w:rPr>
                <w:color w:val="0070C0"/>
                <w:sz w:val="16"/>
                <w:szCs w:val="16"/>
              </w:rPr>
            </w:pPr>
            <w:r w:rsidRPr="008A2E5A">
              <w:rPr>
                <w:color w:val="0070C0"/>
                <w:sz w:val="16"/>
                <w:szCs w:val="16"/>
              </w:rPr>
              <w:t>23</w:t>
            </w:r>
          </w:p>
        </w:tc>
        <w:tc>
          <w:tcPr>
            <w:tcW w:w="859" w:type="dxa"/>
          </w:tcPr>
          <w:p w14:paraId="3921AF05" w14:textId="77777777" w:rsidR="00C01762" w:rsidRPr="008A2E5A" w:rsidRDefault="00C01762" w:rsidP="004C5D62">
            <w:pPr>
              <w:spacing w:after="0" w:line="240" w:lineRule="auto"/>
              <w:jc w:val="both"/>
              <w:rPr>
                <w:color w:val="0070C0"/>
                <w:sz w:val="16"/>
                <w:szCs w:val="16"/>
              </w:rPr>
            </w:pPr>
          </w:p>
        </w:tc>
        <w:tc>
          <w:tcPr>
            <w:tcW w:w="585" w:type="dxa"/>
          </w:tcPr>
          <w:p w14:paraId="5C44345F" w14:textId="77777777" w:rsidR="00C01762" w:rsidRPr="008A2E5A" w:rsidRDefault="00C01762" w:rsidP="004C5D62">
            <w:pPr>
              <w:spacing w:after="0" w:line="240" w:lineRule="auto"/>
              <w:jc w:val="both"/>
              <w:rPr>
                <w:color w:val="0070C0"/>
                <w:sz w:val="16"/>
                <w:szCs w:val="16"/>
              </w:rPr>
            </w:pPr>
          </w:p>
        </w:tc>
        <w:tc>
          <w:tcPr>
            <w:tcW w:w="964" w:type="dxa"/>
          </w:tcPr>
          <w:p w14:paraId="3F9A0D62" w14:textId="77777777" w:rsidR="00C01762" w:rsidRPr="008A2E5A" w:rsidRDefault="00C01762" w:rsidP="004C5D62">
            <w:pPr>
              <w:spacing w:after="0" w:line="240" w:lineRule="auto"/>
              <w:jc w:val="both"/>
              <w:rPr>
                <w:color w:val="0070C0"/>
                <w:sz w:val="16"/>
                <w:szCs w:val="16"/>
              </w:rPr>
            </w:pPr>
            <w:r w:rsidRPr="008A2E5A">
              <w:rPr>
                <w:color w:val="0070C0"/>
                <w:sz w:val="16"/>
                <w:szCs w:val="16"/>
              </w:rPr>
              <w:t>9</w:t>
            </w:r>
          </w:p>
        </w:tc>
        <w:tc>
          <w:tcPr>
            <w:tcW w:w="715" w:type="dxa"/>
          </w:tcPr>
          <w:p w14:paraId="14003F85" w14:textId="77777777" w:rsidR="00C01762" w:rsidRPr="008A2E5A" w:rsidRDefault="00C01762" w:rsidP="004C5D62">
            <w:pPr>
              <w:spacing w:after="0" w:line="240" w:lineRule="auto"/>
              <w:jc w:val="both"/>
              <w:rPr>
                <w:color w:val="0070C0"/>
                <w:sz w:val="16"/>
                <w:szCs w:val="16"/>
              </w:rPr>
            </w:pPr>
          </w:p>
        </w:tc>
        <w:tc>
          <w:tcPr>
            <w:tcW w:w="650" w:type="dxa"/>
          </w:tcPr>
          <w:p w14:paraId="68919FC4" w14:textId="77777777" w:rsidR="00C01762" w:rsidRPr="008A2E5A" w:rsidRDefault="00C01762" w:rsidP="004C5D62">
            <w:pPr>
              <w:spacing w:after="0" w:line="240" w:lineRule="auto"/>
              <w:jc w:val="both"/>
              <w:rPr>
                <w:color w:val="0070C0"/>
                <w:sz w:val="16"/>
                <w:szCs w:val="16"/>
              </w:rPr>
            </w:pPr>
          </w:p>
        </w:tc>
        <w:tc>
          <w:tcPr>
            <w:tcW w:w="976" w:type="dxa"/>
          </w:tcPr>
          <w:p w14:paraId="35AB02DD" w14:textId="77777777" w:rsidR="00C01762" w:rsidRPr="008A2E5A" w:rsidRDefault="00C01762" w:rsidP="004C5D62">
            <w:pPr>
              <w:spacing w:after="0" w:line="240" w:lineRule="auto"/>
              <w:jc w:val="both"/>
              <w:rPr>
                <w:color w:val="0070C0"/>
                <w:sz w:val="16"/>
                <w:szCs w:val="16"/>
              </w:rPr>
            </w:pPr>
            <w:r w:rsidRPr="008A2E5A">
              <w:rPr>
                <w:color w:val="0070C0"/>
                <w:sz w:val="16"/>
                <w:szCs w:val="16"/>
              </w:rPr>
              <w:t>-</w:t>
            </w:r>
          </w:p>
        </w:tc>
        <w:tc>
          <w:tcPr>
            <w:tcW w:w="599" w:type="dxa"/>
          </w:tcPr>
          <w:p w14:paraId="7C9997E5" w14:textId="77777777" w:rsidR="00C01762" w:rsidRPr="008A2E5A" w:rsidRDefault="00C01762" w:rsidP="004C5D62">
            <w:pPr>
              <w:spacing w:after="0" w:line="240" w:lineRule="auto"/>
              <w:jc w:val="both"/>
              <w:rPr>
                <w:color w:val="0070C0"/>
                <w:sz w:val="16"/>
                <w:szCs w:val="16"/>
              </w:rPr>
            </w:pPr>
          </w:p>
        </w:tc>
        <w:tc>
          <w:tcPr>
            <w:tcW w:w="962" w:type="dxa"/>
          </w:tcPr>
          <w:p w14:paraId="2B653490" w14:textId="77777777" w:rsidR="00C01762" w:rsidRPr="008A2E5A" w:rsidRDefault="00C01762" w:rsidP="004C5D62">
            <w:pPr>
              <w:spacing w:after="0" w:line="240" w:lineRule="auto"/>
              <w:jc w:val="both"/>
              <w:rPr>
                <w:color w:val="0070C0"/>
                <w:sz w:val="16"/>
                <w:szCs w:val="16"/>
              </w:rPr>
            </w:pPr>
            <w:r w:rsidRPr="008A2E5A">
              <w:rPr>
                <w:color w:val="0070C0"/>
                <w:sz w:val="16"/>
                <w:szCs w:val="16"/>
              </w:rPr>
              <w:t>3</w:t>
            </w:r>
          </w:p>
        </w:tc>
        <w:tc>
          <w:tcPr>
            <w:tcW w:w="636" w:type="dxa"/>
          </w:tcPr>
          <w:p w14:paraId="649E4244" w14:textId="77777777" w:rsidR="00C01762" w:rsidRPr="008A2E5A" w:rsidRDefault="00C01762" w:rsidP="004C5D62">
            <w:pPr>
              <w:spacing w:after="0" w:line="240" w:lineRule="auto"/>
              <w:jc w:val="both"/>
              <w:rPr>
                <w:color w:val="0070C0"/>
                <w:sz w:val="16"/>
                <w:szCs w:val="16"/>
              </w:rPr>
            </w:pPr>
            <w:r w:rsidRPr="008A2E5A">
              <w:rPr>
                <w:color w:val="0070C0"/>
                <w:sz w:val="16"/>
                <w:szCs w:val="16"/>
              </w:rPr>
              <w:t>9</w:t>
            </w:r>
          </w:p>
        </w:tc>
        <w:tc>
          <w:tcPr>
            <w:tcW w:w="857" w:type="dxa"/>
          </w:tcPr>
          <w:p w14:paraId="26610F42" w14:textId="77777777" w:rsidR="00C01762" w:rsidRPr="008A2E5A" w:rsidRDefault="00C01762" w:rsidP="004C5D62">
            <w:pPr>
              <w:spacing w:after="0" w:line="240" w:lineRule="auto"/>
              <w:jc w:val="both"/>
              <w:rPr>
                <w:color w:val="0070C0"/>
                <w:sz w:val="16"/>
                <w:szCs w:val="16"/>
              </w:rPr>
            </w:pPr>
          </w:p>
        </w:tc>
      </w:tr>
      <w:tr w:rsidR="00C01762" w:rsidRPr="008A2E5A" w14:paraId="34B181FC" w14:textId="77777777" w:rsidTr="004C5D62">
        <w:tc>
          <w:tcPr>
            <w:tcW w:w="1441" w:type="dxa"/>
          </w:tcPr>
          <w:p w14:paraId="4C65E360" w14:textId="77777777" w:rsidR="00C01762" w:rsidRPr="008A2E5A" w:rsidRDefault="00C01762" w:rsidP="004C5D62">
            <w:pPr>
              <w:spacing w:after="0" w:line="240" w:lineRule="auto"/>
              <w:jc w:val="both"/>
              <w:rPr>
                <w:color w:val="0070C0"/>
                <w:sz w:val="16"/>
                <w:szCs w:val="16"/>
              </w:rPr>
            </w:pPr>
            <w:r w:rsidRPr="008A2E5A">
              <w:rPr>
                <w:color w:val="0070C0"/>
                <w:sz w:val="16"/>
                <w:szCs w:val="16"/>
              </w:rPr>
              <w:t>3.</w:t>
            </w:r>
          </w:p>
        </w:tc>
        <w:tc>
          <w:tcPr>
            <w:tcW w:w="758" w:type="dxa"/>
          </w:tcPr>
          <w:p w14:paraId="7BD0B74F" w14:textId="77777777" w:rsidR="00C01762" w:rsidRPr="008A2E5A" w:rsidRDefault="00C01762" w:rsidP="004C5D62">
            <w:pPr>
              <w:spacing w:after="0" w:line="240" w:lineRule="auto"/>
              <w:jc w:val="both"/>
              <w:rPr>
                <w:color w:val="0070C0"/>
                <w:sz w:val="16"/>
                <w:szCs w:val="16"/>
              </w:rPr>
            </w:pPr>
            <w:r w:rsidRPr="008A2E5A">
              <w:rPr>
                <w:color w:val="0070C0"/>
                <w:sz w:val="16"/>
                <w:szCs w:val="16"/>
              </w:rPr>
              <w:t>Пе-2</w:t>
            </w:r>
          </w:p>
        </w:tc>
        <w:tc>
          <w:tcPr>
            <w:tcW w:w="680" w:type="dxa"/>
          </w:tcPr>
          <w:p w14:paraId="11153EF3" w14:textId="77777777" w:rsidR="00C01762" w:rsidRPr="008A2E5A" w:rsidRDefault="00C01762" w:rsidP="004C5D62">
            <w:pPr>
              <w:spacing w:after="0" w:line="240" w:lineRule="auto"/>
              <w:jc w:val="both"/>
              <w:rPr>
                <w:color w:val="0070C0"/>
                <w:sz w:val="16"/>
                <w:szCs w:val="16"/>
              </w:rPr>
            </w:pPr>
            <w:r w:rsidRPr="008A2E5A">
              <w:rPr>
                <w:color w:val="0070C0"/>
                <w:sz w:val="16"/>
                <w:szCs w:val="16"/>
              </w:rPr>
              <w:t>39</w:t>
            </w:r>
          </w:p>
        </w:tc>
        <w:tc>
          <w:tcPr>
            <w:tcW w:w="859" w:type="dxa"/>
          </w:tcPr>
          <w:p w14:paraId="771C9D75" w14:textId="77777777" w:rsidR="00C01762" w:rsidRPr="008A2E5A" w:rsidRDefault="00C01762" w:rsidP="004C5D62">
            <w:pPr>
              <w:spacing w:after="0" w:line="240" w:lineRule="auto"/>
              <w:jc w:val="both"/>
              <w:rPr>
                <w:color w:val="0070C0"/>
                <w:sz w:val="16"/>
                <w:szCs w:val="16"/>
              </w:rPr>
            </w:pPr>
            <w:r w:rsidRPr="008A2E5A">
              <w:rPr>
                <w:color w:val="0070C0"/>
                <w:sz w:val="16"/>
                <w:szCs w:val="16"/>
              </w:rPr>
              <w:t>694</w:t>
            </w:r>
          </w:p>
        </w:tc>
        <w:tc>
          <w:tcPr>
            <w:tcW w:w="585" w:type="dxa"/>
          </w:tcPr>
          <w:p w14:paraId="1FD17FA7" w14:textId="77777777" w:rsidR="00C01762" w:rsidRPr="008A2E5A" w:rsidRDefault="00C01762" w:rsidP="004C5D62">
            <w:pPr>
              <w:spacing w:after="0" w:line="240" w:lineRule="auto"/>
              <w:jc w:val="both"/>
              <w:rPr>
                <w:color w:val="0070C0"/>
                <w:sz w:val="16"/>
                <w:szCs w:val="16"/>
              </w:rPr>
            </w:pPr>
            <w:r w:rsidRPr="008A2E5A">
              <w:rPr>
                <w:color w:val="0070C0"/>
                <w:sz w:val="16"/>
                <w:szCs w:val="16"/>
              </w:rPr>
              <w:t>145</w:t>
            </w:r>
          </w:p>
        </w:tc>
        <w:tc>
          <w:tcPr>
            <w:tcW w:w="964" w:type="dxa"/>
          </w:tcPr>
          <w:p w14:paraId="431ADDBE" w14:textId="77777777" w:rsidR="00C01762" w:rsidRPr="008A2E5A" w:rsidRDefault="00C01762" w:rsidP="004C5D62">
            <w:pPr>
              <w:spacing w:after="0" w:line="240" w:lineRule="auto"/>
              <w:jc w:val="both"/>
              <w:rPr>
                <w:color w:val="0070C0"/>
                <w:sz w:val="16"/>
                <w:szCs w:val="16"/>
              </w:rPr>
            </w:pPr>
            <w:r w:rsidRPr="008A2E5A">
              <w:rPr>
                <w:color w:val="0070C0"/>
                <w:sz w:val="16"/>
                <w:szCs w:val="16"/>
              </w:rPr>
              <w:t>361</w:t>
            </w:r>
          </w:p>
        </w:tc>
        <w:tc>
          <w:tcPr>
            <w:tcW w:w="715" w:type="dxa"/>
          </w:tcPr>
          <w:p w14:paraId="78B9A513" w14:textId="77777777" w:rsidR="00C01762" w:rsidRPr="008A2E5A" w:rsidRDefault="00C01762" w:rsidP="004C5D62">
            <w:pPr>
              <w:spacing w:after="0" w:line="240" w:lineRule="auto"/>
              <w:jc w:val="both"/>
              <w:rPr>
                <w:color w:val="0070C0"/>
                <w:sz w:val="16"/>
                <w:szCs w:val="16"/>
              </w:rPr>
            </w:pPr>
            <w:r w:rsidRPr="008A2E5A">
              <w:rPr>
                <w:color w:val="0070C0"/>
                <w:sz w:val="16"/>
                <w:szCs w:val="16"/>
              </w:rPr>
              <w:t>17</w:t>
            </w:r>
          </w:p>
        </w:tc>
        <w:tc>
          <w:tcPr>
            <w:tcW w:w="650" w:type="dxa"/>
          </w:tcPr>
          <w:p w14:paraId="04FECF0E" w14:textId="77777777" w:rsidR="00C01762" w:rsidRPr="008A2E5A" w:rsidRDefault="00C01762" w:rsidP="004C5D62">
            <w:pPr>
              <w:spacing w:after="0" w:line="240" w:lineRule="auto"/>
              <w:jc w:val="both"/>
              <w:rPr>
                <w:color w:val="0070C0"/>
                <w:sz w:val="16"/>
                <w:szCs w:val="16"/>
              </w:rPr>
            </w:pPr>
            <w:r w:rsidRPr="008A2E5A">
              <w:rPr>
                <w:color w:val="0070C0"/>
                <w:sz w:val="16"/>
                <w:szCs w:val="16"/>
              </w:rPr>
              <w:t>30</w:t>
            </w:r>
          </w:p>
        </w:tc>
        <w:tc>
          <w:tcPr>
            <w:tcW w:w="976" w:type="dxa"/>
          </w:tcPr>
          <w:p w14:paraId="3E59F705" w14:textId="77777777" w:rsidR="00C01762" w:rsidRPr="008A2E5A" w:rsidRDefault="00C01762" w:rsidP="004C5D62">
            <w:pPr>
              <w:spacing w:after="0" w:line="240" w:lineRule="auto"/>
              <w:jc w:val="both"/>
              <w:rPr>
                <w:color w:val="0070C0"/>
                <w:sz w:val="16"/>
                <w:szCs w:val="16"/>
              </w:rPr>
            </w:pPr>
            <w:r w:rsidRPr="008A2E5A">
              <w:rPr>
                <w:color w:val="0070C0"/>
                <w:sz w:val="16"/>
                <w:szCs w:val="16"/>
              </w:rPr>
              <w:t>57,9</w:t>
            </w:r>
          </w:p>
        </w:tc>
        <w:tc>
          <w:tcPr>
            <w:tcW w:w="599" w:type="dxa"/>
          </w:tcPr>
          <w:p w14:paraId="1C6657BB" w14:textId="77777777" w:rsidR="00C01762" w:rsidRPr="008A2E5A" w:rsidRDefault="00C01762" w:rsidP="004C5D62">
            <w:pPr>
              <w:spacing w:after="0" w:line="240" w:lineRule="auto"/>
              <w:jc w:val="both"/>
              <w:rPr>
                <w:color w:val="0070C0"/>
                <w:sz w:val="16"/>
                <w:szCs w:val="16"/>
              </w:rPr>
            </w:pPr>
            <w:r w:rsidRPr="008A2E5A">
              <w:rPr>
                <w:color w:val="0070C0"/>
                <w:sz w:val="16"/>
                <w:szCs w:val="16"/>
              </w:rPr>
              <w:t>35,1</w:t>
            </w:r>
          </w:p>
        </w:tc>
        <w:tc>
          <w:tcPr>
            <w:tcW w:w="962" w:type="dxa"/>
          </w:tcPr>
          <w:p w14:paraId="1D405D67" w14:textId="77777777" w:rsidR="00C01762" w:rsidRPr="008A2E5A" w:rsidRDefault="00C01762" w:rsidP="004C5D62">
            <w:pPr>
              <w:spacing w:after="0" w:line="240" w:lineRule="auto"/>
              <w:jc w:val="both"/>
              <w:rPr>
                <w:color w:val="0070C0"/>
                <w:sz w:val="16"/>
                <w:szCs w:val="16"/>
              </w:rPr>
            </w:pPr>
            <w:r w:rsidRPr="008A2E5A">
              <w:rPr>
                <w:color w:val="0070C0"/>
                <w:sz w:val="16"/>
                <w:szCs w:val="16"/>
              </w:rPr>
              <w:t>49</w:t>
            </w:r>
          </w:p>
        </w:tc>
        <w:tc>
          <w:tcPr>
            <w:tcW w:w="636" w:type="dxa"/>
          </w:tcPr>
          <w:p w14:paraId="494C024C" w14:textId="77777777" w:rsidR="00C01762" w:rsidRPr="008A2E5A" w:rsidRDefault="00C01762" w:rsidP="004C5D62">
            <w:pPr>
              <w:spacing w:after="0" w:line="240" w:lineRule="auto"/>
              <w:jc w:val="both"/>
              <w:rPr>
                <w:color w:val="0070C0"/>
                <w:sz w:val="16"/>
                <w:szCs w:val="16"/>
              </w:rPr>
            </w:pPr>
            <w:r w:rsidRPr="008A2E5A">
              <w:rPr>
                <w:color w:val="0070C0"/>
                <w:sz w:val="16"/>
                <w:szCs w:val="16"/>
              </w:rPr>
              <w:t>418</w:t>
            </w:r>
          </w:p>
        </w:tc>
        <w:tc>
          <w:tcPr>
            <w:tcW w:w="857" w:type="dxa"/>
          </w:tcPr>
          <w:p w14:paraId="0400FB33" w14:textId="77777777" w:rsidR="00C01762" w:rsidRPr="008A2E5A" w:rsidRDefault="00C01762" w:rsidP="004C5D62">
            <w:pPr>
              <w:spacing w:after="0" w:line="240" w:lineRule="auto"/>
              <w:jc w:val="both"/>
              <w:rPr>
                <w:color w:val="0070C0"/>
                <w:sz w:val="16"/>
                <w:szCs w:val="16"/>
              </w:rPr>
            </w:pPr>
            <w:r w:rsidRPr="008A2E5A">
              <w:rPr>
                <w:color w:val="0070C0"/>
                <w:sz w:val="16"/>
                <w:szCs w:val="16"/>
              </w:rPr>
              <w:t>1</w:t>
            </w:r>
          </w:p>
        </w:tc>
      </w:tr>
      <w:tr w:rsidR="00C01762" w:rsidRPr="008A2E5A" w14:paraId="491CAAA4" w14:textId="77777777" w:rsidTr="004C5D62">
        <w:tc>
          <w:tcPr>
            <w:tcW w:w="1441" w:type="dxa"/>
          </w:tcPr>
          <w:p w14:paraId="18D46BB4" w14:textId="77777777" w:rsidR="00C01762" w:rsidRPr="008A2E5A" w:rsidRDefault="00C01762" w:rsidP="004C5D62">
            <w:pPr>
              <w:spacing w:after="0" w:line="240" w:lineRule="auto"/>
              <w:jc w:val="both"/>
              <w:rPr>
                <w:color w:val="0070C0"/>
                <w:sz w:val="16"/>
                <w:szCs w:val="16"/>
              </w:rPr>
            </w:pPr>
            <w:r w:rsidRPr="008A2E5A">
              <w:rPr>
                <w:color w:val="0070C0"/>
                <w:sz w:val="16"/>
                <w:szCs w:val="16"/>
              </w:rPr>
              <w:t>4.</w:t>
            </w:r>
          </w:p>
        </w:tc>
        <w:tc>
          <w:tcPr>
            <w:tcW w:w="758" w:type="dxa"/>
          </w:tcPr>
          <w:p w14:paraId="283492FD" w14:textId="77777777" w:rsidR="00C01762" w:rsidRPr="008A2E5A" w:rsidRDefault="00C01762" w:rsidP="004C5D62">
            <w:pPr>
              <w:spacing w:after="0" w:line="240" w:lineRule="auto"/>
              <w:jc w:val="both"/>
              <w:rPr>
                <w:color w:val="0070C0"/>
                <w:sz w:val="16"/>
                <w:szCs w:val="16"/>
              </w:rPr>
            </w:pPr>
            <w:r w:rsidRPr="008A2E5A">
              <w:rPr>
                <w:color w:val="0070C0"/>
                <w:sz w:val="16"/>
                <w:szCs w:val="16"/>
              </w:rPr>
              <w:t>Пе-3</w:t>
            </w:r>
          </w:p>
        </w:tc>
        <w:tc>
          <w:tcPr>
            <w:tcW w:w="680" w:type="dxa"/>
          </w:tcPr>
          <w:p w14:paraId="03F7A90A" w14:textId="77777777" w:rsidR="00C01762" w:rsidRPr="008A2E5A" w:rsidRDefault="00C01762" w:rsidP="004C5D62">
            <w:pPr>
              <w:spacing w:after="0" w:line="240" w:lineRule="auto"/>
              <w:jc w:val="both"/>
              <w:rPr>
                <w:color w:val="0070C0"/>
                <w:sz w:val="16"/>
                <w:szCs w:val="16"/>
              </w:rPr>
            </w:pPr>
          </w:p>
        </w:tc>
        <w:tc>
          <w:tcPr>
            <w:tcW w:w="859" w:type="dxa"/>
          </w:tcPr>
          <w:p w14:paraId="4F1C8FCA" w14:textId="77777777" w:rsidR="00C01762" w:rsidRPr="008A2E5A" w:rsidRDefault="00C01762" w:rsidP="004C5D62">
            <w:pPr>
              <w:spacing w:after="0" w:line="240" w:lineRule="auto"/>
              <w:jc w:val="both"/>
              <w:rPr>
                <w:color w:val="0070C0"/>
                <w:sz w:val="16"/>
                <w:szCs w:val="16"/>
              </w:rPr>
            </w:pPr>
          </w:p>
        </w:tc>
        <w:tc>
          <w:tcPr>
            <w:tcW w:w="585" w:type="dxa"/>
          </w:tcPr>
          <w:p w14:paraId="15C52A34" w14:textId="77777777" w:rsidR="00C01762" w:rsidRPr="008A2E5A" w:rsidRDefault="00C01762" w:rsidP="004C5D62">
            <w:pPr>
              <w:spacing w:after="0" w:line="240" w:lineRule="auto"/>
              <w:jc w:val="both"/>
              <w:rPr>
                <w:color w:val="0070C0"/>
                <w:sz w:val="16"/>
                <w:szCs w:val="16"/>
              </w:rPr>
            </w:pPr>
          </w:p>
        </w:tc>
        <w:tc>
          <w:tcPr>
            <w:tcW w:w="964" w:type="dxa"/>
          </w:tcPr>
          <w:p w14:paraId="47F0BCFF" w14:textId="77777777" w:rsidR="00C01762" w:rsidRPr="008A2E5A" w:rsidRDefault="00C01762" w:rsidP="004C5D62">
            <w:pPr>
              <w:spacing w:after="0" w:line="240" w:lineRule="auto"/>
              <w:jc w:val="both"/>
              <w:rPr>
                <w:color w:val="0070C0"/>
                <w:sz w:val="16"/>
                <w:szCs w:val="16"/>
              </w:rPr>
            </w:pPr>
            <w:r w:rsidRPr="008A2E5A">
              <w:rPr>
                <w:color w:val="0070C0"/>
                <w:sz w:val="16"/>
                <w:szCs w:val="16"/>
              </w:rPr>
              <w:t>41</w:t>
            </w:r>
          </w:p>
        </w:tc>
        <w:tc>
          <w:tcPr>
            <w:tcW w:w="715" w:type="dxa"/>
          </w:tcPr>
          <w:p w14:paraId="798F4DA3" w14:textId="77777777" w:rsidR="00C01762" w:rsidRPr="008A2E5A" w:rsidRDefault="00C01762" w:rsidP="004C5D62">
            <w:pPr>
              <w:spacing w:after="0" w:line="240" w:lineRule="auto"/>
              <w:jc w:val="both"/>
              <w:rPr>
                <w:color w:val="0070C0"/>
                <w:sz w:val="16"/>
                <w:szCs w:val="16"/>
              </w:rPr>
            </w:pPr>
            <w:r w:rsidRPr="008A2E5A">
              <w:rPr>
                <w:color w:val="0070C0"/>
                <w:sz w:val="16"/>
                <w:szCs w:val="16"/>
              </w:rPr>
              <w:t>20</w:t>
            </w:r>
          </w:p>
        </w:tc>
        <w:tc>
          <w:tcPr>
            <w:tcW w:w="650" w:type="dxa"/>
          </w:tcPr>
          <w:p w14:paraId="09A25F9A" w14:textId="77777777" w:rsidR="00C01762" w:rsidRPr="008A2E5A" w:rsidRDefault="00C01762" w:rsidP="004C5D62">
            <w:pPr>
              <w:spacing w:after="0" w:line="240" w:lineRule="auto"/>
              <w:jc w:val="both"/>
              <w:rPr>
                <w:color w:val="0070C0"/>
                <w:sz w:val="16"/>
                <w:szCs w:val="16"/>
              </w:rPr>
            </w:pPr>
            <w:r w:rsidRPr="008A2E5A">
              <w:rPr>
                <w:color w:val="0070C0"/>
                <w:sz w:val="16"/>
                <w:szCs w:val="16"/>
              </w:rPr>
              <w:t>21</w:t>
            </w:r>
          </w:p>
        </w:tc>
        <w:tc>
          <w:tcPr>
            <w:tcW w:w="976" w:type="dxa"/>
          </w:tcPr>
          <w:p w14:paraId="353A5450" w14:textId="77777777" w:rsidR="00C01762" w:rsidRPr="008A2E5A" w:rsidRDefault="00C01762" w:rsidP="004C5D62">
            <w:pPr>
              <w:spacing w:after="0" w:line="240" w:lineRule="auto"/>
              <w:jc w:val="both"/>
              <w:rPr>
                <w:color w:val="0070C0"/>
                <w:sz w:val="16"/>
                <w:szCs w:val="16"/>
              </w:rPr>
            </w:pPr>
          </w:p>
        </w:tc>
        <w:tc>
          <w:tcPr>
            <w:tcW w:w="599" w:type="dxa"/>
          </w:tcPr>
          <w:p w14:paraId="19C151D6" w14:textId="77777777" w:rsidR="00C01762" w:rsidRPr="008A2E5A" w:rsidRDefault="00C01762" w:rsidP="004C5D62">
            <w:pPr>
              <w:spacing w:after="0" w:line="240" w:lineRule="auto"/>
              <w:jc w:val="both"/>
              <w:rPr>
                <w:color w:val="0070C0"/>
                <w:sz w:val="16"/>
                <w:szCs w:val="16"/>
              </w:rPr>
            </w:pPr>
          </w:p>
        </w:tc>
        <w:tc>
          <w:tcPr>
            <w:tcW w:w="962" w:type="dxa"/>
          </w:tcPr>
          <w:p w14:paraId="286D513D" w14:textId="77777777" w:rsidR="00C01762" w:rsidRPr="008A2E5A" w:rsidRDefault="00C01762" w:rsidP="004C5D62">
            <w:pPr>
              <w:spacing w:after="0" w:line="240" w:lineRule="auto"/>
              <w:jc w:val="both"/>
              <w:rPr>
                <w:color w:val="0070C0"/>
                <w:sz w:val="16"/>
                <w:szCs w:val="16"/>
              </w:rPr>
            </w:pPr>
            <w:r w:rsidRPr="008A2E5A">
              <w:rPr>
                <w:color w:val="0070C0"/>
                <w:sz w:val="16"/>
                <w:szCs w:val="16"/>
              </w:rPr>
              <w:t>40</w:t>
            </w:r>
          </w:p>
        </w:tc>
        <w:tc>
          <w:tcPr>
            <w:tcW w:w="636" w:type="dxa"/>
          </w:tcPr>
          <w:p w14:paraId="04D26A7B" w14:textId="77777777" w:rsidR="00C01762" w:rsidRPr="008A2E5A" w:rsidRDefault="00C01762" w:rsidP="004C5D62">
            <w:pPr>
              <w:spacing w:after="0" w:line="240" w:lineRule="auto"/>
              <w:jc w:val="both"/>
              <w:rPr>
                <w:color w:val="0070C0"/>
                <w:sz w:val="16"/>
                <w:szCs w:val="16"/>
              </w:rPr>
            </w:pPr>
            <w:r w:rsidRPr="008A2E5A">
              <w:rPr>
                <w:color w:val="0070C0"/>
                <w:sz w:val="16"/>
                <w:szCs w:val="16"/>
              </w:rPr>
              <w:t>41</w:t>
            </w:r>
          </w:p>
        </w:tc>
        <w:tc>
          <w:tcPr>
            <w:tcW w:w="857" w:type="dxa"/>
          </w:tcPr>
          <w:p w14:paraId="174B9194" w14:textId="77777777" w:rsidR="00C01762" w:rsidRPr="008A2E5A" w:rsidRDefault="00C01762" w:rsidP="004C5D62">
            <w:pPr>
              <w:spacing w:after="0" w:line="240" w:lineRule="auto"/>
              <w:jc w:val="both"/>
              <w:rPr>
                <w:color w:val="0070C0"/>
                <w:sz w:val="16"/>
                <w:szCs w:val="16"/>
              </w:rPr>
            </w:pPr>
            <w:r w:rsidRPr="008A2E5A">
              <w:rPr>
                <w:color w:val="0070C0"/>
                <w:sz w:val="16"/>
                <w:szCs w:val="16"/>
              </w:rPr>
              <w:t>0</w:t>
            </w:r>
          </w:p>
        </w:tc>
      </w:tr>
      <w:tr w:rsidR="00C01762" w:rsidRPr="008A2E5A" w14:paraId="7D38C6F3" w14:textId="77777777" w:rsidTr="004C5D62">
        <w:tc>
          <w:tcPr>
            <w:tcW w:w="1441" w:type="dxa"/>
          </w:tcPr>
          <w:p w14:paraId="6BCB212E" w14:textId="77777777" w:rsidR="00C01762" w:rsidRPr="008A2E5A" w:rsidRDefault="00C01762" w:rsidP="004C5D62">
            <w:pPr>
              <w:spacing w:after="0" w:line="240" w:lineRule="auto"/>
              <w:jc w:val="both"/>
              <w:rPr>
                <w:color w:val="0070C0"/>
                <w:sz w:val="16"/>
                <w:szCs w:val="16"/>
              </w:rPr>
            </w:pPr>
            <w:r w:rsidRPr="008A2E5A">
              <w:rPr>
                <w:color w:val="0070C0"/>
                <w:sz w:val="16"/>
                <w:szCs w:val="16"/>
              </w:rPr>
              <w:t>5.</w:t>
            </w:r>
          </w:p>
        </w:tc>
        <w:tc>
          <w:tcPr>
            <w:tcW w:w="758" w:type="dxa"/>
          </w:tcPr>
          <w:p w14:paraId="6AC4C61D" w14:textId="77777777" w:rsidR="00C01762" w:rsidRPr="008A2E5A" w:rsidRDefault="00C01762" w:rsidP="004C5D62">
            <w:pPr>
              <w:spacing w:after="0" w:line="240" w:lineRule="auto"/>
              <w:jc w:val="both"/>
              <w:rPr>
                <w:color w:val="0070C0"/>
                <w:sz w:val="16"/>
                <w:szCs w:val="16"/>
              </w:rPr>
            </w:pPr>
            <w:r w:rsidRPr="008A2E5A">
              <w:rPr>
                <w:color w:val="0070C0"/>
                <w:sz w:val="16"/>
                <w:szCs w:val="16"/>
              </w:rPr>
              <w:t>Ил-4</w:t>
            </w:r>
          </w:p>
        </w:tc>
        <w:tc>
          <w:tcPr>
            <w:tcW w:w="680" w:type="dxa"/>
          </w:tcPr>
          <w:p w14:paraId="19F12FAA" w14:textId="77777777" w:rsidR="00C01762" w:rsidRPr="008A2E5A" w:rsidRDefault="00C01762" w:rsidP="004C5D62">
            <w:pPr>
              <w:spacing w:after="0" w:line="240" w:lineRule="auto"/>
              <w:jc w:val="both"/>
              <w:rPr>
                <w:color w:val="0070C0"/>
                <w:sz w:val="16"/>
                <w:szCs w:val="16"/>
              </w:rPr>
            </w:pPr>
            <w:r w:rsidRPr="008A2E5A">
              <w:rPr>
                <w:color w:val="0070C0"/>
                <w:sz w:val="16"/>
                <w:szCs w:val="16"/>
              </w:rPr>
              <w:t>23</w:t>
            </w:r>
          </w:p>
        </w:tc>
        <w:tc>
          <w:tcPr>
            <w:tcW w:w="859" w:type="dxa"/>
          </w:tcPr>
          <w:p w14:paraId="54BE3A3D" w14:textId="77777777" w:rsidR="00C01762" w:rsidRPr="008A2E5A" w:rsidRDefault="00C01762" w:rsidP="004C5D62">
            <w:pPr>
              <w:spacing w:after="0" w:line="240" w:lineRule="auto"/>
              <w:jc w:val="both"/>
              <w:rPr>
                <w:color w:val="0070C0"/>
                <w:sz w:val="16"/>
                <w:szCs w:val="16"/>
              </w:rPr>
            </w:pPr>
            <w:r w:rsidRPr="008A2E5A">
              <w:rPr>
                <w:color w:val="0070C0"/>
                <w:sz w:val="16"/>
                <w:szCs w:val="16"/>
              </w:rPr>
              <w:t>7</w:t>
            </w:r>
          </w:p>
        </w:tc>
        <w:tc>
          <w:tcPr>
            <w:tcW w:w="585" w:type="dxa"/>
          </w:tcPr>
          <w:p w14:paraId="20CD19D1" w14:textId="77777777" w:rsidR="00C01762" w:rsidRPr="008A2E5A" w:rsidRDefault="00C01762" w:rsidP="004C5D62">
            <w:pPr>
              <w:spacing w:after="0" w:line="240" w:lineRule="auto"/>
              <w:jc w:val="both"/>
              <w:rPr>
                <w:color w:val="0070C0"/>
                <w:sz w:val="16"/>
                <w:szCs w:val="16"/>
              </w:rPr>
            </w:pPr>
            <w:r w:rsidRPr="008A2E5A">
              <w:rPr>
                <w:color w:val="0070C0"/>
                <w:sz w:val="16"/>
                <w:szCs w:val="16"/>
              </w:rPr>
              <w:t>5</w:t>
            </w:r>
          </w:p>
        </w:tc>
        <w:tc>
          <w:tcPr>
            <w:tcW w:w="964" w:type="dxa"/>
          </w:tcPr>
          <w:p w14:paraId="776430BA" w14:textId="77777777" w:rsidR="00C01762" w:rsidRPr="008A2E5A" w:rsidRDefault="00C01762" w:rsidP="004C5D62">
            <w:pPr>
              <w:spacing w:after="0" w:line="240" w:lineRule="auto"/>
              <w:jc w:val="both"/>
              <w:rPr>
                <w:color w:val="0070C0"/>
                <w:sz w:val="16"/>
                <w:szCs w:val="16"/>
              </w:rPr>
            </w:pPr>
            <w:r w:rsidRPr="008A2E5A">
              <w:rPr>
                <w:color w:val="0070C0"/>
                <w:sz w:val="16"/>
                <w:szCs w:val="16"/>
              </w:rPr>
              <w:t>6</w:t>
            </w:r>
          </w:p>
        </w:tc>
        <w:tc>
          <w:tcPr>
            <w:tcW w:w="715" w:type="dxa"/>
          </w:tcPr>
          <w:p w14:paraId="59AE4C8D" w14:textId="77777777" w:rsidR="00C01762" w:rsidRPr="008A2E5A" w:rsidRDefault="00C01762" w:rsidP="004C5D62">
            <w:pPr>
              <w:spacing w:after="0" w:line="240" w:lineRule="auto"/>
              <w:jc w:val="both"/>
              <w:rPr>
                <w:color w:val="0070C0"/>
                <w:sz w:val="16"/>
                <w:szCs w:val="16"/>
              </w:rPr>
            </w:pPr>
            <w:r w:rsidRPr="008A2E5A">
              <w:rPr>
                <w:color w:val="0070C0"/>
                <w:sz w:val="16"/>
                <w:szCs w:val="16"/>
              </w:rPr>
              <w:t>6</w:t>
            </w:r>
          </w:p>
        </w:tc>
        <w:tc>
          <w:tcPr>
            <w:tcW w:w="650" w:type="dxa"/>
          </w:tcPr>
          <w:p w14:paraId="0EBB962A" w14:textId="77777777" w:rsidR="00C01762" w:rsidRPr="008A2E5A" w:rsidRDefault="00C01762" w:rsidP="004C5D62">
            <w:pPr>
              <w:spacing w:after="0" w:line="240" w:lineRule="auto"/>
              <w:jc w:val="both"/>
              <w:rPr>
                <w:color w:val="0070C0"/>
                <w:sz w:val="16"/>
                <w:szCs w:val="16"/>
              </w:rPr>
            </w:pPr>
            <w:r w:rsidRPr="008A2E5A">
              <w:rPr>
                <w:color w:val="0070C0"/>
                <w:sz w:val="16"/>
                <w:szCs w:val="16"/>
              </w:rPr>
              <w:t>5</w:t>
            </w:r>
          </w:p>
        </w:tc>
        <w:tc>
          <w:tcPr>
            <w:tcW w:w="976" w:type="dxa"/>
          </w:tcPr>
          <w:p w14:paraId="4D7C9409" w14:textId="77777777" w:rsidR="00C01762" w:rsidRPr="008A2E5A" w:rsidRDefault="00C01762" w:rsidP="004C5D62">
            <w:pPr>
              <w:spacing w:after="0" w:line="240" w:lineRule="auto"/>
              <w:jc w:val="both"/>
              <w:rPr>
                <w:color w:val="0070C0"/>
                <w:sz w:val="16"/>
                <w:szCs w:val="16"/>
              </w:rPr>
            </w:pPr>
            <w:r w:rsidRPr="008A2E5A">
              <w:rPr>
                <w:color w:val="0070C0"/>
                <w:sz w:val="16"/>
                <w:szCs w:val="16"/>
              </w:rPr>
              <w:t>85,7</w:t>
            </w:r>
          </w:p>
        </w:tc>
        <w:tc>
          <w:tcPr>
            <w:tcW w:w="599" w:type="dxa"/>
          </w:tcPr>
          <w:p w14:paraId="3F4801C0" w14:textId="77777777" w:rsidR="00C01762" w:rsidRPr="008A2E5A" w:rsidRDefault="00C01762" w:rsidP="004C5D62">
            <w:pPr>
              <w:spacing w:after="0" w:line="240" w:lineRule="auto"/>
              <w:jc w:val="both"/>
              <w:rPr>
                <w:color w:val="0070C0"/>
                <w:sz w:val="16"/>
                <w:szCs w:val="16"/>
              </w:rPr>
            </w:pPr>
            <w:r w:rsidRPr="008A2E5A">
              <w:rPr>
                <w:color w:val="0070C0"/>
                <w:sz w:val="16"/>
                <w:szCs w:val="16"/>
              </w:rPr>
              <w:t>120,0</w:t>
            </w:r>
          </w:p>
        </w:tc>
        <w:tc>
          <w:tcPr>
            <w:tcW w:w="962" w:type="dxa"/>
          </w:tcPr>
          <w:p w14:paraId="4877EC7B" w14:textId="77777777" w:rsidR="00C01762" w:rsidRPr="008A2E5A" w:rsidRDefault="00C01762" w:rsidP="004C5D62">
            <w:pPr>
              <w:spacing w:after="0" w:line="240" w:lineRule="auto"/>
              <w:jc w:val="both"/>
              <w:rPr>
                <w:color w:val="0070C0"/>
                <w:sz w:val="16"/>
                <w:szCs w:val="16"/>
              </w:rPr>
            </w:pPr>
            <w:r w:rsidRPr="008A2E5A">
              <w:rPr>
                <w:color w:val="0070C0"/>
                <w:sz w:val="16"/>
                <w:szCs w:val="16"/>
              </w:rPr>
              <w:t>5</w:t>
            </w:r>
          </w:p>
        </w:tc>
        <w:tc>
          <w:tcPr>
            <w:tcW w:w="636" w:type="dxa"/>
          </w:tcPr>
          <w:p w14:paraId="3BB7FA55" w14:textId="77777777" w:rsidR="00C01762" w:rsidRPr="008A2E5A" w:rsidRDefault="00C01762" w:rsidP="004C5D62">
            <w:pPr>
              <w:spacing w:after="0" w:line="240" w:lineRule="auto"/>
              <w:jc w:val="both"/>
              <w:rPr>
                <w:color w:val="0070C0"/>
                <w:sz w:val="16"/>
                <w:szCs w:val="16"/>
              </w:rPr>
            </w:pPr>
            <w:r w:rsidRPr="008A2E5A">
              <w:rPr>
                <w:color w:val="0070C0"/>
                <w:sz w:val="16"/>
                <w:szCs w:val="16"/>
              </w:rPr>
              <w:t>5</w:t>
            </w:r>
          </w:p>
        </w:tc>
        <w:tc>
          <w:tcPr>
            <w:tcW w:w="857" w:type="dxa"/>
          </w:tcPr>
          <w:p w14:paraId="1C0B6BF1" w14:textId="77777777" w:rsidR="00C01762" w:rsidRPr="008A2E5A" w:rsidRDefault="00C01762" w:rsidP="004C5D62">
            <w:pPr>
              <w:spacing w:after="0" w:line="240" w:lineRule="auto"/>
              <w:jc w:val="both"/>
              <w:rPr>
                <w:color w:val="0070C0"/>
                <w:sz w:val="16"/>
                <w:szCs w:val="16"/>
              </w:rPr>
            </w:pPr>
            <w:r w:rsidRPr="008A2E5A">
              <w:rPr>
                <w:color w:val="0070C0"/>
                <w:sz w:val="16"/>
                <w:szCs w:val="16"/>
              </w:rPr>
              <w:t>1</w:t>
            </w:r>
          </w:p>
        </w:tc>
      </w:tr>
      <w:tr w:rsidR="00C01762" w:rsidRPr="008A2E5A" w14:paraId="2BD6A36A" w14:textId="77777777" w:rsidTr="004C5D62">
        <w:tc>
          <w:tcPr>
            <w:tcW w:w="1441" w:type="dxa"/>
          </w:tcPr>
          <w:p w14:paraId="063566A5" w14:textId="77777777" w:rsidR="00C01762" w:rsidRPr="008A2E5A" w:rsidRDefault="00C01762" w:rsidP="004C5D62">
            <w:pPr>
              <w:spacing w:after="0" w:line="240" w:lineRule="auto"/>
              <w:jc w:val="both"/>
              <w:rPr>
                <w:color w:val="0070C0"/>
                <w:sz w:val="16"/>
                <w:szCs w:val="16"/>
              </w:rPr>
            </w:pPr>
            <w:r w:rsidRPr="008A2E5A">
              <w:rPr>
                <w:color w:val="0070C0"/>
                <w:sz w:val="16"/>
                <w:szCs w:val="16"/>
              </w:rPr>
              <w:t>6.</w:t>
            </w:r>
          </w:p>
        </w:tc>
        <w:tc>
          <w:tcPr>
            <w:tcW w:w="758" w:type="dxa"/>
          </w:tcPr>
          <w:p w14:paraId="49AF7FEA" w14:textId="77777777" w:rsidR="00C01762" w:rsidRPr="008A2E5A" w:rsidRDefault="00C01762" w:rsidP="004C5D62">
            <w:pPr>
              <w:spacing w:after="0" w:line="240" w:lineRule="auto"/>
              <w:jc w:val="both"/>
              <w:rPr>
                <w:color w:val="0070C0"/>
                <w:sz w:val="16"/>
                <w:szCs w:val="16"/>
              </w:rPr>
            </w:pPr>
            <w:r w:rsidRPr="008A2E5A">
              <w:rPr>
                <w:color w:val="0070C0"/>
                <w:sz w:val="16"/>
                <w:szCs w:val="16"/>
              </w:rPr>
              <w:t>Ил-4</w:t>
            </w:r>
          </w:p>
        </w:tc>
        <w:tc>
          <w:tcPr>
            <w:tcW w:w="680" w:type="dxa"/>
          </w:tcPr>
          <w:p w14:paraId="6CCB01C8" w14:textId="77777777" w:rsidR="00C01762" w:rsidRPr="008A2E5A" w:rsidRDefault="00C01762" w:rsidP="004C5D62">
            <w:pPr>
              <w:spacing w:after="0" w:line="240" w:lineRule="auto"/>
              <w:jc w:val="both"/>
              <w:rPr>
                <w:color w:val="0070C0"/>
                <w:sz w:val="16"/>
                <w:szCs w:val="16"/>
              </w:rPr>
            </w:pPr>
            <w:r w:rsidRPr="008A2E5A">
              <w:rPr>
                <w:color w:val="0070C0"/>
                <w:sz w:val="16"/>
                <w:szCs w:val="16"/>
              </w:rPr>
              <w:t>126</w:t>
            </w:r>
          </w:p>
        </w:tc>
        <w:tc>
          <w:tcPr>
            <w:tcW w:w="859" w:type="dxa"/>
          </w:tcPr>
          <w:p w14:paraId="43104453" w14:textId="77777777" w:rsidR="00C01762" w:rsidRPr="008A2E5A" w:rsidRDefault="00C01762" w:rsidP="004C5D62">
            <w:pPr>
              <w:spacing w:after="0" w:line="240" w:lineRule="auto"/>
              <w:jc w:val="both"/>
              <w:rPr>
                <w:color w:val="0070C0"/>
                <w:sz w:val="16"/>
                <w:szCs w:val="16"/>
              </w:rPr>
            </w:pPr>
            <w:r w:rsidRPr="008A2E5A">
              <w:rPr>
                <w:color w:val="0070C0"/>
                <w:sz w:val="16"/>
                <w:szCs w:val="16"/>
              </w:rPr>
              <w:t>350</w:t>
            </w:r>
          </w:p>
        </w:tc>
        <w:tc>
          <w:tcPr>
            <w:tcW w:w="585" w:type="dxa"/>
          </w:tcPr>
          <w:p w14:paraId="621A08EE" w14:textId="77777777" w:rsidR="00C01762" w:rsidRPr="008A2E5A" w:rsidRDefault="00C01762" w:rsidP="004C5D62">
            <w:pPr>
              <w:spacing w:after="0" w:line="240" w:lineRule="auto"/>
              <w:jc w:val="both"/>
              <w:rPr>
                <w:color w:val="0070C0"/>
                <w:sz w:val="16"/>
                <w:szCs w:val="16"/>
              </w:rPr>
            </w:pPr>
            <w:r w:rsidRPr="008A2E5A">
              <w:rPr>
                <w:color w:val="0070C0"/>
                <w:sz w:val="16"/>
                <w:szCs w:val="16"/>
              </w:rPr>
              <w:t>66</w:t>
            </w:r>
          </w:p>
        </w:tc>
        <w:tc>
          <w:tcPr>
            <w:tcW w:w="964" w:type="dxa"/>
          </w:tcPr>
          <w:p w14:paraId="1BD57811" w14:textId="77777777" w:rsidR="00C01762" w:rsidRPr="008A2E5A" w:rsidRDefault="00C01762" w:rsidP="004C5D62">
            <w:pPr>
              <w:spacing w:after="0" w:line="240" w:lineRule="auto"/>
              <w:jc w:val="both"/>
              <w:rPr>
                <w:color w:val="0070C0"/>
                <w:sz w:val="16"/>
                <w:szCs w:val="16"/>
              </w:rPr>
            </w:pPr>
            <w:r w:rsidRPr="008A2E5A">
              <w:rPr>
                <w:color w:val="0070C0"/>
                <w:sz w:val="16"/>
                <w:szCs w:val="16"/>
              </w:rPr>
              <w:t>361</w:t>
            </w:r>
          </w:p>
        </w:tc>
        <w:tc>
          <w:tcPr>
            <w:tcW w:w="715" w:type="dxa"/>
          </w:tcPr>
          <w:p w14:paraId="676BE357" w14:textId="77777777" w:rsidR="00C01762" w:rsidRPr="008A2E5A" w:rsidRDefault="00C01762" w:rsidP="004C5D62">
            <w:pPr>
              <w:spacing w:after="0" w:line="240" w:lineRule="auto"/>
              <w:jc w:val="both"/>
              <w:rPr>
                <w:color w:val="0070C0"/>
                <w:sz w:val="16"/>
                <w:szCs w:val="16"/>
              </w:rPr>
            </w:pPr>
            <w:r w:rsidRPr="008A2E5A">
              <w:rPr>
                <w:color w:val="0070C0"/>
                <w:sz w:val="16"/>
                <w:szCs w:val="16"/>
              </w:rPr>
              <w:t>66</w:t>
            </w:r>
          </w:p>
        </w:tc>
        <w:tc>
          <w:tcPr>
            <w:tcW w:w="650" w:type="dxa"/>
          </w:tcPr>
          <w:p w14:paraId="30FD5F2B" w14:textId="77777777" w:rsidR="00C01762" w:rsidRPr="008A2E5A" w:rsidRDefault="00C01762" w:rsidP="004C5D62">
            <w:pPr>
              <w:spacing w:after="0" w:line="240" w:lineRule="auto"/>
              <w:jc w:val="both"/>
              <w:rPr>
                <w:color w:val="0070C0"/>
                <w:sz w:val="16"/>
                <w:szCs w:val="16"/>
              </w:rPr>
            </w:pPr>
            <w:r w:rsidRPr="008A2E5A">
              <w:rPr>
                <w:color w:val="0070C0"/>
                <w:sz w:val="16"/>
                <w:szCs w:val="16"/>
              </w:rPr>
              <w:t>56</w:t>
            </w:r>
          </w:p>
        </w:tc>
        <w:tc>
          <w:tcPr>
            <w:tcW w:w="976" w:type="dxa"/>
          </w:tcPr>
          <w:p w14:paraId="0338B0F1" w14:textId="77777777" w:rsidR="00C01762" w:rsidRPr="008A2E5A" w:rsidRDefault="00C01762" w:rsidP="004C5D62">
            <w:pPr>
              <w:spacing w:after="0" w:line="240" w:lineRule="auto"/>
              <w:jc w:val="both"/>
              <w:rPr>
                <w:color w:val="0070C0"/>
                <w:sz w:val="16"/>
                <w:szCs w:val="16"/>
              </w:rPr>
            </w:pPr>
            <w:r w:rsidRPr="008A2E5A">
              <w:rPr>
                <w:color w:val="0070C0"/>
                <w:sz w:val="16"/>
                <w:szCs w:val="16"/>
              </w:rPr>
              <w:t>103,2</w:t>
            </w:r>
          </w:p>
        </w:tc>
        <w:tc>
          <w:tcPr>
            <w:tcW w:w="599" w:type="dxa"/>
          </w:tcPr>
          <w:p w14:paraId="30E8C97F" w14:textId="77777777" w:rsidR="00C01762" w:rsidRPr="008A2E5A" w:rsidRDefault="00C01762" w:rsidP="004C5D62">
            <w:pPr>
              <w:spacing w:after="0" w:line="240" w:lineRule="auto"/>
              <w:jc w:val="both"/>
              <w:rPr>
                <w:color w:val="0070C0"/>
                <w:sz w:val="16"/>
                <w:szCs w:val="16"/>
              </w:rPr>
            </w:pPr>
            <w:r w:rsidRPr="008A2E5A">
              <w:rPr>
                <w:color w:val="0070C0"/>
                <w:sz w:val="16"/>
                <w:szCs w:val="16"/>
              </w:rPr>
              <w:t>100,0</w:t>
            </w:r>
          </w:p>
        </w:tc>
        <w:tc>
          <w:tcPr>
            <w:tcW w:w="962" w:type="dxa"/>
          </w:tcPr>
          <w:p w14:paraId="6D86CC9A" w14:textId="77777777" w:rsidR="00C01762" w:rsidRPr="008A2E5A" w:rsidRDefault="00C01762" w:rsidP="004C5D62">
            <w:pPr>
              <w:spacing w:after="0" w:line="240" w:lineRule="auto"/>
              <w:jc w:val="both"/>
              <w:rPr>
                <w:color w:val="0070C0"/>
                <w:sz w:val="16"/>
                <w:szCs w:val="16"/>
              </w:rPr>
            </w:pPr>
            <w:r w:rsidRPr="008A2E5A">
              <w:rPr>
                <w:color w:val="0070C0"/>
                <w:sz w:val="16"/>
                <w:szCs w:val="16"/>
              </w:rPr>
              <w:t>58</w:t>
            </w:r>
          </w:p>
        </w:tc>
        <w:tc>
          <w:tcPr>
            <w:tcW w:w="636" w:type="dxa"/>
          </w:tcPr>
          <w:p w14:paraId="67641B04" w14:textId="77777777" w:rsidR="00C01762" w:rsidRPr="008A2E5A" w:rsidRDefault="00C01762" w:rsidP="004C5D62">
            <w:pPr>
              <w:spacing w:after="0" w:line="240" w:lineRule="auto"/>
              <w:jc w:val="both"/>
              <w:rPr>
                <w:color w:val="0070C0"/>
                <w:sz w:val="16"/>
                <w:szCs w:val="16"/>
              </w:rPr>
            </w:pPr>
            <w:r w:rsidRPr="008A2E5A">
              <w:rPr>
                <w:color w:val="0070C0"/>
                <w:sz w:val="16"/>
                <w:szCs w:val="16"/>
              </w:rPr>
              <w:t>312</w:t>
            </w:r>
          </w:p>
        </w:tc>
        <w:tc>
          <w:tcPr>
            <w:tcW w:w="857" w:type="dxa"/>
          </w:tcPr>
          <w:p w14:paraId="066D5806" w14:textId="77777777" w:rsidR="00C01762" w:rsidRPr="008A2E5A" w:rsidRDefault="00C01762" w:rsidP="004C5D62">
            <w:pPr>
              <w:spacing w:after="0" w:line="240" w:lineRule="auto"/>
              <w:jc w:val="both"/>
              <w:rPr>
                <w:color w:val="0070C0"/>
                <w:sz w:val="16"/>
                <w:szCs w:val="16"/>
              </w:rPr>
            </w:pPr>
            <w:r w:rsidRPr="008A2E5A">
              <w:rPr>
                <w:color w:val="0070C0"/>
                <w:sz w:val="16"/>
                <w:szCs w:val="16"/>
              </w:rPr>
              <w:t>801*</w:t>
            </w:r>
          </w:p>
        </w:tc>
      </w:tr>
      <w:tr w:rsidR="00C01762" w:rsidRPr="008A2E5A" w14:paraId="2EA90352" w14:textId="77777777" w:rsidTr="004C5D62">
        <w:tc>
          <w:tcPr>
            <w:tcW w:w="1441" w:type="dxa"/>
          </w:tcPr>
          <w:p w14:paraId="6447ED0D" w14:textId="77777777" w:rsidR="00C01762" w:rsidRPr="008A2E5A" w:rsidRDefault="00C01762" w:rsidP="004C5D62">
            <w:pPr>
              <w:spacing w:after="0" w:line="240" w:lineRule="auto"/>
              <w:jc w:val="both"/>
              <w:rPr>
                <w:color w:val="0070C0"/>
                <w:sz w:val="16"/>
                <w:szCs w:val="16"/>
              </w:rPr>
            </w:pPr>
            <w:r w:rsidRPr="008A2E5A">
              <w:rPr>
                <w:color w:val="0070C0"/>
                <w:sz w:val="16"/>
                <w:szCs w:val="16"/>
              </w:rPr>
              <w:t>7.</w:t>
            </w:r>
          </w:p>
        </w:tc>
        <w:tc>
          <w:tcPr>
            <w:tcW w:w="758" w:type="dxa"/>
          </w:tcPr>
          <w:p w14:paraId="365DF9DE" w14:textId="77777777" w:rsidR="00C01762" w:rsidRPr="008A2E5A" w:rsidRDefault="00C01762" w:rsidP="004C5D62">
            <w:pPr>
              <w:spacing w:after="0" w:line="240" w:lineRule="auto"/>
              <w:jc w:val="both"/>
              <w:rPr>
                <w:color w:val="0070C0"/>
                <w:sz w:val="16"/>
                <w:szCs w:val="16"/>
              </w:rPr>
            </w:pPr>
            <w:r w:rsidRPr="008A2E5A">
              <w:rPr>
                <w:color w:val="0070C0"/>
                <w:sz w:val="16"/>
                <w:szCs w:val="16"/>
              </w:rPr>
              <w:t>Ту-2</w:t>
            </w:r>
          </w:p>
        </w:tc>
        <w:tc>
          <w:tcPr>
            <w:tcW w:w="680" w:type="dxa"/>
          </w:tcPr>
          <w:p w14:paraId="4E4793F0" w14:textId="77777777" w:rsidR="00C01762" w:rsidRPr="008A2E5A" w:rsidRDefault="00C01762" w:rsidP="004C5D62">
            <w:pPr>
              <w:spacing w:after="0" w:line="240" w:lineRule="auto"/>
              <w:jc w:val="both"/>
              <w:rPr>
                <w:color w:val="0070C0"/>
                <w:sz w:val="16"/>
                <w:szCs w:val="16"/>
              </w:rPr>
            </w:pPr>
            <w:r w:rsidRPr="008A2E5A">
              <w:rPr>
                <w:color w:val="0070C0"/>
                <w:sz w:val="16"/>
                <w:szCs w:val="16"/>
              </w:rPr>
              <w:t>166</w:t>
            </w:r>
          </w:p>
        </w:tc>
        <w:tc>
          <w:tcPr>
            <w:tcW w:w="859" w:type="dxa"/>
          </w:tcPr>
          <w:p w14:paraId="2B03334F" w14:textId="77777777" w:rsidR="00C01762" w:rsidRPr="008A2E5A" w:rsidRDefault="00C01762" w:rsidP="004C5D62">
            <w:pPr>
              <w:spacing w:after="0" w:line="240" w:lineRule="auto"/>
              <w:jc w:val="both"/>
              <w:rPr>
                <w:color w:val="0070C0"/>
                <w:sz w:val="16"/>
                <w:szCs w:val="16"/>
              </w:rPr>
            </w:pPr>
            <w:r w:rsidRPr="008A2E5A">
              <w:rPr>
                <w:color w:val="0070C0"/>
                <w:sz w:val="16"/>
                <w:szCs w:val="16"/>
              </w:rPr>
              <w:t>36</w:t>
            </w:r>
          </w:p>
        </w:tc>
        <w:tc>
          <w:tcPr>
            <w:tcW w:w="585" w:type="dxa"/>
          </w:tcPr>
          <w:p w14:paraId="34D41E5D" w14:textId="77777777" w:rsidR="00C01762" w:rsidRPr="008A2E5A" w:rsidRDefault="00C01762" w:rsidP="004C5D62">
            <w:pPr>
              <w:spacing w:after="0" w:line="240" w:lineRule="auto"/>
              <w:jc w:val="both"/>
              <w:rPr>
                <w:color w:val="0070C0"/>
                <w:sz w:val="16"/>
                <w:szCs w:val="16"/>
              </w:rPr>
            </w:pPr>
            <w:r w:rsidRPr="008A2E5A">
              <w:rPr>
                <w:color w:val="0070C0"/>
                <w:sz w:val="16"/>
                <w:szCs w:val="16"/>
              </w:rPr>
              <w:t>10</w:t>
            </w:r>
          </w:p>
        </w:tc>
        <w:tc>
          <w:tcPr>
            <w:tcW w:w="964" w:type="dxa"/>
          </w:tcPr>
          <w:p w14:paraId="489DA642" w14:textId="77777777" w:rsidR="00C01762" w:rsidRPr="008A2E5A" w:rsidRDefault="00C01762" w:rsidP="004C5D62">
            <w:pPr>
              <w:spacing w:after="0" w:line="240" w:lineRule="auto"/>
              <w:jc w:val="both"/>
              <w:rPr>
                <w:color w:val="0070C0"/>
                <w:sz w:val="16"/>
                <w:szCs w:val="16"/>
              </w:rPr>
            </w:pPr>
            <w:r w:rsidRPr="008A2E5A">
              <w:rPr>
                <w:color w:val="0070C0"/>
                <w:sz w:val="16"/>
                <w:szCs w:val="16"/>
              </w:rPr>
              <w:t>24</w:t>
            </w:r>
          </w:p>
        </w:tc>
        <w:tc>
          <w:tcPr>
            <w:tcW w:w="715" w:type="dxa"/>
          </w:tcPr>
          <w:p w14:paraId="63000EF6" w14:textId="77777777" w:rsidR="00C01762" w:rsidRPr="008A2E5A" w:rsidRDefault="00C01762" w:rsidP="004C5D62">
            <w:pPr>
              <w:spacing w:after="0" w:line="240" w:lineRule="auto"/>
              <w:jc w:val="both"/>
              <w:rPr>
                <w:color w:val="0070C0"/>
                <w:sz w:val="16"/>
                <w:szCs w:val="16"/>
              </w:rPr>
            </w:pPr>
            <w:r w:rsidRPr="008A2E5A">
              <w:rPr>
                <w:color w:val="0070C0"/>
                <w:sz w:val="16"/>
                <w:szCs w:val="16"/>
              </w:rPr>
              <w:t>11</w:t>
            </w:r>
          </w:p>
        </w:tc>
        <w:tc>
          <w:tcPr>
            <w:tcW w:w="650" w:type="dxa"/>
          </w:tcPr>
          <w:p w14:paraId="144ADD2B" w14:textId="77777777" w:rsidR="00C01762" w:rsidRPr="008A2E5A" w:rsidRDefault="00C01762" w:rsidP="004C5D62">
            <w:pPr>
              <w:spacing w:after="0" w:line="240" w:lineRule="auto"/>
              <w:jc w:val="both"/>
              <w:rPr>
                <w:color w:val="0070C0"/>
                <w:sz w:val="16"/>
                <w:szCs w:val="16"/>
              </w:rPr>
            </w:pPr>
            <w:r w:rsidRPr="008A2E5A">
              <w:rPr>
                <w:color w:val="0070C0"/>
                <w:sz w:val="16"/>
                <w:szCs w:val="16"/>
              </w:rPr>
              <w:t>0</w:t>
            </w:r>
          </w:p>
        </w:tc>
        <w:tc>
          <w:tcPr>
            <w:tcW w:w="976" w:type="dxa"/>
          </w:tcPr>
          <w:p w14:paraId="17138062" w14:textId="77777777" w:rsidR="00C01762" w:rsidRPr="008A2E5A" w:rsidRDefault="00C01762" w:rsidP="004C5D62">
            <w:pPr>
              <w:spacing w:after="0" w:line="240" w:lineRule="auto"/>
              <w:jc w:val="both"/>
              <w:rPr>
                <w:color w:val="0070C0"/>
                <w:sz w:val="16"/>
                <w:szCs w:val="16"/>
              </w:rPr>
            </w:pPr>
            <w:r w:rsidRPr="008A2E5A">
              <w:rPr>
                <w:color w:val="0070C0"/>
                <w:sz w:val="16"/>
                <w:szCs w:val="16"/>
              </w:rPr>
              <w:t>66,6</w:t>
            </w:r>
          </w:p>
        </w:tc>
        <w:tc>
          <w:tcPr>
            <w:tcW w:w="599" w:type="dxa"/>
          </w:tcPr>
          <w:p w14:paraId="6230E732" w14:textId="77777777" w:rsidR="00C01762" w:rsidRPr="008A2E5A" w:rsidRDefault="00C01762" w:rsidP="004C5D62">
            <w:pPr>
              <w:spacing w:after="0" w:line="240" w:lineRule="auto"/>
              <w:jc w:val="both"/>
              <w:rPr>
                <w:color w:val="0070C0"/>
                <w:sz w:val="16"/>
                <w:szCs w:val="16"/>
              </w:rPr>
            </w:pPr>
            <w:r w:rsidRPr="008A2E5A">
              <w:rPr>
                <w:color w:val="0070C0"/>
                <w:sz w:val="16"/>
                <w:szCs w:val="16"/>
              </w:rPr>
              <w:t>110,0</w:t>
            </w:r>
          </w:p>
        </w:tc>
        <w:tc>
          <w:tcPr>
            <w:tcW w:w="962" w:type="dxa"/>
          </w:tcPr>
          <w:p w14:paraId="092260D4" w14:textId="77777777" w:rsidR="00C01762" w:rsidRPr="008A2E5A" w:rsidRDefault="00C01762" w:rsidP="004C5D62">
            <w:pPr>
              <w:spacing w:after="0" w:line="240" w:lineRule="auto"/>
              <w:jc w:val="both"/>
              <w:rPr>
                <w:color w:val="0070C0"/>
                <w:sz w:val="16"/>
                <w:szCs w:val="16"/>
              </w:rPr>
            </w:pPr>
          </w:p>
        </w:tc>
        <w:tc>
          <w:tcPr>
            <w:tcW w:w="636" w:type="dxa"/>
          </w:tcPr>
          <w:p w14:paraId="06E95B91" w14:textId="77777777" w:rsidR="00C01762" w:rsidRPr="008A2E5A" w:rsidRDefault="00C01762" w:rsidP="004C5D62">
            <w:pPr>
              <w:spacing w:after="0" w:line="240" w:lineRule="auto"/>
              <w:jc w:val="both"/>
              <w:rPr>
                <w:color w:val="0070C0"/>
                <w:sz w:val="16"/>
                <w:szCs w:val="16"/>
              </w:rPr>
            </w:pPr>
            <w:r w:rsidRPr="008A2E5A">
              <w:rPr>
                <w:color w:val="0070C0"/>
                <w:sz w:val="16"/>
                <w:szCs w:val="16"/>
              </w:rPr>
              <w:t>3</w:t>
            </w:r>
          </w:p>
        </w:tc>
        <w:tc>
          <w:tcPr>
            <w:tcW w:w="857" w:type="dxa"/>
          </w:tcPr>
          <w:p w14:paraId="416A8625" w14:textId="77777777" w:rsidR="00C01762" w:rsidRPr="008A2E5A" w:rsidRDefault="00C01762" w:rsidP="004C5D62">
            <w:pPr>
              <w:spacing w:after="0" w:line="240" w:lineRule="auto"/>
              <w:jc w:val="both"/>
              <w:rPr>
                <w:color w:val="0070C0"/>
                <w:sz w:val="16"/>
                <w:szCs w:val="16"/>
              </w:rPr>
            </w:pPr>
            <w:r w:rsidRPr="008A2E5A">
              <w:rPr>
                <w:color w:val="0070C0"/>
                <w:sz w:val="16"/>
                <w:szCs w:val="16"/>
              </w:rPr>
              <w:t>21</w:t>
            </w:r>
          </w:p>
        </w:tc>
      </w:tr>
      <w:tr w:rsidR="00C01762" w:rsidRPr="008A2E5A" w14:paraId="5A92F1CF" w14:textId="77777777" w:rsidTr="004C5D62">
        <w:tc>
          <w:tcPr>
            <w:tcW w:w="1441" w:type="dxa"/>
          </w:tcPr>
          <w:p w14:paraId="24F13E60" w14:textId="77777777" w:rsidR="00C01762" w:rsidRPr="008A2E5A" w:rsidRDefault="00C01762" w:rsidP="004C5D62">
            <w:pPr>
              <w:spacing w:after="0" w:line="240" w:lineRule="auto"/>
              <w:jc w:val="both"/>
              <w:rPr>
                <w:color w:val="0070C0"/>
                <w:sz w:val="16"/>
                <w:szCs w:val="16"/>
              </w:rPr>
            </w:pPr>
            <w:r w:rsidRPr="008A2E5A">
              <w:rPr>
                <w:color w:val="0070C0"/>
                <w:sz w:val="16"/>
                <w:szCs w:val="16"/>
              </w:rPr>
              <w:lastRenderedPageBreak/>
              <w:t>8.</w:t>
            </w:r>
          </w:p>
        </w:tc>
        <w:tc>
          <w:tcPr>
            <w:tcW w:w="758" w:type="dxa"/>
          </w:tcPr>
          <w:p w14:paraId="55F2BDB1" w14:textId="77777777" w:rsidR="00C01762" w:rsidRPr="008A2E5A" w:rsidRDefault="00C01762" w:rsidP="004C5D62">
            <w:pPr>
              <w:spacing w:after="0" w:line="240" w:lineRule="auto"/>
              <w:jc w:val="both"/>
              <w:rPr>
                <w:color w:val="0070C0"/>
                <w:sz w:val="16"/>
                <w:szCs w:val="16"/>
              </w:rPr>
            </w:pPr>
            <w:r w:rsidRPr="008A2E5A">
              <w:rPr>
                <w:color w:val="0070C0"/>
                <w:sz w:val="16"/>
                <w:szCs w:val="16"/>
              </w:rPr>
              <w:t>ТБ-7</w:t>
            </w:r>
          </w:p>
        </w:tc>
        <w:tc>
          <w:tcPr>
            <w:tcW w:w="680" w:type="dxa"/>
          </w:tcPr>
          <w:p w14:paraId="5C6420D1" w14:textId="77777777" w:rsidR="00C01762" w:rsidRPr="008A2E5A" w:rsidRDefault="00C01762" w:rsidP="004C5D62">
            <w:pPr>
              <w:spacing w:after="0" w:line="240" w:lineRule="auto"/>
              <w:jc w:val="both"/>
              <w:rPr>
                <w:color w:val="0070C0"/>
                <w:sz w:val="16"/>
                <w:szCs w:val="16"/>
              </w:rPr>
            </w:pPr>
            <w:r w:rsidRPr="008A2E5A">
              <w:rPr>
                <w:color w:val="0070C0"/>
                <w:sz w:val="16"/>
                <w:szCs w:val="16"/>
              </w:rPr>
              <w:t>22</w:t>
            </w:r>
          </w:p>
        </w:tc>
        <w:tc>
          <w:tcPr>
            <w:tcW w:w="859" w:type="dxa"/>
          </w:tcPr>
          <w:p w14:paraId="084BD2E3" w14:textId="77777777" w:rsidR="00C01762" w:rsidRPr="008A2E5A" w:rsidRDefault="00C01762" w:rsidP="004C5D62">
            <w:pPr>
              <w:spacing w:after="0" w:line="240" w:lineRule="auto"/>
              <w:jc w:val="both"/>
              <w:rPr>
                <w:color w:val="0070C0"/>
                <w:sz w:val="16"/>
                <w:szCs w:val="16"/>
              </w:rPr>
            </w:pPr>
            <w:r w:rsidRPr="008A2E5A">
              <w:rPr>
                <w:color w:val="0070C0"/>
                <w:sz w:val="16"/>
                <w:szCs w:val="16"/>
              </w:rPr>
              <w:t>15</w:t>
            </w:r>
          </w:p>
        </w:tc>
        <w:tc>
          <w:tcPr>
            <w:tcW w:w="585" w:type="dxa"/>
          </w:tcPr>
          <w:p w14:paraId="5FE60396" w14:textId="77777777" w:rsidR="00C01762" w:rsidRPr="008A2E5A" w:rsidRDefault="00C01762" w:rsidP="004C5D62">
            <w:pPr>
              <w:spacing w:after="0" w:line="240" w:lineRule="auto"/>
              <w:jc w:val="both"/>
              <w:rPr>
                <w:color w:val="0070C0"/>
                <w:sz w:val="16"/>
                <w:szCs w:val="16"/>
              </w:rPr>
            </w:pPr>
            <w:r w:rsidRPr="008A2E5A">
              <w:rPr>
                <w:color w:val="0070C0"/>
                <w:sz w:val="16"/>
                <w:szCs w:val="16"/>
              </w:rPr>
              <w:t>4</w:t>
            </w:r>
          </w:p>
        </w:tc>
        <w:tc>
          <w:tcPr>
            <w:tcW w:w="964" w:type="dxa"/>
          </w:tcPr>
          <w:p w14:paraId="16248961" w14:textId="77777777" w:rsidR="00C01762" w:rsidRPr="008A2E5A" w:rsidRDefault="00C01762" w:rsidP="004C5D62">
            <w:pPr>
              <w:spacing w:after="0" w:line="240" w:lineRule="auto"/>
              <w:jc w:val="both"/>
              <w:rPr>
                <w:color w:val="0070C0"/>
                <w:sz w:val="16"/>
                <w:szCs w:val="16"/>
              </w:rPr>
            </w:pPr>
            <w:r w:rsidRPr="008A2E5A">
              <w:rPr>
                <w:color w:val="0070C0"/>
                <w:sz w:val="16"/>
                <w:szCs w:val="16"/>
              </w:rPr>
              <w:t>8</w:t>
            </w:r>
          </w:p>
        </w:tc>
        <w:tc>
          <w:tcPr>
            <w:tcW w:w="715" w:type="dxa"/>
          </w:tcPr>
          <w:p w14:paraId="12B719B2" w14:textId="77777777" w:rsidR="00C01762" w:rsidRPr="008A2E5A" w:rsidRDefault="00C01762" w:rsidP="004C5D62">
            <w:pPr>
              <w:spacing w:after="0" w:line="240" w:lineRule="auto"/>
              <w:jc w:val="both"/>
              <w:rPr>
                <w:color w:val="0070C0"/>
                <w:sz w:val="16"/>
                <w:szCs w:val="16"/>
              </w:rPr>
            </w:pPr>
            <w:r w:rsidRPr="008A2E5A">
              <w:rPr>
                <w:color w:val="0070C0"/>
                <w:sz w:val="16"/>
                <w:szCs w:val="16"/>
              </w:rPr>
              <w:t>4</w:t>
            </w:r>
          </w:p>
        </w:tc>
        <w:tc>
          <w:tcPr>
            <w:tcW w:w="650" w:type="dxa"/>
          </w:tcPr>
          <w:p w14:paraId="156171C5" w14:textId="77777777" w:rsidR="00C01762" w:rsidRPr="008A2E5A" w:rsidRDefault="00C01762" w:rsidP="004C5D62">
            <w:pPr>
              <w:spacing w:after="0" w:line="240" w:lineRule="auto"/>
              <w:jc w:val="both"/>
              <w:rPr>
                <w:color w:val="0070C0"/>
                <w:sz w:val="16"/>
                <w:szCs w:val="16"/>
              </w:rPr>
            </w:pPr>
            <w:r w:rsidRPr="008A2E5A">
              <w:rPr>
                <w:color w:val="0070C0"/>
                <w:sz w:val="16"/>
                <w:szCs w:val="16"/>
              </w:rPr>
              <w:t>4</w:t>
            </w:r>
          </w:p>
        </w:tc>
        <w:tc>
          <w:tcPr>
            <w:tcW w:w="976" w:type="dxa"/>
          </w:tcPr>
          <w:p w14:paraId="56565D92" w14:textId="77777777" w:rsidR="00C01762" w:rsidRPr="008A2E5A" w:rsidRDefault="00C01762" w:rsidP="004C5D62">
            <w:pPr>
              <w:spacing w:after="0" w:line="240" w:lineRule="auto"/>
              <w:jc w:val="both"/>
              <w:rPr>
                <w:color w:val="0070C0"/>
                <w:sz w:val="16"/>
                <w:szCs w:val="16"/>
              </w:rPr>
            </w:pPr>
            <w:r w:rsidRPr="008A2E5A">
              <w:rPr>
                <w:color w:val="0070C0"/>
                <w:sz w:val="16"/>
                <w:szCs w:val="16"/>
              </w:rPr>
              <w:t>53,3</w:t>
            </w:r>
          </w:p>
        </w:tc>
        <w:tc>
          <w:tcPr>
            <w:tcW w:w="599" w:type="dxa"/>
          </w:tcPr>
          <w:p w14:paraId="4A507D0F" w14:textId="77777777" w:rsidR="00C01762" w:rsidRPr="008A2E5A" w:rsidRDefault="00C01762" w:rsidP="004C5D62">
            <w:pPr>
              <w:spacing w:after="0" w:line="240" w:lineRule="auto"/>
              <w:jc w:val="both"/>
              <w:rPr>
                <w:color w:val="0070C0"/>
                <w:sz w:val="16"/>
                <w:szCs w:val="16"/>
              </w:rPr>
            </w:pPr>
            <w:r w:rsidRPr="008A2E5A">
              <w:rPr>
                <w:color w:val="0070C0"/>
                <w:sz w:val="16"/>
                <w:szCs w:val="16"/>
              </w:rPr>
              <w:t>100,0</w:t>
            </w:r>
          </w:p>
        </w:tc>
        <w:tc>
          <w:tcPr>
            <w:tcW w:w="962" w:type="dxa"/>
          </w:tcPr>
          <w:p w14:paraId="0CDA8C2F" w14:textId="77777777" w:rsidR="00C01762" w:rsidRPr="008A2E5A" w:rsidRDefault="00C01762" w:rsidP="004C5D62">
            <w:pPr>
              <w:spacing w:after="0" w:line="240" w:lineRule="auto"/>
              <w:jc w:val="both"/>
              <w:rPr>
                <w:color w:val="0070C0"/>
                <w:sz w:val="16"/>
                <w:szCs w:val="16"/>
              </w:rPr>
            </w:pPr>
            <w:r w:rsidRPr="008A2E5A">
              <w:rPr>
                <w:color w:val="0070C0"/>
                <w:sz w:val="16"/>
                <w:szCs w:val="16"/>
              </w:rPr>
              <w:t>4</w:t>
            </w:r>
          </w:p>
        </w:tc>
        <w:tc>
          <w:tcPr>
            <w:tcW w:w="636" w:type="dxa"/>
          </w:tcPr>
          <w:p w14:paraId="3740917C" w14:textId="77777777" w:rsidR="00C01762" w:rsidRPr="008A2E5A" w:rsidRDefault="00C01762" w:rsidP="004C5D62">
            <w:pPr>
              <w:spacing w:after="0" w:line="240" w:lineRule="auto"/>
              <w:jc w:val="both"/>
              <w:rPr>
                <w:color w:val="0070C0"/>
                <w:sz w:val="16"/>
                <w:szCs w:val="16"/>
              </w:rPr>
            </w:pPr>
            <w:r w:rsidRPr="008A2E5A">
              <w:rPr>
                <w:color w:val="0070C0"/>
                <w:sz w:val="16"/>
                <w:szCs w:val="16"/>
              </w:rPr>
              <w:t>8</w:t>
            </w:r>
          </w:p>
        </w:tc>
        <w:tc>
          <w:tcPr>
            <w:tcW w:w="857" w:type="dxa"/>
          </w:tcPr>
          <w:p w14:paraId="431A148B" w14:textId="77777777" w:rsidR="00C01762" w:rsidRPr="008A2E5A" w:rsidRDefault="00C01762" w:rsidP="004C5D62">
            <w:pPr>
              <w:spacing w:after="0" w:line="240" w:lineRule="auto"/>
              <w:jc w:val="both"/>
              <w:rPr>
                <w:color w:val="0070C0"/>
                <w:sz w:val="16"/>
                <w:szCs w:val="16"/>
              </w:rPr>
            </w:pPr>
            <w:r w:rsidRPr="008A2E5A">
              <w:rPr>
                <w:color w:val="0070C0"/>
                <w:sz w:val="16"/>
                <w:szCs w:val="16"/>
              </w:rPr>
              <w:t>4</w:t>
            </w:r>
          </w:p>
        </w:tc>
      </w:tr>
      <w:tr w:rsidR="00C01762" w:rsidRPr="008A2E5A" w14:paraId="160FEC0B" w14:textId="77777777" w:rsidTr="004C5D62">
        <w:tc>
          <w:tcPr>
            <w:tcW w:w="1441" w:type="dxa"/>
          </w:tcPr>
          <w:p w14:paraId="52537FD2" w14:textId="77777777" w:rsidR="00C01762" w:rsidRPr="008A2E5A" w:rsidRDefault="00C01762" w:rsidP="004C5D62">
            <w:pPr>
              <w:spacing w:after="0" w:line="240" w:lineRule="auto"/>
              <w:jc w:val="both"/>
              <w:rPr>
                <w:color w:val="0070C0"/>
                <w:sz w:val="16"/>
                <w:szCs w:val="16"/>
              </w:rPr>
            </w:pPr>
            <w:r w:rsidRPr="008A2E5A">
              <w:rPr>
                <w:color w:val="0070C0"/>
                <w:sz w:val="16"/>
                <w:szCs w:val="16"/>
              </w:rPr>
              <w:t>9.</w:t>
            </w:r>
          </w:p>
        </w:tc>
        <w:tc>
          <w:tcPr>
            <w:tcW w:w="758" w:type="dxa"/>
          </w:tcPr>
          <w:p w14:paraId="685B6B29" w14:textId="77777777" w:rsidR="00C01762" w:rsidRPr="008A2E5A" w:rsidRDefault="00C01762" w:rsidP="004C5D62">
            <w:pPr>
              <w:spacing w:after="0" w:line="240" w:lineRule="auto"/>
              <w:jc w:val="both"/>
              <w:rPr>
                <w:color w:val="0070C0"/>
                <w:sz w:val="16"/>
                <w:szCs w:val="16"/>
              </w:rPr>
            </w:pPr>
            <w:r w:rsidRPr="008A2E5A">
              <w:rPr>
                <w:color w:val="0070C0"/>
                <w:sz w:val="16"/>
                <w:szCs w:val="16"/>
              </w:rPr>
              <w:t>Су-2</w:t>
            </w:r>
          </w:p>
        </w:tc>
        <w:tc>
          <w:tcPr>
            <w:tcW w:w="680" w:type="dxa"/>
          </w:tcPr>
          <w:p w14:paraId="162AF5DD" w14:textId="77777777" w:rsidR="00C01762" w:rsidRPr="008A2E5A" w:rsidRDefault="00C01762" w:rsidP="004C5D62">
            <w:pPr>
              <w:spacing w:after="0" w:line="240" w:lineRule="auto"/>
              <w:jc w:val="both"/>
              <w:rPr>
                <w:color w:val="0070C0"/>
                <w:sz w:val="16"/>
                <w:szCs w:val="16"/>
              </w:rPr>
            </w:pPr>
            <w:r w:rsidRPr="008A2E5A">
              <w:rPr>
                <w:color w:val="0070C0"/>
                <w:sz w:val="16"/>
                <w:szCs w:val="16"/>
              </w:rPr>
              <w:t>135</w:t>
            </w:r>
          </w:p>
        </w:tc>
        <w:tc>
          <w:tcPr>
            <w:tcW w:w="859" w:type="dxa"/>
          </w:tcPr>
          <w:p w14:paraId="0926DD54" w14:textId="77777777" w:rsidR="00C01762" w:rsidRPr="008A2E5A" w:rsidRDefault="00C01762" w:rsidP="004C5D62">
            <w:pPr>
              <w:spacing w:after="0" w:line="240" w:lineRule="auto"/>
              <w:jc w:val="both"/>
              <w:rPr>
                <w:color w:val="0070C0"/>
                <w:sz w:val="16"/>
                <w:szCs w:val="16"/>
              </w:rPr>
            </w:pPr>
            <w:r w:rsidRPr="008A2E5A">
              <w:rPr>
                <w:color w:val="0070C0"/>
                <w:sz w:val="16"/>
                <w:szCs w:val="16"/>
              </w:rPr>
              <w:t>-</w:t>
            </w:r>
          </w:p>
        </w:tc>
        <w:tc>
          <w:tcPr>
            <w:tcW w:w="585" w:type="dxa"/>
          </w:tcPr>
          <w:p w14:paraId="3305A247" w14:textId="77777777" w:rsidR="00C01762" w:rsidRPr="008A2E5A" w:rsidRDefault="00C01762" w:rsidP="004C5D62">
            <w:pPr>
              <w:spacing w:after="0" w:line="240" w:lineRule="auto"/>
              <w:jc w:val="both"/>
              <w:rPr>
                <w:color w:val="0070C0"/>
                <w:sz w:val="16"/>
                <w:szCs w:val="16"/>
              </w:rPr>
            </w:pPr>
            <w:r w:rsidRPr="008A2E5A">
              <w:rPr>
                <w:color w:val="0070C0"/>
                <w:sz w:val="16"/>
                <w:szCs w:val="16"/>
              </w:rPr>
              <w:t>-</w:t>
            </w:r>
          </w:p>
        </w:tc>
        <w:tc>
          <w:tcPr>
            <w:tcW w:w="964" w:type="dxa"/>
          </w:tcPr>
          <w:p w14:paraId="7A2F518F" w14:textId="77777777" w:rsidR="00C01762" w:rsidRPr="008A2E5A" w:rsidRDefault="00C01762" w:rsidP="004C5D62">
            <w:pPr>
              <w:spacing w:after="0" w:line="240" w:lineRule="auto"/>
              <w:jc w:val="both"/>
              <w:rPr>
                <w:color w:val="0070C0"/>
                <w:sz w:val="16"/>
                <w:szCs w:val="16"/>
              </w:rPr>
            </w:pPr>
            <w:r w:rsidRPr="008A2E5A">
              <w:rPr>
                <w:color w:val="0070C0"/>
                <w:sz w:val="16"/>
                <w:szCs w:val="16"/>
              </w:rPr>
              <w:t>40</w:t>
            </w:r>
          </w:p>
        </w:tc>
        <w:tc>
          <w:tcPr>
            <w:tcW w:w="715" w:type="dxa"/>
          </w:tcPr>
          <w:p w14:paraId="0458DE01" w14:textId="77777777" w:rsidR="00C01762" w:rsidRPr="008A2E5A" w:rsidRDefault="00C01762" w:rsidP="004C5D62">
            <w:pPr>
              <w:spacing w:after="0" w:line="240" w:lineRule="auto"/>
              <w:jc w:val="both"/>
              <w:rPr>
                <w:color w:val="0070C0"/>
                <w:sz w:val="16"/>
                <w:szCs w:val="16"/>
              </w:rPr>
            </w:pPr>
            <w:r w:rsidRPr="008A2E5A">
              <w:rPr>
                <w:color w:val="0070C0"/>
                <w:sz w:val="16"/>
                <w:szCs w:val="16"/>
              </w:rPr>
              <w:t>-</w:t>
            </w:r>
          </w:p>
        </w:tc>
        <w:tc>
          <w:tcPr>
            <w:tcW w:w="650" w:type="dxa"/>
          </w:tcPr>
          <w:p w14:paraId="60497400" w14:textId="77777777" w:rsidR="00C01762" w:rsidRPr="008A2E5A" w:rsidRDefault="00C01762" w:rsidP="004C5D62">
            <w:pPr>
              <w:spacing w:after="0" w:line="240" w:lineRule="auto"/>
              <w:jc w:val="both"/>
              <w:rPr>
                <w:color w:val="0070C0"/>
                <w:sz w:val="16"/>
                <w:szCs w:val="16"/>
              </w:rPr>
            </w:pPr>
            <w:r w:rsidRPr="008A2E5A">
              <w:rPr>
                <w:color w:val="0070C0"/>
                <w:sz w:val="16"/>
                <w:szCs w:val="16"/>
              </w:rPr>
              <w:t>-</w:t>
            </w:r>
          </w:p>
        </w:tc>
        <w:tc>
          <w:tcPr>
            <w:tcW w:w="976" w:type="dxa"/>
          </w:tcPr>
          <w:p w14:paraId="7CF40135" w14:textId="77777777" w:rsidR="00C01762" w:rsidRPr="008A2E5A" w:rsidRDefault="00C01762" w:rsidP="004C5D62">
            <w:pPr>
              <w:spacing w:after="0" w:line="240" w:lineRule="auto"/>
              <w:jc w:val="both"/>
              <w:rPr>
                <w:color w:val="0070C0"/>
                <w:sz w:val="16"/>
                <w:szCs w:val="16"/>
              </w:rPr>
            </w:pPr>
            <w:r w:rsidRPr="008A2E5A">
              <w:rPr>
                <w:color w:val="0070C0"/>
                <w:sz w:val="16"/>
                <w:szCs w:val="16"/>
              </w:rPr>
              <w:t>-</w:t>
            </w:r>
          </w:p>
        </w:tc>
        <w:tc>
          <w:tcPr>
            <w:tcW w:w="599" w:type="dxa"/>
          </w:tcPr>
          <w:p w14:paraId="37DF4CF5" w14:textId="77777777" w:rsidR="00C01762" w:rsidRPr="008A2E5A" w:rsidRDefault="00C01762" w:rsidP="004C5D62">
            <w:pPr>
              <w:spacing w:after="0" w:line="240" w:lineRule="auto"/>
              <w:jc w:val="both"/>
              <w:rPr>
                <w:color w:val="0070C0"/>
                <w:sz w:val="16"/>
                <w:szCs w:val="16"/>
              </w:rPr>
            </w:pPr>
          </w:p>
        </w:tc>
        <w:tc>
          <w:tcPr>
            <w:tcW w:w="962" w:type="dxa"/>
          </w:tcPr>
          <w:p w14:paraId="0C9832D7" w14:textId="77777777" w:rsidR="00C01762" w:rsidRPr="008A2E5A" w:rsidRDefault="00C01762" w:rsidP="004C5D62">
            <w:pPr>
              <w:spacing w:after="0" w:line="240" w:lineRule="auto"/>
              <w:jc w:val="both"/>
              <w:rPr>
                <w:color w:val="0070C0"/>
                <w:sz w:val="16"/>
                <w:szCs w:val="16"/>
              </w:rPr>
            </w:pPr>
          </w:p>
        </w:tc>
        <w:tc>
          <w:tcPr>
            <w:tcW w:w="636" w:type="dxa"/>
          </w:tcPr>
          <w:p w14:paraId="45E321CB" w14:textId="77777777" w:rsidR="00C01762" w:rsidRPr="008A2E5A" w:rsidRDefault="00C01762" w:rsidP="004C5D62">
            <w:pPr>
              <w:spacing w:after="0" w:line="240" w:lineRule="auto"/>
              <w:jc w:val="both"/>
              <w:rPr>
                <w:color w:val="0070C0"/>
                <w:sz w:val="16"/>
                <w:szCs w:val="16"/>
              </w:rPr>
            </w:pPr>
            <w:r w:rsidRPr="008A2E5A">
              <w:rPr>
                <w:color w:val="0070C0"/>
                <w:sz w:val="16"/>
                <w:szCs w:val="16"/>
              </w:rPr>
              <w:t>55</w:t>
            </w:r>
          </w:p>
        </w:tc>
        <w:tc>
          <w:tcPr>
            <w:tcW w:w="857" w:type="dxa"/>
          </w:tcPr>
          <w:p w14:paraId="359451B9" w14:textId="77777777" w:rsidR="00C01762" w:rsidRPr="008A2E5A" w:rsidRDefault="00C01762" w:rsidP="004C5D62">
            <w:pPr>
              <w:spacing w:after="0" w:line="240" w:lineRule="auto"/>
              <w:jc w:val="both"/>
              <w:rPr>
                <w:color w:val="0070C0"/>
                <w:sz w:val="16"/>
                <w:szCs w:val="16"/>
              </w:rPr>
            </w:pPr>
          </w:p>
        </w:tc>
      </w:tr>
      <w:tr w:rsidR="00C01762" w:rsidRPr="008A2E5A" w14:paraId="1651A000" w14:textId="77777777" w:rsidTr="004C5D62">
        <w:tc>
          <w:tcPr>
            <w:tcW w:w="1441" w:type="dxa"/>
          </w:tcPr>
          <w:p w14:paraId="7BDF208F" w14:textId="77777777" w:rsidR="00C01762" w:rsidRPr="008A2E5A" w:rsidRDefault="00C01762" w:rsidP="004C5D62">
            <w:pPr>
              <w:spacing w:after="0" w:line="240" w:lineRule="auto"/>
              <w:jc w:val="both"/>
              <w:rPr>
                <w:color w:val="0070C0"/>
                <w:sz w:val="16"/>
                <w:szCs w:val="16"/>
              </w:rPr>
            </w:pPr>
            <w:r w:rsidRPr="008A2E5A">
              <w:rPr>
                <w:color w:val="0070C0"/>
                <w:sz w:val="16"/>
                <w:szCs w:val="16"/>
              </w:rPr>
              <w:t>Итого  бомбардировщиков</w:t>
            </w:r>
          </w:p>
        </w:tc>
        <w:tc>
          <w:tcPr>
            <w:tcW w:w="758" w:type="dxa"/>
          </w:tcPr>
          <w:p w14:paraId="39F1017D" w14:textId="77777777" w:rsidR="00C01762" w:rsidRPr="008A2E5A" w:rsidRDefault="00C01762" w:rsidP="004C5D62">
            <w:pPr>
              <w:spacing w:after="0" w:line="240" w:lineRule="auto"/>
              <w:jc w:val="both"/>
              <w:rPr>
                <w:color w:val="0070C0"/>
                <w:sz w:val="16"/>
                <w:szCs w:val="16"/>
              </w:rPr>
            </w:pPr>
          </w:p>
        </w:tc>
        <w:tc>
          <w:tcPr>
            <w:tcW w:w="680" w:type="dxa"/>
          </w:tcPr>
          <w:p w14:paraId="6DD2F5D8" w14:textId="77777777" w:rsidR="00C01762" w:rsidRPr="008A2E5A" w:rsidRDefault="00C01762" w:rsidP="004C5D62">
            <w:pPr>
              <w:spacing w:after="0" w:line="240" w:lineRule="auto"/>
              <w:jc w:val="both"/>
              <w:rPr>
                <w:color w:val="0070C0"/>
                <w:sz w:val="16"/>
                <w:szCs w:val="16"/>
              </w:rPr>
            </w:pPr>
          </w:p>
        </w:tc>
        <w:tc>
          <w:tcPr>
            <w:tcW w:w="859" w:type="dxa"/>
          </w:tcPr>
          <w:p w14:paraId="512E4CB7" w14:textId="77777777" w:rsidR="00C01762" w:rsidRPr="008A2E5A" w:rsidRDefault="00C01762" w:rsidP="004C5D62">
            <w:pPr>
              <w:spacing w:after="0" w:line="240" w:lineRule="auto"/>
              <w:jc w:val="both"/>
              <w:rPr>
                <w:color w:val="0070C0"/>
                <w:sz w:val="16"/>
                <w:szCs w:val="16"/>
              </w:rPr>
            </w:pPr>
            <w:r w:rsidRPr="008A2E5A">
              <w:rPr>
                <w:color w:val="0070C0"/>
                <w:sz w:val="16"/>
                <w:szCs w:val="16"/>
              </w:rPr>
              <w:t>2089</w:t>
            </w:r>
          </w:p>
        </w:tc>
        <w:tc>
          <w:tcPr>
            <w:tcW w:w="585" w:type="dxa"/>
          </w:tcPr>
          <w:p w14:paraId="7841DC06" w14:textId="77777777" w:rsidR="00C01762" w:rsidRPr="008A2E5A" w:rsidRDefault="00C01762" w:rsidP="004C5D62">
            <w:pPr>
              <w:spacing w:after="0" w:line="240" w:lineRule="auto"/>
              <w:jc w:val="both"/>
              <w:rPr>
                <w:color w:val="0070C0"/>
                <w:sz w:val="16"/>
                <w:szCs w:val="16"/>
              </w:rPr>
            </w:pPr>
            <w:r w:rsidRPr="008A2E5A">
              <w:rPr>
                <w:color w:val="0070C0"/>
                <w:sz w:val="16"/>
                <w:szCs w:val="16"/>
              </w:rPr>
              <w:t>454</w:t>
            </w:r>
          </w:p>
        </w:tc>
        <w:tc>
          <w:tcPr>
            <w:tcW w:w="964" w:type="dxa"/>
          </w:tcPr>
          <w:p w14:paraId="11A2C054" w14:textId="77777777" w:rsidR="00C01762" w:rsidRPr="008A2E5A" w:rsidRDefault="00C01762" w:rsidP="004C5D62">
            <w:pPr>
              <w:spacing w:after="0" w:line="240" w:lineRule="auto"/>
              <w:jc w:val="both"/>
              <w:rPr>
                <w:color w:val="0070C0"/>
                <w:sz w:val="16"/>
                <w:szCs w:val="16"/>
              </w:rPr>
            </w:pPr>
            <w:r w:rsidRPr="008A2E5A">
              <w:rPr>
                <w:color w:val="0070C0"/>
                <w:sz w:val="16"/>
                <w:szCs w:val="16"/>
              </w:rPr>
              <w:t>1640</w:t>
            </w:r>
          </w:p>
        </w:tc>
        <w:tc>
          <w:tcPr>
            <w:tcW w:w="715" w:type="dxa"/>
          </w:tcPr>
          <w:p w14:paraId="2BB90A98" w14:textId="77777777" w:rsidR="00C01762" w:rsidRPr="008A2E5A" w:rsidRDefault="00C01762" w:rsidP="004C5D62">
            <w:pPr>
              <w:spacing w:after="0" w:line="240" w:lineRule="auto"/>
              <w:jc w:val="both"/>
              <w:rPr>
                <w:color w:val="0070C0"/>
                <w:sz w:val="16"/>
                <w:szCs w:val="16"/>
              </w:rPr>
            </w:pPr>
            <w:r w:rsidRPr="008A2E5A">
              <w:rPr>
                <w:color w:val="0070C0"/>
                <w:sz w:val="16"/>
                <w:szCs w:val="16"/>
              </w:rPr>
              <w:t>312</w:t>
            </w:r>
          </w:p>
        </w:tc>
        <w:tc>
          <w:tcPr>
            <w:tcW w:w="650" w:type="dxa"/>
          </w:tcPr>
          <w:p w14:paraId="74D825E8" w14:textId="77777777" w:rsidR="00C01762" w:rsidRPr="008A2E5A" w:rsidRDefault="00C01762" w:rsidP="004C5D62">
            <w:pPr>
              <w:spacing w:after="0" w:line="240" w:lineRule="auto"/>
              <w:jc w:val="both"/>
              <w:rPr>
                <w:color w:val="0070C0"/>
                <w:sz w:val="16"/>
                <w:szCs w:val="16"/>
              </w:rPr>
            </w:pPr>
            <w:r w:rsidRPr="008A2E5A">
              <w:rPr>
                <w:color w:val="0070C0"/>
                <w:sz w:val="16"/>
                <w:szCs w:val="16"/>
              </w:rPr>
              <w:t>373</w:t>
            </w:r>
          </w:p>
        </w:tc>
        <w:tc>
          <w:tcPr>
            <w:tcW w:w="976" w:type="dxa"/>
          </w:tcPr>
          <w:p w14:paraId="23333A6E" w14:textId="77777777" w:rsidR="00C01762" w:rsidRPr="008A2E5A" w:rsidRDefault="00C01762" w:rsidP="004C5D62">
            <w:pPr>
              <w:spacing w:after="0" w:line="240" w:lineRule="auto"/>
              <w:jc w:val="both"/>
              <w:rPr>
                <w:color w:val="0070C0"/>
                <w:sz w:val="16"/>
                <w:szCs w:val="16"/>
              </w:rPr>
            </w:pPr>
            <w:r w:rsidRPr="008A2E5A">
              <w:rPr>
                <w:color w:val="0070C0"/>
                <w:sz w:val="16"/>
                <w:szCs w:val="16"/>
              </w:rPr>
              <w:t>78,8</w:t>
            </w:r>
          </w:p>
        </w:tc>
        <w:tc>
          <w:tcPr>
            <w:tcW w:w="599" w:type="dxa"/>
          </w:tcPr>
          <w:p w14:paraId="7F555F41" w14:textId="77777777" w:rsidR="00C01762" w:rsidRPr="008A2E5A" w:rsidRDefault="00C01762" w:rsidP="004C5D62">
            <w:pPr>
              <w:spacing w:after="0" w:line="240" w:lineRule="auto"/>
              <w:jc w:val="both"/>
              <w:rPr>
                <w:color w:val="0070C0"/>
                <w:sz w:val="16"/>
                <w:szCs w:val="16"/>
              </w:rPr>
            </w:pPr>
            <w:r w:rsidRPr="008A2E5A">
              <w:rPr>
                <w:color w:val="0070C0"/>
                <w:sz w:val="16"/>
                <w:szCs w:val="16"/>
              </w:rPr>
              <w:t>69,0</w:t>
            </w:r>
          </w:p>
        </w:tc>
        <w:tc>
          <w:tcPr>
            <w:tcW w:w="962" w:type="dxa"/>
          </w:tcPr>
          <w:p w14:paraId="093443E4" w14:textId="77777777" w:rsidR="00C01762" w:rsidRPr="008A2E5A" w:rsidRDefault="00C01762" w:rsidP="004C5D62">
            <w:pPr>
              <w:spacing w:after="0" w:line="240" w:lineRule="auto"/>
              <w:jc w:val="both"/>
              <w:rPr>
                <w:color w:val="0070C0"/>
                <w:sz w:val="16"/>
                <w:szCs w:val="16"/>
              </w:rPr>
            </w:pPr>
            <w:r w:rsidRPr="008A2E5A">
              <w:rPr>
                <w:color w:val="0070C0"/>
                <w:sz w:val="16"/>
                <w:szCs w:val="16"/>
              </w:rPr>
              <w:t>411</w:t>
            </w:r>
          </w:p>
        </w:tc>
        <w:tc>
          <w:tcPr>
            <w:tcW w:w="636" w:type="dxa"/>
          </w:tcPr>
          <w:p w14:paraId="351D3E4C" w14:textId="77777777" w:rsidR="00C01762" w:rsidRPr="008A2E5A" w:rsidRDefault="00C01762" w:rsidP="004C5D62">
            <w:pPr>
              <w:spacing w:after="0" w:line="240" w:lineRule="auto"/>
              <w:jc w:val="both"/>
              <w:rPr>
                <w:color w:val="0070C0"/>
                <w:sz w:val="16"/>
                <w:szCs w:val="16"/>
              </w:rPr>
            </w:pPr>
            <w:r w:rsidRPr="008A2E5A">
              <w:rPr>
                <w:color w:val="0070C0"/>
                <w:sz w:val="16"/>
                <w:szCs w:val="16"/>
              </w:rPr>
              <w:t>1618</w:t>
            </w:r>
          </w:p>
        </w:tc>
        <w:tc>
          <w:tcPr>
            <w:tcW w:w="857" w:type="dxa"/>
          </w:tcPr>
          <w:p w14:paraId="3DEBB37D" w14:textId="77777777" w:rsidR="00C01762" w:rsidRPr="008A2E5A" w:rsidRDefault="00C01762" w:rsidP="004C5D62">
            <w:pPr>
              <w:spacing w:after="0" w:line="240" w:lineRule="auto"/>
              <w:jc w:val="both"/>
              <w:rPr>
                <w:color w:val="0070C0"/>
                <w:sz w:val="16"/>
                <w:szCs w:val="16"/>
              </w:rPr>
            </w:pPr>
            <w:r w:rsidRPr="008A2E5A">
              <w:rPr>
                <w:color w:val="0070C0"/>
                <w:sz w:val="16"/>
                <w:szCs w:val="16"/>
              </w:rPr>
              <w:t>157</w:t>
            </w:r>
          </w:p>
        </w:tc>
      </w:tr>
      <w:tr w:rsidR="00C01762" w:rsidRPr="008A2E5A" w14:paraId="3B1FF336" w14:textId="77777777" w:rsidTr="004C5D62">
        <w:tc>
          <w:tcPr>
            <w:tcW w:w="1441" w:type="dxa"/>
          </w:tcPr>
          <w:p w14:paraId="5473CE74" w14:textId="77777777" w:rsidR="00C01762" w:rsidRPr="008A2E5A" w:rsidRDefault="00C01762" w:rsidP="004C5D62">
            <w:pPr>
              <w:spacing w:after="0" w:line="240" w:lineRule="auto"/>
              <w:jc w:val="both"/>
              <w:rPr>
                <w:color w:val="0070C0"/>
                <w:sz w:val="16"/>
                <w:szCs w:val="16"/>
              </w:rPr>
            </w:pPr>
            <w:r w:rsidRPr="008A2E5A">
              <w:rPr>
                <w:color w:val="0070C0"/>
                <w:sz w:val="16"/>
                <w:szCs w:val="16"/>
              </w:rPr>
              <w:t>Штурмовики</w:t>
            </w:r>
          </w:p>
        </w:tc>
        <w:tc>
          <w:tcPr>
            <w:tcW w:w="758" w:type="dxa"/>
          </w:tcPr>
          <w:p w14:paraId="79C429A7" w14:textId="77777777" w:rsidR="00C01762" w:rsidRPr="008A2E5A" w:rsidRDefault="00C01762" w:rsidP="004C5D62">
            <w:pPr>
              <w:spacing w:after="0" w:line="240" w:lineRule="auto"/>
              <w:jc w:val="both"/>
              <w:rPr>
                <w:color w:val="0070C0"/>
                <w:sz w:val="16"/>
                <w:szCs w:val="16"/>
              </w:rPr>
            </w:pPr>
          </w:p>
        </w:tc>
        <w:tc>
          <w:tcPr>
            <w:tcW w:w="680" w:type="dxa"/>
          </w:tcPr>
          <w:p w14:paraId="757EF2FC" w14:textId="77777777" w:rsidR="00C01762" w:rsidRPr="008A2E5A" w:rsidRDefault="00C01762" w:rsidP="004C5D62">
            <w:pPr>
              <w:spacing w:after="0" w:line="240" w:lineRule="auto"/>
              <w:jc w:val="both"/>
              <w:rPr>
                <w:color w:val="0070C0"/>
                <w:sz w:val="16"/>
                <w:szCs w:val="16"/>
              </w:rPr>
            </w:pPr>
          </w:p>
        </w:tc>
        <w:tc>
          <w:tcPr>
            <w:tcW w:w="859" w:type="dxa"/>
          </w:tcPr>
          <w:p w14:paraId="223CAF8D" w14:textId="77777777" w:rsidR="00C01762" w:rsidRPr="008A2E5A" w:rsidRDefault="00C01762" w:rsidP="004C5D62">
            <w:pPr>
              <w:spacing w:after="0" w:line="240" w:lineRule="auto"/>
              <w:jc w:val="both"/>
              <w:rPr>
                <w:color w:val="0070C0"/>
                <w:sz w:val="16"/>
                <w:szCs w:val="16"/>
              </w:rPr>
            </w:pPr>
          </w:p>
        </w:tc>
        <w:tc>
          <w:tcPr>
            <w:tcW w:w="585" w:type="dxa"/>
          </w:tcPr>
          <w:p w14:paraId="0D276D65" w14:textId="77777777" w:rsidR="00C01762" w:rsidRPr="008A2E5A" w:rsidRDefault="00C01762" w:rsidP="004C5D62">
            <w:pPr>
              <w:spacing w:after="0" w:line="240" w:lineRule="auto"/>
              <w:jc w:val="both"/>
              <w:rPr>
                <w:color w:val="0070C0"/>
                <w:sz w:val="16"/>
                <w:szCs w:val="16"/>
              </w:rPr>
            </w:pPr>
          </w:p>
        </w:tc>
        <w:tc>
          <w:tcPr>
            <w:tcW w:w="964" w:type="dxa"/>
          </w:tcPr>
          <w:p w14:paraId="3C9C85DF" w14:textId="77777777" w:rsidR="00C01762" w:rsidRPr="008A2E5A" w:rsidRDefault="00C01762" w:rsidP="004C5D62">
            <w:pPr>
              <w:spacing w:after="0" w:line="240" w:lineRule="auto"/>
              <w:jc w:val="both"/>
              <w:rPr>
                <w:color w:val="0070C0"/>
                <w:sz w:val="16"/>
                <w:szCs w:val="16"/>
              </w:rPr>
            </w:pPr>
          </w:p>
        </w:tc>
        <w:tc>
          <w:tcPr>
            <w:tcW w:w="715" w:type="dxa"/>
          </w:tcPr>
          <w:p w14:paraId="5BC88F1B" w14:textId="77777777" w:rsidR="00C01762" w:rsidRPr="008A2E5A" w:rsidRDefault="00C01762" w:rsidP="004C5D62">
            <w:pPr>
              <w:spacing w:after="0" w:line="240" w:lineRule="auto"/>
              <w:jc w:val="both"/>
              <w:rPr>
                <w:color w:val="0070C0"/>
                <w:sz w:val="16"/>
                <w:szCs w:val="16"/>
              </w:rPr>
            </w:pPr>
          </w:p>
        </w:tc>
        <w:tc>
          <w:tcPr>
            <w:tcW w:w="650" w:type="dxa"/>
          </w:tcPr>
          <w:p w14:paraId="3826E982" w14:textId="77777777" w:rsidR="00C01762" w:rsidRPr="008A2E5A" w:rsidRDefault="00C01762" w:rsidP="004C5D62">
            <w:pPr>
              <w:spacing w:after="0" w:line="240" w:lineRule="auto"/>
              <w:jc w:val="both"/>
              <w:rPr>
                <w:color w:val="0070C0"/>
                <w:sz w:val="16"/>
                <w:szCs w:val="16"/>
              </w:rPr>
            </w:pPr>
          </w:p>
        </w:tc>
        <w:tc>
          <w:tcPr>
            <w:tcW w:w="976" w:type="dxa"/>
          </w:tcPr>
          <w:p w14:paraId="47D8ECE1" w14:textId="77777777" w:rsidR="00C01762" w:rsidRPr="008A2E5A" w:rsidRDefault="00C01762" w:rsidP="004C5D62">
            <w:pPr>
              <w:spacing w:after="0" w:line="240" w:lineRule="auto"/>
              <w:jc w:val="both"/>
              <w:rPr>
                <w:color w:val="0070C0"/>
                <w:sz w:val="16"/>
                <w:szCs w:val="16"/>
              </w:rPr>
            </w:pPr>
          </w:p>
        </w:tc>
        <w:tc>
          <w:tcPr>
            <w:tcW w:w="599" w:type="dxa"/>
          </w:tcPr>
          <w:p w14:paraId="6804469B" w14:textId="77777777" w:rsidR="00C01762" w:rsidRPr="008A2E5A" w:rsidRDefault="00C01762" w:rsidP="004C5D62">
            <w:pPr>
              <w:spacing w:after="0" w:line="240" w:lineRule="auto"/>
              <w:jc w:val="both"/>
              <w:rPr>
                <w:color w:val="0070C0"/>
                <w:sz w:val="16"/>
                <w:szCs w:val="16"/>
              </w:rPr>
            </w:pPr>
          </w:p>
        </w:tc>
        <w:tc>
          <w:tcPr>
            <w:tcW w:w="962" w:type="dxa"/>
          </w:tcPr>
          <w:p w14:paraId="0715A478" w14:textId="77777777" w:rsidR="00C01762" w:rsidRPr="008A2E5A" w:rsidRDefault="00C01762" w:rsidP="004C5D62">
            <w:pPr>
              <w:spacing w:after="0" w:line="240" w:lineRule="auto"/>
              <w:jc w:val="both"/>
              <w:rPr>
                <w:color w:val="0070C0"/>
                <w:sz w:val="16"/>
                <w:szCs w:val="16"/>
              </w:rPr>
            </w:pPr>
          </w:p>
        </w:tc>
        <w:tc>
          <w:tcPr>
            <w:tcW w:w="636" w:type="dxa"/>
          </w:tcPr>
          <w:p w14:paraId="6453423E" w14:textId="77777777" w:rsidR="00C01762" w:rsidRPr="008A2E5A" w:rsidRDefault="00C01762" w:rsidP="004C5D62">
            <w:pPr>
              <w:spacing w:after="0" w:line="240" w:lineRule="auto"/>
              <w:jc w:val="both"/>
              <w:rPr>
                <w:color w:val="0070C0"/>
                <w:sz w:val="16"/>
                <w:szCs w:val="16"/>
              </w:rPr>
            </w:pPr>
          </w:p>
        </w:tc>
        <w:tc>
          <w:tcPr>
            <w:tcW w:w="857" w:type="dxa"/>
          </w:tcPr>
          <w:p w14:paraId="69213CA2" w14:textId="77777777" w:rsidR="00C01762" w:rsidRPr="008A2E5A" w:rsidRDefault="00C01762" w:rsidP="004C5D62">
            <w:pPr>
              <w:spacing w:after="0" w:line="240" w:lineRule="auto"/>
              <w:jc w:val="both"/>
              <w:rPr>
                <w:color w:val="0070C0"/>
                <w:sz w:val="16"/>
                <w:szCs w:val="16"/>
              </w:rPr>
            </w:pPr>
          </w:p>
        </w:tc>
      </w:tr>
      <w:tr w:rsidR="00C01762" w:rsidRPr="008A2E5A" w14:paraId="68606493" w14:textId="77777777" w:rsidTr="004C5D62">
        <w:tc>
          <w:tcPr>
            <w:tcW w:w="1441" w:type="dxa"/>
          </w:tcPr>
          <w:p w14:paraId="53C228B8" w14:textId="77777777" w:rsidR="00C01762" w:rsidRPr="008A2E5A" w:rsidRDefault="00C01762" w:rsidP="004C5D62">
            <w:pPr>
              <w:spacing w:after="0" w:line="240" w:lineRule="auto"/>
              <w:jc w:val="both"/>
              <w:rPr>
                <w:color w:val="0070C0"/>
                <w:sz w:val="16"/>
                <w:szCs w:val="16"/>
              </w:rPr>
            </w:pPr>
            <w:r w:rsidRPr="008A2E5A">
              <w:rPr>
                <w:color w:val="0070C0"/>
                <w:sz w:val="16"/>
                <w:szCs w:val="16"/>
              </w:rPr>
              <w:t>10.</w:t>
            </w:r>
          </w:p>
        </w:tc>
        <w:tc>
          <w:tcPr>
            <w:tcW w:w="758" w:type="dxa"/>
          </w:tcPr>
          <w:p w14:paraId="5AA10D55" w14:textId="77777777" w:rsidR="00C01762" w:rsidRPr="008A2E5A" w:rsidRDefault="00C01762" w:rsidP="004C5D62">
            <w:pPr>
              <w:spacing w:after="0" w:line="240" w:lineRule="auto"/>
              <w:jc w:val="both"/>
              <w:rPr>
                <w:color w:val="0070C0"/>
                <w:sz w:val="16"/>
                <w:szCs w:val="16"/>
              </w:rPr>
            </w:pPr>
            <w:r w:rsidRPr="008A2E5A">
              <w:rPr>
                <w:color w:val="0070C0"/>
                <w:sz w:val="16"/>
                <w:szCs w:val="16"/>
              </w:rPr>
              <w:t>Ил-2</w:t>
            </w:r>
          </w:p>
        </w:tc>
        <w:tc>
          <w:tcPr>
            <w:tcW w:w="680" w:type="dxa"/>
          </w:tcPr>
          <w:p w14:paraId="6F8964B2" w14:textId="77777777" w:rsidR="00C01762" w:rsidRPr="008A2E5A" w:rsidRDefault="00C01762" w:rsidP="004C5D62">
            <w:pPr>
              <w:spacing w:after="0" w:line="240" w:lineRule="auto"/>
              <w:jc w:val="both"/>
              <w:rPr>
                <w:color w:val="0070C0"/>
                <w:sz w:val="16"/>
                <w:szCs w:val="16"/>
              </w:rPr>
            </w:pPr>
            <w:r w:rsidRPr="008A2E5A">
              <w:rPr>
                <w:color w:val="0070C0"/>
                <w:sz w:val="16"/>
                <w:szCs w:val="16"/>
              </w:rPr>
              <w:t>1</w:t>
            </w:r>
          </w:p>
        </w:tc>
        <w:tc>
          <w:tcPr>
            <w:tcW w:w="859" w:type="dxa"/>
          </w:tcPr>
          <w:p w14:paraId="04E8F34F" w14:textId="77777777" w:rsidR="00C01762" w:rsidRPr="008A2E5A" w:rsidRDefault="00C01762" w:rsidP="004C5D62">
            <w:pPr>
              <w:spacing w:after="0" w:line="240" w:lineRule="auto"/>
              <w:jc w:val="both"/>
              <w:rPr>
                <w:color w:val="0070C0"/>
                <w:sz w:val="16"/>
                <w:szCs w:val="16"/>
              </w:rPr>
            </w:pPr>
            <w:r w:rsidRPr="008A2E5A">
              <w:rPr>
                <w:color w:val="0070C0"/>
                <w:sz w:val="16"/>
                <w:szCs w:val="16"/>
              </w:rPr>
              <w:t>1030</w:t>
            </w:r>
          </w:p>
        </w:tc>
        <w:tc>
          <w:tcPr>
            <w:tcW w:w="585" w:type="dxa"/>
          </w:tcPr>
          <w:p w14:paraId="77CACDE0" w14:textId="77777777" w:rsidR="00C01762" w:rsidRPr="008A2E5A" w:rsidRDefault="00C01762" w:rsidP="004C5D62">
            <w:pPr>
              <w:spacing w:after="0" w:line="240" w:lineRule="auto"/>
              <w:jc w:val="both"/>
              <w:rPr>
                <w:color w:val="0070C0"/>
                <w:sz w:val="16"/>
                <w:szCs w:val="16"/>
              </w:rPr>
            </w:pPr>
            <w:r w:rsidRPr="008A2E5A">
              <w:rPr>
                <w:color w:val="0070C0"/>
                <w:sz w:val="16"/>
                <w:szCs w:val="16"/>
              </w:rPr>
              <w:t>310</w:t>
            </w:r>
          </w:p>
        </w:tc>
        <w:tc>
          <w:tcPr>
            <w:tcW w:w="964" w:type="dxa"/>
          </w:tcPr>
          <w:p w14:paraId="3A4902B6" w14:textId="77777777" w:rsidR="00C01762" w:rsidRPr="008A2E5A" w:rsidRDefault="00C01762" w:rsidP="004C5D62">
            <w:pPr>
              <w:spacing w:after="0" w:line="240" w:lineRule="auto"/>
              <w:jc w:val="both"/>
              <w:rPr>
                <w:color w:val="0070C0"/>
                <w:sz w:val="16"/>
                <w:szCs w:val="16"/>
              </w:rPr>
            </w:pPr>
            <w:r w:rsidRPr="008A2E5A">
              <w:rPr>
                <w:color w:val="0070C0"/>
                <w:sz w:val="16"/>
                <w:szCs w:val="16"/>
              </w:rPr>
              <w:t>768</w:t>
            </w:r>
          </w:p>
        </w:tc>
        <w:tc>
          <w:tcPr>
            <w:tcW w:w="715" w:type="dxa"/>
          </w:tcPr>
          <w:p w14:paraId="1DF9CF2B" w14:textId="77777777" w:rsidR="00C01762" w:rsidRPr="008A2E5A" w:rsidRDefault="00C01762" w:rsidP="004C5D62">
            <w:pPr>
              <w:spacing w:after="0" w:line="240" w:lineRule="auto"/>
              <w:jc w:val="both"/>
              <w:rPr>
                <w:color w:val="0070C0"/>
                <w:sz w:val="16"/>
                <w:szCs w:val="16"/>
              </w:rPr>
            </w:pPr>
            <w:r w:rsidRPr="008A2E5A">
              <w:rPr>
                <w:color w:val="0070C0"/>
                <w:sz w:val="16"/>
                <w:szCs w:val="16"/>
              </w:rPr>
              <w:t>224</w:t>
            </w:r>
          </w:p>
        </w:tc>
        <w:tc>
          <w:tcPr>
            <w:tcW w:w="650" w:type="dxa"/>
          </w:tcPr>
          <w:p w14:paraId="138D704D" w14:textId="77777777" w:rsidR="00C01762" w:rsidRPr="008A2E5A" w:rsidRDefault="00C01762" w:rsidP="004C5D62">
            <w:pPr>
              <w:spacing w:after="0" w:line="240" w:lineRule="auto"/>
              <w:jc w:val="both"/>
              <w:rPr>
                <w:color w:val="0070C0"/>
                <w:sz w:val="16"/>
                <w:szCs w:val="16"/>
              </w:rPr>
            </w:pPr>
            <w:r w:rsidRPr="008A2E5A">
              <w:rPr>
                <w:color w:val="0070C0"/>
                <w:sz w:val="16"/>
                <w:szCs w:val="16"/>
              </w:rPr>
              <w:t>218</w:t>
            </w:r>
          </w:p>
        </w:tc>
        <w:tc>
          <w:tcPr>
            <w:tcW w:w="976" w:type="dxa"/>
          </w:tcPr>
          <w:p w14:paraId="3419FEFC" w14:textId="77777777" w:rsidR="00C01762" w:rsidRPr="008A2E5A" w:rsidRDefault="00C01762" w:rsidP="004C5D62">
            <w:pPr>
              <w:spacing w:after="0" w:line="240" w:lineRule="auto"/>
              <w:jc w:val="both"/>
              <w:rPr>
                <w:color w:val="0070C0"/>
                <w:sz w:val="16"/>
                <w:szCs w:val="16"/>
              </w:rPr>
            </w:pPr>
            <w:r w:rsidRPr="008A2E5A">
              <w:rPr>
                <w:color w:val="0070C0"/>
                <w:sz w:val="16"/>
                <w:szCs w:val="16"/>
              </w:rPr>
              <w:t>74,5</w:t>
            </w:r>
          </w:p>
        </w:tc>
        <w:tc>
          <w:tcPr>
            <w:tcW w:w="599" w:type="dxa"/>
          </w:tcPr>
          <w:p w14:paraId="6457C82F" w14:textId="77777777" w:rsidR="00C01762" w:rsidRPr="008A2E5A" w:rsidRDefault="00C01762" w:rsidP="004C5D62">
            <w:pPr>
              <w:spacing w:after="0" w:line="240" w:lineRule="auto"/>
              <w:jc w:val="both"/>
              <w:rPr>
                <w:color w:val="0070C0"/>
                <w:sz w:val="16"/>
                <w:szCs w:val="16"/>
              </w:rPr>
            </w:pPr>
            <w:r w:rsidRPr="008A2E5A">
              <w:rPr>
                <w:color w:val="0070C0"/>
                <w:sz w:val="16"/>
                <w:szCs w:val="16"/>
              </w:rPr>
              <w:t>72,2</w:t>
            </w:r>
          </w:p>
        </w:tc>
        <w:tc>
          <w:tcPr>
            <w:tcW w:w="962" w:type="dxa"/>
          </w:tcPr>
          <w:p w14:paraId="16A7AD96" w14:textId="77777777" w:rsidR="00C01762" w:rsidRPr="008A2E5A" w:rsidRDefault="00C01762" w:rsidP="004C5D62">
            <w:pPr>
              <w:spacing w:after="0" w:line="240" w:lineRule="auto"/>
              <w:jc w:val="both"/>
              <w:rPr>
                <w:color w:val="0070C0"/>
                <w:sz w:val="16"/>
                <w:szCs w:val="16"/>
              </w:rPr>
            </w:pPr>
            <w:r w:rsidRPr="008A2E5A">
              <w:rPr>
                <w:color w:val="0070C0"/>
                <w:sz w:val="16"/>
                <w:szCs w:val="16"/>
              </w:rPr>
              <w:t>250</w:t>
            </w:r>
          </w:p>
        </w:tc>
        <w:tc>
          <w:tcPr>
            <w:tcW w:w="636" w:type="dxa"/>
          </w:tcPr>
          <w:p w14:paraId="39BB064B" w14:textId="77777777" w:rsidR="00C01762" w:rsidRPr="008A2E5A" w:rsidRDefault="00C01762" w:rsidP="004C5D62">
            <w:pPr>
              <w:spacing w:after="0" w:line="240" w:lineRule="auto"/>
              <w:jc w:val="both"/>
              <w:rPr>
                <w:color w:val="0070C0"/>
                <w:sz w:val="16"/>
                <w:szCs w:val="16"/>
              </w:rPr>
            </w:pPr>
            <w:r w:rsidRPr="008A2E5A">
              <w:rPr>
                <w:color w:val="0070C0"/>
                <w:sz w:val="16"/>
                <w:szCs w:val="16"/>
              </w:rPr>
              <w:t>708</w:t>
            </w:r>
          </w:p>
        </w:tc>
        <w:tc>
          <w:tcPr>
            <w:tcW w:w="857" w:type="dxa"/>
          </w:tcPr>
          <w:p w14:paraId="56ED4AEE" w14:textId="77777777" w:rsidR="00C01762" w:rsidRPr="008A2E5A" w:rsidRDefault="00C01762" w:rsidP="004C5D62">
            <w:pPr>
              <w:spacing w:after="0" w:line="240" w:lineRule="auto"/>
              <w:jc w:val="both"/>
              <w:rPr>
                <w:color w:val="0070C0"/>
                <w:sz w:val="16"/>
                <w:szCs w:val="16"/>
              </w:rPr>
            </w:pPr>
            <w:r w:rsidRPr="008A2E5A">
              <w:rPr>
                <w:color w:val="0070C0"/>
                <w:sz w:val="16"/>
                <w:szCs w:val="16"/>
              </w:rPr>
              <w:t>60</w:t>
            </w:r>
          </w:p>
        </w:tc>
      </w:tr>
      <w:tr w:rsidR="00C01762" w:rsidRPr="008A2E5A" w14:paraId="76E740D7" w14:textId="77777777" w:rsidTr="004C5D62">
        <w:tc>
          <w:tcPr>
            <w:tcW w:w="1441" w:type="dxa"/>
          </w:tcPr>
          <w:p w14:paraId="54FF4C9E" w14:textId="77777777" w:rsidR="00C01762" w:rsidRPr="008A2E5A" w:rsidRDefault="00C01762" w:rsidP="004C5D62">
            <w:pPr>
              <w:spacing w:after="0" w:line="240" w:lineRule="auto"/>
              <w:jc w:val="both"/>
              <w:rPr>
                <w:color w:val="0070C0"/>
                <w:sz w:val="16"/>
                <w:szCs w:val="16"/>
              </w:rPr>
            </w:pPr>
            <w:r w:rsidRPr="008A2E5A">
              <w:rPr>
                <w:color w:val="0070C0"/>
                <w:sz w:val="16"/>
                <w:szCs w:val="16"/>
              </w:rPr>
              <w:t>11.</w:t>
            </w:r>
          </w:p>
        </w:tc>
        <w:tc>
          <w:tcPr>
            <w:tcW w:w="758" w:type="dxa"/>
          </w:tcPr>
          <w:p w14:paraId="612B34D8" w14:textId="77777777" w:rsidR="00C01762" w:rsidRPr="008A2E5A" w:rsidRDefault="00C01762" w:rsidP="004C5D62">
            <w:pPr>
              <w:spacing w:after="0" w:line="240" w:lineRule="auto"/>
              <w:jc w:val="both"/>
              <w:rPr>
                <w:color w:val="0070C0"/>
                <w:sz w:val="16"/>
                <w:szCs w:val="16"/>
              </w:rPr>
            </w:pPr>
            <w:r w:rsidRPr="008A2E5A">
              <w:rPr>
                <w:color w:val="0070C0"/>
                <w:sz w:val="16"/>
                <w:szCs w:val="16"/>
              </w:rPr>
              <w:t>Ил-2</w:t>
            </w:r>
          </w:p>
        </w:tc>
        <w:tc>
          <w:tcPr>
            <w:tcW w:w="680" w:type="dxa"/>
          </w:tcPr>
          <w:p w14:paraId="51972E71" w14:textId="77777777" w:rsidR="00C01762" w:rsidRPr="008A2E5A" w:rsidRDefault="00C01762" w:rsidP="004C5D62">
            <w:pPr>
              <w:spacing w:after="0" w:line="240" w:lineRule="auto"/>
              <w:jc w:val="both"/>
              <w:rPr>
                <w:color w:val="0070C0"/>
                <w:sz w:val="16"/>
                <w:szCs w:val="16"/>
              </w:rPr>
            </w:pPr>
            <w:r w:rsidRPr="008A2E5A">
              <w:rPr>
                <w:color w:val="0070C0"/>
                <w:sz w:val="16"/>
                <w:szCs w:val="16"/>
              </w:rPr>
              <w:t>18</w:t>
            </w:r>
          </w:p>
        </w:tc>
        <w:tc>
          <w:tcPr>
            <w:tcW w:w="859" w:type="dxa"/>
          </w:tcPr>
          <w:p w14:paraId="2FDD7513" w14:textId="77777777" w:rsidR="00C01762" w:rsidRPr="008A2E5A" w:rsidRDefault="00C01762" w:rsidP="004C5D62">
            <w:pPr>
              <w:spacing w:after="0" w:line="240" w:lineRule="auto"/>
              <w:jc w:val="both"/>
              <w:rPr>
                <w:color w:val="0070C0"/>
                <w:sz w:val="16"/>
                <w:szCs w:val="16"/>
              </w:rPr>
            </w:pPr>
            <w:r w:rsidRPr="008A2E5A">
              <w:rPr>
                <w:color w:val="0070C0"/>
                <w:sz w:val="16"/>
                <w:szCs w:val="16"/>
              </w:rPr>
              <w:t>1812</w:t>
            </w:r>
          </w:p>
        </w:tc>
        <w:tc>
          <w:tcPr>
            <w:tcW w:w="585" w:type="dxa"/>
          </w:tcPr>
          <w:p w14:paraId="5DE13371" w14:textId="77777777" w:rsidR="00C01762" w:rsidRPr="008A2E5A" w:rsidRDefault="00C01762" w:rsidP="004C5D62">
            <w:pPr>
              <w:spacing w:after="0" w:line="240" w:lineRule="auto"/>
              <w:jc w:val="both"/>
              <w:rPr>
                <w:color w:val="0070C0"/>
                <w:sz w:val="16"/>
                <w:szCs w:val="16"/>
              </w:rPr>
            </w:pPr>
            <w:r w:rsidRPr="008A2E5A">
              <w:rPr>
                <w:color w:val="0070C0"/>
                <w:sz w:val="16"/>
                <w:szCs w:val="16"/>
              </w:rPr>
              <w:t>392</w:t>
            </w:r>
          </w:p>
        </w:tc>
        <w:tc>
          <w:tcPr>
            <w:tcW w:w="964" w:type="dxa"/>
          </w:tcPr>
          <w:p w14:paraId="237F5237" w14:textId="77777777" w:rsidR="00C01762" w:rsidRPr="008A2E5A" w:rsidRDefault="00C01762" w:rsidP="004C5D62">
            <w:pPr>
              <w:spacing w:after="0" w:line="240" w:lineRule="auto"/>
              <w:jc w:val="both"/>
              <w:rPr>
                <w:color w:val="0070C0"/>
                <w:sz w:val="16"/>
                <w:szCs w:val="16"/>
              </w:rPr>
            </w:pPr>
            <w:r w:rsidRPr="008A2E5A">
              <w:rPr>
                <w:color w:val="0070C0"/>
                <w:sz w:val="16"/>
                <w:szCs w:val="16"/>
              </w:rPr>
              <w:t>1620</w:t>
            </w:r>
          </w:p>
        </w:tc>
        <w:tc>
          <w:tcPr>
            <w:tcW w:w="715" w:type="dxa"/>
          </w:tcPr>
          <w:p w14:paraId="6681CB7D" w14:textId="77777777" w:rsidR="00C01762" w:rsidRPr="008A2E5A" w:rsidRDefault="00C01762" w:rsidP="004C5D62">
            <w:pPr>
              <w:spacing w:after="0" w:line="240" w:lineRule="auto"/>
              <w:jc w:val="both"/>
              <w:rPr>
                <w:color w:val="0070C0"/>
                <w:sz w:val="16"/>
                <w:szCs w:val="16"/>
              </w:rPr>
            </w:pPr>
            <w:r w:rsidRPr="008A2E5A">
              <w:rPr>
                <w:color w:val="0070C0"/>
                <w:sz w:val="16"/>
                <w:szCs w:val="16"/>
              </w:rPr>
              <w:t>281</w:t>
            </w:r>
          </w:p>
        </w:tc>
        <w:tc>
          <w:tcPr>
            <w:tcW w:w="650" w:type="dxa"/>
          </w:tcPr>
          <w:p w14:paraId="1C686D81" w14:textId="77777777" w:rsidR="00C01762" w:rsidRPr="008A2E5A" w:rsidRDefault="00C01762" w:rsidP="004C5D62">
            <w:pPr>
              <w:spacing w:after="0" w:line="240" w:lineRule="auto"/>
              <w:jc w:val="both"/>
              <w:rPr>
                <w:color w:val="0070C0"/>
                <w:sz w:val="16"/>
                <w:szCs w:val="16"/>
              </w:rPr>
            </w:pPr>
            <w:r w:rsidRPr="008A2E5A">
              <w:rPr>
                <w:color w:val="0070C0"/>
                <w:sz w:val="16"/>
                <w:szCs w:val="16"/>
              </w:rPr>
              <w:t>395</w:t>
            </w:r>
          </w:p>
        </w:tc>
        <w:tc>
          <w:tcPr>
            <w:tcW w:w="976" w:type="dxa"/>
          </w:tcPr>
          <w:p w14:paraId="6D3DA156" w14:textId="77777777" w:rsidR="00C01762" w:rsidRPr="008A2E5A" w:rsidRDefault="00C01762" w:rsidP="004C5D62">
            <w:pPr>
              <w:spacing w:after="0" w:line="240" w:lineRule="auto"/>
              <w:jc w:val="both"/>
              <w:rPr>
                <w:color w:val="0070C0"/>
                <w:sz w:val="16"/>
                <w:szCs w:val="16"/>
              </w:rPr>
            </w:pPr>
            <w:r w:rsidRPr="008A2E5A">
              <w:rPr>
                <w:color w:val="0070C0"/>
                <w:sz w:val="16"/>
                <w:szCs w:val="16"/>
              </w:rPr>
              <w:t>89,4</w:t>
            </w:r>
          </w:p>
        </w:tc>
        <w:tc>
          <w:tcPr>
            <w:tcW w:w="599" w:type="dxa"/>
          </w:tcPr>
          <w:p w14:paraId="70635846" w14:textId="77777777" w:rsidR="00C01762" w:rsidRPr="008A2E5A" w:rsidRDefault="00C01762" w:rsidP="004C5D62">
            <w:pPr>
              <w:spacing w:after="0" w:line="240" w:lineRule="auto"/>
              <w:jc w:val="both"/>
              <w:rPr>
                <w:color w:val="0070C0"/>
                <w:sz w:val="16"/>
                <w:szCs w:val="16"/>
              </w:rPr>
            </w:pPr>
            <w:r w:rsidRPr="008A2E5A">
              <w:rPr>
                <w:color w:val="0070C0"/>
                <w:sz w:val="16"/>
                <w:szCs w:val="16"/>
              </w:rPr>
              <w:t>71,7</w:t>
            </w:r>
          </w:p>
        </w:tc>
        <w:tc>
          <w:tcPr>
            <w:tcW w:w="962" w:type="dxa"/>
          </w:tcPr>
          <w:p w14:paraId="2E3E7555" w14:textId="77777777" w:rsidR="00C01762" w:rsidRPr="008A2E5A" w:rsidRDefault="00C01762" w:rsidP="004C5D62">
            <w:pPr>
              <w:spacing w:after="0" w:line="240" w:lineRule="auto"/>
              <w:jc w:val="both"/>
              <w:rPr>
                <w:color w:val="0070C0"/>
                <w:sz w:val="16"/>
                <w:szCs w:val="16"/>
              </w:rPr>
            </w:pPr>
            <w:r w:rsidRPr="008A2E5A">
              <w:rPr>
                <w:color w:val="0070C0"/>
                <w:sz w:val="16"/>
                <w:szCs w:val="16"/>
              </w:rPr>
              <w:t>404</w:t>
            </w:r>
          </w:p>
        </w:tc>
        <w:tc>
          <w:tcPr>
            <w:tcW w:w="636" w:type="dxa"/>
          </w:tcPr>
          <w:p w14:paraId="2D281A1E" w14:textId="77777777" w:rsidR="00C01762" w:rsidRPr="008A2E5A" w:rsidRDefault="00C01762" w:rsidP="004C5D62">
            <w:pPr>
              <w:spacing w:after="0" w:line="240" w:lineRule="auto"/>
              <w:jc w:val="both"/>
              <w:rPr>
                <w:color w:val="0070C0"/>
                <w:sz w:val="16"/>
                <w:szCs w:val="16"/>
              </w:rPr>
            </w:pPr>
            <w:r w:rsidRPr="008A2E5A">
              <w:rPr>
                <w:color w:val="0070C0"/>
                <w:sz w:val="16"/>
                <w:szCs w:val="16"/>
              </w:rPr>
              <w:t>1544</w:t>
            </w:r>
          </w:p>
        </w:tc>
        <w:tc>
          <w:tcPr>
            <w:tcW w:w="857" w:type="dxa"/>
          </w:tcPr>
          <w:p w14:paraId="767EBB60" w14:textId="77777777" w:rsidR="00C01762" w:rsidRPr="008A2E5A" w:rsidRDefault="00C01762" w:rsidP="004C5D62">
            <w:pPr>
              <w:spacing w:after="0" w:line="240" w:lineRule="auto"/>
              <w:jc w:val="both"/>
              <w:rPr>
                <w:color w:val="0070C0"/>
                <w:sz w:val="16"/>
                <w:szCs w:val="16"/>
              </w:rPr>
            </w:pPr>
            <w:r w:rsidRPr="008A2E5A">
              <w:rPr>
                <w:color w:val="0070C0"/>
                <w:sz w:val="16"/>
                <w:szCs w:val="16"/>
              </w:rPr>
              <w:t>86</w:t>
            </w:r>
          </w:p>
        </w:tc>
      </w:tr>
      <w:tr w:rsidR="00C01762" w:rsidRPr="008A2E5A" w14:paraId="5FC8CC2C" w14:textId="77777777" w:rsidTr="004C5D62">
        <w:tc>
          <w:tcPr>
            <w:tcW w:w="1441" w:type="dxa"/>
          </w:tcPr>
          <w:p w14:paraId="20AF78C2" w14:textId="77777777" w:rsidR="00C01762" w:rsidRPr="008A2E5A" w:rsidRDefault="00C01762" w:rsidP="004C5D62">
            <w:pPr>
              <w:spacing w:after="0" w:line="240" w:lineRule="auto"/>
              <w:jc w:val="both"/>
              <w:rPr>
                <w:color w:val="0070C0"/>
                <w:sz w:val="16"/>
                <w:szCs w:val="16"/>
              </w:rPr>
            </w:pPr>
            <w:r w:rsidRPr="008A2E5A">
              <w:rPr>
                <w:color w:val="0070C0"/>
                <w:sz w:val="16"/>
                <w:szCs w:val="16"/>
              </w:rPr>
              <w:t>12.</w:t>
            </w:r>
          </w:p>
        </w:tc>
        <w:tc>
          <w:tcPr>
            <w:tcW w:w="758" w:type="dxa"/>
          </w:tcPr>
          <w:p w14:paraId="06B87FAD" w14:textId="77777777" w:rsidR="00C01762" w:rsidRPr="008A2E5A" w:rsidRDefault="00C01762" w:rsidP="004C5D62">
            <w:pPr>
              <w:spacing w:after="0" w:line="240" w:lineRule="auto"/>
              <w:jc w:val="both"/>
              <w:rPr>
                <w:color w:val="0070C0"/>
                <w:sz w:val="16"/>
                <w:szCs w:val="16"/>
              </w:rPr>
            </w:pPr>
            <w:r w:rsidRPr="008A2E5A">
              <w:rPr>
                <w:color w:val="0070C0"/>
                <w:sz w:val="16"/>
                <w:szCs w:val="16"/>
              </w:rPr>
              <w:t>Ил-2</w:t>
            </w:r>
          </w:p>
        </w:tc>
        <w:tc>
          <w:tcPr>
            <w:tcW w:w="680" w:type="dxa"/>
          </w:tcPr>
          <w:p w14:paraId="6F06B11D" w14:textId="77777777" w:rsidR="00C01762" w:rsidRPr="008A2E5A" w:rsidRDefault="00C01762" w:rsidP="004C5D62">
            <w:pPr>
              <w:spacing w:after="0" w:line="240" w:lineRule="auto"/>
              <w:jc w:val="both"/>
              <w:rPr>
                <w:color w:val="0070C0"/>
                <w:sz w:val="16"/>
                <w:szCs w:val="16"/>
              </w:rPr>
            </w:pPr>
            <w:r w:rsidRPr="008A2E5A">
              <w:rPr>
                <w:color w:val="0070C0"/>
                <w:sz w:val="16"/>
                <w:szCs w:val="16"/>
              </w:rPr>
              <w:t>30</w:t>
            </w:r>
          </w:p>
        </w:tc>
        <w:tc>
          <w:tcPr>
            <w:tcW w:w="859" w:type="dxa"/>
          </w:tcPr>
          <w:p w14:paraId="6EC5983F" w14:textId="77777777" w:rsidR="00C01762" w:rsidRPr="008A2E5A" w:rsidRDefault="00C01762" w:rsidP="004C5D62">
            <w:pPr>
              <w:spacing w:after="0" w:line="240" w:lineRule="auto"/>
              <w:jc w:val="both"/>
              <w:rPr>
                <w:color w:val="0070C0"/>
                <w:sz w:val="16"/>
                <w:szCs w:val="16"/>
              </w:rPr>
            </w:pPr>
            <w:r w:rsidRPr="008A2E5A">
              <w:rPr>
                <w:color w:val="0070C0"/>
                <w:sz w:val="16"/>
                <w:szCs w:val="16"/>
              </w:rPr>
              <w:t>104</w:t>
            </w:r>
          </w:p>
        </w:tc>
        <w:tc>
          <w:tcPr>
            <w:tcW w:w="585" w:type="dxa"/>
          </w:tcPr>
          <w:p w14:paraId="2D6EACB0" w14:textId="77777777" w:rsidR="00C01762" w:rsidRPr="008A2E5A" w:rsidRDefault="00C01762" w:rsidP="004C5D62">
            <w:pPr>
              <w:spacing w:after="0" w:line="240" w:lineRule="auto"/>
              <w:jc w:val="both"/>
              <w:rPr>
                <w:color w:val="0070C0"/>
                <w:sz w:val="16"/>
                <w:szCs w:val="16"/>
              </w:rPr>
            </w:pPr>
            <w:r w:rsidRPr="008A2E5A">
              <w:rPr>
                <w:color w:val="0070C0"/>
                <w:sz w:val="16"/>
                <w:szCs w:val="16"/>
              </w:rPr>
              <w:t>60</w:t>
            </w:r>
          </w:p>
        </w:tc>
        <w:tc>
          <w:tcPr>
            <w:tcW w:w="964" w:type="dxa"/>
          </w:tcPr>
          <w:p w14:paraId="09E3A2E6" w14:textId="77777777" w:rsidR="00C01762" w:rsidRPr="008A2E5A" w:rsidRDefault="00C01762" w:rsidP="004C5D62">
            <w:pPr>
              <w:spacing w:after="0" w:line="240" w:lineRule="auto"/>
              <w:jc w:val="both"/>
              <w:rPr>
                <w:color w:val="0070C0"/>
                <w:sz w:val="16"/>
                <w:szCs w:val="16"/>
              </w:rPr>
            </w:pPr>
            <w:r w:rsidRPr="008A2E5A">
              <w:rPr>
                <w:color w:val="0070C0"/>
                <w:sz w:val="16"/>
                <w:szCs w:val="16"/>
              </w:rPr>
              <w:t>103</w:t>
            </w:r>
          </w:p>
        </w:tc>
        <w:tc>
          <w:tcPr>
            <w:tcW w:w="715" w:type="dxa"/>
          </w:tcPr>
          <w:p w14:paraId="7CED058D" w14:textId="77777777" w:rsidR="00C01762" w:rsidRPr="008A2E5A" w:rsidRDefault="00C01762" w:rsidP="004C5D62">
            <w:pPr>
              <w:spacing w:after="0" w:line="240" w:lineRule="auto"/>
              <w:jc w:val="both"/>
              <w:rPr>
                <w:color w:val="0070C0"/>
                <w:sz w:val="16"/>
                <w:szCs w:val="16"/>
              </w:rPr>
            </w:pPr>
            <w:r w:rsidRPr="008A2E5A">
              <w:rPr>
                <w:color w:val="0070C0"/>
                <w:sz w:val="16"/>
                <w:szCs w:val="16"/>
              </w:rPr>
              <w:t>60</w:t>
            </w:r>
          </w:p>
        </w:tc>
        <w:tc>
          <w:tcPr>
            <w:tcW w:w="650" w:type="dxa"/>
          </w:tcPr>
          <w:p w14:paraId="2BFAF4AD" w14:textId="77777777" w:rsidR="00C01762" w:rsidRPr="008A2E5A" w:rsidRDefault="00C01762" w:rsidP="004C5D62">
            <w:pPr>
              <w:spacing w:after="0" w:line="240" w:lineRule="auto"/>
              <w:jc w:val="both"/>
              <w:rPr>
                <w:color w:val="0070C0"/>
                <w:sz w:val="16"/>
                <w:szCs w:val="16"/>
              </w:rPr>
            </w:pPr>
            <w:r w:rsidRPr="008A2E5A">
              <w:rPr>
                <w:color w:val="0070C0"/>
                <w:sz w:val="16"/>
                <w:szCs w:val="16"/>
              </w:rPr>
              <w:t>42</w:t>
            </w:r>
          </w:p>
        </w:tc>
        <w:tc>
          <w:tcPr>
            <w:tcW w:w="976" w:type="dxa"/>
          </w:tcPr>
          <w:p w14:paraId="55894D77" w14:textId="77777777" w:rsidR="00C01762" w:rsidRPr="008A2E5A" w:rsidRDefault="00C01762" w:rsidP="004C5D62">
            <w:pPr>
              <w:spacing w:after="0" w:line="240" w:lineRule="auto"/>
              <w:jc w:val="both"/>
              <w:rPr>
                <w:color w:val="0070C0"/>
                <w:sz w:val="16"/>
                <w:szCs w:val="16"/>
              </w:rPr>
            </w:pPr>
            <w:r w:rsidRPr="008A2E5A">
              <w:rPr>
                <w:color w:val="0070C0"/>
                <w:sz w:val="16"/>
                <w:szCs w:val="16"/>
              </w:rPr>
              <w:t>103,8</w:t>
            </w:r>
          </w:p>
        </w:tc>
        <w:tc>
          <w:tcPr>
            <w:tcW w:w="599" w:type="dxa"/>
          </w:tcPr>
          <w:p w14:paraId="0F6DA60D" w14:textId="77777777" w:rsidR="00C01762" w:rsidRPr="008A2E5A" w:rsidRDefault="00C01762" w:rsidP="004C5D62">
            <w:pPr>
              <w:spacing w:after="0" w:line="240" w:lineRule="auto"/>
              <w:jc w:val="both"/>
              <w:rPr>
                <w:color w:val="0070C0"/>
                <w:sz w:val="16"/>
                <w:szCs w:val="16"/>
              </w:rPr>
            </w:pPr>
            <w:r w:rsidRPr="008A2E5A">
              <w:rPr>
                <w:color w:val="0070C0"/>
                <w:sz w:val="16"/>
                <w:szCs w:val="16"/>
              </w:rPr>
              <w:t>100,0</w:t>
            </w:r>
          </w:p>
        </w:tc>
        <w:tc>
          <w:tcPr>
            <w:tcW w:w="962" w:type="dxa"/>
          </w:tcPr>
          <w:p w14:paraId="7C87EFB3" w14:textId="77777777" w:rsidR="00C01762" w:rsidRPr="008A2E5A" w:rsidRDefault="00C01762" w:rsidP="004C5D62">
            <w:pPr>
              <w:spacing w:after="0" w:line="240" w:lineRule="auto"/>
              <w:jc w:val="both"/>
              <w:rPr>
                <w:color w:val="0070C0"/>
                <w:sz w:val="16"/>
                <w:szCs w:val="16"/>
              </w:rPr>
            </w:pPr>
            <w:r w:rsidRPr="008A2E5A">
              <w:rPr>
                <w:color w:val="0070C0"/>
                <w:sz w:val="16"/>
                <w:szCs w:val="16"/>
              </w:rPr>
              <w:t>40</w:t>
            </w:r>
          </w:p>
        </w:tc>
        <w:tc>
          <w:tcPr>
            <w:tcW w:w="636" w:type="dxa"/>
          </w:tcPr>
          <w:p w14:paraId="0603A1F6" w14:textId="77777777" w:rsidR="00C01762" w:rsidRPr="008A2E5A" w:rsidRDefault="00C01762" w:rsidP="004C5D62">
            <w:pPr>
              <w:spacing w:after="0" w:line="240" w:lineRule="auto"/>
              <w:jc w:val="both"/>
              <w:rPr>
                <w:color w:val="0070C0"/>
                <w:sz w:val="16"/>
                <w:szCs w:val="16"/>
              </w:rPr>
            </w:pPr>
            <w:r w:rsidRPr="008A2E5A">
              <w:rPr>
                <w:color w:val="0070C0"/>
                <w:sz w:val="16"/>
                <w:szCs w:val="16"/>
              </w:rPr>
              <w:t>80</w:t>
            </w:r>
          </w:p>
        </w:tc>
        <w:tc>
          <w:tcPr>
            <w:tcW w:w="857" w:type="dxa"/>
          </w:tcPr>
          <w:p w14:paraId="54691EA0" w14:textId="77777777" w:rsidR="00C01762" w:rsidRPr="008A2E5A" w:rsidRDefault="00C01762" w:rsidP="004C5D62">
            <w:pPr>
              <w:spacing w:after="0" w:line="240" w:lineRule="auto"/>
              <w:jc w:val="both"/>
              <w:rPr>
                <w:color w:val="0070C0"/>
                <w:sz w:val="16"/>
                <w:szCs w:val="16"/>
              </w:rPr>
            </w:pPr>
            <w:r w:rsidRPr="008A2E5A">
              <w:rPr>
                <w:color w:val="0070C0"/>
                <w:sz w:val="16"/>
                <w:szCs w:val="16"/>
              </w:rPr>
              <w:t>28</w:t>
            </w:r>
          </w:p>
        </w:tc>
      </w:tr>
      <w:tr w:rsidR="00C01762" w:rsidRPr="008A2E5A" w14:paraId="3A68D0E5" w14:textId="77777777" w:rsidTr="004C5D62">
        <w:tc>
          <w:tcPr>
            <w:tcW w:w="1441" w:type="dxa"/>
          </w:tcPr>
          <w:p w14:paraId="354D8AFA" w14:textId="77777777" w:rsidR="00C01762" w:rsidRPr="008A2E5A" w:rsidRDefault="00C01762" w:rsidP="004C5D62">
            <w:pPr>
              <w:spacing w:after="0" w:line="240" w:lineRule="auto"/>
              <w:jc w:val="both"/>
              <w:rPr>
                <w:color w:val="0070C0"/>
                <w:sz w:val="16"/>
                <w:szCs w:val="16"/>
              </w:rPr>
            </w:pPr>
            <w:r w:rsidRPr="008A2E5A">
              <w:rPr>
                <w:color w:val="0070C0"/>
                <w:sz w:val="16"/>
                <w:szCs w:val="16"/>
              </w:rPr>
              <w:t>13.</w:t>
            </w:r>
          </w:p>
        </w:tc>
        <w:tc>
          <w:tcPr>
            <w:tcW w:w="758" w:type="dxa"/>
          </w:tcPr>
          <w:p w14:paraId="7AD96E3C" w14:textId="77777777" w:rsidR="00C01762" w:rsidRPr="008A2E5A" w:rsidRDefault="00C01762" w:rsidP="004C5D62">
            <w:pPr>
              <w:spacing w:after="0" w:line="240" w:lineRule="auto"/>
              <w:jc w:val="both"/>
              <w:rPr>
                <w:color w:val="0070C0"/>
                <w:sz w:val="16"/>
                <w:szCs w:val="16"/>
              </w:rPr>
            </w:pPr>
            <w:r w:rsidRPr="008A2E5A">
              <w:rPr>
                <w:color w:val="0070C0"/>
                <w:sz w:val="16"/>
                <w:szCs w:val="16"/>
              </w:rPr>
              <w:t>Ил-2</w:t>
            </w:r>
          </w:p>
        </w:tc>
        <w:tc>
          <w:tcPr>
            <w:tcW w:w="680" w:type="dxa"/>
          </w:tcPr>
          <w:p w14:paraId="0266F6B3" w14:textId="77777777" w:rsidR="00C01762" w:rsidRPr="008A2E5A" w:rsidRDefault="00C01762" w:rsidP="004C5D62">
            <w:pPr>
              <w:spacing w:after="0" w:line="240" w:lineRule="auto"/>
              <w:jc w:val="both"/>
              <w:rPr>
                <w:color w:val="0070C0"/>
                <w:sz w:val="16"/>
                <w:szCs w:val="16"/>
              </w:rPr>
            </w:pPr>
            <w:r w:rsidRPr="008A2E5A">
              <w:rPr>
                <w:color w:val="0070C0"/>
                <w:sz w:val="16"/>
                <w:szCs w:val="16"/>
              </w:rPr>
              <w:t>381</w:t>
            </w:r>
          </w:p>
        </w:tc>
        <w:tc>
          <w:tcPr>
            <w:tcW w:w="859" w:type="dxa"/>
          </w:tcPr>
          <w:p w14:paraId="4312F117" w14:textId="77777777" w:rsidR="00C01762" w:rsidRPr="008A2E5A" w:rsidRDefault="00C01762" w:rsidP="004C5D62">
            <w:pPr>
              <w:spacing w:after="0" w:line="240" w:lineRule="auto"/>
              <w:jc w:val="both"/>
              <w:rPr>
                <w:color w:val="0070C0"/>
                <w:sz w:val="16"/>
                <w:szCs w:val="16"/>
              </w:rPr>
            </w:pPr>
            <w:r w:rsidRPr="008A2E5A">
              <w:rPr>
                <w:color w:val="0070C0"/>
                <w:sz w:val="16"/>
                <w:szCs w:val="16"/>
              </w:rPr>
              <w:t>294</w:t>
            </w:r>
          </w:p>
        </w:tc>
        <w:tc>
          <w:tcPr>
            <w:tcW w:w="585" w:type="dxa"/>
          </w:tcPr>
          <w:p w14:paraId="48B7E4CF" w14:textId="77777777" w:rsidR="00C01762" w:rsidRPr="008A2E5A" w:rsidRDefault="00C01762" w:rsidP="004C5D62">
            <w:pPr>
              <w:spacing w:after="0" w:line="240" w:lineRule="auto"/>
              <w:jc w:val="both"/>
              <w:rPr>
                <w:color w:val="0070C0"/>
                <w:sz w:val="16"/>
                <w:szCs w:val="16"/>
              </w:rPr>
            </w:pPr>
            <w:r w:rsidRPr="008A2E5A">
              <w:rPr>
                <w:color w:val="0070C0"/>
                <w:sz w:val="16"/>
                <w:szCs w:val="16"/>
              </w:rPr>
              <w:t>56</w:t>
            </w:r>
          </w:p>
        </w:tc>
        <w:tc>
          <w:tcPr>
            <w:tcW w:w="964" w:type="dxa"/>
          </w:tcPr>
          <w:p w14:paraId="51D1C7CB" w14:textId="77777777" w:rsidR="00C01762" w:rsidRPr="008A2E5A" w:rsidRDefault="00C01762" w:rsidP="004C5D62">
            <w:pPr>
              <w:spacing w:after="0" w:line="240" w:lineRule="auto"/>
              <w:jc w:val="both"/>
              <w:rPr>
                <w:color w:val="0070C0"/>
                <w:sz w:val="16"/>
                <w:szCs w:val="16"/>
              </w:rPr>
            </w:pPr>
            <w:r w:rsidRPr="008A2E5A">
              <w:rPr>
                <w:color w:val="0070C0"/>
                <w:sz w:val="16"/>
                <w:szCs w:val="16"/>
              </w:rPr>
              <w:t>133</w:t>
            </w:r>
          </w:p>
        </w:tc>
        <w:tc>
          <w:tcPr>
            <w:tcW w:w="715" w:type="dxa"/>
          </w:tcPr>
          <w:p w14:paraId="77EA947A" w14:textId="77777777" w:rsidR="00C01762" w:rsidRPr="008A2E5A" w:rsidRDefault="00C01762" w:rsidP="004C5D62">
            <w:pPr>
              <w:spacing w:after="0" w:line="240" w:lineRule="auto"/>
              <w:jc w:val="both"/>
              <w:rPr>
                <w:color w:val="0070C0"/>
                <w:sz w:val="16"/>
                <w:szCs w:val="16"/>
              </w:rPr>
            </w:pPr>
            <w:r w:rsidRPr="008A2E5A">
              <w:rPr>
                <w:color w:val="0070C0"/>
                <w:sz w:val="16"/>
                <w:szCs w:val="16"/>
              </w:rPr>
              <w:t>9</w:t>
            </w:r>
          </w:p>
        </w:tc>
        <w:tc>
          <w:tcPr>
            <w:tcW w:w="650" w:type="dxa"/>
          </w:tcPr>
          <w:p w14:paraId="7D4F1570" w14:textId="77777777" w:rsidR="00C01762" w:rsidRPr="008A2E5A" w:rsidRDefault="00C01762" w:rsidP="004C5D62">
            <w:pPr>
              <w:spacing w:after="0" w:line="240" w:lineRule="auto"/>
              <w:jc w:val="both"/>
              <w:rPr>
                <w:color w:val="0070C0"/>
                <w:sz w:val="16"/>
                <w:szCs w:val="16"/>
              </w:rPr>
            </w:pPr>
            <w:r w:rsidRPr="008A2E5A">
              <w:rPr>
                <w:color w:val="0070C0"/>
                <w:sz w:val="16"/>
                <w:szCs w:val="16"/>
              </w:rPr>
              <w:t>26</w:t>
            </w:r>
          </w:p>
        </w:tc>
        <w:tc>
          <w:tcPr>
            <w:tcW w:w="976" w:type="dxa"/>
          </w:tcPr>
          <w:p w14:paraId="5DF6531C" w14:textId="77777777" w:rsidR="00C01762" w:rsidRPr="008A2E5A" w:rsidRDefault="00C01762" w:rsidP="004C5D62">
            <w:pPr>
              <w:spacing w:after="0" w:line="240" w:lineRule="auto"/>
              <w:jc w:val="both"/>
              <w:rPr>
                <w:color w:val="0070C0"/>
                <w:sz w:val="16"/>
                <w:szCs w:val="16"/>
              </w:rPr>
            </w:pPr>
            <w:r w:rsidRPr="008A2E5A">
              <w:rPr>
                <w:color w:val="0070C0"/>
                <w:sz w:val="16"/>
                <w:szCs w:val="16"/>
              </w:rPr>
              <w:t>45,2</w:t>
            </w:r>
          </w:p>
        </w:tc>
        <w:tc>
          <w:tcPr>
            <w:tcW w:w="599" w:type="dxa"/>
          </w:tcPr>
          <w:p w14:paraId="4DDF48E4" w14:textId="77777777" w:rsidR="00C01762" w:rsidRPr="008A2E5A" w:rsidRDefault="00C01762" w:rsidP="004C5D62">
            <w:pPr>
              <w:spacing w:after="0" w:line="240" w:lineRule="auto"/>
              <w:jc w:val="both"/>
              <w:rPr>
                <w:color w:val="0070C0"/>
                <w:sz w:val="16"/>
                <w:szCs w:val="16"/>
              </w:rPr>
            </w:pPr>
            <w:r w:rsidRPr="008A2E5A">
              <w:rPr>
                <w:color w:val="0070C0"/>
                <w:sz w:val="16"/>
                <w:szCs w:val="16"/>
              </w:rPr>
              <w:t>16,0</w:t>
            </w:r>
          </w:p>
        </w:tc>
        <w:tc>
          <w:tcPr>
            <w:tcW w:w="962" w:type="dxa"/>
          </w:tcPr>
          <w:p w14:paraId="09FC2601" w14:textId="77777777" w:rsidR="00C01762" w:rsidRPr="008A2E5A" w:rsidRDefault="00C01762" w:rsidP="004C5D62">
            <w:pPr>
              <w:spacing w:after="0" w:line="240" w:lineRule="auto"/>
              <w:jc w:val="both"/>
              <w:rPr>
                <w:color w:val="0070C0"/>
                <w:sz w:val="16"/>
                <w:szCs w:val="16"/>
              </w:rPr>
            </w:pPr>
            <w:r w:rsidRPr="008A2E5A">
              <w:rPr>
                <w:color w:val="0070C0"/>
                <w:sz w:val="16"/>
                <w:szCs w:val="16"/>
              </w:rPr>
              <w:t>40</w:t>
            </w:r>
          </w:p>
        </w:tc>
        <w:tc>
          <w:tcPr>
            <w:tcW w:w="636" w:type="dxa"/>
          </w:tcPr>
          <w:p w14:paraId="294A994E" w14:textId="77777777" w:rsidR="00C01762" w:rsidRPr="008A2E5A" w:rsidRDefault="00C01762" w:rsidP="004C5D62">
            <w:pPr>
              <w:spacing w:after="0" w:line="240" w:lineRule="auto"/>
              <w:jc w:val="both"/>
              <w:rPr>
                <w:color w:val="0070C0"/>
                <w:sz w:val="16"/>
                <w:szCs w:val="16"/>
              </w:rPr>
            </w:pPr>
            <w:r w:rsidRPr="008A2E5A">
              <w:rPr>
                <w:color w:val="0070C0"/>
                <w:sz w:val="16"/>
                <w:szCs w:val="16"/>
              </w:rPr>
              <w:t>125</w:t>
            </w:r>
          </w:p>
        </w:tc>
        <w:tc>
          <w:tcPr>
            <w:tcW w:w="857" w:type="dxa"/>
          </w:tcPr>
          <w:p w14:paraId="2DE80DDE" w14:textId="77777777" w:rsidR="00C01762" w:rsidRPr="008A2E5A" w:rsidRDefault="00C01762" w:rsidP="004C5D62">
            <w:pPr>
              <w:spacing w:after="0" w:line="240" w:lineRule="auto"/>
              <w:jc w:val="both"/>
              <w:rPr>
                <w:color w:val="0070C0"/>
                <w:sz w:val="16"/>
                <w:szCs w:val="16"/>
              </w:rPr>
            </w:pPr>
            <w:r w:rsidRPr="008A2E5A">
              <w:rPr>
                <w:color w:val="0070C0"/>
                <w:sz w:val="16"/>
                <w:szCs w:val="16"/>
              </w:rPr>
              <w:t>11</w:t>
            </w:r>
          </w:p>
        </w:tc>
      </w:tr>
      <w:tr w:rsidR="00C01762" w:rsidRPr="008A2E5A" w14:paraId="63C3AA63" w14:textId="77777777" w:rsidTr="004C5D62">
        <w:tc>
          <w:tcPr>
            <w:tcW w:w="1441" w:type="dxa"/>
          </w:tcPr>
          <w:p w14:paraId="6222B376" w14:textId="77777777" w:rsidR="00C01762" w:rsidRPr="008A2E5A" w:rsidRDefault="00C01762" w:rsidP="004C5D62">
            <w:pPr>
              <w:spacing w:after="0" w:line="240" w:lineRule="auto"/>
              <w:jc w:val="both"/>
              <w:rPr>
                <w:color w:val="0070C0"/>
                <w:sz w:val="16"/>
                <w:szCs w:val="16"/>
              </w:rPr>
            </w:pPr>
            <w:r w:rsidRPr="008A2E5A">
              <w:rPr>
                <w:color w:val="0070C0"/>
                <w:sz w:val="16"/>
                <w:szCs w:val="16"/>
              </w:rPr>
              <w:t>Итого штурмовиков</w:t>
            </w:r>
          </w:p>
        </w:tc>
        <w:tc>
          <w:tcPr>
            <w:tcW w:w="758" w:type="dxa"/>
          </w:tcPr>
          <w:p w14:paraId="684BA0A3" w14:textId="77777777" w:rsidR="00C01762" w:rsidRPr="008A2E5A" w:rsidRDefault="00C01762" w:rsidP="004C5D62">
            <w:pPr>
              <w:spacing w:after="0" w:line="240" w:lineRule="auto"/>
              <w:jc w:val="both"/>
              <w:rPr>
                <w:color w:val="0070C0"/>
                <w:sz w:val="16"/>
                <w:szCs w:val="16"/>
              </w:rPr>
            </w:pPr>
          </w:p>
        </w:tc>
        <w:tc>
          <w:tcPr>
            <w:tcW w:w="680" w:type="dxa"/>
          </w:tcPr>
          <w:p w14:paraId="385E8733" w14:textId="77777777" w:rsidR="00C01762" w:rsidRPr="008A2E5A" w:rsidRDefault="00C01762" w:rsidP="004C5D62">
            <w:pPr>
              <w:spacing w:after="0" w:line="240" w:lineRule="auto"/>
              <w:jc w:val="both"/>
              <w:rPr>
                <w:color w:val="0070C0"/>
                <w:sz w:val="16"/>
                <w:szCs w:val="16"/>
              </w:rPr>
            </w:pPr>
          </w:p>
        </w:tc>
        <w:tc>
          <w:tcPr>
            <w:tcW w:w="859" w:type="dxa"/>
          </w:tcPr>
          <w:p w14:paraId="1D757E48" w14:textId="77777777" w:rsidR="00C01762" w:rsidRPr="008A2E5A" w:rsidRDefault="00C01762" w:rsidP="004C5D62">
            <w:pPr>
              <w:spacing w:after="0" w:line="240" w:lineRule="auto"/>
              <w:jc w:val="both"/>
              <w:rPr>
                <w:color w:val="0070C0"/>
                <w:sz w:val="16"/>
                <w:szCs w:val="16"/>
              </w:rPr>
            </w:pPr>
            <w:r w:rsidRPr="008A2E5A">
              <w:rPr>
                <w:color w:val="0070C0"/>
                <w:sz w:val="16"/>
                <w:szCs w:val="16"/>
              </w:rPr>
              <w:t>3240</w:t>
            </w:r>
          </w:p>
        </w:tc>
        <w:tc>
          <w:tcPr>
            <w:tcW w:w="585" w:type="dxa"/>
          </w:tcPr>
          <w:p w14:paraId="3F7A3FF6" w14:textId="77777777" w:rsidR="00C01762" w:rsidRPr="008A2E5A" w:rsidRDefault="00C01762" w:rsidP="004C5D62">
            <w:pPr>
              <w:spacing w:after="0" w:line="240" w:lineRule="auto"/>
              <w:jc w:val="both"/>
              <w:rPr>
                <w:color w:val="0070C0"/>
                <w:sz w:val="16"/>
                <w:szCs w:val="16"/>
              </w:rPr>
            </w:pPr>
            <w:r w:rsidRPr="008A2E5A">
              <w:rPr>
                <w:color w:val="0070C0"/>
                <w:sz w:val="16"/>
                <w:szCs w:val="16"/>
              </w:rPr>
              <w:t>818</w:t>
            </w:r>
          </w:p>
        </w:tc>
        <w:tc>
          <w:tcPr>
            <w:tcW w:w="964" w:type="dxa"/>
          </w:tcPr>
          <w:p w14:paraId="4FF495DC" w14:textId="77777777" w:rsidR="00C01762" w:rsidRPr="008A2E5A" w:rsidRDefault="00C01762" w:rsidP="004C5D62">
            <w:pPr>
              <w:spacing w:after="0" w:line="240" w:lineRule="auto"/>
              <w:jc w:val="both"/>
              <w:rPr>
                <w:color w:val="0070C0"/>
                <w:sz w:val="16"/>
                <w:szCs w:val="16"/>
              </w:rPr>
            </w:pPr>
            <w:r w:rsidRPr="008A2E5A">
              <w:rPr>
                <w:color w:val="0070C0"/>
                <w:sz w:val="16"/>
                <w:szCs w:val="16"/>
              </w:rPr>
              <w:t>2629</w:t>
            </w:r>
          </w:p>
        </w:tc>
        <w:tc>
          <w:tcPr>
            <w:tcW w:w="715" w:type="dxa"/>
          </w:tcPr>
          <w:p w14:paraId="7525FC6C" w14:textId="77777777" w:rsidR="00C01762" w:rsidRPr="008A2E5A" w:rsidRDefault="00C01762" w:rsidP="004C5D62">
            <w:pPr>
              <w:spacing w:after="0" w:line="240" w:lineRule="auto"/>
              <w:jc w:val="both"/>
              <w:rPr>
                <w:color w:val="0070C0"/>
                <w:sz w:val="16"/>
                <w:szCs w:val="16"/>
              </w:rPr>
            </w:pPr>
            <w:r w:rsidRPr="008A2E5A">
              <w:rPr>
                <w:color w:val="0070C0"/>
                <w:sz w:val="16"/>
                <w:szCs w:val="16"/>
              </w:rPr>
              <w:t>574</w:t>
            </w:r>
          </w:p>
        </w:tc>
        <w:tc>
          <w:tcPr>
            <w:tcW w:w="650" w:type="dxa"/>
          </w:tcPr>
          <w:p w14:paraId="4D51C3D4" w14:textId="77777777" w:rsidR="00C01762" w:rsidRPr="008A2E5A" w:rsidRDefault="00C01762" w:rsidP="004C5D62">
            <w:pPr>
              <w:spacing w:after="0" w:line="240" w:lineRule="auto"/>
              <w:jc w:val="both"/>
              <w:rPr>
                <w:color w:val="0070C0"/>
                <w:sz w:val="16"/>
                <w:szCs w:val="16"/>
              </w:rPr>
            </w:pPr>
            <w:r w:rsidRPr="008A2E5A">
              <w:rPr>
                <w:color w:val="0070C0"/>
                <w:sz w:val="16"/>
                <w:szCs w:val="16"/>
              </w:rPr>
              <w:t>681</w:t>
            </w:r>
          </w:p>
        </w:tc>
        <w:tc>
          <w:tcPr>
            <w:tcW w:w="976" w:type="dxa"/>
          </w:tcPr>
          <w:p w14:paraId="54D27AF3" w14:textId="77777777" w:rsidR="00C01762" w:rsidRPr="008A2E5A" w:rsidRDefault="00C01762" w:rsidP="004C5D62">
            <w:pPr>
              <w:spacing w:after="0" w:line="240" w:lineRule="auto"/>
              <w:jc w:val="both"/>
              <w:rPr>
                <w:color w:val="0070C0"/>
                <w:sz w:val="16"/>
                <w:szCs w:val="16"/>
              </w:rPr>
            </w:pPr>
            <w:r w:rsidRPr="008A2E5A">
              <w:rPr>
                <w:color w:val="0070C0"/>
                <w:sz w:val="16"/>
                <w:szCs w:val="16"/>
              </w:rPr>
              <w:t>81,1</w:t>
            </w:r>
          </w:p>
        </w:tc>
        <w:tc>
          <w:tcPr>
            <w:tcW w:w="599" w:type="dxa"/>
          </w:tcPr>
          <w:p w14:paraId="29C39B70" w14:textId="77777777" w:rsidR="00C01762" w:rsidRPr="008A2E5A" w:rsidRDefault="00C01762" w:rsidP="004C5D62">
            <w:pPr>
              <w:spacing w:after="0" w:line="240" w:lineRule="auto"/>
              <w:jc w:val="both"/>
              <w:rPr>
                <w:color w:val="0070C0"/>
                <w:sz w:val="16"/>
                <w:szCs w:val="16"/>
              </w:rPr>
            </w:pPr>
            <w:r w:rsidRPr="008A2E5A">
              <w:rPr>
                <w:color w:val="0070C0"/>
                <w:sz w:val="16"/>
                <w:szCs w:val="16"/>
              </w:rPr>
              <w:t>70,1</w:t>
            </w:r>
          </w:p>
        </w:tc>
        <w:tc>
          <w:tcPr>
            <w:tcW w:w="962" w:type="dxa"/>
          </w:tcPr>
          <w:p w14:paraId="502EE563" w14:textId="77777777" w:rsidR="00C01762" w:rsidRPr="008A2E5A" w:rsidRDefault="00C01762" w:rsidP="004C5D62">
            <w:pPr>
              <w:spacing w:after="0" w:line="240" w:lineRule="auto"/>
              <w:jc w:val="both"/>
              <w:rPr>
                <w:color w:val="0070C0"/>
                <w:sz w:val="16"/>
                <w:szCs w:val="16"/>
              </w:rPr>
            </w:pPr>
            <w:r w:rsidRPr="008A2E5A">
              <w:rPr>
                <w:color w:val="0070C0"/>
                <w:sz w:val="16"/>
                <w:szCs w:val="16"/>
              </w:rPr>
              <w:t>734</w:t>
            </w:r>
          </w:p>
        </w:tc>
        <w:tc>
          <w:tcPr>
            <w:tcW w:w="636" w:type="dxa"/>
          </w:tcPr>
          <w:p w14:paraId="3222EEAB" w14:textId="77777777" w:rsidR="00C01762" w:rsidRPr="008A2E5A" w:rsidRDefault="00C01762" w:rsidP="004C5D62">
            <w:pPr>
              <w:spacing w:after="0" w:line="240" w:lineRule="auto"/>
              <w:jc w:val="both"/>
              <w:rPr>
                <w:color w:val="0070C0"/>
                <w:sz w:val="16"/>
                <w:szCs w:val="16"/>
              </w:rPr>
            </w:pPr>
            <w:r w:rsidRPr="008A2E5A">
              <w:rPr>
                <w:color w:val="0070C0"/>
                <w:sz w:val="16"/>
                <w:szCs w:val="16"/>
              </w:rPr>
              <w:t>2457</w:t>
            </w:r>
          </w:p>
        </w:tc>
        <w:tc>
          <w:tcPr>
            <w:tcW w:w="857" w:type="dxa"/>
          </w:tcPr>
          <w:p w14:paraId="012AD896" w14:textId="77777777" w:rsidR="00C01762" w:rsidRPr="008A2E5A" w:rsidRDefault="00C01762" w:rsidP="004C5D62">
            <w:pPr>
              <w:spacing w:after="0" w:line="240" w:lineRule="auto"/>
              <w:jc w:val="both"/>
              <w:rPr>
                <w:color w:val="0070C0"/>
                <w:sz w:val="16"/>
                <w:szCs w:val="16"/>
              </w:rPr>
            </w:pPr>
            <w:r w:rsidRPr="008A2E5A">
              <w:rPr>
                <w:color w:val="0070C0"/>
                <w:sz w:val="16"/>
                <w:szCs w:val="16"/>
              </w:rPr>
              <w:t>185</w:t>
            </w:r>
          </w:p>
        </w:tc>
      </w:tr>
      <w:tr w:rsidR="00C01762" w:rsidRPr="008A2E5A" w14:paraId="49325DC0" w14:textId="77777777" w:rsidTr="004C5D62">
        <w:tc>
          <w:tcPr>
            <w:tcW w:w="1441" w:type="dxa"/>
          </w:tcPr>
          <w:p w14:paraId="646C8522" w14:textId="77777777" w:rsidR="00C01762" w:rsidRPr="008A2E5A" w:rsidRDefault="00C01762" w:rsidP="004C5D62">
            <w:pPr>
              <w:spacing w:after="0" w:line="240" w:lineRule="auto"/>
              <w:jc w:val="both"/>
              <w:rPr>
                <w:color w:val="0070C0"/>
                <w:sz w:val="16"/>
                <w:szCs w:val="16"/>
              </w:rPr>
            </w:pPr>
            <w:r w:rsidRPr="008A2E5A">
              <w:rPr>
                <w:color w:val="0070C0"/>
                <w:sz w:val="16"/>
                <w:szCs w:val="16"/>
              </w:rPr>
              <w:t>Истребители</w:t>
            </w:r>
          </w:p>
        </w:tc>
        <w:tc>
          <w:tcPr>
            <w:tcW w:w="758" w:type="dxa"/>
          </w:tcPr>
          <w:p w14:paraId="323C679B" w14:textId="77777777" w:rsidR="00C01762" w:rsidRPr="008A2E5A" w:rsidRDefault="00C01762" w:rsidP="004C5D62">
            <w:pPr>
              <w:spacing w:after="0" w:line="240" w:lineRule="auto"/>
              <w:jc w:val="both"/>
              <w:rPr>
                <w:color w:val="0070C0"/>
                <w:sz w:val="16"/>
                <w:szCs w:val="16"/>
              </w:rPr>
            </w:pPr>
          </w:p>
        </w:tc>
        <w:tc>
          <w:tcPr>
            <w:tcW w:w="680" w:type="dxa"/>
          </w:tcPr>
          <w:p w14:paraId="525F819F" w14:textId="77777777" w:rsidR="00C01762" w:rsidRPr="008A2E5A" w:rsidRDefault="00C01762" w:rsidP="004C5D62">
            <w:pPr>
              <w:spacing w:after="0" w:line="240" w:lineRule="auto"/>
              <w:jc w:val="both"/>
              <w:rPr>
                <w:color w:val="0070C0"/>
                <w:sz w:val="16"/>
                <w:szCs w:val="16"/>
              </w:rPr>
            </w:pPr>
          </w:p>
        </w:tc>
        <w:tc>
          <w:tcPr>
            <w:tcW w:w="859" w:type="dxa"/>
          </w:tcPr>
          <w:p w14:paraId="34FC8236" w14:textId="77777777" w:rsidR="00C01762" w:rsidRPr="008A2E5A" w:rsidRDefault="00C01762" w:rsidP="004C5D62">
            <w:pPr>
              <w:spacing w:after="0" w:line="240" w:lineRule="auto"/>
              <w:jc w:val="both"/>
              <w:rPr>
                <w:color w:val="0070C0"/>
                <w:sz w:val="16"/>
                <w:szCs w:val="16"/>
              </w:rPr>
            </w:pPr>
          </w:p>
        </w:tc>
        <w:tc>
          <w:tcPr>
            <w:tcW w:w="585" w:type="dxa"/>
          </w:tcPr>
          <w:p w14:paraId="561C161A" w14:textId="77777777" w:rsidR="00C01762" w:rsidRPr="008A2E5A" w:rsidRDefault="00C01762" w:rsidP="004C5D62">
            <w:pPr>
              <w:spacing w:after="0" w:line="240" w:lineRule="auto"/>
              <w:jc w:val="both"/>
              <w:rPr>
                <w:color w:val="0070C0"/>
                <w:sz w:val="16"/>
                <w:szCs w:val="16"/>
              </w:rPr>
            </w:pPr>
          </w:p>
        </w:tc>
        <w:tc>
          <w:tcPr>
            <w:tcW w:w="964" w:type="dxa"/>
          </w:tcPr>
          <w:p w14:paraId="0E88BE09" w14:textId="77777777" w:rsidR="00C01762" w:rsidRPr="008A2E5A" w:rsidRDefault="00C01762" w:rsidP="004C5D62">
            <w:pPr>
              <w:spacing w:after="0" w:line="240" w:lineRule="auto"/>
              <w:jc w:val="both"/>
              <w:rPr>
                <w:color w:val="0070C0"/>
                <w:sz w:val="16"/>
                <w:szCs w:val="16"/>
              </w:rPr>
            </w:pPr>
          </w:p>
        </w:tc>
        <w:tc>
          <w:tcPr>
            <w:tcW w:w="715" w:type="dxa"/>
          </w:tcPr>
          <w:p w14:paraId="2EEF29E6" w14:textId="77777777" w:rsidR="00C01762" w:rsidRPr="008A2E5A" w:rsidRDefault="00C01762" w:rsidP="004C5D62">
            <w:pPr>
              <w:spacing w:after="0" w:line="240" w:lineRule="auto"/>
              <w:jc w:val="both"/>
              <w:rPr>
                <w:color w:val="0070C0"/>
                <w:sz w:val="16"/>
                <w:szCs w:val="16"/>
              </w:rPr>
            </w:pPr>
          </w:p>
        </w:tc>
        <w:tc>
          <w:tcPr>
            <w:tcW w:w="650" w:type="dxa"/>
          </w:tcPr>
          <w:p w14:paraId="28273319" w14:textId="77777777" w:rsidR="00C01762" w:rsidRPr="008A2E5A" w:rsidRDefault="00C01762" w:rsidP="004C5D62">
            <w:pPr>
              <w:spacing w:after="0" w:line="240" w:lineRule="auto"/>
              <w:jc w:val="both"/>
              <w:rPr>
                <w:color w:val="0070C0"/>
                <w:sz w:val="16"/>
                <w:szCs w:val="16"/>
              </w:rPr>
            </w:pPr>
          </w:p>
        </w:tc>
        <w:tc>
          <w:tcPr>
            <w:tcW w:w="976" w:type="dxa"/>
          </w:tcPr>
          <w:p w14:paraId="02E0180F" w14:textId="77777777" w:rsidR="00C01762" w:rsidRPr="008A2E5A" w:rsidRDefault="00C01762" w:rsidP="004C5D62">
            <w:pPr>
              <w:spacing w:after="0" w:line="240" w:lineRule="auto"/>
              <w:jc w:val="both"/>
              <w:rPr>
                <w:color w:val="0070C0"/>
                <w:sz w:val="16"/>
                <w:szCs w:val="16"/>
              </w:rPr>
            </w:pPr>
          </w:p>
        </w:tc>
        <w:tc>
          <w:tcPr>
            <w:tcW w:w="599" w:type="dxa"/>
          </w:tcPr>
          <w:p w14:paraId="6A079FFC" w14:textId="77777777" w:rsidR="00C01762" w:rsidRPr="008A2E5A" w:rsidRDefault="00C01762" w:rsidP="004C5D62">
            <w:pPr>
              <w:spacing w:after="0" w:line="240" w:lineRule="auto"/>
              <w:jc w:val="both"/>
              <w:rPr>
                <w:color w:val="0070C0"/>
                <w:sz w:val="16"/>
                <w:szCs w:val="16"/>
              </w:rPr>
            </w:pPr>
          </w:p>
        </w:tc>
        <w:tc>
          <w:tcPr>
            <w:tcW w:w="962" w:type="dxa"/>
          </w:tcPr>
          <w:p w14:paraId="41916AA7" w14:textId="77777777" w:rsidR="00C01762" w:rsidRPr="008A2E5A" w:rsidRDefault="00C01762" w:rsidP="004C5D62">
            <w:pPr>
              <w:spacing w:after="0" w:line="240" w:lineRule="auto"/>
              <w:jc w:val="both"/>
              <w:rPr>
                <w:color w:val="0070C0"/>
                <w:sz w:val="16"/>
                <w:szCs w:val="16"/>
              </w:rPr>
            </w:pPr>
          </w:p>
        </w:tc>
        <w:tc>
          <w:tcPr>
            <w:tcW w:w="636" w:type="dxa"/>
          </w:tcPr>
          <w:p w14:paraId="02B56CED" w14:textId="77777777" w:rsidR="00C01762" w:rsidRPr="008A2E5A" w:rsidRDefault="00C01762" w:rsidP="004C5D62">
            <w:pPr>
              <w:spacing w:after="0" w:line="240" w:lineRule="auto"/>
              <w:jc w:val="both"/>
              <w:rPr>
                <w:color w:val="0070C0"/>
                <w:sz w:val="16"/>
                <w:szCs w:val="16"/>
              </w:rPr>
            </w:pPr>
          </w:p>
        </w:tc>
        <w:tc>
          <w:tcPr>
            <w:tcW w:w="857" w:type="dxa"/>
          </w:tcPr>
          <w:p w14:paraId="052074ED" w14:textId="77777777" w:rsidR="00C01762" w:rsidRPr="008A2E5A" w:rsidRDefault="00C01762" w:rsidP="004C5D62">
            <w:pPr>
              <w:spacing w:after="0" w:line="240" w:lineRule="auto"/>
              <w:jc w:val="both"/>
              <w:rPr>
                <w:color w:val="0070C0"/>
                <w:sz w:val="16"/>
                <w:szCs w:val="16"/>
              </w:rPr>
            </w:pPr>
          </w:p>
        </w:tc>
      </w:tr>
      <w:tr w:rsidR="00C01762" w:rsidRPr="008A2E5A" w14:paraId="1A475B8E" w14:textId="77777777" w:rsidTr="004C5D62">
        <w:tc>
          <w:tcPr>
            <w:tcW w:w="1441" w:type="dxa"/>
          </w:tcPr>
          <w:p w14:paraId="2C435B52" w14:textId="77777777" w:rsidR="00C01762" w:rsidRPr="008A2E5A" w:rsidRDefault="00C01762" w:rsidP="004C5D62">
            <w:pPr>
              <w:spacing w:after="0" w:line="240" w:lineRule="auto"/>
              <w:jc w:val="both"/>
              <w:rPr>
                <w:color w:val="0070C0"/>
                <w:sz w:val="16"/>
                <w:szCs w:val="16"/>
              </w:rPr>
            </w:pPr>
            <w:r w:rsidRPr="008A2E5A">
              <w:rPr>
                <w:color w:val="0070C0"/>
                <w:sz w:val="16"/>
                <w:szCs w:val="16"/>
              </w:rPr>
              <w:t>14.</w:t>
            </w:r>
          </w:p>
        </w:tc>
        <w:tc>
          <w:tcPr>
            <w:tcW w:w="758" w:type="dxa"/>
          </w:tcPr>
          <w:p w14:paraId="2F131568" w14:textId="77777777" w:rsidR="00C01762" w:rsidRPr="008A2E5A" w:rsidRDefault="00C01762" w:rsidP="004C5D62">
            <w:pPr>
              <w:spacing w:after="0" w:line="240" w:lineRule="auto"/>
              <w:jc w:val="both"/>
              <w:rPr>
                <w:color w:val="0070C0"/>
                <w:sz w:val="16"/>
                <w:szCs w:val="16"/>
              </w:rPr>
            </w:pPr>
            <w:r w:rsidRPr="008A2E5A">
              <w:rPr>
                <w:color w:val="0070C0"/>
                <w:sz w:val="16"/>
                <w:szCs w:val="16"/>
              </w:rPr>
              <w:t>ЛаГГ-5</w:t>
            </w:r>
          </w:p>
        </w:tc>
        <w:tc>
          <w:tcPr>
            <w:tcW w:w="680" w:type="dxa"/>
          </w:tcPr>
          <w:p w14:paraId="0A290E9A" w14:textId="77777777" w:rsidR="00C01762" w:rsidRPr="008A2E5A" w:rsidRDefault="00C01762" w:rsidP="004C5D62">
            <w:pPr>
              <w:spacing w:after="0" w:line="240" w:lineRule="auto"/>
              <w:jc w:val="both"/>
              <w:rPr>
                <w:color w:val="0070C0"/>
                <w:sz w:val="16"/>
                <w:szCs w:val="16"/>
              </w:rPr>
            </w:pPr>
            <w:r w:rsidRPr="008A2E5A">
              <w:rPr>
                <w:color w:val="0070C0"/>
                <w:sz w:val="16"/>
                <w:szCs w:val="16"/>
              </w:rPr>
              <w:t>21</w:t>
            </w:r>
          </w:p>
        </w:tc>
        <w:tc>
          <w:tcPr>
            <w:tcW w:w="859" w:type="dxa"/>
          </w:tcPr>
          <w:p w14:paraId="6421D8EC" w14:textId="77777777" w:rsidR="00C01762" w:rsidRPr="008A2E5A" w:rsidRDefault="00C01762" w:rsidP="004C5D62">
            <w:pPr>
              <w:spacing w:after="0" w:line="240" w:lineRule="auto"/>
              <w:jc w:val="both"/>
              <w:rPr>
                <w:color w:val="0070C0"/>
                <w:sz w:val="16"/>
                <w:szCs w:val="16"/>
              </w:rPr>
            </w:pPr>
          </w:p>
        </w:tc>
        <w:tc>
          <w:tcPr>
            <w:tcW w:w="585" w:type="dxa"/>
          </w:tcPr>
          <w:p w14:paraId="018BD1AB" w14:textId="77777777" w:rsidR="00C01762" w:rsidRPr="008A2E5A" w:rsidRDefault="00C01762" w:rsidP="004C5D62">
            <w:pPr>
              <w:spacing w:after="0" w:line="240" w:lineRule="auto"/>
              <w:jc w:val="both"/>
              <w:rPr>
                <w:color w:val="0070C0"/>
                <w:sz w:val="16"/>
                <w:szCs w:val="16"/>
              </w:rPr>
            </w:pPr>
            <w:r w:rsidRPr="008A2E5A">
              <w:rPr>
                <w:color w:val="0070C0"/>
                <w:sz w:val="16"/>
                <w:szCs w:val="16"/>
              </w:rPr>
              <w:t>3 -</w:t>
            </w:r>
          </w:p>
        </w:tc>
        <w:tc>
          <w:tcPr>
            <w:tcW w:w="964" w:type="dxa"/>
          </w:tcPr>
          <w:p w14:paraId="6BF7513B" w14:textId="77777777" w:rsidR="00C01762" w:rsidRPr="008A2E5A" w:rsidRDefault="00C01762" w:rsidP="004C5D62">
            <w:pPr>
              <w:spacing w:after="0" w:line="240" w:lineRule="auto"/>
              <w:jc w:val="both"/>
              <w:rPr>
                <w:color w:val="0070C0"/>
                <w:sz w:val="16"/>
                <w:szCs w:val="16"/>
              </w:rPr>
            </w:pPr>
            <w:r w:rsidRPr="008A2E5A">
              <w:rPr>
                <w:color w:val="0070C0"/>
                <w:sz w:val="16"/>
                <w:szCs w:val="16"/>
              </w:rPr>
              <w:t>1</w:t>
            </w:r>
          </w:p>
        </w:tc>
        <w:tc>
          <w:tcPr>
            <w:tcW w:w="715" w:type="dxa"/>
          </w:tcPr>
          <w:p w14:paraId="09F4228C" w14:textId="77777777" w:rsidR="00C01762" w:rsidRPr="008A2E5A" w:rsidRDefault="00C01762" w:rsidP="004C5D62">
            <w:pPr>
              <w:spacing w:after="0" w:line="240" w:lineRule="auto"/>
              <w:jc w:val="both"/>
              <w:rPr>
                <w:color w:val="0070C0"/>
                <w:sz w:val="16"/>
                <w:szCs w:val="16"/>
              </w:rPr>
            </w:pPr>
            <w:r w:rsidRPr="008A2E5A">
              <w:rPr>
                <w:color w:val="0070C0"/>
                <w:sz w:val="16"/>
                <w:szCs w:val="16"/>
              </w:rPr>
              <w:t>1</w:t>
            </w:r>
          </w:p>
        </w:tc>
        <w:tc>
          <w:tcPr>
            <w:tcW w:w="650" w:type="dxa"/>
          </w:tcPr>
          <w:p w14:paraId="75DE1944" w14:textId="77777777" w:rsidR="00C01762" w:rsidRPr="008A2E5A" w:rsidRDefault="00C01762" w:rsidP="004C5D62">
            <w:pPr>
              <w:spacing w:after="0" w:line="240" w:lineRule="auto"/>
              <w:jc w:val="both"/>
              <w:rPr>
                <w:color w:val="0070C0"/>
                <w:sz w:val="16"/>
                <w:szCs w:val="16"/>
              </w:rPr>
            </w:pPr>
            <w:r w:rsidRPr="008A2E5A">
              <w:rPr>
                <w:color w:val="0070C0"/>
                <w:sz w:val="16"/>
                <w:szCs w:val="16"/>
              </w:rPr>
              <w:t>ш</w:t>
            </w:r>
          </w:p>
        </w:tc>
        <w:tc>
          <w:tcPr>
            <w:tcW w:w="976" w:type="dxa"/>
          </w:tcPr>
          <w:p w14:paraId="647C3FAF" w14:textId="77777777" w:rsidR="00C01762" w:rsidRPr="008A2E5A" w:rsidRDefault="00C01762" w:rsidP="004C5D62">
            <w:pPr>
              <w:spacing w:after="0" w:line="240" w:lineRule="auto"/>
              <w:jc w:val="both"/>
              <w:rPr>
                <w:color w:val="0070C0"/>
                <w:sz w:val="16"/>
                <w:szCs w:val="16"/>
              </w:rPr>
            </w:pPr>
          </w:p>
        </w:tc>
        <w:tc>
          <w:tcPr>
            <w:tcW w:w="599" w:type="dxa"/>
          </w:tcPr>
          <w:p w14:paraId="0DA411B1" w14:textId="77777777" w:rsidR="00C01762" w:rsidRPr="008A2E5A" w:rsidRDefault="00C01762" w:rsidP="004C5D62">
            <w:pPr>
              <w:spacing w:after="0" w:line="240" w:lineRule="auto"/>
              <w:jc w:val="both"/>
              <w:rPr>
                <w:color w:val="0070C0"/>
                <w:sz w:val="16"/>
                <w:szCs w:val="16"/>
              </w:rPr>
            </w:pPr>
            <w:r w:rsidRPr="008A2E5A">
              <w:rPr>
                <w:color w:val="0070C0"/>
                <w:sz w:val="16"/>
                <w:szCs w:val="16"/>
              </w:rPr>
              <w:t>" ;1</w:t>
            </w:r>
          </w:p>
        </w:tc>
        <w:tc>
          <w:tcPr>
            <w:tcW w:w="962" w:type="dxa"/>
          </w:tcPr>
          <w:p w14:paraId="6A47631A" w14:textId="77777777" w:rsidR="00C01762" w:rsidRPr="008A2E5A" w:rsidRDefault="00C01762" w:rsidP="004C5D62">
            <w:pPr>
              <w:spacing w:after="0" w:line="240" w:lineRule="auto"/>
              <w:jc w:val="both"/>
              <w:rPr>
                <w:color w:val="0070C0"/>
                <w:sz w:val="16"/>
                <w:szCs w:val="16"/>
              </w:rPr>
            </w:pPr>
          </w:p>
        </w:tc>
        <w:tc>
          <w:tcPr>
            <w:tcW w:w="636" w:type="dxa"/>
          </w:tcPr>
          <w:p w14:paraId="4FB1D84D" w14:textId="77777777" w:rsidR="00C01762" w:rsidRPr="008A2E5A" w:rsidRDefault="00C01762" w:rsidP="004C5D62">
            <w:pPr>
              <w:spacing w:after="0" w:line="240" w:lineRule="auto"/>
              <w:jc w:val="both"/>
              <w:rPr>
                <w:color w:val="0070C0"/>
                <w:sz w:val="16"/>
                <w:szCs w:val="16"/>
              </w:rPr>
            </w:pPr>
          </w:p>
        </w:tc>
        <w:tc>
          <w:tcPr>
            <w:tcW w:w="857" w:type="dxa"/>
          </w:tcPr>
          <w:p w14:paraId="74C3E579" w14:textId="77777777" w:rsidR="00C01762" w:rsidRPr="008A2E5A" w:rsidRDefault="00C01762" w:rsidP="004C5D62">
            <w:pPr>
              <w:spacing w:after="0" w:line="240" w:lineRule="auto"/>
              <w:jc w:val="both"/>
              <w:rPr>
                <w:color w:val="0070C0"/>
                <w:sz w:val="16"/>
                <w:szCs w:val="16"/>
              </w:rPr>
            </w:pPr>
            <w:r w:rsidRPr="008A2E5A">
              <w:rPr>
                <w:color w:val="0070C0"/>
                <w:sz w:val="16"/>
                <w:szCs w:val="16"/>
              </w:rPr>
              <w:t>1</w:t>
            </w:r>
          </w:p>
        </w:tc>
      </w:tr>
      <w:tr w:rsidR="00C01762" w:rsidRPr="008A2E5A" w14:paraId="0A8908C6" w14:textId="77777777" w:rsidTr="004C5D62">
        <w:tc>
          <w:tcPr>
            <w:tcW w:w="1441" w:type="dxa"/>
          </w:tcPr>
          <w:p w14:paraId="3E900F28" w14:textId="77777777" w:rsidR="00C01762" w:rsidRPr="008A2E5A" w:rsidRDefault="00C01762" w:rsidP="004C5D62">
            <w:pPr>
              <w:spacing w:after="0" w:line="240" w:lineRule="auto"/>
              <w:jc w:val="both"/>
              <w:rPr>
                <w:color w:val="0070C0"/>
                <w:sz w:val="16"/>
                <w:szCs w:val="16"/>
              </w:rPr>
            </w:pPr>
            <w:r w:rsidRPr="008A2E5A">
              <w:rPr>
                <w:color w:val="0070C0"/>
                <w:sz w:val="16"/>
                <w:szCs w:val="16"/>
              </w:rPr>
              <w:t>15.</w:t>
            </w:r>
          </w:p>
        </w:tc>
        <w:tc>
          <w:tcPr>
            <w:tcW w:w="758" w:type="dxa"/>
          </w:tcPr>
          <w:p w14:paraId="37A250B1" w14:textId="77777777" w:rsidR="00C01762" w:rsidRPr="008A2E5A" w:rsidRDefault="00C01762" w:rsidP="004C5D62">
            <w:pPr>
              <w:spacing w:after="0" w:line="240" w:lineRule="auto"/>
              <w:jc w:val="both"/>
              <w:rPr>
                <w:color w:val="0070C0"/>
                <w:sz w:val="16"/>
                <w:szCs w:val="16"/>
              </w:rPr>
            </w:pPr>
            <w:r w:rsidRPr="008A2E5A">
              <w:rPr>
                <w:color w:val="0070C0"/>
                <w:sz w:val="16"/>
                <w:szCs w:val="16"/>
              </w:rPr>
              <w:t>ЛаГГ-3</w:t>
            </w:r>
          </w:p>
        </w:tc>
        <w:tc>
          <w:tcPr>
            <w:tcW w:w="680" w:type="dxa"/>
          </w:tcPr>
          <w:p w14:paraId="68FE6400" w14:textId="77777777" w:rsidR="00C01762" w:rsidRPr="008A2E5A" w:rsidRDefault="00C01762" w:rsidP="004C5D62">
            <w:pPr>
              <w:spacing w:after="0" w:line="240" w:lineRule="auto"/>
              <w:jc w:val="both"/>
              <w:rPr>
                <w:color w:val="0070C0"/>
                <w:sz w:val="16"/>
                <w:szCs w:val="16"/>
              </w:rPr>
            </w:pPr>
            <w:r w:rsidRPr="008A2E5A">
              <w:rPr>
                <w:color w:val="0070C0"/>
                <w:sz w:val="16"/>
                <w:szCs w:val="16"/>
              </w:rPr>
              <w:t>21</w:t>
            </w:r>
          </w:p>
        </w:tc>
        <w:tc>
          <w:tcPr>
            <w:tcW w:w="859" w:type="dxa"/>
          </w:tcPr>
          <w:p w14:paraId="024F3BB4" w14:textId="77777777" w:rsidR="00C01762" w:rsidRPr="008A2E5A" w:rsidRDefault="00C01762" w:rsidP="004C5D62">
            <w:pPr>
              <w:spacing w:after="0" w:line="240" w:lineRule="auto"/>
              <w:jc w:val="both"/>
              <w:rPr>
                <w:color w:val="0070C0"/>
                <w:sz w:val="16"/>
                <w:szCs w:val="16"/>
              </w:rPr>
            </w:pPr>
            <w:r w:rsidRPr="008A2E5A">
              <w:rPr>
                <w:color w:val="0070C0"/>
                <w:sz w:val="16"/>
                <w:szCs w:val="16"/>
              </w:rPr>
              <w:t>1506</w:t>
            </w:r>
          </w:p>
        </w:tc>
        <w:tc>
          <w:tcPr>
            <w:tcW w:w="585" w:type="dxa"/>
          </w:tcPr>
          <w:p w14:paraId="34B22ADA" w14:textId="77777777" w:rsidR="00C01762" w:rsidRPr="008A2E5A" w:rsidRDefault="00C01762" w:rsidP="004C5D62">
            <w:pPr>
              <w:spacing w:after="0" w:line="240" w:lineRule="auto"/>
              <w:jc w:val="both"/>
              <w:rPr>
                <w:color w:val="0070C0"/>
                <w:sz w:val="16"/>
                <w:szCs w:val="16"/>
              </w:rPr>
            </w:pPr>
            <w:r w:rsidRPr="008A2E5A">
              <w:rPr>
                <w:color w:val="0070C0"/>
                <w:sz w:val="16"/>
                <w:szCs w:val="16"/>
              </w:rPr>
              <w:t>200</w:t>
            </w:r>
          </w:p>
        </w:tc>
        <w:tc>
          <w:tcPr>
            <w:tcW w:w="964" w:type="dxa"/>
          </w:tcPr>
          <w:p w14:paraId="3222CB75" w14:textId="77777777" w:rsidR="00C01762" w:rsidRPr="008A2E5A" w:rsidRDefault="00C01762" w:rsidP="004C5D62">
            <w:pPr>
              <w:spacing w:after="0" w:line="240" w:lineRule="auto"/>
              <w:jc w:val="both"/>
              <w:rPr>
                <w:color w:val="0070C0"/>
                <w:sz w:val="16"/>
                <w:szCs w:val="16"/>
              </w:rPr>
            </w:pPr>
            <w:r w:rsidRPr="008A2E5A">
              <w:rPr>
                <w:color w:val="0070C0"/>
                <w:sz w:val="16"/>
                <w:szCs w:val="16"/>
              </w:rPr>
              <w:t>1376</w:t>
            </w:r>
          </w:p>
        </w:tc>
        <w:tc>
          <w:tcPr>
            <w:tcW w:w="715" w:type="dxa"/>
          </w:tcPr>
          <w:p w14:paraId="7BE42550" w14:textId="77777777" w:rsidR="00C01762" w:rsidRPr="008A2E5A" w:rsidRDefault="00C01762" w:rsidP="004C5D62">
            <w:pPr>
              <w:spacing w:after="0" w:line="240" w:lineRule="auto"/>
              <w:jc w:val="both"/>
              <w:rPr>
                <w:color w:val="0070C0"/>
                <w:sz w:val="16"/>
                <w:szCs w:val="16"/>
              </w:rPr>
            </w:pPr>
            <w:r w:rsidRPr="008A2E5A">
              <w:rPr>
                <w:color w:val="0070C0"/>
                <w:sz w:val="16"/>
                <w:szCs w:val="16"/>
              </w:rPr>
              <w:t>195.</w:t>
            </w:r>
          </w:p>
        </w:tc>
        <w:tc>
          <w:tcPr>
            <w:tcW w:w="650" w:type="dxa"/>
          </w:tcPr>
          <w:p w14:paraId="7A7857C8" w14:textId="77777777" w:rsidR="00C01762" w:rsidRPr="008A2E5A" w:rsidRDefault="00C01762" w:rsidP="004C5D62">
            <w:pPr>
              <w:spacing w:after="0" w:line="240" w:lineRule="auto"/>
              <w:jc w:val="both"/>
              <w:rPr>
                <w:color w:val="0070C0"/>
                <w:sz w:val="16"/>
                <w:szCs w:val="16"/>
              </w:rPr>
            </w:pPr>
            <w:r w:rsidRPr="008A2E5A">
              <w:rPr>
                <w:color w:val="0070C0"/>
                <w:sz w:val="16"/>
                <w:szCs w:val="16"/>
              </w:rPr>
              <w:t>240</w:t>
            </w:r>
          </w:p>
        </w:tc>
        <w:tc>
          <w:tcPr>
            <w:tcW w:w="976" w:type="dxa"/>
          </w:tcPr>
          <w:p w14:paraId="75CC9F3F" w14:textId="77777777" w:rsidR="00C01762" w:rsidRPr="008A2E5A" w:rsidRDefault="00C01762" w:rsidP="004C5D62">
            <w:pPr>
              <w:spacing w:after="0" w:line="240" w:lineRule="auto"/>
              <w:jc w:val="both"/>
              <w:rPr>
                <w:color w:val="0070C0"/>
                <w:sz w:val="16"/>
                <w:szCs w:val="16"/>
              </w:rPr>
            </w:pPr>
            <w:r w:rsidRPr="008A2E5A">
              <w:rPr>
                <w:color w:val="0070C0"/>
                <w:sz w:val="16"/>
                <w:szCs w:val="16"/>
              </w:rPr>
              <w:t>91,3</w:t>
            </w:r>
          </w:p>
        </w:tc>
        <w:tc>
          <w:tcPr>
            <w:tcW w:w="599" w:type="dxa"/>
          </w:tcPr>
          <w:p w14:paraId="46061D03" w14:textId="77777777" w:rsidR="00C01762" w:rsidRPr="008A2E5A" w:rsidRDefault="00C01762" w:rsidP="004C5D62">
            <w:pPr>
              <w:spacing w:after="0" w:line="240" w:lineRule="auto"/>
              <w:jc w:val="both"/>
              <w:rPr>
                <w:color w:val="0070C0"/>
                <w:sz w:val="16"/>
                <w:szCs w:val="16"/>
              </w:rPr>
            </w:pPr>
            <w:r w:rsidRPr="008A2E5A">
              <w:rPr>
                <w:color w:val="0070C0"/>
                <w:sz w:val="16"/>
                <w:szCs w:val="16"/>
              </w:rPr>
              <w:t>97,5</w:t>
            </w:r>
          </w:p>
        </w:tc>
        <w:tc>
          <w:tcPr>
            <w:tcW w:w="962" w:type="dxa"/>
          </w:tcPr>
          <w:p w14:paraId="7393CFEF" w14:textId="77777777" w:rsidR="00C01762" w:rsidRPr="008A2E5A" w:rsidRDefault="00C01762" w:rsidP="004C5D62">
            <w:pPr>
              <w:spacing w:after="0" w:line="240" w:lineRule="auto"/>
              <w:jc w:val="both"/>
              <w:rPr>
                <w:color w:val="0070C0"/>
                <w:sz w:val="16"/>
                <w:szCs w:val="16"/>
              </w:rPr>
            </w:pPr>
            <w:r w:rsidRPr="008A2E5A">
              <w:rPr>
                <w:color w:val="0070C0"/>
                <w:sz w:val="16"/>
                <w:szCs w:val="16"/>
              </w:rPr>
              <w:t>238</w:t>
            </w:r>
          </w:p>
        </w:tc>
        <w:tc>
          <w:tcPr>
            <w:tcW w:w="636" w:type="dxa"/>
          </w:tcPr>
          <w:p w14:paraId="089CE77C" w14:textId="77777777" w:rsidR="00C01762" w:rsidRPr="008A2E5A" w:rsidRDefault="00C01762" w:rsidP="004C5D62">
            <w:pPr>
              <w:spacing w:after="0" w:line="240" w:lineRule="auto"/>
              <w:jc w:val="both"/>
              <w:rPr>
                <w:color w:val="0070C0"/>
                <w:sz w:val="16"/>
                <w:szCs w:val="16"/>
              </w:rPr>
            </w:pPr>
            <w:r w:rsidRPr="008A2E5A">
              <w:rPr>
                <w:color w:val="0070C0"/>
                <w:sz w:val="16"/>
                <w:szCs w:val="16"/>
              </w:rPr>
              <w:t>1477</w:t>
            </w:r>
          </w:p>
        </w:tc>
        <w:tc>
          <w:tcPr>
            <w:tcW w:w="857" w:type="dxa"/>
          </w:tcPr>
          <w:p w14:paraId="066923A4" w14:textId="77777777" w:rsidR="00C01762" w:rsidRPr="008A2E5A" w:rsidRDefault="00C01762" w:rsidP="004C5D62">
            <w:pPr>
              <w:spacing w:after="0" w:line="240" w:lineRule="auto"/>
              <w:jc w:val="both"/>
              <w:rPr>
                <w:color w:val="0070C0"/>
                <w:sz w:val="16"/>
                <w:szCs w:val="16"/>
              </w:rPr>
            </w:pPr>
            <w:r w:rsidRPr="008A2E5A">
              <w:rPr>
                <w:color w:val="0070C0"/>
                <w:sz w:val="16"/>
                <w:szCs w:val="16"/>
              </w:rPr>
              <w:t>28</w:t>
            </w:r>
          </w:p>
        </w:tc>
      </w:tr>
      <w:tr w:rsidR="00C01762" w:rsidRPr="008A2E5A" w14:paraId="4BA87EB9" w14:textId="77777777" w:rsidTr="004C5D62">
        <w:tc>
          <w:tcPr>
            <w:tcW w:w="1441" w:type="dxa"/>
          </w:tcPr>
          <w:p w14:paraId="46223E44" w14:textId="77777777" w:rsidR="00C01762" w:rsidRPr="008A2E5A" w:rsidRDefault="00C01762" w:rsidP="004C5D62">
            <w:pPr>
              <w:spacing w:after="0" w:line="240" w:lineRule="auto"/>
              <w:jc w:val="both"/>
              <w:rPr>
                <w:color w:val="0070C0"/>
                <w:sz w:val="16"/>
                <w:szCs w:val="16"/>
              </w:rPr>
            </w:pPr>
            <w:r w:rsidRPr="008A2E5A">
              <w:rPr>
                <w:color w:val="0070C0"/>
                <w:sz w:val="16"/>
                <w:szCs w:val="16"/>
              </w:rPr>
              <w:t>16.</w:t>
            </w:r>
          </w:p>
        </w:tc>
        <w:tc>
          <w:tcPr>
            <w:tcW w:w="758" w:type="dxa"/>
          </w:tcPr>
          <w:p w14:paraId="2ABB823C" w14:textId="77777777" w:rsidR="00C01762" w:rsidRPr="008A2E5A" w:rsidRDefault="00C01762" w:rsidP="004C5D62">
            <w:pPr>
              <w:spacing w:after="0" w:line="240" w:lineRule="auto"/>
              <w:jc w:val="both"/>
              <w:rPr>
                <w:color w:val="0070C0"/>
                <w:sz w:val="16"/>
                <w:szCs w:val="16"/>
              </w:rPr>
            </w:pPr>
            <w:r w:rsidRPr="008A2E5A">
              <w:rPr>
                <w:color w:val="0070C0"/>
                <w:sz w:val="16"/>
                <w:szCs w:val="16"/>
              </w:rPr>
              <w:t>ЛаГГ-3</w:t>
            </w:r>
          </w:p>
        </w:tc>
        <w:tc>
          <w:tcPr>
            <w:tcW w:w="680" w:type="dxa"/>
          </w:tcPr>
          <w:p w14:paraId="767FEEDE" w14:textId="77777777" w:rsidR="00C01762" w:rsidRPr="008A2E5A" w:rsidRDefault="00C01762" w:rsidP="004C5D62">
            <w:pPr>
              <w:spacing w:after="0" w:line="240" w:lineRule="auto"/>
              <w:jc w:val="both"/>
              <w:rPr>
                <w:color w:val="0070C0"/>
                <w:sz w:val="16"/>
                <w:szCs w:val="16"/>
              </w:rPr>
            </w:pPr>
            <w:r w:rsidRPr="008A2E5A">
              <w:rPr>
                <w:color w:val="0070C0"/>
                <w:sz w:val="16"/>
                <w:szCs w:val="16"/>
              </w:rPr>
              <w:t>31</w:t>
            </w:r>
          </w:p>
        </w:tc>
        <w:tc>
          <w:tcPr>
            <w:tcW w:w="859" w:type="dxa"/>
          </w:tcPr>
          <w:p w14:paraId="24FBA7E5" w14:textId="77777777" w:rsidR="00C01762" w:rsidRPr="008A2E5A" w:rsidRDefault="00C01762" w:rsidP="004C5D62">
            <w:pPr>
              <w:spacing w:after="0" w:line="240" w:lineRule="auto"/>
              <w:jc w:val="both"/>
              <w:rPr>
                <w:color w:val="0070C0"/>
                <w:sz w:val="16"/>
                <w:szCs w:val="16"/>
              </w:rPr>
            </w:pPr>
            <w:r w:rsidRPr="008A2E5A">
              <w:rPr>
                <w:color w:val="0070C0"/>
                <w:sz w:val="16"/>
                <w:szCs w:val="16"/>
              </w:rPr>
              <w:t>420</w:t>
            </w:r>
          </w:p>
        </w:tc>
        <w:tc>
          <w:tcPr>
            <w:tcW w:w="585" w:type="dxa"/>
          </w:tcPr>
          <w:p w14:paraId="6564CFBC" w14:textId="77777777" w:rsidR="00C01762" w:rsidRPr="008A2E5A" w:rsidRDefault="00C01762" w:rsidP="004C5D62">
            <w:pPr>
              <w:spacing w:after="0" w:line="240" w:lineRule="auto"/>
              <w:jc w:val="both"/>
              <w:rPr>
                <w:color w:val="0070C0"/>
                <w:sz w:val="16"/>
                <w:szCs w:val="16"/>
              </w:rPr>
            </w:pPr>
            <w:r w:rsidRPr="008A2E5A">
              <w:rPr>
                <w:color w:val="0070C0"/>
                <w:sz w:val="16"/>
                <w:szCs w:val="16"/>
              </w:rPr>
              <w:t>112</w:t>
            </w:r>
          </w:p>
        </w:tc>
        <w:tc>
          <w:tcPr>
            <w:tcW w:w="964" w:type="dxa"/>
          </w:tcPr>
          <w:p w14:paraId="67824D70" w14:textId="77777777" w:rsidR="00C01762" w:rsidRPr="008A2E5A" w:rsidRDefault="00C01762" w:rsidP="004C5D62">
            <w:pPr>
              <w:spacing w:after="0" w:line="240" w:lineRule="auto"/>
              <w:jc w:val="both"/>
              <w:rPr>
                <w:color w:val="0070C0"/>
                <w:sz w:val="16"/>
                <w:szCs w:val="16"/>
              </w:rPr>
            </w:pPr>
            <w:r w:rsidRPr="008A2E5A">
              <w:rPr>
                <w:color w:val="0070C0"/>
                <w:sz w:val="16"/>
                <w:szCs w:val="16"/>
              </w:rPr>
              <w:t>324</w:t>
            </w:r>
          </w:p>
        </w:tc>
        <w:tc>
          <w:tcPr>
            <w:tcW w:w="715" w:type="dxa"/>
          </w:tcPr>
          <w:p w14:paraId="0CE1C258" w14:textId="77777777" w:rsidR="00C01762" w:rsidRPr="008A2E5A" w:rsidRDefault="00C01762" w:rsidP="004C5D62">
            <w:pPr>
              <w:spacing w:after="0" w:line="240" w:lineRule="auto"/>
              <w:jc w:val="both"/>
              <w:rPr>
                <w:color w:val="0070C0"/>
                <w:sz w:val="16"/>
                <w:szCs w:val="16"/>
              </w:rPr>
            </w:pPr>
            <w:r w:rsidRPr="008A2E5A">
              <w:rPr>
                <w:color w:val="0070C0"/>
                <w:sz w:val="16"/>
                <w:szCs w:val="16"/>
              </w:rPr>
              <w:t>112</w:t>
            </w:r>
          </w:p>
        </w:tc>
        <w:tc>
          <w:tcPr>
            <w:tcW w:w="650" w:type="dxa"/>
          </w:tcPr>
          <w:p w14:paraId="4BE958B9" w14:textId="77777777" w:rsidR="00C01762" w:rsidRPr="008A2E5A" w:rsidRDefault="00C01762" w:rsidP="004C5D62">
            <w:pPr>
              <w:spacing w:after="0" w:line="240" w:lineRule="auto"/>
              <w:jc w:val="both"/>
              <w:rPr>
                <w:color w:val="0070C0"/>
                <w:sz w:val="16"/>
                <w:szCs w:val="16"/>
              </w:rPr>
            </w:pPr>
            <w:r w:rsidRPr="008A2E5A">
              <w:rPr>
                <w:color w:val="0070C0"/>
                <w:sz w:val="16"/>
                <w:szCs w:val="16"/>
              </w:rPr>
              <w:t>112</w:t>
            </w:r>
          </w:p>
        </w:tc>
        <w:tc>
          <w:tcPr>
            <w:tcW w:w="976" w:type="dxa"/>
          </w:tcPr>
          <w:p w14:paraId="51FD983C" w14:textId="77777777" w:rsidR="00C01762" w:rsidRPr="008A2E5A" w:rsidRDefault="00C01762" w:rsidP="004C5D62">
            <w:pPr>
              <w:spacing w:after="0" w:line="240" w:lineRule="auto"/>
              <w:jc w:val="both"/>
              <w:rPr>
                <w:color w:val="0070C0"/>
                <w:sz w:val="16"/>
                <w:szCs w:val="16"/>
              </w:rPr>
            </w:pPr>
            <w:r w:rsidRPr="008A2E5A">
              <w:rPr>
                <w:color w:val="0070C0"/>
                <w:sz w:val="16"/>
                <w:szCs w:val="16"/>
              </w:rPr>
              <w:t>77,2</w:t>
            </w:r>
          </w:p>
        </w:tc>
        <w:tc>
          <w:tcPr>
            <w:tcW w:w="599" w:type="dxa"/>
          </w:tcPr>
          <w:p w14:paraId="08C60646" w14:textId="77777777" w:rsidR="00C01762" w:rsidRPr="008A2E5A" w:rsidRDefault="00C01762" w:rsidP="004C5D62">
            <w:pPr>
              <w:spacing w:after="0" w:line="240" w:lineRule="auto"/>
              <w:jc w:val="both"/>
              <w:rPr>
                <w:color w:val="0070C0"/>
                <w:sz w:val="16"/>
                <w:szCs w:val="16"/>
              </w:rPr>
            </w:pPr>
            <w:r w:rsidRPr="008A2E5A">
              <w:rPr>
                <w:color w:val="0070C0"/>
                <w:sz w:val="16"/>
                <w:szCs w:val="16"/>
              </w:rPr>
              <w:t>100,0</w:t>
            </w:r>
          </w:p>
        </w:tc>
        <w:tc>
          <w:tcPr>
            <w:tcW w:w="962" w:type="dxa"/>
          </w:tcPr>
          <w:p w14:paraId="2FEB620E" w14:textId="77777777" w:rsidR="00C01762" w:rsidRPr="008A2E5A" w:rsidRDefault="00C01762" w:rsidP="004C5D62">
            <w:pPr>
              <w:spacing w:after="0" w:line="240" w:lineRule="auto"/>
              <w:jc w:val="both"/>
              <w:rPr>
                <w:color w:val="0070C0"/>
                <w:sz w:val="16"/>
                <w:szCs w:val="16"/>
              </w:rPr>
            </w:pPr>
            <w:r w:rsidRPr="008A2E5A">
              <w:rPr>
                <w:color w:val="0070C0"/>
                <w:sz w:val="16"/>
                <w:szCs w:val="16"/>
              </w:rPr>
              <w:t>102</w:t>
            </w:r>
          </w:p>
        </w:tc>
        <w:tc>
          <w:tcPr>
            <w:tcW w:w="636" w:type="dxa"/>
          </w:tcPr>
          <w:p w14:paraId="741D7685" w14:textId="77777777" w:rsidR="00C01762" w:rsidRPr="008A2E5A" w:rsidRDefault="00C01762" w:rsidP="004C5D62">
            <w:pPr>
              <w:spacing w:after="0" w:line="240" w:lineRule="auto"/>
              <w:jc w:val="both"/>
              <w:rPr>
                <w:color w:val="0070C0"/>
                <w:sz w:val="16"/>
                <w:szCs w:val="16"/>
              </w:rPr>
            </w:pPr>
            <w:r w:rsidRPr="008A2E5A">
              <w:rPr>
                <w:color w:val="0070C0"/>
                <w:sz w:val="16"/>
                <w:szCs w:val="16"/>
              </w:rPr>
              <w:t>296</w:t>
            </w:r>
          </w:p>
        </w:tc>
        <w:tc>
          <w:tcPr>
            <w:tcW w:w="857" w:type="dxa"/>
          </w:tcPr>
          <w:p w14:paraId="2958B871" w14:textId="77777777" w:rsidR="00C01762" w:rsidRPr="008A2E5A" w:rsidRDefault="00C01762" w:rsidP="004C5D62">
            <w:pPr>
              <w:spacing w:after="0" w:line="240" w:lineRule="auto"/>
              <w:jc w:val="both"/>
              <w:rPr>
                <w:color w:val="0070C0"/>
                <w:sz w:val="16"/>
                <w:szCs w:val="16"/>
              </w:rPr>
            </w:pPr>
            <w:r w:rsidRPr="008A2E5A">
              <w:rPr>
                <w:color w:val="0070C0"/>
                <w:sz w:val="16"/>
                <w:szCs w:val="16"/>
              </w:rPr>
              <w:t>63</w:t>
            </w:r>
          </w:p>
        </w:tc>
      </w:tr>
      <w:tr w:rsidR="00C01762" w:rsidRPr="008A2E5A" w14:paraId="55903804" w14:textId="77777777" w:rsidTr="004C5D62">
        <w:tc>
          <w:tcPr>
            <w:tcW w:w="1441" w:type="dxa"/>
          </w:tcPr>
          <w:p w14:paraId="1A12577A" w14:textId="77777777" w:rsidR="00C01762" w:rsidRPr="008A2E5A" w:rsidRDefault="00C01762" w:rsidP="004C5D62">
            <w:pPr>
              <w:spacing w:after="0" w:line="240" w:lineRule="auto"/>
              <w:jc w:val="both"/>
              <w:rPr>
                <w:color w:val="0070C0"/>
                <w:sz w:val="16"/>
                <w:szCs w:val="16"/>
              </w:rPr>
            </w:pPr>
            <w:r w:rsidRPr="008A2E5A">
              <w:rPr>
                <w:color w:val="0070C0"/>
                <w:sz w:val="16"/>
                <w:szCs w:val="16"/>
              </w:rPr>
              <w:t>17.</w:t>
            </w:r>
          </w:p>
        </w:tc>
        <w:tc>
          <w:tcPr>
            <w:tcW w:w="758" w:type="dxa"/>
          </w:tcPr>
          <w:p w14:paraId="4CB295BF" w14:textId="77777777" w:rsidR="00C01762" w:rsidRPr="008A2E5A" w:rsidRDefault="00C01762" w:rsidP="004C5D62">
            <w:pPr>
              <w:spacing w:after="0" w:line="240" w:lineRule="auto"/>
              <w:jc w:val="both"/>
              <w:rPr>
                <w:color w:val="0070C0"/>
                <w:sz w:val="16"/>
                <w:szCs w:val="16"/>
              </w:rPr>
            </w:pPr>
            <w:r w:rsidRPr="008A2E5A">
              <w:rPr>
                <w:color w:val="0070C0"/>
                <w:sz w:val="16"/>
                <w:szCs w:val="16"/>
              </w:rPr>
              <w:t>ЛаГГ-3</w:t>
            </w:r>
          </w:p>
        </w:tc>
        <w:tc>
          <w:tcPr>
            <w:tcW w:w="680" w:type="dxa"/>
          </w:tcPr>
          <w:p w14:paraId="7A27A397" w14:textId="77777777" w:rsidR="00C01762" w:rsidRPr="008A2E5A" w:rsidRDefault="00C01762" w:rsidP="004C5D62">
            <w:pPr>
              <w:spacing w:after="0" w:line="240" w:lineRule="auto"/>
              <w:jc w:val="both"/>
              <w:rPr>
                <w:color w:val="0070C0"/>
                <w:sz w:val="16"/>
                <w:szCs w:val="16"/>
              </w:rPr>
            </w:pPr>
            <w:r w:rsidRPr="008A2E5A">
              <w:rPr>
                <w:color w:val="0070C0"/>
                <w:sz w:val="16"/>
                <w:szCs w:val="16"/>
              </w:rPr>
              <w:t>153</w:t>
            </w:r>
          </w:p>
        </w:tc>
        <w:tc>
          <w:tcPr>
            <w:tcW w:w="859" w:type="dxa"/>
          </w:tcPr>
          <w:p w14:paraId="5DBBC493" w14:textId="77777777" w:rsidR="00C01762" w:rsidRPr="008A2E5A" w:rsidRDefault="00C01762" w:rsidP="004C5D62">
            <w:pPr>
              <w:spacing w:after="0" w:line="240" w:lineRule="auto"/>
              <w:jc w:val="both"/>
              <w:rPr>
                <w:color w:val="0070C0"/>
                <w:sz w:val="16"/>
                <w:szCs w:val="16"/>
              </w:rPr>
            </w:pPr>
            <w:r w:rsidRPr="008A2E5A">
              <w:rPr>
                <w:color w:val="0070C0"/>
                <w:sz w:val="16"/>
                <w:szCs w:val="16"/>
              </w:rPr>
              <w:t>150</w:t>
            </w:r>
          </w:p>
        </w:tc>
        <w:tc>
          <w:tcPr>
            <w:tcW w:w="585" w:type="dxa"/>
          </w:tcPr>
          <w:p w14:paraId="07712AD3" w14:textId="77777777" w:rsidR="00C01762" w:rsidRPr="008A2E5A" w:rsidRDefault="00C01762" w:rsidP="004C5D62">
            <w:pPr>
              <w:spacing w:after="0" w:line="240" w:lineRule="auto"/>
              <w:jc w:val="both"/>
              <w:rPr>
                <w:color w:val="0070C0"/>
                <w:sz w:val="16"/>
                <w:szCs w:val="16"/>
              </w:rPr>
            </w:pPr>
            <w:r w:rsidRPr="008A2E5A">
              <w:rPr>
                <w:color w:val="0070C0"/>
                <w:sz w:val="16"/>
                <w:szCs w:val="16"/>
              </w:rPr>
              <w:t>,•! m2</w:t>
            </w:r>
          </w:p>
        </w:tc>
        <w:tc>
          <w:tcPr>
            <w:tcW w:w="964" w:type="dxa"/>
          </w:tcPr>
          <w:p w14:paraId="1B8497F4" w14:textId="77777777" w:rsidR="00C01762" w:rsidRPr="008A2E5A" w:rsidRDefault="00C01762" w:rsidP="004C5D62">
            <w:pPr>
              <w:spacing w:after="0" w:line="240" w:lineRule="auto"/>
              <w:jc w:val="both"/>
              <w:rPr>
                <w:color w:val="0070C0"/>
                <w:sz w:val="16"/>
                <w:szCs w:val="16"/>
              </w:rPr>
            </w:pPr>
            <w:r w:rsidRPr="008A2E5A">
              <w:rPr>
                <w:color w:val="0070C0"/>
                <w:sz w:val="16"/>
                <w:szCs w:val="16"/>
              </w:rPr>
              <w:t>65</w:t>
            </w:r>
          </w:p>
        </w:tc>
        <w:tc>
          <w:tcPr>
            <w:tcW w:w="715" w:type="dxa"/>
          </w:tcPr>
          <w:p w14:paraId="48C62110" w14:textId="77777777" w:rsidR="00C01762" w:rsidRPr="008A2E5A" w:rsidRDefault="00C01762" w:rsidP="004C5D62">
            <w:pPr>
              <w:spacing w:after="0" w:line="240" w:lineRule="auto"/>
              <w:jc w:val="both"/>
              <w:rPr>
                <w:color w:val="0070C0"/>
                <w:sz w:val="16"/>
                <w:szCs w:val="16"/>
              </w:rPr>
            </w:pPr>
            <w:r w:rsidRPr="008A2E5A">
              <w:rPr>
                <w:color w:val="0070C0"/>
                <w:sz w:val="16"/>
                <w:szCs w:val="16"/>
              </w:rPr>
              <w:t>-</w:t>
            </w:r>
          </w:p>
        </w:tc>
        <w:tc>
          <w:tcPr>
            <w:tcW w:w="650" w:type="dxa"/>
          </w:tcPr>
          <w:p w14:paraId="73EF5034" w14:textId="77777777" w:rsidR="00C01762" w:rsidRPr="008A2E5A" w:rsidRDefault="00C01762" w:rsidP="004C5D62">
            <w:pPr>
              <w:spacing w:after="0" w:line="240" w:lineRule="auto"/>
              <w:jc w:val="both"/>
              <w:rPr>
                <w:color w:val="0070C0"/>
                <w:sz w:val="16"/>
                <w:szCs w:val="16"/>
              </w:rPr>
            </w:pPr>
            <w:r w:rsidRPr="008A2E5A">
              <w:rPr>
                <w:color w:val="0070C0"/>
                <w:sz w:val="16"/>
                <w:szCs w:val="16"/>
              </w:rPr>
              <w:t>ДНЁь</w:t>
            </w:r>
          </w:p>
        </w:tc>
        <w:tc>
          <w:tcPr>
            <w:tcW w:w="976" w:type="dxa"/>
          </w:tcPr>
          <w:p w14:paraId="3EE4E296" w14:textId="77777777" w:rsidR="00C01762" w:rsidRPr="008A2E5A" w:rsidRDefault="00C01762" w:rsidP="004C5D62">
            <w:pPr>
              <w:spacing w:after="0" w:line="240" w:lineRule="auto"/>
              <w:jc w:val="both"/>
              <w:rPr>
                <w:color w:val="0070C0"/>
                <w:sz w:val="16"/>
                <w:szCs w:val="16"/>
              </w:rPr>
            </w:pPr>
            <w:r w:rsidRPr="008A2E5A">
              <w:rPr>
                <w:color w:val="0070C0"/>
                <w:sz w:val="16"/>
                <w:szCs w:val="16"/>
              </w:rPr>
              <w:t>43,3</w:t>
            </w:r>
          </w:p>
        </w:tc>
        <w:tc>
          <w:tcPr>
            <w:tcW w:w="599" w:type="dxa"/>
          </w:tcPr>
          <w:p w14:paraId="6DD56C88" w14:textId="77777777" w:rsidR="00C01762" w:rsidRPr="008A2E5A" w:rsidRDefault="00C01762" w:rsidP="004C5D62">
            <w:pPr>
              <w:spacing w:after="0" w:line="240" w:lineRule="auto"/>
              <w:jc w:val="both"/>
              <w:rPr>
                <w:color w:val="0070C0"/>
                <w:sz w:val="16"/>
                <w:szCs w:val="16"/>
              </w:rPr>
            </w:pPr>
          </w:p>
        </w:tc>
        <w:tc>
          <w:tcPr>
            <w:tcW w:w="962" w:type="dxa"/>
          </w:tcPr>
          <w:p w14:paraId="2FB187A8" w14:textId="77777777" w:rsidR="00C01762" w:rsidRPr="008A2E5A" w:rsidRDefault="00C01762" w:rsidP="004C5D62">
            <w:pPr>
              <w:spacing w:after="0" w:line="240" w:lineRule="auto"/>
              <w:jc w:val="both"/>
              <w:rPr>
                <w:color w:val="0070C0"/>
                <w:sz w:val="16"/>
                <w:szCs w:val="16"/>
              </w:rPr>
            </w:pPr>
          </w:p>
        </w:tc>
        <w:tc>
          <w:tcPr>
            <w:tcW w:w="636" w:type="dxa"/>
          </w:tcPr>
          <w:p w14:paraId="48AE0163" w14:textId="77777777" w:rsidR="00C01762" w:rsidRPr="008A2E5A" w:rsidRDefault="00C01762" w:rsidP="004C5D62">
            <w:pPr>
              <w:spacing w:after="0" w:line="240" w:lineRule="auto"/>
              <w:jc w:val="both"/>
              <w:rPr>
                <w:color w:val="0070C0"/>
                <w:sz w:val="16"/>
                <w:szCs w:val="16"/>
              </w:rPr>
            </w:pPr>
            <w:r w:rsidRPr="008A2E5A">
              <w:rPr>
                <w:color w:val="0070C0"/>
                <w:sz w:val="16"/>
                <w:szCs w:val="16"/>
              </w:rPr>
              <w:t>140</w:t>
            </w:r>
          </w:p>
        </w:tc>
        <w:tc>
          <w:tcPr>
            <w:tcW w:w="857" w:type="dxa"/>
          </w:tcPr>
          <w:p w14:paraId="56780622" w14:textId="77777777" w:rsidR="00C01762" w:rsidRPr="008A2E5A" w:rsidRDefault="00C01762" w:rsidP="004C5D62">
            <w:pPr>
              <w:spacing w:after="0" w:line="240" w:lineRule="auto"/>
              <w:jc w:val="both"/>
              <w:rPr>
                <w:color w:val="0070C0"/>
                <w:sz w:val="16"/>
                <w:szCs w:val="16"/>
              </w:rPr>
            </w:pPr>
          </w:p>
        </w:tc>
      </w:tr>
      <w:tr w:rsidR="00C01762" w:rsidRPr="008A2E5A" w14:paraId="0E33E1B6" w14:textId="77777777" w:rsidTr="004C5D62">
        <w:tc>
          <w:tcPr>
            <w:tcW w:w="1441" w:type="dxa"/>
          </w:tcPr>
          <w:p w14:paraId="18C1E05A" w14:textId="77777777" w:rsidR="00C01762" w:rsidRPr="008A2E5A" w:rsidRDefault="00C01762" w:rsidP="004C5D62">
            <w:pPr>
              <w:spacing w:after="0" w:line="240" w:lineRule="auto"/>
              <w:jc w:val="both"/>
              <w:rPr>
                <w:color w:val="0070C0"/>
                <w:sz w:val="16"/>
                <w:szCs w:val="16"/>
              </w:rPr>
            </w:pPr>
            <w:r w:rsidRPr="008A2E5A">
              <w:rPr>
                <w:color w:val="0070C0"/>
                <w:sz w:val="16"/>
                <w:szCs w:val="16"/>
              </w:rPr>
              <w:t>18.</w:t>
            </w:r>
          </w:p>
        </w:tc>
        <w:tc>
          <w:tcPr>
            <w:tcW w:w="758" w:type="dxa"/>
          </w:tcPr>
          <w:p w14:paraId="60C88993" w14:textId="77777777" w:rsidR="00C01762" w:rsidRPr="008A2E5A" w:rsidRDefault="00C01762" w:rsidP="004C5D62">
            <w:pPr>
              <w:spacing w:after="0" w:line="240" w:lineRule="auto"/>
              <w:jc w:val="both"/>
              <w:rPr>
                <w:color w:val="0070C0"/>
                <w:sz w:val="16"/>
                <w:szCs w:val="16"/>
              </w:rPr>
            </w:pPr>
            <w:r w:rsidRPr="008A2E5A">
              <w:rPr>
                <w:color w:val="0070C0"/>
                <w:sz w:val="16"/>
                <w:szCs w:val="16"/>
              </w:rPr>
              <w:t>Як-7  боевой</w:t>
            </w:r>
          </w:p>
        </w:tc>
        <w:tc>
          <w:tcPr>
            <w:tcW w:w="680" w:type="dxa"/>
          </w:tcPr>
          <w:p w14:paraId="0852C50A" w14:textId="77777777" w:rsidR="00C01762" w:rsidRPr="008A2E5A" w:rsidRDefault="00C01762" w:rsidP="004C5D62">
            <w:pPr>
              <w:spacing w:after="0" w:line="240" w:lineRule="auto"/>
              <w:jc w:val="both"/>
              <w:rPr>
                <w:color w:val="0070C0"/>
                <w:sz w:val="16"/>
                <w:szCs w:val="16"/>
              </w:rPr>
            </w:pPr>
            <w:r w:rsidRPr="008A2E5A">
              <w:rPr>
                <w:color w:val="0070C0"/>
                <w:sz w:val="16"/>
                <w:szCs w:val="16"/>
              </w:rPr>
              <w:t>158</w:t>
            </w:r>
          </w:p>
        </w:tc>
        <w:tc>
          <w:tcPr>
            <w:tcW w:w="859" w:type="dxa"/>
          </w:tcPr>
          <w:p w14:paraId="6A5DD50A" w14:textId="77777777" w:rsidR="00C01762" w:rsidRPr="008A2E5A" w:rsidRDefault="00C01762" w:rsidP="004C5D62">
            <w:pPr>
              <w:spacing w:after="0" w:line="240" w:lineRule="auto"/>
              <w:jc w:val="both"/>
              <w:rPr>
                <w:color w:val="0070C0"/>
                <w:sz w:val="16"/>
                <w:szCs w:val="16"/>
              </w:rPr>
            </w:pPr>
            <w:r w:rsidRPr="008A2E5A">
              <w:rPr>
                <w:color w:val="0070C0"/>
                <w:sz w:val="16"/>
                <w:szCs w:val="16"/>
              </w:rPr>
              <w:t>744</w:t>
            </w:r>
          </w:p>
        </w:tc>
        <w:tc>
          <w:tcPr>
            <w:tcW w:w="585" w:type="dxa"/>
          </w:tcPr>
          <w:p w14:paraId="2CC2DA9E" w14:textId="77777777" w:rsidR="00C01762" w:rsidRPr="008A2E5A" w:rsidRDefault="00C01762" w:rsidP="004C5D62">
            <w:pPr>
              <w:spacing w:after="0" w:line="240" w:lineRule="auto"/>
              <w:jc w:val="both"/>
              <w:rPr>
                <w:color w:val="0070C0"/>
                <w:sz w:val="16"/>
                <w:szCs w:val="16"/>
              </w:rPr>
            </w:pPr>
            <w:r w:rsidRPr="008A2E5A">
              <w:rPr>
                <w:color w:val="0070C0"/>
                <w:sz w:val="16"/>
                <w:szCs w:val="16"/>
              </w:rPr>
              <w:t>225</w:t>
            </w:r>
          </w:p>
        </w:tc>
        <w:tc>
          <w:tcPr>
            <w:tcW w:w="964" w:type="dxa"/>
          </w:tcPr>
          <w:p w14:paraId="4A49AE26" w14:textId="77777777" w:rsidR="00C01762" w:rsidRPr="008A2E5A" w:rsidRDefault="00C01762" w:rsidP="004C5D62">
            <w:pPr>
              <w:spacing w:after="0" w:line="240" w:lineRule="auto"/>
              <w:jc w:val="both"/>
              <w:rPr>
                <w:color w:val="0070C0"/>
                <w:sz w:val="16"/>
                <w:szCs w:val="16"/>
              </w:rPr>
            </w:pPr>
            <w:r w:rsidRPr="008A2E5A">
              <w:rPr>
                <w:color w:val="0070C0"/>
                <w:sz w:val="16"/>
                <w:szCs w:val="16"/>
              </w:rPr>
              <w:t>379</w:t>
            </w:r>
          </w:p>
        </w:tc>
        <w:tc>
          <w:tcPr>
            <w:tcW w:w="715" w:type="dxa"/>
          </w:tcPr>
          <w:p w14:paraId="07AABDFA" w14:textId="77777777" w:rsidR="00C01762" w:rsidRPr="008A2E5A" w:rsidRDefault="00C01762" w:rsidP="004C5D62">
            <w:pPr>
              <w:spacing w:after="0" w:line="240" w:lineRule="auto"/>
              <w:jc w:val="both"/>
              <w:rPr>
                <w:color w:val="0070C0"/>
                <w:sz w:val="16"/>
                <w:szCs w:val="16"/>
              </w:rPr>
            </w:pPr>
            <w:r w:rsidRPr="008A2E5A">
              <w:rPr>
                <w:color w:val="0070C0"/>
                <w:sz w:val="16"/>
                <w:szCs w:val="16"/>
              </w:rPr>
              <w:t>88</w:t>
            </w:r>
          </w:p>
        </w:tc>
        <w:tc>
          <w:tcPr>
            <w:tcW w:w="650" w:type="dxa"/>
          </w:tcPr>
          <w:p w14:paraId="3C46CEF3" w14:textId="77777777" w:rsidR="00C01762" w:rsidRPr="008A2E5A" w:rsidRDefault="00C01762" w:rsidP="004C5D62">
            <w:pPr>
              <w:spacing w:after="0" w:line="240" w:lineRule="auto"/>
              <w:jc w:val="both"/>
              <w:rPr>
                <w:color w:val="0070C0"/>
                <w:sz w:val="16"/>
                <w:szCs w:val="16"/>
              </w:rPr>
            </w:pPr>
            <w:r w:rsidRPr="008A2E5A">
              <w:rPr>
                <w:color w:val="0070C0"/>
                <w:sz w:val="16"/>
                <w:szCs w:val="16"/>
              </w:rPr>
              <w:t>109</w:t>
            </w:r>
          </w:p>
        </w:tc>
        <w:tc>
          <w:tcPr>
            <w:tcW w:w="976" w:type="dxa"/>
          </w:tcPr>
          <w:p w14:paraId="037E23C9" w14:textId="77777777" w:rsidR="00C01762" w:rsidRPr="008A2E5A" w:rsidRDefault="00C01762" w:rsidP="004C5D62">
            <w:pPr>
              <w:spacing w:after="0" w:line="240" w:lineRule="auto"/>
              <w:jc w:val="both"/>
              <w:rPr>
                <w:color w:val="0070C0"/>
                <w:sz w:val="16"/>
                <w:szCs w:val="16"/>
              </w:rPr>
            </w:pPr>
            <w:r w:rsidRPr="008A2E5A">
              <w:rPr>
                <w:color w:val="0070C0"/>
                <w:sz w:val="16"/>
                <w:szCs w:val="16"/>
              </w:rPr>
              <w:t>67,2</w:t>
            </w:r>
          </w:p>
        </w:tc>
        <w:tc>
          <w:tcPr>
            <w:tcW w:w="599" w:type="dxa"/>
          </w:tcPr>
          <w:p w14:paraId="192F91E4" w14:textId="77777777" w:rsidR="00C01762" w:rsidRPr="008A2E5A" w:rsidRDefault="00C01762" w:rsidP="004C5D62">
            <w:pPr>
              <w:spacing w:after="0" w:line="240" w:lineRule="auto"/>
              <w:jc w:val="both"/>
              <w:rPr>
                <w:color w:val="0070C0"/>
                <w:sz w:val="16"/>
                <w:szCs w:val="16"/>
              </w:rPr>
            </w:pPr>
            <w:r w:rsidRPr="008A2E5A">
              <w:rPr>
                <w:color w:val="0070C0"/>
                <w:sz w:val="16"/>
                <w:szCs w:val="16"/>
              </w:rPr>
              <w:t>62,7</w:t>
            </w:r>
          </w:p>
        </w:tc>
        <w:tc>
          <w:tcPr>
            <w:tcW w:w="962" w:type="dxa"/>
          </w:tcPr>
          <w:p w14:paraId="50FC9053" w14:textId="77777777" w:rsidR="00C01762" w:rsidRPr="008A2E5A" w:rsidRDefault="00C01762" w:rsidP="004C5D62">
            <w:pPr>
              <w:spacing w:after="0" w:line="240" w:lineRule="auto"/>
              <w:jc w:val="both"/>
              <w:rPr>
                <w:color w:val="0070C0"/>
                <w:sz w:val="16"/>
                <w:szCs w:val="16"/>
              </w:rPr>
            </w:pPr>
            <w:r w:rsidRPr="008A2E5A">
              <w:rPr>
                <w:color w:val="0070C0"/>
                <w:sz w:val="16"/>
                <w:szCs w:val="16"/>
              </w:rPr>
              <w:t>106</w:t>
            </w:r>
          </w:p>
        </w:tc>
        <w:tc>
          <w:tcPr>
            <w:tcW w:w="636" w:type="dxa"/>
          </w:tcPr>
          <w:p w14:paraId="04399859" w14:textId="77777777" w:rsidR="00C01762" w:rsidRPr="008A2E5A" w:rsidRDefault="00C01762" w:rsidP="004C5D62">
            <w:pPr>
              <w:spacing w:after="0" w:line="240" w:lineRule="auto"/>
              <w:jc w:val="both"/>
              <w:rPr>
                <w:color w:val="0070C0"/>
                <w:sz w:val="16"/>
                <w:szCs w:val="16"/>
              </w:rPr>
            </w:pPr>
            <w:r w:rsidRPr="008A2E5A">
              <w:rPr>
                <w:color w:val="0070C0"/>
                <w:sz w:val="16"/>
                <w:szCs w:val="16"/>
              </w:rPr>
              <w:t>374</w:t>
            </w:r>
          </w:p>
        </w:tc>
        <w:tc>
          <w:tcPr>
            <w:tcW w:w="857" w:type="dxa"/>
          </w:tcPr>
          <w:p w14:paraId="309639CB" w14:textId="77777777" w:rsidR="00C01762" w:rsidRPr="008A2E5A" w:rsidRDefault="00C01762" w:rsidP="004C5D62">
            <w:pPr>
              <w:spacing w:after="0" w:line="240" w:lineRule="auto"/>
              <w:jc w:val="both"/>
              <w:rPr>
                <w:color w:val="0070C0"/>
                <w:sz w:val="16"/>
                <w:szCs w:val="16"/>
              </w:rPr>
            </w:pPr>
            <w:r w:rsidRPr="008A2E5A">
              <w:rPr>
                <w:color w:val="0070C0"/>
                <w:sz w:val="16"/>
                <w:szCs w:val="16"/>
              </w:rPr>
              <w:t>22</w:t>
            </w:r>
          </w:p>
        </w:tc>
      </w:tr>
      <w:tr w:rsidR="00C01762" w:rsidRPr="008A2E5A" w14:paraId="2955F761" w14:textId="77777777" w:rsidTr="004C5D62">
        <w:tc>
          <w:tcPr>
            <w:tcW w:w="1441" w:type="dxa"/>
          </w:tcPr>
          <w:p w14:paraId="7766C919" w14:textId="77777777" w:rsidR="00C01762" w:rsidRPr="008A2E5A" w:rsidRDefault="00C01762" w:rsidP="004C5D62">
            <w:pPr>
              <w:spacing w:after="0" w:line="240" w:lineRule="auto"/>
              <w:jc w:val="both"/>
              <w:rPr>
                <w:color w:val="0070C0"/>
                <w:sz w:val="16"/>
                <w:szCs w:val="16"/>
              </w:rPr>
            </w:pPr>
            <w:r w:rsidRPr="008A2E5A">
              <w:rPr>
                <w:color w:val="0070C0"/>
                <w:sz w:val="16"/>
                <w:szCs w:val="16"/>
              </w:rPr>
              <w:t>19.</w:t>
            </w:r>
          </w:p>
        </w:tc>
        <w:tc>
          <w:tcPr>
            <w:tcW w:w="758" w:type="dxa"/>
          </w:tcPr>
          <w:p w14:paraId="3D3DB6F3" w14:textId="77777777" w:rsidR="00C01762" w:rsidRPr="008A2E5A" w:rsidRDefault="00C01762" w:rsidP="004C5D62">
            <w:pPr>
              <w:spacing w:after="0" w:line="240" w:lineRule="auto"/>
              <w:jc w:val="both"/>
              <w:rPr>
                <w:color w:val="0070C0"/>
                <w:sz w:val="16"/>
                <w:szCs w:val="16"/>
              </w:rPr>
            </w:pPr>
            <w:r w:rsidRPr="008A2E5A">
              <w:rPr>
                <w:color w:val="0070C0"/>
                <w:sz w:val="16"/>
                <w:szCs w:val="16"/>
              </w:rPr>
              <w:t>Як-7  учебный</w:t>
            </w:r>
          </w:p>
        </w:tc>
        <w:tc>
          <w:tcPr>
            <w:tcW w:w="680" w:type="dxa"/>
          </w:tcPr>
          <w:p w14:paraId="03A04D4A" w14:textId="77777777" w:rsidR="00C01762" w:rsidRPr="008A2E5A" w:rsidRDefault="00C01762" w:rsidP="004C5D62">
            <w:pPr>
              <w:spacing w:after="0" w:line="240" w:lineRule="auto"/>
              <w:jc w:val="both"/>
              <w:rPr>
                <w:color w:val="0070C0"/>
                <w:sz w:val="16"/>
                <w:szCs w:val="16"/>
              </w:rPr>
            </w:pPr>
          </w:p>
        </w:tc>
        <w:tc>
          <w:tcPr>
            <w:tcW w:w="859" w:type="dxa"/>
          </w:tcPr>
          <w:p w14:paraId="37C1CE86" w14:textId="77777777" w:rsidR="00C01762" w:rsidRPr="008A2E5A" w:rsidRDefault="00C01762" w:rsidP="004C5D62">
            <w:pPr>
              <w:spacing w:after="0" w:line="240" w:lineRule="auto"/>
              <w:jc w:val="both"/>
              <w:rPr>
                <w:color w:val="0070C0"/>
                <w:sz w:val="16"/>
                <w:szCs w:val="16"/>
              </w:rPr>
            </w:pPr>
          </w:p>
        </w:tc>
        <w:tc>
          <w:tcPr>
            <w:tcW w:w="585" w:type="dxa"/>
          </w:tcPr>
          <w:p w14:paraId="211CBED4" w14:textId="77777777" w:rsidR="00C01762" w:rsidRPr="008A2E5A" w:rsidRDefault="00C01762" w:rsidP="004C5D62">
            <w:pPr>
              <w:spacing w:after="0" w:line="240" w:lineRule="auto"/>
              <w:jc w:val="both"/>
              <w:rPr>
                <w:color w:val="0070C0"/>
                <w:sz w:val="16"/>
                <w:szCs w:val="16"/>
              </w:rPr>
            </w:pPr>
          </w:p>
        </w:tc>
        <w:tc>
          <w:tcPr>
            <w:tcW w:w="964" w:type="dxa"/>
          </w:tcPr>
          <w:p w14:paraId="66D17DD1" w14:textId="77777777" w:rsidR="00C01762" w:rsidRPr="008A2E5A" w:rsidRDefault="00C01762" w:rsidP="004C5D62">
            <w:pPr>
              <w:spacing w:after="0" w:line="240" w:lineRule="auto"/>
              <w:jc w:val="both"/>
              <w:rPr>
                <w:color w:val="0070C0"/>
                <w:sz w:val="16"/>
                <w:szCs w:val="16"/>
              </w:rPr>
            </w:pPr>
            <w:r w:rsidRPr="008A2E5A">
              <w:rPr>
                <w:color w:val="0070C0"/>
                <w:sz w:val="16"/>
                <w:szCs w:val="16"/>
              </w:rPr>
              <w:t>121</w:t>
            </w:r>
          </w:p>
        </w:tc>
        <w:tc>
          <w:tcPr>
            <w:tcW w:w="715" w:type="dxa"/>
          </w:tcPr>
          <w:p w14:paraId="0DD49A9D" w14:textId="77777777" w:rsidR="00C01762" w:rsidRPr="008A2E5A" w:rsidRDefault="00C01762" w:rsidP="004C5D62">
            <w:pPr>
              <w:spacing w:after="0" w:line="240" w:lineRule="auto"/>
              <w:jc w:val="both"/>
              <w:rPr>
                <w:color w:val="0070C0"/>
                <w:sz w:val="16"/>
                <w:szCs w:val="16"/>
              </w:rPr>
            </w:pPr>
            <w:r w:rsidRPr="008A2E5A">
              <w:rPr>
                <w:color w:val="0070C0"/>
                <w:sz w:val="16"/>
                <w:szCs w:val="16"/>
              </w:rPr>
              <w:t>53</w:t>
            </w:r>
          </w:p>
        </w:tc>
        <w:tc>
          <w:tcPr>
            <w:tcW w:w="650" w:type="dxa"/>
          </w:tcPr>
          <w:p w14:paraId="303C2ACA" w14:textId="77777777" w:rsidR="00C01762" w:rsidRPr="008A2E5A" w:rsidRDefault="00C01762" w:rsidP="004C5D62">
            <w:pPr>
              <w:spacing w:after="0" w:line="240" w:lineRule="auto"/>
              <w:jc w:val="both"/>
              <w:rPr>
                <w:color w:val="0070C0"/>
                <w:sz w:val="16"/>
                <w:szCs w:val="16"/>
              </w:rPr>
            </w:pPr>
            <w:r w:rsidRPr="008A2E5A">
              <w:rPr>
                <w:color w:val="0070C0"/>
                <w:sz w:val="16"/>
                <w:szCs w:val="16"/>
              </w:rPr>
              <w:t>67</w:t>
            </w:r>
          </w:p>
        </w:tc>
        <w:tc>
          <w:tcPr>
            <w:tcW w:w="976" w:type="dxa"/>
          </w:tcPr>
          <w:p w14:paraId="0F42523D" w14:textId="77777777" w:rsidR="00C01762" w:rsidRPr="008A2E5A" w:rsidRDefault="00C01762" w:rsidP="004C5D62">
            <w:pPr>
              <w:spacing w:after="0" w:line="240" w:lineRule="auto"/>
              <w:jc w:val="both"/>
              <w:rPr>
                <w:color w:val="0070C0"/>
                <w:sz w:val="16"/>
                <w:szCs w:val="16"/>
              </w:rPr>
            </w:pPr>
          </w:p>
        </w:tc>
        <w:tc>
          <w:tcPr>
            <w:tcW w:w="599" w:type="dxa"/>
          </w:tcPr>
          <w:p w14:paraId="7E59B33E" w14:textId="77777777" w:rsidR="00C01762" w:rsidRPr="008A2E5A" w:rsidRDefault="00C01762" w:rsidP="004C5D62">
            <w:pPr>
              <w:spacing w:after="0" w:line="240" w:lineRule="auto"/>
              <w:jc w:val="both"/>
              <w:rPr>
                <w:color w:val="0070C0"/>
                <w:sz w:val="16"/>
                <w:szCs w:val="16"/>
              </w:rPr>
            </w:pPr>
          </w:p>
        </w:tc>
        <w:tc>
          <w:tcPr>
            <w:tcW w:w="962" w:type="dxa"/>
          </w:tcPr>
          <w:p w14:paraId="523E3D7F" w14:textId="77777777" w:rsidR="00C01762" w:rsidRPr="008A2E5A" w:rsidRDefault="00C01762" w:rsidP="004C5D62">
            <w:pPr>
              <w:spacing w:after="0" w:line="240" w:lineRule="auto"/>
              <w:jc w:val="both"/>
              <w:rPr>
                <w:color w:val="0070C0"/>
                <w:sz w:val="16"/>
                <w:szCs w:val="16"/>
              </w:rPr>
            </w:pPr>
            <w:r w:rsidRPr="008A2E5A">
              <w:rPr>
                <w:color w:val="0070C0"/>
                <w:sz w:val="16"/>
                <w:szCs w:val="16"/>
              </w:rPr>
              <w:t>58</w:t>
            </w:r>
          </w:p>
        </w:tc>
        <w:tc>
          <w:tcPr>
            <w:tcW w:w="636" w:type="dxa"/>
          </w:tcPr>
          <w:p w14:paraId="38CA013C" w14:textId="77777777" w:rsidR="00C01762" w:rsidRPr="008A2E5A" w:rsidRDefault="00C01762" w:rsidP="004C5D62">
            <w:pPr>
              <w:spacing w:after="0" w:line="240" w:lineRule="auto"/>
              <w:jc w:val="both"/>
              <w:rPr>
                <w:color w:val="0070C0"/>
                <w:sz w:val="16"/>
                <w:szCs w:val="16"/>
              </w:rPr>
            </w:pPr>
            <w:r w:rsidRPr="008A2E5A">
              <w:rPr>
                <w:color w:val="0070C0"/>
                <w:sz w:val="16"/>
                <w:szCs w:val="16"/>
              </w:rPr>
              <w:t>99</w:t>
            </w:r>
          </w:p>
        </w:tc>
        <w:tc>
          <w:tcPr>
            <w:tcW w:w="857" w:type="dxa"/>
          </w:tcPr>
          <w:p w14:paraId="389E3B4E" w14:textId="77777777" w:rsidR="00C01762" w:rsidRPr="008A2E5A" w:rsidRDefault="00C01762" w:rsidP="004C5D62">
            <w:pPr>
              <w:spacing w:after="0" w:line="240" w:lineRule="auto"/>
              <w:jc w:val="both"/>
              <w:rPr>
                <w:color w:val="0070C0"/>
                <w:sz w:val="16"/>
                <w:szCs w:val="16"/>
              </w:rPr>
            </w:pPr>
            <w:r w:rsidRPr="008A2E5A">
              <w:rPr>
                <w:color w:val="0070C0"/>
                <w:sz w:val="16"/>
                <w:szCs w:val="16"/>
              </w:rPr>
              <w:t>19</w:t>
            </w:r>
          </w:p>
        </w:tc>
      </w:tr>
      <w:tr w:rsidR="00C01762" w:rsidRPr="008A2E5A" w14:paraId="08BE6AAD" w14:textId="77777777" w:rsidTr="004C5D62">
        <w:tc>
          <w:tcPr>
            <w:tcW w:w="1441" w:type="dxa"/>
          </w:tcPr>
          <w:p w14:paraId="6200081F" w14:textId="77777777" w:rsidR="00C01762" w:rsidRPr="008A2E5A" w:rsidRDefault="00C01762" w:rsidP="004C5D62">
            <w:pPr>
              <w:spacing w:after="0" w:line="240" w:lineRule="auto"/>
              <w:jc w:val="both"/>
              <w:rPr>
                <w:color w:val="0070C0"/>
                <w:sz w:val="16"/>
                <w:szCs w:val="16"/>
              </w:rPr>
            </w:pPr>
            <w:r w:rsidRPr="008A2E5A">
              <w:rPr>
                <w:color w:val="0070C0"/>
                <w:sz w:val="16"/>
                <w:szCs w:val="16"/>
              </w:rPr>
              <w:t>20.</w:t>
            </w:r>
          </w:p>
        </w:tc>
        <w:tc>
          <w:tcPr>
            <w:tcW w:w="758" w:type="dxa"/>
          </w:tcPr>
          <w:p w14:paraId="36447CD5" w14:textId="77777777" w:rsidR="00C01762" w:rsidRPr="008A2E5A" w:rsidRDefault="00C01762" w:rsidP="004C5D62">
            <w:pPr>
              <w:spacing w:after="0" w:line="240" w:lineRule="auto"/>
              <w:jc w:val="both"/>
              <w:rPr>
                <w:color w:val="0070C0"/>
                <w:sz w:val="16"/>
                <w:szCs w:val="16"/>
              </w:rPr>
            </w:pPr>
            <w:r w:rsidRPr="008A2E5A">
              <w:rPr>
                <w:color w:val="0070C0"/>
                <w:sz w:val="16"/>
                <w:szCs w:val="16"/>
              </w:rPr>
              <w:t>Як-7  боевой</w:t>
            </w:r>
          </w:p>
        </w:tc>
        <w:tc>
          <w:tcPr>
            <w:tcW w:w="680" w:type="dxa"/>
          </w:tcPr>
          <w:p w14:paraId="7C75BC9C" w14:textId="77777777" w:rsidR="00C01762" w:rsidRPr="008A2E5A" w:rsidRDefault="00C01762" w:rsidP="004C5D62">
            <w:pPr>
              <w:spacing w:after="0" w:line="240" w:lineRule="auto"/>
              <w:jc w:val="both"/>
              <w:rPr>
                <w:color w:val="0070C0"/>
                <w:sz w:val="16"/>
                <w:szCs w:val="16"/>
              </w:rPr>
            </w:pPr>
            <w:r w:rsidRPr="008A2E5A">
              <w:rPr>
                <w:color w:val="0070C0"/>
                <w:sz w:val="16"/>
                <w:szCs w:val="16"/>
              </w:rPr>
              <w:t>21</w:t>
            </w:r>
          </w:p>
        </w:tc>
        <w:tc>
          <w:tcPr>
            <w:tcW w:w="859" w:type="dxa"/>
          </w:tcPr>
          <w:p w14:paraId="4BD1A694" w14:textId="77777777" w:rsidR="00C01762" w:rsidRPr="008A2E5A" w:rsidRDefault="00C01762" w:rsidP="004C5D62">
            <w:pPr>
              <w:spacing w:after="0" w:line="240" w:lineRule="auto"/>
              <w:jc w:val="both"/>
              <w:rPr>
                <w:color w:val="0070C0"/>
                <w:sz w:val="16"/>
                <w:szCs w:val="16"/>
              </w:rPr>
            </w:pPr>
            <w:r w:rsidRPr="008A2E5A">
              <w:rPr>
                <w:color w:val="0070C0"/>
                <w:sz w:val="16"/>
                <w:szCs w:val="16"/>
              </w:rPr>
              <w:t>*, _.</w:t>
            </w:r>
          </w:p>
        </w:tc>
        <w:tc>
          <w:tcPr>
            <w:tcW w:w="585" w:type="dxa"/>
          </w:tcPr>
          <w:p w14:paraId="44F069FC" w14:textId="77777777" w:rsidR="00C01762" w:rsidRPr="008A2E5A" w:rsidRDefault="00C01762" w:rsidP="004C5D62">
            <w:pPr>
              <w:spacing w:after="0" w:line="240" w:lineRule="auto"/>
              <w:jc w:val="both"/>
              <w:rPr>
                <w:color w:val="0070C0"/>
                <w:sz w:val="16"/>
                <w:szCs w:val="16"/>
              </w:rPr>
            </w:pPr>
            <w:r w:rsidRPr="008A2E5A">
              <w:rPr>
                <w:color w:val="0070C0"/>
                <w:sz w:val="16"/>
                <w:szCs w:val="16"/>
              </w:rPr>
              <w:t>.. _.</w:t>
            </w:r>
          </w:p>
        </w:tc>
        <w:tc>
          <w:tcPr>
            <w:tcW w:w="964" w:type="dxa"/>
          </w:tcPr>
          <w:p w14:paraId="561EC9CE" w14:textId="77777777" w:rsidR="00C01762" w:rsidRPr="008A2E5A" w:rsidRDefault="00C01762" w:rsidP="004C5D62">
            <w:pPr>
              <w:spacing w:after="0" w:line="240" w:lineRule="auto"/>
              <w:jc w:val="both"/>
              <w:rPr>
                <w:color w:val="0070C0"/>
                <w:sz w:val="16"/>
                <w:szCs w:val="16"/>
              </w:rPr>
            </w:pPr>
            <w:r w:rsidRPr="008A2E5A">
              <w:rPr>
                <w:color w:val="0070C0"/>
                <w:sz w:val="16"/>
                <w:szCs w:val="16"/>
              </w:rPr>
              <w:t>5</w:t>
            </w:r>
          </w:p>
        </w:tc>
        <w:tc>
          <w:tcPr>
            <w:tcW w:w="715" w:type="dxa"/>
          </w:tcPr>
          <w:p w14:paraId="7630B4D5" w14:textId="77777777" w:rsidR="00C01762" w:rsidRPr="008A2E5A" w:rsidRDefault="00C01762" w:rsidP="004C5D62">
            <w:pPr>
              <w:spacing w:after="0" w:line="240" w:lineRule="auto"/>
              <w:jc w:val="both"/>
              <w:rPr>
                <w:color w:val="0070C0"/>
                <w:sz w:val="16"/>
                <w:szCs w:val="16"/>
              </w:rPr>
            </w:pPr>
            <w:r w:rsidRPr="008A2E5A">
              <w:rPr>
                <w:color w:val="0070C0"/>
                <w:sz w:val="16"/>
                <w:szCs w:val="16"/>
              </w:rPr>
              <w:t>__</w:t>
            </w:r>
          </w:p>
        </w:tc>
        <w:tc>
          <w:tcPr>
            <w:tcW w:w="650" w:type="dxa"/>
          </w:tcPr>
          <w:p w14:paraId="459636C8" w14:textId="77777777" w:rsidR="00C01762" w:rsidRPr="008A2E5A" w:rsidRDefault="00C01762" w:rsidP="004C5D62">
            <w:pPr>
              <w:spacing w:after="0" w:line="240" w:lineRule="auto"/>
              <w:jc w:val="both"/>
              <w:rPr>
                <w:color w:val="0070C0"/>
                <w:sz w:val="16"/>
                <w:szCs w:val="16"/>
              </w:rPr>
            </w:pPr>
            <w:r w:rsidRPr="008A2E5A">
              <w:rPr>
                <w:color w:val="0070C0"/>
                <w:sz w:val="16"/>
                <w:szCs w:val="16"/>
              </w:rPr>
              <w:t>4</w:t>
            </w:r>
          </w:p>
        </w:tc>
        <w:tc>
          <w:tcPr>
            <w:tcW w:w="976" w:type="dxa"/>
          </w:tcPr>
          <w:p w14:paraId="2EC0639C" w14:textId="77777777" w:rsidR="00C01762" w:rsidRPr="008A2E5A" w:rsidRDefault="00C01762" w:rsidP="004C5D62">
            <w:pPr>
              <w:spacing w:after="0" w:line="240" w:lineRule="auto"/>
              <w:jc w:val="both"/>
              <w:rPr>
                <w:color w:val="0070C0"/>
                <w:sz w:val="16"/>
                <w:szCs w:val="16"/>
              </w:rPr>
            </w:pPr>
            <w:r w:rsidRPr="008A2E5A">
              <w:rPr>
                <w:color w:val="0070C0"/>
                <w:sz w:val="16"/>
                <w:szCs w:val="16"/>
              </w:rPr>
              <w:t>_</w:t>
            </w:r>
          </w:p>
        </w:tc>
        <w:tc>
          <w:tcPr>
            <w:tcW w:w="599" w:type="dxa"/>
          </w:tcPr>
          <w:p w14:paraId="25BA200E" w14:textId="77777777" w:rsidR="00C01762" w:rsidRPr="008A2E5A" w:rsidRDefault="00C01762" w:rsidP="004C5D62">
            <w:pPr>
              <w:spacing w:after="0" w:line="240" w:lineRule="auto"/>
              <w:jc w:val="both"/>
              <w:rPr>
                <w:color w:val="0070C0"/>
                <w:sz w:val="16"/>
                <w:szCs w:val="16"/>
              </w:rPr>
            </w:pPr>
            <w:r w:rsidRPr="008A2E5A">
              <w:rPr>
                <w:color w:val="0070C0"/>
                <w:sz w:val="16"/>
                <w:szCs w:val="16"/>
              </w:rPr>
              <w:t>_</w:t>
            </w:r>
          </w:p>
        </w:tc>
        <w:tc>
          <w:tcPr>
            <w:tcW w:w="962" w:type="dxa"/>
          </w:tcPr>
          <w:p w14:paraId="706C7E64" w14:textId="77777777" w:rsidR="00C01762" w:rsidRPr="008A2E5A" w:rsidRDefault="00C01762" w:rsidP="004C5D62">
            <w:pPr>
              <w:spacing w:after="0" w:line="240" w:lineRule="auto"/>
              <w:jc w:val="both"/>
              <w:rPr>
                <w:color w:val="0070C0"/>
                <w:sz w:val="16"/>
                <w:szCs w:val="16"/>
              </w:rPr>
            </w:pPr>
            <w:r w:rsidRPr="008A2E5A">
              <w:rPr>
                <w:color w:val="0070C0"/>
                <w:sz w:val="16"/>
                <w:szCs w:val="16"/>
              </w:rPr>
              <w:t>4</w:t>
            </w:r>
          </w:p>
        </w:tc>
        <w:tc>
          <w:tcPr>
            <w:tcW w:w="636" w:type="dxa"/>
          </w:tcPr>
          <w:p w14:paraId="0D39C335" w14:textId="77777777" w:rsidR="00C01762" w:rsidRPr="008A2E5A" w:rsidRDefault="00C01762" w:rsidP="004C5D62">
            <w:pPr>
              <w:spacing w:after="0" w:line="240" w:lineRule="auto"/>
              <w:jc w:val="both"/>
              <w:rPr>
                <w:color w:val="0070C0"/>
                <w:sz w:val="16"/>
                <w:szCs w:val="16"/>
              </w:rPr>
            </w:pPr>
            <w:r w:rsidRPr="008A2E5A">
              <w:rPr>
                <w:color w:val="0070C0"/>
                <w:sz w:val="16"/>
                <w:szCs w:val="16"/>
              </w:rPr>
              <w:t>4</w:t>
            </w:r>
          </w:p>
        </w:tc>
        <w:tc>
          <w:tcPr>
            <w:tcW w:w="857" w:type="dxa"/>
          </w:tcPr>
          <w:p w14:paraId="7C028BE9" w14:textId="77777777" w:rsidR="00C01762" w:rsidRPr="008A2E5A" w:rsidRDefault="00C01762" w:rsidP="004C5D62">
            <w:pPr>
              <w:spacing w:after="0" w:line="240" w:lineRule="auto"/>
              <w:jc w:val="both"/>
              <w:rPr>
                <w:color w:val="0070C0"/>
                <w:sz w:val="16"/>
                <w:szCs w:val="16"/>
              </w:rPr>
            </w:pPr>
            <w:r w:rsidRPr="008A2E5A">
              <w:rPr>
                <w:color w:val="0070C0"/>
                <w:sz w:val="16"/>
                <w:szCs w:val="16"/>
              </w:rPr>
              <w:t>1</w:t>
            </w:r>
          </w:p>
        </w:tc>
      </w:tr>
      <w:tr w:rsidR="00C01762" w:rsidRPr="008A2E5A" w14:paraId="5C6A6C12" w14:textId="77777777" w:rsidTr="004C5D62">
        <w:tc>
          <w:tcPr>
            <w:tcW w:w="1441" w:type="dxa"/>
          </w:tcPr>
          <w:p w14:paraId="0C0F1A3C" w14:textId="77777777" w:rsidR="00C01762" w:rsidRPr="008A2E5A" w:rsidRDefault="00C01762" w:rsidP="004C5D62">
            <w:pPr>
              <w:spacing w:after="0" w:line="240" w:lineRule="auto"/>
              <w:jc w:val="both"/>
              <w:rPr>
                <w:color w:val="0070C0"/>
                <w:sz w:val="16"/>
                <w:szCs w:val="16"/>
              </w:rPr>
            </w:pPr>
            <w:r w:rsidRPr="008A2E5A">
              <w:rPr>
                <w:color w:val="0070C0"/>
                <w:sz w:val="16"/>
                <w:szCs w:val="16"/>
              </w:rPr>
              <w:t>21.</w:t>
            </w:r>
          </w:p>
        </w:tc>
        <w:tc>
          <w:tcPr>
            <w:tcW w:w="758" w:type="dxa"/>
          </w:tcPr>
          <w:p w14:paraId="3A6E29CB" w14:textId="77777777" w:rsidR="00C01762" w:rsidRPr="008A2E5A" w:rsidRDefault="00C01762" w:rsidP="004C5D62">
            <w:pPr>
              <w:spacing w:after="0" w:line="240" w:lineRule="auto"/>
              <w:jc w:val="both"/>
              <w:rPr>
                <w:color w:val="0070C0"/>
                <w:sz w:val="16"/>
                <w:szCs w:val="16"/>
              </w:rPr>
            </w:pPr>
            <w:r w:rsidRPr="008A2E5A">
              <w:rPr>
                <w:color w:val="0070C0"/>
                <w:sz w:val="16"/>
                <w:szCs w:val="16"/>
              </w:rPr>
              <w:t>Як-7  боевой</w:t>
            </w:r>
          </w:p>
        </w:tc>
        <w:tc>
          <w:tcPr>
            <w:tcW w:w="680" w:type="dxa"/>
          </w:tcPr>
          <w:p w14:paraId="2F461ADA" w14:textId="77777777" w:rsidR="00C01762" w:rsidRPr="008A2E5A" w:rsidRDefault="00C01762" w:rsidP="004C5D62">
            <w:pPr>
              <w:spacing w:after="0" w:line="240" w:lineRule="auto"/>
              <w:jc w:val="both"/>
              <w:rPr>
                <w:color w:val="0070C0"/>
                <w:sz w:val="16"/>
                <w:szCs w:val="16"/>
              </w:rPr>
            </w:pPr>
            <w:r w:rsidRPr="008A2E5A">
              <w:rPr>
                <w:color w:val="0070C0"/>
                <w:sz w:val="16"/>
                <w:szCs w:val="16"/>
              </w:rPr>
              <w:t>82</w:t>
            </w:r>
          </w:p>
        </w:tc>
        <w:tc>
          <w:tcPr>
            <w:tcW w:w="859" w:type="dxa"/>
          </w:tcPr>
          <w:p w14:paraId="2F80E953" w14:textId="77777777" w:rsidR="00C01762" w:rsidRPr="008A2E5A" w:rsidRDefault="00C01762" w:rsidP="004C5D62">
            <w:pPr>
              <w:spacing w:after="0" w:line="240" w:lineRule="auto"/>
              <w:jc w:val="both"/>
              <w:rPr>
                <w:color w:val="0070C0"/>
                <w:sz w:val="16"/>
                <w:szCs w:val="16"/>
              </w:rPr>
            </w:pPr>
            <w:r w:rsidRPr="008A2E5A">
              <w:rPr>
                <w:color w:val="0070C0"/>
                <w:sz w:val="16"/>
                <w:szCs w:val="16"/>
              </w:rPr>
              <w:t>14</w:t>
            </w:r>
          </w:p>
        </w:tc>
        <w:tc>
          <w:tcPr>
            <w:tcW w:w="585" w:type="dxa"/>
          </w:tcPr>
          <w:p w14:paraId="7F83DD9B" w14:textId="77777777" w:rsidR="00C01762" w:rsidRPr="008A2E5A" w:rsidRDefault="00C01762" w:rsidP="004C5D62">
            <w:pPr>
              <w:spacing w:after="0" w:line="240" w:lineRule="auto"/>
              <w:jc w:val="both"/>
              <w:rPr>
                <w:color w:val="0070C0"/>
                <w:sz w:val="16"/>
                <w:szCs w:val="16"/>
              </w:rPr>
            </w:pPr>
            <w:r w:rsidRPr="008A2E5A">
              <w:rPr>
                <w:color w:val="0070C0"/>
                <w:sz w:val="16"/>
                <w:szCs w:val="16"/>
              </w:rPr>
              <w:t>12</w:t>
            </w:r>
          </w:p>
        </w:tc>
        <w:tc>
          <w:tcPr>
            <w:tcW w:w="964" w:type="dxa"/>
          </w:tcPr>
          <w:p w14:paraId="00D975F4" w14:textId="77777777" w:rsidR="00C01762" w:rsidRPr="008A2E5A" w:rsidRDefault="00C01762" w:rsidP="004C5D62">
            <w:pPr>
              <w:spacing w:after="0" w:line="240" w:lineRule="auto"/>
              <w:jc w:val="both"/>
              <w:rPr>
                <w:color w:val="0070C0"/>
                <w:sz w:val="16"/>
                <w:szCs w:val="16"/>
              </w:rPr>
            </w:pPr>
            <w:r w:rsidRPr="008A2E5A">
              <w:rPr>
                <w:color w:val="0070C0"/>
                <w:sz w:val="16"/>
                <w:szCs w:val="16"/>
              </w:rPr>
              <w:t>15</w:t>
            </w:r>
          </w:p>
        </w:tc>
        <w:tc>
          <w:tcPr>
            <w:tcW w:w="715" w:type="dxa"/>
          </w:tcPr>
          <w:p w14:paraId="318EC1D2" w14:textId="77777777" w:rsidR="00C01762" w:rsidRPr="008A2E5A" w:rsidRDefault="00C01762" w:rsidP="004C5D62">
            <w:pPr>
              <w:spacing w:after="0" w:line="240" w:lineRule="auto"/>
              <w:jc w:val="both"/>
              <w:rPr>
                <w:color w:val="0070C0"/>
                <w:sz w:val="16"/>
                <w:szCs w:val="16"/>
              </w:rPr>
            </w:pPr>
            <w:r w:rsidRPr="008A2E5A">
              <w:rPr>
                <w:color w:val="0070C0"/>
                <w:sz w:val="16"/>
                <w:szCs w:val="16"/>
              </w:rPr>
              <w:t>12</w:t>
            </w:r>
          </w:p>
        </w:tc>
        <w:tc>
          <w:tcPr>
            <w:tcW w:w="650" w:type="dxa"/>
          </w:tcPr>
          <w:p w14:paraId="4CAE6743" w14:textId="77777777" w:rsidR="00C01762" w:rsidRPr="008A2E5A" w:rsidRDefault="00C01762" w:rsidP="004C5D62">
            <w:pPr>
              <w:spacing w:after="0" w:line="240" w:lineRule="auto"/>
              <w:jc w:val="both"/>
              <w:rPr>
                <w:color w:val="0070C0"/>
                <w:sz w:val="16"/>
                <w:szCs w:val="16"/>
              </w:rPr>
            </w:pPr>
            <w:r w:rsidRPr="008A2E5A">
              <w:rPr>
                <w:color w:val="0070C0"/>
                <w:sz w:val="16"/>
                <w:szCs w:val="16"/>
              </w:rPr>
              <w:t>8</w:t>
            </w:r>
          </w:p>
        </w:tc>
        <w:tc>
          <w:tcPr>
            <w:tcW w:w="976" w:type="dxa"/>
          </w:tcPr>
          <w:p w14:paraId="59BC4FBD" w14:textId="77777777" w:rsidR="00C01762" w:rsidRPr="008A2E5A" w:rsidRDefault="00C01762" w:rsidP="004C5D62">
            <w:pPr>
              <w:spacing w:after="0" w:line="240" w:lineRule="auto"/>
              <w:jc w:val="both"/>
              <w:rPr>
                <w:color w:val="0070C0"/>
                <w:sz w:val="16"/>
                <w:szCs w:val="16"/>
              </w:rPr>
            </w:pPr>
            <w:r w:rsidRPr="008A2E5A">
              <w:rPr>
                <w:color w:val="0070C0"/>
                <w:sz w:val="16"/>
                <w:szCs w:val="16"/>
              </w:rPr>
              <w:t>107,1</w:t>
            </w:r>
          </w:p>
        </w:tc>
        <w:tc>
          <w:tcPr>
            <w:tcW w:w="599" w:type="dxa"/>
          </w:tcPr>
          <w:p w14:paraId="284BF874" w14:textId="77777777" w:rsidR="00C01762" w:rsidRPr="008A2E5A" w:rsidRDefault="00C01762" w:rsidP="004C5D62">
            <w:pPr>
              <w:spacing w:after="0" w:line="240" w:lineRule="auto"/>
              <w:jc w:val="both"/>
              <w:rPr>
                <w:color w:val="0070C0"/>
                <w:sz w:val="16"/>
                <w:szCs w:val="16"/>
              </w:rPr>
            </w:pPr>
            <w:r w:rsidRPr="008A2E5A">
              <w:rPr>
                <w:color w:val="0070C0"/>
                <w:sz w:val="16"/>
                <w:szCs w:val="16"/>
              </w:rPr>
              <w:t>100,0</w:t>
            </w:r>
          </w:p>
        </w:tc>
        <w:tc>
          <w:tcPr>
            <w:tcW w:w="962" w:type="dxa"/>
          </w:tcPr>
          <w:p w14:paraId="0587381C" w14:textId="77777777" w:rsidR="00C01762" w:rsidRPr="008A2E5A" w:rsidRDefault="00C01762" w:rsidP="004C5D62">
            <w:pPr>
              <w:spacing w:after="0" w:line="240" w:lineRule="auto"/>
              <w:jc w:val="both"/>
              <w:rPr>
                <w:color w:val="0070C0"/>
                <w:sz w:val="16"/>
                <w:szCs w:val="16"/>
              </w:rPr>
            </w:pPr>
            <w:r w:rsidRPr="008A2E5A">
              <w:rPr>
                <w:color w:val="0070C0"/>
                <w:sz w:val="16"/>
                <w:szCs w:val="16"/>
              </w:rPr>
              <w:t>5</w:t>
            </w:r>
          </w:p>
        </w:tc>
        <w:tc>
          <w:tcPr>
            <w:tcW w:w="636" w:type="dxa"/>
          </w:tcPr>
          <w:p w14:paraId="2F8045F7" w14:textId="77777777" w:rsidR="00C01762" w:rsidRPr="008A2E5A" w:rsidRDefault="00C01762" w:rsidP="004C5D62">
            <w:pPr>
              <w:spacing w:after="0" w:line="240" w:lineRule="auto"/>
              <w:jc w:val="both"/>
              <w:rPr>
                <w:color w:val="0070C0"/>
                <w:sz w:val="16"/>
                <w:szCs w:val="16"/>
              </w:rPr>
            </w:pPr>
            <w:r w:rsidRPr="008A2E5A">
              <w:rPr>
                <w:color w:val="0070C0"/>
                <w:sz w:val="16"/>
                <w:szCs w:val="16"/>
              </w:rPr>
              <w:t>5</w:t>
            </w:r>
          </w:p>
        </w:tc>
        <w:tc>
          <w:tcPr>
            <w:tcW w:w="857" w:type="dxa"/>
          </w:tcPr>
          <w:p w14:paraId="6708EC9F" w14:textId="77777777" w:rsidR="00C01762" w:rsidRPr="008A2E5A" w:rsidRDefault="00C01762" w:rsidP="004C5D62">
            <w:pPr>
              <w:spacing w:after="0" w:line="240" w:lineRule="auto"/>
              <w:jc w:val="both"/>
              <w:rPr>
                <w:color w:val="0070C0"/>
                <w:sz w:val="16"/>
                <w:szCs w:val="16"/>
              </w:rPr>
            </w:pPr>
            <w:r w:rsidRPr="008A2E5A">
              <w:rPr>
                <w:color w:val="0070C0"/>
                <w:sz w:val="16"/>
                <w:szCs w:val="16"/>
              </w:rPr>
              <w:t>10</w:t>
            </w:r>
          </w:p>
        </w:tc>
      </w:tr>
      <w:tr w:rsidR="00C01762" w:rsidRPr="008A2E5A" w14:paraId="3855042B" w14:textId="77777777" w:rsidTr="004C5D62">
        <w:tc>
          <w:tcPr>
            <w:tcW w:w="1441" w:type="dxa"/>
          </w:tcPr>
          <w:p w14:paraId="79C0E659" w14:textId="77777777" w:rsidR="00C01762" w:rsidRPr="008A2E5A" w:rsidRDefault="00C01762" w:rsidP="004C5D62">
            <w:pPr>
              <w:spacing w:after="0" w:line="240" w:lineRule="auto"/>
              <w:jc w:val="both"/>
              <w:rPr>
                <w:color w:val="0070C0"/>
                <w:sz w:val="16"/>
                <w:szCs w:val="16"/>
              </w:rPr>
            </w:pPr>
            <w:r w:rsidRPr="008A2E5A">
              <w:rPr>
                <w:color w:val="0070C0"/>
                <w:sz w:val="16"/>
                <w:szCs w:val="16"/>
              </w:rPr>
              <w:t>22.</w:t>
            </w:r>
          </w:p>
        </w:tc>
        <w:tc>
          <w:tcPr>
            <w:tcW w:w="758" w:type="dxa"/>
          </w:tcPr>
          <w:p w14:paraId="7851CF2D" w14:textId="77777777" w:rsidR="00C01762" w:rsidRPr="008A2E5A" w:rsidRDefault="00C01762" w:rsidP="004C5D62">
            <w:pPr>
              <w:spacing w:after="0" w:line="240" w:lineRule="auto"/>
              <w:jc w:val="both"/>
              <w:rPr>
                <w:color w:val="0070C0"/>
                <w:sz w:val="16"/>
                <w:szCs w:val="16"/>
              </w:rPr>
            </w:pPr>
            <w:r w:rsidRPr="008A2E5A">
              <w:rPr>
                <w:color w:val="0070C0"/>
                <w:sz w:val="16"/>
                <w:szCs w:val="16"/>
              </w:rPr>
              <w:t>Як-1</w:t>
            </w:r>
          </w:p>
        </w:tc>
        <w:tc>
          <w:tcPr>
            <w:tcW w:w="680" w:type="dxa"/>
          </w:tcPr>
          <w:p w14:paraId="7585F272" w14:textId="77777777" w:rsidR="00C01762" w:rsidRPr="008A2E5A" w:rsidRDefault="00C01762" w:rsidP="004C5D62">
            <w:pPr>
              <w:spacing w:after="0" w:line="240" w:lineRule="auto"/>
              <w:jc w:val="both"/>
              <w:rPr>
                <w:color w:val="0070C0"/>
                <w:sz w:val="16"/>
                <w:szCs w:val="16"/>
              </w:rPr>
            </w:pPr>
            <w:r w:rsidRPr="008A2E5A">
              <w:rPr>
                <w:color w:val="0070C0"/>
                <w:sz w:val="16"/>
                <w:szCs w:val="16"/>
              </w:rPr>
              <w:t>292</w:t>
            </w:r>
          </w:p>
        </w:tc>
        <w:tc>
          <w:tcPr>
            <w:tcW w:w="859" w:type="dxa"/>
          </w:tcPr>
          <w:p w14:paraId="2EB2FE6B" w14:textId="77777777" w:rsidR="00C01762" w:rsidRPr="008A2E5A" w:rsidRDefault="00C01762" w:rsidP="004C5D62">
            <w:pPr>
              <w:spacing w:after="0" w:line="240" w:lineRule="auto"/>
              <w:jc w:val="both"/>
              <w:rPr>
                <w:color w:val="0070C0"/>
                <w:sz w:val="16"/>
                <w:szCs w:val="16"/>
              </w:rPr>
            </w:pPr>
            <w:r w:rsidRPr="008A2E5A">
              <w:rPr>
                <w:color w:val="0070C0"/>
                <w:sz w:val="16"/>
                <w:szCs w:val="16"/>
              </w:rPr>
              <w:t>1690</w:t>
            </w:r>
          </w:p>
        </w:tc>
        <w:tc>
          <w:tcPr>
            <w:tcW w:w="585" w:type="dxa"/>
          </w:tcPr>
          <w:p w14:paraId="23D72437" w14:textId="77777777" w:rsidR="00C01762" w:rsidRPr="008A2E5A" w:rsidRDefault="00C01762" w:rsidP="004C5D62">
            <w:pPr>
              <w:spacing w:after="0" w:line="240" w:lineRule="auto"/>
              <w:jc w:val="both"/>
              <w:rPr>
                <w:color w:val="0070C0"/>
                <w:sz w:val="16"/>
                <w:szCs w:val="16"/>
              </w:rPr>
            </w:pPr>
            <w:r w:rsidRPr="008A2E5A">
              <w:rPr>
                <w:color w:val="0070C0"/>
                <w:sz w:val="16"/>
                <w:szCs w:val="16"/>
              </w:rPr>
              <w:t>280</w:t>
            </w:r>
          </w:p>
        </w:tc>
        <w:tc>
          <w:tcPr>
            <w:tcW w:w="964" w:type="dxa"/>
          </w:tcPr>
          <w:p w14:paraId="0F95278D" w14:textId="77777777" w:rsidR="00C01762" w:rsidRPr="008A2E5A" w:rsidRDefault="00C01762" w:rsidP="004C5D62">
            <w:pPr>
              <w:spacing w:after="0" w:line="240" w:lineRule="auto"/>
              <w:jc w:val="both"/>
              <w:rPr>
                <w:color w:val="0070C0"/>
                <w:sz w:val="16"/>
                <w:szCs w:val="16"/>
              </w:rPr>
            </w:pPr>
            <w:r w:rsidRPr="008A2E5A">
              <w:rPr>
                <w:color w:val="0070C0"/>
                <w:sz w:val="16"/>
                <w:szCs w:val="16"/>
              </w:rPr>
              <w:t>1571</w:t>
            </w:r>
          </w:p>
        </w:tc>
        <w:tc>
          <w:tcPr>
            <w:tcW w:w="715" w:type="dxa"/>
          </w:tcPr>
          <w:p w14:paraId="681B1055" w14:textId="77777777" w:rsidR="00C01762" w:rsidRPr="008A2E5A" w:rsidRDefault="00C01762" w:rsidP="004C5D62">
            <w:pPr>
              <w:spacing w:after="0" w:line="240" w:lineRule="auto"/>
              <w:jc w:val="both"/>
              <w:rPr>
                <w:color w:val="0070C0"/>
                <w:sz w:val="16"/>
                <w:szCs w:val="16"/>
              </w:rPr>
            </w:pPr>
            <w:r w:rsidRPr="008A2E5A">
              <w:rPr>
                <w:color w:val="0070C0"/>
                <w:sz w:val="16"/>
                <w:szCs w:val="16"/>
              </w:rPr>
              <w:t>308</w:t>
            </w:r>
          </w:p>
        </w:tc>
        <w:tc>
          <w:tcPr>
            <w:tcW w:w="650" w:type="dxa"/>
          </w:tcPr>
          <w:p w14:paraId="714E6AFC" w14:textId="77777777" w:rsidR="00C01762" w:rsidRPr="008A2E5A" w:rsidRDefault="00C01762" w:rsidP="004C5D62">
            <w:pPr>
              <w:spacing w:after="0" w:line="240" w:lineRule="auto"/>
              <w:jc w:val="both"/>
              <w:rPr>
                <w:color w:val="0070C0"/>
                <w:sz w:val="16"/>
                <w:szCs w:val="16"/>
              </w:rPr>
            </w:pPr>
            <w:r w:rsidRPr="008A2E5A">
              <w:rPr>
                <w:color w:val="0070C0"/>
                <w:sz w:val="16"/>
                <w:szCs w:val="16"/>
              </w:rPr>
              <w:t>299</w:t>
            </w:r>
          </w:p>
        </w:tc>
        <w:tc>
          <w:tcPr>
            <w:tcW w:w="976" w:type="dxa"/>
          </w:tcPr>
          <w:p w14:paraId="686B4B24" w14:textId="77777777" w:rsidR="00C01762" w:rsidRPr="008A2E5A" w:rsidRDefault="00C01762" w:rsidP="004C5D62">
            <w:pPr>
              <w:spacing w:after="0" w:line="240" w:lineRule="auto"/>
              <w:jc w:val="both"/>
              <w:rPr>
                <w:color w:val="0070C0"/>
                <w:sz w:val="16"/>
                <w:szCs w:val="16"/>
              </w:rPr>
            </w:pPr>
            <w:r w:rsidRPr="008A2E5A">
              <w:rPr>
                <w:color w:val="0070C0"/>
                <w:sz w:val="16"/>
                <w:szCs w:val="16"/>
              </w:rPr>
              <w:t>93,0</w:t>
            </w:r>
          </w:p>
        </w:tc>
        <w:tc>
          <w:tcPr>
            <w:tcW w:w="599" w:type="dxa"/>
          </w:tcPr>
          <w:p w14:paraId="772E9F2F" w14:textId="77777777" w:rsidR="00C01762" w:rsidRPr="008A2E5A" w:rsidRDefault="00C01762" w:rsidP="004C5D62">
            <w:pPr>
              <w:spacing w:after="0" w:line="240" w:lineRule="auto"/>
              <w:jc w:val="both"/>
              <w:rPr>
                <w:color w:val="0070C0"/>
                <w:sz w:val="16"/>
                <w:szCs w:val="16"/>
              </w:rPr>
            </w:pPr>
            <w:r w:rsidRPr="008A2E5A">
              <w:rPr>
                <w:color w:val="0070C0"/>
                <w:sz w:val="16"/>
                <w:szCs w:val="16"/>
              </w:rPr>
              <w:t>110,0</w:t>
            </w:r>
          </w:p>
        </w:tc>
        <w:tc>
          <w:tcPr>
            <w:tcW w:w="962" w:type="dxa"/>
          </w:tcPr>
          <w:p w14:paraId="529DB89F" w14:textId="77777777" w:rsidR="00C01762" w:rsidRPr="008A2E5A" w:rsidRDefault="00C01762" w:rsidP="004C5D62">
            <w:pPr>
              <w:spacing w:after="0" w:line="240" w:lineRule="auto"/>
              <w:jc w:val="both"/>
              <w:rPr>
                <w:color w:val="0070C0"/>
                <w:sz w:val="16"/>
                <w:szCs w:val="16"/>
              </w:rPr>
            </w:pPr>
            <w:r w:rsidRPr="008A2E5A">
              <w:rPr>
                <w:color w:val="0070C0"/>
                <w:sz w:val="16"/>
                <w:szCs w:val="16"/>
              </w:rPr>
              <w:t>312</w:t>
            </w:r>
          </w:p>
        </w:tc>
        <w:tc>
          <w:tcPr>
            <w:tcW w:w="636" w:type="dxa"/>
          </w:tcPr>
          <w:p w14:paraId="07C090FE" w14:textId="77777777" w:rsidR="00C01762" w:rsidRPr="008A2E5A" w:rsidRDefault="00C01762" w:rsidP="004C5D62">
            <w:pPr>
              <w:spacing w:after="0" w:line="240" w:lineRule="auto"/>
              <w:jc w:val="both"/>
              <w:rPr>
                <w:color w:val="0070C0"/>
                <w:sz w:val="16"/>
                <w:szCs w:val="16"/>
              </w:rPr>
            </w:pPr>
            <w:r w:rsidRPr="008A2E5A">
              <w:rPr>
                <w:color w:val="0070C0"/>
                <w:sz w:val="16"/>
                <w:szCs w:val="16"/>
              </w:rPr>
              <w:t>1581</w:t>
            </w:r>
          </w:p>
        </w:tc>
        <w:tc>
          <w:tcPr>
            <w:tcW w:w="857" w:type="dxa"/>
          </w:tcPr>
          <w:p w14:paraId="018722F7" w14:textId="77777777" w:rsidR="00C01762" w:rsidRPr="008A2E5A" w:rsidRDefault="00C01762" w:rsidP="004C5D62">
            <w:pPr>
              <w:spacing w:after="0" w:line="240" w:lineRule="auto"/>
              <w:jc w:val="both"/>
              <w:rPr>
                <w:color w:val="0070C0"/>
                <w:sz w:val="16"/>
                <w:szCs w:val="16"/>
              </w:rPr>
            </w:pPr>
            <w:r w:rsidRPr="008A2E5A">
              <w:rPr>
                <w:color w:val="0070C0"/>
                <w:sz w:val="16"/>
                <w:szCs w:val="16"/>
              </w:rPr>
              <w:t>64</w:t>
            </w:r>
          </w:p>
        </w:tc>
      </w:tr>
      <w:tr w:rsidR="00C01762" w:rsidRPr="008A2E5A" w14:paraId="451CDF0C" w14:textId="77777777" w:rsidTr="004C5D62">
        <w:tc>
          <w:tcPr>
            <w:tcW w:w="1441" w:type="dxa"/>
          </w:tcPr>
          <w:p w14:paraId="308DC66E" w14:textId="77777777" w:rsidR="00C01762" w:rsidRPr="008A2E5A" w:rsidRDefault="00C01762" w:rsidP="004C5D62">
            <w:pPr>
              <w:spacing w:after="0" w:line="240" w:lineRule="auto"/>
              <w:jc w:val="both"/>
              <w:rPr>
                <w:color w:val="0070C0"/>
                <w:sz w:val="16"/>
                <w:szCs w:val="16"/>
              </w:rPr>
            </w:pPr>
            <w:r w:rsidRPr="008A2E5A">
              <w:rPr>
                <w:color w:val="0070C0"/>
                <w:sz w:val="16"/>
                <w:szCs w:val="16"/>
              </w:rPr>
              <w:t>23.</w:t>
            </w:r>
          </w:p>
        </w:tc>
        <w:tc>
          <w:tcPr>
            <w:tcW w:w="758" w:type="dxa"/>
          </w:tcPr>
          <w:p w14:paraId="4A0242FA" w14:textId="77777777" w:rsidR="00C01762" w:rsidRPr="008A2E5A" w:rsidRDefault="00C01762" w:rsidP="004C5D62">
            <w:pPr>
              <w:spacing w:after="0" w:line="240" w:lineRule="auto"/>
              <w:jc w:val="both"/>
              <w:rPr>
                <w:color w:val="0070C0"/>
                <w:sz w:val="16"/>
                <w:szCs w:val="16"/>
              </w:rPr>
            </w:pPr>
            <w:r w:rsidRPr="008A2E5A">
              <w:rPr>
                <w:color w:val="0070C0"/>
                <w:sz w:val="16"/>
                <w:szCs w:val="16"/>
              </w:rPr>
              <w:t>Як-1</w:t>
            </w:r>
          </w:p>
        </w:tc>
        <w:tc>
          <w:tcPr>
            <w:tcW w:w="680" w:type="dxa"/>
          </w:tcPr>
          <w:p w14:paraId="53D04291" w14:textId="77777777" w:rsidR="00C01762" w:rsidRPr="008A2E5A" w:rsidRDefault="00C01762" w:rsidP="004C5D62">
            <w:pPr>
              <w:spacing w:after="0" w:line="240" w:lineRule="auto"/>
              <w:jc w:val="both"/>
              <w:rPr>
                <w:color w:val="0070C0"/>
                <w:sz w:val="16"/>
                <w:szCs w:val="16"/>
              </w:rPr>
            </w:pPr>
            <w:r w:rsidRPr="008A2E5A">
              <w:rPr>
                <w:color w:val="0070C0"/>
                <w:sz w:val="16"/>
                <w:szCs w:val="16"/>
              </w:rPr>
              <w:t>47</w:t>
            </w:r>
          </w:p>
        </w:tc>
        <w:tc>
          <w:tcPr>
            <w:tcW w:w="859" w:type="dxa"/>
          </w:tcPr>
          <w:p w14:paraId="77969508" w14:textId="77777777" w:rsidR="00C01762" w:rsidRPr="008A2E5A" w:rsidRDefault="00C01762" w:rsidP="004C5D62">
            <w:pPr>
              <w:spacing w:after="0" w:line="240" w:lineRule="auto"/>
              <w:jc w:val="both"/>
              <w:rPr>
                <w:color w:val="0070C0"/>
                <w:sz w:val="16"/>
                <w:szCs w:val="16"/>
              </w:rPr>
            </w:pPr>
          </w:p>
        </w:tc>
        <w:tc>
          <w:tcPr>
            <w:tcW w:w="585" w:type="dxa"/>
          </w:tcPr>
          <w:p w14:paraId="66E0445F" w14:textId="77777777" w:rsidR="00C01762" w:rsidRPr="008A2E5A" w:rsidRDefault="00C01762" w:rsidP="004C5D62">
            <w:pPr>
              <w:spacing w:after="0" w:line="240" w:lineRule="auto"/>
              <w:jc w:val="both"/>
              <w:rPr>
                <w:color w:val="0070C0"/>
                <w:sz w:val="16"/>
                <w:szCs w:val="16"/>
              </w:rPr>
            </w:pPr>
          </w:p>
        </w:tc>
        <w:tc>
          <w:tcPr>
            <w:tcW w:w="964" w:type="dxa"/>
          </w:tcPr>
          <w:p w14:paraId="44ABE314" w14:textId="77777777" w:rsidR="00C01762" w:rsidRPr="008A2E5A" w:rsidRDefault="00C01762" w:rsidP="004C5D62">
            <w:pPr>
              <w:spacing w:after="0" w:line="240" w:lineRule="auto"/>
              <w:jc w:val="both"/>
              <w:rPr>
                <w:color w:val="0070C0"/>
                <w:sz w:val="16"/>
                <w:szCs w:val="16"/>
              </w:rPr>
            </w:pPr>
            <w:r w:rsidRPr="008A2E5A">
              <w:rPr>
                <w:color w:val="0070C0"/>
                <w:sz w:val="16"/>
                <w:szCs w:val="16"/>
              </w:rPr>
              <w:t>2</w:t>
            </w:r>
          </w:p>
        </w:tc>
        <w:tc>
          <w:tcPr>
            <w:tcW w:w="715" w:type="dxa"/>
          </w:tcPr>
          <w:p w14:paraId="113345B1" w14:textId="77777777" w:rsidR="00C01762" w:rsidRPr="008A2E5A" w:rsidRDefault="00C01762" w:rsidP="004C5D62">
            <w:pPr>
              <w:spacing w:after="0" w:line="240" w:lineRule="auto"/>
              <w:jc w:val="both"/>
              <w:rPr>
                <w:color w:val="0070C0"/>
                <w:sz w:val="16"/>
                <w:szCs w:val="16"/>
              </w:rPr>
            </w:pPr>
            <w:r w:rsidRPr="008A2E5A">
              <w:rPr>
                <w:color w:val="0070C0"/>
                <w:sz w:val="16"/>
                <w:szCs w:val="16"/>
              </w:rPr>
              <w:t>2</w:t>
            </w:r>
          </w:p>
        </w:tc>
        <w:tc>
          <w:tcPr>
            <w:tcW w:w="650" w:type="dxa"/>
          </w:tcPr>
          <w:p w14:paraId="77055F74" w14:textId="77777777" w:rsidR="00C01762" w:rsidRPr="008A2E5A" w:rsidRDefault="00C01762" w:rsidP="004C5D62">
            <w:pPr>
              <w:spacing w:after="0" w:line="240" w:lineRule="auto"/>
              <w:jc w:val="both"/>
              <w:rPr>
                <w:color w:val="0070C0"/>
                <w:sz w:val="16"/>
                <w:szCs w:val="16"/>
              </w:rPr>
            </w:pPr>
            <w:r w:rsidRPr="008A2E5A">
              <w:rPr>
                <w:color w:val="0070C0"/>
                <w:sz w:val="16"/>
                <w:szCs w:val="16"/>
              </w:rPr>
              <w:t>2</w:t>
            </w:r>
          </w:p>
        </w:tc>
        <w:tc>
          <w:tcPr>
            <w:tcW w:w="976" w:type="dxa"/>
          </w:tcPr>
          <w:p w14:paraId="242BE246" w14:textId="77777777" w:rsidR="00C01762" w:rsidRPr="008A2E5A" w:rsidRDefault="00C01762" w:rsidP="004C5D62">
            <w:pPr>
              <w:spacing w:after="0" w:line="240" w:lineRule="auto"/>
              <w:jc w:val="both"/>
              <w:rPr>
                <w:color w:val="0070C0"/>
                <w:sz w:val="16"/>
                <w:szCs w:val="16"/>
              </w:rPr>
            </w:pPr>
          </w:p>
        </w:tc>
        <w:tc>
          <w:tcPr>
            <w:tcW w:w="599" w:type="dxa"/>
          </w:tcPr>
          <w:p w14:paraId="42945818" w14:textId="77777777" w:rsidR="00C01762" w:rsidRPr="008A2E5A" w:rsidRDefault="00C01762" w:rsidP="004C5D62">
            <w:pPr>
              <w:spacing w:after="0" w:line="240" w:lineRule="auto"/>
              <w:jc w:val="both"/>
              <w:rPr>
                <w:color w:val="0070C0"/>
                <w:sz w:val="16"/>
                <w:szCs w:val="16"/>
              </w:rPr>
            </w:pPr>
          </w:p>
        </w:tc>
        <w:tc>
          <w:tcPr>
            <w:tcW w:w="962" w:type="dxa"/>
          </w:tcPr>
          <w:p w14:paraId="50046131" w14:textId="77777777" w:rsidR="00C01762" w:rsidRPr="008A2E5A" w:rsidRDefault="00C01762" w:rsidP="004C5D62">
            <w:pPr>
              <w:spacing w:after="0" w:line="240" w:lineRule="auto"/>
              <w:jc w:val="both"/>
              <w:rPr>
                <w:color w:val="0070C0"/>
                <w:sz w:val="16"/>
                <w:szCs w:val="16"/>
              </w:rPr>
            </w:pPr>
            <w:r w:rsidRPr="008A2E5A">
              <w:rPr>
                <w:color w:val="0070C0"/>
                <w:sz w:val="16"/>
                <w:szCs w:val="16"/>
              </w:rPr>
              <w:t>2</w:t>
            </w:r>
          </w:p>
        </w:tc>
        <w:tc>
          <w:tcPr>
            <w:tcW w:w="636" w:type="dxa"/>
          </w:tcPr>
          <w:p w14:paraId="531171C9" w14:textId="77777777" w:rsidR="00C01762" w:rsidRPr="008A2E5A" w:rsidRDefault="00C01762" w:rsidP="004C5D62">
            <w:pPr>
              <w:spacing w:after="0" w:line="240" w:lineRule="auto"/>
              <w:jc w:val="both"/>
              <w:rPr>
                <w:color w:val="0070C0"/>
                <w:sz w:val="16"/>
                <w:szCs w:val="16"/>
              </w:rPr>
            </w:pPr>
            <w:r w:rsidRPr="008A2E5A">
              <w:rPr>
                <w:color w:val="0070C0"/>
                <w:sz w:val="16"/>
                <w:szCs w:val="16"/>
              </w:rPr>
              <w:t>2</w:t>
            </w:r>
          </w:p>
        </w:tc>
        <w:tc>
          <w:tcPr>
            <w:tcW w:w="857" w:type="dxa"/>
          </w:tcPr>
          <w:p w14:paraId="5F4715D1" w14:textId="77777777" w:rsidR="00C01762" w:rsidRPr="008A2E5A" w:rsidRDefault="00C01762" w:rsidP="004C5D62">
            <w:pPr>
              <w:spacing w:after="0" w:line="240" w:lineRule="auto"/>
              <w:jc w:val="both"/>
              <w:rPr>
                <w:color w:val="0070C0"/>
                <w:sz w:val="16"/>
                <w:szCs w:val="16"/>
              </w:rPr>
            </w:pPr>
          </w:p>
        </w:tc>
      </w:tr>
      <w:tr w:rsidR="00C01762" w:rsidRPr="008A2E5A" w14:paraId="1E1F558A" w14:textId="77777777" w:rsidTr="004C5D62">
        <w:tc>
          <w:tcPr>
            <w:tcW w:w="1441" w:type="dxa"/>
          </w:tcPr>
          <w:p w14:paraId="7FA5AD51" w14:textId="77777777" w:rsidR="00C01762" w:rsidRPr="008A2E5A" w:rsidRDefault="00C01762" w:rsidP="004C5D62">
            <w:pPr>
              <w:spacing w:after="0" w:line="240" w:lineRule="auto"/>
              <w:jc w:val="both"/>
              <w:rPr>
                <w:color w:val="0070C0"/>
                <w:sz w:val="16"/>
                <w:szCs w:val="16"/>
              </w:rPr>
            </w:pPr>
            <w:r w:rsidRPr="008A2E5A">
              <w:rPr>
                <w:color w:val="0070C0"/>
                <w:sz w:val="16"/>
                <w:szCs w:val="16"/>
              </w:rPr>
              <w:t>24.</w:t>
            </w:r>
          </w:p>
        </w:tc>
        <w:tc>
          <w:tcPr>
            <w:tcW w:w="758" w:type="dxa"/>
          </w:tcPr>
          <w:p w14:paraId="11F6F417" w14:textId="77777777" w:rsidR="00C01762" w:rsidRPr="008A2E5A" w:rsidRDefault="00C01762" w:rsidP="004C5D62">
            <w:pPr>
              <w:spacing w:after="0" w:line="240" w:lineRule="auto"/>
              <w:jc w:val="both"/>
              <w:rPr>
                <w:color w:val="0070C0"/>
                <w:sz w:val="16"/>
                <w:szCs w:val="16"/>
              </w:rPr>
            </w:pPr>
            <w:r w:rsidRPr="008A2E5A">
              <w:rPr>
                <w:color w:val="0070C0"/>
                <w:sz w:val="16"/>
                <w:szCs w:val="16"/>
              </w:rPr>
              <w:t>МиГ-3</w:t>
            </w:r>
          </w:p>
        </w:tc>
        <w:tc>
          <w:tcPr>
            <w:tcW w:w="680" w:type="dxa"/>
          </w:tcPr>
          <w:p w14:paraId="49FECCFA" w14:textId="77777777" w:rsidR="00C01762" w:rsidRPr="008A2E5A" w:rsidRDefault="00C01762" w:rsidP="004C5D62">
            <w:pPr>
              <w:spacing w:after="0" w:line="240" w:lineRule="auto"/>
              <w:jc w:val="both"/>
              <w:rPr>
                <w:color w:val="0070C0"/>
                <w:sz w:val="16"/>
                <w:szCs w:val="16"/>
              </w:rPr>
            </w:pPr>
            <w:r w:rsidRPr="008A2E5A">
              <w:rPr>
                <w:color w:val="0070C0"/>
                <w:sz w:val="16"/>
                <w:szCs w:val="16"/>
              </w:rPr>
              <w:t>1</w:t>
            </w:r>
          </w:p>
        </w:tc>
        <w:tc>
          <w:tcPr>
            <w:tcW w:w="859" w:type="dxa"/>
          </w:tcPr>
          <w:p w14:paraId="4F0A7C9E" w14:textId="77777777" w:rsidR="00C01762" w:rsidRPr="008A2E5A" w:rsidRDefault="00C01762" w:rsidP="004C5D62">
            <w:pPr>
              <w:spacing w:after="0" w:line="240" w:lineRule="auto"/>
              <w:jc w:val="both"/>
              <w:rPr>
                <w:color w:val="0070C0"/>
                <w:sz w:val="16"/>
                <w:szCs w:val="16"/>
              </w:rPr>
            </w:pPr>
          </w:p>
        </w:tc>
        <w:tc>
          <w:tcPr>
            <w:tcW w:w="585" w:type="dxa"/>
          </w:tcPr>
          <w:p w14:paraId="605BA585" w14:textId="77777777" w:rsidR="00C01762" w:rsidRPr="008A2E5A" w:rsidRDefault="00C01762" w:rsidP="004C5D62">
            <w:pPr>
              <w:spacing w:after="0" w:line="240" w:lineRule="auto"/>
              <w:jc w:val="both"/>
              <w:rPr>
                <w:color w:val="0070C0"/>
                <w:sz w:val="16"/>
                <w:szCs w:val="16"/>
              </w:rPr>
            </w:pPr>
          </w:p>
        </w:tc>
        <w:tc>
          <w:tcPr>
            <w:tcW w:w="964" w:type="dxa"/>
          </w:tcPr>
          <w:p w14:paraId="36E9BD47" w14:textId="77777777" w:rsidR="00C01762" w:rsidRPr="008A2E5A" w:rsidRDefault="00C01762" w:rsidP="004C5D62">
            <w:pPr>
              <w:spacing w:after="0" w:line="240" w:lineRule="auto"/>
              <w:jc w:val="both"/>
              <w:rPr>
                <w:color w:val="0070C0"/>
                <w:sz w:val="16"/>
                <w:szCs w:val="16"/>
              </w:rPr>
            </w:pPr>
            <w:r w:rsidRPr="008A2E5A">
              <w:rPr>
                <w:color w:val="0070C0"/>
                <w:sz w:val="16"/>
                <w:szCs w:val="16"/>
              </w:rPr>
              <w:t>12</w:t>
            </w:r>
          </w:p>
        </w:tc>
        <w:tc>
          <w:tcPr>
            <w:tcW w:w="715" w:type="dxa"/>
          </w:tcPr>
          <w:p w14:paraId="400F1E17" w14:textId="77777777" w:rsidR="00C01762" w:rsidRPr="008A2E5A" w:rsidRDefault="00C01762" w:rsidP="004C5D62">
            <w:pPr>
              <w:spacing w:after="0" w:line="240" w:lineRule="auto"/>
              <w:jc w:val="both"/>
              <w:rPr>
                <w:color w:val="0070C0"/>
                <w:sz w:val="16"/>
                <w:szCs w:val="16"/>
              </w:rPr>
            </w:pPr>
          </w:p>
        </w:tc>
        <w:tc>
          <w:tcPr>
            <w:tcW w:w="650" w:type="dxa"/>
          </w:tcPr>
          <w:p w14:paraId="1F023545" w14:textId="77777777" w:rsidR="00C01762" w:rsidRPr="008A2E5A" w:rsidRDefault="00C01762" w:rsidP="004C5D62">
            <w:pPr>
              <w:spacing w:after="0" w:line="240" w:lineRule="auto"/>
              <w:jc w:val="both"/>
              <w:rPr>
                <w:color w:val="0070C0"/>
                <w:sz w:val="16"/>
                <w:szCs w:val="16"/>
              </w:rPr>
            </w:pPr>
          </w:p>
        </w:tc>
        <w:tc>
          <w:tcPr>
            <w:tcW w:w="976" w:type="dxa"/>
          </w:tcPr>
          <w:p w14:paraId="32C25489" w14:textId="77777777" w:rsidR="00C01762" w:rsidRPr="008A2E5A" w:rsidRDefault="00C01762" w:rsidP="004C5D62">
            <w:pPr>
              <w:spacing w:after="0" w:line="240" w:lineRule="auto"/>
              <w:jc w:val="both"/>
              <w:rPr>
                <w:color w:val="0070C0"/>
                <w:sz w:val="16"/>
                <w:szCs w:val="16"/>
              </w:rPr>
            </w:pPr>
          </w:p>
        </w:tc>
        <w:tc>
          <w:tcPr>
            <w:tcW w:w="599" w:type="dxa"/>
          </w:tcPr>
          <w:p w14:paraId="6431D5A6" w14:textId="77777777" w:rsidR="00C01762" w:rsidRPr="008A2E5A" w:rsidRDefault="00C01762" w:rsidP="004C5D62">
            <w:pPr>
              <w:spacing w:after="0" w:line="240" w:lineRule="auto"/>
              <w:jc w:val="both"/>
              <w:rPr>
                <w:color w:val="0070C0"/>
                <w:sz w:val="16"/>
                <w:szCs w:val="16"/>
              </w:rPr>
            </w:pPr>
          </w:p>
        </w:tc>
        <w:tc>
          <w:tcPr>
            <w:tcW w:w="962" w:type="dxa"/>
          </w:tcPr>
          <w:p w14:paraId="66DE1EE3" w14:textId="77777777" w:rsidR="00C01762" w:rsidRPr="008A2E5A" w:rsidRDefault="00C01762" w:rsidP="004C5D62">
            <w:pPr>
              <w:spacing w:after="0" w:line="240" w:lineRule="auto"/>
              <w:jc w:val="both"/>
              <w:rPr>
                <w:color w:val="0070C0"/>
                <w:sz w:val="16"/>
                <w:szCs w:val="16"/>
              </w:rPr>
            </w:pPr>
          </w:p>
        </w:tc>
        <w:tc>
          <w:tcPr>
            <w:tcW w:w="636" w:type="dxa"/>
          </w:tcPr>
          <w:p w14:paraId="7253E5A5" w14:textId="77777777" w:rsidR="00C01762" w:rsidRPr="008A2E5A" w:rsidRDefault="00C01762" w:rsidP="004C5D62">
            <w:pPr>
              <w:spacing w:after="0" w:line="240" w:lineRule="auto"/>
              <w:jc w:val="both"/>
              <w:rPr>
                <w:color w:val="0070C0"/>
                <w:sz w:val="16"/>
                <w:szCs w:val="16"/>
              </w:rPr>
            </w:pPr>
            <w:r w:rsidRPr="008A2E5A">
              <w:rPr>
                <w:color w:val="0070C0"/>
                <w:sz w:val="16"/>
                <w:szCs w:val="16"/>
              </w:rPr>
              <w:t>40</w:t>
            </w:r>
          </w:p>
        </w:tc>
        <w:tc>
          <w:tcPr>
            <w:tcW w:w="857" w:type="dxa"/>
          </w:tcPr>
          <w:p w14:paraId="179DDC76" w14:textId="77777777" w:rsidR="00C01762" w:rsidRPr="008A2E5A" w:rsidRDefault="00C01762" w:rsidP="004C5D62">
            <w:pPr>
              <w:spacing w:after="0" w:line="240" w:lineRule="auto"/>
              <w:jc w:val="both"/>
              <w:rPr>
                <w:color w:val="0070C0"/>
                <w:sz w:val="16"/>
                <w:szCs w:val="16"/>
              </w:rPr>
            </w:pPr>
          </w:p>
        </w:tc>
      </w:tr>
      <w:tr w:rsidR="00C01762" w:rsidRPr="008A2E5A" w14:paraId="7AC38F6D" w14:textId="77777777" w:rsidTr="004C5D62">
        <w:tc>
          <w:tcPr>
            <w:tcW w:w="1441" w:type="dxa"/>
          </w:tcPr>
          <w:p w14:paraId="33214B3A" w14:textId="77777777" w:rsidR="00C01762" w:rsidRPr="008A2E5A" w:rsidRDefault="00C01762" w:rsidP="004C5D62">
            <w:pPr>
              <w:spacing w:after="0" w:line="240" w:lineRule="auto"/>
              <w:jc w:val="both"/>
              <w:rPr>
                <w:color w:val="0070C0"/>
                <w:sz w:val="16"/>
                <w:szCs w:val="16"/>
              </w:rPr>
            </w:pPr>
            <w:r w:rsidRPr="008A2E5A">
              <w:rPr>
                <w:color w:val="0070C0"/>
                <w:sz w:val="16"/>
                <w:szCs w:val="16"/>
              </w:rPr>
              <w:t>Итого истребителей</w:t>
            </w:r>
          </w:p>
        </w:tc>
        <w:tc>
          <w:tcPr>
            <w:tcW w:w="758" w:type="dxa"/>
          </w:tcPr>
          <w:p w14:paraId="1F4FBD79" w14:textId="77777777" w:rsidR="00C01762" w:rsidRPr="008A2E5A" w:rsidRDefault="00C01762" w:rsidP="004C5D62">
            <w:pPr>
              <w:spacing w:after="0" w:line="240" w:lineRule="auto"/>
              <w:jc w:val="both"/>
              <w:rPr>
                <w:color w:val="0070C0"/>
                <w:sz w:val="16"/>
                <w:szCs w:val="16"/>
              </w:rPr>
            </w:pPr>
          </w:p>
        </w:tc>
        <w:tc>
          <w:tcPr>
            <w:tcW w:w="680" w:type="dxa"/>
          </w:tcPr>
          <w:p w14:paraId="512496C9" w14:textId="77777777" w:rsidR="00C01762" w:rsidRPr="008A2E5A" w:rsidRDefault="00C01762" w:rsidP="004C5D62">
            <w:pPr>
              <w:spacing w:after="0" w:line="240" w:lineRule="auto"/>
              <w:jc w:val="both"/>
              <w:rPr>
                <w:color w:val="0070C0"/>
                <w:sz w:val="16"/>
                <w:szCs w:val="16"/>
              </w:rPr>
            </w:pPr>
          </w:p>
        </w:tc>
        <w:tc>
          <w:tcPr>
            <w:tcW w:w="859" w:type="dxa"/>
          </w:tcPr>
          <w:p w14:paraId="03B96FF8" w14:textId="77777777" w:rsidR="00C01762" w:rsidRPr="008A2E5A" w:rsidRDefault="00C01762" w:rsidP="004C5D62">
            <w:pPr>
              <w:spacing w:after="0" w:line="240" w:lineRule="auto"/>
              <w:jc w:val="both"/>
              <w:rPr>
                <w:color w:val="0070C0"/>
                <w:sz w:val="16"/>
                <w:szCs w:val="16"/>
              </w:rPr>
            </w:pPr>
            <w:r w:rsidRPr="008A2E5A">
              <w:rPr>
                <w:color w:val="0070C0"/>
                <w:sz w:val="16"/>
                <w:szCs w:val="16"/>
              </w:rPr>
              <w:t>4524</w:t>
            </w:r>
          </w:p>
        </w:tc>
        <w:tc>
          <w:tcPr>
            <w:tcW w:w="585" w:type="dxa"/>
          </w:tcPr>
          <w:p w14:paraId="7C09337D" w14:textId="77777777" w:rsidR="00C01762" w:rsidRPr="008A2E5A" w:rsidRDefault="00C01762" w:rsidP="004C5D62">
            <w:pPr>
              <w:spacing w:after="0" w:line="240" w:lineRule="auto"/>
              <w:jc w:val="both"/>
              <w:rPr>
                <w:color w:val="0070C0"/>
                <w:sz w:val="16"/>
                <w:szCs w:val="16"/>
              </w:rPr>
            </w:pPr>
            <w:r w:rsidRPr="008A2E5A">
              <w:rPr>
                <w:color w:val="0070C0"/>
                <w:sz w:val="16"/>
                <w:szCs w:val="16"/>
              </w:rPr>
              <w:t>829</w:t>
            </w:r>
          </w:p>
        </w:tc>
        <w:tc>
          <w:tcPr>
            <w:tcW w:w="964" w:type="dxa"/>
          </w:tcPr>
          <w:p w14:paraId="08093DAC" w14:textId="77777777" w:rsidR="00C01762" w:rsidRPr="008A2E5A" w:rsidRDefault="00C01762" w:rsidP="004C5D62">
            <w:pPr>
              <w:spacing w:after="0" w:line="240" w:lineRule="auto"/>
              <w:jc w:val="both"/>
              <w:rPr>
                <w:color w:val="0070C0"/>
                <w:sz w:val="16"/>
                <w:szCs w:val="16"/>
              </w:rPr>
            </w:pPr>
            <w:r w:rsidRPr="008A2E5A">
              <w:rPr>
                <w:color w:val="0070C0"/>
                <w:sz w:val="16"/>
                <w:szCs w:val="16"/>
              </w:rPr>
              <w:t>3871</w:t>
            </w:r>
          </w:p>
        </w:tc>
        <w:tc>
          <w:tcPr>
            <w:tcW w:w="715" w:type="dxa"/>
          </w:tcPr>
          <w:p w14:paraId="658F9B51" w14:textId="77777777" w:rsidR="00C01762" w:rsidRPr="008A2E5A" w:rsidRDefault="00C01762" w:rsidP="004C5D62">
            <w:pPr>
              <w:spacing w:after="0" w:line="240" w:lineRule="auto"/>
              <w:jc w:val="both"/>
              <w:rPr>
                <w:color w:val="0070C0"/>
                <w:sz w:val="16"/>
                <w:szCs w:val="16"/>
              </w:rPr>
            </w:pPr>
            <w:r w:rsidRPr="008A2E5A">
              <w:rPr>
                <w:color w:val="0070C0"/>
                <w:sz w:val="16"/>
                <w:szCs w:val="16"/>
              </w:rPr>
              <w:t>771</w:t>
            </w:r>
          </w:p>
        </w:tc>
        <w:tc>
          <w:tcPr>
            <w:tcW w:w="650" w:type="dxa"/>
          </w:tcPr>
          <w:p w14:paraId="5146563B" w14:textId="77777777" w:rsidR="00C01762" w:rsidRPr="008A2E5A" w:rsidRDefault="00C01762" w:rsidP="004C5D62">
            <w:pPr>
              <w:spacing w:after="0" w:line="240" w:lineRule="auto"/>
              <w:jc w:val="both"/>
              <w:rPr>
                <w:color w:val="0070C0"/>
                <w:sz w:val="16"/>
                <w:szCs w:val="16"/>
              </w:rPr>
            </w:pPr>
            <w:r w:rsidRPr="008A2E5A">
              <w:rPr>
                <w:color w:val="0070C0"/>
                <w:sz w:val="16"/>
                <w:szCs w:val="16"/>
              </w:rPr>
              <w:t>841</w:t>
            </w:r>
          </w:p>
        </w:tc>
        <w:tc>
          <w:tcPr>
            <w:tcW w:w="976" w:type="dxa"/>
          </w:tcPr>
          <w:p w14:paraId="1266ED2D" w14:textId="77777777" w:rsidR="00C01762" w:rsidRPr="008A2E5A" w:rsidRDefault="00C01762" w:rsidP="004C5D62">
            <w:pPr>
              <w:spacing w:after="0" w:line="240" w:lineRule="auto"/>
              <w:jc w:val="both"/>
              <w:rPr>
                <w:color w:val="0070C0"/>
                <w:sz w:val="16"/>
                <w:szCs w:val="16"/>
              </w:rPr>
            </w:pPr>
            <w:r w:rsidRPr="008A2E5A">
              <w:rPr>
                <w:color w:val="0070C0"/>
                <w:sz w:val="16"/>
                <w:szCs w:val="16"/>
              </w:rPr>
              <w:t>85,5</w:t>
            </w:r>
          </w:p>
        </w:tc>
        <w:tc>
          <w:tcPr>
            <w:tcW w:w="599" w:type="dxa"/>
          </w:tcPr>
          <w:p w14:paraId="11A5A5BA" w14:textId="77777777" w:rsidR="00C01762" w:rsidRPr="008A2E5A" w:rsidRDefault="00C01762" w:rsidP="004C5D62">
            <w:pPr>
              <w:spacing w:after="0" w:line="240" w:lineRule="auto"/>
              <w:jc w:val="both"/>
              <w:rPr>
                <w:color w:val="0070C0"/>
                <w:sz w:val="16"/>
                <w:szCs w:val="16"/>
              </w:rPr>
            </w:pPr>
            <w:r w:rsidRPr="008A2E5A">
              <w:rPr>
                <w:color w:val="0070C0"/>
                <w:sz w:val="16"/>
                <w:szCs w:val="16"/>
              </w:rPr>
              <w:t>93,0</w:t>
            </w:r>
          </w:p>
        </w:tc>
        <w:tc>
          <w:tcPr>
            <w:tcW w:w="962" w:type="dxa"/>
          </w:tcPr>
          <w:p w14:paraId="1AD383E6" w14:textId="77777777" w:rsidR="00C01762" w:rsidRPr="008A2E5A" w:rsidRDefault="00C01762" w:rsidP="004C5D62">
            <w:pPr>
              <w:spacing w:after="0" w:line="240" w:lineRule="auto"/>
              <w:jc w:val="both"/>
              <w:rPr>
                <w:color w:val="0070C0"/>
                <w:sz w:val="16"/>
                <w:szCs w:val="16"/>
              </w:rPr>
            </w:pPr>
            <w:r w:rsidRPr="008A2E5A">
              <w:rPr>
                <w:color w:val="0070C0"/>
                <w:sz w:val="16"/>
                <w:szCs w:val="16"/>
              </w:rPr>
              <w:t>827</w:t>
            </w:r>
          </w:p>
        </w:tc>
        <w:tc>
          <w:tcPr>
            <w:tcW w:w="636" w:type="dxa"/>
          </w:tcPr>
          <w:p w14:paraId="3F77D24A" w14:textId="77777777" w:rsidR="00C01762" w:rsidRPr="008A2E5A" w:rsidRDefault="00C01762" w:rsidP="004C5D62">
            <w:pPr>
              <w:spacing w:after="0" w:line="240" w:lineRule="auto"/>
              <w:jc w:val="both"/>
              <w:rPr>
                <w:color w:val="0070C0"/>
                <w:sz w:val="16"/>
                <w:szCs w:val="16"/>
              </w:rPr>
            </w:pPr>
            <w:r w:rsidRPr="008A2E5A">
              <w:rPr>
                <w:color w:val="0070C0"/>
                <w:sz w:val="16"/>
                <w:szCs w:val="16"/>
              </w:rPr>
              <w:t>4018</w:t>
            </w:r>
          </w:p>
        </w:tc>
        <w:tc>
          <w:tcPr>
            <w:tcW w:w="857" w:type="dxa"/>
          </w:tcPr>
          <w:p w14:paraId="72CB4283" w14:textId="77777777" w:rsidR="00C01762" w:rsidRPr="008A2E5A" w:rsidRDefault="00C01762" w:rsidP="004C5D62">
            <w:pPr>
              <w:spacing w:after="0" w:line="240" w:lineRule="auto"/>
              <w:jc w:val="both"/>
              <w:rPr>
                <w:color w:val="0070C0"/>
                <w:sz w:val="16"/>
                <w:szCs w:val="16"/>
              </w:rPr>
            </w:pPr>
            <w:r w:rsidRPr="008A2E5A">
              <w:rPr>
                <w:color w:val="0070C0"/>
                <w:sz w:val="16"/>
                <w:szCs w:val="16"/>
              </w:rPr>
              <w:t>208</w:t>
            </w:r>
          </w:p>
        </w:tc>
      </w:tr>
      <w:tr w:rsidR="00C01762" w:rsidRPr="008A2E5A" w14:paraId="535E5B42" w14:textId="77777777" w:rsidTr="004C5D62">
        <w:tc>
          <w:tcPr>
            <w:tcW w:w="1441" w:type="dxa"/>
          </w:tcPr>
          <w:p w14:paraId="3B6241E8" w14:textId="77777777" w:rsidR="00C01762" w:rsidRPr="008A2E5A" w:rsidRDefault="00C01762" w:rsidP="004C5D62">
            <w:pPr>
              <w:spacing w:after="0" w:line="240" w:lineRule="auto"/>
              <w:jc w:val="both"/>
              <w:rPr>
                <w:color w:val="0070C0"/>
                <w:sz w:val="16"/>
                <w:szCs w:val="16"/>
              </w:rPr>
            </w:pPr>
            <w:r w:rsidRPr="008A2E5A">
              <w:rPr>
                <w:color w:val="0070C0"/>
                <w:sz w:val="16"/>
                <w:szCs w:val="16"/>
              </w:rPr>
              <w:t>25.</w:t>
            </w:r>
          </w:p>
        </w:tc>
        <w:tc>
          <w:tcPr>
            <w:tcW w:w="758" w:type="dxa"/>
          </w:tcPr>
          <w:p w14:paraId="43873E1E" w14:textId="77777777" w:rsidR="00C01762" w:rsidRPr="008A2E5A" w:rsidRDefault="00C01762" w:rsidP="004C5D62">
            <w:pPr>
              <w:spacing w:after="0" w:line="240" w:lineRule="auto"/>
              <w:jc w:val="both"/>
              <w:rPr>
                <w:color w:val="0070C0"/>
                <w:sz w:val="16"/>
                <w:szCs w:val="16"/>
              </w:rPr>
            </w:pPr>
            <w:r w:rsidRPr="008A2E5A">
              <w:rPr>
                <w:color w:val="0070C0"/>
                <w:sz w:val="16"/>
                <w:szCs w:val="16"/>
              </w:rPr>
              <w:t>УТИ-4</w:t>
            </w:r>
          </w:p>
        </w:tc>
        <w:tc>
          <w:tcPr>
            <w:tcW w:w="680" w:type="dxa"/>
          </w:tcPr>
          <w:p w14:paraId="3666E0C3" w14:textId="77777777" w:rsidR="00C01762" w:rsidRPr="008A2E5A" w:rsidRDefault="00C01762" w:rsidP="004C5D62">
            <w:pPr>
              <w:spacing w:after="0" w:line="240" w:lineRule="auto"/>
              <w:jc w:val="both"/>
              <w:rPr>
                <w:color w:val="0070C0"/>
                <w:sz w:val="16"/>
                <w:szCs w:val="16"/>
              </w:rPr>
            </w:pPr>
            <w:r w:rsidRPr="008A2E5A">
              <w:rPr>
                <w:color w:val="0070C0"/>
                <w:sz w:val="16"/>
                <w:szCs w:val="16"/>
              </w:rPr>
              <w:t>458</w:t>
            </w:r>
          </w:p>
        </w:tc>
        <w:tc>
          <w:tcPr>
            <w:tcW w:w="859" w:type="dxa"/>
          </w:tcPr>
          <w:p w14:paraId="23C966D8" w14:textId="77777777" w:rsidR="00C01762" w:rsidRPr="008A2E5A" w:rsidRDefault="00C01762" w:rsidP="004C5D62">
            <w:pPr>
              <w:spacing w:after="0" w:line="240" w:lineRule="auto"/>
              <w:jc w:val="both"/>
              <w:rPr>
                <w:color w:val="0070C0"/>
                <w:sz w:val="16"/>
                <w:szCs w:val="16"/>
              </w:rPr>
            </w:pPr>
            <w:r w:rsidRPr="008A2E5A">
              <w:rPr>
                <w:color w:val="0070C0"/>
                <w:sz w:val="16"/>
                <w:szCs w:val="16"/>
              </w:rPr>
              <w:t>60</w:t>
            </w:r>
          </w:p>
        </w:tc>
        <w:tc>
          <w:tcPr>
            <w:tcW w:w="585" w:type="dxa"/>
          </w:tcPr>
          <w:p w14:paraId="007B2352" w14:textId="77777777" w:rsidR="00C01762" w:rsidRPr="008A2E5A" w:rsidRDefault="00C01762" w:rsidP="004C5D62">
            <w:pPr>
              <w:spacing w:after="0" w:line="240" w:lineRule="auto"/>
              <w:jc w:val="both"/>
              <w:rPr>
                <w:color w:val="0070C0"/>
                <w:sz w:val="16"/>
                <w:szCs w:val="16"/>
              </w:rPr>
            </w:pPr>
          </w:p>
        </w:tc>
        <w:tc>
          <w:tcPr>
            <w:tcW w:w="964" w:type="dxa"/>
          </w:tcPr>
          <w:p w14:paraId="0F06B2C5" w14:textId="77777777" w:rsidR="00C01762" w:rsidRPr="008A2E5A" w:rsidRDefault="00C01762" w:rsidP="004C5D62">
            <w:pPr>
              <w:spacing w:after="0" w:line="240" w:lineRule="auto"/>
              <w:jc w:val="both"/>
              <w:rPr>
                <w:color w:val="0070C0"/>
                <w:sz w:val="16"/>
                <w:szCs w:val="16"/>
              </w:rPr>
            </w:pPr>
            <w:r w:rsidRPr="008A2E5A">
              <w:rPr>
                <w:color w:val="0070C0"/>
                <w:sz w:val="16"/>
                <w:szCs w:val="16"/>
              </w:rPr>
              <w:t>81</w:t>
            </w:r>
          </w:p>
        </w:tc>
        <w:tc>
          <w:tcPr>
            <w:tcW w:w="715" w:type="dxa"/>
          </w:tcPr>
          <w:p w14:paraId="0F04E8F7" w14:textId="77777777" w:rsidR="00C01762" w:rsidRPr="008A2E5A" w:rsidRDefault="00C01762" w:rsidP="004C5D62">
            <w:pPr>
              <w:spacing w:after="0" w:line="240" w:lineRule="auto"/>
              <w:jc w:val="both"/>
              <w:rPr>
                <w:color w:val="0070C0"/>
                <w:sz w:val="16"/>
                <w:szCs w:val="16"/>
              </w:rPr>
            </w:pPr>
          </w:p>
        </w:tc>
        <w:tc>
          <w:tcPr>
            <w:tcW w:w="650" w:type="dxa"/>
          </w:tcPr>
          <w:p w14:paraId="4A6A0FF4" w14:textId="77777777" w:rsidR="00C01762" w:rsidRPr="008A2E5A" w:rsidRDefault="00C01762" w:rsidP="004C5D62">
            <w:pPr>
              <w:spacing w:after="0" w:line="240" w:lineRule="auto"/>
              <w:jc w:val="both"/>
              <w:rPr>
                <w:color w:val="0070C0"/>
                <w:sz w:val="16"/>
                <w:szCs w:val="16"/>
              </w:rPr>
            </w:pPr>
          </w:p>
        </w:tc>
        <w:tc>
          <w:tcPr>
            <w:tcW w:w="976" w:type="dxa"/>
          </w:tcPr>
          <w:p w14:paraId="61F2D905" w14:textId="77777777" w:rsidR="00C01762" w:rsidRPr="008A2E5A" w:rsidRDefault="00C01762" w:rsidP="004C5D62">
            <w:pPr>
              <w:spacing w:after="0" w:line="240" w:lineRule="auto"/>
              <w:jc w:val="both"/>
              <w:rPr>
                <w:color w:val="0070C0"/>
                <w:sz w:val="16"/>
                <w:szCs w:val="16"/>
              </w:rPr>
            </w:pPr>
            <w:r w:rsidRPr="008A2E5A">
              <w:rPr>
                <w:color w:val="0070C0"/>
                <w:sz w:val="16"/>
                <w:szCs w:val="16"/>
              </w:rPr>
              <w:t>135,0</w:t>
            </w:r>
          </w:p>
        </w:tc>
        <w:tc>
          <w:tcPr>
            <w:tcW w:w="599" w:type="dxa"/>
          </w:tcPr>
          <w:p w14:paraId="3C7C8103" w14:textId="77777777" w:rsidR="00C01762" w:rsidRPr="008A2E5A" w:rsidRDefault="00C01762" w:rsidP="004C5D62">
            <w:pPr>
              <w:spacing w:after="0" w:line="240" w:lineRule="auto"/>
              <w:jc w:val="both"/>
              <w:rPr>
                <w:color w:val="0070C0"/>
                <w:sz w:val="16"/>
                <w:szCs w:val="16"/>
              </w:rPr>
            </w:pPr>
          </w:p>
        </w:tc>
        <w:tc>
          <w:tcPr>
            <w:tcW w:w="962" w:type="dxa"/>
          </w:tcPr>
          <w:p w14:paraId="0F6E3506" w14:textId="77777777" w:rsidR="00C01762" w:rsidRPr="008A2E5A" w:rsidRDefault="00C01762" w:rsidP="004C5D62">
            <w:pPr>
              <w:spacing w:after="0" w:line="240" w:lineRule="auto"/>
              <w:jc w:val="both"/>
              <w:rPr>
                <w:color w:val="0070C0"/>
                <w:sz w:val="16"/>
                <w:szCs w:val="16"/>
              </w:rPr>
            </w:pPr>
          </w:p>
        </w:tc>
        <w:tc>
          <w:tcPr>
            <w:tcW w:w="636" w:type="dxa"/>
          </w:tcPr>
          <w:p w14:paraId="11F4CDFF" w14:textId="77777777" w:rsidR="00C01762" w:rsidRPr="008A2E5A" w:rsidRDefault="00C01762" w:rsidP="004C5D62">
            <w:pPr>
              <w:spacing w:after="0" w:line="240" w:lineRule="auto"/>
              <w:jc w:val="both"/>
              <w:rPr>
                <w:color w:val="0070C0"/>
                <w:sz w:val="16"/>
                <w:szCs w:val="16"/>
              </w:rPr>
            </w:pPr>
            <w:r w:rsidRPr="008A2E5A">
              <w:rPr>
                <w:color w:val="0070C0"/>
                <w:sz w:val="16"/>
                <w:szCs w:val="16"/>
              </w:rPr>
              <w:t>95</w:t>
            </w:r>
          </w:p>
        </w:tc>
        <w:tc>
          <w:tcPr>
            <w:tcW w:w="857" w:type="dxa"/>
          </w:tcPr>
          <w:p w14:paraId="778F668E" w14:textId="77777777" w:rsidR="00C01762" w:rsidRPr="008A2E5A" w:rsidRDefault="00C01762" w:rsidP="004C5D62">
            <w:pPr>
              <w:spacing w:after="0" w:line="240" w:lineRule="auto"/>
              <w:jc w:val="both"/>
              <w:rPr>
                <w:color w:val="0070C0"/>
                <w:sz w:val="16"/>
                <w:szCs w:val="16"/>
              </w:rPr>
            </w:pPr>
            <w:r w:rsidRPr="008A2E5A">
              <w:rPr>
                <w:color w:val="0070C0"/>
                <w:sz w:val="16"/>
                <w:szCs w:val="16"/>
              </w:rPr>
              <w:t>-</w:t>
            </w:r>
          </w:p>
        </w:tc>
      </w:tr>
      <w:tr w:rsidR="00C01762" w:rsidRPr="008A2E5A" w14:paraId="5BE778AB" w14:textId="77777777" w:rsidTr="004C5D62">
        <w:tc>
          <w:tcPr>
            <w:tcW w:w="1441" w:type="dxa"/>
          </w:tcPr>
          <w:p w14:paraId="65DFCE9D" w14:textId="77777777" w:rsidR="00C01762" w:rsidRPr="008A2E5A" w:rsidRDefault="00C01762" w:rsidP="004C5D62">
            <w:pPr>
              <w:spacing w:after="0" w:line="240" w:lineRule="auto"/>
              <w:jc w:val="both"/>
              <w:rPr>
                <w:color w:val="0070C0"/>
                <w:sz w:val="16"/>
                <w:szCs w:val="16"/>
              </w:rPr>
            </w:pPr>
            <w:r w:rsidRPr="008A2E5A">
              <w:rPr>
                <w:color w:val="0070C0"/>
                <w:sz w:val="16"/>
                <w:szCs w:val="16"/>
              </w:rPr>
              <w:t>26.</w:t>
            </w:r>
          </w:p>
        </w:tc>
        <w:tc>
          <w:tcPr>
            <w:tcW w:w="758" w:type="dxa"/>
          </w:tcPr>
          <w:p w14:paraId="56063C7E" w14:textId="77777777" w:rsidR="00C01762" w:rsidRPr="008A2E5A" w:rsidRDefault="00C01762" w:rsidP="004C5D62">
            <w:pPr>
              <w:spacing w:after="0" w:line="240" w:lineRule="auto"/>
              <w:jc w:val="both"/>
              <w:rPr>
                <w:color w:val="0070C0"/>
                <w:sz w:val="16"/>
                <w:szCs w:val="16"/>
              </w:rPr>
            </w:pPr>
            <w:r w:rsidRPr="008A2E5A">
              <w:rPr>
                <w:color w:val="0070C0"/>
                <w:sz w:val="16"/>
                <w:szCs w:val="16"/>
              </w:rPr>
              <w:t>УТ-2</w:t>
            </w:r>
          </w:p>
        </w:tc>
        <w:tc>
          <w:tcPr>
            <w:tcW w:w="680" w:type="dxa"/>
          </w:tcPr>
          <w:p w14:paraId="484B9759" w14:textId="77777777" w:rsidR="00C01762" w:rsidRPr="008A2E5A" w:rsidRDefault="00C01762" w:rsidP="004C5D62">
            <w:pPr>
              <w:spacing w:after="0" w:line="240" w:lineRule="auto"/>
              <w:jc w:val="both"/>
              <w:rPr>
                <w:color w:val="0070C0"/>
                <w:sz w:val="16"/>
                <w:szCs w:val="16"/>
              </w:rPr>
            </w:pPr>
            <w:r w:rsidRPr="008A2E5A">
              <w:rPr>
                <w:color w:val="0070C0"/>
                <w:sz w:val="16"/>
                <w:szCs w:val="16"/>
              </w:rPr>
              <w:t>47</w:t>
            </w:r>
          </w:p>
        </w:tc>
        <w:tc>
          <w:tcPr>
            <w:tcW w:w="859" w:type="dxa"/>
          </w:tcPr>
          <w:p w14:paraId="16FA088D" w14:textId="77777777" w:rsidR="00C01762" w:rsidRPr="008A2E5A" w:rsidRDefault="00C01762" w:rsidP="004C5D62">
            <w:pPr>
              <w:spacing w:after="0" w:line="240" w:lineRule="auto"/>
              <w:jc w:val="both"/>
              <w:rPr>
                <w:color w:val="0070C0"/>
                <w:sz w:val="16"/>
                <w:szCs w:val="16"/>
              </w:rPr>
            </w:pPr>
            <w:r w:rsidRPr="008A2E5A">
              <w:rPr>
                <w:color w:val="0070C0"/>
                <w:sz w:val="16"/>
                <w:szCs w:val="16"/>
              </w:rPr>
              <w:t>307</w:t>
            </w:r>
          </w:p>
        </w:tc>
        <w:tc>
          <w:tcPr>
            <w:tcW w:w="585" w:type="dxa"/>
          </w:tcPr>
          <w:p w14:paraId="1126CD30" w14:textId="77777777" w:rsidR="00C01762" w:rsidRPr="008A2E5A" w:rsidRDefault="00C01762" w:rsidP="004C5D62">
            <w:pPr>
              <w:spacing w:after="0" w:line="240" w:lineRule="auto"/>
              <w:jc w:val="both"/>
              <w:rPr>
                <w:color w:val="0070C0"/>
                <w:sz w:val="16"/>
                <w:szCs w:val="16"/>
              </w:rPr>
            </w:pPr>
            <w:r w:rsidRPr="008A2E5A">
              <w:rPr>
                <w:color w:val="0070C0"/>
                <w:sz w:val="16"/>
                <w:szCs w:val="16"/>
              </w:rPr>
              <w:t>64</w:t>
            </w:r>
          </w:p>
        </w:tc>
        <w:tc>
          <w:tcPr>
            <w:tcW w:w="964" w:type="dxa"/>
          </w:tcPr>
          <w:p w14:paraId="189A5440" w14:textId="77777777" w:rsidR="00C01762" w:rsidRPr="008A2E5A" w:rsidRDefault="00C01762" w:rsidP="004C5D62">
            <w:pPr>
              <w:spacing w:after="0" w:line="240" w:lineRule="auto"/>
              <w:jc w:val="both"/>
              <w:rPr>
                <w:color w:val="0070C0"/>
                <w:sz w:val="16"/>
                <w:szCs w:val="16"/>
              </w:rPr>
            </w:pPr>
            <w:r w:rsidRPr="008A2E5A">
              <w:rPr>
                <w:color w:val="0070C0"/>
                <w:sz w:val="16"/>
                <w:szCs w:val="16"/>
              </w:rPr>
              <w:t>249</w:t>
            </w:r>
          </w:p>
        </w:tc>
        <w:tc>
          <w:tcPr>
            <w:tcW w:w="715" w:type="dxa"/>
          </w:tcPr>
          <w:p w14:paraId="739EDC5C" w14:textId="77777777" w:rsidR="00C01762" w:rsidRPr="008A2E5A" w:rsidRDefault="00C01762" w:rsidP="004C5D62">
            <w:pPr>
              <w:spacing w:after="0" w:line="240" w:lineRule="auto"/>
              <w:jc w:val="both"/>
              <w:rPr>
                <w:color w:val="0070C0"/>
                <w:sz w:val="16"/>
                <w:szCs w:val="16"/>
              </w:rPr>
            </w:pPr>
            <w:r w:rsidRPr="008A2E5A">
              <w:rPr>
                <w:color w:val="0070C0"/>
                <w:sz w:val="16"/>
                <w:szCs w:val="16"/>
              </w:rPr>
              <w:t>67</w:t>
            </w:r>
          </w:p>
        </w:tc>
        <w:tc>
          <w:tcPr>
            <w:tcW w:w="650" w:type="dxa"/>
          </w:tcPr>
          <w:p w14:paraId="3078AFB5" w14:textId="77777777" w:rsidR="00C01762" w:rsidRPr="008A2E5A" w:rsidRDefault="00C01762" w:rsidP="004C5D62">
            <w:pPr>
              <w:spacing w:after="0" w:line="240" w:lineRule="auto"/>
              <w:jc w:val="both"/>
              <w:rPr>
                <w:color w:val="0070C0"/>
                <w:sz w:val="16"/>
                <w:szCs w:val="16"/>
              </w:rPr>
            </w:pPr>
          </w:p>
        </w:tc>
        <w:tc>
          <w:tcPr>
            <w:tcW w:w="976" w:type="dxa"/>
          </w:tcPr>
          <w:p w14:paraId="20F97704" w14:textId="77777777" w:rsidR="00C01762" w:rsidRPr="008A2E5A" w:rsidRDefault="00C01762" w:rsidP="004C5D62">
            <w:pPr>
              <w:spacing w:after="0" w:line="240" w:lineRule="auto"/>
              <w:jc w:val="both"/>
              <w:rPr>
                <w:color w:val="0070C0"/>
                <w:sz w:val="16"/>
                <w:szCs w:val="16"/>
              </w:rPr>
            </w:pPr>
            <w:r w:rsidRPr="008A2E5A">
              <w:rPr>
                <w:color w:val="0070C0"/>
                <w:sz w:val="16"/>
                <w:szCs w:val="16"/>
              </w:rPr>
              <w:t>81,1</w:t>
            </w:r>
          </w:p>
        </w:tc>
        <w:tc>
          <w:tcPr>
            <w:tcW w:w="599" w:type="dxa"/>
          </w:tcPr>
          <w:p w14:paraId="1D579A24" w14:textId="77777777" w:rsidR="00C01762" w:rsidRPr="008A2E5A" w:rsidRDefault="00C01762" w:rsidP="004C5D62">
            <w:pPr>
              <w:spacing w:after="0" w:line="240" w:lineRule="auto"/>
              <w:jc w:val="both"/>
              <w:rPr>
                <w:color w:val="0070C0"/>
                <w:sz w:val="16"/>
                <w:szCs w:val="16"/>
              </w:rPr>
            </w:pPr>
            <w:r w:rsidRPr="008A2E5A">
              <w:rPr>
                <w:color w:val="0070C0"/>
                <w:sz w:val="16"/>
                <w:szCs w:val="16"/>
              </w:rPr>
              <w:t>104,7</w:t>
            </w:r>
          </w:p>
        </w:tc>
        <w:tc>
          <w:tcPr>
            <w:tcW w:w="962" w:type="dxa"/>
          </w:tcPr>
          <w:p w14:paraId="44C107B5" w14:textId="77777777" w:rsidR="00C01762" w:rsidRPr="008A2E5A" w:rsidRDefault="00C01762" w:rsidP="004C5D62">
            <w:pPr>
              <w:spacing w:after="0" w:line="240" w:lineRule="auto"/>
              <w:jc w:val="both"/>
              <w:rPr>
                <w:color w:val="0070C0"/>
                <w:sz w:val="16"/>
                <w:szCs w:val="16"/>
              </w:rPr>
            </w:pPr>
            <w:r w:rsidRPr="008A2E5A">
              <w:rPr>
                <w:color w:val="0070C0"/>
                <w:sz w:val="16"/>
                <w:szCs w:val="16"/>
              </w:rPr>
              <w:t>79</w:t>
            </w:r>
          </w:p>
        </w:tc>
        <w:tc>
          <w:tcPr>
            <w:tcW w:w="636" w:type="dxa"/>
          </w:tcPr>
          <w:p w14:paraId="3C51802C" w14:textId="77777777" w:rsidR="00C01762" w:rsidRPr="008A2E5A" w:rsidRDefault="00C01762" w:rsidP="004C5D62">
            <w:pPr>
              <w:spacing w:after="0" w:line="240" w:lineRule="auto"/>
              <w:jc w:val="both"/>
              <w:rPr>
                <w:color w:val="0070C0"/>
                <w:sz w:val="16"/>
                <w:szCs w:val="16"/>
              </w:rPr>
            </w:pPr>
            <w:r w:rsidRPr="008A2E5A">
              <w:rPr>
                <w:color w:val="0070C0"/>
                <w:sz w:val="16"/>
                <w:szCs w:val="16"/>
              </w:rPr>
              <w:t>273</w:t>
            </w:r>
          </w:p>
        </w:tc>
        <w:tc>
          <w:tcPr>
            <w:tcW w:w="857" w:type="dxa"/>
          </w:tcPr>
          <w:p w14:paraId="1DAEF486" w14:textId="77777777" w:rsidR="00C01762" w:rsidRPr="008A2E5A" w:rsidRDefault="00C01762" w:rsidP="004C5D62">
            <w:pPr>
              <w:spacing w:after="0" w:line="240" w:lineRule="auto"/>
              <w:jc w:val="both"/>
              <w:rPr>
                <w:color w:val="0070C0"/>
                <w:sz w:val="16"/>
                <w:szCs w:val="16"/>
              </w:rPr>
            </w:pPr>
            <w:r w:rsidRPr="008A2E5A">
              <w:rPr>
                <w:color w:val="0070C0"/>
                <w:sz w:val="16"/>
                <w:szCs w:val="16"/>
              </w:rPr>
              <w:t>19</w:t>
            </w:r>
          </w:p>
        </w:tc>
      </w:tr>
      <w:tr w:rsidR="00C01762" w:rsidRPr="008A2E5A" w14:paraId="2D9FF79A" w14:textId="77777777" w:rsidTr="004C5D62">
        <w:tc>
          <w:tcPr>
            <w:tcW w:w="1441" w:type="dxa"/>
          </w:tcPr>
          <w:p w14:paraId="5A0D169B" w14:textId="77777777" w:rsidR="00C01762" w:rsidRPr="008A2E5A" w:rsidRDefault="00C01762" w:rsidP="004C5D62">
            <w:pPr>
              <w:spacing w:after="0" w:line="240" w:lineRule="auto"/>
              <w:jc w:val="both"/>
              <w:rPr>
                <w:color w:val="0070C0"/>
                <w:sz w:val="16"/>
                <w:szCs w:val="16"/>
              </w:rPr>
            </w:pPr>
            <w:r w:rsidRPr="008A2E5A">
              <w:rPr>
                <w:color w:val="0070C0"/>
                <w:sz w:val="16"/>
                <w:szCs w:val="16"/>
              </w:rPr>
              <w:t>27.</w:t>
            </w:r>
          </w:p>
        </w:tc>
        <w:tc>
          <w:tcPr>
            <w:tcW w:w="758" w:type="dxa"/>
          </w:tcPr>
          <w:p w14:paraId="43291405" w14:textId="77777777" w:rsidR="00C01762" w:rsidRPr="008A2E5A" w:rsidRDefault="00C01762" w:rsidP="004C5D62">
            <w:pPr>
              <w:spacing w:after="0" w:line="240" w:lineRule="auto"/>
              <w:jc w:val="both"/>
              <w:rPr>
                <w:color w:val="0070C0"/>
                <w:sz w:val="16"/>
                <w:szCs w:val="16"/>
              </w:rPr>
            </w:pPr>
            <w:r w:rsidRPr="008A2E5A">
              <w:rPr>
                <w:color w:val="0070C0"/>
                <w:sz w:val="16"/>
                <w:szCs w:val="16"/>
              </w:rPr>
              <w:t>УТ-2</w:t>
            </w:r>
          </w:p>
        </w:tc>
        <w:tc>
          <w:tcPr>
            <w:tcW w:w="680" w:type="dxa"/>
          </w:tcPr>
          <w:p w14:paraId="19F1EA3F" w14:textId="77777777" w:rsidR="00C01762" w:rsidRPr="008A2E5A" w:rsidRDefault="00C01762" w:rsidP="004C5D62">
            <w:pPr>
              <w:spacing w:after="0" w:line="240" w:lineRule="auto"/>
              <w:jc w:val="both"/>
              <w:rPr>
                <w:color w:val="0070C0"/>
                <w:sz w:val="16"/>
                <w:szCs w:val="16"/>
              </w:rPr>
            </w:pPr>
            <w:r w:rsidRPr="008A2E5A">
              <w:rPr>
                <w:color w:val="0070C0"/>
                <w:sz w:val="16"/>
                <w:szCs w:val="16"/>
              </w:rPr>
              <w:t>116</w:t>
            </w:r>
          </w:p>
        </w:tc>
        <w:tc>
          <w:tcPr>
            <w:tcW w:w="859" w:type="dxa"/>
          </w:tcPr>
          <w:p w14:paraId="70B431F9" w14:textId="77777777" w:rsidR="00C01762" w:rsidRPr="008A2E5A" w:rsidRDefault="00C01762" w:rsidP="004C5D62">
            <w:pPr>
              <w:spacing w:after="0" w:line="240" w:lineRule="auto"/>
              <w:jc w:val="both"/>
              <w:rPr>
                <w:color w:val="0070C0"/>
                <w:sz w:val="16"/>
                <w:szCs w:val="16"/>
              </w:rPr>
            </w:pPr>
            <w:r w:rsidRPr="008A2E5A">
              <w:rPr>
                <w:color w:val="0070C0"/>
                <w:sz w:val="16"/>
                <w:szCs w:val="16"/>
              </w:rPr>
              <w:t>399</w:t>
            </w:r>
          </w:p>
        </w:tc>
        <w:tc>
          <w:tcPr>
            <w:tcW w:w="585" w:type="dxa"/>
          </w:tcPr>
          <w:p w14:paraId="4BEE1B69" w14:textId="77777777" w:rsidR="00C01762" w:rsidRPr="008A2E5A" w:rsidRDefault="00C01762" w:rsidP="004C5D62">
            <w:pPr>
              <w:spacing w:after="0" w:line="240" w:lineRule="auto"/>
              <w:jc w:val="both"/>
              <w:rPr>
                <w:color w:val="0070C0"/>
                <w:sz w:val="16"/>
                <w:szCs w:val="16"/>
              </w:rPr>
            </w:pPr>
            <w:r w:rsidRPr="008A2E5A">
              <w:rPr>
                <w:color w:val="0070C0"/>
                <w:sz w:val="16"/>
                <w:szCs w:val="16"/>
              </w:rPr>
              <w:t>100</w:t>
            </w:r>
          </w:p>
        </w:tc>
        <w:tc>
          <w:tcPr>
            <w:tcW w:w="964" w:type="dxa"/>
          </w:tcPr>
          <w:p w14:paraId="089E7206" w14:textId="77777777" w:rsidR="00C01762" w:rsidRPr="008A2E5A" w:rsidRDefault="00C01762" w:rsidP="004C5D62">
            <w:pPr>
              <w:spacing w:after="0" w:line="240" w:lineRule="auto"/>
              <w:jc w:val="both"/>
              <w:rPr>
                <w:color w:val="0070C0"/>
                <w:sz w:val="16"/>
                <w:szCs w:val="16"/>
              </w:rPr>
            </w:pPr>
            <w:r w:rsidRPr="008A2E5A">
              <w:rPr>
                <w:color w:val="0070C0"/>
                <w:sz w:val="16"/>
                <w:szCs w:val="16"/>
              </w:rPr>
              <w:t>151</w:t>
            </w:r>
          </w:p>
        </w:tc>
        <w:tc>
          <w:tcPr>
            <w:tcW w:w="715" w:type="dxa"/>
          </w:tcPr>
          <w:p w14:paraId="418912B7" w14:textId="77777777" w:rsidR="00C01762" w:rsidRPr="008A2E5A" w:rsidRDefault="00C01762" w:rsidP="004C5D62">
            <w:pPr>
              <w:spacing w:after="0" w:line="240" w:lineRule="auto"/>
              <w:jc w:val="both"/>
              <w:rPr>
                <w:color w:val="0070C0"/>
                <w:sz w:val="16"/>
                <w:szCs w:val="16"/>
              </w:rPr>
            </w:pPr>
            <w:r w:rsidRPr="008A2E5A">
              <w:rPr>
                <w:color w:val="0070C0"/>
                <w:sz w:val="16"/>
                <w:szCs w:val="16"/>
              </w:rPr>
              <w:t>1</w:t>
            </w:r>
          </w:p>
        </w:tc>
        <w:tc>
          <w:tcPr>
            <w:tcW w:w="650" w:type="dxa"/>
          </w:tcPr>
          <w:p w14:paraId="429FDBB5" w14:textId="77777777" w:rsidR="00C01762" w:rsidRPr="008A2E5A" w:rsidRDefault="00C01762" w:rsidP="004C5D62">
            <w:pPr>
              <w:spacing w:after="0" w:line="240" w:lineRule="auto"/>
              <w:jc w:val="both"/>
              <w:rPr>
                <w:color w:val="0070C0"/>
                <w:sz w:val="16"/>
                <w:szCs w:val="16"/>
              </w:rPr>
            </w:pPr>
          </w:p>
        </w:tc>
        <w:tc>
          <w:tcPr>
            <w:tcW w:w="976" w:type="dxa"/>
          </w:tcPr>
          <w:p w14:paraId="09BC97CF" w14:textId="77777777" w:rsidR="00C01762" w:rsidRPr="008A2E5A" w:rsidRDefault="00C01762" w:rsidP="004C5D62">
            <w:pPr>
              <w:spacing w:after="0" w:line="240" w:lineRule="auto"/>
              <w:jc w:val="both"/>
              <w:rPr>
                <w:color w:val="0070C0"/>
                <w:sz w:val="16"/>
                <w:szCs w:val="16"/>
              </w:rPr>
            </w:pPr>
            <w:r w:rsidRPr="008A2E5A">
              <w:rPr>
                <w:color w:val="0070C0"/>
                <w:sz w:val="16"/>
                <w:szCs w:val="16"/>
              </w:rPr>
              <w:t>37,9</w:t>
            </w:r>
          </w:p>
        </w:tc>
        <w:tc>
          <w:tcPr>
            <w:tcW w:w="599" w:type="dxa"/>
          </w:tcPr>
          <w:p w14:paraId="231886A4" w14:textId="77777777" w:rsidR="00C01762" w:rsidRPr="008A2E5A" w:rsidRDefault="00C01762" w:rsidP="004C5D62">
            <w:pPr>
              <w:spacing w:after="0" w:line="240" w:lineRule="auto"/>
              <w:jc w:val="both"/>
              <w:rPr>
                <w:color w:val="0070C0"/>
                <w:sz w:val="16"/>
                <w:szCs w:val="16"/>
              </w:rPr>
            </w:pPr>
            <w:r w:rsidRPr="008A2E5A">
              <w:rPr>
                <w:color w:val="0070C0"/>
                <w:sz w:val="16"/>
                <w:szCs w:val="16"/>
              </w:rPr>
              <w:t>1,0</w:t>
            </w:r>
          </w:p>
        </w:tc>
        <w:tc>
          <w:tcPr>
            <w:tcW w:w="962" w:type="dxa"/>
          </w:tcPr>
          <w:p w14:paraId="7EF1FC05" w14:textId="77777777" w:rsidR="00C01762" w:rsidRPr="008A2E5A" w:rsidRDefault="00C01762" w:rsidP="004C5D62">
            <w:pPr>
              <w:spacing w:after="0" w:line="240" w:lineRule="auto"/>
              <w:jc w:val="both"/>
              <w:rPr>
                <w:color w:val="0070C0"/>
                <w:sz w:val="16"/>
                <w:szCs w:val="16"/>
              </w:rPr>
            </w:pPr>
            <w:r w:rsidRPr="008A2E5A">
              <w:rPr>
                <w:color w:val="0070C0"/>
                <w:sz w:val="16"/>
                <w:szCs w:val="16"/>
              </w:rPr>
              <w:t>0</w:t>
            </w:r>
          </w:p>
        </w:tc>
        <w:tc>
          <w:tcPr>
            <w:tcW w:w="636" w:type="dxa"/>
          </w:tcPr>
          <w:p w14:paraId="245E3FBC" w14:textId="77777777" w:rsidR="00C01762" w:rsidRPr="008A2E5A" w:rsidRDefault="00C01762" w:rsidP="004C5D62">
            <w:pPr>
              <w:spacing w:after="0" w:line="240" w:lineRule="auto"/>
              <w:jc w:val="both"/>
              <w:rPr>
                <w:color w:val="0070C0"/>
                <w:sz w:val="16"/>
                <w:szCs w:val="16"/>
              </w:rPr>
            </w:pPr>
            <w:r w:rsidRPr="008A2E5A">
              <w:rPr>
                <w:color w:val="0070C0"/>
                <w:sz w:val="16"/>
                <w:szCs w:val="16"/>
              </w:rPr>
              <w:t>94</w:t>
            </w:r>
          </w:p>
        </w:tc>
        <w:tc>
          <w:tcPr>
            <w:tcW w:w="857" w:type="dxa"/>
          </w:tcPr>
          <w:p w14:paraId="4EBFC2C6" w14:textId="77777777" w:rsidR="00C01762" w:rsidRPr="008A2E5A" w:rsidRDefault="00C01762" w:rsidP="004C5D62">
            <w:pPr>
              <w:spacing w:after="0" w:line="240" w:lineRule="auto"/>
              <w:jc w:val="both"/>
              <w:rPr>
                <w:color w:val="0070C0"/>
                <w:sz w:val="16"/>
                <w:szCs w:val="16"/>
              </w:rPr>
            </w:pPr>
            <w:r w:rsidRPr="008A2E5A">
              <w:rPr>
                <w:color w:val="0070C0"/>
                <w:sz w:val="16"/>
                <w:szCs w:val="16"/>
              </w:rPr>
              <w:t>57</w:t>
            </w:r>
          </w:p>
        </w:tc>
      </w:tr>
      <w:tr w:rsidR="00C01762" w:rsidRPr="008A2E5A" w14:paraId="59B1CE39" w14:textId="77777777" w:rsidTr="004C5D62">
        <w:tc>
          <w:tcPr>
            <w:tcW w:w="1441" w:type="dxa"/>
          </w:tcPr>
          <w:p w14:paraId="6CEAA855" w14:textId="77777777" w:rsidR="00C01762" w:rsidRPr="008A2E5A" w:rsidRDefault="00C01762" w:rsidP="004C5D62">
            <w:pPr>
              <w:spacing w:after="0" w:line="240" w:lineRule="auto"/>
              <w:jc w:val="both"/>
              <w:rPr>
                <w:color w:val="0070C0"/>
                <w:sz w:val="16"/>
                <w:szCs w:val="16"/>
              </w:rPr>
            </w:pPr>
            <w:r w:rsidRPr="008A2E5A">
              <w:rPr>
                <w:color w:val="0070C0"/>
                <w:sz w:val="16"/>
                <w:szCs w:val="16"/>
              </w:rPr>
              <w:t>28</w:t>
            </w:r>
          </w:p>
        </w:tc>
        <w:tc>
          <w:tcPr>
            <w:tcW w:w="758" w:type="dxa"/>
          </w:tcPr>
          <w:p w14:paraId="0148B979" w14:textId="77777777" w:rsidR="00C01762" w:rsidRPr="008A2E5A" w:rsidRDefault="00C01762" w:rsidP="004C5D62">
            <w:pPr>
              <w:spacing w:after="0" w:line="240" w:lineRule="auto"/>
              <w:jc w:val="both"/>
              <w:rPr>
                <w:color w:val="0070C0"/>
                <w:sz w:val="16"/>
                <w:szCs w:val="16"/>
              </w:rPr>
            </w:pPr>
            <w:r w:rsidRPr="008A2E5A">
              <w:rPr>
                <w:color w:val="0070C0"/>
                <w:sz w:val="16"/>
                <w:szCs w:val="16"/>
              </w:rPr>
              <w:t>У-2</w:t>
            </w:r>
          </w:p>
        </w:tc>
        <w:tc>
          <w:tcPr>
            <w:tcW w:w="680" w:type="dxa"/>
          </w:tcPr>
          <w:p w14:paraId="5DFFFC58" w14:textId="77777777" w:rsidR="00C01762" w:rsidRPr="008A2E5A" w:rsidRDefault="00C01762" w:rsidP="004C5D62">
            <w:pPr>
              <w:spacing w:after="0" w:line="240" w:lineRule="auto"/>
              <w:jc w:val="both"/>
              <w:rPr>
                <w:color w:val="0070C0"/>
                <w:sz w:val="16"/>
                <w:szCs w:val="16"/>
              </w:rPr>
            </w:pPr>
            <w:r w:rsidRPr="008A2E5A">
              <w:rPr>
                <w:color w:val="0070C0"/>
                <w:sz w:val="16"/>
                <w:szCs w:val="16"/>
              </w:rPr>
              <w:t>387</w:t>
            </w:r>
          </w:p>
        </w:tc>
        <w:tc>
          <w:tcPr>
            <w:tcW w:w="859" w:type="dxa"/>
          </w:tcPr>
          <w:p w14:paraId="4080AE50" w14:textId="77777777" w:rsidR="00C01762" w:rsidRPr="008A2E5A" w:rsidRDefault="00C01762" w:rsidP="004C5D62">
            <w:pPr>
              <w:spacing w:after="0" w:line="240" w:lineRule="auto"/>
              <w:jc w:val="both"/>
              <w:rPr>
                <w:color w:val="0070C0"/>
                <w:sz w:val="16"/>
                <w:szCs w:val="16"/>
              </w:rPr>
            </w:pPr>
            <w:r w:rsidRPr="008A2E5A">
              <w:rPr>
                <w:color w:val="0070C0"/>
                <w:sz w:val="16"/>
                <w:szCs w:val="16"/>
              </w:rPr>
              <w:t>1217</w:t>
            </w:r>
          </w:p>
        </w:tc>
        <w:tc>
          <w:tcPr>
            <w:tcW w:w="585" w:type="dxa"/>
          </w:tcPr>
          <w:p w14:paraId="23ABF90C" w14:textId="77777777" w:rsidR="00C01762" w:rsidRPr="008A2E5A" w:rsidRDefault="00C01762" w:rsidP="004C5D62">
            <w:pPr>
              <w:spacing w:after="0" w:line="240" w:lineRule="auto"/>
              <w:jc w:val="both"/>
              <w:rPr>
                <w:color w:val="0070C0"/>
                <w:sz w:val="16"/>
                <w:szCs w:val="16"/>
              </w:rPr>
            </w:pPr>
            <w:r w:rsidRPr="008A2E5A">
              <w:rPr>
                <w:color w:val="0070C0"/>
                <w:sz w:val="16"/>
                <w:szCs w:val="16"/>
              </w:rPr>
              <w:t>196</w:t>
            </w:r>
          </w:p>
        </w:tc>
        <w:tc>
          <w:tcPr>
            <w:tcW w:w="964" w:type="dxa"/>
          </w:tcPr>
          <w:p w14:paraId="177E0DDD" w14:textId="77777777" w:rsidR="00C01762" w:rsidRPr="008A2E5A" w:rsidRDefault="00C01762" w:rsidP="004C5D62">
            <w:pPr>
              <w:spacing w:after="0" w:line="240" w:lineRule="auto"/>
              <w:jc w:val="both"/>
              <w:rPr>
                <w:color w:val="0070C0"/>
                <w:sz w:val="16"/>
                <w:szCs w:val="16"/>
              </w:rPr>
            </w:pPr>
            <w:r w:rsidRPr="008A2E5A">
              <w:rPr>
                <w:color w:val="0070C0"/>
                <w:sz w:val="16"/>
                <w:szCs w:val="16"/>
              </w:rPr>
              <w:t>785</w:t>
            </w:r>
          </w:p>
        </w:tc>
        <w:tc>
          <w:tcPr>
            <w:tcW w:w="715" w:type="dxa"/>
          </w:tcPr>
          <w:p w14:paraId="59E69C38" w14:textId="77777777" w:rsidR="00C01762" w:rsidRPr="008A2E5A" w:rsidRDefault="00C01762" w:rsidP="004C5D62">
            <w:pPr>
              <w:spacing w:after="0" w:line="240" w:lineRule="auto"/>
              <w:jc w:val="both"/>
              <w:rPr>
                <w:color w:val="0070C0"/>
                <w:sz w:val="16"/>
                <w:szCs w:val="16"/>
              </w:rPr>
            </w:pPr>
            <w:r w:rsidRPr="008A2E5A">
              <w:rPr>
                <w:color w:val="0070C0"/>
                <w:sz w:val="16"/>
                <w:szCs w:val="16"/>
              </w:rPr>
              <w:t>209</w:t>
            </w:r>
          </w:p>
        </w:tc>
        <w:tc>
          <w:tcPr>
            <w:tcW w:w="650" w:type="dxa"/>
          </w:tcPr>
          <w:p w14:paraId="7F03EE60" w14:textId="77777777" w:rsidR="00C01762" w:rsidRPr="008A2E5A" w:rsidRDefault="00C01762" w:rsidP="004C5D62">
            <w:pPr>
              <w:spacing w:after="0" w:line="240" w:lineRule="auto"/>
              <w:jc w:val="both"/>
              <w:rPr>
                <w:color w:val="0070C0"/>
                <w:sz w:val="16"/>
                <w:szCs w:val="16"/>
              </w:rPr>
            </w:pPr>
          </w:p>
        </w:tc>
        <w:tc>
          <w:tcPr>
            <w:tcW w:w="976" w:type="dxa"/>
          </w:tcPr>
          <w:p w14:paraId="54DCD781" w14:textId="77777777" w:rsidR="00C01762" w:rsidRPr="008A2E5A" w:rsidRDefault="00C01762" w:rsidP="004C5D62">
            <w:pPr>
              <w:spacing w:after="0" w:line="240" w:lineRule="auto"/>
              <w:jc w:val="both"/>
              <w:rPr>
                <w:color w:val="0070C0"/>
                <w:sz w:val="16"/>
                <w:szCs w:val="16"/>
              </w:rPr>
            </w:pPr>
            <w:r w:rsidRPr="008A2E5A">
              <w:rPr>
                <w:color w:val="0070C0"/>
                <w:sz w:val="16"/>
                <w:szCs w:val="16"/>
              </w:rPr>
              <w:t>64,5</w:t>
            </w:r>
          </w:p>
        </w:tc>
        <w:tc>
          <w:tcPr>
            <w:tcW w:w="599" w:type="dxa"/>
          </w:tcPr>
          <w:p w14:paraId="374448CE" w14:textId="77777777" w:rsidR="00C01762" w:rsidRPr="008A2E5A" w:rsidRDefault="00C01762" w:rsidP="004C5D62">
            <w:pPr>
              <w:spacing w:after="0" w:line="240" w:lineRule="auto"/>
              <w:jc w:val="both"/>
              <w:rPr>
                <w:color w:val="0070C0"/>
                <w:sz w:val="16"/>
                <w:szCs w:val="16"/>
              </w:rPr>
            </w:pPr>
            <w:r w:rsidRPr="008A2E5A">
              <w:rPr>
                <w:color w:val="0070C0"/>
                <w:sz w:val="16"/>
                <w:szCs w:val="16"/>
              </w:rPr>
              <w:t>106,5</w:t>
            </w:r>
          </w:p>
        </w:tc>
        <w:tc>
          <w:tcPr>
            <w:tcW w:w="962" w:type="dxa"/>
          </w:tcPr>
          <w:p w14:paraId="51A9D19D" w14:textId="77777777" w:rsidR="00C01762" w:rsidRPr="008A2E5A" w:rsidRDefault="00C01762" w:rsidP="004C5D62">
            <w:pPr>
              <w:spacing w:after="0" w:line="240" w:lineRule="auto"/>
              <w:jc w:val="both"/>
              <w:rPr>
                <w:color w:val="0070C0"/>
                <w:sz w:val="16"/>
                <w:szCs w:val="16"/>
              </w:rPr>
            </w:pPr>
            <w:r w:rsidRPr="008A2E5A">
              <w:rPr>
                <w:color w:val="0070C0"/>
                <w:sz w:val="16"/>
                <w:szCs w:val="16"/>
              </w:rPr>
              <w:t>227</w:t>
            </w:r>
          </w:p>
        </w:tc>
        <w:tc>
          <w:tcPr>
            <w:tcW w:w="636" w:type="dxa"/>
          </w:tcPr>
          <w:p w14:paraId="7ADB5883" w14:textId="77777777" w:rsidR="00C01762" w:rsidRPr="008A2E5A" w:rsidRDefault="00C01762" w:rsidP="004C5D62">
            <w:pPr>
              <w:spacing w:after="0" w:line="240" w:lineRule="auto"/>
              <w:jc w:val="both"/>
              <w:rPr>
                <w:color w:val="0070C0"/>
                <w:sz w:val="16"/>
                <w:szCs w:val="16"/>
              </w:rPr>
            </w:pPr>
            <w:r w:rsidRPr="008A2E5A">
              <w:rPr>
                <w:color w:val="0070C0"/>
                <w:sz w:val="16"/>
                <w:szCs w:val="16"/>
              </w:rPr>
              <w:t>777</w:t>
            </w:r>
          </w:p>
        </w:tc>
        <w:tc>
          <w:tcPr>
            <w:tcW w:w="857" w:type="dxa"/>
          </w:tcPr>
          <w:p w14:paraId="4BDF89AF" w14:textId="77777777" w:rsidR="00C01762" w:rsidRPr="008A2E5A" w:rsidRDefault="00C01762" w:rsidP="004C5D62">
            <w:pPr>
              <w:spacing w:after="0" w:line="240" w:lineRule="auto"/>
              <w:jc w:val="both"/>
              <w:rPr>
                <w:color w:val="0070C0"/>
                <w:sz w:val="16"/>
                <w:szCs w:val="16"/>
              </w:rPr>
            </w:pPr>
            <w:r w:rsidRPr="008A2E5A">
              <w:rPr>
                <w:color w:val="0070C0"/>
                <w:sz w:val="16"/>
                <w:szCs w:val="16"/>
              </w:rPr>
              <w:t>ЮЗ1’</w:t>
            </w:r>
          </w:p>
        </w:tc>
      </w:tr>
      <w:tr w:rsidR="00C01762" w:rsidRPr="008A2E5A" w14:paraId="4E5017B3" w14:textId="77777777" w:rsidTr="004C5D62">
        <w:tc>
          <w:tcPr>
            <w:tcW w:w="1441" w:type="dxa"/>
          </w:tcPr>
          <w:p w14:paraId="15413DC5" w14:textId="77777777" w:rsidR="00C01762" w:rsidRPr="008A2E5A" w:rsidRDefault="00C01762" w:rsidP="004C5D62">
            <w:pPr>
              <w:spacing w:after="0" w:line="240" w:lineRule="auto"/>
              <w:jc w:val="both"/>
              <w:rPr>
                <w:color w:val="0070C0"/>
                <w:sz w:val="16"/>
                <w:szCs w:val="16"/>
              </w:rPr>
            </w:pPr>
            <w:r w:rsidRPr="008A2E5A">
              <w:rPr>
                <w:color w:val="0070C0"/>
                <w:sz w:val="16"/>
                <w:szCs w:val="16"/>
              </w:rPr>
              <w:t>29.</w:t>
            </w:r>
          </w:p>
        </w:tc>
        <w:tc>
          <w:tcPr>
            <w:tcW w:w="758" w:type="dxa"/>
          </w:tcPr>
          <w:p w14:paraId="02EB78F9" w14:textId="77777777" w:rsidR="00C01762" w:rsidRPr="008A2E5A" w:rsidRDefault="00C01762" w:rsidP="004C5D62">
            <w:pPr>
              <w:spacing w:after="0" w:line="240" w:lineRule="auto"/>
              <w:jc w:val="both"/>
              <w:rPr>
                <w:color w:val="0070C0"/>
                <w:sz w:val="16"/>
                <w:szCs w:val="16"/>
              </w:rPr>
            </w:pPr>
            <w:r w:rsidRPr="008A2E5A">
              <w:rPr>
                <w:color w:val="0070C0"/>
                <w:sz w:val="16"/>
                <w:szCs w:val="16"/>
              </w:rPr>
              <w:t>ПС-84</w:t>
            </w:r>
          </w:p>
        </w:tc>
        <w:tc>
          <w:tcPr>
            <w:tcW w:w="680" w:type="dxa"/>
          </w:tcPr>
          <w:p w14:paraId="1E8CAA19" w14:textId="77777777" w:rsidR="00C01762" w:rsidRPr="008A2E5A" w:rsidRDefault="00C01762" w:rsidP="004C5D62">
            <w:pPr>
              <w:spacing w:after="0" w:line="240" w:lineRule="auto"/>
              <w:jc w:val="both"/>
              <w:rPr>
                <w:color w:val="0070C0"/>
                <w:sz w:val="16"/>
                <w:szCs w:val="16"/>
              </w:rPr>
            </w:pPr>
            <w:r w:rsidRPr="008A2E5A">
              <w:rPr>
                <w:color w:val="0070C0"/>
                <w:sz w:val="16"/>
                <w:szCs w:val="16"/>
              </w:rPr>
              <w:t>84</w:t>
            </w:r>
          </w:p>
        </w:tc>
        <w:tc>
          <w:tcPr>
            <w:tcW w:w="859" w:type="dxa"/>
          </w:tcPr>
          <w:p w14:paraId="1566390F" w14:textId="77777777" w:rsidR="00C01762" w:rsidRPr="008A2E5A" w:rsidRDefault="00C01762" w:rsidP="004C5D62">
            <w:pPr>
              <w:spacing w:after="0" w:line="240" w:lineRule="auto"/>
              <w:jc w:val="both"/>
              <w:rPr>
                <w:color w:val="0070C0"/>
                <w:sz w:val="16"/>
                <w:szCs w:val="16"/>
              </w:rPr>
            </w:pPr>
            <w:r w:rsidRPr="008A2E5A">
              <w:rPr>
                <w:color w:val="0070C0"/>
                <w:sz w:val="16"/>
                <w:szCs w:val="16"/>
              </w:rPr>
              <w:t>203</w:t>
            </w:r>
          </w:p>
        </w:tc>
        <w:tc>
          <w:tcPr>
            <w:tcW w:w="585" w:type="dxa"/>
          </w:tcPr>
          <w:p w14:paraId="0DA7B2DE" w14:textId="77777777" w:rsidR="00C01762" w:rsidRPr="008A2E5A" w:rsidRDefault="00C01762" w:rsidP="004C5D62">
            <w:pPr>
              <w:spacing w:after="0" w:line="240" w:lineRule="auto"/>
              <w:jc w:val="both"/>
              <w:rPr>
                <w:color w:val="0070C0"/>
                <w:sz w:val="16"/>
                <w:szCs w:val="16"/>
              </w:rPr>
            </w:pPr>
            <w:r w:rsidRPr="008A2E5A">
              <w:rPr>
                <w:color w:val="0070C0"/>
                <w:sz w:val="16"/>
                <w:szCs w:val="16"/>
              </w:rPr>
              <w:t>60</w:t>
            </w:r>
          </w:p>
        </w:tc>
        <w:tc>
          <w:tcPr>
            <w:tcW w:w="964" w:type="dxa"/>
          </w:tcPr>
          <w:p w14:paraId="7585ADE3" w14:textId="77777777" w:rsidR="00C01762" w:rsidRPr="008A2E5A" w:rsidRDefault="00C01762" w:rsidP="004C5D62">
            <w:pPr>
              <w:spacing w:after="0" w:line="240" w:lineRule="auto"/>
              <w:jc w:val="both"/>
              <w:rPr>
                <w:color w:val="0070C0"/>
                <w:sz w:val="16"/>
                <w:szCs w:val="16"/>
              </w:rPr>
            </w:pPr>
            <w:r w:rsidRPr="008A2E5A">
              <w:rPr>
                <w:color w:val="0070C0"/>
                <w:sz w:val="16"/>
                <w:szCs w:val="16"/>
              </w:rPr>
              <w:t>139</w:t>
            </w:r>
          </w:p>
        </w:tc>
        <w:tc>
          <w:tcPr>
            <w:tcW w:w="715" w:type="dxa"/>
          </w:tcPr>
          <w:p w14:paraId="246CC2FF" w14:textId="77777777" w:rsidR="00C01762" w:rsidRPr="008A2E5A" w:rsidRDefault="00C01762" w:rsidP="004C5D62">
            <w:pPr>
              <w:spacing w:after="0" w:line="240" w:lineRule="auto"/>
              <w:jc w:val="both"/>
              <w:rPr>
                <w:color w:val="0070C0"/>
                <w:sz w:val="16"/>
                <w:szCs w:val="16"/>
              </w:rPr>
            </w:pPr>
            <w:r w:rsidRPr="008A2E5A">
              <w:rPr>
                <w:color w:val="0070C0"/>
                <w:sz w:val="16"/>
                <w:szCs w:val="16"/>
              </w:rPr>
              <w:t>30</w:t>
            </w:r>
          </w:p>
        </w:tc>
        <w:tc>
          <w:tcPr>
            <w:tcW w:w="650" w:type="dxa"/>
          </w:tcPr>
          <w:p w14:paraId="7B8168E8" w14:textId="77777777" w:rsidR="00C01762" w:rsidRPr="008A2E5A" w:rsidRDefault="00C01762" w:rsidP="004C5D62">
            <w:pPr>
              <w:spacing w:after="0" w:line="240" w:lineRule="auto"/>
              <w:jc w:val="both"/>
              <w:rPr>
                <w:color w:val="0070C0"/>
                <w:sz w:val="16"/>
                <w:szCs w:val="16"/>
              </w:rPr>
            </w:pPr>
            <w:r w:rsidRPr="008A2E5A">
              <w:rPr>
                <w:color w:val="0070C0"/>
                <w:sz w:val="16"/>
                <w:szCs w:val="16"/>
              </w:rPr>
              <w:t>31</w:t>
            </w:r>
          </w:p>
        </w:tc>
        <w:tc>
          <w:tcPr>
            <w:tcW w:w="976" w:type="dxa"/>
          </w:tcPr>
          <w:p w14:paraId="2EA275EE" w14:textId="77777777" w:rsidR="00C01762" w:rsidRPr="008A2E5A" w:rsidRDefault="00C01762" w:rsidP="004C5D62">
            <w:pPr>
              <w:spacing w:after="0" w:line="240" w:lineRule="auto"/>
              <w:jc w:val="both"/>
              <w:rPr>
                <w:color w:val="0070C0"/>
                <w:sz w:val="16"/>
                <w:szCs w:val="16"/>
              </w:rPr>
            </w:pPr>
            <w:r w:rsidRPr="008A2E5A">
              <w:rPr>
                <w:color w:val="0070C0"/>
                <w:sz w:val="16"/>
                <w:szCs w:val="16"/>
              </w:rPr>
              <w:t>68,5</w:t>
            </w:r>
          </w:p>
        </w:tc>
        <w:tc>
          <w:tcPr>
            <w:tcW w:w="599" w:type="dxa"/>
          </w:tcPr>
          <w:p w14:paraId="299309CC" w14:textId="77777777" w:rsidR="00C01762" w:rsidRPr="008A2E5A" w:rsidRDefault="00C01762" w:rsidP="004C5D62">
            <w:pPr>
              <w:spacing w:after="0" w:line="240" w:lineRule="auto"/>
              <w:jc w:val="both"/>
              <w:rPr>
                <w:color w:val="0070C0"/>
                <w:sz w:val="16"/>
                <w:szCs w:val="16"/>
              </w:rPr>
            </w:pPr>
            <w:r w:rsidRPr="008A2E5A">
              <w:rPr>
                <w:color w:val="0070C0"/>
                <w:sz w:val="16"/>
                <w:szCs w:val="16"/>
              </w:rPr>
              <w:t>50,0</w:t>
            </w:r>
          </w:p>
        </w:tc>
        <w:tc>
          <w:tcPr>
            <w:tcW w:w="962" w:type="dxa"/>
          </w:tcPr>
          <w:p w14:paraId="08EBA4E3" w14:textId="77777777" w:rsidR="00C01762" w:rsidRPr="008A2E5A" w:rsidRDefault="00C01762" w:rsidP="004C5D62">
            <w:pPr>
              <w:spacing w:after="0" w:line="240" w:lineRule="auto"/>
              <w:jc w:val="both"/>
              <w:rPr>
                <w:color w:val="0070C0"/>
                <w:sz w:val="16"/>
                <w:szCs w:val="16"/>
              </w:rPr>
            </w:pPr>
            <w:r w:rsidRPr="008A2E5A">
              <w:rPr>
                <w:color w:val="0070C0"/>
                <w:sz w:val="16"/>
                <w:szCs w:val="16"/>
              </w:rPr>
              <w:t>29</w:t>
            </w:r>
          </w:p>
        </w:tc>
        <w:tc>
          <w:tcPr>
            <w:tcW w:w="636" w:type="dxa"/>
          </w:tcPr>
          <w:p w14:paraId="532160C5" w14:textId="77777777" w:rsidR="00C01762" w:rsidRPr="008A2E5A" w:rsidRDefault="00C01762" w:rsidP="004C5D62">
            <w:pPr>
              <w:spacing w:after="0" w:line="240" w:lineRule="auto"/>
              <w:jc w:val="both"/>
              <w:rPr>
                <w:color w:val="0070C0"/>
                <w:sz w:val="16"/>
                <w:szCs w:val="16"/>
              </w:rPr>
            </w:pPr>
            <w:r w:rsidRPr="008A2E5A">
              <w:rPr>
                <w:color w:val="0070C0"/>
                <w:sz w:val="16"/>
                <w:szCs w:val="16"/>
              </w:rPr>
              <w:t>104</w:t>
            </w:r>
          </w:p>
        </w:tc>
        <w:tc>
          <w:tcPr>
            <w:tcW w:w="857" w:type="dxa"/>
          </w:tcPr>
          <w:p w14:paraId="428A4A45" w14:textId="77777777" w:rsidR="00C01762" w:rsidRPr="008A2E5A" w:rsidRDefault="00C01762" w:rsidP="004C5D62">
            <w:pPr>
              <w:spacing w:after="0" w:line="240" w:lineRule="auto"/>
              <w:jc w:val="both"/>
              <w:rPr>
                <w:color w:val="0070C0"/>
                <w:sz w:val="16"/>
                <w:szCs w:val="16"/>
              </w:rPr>
            </w:pPr>
            <w:r w:rsidRPr="008A2E5A">
              <w:rPr>
                <w:color w:val="0070C0"/>
                <w:sz w:val="16"/>
                <w:szCs w:val="16"/>
              </w:rPr>
              <w:t>34</w:t>
            </w:r>
          </w:p>
        </w:tc>
      </w:tr>
      <w:tr w:rsidR="00C01762" w:rsidRPr="008A2E5A" w14:paraId="1FD8EEC8" w14:textId="77777777" w:rsidTr="004C5D62">
        <w:tc>
          <w:tcPr>
            <w:tcW w:w="1441" w:type="dxa"/>
          </w:tcPr>
          <w:p w14:paraId="71AA17AC" w14:textId="77777777" w:rsidR="00C01762" w:rsidRPr="008A2E5A" w:rsidRDefault="00C01762" w:rsidP="004C5D62">
            <w:pPr>
              <w:spacing w:after="0" w:line="240" w:lineRule="auto"/>
              <w:jc w:val="both"/>
              <w:rPr>
                <w:color w:val="0070C0"/>
                <w:sz w:val="16"/>
                <w:szCs w:val="16"/>
              </w:rPr>
            </w:pPr>
            <w:r w:rsidRPr="008A2E5A">
              <w:rPr>
                <w:color w:val="0070C0"/>
                <w:sz w:val="16"/>
                <w:szCs w:val="16"/>
              </w:rPr>
              <w:t>Итого учебных и вспомогательных</w:t>
            </w:r>
          </w:p>
        </w:tc>
        <w:tc>
          <w:tcPr>
            <w:tcW w:w="758" w:type="dxa"/>
          </w:tcPr>
          <w:p w14:paraId="255B2609" w14:textId="77777777" w:rsidR="00C01762" w:rsidRPr="008A2E5A" w:rsidRDefault="00C01762" w:rsidP="004C5D62">
            <w:pPr>
              <w:spacing w:after="0" w:line="240" w:lineRule="auto"/>
              <w:jc w:val="both"/>
              <w:rPr>
                <w:color w:val="0070C0"/>
                <w:sz w:val="16"/>
                <w:szCs w:val="16"/>
              </w:rPr>
            </w:pPr>
          </w:p>
        </w:tc>
        <w:tc>
          <w:tcPr>
            <w:tcW w:w="680" w:type="dxa"/>
          </w:tcPr>
          <w:p w14:paraId="34CEE72F" w14:textId="77777777" w:rsidR="00C01762" w:rsidRPr="008A2E5A" w:rsidRDefault="00C01762" w:rsidP="004C5D62">
            <w:pPr>
              <w:spacing w:after="0" w:line="240" w:lineRule="auto"/>
              <w:jc w:val="both"/>
              <w:rPr>
                <w:color w:val="0070C0"/>
                <w:sz w:val="16"/>
                <w:szCs w:val="16"/>
              </w:rPr>
            </w:pPr>
          </w:p>
        </w:tc>
        <w:tc>
          <w:tcPr>
            <w:tcW w:w="859" w:type="dxa"/>
          </w:tcPr>
          <w:p w14:paraId="0087CD98" w14:textId="77777777" w:rsidR="00C01762" w:rsidRPr="008A2E5A" w:rsidRDefault="00C01762" w:rsidP="004C5D62">
            <w:pPr>
              <w:spacing w:after="0" w:line="240" w:lineRule="auto"/>
              <w:jc w:val="both"/>
              <w:rPr>
                <w:color w:val="0070C0"/>
                <w:sz w:val="16"/>
                <w:szCs w:val="16"/>
              </w:rPr>
            </w:pPr>
            <w:r w:rsidRPr="008A2E5A">
              <w:rPr>
                <w:color w:val="0070C0"/>
                <w:sz w:val="16"/>
                <w:szCs w:val="16"/>
              </w:rPr>
              <w:t>2186</w:t>
            </w:r>
          </w:p>
        </w:tc>
        <w:tc>
          <w:tcPr>
            <w:tcW w:w="585" w:type="dxa"/>
          </w:tcPr>
          <w:p w14:paraId="74E6F9B0" w14:textId="77777777" w:rsidR="00C01762" w:rsidRPr="008A2E5A" w:rsidRDefault="00C01762" w:rsidP="004C5D62">
            <w:pPr>
              <w:spacing w:after="0" w:line="240" w:lineRule="auto"/>
              <w:jc w:val="both"/>
              <w:rPr>
                <w:color w:val="0070C0"/>
                <w:sz w:val="16"/>
                <w:szCs w:val="16"/>
              </w:rPr>
            </w:pPr>
            <w:r w:rsidRPr="008A2E5A">
              <w:rPr>
                <w:color w:val="0070C0"/>
                <w:sz w:val="16"/>
                <w:szCs w:val="16"/>
              </w:rPr>
              <w:t>420</w:t>
            </w:r>
          </w:p>
        </w:tc>
        <w:tc>
          <w:tcPr>
            <w:tcW w:w="964" w:type="dxa"/>
          </w:tcPr>
          <w:p w14:paraId="5C05BAFD" w14:textId="77777777" w:rsidR="00C01762" w:rsidRPr="008A2E5A" w:rsidRDefault="00C01762" w:rsidP="004C5D62">
            <w:pPr>
              <w:spacing w:after="0" w:line="240" w:lineRule="auto"/>
              <w:jc w:val="both"/>
              <w:rPr>
                <w:color w:val="0070C0"/>
                <w:sz w:val="16"/>
                <w:szCs w:val="16"/>
              </w:rPr>
            </w:pPr>
            <w:r w:rsidRPr="008A2E5A">
              <w:rPr>
                <w:color w:val="0070C0"/>
                <w:sz w:val="16"/>
                <w:szCs w:val="16"/>
              </w:rPr>
              <w:t>1405</w:t>
            </w:r>
          </w:p>
        </w:tc>
        <w:tc>
          <w:tcPr>
            <w:tcW w:w="715" w:type="dxa"/>
          </w:tcPr>
          <w:p w14:paraId="62E3706C" w14:textId="77777777" w:rsidR="00C01762" w:rsidRPr="008A2E5A" w:rsidRDefault="00C01762" w:rsidP="004C5D62">
            <w:pPr>
              <w:spacing w:after="0" w:line="240" w:lineRule="auto"/>
              <w:jc w:val="both"/>
              <w:rPr>
                <w:color w:val="0070C0"/>
                <w:sz w:val="16"/>
                <w:szCs w:val="16"/>
              </w:rPr>
            </w:pPr>
            <w:r w:rsidRPr="008A2E5A">
              <w:rPr>
                <w:color w:val="0070C0"/>
                <w:sz w:val="16"/>
                <w:szCs w:val="16"/>
              </w:rPr>
              <w:t>307</w:t>
            </w:r>
          </w:p>
        </w:tc>
        <w:tc>
          <w:tcPr>
            <w:tcW w:w="650" w:type="dxa"/>
          </w:tcPr>
          <w:p w14:paraId="4A5CCA62" w14:textId="77777777" w:rsidR="00C01762" w:rsidRPr="008A2E5A" w:rsidRDefault="00C01762" w:rsidP="004C5D62">
            <w:pPr>
              <w:spacing w:after="0" w:line="240" w:lineRule="auto"/>
              <w:jc w:val="both"/>
              <w:rPr>
                <w:color w:val="0070C0"/>
                <w:sz w:val="16"/>
                <w:szCs w:val="16"/>
              </w:rPr>
            </w:pPr>
            <w:r w:rsidRPr="008A2E5A">
              <w:rPr>
                <w:color w:val="0070C0"/>
                <w:sz w:val="16"/>
                <w:szCs w:val="16"/>
              </w:rPr>
              <w:t>31</w:t>
            </w:r>
          </w:p>
        </w:tc>
        <w:tc>
          <w:tcPr>
            <w:tcW w:w="976" w:type="dxa"/>
          </w:tcPr>
          <w:p w14:paraId="64CCE1B3" w14:textId="77777777" w:rsidR="00C01762" w:rsidRPr="008A2E5A" w:rsidRDefault="00C01762" w:rsidP="004C5D62">
            <w:pPr>
              <w:spacing w:after="0" w:line="240" w:lineRule="auto"/>
              <w:jc w:val="both"/>
              <w:rPr>
                <w:color w:val="0070C0"/>
                <w:sz w:val="16"/>
                <w:szCs w:val="16"/>
              </w:rPr>
            </w:pPr>
            <w:r w:rsidRPr="008A2E5A">
              <w:rPr>
                <w:color w:val="0070C0"/>
                <w:sz w:val="16"/>
                <w:szCs w:val="16"/>
              </w:rPr>
              <w:t>64,3</w:t>
            </w:r>
          </w:p>
        </w:tc>
        <w:tc>
          <w:tcPr>
            <w:tcW w:w="599" w:type="dxa"/>
          </w:tcPr>
          <w:p w14:paraId="22FB7089" w14:textId="77777777" w:rsidR="00C01762" w:rsidRPr="008A2E5A" w:rsidRDefault="00C01762" w:rsidP="004C5D62">
            <w:pPr>
              <w:spacing w:after="0" w:line="240" w:lineRule="auto"/>
              <w:jc w:val="both"/>
              <w:rPr>
                <w:color w:val="0070C0"/>
                <w:sz w:val="16"/>
                <w:szCs w:val="16"/>
              </w:rPr>
            </w:pPr>
            <w:r w:rsidRPr="008A2E5A">
              <w:rPr>
                <w:color w:val="0070C0"/>
                <w:sz w:val="16"/>
                <w:szCs w:val="16"/>
              </w:rPr>
              <w:t>73,1</w:t>
            </w:r>
          </w:p>
        </w:tc>
        <w:tc>
          <w:tcPr>
            <w:tcW w:w="962" w:type="dxa"/>
          </w:tcPr>
          <w:p w14:paraId="23190FD0" w14:textId="77777777" w:rsidR="00C01762" w:rsidRPr="008A2E5A" w:rsidRDefault="00C01762" w:rsidP="004C5D62">
            <w:pPr>
              <w:spacing w:after="0" w:line="240" w:lineRule="auto"/>
              <w:jc w:val="both"/>
              <w:rPr>
                <w:color w:val="0070C0"/>
                <w:sz w:val="16"/>
                <w:szCs w:val="16"/>
              </w:rPr>
            </w:pPr>
            <w:r w:rsidRPr="008A2E5A">
              <w:rPr>
                <w:color w:val="0070C0"/>
                <w:sz w:val="16"/>
                <w:szCs w:val="16"/>
              </w:rPr>
              <w:t>335</w:t>
            </w:r>
          </w:p>
        </w:tc>
        <w:tc>
          <w:tcPr>
            <w:tcW w:w="636" w:type="dxa"/>
          </w:tcPr>
          <w:p w14:paraId="13806273" w14:textId="77777777" w:rsidR="00C01762" w:rsidRPr="008A2E5A" w:rsidRDefault="00C01762" w:rsidP="004C5D62">
            <w:pPr>
              <w:spacing w:after="0" w:line="240" w:lineRule="auto"/>
              <w:jc w:val="both"/>
              <w:rPr>
                <w:color w:val="0070C0"/>
                <w:sz w:val="16"/>
                <w:szCs w:val="16"/>
              </w:rPr>
            </w:pPr>
            <w:r w:rsidRPr="008A2E5A">
              <w:rPr>
                <w:color w:val="0070C0"/>
                <w:sz w:val="16"/>
                <w:szCs w:val="16"/>
              </w:rPr>
              <w:t>1343</w:t>
            </w:r>
          </w:p>
        </w:tc>
        <w:tc>
          <w:tcPr>
            <w:tcW w:w="857" w:type="dxa"/>
          </w:tcPr>
          <w:p w14:paraId="3F4D9EFC" w14:textId="77777777" w:rsidR="00C01762" w:rsidRPr="008A2E5A" w:rsidRDefault="00C01762" w:rsidP="004C5D62">
            <w:pPr>
              <w:spacing w:after="0" w:line="240" w:lineRule="auto"/>
              <w:jc w:val="both"/>
              <w:rPr>
                <w:color w:val="0070C0"/>
                <w:sz w:val="16"/>
                <w:szCs w:val="16"/>
              </w:rPr>
            </w:pPr>
            <w:r w:rsidRPr="008A2E5A">
              <w:rPr>
                <w:color w:val="0070C0"/>
                <w:sz w:val="16"/>
                <w:szCs w:val="16"/>
              </w:rPr>
              <w:t>213</w:t>
            </w:r>
          </w:p>
        </w:tc>
      </w:tr>
      <w:tr w:rsidR="00C01762" w:rsidRPr="008A2E5A" w14:paraId="240F2C41" w14:textId="77777777" w:rsidTr="004C5D62">
        <w:tc>
          <w:tcPr>
            <w:tcW w:w="1441" w:type="dxa"/>
          </w:tcPr>
          <w:p w14:paraId="604D4233" w14:textId="77777777" w:rsidR="00C01762" w:rsidRPr="008A2E5A" w:rsidRDefault="00C01762" w:rsidP="004C5D62">
            <w:pPr>
              <w:spacing w:after="0" w:line="240" w:lineRule="auto"/>
              <w:jc w:val="both"/>
              <w:rPr>
                <w:color w:val="0070C0"/>
                <w:sz w:val="16"/>
                <w:szCs w:val="16"/>
              </w:rPr>
            </w:pPr>
            <w:r w:rsidRPr="008A2E5A">
              <w:rPr>
                <w:color w:val="0070C0"/>
                <w:sz w:val="16"/>
                <w:szCs w:val="16"/>
              </w:rPr>
              <w:t>Всего самолетов</w:t>
            </w:r>
          </w:p>
        </w:tc>
        <w:tc>
          <w:tcPr>
            <w:tcW w:w="758" w:type="dxa"/>
          </w:tcPr>
          <w:p w14:paraId="0EF18CAD" w14:textId="77777777" w:rsidR="00C01762" w:rsidRPr="008A2E5A" w:rsidRDefault="00C01762" w:rsidP="004C5D62">
            <w:pPr>
              <w:spacing w:after="0" w:line="240" w:lineRule="auto"/>
              <w:jc w:val="both"/>
              <w:rPr>
                <w:color w:val="0070C0"/>
                <w:sz w:val="16"/>
                <w:szCs w:val="16"/>
              </w:rPr>
            </w:pPr>
          </w:p>
        </w:tc>
        <w:tc>
          <w:tcPr>
            <w:tcW w:w="680" w:type="dxa"/>
          </w:tcPr>
          <w:p w14:paraId="63AE7CC5" w14:textId="77777777" w:rsidR="00C01762" w:rsidRPr="008A2E5A" w:rsidRDefault="00C01762" w:rsidP="004C5D62">
            <w:pPr>
              <w:spacing w:after="0" w:line="240" w:lineRule="auto"/>
              <w:jc w:val="both"/>
              <w:rPr>
                <w:color w:val="0070C0"/>
                <w:sz w:val="16"/>
                <w:szCs w:val="16"/>
              </w:rPr>
            </w:pPr>
          </w:p>
        </w:tc>
        <w:tc>
          <w:tcPr>
            <w:tcW w:w="859" w:type="dxa"/>
          </w:tcPr>
          <w:p w14:paraId="37F58D0D" w14:textId="77777777" w:rsidR="00C01762" w:rsidRPr="008A2E5A" w:rsidRDefault="00C01762" w:rsidP="004C5D62">
            <w:pPr>
              <w:spacing w:after="0" w:line="240" w:lineRule="auto"/>
              <w:jc w:val="both"/>
              <w:rPr>
                <w:color w:val="0070C0"/>
                <w:sz w:val="16"/>
                <w:szCs w:val="16"/>
              </w:rPr>
            </w:pPr>
            <w:r w:rsidRPr="008A2E5A">
              <w:rPr>
                <w:color w:val="0070C0"/>
                <w:sz w:val="16"/>
                <w:szCs w:val="16"/>
              </w:rPr>
              <w:t>12 039</w:t>
            </w:r>
          </w:p>
        </w:tc>
        <w:tc>
          <w:tcPr>
            <w:tcW w:w="585" w:type="dxa"/>
          </w:tcPr>
          <w:p w14:paraId="6230EC62" w14:textId="77777777" w:rsidR="00C01762" w:rsidRPr="008A2E5A" w:rsidRDefault="00C01762" w:rsidP="004C5D62">
            <w:pPr>
              <w:spacing w:after="0" w:line="240" w:lineRule="auto"/>
              <w:jc w:val="both"/>
              <w:rPr>
                <w:color w:val="0070C0"/>
                <w:sz w:val="16"/>
                <w:szCs w:val="16"/>
              </w:rPr>
            </w:pPr>
            <w:r w:rsidRPr="008A2E5A">
              <w:rPr>
                <w:color w:val="0070C0"/>
                <w:sz w:val="16"/>
                <w:szCs w:val="16"/>
              </w:rPr>
              <w:t>2521</w:t>
            </w:r>
          </w:p>
        </w:tc>
        <w:tc>
          <w:tcPr>
            <w:tcW w:w="964" w:type="dxa"/>
          </w:tcPr>
          <w:p w14:paraId="09E96271" w14:textId="77777777" w:rsidR="00C01762" w:rsidRPr="008A2E5A" w:rsidRDefault="00C01762" w:rsidP="004C5D62">
            <w:pPr>
              <w:spacing w:after="0" w:line="240" w:lineRule="auto"/>
              <w:jc w:val="both"/>
              <w:rPr>
                <w:color w:val="0070C0"/>
                <w:sz w:val="16"/>
                <w:szCs w:val="16"/>
              </w:rPr>
            </w:pPr>
            <w:r w:rsidRPr="008A2E5A">
              <w:rPr>
                <w:color w:val="0070C0"/>
                <w:sz w:val="16"/>
                <w:szCs w:val="16"/>
              </w:rPr>
              <w:t>9545</w:t>
            </w:r>
          </w:p>
        </w:tc>
        <w:tc>
          <w:tcPr>
            <w:tcW w:w="715" w:type="dxa"/>
          </w:tcPr>
          <w:p w14:paraId="59723FAC" w14:textId="77777777" w:rsidR="00C01762" w:rsidRPr="008A2E5A" w:rsidRDefault="00C01762" w:rsidP="004C5D62">
            <w:pPr>
              <w:spacing w:after="0" w:line="240" w:lineRule="auto"/>
              <w:jc w:val="both"/>
              <w:rPr>
                <w:color w:val="0070C0"/>
                <w:sz w:val="16"/>
                <w:szCs w:val="16"/>
              </w:rPr>
            </w:pPr>
            <w:r w:rsidRPr="008A2E5A">
              <w:rPr>
                <w:color w:val="0070C0"/>
                <w:sz w:val="16"/>
                <w:szCs w:val="16"/>
              </w:rPr>
              <w:t>1964</w:t>
            </w:r>
          </w:p>
        </w:tc>
        <w:tc>
          <w:tcPr>
            <w:tcW w:w="650" w:type="dxa"/>
          </w:tcPr>
          <w:p w14:paraId="0F019349" w14:textId="77777777" w:rsidR="00C01762" w:rsidRPr="008A2E5A" w:rsidRDefault="00C01762" w:rsidP="004C5D62">
            <w:pPr>
              <w:spacing w:after="0" w:line="240" w:lineRule="auto"/>
              <w:jc w:val="both"/>
              <w:rPr>
                <w:color w:val="0070C0"/>
                <w:sz w:val="16"/>
                <w:szCs w:val="16"/>
              </w:rPr>
            </w:pPr>
            <w:r w:rsidRPr="008A2E5A">
              <w:rPr>
                <w:color w:val="0070C0"/>
                <w:sz w:val="16"/>
                <w:szCs w:val="16"/>
              </w:rPr>
              <w:t>1926</w:t>
            </w:r>
          </w:p>
        </w:tc>
        <w:tc>
          <w:tcPr>
            <w:tcW w:w="976" w:type="dxa"/>
          </w:tcPr>
          <w:p w14:paraId="4A7C1D47" w14:textId="77777777" w:rsidR="00C01762" w:rsidRPr="008A2E5A" w:rsidRDefault="00C01762" w:rsidP="004C5D62">
            <w:pPr>
              <w:spacing w:after="0" w:line="240" w:lineRule="auto"/>
              <w:jc w:val="both"/>
              <w:rPr>
                <w:color w:val="0070C0"/>
                <w:sz w:val="16"/>
                <w:szCs w:val="16"/>
              </w:rPr>
            </w:pPr>
            <w:r w:rsidRPr="008A2E5A">
              <w:rPr>
                <w:color w:val="0070C0"/>
                <w:sz w:val="16"/>
                <w:szCs w:val="16"/>
              </w:rPr>
              <w:t>79,2</w:t>
            </w:r>
          </w:p>
        </w:tc>
        <w:tc>
          <w:tcPr>
            <w:tcW w:w="599" w:type="dxa"/>
          </w:tcPr>
          <w:p w14:paraId="167C0AC2" w14:textId="77777777" w:rsidR="00C01762" w:rsidRPr="008A2E5A" w:rsidRDefault="00C01762" w:rsidP="004C5D62">
            <w:pPr>
              <w:spacing w:after="0" w:line="240" w:lineRule="auto"/>
              <w:jc w:val="both"/>
              <w:rPr>
                <w:color w:val="0070C0"/>
                <w:sz w:val="16"/>
                <w:szCs w:val="16"/>
              </w:rPr>
            </w:pPr>
            <w:r w:rsidRPr="008A2E5A">
              <w:rPr>
                <w:color w:val="0070C0"/>
                <w:sz w:val="16"/>
                <w:szCs w:val="16"/>
              </w:rPr>
              <w:t>78,0</w:t>
            </w:r>
          </w:p>
        </w:tc>
        <w:tc>
          <w:tcPr>
            <w:tcW w:w="962" w:type="dxa"/>
          </w:tcPr>
          <w:p w14:paraId="2FB55F69" w14:textId="77777777" w:rsidR="00C01762" w:rsidRPr="008A2E5A" w:rsidRDefault="00C01762" w:rsidP="004C5D62">
            <w:pPr>
              <w:spacing w:after="0" w:line="240" w:lineRule="auto"/>
              <w:jc w:val="both"/>
              <w:rPr>
                <w:color w:val="0070C0"/>
                <w:sz w:val="16"/>
                <w:szCs w:val="16"/>
              </w:rPr>
            </w:pPr>
            <w:r w:rsidRPr="008A2E5A">
              <w:rPr>
                <w:color w:val="0070C0"/>
                <w:sz w:val="16"/>
                <w:szCs w:val="16"/>
              </w:rPr>
              <w:t>2307</w:t>
            </w:r>
          </w:p>
        </w:tc>
        <w:tc>
          <w:tcPr>
            <w:tcW w:w="636" w:type="dxa"/>
          </w:tcPr>
          <w:p w14:paraId="5C1A1C0E" w14:textId="77777777" w:rsidR="00C01762" w:rsidRPr="008A2E5A" w:rsidRDefault="00C01762" w:rsidP="004C5D62">
            <w:pPr>
              <w:spacing w:after="0" w:line="240" w:lineRule="auto"/>
              <w:jc w:val="both"/>
              <w:rPr>
                <w:color w:val="0070C0"/>
                <w:sz w:val="16"/>
                <w:szCs w:val="16"/>
              </w:rPr>
            </w:pPr>
            <w:r w:rsidRPr="008A2E5A">
              <w:rPr>
                <w:color w:val="0070C0"/>
                <w:sz w:val="16"/>
                <w:szCs w:val="16"/>
              </w:rPr>
              <w:t>9436</w:t>
            </w:r>
          </w:p>
        </w:tc>
        <w:tc>
          <w:tcPr>
            <w:tcW w:w="857" w:type="dxa"/>
          </w:tcPr>
          <w:p w14:paraId="70B327EA" w14:textId="77777777" w:rsidR="00C01762" w:rsidRPr="008A2E5A" w:rsidRDefault="00C01762" w:rsidP="004C5D62">
            <w:pPr>
              <w:spacing w:after="0" w:line="240" w:lineRule="auto"/>
              <w:jc w:val="both"/>
              <w:rPr>
                <w:color w:val="0070C0"/>
                <w:sz w:val="16"/>
                <w:szCs w:val="16"/>
              </w:rPr>
            </w:pPr>
            <w:r w:rsidRPr="008A2E5A">
              <w:rPr>
                <w:color w:val="0070C0"/>
                <w:sz w:val="16"/>
                <w:szCs w:val="16"/>
              </w:rPr>
              <w:t>763</w:t>
            </w:r>
          </w:p>
        </w:tc>
      </w:tr>
    </w:tbl>
    <w:p w14:paraId="752170FB" w14:textId="77777777" w:rsidR="00C01762" w:rsidRPr="008A2E5A" w:rsidRDefault="00C01762" w:rsidP="00C017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них 6 самолетов прибыло из ремонта. (Прим, док.)</w:t>
      </w:r>
    </w:p>
    <w:p w14:paraId="1EF8564E" w14:textId="77777777" w:rsidR="00C01762" w:rsidRPr="008A2E5A" w:rsidRDefault="00C01762" w:rsidP="00C017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отдела планирования ГУЗ и ТС ВВС КА инженер-майор Моргунов</w:t>
      </w:r>
    </w:p>
    <w:p w14:paraId="3813B166" w14:textId="77777777" w:rsidR="00C01762" w:rsidRPr="008A2E5A" w:rsidRDefault="00C01762" w:rsidP="00C017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ЦА МО РФ. Ф. 35. Оп. 11331. Д. 6. Л. 33-34. Заверенная копия (23606).</w:t>
      </w:r>
    </w:p>
    <w:p w14:paraId="66895F55" w14:textId="77777777" w:rsidR="00C01762" w:rsidRPr="008A2E5A" w:rsidRDefault="00C01762" w:rsidP="00C01762">
      <w:pPr>
        <w:spacing w:after="0" w:line="240" w:lineRule="auto"/>
        <w:jc w:val="both"/>
        <w:rPr>
          <w:rFonts w:ascii="Times New Roman" w:hAnsi="Times New Roman"/>
          <w:color w:val="0070C0"/>
          <w:sz w:val="16"/>
          <w:szCs w:val="16"/>
        </w:rPr>
      </w:pPr>
    </w:p>
    <w:p w14:paraId="01EC0D4F"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Другие оборонные отрасли:</w:t>
      </w:r>
    </w:p>
    <w:p w14:paraId="57C73FE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EA6CB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июля 1942 года с целью одобрения проводимых работ и помощи в развертывании серийного производства реактивного вооружения, созданного специалистами АНИОПа, на “Ржевском полигоне” были проведены показательные боевые стрельбы 280-мм фугасных мин миномета тяжелого вооружения “МТВ” для командования Ленинградского фронта, областного и городского комитетов ВКП (б). Для стрельб были представлены мины ГМ-280 со следующими характеристиками: общий вес окончательно снаряженной мины - 82 кг; вес ВВ - 48 кг; вес порохового заряда - 6,5 кг; вес металлического корпуса со взрывателем - 27,5 кг. Батарея МТВ состояла из восьми штатных 280-мм фугасных мин. Стрельбы выполнялись с одной металлической рамы ГМ-320-2М с четырьмя снаряженными ящиками на ней и двух деревянных рам ГМ-320-2, на каждой из которых было установлено по два снаряженных ящика. Мины ГМ-280 были изготовлены заводом им. Ленина и заводом №232 (“Большевик”), деревянную укупорку ГМ-280-1Д и деревянные рамы ГМ-320-2 изготовила Третья мебельная фабрика, пороховые шашки - завод №522, пульт управления огнем (переключатель) был произведен заводом №218. Стрельба со всех установок производилась при одинаковом угле возвышения в 42 градуса (6403, 42).</w:t>
      </w:r>
    </w:p>
    <w:p w14:paraId="6959680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6A68B9"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июля 1942 г.</w:t>
      </w:r>
    </w:p>
    <w:p w14:paraId="264073C6"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ГАЭ Фонд 8752 Опись 4 Дело 92 лист 76 – 73</w:t>
      </w:r>
    </w:p>
    <w:p w14:paraId="11A6426F"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СЕКРЕТНО.</w:t>
      </w:r>
    </w:p>
    <w:p w14:paraId="324F4516"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 НАРОДНОГО КОМИССАРА ТАНКОВОЙ ПРОМЫШЛЕННОСТИ СОЮЗА ССР № 513с</w:t>
      </w:r>
    </w:p>
    <w:p w14:paraId="261A2FA4"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Москва</w:t>
      </w:r>
    </w:p>
    <w:p w14:paraId="55A26777"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июля 1942 г.</w:t>
      </w:r>
    </w:p>
    <w:p w14:paraId="5268259C"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 материально-техническом обеспечении программы производства танков Т-34 в июле месяце.</w:t>
      </w:r>
    </w:p>
    <w:p w14:paraId="0077A24D"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выполнения плана выпуска танков Т-34 по суточному графику ПРИКАЗЫВАЮ:</w:t>
      </w:r>
    </w:p>
    <w:p w14:paraId="089A022C"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Начальнику Главснаба т. РОЗИНУ обеспечить бесперебойное снабжение заводов в соответствии с утвержденным мною ежесуточным графиком и номенклатурой материалов и изделий и создать на заводах до 20 июля с.г. не менее 10-ти переходящего запаса по этим материалам и изделиям.</w:t>
      </w:r>
    </w:p>
    <w:p w14:paraId="17520D2F"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Зам. начальника 1-го отдела т. ДАВТЯН и заместителю начальника Металлургического отдела т. СЕРЕДИНУ обеспечить поставку заводам траков, дизельмоторов, форсунок, насосов и вооружения по утвержденному мною графику, для обеспечения полностью программы июля месяца и создания необходимого переходящего запаса на август месяц.</w:t>
      </w:r>
    </w:p>
    <w:p w14:paraId="41D06FB8"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Назначить ответственным за снабжение отдельными материалами и изделиями по НКТП следующих работников:</w:t>
      </w:r>
    </w:p>
    <w:p w14:paraId="745ACB68"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по клапанной и дисковой стали – т. ЮДИНА;</w:t>
      </w:r>
    </w:p>
    <w:p w14:paraId="5A3A49F8"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по радиаторной ленте, трубке, дюралюминиевым пруткам, алюминию, алюминиевой сетке – т. ТРОИЦКОГО;</w:t>
      </w:r>
    </w:p>
    <w:p w14:paraId="09348C3C"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по обрезинке катков и ленте феррадо – т. ПЫХТИНУ;</w:t>
      </w:r>
    </w:p>
    <w:p w14:paraId="3FF484CE"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по электрооборудованию и радиаторам – т. ФАРБМАНА;</w:t>
      </w:r>
    </w:p>
    <w:p w14:paraId="2297B6B8"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 по топливу – т. БРАВЕРМАН;</w:t>
      </w:r>
    </w:p>
    <w:p w14:paraId="31496931"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 по аммиаку – т. ФРАНЦМАН;</w:t>
      </w:r>
    </w:p>
    <w:p w14:paraId="6855470D"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ж) по тракам – т. СЕРЕДИНА;</w:t>
      </w:r>
    </w:p>
    <w:p w14:paraId="2A93BE27"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 по дизелям, форсункам и насосам – т. МАГИДСОН;</w:t>
      </w:r>
    </w:p>
    <w:p w14:paraId="00F29E63"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 по вооружению – т. ВОРОБЕЙЧИК;</w:t>
      </w:r>
    </w:p>
    <w:p w14:paraId="76B2E2A0"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по шарикоподшипникам – т. ЗЕЛЬМАНСОН.</w:t>
      </w:r>
    </w:p>
    <w:p w14:paraId="47AD09D7"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Предупредить указанных товарищей, что они несут персональную ответственность за бесперебойное, в соответствии с утвержденным суточным графиком, снабжение танковых заводов и за создание на заводах установленного минимума переходящего запаса.</w:t>
      </w:r>
    </w:p>
    <w:p w14:paraId="545F49E8"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заводу № 183</w:t>
      </w:r>
    </w:p>
    <w:p w14:paraId="66A32A16"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1) Начальнику Главснаба т. РОЗИНУ, директору завода т. МАКСАРЕВУ и начальникам контор Главснаба: Челябинской – т. МАГАРИЛЛ; Новосибирской – т. ВЯЗЕМСКОМУ, Свердловской – т. НАГОРНОМУ, Саратовской – т. ДРОНОВУ, Куйбышевской – т. ДЕДОВУ, Московской – т. БЕЙЗЕР, Ярославской – т. ГОРБАЧЕВУ, Чкаловской – т. ОСИПОВУ обеспечить отгрузку и доставку недостающих на июльскую программу дефицитных материалов и изделий в количествах и сроки отправки и поступления на завод, согласно приложению № 1.</w:t>
      </w:r>
    </w:p>
    <w:p w14:paraId="1C9281E9"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Зам. начальника 1-го отдела т. ДАВТЯН, директору Кировского завода т. МАХОНИНУ и ст. ведущему инженеру 1-го отдела т. МАГИДСОН обеспечить отгрузку с Кировского завода дизельмоторов В-2 и доставку их на завод № 183 в следующие сроки:</w:t>
      </w:r>
    </w:p>
    <w:p w14:paraId="3B8E7B0C"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11.VII.42 г. – 110 шт.</w:t>
      </w:r>
    </w:p>
    <w:p w14:paraId="64134610"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11 по 15.VII.42 г. по 24 шт. в сутки, всего 120 шт.</w:t>
      </w:r>
    </w:p>
    <w:p w14:paraId="5273B152"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16 по 20.VII.42 г. по 25 шт. в сутки, всего 125 шт.</w:t>
      </w:r>
    </w:p>
    <w:p w14:paraId="3B668B01"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21 по 25.VII.42 г. по 27 шт. в сутки, всего 135 шт.</w:t>
      </w:r>
    </w:p>
    <w:p w14:paraId="67EF74A3"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26 по 31.VII.42 г. по 30 шт. в сутки, всего 170 шт.</w:t>
      </w:r>
    </w:p>
    <w:p w14:paraId="685A71CC"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Начальнику диспетчерской службы Наркомата т. ВОРОБЕЙЧИК обеспечить дополнительную, к ранее уже отправленным маршрутам, не позднее 20.VII отгрузку 2-х маршрутов с пушками по 120 шт. в каждом с завода № 92 и отгрузку дополнительно 500 шт. пулеметов, а Главснабу (Отдел перевозок) обеспечить быстрое продвижение маршрутов с артсистемами, отправленных из Горького в Нижний Тагил № 91/3850 от 31.VI, № 91/3747 от 3.VII и № 91/3852 от 7.VII. 42 г.</w:t>
      </w:r>
    </w:p>
    <w:p w14:paraId="70CC7E1E"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Сталинградскому Тракторному заводу</w:t>
      </w:r>
    </w:p>
    <w:p w14:paraId="700F2B06"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Начальнику Главснаба т. РОЗИНУ, директору Сталинградского тракторного завода т. ЗАДОРОЖНОМУ и начальникам контор Главснаба: Московской – т. БЕЗЕР, Новосибирской – т. ВЯЗЕМСКОМУ, Челябинской – т. МАГАРИЛЛ, Свердловской – т. НАГОРНОМУ, Куйбышевской – т. ДЕДОВУ, Саратовской – т. ДРОНОВУ, Ярославской – т. ГОРБАЧЕВУ обеспечить доставку недостающих на июльскую программу дефицитных материалов и изделий в количествах и в сроки отправки и поступления на завод, согласно приложению № 2.</w:t>
      </w:r>
    </w:p>
    <w:p w14:paraId="10F27533"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Зам. начальника 1-го отдела т. ДАВТЯН, директору завода № 76 т. КОЧЕТКОВУ, директору Кировского завода т. МАХОНИНУ и ст. ведущему инженеру 1-го отдела т. МАГИДСОН:</w:t>
      </w:r>
    </w:p>
    <w:p w14:paraId="4086EE48"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обеспечить отгрузку до 15.VII.с.г. с завода № 76 моторов В-2 в количестве 24 штук, а отделу перевозок Главснаба обеспечить доставку указанных моторов на СТЗ не позднее 25.VII.42 г.;</w:t>
      </w:r>
    </w:p>
    <w:p w14:paraId="1370284F"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обеспечить отгрузку насосов и форсунок СТЗ с Кировского завода в количестве 140 комплектов в следующие сроки:</w:t>
      </w:r>
    </w:p>
    <w:p w14:paraId="50C7249B"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11.VII.42 г. – 20 компл.</w:t>
      </w:r>
    </w:p>
    <w:p w14:paraId="02D43A36"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12 по 15.VII.42 г. – 35 компл.</w:t>
      </w:r>
    </w:p>
    <w:p w14:paraId="22C9CC50"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16 по 20.VII.42 г. – 35 компл.</w:t>
      </w:r>
    </w:p>
    <w:p w14:paraId="32AFD05D"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21 по 24.VII.42 г. – 25 компл.</w:t>
      </w:r>
    </w:p>
    <w:p w14:paraId="1DD94C37"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25 по 28.VII.42 г. – 25 компл.</w:t>
      </w:r>
    </w:p>
    <w:p w14:paraId="344D97F2"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Начальнику Главснаба т. РОЗИНУ обеспечить переброску насосов и форсунок в указанных количествах самолетами;</w:t>
      </w:r>
    </w:p>
    <w:p w14:paraId="1FCB0113"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обеспечить отгрузку СТЗ с Кировского завода штамповок коленчатых валов в количестве 250 шт. в следующие сроки:</w:t>
      </w:r>
    </w:p>
    <w:p w14:paraId="49F4E76E"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17.VII.1942 г. – 150 шт.</w:t>
      </w:r>
    </w:p>
    <w:p w14:paraId="535F4346"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22.VII.1942 г. – 100 шт.</w:t>
      </w:r>
    </w:p>
    <w:p w14:paraId="08A4A5E1"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Ответственность за своевременную отгрузку коленчатых валов возлагаю на директора Кировского завода т. МАХОНИНА, а ответственность за доставку первой парти коленчатых валов в количестве 150 шт. в срок до 27.VII.42 г. и второй партии к 1.VIII.42 г. возлагаю на начальника Отдела перевозок Главснаба.</w:t>
      </w:r>
    </w:p>
    <w:p w14:paraId="2F7C6D39"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Начальнику Диспетчерской службы НКТП т. ВОРОБЕЙЧИК обеспечить отгрузку для СТЗ вооружения в следующие сроки:</w:t>
      </w:r>
    </w:p>
    <w:p w14:paraId="5376FE4B"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20.VII.42 г. – 120 пушек, 400 пулеметов, 30 огнеметов,</w:t>
      </w:r>
    </w:p>
    <w:p w14:paraId="1706743E"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20.VII по 25.VII.42 г. – 120 пушек и 10 огнеметов</w:t>
      </w:r>
    </w:p>
    <w:p w14:paraId="6DA61EB3"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 доставку их на завод не позднее 29.VII.1942 года.</w:t>
      </w:r>
    </w:p>
    <w:p w14:paraId="18F4B15D"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заводу № 112</w:t>
      </w:r>
    </w:p>
    <w:p w14:paraId="7E450BD5"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Начальнику Главснаба т. РОЗИНУ, директору завода № 112 т. РУБИНЧИК и начальникам контор Главснаба: Московской – т. БЕЗЕР, Новосибирской – т. ВЯЗЕМСКОМУ, Челябинской – т. МАГАРИЛЛ, Свердловской – т. НАГОРНОМУ, Куйбышевской – т. ДЕДОВУ, Саратовской – т. ДРОНОВУ, Ярославской – т. ГОРБАЧЕВУ обеспечить доставку недостающих на июльскую программу дефицитных материалов и изделий в количествах и в сроки отправки и поступления на завод, согласно приложению № 3.</w:t>
      </w:r>
    </w:p>
    <w:p w14:paraId="39E3DC6C"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Заместителю начальника 1-го отдела т. ДАВТЯН, заместителю начальника Металлургического отдела т. СЕРЕДИНУ, директору СТЗ т. ЗАДОРОЖНОМУ, директору завода № 76 т. КОЧЕТКОВУ, начальнику 3-го Главного Управления т. ХАБАХПАШЕВУ обеспечить:</w:t>
      </w:r>
    </w:p>
    <w:p w14:paraId="758BE064"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изготовление траков на СТЗ и отправку их заводу № 112 в количестве 200 комплектов по следующему графику:</w:t>
      </w:r>
    </w:p>
    <w:p w14:paraId="122C4F45"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15.VII.1942 г. – 140 компл.</w:t>
      </w:r>
    </w:p>
    <w:p w14:paraId="48E9D61E"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16 по 20.VII.42 г. – 60 компл.</w:t>
      </w:r>
    </w:p>
    <w:p w14:paraId="4DC824C0"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Директору завода № 112 т. РУБИНЧИК и начальнику отдела перевозок Главснаба обеспечить доставку каждой отгруженной партии траков в течение 5 суток с момента отправки.</w:t>
      </w:r>
    </w:p>
    <w:p w14:paraId="1236AA27"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Обеспечить отгрузку моторов В-2 с завода № 76 заводу № 112 по следующему графику:</w:t>
      </w:r>
    </w:p>
    <w:p w14:paraId="562A49D2"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11.VII.42 г. – 20 шт.</w:t>
      </w:r>
    </w:p>
    <w:p w14:paraId="2F5EEB36"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11 до 15.VII – 65 шт.</w:t>
      </w:r>
    </w:p>
    <w:p w14:paraId="67723C00"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16 до 20.VII – 65 шт.</w:t>
      </w:r>
    </w:p>
    <w:p w14:paraId="2474AD7C"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21 до 25.VII – 65 шт.</w:t>
      </w:r>
    </w:p>
    <w:p w14:paraId="2B302D96"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26 до 31.VII – 85 шт.</w:t>
      </w:r>
    </w:p>
    <w:p w14:paraId="7251AE87"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Всего 300 шт. моторов.</w:t>
      </w:r>
    </w:p>
    <w:p w14:paraId="42A1657B"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Ответственность за своевременную и полную отгрузку моторов возлагаю на директора завода № 76 т. КОЧЕТКОВА и на ст. ведущего инженера 1-го отдела т. МАГИДСОН. Ответственность за доставку моторов на завод № 112 в течение 6 суток с момента отправки возлагаю на начальника Отдела перевозок Главснаба.</w:t>
      </w:r>
    </w:p>
    <w:p w14:paraId="44BF0403"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Обеспечить изготовление на заводе № 177 для завода № 112 окончательно обработанных погонов в количестве 250 комплектов (кроме отгруженных в первой декаде июля), подачу и доставку их на завод № 112 по следующему графику:</w:t>
      </w:r>
    </w:p>
    <w:p w14:paraId="6F09C93E"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10 до 15.VII.42 г. – 70 компл.</w:t>
      </w:r>
    </w:p>
    <w:p w14:paraId="657A4DC7"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16 до 20.VII.42 г. – 60 компл.</w:t>
      </w:r>
    </w:p>
    <w:p w14:paraId="2006A7AF"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21 до 25.VII.42 г. – 60 компл.</w:t>
      </w:r>
    </w:p>
    <w:p w14:paraId="3A5B96A1"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26 до 31.VII.42 г. – 60 компл.</w:t>
      </w:r>
    </w:p>
    <w:p w14:paraId="66AE5EDA"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Ответственность за изготовление по установленному графику погонов возлагаю на нач. 3-го Главного Управления т. ХАБАХПАШЕВА и директора завода № 177 т. ВОЛКОВА, а ответственность за доставку погонов на завод № 112 в установленные сроки возлагаю на начальника сектора кооперирования 1-го отдела НКТП т. МАТВЕЕВА и ст. ведущего инженера по заводу № 112 т. ФРАДКИНА.</w:t>
      </w:r>
    </w:p>
    <w:p w14:paraId="4A79AC28"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Начальнику сектора кооперирования 1-го отдела т. МАТВЕЕВУ и ст. ведущему инженеру т. ФРАДКИНУ обеспечить поставку заводу № 112:</w:t>
      </w:r>
    </w:p>
    <w:p w14:paraId="38CE6801"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с завода № 113 коробок перемены передач, главных и бортовых фрикционов и поворотных механизмов в количестве 320 комплектов (по 11 компл. в сутки);</w:t>
      </w:r>
    </w:p>
    <w:p w14:paraId="6178B04C"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с ГАЗа радиаторов водяных и масляных 300 компл. (по 10 – 11 компл. в сутки) и поковок балансиров и кривошипов 350 компл. (по 12 компл. в сутки).</w:t>
      </w:r>
    </w:p>
    <w:p w14:paraId="6E104DD1"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заводу № 174</w:t>
      </w:r>
    </w:p>
    <w:p w14:paraId="02862E96"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Начальнику Главснаба т. РОЗИНУ директору завода № 174 т. КАЦНЕЛЬСОН и начальникам контор Главснаба: Куйбышевской – т. ДЕДОВУ, Свердловской – т. НАГОРНОМУ, Новосибирской – т. ВЯЗЕМСКОМУ, Челябинской – т. МАГАРИЛЛ обеспечить доставку недостающих на июльскую программу дефицитных материалов и изделий в количествах и сроки отправки и поступления на завод, согласно приложению № 4.</w:t>
      </w:r>
    </w:p>
    <w:p w14:paraId="70B5D415"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Директорам заводов № 255 т. МОРОЗ, № 254 т. КОЗЛОВУ обеспечить выпуск электрооборудования в количествах и в сроки, обеспечивающие выполнение графика поставок согласно приложениям к настоящему приказу.</w:t>
      </w:r>
    </w:p>
    <w:p w14:paraId="0A960E30"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Директору Кировского завода т. МАХОНИНУ и директору завода № 112 т. РУБИНЧИК обеспечить поставку полуфабрикатов и деталей для заводов № 255 и № 254 по согласованному с заводами графику, с расчетом полного обеспечения потребности для выполнения задания по настоящему приказу.</w:t>
      </w:r>
    </w:p>
    <w:p w14:paraId="39AB08DA"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Контроль за выполнением настоящего приказа возлагаю:</w:t>
      </w:r>
    </w:p>
    <w:p w14:paraId="717F5C9F"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по Главснабу на Заместителя Наркома т. ЗЕРНОВА;</w:t>
      </w:r>
    </w:p>
    <w:p w14:paraId="3E114044"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по 1-му отделу на Заместителя Наркома т. СТЕПАНОВА;</w:t>
      </w:r>
    </w:p>
    <w:p w14:paraId="36DB37F6"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по Металлургическому отделу на Заместителя Наркома т. ПОПОВА.</w:t>
      </w:r>
    </w:p>
    <w:p w14:paraId="12FEA83E" w14:textId="77777777" w:rsidR="00B7071E" w:rsidRPr="001E2C69" w:rsidRDefault="00B7071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НАРОДНЫЙ КОМИССАР ТАНКОВОЙ ПРОМЫШЛЕННОСТИ СОЮЗА ССР подпись И. ЗАЛЬЦМАН (21217).</w:t>
      </w:r>
    </w:p>
    <w:p w14:paraId="4E891E20" w14:textId="77777777" w:rsidR="00B7071E" w:rsidRPr="001E2C69" w:rsidRDefault="00B7071E" w:rsidP="00722885">
      <w:pPr>
        <w:spacing w:after="0" w:line="240" w:lineRule="auto"/>
        <w:jc w:val="both"/>
        <w:rPr>
          <w:rFonts w:ascii="Times New Roman" w:hAnsi="Times New Roman"/>
          <w:color w:val="000000" w:themeColor="text1"/>
          <w:sz w:val="16"/>
          <w:szCs w:val="16"/>
        </w:rPr>
      </w:pPr>
    </w:p>
    <w:p w14:paraId="25F862DB" w14:textId="77777777" w:rsidR="00B33D31" w:rsidRPr="001E2C69"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11 июля 1942 английский Ocean Freedom из отправленного 27 июня 1942 года конвоя PQ-17, который вёз в СССР, в том числе, 25 английских тяжелых танков и был разгромлен, прибыл в Архангельск. На его борту находилось 5 Churchill II и 5 Churchill III.</w:t>
      </w:r>
    </w:p>
    <w:p w14:paraId="44F539A2" w14:textId="77777777" w:rsidR="00B33D31" w:rsidRPr="001E2C69"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 xml:space="preserve">После разгрома конвоя PQ-17 в поставках последовала долгая пауза. Следующая партия пришла с конвоем PQ-18, прибывшем в Архангельск 21 сентября 1942 года. На этот раз до портов добралось 74 Churchill. Этот конвой стал последним, в котором прибыли Churchill II. Английские источники утверждают, что всего в СССР было отправлено 45 Churchill II, из которых прибыли на место 26 штук. Цифра эта несколько отличается от реальности: из 74 танков, прибывших с конвоем PQ-18, к Churchill II относилось 15 машин. В общей же сложности поступило 20 таких танков, из них 19 отправили в 50-й </w:t>
      </w:r>
      <w:hyperlink r:id="rId143" w:history="1">
        <w:r w:rsidRPr="001E2C69">
          <w:rPr>
            <w:rFonts w:ascii="Times New Roman" w:eastAsia="Times New Roman" w:hAnsi="Times New Roman"/>
            <w:color w:val="000000" w:themeColor="text1"/>
            <w:sz w:val="16"/>
            <w:szCs w:val="16"/>
            <w:lang w:eastAsia="ru-RU"/>
          </w:rPr>
          <w:t>гвардейский тяжелый танковый полк</w:t>
        </w:r>
      </w:hyperlink>
      <w:r w:rsidRPr="001E2C69">
        <w:rPr>
          <w:rFonts w:ascii="Times New Roman" w:eastAsia="Times New Roman" w:hAnsi="Times New Roman"/>
          <w:color w:val="000000" w:themeColor="text1"/>
          <w:sz w:val="16"/>
          <w:szCs w:val="16"/>
          <w:lang w:eastAsia="ru-RU"/>
        </w:rPr>
        <w:t>. Еще один танк оказался в составе 194-й учебной танковой бригады.</w:t>
      </w:r>
    </w:p>
    <w:p w14:paraId="0EB0E009" w14:textId="77777777" w:rsidR="00B33D31" w:rsidRPr="001E2C69"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Разгром конвоя PQ-17 была лишь началом серии неудач, которые преследовали Churchill в СССР. К моменту, когда танки только разгружались в порту Архангельска, стали поступать весьма тревожные новости из Англии. Для начала, инженер-полковник Ковалёв сообщил, что у танков с 6-фунтовыми пушками есть проблемы, связанные с механизмом вертикальной наводки орудия. У одной машины такая проблема обнаружилась при разгрузке. Во время движения машины в порту Бакарица от тряски картер механизма поворота треснул. Хотя виновником был назначен воентехник 2-го ранга И.Ф. Лоленко, по факту виноватыми стоит считать англичан, которые об имевшемся дефекте не предупредили. Еще одной извечной проблемой танков «Черчилль» были крылья. У половины танков они при разгрузке оказались помятыми.</w:t>
      </w:r>
    </w:p>
    <w:p w14:paraId="328F6720" w14:textId="77777777" w:rsidR="00B33D31" w:rsidRPr="001E2C69"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Более существенной проблемой стало то, что двигатели танков нередко ломались. Об этой проблеме англичане знали, и связана она была отчасти с модернизацией танков. Из-за разгрома конвоя PQ-17 нужного количества запчастей не прибыло, в результате уже к концу августа 1942 года на один боеспособный танк стало меньше. Еще одной проблемой оказалось то, что эксперт по Churchill также не прибыл. Им, несмотря на возражения Главного автобронетанкового управления Красной армии (ГАБТУ), англичане назначили капитана Римингтона, но тот попал в немецкий плен. Вместо него был назначен капитан Кокс, который прибыл в СССР вместе с конвоем PQ-18 (17691).</w:t>
      </w:r>
    </w:p>
    <w:p w14:paraId="427416C2" w14:textId="77777777" w:rsidR="00B33D31" w:rsidRPr="001E2C69" w:rsidRDefault="00B33D31" w:rsidP="00722885">
      <w:pPr>
        <w:spacing w:after="0" w:line="240" w:lineRule="auto"/>
        <w:jc w:val="both"/>
        <w:rPr>
          <w:rFonts w:ascii="Times New Roman" w:hAnsi="Times New Roman"/>
          <w:color w:val="000000" w:themeColor="text1"/>
          <w:sz w:val="16"/>
          <w:szCs w:val="16"/>
        </w:rPr>
      </w:pPr>
    </w:p>
    <w:p w14:paraId="7A99EC0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июля 1942, генерал-майор Лебедев направил председателю арткома ГАУ Хохлову письмо, в котором писал:</w:t>
      </w:r>
    </w:p>
    <w:p w14:paraId="7E01141F" w14:textId="5EAFE13E"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связи с тем, что количество имеющихся трофейных немецких машин „Артштурм“, пригодных для дальнейшей эксплуатации (после ремонта) исчисляется единицами, считаю установку на них 122-мм гаубицы обр. 1938</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г. и испытание опытного образца такой установки, нецелесообразным» (12688).</w:t>
      </w:r>
    </w:p>
    <w:p w14:paraId="0A6DD709"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2DF2BC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июля 1942 вышло Постановление ГКО № 2012 О производстве танков, танковых дизелей, моторов, корпусов и о материально-техническом обеспечении танковой промышленности в III квартале 1942 г. РГАНИР, Фонд ГКО, д. 43, лл. 1-21, 22-132 (11012).</w:t>
      </w:r>
    </w:p>
    <w:p w14:paraId="369FD51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BE1AF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июля 1942 года была подготовлена справка:</w:t>
      </w:r>
    </w:p>
    <w:p w14:paraId="141C254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Прокатное оборудование завода № 38 НКВ эвакуировано на Нытвенский металлопрокатный завод (ныне завод № 54 НКВ) (9211).</w:t>
      </w:r>
    </w:p>
    <w:p w14:paraId="16CF088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8821C7"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июля 1942 года вышел приказ № 457с НКБ</w:t>
      </w:r>
    </w:p>
    <w:p w14:paraId="4484A23D"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Бывшему Ремонтно-механическому заводу Комбинату № 392, выделенному в самостоятельный уставной завод НКБ присвоить № 573 (5906, 25).</w:t>
      </w:r>
    </w:p>
    <w:p w14:paraId="2F50DAEC"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EB64A1"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Армия:</w:t>
      </w:r>
    </w:p>
    <w:p w14:paraId="2080469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21AB81"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июля в 1942 году утреннее сообщение Совинформбюро:</w:t>
      </w:r>
    </w:p>
    <w:p w14:paraId="4ABD7617"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11 июля наши войска вели бои с противником западнее Воронежа, в районе Кантемировка и на Лисичанском направлении.</w:t>
      </w:r>
    </w:p>
    <w:p w14:paraId="61681E81"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72672602"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 части, действующие западнее Воронежа, наносят противнику огромные потери. Гвардейцы части, которой командует тов. Чухин, уничтожили 2.500 немецких солдат и офицеров, 10 танков, 3 броневика, 47 орудий разных калибров, 10 миномётов, 25 пулемётов, 17 автомашин и 4 тягача. Танкисты части, которой командует тов. Черниенко, за несколько дней уничтожили 72 орудия и до 4.000 солдат и офицеров противника. Экипаж танка в составе тт. Богомолова, Пшенина и Берта уничтожил 2 немецких танка и свыше 100 гитлеровцев. Командир танка лейтенант Рожикин за последние несколько дней участвовал в трёх боях и уничтожил 2 немецких танка и 3 противотанковых пушки.</w:t>
      </w:r>
    </w:p>
    <w:p w14:paraId="7A2A112F"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Калининского фронта наши части выбили немцев из населённого пункта П. На поле боя остались сотни вражеских трупов. Уничтожено 5 немецких танков, 2 орудия, 3 тягача, 15 повозок с боеприпасами и 13 машин с пехотой противника. На другом участке наши танкисты во взаимодействии с пехотой уничтожили 2 немецких танка, 4 противотанковых орудия и 8 пулемётов. Немцы потеряли убитыми свыше 150 солдат и офицеров. Другая группа наших танкистов, действовавшая на том же участке, уничтожила 3 тяжёлых немецких танка, 2 противотанковых орудия и до 200 гитлеровцев.</w:t>
      </w:r>
    </w:p>
    <w:p w14:paraId="3AE23F05"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Артиллерийская батарея младшего лейтенанта Лысенко уничтожила 7 немецких ДЗОТов, миномётную батарею и 8 пулемётов.</w:t>
      </w:r>
    </w:p>
    <w:p w14:paraId="149881E7"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Группа наших разведчиков под командованием капитана Короткова совершила внезапный налёт на немецкий гарнизон в деревне Т. В ожесточённой схватке гарнизон был разгромлен. Противник потерял убитыми 40 солдат и двух офицеров. Нашими бойцами захвачены 3 пулемёта, винтовки, автоматы и другое вооружение.</w:t>
      </w:r>
    </w:p>
    <w:p w14:paraId="39BC41A7"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витебских партизан под командованием тов. Ш. истребил 150 оккупантов, поджёг 3 немецких танка и 10 автомашин.</w:t>
      </w:r>
    </w:p>
    <w:p w14:paraId="062F6921"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110 полка 112 немецкой пехотной дивизии Адольф Шульц рассказал: «Дорога Гомель — Брянск подвергается постоянным нападениям партизан. Они совершают налёты не только на мелкие транспорты и группы солдат, но и на крупные подразделения и колонны. В целях предосторожности военные власти ограничили железнодорожное движение. Поезда ходят только днём, но, не смотря на это, аварии и крушения не прекращаются. На всём протяжении пути по обеим сторонам дороги валяются разбитые паровозы и вагоны.</w:t>
      </w:r>
    </w:p>
    <w:p w14:paraId="63E0D913"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Бельгийские патриоты ведут борьбу против немецких оккупантов. В конце июня на станции Ледеберг взорвалось несколько бомб. Движение поездов было прекращено на несколько дней. В Граммоне произошёл взрыв в казарме эсэсовцев. В Брюсселе при отправке на Восточный фронт эшелона так называемых бельгийских «добровольцев» на вокзале взорвалась бомба. Имеются убитые и раненые.</w:t>
      </w:r>
    </w:p>
    <w:p w14:paraId="43F48FAF"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Предприятия Наркомата миномётного вооружения с каждым днём увеличивают выпуск продукции. Завод, где директором тов. Полянцев, дал в июне месяце боеприпасов в два раза больше, чем в мае. На заводе, где директором тов. Раховский, 40 процентов рабочих-сдельщиков выполняют свыше двух норм в смену.» (14949).</w:t>
      </w:r>
    </w:p>
    <w:p w14:paraId="183907FD" w14:textId="77777777" w:rsidR="0091110F" w:rsidRPr="001E2C69" w:rsidRDefault="0091110F" w:rsidP="00722885">
      <w:pPr>
        <w:spacing w:after="0" w:line="240" w:lineRule="auto"/>
        <w:jc w:val="both"/>
        <w:rPr>
          <w:rFonts w:ascii="Times New Roman" w:hAnsi="Times New Roman"/>
          <w:color w:val="000000" w:themeColor="text1"/>
          <w:sz w:val="16"/>
          <w:szCs w:val="16"/>
        </w:rPr>
      </w:pPr>
    </w:p>
    <w:p w14:paraId="5EF43F76"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июля в 1942 году вечернее сообщение Совинформбюро:</w:t>
      </w:r>
    </w:p>
    <w:p w14:paraId="5B3387CE"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11 июля наши войска вели ожесточённые бои с противником на подступах к Воронежу, в районе Кантемировка и на Лисичанском направлении.</w:t>
      </w:r>
    </w:p>
    <w:p w14:paraId="62EDBFED"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55E8DBFC"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Нашими кораблями в Балтийском море потоплено 5 немецких транспортов общим водоизмещением в 46 тысяч тонн.</w:t>
      </w:r>
    </w:p>
    <w:p w14:paraId="614C3A2C"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10 июля частями нашей авиации на различных участках фронта уничтожено или повреждено 89 немецких танков, 400 автомашин с войсками и грузами, подавлен огонь 3 батарей полевой артиллерии, взорвано три склада с боеприпасами, потоплены транспорт и сторожевой корабль, рассеяно и частью уничтожено до трёх батальонов пехоты противника.</w:t>
      </w:r>
    </w:p>
    <w:p w14:paraId="44608BD7"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участке северо-западнее Воронежа наши войска вели упорные бои против немецко-фашистских войск. Танкисты, которыми командует тов. Задорожный, нанесли немцам ряд тяжёлых ударов. Они уничтожили 3 немецких танка, 32 орудия, 34 пулемёта, 31 миномёт и разгромили пехотный полк противника. В этом бою особенно умело действовал экипаж танка старшего политрука тов. Ракова, который уничтожил 4 тяжёлых орудия и до 200 гитлеровцев.</w:t>
      </w:r>
    </w:p>
    <w:p w14:paraId="46E1997C"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Танкисты части, где командиром майор Бойко, за два дня боевых действий уничтожили 3 немецких танка, 12 орудий, 34 повозки с боеприпасами и 860 солдат и офицеров противника.</w:t>
      </w:r>
    </w:p>
    <w:p w14:paraId="57CA16D7"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ряде участков Калининского фронта наши войска отражали атаки противника.Часть под командованием тов. Волынского стремительным ударом сломила сопротивление немцев и выбила их из одного населённого пункта. На поле боя остались сотни вражеских трупов. На другом участке миномётчики гвардейской части мощным залпом по наступающему противнику уничтожили до 150 гитлеровцев и 3 противотанковых орудия. Сменив позиции, бойцы-миномётчики снова открыли огонь и истребили до 200 солдат и офицеров противника и подбили 2 лёгких немецких танка.</w:t>
      </w:r>
    </w:p>
    <w:p w14:paraId="7EDB2C6A"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Лётчик Борис Ковзан встретил в воздухе два немецких истребителя «Мессершмитт-109» и вступил с ними в бой. Плоскостью своей машины Ковзан таранил один немецкий самолёт. Другой истребитель противника не принял боя и скрылся.Это был третий успешный таран отважного, сталинского сокола.</w:t>
      </w:r>
    </w:p>
    <w:p w14:paraId="3943D771"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Снайперы подразделения тов. Васильева в течение дня истребили 86 немцев. Особенно отличился снайпер тов. Солдаткин, уничтоживший в этот день 10 гитлеровцев.</w:t>
      </w:r>
    </w:p>
    <w:p w14:paraId="7AACEA7B"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Зенитная батарея лейтенанта Шашкова (западнее Воронежа) в один день сбила 2 немецких самолёта.</w:t>
      </w:r>
    </w:p>
    <w:p w14:paraId="56AC681E"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неотправленном письме, найденном у убитого немецкого фельдфебеля Вольфганга Брауна, говорится: «Два месяца мы находились в селе Вознесенском. Не подумай, что это был отдых. В России для нас нигде нет спокойного тыла. Здесь для немецкого солдата всюду фронт. В казарме — фронт, в частном доме — фронт, на вокзале и в поезде — тоже фронт... Всевозможные неприятные неожиданности отравляют нам жизнь. Представь — человек уходит на несколько часов из казармы </w:t>
      </w:r>
      <w:r w:rsidRPr="001E2C69">
        <w:rPr>
          <w:rFonts w:ascii="Times New Roman" w:hAnsi="Times New Roman"/>
          <w:color w:val="000000" w:themeColor="text1"/>
          <w:sz w:val="16"/>
          <w:szCs w:val="16"/>
        </w:rPr>
        <w:lastRenderedPageBreak/>
        <w:t>и пропадает навеки. Так исчезли Герберт Никель, Роберт Мюллер, Гельмут Лангмайер. Взрослые и дети, мужчины и женщины ненавидят нас так, как только люди способны ненавидеть... Теперь я опять на фронте. Перед каждым завоёванным селом и на центральной его площади можно видеть наспех сооружённое кладбище со свежими могилами наших солдат. К сожалению, их очень много».</w:t>
      </w:r>
    </w:p>
    <w:p w14:paraId="2F23356B"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Ниже публикуются выдержки из акта о зверствах немецко-фашистских мерзавцев над пленными бойцами Красной Армии: «На опушке леса у высоты Н. найдено 20 трупов зверски замученных гитлеровцами красноармейцев и командиров КраснойАрмии. Тела бойцов Вахромеева Б. А., Борисова В.Ф., Каинова Ахмеда, Батемова А.В. и Лицова М.А. изуродованы, половые органы и голени выжжены. Тело лейтенанта, личность которого установить невозможно, изрезано ножами. Фамилии остальных замученных также установить не удалось». Акт подписали: техник-интендант второго ранга Иванов, бойцы тт. Монов, Кулев, Болтачев, Петухов и Митюков.</w:t>
      </w:r>
    </w:p>
    <w:p w14:paraId="74C520A3"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городе Франкфурт-на-Майне (Германия) суд приговорил к смертной казни немецкого инженера Генриха Масса и пять рабочих. Осуждённые обвинялись в организации диверсий на химических заводах «Адлерверке» и «Грисгейм-электрон» (14949).</w:t>
      </w:r>
    </w:p>
    <w:p w14:paraId="4981F417" w14:textId="77777777" w:rsidR="0091110F" w:rsidRPr="001E2C69" w:rsidRDefault="0091110F" w:rsidP="00722885">
      <w:pPr>
        <w:spacing w:after="0" w:line="240" w:lineRule="auto"/>
        <w:jc w:val="both"/>
        <w:rPr>
          <w:rFonts w:ascii="Times New Roman" w:hAnsi="Times New Roman"/>
          <w:color w:val="000000" w:themeColor="text1"/>
          <w:sz w:val="16"/>
          <w:szCs w:val="16"/>
        </w:rPr>
      </w:pPr>
    </w:p>
    <w:p w14:paraId="0462E3E4" w14:textId="3919AFB0" w:rsidR="008775ED" w:rsidRPr="001E2C69" w:rsidRDefault="008775ED" w:rsidP="00722885">
      <w:pPr>
        <w:spacing w:after="0" w:line="240" w:lineRule="auto"/>
        <w:jc w:val="both"/>
        <w:rPr>
          <w:rStyle w:val="1pt1"/>
          <w:rFonts w:ascii="Times New Roman" w:hAnsi="Times New Roman" w:cs="Times New Roman"/>
          <w:i w:val="0"/>
          <w:iCs w:val="0"/>
          <w:color w:val="000000" w:themeColor="text1"/>
          <w:spacing w:val="0"/>
          <w:sz w:val="16"/>
          <w:szCs w:val="16"/>
        </w:rPr>
      </w:pPr>
      <w:r w:rsidRPr="001E2C69">
        <w:rPr>
          <w:rFonts w:ascii="Times New Roman" w:hAnsi="Times New Roman"/>
          <w:color w:val="000000" w:themeColor="text1"/>
          <w:sz w:val="16"/>
          <w:szCs w:val="16"/>
        </w:rPr>
        <w:t>11 июля 1942 в 21.15 четверка Ил-2 в сопровождении истребите</w:t>
      </w:r>
      <w:r w:rsidRPr="001E2C69">
        <w:rPr>
          <w:rFonts w:ascii="Times New Roman" w:hAnsi="Times New Roman"/>
          <w:color w:val="000000" w:themeColor="text1"/>
          <w:sz w:val="16"/>
          <w:szCs w:val="16"/>
        </w:rPr>
        <w:softHyphen/>
        <w:t xml:space="preserve">лей атаковала группу германо-финских кораблей и катеров. Несмотря на бодрые заявления, противник почти не пострадал, а катер </w:t>
      </w:r>
      <w:r w:rsidRPr="001E2C69">
        <w:rPr>
          <w:rFonts w:ascii="Times New Roman" w:hAnsi="Times New Roman"/>
          <w:color w:val="000000" w:themeColor="text1"/>
          <w:sz w:val="16"/>
          <w:szCs w:val="16"/>
          <w:lang w:val="en-US"/>
        </w:rPr>
        <w:t>VMV</w:t>
      </w:r>
      <w:r w:rsidRPr="001E2C69">
        <w:rPr>
          <w:rFonts w:ascii="Times New Roman" w:hAnsi="Times New Roman"/>
          <w:color w:val="000000" w:themeColor="text1"/>
          <w:sz w:val="16"/>
          <w:szCs w:val="16"/>
        </w:rPr>
        <w:t>-11 огнем 40-мм «Бофорса» (шведский зенитный полуавтомат) сбил машину сержанта А. И. Кирова. Летчик погиб. Зато на следующий день 57-й ШАП взял реванш. В 12.15 пя</w:t>
      </w:r>
      <w:r w:rsidRPr="001E2C69">
        <w:rPr>
          <w:rFonts w:ascii="Times New Roman" w:hAnsi="Times New Roman"/>
          <w:color w:val="000000" w:themeColor="text1"/>
          <w:sz w:val="16"/>
          <w:szCs w:val="16"/>
        </w:rPr>
        <w:softHyphen/>
        <w:t>терка «Илов», ведомая подп-ком Морозовым, нанесла удар 100-кг бомбами по финской канлодке «Хямеенмаа» и герман</w:t>
      </w:r>
      <w:r w:rsidRPr="001E2C69">
        <w:rPr>
          <w:rFonts w:ascii="Times New Roman" w:hAnsi="Times New Roman"/>
          <w:color w:val="000000" w:themeColor="text1"/>
          <w:sz w:val="16"/>
          <w:szCs w:val="16"/>
        </w:rPr>
        <w:softHyphen/>
        <w:t>ской плавбатарее «Ост». Не повезло финнам: в их корабль уго</w:t>
      </w:r>
      <w:r w:rsidRPr="001E2C69">
        <w:rPr>
          <w:rFonts w:ascii="Times New Roman" w:hAnsi="Times New Roman"/>
          <w:color w:val="000000" w:themeColor="text1"/>
          <w:sz w:val="16"/>
          <w:szCs w:val="16"/>
        </w:rPr>
        <w:softHyphen/>
        <w:t>дила одна бомба и</w:t>
      </w:r>
      <w:r w:rsidRPr="001E2C69">
        <w:rPr>
          <w:rStyle w:val="1pt1"/>
          <w:rFonts w:ascii="Times New Roman" w:hAnsi="Times New Roman" w:cs="Times New Roman"/>
          <w:i w:val="0"/>
          <w:iCs w:val="0"/>
          <w:color w:val="000000" w:themeColor="text1"/>
          <w:spacing w:val="0"/>
          <w:sz w:val="16"/>
          <w:szCs w:val="16"/>
        </w:rPr>
        <w:t xml:space="preserve"> «попала,</w:t>
      </w:r>
      <w:r w:rsidRPr="001E2C69">
        <w:rPr>
          <w:rFonts w:ascii="Times New Roman" w:hAnsi="Times New Roman"/>
          <w:color w:val="000000" w:themeColor="text1"/>
          <w:sz w:val="16"/>
          <w:szCs w:val="16"/>
        </w:rPr>
        <w:t xml:space="preserve"> — как указывается в Боевом журна</w:t>
      </w:r>
      <w:r w:rsidRPr="001E2C69">
        <w:rPr>
          <w:rFonts w:ascii="Times New Roman" w:hAnsi="Times New Roman"/>
          <w:color w:val="000000" w:themeColor="text1"/>
          <w:sz w:val="16"/>
          <w:szCs w:val="16"/>
        </w:rPr>
        <w:softHyphen/>
        <w:t>ле Штаба ВМС Финляндии, —</w:t>
      </w:r>
      <w:r w:rsidRPr="001E2C69">
        <w:rPr>
          <w:rStyle w:val="1pt1"/>
          <w:rFonts w:ascii="Times New Roman" w:hAnsi="Times New Roman" w:cs="Times New Roman"/>
          <w:i w:val="0"/>
          <w:iCs w:val="0"/>
          <w:color w:val="000000" w:themeColor="text1"/>
          <w:spacing w:val="0"/>
          <w:sz w:val="16"/>
          <w:szCs w:val="16"/>
        </w:rPr>
        <w:t xml:space="preserve"> в носовую часть с левой стороны, разорвав борт вплоть до ватерлинии. Взрыв произошел во внутренних помещениях носовой части. Орудие «Мадсен»</w:t>
      </w:r>
      <w:r w:rsidRPr="001E2C69">
        <w:rPr>
          <w:rFonts w:ascii="Times New Roman" w:hAnsi="Times New Roman"/>
          <w:color w:val="000000" w:themeColor="text1"/>
          <w:sz w:val="16"/>
          <w:szCs w:val="16"/>
        </w:rPr>
        <w:t xml:space="preserve"> (дат</w:t>
      </w:r>
      <w:r w:rsidRPr="001E2C69">
        <w:rPr>
          <w:rFonts w:ascii="Times New Roman" w:hAnsi="Times New Roman"/>
          <w:color w:val="000000" w:themeColor="text1"/>
          <w:sz w:val="16"/>
          <w:szCs w:val="16"/>
        </w:rPr>
        <w:softHyphen/>
        <w:t>ский 20-мм зенитный автомат</w:t>
      </w:r>
      <w:r w:rsidRPr="001E2C69">
        <w:rPr>
          <w:rStyle w:val="affb"/>
          <w:rFonts w:ascii="Times New Roman" w:hAnsi="Times New Roman" w:cs="Times New Roman"/>
          <w:color w:val="000000" w:themeColor="text1"/>
          <w:spacing w:val="0"/>
          <w:sz w:val="16"/>
          <w:szCs w:val="16"/>
        </w:rPr>
        <w:t>)</w:t>
      </w:r>
      <w:r w:rsidRPr="001E2C69">
        <w:rPr>
          <w:rStyle w:val="1pt1"/>
          <w:rFonts w:ascii="Times New Roman" w:hAnsi="Times New Roman" w:cs="Times New Roman"/>
          <w:i w:val="0"/>
          <w:iCs w:val="0"/>
          <w:color w:val="000000" w:themeColor="text1"/>
          <w:spacing w:val="0"/>
          <w:sz w:val="16"/>
          <w:szCs w:val="16"/>
        </w:rPr>
        <w:t xml:space="preserve"> полностью выведено из строя. Носовое орудие</w:t>
      </w:r>
      <w:r w:rsidRPr="001E2C69">
        <w:rPr>
          <w:rFonts w:ascii="Times New Roman" w:hAnsi="Times New Roman"/>
          <w:color w:val="000000" w:themeColor="text1"/>
          <w:sz w:val="16"/>
          <w:szCs w:val="16"/>
        </w:rPr>
        <w:t xml:space="preserve"> (100-мм</w:t>
      </w:r>
      <w:r w:rsidRPr="001E2C69">
        <w:rPr>
          <w:rStyle w:val="affb"/>
          <w:rFonts w:ascii="Times New Roman" w:hAnsi="Times New Roman" w:cs="Times New Roman"/>
          <w:color w:val="000000" w:themeColor="text1"/>
          <w:spacing w:val="0"/>
          <w:sz w:val="16"/>
          <w:szCs w:val="16"/>
        </w:rPr>
        <w:t>)</w:t>
      </w:r>
      <w:r w:rsidRPr="001E2C69">
        <w:rPr>
          <w:rStyle w:val="1pt1"/>
          <w:rFonts w:ascii="Times New Roman" w:hAnsi="Times New Roman" w:cs="Times New Roman"/>
          <w:i w:val="0"/>
          <w:iCs w:val="0"/>
          <w:color w:val="000000" w:themeColor="text1"/>
          <w:spacing w:val="0"/>
          <w:sz w:val="16"/>
          <w:szCs w:val="16"/>
        </w:rPr>
        <w:t xml:space="preserve"> выглядит целым, но не проворачивается. Потери в личном составе: 4 погибших и 9 ра</w:t>
      </w:r>
      <w:r w:rsidRPr="001E2C69">
        <w:rPr>
          <w:rStyle w:val="1pt1"/>
          <w:rFonts w:ascii="Times New Roman" w:hAnsi="Times New Roman" w:cs="Times New Roman"/>
          <w:i w:val="0"/>
          <w:iCs w:val="0"/>
          <w:color w:val="000000" w:themeColor="text1"/>
          <w:spacing w:val="0"/>
          <w:sz w:val="16"/>
          <w:szCs w:val="16"/>
        </w:rPr>
        <w:softHyphen/>
        <w:t>неных» (19854).</w:t>
      </w:r>
    </w:p>
    <w:p w14:paraId="60CD421F" w14:textId="77777777" w:rsidR="008775ED" w:rsidRPr="001E2C69" w:rsidRDefault="008775ED" w:rsidP="00722885">
      <w:pPr>
        <w:spacing w:after="0" w:line="240" w:lineRule="auto"/>
        <w:jc w:val="both"/>
        <w:rPr>
          <w:rFonts w:ascii="Times New Roman" w:hAnsi="Times New Roman"/>
          <w:color w:val="000000" w:themeColor="text1"/>
          <w:sz w:val="16"/>
          <w:szCs w:val="16"/>
        </w:rPr>
      </w:pPr>
    </w:p>
    <w:p w14:paraId="197DFF5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июля 1942 л АДД С.М.Алешин бомбардировал в районе ст. Чудово огневые позиции. Снизился до 600 м. Один мотор - загорелся. Заметив склад боеприпасов направил туда самолет. Погиб и ш В.А.Гончарук и с-р Н.А.Бобров. Посмертно - ГСС (438,850).</w:t>
      </w:r>
    </w:p>
    <w:p w14:paraId="11B925B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E89C0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июля 1942 в боях под Сталинградом экипаж б во главе с сер. Н.И.Дивиченко был атакован в 8 км от цели и. Подбитый с загорелся. Направил на стоянку, бомбя и расстреливая. Стрелок Ежов был убит, радист - отстреливался. Увидев колонну заправщиков Дивиченко направил машину туда и сбросил последние бомбы. Взрыв подбросил самолет на кустарник, тот самортизировал и машина скатилась в овраг. экипаж остался див и перешел через линию фронта (438,850).</w:t>
      </w:r>
    </w:p>
    <w:p w14:paraId="24B7458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F3760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июля 1942, из-за больших потерь в танках, на восточный берег Дона переправилась 4-я гвардейская бригада, передав оставшиеся 3 КВ и 13 Т-60 24-й мотострелковой бригаде. 14 июля переправилась 54-я танковая бригада, передав оставшиеся 5 Т-34 и 5 Т-60 130-й танковой бригаде. Кроме танков, в распоряжение 130-й бригады были переданы мотострелковые батальоны 4-й гвардейской и 54-й танковых бригад.</w:t>
      </w:r>
    </w:p>
    <w:p w14:paraId="0804D66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Части 24-го танкового корпуса вели бои в районе Урыв вплоть до конца июля, а затем были отведены в тыл. По состоянию на вечер 25 июля части корпуса еще имели на ходу 13 танков, из них 7 Т-34 (12217).</w:t>
      </w:r>
    </w:p>
    <w:p w14:paraId="3CA1BC54"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3C2C1FA"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июля 1942 фашисты захватили Лисичанск (Донбасс) (4962).</w:t>
      </w:r>
    </w:p>
    <w:p w14:paraId="01985709"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4FA51F"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Внешняя политика:</w:t>
      </w:r>
    </w:p>
    <w:p w14:paraId="267E809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17D621"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июля в 1942 году в Вашингтоне подписывается американо-советское соглашение о распространении на СССР американской военной помощи (ленд-лиз) (14949).</w:t>
      </w:r>
    </w:p>
    <w:p w14:paraId="537E8F72" w14:textId="77777777" w:rsidR="0091110F" w:rsidRPr="001E2C69" w:rsidRDefault="0091110F" w:rsidP="00722885">
      <w:pPr>
        <w:spacing w:after="0" w:line="240" w:lineRule="auto"/>
        <w:jc w:val="both"/>
        <w:rPr>
          <w:rFonts w:ascii="Times New Roman" w:hAnsi="Times New Roman"/>
          <w:color w:val="000000" w:themeColor="text1"/>
          <w:sz w:val="16"/>
          <w:szCs w:val="16"/>
        </w:rPr>
      </w:pPr>
    </w:p>
    <w:p w14:paraId="3951F1F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июля 1942 года вышло Постановлением Секретариата ИККИ в целях улучшения организации оперативной работы ИККИ на заграницу в условиях войны решено выделить их Хозяйственно-Оперативного Управления ИККИ всю оперативную работу, связанную с заграницей, в самостоятельный Первый отдел, подчиненный непосредственно Генеральному Секретарю ИККИ Г.Димитрову (8983).</w:t>
      </w:r>
    </w:p>
    <w:p w14:paraId="17BD4E2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6B0BF3"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За рубежом:</w:t>
      </w:r>
    </w:p>
    <w:p w14:paraId="29B6397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C6D84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июля 1942 1750 Ланкастеров атаковали Данциг (2100).</w:t>
      </w:r>
    </w:p>
    <w:p w14:paraId="3D63098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719108"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июля 1942 агентами ФБР одновременно арестованы 158 человек, обвиненных в сотрудничестве с Германией (4962).</w:t>
      </w:r>
    </w:p>
    <w:p w14:paraId="6ED5A596"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3E68DA"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Авиапромышленность:</w:t>
      </w:r>
    </w:p>
    <w:p w14:paraId="1649225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B6ADA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вышел приказ НКАП N 517а/с:</w:t>
      </w:r>
    </w:p>
    <w:p w14:paraId="1130E84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обеспечения выполнения правительственных заданий, возложенных на ГК Ермолаева:</w:t>
      </w:r>
    </w:p>
    <w:p w14:paraId="1C4B313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Опытный самолетный завод ГК Ермолаева переведенное с территории завода 240, впредь именовать завод 134 с подчинение 7 ГУ" (1571,131).</w:t>
      </w:r>
    </w:p>
    <w:p w14:paraId="0BAB49B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37E9A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г. по приказу НКАП № 517с территория «б» завода № 240 преобразована в самостоятельный опытный самолетостроительный ГС завод № 134 при 7ГУ НКАП. Заводу № 134 выделили, кроме того, здание Библиотечного института Наркомата Просвещения (10776).</w:t>
      </w:r>
    </w:p>
    <w:p w14:paraId="0D0C061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523FF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г. по приказу № 517с территория «б» завода № 240 преобразована в самостоятельный опытный самолетостроительный ГС завод № 134 при 7ГУ НКАП. Заводу № 134 выделили, кроме того, здание Библиотечного института Наркомата Просвещения.</w:t>
      </w:r>
    </w:p>
    <w:p w14:paraId="6B6D265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Работы по модернизации Ер-2: модификации с дизелями М-30, М-31, пассажирский Ер-20Н.</w:t>
      </w:r>
    </w:p>
    <w:p w14:paraId="5564031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НКАП № 424с от 5.07.1944 г. большая часть оборудования, корпус «Г» и часть личного состава завода № 89 переданы заводу № 134 НКАП для укрепления его производственной базы.</w:t>
      </w:r>
    </w:p>
    <w:p w14:paraId="78D7410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смерти Ермолаева в 03.1945 г. завод № 134 НКАП был передан со всеми работами как опытная база образованному ОКБ П.О. Сухого, назначенного гл. конструктором самолета Ер-2; сотрудники ОКБ Ермолаева переведены в ОКБ Сухого</w:t>
      </w:r>
      <w:r w:rsidRPr="001E2C69">
        <w:rPr>
          <w:rFonts w:ascii="Times New Roman" w:hAnsi="Times New Roman"/>
          <w:color w:val="000000" w:themeColor="text1"/>
          <w:sz w:val="16"/>
          <w:szCs w:val="16"/>
          <w:vertAlign w:val="superscript"/>
        </w:rPr>
        <w:t>34</w:t>
      </w:r>
      <w:r w:rsidRPr="001E2C69">
        <w:rPr>
          <w:rFonts w:ascii="Times New Roman" w:hAnsi="Times New Roman"/>
          <w:color w:val="000000" w:themeColor="text1"/>
          <w:sz w:val="16"/>
          <w:szCs w:val="16"/>
        </w:rPr>
        <w:t>. В состав завода № 134 7ГУ НКАП с 1.01.1945 г. (приказ 39с от 3.02.1945 г.) влит завод № 289 18ГУ НКАП гл. конструктора П.О. Сухого. Завод № 134 стал базироваться на разрозненных территориях: на основных территориях «а» и «б»- по Ленинградскому ш., 55, размещались КБ, часть производства и склады. Рядом находился корпус «г». В Тушино на территории «д» (площадка бывшего завода № 289), считавшейся филиалом завода № 134, находилось основное и вспомогательное производство, заводоуправление, склады.</w:t>
      </w:r>
    </w:p>
    <w:p w14:paraId="74E681C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филиал завода № 301 передан в распоряжение завода № 156 для расширения работ по Ту-4.</w:t>
      </w:r>
    </w:p>
    <w:p w14:paraId="4A0EBB2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290сс от 13.05.1946 г. часть помещений завода № 134: конструкторский корпус на территории «а» (бывший Дом ветерана Отечественной войны, построенный после 1812 г.) и часть ангара на территории «б», были отведены вновь образованному НИИ-2 (НИИАС).</w:t>
      </w:r>
    </w:p>
    <w:p w14:paraId="322E1EE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393сс от 24.05.1949 г. все помещения на территориях «а» и «б» переданы НИИ-2.</w:t>
      </w:r>
    </w:p>
    <w:p w14:paraId="2E657BE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1946 г. территория в Тушино (площадка бывшего завода № 289), находившаяся в ведении ГУ ИАС ВВС, была передана в подчинение НИИ-88 </w:t>
      </w:r>
      <w:r w:rsidRPr="001E2C69">
        <w:rPr>
          <w:rFonts w:ascii="Times New Roman" w:hAnsi="Times New Roman"/>
          <w:color w:val="000000" w:themeColor="text1"/>
          <w:sz w:val="16"/>
          <w:szCs w:val="16"/>
          <w:lang w:val="en-US"/>
        </w:rPr>
        <w:t>MB</w:t>
      </w:r>
      <w:r w:rsidRPr="001E2C69">
        <w:rPr>
          <w:rFonts w:ascii="Times New Roman" w:hAnsi="Times New Roman"/>
          <w:color w:val="000000" w:themeColor="text1"/>
          <w:sz w:val="16"/>
          <w:szCs w:val="16"/>
        </w:rPr>
        <w:t>.</w:t>
      </w:r>
    </w:p>
    <w:p w14:paraId="064F5F4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1946 г. на завод передано 386 единиц оборудования с завода Юнкерса в  г. Хальберштадт (Германия).</w:t>
      </w:r>
    </w:p>
    <w:p w14:paraId="2E0610A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конце 1949 г. завод № 134 полностью переведен в Тушино. В соответствии с пост. СМ СССР № 5185-1980сс от 14.11.1949 г. и приказом № 914сс от 18.11.1949 г. профиль завода был изменен, ОКБ Сухого закрыто и влито в ОКБ Туполева. Завод № 134 МАП передан как опытная база переведенному с серийного завода № 43 ОКБ-43 гл. конструктора И.И. Торопова, которое переименовано в ОКБ-134 МАП. Завод также стал называтся ЗОВ. По приказу № 621к от 18.11.1949 г. Торопов назначен и.о. директора завода. Уже в 12.1949 г. была выпущена партия установок вооружения конструкции ОКБ-43. По приказу № 171к от 3.03.1950 г. директором завода назначен Н.А. Семенов, а Торопов стал гл. конструктором- ответственным руководителем.</w:t>
      </w:r>
    </w:p>
    <w:p w14:paraId="39B916C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Работы по комплексным системам огневой защиты Ту-16 и Ту-95.</w:t>
      </w:r>
    </w:p>
    <w:p w14:paraId="0CAAC64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283сс/оп от 25.04.1955 г. с 1.04.1955 г. завод передан из 7ГУ в 6ГУ МАП. В 08.1957 г. завод № 134 с летным отрядом - в ведении 2ГУ МАП. В 1967 г. завод получил название МЗ «Вымпел». В 1975-78 г. имел наименование «предприятие-п/я» В-2248, затем- Р-6462.</w:t>
      </w:r>
    </w:p>
    <w:p w14:paraId="0E85554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С 1989 г. - МКБ «Вымпел», с 1991 г. - ГосМКБ «Вымпел». В соответствии с пост. Правительства Москвы № 686 от 27.07.1999 г. ГосМКБ «Вымпел» присвоено имя И.И. Торопова. В 2002 г. называлось ФГУП «ГосМКБ «Вымпел» им. И.И. Торопова». Входило в Корпорацию ТРВ (2004 г.). По Указу Президента РФ № 1009 от 4.08.2004 г. ОАО вошло в число стратегических оборонных предприятий. Входило в состав Корпорации ТРВ (с~2004 г.). Указом Президента РФ в 01.2007 г. исключено </w:t>
      </w:r>
      <w:r w:rsidRPr="001E2C69">
        <w:rPr>
          <w:rFonts w:ascii="Times New Roman" w:hAnsi="Times New Roman"/>
          <w:color w:val="000000" w:themeColor="text1"/>
          <w:sz w:val="16"/>
          <w:szCs w:val="16"/>
        </w:rPr>
        <w:lastRenderedPageBreak/>
        <w:t>из перечня стратегических предприятий.</w:t>
      </w:r>
    </w:p>
    <w:p w14:paraId="2C265E1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1.04.1982 г. тематика УРВВ (К-73) и УРВП (Х-29) переведена из НПО «Молния» в МКБ «Вымпел» вместе с группой конструкторов (300 чел.) во главе с  Г.И. Хохловым.</w:t>
      </w:r>
    </w:p>
    <w:p w14:paraId="56F365A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1985 г. НИР «Клеенка» по разработке Р-27П. В начале 1990-х  г. - НИР «Ельник» по ракете РВВ-АЕ.</w:t>
      </w:r>
    </w:p>
    <w:p w14:paraId="528F895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Головное предприятие по разработке УРВВ, УРВП, ЗУР. К 2005 г. создано более 40 типов ракет, более 200 образцов ПУ и установок вооружения.</w:t>
      </w:r>
    </w:p>
    <w:p w14:paraId="6794A7F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Директор (07.1942-12.1944 г.)- В. Г. Ермолаев, (02.1945-11.1949 г.)- П.О. Сухой; И.О. директора (18.11.1949 г.-)- И.И. Торопов; (3.03.1950 г.-)- Н.А. Семенов, (1953-78 г.)- Ф. Г. Нестеров, (1978-81 г.)-  Г.Н. Мордвинов, (1981-84 г.)- П.А. Андреев, (1984-86 г.)- Л.И. Козловский, (1986 г.-)- </w:t>
      </w:r>
      <w:r w:rsidRPr="001E2C69">
        <w:rPr>
          <w:rFonts w:ascii="Times New Roman" w:hAnsi="Times New Roman"/>
          <w:color w:val="000000" w:themeColor="text1"/>
          <w:sz w:val="16"/>
          <w:szCs w:val="16"/>
          <w:lang w:val="en-US"/>
        </w:rPr>
        <w:t>A</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M</w:t>
      </w:r>
      <w:r w:rsidRPr="001E2C69">
        <w:rPr>
          <w:rFonts w:ascii="Times New Roman" w:hAnsi="Times New Roman"/>
          <w:color w:val="000000" w:themeColor="text1"/>
          <w:sz w:val="16"/>
          <w:szCs w:val="16"/>
        </w:rPr>
        <w:t>. Ильин. Руководитель (1981-2004 г.)-  Г.А. Соколовский. Гендиректор (2005 г.)- В.А. Рац.</w:t>
      </w:r>
    </w:p>
    <w:p w14:paraId="4CFDAFD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Зам. гендиректора: по производству (1999 г.-)- </w:t>
      </w:r>
      <w:r w:rsidRPr="001E2C69">
        <w:rPr>
          <w:rFonts w:ascii="Times New Roman" w:hAnsi="Times New Roman"/>
          <w:color w:val="000000" w:themeColor="text1"/>
          <w:sz w:val="16"/>
          <w:szCs w:val="16"/>
          <w:lang w:val="en-US"/>
        </w:rPr>
        <w:t>A</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M</w:t>
      </w:r>
      <w:r w:rsidRPr="001E2C69">
        <w:rPr>
          <w:rFonts w:ascii="Times New Roman" w:hAnsi="Times New Roman"/>
          <w:color w:val="000000" w:themeColor="text1"/>
          <w:sz w:val="16"/>
          <w:szCs w:val="16"/>
        </w:rPr>
        <w:t>. Ильин; по ВЭД (2002 г.)- В.Н. Сычев.</w:t>
      </w:r>
    </w:p>
    <w:p w14:paraId="3B507D0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 (07.1942-12.1944 г.)- В. Г. Ермолаев {22.08.1909-31.12.1944}; и.о. (01.1945 г.-)- М.В. Орлов; (02.1945-11.1949 г.)- П.О. Сухой. Гл. конструктор/ ответственный руководитель (3.03.1950-12.1961 г.)- И.И. Торопов {25.02.1907-}, (12.1961-81 г.)- А.Л. Ляпин, (1981-92 г.)-  Г.А. Соколовский. Ген. конструктор (1992- 2005 г.-)-  Г.А. Соколовский {10.08.1934-}.</w:t>
      </w:r>
    </w:p>
    <w:p w14:paraId="19D9B49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гл. конструктора (1980-е)- В.А. Пустовойтов.</w:t>
      </w:r>
    </w:p>
    <w:p w14:paraId="4FF2A58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конструкторы: А. Кегелес (Р-73), (1982-11.1986 г.)-  Г.И. Хохлов (УРВП; затем- гл. конструктор ОКБ «Звезда»), (2005 г.)- В. Г. Богацкий, (2005 г.)- В.К. Елецкий.</w:t>
      </w:r>
    </w:p>
    <w:p w14:paraId="2AC60D1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производства (-1961 г.)- А.Л. Ляпин.</w:t>
      </w:r>
    </w:p>
    <w:p w14:paraId="0AF19A7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Ведущие конструкторы: (1949 г.)- Б.С. Абрамович (ПВ-23).</w:t>
      </w:r>
    </w:p>
    <w:p w14:paraId="71BF1F3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Ведущие инженеры: (1944 г.)- Казанли, (1944 г.)- Сверчевский, (1944 г.)- Н.В. Синельников (Ер-20Н), (1946 г.)- Фисун (УТБ-2).</w:t>
      </w:r>
    </w:p>
    <w:p w14:paraId="4C1D815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Летчики-испытатели: (1946 г.)- Фиксон, (1946 г.)- Шиянов.</w:t>
      </w:r>
    </w:p>
    <w:p w14:paraId="22F7799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Создано: система вооружения ПВ-23 «Звезда» ю 10 пушек НР-23 для Ту-4 (1949); кормовая стрелковая установка ДМ-20 для Ту-22 (1958); комплексы бомбардировочного вооружения: для Су-24М (1970), для МиГ- 25БМ (1978) (11982).</w:t>
      </w:r>
    </w:p>
    <w:p w14:paraId="0AFF616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4983D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г. по приказу № 517с В 04-07.1942 г. территория «Б» завода № 240 (Завод № 240 ГВФ, НКАП, МАП, МОП, Завод опытных конструкций (ЗОК) НИИ ГВФ, Московский машиностроительный завод (ММЗ) «Стрела», ММЗ им. С.В. Ильюшина МАП, Авиационный Комплекс (АК) им. С.В. Ильюшина, АООТ, ОАО «АК им. С.В. Ильюшина» («Ил») /г. Москва ул. Красноармейская, 17; Ленинградское ш., 55 А (1947 г.)/ /125190  г. Москва Ленинградский пр., 45Г тел. 943-81-21/) была преобразована в самостоятельный опытный завод № 134 НКАП (11982).</w:t>
      </w:r>
    </w:p>
    <w:p w14:paraId="5952AE0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EA6EB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г. по приказу № 517с за ОКБ Ермолаева окончательно закреплена в качестве опытной базы вся территория «б» завода № 240, которая была выделена в самостоятельный завод № 134 НКАП.</w:t>
      </w:r>
    </w:p>
    <w:p w14:paraId="63A5B00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Руководитель (1930-02.1938 г.)- Р.Л. Бартини (арестован), (02.1938 г.-)- З.Б. Ценципер. Гл. конструктор (1939- 07.1942 г.)- В. Г. Ермолаев {22.08.1909-31.12.1944}.</w:t>
      </w:r>
    </w:p>
    <w:p w14:paraId="665FD98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руководителя (1938 г.)- М.В. Орлов.</w:t>
      </w:r>
    </w:p>
    <w:p w14:paraId="062A1FF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бригад: Н.В. Синелыциков, В.В. Смирнов (11982).</w:t>
      </w:r>
    </w:p>
    <w:p w14:paraId="1917FDA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69A8E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л завода 301 Н.А.Балышев совершил поломку Як-7, т.к. по халатности при работе на малом газу убрал шасси (2108).</w:t>
      </w:r>
    </w:p>
    <w:p w14:paraId="1880C41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EE6B1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произошла катастрофа и был разбит опытный Ла-5 N 372100 с М-82 N 6501355 под управлением л А.А.Третьякова (2130).</w:t>
      </w:r>
    </w:p>
    <w:p w14:paraId="3B8FEE1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AD7E7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г. из-за пожара двигателя опытный ЛаГГ-3 М-82 разбился. Летчик Третьяков погиб. При содействии КБ №№19 и № 289, ЛИИ и ЦИАМ удалось довести винтомоторную группу. Наряду с повышением надежности, важнейшим направлением совершенствования Ла-5 стало снижение веса. Замена электрозапуска мотора на воздушный дала экономию в 20 кг, улучшение качества склейки — еще 20, удаление груза в хвосте —15 кг, затем «подчистили» трубопроводы и проводку управления. В итоге взлетную массу удалось снизить с 3370 кг у опытной машины до 3200 кг в серии (11123).</w:t>
      </w:r>
    </w:p>
    <w:p w14:paraId="69D93EB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Внедрялись прогрессивные техпроцессы, позволявшие увеличить темп выпуска Ла-5. Например, сначала капоты Ла-5 приходилось «выколачивать» вруч</w:t>
      </w:r>
      <w:r w:rsidRPr="001E2C69">
        <w:rPr>
          <w:rFonts w:ascii="Times New Roman" w:hAnsi="Times New Roman"/>
          <w:color w:val="000000" w:themeColor="text1"/>
          <w:sz w:val="16"/>
          <w:szCs w:val="16"/>
        </w:rPr>
        <w:softHyphen/>
        <w:t>ную, но 1 июля 1942 г. были сданы первые штампы, обеспечившие ежесуточный выпуск деталей для 2 са</w:t>
      </w:r>
      <w:r w:rsidRPr="001E2C69">
        <w:rPr>
          <w:rFonts w:ascii="Times New Roman" w:hAnsi="Times New Roman"/>
          <w:color w:val="000000" w:themeColor="text1"/>
          <w:sz w:val="16"/>
          <w:szCs w:val="16"/>
        </w:rPr>
        <w:softHyphen/>
        <w:t>молетов, а к концу месяца организовали новый участок с суточной производительностью 6 комплектов. То же происходило с литьем и горячей штамповкой. По всему планеру шла работа по замене дельта-древесины на обычную. В конечном итоге из «дельты» делали только силовые шпангоуты, лонжероны оперения и обшивку в особо нагруженных зонах. Без потери прочности удалось уменьшить вес самолета и его сто</w:t>
      </w:r>
      <w:r w:rsidRPr="001E2C69">
        <w:rPr>
          <w:rFonts w:ascii="Times New Roman" w:hAnsi="Times New Roman"/>
          <w:color w:val="000000" w:themeColor="text1"/>
          <w:sz w:val="16"/>
          <w:szCs w:val="16"/>
        </w:rPr>
        <w:softHyphen/>
        <w:t>имость (11123).</w:t>
      </w:r>
    </w:p>
    <w:p w14:paraId="4E4902F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гарантировал наработку М-82А до ремонта 100 ч, но реально ресурс был меньше. Из-за ухудше</w:t>
      </w:r>
      <w:r w:rsidRPr="001E2C69">
        <w:rPr>
          <w:rFonts w:ascii="Times New Roman" w:hAnsi="Times New Roman"/>
          <w:color w:val="000000" w:themeColor="text1"/>
          <w:sz w:val="16"/>
          <w:szCs w:val="16"/>
        </w:rPr>
        <w:softHyphen/>
        <w:t>ния подгонки поршневых пар и колец в камерах сгора</w:t>
      </w:r>
      <w:r w:rsidRPr="001E2C69">
        <w:rPr>
          <w:rFonts w:ascii="Times New Roman" w:hAnsi="Times New Roman"/>
          <w:color w:val="000000" w:themeColor="text1"/>
          <w:sz w:val="16"/>
          <w:szCs w:val="16"/>
        </w:rPr>
        <w:softHyphen/>
        <w:t>ния нижних цилиндров скапливалось масло, мотор дымил и закапчивал весь фюзеляж. Но если не все скопившееся масло выбрасывалось через выхлопные патрубки, возникал жесткий удар на такте сжатия и, как следствие, обрыв шатуна или разрушение головки цилиндра. Применяемые на М-82 свечи ВГ-12 выдер</w:t>
      </w:r>
      <w:r w:rsidRPr="001E2C69">
        <w:rPr>
          <w:rFonts w:ascii="Times New Roman" w:hAnsi="Times New Roman"/>
          <w:color w:val="000000" w:themeColor="text1"/>
          <w:sz w:val="16"/>
          <w:szCs w:val="16"/>
        </w:rPr>
        <w:softHyphen/>
        <w:t>живали по 5 ч, и в период интенсивных боев на один Ла-5 требовалось по 14 свечей в день. Проблема кры</w:t>
      </w:r>
      <w:r w:rsidRPr="001E2C69">
        <w:rPr>
          <w:rFonts w:ascii="Times New Roman" w:hAnsi="Times New Roman"/>
          <w:color w:val="000000" w:themeColor="text1"/>
          <w:sz w:val="16"/>
          <w:szCs w:val="16"/>
        </w:rPr>
        <w:softHyphen/>
        <w:t>лась в неудачной форме головок цилиндров: свечи постоянно находились в масле, от которого закапчи</w:t>
      </w:r>
      <w:r w:rsidRPr="001E2C69">
        <w:rPr>
          <w:rFonts w:ascii="Times New Roman" w:hAnsi="Times New Roman"/>
          <w:color w:val="000000" w:themeColor="text1"/>
          <w:sz w:val="16"/>
          <w:szCs w:val="16"/>
        </w:rPr>
        <w:softHyphen/>
        <w:t>вались, а на копоть оседал свинец из этилированного бензина (11123).</w:t>
      </w:r>
    </w:p>
    <w:p w14:paraId="6203DF4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Первоначально Руководство по летной эксплуата</w:t>
      </w:r>
      <w:r w:rsidRPr="001E2C69">
        <w:rPr>
          <w:rFonts w:ascii="Times New Roman" w:hAnsi="Times New Roman"/>
          <w:color w:val="000000" w:themeColor="text1"/>
          <w:sz w:val="16"/>
          <w:szCs w:val="16"/>
        </w:rPr>
        <w:softHyphen/>
        <w:t>ции самолета Ла-5 М-82А разрешало держать взлет</w:t>
      </w:r>
      <w:r w:rsidRPr="001E2C69">
        <w:rPr>
          <w:rFonts w:ascii="Times New Roman" w:hAnsi="Times New Roman"/>
          <w:color w:val="000000" w:themeColor="text1"/>
          <w:sz w:val="16"/>
          <w:szCs w:val="16"/>
        </w:rPr>
        <w:softHyphen/>
        <w:t>ный режим (1700 л.с.) у земли в течение 5 минут. Опытный самолет на таком режиме разгонялся до 600 км/ч, а на номинале (1400 л.с.) только до 515 км/ч. Но если летчик увлекался и не выключал форсаж вов</w:t>
      </w:r>
      <w:r w:rsidRPr="001E2C69">
        <w:rPr>
          <w:rFonts w:ascii="Times New Roman" w:hAnsi="Times New Roman"/>
          <w:color w:val="000000" w:themeColor="text1"/>
          <w:sz w:val="16"/>
          <w:szCs w:val="16"/>
        </w:rPr>
        <w:softHyphen/>
        <w:t>ремя, новый мотор через 10 минут клинило, а срабо</w:t>
      </w:r>
      <w:r w:rsidRPr="001E2C69">
        <w:rPr>
          <w:rFonts w:ascii="Times New Roman" w:hAnsi="Times New Roman"/>
          <w:color w:val="000000" w:themeColor="text1"/>
          <w:sz w:val="16"/>
          <w:szCs w:val="16"/>
        </w:rPr>
        <w:softHyphen/>
        <w:t>танный не вытягивал и разрешенных 5 минут. Строе</w:t>
      </w:r>
      <w:r w:rsidRPr="001E2C69">
        <w:rPr>
          <w:rFonts w:ascii="Times New Roman" w:hAnsi="Times New Roman"/>
          <w:color w:val="000000" w:themeColor="text1"/>
          <w:sz w:val="16"/>
          <w:szCs w:val="16"/>
        </w:rPr>
        <w:softHyphen/>
        <w:t>вые летчики постоянно докладывали, что какой-либо Ла-5 их группы не вернулся из вылета по причине от</w:t>
      </w:r>
      <w:r w:rsidRPr="001E2C69">
        <w:rPr>
          <w:rFonts w:ascii="Times New Roman" w:hAnsi="Times New Roman"/>
          <w:color w:val="000000" w:themeColor="text1"/>
          <w:sz w:val="16"/>
          <w:szCs w:val="16"/>
        </w:rPr>
        <w:softHyphen/>
        <w:t>каза мотора в бою. Проведенные в ЛИИ испытания подтвердили объективность претензий, и использо</w:t>
      </w:r>
      <w:r w:rsidRPr="001E2C69">
        <w:rPr>
          <w:rFonts w:ascii="Times New Roman" w:hAnsi="Times New Roman"/>
          <w:color w:val="000000" w:themeColor="text1"/>
          <w:sz w:val="16"/>
          <w:szCs w:val="16"/>
        </w:rPr>
        <w:softHyphen/>
        <w:t>вать форсаж в бою запретили. Без него скорость у земли упала до 505-510 км/ч, с 600 до 580 км/ч снизи</w:t>
      </w:r>
      <w:r w:rsidRPr="001E2C69">
        <w:rPr>
          <w:rFonts w:ascii="Times New Roman" w:hAnsi="Times New Roman"/>
          <w:color w:val="000000" w:themeColor="text1"/>
          <w:sz w:val="16"/>
          <w:szCs w:val="16"/>
        </w:rPr>
        <w:softHyphen/>
        <w:t>лась скорость на 2-й границе высотности, а время на</w:t>
      </w:r>
      <w:r w:rsidRPr="001E2C69">
        <w:rPr>
          <w:rFonts w:ascii="Times New Roman" w:hAnsi="Times New Roman"/>
          <w:color w:val="000000" w:themeColor="text1"/>
          <w:sz w:val="16"/>
          <w:szCs w:val="16"/>
        </w:rPr>
        <w:softHyphen/>
        <w:t>бора высоты 5000 м выросло с 5,2 мин у опытного са</w:t>
      </w:r>
      <w:r w:rsidRPr="001E2C69">
        <w:rPr>
          <w:rFonts w:ascii="Times New Roman" w:hAnsi="Times New Roman"/>
          <w:color w:val="000000" w:themeColor="text1"/>
          <w:sz w:val="16"/>
          <w:szCs w:val="16"/>
        </w:rPr>
        <w:softHyphen/>
        <w:t>молета до 6,0 (11123).</w:t>
      </w:r>
    </w:p>
    <w:p w14:paraId="499971F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B531E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12 июля 1942 года армия получила только семь ЛаГГов-3 с закрылками. До конца месяца было собрано еще 30 ЛаГГов без закрылков. Все самолеты двух последних производственных серий, собранные в Горьком летом 1942 года, были оснащены двигателями М-105ПФ. Общий выхлопной коллектор у них заменялся тремя сдвоенными патрубками. Снова на самолет поставили дополнительные бензобаки. Вооружение оставалось «облегченным»: пушка ШВАК и пулемет БС. Указом НКАП от 13 июля директор завода № 293 и главный конструктор М.И. Гудков должны были установить на ЛаГГ-3 новую пушку Березина калибра 20 мм, но в конце концов от этих планов отказались. Завод № 21 полностью перешел на выпуск истребителей Ла-5, пустив на эти цели весь запас готовых планеров ЛаГГ-3. Этого запаса хватило почти на полгода (11749).</w:t>
      </w:r>
    </w:p>
    <w:p w14:paraId="2847138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96F8CF" w14:textId="77777777" w:rsidR="00205266" w:rsidRPr="008A2E5A" w:rsidRDefault="00205266" w:rsidP="0020526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12 июля 1942 года армия получила только семь ЛаГГов-3 с закрылками. До конца месяца было собрано еще 30 ЛаГГов без закрылков. Все самолеты двух последних производственных серий, собранные в Горьком летом 1942 года, были оснащены двигателями М-105ПФ. Общий выхлопной коллектор у них заменялся тремя сдвоенными патрубками. Снова на самолет поставили дополнительные бензобаки. Вооружение оставалось «облегченным»: пушка ШВАК и пулемет БС. Указом НКАП от 13 июля директор завода № 293 и главный конструктор М. И. Гудков должны были установить на ЛаГГ-3 новую пушку Березина калибра 20 мм, но в конце концов от этих планов отказались. Завод № 21 полностью перешел на выпуск истребителей Ла-5, пустив на эти цели весь запас готовых планеров ЛаГГ-3. Этого запаса хватило почти на полгода (23548).</w:t>
      </w:r>
    </w:p>
    <w:p w14:paraId="19D3FE3C" w14:textId="77777777" w:rsidR="00205266" w:rsidRPr="008A2E5A" w:rsidRDefault="00205266" w:rsidP="00205266">
      <w:pPr>
        <w:spacing w:after="0" w:line="240" w:lineRule="auto"/>
        <w:jc w:val="both"/>
        <w:rPr>
          <w:rFonts w:ascii="Times New Roman" w:hAnsi="Times New Roman"/>
          <w:color w:val="0070C0"/>
          <w:sz w:val="16"/>
          <w:szCs w:val="16"/>
        </w:rPr>
      </w:pPr>
    </w:p>
    <w:p w14:paraId="74CCFFF6" w14:textId="77777777" w:rsidR="00205266" w:rsidRPr="008A2E5A" w:rsidRDefault="00205266" w:rsidP="0020526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июля 1942 г. горьковским заво</w:t>
      </w:r>
      <w:r w:rsidRPr="008A2E5A">
        <w:rPr>
          <w:rFonts w:ascii="Times New Roman" w:hAnsi="Times New Roman"/>
          <w:color w:val="0070C0"/>
          <w:sz w:val="16"/>
          <w:szCs w:val="16"/>
        </w:rPr>
        <w:softHyphen/>
        <w:t>дом № 21 с предкрылками было сдано семь ЛаГГ-3 и восемь ЛаГ-5. На тот момент больше всего ранние ЛаГ-5 с опытной машиной роднил фюзеляж, как и на 372100-00, изготавливав</w:t>
      </w:r>
      <w:r w:rsidRPr="008A2E5A">
        <w:rPr>
          <w:rFonts w:ascii="Times New Roman" w:hAnsi="Times New Roman"/>
          <w:color w:val="0070C0"/>
          <w:sz w:val="16"/>
          <w:szCs w:val="16"/>
        </w:rPr>
        <w:softHyphen/>
        <w:t>шийся на первых сериях по «обходной» тех</w:t>
      </w:r>
      <w:r w:rsidRPr="008A2E5A">
        <w:rPr>
          <w:rFonts w:ascii="Times New Roman" w:hAnsi="Times New Roman"/>
          <w:color w:val="0070C0"/>
          <w:sz w:val="16"/>
          <w:szCs w:val="16"/>
        </w:rPr>
        <w:softHyphen/>
        <w:t>нологии - с опалубкой. Только на четвертой серии перешли на новый фюзеляж под мотор М-82 - вероятно, задел деталей и узлов по ЛаГГ-3 в основном израсходовали, а также изготовили недостающую оснастку (23587).</w:t>
      </w:r>
    </w:p>
    <w:p w14:paraId="77847B19" w14:textId="77777777" w:rsidR="00205266" w:rsidRPr="008A2E5A" w:rsidRDefault="00205266" w:rsidP="00205266">
      <w:pPr>
        <w:spacing w:after="0" w:line="240" w:lineRule="auto"/>
        <w:jc w:val="both"/>
        <w:rPr>
          <w:rFonts w:ascii="Times New Roman" w:hAnsi="Times New Roman"/>
          <w:color w:val="0070C0"/>
          <w:sz w:val="16"/>
          <w:szCs w:val="16"/>
        </w:rPr>
      </w:pPr>
    </w:p>
    <w:p w14:paraId="49C3E706"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года вышел приказ № 461с НКБ</w:t>
      </w:r>
    </w:p>
    <w:p w14:paraId="7B829CA1"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выполнения срочных спецзаказов НКБ по спецавиабомбам:</w:t>
      </w:r>
    </w:p>
    <w:p w14:paraId="5CBFC951"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Организовать в Москве филиал КБ-35. Филиал временно разместить в ЦИТМе НКБ (5906, 41).</w:t>
      </w:r>
    </w:p>
    <w:p w14:paraId="449B19F1"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3F1383"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Другие оборонные отрасли:</w:t>
      </w:r>
    </w:p>
    <w:p w14:paraId="47DC3DB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EFFBAF"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г.</w:t>
      </w:r>
    </w:p>
    <w:p w14:paraId="2C97560C"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РГАЭ Фонд 8752 Опись 4 Дело 92 лист 97 – 94</w:t>
      </w:r>
    </w:p>
    <w:p w14:paraId="44CCCC4C"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Сов.секретно.</w:t>
      </w:r>
    </w:p>
    <w:p w14:paraId="7FC65373"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 Народного Комиссара танковой промышленности Союза ССР № 515сс</w:t>
      </w:r>
    </w:p>
    <w:p w14:paraId="767C6CCB"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г. Москва</w:t>
      </w:r>
    </w:p>
    <w:p w14:paraId="1E669811"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г.</w:t>
      </w:r>
    </w:p>
    <w:p w14:paraId="60E48271"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 мерах помощи заводу № 112 Наркомтанкопрома.</w:t>
      </w:r>
    </w:p>
    <w:p w14:paraId="396D00B8"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 исполнение постановления ГОКО за № 2003сс от 9.VII-с.г. по обеспечению выпуска танков Т-34 в III квартале с.г. на заводе № 112 ПРИКАЗЫВАЮ:</w:t>
      </w:r>
    </w:p>
    <w:p w14:paraId="25C15A41"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Директору завода № 112 тов. Рубинчику обеспечить поставку необходимого количества металла Горьковскому Автозаводу и заводу фрезерных станков для изготовления штамповок, деталей и узлов в соответствии с постановлением ГОКО, которым обязываются: Наркомсредмаш (тов. Акопов), директор Горьковского Автозавода (тов. Лоскутов), а также Наркомстанкостроения (тов. Ефремов), директор завода фрезерных станов (тов. Рябов) обеспечить безусловное выполнение графика поставки штамповок, деталей и узлов танка Т-34 заводу № 112, согласно постановлению ГОКО от 5 июня с.г. за № 1880сс и создание в течение июля с.г. 10-дневого переходящего задела по штамповкам, деталям и узлам.</w:t>
      </w:r>
    </w:p>
    <w:p w14:paraId="05B02710"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Наркомсредмашу (тов. Акопову) и Наркомстанкостроения (тов. Ефремову) ГОКО предложено лично утвердить до 10 июля с.г. график поставки штамповки, деталей и узлов заводу № 112 Наркомтанкопрома для обеспечения создания 10-дневого переходящего задела.</w:t>
      </w:r>
    </w:p>
    <w:p w14:paraId="51D7542C"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Обязать директора Сталинградского тракторного завода тов. Задорожного отгрузить заводу № 112 траки: в июле 200 комплектов и в августе 100 комплектов, обязав директора завода № 112 тов. Рубинчика обеспечить в июле и августе частичную, а в сентябре полную комплектацию танков траками собственного производства.</w:t>
      </w:r>
    </w:p>
    <w:p w14:paraId="4CC50123"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Начальнику Главснаба тов. Розину и директору завода № 112 тов. Рубинчику безусловно обеспечить реализацию постановления ГОКО, которым обязываются Наркомчермет тов. Тевосян и директора заводов:</w:t>
      </w:r>
    </w:p>
    <w:p w14:paraId="3CC97DCC"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"Красный Октябрь" – тов. Матвеев – выполнить заказы по углеродистому, сортовому, легированному, горячекатаному металлу в полном соответствии с выделенными заводом № 112 нарядами;</w:t>
      </w:r>
    </w:p>
    <w:p w14:paraId="18EBCC09"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Магнитогорского – тов. Носов, Кузнецкого – тов. Белан, Саткинского – тов. Минаев июльские фонды завода № 112 по листовому железу, листовой углеродистой конструкционной стали, чугунам и ферросплавам закончить отгрузкой к 25 июля с.г., отгружая чугуны и ферросплавы маршрутам;</w:t>
      </w:r>
    </w:p>
    <w:p w14:paraId="28FF2F57"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Начальник Главогнеупора тов. Новиков и директора заводов: Боровического – тов. Трофимов, Первоуральского – тов. Кравцов, Саткинского – тов. Коноров, Латникского рудоуправления – тов. Петровский отгружать заводу № 112 огнеупоры в соответствии с его фондами наравне с отгрузкой заводам Наркомчермета.</w:t>
      </w:r>
    </w:p>
    <w:p w14:paraId="60C7EDAD"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Начальнику Главснаба тов. Розину и директору завода № 112 тов. Рубинчику учесть, что вышеуказанным постановлением ГОКО Наркомчермет (тов. Тевосян), Наркомцветмет (тов. Ломако), Наркомлегпром СССР (тов. Лукин), Наркомэлектропром (тов. Кабанов), Наркомсредмаш (тов. Акопов), Наркомуголь (тов. Вахрушев), Главнефтесбыт при СНК СССР (тов. Широков), Главлесосбыт при СНК СССР (тов. Лопухов), Наркомстройматериалов СССР (тов. Соснин) и Наркомстанкостроения (тов. Ефремов) обязаны обеспечить в июле 1942 г. отгрузку заводу № 112 за счет фондов НКТП металлов и изделий по 25 июля в количествах и номенклатуре, согласно приложениям №№ 1, 2, 3, 4, 5, 6, 7 и 8.</w:t>
      </w:r>
    </w:p>
    <w:p w14:paraId="70F5F437"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Директору завода № 112 тов. Рубинчику, начальнику Главснаба тов. Розину безусловно обеспечить реализацию металлов и изделий, поставляемых вышеуказанными наркоматами.</w:t>
      </w:r>
    </w:p>
    <w:p w14:paraId="26A6D12D"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Директору Уралмашзавода тов. Музрукову отгружать заводу № 112 по его спецификации, начиная с июля, ежемесячно по 300 тонн изложниц.</w:t>
      </w:r>
    </w:p>
    <w:p w14:paraId="68B3741A"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Директору завода № 112 тов. Рубинчику учесть, что вышеозначенным постановлением ГОКО Наркомминвооружения (тов. Паршин) обязан обеспечить при всех условиях выполнение постановления ГОКО от 18 января с.г. за № 1174сс в части ежемесячной поставки заводу № 112 НКТП с завода "Двигатель революции" не менее 300 тонн изложниц.</w:t>
      </w:r>
    </w:p>
    <w:p w14:paraId="4779F198"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Вышеозначенным постановлением ГОКО:</w:t>
      </w:r>
    </w:p>
    <w:p w14:paraId="2C36407E"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Наркомэлектростанций (тов. Жимерин) обязан обеспечить подачу электроэнергии заводу № 112 НКТП в соответствии с установленными лимитами, не допуская каких-либо ограничений или отключений этого завода;</w:t>
      </w:r>
    </w:p>
    <w:p w14:paraId="3854E74F"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Наркомхимпром (тов. Первухин) и директор Чернореченского химкомбината (тов. Климахин) обязаны впредь до пуска в эксплоатацию новой кислородной установки, эвакуированной из г. Ленинграда на завод № 112, обеспечить ежесуточную поставку заводу № 112 по 4 танка кислорода жидкого и 200 баллонов кислорода газообразного;</w:t>
      </w:r>
    </w:p>
    <w:p w14:paraId="2C3A8AC1"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Наркомхимпром (тов. Первухин) обязан поставить в III квартале с.г. заводу № 112 карбида кальция 180 тонн и каустика 9 тонн за счет фонда НКТП;</w:t>
      </w:r>
    </w:p>
    <w:p w14:paraId="5CE9EBC6"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Ивановский Облисполком и Ковровская артель стройматериалов обязаны поставить заводу № 112 до конца 1942 года известкового камня в количестве 12 тыс. тонн с карьеров станции Храповекцкая Ковровского района;</w:t>
      </w:r>
    </w:p>
    <w:p w14:paraId="1506E6B8"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 Наркомсредмаш (тов. Акопов) обязан поставить в III кв. 1942 г. заводу № 112 пять грузовых автомобилей ГАЗ-АА за счет резервов СНК СССР и запасных частей к автомобилям ГАЗ и ЗИС на сумму 25 тыс. рублей;</w:t>
      </w:r>
    </w:p>
    <w:p w14:paraId="44CDE7E0"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 НКО (тов. Федоренко) обязан выделить НКТП для завода № 112 15 автомашин из числа трофейных;</w:t>
      </w:r>
    </w:p>
    <w:p w14:paraId="2A455DB5"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ж) Главлесосбыт при СНК СССР обязан выделить в июле 1942 г. заводу № 112 НКТП 25 тыс. кубометров дров и 20 тыс. кубометров круглого леса со станции Сухобезводной в счет фонда НКТП на III квартал с.г.;</w:t>
      </w:r>
    </w:p>
    <w:p w14:paraId="4228C0B8"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 Наркомпищепром СССР (тов. Пронин) обязан выделить заводу № 112 НКТП в июле – августе с.г. дополнительно к его нормам табака 3 тонны и мыла 3 тонны за счет остатков в промышленности.</w:t>
      </w:r>
    </w:p>
    <w:p w14:paraId="30763620"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Начальнику Отдела главного механика и энергетика тов. Белик и начальнику Главснаба тов. Розину обеспечить реализацию постановления ГОКО, возложенного на наркоматы, перечисленные в § 7.</w:t>
      </w:r>
    </w:p>
    <w:p w14:paraId="420736F4"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Директору Московского филиала завода № 37 (тов. Зеликсону) отремонтировать 15 трофейных автомашин для завода № 112, выделенных Наркоматом Обороны.</w:t>
      </w:r>
    </w:p>
    <w:p w14:paraId="29D3F380"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Начальнику Транспортного отдела Наркомата тов. Косолапову, начальнику Главснаба тов. Розину и директору завода № 112 тов. Рубинчику учесть. что означенным постановлением ГОКО НКПС (тов. Хрулев) обязан:</w:t>
      </w:r>
    </w:p>
    <w:p w14:paraId="43314C91"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доставку дизелей заводу № 112 с завода № 76 производить в вагонах с прицепкой к пассажирским поездам от Свердловска до Кирова и от Кирова до Горького количеством 20 – 25 вагонов в месяц;</w:t>
      </w:r>
    </w:p>
    <w:p w14:paraId="55533310"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обеспечить бесперебойную перевозку грузов для завода № 112 до Горьковского Автозавода и до станции Выкса и Муром, а также с этих пунктов в адрес завода № 112.</w:t>
      </w:r>
    </w:p>
    <w:p w14:paraId="73DAC53A"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Начальнику Отдела труда и зарплаты (тов. Промыслову) учесть. что означенным постановлением ГОКО Начальник Главного Управления трудовых резервов при СНК СССР тов. Москатов:</w:t>
      </w:r>
    </w:p>
    <w:p w14:paraId="2ACD28CC"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обязан организовать на заводе № 112 школу ФЗО металлургического производства на 500 человек;</w:t>
      </w:r>
    </w:p>
    <w:p w14:paraId="1BA2F526"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направить на завод № 112 НКТП до 15-го августа с.г. из окончивших ремесленные училища и школы ФЗО 500 человек, из них 150 чел. литейщиков.</w:t>
      </w:r>
    </w:p>
    <w:p w14:paraId="55A380E1"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Директору завода № 112 тов. Рубинчику учесть, что:</w:t>
      </w:r>
    </w:p>
    <w:p w14:paraId="7C941BEA"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ГОКО обязал Наркомсудпром (тов. Носенко) закрепить за заводом № 112 рабочих Морэлектромонтажтреста в количестве 100 чел. для работы в сборочно-сдаточном цехе;</w:t>
      </w:r>
    </w:p>
    <w:p w14:paraId="58FFDA97"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Уполномоченным ГОКО по производству танков Т-34 на заводе № 112 утвержден первый секретарь Горьковского обкома ВКП(б) тов. Родионов.</w:t>
      </w:r>
    </w:p>
    <w:p w14:paraId="6A71B2FC"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Начальникам отделов Наркомата и директору завода № 112 тов. Рубинчику учесть, что контроль за выполнением настоящего постановления ГОКО возложен на Наркомгосконтроля (тов. Попова).</w:t>
      </w:r>
    </w:p>
    <w:p w14:paraId="26EC6F79"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Директору завода № 112 тов. Рубинчику при всех условиях безусловно обеспечить выполнение программы по выпуску машин в III квартале с.г., а также под личную ответственность обеспечить полную реализацию вышеуказанного постановления ГОКО.</w:t>
      </w:r>
    </w:p>
    <w:p w14:paraId="577D4D72"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Контроль за выполнением настоящего приказа возложить на моего заместителя тов. Горегляд А.А.</w:t>
      </w:r>
    </w:p>
    <w:p w14:paraId="7D10FC1B"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Народный Комиссар Танковой промышленности Союза ССР подпись И. ЗАЛЬЦМАН (21218).</w:t>
      </w:r>
    </w:p>
    <w:p w14:paraId="0FA49504" w14:textId="77777777" w:rsidR="00F47790" w:rsidRPr="001E2C69" w:rsidRDefault="00F47790" w:rsidP="00722885">
      <w:pPr>
        <w:spacing w:after="0" w:line="240" w:lineRule="auto"/>
        <w:jc w:val="both"/>
        <w:rPr>
          <w:rFonts w:ascii="Times New Roman" w:hAnsi="Times New Roman"/>
          <w:color w:val="000000" w:themeColor="text1"/>
          <w:sz w:val="16"/>
          <w:szCs w:val="16"/>
        </w:rPr>
      </w:pPr>
    </w:p>
    <w:p w14:paraId="37F58203"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года</w:t>
      </w:r>
    </w:p>
    <w:p w14:paraId="60897279"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РГАЭ Фонд 8752 Опись 4 Дело 92 лист 105 – 101</w:t>
      </w:r>
    </w:p>
    <w:p w14:paraId="13F96D71"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Сов.секретно.</w:t>
      </w:r>
    </w:p>
    <w:p w14:paraId="62E84797"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 НАРОДНОГО КОМИССАРА ТАНКОВОЙ ПРОМЫШЛЕННОСТИ СОЮЗА ССР № 516сс</w:t>
      </w:r>
    </w:p>
    <w:p w14:paraId="040F46E6"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Москва</w:t>
      </w:r>
    </w:p>
    <w:p w14:paraId="591F8D44"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года.</w:t>
      </w:r>
    </w:p>
    <w:p w14:paraId="2A7B4DE2"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 исполнение постановления ГОКО № 2000сс от 7.VII-1942 г. "Об обеспечении ежесуточного выпуска 25 – 27 танков Т-34 с соответствующим количеством запасных частей (ротные ЗИПы и запасные части россыпью) на заводе № 183 начиная с 1.X-1942 года", ПРИКАЗЫВАЮ:</w:t>
      </w:r>
    </w:p>
    <w:p w14:paraId="5767AB52"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I. Директору завода № 183 т. Максареву и начальнику ОКСа т. Корневу обеспечить выдачу Уралмашстрою Наркомстроя необходимой технической документации на строительство новых производственных и вспомогательных помещений на заводе № 183, согласно приложению № 1.</w:t>
      </w:r>
    </w:p>
    <w:p w14:paraId="3F2448EC"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II. Директору завода № 183 т. Максареву:</w:t>
      </w:r>
    </w:p>
    <w:p w14:paraId="6E0E614B"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проработать внутризаводские организационно-технические мероприятия по доведению ежесуточного выпуска 25 – 27 танков и выслать в Наркомат для утверждения не позднее 20.VII-42 г.;</w:t>
      </w:r>
    </w:p>
    <w:p w14:paraId="38B7791A"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2) обеспечить немедленную реализацию получения с Кировского и Ижорского заводов выделенного оборудования, для чего в двухдневный срок передать по "ВЧ" Зам. Народного комиссара т. Петросьянц в г. Ленинград спецификацию на 250 единиц металлорежущего оборудования;</w:t>
      </w:r>
    </w:p>
    <w:p w14:paraId="71ADA1D9"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а) командировать не позднее 15.VII своих представителей на Куломзинский завод Наркомрезинпрома (г. Омск) и завод им. Красина Наркомрезинпрома (г. Кострома) для заключения договоров и отгрузки недостающего оборудования для организации мастерской по обрезинке катков на заводе № 183;</w:t>
      </w:r>
    </w:p>
    <w:p w14:paraId="2D270602"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впредь до организации мастерской по обрезинке катков на заводе № 183 обеспечить подачу Ярославскому шинному заводу ежесуточно по 200 металлических бандажей на оборудовании, полученном с Московского кордо-регенераторного завода. Начальнику Главснаба тов. Розину обеспечить для изготовления металлических бандажей отгрузку заводу № 183 соответствующего количества металла;</w:t>
      </w:r>
    </w:p>
    <w:p w14:paraId="4D1E3E16"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обеспечить изготовление в июле и в августе по 15 штук прессформ и отгрузить таковые во временное пользование Ярославскому шинному заводу с возвратом прессформ заводу № 183 к началу производства обрезинки на заводе № 183.</w:t>
      </w:r>
    </w:p>
    <w:p w14:paraId="1C40B726"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Немедленно командировать на заводы Наркомстанкостроения трех технологов с чертежами и техническими требованиями для заключения договоров на изготовление для завода № 183 станков для обработки балансиров, труб балансиров, бандажей для колес 830×150 и заднего моста корпуса.</w:t>
      </w:r>
    </w:p>
    <w:p w14:paraId="79BEE885"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Заключить с заводом № 95 НКАП договор на поставку заводу № 183 штамповок шестерен бортовой передачи (деталь 16-006) и штамповок кривошипов (деталь 15-027) в количестве по 2200 шт. в месяц.</w:t>
      </w:r>
    </w:p>
    <w:p w14:paraId="2BEB2D9B"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III. Директору филиала завода № 37 тов. Зеликсон получить до 15.VII-с.г. в ГАБТУ КА 40 шт. трофейных машин для ремонта. Отремонтированные машины передать заводу № 183 и УЗТМ по моему указанию.</w:t>
      </w:r>
    </w:p>
    <w:p w14:paraId="78414D60"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IV. Директору Уралмашзавода т. Музрукову изготовить для завода № 183 – 6 штук вальцев для правки брони сроком до 15 августа с.г. по чертежам и техническим условиям завода № 183.</w:t>
      </w:r>
    </w:p>
    <w:p w14:paraId="7C42534F"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V. Директору завода № 183 т. Максареву и начальнику ОКСа НКТП т. Корневу учесть, что вышеуказанное постановление ГОКО обязало:</w:t>
      </w:r>
    </w:p>
    <w:p w14:paraId="1782EC39"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Наркомстрой (т. Гинзбурга) закончить начатое строительство и обеспечить строительство новых производственных и вспомогательных помещений на заводе № 183 в сроки согласно приложению № 1;</w:t>
      </w:r>
    </w:p>
    <w:p w14:paraId="14ACF730"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Промбанк финансировать строительство завода № 183 до конца 1942 года без проектов и смет по единичным расценкам, утвержденным директором завода.</w:t>
      </w:r>
    </w:p>
    <w:p w14:paraId="4A93B3EB"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VI. Директору завода т. Максареву, начальнику Главснаба т. Розину, зам. нач. 1 отдела т. Давтян, зам. нач. 2 отдела тов. Гинзбург и нач. транспортного отдела т. Косолапову учесть и принять к исполнению, что указанным постановлением ГОКО:</w:t>
      </w:r>
    </w:p>
    <w:p w14:paraId="1F6A2327"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Наркомат Станкостроения (т. Ефремов) обязан за счет отодвижки с III квартала на IV квартал изготовления соответствующего количества станков для Барнаульского дизельного завода, по согласованию с Наркомтанкопромом:</w:t>
      </w:r>
    </w:p>
    <w:p w14:paraId="45D34E68"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закончить к 1.IX-с.г. изготовление для завода № 183 на заводах "Станкоконструкция" и им. Ленина специального станка для обработки балансиров, специального станка для обработки труб балансиров, комплекта станков для обработки 600 шт. в сутки металлических бандажей для колес размером 830×150 мм;</w:t>
      </w:r>
    </w:p>
    <w:p w14:paraId="5673D14F"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спроектировать и изготовить к 1.X-с.г. комплект станков для обработки заднего моста корпуса Т-34 после сварки.</w:t>
      </w:r>
    </w:p>
    <w:p w14:paraId="3431A243"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Наркомрезинпром (т. Митрохин) обязан закончить к 20.VII-42 г. на заводе № 183 организацию цеха для обрезинки бандажей катков танка, для чего передать этому цеху следующее недостающее оборудование:</w:t>
      </w:r>
    </w:p>
    <w:p w14:paraId="6F2AA0A8"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агрегат смесительных вальцев из 4 шт.;</w:t>
      </w:r>
    </w:p>
    <w:p w14:paraId="51622F56"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агрегат прессавтоклавов 800 – 1000 тн. – 4 шт.</w:t>
      </w:r>
    </w:p>
    <w:p w14:paraId="3EBEDC12"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каландр 3 – 4 валковый и</w:t>
      </w:r>
    </w:p>
    <w:p w14:paraId="3B0D729C"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прикаточных и обрезных станков – 2 шт.</w:t>
      </w:r>
    </w:p>
    <w:p w14:paraId="0DF29CDF"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пуска в эксплоатацию цеха обрезинки бандажей на заводе № 183, производить для него ежесуточно обрезинку 300 бандажей, для чего Наркомтанкопрому изготовить для Ярославского шинного завода 30 прессформ.</w:t>
      </w:r>
    </w:p>
    <w:p w14:paraId="2F78D474"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Разрешило Наркомтанкопрому вывезти из г. Ленинграда для завода № 183:</w:t>
      </w:r>
    </w:p>
    <w:p w14:paraId="497B3DE2"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с Кировского и Ижорского заводов 3 разливочных крана грузоподъемностью по 30 – 75 тн., завалочную машину, мульдомагнитный кран, 3 разливочных ковша и 250 единиц металлорежущего оборудования по спецификации завода № 183;</w:t>
      </w:r>
    </w:p>
    <w:p w14:paraId="1801D57B"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с автогенного завода Наркомтяжмаша одну 250 кубовую кислородную установку.</w:t>
      </w:r>
    </w:p>
    <w:p w14:paraId="19678303"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Ленинградский Горком ВКП(б) и Военный Совет Ленинградского фронта обязаны оказать Наркомтанкопрому необходимую помощь в вывозе оборудования из г. Ленинграда на линию ж.д. в первоочередном порядке.</w:t>
      </w:r>
    </w:p>
    <w:p w14:paraId="3319CDD3"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Наркомречфлот (т. Шашков) обязан обеспечить перевозку оборудования по Ладожскому озеру, а НКПС т. Хрулев – передать необходимое количество вагонов для перевозки указанного оборудования на завод № 183 Наркомтанкопрома.</w:t>
      </w:r>
    </w:p>
    <w:p w14:paraId="7FF9F948"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Тов. Косыгин обязан проверить выполнение настоящего решения ГОКО.</w:t>
      </w:r>
    </w:p>
    <w:p w14:paraId="33DD32FF"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Наркомат электростанций (т. Жимерин) обязан довести, начиная с августа с.г. на заводе Ивторфмаш производство металлических бандажей для опорных катков для завода № 183 до 500 шт. в сутки.</w:t>
      </w:r>
    </w:p>
    <w:p w14:paraId="47FA3395"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Наркомавиапром (т. Шахурин) обязан производить на заводе № 95 штамповку шестерен для бортовой передачи (дет. 16-006) и кривошипов (дет. 15-027) в количестве по 2200 шт. в месяц.</w:t>
      </w:r>
    </w:p>
    <w:p w14:paraId="6499B7E3"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ГАБТУ КА (т. Федоренко) обязан передать Наркомтанкопрому до 15 июля с.г. 40 трофейных машин.</w:t>
      </w:r>
    </w:p>
    <w:p w14:paraId="78307AB8"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Наркомчермет (т. Тевосян) обязан поставить в III кв. 1942 г. заводу № 183 – 1,8 тыс. тн. шамотного нормального кирпича и 2 тыс. тн. динасового кирпича, засчитав в это количество кирпич, поставленный заводу № 183 для строительства печей, перечисленных в приложении.</w:t>
      </w:r>
    </w:p>
    <w:p w14:paraId="76E0DD53"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НКПС т. Хрулев обязан:</w:t>
      </w:r>
    </w:p>
    <w:p w14:paraId="2B97BC5A"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обеспечить для завода № 183 перевозку литейных песков в III кв. 1942 г. 50 тыс. тн. и в IV кв. 1942 г. 50 тыс. тн. со ст. Формачево Южно-Уральской ж.д. до ст. Вагонзавод ж.д. им. Кагановича;</w:t>
      </w:r>
    </w:p>
    <w:p w14:paraId="7721A4A1"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организовать для завода № 183 – 3 вертушки со ст. Басьяновка, 3 вертушки со ст. Аятки и 3 вертушки со ст. Адуй до ст. Вагонзавод для перевозки торфа;</w:t>
      </w:r>
    </w:p>
    <w:p w14:paraId="60B5AFD2"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организовать для завода № 183 – 7 кольцевых маршрутов для перевозки богословского угля, 7 кольцевых маршрутов для перевозки челябинских углей и одну кольцевую вертушку для перевозки дров со ст. Верхотурье и Карелино до ст. Вагонзавод.</w:t>
      </w:r>
    </w:p>
    <w:p w14:paraId="3526E488"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Разрешить НКПС для организации вертушек для завода № 183 соответственно уменьшить количество вертушек, обслуживающих другие отрасли промышленности.</w:t>
      </w:r>
    </w:p>
    <w:p w14:paraId="3019F5B2"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Главлесосбыт (т. Лопухов) обязан выделить заводу № 183 ежемесячно до конца 1942 г. по 300 вагонов дров до ст. Верхотурье и Карелино ж.д. им. Кагановича.</w:t>
      </w:r>
    </w:p>
    <w:p w14:paraId="6EF381A8"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Наркомчермет (т. Тевосян), Наркомстройматериалов (т. Соснин), Наркомуголь (т. Вахрушева), Главлесосбыт (т. Лопухов), Главнефтесбыт (т. Широков), Наркомцветмет (т. Ломако), Наркомстанкостроения (т. Ефремов), Наркомэлектропром (т. Кабанов), Наркомхимпром (т. Первухин) и НКПС (т. Хрулев) обязаны обеспечивать при всех условиях погрузку и перевозку материалов и изделий заводу № 183 НКТП и Тресту Уралмашстрой Наркомстроя по их фондам.</w:t>
      </w:r>
    </w:p>
    <w:p w14:paraId="0EC1FBA0"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Разрешено Наркомвнешторгу выдать из наличия заводу № 183 Наркомтанкопрома технических алмазов и алмазной крошки на сумму 50.000 руб.</w:t>
      </w:r>
    </w:p>
    <w:p w14:paraId="42DEEAB0" w14:textId="77777777" w:rsidR="00F47790" w:rsidRPr="001E2C69" w:rsidRDefault="00F477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НАРОДНЫЙ КОМИССАР ТАНКОВОЙ ПРОМЫШЛЕННОСТИ СОЮЗА ССР подпись И. ЗАЛЬЦМАН (21219).</w:t>
      </w:r>
    </w:p>
    <w:p w14:paraId="7CDE394D" w14:textId="77777777" w:rsidR="00F47790" w:rsidRPr="001E2C69" w:rsidRDefault="00F47790" w:rsidP="00722885">
      <w:pPr>
        <w:spacing w:after="0" w:line="240" w:lineRule="auto"/>
        <w:jc w:val="both"/>
        <w:rPr>
          <w:rFonts w:ascii="Times New Roman" w:hAnsi="Times New Roman"/>
          <w:color w:val="000000" w:themeColor="text1"/>
          <w:sz w:val="16"/>
          <w:szCs w:val="16"/>
        </w:rPr>
      </w:pPr>
    </w:p>
    <w:p w14:paraId="711D8C33" w14:textId="77777777" w:rsidR="00205266" w:rsidRPr="008A2E5A" w:rsidRDefault="00205266" w:rsidP="0020526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июля 1942 в адрес председателя Артиллерийского комитета ГАУ КА генерал-майора Хохлова пришло письмо из ГАБТУ КА. В нем указывалась нецелесообразность изготовления СГ-122, поскольку трофейных шасси не хватало. Правда, на сей раз "танкистам" провернуть тот же фокус, что и с перевооружением английских танков, не удалось (23368).</w:t>
      </w:r>
    </w:p>
    <w:p w14:paraId="15987CD6" w14:textId="77777777" w:rsidR="00205266" w:rsidRPr="008A2E5A" w:rsidRDefault="00205266" w:rsidP="00205266">
      <w:pPr>
        <w:spacing w:after="0" w:line="240" w:lineRule="auto"/>
        <w:jc w:val="both"/>
        <w:rPr>
          <w:rFonts w:ascii="Times New Roman" w:hAnsi="Times New Roman"/>
          <w:color w:val="0070C0"/>
          <w:sz w:val="16"/>
          <w:szCs w:val="16"/>
        </w:rPr>
      </w:pPr>
    </w:p>
    <w:p w14:paraId="1305941E" w14:textId="77777777" w:rsidR="00205266" w:rsidRPr="008A2E5A" w:rsidRDefault="00205266" w:rsidP="0020526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12 июля 1942 в КЭО ГАЗ им. Молотова разработали модернизированный трак для Т-70, но по факту этого было явно мало. Претензии имелись по ведущим колесам и торсионам. Масса нареканий шла по тепловому режиму (к слову, схему СУ-31 с параллельным расположением моторов выбрали для СУ-12 как раз по причине того, что она меньше грелась). Полноценные работы по модернизации Т-70 начались после того, как пошли первые отзывы из боевых частей. Именно оттуда, например, пришел запрос о двухместной башне (об этом в своём докладе написал командир 1-й гвардейской танковой бригады гвардии полковник Н.Д. Чухин). Из тех же докладов следовало, что броневая защита бортов недостаточная (23363).</w:t>
      </w:r>
    </w:p>
    <w:p w14:paraId="580FFF70" w14:textId="77777777" w:rsidR="00205266" w:rsidRPr="008A2E5A" w:rsidRDefault="00205266" w:rsidP="00205266">
      <w:pPr>
        <w:spacing w:after="0" w:line="240" w:lineRule="auto"/>
        <w:jc w:val="both"/>
        <w:rPr>
          <w:rFonts w:ascii="Times New Roman" w:hAnsi="Times New Roman"/>
          <w:color w:val="0070C0"/>
          <w:sz w:val="16"/>
          <w:szCs w:val="16"/>
        </w:rPr>
      </w:pPr>
    </w:p>
    <w:p w14:paraId="6738670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г. была подготовлена ДОКЛАДНАЯ ЗАПИСКА А.И. МИКОЯНА И.В. СТАЛИНУ О НОВОМ АМЕРИКАНСКОМ ТАНКЕ</w:t>
      </w:r>
    </w:p>
    <w:p w14:paraId="79D45CD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Считаю нужным довести до Вашего сведения, что председатель закупочной комиссии в Вашинг</w:t>
      </w:r>
      <w:r w:rsidRPr="001E2C69">
        <w:rPr>
          <w:rFonts w:ascii="Times New Roman" w:hAnsi="Times New Roman"/>
          <w:color w:val="000000" w:themeColor="text1"/>
          <w:sz w:val="16"/>
          <w:szCs w:val="16"/>
        </w:rPr>
        <w:softHyphen/>
        <w:t>тоне т. Беляев получил возможность у американцев бегло осмотреть новый мощный танк.</w:t>
      </w:r>
    </w:p>
    <w:p w14:paraId="62F9946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осмотру этого танка не были допущены другие работники закупочной комиссии, кроме пред</w:t>
      </w:r>
      <w:r w:rsidRPr="001E2C69">
        <w:rPr>
          <w:rFonts w:ascii="Times New Roman" w:hAnsi="Times New Roman"/>
          <w:color w:val="000000" w:themeColor="text1"/>
          <w:sz w:val="16"/>
          <w:szCs w:val="16"/>
        </w:rPr>
        <w:softHyphen/>
        <w:t>седателя т. Беляева, ввиду того, что, по заявлению американцев, этот танк является совершенно се</w:t>
      </w:r>
      <w:r w:rsidRPr="001E2C69">
        <w:rPr>
          <w:rFonts w:ascii="Times New Roman" w:hAnsi="Times New Roman"/>
          <w:color w:val="000000" w:themeColor="text1"/>
          <w:sz w:val="16"/>
          <w:szCs w:val="16"/>
        </w:rPr>
        <w:softHyphen/>
        <w:t>кретным.</w:t>
      </w:r>
    </w:p>
    <w:p w14:paraId="1BBEB1D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Тов. Беляеву удалось узнать следующие данные о танке:</w:t>
      </w:r>
    </w:p>
    <w:p w14:paraId="7DB98C6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Вес — 62 тонны.</w:t>
      </w:r>
    </w:p>
    <w:p w14:paraId="524D0D1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Мотор двойной — 1200 сил.</w:t>
      </w:r>
    </w:p>
    <w:p w14:paraId="70FBD69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Боковая броня — 75 мм.</w:t>
      </w:r>
    </w:p>
    <w:p w14:paraId="0864314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Лобовая броня — 115 мм.</w:t>
      </w:r>
    </w:p>
    <w:p w14:paraId="06C3432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Вооружение — 4 пушки, из них:</w:t>
      </w:r>
    </w:p>
    <w:p w14:paraId="0BF3877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Одна — 85мм.</w:t>
      </w:r>
    </w:p>
    <w:p w14:paraId="18A0630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Вторая — 75 мм.</w:t>
      </w:r>
    </w:p>
    <w:p w14:paraId="5C02EC7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Две по 37 мм.</w:t>
      </w:r>
    </w:p>
    <w:p w14:paraId="77374A0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Прошу указания, нужно ли сейчас потребовать у американцев поставки нам этих танков или по</w:t>
      </w:r>
      <w:r w:rsidRPr="001E2C69">
        <w:rPr>
          <w:rFonts w:ascii="Times New Roman" w:hAnsi="Times New Roman"/>
          <w:color w:val="000000" w:themeColor="text1"/>
          <w:sz w:val="16"/>
          <w:szCs w:val="16"/>
        </w:rPr>
        <w:softHyphen/>
        <w:t>дождать некоторое время, пока начнется их массовый выпуск.</w:t>
      </w:r>
    </w:p>
    <w:p w14:paraId="1F20E25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А.И. Микоян</w:t>
      </w:r>
    </w:p>
    <w:p w14:paraId="4B97E2C5"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ЦАМО. Ф. 38. Оп. 11355. Д. 647. Л. 250. Копия (11211).</w:t>
      </w:r>
    </w:p>
    <w:p w14:paraId="1CE37E21"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p>
    <w:p w14:paraId="5E6A744E"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года вышел приказ № 462с НКБ</w:t>
      </w:r>
    </w:p>
    <w:p w14:paraId="34FCB6A5"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соответствии с постановлением ГОКО № 1883сс от 6 июня 1942 года и на основании приказа НКВ и НКБ № 304/356сс от 8 июня 1942 года о передаче завода № 367 НКВ в систему НКБ:</w:t>
      </w:r>
    </w:p>
    <w:p w14:paraId="5DF79767"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367 НКВ включить в состав завода № 569 (5906, 43).</w:t>
      </w:r>
    </w:p>
    <w:p w14:paraId="7E7844D9"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F6316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вышло Постановление ГКО № 2013 О прекращении восстановительных работ на участке керосинопровода Екатериновка-Батайск. РГАНИР, Фонд ГКО, д. 43, лл. 133 (11012).</w:t>
      </w:r>
    </w:p>
    <w:p w14:paraId="0DD1AD3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EEA8F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вышло Постановление ГКО № 2014 Об эвакуации оборудования, материалов, а также рабочих, ИТР и служащих завода им. Гаврилова Наркомтяжмаша (Ростовской области). РГАНИР, Фонд ГКО, д. 43, лл. 134 (11012).</w:t>
      </w:r>
    </w:p>
    <w:p w14:paraId="41D4D5F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21FE9D"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вышло Постановление ГКО № 2015 Об эвакуации оборудования, материалов, а также рабочих, ИТР и служащих Мичуринского паровозоремонтного з-да НКПС. (7042, 135).</w:t>
      </w:r>
    </w:p>
    <w:p w14:paraId="3C318D40"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049D4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вышло Постановление ГКО № 2016 Об эвакуации оборудования завода "Красный двигатель" Наркомсредмаша. РГАНИР, Фонд ГКО, д. 43, лл. 136 (11012).</w:t>
      </w:r>
    </w:p>
    <w:p w14:paraId="50127C2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3158A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вышло Постановление ГКО № 2017 Об эвакуации оборудования, рабочих и ИТР Липецкого мотороремонтного завода Наркомзема СССР. РГАНИР, Фонд ГКО, д. 43, лл. 137 (11012).</w:t>
      </w:r>
    </w:p>
    <w:p w14:paraId="3021F36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82907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вышло Постановление ГКО № 2018 Об эвакуации оборудования, а также рабочих, ИТР и служащих Новороссийских предприятий Наркомстройматериалов СССР. РГАНИР, Фонд ГКО, д. 43, лл. 138, 139 (11012).</w:t>
      </w:r>
    </w:p>
    <w:p w14:paraId="28EC7F2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D763F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вышло Постановление ГКО № 2019 Об эвакуации напиловочной стали с Ворошиловградского напиловочного завода Наркомстанкостроения. РГАНИР, Фонд ГКО, д. 43, лл. 140 (11012).</w:t>
      </w:r>
    </w:p>
    <w:p w14:paraId="492308A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0F7CD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вышло Постановление ГКО № 2020 Об эвакуации оборудования предприятий Наркомсвязи из г.Ворошиловграда. РГАНИР, Фонд ГКО, д. 43, лл. 141 (11012).</w:t>
      </w:r>
    </w:p>
    <w:p w14:paraId="4D34B78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712F5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вышло Постановление ГКО № 2022 Об эвакуации и восстановлении производства военной продукции Ворошиловградского завода им. Октябрьской революции Наркомтяжмаша. РГАНИР, Фонд ГКО, д. 43, лл. 143 (11012).</w:t>
      </w:r>
    </w:p>
    <w:p w14:paraId="6333495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919C4C"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Армия:</w:t>
      </w:r>
    </w:p>
    <w:p w14:paraId="0A25D59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7FF4B8"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в 1942 году утреннее сообщение Совинформбюро:</w:t>
      </w:r>
    </w:p>
    <w:p w14:paraId="0FDC2225"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12 июля наши войска вели бои с противником на подступах к Воронежу, в районе Кантемировка и на Лисичанском направлении.</w:t>
      </w:r>
    </w:p>
    <w:p w14:paraId="0B169D1E"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7D9639CC"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подступах к Воронежу наши части ведут упорную борьбу с немецкими войсками. Противник, не считаясь с огромными потерями, подбрасывает всё новые и новые части. На одном участке подразделение противотанковых орудий подбило 11 немецких танков. Наши танкисты на атаки врага отвечают смелыми контрударами. Вчера в течение дня было уничтожено 8 немецких танков, 6 орудий и свыше 300 немецких автоматчиков. На другом участке наша часть отбила три атаки гитлеровцев. В результате этих атак немцы потеряли только убитыми 600 солдат и офицеров.</w:t>
      </w:r>
    </w:p>
    <w:p w14:paraId="07344644"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Кавалерийский эскадрон под командованием старшего лейтенанта тов. Татаринова (Брянский фронт) из противотанковых ружей в течение дня сжёг 6 танков, рассеял и частью уничтожил роту немецкой пехоты. На другом участке танковый взвод лейтенанта Косенко уничтожил 18 противотанковых пушек, 4 средних танка, 6миномётов и 5 автомашин противника. В этом бою немцы потеряли убитыми до 350 солдат и офицеров.</w:t>
      </w:r>
    </w:p>
    <w:p w14:paraId="7B785B9E"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бою за деревню Н. (Западный фронт) гитлеровцы бросили в атаку против нашей пехоты группу танков. Артиллеристы подразделения лейтенанта Матвеенко подпустили противника на близкую дистанцию, а затем открыли огонь и подбили 3 немецких танка. Кроме того, 2 немецких танка были подбиты расчётами противотанковых ружей. Атака противника была сорвана.</w:t>
      </w:r>
    </w:p>
    <w:p w14:paraId="535FB016"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Лётчики-штурмовики тт. Глуховцев и Иванов совершили успешный налёт на скопление танков противника и уничтожили 8 вражеских машин.</w:t>
      </w:r>
    </w:p>
    <w:p w14:paraId="18F32738"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Лётчик тов. Короганцев в течение дня сбил 2 немецких бомбардировщика.</w:t>
      </w:r>
    </w:p>
    <w:p w14:paraId="4334400C"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Расчёт зенитного орудия, которым командует младший сержант Петухов подвергся нападению 7 немецких пикирующих бомбардировщиков. Зенитчики быстро открыли огонь и сбили один самолёт противника.</w:t>
      </w:r>
    </w:p>
    <w:p w14:paraId="4689E8BF"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смоленских партизан под командованием тов. С. совершил налёт на штаб немецкой части. Партизаны ночью незаметно пробрались в село и забросали гранатами дома, где находились гитлеровцы. Не ожидавшие нападения немцы не оказали серьёзного сопротивления. Воспользовавшись паникой, советские патриоты уничтожили свыше 100 оккупантов, в том числе много офицеров. Партизаны этого же отряда разгромили немецкое подразделение, остановившееся на отдых в одной деревне. Окружив деревню, партизаны по сигналу со всех сторон ударили по врагу и уничтожили 80 немецких солдат и офицеров. Партизаны захватили 3 грузовых и одну легковую автомашины, винтовки, несколько пулемётов и боеприпасы.</w:t>
      </w:r>
    </w:p>
    <w:p w14:paraId="33B2BFCE"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Немецкому солдату Максу Летшу пишут из Германии: «В последнем письме мы тебе сообщили, что Вилли, сын Миттага, погиб. В пятницу Миттаг получил извещение о том, что его второй сын умер от ран. Оба они были в Крыму, под Севастополем. Очень многие получили такие же печальные извещения».</w:t>
      </w:r>
    </w:p>
    <w:p w14:paraId="6B750232"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Пробравшаяся в расположение наших войск работница Краматорского завода Александра Петровна Тарасова рассказала: «Гитлеровцы истребляют советских людей. Они расстреляли мастера мартеновского цеха Кудрявцева, работницу Краматорского завода Крамовицкую и многих других. Немецко-фашистские изверги схватили больше 100 женщин, детей и стариков, вывели на окраину города и всех их расстреляли. Купить ничего нельзя, всё продовольствие отбирают, и жители Краматорска умирают от голода».</w:t>
      </w:r>
    </w:p>
    <w:p w14:paraId="02E2397F"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Близ города Тур (Франция) французские патриоты организовали крушение немецкого воинского поезда. Полностью разбиты 30 вагонов с боеприпасами и паровоз. Виновники крушения не обнаружены.</w:t>
      </w:r>
    </w:p>
    <w:p w14:paraId="3BC45E08"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Партизанские отряды в Югославии захватили у немецко-итальянских оккупантов ряд железнодорожных станций. Патриотами уничтожено 39 паровозов и много вагонов. На одной из станций захвачено несколько вагонов с хлебом, отобранным оккупантами у крестьян. Партизаны вернули весь хлеб крестьянам.» (14950).</w:t>
      </w:r>
    </w:p>
    <w:p w14:paraId="775828C7" w14:textId="77777777" w:rsidR="0091110F" w:rsidRPr="001E2C69" w:rsidRDefault="0091110F" w:rsidP="00722885">
      <w:pPr>
        <w:spacing w:after="0" w:line="240" w:lineRule="auto"/>
        <w:jc w:val="both"/>
        <w:rPr>
          <w:rFonts w:ascii="Times New Roman" w:hAnsi="Times New Roman"/>
          <w:color w:val="000000" w:themeColor="text1"/>
          <w:sz w:val="16"/>
          <w:szCs w:val="16"/>
        </w:rPr>
      </w:pPr>
    </w:p>
    <w:p w14:paraId="0C216344"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в 1942 году вечернее сообщение Совинформбюро:</w:t>
      </w:r>
    </w:p>
    <w:p w14:paraId="77E9DCAD"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12 июля наши войска на подступах к Воронежу вели с противником ожесточённые бои.</w:t>
      </w:r>
    </w:p>
    <w:p w14:paraId="61C3C2CB"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 войска оставили Кантемировку и вели бои в районе Богучар.</w:t>
      </w:r>
    </w:p>
    <w:p w14:paraId="2E14DFF5"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командования наши войска отошли от Лисичанска для занятия нового рубежа.</w:t>
      </w:r>
    </w:p>
    <w:p w14:paraId="71E0774B"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4B4D686A"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истекшую неделю, с 5 по 11 июля включительно, в воздушных боях, на аэродромах и огнём зенитной артиллерии уничтожено 583 немецких самолёта. Наши потери за это же время — 225 самолётов.</w:t>
      </w:r>
    </w:p>
    <w:p w14:paraId="73AB8132"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3а 11 июля частями нашей авиации на различных участках фронта уничтожено или повреждено 42 немецких танка и 3 бронемашины, 290 автомашин с войсками игрузами, 8 орудий полевой артиллерии, подавлен огонь 3 зенитных батарей, взорвано два склада с боеприпасами и четыре склада с горючим, рассеяно и частью уничтожено до трёх батальонов пехоты противника.</w:t>
      </w:r>
    </w:p>
    <w:p w14:paraId="15886170"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подступах к Воронежу идут ожесточённые бои. Отдельные рубежи по нескольку раз переходят из рук в руки. На одном из участков противник пытался прорвать нашу оборону у деревни С. Перешедшие в атаку немецкие танки попали на минное поле. На минах подорвались 3 танка противника. Наша артиллерия воспользовалась замешательством и, открыв, огонь, уничтожила ещё 10 немецких танков. В бою под деревней В. разгромлен штаб танкового полка 9 немецкой танковой дивизии. Захвачены важные секретные документы. Наши лётчики в воздушных боях сбили 9 немецких самолётов и уничтожили на земле 55 автомашин, 6 бензоцистерн и 14 танков противника.</w:t>
      </w:r>
    </w:p>
    <w:p w14:paraId="2C0ECC59"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ожесточённых боёв в районе Кантемировки, во время которых противнику нанесены большие потери, наши части отошли на новые рубежи. Бои разгорелись с новой силой. Немцы предприняли несколько атак, в ходе которых было сожжено 15 танков противника. Одна наша часть, непрерывно отбивая атаки гитлеровцев, уничтожила 4 орудия, 12 пулемётов, 7 автомашин и 900 солдат и офицеров противника.</w:t>
      </w:r>
    </w:p>
    <w:p w14:paraId="4EC230D2"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Лисичанском направлении наши войска по приказу командования отошли для занятия нового оборонительного рубежа. В течение дня совместными действиями наших наземных войск и авиации уничтожено несколько десятков немецких танков. В воздушных боях советские лётчики сбили 12 самолётов противника. Кроме того, ими уничтожено более 100 автомашин с военными грузами, 4 орудия и до 700 гитлеровцев.</w:t>
      </w:r>
    </w:p>
    <w:p w14:paraId="0AD7D4DD"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Калининского фронта продолжаются бои с противником, пытавшимся окружить нашу часть. Особенного напряжения они достигли в районе одного населённого пункта, который дважды переходил из рук в руки. Вчера на рассвете наши бойцы под командованием тов. Сазонова овладели этим пунктом. Немцы потеряли только убитыми несколько сот солдат и офицеров.</w:t>
      </w:r>
    </w:p>
    <w:p w14:paraId="150DDD55"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Снайперы части, которой командует тов. Васильев (Северо-Западный фронт), за последние 10 дней вывели из строя свыше 500 гитлеровцев.</w:t>
      </w:r>
    </w:p>
    <w:p w14:paraId="4FF0BE73"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Старший сержант Лагутин в тылу противника встретил группу немецких солдат и перестрелял 10 гитлеровцев. Одного немецкого солдата тов. Лагутин взял в плен и привёл в свою часть.</w:t>
      </w:r>
    </w:p>
    <w:p w14:paraId="61C720EF"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Пять наших бомбардировщиков из подразделения тов. Серебрякова произвели налёт на аэродром противника и уничтожили 8 и повредили 7 немецких истребителей.</w:t>
      </w:r>
    </w:p>
    <w:p w14:paraId="2F4764E4"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Отряды белорусских партизан, действующие в Минской области, пустили под откос 6 железнодорожных эшелонов с войсками и техникой противника. В боях с немецкими захватчиками советские патриоты за прошедший месяц истребили 330 немецких солдат и 77 офицеров.</w:t>
      </w:r>
    </w:p>
    <w:p w14:paraId="60F6402A"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Недавно в городе Харькове гитлеровские мерзавцы вывели 30 тяжело раненных красноармейцев и командиров на Лысую гору и привязали их к столбам. В течение часа немецкие офицеры обучали своих солдат приёмам штыкового боя. Фашистские изверги по очереди кололи привязанных к столбам пленных красноармейцев.» (14950).</w:t>
      </w:r>
    </w:p>
    <w:p w14:paraId="62087415" w14:textId="77777777" w:rsidR="0091110F" w:rsidRPr="001E2C69" w:rsidRDefault="0091110F" w:rsidP="00722885">
      <w:pPr>
        <w:spacing w:after="0" w:line="240" w:lineRule="auto"/>
        <w:jc w:val="both"/>
        <w:rPr>
          <w:rFonts w:ascii="Times New Roman" w:hAnsi="Times New Roman"/>
          <w:color w:val="000000" w:themeColor="text1"/>
          <w:sz w:val="16"/>
          <w:szCs w:val="16"/>
        </w:rPr>
      </w:pPr>
    </w:p>
    <w:p w14:paraId="795A27E3"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в 1942 году Ставка ВГК образовала Сталинградский фронт (5 августа разделен на Сталинградский и Юго-Восточный фронты, 28 сентября Сталинградский фронт переименован в Донской, а Юго-Восточный фронт - в Сталинградский, 1 января 1943 Сталинградский фронт преобразован в Южный). Командующий - Маршал Советского Союза С.К.Тимошенко (июль 1942), генерал-лейтенант В.Н.Гордов (июль-август 1942), генерал-полковник А.И.Еременко (август-декабрь 1942), член Военного Совета - Н.С.Хрущев, начальник штаба - генерал-лейтенант П.И.Бодин (июль 1942), генерал-майор Д.Н.Никишев (июль-сентябрь 1942), генерал-майор Г.Ф.Захаров (сентябрь-октябрь 1942), генерал-майор И.С.Варенников (октябрь-декабрь 1942) (14950).</w:t>
      </w:r>
    </w:p>
    <w:p w14:paraId="12B91CA3" w14:textId="77777777" w:rsidR="0091110F" w:rsidRPr="001E2C69" w:rsidRDefault="0091110F" w:rsidP="00722885">
      <w:pPr>
        <w:spacing w:after="0" w:line="240" w:lineRule="auto"/>
        <w:jc w:val="both"/>
        <w:rPr>
          <w:rFonts w:ascii="Times New Roman" w:hAnsi="Times New Roman"/>
          <w:color w:val="000000" w:themeColor="text1"/>
          <w:sz w:val="16"/>
          <w:szCs w:val="16"/>
        </w:rPr>
      </w:pPr>
    </w:p>
    <w:p w14:paraId="628C65B7" w14:textId="77777777" w:rsidR="0091110F" w:rsidRPr="001E2C69" w:rsidRDefault="009111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в 1942 году западнее Ворошиловграда фронтовой корреспондент М.В.Альперт выполнил один из самых известных фотоснимков Великой Отечественной: командир с пистолетом в поднятой руке поднимает бойцов в атаку. На снимке – младший политрук Алексей Гордеевич Еременко (до войны – председатель колхоза), погибший через несколько минут после выполнения фотографии (14950).</w:t>
      </w:r>
    </w:p>
    <w:p w14:paraId="3F2708C7" w14:textId="77777777" w:rsidR="0091110F" w:rsidRPr="001E2C69" w:rsidRDefault="0091110F" w:rsidP="00722885">
      <w:pPr>
        <w:spacing w:after="0" w:line="240" w:lineRule="auto"/>
        <w:jc w:val="both"/>
        <w:rPr>
          <w:rFonts w:ascii="Times New Roman" w:hAnsi="Times New Roman"/>
          <w:color w:val="000000" w:themeColor="text1"/>
          <w:sz w:val="16"/>
          <w:szCs w:val="16"/>
        </w:rPr>
      </w:pPr>
    </w:p>
    <w:p w14:paraId="5788985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в состав 270-й бад под Сталинград перелетели 275-й и 779-й бап, 15 августа - 140-й бап, через день - 86-й бап, 18 августа - 797-й бап, 30 августа - 284-й бап... Прибывшие части с хода вступали в бой. Так, 284-й бап 2 сентября поднял в воздух шестерку Пе-2 во главе с капитаном П.П. Самсоновым для удара по скоплениям танков и мотопехоты на юго-западной окраине Сталинграда. На следующий день состоялось три групповых и три одиночных вылета. Самолеты подразделений выдержали строй, "яки" их надежно прикрывали, штурманы и стрелки отбили все атаки "мессершмиттов". Задание выполнено, казалось, день завершится успешно, но при заходе на посадку германские "охотники" подожгли три машины.</w:t>
      </w:r>
    </w:p>
    <w:p w14:paraId="2E48A6C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Находившийся в одной из горяших "пешек" комэск капитан Самсонов приказал покинуть бомбардировщик и выпрыгнул сам. Однако у штурмана капитана Г.М. Прасса не раскрылся купол парашюта и он разбился, а начальник связи подразделения мл. лейтенант И.И. Бондаренко погиб в кабине от пулеметных очередей. Беспримерный подвиг совершил Самсонов 9 сентября. Отбивая атаки "мессершмиттов", он был ранен в глаз. С помощью штурмана лейтенанта А.Л. Дюндика летчик энергичными маневрами ушел от преследователей и благополучно приземлился на своем аэродроме, в то время как стрелок старшина Р.С. Хабаров меткими очередями отбивал атаки (12042).</w:t>
      </w:r>
    </w:p>
    <w:p w14:paraId="34331F7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4A3B9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12 июля по 18 ноября 1942 в оборонительный период Сталинградской битвы Ил-2 совершили только 8,6% всех самолето-вылетов (что соста</w:t>
      </w:r>
      <w:r w:rsidRPr="001E2C69">
        <w:rPr>
          <w:rFonts w:ascii="Times New Roman" w:hAnsi="Times New Roman"/>
          <w:color w:val="000000" w:themeColor="text1"/>
          <w:sz w:val="16"/>
          <w:szCs w:val="16"/>
        </w:rPr>
        <w:softHyphen/>
        <w:t>вило 6673 боевых вылетов) (6467).</w:t>
      </w:r>
    </w:p>
    <w:p w14:paraId="42DE091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10B33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немцы в ходе наступления 6-й армии, начавшегося 30 июня, перешли границу Сталинградской области. Создали Сталинградский фронт (340,88) и 15 июля прорвали нашу оборону.</w:t>
      </w:r>
    </w:p>
    <w:p w14:paraId="2AB9283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4ТА начала наступление на Кавказ, но потом ее перенацелили на помощь 6А на Сталинград (340,90).</w:t>
      </w:r>
    </w:p>
    <w:p w14:paraId="1C48A5E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10E27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lang w:val="en-US"/>
        </w:rPr>
        <w:t>July 12th, 1942: The Soviet Stavka (Red Army High Command) establishes a Stalingrad Front under Marshal Timoshenko. On the Leningrad front, troops of Heeresgruppe Nord complete the reduction of the Volchov pocket, taking 30,000 Soviet prisoners, including General Vlasov, CO of the Second Guards Army and later to become C-in-C of the anti-Bolshevik Russian Liberation Army (3819).</w:t>
      </w:r>
    </w:p>
    <w:p w14:paraId="64CD93E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DAFCB2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Ставка организовала Сталинградский Фронт под командованием Тимошенко. На ленинградском фронте части Группы Север завершили уничтожение Волховского котла и взяли в плен 30 тыс. чел., включая г Власова, К 2ГА (3819).</w:t>
      </w:r>
    </w:p>
    <w:p w14:paraId="1C106C0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0D4DD7"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маршал С. Тимошенко назначен командующим обороны Севастополя (4962).</w:t>
      </w:r>
    </w:p>
    <w:p w14:paraId="42701044"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2CCE67"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Жизнь и внутренняя политика:</w:t>
      </w:r>
    </w:p>
    <w:p w14:paraId="31F72D1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8AC0B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вышло Постановление ГКО № 2021 Об эвакуации оборудования Грибановского экстрактового завода. Наркомлегпрома СССР. РГАНИР, Фонд ГКО, д. 43, лл. 142 (11012).</w:t>
      </w:r>
    </w:p>
    <w:p w14:paraId="5010577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F85D8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вышло Постановление ГКО № 2023 Об эвакуации оборудования, а также рабочих Урюпинского консервного завода. Наркоммясомолпрома СССР. РГАНИР, Фонд ГКО, д. 43, лл. 144 (11012).</w:t>
      </w:r>
    </w:p>
    <w:p w14:paraId="5C29C49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678A9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вышло Постановление ГКО № 2024 Об эвакуации оборудования, а также рабочих и инженерно-технических работников Борисоглебского мясоконсервного комбината. РГАНИР, Фонд ГКО, д. 43, лл. 145 (11012).</w:t>
      </w:r>
    </w:p>
    <w:p w14:paraId="243C32A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70C15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вышло Постановление ГКО № 2025 О вывозе на хранение турбогенератора № 5-100 мтвт Сталиногорской ГРЭС и трех гидрогенераторов Волховской ГЭС. РГАНИР, Фонд ГКО, д. 43, лл. 146 (11012).</w:t>
      </w:r>
    </w:p>
    <w:p w14:paraId="64B5B35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AE0C2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вышло Постановление ГКО № 2026 О частичной эвакуации оборудования, сырья, материалов, а также рабочих, ИТР и служащих Невинномысской фабрики первичной обработки шерсти. РГАНИР, Фонд ГКО, д. 43, лл. 147, 148 (11012).</w:t>
      </w:r>
    </w:p>
    <w:p w14:paraId="15156EE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4BED2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вышло Постановление ГКО № 2027 Об эвакуации населения, имущества и инвентаря совхозов и колхозов из Ворошиловградской обл. РГАНИР, Фонд ГКО, д. 43, лл. 149 (11012).</w:t>
      </w:r>
    </w:p>
    <w:p w14:paraId="65D6DB1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9F27F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12 июля 1942 вышло Постановление ГКО № 2028 Об эвакуации оборудования Ефремовского, Лобановского и Плавского спиртозаводов. Hаркомпищепрома СССР. . </w:t>
      </w:r>
      <w:r w:rsidRPr="001E2C69">
        <w:rPr>
          <w:rFonts w:ascii="Times New Roman" w:hAnsi="Times New Roman"/>
          <w:color w:val="000000" w:themeColor="text1"/>
          <w:sz w:val="16"/>
          <w:szCs w:val="16"/>
        </w:rPr>
        <w:lastRenderedPageBreak/>
        <w:t>РГАНИР, Фонд ГКО, д. 43, лл. 150 (11012).</w:t>
      </w:r>
    </w:p>
    <w:p w14:paraId="3ACD142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8C26D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вышло Постановление ГКО № 2029 Об эвакуации излишнего оборудования Елань-Коленовского сахарного завода Воронежской области. РГАНИР, Фонд ГКО, д. 43, лл. 151 (11012).</w:t>
      </w:r>
    </w:p>
    <w:p w14:paraId="63B9EE4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F7D9A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вышло Постановление ГКО № 2030 Об эвакуации племенного скота совхозов Воронежского сахсвеклотреста Наркомпищепрома СССР. РГАНИР, Фонд ГКО, д. 43, лл. 152, 153 (11012).</w:t>
      </w:r>
    </w:p>
    <w:p w14:paraId="3566127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E04D6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вышло Постановление ГКО № 2031 Об эвакуации оборудования, сырья, а также рабочих, ИТР и служащих кожевенного завода и кожсырьевой базы г.Ельца. РГАНИР, Фонд ГКО, д. 43, лл. 154, 155 (11012).</w:t>
      </w:r>
    </w:p>
    <w:p w14:paraId="63065C4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0E22C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вышло Постановление ГКО № 2032 Об эвакуации оборудования, а также рабочих, ИТР и служащих предприятий Наркомстройматериалов Воронежской области. РГАНИР, Фонд ГКО, д. 43, лл. 156, 157 (11012).</w:t>
      </w:r>
    </w:p>
    <w:p w14:paraId="6758D4C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E6CD4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вышло Постановление ГКО № 2033 Об эвакуации предприятий мукомольно-крупяной промышленности Наркомзага Ворошиловградской, Ростовской и Орловской областей. РГАНИР, Фонд ГКО, д. 43, лл. 158, 159 (11012).</w:t>
      </w:r>
    </w:p>
    <w:p w14:paraId="125CE1A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4874A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вышло Постановление ГКО № 2034 Об эвакуации оборудования предприятий Наркомпищепрома и кориандровых семян контор Главпищеароматмасло Воронежской области. РГАНИР, Фонд ГКО, д. 43, лл. 160, 161-162 (11012).</w:t>
      </w:r>
    </w:p>
    <w:p w14:paraId="46AF964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255F23"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За рубежом:</w:t>
      </w:r>
    </w:p>
    <w:p w14:paraId="09BF9BC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C807DF"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июля 1942 в целях экономии металлов для военных нужд правительство США постановило запретить изготовление металлической мебели (4962).</w:t>
      </w:r>
    </w:p>
    <w:p w14:paraId="12E2C30B"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6125FC"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Авиапромышленность:</w:t>
      </w:r>
    </w:p>
    <w:p w14:paraId="49FAF5B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B2082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июля 1942 приказом НКАП директор завода № 293 и главный конструктор М.И. Гудков должны были установить на ЛаГГ-3 новую пушку Березина калибра 20 мм, но в конце концов от этих планов отказались. Завод № 21 полностью перешел на выпуск истребителей Ла-5, пустив на эти цели весь запас готовых планеров ЛаГГ-3. Этого запаса хватило почти на полгода (11749).</w:t>
      </w:r>
    </w:p>
    <w:p w14:paraId="37F0D99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2A22AE" w14:textId="77777777" w:rsidR="00063B12" w:rsidRPr="008A2E5A" w:rsidRDefault="00063B12" w:rsidP="00063B1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июля 1942 г. приказом НКАП директор завода № 293 и главный конструктор М. И. Гудков должны были установить на ЛаГГ-3 новую пушку Березина калибра 20 мм, но в конце концов от этих планов отказались. Завод № 21 полностью перешел на выпуск истребителей Ла-5, пустив на эти цели весь запас готовых планеров ЛаГГ-3. Этого запаса хватило почти на полгода (23548).</w:t>
      </w:r>
    </w:p>
    <w:p w14:paraId="63815403" w14:textId="77777777" w:rsidR="00063B12" w:rsidRPr="008A2E5A" w:rsidRDefault="00063B12" w:rsidP="00063B12">
      <w:pPr>
        <w:spacing w:after="0" w:line="240" w:lineRule="auto"/>
        <w:jc w:val="both"/>
        <w:rPr>
          <w:rFonts w:ascii="Times New Roman" w:hAnsi="Times New Roman"/>
          <w:color w:val="0070C0"/>
          <w:sz w:val="16"/>
          <w:szCs w:val="16"/>
        </w:rPr>
      </w:pPr>
    </w:p>
    <w:p w14:paraId="2DD7C8D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июля 1942 в соответствии с приказом НКАП директору завода № 293 Болховитинову и главному конструктору М.И. Гудкову поручили установку на ЛаГГ-3 новой 20-мм пушки Березина, но из этого ничего не вышло (11983).</w:t>
      </w:r>
    </w:p>
    <w:p w14:paraId="4A401A1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36FE7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июля 1942 г. по приказу НКАП № 444с на базе завода № 500 в Тушино было образовано ОКБ завода № 500. В него вошли КБ гл. конструктора Ф.Я. Тулупова и группа 4-го Спецотдела НКВД при заводе № 16 А.Д. Чаромского. Возглавил ОКБ А.Д. Чаромский. Работы по установке М-30 на Ер-2 и ТБ-7. Работы по дизелю М-20, для чего весь задел по нему переведен с завода № 16. Под руководством Чаромского на базе М-30 созданы АЧ- 30Б, АЧ-30БФ, АЧ-31, АЧ-32.</w:t>
      </w:r>
    </w:p>
    <w:p w14:paraId="10CBED1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заводе действовала также конструкторская группа под руководством В.М. Яковлева (одновременно-гл. конструктора ОКБ-45)- работы по танковым дизелям ТЧ-ЗОС, ТЧ-30Б (1946 г.).</w:t>
      </w:r>
    </w:p>
    <w:p w14:paraId="7A53ACD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414сс от 1.07.1946 г. коллективы Чаромского и Яковлева (ОКБ-45) объединены в единое ОКБ- 500 8ГУ МАП. Гл. конструктором назначен В.М. Яковлев. Чаромский с 1947 г. работает в ЦИАМ.</w:t>
      </w:r>
    </w:p>
    <w:p w14:paraId="771A053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Работы по дизелям АЧ-31, М-51 (М.М. Масленников), М-501 (В.М. Яковлев). В 1946-53г,- работы по воспроизводству немецкого дизеля </w:t>
      </w:r>
      <w:r w:rsidRPr="001E2C69">
        <w:rPr>
          <w:rFonts w:ascii="Times New Roman" w:hAnsi="Times New Roman"/>
          <w:color w:val="000000" w:themeColor="text1"/>
          <w:sz w:val="16"/>
          <w:szCs w:val="16"/>
          <w:lang w:val="en-US"/>
        </w:rPr>
        <w:t>Jumo</w:t>
      </w:r>
      <w:r w:rsidRPr="001E2C69">
        <w:rPr>
          <w:rFonts w:ascii="Times New Roman" w:hAnsi="Times New Roman"/>
          <w:color w:val="000000" w:themeColor="text1"/>
          <w:sz w:val="16"/>
          <w:szCs w:val="16"/>
        </w:rPr>
        <w:t>-224 и разработке на его базе дизеля М-224. Работы по освоению производства ТРД РД-500 (1947-48 г.). Для разработки конструкторской документации по РД-500 были созданы конструкторские бригады.</w:t>
      </w:r>
    </w:p>
    <w:p w14:paraId="3C465AC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соответствии с пост. СМ № 599-302 от 23.02.1953 г. на территории ленинградского завода «Звезда» им. К.Е. Ворошилова было создано ОКБ-800, гл. конструктором которого назначен В.М. Яковлев.</w:t>
      </w:r>
    </w:p>
    <w:p w14:paraId="7214873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156 от 19.04.1957 г. Ленинградский филиал ОКБ-45 на заводе № 466 преобразован в филиал ОКБ-500. В 08.1957 г.- в ведении ЗГУ МАП. Приказом ГКАТ № 210 от 17.06.1958 г. филиал преобразован в самостоятельное ОКБ при заводе № 466.</w:t>
      </w:r>
    </w:p>
    <w:p w14:paraId="189502E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МАП № 175 от 30.04.1966 г. ОКБ-500 переименовано в Тушинское Машиностроительное КБ «Союз». Пост, правительства от 22.04.1996 г. предприятие преобразовано в ГУП «ТМКБ «Союз».</w:t>
      </w:r>
    </w:p>
    <w:p w14:paraId="279E414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Разработка атомных двигателей, доводка и сопровождение в серии Р-11-300, Р-27Ф2М-300, Р-29-300, Р-35, РД-33. Разработаны установки на базе ГТД, выработавших ресурс, для очистки ВПП, тушения пожаров, очистки труб нефтепроводов; малогабаритные автономные энергоустановки. Создано более 40 типов и модификаций ТРД.</w:t>
      </w:r>
    </w:p>
    <w:p w14:paraId="7D3BDC7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 предприятия входит (2002 г.): КБ, ОП, лабораторная база, испытательная станция. Имелись филиалы в  г. Жуковский и в  г. Ахтубинске Астраханской обл.</w:t>
      </w:r>
    </w:p>
    <w:p w14:paraId="7C85DBF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2006 г. ТМКБ «Союз» являлось дочерним предприятием РСК «МиГ».</w:t>
      </w:r>
    </w:p>
    <w:p w14:paraId="3654234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Работы (2002 г.): разработка Р95-300; внедрение мобильной информационно-диагностической системы наземного контроля КСК-88; установка для беспрокруточной внутренней консервации двигателей; разработка привода ГТП 55СТ-20 для энергетики; (2006 г.): разработка двигателя РД-1700.</w:t>
      </w:r>
    </w:p>
    <w:p w14:paraId="54DAAD4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 (13.07.1942-14.05.1946)- А.Д. Чаромский-Броничев, (14.07.1946-09.1953 г.)- В.М. Яковлев, (1957-65 г.)- Н. Г. Мецхваришвили {1911-65}, (1966-82 г.)- К.Р. Хачатуров, (1982-87 г.)- Ю.Е. Швецов, (1987- 2005 г.)- Р.Ю. Нусберг {29.07.1929-},</w:t>
      </w:r>
      <w:r w:rsidRPr="001E2C69">
        <w:rPr>
          <w:rFonts w:ascii="Times New Roman" w:hAnsi="Times New Roman"/>
          <w:color w:val="000000" w:themeColor="text1"/>
          <w:sz w:val="16"/>
          <w:szCs w:val="16"/>
          <w:vertAlign w:val="superscript"/>
        </w:rPr>
        <w:t>49</w:t>
      </w:r>
      <w:r w:rsidRPr="001E2C69">
        <w:rPr>
          <w:rFonts w:ascii="Times New Roman" w:hAnsi="Times New Roman"/>
          <w:color w:val="000000" w:themeColor="text1"/>
          <w:sz w:val="16"/>
          <w:szCs w:val="16"/>
        </w:rPr>
        <w:t xml:space="preserve"> (2005 г.-)- Л.С. Бардычев.</w:t>
      </w:r>
    </w:p>
    <w:p w14:paraId="6435EC4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1-й зам. гл. конструктора (1942-04.1944 г.)- Ф.Я. Тулупов, (04.1944 г.-&gt; И.Е. Скляр, (2002 г.)- А.В. Лобурев. Зам. гл. конструктора: (-04.1944 г.)- И.Е. Скляр; по экспериментальным работам (04.1944 г.-)- Ф.Я. Тулупов; по внедрению АЧ-ЗОБ (04.1944 г.-)- В.М. Яковлев; по эксплуатации (-2000-02 г.-)- В.М. Рузин; (1964-67 г.)- К.Р. Хачатуров, (-2000-02 г.-)- В.И. Винокуров; А.А. Михайловский, С.Р. Саркисов.</w:t>
      </w:r>
    </w:p>
    <w:p w14:paraId="03B76E0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1-й зам. ответственного руководителя- С.Р. Саркисов. И.О. начальника (1942 г.)- Ф.Я. Тулупов; начальник (1957 г.-)- С.Р. Саркисов. Директор (-1967 г.)- С.Р. Саркисов, (-2000-02 г.-&gt; В.И. Винокуров. Гендиректор (2005 г.)- Л.С. Бардычев.</w:t>
      </w:r>
    </w:p>
    <w:p w14:paraId="2F05393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управления по маркетингу и стратегическому планированию (2006 г.)- С.В. Залашков.</w:t>
      </w:r>
    </w:p>
    <w:p w14:paraId="7670ED0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Создано: ТРД:</w:t>
      </w:r>
      <w:r w:rsidRPr="001E2C69">
        <w:rPr>
          <w:rFonts w:ascii="Times New Roman" w:hAnsi="Times New Roman"/>
          <w:color w:val="000000" w:themeColor="text1"/>
          <w:sz w:val="16"/>
          <w:szCs w:val="16"/>
        </w:rPr>
        <w:t xml:space="preserve"> РД-500, Р11Ф-300, Р27Ф2М-300, Р29-300, Р29Б-300, Р29БС-300, Р-35, РД-33, РД-1700; ГТУ55СТ-20 на базе Р29-300; дизель М-501 для ВМФ (1946-48); микро-ЖРД Р210 для КА (1963); мобильная система КСК-88 (11982).</w:t>
      </w:r>
    </w:p>
    <w:p w14:paraId="65426E5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9044BE"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июля в 1942 году создано Тушинское МКБ Союз (Россия) - дочернее предприятие ФГУП РСК МиГ. Занимается разработками в области авиационного двигателестроения (14951).</w:t>
      </w:r>
    </w:p>
    <w:p w14:paraId="79AA02E3" w14:textId="77777777" w:rsidR="00C7637D" w:rsidRPr="001E2C69" w:rsidRDefault="00C7637D" w:rsidP="00722885">
      <w:pPr>
        <w:spacing w:after="0" w:line="240" w:lineRule="auto"/>
        <w:jc w:val="both"/>
        <w:rPr>
          <w:rFonts w:ascii="Times New Roman" w:hAnsi="Times New Roman"/>
          <w:color w:val="000000" w:themeColor="text1"/>
          <w:sz w:val="16"/>
          <w:szCs w:val="16"/>
        </w:rPr>
      </w:pPr>
    </w:p>
    <w:p w14:paraId="0A3DC4D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июля 1942 вышел приказ НКАП N 518сс:</w:t>
      </w:r>
    </w:p>
    <w:p w14:paraId="7EB42D4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обеспечения войсковой серии перехватчиков конструкции Болховитинова:</w:t>
      </w:r>
    </w:p>
    <w:p w14:paraId="61394B0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Директору завода 381 В.И.Журавлеву В.И. изготовить 30 самолетов-перехватчиков, комплекно с двигателями, со следующими сроками выпуска: 20 машин до 1 октября, 10 - до 1 ноября, всемерно форсируя выпуск первых 10 машин (1571,139).</w:t>
      </w:r>
    </w:p>
    <w:p w14:paraId="6E00A77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2511C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июля 1942 так же как и 21 апреля и 5 августа 1942 А.С.Я. направил Зам. Командующему ВВС гл иас А.К.Репину материалы к составлению плана-заказа УВВС по опытному самолетостроени. (1633,211)</w:t>
      </w:r>
    </w:p>
    <w:p w14:paraId="6B27532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AE264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июля 1942 г. Куйбышевским обкомом ВКП(б) и Куйбышевским облисполкомом было принято постановление о закреплении за авиазаводами ремесленных училищ и школ ФЗО с общим числом учеников 10520 человек. Эта мера должна была обеспечить авиазаводы подготовленными рабочими кадрами. Директоров заводов обязали обеспечить учебные заведения необходимым оборудованием, инструментом, материалами, транспортом и общежитиями.</w:t>
      </w:r>
    </w:p>
    <w:p w14:paraId="59FE8E3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Все ремесленные училища и школы ФЗО загружались заказами по изготовлению продукции для авиазаводов. Учебные заведения укомплектовывались прибывающими по эвакуации из прифронтовых областей и г. Ленинграда. В случае, если прибывающих по эвакуации было недостаточно, проводилась мобилизация на недостающее число людей из области (ГАСО. Ф. Р-2558. Оп. 6. Д. 87. Л. 86-87.). Мобилизация рабочих проводилась в течение всей войны. Например, летом и осенью 1943 г. из сельских районов Куйбышевской области для обучения в ремесленных училищах при авиазаводах и работы на заводах НКАП было мобилизовано 750 человек (ГАСО. Ф. Р-2558. Оп. 6. Д. 117. Л. 362; Д. 116. Л. 188-188об.) (11714).</w:t>
      </w:r>
    </w:p>
    <w:p w14:paraId="15A29E7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A5DD7A"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Другие оборонные отрасли:</w:t>
      </w:r>
    </w:p>
    <w:p w14:paraId="682E452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2CF6D7"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июля 1942 г.</w:t>
      </w:r>
    </w:p>
    <w:p w14:paraId="68067D0E"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РГАЭ Фонд 8752 Опись 4 Дело 92 лист 204 – 195</w:t>
      </w:r>
    </w:p>
    <w:p w14:paraId="5BF871F4"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Сов.секретно.</w:t>
      </w:r>
    </w:p>
    <w:p w14:paraId="65387EBF"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 НАРОДНОГО КОМИССАРА ТАНКОВОЙ ПРОМЫШЛЕННОСТИ СОЮЗА ССР № 520сс</w:t>
      </w:r>
    </w:p>
    <w:p w14:paraId="43634ED0"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Москва</w:t>
      </w:r>
    </w:p>
    <w:p w14:paraId="53D34AD7"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июля 1942 г.</w:t>
      </w:r>
    </w:p>
    <w:p w14:paraId="6BEB0CAB"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 плане производства танков, танковых дизелей, бронекорпусов и запасных частей к танкам и дизелям на III кв. 1942 г.</w:t>
      </w:r>
    </w:p>
    <w:p w14:paraId="3351F1E9"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Государственный Комитет Обороны постановлением № 2012сс от 11 июля 1942 г. утвердил на III кв. 1942 г. следующий план производства танков, танковых дизелей и запасных частей к ним:</w:t>
      </w:r>
    </w:p>
    <w:p w14:paraId="69BA3FCC"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 исполнение постановления Государственного Комитета Обороны Союза ССР № 2012сс от 11 июля 1942 г. – ПРИКАЗЫВАЮ:</w:t>
      </w:r>
    </w:p>
    <w:p w14:paraId="292E723E"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Директорам танковых, моторных и корпусных заводов обеспечить выпуск в III квартале 1942 года:</w:t>
      </w:r>
    </w:p>
    <w:p w14:paraId="75E17509"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по Кировскому заводу – директор т. Махонин.</w:t>
      </w:r>
    </w:p>
    <w:p w14:paraId="6553C32B"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по заводу № 183 – директор т. Максарев.</w:t>
      </w:r>
    </w:p>
    <w:p w14:paraId="59732DD9"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по Сталинградскому тракторному заводу – директор т. Задорожный.</w:t>
      </w:r>
    </w:p>
    <w:p w14:paraId="32B2C6E2"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по заводу № 112 – директор т. Рубинчик.</w:t>
      </w:r>
    </w:p>
    <w:p w14:paraId="0F8498E8"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 по заводу № 174 – директор т. Кацнельсон.</w:t>
      </w:r>
    </w:p>
    <w:p w14:paraId="6CEAB6B9"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 по заводу № 37 – директор т. Фрезеров.</w:t>
      </w:r>
    </w:p>
    <w:p w14:paraId="0370CB20"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ж) по заводу № 38 – директор т. Яковлев.</w:t>
      </w:r>
    </w:p>
    <w:p w14:paraId="192D3E1A"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 по заводу № 264 – директор т. Кордунер.</w:t>
      </w:r>
    </w:p>
    <w:p w14:paraId="77B43D1D"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 по Уралмашзаводу – директор т. Музруков.</w:t>
      </w:r>
    </w:p>
    <w:p w14:paraId="58998149"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по заводу № 200 – директор т. Сочивко.</w:t>
      </w:r>
    </w:p>
    <w:p w14:paraId="1401C230"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 по заводу № 76 – директор т. Кочетков.</w:t>
      </w:r>
    </w:p>
    <w:p w14:paraId="228357CC"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 по заводу № 176 – директор т. Федотов.</w:t>
      </w:r>
    </w:p>
    <w:p w14:paraId="23CBF4F8"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 по заводу № 177 – директор т. Волков.</w:t>
      </w:r>
    </w:p>
    <w:p w14:paraId="628188FC"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 по заводу № 180 – директор т. Суворов.</w:t>
      </w:r>
    </w:p>
    <w:p w14:paraId="1E7122E9"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 Обязать директоров заводов: № 255 – т. Мороз, Кировского – т. Махонина, № 183 – т. Максарева изготовить в III квартале и поставить ГАБТУ КА танковое электрооборудование на сумму 1,5 млн. руб. в том числе: заводу № 255 – 1370 тыс. руб., № 183 – 60 тыс. руб. и Кировскому – 70 тыс. руб. по номенклатуре согласно приложений №№ 15, 16 и 17.</w:t>
      </w:r>
    </w:p>
    <w:p w14:paraId="755505AE"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Директорам заводов № 37 т. Фрезерову и № 38 т. Яковлеву и заместителю начальника 1 отдела т. Давтян учесть и принять к исполнению, что указанным постановлением ГОКО Наркомсредмаш (т. Акопов) и Горьковский автозавод (т. Лоскутов) обязаны изготовить и поставить заводам НКТП в III кв. 1942 г. комплектно с электрооборудованием и коробками перемены передач ЗИС-5 в сборе моторы "203" для танков Т-70 в следующих количествах, с поставкой равномерно по пятидневкам:</w:t>
      </w:r>
    </w:p>
    <w:p w14:paraId="59C7D786"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Распределить указанное количество моторов по заводам:</w:t>
      </w:r>
    </w:p>
    <w:p w14:paraId="62A41E7F"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Зам. начальника 1 отдела т. Давтян и директорам заводов: Кировского т. Махонину, № 183 т. Максареву, СТЗ т. Задорожному, № 112 т. Рубинчик, № 174 т. Кацнельсон, № 37 т. Фрезерову и № 38 т. Яковлеву учесть, что указанным постановлением ГОКО ГАУ КА (т. Яковлев) и ГАБТУ КА (т. Федоренко) обязаны поставить равномерно по декадам в III кв. 1942 г. Наркомтанкопрому для комплектации танков следующее количество вооружения и оптики:</w:t>
      </w:r>
    </w:p>
    <w:p w14:paraId="4D32E0C7"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Нарком Вооружения т. Устинов обязан обеспечить изготовление в III кв. 1942 г. указанного количества пушек, пулеметов и оптики.</w:t>
      </w:r>
    </w:p>
    <w:p w14:paraId="33E608B0"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Зам. начальника 1 отдал т. Давтян, Зам. начальника Металлургического отдела т. Середину, Зам. начальника 2 отдела т. Гинзбург, Начальнику ОКСа т. Корневу, Нач. Механико-энергетического отдела тов. Белик, И.о. начальника 3-го Главного Управления т. Хабахпашеву, Начальнику отдела Кадров т. Логинову и директорам заводов: Кировского т. Махонину, № 183 т. Максареву, СТЗ т. Задорожному, № 112 т. Рубинчик, № 174 т. Кацнельсон, № 37 т. Фрезерову, № 38 т. Яковлеву, № 76 т. Кочеткову, № 264 т. Кордунер, УЗТМ т. Музрукову, № 200 т. Сочивко, № 176 т. Федорову, № 177 т. Волкову, № 178 т. Скиба, № 180 т. Суворову, № 255 т. Мороз, № 254 т. Козлову, № 238 т. Галунину, им. КИМ т. Туманян, филиал № 37 т. Зеликсон, № 222 т. Пышкину учесть и принять к исполнению, что указанным Постановлением ГОКО:</w:t>
      </w:r>
    </w:p>
    <w:p w14:paraId="1AE80BFA"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Наркомрезинпром (т. Митрохин) обязан производить обрезинку бандажей катков Т-26 и БТ по заявкам и в сроки, согласованные с заводами НКЭП и НКТП, изготовляющими эти катки. Тов. Давтян в пятидневный срок представить заявку в НКРезинпром;</w:t>
      </w:r>
    </w:p>
    <w:p w14:paraId="53202699"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установлено, что запасные части для ремонтных заводов промышленности поставляются заводом-изготовителем в счет плана производства запчастей в количествах и в сроки, согласно заключенных договоров по фондам выделяемым ГАБТУ КА;</w:t>
      </w:r>
    </w:p>
    <w:p w14:paraId="13759EF1"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сохранена установившаяся в 1942 г. кооперация по поставке Наркомтанкопромом поковок и литья для изготовления танковых запчастей Наркомрыбпрому, НКТяжмашу, НКСтанкостроения и Наркомэлектропрому. Тов. Середину совместно с указанными наркоматами согласовать график поставки заготовок и представить на утверждение не позднее 20 июля с.г. моему заместителю т. Попову;</w:t>
      </w:r>
    </w:p>
    <w:p w14:paraId="225F317C"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установлено, что все танки укомплектовываются заводами-изготовителями ротными комплектами запасных частей, которые отгружаются одновременно с танками из расчета: один ротный комплект на каждые 5 танков КВ и на каждые 10 танков Т034 и Т-70 по номенклатуре, согласованной с ГАБТУ КА. Стоимость ротных комплектов входит в общую сумму по запасным частям;</w:t>
      </w:r>
    </w:p>
    <w:p w14:paraId="38FA22C9"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 завод "Красный Октябрь" освобожден с 12.VII с.г. от производства корпусов Т-60. НКЧермет (т. Тевосян) и завод "Красный Октябрь" (т. Матвеев) в 5-ти дневный срок обязаны передать Наркомтанкопрому оборудование, ранее переданное заводу "Красный Октябрь" для производства корпусов танков Т-60. Директору завода № 264 т. Кордунер принять указанное оборудование от завода "Красный Октябрь";</w:t>
      </w:r>
    </w:p>
    <w:p w14:paraId="6F155075"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 Наркомтяжмаш (т. Казаков) обязан:</w:t>
      </w:r>
    </w:p>
    <w:p w14:paraId="1FBC97BC"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Изготовить на Ворошиловградском и Коломенском заводах 750 литых башен корпуса танка Т-34 для завода № 264 с поставкой равными партиями ежемесячно.</w:t>
      </w:r>
    </w:p>
    <w:p w14:paraId="2115CB42"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Поставить с Коломенского завода (ст. Голутвино) и завода им. Ленина – заводам № 38 и 183 стальное литье катков, кронштейнов, ленивцев для танка Т-70 и кулисы в сборе для танка Т-34 в количествах и в сроки согласно приложения № 18. Директору завода № 183 т. Максареву обеспечить поставку заготовок кулис для танка Т-34 Ижевскому заводу НКТМ в количествах и сроки, обеспечивающие выполнение указанного задания;</w:t>
      </w:r>
    </w:p>
    <w:p w14:paraId="5C237326"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Передать заводу Ивторфмаш Наркомэлектростанций одну стыковую сварочную машину с Сызранского завода (бывший Людиновский завод), ранее использовавшуюся для изготовления грузолент для танков Т-34 (размер 830×150);</w:t>
      </w:r>
    </w:p>
    <w:p w14:paraId="57056048"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ж) НКСС (т. Ефремов) обязан поставить в 3 квартале с.г. равномерно по декадам для завода № 76 с завода "Гидропривод" (т. Луньевка) масляные насосы для дизелей В-2 в количестве 1600 шт., из них: в июле – 500 шт., в августе и сентябре по 550 шт., а также с завода им. Горького в г. Кизеле готовые узлы танка Т-34 для завода № 183 согласно приложения № 19;</w:t>
      </w:r>
    </w:p>
    <w:p w14:paraId="044B7E14"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 Наркомсредмаш (т. Акопов) и Горьковский автозавод (т. Лоскутов) обязаны поставить равномерно по декадам в III квартале 1942 г. для заводов № 37 и № 38 штамповку, литье, детали холодной штамповки и готовые изделия для танков Т-70 в количествах и в сроки согласно приложению № 20;</w:t>
      </w:r>
    </w:p>
    <w:p w14:paraId="5F308986"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 разрешено заводам №№ 37, 38 и ГАЗу выпускать в 3 квартале 1942 г. не радийные танки Т-70 с установкой на них 6 вольтового электрооборудования, предусмотрев соответствующие изменения в ЗИПе;</w:t>
      </w:r>
    </w:p>
    <w:p w14:paraId="6418C5B9"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Наркомэлектростанций (т. Жимерин) обязан поставить в 3 квартале 1942 г. заводу № 183 обработанные грузоленты размером 830×150 для танка Т-34 в количестве 10000 штук, из них: в июле и в августе по 3000 шт. и в сентябре 4000 шт.;</w:t>
      </w:r>
    </w:p>
    <w:p w14:paraId="25664790"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 Наркомвооружения (т. Устинов) обязан поставить Кировскому заводу в 3 квартале 1942 г. с завода № 8 подъемные механизмы пушек ЗИС-5 в количестве 75 шт. (по 25 шт. в месяц);</w:t>
      </w:r>
    </w:p>
    <w:p w14:paraId="5FD434BB"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 поручено Госплану СССР т.т. Кузнецову и Кирпичникову в декадный срок представить в СНК СССР предложения о разгрузке агрегата бандажного стана завода № 178 от заказов, могущих быть изготовленными на заводах соответствующих наркоматов без прокатки на бандажном стане. т. Хабахпашеву обеспечить контроль за выполнением настоящего пункта;</w:t>
      </w:r>
    </w:p>
    <w:p w14:paraId="6AF7C678"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н) директорам заводов: СТЗ (т. Задорожный), Кировского (т. Махонин), Уралмаш (т. Музруков), № 183 (т. Максарев), № 112 (т. Рубинчик), № 178 (т. Скиба), № 177 (т. Волков), № 176 (т. Федотов) и № 200 (т. Сочивко) обязаны при всех условиях обеспечить поставку полуфабрикатов и готовых узлов для танков, танковых дизелей и бронекорпусов заводам № 174, 183, 37, 222, 200, 76, 255, 254, Кировскому, 264 и 38 в количествах и сроки согласно приложению № 21. Т.т. Давтян, Середину и Хабахпашеву взять под особый контроль выполнение заводами поставок по внутринаркоматской кооперации;</w:t>
      </w:r>
    </w:p>
    <w:p w14:paraId="3E85CFF2"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 на Главвоенстрой при СНК СССР (т. Шапиро) возложено ведение строительно-монтажных работ на заводе № 38 в сроки, согласованные с НКТП, с передачей ГУВПС рабочей силы, материалов и транспорта занятых на строительстве завода № 38. Поручено т. Сабурову и т. Малышеву представить на утверждение СНК СССР предложение по обеспечению строительства завода № 38 необходимыми материалами и транспортом. Т.т. Яковлеву и Корневу немедленно согласовать с Главвоенстроем сроки строительно-монтажных работ и обеспечить повседневный контроль за выполнением их строительной организацией, а также подготовить в 5-ти дневный срок предложения по обеспечению завода № 38 строительными материалами и транспортом для представления в СНК СССР т. Сабурову и т. Малышеву;</w:t>
      </w:r>
    </w:p>
    <w:p w14:paraId="2E87558D"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 Наркомтяжмаш (т. Казаков) обязан принять на себя проектирование и монтаж подъемно-транспортных приспособлений внутрицехового транспорта и механизации на заводе № 174 в сроки, согласованные с НКТП. Тов. Кацнельсон, т. Гинзбург и т. Корневу в 10-ти дневный срок согласовать с НКТМ спецификацию оборудования, подлежащего проектированию и монтажу на заводе № 174 и обеспечить повседневный контроль за ходом выполнения настоящего пункта.</w:t>
      </w:r>
    </w:p>
    <w:p w14:paraId="18E9C583"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 установлен лимит электроэнергии в III квартале 1942 г. для заводов НКТП, питающихся в системе Уралэнерго в количестве: в июле – 95000 квт., в августе – 100000 квт. и в сентябре – 103000 квт. Запрещено Наркомэлектростанций (т. Жимерину) производить какие-либо ограничения или частичные отключения заводов НКТП. Тов. Белик в суточный срок представить мне на утверждение распределение выделенной электроэнергии по заводам, питающихся от системы Уралэнерго;</w:t>
      </w:r>
    </w:p>
    <w:p w14:paraId="5B4AEA69"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постановлением ГОКО отмечено совершенно неудовлетворительное электроснабжение завода № 174 и недопустимая медлительность с расширением ТЭЦ № 2 в г. Омске, ставящая под угрозу нормальную работу завода № 174 и обязал Наркомэлектростанций (т. Жимерина) обеспечить бесперебойную подачу электроэнергии заводу № 174 в III кв. с.г. в соответствии с развертыванием работы завода и форсировать работы по расширению ТЭЦ № 2 с установкой одного туброгенератора 25000 квт. и двух котлов со сроками окончания 25 октября 1942 г. Т. Кацнельсон, т. Белик и т. Корневу обеспечить реализацию указанного пункта постановления ГОКО;</w:t>
      </w:r>
    </w:p>
    <w:p w14:paraId="640FA458"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 запрещена мобилизация автотранспорта, шоферов и технического персонала автобаз и контор Главснаба НКТП;</w:t>
      </w:r>
    </w:p>
    <w:p w14:paraId="4720BAE1"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 сохранено на III кв. 1942 г. для заводов НКТП количество вторых горячих обедов 53000 в день, разрешенных на май и июнь месяцы. Моему заместителю т. Мосину распределить указанное количество вторых обедов по заводам;</w:t>
      </w:r>
    </w:p>
    <w:p w14:paraId="4DAE2DB1"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 установлено для ОРСов заводов НКТП на III кв. 42 г. сумма капитальных затрат на ремонт столовых, магазинов, строительство овощехранилищ и др. 5 миллионов рублей. Промбанк обязан предусмотреть указанную сумму в плане финансирования по III кв. 1942 г. Моему заместителю тов. Мосину распределить отпущенные средства по ОРСам заводов;</w:t>
      </w:r>
    </w:p>
    <w:p w14:paraId="2E1BC4FB"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 разрешено Наркомтанкопрому распределить кредиты сельхозбанка, отпущенные по постановлению СНК СССР за № 623 от 4 мая 1942 г. на организацию подсобных хозяйств по отдельным предприятиям в пределах выделенного фонда. Моему заместителю тов. Мосину распределить отпущенные кредиты по заводам;</w:t>
      </w:r>
    </w:p>
    <w:p w14:paraId="7A609750"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 Наркомчермет, Наркомцветмет, Наркомуголь, Наркомэлектропром, НКСтройматериалов, Наркомсредмаш, Наркомрезинпром, НКХимпром, НКВооружения, НКСтанкостроения, НКМинвооружения, НКТяжмаш, НКПищепром, НКЛегпром, Нарккомместпром РСФСР, Наркомлес, Главлесосбыт, Главнефтесбыт, НКЭлектростанций, Наркомсудпром, Наркомавиапром, НКБоеприпасов обязаны ежемесячно к 20-му числу каждого месяца представлять в НКПС планы отгрузок и перевозок материалов и изделий танковым, дизельным и корпусным заводам. Начальнику транспортного отдела т. Косолапову и Начальнику Главснаба т. Розину обеспечить контроль за выполнением настоящего пункта;</w:t>
      </w:r>
    </w:p>
    <w:p w14:paraId="6699D8DD"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ш) председатели Обл(край)исполкомов: Челябинского т. Белобородов, Горьковского т. Третьяков, Свердловского т. Недосекин, Сталинградского т. Зименков, Кировского т. Иволгин, Омского т. Евстигнеев, Алтайского т. Смердов, Кустанайского т. Керимбаев и председатель СНК Казахской ССР т. Ундысынов обязаны оказывать директорам танковых заводов и начальникам строительств танковых заводов всемерную помощь и обеспечивать заводы и строительства танковых заводов местными строительными материалами в первоочередном порядке;</w:t>
      </w:r>
    </w:p>
    <w:p w14:paraId="3721796B"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щ) секретари Обкомов и Горкомов ВКП(б) обязаны взять под личный контроль выполнение заказов для танковых заводов на заводах их области и города и обеспечить первоочередное, наряду с заказами для авиации, выполнение поставок Наркомтанкопрому;</w:t>
      </w:r>
    </w:p>
    <w:p w14:paraId="1A3BBD43"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э) предложено Обкомам и Горкомам ВКП(б): Челябинского, Свердловского, Сталинградского, Горьковского, Омского и Кировского считать важнейшей работы в III квартале 1942 г. обеспечение выполнения плана выпуска танков Т-34, Т-70, КВ, дизелей к ним, запасных частей и первые секретари обкомов ВКП(б): Челябинского т. Патоличев, Свердловского т. Андриянов, Сталинградского т. Чуянов, Горьковского т. Родионов, Омского т. Кудинов, Кировского т. Лукьянов и Алтайского Крайкома ВКП(б) т. Лобков обязаны оказывать директорам танковых, дизельных и корпусных заводов всемерную помощь по выполнению плана;</w:t>
      </w:r>
    </w:p>
    <w:p w14:paraId="00D88072"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 прокурор Союза ССР т. Бочков обязан привлекать к судебной ответственности лиц, срывающих поставки материалов и изделий танковым, дизельным и корпусным заводам Наркомтанкопрома.</w:t>
      </w:r>
    </w:p>
    <w:p w14:paraId="0CC4455F"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НАРОДНЫЙ КОМИССАР ТАНКОВОЙ ПРОМЫШЛЕННОСТИ СОЮЗА ССР подпись (И. ЗАЛЬЦМАН) (21220).</w:t>
      </w:r>
    </w:p>
    <w:p w14:paraId="60A60A94" w14:textId="77777777" w:rsidR="006913BD" w:rsidRPr="001E2C69" w:rsidRDefault="006913BD" w:rsidP="00722885">
      <w:pPr>
        <w:spacing w:after="0" w:line="240" w:lineRule="auto"/>
        <w:jc w:val="both"/>
        <w:rPr>
          <w:rFonts w:ascii="Times New Roman" w:hAnsi="Times New Roman"/>
          <w:color w:val="000000" w:themeColor="text1"/>
          <w:sz w:val="16"/>
          <w:szCs w:val="16"/>
        </w:rPr>
      </w:pPr>
    </w:p>
    <w:p w14:paraId="5CF0B687"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июля 1942 г.</w:t>
      </w:r>
    </w:p>
    <w:p w14:paraId="19974AA3"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РГАЭ Фонд 8752 Опись 1 Дело 12 лист 240 с об.</w:t>
      </w:r>
    </w:p>
    <w:p w14:paraId="5C1710C7"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служебного пользования.</w:t>
      </w:r>
    </w:p>
    <w:p w14:paraId="7BEB79A8"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 НАРОДНОГО КОМИССАРИАТА ТАНКОВОЙ ПРОМЫШЛЕННОСТИ СОЮЗА ССР № ААГ/357</w:t>
      </w:r>
    </w:p>
    <w:p w14:paraId="13A71A4B"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гор. Сталинград</w:t>
      </w:r>
    </w:p>
    <w:p w14:paraId="0CA87741"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июля 1942 г.</w:t>
      </w:r>
    </w:p>
    <w:p w14:paraId="35F3C172"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Задание Правительства и Наркомата Танковой Промышленности по освоению производства топливной аппаратуры для танковых дизелей Сталинградским тракторным заводом выполнено. В июне с.г. цех № 600 освоил производство сложной аппаратуры, набрал темпы, обеспечивающие полное выполнение июльской программы.</w:t>
      </w:r>
    </w:p>
    <w:p w14:paraId="6350FB2B"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ПРИКАЗЫВАЮ:</w:t>
      </w:r>
    </w:p>
    <w:p w14:paraId="34C088C6"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За успешное освоение производства топливной аппаратуры ОБЪЯВЛЯЮ БЛАГОДАРНОСТЬ всему коллективу рабочих, ИТР и служащих цеха № 600 Сталинградского тракторного завода.</w:t>
      </w:r>
    </w:p>
    <w:p w14:paraId="594BD9D6"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Награждаю значком "ОТЛИЧНИК СОЦСОРЕВНОВАНИЯ НАРКОМТАНКОПРОМА" следующих товарищей, отличившихся по организации производства и освоению выпуска топливной аппаратуры:</w:t>
      </w:r>
    </w:p>
    <w:p w14:paraId="4DF0D2A3"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ВИНОГРАДОВА С.А. – ст. мастера цеха № 600</w:t>
      </w:r>
    </w:p>
    <w:p w14:paraId="2ACDA6A3"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ЖАНКОВА М.Д. – ст. мастера цеха № 600</w:t>
      </w:r>
    </w:p>
    <w:p w14:paraId="2E7E7283"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ВАРЕНОВА П.Н. – ст. мастера цеха № 600</w:t>
      </w:r>
    </w:p>
    <w:p w14:paraId="43FBE761"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СИВЯКОВА И.А. – ст. мастера цеха № 600</w:t>
      </w:r>
    </w:p>
    <w:p w14:paraId="31E83B46"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СУПЕРФИНА М.З. – ст. нач. производства цеха № 600</w:t>
      </w:r>
    </w:p>
    <w:p w14:paraId="3536A766"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КРУГЛЯК И.Н. – ст. контрольного мастера цеха № 600</w:t>
      </w:r>
    </w:p>
    <w:p w14:paraId="0CC0CC06"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КОЛОТОВСКОГО – шлифовальщика цеха № 600</w:t>
      </w:r>
    </w:p>
    <w:p w14:paraId="5B5FBF18"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БУРХОНОВА З.Ф. – сверловщика цеха № 600</w:t>
      </w:r>
    </w:p>
    <w:p w14:paraId="0332EF69"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ЕРХОВА Н.И. – ст. мастера цеха № 600</w:t>
      </w:r>
    </w:p>
    <w:p w14:paraId="54175401"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КИРПИЧЕВА Н.И. – слесаря цеха № 600</w:t>
      </w:r>
    </w:p>
    <w:p w14:paraId="1DFE816F"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[нечитаемо]</w:t>
      </w:r>
    </w:p>
    <w:p w14:paraId="47B84C5A"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МАГУТИНА Е.И. – токаря цеха № 600</w:t>
      </w:r>
    </w:p>
    <w:p w14:paraId="0455E80C"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ПОЛТАВЕЦ И.И. – слесаря сборщика цеха № 600</w:t>
      </w:r>
    </w:p>
    <w:p w14:paraId="6EB3D58B"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РАШУПКИНА И.К. – регулировщика цеха № 600</w:t>
      </w:r>
    </w:p>
    <w:p w14:paraId="041436C0"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ЗУЙКОВУ С.П. – доводчицу цеха № 600</w:t>
      </w:r>
    </w:p>
    <w:p w14:paraId="168523F7"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МАРТЕНИНУ В.Ф. – доводчицу цеха № 600</w:t>
      </w:r>
    </w:p>
    <w:p w14:paraId="0CC187C3"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МИРМОВИЧА Г.М. – гл. технолога завода</w:t>
      </w:r>
    </w:p>
    <w:p w14:paraId="7781ECD3"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ВОЛЬДЕМАР М.Ф. – рук. конструкторской группы ОГТ</w:t>
      </w:r>
    </w:p>
    <w:p w14:paraId="4E674234"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ВЕРХОГЛЯДОВА М.П. – конструктора ОГТ</w:t>
      </w:r>
    </w:p>
    <w:p w14:paraId="6A639FED"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АЛЕКСЕЕВА И.В. – рук. конструкторской группы ОГТ</w:t>
      </w:r>
    </w:p>
    <w:p w14:paraId="0AFB3B8A"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КАСАТКИНА П.Н. – зав. производства инструментального цеха</w:t>
      </w:r>
    </w:p>
    <w:p w14:paraId="6327DAF2"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КУЛЫГАНОВА М. – слесаря сборщика инструментального цеха</w:t>
      </w:r>
    </w:p>
    <w:p w14:paraId="0B077080"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КУЛЬКОВА – мастера инструментального цеха</w:t>
      </w:r>
    </w:p>
    <w:p w14:paraId="37739845"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ШИЯНОВА В.В. – ст. мастера цеха № 100</w:t>
      </w:r>
    </w:p>
    <w:p w14:paraId="68A56AA0"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ПАХОМОВА А.Н. – ст. мастера цеха № 100</w:t>
      </w:r>
    </w:p>
    <w:p w14:paraId="2CF87AFB"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3. За обеспечение организации и технического руководства по выпуску топливной аппаратуры премирую начальника отдела № 2 т. ПОДДУБНОГО – 1600 руб., начальника цеха № 600 тов. ОКУНЬ А.М. – 1500 руб., зам. начальника цеха № 600 тов. ЯГУДИНА М.Л. и пом. начальника цеха № 600 то. ПОПОВА П. – 1200 руб. каждого.</w:t>
      </w:r>
    </w:p>
    <w:p w14:paraId="5392B684"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За оказание технической помощи в деле освоения цехом № 600 изготовления топливной аппаратуры премирую тов. ВИНОГРАДОВА С. – ст. мастера цеха № 600, прибывшего с Кировского завода НКТП – 2000 руб. и костюмом.</w:t>
      </w:r>
    </w:p>
    <w:p w14:paraId="3E70BCCC"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Для премирования рабочих, ИТР и служащих цехов и отделов СТЗ, успешно выполнивших задание по организации производства и освоению выпуска топливной аппаратуры:</w:t>
      </w:r>
    </w:p>
    <w:p w14:paraId="0607A598"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Начальнику Финансового отдела НКТП тов. ШАГАЛОВУ выделить в распоряжение директора СТЗ тов. ЗАДОРОЖНОГО 50.000 рублей.</w:t>
      </w:r>
    </w:p>
    <w:p w14:paraId="6E6876A2"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Начальнику Главснаба НКТП тов. РОЗИНУ выдать директору СТЗ тов. ЗАДОРОЖНОМУ:</w:t>
      </w:r>
    </w:p>
    <w:p w14:paraId="389C0A75"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мужских костюмов – 5 шт.</w:t>
      </w:r>
    </w:p>
    <w:p w14:paraId="5549E9AB"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ботинок хромовых – 5 пар</w:t>
      </w:r>
    </w:p>
    <w:p w14:paraId="0F9623AF"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отрезов на мужские костюмы – 5 шт.</w:t>
      </w:r>
    </w:p>
    <w:p w14:paraId="0DE3ACE5"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отрезов на дамские платья – 5 шт.</w:t>
      </w:r>
    </w:p>
    <w:p w14:paraId="726C8922"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часов карманных – 5 шт.</w:t>
      </w:r>
    </w:p>
    <w:p w14:paraId="48D5C32E"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Для обеспечения выполнения графика по выпуску топливной аппаратуры на СТЗ, директору завода тов. ЗАДОРОЖНОМУ и главному инженеру тов. ДЕМЬЯНОВИЧУ обеспечить первоочередную поставку цеху № 600 заготовок, а также всех деталей по внутризаводской межцеховой кооперации, инструмента, приспособлений и недостающей оснастки.</w:t>
      </w:r>
    </w:p>
    <w:p w14:paraId="4BAD8FDB"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Начальнику Главснаба тов. РОЗИНУ и зам. директора тов. ТКАЧЕВУ обеспечить преимущественную перед другими заводами поставку СТЗ для топливной аппаратуры необходимых материалов, инструмента, абразивов и вспомогательных материалов.</w:t>
      </w:r>
    </w:p>
    <w:p w14:paraId="5C749DB9" w14:textId="77777777" w:rsidR="006913BD" w:rsidRPr="001E2C69" w:rsidRDefault="006913B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ЗАМЕСТИТЕЛЬ НАРОДНОГО КОМИССАРА ТАНКОВОЙ ПРОМЫШЛЕННОСТИ СССР подпись (А. ГОРЕГЛЯД) (21221).</w:t>
      </w:r>
    </w:p>
    <w:p w14:paraId="00D3A1E5" w14:textId="77777777" w:rsidR="006913BD" w:rsidRPr="001E2C69" w:rsidRDefault="006913BD" w:rsidP="00722885">
      <w:pPr>
        <w:spacing w:after="0" w:line="240" w:lineRule="auto"/>
        <w:jc w:val="both"/>
        <w:rPr>
          <w:rFonts w:ascii="Times New Roman" w:hAnsi="Times New Roman"/>
          <w:color w:val="000000" w:themeColor="text1"/>
          <w:sz w:val="16"/>
          <w:szCs w:val="16"/>
        </w:rPr>
      </w:pPr>
    </w:p>
    <w:p w14:paraId="5220772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июля 1942 г. был подготовлен ДОКЛАД НАЧАЛЬНИКА АТУ ГАБТУ КА ДЛЯ СЕКРЕТАРИАТА СНК СССР О СОСТОЯНИИ ТРАКТОРНОГО ПАРКА КРАСНОЙ АРМИИ</w:t>
      </w:r>
    </w:p>
    <w:p w14:paraId="42873E8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время войны состав тракторного парка Красной Армии значительно сократился.</w:t>
      </w:r>
    </w:p>
    <w:p w14:paraId="5975849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Условия осеннего, зимнего и весеннего бездорожья вызвали необходимость усиленной эксплу</w:t>
      </w:r>
      <w:r w:rsidRPr="001E2C69">
        <w:rPr>
          <w:rFonts w:ascii="Times New Roman" w:hAnsi="Times New Roman"/>
          <w:color w:val="000000" w:themeColor="text1"/>
          <w:sz w:val="16"/>
          <w:szCs w:val="16"/>
        </w:rPr>
        <w:softHyphen/>
        <w:t>атации тракторов, как основного средства, для транспортировки грузов на фронте.</w:t>
      </w:r>
    </w:p>
    <w:p w14:paraId="0C6CC21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Все это привело к тому, что наряду с сокращением количественного состава тракторного парка, наличный его состав по техническому состоянию в значительной степени стал изношенным.</w:t>
      </w:r>
    </w:p>
    <w:p w14:paraId="435EC46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1 июня 1942 года тракторный парк Красной Армии должен был иметь в своем составе 86536 тракторов.</w:t>
      </w:r>
    </w:p>
    <w:p w14:paraId="25A140F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Фактически на 1.6.1942 г. он составляет 40028 тракторов.</w:t>
      </w:r>
    </w:p>
    <w:p w14:paraId="364526C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Таким образом, потери и естественная убыль тракторов с 1.1.1941 г. по 1.6.1942 г. составляет 46508 тракторов (таблица № 1).</w:t>
      </w:r>
    </w:p>
    <w:p w14:paraId="15ECA5B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Из 40028 тракторов наличного состава тракторного парка на 1.6.1942 года — 12405 требуют сре</w:t>
      </w:r>
      <w:r w:rsidRPr="001E2C69">
        <w:rPr>
          <w:rFonts w:ascii="Times New Roman" w:hAnsi="Times New Roman"/>
          <w:color w:val="000000" w:themeColor="text1"/>
          <w:sz w:val="16"/>
          <w:szCs w:val="16"/>
        </w:rPr>
        <w:softHyphen/>
        <w:t>днего и капитального ремонта (таблица № 2).</w:t>
      </w:r>
    </w:p>
    <w:p w14:paraId="329E0AA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пополнение убыли тракторного парка и для обеспечения новых формирований Красной Ар</w:t>
      </w:r>
      <w:r w:rsidRPr="001E2C69">
        <w:rPr>
          <w:rFonts w:ascii="Times New Roman" w:hAnsi="Times New Roman"/>
          <w:color w:val="000000" w:themeColor="text1"/>
          <w:sz w:val="16"/>
          <w:szCs w:val="16"/>
        </w:rPr>
        <w:softHyphen/>
        <w:t>мии в первом полугодии 1942 года от заводов промышленности поступали только тракторы СТЗ-5.</w:t>
      </w:r>
    </w:p>
    <w:p w14:paraId="740BE38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Всего поступило этих тракторов 2278 шт. (из них 1628 до 1.6.1942 г. и 650 тракторов за июнь ме</w:t>
      </w:r>
      <w:r w:rsidRPr="001E2C69">
        <w:rPr>
          <w:rFonts w:ascii="Times New Roman" w:hAnsi="Times New Roman"/>
          <w:color w:val="000000" w:themeColor="text1"/>
          <w:sz w:val="16"/>
          <w:szCs w:val="16"/>
        </w:rPr>
        <w:softHyphen/>
        <w:t>сяц).</w:t>
      </w:r>
    </w:p>
    <w:p w14:paraId="0724FF6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Эти тракторы почти полностью обращены на укомплектование вновь формируемых артполков стрелковых дивизий.</w:t>
      </w:r>
    </w:p>
    <w:p w14:paraId="3167A76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Трактор «Ворошиловец», служащий целям эвакуации тяжелых и средних танков с поля боя и как средство механической тяги артиллерии большой мощности, не производится с августа месяца 1941 года.</w:t>
      </w:r>
    </w:p>
    <w:p w14:paraId="708EEE9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это время ни одного трактора «Ворошиловец» Красная Армия не получила.</w:t>
      </w:r>
    </w:p>
    <w:p w14:paraId="3664099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Вопрос об изготовлении опытных образцов и подготовки производства трактора АТ-45 (взамен «Ворошиловец») на базе танка Т-34 еще не разрешен.</w:t>
      </w:r>
    </w:p>
    <w:p w14:paraId="36D0037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Технический проект этого трактора, разработанный заводом № 183, утвержден ГАБТУ и ГАУ Красной Армии 4 июня 1942 года.</w:t>
      </w:r>
    </w:p>
    <w:p w14:paraId="6522263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Выпуск тракторов ЧТЗ прекратился в декабре 1941 г. и производство их не начато до настояще</w:t>
      </w:r>
      <w:r w:rsidRPr="001E2C69">
        <w:rPr>
          <w:rFonts w:ascii="Times New Roman" w:hAnsi="Times New Roman"/>
          <w:color w:val="000000" w:themeColor="text1"/>
          <w:sz w:val="16"/>
          <w:szCs w:val="16"/>
        </w:rPr>
        <w:softHyphen/>
        <w:t>го времени.</w:t>
      </w:r>
    </w:p>
    <w:p w14:paraId="6A206C49"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Дело с завозом 3000 тракторов из-за границы во 2 и 3 квартале (по Постановлению ГОКО № 1693сс от 3.5.1942 г.) затянулось и первая партия тракторов — около 400 шт. — ожидается только в августе месяце.</w:t>
      </w:r>
    </w:p>
    <w:p w14:paraId="78E70CB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Вследствие полного прекращения выпуска тракторов «Ворошиловец» и ЧТЗ создалось чрезвы</w:t>
      </w:r>
      <w:r w:rsidRPr="001E2C69">
        <w:rPr>
          <w:rFonts w:ascii="Times New Roman" w:hAnsi="Times New Roman"/>
          <w:color w:val="000000" w:themeColor="text1"/>
          <w:sz w:val="16"/>
          <w:szCs w:val="16"/>
        </w:rPr>
        <w:softHyphen/>
        <w:t>чайно тяжелое положение в артиллерийских и танковых частях.</w:t>
      </w:r>
    </w:p>
    <w:p w14:paraId="52E01E1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Новые формирования пушечных и тяжелых гаубичных артполков РГК совершенно не обеспе</w:t>
      </w:r>
      <w:r w:rsidRPr="001E2C69">
        <w:rPr>
          <w:rFonts w:ascii="Times New Roman" w:hAnsi="Times New Roman"/>
          <w:color w:val="000000" w:themeColor="text1"/>
          <w:sz w:val="16"/>
          <w:szCs w:val="16"/>
        </w:rPr>
        <w:softHyphen/>
        <w:t>чиваются механической тягой (трактор ЧТЗ).</w:t>
      </w:r>
    </w:p>
    <w:p w14:paraId="7AEF9FE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Потребность на пополнение убыли тракторов действующих частей не удовлетворяется.</w:t>
      </w:r>
    </w:p>
    <w:p w14:paraId="55D5BC8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 многих артполках 1 трактор приходится на 2-3 орудия.</w:t>
      </w:r>
    </w:p>
    <w:p w14:paraId="03AD703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Танковые части совершенно не обеспечиваются мощными тракторами «Ворошиловец», в ре</w:t>
      </w:r>
      <w:r w:rsidRPr="001E2C69">
        <w:rPr>
          <w:rFonts w:ascii="Times New Roman" w:hAnsi="Times New Roman"/>
          <w:color w:val="000000" w:themeColor="text1"/>
          <w:sz w:val="16"/>
          <w:szCs w:val="16"/>
        </w:rPr>
        <w:softHyphen/>
        <w:t>зультате чего тяжелые и средние танки даже из-за небольших неисправностей или повреждений своевременно не эвакуируются с поля боя и попадают к противнику.</w:t>
      </w:r>
    </w:p>
    <w:p w14:paraId="2FB6AF2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Потребность в тракторах «ЧТЗ» и «СТЗ» частей аэродромного обслуживания и строительства аэродромов также не удовлетворяется.</w:t>
      </w:r>
    </w:p>
    <w:p w14:paraId="0E6ADF8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Эта потребность в условиях зимнего самолетовождения еще более возрастет.</w:t>
      </w:r>
    </w:p>
    <w:p w14:paraId="350D64B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своевременного восстановления тракторов, требующих среднего и капитального ремонта и поддержания эксплуатируемого парка в технически исправном состоянии, требуется непрерывное поступление запчастей на фронты и ремонтные базы ГАБТУ КА.</w:t>
      </w:r>
    </w:p>
    <w:p w14:paraId="5DDE1FF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1 и 2 кварталы 1942 года от заводов промышленности поступило запасных частей всего лишь на 1890786 рублей, в то время как Постановлением ГОКО № 169бсс от 4.5.1942 г. объем производст</w:t>
      </w:r>
      <w:r w:rsidRPr="001E2C69">
        <w:rPr>
          <w:rFonts w:ascii="Times New Roman" w:hAnsi="Times New Roman"/>
          <w:color w:val="000000" w:themeColor="text1"/>
          <w:sz w:val="16"/>
          <w:szCs w:val="16"/>
        </w:rPr>
        <w:softHyphen/>
        <w:t>ва запасных частей для НКО на 2 квартал был определен в сумме 21,5 млн. рублей (таблица № 3).</w:t>
      </w:r>
    </w:p>
    <w:p w14:paraId="2D7E26B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специальных марок тракторов «Ворошиловец», «Коминтерн» и «Комсомолец» запчасти не производятся совершенно. Дальнейшее неполучение запчастей поставит эти тракторы в ближайшее время вне строя.</w:t>
      </w:r>
    </w:p>
    <w:p w14:paraId="5BA12E3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Наличие запчастей на складах ГАБТУ на 1.7.1942 г. составляет около 2660 тыс. рублей, причем эти запчасти крайне ограничены и некомплектны по своей номенклатуре.</w:t>
      </w:r>
    </w:p>
    <w:p w14:paraId="517638F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Таким образом, вопрос об обеспечении тракторного парка Красной Армии запасными частями принял исключительно острое положение и требует своего немедленного разрешения.</w:t>
      </w:r>
    </w:p>
    <w:p w14:paraId="3F7323E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вопросу выпуска тракторов ЧТЗ и СТЗ и запасных частей к ним имеется несколько Постано</w:t>
      </w:r>
      <w:r w:rsidRPr="001E2C69">
        <w:rPr>
          <w:rFonts w:ascii="Times New Roman" w:hAnsi="Times New Roman"/>
          <w:color w:val="000000" w:themeColor="text1"/>
          <w:sz w:val="16"/>
          <w:szCs w:val="16"/>
        </w:rPr>
        <w:softHyphen/>
        <w:t>влений ГОКО:</w:t>
      </w:r>
    </w:p>
    <w:p w14:paraId="3F364C0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1693сс от 3.5.1942 г., 1696сс от 4.5.1942 г., 1923сс от 22.6.1942 г. - которые остаются невы</w:t>
      </w:r>
      <w:r w:rsidRPr="001E2C69">
        <w:rPr>
          <w:rFonts w:ascii="Times New Roman" w:hAnsi="Times New Roman"/>
          <w:color w:val="000000" w:themeColor="text1"/>
          <w:sz w:val="16"/>
          <w:szCs w:val="16"/>
        </w:rPr>
        <w:softHyphen/>
        <w:t>полненными: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1E2C69" w:rsidRPr="001E2C69" w14:paraId="1BB24EDA" w14:textId="77777777" w:rsidTr="00CC5360">
        <w:tc>
          <w:tcPr>
            <w:tcW w:w="3736" w:type="dxa"/>
            <w:tcBorders>
              <w:top w:val="single" w:sz="12" w:space="0" w:color="auto"/>
            </w:tcBorders>
            <w:shd w:val="clear" w:color="auto" w:fill="FFFFFF"/>
          </w:tcPr>
          <w:p w14:paraId="210ECDC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shd w:val="clear" w:color="auto" w:fill="FFFFFF"/>
          </w:tcPr>
          <w:p w14:paraId="4FFA32F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ЧТЗ</w:t>
            </w:r>
          </w:p>
        </w:tc>
        <w:tc>
          <w:tcPr>
            <w:tcW w:w="3736" w:type="dxa"/>
            <w:tcBorders>
              <w:top w:val="single" w:sz="12" w:space="0" w:color="auto"/>
            </w:tcBorders>
            <w:shd w:val="clear" w:color="auto" w:fill="FFFFFF"/>
          </w:tcPr>
          <w:p w14:paraId="4C81695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СТЗ</w:t>
            </w:r>
          </w:p>
        </w:tc>
      </w:tr>
      <w:tr w:rsidR="001E2C69" w:rsidRPr="001E2C69" w14:paraId="1AE034C5" w14:textId="77777777" w:rsidTr="00CC5360">
        <w:tc>
          <w:tcPr>
            <w:tcW w:w="3736" w:type="dxa"/>
            <w:shd w:val="clear" w:color="auto" w:fill="FFFFFF"/>
          </w:tcPr>
          <w:p w14:paraId="2287AF6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1 полугодие подлежало поставить тракторов</w:t>
            </w:r>
          </w:p>
        </w:tc>
        <w:tc>
          <w:tcPr>
            <w:tcW w:w="3736" w:type="dxa"/>
            <w:shd w:val="clear" w:color="auto" w:fill="FFFFFF"/>
          </w:tcPr>
          <w:p w14:paraId="4A61C53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- 125</w:t>
            </w:r>
          </w:p>
        </w:tc>
        <w:tc>
          <w:tcPr>
            <w:tcW w:w="3736" w:type="dxa"/>
            <w:shd w:val="clear" w:color="auto" w:fill="FFFFFF"/>
          </w:tcPr>
          <w:p w14:paraId="23D76F9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3484</w:t>
            </w:r>
          </w:p>
        </w:tc>
      </w:tr>
      <w:tr w:rsidR="001E2C69" w:rsidRPr="001E2C69" w14:paraId="6B89CAE5" w14:textId="77777777" w:rsidTr="00CC5360">
        <w:tc>
          <w:tcPr>
            <w:tcW w:w="3736" w:type="dxa"/>
            <w:tcBorders>
              <w:bottom w:val="single" w:sz="12" w:space="0" w:color="auto"/>
            </w:tcBorders>
            <w:shd w:val="clear" w:color="auto" w:fill="FFFFFF"/>
          </w:tcPr>
          <w:p w14:paraId="26551F4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Поставлено</w:t>
            </w:r>
          </w:p>
        </w:tc>
        <w:tc>
          <w:tcPr>
            <w:tcW w:w="3736" w:type="dxa"/>
            <w:tcBorders>
              <w:bottom w:val="single" w:sz="12" w:space="0" w:color="auto"/>
            </w:tcBorders>
            <w:shd w:val="clear" w:color="auto" w:fill="FFFFFF"/>
          </w:tcPr>
          <w:p w14:paraId="2A9E3CC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- 0</w:t>
            </w:r>
          </w:p>
        </w:tc>
        <w:tc>
          <w:tcPr>
            <w:tcW w:w="3736" w:type="dxa"/>
            <w:tcBorders>
              <w:bottom w:val="single" w:sz="12" w:space="0" w:color="auto"/>
            </w:tcBorders>
            <w:shd w:val="clear" w:color="auto" w:fill="FFFFFF"/>
          </w:tcPr>
          <w:p w14:paraId="138EE23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2278</w:t>
            </w:r>
          </w:p>
        </w:tc>
      </w:tr>
    </w:tbl>
    <w:p w14:paraId="2039AEC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Постановлением ГОКО № 1958сс от 3.7.1942 г. производство тракторов С-10 (взамен ЧТЗ-65) временно приостановлено.</w:t>
      </w:r>
    </w:p>
    <w:p w14:paraId="5FF1C37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Выводы:</w:t>
      </w:r>
    </w:p>
    <w:p w14:paraId="58E432D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В связи с прекращением выпуска тракторов ЧТЗ в артиллерийских частях создалось катаст</w:t>
      </w:r>
      <w:r w:rsidRPr="001E2C69">
        <w:rPr>
          <w:rFonts w:ascii="Times New Roman" w:hAnsi="Times New Roman"/>
          <w:color w:val="000000" w:themeColor="text1"/>
          <w:sz w:val="16"/>
          <w:szCs w:val="16"/>
        </w:rPr>
        <w:softHyphen/>
        <w:t>рофическое положение с механической тягой.</w:t>
      </w:r>
    </w:p>
    <w:p w14:paraId="457EA1E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Потребность частей аэродромного обслуживания и строительства аэродромов в этих тракторах не удовлетворяется.</w:t>
      </w:r>
    </w:p>
    <w:p w14:paraId="26158E7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За отсутствием мощного тягача «Ворошиловец» танковые части совершенно не обеспечива</w:t>
      </w:r>
      <w:r w:rsidRPr="001E2C69">
        <w:rPr>
          <w:rFonts w:ascii="Times New Roman" w:hAnsi="Times New Roman"/>
          <w:color w:val="000000" w:themeColor="text1"/>
          <w:sz w:val="16"/>
          <w:szCs w:val="16"/>
        </w:rPr>
        <w:softHyphen/>
        <w:t>ются необходимыми эвакосредствами, в результате чего много тяжелых и средних танков гибнет или попадает к противнику.</w:t>
      </w:r>
    </w:p>
    <w:p w14:paraId="2407D8A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Тракторный парк Красной Армии при усиленной эксплуатации и полном прекращении по</w:t>
      </w:r>
      <w:r w:rsidRPr="001E2C69">
        <w:rPr>
          <w:rFonts w:ascii="Times New Roman" w:hAnsi="Times New Roman"/>
          <w:color w:val="000000" w:themeColor="text1"/>
          <w:sz w:val="16"/>
          <w:szCs w:val="16"/>
        </w:rPr>
        <w:softHyphen/>
        <w:t>полнения его убыли по всем маркам тракторов — резко сократился в своем составе и в значитель</w:t>
      </w:r>
      <w:r w:rsidRPr="001E2C69">
        <w:rPr>
          <w:rFonts w:ascii="Times New Roman" w:hAnsi="Times New Roman"/>
          <w:color w:val="000000" w:themeColor="text1"/>
          <w:sz w:val="16"/>
          <w:szCs w:val="16"/>
        </w:rPr>
        <w:softHyphen/>
        <w:t>ной степени стал изношенным.</w:t>
      </w:r>
    </w:p>
    <w:p w14:paraId="5C10567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его своевременного восстановления требуется непрерывная подача фронтам и рембазам ГАБТУ тракторных запасных частей.</w:t>
      </w:r>
    </w:p>
    <w:p w14:paraId="79D0EE9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Необходимо:</w:t>
      </w:r>
    </w:p>
    <w:p w14:paraId="5F5ED46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теперь же начать выпуск тракторов С-10 (взамен ЧТЗ-65) на Кировском заводе;</w:t>
      </w:r>
    </w:p>
    <w:p w14:paraId="54074577"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немедленно приступить к изготовлению опытных образцов тягача АТ-45 на базе танка Т-34 и подготовке производства к серийному выпуску его на заводе № 174 (Омск);</w:t>
      </w:r>
    </w:p>
    <w:p w14:paraId="3600BC1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ускорить доставку тракторов из-за границы;</w:t>
      </w:r>
    </w:p>
    <w:p w14:paraId="553CEB1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начать немедленно поставку тракторных запасных частей НКО (ГАБТУ) в необходимых коли</w:t>
      </w:r>
      <w:r w:rsidRPr="001E2C69">
        <w:rPr>
          <w:rFonts w:ascii="Times New Roman" w:hAnsi="Times New Roman"/>
          <w:color w:val="000000" w:themeColor="text1"/>
          <w:sz w:val="16"/>
          <w:szCs w:val="16"/>
        </w:rPr>
        <w:softHyphen/>
        <w:t>чествах.</w:t>
      </w:r>
    </w:p>
    <w:p w14:paraId="1D12B8C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Для обеспечения ремонта тракторов необходимо организовать 6 ремонтных баз:</w:t>
      </w:r>
    </w:p>
    <w:p w14:paraId="7248713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по тракторам ЧТЗ-60/65 - 4 рембазы с производственной мощностью 100 шт. в месяц каждая;</w:t>
      </w:r>
    </w:p>
    <w:p w14:paraId="602BC4D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б) по тракторам СТЗ-3/5 — 2 рембазы с производственной мощностью 80 шт. в месяц каждая.</w:t>
      </w:r>
    </w:p>
    <w:p w14:paraId="0A2B23C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Приложение:</w:t>
      </w:r>
    </w:p>
    <w:p w14:paraId="3408618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Таблица № 1 - « Изменение в составе тракторного парка» — на 1 листе.</w:t>
      </w:r>
    </w:p>
    <w:p w14:paraId="409383B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Таблица № 2 - «Техническое состояние тракторного парка» — на 1 листе.</w:t>
      </w:r>
    </w:p>
    <w:p w14:paraId="7631CCD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Таблица № 3 - «Поступление тракторных запчастей» - на 1 листе.</w:t>
      </w:r>
    </w:p>
    <w:p w14:paraId="6F8D270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Таблица № 4 - «Наличие запчастей» - на 1 листе.</w:t>
      </w:r>
    </w:p>
    <w:p w14:paraId="151E40C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Таблица № 5 - «Ведомость ориентировочной потребности в среднем и капитальном ремонте тракторов КА» - на 1 листе.</w:t>
      </w:r>
    </w:p>
    <w:p w14:paraId="44A8166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Таблица № 6 - «Справка по тракторному парку КА» (о ремонтах) — на 1 листе.</w:t>
      </w:r>
    </w:p>
    <w:p w14:paraId="7F6FDD1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Таблица № 7 - «Справка о возможности ремонта во 2 полугодии» - на 1 листе.</w:t>
      </w:r>
    </w:p>
    <w:p w14:paraId="018157E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Таблица № 8 - « Расчет необходимого количества запчастей до конца 1942 г.» - на 1 листе.</w:t>
      </w:r>
    </w:p>
    <w:p w14:paraId="5A161AB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АТУ ГАБТУ КА генерал-майор технических войск Тягунов</w:t>
      </w:r>
    </w:p>
    <w:p w14:paraId="1D0B207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Военный комиссар АТУ ГАБТУ КА полковой комиссар Лозовский</w:t>
      </w:r>
    </w:p>
    <w:p w14:paraId="4EE86511"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ЦАМО. Ф. 38. Оп. 11386. Д. 128. Л. 43-48. Копия (11211).</w:t>
      </w:r>
    </w:p>
    <w:p w14:paraId="447A2B18"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p>
    <w:p w14:paraId="1DD42378" w14:textId="77777777" w:rsidR="00C7637D" w:rsidRPr="001E2C69" w:rsidRDefault="00C7637D"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 xml:space="preserve">13 июля 1942 года в своем распоряжении директор ЧКЗ писал, что «в августе месяце из обшего количества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 xml:space="preserve"> - 150 штук - 30 штук долж</w:t>
      </w:r>
      <w:r w:rsidRPr="001E2C69">
        <w:rPr>
          <w:rFonts w:ascii="Times New Roman" w:cs="Times New Roman"/>
          <w:color w:val="000000" w:themeColor="text1"/>
          <w:spacing w:val="0"/>
        </w:rPr>
        <w:softHyphen/>
        <w:t>ны выпускаться со старой коробкой скоро</w:t>
      </w:r>
      <w:r w:rsidRPr="001E2C69">
        <w:rPr>
          <w:rFonts w:ascii="Times New Roman" w:cs="Times New Roman"/>
          <w:color w:val="000000" w:themeColor="text1"/>
          <w:spacing w:val="0"/>
        </w:rPr>
        <w:softHyphen/>
        <w:t>стей, а остальные 120 штук с новой КПП». Общее количество КВ-1М, изготовленных на ЧКЗ неизвестно, однако едва ли их было более 20 машин. Не исключено, что впо</w:t>
      </w:r>
      <w:r w:rsidRPr="001E2C69">
        <w:rPr>
          <w:rFonts w:ascii="Times New Roman" w:cs="Times New Roman"/>
          <w:color w:val="000000" w:themeColor="text1"/>
          <w:spacing w:val="0"/>
        </w:rPr>
        <w:softHyphen/>
        <w:t>следствии они получили восьмискорострую КПП КВ-1С. Кстати, индекс КВ-1М встре</w:t>
      </w:r>
      <w:r w:rsidRPr="001E2C69">
        <w:rPr>
          <w:rFonts w:ascii="Times New Roman" w:cs="Times New Roman"/>
          <w:color w:val="000000" w:themeColor="text1"/>
          <w:spacing w:val="0"/>
        </w:rPr>
        <w:softHyphen/>
        <w:t>чается только в документах завода, в пере</w:t>
      </w:r>
      <w:r w:rsidRPr="001E2C69">
        <w:rPr>
          <w:rFonts w:ascii="Times New Roman" w:cs="Times New Roman"/>
          <w:color w:val="000000" w:themeColor="text1"/>
          <w:spacing w:val="0"/>
        </w:rPr>
        <w:softHyphen/>
        <w:t>писке и отчетности военпредов этот индекс не попадается (15226).</w:t>
      </w:r>
    </w:p>
    <w:p w14:paraId="6E616DB6" w14:textId="77777777" w:rsidR="00C7637D" w:rsidRPr="001E2C69" w:rsidRDefault="00C7637D" w:rsidP="00722885">
      <w:pPr>
        <w:pStyle w:val="27"/>
        <w:shd w:val="clear" w:color="auto" w:fill="auto"/>
        <w:spacing w:after="0" w:line="240" w:lineRule="auto"/>
        <w:ind w:firstLine="0"/>
        <w:rPr>
          <w:rFonts w:ascii="Times New Roman" w:cs="Times New Roman"/>
          <w:color w:val="000000" w:themeColor="text1"/>
          <w:spacing w:val="0"/>
        </w:rPr>
      </w:pPr>
    </w:p>
    <w:p w14:paraId="2ABAC505"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июля 1942 вышло Постановление ГКО № 2035 О плане распределения автомобилей и автомобильных прицепов отечественного производства на III квартал 1942 года. (7042, 163,164-169).</w:t>
      </w:r>
    </w:p>
    <w:p w14:paraId="5A252BDA"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103EA2"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Армия:</w:t>
      </w:r>
    </w:p>
    <w:p w14:paraId="0D3FB10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775420"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июля в 1942 году утреннее сообщение Совинформбюро:</w:t>
      </w:r>
    </w:p>
    <w:p w14:paraId="7FE32FC1"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13 июля наши войска вели бои с противником на подступах к Воронежу и в районе Богучар.</w:t>
      </w:r>
    </w:p>
    <w:p w14:paraId="49AC010A"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66B0B545"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подступах к Воронежу продолжаются напряжённые бои, в ходе которых немцы несут большие потери. В бою за населённый пункт танкисты части, которой командует тов. Аникушкин, уничтожили 17 противотанковых орудий с расчётами, 15пулемётов, 3 миномёта и до 300 немецких солдат и офицеров. На артиллерийскую позицию батареи, где командиром лейтенант Лукичев, наступала немецкая пехота. Подпустив её на близкое расстояние, артиллеристы открыли огонь и рассеяли гитлеровцев. На поле боя остались сотни вражеских трупов.</w:t>
      </w:r>
    </w:p>
    <w:p w14:paraId="242713B3"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Богучара наши войска вели тяжёлые оборонительные бои с наступающими частями противника. На одном из участков наши части уничтожили крупный отряд гитлеровцев, прорвавшийся в глубину нашей обороны. На другом участке уничтожено 5 танков и 350 солдат и офицеров противника.</w:t>
      </w:r>
    </w:p>
    <w:p w14:paraId="0A2B88A1"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Отойдя от Лисичанска для занятия нового рубежа, наши части продолжали вести бои с танками и пехотой противника. На одном из участков немцы предприняли несколько атак на наши позиции. Обороняя занятый рубеж, наши бойцы наносят вражеским войскам большой урон. Только в одном бою немцы потеряли 9 танков и свыше 250 солдат и офицеров. На другом участке в крупном танковом бою уничтожено 35 немецких танков.</w:t>
      </w:r>
    </w:p>
    <w:p w14:paraId="432550B8"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Танкисты части, где командиром тов. Кузнецов (Калининский фронт), в течение нескольких часов вели напряжённый бой с пехотой и танками противника. Несмотря на численный перевес, немцы не смогли сломить упорного сопротивления наших бойцов. Противник потерял, убитыми и ранеными до 600 солдат и офицеров. Уничтожено 3 немецких танка, 2 орудия и несколько автомашин.</w:t>
      </w:r>
    </w:p>
    <w:p w14:paraId="09968095"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Разведчики под командованием младшего лейтенанта Романенко и политрука Демчука ворвались в траншеи противника. Штыками и гранатами смелые бойцы уничтожили 35 гитлеровцев и захватили винтовки и 2 пулемёта.</w:t>
      </w:r>
    </w:p>
    <w:p w14:paraId="6DCF9085"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Группа ленинградских партизан из отряда товарища Т. организовала крушение двух воинских эшелонов противника. Несколько партизанских отрядов, объединённых под командованием товарищей Б. и К., в течение трёх дней налётами на вражеские гарнизоны и действиями из засад, уничтожили 80 немецко-фашистских оккупантов.</w:t>
      </w:r>
    </w:p>
    <w:p w14:paraId="4EE82797"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5 роты 458 полка 258 немецкой пехотной дивизии Гюнтер Клюгер рассказал: «Я жил в Америке, в Нью-Йорке. Летом l939 года приехал в Германию.Как только началась война, меня заключили в лагерь, а в апреле 1942 года послали на Восточный фронт. Семья моя находится в Америке, и мне нечего опасаться за её судьбу. Я могу открыто высказать всё, что я думаю. Гитлеровский режим и фашистская пропаганда запугали, одурачили и развратили немцев. По моим наблюдениям, значительная часть немецких солдат — это настоящие грабители и разбойники. Они потеряли всякий человеческий облик; грабежи и убийства для них привычное дело. Значительная прослойка солдат состоит из карьеристов. Они готовы совершить любую подлость, лишь бы получить железный крест или унтер-офицерский чин. Солдатам внушили, что после войны Германия будет господствовать над всем миром и каждый проявивший себя на войне солдат займёт ответственный и, разумеется, доходный пост в оккупированных странах. Известные группы солдат ненавидят гитлеровский режим и не хотят воевать, но они пока бессильны что-либо сделать».</w:t>
      </w:r>
    </w:p>
    <w:p w14:paraId="3B43ADA3"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Кровавый гитлеровский террор в Норвегии принимает всё большие размеры. Недавно немцы стёрли с лица земли деревню Телемарк, а всех её жителей, в том числе женщин и детей, расстреляли. За последнее время арестованы и брошены в тюрьмы тысячи норвежцев. Однако, несмотря на террор, норвежские патриоты продолжают неослабную борьбу против оккупантов. В результате вооружённых столкновений в гг. Ставангер, Берген, Тронхейм и других убито несколько сот немецко-фашистских захватчиков.» (14951).</w:t>
      </w:r>
    </w:p>
    <w:p w14:paraId="2E6921A1" w14:textId="77777777" w:rsidR="00C7637D" w:rsidRPr="001E2C69" w:rsidRDefault="00C7637D" w:rsidP="00722885">
      <w:pPr>
        <w:spacing w:after="0" w:line="240" w:lineRule="auto"/>
        <w:jc w:val="both"/>
        <w:rPr>
          <w:rFonts w:ascii="Times New Roman" w:hAnsi="Times New Roman"/>
          <w:color w:val="000000" w:themeColor="text1"/>
          <w:sz w:val="16"/>
          <w:szCs w:val="16"/>
        </w:rPr>
      </w:pPr>
    </w:p>
    <w:p w14:paraId="123BE80C"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июля в 1942 году вечернее сообщение Совинформбюро:</w:t>
      </w:r>
    </w:p>
    <w:p w14:paraId="1F41BD92"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13 июля наши войска вели ожесточённые бои против группировки немецко-фашистских войск, прорвавшейся в район Воронежа.</w:t>
      </w:r>
    </w:p>
    <w:p w14:paraId="38126022"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Богучар продолжались напряжённые бои с танками и мотопехотой противника.</w:t>
      </w:r>
    </w:p>
    <w:p w14:paraId="33FEC6E1"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Восточнее Лисичанска наши войска планомерно отходили на новый оборонительный рубеж.</w:t>
      </w:r>
    </w:p>
    <w:p w14:paraId="50206700"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061C4CDC"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3а 12 июля частями нашей авиации на различных участках фронта уничтожено или повреждено 26 немецких танков, 115 автомашин с войсками и грузами, подавлен огонь 2 батарей полевой артиллерии, взорвано в порту 5 крупных складов, потоплены транспорт и нефтеналивное судно, рассеяно и частью уничтожено до двух батальонов пехоты противника.</w:t>
      </w:r>
    </w:p>
    <w:p w14:paraId="06BD4FF1"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идут ожесточённые бои с противником. Положение продолжает оставаться напряжённым. Наши танковые и пехотные части и артиллерия отбивают атаки противника. Экипаж танка тов. Бобровника в одном бою истребил более 100 немецких солдат и офицеров, уничтожил танк противника, 3 орудия, 8 миномётов и 10 пулемётов. В напряжённый момент боя тов. Бобровник заметил, что подбит наш тяжёлый танк. Он бросился на выручку товарищам и отбуксировал подбитый танк с поля боя. Экипаж танка старшего лейтенанта Калганова ударил во фланг наступавшего противника и уничтожил 3 противотанковых орудия, 3 тяжёлых орудия и до 200 гитлеровцев. Экипаж танка лейтенанта Новикова подбил в бою 8 немецких танков. В боях за село А. противотанковая батарея лейтенанта Сергеева подбила 6 и сожгла 2 немецких танка.</w:t>
      </w:r>
    </w:p>
    <w:p w14:paraId="27B096FC"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Богучара идут тяжёлые бои с численно превосходящими силами противника. На одном из участков наша часть отразила несколько атак противника. На поле боя немцы оставили около 500 трупов. Противник подбросил новые силы. После упорных оборонительных боёв наша часть отошла на новые позиции.</w:t>
      </w:r>
    </w:p>
    <w:p w14:paraId="3C9D117F"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Лисичанском направлении наши войска по приказу командования продолжали планомерный отход на новые оборонительные рубежи. Подвижные группы и авиация, прикрывающие отход, сковывают противника и наносят ему урон. По неполным данным, уничтожено 17 немецких танков, 130 автомашин с пехотой и военным грузом, несколько орудий и много пулемётов.</w:t>
      </w:r>
    </w:p>
    <w:p w14:paraId="70B507B4"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Калининского фронта немецкая пехота при поддержке танков атаковала передний край нашей обороны. Гвардейцы-миномётчики, подпустив гитлеровцев на близкое расстояние, открыли массированный огонь. Немцы потеряли только убитыми 600 солдат и офицеров. Уничтожено 2 немецких танка, 2 миномётные батареи, много пулемётов и 10 повозок с боеприпасами.</w:t>
      </w:r>
    </w:p>
    <w:p w14:paraId="6BF58B09"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 лётчики под командованием тов. Богородецкого под прикрытием истребителей совершили налёт на аэродром противника и уничтожили до 60 немецких самолётов.</w:t>
      </w:r>
    </w:p>
    <w:p w14:paraId="45E3C1D8"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Снайперы подразделения, которым командует тов. Саевич, за два дня истребили 25 гитлеровцев.</w:t>
      </w:r>
    </w:p>
    <w:p w14:paraId="4D9052C2"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Жители деревни Чумазовского сельсовета, Смоленской области, составили акт о чудовищных зверствах и грабежах гитлеровских бандитов. В акте говорится, что гитлеровцы опустошили и разорили деревни Рига, Чумазово, Каськово, Приволье и посёлок Первое Мая. Из 298 жилых домов немецкие бандиты сожгли 292 дома. Разрушены и сожжены 2 клуба, 2 школы, мельница, столовая, кузница и другие постройки. Немцы отняли у мирного населения всё продовольствие, весь скот, птицу и имущество. Немецко-фашистские изверги замучили и расстреляли многих крестьян, а 160 мужчин и женщин угнали на каторжные работы в Германию.</w:t>
      </w:r>
    </w:p>
    <w:p w14:paraId="34C3CDC5"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Югославские патриоты добились новых успехов в борьбе против немецко-итальянских захватчиков. Партизанские отряды контролируют большую часть территории Боснии и Сербии. Итальянская пропаганда уже не в состоянии скрыть огромных потерь, которые несёт итальянская армия в Югославии. Даже по явно преуменьшенным данным итальянского командования, в июне месяце итальянцы потеряли на Балканах убитыми 466 и ранеными 496 солдат и офицеров.»</w:t>
      </w:r>
    </w:p>
    <w:p w14:paraId="56B9CA9E"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Жульническое сообщение гитлеровского командования:</w:t>
      </w:r>
    </w:p>
    <w:p w14:paraId="309EF740"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«Верховное командование немецко-фашистской армии 13 июля разразилось ещё одним жульническим лживым «специальным сообщением» об очередном «окружении» и «уничтожении» советских войск. Германское информационное бюро передаёт, будто бы «юго-западнее Ржева наступление германских войск привело к окружению и уничтожению нескольких стрелковых и кавалерийских дивизий и одной танковой бригады противника. В ходе этой битвы, длившейся 11 дней, взято 30.000 пленных, 218 танков, 591 орудие, 1.301 пулемёт и миномёт».</w:t>
      </w:r>
    </w:p>
    <w:p w14:paraId="5D8022A6"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Хотя после года войны между Советским Союзом и гитлеровской Германией весь мир убедился, что Гитлер в своих «специальных сообщениях» неустанно и систематически лжёт, однако в данном случае гитлеровцы поставили прямо-таки рекорд в своём беспардонном вранье.</w:t>
      </w:r>
    </w:p>
    <w:p w14:paraId="17BE1053"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Между 2 и 13 июля в районе юго-западнее Ржева действительно происходили бои. Гитлеровские войска перешли в наступление, пытаясь охватить с флангов одно наше соединение и перерезать его связь с тылом. В результате боёв с превосходящими по численности и количеству танков войсками противника наши части, нанеся немцам большой урон в живой силе и технике и понеся сами значительные потери, были вынуждены отступить и оставить занимаемый ими район обороны. В ходе боёв наши войска потеряли до 7.000 убитыми и ранеными и 5.000 пропавшими без вести, значительная часть которых образовала партизанские отряды, действующие в тылу противника, 80 танков, 85 орудий, 200 пулемётов.</w:t>
      </w:r>
    </w:p>
    <w:p w14:paraId="718507B5"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этот же период боёв юго-западнее Ржева немцы потеряли более 10.000 солдат и офицеров только убитыми, свыше 200 танков, более 70 орудий, не менее 250 пулемётов и миномётов, 30 бронемашин и 50 самолётов.</w:t>
      </w:r>
    </w:p>
    <w:p w14:paraId="17859681"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Таковы факты.</w:t>
      </w:r>
    </w:p>
    <w:p w14:paraId="7AEB8E21"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 как бы ни упорствовали Гитлер и его прихвостни в публикации разных небылицо ходе и результатах военных действий, — постоянным обманом нельзя скрыть того факта, что немцы ежедневно теряют на советско-германском фронте тысячи и тысячи людей. А это, независимо от временных успехов немецких войск, постепенно подтачивает гитлеровскую военную машину и подготавливает почву для поражения Германии в этой войне.» (14951).</w:t>
      </w:r>
    </w:p>
    <w:p w14:paraId="39B87BD4" w14:textId="77777777" w:rsidR="00C7637D" w:rsidRPr="001E2C69" w:rsidRDefault="00C7637D" w:rsidP="00722885">
      <w:pPr>
        <w:spacing w:after="0" w:line="240" w:lineRule="auto"/>
        <w:jc w:val="both"/>
        <w:rPr>
          <w:rFonts w:ascii="Times New Roman" w:hAnsi="Times New Roman"/>
          <w:color w:val="000000" w:themeColor="text1"/>
          <w:sz w:val="16"/>
          <w:szCs w:val="16"/>
        </w:rPr>
      </w:pPr>
    </w:p>
    <w:p w14:paraId="757346F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июля 1942 по сообщению Совинформбюро ш и и нанесли массированный удар одновременно по 4 аэродромам и уничтожили на двух - до 25 и ангар, на 3-м - около 70, а на 4-м - 18 (438,850).</w:t>
      </w:r>
    </w:p>
    <w:p w14:paraId="6276282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EE4F0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июля 1942, прибыв в составе "Особой авиагруппы № 1" под Сталинград, он уже 31-го был вынужден убыть на переформирование. Основная причина - одиночные Пе-2 оказались очень уязвимыми при пикировании. Поэтому необходимо было обеспечить их защиту при заходе на цель в среднем ярусе и при выходе в горизонтальный полет в условиях нехватки истребителей и господства в воздухе Люфтваффе. Это была чрезвычайно сложная задача.</w:t>
      </w:r>
    </w:p>
    <w:p w14:paraId="765AC5F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696954"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июля 1942 4-ая танковая армия Гота получила приказ двигаться на Ростов (4963 ).</w:t>
      </w:r>
    </w:p>
    <w:p w14:paraId="4DFA71D7"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EE130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июля ведущий четверки капитан К. Володин заметил группу вражеских самолетов, направлявшихся к прикрываемым кораблям. Разделившись, пары Володина и лейтенанта А. Сучкова атаковали немецкие бомбардировщики. По нашим данным, реактивными снарядами и пушечно-пулеметным огнем они сбили несколько "юнкерсов". Ответной очередью был тяжело ранен ведущий второй пары Сучков. Его штурман взял управление на себя и через полтора часа полета над морем привел поврежденный самолет на аэродром, удачно посадив машину (12042).</w:t>
      </w:r>
    </w:p>
    <w:p w14:paraId="175CF02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75BE4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июля 1942 года Директивой НКО № 726444сс бригады некоторых корпусов переводились на штат № 010/270-010/277 (по 53 танка). При такой организации количество танков в корпусе составляло 159, из которых 96 (60%) Т-34.</w:t>
      </w:r>
    </w:p>
    <w:p w14:paraId="3711161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Следует сказать, что к концу 1942 года структура танковых корпусов была различной, так как каждый из 18 созданных корпусов как правило формировался по отдельной директиве. Танковые бригады корпусов комплектовались по различным штатам (№ 010/345 различных вариантов, 010/280 и 010/270), в результате чего количество танков в корпусах было различным (от 183 до 120). При этом количество Т-34 составляло от 48 до 60% штатной численности. Кроме того, до четверти корпусов при формировании получали на вооружение бригад ленд-лизовские танки.</w:t>
      </w:r>
    </w:p>
    <w:p w14:paraId="25892C9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повышения ударной силы танковых корпусов в течение 1943 года входящие в их состав бригады переводятся на штаты № 010/270 по 53 танка, а директивой Генерального Штаба Красной Армии № орг/3/2232 от 30 ноября 1943 года - на штат № 010/500 (по 65 Т-34). В результате, к марту 1944 года танковый корпус насчитывал 207 танков Т-34, из них 195 в составе бригад, 10 в мотоциклетном батальоне и 2 в управлении корпуса. До конца войны количество танков в корпусах не менялось. Таким образом, с конца 1943 года тридцатьчетверки стали основной ударной силой танковых корпусов Красной Армии. С этого же времени ленд-лизовские танки на вооружение корпусов не поступали. При поступлении на вооружение Т-34-85 эти машины в первую очередь шли на укомплектование бригад танковых корпусов. Всего в годы войны в Красной Армии сформировали 24 танковых корпуса (12217).</w:t>
      </w:r>
    </w:p>
    <w:p w14:paraId="1A80C4EC"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90F5552"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июля в 1942 году ранним утром, в 4 часа 30 минут в Южную бухту Севастополя вошел санитарный транспорт «Грузия». На борту «Грузии» официально находилось 708 человек маршевого пополнения и 526 тонн боеприпасов, включая химическое оружие. Когда до Минной пристани оставались считанные метры, на транспорт с хорошо видимыми на борту красными крестами спикировали пять немецких «Ю-87». Две авиабомбы попали в машинное отделение и кормовой трюм № 4 с боеприпасами. Самолет, сбросивший бомбы, был сбит, но в 4 часа55 минут произошла детонация боезапаса в кормовых трюмах. Силой огромного взрыва корпус «Грузии» был разорван пополам. Кормовая часть корпуса длиной около 40 метров быстро затонула с креном на правый борт, а через восемь минут скрылась под водой и носовая часть многострадального транспорта. На воде осталось только облако дыма, горящего топлива и каких-то кусков. Погибли почти все, только несколько тяжело контуженых моряков удалось подобрать с воды портовым катерам. Еще четыре бомбы, разорвавшиеся в воде, сбросил второй самолет. В 1948–1949 годах в ходе очистки севастопольских бухт от затонувших судов были подняты обе части «Грузии». Обе части «Грузии» отбуксировали в Казачью бухту и там затопили. Причем несколько водолазов и рабочих, участвовавших в подъеме «Грузии», были госпитализированы. У них появились на коже язвы, характерные для поражения ипритом. Рядом с останками «Грузии», затопленными в Казачьей бухте, находился военный аэродром на мысе Херсонес. Этот аэродром стал регулярно использоваться для прибытия в Крым различных делегаций из «братских» и дружественных стран, собственных правителей и руководителей страны. Опасное соседство с затопленным транспортом не устраивала охрану правительства и аэродрома. Поступило категоричное распоряжение о переносе остатков корабля. В 1956–1959 годах был проведен новый подъем обеих частей «Грузии», и на сей раз их отбуксировали и затопили подальше от берега на больших глубинах. «Грузия» поставила оригинальный рекорд: три раза судно тонуло, и два раза было поднято на поверхность (14951).</w:t>
      </w:r>
    </w:p>
    <w:p w14:paraId="3C48FE7C" w14:textId="77777777" w:rsidR="00C7637D" w:rsidRPr="001E2C69" w:rsidRDefault="00C7637D" w:rsidP="00722885">
      <w:pPr>
        <w:spacing w:after="0" w:line="240" w:lineRule="auto"/>
        <w:jc w:val="both"/>
        <w:rPr>
          <w:rFonts w:ascii="Times New Roman" w:hAnsi="Times New Roman"/>
          <w:color w:val="000000" w:themeColor="text1"/>
          <w:sz w:val="16"/>
          <w:szCs w:val="16"/>
        </w:rPr>
      </w:pPr>
    </w:p>
    <w:p w14:paraId="5757B0C4"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1E2C69">
        <w:rPr>
          <w:rFonts w:ascii="Times New Roman" w:hAnsi="Times New Roman"/>
          <w:i/>
          <w:iCs/>
          <w:color w:val="000000" w:themeColor="text1"/>
          <w:sz w:val="16"/>
          <w:szCs w:val="16"/>
        </w:rPr>
        <w:t>За</w:t>
      </w:r>
      <w:r w:rsidRPr="001E2C69">
        <w:rPr>
          <w:rFonts w:ascii="Times New Roman" w:hAnsi="Times New Roman"/>
          <w:i/>
          <w:iCs/>
          <w:color w:val="000000" w:themeColor="text1"/>
          <w:sz w:val="16"/>
          <w:szCs w:val="16"/>
          <w:lang w:val="en-US"/>
        </w:rPr>
        <w:t xml:space="preserve"> </w:t>
      </w:r>
      <w:r w:rsidRPr="001E2C69">
        <w:rPr>
          <w:rFonts w:ascii="Times New Roman" w:hAnsi="Times New Roman"/>
          <w:i/>
          <w:iCs/>
          <w:color w:val="000000" w:themeColor="text1"/>
          <w:sz w:val="16"/>
          <w:szCs w:val="16"/>
        </w:rPr>
        <w:t>рубежом</w:t>
      </w:r>
      <w:r w:rsidRPr="001E2C69">
        <w:rPr>
          <w:rFonts w:ascii="Times New Roman" w:hAnsi="Times New Roman"/>
          <w:i/>
          <w:iCs/>
          <w:color w:val="000000" w:themeColor="text1"/>
          <w:sz w:val="16"/>
          <w:szCs w:val="16"/>
          <w:lang w:val="en-US"/>
        </w:rPr>
        <w:t>:</w:t>
      </w:r>
    </w:p>
    <w:p w14:paraId="5A25214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5D796A1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lang w:val="en-US"/>
        </w:rPr>
        <w:t>July 13th, 1942: President Roosevelt orders the establishment of the OSS (Office of Strategic Services), with Colonel Donovan as director (3819).</w:t>
      </w:r>
    </w:p>
    <w:p w14:paraId="15E8E0E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2080BB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июля 1942 Президент Ф.Д.Р. подписал приказ о создании ОСС (Отдел стратегических Служб) во главе с п Доннованом (3819).</w:t>
      </w:r>
    </w:p>
    <w:p w14:paraId="29B6BF4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D5D9EB"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Авиапромышленность:</w:t>
      </w:r>
    </w:p>
    <w:p w14:paraId="4115EA4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C8B04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вышел приказ НКАП и ГУ ВВС N 524с/030:</w:t>
      </w:r>
    </w:p>
    <w:p w14:paraId="2E20815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Для разработки схем стандартной кабины самолетов, назначаем комиссию под председательством зам. нач. 7 ГУ Н.И.Петрова и чл....</w:t>
      </w:r>
    </w:p>
    <w:p w14:paraId="300FD59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Комиссии к работе приступить немедленно и схемы стандартных кабин представить на утверждение:</w:t>
      </w:r>
    </w:p>
    <w:p w14:paraId="6A82743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по истребителям к 20 июля 1942</w:t>
      </w:r>
    </w:p>
    <w:p w14:paraId="29B1161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по штурмовикам к 25 июля 1942</w:t>
      </w:r>
    </w:p>
    <w:p w14:paraId="09A96A0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по бомбардировщикам к 30 июля 1942</w:t>
      </w:r>
    </w:p>
    <w:p w14:paraId="4355DAD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Место работы комиссии - БНТ ЦАГИ (1570,43).</w:t>
      </w:r>
    </w:p>
    <w:p w14:paraId="4FBA83A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59E4C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закончились гос. испытания Як-1б, проводимые с 4 июля 1942 (65,66).</w:t>
      </w:r>
    </w:p>
    <w:p w14:paraId="30A98B5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2F3336"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июля 1942 г. в ОКБ А.С.Я. началось проектирование машины под новый мотор, так как ожидалось, что новый мотор к этому времени пройдет положенные испытания и будет готов к серийному выпуску. На следующий день компоновка ма</w:t>
      </w:r>
      <w:r w:rsidRPr="008A2E5A">
        <w:rPr>
          <w:rFonts w:ascii="Times New Roman" w:hAnsi="Times New Roman"/>
          <w:color w:val="0070C0"/>
          <w:sz w:val="16"/>
          <w:szCs w:val="16"/>
        </w:rPr>
        <w:softHyphen/>
        <w:t>шины была готова. Заказ №265 в книгу заказов ОКБ за</w:t>
      </w:r>
      <w:r w:rsidRPr="008A2E5A">
        <w:rPr>
          <w:rFonts w:ascii="Times New Roman" w:hAnsi="Times New Roman"/>
          <w:color w:val="0070C0"/>
          <w:sz w:val="16"/>
          <w:szCs w:val="16"/>
        </w:rPr>
        <w:softHyphen/>
        <w:t>писали как: «Проектирование и постройка самолета Як7- М-107 (Як-11)». Индекс в скобках, вероятно, имел отноше</w:t>
      </w:r>
      <w:r w:rsidRPr="008A2E5A">
        <w:rPr>
          <w:rFonts w:ascii="Times New Roman" w:hAnsi="Times New Roman"/>
          <w:color w:val="0070C0"/>
          <w:sz w:val="16"/>
          <w:szCs w:val="16"/>
        </w:rPr>
        <w:softHyphen/>
        <w:t xml:space="preserve">ние к проекту истребителя Як-1 с мотором М-107 и должен был подчеркнуть </w:t>
      </w:r>
      <w:r w:rsidRPr="008A2E5A">
        <w:rPr>
          <w:rFonts w:ascii="Times New Roman" w:hAnsi="Times New Roman"/>
          <w:color w:val="0070C0"/>
          <w:sz w:val="16"/>
          <w:szCs w:val="16"/>
        </w:rPr>
        <w:lastRenderedPageBreak/>
        <w:t>изначальную преемственность конструк</w:t>
      </w:r>
      <w:r w:rsidRPr="008A2E5A">
        <w:rPr>
          <w:rFonts w:ascii="Times New Roman" w:hAnsi="Times New Roman"/>
          <w:color w:val="0070C0"/>
          <w:sz w:val="16"/>
          <w:szCs w:val="16"/>
        </w:rPr>
        <w:softHyphen/>
        <w:t>ции. Однако модификация Як-7 с новым мотором в про</w:t>
      </w:r>
      <w:r w:rsidRPr="008A2E5A">
        <w:rPr>
          <w:rFonts w:ascii="Times New Roman" w:hAnsi="Times New Roman"/>
          <w:color w:val="0070C0"/>
          <w:sz w:val="16"/>
          <w:szCs w:val="16"/>
        </w:rPr>
        <w:softHyphen/>
        <w:t>цессе работ получила существенные отличия от предыду</w:t>
      </w:r>
      <w:r w:rsidRPr="008A2E5A">
        <w:rPr>
          <w:rFonts w:ascii="Times New Roman" w:hAnsi="Times New Roman"/>
          <w:color w:val="0070C0"/>
          <w:sz w:val="16"/>
          <w:szCs w:val="16"/>
        </w:rPr>
        <w:softHyphen/>
        <w:t>щего проекта и наименование Як-11 в книге заказов впо</w:t>
      </w:r>
      <w:r w:rsidRPr="008A2E5A">
        <w:rPr>
          <w:rFonts w:ascii="Times New Roman" w:hAnsi="Times New Roman"/>
          <w:color w:val="0070C0"/>
          <w:sz w:val="16"/>
          <w:szCs w:val="16"/>
        </w:rPr>
        <w:softHyphen/>
        <w:t>следствии зачеркнули. Ведущим конструктором самоле</w:t>
      </w:r>
      <w:r w:rsidRPr="008A2E5A">
        <w:rPr>
          <w:rFonts w:ascii="Times New Roman" w:hAnsi="Times New Roman"/>
          <w:color w:val="0070C0"/>
          <w:sz w:val="16"/>
          <w:szCs w:val="16"/>
        </w:rPr>
        <w:softHyphen/>
        <w:t>та назначили Г.С. Леканова. В машину ввели все собствен</w:t>
      </w:r>
      <w:r w:rsidRPr="008A2E5A">
        <w:rPr>
          <w:rFonts w:ascii="Times New Roman" w:hAnsi="Times New Roman"/>
          <w:color w:val="0070C0"/>
          <w:sz w:val="16"/>
          <w:szCs w:val="16"/>
        </w:rPr>
        <w:softHyphen/>
        <w:t>ные перспективные разработки, а также улучшения аэро</w:t>
      </w:r>
      <w:r w:rsidRPr="008A2E5A">
        <w:rPr>
          <w:rFonts w:ascii="Times New Roman" w:hAnsi="Times New Roman"/>
          <w:color w:val="0070C0"/>
          <w:sz w:val="16"/>
          <w:szCs w:val="16"/>
        </w:rPr>
        <w:softHyphen/>
        <w:t>динамики, рекомендованные ЦАГИ. В первую очередь это были крыло с металлическими лонжеронами (как на Як- 7Д) и каплевидный фонарь с улучшенным обзором (как на Як-7 М-82). Самолет лишился характерной «бороды» маслорадиатора, который разместили в центральной части крыла. Воздух для охлаждения поступал через воздухоза</w:t>
      </w:r>
      <w:r w:rsidRPr="008A2E5A">
        <w:rPr>
          <w:rFonts w:ascii="Times New Roman" w:hAnsi="Times New Roman"/>
          <w:color w:val="0070C0"/>
          <w:sz w:val="16"/>
          <w:szCs w:val="16"/>
        </w:rPr>
        <w:softHyphen/>
        <w:t>борники в носке крыла по двум тоннелям и выводился че</w:t>
      </w:r>
      <w:r w:rsidRPr="008A2E5A">
        <w:rPr>
          <w:rFonts w:ascii="Times New Roman" w:hAnsi="Times New Roman"/>
          <w:color w:val="0070C0"/>
          <w:sz w:val="16"/>
          <w:szCs w:val="16"/>
        </w:rPr>
        <w:softHyphen/>
        <w:t>рез две регулирующиеся створки на его нижней поверх</w:t>
      </w:r>
      <w:r w:rsidRPr="008A2E5A">
        <w:rPr>
          <w:rFonts w:ascii="Times New Roman" w:hAnsi="Times New Roman"/>
          <w:color w:val="0070C0"/>
          <w:sz w:val="16"/>
          <w:szCs w:val="16"/>
        </w:rPr>
        <w:softHyphen/>
        <w:t>ности. Створки разнесли по размаху крыла с таким расче</w:t>
      </w:r>
      <w:r w:rsidRPr="008A2E5A">
        <w:rPr>
          <w:rFonts w:ascii="Times New Roman" w:hAnsi="Times New Roman"/>
          <w:color w:val="0070C0"/>
          <w:sz w:val="16"/>
          <w:szCs w:val="16"/>
        </w:rPr>
        <w:softHyphen/>
        <w:t>том, чтобы выходящий горячий воздух не попадал на вход водорадиатора. Водорадиатор с увеличенной площадью охлаждения разместили аналогично Як-1 за крылом в про</w:t>
      </w:r>
      <w:r w:rsidRPr="008A2E5A">
        <w:rPr>
          <w:rFonts w:ascii="Times New Roman" w:hAnsi="Times New Roman"/>
          <w:color w:val="0070C0"/>
          <w:sz w:val="16"/>
          <w:szCs w:val="16"/>
        </w:rPr>
        <w:softHyphen/>
        <w:t>филированном тоннеле, максимально утопив его в фюзе</w:t>
      </w:r>
      <w:r w:rsidRPr="008A2E5A">
        <w:rPr>
          <w:rFonts w:ascii="Times New Roman" w:hAnsi="Times New Roman"/>
          <w:color w:val="0070C0"/>
          <w:sz w:val="16"/>
          <w:szCs w:val="16"/>
        </w:rPr>
        <w:softHyphen/>
        <w:t>ляж. Дополнительно, предугадывая проблемы с охлажде</w:t>
      </w:r>
      <w:r w:rsidRPr="008A2E5A">
        <w:rPr>
          <w:rFonts w:ascii="Times New Roman" w:hAnsi="Times New Roman"/>
          <w:color w:val="0070C0"/>
          <w:sz w:val="16"/>
          <w:szCs w:val="16"/>
        </w:rPr>
        <w:softHyphen/>
        <w:t>нием М-107, конструкторы спроектировали принудитель</w:t>
      </w:r>
      <w:r w:rsidRPr="008A2E5A">
        <w:rPr>
          <w:rFonts w:ascii="Times New Roman" w:hAnsi="Times New Roman"/>
          <w:color w:val="0070C0"/>
          <w:sz w:val="16"/>
          <w:szCs w:val="16"/>
        </w:rPr>
        <w:softHyphen/>
        <w:t>ное отклонение передней кромки водорадиатора вниз для увеличения при необходимости площади входного отвер</w:t>
      </w:r>
      <w:r w:rsidRPr="008A2E5A">
        <w:rPr>
          <w:rFonts w:ascii="Times New Roman" w:hAnsi="Times New Roman"/>
          <w:color w:val="0070C0"/>
          <w:sz w:val="16"/>
          <w:szCs w:val="16"/>
        </w:rPr>
        <w:softHyphen/>
        <w:t>стия. Состав вооружения остался прежним: 20 мм мотор-пушка ШВАК и два синхронных 12,7-мм пулеме</w:t>
      </w:r>
      <w:r w:rsidRPr="008A2E5A">
        <w:rPr>
          <w:rFonts w:ascii="Times New Roman" w:hAnsi="Times New Roman"/>
          <w:color w:val="0070C0"/>
          <w:sz w:val="16"/>
          <w:szCs w:val="16"/>
        </w:rPr>
        <w:softHyphen/>
        <w:t>та УБС. В связи с новой компоновкой и дополнительными нагрузками в июле 1942 г. провели статические испытания моторамы и фюзеляжа.</w:t>
      </w:r>
    </w:p>
    <w:p w14:paraId="04CC735D"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Из-за отсутствия мотора работы по самолету засто</w:t>
      </w:r>
      <w:r w:rsidRPr="008A2E5A">
        <w:rPr>
          <w:rFonts w:ascii="Times New Roman" w:hAnsi="Times New Roman"/>
          <w:color w:val="0070C0"/>
          <w:sz w:val="16"/>
          <w:szCs w:val="16"/>
        </w:rPr>
        <w:softHyphen/>
        <w:t>порились и возобновились только в сентябре 1942 г. По книге заказов ОКБ 22 сентября 1942 г. начали изготовле</w:t>
      </w:r>
      <w:r w:rsidRPr="008A2E5A">
        <w:rPr>
          <w:rFonts w:ascii="Times New Roman" w:hAnsi="Times New Roman"/>
          <w:color w:val="0070C0"/>
          <w:sz w:val="16"/>
          <w:szCs w:val="16"/>
        </w:rPr>
        <w:softHyphen/>
        <w:t>ние второго прототипа машины Як-7 М-107 Дублер (за</w:t>
      </w:r>
      <w:r w:rsidRPr="008A2E5A">
        <w:rPr>
          <w:rFonts w:ascii="Times New Roman" w:hAnsi="Times New Roman"/>
          <w:color w:val="0070C0"/>
          <w:sz w:val="16"/>
          <w:szCs w:val="16"/>
        </w:rPr>
        <w:softHyphen/>
        <w:t>каз №281). Однако в отчете завода №115 за 1943 г. затра</w:t>
      </w:r>
      <w:r w:rsidRPr="008A2E5A">
        <w:rPr>
          <w:rFonts w:ascii="Times New Roman" w:hAnsi="Times New Roman"/>
          <w:color w:val="0070C0"/>
          <w:sz w:val="16"/>
          <w:szCs w:val="16"/>
        </w:rPr>
        <w:softHyphen/>
        <w:t>ты по обоим заказам сведены в один (№265/281) и по од</w:t>
      </w:r>
      <w:r w:rsidRPr="008A2E5A">
        <w:rPr>
          <w:rFonts w:ascii="Times New Roman" w:hAnsi="Times New Roman"/>
          <w:color w:val="0070C0"/>
          <w:sz w:val="16"/>
          <w:szCs w:val="16"/>
        </w:rPr>
        <w:softHyphen/>
        <w:t>ному экземпляру самолета, что позволяет предположить не начало изготовления второго прототипа, а проведение доработки проекта под мотор М-107А, которого в ОКБ еще не было (23381).</w:t>
      </w:r>
    </w:p>
    <w:p w14:paraId="32727AF9" w14:textId="77777777" w:rsidR="00203577" w:rsidRPr="008A2E5A" w:rsidRDefault="00203577" w:rsidP="00203577">
      <w:pPr>
        <w:spacing w:after="0" w:line="240" w:lineRule="auto"/>
        <w:jc w:val="both"/>
        <w:rPr>
          <w:rFonts w:ascii="Times New Roman" w:hAnsi="Times New Roman"/>
          <w:color w:val="0070C0"/>
          <w:sz w:val="16"/>
          <w:szCs w:val="16"/>
        </w:rPr>
      </w:pPr>
    </w:p>
    <w:p w14:paraId="7353708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ГУ ВВС писал письмо N 375822 Г.М.М.:</w:t>
      </w:r>
    </w:p>
    <w:p w14:paraId="6310E8C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"Согласно постановлению ГОКО N 1895сс от 7 июня 1942 завод 21 с 1 июля 1942 был обязан выпускать в серии ЛаГГ-3 с предкрылками.</w:t>
      </w:r>
    </w:p>
    <w:p w14:paraId="1ABEC5F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постановление в срок не выполнил и продолжает предъявлять самолеты без предкрылков. На 12 июля 1942 с предкрылками было сдано заводом 7 ЛаГГ-3 и 8 ЛаГГ-5." (1633,180).</w:t>
      </w:r>
    </w:p>
    <w:p w14:paraId="23BDDDB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EE88EC" w14:textId="77777777" w:rsidR="008A74A4" w:rsidRPr="001E2C69" w:rsidRDefault="008A74A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вышел приказ НКАП и ГУ ВВС № 524/030: «...Для разработки схем стандартной кабины самолетов, назначаем комиссию под пред - седательством зам. нач. 7 ГУ Н. И. Петрова... Комис - сии к работе приступить немедленно и схемы стандартных кабин представить на утверждение: по истребителям к 20 июля 1942 г., по штурмовикам к 25 июля 1942 г., по бомбардировщикам к 30 июля 1942 г... Место работы комиссии — БНТ ЦАГИ» (19727).</w:t>
      </w:r>
    </w:p>
    <w:p w14:paraId="6B07935C" w14:textId="77777777" w:rsidR="008A74A4" w:rsidRPr="001E2C69" w:rsidRDefault="008A74A4" w:rsidP="00722885">
      <w:pPr>
        <w:spacing w:after="0" w:line="240" w:lineRule="auto"/>
        <w:jc w:val="both"/>
        <w:rPr>
          <w:rFonts w:ascii="Times New Roman" w:hAnsi="Times New Roman"/>
          <w:color w:val="000000" w:themeColor="text1"/>
          <w:sz w:val="16"/>
          <w:szCs w:val="16"/>
        </w:rPr>
      </w:pPr>
    </w:p>
    <w:p w14:paraId="02A7660E" w14:textId="77777777" w:rsidR="005C1F18" w:rsidRPr="001E2C69" w:rsidRDefault="005C1F1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shd w:val="clear" w:color="auto" w:fill="FFFFFF"/>
        </w:rPr>
        <w:t>14 июля 1942 г. начальник ГУ ГВФ B.C. Молоков направил Сталину письмо с просьбой разрешить использовать в тылу трофейные немецкие самолеты. В октябре того же года к парку "Аэрофлота" добавился первый "юнкерс", через месяц - еще один. Но из-за нехватки запчастей из четырех Ю-52 летать могли только два. Все четыре машины в это время числились за Западно-Сибирским управлением ГВФ (управление магистрали было расформировано) (21550).</w:t>
      </w:r>
    </w:p>
    <w:p w14:paraId="6B02E041" w14:textId="77777777" w:rsidR="005C1F18" w:rsidRPr="001E2C69" w:rsidRDefault="005C1F18" w:rsidP="00722885">
      <w:pPr>
        <w:spacing w:after="0" w:line="240" w:lineRule="auto"/>
        <w:jc w:val="both"/>
        <w:rPr>
          <w:rFonts w:ascii="Times New Roman" w:hAnsi="Times New Roman"/>
          <w:color w:val="000000" w:themeColor="text1"/>
          <w:sz w:val="16"/>
          <w:szCs w:val="16"/>
        </w:rPr>
      </w:pPr>
    </w:p>
    <w:p w14:paraId="1CAD1128"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Другие оборонные отрасли:</w:t>
      </w:r>
    </w:p>
    <w:p w14:paraId="3677F23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93004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г. И. Сталин дал И. Зальцману, который высказал соображение, что выпуск тан</w:t>
      </w:r>
      <w:r w:rsidRPr="001E2C69">
        <w:rPr>
          <w:rFonts w:ascii="Times New Roman" w:hAnsi="Times New Roman"/>
          <w:color w:val="000000" w:themeColor="text1"/>
          <w:sz w:val="16"/>
          <w:szCs w:val="16"/>
        </w:rPr>
        <w:softHyphen/>
        <w:t>ков на существующих площадях еще не достиг своего апогея и может быть еще увеличен, проверить расчеты практикой и в кресле нар</w:t>
      </w:r>
      <w:r w:rsidRPr="001E2C69">
        <w:rPr>
          <w:rFonts w:ascii="Times New Roman" w:hAnsi="Times New Roman"/>
          <w:color w:val="000000" w:themeColor="text1"/>
          <w:sz w:val="16"/>
          <w:szCs w:val="16"/>
        </w:rPr>
        <w:softHyphen/>
        <w:t>кома танковой промышленности оказался И. Зальцман. Новый нарком старался изо всех сил, чтобы дела шли лучше. «Суточный план выпуска танков вырос на треть... Иса</w:t>
      </w:r>
      <w:r w:rsidRPr="001E2C69">
        <w:rPr>
          <w:rFonts w:ascii="Times New Roman" w:hAnsi="Times New Roman"/>
          <w:color w:val="000000" w:themeColor="text1"/>
          <w:sz w:val="16"/>
          <w:szCs w:val="16"/>
        </w:rPr>
        <w:softHyphen/>
        <w:t>ак Моисеевич старался, чтобы всякое дело шло скорее. Он каж</w:t>
      </w:r>
      <w:r w:rsidRPr="001E2C69">
        <w:rPr>
          <w:rFonts w:ascii="Times New Roman" w:hAnsi="Times New Roman"/>
          <w:color w:val="000000" w:themeColor="text1"/>
          <w:sz w:val="16"/>
          <w:szCs w:val="16"/>
        </w:rPr>
        <w:softHyphen/>
        <w:t>дый день справлялся, как наши дела и каковы причины невыпол</w:t>
      </w:r>
      <w:r w:rsidRPr="001E2C69">
        <w:rPr>
          <w:rFonts w:ascii="Times New Roman" w:hAnsi="Times New Roman"/>
          <w:color w:val="000000" w:themeColor="text1"/>
          <w:sz w:val="16"/>
          <w:szCs w:val="16"/>
        </w:rPr>
        <w:softHyphen/>
        <w:t>нения программ... Может, он просто не доверял нам и потому все время торопил и опекал всех?» — Вспоминал П. Левин. Однако «танковое поголовье» расти по-прежнему не спешило. Правда, к осени предъявление танков несколько увеличилось, но приемка не разделяла радость наркома. Почти все машины, изготовленные сверх плана к новому 1943 г., были забракованы...(11135).</w:t>
      </w:r>
    </w:p>
    <w:p w14:paraId="4C7F037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B45A8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года танк профессора Военно-морской академии Н. Петровского, изготовленный на бронерембазе № 7 испытали на реке Прямая Болда в районе Астраханской ГЭС. Машина прошла по дну реки шириной 250 метров и максимальной глубиной 7,7 метра. Дальнейшего развития эта работа не получила (12217).</w:t>
      </w:r>
    </w:p>
    <w:p w14:paraId="05028BCC"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DB9C9E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г. был подготовлен АКТ ИСПЫТАНИЯ ТАНКА Т-34, ОБОРУДОВАННОГО ПРИСПОСОБЛЕНИЯМИ СИСТЕМЫ ПРОФЕССОРА ПЕТРОВСКОГО Н.В. ДЛЯ ДВИЖЕНИЯ ЕГО ПО ГРУНТУ РЕКИ</w:t>
      </w:r>
    </w:p>
    <w:p w14:paraId="6B8396F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Мы, нижеподписавшиеся, составили настоящий акт в том, что 14 июля танк Т-34 №30 — 01, обо</w:t>
      </w:r>
      <w:r w:rsidRPr="001E2C69">
        <w:rPr>
          <w:rFonts w:ascii="Times New Roman" w:hAnsi="Times New Roman"/>
          <w:color w:val="000000" w:themeColor="text1"/>
          <w:sz w:val="16"/>
          <w:szCs w:val="16"/>
        </w:rPr>
        <w:softHyphen/>
        <w:t>рудованный приспособлениями системы профессора Н.В. Петровского, по первому варианту (с ори</w:t>
      </w:r>
      <w:r w:rsidRPr="001E2C69">
        <w:rPr>
          <w:rFonts w:ascii="Times New Roman" w:hAnsi="Times New Roman"/>
          <w:color w:val="000000" w:themeColor="text1"/>
          <w:sz w:val="16"/>
          <w:szCs w:val="16"/>
        </w:rPr>
        <w:softHyphen/>
        <w:t>ентиром) подвергался испытанию по хождению его по грунту реки Прямая Болда в районе Астра</w:t>
      </w:r>
      <w:r w:rsidRPr="001E2C69">
        <w:rPr>
          <w:rFonts w:ascii="Times New Roman" w:hAnsi="Times New Roman"/>
          <w:color w:val="000000" w:themeColor="text1"/>
          <w:sz w:val="16"/>
          <w:szCs w:val="16"/>
        </w:rPr>
        <w:softHyphen/>
        <w:t>ханской ГЭС.</w:t>
      </w:r>
    </w:p>
    <w:p w14:paraId="324402E3"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Машина успешно перешла четыре раза участок этой реки шириной 250 метров и максимальной глубиной 7,7 метров.</w:t>
      </w:r>
    </w:p>
    <w:p w14:paraId="762F80E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Движение ее с правого берега на левый происходило под углом около 45° к попутному потоку во</w:t>
      </w:r>
      <w:r w:rsidRPr="001E2C69">
        <w:rPr>
          <w:rFonts w:ascii="Times New Roman" w:hAnsi="Times New Roman"/>
          <w:color w:val="000000" w:themeColor="text1"/>
          <w:sz w:val="16"/>
          <w:szCs w:val="16"/>
        </w:rPr>
        <w:softHyphen/>
        <w:t>ды и с левого берега на правый под тем же углом к встречному потоку.</w:t>
      </w:r>
    </w:p>
    <w:p w14:paraId="1771E25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Переход с берега на берег в первом случае протекал 2,5 минуты (скорость движения 6 км в час) и во втором 4,5 минуты (скорость движения 4,3 км в час).</w:t>
      </w:r>
    </w:p>
    <w:p w14:paraId="0705AA6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входе в воду мотор работал как обычно, двумя группами. После погружения кормы тапка происходило выключение одной группы цилиндров и цикл замыкался через холодильник.</w:t>
      </w:r>
    </w:p>
    <w:p w14:paraId="7F66259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движении на большой глубине отмечались на поверхности воды дым и пузырьки газа, пос</w:t>
      </w:r>
      <w:r w:rsidRPr="001E2C69">
        <w:rPr>
          <w:rFonts w:ascii="Times New Roman" w:hAnsi="Times New Roman"/>
          <w:color w:val="000000" w:themeColor="text1"/>
          <w:sz w:val="16"/>
          <w:szCs w:val="16"/>
        </w:rPr>
        <w:softHyphen/>
        <w:t>ледние отставали от машины приблизительно на 15 метров.</w:t>
      </w:r>
    </w:p>
    <w:p w14:paraId="0CBD610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достижении противоположного берега переключение мотора на две группы происходило по</w:t>
      </w:r>
      <w:r w:rsidRPr="001E2C69">
        <w:rPr>
          <w:rFonts w:ascii="Times New Roman" w:hAnsi="Times New Roman"/>
          <w:color w:val="000000" w:themeColor="text1"/>
          <w:sz w:val="16"/>
          <w:szCs w:val="16"/>
        </w:rPr>
        <w:softHyphen/>
        <w:t>сле открытия бокового перископа башни.</w:t>
      </w:r>
    </w:p>
    <w:p w14:paraId="584052E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Участок реки в направлении движения имел песчаный грунт, покрытый толстым слоем жидкого ила.</w:t>
      </w:r>
    </w:p>
    <w:p w14:paraId="36B8A64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Углы подъема русла реки на правом берегу составляли около 18° и на левом около 20°.</w:t>
      </w:r>
    </w:p>
    <w:p w14:paraId="64CFED7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Машина имела гибкий шланг для питания мотора воздухом, шланг поддерживался на свободном конце двумя нормальными пробковыми кругами.</w:t>
      </w:r>
    </w:p>
    <w:p w14:paraId="17D71D1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движении курс поддерживался курсоуказателем.</w:t>
      </w:r>
    </w:p>
    <w:p w14:paraId="3282FFA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Герметизация осуществлялась чехлом. После двух переходов количество воды, поступившей че</w:t>
      </w:r>
      <w:r w:rsidRPr="001E2C69">
        <w:rPr>
          <w:rFonts w:ascii="Times New Roman" w:hAnsi="Times New Roman"/>
          <w:color w:val="000000" w:themeColor="text1"/>
          <w:sz w:val="16"/>
          <w:szCs w:val="16"/>
        </w:rPr>
        <w:softHyphen/>
        <w:t>рез неплотности корпуса, составляло около 5-6 ведер.</w:t>
      </w:r>
    </w:p>
    <w:p w14:paraId="6696616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Температура в отсеке была повышенной, но допустимой для нормальной работы команды. Двое из команды (водители Михайленко и Донец) работали в кислородных масках, а обеспечивающий их водолаз Шмидт при переходах аппаратом не пользовался. Каких-либо особых претензий, за исклю</w:t>
      </w:r>
      <w:r w:rsidRPr="001E2C69">
        <w:rPr>
          <w:rFonts w:ascii="Times New Roman" w:hAnsi="Times New Roman"/>
          <w:color w:val="000000" w:themeColor="text1"/>
          <w:sz w:val="16"/>
          <w:szCs w:val="16"/>
        </w:rPr>
        <w:softHyphen/>
        <w:t>чением жалобы на повышенный шум и температуру, команда танка не заявляла.</w:t>
      </w:r>
    </w:p>
    <w:p w14:paraId="3223FEB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Наоборот, отмечалось стремление команды повторить испытание в более тяжелых условиях.</w:t>
      </w:r>
    </w:p>
    <w:p w14:paraId="29F093B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всех испытаний никаких неполадок в моторе не произошло.</w:t>
      </w:r>
    </w:p>
    <w:p w14:paraId="0D5ED0E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двух последних испытаниях присутствовали:</w:t>
      </w:r>
    </w:p>
    <w:p w14:paraId="098030F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Председатель Астраханского комитета обороны т. Голышев,</w:t>
      </w:r>
    </w:p>
    <w:p w14:paraId="15E241E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Окр. НКВД - т. Лукьянов,</w:t>
      </w:r>
    </w:p>
    <w:p w14:paraId="2407F9A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ВМА им. Ворошилова - инженер-капитан 1 ранга т. Штейнберг,</w:t>
      </w:r>
    </w:p>
    <w:p w14:paraId="6101BD0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Военком ВМА - полковой комиссар т. Меерсон,</w:t>
      </w:r>
    </w:p>
    <w:p w14:paraId="1ABEBB2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кафедры Б.О. - генерал-майор т. Павлов,</w:t>
      </w:r>
    </w:p>
    <w:p w14:paraId="221F4ED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учебного отряда Эпрон — капитан 2 ранга т. Настусевич.</w:t>
      </w:r>
    </w:p>
    <w:p w14:paraId="26206F5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Комиссия, производившая испытания:</w:t>
      </w:r>
    </w:p>
    <w:p w14:paraId="455D13C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Военинженер 1 ранга</w:t>
      </w:r>
    </w:p>
    <w:p w14:paraId="1ECCC70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доктор технических наук профессор Н.В. Петровский</w:t>
      </w:r>
    </w:p>
    <w:p w14:paraId="30FD576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рембазы № 7 военинженер 1 ранга В.В. Простяков</w:t>
      </w:r>
    </w:p>
    <w:p w14:paraId="020ED2C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Военком рембазы № 7 батальонный комиссар В.И. Ружанский</w:t>
      </w:r>
    </w:p>
    <w:p w14:paraId="0DB9C7C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цеха № 15 Василии</w:t>
      </w:r>
    </w:p>
    <w:p w14:paraId="2B321E2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ОТК капитан Н.С. Шлыков</w:t>
      </w:r>
    </w:p>
    <w:p w14:paraId="3CBC58A6"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Водитель Г.Т. Михайленко Контрольный мастер И.В. Донец ЦАМО. Ф. 38. Он. 11355. Д. 936. Л. 111-113. Подлинник (11211).</w:t>
      </w:r>
    </w:p>
    <w:p w14:paraId="20A1A9E7"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p>
    <w:p w14:paraId="594043C9"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г.</w:t>
      </w:r>
    </w:p>
    <w:p w14:paraId="117564B1"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РГАЭ Фонд 8752 Опись 4 Дело 92 лист 221 – 220</w:t>
      </w:r>
    </w:p>
    <w:p w14:paraId="5FA498A4"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Секретно.</w:t>
      </w:r>
    </w:p>
    <w:p w14:paraId="4880AA36"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 НАРОДНОГО КОМИССАРА ТАНКОВОЙ ПРОМЫШЛЕННОСТИ СОЮЗА ССР № 522с</w:t>
      </w:r>
    </w:p>
    <w:p w14:paraId="0B0EC345"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Москва</w:t>
      </w:r>
    </w:p>
    <w:p w14:paraId="5065E5E3"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г.</w:t>
      </w:r>
    </w:p>
    <w:p w14:paraId="70311BAA"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обеспечения выпуска машин Т-34 на заводе № 174 в III кв. ПРИКАЗЫВАЮ:</w:t>
      </w:r>
    </w:p>
    <w:p w14:paraId="26FF3FAC"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1. Директору завода № 174 (т. КАЦНЕЛЬСОН):</w:t>
      </w:r>
    </w:p>
    <w:p w14:paraId="293A6727"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к 10 августа с.г. установить и смонтировать 5-тонную электропечь и приступить к отливке литья для машины Т-34;</w:t>
      </w:r>
    </w:p>
    <w:p w14:paraId="40940973"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немедленно приступить к отливке траков, обеспечив полностью потребным количеством с установленной полуторатонной электропечи, взяв за основу технологию отливки траков завода № 183;</w:t>
      </w:r>
    </w:p>
    <w:p w14:paraId="0A3B6928"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помимо литых башен приступить немедленно к изготовлению сварных башен. Начальнику 3-го Главного Управления т. ХАБАХПАШЕВУ обеспечить завод № 174 необходимым количеством брони с учетом изготовления сварных башен;</w:t>
      </w:r>
    </w:p>
    <w:p w14:paraId="243DD7FC"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передать заводу № 200 две крановые тележки;</w:t>
      </w:r>
    </w:p>
    <w:p w14:paraId="739397B7"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 откомандировать в распоряжение директора завода № 200 т. Сочивко временно 50 чел. рабочих.</w:t>
      </w:r>
    </w:p>
    <w:p w14:paraId="00303807"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Директору завода № 200 т. СОЧИВКО:</w:t>
      </w:r>
    </w:p>
    <w:p w14:paraId="54E2116D"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полностью перевести 10-тонную электропечь только на отливку деталей для завода № 174 по спецификации последнего;</w:t>
      </w:r>
    </w:p>
    <w:p w14:paraId="7FC354DE"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обеспечить завод № 174 литьем без башен 300 тн. ежемесячно;</w:t>
      </w:r>
    </w:p>
    <w:p w14:paraId="039BC1D0"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закончить все строительно-монтажные работы по участку фасонно-литейного цеха № 10 к 25 июля (пуск крана, установка формовочных машин и т.д.). Разрешить производить работы аккордно;</w:t>
      </w:r>
    </w:p>
    <w:p w14:paraId="0966F11A"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немедленно приступить к организации участков фасонного литья неиспользуемого 4-го пролета мартеновского цеха;</w:t>
      </w:r>
    </w:p>
    <w:p w14:paraId="4D3C3030"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 к 15 августа изготовить и смонтировать 2 крана для 4-го пролета мартеновского цеха.</w:t>
      </w:r>
    </w:p>
    <w:p w14:paraId="19116EB1"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Директору завода № 183 т. МАКСАРЕВУ обеспечить изготовление литья для завода № 174 в количестве:</w:t>
      </w:r>
    </w:p>
    <w:p w14:paraId="4CD03A31"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месяце – 100 комплектов по спецификации согласно приказа НКТП № 514с от 9/VII-42 г.</w:t>
      </w:r>
    </w:p>
    <w:p w14:paraId="6B5544FC"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месяце – 100 комплектов</w:t>
      </w:r>
    </w:p>
    <w:p w14:paraId="414479EC"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сентябре месяце – 100 комплектов по спецификации согласно приказа НКТП № 520сс от 13/VII-42 г.</w:t>
      </w:r>
    </w:p>
    <w:p w14:paraId="7B062EAB"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Разрешить отправку литья заводу № 174 производить без обрубки.</w:t>
      </w:r>
    </w:p>
    <w:p w14:paraId="37395174"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Директору Уралмашзавода т. МУЗРУКОВУ обеспечить поставку стального литья для корпусов Т-34 заводу № 174 по спецификации последнего в количестве:</w:t>
      </w:r>
    </w:p>
    <w:p w14:paraId="2CF6A862"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месяце – 50 комплектов</w:t>
      </w:r>
    </w:p>
    <w:p w14:paraId="0DA677E5"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месяце – 70 комплектов</w:t>
      </w:r>
    </w:p>
    <w:p w14:paraId="465239D3"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сентябре месяце – 100 комплектов</w:t>
      </w:r>
    </w:p>
    <w:p w14:paraId="5B811EE1"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Контроль за выполнением этого приказа возложить на т. ЩЕРБАКОВА.</w:t>
      </w:r>
    </w:p>
    <w:p w14:paraId="038A85AB"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НАРОДНЫЙ КОМИССАР ТАНКОВОЙ ПРОМЫШЛЕННОСТИ СОЮЗА ССР подпись И. ЗАЛЬЦМАН (21222).</w:t>
      </w:r>
    </w:p>
    <w:p w14:paraId="7436A21F" w14:textId="77777777" w:rsidR="00C9620F" w:rsidRPr="001E2C69" w:rsidRDefault="00C9620F" w:rsidP="00722885">
      <w:pPr>
        <w:spacing w:after="0" w:line="240" w:lineRule="auto"/>
        <w:jc w:val="both"/>
        <w:rPr>
          <w:rFonts w:ascii="Times New Roman" w:hAnsi="Times New Roman"/>
          <w:color w:val="000000" w:themeColor="text1"/>
          <w:sz w:val="16"/>
          <w:szCs w:val="16"/>
        </w:rPr>
      </w:pPr>
    </w:p>
    <w:p w14:paraId="6EF67785" w14:textId="77777777" w:rsidR="00C9620F" w:rsidRPr="001E2C69" w:rsidRDefault="00C9620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14 июля 1941 нарком среднего машиностроения В.А. Малышев оказался на заводе № 37, изучил вопрос на месте, после чего дал идее зеленый свет. Так родился малый танк Т-30 (изначально он именовался Т-60) (21348).</w:t>
      </w:r>
    </w:p>
    <w:p w14:paraId="005417B1" w14:textId="77777777" w:rsidR="00C9620F" w:rsidRPr="001E2C69" w:rsidRDefault="00C9620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4FFD556"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вышло Постановление ГКО № 2036 [О передаче грузовых автомашин ЛФ в автопарк РГК.] (7042, 170).</w:t>
      </w:r>
    </w:p>
    <w:p w14:paraId="15A83CF4"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37281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вышло Постановление ГКО № 2037 Об обеспечении вывоза из Кузбасса угля текущей добычи и запаса. РГАНИР, Фонд ГКО, д. 43, лл. 171-177 (11012).</w:t>
      </w:r>
    </w:p>
    <w:p w14:paraId="4909F73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5CB79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вышло Постановление ГКО № 2038 О т. Гурове К.А. (назначение) РГАНИР, Фонд ГКО, д. 43, лл. 178 (11012).</w:t>
      </w:r>
    </w:p>
    <w:p w14:paraId="65FBFCD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1E930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г. вышло Постановление ГКО № 2040 «О производстве и поставках химического вооружения и химикатов для выпуска боеприпасов в III квартале 1942 года» (Д. 78. Л. 20–75, 78–80).</w:t>
      </w:r>
    </w:p>
    <w:p w14:paraId="22FC2B3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13DB5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вышло Постановление ГКО № 2041 О вывозе неиспользуемого оборудования с завода "Красный Октябрь". РГАНИР, Фонд ГКО, д. 44, лл. 1 (11012).</w:t>
      </w:r>
    </w:p>
    <w:p w14:paraId="77D26F1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FBF6E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вышло Постановление ГКО № 2042 О формировании 20 гвардейских минометных полков М-8 и М-13. РГАНИР, Фонд ГКО, д. 44, лл. 2, 3-16 (11012).</w:t>
      </w:r>
    </w:p>
    <w:p w14:paraId="033BF56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414E9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вышло Постановление ГКО № 2043 Об изготовлении аэродромных компрессорных станций для НКО и НКВМФ во II квартале 1942 г. РГАНИР, Фонд ГКО, д. 44, лл. 17-18, 19-27 (11012).</w:t>
      </w:r>
    </w:p>
    <w:p w14:paraId="1A702A0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0A44F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вышло Постановление ГКО № 2044 О ремонтно-монтажном инструменте и приспособлениях для ВВС КА и ВМФ. РГАНИР, Фонд ГКО, д. 44, лл. 28-29, 30-105 (11012).</w:t>
      </w:r>
    </w:p>
    <w:p w14:paraId="11045E1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9A988E"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г. Приказом И.К. Седина в Наркомнефти для координации деятельности предприятий и организаций отрасли по увеличению объемов производства высокооктановых бензинов была создана специальная группа во главе с Ф.И. Волынцевым. В нее также вошли инженеры А.С. Эйгенсон, В. Иванников, М.Е. Черныш и другие. Вскоре напряженная и самоотверженная работа сотрудников наркомата принесла свои плоды. Впоследствии работа советских инженеров М. Горелика, В. Гутыри, А. Маркина, Л. Самойлова, Б. Рыбака «Разработка и внедрение комбинированной жидкофазной очистки со вторичной перегонкой широких бензиновых фракций низкооктановых нефтей с целью увеличения выработки авиационных бензинов» была удостоена Сталинской премии. Молодой бакинский ученый Юсуф Мамедалиев наряду с новаторским технологическим процессом «синтеза толуола алкилированием и деалкилированием ароматических углеводородов» сумел разработать и внедрить в производство оригинальную технологию получения высокооктановых компонентов на установке по очистке бензина бакинского завода № 10 (11523).</w:t>
      </w:r>
    </w:p>
    <w:p w14:paraId="18DB77A0"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p>
    <w:p w14:paraId="3688E84D"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Армия:</w:t>
      </w:r>
    </w:p>
    <w:p w14:paraId="3D44AE2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D9383B"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в 1942 году утреннее сообщение Совинформбюро:</w:t>
      </w:r>
    </w:p>
    <w:p w14:paraId="3E4ED5CC"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«B течение ночи на 14 июля наши войска вели ожесточённые бои с противником в районе Воронежа и южнее города Богучар.</w:t>
      </w:r>
    </w:p>
    <w:p w14:paraId="716CCCF2"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75FF57F2"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Противник, сосредоточив на узком участке крупные силы, прорвался в район Воронежа. Наши войска ведут героическую борьбу с врагом. На ряде участков продолжаются большие танковые бои. Экипаж танка гвардии капитана Амелина поджёг немецкий танк, уничтожил 2 миномётные батареи и противотанковое орудие. Экипаж тяжёлого танка, который вёл тов. Марченко, огнём и гусеницами истребил до 60 немецких солдат и уничтожил миномётную батарею. Экипаж танка лейтенанта Неписова уничтожил 10 орудий, 4 автомашины, 6 мотоциклов и до 100 гитлеровцев. 3а последние три дня лётчики части, которой командует тов. Белицкий, в воздушных боях сбили 40 немецких самолётов.</w:t>
      </w:r>
    </w:p>
    <w:p w14:paraId="5FDDDED1"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Богучара наши войска ведут ожесточённые бои с наступающими войсками противника. На отдельных участках наши танковые подразделения совершили налёты на боевые порядки гитлеровцев и уничтожили около 40 автомашин с пехотой, 13 противотанковых орудий и 14 немецких танков.</w:t>
      </w:r>
    </w:p>
    <w:p w14:paraId="5DB9D429"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Наша часть под командованием тов. Лопова (Калининский фронт) в течение шести дней боевых действий уничтожила свыше 2 тысяч немецких солдат и офицеров и 54 танка противника. На другом участке фронта противник бросил в атаку 3 батальона пехоты и 42 танка. Наши бойцы отбили атаку немцев и уничтожили 12 танков и до 700 гитлеровцев. Возле населённого пункта Е. немцы выбросили воздушный десант. Многие парашютисты были расстреляны раньше, чем они успели приземлиться. Остальные уничтожены на земле.</w:t>
      </w:r>
    </w:p>
    <w:p w14:paraId="3D0D19BD"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 штурмовые и истребительные авиачасти нанесли одновременный массированный удар по четырём аэродромам противника. Налёт советской авиации застал противника врасплох. Наши лётчики на двух аэродромах уничтожили до 25 самолётов и ангар, на третьем аэродроме — около 70 самолётов и на четвёртом аэродроме — 18 немецких самолётов.</w:t>
      </w:r>
    </w:p>
    <w:p w14:paraId="3AA13044"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Девять лётчиков-истребителей под командованием Героя Советского Союза подполковника Шинкаренко, прикрывая наземные части с воздуха, заметили 17 немецких бомбардировщиков, которые шли в сопровождении большого числа истребителей. Несмотря на численное превосходство противника, советские лётчики атаковали вражеские самолёты и навязали им бой. Подполковник Шинкаренко и старший лейтенант Зайцев сбили по 2 немецких самолёта каждый. Подполковник Черепанов и капитан Вараксин сбили по одному «Мессершмитту».</w:t>
      </w:r>
    </w:p>
    <w:p w14:paraId="54C57AEA"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позиции орудийного расчёта гвардии сержанта Хлынцева приближалась танковая колонна противника. Выдвинув орудие на открытую позицию, артиллеристы открыли огонь и подбили 3 немецких танка.</w:t>
      </w:r>
    </w:p>
    <w:p w14:paraId="37095786"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украинских партизан совершил успешный налёт на немецкий склад с горючим. Советские патриоты истребили охрану, сожгли большое количество бензина и 6 автоцистерн.</w:t>
      </w:r>
    </w:p>
    <w:p w14:paraId="7C6F7476"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Ниже публикуются выдержки из записной книжки убитого немецкого фельдфебеля Альберта Лихтенберга: «Продвигаемся с большим трудом. Потери ужасные. Во многих ротах выбыло 40—50 процентов боевого состава. Во время массированного налёта русских лётчиков убито и ранено около 600 человек. Убитых не убирают — некому.Трупный запах угнетает... Солдаты покрылись грязью, оборвались. Растеряли снаряжение и разные принадлежности. В новых местах стараемся организовать что-нибудь. 3десь есть куры, яйца, масло. Мы всё съедаем. Труднее найти ценные вещи. Жители их спрятали. Вчера вместе с унтер-офицером Шульцем очистили несколько домов...».</w:t>
      </w:r>
    </w:p>
    <w:p w14:paraId="5AD3C954"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Близ порта Эсбьерг (Дания) датские патриоты разрушили в нескольких местах электромагистраль высокого напряжения.</w:t>
      </w:r>
    </w:p>
    <w:p w14:paraId="09DF7C1A"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руднике в районе Алтенэссена (Эссен, Германия) произошёл крупный взрыв. Ствол шахты разрушен. Работы полностью приостановлены.» (14952).</w:t>
      </w:r>
    </w:p>
    <w:p w14:paraId="5DA8AA17" w14:textId="77777777" w:rsidR="00C7637D" w:rsidRPr="001E2C69" w:rsidRDefault="00C7637D" w:rsidP="00722885">
      <w:pPr>
        <w:spacing w:after="0" w:line="240" w:lineRule="auto"/>
        <w:jc w:val="both"/>
        <w:rPr>
          <w:rFonts w:ascii="Times New Roman" w:hAnsi="Times New Roman"/>
          <w:color w:val="000000" w:themeColor="text1"/>
          <w:sz w:val="16"/>
          <w:szCs w:val="16"/>
        </w:rPr>
      </w:pPr>
    </w:p>
    <w:p w14:paraId="2A921A7C"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в 1942 году вечернее сообщение Совинформбюро:</w:t>
      </w:r>
    </w:p>
    <w:p w14:paraId="420ED0A0"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14 июля наши войска вели ожесточённые бои против группировки противника, прорвавшейся в район Воронежа.</w:t>
      </w:r>
    </w:p>
    <w:p w14:paraId="4D667233"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Богучар наши войска продолжали вести тяжёлые бои с наступающими танками и мотопехотой противника.</w:t>
      </w:r>
    </w:p>
    <w:p w14:paraId="6E37F3D4"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7391FC08"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13 июля частями нашей авиации на различных участках фронта уничтожено или повреждено 64 немецких танка, 165 автомашин с войсками и грузами, 5 орудий, взорваны склад с боеприпасами и склад с горючим, сожжено 2 железнодорожныхэ шелона, рассеяно и частью уничтожено до трёх батальонов пехоты противника.</w:t>
      </w:r>
    </w:p>
    <w:p w14:paraId="427EAE06"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Бои в районе Воронежа продолжаются с большим ожесточением. О потерях немцев на этом участке фронта можно судить по результатам действий одного нашего соединения. За 10 дней боёв на участке, занимаемом этим соединением, немцы потеряли убитыми и ранеными более 35.000 солдат и офицеров. Кроме того, войска нашего соединения уничтожили 135 полевых и 106 противотанковых орудий, 157 танков, 100 станковых пулемётов, 11 бронемашин, 115 автомашин с грузами и 220 повозок.</w:t>
      </w:r>
    </w:p>
    <w:p w14:paraId="10E70468"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 бойцы проявляют стойкость и мужество в борьбе с врагом. Наводчик противотанкового ружья тов. Сметанко поджёг один танк противника. Вскоре немцы бросили в атаку ещё 4 танка. Сметанко открыл по ним огонь и прямым попаданием зажёг головной немецкий танк. Остальные танки повернули обратно. Пулемётчик тов. Сидиков, прикрывая отход своей роты, был тяжело ранен. Гитлеровцы окружили пулемётчика и хотели взять его в плен. Собрав последние силы, тов. Сидиков бросил две противотанковые гранаты и уничтожил свыше 20 немецких солдат. Третьей гранатой он взорвал себя и пулемёт. Взвод автоматчиков, которым командует старший сержант Фильгинский, на танках ворвался в село Е., занятое немцами. Завязался уличный бой. Подержанные танками, наши автоматчики выбили немцев из села.</w:t>
      </w:r>
    </w:p>
    <w:p w14:paraId="09A0D6A9"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Богучара наши части ведут тяжёлую борьбу против численно превосходящих сил танков и мотопехоты противника. На одном из участков создалась опасность окружения группы советских войск. Ударом во фланг наши танкисты отрезали и ликвидировали выдвинувшиеся вперёд войска противника. Гитлеровцы потеряли 17 танков и свыше 900 солдат и офицеров. Только после того, как они ввели в бой резервы, наши бойцы отошли на новый оборонительный рубеж.</w:t>
      </w:r>
    </w:p>
    <w:p w14:paraId="7A57D2CE"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Калининского фронта пехота немцев при поддержке танков атаковала одну нашу часть. Советские артиллеристы и бронебойщики уничтожили 12 немецких танков. Пехота противника понесла большие потери и отступила. Наши бойцы, преследуя гитлеровцев, ворвались на окраину населённого пункта.</w:t>
      </w:r>
    </w:p>
    <w:p w14:paraId="163F18A2"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Экипаж танка старшего лейтенанта Кикоть, старшины Панова и старшего сержанта Баранова в одном бою разрушил 5 ДЗОТов и уничтожил 2 противотанковых орудия и 25 гитлеровцев.</w:t>
      </w:r>
    </w:p>
    <w:p w14:paraId="0DA0B2A1"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Сержант тов. Подокин в течение дня истребил 10 немецких солдат и уничтожил 4 пулемётные точки противника.</w:t>
      </w:r>
    </w:p>
    <w:p w14:paraId="68F191AB"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Сержант Владимир Григоров рано утром пробрался через вражеское минное поле к переднему краю обороны противника и занял удобную позицию. Вскоре он пристрелил трёх немцев, вышедших из землянки. Пролежав несколько часов, тов. Григоров уничтожил ещё 5 гитлеровцев.</w:t>
      </w:r>
    </w:p>
    <w:p w14:paraId="166E3C64"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изверги ограбили всех жителей деревни Устарь, Орловской области, а затем подожгли дома колхозников. Сгорело 170 дворов. 20 женщин, стариков и детей гитлеровские палачи загнали в дома и сожгли живьём, 53 человека выгнали за село и расстреляли.</w:t>
      </w:r>
    </w:p>
    <w:p w14:paraId="1E0F980E"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Немецкие оккупационные власти во Франции реквизируют у крестьян хлеб нового урожая. Французские патриоты, не желая отдавать зерно захватчикам, прячут хлеб как только могут, а если не удаётся хлеб спрятать, уничтожают его. Недалеко от Эвре неизвестными убиты немецкий чиновник и несколько солдат, производивших учёт нового урожая.</w:t>
      </w:r>
    </w:p>
    <w:p w14:paraId="57490EC0"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июля в Варшаве при Восточном вокзале сгорел большой склад бензина немецких оккупантов. Пожар длился 5 часов. На одной из станций польские патриоты организовали крушение поезда гитлеровцев.» (14952).</w:t>
      </w:r>
    </w:p>
    <w:p w14:paraId="28C7C866" w14:textId="77777777" w:rsidR="00C7637D" w:rsidRPr="001E2C69" w:rsidRDefault="00C7637D" w:rsidP="00722885">
      <w:pPr>
        <w:spacing w:after="0" w:line="240" w:lineRule="auto"/>
        <w:jc w:val="both"/>
        <w:rPr>
          <w:rFonts w:ascii="Times New Roman" w:hAnsi="Times New Roman"/>
          <w:color w:val="000000" w:themeColor="text1"/>
          <w:sz w:val="16"/>
          <w:szCs w:val="16"/>
        </w:rPr>
      </w:pPr>
    </w:p>
    <w:p w14:paraId="135FB312" w14:textId="77777777" w:rsidR="00C7637D" w:rsidRPr="001E2C69" w:rsidRDefault="00C7637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в 1942 году постановлением ГКО введены нагрудные знаки военнослужащих Вооруженных сил СССР, получивших ранения на фронтах Великой Отечественной войны. Носились на всех формах одежды на правой стороне груди выше орденов и медалей. В Российской Федерации с 1997 г. предусмотрено ношение специального знака «За ранение» (14952).</w:t>
      </w:r>
    </w:p>
    <w:p w14:paraId="59656DFD" w14:textId="77777777" w:rsidR="00C7637D" w:rsidRPr="001E2C69" w:rsidRDefault="00C7637D" w:rsidP="00722885">
      <w:pPr>
        <w:spacing w:after="0" w:line="240" w:lineRule="auto"/>
        <w:jc w:val="both"/>
        <w:rPr>
          <w:rFonts w:ascii="Times New Roman" w:hAnsi="Times New Roman"/>
          <w:color w:val="000000" w:themeColor="text1"/>
          <w:sz w:val="16"/>
          <w:szCs w:val="16"/>
        </w:rPr>
      </w:pPr>
    </w:p>
    <w:p w14:paraId="2339627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lang w:val="en-US"/>
        </w:rPr>
        <w:t>July 14th, 1942: In the East, the advances by Heeresgruppe A (List) and Heeresgruppe B (von Weichs) toward the Don bend at Kalach and Rostov continue against minimal Soviet resistance. In Egypt, an attack by the British Eighth Army against the positions of the Afrikakorps S of El Alamein is unsuccessful (3819).</w:t>
      </w:r>
    </w:p>
    <w:p w14:paraId="6B82799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77F8F5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Группа А (Лист) и Группа Б (фон Вайс) соединившиеся у Калача, продвигались вперед. В Египте поражением закончилось наступление британской 8А у Эль Аламейна (3819).</w:t>
      </w:r>
    </w:p>
    <w:p w14:paraId="43A9DAD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3D175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указом Президиума ВС Сталинградская область была переведена на военное положение (340,89).</w:t>
      </w:r>
    </w:p>
    <w:p w14:paraId="50B6198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FE72E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года утвердили штат танковой бригады № 010/270— 010/277 из 53 танков (32 Т-34), а 31 июля - штат № 010/280-010/287 в составе 40 боевых машин (из них 24 Т-34). Кроме того, в сентябре 1942 года разработан и штат № 010/240 танковой бригады из 49 танков(5 КВ, 24 Т-34 и 20 Т-70), который не получил широкого распространения, так как в октябре того же года началось формирование отдельных танковых полков прорыва, укомплектованных тяжелыми танками КВ и «Черчилль». Но наиболее совершенной признали штат танковой бригады № 010/270, по которому провели наибольшее число формирований во второй половине 1942 года.</w:t>
      </w:r>
    </w:p>
    <w:p w14:paraId="608C36A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Кстати, введение новых штатов не означало отмены старых или перевода на них существующих танковых бригад. По новым штатам проводили новые формирования, а созданные ранее части оставались на старых, а на новые могли переводиться только при их выводе в тыл на переформирование. Таким образом, к концу 1942 года существовало семьразных штатов отдельных танковых бригад (не считая различных вариантов штатов танковых батальонов), насчитывающих 27, 40, 44, 46, 49, 48 или 53 танка. При этом число тридцатьчетверок в них колебалось и составляло 16, 20, 22, 24, 32, 38 или 42 машины. Наибольшее количество Т-34 было в бригадах штата № 010/345 с танковыми батальонами штатов № 010/392 и 010/394 - по 38 или 42 штуки соответственно. Таким образом, в течение 1942 года прослеживается тенденция процентного увеличения тридцатьчетверок в бригадах от 35% до 87%. В среднем же Т-34 составляли 60% штатной численности отдельных танковых бригад.</w:t>
      </w:r>
    </w:p>
    <w:p w14:paraId="7E1A94C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Структура отдельной танковой бригады кардинально не перерабатывалась с сентября 1942-го по ноябрь 1943 года. Однако она претерпела много изменений: исключались или включались различные должности либо целые подразделения, но число танков не менялось. В ноябре 1943 года появился новый штат № 010/500 отдельной танковой бригады, состоявшей из управления, трех танковых, мотострелкового батальонов и имевшей на вооружении 65 танков Т-34 (по 21 машине в батальоне и две в управлении бригады). Но-еще до введения новой организации ряд танковых бригад штата № 010/270 стали комплектовать тремя танковыми батальонами по штату № 010/271 (в каждом 21 Т-34), а еще две тридцатьчетверки вводили в роту управления. Таким образом, общее количество танков составляло 65 Т-34.</w:t>
      </w:r>
    </w:p>
    <w:p w14:paraId="5CCAF29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Танковые бригады переводились на штат № 010/500 постепенно, отдельными директивами НКО. Кроме того, учитывая разросшееся число танковых частей, приказом НКО № 00106 от 21 июня 1943 устанавливался лимит численности танковых и механизированных войск. По этому приказу провели сокращение численности за счет расформирования некоторых частей (бригад и отдельных батальонов) и переформирования ряда бригад в отдельные танковые полки.</w:t>
      </w:r>
    </w:p>
    <w:p w14:paraId="70C918D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Таким образом, по новым штатам с четвертого квартала 1943 года отдельные танковые бригады переводились на единые штаты, при этом в качестве основной боевой машины должны были использоваться танки Т-34. Бригады, имевшие на вооружении полученные по ленд-лизу английские и американские танки также перевооружались на тридцатьчетверки. Штат № 010/500 оставался неизменным вплоть до конца Второй Мировой войны, в него внесли всего две корректировки. Так, в связи с поступлением на вооружение танков Т-34-85 с экипажем из пяти человек директивой Генерального Штаба Красной Армии № 0рг/3/308369 от 10 апреля 1944 года рота противотанковых ружей мотострелкового батальона обращалась на укомплектование экипажей, поэтому штатная численность бригады оставалась без изменений. Приказом НКО № 0245 от 6 августа 1944 года в состав бригады вводилось стрелковое отделение из 8 человек для обеспечения охраны и оперативной работы отделов контрразведки «СМЕРШ». Таким образом, с конца 1943 года танки Т-34 должны были составлять 100% парка отдельных танковых бригад Красной Армии.</w:t>
      </w:r>
    </w:p>
    <w:p w14:paraId="6DCBD53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Число танковых бригад в первой половине росло довольно значительно, но с введением лимита штатной численности бронетанковых войск эта тенденция прекратилась. Так, если на 1 января 1942 года в Красной Армии имелось 57 отдельных танковых бригад, а на 1 января 1943 года 122, то на 1 января 1944-го - 144 (62 </w:t>
      </w:r>
      <w:r w:rsidRPr="001E2C69">
        <w:rPr>
          <w:rFonts w:ascii="Times New Roman" w:hAnsi="Times New Roman"/>
          <w:color w:val="000000" w:themeColor="text1"/>
          <w:sz w:val="16"/>
          <w:szCs w:val="16"/>
        </w:rPr>
        <w:lastRenderedPageBreak/>
        <w:t>отдельных, остальные в составе танковых и механизированных корпусов), на 1 января 1945 года - 148 (64 отдельных), на 1 мая 1945 года - 147 (63 отдельных). Таким образом, начиная со второй половины 1943 года тридцатьчетверки становятся основным вооружением танковых бригад Красной Армии, вытесняя при этом другие типы боевых машин (12217).</w:t>
      </w:r>
    </w:p>
    <w:p w14:paraId="3FBF6D6E"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DD5F5B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 15 июля 1942 решениями транспортного комитета при ГКО и последующими указаниями И.В.С. на волжский речной транспорт возлагались все возраставшие перевозки грузов для заводов, выпускавших броневую сталь, танки, артиллерийские орудия и другую важнейшую военную продукцию, а также перевозки боеприпасов. В Вольске, Саратове, Камышине и Сталинграде были созданы фронтовые базы снабжения, в Казани, Сызрани и Ульяновске срочно усиливались пункты перевалки воинских грузов с железных дорог на водный транспорт и обратно. Всего по решению Госкомитета обороны было необходимо принять с железных дорог на волжскую магистраль 6000 вагонов воинских и 3550 – хозяйственных грузов. Волжские порты не были подготовлены к переработке столь огромного грузопотока, поэтому в Куйбышеве, Батраках и Саратове в спешном порядке сооружали дополнительные причалы для тяжеловесных грузов. Затем при помощи воинских частей началась реконструкция пристаней в Камышине и Вольске. Тем не менее перегрузка с вагонов в пароходы и баржи происходила с огромными трудностями. Зачастую портовые краны не выдерживали нагрузки и опрокидывались, происходили многочисленные аварии и несчастные случаи. А эшелоны все прибывали и прибывали (11774).</w:t>
      </w:r>
    </w:p>
    <w:p w14:paraId="043F744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5B72C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в состав авиации СФ вошла Особая морская авиагруппа (ОМАГ) - бывшая Ударная авиагруппа Ставки Верховного Главнокомандования. ВВС СФ были усилены сразу семью авиаполками, в том числе и одним минно-торпедным (32-й МТАП), который имел на вооружении 11 Ил-4. На бомбардировочном варианте этого самолета и открыли свой боевой счет морские летчики Заполярья. 14 июля 1942 г. в 20.40 одиночный Ил-4 попал бомбой в немецкую быстроходную зенитную баржу F243A, которая везла более 150 т боеприпасов. Баржа загорелась, самоходный морской паром типа "Зибель" FS246 попытался снять ее экипаж, но тут сдетонировали боеприпасы, и оба корабля затонули (2867,31).</w:t>
      </w:r>
    </w:p>
    <w:p w14:paraId="7C4EE04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FE250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ввели нашивки за ранение - золотистые за тяжелые и красные за прочие (2813,20).</w:t>
      </w:r>
    </w:p>
    <w:p w14:paraId="48DEA04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881FC6"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года приказом НКО СССР № 213 и Постановлением Государственного Комитета Обороны СССР № ГОКО-2039 были введены отличительные знаки для раненых военнослужащих Красной Армии на фронтах Отечественной войны.</w:t>
      </w:r>
    </w:p>
    <w:p w14:paraId="7837EB4F"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Знак представлял собой нашивку прямоугольной формы длиной 43 мм, шириной 5—6 мм, изготовленную из шелкового галуна тёмно-красного цвета (при лёгком ранении) или золотистого (жёлтого) (при тяжёлом ранении).</w:t>
      </w:r>
    </w:p>
    <w:p w14:paraId="144B239F"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Знаки нашивались на правой стороне гимнастёрки (кителя) на уровне средней пуговицы, а при наличии кармана — над правым грудным карманом. После войны носился на всех формах одежды на правой стороне груди на 8—10 мм выше орденов и медалей, а при отсутствии последних — на их месте (21192).</w:t>
      </w:r>
    </w:p>
    <w:p w14:paraId="21A25039" w14:textId="77777777" w:rsidR="00C9620F" w:rsidRPr="001E2C69" w:rsidRDefault="00C9620F" w:rsidP="00722885">
      <w:pPr>
        <w:spacing w:after="0" w:line="240" w:lineRule="auto"/>
        <w:jc w:val="both"/>
        <w:rPr>
          <w:rFonts w:ascii="Times New Roman" w:hAnsi="Times New Roman"/>
          <w:color w:val="000000" w:themeColor="text1"/>
          <w:sz w:val="16"/>
          <w:szCs w:val="16"/>
        </w:rPr>
      </w:pPr>
    </w:p>
    <w:p w14:paraId="1FB6D86C"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вышло Постановление ГКО № 2039 О введении отличительных знаков для раненых военнослужащих Красной Армии на фронтах Отечественной войны. (7042, 179-181).</w:t>
      </w:r>
    </w:p>
    <w:p w14:paraId="449975E9"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4D3AD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г. вышло ПОСТАНОВЛЕНИЕ ГОСУДАРСТВЕННОГО КОМИТЕТА ОБОРОНЫ № ГОКО-2039 О ВВЕДЕНИИ ОТЛИЧИТЕЛЬНЫХ ЗНАКОВ ДЛЯ РАНЕНЫХ ВОЕННОСЛУЖАЩИХ КРАСНОЙ АРМИИ НА ФРОНТАХ ОТЕЧЕСТВЕННОЙ ВОЙНЫ</w:t>
      </w:r>
    </w:p>
    <w:p w14:paraId="03D74A1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Ввести для красноармейцев, командного и политического состава Красной Армии, получивших ранения в боя за нашу Советскую Родину против немецких захватчиков, отличительный знак о числе ранений для постоянного ношения на обмундировании.</w:t>
      </w:r>
    </w:p>
    <w:p w14:paraId="7541EAC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Утвердить Положение об отличительных знаках для раненых военнослужащих Красной Армии на фронтах Отечественной войны и прилагаемые к нему образцы знаков.</w:t>
      </w:r>
    </w:p>
    <w:p w14:paraId="7CD7FA3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Отличительный знак о ранении носить на правой стороне груди.</w:t>
      </w:r>
    </w:p>
    <w:p w14:paraId="04A776B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Право ношения военнослужащим отличительного знака о ранении отмечать:</w:t>
      </w:r>
    </w:p>
    <w:p w14:paraId="2780FBE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красноармейцев и младшего начальствующего состава — в красноармейской книжке;</w:t>
      </w:r>
    </w:p>
    <w:p w14:paraId="1A4CAF1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среднего, старшего и высшего командного и политического состава — в удостоверении личности и послужном списке.</w:t>
      </w:r>
    </w:p>
    <w:p w14:paraId="0AE543C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За незаконное ношение знака о ранении виновных привлекать к уголовной ответственности.</w:t>
      </w:r>
    </w:p>
    <w:p w14:paraId="18669F0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Установленный Положением отличительный знак о ранении для военнослужащих Красной Армии применять со дня начала Отечественной войны.</w:t>
      </w:r>
    </w:p>
    <w:p w14:paraId="33F0D3E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Председатель Государственного Комитета Обороны И. СТАЛИН</w:t>
      </w:r>
      <w:r w:rsidRPr="001E2C69">
        <w:rPr>
          <w:rFonts w:ascii="Times New Roman" w:hAnsi="Times New Roman"/>
          <w:color w:val="000000" w:themeColor="text1"/>
          <w:sz w:val="16"/>
          <w:szCs w:val="16"/>
        </w:rPr>
        <w:t xml:space="preserve"> (9844).</w:t>
      </w:r>
    </w:p>
    <w:p w14:paraId="38FDE30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FBD13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г. вышел ПРИКАЗ НКО № 214 О ПОРЯДКЕ ВЫСЫЛКИ ВОЙСКОВЫМИ ЧАСТЯМИ И УЧРЕЖДЕНИЯМИ ИЗВЕЩЕНИЙ О ПОГИБШИХ И ПРОПАВШИХ БЕЗ ВЕСТИ В БОЯХ ЛИЦАХ НАЧАЛЬСТВУЮЩЕГО СОСТАВА И СВЕРХСРОЧНОСЛУЖАЩИХ И О НАЗНАЧЕНИИ ПЕНСИЙ СЕМЬЯМ ЭТИХ ЛИЦ</w:t>
      </w:r>
    </w:p>
    <w:p w14:paraId="1D96425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Несмотря на указания приказа НКО 1941 г. № 138 о высылке извещений семьям погибших лиц начальствующего состава войсковыми частями и учреждениями действующей армии немедленно по установлении факта смерти военнослужащего, эти извещения высылаются с большим опозданием:</w:t>
      </w:r>
    </w:p>
    <w:p w14:paraId="287BB3C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Поарм 55 о смерти батальонного комиссара Шелутко А. А., погибшего 3.11.1941 г., выслал извещение семье только 5.4.1942 г.;</w:t>
      </w:r>
    </w:p>
    <w:p w14:paraId="2CACF7F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420-й артполк АРГК о погибшем 14.9.1941 г. лейтенанте Жавниро-вич П. 3. выслал извещение семье 23.3.1942 г., т. е. через 6 месяцев;</w:t>
      </w:r>
    </w:p>
    <w:p w14:paraId="02B29A2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150-я танковая бригада о погибшем 24.7.1941 г. майоре Исакович И. Я. выслала извещение семье 19.4.1942 г. — спустя почти 9 месяцев.</w:t>
      </w:r>
    </w:p>
    <w:p w14:paraId="18D16E1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Имеются случаи, когда в высылаемых извещениях нет даты подписания извещения и даже даты гибели военнослужащего.</w:t>
      </w:r>
    </w:p>
    <w:p w14:paraId="3579359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Все это задерживает назначение пенсий семьям командиров, погибших, защищая социалистическую Родину.</w:t>
      </w:r>
    </w:p>
    <w:p w14:paraId="060A769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Приказываю:</w:t>
      </w:r>
    </w:p>
    <w:p w14:paraId="5A736AC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Командирам и комиссарам войсковых частей и соединений в двухдневный срок по установлении смерти военнослужащего обеспечивать высылку извещения семье, включая в него все требуемые формой сведения (дата гибели, место погребения и т. д.).</w:t>
      </w:r>
    </w:p>
    <w:p w14:paraId="18D4F0F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Извещения о пропавших без вести впредь высылать в двухдневный срок после исключения этих лиц из списков части.</w:t>
      </w:r>
    </w:p>
    <w:p w14:paraId="3C2C4FC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В извещениях (форма № 4, приказ НКО 1941 г. № 138), помимо военного звания погибшего или пропавшего без вести военнослужащего, указывать последнюю занимаемую им штатную должность, а также почтовый адрес части.</w:t>
      </w:r>
    </w:p>
    <w:p w14:paraId="0AFD534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Одновременно с высылкой извещения семье копию извещения высылать в облвоенкомат по месту жительства семьи с приложением расчетной книжки погибшего или справки (взамен расчетной книжки) об окладе и сроке удовлетворения денежным содержанием пропавшего без вести военнослужащего для разрешения вопроса о назначении пенсии семье.</w:t>
      </w:r>
    </w:p>
    <w:p w14:paraId="3371417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Если адрес семьи неизвестен, — извещение вместе с расчетной книжкой (или справкой) высылать непосредственно в Финансовое управление при НКО.</w:t>
      </w:r>
    </w:p>
    <w:p w14:paraId="1AE8FDD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Военным советам фронтов и отдельных армий установить контроль за выполнением п. п. 1 — 3 настоящего приказа.</w:t>
      </w:r>
    </w:p>
    <w:p w14:paraId="775F273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Областным военным комиссарам немедленно по получении копий извещений (п. 3 настоящего приказа) уведомлять соответствующие райвоенкоматы для расчетов с семьями и представления ими необходимых документов для назначения пенсии.</w:t>
      </w:r>
    </w:p>
    <w:p w14:paraId="1870BB2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Пенсии семьям умерших лиц начальствующего состава и сверхсрочнослужащих назначать с 1 числа месяца, следующего за тем месяцем, в котором умер военнослужащий.</w:t>
      </w:r>
    </w:p>
    <w:p w14:paraId="37C8B45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Суммы, выплаченные семье по денежному аттестату, если они меньше пенсии, а также суммы, выплаченные в порядке приказов НКО 1941 г. № 242* и 1942 г. № 140,** засчитывать в счет пенсии.</w:t>
      </w:r>
    </w:p>
    <w:p w14:paraId="29BB3A0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тех случаях, когда семье военнослужащего до получения ею или облво-енкоматом извещения о смерти выплачена по аттестату большая сумма, чем полагается за то же время пенсии, — удержаний переполученных по аттестату сумм не производить.</w:t>
      </w:r>
    </w:p>
    <w:p w14:paraId="0EAE293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Пенсии семьям пропавших без вести назначать тем же порядком, но только после получения выписки из приказа по личному составу об исключении пропавшего без вести военнослужащего из списков Красной Армии.</w:t>
      </w:r>
    </w:p>
    <w:p w14:paraId="4A70C4F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Ст. 14 “Положения о персональном учете потерь и погребении погибшего личного состава Красной Армии в военное время (приказ НКО 1941 г. № 138) в части высылки извещений о пропавших без вести и приказ НКО 1942 г. № 10*** отменить.</w:t>
      </w:r>
    </w:p>
    <w:p w14:paraId="63409C8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Cs/>
          <w:color w:val="000000" w:themeColor="text1"/>
          <w:sz w:val="16"/>
          <w:szCs w:val="16"/>
        </w:rPr>
        <w:t>Заместитель Народного комиссара обороны СССР генерал-лейтенант интендантской службы ХРУЛЕВ (9844).</w:t>
      </w:r>
    </w:p>
    <w:p w14:paraId="40C1E9B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30094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года вышло Распоряжение Начальника ЦШПД начальнику Украинского ШПД об организации и постановке агентурной разведки, в частности приказано ввести в партизанских отрядах должность заместителя командира по агентурной и войсковой разведке (8983).</w:t>
      </w:r>
    </w:p>
    <w:p w14:paraId="4FE146B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634E86"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За рубежом:</w:t>
      </w:r>
    </w:p>
    <w:p w14:paraId="4CC8354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B1EE3E"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14 июля в 1942 году начались испытания австралийского легкого десантного планера «EG-1». Первоначально для запуска планера использовался автомобиль. В дальнейшем планер буксировал самолет «Wapiti». В 1942 году ВВС Австралии представили тактико-технические требования на прототип транспортно-десантного планера. Требования были направлены двум авиационным фирмам - канадской «Commonweaith Aircraft Corporation» и «de Havilland Australia» (DHA), но только «DHA» согласилась разработать прототип. На должность главного конструктора был назначен M.Warnera - конструктор планеров. В результате были построены два прототипа планера с незначительными отличиями друг от друга. Они представляли собой цельнодеревянные свободнонесущие высокопланы. Рули высоты и направления обтянуты тканью. Для остекления кабины использовались стекла серийно выпускаемого по лицензии самолета </w:t>
      </w:r>
      <w:hyperlink r:id="rId144" w:tgtFrame="_blank" w:history="1">
        <w:r w:rsidRPr="001E2C69">
          <w:rPr>
            <w:rFonts w:ascii="Times New Roman" w:hAnsi="Times New Roman"/>
            <w:color w:val="000000" w:themeColor="text1"/>
            <w:sz w:val="16"/>
            <w:szCs w:val="16"/>
          </w:rPr>
          <w:t xml:space="preserve">«De Havilland» «DH-842 «Dragon» «Mk.I». </w:t>
        </w:r>
      </w:hyperlink>
      <w:r w:rsidRPr="001E2C69">
        <w:rPr>
          <w:rFonts w:ascii="Times New Roman" w:hAnsi="Times New Roman"/>
          <w:color w:val="000000" w:themeColor="text1"/>
          <w:sz w:val="16"/>
          <w:szCs w:val="16"/>
        </w:rPr>
        <w:t>За пилотом находились шесть мест для десантников, расположенных парами. Первый прототип получил обозначение «EG-1», второй – «EG-2» (14952).</w:t>
      </w:r>
    </w:p>
    <w:p w14:paraId="400D927F" w14:textId="77777777" w:rsidR="00056917" w:rsidRPr="001E2C69" w:rsidRDefault="00056917" w:rsidP="00722885">
      <w:pPr>
        <w:spacing w:after="0" w:line="240" w:lineRule="auto"/>
        <w:jc w:val="both"/>
        <w:rPr>
          <w:rFonts w:ascii="Times New Roman" w:hAnsi="Times New Roman"/>
          <w:color w:val="000000" w:themeColor="text1"/>
          <w:sz w:val="16"/>
          <w:szCs w:val="16"/>
        </w:rPr>
      </w:pPr>
    </w:p>
    <w:p w14:paraId="63B9E109"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в Лондоне генерал Шарль де Голль объявил о переименовании своей организации “Свободная Франция” в “Сражающуюся Францию” (4962).</w:t>
      </w:r>
    </w:p>
    <w:p w14:paraId="6CFAFA5F"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640220"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за убийство партизанами шефа местного гестапо нацистами расстреляны 700 югославов в Загребе (4962).</w:t>
      </w:r>
    </w:p>
    <w:p w14:paraId="5EB269F4"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9797D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ночью с 13 12 подводных пловцов, погрузившихся с виллы Кармала в Гибралтаре, атаковали суда английского конвоя и повредили 4 судна (3961, 55).</w:t>
      </w:r>
    </w:p>
    <w:p w14:paraId="3BAA24D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55575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императорская Япония создала 8-й флот для действий в районе Новой Гвинеи и Соломоновых островов (3186).</w:t>
      </w:r>
    </w:p>
    <w:p w14:paraId="2A04F77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95FC3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Индийский национальный конгресс выступил с требованием о незамедлительном предоставлении Индии независимости (3186).</w:t>
      </w:r>
    </w:p>
    <w:p w14:paraId="63FA03C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70BB4C"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Авиапромышленность:</w:t>
      </w:r>
    </w:p>
    <w:p w14:paraId="44CE14B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FCD27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июля 1942 в ЦАГИ в трубе Т-104 закончились исследования лобового сопротивления спецподвески (РО-82 и РС-82) и изыскивались способы его снижения для Як-1, Як-7, ЛаГГ-3 и МиГ-3 и Ил-2, которые начались 7 июня 1942 (762).</w:t>
      </w:r>
    </w:p>
    <w:p w14:paraId="6E223AD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37A19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июля 1942 г. в аэродинамической трубе Т-104 ЦАГИ закончились ис</w:t>
      </w:r>
      <w:r w:rsidRPr="001E2C69">
        <w:rPr>
          <w:rFonts w:ascii="Times New Roman" w:hAnsi="Times New Roman"/>
          <w:color w:val="000000" w:themeColor="text1"/>
          <w:sz w:val="16"/>
          <w:szCs w:val="16"/>
        </w:rPr>
        <w:softHyphen/>
        <w:t>следования по уменьшению лобового сопротивления штатного РО-82 и РС-82 (отчет утвердил начальник ЦАГИ доктор технических наук С.Шишкин), которые начались 7 июня. В ходе экспериментов натурные образцы РО и РС устанав</w:t>
      </w:r>
      <w:r w:rsidRPr="001E2C69">
        <w:rPr>
          <w:rFonts w:ascii="Times New Roman" w:hAnsi="Times New Roman"/>
          <w:color w:val="000000" w:themeColor="text1"/>
          <w:sz w:val="16"/>
          <w:szCs w:val="16"/>
        </w:rPr>
        <w:softHyphen/>
        <w:t>ливали под углом 3° к хорде, каждое РО подвешивали индивидуально.</w:t>
      </w:r>
    </w:p>
    <w:p w14:paraId="1B3E2DB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РО спроектировали два обтекателя. Первый представлял собой об</w:t>
      </w:r>
      <w:r w:rsidRPr="001E2C69">
        <w:rPr>
          <w:rFonts w:ascii="Times New Roman" w:hAnsi="Times New Roman"/>
          <w:color w:val="000000" w:themeColor="text1"/>
          <w:sz w:val="16"/>
          <w:szCs w:val="16"/>
        </w:rPr>
        <w:softHyphen/>
        <w:t>щий кожух, закрывающий РО и два болта его крепления к крылу. Второй состоял из двух половин, закрывающих установочные болты РО и план</w:t>
      </w:r>
      <w:r w:rsidRPr="001E2C69">
        <w:rPr>
          <w:rFonts w:ascii="Times New Roman" w:hAnsi="Times New Roman"/>
          <w:color w:val="000000" w:themeColor="text1"/>
          <w:sz w:val="16"/>
          <w:szCs w:val="16"/>
        </w:rPr>
        <w:softHyphen/>
        <w:t>ки, а также все выступающие детали направляющей. Передней и конце</w:t>
      </w:r>
      <w:r w:rsidRPr="001E2C69">
        <w:rPr>
          <w:rFonts w:ascii="Times New Roman" w:hAnsi="Times New Roman"/>
          <w:color w:val="000000" w:themeColor="text1"/>
          <w:sz w:val="16"/>
          <w:szCs w:val="16"/>
        </w:rPr>
        <w:softHyphen/>
        <w:t>вой частям направляющей придали обтекаемую форму.</w:t>
      </w:r>
    </w:p>
    <w:p w14:paraId="3B6B960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Обтекатель №1 снизил лобовое сопротивление РО на 70%. Обтека</w:t>
      </w:r>
      <w:r w:rsidRPr="001E2C69">
        <w:rPr>
          <w:rFonts w:ascii="Times New Roman" w:hAnsi="Times New Roman"/>
          <w:color w:val="000000" w:themeColor="text1"/>
          <w:sz w:val="16"/>
          <w:szCs w:val="16"/>
        </w:rPr>
        <w:softHyphen/>
        <w:t>тель №2 практически не уменьшил его. Установка же с обтекателями №1 по измененной схеме подвески (с РО, смещенными на 100 мм вперед и на 20 мм вверх) снизили лобовое сопротивление РО на 82%. Величина сопротивления РС на РО при этом (даже после уменьшения зазора меж</w:t>
      </w:r>
      <w:r w:rsidRPr="001E2C69">
        <w:rPr>
          <w:rFonts w:ascii="Times New Roman" w:hAnsi="Times New Roman"/>
          <w:color w:val="000000" w:themeColor="text1"/>
          <w:sz w:val="16"/>
          <w:szCs w:val="16"/>
        </w:rPr>
        <w:softHyphen/>
        <w:t>ду боеприпасом и крылом носителя на 20 мм) практически не измени</w:t>
      </w:r>
      <w:r w:rsidRPr="001E2C69">
        <w:rPr>
          <w:rFonts w:ascii="Times New Roman" w:hAnsi="Times New Roman"/>
          <w:color w:val="000000" w:themeColor="text1"/>
          <w:sz w:val="16"/>
          <w:szCs w:val="16"/>
        </w:rPr>
        <w:softHyphen/>
        <w:t>лась.</w:t>
      </w:r>
    </w:p>
    <w:p w14:paraId="2966486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Благодаря обтекателям, расчетное падение максимальной скорости самолетов-ракетоносцев Як-1, Як-7, ЛаГТ-3 и МиГ-3 при наличии шести РО-82 новой конструкции должно было составить 5-6 км/ч, а с доработанными обтекателями - всего 3-4 км/ч (вместо 16-20 км/ч у РО прежних моделей без обтекателей). При наличии РС на пусковых, эти показатели возрастали до 13,5-16 км/ч и 11,5-13,5 км/ч (вместо прежних 25-30 км/ч) соответственно. На штурмовиках Ил-2 падение ма</w:t>
      </w:r>
      <w:r w:rsidRPr="001E2C69">
        <w:rPr>
          <w:rFonts w:ascii="Times New Roman" w:hAnsi="Times New Roman"/>
          <w:color w:val="000000" w:themeColor="text1"/>
          <w:sz w:val="16"/>
          <w:szCs w:val="16"/>
        </w:rPr>
        <w:softHyphen/>
        <w:t>ксимальной скорости составляло 20-26 км/ч при наличии четырех РО прежней конструкции без обтекателей, заряженных РС-132.</w:t>
      </w:r>
    </w:p>
    <w:p w14:paraId="53F47F6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Обтекатели к РО были просты в изготовлении и не требовали изме</w:t>
      </w:r>
      <w:r w:rsidRPr="001E2C69">
        <w:rPr>
          <w:rFonts w:ascii="Times New Roman" w:hAnsi="Times New Roman"/>
          <w:color w:val="000000" w:themeColor="text1"/>
          <w:sz w:val="16"/>
          <w:szCs w:val="16"/>
        </w:rPr>
        <w:softHyphen/>
        <w:t>нять конструкцию орудия или крыла, поэтому их признали пригодными для установки на существующих машинах, рекомендуя изготавливать пустотелыми металлическими или деревянными (фанерными) с метал</w:t>
      </w:r>
      <w:r w:rsidRPr="001E2C69">
        <w:rPr>
          <w:rFonts w:ascii="Times New Roman" w:hAnsi="Times New Roman"/>
          <w:color w:val="000000" w:themeColor="text1"/>
          <w:sz w:val="16"/>
          <w:szCs w:val="16"/>
        </w:rPr>
        <w:softHyphen/>
        <w:t>лическим носком. При этом крепления обтекателей должны были поз</w:t>
      </w:r>
      <w:r w:rsidRPr="001E2C69">
        <w:rPr>
          <w:rFonts w:ascii="Times New Roman" w:hAnsi="Times New Roman"/>
          <w:color w:val="000000" w:themeColor="text1"/>
          <w:sz w:val="16"/>
          <w:szCs w:val="16"/>
        </w:rPr>
        <w:softHyphen/>
        <w:t>волять быстро их демонтировать для заряжания пиропистолетов и ста</w:t>
      </w:r>
      <w:r w:rsidRPr="001E2C69">
        <w:rPr>
          <w:rFonts w:ascii="Times New Roman" w:hAnsi="Times New Roman"/>
          <w:color w:val="000000" w:themeColor="text1"/>
          <w:sz w:val="16"/>
          <w:szCs w:val="16"/>
        </w:rPr>
        <w:softHyphen/>
        <w:t>вить на место. Очевидно, именно это последнее и сдерживало возвраще</w:t>
      </w:r>
      <w:r w:rsidRPr="001E2C69">
        <w:rPr>
          <w:rFonts w:ascii="Times New Roman" w:hAnsi="Times New Roman"/>
          <w:color w:val="000000" w:themeColor="text1"/>
          <w:sz w:val="16"/>
          <w:szCs w:val="16"/>
        </w:rPr>
        <w:softHyphen/>
        <w:t>ние ракетного оружия в истребительную авиацию.</w:t>
      </w:r>
    </w:p>
    <w:p w14:paraId="65C90A3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Между тем, наработки ученых не прошли даром и очень пригодились в штурмовой авиации. Если там орудия без пиропистолетов для стрель</w:t>
      </w:r>
      <w:r w:rsidRPr="001E2C69">
        <w:rPr>
          <w:rFonts w:ascii="Times New Roman" w:hAnsi="Times New Roman"/>
          <w:color w:val="000000" w:themeColor="text1"/>
          <w:sz w:val="16"/>
          <w:szCs w:val="16"/>
        </w:rPr>
        <w:softHyphen/>
        <w:t>бы 132-мм снарядами РОФС-132 и М-13 и без того не доставляли боль</w:t>
      </w:r>
      <w:r w:rsidRPr="001E2C69">
        <w:rPr>
          <w:rFonts w:ascii="Times New Roman" w:hAnsi="Times New Roman"/>
          <w:color w:val="000000" w:themeColor="text1"/>
          <w:sz w:val="16"/>
          <w:szCs w:val="16"/>
        </w:rPr>
        <w:softHyphen/>
        <w:t>ших хлопот, то, будучи «одетыми» в компактные обтекатели, вообще не требовали демонтажа при заряжании. Подобным образом в штурмовой авиации решили проблему и с РО для стрельбы 82-мм РС-82 и М-8. Про</w:t>
      </w:r>
      <w:r w:rsidRPr="001E2C69">
        <w:rPr>
          <w:rFonts w:ascii="Times New Roman" w:hAnsi="Times New Roman"/>
          <w:color w:val="000000" w:themeColor="text1"/>
          <w:sz w:val="16"/>
          <w:szCs w:val="16"/>
        </w:rPr>
        <w:softHyphen/>
        <w:t>сто, тонкостенный штампованный из жести обтекатель стал более гро</w:t>
      </w:r>
      <w:r w:rsidRPr="001E2C69">
        <w:rPr>
          <w:rFonts w:ascii="Times New Roman" w:hAnsi="Times New Roman"/>
          <w:color w:val="000000" w:themeColor="text1"/>
          <w:sz w:val="16"/>
          <w:szCs w:val="16"/>
        </w:rPr>
        <w:softHyphen/>
        <w:t>моздким, но аэродинамичной формы. А для доступа к пиропистолету орудия в стенке выполнили небольшой откидной запираемый лючок.</w:t>
      </w:r>
    </w:p>
    <w:p w14:paraId="6C99610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Г.А.Речкалов «Дымное небо войны»: «...Во второй атаке я обнаружил исчезновение РС. Глянул на указатель сброса и не поверил своим глазам - он показывал сброс всей серии - восьми снарядов, что категорически запрещалось инструкцией. Быстро перевел взгляд на крылья: обшивка вздулась!». На пульте ЭСБР-3 управления огнем РС не было индикации числа отстрелянных снарядов и наличия остатка. За это пилоты неодно</w:t>
      </w:r>
      <w:r w:rsidRPr="001E2C69">
        <w:rPr>
          <w:rFonts w:ascii="Times New Roman" w:hAnsi="Times New Roman"/>
          <w:color w:val="000000" w:themeColor="text1"/>
          <w:sz w:val="16"/>
          <w:szCs w:val="16"/>
        </w:rPr>
        <w:softHyphen/>
        <w:t>кратно пеняли конструкторам еще в предвоенный период. Между тем в первой атаке при залповом отстреле всех восьми РС самолет должно было очень сильно тряхнуть. Этот толчок отличался от подобных при разрыве зенитных снарядов, поскольку вектор его воздействия был на</w:t>
      </w:r>
      <w:r w:rsidRPr="001E2C69">
        <w:rPr>
          <w:rFonts w:ascii="Times New Roman" w:hAnsi="Times New Roman"/>
          <w:color w:val="000000" w:themeColor="text1"/>
          <w:sz w:val="16"/>
          <w:szCs w:val="16"/>
        </w:rPr>
        <w:softHyphen/>
        <w:t>правлен не снизу вверх, а спереди назад. Так что пилот несколько слука</w:t>
      </w:r>
      <w:r w:rsidRPr="001E2C69">
        <w:rPr>
          <w:rFonts w:ascii="Times New Roman" w:hAnsi="Times New Roman"/>
          <w:color w:val="000000" w:themeColor="text1"/>
          <w:sz w:val="16"/>
          <w:szCs w:val="16"/>
        </w:rPr>
        <w:softHyphen/>
        <w:t>вил. В то же время, пример Речкалова иллюстрирует, что при старте все</w:t>
      </w:r>
      <w:r w:rsidRPr="001E2C69">
        <w:rPr>
          <w:rFonts w:ascii="Times New Roman" w:hAnsi="Times New Roman"/>
          <w:color w:val="000000" w:themeColor="text1"/>
          <w:sz w:val="16"/>
          <w:szCs w:val="16"/>
        </w:rPr>
        <w:softHyphen/>
        <w:t>го боезапаса даже деревянные крылья истребителя, как видим, не «скла</w:t>
      </w:r>
      <w:r w:rsidRPr="001E2C69">
        <w:rPr>
          <w:rFonts w:ascii="Times New Roman" w:hAnsi="Times New Roman"/>
          <w:color w:val="000000" w:themeColor="text1"/>
          <w:sz w:val="16"/>
          <w:szCs w:val="16"/>
        </w:rPr>
        <w:softHyphen/>
        <w:t>дывались» силой отдачи. Подобные случаи происходили и с другими летчиками (11402).</w:t>
      </w:r>
    </w:p>
    <w:p w14:paraId="532C383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75546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июля 1942 в 13:00 л завода 166 Н.П.Костяков при испытаниях Ту-2 N 100307 (2131) совершил аварию, так как при посадке резко вывернул машину и сломалась нога шасси (2108).</w:t>
      </w:r>
    </w:p>
    <w:p w14:paraId="4A338C4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1F1B2C" w14:textId="77777777" w:rsidR="00203577" w:rsidRPr="001E2C69" w:rsidRDefault="00203577" w:rsidP="0020357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15 июля 1942 из сборочного цеха завода № 166 удалось выкатить первые семь серийных машин Ту-2, но затем дело встало: изза многочисленных аварий (в основном связанных с винтомоторной группой и недостатками конструкции шасси) военные отказались принимать самолеты. Для выяснения положения дел НКАП направил на завод № 166 специальную комиссию. Ее председателем назна</w:t>
      </w:r>
      <w:r w:rsidRPr="001E2C69">
        <w:rPr>
          <w:rFonts w:ascii="Times New Roman" w:hAnsi="Times New Roman"/>
          <w:color w:val="000000" w:themeColor="text1"/>
          <w:sz w:val="16"/>
          <w:szCs w:val="16"/>
        </w:rPr>
        <w:softHyphen/>
        <w:t>чили Н.Н.Поликарпова. Николай Николаевич оказался в сложном положе</w:t>
      </w:r>
      <w:r w:rsidRPr="001E2C69">
        <w:rPr>
          <w:rFonts w:ascii="Times New Roman" w:hAnsi="Times New Roman"/>
          <w:color w:val="000000" w:themeColor="text1"/>
          <w:sz w:val="16"/>
          <w:szCs w:val="16"/>
        </w:rPr>
        <w:softHyphen/>
        <w:t>нии. Он видел тонкую дипломатическую игру наркома</w:t>
      </w:r>
      <w:r w:rsidRPr="001E2C69">
        <w:rPr>
          <w:rFonts w:ascii="Times New Roman" w:hAnsi="Times New Roman"/>
          <w:color w:val="000000" w:themeColor="text1"/>
          <w:sz w:val="16"/>
          <w:szCs w:val="16"/>
        </w:rPr>
        <w:softHyphen/>
        <w:t>та, понимал, что развертывание серийного производства Ту-2, во-первых, делает невозможным возвращение станков на завод № 51, во-вторых, фактически означает свертывание работ по НБ с близкими характеристиками. Но Поликарпов также понимал и то, что Ту-2 уже пост</w:t>
      </w:r>
      <w:r w:rsidRPr="001E2C69">
        <w:rPr>
          <w:rFonts w:ascii="Times New Roman" w:hAnsi="Times New Roman"/>
          <w:color w:val="000000" w:themeColor="text1"/>
          <w:sz w:val="16"/>
          <w:szCs w:val="16"/>
        </w:rPr>
        <w:softHyphen/>
        <w:t>роен и испытан, что машина подобного класса очень нужна фронту, что для недавно выпущенного' на свобо</w:t>
      </w:r>
      <w:r w:rsidRPr="001E2C69">
        <w:rPr>
          <w:rFonts w:ascii="Times New Roman" w:hAnsi="Times New Roman"/>
          <w:color w:val="000000" w:themeColor="text1"/>
          <w:sz w:val="16"/>
          <w:szCs w:val="16"/>
        </w:rPr>
        <w:softHyphen/>
        <w:t>ду А.Н.Туполева прекращение серийной постройки Ту-2 может послужить поводом для отстранения от активной творческой деятельности или даже для нового ареста, а для еще находящихся в заключении сотрудников его ОКБ - отдалением срока выхода на свободу. Поэтому Николай Николаевич постарался помочь Туполеву и дать наркомату объективную картину о положении дел с Ту-2 (10667).</w:t>
      </w:r>
    </w:p>
    <w:p w14:paraId="49624FCF" w14:textId="77777777" w:rsidR="00203577" w:rsidRPr="001E2C69" w:rsidRDefault="00203577" w:rsidP="0020357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89BB5B"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июля 1942 года в Москву вернулся опытный МиГ-9 № 02. Перед возобновлением испыта</w:t>
      </w:r>
      <w:r w:rsidRPr="008A2E5A">
        <w:rPr>
          <w:rFonts w:ascii="Times New Roman" w:hAnsi="Times New Roman"/>
          <w:color w:val="0070C0"/>
          <w:sz w:val="16"/>
          <w:szCs w:val="16"/>
        </w:rPr>
        <w:softHyphen/>
        <w:t>ний в ОКБ-155 было решено улучшить герметизацию капота, а также уменьшить массу машины на 103 кг. С самолёта сняли пулемёт ШКАС с боезапасом, храпо</w:t>
      </w:r>
      <w:r w:rsidRPr="008A2E5A">
        <w:rPr>
          <w:rFonts w:ascii="Times New Roman" w:hAnsi="Times New Roman"/>
          <w:color w:val="0070C0"/>
          <w:sz w:val="16"/>
          <w:szCs w:val="16"/>
        </w:rPr>
        <w:softHyphen/>
        <w:t>вик и дополнительный воздушный баллон, установи</w:t>
      </w:r>
      <w:r w:rsidRPr="008A2E5A">
        <w:rPr>
          <w:rFonts w:ascii="Times New Roman" w:hAnsi="Times New Roman"/>
          <w:color w:val="0070C0"/>
          <w:sz w:val="16"/>
          <w:szCs w:val="16"/>
        </w:rPr>
        <w:softHyphen/>
        <w:t>ли на него более лёгкий аккумулятор и мотор М-82А с воздушным самопуском. В ходе заводских испытаний с винтом АВ-5-127А, которые проходили с 15 августа по 1 сентября, истребитель показал максимальную скорость 595 км/ч на высоте 6040 м.</w:t>
      </w:r>
    </w:p>
    <w:p w14:paraId="49E54C5A"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устранения выявленных недостатков 7 сен</w:t>
      </w:r>
      <w:r w:rsidRPr="008A2E5A">
        <w:rPr>
          <w:rFonts w:ascii="Times New Roman" w:hAnsi="Times New Roman"/>
          <w:color w:val="0070C0"/>
          <w:sz w:val="16"/>
          <w:szCs w:val="16"/>
        </w:rPr>
        <w:softHyphen/>
        <w:t>тября опытный МиГ-9 № 02 поступил в НИИ ВВС КА на государственные испытания. Ответ</w:t>
      </w:r>
      <w:r w:rsidRPr="008A2E5A">
        <w:rPr>
          <w:rFonts w:ascii="Times New Roman" w:hAnsi="Times New Roman"/>
          <w:color w:val="0070C0"/>
          <w:sz w:val="16"/>
          <w:szCs w:val="16"/>
        </w:rPr>
        <w:softHyphen/>
        <w:t>ственными за их проведение назначили ведущего инженера И.Г Лазарева и лёт</w:t>
      </w:r>
      <w:r w:rsidRPr="008A2E5A">
        <w:rPr>
          <w:rFonts w:ascii="Times New Roman" w:hAnsi="Times New Roman"/>
          <w:color w:val="0070C0"/>
          <w:sz w:val="16"/>
          <w:szCs w:val="16"/>
        </w:rPr>
        <w:softHyphen/>
        <w:t>чика-испытателя В.Е. Голофастова. К со</w:t>
      </w:r>
      <w:r w:rsidRPr="008A2E5A">
        <w:rPr>
          <w:rFonts w:ascii="Times New Roman" w:hAnsi="Times New Roman"/>
          <w:color w:val="0070C0"/>
          <w:sz w:val="16"/>
          <w:szCs w:val="16"/>
        </w:rPr>
        <w:softHyphen/>
        <w:t>жалению, машину неоднократно при</w:t>
      </w:r>
      <w:r w:rsidRPr="008A2E5A">
        <w:rPr>
          <w:rFonts w:ascii="Times New Roman" w:hAnsi="Times New Roman"/>
          <w:color w:val="0070C0"/>
          <w:sz w:val="16"/>
          <w:szCs w:val="16"/>
        </w:rPr>
        <w:softHyphen/>
        <w:t>ходилось возвращать её создателям для доводки винтомоторной группы, поэтому испытания растянулись на два месяца. По их результатам МиГ-9 получил неудо</w:t>
      </w:r>
      <w:r w:rsidRPr="008A2E5A">
        <w:rPr>
          <w:rFonts w:ascii="Times New Roman" w:hAnsi="Times New Roman"/>
          <w:color w:val="0070C0"/>
          <w:sz w:val="16"/>
          <w:szCs w:val="16"/>
        </w:rPr>
        <w:softHyphen/>
        <w:t>влетворительную оценку, так как его ос</w:t>
      </w:r>
      <w:r w:rsidRPr="008A2E5A">
        <w:rPr>
          <w:rFonts w:ascii="Times New Roman" w:hAnsi="Times New Roman"/>
          <w:color w:val="0070C0"/>
          <w:sz w:val="16"/>
          <w:szCs w:val="16"/>
        </w:rPr>
        <w:softHyphen/>
        <w:t>новные лётные характеристики оказались ниже, чем у серийных истребителей Ла-5 и Як-7. На госиспытаниях его максималь</w:t>
      </w:r>
      <w:r w:rsidRPr="008A2E5A">
        <w:rPr>
          <w:rFonts w:ascii="Times New Roman" w:hAnsi="Times New Roman"/>
          <w:color w:val="0070C0"/>
          <w:sz w:val="16"/>
          <w:szCs w:val="16"/>
        </w:rPr>
        <w:softHyphen/>
        <w:t>ная скорость с полётной массой 3382 кг составила всего 565 км/ч на высоте 6150 м. Кроме то</w:t>
      </w:r>
      <w:r w:rsidRPr="008A2E5A">
        <w:rPr>
          <w:rFonts w:ascii="Times New Roman" w:hAnsi="Times New Roman"/>
          <w:color w:val="0070C0"/>
          <w:sz w:val="16"/>
          <w:szCs w:val="16"/>
        </w:rPr>
        <w:softHyphen/>
        <w:t>го, у военных были большие претензии к работе ВМГ и условиям её эксплуатации (23370).</w:t>
      </w:r>
    </w:p>
    <w:p w14:paraId="7CAEFEAB" w14:textId="77777777" w:rsidR="00203577" w:rsidRPr="008A2E5A" w:rsidRDefault="00203577" w:rsidP="00203577">
      <w:pPr>
        <w:spacing w:after="0" w:line="240" w:lineRule="auto"/>
        <w:jc w:val="both"/>
        <w:rPr>
          <w:rFonts w:ascii="Times New Roman" w:hAnsi="Times New Roman"/>
          <w:color w:val="0070C0"/>
          <w:sz w:val="16"/>
          <w:szCs w:val="16"/>
        </w:rPr>
      </w:pPr>
    </w:p>
    <w:p w14:paraId="2B794F28"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15 июля 1942 начались работы по переоборудованию Як-7Б №2202, за</w:t>
      </w:r>
      <w:r w:rsidRPr="008A2E5A">
        <w:rPr>
          <w:rFonts w:ascii="Times New Roman" w:hAnsi="Times New Roman"/>
          <w:color w:val="0070C0"/>
          <w:sz w:val="16"/>
          <w:szCs w:val="16"/>
        </w:rPr>
        <w:softHyphen/>
        <w:t>кончившего испытания мотора М-105ПФ в НИИ ВВС КА, под мотор М-105ПД. Кроме изменений в моторной установке, эту маши</w:t>
      </w:r>
      <w:r w:rsidRPr="008A2E5A">
        <w:rPr>
          <w:rFonts w:ascii="Times New Roman" w:hAnsi="Times New Roman"/>
          <w:color w:val="0070C0"/>
          <w:sz w:val="16"/>
          <w:szCs w:val="16"/>
        </w:rPr>
        <w:softHyphen/>
        <w:t>ну дополнительно облегчили за счет снятия пулеметов и установили каплевидный фонарь по образцу, выпол</w:t>
      </w:r>
      <w:r w:rsidRPr="008A2E5A">
        <w:rPr>
          <w:rFonts w:ascii="Times New Roman" w:hAnsi="Times New Roman"/>
          <w:color w:val="0070C0"/>
          <w:sz w:val="16"/>
          <w:szCs w:val="16"/>
        </w:rPr>
        <w:softHyphen/>
        <w:t>ненному на опытном Як-1б №3560 с передним и зад</w:t>
      </w:r>
      <w:r w:rsidRPr="008A2E5A">
        <w:rPr>
          <w:rFonts w:ascii="Times New Roman" w:hAnsi="Times New Roman"/>
          <w:color w:val="0070C0"/>
          <w:sz w:val="16"/>
          <w:szCs w:val="16"/>
        </w:rPr>
        <w:softHyphen/>
        <w:t>ним бронестеклами. Як-7Б №2202 с мотором М-105ПД представили на государственные испытания, проведен</w:t>
      </w:r>
      <w:r w:rsidRPr="008A2E5A">
        <w:rPr>
          <w:rFonts w:ascii="Times New Roman" w:hAnsi="Times New Roman"/>
          <w:color w:val="0070C0"/>
          <w:sz w:val="16"/>
          <w:szCs w:val="16"/>
        </w:rPr>
        <w:softHyphen/>
        <w:t>ные в период с 17 по 23 сентября 1942 г. (Несмотря на то что отчет утвержден заместителем главного инжене</w:t>
      </w:r>
      <w:r w:rsidRPr="008A2E5A">
        <w:rPr>
          <w:rFonts w:ascii="Times New Roman" w:hAnsi="Times New Roman"/>
          <w:color w:val="0070C0"/>
          <w:sz w:val="16"/>
          <w:szCs w:val="16"/>
        </w:rPr>
        <w:softHyphen/>
        <w:t>ра ВВС КА генерал-майором ИАС Лапиным 25 сентября, сам отчет отпечатан только 14 октября, подписан участ</w:t>
      </w:r>
      <w:r w:rsidRPr="008A2E5A">
        <w:rPr>
          <w:rFonts w:ascii="Times New Roman" w:hAnsi="Times New Roman"/>
          <w:color w:val="0070C0"/>
          <w:sz w:val="16"/>
          <w:szCs w:val="16"/>
        </w:rPr>
        <w:softHyphen/>
        <w:t>никами испытаний и должностными лицами НИИ ВВС КА 16-18 октября и в его тексте упоминаются полеты, про</w:t>
      </w:r>
      <w:r w:rsidRPr="008A2E5A">
        <w:rPr>
          <w:rFonts w:ascii="Times New Roman" w:hAnsi="Times New Roman"/>
          <w:color w:val="0070C0"/>
          <w:sz w:val="16"/>
          <w:szCs w:val="16"/>
        </w:rPr>
        <w:softHyphen/>
        <w:t>ходившие 6 октября 1942 г. Поэтому дата окончания ис</w:t>
      </w:r>
      <w:r w:rsidRPr="008A2E5A">
        <w:rPr>
          <w:rFonts w:ascii="Times New Roman" w:hAnsi="Times New Roman"/>
          <w:color w:val="0070C0"/>
          <w:sz w:val="16"/>
          <w:szCs w:val="16"/>
        </w:rPr>
        <w:softHyphen/>
        <w:t>пытаний требует уточнения.)</w:t>
      </w:r>
    </w:p>
    <w:p w14:paraId="67DE8DC4"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сравнению с опытным самолетом Як-5 истребитель Як-7 с мотором М-105ПД показал более скромные резуль</w:t>
      </w:r>
      <w:r w:rsidRPr="008A2E5A">
        <w:rPr>
          <w:rFonts w:ascii="Times New Roman" w:hAnsi="Times New Roman"/>
          <w:color w:val="0070C0"/>
          <w:sz w:val="16"/>
          <w:szCs w:val="16"/>
        </w:rPr>
        <w:softHyphen/>
        <w:t>таты. При меньшем на 46 кг (2904 кг) полетном весе макси</w:t>
      </w:r>
      <w:r w:rsidRPr="008A2E5A">
        <w:rPr>
          <w:rFonts w:ascii="Times New Roman" w:hAnsi="Times New Roman"/>
          <w:color w:val="0070C0"/>
          <w:sz w:val="16"/>
          <w:szCs w:val="16"/>
        </w:rPr>
        <w:softHyphen/>
        <w:t>мальная скорость у земли равнялась 500 км/ч, и 611 км/ч на высоте 7600 м. Практический потолок составил 11 300 м. Тем не менее модифицированный Як-7 превосходил по скорости истребитель МиГ-3 до высоты 5000 м, а истре</w:t>
      </w:r>
      <w:r w:rsidRPr="008A2E5A">
        <w:rPr>
          <w:rFonts w:ascii="Times New Roman" w:hAnsi="Times New Roman"/>
          <w:color w:val="0070C0"/>
          <w:sz w:val="16"/>
          <w:szCs w:val="16"/>
        </w:rPr>
        <w:softHyphen/>
        <w:t>битель Ла-5 с М-82 - на высотах свыше 3800 м. По скоро</w:t>
      </w:r>
      <w:r w:rsidRPr="008A2E5A">
        <w:rPr>
          <w:rFonts w:ascii="Times New Roman" w:hAnsi="Times New Roman"/>
          <w:color w:val="0070C0"/>
          <w:sz w:val="16"/>
          <w:szCs w:val="16"/>
        </w:rPr>
        <w:softHyphen/>
        <w:t xml:space="preserve">подъемности Як-7 №2202 превосходил и МиГ-3, и Ла-5. Однако отсутствие автомата управления турбомуфтой, неустойчивая работа мотора на высотах свыше 7000 м, падение давления масла ниже </w:t>
      </w:r>
      <w:r w:rsidRPr="008A2E5A">
        <w:rPr>
          <w:rFonts w:ascii="Times New Roman" w:hAnsi="Times New Roman"/>
          <w:color w:val="0070C0"/>
          <w:sz w:val="16"/>
          <w:szCs w:val="16"/>
        </w:rPr>
        <w:lastRenderedPageBreak/>
        <w:t>допустимого на высотах свыше 9000 м, сокращенный состав вооружения и отсут</w:t>
      </w:r>
      <w:r w:rsidRPr="008A2E5A">
        <w:rPr>
          <w:rFonts w:ascii="Times New Roman" w:hAnsi="Times New Roman"/>
          <w:color w:val="0070C0"/>
          <w:sz w:val="16"/>
          <w:szCs w:val="16"/>
        </w:rPr>
        <w:softHyphen/>
        <w:t>ствие радиостанции не позволили принять положитель</w:t>
      </w:r>
      <w:r w:rsidRPr="008A2E5A">
        <w:rPr>
          <w:rFonts w:ascii="Times New Roman" w:hAnsi="Times New Roman"/>
          <w:color w:val="0070C0"/>
          <w:sz w:val="16"/>
          <w:szCs w:val="16"/>
        </w:rPr>
        <w:softHyphen/>
        <w:t>ное заключение по самолету. По устранению этих дефек</w:t>
      </w:r>
      <w:r w:rsidRPr="008A2E5A">
        <w:rPr>
          <w:rFonts w:ascii="Times New Roman" w:hAnsi="Times New Roman"/>
          <w:color w:val="0070C0"/>
          <w:sz w:val="16"/>
          <w:szCs w:val="16"/>
        </w:rPr>
        <w:softHyphen/>
        <w:t>тов НИИ ВВС посчитал возможным изготовить опытную серию из 10 машин для войсковых испытаний. Самолет оставили в НИИ ВВС на 50-часовые длительные испыта</w:t>
      </w:r>
      <w:r w:rsidRPr="008A2E5A">
        <w:rPr>
          <w:rFonts w:ascii="Times New Roman" w:hAnsi="Times New Roman"/>
          <w:color w:val="0070C0"/>
          <w:sz w:val="16"/>
          <w:szCs w:val="16"/>
        </w:rPr>
        <w:softHyphen/>
        <w:t>ния с целью определения надежности мотора и его агре</w:t>
      </w:r>
      <w:r w:rsidRPr="008A2E5A">
        <w:rPr>
          <w:rFonts w:ascii="Times New Roman" w:hAnsi="Times New Roman"/>
          <w:color w:val="0070C0"/>
          <w:sz w:val="16"/>
          <w:szCs w:val="16"/>
        </w:rPr>
        <w:softHyphen/>
        <w:t>гатов, которые провели с 14 октября по 9 ноября 1942 г. Испытания закончились аварией мотора из-за раскрутки винта по причине отказа регулятора Р-7. При выполнении вынужденной посадки с убранным шасси самолет и мо</w:t>
      </w:r>
      <w:r w:rsidRPr="008A2E5A">
        <w:rPr>
          <w:rFonts w:ascii="Times New Roman" w:hAnsi="Times New Roman"/>
          <w:color w:val="0070C0"/>
          <w:sz w:val="16"/>
          <w:szCs w:val="16"/>
        </w:rPr>
        <w:softHyphen/>
        <w:t>тор были разбиты. Всего мотор М-105ПД №225-646 на</w:t>
      </w:r>
      <w:r w:rsidRPr="008A2E5A">
        <w:rPr>
          <w:rFonts w:ascii="Times New Roman" w:hAnsi="Times New Roman"/>
          <w:color w:val="0070C0"/>
          <w:sz w:val="16"/>
          <w:szCs w:val="16"/>
        </w:rPr>
        <w:softHyphen/>
        <w:t>работал 63 часа, из которых 29 часов 45 минут в воздухе и 14 часов 10 минут на режиме номинальной мощности. В процессе испытаний мотор работал надежно. Как ос</w:t>
      </w:r>
      <w:r w:rsidRPr="008A2E5A">
        <w:rPr>
          <w:rFonts w:ascii="Times New Roman" w:hAnsi="Times New Roman"/>
          <w:color w:val="0070C0"/>
          <w:sz w:val="16"/>
          <w:szCs w:val="16"/>
        </w:rPr>
        <w:softHyphen/>
        <w:t>новной недостаток, требующий обязательной доработки, летчики-испытатели указали отсутствие автомата пере</w:t>
      </w:r>
      <w:r w:rsidRPr="008A2E5A">
        <w:rPr>
          <w:rFonts w:ascii="Times New Roman" w:hAnsi="Times New Roman"/>
          <w:color w:val="0070C0"/>
          <w:sz w:val="16"/>
          <w:szCs w:val="16"/>
        </w:rPr>
        <w:softHyphen/>
        <w:t>ключения турбомуфты. В боевых условиях летчик не смог бы вручную и оптимально регулировать работу нагнета</w:t>
      </w:r>
      <w:r w:rsidRPr="008A2E5A">
        <w:rPr>
          <w:rFonts w:ascii="Times New Roman" w:hAnsi="Times New Roman"/>
          <w:color w:val="0070C0"/>
          <w:sz w:val="16"/>
          <w:szCs w:val="16"/>
        </w:rPr>
        <w:softHyphen/>
        <w:t>теля для получения от мотора максимальной мощности (23381).</w:t>
      </w:r>
    </w:p>
    <w:p w14:paraId="5FF1890B" w14:textId="77777777" w:rsidR="00203577" w:rsidRPr="008A2E5A" w:rsidRDefault="00203577" w:rsidP="00203577">
      <w:pPr>
        <w:spacing w:after="0" w:line="240" w:lineRule="auto"/>
        <w:jc w:val="both"/>
        <w:rPr>
          <w:rFonts w:ascii="Times New Roman" w:hAnsi="Times New Roman"/>
          <w:color w:val="0070C0"/>
          <w:sz w:val="16"/>
          <w:szCs w:val="16"/>
        </w:rPr>
      </w:pPr>
    </w:p>
    <w:p w14:paraId="3699FEC6" w14:textId="77777777" w:rsidR="00056917" w:rsidRPr="001E2C69" w:rsidRDefault="00056917"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С 15 июля 1942 49-й Краснознаменный иап (командир майор Л.И. Сорокин, военком батальонный ко</w:t>
      </w:r>
      <w:r w:rsidRPr="001E2C69">
        <w:rPr>
          <w:rFonts w:ascii="Times New Roman" w:cs="Times New Roman"/>
          <w:color w:val="000000" w:themeColor="text1"/>
          <w:spacing w:val="0"/>
        </w:rPr>
        <w:softHyphen/>
        <w:t>миссар В.Е. Лукьянов) начал полу</w:t>
      </w:r>
      <w:r w:rsidRPr="001E2C69">
        <w:rPr>
          <w:rFonts w:ascii="Times New Roman" w:cs="Times New Roman"/>
          <w:color w:val="000000" w:themeColor="text1"/>
          <w:spacing w:val="0"/>
        </w:rPr>
        <w:softHyphen/>
        <w:t>чать ЛаГГ-5 на аэродроме города Богородск и проводить тренировки в воздухе, но поскольку дефектов в первых самолётах оказалось много, лётной практики пилотам не</w:t>
      </w:r>
      <w:r w:rsidRPr="001E2C69">
        <w:rPr>
          <w:rFonts w:ascii="Times New Roman" w:cs="Times New Roman"/>
          <w:color w:val="000000" w:themeColor="text1"/>
          <w:spacing w:val="0"/>
        </w:rPr>
        <w:softHyphen/>
        <w:t>доставало. Налёт на одного лётчика составил 10-12 часов (15813).</w:t>
      </w:r>
    </w:p>
    <w:p w14:paraId="4CCFD07D" w14:textId="77777777" w:rsidR="00056917" w:rsidRPr="001E2C69" w:rsidRDefault="00056917" w:rsidP="00722885">
      <w:pPr>
        <w:pStyle w:val="27"/>
        <w:shd w:val="clear" w:color="auto" w:fill="auto"/>
        <w:spacing w:after="0" w:line="240" w:lineRule="auto"/>
        <w:ind w:firstLine="0"/>
        <w:rPr>
          <w:rFonts w:ascii="Times New Roman" w:cs="Times New Roman"/>
          <w:color w:val="000000" w:themeColor="text1"/>
          <w:spacing w:val="0"/>
        </w:rPr>
      </w:pPr>
    </w:p>
    <w:p w14:paraId="5B7E2E1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июля 1942 вышло постановление ГКО N 2046, которым НИИ-3 преобразовали в ГИРТ (2393,22).</w:t>
      </w:r>
    </w:p>
    <w:p w14:paraId="12BB0AA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94DB39"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июля 1942 вышло Постановление ГКО № 2046 Об организации Государственного института реактивной техники. (7043, 107-108).</w:t>
      </w:r>
    </w:p>
    <w:p w14:paraId="65AAEDC6"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70BD7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15 июля 1942 года на территории НИИ-3 (б. ВИСХОМ), в корпусе № 15 был также расположен Опытный самолетостроительный завод № 55, слившийся в 1943 году с НИИ-3 (9420).</w:t>
      </w:r>
    </w:p>
    <w:p w14:paraId="2522483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393DB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июля 1942 года вышло Постановление Государственного комитета обороны № ГОКО-2046сс от «Об организации Государственного института реактивной техники»</w:t>
      </w:r>
    </w:p>
    <w:p w14:paraId="4201B09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Учитывая важность развития работ по реактивной технике для обороны страны, Государственный комитет обороны постановляет:</w:t>
      </w:r>
    </w:p>
    <w:p w14:paraId="55E01DD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Преобразовать научно-исследовательский институт № 3 Наркомата боеприпасов в Государственный институт реактивной техники, подчинив его непосредственно Совету Народных Комиссаров Союза ССР.</w:t>
      </w:r>
    </w:p>
    <w:p w14:paraId="11E4C50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Возложить на Государственный институт реактивной техники разработку научно-технических вопросов и создание опытных образцов:</w:t>
      </w:r>
    </w:p>
    <w:p w14:paraId="106758D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реактивных снарядов и пусковых систем к ним;</w:t>
      </w:r>
    </w:p>
    <w:p w14:paraId="67C6F10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реактивных двигателей;</w:t>
      </w:r>
    </w:p>
    <w:p w14:paraId="5619DF6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реактивных летательных аппаратов и торпед.</w:t>
      </w:r>
    </w:p>
    <w:p w14:paraId="399D4DC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Директором и главным конструктором института назначить военного инженера 1 ранга т. Костикова А.Г.</w:t>
      </w:r>
    </w:p>
    <w:p w14:paraId="62BDF52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Установить, что задание и программа работы института утверждаются Государственным комитетом обороны по представлению директора института т. Костикова.</w:t>
      </w:r>
    </w:p>
    <w:p w14:paraId="2C72D0E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В дополнение к существующему помещению передать Государ-ственному институту реактивной техники территорию и все производственные и подсобные помещения Всесоюзного института сельскохозяйственного машиностроения Наркомата минометного во-1»ружения, находящиеся в г. Москве.</w:t>
      </w:r>
    </w:p>
    <w:p w14:paraId="4BC511C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Обязать Моссовет (т. Пронина) выделить Наркомату минометного вооружения взамен Для размещения лабораторий и оборудования ВИСХОМа равноценное помещение.</w:t>
      </w:r>
    </w:p>
    <w:p w14:paraId="62489DD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Обязать НКАП (т. Шахурина) и т. Костикова в 5-дневный срок представить ГОКО свои предложения о строительстве реактивного самолета по проекту т. Костикова.</w:t>
      </w:r>
    </w:p>
    <w:p w14:paraId="16DB4B8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Наркому судостроительной промышленности т. Носенко откомандировать в распоря-рмиие Государственного института реактивной техники 10 специалистов по торпедостроению для участия в разработке реактивных подводных торпед.</w:t>
      </w:r>
    </w:p>
    <w:p w14:paraId="75EDED8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НКО и НКВМФ прикомандировать к Государственному институту реактивной техники для координации работ по применению реактивных аппаратов и вооружения 15 специалистов по заявке института.</w:t>
      </w:r>
    </w:p>
    <w:p w14:paraId="43BF6D8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Обязать Госплан СССР выделить Государственному институту реактивной техники самостоятельные фонды по материально-техническому обеспечению.</w:t>
      </w:r>
    </w:p>
    <w:p w14:paraId="21D9A12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Возложить ответственность за своевременное решение вопросов по материальному обеспечению института на зам. председателя СНК СССР т. Сабурова.</w:t>
      </w:r>
    </w:p>
    <w:p w14:paraId="3507DEC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Поручить т. Сабурову решить вопрос об обеспечении института заводским и лаборатор</w:t>
      </w:r>
      <w:r w:rsidRPr="001E2C69">
        <w:rPr>
          <w:rFonts w:ascii="Times New Roman" w:hAnsi="Times New Roman"/>
          <w:color w:val="000000" w:themeColor="text1"/>
          <w:sz w:val="16"/>
          <w:szCs w:val="16"/>
        </w:rPr>
        <w:softHyphen/>
        <w:t>ным оборудованием. О принятых мерах доложить ГОКО к 1 августа 1942 года.</w:t>
      </w:r>
    </w:p>
    <w:p w14:paraId="09F99BE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Моссовету (т. Пронин) выделить в распоряжение Государственного института реак</w:t>
      </w:r>
      <w:r w:rsidRPr="001E2C69">
        <w:rPr>
          <w:rFonts w:ascii="Times New Roman" w:hAnsi="Times New Roman"/>
          <w:color w:val="000000" w:themeColor="text1"/>
          <w:sz w:val="16"/>
          <w:szCs w:val="16"/>
        </w:rPr>
        <w:softHyphen/>
        <w:t>тивной техники жилфонд в г. Москве на 100 семей сотрудников института.</w:t>
      </w:r>
    </w:p>
    <w:p w14:paraId="47DEEE8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Обязать т. Костикова к 1 августа представить на утверждение ГОКО программу рабо</w:t>
      </w:r>
      <w:r w:rsidRPr="001E2C69">
        <w:rPr>
          <w:rFonts w:ascii="Times New Roman" w:hAnsi="Times New Roman"/>
          <w:color w:val="000000" w:themeColor="text1"/>
          <w:sz w:val="16"/>
          <w:szCs w:val="16"/>
        </w:rPr>
        <w:softHyphen/>
        <w:t>ты института на 3 и 4 кварталы 1942 года.</w:t>
      </w:r>
    </w:p>
    <w:p w14:paraId="4E722D7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Председатель Государственного комитета обороны АП РФ. Ф. 3. Оп. 47. Д. 179. Лл. 15-16.</w:t>
      </w:r>
    </w:p>
    <w:p w14:paraId="0D47792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 Сталин (11751).</w:t>
      </w:r>
    </w:p>
    <w:p w14:paraId="09FF091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0B5A05" w14:textId="77777777" w:rsidR="005D0E4F" w:rsidRPr="001E2C69" w:rsidRDefault="005D0E4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июля 1942 г. в напряженный момент немецкого наступления на юге в направлении на Кавказ и Сталинград Сталин подписал Постановление № 2046 об организации Государственного института реактивной техники /ГИРТ/. В постановлении ГКО были затронуты все основные организационные вопросы, по которым были разногласия между НИИ-3 и НКБ и НКАП.</w:t>
      </w:r>
    </w:p>
    <w:p w14:paraId="068935EE" w14:textId="77777777" w:rsidR="005D0E4F" w:rsidRPr="001E2C69" w:rsidRDefault="005D0E4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«1. НИИ-3 подчинить непосредственно СНК, /выведя его из подчинения НКБ/.</w:t>
      </w:r>
    </w:p>
    <w:p w14:paraId="58E6A335" w14:textId="77777777" w:rsidR="005D0E4F" w:rsidRPr="001E2C69" w:rsidRDefault="005D0E4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 Возложить на ГИРТ разработку: а). РС и пусковых систем к ним. б). Реактивных двигателей. в). Реактивных летательных аппаратов и торпед. </w:t>
      </w:r>
    </w:p>
    <w:p w14:paraId="2310077D" w14:textId="77777777" w:rsidR="005D0E4F" w:rsidRPr="001E2C69" w:rsidRDefault="005D0E4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3. Директором и ГК назначить Костикова. </w:t>
      </w:r>
    </w:p>
    <w:p w14:paraId="38FC1B14" w14:textId="77777777" w:rsidR="005D0E4F" w:rsidRPr="001E2C69" w:rsidRDefault="005D0E4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4. Установить, что задания и программы работ института утверждаются ГКО по представлению Костикова. 5. </w:t>
      </w:r>
    </w:p>
    <w:p w14:paraId="3AA7B1D9" w14:textId="77777777" w:rsidR="005D0E4F" w:rsidRPr="001E2C69" w:rsidRDefault="005D0E4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Передать ГИРТ все помещения ВИСХОМа. </w:t>
      </w:r>
    </w:p>
    <w:p w14:paraId="4E5E94AB" w14:textId="77777777" w:rsidR="005D0E4F" w:rsidRPr="001E2C69" w:rsidRDefault="005D0E4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Обязать НКАП /Шахурина/ и т. Костикова в пятидневный срок представить свои соображения по строительству самолета по проекту Костикова…..</w:t>
      </w:r>
    </w:p>
    <w:p w14:paraId="1D7A3EDD" w14:textId="77777777" w:rsidR="005D0E4F" w:rsidRPr="001E2C69" w:rsidRDefault="005D0E4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9. Госплану выделить фонды по материально- техническому обеспечению института. </w:t>
      </w:r>
    </w:p>
    <w:p w14:paraId="75CA567C" w14:textId="77777777" w:rsidR="005D0E4F" w:rsidRPr="001E2C69" w:rsidRDefault="005D0E4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10. Возложить ответственность за своевременное решение вопросов по материальному обеспечению института на зам. пред. СНК СССР Сабурова. </w:t>
      </w:r>
    </w:p>
    <w:p w14:paraId="6E64C7B5" w14:textId="77777777" w:rsidR="005D0E4F" w:rsidRPr="001E2C69" w:rsidRDefault="005D0E4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11. Моссовету /т. Пронину/ выделить институту жилфонд на 100 семей. 12. Костикову к 01.08.42. представить в ГКО программу работы института на 3 и 4 квартал </w:t>
      </w:r>
      <w:smartTag w:uri="urn:schemas-microsoft-com:office:smarttags" w:element="metricconverter">
        <w:smartTagPr>
          <w:attr w:name="ProductID" w:val="1942 г"/>
        </w:smartTagPr>
        <w:r w:rsidRPr="001E2C69">
          <w:rPr>
            <w:rFonts w:ascii="Times New Roman" w:hAnsi="Times New Roman"/>
            <w:color w:val="000000" w:themeColor="text1"/>
            <w:sz w:val="16"/>
            <w:szCs w:val="16"/>
          </w:rPr>
          <w:t>1942 г</w:t>
        </w:r>
      </w:smartTag>
      <w:r w:rsidRPr="001E2C69">
        <w:rPr>
          <w:rFonts w:ascii="Times New Roman" w:hAnsi="Times New Roman"/>
          <w:color w:val="000000" w:themeColor="text1"/>
          <w:sz w:val="16"/>
          <w:szCs w:val="16"/>
        </w:rPr>
        <w:t xml:space="preserve">.» (19590). </w:t>
      </w:r>
    </w:p>
    <w:p w14:paraId="2B4E63EA" w14:textId="77777777" w:rsidR="005D0E4F" w:rsidRPr="001E2C69" w:rsidRDefault="005D0E4F" w:rsidP="00722885">
      <w:pPr>
        <w:spacing w:after="0" w:line="240" w:lineRule="auto"/>
        <w:jc w:val="both"/>
        <w:rPr>
          <w:rFonts w:ascii="Times New Roman" w:hAnsi="Times New Roman"/>
          <w:color w:val="000000" w:themeColor="text1"/>
          <w:sz w:val="16"/>
          <w:szCs w:val="16"/>
        </w:rPr>
      </w:pPr>
    </w:p>
    <w:p w14:paraId="795BD6E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июля 1942 г. в соответствии с пост. ГКО № 2046 в Москве на базе НИИ-3 НКБ создан ГИРТ при СНК СССР. По распоряжению ГКО № 4306с от 11.10.1943г. и приказу НКАП № 666с от 5.11.1943г. в подчинение ГИРТ с 7.11.1943г. передан завод № 55 НКАП в качестве производственной базы. В ГИРТ переведены все сотрудники бывшего ОКБ А.А. Архангельского, а также М.Р. Бисноват.</w:t>
      </w:r>
    </w:p>
    <w:p w14:paraId="5350666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Спроектирован самолет «302П» (Ко-3) с ЖРД Душкина, 26.07.1942г. вышло постановление ГКО № 2105 о его постройке (первый полет в 10.1943г.).</w:t>
      </w:r>
    </w:p>
    <w:p w14:paraId="4E74B13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Пост. ГКО № 5201сс от 18.02.1944 г. было указано на «нетерпимое положение с реактивной техникой» и ГИРТ был ликвидирован. Одновременно все сооружения и кадры были переданы в НКАП (приказ № 111с от 18.02.1944г.) и стали основой для образования Научно-исследовательского института реактивной авиации (НИРА) НКАП. Приказом № 115с от 18.02.1944г. начальником временно назначен В.И. Поликовский. По приказу № 149сс от 28.02.1944г. НИРА объединен с заводом № 293 (вместе с ОКБ-293) и преобразован в НИИ-1, в ведении 7ГУ НКАП.</w:t>
      </w:r>
    </w:p>
    <w:p w14:paraId="6DBF6F3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Началось сосредоточение в институте основных кадров по реактивной технике. Сюда переведены: из ОКБ-293 - ЭКБ-3 М.М. Бондарюка (создан отдел ПВРД, далее - КБ-2 НИИ-1, с 10.1950 г. - самостоятельное ОКБ-670); из ЦИАМ - </w:t>
      </w:r>
      <w:r w:rsidRPr="001E2C69">
        <w:rPr>
          <w:rFonts w:ascii="Times New Roman" w:hAnsi="Times New Roman"/>
          <w:color w:val="000000" w:themeColor="text1"/>
          <w:sz w:val="16"/>
          <w:szCs w:val="16"/>
          <w:lang w:val="en-US"/>
        </w:rPr>
        <w:t>A</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M</w:t>
      </w:r>
      <w:r w:rsidRPr="001E2C69">
        <w:rPr>
          <w:rFonts w:ascii="Times New Roman" w:hAnsi="Times New Roman"/>
          <w:color w:val="000000" w:themeColor="text1"/>
          <w:sz w:val="16"/>
          <w:szCs w:val="16"/>
        </w:rPr>
        <w:t xml:space="preserve">. Люлька (выдано задание на создание ТРД тягой 1250 кг); группа В.П. Глушко; группа Л .С. Душкина; группа </w:t>
      </w:r>
      <w:r w:rsidRPr="001E2C69">
        <w:rPr>
          <w:rFonts w:ascii="Times New Roman" w:hAnsi="Times New Roman"/>
          <w:color w:val="000000" w:themeColor="text1"/>
          <w:sz w:val="16"/>
          <w:szCs w:val="16"/>
          <w:lang w:val="en-US"/>
        </w:rPr>
        <w:t>A</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M</w:t>
      </w:r>
      <w:r w:rsidRPr="001E2C69">
        <w:rPr>
          <w:rFonts w:ascii="Times New Roman" w:hAnsi="Times New Roman"/>
          <w:color w:val="000000" w:themeColor="text1"/>
          <w:sz w:val="16"/>
          <w:szCs w:val="16"/>
        </w:rPr>
        <w:t>. Исаева (ОКО при НИИ-1).</w:t>
      </w:r>
    </w:p>
    <w:p w14:paraId="641B2BF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И.Ф. Флоров, работавший в ОКБ-293, в 07.1944г. назначен начальником самолетного сектора № 43 НИИ-1 по приказу № 370сс от 30.05.1944г. (с 1948г.- в ЦИАМ). Здесь же с конца 1944г. по 02.1945г. работал А.А. Боровков. Создан самолет «4302» (1946г.).</w:t>
      </w:r>
    </w:p>
    <w:p w14:paraId="01733EA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Приказом № 364с от 29.05.1944г. начальником НИИ-1 назначен П.И. Федоров, 1-м замом по научно- исследовательской работе - В.Ф. Болховитинов. Приказом № 656с от 2.11.1944г. НИИ-1 передан в 18ГУ, основное направление - реактивное двигателестроение. По приказу № 122с от 19.03.1946г. в связи с ликвидацией 18ГУ передан в 8ГУ, с 1.10.1951 г. - в 6ГУ.</w:t>
      </w:r>
    </w:p>
    <w:p w14:paraId="3D36AFC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Велась разработка </w:t>
      </w:r>
      <w:r w:rsidRPr="001E2C69">
        <w:rPr>
          <w:rFonts w:ascii="Times New Roman" w:hAnsi="Times New Roman"/>
          <w:color w:val="000000" w:themeColor="text1"/>
          <w:sz w:val="16"/>
          <w:szCs w:val="16"/>
          <w:lang w:val="en-US"/>
        </w:rPr>
        <w:t>PC</w:t>
      </w:r>
      <w:r w:rsidRPr="001E2C69">
        <w:rPr>
          <w:rFonts w:ascii="Times New Roman" w:hAnsi="Times New Roman"/>
          <w:color w:val="000000" w:themeColor="text1"/>
          <w:sz w:val="16"/>
          <w:szCs w:val="16"/>
        </w:rPr>
        <w:t>. В соответствии с пост. ГКО № 6029 от 9.06.1944г. боевая установка М-31 пнв. С 1944г. проектировались авиационные турбореактивные снаряды ТРС-82 и ТРС-132 (Е.А. Печерский), затем работы переданы в КБ-2 МСХМ.</w:t>
      </w:r>
    </w:p>
    <w:p w14:paraId="7601765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1946г. на базе отдела вооружения № 52 создан НИИ-2 МАП.</w:t>
      </w:r>
    </w:p>
    <w:p w14:paraId="3125331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03.1946г. из НИИ-1 МАП на завод № 81 МАП переведена группа конструкторов (9 чел.), занимавшаяся установками </w:t>
      </w:r>
      <w:r w:rsidRPr="001E2C69">
        <w:rPr>
          <w:rFonts w:ascii="Times New Roman" w:hAnsi="Times New Roman"/>
          <w:color w:val="000000" w:themeColor="text1"/>
          <w:sz w:val="16"/>
          <w:szCs w:val="16"/>
          <w:lang w:val="en-US"/>
        </w:rPr>
        <w:t>PC</w:t>
      </w:r>
      <w:r w:rsidRPr="001E2C69">
        <w:rPr>
          <w:rFonts w:ascii="Times New Roman" w:hAnsi="Times New Roman"/>
          <w:color w:val="000000" w:themeColor="text1"/>
          <w:sz w:val="16"/>
          <w:szCs w:val="16"/>
        </w:rPr>
        <w:t xml:space="preserve">. По приказу № 182сс от 30.03.1946г. СКБ </w:t>
      </w:r>
      <w:r w:rsidRPr="001E2C69">
        <w:rPr>
          <w:rFonts w:ascii="Times New Roman" w:hAnsi="Times New Roman"/>
          <w:color w:val="000000" w:themeColor="text1"/>
          <w:sz w:val="16"/>
          <w:szCs w:val="16"/>
          <w:lang w:val="en-US"/>
        </w:rPr>
        <w:t>A</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M</w:t>
      </w:r>
      <w:r w:rsidRPr="001E2C69">
        <w:rPr>
          <w:rFonts w:ascii="Times New Roman" w:hAnsi="Times New Roman"/>
          <w:color w:val="000000" w:themeColor="text1"/>
          <w:sz w:val="16"/>
          <w:szCs w:val="16"/>
        </w:rPr>
        <w:t>. Люльки переведено на самостоятельную опытную базу- завод № 165 МАП, в состав его ОКБ передан личный состав отдела №21 НИИ-1.</w:t>
      </w:r>
    </w:p>
    <w:p w14:paraId="7B2579E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1947г. Келдышем разработан проект ракетного самолета с 2-мя ПВРД и ЖРД.</w:t>
      </w:r>
    </w:p>
    <w:p w14:paraId="67C190F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По приказу № 440с от 21.06.1948г. с 1.07.1948г. НИИ-1 стал филиалом ЦИАМ. В соответствии с пост. СМ СССР от 10.03.1952г. НИИ-1 МАП вновь стал </w:t>
      </w:r>
      <w:r w:rsidRPr="001E2C69">
        <w:rPr>
          <w:rFonts w:ascii="Times New Roman" w:hAnsi="Times New Roman"/>
          <w:color w:val="000000" w:themeColor="text1"/>
          <w:sz w:val="16"/>
          <w:szCs w:val="16"/>
        </w:rPr>
        <w:lastRenderedPageBreak/>
        <w:t>самостоятельным и получил также название НИИ РД.</w:t>
      </w:r>
      <w:r w:rsidRPr="001E2C69">
        <w:rPr>
          <w:rFonts w:ascii="Times New Roman" w:hAnsi="Times New Roman"/>
          <w:color w:val="000000" w:themeColor="text1"/>
          <w:sz w:val="16"/>
          <w:szCs w:val="16"/>
          <w:vertAlign w:val="superscript"/>
        </w:rPr>
        <w:t>59</w:t>
      </w:r>
    </w:p>
    <w:p w14:paraId="07E43B9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1950-х г., после выделения всех конструкторских организаций в самостоятельные, институт занимался НИР в ракетно-космической области и двигателестроении. В 1954г. создана лаборатория № 6 по динамике КР. В 1950- е г. построена стендовая испытательная база в Тураево. В 1956-57г. построен газодинамический тепловой стенд Ц-12Т для испытаний ракет.</w:t>
      </w:r>
      <w:r w:rsidRPr="001E2C69">
        <w:rPr>
          <w:rFonts w:ascii="Times New Roman" w:hAnsi="Times New Roman"/>
          <w:color w:val="000000" w:themeColor="text1"/>
          <w:sz w:val="16"/>
          <w:szCs w:val="16"/>
          <w:vertAlign w:val="superscript"/>
        </w:rPr>
        <w:t>59</w:t>
      </w:r>
      <w:r w:rsidRPr="001E2C69">
        <w:rPr>
          <w:rFonts w:ascii="Times New Roman" w:hAnsi="Times New Roman"/>
          <w:color w:val="000000" w:themeColor="text1"/>
          <w:sz w:val="16"/>
          <w:szCs w:val="16"/>
        </w:rPr>
        <w:t xml:space="preserve"> В 1954-57г. институт принимал активное участие в работах по МБР Р-7, МКР «Буран» и «Буря» (научное обеспечение разработок ЖРД и теплозащиты головных частей).</w:t>
      </w:r>
    </w:p>
    <w:p w14:paraId="59CFB99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Распоряжением СМ № 4652 от 9.06.1955г. завод № 914 МАП преобразован в филиал НИИ-1 по системам управления КР.</w:t>
      </w:r>
    </w:p>
    <w:p w14:paraId="1110DC7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1950-е г. существовала лаборатория систем управления. Разработаны системы ориентации КА на основе солнечных и лунных датчиков (Башкин, Князев). Затем группа Б.В. Раушенбаха переведена в ОКБ-1 ГКОТ.</w:t>
      </w:r>
    </w:p>
    <w:p w14:paraId="4EE64A3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08.1957г.- в ведении 2ГУ МАП. В 1965г. НИИ-1 ГКАТ передан в подчинение 2ГУ </w:t>
      </w:r>
      <w:r w:rsidRPr="001E2C69">
        <w:rPr>
          <w:rFonts w:ascii="Times New Roman" w:hAnsi="Times New Roman"/>
          <w:color w:val="000000" w:themeColor="text1"/>
          <w:sz w:val="16"/>
          <w:szCs w:val="16"/>
          <w:lang w:val="en-US"/>
        </w:rPr>
        <w:t>MOM</w:t>
      </w:r>
      <w:r w:rsidRPr="001E2C69">
        <w:rPr>
          <w:rFonts w:ascii="Times New Roman" w:hAnsi="Times New Roman"/>
          <w:color w:val="000000" w:themeColor="text1"/>
          <w:sz w:val="16"/>
          <w:szCs w:val="16"/>
        </w:rPr>
        <w:t xml:space="preserve"> и по приказу от 6.03.1966г. преобразован в НИИТП.</w:t>
      </w:r>
    </w:p>
    <w:p w14:paraId="73BA3EC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Работы (1960-е г.): решение задач по выводу в космос КА, обеспечение надежности ЖРД и продольной устойчивости ракет, создание аппаратуры для космических исследований. Проведены первые фундаментальные исследования ядерных ракетных двигателей (с 1957г.). Обоснована и экспериментально подтверждена эффективность схемы ЖРД с дожиганием генераторного газа. Разработаны схемы электрических плазменных двигателей торцевого типа (А.А. Поротников) и успешно испытаны на КА.</w:t>
      </w:r>
    </w:p>
    <w:p w14:paraId="4B0647F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1965г. НИИТП - головная научно-исследовательская организация ракетного двигателестроения.</w:t>
      </w:r>
    </w:p>
    <w:p w14:paraId="4B04485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1970-80-е г.- научное обеспечение создания РДТТ для БРК. Разработан комплекс программ для расчета параметров РДТТ.</w:t>
      </w:r>
    </w:p>
    <w:p w14:paraId="7E5726F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1970-75г. создано семейство мощных электродуговых плазмотронов постоянного тока. В начале 1980-х г. создан плазмогенератор «Марабу», создающих вокруг движущегося объекта плазменную оболочку, снижающую радиолокационную заметность объекта.</w:t>
      </w:r>
      <w:r w:rsidRPr="001E2C69">
        <w:rPr>
          <w:rFonts w:ascii="Times New Roman" w:hAnsi="Times New Roman"/>
          <w:color w:val="000000" w:themeColor="text1"/>
          <w:sz w:val="16"/>
          <w:szCs w:val="16"/>
          <w:vertAlign w:val="superscript"/>
        </w:rPr>
        <w:t>63</w:t>
      </w:r>
    </w:p>
    <w:p w14:paraId="707F906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1977-91 г. принимал участие в программе создания системы «Энергия-Буран».</w:t>
      </w:r>
    </w:p>
    <w:p w14:paraId="68D386D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Разработана технология создания в ионосфере плазменно-паровых облаков, отражающих РЛ-излучение (Ю.А. Уткин). Создана электронно-пучковая установка «Онега» с выводом в атмосферу электронного пучка мегаваттной мощности. На космической станции «Мир» испытана установка «Мажор» </w:t>
      </w:r>
      <w:r w:rsidRPr="001E2C69">
        <w:rPr>
          <w:rFonts w:ascii="Times New Roman" w:hAnsi="Times New Roman"/>
          <w:color w:val="000000" w:themeColor="text1"/>
          <w:sz w:val="16"/>
          <w:szCs w:val="16"/>
          <w:vertAlign w:val="superscript"/>
        </w:rPr>
        <w:t>63</w:t>
      </w:r>
    </w:p>
    <w:p w14:paraId="15E82A8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Разработан первый в мире мощный газодинамический лазер с мощностью излучения до 100 кВт.</w:t>
      </w:r>
    </w:p>
    <w:p w14:paraId="06B4BA7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Принимал участие в программах: «Восток», «Восход», «Союз», «Салют», «Алмаз», «Мир», «Луна», «Марс», «Венера», «Союз-Аполлон», «Вега», «Фобос», МКС.</w:t>
      </w:r>
    </w:p>
    <w:p w14:paraId="5E6221E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Работы (2000 г.): по ракетно-космическим энергоустановкам, исследования в области термодинамики. Разработаны и внедрены на двигателе 11Д58М (РН «Зенит-</w:t>
      </w:r>
      <w:r w:rsidRPr="001E2C69">
        <w:rPr>
          <w:rFonts w:ascii="Times New Roman" w:hAnsi="Times New Roman"/>
          <w:color w:val="000000" w:themeColor="text1"/>
          <w:sz w:val="16"/>
          <w:szCs w:val="16"/>
          <w:lang w:val="en-US"/>
        </w:rPr>
        <w:t>SL</w:t>
      </w:r>
      <w:r w:rsidRPr="001E2C69">
        <w:rPr>
          <w:rFonts w:ascii="Times New Roman" w:hAnsi="Times New Roman"/>
          <w:color w:val="000000" w:themeColor="text1"/>
          <w:sz w:val="16"/>
          <w:szCs w:val="16"/>
        </w:rPr>
        <w:t>») радиационно-охлаждаемые сопловые насадки.</w:t>
      </w:r>
    </w:p>
    <w:p w14:paraId="75BB570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1990-х г. НИИТП передан в ведение РКА. В 1995г. переименован в Исследовательский центр им М.В. Келдыша. По Указу Президента РФ № 1009 от 4.08.2004г. вошел в число стратегических оборонных предприятий.</w:t>
      </w:r>
    </w:p>
    <w:p w14:paraId="2F05DB7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Направления деятельности (2005г.): исследования и разработки по ракетным двигателям для РКТ (ЖРД нового поколения, электроракетные двигатели); НИОКР по изделиям РКТ, подбор материалов и топлив; НИР по экологически чистым технологиям при производстве и эксплуатации РКТ; разработка технологий для военной, научной и народнохозяйственной техники (водоочистное и опреснительное оборудование, установки термической ликвидации экологически вредных отходов); разработка энергосберегающих технологий (метод передачи тепловой энергии на основе термохимических реакций).</w:t>
      </w:r>
    </w:p>
    <w:p w14:paraId="0EC23CA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Создан отдел «Водородной энергетики». Работы по водородным топливным элементам.</w:t>
      </w:r>
    </w:p>
    <w:p w14:paraId="4C9E92C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экспериментальной базы: гиперзвуковая (М=12) аэродинамическая труба, стенды: для исследования плазмы, криовакуумный для испытания мощных ЭРД, для исследования устойчивости ЖРД, для исследований трехкомпонентных ЖРД, для прецизионных измерений тяги и расходов сопел, для генерации и выводов в атмосферу интенсивных пучков электронов.</w:t>
      </w:r>
      <w:r w:rsidRPr="001E2C69">
        <w:rPr>
          <w:rFonts w:ascii="Times New Roman" w:hAnsi="Times New Roman"/>
          <w:color w:val="000000" w:themeColor="text1"/>
          <w:sz w:val="16"/>
          <w:szCs w:val="16"/>
          <w:vertAlign w:val="superscript"/>
        </w:rPr>
        <w:t>101</w:t>
      </w:r>
    </w:p>
    <w:p w14:paraId="7A711B7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(1939г.)- 7,38 га; производственная (1939г.)- 20 тыс.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603812F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(4.04.1939г.)- 727 чел.</w:t>
      </w:r>
    </w:p>
    <w:p w14:paraId="623BE96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Председатель (1931 г.)- Ф.А. Цандер. Начальник (1931-33г.)- С.П. Королев, (09.1933-8.10.1937г.)- И.Т. Клейменов (репрессирован), (8.10.1937-40 г.)- Б.М. Слонимер, (1941 г.)- Н.А. Монаков, (1941 г.)- А.Н. Фоменко, (1942-02.1944г.)- г-м А.Г. Костиков (отстранен, затем репрессирован), (02.1944г.-)- В.И. Поликовский, (05.1944- 45г.)- г-м П.И. Федоров (погиб в авиакатастрофе), (1945-46г.)- г-м Я.Л. Бибиков, (11.1946г.-)- М.В. Келдыш, (1948-49Г.)- В.В. Владимиров, (1949-51 г.)- В.А. Окулов, (1951-55г.)- А.Т. Туманов, (1955-88г.)- В.Я. Лихушин. Директор (1988-2005г.-)- академик А.С. Коротеев {22.07.1936-}.</w:t>
      </w:r>
    </w:p>
    <w:p w14:paraId="2F75777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Зам. начальника (1933г.-)- С.П. Королев (РП-218, -318), (11.11.1937г.-)- Б.М. Гурович, (1945г.)- Абрамович; по научной части (-01-22.11.1937г.)- Г.Э. Лангемак (репрессирован), (15.06.1938г.-&gt; А.Г. Костиков, (05.1944-46г.)- В.Ф. Болховитинов. Зам. директора (2003г.)- </w:t>
      </w:r>
      <w:r w:rsidRPr="001E2C69">
        <w:rPr>
          <w:rFonts w:ascii="Times New Roman" w:hAnsi="Times New Roman"/>
          <w:color w:val="000000" w:themeColor="text1"/>
          <w:sz w:val="16"/>
          <w:szCs w:val="16"/>
          <w:lang w:val="en-US"/>
        </w:rPr>
        <w:t>A</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M</w:t>
      </w:r>
      <w:r w:rsidRPr="001E2C69">
        <w:rPr>
          <w:rFonts w:ascii="Times New Roman" w:hAnsi="Times New Roman"/>
          <w:color w:val="000000" w:themeColor="text1"/>
          <w:sz w:val="16"/>
          <w:szCs w:val="16"/>
        </w:rPr>
        <w:t>. Губертов; по ВЭС (2005г.)- А.А. Кленчев.</w:t>
      </w:r>
    </w:p>
    <w:p w14:paraId="487618A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Научный руководитель (1948-61 г.)- академик М.В. Келдыш.</w:t>
      </w:r>
      <w:r w:rsidRPr="001E2C69">
        <w:rPr>
          <w:rFonts w:ascii="Times New Roman" w:hAnsi="Times New Roman"/>
          <w:color w:val="000000" w:themeColor="text1"/>
          <w:sz w:val="16"/>
          <w:szCs w:val="16"/>
          <w:vertAlign w:val="superscript"/>
        </w:rPr>
        <w:t>59</w:t>
      </w:r>
    </w:p>
    <w:p w14:paraId="759BBBF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(-1937г.)- Г.Э. Лангемак (репрессирован), (-1940-41 г.)- А.Г. Костиков.</w:t>
      </w:r>
    </w:p>
    <w:p w14:paraId="7287E18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Начальники отделов: КР- А.И. Стеняев, С.П. Королев, В.И. Дудаков; № 22 (1945г.)- Бондарюк; авиационных ТРД (1944г.-)- </w:t>
      </w:r>
      <w:r w:rsidRPr="001E2C69">
        <w:rPr>
          <w:rFonts w:ascii="Times New Roman" w:hAnsi="Times New Roman"/>
          <w:color w:val="000000" w:themeColor="text1"/>
          <w:sz w:val="16"/>
          <w:szCs w:val="16"/>
          <w:lang w:val="en-US"/>
        </w:rPr>
        <w:t>A</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M</w:t>
      </w:r>
      <w:r w:rsidRPr="001E2C69">
        <w:rPr>
          <w:rFonts w:ascii="Times New Roman" w:hAnsi="Times New Roman"/>
          <w:color w:val="000000" w:themeColor="text1"/>
          <w:sz w:val="16"/>
          <w:szCs w:val="16"/>
        </w:rPr>
        <w:t>. Люлька; (1938г.-)- Л.С. Душкин.</w:t>
      </w:r>
    </w:p>
    <w:p w14:paraId="61E2F0C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начальника отдела: Водородной энергетики (2005г.)- В. Смоляров.</w:t>
      </w:r>
    </w:p>
    <w:p w14:paraId="5A3CA15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бригад: № 1 (1932-28.03.1933г.)- Ф.А. Цандер (ОР-2), (1933г.-)- Л.К. Корнеев; № 2 (1932г.-)- М.К. Тихонравов; № 3 (1932г.-)- Ю.А. Победоносцев; № 4 (1932г.-)- С.П. Королев, Н.А. Железняков, А.В. Чесалов, (1930-е)- Е.С. Щетинков («216»), Начальник КБ (1943г.-)- А.Я. Березняк.</w:t>
      </w:r>
    </w:p>
    <w:p w14:paraId="630681A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Опытного завода (1932г.-)- С.П. Королев.</w:t>
      </w:r>
    </w:p>
    <w:p w14:paraId="0BA82DC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конструкторы: (1943г.)- А.Г. Костиков («302П»),</w:t>
      </w:r>
    </w:p>
    <w:p w14:paraId="4DF1ADF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лабораторий: № 6 (1954г.-)- К.П. Осминин; систем управления (1950-е)- Б.В. Раушенбах.</w:t>
      </w:r>
    </w:p>
    <w:p w14:paraId="4BAAF7A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Ведущие конструкторы: (1938г.)- А.В. Палло (РП-318-1).</w:t>
      </w:r>
    </w:p>
    <w:p w14:paraId="78EB9A3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Ведущие инженеры: (1936-45г.)- А.В. Палло (ЖРД), (1944г.)- П.А. Кузнецов (ТРС-82), (1944г.)- А.Д. Луковцев (ТРС-132).</w:t>
      </w:r>
    </w:p>
    <w:p w14:paraId="0188BE1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Создано: ракеты: «05» с ОРМ-50 (1933), «07», Р-1 («09», 17.08.1933г.), ГИРД-Х (25.11.1933г.), «Авиавнито» (пуск 6.04.1936г.), Р-3 с ПВРД И.А. Меркулова (пуск 19.05.1939г.); КР: «06Я» (5.05.1934г.), «06/Ш» («216», 9.05.1936г.), «212» (1939), с РДТТ «48» (1935), экспериментальная зенитная «217» (1936); самолеты с ЖРД: ракетопланы РП-1 (планер БИЧ-11 с ОР-2, 1933), РП-218 (1936), РП-318-1 с ОРМ-65 (1937); «302» (1943), «4302» (1946), «4303» (1947); ЖРД: РДА-1, ОР-2 (1933), 12К (1936), ОРМ-50 (1933), ОРМ-65 (11.1936); </w:t>
      </w:r>
      <w:r w:rsidRPr="001E2C69">
        <w:rPr>
          <w:rFonts w:ascii="Times New Roman" w:hAnsi="Times New Roman"/>
          <w:color w:val="000000" w:themeColor="text1"/>
          <w:sz w:val="16"/>
          <w:szCs w:val="16"/>
          <w:lang w:val="en-US"/>
        </w:rPr>
        <w:t>PC</w:t>
      </w:r>
      <w:r w:rsidRPr="001E2C69">
        <w:rPr>
          <w:rFonts w:ascii="Times New Roman" w:hAnsi="Times New Roman"/>
          <w:color w:val="000000" w:themeColor="text1"/>
          <w:sz w:val="16"/>
          <w:szCs w:val="16"/>
        </w:rPr>
        <w:t xml:space="preserve">: РС-82 (пнв в 1937г.), </w:t>
      </w:r>
      <w:r w:rsidRPr="001E2C69">
        <w:rPr>
          <w:rFonts w:ascii="Times New Roman" w:hAnsi="Times New Roman"/>
          <w:color w:val="000000" w:themeColor="text1"/>
          <w:sz w:val="16"/>
          <w:szCs w:val="16"/>
          <w:lang w:val="en-US"/>
        </w:rPr>
        <w:t>PC</w:t>
      </w:r>
      <w:r w:rsidRPr="001E2C69">
        <w:rPr>
          <w:rFonts w:ascii="Times New Roman" w:hAnsi="Times New Roman"/>
          <w:color w:val="000000" w:themeColor="text1"/>
          <w:sz w:val="16"/>
          <w:szCs w:val="16"/>
        </w:rPr>
        <w:t>-132 (пнв в 1938г.); М-13 (РСФС-132, пнв 21.06.1941 г.), М-13УК (пнв в 1943г.), М-13ДЦ (пнв в 1944г.), М-20 (1941 г.) для БМ-13 «Катюша»; М-8 (пнв в 1941 г.) для БМ-8 «Катюша»; М-30 (пнв в 1942г.), М-31 (пнв 9.06.1944г.), М-31УК для БМ-31 (пнв 9.06.1944г.);</w:t>
      </w:r>
      <w:r w:rsidRPr="001E2C69">
        <w:rPr>
          <w:rFonts w:ascii="Times New Roman" w:hAnsi="Times New Roman"/>
          <w:color w:val="000000" w:themeColor="text1"/>
          <w:sz w:val="16"/>
          <w:szCs w:val="16"/>
          <w:vertAlign w:val="superscript"/>
        </w:rPr>
        <w:t>58</w:t>
      </w:r>
      <w:r w:rsidRPr="001E2C69">
        <w:rPr>
          <w:rFonts w:ascii="Times New Roman" w:hAnsi="Times New Roman"/>
          <w:color w:val="000000" w:themeColor="text1"/>
          <w:sz w:val="16"/>
          <w:szCs w:val="16"/>
        </w:rPr>
        <w:t xml:space="preserve"> ТРС-82, ТРС-132 (1944); 6-орудийная установка для РС-82</w:t>
      </w:r>
    </w:p>
    <w:p w14:paraId="75F197E0" w14:textId="77777777" w:rsidR="00AE7191" w:rsidRPr="001E2C69" w:rsidRDefault="00AE7191" w:rsidP="00722885">
      <w:pPr>
        <w:widowControl w:val="0"/>
        <w:tabs>
          <w:tab w:val="left" w:pos="663"/>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(1936), ПУ БМ-13 «Катюша»; установка ИУ-1, экспериментальная камера сгорания ЭК-3 для испытаний ПВРД (1933); авиабомбы: 160-кг бетонобойная (1936), реактивные (ракетные) бетонобойная 350 кг, бронебойная 650 кг</w:t>
      </w:r>
    </w:p>
    <w:p w14:paraId="505C6190" w14:textId="77777777" w:rsidR="00AE7191" w:rsidRPr="001E2C69" w:rsidRDefault="00AE7191" w:rsidP="00722885">
      <w:pPr>
        <w:widowControl w:val="0"/>
        <w:tabs>
          <w:tab w:val="left" w:pos="663"/>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(1937); гироскопический автомат ГПС-2 для КР «216»; СЭДУ- солнечная энергодвигательная установка с СТРД- солнечным тепловым ракетным двигателем (11982).</w:t>
      </w:r>
    </w:p>
    <w:p w14:paraId="0317B9FE" w14:textId="77777777" w:rsidR="00056917" w:rsidRPr="001E2C69" w:rsidRDefault="00056917"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38CAA0"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июля 1942 г. ПОСТАНОВЛЕНИЕ ГОСУДАРСТВЕННОГО КОМИТЕТА ОБОРОНЫ № 2046сс Об организации Государственного института реактивной техники</w:t>
      </w:r>
    </w:p>
    <w:p w14:paraId="0DC2293B"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6CB46C63"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Учитывая важность развития работ по реактивном технике для обороны страны, Государственный Комитет Обороны постановляет:</w:t>
      </w:r>
    </w:p>
    <w:p w14:paraId="60AEF565"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 Преобразовать научно-исследовательский институт 3 Нарко мата боеприпасов в Государственный институт реактивной техники, подчинив его непосредственно Совету народных комиссаров Союза ССР.</w:t>
      </w:r>
    </w:p>
    <w:p w14:paraId="3308FF08"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Возложить на Государственный институт реактивной техники разработку научно-технических вопросов и создание опытных образцов:</w:t>
      </w:r>
    </w:p>
    <w:p w14:paraId="7B2C997D"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реактивных снарядов и пусковых систем к ним;</w:t>
      </w:r>
    </w:p>
    <w:p w14:paraId="79094A77"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реактивных двигателей и</w:t>
      </w:r>
    </w:p>
    <w:p w14:paraId="747AB362"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реактивных летательных аппаратов и торпед*</w:t>
      </w:r>
    </w:p>
    <w:p w14:paraId="2240B60F"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Директором и главным конструктором института назначить военного инженера I ранга т. Костикова А.Г.</w:t>
      </w:r>
    </w:p>
    <w:p w14:paraId="27950FE1"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Установить, что задание и программа работы института утверждаются Государственным Комитетом Обороны по представлению директора института т. Костикова.</w:t>
      </w:r>
    </w:p>
    <w:p w14:paraId="1C8EE795"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В дополнение к существующему помещению передать Государственному институту реактивной техники территорию и все производственные и подсобные помещения Всесоюзного института сельскохозяйственного машиностроения Наркомата минометного вооружения, находящиеся г. Москве по Лихачевскому шоссе № б.</w:t>
      </w:r>
    </w:p>
    <w:p w14:paraId="3157057D"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Обязать Моссовет (т. Пронина) для размещения лабораторий и оборудования ВИСХОМа выделить взамен Наркомату минометного вооружения равноценное помещение.</w:t>
      </w:r>
    </w:p>
    <w:p w14:paraId="727A5563"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Обязать НКАП (т. Шахурина) и т. Костикова в 5—дневный срок представить ГОКО свои предложения о строительстве реактивного самолета по проекту т. Костикова.</w:t>
      </w:r>
    </w:p>
    <w:p w14:paraId="5A2AB405"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Наркому судостроительной промышленности т. Носенко откомандировать в распоряжение Государственного института реактивной техники 10 специалистов по торпедостроению для участия в разработке реактивных подводных торпед.</w:t>
      </w:r>
    </w:p>
    <w:p w14:paraId="334903CD"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НКО и НКВМФ прикомандировать к Государственному институту реактивной техники для координации работ по применению реактивных аппаратов и вооружения 15 специалистов по заявке института.</w:t>
      </w:r>
    </w:p>
    <w:p w14:paraId="13239D1A"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9. Обязать Госплан СССР выделять Государственному институту реактивной техники самостоятельные фонды по материально-техническому обеспечению.</w:t>
      </w:r>
    </w:p>
    <w:p w14:paraId="584EA8D0"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Возложить ответственность за своевременное решение вопросов по материальному обеспечению института на зам. председателя СНК СССР т. Сабурова.</w:t>
      </w:r>
    </w:p>
    <w:p w14:paraId="5CAF2082"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Поручить т. Сабурову решить вопрос об обеспечении института заводским и лабораторным оборудованием. О принятых мерах доложить ГОКО к I августа 1942 года.</w:t>
      </w:r>
    </w:p>
    <w:p w14:paraId="457EF91D"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Моссовету (т. Пронину) выделить в распоряжение Государственного института реактивной техники жилфонд в г. Москве на 100 семей сотрудников института.</w:t>
      </w:r>
    </w:p>
    <w:p w14:paraId="332797DD"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Обязать т. Костикова к I августа представить на утверждение ГОКО программу работы института на 3 и 4 кварталы 1942 года.</w:t>
      </w:r>
    </w:p>
    <w:p w14:paraId="10F9DA52"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ГОСУДАРСТВЕННОГО КОМИТЕТА ОБОРОНЫ И. Сталин.</w:t>
      </w:r>
    </w:p>
    <w:p w14:paraId="5C3937E1"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2. Д. 72. Л. 192—193</w:t>
      </w:r>
    </w:p>
    <w:p w14:paraId="1A21A681"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Подлинник. Машинописный текст. Подпись — автограф И.В. Сталина (23940).</w:t>
      </w:r>
    </w:p>
    <w:p w14:paraId="17FD6EB2" w14:textId="77777777" w:rsidR="00203577" w:rsidRPr="008A2E5A" w:rsidRDefault="00203577" w:rsidP="00203577">
      <w:pPr>
        <w:spacing w:after="0" w:line="240" w:lineRule="auto"/>
        <w:jc w:val="both"/>
        <w:rPr>
          <w:rFonts w:ascii="Times New Roman" w:hAnsi="Times New Roman"/>
          <w:color w:val="0070C0"/>
          <w:sz w:val="16"/>
          <w:szCs w:val="16"/>
        </w:rPr>
      </w:pPr>
    </w:p>
    <w:p w14:paraId="708C4F3E"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июля 1942 года постановлением ГКО НИИ-3 Наркомата боеприпасов был пре</w:t>
      </w:r>
      <w:r w:rsidRPr="008A2E5A">
        <w:rPr>
          <w:rFonts w:ascii="Times New Roman" w:hAnsi="Times New Roman"/>
          <w:color w:val="0070C0"/>
          <w:sz w:val="16"/>
          <w:szCs w:val="16"/>
        </w:rPr>
        <w:softHyphen/>
        <w:t>образован в Государственный институт реактивной техники (ГИРТ) прямого подчинения Совету Народных Комиссаров СССР. Директором и главным конструктором института стал Костиков. Его заместителем назначили Бисновата. 28 июля ГИРТу (Костиков) и Наркомату авиационной промышленности (Шахурин) было поручено создание реактивного перехватчика 302 с выходом на летные испытания в марте 1943 года. 12 авгу</w:t>
      </w:r>
      <w:r w:rsidRPr="008A2E5A">
        <w:rPr>
          <w:rFonts w:ascii="Times New Roman" w:hAnsi="Times New Roman"/>
          <w:color w:val="0070C0"/>
          <w:sz w:val="16"/>
          <w:szCs w:val="16"/>
        </w:rPr>
        <w:softHyphen/>
        <w:t>ста для сборки опытных образцов перехватчика ГИРТу передан Московский авиазавод № 55. Менее чем за год предстояло соз</w:t>
      </w:r>
      <w:r w:rsidRPr="008A2E5A">
        <w:rPr>
          <w:rFonts w:ascii="Times New Roman" w:hAnsi="Times New Roman"/>
          <w:color w:val="0070C0"/>
          <w:sz w:val="16"/>
          <w:szCs w:val="16"/>
        </w:rPr>
        <w:softHyphen/>
        <w:t>дать реактивный самолет принципиально новой конструкции, оснащенный жидкостным двигателем с турбонасосной подачей топлива и прямоточными воздушно-реактивными двигателями.</w:t>
      </w:r>
    </w:p>
    <w:p w14:paraId="51C900A6"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предписанный срок вывести машину на испытания не удалось. Планер Поликарпова получился. Жидкостный двига</w:t>
      </w:r>
      <w:r w:rsidRPr="008A2E5A">
        <w:rPr>
          <w:rFonts w:ascii="Times New Roman" w:hAnsi="Times New Roman"/>
          <w:color w:val="0070C0"/>
          <w:sz w:val="16"/>
          <w:szCs w:val="16"/>
        </w:rPr>
        <w:softHyphen/>
        <w:t>тель Душкина был близок к завершению. Но с прямоточным двигателем Зуева возникла масса проблем. Спасая свое детище, Костиков обратился к Маленкову, отвечавшему в ЦК за авиаци</w:t>
      </w:r>
      <w:r w:rsidRPr="008A2E5A">
        <w:rPr>
          <w:rFonts w:ascii="Times New Roman" w:hAnsi="Times New Roman"/>
          <w:color w:val="0070C0"/>
          <w:sz w:val="16"/>
          <w:szCs w:val="16"/>
        </w:rPr>
        <w:softHyphen/>
        <w:t>онную промышленность, с просьбой разрешить сделать первые два летных экземпляра самолета без ПВРД и перенести срок ис</w:t>
      </w:r>
      <w:r w:rsidRPr="008A2E5A">
        <w:rPr>
          <w:rFonts w:ascii="Times New Roman" w:hAnsi="Times New Roman"/>
          <w:color w:val="0070C0"/>
          <w:sz w:val="16"/>
          <w:szCs w:val="16"/>
        </w:rPr>
        <w:softHyphen/>
        <w:t>пытаний. Неудача Костикова следовала за неудачей Болховитинова. Маленков решил не гневить Сталина и не докладывать ему.</w:t>
      </w:r>
    </w:p>
    <w:p w14:paraId="272AB55A"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Устным указанием он разрешил Костикову продлить срок работы до конца года, наде</w:t>
      </w:r>
      <w:r w:rsidRPr="008A2E5A">
        <w:rPr>
          <w:rFonts w:ascii="Times New Roman" w:hAnsi="Times New Roman"/>
          <w:color w:val="0070C0"/>
          <w:sz w:val="16"/>
          <w:szCs w:val="16"/>
        </w:rPr>
        <w:softHyphen/>
        <w:t>ясь, что настойчивый и целеустремленный конструктор своего добьется, а успех все спишет. Самолету без ПВРД присвоили ин</w:t>
      </w:r>
      <w:r w:rsidRPr="008A2E5A">
        <w:rPr>
          <w:rFonts w:ascii="Times New Roman" w:hAnsi="Times New Roman"/>
          <w:color w:val="0070C0"/>
          <w:sz w:val="16"/>
          <w:szCs w:val="16"/>
        </w:rPr>
        <w:softHyphen/>
        <w:t>декс 302П (23510).</w:t>
      </w:r>
    </w:p>
    <w:p w14:paraId="2C7BF764" w14:textId="77777777" w:rsidR="00203577" w:rsidRPr="008A2E5A" w:rsidRDefault="00203577" w:rsidP="00203577">
      <w:pPr>
        <w:spacing w:after="0" w:line="240" w:lineRule="auto"/>
        <w:jc w:val="both"/>
        <w:rPr>
          <w:rFonts w:ascii="Times New Roman" w:hAnsi="Times New Roman"/>
          <w:color w:val="0070C0"/>
          <w:sz w:val="16"/>
          <w:szCs w:val="16"/>
        </w:rPr>
      </w:pPr>
    </w:p>
    <w:p w14:paraId="55852A8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июля 1942 вышло Постановление ГКО № 2045 О производстве и испытании противотанковых авиабомб горизонтального действия (ПАБ) калибров 100 и 250 кг системы Шпитального-Солдатова. РГАНИР, Фонд ГКО, д. 44, лл. 106 (11012).</w:t>
      </w:r>
    </w:p>
    <w:p w14:paraId="70BCC5F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03A7E4" w14:textId="77777777" w:rsidR="00D113EC" w:rsidRPr="001E2C69" w:rsidRDefault="00D113E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июля 1942 вышло Постановление ГКО № 2045 О производстве и испытании противотанковых авиабомб горизонтального действия (ПАБ) калибров 100 и 250 кг системы Шпитального-Солдатова</w:t>
      </w:r>
    </w:p>
    <w:p w14:paraId="484CA5C7" w14:textId="77777777" w:rsidR="00D113EC" w:rsidRPr="001E2C69" w:rsidRDefault="00D113E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Изготовить и испытать противотанковые авиабомбы го</w:t>
      </w:r>
      <w:r w:rsidRPr="001E2C69">
        <w:rPr>
          <w:rFonts w:ascii="Times New Roman" w:hAnsi="Times New Roman"/>
          <w:color w:val="000000" w:themeColor="text1"/>
          <w:sz w:val="16"/>
          <w:szCs w:val="16"/>
        </w:rPr>
        <w:softHyphen/>
        <w:t>ризонтального действия калибров 100 и 250 кг. конструкции т.т.Шпитального и Солдатова, под существующие типы самолетных подвесок (держателей)и габаритов.</w:t>
      </w:r>
    </w:p>
    <w:p w14:paraId="3F8095DD" w14:textId="77777777" w:rsidR="00D113EC" w:rsidRPr="001E2C69" w:rsidRDefault="00D113E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Обязать Наркомат Боеприпасов т.Банникова и директора завода 67 т.Шибаева организовать производство и сдачу ВВС КА указанных выше авиабомб в следующих количествах и сроки:</w:t>
      </w:r>
    </w:p>
    <w:p w14:paraId="43021F91" w14:textId="77777777" w:rsidR="00D113EC" w:rsidRPr="001E2C69" w:rsidRDefault="00D113E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ab/>
      </w:r>
      <w:r w:rsidRPr="001E2C69">
        <w:rPr>
          <w:rFonts w:ascii="Times New Roman" w:hAnsi="Times New Roman"/>
          <w:color w:val="000000" w:themeColor="text1"/>
          <w:sz w:val="16"/>
          <w:szCs w:val="16"/>
        </w:rPr>
        <w:tab/>
        <w:t>июль</w:t>
      </w:r>
      <w:r w:rsidRPr="001E2C69">
        <w:rPr>
          <w:rFonts w:ascii="Times New Roman" w:hAnsi="Times New Roman"/>
          <w:color w:val="000000" w:themeColor="text1"/>
          <w:sz w:val="16"/>
          <w:szCs w:val="16"/>
        </w:rPr>
        <w:tab/>
        <w:t>август</w:t>
      </w:r>
    </w:p>
    <w:p w14:paraId="4381E72D" w14:textId="77777777" w:rsidR="00D113EC" w:rsidRPr="001E2C69" w:rsidRDefault="00D113E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ПАВ - 100</w:t>
      </w:r>
      <w:r w:rsidRPr="001E2C69">
        <w:rPr>
          <w:rFonts w:ascii="Times New Roman" w:hAnsi="Times New Roman"/>
          <w:color w:val="000000" w:themeColor="text1"/>
          <w:sz w:val="16"/>
          <w:szCs w:val="16"/>
        </w:rPr>
        <w:tab/>
        <w:t>5</w:t>
      </w:r>
      <w:r w:rsidRPr="001E2C69">
        <w:rPr>
          <w:rFonts w:ascii="Times New Roman" w:hAnsi="Times New Roman"/>
          <w:color w:val="000000" w:themeColor="text1"/>
          <w:sz w:val="16"/>
          <w:szCs w:val="16"/>
        </w:rPr>
        <w:tab/>
        <w:t>20</w:t>
      </w:r>
    </w:p>
    <w:p w14:paraId="698E7998" w14:textId="77777777" w:rsidR="00D113EC" w:rsidRPr="001E2C69" w:rsidRDefault="00D113E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ПАБ - 250</w:t>
      </w:r>
      <w:r w:rsidRPr="001E2C69">
        <w:rPr>
          <w:rFonts w:ascii="Times New Roman" w:hAnsi="Times New Roman"/>
          <w:color w:val="000000" w:themeColor="text1"/>
          <w:sz w:val="16"/>
          <w:szCs w:val="16"/>
        </w:rPr>
        <w:tab/>
        <w:t>5</w:t>
      </w:r>
      <w:r w:rsidRPr="001E2C69">
        <w:rPr>
          <w:rFonts w:ascii="Times New Roman" w:hAnsi="Times New Roman"/>
          <w:color w:val="000000" w:themeColor="text1"/>
          <w:sz w:val="16"/>
          <w:szCs w:val="16"/>
        </w:rPr>
        <w:tab/>
        <w:t>20</w:t>
      </w:r>
    </w:p>
    <w:p w14:paraId="19DBAAAA" w14:textId="77777777" w:rsidR="00D113EC" w:rsidRPr="001E2C69" w:rsidRDefault="00D113E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Обязать Наркомлегпром Союза ССР т.Лукина обеспечить поставку НКБ (по графику согласованному с КБ) парашютов для указанных бомб в количествах и сроки, указанные в пункте № 2.</w:t>
      </w:r>
    </w:p>
    <w:p w14:paraId="1B2F0B8F" w14:textId="77777777" w:rsidR="00D113EC" w:rsidRPr="001E2C69" w:rsidRDefault="00D113E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Обяэать Наркомчермет т.Тевосяна обеспечить поставку заводу № 67 НКБ комплект стальных литых колец для указан</w:t>
      </w:r>
      <w:r w:rsidRPr="001E2C69">
        <w:rPr>
          <w:rFonts w:ascii="Times New Roman" w:hAnsi="Times New Roman"/>
          <w:color w:val="000000" w:themeColor="text1"/>
          <w:sz w:val="16"/>
          <w:szCs w:val="16"/>
        </w:rPr>
        <w:softHyphen/>
        <w:t>ных бомб в следующих количествах и сооки:</w:t>
      </w:r>
    </w:p>
    <w:p w14:paraId="76DB3195" w14:textId="77777777" w:rsidR="00D113EC" w:rsidRPr="001E2C69" w:rsidRDefault="00D113E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100 кг. - 25 шт. из них: 10 шт. до 25 июля и 15 шт. до 10 августа</w:t>
      </w:r>
    </w:p>
    <w:p w14:paraId="520A09A7" w14:textId="77777777" w:rsidR="00D113EC" w:rsidRPr="001E2C69" w:rsidRDefault="00D113E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250 кг. - 25 шт. из них: 10 шт. до</w:t>
      </w:r>
      <w:r w:rsidRPr="001E2C69">
        <w:rPr>
          <w:rStyle w:val="TimesNewRoman85pt"/>
          <w:rFonts w:eastAsia="Calibri"/>
          <w:color w:val="000000" w:themeColor="text1"/>
          <w:sz w:val="16"/>
          <w:szCs w:val="16"/>
        </w:rPr>
        <w:t xml:space="preserve"> 25 </w:t>
      </w:r>
      <w:r w:rsidRPr="001E2C69">
        <w:rPr>
          <w:rStyle w:val="TimesNewRoman85pt"/>
          <w:rFonts w:eastAsiaTheme="minorHAnsi"/>
          <w:color w:val="000000" w:themeColor="text1"/>
          <w:sz w:val="16"/>
          <w:szCs w:val="16"/>
        </w:rPr>
        <w:t xml:space="preserve">до 10 </w:t>
      </w:r>
      <w:r w:rsidRPr="001E2C69">
        <w:rPr>
          <w:rFonts w:ascii="Times New Roman" w:hAnsi="Times New Roman"/>
          <w:color w:val="000000" w:themeColor="text1"/>
          <w:sz w:val="16"/>
          <w:szCs w:val="16"/>
        </w:rPr>
        <w:t>августа.</w:t>
      </w:r>
    </w:p>
    <w:p w14:paraId="6621347E" w14:textId="77777777" w:rsidR="00D113EC" w:rsidRPr="001E2C69" w:rsidRDefault="00D113E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Обязать 0КБ-15 т.Шпитального подать чертежи и Т.У. на изготовление авиабомб указанных калибров заводу № 67 НКБ к 20 июля и обеспечить техническую помощь и консультацию при их освоении.</w:t>
      </w:r>
    </w:p>
    <w:p w14:paraId="22E7A409" w14:textId="77777777" w:rsidR="00D113EC" w:rsidRPr="001E2C69" w:rsidRDefault="00D113E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Обязать ВВС КА т.Новикова по получении первое, партии авиабомб, испытать их на фронте по указанным выше целям про</w:t>
      </w:r>
      <w:r w:rsidRPr="001E2C69">
        <w:rPr>
          <w:rFonts w:ascii="Times New Roman" w:hAnsi="Times New Roman"/>
          <w:color w:val="000000" w:themeColor="text1"/>
          <w:sz w:val="16"/>
          <w:szCs w:val="16"/>
        </w:rPr>
        <w:softHyphen/>
        <w:t>тивникам предварительно испытав авиабомбы методом подрыва по трофейным танкам и представить свои соображения о валовом производстве авиабомб (19346).</w:t>
      </w:r>
    </w:p>
    <w:p w14:paraId="2B8CB414" w14:textId="77777777" w:rsidR="00D113EC" w:rsidRPr="001E2C69" w:rsidRDefault="00D113EC"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8CE6BC"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июля 1942 г.</w:t>
      </w:r>
    </w:p>
    <w:p w14:paraId="2E7CAD03"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Обороны</w:t>
      </w:r>
    </w:p>
    <w:p w14:paraId="00062988"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постановляет:</w:t>
      </w:r>
    </w:p>
    <w:p w14:paraId="0773E6EE"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Изготовить и испытать противотанковые авиабомбы горизонтального действия калибров 100 и 250 кг конструкции тт. Шпитального и Солдатова под существующие типы самолетных подвесок (держателей) и габаритов.</w:t>
      </w:r>
    </w:p>
    <w:p w14:paraId="046EE580"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Обязать Наркомат боеприпасов (т. Ванникова) и директора завода № 67 т. Шибаева организовать производство и сдачу ВВС КА указанных выше авиабомб в следующих количествах и сроки:</w:t>
      </w:r>
    </w:p>
    <w:p w14:paraId="2D6700A3"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июль август</w:t>
      </w:r>
    </w:p>
    <w:p w14:paraId="63904A25"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ПАБ-100</w:t>
      </w:r>
      <w:r w:rsidRPr="008A2E5A">
        <w:rPr>
          <w:rFonts w:ascii="Times New Roman" w:hAnsi="Times New Roman"/>
          <w:color w:val="0070C0"/>
          <w:sz w:val="16"/>
          <w:szCs w:val="16"/>
        </w:rPr>
        <w:tab/>
        <w:t>5</w:t>
      </w:r>
      <w:r w:rsidRPr="008A2E5A">
        <w:rPr>
          <w:rFonts w:ascii="Times New Roman" w:hAnsi="Times New Roman"/>
          <w:color w:val="0070C0"/>
          <w:sz w:val="16"/>
          <w:szCs w:val="16"/>
        </w:rPr>
        <w:tab/>
        <w:t>20</w:t>
      </w:r>
    </w:p>
    <w:p w14:paraId="31794868"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ПАБ-250</w:t>
      </w:r>
      <w:r w:rsidRPr="008A2E5A">
        <w:rPr>
          <w:rFonts w:ascii="Times New Roman" w:hAnsi="Times New Roman"/>
          <w:color w:val="0070C0"/>
          <w:sz w:val="16"/>
          <w:szCs w:val="16"/>
        </w:rPr>
        <w:tab/>
        <w:t>5</w:t>
      </w:r>
      <w:r w:rsidRPr="008A2E5A">
        <w:rPr>
          <w:rFonts w:ascii="Times New Roman" w:hAnsi="Times New Roman"/>
          <w:color w:val="0070C0"/>
          <w:sz w:val="16"/>
          <w:szCs w:val="16"/>
        </w:rPr>
        <w:tab/>
        <w:t>20.</w:t>
      </w:r>
    </w:p>
    <w:p w14:paraId="14DB84E4"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Наркомлегпром Союза ССР (т. Лукина) обеспечить поставку НКБ (по графику, согласованному с НКБ) парашютов для указанных бомб в количествах и сроки, указанные в пункте 2.</w:t>
      </w:r>
    </w:p>
    <w:p w14:paraId="4485E0C4"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Обязать Наркомчермет (т. Тевосяна) обеспечить поставку заводу № 67 НКБ комплекты стальных литых</w:t>
      </w:r>
    </w:p>
    <w:p w14:paraId="5F0C930C"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колец для указанных бомб в следующих количествах и сроки:</w:t>
      </w:r>
    </w:p>
    <w:p w14:paraId="00721705"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100 кг - 25 шт., из них: 10 до</w:t>
      </w:r>
    </w:p>
    <w:p w14:paraId="33E9BE42"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июля и 15 до 10 августа;</w:t>
      </w:r>
    </w:p>
    <w:p w14:paraId="2934C099"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250 кг - 25 шт., из них: 10 до</w:t>
      </w:r>
    </w:p>
    <w:p w14:paraId="67CD6BA8"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июля и15 до 10 августа.</w:t>
      </w:r>
    </w:p>
    <w:p w14:paraId="4EA80BD2"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Обязать ОКБ-15 (т. Шпитального) подать чертежи и технические у[словия] на изготовление авиабомб указанных калибров заводу № 67 НКБ к 20 июля и обеспечить техническую помощь и консультацию при их освоении.</w:t>
      </w:r>
    </w:p>
    <w:p w14:paraId="1FDA5C25"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Обязать ВВС КА (т. Новикова) по получении первой партии авиабомб испытать их на фронте по указанным выше целям противника (предварительно испытав авиабомбы методом подрыва по трофейным танкам) и представить свои соображения о валовом производстве авиабомб.</w:t>
      </w:r>
    </w:p>
    <w:p w14:paraId="170DBDA7"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Государственного Комитета Обороны И. Сталин</w:t>
      </w:r>
    </w:p>
    <w:p w14:paraId="05316AB7"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Послано: тт. Берия, Маленкову, Вознесенскому, Ванникову, Новикову, Василевскому, Чадаеву - все; Шпитальному – п. 5, Шибаеву -1, 2, 4, 5, Лукину - 2, 3, Тевосяну – 4 (23717).</w:t>
      </w:r>
    </w:p>
    <w:p w14:paraId="53D7A70D" w14:textId="77777777" w:rsidR="00203577" w:rsidRPr="008A2E5A" w:rsidRDefault="00203577" w:rsidP="00203577">
      <w:pPr>
        <w:spacing w:after="0" w:line="240" w:lineRule="auto"/>
        <w:jc w:val="both"/>
        <w:rPr>
          <w:rFonts w:ascii="Times New Roman" w:hAnsi="Times New Roman"/>
          <w:color w:val="0070C0"/>
          <w:sz w:val="16"/>
          <w:szCs w:val="16"/>
        </w:rPr>
      </w:pPr>
    </w:p>
    <w:p w14:paraId="4FE52FB1"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Другие оборонные отрасли:</w:t>
      </w:r>
    </w:p>
    <w:p w14:paraId="26637DA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26D850"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июля 1942 г.</w:t>
      </w:r>
    </w:p>
    <w:p w14:paraId="604527CA"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РГАЭ Фонд 8752 Опись 4 Дело 92 лист 114 – 112</w:t>
      </w:r>
    </w:p>
    <w:p w14:paraId="58144919"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Секретно.</w:t>
      </w:r>
    </w:p>
    <w:p w14:paraId="1D452052"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 НАРОДНОГО КОМИССАРИАТА ТАНКОВОЙ ПРОМЫШЛЕННОСТИ СОЮЗА ССР № 519с</w:t>
      </w:r>
    </w:p>
    <w:p w14:paraId="7FF5B444"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гор. Москва</w:t>
      </w:r>
    </w:p>
    <w:p w14:paraId="101183AD"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 "15" июля 1942 г.</w:t>
      </w:r>
    </w:p>
    <w:p w14:paraId="0AF537C7"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Несмотря на неоднократные указания, заводы №№ 183, 174, 112 и СТЗ не выполняют приказ Наркомтанкопрома № 420с от 22 мая 1942 года, по изготовлению металлических бандажей 830×150 для обрезинки на Ярославском шинном заводе. В результате указанного, в настоящее время положение с поставкой бандажей находится в совершенно неудовлетворительном состоянии, что привело к остановке цеха по обрезинке на Ярославском шинном заводе и приостановило подачу обрезиненных бандажей указанным заводам, этим самым поставив под угрозу срыва выпуск машин в июле.</w:t>
      </w:r>
    </w:p>
    <w:p w14:paraId="7C697C0B"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183 еще не приступил к изготовлению бандажей на установленном оборудовании. Кроме того руководство завода № 183 под всяким предлогом затягивает пуск мастерской по обрезинке бандажей у себя на заводе, считая нормальным получать бандажи с Ярославского шинного завода.</w:t>
      </w:r>
    </w:p>
    <w:p w14:paraId="75C8BF62"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Завод № 112, обязанный до 15 июня с.г. изготовить для ЯШЗ 30 штук прессформ 830×150, в июне изготовил только 4 прессформы. Отсутствие должного внимания со стороны руководства завода к этому участку работы приводит к срыву выпуска танков.</w:t>
      </w:r>
    </w:p>
    <w:p w14:paraId="31630984"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основании изложенного ПРИКАЗЫВАЮ:</w:t>
      </w:r>
    </w:p>
    <w:p w14:paraId="3F70CA9F"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Директору завода № 183 т. МАКСАРЕВУ:</w:t>
      </w:r>
    </w:p>
    <w:p w14:paraId="6519FC0B"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начать с 15 августа обрезинку бандажей в своей резиновой мастерской по 100 – 120 штук в сутки.</w:t>
      </w:r>
    </w:p>
    <w:p w14:paraId="30E71A5F"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с 1 по 15 сентября обрезинивать по 150 штук бандажей в сутки.</w:t>
      </w:r>
    </w:p>
    <w:p w14:paraId="2CEB8954"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 15 по 1-е октября до 200 штук в сутки и в октябре месяце обеспечивать обрезинку бандажей в своей мастерской на всю программу выпуска машин.</w:t>
      </w:r>
    </w:p>
    <w:p w14:paraId="630014AF"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изготовить прессформ 830×150 в количестве 30 шт., из них 15 штук в июле и 15 штук в августе. Первые 15 прессформ отправить во временное пользование Ярославскому шинному заводу на период до полного пуска мастерской по обрезинке на заводе № 183.</w:t>
      </w:r>
    </w:p>
    <w:p w14:paraId="15266E1F"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 немедленно приступить к обработке бандажей 830×150 и поставить их на обрезинку в июле месяце ЯШЗ не менее 2000 штук.</w:t>
      </w:r>
    </w:p>
    <w:p w14:paraId="7E5B47FE"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Директору завода № 112 тов. Рубинчик при всех условиях закончить изготовление и поставку 26 штук прессформ 830×150 для Ярославского шинного завода в следующие сроки:</w:t>
      </w:r>
    </w:p>
    <w:p w14:paraId="0EE5C5FA"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к 20 июля – 10 штук</w:t>
      </w:r>
    </w:p>
    <w:p w14:paraId="1FE8AE1C"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к 1 августа – 10 штук</w:t>
      </w:r>
    </w:p>
    <w:p w14:paraId="3C6C3B0B"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к 5 августа – 6 штук</w:t>
      </w:r>
    </w:p>
    <w:p w14:paraId="1F21EACB"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изготовить в июле месяце 6500 шт. металлических бандажей и равномерно поставить их для обрезинки Ярославскому шинному заводу.</w:t>
      </w:r>
    </w:p>
    <w:p w14:paraId="73392065"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Директору СТЗ т. Задорожному обработать 1500 шт. металлических бандажей 830×150 и поставить их для обрезинки в июле ЯШЗ.</w:t>
      </w:r>
    </w:p>
    <w:p w14:paraId="719CBACC"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Директору завода № 174 т. Кацнельсон:</w:t>
      </w:r>
    </w:p>
    <w:p w14:paraId="24B72AE8"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обеспечить безусловное выполнение по изготовлению недостающих металлических бандажей на программу июля месяца в количестве 500 штук и поставить их Омскому шинному заводу.</w:t>
      </w:r>
    </w:p>
    <w:p w14:paraId="21F5D76E"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Кроме того, в течение июля и августа месяцев изготовить 10 штук прессформ 830×150, из них в июле 5 штук.</w:t>
      </w:r>
    </w:p>
    <w:p w14:paraId="6F5665EF"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Директору Кировского завода т. Махонину:</w:t>
      </w:r>
    </w:p>
    <w:p w14:paraId="60916CE5"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с 20-го июля приступить к изготовлению и поставке металлических бандажей 830×150для обрезинки их на Омском шинном заводе, с обеспечением поставки в июле не менее 200 штук.</w:t>
      </w:r>
    </w:p>
    <w:p w14:paraId="460B7CC2"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Изготовить и поставить Омскому шинному заводу 20 штук прессформ 830×150, в том числе к 5/VIII – 5 штук, к 15/VIII – 10 штук и к 20/VIII – 5 штук – для обеспечения обрезинки бандажей программы Кировского завода.</w:t>
      </w:r>
    </w:p>
    <w:p w14:paraId="41BE0A13"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Начальнику Главснаба НКТП т. Розину обеспечить заводы, изготавливающие металлические бандажи 830×150 металлом на всю заданную программу.</w:t>
      </w:r>
    </w:p>
    <w:p w14:paraId="32954E73"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Предупреждаю директоров заводов Кировского тов. МАХОНИНА, № 183 т. МАКСАРЕВА, № 112 т. РУБИНЧИК, СТЗ т. ЗАДОРОЖНОГО и № 174 т. КАЦНЕЛЬСОНА, что за срыв поставки металлических бандажей и прессформ шинным заводам в установленные сроки, буду привлекать к ответственности.</w:t>
      </w:r>
    </w:p>
    <w:p w14:paraId="24EF5990" w14:textId="77777777" w:rsidR="00C9620F" w:rsidRPr="001E2C69" w:rsidRDefault="00C9620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НАРОДНОГО КОМИССАРА ТАНКОВОЙ ПРОМЫШЛЕННОСТИ СОЮЗА ССР подпись (ЗЕРНОВ) (21223).</w:t>
      </w:r>
    </w:p>
    <w:p w14:paraId="0D4B9D3E" w14:textId="77777777" w:rsidR="00C9620F" w:rsidRPr="001E2C69" w:rsidRDefault="00C9620F" w:rsidP="00722885">
      <w:pPr>
        <w:spacing w:after="0" w:line="240" w:lineRule="auto"/>
        <w:jc w:val="both"/>
        <w:rPr>
          <w:rFonts w:ascii="Times New Roman" w:hAnsi="Times New Roman"/>
          <w:color w:val="000000" w:themeColor="text1"/>
          <w:sz w:val="16"/>
          <w:szCs w:val="16"/>
        </w:rPr>
      </w:pPr>
    </w:p>
    <w:p w14:paraId="51D76BA5" w14:textId="56824410" w:rsidR="00B33D31" w:rsidRPr="001E2C69" w:rsidRDefault="00B33D31" w:rsidP="00722885">
      <w:pPr>
        <w:pStyle w:val="af"/>
        <w:shd w:val="clear" w:color="auto" w:fill="FFFFFF"/>
        <w:spacing w:before="0" w:after="0"/>
        <w:jc w:val="both"/>
        <w:rPr>
          <w:color w:val="000000" w:themeColor="text1"/>
          <w:sz w:val="16"/>
          <w:szCs w:val="16"/>
        </w:rPr>
      </w:pPr>
      <w:r w:rsidRPr="001E2C69">
        <w:rPr>
          <w:color w:val="000000" w:themeColor="text1"/>
          <w:sz w:val="16"/>
          <w:szCs w:val="16"/>
        </w:rPr>
        <w:t xml:space="preserve">15 июля 1942 года состоялось совещание по улучшению конструкции танка </w:t>
      </w:r>
      <w:r w:rsidR="00015340">
        <w:rPr>
          <w:color w:val="000000" w:themeColor="text1"/>
          <w:sz w:val="16"/>
          <w:szCs w:val="16"/>
        </w:rPr>
        <w:t>Т</w:t>
      </w:r>
      <w:r w:rsidRPr="001E2C69">
        <w:rPr>
          <w:color w:val="000000" w:themeColor="text1"/>
          <w:sz w:val="16"/>
          <w:szCs w:val="16"/>
        </w:rPr>
        <w:t>-70, на котором присутствовало руководство наркомата среднего машиностроения, представители ГАЗ и Главного автобронетанкового управления Красной армии (ГАБТУ КА). Двухместная башня значилась четвёртым, последним, пунктом улучшений. Согласно протоколу совещания, к 1 августа было решено подготовить макет башни, а к 5 августа — испытать артиллерийскую систему, чтобы определить возможность размещения 45-мм пушки в такой башне (17712).</w:t>
      </w:r>
    </w:p>
    <w:p w14:paraId="504970D5" w14:textId="77777777" w:rsidR="00B33D31" w:rsidRPr="001E2C69" w:rsidRDefault="00B33D31" w:rsidP="00722885">
      <w:pPr>
        <w:spacing w:after="0" w:line="240" w:lineRule="auto"/>
        <w:jc w:val="both"/>
        <w:rPr>
          <w:rFonts w:ascii="Times New Roman" w:hAnsi="Times New Roman"/>
          <w:color w:val="000000" w:themeColor="text1"/>
          <w:sz w:val="16"/>
          <w:szCs w:val="16"/>
        </w:rPr>
      </w:pPr>
    </w:p>
    <w:p w14:paraId="0B2861C3"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июля 1942 года на ГАЗ им. Молотова состоялось совещание, на котором присутствовало руководство завода, а также представители ГАБТУ КА. Темой совещания стало дальнейшее повышение боеспособности Т-70. Согласно подсчетам, после усиления бортов должно было поднять боевую массу до 11,2-11,3 тонн. Это требовало не только модернизировать ходовую часть, но и форсировать двигатель. В целях проверки члены совещания приняли решение о постройке к 20 июля 4 образцов Т-70 с экранированными корпусами и усиленной ходовой частью. На 2 танках толщина бортов усиливалась до 25 мм, еще на 2 - до 35 мм. Предполагалось также изготовить серию из 30 танков, из них 15 машин с бортами толщиной 25 мм и 15 с бортами толщиной 35 мм. От этой идеи, впрочем, быстро отказались. Наконец, подняли вопрос и о двухместной башне. Было решено изготовить железный макет башни, со сроком изготовления 1 августа 1942 год.</w:t>
      </w:r>
    </w:p>
    <w:p w14:paraId="273B31B6" w14:textId="77777777" w:rsidR="00203577" w:rsidRPr="008A2E5A" w:rsidRDefault="00203577" w:rsidP="0020357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 совещание стало ключевым в истории Т-70. Наметилось два пути модернизации - большая, которая привела к появлению танка Т-80, и малая. Второй путь предполагал менее существенных объем изменений, впрочем, список улучшений с фронта выглядел явно больше обсуждавшихся пунктов. 25 июля 1942 года был подготовлен документ, в котором числилось 48 пунктов различных замечаний. В их числе были и жалобы на люк механика-водителя. Смотровой прибор быстро загрязнялся, а открывать люк оказалось тяжело. Отмечались случаи, когда при попадании в люк смотровой прибор падал на ноги механику-водителю. Всё это привело к тому, что параллельно начались работы по улучшению отдельных элементов танка (23363).</w:t>
      </w:r>
    </w:p>
    <w:p w14:paraId="24EECB9D" w14:textId="77777777" w:rsidR="00203577" w:rsidRPr="008A2E5A" w:rsidRDefault="00203577" w:rsidP="00203577">
      <w:pPr>
        <w:spacing w:after="0" w:line="240" w:lineRule="auto"/>
        <w:jc w:val="both"/>
        <w:rPr>
          <w:rFonts w:ascii="Times New Roman" w:hAnsi="Times New Roman"/>
          <w:color w:val="0070C0"/>
          <w:sz w:val="16"/>
          <w:szCs w:val="16"/>
        </w:rPr>
      </w:pPr>
    </w:p>
    <w:p w14:paraId="2C7A77B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июля 1942 вышло Постановление ГКО № 2047 О плане добычи нефти, производства нефтепродуктов и материально-техническом обеспечении нефтяной промышленности в III квартале 1942 г. РГАНИР, Фонд ГКО, д. 44, лл. 109-118, 119-129 (11012).</w:t>
      </w:r>
    </w:p>
    <w:p w14:paraId="714E92B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60943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июля 1942 вышло Постановление ГКО № 2048 О производстве металла в III квартале 1942 г. РГАНИР, Фонд ГКО, д. 44, лл. 130-152, 153-155 (11012).</w:t>
      </w:r>
    </w:p>
    <w:p w14:paraId="0A239C8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390C6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июля 1942 Балтийцы приступили к ремонту эсминца "Сторожевой" (10671).</w:t>
      </w:r>
    </w:p>
    <w:p w14:paraId="0E9DED6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A9CA1B"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Армия:</w:t>
      </w:r>
    </w:p>
    <w:p w14:paraId="1BBB5C6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D4B926"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июля в 1942 году утреннее сообщение Совинформбюро:</w:t>
      </w:r>
    </w:p>
    <w:p w14:paraId="64CFEFEC"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15 июля наши войска вели ожесточённые бои с противником в районе Воронежа и южнее города Богучар.</w:t>
      </w:r>
    </w:p>
    <w:p w14:paraId="18341A29"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21DC602D"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с переменным успехом идут непрерывные бои. Наступающие части врага несут огромные потери. На смену обескровленным дивизиям немцы вынуждены срочно перебрасывать резервы из глубокого тыла. Отмечено несколько дивизий, на днях прибывших из Франции и Бельгии. На одном из участков наши части, отбив атаку врага, сами перешли в контратаку. Ожесточённое сражение длилось несколько часов. Потеряв 11 танков, сотни солдат и офицеров, гитлеровцы были вынуждены отойти. На другом участке отбит ряд атак противника. Артиллерия и бронебойщики сожгли 6 немецких танков.</w:t>
      </w:r>
    </w:p>
    <w:p w14:paraId="1E626A8D"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Южнее Богучара наши части продолжали вести напряжённые бои с наступающими немецкими войсками. На одном из участков наше подразделение в течение дня сдерживало полк вражеской пехоты и истребило свыше 700 немцев. Три наших танка уничтожили 5 немецких танков, 2 противотанковых орудия, свыше 30 гитлеровцев и без потерь вышли из боя.</w:t>
      </w:r>
    </w:p>
    <w:p w14:paraId="409E72A6"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отдельных участках Ленинградского фронта за три дня боёв нашими бойцами уничтожено два орудия, 14 пулемётов, 15 огневых пулемётных точек, 3 миномёта, взорван склад с боеприпасами, разрушено 30 ДЗОТов и землянок вместе с находившимися в них гитлеровцами. Противник потерял убитыми свыше 400 солдат и офицеров.</w:t>
      </w:r>
    </w:p>
    <w:p w14:paraId="19A11277"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Противник силой до батальона предпринял наступление на одном из участков Калининского фронта. Наши подразделения дали немецкой пехоте возможность переправиться через речку, а затем окружили и уничтожили 200 гитлеровцев. Взяты пленные. На другом участке наши артиллеристы подбили 3 немецких танка, уничтожили до 300 солдат и офицеров противника, подбили 2 орудия и взорвали склад с боеприпасами.</w:t>
      </w:r>
    </w:p>
    <w:p w14:paraId="534E0FA2"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Командир роты лейтенант Демешев истребил свыше 100 гитлеровцев. B своей роте он подготовил 33 снайпера, которые уже вывели из строя 396 немецких оккупантов.</w:t>
      </w:r>
    </w:p>
    <w:p w14:paraId="74BAA0BA"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Красноармеец тов. Николаев огнём из ручного пулемёта сбил немецкий пикирующий бомбардировщик «Юнкерс-88».</w:t>
      </w:r>
    </w:p>
    <w:p w14:paraId="36B4E879"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Успешно действует отряд курских партизан под командованием товарища Л. Партизаны взорвали мост в то время, когда по нему проходили немецкие танки. Два танка были подорваны и свалились в воду. Группа партизан этого отряда совершила ночной налёт на деревню, в которой расположилась на отдых немецкая автоколонна.Советские патриоты сожгли 8 автомашин с боеприпасами и истребили 30 немецко-фашистских оккупантов.</w:t>
      </w:r>
    </w:p>
    <w:p w14:paraId="554728D2"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письмах, адресованных немецким солдатам, находящимся на советско-германском фронте, родные пишут о том, что в Германии почти повсеместно ожидается большей недород. Немецкому унтер-офицеру Бетцеру пишет его отец из Фалькендорфа: «Уже сейчас ясно, что урожай нынешнего года будет очень скудным. Многие еще не хотят этому верить, но скоро время покажет, что на нас надвигается голод». Немецкому ефрейтору Августину Фишеру сообщают из Маркт Люстенау: «Рожь и ячмень пропали. Надо было сеять заново, но нигде нельзя было достать семян. Многие так и не могли ничего пересеять».</w:t>
      </w:r>
    </w:p>
    <w:p w14:paraId="25F5E957"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Немецко-фашистские людоеды истребляют мирное население оккупированных советских районов. В селе Лугань, Орловской области, гитлеровцы замучили 20 местных жителей. Палачи расстреляли учительницу Анну Федосеевну Коротченко 23 лет, её сына Вячеслава двух с половиной лет и мать Прасковью Ивановну 53 </w:t>
      </w:r>
      <w:r w:rsidRPr="001E2C69">
        <w:rPr>
          <w:rFonts w:ascii="Times New Roman" w:hAnsi="Times New Roman"/>
          <w:color w:val="000000" w:themeColor="text1"/>
          <w:sz w:val="16"/>
          <w:szCs w:val="16"/>
        </w:rPr>
        <w:lastRenderedPageBreak/>
        <w:t>лет. Фашистские мерзавцы изнасиловали учительницу Анну Константиновну Кожанову, а потом расстреляли её вместе с 5 -летним сыном Виктором и 7-летней дочерью Людмилой.» (14953).</w:t>
      </w:r>
    </w:p>
    <w:p w14:paraId="66057B68" w14:textId="77777777" w:rsidR="00056917" w:rsidRPr="001E2C69" w:rsidRDefault="00056917" w:rsidP="00722885">
      <w:pPr>
        <w:spacing w:after="0" w:line="240" w:lineRule="auto"/>
        <w:jc w:val="both"/>
        <w:rPr>
          <w:rFonts w:ascii="Times New Roman" w:hAnsi="Times New Roman"/>
          <w:color w:val="000000" w:themeColor="text1"/>
          <w:sz w:val="16"/>
          <w:szCs w:val="16"/>
        </w:rPr>
      </w:pPr>
    </w:p>
    <w:p w14:paraId="7B5C2596"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июля в 1942 году вечернее сообщение Совинформбюро:</w:t>
      </w:r>
    </w:p>
    <w:p w14:paraId="191ADF69"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«B течение 15 июля наши войска продолжали вести ожесточённые бои с противником в районе Воронежа.</w:t>
      </w:r>
    </w:p>
    <w:p w14:paraId="36F9729F"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ожесточённых боёв наши войска оставили Богучар и Миллерово.</w:t>
      </w:r>
    </w:p>
    <w:p w14:paraId="1AAF0F70"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48EFEEB7"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3a 14 июля частями нашей авиации на различных участках фронта уничтожено или повреждено свыше 90 немецких танков, l60 автомашин с войсками и грузами, подавлен огонь 7 батарей зенитной артиллерии, взорваны 4 склада с боеприпасами и 3 склада с горючим, рассеяно и частью уничтожено до двух батальонов пехоты противника.</w:t>
      </w:r>
    </w:p>
    <w:p w14:paraId="37A5B0B5"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сражения развёртываются со всё большим ожесточением. Ряд укреплённых рубежей и населённых пунктов по нескольку раз переходит из рук вруки. На некоторых участках наши войска контрударами отбрасывают наступающегопротивника и наносят ему большой урон. Совместными действиями лётчиков-штурмовиков и одного танкового соединения за день боёв уничтожено более 1.000 немецких солдат и офицеров, 12 танков, 23 орудия, 36 автомашин, 41 мотоцикл, 71 станковый пулемёт и несколько бронированных повозок с пехотой. За последние несколько дней лётчики части полковника Данилова сбили в воздушных боях 51 немецкий самолёт. Лётчики младший лейтенант Тильченко и старший сержант Лавриненко встретились в воздухе и вступили в бой с 5 немецкими истребителями. В первой же атаке тов. Тильченко сбил один «Mecсершмитт». Самолёт Лавриненко получил повреждение и вышел из боя. Оставшись один, тов. Тильченко снова вступил в бой и сбил ещё два немецких истребителя.</w:t>
      </w:r>
    </w:p>
    <w:p w14:paraId="6A78DB81"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Калининского фронта были отбиты атаки противника на передний край нашей обороны. Бойцы подразделения под командованием тов. Казакова, перейдя в контратаку, оседлали важную дорогу и заняли высоту, контролирующую подходы к ней. Старший лейтенант Волков, красноармейцы Чиркунов, Головин и Щербинов уничтожили 4 немецких танка. Старший лейтенант Котов огнём из противотанкового ружья сбил немецкий самолёт-корректировщик.</w:t>
      </w:r>
    </w:p>
    <w:p w14:paraId="3989D634"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Две роты пехоты противника при поддержке 5 танков атаковали стрелковые подразделения, которыми командуют лейтенанты Садиков, Савкин и старший лейтенант Кульбит (Западный фронт). Огнём пехоты и артиллерии обе роты гитлеровцев целиком уничтожены. Подбито 3 немецких танка.</w:t>
      </w:r>
    </w:p>
    <w:p w14:paraId="77EB69C5"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Танковый экипаж в составе капитана Кошелева и механика-водителя Скибина водном бою уничтожил 3 немецких танка, 7 противотанковых орудий и до 60 немецких солдат и офицеров.</w:t>
      </w:r>
    </w:p>
    <w:p w14:paraId="1D45A574"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Партизаны, действующие в одном из районов Белоруссии, в течение двух месяцев взорвали 38 мостов, уничтожили 17 автомашин и истребили свыше 100 немецких оккупантов. Отрядом партизан захвачены у противника трофеи, в том числе много продовольствия, которое роздано колхозникам.</w:t>
      </w:r>
    </w:p>
    <w:p w14:paraId="13E9026C"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под командованием тов. С., действующий в одном из районов Ленинградской области, оккупированном немцами, разгромил карательную экспедицию гитлеровцев. На днях группа партизан организовала крушение железнодорожного состава противника.</w:t>
      </w:r>
    </w:p>
    <w:p w14:paraId="6D0EB44F"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10 роты 769 полка 377 немецкой пехотной дивизии Артур Келлер рассказал: «Офицеры и унтер-офицеры открыто призывают солдат грабить и истреблять советских людей. Недавно фельдфебель Герц провёл беседу с вновь прибывшими на фронт солдатами 3-го взвода. Он говорил, что Гитлер требует беспощадно истреблять славян, невзирая на пол и возраст. Он далее заявил, что немецким солдатам позволено отбирать у населения всё, что им необходимо».</w:t>
      </w:r>
    </w:p>
    <w:p w14:paraId="68283B0D"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Зверскую расправу учинили немецко-фашистские мерзавцы в селе Боярке под Киевом. Гитлеровцы загнали в помещение школы 15 девочек-подростков, надругалисьнад своими жертвами, а потом повесили их на телеграфных столбах.</w:t>
      </w:r>
    </w:p>
    <w:p w14:paraId="6A6E4167"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Казахстане началась уборка хлебов. С каждым днём расширяется фронт уборочных работ. Только в пяти областях республики скошено 60.000 гектаров зерновых. Первые обмолоты в ряде колхозов Джамбулской области показывают, что колхозники собирают богатый урожай зерновых.» (14953).</w:t>
      </w:r>
    </w:p>
    <w:p w14:paraId="22D00AE6" w14:textId="77777777" w:rsidR="00056917" w:rsidRPr="001E2C69" w:rsidRDefault="00056917" w:rsidP="00722885">
      <w:pPr>
        <w:spacing w:after="0" w:line="240" w:lineRule="auto"/>
        <w:jc w:val="both"/>
        <w:rPr>
          <w:rFonts w:ascii="Times New Roman" w:hAnsi="Times New Roman"/>
          <w:color w:val="000000" w:themeColor="text1"/>
          <w:sz w:val="16"/>
          <w:szCs w:val="16"/>
        </w:rPr>
      </w:pPr>
    </w:p>
    <w:p w14:paraId="223EE46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июля 1942 п И.С.Полбин с пикирования уничтожил на Пе-2 склад горючего в районе ст. Морозовская и тем самым задержал продвижение танков на Сталинград (438,851).</w:t>
      </w:r>
    </w:p>
    <w:p w14:paraId="61CD553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4B7E0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июля 1942 г. была подготовлена ЗАЯВКА НАЧАЛЬНИКА ОПЕРОТДЕЛА ШТАБА ГАБТУ В РАЗВЕДУПРАВЛЕНИЕ ОБ ИНТЕРЕСУЮЩЕЙ ИНФОРМАЦИИ О ПРОТИВНИКЕ</w:t>
      </w:r>
    </w:p>
    <w:p w14:paraId="742F3C0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Необходима информация Красной Армии о противнике по следующим вопросам: 1. Необходимы указания Разведуправления КА о том, чтобы разведотделы штабов дивизий, кор</w:t>
      </w:r>
      <w:r w:rsidRPr="001E2C69">
        <w:rPr>
          <w:rFonts w:ascii="Times New Roman" w:hAnsi="Times New Roman"/>
          <w:color w:val="000000" w:themeColor="text1"/>
          <w:sz w:val="16"/>
          <w:szCs w:val="16"/>
        </w:rPr>
        <w:softHyphen/>
        <w:t>пусов, армий и фронтов постоянно информировали штабы отдельных танковых батальонов, танко</w:t>
      </w:r>
      <w:r w:rsidRPr="001E2C69">
        <w:rPr>
          <w:rFonts w:ascii="Times New Roman" w:hAnsi="Times New Roman"/>
          <w:color w:val="000000" w:themeColor="text1"/>
          <w:sz w:val="16"/>
          <w:szCs w:val="16"/>
        </w:rPr>
        <w:softHyphen/>
        <w:t>вых бригад, корпусов и танковых армий о противнике на направлениях их действий по вопросам:</w:t>
      </w:r>
    </w:p>
    <w:p w14:paraId="531E655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особенности системы обороны противника, нумерация частей, особенности в упорстве борь</w:t>
      </w:r>
      <w:r w:rsidRPr="001E2C69">
        <w:rPr>
          <w:rFonts w:ascii="Times New Roman" w:hAnsi="Times New Roman"/>
          <w:color w:val="000000" w:themeColor="text1"/>
          <w:sz w:val="16"/>
          <w:szCs w:val="16"/>
        </w:rPr>
        <w:softHyphen/>
        <w:t>бы, особенно танковые части. Новые виды вооружения - танки, орудия - особенно противотанковые, самолеты. Специфика противотанковой борьбы - танки, противотанковые пушки, инженерные со</w:t>
      </w:r>
      <w:r w:rsidRPr="001E2C69">
        <w:rPr>
          <w:rFonts w:ascii="Times New Roman" w:hAnsi="Times New Roman"/>
          <w:color w:val="000000" w:themeColor="text1"/>
          <w:sz w:val="16"/>
          <w:szCs w:val="16"/>
        </w:rPr>
        <w:softHyphen/>
        <w:t>оружения, их применение;</w:t>
      </w:r>
    </w:p>
    <w:p w14:paraId="5023304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особенности наступательного боя - направления главной группировки противника, его тан</w:t>
      </w:r>
      <w:r w:rsidRPr="001E2C69">
        <w:rPr>
          <w:rFonts w:ascii="Times New Roman" w:hAnsi="Times New Roman"/>
          <w:color w:val="000000" w:themeColor="text1"/>
          <w:sz w:val="16"/>
          <w:szCs w:val="16"/>
        </w:rPr>
        <w:softHyphen/>
        <w:t>ков, использование артиллерии, взаимодействие войск в бою, вопросы материального и техническо</w:t>
      </w:r>
      <w:r w:rsidRPr="001E2C69">
        <w:rPr>
          <w:rFonts w:ascii="Times New Roman" w:hAnsi="Times New Roman"/>
          <w:color w:val="000000" w:themeColor="text1"/>
          <w:sz w:val="16"/>
          <w:szCs w:val="16"/>
        </w:rPr>
        <w:softHyphen/>
        <w:t>го обеспечения, особенно - питание и восстановление танковых частей.</w:t>
      </w:r>
    </w:p>
    <w:p w14:paraId="71009E1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В порядке систематической информации войск Разведуправлением КА необходимо освещать следующие вопросы:</w:t>
      </w:r>
    </w:p>
    <w:p w14:paraId="3FBDA0F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организация танковых войск Германии - танковой дивизии, корпуса, армии. Уставные поло</w:t>
      </w:r>
      <w:r w:rsidRPr="001E2C69">
        <w:rPr>
          <w:rFonts w:ascii="Times New Roman" w:hAnsi="Times New Roman"/>
          <w:color w:val="000000" w:themeColor="text1"/>
          <w:sz w:val="16"/>
          <w:szCs w:val="16"/>
        </w:rPr>
        <w:softHyphen/>
        <w:t>жения по применению, использованию танковых соединений в бою.</w:t>
      </w:r>
    </w:p>
    <w:p w14:paraId="68D4D7A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Новые танковые формирования, их отличие от старых. Подготовка кадров танкистов.</w:t>
      </w:r>
    </w:p>
    <w:p w14:paraId="48621D2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Танковая промышленность Германии - с каким количеством танков Германия вступила в вой</w:t>
      </w:r>
      <w:r w:rsidRPr="001E2C69">
        <w:rPr>
          <w:rFonts w:ascii="Times New Roman" w:hAnsi="Times New Roman"/>
          <w:color w:val="000000" w:themeColor="text1"/>
          <w:sz w:val="16"/>
          <w:szCs w:val="16"/>
        </w:rPr>
        <w:softHyphen/>
        <w:t>ну, по маркам машин. Сколько производила танков помесячно в 1941 году и сколько производит в 1942 году. Какие имеются перспективы на выпуск танков. Какие имела потери в танках в 1941 году, и какие имеет в 1942 году. Как разрешается вопрос восстановления подбитой материальной части -ремонтные и эвакосредства. Используются ли наши отечественные танки, захваченные противни</w:t>
      </w:r>
      <w:r w:rsidRPr="001E2C69">
        <w:rPr>
          <w:rFonts w:ascii="Times New Roman" w:hAnsi="Times New Roman"/>
          <w:color w:val="000000" w:themeColor="text1"/>
          <w:sz w:val="16"/>
          <w:szCs w:val="16"/>
        </w:rPr>
        <w:softHyphen/>
        <w:t>ком. Какие новые типы танков введены в строй, их краткая тактико-техническая характеристика и какие типы танков готовятся для производства. Модернизируются ли старые образцы танков и в чем именно. В какой степени используются танки союзников Германии, оккупированных стран и произ</w:t>
      </w:r>
      <w:r w:rsidRPr="001E2C69">
        <w:rPr>
          <w:rFonts w:ascii="Times New Roman" w:hAnsi="Times New Roman"/>
          <w:color w:val="000000" w:themeColor="text1"/>
          <w:sz w:val="16"/>
          <w:szCs w:val="16"/>
        </w:rPr>
        <w:softHyphen/>
        <w:t>водственные возможности их. Источники получения горючего, примерные запасы, сорта горючего, используемого танками.</w:t>
      </w:r>
    </w:p>
    <w:p w14:paraId="770521D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Вооружение - какие изменения вводятся в вооружение старых типов танков и новое в воору</w:t>
      </w:r>
      <w:r w:rsidRPr="001E2C69">
        <w:rPr>
          <w:rFonts w:ascii="Times New Roman" w:hAnsi="Times New Roman"/>
          <w:color w:val="000000" w:themeColor="text1"/>
          <w:sz w:val="16"/>
          <w:szCs w:val="16"/>
        </w:rPr>
        <w:softHyphen/>
        <w:t>жении выпускаемых танков. Имеются ли новые образцы противотанковых пушек, ружей, снарядов. Новые образцы оптики в танках. Новые образцы - мощность радиостанций вообще и танковых в особенности.</w:t>
      </w:r>
    </w:p>
    <w:p w14:paraId="1AEFB8D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Управление войсками - методы управления танковыми войсками на марше, в наступлении, обороне. Методы управления танками по радио - открытым текстом, кодом и специфика построе</w:t>
      </w:r>
      <w:r w:rsidRPr="001E2C69">
        <w:rPr>
          <w:rFonts w:ascii="Times New Roman" w:hAnsi="Times New Roman"/>
          <w:color w:val="000000" w:themeColor="text1"/>
          <w:sz w:val="16"/>
          <w:szCs w:val="16"/>
        </w:rPr>
        <w:softHyphen/>
        <w:t>ния кода.</w:t>
      </w:r>
    </w:p>
    <w:p w14:paraId="7993605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Взаимодействие танков с авиацией - способы управления и связи.</w:t>
      </w:r>
    </w:p>
    <w:p w14:paraId="25E36E4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Особенности организации и практической работы агентурной и войсковой разведки.</w:t>
      </w:r>
    </w:p>
    <w:p w14:paraId="2109714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оперотдела штаба ГАБТУ КА полковник Кульвинский</w:t>
      </w:r>
    </w:p>
    <w:p w14:paraId="024B9D71"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ЦАМО. Ф. 38. Оп. 11353. Д. 14. Л. 102-103. Подлинник (11211).</w:t>
      </w:r>
    </w:p>
    <w:p w14:paraId="29E3BA10"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p>
    <w:p w14:paraId="2065D2A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июля 1942 немцы смогли прорвать оборону между Доном и Северским Донцом в полосе 170 км и выйти в большую излучину Дона (340,88).</w:t>
      </w:r>
    </w:p>
    <w:p w14:paraId="7D4E3AA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2D4CDF"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июля в 1942 году немецкие войска заняли Миллерово (14953).</w:t>
      </w:r>
    </w:p>
    <w:p w14:paraId="0DEADB02" w14:textId="77777777" w:rsidR="00056917" w:rsidRPr="001E2C69" w:rsidRDefault="00056917" w:rsidP="00722885">
      <w:pPr>
        <w:spacing w:after="0" w:line="240" w:lineRule="auto"/>
        <w:jc w:val="both"/>
        <w:rPr>
          <w:rFonts w:ascii="Times New Roman" w:hAnsi="Times New Roman"/>
          <w:color w:val="000000" w:themeColor="text1"/>
          <w:sz w:val="16"/>
          <w:szCs w:val="16"/>
        </w:rPr>
      </w:pPr>
    </w:p>
    <w:p w14:paraId="05E0A6F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июля 1942 части 6-й армии Вермахта захватили г. Миллерово и находились уже в 300 км от Сталинграда. В этот день Сталину стало окончательно ясно, что остановить немцев западнее Дона не удастся. Вечером он лично позвонил в обком Чуянову и приказал готовить город к обороне. Тут же начиналось спешное строительство четвертого городского оборонительного рубежа, на которое ежедневно стали выгонять многие тысячи сталинградцев. Так, в Ерманском, Дзержинском и Ворошиловском районах на возведение укреплений были направлены по 10 тыс. человек. Жители Краснооктябрьского, Тракторозаводского и других районов Сталинграда также активно участвовали в строительстве «окопов». Многие учреждения, работа которых могла быть без ущерба для интересов фронта приостановлена, временно закрывались с оставлением в них лишь дежурных, а весь коллектив мобилизовывался «на окопы». В конце июля на строительстве городского обвода работали свыше 57 тыс. человек. Все необходимое для строительства добывалось на месте (11774).</w:t>
      </w:r>
    </w:p>
    <w:p w14:paraId="1671C69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DB800B" w14:textId="77777777" w:rsidR="00056917"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За рубежом:</w:t>
      </w:r>
    </w:p>
    <w:p w14:paraId="70CBF7E4" w14:textId="77777777" w:rsidR="00056917" w:rsidRPr="001E2C69" w:rsidRDefault="00056917"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F1D41F"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15 июля в 1942 году начались поставки морских вариантов английского истребителя </w:t>
      </w:r>
      <w:hyperlink r:id="rId145" w:tgtFrame="_blank" w:history="1">
        <w:r w:rsidRPr="001E2C69">
          <w:rPr>
            <w:rFonts w:ascii="Times New Roman" w:hAnsi="Times New Roman"/>
            <w:color w:val="000000" w:themeColor="text1"/>
            <w:sz w:val="16"/>
            <w:szCs w:val="16"/>
          </w:rPr>
          <w:t xml:space="preserve">«Спитфайр» </w:t>
        </w:r>
      </w:hyperlink>
      <w:r w:rsidRPr="001E2C69">
        <w:rPr>
          <w:rFonts w:ascii="Times New Roman" w:hAnsi="Times New Roman"/>
          <w:color w:val="000000" w:themeColor="text1"/>
          <w:sz w:val="16"/>
          <w:szCs w:val="16"/>
        </w:rPr>
        <w:t>модификации «VB» - "Сифайр" «Mk.IB», a «VC» - соответственно «Mk.IIC». Первоначально новый самолет должен был по традиции называться "Си Спитфайр", но затем название сократили до "Сифайр" ("морской огонь"). Переделку производили на заводах фирм «Эйр Сервис Трэйдинг» и «Канлиф-Оуэн». Конструктивно они отличались от своих сухопутных собратьев лишь наличием крюка, внешней накладкой - усилением в районе центроплана, шпигатами для удаления воды, а также катапультными крючками, рассчитанными на использование тросового поводка. «Mk.IIC» имел усиленное крыло типа С, но с двумя пушками вместо четырех - ограничения по весу не позволяли усилить вооружение (14953).</w:t>
      </w:r>
    </w:p>
    <w:p w14:paraId="6763917C" w14:textId="77777777" w:rsidR="00056917" w:rsidRPr="001E2C69" w:rsidRDefault="00056917" w:rsidP="00722885">
      <w:pPr>
        <w:spacing w:after="0" w:line="240" w:lineRule="auto"/>
        <w:jc w:val="both"/>
        <w:rPr>
          <w:rFonts w:ascii="Times New Roman" w:hAnsi="Times New Roman"/>
          <w:color w:val="000000" w:themeColor="text1"/>
          <w:sz w:val="16"/>
          <w:szCs w:val="16"/>
        </w:rPr>
      </w:pPr>
    </w:p>
    <w:p w14:paraId="71D13549"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15 июля в 1942 году поднялся в воздух второй прототип («DD810»), английского палубного истребителя-торпедоносца </w:t>
      </w:r>
      <w:hyperlink r:id="rId146" w:tgtFrame="_blank" w:history="1">
        <w:r w:rsidRPr="001E2C69">
          <w:rPr>
            <w:rFonts w:ascii="Times New Roman" w:hAnsi="Times New Roman"/>
            <w:color w:val="000000" w:themeColor="text1"/>
            <w:sz w:val="16"/>
            <w:szCs w:val="16"/>
          </w:rPr>
          <w:t xml:space="preserve">«Blackburn Firebrand», </w:t>
        </w:r>
      </w:hyperlink>
      <w:r w:rsidRPr="001E2C69">
        <w:rPr>
          <w:rFonts w:ascii="Times New Roman" w:hAnsi="Times New Roman"/>
          <w:color w:val="000000" w:themeColor="text1"/>
          <w:sz w:val="16"/>
          <w:szCs w:val="16"/>
        </w:rPr>
        <w:t>отличавшийся от первого наличием вооружения в лице четырех пушек «Hispano» и двух подкрыльевых узлов для подвески пятисотфунтовых бомб (14953).</w:t>
      </w:r>
    </w:p>
    <w:p w14:paraId="01F6194D" w14:textId="77777777" w:rsidR="00056917" w:rsidRPr="001E2C69" w:rsidRDefault="00056917" w:rsidP="00722885">
      <w:pPr>
        <w:spacing w:after="0" w:line="240" w:lineRule="auto"/>
        <w:jc w:val="both"/>
        <w:rPr>
          <w:rFonts w:ascii="Times New Roman" w:hAnsi="Times New Roman"/>
          <w:color w:val="000000" w:themeColor="text1"/>
          <w:sz w:val="16"/>
          <w:szCs w:val="16"/>
        </w:rPr>
      </w:pPr>
    </w:p>
    <w:p w14:paraId="0FB06A53" w14:textId="77777777" w:rsidR="00072048" w:rsidRPr="001E2C69" w:rsidRDefault="0007204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июля 1942 American Volunteer Group - „Летающие тигры“ - передается из Air Force Республика Китай в состав Военно - воздушных сил Соединенных и становится 23 - й истребительной группой. За шесть месяцев службы в Китае подразделение сбило 286 японских самолетов в обмен на 12 собственных, потерянных в боях воздух-воздух (20793).</w:t>
      </w:r>
    </w:p>
    <w:p w14:paraId="7DEBACF8" w14:textId="77777777" w:rsidR="00072048" w:rsidRPr="001E2C69" w:rsidRDefault="00072048" w:rsidP="00722885">
      <w:pPr>
        <w:spacing w:after="0" w:line="240" w:lineRule="auto"/>
        <w:jc w:val="both"/>
        <w:rPr>
          <w:rFonts w:ascii="Times New Roman" w:hAnsi="Times New Roman"/>
          <w:color w:val="000000" w:themeColor="text1"/>
          <w:sz w:val="16"/>
          <w:szCs w:val="16"/>
        </w:rPr>
      </w:pPr>
    </w:p>
    <w:p w14:paraId="5935421D"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Другие оборонные отрасли:</w:t>
      </w:r>
    </w:p>
    <w:p w14:paraId="6B3633A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681B02" w14:textId="77777777" w:rsidR="00056917" w:rsidRPr="001E2C69" w:rsidRDefault="00056917"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 середине июля 1942 года началась сбор</w:t>
      </w:r>
      <w:r w:rsidRPr="001E2C69">
        <w:rPr>
          <w:rFonts w:ascii="Times New Roman" w:cs="Times New Roman"/>
          <w:color w:val="000000" w:themeColor="text1"/>
          <w:spacing w:val="0"/>
        </w:rPr>
        <w:softHyphen/>
        <w:t xml:space="preserve">ка двух первых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 xml:space="preserve">-1С. По сравнению с танком КВ-1 на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-1С была уменьшена до 60 мм толщина броне</w:t>
      </w:r>
      <w:r w:rsidRPr="001E2C69">
        <w:rPr>
          <w:rFonts w:ascii="Times New Roman" w:cs="Times New Roman"/>
          <w:color w:val="000000" w:themeColor="text1"/>
          <w:spacing w:val="0"/>
        </w:rPr>
        <w:softHyphen/>
        <w:t>вых листов, изменена форма кормы корпу</w:t>
      </w:r>
      <w:r w:rsidRPr="001E2C69">
        <w:rPr>
          <w:rFonts w:ascii="Times New Roman" w:cs="Times New Roman"/>
          <w:color w:val="000000" w:themeColor="text1"/>
          <w:spacing w:val="0"/>
        </w:rPr>
        <w:softHyphen/>
        <w:t>са, установлена башня новой конструкции с командирской башенкой кругового обзора, новые смотровые приборы. Существенные изменения внесли конструкторы и в сило</w:t>
      </w:r>
      <w:r w:rsidRPr="001E2C69">
        <w:rPr>
          <w:rFonts w:ascii="Times New Roman" w:cs="Times New Roman"/>
          <w:color w:val="000000" w:themeColor="text1"/>
          <w:spacing w:val="0"/>
        </w:rPr>
        <w:softHyphen/>
        <w:t>вую передачу танка КВ-1С, установив новый главный фрикцион, восьмискоростную ко</w:t>
      </w:r>
      <w:r w:rsidRPr="001E2C69">
        <w:rPr>
          <w:rFonts w:ascii="Times New Roman" w:cs="Times New Roman"/>
          <w:color w:val="000000" w:themeColor="text1"/>
          <w:spacing w:val="0"/>
        </w:rPr>
        <w:softHyphen/>
        <w:t>робку перемены передач с силуминовым кар</w:t>
      </w:r>
      <w:r w:rsidRPr="001E2C69">
        <w:rPr>
          <w:rFonts w:ascii="Times New Roman" w:cs="Times New Roman"/>
          <w:color w:val="000000" w:themeColor="text1"/>
          <w:spacing w:val="0"/>
        </w:rPr>
        <w:softHyphen/>
        <w:t>тером (восемь скоростей вперед и две назад). Кроме того, на танке смонтировали радиа</w:t>
      </w:r>
      <w:r w:rsidRPr="001E2C69">
        <w:rPr>
          <w:rFonts w:ascii="Times New Roman" w:cs="Times New Roman"/>
          <w:color w:val="000000" w:themeColor="text1"/>
          <w:spacing w:val="0"/>
        </w:rPr>
        <w:softHyphen/>
        <w:t>торы и вентилятор другой конструкции, из</w:t>
      </w:r>
      <w:r w:rsidRPr="001E2C69">
        <w:rPr>
          <w:rFonts w:ascii="Times New Roman" w:cs="Times New Roman"/>
          <w:color w:val="000000" w:themeColor="text1"/>
          <w:spacing w:val="0"/>
        </w:rPr>
        <w:softHyphen/>
        <w:t>менили расположение аккумуляторов. В хо</w:t>
      </w:r>
      <w:r w:rsidRPr="001E2C69">
        <w:rPr>
          <w:rFonts w:ascii="Times New Roman" w:cs="Times New Roman"/>
          <w:color w:val="000000" w:themeColor="text1"/>
          <w:spacing w:val="0"/>
        </w:rPr>
        <w:softHyphen/>
        <w:t>довой части применили облегченные опор</w:t>
      </w:r>
      <w:r w:rsidRPr="001E2C69">
        <w:rPr>
          <w:rFonts w:ascii="Times New Roman" w:cs="Times New Roman"/>
          <w:color w:val="000000" w:themeColor="text1"/>
          <w:spacing w:val="0"/>
        </w:rPr>
        <w:softHyphen/>
        <w:t>ные катки, ленивец и облегченные гусеницы уменьшенной ширины. В результате всех этих изменений мас</w:t>
      </w:r>
      <w:r w:rsidRPr="001E2C69">
        <w:rPr>
          <w:rFonts w:ascii="Times New Roman" w:cs="Times New Roman"/>
          <w:color w:val="000000" w:themeColor="text1"/>
          <w:spacing w:val="0"/>
        </w:rPr>
        <w:softHyphen/>
        <w:t>са КВ-1С снизилась до 42,3 т, возросла ско</w:t>
      </w:r>
      <w:r w:rsidRPr="001E2C69">
        <w:rPr>
          <w:rFonts w:ascii="Times New Roman" w:cs="Times New Roman"/>
          <w:color w:val="000000" w:themeColor="text1"/>
          <w:spacing w:val="0"/>
        </w:rPr>
        <w:softHyphen/>
        <w:t>рость (до 43,3 км/ч по шоссе), улучшилась маневренность и надежность танка (15226).</w:t>
      </w:r>
    </w:p>
    <w:p w14:paraId="49E0DC17" w14:textId="77777777" w:rsidR="00056917" w:rsidRPr="001E2C69" w:rsidRDefault="00056917" w:rsidP="00722885">
      <w:pPr>
        <w:pStyle w:val="27"/>
        <w:shd w:val="clear" w:color="auto" w:fill="auto"/>
        <w:spacing w:after="0" w:line="240" w:lineRule="auto"/>
        <w:ind w:firstLine="0"/>
        <w:rPr>
          <w:rFonts w:ascii="Times New Roman" w:cs="Times New Roman"/>
          <w:color w:val="000000" w:themeColor="text1"/>
          <w:spacing w:val="0"/>
        </w:rPr>
      </w:pPr>
    </w:p>
    <w:p w14:paraId="5268395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середине июля месяца 1942 на совещании конструкторско-технологических служб завода группа конструкторов под ру</w:t>
      </w:r>
      <w:r w:rsidRPr="001E2C69">
        <w:rPr>
          <w:rFonts w:ascii="Times New Roman" w:hAnsi="Times New Roman"/>
          <w:color w:val="000000" w:themeColor="text1"/>
          <w:sz w:val="16"/>
          <w:szCs w:val="16"/>
        </w:rPr>
        <w:softHyphen/>
        <w:t>ководством Л. Горлицкого предложила использовать для производства деталей башен Т-34 и КВ 10000-тонный пресс, прежде применявшийся для штампования ло</w:t>
      </w:r>
      <w:r w:rsidRPr="001E2C69">
        <w:rPr>
          <w:rFonts w:ascii="Times New Roman" w:hAnsi="Times New Roman"/>
          <w:color w:val="000000" w:themeColor="text1"/>
          <w:sz w:val="16"/>
          <w:szCs w:val="16"/>
        </w:rPr>
        <w:softHyphen/>
        <w:t>пастей турбин. Директор Н. Музуруков поддержал пред</w:t>
      </w:r>
      <w:r w:rsidRPr="001E2C69">
        <w:rPr>
          <w:rFonts w:ascii="Times New Roman" w:hAnsi="Times New Roman"/>
          <w:color w:val="000000" w:themeColor="text1"/>
          <w:sz w:val="16"/>
          <w:szCs w:val="16"/>
        </w:rPr>
        <w:softHyphen/>
        <w:t>ложение и до одобрения НКТП приказал группе разрабо</w:t>
      </w:r>
      <w:r w:rsidRPr="001E2C69">
        <w:rPr>
          <w:rFonts w:ascii="Times New Roman" w:hAnsi="Times New Roman"/>
          <w:color w:val="000000" w:themeColor="text1"/>
          <w:sz w:val="16"/>
          <w:szCs w:val="16"/>
        </w:rPr>
        <w:softHyphen/>
        <w:t>тать конструкцию частично штампованной и полностью штампованной башен. После рассмотрения проектов к исполнению приняли полностью штампованный вариант, разработанный И. Вахрушевым и В. Ананьевым. В конце месяца проект предста</w:t>
      </w:r>
      <w:r w:rsidRPr="001E2C69">
        <w:rPr>
          <w:rFonts w:ascii="Times New Roman" w:hAnsi="Times New Roman"/>
          <w:color w:val="000000" w:themeColor="text1"/>
          <w:sz w:val="16"/>
          <w:szCs w:val="16"/>
        </w:rPr>
        <w:softHyphen/>
        <w:t>вили на рассмотрение ОГК НКТП. Руководство Наркомата первоначально прохладно отнеслось к проекту, так как еще весной положение с броневым прокатом средней и боль</w:t>
      </w:r>
      <w:r w:rsidRPr="001E2C69">
        <w:rPr>
          <w:rFonts w:ascii="Times New Roman" w:hAnsi="Times New Roman"/>
          <w:color w:val="000000" w:themeColor="text1"/>
          <w:sz w:val="16"/>
          <w:szCs w:val="16"/>
        </w:rPr>
        <w:softHyphen/>
        <w:t>шой толщины было катастрофическим. Однако к августу путем жесткой стандартизации, уменьшения номенклатуры проката и стопроцентного контроля выпускаемой продук</w:t>
      </w:r>
      <w:r w:rsidRPr="001E2C69">
        <w:rPr>
          <w:rFonts w:ascii="Times New Roman" w:hAnsi="Times New Roman"/>
          <w:color w:val="000000" w:themeColor="text1"/>
          <w:sz w:val="16"/>
          <w:szCs w:val="16"/>
        </w:rPr>
        <w:softHyphen/>
        <w:t>ции положение с 45-мм бронелистом выправилось. Но 60-мм листа, из которого планировалось штамповать башен</w:t>
      </w:r>
      <w:r w:rsidRPr="001E2C69">
        <w:rPr>
          <w:rFonts w:ascii="Times New Roman" w:hAnsi="Times New Roman"/>
          <w:color w:val="000000" w:themeColor="text1"/>
          <w:sz w:val="16"/>
          <w:szCs w:val="16"/>
        </w:rPr>
        <w:softHyphen/>
        <w:t>ные купола, все еще было недостаточно. Поэтому по согла</w:t>
      </w:r>
      <w:r w:rsidRPr="001E2C69">
        <w:rPr>
          <w:rFonts w:ascii="Times New Roman" w:hAnsi="Times New Roman"/>
          <w:color w:val="000000" w:themeColor="text1"/>
          <w:sz w:val="16"/>
          <w:szCs w:val="16"/>
        </w:rPr>
        <w:softHyphen/>
        <w:t>сованию с ОГК НКТП в сентябре проект был переработан на использование 45-мм листа, и в середине месяца матри</w:t>
      </w:r>
      <w:r w:rsidRPr="001E2C69">
        <w:rPr>
          <w:rFonts w:ascii="Times New Roman" w:hAnsi="Times New Roman"/>
          <w:color w:val="000000" w:themeColor="text1"/>
          <w:sz w:val="16"/>
          <w:szCs w:val="16"/>
        </w:rPr>
        <w:softHyphen/>
        <w:t>ца и пуансон для выпуска первой башни бьши готовы. 19 сентября из бронелиста средней твердости были отштампо</w:t>
      </w:r>
      <w:r w:rsidRPr="001E2C69">
        <w:rPr>
          <w:rFonts w:ascii="Times New Roman" w:hAnsi="Times New Roman"/>
          <w:color w:val="000000" w:themeColor="text1"/>
          <w:sz w:val="16"/>
          <w:szCs w:val="16"/>
        </w:rPr>
        <w:softHyphen/>
        <w:t>ваны первые три башенных купола, прозванные заводчана-ми «формочками». Эксперимент показал, что, вопреки вы</w:t>
      </w:r>
      <w:r w:rsidRPr="001E2C69">
        <w:rPr>
          <w:rFonts w:ascii="Times New Roman" w:hAnsi="Times New Roman"/>
          <w:color w:val="000000" w:themeColor="text1"/>
          <w:sz w:val="16"/>
          <w:szCs w:val="16"/>
        </w:rPr>
        <w:softHyphen/>
        <w:t>сказываниям скептиков, купола получились целыми, без разрывов и трещин. Термообработка не привела к значи</w:t>
      </w:r>
      <w:r w:rsidRPr="001E2C69">
        <w:rPr>
          <w:rFonts w:ascii="Times New Roman" w:hAnsi="Times New Roman"/>
          <w:color w:val="000000" w:themeColor="text1"/>
          <w:sz w:val="16"/>
          <w:szCs w:val="16"/>
        </w:rPr>
        <w:softHyphen/>
        <w:t>тельным деформациям, а главное — снарядостойкость штампованного купола оказалась куда лучшей, чем таковая у самой лучшей литой башни, несмотря на меньшую тол</w:t>
      </w:r>
      <w:r w:rsidRPr="001E2C69">
        <w:rPr>
          <w:rFonts w:ascii="Times New Roman" w:hAnsi="Times New Roman"/>
          <w:color w:val="000000" w:themeColor="text1"/>
          <w:sz w:val="16"/>
          <w:szCs w:val="16"/>
        </w:rPr>
        <w:softHyphen/>
        <w:t>щину стенок. Стоимость новой башни оказалась на 5000 рублей выше, чем У литой, но производительность труда при штамповке была высочайшей. Механизмы для танка УЗТМ получал первоначально от УТЗ им. Сталина, позднее — от ЧКЗ. Первые 5 танков Т-34 УЗТМ сдал заказчику в сентябре 1942 г., до конца 1942 г. это количество составило 266 машин, из них со штампованной башней — 106. ЧКЗ, производивший прежде тяжелые танки КВ, на</w:t>
      </w:r>
      <w:r w:rsidRPr="001E2C69">
        <w:rPr>
          <w:rFonts w:ascii="Times New Roman" w:hAnsi="Times New Roman"/>
          <w:color w:val="000000" w:themeColor="text1"/>
          <w:sz w:val="16"/>
          <w:szCs w:val="16"/>
        </w:rPr>
        <w:softHyphen/>
        <w:t>ходился в более выгодном положении в плане выпуска Т-34 перед другими, ведь распоряжением наркома НКТП В. Малышева завод прорабатывал вопрос об освоении вы</w:t>
      </w:r>
      <w:r w:rsidRPr="001E2C69">
        <w:rPr>
          <w:rFonts w:ascii="Times New Roman" w:hAnsi="Times New Roman"/>
          <w:color w:val="000000" w:themeColor="text1"/>
          <w:sz w:val="16"/>
          <w:szCs w:val="16"/>
        </w:rPr>
        <w:softHyphen/>
        <w:t>пуска Т-34 еще осенью 1941 г. Но тогда время челябинских «тридцатьчетверок» еще не настало (10782).</w:t>
      </w:r>
    </w:p>
    <w:p w14:paraId="036BC5E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C21F7A" w14:textId="77777777" w:rsidR="0016638B" w:rsidRPr="001E2C69" w:rsidRDefault="0016638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Ближе к середине июля 1941 года Н.А. Астров, автор Т-40, и военный представитель завода №37 В.П. Окунев направили своё предложение лично Сталину. Тот инициативу рассмотрел, после чего дал команду изучить предложение наркому среднего машиностроения В.А. Малышеву (21348).</w:t>
      </w:r>
    </w:p>
    <w:p w14:paraId="523E47C9" w14:textId="77777777" w:rsidR="0016638B" w:rsidRPr="001E2C69" w:rsidRDefault="0016638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A54DA43" w14:textId="77777777" w:rsidR="0016638B" w:rsidRPr="001E2C69" w:rsidRDefault="001663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середине июля 1942 оба проекта САУ оказались на рассмотрении Артиллерийского Комитета ГАУ КА. В случае с ЗИК-10 финал истории был очевиден: решением №541500 Арткома ГАУ от 20 июля 1942 года, проект ЗИК-10 отклонили как не представляющий интереса. С завидным упрямством артиллеристы торпедировали У-11, именно это орудие являлось истинной причиной, почему ЗИС-10 забраковали. По поводу проекта ЗИК-11 прозвучала фраза о том, что он не доработан, но на самом деле всё прозаичнее. Дело в том, что еще раньше завода №8 свои проекты представило КБ завода №592. Речь идет о СГ-122М и СГ-122У. И если СГ-122У проучилась явно "топорной" (а что можно ожидать, если ГАУ требует не трогать У-11, в итоге ее воткнули прямо в танковой установке), то СГ-122М выглядела крайне перспективно. По большому счету СГ-122М и победила бы в необъявленном конкурсе, вот только имелась маленькая проблема. Завод №592 шасси Т-34 не был обеспечен, так что проект так и завис в виде бумаги. То же самое случилось и с парой ЗИК-10/ЗИК-11. В августе оба проекта доработали, но они так и зависли.</w:t>
      </w:r>
    </w:p>
    <w:p w14:paraId="644619EC" w14:textId="77777777" w:rsidR="0016638B" w:rsidRPr="001E2C69" w:rsidRDefault="001663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недавнего времени ЗИК-10 и ЗИК-11 так и пылились в архивах, ибо УЗТМ за "свои" их не считал. Но вот ведь в чем загвоздка: ЗИК-11 стала важным звеном в истории создания СУ-122. 28 июля 1942 года вышло постановление ГКО №2120 "Об организации производства танков Т-34 на Уралмашзаводе и заводе №37 Наркомтанкопрома", в результате чего к концу сентября того же года УЗТМ стал производителем шасси для средних САУ. Спустя несколько недель, 19 октября 1942 года, вышло постановление ГКО №2429сс "О производстве опытных образцов артиллерийских самоходных установок". Так вот, на УЗТМ, по настоянию Котина, была создана специальная конструкторская группа во главе с Л.И. Горлицким. На следующий день в Свердловске прошло совещание с участием Котина, и там рассмотрели проект ЗИК-11, предоставленный заводом №8. Он и послужил базой для создания У-35. Правда, про это отчет УЗТМ за годы войны молчит, но факт остается фактом. По поводу того, что КБ завода №8 передало УЗТМ проект ЗИК-11, очень сильно расстроились в НКВ. Вот только без проекта Петрова и Безусова, а также направляющего пинка сверху со стороны Котина, не случилось бы СУ-122. А артиллеристы еще долго бы мусолили тему самоходов. Кирпич за торпедирование У-11 они, кстати говоря, таки получили. Когда в январе 1943 года выяснилось, что внутри серийной СУ-35 тесно, причем во многом из-за гаубицы М-30, тема У-11 вновь появилась. А позже У-11 превратилась в 85-мм орудие Д-5, родоначальницы большого семейства танковых и самоходных артиллерийских систем (20931).</w:t>
      </w:r>
    </w:p>
    <w:p w14:paraId="705D6DEA" w14:textId="77777777" w:rsidR="0016638B" w:rsidRPr="001E2C69" w:rsidRDefault="0016638B" w:rsidP="00722885">
      <w:pPr>
        <w:spacing w:after="0" w:line="240" w:lineRule="auto"/>
        <w:jc w:val="both"/>
        <w:rPr>
          <w:rFonts w:ascii="Times New Roman" w:hAnsi="Times New Roman"/>
          <w:color w:val="000000" w:themeColor="text1"/>
          <w:sz w:val="16"/>
          <w:szCs w:val="16"/>
        </w:rPr>
      </w:pPr>
    </w:p>
    <w:p w14:paraId="5893CA7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середине июля 1942 Г.Н.Флеров был вызван в Москву (384,106).</w:t>
      </w:r>
    </w:p>
    <w:p w14:paraId="38CC179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B2EC0F"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Армия:</w:t>
      </w:r>
    </w:p>
    <w:p w14:paraId="53169EE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DA677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середине июля 1942 вышел приказ наркома обороны, предписывающий шире использовать Ил-2 для бомбардировки и запретил боевые вылеты без полной бомбовой нагрузки (5,129). Потом вышел приказ по ВВС об использовании Ил-2 для борьбы с ДОТами (5,129).</w:t>
      </w:r>
    </w:p>
    <w:p w14:paraId="46BF595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D3C2D7" w14:textId="77777777" w:rsidR="00526171" w:rsidRPr="001E2C69" w:rsidRDefault="00526171" w:rsidP="00722885">
      <w:pPr>
        <w:pStyle w:val="af"/>
        <w:spacing w:before="0" w:after="0"/>
        <w:jc w:val="both"/>
        <w:textAlignment w:val="baseline"/>
        <w:rPr>
          <w:color w:val="000000" w:themeColor="text1"/>
          <w:sz w:val="16"/>
          <w:szCs w:val="16"/>
        </w:rPr>
      </w:pPr>
      <w:r w:rsidRPr="001E2C69">
        <w:rPr>
          <w:color w:val="000000" w:themeColor="text1"/>
          <w:sz w:val="16"/>
          <w:szCs w:val="16"/>
        </w:rPr>
        <w:t>В середине июля 1942 командование сформированной в прошлом месяце 8-й воздушной армии спланировало первый серьезный удар по немецкому аэродрому. Самолеты-разведчики установили, что в недавно захваченном немцами Миллерово «скопилось» до 150 транспортных самолетов Ju-52. В штабе армии долго ломали голову над тем, для чего противнику столько транспортников на передовом аэродроме. В итоге решили, что они доставляют наступающим войскам оружие и боеприпасы.</w:t>
      </w:r>
    </w:p>
    <w:p w14:paraId="17E67039" w14:textId="67AC3D8C" w:rsidR="00526171" w:rsidRPr="001E2C69" w:rsidRDefault="00526171" w:rsidP="00722885">
      <w:pPr>
        <w:pStyle w:val="af"/>
        <w:spacing w:before="0" w:after="0"/>
        <w:jc w:val="both"/>
        <w:textAlignment w:val="baseline"/>
        <w:rPr>
          <w:color w:val="000000" w:themeColor="text1"/>
          <w:sz w:val="16"/>
          <w:szCs w:val="16"/>
        </w:rPr>
      </w:pPr>
      <w:r w:rsidRPr="001E2C69">
        <w:rPr>
          <w:color w:val="000000" w:themeColor="text1"/>
          <w:sz w:val="16"/>
          <w:szCs w:val="16"/>
        </w:rPr>
        <w:t>Для удара решено было использовать Ил-2 из 206-й шад полковника В.</w:t>
      </w:r>
      <w:r w:rsidR="001E2C69">
        <w:rPr>
          <w:color w:val="000000" w:themeColor="text1"/>
          <w:sz w:val="16"/>
          <w:szCs w:val="16"/>
        </w:rPr>
        <w:t xml:space="preserve">   </w:t>
      </w:r>
      <w:r w:rsidRPr="001E2C69">
        <w:rPr>
          <w:color w:val="000000" w:themeColor="text1"/>
          <w:sz w:val="16"/>
          <w:szCs w:val="16"/>
        </w:rPr>
        <w:t>А.</w:t>
      </w:r>
      <w:r w:rsidR="001E2C69">
        <w:rPr>
          <w:color w:val="000000" w:themeColor="text1"/>
          <w:sz w:val="16"/>
          <w:szCs w:val="16"/>
        </w:rPr>
        <w:t xml:space="preserve">   </w:t>
      </w:r>
      <w:r w:rsidRPr="001E2C69">
        <w:rPr>
          <w:color w:val="000000" w:themeColor="text1"/>
          <w:sz w:val="16"/>
          <w:szCs w:val="16"/>
        </w:rPr>
        <w:t>Срывкина и 228-й шад полковника В.</w:t>
      </w:r>
      <w:r w:rsidR="001E2C69">
        <w:rPr>
          <w:color w:val="000000" w:themeColor="text1"/>
          <w:sz w:val="16"/>
          <w:szCs w:val="16"/>
        </w:rPr>
        <w:t xml:space="preserve">   </w:t>
      </w:r>
      <w:r w:rsidRPr="001E2C69">
        <w:rPr>
          <w:color w:val="000000" w:themeColor="text1"/>
          <w:sz w:val="16"/>
          <w:szCs w:val="16"/>
        </w:rPr>
        <w:t>В.</w:t>
      </w:r>
      <w:r w:rsidR="001E2C69">
        <w:rPr>
          <w:color w:val="000000" w:themeColor="text1"/>
          <w:sz w:val="16"/>
          <w:szCs w:val="16"/>
        </w:rPr>
        <w:t xml:space="preserve">   </w:t>
      </w:r>
      <w:r w:rsidRPr="001E2C69">
        <w:rPr>
          <w:color w:val="000000" w:themeColor="text1"/>
          <w:sz w:val="16"/>
          <w:szCs w:val="16"/>
        </w:rPr>
        <w:t>Степичева. Поддержать их должны были бомбардировщики Пе-2 из 150-го сбап подполковника И.</w:t>
      </w:r>
      <w:r w:rsidR="001E2C69">
        <w:rPr>
          <w:color w:val="000000" w:themeColor="text1"/>
          <w:sz w:val="16"/>
          <w:szCs w:val="16"/>
        </w:rPr>
        <w:t xml:space="preserve">   </w:t>
      </w:r>
      <w:r w:rsidRPr="001E2C69">
        <w:rPr>
          <w:color w:val="000000" w:themeColor="text1"/>
          <w:sz w:val="16"/>
          <w:szCs w:val="16"/>
        </w:rPr>
        <w:t>С.</w:t>
      </w:r>
      <w:r w:rsidR="001E2C69">
        <w:rPr>
          <w:color w:val="000000" w:themeColor="text1"/>
          <w:sz w:val="16"/>
          <w:szCs w:val="16"/>
        </w:rPr>
        <w:t xml:space="preserve">   </w:t>
      </w:r>
      <w:r w:rsidRPr="001E2C69">
        <w:rPr>
          <w:color w:val="000000" w:themeColor="text1"/>
          <w:sz w:val="16"/>
          <w:szCs w:val="16"/>
        </w:rPr>
        <w:t>Полбина, а прикрыть — истребители Як-1 из 434-го отдельного истребительного полка майора И.</w:t>
      </w:r>
      <w:r w:rsidR="001E2C69">
        <w:rPr>
          <w:color w:val="000000" w:themeColor="text1"/>
          <w:sz w:val="16"/>
          <w:szCs w:val="16"/>
        </w:rPr>
        <w:t xml:space="preserve">   </w:t>
      </w:r>
      <w:r w:rsidRPr="001E2C69">
        <w:rPr>
          <w:color w:val="000000" w:themeColor="text1"/>
          <w:sz w:val="16"/>
          <w:szCs w:val="16"/>
        </w:rPr>
        <w:t>И.</w:t>
      </w:r>
      <w:r w:rsidR="001E2C69">
        <w:rPr>
          <w:color w:val="000000" w:themeColor="text1"/>
          <w:sz w:val="16"/>
          <w:szCs w:val="16"/>
        </w:rPr>
        <w:t xml:space="preserve">   </w:t>
      </w:r>
      <w:r w:rsidRPr="001E2C69">
        <w:rPr>
          <w:color w:val="000000" w:themeColor="text1"/>
          <w:sz w:val="16"/>
          <w:szCs w:val="16"/>
        </w:rPr>
        <w:t>Клещева. Последние два полка входили в так называемую «1-ю особую авиагруппу при командовании ВВС», которой командовал лично сын вождя — 21-летний полковник Василий Сталин. Эта группа была попыткой создать элитное соединение, способное на равных сражаться с люфтваффе. Полки комплектовались только пилотами и экипажами, имевшими боевой опыт и уже отличившимися в боях (19522).</w:t>
      </w:r>
    </w:p>
    <w:p w14:paraId="7E6C046F" w14:textId="77777777" w:rsidR="00526171" w:rsidRPr="001E2C69" w:rsidRDefault="00526171" w:rsidP="00722885">
      <w:pPr>
        <w:pStyle w:val="af"/>
        <w:spacing w:before="0" w:after="0"/>
        <w:jc w:val="both"/>
        <w:textAlignment w:val="baseline"/>
        <w:rPr>
          <w:color w:val="000000" w:themeColor="text1"/>
          <w:sz w:val="16"/>
          <w:szCs w:val="16"/>
        </w:rPr>
      </w:pPr>
    </w:p>
    <w:p w14:paraId="10F30C57"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Авиапромышленность:</w:t>
      </w:r>
    </w:p>
    <w:p w14:paraId="572D1C6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A6869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 7 июля 1942 потерпели аварии новенькие бомбардировщики Ту-2. Недостатки тормозной системь неоднократно приводили к неуправляемому развороту на посадке. Экипажи (летчиков Котякова и Бакина) не пострадали. Например, у майора В.Д. Бакина машину № 100303 вывернуло вправо, что привело к поломке стойки шасси. Бывали случаи, когда бомбардировщик делал на поле до двух кругов и оставался цел. Но чаще ломали шасси, винты, законцовки крыла, мяли мотогондолы. Самолет летчика Полевого после посадки с разворотом вспыхнул; экипаж успел выбраться и убежать.</w:t>
      </w:r>
    </w:p>
    <w:p w14:paraId="2786F28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Дефекты серийных Ту-2 вызвали распоряжение командования ВВС прекратить приемку бомбардировщиков. НКАП направил на завод авторитетную комиссию во главе с известным авиаконструктором Н.Н. Поликарповым. Члены комиссии согласились с заводскими испытателями в том, что причиной разворотов на посадке является несинхронная работа тормозов правого и левого колес. Предложено было заменить тормозную гидросистему, скопированную туполевцами по настоянию ВВС с немецкого бомбардиров- . щика Ju 88, на более надежную, применявшуюся на самолетах фирмы "Дуглас". В качестве же временного решения попробовали на пробеге стопорить хвостовое колесо. На Ту-2 имелся автоматический стопор, который должен был фиксировать стойку хвостового колеса при резких ее разворотах, но срабатывал он далеко не всегда. С 20 июля заводские испытатели стали садиться с включенным механическим стопором хвостового колеса. Управляемость машины на пробеге значительно улучшилась.</w:t>
      </w:r>
    </w:p>
    <w:p w14:paraId="7F13EA0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Еще одной серьезной проблемой являлись двигатели. Моторы М-82, хотя и выпускались серийно, еще оставались достаточно "сырыми". На высоте более 6000 м они недодавали мощность, страдали значительными вибрациями и расходовали много масла. Хотя за это отвечал их конструктор А.Д. Швецов и завод № 19, дефекты мотоустановки сильно сказывались на летных и эксплуатационных характеристиках Ту-2.</w:t>
      </w:r>
    </w:p>
    <w:p w14:paraId="3A051FF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Кроме того, комиссия подвергла критике чрезмерный вес серийных машин. Весовая отдача у них при нормальной бомбовой нагрузке не превышала 27,5%, в то время как у других самолетов такого же класса она составляла около 30%. Это была плата за возможность бомбить с крутого пикирования.</w:t>
      </w:r>
    </w:p>
    <w:p w14:paraId="71A7833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 в целом Поликарпов и его коллеги поддержали Туполева. В Москву отправили документ, в котором, в частности, говорилось: "... самолет Ту-2 по своим летно-тактическим данным превосходит современные советские и заграничные бомбардировщики". Комиссия сочла, что при устранении основных дефектов самолет сможет успешно выполнять боевые задачи.</w:t>
      </w:r>
    </w:p>
    <w:p w14:paraId="4261E24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Приемка бомбардировщиков возобновилась. Реагируя на требования военных, завод вносил изменения в строящиеся бомбардировщики. С 5-й серии (июль - август 1942 г.) внедрили тормоза типа "Дуглас", окончательно снявшие проблемы с неуправляемым разворотом на посадке. Одновременно изменили управление пуском реактивных снарядов. Ранее стрельба РС-82 велась с помощью бомбосбрасывателя ЭСБР-6, переключавшегося на другой режим. Бомбы при этом сбрасывать было нельзя. С 5-й серии пуск ракет осуществлялся независимым устройством.</w:t>
      </w:r>
    </w:p>
    <w:p w14:paraId="4033474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Часть бомбардировщиков перевооружили. Во всяком случае, на фронт попали омские самолеты либо с двумя, либо с тремя 12,7-мм пулеметами УБТ. Поскольку на установке ТСС-1 этот пулемет не мог быть смонтирован, то, по-видимому, вариант с двумя УБТ предусматривал один пулемет на несколько доработанной установке БУШ у штурмана и второй - на люковой ЛУ-УБТ. При этом на ТСС-1 оставался ШКАС. Вообще Туполев рассматривал несколько возможных вариантов перевооружения Ту-2, в том числе один - с установкой четырех пусковых балок для РС-82 на фюзеляже для стрельбы назад.</w:t>
      </w:r>
    </w:p>
    <w:p w14:paraId="0A41C46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Занятие немцами значительной части территории СССР привело к сокращению производства алюминия в стране. Потребности же в нем резко возросли. Алюминий в листах и чушках везли из США и Канады, но его все равно не хватало. Всем самолетостроительным конструкторским бюро было предложено поискать возможности применения узлов из дерева. Это сократило бы расход дефицитного алюминия и дало возможность привлечь к постройке самолетов деревообрабатывающие предприятия. В конце июля 1942 г. конструкторы разработали для Ту-2 изготавливаемые из дерева и фанеры узлы носовой и хвостовой частей фюзеляжа, створок бомболюков, стабилизатора, килевых шайб, мотогондол, законцо- вок крыла. Реально в производство внедрили носовую часть фюзеляжа (до 3-го шпангоута) и хвостовой кок. Они обшивались фанерой (11988).</w:t>
      </w:r>
    </w:p>
    <w:p w14:paraId="1817C4C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E51D0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закончились заводские испытания Як-7ДИ, которые проходили с 26 июня 1942 и летал П.Я.Федрови сделав 13 полетов продолжительностью 10:20. Ви был Н.К.Скржинский, т - Ф.З.Сбитнев. Выполнили 15 полетов продолжительностью 13:15. На гос. испытания не передавали и работы прекратили и по указанию А.С.Я. он был переведен в цех для модификации в Як-7ДИ (65,105).</w:t>
      </w:r>
    </w:p>
    <w:p w14:paraId="0A9840E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FDEAAF"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16 июля в 1942 году завершились (с 26 июня) заводские испытания истребителя </w:t>
      </w:r>
      <w:hyperlink r:id="rId147" w:tgtFrame="_blank" w:history="1">
        <w:r w:rsidRPr="001E2C69">
          <w:rPr>
            <w:rFonts w:ascii="Times New Roman" w:hAnsi="Times New Roman"/>
            <w:color w:val="000000" w:themeColor="text1"/>
            <w:sz w:val="16"/>
            <w:szCs w:val="16"/>
          </w:rPr>
          <w:t xml:space="preserve">«Як-7ДИ». </w:t>
        </w:r>
      </w:hyperlink>
      <w:r w:rsidRPr="001E2C69">
        <w:rPr>
          <w:rFonts w:ascii="Times New Roman" w:hAnsi="Times New Roman"/>
          <w:color w:val="000000" w:themeColor="text1"/>
          <w:sz w:val="16"/>
          <w:szCs w:val="16"/>
        </w:rPr>
        <w:t>Было выполнено 13 полетов общей продолжительностью 10 ч 20 мин. 18 июля (по 5 августа) 1942 года начались государственные испытания (60 полетов, 40 ч 15 мин) (14954).</w:t>
      </w:r>
    </w:p>
    <w:p w14:paraId="6120E11D" w14:textId="77777777" w:rsidR="00056917" w:rsidRPr="001E2C69" w:rsidRDefault="00056917" w:rsidP="00722885">
      <w:pPr>
        <w:spacing w:after="0" w:line="240" w:lineRule="auto"/>
        <w:jc w:val="both"/>
        <w:rPr>
          <w:rFonts w:ascii="Times New Roman" w:hAnsi="Times New Roman"/>
          <w:color w:val="000000" w:themeColor="text1"/>
          <w:sz w:val="16"/>
          <w:szCs w:val="16"/>
        </w:rPr>
      </w:pPr>
    </w:p>
    <w:p w14:paraId="4568EF7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вышел приказ N 448сс НКАП во исполнение Постановления ГОКО N 1903сс от 9 июня 1942 о выпуске малой серии БИ. Сначала приказ проименовал несколько заводов, а более поздний - сосредоточил почти все работы на 381 в Нижнем Тагиле (1632,265).</w:t>
      </w:r>
    </w:p>
    <w:p w14:paraId="65B6E76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D8C92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Нач. 11 ГУ И.В.Куликов подготовил для Зам. НКАП П.В.Дементьева Справку № 389 в сопровождении на подпись проекта приказа по вопросу изготовления учебных планеров (N 543с от 20 июля) для парашютной подготовки А-7 (7 местный) и Г-11 (11 местный). Планеры были заказаны ВС ВДВ КА 23 июня 1942... (2503,10).</w:t>
      </w:r>
    </w:p>
    <w:p w14:paraId="7BA938A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F0337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вышел приказ НКАП № 531с:</w:t>
      </w:r>
    </w:p>
    <w:p w14:paraId="0AF253C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исполнение распоряжения СНК от 5 июля 1942 № 12441-рс:</w:t>
      </w:r>
    </w:p>
    <w:p w14:paraId="0D8528C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Объединить в г. Саратове з-ды 167 и 449, изготавливающие деревянные винты и деревянные лопасти к металлическим винтам в один з-д, присвоив ему номер № 167</w:t>
      </w:r>
    </w:p>
    <w:p w14:paraId="487A1D3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З-д № 167 подчинить 14 ГУ</w:t>
      </w:r>
    </w:p>
    <w:p w14:paraId="0FBF359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Шахурин (1569, 3).</w:t>
      </w:r>
    </w:p>
    <w:p w14:paraId="3578030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18F23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вышел приказ НКАП № 533с:</w:t>
      </w:r>
    </w:p>
    <w:p w14:paraId="50111D8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соответствии с постановлением ГОКО № 1868сс от 3 июня 1942:</w:t>
      </w:r>
    </w:p>
    <w:p w14:paraId="3BA7371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Организованному на базе ф-ла з-да 145 з-ду присвоить № 455 и впредь именовать ГСЗ № 455.</w:t>
      </w:r>
    </w:p>
    <w:p w14:paraId="18FA104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Подчинить з-д 455 2 ГУ</w:t>
      </w:r>
    </w:p>
    <w:p w14:paraId="4C503FB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Шахурин (1569, 26-27).</w:t>
      </w:r>
    </w:p>
    <w:p w14:paraId="3DA98FA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F98FC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16 июля 1942 г. приказом НКАП № 533с в соответствии с постановлением ГОКО № 1868сс от 03.07.1942 г. заводу-дублеру № 145 присвоено наименование ГС завод № 455 в системе 2ГУ НКАП. </w:t>
      </w:r>
    </w:p>
    <w:p w14:paraId="7D0E8EE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1944 г. на завод передано производство агрегатов вооружения с завода № 487 в связи с изменением его профиля.</w:t>
      </w:r>
    </w:p>
    <w:p w14:paraId="328D0F2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1943-46 г. на заводе действовало ОКБ-455 НКАП гл. конструктора И.И. Картукова. </w:t>
      </w:r>
    </w:p>
    <w:p w14:paraId="688C3AD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имел экспериментально-испытательную станцию с лабораторией и мастерскими в Кузьминках Ухтомского района. В 1946 г. она передана заводу № 81.</w:t>
      </w:r>
    </w:p>
    <w:p w14:paraId="66BA2FD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1946 г. началась реконструкция завода для расширения производства установок авиационного вооружения.</w:t>
      </w:r>
    </w:p>
    <w:p w14:paraId="0FCAD80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По приказу № 283ссоп от 25.04.1955 г. завод № 455 с 1.04.1955 г. передан из 2ГУ в 6ГУ. Началось освоение производства УРВВ, а позднее- и УРВП. </w:t>
      </w:r>
    </w:p>
    <w:p w14:paraId="73CE347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Велись работы по ракете Р-6 (К-53) с ТГСН; планировалось (но не было осуществлено) производство К-33; работы по К-5В (1960 г.). </w:t>
      </w:r>
    </w:p>
    <w:p w14:paraId="48C0CF9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1973 г. КМЗ имел наименование «предприятие- п/я В-2704». До начала 1990-х г. действовало НПО «Стрела», в состав которого входили КМЗ, КБ «Звезда», Бендерский машиностроительный завод (возможно, это завод «Прибор») и Костромской механический завод. Затем НПО распалось.</w:t>
      </w:r>
    </w:p>
    <w:p w14:paraId="27E7C90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начале 1995 г. произошло обьединение ОКБ "Звезда" и Калининградского машиностроительного завода "Стрела" в ГНПЦ (Государственный научно-производственный центр) "Звезда-Стрела". </w:t>
      </w:r>
    </w:p>
    <w:p w14:paraId="0217620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Головное предприятие по разработке и производству авиационных, морских и сухопутных тактических КР (2002 г.).</w:t>
      </w:r>
    </w:p>
    <w:p w14:paraId="5618ED5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(2002 г.)- 2500 чел.</w:t>
      </w:r>
    </w:p>
    <w:p w14:paraId="1555853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(1942 г.-)- Н.К. Сорокин, (-05.1943-03.1946 г.-)- Горбунов, (конец 1946 г.-)- М.П. Аржаков (одновременно был руководителем строительства завода), (-1995 г.)- С.П. Яковлев.</w:t>
      </w:r>
    </w:p>
    <w:p w14:paraId="0CE537D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Гл. конструктор (2002 г.)- Ю.Д. Новиков. </w:t>
      </w:r>
    </w:p>
    <w:p w14:paraId="509C4CA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Научный директор (2002 г.)- Ю.Д. Новиков. Технический директор (2002 г.)- И.Д. Тесля.</w:t>
      </w:r>
    </w:p>
    <w:p w14:paraId="1734C3A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(1946 г.-)- М.И. Муромцев.</w:t>
      </w:r>
    </w:p>
    <w:p w14:paraId="5E42F7F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Работали: Горбунов, (начало 1950-х)- Кузьмин. </w:t>
      </w:r>
    </w:p>
    <w:p w14:paraId="4A2ED8A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Гл. конструктора (1974 г.)- В.Г. Кореньков.</w:t>
      </w:r>
    </w:p>
    <w:p w14:paraId="023B55E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ВАП-6М, ВАП-500 (1942-), ВАП-100, ВАП-250 (ВОВ); УРВВ: изд. "М" (РС-1-У) (1956-57), "И" (РС-2У) (1957-59), "ИС" (РС-2-УС) (1959-), "24" (Р-8М) (1959-), К-13, Р-98, К-55, К-40 (-1991), К-80 (Р-4); УРВП: Х-66, Х-23, Х-27, Х-25, Х-25М, Х-31, Х-35; ЗУР: 3М9; гладильные машины «Калинка».</w:t>
      </w:r>
    </w:p>
    <w:p w14:paraId="395BCF8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ГС Завод № 455 НКАП, МАП, Костинский машиностроительный завод (КМЗ), Калининградский машиностроительный завод (КМЗ), НПО «Стрела», В-2704, КПКО «Стрела» </w:t>
      </w:r>
    </w:p>
    <w:p w14:paraId="1234EF2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Костино Московской обл. ст. Болшево</w:t>
      </w:r>
    </w:p>
    <w:p w14:paraId="13C82AE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141070 г. Королев Московской обл. ул. Ильича, 7</w:t>
      </w:r>
    </w:p>
    <w:p w14:paraId="0122911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ОКБ завода № 455, ОКБ-455 НКАП гл. конструктора И.И. Картукова</w:t>
      </w:r>
    </w:p>
    <w:p w14:paraId="26243F6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Костино Московской обл.</w:t>
      </w:r>
    </w:p>
    <w:p w14:paraId="57A0059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ОКБ-145 НКАП И.И. Картукова в соответствии с приказом НКАП № 272с от 6.05.1943 г. возвращается из эвакуации на новое место в г. Костино на завод № 455 НКАП с образованием ОКБ-455 НКАП. Здесь продолжены работы по химическим боеприпасам. Создан химический разовый прибор ХАРП-500-300А для ВМФ. С 1946 г.- работы по пиропатронам для катапультных кресел летчиков по типу Не-162 и Не-219.</w:t>
      </w:r>
    </w:p>
    <w:p w14:paraId="310259C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По приказу № 148с от 22.03.1946 г. ОКБ-455 МАП гл. конструктора И.И. Картукова в полном составе переведено на вновь образованный Завод № 81 МАП. </w:t>
      </w:r>
    </w:p>
    <w:p w14:paraId="423B6EE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СКБ завода № 455, ОКБ-455 МАП, ОКБ "Звезда", А-3497</w:t>
      </w:r>
    </w:p>
    <w:p w14:paraId="7D1A698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141070 г. Королев Московской обл., ул. Ильича, 7 тел. 519-55-01</w:t>
      </w:r>
    </w:p>
    <w:p w14:paraId="7950846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СКБ образовано на заводе № 455 в 1956 г. для освоения производства РС-1-У (изд."М"). На базе К-5 и К-8 создана Х-66, на базе РС-2-УС – К-55.</w:t>
      </w:r>
    </w:p>
    <w:p w14:paraId="20F3CA7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С 1966 г.- ОКБ-455 МАП. Головное предприятие по разработке тактических УРВП.</w:t>
      </w:r>
    </w:p>
    <w:p w14:paraId="43AB24D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начале 1995 г. произошло обьединение ОКБ "Звезда" и Калининградского машиностроительного завода "Стрела" в ГНПЦ "Звезда-Стрела". </w:t>
      </w:r>
    </w:p>
    <w:p w14:paraId="17B18F1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(1956-59 г.-)- М.Е. Едидович, Н.Т. Пикот.</w:t>
      </w:r>
    </w:p>
    <w:p w14:paraId="11CA712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 (1966-73 г.)- Ю.Н. Королев, (1974-83 г.)- В.Н. Бугайский, (1983-86 г.)- В.Г. Голушко, (25.11.1986-94 г.)- Г.И. Хохлов (до этого- гл. конструктор УРВП в МКБ «Вымпел»), (1994-99 г.-)- Ю.Д. Новиков.</w:t>
      </w:r>
    </w:p>
    <w:p w14:paraId="1E63567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гл. конструктора (1970-е)- В.Г. Кореньков (далее работал в НИИАС), (-1994 г.)- Ю.Д. Новиков.</w:t>
      </w:r>
    </w:p>
    <w:p w14:paraId="63F995C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конструкторы (1956 г.-)- М.Е. Едидович (изд. «М»), С.П. Яковлев (Х-35).</w:t>
      </w:r>
    </w:p>
    <w:p w14:paraId="78F4F9F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Создано: УРВП: К-5 (РС-1У), Х-66 (пнв в 1968 г.), Х-23 (пнв в 1973 г.), -М, -Л, Х-27ПС (1974 г.), Х-25 (1976 г.), -Р, -МР, -Л, -МЛ, -МЛП, -П, -МП, -ПС, -МТ, -МТЛ, -МПУ, Х-31А (пнв в 1989 г.), -П (пнв в 1988 г.), Х-35 (пнв в 1987 г.), Х-35У (1983 г.), Х-36; ККР: «Уран» 3М24 (пнв в 1987 г.)58; высотная мишень ИЦ-59В (1960-е).</w:t>
      </w:r>
    </w:p>
    <w:p w14:paraId="69267BC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Государственный Научно-производственный центр (ГНПЦ) "Звезда-Стрела"</w:t>
      </w:r>
    </w:p>
    <w:p w14:paraId="046775A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141070 г. Калининград, г. Королев Московской обл. ул. Ильича, 7 тел. 519-20-02</w:t>
      </w:r>
    </w:p>
    <w:p w14:paraId="10198B3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Создано в начале 1995 г. обьединеним ОКБ "Звезда" и Калининградского машиностроительного завода "Стрела". В 02.1998 г. в ГНПЦ вошло ОКБ ДУ «Пламя».</w:t>
      </w:r>
    </w:p>
    <w:p w14:paraId="3EFFA1D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Гендиректор (1995-2002 г.-)- С.П. Яковлев.</w:t>
      </w:r>
    </w:p>
    <w:p w14:paraId="6FF17B0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Ген. Конструктор (2002 г.)- С.П. Яковлев.</w:t>
      </w:r>
    </w:p>
    <w:p w14:paraId="1E0A341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ОАО «Корпорация «Тактическое ракетное вооружение» (ТРВ) РАКА</w:t>
      </w:r>
    </w:p>
    <w:p w14:paraId="087CD07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141070 г. Королев Московской обл. ул. Ильича, 7 тел. 542-57-09 www.ktrv.ru</w:t>
      </w:r>
    </w:p>
    <w:p w14:paraId="3755251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Создана 24.01.2002 г. на базе головного предприятия «Звезда-Стрела». Кроме него, в корпорацию вошли еше 5 предприятий, в т.ч. ГНПП «Регион». В соответствии с Указом Президента № 591 от 9.05.2004 г. и распоряжением правительства № 396 от 20.07.2004 г. определено дальнейшее развитие Корпорации, в составе которой стало 14 предприятий, в т.ч. ГосМКБ «Радуга», ГосМКБ «Вымпел», КБМ, завод «Красный гидропресс». По решению правительства № 22-р от 9.01.2004 г. и Указу Президента РФ № 1009 от 4.08.2004 г. вошло в число стратегических оборонных предприятий.</w:t>
      </w:r>
    </w:p>
    <w:p w14:paraId="587DADD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Разработка, производство, поставка и модернизация комплексов УР.</w:t>
      </w:r>
    </w:p>
    <w:p w14:paraId="6883D97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Гендиректор (2003-05 г.-)- Б.В. Обносов.</w:t>
      </w:r>
    </w:p>
    <w:p w14:paraId="25399BF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Председатель совета директоров (2005 г.)- С. Приходько (10776).</w:t>
      </w:r>
    </w:p>
    <w:p w14:paraId="2E2048D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9817B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г. во исполнение приказа №533 вновь организованному заводу-дублеру № 145 присвоен литерный номер и наименование Государственный Союзный завод №455 с подчинением 2ГУ НКАП. В годы ВОВ шло производство агрегатов авиавооружения: ВАП-100, ВАП-250. Директор завода - Горбунов (1943-46 гг.).</w:t>
      </w:r>
    </w:p>
    <w:p w14:paraId="10D34BC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Разработка выливных приборов типа ВАП шла на заводском ОКБ гл.к. И.И.Картукова. Коллектив работал здесь с 1943 г., когда ОКБ-145 И.И.Картукова переведено из эвакуации в г.Костино (с образованием ОКБ-455). Продолжены работы по химическим боеприпасам, создан разовый прибор ХАРП-500-300А для НКВМФ. С 1946 г. начались работы по пиропатронам для выбрасываемых кресел летчиков. В .3.1946 г. вновь образуется новый завод №81 МАП в г.Москве, куда было переведено ОКБ гл.к. И.И.Картукова. </w:t>
      </w:r>
    </w:p>
    <w:p w14:paraId="150F123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С к. 1946 г. директором и руководителем строительства завода №455 назначен М.П.Аржаков. Началось расширение работ по установкам авиавооружения. </w:t>
      </w:r>
    </w:p>
    <w:p w14:paraId="7E3BC58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С 1.4.55 г. завод №455 передан из 2ГУ в 6ГУ (приказ №283 от 25.4.55 г.). В связи с этим в 1956 г. при заводе образовано СКБ для освоения производства ракет РС-1-У (изд."М"). На базе ракет типа К-5 и К-8 разработана ракета Х-66, а на базе РС-2УС - ракета К-55. Далее созданы Х-23, Х-27, Х-25, Х-25М, Х-31А и Х-31П, Х-35. С образованием конструкторского бюро руководителем с правами гл.к. по серии (изд."М") стал М.Е.Едидович, далее его сменил Н.Т.Пикот (начальник и гл.к.). Далее эти должности занимал Ю.Н.Королев, В.Н.Бугайский (с 1974 г. по 1983 г.). Зам. гл.к. был В.Г.Кореньков, он ввел модульность в Х-25М. С 1983 г. гл.к. стал В.Г.Голушко (по 1986 г.), далее в 1986-94 гг. гл.к. ОКБ являлся Г.И.Хохлов, а с к. 1994 г. гл.к. стал Ю.Д.Новиков (ранее зам. гл.к.). Завод проводил работы по установкам вооружения конструкции ОКБ-134 и ОКБ-476. Осуществлял с 1956 г. производство ракет - изд."М" (РС-1-У, в 1956-57гг.), изд."И" (РС-2-У, в 1957-59гг.), изд."ИС" (РС-2-УС, с 1959 г.), изд."24" (Р-8М, с 1959 г.), К-13, Р-98, К-55, К-40 (до 1990-91гг.), К-80 (Р-4), планировалось освоить производство К-33, но работы передали на другой завод. Производство ракет Х-66, Х-23, Х-27, Х-25, Х-25М, Х-31, Х-35. Производство ЗУР 3М9. Опытные работы по ракете Р-6 (К-53) с ТГСН. </w:t>
      </w:r>
    </w:p>
    <w:p w14:paraId="56152F7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К 1976 г. предприятие превратилось в производственное объединение и стало наименоваться Калининградским объединением ”Стрела”. В состав предприятия входили Калининградский машиностроительный завод, КБ "Звезда", Бендерский машиностроительный завод и Костромской механический завод. В 1989 году из состава КПО ”Стрела” в качестве самостоятельного юридического лица было выделено ОКБ ”Звезда”. Далее из объединения вышли и др. предприятия. </w:t>
      </w:r>
    </w:p>
    <w:p w14:paraId="05CBED3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Вновь в н. 1995 г. произошло объединение Калининградского машиностроительного завода "Стрела" и ОКБ "Звезда" в ГНПЦ "Звезда-Стрела". Одновременно руководителем ГНПЦ стал бывший директор завода С.П.Яковлев, а гл.к. остался Ю.Д.Новиков. </w:t>
      </w:r>
    </w:p>
    <w:p w14:paraId="7B56F9F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соответствии с Указом Президента РФ № 84 от 24 января 2002 г. осуществлена реорганизация ФГУП ГНПЦ ”Звезда-Стрела” и преобразование его в ОАО ”Корпорация ”Тактическое ракетное вооружение”. В состав Корпорации также вошли следующие предприятия: ОАО ТМКБ ”Союз”, ОАО ”Омский завод ”Автоматика”, ОАО ”УПКБ ”Деталь”, ОАО ”МКБ ”Искра” им. И.И. Картукова”, ОАО ”Завод ”Красный гидропресс”. На втором этапе расширения Корпорации, которое начато в мае 2004 г., планируется включить в ее состав ОАО "Горизонт" (Москва), ОАО "Салют" (Самара), ОАО "Смоленский авиационный завод", а после акционирования - ГосМКБ "Вымпел", ГосМКБ "Радуга", ГНПП "Регион", КБ машиностроения (Коломна). </w:t>
      </w:r>
    </w:p>
    <w:p w14:paraId="52BF728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Выпускаемая продукция в текущее время: Х-35Э, Х-31А, Х-31П, Х-25МПУ, Х-25МЛ. </w:t>
      </w:r>
    </w:p>
    <w:p w14:paraId="1599BF7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Генеральный директор корпорации - Б.В.Обносов. </w:t>
      </w:r>
    </w:p>
    <w:p w14:paraId="4653464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Корпорация ”Тактическое ракетное вооружение”, ОАО (ОАО "КТРВ") </w:t>
      </w:r>
    </w:p>
    <w:p w14:paraId="03BC941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Ранее: завод №472, Завод №455, Костинский машиностроительный завод (КМЗ), Калининградский машиностроительный завод (НПО) "Стрела", КПКО "Стрела", "Государственный Научно-производственный центр (ГНПЦ) "Звезда-Стрела", ФГУП ГНПЦ "Звезда-Стрела" </w:t>
      </w:r>
    </w:p>
    <w:p w14:paraId="748954C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Адрес: 141075, Россия, Московская обл., Королев, ул. Ильича, д. 7, тел.: (095) 519-20-02, 511-9439, kmo@ktrv.ru, www.ktrv.ru </w:t>
      </w:r>
    </w:p>
    <w:p w14:paraId="5387034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Одно из ведущих предприятий России по разработке и производству противокорабельных, противорадиолокационных и многоцелевых унифицированных ракет тактического назначения, предназначенных для оснащения авиационных, корабельных и береговых ракетных комплексов (10777).</w:t>
      </w:r>
    </w:p>
    <w:p w14:paraId="7D95ADA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33F15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г. приказом № 533с в соответствии с пост. ГКО № 1868сс от 4.06.1942 г. заводу-дублеру завода № 145 (ГС Завод № 455 НКАП, МАП, Костинский машиностроительный завод (КМЗ), Калининградский машиностроительный завод (КМЗ), НПО «Стрела», В-2704, КПКО «Стрела» /г. Костино Московской обл. ст. Болшево/ /141070  г. Королев Московской обл. ул. Ильича, 7 тел. 519-20-02/) присвоено наименование ГС завод № 455 (ГС Завод № 455 НКАП, МАП, Костинский машиностроительный завод (КМЗ), Калининградский машиностроительный завод (КМЗ), НПО «Стрела», В-2704, КПКО «Стрела» /г. Костино Московской обл. ст. Болшево/ /141070  г. Королев Московской обл. ул. Ильича, 7 тел. 519-20-02/) в системе 2ГУ НКАП.</w:t>
      </w:r>
    </w:p>
    <w:p w14:paraId="4DBE018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1944 г. на завод передано производство агрегатов вооружения с завода № 487 в связи с изменением его профиля.</w:t>
      </w:r>
    </w:p>
    <w:p w14:paraId="0D4E569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1943-46 г. на заводе действовало ОКБ-455 НКАП гл. конструктора И.И. Картукова.</w:t>
      </w:r>
    </w:p>
    <w:p w14:paraId="115BB21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имел экспериментально-испытательную станцию с лабораторией и мастерскими в Кузьминках Ухтомского района. В 1946 г. она передана заводу № 81.</w:t>
      </w:r>
    </w:p>
    <w:p w14:paraId="05CB3BA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1946 г. началась реконструкция завода для расширения производства установок авиационного вооружения. В 1946 г. заводу поставлено 324 трофейных металлорежущих станка.</w:t>
      </w:r>
    </w:p>
    <w:p w14:paraId="60BB2FD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Выпускал бомбодержатели, авиационные турели для самолетов Ту-4, Ил-28, М-4, ЗМ, вертолетов Ми-4.</w:t>
      </w:r>
    </w:p>
    <w:p w14:paraId="0827D06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283сс/оп от 25.04.1955 г. завод № 455 с 1.04.1955 г. передан из 2ГУ в 6ГУ. Началось освоение производства УРВВ, а позднее- и УРВП.</w:t>
      </w:r>
    </w:p>
    <w:p w14:paraId="7A7201A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1956 г. начато освоение производства первых отечественных УРВВ РС-1-У.</w:t>
      </w:r>
    </w:p>
    <w:p w14:paraId="02B79EB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Велись работы по ракете Р-6 (К-53) с ТГСН; планировалось (но не было осуществлено) производство К-33; работы по К-5В (1960 г.).</w:t>
      </w:r>
    </w:p>
    <w:p w14:paraId="5950D45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08.1957 г. завод № 455- в ведении 2ГУ МАП. По приказу МАП № 100 от 12.03.1966 г. и приказу по заводу № 455 от 26.07.1966 г. на базе СКБ завода создано самостоятельное ОКБ-455 МАП.</w:t>
      </w:r>
    </w:p>
    <w:p w14:paraId="0CEE926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1972 г. на КМЗ выпущена первая партия (-150 шт.) мини-ЭВМ «Электроника-ЮО».</w:t>
      </w:r>
      <w:r w:rsidRPr="001E2C69">
        <w:rPr>
          <w:rFonts w:ascii="Times New Roman" w:hAnsi="Times New Roman"/>
          <w:color w:val="000000" w:themeColor="text1"/>
          <w:sz w:val="16"/>
          <w:szCs w:val="16"/>
          <w:vertAlign w:val="superscript"/>
        </w:rPr>
        <w:t>40</w:t>
      </w:r>
    </w:p>
    <w:p w14:paraId="37735BE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1973 г. КМЗ имел наименование «предприятие- п/я В-2704». До начала 1990-х  г. действовало НПО «Стрела», в состав которого входили КМЗ, КБ «Звезда», Бендерский машиностроительный завод (возможно, это завод «Прибор») и Костромской механический завод. Затем НПО распалось.</w:t>
      </w:r>
    </w:p>
    <w:p w14:paraId="5F986DC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начале 1995 г. произошло обьединение ОКБ «Звезда» и Калининградского машиностроительного завода «Стрела» в ГНПЦ (Государственный научно-производственный центр) «Звезда-Стрела».</w:t>
      </w:r>
    </w:p>
    <w:p w14:paraId="75B8371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Головное предприятие по разработке и производству авиационных, морских и сухопутных тактических КР (2002 г.).</w:t>
      </w:r>
    </w:p>
    <w:p w14:paraId="3727733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(2002 г.)- 2500 чел.</w:t>
      </w:r>
    </w:p>
    <w:p w14:paraId="7F7B951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(1942 г.-)- Н.К. Сорокин, (-05.1943-03.1946 г.-)- Горбунов, (1946-74 г.)- М.П. Аржаков, (1974-87 г.)- В.А. Беляков,</w:t>
      </w:r>
      <w:r w:rsidRPr="001E2C69">
        <w:rPr>
          <w:rFonts w:ascii="Times New Roman" w:hAnsi="Times New Roman"/>
          <w:color w:val="000000" w:themeColor="text1"/>
          <w:sz w:val="16"/>
          <w:szCs w:val="16"/>
          <w:vertAlign w:val="superscript"/>
        </w:rPr>
        <w:t>143</w:t>
      </w:r>
      <w:r w:rsidRPr="001E2C69">
        <w:rPr>
          <w:rFonts w:ascii="Times New Roman" w:hAnsi="Times New Roman"/>
          <w:color w:val="000000" w:themeColor="text1"/>
          <w:sz w:val="16"/>
          <w:szCs w:val="16"/>
        </w:rPr>
        <w:t xml:space="preserve"> (1987-90 г.)- В.А. Шаповалов. Гендиректор (1990-94 г.)- Н.С. Жучков, (-1995 г.)- С.П. Яковлев.</w:t>
      </w:r>
    </w:p>
    <w:p w14:paraId="43136F3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строительства (конец 1946 г.-)- М.П. Аржаков. Научный директор (2002 г.)- Ю.Д. Новиков. Технический директор (2002 г.)- И.Д. Тесля. Гл. инженер (1946 г.-)- М.И. Муромцев. Гл. конструктор (2002 г.)- Ю.Д. Новиков. Зам. гл. конструктора (1974 г.)- В. Г. Кореньков.</w:t>
      </w:r>
    </w:p>
    <w:p w14:paraId="5B9E857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lastRenderedPageBreak/>
        <w:t>Производство:</w:t>
      </w:r>
      <w:r w:rsidRPr="001E2C69">
        <w:rPr>
          <w:rFonts w:ascii="Times New Roman" w:hAnsi="Times New Roman"/>
          <w:color w:val="000000" w:themeColor="text1"/>
          <w:sz w:val="16"/>
          <w:szCs w:val="16"/>
        </w:rPr>
        <w:t xml:space="preserve"> химвооружение: ВАП-6М, ВАП-500 (1942-), ВАП-100, ВАГ1-250 (ВОВ);</w:t>
      </w:r>
      <w:r w:rsidRPr="001E2C69">
        <w:rPr>
          <w:rFonts w:ascii="Times New Roman" w:hAnsi="Times New Roman"/>
          <w:iCs/>
          <w:color w:val="000000" w:themeColor="text1"/>
          <w:sz w:val="16"/>
          <w:szCs w:val="16"/>
        </w:rPr>
        <w:t xml:space="preserve"> УРВБ:</w:t>
      </w:r>
      <w:r w:rsidRPr="001E2C69">
        <w:rPr>
          <w:rFonts w:ascii="Times New Roman" w:hAnsi="Times New Roman"/>
          <w:color w:val="000000" w:themeColor="text1"/>
          <w:sz w:val="16"/>
          <w:szCs w:val="16"/>
        </w:rPr>
        <w:t xml:space="preserve"> изд. «М» (РС- 1-У) (1956-57), «И» (РС-2У) (1957-59), «ИС» (РС-2-УС) (1959-), «24» (Р-8М) (1959-), К-13, Р-98, К-55, К-40 (- 1991), К-80 (Р-4);</w:t>
      </w:r>
      <w:r w:rsidRPr="001E2C69">
        <w:rPr>
          <w:rFonts w:ascii="Times New Roman" w:hAnsi="Times New Roman"/>
          <w:iCs/>
          <w:color w:val="000000" w:themeColor="text1"/>
          <w:sz w:val="16"/>
          <w:szCs w:val="16"/>
        </w:rPr>
        <w:t xml:space="preserve"> УРВП:</w:t>
      </w:r>
      <w:r w:rsidRPr="001E2C69">
        <w:rPr>
          <w:rFonts w:ascii="Times New Roman" w:hAnsi="Times New Roman"/>
          <w:color w:val="000000" w:themeColor="text1"/>
          <w:sz w:val="16"/>
          <w:szCs w:val="16"/>
        </w:rPr>
        <w:t xml:space="preserve"> Х-66 (1968-), Х-23, Х-27ПС, Х-25, Х-25М, -25МЛ, -25МП, -25МПУ, Х-31А, -31П, Х-35; </w:t>
      </w:r>
      <w:r w:rsidRPr="001E2C69">
        <w:rPr>
          <w:rFonts w:ascii="Times New Roman" w:hAnsi="Times New Roman"/>
          <w:iCs/>
          <w:color w:val="000000" w:themeColor="text1"/>
          <w:sz w:val="16"/>
          <w:szCs w:val="16"/>
        </w:rPr>
        <w:t>ЗУР:</w:t>
      </w:r>
      <w:r w:rsidRPr="001E2C69">
        <w:rPr>
          <w:rFonts w:ascii="Times New Roman" w:hAnsi="Times New Roman"/>
          <w:color w:val="000000" w:themeColor="text1"/>
          <w:sz w:val="16"/>
          <w:szCs w:val="16"/>
        </w:rPr>
        <w:t xml:space="preserve"> ЗМ9; мишень МА-31;</w:t>
      </w:r>
    </w:p>
    <w:p w14:paraId="6B741DE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мини-ЭВМ «Электроника-100» (1972)- около150 шт.; гладильные машины «Калинка».</w:t>
      </w:r>
      <w:r w:rsidRPr="001E2C69">
        <w:rPr>
          <w:rFonts w:ascii="Times New Roman" w:hAnsi="Times New Roman"/>
          <w:color w:val="000000" w:themeColor="text1"/>
          <w:sz w:val="16"/>
          <w:szCs w:val="16"/>
          <w:vertAlign w:val="superscript"/>
        </w:rPr>
        <w:t>69</w:t>
      </w:r>
    </w:p>
    <w:p w14:paraId="60ACB6D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ОКБ завода № 455, ОКБ-455 НКАП гл. конструктора И.И. Картукова / г. Костино Московской обл./</w:t>
      </w:r>
    </w:p>
    <w:p w14:paraId="5CEEE9F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ОКБ-145 НКАП И.И. Картукова в соответствии с приказом НКАП № 272с от 6.05.1943 г. возвращается из эвакуации на новое место в  г. Костино на завод № 455 НКАП с образованием ОКБ-455 НКАП. В 01.1945 г. - в 7ГУ. Здесь продолжены работы по химическим боеприпасам. Создан химический разовый прибор ХАРП-500- 300А для ВМФ. С 1946 г.- работы по пиропатронам для катапультных кресел летчиков по типу Не-162 и Не-219.</w:t>
      </w:r>
    </w:p>
    <w:p w14:paraId="5492616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148с от 22.03.1946 г. ОКБ-455 МАП гл. конструктора И.И. Картукова в полном составе переведено на вновь образованный Завод № 81 МАП.</w:t>
      </w:r>
    </w:p>
    <w:p w14:paraId="0EAE860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СКБ завода № 455, ОКБ-455 МАП, ОКБ «Звезда», А-3497 /141070  г. Королев Московской обл. ул. Ильича, 7 тел. 519-55-01/</w:t>
      </w:r>
    </w:p>
    <w:p w14:paraId="58579DF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СКБ образовано на заводе № 455 в 1956 г. для освоения производства первой отечественной УРВВ РС-1У (изд. «М»), В результате модернизации создана РС-2УС. На базе К-5 и К-8 создана Х-66, пост. № 325-129 от 13.05.1968 г. она пнв. На базе РС-2-УС создана К-55.</w:t>
      </w:r>
    </w:p>
    <w:p w14:paraId="34530EA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МАП № 100 от 12.03.1966 г. и приказу по заводу № 455 от 26.07.1966 г. на базе СКБ завода создано самостоятельное ОКБ-455 МАП. По приказу МАП № 459 от 2.11.1976 г. ОКБ-455 переименовано в ОКБ «Звезда». Головное предприятие по разработке тактических УРВП.</w:t>
      </w:r>
    </w:p>
    <w:p w14:paraId="7164F56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решению ВПК № 79 от 7.04.1975 г. началась разработка УР Х-31П. В 02.1978 г. начата разработка ПКР X- 31А.</w:t>
      </w:r>
    </w:p>
    <w:p w14:paraId="4928469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соответствии с пост. СМ СССР от 16.03.1983 г. задана разработка ПКР Х-35Э.</w:t>
      </w:r>
    </w:p>
    <w:p w14:paraId="2929E42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начале 1995 г. произошло обьединение ОКБ «Звезда» и Калининградского машиностроительного завода «Стрела» в ГНПЦ «Звезда-Стрела».</w:t>
      </w:r>
    </w:p>
    <w:p w14:paraId="4722945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Работы (2006 г.): модификации УР Х-25МАЭ с активной ГСН, Х-25МСЭ с бортовым комплексом космической навигации.</w:t>
      </w:r>
    </w:p>
    <w:p w14:paraId="14A0D3B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(1956-59 г.-)- М.Е. Едидович, Н.Т. Пикот, (-1978 г.)- В.А. Шаповалов.</w:t>
      </w:r>
    </w:p>
    <w:p w14:paraId="78E63F8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 (1966-73(1) г.)- Ю.Н. Королев, (1974(1)-83 г.)- В.Н. Бугайский, (1983-86 г.)- В. Г. Галушко, (25.11.1986-94 г.)-  Г.И. Хохлов {22.10.1926-}, (1994-99 г.)- Ю.Д. Новиков, (1999 г.-)- А.И. Вельский. Зам. гл. конструктора (1970-е)- В. Г. Кореньков (далее работал в НИИАС), (-1994 г.)- Ю.Д. Новиков. Гл. конструкторы (1956 г.-)- М.Е. Едидович (изд. «М»), С.П. Яковлев (Х-35).</w:t>
      </w:r>
    </w:p>
    <w:p w14:paraId="3421405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Создано:</w:t>
      </w:r>
      <w:r w:rsidRPr="001E2C69">
        <w:rPr>
          <w:rFonts w:ascii="Times New Roman" w:hAnsi="Times New Roman"/>
          <w:color w:val="000000" w:themeColor="text1"/>
          <w:sz w:val="16"/>
          <w:szCs w:val="16"/>
        </w:rPr>
        <w:t xml:space="preserve"> УРВВ: К-5 (РС-1У, пнв 17.05.1956 г.);</w:t>
      </w:r>
      <w:r w:rsidRPr="001E2C69">
        <w:rPr>
          <w:rFonts w:ascii="Times New Roman" w:hAnsi="Times New Roman"/>
          <w:iCs/>
          <w:color w:val="000000" w:themeColor="text1"/>
          <w:sz w:val="16"/>
          <w:szCs w:val="16"/>
        </w:rPr>
        <w:t xml:space="preserve"> УРВП:</w:t>
      </w:r>
      <w:r w:rsidRPr="001E2C69">
        <w:rPr>
          <w:rFonts w:ascii="Times New Roman" w:hAnsi="Times New Roman"/>
          <w:color w:val="000000" w:themeColor="text1"/>
          <w:sz w:val="16"/>
          <w:szCs w:val="16"/>
        </w:rPr>
        <w:t xml:space="preserve"> РС-2УС (пнв в 1960 г.), Х-66 (пнв 13.05.1968 г.), Х-23 (1972, пнв в 1973 г.), -М, -Л, Х-27ПС (1974), Х-25 (1976), -Р, -</w:t>
      </w:r>
      <w:r w:rsidRPr="001E2C69">
        <w:rPr>
          <w:rFonts w:ascii="Times New Roman" w:hAnsi="Times New Roman"/>
          <w:color w:val="000000" w:themeColor="text1"/>
          <w:sz w:val="16"/>
          <w:szCs w:val="16"/>
          <w:lang w:val="en-US"/>
        </w:rPr>
        <w:t>MP</w:t>
      </w:r>
      <w:r w:rsidRPr="001E2C69">
        <w:rPr>
          <w:rFonts w:ascii="Times New Roman" w:hAnsi="Times New Roman"/>
          <w:color w:val="000000" w:themeColor="text1"/>
          <w:sz w:val="16"/>
          <w:szCs w:val="16"/>
        </w:rPr>
        <w:t>, -Л, -МЛ, -МЛП, -П, -МП, -ПС, -МТ, -МТЛ, - МПУ, Х-31П (пнв в 1988 г.), Х-31А (пнв в 1989 г.), Х-35 (пнв в 1987 г.), Х-35У (1983), Х-36; ККР: «Уран» ЗМ24 (пнв в 1987 г.)</w:t>
      </w:r>
      <w:r w:rsidRPr="001E2C69">
        <w:rPr>
          <w:rFonts w:ascii="Times New Roman" w:hAnsi="Times New Roman"/>
          <w:color w:val="000000" w:themeColor="text1"/>
          <w:sz w:val="16"/>
          <w:szCs w:val="16"/>
          <w:vertAlign w:val="superscript"/>
        </w:rPr>
        <w:t>58</w:t>
      </w:r>
      <w:r w:rsidRPr="001E2C69">
        <w:rPr>
          <w:rFonts w:ascii="Times New Roman" w:hAnsi="Times New Roman"/>
          <w:color w:val="000000" w:themeColor="text1"/>
          <w:sz w:val="16"/>
          <w:szCs w:val="16"/>
        </w:rPr>
        <w:t>; ракеты-мишени: высотная ИЦ-59В (1960-е), ИЦ-60 «Заяц».</w:t>
      </w:r>
    </w:p>
    <w:p w14:paraId="7AAF33E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ГП «Бендерский машиностроительный завод» (БМЗ) /Молдавия </w:t>
      </w:r>
      <w:r w:rsidRPr="001E2C69">
        <w:rPr>
          <w:rFonts w:ascii="Times New Roman" w:hAnsi="Times New Roman"/>
          <w:color w:val="000000" w:themeColor="text1"/>
          <w:sz w:val="16"/>
          <w:szCs w:val="16"/>
          <w:lang w:val="en-US"/>
        </w:rPr>
        <w:t>MD</w:t>
      </w:r>
      <w:r w:rsidRPr="001E2C69">
        <w:rPr>
          <w:rFonts w:ascii="Times New Roman" w:hAnsi="Times New Roman"/>
          <w:color w:val="000000" w:themeColor="text1"/>
          <w:sz w:val="16"/>
          <w:szCs w:val="16"/>
        </w:rPr>
        <w:t>-3200  г. Бендеры ул. Бендерского восстания, 5 тел. 26-843/ Завод основан в 1970 г. В 10.2006 г. куплен компанией ЗАО «АвиаМЗкомплект».</w:t>
      </w:r>
    </w:p>
    <w:p w14:paraId="2E6647D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Производство (2002 г.): устройства связи и согласования усилительно-преобразующих устройств; блоки автоматического и полуавтоматического управления; средства наземного обслуживания </w:t>
      </w:r>
      <w:r w:rsidRPr="001E2C69">
        <w:rPr>
          <w:rFonts w:ascii="Times New Roman" w:hAnsi="Times New Roman"/>
          <w:color w:val="000000" w:themeColor="text1"/>
          <w:sz w:val="16"/>
          <w:szCs w:val="16"/>
          <w:lang w:val="en-US"/>
        </w:rPr>
        <w:t>AT</w:t>
      </w:r>
      <w:r w:rsidRPr="001E2C69">
        <w:rPr>
          <w:rFonts w:ascii="Times New Roman" w:hAnsi="Times New Roman"/>
          <w:color w:val="000000" w:themeColor="text1"/>
          <w:sz w:val="16"/>
          <w:szCs w:val="16"/>
        </w:rPr>
        <w:t>. Численность персонала (2002 г.)- более 1000 чел. Директор (1982-86 г.)- В.А. Шаповалов, (2002 г.)- В.А. Григорьев.</w:t>
      </w:r>
      <w:r w:rsidRPr="001E2C69">
        <w:rPr>
          <w:rFonts w:ascii="Times New Roman" w:hAnsi="Times New Roman"/>
          <w:color w:val="000000" w:themeColor="text1"/>
          <w:sz w:val="16"/>
          <w:szCs w:val="16"/>
          <w:vertAlign w:val="superscript"/>
        </w:rPr>
        <w:t>69</w:t>
      </w:r>
    </w:p>
    <w:p w14:paraId="24DF85F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Государственный Научно-производственный центр (ГНПЦ) «Звезда-Стрела», ОАО «Корпорация «Тактическое ракетное вооружение» (ТРВ) РАКА /141075  г. Королев Московской обл. ул. Ильича, 7 тел. 519-22-03/</w:t>
      </w:r>
    </w:p>
    <w:p w14:paraId="2E23DDD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ГНТЩ создан в начале 1995 г. объединении ОКБ «Звезда» и Калининградского машиностроительного завода «Стрела». В 02.1998 г. в ГНПЦ вошло ОКБ ДУ «Пламя».</w:t>
      </w:r>
    </w:p>
    <w:p w14:paraId="3101DA3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Указу Президента РФ № 84 от 24.01.2002 г. и постановлению правительства № 149 от 13.03.2002 г. ГНПЦ «Звезда-Стрела» преобразован в «Корпорацию ТРВ». Кроме ГНПЦ, в корпорацию в качестве дочерних вошли еше 5 предприятий: ГНПП «Регион», УПКБ «Деталь», МКБ «Искра», Омский завод «Автоматика», «Красный гидропресс». Юридическое оформление Корпорации завершено в 2003 г., тогда же в нее вошло ТМКБ «Союз». В соответствии с Указом Президента № 591 от 9.05.2004 г. и распоряжением правительства № 396 от 20.07.2004 г. определено дальнейшее развитие Корпорации, в состав которой вошли ОАО «Горизонт», ОАО «Салют» (Самара), СмАЗ, ГосМКБ «Радуга», ГосМКБ «Вымпел», КБ машиностроения (Москва), Азовский ОМЗ. Таким образом, в составе Корпорации (2005 г.) стало 14 предприятий, на 2008 г.- 19 предприятий.</w:t>
      </w:r>
    </w:p>
    <w:p w14:paraId="2F1D65C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15D5FEB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Работы (2005 г.): разработка, производство, поставка и модернизация комплексов УР; разработка и реализация целевых научно-технических программ, формирование научно-технической и технологической политики корпорации и ее дочерних предприятий.</w:t>
      </w:r>
    </w:p>
    <w:p w14:paraId="4D99D5F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Гендиректор (1995-2002 г.-&gt; С.П. Яковлев, (2003-08 г.-)- Б.В. Обносов.</w:t>
      </w:r>
    </w:p>
    <w:p w14:paraId="21B2985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Ген. Конструктор (-1997-2002 г.-)- С.П. Яковлев.</w:t>
      </w:r>
    </w:p>
    <w:p w14:paraId="5B8ADDC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1-й зам. гендиректора по НИОКР (2006 г.)- В.Н. Ярмолюк.</w:t>
      </w:r>
    </w:p>
    <w:p w14:paraId="796B008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1-й зам. ген. конструктора (2006 г.)- А.И. Глазков.</w:t>
      </w:r>
    </w:p>
    <w:p w14:paraId="18FFD75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конструкторы: (1997 г.)- Ю. Новиков.</w:t>
      </w:r>
    </w:p>
    <w:p w14:paraId="29F5FE1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гл. конструкторов: (1997 г.)- Д. Иванов.</w:t>
      </w:r>
    </w:p>
    <w:p w14:paraId="5D21F3D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центра информационных технологий (-2005-07 г.-)- Н. Васильев (11982).</w:t>
      </w:r>
    </w:p>
    <w:p w14:paraId="7A93D15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D237A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вышел приказ НКАП № 533с:</w:t>
      </w:r>
    </w:p>
    <w:p w14:paraId="02AE5EC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Д-ру з-да 450 Сердюк со всем личным составом и транспортом направиться в Пензу и поступить в распоряжение д-ра з-да 163 Иваненко.</w:t>
      </w:r>
    </w:p>
    <w:p w14:paraId="7676F95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Дементьев (1570, 99).</w:t>
      </w:r>
    </w:p>
    <w:p w14:paraId="4D47906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7B0F6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г. по приказу № 529с в Пензу со всем личным составом и оборудованием переведена основная часть завода № 450 НКАП и влита в состав завода № 163 НКАП (Завод № 163 НКТП, НКАП, Москва, Пензенский приборостроительный завод МАП, завод «Электроавтомат», Пензенский завод «Эра», НПО «Эра», АООТ, ОАО «Пензенское НПП «Эра» /г. Тушино Московской обл.;  г. Пенза наб. Мойки, 50 (1947 г.)/ /440052  г. Пенза ул. Свердлова, 2 тел. 33-81-02/). (Есть упоминание, что завод № 163 в 1942 г., 04.1943 г. находился в Иркутске, разработано цельнодеревянное крыло и оперение для И-16). В годы войны - ремонт отечественных и американских самолетов, полученных по ленд-лизу.</w:t>
      </w:r>
    </w:p>
    <w:p w14:paraId="050A389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старом месте в Тушино затем образован завод № 500.</w:t>
      </w:r>
    </w:p>
    <w:p w14:paraId="742A84D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1.03.1946 г. завод передан из 6ГУ в 11ГУ. По приказу № 219сс от 18.04.1946 г. завод с 1.01.1947 г. передан из 11ГУ в 5ГУ, и началось освоение производства контрольно-испытательных установок. Затем завод специализировался на изготовлении тренажеров, в т.ч. авиационных.</w:t>
      </w:r>
    </w:p>
    <w:p w14:paraId="1E3854C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соответствии с пост. СМ СССР № 713-342 от 26.06.1957 г. передан в ведение СНХ РСФСР.</w:t>
      </w:r>
    </w:p>
    <w:p w14:paraId="721A04A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Работы по тренажеру обучения личного состава наведению ракеты Х-59.</w:t>
      </w:r>
    </w:p>
    <w:p w14:paraId="6B306B4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Работы (1990-е-2002 г.): разработка и производство комплексных специализированных авиационных тренажеров для всех типов ЛА.</w:t>
      </w:r>
    </w:p>
    <w:p w14:paraId="3B8F83A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Назывался завод «Электроавтомат». В 1976 г. называлось ПКО «Эра», в 1993 г.- Пензенское ПО «Эра». По решению правительства № 22-р от 9.01.2004 г. и Указу Президента РФ № 1009 от 4.08.2004 г. вошло в число стратегических оборонных предприятий.</w:t>
      </w:r>
    </w:p>
    <w:p w14:paraId="0BB9FB2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(01.1940 г.-)- Н. Г. Драчев, (-01.1943-02.1945 г.-)- А.П. Иваненко. Гендиректор (1990-е)- Б.В. Клюев, (2002 г.)- А.Н. Анисимов, (2003 г.)- А.Н. Бростилов.</w:t>
      </w:r>
    </w:p>
    <w:p w14:paraId="78E3DE9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гендиректора: по производству (2002 г.)- К.В. Чичикин; по коммерции (2002 г.)- В.П. Сироткин.</w:t>
      </w:r>
      <w:r w:rsidRPr="001E2C69">
        <w:rPr>
          <w:rFonts w:ascii="Times New Roman" w:hAnsi="Times New Roman"/>
          <w:color w:val="000000" w:themeColor="text1"/>
          <w:sz w:val="16"/>
          <w:szCs w:val="16"/>
          <w:vertAlign w:val="superscript"/>
        </w:rPr>
        <w:t>69</w:t>
      </w:r>
    </w:p>
    <w:p w14:paraId="58DEB97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Технический директор (1990-е)-  Г.И. Балашов.</w:t>
      </w:r>
    </w:p>
    <w:p w14:paraId="737D109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 (1990-е)- В.Н. Климкин (11982).</w:t>
      </w:r>
    </w:p>
    <w:p w14:paraId="1FF3852C" w14:textId="77777777" w:rsidR="00056917" w:rsidRPr="001E2C69" w:rsidRDefault="00056917"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48A18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г. приказом № 531с в соответствии с решением СНК № 12441-рс от 5.07.1942 г. в состав завода № 167 (Завод № 167 НКАП, МАП /г. Химки;  г. Кунцево Московской обл.;  г. Саратов/) влит завод № 449 6ГУ НКАП, завод № 167 передан в 14ГУ НКАП.</w:t>
      </w:r>
    </w:p>
    <w:p w14:paraId="696AA3B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Юс от 3.01.1942 г. на площадке эвакуированного завода № 167 НКАП в Кунцево образован завод № 164 НКАП для разработки и производства авиационных лыж.</w:t>
      </w:r>
    </w:p>
    <w:p w14:paraId="3B18A41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522с от 31.08.1943 г. разработка и производство деревянных винтов с завода снято. В 02.1944 г. поручена организация производства стабилизаторов, килей и нервюр для Як-3. С 04.1944 г. завод передан из ИГУ в 1ГУНКАП.</w:t>
      </w:r>
    </w:p>
    <w:p w14:paraId="3B5BC7B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НКАП № 21с от 28.01.1946 г. на площадку завода № 167 переведен завод № 213 НКАП и с 1.01.1946 г. образован единый завод № 213 НКАП. Завод № 167 выбыл из числа действующих.</w:t>
      </w:r>
    </w:p>
    <w:p w14:paraId="4B08BA2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(08.1941 г.)- Н.Д. Андреев, Лепилин, (01.1946 г.)- Белов.</w:t>
      </w:r>
    </w:p>
    <w:p w14:paraId="28D93BE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в/винты: ВИШ-22, АВ-1; лыжи; лонжероны для И-200 (1939), оперение, нервюры для Як-3 (1943); дельтадревесина (11982).</w:t>
      </w:r>
    </w:p>
    <w:p w14:paraId="30DB3A4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575BD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г. приказом № 531с в соответствии с решением СНК № 12441-рс от 5.07.1942 г. завод № 449 6ГУ НКАП (ГС Завод № 449 НКАП /г. Саратов/) влит в состав завода № 167 НКАП.</w:t>
      </w:r>
    </w:p>
    <w:p w14:paraId="636BC4E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(1941 г.)- Костецкий.</w:t>
      </w:r>
    </w:p>
    <w:p w14:paraId="386D1A9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lastRenderedPageBreak/>
        <w:t>Производство:</w:t>
      </w:r>
      <w:r w:rsidRPr="001E2C69">
        <w:rPr>
          <w:rFonts w:ascii="Times New Roman" w:hAnsi="Times New Roman"/>
          <w:color w:val="000000" w:themeColor="text1"/>
          <w:sz w:val="16"/>
          <w:szCs w:val="16"/>
        </w:rPr>
        <w:t xml:space="preserve"> в/винт для М-11 (1941), ВИШ-21 (1942) (11982).</w:t>
      </w:r>
    </w:p>
    <w:p w14:paraId="4CA31DA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B56BF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г. по приказу № 529с основная часть завода № 450 (ГС Завод № 450 НКАП, Государственный авторемонтный завод № 1 (ГАРЗ-1) НКАТ /Украина  г. Харьков;  г. Молотов/) со всем личным составом и оборудованием была переведена в Пензу и влита в состав завода № 163 НКАП, а часть завода (и завод № 135) вошла в состав завода № 30 НКАП ( г. Москва). По приказу № 679сс от 6.09.1942 г. завод исключен из числа действующих.</w:t>
      </w:r>
    </w:p>
    <w:p w14:paraId="52FC4DA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1945 г. территории эвакуированного завода в Харькове действовал филиал завода № 135 НКАП. По приказу № 414с/0192 от 17/26.10.1945 г. площадка и аэродром переданы в ведение 181-й Центральной ремонтной базы ВВС.</w:t>
      </w:r>
    </w:p>
    <w:p w14:paraId="343B045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(10.1940 г.-&gt; И.А. Иванов, (07.1942 г.)- Сердюк (11982).</w:t>
      </w:r>
    </w:p>
    <w:p w14:paraId="572231D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DE830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г. по приказу № 529с завод № 450 со всем личным составом и оборудованием переведен в Пензу и влит в состав завода № 163 НКАП.</w:t>
      </w:r>
    </w:p>
    <w:p w14:paraId="5454BA4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1943 г. на этом месте сформирован новый завод № 64 НКАП (11982).</w:t>
      </w:r>
    </w:p>
    <w:p w14:paraId="517ABB0A" w14:textId="77777777" w:rsidR="00056917" w:rsidRPr="001E2C69" w:rsidRDefault="00056917"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663D8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16 июля 1942 г. по рекомендации Берия (с.с. исх.№ 1051/6) были освобождены из заключения Сталиным 8 сотрудников Чаромского, внесших наиболее существенный вклад в доработку дизеля до серийного производства: </w:t>
      </w:r>
    </w:p>
    <w:p w14:paraId="29536E8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 Чаромский Алексей Дмитриевич </w:t>
      </w:r>
    </w:p>
    <w:p w14:paraId="00C364D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 Шумилин Афанасий Антипович </w:t>
      </w:r>
    </w:p>
    <w:p w14:paraId="6300705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3. Грачев Андрей Дмитриевич </w:t>
      </w:r>
    </w:p>
    <w:p w14:paraId="22E3549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4. Стецкий Степан Герасимович </w:t>
      </w:r>
    </w:p>
    <w:p w14:paraId="0631CC2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5. Татко Леонид Семенович </w:t>
      </w:r>
    </w:p>
    <w:p w14:paraId="3F71A1B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6. Веревкин Федор Матвеевич </w:t>
      </w:r>
    </w:p>
    <w:p w14:paraId="055620D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7. Корсаков Степан Максимович </w:t>
      </w:r>
    </w:p>
    <w:p w14:paraId="5436511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8. Сидорин Иван Иванович </w:t>
      </w:r>
    </w:p>
    <w:p w14:paraId="42D0A9C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9. Молчанов Михаил Арсентьевич (12107). </w:t>
      </w:r>
    </w:p>
    <w:p w14:paraId="5A0F194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48AF27"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г., Панюшкин вновь встретился с Чан Кайши. Оставим в стороне «дипломатические изыски» и «уверения в совершеннейшем к Вам почтении...». Чан Кайши заявил, что получил доклад Шэн Шицая и намерен послать своего предста</w:t>
      </w:r>
      <w:r w:rsidRPr="001E2C69">
        <w:rPr>
          <w:rFonts w:ascii="Times New Roman" w:hAnsi="Times New Roman"/>
          <w:color w:val="000000" w:themeColor="text1"/>
          <w:sz w:val="16"/>
          <w:szCs w:val="16"/>
        </w:rPr>
        <w:softHyphen/>
        <w:t>вителя для расследования дела на месте, для принятия соответствующих мер и для ус</w:t>
      </w:r>
      <w:r w:rsidRPr="001E2C69">
        <w:rPr>
          <w:rFonts w:ascii="Times New Roman" w:hAnsi="Times New Roman"/>
          <w:color w:val="000000" w:themeColor="text1"/>
          <w:sz w:val="16"/>
          <w:szCs w:val="16"/>
        </w:rPr>
        <w:softHyphen/>
        <w:t>тановления контроля над дубанем. Чан Кайши также просил заверить Молотова в том, что не может быть никаких опасений в отношении якобы использования Шэн Шицая «неко</w:t>
      </w:r>
      <w:r w:rsidRPr="001E2C69">
        <w:rPr>
          <w:rFonts w:ascii="Times New Roman" w:hAnsi="Times New Roman"/>
          <w:color w:val="000000" w:themeColor="text1"/>
          <w:sz w:val="16"/>
          <w:szCs w:val="16"/>
        </w:rPr>
        <w:softHyphen/>
        <w:t>ей империалистической державой», так как он, Чан Кайши, совершенно убежден в том, что Шэн Шицай не связан и не причастен к врагу Китая (имеется в виду Япония).</w:t>
      </w:r>
    </w:p>
    <w:p w14:paraId="4F742B28"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Он заявил, что «Шэн Шицаю будут даны указания о том, чтобы он беспрекословно вы</w:t>
      </w:r>
      <w:r w:rsidRPr="001E2C69">
        <w:rPr>
          <w:rFonts w:ascii="Times New Roman" w:hAnsi="Times New Roman"/>
          <w:color w:val="000000" w:themeColor="text1"/>
          <w:sz w:val="16"/>
          <w:szCs w:val="16"/>
        </w:rPr>
        <w:softHyphen/>
        <w:t>полнял волю Центрального правительства, поддерживал сотрудничество с СССР и от</w:t>
      </w:r>
      <w:r w:rsidRPr="001E2C69">
        <w:rPr>
          <w:rFonts w:ascii="Times New Roman" w:hAnsi="Times New Roman"/>
          <w:color w:val="000000" w:themeColor="text1"/>
          <w:sz w:val="16"/>
          <w:szCs w:val="16"/>
        </w:rPr>
        <w:softHyphen/>
        <w:t>носился с уважением к советским представителям. Шэн Шицаю будет сделано также указание о том, чтобы он не повторял допущенных ошибок в отношении СССР и его представителей...». Тем не менее, бесчинства и полицейский произвол в отношении со</w:t>
      </w:r>
      <w:r w:rsidRPr="001E2C69">
        <w:rPr>
          <w:rFonts w:ascii="Times New Roman" w:hAnsi="Times New Roman"/>
          <w:color w:val="000000" w:themeColor="text1"/>
          <w:sz w:val="16"/>
          <w:szCs w:val="16"/>
        </w:rPr>
        <w:softHyphen/>
        <w:t>ветских граждан в Синьцзяне только «раскручивались»...(15811).</w:t>
      </w:r>
    </w:p>
    <w:p w14:paraId="36A87C04" w14:textId="77777777" w:rsidR="00056917" w:rsidRPr="001E2C69" w:rsidRDefault="00056917" w:rsidP="00722885">
      <w:pPr>
        <w:spacing w:after="0" w:line="240" w:lineRule="auto"/>
        <w:jc w:val="both"/>
        <w:rPr>
          <w:rFonts w:ascii="Times New Roman" w:hAnsi="Times New Roman"/>
          <w:color w:val="000000" w:themeColor="text1"/>
          <w:sz w:val="16"/>
          <w:szCs w:val="16"/>
        </w:rPr>
      </w:pPr>
    </w:p>
    <w:p w14:paraId="78AA812A"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Другие оборонные отрасли:</w:t>
      </w:r>
    </w:p>
    <w:p w14:paraId="402A0EA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82351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вышло Постановление ГКО№ 2049 О строительстве деревянных и железобетонных судов для Каспийского бассейна. РГАНИР, Фонд ГКО, д. 44, лл. 156-163, 164-171 (11012).</w:t>
      </w:r>
    </w:p>
    <w:p w14:paraId="263C050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98DA0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вышло Постановление ГКО № 2050 О плане судостроения речного флота в 1942 г. и мерах его обеспечения. РГАНИР, Фонд ГКО, д. 44, лл. 172-180, 181-192 (11012).</w:t>
      </w:r>
    </w:p>
    <w:p w14:paraId="6DF1BA4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8501C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вышло Постановление ГКО № 2051 Об оборудовании и квалифицированных рабочих кадрах для судостроительных заводов НКСП. РГАНИР, Фонд ГКО, д. 44, лл. 193 (11012).</w:t>
      </w:r>
    </w:p>
    <w:p w14:paraId="22A2E99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E92BA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вышло Постановление ГКО № 2056 Об эвакуации оборудования и работников Шахтинской ГРЭС им. Артема (Ростовская обл.). РГАНИР, Фонд ГКО, д. 44, лл. 199 (11012).</w:t>
      </w:r>
    </w:p>
    <w:p w14:paraId="323BF2D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E102A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вышло Распоряжение ГКО № 2058 О запуске в производство улучшенных агрегатов танка Т-34 на Кировском заводе. РГАНИР, Фонд ГКО, д. 44, лл. 201 (11012).</w:t>
      </w:r>
    </w:p>
    <w:p w14:paraId="132F3F2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973C8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вышло Постановление ГКО № 2059 Об оборудовании и кадрах завода № 264 Наркомтанкопрома. РГАНИР, Фонд ГКО, д. 44, лл. 202-203 (11012).</w:t>
      </w:r>
    </w:p>
    <w:p w14:paraId="42FA9E3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94E8F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г. в соответствии с пост. ГКО № 2059 завод (Завод № 264 НКСП, НКТП, Сарептская верфь, Сталинградская судоверфь МРФ, ОАО «Волгоградский судостроительный завод» (ВгСЗ) /г. Сарепта,  г. Красноармейск Сталинградской обл./ /400024 (400112)  г. Волгоград ул. Арсеньева, 2/) эвакуирован в Барнаул (возможно, на завод № 77); задел по корпусам и агрегатам танков Т-60 и Т-70 эвакуирован на ГАЗ. 18.08.1942 г. вышло постановление ГКО № 2182 о неотложных мерах помощи заводу № 264 НКТП.</w:t>
      </w:r>
    </w:p>
    <w:p w14:paraId="22BA3A0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соответствии с пост. ГКО № 3230 от 22.04.1943 г. начато восстановление завода № 264 НКТП на прежнем месте; ЗОЛ 1.1943 г. вышло распоряжение ГКО № 4706 о мерах по восстановлению завода, строился в 1949 г.</w:t>
      </w:r>
    </w:p>
    <w:p w14:paraId="5D50E06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соответствии с пост. ГКО № 2777 от 20.01.1943 г. на заводе организован ремонт танков. В соответствии с пост. ГКО № 6209 от 18.07.1944 г. на заводе организовано производство танка Т-44.</w:t>
      </w:r>
    </w:p>
    <w:p w14:paraId="02BDC2A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войны Сталинградская судоверфь передана в МРФ. С 1946 г. начато строительство сухогрузных барж, буксиров, земснарядов.</w:t>
      </w:r>
    </w:p>
    <w:p w14:paraId="44E18EC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Далее- это ОАО «Волгоградский судостроительный завод».</w:t>
      </w:r>
    </w:p>
    <w:p w14:paraId="1C3064A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05.2003 г. завод вошел в корпорацию ОМЗ, в 2004 г.- в ГК МНП (и на 2008 г.). По решению правительства № 22-р от 9.01.2004 г. вошло в перечень стратегических предприятий.</w:t>
      </w:r>
    </w:p>
    <w:p w14:paraId="079165A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площадке завода располагались (2007 г.) спецпроизводства по выпуску БМД-3.</w:t>
      </w:r>
    </w:p>
    <w:p w14:paraId="6FF4B5F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(ВОВ)-  Г. Суворов, (ВОВ)- В. Фомин. Гендиректор (-2003-05 г.)- А. Литра, (2005-07 г.)- В. Прудыус, (2007 г.-)- И. Глушаков.</w:t>
      </w:r>
    </w:p>
    <w:p w14:paraId="19F5B4D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 (1970-е)- М.Н. Чемоданов.</w:t>
      </w:r>
    </w:p>
    <w:p w14:paraId="0226D24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 баржи:</w:t>
      </w:r>
      <w:r w:rsidRPr="001E2C69">
        <w:rPr>
          <w:rFonts w:ascii="Times New Roman" w:hAnsi="Times New Roman"/>
          <w:color w:val="000000" w:themeColor="text1"/>
          <w:sz w:val="16"/>
          <w:szCs w:val="16"/>
        </w:rPr>
        <w:t xml:space="preserve"> наливная «Нева» (-1935), сварные (1939), палубная пр. 425 (1950-е); сухогрузные пр. 617 (1952), на 2860 т (1960-е); буксиры: 400 л.с. пр. СБ-25 (1936), разборные 200 л.с. (1930-е); катера «речные трамваи» (1930-е); бронекатера пр. 1124, пр. 1125 (1930-е-41-); сетевые заградители пр. С-149 «Вятка», «Онега» (1938-40), «Искатель», «Тура» (1941, не достроены), «Молога», «Сухона», «Мезень», «Вычегда» (1941, достройка на заводе 368); пассажирские морские дизель-электроходы «Баку», «Волгоград» (1963); земснаряды (1951-60-е), самоходные краны (1960-е);</w:t>
      </w:r>
      <w:r w:rsidRPr="001E2C69">
        <w:rPr>
          <w:rFonts w:ascii="Times New Roman" w:hAnsi="Times New Roman"/>
          <w:iCs/>
          <w:color w:val="000000" w:themeColor="text1"/>
          <w:sz w:val="16"/>
          <w:szCs w:val="16"/>
        </w:rPr>
        <w:t xml:space="preserve"> танкеры:</w:t>
      </w:r>
      <w:r w:rsidRPr="001E2C69">
        <w:rPr>
          <w:rFonts w:ascii="Times New Roman" w:hAnsi="Times New Roman"/>
          <w:color w:val="000000" w:themeColor="text1"/>
          <w:sz w:val="16"/>
          <w:szCs w:val="16"/>
        </w:rPr>
        <w:t xml:space="preserve"> речные пр. 587 «Лось» (1958), река-море пр. 558 «Великий», пр. 1577 «Волгонефть» (1963-2002)-140; пр. 1677М «Олег Кошевой» (1979-89)- 16; СРТ пр. 502 типа «Маяк» (1960-е-73); траулер-сейнер пр. 503 типа «Альпинист» (1979-80-е)- 180;</w:t>
      </w:r>
      <w:r w:rsidRPr="001E2C69">
        <w:rPr>
          <w:rFonts w:ascii="Times New Roman" w:hAnsi="Times New Roman"/>
          <w:iCs/>
          <w:color w:val="000000" w:themeColor="text1"/>
          <w:sz w:val="16"/>
          <w:szCs w:val="16"/>
        </w:rPr>
        <w:t xml:space="preserve"> сухогрузы:</w:t>
      </w:r>
      <w:r w:rsidRPr="001E2C69">
        <w:rPr>
          <w:rFonts w:ascii="Times New Roman" w:hAnsi="Times New Roman"/>
          <w:color w:val="000000" w:themeColor="text1"/>
          <w:sz w:val="16"/>
          <w:szCs w:val="16"/>
        </w:rPr>
        <w:t xml:space="preserve"> типа «Шестая пятилетка» (1950-е), пр. 1557 «50 лет Советской власти» (1967-)- более 80 (вместе с заводами «Красное Сормово» и им. Володарского); «река-море» пр. 16290/291 (1994-98)- 10, пр. 006</w:t>
      </w:r>
      <w:r w:rsidRPr="001E2C69">
        <w:rPr>
          <w:rFonts w:ascii="Times New Roman" w:hAnsi="Times New Roman"/>
          <w:color w:val="000000" w:themeColor="text1"/>
          <w:sz w:val="16"/>
          <w:szCs w:val="16"/>
          <w:lang w:val="en-US"/>
        </w:rPr>
        <w:t>RSD</w:t>
      </w:r>
      <w:r w:rsidRPr="001E2C69">
        <w:rPr>
          <w:rFonts w:ascii="Times New Roman" w:hAnsi="Times New Roman"/>
          <w:color w:val="000000" w:themeColor="text1"/>
          <w:sz w:val="16"/>
          <w:szCs w:val="16"/>
        </w:rPr>
        <w:t>05 для Азербайджана "</w:t>
      </w:r>
      <w:r w:rsidRPr="001E2C69">
        <w:rPr>
          <w:rFonts w:ascii="Times New Roman" w:hAnsi="Times New Roman"/>
          <w:color w:val="000000" w:themeColor="text1"/>
          <w:sz w:val="16"/>
          <w:szCs w:val="16"/>
          <w:lang w:val="en-US"/>
        </w:rPr>
        <w:t>HeidarAliyev</w:t>
      </w:r>
      <w:r w:rsidRPr="001E2C69">
        <w:rPr>
          <w:rFonts w:ascii="Times New Roman" w:hAnsi="Times New Roman"/>
          <w:color w:val="000000" w:themeColor="text1"/>
          <w:sz w:val="16"/>
          <w:szCs w:val="16"/>
        </w:rPr>
        <w:t>" (2003-04), "</w:t>
      </w:r>
      <w:r w:rsidRPr="001E2C69">
        <w:rPr>
          <w:rFonts w:ascii="Times New Roman" w:hAnsi="Times New Roman"/>
          <w:color w:val="000000" w:themeColor="text1"/>
          <w:sz w:val="16"/>
          <w:szCs w:val="16"/>
          <w:lang w:val="en-US"/>
        </w:rPr>
        <w:t>PalmaliVoyager</w:t>
      </w:r>
      <w:r w:rsidRPr="001E2C69">
        <w:rPr>
          <w:rFonts w:ascii="Times New Roman" w:hAnsi="Times New Roman"/>
          <w:color w:val="000000" w:themeColor="text1"/>
          <w:sz w:val="16"/>
          <w:szCs w:val="16"/>
        </w:rPr>
        <w:t>" (2003-04), "</w:t>
      </w:r>
      <w:r w:rsidRPr="001E2C69">
        <w:rPr>
          <w:rFonts w:ascii="Times New Roman" w:hAnsi="Times New Roman"/>
          <w:color w:val="000000" w:themeColor="text1"/>
          <w:sz w:val="16"/>
          <w:szCs w:val="16"/>
          <w:lang w:val="en-US"/>
        </w:rPr>
        <w:t>IlyasEfendiev</w:t>
      </w:r>
      <w:r w:rsidRPr="001E2C69">
        <w:rPr>
          <w:rFonts w:ascii="Times New Roman" w:hAnsi="Times New Roman"/>
          <w:color w:val="000000" w:themeColor="text1"/>
          <w:sz w:val="16"/>
          <w:szCs w:val="16"/>
        </w:rPr>
        <w:t>" (-08.2005), "</w:t>
      </w:r>
      <w:r w:rsidRPr="001E2C69">
        <w:rPr>
          <w:rFonts w:ascii="Times New Roman" w:hAnsi="Times New Roman"/>
          <w:color w:val="000000" w:themeColor="text1"/>
          <w:sz w:val="16"/>
          <w:szCs w:val="16"/>
          <w:lang w:val="en-US"/>
        </w:rPr>
        <w:t>Nakhichevan</w:t>
      </w:r>
      <w:r w:rsidRPr="001E2C69">
        <w:rPr>
          <w:rFonts w:ascii="Times New Roman" w:hAnsi="Times New Roman"/>
          <w:color w:val="000000" w:themeColor="text1"/>
          <w:sz w:val="16"/>
          <w:szCs w:val="16"/>
        </w:rPr>
        <w:t>" (-10.2005), "</w:t>
      </w:r>
      <w:r w:rsidRPr="001E2C69">
        <w:rPr>
          <w:rFonts w:ascii="Times New Roman" w:hAnsi="Times New Roman"/>
          <w:color w:val="000000" w:themeColor="text1"/>
          <w:sz w:val="16"/>
          <w:szCs w:val="16"/>
          <w:lang w:val="en-US"/>
        </w:rPr>
        <w:t>ZeynalabdinTagiev</w:t>
      </w:r>
      <w:r w:rsidRPr="001E2C69">
        <w:rPr>
          <w:rFonts w:ascii="Times New Roman" w:hAnsi="Times New Roman"/>
          <w:color w:val="000000" w:themeColor="text1"/>
          <w:sz w:val="16"/>
          <w:szCs w:val="16"/>
        </w:rPr>
        <w:t>" (-05.2006), "</w:t>
      </w:r>
      <w:r w:rsidRPr="001E2C69">
        <w:rPr>
          <w:rFonts w:ascii="Times New Roman" w:hAnsi="Times New Roman"/>
          <w:color w:val="000000" w:themeColor="text1"/>
          <w:sz w:val="16"/>
          <w:szCs w:val="16"/>
          <w:lang w:val="en-US"/>
        </w:rPr>
        <w:t>MirJalalPashajev</w:t>
      </w:r>
      <w:r w:rsidRPr="001E2C69">
        <w:rPr>
          <w:rFonts w:ascii="Times New Roman" w:hAnsi="Times New Roman"/>
          <w:color w:val="000000" w:themeColor="text1"/>
          <w:sz w:val="16"/>
          <w:szCs w:val="16"/>
        </w:rPr>
        <w:t>" (10.2005-07.2006); большегрузный секционный толкаемый состав (1958); овощевоз пр. 19620 (1983-92)- более 55 (вместе с заводом им. Володарского);</w:t>
      </w:r>
      <w:r w:rsidRPr="001E2C69">
        <w:rPr>
          <w:rFonts w:ascii="Times New Roman" w:hAnsi="Times New Roman"/>
          <w:iCs/>
          <w:color w:val="000000" w:themeColor="text1"/>
          <w:sz w:val="16"/>
          <w:szCs w:val="16"/>
        </w:rPr>
        <w:t xml:space="preserve"> танки:</w:t>
      </w:r>
      <w:r w:rsidRPr="001E2C69">
        <w:rPr>
          <w:rFonts w:ascii="Times New Roman" w:hAnsi="Times New Roman"/>
          <w:color w:val="000000" w:themeColor="text1"/>
          <w:sz w:val="16"/>
          <w:szCs w:val="16"/>
        </w:rPr>
        <w:t xml:space="preserve"> Т-60 (12.1941-42-)- 830 (по 06.1942), Т-44 (1944- ); корпуса и башни танка Т-34 (1941-).</w:t>
      </w:r>
    </w:p>
    <w:p w14:paraId="265EB10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КБ завода № 264</w:t>
      </w:r>
    </w:p>
    <w:p w14:paraId="19BA70A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1959 г. спроктирован крупнейший в мире речной танкер грузоподъемностью 5000 т пр. 558.</w:t>
      </w:r>
    </w:p>
    <w:p w14:paraId="2081757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 (-1968-70-е)- М.Н. Чемоданов (пр. 1577, 1677М).</w:t>
      </w:r>
    </w:p>
    <w:p w14:paraId="218511A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конструкторы: (1959 г.)- П.М. Кожевников (пр. 558, 587).</w:t>
      </w:r>
    </w:p>
    <w:p w14:paraId="09040ED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Создано: танкеры:</w:t>
      </w:r>
      <w:r w:rsidRPr="001E2C69">
        <w:rPr>
          <w:rFonts w:ascii="Times New Roman" w:hAnsi="Times New Roman"/>
          <w:color w:val="000000" w:themeColor="text1"/>
          <w:sz w:val="16"/>
          <w:szCs w:val="16"/>
        </w:rPr>
        <w:t xml:space="preserve"> речные пр. 558 типа «Великий» (1959), пр. 587 (1950-е), пр. 1577 (1968); морской пр. 1677М типа «Олег Кошевой» (1979) (11982).</w:t>
      </w:r>
    </w:p>
    <w:p w14:paraId="7BB909CA" w14:textId="77777777" w:rsidR="00056917" w:rsidRPr="001E2C69" w:rsidRDefault="00056917" w:rsidP="00722885">
      <w:pPr>
        <w:spacing w:after="0" w:line="240" w:lineRule="auto"/>
        <w:jc w:val="both"/>
        <w:rPr>
          <w:rFonts w:ascii="Times New Roman" w:hAnsi="Times New Roman"/>
          <w:color w:val="000000" w:themeColor="text1"/>
          <w:sz w:val="16"/>
          <w:szCs w:val="16"/>
        </w:rPr>
      </w:pPr>
    </w:p>
    <w:p w14:paraId="04B98E7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16 июля 1942 года заместитель наркомата танковой промышленности обратился к начальнику бронетанкового управления генерал-майору танковых войск Коробкову с письмом, в котором просил о введении некоторых упрощений в конструкцию танков Т-34 СТЗ:</w:t>
      </w:r>
    </w:p>
    <w:p w14:paraId="5D9BE78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связи с имеющимися затруднениями в обеспечении Сталинградского Тракторного завода, считаем необходимым разрешить последнему, до особого нашего указания, устанавливать на танк Т-34 все пять опорных катков конструкции с внутренней амортизацией.</w:t>
      </w:r>
    </w:p>
    <w:p w14:paraId="410D7CD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Напоминаем, что по данным эксплуатации не зарегистрировано предъявление рекламаций на траки СТЗ, несмотря на уже почти год эксплуатации на катках с внутренней амортизацией.</w:t>
      </w:r>
    </w:p>
    <w:p w14:paraId="3D7AD4F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Прошу о Вашем согласии подписать при сем приложенную совместную телеграмму».</w:t>
      </w:r>
    </w:p>
    <w:p w14:paraId="2C48DC8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Естественно, что при увеличении выпуска тридцатьчетверок в июле почти в полтора раза, качество их, и без того невысокое, еще больше ухудшилось - выходили из строя коробки перемены передач и бортовые передачи, ухудшился температурный режим работа двигателя из-за уменьшения примерно на одну пятую поверхности радиатора (для экономии материала шаг между охлаждающими пластинами изменили с 3 до 4 мм), было много нареканий на качество дизелей В-2.</w:t>
      </w:r>
    </w:p>
    <w:p w14:paraId="0241D86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Например, в 6-й танковой бригаде, получившей в первых числах августа 44 новеньких тридцатьчетверки СТЗ, во время марша в исходный район машины стали массово выходить из строя. Так. при движении у танков происходил выброс масла из выхлопных патрубков, в результате чего одной заправки хватаю не более, чем на 35 километров. Кроме того, наблюдалось срезание шпонок масляного насоса. В результате за короткое время из 44 вышло из строя 33 тридцатьчетверки, для восстановления которых их пришлось вновь отправлять на завод. Ничего удивительного в этом не было - фронт приближался к городу, возникали проблемы с подвозом комплектующих и материалов, и естественно при этом заметно снижалось качество танков. Но самое главное - завод давал армии столь нужные танки. А ситуация на фронте осложнялась с каждым днем, немецкие войска рвались к Сталинграду, части Красной Армии с тяжелыми боями отходили к Волге (12217).</w:t>
      </w:r>
    </w:p>
    <w:p w14:paraId="3316BBD5"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A30B5D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1942г. по пр. НКМВ создан НИИ минометного вооружения (НИИ № 1) (НИИ минометного вооружения № 1 (НИИ-1) НКМВ, НИИ текстильного и легкого машиностроения (НИИЛтекмаш), ВНИИ легкого и текстильного машиностроения (ВНИИЛтекмаш) /г. Москва Варшавское ш., 33 тел. 111-00-30/) на базе «Проектобщемаша» и НИПТИмаша. Пост. СНК от 17.02.1946г. переименован в НИИЛтекмаш. По пр. от 4.06.1959г. переименован во ВНИИЛтекмаш. Находился в ведении: НКМВ (1942-46г.), НКМашПрибора (1946г.), Минмашприбора (1946-53; 1954-56г.), ММ (1953-54; 1956-57г.), ГлавНИИпроекта при Госплане (1957-59г.), ГК по автоматизации и машиностроению (1959-63г.), ГК по машиностроению при Госплане (1963-65г.), Минлегпищемаша (с 1965г.). Был в 2000-е г.</w:t>
      </w:r>
    </w:p>
    <w:p w14:paraId="09BDEE2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институте действовал опытный завод. Распоряжением ГКО № 3985 от 28.08.1943г. к заводу прикреплена школа ФЗО № 3 для производства деталей корпусов авиабомб. Институт имел филиалы: Ереванский, Орловский.</w:t>
      </w:r>
    </w:p>
    <w:p w14:paraId="5666F6B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Занимался созданием новых видов машин для обслуживания отраслей промышленности; определением перспектив развития текстильных и трикотажных машин, экономическим обоснованием целесообразности их разработки.</w:t>
      </w:r>
      <w:r w:rsidRPr="001E2C69">
        <w:rPr>
          <w:rFonts w:ascii="Times New Roman" w:hAnsi="Times New Roman"/>
          <w:color w:val="000000" w:themeColor="text1"/>
          <w:sz w:val="16"/>
          <w:szCs w:val="16"/>
          <w:vertAlign w:val="superscript"/>
        </w:rPr>
        <w:t>137</w:t>
      </w:r>
    </w:p>
    <w:p w14:paraId="4714619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Руководитель (2000 г.)- </w:t>
      </w:r>
      <w:r w:rsidRPr="001E2C69">
        <w:rPr>
          <w:rFonts w:ascii="Times New Roman" w:hAnsi="Times New Roman"/>
          <w:color w:val="000000" w:themeColor="text1"/>
          <w:sz w:val="16"/>
          <w:szCs w:val="16"/>
          <w:lang w:val="en-US"/>
        </w:rPr>
        <w:t>P</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M</w:t>
      </w:r>
      <w:r w:rsidRPr="001E2C69">
        <w:rPr>
          <w:rFonts w:ascii="Times New Roman" w:hAnsi="Times New Roman"/>
          <w:color w:val="000000" w:themeColor="text1"/>
          <w:sz w:val="16"/>
          <w:szCs w:val="16"/>
        </w:rPr>
        <w:t>. Малафеев.</w:t>
      </w:r>
    </w:p>
    <w:p w14:paraId="73F0A8C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Всесоюзная контора по проектированию заводов общего машиностроения «Проектобщемаш» По пр. НКМВ от 16.07.1942г. на базе «Проектобщемаша» и НИШГГмаша организован НИИ минометного вооружения (НИИ № 1) (11982).</w:t>
      </w:r>
    </w:p>
    <w:p w14:paraId="7287F31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84E17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г. по пр. НКМВ НИИП (НИИ-5 НКМВ, НИИ приборостроения (НИИП) НКОМ, НКМВ, НИИ часовой промышленности (НИИчаспром) ММиП, ММ, МПиСА, МосгорСНХ, МПСАиСУ, ОАО «НИИ часовой промышленности («Часпром»)» /г. Москва ул. Часовая, 24/1 тел. 151-15-01/), созданный в рамках НКОМ 7 сентября 1940, был переименован в НИИ-5 5ГУ.</w:t>
      </w:r>
    </w:p>
    <w:p w14:paraId="58CA69A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1941 г. НИИП эвакуирован в Томск. В 12.1941 г. при образовании НКМВ планировалось на базе НИИП в Томске создать НИИ-7 НКМВ.</w:t>
      </w:r>
    </w:p>
    <w:p w14:paraId="6844C45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1946 г. институт передан из НКМВ в ведение ММиП. По пр. ММиП от 17.05.1946г. НИИ-5 переименован в НИИчаспром. В 1947г. институт - в ведении Главчаспрома ММиП. Далее действовал в ведении: ММиП (1946-53; 1954-56г.), ММ (1953-54г.), МПиСА (1956-57г.), МосгорСНХ (1957-59г.), ГК по автоматизации и машиностроению (1959-63г.), ГК по приборостроению, средствам автоматизации и систем управления Госплана (1963-65г.), МПСАиСУ (с 1965г.).</w:t>
      </w:r>
    </w:p>
    <w:p w14:paraId="312D748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01.1945г. при институте организован опытный инструментальный завод, в 05.1945г. он выделен в самостоятельное предприятие.</w:t>
      </w:r>
    </w:p>
    <w:p w14:paraId="37DB617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Институт имел Угличский филиал.</w:t>
      </w:r>
    </w:p>
    <w:p w14:paraId="7636DB9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Работы: разработка: теоретических основ хронометрии; инженерных методов расчета часов и часовых механизмов; новых конструкций бытовых и технических часов; создание: технических приборов времени для промышленности, сельского хозяйства, транспорта и связи, специализированных выявителей текущего времени, измерителей интервалов времени; специальных масел и смазок, технологии смазки; новых спецматериалов и конструкций инструментов для часовой промышленности; повышение надежности приборов времени.</w:t>
      </w:r>
    </w:p>
    <w:p w14:paraId="3192DCA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ОАО было в 2004г.</w:t>
      </w:r>
    </w:p>
    <w:p w14:paraId="6A28313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Создано: система единого врмени массового применения «СЕВЭНА»; конструкции часов: балансовых стенных, карманных, карманных прецизионных, морских, наручных электрических, будильника с недельным заводом, хронометров контактных морских (11982).</w:t>
      </w:r>
    </w:p>
    <w:p w14:paraId="22F4BB1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BA05FF"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Армия:</w:t>
      </w:r>
    </w:p>
    <w:p w14:paraId="7884DAA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C542C3"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в 1942 году утреннее сообщение Совинформбюро:</w:t>
      </w:r>
    </w:p>
    <w:p w14:paraId="799F03AF"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16 июля наши войска вели бои с противником в района Воронежа и юго-восточнее Миллерово.</w:t>
      </w:r>
    </w:p>
    <w:p w14:paraId="645D5066"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6AE254C2"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наши войска на ряде участков контратакуют противника и наносят ему большой урон. Наша часть, поддержанная танками, за сутки уничтожила 1.200 немецких солдат и офицеров, 8 танков, 12 пулемётов, 7 миномётов и 9 автомашин. На другом участке наши бойцы несколько потеснили противника и уничтожили 5 немецких танков и 350 гитлеровцев. Наше танковое подразделение разгромило штаб крупного немецкого соединения. Захвачены штабные документы, два танка и пленные.</w:t>
      </w:r>
    </w:p>
    <w:p w14:paraId="07DA9269"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Западного фронта наша часть отбила три атаки противника. Перейдя в контратаку, наши бойцы после упорного боя заняли укреплённый пункт. Уничтожено до 1.000 немецких солдат и офицеров, подбито 2 немецких танка.</w:t>
      </w:r>
    </w:p>
    <w:p w14:paraId="672F8A67"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отдельных участках Калининского фронта гитлеровцы предприняли несколько безуспешных атак. В этих боях высокое мастерство проявили наши бронебойщики. Бойцы тт. Павлов, Полянцев, Бусынов сожгли каждый по танку противника. Кроме того, групповым огнём они уничтожили 4 немецких танка. Зенитчики под командованием тов. Шукайло за последние дни сбили 7 немецких бомбардировщиков. Успешно действуют наши снайперы. Командир отделения старший сержант тов. Кушнерза 14 дней июля истребил 118 гитлеровцев, а его отделение в целом — свыше 300 немецких солдат и офицеров.</w:t>
      </w:r>
    </w:p>
    <w:p w14:paraId="25DD7D77"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отражении одной атаки противника выбыл из строя расчёт нашего орудия. Командир артиллерийской батареи тов. Кузьмин вместе с военкомом тов. Ибрагимовым стали к орудию, открыли огонь и подбили 4 немецких танка.</w:t>
      </w:r>
    </w:p>
    <w:p w14:paraId="3D231539"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Лётчики-истребители капитан Небытов, старший лейтенант Рубцов, младший лейтенант Хохлов, младший лейтенант Волков встретились в воздухе с десятью немецкими самолётами. Наши лётчики атаковали противника и сбили два самолёта противника.</w:t>
      </w:r>
    </w:p>
    <w:p w14:paraId="05F20121"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Солдат 9 роты 61 полка 7 немецкой пехотной дивизии Ганс Рейдер, взятый в пленна Западном фронте, рассказал: «После часовой артиллерийской подготовки мы пошли в наступление. Русские открыли ураганный пулемётный и миномётный огонь и прижали нас к земле. Это была ужасная картина. В нашей роте в живых осталось всего лишь несколько человек. Рота потеряла почти всю материальную часть. Такая же судьба постигла и другие подразделения полка».</w:t>
      </w:r>
    </w:p>
    <w:p w14:paraId="3022052A"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Немецкие оккупанты ограбили жителей села Голышино, Орловской области, разрушили и дотла сожгли 279 домов. Гитлеровские бандиты уничтожили все хозяйственные постройки колхоза и замучили насмерть 26 местных жителей. Семью колхозника Дегтярева Гордея Васильевича, его жену Марию Ивановну 64 лет, невестку Пелагею Павловну 25 лет и дочь Анну 20 лет немцы закололи штыками. Старуху Христину Лаврентьевну Митичкину и её двухлетнего внука фашистские людоеды заперли в подвал, а затем подожгли дом со всех сторон.</w:t>
      </w:r>
    </w:p>
    <w:p w14:paraId="242CDC40"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Французские патриоты ведут самоотверженную борьбу против немецких захватчиков. Недавно в Париже на Елисейских полях был убит немецкий майор.Стрелявший скрылся на велосипеде. В городе Булонь-сюр-Сен (близ Парижа) обнаруженытрупы двух немецких солдат.» (14954).</w:t>
      </w:r>
    </w:p>
    <w:p w14:paraId="680A3B5F" w14:textId="77777777" w:rsidR="00056917" w:rsidRPr="001E2C69" w:rsidRDefault="00056917" w:rsidP="00722885">
      <w:pPr>
        <w:spacing w:after="0" w:line="240" w:lineRule="auto"/>
        <w:jc w:val="both"/>
        <w:rPr>
          <w:rFonts w:ascii="Times New Roman" w:hAnsi="Times New Roman"/>
          <w:color w:val="000000" w:themeColor="text1"/>
          <w:sz w:val="16"/>
          <w:szCs w:val="16"/>
        </w:rPr>
      </w:pPr>
    </w:p>
    <w:p w14:paraId="6B948739"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в 1942 году вечернее сообщение Совинформбюро:</w:t>
      </w:r>
    </w:p>
    <w:p w14:paraId="3C147C22"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16 июля наши войска вели бои с противником в районе Воронежа.</w:t>
      </w:r>
    </w:p>
    <w:p w14:paraId="78EB09E0"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6BE6DB4C"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15 июля частями нашей авиации на различных участках фронта уничтожено или повреждено около 40 немецких танков, 150 автомашин с войсками и грузами, 8 автоцистерн с горючим, взорван склад с боеприпасами, разбит железнодорожныйсостав, потоплен танкер и повреждён сторожевой корабль, рассеяно и частьюуничтожено до батальона пехоты и эскадрон конницы противника.</w:t>
      </w:r>
    </w:p>
    <w:p w14:paraId="1277D571"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районе Воронежа наши войска ведут самоотверженную борьбу снемецко-фашистскими войсками. На отдельных участках инициатива перешла в руки советских частей, и гитлеровцы были вынуждены перейти к обороне. Продвигаясь вперёд, одна наша часть встретила мощную противотанковую оборону противника. Стремительным ударом наши бойцы прорвали первую линию обороны и уничтожили при этом свыше 100 противотанковых пушек. Затем был также прорван второй </w:t>
      </w:r>
      <w:r w:rsidRPr="001E2C69">
        <w:rPr>
          <w:rFonts w:ascii="Times New Roman" w:hAnsi="Times New Roman"/>
          <w:color w:val="000000" w:themeColor="text1"/>
          <w:sz w:val="16"/>
          <w:szCs w:val="16"/>
        </w:rPr>
        <w:lastRenderedPageBreak/>
        <w:t>оборонительный рубеж немцев. Другая наша часть в бою за населённый пункт уничтожила 7 немецких танков, 22 орудия, бронемашину, 14 автомашин с грузом, 10 пулемётных точек и свыше батальона пехоты противника. На одном из участков гитлеровцы силою до батальона повели наступление на наши укреплённые рубежи. Артиллерийским, миномётным и ружейно-пулемётным огнём наши гвардейцы разгромили немецкий батальон. Лишь нескольким десяткам гитлеровцев удалось спастись бегством.</w:t>
      </w:r>
    </w:p>
    <w:p w14:paraId="1A441A02"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Юго-восточнее Миллерова наши войска с боями отходили на новые позиции. В непрерывных тяжёлых боях с превосходящими силами немецко-фашистских войск наши части наносят немцам большие потери. Бойцы одной нашей части за три дня напряжённых боев истребили до 4.000 гитлеровцев и уничтожили 35 немецких танков. Наша авиация смелыми налётами опустошает ряды наступающих гитлеровских войск.</w:t>
      </w:r>
    </w:p>
    <w:p w14:paraId="41A67CEB"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дня на отдельных участках Западного фронта огнём нашей артиллерии, миномётов и разведывательными группами уничтожено 1.200 немецких солдат и офицеров. Захвачены пленные.</w:t>
      </w:r>
    </w:p>
    <w:p w14:paraId="2B131412"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Северо-Западного фронта наши бойцы выбили немцев из населённого пункта. Противник потерял 3 танка и 250 солдат и офицеров.</w:t>
      </w:r>
    </w:p>
    <w:p w14:paraId="15F5C212"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Бригада воентехника тов. Иванко в полевых условиях, работая без отдыха 50 часов, досрочно выпустила из ремонта 4 танка. В первом же бою экипаж младшего лейтенанта Фролова на одной из отремонтированных машин уничтожил 3 немецких танка и одно противотанковое орудие.</w:t>
      </w:r>
    </w:p>
    <w:p w14:paraId="1022E39D"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Снайпер Семён Номоконов отлично владеет трёхлинейной винтовкой. С ноября 1941 года он истребил 222 гитлеровца. Его ученик красноармеец Курылов истребил 98 немцев.</w:t>
      </w:r>
    </w:p>
    <w:p w14:paraId="2582C4EB"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Группа ленинградских партизан из отряда, где командиром тов. С., организовала на шоссе засаду и забросала гранатами автоколонну противника. Воспользовавшись замешательством гитлеровцев, партизаны уничтожили 5 грузовых автомашин с горючим и боеприпасами и перебили 35 немецко-фашистских оккупантов.</w:t>
      </w:r>
    </w:p>
    <w:p w14:paraId="24C93EC5"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166 полка 82 немецкой пехотной дивизии Вильгельм М. рассказал: «За два дня третий батальон потерял убитыми более 250 человек, в том числе убит командир батальона майор Бозе. Вследствие огромных потерь командование бросает в бой солдат из обозов и прочих нестроевых команд. Я был всё время ездовым. В первых числах июля меня назначили стрелком и послали на передовые позиции».</w:t>
      </w:r>
    </w:p>
    <w:p w14:paraId="5779C569"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мерзавцы разграбили и сожгли деревню Алешок, Орловской области. Огнём уничтожены 97 жилых домов и все общественные постройки колхоза. Гитлеровцы замучили и расстреляли многих крестьян. Ворвавшись в дом колхозника Казакова Антона Ивановича, палачи сначала убили пятерых его детей, а потом застрелили жену Казакова и его самого. Гитлеровские звери надругались над1 7-летней девушкой Марией Потанчиковой, а потом расстреляли её.</w:t>
      </w:r>
    </w:p>
    <w:p w14:paraId="75972FAC"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Германии широко применяется новый заменитель муки, приготовляемый из отходов химической промышленности. При выпечке хлеба в муку примешивается не менее 30 процентов заменителя. Подобный «эрзац-хлеб» вызывает массовые желудочные заболевания.»</w:t>
      </w:r>
    </w:p>
    <w:p w14:paraId="440CD438"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Итоги двухмесячных боёв на советско-германском фронте (с 15 мая по 15 июля 1942 года):</w:t>
      </w:r>
    </w:p>
    <w:p w14:paraId="3B363033"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«Ожесточённые бои на советско-германском фронте, происходившие с 15 мая по 15июля, ясно выявили то новое, что отличает борьбу в 1942 году от борьбы в 1941 году. Это отличие состоит в том, что возросшая организованность и стойкость Красной Армии в борьбе с врагом принудили немцев сразу вводить в бой основные силы и резервы своих армий, продвигаться вперёд гораздо более медленно, чем прежде, и нести в ходе боёв огромные, невосполнимые потери людьми и техникой. Вот данные о наших и немецких потерях за период с 15 мая по 15 июля 1942 года.</w:t>
      </w:r>
    </w:p>
    <w:p w14:paraId="28E3F5C9"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войска потеряли убитыми, ранеными и пленными не менее 900.000 солдат и офицеров, из них убитыми не менее 350.000. Они потеряли кроме того до 2.000 орудий всех калибров, до 2.900 танков, не менее 3.000 самолётов.</w:t>
      </w:r>
    </w:p>
    <w:p w14:paraId="4C58F104"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Красная Армия потеряла за этот же период 399.000 человек убитыми, ранеными и пропавшими без вести, 1.905 орудий всех калибров, 940 танков, 1.354 самолёта.</w:t>
      </w:r>
    </w:p>
    <w:p w14:paraId="0B230DDC"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Из этих данных видно, что только за последние два месяца немцы потеряли убитыми, ранеными и пленными около миллиона солдат и офицеров. В этом и состоит решающий итог двухмесячных боёв. Правда, в ходе этих боёв советские войска оставили ряд районов и городов, но нанесли гитлеровцам огромный урон в людях и технике.</w:t>
      </w:r>
    </w:p>
    <w:p w14:paraId="5AD75782"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Опыт показывает, что чем больше потерь несёт германская армия, тем наглее лжёт германское информационное бюро, тем громче лай и визг несётся из берлинской подворотни. За последние дни гитлеровцы в жульничестве и вранье превзошли даже самих себя.</w:t>
      </w:r>
    </w:p>
    <w:p w14:paraId="124504F9"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Еще не просохли чернила на лживом сообщении германского командования от 13 июля, как германское информационное бюро опубликовало новое сообщение о потерях Красной Армии за два месяца. При этом называются умопомрачительные цифры якобы захваченных пленных, уничтоженных танков и орудий. Немцы сообщают, будто бы они с 14 мая по 13 июля захватили в плен 706.000 советских солдат, захватили и уничтожили 3.940 танков и 7.100 орудий. Это бредовое сообщение гитлеровцев, рассчитанное на дурачков, оставляет позади все известные до сих пор неуклюжие берлинские фальшивки. Если подсчитать по сообщениям германского информационного бюро якобы захваченные немецкими войсками за время войны трофеи, то окажется, что у Красной Армии уже давно не осталось не только ни одного танка и ни одного орудия, но не осталось также и солдат.</w:t>
      </w:r>
    </w:p>
    <w:p w14:paraId="7CDC89C3"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Гитлеровские жулики, опубликовывая фантастические данные, в прошлом уже не раз ставили себя в смешное положение. Потом им пришлось всячески выкручиваться. Однако эти уроки им впрок не пошли. Они снова стараются одурачить население Германии и тем самым скрыть от немецкого народа правду об огромных потерях немецко-фашистской армии на советско-германском фронте. Но теперь мировое общественное мнение и даже население Германии, испытавшее на своей шкуре подлинные потери гитлеровских войск на советско-германском фронте, уже, как правило, встречают каждое «специальное сообщение» Гитлера народной поговоркой: «Ври, да знай меру!» (14954).</w:t>
      </w:r>
    </w:p>
    <w:p w14:paraId="339DFEB8" w14:textId="77777777" w:rsidR="00056917" w:rsidRPr="001E2C69" w:rsidRDefault="00056917" w:rsidP="00722885">
      <w:pPr>
        <w:spacing w:after="0" w:line="240" w:lineRule="auto"/>
        <w:jc w:val="both"/>
        <w:rPr>
          <w:rFonts w:ascii="Times New Roman" w:hAnsi="Times New Roman"/>
          <w:color w:val="000000" w:themeColor="text1"/>
          <w:sz w:val="16"/>
          <w:szCs w:val="16"/>
        </w:rPr>
      </w:pPr>
    </w:p>
    <w:p w14:paraId="4F419C81"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в 1942 году войска 62-й армии Сталинградского фронта заняли оборону на рубеже Клетская, Ерастовский, Суровикино, а войска 64-й армии — на рубеже Суровикино, Верхнекурмоярская (14954).</w:t>
      </w:r>
    </w:p>
    <w:p w14:paraId="231DDB87" w14:textId="77777777" w:rsidR="00056917" w:rsidRPr="001E2C69" w:rsidRDefault="00056917" w:rsidP="00722885">
      <w:pPr>
        <w:spacing w:after="0" w:line="240" w:lineRule="auto"/>
        <w:jc w:val="both"/>
        <w:rPr>
          <w:rFonts w:ascii="Times New Roman" w:hAnsi="Times New Roman"/>
          <w:color w:val="000000" w:themeColor="text1"/>
          <w:sz w:val="16"/>
          <w:szCs w:val="16"/>
        </w:rPr>
      </w:pPr>
    </w:p>
    <w:p w14:paraId="4B7B9BA4"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в 1942 году введены отличительные знаки для военнослужащих, раненных на фронтах Великой Отечественной войны (14954).</w:t>
      </w:r>
    </w:p>
    <w:p w14:paraId="600EB4FF" w14:textId="77777777" w:rsidR="00056917" w:rsidRPr="001E2C69" w:rsidRDefault="00056917" w:rsidP="00722885">
      <w:pPr>
        <w:spacing w:after="0" w:line="240" w:lineRule="auto"/>
        <w:jc w:val="both"/>
        <w:rPr>
          <w:rFonts w:ascii="Times New Roman" w:hAnsi="Times New Roman"/>
          <w:color w:val="000000" w:themeColor="text1"/>
          <w:sz w:val="16"/>
          <w:szCs w:val="16"/>
        </w:rPr>
      </w:pPr>
    </w:p>
    <w:p w14:paraId="2F42935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с аэро</w:t>
      </w:r>
      <w:r w:rsidRPr="001E2C69">
        <w:rPr>
          <w:rFonts w:ascii="Times New Roman" w:hAnsi="Times New Roman"/>
          <w:color w:val="000000" w:themeColor="text1"/>
          <w:sz w:val="16"/>
          <w:szCs w:val="16"/>
        </w:rPr>
        <w:softHyphen/>
        <w:t>дрома Анапское вступил в бой второй полк, вооруженный УТ-1б. К 22 августа он совер</w:t>
      </w:r>
      <w:r w:rsidRPr="001E2C69">
        <w:rPr>
          <w:rFonts w:ascii="Times New Roman" w:hAnsi="Times New Roman"/>
          <w:color w:val="000000" w:themeColor="text1"/>
          <w:sz w:val="16"/>
          <w:szCs w:val="16"/>
        </w:rPr>
        <w:softHyphen/>
        <w:t>шил 260 вылетов на штурмовку, причем около сотни из них - днем. Этого требо</w:t>
      </w:r>
      <w:r w:rsidRPr="001E2C69">
        <w:rPr>
          <w:rFonts w:ascii="Times New Roman" w:hAnsi="Times New Roman"/>
          <w:color w:val="000000" w:themeColor="text1"/>
          <w:sz w:val="16"/>
          <w:szCs w:val="16"/>
        </w:rPr>
        <w:softHyphen/>
        <w:t>вала тяжелая обстановка на фронте, а также - примитивное оборудование са</w:t>
      </w:r>
      <w:r w:rsidRPr="001E2C69">
        <w:rPr>
          <w:rFonts w:ascii="Times New Roman" w:hAnsi="Times New Roman"/>
          <w:color w:val="000000" w:themeColor="text1"/>
          <w:sz w:val="16"/>
          <w:szCs w:val="16"/>
        </w:rPr>
        <w:softHyphen/>
        <w:t>молетов. УТ-16 не имел ни фар, ни факелодержателей для ночной посадки, а приборное оборудование было рассчи</w:t>
      </w:r>
      <w:r w:rsidRPr="001E2C69">
        <w:rPr>
          <w:rFonts w:ascii="Times New Roman" w:hAnsi="Times New Roman"/>
          <w:color w:val="000000" w:themeColor="text1"/>
          <w:sz w:val="16"/>
          <w:szCs w:val="16"/>
        </w:rPr>
        <w:softHyphen/>
        <w:t>тано лишь на полеты в самых простых погодных условиях (3955).</w:t>
      </w:r>
    </w:p>
    <w:p w14:paraId="281B88B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587D9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НКВМФ Н.Г.Кузнецов выпустил директиву N 338/Ш о недостатках боевой деятельности авиации (2120).</w:t>
      </w:r>
    </w:p>
    <w:p w14:paraId="34D7E58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8D185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ввели нашивки за ранения в КА, а 20 июля - в ВМФ (3398,247).</w:t>
      </w:r>
    </w:p>
    <w:p w14:paraId="14EB0F6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BAC7CC"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Гитлер впервые прибыл в свою ставку “Верфольф” под Винницей (4962).</w:t>
      </w:r>
    </w:p>
    <w:p w14:paraId="508FADBB"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08C9D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вышло Постановление ГКО № 2053 О сформировании шести армейских полков ПВО для 6,60,62,63,64 и 4-й резервных армий. РГАНИР, Фонд ГКО, д. 44, лл. 196 (11012).</w:t>
      </w:r>
    </w:p>
    <w:p w14:paraId="7334B81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881D6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вышло Постановление ГКО № 2054 О сформировании четырех армейских полков ПВО для Северо-Кавказского фронта. РГАНИР, Фонд ГКО, д. 44, лл. 197 (11012).</w:t>
      </w:r>
    </w:p>
    <w:p w14:paraId="28DCF5C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CD825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вышло Постановление ГКО № 2055 О сформировании легких артиллерийских полков РГК и артиллерийских полков гвардейских стрелковых корпусов. РГАНИР, Фонд ГКО, д. 44, лл. 198 (11012).</w:t>
      </w:r>
    </w:p>
    <w:p w14:paraId="4A0E6CD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736701"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в 1942 году Адольф Гитлер впервые прибывает в свою ставку "Верфольф" под Винницей (14954).</w:t>
      </w:r>
    </w:p>
    <w:p w14:paraId="3443497C" w14:textId="77777777" w:rsidR="00056917" w:rsidRPr="001E2C69" w:rsidRDefault="00056917" w:rsidP="00722885">
      <w:pPr>
        <w:spacing w:after="0" w:line="240" w:lineRule="auto"/>
        <w:jc w:val="both"/>
        <w:rPr>
          <w:rFonts w:ascii="Times New Roman" w:hAnsi="Times New Roman"/>
          <w:color w:val="000000" w:themeColor="text1"/>
          <w:sz w:val="16"/>
          <w:szCs w:val="16"/>
        </w:rPr>
      </w:pPr>
    </w:p>
    <w:p w14:paraId="1466F5C3"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Жизнь и внутренняя политика:</w:t>
      </w:r>
    </w:p>
    <w:p w14:paraId="4CEEF9E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F5F860"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вышло Постановление ГКО № 2052 О мобилизации автомашин и тракторов из народного хозяйства Краснодарского и Орджоникидзевского краев, Кабардино-Балкарской, Чечено-Ингушской, Северо-Осетинской АССР и части Ростовской области для доукомплектования войсковых частей Северо-Кавказского фронта. (7043, 194,195).</w:t>
      </w:r>
    </w:p>
    <w:p w14:paraId="25462C1B"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16C840"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За рубежом:</w:t>
      </w:r>
    </w:p>
    <w:p w14:paraId="550CFAD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A5DC93" w14:textId="77777777" w:rsidR="0016638B" w:rsidRPr="001E2C69" w:rsidRDefault="001663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июля 1942 года состоялся первый полет Junkers Ju 290 (20793).</w:t>
      </w:r>
    </w:p>
    <w:p w14:paraId="7E0BC0CD" w14:textId="77777777" w:rsidR="0016638B" w:rsidRPr="001E2C69" w:rsidRDefault="0016638B" w:rsidP="00722885">
      <w:pPr>
        <w:spacing w:after="0" w:line="240" w:lineRule="auto"/>
        <w:jc w:val="both"/>
        <w:rPr>
          <w:rFonts w:ascii="Times New Roman" w:hAnsi="Times New Roman"/>
          <w:color w:val="000000" w:themeColor="text1"/>
          <w:sz w:val="16"/>
          <w:szCs w:val="16"/>
        </w:rPr>
      </w:pPr>
    </w:p>
    <w:p w14:paraId="6DFF0D4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16 июля 1942 США разорвали консульские отношения с Финляндией (3186).</w:t>
      </w:r>
    </w:p>
    <w:p w14:paraId="6CAD1F1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8F1F35"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Авиапромышленность:</w:t>
      </w:r>
    </w:p>
    <w:p w14:paraId="35AD0A5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5A6E26" w14:textId="77777777" w:rsidR="005D11FF" w:rsidRPr="001E2C69" w:rsidRDefault="005D11F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Начиная с 17 июля 1943 г., в строевые ча</w:t>
      </w:r>
      <w:r w:rsidRPr="001E2C69">
        <w:rPr>
          <w:rFonts w:ascii="Times New Roman" w:hAnsi="Times New Roman"/>
          <w:color w:val="000000" w:themeColor="text1"/>
          <w:sz w:val="16"/>
          <w:szCs w:val="16"/>
        </w:rPr>
        <w:softHyphen/>
        <w:t>сти ВВС КА стали поступать Ил-2 с увеличен</w:t>
      </w:r>
      <w:r w:rsidRPr="001E2C69">
        <w:rPr>
          <w:rFonts w:ascii="Times New Roman" w:hAnsi="Times New Roman"/>
          <w:color w:val="000000" w:themeColor="text1"/>
          <w:sz w:val="16"/>
          <w:szCs w:val="16"/>
        </w:rPr>
        <w:softHyphen/>
        <w:t>ным вырезом в фонаре кабины воздушно</w:t>
      </w:r>
      <w:r w:rsidRPr="001E2C69">
        <w:rPr>
          <w:rFonts w:ascii="Times New Roman" w:hAnsi="Times New Roman"/>
          <w:color w:val="000000" w:themeColor="text1"/>
          <w:sz w:val="16"/>
          <w:szCs w:val="16"/>
        </w:rPr>
        <w:softHyphen/>
        <w:t>го стрелка для расширения области обстре</w:t>
      </w:r>
      <w:r w:rsidRPr="001E2C69">
        <w:rPr>
          <w:rFonts w:ascii="Times New Roman" w:hAnsi="Times New Roman"/>
          <w:color w:val="000000" w:themeColor="text1"/>
          <w:sz w:val="16"/>
          <w:szCs w:val="16"/>
        </w:rPr>
        <w:softHyphen/>
        <w:t>ла из пулемета УБТ и улучшенным замком фонаря. Эти доработки были внедрены с са</w:t>
      </w:r>
      <w:r w:rsidRPr="001E2C69">
        <w:rPr>
          <w:rFonts w:ascii="Times New Roman" w:hAnsi="Times New Roman"/>
          <w:color w:val="000000" w:themeColor="text1"/>
          <w:sz w:val="16"/>
          <w:szCs w:val="16"/>
        </w:rPr>
        <w:softHyphen/>
        <w:t>молета зав. №1870165. С 15 апреля в армию стали передавать самолеты Ил-2 (начиная зав. №1870153), оборудованные привязными ремнями воздушного стрелка )19879).</w:t>
      </w:r>
    </w:p>
    <w:p w14:paraId="3C40762E" w14:textId="77777777" w:rsidR="005D11FF" w:rsidRPr="001E2C69" w:rsidRDefault="005D11FF" w:rsidP="00722885">
      <w:pPr>
        <w:spacing w:after="0" w:line="240" w:lineRule="auto"/>
        <w:jc w:val="both"/>
        <w:rPr>
          <w:rFonts w:ascii="Times New Roman" w:hAnsi="Times New Roman"/>
          <w:color w:val="000000" w:themeColor="text1"/>
          <w:sz w:val="16"/>
          <w:szCs w:val="16"/>
        </w:rPr>
      </w:pPr>
    </w:p>
    <w:p w14:paraId="4A72C6D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июля 1942 Зам. НКАП Дементьев писал письмо N Н-36/2757 Репину:</w:t>
      </w:r>
    </w:p>
    <w:p w14:paraId="3043A73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"Прошу Вашего разрешения на выпуск заводом 30 самолетов Ил-2 с лонжеронами рулей из клепаных труб...</w:t>
      </w:r>
    </w:p>
    <w:p w14:paraId="2E7197E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Проведенными статиспытаниями и эксплуатацией самолетов завода 30 установлено, что клепаные трубы лонжеронов имеют значительный запас прочности и допускают нормальную эксплуатацию рулей." (1633,168).</w:t>
      </w:r>
    </w:p>
    <w:p w14:paraId="56DE67D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428FE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июля 1942 года начальник 10-го гл. управления НКАП Тарасевич за N 507 направил.</w:t>
      </w:r>
    </w:p>
    <w:p w14:paraId="6D9760D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План запуска бронеизделий по заводам 10 гл. управления НКАП на III квартал 1942 г.</w:t>
      </w:r>
    </w:p>
    <w:p w14:paraId="636BF73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расчета материального снабжения)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850"/>
        <w:gridCol w:w="791"/>
        <w:gridCol w:w="1052"/>
        <w:gridCol w:w="1404"/>
        <w:gridCol w:w="1045"/>
        <w:gridCol w:w="1372"/>
        <w:gridCol w:w="1151"/>
        <w:gridCol w:w="1264"/>
      </w:tblGrid>
      <w:tr w:rsidR="001E2C69" w:rsidRPr="001E2C69" w14:paraId="08FA3277" w14:textId="77777777" w:rsidTr="00CC5360">
        <w:tc>
          <w:tcPr>
            <w:tcW w:w="1668" w:type="dxa"/>
            <w:tcBorders>
              <w:top w:val="single" w:sz="12" w:space="0" w:color="auto"/>
            </w:tcBorders>
          </w:tcPr>
          <w:p w14:paraId="3FF7FFC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Наименование изделий</w:t>
            </w:r>
          </w:p>
        </w:tc>
        <w:tc>
          <w:tcPr>
            <w:tcW w:w="850" w:type="dxa"/>
            <w:tcBorders>
              <w:top w:val="single" w:sz="12" w:space="0" w:color="auto"/>
            </w:tcBorders>
          </w:tcPr>
          <w:p w14:paraId="281C465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Един.</w:t>
            </w:r>
          </w:p>
        </w:tc>
        <w:tc>
          <w:tcPr>
            <w:tcW w:w="791" w:type="dxa"/>
            <w:tcBorders>
              <w:top w:val="single" w:sz="12" w:space="0" w:color="auto"/>
            </w:tcBorders>
          </w:tcPr>
          <w:p w14:paraId="5FC44C2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2" w:type="dxa"/>
            <w:tcBorders>
              <w:top w:val="single" w:sz="12" w:space="0" w:color="auto"/>
            </w:tcBorders>
          </w:tcPr>
          <w:p w14:paraId="08AA635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N 125</w:t>
            </w:r>
          </w:p>
        </w:tc>
        <w:tc>
          <w:tcPr>
            <w:tcW w:w="1404" w:type="dxa"/>
            <w:tcBorders>
              <w:top w:val="single" w:sz="12" w:space="0" w:color="auto"/>
            </w:tcBorders>
          </w:tcPr>
          <w:p w14:paraId="0BB2AF8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12" w:space="0" w:color="auto"/>
            </w:tcBorders>
          </w:tcPr>
          <w:p w14:paraId="6105294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N 207</w:t>
            </w:r>
          </w:p>
        </w:tc>
        <w:tc>
          <w:tcPr>
            <w:tcW w:w="1372" w:type="dxa"/>
            <w:tcBorders>
              <w:top w:val="single" w:sz="12" w:space="0" w:color="auto"/>
            </w:tcBorders>
          </w:tcPr>
          <w:p w14:paraId="1E0D9B6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51" w:type="dxa"/>
            <w:tcBorders>
              <w:top w:val="single" w:sz="12" w:space="0" w:color="auto"/>
            </w:tcBorders>
          </w:tcPr>
          <w:p w14:paraId="0B10907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Всего</w:t>
            </w:r>
          </w:p>
        </w:tc>
        <w:tc>
          <w:tcPr>
            <w:tcW w:w="1264" w:type="dxa"/>
            <w:tcBorders>
              <w:top w:val="single" w:sz="12" w:space="0" w:color="auto"/>
            </w:tcBorders>
          </w:tcPr>
          <w:p w14:paraId="1584213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6ADEE9AB" w14:textId="77777777" w:rsidTr="00CC5360">
        <w:tc>
          <w:tcPr>
            <w:tcW w:w="1668" w:type="dxa"/>
          </w:tcPr>
          <w:p w14:paraId="016EB4A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F15581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измерен.</w:t>
            </w:r>
          </w:p>
        </w:tc>
        <w:tc>
          <w:tcPr>
            <w:tcW w:w="791" w:type="dxa"/>
          </w:tcPr>
          <w:p w14:paraId="40E03F2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2" w:type="dxa"/>
          </w:tcPr>
          <w:p w14:paraId="75E351E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плану</w:t>
            </w:r>
          </w:p>
        </w:tc>
        <w:tc>
          <w:tcPr>
            <w:tcW w:w="1404" w:type="dxa"/>
          </w:tcPr>
          <w:p w14:paraId="2CCA232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предлагаем.</w:t>
            </w:r>
          </w:p>
        </w:tc>
        <w:tc>
          <w:tcPr>
            <w:tcW w:w="1045" w:type="dxa"/>
          </w:tcPr>
          <w:p w14:paraId="61B42C6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плану</w:t>
            </w:r>
          </w:p>
        </w:tc>
        <w:tc>
          <w:tcPr>
            <w:tcW w:w="1372" w:type="dxa"/>
          </w:tcPr>
          <w:p w14:paraId="5818F21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предлагаем.</w:t>
            </w:r>
          </w:p>
        </w:tc>
        <w:tc>
          <w:tcPr>
            <w:tcW w:w="1151" w:type="dxa"/>
          </w:tcPr>
          <w:p w14:paraId="500D3C4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плану</w:t>
            </w:r>
          </w:p>
        </w:tc>
        <w:tc>
          <w:tcPr>
            <w:tcW w:w="1264" w:type="dxa"/>
          </w:tcPr>
          <w:p w14:paraId="26CEE97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предлагаем.</w:t>
            </w:r>
          </w:p>
        </w:tc>
      </w:tr>
      <w:tr w:rsidR="001E2C69" w:rsidRPr="001E2C69" w14:paraId="2934AD30" w14:textId="77777777" w:rsidTr="00CC5360">
        <w:tc>
          <w:tcPr>
            <w:tcW w:w="1668" w:type="dxa"/>
          </w:tcPr>
          <w:p w14:paraId="04B73FD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5197C6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1" w:type="dxa"/>
          </w:tcPr>
          <w:p w14:paraId="3DC6CFC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2" w:type="dxa"/>
          </w:tcPr>
          <w:p w14:paraId="0F1D633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ГОКО</w:t>
            </w:r>
          </w:p>
        </w:tc>
        <w:tc>
          <w:tcPr>
            <w:tcW w:w="1404" w:type="dxa"/>
          </w:tcPr>
          <w:p w14:paraId="757382E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плану</w:t>
            </w:r>
          </w:p>
        </w:tc>
        <w:tc>
          <w:tcPr>
            <w:tcW w:w="1045" w:type="dxa"/>
          </w:tcPr>
          <w:p w14:paraId="6B72B16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ГОКО</w:t>
            </w:r>
          </w:p>
        </w:tc>
        <w:tc>
          <w:tcPr>
            <w:tcW w:w="1372" w:type="dxa"/>
          </w:tcPr>
          <w:p w14:paraId="2A0CF7F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плану</w:t>
            </w:r>
          </w:p>
        </w:tc>
        <w:tc>
          <w:tcPr>
            <w:tcW w:w="1151" w:type="dxa"/>
          </w:tcPr>
          <w:p w14:paraId="4E918B1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ГОКО</w:t>
            </w:r>
          </w:p>
        </w:tc>
        <w:tc>
          <w:tcPr>
            <w:tcW w:w="1264" w:type="dxa"/>
          </w:tcPr>
          <w:p w14:paraId="409181F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плану</w:t>
            </w:r>
          </w:p>
        </w:tc>
      </w:tr>
      <w:tr w:rsidR="001E2C69" w:rsidRPr="001E2C69" w14:paraId="551B309B" w14:textId="77777777" w:rsidTr="00CC5360">
        <w:tc>
          <w:tcPr>
            <w:tcW w:w="1668" w:type="dxa"/>
          </w:tcPr>
          <w:p w14:paraId="64E4E1F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Бронекорпуса Ил-2</w:t>
            </w:r>
          </w:p>
        </w:tc>
        <w:tc>
          <w:tcPr>
            <w:tcW w:w="850" w:type="dxa"/>
          </w:tcPr>
          <w:p w14:paraId="3BBD2D7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кмп.</w:t>
            </w:r>
          </w:p>
        </w:tc>
        <w:tc>
          <w:tcPr>
            <w:tcW w:w="791" w:type="dxa"/>
          </w:tcPr>
          <w:p w14:paraId="6386610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2" w:type="dxa"/>
          </w:tcPr>
          <w:p w14:paraId="354472B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600</w:t>
            </w:r>
          </w:p>
        </w:tc>
        <w:tc>
          <w:tcPr>
            <w:tcW w:w="1404" w:type="dxa"/>
          </w:tcPr>
          <w:p w14:paraId="1DF1293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650</w:t>
            </w:r>
          </w:p>
        </w:tc>
        <w:tc>
          <w:tcPr>
            <w:tcW w:w="1045" w:type="dxa"/>
          </w:tcPr>
          <w:p w14:paraId="47C754A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2100</w:t>
            </w:r>
          </w:p>
        </w:tc>
        <w:tc>
          <w:tcPr>
            <w:tcW w:w="1372" w:type="dxa"/>
          </w:tcPr>
          <w:p w14:paraId="4506BE6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2100</w:t>
            </w:r>
          </w:p>
        </w:tc>
        <w:tc>
          <w:tcPr>
            <w:tcW w:w="1151" w:type="dxa"/>
          </w:tcPr>
          <w:p w14:paraId="2EC2DF9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2700</w:t>
            </w:r>
          </w:p>
        </w:tc>
        <w:tc>
          <w:tcPr>
            <w:tcW w:w="1264" w:type="dxa"/>
          </w:tcPr>
          <w:p w14:paraId="0509695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2750</w:t>
            </w:r>
          </w:p>
        </w:tc>
      </w:tr>
      <w:tr w:rsidR="001E2C69" w:rsidRPr="001E2C69" w14:paraId="02F052E5" w14:textId="77777777" w:rsidTr="00CC5360">
        <w:tc>
          <w:tcPr>
            <w:tcW w:w="1668" w:type="dxa"/>
          </w:tcPr>
          <w:p w14:paraId="0F2489C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Бронедетали Пе-2</w:t>
            </w:r>
          </w:p>
        </w:tc>
        <w:tc>
          <w:tcPr>
            <w:tcW w:w="850" w:type="dxa"/>
          </w:tcPr>
          <w:p w14:paraId="07C60DC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791" w:type="dxa"/>
          </w:tcPr>
          <w:p w14:paraId="540B628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2" w:type="dxa"/>
          </w:tcPr>
          <w:p w14:paraId="53CEFF8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50</w:t>
            </w:r>
          </w:p>
        </w:tc>
        <w:tc>
          <w:tcPr>
            <w:tcW w:w="1404" w:type="dxa"/>
          </w:tcPr>
          <w:p w14:paraId="472E946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100</w:t>
            </w:r>
          </w:p>
        </w:tc>
        <w:tc>
          <w:tcPr>
            <w:tcW w:w="1045" w:type="dxa"/>
          </w:tcPr>
          <w:p w14:paraId="60FFCE2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466</w:t>
            </w:r>
          </w:p>
        </w:tc>
        <w:tc>
          <w:tcPr>
            <w:tcW w:w="1372" w:type="dxa"/>
          </w:tcPr>
          <w:p w14:paraId="50951B8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620</w:t>
            </w:r>
          </w:p>
        </w:tc>
        <w:tc>
          <w:tcPr>
            <w:tcW w:w="1151" w:type="dxa"/>
          </w:tcPr>
          <w:p w14:paraId="034E67C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515</w:t>
            </w:r>
          </w:p>
        </w:tc>
        <w:tc>
          <w:tcPr>
            <w:tcW w:w="1264" w:type="dxa"/>
          </w:tcPr>
          <w:p w14:paraId="71EF432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720</w:t>
            </w:r>
          </w:p>
        </w:tc>
      </w:tr>
      <w:tr w:rsidR="001E2C69" w:rsidRPr="001E2C69" w14:paraId="30FB480F" w14:textId="77777777" w:rsidTr="00CC5360">
        <w:tc>
          <w:tcPr>
            <w:tcW w:w="1668" w:type="dxa"/>
          </w:tcPr>
          <w:p w14:paraId="58A8BAE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850" w:type="dxa"/>
          </w:tcPr>
          <w:p w14:paraId="5C1669F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ИЛ-4</w:t>
            </w:r>
          </w:p>
        </w:tc>
        <w:tc>
          <w:tcPr>
            <w:tcW w:w="791" w:type="dxa"/>
          </w:tcPr>
          <w:p w14:paraId="62EAF40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052" w:type="dxa"/>
          </w:tcPr>
          <w:p w14:paraId="6A9F9FB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175</w:t>
            </w:r>
          </w:p>
        </w:tc>
        <w:tc>
          <w:tcPr>
            <w:tcW w:w="1404" w:type="dxa"/>
          </w:tcPr>
          <w:p w14:paraId="08BEB85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265</w:t>
            </w:r>
          </w:p>
        </w:tc>
        <w:tc>
          <w:tcPr>
            <w:tcW w:w="1045" w:type="dxa"/>
          </w:tcPr>
          <w:p w14:paraId="17B20C4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205</w:t>
            </w:r>
          </w:p>
        </w:tc>
        <w:tc>
          <w:tcPr>
            <w:tcW w:w="1372" w:type="dxa"/>
          </w:tcPr>
          <w:p w14:paraId="248D447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280</w:t>
            </w:r>
          </w:p>
        </w:tc>
        <w:tc>
          <w:tcPr>
            <w:tcW w:w="1151" w:type="dxa"/>
          </w:tcPr>
          <w:p w14:paraId="5A87CF0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380</w:t>
            </w:r>
          </w:p>
        </w:tc>
        <w:tc>
          <w:tcPr>
            <w:tcW w:w="1264" w:type="dxa"/>
          </w:tcPr>
          <w:p w14:paraId="271D7AC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545</w:t>
            </w:r>
          </w:p>
        </w:tc>
      </w:tr>
      <w:tr w:rsidR="001E2C69" w:rsidRPr="001E2C69" w14:paraId="3F01EFDC" w14:textId="77777777" w:rsidTr="00CC5360">
        <w:tc>
          <w:tcPr>
            <w:tcW w:w="1668" w:type="dxa"/>
          </w:tcPr>
          <w:p w14:paraId="33082A4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850" w:type="dxa"/>
          </w:tcPr>
          <w:p w14:paraId="5B4B0D4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ПС-84</w:t>
            </w:r>
          </w:p>
        </w:tc>
        <w:tc>
          <w:tcPr>
            <w:tcW w:w="791" w:type="dxa"/>
          </w:tcPr>
          <w:p w14:paraId="6948758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шт.</w:t>
            </w:r>
          </w:p>
        </w:tc>
        <w:tc>
          <w:tcPr>
            <w:tcW w:w="1052" w:type="dxa"/>
          </w:tcPr>
          <w:p w14:paraId="1BD223C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404" w:type="dxa"/>
          </w:tcPr>
          <w:p w14:paraId="67B41BD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260</w:t>
            </w:r>
          </w:p>
        </w:tc>
        <w:tc>
          <w:tcPr>
            <w:tcW w:w="1045" w:type="dxa"/>
          </w:tcPr>
          <w:p w14:paraId="039C823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340</w:t>
            </w:r>
          </w:p>
        </w:tc>
        <w:tc>
          <w:tcPr>
            <w:tcW w:w="1372" w:type="dxa"/>
          </w:tcPr>
          <w:p w14:paraId="263D190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365</w:t>
            </w:r>
          </w:p>
        </w:tc>
        <w:tc>
          <w:tcPr>
            <w:tcW w:w="1151" w:type="dxa"/>
          </w:tcPr>
          <w:p w14:paraId="10F6FF1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340</w:t>
            </w:r>
          </w:p>
        </w:tc>
        <w:tc>
          <w:tcPr>
            <w:tcW w:w="1264" w:type="dxa"/>
          </w:tcPr>
          <w:p w14:paraId="6EA4B00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625</w:t>
            </w:r>
          </w:p>
        </w:tc>
      </w:tr>
      <w:tr w:rsidR="001E2C69" w:rsidRPr="001E2C69" w14:paraId="56C2D588" w14:textId="77777777" w:rsidTr="00CC5360">
        <w:tc>
          <w:tcPr>
            <w:tcW w:w="1668" w:type="dxa"/>
          </w:tcPr>
          <w:p w14:paraId="485B936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850" w:type="dxa"/>
          </w:tcPr>
          <w:p w14:paraId="7C31BC8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А-34</w:t>
            </w:r>
          </w:p>
        </w:tc>
        <w:tc>
          <w:tcPr>
            <w:tcW w:w="791" w:type="dxa"/>
          </w:tcPr>
          <w:p w14:paraId="1B19EA5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кмп.</w:t>
            </w:r>
          </w:p>
        </w:tc>
        <w:tc>
          <w:tcPr>
            <w:tcW w:w="1052" w:type="dxa"/>
          </w:tcPr>
          <w:p w14:paraId="4C401C7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225</w:t>
            </w:r>
          </w:p>
        </w:tc>
        <w:tc>
          <w:tcPr>
            <w:tcW w:w="1404" w:type="dxa"/>
          </w:tcPr>
          <w:p w14:paraId="528FF92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325</w:t>
            </w:r>
          </w:p>
        </w:tc>
        <w:tc>
          <w:tcPr>
            <w:tcW w:w="1045" w:type="dxa"/>
          </w:tcPr>
          <w:p w14:paraId="7856792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540</w:t>
            </w:r>
          </w:p>
        </w:tc>
        <w:tc>
          <w:tcPr>
            <w:tcW w:w="1372" w:type="dxa"/>
          </w:tcPr>
          <w:p w14:paraId="2871BBA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750</w:t>
            </w:r>
          </w:p>
        </w:tc>
        <w:tc>
          <w:tcPr>
            <w:tcW w:w="1151" w:type="dxa"/>
          </w:tcPr>
          <w:p w14:paraId="2E38FFC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765</w:t>
            </w:r>
          </w:p>
        </w:tc>
        <w:tc>
          <w:tcPr>
            <w:tcW w:w="1264" w:type="dxa"/>
          </w:tcPr>
          <w:p w14:paraId="5BB8AC9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1075</w:t>
            </w:r>
          </w:p>
        </w:tc>
      </w:tr>
      <w:tr w:rsidR="001E2C69" w:rsidRPr="001E2C69" w14:paraId="2D90701C" w14:textId="77777777" w:rsidTr="00CC5360">
        <w:tc>
          <w:tcPr>
            <w:tcW w:w="1668" w:type="dxa"/>
          </w:tcPr>
          <w:p w14:paraId="0B869BB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850" w:type="dxa"/>
          </w:tcPr>
          <w:p w14:paraId="4610CF7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ЛАГГ-3</w:t>
            </w:r>
          </w:p>
        </w:tc>
        <w:tc>
          <w:tcPr>
            <w:tcW w:w="791" w:type="dxa"/>
          </w:tcPr>
          <w:p w14:paraId="0DF3D81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052" w:type="dxa"/>
          </w:tcPr>
          <w:p w14:paraId="5EB64F6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404" w:type="dxa"/>
          </w:tcPr>
          <w:p w14:paraId="1311538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125</w:t>
            </w:r>
          </w:p>
        </w:tc>
        <w:tc>
          <w:tcPr>
            <w:tcW w:w="1045" w:type="dxa"/>
          </w:tcPr>
          <w:p w14:paraId="1ABF0AF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330</w:t>
            </w:r>
          </w:p>
        </w:tc>
        <w:tc>
          <w:tcPr>
            <w:tcW w:w="1372" w:type="dxa"/>
          </w:tcPr>
          <w:p w14:paraId="2E15395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275</w:t>
            </w:r>
          </w:p>
        </w:tc>
        <w:tc>
          <w:tcPr>
            <w:tcW w:w="1151" w:type="dxa"/>
          </w:tcPr>
          <w:p w14:paraId="7F44B51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330</w:t>
            </w:r>
          </w:p>
        </w:tc>
        <w:tc>
          <w:tcPr>
            <w:tcW w:w="1264" w:type="dxa"/>
          </w:tcPr>
          <w:p w14:paraId="09E4E77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400</w:t>
            </w:r>
          </w:p>
        </w:tc>
      </w:tr>
      <w:tr w:rsidR="009B487A" w:rsidRPr="001E2C69" w14:paraId="74D36D63" w14:textId="77777777" w:rsidTr="00CC5360">
        <w:tc>
          <w:tcPr>
            <w:tcW w:w="1668" w:type="dxa"/>
            <w:tcBorders>
              <w:bottom w:val="single" w:sz="12" w:space="0" w:color="auto"/>
            </w:tcBorders>
          </w:tcPr>
          <w:p w14:paraId="1929BEA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850" w:type="dxa"/>
            <w:tcBorders>
              <w:bottom w:val="single" w:sz="12" w:space="0" w:color="auto"/>
            </w:tcBorders>
          </w:tcPr>
          <w:p w14:paraId="71832C3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ТБ-7</w:t>
            </w:r>
          </w:p>
        </w:tc>
        <w:tc>
          <w:tcPr>
            <w:tcW w:w="791" w:type="dxa"/>
            <w:tcBorders>
              <w:bottom w:val="single" w:sz="12" w:space="0" w:color="auto"/>
            </w:tcBorders>
          </w:tcPr>
          <w:p w14:paraId="5044DC6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052" w:type="dxa"/>
            <w:tcBorders>
              <w:bottom w:val="single" w:sz="12" w:space="0" w:color="auto"/>
            </w:tcBorders>
          </w:tcPr>
          <w:p w14:paraId="7CC836C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404" w:type="dxa"/>
            <w:tcBorders>
              <w:bottom w:val="single" w:sz="12" w:space="0" w:color="auto"/>
            </w:tcBorders>
          </w:tcPr>
          <w:p w14:paraId="27E9741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045" w:type="dxa"/>
            <w:tcBorders>
              <w:bottom w:val="single" w:sz="12" w:space="0" w:color="auto"/>
            </w:tcBorders>
          </w:tcPr>
          <w:p w14:paraId="42165DA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372" w:type="dxa"/>
            <w:tcBorders>
              <w:bottom w:val="single" w:sz="12" w:space="0" w:color="auto"/>
            </w:tcBorders>
          </w:tcPr>
          <w:p w14:paraId="6F13D9A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w:t>
            </w:r>
          </w:p>
        </w:tc>
        <w:tc>
          <w:tcPr>
            <w:tcW w:w="1151" w:type="dxa"/>
            <w:tcBorders>
              <w:bottom w:val="single" w:sz="12" w:space="0" w:color="auto"/>
            </w:tcBorders>
          </w:tcPr>
          <w:p w14:paraId="6792FEB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264" w:type="dxa"/>
            <w:tcBorders>
              <w:bottom w:val="single" w:sz="12" w:space="0" w:color="auto"/>
            </w:tcBorders>
          </w:tcPr>
          <w:p w14:paraId="0D4395B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(1685)</w:t>
            </w:r>
          </w:p>
        </w:tc>
      </w:tr>
    </w:tbl>
    <w:p w14:paraId="6E185BF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8DB77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июля 1942 вышел приказ НКАП N 541c в целях обеспечения боеспособности самолетов на больших высотах:</w:t>
      </w:r>
    </w:p>
    <w:p w14:paraId="52C4909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Директору и ГК завода 482 Щербакову немедленно развернуть работы по проектированию и изготовлению войсковой серии гермокабин на самолеты Як-7 и ЛаГГ-3 (1568,3).</w:t>
      </w:r>
    </w:p>
    <w:p w14:paraId="59EB154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9CB96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июля 1942 л завода 292 С.С.Чеголя совершил аварию при испытаниях Як-1 N 1881 (2131), т.к. при посадке промазал и при резком развороте сломал обе стойки (2108).</w:t>
      </w:r>
    </w:p>
    <w:p w14:paraId="5982B35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5052F9" w14:textId="77777777" w:rsidR="00276293" w:rsidRPr="008A2E5A" w:rsidRDefault="00276293" w:rsidP="0027629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июля 1942 г. Як-7ДИ перегнали из Но</w:t>
      </w:r>
      <w:r w:rsidRPr="008A2E5A">
        <w:rPr>
          <w:rFonts w:ascii="Times New Roman" w:hAnsi="Times New Roman"/>
          <w:color w:val="0070C0"/>
          <w:sz w:val="16"/>
          <w:szCs w:val="16"/>
        </w:rPr>
        <w:softHyphen/>
        <w:t>восибирска в Свердловск в НИИ ВВС КА для прохождения государствен</w:t>
      </w:r>
      <w:r w:rsidRPr="008A2E5A">
        <w:rPr>
          <w:rFonts w:ascii="Times New Roman" w:hAnsi="Times New Roman"/>
          <w:color w:val="0070C0"/>
          <w:sz w:val="16"/>
          <w:szCs w:val="16"/>
        </w:rPr>
        <w:softHyphen/>
        <w:t>ных испытаний. Замеренный в поле</w:t>
      </w:r>
      <w:r w:rsidRPr="008A2E5A">
        <w:rPr>
          <w:rFonts w:ascii="Times New Roman" w:hAnsi="Times New Roman"/>
          <w:color w:val="0070C0"/>
          <w:sz w:val="16"/>
          <w:szCs w:val="16"/>
        </w:rPr>
        <w:softHyphen/>
        <w:t>те расход горючего позволял сделать вывод о расчетной дальности поле</w:t>
      </w:r>
      <w:r w:rsidRPr="008A2E5A">
        <w:rPr>
          <w:rFonts w:ascii="Times New Roman" w:hAnsi="Times New Roman"/>
          <w:color w:val="0070C0"/>
          <w:sz w:val="16"/>
          <w:szCs w:val="16"/>
        </w:rPr>
        <w:softHyphen/>
        <w:t>та 1540 км. Полетный вес на уров</w:t>
      </w:r>
      <w:r w:rsidRPr="008A2E5A">
        <w:rPr>
          <w:rFonts w:ascii="Times New Roman" w:hAnsi="Times New Roman"/>
          <w:color w:val="0070C0"/>
          <w:sz w:val="16"/>
          <w:szCs w:val="16"/>
        </w:rPr>
        <w:softHyphen/>
        <w:t>не серийных Як-7Б при большем за</w:t>
      </w:r>
      <w:r w:rsidRPr="008A2E5A">
        <w:rPr>
          <w:rFonts w:ascii="Times New Roman" w:hAnsi="Times New Roman"/>
          <w:color w:val="0070C0"/>
          <w:sz w:val="16"/>
          <w:szCs w:val="16"/>
        </w:rPr>
        <w:softHyphen/>
        <w:t>пасе горючего являлся несомненным преимуществом предложенной схе</w:t>
      </w:r>
      <w:r w:rsidRPr="008A2E5A">
        <w:rPr>
          <w:rFonts w:ascii="Times New Roman" w:hAnsi="Times New Roman"/>
          <w:color w:val="0070C0"/>
          <w:sz w:val="16"/>
          <w:szCs w:val="16"/>
        </w:rPr>
        <w:softHyphen/>
        <w:t>мы истребителя. К государственным испытаниям приступили немедленно – 18 июля - и за двенадцать дней испытаний вы</w:t>
      </w:r>
      <w:r w:rsidRPr="008A2E5A">
        <w:rPr>
          <w:rFonts w:ascii="Times New Roman" w:hAnsi="Times New Roman"/>
          <w:color w:val="0070C0"/>
          <w:sz w:val="16"/>
          <w:szCs w:val="16"/>
        </w:rPr>
        <w:softHyphen/>
        <w:t>полнили 43 (!) полета с общим налетом 28 часов 25 минут. В процессе испытаний Як-7ДИ не показал увеличения максимальной скорости - она оста</w:t>
      </w:r>
      <w:r w:rsidRPr="008A2E5A">
        <w:rPr>
          <w:rFonts w:ascii="Times New Roman" w:hAnsi="Times New Roman"/>
          <w:color w:val="0070C0"/>
          <w:sz w:val="16"/>
          <w:szCs w:val="16"/>
        </w:rPr>
        <w:softHyphen/>
        <w:t>лась на уровне серийных самолетов Як-7Б (570 км/ч и 566 км/ч у Як-7ДИ с полетным весом 2835 и 3035 кг соответ</w:t>
      </w:r>
      <w:r w:rsidRPr="008A2E5A">
        <w:rPr>
          <w:rFonts w:ascii="Times New Roman" w:hAnsi="Times New Roman"/>
          <w:color w:val="0070C0"/>
          <w:sz w:val="16"/>
          <w:szCs w:val="16"/>
        </w:rPr>
        <w:softHyphen/>
        <w:t>ственно и 577 км/ч у серийного Як-7Б №2202). Зато ис</w:t>
      </w:r>
      <w:r w:rsidRPr="008A2E5A">
        <w:rPr>
          <w:rFonts w:ascii="Times New Roman" w:hAnsi="Times New Roman"/>
          <w:color w:val="0070C0"/>
          <w:sz w:val="16"/>
          <w:szCs w:val="16"/>
        </w:rPr>
        <w:softHyphen/>
        <w:t>требитель стал поистине многофункциональным за счет возможности варьировать заправку топливом. С полной заправкой 500 кг горючего (в корневых бензобаках по 215,5 л, в консольных - по 121 л, всего - 673 л) при со</w:t>
      </w:r>
      <w:r w:rsidRPr="008A2E5A">
        <w:rPr>
          <w:rFonts w:ascii="Times New Roman" w:hAnsi="Times New Roman"/>
          <w:color w:val="0070C0"/>
          <w:sz w:val="16"/>
          <w:szCs w:val="16"/>
        </w:rPr>
        <w:softHyphen/>
        <w:t>поставимых с Як-7Б летных характеристиках крейсерская дальность полета этой модификации была почти в два раза больше. А с заправкой только двух корневых бензо</w:t>
      </w:r>
      <w:r w:rsidRPr="008A2E5A">
        <w:rPr>
          <w:rFonts w:ascii="Times New Roman" w:hAnsi="Times New Roman"/>
          <w:color w:val="0070C0"/>
          <w:sz w:val="16"/>
          <w:szCs w:val="16"/>
        </w:rPr>
        <w:softHyphen/>
        <w:t>баков за счет снижения полетного веса до 2835 кг сущест</w:t>
      </w:r>
      <w:r w:rsidRPr="008A2E5A">
        <w:rPr>
          <w:rFonts w:ascii="Times New Roman" w:hAnsi="Times New Roman"/>
          <w:color w:val="0070C0"/>
          <w:sz w:val="16"/>
          <w:szCs w:val="16"/>
        </w:rPr>
        <w:softHyphen/>
        <w:t>венно улучшались маневренные характеристики с тем же запасом горючего, как и у Як-7Б. За боевой разворот Як- 7ДИ с сокращенной заправкой набирал на 100 м больше, чем серийные машины, а время виража сокращалось на две секунды. Более того, конструкция бензосистемы по</w:t>
      </w:r>
      <w:r w:rsidRPr="008A2E5A">
        <w:rPr>
          <w:rFonts w:ascii="Times New Roman" w:hAnsi="Times New Roman"/>
          <w:color w:val="0070C0"/>
          <w:sz w:val="16"/>
          <w:szCs w:val="16"/>
        </w:rPr>
        <w:softHyphen/>
        <w:t>зволяла снимать консольные бензобаки, облегчая само</w:t>
      </w:r>
      <w:r w:rsidRPr="008A2E5A">
        <w:rPr>
          <w:rFonts w:ascii="Times New Roman" w:hAnsi="Times New Roman"/>
          <w:color w:val="0070C0"/>
          <w:sz w:val="16"/>
          <w:szCs w:val="16"/>
        </w:rPr>
        <w:softHyphen/>
        <w:t>лет еще на 47 кг, что могло дополнительно улучшить ма</w:t>
      </w:r>
      <w:r w:rsidRPr="008A2E5A">
        <w:rPr>
          <w:rFonts w:ascii="Times New Roman" w:hAnsi="Times New Roman"/>
          <w:color w:val="0070C0"/>
          <w:sz w:val="16"/>
          <w:szCs w:val="16"/>
        </w:rPr>
        <w:softHyphen/>
        <w:t>невренные характеристики новой машины (23381).</w:t>
      </w:r>
    </w:p>
    <w:p w14:paraId="058BFFD7" w14:textId="77777777" w:rsidR="00276293" w:rsidRPr="008A2E5A" w:rsidRDefault="00276293" w:rsidP="0027629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18 по 29 июля 1942 г. проходили назем</w:t>
      </w:r>
      <w:r w:rsidRPr="008A2E5A">
        <w:rPr>
          <w:rFonts w:ascii="Times New Roman" w:hAnsi="Times New Roman"/>
          <w:color w:val="0070C0"/>
          <w:sz w:val="16"/>
          <w:szCs w:val="16"/>
        </w:rPr>
        <w:softHyphen/>
        <w:t>ные и летные испытания Як-7ДИ, результаты которых, ввиду важности полученных результатов и необходи</w:t>
      </w:r>
      <w:r w:rsidRPr="008A2E5A">
        <w:rPr>
          <w:rFonts w:ascii="Times New Roman" w:hAnsi="Times New Roman"/>
          <w:color w:val="0070C0"/>
          <w:sz w:val="16"/>
          <w:szCs w:val="16"/>
        </w:rPr>
        <w:softHyphen/>
        <w:t>мости принятия решения по самолету, по приказанию начальника НИИ ВВС КА генерал-майора ИАС Лосюкова оформили отдельным отчетом, с которым он вылетел в Москву на утверждение. Государственные испытания машины продолжили (выполнено 17 полетов с общим налетом 11 часов 10 минут) и закончили 5 августа 1942 г. Кроме того, после окончания государственных ис</w:t>
      </w:r>
      <w:r w:rsidRPr="008A2E5A">
        <w:rPr>
          <w:rFonts w:ascii="Times New Roman" w:hAnsi="Times New Roman"/>
          <w:color w:val="0070C0"/>
          <w:sz w:val="16"/>
          <w:szCs w:val="16"/>
        </w:rPr>
        <w:softHyphen/>
        <w:t>пытаний НИИ ВВС КА провел на Як-7ДИ с 12 по 14 августа испытания системы нейтрального газа. Систему, установ</w:t>
      </w:r>
      <w:r w:rsidRPr="008A2E5A">
        <w:rPr>
          <w:rFonts w:ascii="Times New Roman" w:hAnsi="Times New Roman"/>
          <w:color w:val="0070C0"/>
          <w:sz w:val="16"/>
          <w:szCs w:val="16"/>
        </w:rPr>
        <w:softHyphen/>
        <w:t>ленную на Як-7ДИ, признали соответствующей ТТТ ВВС КА в целом, но требующей доработки по отдельным эле</w:t>
      </w:r>
      <w:r w:rsidRPr="008A2E5A">
        <w:rPr>
          <w:rFonts w:ascii="Times New Roman" w:hAnsi="Times New Roman"/>
          <w:color w:val="0070C0"/>
          <w:sz w:val="16"/>
          <w:szCs w:val="16"/>
        </w:rPr>
        <w:softHyphen/>
        <w:t>ментам конструкции перед внедрением в серию (23381).</w:t>
      </w:r>
    </w:p>
    <w:p w14:paraId="66E2855D" w14:textId="77777777" w:rsidR="00276293" w:rsidRPr="008A2E5A" w:rsidRDefault="00276293" w:rsidP="00276293">
      <w:pPr>
        <w:spacing w:after="0" w:line="240" w:lineRule="auto"/>
        <w:jc w:val="both"/>
        <w:rPr>
          <w:rFonts w:ascii="Times New Roman" w:hAnsi="Times New Roman"/>
          <w:color w:val="0070C0"/>
          <w:sz w:val="16"/>
          <w:szCs w:val="16"/>
        </w:rPr>
      </w:pPr>
    </w:p>
    <w:p w14:paraId="0626C62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июля 1942 г. "Родину" (именно под таким названием, а не как АНТ-37) зарегистрировали с гражданским номером СССР-</w:t>
      </w:r>
      <w:r w:rsidRPr="001E2C69">
        <w:rPr>
          <w:rFonts w:ascii="Times New Roman" w:hAnsi="Times New Roman"/>
          <w:color w:val="000000" w:themeColor="text1"/>
          <w:sz w:val="16"/>
          <w:szCs w:val="16"/>
          <w:lang w:val="en-US"/>
        </w:rPr>
        <w:t>N</w:t>
      </w:r>
      <w:r w:rsidRPr="001E2C69">
        <w:rPr>
          <w:rFonts w:ascii="Times New Roman" w:hAnsi="Times New Roman"/>
          <w:color w:val="000000" w:themeColor="text1"/>
          <w:sz w:val="16"/>
          <w:szCs w:val="16"/>
        </w:rPr>
        <w:t xml:space="preserve">443. Самолет принадлежал авиазаводу № 30 НКАП, в интересах которого выполнял транспортные полеты. 16 сентября 1943 г. по причине изношенности </w:t>
      </w:r>
      <w:r w:rsidRPr="001E2C69">
        <w:rPr>
          <w:rFonts w:ascii="Times New Roman" w:hAnsi="Times New Roman"/>
          <w:color w:val="000000" w:themeColor="text1"/>
          <w:sz w:val="16"/>
          <w:szCs w:val="16"/>
          <w:lang w:val="en-US"/>
        </w:rPr>
        <w:t>N</w:t>
      </w:r>
      <w:r w:rsidRPr="001E2C69">
        <w:rPr>
          <w:rFonts w:ascii="Times New Roman" w:hAnsi="Times New Roman"/>
          <w:color w:val="000000" w:themeColor="text1"/>
          <w:sz w:val="16"/>
          <w:szCs w:val="16"/>
        </w:rPr>
        <w:t>443 списали, после чего следы его затерялись навсегда (11946).</w:t>
      </w:r>
    </w:p>
    <w:p w14:paraId="188DA7A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66974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17-18 июля 1942 комиссией НКАП был утвержден проект 302П А.Г.Костикова - ГИ РНИИ, до этого весной утвержденный техсоветом РНИИ. Проект был доложен К.Е.В. и на приеме у И.В.С. Костиков был назначен ГК ОКБ-55 и директором опытного завода, а М.Р.Бисноват стал начальником ОКБ (4,288).</w:t>
      </w:r>
    </w:p>
    <w:p w14:paraId="33C73DB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96652C"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июля 1942 года акт испытаний опытного образца установки М-13-МI надпалубного типа с положительными результатами был утвержден Народным комиссариатом Военно-морского флота. Промышленности был выдан заказ на изготовление партии из 20 установок (15982).</w:t>
      </w:r>
    </w:p>
    <w:p w14:paraId="0DB439D4" w14:textId="77777777" w:rsidR="00056917" w:rsidRPr="001E2C69" w:rsidRDefault="00056917" w:rsidP="00722885">
      <w:pPr>
        <w:spacing w:after="0" w:line="240" w:lineRule="auto"/>
        <w:jc w:val="both"/>
        <w:rPr>
          <w:rFonts w:ascii="Times New Roman" w:hAnsi="Times New Roman"/>
          <w:color w:val="000000" w:themeColor="text1"/>
          <w:sz w:val="16"/>
          <w:szCs w:val="16"/>
        </w:rPr>
      </w:pPr>
    </w:p>
    <w:p w14:paraId="268CA7BD" w14:textId="77777777" w:rsidR="00087D2F" w:rsidRPr="001E2C69" w:rsidRDefault="00087D2F"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июля 1942 г. был утвержден акт испытаний установки М-13-М-1, смонтированной в Зеленодольске на бронекатере пр. 1124 надпалубная установка М-13-М 1. Испытания, проведен</w:t>
      </w:r>
      <w:r w:rsidRPr="001E2C69">
        <w:rPr>
          <w:rFonts w:ascii="Times New Roman" w:hAnsi="Times New Roman"/>
          <w:color w:val="000000" w:themeColor="text1"/>
          <w:sz w:val="16"/>
          <w:szCs w:val="16"/>
        </w:rPr>
        <w:softHyphen/>
        <w:t>ные отстрелом реактивных снарядов, были признаны успешными (3898).</w:t>
      </w:r>
    </w:p>
    <w:p w14:paraId="7D0BCB22" w14:textId="77777777" w:rsidR="00087D2F" w:rsidRPr="001E2C69" w:rsidRDefault="00087D2F"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7CD083" w14:textId="77777777" w:rsidR="00087D2F" w:rsidRPr="001E2C69" w:rsidRDefault="00087D2F"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июля 1942 года акт испытаний с положительными результатами был утвержден Народным комиссариатом Военно-морского флота. Промышленности был выдан заказ на изготовление партии из 20 установок (11772).</w:t>
      </w:r>
    </w:p>
    <w:p w14:paraId="7758007C" w14:textId="77777777" w:rsidR="00087D2F" w:rsidRPr="001E2C69" w:rsidRDefault="00087D2F"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1B42C5"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Другие оборонные отрасли:</w:t>
      </w:r>
    </w:p>
    <w:p w14:paraId="6EDD67B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14E84D"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июля 1942 г.</w:t>
      </w:r>
    </w:p>
    <w:p w14:paraId="5820AB70"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РГАЭ Фонд 8752 Опись 4 Дело 92 лист 235 – 234</w:t>
      </w:r>
    </w:p>
    <w:p w14:paraId="785DBCE1"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Секретно.</w:t>
      </w:r>
    </w:p>
    <w:p w14:paraId="3F23F1BC"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Экстренно.</w:t>
      </w:r>
    </w:p>
    <w:p w14:paraId="60FD85A6"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 НАРОДНОГО КОМИССАРА ТАНКОВОЙ ПРОМЫШЛЕННОСТИ СОЮЗА ССР № 526с</w:t>
      </w:r>
    </w:p>
    <w:p w14:paraId="78FD0EAA"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Москва</w:t>
      </w:r>
    </w:p>
    <w:p w14:paraId="1F28760A"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июля 1942 г.</w:t>
      </w:r>
    </w:p>
    <w:p w14:paraId="6E450EDC"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соответствии с постановлением Государственного Комитета Обороны № ГОКО-2059с от 16 июля 1942 года "Об оборудовании и кадрах завода № 264 Наркомтанкопрома" – ПРИКАЗЫВАЮ:</w:t>
      </w:r>
    </w:p>
    <w:p w14:paraId="6A57F4B9"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1. В связи с прекращением производства танков Т-60 на заводе № 264 перевезти с завода № 264 на дизельный завод в г. Барнаул оборудование в количестве 1100 единиц, рабочих, ИТР и служащих в количестве 5000 человек, в том числе 100 – 150 монтажников из УКСа завода по монтажу металлорежущего и электрооборудования.</w:t>
      </w:r>
    </w:p>
    <w:p w14:paraId="4B543F23"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2. Перевезти часть незагруженного оборудования и материалов на СТЗ.</w:t>
      </w:r>
    </w:p>
    <w:p w14:paraId="7A070B10"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т. Горегляд – на месте определить номенклатуру отгружаемого оборудования и материалов и сообщить в Наркомат.</w:t>
      </w:r>
    </w:p>
    <w:p w14:paraId="7B404D7C"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3. Начальнику Транспортного отдела Наркомата т. Косолапову, директору завода № 264 т. Кордунер и директору СТЗ т. Задорожному учесть и принять к исполнению, что ГОКО обязал НКПС тов. Хрулева:</w:t>
      </w:r>
    </w:p>
    <w:p w14:paraId="6CE984CE"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обеспечить подачу вагонов заводу № 264 (ст. Сарепта) в количестве 560 единиц под оборудование м материалы, 410 крытых вагонов для перевозки рабочих, ИТР и служащих, а также их семей;</w:t>
      </w:r>
    </w:p>
    <w:p w14:paraId="5598CF4A"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обеспечить подачу вагонов СТЗ в количестве 400 единиц для перевозки оборудования и материалов. Подача вагонов должна начаться немедленно в количестве 80 – 100 единиц в сутки. Отправку эшелонов производить через ст. Владимировку;</w:t>
      </w:r>
    </w:p>
    <w:p w14:paraId="62553ED8"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обеспечить СТЗ и завод № 264 45-тонным ж.д. кранами для погрузки оборудования, а также обеспечить подачу пяти большегрузных 60-тонных платформ.</w:t>
      </w:r>
    </w:p>
    <w:p w14:paraId="7B58D30F"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Т.т. Косолапову, Кордунер и Задорожному взять под личный контроль исполнение изложенных в § 3 пунктов.</w:t>
      </w:r>
    </w:p>
    <w:p w14:paraId="19A5EA8D"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4. Заместителю Народного комиссара т. Мосину и директорам заводов № 264 т. Кордунер и СТЗ т. Задорожному учесть и принять к исполнению, что ГОКО обязал Наркомторг т. Любимова выдать за счет фондов Наркомтанкопрома продукты питания на 20 дней для рабочих, ИТР, служащих и членов их семей, перевозимых из г. Сталинграда в г. Барнаул в количестве по представлению директоров заводов № 264 и СТЗ.</w:t>
      </w:r>
    </w:p>
    <w:p w14:paraId="0D23DFB1"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5. Начальнику ОКСа т. Корневу и директору Барнаульского завода т. Полиновскому реализовать решения ГОКО в части:</w:t>
      </w:r>
    </w:p>
    <w:p w14:paraId="3449532E"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обязывающей Наркомстрой т. Гинзбург построить для завода танковых дизелей в г. Барнауле и сдать в эксплоатацию жилые дома упрощенного типа общей площадью 35000 кв. метров, в том числе в августе 5000 кв. метров, в сентябре 7500 кв. метров, в октябре 7500 кв. метров, в ноябре 7500 кв. метров и в декабре 7500 кв. метров;</w:t>
      </w:r>
    </w:p>
    <w:p w14:paraId="7C08E94B"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обязывающей Госплан т. Сабурова, НКТП т. Зальцман и Наркомстрой т. Гинзбург в 10-дневный срок представить на утверждение СНК предложения по обеспечению строительства Барнаульского дизельного завода Наркомтанкопрома. т. Корневу представить мне не позже 25.VII-с.г. предложения, согласованные с Госпланом и Наркомстроем, для представления в СНК СССР.</w:t>
      </w:r>
    </w:p>
    <w:p w14:paraId="7CEADD6D"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6. Начальнику Отдела главного механика и энергетика т. Белик, начальнику ОКСа т. Корневу и директору Барнаульского завода т. Полиновскому реализовать решения ГОКО в части:</w:t>
      </w:r>
    </w:p>
    <w:p w14:paraId="593D901D"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обязывающей Наркома электростанций (т. Жимерина) выполнить постановление ГОКО от 5.VI-с.г. по монтажу тепловой электрической части расширения ТЭЦ меланжевого комбината (г. Барнаул) с 12000 квт до 36000 квт;</w:t>
      </w:r>
    </w:p>
    <w:p w14:paraId="29CE8992"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обязывающей Наркома электростанций (т. Жимерина) укомплектовать в июле т.г. недостающим оборудованием с эвакобаз, выделенные Наркомтанкопрому для установки на ТЭЦ меланжевого комбината в г. Барнауле, турбогенератор – 12000 квт и котел – 40 тн/час;</w:t>
      </w:r>
    </w:p>
    <w:p w14:paraId="73806221"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обязывающей Наркомтяжмаш (т. Казакова) отдельные недостающие детали и узлы, не могущие быть укомплектованными Наркомэлекторстанций, изготовить для Наркомтанкопрома на своих заводах;</w:t>
      </w:r>
    </w:p>
    <w:p w14:paraId="1F417FC1"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обязывающей Госплан Союза ССР (т. Сабурова) передать в июле заводу танковых дизелей в г. Барнауле из числа эвакуированных 3 газогенератора (Ø 3 мт.) со всем вспомогательным оборудованием.</w:t>
      </w:r>
    </w:p>
    <w:p w14:paraId="2ECEDB04"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7. Учесть, что Государственный Комитет Обороны:</w:t>
      </w:r>
    </w:p>
    <w:p w14:paraId="50B5025E"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обязал Алтайский Крайком ВКП(б) и Крайисполком обеспечить размещение прибывающих рабочих, ИТР, служащих и членов их семей в жилые дома г. Барнаула за счет уплотнения;</w:t>
      </w:r>
    </w:p>
    <w:p w14:paraId="4B28A8CA"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разрешил Наркомтанкопрому в случае необходимости использовать суда, находящиеся на заводе № 264 для перевозки оборудования.</w:t>
      </w:r>
    </w:p>
    <w:p w14:paraId="71E022A6"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8. Обязываю директора завода № 264 т. Кордунер, директора СТЗ т. Задорожного – ежесуточно передавать в Наркомат по "ВЧ" сведения о ходе отгрузки оборудования и людей.</w:t>
      </w:r>
    </w:p>
    <w:p w14:paraId="3E9E2F45"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9. Уполномоченным Наркомтанкопрома в Сталинграде по выполнению постановления ГОКО о вывозе оборудования и кадров с завода № 264 назначается Заместитель Народного комиссара танковой промышленности т. ГОРЕГЛЯД А.А.</w:t>
      </w:r>
    </w:p>
    <w:p w14:paraId="5588325F"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ЗАМЕСТИТЕЛЬ НАРОДНОГО КОМИССАРА ТАНКОВОЙ ПРОМЫШЛЕННОСТИ СОЮЗА ССР подпись (П. ЗЕРНОВ) (21224).</w:t>
      </w:r>
    </w:p>
    <w:p w14:paraId="65014B37" w14:textId="77777777" w:rsidR="00087D2F" w:rsidRPr="001E2C69" w:rsidRDefault="00087D2F" w:rsidP="00722885">
      <w:pPr>
        <w:spacing w:after="0" w:line="240" w:lineRule="auto"/>
        <w:jc w:val="both"/>
        <w:rPr>
          <w:rFonts w:ascii="Times New Roman" w:hAnsi="Times New Roman"/>
          <w:color w:val="000000" w:themeColor="text1"/>
          <w:sz w:val="16"/>
          <w:szCs w:val="16"/>
        </w:rPr>
      </w:pPr>
    </w:p>
    <w:p w14:paraId="7DAF5B9D" w14:textId="77777777" w:rsidR="00087D2F" w:rsidRPr="001E2C69" w:rsidRDefault="00087D2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17 июля 1941 года вышло постановление ГКО №179сс "О Производстве лёгких танков Т-60 на заводе №37 Наркомсредмаша". Самое время поговорить об этом танке, который приняли на вооружение авансом, то есть без разработки и испытаний опытного образца.</w:t>
      </w:r>
    </w:p>
    <w:p w14:paraId="4B5A7FAF" w14:textId="77777777" w:rsidR="00087D2F" w:rsidRPr="001E2C69" w:rsidRDefault="00087D2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Случай с Т-30, который приняли еще до создания опытного образца, не был уникальным для советского танкостроения. Можно вспомнить Т-34, который также приняли на вооружение еще до постройки опытных образцов. В обоих случаях уже имелись образцы-предшественники, с более-менее отработанной базой. То есть сомнений в том, что танк поедет, не было. Естественно, все понимали, что сухопутный вариант Т-40 является вынужденным решением, но других альтернатив не имелось. Производство Т-50 буксовало, а ситуация на фронте срочно требовала новых танков (21348).</w:t>
      </w:r>
    </w:p>
    <w:p w14:paraId="69E13AE8" w14:textId="77777777" w:rsidR="00087D2F" w:rsidRPr="001E2C69" w:rsidRDefault="00087D2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23855B2"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Армия:</w:t>
      </w:r>
    </w:p>
    <w:p w14:paraId="063C582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0E4C0C"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июля в 1942 году утреннее сообщение Совинформбюро:</w:t>
      </w:r>
    </w:p>
    <w:p w14:paraId="43884293"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17 июля наши войска вели бои с противником в районе Воронежа.</w:t>
      </w:r>
    </w:p>
    <w:p w14:paraId="5D6ECF8D"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7F1D3F5E"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бои продолжаются с прежней силой. Многочисленные попытки противника продвинуться вперёд успеха не имели. На поле боя остались груды трупов гитлеровцев и десятки сожжённых немецких танков. На одном из участков полк вражеской пехоты атаковал нашу часть. Наши бойцы подпустили гитлеровцев на близкое расстояние, а затем открыли огонь из миномётов, пулемётов и винтовок. Потеряв свыше 800 человек, противник отступил. Преследуя немцев, наши танки ворвались в населённый пункт, уничтожили 2 артиллерийские батареи, 7 станковых пулемётов, 3 бронемашины и истребили свыше 200 гитлеровцев. На другом участке отряду советских автоматчиков удалось прорваться в район укреплённых рубежей противника и посеять там панику. Подоспевшие к этому времени наши танкисты и пехотинцы заняли выгодные позиции. В этом бою противник потерял 5 танков и до 600 солдат и офицеров.</w:t>
      </w:r>
    </w:p>
    <w:p w14:paraId="2014EF9D"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Юго-восточнее Миллерова идут напряжённые бои. Наши войска, отходя под напором численно превосходящих сил противника, изматывают немцев на промежуточных рубежах и наносят им большой урон. На одном из участков наши танкисты и пехотинцы разгромили прорвавшуюся вперёд часть противника. Уничтожено 11 немецких танков и 1.800 гитлеровцев. Наши артиллеристы и миномётчики обстреляли пехоту и танки противника, скопившиеся у переправы через реку. Сожжено и подбито14 танков, истреблено до 600 немецких солдат и офицеров.</w:t>
      </w:r>
    </w:p>
    <w:p w14:paraId="5E391441"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Части, действующие на отдельных участках Ленинградского фронта, за два дня уничтожили свыше 200 гитлеровцев. Огнём артиллерии разрушено 3 вражеских ДЗОТа инаблюдательный пункт, сбит аэростат и подавлен огонь нескольких артиллерийских и миномётных батарей противника. Бомбёжкой с воздуха причинены разрушения и вызваны пожары в одном финском порту. В ходе боевых действий взяты пленные и захвачены трофеи.</w:t>
      </w:r>
    </w:p>
    <w:p w14:paraId="4ECAE09F"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курских партизан под командованием тов. С. совершил ночной налёт на занятый немцами населённый пункт. Партизаны бесшумно сняли часовых и забросали гранатами дома, в которых спали гитлеровцы. Уничтожив свыше 60 оккупантов, советские патриоты сожгли два танка, 8 автомашин и склад с продовольствием.</w:t>
      </w:r>
    </w:p>
    <w:p w14:paraId="581819E3"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Отделение немецких солдат из 245 полка 88 немецкой пехотной дивизии во главе с командиром унтер-офицером Куртом Г. добровольно сдалось в плен. Командир отделения заявил: «В первых числах июля русские разгромили 246 полк. Седьмого июля командование ввело в бой 245 полк. Только пять дней мы воевали с русскими. За это время наш полк потерял до половины личного состава. Здесь на фронте мы поняли, что Гитлер погнал нас в Россию на верную смерть. Как только представился удобный случай, я приказал моему отделению сдаться в плен. Солдаты обнаружили полное единодушие и охотно сложили оружие».</w:t>
      </w:r>
    </w:p>
    <w:p w14:paraId="2FA60969"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селе Матузовка (Украина) гитлеровские палачи учинили неслыханное преступление. Немецкие военные власти приказали крестьянам в двухдневный срок сдать 2 тысячи пудов хлеба и 100 пудов мяса. Крестьяне заявили, что они сами голодают, так как немецкие солдаты их обобрали дочиста. На третий день немецкий комендант приказал всем беременным женщинам села явиться в комендатуру. На вызов явились 27 беременных женщин. Гитлеровские изверги загнали их всех в погреб и забросали гранатами.</w:t>
      </w:r>
    </w:p>
    <w:p w14:paraId="0FC3C2DC"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Радио Виши (Франция) вчера передало сообщение о положении в Москве, в котором утверждает, что «московское население получает по 80 граммов хлеба на человека». Не подлежит сомнению, что, распространяя подобного рода ложь, гитлеровскиеподручные из Виши стараются угодить Берлину. Однако и на сей раз они попали впросак. Известно, что один житель Москвы получает хлеба больше, чем один житель Берлина, один житель Рима и один житель Виши, вместе взятые. Известно также, что французский народ голодает, потому что предатели отдали Францию на разграбление немецким оккупантам.» (14955).</w:t>
      </w:r>
    </w:p>
    <w:p w14:paraId="641730DC" w14:textId="77777777" w:rsidR="00056917" w:rsidRPr="001E2C69" w:rsidRDefault="00056917" w:rsidP="00722885">
      <w:pPr>
        <w:spacing w:after="0" w:line="240" w:lineRule="auto"/>
        <w:jc w:val="both"/>
        <w:rPr>
          <w:rFonts w:ascii="Times New Roman" w:hAnsi="Times New Roman"/>
          <w:color w:val="000000" w:themeColor="text1"/>
          <w:sz w:val="16"/>
          <w:szCs w:val="16"/>
        </w:rPr>
      </w:pPr>
    </w:p>
    <w:p w14:paraId="68BA57F0"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июля в 1942 году вечернее сообщение Совинформбюро:</w:t>
      </w:r>
    </w:p>
    <w:p w14:paraId="4FCC813B"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17 июля наши войска продолжали бои с противником в районе Воронежа и южнее Миллерово.</w:t>
      </w:r>
    </w:p>
    <w:p w14:paraId="7386959D"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0D26986E"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16 июля частями нашей авиации на различных участках фронта уничтожено или повреждено 90 немецких танков, 265 автомашин с войсками и грузами, несколько автоцистерн с горючим. Подавлен огонь 2 дивизионов зенитной артиллерии, взорвано5 складов с боеприпасами, рассеяно и частью уничтожено до четырёх батальонов пехоты противника.</w:t>
      </w:r>
    </w:p>
    <w:p w14:paraId="1CB2791F"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В районе Воронежа наши войска предприняли на некоторых участках ряд контратак и нанесли немцам большой урон. В ожесточённом сражении бойцы гвардейской части истребили 680 солдат и офицеров противника. Кроме того, подбито 3 танка, уничтожено 4 орудия и 13 машин с боеприпасами. Другая наша часть на том же участке уничтожила более 400 гитлеровцев и 2 миномётные батареи. Успешно громят врага советские танкисты и артиллеристы. Крупный отряд немцев сделал попыткуокружить наш пехотный батальон у села Д. Бойцы артиллерийской батареи, где командиром тов. Демидов, выкатили орудия на открытые позиции и прямой наводкой стали расстреливать противника. Артиллеристы уничтожили до 1.000 гитлеровцев. На другом участке нашими бойцами подбито 15 немецких танков, уничтожено 14 орудий, разгромлены штабы трёх полков противника и захвачены документы, трофеи и пленные.</w:t>
      </w:r>
    </w:p>
    <w:p w14:paraId="05DD66D8"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Южнее Миллерова продолжаются бои. Наши войска отбивают ожесточённые атаки противника. На одном из участков 12 немецких танков и 60 автомашин с пехотой зашли в тыл нашей части. Завязался упорный бой, во время которого уничтожено 8 немецких танков и свыше 400 гитлеровцев. Недалеко от пункта К. наши танки, прикрывавшие отход пехотных частей, в течение дня четыре раза ходили вконтратаку и уничтожили 1.200 гитлеровцев, 5 танков, 18 автомашин и 7 пулемётов противника.</w:t>
      </w:r>
    </w:p>
    <w:p w14:paraId="19BF1203"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отдельных участках Калининского фронта происходили бои местного значения. Пехота противника при поддержке группы танков пыталась прорвать передний край нашей обороны. Групповым огнём наши бронебойщики уничтожили 8 немецких танков. Лишённая поддержки танков, немецкая пехота отступила, понеся большие потери.</w:t>
      </w:r>
    </w:p>
    <w:p w14:paraId="5222B0A4"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Сапёры под командованием лейтенанта Фадеева незаметно пробрались к огневым точкам противника. Несколько бойцов во главе с красноармейцем Васильевым забросали противотанковыми гранатами ДЗОТ, в котором находились гитлеровцы. Другая группа бойцов, руководимая сержантом Киселёвым, взорвала две огневые точки. Во время этой операции сапёры истребили 25 немецких солдат и офицеров.</w:t>
      </w:r>
    </w:p>
    <w:p w14:paraId="17DF5C39"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Разведчики Аноршин и Денисьев встретились в тылу противника с группой немецких солдат. В перестрелке разведчики убили пять гитлеровцев, а двух взяли в плен и привели их в свою часть.</w:t>
      </w:r>
    </w:p>
    <w:p w14:paraId="6EE1A59C"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Немцы окружили бойца тов. Щеглова и пытались взять его в плен. Красноармеец-казах тов. Исхалиев бросился на выручку своего товарища. Действуя совместно, они истребили 10 гитлеровцев и присоединились к своему взводу.</w:t>
      </w:r>
    </w:p>
    <w:p w14:paraId="619B46A2"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Партизанские отряды под командованием товарищей В. и Т., действующие в одном из районов Ленинградской области, оккупированных немцами, пустили под откос воинский эшелон противника. Разрушено 10 вагонов с войсками и 2 вагона с боеприпасами.</w:t>
      </w:r>
    </w:p>
    <w:p w14:paraId="1CF1A386"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Сдавшийся добровольно в плен солдат 533 полка 383 немецкой пехотной дивизии Рихард М. рассказал: «За десять дней боёв под Воронежем 533 полк потерял свыше половины своего личного состава. Роты и батальоны обескровлены. Мы потеряли много техники и вооружения. Для примера — в моей роте осталось только три автомата и один пулемёт».</w:t>
      </w:r>
    </w:p>
    <w:p w14:paraId="7D1B0A04"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Партизаны Югославии выбили итальянских оккупантов из ряда захваченных ими городов. Измученное население восторженно встретило партизанские отряды. Патриотами захвачены у оккупантов многочисленные трофеи. Только в одном изгородов партизаны захватили 16 пулемётов, 250 винтовок, несколько автомашин, боеприпасы и военное имущество. Немецко-итальянские захватчики вынуждены теперь применять против партизан свою авиацию. Однако партизаны умело скрывают свои базы и из пехотного оружия обстреливают самолёты противника.» (14955).</w:t>
      </w:r>
    </w:p>
    <w:p w14:paraId="115C4074" w14:textId="77777777" w:rsidR="00056917" w:rsidRPr="001E2C69" w:rsidRDefault="00056917" w:rsidP="00722885">
      <w:pPr>
        <w:spacing w:after="0" w:line="240" w:lineRule="auto"/>
        <w:jc w:val="both"/>
        <w:rPr>
          <w:rFonts w:ascii="Times New Roman" w:hAnsi="Times New Roman"/>
          <w:color w:val="000000" w:themeColor="text1"/>
          <w:sz w:val="16"/>
          <w:szCs w:val="16"/>
        </w:rPr>
      </w:pPr>
    </w:p>
    <w:p w14:paraId="1B216581"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июля в 1942 году оборонительным сражением советских войск в большой излучине Дона (на рубеже рек Чир и Цимла) началась Сталинградская битва: 1942 - 1943 - оборонительная (17 июля - 18 ноября 1942) и наступательная (19 ноября 1942 - 2 февраля 1943) операции. В разное время в ней участвовали войска Сталинградского, Юго-Восточного, Юго-Западного, Донского, левого Крыла Воронежского фронтов, Волжская военная флотилия, Сталинградский корпусной район ПВО.</w:t>
      </w:r>
    </w:p>
    <w:p w14:paraId="6B3FC4A7"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17 июля в полосе фронта шириной 520 км советские войска имели 12 дивизий, самолеты 8-й воздушной армии авиации дальнего действия и 102-й авиадивизии ПВО. В наступавшую на Сталинград 6-ю немецкую армию (командующий генерал-полковник Ф.Паулюс) входило 13 дивизий, которые поддерживала авиация 4-го воздушного флота (14955).</w:t>
      </w:r>
    </w:p>
    <w:p w14:paraId="08681CC1" w14:textId="77777777" w:rsidR="00056917" w:rsidRPr="001E2C69" w:rsidRDefault="00056917" w:rsidP="00722885">
      <w:pPr>
        <w:spacing w:after="0" w:line="240" w:lineRule="auto"/>
        <w:jc w:val="both"/>
        <w:rPr>
          <w:rFonts w:ascii="Times New Roman" w:hAnsi="Times New Roman"/>
          <w:color w:val="000000" w:themeColor="text1"/>
          <w:sz w:val="16"/>
          <w:szCs w:val="16"/>
        </w:rPr>
      </w:pPr>
    </w:p>
    <w:p w14:paraId="1D23C2C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июля 1942 вышел приказ НКО об использовании Ил-2 как бомбардировщика: "Мы располагаем ш Ил-2, которые являются лучшими дневными б против танков и живой силы противника. таких бдб нет ни в одной другой армии... Надо немедля покончить с вредной практикой недооценки самолетов Ил-2 как дневных б..." (3846,17).</w:t>
      </w:r>
    </w:p>
    <w:p w14:paraId="7FF300C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F456B0"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ночь на 17 июля 1942 г. командование АДД поставило задачу разбомбить переправы через Дон в районе Коротояка. Удар РРАБами, загруженными ампулами с термитной смесью, и фугасными бомбами ФАБ-100 выполнял</w:t>
      </w:r>
      <w:r w:rsidRPr="008A2E5A">
        <w:rPr>
          <w:rFonts w:ascii="Times New Roman" w:hAnsi="Times New Roman"/>
          <w:color w:val="0070C0"/>
          <w:sz w:val="16"/>
          <w:szCs w:val="16"/>
        </w:rPr>
        <w:softHyphen/>
        <w:t>ся с малой высоты. Руководил операцией лично командир 17- й АД ДД генерал Логинов, заняв место за штурманом на Ил-4 ведущего группы М.Н. Урутина. После бомбометания Урутин хотел показать комдиву работу остальных экипажей, снизился и развернулся. В этот момент один из «Илов», летевших выше, сбросил САБ, самолет оказался ярко освещен — и его момен</w:t>
      </w:r>
      <w:r w:rsidRPr="008A2E5A">
        <w:rPr>
          <w:rFonts w:ascii="Times New Roman" w:hAnsi="Times New Roman"/>
          <w:color w:val="0070C0"/>
          <w:sz w:val="16"/>
          <w:szCs w:val="16"/>
        </w:rPr>
        <w:softHyphen/>
        <w:t>тально сбили зенитки. Штурман Урутина майор Мацерпас сидел ближе к люку и должен был прыгать первым, но пропустил ге</w:t>
      </w:r>
      <w:r w:rsidRPr="008A2E5A">
        <w:rPr>
          <w:rFonts w:ascii="Times New Roman" w:hAnsi="Times New Roman"/>
          <w:color w:val="0070C0"/>
          <w:sz w:val="16"/>
          <w:szCs w:val="16"/>
        </w:rPr>
        <w:softHyphen/>
        <w:t>нерала вперед. Логинов, Урутин и стрелки Гаранкин и Шариков смогли выпрыгнуть и перейти линию фронта, а не обладавшему спортивной комплекцией Марцепасу времени покинуть горящий Ил-4 не хватило (24139).</w:t>
      </w:r>
    </w:p>
    <w:p w14:paraId="39AE9440" w14:textId="77777777" w:rsidR="003E1727" w:rsidRPr="008A2E5A" w:rsidRDefault="003E1727" w:rsidP="003E1727">
      <w:pPr>
        <w:spacing w:after="0" w:line="240" w:lineRule="auto"/>
        <w:jc w:val="both"/>
        <w:rPr>
          <w:rFonts w:ascii="Times New Roman" w:hAnsi="Times New Roman"/>
          <w:color w:val="0070C0"/>
          <w:sz w:val="16"/>
          <w:szCs w:val="16"/>
        </w:rPr>
      </w:pPr>
    </w:p>
    <w:p w14:paraId="2872125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июля 1942 г. появилось СООБЩЕНИЕ ГЛАВРАЗВЕДУПРАВЛЕНИЯ В ГАБТУ О НОВОЙ МАТЕРИАЛЬНОЙ ЧАСТИ НЕМЕЦКИХ ТАНКОВЫХ ДИВИЗИЙ</w:t>
      </w:r>
    </w:p>
    <w:p w14:paraId="3B3635B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Доношу, что нами получены следующие агентурные данные, касающиеся новой материальной части немецких танковых дивизий:</w:t>
      </w:r>
    </w:p>
    <w:p w14:paraId="29B6E04E"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В танковых полках танковых дивизий предполагается увеличение количества танков Т-IV за счет уменьшения количества танков Т-П.</w:t>
      </w:r>
    </w:p>
    <w:p w14:paraId="67C7E6B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Танки Т-IV вооружаются новой танковой пушкой образца «40». Длина ствола этой пушки рав</w:t>
      </w:r>
      <w:r w:rsidRPr="001E2C69">
        <w:rPr>
          <w:rFonts w:ascii="Times New Roman" w:hAnsi="Times New Roman"/>
          <w:color w:val="000000" w:themeColor="text1"/>
          <w:sz w:val="16"/>
          <w:szCs w:val="16"/>
        </w:rPr>
        <w:softHyphen/>
        <w:t>на 40 калибрам (у старых пушек длина ствола равна 23 калибрам).</w:t>
      </w:r>
    </w:p>
    <w:p w14:paraId="7AEB57F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При осмотре танков Т-Ш, захваченных англичанами в Африке было установлено, что эти тан</w:t>
      </w:r>
      <w:r w:rsidRPr="001E2C69">
        <w:rPr>
          <w:rFonts w:ascii="Times New Roman" w:hAnsi="Times New Roman"/>
          <w:color w:val="000000" w:themeColor="text1"/>
          <w:sz w:val="16"/>
          <w:szCs w:val="16"/>
        </w:rPr>
        <w:softHyphen/>
        <w:t>ки имеют в передней части башни и на верхней части корпуса двухслойное броневое покрытие. Ме</w:t>
      </w:r>
      <w:r w:rsidRPr="001E2C69">
        <w:rPr>
          <w:rFonts w:ascii="Times New Roman" w:hAnsi="Times New Roman"/>
          <w:color w:val="000000" w:themeColor="text1"/>
          <w:sz w:val="16"/>
          <w:szCs w:val="16"/>
        </w:rPr>
        <w:softHyphen/>
        <w:t>жду основной и дополнительной броней в последних моделях Т-Ш имеется, якобы, промежуток в 200-250 мм. Толщина основной брони — 50 мм, дополнительной — 20 мм.</w:t>
      </w:r>
    </w:p>
    <w:p w14:paraId="319A9C3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Приведенные данные заслуживают внимания, так как показания пленных вновь сформирован</w:t>
      </w:r>
      <w:r w:rsidRPr="001E2C69">
        <w:rPr>
          <w:rFonts w:ascii="Times New Roman" w:hAnsi="Times New Roman"/>
          <w:color w:val="000000" w:themeColor="text1"/>
          <w:sz w:val="16"/>
          <w:szCs w:val="16"/>
        </w:rPr>
        <w:softHyphen/>
        <w:t>ной 23 тд подтверждают наличие в этой танковой дивизии преимущественно танков Т-Ш и Т-ГУ.</w:t>
      </w:r>
    </w:p>
    <w:p w14:paraId="13688D3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Сообщение о наличии между основной броней и экраном в танках Т-Ш промежутка в 200-250 мм требует проверки.</w:t>
      </w:r>
    </w:p>
    <w:p w14:paraId="2CFEC55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2 управления Главразведуправления Генштаба КА полковник Ратов</w:t>
      </w:r>
    </w:p>
    <w:p w14:paraId="44E530D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Военный комиссар 2 управления Главразведуправления Генштаба КА бригадный комиссар Киселев</w:t>
      </w:r>
    </w:p>
    <w:p w14:paraId="27903FB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ЦАМО. Ф. 38. Оп. 11355. Д. 936. Л. 94. Подлинник (11211).</w:t>
      </w:r>
    </w:p>
    <w:p w14:paraId="63EA0B0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B4FAEF"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июля 1942 началась Сталинградская битва (4962).</w:t>
      </w:r>
    </w:p>
    <w:p w14:paraId="4E0B66EF"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78BCF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июля 1942 началось немецкое летнее наступление (518,35).</w:t>
      </w:r>
    </w:p>
    <w:p w14:paraId="00F4FC1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76A01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июля 1942 началась Сталинградская битва (2070,74).</w:t>
      </w:r>
    </w:p>
    <w:p w14:paraId="4EE9827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3F76F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июля 1942 началась Сталинградская оборонительная операция СталФ (С.К.Тимошенко), ДонФ (К.К.Рокосовский), ЮВФ (А.И.Еременко) и ВолВФ, которая шла до 18 ноября (3398,248).</w:t>
      </w:r>
    </w:p>
    <w:p w14:paraId="70C4744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началу оборонительной операции под Сталинградом 8ВА насчитывала немногим более 300 самолетов (518,201).</w:t>
      </w:r>
    </w:p>
    <w:p w14:paraId="3BAD42E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ED391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C 17 июля по 12 сентября 1942 была оборонительная операция КА на подступах к Сталинграду (3186).</w:t>
      </w:r>
    </w:p>
    <w:p w14:paraId="27B3192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D85D5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июля 1942 ст. сержант Н.Сиротин один за 2.5 час. выпустил по наступающим немцам 60 снарядов и сжег 10 танков и бронемашин. Немцы похоронили его с почестями (355,10).</w:t>
      </w:r>
    </w:p>
    <w:p w14:paraId="33826B4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5949C2" w14:textId="77777777" w:rsidR="00056917"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Жизнь и внутренняя политика:</w:t>
      </w:r>
    </w:p>
    <w:p w14:paraId="556F6EF4" w14:textId="77777777" w:rsidR="00056917" w:rsidRPr="001E2C69" w:rsidRDefault="00056917"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00762C"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июля в 1942 году СНК СССР обязал Наркомат торговли СССР организовать с июля 1942 в городах, где введены прод. карточки, продажу продуктов питания сверх установленных норм для беременных женщин — ежемесячно 400 г масла, 300 г сахара, 600 г крупы, 6 л молока (14955).</w:t>
      </w:r>
    </w:p>
    <w:p w14:paraId="3FC24AF4" w14:textId="77777777" w:rsidR="00056917" w:rsidRPr="001E2C69" w:rsidRDefault="00056917" w:rsidP="00722885">
      <w:pPr>
        <w:spacing w:after="0" w:line="240" w:lineRule="auto"/>
        <w:jc w:val="both"/>
        <w:rPr>
          <w:rFonts w:ascii="Times New Roman" w:hAnsi="Times New Roman"/>
          <w:color w:val="000000" w:themeColor="text1"/>
          <w:sz w:val="16"/>
          <w:szCs w:val="16"/>
        </w:rPr>
      </w:pPr>
    </w:p>
    <w:p w14:paraId="1BC24BBC"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Внешняя политика:</w:t>
      </w:r>
    </w:p>
    <w:p w14:paraId="07E01DA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DE458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17 июля 1942 У.Черчиль обратился к И.В.С. с предложением взять шесть английских эскадрилий для защиты конвоя PQ-18 после разгрома PQ-17 в мае 1942. За два </w:t>
      </w:r>
      <w:r w:rsidRPr="001E2C69">
        <w:rPr>
          <w:rFonts w:ascii="Times New Roman" w:hAnsi="Times New Roman"/>
          <w:color w:val="000000" w:themeColor="text1"/>
          <w:sz w:val="16"/>
          <w:szCs w:val="16"/>
        </w:rPr>
        <w:lastRenderedPageBreak/>
        <w:t>месяца до выхода конвоя сформировали авиагруппу Хоп пса и в нее вошли две эскадрильи торпедоносцев Хэмпден (32), отряд Каталин (10), фоторазведчики Спитфайр (3) и Москито (1) (1119,17).</w:t>
      </w:r>
    </w:p>
    <w:p w14:paraId="591EAFF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51D26E"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За рубежом:</w:t>
      </w:r>
    </w:p>
    <w:p w14:paraId="230279D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07EEB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июля 1942 произошел первый полет Ме-262 V-1, но серия началась с февраля 1944 (88,177).</w:t>
      </w:r>
    </w:p>
    <w:p w14:paraId="185DA74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E6ABC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июля 1942 Гимлер посетил Освенцим и наблюдал работу газовых камер (2245,7).</w:t>
      </w:r>
    </w:p>
    <w:p w14:paraId="3B59B7F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F3F039"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Авиапромышленность:</w:t>
      </w:r>
    </w:p>
    <w:p w14:paraId="5853A4F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EC145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18 июля 1942 прицел КП-11 успешно прошел полигонные испытания, однако ввиду того, что новый прицел особых преиму</w:t>
      </w:r>
      <w:r w:rsidRPr="001E2C69">
        <w:rPr>
          <w:rFonts w:ascii="Times New Roman" w:hAnsi="Times New Roman"/>
          <w:color w:val="000000" w:themeColor="text1"/>
          <w:sz w:val="16"/>
          <w:szCs w:val="16"/>
        </w:rPr>
        <w:softHyphen/>
        <w:t>ществ по точности прицеливания перед ВВ-1 не имел, а последний уже был за</w:t>
      </w:r>
      <w:r w:rsidRPr="001E2C69">
        <w:rPr>
          <w:rFonts w:ascii="Times New Roman" w:hAnsi="Times New Roman"/>
          <w:color w:val="000000" w:themeColor="text1"/>
          <w:sz w:val="16"/>
          <w:szCs w:val="16"/>
        </w:rPr>
        <w:softHyphen/>
        <w:t>пущен в серийное производство, реше</w:t>
      </w:r>
      <w:r w:rsidRPr="001E2C69">
        <w:rPr>
          <w:rFonts w:ascii="Times New Roman" w:hAnsi="Times New Roman"/>
          <w:color w:val="000000" w:themeColor="text1"/>
          <w:sz w:val="16"/>
          <w:szCs w:val="16"/>
        </w:rPr>
        <w:softHyphen/>
        <w:t>ние о принятии КП-11 на вооружение штурмовой авиации было отложено до лучших времен (6467).</w:t>
      </w:r>
    </w:p>
    <w:p w14:paraId="4AD5E09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15F28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1942 года нарком ВМФ адмирал Кузнецов писал письмо N 1103с Сталину.</w:t>
      </w:r>
    </w:p>
    <w:p w14:paraId="0705C73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Дальнебомбардировочная авиация ВВС Тихоокеанского флота предназначена для боевых действий, по удаленным от наших баз промышленным центрам и военно-морским базам вероятного противника.</w:t>
      </w:r>
    </w:p>
    <w:p w14:paraId="03B835D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Использование торпедоносной авиации в условиях Тихоокеанского театра будет иметь особо важное значение для противодействия морским силам вероятных противников, что связано с дальними перелетами, на низких высотах, в открытое море и требует обеспечения самолетов надежными моторами.</w:t>
      </w:r>
    </w:p>
    <w:p w14:paraId="4CF7318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своем боевом составе ВВС ТОФ имеют 131 самолет ДБ-3, из коих 122 самолета вооружены сильно изношенными моторами М-87 старых серий (60% моторного парка прошли по 3-4 ремонта, а остальные 40% по 1-2 ремонта).</w:t>
      </w:r>
    </w:p>
    <w:p w14:paraId="4234FF5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интенсивном ходе боевой подготовки, выработка ресурса моторов приближает к последним возможностям в дальнейшем использовании этих моторов. Это положение осложняется прекращением производства авиапромышленностью запасных частей к моторам М-87.</w:t>
      </w:r>
    </w:p>
    <w:p w14:paraId="0635400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 создавшемся положении я докладывал Вам 9 июня с.г. N 875сс и 28 июня с.г. N 1002сс.</w:t>
      </w:r>
    </w:p>
    <w:p w14:paraId="43E6B4B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Единственным выходом из положения считаю необходимым произвести замену моторов М-87 на М-88Б, на всех самолетах ДБ-3т ВВС ТОФ.</w:t>
      </w:r>
    </w:p>
    <w:p w14:paraId="04B0D98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II. Бомбардировочная авиация ВВС Тихоокеанского Флота имеет в своем составе 94 самолета первых серий СБ-2М100-М103. Моторный парк М-100 и М-103 также силы изношен, 70% моторов по 3-4 ремонта и 30% по 1-2 ремонта. Запасные части к этим моторам прекращены производством, а запасы исчерпаны, особенно: блоки, цилиндры, клапана, подшипники, поршневые кольца, вкладыши главных шатунов. Отсутствие запчастей не позволяет производить восстановительный ремонт этим моторам.</w:t>
      </w:r>
    </w:p>
    <w:p w14:paraId="0F96F21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целях повышения боеспособности самолетного парка СБ ВВС ТОФ, является необходимость, в самые кратчайшие сроки перевооружить на моторы М-105.</w:t>
      </w:r>
    </w:p>
    <w:p w14:paraId="2CD1CCC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Докладывая изложенное, прошу издать прилагаемый проект постановления ГКО.</w:t>
      </w:r>
    </w:p>
    <w:p w14:paraId="07A983C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Приложение: Проект постановления ГОКО на 1-м листе (2728,292).</w:t>
      </w:r>
    </w:p>
    <w:p w14:paraId="0D3207F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688D4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18 июля по 5 августа 1942 проходили гос. испытания Як-7ДИ с М-105ПФ и летал К.А.Груздев. Ви были Г.А.Седов по самолету, и по вооружению А.Г.Аронов, и по ВМГ А.И.Хвостовский, и по спецоборудованию А.И.Красовский, т В.Ф.Сбитнев. Оценка - испытания прошел удовлетворительно и он то и стал Як-9 (65,107).</w:t>
      </w:r>
    </w:p>
    <w:p w14:paraId="6D00FB5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B71FEE" w14:textId="77777777" w:rsidR="003B3C69" w:rsidRPr="001E2C69" w:rsidRDefault="003B3C6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18 июля в 1942 году начались (по 5 августа) государственные испытания </w:t>
      </w:r>
      <w:hyperlink r:id="rId148" w:tgtFrame="_blank" w:history="1">
        <w:r w:rsidRPr="001E2C69">
          <w:rPr>
            <w:rFonts w:ascii="Times New Roman" w:hAnsi="Times New Roman"/>
            <w:color w:val="000000" w:themeColor="text1"/>
            <w:sz w:val="16"/>
            <w:szCs w:val="16"/>
          </w:rPr>
          <w:t xml:space="preserve">«Як-7ДИ». </w:t>
        </w:r>
      </w:hyperlink>
      <w:r w:rsidRPr="001E2C69">
        <w:rPr>
          <w:rFonts w:ascii="Times New Roman" w:hAnsi="Times New Roman"/>
          <w:color w:val="000000" w:themeColor="text1"/>
          <w:sz w:val="16"/>
          <w:szCs w:val="16"/>
        </w:rPr>
        <w:t>(60 полетов, 40 ч 15 мин) (14956).</w:t>
      </w:r>
    </w:p>
    <w:p w14:paraId="6150D9E1" w14:textId="77777777" w:rsidR="003B3C69" w:rsidRPr="001E2C69" w:rsidRDefault="003B3C69" w:rsidP="00722885">
      <w:pPr>
        <w:spacing w:after="0" w:line="240" w:lineRule="auto"/>
        <w:jc w:val="both"/>
        <w:rPr>
          <w:rFonts w:ascii="Times New Roman" w:hAnsi="Times New Roman"/>
          <w:color w:val="000000" w:themeColor="text1"/>
          <w:sz w:val="16"/>
          <w:szCs w:val="16"/>
        </w:rPr>
      </w:pPr>
    </w:p>
    <w:p w14:paraId="75C3869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1942 во время сдаточных испытаний потерпел катастрофу Пе-2 N 12/103. Л и ш погибли (2131).</w:t>
      </w:r>
    </w:p>
    <w:p w14:paraId="690E763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D9FA76" w14:textId="77777777" w:rsidR="003B3C69" w:rsidRPr="001E2C69" w:rsidRDefault="003B3C6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в 1942 году погиб штурман-испытатель С.М.Трубачев на «Пе-2», командир экипажа С.С.Стрельников (14956).</w:t>
      </w:r>
    </w:p>
    <w:p w14:paraId="476A82F1" w14:textId="77777777" w:rsidR="003B3C69" w:rsidRPr="001E2C69" w:rsidRDefault="003B3C69" w:rsidP="00722885">
      <w:pPr>
        <w:spacing w:after="0" w:line="240" w:lineRule="auto"/>
        <w:jc w:val="both"/>
        <w:rPr>
          <w:rFonts w:ascii="Times New Roman" w:hAnsi="Times New Roman"/>
          <w:color w:val="000000" w:themeColor="text1"/>
          <w:sz w:val="16"/>
          <w:szCs w:val="16"/>
        </w:rPr>
      </w:pPr>
    </w:p>
    <w:p w14:paraId="5C2E3DF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1942 г при испытании Пе-2 (зав. №12/103) погибли лётчик-испытатель завода С.С. Стрельников и старший техник лейтенант С.М. Трубачев (6394).</w:t>
      </w:r>
    </w:p>
    <w:p w14:paraId="750C854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61A60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1942 состоялось заседание постоянной комиссии по рассмотрению эскизных проектов опытных самолетов (протокол 37) и рассматривали Реактивный самолет 302 НИИ-3. Протокол утвердил А.С.Я. (1684,179).</w:t>
      </w:r>
    </w:p>
    <w:p w14:paraId="492AF4B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FA1347" w14:textId="77777777" w:rsidR="003B3C69" w:rsidRPr="001E2C69" w:rsidRDefault="003B3C6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18 июля в 1942 году рассмотрен и утвержден на комиссии (С.А.Христианович, А.В.Чесалов, С.Н.Шишкин, В.И.Поликовский и др.) проект конструктора А.Г.Костикова- в то время главного инженера РНИИ. </w:t>
      </w:r>
      <w:hyperlink r:id="rId149" w:tgtFrame="_blank" w:history="1">
        <w:r w:rsidRPr="001E2C69">
          <w:rPr>
            <w:rFonts w:ascii="Times New Roman" w:hAnsi="Times New Roman"/>
            <w:color w:val="000000" w:themeColor="text1"/>
            <w:sz w:val="16"/>
            <w:szCs w:val="16"/>
          </w:rPr>
          <w:t xml:space="preserve">Самолет «302П» </w:t>
        </w:r>
      </w:hyperlink>
      <w:r w:rsidRPr="001E2C69">
        <w:rPr>
          <w:rFonts w:ascii="Times New Roman" w:hAnsi="Times New Roman"/>
          <w:color w:val="000000" w:themeColor="text1"/>
          <w:sz w:val="16"/>
          <w:szCs w:val="16"/>
        </w:rPr>
        <w:t>- истребитель с необычной силовой установкой, состоявшей из одного разгонного ЖРД и двух ПВРД, нормальный свободнонесущий низкоплан по схеме. Под хвостовым оперением - ЖРД Л.С.Душкина «РД-1400» тягой до 1400 кг; под крылом - два ПВРД конструкции В.С.Зуева. В носу фюзеляжа - две пушки ШВАК и две таких же - под кабиной летчика, а под крылом - выдвижная подвеска для двух PC («РС-82» или «РС-132») или двух «ФАБ-125». Таким был самолет по проекту 1940 года, задуманный как первый в мире истребитель с составной реактивной группой (14956).</w:t>
      </w:r>
    </w:p>
    <w:p w14:paraId="07C250A1" w14:textId="77777777" w:rsidR="003B3C69" w:rsidRPr="001E2C69" w:rsidRDefault="003B3C69" w:rsidP="00722885">
      <w:pPr>
        <w:spacing w:after="0" w:line="240" w:lineRule="auto"/>
        <w:jc w:val="both"/>
        <w:rPr>
          <w:rFonts w:ascii="Times New Roman" w:hAnsi="Times New Roman"/>
          <w:color w:val="000000" w:themeColor="text1"/>
          <w:sz w:val="16"/>
          <w:szCs w:val="16"/>
        </w:rPr>
      </w:pPr>
    </w:p>
    <w:p w14:paraId="449BEF0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1942 г. по приказу № 542с для опытных работ по авиаколесам было создано ОКБ при заводе № 219 с опытным цехом.</w:t>
      </w:r>
    </w:p>
    <w:p w14:paraId="2D2EB94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скорейшего восстановления опытной базы и полноценной опытной работы по приказу № 92с от 12.02.1943 г. в ОКБ переведена большая группа ИТР и рабочих, ранее работавших здесь, и оборудование с заводов № 120 и №286 НКАП.</w:t>
      </w:r>
    </w:p>
    <w:p w14:paraId="74861C9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586с от 23.09.1943 г. в состав ОКБ влито лыжное ОКБ-164 НКАП (ст. Кунцево) для концентрации работ по взлетно-посадочным устройствам самолетов. Гл. конструктором объединенного ОКБ остался П.В. Флеров. Организована опытная база по авиалыжам. Далее по приказу № 735с от 8.12.1943 г. для усиления ОКБ сюда переведены специалисты с заводов № 84, № 286, № 120, № 34, № 145 и № 472. При заводе создан серийный КО и налажено опытное производство.</w:t>
      </w:r>
    </w:p>
    <w:p w14:paraId="5805056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435с от 12.11.1945 г. часть специалистов (300 чел.) завода № 120 НКАП переданы ОКБ завода № 219 для его укрепления.</w:t>
      </w:r>
    </w:p>
    <w:p w14:paraId="53AE4EF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01.1945 г. ОКБ-219 - в 7ГУ. На базе ОКБ-219 МАП с 1.03.1946 г. в соответствии с приказами МАП№ 113с от 15.03.1946 г. и № 251с от 26.04.1946 г. для обеспечения работ по колесам скоростных самолетов создан самостоятельный опытный Завод № 279 МАП ( г. Реутов).</w:t>
      </w:r>
    </w:p>
    <w:p w14:paraId="611812D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гл. конструктор (1942-46 г.)- П.В. Флеров.</w:t>
      </w:r>
    </w:p>
    <w:p w14:paraId="7397123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гл. конструктора (09.1943 г.-)- Н.И. Жохов (11982).</w:t>
      </w:r>
    </w:p>
    <w:p w14:paraId="05A3124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0164D7"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1942 года вышел приказ № 497с НКБ</w:t>
      </w:r>
    </w:p>
    <w:p w14:paraId="3C8682A4"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Принять к исполнению и руководству Постановление ГКО № ГОКО-2046 от 15 июля 1942 года о переоборудовании НИИ № 3 НКБ в Госинститут реактивной техники с непосредственным подчинением СНК (5906, 242).</w:t>
      </w:r>
    </w:p>
    <w:p w14:paraId="0F4EB50F"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84AE01"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Другие оборонные отрасли:</w:t>
      </w:r>
    </w:p>
    <w:p w14:paraId="521446F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F41D9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1942 г. Завод № 676 НКБ, ФГУП «Самарский завод «Коммунар» Росбоеприпаса /пос. Петра Дубрава Куйбышевской обл./ /443546 пос. Петра Дубрава Самарской обл. ул. Коммунаров, 3/ выдал первую партию дымного ружейного пороха (этот день считается днем рождения завода). До конца года выпущено 150 т дымных порохов и 100 тыс. м огнепроводного шнура.</w:t>
      </w:r>
    </w:p>
    <w:p w14:paraId="2620273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войны завод продолжал развиваться, расширен ассортимент продукции. С 1961 г. освоено производство эмульсионных красок, с 1962 г.- раскладных кроватей.</w:t>
      </w:r>
    </w:p>
    <w:p w14:paraId="3A8D181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(2000-е  г.): дымные пороха: охотничий, шнуровой для взрывных работ; охотничьи патроны 12 и 16 калибра, сигнальные патроны; лакокрасочная продукция, раскладные кровати, тенты для автомобилей, рукавицы нефтестойкие.</w:t>
      </w:r>
    </w:p>
    <w:p w14:paraId="51E2CDA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Указу Президента РФ № 1009 от 4.08.2004 г. ФГУП вошло в число стратегических оборонных предприятий.</w:t>
      </w:r>
    </w:p>
    <w:p w14:paraId="04F9481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(12.1942 г.)- 864 чел. (11982).</w:t>
      </w:r>
    </w:p>
    <w:p w14:paraId="6A4F061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AAD1D0" w14:textId="77777777" w:rsidR="003B3C69" w:rsidRPr="001E2C69" w:rsidRDefault="003B3C6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18 июля в 1942 году образовано ФКП "Самарский завод "Коммунар". Завод "Коммунар" был эвакуирован из Ленинградской области в 1941 году и построен на открытой площадке в районе станции Смышляевка - поселка Петра Дубрава Самарской области. В соответствии с приказом Наркомата по боеприпасам от 25 мая 1942 года и актом приемной комиссии завод был пущен в эксплуатацию, а день 18 июля 1942 года, когда была изготовлена первая партия дымного ружейного пороха, стал днем рождения завода. До конца 1942 года было выпущено 150 тонн различных марок дымного пороха и 100000 метров огнепроводного шнура. За </w:t>
      </w:r>
      <w:r w:rsidRPr="001E2C69">
        <w:rPr>
          <w:rFonts w:ascii="Times New Roman" w:hAnsi="Times New Roman"/>
          <w:color w:val="000000" w:themeColor="text1"/>
          <w:sz w:val="16"/>
          <w:szCs w:val="16"/>
        </w:rPr>
        <w:lastRenderedPageBreak/>
        <w:t>самоотверженный труд в тылу 18 тружеников завода были награждены орденами и медалями. Номенклатура и ассортимент продукции завода диктовались и определялись потребностями армии и фронта (ружейные и охотничьи пороха, фитили, быстросгорающие шнуры, пороховые заряды и т. д.). В 1961 году коллектив завода приступил к выпуску товарной продукции гражданского назначения: масляной краски, охотничьих патронов, водоэмульсионной краски, раскладных кроватей. В 1970-85 годах произведена реконструкция производства дымных ружейных порохов с механизацией и автоматизацией процессов в сотрудничестве с головными институтами области. В начале девяностых годов начался экономический склад производства в стране, были потеряны производственные связи, сократился и основной заказ основной продукции. Руководство завода приняло решение развивать выпуск гражданской продукции - традиционные лакокрасочные материалы: краска масляная МА-15С светлых тонов, фасадная краска КЧ-141, эмаль ПФ-115, олифа "Синтол", сиккатив. Это позволило сохранить высококвалифицированные кадры, а в итоге производство в целом. Кроме этого, было налажено производство древесного угля для приготовления шашлыков, дымного охотничьего пороха. В 1995-1998 годах освоено производство чистящих средств, нефтестойких рукавиц, серы чешуированной и молотой, в 2000 году - краски дорожноразметочной ХС-539. Распоряжение Правительства от 8 декабря 2005 года Федеральное государственное унитарное предприятие "Самарский завод "Коммунар" (город Самара) становится Федеральным казенным предприятие "Самарский завод "Коммунар". Сегодня завод "Коммунар" - это большие производительные мощности, на которых имеется возможность производить разнообразные виды спецпродукции и широкий ассортимент товаров народного потребления (14956).</w:t>
      </w:r>
    </w:p>
    <w:p w14:paraId="584010BF" w14:textId="77777777" w:rsidR="003B3C69" w:rsidRPr="001E2C69" w:rsidRDefault="003B3C69" w:rsidP="00722885">
      <w:pPr>
        <w:spacing w:after="0" w:line="240" w:lineRule="auto"/>
        <w:jc w:val="both"/>
        <w:rPr>
          <w:rFonts w:ascii="Times New Roman" w:hAnsi="Times New Roman"/>
          <w:color w:val="000000" w:themeColor="text1"/>
          <w:sz w:val="16"/>
          <w:szCs w:val="16"/>
        </w:rPr>
      </w:pPr>
    </w:p>
    <w:p w14:paraId="2CCF56B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1942 г. появилось СООБЩЕНИЕ ПРЕДСЕДАТЕЛЯ В/О «ТЕХНОЭКСПОРТ» НАЧАЛЬНИКУ АТУ ГАБТУ КА О ТЕХНИЧЕСКОЙ ХАРАКТЕРИСТИКЕ АВТОСАНЕЙ</w:t>
      </w:r>
    </w:p>
    <w:p w14:paraId="293E707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сообщению нашего представителя в США, американцы нам предлагают автосани со следую</w:t>
      </w:r>
      <w:r w:rsidRPr="001E2C69">
        <w:rPr>
          <w:rFonts w:ascii="Times New Roman" w:hAnsi="Times New Roman"/>
          <w:color w:val="000000" w:themeColor="text1"/>
          <w:sz w:val="16"/>
          <w:szCs w:val="16"/>
        </w:rPr>
        <w:softHyphen/>
        <w:t>щей технической характеристикой:</w:t>
      </w:r>
    </w:p>
    <w:p w14:paraId="5B6D51B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Мотор мотоциклетный 25 НР.</w:t>
      </w:r>
    </w:p>
    <w:p w14:paraId="0BE55E3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Гусеница — парусиновая лента с металлическими шипами на цепком приводе.</w:t>
      </w:r>
    </w:p>
    <w:p w14:paraId="795CDB7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Передача — 3 скорости до 45 км/час.</w:t>
      </w:r>
    </w:p>
    <w:p w14:paraId="7A5C62D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Габариты — 3,65x0,77x0,65 метра.</w:t>
      </w:r>
    </w:p>
    <w:p w14:paraId="45496AD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Вес около 250 кг.</w:t>
      </w:r>
    </w:p>
    <w:p w14:paraId="2C956B2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Радиус действия 150 км.</w:t>
      </w:r>
    </w:p>
    <w:p w14:paraId="7B3C092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Количество мест для водителя и одного пассажира.</w:t>
      </w:r>
    </w:p>
    <w:p w14:paraId="493855D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Прочие данные — сани могут быть с успехом использованы на невысокой и не слишком пере</w:t>
      </w:r>
      <w:r w:rsidRPr="001E2C69">
        <w:rPr>
          <w:rFonts w:ascii="Times New Roman" w:hAnsi="Times New Roman"/>
          <w:color w:val="000000" w:themeColor="text1"/>
          <w:sz w:val="16"/>
          <w:szCs w:val="16"/>
        </w:rPr>
        <w:softHyphen/>
        <w:t>сеченной местности как средство разведки, связи, снабжения и эвакуации раненых, а также для бук</w:t>
      </w:r>
      <w:r w:rsidRPr="001E2C69">
        <w:rPr>
          <w:rFonts w:ascii="Times New Roman" w:hAnsi="Times New Roman"/>
          <w:color w:val="000000" w:themeColor="text1"/>
          <w:sz w:val="16"/>
          <w:szCs w:val="16"/>
        </w:rPr>
        <w:softHyphen/>
        <w:t>сировки станковых пулеметов и легких противотанковых пушек или буксировки 3-4 бойцов на лыжах.</w:t>
      </w:r>
    </w:p>
    <w:p w14:paraId="1142F5C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Автосани могут буксировать сани с грузом до 170 кг. Поворот осуществляется рулевыми лыжа</w:t>
      </w:r>
      <w:r w:rsidRPr="001E2C69">
        <w:rPr>
          <w:rFonts w:ascii="Times New Roman" w:hAnsi="Times New Roman"/>
          <w:color w:val="000000" w:themeColor="text1"/>
          <w:sz w:val="16"/>
          <w:szCs w:val="16"/>
        </w:rPr>
        <w:softHyphen/>
        <w:t>ми. На плотном снегу сани могут брать подъем от 15 до 30°.</w:t>
      </w:r>
    </w:p>
    <w:p w14:paraId="50DA80E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Прошу сообщить, представляют ли для Вас интерес автосани с такой характеристикой, и сколь</w:t>
      </w:r>
      <w:r w:rsidRPr="001E2C69">
        <w:rPr>
          <w:rFonts w:ascii="Times New Roman" w:hAnsi="Times New Roman"/>
          <w:color w:val="000000" w:themeColor="text1"/>
          <w:sz w:val="16"/>
          <w:szCs w:val="16"/>
        </w:rPr>
        <w:softHyphen/>
        <w:t>ко было бы желательно таких автосаней заказать.</w:t>
      </w:r>
    </w:p>
    <w:p w14:paraId="698FA93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И.о. председателя в/о «Техноэкспорт» Арутюнов</w:t>
      </w:r>
    </w:p>
    <w:p w14:paraId="475C26A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ЦАМО. Ф. 38. Оп. 11386. Д. 123. Л. 120. Подлинник (11211).</w:t>
      </w:r>
    </w:p>
    <w:p w14:paraId="3544D0C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0A4DE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1942 вышло Постановление ГКО № 2062 О материально-техническом обеспечении подшипниковых заводов Наркомсредмаша в III квартале 1942 г. РГАНИР, Фонд ГКО, д. 45, лл. 6-8, 9-16 (11012).</w:t>
      </w:r>
    </w:p>
    <w:p w14:paraId="225AF76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D0E5A9"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1942 по дну Ладожского озера проложен трубопровод для подачи топлива в осажденный Ленинград (4962).</w:t>
      </w:r>
    </w:p>
    <w:p w14:paraId="67073851"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0876E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1942 вступил в строй трубопровод, проложенный по дну Ладожского озера для доставки горючего в Ленинград (3186).</w:t>
      </w:r>
    </w:p>
    <w:p w14:paraId="2EC6894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8E6C2D"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Армия:</w:t>
      </w:r>
    </w:p>
    <w:p w14:paraId="1FD8B0F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0A03E4"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в 1942 году утреннее сообщение Совинформбюро:</w:t>
      </w:r>
    </w:p>
    <w:p w14:paraId="36442DF3"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18 июля наши войска вели бои с противником в районе Воронежа и южнее Миллерово.</w:t>
      </w:r>
    </w:p>
    <w:p w14:paraId="70A3A13C"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506D7275"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продолжались бои, в ходе которых наши части несколько потеснили противника. Немцы оказывают упорное сопротивление, стремясь всеми силами удержать занятые позиции. На одном из участков после артиллерийской и миномётной подготовки наши танкисты ворвались в расположение противника и разгромили 3 артиллерийские и 2 миномётные батареи. Вслед за танками в бой вступили пехотинцы. В завязавшейся рукопашной схватке гитлеровцы потеряли 350 человек убитыми и поспешно отошли, оставив 3 танка, врытых в землю, 7 орудий, 4пулемёта, 9 миномётов и склад с боеприпасами. На другом участке пехота противника при поддержке танков атаковала наши позиции. При отражении этой атаки артиллеристы под командованием тов. Душина уничтожили 3 немецких танка и истребили до 300 гитлеровцев.</w:t>
      </w:r>
    </w:p>
    <w:p w14:paraId="11CCCF7E"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Южнее Миллерова наши войска отбивают многочисленные атаки крупных сил танков и мотопехоты противника. В течение дня на одном из участков наши артиллеристы и бронебойщики сожгли и подбили 17 немецких танков. Советская пехота также громит технику противника. Бойцы только одного подразделения подорвали гранатами и сожгли бутылками с горючей смесью 5 танков и 2 бронемашины. В этом бою гитлеровцы потеряли убитыми и ранеными свыше 1.200 солдат и офицеров. Смелый рейд по тылам наступающего противника провели кавалеристы. Они рассеяли и частью уничтожили немецкую колонну, сожгли 4 автоцистерны с горючим и 9 автомашин с боеприпасами и продовольствием.</w:t>
      </w:r>
    </w:p>
    <w:p w14:paraId="7940D835"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Гвардейцы-миномётчики подразделения, где командиром тов. Шаренков (Калининский фронт), открыли огонь по скоплению противника и уничтожили 2 миномётные батареи, 2 орудия и до 250 гитлеровцев. Миномётчики под командованием тов. Воблого массированным огнём по колонне противника уничтожили 13 автомашин с пехотой и 20 повозок с боеприпасами.</w:t>
      </w:r>
    </w:p>
    <w:p w14:paraId="47B35560"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Лётчики части, где командиром майор Зимин (Северо-Западный фронт), за три месяца сбили 87 самолётов противника. Майор Кондратьев сбил 12 немецких самолётов, майор Лазарев — 10 немецких самолётов и лейтенант Волков — 11 немецких самолётов.</w:t>
      </w:r>
    </w:p>
    <w:p w14:paraId="45DF21E9"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Танковый экипаж в составе лейтенанта Черкаса, механика-водителя Патрушева и старшего политрука Троекурова в одном бою уничтожил 2 немецких танка, 8 орудий, разрушил 12 ДЗОТов и раздавил до 50 немецких солдат и офицеров.</w:t>
      </w:r>
    </w:p>
    <w:p w14:paraId="1C24BFEA"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Отражая атаку противника, группа бойцов части, где командиром тов. Сазонов, уничтожила 6 немецких танков.</w:t>
      </w:r>
    </w:p>
    <w:p w14:paraId="48E3266F"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Красноармеец тов. Кужлев несколькими выстрелами из противотанкового ружья сбил немецкий самолёт «Хеншель-126», корректировавший стрельбу артиллерии противника.</w:t>
      </w:r>
    </w:p>
    <w:p w14:paraId="4D465387"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обер-фельдфебель 5 роты 52 мотополка 18 немецкой танковой дивизии Ганс Кухенбеккер рассказал: «Шестого июля утром русские начали сильный артиллерийский обстрел наших позиций. Снаряды накрыли почти все наши блиндажи и огневые точки. В моём взводе было 30 человек. Из них в живых остались только двое: я и унтер-офицер Отто Рейер. Остальные взводы тоже понесли тяжёлые потери. 5 рота уже была однажды разгромлена. У пункта Б. она потеряла убитыми и ранеными 160 человек. В конце мая рота получила пополнение в количестве 110 человек, главным образом юнцов, состоящих в союзе гитлеровской молодёжи. Им вдолбили в головы, что война, захват чужих земель и богатств — всё это призвание истинного немца. Я полагаю, что они скоро поумнеют, испытав все прелести войны на Востоке».</w:t>
      </w:r>
    </w:p>
    <w:p w14:paraId="1DFF4EC4"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Немецкие захватчики продолжают грабить Норвегию. Сейчас оккупанты проводят конфискацию у населения всех велосипедов. Недавно оккупационные власти реквизировали более 100 авторемонтных мастерских.</w:t>
      </w:r>
    </w:p>
    <w:p w14:paraId="667D7E2E"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Бакинские нефтяники широко практикуют скоростной метод бурения нефтескважин. Скважина № 1212 была пробурена в 16 дней вместо 23 по графику. Бригада знатного мастера орденоносца Баба Кафар Мурадова за 12 дней пробурила 106 метров вместо 60 по заданию.» (14956).</w:t>
      </w:r>
    </w:p>
    <w:p w14:paraId="775EA7C3" w14:textId="77777777" w:rsidR="00056917" w:rsidRPr="001E2C69" w:rsidRDefault="00056917" w:rsidP="00722885">
      <w:pPr>
        <w:spacing w:after="0" w:line="240" w:lineRule="auto"/>
        <w:jc w:val="both"/>
        <w:rPr>
          <w:rFonts w:ascii="Times New Roman" w:hAnsi="Times New Roman"/>
          <w:color w:val="000000" w:themeColor="text1"/>
          <w:sz w:val="16"/>
          <w:szCs w:val="16"/>
        </w:rPr>
      </w:pPr>
    </w:p>
    <w:p w14:paraId="0556EA1E"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в 1942 году вечернее сообщение Совинформбюро:</w:t>
      </w:r>
    </w:p>
    <w:p w14:paraId="72602131"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18 июля наши войска продолжали бои с противником в районе Воронежа и южнее Миллерово.</w:t>
      </w:r>
    </w:p>
    <w:p w14:paraId="6CE639A7"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573EA863"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Нашим кораблём в Балтийском море потоплен транспорт противника водоизмещением в 8.000 тонн.</w:t>
      </w:r>
    </w:p>
    <w:p w14:paraId="19CECD63"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17 июля частями нашей авиации на различных участках фронта уничтожено или повреждено около 80 немецких танков, 4 бронемашины, 23 орудия, 310 автомашин с войсками и грузами, 5 автоцистерн с горючим, 3 склада с боеприпасами и 2 склада с горючим, рассеяно и частью уничтожено до трёх батальонов пехоты противника.</w:t>
      </w:r>
    </w:p>
    <w:p w14:paraId="2DAA0643"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наши войска, преодолевая упорное сопротивление противника, на отдельных участках продвинулись вперёд и заняли несколько населённых пунктов. На одном из участков крупные силы немцев предприняли атаку, стремясь захватить выгодный рубеж. Контрударом наших частей атака противника была отбита. Немцы потеряли убитыми свыше 1.000 солдат и офицеров. Уничтожено 24 орудия противника, 6 танков, 75 пулемётов, около 40 автомашин и 3 цистерны с горючим. Кроме того,подбито ещё 7 немецких танков. На другом участке наша часть выбила противника из населённого пункта и уничтожила 350 гитлеровцев, 2 танка и 3 орудия. Захвачен склад с боеприпасами.</w:t>
      </w:r>
    </w:p>
    <w:p w14:paraId="6EBF1420"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Южнее Миллерова наши войска вели ожесточённые оборонительные бои. Наша бомбардировочная и штурмовая авиация наносила удары по танкам, аэродромам, мотомехчастям и пехоте противника. За два дня уничтожено 46 немецких танков, 180 автомашин с войсками и военным грузом, 7 противотанковых орудий, 5 зенитных орудий, разрушен железнодорожный мост, взорвано два склада с боеприпасами и 4 цистерны с горючим. В воздушных боях наши лётчики сбили 7 и уничтожили на аэродроме 5 немецких самолётов.</w:t>
      </w:r>
    </w:p>
    <w:p w14:paraId="3373FD05"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Калининском фронте происходили бои местного значения и активные действия разведывательных групп. На одном из участков немцы предприняли атаку, которая была отражена миномётным и ружейно-пулемётным огнём. На поле боя противник оставил свыше 100 трупов. Попытки немецких танков боем разведать систему нашей обороны также потерпели неудачу. Группа бойцов под командованием капитана Жидкова подбила 3 немецких танка. Красноармейцы тт. Иванов и Ташлыков из засады уничтожили два танка и бронемашину противника.</w:t>
      </w:r>
    </w:p>
    <w:p w14:paraId="03BE8A27"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Западном Фронте продолжались артиллерийская перестрелка и активные действия авиации. На одном из участков фронта две роты пехоты противника при поддержке танков пытались атаковать наши позиции. Огнём артиллерии и пехоты атака была отбита. В воздушных боях наши лётчики сбили в немецких бомбардировщиков. Меткими выстрелами из противотанкового ружья старшина Василий Жарков сбил немецкий самолёт.</w:t>
      </w:r>
    </w:p>
    <w:p w14:paraId="3FC6ABC5"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Партизанским отрядом под командованием тов. М., действующим в одном из районов Полесской области, пущен под откос воинский эшелон противника. По предварительным данным, при крушении убито и ранено до 500 немецко-фашистских оккупантов.</w:t>
      </w:r>
    </w:p>
    <w:p w14:paraId="43B887D9"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Ниже публикуются выдержки из записной книжки солдата 46 немецкого батальона В. фон Гризгейма: «Польская земля пустынна. Повсюду заметен немецкий веник, который основательно вымел всё... Мы, наконец, в России. Из окна вагона видны кладбища павших в битвах прошлого года...</w:t>
      </w:r>
    </w:p>
    <w:p w14:paraId="19405D29"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участке железной дороги Смоленск — Вязьма я видел десятки поездов, пущенных партизанами под откос, сотни вагонов, разбитых в щепы. Страшно смотреть. По обеим сторонам пути чернели остовы вагонов, разбитых паровозов,обломки грузовиков, валялись кучи тряпья и бесформенного металла...»</w:t>
      </w:r>
    </w:p>
    <w:p w14:paraId="5542B2C1"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Непрерывным потоком идут взносы трудящихся Советского Союза в фонд Обороны Родины. С 1 января по 1 июля 1942 г. в фонд Обороны поступило 1.221,5 миллиона рублей. Кроме того, трудящиеся внесли около 12 килограммов платины, 97 килограммов золота, 8,6 тысяч килограммов серебра, на 1.192 тысячи рублей драгоценных вещей, на 7.986 тысяч рублей иностранной валюты, на 2.267 миллионов рублей облигаций государственных займов. От колхозников поступило в фонд Обороны много зерна, сена, скота, кож, шерсти и других сельскохозяйственныхпродуктов.» (14956).</w:t>
      </w:r>
    </w:p>
    <w:p w14:paraId="7AD06D2D" w14:textId="77777777" w:rsidR="00056917" w:rsidRPr="001E2C69" w:rsidRDefault="00056917" w:rsidP="00722885">
      <w:pPr>
        <w:spacing w:after="0" w:line="240" w:lineRule="auto"/>
        <w:jc w:val="both"/>
        <w:rPr>
          <w:rFonts w:ascii="Times New Roman" w:hAnsi="Times New Roman"/>
          <w:color w:val="000000" w:themeColor="text1"/>
          <w:sz w:val="16"/>
          <w:szCs w:val="16"/>
        </w:rPr>
      </w:pPr>
    </w:p>
    <w:p w14:paraId="28F95A1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1942 НКВМФ Н.Г.Кузнецов выпустил директиву N 9/198 о мерах по снижению эффективности действия авиации противника (2120).</w:t>
      </w:r>
    </w:p>
    <w:p w14:paraId="0102499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F7A726"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21, 24 и 26 июля 1942 г. считаются датами налетов на столицу Восточной Пруссии считаются, когда было выполнено 335 самолето-вылетов. Так, только 17-я ад дд отчиталась о 30 экипажах, бомбивших основную цель. В то же время 17 машин по разным причинам до Кенигсберга не дошли, а сбросили бомбы на объекты в Прибалтике, Восточной Пруссии и на Северо-Западе РСФСР. Вообще, эта серия налетов характерна большим числом экипажей, не дошедших до цели по метеоусловиям. Так, в ночь на 21 июля только один из 18 самолетов, вылетевших на Кенигсберг, бомбил основную цель. В ночь на 24 июля из 15 – два (22728).</w:t>
      </w:r>
    </w:p>
    <w:p w14:paraId="28D411A2" w14:textId="77777777" w:rsidR="00087D2F" w:rsidRPr="001E2C69" w:rsidRDefault="00087D2F" w:rsidP="00722885">
      <w:pPr>
        <w:spacing w:after="0" w:line="240" w:lineRule="auto"/>
        <w:jc w:val="both"/>
        <w:rPr>
          <w:rFonts w:ascii="Times New Roman" w:hAnsi="Times New Roman"/>
          <w:color w:val="000000" w:themeColor="text1"/>
          <w:sz w:val="16"/>
          <w:szCs w:val="16"/>
        </w:rPr>
      </w:pPr>
    </w:p>
    <w:p w14:paraId="4FCD53B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1942 г. была подготовлена ДОКЛАДНАЯ ЗАПИСКА НАЧАЛЬНИКУ 5 ОТДЕЛА АТУ ГАБТУ КА О ЧАСТЫХ ПОЛОМКАХ МАШИНЫ МАРКИ СТУДЕБЕКЕР ПО РЕЗУЛЬТАТАМ КОМАНДИРОВКИ НА СЕВЕРО-ЗАПАДНЫЙ ФРОНТ</w:t>
      </w:r>
    </w:p>
    <w:p w14:paraId="13122A2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Автомобильный парк Северо-Западного фронта имеет 152 автомашины Студебекер. Для исследования вопроса о причинах частых поломок отдельных деталей машин мною было взято для исследования два вида эксплуатации машин Студебекер.</w:t>
      </w:r>
    </w:p>
    <w:p w14:paraId="3AE77A0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Машина, несущая на себе постоянную нагрузку (минометные части).</w:t>
      </w:r>
    </w:p>
    <w:p w14:paraId="5D4114F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Машина, как тягач с прицепным орудием и одновременно служащая для транспортировки бойцов и боепитания (воинская часть № 231).</w:t>
      </w:r>
    </w:p>
    <w:p w14:paraId="24CD367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эксплуатации Студебекера с постоянной нагрузкой, общий вес которой не превышает ус</w:t>
      </w:r>
      <w:r w:rsidRPr="001E2C69">
        <w:rPr>
          <w:rFonts w:ascii="Times New Roman" w:hAnsi="Times New Roman"/>
          <w:color w:val="000000" w:themeColor="text1"/>
          <w:sz w:val="16"/>
          <w:szCs w:val="16"/>
        </w:rPr>
        <w:softHyphen/>
        <w:t>тановленного тоннажа, и сама установка пропорционально распределена своим весом по всей плат</w:t>
      </w:r>
      <w:r w:rsidRPr="001E2C69">
        <w:rPr>
          <w:rFonts w:ascii="Times New Roman" w:hAnsi="Times New Roman"/>
          <w:color w:val="000000" w:themeColor="text1"/>
          <w:sz w:val="16"/>
          <w:szCs w:val="16"/>
        </w:rPr>
        <w:softHyphen/>
        <w:t>форме машины и осям, что даже при наезде передних колес на неровности не может вызвать жест</w:t>
      </w:r>
      <w:r w:rsidRPr="001E2C69">
        <w:rPr>
          <w:rFonts w:ascii="Times New Roman" w:hAnsi="Times New Roman"/>
          <w:color w:val="000000" w:themeColor="text1"/>
          <w:sz w:val="16"/>
          <w:szCs w:val="16"/>
        </w:rPr>
        <w:softHyphen/>
        <w:t>ких ударов и поломку самих рессор.</w:t>
      </w:r>
    </w:p>
    <w:p w14:paraId="6FAE858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Поломки отдельных деталей, в данном случае имелись исключительно только в трансмиссион</w:t>
      </w:r>
      <w:r w:rsidRPr="001E2C69">
        <w:rPr>
          <w:rFonts w:ascii="Times New Roman" w:hAnsi="Times New Roman"/>
          <w:color w:val="000000" w:themeColor="text1"/>
          <w:sz w:val="16"/>
          <w:szCs w:val="16"/>
        </w:rPr>
        <w:softHyphen/>
        <w:t>ной части автомобиля как-то: сцепление, т.е. поломка ведущего нажимного диска деталь № 644656, у дифференциала поломка сателлитов деталь № 668688 и в отдельных случаях полуосевых шестерней дифференциала деталь № 668688.</w:t>
      </w:r>
    </w:p>
    <w:p w14:paraId="1545B59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Поломка ведущего нажимного диска происходит от неумения правильно отрегулировать сво</w:t>
      </w:r>
      <w:r w:rsidRPr="001E2C69">
        <w:rPr>
          <w:rFonts w:ascii="Times New Roman" w:hAnsi="Times New Roman"/>
          <w:color w:val="000000" w:themeColor="text1"/>
          <w:sz w:val="16"/>
          <w:szCs w:val="16"/>
        </w:rPr>
        <w:softHyphen/>
        <w:t>бодный ход педалей сцепления, который меньше установленного предела на 25-35 мм.</w:t>
      </w:r>
    </w:p>
    <w:p w14:paraId="2E54D73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Диск пробуксовывается, тем самым сильно нагревается, коробится и ломается.</w:t>
      </w:r>
    </w:p>
    <w:p w14:paraId="07D260D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буксовании машины некоторые водители резко отпускают педаль сцепления, отчего проис</w:t>
      </w:r>
      <w:r w:rsidRPr="001E2C69">
        <w:rPr>
          <w:rFonts w:ascii="Times New Roman" w:hAnsi="Times New Roman"/>
          <w:color w:val="000000" w:themeColor="text1"/>
          <w:sz w:val="16"/>
          <w:szCs w:val="16"/>
        </w:rPr>
        <w:softHyphen/>
        <w:t>ходят жесткие удары. Часто машину выводят при буксовании на полувыжатом сцеплении.</w:t>
      </w:r>
    </w:p>
    <w:p w14:paraId="2CDA8AA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Точно также поломку сателлитов и полуосевых шестерен нужно объяснить неумелым вождени</w:t>
      </w:r>
      <w:r w:rsidRPr="001E2C69">
        <w:rPr>
          <w:rFonts w:ascii="Times New Roman" w:hAnsi="Times New Roman"/>
          <w:color w:val="000000" w:themeColor="text1"/>
          <w:sz w:val="16"/>
          <w:szCs w:val="16"/>
        </w:rPr>
        <w:softHyphen/>
        <w:t>ем машин по пересеченным местностям, в условии болот, озер и леса с преодолением разных пре</w:t>
      </w:r>
      <w:r w:rsidRPr="001E2C69">
        <w:rPr>
          <w:rFonts w:ascii="Times New Roman" w:hAnsi="Times New Roman"/>
          <w:color w:val="000000" w:themeColor="text1"/>
          <w:sz w:val="16"/>
          <w:szCs w:val="16"/>
        </w:rPr>
        <w:softHyphen/>
        <w:t>пятствий. В этих случаях следовало бы переходить на использование всех трех осей автомобиля для равномерного распределения крутящего момента по осям, с одновременным включением демультипликатора. Однако водительский состав это забывает или недостаточно хорошо знает. В этом случае на заднюю тележку приходится повышенная нагрузка, переходящая за пределы запаса.прочности зубьев сателлитов и полуосевых шестерен, почему последние и ломаются.</w:t>
      </w:r>
    </w:p>
    <w:p w14:paraId="5705DB0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Причины поломок деталей, когда машина Студебекер эксплуатируется как тягач с одновремен</w:t>
      </w:r>
      <w:r w:rsidRPr="001E2C69">
        <w:rPr>
          <w:rFonts w:ascii="Times New Roman" w:hAnsi="Times New Roman"/>
          <w:color w:val="000000" w:themeColor="text1"/>
          <w:sz w:val="16"/>
          <w:szCs w:val="16"/>
        </w:rPr>
        <w:softHyphen/>
        <w:t>ной перевозкой боепитания и бойцов (воинская часть 231), происходят исключительно из-за боль</w:t>
      </w:r>
      <w:r w:rsidRPr="001E2C69">
        <w:rPr>
          <w:rFonts w:ascii="Times New Roman" w:hAnsi="Times New Roman"/>
          <w:color w:val="000000" w:themeColor="text1"/>
          <w:sz w:val="16"/>
          <w:szCs w:val="16"/>
        </w:rPr>
        <w:softHyphen/>
        <w:t>шой перегрузки машины. Последняя иногда доходит до 4,5 тонн в кузове + 6 тонн на крюке с уче</w:t>
      </w:r>
      <w:r w:rsidRPr="001E2C69">
        <w:rPr>
          <w:rFonts w:ascii="Times New Roman" w:hAnsi="Times New Roman"/>
          <w:color w:val="000000" w:themeColor="text1"/>
          <w:sz w:val="16"/>
          <w:szCs w:val="16"/>
        </w:rPr>
        <w:softHyphen/>
        <w:t>том тяжелых условий дорог Северо-Западного фронта (бездорожье, болота, озера и лес).</w:t>
      </w:r>
    </w:p>
    <w:p w14:paraId="16B02B0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Недостаточное знакомство технического и обслуживающего персонала с материальной частью иномашин приводит к частым поломкам отдельных деталей и агрегатов. Как правило, и здесь не пользуются при наличии перегруженности высокими тяговыми усилиями машины Студебекер пу</w:t>
      </w:r>
      <w:r w:rsidRPr="001E2C69">
        <w:rPr>
          <w:rFonts w:ascii="Times New Roman" w:hAnsi="Times New Roman"/>
          <w:color w:val="000000" w:themeColor="text1"/>
          <w:sz w:val="16"/>
          <w:szCs w:val="16"/>
        </w:rPr>
        <w:softHyphen/>
        <w:t>тем включения переднего моста и демультипликатора в раздаточной коробке.</w:t>
      </w:r>
    </w:p>
    <w:p w14:paraId="7F70829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Имеются случаи в в/ч № 231, где при поломках отдельных деталей задних мостов (сателлиты, по</w:t>
      </w:r>
      <w:r w:rsidRPr="001E2C69">
        <w:rPr>
          <w:rFonts w:ascii="Times New Roman" w:hAnsi="Times New Roman"/>
          <w:color w:val="000000" w:themeColor="text1"/>
          <w:sz w:val="16"/>
          <w:szCs w:val="16"/>
        </w:rPr>
        <w:softHyphen/>
        <w:t>луосевые шестерни и шарниры гука) из-за отсутствия запчастей снимают детали с передних мостов и устанавливают их вместо сломанных деталей задних мостов. Вследствие этого в дальнейшем ис</w:t>
      </w:r>
      <w:r w:rsidRPr="001E2C69">
        <w:rPr>
          <w:rFonts w:ascii="Times New Roman" w:hAnsi="Times New Roman"/>
          <w:color w:val="000000" w:themeColor="text1"/>
          <w:sz w:val="16"/>
          <w:szCs w:val="16"/>
        </w:rPr>
        <w:softHyphen/>
        <w:t>пользовать передний мост в нужный момент, как ведущий, становится невозможным.</w:t>
      </w:r>
    </w:p>
    <w:p w14:paraId="1A4DBD4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Сам водительский состав недостаточно технически грамотно подготовлен к управлению маши</w:t>
      </w:r>
      <w:r w:rsidRPr="001E2C69">
        <w:rPr>
          <w:rFonts w:ascii="Times New Roman" w:hAnsi="Times New Roman"/>
          <w:color w:val="000000" w:themeColor="text1"/>
          <w:sz w:val="16"/>
          <w:szCs w:val="16"/>
        </w:rPr>
        <w:softHyphen/>
        <w:t>нами Студебекер в в/ч 231 часто выходят из строя машины по вине самих водителей. Так, например: 29.03.1942 г. в/ч 231 шасси машины № 1131. Авария машины произошла при выезде на огневую ли</w:t>
      </w:r>
      <w:r w:rsidRPr="001E2C69">
        <w:rPr>
          <w:rFonts w:ascii="Times New Roman" w:hAnsi="Times New Roman"/>
          <w:color w:val="000000" w:themeColor="text1"/>
          <w:sz w:val="16"/>
          <w:szCs w:val="16"/>
        </w:rPr>
        <w:softHyphen/>
        <w:t>нию, машина шла с большой скоростью, но водитель внезапно включил задний ход — произошла по</w:t>
      </w:r>
      <w:r w:rsidRPr="001E2C69">
        <w:rPr>
          <w:rFonts w:ascii="Times New Roman" w:hAnsi="Times New Roman"/>
          <w:color w:val="000000" w:themeColor="text1"/>
          <w:sz w:val="16"/>
          <w:szCs w:val="16"/>
        </w:rPr>
        <w:softHyphen/>
        <w:t>ломка отдельных агрегатов и деталей машины; вышли из строя раздаточная коробка, шестерни глав</w:t>
      </w:r>
      <w:r w:rsidRPr="001E2C69">
        <w:rPr>
          <w:rFonts w:ascii="Times New Roman" w:hAnsi="Times New Roman"/>
          <w:color w:val="000000" w:themeColor="text1"/>
          <w:sz w:val="16"/>
          <w:szCs w:val="16"/>
        </w:rPr>
        <w:softHyphen/>
        <w:t>ной передачи переднего и заднего мостов и два подшипника раздаточной коробки.</w:t>
      </w:r>
    </w:p>
    <w:p w14:paraId="33634D7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17.03.1942 г. шасси № 1080 в/ч 231. При сильном буксовании машины произошла поломка двух крестовин и двух подшипников шарнира гука.</w:t>
      </w:r>
    </w:p>
    <w:p w14:paraId="039EE38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23.03.1942 г. шасси № 1034 в/ч 231. Произошла поломка деталей в коробке перемены передач по вине водителя, не было масла в коробке, произошло заедание внутреннего упорного и двух наруж</w:t>
      </w:r>
      <w:r w:rsidRPr="001E2C69">
        <w:rPr>
          <w:rFonts w:ascii="Times New Roman" w:hAnsi="Times New Roman"/>
          <w:color w:val="000000" w:themeColor="text1"/>
          <w:sz w:val="16"/>
          <w:szCs w:val="16"/>
        </w:rPr>
        <w:softHyphen/>
        <w:t>ных подшипников вторичного вала. Вышла из строя скользящая шестерня раздаточной коробки (по</w:t>
      </w:r>
      <w:r w:rsidRPr="001E2C69">
        <w:rPr>
          <w:rFonts w:ascii="Times New Roman" w:hAnsi="Times New Roman"/>
          <w:color w:val="000000" w:themeColor="text1"/>
          <w:sz w:val="16"/>
          <w:szCs w:val="16"/>
        </w:rPr>
        <w:softHyphen/>
        <w:t>ломка 5 зубьев).</w:t>
      </w:r>
    </w:p>
    <w:p w14:paraId="018BBF7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19.03.1942 г. шасси № 1080. Авария произошла по вине лица, производившего контрольный ос</w:t>
      </w:r>
      <w:r w:rsidRPr="001E2C69">
        <w:rPr>
          <w:rFonts w:ascii="Times New Roman" w:hAnsi="Times New Roman"/>
          <w:color w:val="000000" w:themeColor="text1"/>
          <w:sz w:val="16"/>
          <w:szCs w:val="16"/>
        </w:rPr>
        <w:softHyphen/>
        <w:t>мотр; у машины вышел из строя кожух дифференциала и ослабло крепление редуктора из-за неудо</w:t>
      </w:r>
      <w:r w:rsidRPr="001E2C69">
        <w:rPr>
          <w:rFonts w:ascii="Times New Roman" w:hAnsi="Times New Roman"/>
          <w:color w:val="000000" w:themeColor="text1"/>
          <w:sz w:val="16"/>
          <w:szCs w:val="16"/>
        </w:rPr>
        <w:softHyphen/>
        <w:t>влетворительной подтяжки.</w:t>
      </w:r>
    </w:p>
    <w:p w14:paraId="693BD5C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16.03.1942 г. шасси № 1034. Произошла поломка ведущего диска сцепления. Причина поломки, как считает комиссия, по вине водителя, который при буксовании машины стремился выехать на по</w:t>
      </w:r>
      <w:r w:rsidRPr="001E2C69">
        <w:rPr>
          <w:rFonts w:ascii="Times New Roman" w:hAnsi="Times New Roman"/>
          <w:color w:val="000000" w:themeColor="text1"/>
          <w:sz w:val="16"/>
          <w:szCs w:val="16"/>
        </w:rPr>
        <w:softHyphen/>
        <w:t>лувыжатом сцеплении.</w:t>
      </w:r>
    </w:p>
    <w:p w14:paraId="3785D01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19.04.1942 г. в/ч 231 шасси № 127. Поломка передних рессор произошла по вине водителя, кото</w:t>
      </w:r>
      <w:r w:rsidRPr="001E2C69">
        <w:rPr>
          <w:rFonts w:ascii="Times New Roman" w:hAnsi="Times New Roman"/>
          <w:color w:val="000000" w:themeColor="text1"/>
          <w:sz w:val="16"/>
          <w:szCs w:val="16"/>
        </w:rPr>
        <w:softHyphen/>
        <w:t>рый не предусмотрел при управлении машиной состояние дороги (въехал в яму).</w:t>
      </w:r>
    </w:p>
    <w:p w14:paraId="238D1DF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ВЫВОДЫ:</w:t>
      </w:r>
    </w:p>
    <w:p w14:paraId="77C40A4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основе изложенного материала можно сделать следующие выводы:</w:t>
      </w:r>
    </w:p>
    <w:p w14:paraId="36CB862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Срочно обеспечить запчастями все походные ремонтные мастерские в/частей, где имеются машины Студебекер.</w:t>
      </w:r>
    </w:p>
    <w:p w14:paraId="38E5AAA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Восстановить машины, с которых были временно сняты детали с передних ведущих мостов для установки их на задние мосты.</w:t>
      </w:r>
    </w:p>
    <w:p w14:paraId="5DD1B75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Обеспечить автопарки краткими руководствами по управлению и эксплуатации машин Сту</w:t>
      </w:r>
      <w:r w:rsidRPr="001E2C69">
        <w:rPr>
          <w:rFonts w:ascii="Times New Roman" w:hAnsi="Times New Roman"/>
          <w:color w:val="000000" w:themeColor="text1"/>
          <w:sz w:val="16"/>
          <w:szCs w:val="16"/>
        </w:rPr>
        <w:softHyphen/>
        <w:t>дебекер.</w:t>
      </w:r>
    </w:p>
    <w:p w14:paraId="5174690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Срочно договориться с заводами изготовителями, которые по заказу войсковых частей изго</w:t>
      </w:r>
      <w:r w:rsidRPr="001E2C69">
        <w:rPr>
          <w:rFonts w:ascii="Times New Roman" w:hAnsi="Times New Roman"/>
          <w:color w:val="000000" w:themeColor="text1"/>
          <w:sz w:val="16"/>
          <w:szCs w:val="16"/>
        </w:rPr>
        <w:softHyphen/>
        <w:t>товляли детали для автомобиля Студебекер об увеличении производства необходимых деталей.</w:t>
      </w:r>
    </w:p>
    <w:p w14:paraId="79EE80F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Воентехник 1 ранга Чекменев</w:t>
      </w:r>
    </w:p>
    <w:p w14:paraId="4DD5955C"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ЦАМО. Ф. 38. Оп. 11386. Д. 138. Л. 105-106. Подлинник (11211).</w:t>
      </w:r>
    </w:p>
    <w:p w14:paraId="15CFD559"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p>
    <w:p w14:paraId="61387286"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1942 фашистами захвачен Ворошиловград (4962).</w:t>
      </w:r>
    </w:p>
    <w:p w14:paraId="4D8E6B8D"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C0D72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18 июля 1942 вышло Постановление ГКО № 2061 О выводе с фронта 30 стрелковых дивизий и бригад для доукомплектования и развертывания бригад в дивизии. </w:t>
      </w:r>
      <w:r w:rsidRPr="001E2C69">
        <w:rPr>
          <w:rFonts w:ascii="Times New Roman" w:hAnsi="Times New Roman"/>
          <w:color w:val="000000" w:themeColor="text1"/>
          <w:sz w:val="16"/>
          <w:szCs w:val="16"/>
        </w:rPr>
        <w:lastRenderedPageBreak/>
        <w:t>РГАНИР, Фонд ГКО, д. 45, лл. 2-5 (11012).</w:t>
      </w:r>
    </w:p>
    <w:p w14:paraId="600A4E8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7371C7"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Жизнь и внутренняя политика:</w:t>
      </w:r>
    </w:p>
    <w:p w14:paraId="15E0A5E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48604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1942 вышло Постановление ГКО № 2060 Об эвакуации населения из г. Ростова и области. РГАНИР, Фонд ГКО, д. 45, лл. 1 (11012).</w:t>
      </w:r>
    </w:p>
    <w:p w14:paraId="01A1B4A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9CE528" w14:textId="77777777" w:rsidR="00056917" w:rsidRPr="001E2C69" w:rsidRDefault="000569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в 1942 году по дну Ладожского озера прокладывается трубопровод для подачи топлива в осажденный Ленинград (14956).</w:t>
      </w:r>
    </w:p>
    <w:p w14:paraId="250FEBA0" w14:textId="77777777" w:rsidR="00056917" w:rsidRPr="001E2C69" w:rsidRDefault="00056917" w:rsidP="00722885">
      <w:pPr>
        <w:spacing w:after="0" w:line="240" w:lineRule="auto"/>
        <w:jc w:val="both"/>
        <w:rPr>
          <w:rFonts w:ascii="Times New Roman" w:hAnsi="Times New Roman"/>
          <w:color w:val="000000" w:themeColor="text1"/>
          <w:sz w:val="16"/>
          <w:szCs w:val="16"/>
        </w:rPr>
      </w:pPr>
    </w:p>
    <w:p w14:paraId="6ECF3206"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Внешняя политика:</w:t>
      </w:r>
    </w:p>
    <w:p w14:paraId="1DBF110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FCC03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1942 года было отправлено:</w:t>
      </w:r>
    </w:p>
    <w:p w14:paraId="0C66B7D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 В. СТАЛИН Ф. РУЗВЕЛЬТУ *</w:t>
      </w:r>
    </w:p>
    <w:p w14:paraId="5BA6FC2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Ваше сообщение о назначении американскими представителями на совещание в Москве генерал-майора Ф. Брэдли, капитана Данкена и полковника Микела мною получено. Американским представителям будет оказано все необходимое содействие в выполнении возложенных на них задач.</w:t>
      </w:r>
    </w:p>
    <w:p w14:paraId="30256B7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 стороны СССР в совещании примут участие генерал-майор Стерлигов, полковник Кабанов и полковник Левандович.</w:t>
      </w:r>
    </w:p>
    <w:p w14:paraId="2697BC1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Что касается рекогносцировочного полета, то в ближайшие дни из Красноярска в Ном можно было бы отправить один самолет (имеется в виду американский двухмоторный самолет), который на обратном пути из Нома мог бы взять с собой и американских офицеров.</w:t>
      </w:r>
    </w:p>
    <w:p w14:paraId="2618C49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Пользуюсь случаем, чтобы выразить Вам признательность за сообщение о дополнительной отправке в СССР ста пятнадцати танков.</w:t>
      </w:r>
    </w:p>
    <w:p w14:paraId="1F3A615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Считаю долгом предупредить, что, как утверждают наши специалисты на фронте, американские танки очень легко горят от патронов противотанковых ружей, попадающих сзади или сбоку. Происходит это оттого, что высокосортный бензин, употребляемый американскими танками, образует в танке большой слой бензиновых паров, создающих благоприятные условия для загорания. Немецкие танки работают тоже на бензине, но бензин у них низкосортный, не дающий большого количества паров, ввиду чего они гораздо меньше подвержены загоранию. Наиболее подходящим мотором для танков наши специалисты считают дизель (7430).</w:t>
      </w:r>
    </w:p>
    <w:p w14:paraId="1DB639C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D4417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1942 года было получено:</w:t>
      </w:r>
    </w:p>
    <w:p w14:paraId="53E063D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 ЧЕРЧИЛЛЬ И. В. СТАЛИНУ *</w:t>
      </w:r>
    </w:p>
    <w:p w14:paraId="6262573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Мы начали отправлять в Северную Россию небольшие конвои судов в августе 1941 года, и до декабря немцы не предпринимали каких-либо шагов для того, чтобы помешать им. С февраля 1942 года размер конвоев был увеличен, и тогда немцы перебросили в Северную Норвегию значительные силы подводных лодок и большое количество самолетов и начали предпринимать решительные нападения на конвои. В результате предоставления конвоям возможно более сильного охранения в виде эсминцев и специальных судов для борьбы с подводными лодками конвои проходили с различными, но допустимыми потерями. Ясно, что немцы были недовольны результатами, достигнутыми при помощи одних только самолетов и подводных лодок, так как они начали использовать свои надводные силы против конвоев. Однако, к нашему счастью, вначале они использовали свои тяжелые надводные корабли к западу от острова Медвежий, а свои подводные лодки к востоку от него.</w:t>
      </w:r>
    </w:p>
    <w:p w14:paraId="71B8B05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Благодаря этому флот метрополии был в состоянии предотвращать нападения со стороны надводных сил противника. Перед отправкой майского конвоя Адмиралтейство предостерегало нас, что потери будут очень тяжелыми в случае, если, как это ожидалось, немцы используют свои надводные корабли к востоку от острова Медвежий. Мы решили отправить конвой. Нападения надводных кораблей не произошло, и конвой прошел, потеряв одну шестую часть своего состава, главным образом в результате нападений с воздуха. Однако в случае с последним конвоем под номером P.Q.17 немцы, наконец, использовали свои силы таким способом, которого мы всегда опасались. Они сконцентрировали свои подводные лодки к западу от острова Медвежий, а свои надводные корабли держали в резерве для нападения к востоку от острова Медвежий. Окончательная судьба конвоя P. Q. 17 еще не ясна. В настоящий момент в Архангельск прибыли только четыре парохода, а шесть других находятся в гаванях Новой Земли. Последние, однако, могут по отдельности подвергнуться нападению с воздуха. Поэтому в лучшем случае уцелеет только одна треть.</w:t>
      </w:r>
    </w:p>
    <w:p w14:paraId="5552183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Я должен объяснить опасности и трудности этих операций с конвоями, когда эскадра противника базируется на Крайнем Севере. Мы не считаем правильным рисковать нашим флотом метрополии к востоку от острова Медвежий или там, где он может подвергнуться нападению немецких самолетов, базирующихся на побережье. Если один или два из наших весьма немногочисленных мощных судов погибли бы или хотя бы были серьезно повреждены, в то время как “Тирпиц” и сопровождающие его корабли, к которым скоро должен присоединиться “Шарнгорст”, остались бы в действии, то все господство в Атлантике было бы потеряно. Помимо того, что это отразилось бы на поставках нам продовольствия, за счет которых мы существуем, это подорвало бы наши военные усилия и прежде всего помешало бы отправке через океан больших конвоев судов с американскими войсками, ежемесячно доставляемые контингенты которых скоро достигнут приблизительно 80 000 человек, и. сделало бы невозможным создание действительно сильного второго фронта в 1943 году.</w:t>
      </w:r>
    </w:p>
    <w:p w14:paraId="4978577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Мои военно-морские советники сообщают мне, что если бы они располагали германскими надводными, подводными и воздушными силами при данных обстоятельствах, то они гарантировали бы полное уничтожение любого конвоя, направляющегося в Северную Россию. До сих пор у них нет никакой надежды на то, что конвоям, которые попытались бы пройти при постоянном дневном свете, повезло бы больше, чем P. Q. 17. Поэтому с очень большим сожалением мы пришли к заключению, что попытка направить следующий конвой P. Q. 18 не принесла бы Вам пользы и нанесла бы только невозместимый ущерб общему делу. В то же самое время я заверяю Вас в том, что если мы сможем изыскать меры, которые позволят не без оснований надеяться на то, что по крайней мере значительная часть судов конвоев достигнет Вашей страны, то мы немедленно возобновим их отправку. Задача заключается в том, чтобы сделать Баренцево море таким же опасным для немецких военных судов, каким они его делают для нас. Это то, к чему мы должны стремиться при помощи наших совместных ресурсов. Я хотел бы направить в скором времени офицера старшего ранга в Северную Россию для совещания с Вашими офицерами и выработки плана.</w:t>
      </w:r>
    </w:p>
    <w:p w14:paraId="28BF52E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Тем временем мы готовы направить немедленно в Персидский залив некоторые из тех судов, которые должны были отплыть с конвоем P. Q. Отбор судов был бы произведен совместно с советскими представителями в Лондоне с тем, чтобы согласовать с ними очередность грузов. Если предпочтение будет отдано истребителям (типов “Харрикейн” и “Аэрокобра”), можете ли Вы использовать и обслуживать их на Южном фронте? Мы могли бы производить сборку их в Басре. Мы надеемся увеличить пропускную способность трансиранских магистралей с тем, чтобы достичь 75 000 тонн в месяц к октябрю, и принимаем меры к дальнейшему ее увеличению. Мы просим Правительство Соединенных Штатов помочь нам путем ускорения поставок подвижного состава и грузовиков. С увеличившимся объемом перевозок можно было бы немедленно справиться, если бы Вы согласились на использование американских грузовиков, предназначенных для СССР, сборка которых в настоящее время производится на побережье Персидского залива, для перевозки грузов по шоссейной дороге между заливом и Каспием. Для того чтобы обеспечить полное использование пропускной способности, мы согласны увеличить количество грузов, которые должны прибыть в сентябре, до 95 000 тонн и до 100 000 тонн — в октябре, исключая грузовики и самолеты.</w:t>
      </w:r>
    </w:p>
    <w:p w14:paraId="4EDB70D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Телеграмма от 20 июня, направленная Вами мне, касалась совместных операций на Севере. Препятствия, существующие в настоящее время на пути посылки дальнейших конвоев, в равной мере делают невозможной отправку сухопутных и воздушных сил для операций в Северной Норвегии. Однако наши офицеры должны немедленно совместно рассмотреть, какие совместные операции могут оказаться возможными в октябре или после октября, когда будет достаточно темно. Было бы хорошо, если бы Вы могли направить сюда Ваших офицеров. Но если это невозможно, то наши офицеры приедут к Вам.</w:t>
      </w:r>
    </w:p>
    <w:p w14:paraId="538569B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дополнение к совместным операциям на Севере мы рассматриваем вопрос о том, как помочь Вам на Вашем южном фланге. Если мы сможем отбросить Роммеля, то мы могли бы осенью послать мощные воздушные силы для операций на левом фланге Вашего фронта. Трудности снабжения этих сил по трансиранскому маршруту без сокращения поставок Вам, разумеется, будут значительными, но я надеюсь в ближайшем будущем представить Вам детальные предложения. Мы должны сначала разбить Роммеля. Бои идут сейчас напряженные.</w:t>
      </w:r>
    </w:p>
    <w:p w14:paraId="4035310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Разрешите мне еще раз выразить благодарность за 40 “Бостонов”. Немцы непрестанно направляют в Африку все больше людей и самолетов, однако к генералу Окинлеку подходят большие подкрепления, и предстоящее прибытие мощных английских и американских соединений тяжелых бомбардировщиков должно обеспечить безопасность в восточной части Средиземного моря и блокировать порты снабжения Роммеля — Тобрук и Бенгази.</w:t>
      </w:r>
    </w:p>
    <w:p w14:paraId="53A69F1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Я уверен, что было бы в наших общих интересах, Премьер Сталин, если бы три польские дивизии </w:t>
      </w:r>
      <w:r w:rsidRPr="001E2C69">
        <w:rPr>
          <w:rFonts w:ascii="Times New Roman" w:hAnsi="Times New Roman"/>
          <w:color w:val="000000" w:themeColor="text1"/>
          <w:sz w:val="16"/>
          <w:szCs w:val="16"/>
          <w:vertAlign w:val="superscript"/>
        </w:rPr>
        <w:t>21</w:t>
      </w:r>
      <w:r w:rsidRPr="001E2C69">
        <w:rPr>
          <w:rFonts w:ascii="Times New Roman" w:hAnsi="Times New Roman"/>
          <w:color w:val="000000" w:themeColor="text1"/>
          <w:sz w:val="16"/>
          <w:szCs w:val="16"/>
        </w:rPr>
        <w:t>, которые Вы так любезно предложили, объединились со своими соотечественниками в Палестине, где мы можем их полностью вооружить. Они будут играть очень важную роль в будущей борьбе, так же как и в сохранении у турок бодрого духа в результате ощущения ими растущей численности сил на Юге. Я надеюсь, что предложенный Вами проект, который мы высоко ценим, не будет не претворен в жизнь из-за того, что поляки захотят отправить вместе с войсками значительное число своих женщин и детей, которые в основном существуют на пайки польских солдат. Питание этих иждивенцев будет значительным бременем для нас. Мы думаем, что стоит принять это бремя в целях создания упомянутой польской армии, которая будет добросовестно использована к нашей общей выгоде. Мы сами испытываем острый недостаток продовольствия в районе Леванта, но продовольствия достаточно в Индии, лишь бы мы смогли доставить его в Левант.</w:t>
      </w:r>
    </w:p>
    <w:p w14:paraId="3A318B5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Если мы не получим поляков, то мы должны будем заменить их за счет сил, подготавливаемых ныне в большом масштабе для англо-американского массового вторжения на континент. Эти приготовления уже заставили немцев перебросить две группы тяжелых бомбардировщиков из Южной России во Францию. Поверьте мне, нет ничего полезного и разумного, чего бы мы и американцы не сделали для того, чтобы помочь Вам в Вашей великолепной борьбе. Президент и я непрестанно ищем средства для преодоления чрезвычайных трудностей, которые ставят нам географические условия, моря и воздушные силы противника.</w:t>
      </w:r>
    </w:p>
    <w:p w14:paraId="19BAA67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Я показал эту телеграмму Президенту (7430).</w:t>
      </w:r>
    </w:p>
    <w:p w14:paraId="2890659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9532B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1942 Черчиль проинформировал И.В.С., что второго фронта в 1942 не будет (512,304).</w:t>
      </w:r>
    </w:p>
    <w:p w14:paraId="64C72B1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CCC2F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18-25 июля 1942 в Лондоне на переговорах между представителями США и Великобритании было оформлено соглашение о переносе срока открытия второго фронта в Европе и принято решение о вторжении в Северную Африку (операция Торч) (3186).</w:t>
      </w:r>
    </w:p>
    <w:p w14:paraId="1560144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F701D9" w14:textId="77777777" w:rsidR="003B3C69" w:rsidRPr="001E2C69" w:rsidRDefault="003B3C6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в 1942 году правительство Великобритании заявило Советскому правительству о временном прекращении поставок военных материалов Советскому Союзу по Северному пути (14956).</w:t>
      </w:r>
    </w:p>
    <w:p w14:paraId="1C0EA6B2" w14:textId="77777777" w:rsidR="003B3C69" w:rsidRPr="001E2C69" w:rsidRDefault="003B3C69" w:rsidP="00722885">
      <w:pPr>
        <w:spacing w:after="0" w:line="240" w:lineRule="auto"/>
        <w:jc w:val="both"/>
        <w:rPr>
          <w:rFonts w:ascii="Times New Roman" w:hAnsi="Times New Roman"/>
          <w:color w:val="000000" w:themeColor="text1"/>
          <w:sz w:val="16"/>
          <w:szCs w:val="16"/>
        </w:rPr>
      </w:pPr>
    </w:p>
    <w:p w14:paraId="791DAB5D"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За рубежом:</w:t>
      </w:r>
    </w:p>
    <w:p w14:paraId="0244118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618D43"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1942 состоялся первый полет немецкого истребителя "Мессершмидт-262" (4962).</w:t>
      </w:r>
    </w:p>
    <w:p w14:paraId="21750AAD"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27565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1942 состоялся первый полет Ме-262 (237,199) уже на реактивной тяге (1128,8).</w:t>
      </w:r>
    </w:p>
    <w:p w14:paraId="5A275D5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33E699" w14:textId="77777777" w:rsidR="003B3C69" w:rsidRPr="001E2C69" w:rsidRDefault="003B3C6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в 1942 году первый полет реактивного истребителя «Мессершмитт Ме-262» (пилот флюг-капитан Фриц Вендель) с двигателями 004А фирмы «Юнкерс». Самолет «Ме-262» "Штюрмфогель" был первым боевым реактивным самолетом, поступившим на вооружение авиационных частей. Первый образец самолета Me-262V-l летом 1941 г. испытывался с поршневым двигателем «Юмо 211». Второй образец самолета «Me-262V-2», на котором были установлены два турбореактивных двигателя «Юнкерс-Юмо 004А» с тягой 840 кг каждый, совершил первый полет 18 июля 1942 г. Первый поступивший в производство истребитель-перехватчик Ме-262А-1, на котором были установлены два турбореактивных двигателя Юмо 004В с тягой 900 кг каждый, был выпущен только небольшой серией. Было построено три образца самолета «Ме-262В-2». На четырех модифицированных самолетах «Ме-262А» были установлены в носовой части фюзеляжа 50-мм пушки ВК5. Эти самолеты являлись опытными образцами для проектируемого самолета Ме-262Е. Всего было построено 1294 самолета типа «Ме-262». Самолет «Ме-262А-1» имел максимальную скорость 845 км/час и дальность полета 940 км. Взлетный вес самолета составлял 7000 кг, а вес пустого самолета - 4500 кг. Размеры самолета: размах крыла 12,5 м, длина 10,9 м, площадь крыла 16,6 м2 (14956).</w:t>
      </w:r>
    </w:p>
    <w:p w14:paraId="6922489B" w14:textId="77777777" w:rsidR="003B3C69" w:rsidRPr="001E2C69" w:rsidRDefault="003B3C69" w:rsidP="00722885">
      <w:pPr>
        <w:spacing w:after="0" w:line="240" w:lineRule="auto"/>
        <w:jc w:val="both"/>
        <w:rPr>
          <w:rFonts w:ascii="Times New Roman" w:hAnsi="Times New Roman"/>
          <w:color w:val="000000" w:themeColor="text1"/>
          <w:sz w:val="16"/>
          <w:szCs w:val="16"/>
        </w:rPr>
      </w:pPr>
    </w:p>
    <w:p w14:paraId="63485805" w14:textId="77777777" w:rsidR="00715152" w:rsidRPr="001E2C69" w:rsidRDefault="00715152"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 xml:space="preserve">18 июля 1942 г. Ме-262 с двумя </w:t>
      </w:r>
      <w:r w:rsidRPr="001E2C69">
        <w:rPr>
          <w:rFonts w:ascii="Times New Roman" w:cs="Times New Roman"/>
          <w:color w:val="000000" w:themeColor="text1"/>
          <w:spacing w:val="0"/>
          <w:sz w:val="16"/>
          <w:szCs w:val="16"/>
          <w:lang w:val="en-US"/>
        </w:rPr>
        <w:t>Jumo</w:t>
      </w:r>
      <w:r w:rsidRPr="001E2C69">
        <w:rPr>
          <w:rFonts w:ascii="Times New Roman" w:cs="Times New Roman"/>
          <w:color w:val="000000" w:themeColor="text1"/>
          <w:spacing w:val="0"/>
          <w:sz w:val="16"/>
          <w:szCs w:val="16"/>
        </w:rPr>
        <w:t xml:space="preserve">-004 совершил первый полёт. Серийный образец этого двигателя </w:t>
      </w:r>
      <w:r w:rsidRPr="001E2C69">
        <w:rPr>
          <w:rFonts w:ascii="Times New Roman" w:cs="Times New Roman"/>
          <w:color w:val="000000" w:themeColor="text1"/>
          <w:spacing w:val="0"/>
          <w:sz w:val="16"/>
          <w:szCs w:val="16"/>
          <w:lang w:val="en-US"/>
        </w:rPr>
        <w:t>Jumo</w:t>
      </w:r>
      <w:r w:rsidRPr="001E2C69">
        <w:rPr>
          <w:rFonts w:ascii="Times New Roman" w:cs="Times New Roman"/>
          <w:color w:val="000000" w:themeColor="text1"/>
          <w:spacing w:val="0"/>
          <w:sz w:val="16"/>
          <w:szCs w:val="16"/>
        </w:rPr>
        <w:t>-004</w:t>
      </w:r>
      <w:r w:rsidRPr="001E2C69">
        <w:rPr>
          <w:rFonts w:ascii="Times New Roman" w:cs="Times New Roman"/>
          <w:color w:val="000000" w:themeColor="text1"/>
          <w:spacing w:val="0"/>
          <w:sz w:val="16"/>
          <w:szCs w:val="16"/>
          <w:lang w:val="en-US"/>
        </w:rPr>
        <w:t>B</w:t>
      </w:r>
      <w:r w:rsidRPr="001E2C69">
        <w:rPr>
          <w:rFonts w:ascii="Times New Roman" w:cs="Times New Roman"/>
          <w:color w:val="000000" w:themeColor="text1"/>
          <w:spacing w:val="0"/>
          <w:sz w:val="16"/>
          <w:szCs w:val="16"/>
        </w:rPr>
        <w:t>-1, развивающий тягу 900 кгс, запустили в серийное производство, и его поставки начались в марте 1944 г. (15791)</w:t>
      </w:r>
    </w:p>
    <w:p w14:paraId="69659F5D" w14:textId="77777777" w:rsidR="00715152" w:rsidRPr="001E2C69" w:rsidRDefault="00715152" w:rsidP="00722885">
      <w:pPr>
        <w:pStyle w:val="36"/>
        <w:shd w:val="clear" w:color="auto" w:fill="auto"/>
        <w:spacing w:after="0" w:line="240" w:lineRule="auto"/>
        <w:jc w:val="both"/>
        <w:rPr>
          <w:rFonts w:ascii="Times New Roman" w:cs="Times New Roman"/>
          <w:color w:val="000000" w:themeColor="text1"/>
          <w:spacing w:val="0"/>
          <w:sz w:val="16"/>
          <w:szCs w:val="16"/>
        </w:rPr>
      </w:pPr>
    </w:p>
    <w:p w14:paraId="728EDDF2"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1942 третий прототип Me 262 совершает первый полет на реактивной тяге. Пилотирует его Фриц Вендель. Предыдущие попытки полета, начавшиеся в апреле 1941 года на первом прототипе, приводились в движение поршневым двигателем Junkers Jumo 210, который вращал пропеллер в носовой части фюзеляжа еще до того, как любой из предполагаемых реактивных двигателей был готов к полету (20793).</w:t>
      </w:r>
    </w:p>
    <w:p w14:paraId="6DE5834C" w14:textId="77777777" w:rsidR="00087D2F" w:rsidRPr="001E2C69" w:rsidRDefault="00087D2F" w:rsidP="00722885">
      <w:pPr>
        <w:spacing w:after="0" w:line="240" w:lineRule="auto"/>
        <w:jc w:val="both"/>
        <w:rPr>
          <w:rFonts w:ascii="Times New Roman" w:hAnsi="Times New Roman"/>
          <w:color w:val="000000" w:themeColor="text1"/>
          <w:sz w:val="16"/>
          <w:szCs w:val="16"/>
        </w:rPr>
      </w:pPr>
    </w:p>
    <w:p w14:paraId="18EAFA84"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1942 года состоялся первый полет Messerschmitt Me 262 (первый полет на реактивном двигателе) (20793).</w:t>
      </w:r>
    </w:p>
    <w:p w14:paraId="09994FD5" w14:textId="77777777" w:rsidR="00087D2F" w:rsidRPr="001E2C69" w:rsidRDefault="00087D2F" w:rsidP="00722885">
      <w:pPr>
        <w:spacing w:after="0" w:line="240" w:lineRule="auto"/>
        <w:jc w:val="both"/>
        <w:rPr>
          <w:rFonts w:ascii="Times New Roman" w:hAnsi="Times New Roman"/>
          <w:color w:val="000000" w:themeColor="text1"/>
          <w:sz w:val="16"/>
          <w:szCs w:val="16"/>
        </w:rPr>
      </w:pPr>
    </w:p>
    <w:p w14:paraId="5998427E" w14:textId="111FABD2"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1942</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Поднялся в воздух прототип первого серийного реактивного истребителя Мессершмитт Me.262V3.</w:t>
      </w:r>
    </w:p>
    <w:p w14:paraId="413BCABE"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Дат, связанных с испытаниями этого самолёта, столько, что в можно запутаться, так как сама машина была сконструирована раньше, чем были готовы двигатели для неё. Первые полёты совершались с обычными поршневым двигателем, затем в комбинации с реактивными, а в тот день впервые был совершен полёт с реактивным двигателем. Окончательно же как боевой самолёт он был испытан в мае следующего года, а решение о производстве было принято в конце 1943-го.</w:t>
      </w:r>
    </w:p>
    <w:p w14:paraId="2DDDB53D"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Всего было построено 1294 самолёта типа Ме-262. Ме-262А-1 имел максимальную скорость 845 км/час и дальность полёта 940 км. Взлётный вес составлял 7000 кг, а вес пустого самолёта - 4500 кг. Размеры - размах крыла 12,5 м, длина 10,9 м, площадь крыла 16,6 м2 (22426).</w:t>
      </w:r>
    </w:p>
    <w:p w14:paraId="2D7EB350" w14:textId="77777777" w:rsidR="00087D2F" w:rsidRPr="001E2C69" w:rsidRDefault="00087D2F" w:rsidP="00722885">
      <w:pPr>
        <w:spacing w:after="0" w:line="240" w:lineRule="auto"/>
        <w:jc w:val="both"/>
        <w:rPr>
          <w:rFonts w:ascii="Times New Roman" w:hAnsi="Times New Roman"/>
          <w:color w:val="000000" w:themeColor="text1"/>
          <w:sz w:val="16"/>
          <w:szCs w:val="16"/>
        </w:rPr>
      </w:pPr>
    </w:p>
    <w:p w14:paraId="70B1C8D8"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1942 г. Вендель поднял прототип Me 262V-3 с двумя опытными ТРД компании Junkersmotoren, несколько уступавшие по удельным параметрам BMW, в воздух. Полет продолжался 12 мин. и был признан успешным. Испытатель отметил: «В моей практике очень редко случалось, когда первый полет на новом самолете вызывал такое восхищение». В ходе испытаний было принято решение об увеличении длины корневой хорды крыла, после чего передняя кромка центроплан стала стреловидной, предотвращая преждевременный срыв потока. Однако тяги существующих двигателей хронически не хватало. Так, при взлете в условиях высокой температуры 11 августа 1942 г. летчику Генриху Бове из испытательного центра в Рехлине не хватило длины ВПП, что привело к повреждению самолета. Только 20 марта 1943 г. Me 262V-3 был вновь готов к полетам и был облетан в Лекфельде Вольфганом Шпате, уже имевшим достаточный опыт пилотирования ракетных Ме 163. Об успешных испытаниях Шпате доложил командующему истребительной авиацией генерал-лейтенанту Адольфу Галланду, который 22 апреля 1943 г. совершил полет на Me 262V-4 и остался очень доволен (22776).</w:t>
      </w:r>
    </w:p>
    <w:p w14:paraId="6F72FCEE" w14:textId="77777777" w:rsidR="00087D2F" w:rsidRPr="001E2C69" w:rsidRDefault="00087D2F" w:rsidP="00722885">
      <w:pPr>
        <w:spacing w:after="0" w:line="240" w:lineRule="auto"/>
        <w:jc w:val="both"/>
        <w:rPr>
          <w:rFonts w:ascii="Times New Roman" w:hAnsi="Times New Roman"/>
          <w:color w:val="000000" w:themeColor="text1"/>
          <w:sz w:val="16"/>
          <w:szCs w:val="16"/>
        </w:rPr>
      </w:pPr>
    </w:p>
    <w:p w14:paraId="7A9FB409"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в 1942 году полковник Дж.Маршалл получил указание для выполнения специальной работы образовать новый округ инженерных войск, для чего предстояло провести огромный комплекс организационных мероприятий, исследовательских и промышленных работ. Всему этому придаются кадры ученых, лаборатории, промышленные установки, разведывательные органы. Фактически это означало начало организационной подготовки к работам по созданию атомной бомбы (14956).</w:t>
      </w:r>
    </w:p>
    <w:p w14:paraId="5BCAA3C5" w14:textId="77777777" w:rsidR="00715152" w:rsidRPr="001E2C69" w:rsidRDefault="00715152" w:rsidP="00722885">
      <w:pPr>
        <w:spacing w:after="0" w:line="240" w:lineRule="auto"/>
        <w:jc w:val="both"/>
        <w:rPr>
          <w:rFonts w:ascii="Times New Roman" w:hAnsi="Times New Roman"/>
          <w:color w:val="000000" w:themeColor="text1"/>
          <w:sz w:val="16"/>
          <w:szCs w:val="16"/>
        </w:rPr>
      </w:pPr>
    </w:p>
    <w:p w14:paraId="07F9A8FE"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в 1942 году (18-25 июля) в Лондоне на переговорах между представителями правительств Великобритании и США было оформлено соглашение о переносе срока открытия второго фронта в Европе и принято решение о вторжении в 1942 г. в Северную Африку (операция «Торч»). Участники переговоров - Черчилль, Гопкинс, начальники штабов (14956).</w:t>
      </w:r>
    </w:p>
    <w:p w14:paraId="0FD4C562" w14:textId="77777777" w:rsidR="00715152" w:rsidRPr="001E2C69" w:rsidRDefault="00715152" w:rsidP="00722885">
      <w:pPr>
        <w:spacing w:after="0" w:line="240" w:lineRule="auto"/>
        <w:jc w:val="both"/>
        <w:rPr>
          <w:rFonts w:ascii="Times New Roman" w:hAnsi="Times New Roman"/>
          <w:color w:val="000000" w:themeColor="text1"/>
          <w:sz w:val="16"/>
          <w:szCs w:val="16"/>
        </w:rPr>
      </w:pPr>
    </w:p>
    <w:p w14:paraId="70A50169"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Авиапромышленность:</w:t>
      </w:r>
    </w:p>
    <w:p w14:paraId="05341DE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6C951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июля 1942 закончились испытания УИЛ-2 и Як-7в с М-105 с целью возможностей приспособления одного из них для обслуживания задач артиллерии на современном поле боя, которые проходили с 8 июля 1942 (1633,182):</w:t>
      </w:r>
    </w:p>
    <w:p w14:paraId="4FA1641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июля 1942 А.И.Ш. писал И.В.С. письмо N 4870:</w:t>
      </w:r>
    </w:p>
    <w:p w14:paraId="7D895EB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порядке информации докладываю: по плану опытного строительства 1941 конструктором П.О.С. выпущен одноместный бронированный штурмовик Су-6 с М-71 (взлетная мощность 2000 л.с. и мощность на высоте 2250 м - 1800 л.с.), который согласно акта гос. испытаний НИИ ВВС показал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E2C69" w:rsidRPr="001E2C69" w14:paraId="6DB09B5B" w14:textId="77777777" w:rsidTr="00CC5360">
        <w:tc>
          <w:tcPr>
            <w:tcW w:w="5636" w:type="dxa"/>
            <w:tcBorders>
              <w:top w:val="single" w:sz="12" w:space="0" w:color="auto"/>
            </w:tcBorders>
          </w:tcPr>
          <w:p w14:paraId="1A0320D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 скорость у земли</w:t>
            </w:r>
          </w:p>
        </w:tc>
        <w:tc>
          <w:tcPr>
            <w:tcW w:w="5636" w:type="dxa"/>
            <w:tcBorders>
              <w:top w:val="single" w:sz="12" w:space="0" w:color="auto"/>
            </w:tcBorders>
          </w:tcPr>
          <w:p w14:paraId="0510B9B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445 км/час</w:t>
            </w:r>
          </w:p>
        </w:tc>
      </w:tr>
      <w:tr w:rsidR="001E2C69" w:rsidRPr="001E2C69" w14:paraId="1D912602" w14:textId="77777777" w:rsidTr="00CC5360">
        <w:tc>
          <w:tcPr>
            <w:tcW w:w="5636" w:type="dxa"/>
          </w:tcPr>
          <w:p w14:paraId="2B44ED0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 скорость на форсаже</w:t>
            </w:r>
          </w:p>
        </w:tc>
        <w:tc>
          <w:tcPr>
            <w:tcW w:w="5636" w:type="dxa"/>
          </w:tcPr>
          <w:p w14:paraId="0E458F2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496 км/час</w:t>
            </w:r>
          </w:p>
        </w:tc>
      </w:tr>
      <w:tr w:rsidR="001E2C69" w:rsidRPr="001E2C69" w14:paraId="754DFCF2" w14:textId="77777777" w:rsidTr="00CC5360">
        <w:tc>
          <w:tcPr>
            <w:tcW w:w="5636" w:type="dxa"/>
          </w:tcPr>
          <w:p w14:paraId="646BCA9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 скорость на 2500 м</w:t>
            </w:r>
          </w:p>
        </w:tc>
        <w:tc>
          <w:tcPr>
            <w:tcW w:w="5636" w:type="dxa"/>
          </w:tcPr>
          <w:p w14:paraId="164878C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491 км/час</w:t>
            </w:r>
          </w:p>
        </w:tc>
      </w:tr>
      <w:tr w:rsidR="001E2C69" w:rsidRPr="001E2C69" w14:paraId="48C37FA3" w14:textId="77777777" w:rsidTr="00CC5360">
        <w:tc>
          <w:tcPr>
            <w:tcW w:w="5636" w:type="dxa"/>
            <w:tcBorders>
              <w:bottom w:val="single" w:sz="12" w:space="0" w:color="auto"/>
            </w:tcBorders>
          </w:tcPr>
          <w:p w14:paraId="4BEDD8E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дальность на 0.9 макс</w:t>
            </w:r>
          </w:p>
        </w:tc>
        <w:tc>
          <w:tcPr>
            <w:tcW w:w="5636" w:type="dxa"/>
            <w:tcBorders>
              <w:bottom w:val="single" w:sz="12" w:space="0" w:color="auto"/>
            </w:tcBorders>
          </w:tcPr>
          <w:p w14:paraId="7EA6317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450 км</w:t>
            </w:r>
          </w:p>
        </w:tc>
      </w:tr>
    </w:tbl>
    <w:p w14:paraId="0F04641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Вооружение:</w:t>
      </w:r>
    </w:p>
    <w:p w14:paraId="367F771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2х23 мм, 230 снарядов</w:t>
      </w:r>
    </w:p>
    <w:p w14:paraId="5309109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4х7.62 мм, 300 патронов</w:t>
      </w:r>
    </w:p>
    <w:p w14:paraId="1DCF2DA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РС-132/82</w:t>
      </w:r>
    </w:p>
    <w:p w14:paraId="3017389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Нормальная бомбовая нагрузка - 200 кг при емкости отсека 400 кг</w:t>
      </w:r>
    </w:p>
    <w:p w14:paraId="05E3837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Под крыльями могут подвешиваться 2х100 кг или 2хВАП-200</w:t>
      </w:r>
    </w:p>
    <w:p w14:paraId="0436B74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технике пилотирования самолет прост и доступен л средней квалификации, имеет хорошую устойчивость и допускает полет с брошенной ручкой на всех режимах. Нагрузки на рули и элероны - велики.</w:t>
      </w:r>
    </w:p>
    <w:p w14:paraId="422128B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Бронирование кабины л и фонаря осуществляется аналогично самолету Ил-2. Задняя крышка мотора с агрегатами забронирована, цилиндры мотора не забронированы (1650,311).</w:t>
      </w:r>
    </w:p>
    <w:p w14:paraId="0D23776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A8877B" w14:textId="77777777" w:rsidR="00715152" w:rsidRPr="001E2C69" w:rsidRDefault="00715152" w:rsidP="00722885">
      <w:pPr>
        <w:pStyle w:val="a4"/>
        <w:rPr>
          <w:color w:val="000000" w:themeColor="text1"/>
          <w:lang w:val="ru-RU"/>
        </w:rPr>
      </w:pPr>
      <w:r w:rsidRPr="001E2C69">
        <w:rPr>
          <w:color w:val="000000" w:themeColor="text1"/>
          <w:lang w:val="ru-RU"/>
        </w:rPr>
        <w:t>19 июля 1942 для прохождения испытаний на самолёте Ил-2 на полигон поступил и бомбардировочно-стрелковый прицел А-1 завода № 589 НКВ. Ведущим инженером по испытаниям вместо инженер-подполковника Прендовского, занятого на других работах, был назначен техник-лей- тенант Винокуров.</w:t>
      </w:r>
    </w:p>
    <w:p w14:paraId="70624416" w14:textId="77777777" w:rsidR="00715152" w:rsidRPr="001E2C69" w:rsidRDefault="00715152" w:rsidP="00722885">
      <w:pPr>
        <w:pStyle w:val="a4"/>
        <w:rPr>
          <w:color w:val="000000" w:themeColor="text1"/>
          <w:lang w:val="ru-RU"/>
        </w:rPr>
      </w:pPr>
      <w:r w:rsidRPr="001E2C69">
        <w:rPr>
          <w:color w:val="000000" w:themeColor="text1"/>
          <w:lang w:val="ru-RU"/>
        </w:rPr>
        <w:t xml:space="preserve">Испытания заняли всего девять дней. Был сделан вывод, что прицел А-1 заметно уступает ВМШ Цветкова по надёжности действия и удобству работы с ним. Поэтому </w:t>
      </w:r>
      <w:r w:rsidRPr="001E2C69">
        <w:rPr>
          <w:color w:val="000000" w:themeColor="text1"/>
          <w:lang w:val="ru-RU"/>
        </w:rPr>
        <w:lastRenderedPageBreak/>
        <w:t>ВМШ Цветкова передали на завод № 589 НКВ, где с учётом результатов полигонных испытаний была создана его улучшенная модификация, названная ВМШ-2 (15978).</w:t>
      </w:r>
    </w:p>
    <w:p w14:paraId="04DAE7FF" w14:textId="77777777" w:rsidR="00715152" w:rsidRPr="001E2C69" w:rsidRDefault="00715152" w:rsidP="00722885">
      <w:pPr>
        <w:pStyle w:val="a4"/>
        <w:rPr>
          <w:color w:val="000000" w:themeColor="text1"/>
          <w:lang w:val="ru-RU"/>
        </w:rPr>
      </w:pPr>
    </w:p>
    <w:p w14:paraId="5D02D99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июля 1942 года Шахурин писал письмо N Н-20/2779 Маленкову.</w:t>
      </w:r>
    </w:p>
    <w:p w14:paraId="5163037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письму конструкторов Волкова и Ярцева и заключению Репина, докладываю:</w:t>
      </w:r>
    </w:p>
    <w:p w14:paraId="5E881B1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На заводе N 21 в период с 30 сентября по 7 октября 1941 г. были проведены испытания самолета Лагг-3, вооруженного пушкой ВЯ-23 мм с боекомплектом 90 патронов и двумя пулеметами УБС-12,7 мм с боекомплектом 350 патронов. Испытания дали положительные результаты, но ввиду того, что решение о выпуске самолетов Лагг-3 с пушками ВЯ-23 не состоялось, в производстве сохранена установка пушки Швак-20.</w:t>
      </w:r>
    </w:p>
    <w:p w14:paraId="2683D95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С.В.И. разработал конструкцию гильзособирателя для пушек ВЯ-23, устанавливаемый под плоскостями самолета Ил-2 и подает на испытания в ЛИИ НКАП для проверки аэродинамической характеристики самолета с установленными гильзосборниками (2147,1).</w:t>
      </w:r>
    </w:p>
    <w:p w14:paraId="2B35708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2A3B3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июля 1942 закончились эксплуатационно-технические испытания трех серийных Ту-2 как первый этап войсковых испытаний, которые шли с 17 мая 1942. В НИИ ВВС командировали бригады поддержки во главе с Д.С.Марковым и в составе А.В.Надашкевича, Б.С.Иванова, А.И.Цветкова, Ю.В.Любимова и бригаду во главе с П.М.Шуваловым. Д.С.Марков по ВЧ фактически ежедневно информировал А.Н.Т. об их ходе (1835,20).</w:t>
      </w:r>
    </w:p>
    <w:p w14:paraId="3B2F715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1C232C" w14:textId="77777777" w:rsidR="00526171" w:rsidRPr="001E2C69" w:rsidRDefault="005261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июля 1941 г. решением Президиума Верховного Совета СССР А.Н. Туполев, А.В. Надашкевич, И.Г. Неман, В.А. Чижевский и другие видные специалисты были освобождены из заключения, а 23 сентября даже амнистированы решением Политбюро, но психологически они еще долго ощущали на себе клеймо «враг народа» (18305).</w:t>
      </w:r>
    </w:p>
    <w:p w14:paraId="207E1F89" w14:textId="77777777" w:rsidR="00526171" w:rsidRPr="001E2C69" w:rsidRDefault="00526171" w:rsidP="00722885">
      <w:pPr>
        <w:spacing w:after="0" w:line="240" w:lineRule="auto"/>
        <w:jc w:val="both"/>
        <w:rPr>
          <w:rFonts w:ascii="Times New Roman" w:hAnsi="Times New Roman"/>
          <w:color w:val="000000" w:themeColor="text1"/>
          <w:sz w:val="16"/>
          <w:szCs w:val="16"/>
        </w:rPr>
      </w:pPr>
    </w:p>
    <w:p w14:paraId="218C885D"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Другие оборонные отрасли:</w:t>
      </w:r>
    </w:p>
    <w:p w14:paraId="2758171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7B069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июля 1942 вышло Постановление ГКО № 2063 Об увеличении производства корпусов и других элементов 82 мм и 120 мм мин в августе и сентябре месяцах 1942 г. РГАНИР, Фонд ГКО, д. 45, лл. 17-20, 21-116 (11012).</w:t>
      </w:r>
    </w:p>
    <w:p w14:paraId="7FB8363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044C05" w14:textId="77777777" w:rsidR="00AE7191" w:rsidRPr="001E2C69" w:rsidRDefault="00AE7191" w:rsidP="00722885">
      <w:pPr>
        <w:pStyle w:val="a4"/>
        <w:rPr>
          <w:color w:val="000000" w:themeColor="text1"/>
          <w:lang w:val="ru-RU"/>
        </w:rPr>
      </w:pPr>
      <w:r w:rsidRPr="001E2C69">
        <w:rPr>
          <w:color w:val="000000" w:themeColor="text1"/>
          <w:lang w:val="ru-RU"/>
        </w:rPr>
        <w:t>19 июля 1942 г. в связи с внезапной кончиной Н.В. Цейца работы по КВ-13 приостано</w:t>
      </w:r>
      <w:r w:rsidRPr="001E2C69">
        <w:rPr>
          <w:color w:val="000000" w:themeColor="text1"/>
          <w:lang w:val="ru-RU"/>
        </w:rPr>
        <w:softHyphen/>
        <w:t>вили. В сентябре построили опытный образец машины. В октябре 1942 г. он прошел завод</w:t>
      </w:r>
      <w:r w:rsidRPr="001E2C69">
        <w:rPr>
          <w:color w:val="000000" w:themeColor="text1"/>
          <w:lang w:val="ru-RU"/>
        </w:rPr>
        <w:softHyphen/>
        <w:t>ские испытания, в ходе которых выявилась недоработанность ряда узлов и агрегатов. Отмечалась также недостаточная численность экипажа — 3 чел.</w:t>
      </w:r>
    </w:p>
    <w:p w14:paraId="14E541A6" w14:textId="77777777" w:rsidR="00AE7191" w:rsidRPr="001E2C69" w:rsidRDefault="00AE7191" w:rsidP="00722885">
      <w:pPr>
        <w:pStyle w:val="a4"/>
        <w:rPr>
          <w:color w:val="000000" w:themeColor="text1"/>
          <w:lang w:val="ru-RU"/>
        </w:rPr>
      </w:pPr>
      <w:r w:rsidRPr="001E2C69">
        <w:rPr>
          <w:color w:val="000000" w:themeColor="text1"/>
          <w:lang w:val="ru-RU"/>
        </w:rPr>
        <w:t>С учетом недостатков первого образца КВ-13 конструкторы Опытного завода №100 при ЧКЗ доработали его конструкцию. Боевая масса машины при этом возросла до 38 т. Теперь танк обозначался как «Объект 233». Первый опытный образец был изготовлен в конце 1942 г.</w:t>
      </w:r>
    </w:p>
    <w:p w14:paraId="3A142B03" w14:textId="77777777" w:rsidR="00AE7191" w:rsidRPr="001E2C69" w:rsidRDefault="00AE7191" w:rsidP="00722885">
      <w:pPr>
        <w:pStyle w:val="a4"/>
        <w:rPr>
          <w:color w:val="000000" w:themeColor="text1"/>
          <w:lang w:val="ru-RU"/>
        </w:rPr>
      </w:pPr>
      <w:r w:rsidRPr="001E2C69">
        <w:rPr>
          <w:color w:val="000000" w:themeColor="text1"/>
          <w:lang w:val="ru-RU"/>
        </w:rPr>
        <w:t>Опыт боевого применения и эксплуатации тяжелого танка КВ выявил ряд его существен</w:t>
      </w:r>
      <w:r w:rsidRPr="001E2C69">
        <w:rPr>
          <w:color w:val="000000" w:themeColor="text1"/>
          <w:lang w:val="ru-RU"/>
        </w:rPr>
        <w:softHyphen/>
        <w:t>ных недостатков. Другой советский танк, средний Т-34, имел практически одинаковое с ним вооружение, незначительно уступал ему в броневой защите, но был более маневренным и имел значительно меньшую боевую массу. Машину хорошо освоили в войсках, а выпуск ее параллельно бсуществлялся на нескольких заводах. Вследствие этого в танковом парке Красной Армии средних танков Т-34 было при</w:t>
      </w:r>
      <w:r w:rsidRPr="001E2C69">
        <w:rPr>
          <w:color w:val="000000" w:themeColor="text1"/>
          <w:lang w:val="ru-RU"/>
        </w:rPr>
        <w:softHyphen/>
        <w:t>мерно в 6 раз больше, чем КВ (12617).</w:t>
      </w:r>
    </w:p>
    <w:p w14:paraId="32C2E44A" w14:textId="77777777" w:rsidR="00AE7191" w:rsidRPr="001E2C69" w:rsidRDefault="00AE7191" w:rsidP="00722885">
      <w:pPr>
        <w:pStyle w:val="a4"/>
        <w:rPr>
          <w:color w:val="000000" w:themeColor="text1"/>
          <w:lang w:val="ru-RU"/>
        </w:rPr>
      </w:pPr>
    </w:p>
    <w:p w14:paraId="79BCA852"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Армия:</w:t>
      </w:r>
    </w:p>
    <w:p w14:paraId="55924FE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0FD2A4"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июля в 1942 году утреннее сообщение Совинформбюро:</w:t>
      </w:r>
    </w:p>
    <w:p w14:paraId="1F10BE3D"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19 июля наши войска вели бои с противником в районе Воронежа и южнее Миллерово.</w:t>
      </w:r>
    </w:p>
    <w:p w14:paraId="605EE9C6"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343B32F0"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продолжаются бои. Наши войска на ряде участков теснили противника. Группа наших танков прорвала первую линию обороны немцев, уничтожив при этом 35 противотанковых орудий и до 250 гитлеровцев. Бой продолжается на улицах одного населённого пункта. На другом участке немцы предприняли несколько контратак, но, потеряв свыше 20 танков, 450 солдат и офицеров, отошли на исходные позиции.</w:t>
      </w:r>
    </w:p>
    <w:p w14:paraId="5E1DEB24"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Советская авиация, взаимодействуя с наземными войсками, наносит противнику большой урон. Лётчики одной части за пять дней уничтожили свыше сотни немецких танков, 380 автомашин, 8 бензоцистерн, 12 складов с боеприпасами, 6 складов с горючим, 45 орудий, разрушили 5 водных переправ и разгромили до трёх батальонов пехоты и эскадрон кавалерии противника. В воздушных боях и на аэродромах наши лётчики уничтожили 37 немецких самолётов.</w:t>
      </w:r>
    </w:p>
    <w:p w14:paraId="3CD2A8A2"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Южнее Миллерова наши войска вели напряжённые бои с наступающими частями противника. Отбивая многократные атаки немцев, наши бойцы уничтожили 19 немецких танков, 68 автомашин и свыше 500 солдат и офицеров. На другом участке советские войска, по неполным данным, уничтожили 23 тяжёлых и средних танка противника, 35 орудий и свыше двух полков пехоты.</w:t>
      </w:r>
    </w:p>
    <w:p w14:paraId="789C1F8C"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Калининском фронте продолжались бои местного значения. На одном изучастков немцы бросили в атаку 27 танков и значительную группу автоматчиков. Гвардейская батарея тов. Гольцина встретила гитлеровцев мощным огнём. В результате двухчасового боя противник отошёл на исходные позиции, потеряв 12 танков и большое количество автоматчиков.</w:t>
      </w:r>
    </w:p>
    <w:p w14:paraId="18732FC1"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Ленинградском фронте наши артиллеристы и миномётчики вели огонь по укреплениям противника. На отдельных участках истреблено свыше 300 немецких и финских солдат и офицеров. Взяты пленные и захвачены трофеи.</w:t>
      </w:r>
    </w:p>
    <w:p w14:paraId="15FBB630"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Снайпер тов. Королёв (Ленинградский фронт) истребил 120 гитлеровцев.</w:t>
      </w:r>
    </w:p>
    <w:p w14:paraId="74891651"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Группа партизан из отряда тов. С, действующего в одном из оккупированных немцами районов Ленинградской области, уничтожила немецкого полковника, его адъютанта и 8 солдат. Отряд под командованием тов. Т. пустил под откос воинский эшелон противника. В результате крушения погибло много немецко-фашистских оккупантов.</w:t>
      </w:r>
    </w:p>
    <w:p w14:paraId="4A2A1B2F"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61 полка 7 немецкой дивизии Эрнст К. рассказал: «Ночью нам был дан приказ перейти в наступление. На рассвете после артиллерийской подготовки мы поползли к переднему краю обороны русских. Они открыли сильный артиллерийский, пулемётный и миномётный огонь. В нашем батальоне очень немногие остались в живых. Я прыгнул в воронку и притаился. Ко мне присоединились ещё два солдата. Вскоре мы все трое были взяты в плен. Я прибыл из Германии недавно в составе пополнения. В маршевом батальоне было много солдат, уже побывавших в России, которые ехали на фронт с крайней неохотой».</w:t>
      </w:r>
    </w:p>
    <w:p w14:paraId="4C61BA5B"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шахтах Рурской области (Германия) работают десятки тысяч поляков, насильно вывезенных из Польши. Поляки живут в бараках, огороженных колючей проволокой, спят вповалку на полу. Их кормят отбросами и различными «эрзац» продуктами. Горячую пищу рабочие получают только один раз в неделю. Среди поляков и других иностранных рабочих свирепствует сыпной тиф.</w:t>
      </w:r>
    </w:p>
    <w:p w14:paraId="5C371E8E"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Колхозники Узбекистана добиваются получения двух урожаев в год. После сбора урожая озимого ячменя и пшеницы крупные поливные массивы засеваются вторично. В колхозе «Социализм», Ханкинского района, засеяно просом и кукурузой 40 гектаров. Многие колхозы Ферганской и Самаркандской областей проводят летние посевы сахарной свёклы.» (14957).</w:t>
      </w:r>
    </w:p>
    <w:p w14:paraId="499C2432" w14:textId="77777777" w:rsidR="00715152" w:rsidRPr="001E2C69" w:rsidRDefault="00715152" w:rsidP="00722885">
      <w:pPr>
        <w:spacing w:after="0" w:line="240" w:lineRule="auto"/>
        <w:jc w:val="both"/>
        <w:rPr>
          <w:rFonts w:ascii="Times New Roman" w:hAnsi="Times New Roman"/>
          <w:color w:val="000000" w:themeColor="text1"/>
          <w:sz w:val="16"/>
          <w:szCs w:val="16"/>
        </w:rPr>
      </w:pPr>
    </w:p>
    <w:p w14:paraId="0625809D"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июля в 1942 году вечернее сообщение Совинформбюро:</w:t>
      </w:r>
    </w:p>
    <w:p w14:paraId="67C3B078"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19 июля наши войска вели бои с противником в районе Воронежа и южнее Миллерово. По приказу командования наши войска оставили город Ворошиловград.</w:t>
      </w:r>
    </w:p>
    <w:p w14:paraId="5955D697"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4D164761"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истекшую неделю, с 12 по 18 июля включительно, в воздушных боях, на аэродромах и огнём зенитной артиллерии уничтожено 211 немецких самолётов. Наши потери за это же время — 137 самолётов.</w:t>
      </w:r>
    </w:p>
    <w:p w14:paraId="6ABD3CFC"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18 июля частями нашей авиации на различных участках фронта уничтожено или повреждено 80 немецких танков и 9 бронемашин, 245 автомашин с войсками и грузами, 7 автоцистерн с горючим, взорвано 3 склада с боеприпасами и 2 склада с горючим, подавлен огонь 7 полевых и повреждено 11 дальнобойных орудий, рассеяно и частью уничтожено до трёх батальонов пехоты противника.</w:t>
      </w:r>
    </w:p>
    <w:p w14:paraId="78D98D33"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продолжались упорные бои. Наши части нанесли контрудары гитлеровским войскам. В течение дня шла упорная борьба за один населённый пункт. К вечеру наши бойцы при поддержке танков ворвались на северо-восточную окраину пункта и ведут уличные бои. По предварительным данным, немцы потеряли в борьбе за этот населённый пункт свыше тысячи солдат и офицеров. Захвачены 14 противотанковых орудий, 4 тяжёлых полевых орудия, склад с боеприпасами противника и другие трофеи. На другом участке наши части прижали к Дону значительную группировку немецких войск. Враг был скован артиллерийским и миномётным огнём и активными действиями нашей авиации. Затем в наступление перешла наша пехота, которая и завершила разгром этой группы противника. В этом бою уничтожено до двух полков немецкой пехоты, 18 танков, много орудий и пулемётов.</w:t>
      </w:r>
    </w:p>
    <w:p w14:paraId="4D0ACED2"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Южнее Миллерова наши войска продолжали вести напряжённые оборонительные бои. Самоотверженно и стойко наши бойцы перемалывают живую силу и технику противника. В течение двух дней один наш батальон, поддержанный ротой тяжёлых танков, отбивал атаки двух полков немецкой пехоты. Противник потерял в этом </w:t>
      </w:r>
      <w:r w:rsidRPr="001E2C69">
        <w:rPr>
          <w:rFonts w:ascii="Times New Roman" w:hAnsi="Times New Roman"/>
          <w:color w:val="000000" w:themeColor="text1"/>
          <w:sz w:val="16"/>
          <w:szCs w:val="16"/>
        </w:rPr>
        <w:lastRenderedPageBreak/>
        <w:t>бою сотни солдат и офицеров. Сожжено и подбито 16 немецких танков. Только после того, как немцы подтянули новые силы пехоты и танков, бойцы батальона отошли на новые позиции. На другом участке полностью истреблён десант немецких парашютистов, сброшенный в тылу наших войск.</w:t>
      </w:r>
    </w:p>
    <w:p w14:paraId="32AD1A58"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Калининском фронте продолжались активные действия разведывательных групп. Несколько наших бойцов пробрались в тыл противника, произвели налёт на одно село и уничтожили 35 немцев и сожгли склад с боеприпасами. Группа разведчиков под руководством тов. Петрочука истребила свыше 30 гитлеровцев, выяснила расположение огневых точек противника и вернулась в свою часть.</w:t>
      </w:r>
    </w:p>
    <w:p w14:paraId="35D86375"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Бойцы и командиры подразделения, которым командует тов. Зобин, огнём орудийных и миномётных расчётов за пять дней истребили 345 гитлеровцев.</w:t>
      </w:r>
    </w:p>
    <w:p w14:paraId="496C4FE7"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украинских партизан под командованием тов. Ж. совершил нападение на полевой аэродром противника. Советские патриоты уничтожили охрану, сожгли 3 истребителя и склад с горючим. Этот же отряд обстрелял и забросал гранатами немецкую транспортную колонну. Уничтожено 3 автомашины с военными грузами и свыше 40 немецких оккупантов.</w:t>
      </w:r>
    </w:p>
    <w:p w14:paraId="5B4226EF"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 солдата 166 полка 82 немецкой пехотной дивизии Вальтера Хорнсенера, убитого под Воронежем, найдено неотправленное письмо к жене Эльзе в Оснабрюк. Вот что онписал 9 июля: «Сегодня русские, поддержанные танками, атаковали нас. Это стоило нам много крови. Мы еще только два дня участвуем в боях, но число людей в роте уже намного сократилось. Если так пойдёт дальше, то мы все будем уничтожены... Вчера я весь день стаскивал в яму мёртвых солдат нашего батальона. Это просто ужасно».</w:t>
      </w:r>
    </w:p>
    <w:p w14:paraId="13DC8CBF"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бандиты разграбили село Воина, Орловской области. Они сожгли 255 жилых домов, 6 построек для скота, 4 колхозных склада и всё имущество колхозников. Гитлеровские мерзавцы расстреляли 75-летнего старика Уткина Петра Яковлевича, 67-летнего Добренкова Ивана Финогеевича, 63-летнюю Бычкову Александру Тимофеевну и других жителей села.</w:t>
      </w:r>
    </w:p>
    <w:p w14:paraId="0F1040C6"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Коллектив Красноуральского медеплавильного завода выполнил программу первой половины июля месяца на 123 процента. Металлургический цех сэкономил тысячи киловатт-часов электроэнергии и много топлива. Обогатительная фабрика извлекла из руды десятки тонн меди сверх плановой нормы.» (14957).</w:t>
      </w:r>
    </w:p>
    <w:p w14:paraId="7D91A70B" w14:textId="77777777" w:rsidR="00715152" w:rsidRPr="001E2C69" w:rsidRDefault="00715152" w:rsidP="00722885">
      <w:pPr>
        <w:spacing w:after="0" w:line="240" w:lineRule="auto"/>
        <w:jc w:val="both"/>
        <w:rPr>
          <w:rFonts w:ascii="Times New Roman" w:hAnsi="Times New Roman"/>
          <w:color w:val="000000" w:themeColor="text1"/>
          <w:sz w:val="16"/>
          <w:szCs w:val="16"/>
        </w:rPr>
      </w:pPr>
    </w:p>
    <w:p w14:paraId="57C25D4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ночь с 19 на 20 июля 1942 состоялся первый налет на Германию. Бомбили Кениг</w:t>
      </w:r>
      <w:r w:rsidRPr="001E2C69">
        <w:rPr>
          <w:rFonts w:ascii="Times New Roman" w:hAnsi="Times New Roman"/>
          <w:color w:val="000000" w:themeColor="text1"/>
          <w:sz w:val="16"/>
          <w:szCs w:val="16"/>
        </w:rPr>
        <w:softHyphen/>
        <w:t>сберг. Самолеты взлетели вечером, фронт пересекли на максимальной вы</w:t>
      </w:r>
      <w:r w:rsidRPr="001E2C69">
        <w:rPr>
          <w:rFonts w:ascii="Times New Roman" w:hAnsi="Times New Roman"/>
          <w:color w:val="000000" w:themeColor="text1"/>
          <w:sz w:val="16"/>
          <w:szCs w:val="16"/>
        </w:rPr>
        <w:softHyphen/>
        <w:t>соте, а затем кружным путем, чтобы до</w:t>
      </w:r>
      <w:r w:rsidRPr="001E2C69">
        <w:rPr>
          <w:rFonts w:ascii="Times New Roman" w:hAnsi="Times New Roman"/>
          <w:color w:val="000000" w:themeColor="text1"/>
          <w:sz w:val="16"/>
          <w:szCs w:val="16"/>
        </w:rPr>
        <w:softHyphen/>
        <w:t>стичь внезапности, подошли к цели со стороны моря. Немцы явно не ожидали «гостей». В городе горел свет, зенитки молчали, истребители в воздухе отсут</w:t>
      </w:r>
      <w:r w:rsidRPr="001E2C69">
        <w:rPr>
          <w:rFonts w:ascii="Times New Roman" w:hAnsi="Times New Roman"/>
          <w:color w:val="000000" w:themeColor="text1"/>
          <w:sz w:val="16"/>
          <w:szCs w:val="16"/>
        </w:rPr>
        <w:softHyphen/>
        <w:t>ствовали. 17-я ад потеряла только один Ил-4, старшего лейтенанта Михалева, сбитого зенитчиками (10734,71).</w:t>
      </w:r>
    </w:p>
    <w:p w14:paraId="5680AE6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AE8D5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ночь с 19 на 20 июля 1942 состоялся первый в 1942 налет на Германию. Бомбили Кенигсберг. Самолеты взлетели вечером, фронт пересекли на максимальной высоте, а затем кружным путем, чтобы достичь внезапности, подошли к цели со стороны моря. Немцы явно не ожидали "гостей". В городе горел свет, зенитки молчали, истребители в воздухе отсутствовали. 17-я ад потеряла только один Ил-4, старшего лейтенанта Михалева, сбитого зенитчиками.</w:t>
      </w:r>
    </w:p>
    <w:p w14:paraId="40701A3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Повторные удары по Кенигсбергу нанесли 24 и 26 июля. В последнем участвовали 88 самолетов. В Данциге подожгли верфи и достигли нескольких попаданий в линкор "Гнейзе- нау". Над Берлином советские бомбардировщики появились 26 августа. На город полетели бомбы с надписями: "Срочно. Берлин, Гитлеру!", "Кровопийце Адольфу от гвардейцев" и другими. 14 сентября организовали налеты на объекты в Румынии, в которых участвовали полки 3-й, 17-й и 45-й дивизий. Бомбили Бухарест, Плоешти с его нефтеперегонными заводами и порт Галац на Дунае.</w:t>
      </w:r>
    </w:p>
    <w:p w14:paraId="27AB90B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таких дальних рейдах остро сказывались недостатки Ил-4. Полет длился до 12 часов. Все это время от пилота требовалось неусыпное внимание. Недостаточная продольная устойчивость, ухудшившаяся на модификации ДБ-ЗФ и продолжавшая ухудшаться после перехода к экипажу из четырех человек и установки дополнительного оборудования, не давали летчику ни минуты покоя. Автопилоты стояли только на единичных машинах (до конца 1942 г. на фронт отправили около 60 самолетов с АВП-12), причем в "болтанку" их предписывали отключать (гидравлика pea- Штурман гировала слишком медленно). Иногда на по- в кабине Ил-4 мощь пилоту подключался штурман, вставлявший в гнездо съемную ручку управления и дававший командиру немного отдохнуть.</w:t>
      </w:r>
    </w:p>
    <w:p w14:paraId="7BDCA92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Можно привести мнение дважды Героя Советского Союза А.И. Молодчего: "...по своей природе Ил-4 неустойчив, каждую секунду норовит завалиться в крен, уйти с курса, забрать или опустить нос. Нужно беспрерывно крутить штурвал, чтобы самолет летел в заданном режиме". А вот что писал летавший в ту пору на Ил-4 В. В. Решетников: "Управление нельзя было бросить ни на секунду: при самой идеальной нейтральной регулировке руля высоты машина с брошенным управлением без раздумий, совершенно произвольно лезла вверх или, если ей так вздумается, заваливалась с ускорением вниз. Она нахально "висела" на руках и в длительных Группа Ил-4 многочасовых полетах выматывала пилотов на полевом изрядно. Грешна была этим, матушка". Чрезвычайно утомительным являлся полет при отказе одного мотора. Парируя тенденцию к развороту, летчик постоянно был вынужден давить на педаль, поскольку триммер не компенсировал полностью асимметрию тяги. Этот дефект сохранился практически до последних серий бомбардировщиков (12021).</w:t>
      </w:r>
    </w:p>
    <w:p w14:paraId="5B523F1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4B545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19-20 июля 1942 танковые бригады совместно пехотой пытались выбить немцев с северной окраины Воронежа, однако атаки успеха не имели. В дальнейшем, пополнившись танками (получено 83 машины, из них 40 Т-34), части корпуса вели бои в районе Воронежа вплоть до конца августа 1942 года (12217).</w:t>
      </w:r>
    </w:p>
    <w:p w14:paraId="4DF022B1"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06FAF0E"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Жизнь и внутренняя политика:</w:t>
      </w:r>
    </w:p>
    <w:p w14:paraId="279B5BE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210F5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июля 1942 вышло Постановление ГКО № 2064 О вывозе хлеба из районов Кубани и Сальской группы районов Ростовской области. РГАНИР, Фонд ГКО, д. 45, лл. 117-119 (11012).</w:t>
      </w:r>
    </w:p>
    <w:p w14:paraId="2555A04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F33F7A"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За рубежом:</w:t>
      </w:r>
    </w:p>
    <w:p w14:paraId="6ED70A2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AE5EE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июля 1942 немецкие подлодки были отведены от атлантического побережья США из-за эффективной противолодочной обороны (2100) и их действия перенеслись в центральную Атлантику (3186).</w:t>
      </w:r>
    </w:p>
    <w:p w14:paraId="1E7B95D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2F3ADC"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июля в 1942 году германское командование приняло решение о переносе района действий основной группировки немецких подводных лодок из прибрежных вод Америки в центральную часть Атлантики (14957).</w:t>
      </w:r>
    </w:p>
    <w:p w14:paraId="5CF1CBC8" w14:textId="77777777" w:rsidR="00715152" w:rsidRPr="001E2C69" w:rsidRDefault="00715152" w:rsidP="00722885">
      <w:pPr>
        <w:spacing w:after="0" w:line="240" w:lineRule="auto"/>
        <w:jc w:val="both"/>
        <w:rPr>
          <w:rFonts w:ascii="Times New Roman" w:hAnsi="Times New Roman"/>
          <w:color w:val="000000" w:themeColor="text1"/>
          <w:sz w:val="16"/>
          <w:szCs w:val="16"/>
        </w:rPr>
      </w:pPr>
    </w:p>
    <w:p w14:paraId="4323AAE5"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Авиапромышленность:</w:t>
      </w:r>
    </w:p>
    <w:p w14:paraId="4A5FFAF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2BC58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1942 года был утвержден отчет по заводским испытаниям головного серийного Ту-2 завода № 166. Его вооружение включало две неподвижных пушки ШВАК для стрельбы вперед, четыре пулемета ШКАС (два для стрельбы вперед и два - назад), а также один пулемет Березина. Кроме этого для стрельбы вперед под крылом могли подвешиваться десять реактивных снарядов PC-132 калибра 132 мм, на фюзеляже - четыре PC-82 калибра 82 мм для стрельбы назад. В ходе испытаний была достигнута скорость 518 км/ч на высоте 2760 метров, правда, при открытом фонаре стрелка-радиста. Но эта машина на государственные испытания в НИИ ВВС так и не поступила (12035).</w:t>
      </w:r>
    </w:p>
    <w:p w14:paraId="2D457FD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45627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20 июля 1942 заводские испытатели стали садиться на Ту-2 с включенным механическим стопором хвостового колеса. Управляемость машины на пробеге значительно улучшилась.</w:t>
      </w:r>
    </w:p>
    <w:p w14:paraId="26DF84D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Еще одной серьезной проблемой являлись двигатели. Моторы М-82, хотя и выпускались серийно, еще оставались достаточно "сырыми". На высоте более 6000 м они недодавали мощность, страдали значительными вибрациями и расходовали много масла. Хотя за это отвечал их конструктор А.Д. Швецов и завод № 19, дефекты мотоустановки сильно сказывались на летных и эксплуатационных характеристиках Ту-2.</w:t>
      </w:r>
    </w:p>
    <w:p w14:paraId="67F8E20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Кроме того, комиссия подвергла критике чрезмерный вес серийных машин. Весовая отдача у них при нормальной бомбовой нагрузке не превышала 27,5%, в то время как у других самолетов такого же класса она составляла около 30%. Это была плата за возможность бомбить с крутого пикирования.</w:t>
      </w:r>
    </w:p>
    <w:p w14:paraId="52034AC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 в целом Поликарпов и его коллеги поддержали Туполева. В Москву отправили документ, в котором, в частности, говорилось: "... самолет Ту-2 по своим летно-тактическим данным превосходит современные советские и заграничные бомбардировщики". Комиссия сочла, что при устранении основных дефектов самолет сможет успешно выполнять боевые задачи.</w:t>
      </w:r>
    </w:p>
    <w:p w14:paraId="6357BAC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Приемка бомбардировщиков возобновилась. Реагируя на требования военных, завод вносил изменения в строящиеся бомбардировщики. С 5-й серии (июль - август 1942 г.) внедрили тормоза типа "Дуглас", окончательно снявшие проблемы с неуправляемым разворотом на посадке. Одновременно изменили управление пуском реактивных снарядов. Ранее стрельба РС-82 велась с помощью бомбосбрасывателя ЭСБР-6, переключавшегося на другой режим. Бомбы при этом сбрасывать было нельзя. С 5-й серии пуск ракет осуществлялся независимым устройством.</w:t>
      </w:r>
    </w:p>
    <w:p w14:paraId="37A48CD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Часть бомбардировщиков перевооружили. Во всяком случае, на фронт попали омские самолеты либо с двумя, либо с тремя 12,7-мм пулеметами УБТ. Поскольку на установке ТСС-1 этот пулемет не мог быть смонтирован, то, по-видимому, вариант с двумя УБТ предусматривал один пулемет на несколько доработанной установке БУШ у штурмана и второй - на люковой ЛУ-УБТ. При этом на ТСС-1 оставался ШКАС. Вообще Туполев рассматривал несколько возможных вариантов перевооружения Ту-2, в том числе один - с установкой четырех пусковых балок для РС-82 на фюзеляже для стрельбы назад.</w:t>
      </w:r>
    </w:p>
    <w:p w14:paraId="3EBC620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Занятие немцами значительной части территории СССР привело к сокращению производства алюминия в стране. Потребности же в нем резко возросли. Алюминий в листах и чушках везли из США и Канады, но его все равно не хватало. Всем самолетостроительным конструкторским бюро было предложено поискать возможности применения узлов из дерева. Это сократило бы расход дефицитного алюминия и дало возможность привлечь к постройке самолетов деревообрабатывающие предприятия. В конце июля 1942 г. конструкторы разработали для Ту-2 изготавливаемые из дерева и фанеры узлы носовой и хвостовой частей фюзеляжа, створок бомболюков, стабилизатора, килевых шайб, мотогондол, законцо- вок крыла. Реально в производство внедрили носовую часть фюзеляжа (до 3-го шпангоута) и хвостовой кок. Они обшивались фанерой (11988).</w:t>
      </w:r>
    </w:p>
    <w:p w14:paraId="5C08C64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AAC28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1942 был составлен Акт специальных испытаний самолетов УИЛ-2 и Як-7 в целях оборудования одного из них для артразведки и корректирования артиллерийского огня</w:t>
      </w:r>
    </w:p>
    <w:p w14:paraId="4CF53B6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основании приказания зам. наркома Обороны генерал-полк. артиллерии Воронова и распоряжения нач. управления обучения, формирований и комплектований ГУВВС генерал-майора авиации - Никитина, комиссия в составе старшего помощника начальника 2 отдела УБП ГУКАРТ майора Короткевича, помощника начальника 2 отдела Арткома ГАУ инж.-майора Обухова и нач. корректировочного отделения 2-го Чкаловского авиаучилища капитана Ковалева, в период с 8 по 19.07.42 провела испытания самолетов УИЛ-2 с мотором М-105 и самолета ЯК-7В с мотором М-105, с целью выявления возможностей приспособления одного из них для обслуживания задач артиллерии на современном поле боя.</w:t>
      </w:r>
    </w:p>
    <w:p w14:paraId="76F515D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Самолет УИЛ-2 испытывался на аэродроме Чапаевск в 12 ЗАП, а самолет ЯК-7В на аэродроме Сейма во 2 ЗАП.</w:t>
      </w:r>
    </w:p>
    <w:p w14:paraId="3353CC1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ознакомлении с тактико-техническими данными и заключению специалистов, эксплуатирующих данную материальную часть самолеты обладают следующими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559"/>
        <w:gridCol w:w="1560"/>
        <w:gridCol w:w="3686"/>
      </w:tblGrid>
      <w:tr w:rsidR="001E2C69" w:rsidRPr="001E2C69" w14:paraId="7896FEF9" w14:textId="77777777" w:rsidTr="00CC5360">
        <w:tc>
          <w:tcPr>
            <w:tcW w:w="3652" w:type="dxa"/>
          </w:tcPr>
          <w:p w14:paraId="30CA943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Тип самолета/</w:t>
            </w:r>
          </w:p>
        </w:tc>
        <w:tc>
          <w:tcPr>
            <w:tcW w:w="1559" w:type="dxa"/>
          </w:tcPr>
          <w:p w14:paraId="66A4920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УИЛ-2</w:t>
            </w:r>
          </w:p>
        </w:tc>
        <w:tc>
          <w:tcPr>
            <w:tcW w:w="1560" w:type="dxa"/>
          </w:tcPr>
          <w:p w14:paraId="5282785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ЯК-7В</w:t>
            </w:r>
          </w:p>
        </w:tc>
        <w:tc>
          <w:tcPr>
            <w:tcW w:w="3686" w:type="dxa"/>
          </w:tcPr>
          <w:p w14:paraId="724FC07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Примечание</w:t>
            </w:r>
          </w:p>
        </w:tc>
      </w:tr>
      <w:tr w:rsidR="001E2C69" w:rsidRPr="001E2C69" w14:paraId="3BB12C35" w14:textId="77777777" w:rsidTr="00CC5360">
        <w:tc>
          <w:tcPr>
            <w:tcW w:w="3652" w:type="dxa"/>
          </w:tcPr>
          <w:p w14:paraId="53C098C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наименование</w:t>
            </w:r>
          </w:p>
        </w:tc>
        <w:tc>
          <w:tcPr>
            <w:tcW w:w="1559" w:type="dxa"/>
          </w:tcPr>
          <w:p w14:paraId="1EB11F8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0C13116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28E647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0A06804F" w14:textId="77777777" w:rsidTr="00CC5360">
        <w:tc>
          <w:tcPr>
            <w:tcW w:w="3652" w:type="dxa"/>
          </w:tcPr>
          <w:p w14:paraId="16F9B43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данных</w:t>
            </w:r>
          </w:p>
        </w:tc>
        <w:tc>
          <w:tcPr>
            <w:tcW w:w="1559" w:type="dxa"/>
          </w:tcPr>
          <w:p w14:paraId="048355F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D865A4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641EBF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1FF58398" w14:textId="77777777" w:rsidTr="00CC5360">
        <w:tc>
          <w:tcPr>
            <w:tcW w:w="3652" w:type="dxa"/>
          </w:tcPr>
          <w:p w14:paraId="367509C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Максимальная скорость</w:t>
            </w:r>
          </w:p>
        </w:tc>
        <w:tc>
          <w:tcPr>
            <w:tcW w:w="1559" w:type="dxa"/>
          </w:tcPr>
          <w:p w14:paraId="4305D2A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420 км/час</w:t>
            </w:r>
          </w:p>
        </w:tc>
        <w:tc>
          <w:tcPr>
            <w:tcW w:w="1560" w:type="dxa"/>
          </w:tcPr>
          <w:p w14:paraId="516FB1C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500 км/час</w:t>
            </w:r>
          </w:p>
        </w:tc>
        <w:tc>
          <w:tcPr>
            <w:tcW w:w="3686" w:type="dxa"/>
          </w:tcPr>
          <w:p w14:paraId="4503057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26B30646" w14:textId="77777777" w:rsidTr="00CC5360">
        <w:tc>
          <w:tcPr>
            <w:tcW w:w="3652" w:type="dxa"/>
          </w:tcPr>
          <w:p w14:paraId="28C61E2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Минимальная скорость</w:t>
            </w:r>
          </w:p>
        </w:tc>
        <w:tc>
          <w:tcPr>
            <w:tcW w:w="1559" w:type="dxa"/>
          </w:tcPr>
          <w:p w14:paraId="537ED5D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250 км/час</w:t>
            </w:r>
          </w:p>
        </w:tc>
        <w:tc>
          <w:tcPr>
            <w:tcW w:w="1560" w:type="dxa"/>
          </w:tcPr>
          <w:p w14:paraId="43DF857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250 км/час</w:t>
            </w:r>
          </w:p>
        </w:tc>
        <w:tc>
          <w:tcPr>
            <w:tcW w:w="3686" w:type="dxa"/>
          </w:tcPr>
          <w:p w14:paraId="7110A5B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22A6F6C0" w14:textId="77777777" w:rsidTr="00CC5360">
        <w:tc>
          <w:tcPr>
            <w:tcW w:w="3652" w:type="dxa"/>
          </w:tcPr>
          <w:p w14:paraId="3D04715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Крейсерская скорость</w:t>
            </w:r>
          </w:p>
        </w:tc>
        <w:tc>
          <w:tcPr>
            <w:tcW w:w="1559" w:type="dxa"/>
          </w:tcPr>
          <w:p w14:paraId="6E7CDC2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300 км/час</w:t>
            </w:r>
          </w:p>
        </w:tc>
        <w:tc>
          <w:tcPr>
            <w:tcW w:w="1560" w:type="dxa"/>
          </w:tcPr>
          <w:p w14:paraId="47161A2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340 км/час</w:t>
            </w:r>
          </w:p>
        </w:tc>
        <w:tc>
          <w:tcPr>
            <w:tcW w:w="3686" w:type="dxa"/>
          </w:tcPr>
          <w:p w14:paraId="35F5681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6BDDA936" w14:textId="77777777" w:rsidTr="00CC5360">
        <w:tc>
          <w:tcPr>
            <w:tcW w:w="3652" w:type="dxa"/>
          </w:tcPr>
          <w:p w14:paraId="7A54E6A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Разбег с полной </w:t>
            </w:r>
          </w:p>
        </w:tc>
        <w:tc>
          <w:tcPr>
            <w:tcW w:w="1559" w:type="dxa"/>
          </w:tcPr>
          <w:p w14:paraId="2621C31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800-900 м</w:t>
            </w:r>
          </w:p>
        </w:tc>
        <w:tc>
          <w:tcPr>
            <w:tcW w:w="1560" w:type="dxa"/>
          </w:tcPr>
          <w:p w14:paraId="784690E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700-750 м</w:t>
            </w:r>
          </w:p>
        </w:tc>
        <w:tc>
          <w:tcPr>
            <w:tcW w:w="3686" w:type="dxa"/>
          </w:tcPr>
          <w:p w14:paraId="4631498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существующих вариантах</w:t>
            </w:r>
          </w:p>
        </w:tc>
      </w:tr>
      <w:tr w:rsidR="001E2C69" w:rsidRPr="001E2C69" w14:paraId="509D4BE4" w14:textId="77777777" w:rsidTr="00CC5360">
        <w:tc>
          <w:tcPr>
            <w:tcW w:w="3652" w:type="dxa"/>
          </w:tcPr>
          <w:p w14:paraId="31B1642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нагрузкой</w:t>
            </w:r>
          </w:p>
        </w:tc>
        <w:tc>
          <w:tcPr>
            <w:tcW w:w="1559" w:type="dxa"/>
          </w:tcPr>
          <w:p w14:paraId="7D5CA0A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58C417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0B87CE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как учебные</w:t>
            </w:r>
          </w:p>
        </w:tc>
      </w:tr>
      <w:tr w:rsidR="001E2C69" w:rsidRPr="001E2C69" w14:paraId="21D47AB6" w14:textId="77777777" w:rsidTr="00CC5360">
        <w:tc>
          <w:tcPr>
            <w:tcW w:w="3652" w:type="dxa"/>
          </w:tcPr>
          <w:p w14:paraId="3D7541B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Пробег без тормозов</w:t>
            </w:r>
          </w:p>
        </w:tc>
        <w:tc>
          <w:tcPr>
            <w:tcW w:w="1559" w:type="dxa"/>
          </w:tcPr>
          <w:p w14:paraId="56670C2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900 м</w:t>
            </w:r>
          </w:p>
        </w:tc>
        <w:tc>
          <w:tcPr>
            <w:tcW w:w="1560" w:type="dxa"/>
          </w:tcPr>
          <w:p w14:paraId="4A4A2BF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500-600 м</w:t>
            </w:r>
          </w:p>
        </w:tc>
        <w:tc>
          <w:tcPr>
            <w:tcW w:w="3686" w:type="dxa"/>
          </w:tcPr>
          <w:p w14:paraId="1A8600A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561A8CB3" w14:textId="77777777" w:rsidTr="00CC5360">
        <w:tc>
          <w:tcPr>
            <w:tcW w:w="3652" w:type="dxa"/>
          </w:tcPr>
          <w:p w14:paraId="6F7462B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Пробег с пользованием</w:t>
            </w:r>
          </w:p>
        </w:tc>
        <w:tc>
          <w:tcPr>
            <w:tcW w:w="1559" w:type="dxa"/>
          </w:tcPr>
          <w:p w14:paraId="5EFD0FE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450-500 м</w:t>
            </w:r>
          </w:p>
        </w:tc>
        <w:tc>
          <w:tcPr>
            <w:tcW w:w="1560" w:type="dxa"/>
          </w:tcPr>
          <w:p w14:paraId="2D58EF8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450-500 м</w:t>
            </w:r>
          </w:p>
        </w:tc>
        <w:tc>
          <w:tcPr>
            <w:tcW w:w="3686" w:type="dxa"/>
          </w:tcPr>
          <w:p w14:paraId="47E9241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03AEF9B9" w14:textId="77777777" w:rsidTr="00CC5360">
        <w:tc>
          <w:tcPr>
            <w:tcW w:w="3652" w:type="dxa"/>
          </w:tcPr>
          <w:p w14:paraId="5394A30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тормозами и закрылками</w:t>
            </w:r>
          </w:p>
        </w:tc>
        <w:tc>
          <w:tcPr>
            <w:tcW w:w="1559" w:type="dxa"/>
          </w:tcPr>
          <w:p w14:paraId="083EB13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820450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3904AEB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0798BAFF" w14:textId="77777777" w:rsidTr="00CC5360">
        <w:tc>
          <w:tcPr>
            <w:tcW w:w="3652" w:type="dxa"/>
          </w:tcPr>
          <w:p w14:paraId="6AAEE8E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Запас горючего на</w:t>
            </w:r>
          </w:p>
        </w:tc>
        <w:tc>
          <w:tcPr>
            <w:tcW w:w="1559" w:type="dxa"/>
          </w:tcPr>
          <w:p w14:paraId="5328BBD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ч. 00 м.</w:t>
            </w:r>
          </w:p>
        </w:tc>
        <w:tc>
          <w:tcPr>
            <w:tcW w:w="1560" w:type="dxa"/>
          </w:tcPr>
          <w:p w14:paraId="5CBAA7C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ч. 30 м.</w:t>
            </w:r>
          </w:p>
        </w:tc>
        <w:tc>
          <w:tcPr>
            <w:tcW w:w="3686" w:type="dxa"/>
          </w:tcPr>
          <w:p w14:paraId="7FC36F7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0154F423" w14:textId="77777777" w:rsidTr="00CC5360">
        <w:tc>
          <w:tcPr>
            <w:tcW w:w="3652" w:type="dxa"/>
          </w:tcPr>
          <w:p w14:paraId="094A7F1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средних режимах работы</w:t>
            </w:r>
          </w:p>
        </w:tc>
        <w:tc>
          <w:tcPr>
            <w:tcW w:w="1559" w:type="dxa"/>
          </w:tcPr>
          <w:p w14:paraId="09FB310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0494F44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16BD84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0ABF0802" w14:textId="77777777" w:rsidTr="00CC5360">
        <w:tc>
          <w:tcPr>
            <w:tcW w:w="3652" w:type="dxa"/>
          </w:tcPr>
          <w:p w14:paraId="33269C1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мотора</w:t>
            </w:r>
          </w:p>
        </w:tc>
        <w:tc>
          <w:tcPr>
            <w:tcW w:w="1559" w:type="dxa"/>
          </w:tcPr>
          <w:p w14:paraId="6B3FBD4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074C5F3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7ED6EC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23426C16" w14:textId="77777777" w:rsidTr="00CC5360">
        <w:tc>
          <w:tcPr>
            <w:tcW w:w="3652" w:type="dxa"/>
          </w:tcPr>
          <w:p w14:paraId="5DA2EE0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Экипаж</w:t>
            </w:r>
          </w:p>
        </w:tc>
        <w:tc>
          <w:tcPr>
            <w:tcW w:w="1559" w:type="dxa"/>
          </w:tcPr>
          <w:p w14:paraId="4E931A7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чел.</w:t>
            </w:r>
          </w:p>
        </w:tc>
        <w:tc>
          <w:tcPr>
            <w:tcW w:w="1560" w:type="dxa"/>
          </w:tcPr>
          <w:p w14:paraId="7C6B852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чел.</w:t>
            </w:r>
          </w:p>
        </w:tc>
        <w:tc>
          <w:tcPr>
            <w:tcW w:w="3686" w:type="dxa"/>
          </w:tcPr>
          <w:p w14:paraId="43E0D46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538968F6" w14:textId="77777777" w:rsidTr="00CC5360">
        <w:tc>
          <w:tcPr>
            <w:tcW w:w="3652" w:type="dxa"/>
          </w:tcPr>
          <w:p w14:paraId="46393F9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Вооружение</w:t>
            </w:r>
          </w:p>
        </w:tc>
        <w:tc>
          <w:tcPr>
            <w:tcW w:w="1559" w:type="dxa"/>
          </w:tcPr>
          <w:p w14:paraId="1D49552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пушки Швак</w:t>
            </w:r>
          </w:p>
        </w:tc>
        <w:tc>
          <w:tcPr>
            <w:tcW w:w="1560" w:type="dxa"/>
          </w:tcPr>
          <w:p w14:paraId="2154961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пушка ШВАК</w:t>
            </w:r>
          </w:p>
        </w:tc>
        <w:tc>
          <w:tcPr>
            <w:tcW w:w="3686" w:type="dxa"/>
          </w:tcPr>
          <w:p w14:paraId="450E601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Задние полусферы в обоих</w:t>
            </w:r>
          </w:p>
        </w:tc>
      </w:tr>
      <w:tr w:rsidR="001E2C69" w:rsidRPr="001E2C69" w14:paraId="07C36C4B" w14:textId="77777777" w:rsidTr="00CC5360">
        <w:tc>
          <w:tcPr>
            <w:tcW w:w="3652" w:type="dxa"/>
          </w:tcPr>
          <w:p w14:paraId="598C82F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E889F7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БС (вперед)</w:t>
            </w:r>
          </w:p>
        </w:tc>
        <w:tc>
          <w:tcPr>
            <w:tcW w:w="1560" w:type="dxa"/>
          </w:tcPr>
          <w:p w14:paraId="5A5A3D0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ШКАС вперед</w:t>
            </w:r>
          </w:p>
        </w:tc>
        <w:tc>
          <w:tcPr>
            <w:tcW w:w="3686" w:type="dxa"/>
          </w:tcPr>
          <w:p w14:paraId="52E3C9D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самолетах не защищены</w:t>
            </w:r>
          </w:p>
        </w:tc>
      </w:tr>
      <w:tr w:rsidR="001E2C69" w:rsidRPr="001E2C69" w14:paraId="7B4C7959" w14:textId="77777777" w:rsidTr="00CC5360">
        <w:tc>
          <w:tcPr>
            <w:tcW w:w="3652" w:type="dxa"/>
          </w:tcPr>
          <w:p w14:paraId="6F1E204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1C95C5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балок РС</w:t>
            </w:r>
          </w:p>
        </w:tc>
        <w:tc>
          <w:tcPr>
            <w:tcW w:w="1560" w:type="dxa"/>
          </w:tcPr>
          <w:p w14:paraId="54E8954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9B3A1A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4D372B42" w14:textId="77777777" w:rsidTr="00CC5360">
        <w:tc>
          <w:tcPr>
            <w:tcW w:w="3652" w:type="dxa"/>
          </w:tcPr>
          <w:p w14:paraId="3FD83FD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66162CB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пул. ШКАС</w:t>
            </w:r>
          </w:p>
        </w:tc>
        <w:tc>
          <w:tcPr>
            <w:tcW w:w="1560" w:type="dxa"/>
          </w:tcPr>
          <w:p w14:paraId="7BBD595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2A1A478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350A1D1D" w14:textId="77777777" w:rsidTr="00CC5360">
        <w:tc>
          <w:tcPr>
            <w:tcW w:w="3652" w:type="dxa"/>
          </w:tcPr>
          <w:p w14:paraId="588370A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45864D5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(вперед)</w:t>
            </w:r>
          </w:p>
        </w:tc>
        <w:tc>
          <w:tcPr>
            <w:tcW w:w="1560" w:type="dxa"/>
          </w:tcPr>
          <w:p w14:paraId="4C5156F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783596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26A068B6" w14:textId="77777777" w:rsidTr="00CC5360">
        <w:tc>
          <w:tcPr>
            <w:tcW w:w="3652" w:type="dxa"/>
          </w:tcPr>
          <w:p w14:paraId="600BA0B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Оборудование кабины</w:t>
            </w:r>
          </w:p>
        </w:tc>
        <w:tc>
          <w:tcPr>
            <w:tcW w:w="1559" w:type="dxa"/>
          </w:tcPr>
          <w:p w14:paraId="3920D19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Рация РСИ-3</w:t>
            </w:r>
          </w:p>
        </w:tc>
        <w:tc>
          <w:tcPr>
            <w:tcW w:w="1560" w:type="dxa"/>
          </w:tcPr>
          <w:p w14:paraId="3B154A2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Нет</w:t>
            </w:r>
          </w:p>
        </w:tc>
        <w:tc>
          <w:tcPr>
            <w:tcW w:w="3686" w:type="dxa"/>
          </w:tcPr>
          <w:p w14:paraId="3ACB5C4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10D7E333" w14:textId="77777777" w:rsidTr="00CC5360">
        <w:tc>
          <w:tcPr>
            <w:tcW w:w="3652" w:type="dxa"/>
          </w:tcPr>
          <w:p w14:paraId="72DDE22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летчика</w:t>
            </w:r>
          </w:p>
        </w:tc>
        <w:tc>
          <w:tcPr>
            <w:tcW w:w="1559" w:type="dxa"/>
          </w:tcPr>
          <w:p w14:paraId="453B1DA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07ECB3B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EB7EBA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046C3BA0" w14:textId="77777777" w:rsidTr="00CC5360">
        <w:tc>
          <w:tcPr>
            <w:tcW w:w="3652" w:type="dxa"/>
          </w:tcPr>
          <w:p w14:paraId="4533CF3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Фотоаппаратура</w:t>
            </w:r>
          </w:p>
        </w:tc>
        <w:tc>
          <w:tcPr>
            <w:tcW w:w="1559" w:type="dxa"/>
          </w:tcPr>
          <w:p w14:paraId="6FA1CAA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Нет</w:t>
            </w:r>
          </w:p>
        </w:tc>
        <w:tc>
          <w:tcPr>
            <w:tcW w:w="1560" w:type="dxa"/>
          </w:tcPr>
          <w:p w14:paraId="2CE80F5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Нет</w:t>
            </w:r>
          </w:p>
        </w:tc>
        <w:tc>
          <w:tcPr>
            <w:tcW w:w="3686" w:type="dxa"/>
          </w:tcPr>
          <w:p w14:paraId="5DA0FF3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05B16598" w14:textId="77777777" w:rsidTr="00CC5360">
        <w:tc>
          <w:tcPr>
            <w:tcW w:w="3652" w:type="dxa"/>
          </w:tcPr>
          <w:p w14:paraId="47381DA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Конструкция самолета</w:t>
            </w:r>
          </w:p>
        </w:tc>
        <w:tc>
          <w:tcPr>
            <w:tcW w:w="1559" w:type="dxa"/>
          </w:tcPr>
          <w:p w14:paraId="4ED64FC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Цельнометаллич.</w:t>
            </w:r>
          </w:p>
        </w:tc>
        <w:tc>
          <w:tcPr>
            <w:tcW w:w="1560" w:type="dxa"/>
          </w:tcPr>
          <w:p w14:paraId="0EC07E4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Смешанная </w:t>
            </w:r>
          </w:p>
        </w:tc>
        <w:tc>
          <w:tcPr>
            <w:tcW w:w="3686" w:type="dxa"/>
          </w:tcPr>
          <w:p w14:paraId="09B87D7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355C26AD" w14:textId="77777777" w:rsidTr="00CC5360">
        <w:tc>
          <w:tcPr>
            <w:tcW w:w="3652" w:type="dxa"/>
          </w:tcPr>
          <w:p w14:paraId="0193304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6AF757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бронирован.</w:t>
            </w:r>
          </w:p>
        </w:tc>
        <w:tc>
          <w:tcPr>
            <w:tcW w:w="1560" w:type="dxa"/>
          </w:tcPr>
          <w:p w14:paraId="143980F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(дюраль-дерево)</w:t>
            </w:r>
          </w:p>
        </w:tc>
        <w:tc>
          <w:tcPr>
            <w:tcW w:w="3686" w:type="dxa"/>
          </w:tcPr>
          <w:p w14:paraId="7D154DF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78B3C55E" w14:textId="77777777" w:rsidTr="00CC5360">
        <w:tc>
          <w:tcPr>
            <w:tcW w:w="3652" w:type="dxa"/>
          </w:tcPr>
          <w:p w14:paraId="2B44905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0623D1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3CF3D6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 бронирован.</w:t>
            </w:r>
          </w:p>
        </w:tc>
        <w:tc>
          <w:tcPr>
            <w:tcW w:w="3686" w:type="dxa"/>
          </w:tcPr>
          <w:p w14:paraId="5073774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4B5F08D1" w14:textId="77777777" w:rsidTr="00CC5360">
        <w:tc>
          <w:tcPr>
            <w:tcW w:w="3652" w:type="dxa"/>
          </w:tcPr>
          <w:p w14:paraId="23A79A8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Требуемая квалификация</w:t>
            </w:r>
          </w:p>
        </w:tc>
        <w:tc>
          <w:tcPr>
            <w:tcW w:w="1559" w:type="dxa"/>
          </w:tcPr>
          <w:p w14:paraId="6FE06F7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Средняя</w:t>
            </w:r>
          </w:p>
        </w:tc>
        <w:tc>
          <w:tcPr>
            <w:tcW w:w="1560" w:type="dxa"/>
          </w:tcPr>
          <w:p w14:paraId="1021A93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Средняя</w:t>
            </w:r>
          </w:p>
        </w:tc>
        <w:tc>
          <w:tcPr>
            <w:tcW w:w="3686" w:type="dxa"/>
          </w:tcPr>
          <w:p w14:paraId="76663DD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7050155F" w14:textId="77777777" w:rsidTr="00CC5360">
        <w:tc>
          <w:tcPr>
            <w:tcW w:w="3652" w:type="dxa"/>
          </w:tcPr>
          <w:p w14:paraId="17E21E4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летчика</w:t>
            </w:r>
          </w:p>
        </w:tc>
        <w:tc>
          <w:tcPr>
            <w:tcW w:w="1559" w:type="dxa"/>
          </w:tcPr>
          <w:p w14:paraId="58AF85C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0ABAE7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35509AD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067C8E16" w14:textId="77777777" w:rsidTr="00CC5360">
        <w:tc>
          <w:tcPr>
            <w:tcW w:w="3652" w:type="dxa"/>
          </w:tcPr>
          <w:p w14:paraId="4B50C85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Внутренняя связь между</w:t>
            </w:r>
          </w:p>
        </w:tc>
        <w:tc>
          <w:tcPr>
            <w:tcW w:w="1559" w:type="dxa"/>
          </w:tcPr>
          <w:p w14:paraId="75234C2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Переговорный</w:t>
            </w:r>
          </w:p>
        </w:tc>
        <w:tc>
          <w:tcPr>
            <w:tcW w:w="1560" w:type="dxa"/>
          </w:tcPr>
          <w:p w14:paraId="662D997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аппарат</w:t>
            </w:r>
          </w:p>
        </w:tc>
        <w:tc>
          <w:tcPr>
            <w:tcW w:w="3686" w:type="dxa"/>
          </w:tcPr>
          <w:p w14:paraId="7E65125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2C5B6A1D" w14:textId="77777777" w:rsidTr="00CC5360">
        <w:tc>
          <w:tcPr>
            <w:tcW w:w="3652" w:type="dxa"/>
          </w:tcPr>
          <w:p w14:paraId="7363A1C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экипажем</w:t>
            </w:r>
          </w:p>
        </w:tc>
        <w:tc>
          <w:tcPr>
            <w:tcW w:w="1559" w:type="dxa"/>
          </w:tcPr>
          <w:p w14:paraId="5041590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602564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2B607F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04606DE6" w14:textId="77777777" w:rsidTr="00CC5360">
        <w:tc>
          <w:tcPr>
            <w:tcW w:w="3652" w:type="dxa"/>
          </w:tcPr>
          <w:p w14:paraId="4A02B1E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Устойчивость</w:t>
            </w:r>
          </w:p>
        </w:tc>
        <w:tc>
          <w:tcPr>
            <w:tcW w:w="1559" w:type="dxa"/>
          </w:tcPr>
          <w:p w14:paraId="646FBCD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Устойчив</w:t>
            </w:r>
          </w:p>
        </w:tc>
        <w:tc>
          <w:tcPr>
            <w:tcW w:w="1560" w:type="dxa"/>
          </w:tcPr>
          <w:p w14:paraId="2DAB65D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Устойчив</w:t>
            </w:r>
          </w:p>
        </w:tc>
        <w:tc>
          <w:tcPr>
            <w:tcW w:w="3686" w:type="dxa"/>
          </w:tcPr>
          <w:p w14:paraId="236F6AC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УИЛ-2 благодаря наличию</w:t>
            </w:r>
          </w:p>
        </w:tc>
      </w:tr>
      <w:tr w:rsidR="001E2C69" w:rsidRPr="001E2C69" w14:paraId="38C68429" w14:textId="77777777" w:rsidTr="00CC5360">
        <w:tc>
          <w:tcPr>
            <w:tcW w:w="3652" w:type="dxa"/>
          </w:tcPr>
          <w:p w14:paraId="0264D1F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0D7E08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24CD4ED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355AC7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флетнеров и триммеров </w:t>
            </w:r>
          </w:p>
        </w:tc>
      </w:tr>
      <w:tr w:rsidR="001E2C69" w:rsidRPr="001E2C69" w14:paraId="0FA3CC6E" w14:textId="77777777" w:rsidTr="00CC5360">
        <w:tc>
          <w:tcPr>
            <w:tcW w:w="3652" w:type="dxa"/>
          </w:tcPr>
          <w:p w14:paraId="32C8E97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60B0780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CF8A40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9BA002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исключительно устойчив</w:t>
            </w:r>
          </w:p>
        </w:tc>
      </w:tr>
    </w:tbl>
    <w:p w14:paraId="19E654A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определении возможности установки рации и аэрофотоаппаратуры на самолете УИЛ-2 установлено:</w:t>
      </w:r>
    </w:p>
    <w:p w14:paraId="344A697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Аэрофотоаппаратура АЩАФА-2, АФА-3с и АФА-2бн. Каждый в отдельности могут быть установлены на универсальной фотоустановке впереди летчика-наблюдателя.</w:t>
      </w:r>
    </w:p>
    <w:p w14:paraId="25BC585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Рация РСИ-3 также может быть размещена впереди летнаба, выше фотоаппарата.</w:t>
      </w:r>
    </w:p>
    <w:p w14:paraId="4596BDB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На самолете ЯК-7В без конструктивных переделок можно установить радиостанцию РСИ-3.</w:t>
      </w:r>
    </w:p>
    <w:p w14:paraId="42F96F8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установки фотоаппаратуры необходимы изменения каркаса фюзеляжа, так как размещению фотоустановки мешают рама фюзеляжа, тяга руля глубины и троса управления рулями поворота и триммеров.</w:t>
      </w:r>
    </w:p>
    <w:p w14:paraId="7638312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Обзор с самолета УИЛ-2 был проверен в воздухе, при чем оказались, что обзор сильно ограничен вперед плоскостями, назад - конструкцией задней части фюзеляжа, верхняя передняя полусфера открыта. Наблюдение можно вести за счет маневра по горизонтали.</w:t>
      </w:r>
    </w:p>
    <w:p w14:paraId="64C3B92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ЯК-7_В по своему конструктивному построению имеет такой же обзор, не лучше чем УИЛ-2.</w:t>
      </w:r>
    </w:p>
    <w:p w14:paraId="43A4032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Выводы.</w:t>
      </w:r>
    </w:p>
    <w:p w14:paraId="06191F0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основе проведения испытаний комиссия считает, что наиболее просто и быстро может быть приспособлен для обслуживания артиллерии самолет УИЛ-2, для чего необходимо произвести следующие работы:</w:t>
      </w:r>
    </w:p>
    <w:p w14:paraId="0CC6E8D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Снять 2-е управление.</w:t>
      </w:r>
    </w:p>
    <w:p w14:paraId="45DF4F8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Поставить установку под пулемет БС в заднюю кабину.</w:t>
      </w:r>
    </w:p>
    <w:p w14:paraId="22FADC9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Установить рацию РСИ-4.</w:t>
      </w:r>
    </w:p>
    <w:p w14:paraId="0CEC571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Поставить надежное бронирование летчика-наблюдателя7</w:t>
      </w:r>
    </w:p>
    <w:p w14:paraId="61D5812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Фотоустановка должна позволять пользование любым из трех вышеуказанных фотоаппаратов.</w:t>
      </w:r>
    </w:p>
    <w:p w14:paraId="56C82AF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Качество плексигласа по прозрачности должно быть повышенное.</w:t>
      </w:r>
    </w:p>
    <w:p w14:paraId="58259E0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Для облегчения планового фотографирования и определения навигационных элементов необходимо установить пяту для прицела ОПБ-1М, при чем необходимо предусмотреть возможность одновременной работы на прицеле при фотографировании.</w:t>
      </w:r>
    </w:p>
    <w:p w14:paraId="362D1B6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Увеличить запас горючего до трех часов за счет бомбовой нагрузки при помощи размещения дополнительных баков в бомбовых отсеках.</w:t>
      </w:r>
    </w:p>
    <w:p w14:paraId="7B8157F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Существующее вооружение летчиков оставить неизменным, но предусмотреть поворот двух балок РС для стрельбы назад.</w:t>
      </w:r>
    </w:p>
    <w:p w14:paraId="2C17BFB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Заключение.</w:t>
      </w:r>
    </w:p>
    <w:p w14:paraId="2622E9C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Войти в ходатайство перед Гос. комитетом Обороны об ускорении выпуска приспособленного самолета УИЛ-2, с учетом замечаний комиссии, в двухместном варианте, крайне необходимого для обслуживания задач артиллерии.</w:t>
      </w:r>
    </w:p>
    <w:p w14:paraId="246E913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Необходимо срочно дать заказ гл. конструктору завода НКАП N 18 Ильюшину о разработке двухместного варианта самолета ИЛ-2.</w:t>
      </w:r>
    </w:p>
    <w:p w14:paraId="40C6C23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В 1941 году был изготовлен опытный образец самолета ЯК-7Р (вариант разведчика). Просить ГУВВС провести испытания этого самолета для окончательного решения о возможности применения его для обслуживания задач артиллерии (1633,182).</w:t>
      </w:r>
    </w:p>
    <w:p w14:paraId="2416089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5409F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С 20 по 26 июля 1942 г. в ЦАГИ велись исследования с целью изыскания путей увеличения скорости Як-1. Ведущий инженер исследований - А.И. Сильман (ведущий инженер по Як-1 1-й лаборатории ЦАГИ). Эти работы показали, что достаточно простыми и доступными для серийного производства средствами (герметизацией и </w:t>
      </w:r>
      <w:r w:rsidRPr="001E2C69">
        <w:rPr>
          <w:rFonts w:ascii="Times New Roman" w:hAnsi="Times New Roman"/>
          <w:color w:val="000000" w:themeColor="text1"/>
          <w:sz w:val="16"/>
          <w:szCs w:val="16"/>
        </w:rPr>
        <w:lastRenderedPageBreak/>
        <w:t>изменением форм туннелей водо- и масло- радиаторов, улучшением форм всасывающего и выхлопных патрубков, герметизацией фюзеляжа) можно увеличить максимальную скорость на 25-28 км/ч, а если обеспечить уборку хвостового колеса и полное закрытие куполов шасси, то - на 33-38 км/ч.</w:t>
      </w:r>
    </w:p>
    <w:p w14:paraId="3F0FB17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рекомендациям ЦАГИ в ЛИИ НКАП был переоборудован и в августе-сентябре 1942 г. прошел летные испытания Як-1 № 0868 с мотором М-105ПФ. В его конструкцию, чтобы улучшить работу системы охлаждения воды и масла и увеличить максимальную скорость, были внесены следующие изменения.</w:t>
      </w:r>
    </w:p>
    <w:p w14:paraId="5817B63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По водорадиатору:</w:t>
      </w:r>
    </w:p>
    <w:p w14:paraId="20B708B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изменен профиль верхней передней стенки входной части туннеля;</w:t>
      </w:r>
    </w:p>
    <w:p w14:paraId="28D73EE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увеличен ход регулирующей заслонки на 50 мм (до 350 мм);</w:t>
      </w:r>
    </w:p>
    <w:p w14:paraId="64953AF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произведена герметизация туннеля.</w:t>
      </w:r>
    </w:p>
    <w:p w14:paraId="4C04437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По маслорадиатору:</w:t>
      </w:r>
    </w:p>
    <w:p w14:paraId="5A9DF4D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уменьшена на 40 % площадь входной части туннеля и сам туннель удлинен до 225 мм;</w:t>
      </w:r>
    </w:p>
    <w:p w14:paraId="78C7B60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удлинена выходная часть туннеля до 410 мм, а профиль ее верхней стенки выполнен скругленным;</w:t>
      </w:r>
    </w:p>
    <w:p w14:paraId="209FDC8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увеличен ход регулирующей заслонки на 80 мм (до 340 мм);</w:t>
      </w:r>
    </w:p>
    <w:p w14:paraId="2FDCE02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произведена герметизация туннеля.</w:t>
      </w:r>
    </w:p>
    <w:p w14:paraId="4790AE6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Изменена форма сечения и расположение всасывающего патрубка нагнетателя.</w:t>
      </w:r>
    </w:p>
    <w:p w14:paraId="147EBA8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Установлены обтекатели на выхлопные патрубки на выход трубы продувки картера мотора и кронштейны управления элеронами.</w:t>
      </w:r>
    </w:p>
    <w:p w14:paraId="5CC56C4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Установлен обтекатель-козырек на сдвижную часть фонаря кабины.</w:t>
      </w:r>
    </w:p>
    <w:p w14:paraId="1CD6FCD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Произведена герметизация фюзеляжа (загерметизирована противопожарная перегородка, установлены фанерная перегородка за бронеспинкой и матерчатая за водорадиа- тором).</w:t>
      </w:r>
    </w:p>
    <w:p w14:paraId="7EAD936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7. Установлен обтекатель входного отверстия кожухов пулеметов и заделаны патрубки для отвода пороховых газов. </w:t>
      </w:r>
    </w:p>
    <w:p w14:paraId="63FD8A9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По результатам испытаний внесенные в конструкцию изменения дали прирост скорости на 23 км/ч (у машины № 0868 на высоте 3500 м скорость стала 594 км/ч, а у серийного Як-I на высоте 3650 м - 571 км/ч). Скороподъемность осталась без изменений. Увеличение скорости можно было считать гарантированным, поскольку на испытания Як-1 № 0868 поступил после эксплуатации в части, где аэродинамические формы подверглись ухудшению за счет нарушения лакокрасочного покрытия, вмятин в металлических деталях, плохой подгонки лючков и зализов. После осуществления уборки хвостового колеса, полного закрытия ниш шасси щитками и улучшения отделки поверхностей самолета удалось достичь скорости 612 км/ч на высоте 3700 м. Квинтэссенцией всех работ по улучшению Як-1 в 1942 г. стал Як-1б (12048). </w:t>
      </w:r>
    </w:p>
    <w:p w14:paraId="10BAECD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F3B9DC"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июля 1943 г. в письме наркому авиапромышленности от А.С. Яковлев упоминает о принятии на вооружение ВВС КА истребителя Як-7 со стрелково-пушечной уста</w:t>
      </w:r>
      <w:r w:rsidRPr="008A2E5A">
        <w:rPr>
          <w:rFonts w:ascii="Times New Roman" w:hAnsi="Times New Roman"/>
          <w:color w:val="0070C0"/>
          <w:sz w:val="16"/>
          <w:szCs w:val="16"/>
        </w:rPr>
        <w:softHyphen/>
        <w:t>новкой, состоявшей из мотор-пушки ШВАК и одного пу</w:t>
      </w:r>
      <w:r w:rsidRPr="008A2E5A">
        <w:rPr>
          <w:rFonts w:ascii="Times New Roman" w:hAnsi="Times New Roman"/>
          <w:color w:val="0070C0"/>
          <w:sz w:val="16"/>
          <w:szCs w:val="16"/>
        </w:rPr>
        <w:softHyphen/>
        <w:t>лемета УБС. Какие-либо документы по такой модифика</w:t>
      </w:r>
      <w:r w:rsidRPr="008A2E5A">
        <w:rPr>
          <w:rFonts w:ascii="Times New Roman" w:hAnsi="Times New Roman"/>
          <w:color w:val="0070C0"/>
          <w:sz w:val="16"/>
          <w:szCs w:val="16"/>
        </w:rPr>
        <w:softHyphen/>
        <w:t>ции машины пока не найдены, поэтому, возможно, речь в письме шла о Як-7ДИ (23381).</w:t>
      </w:r>
    </w:p>
    <w:p w14:paraId="712DF0E1" w14:textId="77777777" w:rsidR="003E1727" w:rsidRPr="008A2E5A" w:rsidRDefault="003E1727" w:rsidP="003E1727">
      <w:pPr>
        <w:spacing w:after="0" w:line="240" w:lineRule="auto"/>
        <w:jc w:val="both"/>
        <w:rPr>
          <w:rFonts w:ascii="Times New Roman" w:hAnsi="Times New Roman"/>
          <w:color w:val="0070C0"/>
          <w:sz w:val="16"/>
          <w:szCs w:val="16"/>
        </w:rPr>
      </w:pPr>
    </w:p>
    <w:p w14:paraId="0A7EDE47"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июля 1943 г. главный инженер завода №153 Тер-Маркарян утведил Отчет заместителя начальника СКО за</w:t>
      </w:r>
      <w:r w:rsidRPr="008A2E5A">
        <w:rPr>
          <w:rFonts w:ascii="Times New Roman" w:hAnsi="Times New Roman"/>
          <w:color w:val="0070C0"/>
          <w:sz w:val="16"/>
          <w:szCs w:val="16"/>
        </w:rPr>
        <w:softHyphen/>
        <w:t>вода №153 М.М. Ефимова и начальника винтомоторной группы СКО О. А. Алферова о работе в действовавших на фронтах частях ВВС, эксплуатировавших самолеты Як- 75, Як-9 и Як-7-37 выпуска завода №153 за период ко</w:t>
      </w:r>
      <w:r w:rsidRPr="008A2E5A">
        <w:rPr>
          <w:rFonts w:ascii="Times New Roman" w:hAnsi="Times New Roman"/>
          <w:color w:val="0070C0"/>
          <w:sz w:val="16"/>
          <w:szCs w:val="16"/>
        </w:rPr>
        <w:softHyphen/>
        <w:t>мандировки с 2 марта по 19 июня 1943 г.:</w:t>
      </w:r>
    </w:p>
    <w:p w14:paraId="40220B0E"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Выписка из отчета заместителя начальника СКО за</w:t>
      </w:r>
      <w:r w:rsidRPr="008A2E5A">
        <w:rPr>
          <w:rFonts w:ascii="Times New Roman" w:hAnsi="Times New Roman"/>
          <w:color w:val="0070C0"/>
          <w:sz w:val="16"/>
          <w:szCs w:val="16"/>
        </w:rPr>
        <w:softHyphen/>
        <w:t>вода №153 М.М. Ефимова и начальника винтомоторной группы СКО О. А. Алферова о работе в действовавших на фронтах частях ВВС, эксплуатировавших самолеты Як- 75, Як-9 и Як-7-37 выпуска завода №153 за период ко</w:t>
      </w:r>
      <w:r w:rsidRPr="008A2E5A">
        <w:rPr>
          <w:rFonts w:ascii="Times New Roman" w:hAnsi="Times New Roman"/>
          <w:color w:val="0070C0"/>
          <w:sz w:val="16"/>
          <w:szCs w:val="16"/>
        </w:rPr>
        <w:softHyphen/>
        <w:t>мандировки с 2 марта по 19 июня 1943 г. Архив ОКБ д. 16г 153-6</w:t>
      </w:r>
    </w:p>
    <w:p w14:paraId="750EF9F0"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«Утверждаю» главный инженер завода №153 Тер-Маркарян 20 июля 1943 г.</w:t>
      </w:r>
    </w:p>
    <w:p w14:paraId="5A9774EE"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 Календарь работы</w:t>
      </w:r>
    </w:p>
    <w:p w14:paraId="7F6DBB54"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Непосредственно в частях ВВС работа проводилась:</w:t>
      </w:r>
    </w:p>
    <w:p w14:paraId="2FB882CC"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21.3 до 8.4 на Северо-Западном фронте в пол</w:t>
      </w:r>
      <w:r w:rsidRPr="008A2E5A">
        <w:rPr>
          <w:rFonts w:ascii="Times New Roman" w:hAnsi="Times New Roman"/>
          <w:color w:val="0070C0"/>
          <w:sz w:val="16"/>
          <w:szCs w:val="16"/>
        </w:rPr>
        <w:softHyphen/>
        <w:t>ках 42-м, 744-м 240-й иад, эксплуатировавших в боевых условиях самолеты Як-7-37 с 9.42 по 03.43 г. (42-й иап) и Як-7Б 33 и 34 серий (744-й иап) с 7.2.43 г.</w:t>
      </w:r>
    </w:p>
    <w:p w14:paraId="547E9A8F"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с21.4до10.5 на Кубанском фронте в полках 15-м, 43-м и 274-м 278-й иад 3-го ИАК, эксплуатировавших в боевых условиях самолеты Як-7Б серий с 29 по 42.</w:t>
      </w:r>
    </w:p>
    <w:p w14:paraId="17FC409C"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22.5 до 31.5 на Калининском фронте в полках 91 -м, 32-м и 728-м 256-й иад 8-го САК, эксплуатировавших в условиях подготовки к боевым действиям самолеты Як-9 серий 01 -02 и Як-7Б серий 39-40.</w:t>
      </w:r>
    </w:p>
    <w:p w14:paraId="43476049"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1.6 до 17.6 в системе ПВО г.Москвы в 12-м гвар</w:t>
      </w:r>
      <w:r w:rsidRPr="008A2E5A">
        <w:rPr>
          <w:rFonts w:ascii="Times New Roman" w:hAnsi="Times New Roman"/>
          <w:color w:val="0070C0"/>
          <w:sz w:val="16"/>
          <w:szCs w:val="16"/>
        </w:rPr>
        <w:softHyphen/>
        <w:t>дейском иап 6-го АК.</w:t>
      </w:r>
    </w:p>
    <w:p w14:paraId="2445B287"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III. Основные дефекты массового характера, мешавшие нормальной эксплуатации самолетов в боевых условиях</w:t>
      </w:r>
    </w:p>
    <w:p w14:paraId="20DEAF00"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Растрескивание лакокрасочных покрытий верхней по</w:t>
      </w:r>
      <w:r w:rsidRPr="008A2E5A">
        <w:rPr>
          <w:rFonts w:ascii="Times New Roman" w:hAnsi="Times New Roman"/>
          <w:color w:val="0070C0"/>
          <w:sz w:val="16"/>
          <w:szCs w:val="16"/>
        </w:rPr>
        <w:softHyphen/>
        <w:t>верхности крыла, набухание фанеры и отставание полотна от фанерной обшивки крыла на самолетах Як-7Б и Як-9.</w:t>
      </w:r>
    </w:p>
    <w:p w14:paraId="19EC5131"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самолетах Як-7-37 и Як-7Б 33 и 34 серии, находив</w:t>
      </w:r>
      <w:r w:rsidRPr="008A2E5A">
        <w:rPr>
          <w:rFonts w:ascii="Times New Roman" w:hAnsi="Times New Roman"/>
          <w:color w:val="0070C0"/>
          <w:sz w:val="16"/>
          <w:szCs w:val="16"/>
        </w:rPr>
        <w:softHyphen/>
        <w:t>шихся в полках 42-м и 744-м на Северо-Западном фрон</w:t>
      </w:r>
      <w:r w:rsidRPr="008A2E5A">
        <w:rPr>
          <w:rFonts w:ascii="Times New Roman" w:hAnsi="Times New Roman"/>
          <w:color w:val="0070C0"/>
          <w:sz w:val="16"/>
          <w:szCs w:val="16"/>
        </w:rPr>
        <w:softHyphen/>
        <w:t>те в условиях зимней эксплуатации до марта 1943 г., рас</w:t>
      </w:r>
      <w:r w:rsidRPr="008A2E5A">
        <w:rPr>
          <w:rFonts w:ascii="Times New Roman" w:hAnsi="Times New Roman"/>
          <w:color w:val="0070C0"/>
          <w:sz w:val="16"/>
          <w:szCs w:val="16"/>
        </w:rPr>
        <w:softHyphen/>
        <w:t>трескивания лакокрасочных покрытий не было, за исклю</w:t>
      </w:r>
      <w:r w:rsidRPr="008A2E5A">
        <w:rPr>
          <w:rFonts w:ascii="Times New Roman" w:hAnsi="Times New Roman"/>
          <w:color w:val="0070C0"/>
          <w:sz w:val="16"/>
          <w:szCs w:val="16"/>
        </w:rPr>
        <w:softHyphen/>
        <w:t>чением отдельных трещин по ребру атаки около закон- цовки крыла.</w:t>
      </w:r>
    </w:p>
    <w:p w14:paraId="19F39580"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Кубанском фронте в условиях равномерной жаркой сухой погоды без дождей растрескивание лакокрасоч</w:t>
      </w:r>
      <w:r w:rsidRPr="008A2E5A">
        <w:rPr>
          <w:rFonts w:ascii="Times New Roman" w:hAnsi="Times New Roman"/>
          <w:color w:val="0070C0"/>
          <w:sz w:val="16"/>
          <w:szCs w:val="16"/>
        </w:rPr>
        <w:softHyphen/>
        <w:t>ных покрытий на верхней поверхности крыльев и гаргрота фюзеляжа имело место на части самолетов (особен</w:t>
      </w:r>
      <w:r w:rsidRPr="008A2E5A">
        <w:rPr>
          <w:rFonts w:ascii="Times New Roman" w:hAnsi="Times New Roman"/>
          <w:color w:val="0070C0"/>
          <w:sz w:val="16"/>
          <w:szCs w:val="16"/>
        </w:rPr>
        <w:softHyphen/>
        <w:t>но в сильной форме на самолетах №3715349 и 3915314), но, благодаря тому, что поверхность крыла не подвер</w:t>
      </w:r>
      <w:r w:rsidRPr="008A2E5A">
        <w:rPr>
          <w:rFonts w:ascii="Times New Roman" w:hAnsi="Times New Roman"/>
          <w:color w:val="0070C0"/>
          <w:sz w:val="16"/>
          <w:szCs w:val="16"/>
        </w:rPr>
        <w:softHyphen/>
        <w:t>галась действию влаги, связь полотна с фанерой в этом случае не нарушалась. Это явление в то время на Кубан</w:t>
      </w:r>
      <w:r w:rsidRPr="008A2E5A">
        <w:rPr>
          <w:rFonts w:ascii="Times New Roman" w:hAnsi="Times New Roman"/>
          <w:color w:val="0070C0"/>
          <w:sz w:val="16"/>
          <w:szCs w:val="16"/>
        </w:rPr>
        <w:softHyphen/>
        <w:t>ском фронте острой формы не приняло, так как ни отста</w:t>
      </w:r>
      <w:r w:rsidRPr="008A2E5A">
        <w:rPr>
          <w:rFonts w:ascii="Times New Roman" w:hAnsi="Times New Roman"/>
          <w:color w:val="0070C0"/>
          <w:sz w:val="16"/>
          <w:szCs w:val="16"/>
        </w:rPr>
        <w:softHyphen/>
        <w:t>вания полотна от фанерной обшивки, ни коробления фа</w:t>
      </w:r>
      <w:r w:rsidRPr="008A2E5A">
        <w:rPr>
          <w:rFonts w:ascii="Times New Roman" w:hAnsi="Times New Roman"/>
          <w:color w:val="0070C0"/>
          <w:sz w:val="16"/>
          <w:szCs w:val="16"/>
        </w:rPr>
        <w:softHyphen/>
        <w:t>неры на самолетах до 9 мая 1943 г. не было.</w:t>
      </w:r>
    </w:p>
    <w:p w14:paraId="30BB1B07"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Калининском фронте в результате тщательного ос</w:t>
      </w:r>
      <w:r w:rsidRPr="008A2E5A">
        <w:rPr>
          <w:rFonts w:ascii="Times New Roman" w:hAnsi="Times New Roman"/>
          <w:color w:val="0070C0"/>
          <w:sz w:val="16"/>
          <w:szCs w:val="16"/>
        </w:rPr>
        <w:softHyphen/>
        <w:t>мотра 96 самолетов Як-7Б и Як-9 на предмет определе</w:t>
      </w:r>
      <w:r w:rsidRPr="008A2E5A">
        <w:rPr>
          <w:rFonts w:ascii="Times New Roman" w:hAnsi="Times New Roman"/>
          <w:color w:val="0070C0"/>
          <w:sz w:val="16"/>
          <w:szCs w:val="16"/>
        </w:rPr>
        <w:softHyphen/>
        <w:t>ния состояния поверхности крыльев и фюзеляжа было выявлено, что на всех самолетах, за исключением трех, лакокрасочное покрытие на верхней поверхности крыль</w:t>
      </w:r>
      <w:r w:rsidRPr="008A2E5A">
        <w:rPr>
          <w:rFonts w:ascii="Times New Roman" w:hAnsi="Times New Roman"/>
          <w:color w:val="0070C0"/>
          <w:sz w:val="16"/>
          <w:szCs w:val="16"/>
        </w:rPr>
        <w:softHyphen/>
        <w:t>ев растрескалось в различной степени. Размеры трещин, их направление, характер и взаимное расположение са</w:t>
      </w:r>
      <w:r w:rsidRPr="008A2E5A">
        <w:rPr>
          <w:rFonts w:ascii="Times New Roman" w:hAnsi="Times New Roman"/>
          <w:color w:val="0070C0"/>
          <w:sz w:val="16"/>
          <w:szCs w:val="16"/>
        </w:rPr>
        <w:softHyphen/>
        <w:t>мое разнообразное. Есть мелкие трещины, усеиваю</w:t>
      </w:r>
      <w:r w:rsidRPr="008A2E5A">
        <w:rPr>
          <w:rFonts w:ascii="Times New Roman" w:hAnsi="Times New Roman"/>
          <w:color w:val="0070C0"/>
          <w:sz w:val="16"/>
          <w:szCs w:val="16"/>
        </w:rPr>
        <w:softHyphen/>
        <w:t>щие всю поверхность крыла густой сетью. Есть крупные трещины по направлению наружного слоя фанеры. Есть крупные и мелкие изогнутые трещины, расходящиеся ве</w:t>
      </w:r>
      <w:r w:rsidRPr="008A2E5A">
        <w:rPr>
          <w:rFonts w:ascii="Times New Roman" w:hAnsi="Times New Roman"/>
          <w:color w:val="0070C0"/>
          <w:sz w:val="16"/>
          <w:szCs w:val="16"/>
        </w:rPr>
        <w:softHyphen/>
        <w:t>ером из нескольких узлов. Есть концентрические трещи</w:t>
      </w:r>
      <w:r w:rsidRPr="008A2E5A">
        <w:rPr>
          <w:rFonts w:ascii="Times New Roman" w:hAnsi="Times New Roman"/>
          <w:color w:val="0070C0"/>
          <w:sz w:val="16"/>
          <w:szCs w:val="16"/>
        </w:rPr>
        <w:softHyphen/>
        <w:t>ны на обшивке крыла, преимущественно около фюзеля</w:t>
      </w:r>
      <w:r w:rsidRPr="008A2E5A">
        <w:rPr>
          <w:rFonts w:ascii="Times New Roman" w:hAnsi="Times New Roman"/>
          <w:color w:val="0070C0"/>
          <w:sz w:val="16"/>
          <w:szCs w:val="16"/>
        </w:rPr>
        <w:softHyphen/>
        <w:t>жа, на месте трапа, вызванные передавливанием фане</w:t>
      </w:r>
      <w:r w:rsidRPr="008A2E5A">
        <w:rPr>
          <w:rFonts w:ascii="Times New Roman" w:hAnsi="Times New Roman"/>
          <w:color w:val="0070C0"/>
          <w:sz w:val="16"/>
          <w:szCs w:val="16"/>
        </w:rPr>
        <w:softHyphen/>
        <w:t>ры при хождении по крылу без трапа. Много трещин сос</w:t>
      </w:r>
      <w:r w:rsidRPr="008A2E5A">
        <w:rPr>
          <w:rFonts w:ascii="Times New Roman" w:hAnsi="Times New Roman"/>
          <w:color w:val="0070C0"/>
          <w:sz w:val="16"/>
          <w:szCs w:val="16"/>
        </w:rPr>
        <w:softHyphen/>
        <w:t>редотачивается около жестких элементов каркаса крыла (у нервюр, стрингеров, лонжеронов) на самой границе.</w:t>
      </w:r>
    </w:p>
    <w:p w14:paraId="1508B8FB"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нижней поверхности крыльев растрескивания лако</w:t>
      </w:r>
      <w:r w:rsidRPr="008A2E5A">
        <w:rPr>
          <w:rFonts w:ascii="Times New Roman" w:hAnsi="Times New Roman"/>
          <w:color w:val="0070C0"/>
          <w:sz w:val="16"/>
          <w:szCs w:val="16"/>
        </w:rPr>
        <w:softHyphen/>
        <w:t>красочных покрытий нет.</w:t>
      </w:r>
    </w:p>
    <w:p w14:paraId="0AAD3C12"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гаргроте фюзеляжа лакокрасочное покрытие рас</w:t>
      </w:r>
      <w:r w:rsidRPr="008A2E5A">
        <w:rPr>
          <w:rFonts w:ascii="Times New Roman" w:hAnsi="Times New Roman"/>
          <w:color w:val="0070C0"/>
          <w:sz w:val="16"/>
          <w:szCs w:val="16"/>
        </w:rPr>
        <w:softHyphen/>
        <w:t>трескивается в меньшей степени, чем на крыле, и тре</w:t>
      </w:r>
      <w:r w:rsidRPr="008A2E5A">
        <w:rPr>
          <w:rFonts w:ascii="Times New Roman" w:hAnsi="Times New Roman"/>
          <w:color w:val="0070C0"/>
          <w:sz w:val="16"/>
          <w:szCs w:val="16"/>
        </w:rPr>
        <w:softHyphen/>
        <w:t>щины преимущественно небольшого размера, равно</w:t>
      </w:r>
      <w:r w:rsidRPr="008A2E5A">
        <w:rPr>
          <w:rFonts w:ascii="Times New Roman" w:hAnsi="Times New Roman"/>
          <w:color w:val="0070C0"/>
          <w:sz w:val="16"/>
          <w:szCs w:val="16"/>
        </w:rPr>
        <w:softHyphen/>
        <w:t>мерно усеивающие всю поверхность гаргрота. Около трещин лакокрасочного покрытия на крыле, особенно у свежих, явно заметна припухлость фанеры на ширину до 8-10 мм в сторону от трещины на протяжении всей дли</w:t>
      </w:r>
      <w:r w:rsidRPr="008A2E5A">
        <w:rPr>
          <w:rFonts w:ascii="Times New Roman" w:hAnsi="Times New Roman"/>
          <w:color w:val="0070C0"/>
          <w:sz w:val="16"/>
          <w:szCs w:val="16"/>
        </w:rPr>
        <w:softHyphen/>
        <w:t>ны ее. После снятия полотна на фанерной обшивке кры</w:t>
      </w:r>
      <w:r w:rsidRPr="008A2E5A">
        <w:rPr>
          <w:rFonts w:ascii="Times New Roman" w:hAnsi="Times New Roman"/>
          <w:color w:val="0070C0"/>
          <w:sz w:val="16"/>
          <w:szCs w:val="16"/>
        </w:rPr>
        <w:softHyphen/>
        <w:t>ла отчетливо видны следы, отображающие полный рису</w:t>
      </w:r>
      <w:r w:rsidRPr="008A2E5A">
        <w:rPr>
          <w:rFonts w:ascii="Times New Roman" w:hAnsi="Times New Roman"/>
          <w:color w:val="0070C0"/>
          <w:sz w:val="16"/>
          <w:szCs w:val="16"/>
        </w:rPr>
        <w:softHyphen/>
        <w:t>нок трещины лакокрасочного покрытия в виде темных ли</w:t>
      </w:r>
      <w:r w:rsidRPr="008A2E5A">
        <w:rPr>
          <w:rFonts w:ascii="Times New Roman" w:hAnsi="Times New Roman"/>
          <w:color w:val="0070C0"/>
          <w:sz w:val="16"/>
          <w:szCs w:val="16"/>
        </w:rPr>
        <w:softHyphen/>
        <w:t>ний различной ширины и яркости в зависимости оттого, насколько давно появились трещины, и как много через эти трещины проникло влаги в фанеру. Если трещина не</w:t>
      </w:r>
      <w:r w:rsidRPr="008A2E5A">
        <w:rPr>
          <w:rFonts w:ascii="Times New Roman" w:hAnsi="Times New Roman"/>
          <w:color w:val="0070C0"/>
          <w:sz w:val="16"/>
          <w:szCs w:val="16"/>
        </w:rPr>
        <w:softHyphen/>
        <w:t>большая по ширине и появилась недавно, то линия на фа</w:t>
      </w:r>
      <w:r w:rsidRPr="008A2E5A">
        <w:rPr>
          <w:rFonts w:ascii="Times New Roman" w:hAnsi="Times New Roman"/>
          <w:color w:val="0070C0"/>
          <w:sz w:val="16"/>
          <w:szCs w:val="16"/>
        </w:rPr>
        <w:softHyphen/>
        <w:t>нере в виде тонкого волоса еле заметна. Если трещина старая, то след на фанере широкий, расплывшийся до 2,5-3 мм со следами пигментов и синевы.</w:t>
      </w:r>
    </w:p>
    <w:p w14:paraId="32E62B92"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правило, около трещин и у мест сосредоточения трещин полотно отдирается очень легко вместе со всей шпатлевкой. На фанере в этом месте шпатлевка не оста</w:t>
      </w:r>
      <w:r w:rsidRPr="008A2E5A">
        <w:rPr>
          <w:rFonts w:ascii="Times New Roman" w:hAnsi="Times New Roman"/>
          <w:color w:val="0070C0"/>
          <w:sz w:val="16"/>
          <w:szCs w:val="16"/>
        </w:rPr>
        <w:softHyphen/>
        <w:t>ется. В местах же, где трещин в лакокрасочном покры</w:t>
      </w:r>
      <w:r w:rsidRPr="008A2E5A">
        <w:rPr>
          <w:rFonts w:ascii="Times New Roman" w:hAnsi="Times New Roman"/>
          <w:color w:val="0070C0"/>
          <w:sz w:val="16"/>
          <w:szCs w:val="16"/>
        </w:rPr>
        <w:softHyphen/>
        <w:t>тии нет - полотно от фанеры отдирается с трудом и, как правило, в этих местах после снятия полотна шпатлевка остается на фанере.</w:t>
      </w:r>
    </w:p>
    <w:p w14:paraId="4322603F"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Атмосферные условия в весенние месяцы, особенно на Калининском фронте, когда в течение дня многократ</w:t>
      </w:r>
      <w:r w:rsidRPr="008A2E5A">
        <w:rPr>
          <w:rFonts w:ascii="Times New Roman" w:hAnsi="Times New Roman"/>
          <w:color w:val="0070C0"/>
          <w:sz w:val="16"/>
          <w:szCs w:val="16"/>
        </w:rPr>
        <w:softHyphen/>
        <w:t>но выпадают обильные дожди - особенно благоприятст</w:t>
      </w:r>
      <w:r w:rsidRPr="008A2E5A">
        <w:rPr>
          <w:rFonts w:ascii="Times New Roman" w:hAnsi="Times New Roman"/>
          <w:color w:val="0070C0"/>
          <w:sz w:val="16"/>
          <w:szCs w:val="16"/>
        </w:rPr>
        <w:softHyphen/>
        <w:t>вовали этому явлению.</w:t>
      </w:r>
    </w:p>
    <w:p w14:paraId="18D3336C"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Суть этого явления, как серьезного дефекта, далеко распространившегося на большинстве самолетов, со</w:t>
      </w:r>
      <w:r w:rsidRPr="008A2E5A">
        <w:rPr>
          <w:rFonts w:ascii="Times New Roman" w:hAnsi="Times New Roman"/>
          <w:color w:val="0070C0"/>
          <w:sz w:val="16"/>
          <w:szCs w:val="16"/>
        </w:rPr>
        <w:softHyphen/>
        <w:t>стоит в том, что лакокрасочное покрытия, применявши</w:t>
      </w:r>
      <w:r w:rsidRPr="008A2E5A">
        <w:rPr>
          <w:rFonts w:ascii="Times New Roman" w:hAnsi="Times New Roman"/>
          <w:color w:val="0070C0"/>
          <w:sz w:val="16"/>
          <w:szCs w:val="16"/>
        </w:rPr>
        <w:softHyphen/>
        <w:t>еся за последнее время промышленностью, обладают чрезмерной хрупкостью, не выдерживают суровых ис</w:t>
      </w:r>
      <w:r w:rsidRPr="008A2E5A">
        <w:rPr>
          <w:rFonts w:ascii="Times New Roman" w:hAnsi="Times New Roman"/>
          <w:color w:val="0070C0"/>
          <w:sz w:val="16"/>
          <w:szCs w:val="16"/>
        </w:rPr>
        <w:softHyphen/>
        <w:t>пытаний на верхней поверхности крыльев и фюзеляжа в условиях эксплуатации и хранения самолетов на откры</w:t>
      </w:r>
      <w:r w:rsidRPr="008A2E5A">
        <w:rPr>
          <w:rFonts w:ascii="Times New Roman" w:hAnsi="Times New Roman"/>
          <w:color w:val="0070C0"/>
          <w:sz w:val="16"/>
          <w:szCs w:val="16"/>
        </w:rPr>
        <w:softHyphen/>
        <w:t>том воздухе, когда она подвергается прямому действию лучей солнца вперемешку с действием дождей, и растре</w:t>
      </w:r>
      <w:r w:rsidRPr="008A2E5A">
        <w:rPr>
          <w:rFonts w:ascii="Times New Roman" w:hAnsi="Times New Roman"/>
          <w:color w:val="0070C0"/>
          <w:sz w:val="16"/>
          <w:szCs w:val="16"/>
        </w:rPr>
        <w:softHyphen/>
        <w:t>скивается.</w:t>
      </w:r>
    </w:p>
    <w:p w14:paraId="7968643D"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нижних поверхностях крыльев растрескивание ла</w:t>
      </w:r>
      <w:r w:rsidRPr="008A2E5A">
        <w:rPr>
          <w:rFonts w:ascii="Times New Roman" w:hAnsi="Times New Roman"/>
          <w:color w:val="0070C0"/>
          <w:sz w:val="16"/>
          <w:szCs w:val="16"/>
        </w:rPr>
        <w:softHyphen/>
        <w:t>кокрасочных покрытий имеет место только в тех случаях, когда крылья транспортировались по железной дороге в весенние месяцы, и нижняя поверхность в одинаковой мере подвергалась действию лучей солнца и дождей.</w:t>
      </w:r>
    </w:p>
    <w:p w14:paraId="34DA663B"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Через трещины в лакокрасочном покрытии в фанерную обшивку крыла проникает влага, фанера набухает, от на</w:t>
      </w:r>
      <w:r w:rsidRPr="008A2E5A">
        <w:rPr>
          <w:rFonts w:ascii="Times New Roman" w:hAnsi="Times New Roman"/>
          <w:color w:val="0070C0"/>
          <w:sz w:val="16"/>
          <w:szCs w:val="16"/>
        </w:rPr>
        <w:softHyphen/>
        <w:t>бухшей и размокшей фанеры полотно легко отстает вме</w:t>
      </w:r>
      <w:r w:rsidRPr="008A2E5A">
        <w:rPr>
          <w:rFonts w:ascii="Times New Roman" w:hAnsi="Times New Roman"/>
          <w:color w:val="0070C0"/>
          <w:sz w:val="16"/>
          <w:szCs w:val="16"/>
        </w:rPr>
        <w:softHyphen/>
        <w:t>сте со шпатлевкой, и создается положение, угрожающее срывом полотна в полете.</w:t>
      </w:r>
    </w:p>
    <w:p w14:paraId="3990B8D4"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самолетах Як-7Б набухание верхних слоев фане</w:t>
      </w:r>
      <w:r w:rsidRPr="008A2E5A">
        <w:rPr>
          <w:rFonts w:ascii="Times New Roman" w:hAnsi="Times New Roman"/>
          <w:color w:val="0070C0"/>
          <w:sz w:val="16"/>
          <w:szCs w:val="16"/>
        </w:rPr>
        <w:softHyphen/>
        <w:t>ры вызывает незначительное коробление фанерной об</w:t>
      </w:r>
      <w:r w:rsidRPr="008A2E5A">
        <w:rPr>
          <w:rFonts w:ascii="Times New Roman" w:hAnsi="Times New Roman"/>
          <w:color w:val="0070C0"/>
          <w:sz w:val="16"/>
          <w:szCs w:val="16"/>
        </w:rPr>
        <w:softHyphen/>
        <w:t>шивки только в хвостовой части крыла за вторым лон</w:t>
      </w:r>
      <w:r w:rsidRPr="008A2E5A">
        <w:rPr>
          <w:rFonts w:ascii="Times New Roman" w:hAnsi="Times New Roman"/>
          <w:color w:val="0070C0"/>
          <w:sz w:val="16"/>
          <w:szCs w:val="16"/>
        </w:rPr>
        <w:softHyphen/>
        <w:t>жероном.</w:t>
      </w:r>
    </w:p>
    <w:p w14:paraId="000F7D3A"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Причина этого явления заключается, главным обра</w:t>
      </w:r>
      <w:r w:rsidRPr="008A2E5A">
        <w:rPr>
          <w:rFonts w:ascii="Times New Roman" w:hAnsi="Times New Roman"/>
          <w:color w:val="0070C0"/>
          <w:sz w:val="16"/>
          <w:szCs w:val="16"/>
        </w:rPr>
        <w:softHyphen/>
        <w:t>зом, в качестве материалов лакокрасочных покрытий и, в меньшей мере, в возможных отступлениях от приня</w:t>
      </w:r>
      <w:r w:rsidRPr="008A2E5A">
        <w:rPr>
          <w:rFonts w:ascii="Times New Roman" w:hAnsi="Times New Roman"/>
          <w:color w:val="0070C0"/>
          <w:sz w:val="16"/>
          <w:szCs w:val="16"/>
        </w:rPr>
        <w:softHyphen/>
        <w:t>той технологии покрытий. В подтверждение этого заклю</w:t>
      </w:r>
      <w:r w:rsidRPr="008A2E5A">
        <w:rPr>
          <w:rFonts w:ascii="Times New Roman" w:hAnsi="Times New Roman"/>
          <w:color w:val="0070C0"/>
          <w:sz w:val="16"/>
          <w:szCs w:val="16"/>
        </w:rPr>
        <w:softHyphen/>
        <w:t>чения можно привести наблюдавшиеся факты аналогич</w:t>
      </w:r>
      <w:r w:rsidRPr="008A2E5A">
        <w:rPr>
          <w:rFonts w:ascii="Times New Roman" w:hAnsi="Times New Roman"/>
          <w:color w:val="0070C0"/>
          <w:sz w:val="16"/>
          <w:szCs w:val="16"/>
        </w:rPr>
        <w:softHyphen/>
        <w:t>ного характера растрескивания лакокрасочных покры</w:t>
      </w:r>
      <w:r w:rsidRPr="008A2E5A">
        <w:rPr>
          <w:rFonts w:ascii="Times New Roman" w:hAnsi="Times New Roman"/>
          <w:color w:val="0070C0"/>
          <w:sz w:val="16"/>
          <w:szCs w:val="16"/>
        </w:rPr>
        <w:softHyphen/>
        <w:t>тий на верхней поверхности крыльев, деревянного ста</w:t>
      </w:r>
      <w:r w:rsidRPr="008A2E5A">
        <w:rPr>
          <w:rFonts w:ascii="Times New Roman" w:hAnsi="Times New Roman"/>
          <w:color w:val="0070C0"/>
          <w:sz w:val="16"/>
          <w:szCs w:val="16"/>
        </w:rPr>
        <w:softHyphen/>
        <w:t xml:space="preserve">билизатора и гаргрота фюзеляжа, и отставание полотна от фанеры на самолетах выпуска завода №292 №20115, </w:t>
      </w:r>
      <w:r w:rsidRPr="008A2E5A">
        <w:rPr>
          <w:rFonts w:ascii="Times New Roman" w:hAnsi="Times New Roman"/>
          <w:color w:val="0070C0"/>
          <w:sz w:val="16"/>
          <w:szCs w:val="16"/>
        </w:rPr>
        <w:lastRenderedPageBreak/>
        <w:t>40114, 40116, находящихся в одинаковых условиях экс</w:t>
      </w:r>
      <w:r w:rsidRPr="008A2E5A">
        <w:rPr>
          <w:rFonts w:ascii="Times New Roman" w:hAnsi="Times New Roman"/>
          <w:color w:val="0070C0"/>
          <w:sz w:val="16"/>
          <w:szCs w:val="16"/>
        </w:rPr>
        <w:softHyphen/>
        <w:t>плуатации с января 1943 г. в 12-м гиап. А также и тот факт, что в 12-м гиап в начале мая 1943 г. силами мест</w:t>
      </w:r>
      <w:r w:rsidRPr="008A2E5A">
        <w:rPr>
          <w:rFonts w:ascii="Times New Roman" w:hAnsi="Times New Roman"/>
          <w:color w:val="0070C0"/>
          <w:sz w:val="16"/>
          <w:szCs w:val="16"/>
        </w:rPr>
        <w:softHyphen/>
        <w:t>ных ПАРМ была произведена замена лакокрасочного по</w:t>
      </w:r>
      <w:r w:rsidRPr="008A2E5A">
        <w:rPr>
          <w:rFonts w:ascii="Times New Roman" w:hAnsi="Times New Roman"/>
          <w:color w:val="0070C0"/>
          <w:sz w:val="16"/>
          <w:szCs w:val="16"/>
        </w:rPr>
        <w:softHyphen/>
        <w:t>крытия на самолетах 1615314 и 1615308 выпуска завода №153, налетавших 170-175 часов за время эксплуатации около полутора лет, на которых в июне месяце 1943 г., то есть через месяц после смены полотна и лакокрасоч</w:t>
      </w:r>
      <w:r w:rsidRPr="008A2E5A">
        <w:rPr>
          <w:rFonts w:ascii="Times New Roman" w:hAnsi="Times New Roman"/>
          <w:color w:val="0070C0"/>
          <w:sz w:val="16"/>
          <w:szCs w:val="16"/>
        </w:rPr>
        <w:softHyphen/>
        <w:t>ных покрытий на верхней поверхности крыльев, появи</w:t>
      </w:r>
      <w:r w:rsidRPr="008A2E5A">
        <w:rPr>
          <w:rFonts w:ascii="Times New Roman" w:hAnsi="Times New Roman"/>
          <w:color w:val="0070C0"/>
          <w:sz w:val="16"/>
          <w:szCs w:val="16"/>
        </w:rPr>
        <w:softHyphen/>
        <w:t>лись трещины лакокрасочного покрытия крупных и мел</w:t>
      </w:r>
      <w:r w:rsidRPr="008A2E5A">
        <w:rPr>
          <w:rFonts w:ascii="Times New Roman" w:hAnsi="Times New Roman"/>
          <w:color w:val="0070C0"/>
          <w:sz w:val="16"/>
          <w:szCs w:val="16"/>
        </w:rPr>
        <w:softHyphen/>
        <w:t>ких размеров по всей поверхности. Отставания полотна от фанеры пока еще не было, так как влага не успела про</w:t>
      </w:r>
      <w:r w:rsidRPr="008A2E5A">
        <w:rPr>
          <w:rFonts w:ascii="Times New Roman" w:hAnsi="Times New Roman"/>
          <w:color w:val="0070C0"/>
          <w:sz w:val="16"/>
          <w:szCs w:val="16"/>
        </w:rPr>
        <w:softHyphen/>
        <w:t>никнуть внутрь и пропитать фанерную обшивку.</w:t>
      </w:r>
    </w:p>
    <w:p w14:paraId="6D43D63C"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Предупреждение повторения этого дефекта в будущем должно пойти по линии контроля качества поставляемых материалов для лакокрасочных покрытий и системати</w:t>
      </w:r>
      <w:r w:rsidRPr="008A2E5A">
        <w:rPr>
          <w:rFonts w:ascii="Times New Roman" w:hAnsi="Times New Roman"/>
          <w:color w:val="0070C0"/>
          <w:sz w:val="16"/>
          <w:szCs w:val="16"/>
        </w:rPr>
        <w:softHyphen/>
        <w:t>ческих испытаний лакокрасочных покрытий на образцах и изделиях на заводе в условиях, аналогичных условиям эксплуатации самолетов (23381).</w:t>
      </w:r>
    </w:p>
    <w:p w14:paraId="5E7EB687" w14:textId="77777777" w:rsidR="003E1727" w:rsidRPr="008A2E5A" w:rsidRDefault="003E1727" w:rsidP="003E1727">
      <w:pPr>
        <w:spacing w:after="0" w:line="240" w:lineRule="auto"/>
        <w:jc w:val="both"/>
        <w:rPr>
          <w:rFonts w:ascii="Times New Roman" w:hAnsi="Times New Roman"/>
          <w:color w:val="0070C0"/>
          <w:sz w:val="16"/>
          <w:szCs w:val="16"/>
        </w:rPr>
      </w:pPr>
    </w:p>
    <w:p w14:paraId="6E1DDFF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1942 вышло Постановление ГКО № 2066 О вооружении самолетов ЛаГГ-3 и Як-7 пушками калибра 37 мм. РГАНИР, Фонд ГКО, д. 45, лл. 121 (11012).</w:t>
      </w:r>
    </w:p>
    <w:p w14:paraId="0B2595A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EA941D" w14:textId="77777777" w:rsidR="00D113EC" w:rsidRPr="001E2C69" w:rsidRDefault="00D113E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1942 вышло Постановление ГКО № 2066 О вооружении самолетов ЛаГГ-3 и Як-7 пушками калибра 37 мм</w:t>
      </w:r>
    </w:p>
    <w:p w14:paraId="3140E6B7" w14:textId="77777777" w:rsidR="00D113EC" w:rsidRPr="001E2C69" w:rsidRDefault="00D113EC" w:rsidP="00722885">
      <w:pPr>
        <w:tabs>
          <w:tab w:val="left" w:pos="1343"/>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Обязать Наркомавиапром т.Шахурина, директора заво</w:t>
      </w:r>
      <w:r w:rsidRPr="001E2C69">
        <w:rPr>
          <w:rFonts w:ascii="Times New Roman" w:hAnsi="Times New Roman"/>
          <w:color w:val="000000" w:themeColor="text1"/>
          <w:sz w:val="16"/>
          <w:szCs w:val="16"/>
        </w:rPr>
        <w:softHyphen/>
        <w:t>да № 21 т.Гостинцева и директора завода 153 т.Романова и главных конструкторов т.т.Яковлева и Лавочкина:</w:t>
      </w:r>
    </w:p>
    <w:p w14:paraId="21DFCD94" w14:textId="77777777" w:rsidR="00D113EC" w:rsidRPr="001E2C69" w:rsidRDefault="00D113E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выпустить с завода № 21 к 15 августа 20 самолетов и к 1 сентября 1942 г. следующие 20 самолетов Лагг-3 с вооружением - одна пушка калиьра 37 мм с боезапасом в 20 снарядов и один пулемет БС:</w:t>
      </w:r>
    </w:p>
    <w:p w14:paraId="21DE6B1A" w14:textId="77777777" w:rsidR="00D113EC" w:rsidRPr="001E2C69" w:rsidRDefault="00D113E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выпустить с завода 153 к 5 сентября 1942 года 20 самолетов Як-7 с вооружением - одна пушка калибра 37 мм с боезапасом в 20 снарядов и один пулемет БС.</w:t>
      </w:r>
    </w:p>
    <w:p w14:paraId="6CBF9118" w14:textId="77777777" w:rsidR="00D113EC" w:rsidRPr="001E2C69" w:rsidRDefault="00D113EC" w:rsidP="00722885">
      <w:pPr>
        <w:tabs>
          <w:tab w:val="left" w:pos="1365"/>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Поручить т.т.Яковлеву и Лавочкину совместно с т.Шпитальным проверить возможность размещения на самолетах Як-7 и Лагг-3 боекомплекта для пушки 37 мм в 30 снарядов вместо 20 и результаты этой работы доложить ГОКО не позд</w:t>
      </w:r>
      <w:r w:rsidRPr="001E2C69">
        <w:rPr>
          <w:rFonts w:ascii="Times New Roman" w:hAnsi="Times New Roman"/>
          <w:color w:val="000000" w:themeColor="text1"/>
          <w:sz w:val="16"/>
          <w:szCs w:val="16"/>
        </w:rPr>
        <w:softHyphen/>
        <w:t>нее 5 августа 1942 г.</w:t>
      </w:r>
    </w:p>
    <w:p w14:paraId="0C2E3EF5" w14:textId="77777777" w:rsidR="00D113EC" w:rsidRPr="001E2C69" w:rsidRDefault="00D113EC" w:rsidP="00722885">
      <w:pPr>
        <w:tabs>
          <w:tab w:val="left" w:pos="1343"/>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Обязать командующего ВВС Красно» Армии т.Новикова сформировать три истребительных полка на самолетах Лагг-3 и Як-7, вооруженных 37 мм пушкой и пулеметом БС, в следую</w:t>
      </w:r>
      <w:r w:rsidRPr="001E2C69">
        <w:rPr>
          <w:rFonts w:ascii="Times New Roman" w:hAnsi="Times New Roman"/>
          <w:color w:val="000000" w:themeColor="text1"/>
          <w:sz w:val="16"/>
          <w:szCs w:val="16"/>
        </w:rPr>
        <w:softHyphen/>
        <w:t>щие сроки:</w:t>
      </w:r>
    </w:p>
    <w:p w14:paraId="6531EC95" w14:textId="77777777" w:rsidR="00D113EC" w:rsidRPr="001E2C69" w:rsidRDefault="00D113EC" w:rsidP="00722885">
      <w:pPr>
        <w:tabs>
          <w:tab w:val="left" w:pos="360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один полк Лагг-3 - к 20 августа 1942 г.</w:t>
      </w:r>
    </w:p>
    <w:p w14:paraId="474DF715" w14:textId="77777777" w:rsidR="00D113EC" w:rsidRPr="001E2C69" w:rsidRDefault="00D113EC" w:rsidP="00722885">
      <w:pPr>
        <w:tabs>
          <w:tab w:val="left" w:pos="360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один полк Лагг-3 - к 5 сентября 1942г.</w:t>
      </w:r>
    </w:p>
    <w:p w14:paraId="150CAA23" w14:textId="77777777" w:rsidR="00D113EC" w:rsidRPr="001E2C69" w:rsidRDefault="00D113EC" w:rsidP="00722885">
      <w:pPr>
        <w:tabs>
          <w:tab w:val="left" w:pos="360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один полк Як-7 - к 10 сентября 1942 г. (19347).</w:t>
      </w:r>
    </w:p>
    <w:p w14:paraId="21E7BB76" w14:textId="77777777" w:rsidR="00D113EC" w:rsidRPr="001E2C69" w:rsidRDefault="00D113EC"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0F60E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1942 вышло постановления ГКО N ГОКО 2066сс "О вооружении самолетов ЛаГГ-3 и Як-7 пушками калибра 37 мм" (1567,63).</w:t>
      </w:r>
    </w:p>
    <w:p w14:paraId="330653B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74DA5C"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июля 1942 г. Вер</w:t>
      </w:r>
      <w:r w:rsidRPr="008A2E5A">
        <w:rPr>
          <w:rFonts w:ascii="Times New Roman" w:hAnsi="Times New Roman"/>
          <w:color w:val="0070C0"/>
          <w:sz w:val="16"/>
          <w:szCs w:val="16"/>
        </w:rPr>
        <w:softHyphen/>
        <w:t>ховный на 100 машин ЛАГГ-3 с 37 мм пушками согласия не дал. В соот</w:t>
      </w:r>
      <w:r w:rsidRPr="008A2E5A">
        <w:rPr>
          <w:rFonts w:ascii="Times New Roman" w:hAnsi="Times New Roman"/>
          <w:color w:val="0070C0"/>
          <w:sz w:val="16"/>
          <w:szCs w:val="16"/>
        </w:rPr>
        <w:softHyphen/>
        <w:t>ветствии с постановлением ГКО № 2066сс горьковчане к 15 августа и к 1 сентября были должны сдать по 20 ЛаГГ-3, вооруженных 37</w:t>
      </w:r>
      <w:r w:rsidRPr="008A2E5A">
        <w:rPr>
          <w:rFonts w:ascii="Times New Roman" w:hAnsi="Times New Roman"/>
          <w:color w:val="0070C0"/>
          <w:sz w:val="16"/>
          <w:szCs w:val="16"/>
        </w:rPr>
        <w:softHyphen/>
        <w:t>мм пушкой Шпитального с боекомплектом 20 снарядов и пулеметом БС. По действовавшему на тот момент штату 015/174 этого количества самолетов хватало на укомплектование двух истребительных полков. Кроме того, 20 Як-7 с 37-мм пушками Шпитального к 5 сентября должен был изготовить 153-й завод.</w:t>
      </w:r>
    </w:p>
    <w:p w14:paraId="43E9D171" w14:textId="77777777" w:rsidR="003E1727" w:rsidRPr="008A2E5A" w:rsidRDefault="003E1727" w:rsidP="003E172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Командующему ВВС генерал-лейтенанту Новикову было поручено сформировать три авиаполка, соответственно, 20 августа, 5 и 10 сентября. Можно сказать, что Б.Г. Шпитальный получил «свою» дивизию. Правда, яс</w:t>
      </w:r>
      <w:r w:rsidRPr="008A2E5A">
        <w:rPr>
          <w:rFonts w:ascii="Times New Roman" w:hAnsi="Times New Roman"/>
          <w:color w:val="0070C0"/>
          <w:sz w:val="16"/>
          <w:szCs w:val="16"/>
        </w:rPr>
        <w:softHyphen/>
        <w:t>ность есть только по «Якам». Они достались 42 ИАП Шинкаренко. Первые 10 ЛаГГ-3 весенне</w:t>
      </w:r>
      <w:r w:rsidRPr="008A2E5A">
        <w:rPr>
          <w:rFonts w:ascii="Times New Roman" w:hAnsi="Times New Roman"/>
          <w:color w:val="0070C0"/>
          <w:sz w:val="16"/>
          <w:szCs w:val="16"/>
        </w:rPr>
        <w:softHyphen/>
        <w:t>го «транша» относились в основном к 30-й серии и, скорее всего, тоже пошли на пополне</w:t>
      </w:r>
      <w:r w:rsidRPr="008A2E5A">
        <w:rPr>
          <w:rFonts w:ascii="Times New Roman" w:hAnsi="Times New Roman"/>
          <w:color w:val="0070C0"/>
          <w:sz w:val="16"/>
          <w:szCs w:val="16"/>
        </w:rPr>
        <w:softHyphen/>
        <w:t>ние 42 ИАП. Сколько же всего ЛаГГ-3 было по</w:t>
      </w:r>
      <w:r w:rsidRPr="008A2E5A">
        <w:rPr>
          <w:rFonts w:ascii="Times New Roman" w:hAnsi="Times New Roman"/>
          <w:color w:val="0070C0"/>
          <w:sz w:val="16"/>
          <w:szCs w:val="16"/>
        </w:rPr>
        <w:softHyphen/>
        <w:t>строено по постановлению № 2066сс пока до</w:t>
      </w:r>
      <w:r w:rsidRPr="008A2E5A">
        <w:rPr>
          <w:rFonts w:ascii="Times New Roman" w:hAnsi="Times New Roman"/>
          <w:color w:val="0070C0"/>
          <w:sz w:val="16"/>
          <w:szCs w:val="16"/>
        </w:rPr>
        <w:softHyphen/>
        <w:t>подлинно неизвестно. По достаточно квали</w:t>
      </w:r>
      <w:r w:rsidRPr="008A2E5A">
        <w:rPr>
          <w:rFonts w:ascii="Times New Roman" w:hAnsi="Times New Roman"/>
          <w:color w:val="0070C0"/>
          <w:sz w:val="16"/>
          <w:szCs w:val="16"/>
        </w:rPr>
        <w:softHyphen/>
        <w:t>фицированным воспоминаниям ветеранов, еще одной войсковой частью, получившей ЛаГГ-3 с пушками Шпитального, был 291 ИАП, оснащенный этими машинами во 2 ЗИАП Мос</w:t>
      </w:r>
      <w:r w:rsidRPr="008A2E5A">
        <w:rPr>
          <w:rFonts w:ascii="Times New Roman" w:hAnsi="Times New Roman"/>
          <w:color w:val="0070C0"/>
          <w:sz w:val="16"/>
          <w:szCs w:val="16"/>
        </w:rPr>
        <w:softHyphen/>
        <w:t>ковского ВО на станции Сейма Горьковской области. 17 сентября 1942 года полк прибыл под Сталинград и вошел в состав 220 ИАД. Не смотря на переход завода № 21 на выпуск Ла- 5, 34-я серия, в которой строили ЛаГГ-3-37, по количеству машин была вполне полноценной. По крайней мере, удалось найти документаль</w:t>
      </w:r>
      <w:r w:rsidRPr="008A2E5A">
        <w:rPr>
          <w:rFonts w:ascii="Times New Roman" w:hAnsi="Times New Roman"/>
          <w:color w:val="0070C0"/>
          <w:sz w:val="16"/>
          <w:szCs w:val="16"/>
        </w:rPr>
        <w:softHyphen/>
        <w:t>ной подтверждение, что в ней насчитывалось не менее 83 самолетов. К сожалению, пока из</w:t>
      </w:r>
      <w:r w:rsidRPr="008A2E5A">
        <w:rPr>
          <w:rFonts w:ascii="Times New Roman" w:hAnsi="Times New Roman"/>
          <w:color w:val="0070C0"/>
          <w:sz w:val="16"/>
          <w:szCs w:val="16"/>
        </w:rPr>
        <w:softHyphen/>
        <w:t>вестны серийные номера лишь четырех машин с пушками 37 мм (23409).</w:t>
      </w:r>
    </w:p>
    <w:p w14:paraId="7C14A39B" w14:textId="77777777" w:rsidR="003E1727" w:rsidRPr="008A2E5A" w:rsidRDefault="003E1727" w:rsidP="003E1727">
      <w:pPr>
        <w:spacing w:after="0" w:line="240" w:lineRule="auto"/>
        <w:jc w:val="both"/>
        <w:rPr>
          <w:rFonts w:ascii="Times New Roman" w:hAnsi="Times New Roman"/>
          <w:color w:val="0070C0"/>
          <w:sz w:val="16"/>
          <w:szCs w:val="16"/>
        </w:rPr>
      </w:pPr>
    </w:p>
    <w:p w14:paraId="14C76C3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1942 вышел приказ НКАП N 548с в целях обеспечения отработки гусеничного шасси к самолету ПС-84 и проверки его эксплуатационных качеств:</w:t>
      </w:r>
    </w:p>
    <w:p w14:paraId="418FBC7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Директору завода 84 А.М.Ярунину и нач. КО И.П.Мосолову изготовить и передать на летные испытания к 15 октября с.г. три комплекта гусеничного шасси для самолета ПС-84 с введением всех улучшений, вытекающих из результатов предварительных испытаний гусениц, проведенных в 1941 (1568,78).</w:t>
      </w:r>
    </w:p>
    <w:p w14:paraId="423F1C4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2D400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1942 вышел приказ НКАП N 543с в соответствии с постановлением Военного Совета ВДВ от 23 апреля 1942:</w:t>
      </w:r>
    </w:p>
    <w:p w14:paraId="04FD99F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По планеру Г-11 конструкции Грибовского:</w:t>
      </w:r>
    </w:p>
    <w:p w14:paraId="100881A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Производство учебных планеров и планеров парашютной подготовки Г-11 сосредоточить на завода 471</w:t>
      </w:r>
    </w:p>
    <w:p w14:paraId="3161E2B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обеспечить изготовление и сдачу в счет программы 3 кв.:</w:t>
      </w:r>
    </w:p>
    <w:p w14:paraId="13436F8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учебных планеров - 10 и планеров парашютной подготовки - 12, в сентябре - 10 и 13</w:t>
      </w:r>
    </w:p>
    <w:p w14:paraId="1D1A813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По планеру А-7 О.К.А.</w:t>
      </w:r>
    </w:p>
    <w:p w14:paraId="1CDBAF1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Производство учебных планеров сосредоточить на заводе 445</w:t>
      </w:r>
    </w:p>
    <w:p w14:paraId="32D7C65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Директору завода 445 Петровскому обеспечить выпуск в июле 10, в августе - 16, в сентябре - 7 (1568,15).</w:t>
      </w:r>
    </w:p>
    <w:p w14:paraId="1AE1B78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4B66E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1942 вышел приказ НКАП N 550с согласно решения Военсовета ВВС от 4 мая 1942 по изготовлению учебно-штурманских планеров:</w:t>
      </w:r>
    </w:p>
    <w:p w14:paraId="47B86F9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ГК и директору завода 471 Грибовскому оборудовать для обучения летного состава ВВС два серийных планера Г-11 под учебно-штурманский вариант, согласно ТТТ ВВС</w:t>
      </w:r>
    </w:p>
    <w:p w14:paraId="099E818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Срок изготовления и сдачи на летные испытания 2-х УТП установить 15 августа 1942</w:t>
      </w:r>
    </w:p>
    <w:p w14:paraId="20DBC0F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Директору завода 241 Рафаэлянц оборудовать по чертежам О.К.А. для обучения летного состава ВВС два серийных А-7 под учебно-штурманский вариант, согласно ТТТ ВВС</w:t>
      </w:r>
    </w:p>
    <w:p w14:paraId="2986313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Срок изготовления и сдачи на летные испытания 2-х УТП установить 15 августа 1942 (1568,97).</w:t>
      </w:r>
    </w:p>
    <w:p w14:paraId="1C1B36B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0EF09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1942 г. вышла директива ВВС № 340097, которая потребовала подготовить звено автожиров из двух машин для формирования 36-й отдельной корректировочной эскадрильи на Кали</w:t>
      </w:r>
      <w:r w:rsidRPr="001E2C69">
        <w:rPr>
          <w:rFonts w:ascii="Times New Roman" w:hAnsi="Times New Roman"/>
          <w:color w:val="000000" w:themeColor="text1"/>
          <w:sz w:val="16"/>
          <w:szCs w:val="16"/>
        </w:rPr>
        <w:softHyphen/>
        <w:t>нинском фронте. Но в тот же день одна из них потерпела аварию, так как при взлете обороты ротора не нарастали и она не набирала высоту. Воен</w:t>
      </w:r>
      <w:r w:rsidRPr="001E2C69">
        <w:rPr>
          <w:rFonts w:ascii="Times New Roman" w:hAnsi="Times New Roman"/>
          <w:color w:val="000000" w:themeColor="text1"/>
          <w:sz w:val="16"/>
          <w:szCs w:val="16"/>
        </w:rPr>
        <w:softHyphen/>
        <w:t>ные связывали аварии с увеличением веса и аэродинамического сопротив</w:t>
      </w:r>
      <w:r w:rsidRPr="001E2C69">
        <w:rPr>
          <w:rFonts w:ascii="Times New Roman" w:hAnsi="Times New Roman"/>
          <w:color w:val="000000" w:themeColor="text1"/>
          <w:sz w:val="16"/>
          <w:szCs w:val="16"/>
        </w:rPr>
        <w:softHyphen/>
        <w:t>ления отремонтированных автожиров (10224,56).</w:t>
      </w:r>
    </w:p>
    <w:p w14:paraId="67315A4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A69FF8"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1942 г. один автожир потерпел аварию на станции Ухтомская, на ликвидацию которой по</w:t>
      </w:r>
      <w:r w:rsidRPr="001E2C69">
        <w:rPr>
          <w:rFonts w:ascii="Times New Roman" w:hAnsi="Times New Roman"/>
          <w:color w:val="000000" w:themeColor="text1"/>
          <w:sz w:val="16"/>
          <w:szCs w:val="16"/>
        </w:rPr>
        <w:softHyphen/>
        <w:t>надобилось 6 дней. 26 июля подполковник Кошиц провел дополнительные контрольные испытания имеющихся двух машин. По его мнению, к полноценным полетам годился только один экземпляр. В результате, 30 июля последова</w:t>
      </w:r>
      <w:r w:rsidRPr="001E2C69">
        <w:rPr>
          <w:rFonts w:ascii="Times New Roman" w:hAnsi="Times New Roman"/>
          <w:color w:val="000000" w:themeColor="text1"/>
          <w:sz w:val="16"/>
          <w:szCs w:val="16"/>
        </w:rPr>
        <w:softHyphen/>
        <w:t>ло решение ВВС о прекращении формирования автожир- ного соединения по причине отсутствия исправных лета</w:t>
      </w:r>
      <w:r w:rsidRPr="001E2C69">
        <w:rPr>
          <w:rFonts w:ascii="Times New Roman" w:hAnsi="Times New Roman"/>
          <w:color w:val="000000" w:themeColor="text1"/>
          <w:sz w:val="16"/>
          <w:szCs w:val="16"/>
        </w:rPr>
        <w:softHyphen/>
        <w:t>тельных аппаратов. Все это свидетельствовало, что карь</w:t>
      </w:r>
      <w:r w:rsidRPr="001E2C69">
        <w:rPr>
          <w:rFonts w:ascii="Times New Roman" w:hAnsi="Times New Roman"/>
          <w:color w:val="000000" w:themeColor="text1"/>
          <w:sz w:val="16"/>
          <w:szCs w:val="16"/>
        </w:rPr>
        <w:softHyphen/>
        <w:t>ера автожира А-7 закончилась.</w:t>
      </w:r>
    </w:p>
    <w:p w14:paraId="5953F53D"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Последние события в судьбе А-7 практически совпали с последовавшим письмом генерал-полковника Воронова на имя заместителя наркома авиапромышленности Яковлева. В своем письме Воронов обвинял главного конструктора Камова в выпуске недоброкачественной техники и требо</w:t>
      </w:r>
      <w:r w:rsidRPr="001E2C69">
        <w:rPr>
          <w:rFonts w:ascii="Times New Roman" w:hAnsi="Times New Roman"/>
          <w:color w:val="000000" w:themeColor="text1"/>
          <w:sz w:val="16"/>
          <w:szCs w:val="16"/>
        </w:rPr>
        <w:softHyphen/>
        <w:t>вал предать его суду. В прилагавшейся справке указыва</w:t>
      </w:r>
      <w:r w:rsidRPr="001E2C69">
        <w:rPr>
          <w:rFonts w:ascii="Times New Roman" w:hAnsi="Times New Roman"/>
          <w:color w:val="000000" w:themeColor="text1"/>
          <w:sz w:val="16"/>
          <w:szCs w:val="16"/>
        </w:rPr>
        <w:softHyphen/>
        <w:t>лось, что автожир А-7 доводился в течение восьми лет, од</w:t>
      </w:r>
      <w:r w:rsidRPr="001E2C69">
        <w:rPr>
          <w:rFonts w:ascii="Times New Roman" w:hAnsi="Times New Roman"/>
          <w:color w:val="000000" w:themeColor="text1"/>
          <w:sz w:val="16"/>
          <w:szCs w:val="16"/>
        </w:rPr>
        <w:softHyphen/>
        <w:t>нако так и не достиг уровня запланированных характери</w:t>
      </w:r>
      <w:r w:rsidRPr="001E2C69">
        <w:rPr>
          <w:rFonts w:ascii="Times New Roman" w:hAnsi="Times New Roman"/>
          <w:color w:val="000000" w:themeColor="text1"/>
          <w:sz w:val="16"/>
          <w:szCs w:val="16"/>
        </w:rPr>
        <w:softHyphen/>
        <w:t>стик. Далее утверждалось, что за время пребывания на фронте эскадрилья автожиров не выполнила ни одного бо</w:t>
      </w:r>
      <w:r w:rsidRPr="001E2C69">
        <w:rPr>
          <w:rFonts w:ascii="Times New Roman" w:hAnsi="Times New Roman"/>
          <w:color w:val="000000" w:themeColor="text1"/>
          <w:sz w:val="16"/>
          <w:szCs w:val="16"/>
        </w:rPr>
        <w:softHyphen/>
        <w:t>евого вылета.</w:t>
      </w:r>
    </w:p>
    <w:p w14:paraId="04F400A7" w14:textId="77777777" w:rsidR="00087D2F" w:rsidRPr="001E2C69" w:rsidRDefault="00087D2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Было очевидно, что указанное послание заместителя наркома обороны Воронова не было лишено неточностей и даже отрицало объективные факты. В указанных об</w:t>
      </w:r>
      <w:r w:rsidRPr="001E2C69">
        <w:rPr>
          <w:rFonts w:ascii="Times New Roman" w:hAnsi="Times New Roman"/>
          <w:color w:val="000000" w:themeColor="text1"/>
          <w:sz w:val="16"/>
          <w:szCs w:val="16"/>
        </w:rPr>
        <w:softHyphen/>
        <w:t>стоятельствах Яковлев вступился за Камова, мотивируя все неудачи сложностью и новизной дела. В ответном письме Воронову и в прокуратуру Яковлев оценил обвинение как необоснованное, чем спас Камова от крупных неприятно</w:t>
      </w:r>
      <w:r w:rsidRPr="001E2C69">
        <w:rPr>
          <w:rFonts w:ascii="Times New Roman" w:hAnsi="Times New Roman"/>
          <w:color w:val="000000" w:themeColor="text1"/>
          <w:sz w:val="16"/>
          <w:szCs w:val="16"/>
        </w:rPr>
        <w:softHyphen/>
        <w:t>стей. Однако работы по автожирам с этого момента в Со</w:t>
      </w:r>
      <w:r w:rsidRPr="001E2C69">
        <w:rPr>
          <w:rFonts w:ascii="Times New Roman" w:hAnsi="Times New Roman"/>
          <w:color w:val="000000" w:themeColor="text1"/>
          <w:sz w:val="16"/>
          <w:szCs w:val="16"/>
        </w:rPr>
        <w:softHyphen/>
        <w:t>ветском Союзе окончательно прекратили. Завод в Би</w:t>
      </w:r>
      <w:r w:rsidRPr="001E2C69">
        <w:rPr>
          <w:rFonts w:ascii="Times New Roman" w:hAnsi="Times New Roman"/>
          <w:color w:val="000000" w:themeColor="text1"/>
          <w:sz w:val="16"/>
          <w:szCs w:val="16"/>
        </w:rPr>
        <w:softHyphen/>
        <w:t>лимбае перепрофилировали для ремонта поврежденной техники и выпуска необходимой для фронта продукции (20361).</w:t>
      </w:r>
    </w:p>
    <w:p w14:paraId="1FC9B1D4" w14:textId="77777777" w:rsidR="00087D2F" w:rsidRPr="001E2C69" w:rsidRDefault="00087D2F" w:rsidP="00722885">
      <w:pPr>
        <w:shd w:val="clear" w:color="auto" w:fill="FFFFFF"/>
        <w:spacing w:after="0" w:line="240" w:lineRule="auto"/>
        <w:jc w:val="both"/>
        <w:rPr>
          <w:rFonts w:ascii="Times New Roman" w:hAnsi="Times New Roman"/>
          <w:color w:val="000000" w:themeColor="text1"/>
          <w:sz w:val="16"/>
          <w:szCs w:val="16"/>
        </w:rPr>
      </w:pPr>
    </w:p>
    <w:p w14:paraId="6B60315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1942 года на основании приказа НКАП № 546с и 24 июня 1942 года на основании приказа НКАП № 464с во исполнение Постановления Правительства от 14 июня 1942 года из фронтовых мастерских по ремонту авиационных радиаторов был организовани завод № 124. Фронтовые мастерские были созданы на базе промплощадей бывш. завода № 34, эвакуированного на основании приказа НКАП № 1057сс от 10 октября 1941 года в Троицк (9433).</w:t>
      </w:r>
    </w:p>
    <w:p w14:paraId="6451227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A3AC2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1942 вышел приказ НКАП N 546с в дополнение к приказу N 464с от 24 июня 1942 в целях быстрейшего восстановления завода по производству радиаторов на площадях бывшего завода 34 (1568,48).</w:t>
      </w:r>
    </w:p>
    <w:p w14:paraId="7D10699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Вновь организованному з-ду на площадях бывшего з-да 34 присвоить № 124 и впредь именовать ГСЗ № 124”, подчинив 2 ГУ.</w:t>
      </w:r>
    </w:p>
    <w:p w14:paraId="79AF0D9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Шахурин (1568, 48).</w:t>
      </w:r>
    </w:p>
    <w:p w14:paraId="4BA8FD9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15A2C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20 июля 1942 года Приказом № 546с вновь организованному заводу на площадях бывш. завода № 34 был присвоен № 124 и впредь именовался заводом № 124 НКАП (9434).</w:t>
      </w:r>
    </w:p>
    <w:p w14:paraId="3212C87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A0859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20 июля 1942 г. Отчет по испыт. винта Винт Ротол. </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3404"/>
        <w:gridCol w:w="1699"/>
        <w:gridCol w:w="1787"/>
        <w:gridCol w:w="3985"/>
      </w:tblGrid>
      <w:tr w:rsidR="001E2C69" w:rsidRPr="001E2C69" w14:paraId="562BADB6" w14:textId="77777777" w:rsidTr="00CC5360">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4A3108CE" w14:textId="3395C148"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 xml:space="preserve">Винт Ротол. </w:t>
            </w:r>
            <w:r w:rsidR="001E2C69">
              <w:rPr>
                <w:rFonts w:ascii="Times New Roman" w:hAnsi="Times New Roman"/>
                <w:bCs/>
                <w:color w:val="000000" w:themeColor="text1"/>
                <w:sz w:val="16"/>
                <w:szCs w:val="16"/>
              </w:rPr>
              <w:t xml:space="preserve">      </w:t>
            </w:r>
            <w:r w:rsidRPr="001E2C69">
              <w:rPr>
                <w:rFonts w:ascii="Times New Roman" w:hAnsi="Times New Roman"/>
                <w:bCs/>
                <w:color w:val="000000" w:themeColor="text1"/>
                <w:sz w:val="16"/>
                <w:szCs w:val="16"/>
              </w:rPr>
              <w:t xml:space="preserve"> Производства фирмы Ротол.</w:t>
            </w:r>
          </w:p>
        </w:tc>
      </w:tr>
      <w:tr w:rsidR="001E2C69" w:rsidRPr="001E2C69" w14:paraId="069DE405"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4B4080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69A466A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3040A4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Предназначен для</w:t>
            </w:r>
          </w:p>
          <w:p w14:paraId="2D0A792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05D63AE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Харрикейн-II с мот. "Мерлин" ХХ</w:t>
            </w:r>
          </w:p>
        </w:tc>
      </w:tr>
      <w:tr w:rsidR="001E2C69" w:rsidRPr="001E2C69" w14:paraId="29D44274"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241473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4D55FA0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двухсторонняя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6667BF1"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4ADC7BB"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1E0ABCF4"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F0616B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37A305C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0421C18C"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2C12631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CFF8CB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12C7466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дерево</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1E43D5A"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020FD8C4"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86F2D9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3C34BCF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3,43</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E432C85"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22595E2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4FB80A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2F82D83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320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9AD8F25"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0FCBF844"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97CC9B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Относительная толщина лопасти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235448E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9,7</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37CA4D2"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435A5E24"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EFFF27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5C04933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Clark-Y</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68FBD35"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3ACC3F2D"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CDA544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5EE039C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B1474A8"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22AE3D1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8A07BA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Минимальный установочный угол</w:t>
            </w:r>
          </w:p>
          <w:p w14:paraId="4FB3F15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453E30E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DE704C0"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3C12709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16AD1F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4A0570B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DC28FC6"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3AA4774F"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A769D5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37EBA7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134</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FC45958"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437E185B"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281F29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5E4412A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2850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48C3FF2"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2BA234E8"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779353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5FFAACB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0,42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EC08B06"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1386EAE3"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8D465F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5757E18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правое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175135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Состояние</w:t>
            </w:r>
          </w:p>
          <w:p w14:paraId="637331F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5550B04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Находится в эксплоатации на самолетах Харрикейн-II.</w:t>
            </w:r>
          </w:p>
        </w:tc>
      </w:tr>
      <w:tr w:rsidR="001E2C69" w:rsidRPr="001E2C69" w14:paraId="0B503C3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9EDB33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6F006FD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Ротол</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ED03DEF"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5E4F323"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60E957A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021D94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D9A2CF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SAE-50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EBC29AB"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3975D77"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33724C9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2D37435"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51E025A"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5B4CFC2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Источник сведений: Отчет по испыт. винта от 20.7.42 г.</w:t>
            </w:r>
          </w:p>
        </w:tc>
      </w:tr>
    </w:tbl>
    <w:p w14:paraId="42F22B2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(12227).</w:t>
      </w:r>
    </w:p>
    <w:p w14:paraId="5F6F5F1F"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EA1192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20 июля 1942 г. Отчет по испыт. винта Винт ВИШ-61ИФ </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3365"/>
        <w:gridCol w:w="1679"/>
        <w:gridCol w:w="1766"/>
        <w:gridCol w:w="4065"/>
      </w:tblGrid>
      <w:tr w:rsidR="001E2C69" w:rsidRPr="001E2C69" w14:paraId="30E9CB9D" w14:textId="77777777" w:rsidTr="00CC5360">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154FC94A" w14:textId="59F86A18"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 xml:space="preserve">Винт ВИШ-61ИФ. </w:t>
            </w:r>
            <w:r w:rsidR="001E2C69">
              <w:rPr>
                <w:rFonts w:ascii="Times New Roman" w:hAnsi="Times New Roman"/>
                <w:bCs/>
                <w:color w:val="000000" w:themeColor="text1"/>
                <w:sz w:val="16"/>
                <w:szCs w:val="16"/>
              </w:rPr>
              <w:t xml:space="preserve">      </w:t>
            </w:r>
            <w:r w:rsidRPr="001E2C69">
              <w:rPr>
                <w:rFonts w:ascii="Times New Roman" w:hAnsi="Times New Roman"/>
                <w:bCs/>
                <w:color w:val="000000" w:themeColor="text1"/>
                <w:sz w:val="16"/>
                <w:szCs w:val="16"/>
              </w:rPr>
              <w:t xml:space="preserve"> Производство завода № 28. </w:t>
            </w:r>
            <w:r w:rsidR="001E2C69">
              <w:rPr>
                <w:rFonts w:ascii="Times New Roman" w:hAnsi="Times New Roman"/>
                <w:bCs/>
                <w:color w:val="000000" w:themeColor="text1"/>
                <w:sz w:val="16"/>
                <w:szCs w:val="16"/>
              </w:rPr>
              <w:t xml:space="preserve">      </w:t>
            </w:r>
            <w:r w:rsidRPr="001E2C69">
              <w:rPr>
                <w:rFonts w:ascii="Times New Roman" w:hAnsi="Times New Roman"/>
                <w:bCs/>
                <w:color w:val="000000" w:themeColor="text1"/>
                <w:sz w:val="16"/>
                <w:szCs w:val="16"/>
              </w:rPr>
              <w:t xml:space="preserve"> Конструктор Кузьмин.</w:t>
            </w:r>
          </w:p>
        </w:tc>
      </w:tr>
      <w:tr w:rsidR="001E2C69" w:rsidRPr="001E2C69" w14:paraId="6BE1808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435149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5362999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08AA7E4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Предназначен для</w:t>
            </w:r>
          </w:p>
          <w:p w14:paraId="0FBA8C5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02A76BD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Ил-4 с 2М-88Б</w:t>
            </w:r>
          </w:p>
        </w:tc>
      </w:tr>
      <w:tr w:rsidR="001E2C69" w:rsidRPr="001E2C69" w14:paraId="7935FC3C"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50BCDC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70E3027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обратная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FE29CFF"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3ADAF97"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7A1A7FE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71A757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3D19572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103270B5"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408DFE69"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5AAC5C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6372F22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дюраль</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BC0DA92"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222615BD"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265E72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3A6170F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736F371"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254DA29F"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A1CA56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28029E5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7821ADF"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13F5270C"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E647DC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Относительная толщина лопасти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603A618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ABD871D"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3C02561D"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EE7C41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5C5A59D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135120E"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014BDE33"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0AE64C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7D5C589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ABF8B32"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34931D39"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698069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Минимальный установочный угол</w:t>
            </w:r>
          </w:p>
          <w:p w14:paraId="2142CF2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1B12558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968CD27"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106D6D7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AD4D53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203AF9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272FD56"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1840525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10C271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A43D60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7768103"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3D99200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6A2BB9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5C02E18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2375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593AE78"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30A04833"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66EEF9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58E9F9B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0,666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31D2850"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6F567386"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FFE9CC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35D1466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левое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3885A0A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Состояние</w:t>
            </w:r>
          </w:p>
          <w:p w14:paraId="7971D17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1E7E443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Винт испытания прошел удовлетворительно в 1942 году</w:t>
            </w:r>
          </w:p>
          <w:p w14:paraId="6D0B8E1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Находится в эксплоатации и в серийном производстве.</w:t>
            </w:r>
          </w:p>
        </w:tc>
      </w:tr>
      <w:tr w:rsidR="001E2C69" w:rsidRPr="001E2C69" w14:paraId="09720F6D"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29AC90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671DDF7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011AEBF"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1698DCF"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76D89D2D"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7C685D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160865C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SAF</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B34C494"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2663A55"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095965F7"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F12C06E"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D6D2A2E"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1FF8080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Источник сведений: Отчет по испыт. винта от 20.7.42 г.</w:t>
            </w:r>
          </w:p>
        </w:tc>
      </w:tr>
    </w:tbl>
    <w:p w14:paraId="45A971A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(12227).</w:t>
      </w:r>
    </w:p>
    <w:p w14:paraId="1079BAA2"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8F99DB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1942 г. Отчет по испыт. винта Винт ВИШ-61В.</w:t>
      </w:r>
    </w:p>
    <w:tbl>
      <w:tblPr>
        <w:tblW w:w="4800" w:type="pct"/>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4A0" w:firstRow="1" w:lastRow="0" w:firstColumn="1" w:lastColumn="0" w:noHBand="0" w:noVBand="1"/>
      </w:tblPr>
      <w:tblGrid>
        <w:gridCol w:w="3365"/>
        <w:gridCol w:w="1679"/>
        <w:gridCol w:w="1766"/>
        <w:gridCol w:w="4065"/>
      </w:tblGrid>
      <w:tr w:rsidR="001E2C69" w:rsidRPr="001E2C69" w14:paraId="04D9B577" w14:textId="77777777" w:rsidTr="00CC5360">
        <w:trPr>
          <w:tblCellSpacing w:w="7" w:type="dxa"/>
          <w:jc w:val="center"/>
        </w:trPr>
        <w:tc>
          <w:tcPr>
            <w:tcW w:w="0" w:type="auto"/>
            <w:gridSpan w:val="4"/>
            <w:vAlign w:val="center"/>
            <w:hideMark/>
          </w:tcPr>
          <w:p w14:paraId="0B242630" w14:textId="1B2254EA"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 xml:space="preserve">Винт ВИШ-61В. </w:t>
            </w:r>
            <w:r w:rsidR="001E2C69">
              <w:rPr>
                <w:rFonts w:ascii="Times New Roman" w:hAnsi="Times New Roman"/>
                <w:bCs/>
                <w:color w:val="000000" w:themeColor="text1"/>
                <w:sz w:val="16"/>
                <w:szCs w:val="16"/>
              </w:rPr>
              <w:t xml:space="preserve">      </w:t>
            </w:r>
            <w:r w:rsidRPr="001E2C69">
              <w:rPr>
                <w:rFonts w:ascii="Times New Roman" w:hAnsi="Times New Roman"/>
                <w:bCs/>
                <w:color w:val="000000" w:themeColor="text1"/>
                <w:sz w:val="16"/>
                <w:szCs w:val="16"/>
              </w:rPr>
              <w:t xml:space="preserve"> Производство завода № 28. </w:t>
            </w:r>
            <w:r w:rsidR="001E2C69">
              <w:rPr>
                <w:rFonts w:ascii="Times New Roman" w:hAnsi="Times New Roman"/>
                <w:bCs/>
                <w:color w:val="000000" w:themeColor="text1"/>
                <w:sz w:val="16"/>
                <w:szCs w:val="16"/>
              </w:rPr>
              <w:t xml:space="preserve">      </w:t>
            </w:r>
            <w:r w:rsidRPr="001E2C69">
              <w:rPr>
                <w:rFonts w:ascii="Times New Roman" w:hAnsi="Times New Roman"/>
                <w:bCs/>
                <w:color w:val="000000" w:themeColor="text1"/>
                <w:sz w:val="16"/>
                <w:szCs w:val="16"/>
              </w:rPr>
              <w:t xml:space="preserve"> Конструктор Кузьмин.</w:t>
            </w:r>
          </w:p>
        </w:tc>
      </w:tr>
      <w:tr w:rsidR="001E2C69" w:rsidRPr="001E2C69" w14:paraId="4AC72659" w14:textId="77777777" w:rsidTr="00CC5360">
        <w:trPr>
          <w:tblCellSpacing w:w="7" w:type="dxa"/>
          <w:jc w:val="center"/>
        </w:trPr>
        <w:tc>
          <w:tcPr>
            <w:tcW w:w="0" w:type="auto"/>
            <w:vAlign w:val="center"/>
            <w:hideMark/>
          </w:tcPr>
          <w:p w14:paraId="2F13484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Тип винта</w:t>
            </w:r>
          </w:p>
        </w:tc>
        <w:tc>
          <w:tcPr>
            <w:tcW w:w="0" w:type="auto"/>
            <w:vAlign w:val="center"/>
            <w:hideMark/>
          </w:tcPr>
          <w:p w14:paraId="11C8D8E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гидравлическ. автомат</w:t>
            </w:r>
          </w:p>
        </w:tc>
        <w:tc>
          <w:tcPr>
            <w:tcW w:w="0" w:type="auto"/>
            <w:vMerge w:val="restart"/>
            <w:vAlign w:val="center"/>
            <w:hideMark/>
          </w:tcPr>
          <w:p w14:paraId="6135311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Предназначен для</w:t>
            </w:r>
          </w:p>
          <w:p w14:paraId="50A8204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установки на самолетах</w:t>
            </w:r>
          </w:p>
        </w:tc>
        <w:tc>
          <w:tcPr>
            <w:tcW w:w="0" w:type="auto"/>
            <w:vMerge w:val="restart"/>
            <w:vAlign w:val="center"/>
            <w:hideMark/>
          </w:tcPr>
          <w:p w14:paraId="5CEB527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Пе-8 с 4АМ-35А</w:t>
            </w:r>
          </w:p>
        </w:tc>
      </w:tr>
      <w:tr w:rsidR="001E2C69" w:rsidRPr="001E2C69" w14:paraId="382BB9F5" w14:textId="77777777" w:rsidTr="00CC5360">
        <w:trPr>
          <w:tblCellSpacing w:w="7" w:type="dxa"/>
          <w:jc w:val="center"/>
        </w:trPr>
        <w:tc>
          <w:tcPr>
            <w:tcW w:w="0" w:type="auto"/>
            <w:vAlign w:val="center"/>
            <w:hideMark/>
          </w:tcPr>
          <w:p w14:paraId="551707F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Схема действия</w:t>
            </w:r>
          </w:p>
        </w:tc>
        <w:tc>
          <w:tcPr>
            <w:tcW w:w="0" w:type="auto"/>
            <w:vAlign w:val="center"/>
            <w:hideMark/>
          </w:tcPr>
          <w:p w14:paraId="6F9A3EB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обратная</w:t>
            </w:r>
          </w:p>
        </w:tc>
        <w:tc>
          <w:tcPr>
            <w:tcW w:w="0" w:type="auto"/>
            <w:vMerge/>
            <w:vAlign w:val="center"/>
            <w:hideMark/>
          </w:tcPr>
          <w:p w14:paraId="0B64C91A"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0" w:type="auto"/>
            <w:vMerge/>
            <w:vAlign w:val="center"/>
            <w:hideMark/>
          </w:tcPr>
          <w:p w14:paraId="34839D06"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00CB6114" w14:textId="77777777" w:rsidTr="00CC5360">
        <w:trPr>
          <w:tblCellSpacing w:w="7" w:type="dxa"/>
          <w:jc w:val="center"/>
        </w:trPr>
        <w:tc>
          <w:tcPr>
            <w:tcW w:w="0" w:type="auto"/>
            <w:vAlign w:val="center"/>
            <w:hideMark/>
          </w:tcPr>
          <w:p w14:paraId="0089D07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Число лопастей</w:t>
            </w:r>
          </w:p>
        </w:tc>
        <w:tc>
          <w:tcPr>
            <w:tcW w:w="0" w:type="auto"/>
            <w:vAlign w:val="center"/>
            <w:hideMark/>
          </w:tcPr>
          <w:p w14:paraId="420FEEC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w:t>
            </w:r>
          </w:p>
        </w:tc>
        <w:tc>
          <w:tcPr>
            <w:tcW w:w="0" w:type="auto"/>
            <w:gridSpan w:val="2"/>
            <w:vMerge w:val="restart"/>
            <w:vAlign w:val="center"/>
            <w:hideMark/>
          </w:tcPr>
          <w:p w14:paraId="784817F1"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0B233F21" w14:textId="77777777" w:rsidTr="00CC5360">
        <w:trPr>
          <w:tblCellSpacing w:w="7" w:type="dxa"/>
          <w:jc w:val="center"/>
        </w:trPr>
        <w:tc>
          <w:tcPr>
            <w:tcW w:w="0" w:type="auto"/>
            <w:vAlign w:val="center"/>
            <w:hideMark/>
          </w:tcPr>
          <w:p w14:paraId="1557FEB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Материал лопастей</w:t>
            </w:r>
          </w:p>
        </w:tc>
        <w:tc>
          <w:tcPr>
            <w:tcW w:w="0" w:type="auto"/>
            <w:vAlign w:val="center"/>
            <w:hideMark/>
          </w:tcPr>
          <w:p w14:paraId="6BD403D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дюраль</w:t>
            </w:r>
          </w:p>
        </w:tc>
        <w:tc>
          <w:tcPr>
            <w:tcW w:w="0" w:type="auto"/>
            <w:gridSpan w:val="2"/>
            <w:vMerge/>
            <w:vAlign w:val="center"/>
            <w:hideMark/>
          </w:tcPr>
          <w:p w14:paraId="3FA3D4B0"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21A3F3CF" w14:textId="77777777" w:rsidTr="00CC5360">
        <w:trPr>
          <w:tblCellSpacing w:w="7" w:type="dxa"/>
          <w:jc w:val="center"/>
        </w:trPr>
        <w:tc>
          <w:tcPr>
            <w:tcW w:w="0" w:type="auto"/>
            <w:vAlign w:val="center"/>
            <w:hideMark/>
          </w:tcPr>
          <w:p w14:paraId="62398AA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Диаметр винта (м)</w:t>
            </w:r>
          </w:p>
        </w:tc>
        <w:tc>
          <w:tcPr>
            <w:tcW w:w="0" w:type="auto"/>
            <w:vAlign w:val="center"/>
            <w:hideMark/>
          </w:tcPr>
          <w:p w14:paraId="54886B2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4,0</w:t>
            </w:r>
          </w:p>
        </w:tc>
        <w:tc>
          <w:tcPr>
            <w:tcW w:w="0" w:type="auto"/>
            <w:gridSpan w:val="2"/>
            <w:vMerge/>
            <w:vAlign w:val="center"/>
            <w:hideMark/>
          </w:tcPr>
          <w:p w14:paraId="10838C24"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750BAEEF" w14:textId="77777777" w:rsidTr="00CC5360">
        <w:trPr>
          <w:tblCellSpacing w:w="7" w:type="dxa"/>
          <w:jc w:val="center"/>
        </w:trPr>
        <w:tc>
          <w:tcPr>
            <w:tcW w:w="0" w:type="auto"/>
            <w:vAlign w:val="center"/>
            <w:hideMark/>
          </w:tcPr>
          <w:p w14:paraId="29CCFE8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Максимальная ширина лопасти (мм)</w:t>
            </w:r>
          </w:p>
        </w:tc>
        <w:tc>
          <w:tcPr>
            <w:tcW w:w="0" w:type="auto"/>
            <w:vAlign w:val="center"/>
            <w:hideMark/>
          </w:tcPr>
          <w:p w14:paraId="384E437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296</w:t>
            </w:r>
          </w:p>
        </w:tc>
        <w:tc>
          <w:tcPr>
            <w:tcW w:w="0" w:type="auto"/>
            <w:gridSpan w:val="2"/>
            <w:vMerge/>
            <w:vAlign w:val="center"/>
            <w:hideMark/>
          </w:tcPr>
          <w:p w14:paraId="2D7ED059"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303C67C1" w14:textId="77777777" w:rsidTr="00CC5360">
        <w:trPr>
          <w:tblCellSpacing w:w="7" w:type="dxa"/>
          <w:jc w:val="center"/>
        </w:trPr>
        <w:tc>
          <w:tcPr>
            <w:tcW w:w="0" w:type="auto"/>
            <w:vAlign w:val="center"/>
            <w:hideMark/>
          </w:tcPr>
          <w:p w14:paraId="5C43076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Относительная толщина лопасти на 0,9 r (%)</w:t>
            </w:r>
          </w:p>
        </w:tc>
        <w:tc>
          <w:tcPr>
            <w:tcW w:w="0" w:type="auto"/>
            <w:vAlign w:val="center"/>
            <w:hideMark/>
          </w:tcPr>
          <w:p w14:paraId="127FC89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7,0</w:t>
            </w:r>
          </w:p>
        </w:tc>
        <w:tc>
          <w:tcPr>
            <w:tcW w:w="0" w:type="auto"/>
            <w:gridSpan w:val="2"/>
            <w:vMerge/>
            <w:vAlign w:val="center"/>
            <w:hideMark/>
          </w:tcPr>
          <w:p w14:paraId="4B3E4DD3"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34694ABF" w14:textId="77777777" w:rsidTr="00CC5360">
        <w:trPr>
          <w:tblCellSpacing w:w="7" w:type="dxa"/>
          <w:jc w:val="center"/>
        </w:trPr>
        <w:tc>
          <w:tcPr>
            <w:tcW w:w="0" w:type="auto"/>
            <w:vAlign w:val="center"/>
            <w:hideMark/>
          </w:tcPr>
          <w:p w14:paraId="1865114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Профиль сечения лопасти</w:t>
            </w:r>
          </w:p>
        </w:tc>
        <w:tc>
          <w:tcPr>
            <w:tcW w:w="0" w:type="auto"/>
            <w:vAlign w:val="center"/>
            <w:hideMark/>
          </w:tcPr>
          <w:p w14:paraId="7853E90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w:t>
            </w:r>
          </w:p>
        </w:tc>
        <w:tc>
          <w:tcPr>
            <w:tcW w:w="0" w:type="auto"/>
            <w:gridSpan w:val="2"/>
            <w:vMerge/>
            <w:vAlign w:val="center"/>
            <w:hideMark/>
          </w:tcPr>
          <w:p w14:paraId="461F28B4"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28B371B0" w14:textId="77777777" w:rsidTr="00CC5360">
        <w:trPr>
          <w:tblCellSpacing w:w="7" w:type="dxa"/>
          <w:jc w:val="center"/>
        </w:trPr>
        <w:tc>
          <w:tcPr>
            <w:tcW w:w="0" w:type="auto"/>
            <w:vAlign w:val="center"/>
            <w:hideMark/>
          </w:tcPr>
          <w:p w14:paraId="4665548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Диапазон поворота лопастей (град.)</w:t>
            </w:r>
          </w:p>
        </w:tc>
        <w:tc>
          <w:tcPr>
            <w:tcW w:w="0" w:type="auto"/>
            <w:vAlign w:val="center"/>
            <w:hideMark/>
          </w:tcPr>
          <w:p w14:paraId="3869BD4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35</w:t>
            </w:r>
          </w:p>
        </w:tc>
        <w:tc>
          <w:tcPr>
            <w:tcW w:w="0" w:type="auto"/>
            <w:gridSpan w:val="2"/>
            <w:vMerge/>
            <w:vAlign w:val="center"/>
            <w:hideMark/>
          </w:tcPr>
          <w:p w14:paraId="4B8E2F25"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7DA02FE4" w14:textId="77777777" w:rsidTr="00CC5360">
        <w:trPr>
          <w:tblCellSpacing w:w="7" w:type="dxa"/>
          <w:jc w:val="center"/>
        </w:trPr>
        <w:tc>
          <w:tcPr>
            <w:tcW w:w="0" w:type="auto"/>
            <w:vAlign w:val="center"/>
            <w:hideMark/>
          </w:tcPr>
          <w:p w14:paraId="071D3F3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Минимальный установочный угол</w:t>
            </w:r>
          </w:p>
          <w:p w14:paraId="080EBF0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лопастей (град.)</w:t>
            </w:r>
          </w:p>
        </w:tc>
        <w:tc>
          <w:tcPr>
            <w:tcW w:w="0" w:type="auto"/>
            <w:vAlign w:val="center"/>
            <w:hideMark/>
          </w:tcPr>
          <w:p w14:paraId="38C3432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w:t>
            </w:r>
          </w:p>
        </w:tc>
        <w:tc>
          <w:tcPr>
            <w:tcW w:w="0" w:type="auto"/>
            <w:gridSpan w:val="2"/>
            <w:vMerge/>
            <w:vAlign w:val="center"/>
            <w:hideMark/>
          </w:tcPr>
          <w:p w14:paraId="35F47102"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20FAEFE4" w14:textId="77777777" w:rsidTr="00CC5360">
        <w:trPr>
          <w:tblCellSpacing w:w="7" w:type="dxa"/>
          <w:jc w:val="center"/>
        </w:trPr>
        <w:tc>
          <w:tcPr>
            <w:tcW w:w="0" w:type="auto"/>
            <w:vAlign w:val="center"/>
            <w:hideMark/>
          </w:tcPr>
          <w:p w14:paraId="055A39B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Вес лопасти (кг)</w:t>
            </w:r>
          </w:p>
        </w:tc>
        <w:tc>
          <w:tcPr>
            <w:tcW w:w="0" w:type="auto"/>
            <w:vAlign w:val="center"/>
            <w:hideMark/>
          </w:tcPr>
          <w:p w14:paraId="7163D22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34</w:t>
            </w:r>
          </w:p>
        </w:tc>
        <w:tc>
          <w:tcPr>
            <w:tcW w:w="0" w:type="auto"/>
            <w:gridSpan w:val="2"/>
            <w:vMerge/>
            <w:vAlign w:val="center"/>
            <w:hideMark/>
          </w:tcPr>
          <w:p w14:paraId="1D820B5F"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69034EAD" w14:textId="77777777" w:rsidTr="00CC5360">
        <w:trPr>
          <w:tblCellSpacing w:w="7" w:type="dxa"/>
          <w:jc w:val="center"/>
        </w:trPr>
        <w:tc>
          <w:tcPr>
            <w:tcW w:w="0" w:type="auto"/>
            <w:vAlign w:val="center"/>
            <w:hideMark/>
          </w:tcPr>
          <w:p w14:paraId="55D1B00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Вес винта (кг)</w:t>
            </w:r>
          </w:p>
        </w:tc>
        <w:tc>
          <w:tcPr>
            <w:tcW w:w="0" w:type="auto"/>
            <w:vAlign w:val="center"/>
            <w:hideMark/>
          </w:tcPr>
          <w:p w14:paraId="685AF13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175</w:t>
            </w:r>
          </w:p>
        </w:tc>
        <w:tc>
          <w:tcPr>
            <w:tcW w:w="0" w:type="auto"/>
            <w:gridSpan w:val="2"/>
            <w:vMerge/>
            <w:vAlign w:val="center"/>
            <w:hideMark/>
          </w:tcPr>
          <w:p w14:paraId="03E450FB"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42D04F1D" w14:textId="77777777" w:rsidTr="00CC5360">
        <w:trPr>
          <w:tblCellSpacing w:w="7" w:type="dxa"/>
          <w:jc w:val="center"/>
        </w:trPr>
        <w:tc>
          <w:tcPr>
            <w:tcW w:w="0" w:type="auto"/>
            <w:vAlign w:val="center"/>
            <w:hideMark/>
          </w:tcPr>
          <w:p w14:paraId="3EEE241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Номинальное число оборотов мотора (об/мин)</w:t>
            </w:r>
          </w:p>
        </w:tc>
        <w:tc>
          <w:tcPr>
            <w:tcW w:w="0" w:type="auto"/>
            <w:vAlign w:val="center"/>
            <w:hideMark/>
          </w:tcPr>
          <w:p w14:paraId="50EBF0C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2050</w:t>
            </w:r>
          </w:p>
        </w:tc>
        <w:tc>
          <w:tcPr>
            <w:tcW w:w="0" w:type="auto"/>
            <w:gridSpan w:val="2"/>
            <w:vMerge/>
            <w:vAlign w:val="center"/>
            <w:hideMark/>
          </w:tcPr>
          <w:p w14:paraId="0681F63E"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0D62B73C" w14:textId="77777777" w:rsidTr="00CC5360">
        <w:trPr>
          <w:tblCellSpacing w:w="7" w:type="dxa"/>
          <w:jc w:val="center"/>
        </w:trPr>
        <w:tc>
          <w:tcPr>
            <w:tcW w:w="0" w:type="auto"/>
            <w:vAlign w:val="center"/>
            <w:hideMark/>
          </w:tcPr>
          <w:p w14:paraId="4C77D3E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Редукция мотора</w:t>
            </w:r>
          </w:p>
        </w:tc>
        <w:tc>
          <w:tcPr>
            <w:tcW w:w="0" w:type="auto"/>
            <w:vAlign w:val="center"/>
            <w:hideMark/>
          </w:tcPr>
          <w:p w14:paraId="2C09A3A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0,59</w:t>
            </w:r>
          </w:p>
        </w:tc>
        <w:tc>
          <w:tcPr>
            <w:tcW w:w="0" w:type="auto"/>
            <w:gridSpan w:val="2"/>
            <w:vMerge/>
            <w:vAlign w:val="center"/>
            <w:hideMark/>
          </w:tcPr>
          <w:p w14:paraId="08D924BA"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2BCE7CC8" w14:textId="77777777" w:rsidTr="00CC5360">
        <w:trPr>
          <w:tblCellSpacing w:w="7" w:type="dxa"/>
          <w:jc w:val="center"/>
        </w:trPr>
        <w:tc>
          <w:tcPr>
            <w:tcW w:w="0" w:type="auto"/>
            <w:vAlign w:val="center"/>
            <w:hideMark/>
          </w:tcPr>
          <w:p w14:paraId="1F1C2D1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Направление вращения винта</w:t>
            </w:r>
          </w:p>
        </w:tc>
        <w:tc>
          <w:tcPr>
            <w:tcW w:w="0" w:type="auto"/>
            <w:vAlign w:val="center"/>
            <w:hideMark/>
          </w:tcPr>
          <w:p w14:paraId="16FAE9A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левое</w:t>
            </w:r>
          </w:p>
        </w:tc>
        <w:tc>
          <w:tcPr>
            <w:tcW w:w="0" w:type="auto"/>
            <w:vMerge w:val="restart"/>
            <w:vAlign w:val="center"/>
            <w:hideMark/>
          </w:tcPr>
          <w:p w14:paraId="32E38AA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Состояние</w:t>
            </w:r>
          </w:p>
          <w:p w14:paraId="5E4A3B3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винта</w:t>
            </w:r>
          </w:p>
        </w:tc>
        <w:tc>
          <w:tcPr>
            <w:tcW w:w="0" w:type="auto"/>
            <w:vMerge w:val="restart"/>
            <w:vAlign w:val="center"/>
            <w:hideMark/>
          </w:tcPr>
          <w:p w14:paraId="60CDDEE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Винт испытания прошел удовлетворительно в 1942 году</w:t>
            </w:r>
          </w:p>
          <w:p w14:paraId="54ED39C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Находится в эксплоатации и в серийном производстве.</w:t>
            </w:r>
          </w:p>
        </w:tc>
      </w:tr>
      <w:tr w:rsidR="001E2C69" w:rsidRPr="001E2C69" w14:paraId="7D4349F4" w14:textId="77777777" w:rsidTr="00CC5360">
        <w:trPr>
          <w:tblCellSpacing w:w="7" w:type="dxa"/>
          <w:jc w:val="center"/>
        </w:trPr>
        <w:tc>
          <w:tcPr>
            <w:tcW w:w="0" w:type="auto"/>
            <w:vAlign w:val="center"/>
            <w:hideMark/>
          </w:tcPr>
          <w:p w14:paraId="2B95D74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Тип регулятора оборотов</w:t>
            </w:r>
          </w:p>
        </w:tc>
        <w:tc>
          <w:tcPr>
            <w:tcW w:w="0" w:type="auto"/>
            <w:vAlign w:val="center"/>
            <w:hideMark/>
          </w:tcPr>
          <w:p w14:paraId="2E718C3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Р-7</w:t>
            </w:r>
          </w:p>
        </w:tc>
        <w:tc>
          <w:tcPr>
            <w:tcW w:w="0" w:type="auto"/>
            <w:vMerge/>
            <w:vAlign w:val="center"/>
            <w:hideMark/>
          </w:tcPr>
          <w:p w14:paraId="551D4C16"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0" w:type="auto"/>
            <w:vMerge/>
            <w:vAlign w:val="center"/>
            <w:hideMark/>
          </w:tcPr>
          <w:p w14:paraId="5FFCB89D"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3C485374" w14:textId="77777777" w:rsidTr="00CC5360">
        <w:trPr>
          <w:tblCellSpacing w:w="7" w:type="dxa"/>
          <w:jc w:val="center"/>
        </w:trPr>
        <w:tc>
          <w:tcPr>
            <w:tcW w:w="0" w:type="auto"/>
            <w:vAlign w:val="center"/>
            <w:hideMark/>
          </w:tcPr>
          <w:p w14:paraId="19791D9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Носок вала редуктора мотора</w:t>
            </w:r>
          </w:p>
        </w:tc>
        <w:tc>
          <w:tcPr>
            <w:tcW w:w="0" w:type="auto"/>
            <w:vAlign w:val="center"/>
            <w:hideMark/>
          </w:tcPr>
          <w:p w14:paraId="566FE3F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7</w:t>
            </w:r>
          </w:p>
        </w:tc>
        <w:tc>
          <w:tcPr>
            <w:tcW w:w="0" w:type="auto"/>
            <w:vMerge/>
            <w:vAlign w:val="center"/>
            <w:hideMark/>
          </w:tcPr>
          <w:p w14:paraId="1D8985F3"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0" w:type="auto"/>
            <w:vMerge/>
            <w:vAlign w:val="center"/>
            <w:hideMark/>
          </w:tcPr>
          <w:p w14:paraId="3FE4817C"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4137904A" w14:textId="77777777" w:rsidTr="00CC5360">
        <w:trPr>
          <w:tblCellSpacing w:w="7" w:type="dxa"/>
          <w:jc w:val="center"/>
        </w:trPr>
        <w:tc>
          <w:tcPr>
            <w:tcW w:w="0" w:type="auto"/>
            <w:vAlign w:val="center"/>
            <w:hideMark/>
          </w:tcPr>
          <w:p w14:paraId="3DB66813"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0" w:type="auto"/>
            <w:vAlign w:val="center"/>
            <w:hideMark/>
          </w:tcPr>
          <w:p w14:paraId="19C38010"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0" w:type="auto"/>
            <w:gridSpan w:val="2"/>
            <w:vAlign w:val="center"/>
            <w:hideMark/>
          </w:tcPr>
          <w:p w14:paraId="7C14B38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Источник сведений: Отчет по испыт. винта от 20.7.42 г.</w:t>
            </w:r>
          </w:p>
        </w:tc>
      </w:tr>
    </w:tbl>
    <w:p w14:paraId="0BA74FB6" w14:textId="77777777" w:rsidR="00AE7191" w:rsidRPr="001E2C69" w:rsidRDefault="00AE7191" w:rsidP="00722885">
      <w:pPr>
        <w:spacing w:after="0" w:line="240" w:lineRule="auto"/>
        <w:jc w:val="both"/>
        <w:rPr>
          <w:rFonts w:ascii="Times New Roman" w:hAnsi="Times New Roman"/>
          <w:color w:val="000000" w:themeColor="text1"/>
          <w:sz w:val="16"/>
          <w:szCs w:val="16"/>
        </w:rPr>
      </w:pPr>
      <w:bookmarkStart w:id="85" w:name="p4"/>
      <w:r w:rsidRPr="001E2C69">
        <w:rPr>
          <w:rFonts w:ascii="Times New Roman" w:hAnsi="Times New Roman"/>
          <w:color w:val="000000" w:themeColor="text1"/>
          <w:sz w:val="16"/>
          <w:szCs w:val="16"/>
        </w:rPr>
        <w:t>(12227).</w:t>
      </w:r>
    </w:p>
    <w:p w14:paraId="2CA9B104" w14:textId="77777777" w:rsidR="00AE7191" w:rsidRPr="001E2C69" w:rsidRDefault="00AE7191" w:rsidP="00722885">
      <w:pPr>
        <w:spacing w:after="0" w:line="240" w:lineRule="auto"/>
        <w:jc w:val="both"/>
        <w:rPr>
          <w:rFonts w:ascii="Times New Roman" w:hAnsi="Times New Roman"/>
          <w:color w:val="000000" w:themeColor="text1"/>
          <w:sz w:val="16"/>
          <w:szCs w:val="16"/>
        </w:rPr>
      </w:pPr>
    </w:p>
    <w:bookmarkEnd w:id="85"/>
    <w:p w14:paraId="04F8AD44" w14:textId="77777777" w:rsidR="00715152" w:rsidRPr="001E2C69" w:rsidRDefault="00715152" w:rsidP="00722885">
      <w:pPr>
        <w:pStyle w:val="book"/>
        <w:ind w:firstLine="0"/>
        <w:jc w:val="both"/>
        <w:rPr>
          <w:color w:val="000000" w:themeColor="text1"/>
          <w:sz w:val="16"/>
          <w:szCs w:val="16"/>
        </w:rPr>
      </w:pPr>
      <w:r w:rsidRPr="001E2C69">
        <w:rPr>
          <w:color w:val="000000" w:themeColor="text1"/>
          <w:sz w:val="16"/>
          <w:szCs w:val="16"/>
        </w:rPr>
        <w:t>20 июля 1942 г. снаряды М-28, созданные в осажденном Ленинграде сотрудниками НИА-Па на базе немецкой 28-см фугасной мины и тяжелого метательного прибора обр. 40, были впервые применены на фронте. М-28 был единственным советским турбореактивным снарядом, примененным в боевых условиях (15225).</w:t>
      </w:r>
    </w:p>
    <w:p w14:paraId="531BAFC4" w14:textId="77777777" w:rsidR="00715152" w:rsidRPr="001E2C69" w:rsidRDefault="00715152" w:rsidP="00722885">
      <w:pPr>
        <w:pStyle w:val="book"/>
        <w:ind w:firstLine="0"/>
        <w:jc w:val="both"/>
        <w:rPr>
          <w:color w:val="000000" w:themeColor="text1"/>
          <w:sz w:val="16"/>
          <w:szCs w:val="16"/>
        </w:rPr>
      </w:pPr>
    </w:p>
    <w:p w14:paraId="6832D688"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Другие оборонные отрасли:</w:t>
      </w:r>
    </w:p>
    <w:p w14:paraId="015D019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11C93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1942 вышло Постановление ГКО № 2067 О разделении завода № 74. Наркомвооружения. РГАНИР, Фонд ГКО, д. 45, лл. 122 (11012).</w:t>
      </w:r>
    </w:p>
    <w:p w14:paraId="0D60AC3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BB23C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1942 вышло Постановление ГКО № 2068 О внедрении в производство нового метода получения синтетического толуола. РГАНИР, Фонд ГКО, д. 45, лл. 123 (11012).</w:t>
      </w:r>
    </w:p>
    <w:p w14:paraId="3659524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7443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1942 года Распоряжением ГКО от № 2067 и 21 июля 1942 года приказом НКВ № 375 из состава завода № 74 было выделено 11 цехов в самостоятельный завод с учетным № 622. В 1942-45 гг. завод специализировался на производстве в основном личного оружия для офицерского состава армии, а также противотанковых ружей ПТРС и ПТРД. В 1964 году объем оборонной продукции сократился на 64%, завод выпускал циферблатные весы, безмены, капканы, спортивные ружья.</w:t>
      </w:r>
    </w:p>
    <w:p w14:paraId="60C0CF9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Одновременно велась подготовка к освоению и массовому выпуску охотничьих ружей. В 1949 году завод выпускает первые модели охотничьих ружей (ИЖК и ИЖ-49). В 1964 году профиль завода определяют следующие производства:</w:t>
      </w:r>
    </w:p>
    <w:p w14:paraId="5FE7C27E" w14:textId="77777777" w:rsidR="00AE7191" w:rsidRPr="001E2C69" w:rsidRDefault="00AE7191" w:rsidP="00722885">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Оружейно-стрелковое производство.</w:t>
      </w:r>
    </w:p>
    <w:p w14:paraId="591D4D4A" w14:textId="77777777" w:rsidR="00AE7191" w:rsidRPr="001E2C69" w:rsidRDefault="00AE7191" w:rsidP="00722885">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двигателей мотоцикла Иж-Юритер.</w:t>
      </w:r>
    </w:p>
    <w:p w14:paraId="542AF0D7" w14:textId="77777777" w:rsidR="00AE7191" w:rsidRPr="001E2C69" w:rsidRDefault="00AE7191" w:rsidP="00722885">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по выпуску управляемых ракетных снарядов.</w:t>
      </w:r>
    </w:p>
    <w:p w14:paraId="0E664399" w14:textId="77777777" w:rsidR="00AE7191" w:rsidRPr="001E2C69" w:rsidRDefault="00AE7191" w:rsidP="00722885">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Стальное литье по выплавляемым моделям (10262).</w:t>
      </w:r>
    </w:p>
    <w:p w14:paraId="043BEFBF" w14:textId="77777777" w:rsidR="00AE7191" w:rsidRPr="001E2C69" w:rsidRDefault="00AE7191" w:rsidP="00722885">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A69177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20 июля 1942 г. основан Ижевский механический завод для производства боевого стрелкового оружия. С 10.1944 г. началось строительство новых цехов для народнохозяйственной продукции. В 1949 г. создается производство по выпуску спортивно-охотничьего оружия. В 1951 г. впервые в стране создается крупносерийное производство точного стального литья, в том же году создается производство по выпуску горно-шахтного оборудования. </w:t>
      </w:r>
    </w:p>
    <w:p w14:paraId="7CB679C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1958 г.- производство ракетной техники и электронных систем управления (ПТУР, ПЗРК). Создана ракета-мишень МС-8-ИЦ для Су-9 (1965 г.).</w:t>
      </w:r>
    </w:p>
    <w:p w14:paraId="7F6B056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С 1960 г.- производство двигателей для мотоциклов "Иж-Юпитер" (выпущено более 5 млн. штук). В 1965 г. построен новый производственный корпус по изготовлению заднего моста и карданного вала автомобилей "Москвич". </w:t>
      </w:r>
    </w:p>
    <w:p w14:paraId="47BA7A0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С 1970 г.- производство печатных плат, с 1990 г.- производство изделий микроэлектроники. На базе контрольно-испытательной станции завода открыт "Государственный центр по испытанию огнестрельного оружия". </w:t>
      </w:r>
    </w:p>
    <w:p w14:paraId="57E97C3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спортивно-охотничьего, пневматического и служебного оружия; ручного электроинструмента; оборудования для добычи нефти; точного стального литья, штампов, пресс-форм; упаковки жидких и сыпучих продуктов; компрессоры для большегрузных автомобилей, карданные валы для автомобилей "Ода", "Жигули" и др. (2004 г.).</w:t>
      </w:r>
    </w:p>
    <w:p w14:paraId="334F6A5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w:t>
      </w:r>
    </w:p>
    <w:p w14:paraId="08AEE74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Работали: (1979 г.-)- В. Загребин (ИЖ-43, МР-233), (1970-е-2002 г.-)- В. Чебуков (ИЖ-40, ИЖ-53, МР-513М), (1980 г.-)- В. Черепанов (ИЖ-46, ИЖ-67, ИЖ-671, МР-654К, МР-661К), (1990-е)- В.А. Ярыгин (конструктор пистолетов), (1996 г.-)- К. Евсеев (МР-151, МР-153), (1997 г.-)- А. Калугин (МР-153), (-2001 г.)- В. Чемовский (МР-512, МР-513М), (2002 г.)- М.Е. Драгунов (конструктор), (2002 г.)- Е. Попович (ИЖ-94 "Экспресс" (МР-251), МР-221 "Артемида", ИЖ-27М12), (2002 г.)- С. Гуляев (MP-461 "Стражник").</w:t>
      </w:r>
    </w:p>
    <w:p w14:paraId="38EAF1D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Гендиректор (25.12.2002-2003 г.-)- Н.П. Парфенов.</w:t>
      </w:r>
    </w:p>
    <w:p w14:paraId="284DCD8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1-й зам. гендиректора по финансам, экономике и управлению (2000 г.-)- Н.П. Парфенов. Зам. гендиректора по экономическим вопросам (1995 г.-)- В.П. Парфенов. </w:t>
      </w:r>
    </w:p>
    <w:p w14:paraId="4BD1B15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Гл. конструктор по спортивно-охотничьему оружию (2002 г.)- А.У. Дорф. Начальник КБ (2002 г.)- В. Шилов. </w:t>
      </w:r>
    </w:p>
    <w:p w14:paraId="468E456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(ВОВ): противотанковые ружья Дегтярева, Симонова, пистолет ТТ (-1953), револьвер «Наган»; пистолеты: ПМ (1949-2002-), ПММ; (2002): пистолет Ярыгина, ИЖ-71, ИЖ-34М, ИЖ-35М, МР-448 «Скиф», «Байкал-442», ПСМ, МЦМ, МР-446 «Викинг», МР-451, MP-461 "Стражник"; газовые пистолеты (2002): ИЖ-77, ИЖ-78, ИЖ-79; газобаллонные пистолеты: МР-654К, МР-651, МР-661К "Дрозд" (2002); револьвер сигнальный РС-31 (2002); ружья: (2002): ИЖ-18М, ИЖ-27 "СПОРТИНГ", ИЖ-27М 12, ИЖ-39, ИЖ-43, ИЖ-81, «ИЖ-94 «Экспресс», МР-131К, МР-133, МР-213, МР-233, МР-153; пневматическая винтовка МР-513М (2002); УРВВ: К-8М, К-98, К-5М, К-40, Р-60; ПТУР: «Штурм-В», «Вихрь»; электрокардиостимулятор ЭКС-501 (1990-), физиотерапевтический прибор "Уро-Биофон".</w:t>
      </w:r>
    </w:p>
    <w:p w14:paraId="5B08791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622, Ижевский механический завод, ФГУП «Ижевский механический завод» РАВ</w:t>
      </w:r>
    </w:p>
    <w:p w14:paraId="6F1A8C4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426063 Удмуртия г. Ижевск, ул. Промышленная, 8 тел. 76-44-33 www.baikalinc.ru</w:t>
      </w:r>
    </w:p>
    <w:p w14:paraId="68842B4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ОКБ "Вектор"</w:t>
      </w:r>
    </w:p>
    <w:p w14:paraId="317C1D9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гл. конструктор – Н.П. Парфенов (был на протяжении 14 лет) (10776).</w:t>
      </w:r>
    </w:p>
    <w:p w14:paraId="01877CC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C99E4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1942 г. был основан Ижевский механический завод (завод № 622 НКВ) (Завод № 622 НКВ, Ижевский механический завод, ФГУП «Ижевский механический завод» РАВ /Удмуртия 426063 г. Ижевск ул. Промышленная, 8 тел. 78-70-04/) для производства боевого стрелкового оружия. С 10.1944 г. началось строительство новых цехов для народнохозяйственной продукции. В 1949 г. создается производство по выпуску спортивно-охотничьего оружия. В 1951 г. впервые в стране создается крупносерийное производство точного стального литья, в том же году создается производство по выпуску горно</w:t>
      </w:r>
      <w:r w:rsidRPr="001E2C69">
        <w:rPr>
          <w:rFonts w:ascii="Times New Roman" w:hAnsi="Times New Roman"/>
          <w:color w:val="000000" w:themeColor="text1"/>
          <w:sz w:val="16"/>
          <w:szCs w:val="16"/>
        </w:rPr>
        <w:softHyphen/>
        <w:t>шахтного оборудования.</w:t>
      </w:r>
    </w:p>
    <w:p w14:paraId="62C8E88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1944 г. разработан первый серийный отечественный пневматический пистолет СПП (ИЖ-45) по образцу немецкого </w:t>
      </w:r>
      <w:r w:rsidRPr="001E2C69">
        <w:rPr>
          <w:rFonts w:ascii="Times New Roman" w:hAnsi="Times New Roman"/>
          <w:color w:val="000000" w:themeColor="text1"/>
          <w:sz w:val="16"/>
          <w:szCs w:val="16"/>
          <w:lang w:val="en-US"/>
        </w:rPr>
        <w:t>EM</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GE</w:t>
      </w:r>
      <w:r w:rsidRP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lang w:val="en-US"/>
        </w:rPr>
        <w:t>Zenit</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vertAlign w:val="superscript"/>
        </w:rPr>
        <w:t>4</w:t>
      </w:r>
    </w:p>
    <w:p w14:paraId="508E2C5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1958 г. на заводе освоено производство ракетной техники и электронных систем управления (ПТУР, ПЗРК, УРВВ). Создана ракета-мишень МС-8-ИЦ для Су-9 (1965 г.).</w:t>
      </w:r>
    </w:p>
    <w:p w14:paraId="794895A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1960 г. - производство двигателей для мотоциклов «Иж-Юпитер» (выпущено более 5 млн. штук). В 1965 г. построен новый производственный корпус по изготовлению заднего моста и карданного вала автомобилей «Москвич».</w:t>
      </w:r>
    </w:p>
    <w:p w14:paraId="70A2AF9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1970 г. - производство печатных плат, с 1990 г. - производство изделий микроэлектроники. На базе контрольно-испытательной станции завода открыт «Государственный центр по испытанию огнестрельного оружия».</w:t>
      </w:r>
    </w:p>
    <w:p w14:paraId="2C361DA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советское время- крупнейший в мире производитель спортивно-охотничьего оружия (680 тыс. стволов в год).</w:t>
      </w:r>
    </w:p>
    <w:p w14:paraId="331B55C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(2004 г.) спортивно-охотничьего, пневматического и служебного оружия; ручного электроинструмента; оборудования для добычи нефти; точного стального литья, штампов, пресс-форм; упаковки жидких и сыпучих продуктов; компрессоры для большегрузных автомобилей, карданные валы для автомобилей «Ода», «Жигули».</w:t>
      </w:r>
    </w:p>
    <w:p w14:paraId="3AB64DD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w:t>
      </w:r>
    </w:p>
    <w:p w14:paraId="7ED4304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Гендиректор (25.12.2002-2003 г.-)- Н.П. Парфенов.</w:t>
      </w:r>
    </w:p>
    <w:p w14:paraId="2D4DF0F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1-й зам. гендиректора по финансам, экономике и управлению (2000 г.-)- Н.П. Парфенов. Зам. гендиректора по экономическим вопросам (1995 г.-)- В.П. Парфенов.</w:t>
      </w:r>
    </w:p>
    <w:p w14:paraId="2221D1E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(1960-66 г.)- В. Г. Садовников.</w:t>
      </w:r>
    </w:p>
    <w:p w14:paraId="067F52A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Гл. конструктор по спортивно-охотничьему оружию (2002 г.)- А.У. Дорф.</w:t>
      </w:r>
    </w:p>
    <w:p w14:paraId="5D92BD8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КБ (2002 г.)- В. Шилов.</w:t>
      </w:r>
    </w:p>
    <w:p w14:paraId="617E2E0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Руководитель конструкторской группы: (-1978-90-е)- В. Ярыгин (ИЖ-35, 6П35, МР-446).</w:t>
      </w:r>
    </w:p>
    <w:p w14:paraId="40B9772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(ВОВ): противотанковые ружья Дегтярева, Симонова, пистолет ТТ (1942-53), револьвер «Наган»; пистолеты: ПМ (1949-2002-), ПММ ИЖ-71, ИЖ-34М, ИЖ-35 (1978-), ИЖ-35М (1986-2002-), МР-448 «Скиф», «Байкал-442», ПСМ, МЦМ, 6П35 «Грач» (2000), МР-446 «Викинг», МР-451, МР-461 «Стражник» (2002); газовые пистолеты (2002): ИЖ-77, ИЖ-78, ИЖ-79; газобаллонные пистолеты: МР-654К, МР-651, МР-661К «Дрозд» (2002); револьвер сигнальный РС-31 (2002); ружья: ЗК, ИЖ-49 (1950-е), (2002): ИЖ-18М, ИЖ-27 «СТОРТИНГ», ИЖ-27М 12, ИЖ-39, ИЖ-43, ИЖ-81, «ИЖ-94 «Экспресс», МР-131К, МР-133, МР-213, МР-233, МР-153; пневматические: пистолет СПП (ИЖ-45, 1944-47)- 54.890, винтовки ПСР (-1948), МР-513М (2002); УРВБ: К-8М, К-98, К-5М, К-40, Р-60; ПТУР: «Штурм-В», «Вихрь»;</w:t>
      </w:r>
      <w:r w:rsidRPr="001E2C69">
        <w:rPr>
          <w:rFonts w:ascii="Times New Roman" w:hAnsi="Times New Roman"/>
          <w:color w:val="000000" w:themeColor="text1"/>
          <w:sz w:val="16"/>
          <w:szCs w:val="16"/>
          <w:vertAlign w:val="superscript"/>
        </w:rPr>
        <w:t>58</w:t>
      </w:r>
    </w:p>
    <w:p w14:paraId="261DB3A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электрокардиостимулятор ЭКС-501 (1990-), физиотерапевтический прибор «Уро-Биофон»; ручной электроинструмент: дрели, перфораторы, лобзики, шлифовальные машины, пилы, рубанки (1994) (11982).</w:t>
      </w:r>
    </w:p>
    <w:p w14:paraId="5C81808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2DA997"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в 1942 году для производства боевого стрелкового оружия основано ФГУП "Ижевский механический завод". Первыми выпускаемыми изделиями стали противотанковые ружья известных советских оружейников В.А.Дегтярева и С.Г.Симонова, автоматический пистолет Ф.В.Токарева «ТТ». За годы войны было выпущено более 130 тысяч противотанковых ружей, 1,3 миллиона пистолетов и револьверов, 250 тысяч осветительных пистолетов и других видов военной техники. С октября 1944 года на заводе строятся новые цехи, выпускающие продукцию для восстановления народного хозяйства. В 1949 году создается производство по выпуску спортивно-охотничьего оружия. Начато изготовление всемирно известного пистолета Макарова. В 1951 году впервые в стране создается крупносерийное производство точного стального литья по изготовлению заготовок для многих отраслей народного хозяйства. Тогда же создается производство по серийному выпуску горно-шахтного оборудования: пневмоперфораторы, пневмотрамбовки и пневмопистолеты. На сегодняшний день освоено более 100 базовых моделей охотничьих ружей, спортивных и пневматических винтовок и пистолетов. Всего выпущено около 17 милионов штук. В 1953 году прекращается производство пистолета «ТТ» и разворачивается серийное производство армейского пистолета Макарова (ПМ), и сегодня популярен во многих странах мира. Начиная с 1958 года, создаются наукоемкие производства по выпуску ракетной техники и электронных систем управления (противотанковые управляемые снаряды и ракеты, переносные зенитные комплексы и др.). В 1960 году организовано производство по выпуску двухцилиндровых двигателей для мотоциклов "Иж-Юпитер". За все время выпущено более 5 милионов штук. Двигатель с водяным охлаждением, последняя модель, в 1993 году прошел успешное испытание в мотопробеге Ижевск-Кейптаун по дорогам Африки. С 1965 года в связи со строительством автомобильного завода по выпуску малолитражных легковых автомобилей "Москвич", на предприятии организовано производство по изготовлению заднего моста и карданного вала автомобиля. Был построен новый производственный корпус. Сегодня производство выпускает компрессоры для обеспечения питания сжатым воздухом тормозных систем большегрузных автомобилей, несколько моделей карданных валов для легковых автомобилей "Ода", "Жигули" и др. В 1980 году на заводе разрабатывается и утверждается программа комплексно–целевого развития, включающая развитие и совершенствование производственно-технического потенциала, автоматизированной системы управления предприятием, социальное развитие коллектива. С 1990 года начинает выполняться программа "Развитие предприятия в рамках конверсии оборонной техники". Организуются комплексно-механизированные цехи по производству электробытовой техники, оборудования для агропромышленного комплекса, подвергаются реконструкции существующие. Осваивается выпуск фасовочного оборудования для упаковки жидких и сыпучих продуктов. Количество модификаций боевого, служебного и гражданского оружия увеличивается почти в 2 раза. Новинки ежегодно демонстрируются на международных ружейных выставках в США, Германии, Аргентине, ОАЭ, ЮАР и других государствах. Для выхода на мировые рынки создается внешнеторговая фирма "Байкал". Увеличивается объем продаж в разных странах мира. На базе контрольно-испытательной станции завода открыт "Государственный центр по испытанию огнестрельного оружия". С 1994 года предприятие выпускает ручной электроинструмент: перфораторы, электродрели, ленточно-шлифовальные машины, электрорубанки, дисковые пилы и др. Широкий перечень выполняемых ими работ позволяют использовать его как при слесарно-ремонтных работах, так и при строительстве. С 2001 года новые модели электроинструмента демонстрируются на международной выставке металлоизделий "IHF" в городе Кельн, Германия. На предприятии разработаны и выпускаются 6 моделей универсальных кухонных машин и более 20 типов насадок к ним. Используя опыт выпуска гироскопов для оборонной техники, с 1997 года начинается выпуск гироскопического инклинометра для нефтегазовой промышленности. Также для нефтегазовой промышленности изготавливается установка плунжерного газлифта, предназначенная для подъема нефти и газового конденсата. В России производится впервые и позволяет заменить импортные аналоги. За разработку и постановку на серийное производство новых моделей гражданского и служебного оружия присуждались премии Совета Министров СССР и Правительства Российской Федерации в области науки и техники. Многие специалисты удостоены высоких званий "Заслуженный конструктор Российской Федерации", "Заслуженный конструктор Удмуртской Республики", "Заслуженный машиностроитель Российской Федерации" и "Заслуженный машиностроитель Удмуртской Республики". Их самые последние работы – это новые модели помповых и самозарядныхружей, серии комбинированных охотничьих ружей и служебного оружия (14958).</w:t>
      </w:r>
    </w:p>
    <w:p w14:paraId="45CFF62C" w14:textId="77777777" w:rsidR="00715152" w:rsidRPr="001E2C69" w:rsidRDefault="00715152" w:rsidP="00722885">
      <w:pPr>
        <w:spacing w:after="0" w:line="240" w:lineRule="auto"/>
        <w:jc w:val="both"/>
        <w:rPr>
          <w:rFonts w:ascii="Times New Roman" w:hAnsi="Times New Roman"/>
          <w:color w:val="000000" w:themeColor="text1"/>
          <w:sz w:val="16"/>
          <w:szCs w:val="16"/>
        </w:rPr>
      </w:pPr>
    </w:p>
    <w:p w14:paraId="5623DA9D" w14:textId="77777777" w:rsidR="00B33D31" w:rsidRPr="001E2C69"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20 июля 1942 года на предложение завода №8 последовал ответ. Проект признали нецелесообразным и порекомендовали предварительно согласовывать с ГАУ КА подобные идеи, чтобы не тратить время. Дело в том, что первоначально в адрес Артиллерийского комитета ГАУ КА пришел проект не самоходной установки, а танка. Вместо САУ на базе Т-34 под руководством Петрова спроектировали артиллерийский танк, оснащенный гаубицей У-11. Переработанная для Т-34 система носила индекс У-22. Под неё КБ завода №183 проработало проект танка с несколько измененной башней. К слову, У-22 и Т-34 с этим орудием некоторые исследователи ошибочно приняли за самоходную установку, хотя это именно танк. Проект У-22 был создан в инициативном порядке и не вызвал одобрения у Арткома ГАУ.</w:t>
      </w:r>
    </w:p>
    <w:p w14:paraId="388690B4" w14:textId="77777777" w:rsidR="00B33D31" w:rsidRPr="001E2C69"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 xml:space="preserve">После неудачи с артиллерийским танком КБ завода №8 сконцентрировалось на самоходной установке. Точнее, на установках. Считая, что вариант с У-11 будет выглядеть более рационально, Петров отдал приоритет именно этому варианту, который получил обозначение ЗИК-10. Общая концепция самоходной установки сводилась к максимально возможному невмешательству в конструкцию Т-34. В этом смысле проект чем-то напоминал </w:t>
      </w:r>
      <w:hyperlink r:id="rId150" w:history="1">
        <w:r w:rsidRPr="001E2C69">
          <w:rPr>
            <w:rFonts w:ascii="Times New Roman" w:eastAsia="Times New Roman" w:hAnsi="Times New Roman"/>
            <w:color w:val="000000" w:themeColor="text1"/>
            <w:sz w:val="16"/>
            <w:szCs w:val="16"/>
            <w:lang w:eastAsia="ru-RU"/>
          </w:rPr>
          <w:t>штурмовой танк КВ-7</w:t>
        </w:r>
      </w:hyperlink>
      <w:r w:rsidRPr="001E2C69">
        <w:rPr>
          <w:rFonts w:ascii="Times New Roman" w:eastAsia="Times New Roman" w:hAnsi="Times New Roman"/>
          <w:color w:val="000000" w:themeColor="text1"/>
          <w:sz w:val="16"/>
          <w:szCs w:val="16"/>
          <w:lang w:eastAsia="ru-RU"/>
        </w:rPr>
        <w:t>, который создавался с минимальными вмешательствами в конструкцию КВ-1.</w:t>
      </w:r>
    </w:p>
    <w:p w14:paraId="1D6A10CD" w14:textId="77777777" w:rsidR="00B33D31" w:rsidRPr="001E2C69"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Требования минимального вмешательства в конструкцию базовой машины исходили от военных и в случае с самоходными установками часто приводили к ряду проблем. В случае с ЗИК-10 КБ завода №8 все же допустило некоторые вольности. Например, ширину боевого отделения удалось увеличить за счет меньшего угла наклона бортов рубки. Внутри была размещена установка У-11, которую поставили на рамке. Такое решение позволило обойтись без громоздкой тумбы и сделать боевое отделение более просторным.</w:t>
      </w:r>
    </w:p>
    <w:p w14:paraId="09133FEC" w14:textId="77777777" w:rsidR="00B33D31" w:rsidRPr="001E2C69"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Следуя требованиям минимального внесения изменений в конструкцию Т-34, сотрудники КБ завода №8 во многом оказались его заложниками. Хотя в целом эти требования были выполнены, именно они создали ряд проблем. Например, из-за них носовая часть машины получила своеобразную «ступеньку», причем верхняя ее часть имела угол наклона всего 15 градусов. С точки зрения снарядостойкости решение весьма спорное. Не менее спорно выглядели и люки в бортах рубки. Кроме того, у рубки отсутствовала крыша, что облегчало вентиляцию, но при этом создавало массу потенциальных проблем.</w:t>
      </w:r>
    </w:p>
    <w:p w14:paraId="42880418" w14:textId="77777777" w:rsidR="00B33D31" w:rsidRPr="001E2C69"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Боекомплект САУ оказался маловат – всего 32 выстрела.</w:t>
      </w:r>
    </w:p>
    <w:p w14:paraId="7711F1DE" w14:textId="77777777" w:rsidR="00B33D31" w:rsidRPr="001E2C69"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Похожие проблемы имел и второй проект КБ завода №8, получивший обозначение ЗИК-11. В отличие от ЗИК-10, здесь использовалась 122-мм гаубица М-30, как и было установлено тактико-техническими требованиями. Артиллерийская система практически не менялась по сравнению с серийной М-30. Откатные механизмы прикрывались массивной бронировкой, имелись новый механизм крепления по-походному и нижний станок с большим процентом использования деталей от М-30.</w:t>
      </w:r>
    </w:p>
    <w:p w14:paraId="0678DA19" w14:textId="77777777" w:rsidR="00B33D31" w:rsidRPr="001E2C69"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 xml:space="preserve">Как ни странно, с правого борта на ЗИК-11 места стало больше. Тем не менее, существовал высокий риск получить травму при стрельбе – ограждения у гаубицы не было </w:t>
      </w:r>
    </w:p>
    <w:p w14:paraId="65539BB7" w14:textId="77777777" w:rsidR="00B33D31" w:rsidRPr="001E2C69"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Несмотря на то, что тумбу все же пришлось делать, она получилась менее массивной, чем у StuG III и СГ-122. Стремление максимально унифицировать орудие ЗИК-10 и М-30 лишило систему ограждения. В боевой обстановке это было чревато несчастными случаями.</w:t>
      </w:r>
    </w:p>
    <w:p w14:paraId="5389A2E1" w14:textId="77777777" w:rsidR="00B33D31" w:rsidRPr="001E2C69"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Конструкция рубки в многом повторяла ту, что КБ завода №8 спроектировало для ЗИК-10. Вместе с тем, рубка ЗИК-11 получилась более рациональной. «Ступенька» в лобовой части имела здесь больший угол наклона. Боекомплект и укладки остались от ЗИК-10, но при этом размещались более рационально. Общая высота машины оказалась меньше – 2100 мм против 2270 мм у ЗИК-10. Кроме того, проем в крыше оказался меньшим.</w:t>
      </w:r>
    </w:p>
    <w:p w14:paraId="623A850D" w14:textId="77777777" w:rsidR="00B33D31" w:rsidRPr="001E2C69" w:rsidRDefault="00B33D3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Оба проекта были представлены в Технический совет Народного комиссариата вооружения (НКВ), который, по вполне объективным причинам, выбрал ЗИК-11. Тем не менее, и эта машина вызвала ряд вопросов. Техсовет НКВ составил список замечаний и исправлений, которые требовалось внести в машину до начала ее изготовления в металле. Но до этого этапа дело, впрочем, так и не дошло. На тот момент возглавляемое Петровым конструкторское бюро работало сразу над четырьмя самоходными установками. Больший прогресс оказался по тяжелой САУ ЗИК-20, которую в итоге довели до состояния полноразмерного макета. Что же касается ЗИК-11, то эту машину ждала совсем другая судьба (17679).</w:t>
      </w:r>
    </w:p>
    <w:p w14:paraId="7A0F3277" w14:textId="77777777" w:rsidR="00B33D31" w:rsidRPr="001E2C69" w:rsidRDefault="00B33D31" w:rsidP="00722885">
      <w:pPr>
        <w:spacing w:after="0" w:line="240" w:lineRule="auto"/>
        <w:jc w:val="both"/>
        <w:rPr>
          <w:rFonts w:ascii="Times New Roman" w:hAnsi="Times New Roman"/>
          <w:color w:val="000000" w:themeColor="text1"/>
          <w:sz w:val="16"/>
          <w:szCs w:val="16"/>
        </w:rPr>
      </w:pPr>
    </w:p>
    <w:p w14:paraId="340FEAE7"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1942 вышло Постановление ГКО № 2082 Об обеспечении ж.-д. транспорта рельсами путем замены на второстепенных линиях рельсов тяжелых типов легкими и разборки малодеятельных линий. (7045, 52-53,54-55).</w:t>
      </w:r>
    </w:p>
    <w:p w14:paraId="61B37A81"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6F97DB"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1942 вышло Постановление ГКО № 2065 О форсировании строительства железной дороги Саратов-Сталинград. (7044, 120-120об.).</w:t>
      </w:r>
    </w:p>
    <w:p w14:paraId="7D218319"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AF4E6C"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20 июля 1942 вышло Постановление ГКО № 2071 Об эвакуации металлорежущего и металлодавящего оборудования с предприятий г. Ленинграда. (7044, 130-132,133-165).</w:t>
      </w:r>
    </w:p>
    <w:p w14:paraId="25602DEC"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CE826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1942 года постановлением ГКО за № 2067 был основан завод № 622 НКВ (9265).</w:t>
      </w:r>
    </w:p>
    <w:p w14:paraId="0E6DE18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716A08"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Армия:</w:t>
      </w:r>
    </w:p>
    <w:p w14:paraId="21FD900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8AE4DD"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в 1942 году утреннее сообщение Совинформбюро:</w:t>
      </w:r>
    </w:p>
    <w:p w14:paraId="467AABFB"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20 июля наши войска вели бои с противником в районе Воронежа.</w:t>
      </w:r>
    </w:p>
    <w:p w14:paraId="6B2490C6"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74D2FEE7"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наши части ведут упорную борьбу с перешедшим к обороне противником. Бой в одном населённом пункте, длившийся весь день, закончился победой наших пехотинцев и танкистов. На улицах села немцы потеряли только убитыми 1.500 солдат и офицеров. Дополнительно захвачены 5 орудий, две миномётные батареи. 24 пулемёта и склад с боеприпасами. На одном из участков гитлеровцы предприняли танковую контратаку. Наши артиллеристы и бронебойщики открыли огонь и подбили 7 немецких машин. Затем ударили с фланга наши тяжёлые танки. Потеряв ещё 12 танков, немцы отступили. На другом участке батальон немецкой пехоты пошёл в «психическую» атаку. Гитлеровцы шли в атаку пьяными. Огнём нашей артиллерии, миномётов и пулемётов почти все наступавшие немцы были уничтожены.</w:t>
      </w:r>
    </w:p>
    <w:p w14:paraId="5D89D13D"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Южнее Миллерова наши войска вели ожесточённые оборонительные бои с наступающими немецко-фашистскими войсками. На одном из участков гитлеровцы вклинились в боевые порядки наших частей. Ударами с флангов наши войска ликвидировали попытку противника прорвать нашу оборону. В этом бою фашисты потеряли свыше 1.200 человек убитыми, 15 танков, 10 орудий и 60 пулемётов. На другом участке наши войска под давлением численно превосходящих сил противника отошли на новые позиции.</w:t>
      </w:r>
    </w:p>
    <w:p w14:paraId="0B2CEB9A"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Калининском фронте происходили столкновения с небольшими отрядами противника. Немецкая пехота силою до батальона атаковала подразделение старшего лейтенанта Махоркина. Наши бойцы огнём пехотного оружия отбили эту атаку. Гитлеровцы отступили, оставив на поле боя 80 убитых солдат и офицеров. Артиллеристы части, где командиром тов. Соколов, уничтожили миномётную батарею, орудие и рассеяли роту пехоты противника.</w:t>
      </w:r>
    </w:p>
    <w:p w14:paraId="55572FA3"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Красноармейца тов. Шестакова, направлявшегося с донесением на командный пункт, окружили шесть немецких солдат. Отважный боец из винтовки уничтожил всех шестерых гитлеровцев и своевременно доставил донесение командиру.</w:t>
      </w:r>
    </w:p>
    <w:p w14:paraId="0CCB5F01"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калининских партизан под руководством тов. Р. совершил ночной налёт на немецкий гарнизон в одном населённом пункте. Партизаны сняли часовых и по сигналу командира ворвались в дома, в которых разместились гитлеровцы. В рукопашной схватке партизаны истребили 85 немецких солдат и 8 офицеров.</w:t>
      </w:r>
    </w:p>
    <w:p w14:paraId="71085438"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Волховского фронта на сторону Красной Армии перешла группа поляков — солдат немецкой армии. Один из них — солдат 269 немецкой пехотной дивизии Вацлав М. рассказал: «Немецкие оккупанты ограбили Польшу, разорили население и расстреляли сотни тысяч жителей. Хозяйство моих родителей оккупационные власти отдали немецкому штурмовику. Отец и мать работают у него батраками. Многих крестьян немцы угнали неизвестно куда. За малейшее выражение недовольства поляков заключают в тюрьмы или расстреливают. Весной этого года немецкие власти призвали в армию поляков нескольких возрастов. Однако все, кто любит родину, не будут воевать против русских. Мы знаем, где наши враги и где наши друзья, и поэтому перешли на сторону Красной Армии».</w:t>
      </w:r>
    </w:p>
    <w:p w14:paraId="6793E4A6"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Госпитали Норвегии переполнены ранеными немецкими солдатами, прибывающими с советско-германского фронта. Немецкие власти заняли под лазареты все больницы,школы и многие частные дома. Отсутствие медицинского персонала и медикаментов вызывает чрезвычайно высокую смертность раненых. В некоторых госпиталях Осло умирает до 70 процентов раненых солдат.» (14958).</w:t>
      </w:r>
    </w:p>
    <w:p w14:paraId="2FB79B55" w14:textId="77777777" w:rsidR="00715152" w:rsidRPr="001E2C69" w:rsidRDefault="00715152" w:rsidP="00722885">
      <w:pPr>
        <w:spacing w:after="0" w:line="240" w:lineRule="auto"/>
        <w:jc w:val="both"/>
        <w:rPr>
          <w:rFonts w:ascii="Times New Roman" w:hAnsi="Times New Roman"/>
          <w:color w:val="000000" w:themeColor="text1"/>
          <w:sz w:val="16"/>
          <w:szCs w:val="16"/>
        </w:rPr>
      </w:pPr>
    </w:p>
    <w:p w14:paraId="31CEDC5A"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в 1942 году вечернее сообщение Совинформбюро:</w:t>
      </w:r>
    </w:p>
    <w:p w14:paraId="67E845AE"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20 июля наши войска вели бои в районе Воронежа и юго-восточнее города Ворошиловграда.</w:t>
      </w:r>
    </w:p>
    <w:p w14:paraId="54C60E02"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4D144ED9"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19 июля частями нашей авиации на различных участках фронта уничтожено или повреждено 40 немецких танков, 85 автомашин с войсками и грузами, 15 повозок, взорвано 8 складов с боеприпасами и 5 складов с горючим, подавлен огонь 8 батарей полевой и зенитной артиллерии, повреждён транспорт, рассеяно и частью уничтожено до четырёх рот пехоты противника.</w:t>
      </w:r>
    </w:p>
    <w:p w14:paraId="1F21B8CB"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наши войска продолжают наносить удары по немецко-фашистским войскам. Наши части заняли несколько переправ через реку Дон. Авиация активно поддерживала наземные войска и бомбила вражеские позиции. Противник упорно обороняется, сооружает минные поля и лихорадочно строит укрепления. На одном из участков наша часть в течение дня вела бои с противником и несколько потеснила его. Получив подкрепление и стремясь вернуть потерянные позиции, немцы предприняли атаку при поддержке танков. Наши бойцы встретили атакующих метким ружейно-пулемётным и миномётным огнём, а затем перешли в контратаку и опрокинули гитлеровцев. В этом бою противник потерял свыше 700 солдат и офицеров, 13 танков, 5 орудий, 18 пулемётов и 10 миномётов.</w:t>
      </w:r>
    </w:p>
    <w:p w14:paraId="6BBB150A"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Юго-восточнее Ворошиловграда наши войска вели упорные оборонительные бои. Советские бомбардировщики и штурмовики наносили удары по танкам, мотомехчастям и пехоте противника. Только на отдельных участках за два дня уничтожено 39 немецких танков, 95 автомашин с войсками и грузами, 10 автоцистерн с горючим, подавлен огонь 10 зенитно-пулемётных точек. Наши лётчики сбили в воздушных бояхи уничтожили на аэродромах 10 самолётов противника.</w:t>
      </w:r>
    </w:p>
    <w:p w14:paraId="032323E9"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Геройский подвиг совершил экипаж самолёта под командованием лётчика-сержанта Дивиченко. При бомбардировке вражеского аэродрома советский самолёт был подожжён огнём зенитной артиллерии и истребителя противника. Объятый пламенем, самолёт с бреющего полёта продолжал уничтожать немецкие самолёты, находившиеся на аэродроме. Когда были израсходованы все боеприпасы и стало ясно, что спасти самолёт уже нельзя, тов. Дивиченко принял решение нанести врагу последний удар и направил машину на колонну автоцистерн с горючим. Лётчики, участвовавшие в этом налёте, видели, как поднялись огромные клубы дыма и огня горящих автоцистерн. Смертью храбрых погибли сталинские соколы — сержант Дивиченко, штурман Журавлёв, стрелок-радист Мысиков и воздушный стрелок Ешов. Советский народ всегда будет помнить героев-лётчиков, до последней минуты своей жизни боровшихся за Родину.</w:t>
      </w:r>
    </w:p>
    <w:p w14:paraId="76255E1C"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Северо-Западного фронта полк пехоты противника атаковал передний край нашей обороны. Наши бойцы, отбив атаку немцев, на их плечах ворвались в район обороны противника, овладели 20 ДЗОТами и высотой, имеющей важное значение. Позднее гитлеровцы пытались восстановить положение, предприняли несколько контратак, но каждый раз, понеся большие потери, откатывались назад. На этом участке фронта противник потерял только убитыми более 200 солдат и офицеров.</w:t>
      </w:r>
    </w:p>
    <w:p w14:paraId="1298486B"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Калининском фронте продолжались бои местного значения. Наши бойцы беспокоят немцев непрерывными налётами и истребляют их живую силу. Подразделение тов. Головарёва проникло в расположение противника и уничтожило 35 гитлеровцев. Гвардии красноармеец Черешнев вывел из строя 7 гитлеровцев.</w:t>
      </w:r>
    </w:p>
    <w:p w14:paraId="771EFF2B"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тов. С, действующий в одном из оккупированных немцами районов Сумской области, три дня вёл бой с крупной карательной экспедицией противника. Партизаны разгромили гитлеровцев и захватили бронемашину, 5 станковых пулемётов, 14 автоматов, 48 винтовок, боеприпасы и другое военное имущество. Немецко-фашистские оккупанты потеряли убитыми и ранеными 175 солдат и офицеров.</w:t>
      </w:r>
    </w:p>
    <w:p w14:paraId="7B300DB4"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Немецкий солдат Франц Бригнер, находившийся в резервном госпитале в Пудевице, писал недавно ефрейтору Стефану Шванду: «...Из нашего взвода, насчитывавшего 28 человек, уцелело только 5. Я был ранен, но могу считать себя счастливым, так какостался в живых. Скоро вернусь в Вельс и постараюсь остаться на родине, потому что нет ничего хуже, чем воевать с русскими. Здесь в госпитале я видел очень много страшного. Такая уйма калек!»</w:t>
      </w:r>
    </w:p>
    <w:p w14:paraId="7D8AA09B"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Гитлеровские людоеды истребляют мирное население оккупированных советских районов. В местечке Акимовка, Запорожской области, немцы согнали на площадь 110 женщин, детей, стариков и расстреляли их. В этом же местечке один эсэсовец вырвал из рук матери трёхлетнего мальчика, отрубил ему руки и ноги, а потом заколол штыком.» (14958).</w:t>
      </w:r>
    </w:p>
    <w:p w14:paraId="4A406201" w14:textId="77777777" w:rsidR="00715152" w:rsidRPr="001E2C69" w:rsidRDefault="00715152" w:rsidP="00722885">
      <w:pPr>
        <w:spacing w:after="0" w:line="240" w:lineRule="auto"/>
        <w:jc w:val="both"/>
        <w:rPr>
          <w:rFonts w:ascii="Times New Roman" w:hAnsi="Times New Roman"/>
          <w:color w:val="000000" w:themeColor="text1"/>
          <w:sz w:val="16"/>
          <w:szCs w:val="16"/>
        </w:rPr>
      </w:pPr>
    </w:p>
    <w:p w14:paraId="2D4CC7F3" w14:textId="77777777" w:rsidR="00087D2F" w:rsidRPr="001E2C69" w:rsidRDefault="00087D2F" w:rsidP="00722885">
      <w:pPr>
        <w:pStyle w:val="7f"/>
        <w:shd w:val="clear" w:color="auto" w:fill="auto"/>
        <w:spacing w:after="0" w:line="240" w:lineRule="auto"/>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Ночью 20 июня 1942 г. при посадке в Севастополе в бухте Казачей зацепил крылом воду и разбился ГСТ капитана Ивана Ивановича Липницкого, заместителя командира 80-й эска</w:t>
      </w:r>
      <w:r w:rsidRPr="001E2C69">
        <w:rPr>
          <w:rFonts w:ascii="Times New Roman" w:hAnsi="Times New Roman" w:cs="Times New Roman"/>
          <w:color w:val="000000" w:themeColor="text1"/>
          <w:spacing w:val="0"/>
          <w:sz w:val="16"/>
          <w:szCs w:val="16"/>
        </w:rPr>
        <w:softHyphen/>
        <w:t>дрильи по летной подготовке и воздуш</w:t>
      </w:r>
      <w:r w:rsidRPr="001E2C69">
        <w:rPr>
          <w:rFonts w:ascii="Times New Roman" w:hAnsi="Times New Roman" w:cs="Times New Roman"/>
          <w:color w:val="000000" w:themeColor="text1"/>
          <w:spacing w:val="0"/>
          <w:sz w:val="16"/>
          <w:szCs w:val="16"/>
        </w:rPr>
        <w:softHyphen/>
        <w:t>ному бою. Три члена экипажа были тя</w:t>
      </w:r>
      <w:r w:rsidRPr="001E2C69">
        <w:rPr>
          <w:rFonts w:ascii="Times New Roman" w:hAnsi="Times New Roman" w:cs="Times New Roman"/>
          <w:color w:val="000000" w:themeColor="text1"/>
          <w:spacing w:val="0"/>
          <w:sz w:val="16"/>
          <w:szCs w:val="16"/>
        </w:rPr>
        <w:softHyphen/>
        <w:t>жело ранены.</w:t>
      </w:r>
    </w:p>
    <w:p w14:paraId="759F72A4" w14:textId="77777777" w:rsidR="00087D2F" w:rsidRPr="001E2C69" w:rsidRDefault="00087D2F" w:rsidP="00722885">
      <w:pPr>
        <w:pStyle w:val="7f"/>
        <w:shd w:val="clear" w:color="auto" w:fill="auto"/>
        <w:spacing w:after="0" w:line="240" w:lineRule="auto"/>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В ту же ночь в Геленджикской бухте, стартуя для удара по немецким войскам, штурмующим Севастополь, потерпела катастрофу летающая лодка, пилотируемая командиром 80-й отдельной эска</w:t>
      </w:r>
      <w:r w:rsidRPr="001E2C69">
        <w:rPr>
          <w:rFonts w:ascii="Times New Roman" w:hAnsi="Times New Roman" w:cs="Times New Roman"/>
          <w:color w:val="000000" w:themeColor="text1"/>
          <w:spacing w:val="0"/>
          <w:sz w:val="16"/>
          <w:szCs w:val="16"/>
        </w:rPr>
        <w:softHyphen/>
        <w:t>дрильи капитаном Иваном Трофимови</w:t>
      </w:r>
      <w:r w:rsidRPr="001E2C69">
        <w:rPr>
          <w:rFonts w:ascii="Times New Roman" w:hAnsi="Times New Roman" w:cs="Times New Roman"/>
          <w:color w:val="000000" w:themeColor="text1"/>
          <w:spacing w:val="0"/>
          <w:sz w:val="16"/>
          <w:szCs w:val="16"/>
        </w:rPr>
        <w:softHyphen/>
        <w:t>чем Чебаником. Вместе с ним погибли второй пилот старший сержант Ковун Александр Сергеевич, стрелок-радист старший сержант Леонов Николай Вла</w:t>
      </w:r>
      <w:r w:rsidRPr="001E2C69">
        <w:rPr>
          <w:rFonts w:ascii="Times New Roman" w:hAnsi="Times New Roman" w:cs="Times New Roman"/>
          <w:color w:val="000000" w:themeColor="text1"/>
          <w:spacing w:val="0"/>
          <w:sz w:val="16"/>
          <w:szCs w:val="16"/>
        </w:rPr>
        <w:softHyphen/>
        <w:t>димирович, воздушный стрелок млад</w:t>
      </w:r>
      <w:r w:rsidRPr="001E2C69">
        <w:rPr>
          <w:rFonts w:ascii="Times New Roman" w:hAnsi="Times New Roman" w:cs="Times New Roman"/>
          <w:color w:val="000000" w:themeColor="text1"/>
          <w:spacing w:val="0"/>
          <w:sz w:val="16"/>
          <w:szCs w:val="16"/>
        </w:rPr>
        <w:softHyphen/>
        <w:t>ший сержант Псарев Егор Максимович, старший бортовой механик старшина Борисенко Петр Ильич. Получил ушибы, но был спасен штурман капитан Николай Александрович Сучков (19852).</w:t>
      </w:r>
    </w:p>
    <w:p w14:paraId="00FDF4B8" w14:textId="77777777" w:rsidR="00087D2F" w:rsidRPr="001E2C69" w:rsidRDefault="00087D2F" w:rsidP="00722885">
      <w:pPr>
        <w:pStyle w:val="7f"/>
        <w:shd w:val="clear" w:color="auto" w:fill="auto"/>
        <w:spacing w:after="0" w:line="240" w:lineRule="auto"/>
        <w:rPr>
          <w:rFonts w:ascii="Times New Roman" w:hAnsi="Times New Roman" w:cs="Times New Roman"/>
          <w:color w:val="000000" w:themeColor="text1"/>
          <w:spacing w:val="0"/>
          <w:sz w:val="16"/>
          <w:szCs w:val="16"/>
        </w:rPr>
      </w:pPr>
    </w:p>
    <w:p w14:paraId="22FC986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1942 И.В.С. звонил в Сталинград и сказал, что пора перестать думать об отступлении (2070,73).</w:t>
      </w:r>
    </w:p>
    <w:p w14:paraId="4F6F91A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34165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20 июля 1942 директивой Сталина в Сталинграде была запрещена эвакуация на восточный берег Волги 450 тыс. сталинградцев, а так же 150тыс. беженцев, которые прибыли сюда в основном из Украины. Зато уже на третий день после получения директивы из города бешеными темпами начали переправлять в тыл заводское оборудование и имущество предприятий. На паромах и баржах через Волгу перевозились грузовики, трактора, комбайны и другая сельхозтехника, сотни тысяч голов скота. Вывозили даже заключенных из тюрем. Мирных же жителей к переправам не подпускали, им обещали, что город не сдадут. Впрочем, наиболее дальновидные </w:t>
      </w:r>
      <w:r w:rsidRPr="001E2C69">
        <w:rPr>
          <w:rFonts w:ascii="Times New Roman" w:hAnsi="Times New Roman"/>
          <w:color w:val="000000" w:themeColor="text1"/>
          <w:sz w:val="16"/>
          <w:szCs w:val="16"/>
        </w:rPr>
        <w:lastRenderedPageBreak/>
        <w:t>граждане, чувствуя нарастающую опасность, все же покидали Сталинград по суше вместе со своими семьями, направляясь на север, в сторону Саратова, или на юго-восток, в Астрахань.</w:t>
      </w:r>
    </w:p>
    <w:p w14:paraId="174959C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1942 в город приходит копия постановления ГКО об отгрузке и вывозе из Сталинградской области запасов хлеба, в соответствии с которым было необходимо в течение месяца дополнительно отгрузить 540 тыс. т. В тот же день бюро обкома принимает постановление о практических мероприятиях по скорейшему сбору и вывозу всего лома цветных металлов с доставкой своим транспортом к железной дороге и пристаням. В зале заседаний Сталинградского горкома ВКП(б) в местном Кремле срочно собрался партийный актив города, в т.ч. представители предприятий, коммунальных служб, речного транспорта. Первый секретарь обкома Чуянов в нервозной обстановке сообщил присутствующим о полученных им указаниях из Москвы, суть которых состояла в следующем: покончить с эвакуационными настроениями, обеспечить бесперебойную работу промышленности, усилить ПВО. После этого по залу пронесся небольшой ропот негодования, ведь многие работники заводов уже паковали вещи в надежде на скорое решение об эвакуации из города, но вслух, естественно, никто не высказался. На партактиве также была обсуждена информация о состоянии с торговлей продуктами, обеспечением общественного порядка. Чуянов заявил, что обком располагает сведениями о заброске в районы области немецких агентов и диверсантов, задачей которых было вывести из строя важнейшие предприятия (11774).</w:t>
      </w:r>
    </w:p>
    <w:p w14:paraId="7404EE4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36A16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1942 в 221 дивизии произошел необычайный случаи. Сержант Дивиченко направил горящий бомбардировщик Boston A-20 на бензозаправщики, стоявшие на вражеском аэродроме. Но три члена экипажа из четырех остались живы: ударной волной их отбросило в овраг. Более того, они вернулись в полк. Сержант Дивиченко погиб позже, в декабре 1942 (3457,101).</w:t>
      </w:r>
    </w:p>
    <w:p w14:paraId="56DA53C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CC695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1942 в боях под Ленинградом л-ш БФ Е.Г.Новицкий был подбит и ранен ЗА. Истекая кровью - вернулся. Потерял глаз. Вернулся и летал с одним. Стал ГСС (438,851).</w:t>
      </w:r>
    </w:p>
    <w:p w14:paraId="0CF1C7A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845EF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C 20 июля по 17 августа 1942 в 8ВА было направлено 23 ап, около 450 самолетов (340,93).</w:t>
      </w:r>
    </w:p>
    <w:p w14:paraId="1B3B8CF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9B766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1942 вышло Постановление ГКО № 2070 О сооружении в р-нах Уэлькала и Оймякона деревянных решетчатых взлетно-посадочных полос и аэродрома. РГАНИР, Фонд ГКО, д. 45, лл. 126-128, 129 (11012).</w:t>
      </w:r>
    </w:p>
    <w:p w14:paraId="251B5B9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956C79"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Жизнь и внутренняя политика:</w:t>
      </w:r>
    </w:p>
    <w:p w14:paraId="706F35C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6EC24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1942 вышло Постановление ГКО № 2069 О вывозе хлеба из районов Сталинградской области. РГАНИР, Фонд ГКО, д. 45, лл. 124-125 (11012).</w:t>
      </w:r>
    </w:p>
    <w:p w14:paraId="351FCD1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0B1D0F"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Авиапромышленность:</w:t>
      </w:r>
    </w:p>
    <w:p w14:paraId="6566830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BE187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июля 1942 А.И.Ш. писал директору завода 1 Третьякову письмо N 37/2818 (1649,287).</w:t>
      </w:r>
    </w:p>
    <w:p w14:paraId="1FBE1E9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процессе фронтовой эксплуатации на 1 кв. с.г. на самолетах Ил-2 выявлен ряд серьезных производственных дефектов, приводящих к преждевременному выходу самолетов из строя и срыву выполнения боевых заданий.</w:t>
      </w:r>
    </w:p>
    <w:p w14:paraId="5BA7927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Большинство дефектов является следствием небрежного изготовления и монтажа деталей в производстве, а также неудовлетворительного контроля продукции со стороны ОТК завода.</w:t>
      </w:r>
    </w:p>
    <w:p w14:paraId="46ABC23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Предлагаю Вам срочно провести мероприятия по устранению дефектов, указанных в направляемом перечне и в случаях допущения отступлений от установленных ТУ и Т применять самые строгие меры взысканий.</w:t>
      </w:r>
    </w:p>
    <w:p w14:paraId="46478F8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Приложение: Основные производственные дефекты по самолету Ил-2 (1649,288).</w:t>
      </w:r>
    </w:p>
    <w:p w14:paraId="425A011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Основные производственные дефекты по самолетам Ил-2</w:t>
      </w:r>
    </w:p>
    <w:p w14:paraId="11E7A68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Течь труб водосистемы, идущих к радиатору в местах сварных швов, вследствие некачественной сварки. Дефект массовый, приводит к вытеканию воды из системы, к перегреву мотора и невыполнения боевого задания.</w:t>
      </w:r>
    </w:p>
    <w:p w14:paraId="7EECF34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Течь горючего из бензопроводки вследствие плохого качества монтажа. Дефект массовый, не исключена возможность пожара в воздухе.</w:t>
      </w:r>
    </w:p>
    <w:p w14:paraId="633D709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Травление воздушной системы вследствие ее негерметичности, особенно при низких температурах. Дефект массовый, приводящий к отказам пневмосистемы и тормозов.</w:t>
      </w:r>
    </w:p>
    <w:p w14:paraId="47141DB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Трещины среднего узла ломающегося подкоса шасси. Дефект в основном на продукции завода 18.</w:t>
      </w:r>
    </w:p>
    <w:p w14:paraId="69C4509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Разрыв маслопетрофлексов, идущих к радиатору, вследствие плохого качества и плохой заделки наконечников (только на Брянском фронте в январе зафиксировано 12 случаев). Дефект массовый, приводит к срыву выполнения боевых заданий, авариям моторов и самолетов.</w:t>
      </w:r>
    </w:p>
    <w:p w14:paraId="2B55892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Выбрасывание масла из РС-7 и замасливание козырька пилота - дефект массовый, приводящий к ухудшению обзора вперед, что снижает боевые качества самолета.</w:t>
      </w:r>
    </w:p>
    <w:p w14:paraId="0B7B692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Срез крепления бронированных капотов и люков из-за плохой подгонки</w:t>
      </w:r>
    </w:p>
    <w:p w14:paraId="187D915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Трещины передних кронштейнов крепления пулеметов ШКАС в местах сварки</w:t>
      </w:r>
    </w:p>
    <w:p w14:paraId="243CF1A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Лопаются бронированные шланги тормозов (на самолетах завода 18). Только в 606 шап зарегистрировано 9 случаев</w:t>
      </w:r>
    </w:p>
    <w:p w14:paraId="5110292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Проколы тормозной камеры вследствие небрежного монтажа пружины, скрепляющей тормозные секции (на самолетах завода 19). В 606 шап обнаружено 8 случаев.</w:t>
      </w:r>
    </w:p>
    <w:p w14:paraId="7406A21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Заплывают лобовые стекла фонаря л (появление режущих цветов), вследствие накачественного материала склейки. дефект выявлен на последних самолетах выпуска завода 16. искажает обзор вперед и снижает боевые качества самолетов.</w:t>
      </w:r>
    </w:p>
    <w:p w14:paraId="3D84402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Дефекты в п. 4, 7, 8, 9, 10 приводят к преждевременному выходу матчасти из строя и срыву боевых заданий.</w:t>
      </w:r>
    </w:p>
    <w:p w14:paraId="159E6AF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Составлено по материалам инспекции ВВС КА - о конструктивно-производственных дефектах самолета Ил-2, выявленных в процессе эксплуатации за 1 кв. 1942.</w:t>
      </w:r>
    </w:p>
    <w:p w14:paraId="797977A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Верно: Бендерский (1649,288).</w:t>
      </w:r>
    </w:p>
    <w:p w14:paraId="43F0A5F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1C2CF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июля 1942 вышел приказ НКАП N 553сс "О вооружении самолетов ЛаГГ-3 и Як-7 пушками калибра 37 мм" в исполнение постановления ГКО N ГОКО 2066сс от 20 июля 1941:</w:t>
      </w:r>
    </w:p>
    <w:p w14:paraId="0DF665C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Директорам заводов 21 Гостинцеву и 153 Романову и ГК А.С.Я. и С.А.Л.:</w:t>
      </w:r>
    </w:p>
    <w:p w14:paraId="40AAB5B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выпустить с завода 21 готовых к бою к 15 августа 20 и к 1 сентября 1942 следующие 20 ЛаГГ-3 с вооружением - одна пушка 37 мм с боезапасом 20 снарядов и один БС</w:t>
      </w:r>
    </w:p>
    <w:p w14:paraId="700B2AF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выпустить с завода 153 готовых к бою к 5 сентября 1942 20 як-7 с вооружением - одна пушка 37 мм с боезапасом 20 снарядов и один БС</w:t>
      </w:r>
    </w:p>
    <w:p w14:paraId="777B2F1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Этим же постановлением ГКО поручил А.С.Я. и С.А.Л. совместно со Шпитальным проверить возможность размещения на самолетах Як-7 и ЛаГГ-3 боекомплекта в 30 снарядов вместо 20 и и результаты доложить 5 августа 1942 (1567,63).</w:t>
      </w:r>
    </w:p>
    <w:p w14:paraId="4BCBB4D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E6852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июля 1942 ОКБ-16 НКВ предъявило на повторные испытания пушку 11-П N-2, насчитанную на патрон без буртика, унифицированный с находящимся в серийном производстве, и по 17 августа 1942, пушка, установленная на самолете ЛаГГ-3 N 312197, проходила повторные полигонные испытания в филиале НИП АВ ВВС КА (Ногинск) (263,170). Было произведено 2867 выстрелов, включая 1314 выстрелов в воздухе в ходе 42 полетов (263,173). Повторные полигонные испытания пушка выдержала (263,174).</w:t>
      </w:r>
    </w:p>
    <w:p w14:paraId="0690426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Согласно решению управления Опытного Строительства ГИ ИАС ВВС КА:</w:t>
      </w:r>
    </w:p>
    <w:p w14:paraId="67512E1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Отчет по повторным полигонным испытаниям 37-мм авиационной пушки 11-П N 2 на самолете ЛаГГ-3.</w:t>
      </w:r>
    </w:p>
    <w:p w14:paraId="3061B75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Просить НКомиссара вооружения СССР - изготовить в 1942 60 шт. 37-мм пушек ОКБ-16;</w:t>
      </w:r>
    </w:p>
    <w:p w14:paraId="2FC36B0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Просить НКомиссара авиационной промышленности СССР вооружить в 1942 37-мм пушками ОКБ-16 20 самолетов ЛаГГ-3 и 20 самолетов Ил-2 за счет программы выпускаемых самолетов для ВВС КА;</w:t>
      </w:r>
    </w:p>
    <w:p w14:paraId="76EDF75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Из двух систем 37-мм пушек (ОКБ-15 и ОКБ-16) лучшей системой по данным полигонных испытаний является 37-мм пушка ОКБ-16 НКВ, что видно из следующей оценки: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E2C69" w:rsidRPr="001E2C69" w14:paraId="4AA47DA1" w14:textId="77777777" w:rsidTr="00CC5360">
        <w:tc>
          <w:tcPr>
            <w:tcW w:w="5636" w:type="dxa"/>
            <w:tcBorders>
              <w:top w:val="single" w:sz="12" w:space="0" w:color="auto"/>
            </w:tcBorders>
          </w:tcPr>
          <w:p w14:paraId="22375C0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37-мм пушка 11-П ОКБ-16 НКВ</w:t>
            </w:r>
          </w:p>
        </w:tc>
        <w:tc>
          <w:tcPr>
            <w:tcW w:w="5636" w:type="dxa"/>
            <w:tcBorders>
              <w:top w:val="single" w:sz="12" w:space="0" w:color="auto"/>
            </w:tcBorders>
          </w:tcPr>
          <w:p w14:paraId="40D1C5F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37-мм пушка ОКБ-15</w:t>
            </w:r>
          </w:p>
        </w:tc>
      </w:tr>
      <w:tr w:rsidR="001E2C69" w:rsidRPr="001E2C69" w14:paraId="53066D35" w14:textId="77777777" w:rsidTr="00CC5360">
        <w:tc>
          <w:tcPr>
            <w:tcW w:w="5636" w:type="dxa"/>
          </w:tcPr>
          <w:p w14:paraId="23746EB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5636" w:type="dxa"/>
          </w:tcPr>
          <w:p w14:paraId="44C84B8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7CDD538C" w14:textId="77777777" w:rsidTr="00CC5360">
        <w:tc>
          <w:tcPr>
            <w:tcW w:w="5636" w:type="dxa"/>
          </w:tcPr>
          <w:p w14:paraId="38986B1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На самолет Ил-2 пушка может</w:t>
            </w:r>
          </w:p>
        </w:tc>
        <w:tc>
          <w:tcPr>
            <w:tcW w:w="5636" w:type="dxa"/>
          </w:tcPr>
          <w:p w14:paraId="4A50125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В крыльевом варианте на самолете</w:t>
            </w:r>
          </w:p>
        </w:tc>
      </w:tr>
      <w:tr w:rsidR="001E2C69" w:rsidRPr="001E2C69" w14:paraId="196B6D65" w14:textId="77777777" w:rsidTr="00CC5360">
        <w:tc>
          <w:tcPr>
            <w:tcW w:w="5636" w:type="dxa"/>
          </w:tcPr>
          <w:p w14:paraId="51DB12E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быть установлена без конструкти-</w:t>
            </w:r>
          </w:p>
        </w:tc>
        <w:tc>
          <w:tcPr>
            <w:tcW w:w="5636" w:type="dxa"/>
          </w:tcPr>
          <w:p w14:paraId="5C71EBA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И-2 пушка имеет 387 деталей. Для пе-</w:t>
            </w:r>
          </w:p>
        </w:tc>
      </w:tr>
      <w:tr w:rsidR="001E2C69" w:rsidRPr="001E2C69" w14:paraId="2F0E4A16" w14:textId="77777777" w:rsidTr="00CC5360">
        <w:tc>
          <w:tcPr>
            <w:tcW w:w="5636" w:type="dxa"/>
          </w:tcPr>
          <w:p w14:paraId="495086D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вных изменений самой пушки. Ко-</w:t>
            </w:r>
          </w:p>
        </w:tc>
        <w:tc>
          <w:tcPr>
            <w:tcW w:w="5636" w:type="dxa"/>
          </w:tcPr>
          <w:p w14:paraId="3151ED6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рехода от моторного варианта к крыль-</w:t>
            </w:r>
          </w:p>
        </w:tc>
      </w:tr>
      <w:tr w:rsidR="001E2C69" w:rsidRPr="001E2C69" w14:paraId="26EB0A40" w14:textId="77777777" w:rsidTr="00CC5360">
        <w:tc>
          <w:tcPr>
            <w:tcW w:w="5636" w:type="dxa"/>
          </w:tcPr>
          <w:p w14:paraId="523CFF8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личество деталей отстается тоже.</w:t>
            </w:r>
          </w:p>
        </w:tc>
        <w:tc>
          <w:tcPr>
            <w:tcW w:w="5636" w:type="dxa"/>
          </w:tcPr>
          <w:p w14:paraId="0923366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евому пушка требует дополнительного</w:t>
            </w:r>
          </w:p>
        </w:tc>
      </w:tr>
      <w:tr w:rsidR="001E2C69" w:rsidRPr="001E2C69" w14:paraId="550B9E95" w14:textId="77777777" w:rsidTr="00CC5360">
        <w:tc>
          <w:tcPr>
            <w:tcW w:w="5636" w:type="dxa"/>
          </w:tcPr>
          <w:p w14:paraId="21F5044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Крепление пушки несколько упро-</w:t>
            </w:r>
          </w:p>
        </w:tc>
        <w:tc>
          <w:tcPr>
            <w:tcW w:w="5636" w:type="dxa"/>
          </w:tcPr>
          <w:p w14:paraId="4FB104A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производства новых 100 деталей....</w:t>
            </w:r>
          </w:p>
        </w:tc>
      </w:tr>
      <w:tr w:rsidR="001E2C69" w:rsidRPr="001E2C69" w14:paraId="18CDC5D3" w14:textId="77777777" w:rsidTr="00CC5360">
        <w:tc>
          <w:tcPr>
            <w:tcW w:w="5636" w:type="dxa"/>
          </w:tcPr>
          <w:p w14:paraId="39CF8AE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A10926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Крепление пушки усложняется. Вариан-</w:t>
            </w:r>
          </w:p>
        </w:tc>
      </w:tr>
      <w:tr w:rsidR="001E2C69" w:rsidRPr="001E2C69" w14:paraId="256C71EC" w14:textId="77777777" w:rsidTr="00CC5360">
        <w:tc>
          <w:tcPr>
            <w:tcW w:w="5636" w:type="dxa"/>
          </w:tcPr>
          <w:p w14:paraId="292AF6E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704F188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ты пушек моторной и крыльевой</w:t>
            </w:r>
          </w:p>
        </w:tc>
      </w:tr>
      <w:tr w:rsidR="001E2C69" w:rsidRPr="001E2C69" w14:paraId="5205DFBF" w14:textId="77777777" w:rsidTr="00CC5360">
        <w:tc>
          <w:tcPr>
            <w:tcW w:w="5636" w:type="dxa"/>
          </w:tcPr>
          <w:p w14:paraId="4C5B28D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03AFCE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различны</w:t>
            </w:r>
          </w:p>
        </w:tc>
      </w:tr>
      <w:tr w:rsidR="001E2C69" w:rsidRPr="001E2C69" w14:paraId="5F53B1B6" w14:textId="77777777" w:rsidTr="00CC5360">
        <w:tc>
          <w:tcPr>
            <w:tcW w:w="5636" w:type="dxa"/>
          </w:tcPr>
          <w:p w14:paraId="46657F7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Боекомплект от конструкции</w:t>
            </w:r>
          </w:p>
        </w:tc>
        <w:tc>
          <w:tcPr>
            <w:tcW w:w="5636" w:type="dxa"/>
          </w:tcPr>
          <w:p w14:paraId="3ED7292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Боекомплект зависит от конструкции</w:t>
            </w:r>
          </w:p>
        </w:tc>
      </w:tr>
      <w:tr w:rsidR="001E2C69" w:rsidRPr="001E2C69" w14:paraId="6323CBAD" w14:textId="77777777" w:rsidTr="00CC5360">
        <w:tc>
          <w:tcPr>
            <w:tcW w:w="5636" w:type="dxa"/>
          </w:tcPr>
          <w:p w14:paraId="28D5717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пушки не зависит. Для самолета</w:t>
            </w:r>
          </w:p>
        </w:tc>
        <w:tc>
          <w:tcPr>
            <w:tcW w:w="5636" w:type="dxa"/>
          </w:tcPr>
          <w:p w14:paraId="1F6E3CE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пушки. Магазин предназначен для пре-</w:t>
            </w:r>
          </w:p>
        </w:tc>
      </w:tr>
      <w:tr w:rsidR="001E2C69" w:rsidRPr="001E2C69" w14:paraId="22736E49" w14:textId="77777777" w:rsidTr="00CC5360">
        <w:tc>
          <w:tcPr>
            <w:tcW w:w="5636" w:type="dxa"/>
          </w:tcPr>
          <w:p w14:paraId="6F49908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ЛаГГ-3 он равен 36 патронам,</w:t>
            </w:r>
          </w:p>
        </w:tc>
        <w:tc>
          <w:tcPr>
            <w:tcW w:w="5636" w:type="dxa"/>
          </w:tcPr>
          <w:p w14:paraId="743B4FD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дельного количества патронов в зави-</w:t>
            </w:r>
          </w:p>
        </w:tc>
      </w:tr>
      <w:tr w:rsidR="001E2C69" w:rsidRPr="001E2C69" w14:paraId="63B89878" w14:textId="77777777" w:rsidTr="00CC5360">
        <w:tc>
          <w:tcPr>
            <w:tcW w:w="5636" w:type="dxa"/>
          </w:tcPr>
          <w:p w14:paraId="415AA56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самолета Ил-2 боекомплект</w:t>
            </w:r>
          </w:p>
        </w:tc>
        <w:tc>
          <w:tcPr>
            <w:tcW w:w="5636" w:type="dxa"/>
          </w:tcPr>
          <w:p w14:paraId="4D8789A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симости от варианта пушки (моторной,</w:t>
            </w:r>
          </w:p>
        </w:tc>
      </w:tr>
      <w:tr w:rsidR="001E2C69" w:rsidRPr="001E2C69" w14:paraId="4E5D83DB" w14:textId="77777777" w:rsidTr="00CC5360">
        <w:tc>
          <w:tcPr>
            <w:tcW w:w="5636" w:type="dxa"/>
          </w:tcPr>
          <w:p w14:paraId="3BBE146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может быть значительно увеличен.</w:t>
            </w:r>
          </w:p>
        </w:tc>
        <w:tc>
          <w:tcPr>
            <w:tcW w:w="5636" w:type="dxa"/>
          </w:tcPr>
          <w:p w14:paraId="062180F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крыльевой. Боекомплект для моторного</w:t>
            </w:r>
          </w:p>
        </w:tc>
      </w:tr>
      <w:tr w:rsidR="001E2C69" w:rsidRPr="001E2C69" w14:paraId="5BC43710" w14:textId="77777777" w:rsidTr="00CC5360">
        <w:tc>
          <w:tcPr>
            <w:tcW w:w="5636" w:type="dxa"/>
          </w:tcPr>
          <w:p w14:paraId="7498599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13B32CA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варианта равен 20 патронам, для кры-</w:t>
            </w:r>
          </w:p>
        </w:tc>
      </w:tr>
      <w:tr w:rsidR="001E2C69" w:rsidRPr="001E2C69" w14:paraId="523D5A6E" w14:textId="77777777" w:rsidTr="00CC5360">
        <w:tc>
          <w:tcPr>
            <w:tcW w:w="5636" w:type="dxa"/>
          </w:tcPr>
          <w:p w14:paraId="1181567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29DE5A5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льевого - 40 патронам.</w:t>
            </w:r>
          </w:p>
        </w:tc>
      </w:tr>
      <w:tr w:rsidR="001E2C69" w:rsidRPr="001E2C69" w14:paraId="29C6DBE7" w14:textId="77777777" w:rsidTr="00CC5360">
        <w:tc>
          <w:tcPr>
            <w:tcW w:w="5636" w:type="dxa"/>
          </w:tcPr>
          <w:p w14:paraId="16C3141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Вес пушки с установкой на</w:t>
            </w:r>
          </w:p>
        </w:tc>
        <w:tc>
          <w:tcPr>
            <w:tcW w:w="5636" w:type="dxa"/>
          </w:tcPr>
          <w:p w14:paraId="54E67FE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Вес пушки с установкой на самолете</w:t>
            </w:r>
          </w:p>
        </w:tc>
      </w:tr>
      <w:tr w:rsidR="001E2C69" w:rsidRPr="001E2C69" w14:paraId="657D9672" w14:textId="77777777" w:rsidTr="00CC5360">
        <w:tc>
          <w:tcPr>
            <w:tcW w:w="5636" w:type="dxa"/>
          </w:tcPr>
          <w:p w14:paraId="4CEEEBD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ЛаГГ-3 183.2 кДля самолета</w:t>
            </w:r>
          </w:p>
        </w:tc>
        <w:tc>
          <w:tcPr>
            <w:tcW w:w="5636" w:type="dxa"/>
          </w:tcPr>
          <w:p w14:paraId="04DB209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ЛаГГ-3 208.4 кг, на самолете Ил-2 -</w:t>
            </w:r>
          </w:p>
        </w:tc>
      </w:tr>
      <w:tr w:rsidR="001E2C69" w:rsidRPr="001E2C69" w14:paraId="720FDB31" w14:textId="77777777" w:rsidTr="00CC5360">
        <w:tc>
          <w:tcPr>
            <w:tcW w:w="5636" w:type="dxa"/>
          </w:tcPr>
          <w:p w14:paraId="1E01749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Ил-2 вес пушки с установкой</w:t>
            </w:r>
          </w:p>
        </w:tc>
        <w:tc>
          <w:tcPr>
            <w:tcW w:w="5636" w:type="dxa"/>
          </w:tcPr>
          <w:p w14:paraId="38E2DB9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302.5 кг</w:t>
            </w:r>
          </w:p>
        </w:tc>
      </w:tr>
      <w:tr w:rsidR="001E2C69" w:rsidRPr="001E2C69" w14:paraId="2B4332C1" w14:textId="77777777" w:rsidTr="00CC5360">
        <w:tc>
          <w:tcPr>
            <w:tcW w:w="5636" w:type="dxa"/>
          </w:tcPr>
          <w:p w14:paraId="6558D9B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будет не больше, чем моторной.</w:t>
            </w:r>
          </w:p>
        </w:tc>
        <w:tc>
          <w:tcPr>
            <w:tcW w:w="5636" w:type="dxa"/>
          </w:tcPr>
          <w:p w14:paraId="1CA61A1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3C89F93B" w14:textId="77777777" w:rsidTr="00CC5360">
        <w:tc>
          <w:tcPr>
            <w:tcW w:w="5636" w:type="dxa"/>
          </w:tcPr>
          <w:p w14:paraId="4BFEE68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 Темп стрельбы пушки, уста-</w:t>
            </w:r>
          </w:p>
        </w:tc>
        <w:tc>
          <w:tcPr>
            <w:tcW w:w="5636" w:type="dxa"/>
          </w:tcPr>
          <w:p w14:paraId="0CDE059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 Темп стрельбы крыльевых пушек</w:t>
            </w:r>
          </w:p>
        </w:tc>
      </w:tr>
      <w:tr w:rsidR="001E2C69" w:rsidRPr="001E2C69" w14:paraId="5A1A5BAF" w14:textId="77777777" w:rsidTr="00CC5360">
        <w:tc>
          <w:tcPr>
            <w:tcW w:w="5636" w:type="dxa"/>
          </w:tcPr>
          <w:p w14:paraId="142B11D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новленной на ЛаГГ-3:</w:t>
            </w:r>
          </w:p>
        </w:tc>
        <w:tc>
          <w:tcPr>
            <w:tcW w:w="5636" w:type="dxa"/>
          </w:tcPr>
          <w:p w14:paraId="5357606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данным полигонных испытаний</w:t>
            </w:r>
          </w:p>
        </w:tc>
      </w:tr>
      <w:tr w:rsidR="001E2C69" w:rsidRPr="001E2C69" w14:paraId="4DF0725A" w14:textId="77777777" w:rsidTr="00CC5360">
        <w:tc>
          <w:tcPr>
            <w:tcW w:w="5636" w:type="dxa"/>
          </w:tcPr>
          <w:p w14:paraId="403C239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средний -258</w:t>
            </w:r>
          </w:p>
        </w:tc>
        <w:tc>
          <w:tcPr>
            <w:tcW w:w="5636" w:type="dxa"/>
          </w:tcPr>
          <w:p w14:paraId="5E2F0C1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самолете Ил-2 в среднем равен</w:t>
            </w:r>
          </w:p>
        </w:tc>
      </w:tr>
      <w:tr w:rsidR="001E2C69" w:rsidRPr="001E2C69" w14:paraId="52BDD7A4" w14:textId="77777777" w:rsidTr="00CC5360">
        <w:tc>
          <w:tcPr>
            <w:tcW w:w="5636" w:type="dxa"/>
          </w:tcPr>
          <w:p w14:paraId="1C5FBAE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крыльевой пушки тем оста-</w:t>
            </w:r>
          </w:p>
        </w:tc>
        <w:tc>
          <w:tcPr>
            <w:tcW w:w="5636" w:type="dxa"/>
          </w:tcPr>
          <w:p w14:paraId="1F92832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169 в/мин.</w:t>
            </w:r>
          </w:p>
        </w:tc>
      </w:tr>
      <w:tr w:rsidR="001E2C69" w:rsidRPr="001E2C69" w14:paraId="638E35DA" w14:textId="77777777" w:rsidTr="00CC5360">
        <w:tc>
          <w:tcPr>
            <w:tcW w:w="5636" w:type="dxa"/>
            <w:tcBorders>
              <w:bottom w:val="single" w:sz="12" w:space="0" w:color="auto"/>
            </w:tcBorders>
          </w:tcPr>
          <w:p w14:paraId="5806871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ется тем же</w:t>
            </w:r>
          </w:p>
        </w:tc>
        <w:tc>
          <w:tcPr>
            <w:tcW w:w="5636" w:type="dxa"/>
            <w:tcBorders>
              <w:bottom w:val="single" w:sz="12" w:space="0" w:color="auto"/>
            </w:tcBorders>
          </w:tcPr>
          <w:p w14:paraId="0D7884E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61B4DA0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 По эксплуатации на самолете ЛаГГ-3 и по эффективности действия снаряда у цели пушки обоих систем практически одинаковы.</w:t>
      </w:r>
    </w:p>
    <w:p w14:paraId="721D966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ж) 37-мм пушка ОКБ-16 по плану опытного строительства ВВС КА на 1942 предусмотрена для установки в крыле двухмоторных штурмовиков, где она монтируется внутри крыла. Монтаж пушки ОКБ-15 внутри крыла из-за большого габарита невозможен.</w:t>
      </w:r>
    </w:p>
    <w:p w14:paraId="74201FB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Учитывая, что наиболее эффективным снарядом в авиации для борьбы с танками является снаряд калибра 37-мм и что в настоящее время удовлетворение запросов фронта по этому калибру можно быстро осуществить путем восстановления налаженного производства 37-мм пушек ОКБ-15, УОС ГУ ИАС ВВС КА считает необходимым продолжать производство пушек ОКБ-15.</w:t>
      </w:r>
    </w:p>
    <w:p w14:paraId="0F6EC7E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Вопрос о вводе на вооружение ВВС КА пушек калибра 37 мм решить после сравнения результатов боевого применения пушек ОКБ-15 и ОКБ-16 (263,176).</w:t>
      </w:r>
    </w:p>
    <w:p w14:paraId="27F83AA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EE8F39" w14:textId="77777777" w:rsidR="00C114EC" w:rsidRPr="001E2C69" w:rsidRDefault="00C114E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С 21 июля по 17 августа 1942 г. 37-мм пушка 11П № 2 ОКБ-16 в пе</w:t>
      </w:r>
      <w:r w:rsidRPr="001E2C69">
        <w:rPr>
          <w:color w:val="000000" w:themeColor="text1"/>
          <w:sz w:val="16"/>
          <w:szCs w:val="16"/>
        </w:rPr>
        <w:softHyphen/>
        <w:t>риод успешно прошла повторные летные полигонные испытания на самолете ЛаГГ-3 зав. № 312197. Отчет по испы</w:t>
      </w:r>
      <w:r w:rsidRPr="001E2C69">
        <w:rPr>
          <w:color w:val="000000" w:themeColor="text1"/>
          <w:sz w:val="16"/>
          <w:szCs w:val="16"/>
        </w:rPr>
        <w:softHyphen/>
        <w:t>таниям был утвержден главным инженером ВВС КА генерал-лейтенантом Репиным 26 августа.</w:t>
      </w:r>
    </w:p>
    <w:p w14:paraId="72F98241" w14:textId="77777777" w:rsidR="00C114EC" w:rsidRPr="001E2C69" w:rsidRDefault="00C114E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Испытания проводились филиалом НИП АВ ВВС в Ногинске. Ведущим инженером по испытаниям был назначен инженер-майор Филиппов, помощ</w:t>
      </w:r>
      <w:r w:rsidRPr="001E2C69">
        <w:rPr>
          <w:color w:val="000000" w:themeColor="text1"/>
          <w:sz w:val="16"/>
          <w:szCs w:val="16"/>
        </w:rPr>
        <w:softHyphen/>
        <w:t>ником ведущего инженера — старший техник-лей</w:t>
      </w:r>
      <w:r w:rsidRPr="001E2C69">
        <w:rPr>
          <w:color w:val="000000" w:themeColor="text1"/>
          <w:sz w:val="16"/>
          <w:szCs w:val="16"/>
        </w:rPr>
        <w:softHyphen/>
        <w:t>тенант Гурьев. Испытания обеспечивала бригада в составе техников-испытателей сержантов Филип</w:t>
      </w:r>
      <w:r w:rsidRPr="001E2C69">
        <w:rPr>
          <w:color w:val="000000" w:themeColor="text1"/>
          <w:sz w:val="16"/>
          <w:szCs w:val="16"/>
        </w:rPr>
        <w:softHyphen/>
        <w:t>пова и Ярулина, младшего специалиста сержанта Лубышева, техника-расчетчика — Хитровой, авиа</w:t>
      </w:r>
      <w:r w:rsidRPr="001E2C69">
        <w:rPr>
          <w:color w:val="000000" w:themeColor="text1"/>
          <w:sz w:val="16"/>
          <w:szCs w:val="16"/>
        </w:rPr>
        <w:softHyphen/>
        <w:t>механика техника-лейтенанта Василевского, авиа</w:t>
      </w:r>
      <w:r w:rsidRPr="001E2C69">
        <w:rPr>
          <w:color w:val="000000" w:themeColor="text1"/>
          <w:sz w:val="16"/>
          <w:szCs w:val="16"/>
        </w:rPr>
        <w:softHyphen/>
        <w:t>механика старшины Шалагинова. Летал летчик-ис</w:t>
      </w:r>
      <w:r w:rsidRPr="001E2C69">
        <w:rPr>
          <w:color w:val="000000" w:themeColor="text1"/>
          <w:sz w:val="16"/>
          <w:szCs w:val="16"/>
        </w:rPr>
        <w:softHyphen/>
        <w:t>пытатель капитан Кравченко. Позже техника-рас</w:t>
      </w:r>
      <w:r w:rsidRPr="001E2C69">
        <w:rPr>
          <w:color w:val="000000" w:themeColor="text1"/>
          <w:sz w:val="16"/>
          <w:szCs w:val="16"/>
        </w:rPr>
        <w:softHyphen/>
        <w:t>четчика Хитрову заменили техником-лейтенантом Громовым.</w:t>
      </w:r>
    </w:p>
    <w:p w14:paraId="6906DDE3" w14:textId="77777777" w:rsidR="00C114EC" w:rsidRPr="001E2C69" w:rsidRDefault="00C114E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Помимо доработки под штатный патрон, на пушке 11П № 2 была изменена конструкция заще</w:t>
      </w:r>
      <w:r w:rsidRPr="001E2C69">
        <w:rPr>
          <w:color w:val="000000" w:themeColor="text1"/>
          <w:sz w:val="16"/>
          <w:szCs w:val="16"/>
        </w:rPr>
        <w:softHyphen/>
        <w:t>лок затвора (что привело к упрощению формы за</w:t>
      </w:r>
      <w:r w:rsidRPr="001E2C69">
        <w:rPr>
          <w:color w:val="000000" w:themeColor="text1"/>
          <w:sz w:val="16"/>
          <w:szCs w:val="16"/>
        </w:rPr>
        <w:softHyphen/>
        <w:t>твора), бойка (с целью повышения его живучести и улучшения конструктивной формы ударника) и стопора затыльника. Изготовлено новое звено с измененной формой шарнира, увеличенной жест</w:t>
      </w:r>
      <w:r w:rsidRPr="001E2C69">
        <w:rPr>
          <w:color w:val="000000" w:themeColor="text1"/>
          <w:sz w:val="16"/>
          <w:szCs w:val="16"/>
        </w:rPr>
        <w:softHyphen/>
        <w:t>кости и более простое в производстве. Патронная коробка теперь состояла из двух частей. Это по</w:t>
      </w:r>
      <w:r w:rsidRPr="001E2C69">
        <w:rPr>
          <w:color w:val="000000" w:themeColor="text1"/>
          <w:sz w:val="16"/>
          <w:szCs w:val="16"/>
        </w:rPr>
        <w:softHyphen/>
        <w:t>зволяло снимать и ставить патронную коробку без демонтажа пулеметов БС. Улучшен подвод ленты в рукава к приемнику. Поставлен предохранитель на кнопку электропневмопуска. Переделаны кон</w:t>
      </w:r>
      <w:r w:rsidRPr="001E2C69">
        <w:rPr>
          <w:color w:val="000000" w:themeColor="text1"/>
          <w:sz w:val="16"/>
          <w:szCs w:val="16"/>
        </w:rPr>
        <w:softHyphen/>
        <w:t>струкции звеньеотвода, заднего поддерживающе</w:t>
      </w:r>
      <w:r w:rsidRPr="001E2C69">
        <w:rPr>
          <w:color w:val="000000" w:themeColor="text1"/>
          <w:sz w:val="16"/>
          <w:szCs w:val="16"/>
        </w:rPr>
        <w:softHyphen/>
        <w:t>го крепления пушки, гашеток пневмоперезарядки пушки, гильзозвеньесборника. Сделан отсос газов из гильзозвеньесборника. Боекомплект к пушке со</w:t>
      </w:r>
      <w:r w:rsidRPr="001E2C69">
        <w:rPr>
          <w:color w:val="000000" w:themeColor="text1"/>
          <w:sz w:val="16"/>
          <w:szCs w:val="16"/>
        </w:rPr>
        <w:softHyphen/>
        <w:t>ставил 36 снарядов.</w:t>
      </w:r>
    </w:p>
    <w:p w14:paraId="477B4B6B" w14:textId="77777777" w:rsidR="00C114EC" w:rsidRPr="001E2C69" w:rsidRDefault="00C114E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На испытаниях пушка продемонстрировала вы</w:t>
      </w:r>
      <w:r w:rsidRPr="001E2C69">
        <w:rPr>
          <w:color w:val="000000" w:themeColor="text1"/>
          <w:sz w:val="16"/>
          <w:szCs w:val="16"/>
        </w:rPr>
        <w:softHyphen/>
        <w:t>сокую надежность в работе, дав всего 0,54% задер</w:t>
      </w:r>
      <w:r w:rsidRPr="001E2C69">
        <w:rPr>
          <w:color w:val="000000" w:themeColor="text1"/>
          <w:sz w:val="16"/>
          <w:szCs w:val="16"/>
        </w:rPr>
        <w:softHyphen/>
        <w:t>жек. Из 3359 выстрелов (в том числе 492 — в за</w:t>
      </w:r>
      <w:r w:rsidRPr="001E2C69">
        <w:rPr>
          <w:color w:val="000000" w:themeColor="text1"/>
          <w:sz w:val="16"/>
          <w:szCs w:val="16"/>
        </w:rPr>
        <w:softHyphen/>
        <w:t>водских условиях), произведенных на испытаниях, 1314 выстрелов было выполнено в воздухе в 42 по</w:t>
      </w:r>
      <w:r w:rsidRPr="001E2C69">
        <w:rPr>
          <w:color w:val="000000" w:themeColor="text1"/>
          <w:sz w:val="16"/>
          <w:szCs w:val="16"/>
        </w:rPr>
        <w:softHyphen/>
        <w:t>летах, остальные — на земле. Причем в 27 полетах боекомплект был расстрелян полностью без задер жек. Живучесть пушки лимитировалась поломкой затыльника после 1657 выстрелов и хвостовика ударника после 2231 выстрела.</w:t>
      </w:r>
    </w:p>
    <w:p w14:paraId="60092EAC" w14:textId="77777777" w:rsidR="00C114EC" w:rsidRPr="001E2C69" w:rsidRDefault="00C114E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Установка пушки на самолете обеспечила впол</w:t>
      </w:r>
      <w:r w:rsidRPr="001E2C69">
        <w:rPr>
          <w:color w:val="000000" w:themeColor="text1"/>
          <w:sz w:val="16"/>
          <w:szCs w:val="16"/>
        </w:rPr>
        <w:softHyphen/>
        <w:t>не нормальную работу пушки при выполнении 2802 выстрелов. Слабым местом оказался опор</w:t>
      </w:r>
      <w:r w:rsidRPr="001E2C69">
        <w:rPr>
          <w:color w:val="000000" w:themeColor="text1"/>
          <w:sz w:val="16"/>
          <w:szCs w:val="16"/>
        </w:rPr>
        <w:softHyphen/>
        <w:t>ный подшипник ствола в храповике винта, кото</w:t>
      </w:r>
      <w:r w:rsidRPr="001E2C69">
        <w:rPr>
          <w:color w:val="000000" w:themeColor="text1"/>
          <w:sz w:val="16"/>
          <w:szCs w:val="16"/>
        </w:rPr>
        <w:softHyphen/>
        <w:t>рый сломался после 2094 выстрелов. Основное силовое крепление пушки к мотору — передний суппорт, воспринимающий усилие отдачи, вы</w:t>
      </w:r>
      <w:r w:rsidRPr="001E2C69">
        <w:rPr>
          <w:color w:val="000000" w:themeColor="text1"/>
          <w:sz w:val="16"/>
          <w:szCs w:val="16"/>
        </w:rPr>
        <w:softHyphen/>
        <w:t>держал 4256 выстрелов и свою живучесть не ис</w:t>
      </w:r>
      <w:r w:rsidRPr="001E2C69">
        <w:rPr>
          <w:color w:val="000000" w:themeColor="text1"/>
          <w:sz w:val="16"/>
          <w:szCs w:val="16"/>
        </w:rPr>
        <w:softHyphen/>
        <w:t>черпал (учтено количество выстрелов, произве</w:t>
      </w:r>
      <w:r w:rsidRPr="001E2C69">
        <w:rPr>
          <w:color w:val="000000" w:themeColor="text1"/>
          <w:sz w:val="16"/>
          <w:szCs w:val="16"/>
        </w:rPr>
        <w:softHyphen/>
        <w:t>денных при первых полигонных испытаниях пуш</w:t>
      </w:r>
      <w:r w:rsidRPr="001E2C69">
        <w:rPr>
          <w:color w:val="000000" w:themeColor="text1"/>
          <w:sz w:val="16"/>
          <w:szCs w:val="16"/>
        </w:rPr>
        <w:softHyphen/>
        <w:t>ки 11П № 1).</w:t>
      </w:r>
    </w:p>
    <w:p w14:paraId="5B505E6A" w14:textId="77777777" w:rsidR="00C114EC" w:rsidRPr="001E2C69" w:rsidRDefault="00C114E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 заключению капитана Кравченко, техника пилотирования самолетом по сравнению с серий</w:t>
      </w:r>
      <w:r w:rsidRPr="001E2C69">
        <w:rPr>
          <w:color w:val="000000" w:themeColor="text1"/>
          <w:sz w:val="16"/>
          <w:szCs w:val="16"/>
        </w:rPr>
        <w:softHyphen/>
        <w:t>ными машинами не изменилась. Вести стрельбу длинными очередями не рекомендовалось, так как уже после 4—5 выстрелов самолет начинает раска</w:t>
      </w:r>
      <w:r w:rsidRPr="001E2C69">
        <w:rPr>
          <w:color w:val="000000" w:themeColor="text1"/>
          <w:sz w:val="16"/>
          <w:szCs w:val="16"/>
        </w:rPr>
        <w:softHyphen/>
        <w:t>чиваться и наводка на цель сбивается.</w:t>
      </w:r>
    </w:p>
    <w:p w14:paraId="3542F1DC" w14:textId="77777777" w:rsidR="00C114EC" w:rsidRPr="001E2C69" w:rsidRDefault="00C114E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заключении акта по испытаниям отмечалось, что «предъявленная ОКБ-16 НКВ 37-мм авиаци</w:t>
      </w:r>
      <w:r w:rsidRPr="001E2C69">
        <w:rPr>
          <w:color w:val="000000" w:themeColor="text1"/>
          <w:sz w:val="16"/>
          <w:szCs w:val="16"/>
        </w:rPr>
        <w:softHyphen/>
        <w:t>онная пушка 11-П № 2, установленная в развале мотора М-105П самолета ЛаГГ-3, повторные полигонные испытания выдержала».</w:t>
      </w:r>
    </w:p>
    <w:p w14:paraId="6445473B" w14:textId="77777777" w:rsidR="00C114EC" w:rsidRPr="001E2C69" w:rsidRDefault="00C114E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 результатам стрельб госу</w:t>
      </w:r>
      <w:r w:rsidRPr="001E2C69">
        <w:rPr>
          <w:color w:val="000000" w:themeColor="text1"/>
          <w:sz w:val="16"/>
          <w:szCs w:val="16"/>
        </w:rPr>
        <w:softHyphen/>
        <w:t>дарственной комиссией был сделан вывод, что «...из двух систем 37-мм пушек (ОКБ-15 и ОКБ-16) лучшей системой, по данным полигонных испытаний, является 37-мм пушка ОКБ-16 НКВ».</w:t>
      </w:r>
    </w:p>
    <w:p w14:paraId="50CA991F" w14:textId="77777777" w:rsidR="00C114EC" w:rsidRPr="001E2C69" w:rsidRDefault="00C114E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Пушка 11П имела явные пре</w:t>
      </w:r>
      <w:r w:rsidRPr="001E2C69">
        <w:rPr>
          <w:color w:val="000000" w:themeColor="text1"/>
          <w:sz w:val="16"/>
          <w:szCs w:val="16"/>
        </w:rPr>
        <w:softHyphen/>
        <w:t>имущества по весу и количеству деталей самой пушки и пушечных установок на самолетах ЛаГГ-3 и Ил-2, а также по размеру боеком</w:t>
      </w:r>
      <w:r w:rsidRPr="001E2C69">
        <w:rPr>
          <w:color w:val="000000" w:themeColor="text1"/>
          <w:sz w:val="16"/>
          <w:szCs w:val="16"/>
        </w:rPr>
        <w:softHyphen/>
        <w:t>плекта и темпу стрельбы. К тому же пушка 11П допускала неподвижное крепление на самолете вместе с па</w:t>
      </w:r>
      <w:r w:rsidRPr="001E2C69">
        <w:rPr>
          <w:color w:val="000000" w:themeColor="text1"/>
          <w:sz w:val="16"/>
          <w:szCs w:val="16"/>
        </w:rPr>
        <w:softHyphen/>
        <w:t>тронным ящиком, что значительно упрощало конструкцию установки. При этом поскольку автоматика пушки построена на принципе от</w:t>
      </w:r>
      <w:r w:rsidRPr="001E2C69">
        <w:rPr>
          <w:color w:val="000000" w:themeColor="text1"/>
          <w:sz w:val="16"/>
          <w:szCs w:val="16"/>
        </w:rPr>
        <w:softHyphen/>
        <w:t>дачи ствола с коротким ходом, то она была малочувствительна к за</w:t>
      </w:r>
      <w:r w:rsidRPr="001E2C69">
        <w:rPr>
          <w:color w:val="000000" w:themeColor="text1"/>
          <w:sz w:val="16"/>
          <w:szCs w:val="16"/>
        </w:rPr>
        <w:softHyphen/>
        <w:t>грязнению. В ходе повторных испытаний пушка нормально работала без чистки и смазки в течение 7 суток, за время которых произведен 1201 вы</w:t>
      </w:r>
      <w:r w:rsidRPr="001E2C69">
        <w:rPr>
          <w:color w:val="000000" w:themeColor="text1"/>
          <w:sz w:val="16"/>
          <w:szCs w:val="16"/>
        </w:rPr>
        <w:softHyphen/>
        <w:t>стрел, при периодической чистке только запира</w:t>
      </w:r>
      <w:r w:rsidRPr="001E2C69">
        <w:rPr>
          <w:color w:val="000000" w:themeColor="text1"/>
          <w:sz w:val="16"/>
          <w:szCs w:val="16"/>
        </w:rPr>
        <w:softHyphen/>
        <w:t>ющего механизма. Кроме того, пушку 11П ОКБ-16 по плану опытного строительства ВВС КА на 1942 г. предполагалось установить в крыле двухмотор</w:t>
      </w:r>
      <w:r w:rsidRPr="001E2C69">
        <w:rPr>
          <w:color w:val="000000" w:themeColor="text1"/>
          <w:sz w:val="16"/>
          <w:szCs w:val="16"/>
        </w:rPr>
        <w:softHyphen/>
        <w:t>ных штурмовиков. Тогда как пушку ОКБ-15 внутри крыла из-за больших габаритов разместить невоз</w:t>
      </w:r>
      <w:r w:rsidRPr="001E2C69">
        <w:rPr>
          <w:color w:val="000000" w:themeColor="text1"/>
          <w:sz w:val="16"/>
          <w:szCs w:val="16"/>
        </w:rPr>
        <w:softHyphen/>
        <w:t>можно.</w:t>
      </w:r>
    </w:p>
    <w:p w14:paraId="07610951" w14:textId="77777777" w:rsidR="00C114EC" w:rsidRPr="001E2C69" w:rsidRDefault="00C114E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решении Управления опытного строительства ГУ ИАС ВВС по результатам испытаний предлага</w:t>
      </w:r>
      <w:r w:rsidRPr="001E2C69">
        <w:rPr>
          <w:color w:val="000000" w:themeColor="text1"/>
          <w:sz w:val="16"/>
          <w:szCs w:val="16"/>
        </w:rPr>
        <w:softHyphen/>
        <w:t>лось: «2. Просить Народного Комиссара вооруже</w:t>
      </w:r>
      <w:r w:rsidRPr="001E2C69">
        <w:rPr>
          <w:color w:val="000000" w:themeColor="text1"/>
          <w:sz w:val="16"/>
          <w:szCs w:val="16"/>
        </w:rPr>
        <w:softHyphen/>
        <w:t>ния СССР — изготовить в 1942 г. 60 шт. 37-мм пушек ОКБ-16. 3. Просить Народного Комиссара авиаци</w:t>
      </w:r>
      <w:r w:rsidRPr="001E2C69">
        <w:rPr>
          <w:color w:val="000000" w:themeColor="text1"/>
          <w:sz w:val="16"/>
          <w:szCs w:val="16"/>
        </w:rPr>
        <w:softHyphen/>
        <w:t>онной промышленности СССР вооружить в 1942 г. 37-мм пушками ОКБ-16 20 самолетов ЛаГГ-3 и 20 са</w:t>
      </w:r>
      <w:r w:rsidRPr="001E2C69">
        <w:rPr>
          <w:color w:val="000000" w:themeColor="text1"/>
          <w:sz w:val="16"/>
          <w:szCs w:val="16"/>
        </w:rPr>
        <w:softHyphen/>
        <w:t>молетов Ил-2 в счет программы выпускаемых само</w:t>
      </w:r>
      <w:r w:rsidRPr="001E2C69">
        <w:rPr>
          <w:color w:val="000000" w:themeColor="text1"/>
          <w:sz w:val="16"/>
          <w:szCs w:val="16"/>
        </w:rPr>
        <w:softHyphen/>
        <w:t>летов для ВВС Красной Армии. /.../ 5. Учитывая, что наиболее эффективным снарядом в авиации для борьбы с танками является снаряд калибра 37 мм и что в настоящее время удовлетворение запросов фронта по этому калибру можно быстро осуще ствить путем восстановления налаженного произ</w:t>
      </w:r>
      <w:r w:rsidRPr="001E2C69">
        <w:rPr>
          <w:color w:val="000000" w:themeColor="text1"/>
          <w:sz w:val="16"/>
          <w:szCs w:val="16"/>
        </w:rPr>
        <w:softHyphen/>
        <w:t>водства 37-мм пушек ОКБ-15, Управление опытного строительства ГУ ИАС ВВС КА считает необходимым продолжать производство пушек ОКБ-15. 6. Вопрос о вводе на вооружение ВВС КА пушек калибра 37 мм решить после сравнения результатов боево</w:t>
      </w:r>
      <w:r w:rsidRPr="001E2C69">
        <w:rPr>
          <w:color w:val="000000" w:themeColor="text1"/>
          <w:sz w:val="16"/>
          <w:szCs w:val="16"/>
        </w:rPr>
        <w:softHyphen/>
        <w:t>го применения пушек ОКБ-15 и ОКБ-16» (17500).</w:t>
      </w:r>
    </w:p>
    <w:p w14:paraId="30AF0DBE" w14:textId="77777777" w:rsidR="00C114EC" w:rsidRPr="001E2C69" w:rsidRDefault="00C114EC" w:rsidP="00722885">
      <w:pPr>
        <w:spacing w:after="0" w:line="240" w:lineRule="auto"/>
        <w:jc w:val="both"/>
        <w:rPr>
          <w:rFonts w:ascii="Times New Roman" w:hAnsi="Times New Roman"/>
          <w:color w:val="000000" w:themeColor="text1"/>
          <w:sz w:val="16"/>
          <w:szCs w:val="16"/>
        </w:rPr>
      </w:pPr>
    </w:p>
    <w:p w14:paraId="7A31397D" w14:textId="77777777" w:rsidR="0030448A" w:rsidRPr="008A2E5A" w:rsidRDefault="0030448A" w:rsidP="00304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июля 1942 ОКБ-16 предъявило на повтор</w:t>
      </w:r>
      <w:r w:rsidRPr="008A2E5A">
        <w:rPr>
          <w:rFonts w:ascii="Times New Roman" w:hAnsi="Times New Roman"/>
          <w:color w:val="0070C0"/>
          <w:sz w:val="16"/>
          <w:szCs w:val="16"/>
        </w:rPr>
        <w:softHyphen/>
        <w:t>ные испытания пушку 11-П № 2, модернизиро</w:t>
      </w:r>
      <w:r w:rsidRPr="008A2E5A">
        <w:rPr>
          <w:rFonts w:ascii="Times New Roman" w:hAnsi="Times New Roman"/>
          <w:color w:val="0070C0"/>
          <w:sz w:val="16"/>
          <w:szCs w:val="16"/>
        </w:rPr>
        <w:softHyphen/>
        <w:t>ванную под патрон без буртика, унифициро</w:t>
      </w:r>
      <w:r w:rsidRPr="008A2E5A">
        <w:rPr>
          <w:rFonts w:ascii="Times New Roman" w:hAnsi="Times New Roman"/>
          <w:color w:val="0070C0"/>
          <w:sz w:val="16"/>
          <w:szCs w:val="16"/>
        </w:rPr>
        <w:softHyphen/>
        <w:t>ванный с находящимся в серийном производ</w:t>
      </w:r>
      <w:r w:rsidRPr="008A2E5A">
        <w:rPr>
          <w:rFonts w:ascii="Times New Roman" w:hAnsi="Times New Roman"/>
          <w:color w:val="0070C0"/>
          <w:sz w:val="16"/>
          <w:szCs w:val="16"/>
        </w:rPr>
        <w:softHyphen/>
        <w:t>стве патроном ОКБ-15. Орудие поставили на старичка 312197 и перегнали на ногинский полигон - НИПАВ к тому моменту уже вернул</w:t>
      </w:r>
      <w:r w:rsidRPr="008A2E5A">
        <w:rPr>
          <w:rFonts w:ascii="Times New Roman" w:hAnsi="Times New Roman"/>
          <w:color w:val="0070C0"/>
          <w:sz w:val="16"/>
          <w:szCs w:val="16"/>
        </w:rPr>
        <w:softHyphen/>
        <w:t>ся из эвакуации. Результаты стрельб снова го</w:t>
      </w:r>
      <w:r w:rsidRPr="008A2E5A">
        <w:rPr>
          <w:rFonts w:ascii="Times New Roman" w:hAnsi="Times New Roman"/>
          <w:color w:val="0070C0"/>
          <w:sz w:val="16"/>
          <w:szCs w:val="16"/>
        </w:rPr>
        <w:softHyphen/>
        <w:t>ворили сами за себя. Военные намерили на 11-П среднюю скорострельность 276 выстре</w:t>
      </w:r>
      <w:r w:rsidRPr="008A2E5A">
        <w:rPr>
          <w:rFonts w:ascii="Times New Roman" w:hAnsi="Times New Roman"/>
          <w:color w:val="0070C0"/>
          <w:sz w:val="16"/>
          <w:szCs w:val="16"/>
        </w:rPr>
        <w:softHyphen/>
        <w:t>лов в минуту, в то время как у пушки ОКБ-15 она составляла около 180 выстрелов в минуту. Испытания завершились 17 августа. В ходе 42 полетов было израсходовано 2867 снарядов, в том числе 1314 в воздухе. Выводы казались очевидными, однако действуя методами ста</w:t>
      </w:r>
      <w:r w:rsidRPr="008A2E5A">
        <w:rPr>
          <w:rFonts w:ascii="Times New Roman" w:hAnsi="Times New Roman"/>
          <w:color w:val="0070C0"/>
          <w:sz w:val="16"/>
          <w:szCs w:val="16"/>
        </w:rPr>
        <w:softHyphen/>
        <w:t>рика Троцкого, военные «погнали зайца» по большому кругу. Было предложено НКВ в 1942 году изготовить 60 штук 37-мм пушек ОКБ-16, а НКАП вооружить в 1942 37-мм пушками ОКБ- 16 20 самолетов ЛаГГ-3 и 20 самолетов Ил-2 за счет программы выпускаемых самолетов для ВВС КА. Вопрос о вводе на вооружение ВВС КА пушек калибра 37 мм решить после сравнения результатов боевого применения пушек ОКБ- 15 и ОКБ-16 (23409).</w:t>
      </w:r>
    </w:p>
    <w:p w14:paraId="4D777149" w14:textId="77777777" w:rsidR="0030448A" w:rsidRPr="008A2E5A" w:rsidRDefault="0030448A" w:rsidP="0030448A">
      <w:pPr>
        <w:spacing w:after="0" w:line="240" w:lineRule="auto"/>
        <w:jc w:val="both"/>
        <w:rPr>
          <w:rFonts w:ascii="Times New Roman" w:hAnsi="Times New Roman"/>
          <w:color w:val="0070C0"/>
          <w:sz w:val="16"/>
          <w:szCs w:val="16"/>
        </w:rPr>
      </w:pPr>
    </w:p>
    <w:p w14:paraId="46AEF708" w14:textId="77777777" w:rsidR="00526171" w:rsidRPr="001E2C69" w:rsidRDefault="00526171" w:rsidP="00722885">
      <w:pPr>
        <w:pStyle w:val="rtejustify"/>
        <w:shd w:val="clear" w:color="auto" w:fill="FFFFFF"/>
        <w:spacing w:before="0" w:beforeAutospacing="0" w:after="0" w:afterAutospacing="0"/>
        <w:jc w:val="both"/>
        <w:textAlignment w:val="baseline"/>
        <w:rPr>
          <w:color w:val="000000" w:themeColor="text1"/>
          <w:sz w:val="16"/>
          <w:szCs w:val="16"/>
        </w:rPr>
      </w:pPr>
      <w:r w:rsidRPr="001E2C69">
        <w:rPr>
          <w:color w:val="000000" w:themeColor="text1"/>
          <w:sz w:val="16"/>
          <w:szCs w:val="16"/>
        </w:rPr>
        <w:t xml:space="preserve">С 21 июля по 17 августа 1942 </w:t>
      </w:r>
      <w:r w:rsidRPr="001E2C69">
        <w:rPr>
          <w:rStyle w:val="af1"/>
          <w:i w:val="0"/>
          <w:color w:val="000000" w:themeColor="text1"/>
          <w:sz w:val="16"/>
          <w:szCs w:val="16"/>
          <w:bdr w:val="none" w:sz="0" w:space="0" w:color="auto" w:frame="1"/>
        </w:rPr>
        <w:t xml:space="preserve">ЛаГГ-3 (с.н. 312197) с НС-37 </w:t>
      </w:r>
      <w:r w:rsidRPr="001E2C69">
        <w:rPr>
          <w:color w:val="000000" w:themeColor="text1"/>
          <w:sz w:val="16"/>
          <w:szCs w:val="16"/>
        </w:rPr>
        <w:t>успешно прошел повторные госиспытания на полигоне в подмосковном Ногинске. Но от пожеланий до принятия окончательного решения порой проходит слишком много времени и приходится преодолевать значительные трудности. На этот раз, опять же по воспоминаниям Нудельмана, на пути перспективного орудия встал Шпитальный, который был вхож к Сталину. В этой ситуации еще неизвестный в Кремле Нудельман, как он сам утверждал, решил лично обратиться к Сталину.</w:t>
      </w:r>
    </w:p>
    <w:p w14:paraId="4147D2E9" w14:textId="77777777" w:rsidR="00526171" w:rsidRPr="001E2C69" w:rsidRDefault="00526171" w:rsidP="00722885">
      <w:pPr>
        <w:pStyle w:val="rtejustify"/>
        <w:shd w:val="clear" w:color="auto" w:fill="FFFFFF"/>
        <w:spacing w:before="0" w:beforeAutospacing="0" w:after="0" w:afterAutospacing="0"/>
        <w:jc w:val="both"/>
        <w:textAlignment w:val="baseline"/>
        <w:rPr>
          <w:color w:val="000000" w:themeColor="text1"/>
          <w:sz w:val="16"/>
          <w:szCs w:val="16"/>
        </w:rPr>
      </w:pPr>
      <w:r w:rsidRPr="001E2C69">
        <w:rPr>
          <w:color w:val="000000" w:themeColor="text1"/>
          <w:sz w:val="16"/>
          <w:szCs w:val="16"/>
        </w:rPr>
        <w:t>Данный факт воспоминаний А.Э. Нудельмана вызывает некоторые сомнения. На тот момент ОКБ-16 руководил К.К. Глухарев. Трудно себе представить, чтобы ведущий конструктор, минуя свое непосредственное начальство, обращался непосредственно к руководству страны по вполне служебному вопросу. Тем не менее, судя по всему, до сведения Сталина, так или иначе, довели информацию о пушке ОКБ-16.</w:t>
      </w:r>
    </w:p>
    <w:p w14:paraId="7B7308C9" w14:textId="77777777" w:rsidR="00526171" w:rsidRPr="001E2C69" w:rsidRDefault="00526171" w:rsidP="00722885">
      <w:pPr>
        <w:pStyle w:val="rtejustify"/>
        <w:shd w:val="clear" w:color="auto" w:fill="FFFFFF"/>
        <w:spacing w:before="0" w:beforeAutospacing="0" w:after="0" w:afterAutospacing="0"/>
        <w:jc w:val="both"/>
        <w:textAlignment w:val="baseline"/>
        <w:rPr>
          <w:color w:val="000000" w:themeColor="text1"/>
          <w:sz w:val="16"/>
          <w:szCs w:val="16"/>
        </w:rPr>
      </w:pPr>
      <w:r w:rsidRPr="001E2C69">
        <w:rPr>
          <w:color w:val="000000" w:themeColor="text1"/>
          <w:sz w:val="16"/>
          <w:szCs w:val="16"/>
        </w:rPr>
        <w:lastRenderedPageBreak/>
        <w:t>К тому времени на фронте уже летали несколько десятков ЛаГГов, вооруженных 37-мм моторпушками Шпитального Ш-37, и Илов с парой крыльевых ШФК-37. Это мощное оружие производило у военных двоякое впечатление. С одной стороны могущество боеприпаса резко повышало массу залпа, но с другой, непомерная масса, превышавшая 300 кг, неудобное магазинное питание, снижало эффективность комплекса «самолет-пушка» в целом.</w:t>
      </w:r>
    </w:p>
    <w:p w14:paraId="0725068D" w14:textId="64E86A73" w:rsidR="00526171" w:rsidRPr="001E2C69" w:rsidRDefault="00526171" w:rsidP="00722885">
      <w:pPr>
        <w:pStyle w:val="rtejustify"/>
        <w:shd w:val="clear" w:color="auto" w:fill="FFFFFF"/>
        <w:spacing w:before="0" w:beforeAutospacing="0" w:after="0" w:afterAutospacing="0"/>
        <w:jc w:val="both"/>
        <w:textAlignment w:val="baseline"/>
        <w:rPr>
          <w:color w:val="000000" w:themeColor="text1"/>
          <w:sz w:val="16"/>
          <w:szCs w:val="16"/>
        </w:rPr>
      </w:pPr>
      <w:r w:rsidRPr="001E2C69">
        <w:rPr>
          <w:color w:val="000000" w:themeColor="text1"/>
          <w:sz w:val="16"/>
          <w:szCs w:val="16"/>
        </w:rPr>
        <w:t>В то же время пушка 11-П ОКБ-16 выгодно контрастировала с детищем Шпитального.</w:t>
      </w:r>
      <w:r w:rsidR="001E2C69">
        <w:rPr>
          <w:color w:val="000000" w:themeColor="text1"/>
          <w:sz w:val="16"/>
          <w:szCs w:val="16"/>
        </w:rPr>
        <w:t xml:space="preserve">   </w:t>
      </w:r>
      <w:r w:rsidRPr="001E2C69">
        <w:rPr>
          <w:color w:val="000000" w:themeColor="text1"/>
          <w:sz w:val="16"/>
          <w:szCs w:val="16"/>
        </w:rPr>
        <w:t xml:space="preserve"> При схожих габаритах она весила почти вдвое меньше, имело питание из условно бесконечной рассыпной ленты, позволявшей сделать систему гораздо компактнее, стреляла в полтора раза быстрее. Автоматика пушки, как уже указывалось выше, работала на основе короткого отката ствола. Канал ствола запирался продольно-скользящим поршневым затвором. Ускоритель кулачкового типа закреплен на неподвижной части автомата. Стрельба велась с открытого затвора. Противооткатные устройства пушки состояли из гидравлических тормоза отката и тормоза наката. Надежность и безотказность такой схемы обеспечивается принудительностью подачи и досылки патронов на всем пути движения, а также принудительностью экстракции и удаления стреляной гильзы из автомата. К недостаткам пушки относился пружинный буфер в казенной части пушки, который при гашении избыточной энергии подвижных частей пушки в заднем их положении приводил к пиковым нагрузкам отдачи. Несколько портил картину также нештатный патрон с буртом 37х198В, но коллективом Нудельмана и Суранова удалось оперативно переработать пушку под серийный патрон Шпитального 37х198 мм без бурта на гильзе. Тем не менее, общая характеристика пушки 11-П выглядела выигрышно (19170).</w:t>
      </w:r>
    </w:p>
    <w:p w14:paraId="327908B2" w14:textId="77777777" w:rsidR="00526171" w:rsidRPr="001E2C69" w:rsidRDefault="00526171" w:rsidP="00722885">
      <w:pPr>
        <w:pStyle w:val="rtejustify"/>
        <w:shd w:val="clear" w:color="auto" w:fill="FFFFFF"/>
        <w:spacing w:before="0" w:beforeAutospacing="0" w:after="0" w:afterAutospacing="0"/>
        <w:jc w:val="both"/>
        <w:textAlignment w:val="baseline"/>
        <w:rPr>
          <w:color w:val="000000" w:themeColor="text1"/>
          <w:sz w:val="16"/>
          <w:szCs w:val="16"/>
        </w:rPr>
      </w:pPr>
    </w:p>
    <w:p w14:paraId="684F545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июля 1942 г. в одном из вылетов у старшего лейтенанта Тихонова снаряды пробили все три лопа</w:t>
      </w:r>
      <w:r w:rsidRPr="001E2C69">
        <w:rPr>
          <w:rFonts w:ascii="Times New Roman" w:hAnsi="Times New Roman"/>
          <w:color w:val="000000" w:themeColor="text1"/>
          <w:sz w:val="16"/>
          <w:szCs w:val="16"/>
        </w:rPr>
        <w:softHyphen/>
        <w:t>сти винта из-за так называемого эффекта «затянуто</w:t>
      </w:r>
      <w:r w:rsidRPr="001E2C69">
        <w:rPr>
          <w:rFonts w:ascii="Times New Roman" w:hAnsi="Times New Roman"/>
          <w:color w:val="000000" w:themeColor="text1"/>
          <w:sz w:val="16"/>
          <w:szCs w:val="16"/>
        </w:rPr>
        <w:softHyphen/>
        <w:t>го выстрела» — явления, связанного со слишком медленным горением пороха (9984).</w:t>
      </w:r>
    </w:p>
    <w:p w14:paraId="4663E9A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08315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июля 1942 был утвержден отчет о гос. испытаниях Як-1б, которые проходили с 4 по 14 июля 1942 (796,4).</w:t>
      </w:r>
    </w:p>
    <w:p w14:paraId="0F58D55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FDD13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21 июля по конец сентября 1942 на аэродром Арское поле под Казанью на ЛИС 22 завода проходили испытания Пе-2 М-82 АВ-5Л-118А, который был выведен с завода еще 30 июня 1943, но потом доделывался. Для переделки использовали машину N 19/31, который строился как эталонная машина для 125 завода. На машине смонтировали и ВУБ-2 с УБТ. для улучшения центровки колеса вынесли вперед на 60 мм и вес вырос на 400 кг (2205,37).</w:t>
      </w:r>
    </w:p>
    <w:p w14:paraId="6D50DF1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8B253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июля 1942 года был выполнен первый вылет опытного Пе-2 с 2 М-82 (Пе-4), но затем потребова</w:t>
      </w:r>
      <w:r w:rsidRPr="001E2C69">
        <w:rPr>
          <w:rFonts w:ascii="Times New Roman" w:hAnsi="Times New Roman"/>
          <w:color w:val="000000" w:themeColor="text1"/>
          <w:sz w:val="16"/>
          <w:szCs w:val="16"/>
        </w:rPr>
        <w:softHyphen/>
        <w:t>лась длительная доводка ВМГ по уп</w:t>
      </w:r>
      <w:r w:rsidRPr="001E2C69">
        <w:rPr>
          <w:rFonts w:ascii="Times New Roman" w:hAnsi="Times New Roman"/>
          <w:color w:val="000000" w:themeColor="text1"/>
          <w:sz w:val="16"/>
          <w:szCs w:val="16"/>
        </w:rPr>
        <w:softHyphen/>
        <w:t>равлению нормальным газом и капо</w:t>
      </w:r>
      <w:r w:rsidRPr="001E2C69">
        <w:rPr>
          <w:rFonts w:ascii="Times New Roman" w:hAnsi="Times New Roman"/>
          <w:color w:val="000000" w:themeColor="text1"/>
          <w:sz w:val="16"/>
          <w:szCs w:val="16"/>
        </w:rPr>
        <w:softHyphen/>
        <w:t>там. Только в апреле 1943 года нача</w:t>
      </w:r>
      <w:r w:rsidRPr="001E2C69">
        <w:rPr>
          <w:rFonts w:ascii="Times New Roman" w:hAnsi="Times New Roman"/>
          <w:color w:val="000000" w:themeColor="text1"/>
          <w:sz w:val="16"/>
          <w:szCs w:val="16"/>
        </w:rPr>
        <w:softHyphen/>
        <w:t>лись госиспытания в НИИ ВВС. Пе-2 с 2 М-82 показал несколько более высокие скорости, чем самолет с 2М-105РА, но дальность полета уменьши</w:t>
      </w:r>
      <w:r w:rsidRPr="001E2C69">
        <w:rPr>
          <w:rFonts w:ascii="Times New Roman" w:hAnsi="Times New Roman"/>
          <w:color w:val="000000" w:themeColor="text1"/>
          <w:sz w:val="16"/>
          <w:szCs w:val="16"/>
        </w:rPr>
        <w:softHyphen/>
        <w:t>лась. В 1943 году была постро</w:t>
      </w:r>
      <w:r w:rsidRPr="001E2C69">
        <w:rPr>
          <w:rFonts w:ascii="Times New Roman" w:hAnsi="Times New Roman"/>
          <w:color w:val="000000" w:themeColor="text1"/>
          <w:sz w:val="16"/>
          <w:szCs w:val="16"/>
        </w:rPr>
        <w:softHyphen/>
        <w:t>ена малая серия (32 шт. по данным Д.Б. Хазанова) самолетов Пе-2 с 2 М-82Ф (10723).</w:t>
      </w:r>
    </w:p>
    <w:p w14:paraId="3F204B5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F6E23B"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июля 1942 г. выполнили первый вы</w:t>
      </w:r>
      <w:r w:rsidRPr="001E2C69">
        <w:rPr>
          <w:rFonts w:ascii="Times New Roman" w:hAnsi="Times New Roman"/>
          <w:color w:val="000000" w:themeColor="text1"/>
          <w:sz w:val="16"/>
          <w:szCs w:val="16"/>
        </w:rPr>
        <w:softHyphen/>
        <w:t>лет опытного Пе-2 с 2 М-82 (Пе-4), но затем потребо</w:t>
      </w:r>
      <w:r w:rsidRPr="001E2C69">
        <w:rPr>
          <w:rFonts w:ascii="Times New Roman" w:hAnsi="Times New Roman"/>
          <w:color w:val="000000" w:themeColor="text1"/>
          <w:sz w:val="16"/>
          <w:szCs w:val="16"/>
        </w:rPr>
        <w:softHyphen/>
        <w:t>валась длительная доводка ВМГ по управлению нормальным газом и капотами. Только в апреле 1943 г. начались госиспытания в НИИ ВВС. Пе-2 с 2 М-82 показал несколько более высокие скорости, чем с 2М-105РА, но дальность полёта уменьшилась. В 1943 г. построили малую серию (32 шт.</w:t>
      </w:r>
      <w:r w:rsidRPr="001E2C69">
        <w:rPr>
          <w:rFonts w:ascii="Times New Roman" w:hAnsi="Times New Roman"/>
          <w:color w:val="000000" w:themeColor="text1"/>
          <w:sz w:val="16"/>
          <w:szCs w:val="16"/>
          <w:vertAlign w:val="superscript"/>
        </w:rPr>
        <w:t>3</w:t>
      </w:r>
      <w:r w:rsidRPr="001E2C69">
        <w:rPr>
          <w:rFonts w:ascii="Times New Roman" w:hAnsi="Times New Roman"/>
          <w:color w:val="000000" w:themeColor="text1"/>
          <w:sz w:val="16"/>
          <w:szCs w:val="16"/>
        </w:rPr>
        <w:t>) бомберов Пе-2 с 2 М-82Ф (15829).</w:t>
      </w:r>
    </w:p>
    <w:p w14:paraId="1E51CFEC" w14:textId="77777777" w:rsidR="00715152" w:rsidRPr="001E2C69" w:rsidRDefault="00715152" w:rsidP="00722885">
      <w:pPr>
        <w:spacing w:after="0" w:line="240" w:lineRule="auto"/>
        <w:jc w:val="both"/>
        <w:rPr>
          <w:rFonts w:ascii="Times New Roman" w:hAnsi="Times New Roman"/>
          <w:color w:val="000000" w:themeColor="text1"/>
          <w:sz w:val="16"/>
          <w:szCs w:val="16"/>
        </w:rPr>
      </w:pPr>
    </w:p>
    <w:p w14:paraId="43A2461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июля 1942 после устранения выявленных дефектов состоялся первый полет Пе-2 М-82 (Пе-4). К концу сентября Пе-2 с М-82 выполнил 17 полетов и налетал 15 ч. Все полеты были связаны с отладкой работы винтомоторной группы.</w:t>
      </w:r>
    </w:p>
    <w:p w14:paraId="43677A0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переделки использовали самолет зав. № 19/31 выпуска 1941 г., который первоначально строился как эталон для иркутского завода № 125 (с упрощенным вооружением). На машине смонтировали верхнюю экранированную турель штурмана ВУБ-2 с пулеметом УБТ.</w:t>
      </w:r>
    </w:p>
    <w:p w14:paraId="73C2508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Мощные 14-цилиндровые звездообразные двигатели конструкции А.Д. Швецова обладали большей массой и "лбом" по сравнению с М-105. Центровка машины значительно сместилась вперед, несмотря на укладку в хвосте свинцового груза массой 68 кг. Помимо замены мотоустановки, на самолете убрали носовой ШКАС и бортовой пулеметстрел- ка-радиста. Кроме того, были сняты бомбодержатели в мотогондолах, смонтирован более совершенный радиополукомпас РПК-10, а колеса основных стоек шасси вынесли на 60 мм вперед путем удлинения подкосов. Последнее мероприятие позволило пилоту эффективно тормозить на пробеге, не опасаясь "клевка". Пустой опытный самолет получился примерно на 400 кг тяжелее серийного.</w:t>
      </w:r>
    </w:p>
    <w:p w14:paraId="009895B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Выявился перегрев масла, выброс его из суф- лерных трубок моторов при полете на высотах более 3000 м. В результате полетов получились следующие результаты:- значительно улучшились взлетно-по- садочные характеристики по сравнению с серийной машиной;</w:t>
      </w:r>
    </w:p>
    <w:p w14:paraId="78B4C11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пилотажные свойства в основном остались как у обычного Пе-2 с М-105Р;</w:t>
      </w:r>
    </w:p>
    <w:p w14:paraId="49602B8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на первой границе высотности (3250 м) получена максимальная скорость 545 км/ч, что хорошо согласовывалось с расчетным значением.</w:t>
      </w:r>
    </w:p>
    <w:p w14:paraId="0972CAD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Позднее для улучшения температурных режимов силовой установки пришлось уменьшить проходное сечение в кольце капота, изменить конструкцию передних жалюзи, усилить юбки капота и всасывающий патрубок. Система питания двигателей маслом была переделана по типу Ту-2. После доработок максимальная скорость полета на первой границе высотности уменьшилась до 530 км/ч, зато температурные режимы моторов пришли в норму. Добиться нормальной работы двигателей на второй скорости нагнетателя не удалось из-за проблем с карбюратором АК-82. В полете на высотах более 4500 м возникала сильная тряска.</w:t>
      </w:r>
    </w:p>
    <w:p w14:paraId="13DB4F3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Моторы увеличенной мощности породили значительный разворачивающий момент при взлете. Пришлось установить на самолете несимметричный костыль для компенсации момента. Трудностей в процессе доводки встретилось много, и часть из них носила субъективный характер. По мнению старшего военпреда инженер-подполковника Романова, завод № 22 неоправданно затягивал отработку опытного самолета. В декабре 1942 г. Романов докладывал в ГУЗ и ТС ВВС:</w:t>
      </w:r>
    </w:p>
    <w:p w14:paraId="5F7A35D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(главный конструктор и директор) не заинтересован в модернизации самолета Пе-2 на М-82. Работы, проводимые опытным цехом, делались наспех и лишь бы от них отделаться. ЛИС проводил испытания неорганизованно. В результате повторяются прежние дефекты...</w:t>
      </w:r>
    </w:p>
    <w:p w14:paraId="6E712D0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Ведущий инженер Розенфельд медлителен, больше занимается вычислениями и отчетами, чем реальной работой. Прошу оказать воздействие..."</w:t>
      </w:r>
    </w:p>
    <w:p w14:paraId="06DA871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Главным объективным сдерживающим фактором была низкая надежность моторов М-82 ранних серий. Прошло шесть месяцев доработок и переделок, прежде чем завод № 22 рискнул выставить самолет на государственные испытания в НИИ ВВС. В периоде января по март 1943 г. майор Хрипков выполнил 50 полетов с аэродрома Кольцово. Они в основном подтвердили результаты заводских испытаний. Если у земли самолет лишь ненамного (458 км/ч против 451 км/ч) опережал машину с М-Ю5ПФ. выпушенную в феврале 1943 г., то уже на средних высотах преимущество в скорости значительно увеличивалось. Здесь новый вариант Пе-2 обгонял не только отечественные двухмоторные самолеты с двигателями водяного охлаждения, но и американский "Бостон" III, являвшийся вто время одним из самых скоростных серийных средних бомбардировщиков мира. За боевой разворот удавалось набрать 800 м вместо прежних 450-500 м. Большая тяга моторов резко сократила разбег - до 490 м по сравнению с 620 м у серийного самолета с М-105РА. Несколько улучшились продольная и путевая устойчивости самолета. Новый вариант свободно летал на одном моторе.</w:t>
      </w:r>
    </w:p>
    <w:p w14:paraId="087E6EA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Однако недостатков отметили, пожалуй, не меньше, чем достоинств. Громоздкие капоты моторов ухудшили обзор вбок из пилотской кабины. Очень низкой оказалась надежность новой мотоустановки, в эксплуатации она была сложной, капризной и иногда просто опасной. Здесь проявились и не- доведенность самого М-82, и ошибки в конструкции установки, и технологические дефекты ряда кустарно изготовленных опытных агрегатов. Формально моторесурс М-82 выпуска завода № 19 составлял 100 ч, но постоянно отказывали свечи ВГ-12. При испытаниях в НИИ ВВС на машине сменили 210 свечей!</w:t>
      </w:r>
    </w:p>
    <w:p w14:paraId="7568C87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"Нормальный" Пе-2 имел довольно большую посадочную скорость, а у более тяжелого варианта с М-82 она еще увеличилась. Неустойчивая работа моторов на малом газу заставила выполнять посадку с выключенными двигателями. Для мапоквачифициро- ванных летчиков (а такие на фронте составляли большинство) это было опасно, поскольку исключалось "подтягивание" мотором и уход в случае необходимости на второй круг. И, наконец, имелся целый ряд эксплуатационных недостатков. Механики жаловались на то, что трудно подобраться к сливным кранам маслобаков. Из-за неудачной конструкции мотогондол моторы очень долго прогревались перед вылетом; зимой на эту процедуру уходило до 3-4 ч. Новые двигатели оказались и более "прожорливыми", поэтому дальность полета по сравнению с обычным Пе-2 существенно уменьшилась.</w:t>
      </w:r>
    </w:p>
    <w:p w14:paraId="4FDEC94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Однако достоинства Пе-2 с М-82 на этом этапе перевесили недостатки, и в заключении акта по испытаниям ведущий инженер инженер-подполковник Шашков отметил:</w:t>
      </w:r>
    </w:p>
    <w:p w14:paraId="30DD93F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"Учитывая возможность доводки ВМГ и устранения всех основных дефектов при серийном производстве, рекомендовать постройку малой серии самолетов Пе-2 с М-82...</w:t>
      </w:r>
    </w:p>
    <w:p w14:paraId="3F827AB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Рекомендовать вооружить один из бомбардировочных полков самолетами Пе-2 с М-82 и провести войсковые испытания. Головной серийный самолет представить на государственные испытания" (12042).</w:t>
      </w:r>
    </w:p>
    <w:p w14:paraId="0BABA93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579603" w14:textId="77777777" w:rsidR="006B57B8" w:rsidRPr="001E2C69" w:rsidRDefault="006B57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июля 1942 г. летчик М. Л. Галлай выполнил на Пе-2 2М-82А первый полет. Это был переоборудованный серийный Пе-2 № 19/31, который из-за внесенных доработок потяжелел на 600 кг. Для испытаний была командирована бригада ЛИИ НКАП во главе с ведущим инженером Хейфецом.</w:t>
      </w:r>
    </w:p>
    <w:p w14:paraId="0222EFCC" w14:textId="77777777" w:rsidR="006B57B8" w:rsidRPr="001E2C69" w:rsidRDefault="006B57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Мотор М-82А развивал мощность на взлете 1 700 л. с., у земли и на I границе высотности — 1 400, а на II границе, равной 5 400 м, — 1 330 л. с. Он был двухрядным звездообразным, радиатор для охлаждения воды ему нужен не был, но маслорадиатор требовался с большей площадью фронта, чем применяемый для М-105. Соответственно были сделаны полностью новые системы запуска, зажигания, смазки, выхлопа, моторамы и капоты с регулирующими охлаждение лобовыми жалюзи и «юбкой» на выходе. Воздухозаборники ПЦН стали одинарными и были поставлены над капотами, а не по бокам как на М-105. Воздушные винты АВ-5Л-118А </w:t>
      </w:r>
      <w:r w:rsidRPr="001E2C69">
        <w:rPr>
          <w:rFonts w:ascii="Times New Roman" w:hAnsi="Times New Roman"/>
          <w:color w:val="000000" w:themeColor="text1"/>
          <w:sz w:val="16"/>
          <w:szCs w:val="16"/>
        </w:rPr>
        <w:lastRenderedPageBreak/>
        <w:t>имели не допускающую «раскрутки» в полете прямую схему автоматики управления шагом, что также потребовало своих изменений в управлении винтомоторной группой — ВМГ.</w:t>
      </w:r>
    </w:p>
    <w:p w14:paraId="11561E95" w14:textId="77777777" w:rsidR="006B57B8" w:rsidRPr="001E2C69" w:rsidRDefault="006B57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 этим переделки не ограничивались — для самолета была сделана новая кабина экипажа с тогда еще опытной турелью ВУБ-2 с пулеметом БК-12,7 в кабине штурмана, а носовые пулеметы и бортовые гнезда под перекидной пулемет ШКАС и вырезы под них в бортах фюзеляжа упразднили.</w:t>
      </w:r>
    </w:p>
    <w:p w14:paraId="2FDFF9D2" w14:textId="77777777" w:rsidR="006B57B8" w:rsidRPr="001E2C69" w:rsidRDefault="006B57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Также сняли бомбодержатели в мотогондолах.</w:t>
      </w:r>
    </w:p>
    <w:p w14:paraId="3E7FC6E7" w14:textId="77777777" w:rsidR="006B57B8" w:rsidRPr="001E2C69" w:rsidRDefault="006B57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Радиополукомпас РПК-2 заменили новым РПК-10. Самолет, как смогли, облегчили, но пара М-82А весила почти на 550 кг больше, чем М-105РА, винты, моторамы и капоты тоже, центры их масс оказались ближе к носу настолько, что противокапотажный угол стал меньше безопасного, и в хвост поставили свинцовый груз весом 68 кг</w:t>
      </w:r>
    </w:p>
    <w:p w14:paraId="46FE6F0C" w14:textId="77777777" w:rsidR="006B57B8" w:rsidRPr="001E2C69" w:rsidRDefault="006B57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1943 г. «Пешка со звездами» была передана на Государственные испытания в НИИ ВВС. Экипаж под командованием А. М. Хрипкова показал, что скорость по сравнению с машиной с моторами М-105РА у земли увеличилась на 8 км/ч, а на границе высотности преимущество было больше, и теперь Пе-2 2М-82Ф опережал американский А-20С, улучшилась устойчивость самолета, стал возможен полет на одном двигателе. Однако надежность ВМГ все же оставалась недостаточной, а сложность ее эксплуатации выросла, был велик расход свечей ВГ-12 — за 50 полетов Государственных испытаний их поменяли 210 штук, причем сама замена, как и вообще обслуживание силовой установки, стали по сравнению с М-105 более трудоемкими. Плохо работали управление форсажем, что грозило отказом мотора при превышении времени его использования, высотный корректор, передние шторки капотов. На прогрев моторов в холод уходило 3–4 часа. В полете наблюдалась тряска, увеличилась посадочная скорость, самолет стал крайне сложен в посадке на одном моторе и на повышенных оборотах (22828).</w:t>
      </w:r>
    </w:p>
    <w:p w14:paraId="29F7051D" w14:textId="77777777" w:rsidR="006B57B8" w:rsidRPr="001E2C69" w:rsidRDefault="006B57B8" w:rsidP="00722885">
      <w:pPr>
        <w:shd w:val="clear" w:color="auto" w:fill="FFFFFF"/>
        <w:spacing w:after="0" w:line="240" w:lineRule="auto"/>
        <w:jc w:val="both"/>
        <w:rPr>
          <w:rFonts w:ascii="Times New Roman" w:hAnsi="Times New Roman"/>
          <w:color w:val="000000" w:themeColor="text1"/>
          <w:sz w:val="16"/>
          <w:szCs w:val="16"/>
        </w:rPr>
      </w:pPr>
    </w:p>
    <w:p w14:paraId="7A51BD2B" w14:textId="77777777" w:rsidR="0030448A" w:rsidRPr="008A2E5A" w:rsidRDefault="0030448A" w:rsidP="00304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июля 1942 г. доработанный самолет Пе-2 М-82А совершил первый полет по программе заводских испытаний с аэродрома Арское Поле в районе Казани.</w:t>
      </w:r>
    </w:p>
    <w:p w14:paraId="2CD311E9" w14:textId="77777777" w:rsidR="0030448A" w:rsidRPr="008A2E5A" w:rsidRDefault="0030448A" w:rsidP="00304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Летно-технические данные самолета по скорости, потолку и разбегу по сравнению с Пе-2 2М-105ПФ улучшились, но по винтомоторной группе (ВМГ) выявлено много дефектов:</w:t>
      </w:r>
    </w:p>
    <w:p w14:paraId="3862D1B7" w14:textId="77777777" w:rsidR="0030448A" w:rsidRPr="008A2E5A" w:rsidRDefault="0030448A" w:rsidP="00304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выброс масла через суфлеры приводит к заклиниванию двигателей;</w:t>
      </w:r>
    </w:p>
    <w:p w14:paraId="42142A8E" w14:textId="77777777" w:rsidR="0030448A" w:rsidRPr="008A2E5A" w:rsidRDefault="0030448A" w:rsidP="00304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скопление масла в головках нижних цилиндров вызывало жесткий удар поршней и обрыв головок;</w:t>
      </w:r>
    </w:p>
    <w:p w14:paraId="1AB15198" w14:textId="77777777" w:rsidR="0030448A" w:rsidRPr="008A2E5A" w:rsidRDefault="0030448A" w:rsidP="00304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плохо работает управление двигателями;</w:t>
      </w:r>
    </w:p>
    <w:p w14:paraId="1F93FD0D" w14:textId="77777777" w:rsidR="0030448A" w:rsidRPr="008A2E5A" w:rsidRDefault="0030448A" w:rsidP="00304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плохо работают маслорадиаторы и др.</w:t>
      </w:r>
    </w:p>
    <w:p w14:paraId="0B5FA47B" w14:textId="77777777" w:rsidR="0030448A" w:rsidRPr="008A2E5A" w:rsidRDefault="0030448A" w:rsidP="00304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Летно-технические данные самолета по скорости, потолку и разбегу по сравнению с Пе-2 2М-105ПФ улучшились, но по винтомоторной группе (ВМГ) выявлено много дефектов:</w:t>
      </w:r>
    </w:p>
    <w:p w14:paraId="6F35C478" w14:textId="77777777" w:rsidR="0030448A" w:rsidRPr="008A2E5A" w:rsidRDefault="0030448A" w:rsidP="00304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выброс масла через суфлеры приводит к заклиниванию двигателей;</w:t>
      </w:r>
    </w:p>
    <w:p w14:paraId="7CBF1BDD" w14:textId="77777777" w:rsidR="0030448A" w:rsidRPr="008A2E5A" w:rsidRDefault="0030448A" w:rsidP="00304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скопление масла в головках нижних цилиндров вызывало жесткий удар поршней и обрыв головок;</w:t>
      </w:r>
    </w:p>
    <w:p w14:paraId="4A9CD942" w14:textId="77777777" w:rsidR="0030448A" w:rsidRPr="008A2E5A" w:rsidRDefault="0030448A" w:rsidP="00304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плохо работает управление двигателями;</w:t>
      </w:r>
    </w:p>
    <w:p w14:paraId="7E478912" w14:textId="77777777" w:rsidR="0030448A" w:rsidRPr="008A2E5A" w:rsidRDefault="0030448A" w:rsidP="00304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плохо работают маслорадиаторы и др.</w:t>
      </w:r>
    </w:p>
    <w:p w14:paraId="19627E6A" w14:textId="77777777" w:rsidR="0030448A" w:rsidRPr="008A2E5A" w:rsidRDefault="0030448A" w:rsidP="003044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Заводские испытания продолжались 2 месяца, и были завершены в конце сентября 1942 г. Вероятно, уже в их ходе были установлены форсированные двигатели М-82Ф. Далее самолет поставили на доработки для устранения дефектов (23555).</w:t>
      </w:r>
    </w:p>
    <w:p w14:paraId="72985A2F" w14:textId="77777777" w:rsidR="0030448A" w:rsidRPr="008A2E5A" w:rsidRDefault="0030448A" w:rsidP="0030448A">
      <w:pPr>
        <w:spacing w:after="0" w:line="240" w:lineRule="auto"/>
        <w:jc w:val="both"/>
        <w:rPr>
          <w:rFonts w:ascii="Times New Roman" w:hAnsi="Times New Roman"/>
          <w:color w:val="0070C0"/>
          <w:sz w:val="16"/>
          <w:szCs w:val="16"/>
        </w:rPr>
      </w:pPr>
    </w:p>
    <w:p w14:paraId="53873C75"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Другие оборонные отрасли:</w:t>
      </w:r>
    </w:p>
    <w:p w14:paraId="0627250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C547AE"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июля 1942 года вышел приказ № 375сс НКВ</w:t>
      </w:r>
    </w:p>
    <w:p w14:paraId="795B9D86"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 исполнение постановления ГКО № 2067сс от 20 июля 1942 года</w:t>
      </w:r>
    </w:p>
    <w:p w14:paraId="4AB70A2D"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Разделить завод № 74 на два самостоятельных завода. На заводе № 74 оставить производство: винтовок образца 1891/30 гг., карабинов и 12,7 мм пулеметов Березина.</w:t>
      </w:r>
    </w:p>
    <w:p w14:paraId="6B0E3AC9"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противотанковых ружей Дегтярева и Симонова револьвера Наган, пистолетов ПТ, АТ и ТТ, 26 мм сигнальных пистолетов, шаровых установок и запальных трубок Норденфельда выделить в самостоятельный завод, присвоив ему № 622 (6322, 175).</w:t>
      </w:r>
    </w:p>
    <w:p w14:paraId="1BF21414"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F8FBD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июля 1942 года приказом НКВ № 375 во исполнение Распоряжения ГКО от 20 июля 1942 года № 2067 из состава завода № 74 было выделено 11 цехов в самостоятельный завод с учетным № 622. В 1942-45 гг. завод специализировался на производстве в основном личного оружия для офицерского состава армии, а также противотанковых ружей ПТРС и ПТРД. В 1964 году объем оборонной продукции сократился на 64%, завод выпускал циферблатные весы, безмены, капканы, спортивные ружья. Одновременно велась подготовка к освоению и массовому выпуску охотничьих ружей. В 1949 году завод выпускает первые модели охотничьих ружей (ИЖК и ИЖ-49). В 1964 году профиль завода определяют следующие производства:</w:t>
      </w:r>
    </w:p>
    <w:p w14:paraId="5AE21FE6" w14:textId="77777777" w:rsidR="00AE7191" w:rsidRPr="001E2C69" w:rsidRDefault="00AE7191" w:rsidP="00722885">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Оружейно-стрелковое производство.</w:t>
      </w:r>
    </w:p>
    <w:p w14:paraId="2FEEAE9F" w14:textId="77777777" w:rsidR="00AE7191" w:rsidRPr="001E2C69" w:rsidRDefault="00AE7191" w:rsidP="00722885">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двигателей мотоцикла Иж-Юритер.</w:t>
      </w:r>
    </w:p>
    <w:p w14:paraId="72ADCB19" w14:textId="77777777" w:rsidR="00AE7191" w:rsidRPr="001E2C69" w:rsidRDefault="00AE7191" w:rsidP="00722885">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по выпуску управляемых ракетных снарядов.</w:t>
      </w:r>
    </w:p>
    <w:p w14:paraId="105566E9" w14:textId="77777777" w:rsidR="00AE7191" w:rsidRPr="001E2C69" w:rsidRDefault="00AE7191" w:rsidP="00722885">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Стальное литье по выплавляемым моделям (10262).</w:t>
      </w:r>
    </w:p>
    <w:p w14:paraId="3759B09E" w14:textId="77777777" w:rsidR="00AE7191" w:rsidRPr="001E2C69" w:rsidRDefault="00AE7191" w:rsidP="00722885">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BE34A36" w14:textId="77777777" w:rsidR="00F74E14" w:rsidRPr="008A2E5A" w:rsidRDefault="00F74E14" w:rsidP="00F74E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июля 1942 г. Выписка из приказа Наркомата вооружения СССР о разделении Ижевского завода № 74 на 2 самостоятельных завода</w:t>
      </w:r>
    </w:p>
    <w:p w14:paraId="49A2CF1C" w14:textId="77777777" w:rsidR="00F74E14" w:rsidRPr="008A2E5A" w:rsidRDefault="00F74E14" w:rsidP="00F74E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исполнение постановления Государственного Комитета Обороны № 2067сс от 20.VII.1942 г.— приказываю:</w:t>
      </w:r>
    </w:p>
    <w:p w14:paraId="05F048AE" w14:textId="77777777" w:rsidR="00F74E14" w:rsidRPr="008A2E5A" w:rsidRDefault="00F74E14" w:rsidP="00F74E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Разделить завод № 74 на 2 самостоятельных завода. На заводе № 74 оставить производство: винтовок образца 1891 /30 гг., карабинов и 12,7-мм пулеметов Березина</w:t>
      </w:r>
    </w:p>
    <w:p w14:paraId="6E20F713" w14:textId="77777777" w:rsidR="00F74E14" w:rsidRPr="008A2E5A" w:rsidRDefault="00F74E14" w:rsidP="00F74E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Производство противотанковых ружей Дегтярева и Симонова, револьвера Наган, пистолетов ПТ, АТ, ТТ, 26-мм сигнальных пистолетов, шаровых установок и запальных трубок Норденфельда выделить в самостоятельный. завод присвоив ему наименование Государственный союзный оружейный завод № 622...</w:t>
      </w:r>
    </w:p>
    <w:p w14:paraId="01B39921" w14:textId="77777777" w:rsidR="00F74E14" w:rsidRPr="008A2E5A" w:rsidRDefault="00F74E14" w:rsidP="00F74E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Возложить на заводы № 74 и 71 поставку поковок заводу № 622 номенклатуры завода № 74 до его разделения.</w:t>
      </w:r>
    </w:p>
    <w:p w14:paraId="620638F7" w14:textId="77777777" w:rsidR="00F74E14" w:rsidRPr="008A2E5A" w:rsidRDefault="00F74E14" w:rsidP="00F74E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Начальнику планово-экономического отдела НКВ т. Фетисову включить в программы заводов № 74 и 71 поставку поковок заводу № 622.</w:t>
      </w:r>
    </w:p>
    <w:p w14:paraId="23C43B7E" w14:textId="77777777" w:rsidR="00F74E14" w:rsidRPr="008A2E5A" w:rsidRDefault="00F74E14" w:rsidP="00F74E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 народного комиссара вооружения СССР в. Рлбиков</w:t>
      </w:r>
    </w:p>
    <w:p w14:paraId="3A2B207F" w14:textId="77777777" w:rsidR="00F74E14" w:rsidRPr="008A2E5A" w:rsidRDefault="00F74E14" w:rsidP="00F74E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ЦГА УР, ф. 1467, оп. 3, д. 176, л. 230 (24013).</w:t>
      </w:r>
    </w:p>
    <w:p w14:paraId="238A8C2B" w14:textId="77777777" w:rsidR="00F74E14" w:rsidRPr="008A2E5A" w:rsidRDefault="00F74E14" w:rsidP="00F74E14">
      <w:pPr>
        <w:spacing w:after="0" w:line="240" w:lineRule="auto"/>
        <w:jc w:val="both"/>
        <w:rPr>
          <w:rFonts w:ascii="Times New Roman" w:hAnsi="Times New Roman"/>
          <w:color w:val="0070C0"/>
          <w:sz w:val="16"/>
          <w:szCs w:val="16"/>
        </w:rPr>
      </w:pPr>
    </w:p>
    <w:p w14:paraId="06D96B2E"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июля 1942 года вышел приказ № 533с НКТП</w:t>
      </w:r>
    </w:p>
    <w:p w14:paraId="5DF165A7"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 исполнение Постановления ГКО от 20 июля 1942 года за № ГОКО-2071с:</w:t>
      </w:r>
    </w:p>
    <w:p w14:paraId="10D59C60"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Ведомость распределения эвакуированного оборудования с Ленинградских заводов НКТП</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1E2C69" w:rsidRPr="001E2C69" w14:paraId="686610B0" w14:textId="77777777" w:rsidTr="00CC5360">
        <w:tc>
          <w:tcPr>
            <w:tcW w:w="4428" w:type="dxa"/>
          </w:tcPr>
          <w:p w14:paraId="6DDCC725"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какого завода</w:t>
            </w:r>
          </w:p>
        </w:tc>
        <w:tc>
          <w:tcPr>
            <w:tcW w:w="4428" w:type="dxa"/>
          </w:tcPr>
          <w:p w14:paraId="49D0C017"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какой завод</w:t>
            </w:r>
          </w:p>
        </w:tc>
      </w:tr>
      <w:tr w:rsidR="001E2C69" w:rsidRPr="001E2C69" w14:paraId="2BFC8C79" w14:textId="77777777" w:rsidTr="00CC5360">
        <w:tc>
          <w:tcPr>
            <w:tcW w:w="4428" w:type="dxa"/>
          </w:tcPr>
          <w:p w14:paraId="2E9B2414"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Кировский завод</w:t>
            </w:r>
          </w:p>
        </w:tc>
        <w:tc>
          <w:tcPr>
            <w:tcW w:w="4428" w:type="dxa"/>
          </w:tcPr>
          <w:p w14:paraId="10C3DB93"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183 Н. Тагил</w:t>
            </w:r>
          </w:p>
          <w:p w14:paraId="44CB54BE"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Кировский (Челябинск).</w:t>
            </w:r>
          </w:p>
          <w:p w14:paraId="477EDBA8"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BDA5AE"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Уралмашзавод (Свердловск).</w:t>
            </w:r>
          </w:p>
          <w:p w14:paraId="4E89E265"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BF22E5"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76 Свердловск</w:t>
            </w:r>
          </w:p>
          <w:p w14:paraId="31AA7BBE"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255 Челябинск</w:t>
            </w:r>
          </w:p>
          <w:p w14:paraId="7459E59D"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254 Москва</w:t>
            </w:r>
          </w:p>
          <w:p w14:paraId="37CA9DB7"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112 Горький</w:t>
            </w:r>
          </w:p>
          <w:p w14:paraId="73113BAF"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200 Челябинск</w:t>
            </w:r>
          </w:p>
          <w:p w14:paraId="772BB057"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С-10 Барнаул</w:t>
            </w:r>
          </w:p>
          <w:p w14:paraId="6218FEE7"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174 Омск</w:t>
            </w:r>
          </w:p>
          <w:p w14:paraId="73F7C326"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176 Муром</w:t>
            </w:r>
          </w:p>
          <w:p w14:paraId="030683D7"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38 Киров</w:t>
            </w:r>
          </w:p>
        </w:tc>
      </w:tr>
      <w:tr w:rsidR="001E2C69" w:rsidRPr="001E2C69" w14:paraId="473D603B" w14:textId="77777777" w:rsidTr="00CC5360">
        <w:tc>
          <w:tcPr>
            <w:tcW w:w="4428" w:type="dxa"/>
          </w:tcPr>
          <w:p w14:paraId="12A5CEBC"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174</w:t>
            </w:r>
          </w:p>
        </w:tc>
        <w:tc>
          <w:tcPr>
            <w:tcW w:w="4428" w:type="dxa"/>
          </w:tcPr>
          <w:p w14:paraId="7DF8C56E"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112 Горький</w:t>
            </w:r>
          </w:p>
          <w:p w14:paraId="4BBB0392"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174</w:t>
            </w:r>
          </w:p>
          <w:p w14:paraId="6084E68E"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38</w:t>
            </w:r>
          </w:p>
          <w:p w14:paraId="658DD2B7"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200</w:t>
            </w:r>
          </w:p>
          <w:p w14:paraId="0CD99D5C"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176</w:t>
            </w:r>
          </w:p>
          <w:p w14:paraId="137694F6"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238 Горький</w:t>
            </w:r>
          </w:p>
        </w:tc>
      </w:tr>
      <w:tr w:rsidR="001E2C69" w:rsidRPr="001E2C69" w14:paraId="5B10F85D" w14:textId="77777777" w:rsidTr="00CC5360">
        <w:tc>
          <w:tcPr>
            <w:tcW w:w="4428" w:type="dxa"/>
          </w:tcPr>
          <w:p w14:paraId="18A1A07C"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Ижорский завод</w:t>
            </w:r>
          </w:p>
        </w:tc>
        <w:tc>
          <w:tcPr>
            <w:tcW w:w="4428" w:type="dxa"/>
          </w:tcPr>
          <w:p w14:paraId="0B9681DA"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254</w:t>
            </w:r>
          </w:p>
          <w:p w14:paraId="280042A4"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238</w:t>
            </w:r>
          </w:p>
          <w:p w14:paraId="2D095B21"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112</w:t>
            </w:r>
          </w:p>
          <w:p w14:paraId="5AF9DAC0"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С-10</w:t>
            </w:r>
          </w:p>
          <w:p w14:paraId="3E49E8D1"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174</w:t>
            </w:r>
          </w:p>
          <w:p w14:paraId="34757770"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38</w:t>
            </w:r>
          </w:p>
          <w:p w14:paraId="1973D18A"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200</w:t>
            </w:r>
          </w:p>
          <w:p w14:paraId="0B3A6A69"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176</w:t>
            </w:r>
          </w:p>
        </w:tc>
      </w:tr>
    </w:tbl>
    <w:p w14:paraId="3514E6CC"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(6127, 273-271).</w:t>
      </w:r>
    </w:p>
    <w:p w14:paraId="7DE6DFDF"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275DF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июля 1942 вышло Постановление ГКО № 2072 Об эвакуации оборудования. завода N91 Наркомхимпрома. . РГАНИР, Фонд ГКО, д. 45, лл. 164-165 (11012).</w:t>
      </w:r>
    </w:p>
    <w:p w14:paraId="0A4C41D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87AE8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июля 1942 вышло Постановление ГКО № 2073 О продлении срока работы автомашин и тракторов, мобилизованных на вывоз хлеба из глубинных пунктов. РГАНИР, Фонд ГКО, д. 45, лл. 166 (11012).</w:t>
      </w:r>
    </w:p>
    <w:p w14:paraId="323F327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7F7BEF"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июля 1942 вышло Постановление ГКО № 2074 Об установлении радиосвязи НКПС с прифронтовыми дорогами. (7044, 167-168).</w:t>
      </w:r>
    </w:p>
    <w:p w14:paraId="5EC259F6"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021FE9"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июля 1942 вышло Постановление ГКО № 2075 О производстве и поставке средств и имущества связи для HКО, Hаркомвоенморфлота, войск HКВД СССР, ГУГВФ, HКПС и Hаркомсвязи в III квартале 1942 г. (7044, 169-170,171-196).</w:t>
      </w:r>
    </w:p>
    <w:p w14:paraId="298F1CEA"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550CB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июля 1942 г. появилась ДОКЛАДНАЯ ЗАПИСКА ЗАМЕСТИТЕЛЯ НАЧАЛЬНИКА ГАБТУ В НАРКОМАТ ВНЕШНЕЙ ТОРГОВЛИ О НЕДОСТАТКАХ АМЕРИКАНСКИХ ТАНКОВ</w:t>
      </w:r>
    </w:p>
    <w:p w14:paraId="43D645F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Одним из существенных недостатков американских танков М-3 средний и М-3 легкий является большая пожарная опасность от загорания внутренней обшивки из губчатой резины.</w:t>
      </w:r>
    </w:p>
    <w:p w14:paraId="0E46DB1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ходе боев установлено, что при пробивании брони снарядами эта обшивка легко воспламеняется.</w:t>
      </w:r>
    </w:p>
    <w:p w14:paraId="4F4FCA5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Прошу сделать представителям НКВТ в США следующее распоряжение.</w:t>
      </w:r>
    </w:p>
    <w:p w14:paraId="43121BE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Снять внутреннюю резиновую обшивку на танках отправляемых в СССР, оставив ее на налоб</w:t>
      </w:r>
      <w:r w:rsidRPr="001E2C69">
        <w:rPr>
          <w:rFonts w:ascii="Times New Roman" w:hAnsi="Times New Roman"/>
          <w:color w:val="000000" w:themeColor="text1"/>
          <w:sz w:val="16"/>
          <w:szCs w:val="16"/>
        </w:rPr>
        <w:softHyphen/>
        <w:t>никах смотровых приборов и приборах управления огнем.</w:t>
      </w:r>
    </w:p>
    <w:p w14:paraId="28C67FB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начальника ГАБТУ КА генерал-майор технических войск Лебедев</w:t>
      </w:r>
    </w:p>
    <w:p w14:paraId="621F15F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Военный комиссар штаба ГАБТУ КА полковой комиссар Ковалев</w:t>
      </w:r>
    </w:p>
    <w:p w14:paraId="5D9A167E"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ЦАМО. Ф. 38. Оп. 11355. Д. 647. Л. 257. Копия (11211).</w:t>
      </w:r>
    </w:p>
    <w:p w14:paraId="7B5DCC57"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p>
    <w:p w14:paraId="58752D60"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Армия:</w:t>
      </w:r>
    </w:p>
    <w:p w14:paraId="225A9AD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F1D65D"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июля в 1942 году утреннее сообщение Совинформбюро:</w:t>
      </w:r>
    </w:p>
    <w:p w14:paraId="40B9551F"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21 июля наши войска вели бои с противником в районе Воронежа и юго-восточнее города Ворошиловграда.</w:t>
      </w:r>
    </w:p>
    <w:p w14:paraId="21036DF7"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1B9E5F32"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продолжаются ожесточённые бои. На одном из участков наши части прорвали линию вражеской обороны, заняли переправу и перерезали коммуникацию противника. В это же время танкисты нанесли удар по другой группировке гитлеровцев и заняли населённый пункт. В ожесточённом бою уничтожены 15 немецких танков, много орудий, пулемётов и сотни солдат и офицеров противника. На другом участке наша часть уничтожила 700 немецких солдат и офицеров, 3 танка, 2 бронемашины, захватила 5.000 мин и снарядов.</w:t>
      </w:r>
    </w:p>
    <w:p w14:paraId="25B6B910"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Советская авиация непрерывно бомбит боевые порядки немецких войск. За день наши лётчики уничтожили 24 немецких танка, 15 артиллерийских орудий, взорвали 7 складов с боеприпасами и горючим и уничтожили до батальона пехоты противника. В воздушных боях сбито 7 немецких самолётов.</w:t>
      </w:r>
    </w:p>
    <w:p w14:paraId="6DE6619E"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Юго-восточнее Ворошиловграда советские войска вели бои с наступающим противником. На одном из участков наши бойцы отразили неоднократные атаки немцев. На поле боя гитлеровцы оставили свыше 400 трупов и 5 подбитых танков. Когда создалась опасность окружения, наша часть по приказу командования отошла на новые рубежи. Успешно действуют советские конники, совершающие внезапные налёты на врага. Во время ночного боя кавалеристы истребили несколько сот немцев, сожгли 2 танка и 8 автомашин.</w:t>
      </w:r>
    </w:p>
    <w:p w14:paraId="3A3BDD30"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Западном фронте происходила редкая артиллерийская перестрелка. На одном из участков огнём нашей артиллерии разбито 2 немецких ДЗОТа, подавлен огонь артиллерийской и 5 миномётных батарей, рассеяна группа пехоты противника. Снайперы школы, где начальником гвардии лейтенант Вышиванов, за сутки истребили 75 немецких оккупантов.</w:t>
      </w:r>
    </w:p>
    <w:p w14:paraId="25A15EC5"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Калининском фронте происходили столкновения небольших групп и поиски разведчиков. Группа наших бойцов под командованием тов. Калистратова проникла в район обороны противника, выявила его огневые точки и уничтожила до 40 гитлеровцев. При выполнении этой операции командир группы т. Калистратов был ранен. Три гитлеровца бросились было к командиру, но их пристрелил боец тов. Хабинов. Бойцы вынесли т. Калистратова с поля боя и вернулись в свою часть.</w:t>
      </w:r>
    </w:p>
    <w:p w14:paraId="3ABD675C"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Гитлеровцы засылают в тыл советских войск шпионов и диверсантов. Наши бойцы проявляют высокую бдительность и вылавливают вражеских лазутчиков. Красноармейцы тт. Денисов, Черняк, Темников и Казанцев ночью задержали семь гитлеровцев, которые сигналами указывали немецким самолётам месторасположение важных военных объектов. Связист тов. Гончаров заметил на берегу реки двух рыболовов, одетых в красноармейскую форму. Они показались ему подозрительными. Тов. Гончаров позвал на помощь двух бойцов и задержал «рыбаков». Следственные органы установили, что задержанные являются немецкими шпионами.</w:t>
      </w:r>
    </w:p>
    <w:p w14:paraId="0F330C51"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Группа калининских партизан совершила смелый налёт на железнодорожную станцию. Советские патриоты уничтожили немецкий гарнизон, взорвали здание комендатуры и железнодорожные стрелки. Партизаны захватили трофеи и пленных. Движение по этой линии прервано на продолжительный срок.</w:t>
      </w:r>
    </w:p>
    <w:p w14:paraId="346C3560"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унтер-офицер, пилот самолёта «Юнкерс-87» немецкого особого отряда Макс Юст рассказал: «В июне 1942 года я окончил лётную школу. В первых числах июля меня направили на советско-германский фронт. Во время второго боевого вылета огнём из винтовок был повреждён мотор, и мне пришлось совершить посадку. Когда к месту посадки приблизились красноармейцы, я бросил револьвер, поднял руки и сдался в плен».</w:t>
      </w:r>
    </w:p>
    <w:p w14:paraId="36487553"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унтер-офицер 82 отряда полевой жандармерии 2 немецкой танковой дивизии Альберт Шмальфус рассказал: «Нашему отряду пришлось неоднократно участвовать в боях с партизанами. Недавно отряд подучил приказ окружить и уничтожить партизан, действующих близ П.. Когда мы подошли к лесу, партизаны неожиданно открыли ружейный и пулемётный огонь. Многие жандармы были убиты. Некоторым удалось спастись бегством. Я был ранен. Меня взяли в плен, оказали медицинскую помощь, а через несколько дней переправили через линию фронта и доставили в штаб советской части».</w:t>
      </w:r>
    </w:p>
    <w:p w14:paraId="14C9B5A4"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Советские патриоты увеличивают выпуск оборонной продукции. На заводе, где директором тов. Солтанов, для изготовления важной детали оборонного изделия вместо ковки применили штамповку. Выпуск деталей увеличился в 3-4 раза. Эта мера позволила высвободить 24 станка для других целей.» (14959).</w:t>
      </w:r>
    </w:p>
    <w:p w14:paraId="194A08CE" w14:textId="77777777" w:rsidR="00715152" w:rsidRPr="001E2C69" w:rsidRDefault="00715152" w:rsidP="00722885">
      <w:pPr>
        <w:spacing w:after="0" w:line="240" w:lineRule="auto"/>
        <w:jc w:val="both"/>
        <w:rPr>
          <w:rFonts w:ascii="Times New Roman" w:hAnsi="Times New Roman"/>
          <w:color w:val="000000" w:themeColor="text1"/>
          <w:sz w:val="16"/>
          <w:szCs w:val="16"/>
        </w:rPr>
      </w:pPr>
    </w:p>
    <w:p w14:paraId="48409177"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июля в 1942 году вечернее сообщение Совинформбюро:</w:t>
      </w:r>
    </w:p>
    <w:p w14:paraId="701958C5"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21 июля наши войска вели бои в районе Воронежа и юго-восточнее города Ворошиловграда.</w:t>
      </w:r>
    </w:p>
    <w:p w14:paraId="176F75E7"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2A0AEDF8"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20 июля частями нашей авиации на различных участках фронта уничтожено или повреждено 10 немецких танков, 140 автомашин с войсками и грузами, взорвано три склада с боеприпасами и два склада с горючим, подавлен огонь 3 дивизионов полевой и зенитной артиллерии, потоплен торпедный катер, рассеяно и частью уничтожено до двух рот пехоты противника.</w:t>
      </w:r>
    </w:p>
    <w:p w14:paraId="00580EC7"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наши войска теснили противника и наносили ему контрудары. На одном из участков наша часть выбила немцев из нескольких опорных пунктов, уничтожила до четырёх рот пехоты и захватила 22 орудия, 40 миномётов, 28 пулемётов, 4 штабных машины, 18.000 патронов, 3.000 снарядов, 1.000 мин и другие трофеи. На другом участке советские артиллеристы и миномётчики за две недели боёв уничтожили до 10.000 солдат и офицеров противника, несколько десятков танков, 378 автомашин, 60 подвод с боеприпасами и военным снаряжением, 30 орудий с прислугой, 14 миномётных батарей, захватили 32 немецких орудия и большое количество снарядов.</w:t>
      </w:r>
    </w:p>
    <w:p w14:paraId="4D3B86F0"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 бойцы и командиры самоотверженно ведут борьбу против немецко-фашистских захватчиков. Младший лейтенант Комиссаров в одном бою уничтожил 40 гитлеровцев. За несколько дней лётчик Герой Советского Союза капитан Миронов сбил в воздушных боях пять немецких самолётов. Танкист тов. Занайлов уничтожил противотанковую пушку и 30 немецких солдат и офицеров. Возвращаясь в свою часть, тов. Занайлов прицепил к танку брошенное немцами орудие и привёз его с собой.</w:t>
      </w:r>
    </w:p>
    <w:p w14:paraId="7FB48A30"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Юго-восточнее Ворошиловграда наши войска ведут упорные оборонительные бои. На отдельных участках, там, где противник сосредоточил крупные силы, наши части отошли на новые рубежи. Танковая часть, прикрывая основные силы, в течение дня вела бои с танками и мотопехотой гитлеровцев. Советские танкисты истребили около 500 немецких солдат и офицеров, уничтожили 7 танков, 2 орудия на гусеничном ходу, 11 пулемётов и несколько миномётов. На другом участке наши бойцы, находившиеся три дня в окружении, прорвали вражеское кольцо и со всем вооружением вышли к своей части.</w:t>
      </w:r>
    </w:p>
    <w:p w14:paraId="4C265C55"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Северо-Западного фронта наша часть взломала вражескую оборону и выбила немцев из сильно укреплённого населённого пункта. В этом бою разгромлен немецкий пехотный полк, который потерял более половины своего составаи много вооружения. Стремясь вернуть потерянные позиции, гитлеровцы предприняли12 контратак при поддержке артиллерии и танков. Наши бойцы отбили все атаки противника. Поддерживая наземные части, наши лётчики сбили 7 немецких самолётов, уничтожили пять танков и 18 автомашин противника.</w:t>
      </w:r>
    </w:p>
    <w:p w14:paraId="76B0FD52"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Калининском фронте происходили столкновения с мелкими отрядами противника и поиски разведчиков. Против подразделения тов. Афанасьева немцы бросили 12 танков и до батальона пехоты. Командир орудия тов. Смирнов выкатил пушку на открытую позицию и подбил три немецких танка. Атака противника была отбита. Отряд разведчиков во главе с капитаном Григорьевым и старшим лейтенантом Аврамовым пробрался в глубокий тыл противника и напал на транспортную колонну немцев. Наши бойцы уничтожили 75 гитлеровцев, 40 повозок с артиллерийскими снарядами и автомашину с продовольствием. Захватив в плен 5 немецких солдат, разведчики вернулись в свою часть.</w:t>
      </w:r>
    </w:p>
    <w:p w14:paraId="7EF327D3"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Группой партизан отряда «Смерть немецким оккупантам» пущен под откос воинский эшелон противника. Разбито 25 вагонов. Во время крушения убито и ранено не менее 250 гитлеровцев.</w:t>
      </w:r>
    </w:p>
    <w:p w14:paraId="514BBF5D"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захватчики опустошили и разграбили 18 деревень Кличевского района, Белорусской ССР. Гитлеровские мерзавцы замучили и расстреляли больше 2.000 мирных жителей. Оккупанты отобрали у крестьян всё ценное имущество, рогатый и мелкий скот, птицу и отправили в Германию. Бандиты сожгли многие жилые дома и постройки колхозников.</w:t>
      </w:r>
    </w:p>
    <w:p w14:paraId="61F93A69"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Французские патриоты всё более широко развёртывают борьбу с гитлеровцами и их пособниками. В Париже убиты три немецких офицера и два предателя. В департаменте Нижней Сены сожжён склад с зерном, конфискованным немцами. В Пуатье были разрушены кабели на железной дороге, в связи с чем прервано движение поездов. Особенно активную роль в борьбе с оккупантами играет молодёжь Франции.» (14959).</w:t>
      </w:r>
    </w:p>
    <w:p w14:paraId="3142B001" w14:textId="77777777" w:rsidR="00715152" w:rsidRPr="001E2C69" w:rsidRDefault="00715152" w:rsidP="00722885">
      <w:pPr>
        <w:spacing w:after="0" w:line="240" w:lineRule="auto"/>
        <w:jc w:val="both"/>
        <w:rPr>
          <w:rFonts w:ascii="Times New Roman" w:hAnsi="Times New Roman"/>
          <w:color w:val="000000" w:themeColor="text1"/>
          <w:sz w:val="16"/>
          <w:szCs w:val="16"/>
        </w:rPr>
      </w:pPr>
    </w:p>
    <w:p w14:paraId="6666D261"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июля в 1942 году звание "Герой Советского Союза" присвоено 28 воинам-панфиловцам 1075-го стрелкового полка, 316-й стрелковой дивизии за мужество и героизм, проявленные при защите Москвы от немецко-фашистских захватчиков (14959).</w:t>
      </w:r>
    </w:p>
    <w:p w14:paraId="11A1C00A" w14:textId="77777777" w:rsidR="00715152" w:rsidRPr="001E2C69" w:rsidRDefault="00715152" w:rsidP="00722885">
      <w:pPr>
        <w:spacing w:after="0" w:line="240" w:lineRule="auto"/>
        <w:jc w:val="both"/>
        <w:rPr>
          <w:rFonts w:ascii="Times New Roman" w:hAnsi="Times New Roman"/>
          <w:color w:val="000000" w:themeColor="text1"/>
          <w:sz w:val="16"/>
          <w:szCs w:val="16"/>
        </w:rPr>
      </w:pPr>
    </w:p>
    <w:p w14:paraId="0550E939" w14:textId="77777777" w:rsidR="00715152" w:rsidRPr="001E2C69" w:rsidRDefault="0071515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июля в 1942 году немецкие войска заняли Красный Сулин (14959).</w:t>
      </w:r>
    </w:p>
    <w:p w14:paraId="0C0FDBEB" w14:textId="77777777" w:rsidR="00715152" w:rsidRPr="001E2C69" w:rsidRDefault="00715152" w:rsidP="00722885">
      <w:pPr>
        <w:spacing w:after="0" w:line="240" w:lineRule="auto"/>
        <w:jc w:val="both"/>
        <w:rPr>
          <w:rFonts w:ascii="Times New Roman" w:hAnsi="Times New Roman"/>
          <w:color w:val="000000" w:themeColor="text1"/>
          <w:sz w:val="16"/>
          <w:szCs w:val="16"/>
        </w:rPr>
      </w:pPr>
    </w:p>
    <w:p w14:paraId="5774804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июля 1942 верховное командование вооруженными силами Германии издало директиву N 44 о ведении боевых действий в Северной Финляндии по захвату Кировской ж/д (3186).</w:t>
      </w:r>
    </w:p>
    <w:p w14:paraId="2B6A806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CBFFD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июля 1942 с объявлением военного положения в Сталинградской области в Астрахани постановлением горкомитета обороны был введен комендантский час. Всякое движение автотранспорта и хождение по городу с 23.00 и до 05.00 разрешалось лишь по специальным пропускам. Особое внимание было уделено соблюдению светомаскировки. Горкомитет обороны обязал усилить охрану нефтебаз, пристаней, флота от воздушного нападения и действий диверсионных групп. Начальнику пароходства было предложено запретить скапливание в одном месте судов, ожидающих разгрузки (11774).</w:t>
      </w:r>
    </w:p>
    <w:p w14:paraId="4023164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1A7198"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За рубежом:</w:t>
      </w:r>
    </w:p>
    <w:p w14:paraId="1A8498D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E8CBB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июля 1942 на Тихом океане японцы высадились на Новой Гвинее и начали продвижение к столице Порту-Морсби и операция продолжалась до 22 января 1943 (3907,236).</w:t>
      </w:r>
    </w:p>
    <w:p w14:paraId="5CDC3A9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C0B0AA" w14:textId="77777777" w:rsidR="00C4748B" w:rsidRPr="001E2C69" w:rsidRDefault="00C474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июля в 1942 году на Тихом океане японские солдаты высаживаются на острове Новая Гвинея и начинают продвижение к столице Папуа-Новая Гвинея городу Порт-Морсби (операция продолжается до 22 января 1943) (14959).</w:t>
      </w:r>
    </w:p>
    <w:p w14:paraId="06461C43" w14:textId="77777777" w:rsidR="00C4748B" w:rsidRPr="001E2C69" w:rsidRDefault="00C4748B" w:rsidP="00722885">
      <w:pPr>
        <w:spacing w:after="0" w:line="240" w:lineRule="auto"/>
        <w:jc w:val="both"/>
        <w:rPr>
          <w:rFonts w:ascii="Times New Roman" w:hAnsi="Times New Roman"/>
          <w:color w:val="000000" w:themeColor="text1"/>
          <w:sz w:val="16"/>
          <w:szCs w:val="16"/>
        </w:rPr>
      </w:pPr>
    </w:p>
    <w:p w14:paraId="4AB6FA26"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Авиапромышленность:</w:t>
      </w:r>
    </w:p>
    <w:p w14:paraId="68A76C6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F69B2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июля 1942 г. С.В. Илюшин направил в адрес главного инженера ВВС А. К. Репина эскизный проект одномоторного одноместного бронированного штурмовика "МШ" с мотором АМ-38. В сопроводительном письме он докладывал: "В проект плана опытного строительства на 1942 г. вошел предложенный мной двухмоторный бронированный штурмовик (имелся ввиду самолет Ил-6 - авт.). Принимая во внимание сегодняшнюю обстановку и трудности осуществления подобного типа самолета, предложение по которому я снимаю, представляю одномоторный, развитие Ил-2". И далее он перечисляет особенности своей новой машины:</w:t>
      </w:r>
    </w:p>
    <w:p w14:paraId="04AA60E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 кардинально изменен обзор, который для штурмовика является решающим;</w:t>
      </w:r>
    </w:p>
    <w:p w14:paraId="1753AFE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усилено артиллерийское вооружение - пушка калибра 37 мм позволит поражать тяжелые танки (строго говоря, только легкие и средние танки - авт.);</w:t>
      </w:r>
    </w:p>
    <w:p w14:paraId="0090A0D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артиллерийское и стрелковое вооружение сосредоточены в одном месте, что улучшает прицельность и кучность стрельбы;</w:t>
      </w:r>
    </w:p>
    <w:p w14:paraId="4777231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минимальная толщина брони увеличена с 4 до 5 мм;</w:t>
      </w:r>
    </w:p>
    <w:p w14:paraId="408ABC3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уменьшено лобовое сопротивление;</w:t>
      </w:r>
    </w:p>
    <w:p w14:paraId="256292F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изменена схема уборки шасси и т.д.</w:t>
      </w:r>
    </w:p>
    <w:p w14:paraId="51AE096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самолета требуется мотор с удлиненным валом. Предусматривается два варианта вооружения. Бомбардировочно-пушечно-стрелковый : нормальный вариант бомбовой нагрузки - до 400 кг (16х25 кг, или 40х10 кг, или 160х2,5 кг), две синхронные пушки ШВАК с боезапасом 200 снарядов, два синхронных пулемета ШКАС с боезапасом 1500 патронов. Стрелково-пушечный вариант : одна пушка Б.Г.Шпитального ШФК-37 с пропущенным через редуктор в полый вал винта стволом и боезапасом 40 снарядов, две синхронные пушки ШВАК с боезапасом 200 снарядов, два синхронных пулемета ШКАС с боезапасом 1500 патронов".</w:t>
      </w:r>
    </w:p>
    <w:p w14:paraId="1CAB297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схеме самолет МШ АМ-38 (модернизированный штурмовик с мотором АМ-38) напоминал Р-39 "Аэрокобру". Но шасси проектировалось не с носовым, а с обычным хвостовым колесом. Известно, что Белл (конструктор самолета Р-39) выбрал схему своего самолета, исходя из таких, в частности, соображений, как необходимость обеспечения эффективности вооружения и простоты посадки для летчиков (уставших после воздушного боя), чему способствовал хороший обзор вперед-вниз. Известно также, что американцы не имели мотор-пушек и у них не были отработаны варианты синхронных пушек, в связи с чем основным оружием истребителей являлись крупнокалиберные крыльевые пулеметы. Среди недостатков применяемой американцами схемы вооружения можно назвать слабую кучность огня, которую на Р-39 удалось улучшить, расположив оружие более компактно. И в том числе пушку М-4 калибра 37 мм.</w:t>
      </w:r>
    </w:p>
    <w:p w14:paraId="6D63199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предлагаемой машине Ильюшин разместил мотор АМ-38 примерно в центре тяжести самолета. Передача мощности на воздушный винт осуществлялась с помощью удлиненного вала, проходившего под бронированным полом кабины летчика. Воздухозаборник мотора находился в верхней части фюзеляжа. Кабину выдвинули вперед, что обеспечивало обзор вперед-вниз до 24 градусов. Под кабиной летчика размещался отсек стрелково-пушечного вооружения. Бензобак и маслобак располагались между кабиной и мотором в верхней части фюзеляжа. Водяные и масляные радиаторы системы охлаждения и смазки мотора были установлены в подфюзеляжной части центроплана, их охлаждение осуществлялось наружным воздухом, подводившимся по изогнутым каналам из воздухозаборников в носке крыла у правого и левого бортов фюзеляжа.</w:t>
      </w:r>
    </w:p>
    <w:p w14:paraId="0DD9A1C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Бомбы, как и в Ил-2, размещались внутри центропланных бомбоотсеков и в перегрузку - дополнительно на внешних подвесках.</w:t>
      </w:r>
    </w:p>
    <w:p w14:paraId="711F322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 шасси основные колеса убирались назад по полету в центроплан с поворотом колес в процессе уборки примерно на 90° (впоследствии эта идея реализована на Ил-10). Убирающимся было и хвостовое колесо. Применение крыла со стреловидностью по передней кромке 15° позволяло достичь необходимого диапазона эксплуатационных центровок. Бронирование летчика, бензо- и маслобаков, водяных и масляных радиаторов обеспечивалось бронекорпусом весьма сложной формы, в основном с прямоугольными образующими. Это упрощало технологию его изготовления, но одновременно повышало уязвимость брони.</w:t>
      </w:r>
    </w:p>
    <w:p w14:paraId="54D4794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НИИ ВВС дали положительное заключение по проекту, только рекомендовали пушки ШВАК заменить на ВЯ-23.</w:t>
      </w:r>
    </w:p>
    <w:p w14:paraId="763D9B1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Следует отметить, что массы пустого самолета и взлетная возросли по сравнению с Ил-2. И несмотря на некоторое улучшение аэродинамики, самолет с мотором АМ-38 показал недостаточно высокие летные данные. К тому же назрела необходимость в двухместном штурмовике, а в рамках принятой компоновочной схемы осуществить такую задачу было невозможно. Кроме того, опыт создания однотипных самолетов Р-39 и Р-63 фирмы "Белл" обнаружил два присущих им хронических недостатка, от которых трудно избавиться: разрушение длинного вала для привода винта вследствие возникновения крутильных колебаний и плохие противоштопорные свойства. Отсюда последовало решение - самолет МШ-АМ-38 не строить (2868,18).</w:t>
      </w:r>
    </w:p>
    <w:p w14:paraId="3473BCB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1A852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июля 1942 проект специального противотанкового штурмовика с мотором АМ-38 (рабочее обозначение МШ), имеющего мощное пушечное вооружение размещенное, с целью обеспечения высокой точности стрельбы в воздухе, вблизи оси самолета, был направлен в адрес Главного инженера ВВС КА А. К. Репина.</w:t>
      </w:r>
    </w:p>
    <w:p w14:paraId="2F73F60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В сопроводительном письме к проекту С. В. Ильюшин писал: “В проект плана опытного строительства на 1942 г. вошел предложенный мной двухмоторный бронированный штурмовик. Принимая во внимание сегодняшнюю обстановку и трудности осуществления подобного типа самолета, предложение по которому я снимаю, представляю одномоторный, развитие Ил-2...”</w:t>
      </w:r>
    </w:p>
    <w:p w14:paraId="0EB131F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МШ представлял собой бронированный одноместный одномоторный низкоплан, главной особенностью которого являлось мощное стрелково-пушечное вооружение, компактно расположенное в носу машины.</w:t>
      </w:r>
    </w:p>
    <w:p w14:paraId="3ED7CED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схеме МШ АМ-38 (модернизированный штурмовик с мотором АМ-38) напоминал американский истребитель Р-39 “Аэрокобра”, но шасси было выполнено не с носовым, а с обычным хвостовым колесом.</w:t>
      </w:r>
    </w:p>
    <w:p w14:paraId="7827DC3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Мотор АМ-38 был размещен примерно в центре тяжести машины. Передача мощности на воздушный винт осуществлялась с помощью удлиненного вала, проходившего под бронированным полом кабины летчика.</w:t>
      </w:r>
    </w:p>
    <w:p w14:paraId="2C37DAF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Воздухозаборник мотора размещался в верхней части фюзеляжа. Кабина была выдвинута вперед, что обеспечивало летчику отличный обзор вперед-вниз до 24°. Под кабиной летчика размещался отсек стрелково-пушечного вооружения.</w:t>
      </w:r>
    </w:p>
    <w:p w14:paraId="75D8C79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Бензобак и маслобак находились между кабиной летчика и мотором в верхней части фюзеляжа.</w:t>
      </w:r>
    </w:p>
    <w:p w14:paraId="186DE81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Водяные и масляные радиаторы системы охлаждения и смазки мотора были установлены в подфюзеляжной части центроплана. Их охлаждение осуществлялось наружным воздухом, подводившимся по изогнутым каналам из воздухозаборников в носках крыла у правого и левого бортов фюзеляжа.</w:t>
      </w:r>
    </w:p>
    <w:p w14:paraId="4B6D742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Бомбы, как и на Ил-2, размещались внутри центропланных бомбоотсеков. Основные колеса шасси убирались назад по полету в центроплан с поворотом колес вокруг оси на 90° в процессе уборки. Такая схема уборки шасси была впоследствии реализована на Ил-10. Убирающимся было и хвостовое колесо.</w:t>
      </w:r>
    </w:p>
    <w:p w14:paraId="410CCB3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Необходимый диапазон центровок машины достигался применением крыла со стреловидностью по передней кромке в 15°.</w:t>
      </w:r>
    </w:p>
    <w:p w14:paraId="22DBC8E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Бронирование летчика, бензо- и маслобаков, водяных и масляных радиаторов обеспечивалось бронекор-пусом весьма сложной формы в основном с прямоугольными образующими, что хотя и упрощало технологию его изготовления, но несколько снижало пулестойкость брони.</w:t>
      </w:r>
    </w:p>
    <w:p w14:paraId="64B819C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Проект предусматривал два варианта вооружения: противотанковый и бомбардировочный.</w:t>
      </w:r>
    </w:p>
    <w:p w14:paraId="05C2579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Согласно первому варианту вооружения в носу самолета размещались втулковая пушка ШФК-37 с боезапасом в 40 снарядов, две синхронные пушки ШВАК с боекомплектом по 200 снарядов на каждую пушку и двух синхронных пулеметов ШКАС с общим боезапасом 1500 патронов.</w:t>
      </w:r>
    </w:p>
    <w:p w14:paraId="0BA7035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Помимо стрелкового вооружения, на самолете предусматривалась подвеска 8 реактивных снарядов PC-82.</w:t>
      </w:r>
    </w:p>
    <w:p w14:paraId="2137DF0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Второй вариант вооружения предусматривал нормальную бомбовую нагрузку 400 кг (16х25 кг или 40х10 кг, или 160х2,5 кг АБ) и в перегрузку - 600 кг (6х100 кг или 2х250 кг, или 24х25 кг), две синхронные пушки ШВАК с боекомплектом по 200 снарядов на ствол и два синхронных пулемета ШКАС с боезапасом 750 патронов на пулемет.</w:t>
      </w:r>
    </w:p>
    <w:p w14:paraId="7773A86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Оценки показывают, что в случае реализации проекта летчик-штурмовик с хорошей летной и стрелковой подготовкой на МШ с противотанковым вариантом вооружения в реальных боевых условиях уже в первой атаке гарантированно поражал немецкий бронетранспортер типа Sd Kfz 250 (атака сбоку, угол планирования 25-30°, дистанция открытия огня 300-400 м) - вероятность поражения 0,96-0,7, а средний танк типа Pz. Ill Ausf G в этих же условиях - с вероятностью не более 0,1.</w:t>
      </w:r>
    </w:p>
    <w:p w14:paraId="2B10F66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НИИ ВВС КА дало положительное заключение по проекту. Было рекомендовано пушки ШВАК заменить на более эффективные ВЯ-23.</w:t>
      </w:r>
    </w:p>
    <w:p w14:paraId="44C985B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Следует отметить, что масса пустого самолета, по сравнению с Ил-2, возросла. Вырос и полетный вес машины. Это привело к тому, что летные данные штурмовика при исполь-зовании мотора АМ-38, даже, несмотря на некоторое улучшение аэродинамики самолета, были все же невысокими.</w:t>
      </w:r>
    </w:p>
    <w:p w14:paraId="021A9A9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Кроме того, завод № 24 так и не смог быстро довести “до ума” мотор АМ-38 с удлиненным валом и к этому времени уже стала очевидной необходимость иметь на вооружении двухместный штурмовик. В этой связи все дальнейшие работы по МШ были прекращены...(9649).</w:t>
      </w:r>
    </w:p>
    <w:p w14:paraId="51A94AA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A2B50D" w14:textId="77777777" w:rsidR="00C4748B" w:rsidRPr="001E2C69" w:rsidRDefault="00C4748B" w:rsidP="00722885">
      <w:pPr>
        <w:pStyle w:val="45"/>
        <w:shd w:val="clear" w:color="auto" w:fill="auto"/>
        <w:spacing w:before="0" w:line="240" w:lineRule="auto"/>
        <w:jc w:val="both"/>
        <w:rPr>
          <w:rFonts w:ascii="Times New Roman" w:cs="Times New Roman"/>
          <w:color w:val="000000" w:themeColor="text1"/>
          <w:sz w:val="16"/>
          <w:szCs w:val="16"/>
        </w:rPr>
      </w:pPr>
      <w:r w:rsidRPr="001E2C69">
        <w:rPr>
          <w:rStyle w:val="4f1"/>
          <w:rFonts w:ascii="Times New Roman" w:hAnsi="Times New Roman" w:cs="Times New Roman"/>
          <w:i w:val="0"/>
          <w:color w:val="000000" w:themeColor="text1"/>
          <w:sz w:val="16"/>
          <w:szCs w:val="16"/>
        </w:rPr>
        <w:t>22 июля 1942 г. в сопроводительном письме к эскизному проекту одномотор</w:t>
      </w:r>
      <w:r w:rsidRPr="001E2C69">
        <w:rPr>
          <w:rStyle w:val="4f1"/>
          <w:rFonts w:ascii="Times New Roman" w:hAnsi="Times New Roman" w:cs="Times New Roman"/>
          <w:i w:val="0"/>
          <w:color w:val="000000" w:themeColor="text1"/>
          <w:sz w:val="16"/>
          <w:szCs w:val="16"/>
        </w:rPr>
        <w:softHyphen/>
        <w:t>ного одноместного противотанкового штурмо</w:t>
      </w:r>
      <w:r w:rsidRPr="001E2C69">
        <w:rPr>
          <w:rStyle w:val="4f1"/>
          <w:rFonts w:ascii="Times New Roman" w:hAnsi="Times New Roman" w:cs="Times New Roman"/>
          <w:i w:val="0"/>
          <w:color w:val="000000" w:themeColor="text1"/>
          <w:sz w:val="16"/>
          <w:szCs w:val="16"/>
        </w:rPr>
        <w:softHyphen/>
        <w:t>вика МШ-АМ-38 (модернизированный штурмо</w:t>
      </w:r>
      <w:r w:rsidRPr="001E2C69">
        <w:rPr>
          <w:rStyle w:val="4f1"/>
          <w:rFonts w:ascii="Times New Roman" w:hAnsi="Times New Roman" w:cs="Times New Roman"/>
          <w:i w:val="0"/>
          <w:color w:val="000000" w:themeColor="text1"/>
          <w:sz w:val="16"/>
          <w:szCs w:val="16"/>
        </w:rPr>
        <w:softHyphen/>
        <w:t>вик с мотором АМ-38), разработанного в ОКБ С.В. ИльюшинаЭ Ильюшин указывал:</w:t>
      </w:r>
      <w:r w:rsidRPr="001E2C69">
        <w:rPr>
          <w:rFonts w:ascii="Times New Roman" w:cs="Times New Roman"/>
          <w:color w:val="000000" w:themeColor="text1"/>
          <w:sz w:val="16"/>
          <w:szCs w:val="16"/>
        </w:rPr>
        <w:t xml:space="preserve"> «В проект плана опытного строитель</w:t>
      </w:r>
      <w:r w:rsidRPr="001E2C69">
        <w:rPr>
          <w:rFonts w:ascii="Times New Roman" w:cs="Times New Roman"/>
          <w:color w:val="000000" w:themeColor="text1"/>
          <w:sz w:val="16"/>
          <w:szCs w:val="16"/>
        </w:rPr>
        <w:softHyphen/>
        <w:t>ства на 1942 г. вошел предложенный мной двух</w:t>
      </w:r>
      <w:r w:rsidRPr="001E2C69">
        <w:rPr>
          <w:rFonts w:ascii="Times New Roman" w:cs="Times New Roman"/>
          <w:color w:val="000000" w:themeColor="text1"/>
          <w:sz w:val="16"/>
          <w:szCs w:val="16"/>
        </w:rPr>
        <w:softHyphen/>
        <w:t>моторный бронированный штурмовик</w:t>
      </w:r>
      <w:r w:rsidRPr="001E2C69">
        <w:rPr>
          <w:rStyle w:val="4f1"/>
          <w:rFonts w:ascii="Times New Roman" w:hAnsi="Times New Roman" w:cs="Times New Roman"/>
          <w:i w:val="0"/>
          <w:color w:val="000000" w:themeColor="text1"/>
          <w:sz w:val="16"/>
          <w:szCs w:val="16"/>
        </w:rPr>
        <w:t xml:space="preserve"> (имелся в виду Ил-6 2М-82</w:t>
      </w:r>
      <w:r w:rsidRPr="001E2C69">
        <w:rPr>
          <w:rFonts w:ascii="Times New Roman" w:cs="Times New Roman"/>
          <w:color w:val="000000" w:themeColor="text1"/>
          <w:sz w:val="16"/>
          <w:szCs w:val="16"/>
        </w:rPr>
        <w:t>). Принимая во внимание сегодняшнюю обстановку и трудно</w:t>
      </w:r>
      <w:r w:rsidRPr="001E2C69">
        <w:rPr>
          <w:rFonts w:ascii="Times New Roman" w:cs="Times New Roman"/>
          <w:color w:val="000000" w:themeColor="text1"/>
          <w:sz w:val="16"/>
          <w:szCs w:val="16"/>
        </w:rPr>
        <w:softHyphen/>
        <w:t>сти осуществления подобного типа самолета, предложение по которому я снимаю, представ</w:t>
      </w:r>
      <w:r w:rsidRPr="001E2C69">
        <w:rPr>
          <w:rFonts w:ascii="Times New Roman" w:cs="Times New Roman"/>
          <w:color w:val="000000" w:themeColor="text1"/>
          <w:sz w:val="16"/>
          <w:szCs w:val="16"/>
        </w:rPr>
        <w:softHyphen/>
        <w:t>ляю одномоторный, как развитие Ил-2...»</w:t>
      </w:r>
    </w:p>
    <w:p w14:paraId="0B089B47" w14:textId="77777777" w:rsidR="00C4748B" w:rsidRPr="001E2C69" w:rsidRDefault="00C4748B"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Главной особенностью самолета являлось размещение мотора АМ-38 позади кабины пи</w:t>
      </w:r>
      <w:r w:rsidRPr="001E2C69">
        <w:rPr>
          <w:rFonts w:ascii="Times New Roman" w:cs="Times New Roman"/>
          <w:color w:val="000000" w:themeColor="text1"/>
          <w:spacing w:val="0"/>
          <w:sz w:val="16"/>
          <w:szCs w:val="16"/>
        </w:rPr>
        <w:softHyphen/>
        <w:t>лота с передачей мощности на воздушный винт с помощью длинного вала, проходящего под бронированным полом кабины летчика, рас</w:t>
      </w:r>
      <w:r w:rsidRPr="001E2C69">
        <w:rPr>
          <w:rFonts w:ascii="Times New Roman" w:cs="Times New Roman"/>
          <w:color w:val="000000" w:themeColor="text1"/>
          <w:spacing w:val="0"/>
          <w:sz w:val="16"/>
          <w:szCs w:val="16"/>
        </w:rPr>
        <w:softHyphen/>
        <w:t>полагавшейся в самом носу фюзеляжа над от</w:t>
      </w:r>
      <w:r w:rsidRPr="001E2C69">
        <w:rPr>
          <w:rFonts w:ascii="Times New Roman" w:cs="Times New Roman"/>
          <w:color w:val="000000" w:themeColor="text1"/>
          <w:spacing w:val="0"/>
          <w:sz w:val="16"/>
          <w:szCs w:val="16"/>
        </w:rPr>
        <w:softHyphen/>
        <w:t>секом стрелково-пушечного вооружения. Это позволяло компактно разместить в носовой ча</w:t>
      </w:r>
      <w:r w:rsidRPr="001E2C69">
        <w:rPr>
          <w:rFonts w:ascii="Times New Roman" w:cs="Times New Roman"/>
          <w:color w:val="000000" w:themeColor="text1"/>
          <w:spacing w:val="0"/>
          <w:sz w:val="16"/>
          <w:szCs w:val="16"/>
        </w:rPr>
        <w:softHyphen/>
        <w:t>сти вблизи продольной оси самолета мощное пушечное вооружение (пушки калибра 37 мм и 20 мм), что обеспечивало незначительное рас</w:t>
      </w:r>
      <w:r w:rsidRPr="001E2C69">
        <w:rPr>
          <w:rFonts w:ascii="Times New Roman" w:cs="Times New Roman"/>
          <w:color w:val="000000" w:themeColor="text1"/>
          <w:spacing w:val="0"/>
          <w:sz w:val="16"/>
          <w:szCs w:val="16"/>
        </w:rPr>
        <w:softHyphen/>
        <w:t>сеивание при стрельбе в воздухе. Одновре</w:t>
      </w:r>
      <w:r w:rsidRPr="001E2C69">
        <w:rPr>
          <w:rFonts w:ascii="Times New Roman" w:cs="Times New Roman"/>
          <w:color w:val="000000" w:themeColor="text1"/>
          <w:spacing w:val="0"/>
          <w:sz w:val="16"/>
          <w:szCs w:val="16"/>
        </w:rPr>
        <w:softHyphen/>
        <w:t>менно летчик получал прекрасный обзор впе</w:t>
      </w:r>
      <w:r w:rsidRPr="001E2C69">
        <w:rPr>
          <w:rFonts w:ascii="Times New Roman" w:cs="Times New Roman"/>
          <w:color w:val="000000" w:themeColor="text1"/>
          <w:spacing w:val="0"/>
          <w:sz w:val="16"/>
          <w:szCs w:val="16"/>
        </w:rPr>
        <w:softHyphen/>
        <w:t>ред-вниз и в стороны.</w:t>
      </w:r>
    </w:p>
    <w:p w14:paraId="6439A751" w14:textId="77777777" w:rsidR="00C4748B" w:rsidRPr="001E2C69" w:rsidRDefault="00C4748B"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Бензо- и маслобак находились между ка</w:t>
      </w:r>
      <w:r w:rsidRPr="001E2C69">
        <w:rPr>
          <w:rFonts w:ascii="Times New Roman" w:cs="Times New Roman"/>
          <w:color w:val="000000" w:themeColor="text1"/>
          <w:spacing w:val="0"/>
          <w:sz w:val="16"/>
          <w:szCs w:val="16"/>
        </w:rPr>
        <w:softHyphen/>
        <w:t>биной летчика и мотором в верхней части фю</w:t>
      </w:r>
      <w:r w:rsidRPr="001E2C69">
        <w:rPr>
          <w:rFonts w:ascii="Times New Roman" w:cs="Times New Roman"/>
          <w:color w:val="000000" w:themeColor="text1"/>
          <w:spacing w:val="0"/>
          <w:sz w:val="16"/>
          <w:szCs w:val="16"/>
        </w:rPr>
        <w:softHyphen/>
        <w:t>зеляжа. Водяные и масляные радиаторы сис</w:t>
      </w:r>
      <w:r w:rsidRPr="001E2C69">
        <w:rPr>
          <w:rFonts w:ascii="Times New Roman" w:cs="Times New Roman"/>
          <w:color w:val="000000" w:themeColor="text1"/>
          <w:spacing w:val="0"/>
          <w:sz w:val="16"/>
          <w:szCs w:val="16"/>
        </w:rPr>
        <w:softHyphen/>
        <w:t>темы охлаждения и смазки мотора были уста</w:t>
      </w:r>
      <w:r w:rsidRPr="001E2C69">
        <w:rPr>
          <w:rFonts w:ascii="Times New Roman" w:cs="Times New Roman"/>
          <w:color w:val="000000" w:themeColor="text1"/>
          <w:spacing w:val="0"/>
          <w:sz w:val="16"/>
          <w:szCs w:val="16"/>
        </w:rPr>
        <w:softHyphen/>
        <w:t>новлены в подфюзеляжной части центроплана внутри бронекорпуса, что повышало их живу</w:t>
      </w:r>
      <w:r w:rsidRPr="001E2C69">
        <w:rPr>
          <w:rFonts w:ascii="Times New Roman" w:cs="Times New Roman"/>
          <w:color w:val="000000" w:themeColor="text1"/>
          <w:spacing w:val="0"/>
          <w:sz w:val="16"/>
          <w:szCs w:val="16"/>
        </w:rPr>
        <w:softHyphen/>
        <w:t>честь в бою. Их охлаждение осуществлялось наружным воздухом, подводившимся по изо</w:t>
      </w:r>
      <w:r w:rsidRPr="001E2C69">
        <w:rPr>
          <w:rFonts w:ascii="Times New Roman" w:cs="Times New Roman"/>
          <w:color w:val="000000" w:themeColor="text1"/>
          <w:spacing w:val="0"/>
          <w:sz w:val="16"/>
          <w:szCs w:val="16"/>
        </w:rPr>
        <w:softHyphen/>
        <w:t>гнутым каналам из воздухозаборников в носках крыла у правого и левого бортов фюзеляжа.</w:t>
      </w:r>
    </w:p>
    <w:p w14:paraId="12D4B4EE" w14:textId="77777777" w:rsidR="00C4748B" w:rsidRPr="001E2C69" w:rsidRDefault="00C4748B"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Бронирование летчика, бензо- и маслоба</w:t>
      </w:r>
      <w:r w:rsidRPr="001E2C69">
        <w:rPr>
          <w:rFonts w:ascii="Times New Roman" w:cs="Times New Roman"/>
          <w:color w:val="000000" w:themeColor="text1"/>
          <w:spacing w:val="0"/>
          <w:sz w:val="16"/>
          <w:szCs w:val="16"/>
        </w:rPr>
        <w:softHyphen/>
        <w:t>ков, водяных и масляных радиаторов обеспе</w:t>
      </w:r>
      <w:r w:rsidRPr="001E2C69">
        <w:rPr>
          <w:rFonts w:ascii="Times New Roman" w:cs="Times New Roman"/>
          <w:color w:val="000000" w:themeColor="text1"/>
          <w:spacing w:val="0"/>
          <w:sz w:val="16"/>
          <w:szCs w:val="16"/>
        </w:rPr>
        <w:softHyphen/>
        <w:t>чивалось бронекорпусом весьма сложной фор</w:t>
      </w:r>
      <w:r w:rsidRPr="001E2C69">
        <w:rPr>
          <w:rFonts w:ascii="Times New Roman" w:cs="Times New Roman"/>
          <w:color w:val="000000" w:themeColor="text1"/>
          <w:spacing w:val="0"/>
          <w:sz w:val="16"/>
          <w:szCs w:val="16"/>
        </w:rPr>
        <w:softHyphen/>
        <w:t>мы в основном с прямоугольными образующи</w:t>
      </w:r>
      <w:r w:rsidRPr="001E2C69">
        <w:rPr>
          <w:rFonts w:ascii="Times New Roman" w:cs="Times New Roman"/>
          <w:color w:val="000000" w:themeColor="text1"/>
          <w:spacing w:val="0"/>
          <w:sz w:val="16"/>
          <w:szCs w:val="16"/>
        </w:rPr>
        <w:softHyphen/>
        <w:t>ми, что упрощало технологию его изготовле</w:t>
      </w:r>
      <w:r w:rsidRPr="001E2C69">
        <w:rPr>
          <w:rFonts w:ascii="Times New Roman" w:cs="Times New Roman"/>
          <w:color w:val="000000" w:themeColor="text1"/>
          <w:spacing w:val="0"/>
          <w:sz w:val="16"/>
          <w:szCs w:val="16"/>
        </w:rPr>
        <w:softHyphen/>
        <w:t>ния. Толщина брони 5-8 мм считалась вполне достаточной для защиты от крупнокалиберных пуль. Дело в том, что, помимо бронекорпуса и бронеспинки, летчик защищался: со стороны задней полусферы - мотором, бензо- и масло</w:t>
      </w:r>
      <w:r w:rsidRPr="001E2C69">
        <w:rPr>
          <w:rFonts w:ascii="Times New Roman" w:cs="Times New Roman"/>
          <w:color w:val="000000" w:themeColor="text1"/>
          <w:spacing w:val="0"/>
          <w:sz w:val="16"/>
          <w:szCs w:val="16"/>
        </w:rPr>
        <w:softHyphen/>
        <w:t>баками, спереди-снизу - отсеком стрелково- пушечного вооружения, а с боковых проекций снизу - бомбоотсеками, нишами шасси, воз</w:t>
      </w:r>
      <w:r w:rsidRPr="001E2C69">
        <w:rPr>
          <w:rFonts w:ascii="Times New Roman" w:cs="Times New Roman"/>
          <w:color w:val="000000" w:themeColor="text1"/>
          <w:spacing w:val="0"/>
          <w:sz w:val="16"/>
          <w:szCs w:val="16"/>
        </w:rPr>
        <w:softHyphen/>
        <w:t>душными каналами охлаждения водо- и маслорадиаторами. В передних стеклах фонаря кабины летчика устанавливались бронестекла толщиной 64 мм (в лобовой части) и 55 мм (в боковой части). Суммарный вес брони до</w:t>
      </w:r>
      <w:r w:rsidRPr="001E2C69">
        <w:rPr>
          <w:rFonts w:ascii="Times New Roman" w:cs="Times New Roman"/>
          <w:color w:val="000000" w:themeColor="text1"/>
          <w:spacing w:val="0"/>
          <w:sz w:val="16"/>
          <w:szCs w:val="16"/>
        </w:rPr>
        <w:softHyphen/>
        <w:t>стигал 750 кг.</w:t>
      </w:r>
    </w:p>
    <w:p w14:paraId="052DD486" w14:textId="77777777" w:rsidR="00C4748B" w:rsidRPr="001E2C69" w:rsidRDefault="00C4748B"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Несмотря на имеющиеся недостатки, специалисты НИИ ВВС дали положительное заключение по проекту. Рекомендовалось за</w:t>
      </w:r>
      <w:r w:rsidRPr="001E2C69">
        <w:rPr>
          <w:rFonts w:ascii="Times New Roman" w:cs="Times New Roman"/>
          <w:color w:val="000000" w:themeColor="text1"/>
          <w:spacing w:val="0"/>
          <w:sz w:val="16"/>
          <w:szCs w:val="16"/>
        </w:rPr>
        <w:softHyphen/>
        <w:t>менить 20-мм пушки ШВАК более эффектив</w:t>
      </w:r>
      <w:r w:rsidRPr="001E2C69">
        <w:rPr>
          <w:rFonts w:ascii="Times New Roman" w:cs="Times New Roman"/>
          <w:color w:val="000000" w:themeColor="text1"/>
          <w:spacing w:val="0"/>
          <w:sz w:val="16"/>
          <w:szCs w:val="16"/>
        </w:rPr>
        <w:softHyphen/>
        <w:t>ными пушками ВЯ калибра 23 мм. Самолет незамедлительно включили в план опытного строительства 1942 г. Однако уже 24 августа ВВС потребовали довести экипаж МШ-АМ-38 до двух человек (летчик и воздушный стрелок) и установить дополнительное вооружение для стрельбы назад.</w:t>
      </w:r>
    </w:p>
    <w:p w14:paraId="4A3EC5C9" w14:textId="77777777" w:rsidR="00C4748B" w:rsidRPr="001E2C69" w:rsidRDefault="00C4748B"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В этой связи Ильюшин обратился в пра</w:t>
      </w:r>
      <w:r w:rsidRPr="001E2C69">
        <w:rPr>
          <w:rFonts w:ascii="Times New Roman" w:cs="Times New Roman"/>
          <w:color w:val="000000" w:themeColor="text1"/>
          <w:spacing w:val="0"/>
          <w:sz w:val="16"/>
          <w:szCs w:val="16"/>
        </w:rPr>
        <w:softHyphen/>
        <w:t>вительство с предложением включить в план опытного самолетостроения текущего года постройку двухместного бронированного штурмовика с мотором М-71 вместо одно</w:t>
      </w:r>
      <w:r w:rsidRPr="001E2C69">
        <w:rPr>
          <w:rFonts w:ascii="Times New Roman" w:cs="Times New Roman"/>
          <w:color w:val="000000" w:themeColor="text1"/>
          <w:spacing w:val="0"/>
          <w:sz w:val="16"/>
          <w:szCs w:val="16"/>
        </w:rPr>
        <w:softHyphen/>
        <w:t>местного. Эскизный проект самолета, полупившего обозначение БШ-М-71, был подпи</w:t>
      </w:r>
      <w:r w:rsidRPr="001E2C69">
        <w:rPr>
          <w:rFonts w:ascii="Times New Roman" w:cs="Times New Roman"/>
          <w:color w:val="000000" w:themeColor="text1"/>
          <w:spacing w:val="0"/>
          <w:sz w:val="16"/>
          <w:szCs w:val="16"/>
        </w:rPr>
        <w:softHyphen/>
        <w:t>сан Ильюшиным 25 августа 1942 г. Но это уже другая история (15776).</w:t>
      </w:r>
    </w:p>
    <w:p w14:paraId="65369732" w14:textId="77777777" w:rsidR="00C4748B" w:rsidRPr="001E2C69" w:rsidRDefault="00C4748B" w:rsidP="00722885">
      <w:pPr>
        <w:pStyle w:val="36"/>
        <w:shd w:val="clear" w:color="auto" w:fill="auto"/>
        <w:spacing w:after="0" w:line="240" w:lineRule="auto"/>
        <w:jc w:val="both"/>
        <w:rPr>
          <w:rFonts w:ascii="Times New Roman" w:cs="Times New Roman"/>
          <w:color w:val="000000" w:themeColor="text1"/>
          <w:spacing w:val="0"/>
          <w:sz w:val="16"/>
          <w:szCs w:val="16"/>
        </w:rPr>
      </w:pPr>
    </w:p>
    <w:p w14:paraId="7A533792" w14:textId="77777777" w:rsidR="00C4748B" w:rsidRPr="001E2C69" w:rsidRDefault="00C474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июля 1942 проект эскизный проект специального противо</w:t>
      </w:r>
      <w:hyperlink r:id="rId151"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ового штурмовика с мотором АМ-38 (рабочее обозначение МШ) был направлен в адрес Главного инженера ВВС КА А. К. Репина.</w:t>
      </w:r>
    </w:p>
    <w:p w14:paraId="6587D725" w14:textId="77777777" w:rsidR="00C4748B" w:rsidRPr="001E2C69" w:rsidRDefault="00C474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сопроводительном письме к проекту С. В. Ильюшин писал:</w:t>
      </w:r>
    </w:p>
    <w:p w14:paraId="27559111" w14:textId="77777777" w:rsidR="00C4748B" w:rsidRPr="001E2C69" w:rsidRDefault="00C474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проект плана опытного строительства на 1942 г. вошел предложенный мной двухмоторный бронированный штурмовик. Принимая во внимание сегодняшнюю обстановку и трудности осуществления подобного типа самолета, предложение по которому я снимаю, представляю одномоторный, развитие Ил-2...»</w:t>
      </w:r>
    </w:p>
    <w:p w14:paraId="18AAFEDD" w14:textId="77777777" w:rsidR="00C4748B" w:rsidRPr="001E2C69" w:rsidRDefault="00C474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МШ представлял собой бронированный одноместный одномоторный низкоплан, главной особенностью которого являлось мощное стрелково-пушечное вооружение, компактно расположенное в носу машины.</w:t>
      </w:r>
    </w:p>
    <w:p w14:paraId="730014E9" w14:textId="77777777" w:rsidR="00C4748B" w:rsidRPr="001E2C69" w:rsidRDefault="00C474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схеме МШ АМ-38 (модернизированный штурмовик с мотором АМ-38) напоминал американский истребитель Р-39 «Аэрокобра», но шасси было выполнено не с носовым, а с обычным хвостовым колесом.</w:t>
      </w:r>
    </w:p>
    <w:p w14:paraId="652F2A6D" w14:textId="77777777" w:rsidR="00C4748B" w:rsidRPr="001E2C69" w:rsidRDefault="00C474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Мотор АМ-38 был размещен примерно в центре тяжести машины. Передача мощности на воздушный винт осуществлялась с помощью удлиненного вала, проходившего под бронированным полом кабины летчика.</w:t>
      </w:r>
    </w:p>
    <w:p w14:paraId="5D7B7422" w14:textId="77777777" w:rsidR="00C4748B" w:rsidRPr="001E2C69" w:rsidRDefault="00C474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Воздухозаборник мотора размещался в верхней части фюзеляжа. Кабина была выдвинута вперед, что обеспечивало летчику отличный обзор вперед-вниз до 24°. Под кабиной летчика размещался отсек стрелково-пушечного вооружения.</w:t>
      </w:r>
    </w:p>
    <w:p w14:paraId="642322B4" w14:textId="77777777" w:rsidR="00C4748B" w:rsidRPr="001E2C69" w:rsidRDefault="00C474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Бензобак и маслобак находились между кабиной летчика и мотором в верхней части фюзеляжа.</w:t>
      </w:r>
    </w:p>
    <w:p w14:paraId="32F731E0" w14:textId="77777777" w:rsidR="00C4748B" w:rsidRPr="001E2C69" w:rsidRDefault="00C474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Водяные и масляные радиаторы системы охлаждения и смазки мотора были установлены в подфюзеляжной части центроплана. Их охлаждение [140] осуществлялось наружным воздухом, подводившимся по изогнутым каналам из воздухозаборников в носках крыла у правого и левого бортов фюзеляжа.</w:t>
      </w:r>
    </w:p>
    <w:p w14:paraId="50413A16" w14:textId="77777777" w:rsidR="00C4748B" w:rsidRPr="001E2C69" w:rsidRDefault="00C474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Бомбы, как и на Ил-2, размещались внутри центропланных бомбоотсеков. Основные колеса шасси убирались назад по полету в центроплан с поворотом колес вокруг оси на 90° в процессе уборки. Такая схема уборки шасси была впоследствии реализована на Ил-10. Убирающимся было и хвостовое колесо.</w:t>
      </w:r>
    </w:p>
    <w:p w14:paraId="715E446B" w14:textId="77777777" w:rsidR="00C4748B" w:rsidRPr="001E2C69" w:rsidRDefault="00C474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Необходимый диапазон центровок машины достигался применением крыла со стреловидностью по передней кромке в 15°.</w:t>
      </w:r>
    </w:p>
    <w:p w14:paraId="4873A253" w14:textId="77777777" w:rsidR="00C4748B" w:rsidRPr="001E2C69" w:rsidRDefault="00C474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Бронирование летчика, бензо — и маслобаков, водяных и масляных радиаторов обеспечивалось бронекорпусом весьма сложной формы в основном с прямоугольными образующими, что хотя и упрощало технологию его изготовления, но несколько снижало пулестойкость брони.</w:t>
      </w:r>
    </w:p>
    <w:p w14:paraId="172721E5" w14:textId="77777777" w:rsidR="00C4748B" w:rsidRPr="001E2C69" w:rsidRDefault="00C474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Проект предусматривал два варианта вооружения: противо</w:t>
      </w:r>
      <w:hyperlink r:id="rId152"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овый и бомбардировочный.</w:t>
      </w:r>
    </w:p>
    <w:p w14:paraId="534C1C91" w14:textId="77777777" w:rsidR="00C4748B" w:rsidRPr="001E2C69" w:rsidRDefault="00C474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Согласно первому варианту вооружения в носу самолета размещались втулковая пушка ШФК-37 с боезапасом в 40 снарядов, две синхронные пушки ШВАК с боекомплектом по 200 снарядов на каждую пушку и двух синхронных пулеметов ШКАС с общим боезапасом 1500 патронов.</w:t>
      </w:r>
    </w:p>
    <w:p w14:paraId="29F0C05E" w14:textId="77777777" w:rsidR="00C4748B" w:rsidRPr="001E2C69" w:rsidRDefault="00C474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Помимо стрелкового вооружения, на самолете предусматривалась подвеска 8 реактивных снарядов РС-82.</w:t>
      </w:r>
    </w:p>
    <w:p w14:paraId="141099E3" w14:textId="77777777" w:rsidR="00C4748B" w:rsidRPr="001E2C69" w:rsidRDefault="00C474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Второй вариант вооружения предусматривал нормальную бомбовую нагрузку 400 кг (16x25 кг или 40x10 кг, или 160x2,5 кг АБ) и в перегрузку — 600 кг (6x100 кг или 2x250 кг, или 24x25 кг), две синхронные пушки ШВАК с боекомплектом по 200 снарядов на ствол и два синхронных пулемета ШКАС с боезапасом 750 патронов на пулемет.</w:t>
      </w:r>
    </w:p>
    <w:p w14:paraId="5BEC54BB" w14:textId="77777777" w:rsidR="00C4748B" w:rsidRPr="001E2C69" w:rsidRDefault="00C474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Оценки показывают, что в случае реализации проекта летчик-штурмовик с хорошей летной и стрелковой подготовкой на МШ с противо</w:t>
      </w:r>
      <w:hyperlink r:id="rId153"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 xml:space="preserve">овым вариантом вооружения в реальных боевых условиях уже в первой атаке гарантированно поражал немецкий бронетранспортер типа Sd Kfz 250 (атака сбоку, угол планирования 25–30°, дистанция открытия огня 300–400 м) — вероятность поражения 0,96–0,7, а средний </w:t>
      </w:r>
      <w:hyperlink r:id="rId154"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 xml:space="preserve"> типа Pz. Ill Ausf G в этих же условиях — с вероятностью не более 0,1.</w:t>
      </w:r>
    </w:p>
    <w:p w14:paraId="147B7DC7" w14:textId="77777777" w:rsidR="00C4748B" w:rsidRPr="001E2C69" w:rsidRDefault="00C474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НИИ ВВС КА дало положительное заключение по проекту. Было рекомендовано пушки ШВАК заменить на более эффективные ВЯ-23.</w:t>
      </w:r>
    </w:p>
    <w:p w14:paraId="6094E7B9" w14:textId="77777777" w:rsidR="00C4748B" w:rsidRPr="001E2C69" w:rsidRDefault="00C474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Следует отметить, что масса пустого самолета, по сравнению с Ил-2, возросла. Вырос и полетный вес машины. Это привело к тому, что летные данные штурмовика при использовании мотора АМ-38, даже, несмотря на некоторое улучшение аэродинамики самолета, были все же невысокими.</w:t>
      </w:r>
    </w:p>
    <w:p w14:paraId="4B8A9965" w14:textId="77777777" w:rsidR="00C4748B" w:rsidRPr="001E2C69" w:rsidRDefault="00C474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Кроме того, завод № 24 так и не смог быстро довести «до ума» мотор АМ-38 с удлиненным валом и к этому времени уже стала очевидной необходимость иметь на вооружении двухместный штурмовик. В этой связи все дальнейшие работы по МШ были прекращены…(15572).</w:t>
      </w:r>
    </w:p>
    <w:p w14:paraId="1F2B94D4" w14:textId="77777777" w:rsidR="00C4748B" w:rsidRPr="001E2C69" w:rsidRDefault="00C4748B" w:rsidP="00722885">
      <w:pPr>
        <w:spacing w:after="0" w:line="240" w:lineRule="auto"/>
        <w:jc w:val="both"/>
        <w:rPr>
          <w:rFonts w:ascii="Times New Roman" w:hAnsi="Times New Roman"/>
          <w:color w:val="000000" w:themeColor="text1"/>
          <w:sz w:val="16"/>
          <w:szCs w:val="16"/>
        </w:rPr>
      </w:pPr>
    </w:p>
    <w:p w14:paraId="65F95A63" w14:textId="77777777" w:rsidR="00C4748B" w:rsidRPr="001E2C69" w:rsidRDefault="00C4748B" w:rsidP="00722885">
      <w:pPr>
        <w:spacing w:after="0" w:line="240" w:lineRule="auto"/>
        <w:jc w:val="both"/>
        <w:rPr>
          <w:rFonts w:ascii="Times New Roman" w:hAnsi="Times New Roman"/>
          <w:color w:val="000000" w:themeColor="text1"/>
          <w:sz w:val="16"/>
          <w:szCs w:val="16"/>
        </w:rPr>
      </w:pPr>
      <w:r w:rsidRPr="001E2C69">
        <w:rPr>
          <w:rStyle w:val="4f1"/>
          <w:rFonts w:ascii="Times New Roman" w:hAnsi="Times New Roman" w:cs="Times New Roman"/>
          <w:i w:val="0"/>
          <w:color w:val="000000" w:themeColor="text1"/>
          <w:sz w:val="16"/>
          <w:szCs w:val="16"/>
        </w:rPr>
        <w:t>22 июля 1942 г. С.В. Ильюшин направил в адрес главного инженера ВВС генерала А.К. Репина эскизный проект одномоторного одноместного противотанковой штурмовика МШ-АМ-38 (модернизированный штурмовик с мотором АМ-38). В сопровс дительном письме Ильюшин указывал:</w:t>
      </w:r>
      <w:r w:rsidRPr="001E2C69">
        <w:rPr>
          <w:rFonts w:ascii="Times New Roman" w:hAnsi="Times New Roman"/>
          <w:color w:val="000000" w:themeColor="text1"/>
          <w:sz w:val="16"/>
          <w:szCs w:val="16"/>
        </w:rPr>
        <w:t xml:space="preserve"> «В проект плана опытного строительства на 19421 вошёл предложенный мной двухмоторный бронированный штурмовик (имелся в виду 2М-82). Принимая во внимание сегодняшнюю обстановку и трудности ос ществления подобного типа самолёта, предложение по которому я снимаю, представлял одномоторный, как развитие Ил-2...».</w:t>
      </w:r>
    </w:p>
    <w:p w14:paraId="2A0D6BD9" w14:textId="77777777" w:rsidR="00C4748B" w:rsidRPr="001E2C69" w:rsidRDefault="00C474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Главной особенностью самолёта являлось размещение мотора АМ-38 позади кабин пилота с передачей мощности на воздушный винт с помощью длинного вала, проходящей под бронированным полом кабины лётчика, располагавшейся в самом носу фюзеляжа не отсеком стрелково-пушечного вооружения. Это позволяло в носовой части вблизи продольной оси самолёта компактно разместить мощное пушечное вооружение, что обеспе чивало незначительное рассеивание при стрельбе в воздухе. Одновременно лётчик име прекрасный обзор вперёд-вниз и в стороны.</w:t>
      </w:r>
    </w:p>
    <w:p w14:paraId="5FEF1C2D" w14:textId="77777777" w:rsidR="00C4748B" w:rsidRPr="001E2C69" w:rsidRDefault="00C474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Противотанковый вариант вооружения включал одну мотор-пушку Ш-37 (40 снар дов), две синхронные пушки ШВАК (400 снарядов), два синхронных пулемёта ШКАС (15С патронов) и 8 РО-82.</w:t>
      </w:r>
    </w:p>
    <w:p w14:paraId="7318DAF6" w14:textId="77777777" w:rsidR="00C4748B" w:rsidRPr="001E2C69" w:rsidRDefault="00C474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Подвеска бомб - 400 кг или в перегрузку 600 кг (в том чи£ле 2 ФАБ-250), предполага лась вместо 37-мм пушки и ракетных орудий.</w:t>
      </w:r>
    </w:p>
    <w:p w14:paraId="1B950FCC" w14:textId="77777777" w:rsidR="00C4748B" w:rsidRPr="001E2C69" w:rsidRDefault="00C474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Несмотря на явные недостатки проекта МШ-АМ-38, специалисты НИИ ВВС дали поло</w:t>
      </w:r>
      <w:r w:rsidRPr="001E2C69">
        <w:rPr>
          <w:rFonts w:ascii="Times New Roman" w:hAnsi="Times New Roman"/>
          <w:color w:val="000000" w:themeColor="text1"/>
          <w:sz w:val="16"/>
          <w:szCs w:val="16"/>
        </w:rPr>
        <w:softHyphen/>
        <w:t>жительное заключение по нему. Было только рекомендовано заменить 20-мм пушки ШВАК более эффективными ВЯ калибра 23 мм.</w:t>
      </w:r>
    </w:p>
    <w:p w14:paraId="408BC579" w14:textId="77777777" w:rsidR="00C4748B" w:rsidRPr="001E2C69" w:rsidRDefault="00C474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Самолёт незамедлительно включили в план опытного строительства 1942 г. (15846).</w:t>
      </w:r>
    </w:p>
    <w:p w14:paraId="4D238DEB" w14:textId="77777777" w:rsidR="00C4748B" w:rsidRPr="001E2C69" w:rsidRDefault="00C4748B" w:rsidP="00722885">
      <w:pPr>
        <w:spacing w:after="0" w:line="240" w:lineRule="auto"/>
        <w:jc w:val="both"/>
        <w:rPr>
          <w:rFonts w:ascii="Times New Roman" w:hAnsi="Times New Roman"/>
          <w:color w:val="000000" w:themeColor="text1"/>
          <w:sz w:val="16"/>
          <w:szCs w:val="16"/>
        </w:rPr>
      </w:pPr>
    </w:p>
    <w:p w14:paraId="68085DD7" w14:textId="56C67CE4" w:rsidR="00C114EC" w:rsidRPr="001E2C69" w:rsidRDefault="00C114E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июля 1942 года проект МШ-АМ-38 был направлен в адрес главного инженера ВВС КА генерал-лейтенанта А.</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К.</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Репина. В сопроводительном письме к проекту С.</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В.</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Ильюшин писал: «В проект плана опытного строительства на 1942</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г. вошел предложенный мной двухмоторный бронированный штурмовик (имелся в виду Ил-6 2М-82). Принимая во внимание сегодняшнюю обстановку и трудности осуществления подобного типа самолета, предложение по которому я снимаю, представляю одномоторный, как развитие Ил-2…»</w:t>
      </w:r>
    </w:p>
    <w:p w14:paraId="2404E968" w14:textId="77777777" w:rsidR="00C114EC" w:rsidRPr="001E2C69" w:rsidRDefault="00C114E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Следует отметить, что вес пустого самолета по сравнению с Ил-2 увеличился. Вырос и полетный вес машины. Это привело к тому, что летные данные штурмовика и его маневренность при использовании мотора АМ-38 все же были невысокими.</w:t>
      </w:r>
    </w:p>
    <w:p w14:paraId="6B7B0EA0" w14:textId="27A325DC" w:rsidR="00C114EC" w:rsidRPr="001E2C69" w:rsidRDefault="00C114E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Несмотря на явные недостатки проекта МШ-АМ-38, НИИ ВВС КА дал положительное заключение по нему. Рекомендовалось 20-мм пушки ШВАК заменить более эффективными ВЯ калибра 23</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мм. Однако 24 августа в замечаниях по проекту плана опытного самолетостроения на 1942 год военные потребовали довести экипаж МШ-АМ-38 до двух человек (летчик и воздушный стрелок) и установить дополнительное вооружение для стрельбы назад. В этой связи Ильюшин снял проект МШ-АМ-38 с повестки дня и в сентябре прекратил по нему все работы (17490).</w:t>
      </w:r>
    </w:p>
    <w:p w14:paraId="6AECF3C7" w14:textId="77777777" w:rsidR="00C114EC" w:rsidRPr="001E2C69" w:rsidRDefault="00C114EC" w:rsidP="00722885">
      <w:pPr>
        <w:spacing w:after="0" w:line="240" w:lineRule="auto"/>
        <w:jc w:val="both"/>
        <w:rPr>
          <w:rFonts w:ascii="Times New Roman" w:hAnsi="Times New Roman"/>
          <w:color w:val="000000" w:themeColor="text1"/>
          <w:sz w:val="16"/>
          <w:szCs w:val="16"/>
        </w:rPr>
      </w:pPr>
    </w:p>
    <w:p w14:paraId="1F51099D" w14:textId="77777777" w:rsidR="00C114EC" w:rsidRPr="001E2C69" w:rsidRDefault="00C114E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22 июля 1942 г. проект МШ АМ-38 был направ</w:t>
      </w:r>
      <w:r w:rsidRPr="001E2C69">
        <w:rPr>
          <w:color w:val="000000" w:themeColor="text1"/>
          <w:sz w:val="16"/>
          <w:szCs w:val="16"/>
        </w:rPr>
        <w:softHyphen/>
        <w:t>лен в адрес главного инженера ВВС КА генерала А. К. Репина. В сопроводительном письме к проек</w:t>
      </w:r>
      <w:r w:rsidRPr="001E2C69">
        <w:rPr>
          <w:color w:val="000000" w:themeColor="text1"/>
          <w:sz w:val="16"/>
          <w:szCs w:val="16"/>
        </w:rPr>
        <w:softHyphen/>
        <w:t>ту С. В. Ильюшин писал: «В проект плана опытно</w:t>
      </w:r>
      <w:r w:rsidRPr="001E2C69">
        <w:rPr>
          <w:color w:val="000000" w:themeColor="text1"/>
          <w:sz w:val="16"/>
          <w:szCs w:val="16"/>
        </w:rPr>
        <w:softHyphen/>
        <w:t>го строительства на 1942 г. вошел предложенный мной двухмоторный бронированный штурмовик (имелся в виду Ил-6 2М-82. —</w:t>
      </w:r>
      <w:r w:rsidRPr="001E2C69">
        <w:rPr>
          <w:rStyle w:val="BodytextItalic"/>
          <w:i w:val="0"/>
          <w:color w:val="000000" w:themeColor="text1"/>
          <w:sz w:val="16"/>
          <w:szCs w:val="16"/>
        </w:rPr>
        <w:t xml:space="preserve"> Авт.).</w:t>
      </w:r>
      <w:r w:rsidRPr="001E2C69">
        <w:rPr>
          <w:color w:val="000000" w:themeColor="text1"/>
          <w:sz w:val="16"/>
          <w:szCs w:val="16"/>
        </w:rPr>
        <w:t xml:space="preserve"> Принимая во внимание сегодняшнюю обстановку и трудности осуществления подобного типа самолета, предло</w:t>
      </w:r>
      <w:r w:rsidRPr="001E2C69">
        <w:rPr>
          <w:color w:val="000000" w:themeColor="text1"/>
          <w:sz w:val="16"/>
          <w:szCs w:val="16"/>
        </w:rPr>
        <w:softHyphen/>
        <w:t>жение по которому я снимаю, представляю одно</w:t>
      </w:r>
      <w:r w:rsidRPr="001E2C69">
        <w:rPr>
          <w:color w:val="000000" w:themeColor="text1"/>
          <w:sz w:val="16"/>
          <w:szCs w:val="16"/>
        </w:rPr>
        <w:softHyphen/>
        <w:t>моторный, как развитие Ил-2...»</w:t>
      </w:r>
    </w:p>
    <w:p w14:paraId="02EA8A4E" w14:textId="77777777" w:rsidR="00C114EC" w:rsidRPr="001E2C69" w:rsidRDefault="00C114E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Следует отметить, что вес пустого самолета по сравнению с Ил-2 возрос. Вырос и полетный вес машины. Это привело к тому, что летные данные штурмовика и его маневренность при использо</w:t>
      </w:r>
      <w:r w:rsidRPr="001E2C69">
        <w:rPr>
          <w:color w:val="000000" w:themeColor="text1"/>
          <w:sz w:val="16"/>
          <w:szCs w:val="16"/>
        </w:rPr>
        <w:softHyphen/>
        <w:t>вании мотора АМ-38, даже несмотря на некоторое улучшение аэродинамики самолета, все же были невысокими.</w:t>
      </w:r>
    </w:p>
    <w:p w14:paraId="7AC883A3" w14:textId="77777777" w:rsidR="00C114EC" w:rsidRPr="001E2C69" w:rsidRDefault="00C114E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Несмотря на явные недостатки проекта МШ АМ-38, НИИ ВВС КА дал положительное заключе</w:t>
      </w:r>
      <w:r w:rsidRPr="001E2C69">
        <w:rPr>
          <w:color w:val="000000" w:themeColor="text1"/>
          <w:sz w:val="16"/>
          <w:szCs w:val="16"/>
        </w:rPr>
        <w:softHyphen/>
        <w:t>ние по нему. Рекомендовалось 20-мм пушки ШВАК заменить более эффективными ВЯ калибра 23 мм. Однако 24 августа в замечаниях по проекту плана опытного самолетостроения на 1942 г. военные по</w:t>
      </w:r>
      <w:r w:rsidRPr="001E2C69">
        <w:rPr>
          <w:color w:val="000000" w:themeColor="text1"/>
          <w:sz w:val="16"/>
          <w:szCs w:val="16"/>
        </w:rPr>
        <w:softHyphen/>
        <w:t>требовали довести экипаж МШ-АМ-38 до 2 человек (летчик и воздушный стрелок) и установить допол</w:t>
      </w:r>
      <w:r w:rsidRPr="001E2C69">
        <w:rPr>
          <w:color w:val="000000" w:themeColor="text1"/>
          <w:sz w:val="16"/>
          <w:szCs w:val="16"/>
        </w:rPr>
        <w:softHyphen/>
        <w:t>нительное вооружение для стрельбы назад (17500).</w:t>
      </w:r>
    </w:p>
    <w:p w14:paraId="796EF1FC" w14:textId="77777777" w:rsidR="00C114EC" w:rsidRPr="001E2C69" w:rsidRDefault="00C114EC" w:rsidP="00722885">
      <w:pPr>
        <w:spacing w:after="0" w:line="240" w:lineRule="auto"/>
        <w:jc w:val="both"/>
        <w:rPr>
          <w:rFonts w:ascii="Times New Roman" w:hAnsi="Times New Roman"/>
          <w:color w:val="000000" w:themeColor="text1"/>
          <w:sz w:val="16"/>
          <w:szCs w:val="16"/>
        </w:rPr>
      </w:pPr>
    </w:p>
    <w:p w14:paraId="3046455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июля 1942 В.К.К. начал летные испытания двухместного Ил-2 с М-82. Ви был В.В.Семенов (3846,17).</w:t>
      </w:r>
    </w:p>
    <w:p w14:paraId="12DFBB2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По-видимому, первого серийного.</w:t>
      </w:r>
    </w:p>
    <w:p w14:paraId="2C1BB41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D99A6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июля 1942 г. из-за неудовлетворительной работы механизма уборки шасси, течм воздуха в пневмосистеме, разруше</w:t>
      </w:r>
      <w:r w:rsidRPr="001E2C69">
        <w:rPr>
          <w:rFonts w:ascii="Times New Roman" w:hAnsi="Times New Roman"/>
          <w:color w:val="000000" w:themeColor="text1"/>
          <w:sz w:val="16"/>
          <w:szCs w:val="16"/>
        </w:rPr>
        <w:softHyphen/>
        <w:t>ния капота на скорости порядка 610 км/ч и др, а также из-за перегрева цилиндров мотора проведение испытаний И-185 Эталона приостановили до 10 ав</w:t>
      </w:r>
      <w:r w:rsidRPr="001E2C69">
        <w:rPr>
          <w:rFonts w:ascii="Times New Roman" w:hAnsi="Times New Roman"/>
          <w:color w:val="000000" w:themeColor="text1"/>
          <w:sz w:val="16"/>
          <w:szCs w:val="16"/>
        </w:rPr>
        <w:softHyphen/>
        <w:t>густа для устранения дефектов. Между тем, возобновились наземные испытания И-185 с М-90. Безрезультатно меняли двигатель за дви</w:t>
      </w:r>
      <w:r w:rsidRPr="001E2C69">
        <w:rPr>
          <w:rFonts w:ascii="Times New Roman" w:hAnsi="Times New Roman"/>
          <w:color w:val="000000" w:themeColor="text1"/>
          <w:sz w:val="16"/>
          <w:szCs w:val="16"/>
        </w:rPr>
        <w:softHyphen/>
        <w:t>гателем, зачастую на еще более худшего изготовления. Николай Николаевич был вынужден обратиться за со</w:t>
      </w:r>
      <w:r w:rsidRPr="001E2C69">
        <w:rPr>
          <w:rFonts w:ascii="Times New Roman" w:hAnsi="Times New Roman"/>
          <w:color w:val="000000" w:themeColor="text1"/>
          <w:sz w:val="16"/>
          <w:szCs w:val="16"/>
        </w:rPr>
        <w:softHyphen/>
        <w:t>действием в соответствующий главк наркомата (10667).</w:t>
      </w:r>
    </w:p>
    <w:p w14:paraId="6005EB9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2AD45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22 июля 1942 г. на ИТП (М) удалось выполнить всего де</w:t>
      </w:r>
      <w:r w:rsidRPr="001E2C69">
        <w:rPr>
          <w:rFonts w:ascii="Times New Roman" w:hAnsi="Times New Roman"/>
          <w:color w:val="000000" w:themeColor="text1"/>
          <w:sz w:val="16"/>
          <w:szCs w:val="16"/>
        </w:rPr>
        <w:softHyphen/>
        <w:t>вять кратковременных доводочных и контрольных по</w:t>
      </w:r>
      <w:r w:rsidRPr="001E2C69">
        <w:rPr>
          <w:rFonts w:ascii="Times New Roman" w:hAnsi="Times New Roman"/>
          <w:color w:val="000000" w:themeColor="text1"/>
          <w:sz w:val="16"/>
          <w:szCs w:val="16"/>
        </w:rPr>
        <w:softHyphen/>
        <w:t>летов. Они показали, что сильный перегрев масла и его постоянный выброс из суфлера не позволяет получить от двигателя ожидаемой мощности, из-за чего взлет тя</w:t>
      </w:r>
      <w:r w:rsidRPr="001E2C69">
        <w:rPr>
          <w:rFonts w:ascii="Times New Roman" w:hAnsi="Times New Roman"/>
          <w:color w:val="000000" w:themeColor="text1"/>
          <w:sz w:val="16"/>
          <w:szCs w:val="16"/>
        </w:rPr>
        <w:softHyphen/>
        <w:t>жел, даже с неполной нагрузкой. Ввиду ежедневных разборок и регулировок мотора вооружение не устанав</w:t>
      </w:r>
      <w:r w:rsidRPr="001E2C69">
        <w:rPr>
          <w:rFonts w:ascii="Times New Roman" w:hAnsi="Times New Roman"/>
          <w:color w:val="000000" w:themeColor="text1"/>
          <w:sz w:val="16"/>
          <w:szCs w:val="16"/>
        </w:rPr>
        <w:softHyphen/>
        <w:t>ливали. По той же причине консольные бензобаки топ</w:t>
      </w:r>
      <w:r w:rsidRPr="001E2C69">
        <w:rPr>
          <w:rFonts w:ascii="Times New Roman" w:hAnsi="Times New Roman"/>
          <w:color w:val="000000" w:themeColor="text1"/>
          <w:sz w:val="16"/>
          <w:szCs w:val="16"/>
        </w:rPr>
        <w:softHyphen/>
        <w:t>ливом не заполняли и поэтому бензосистему полностью не отрабатывали. Заводу № 51 было предписано до 10 августа 1942 г. довести самолет до нормального летного состояния и передать его на испытания в НИИ ВВС. Однако сде</w:t>
      </w:r>
      <w:r w:rsidRPr="001E2C69">
        <w:rPr>
          <w:rFonts w:ascii="Times New Roman" w:hAnsi="Times New Roman"/>
          <w:color w:val="000000" w:themeColor="text1"/>
          <w:sz w:val="16"/>
          <w:szCs w:val="16"/>
        </w:rPr>
        <w:softHyphen/>
        <w:t>лать этого в срок не удалось из-за дефектов двигателя (10667).</w:t>
      </w:r>
    </w:p>
    <w:p w14:paraId="2C21166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66210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22 июля 1942 г. на ИТП М-1 удалось выполнить всего девять кратковременных контрольных полетов. Они показали, что сильный перегрев масла и его постоянный выброс из суфлера не позволяют получить на М-107 полную мощность, что значительно снижало характеристики самолета. По причине постоянных переборок и регулировок двигателя вооружение на этом этапе не устанавливали. По той же причине не пользовались консольными топливными баками, поэтому бензосистему полностью не отрабатывали. Заводу № 51 предписывалось до 10 августа 1942 г. довести самолет до нормального летного состояния и передать его на испытания в НИИ ВВС. Однако сделать этого в срок не удалось. 26 августа 1942 г. летчик Зайцев совершил вынужденную посадку на аэродроме по причине разрушения подшипников вала двигателя.</w:t>
      </w:r>
    </w:p>
    <w:p w14:paraId="450CC8D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конце 1942 г. ИТП перевезли в Москву, где на него установили новый, только что прошедший испытания М-107ПА. Смонтированное вооружение состояло из 20-мм пушек 111 ВАК. Между тем полеты опытного истребителя по-прежнему проводились эпизодически. 25 февраля 1943 г. произошла авария Як-9 с М-107А, после которой 107-й двигатель сняли с производства и решили продолжить его усовершенствование. Далее последовало распоряжение заместителя наркома по опытному самолетостроению А.С.Яковлева провести статические испытания ИТП. Самолет успешно выдержал все нагружения до 100%, однако для продолжения полетов далее не годился. Судьба этого экземпляра имела неожиданное продолжение - ИТП (М) в 1944 г. использовали в качестве вентилятора для отработки пульсирующих воздушно-реактивных двигателей. </w:t>
      </w:r>
    </w:p>
    <w:p w14:paraId="16813FF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Второй опытный экземпляр ИТП (М-2), построенный в Новосибирске, первоначально оснастили двигателем АМ-37. Уже после доставки машины в Москву в декабре 1942 г. на нее решили установить двигатель АМ-39. Этот мотор ждали с апреля до 11 октября 1943 г. С получением двигателя его смонтировали на самолете и 23 октября передали его на испытания.</w:t>
      </w:r>
    </w:p>
    <w:p w14:paraId="777F9D2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Первый полет ИТП (М-2) совершил 23 ноября 1943 г., следующий - 2 декабря. В отличие от предыдущего варианта ИТП (М-2) имел только синхронное вооружение, состоящее из установленных в фюзеляже трех пушек ШВАК. Под крылом подвешивалось до 400 кг бомб.</w:t>
      </w:r>
    </w:p>
    <w:p w14:paraId="75BBCFE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Несмотря на то что истребитель ИТП изначально рассчитывался на высокие полетные скорости около 700 км/ч, приблизиться к этому значению по причине отсутствия подходящих двигателей на практике не удалось. Одновременно, мощное пушечное вооружение в 1943-44 годах уже устанавливалось на серийных истребителях Л а и Як, поэтому от дальнейшего совершенствования ИТП отказались.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1E2C69" w:rsidRPr="001E2C69" w14:paraId="71E98F83" w14:textId="77777777" w:rsidTr="00CC5360">
        <w:tc>
          <w:tcPr>
            <w:tcW w:w="3736" w:type="dxa"/>
            <w:tcBorders>
              <w:top w:val="single" w:sz="12" w:space="0" w:color="auto"/>
            </w:tcBorders>
          </w:tcPr>
          <w:p w14:paraId="4122E34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Основные характеристики ИТП</w:t>
            </w:r>
          </w:p>
        </w:tc>
        <w:tc>
          <w:tcPr>
            <w:tcW w:w="3736" w:type="dxa"/>
            <w:tcBorders>
              <w:top w:val="single" w:sz="12" w:space="0" w:color="auto"/>
            </w:tcBorders>
          </w:tcPr>
          <w:p w14:paraId="7276BE7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М-1</w:t>
            </w:r>
          </w:p>
        </w:tc>
        <w:tc>
          <w:tcPr>
            <w:tcW w:w="3736" w:type="dxa"/>
            <w:tcBorders>
              <w:top w:val="single" w:sz="12" w:space="0" w:color="auto"/>
            </w:tcBorders>
          </w:tcPr>
          <w:p w14:paraId="5076A01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М-2</w:t>
            </w:r>
          </w:p>
        </w:tc>
      </w:tr>
      <w:tr w:rsidR="001E2C69" w:rsidRPr="001E2C69" w14:paraId="79307FF4" w14:textId="77777777" w:rsidTr="00CC5360">
        <w:tc>
          <w:tcPr>
            <w:tcW w:w="3736" w:type="dxa"/>
          </w:tcPr>
          <w:p w14:paraId="2833950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Размах крыла (м)</w:t>
            </w:r>
          </w:p>
        </w:tc>
        <w:tc>
          <w:tcPr>
            <w:tcW w:w="3736" w:type="dxa"/>
          </w:tcPr>
          <w:p w14:paraId="5DE8A12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10,0</w:t>
            </w:r>
          </w:p>
        </w:tc>
        <w:tc>
          <w:tcPr>
            <w:tcW w:w="3736" w:type="dxa"/>
          </w:tcPr>
          <w:p w14:paraId="407C3CA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10,0</w:t>
            </w:r>
          </w:p>
        </w:tc>
      </w:tr>
      <w:tr w:rsidR="001E2C69" w:rsidRPr="001E2C69" w14:paraId="50EE8E23" w14:textId="77777777" w:rsidTr="00CC5360">
        <w:tc>
          <w:tcPr>
            <w:tcW w:w="3736" w:type="dxa"/>
          </w:tcPr>
          <w:p w14:paraId="54A99BF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Длина в линии полета (м)</w:t>
            </w:r>
          </w:p>
        </w:tc>
        <w:tc>
          <w:tcPr>
            <w:tcW w:w="3736" w:type="dxa"/>
          </w:tcPr>
          <w:p w14:paraId="09D0406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8,95</w:t>
            </w:r>
          </w:p>
        </w:tc>
        <w:tc>
          <w:tcPr>
            <w:tcW w:w="3736" w:type="dxa"/>
          </w:tcPr>
          <w:p w14:paraId="1543465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9,0</w:t>
            </w:r>
          </w:p>
        </w:tc>
      </w:tr>
      <w:tr w:rsidR="001E2C69" w:rsidRPr="001E2C69" w14:paraId="25D5FB87" w14:textId="77777777" w:rsidTr="00CC5360">
        <w:tc>
          <w:tcPr>
            <w:tcW w:w="3736" w:type="dxa"/>
          </w:tcPr>
          <w:p w14:paraId="6ACFAB5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крыла (м2)</w:t>
            </w:r>
          </w:p>
        </w:tc>
        <w:tc>
          <w:tcPr>
            <w:tcW w:w="3736" w:type="dxa"/>
          </w:tcPr>
          <w:p w14:paraId="3BECB4D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16,45</w:t>
            </w:r>
          </w:p>
        </w:tc>
        <w:tc>
          <w:tcPr>
            <w:tcW w:w="3736" w:type="dxa"/>
          </w:tcPr>
          <w:p w14:paraId="02E1A72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16,45</w:t>
            </w:r>
          </w:p>
        </w:tc>
      </w:tr>
      <w:tr w:rsidR="001E2C69" w:rsidRPr="001E2C69" w14:paraId="240C84B4" w14:textId="77777777" w:rsidTr="00CC5360">
        <w:tc>
          <w:tcPr>
            <w:tcW w:w="3736" w:type="dxa"/>
          </w:tcPr>
          <w:p w14:paraId="1D1F2FA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Вес пустого (кг)</w:t>
            </w:r>
          </w:p>
        </w:tc>
        <w:tc>
          <w:tcPr>
            <w:tcW w:w="3736" w:type="dxa"/>
          </w:tcPr>
          <w:p w14:paraId="507400B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2598</w:t>
            </w:r>
          </w:p>
        </w:tc>
        <w:tc>
          <w:tcPr>
            <w:tcW w:w="3736" w:type="dxa"/>
          </w:tcPr>
          <w:p w14:paraId="0D4B7D2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3095</w:t>
            </w:r>
          </w:p>
        </w:tc>
      </w:tr>
      <w:tr w:rsidR="001E2C69" w:rsidRPr="001E2C69" w14:paraId="75CD8B1F" w14:textId="77777777" w:rsidTr="00CC5360">
        <w:tc>
          <w:tcPr>
            <w:tcW w:w="3736" w:type="dxa"/>
          </w:tcPr>
          <w:p w14:paraId="0F4BB0D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Полетный вес (кг)</w:t>
            </w:r>
          </w:p>
        </w:tc>
        <w:tc>
          <w:tcPr>
            <w:tcW w:w="3736" w:type="dxa"/>
          </w:tcPr>
          <w:p w14:paraId="65CB7AC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3750 (3366)</w:t>
            </w:r>
          </w:p>
        </w:tc>
        <w:tc>
          <w:tcPr>
            <w:tcW w:w="3736" w:type="dxa"/>
          </w:tcPr>
          <w:p w14:paraId="4A31DBE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3820</w:t>
            </w:r>
          </w:p>
        </w:tc>
      </w:tr>
      <w:tr w:rsidR="001E2C69" w:rsidRPr="001E2C69" w14:paraId="62D3C23D" w14:textId="77777777" w:rsidTr="00CC5360">
        <w:tc>
          <w:tcPr>
            <w:tcW w:w="3736" w:type="dxa"/>
          </w:tcPr>
          <w:p w14:paraId="695F278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Нагрузка на крыло (кг/м2)</w:t>
            </w:r>
          </w:p>
        </w:tc>
        <w:tc>
          <w:tcPr>
            <w:tcW w:w="3736" w:type="dxa"/>
          </w:tcPr>
          <w:p w14:paraId="027C959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227</w:t>
            </w:r>
          </w:p>
        </w:tc>
        <w:tc>
          <w:tcPr>
            <w:tcW w:w="3736" w:type="dxa"/>
          </w:tcPr>
          <w:p w14:paraId="0083FED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232</w:t>
            </w:r>
          </w:p>
        </w:tc>
      </w:tr>
      <w:tr w:rsidR="001E2C69" w:rsidRPr="001E2C69" w14:paraId="3A9161FF" w14:textId="77777777" w:rsidTr="00CC5360">
        <w:tc>
          <w:tcPr>
            <w:tcW w:w="3736" w:type="dxa"/>
          </w:tcPr>
          <w:p w14:paraId="70CF89F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Максимальная скорость у земли (км/ч)</w:t>
            </w:r>
          </w:p>
        </w:tc>
        <w:tc>
          <w:tcPr>
            <w:tcW w:w="3736" w:type="dxa"/>
          </w:tcPr>
          <w:p w14:paraId="64ED112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541</w:t>
            </w:r>
          </w:p>
        </w:tc>
        <w:tc>
          <w:tcPr>
            <w:tcW w:w="3736" w:type="dxa"/>
          </w:tcPr>
          <w:p w14:paraId="75B84DE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540</w:t>
            </w:r>
          </w:p>
        </w:tc>
      </w:tr>
      <w:tr w:rsidR="001E2C69" w:rsidRPr="001E2C69" w14:paraId="0B880F8A" w14:textId="77777777" w:rsidTr="00CC5360">
        <w:tc>
          <w:tcPr>
            <w:tcW w:w="3736" w:type="dxa"/>
          </w:tcPr>
          <w:p w14:paraId="76694DC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 скорость у земли на форсаже (км/ч)</w:t>
            </w:r>
          </w:p>
        </w:tc>
        <w:tc>
          <w:tcPr>
            <w:tcW w:w="3736" w:type="dxa"/>
          </w:tcPr>
          <w:p w14:paraId="40D9927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549</w:t>
            </w:r>
          </w:p>
        </w:tc>
        <w:tc>
          <w:tcPr>
            <w:tcW w:w="3736" w:type="dxa"/>
          </w:tcPr>
          <w:p w14:paraId="75D51B5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600</w:t>
            </w:r>
          </w:p>
        </w:tc>
      </w:tr>
      <w:tr w:rsidR="001E2C69" w:rsidRPr="001E2C69" w14:paraId="1A25C812" w14:textId="77777777" w:rsidTr="00CC5360">
        <w:tc>
          <w:tcPr>
            <w:tcW w:w="3736" w:type="dxa"/>
          </w:tcPr>
          <w:p w14:paraId="7DC8D6B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Максимальная скорость на высоте 5000 м (км/ч)</w:t>
            </w:r>
          </w:p>
        </w:tc>
        <w:tc>
          <w:tcPr>
            <w:tcW w:w="3736" w:type="dxa"/>
          </w:tcPr>
          <w:p w14:paraId="1CE1B2B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645*</w:t>
            </w:r>
          </w:p>
        </w:tc>
        <w:tc>
          <w:tcPr>
            <w:tcW w:w="3736" w:type="dxa"/>
          </w:tcPr>
          <w:p w14:paraId="19923C7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560**</w:t>
            </w:r>
          </w:p>
        </w:tc>
      </w:tr>
      <w:tr w:rsidR="001E2C69" w:rsidRPr="001E2C69" w14:paraId="358931DD" w14:textId="77777777" w:rsidTr="00CC5360">
        <w:tc>
          <w:tcPr>
            <w:tcW w:w="3736" w:type="dxa"/>
          </w:tcPr>
          <w:p w14:paraId="3679082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Время набора высоты 5000 м (мин)</w:t>
            </w:r>
          </w:p>
        </w:tc>
        <w:tc>
          <w:tcPr>
            <w:tcW w:w="3736" w:type="dxa"/>
          </w:tcPr>
          <w:p w14:paraId="5C3B4B3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5,4</w:t>
            </w:r>
          </w:p>
        </w:tc>
        <w:tc>
          <w:tcPr>
            <w:tcW w:w="3736" w:type="dxa"/>
          </w:tcPr>
          <w:p w14:paraId="69C13E8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6,0***</w:t>
            </w:r>
          </w:p>
        </w:tc>
      </w:tr>
      <w:tr w:rsidR="001E2C69" w:rsidRPr="001E2C69" w14:paraId="746ADFBB" w14:textId="77777777" w:rsidTr="00CC5360">
        <w:tc>
          <w:tcPr>
            <w:tcW w:w="3736" w:type="dxa"/>
            <w:tcBorders>
              <w:bottom w:val="single" w:sz="12" w:space="0" w:color="auto"/>
            </w:tcBorders>
          </w:tcPr>
          <w:p w14:paraId="6B4ABD2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Потолок (м)</w:t>
            </w:r>
          </w:p>
        </w:tc>
        <w:tc>
          <w:tcPr>
            <w:tcW w:w="3736" w:type="dxa"/>
            <w:tcBorders>
              <w:bottom w:val="single" w:sz="12" w:space="0" w:color="auto"/>
            </w:tcBorders>
          </w:tcPr>
          <w:p w14:paraId="2D487C0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3736" w:type="dxa"/>
            <w:tcBorders>
              <w:bottom w:val="single" w:sz="12" w:space="0" w:color="auto"/>
            </w:tcBorders>
          </w:tcPr>
          <w:p w14:paraId="50CA1A9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11500</w:t>
            </w:r>
          </w:p>
        </w:tc>
      </w:tr>
    </w:tbl>
    <w:p w14:paraId="4315F0B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Скорость на высоте 6200 м</w:t>
      </w:r>
    </w:p>
    <w:p w14:paraId="3BC03F9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Максимальная скорость на 2500 м. на форсаже 650 км/ч</w:t>
      </w:r>
    </w:p>
    <w:p w14:paraId="595597D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Время набора высоты (12016).</w:t>
      </w:r>
    </w:p>
    <w:p w14:paraId="43B0091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58E72E" w14:textId="77777777" w:rsidR="00C114EC" w:rsidRPr="001E2C69" w:rsidRDefault="00C114E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К 22 июля 1942 г. ИТП (М-1) выполнили всего 9 полетов, а по</w:t>
      </w:r>
      <w:r w:rsidRPr="001E2C69">
        <w:rPr>
          <w:color w:val="000000" w:themeColor="text1"/>
          <w:sz w:val="16"/>
          <w:szCs w:val="16"/>
        </w:rPr>
        <w:softHyphen/>
        <w:t>сле вынужденной посадки 26 августа, когда в поле</w:t>
      </w:r>
      <w:r w:rsidRPr="001E2C69">
        <w:rPr>
          <w:color w:val="000000" w:themeColor="text1"/>
          <w:sz w:val="16"/>
          <w:szCs w:val="16"/>
        </w:rPr>
        <w:softHyphen/>
        <w:t>те разрушились подшипники вала мотора, полеты на ИТП прекратили. Самолет в ожидании поступле</w:t>
      </w:r>
      <w:r w:rsidRPr="001E2C69">
        <w:rPr>
          <w:color w:val="000000" w:themeColor="text1"/>
          <w:sz w:val="16"/>
          <w:szCs w:val="16"/>
        </w:rPr>
        <w:softHyphen/>
        <w:t>ния кондиционного мотора М-107П законсервиро</w:t>
      </w:r>
      <w:r w:rsidRPr="001E2C69">
        <w:rPr>
          <w:color w:val="000000" w:themeColor="text1"/>
          <w:sz w:val="16"/>
          <w:szCs w:val="16"/>
        </w:rPr>
        <w:softHyphen/>
        <w:t>вали. Всего к этому времени на самолете заменили 3 мотора.</w:t>
      </w:r>
    </w:p>
    <w:p w14:paraId="14A9C247" w14:textId="77777777" w:rsidR="00C114EC" w:rsidRPr="001E2C69" w:rsidRDefault="00C114E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Надо сказать, состояние дел с доводкой мотора М-107П было далеко не самое лучшее. Несмотря на то что мотор в 1942 г. был серийным, заводу № 26 (г. Уфа) не удавалось обеспечить надежность дли</w:t>
      </w:r>
      <w:r w:rsidRPr="001E2C69">
        <w:rPr>
          <w:color w:val="000000" w:themeColor="text1"/>
          <w:sz w:val="16"/>
          <w:szCs w:val="16"/>
        </w:rPr>
        <w:softHyphen/>
        <w:t>тельной работы ряда узлов и агрегатов мотора. Из общего количества изготовленных заводом мото</w:t>
      </w:r>
      <w:r w:rsidRPr="001E2C69">
        <w:rPr>
          <w:color w:val="000000" w:themeColor="text1"/>
          <w:sz w:val="16"/>
          <w:szCs w:val="16"/>
        </w:rPr>
        <w:softHyphen/>
        <w:t>ров М-107П около 80% разрушились во время за</w:t>
      </w:r>
      <w:r w:rsidRPr="001E2C69">
        <w:rPr>
          <w:color w:val="000000" w:themeColor="text1"/>
          <w:sz w:val="16"/>
          <w:szCs w:val="16"/>
        </w:rPr>
        <w:softHyphen/>
        <w:t>водских и государственных стендовых испытаний. Государственные 100-часовые испытания в период с 10 по 25 сентября 1942 г. мотор М-107П пройти не смог из-за поломки шатуна. Интерес ВВС к мотору неуклонно снижался. К тому же наметился опре</w:t>
      </w:r>
      <w:r w:rsidRPr="001E2C69">
        <w:rPr>
          <w:color w:val="000000" w:themeColor="text1"/>
          <w:sz w:val="16"/>
          <w:szCs w:val="16"/>
        </w:rPr>
        <w:softHyphen/>
        <w:t>деленный успех с доводкой мотора М-106П-1ск (1250/1350 л.с.), который, в отличие от М-107П, имел те же габаритные размеры и посадочные места, что и у массового мотора М-105ПФ, и при этом был легче (600 кг вместо 745 кг — у М-107П и 645 кг — у М-105ПФ). Считалось, что при установке его на серийные самолеты серьезных доработок винтомо</w:t>
      </w:r>
      <w:r w:rsidRPr="001E2C69">
        <w:rPr>
          <w:color w:val="000000" w:themeColor="text1"/>
          <w:sz w:val="16"/>
          <w:szCs w:val="16"/>
        </w:rPr>
        <w:softHyphen/>
        <w:t>торной группы не потребуется. С этим мотором на заводе № 292 в Саратове предполагалась большая серия истребителей Як-1. Но в ходе доводки М-107П его форсировали по наддуву и понизили высот</w:t>
      </w:r>
      <w:r w:rsidRPr="001E2C69">
        <w:rPr>
          <w:color w:val="000000" w:themeColor="text1"/>
          <w:sz w:val="16"/>
          <w:szCs w:val="16"/>
        </w:rPr>
        <w:softHyphen/>
        <w:t>ность. Мощность мотора возросла до 1650 л.с. на взлетном режиме и 1550 и 1450 л.с. — на 1-й и 2-й границах высотности соответственно. Постанов</w:t>
      </w:r>
      <w:r w:rsidRPr="001E2C69">
        <w:rPr>
          <w:color w:val="000000" w:themeColor="text1"/>
          <w:sz w:val="16"/>
          <w:szCs w:val="16"/>
        </w:rPr>
        <w:softHyphen/>
        <w:t>лением ГОКО от 25 сентября и приказом НКАП от 29 сентября 1942 г. ОКБ В. Я. Климова и завод № 26 обязывались к концу года обеспечить 100-часовой ресурс М-107А (М-107ПА) и подготовить его серий</w:t>
      </w:r>
      <w:r w:rsidRPr="001E2C69">
        <w:rPr>
          <w:color w:val="000000" w:themeColor="text1"/>
          <w:sz w:val="16"/>
          <w:szCs w:val="16"/>
        </w:rPr>
        <w:softHyphen/>
        <w:t>ное производство. Одновременно постановлением ГКО от 10 октября 1942 г. заводу № 26 устанавли</w:t>
      </w:r>
      <w:r w:rsidRPr="001E2C69">
        <w:rPr>
          <w:color w:val="000000" w:themeColor="text1"/>
          <w:sz w:val="16"/>
          <w:szCs w:val="16"/>
        </w:rPr>
        <w:softHyphen/>
        <w:t>вался план по изготовлению до конца года 37 мото</w:t>
      </w:r>
      <w:r w:rsidRPr="001E2C69">
        <w:rPr>
          <w:color w:val="000000" w:themeColor="text1"/>
          <w:sz w:val="16"/>
          <w:szCs w:val="16"/>
        </w:rPr>
        <w:softHyphen/>
        <w:t>ров М-107А. Однако возникшие проблемы с надеж</w:t>
      </w:r>
      <w:r w:rsidRPr="001E2C69">
        <w:rPr>
          <w:color w:val="000000" w:themeColor="text1"/>
          <w:sz w:val="16"/>
          <w:szCs w:val="16"/>
        </w:rPr>
        <w:softHyphen/>
        <w:t>ностью и устойчивостью в работе моторов М-107А не позволили в полном объеме выполнить это за</w:t>
      </w:r>
      <w:r w:rsidRPr="001E2C69">
        <w:rPr>
          <w:color w:val="000000" w:themeColor="text1"/>
          <w:sz w:val="16"/>
          <w:szCs w:val="16"/>
        </w:rPr>
        <w:softHyphen/>
        <w:t>дание. Фактически завод № 26 уже в декабре пре</w:t>
      </w:r>
      <w:r w:rsidRPr="001E2C69">
        <w:rPr>
          <w:color w:val="000000" w:themeColor="text1"/>
          <w:sz w:val="16"/>
          <w:szCs w:val="16"/>
        </w:rPr>
        <w:softHyphen/>
        <w:t>кратил серийное изготовление моторов этого типа. Только в январе 1943 г. мотор М-107А удовлетво</w:t>
      </w:r>
      <w:r w:rsidRPr="001E2C69">
        <w:rPr>
          <w:color w:val="000000" w:themeColor="text1"/>
          <w:sz w:val="16"/>
          <w:szCs w:val="16"/>
        </w:rPr>
        <w:softHyphen/>
        <w:t>рительно прошел 50-часовые испытания, и с марта его выпуск на заводе № 26 был возобновлен, но малой опытной серией. Боевая мощность этого ва</w:t>
      </w:r>
      <w:r w:rsidRPr="001E2C69">
        <w:rPr>
          <w:color w:val="000000" w:themeColor="text1"/>
          <w:sz w:val="16"/>
          <w:szCs w:val="16"/>
        </w:rPr>
        <w:softHyphen/>
        <w:t>рианта мотора устанавливалась на уровне 1650 л.с. на 1-й расчетной высоте 1800 м и 1500 л.с. на 2-й расчетной высоте 4500 м. К концу I квартала было построено 3 мотора этого типа, во II квартале — 19 единиц (17500).</w:t>
      </w:r>
    </w:p>
    <w:p w14:paraId="4F8EED37" w14:textId="77777777" w:rsidR="00C114EC" w:rsidRPr="001E2C69" w:rsidRDefault="00C114EC" w:rsidP="00722885">
      <w:pPr>
        <w:spacing w:after="0" w:line="240" w:lineRule="auto"/>
        <w:jc w:val="both"/>
        <w:rPr>
          <w:rFonts w:ascii="Times New Roman" w:eastAsia="Times New Roman" w:hAnsi="Times New Roman"/>
          <w:color w:val="000000" w:themeColor="text1"/>
          <w:sz w:val="16"/>
          <w:szCs w:val="16"/>
          <w:lang w:eastAsia="ru-RU"/>
        </w:rPr>
      </w:pPr>
    </w:p>
    <w:p w14:paraId="1EFDE949" w14:textId="77777777" w:rsidR="001525AB" w:rsidRPr="008A2E5A" w:rsidRDefault="001525AB" w:rsidP="001525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22 июля 1942 г. на ИТП (М-1) выполнили все</w:t>
      </w:r>
      <w:r w:rsidRPr="008A2E5A">
        <w:rPr>
          <w:rFonts w:ascii="Times New Roman" w:hAnsi="Times New Roman"/>
          <w:color w:val="0070C0"/>
          <w:sz w:val="16"/>
          <w:szCs w:val="16"/>
        </w:rPr>
        <w:softHyphen/>
        <w:t>го девять полетов, а после вынужденной посадки 26 августа, когда в полете разру</w:t>
      </w:r>
      <w:r w:rsidRPr="008A2E5A">
        <w:rPr>
          <w:rFonts w:ascii="Times New Roman" w:hAnsi="Times New Roman"/>
          <w:color w:val="0070C0"/>
          <w:sz w:val="16"/>
          <w:szCs w:val="16"/>
        </w:rPr>
        <w:softHyphen/>
        <w:t>шились подшипники вала мотора, поле</w:t>
      </w:r>
      <w:r w:rsidRPr="008A2E5A">
        <w:rPr>
          <w:rFonts w:ascii="Times New Roman" w:hAnsi="Times New Roman"/>
          <w:color w:val="0070C0"/>
          <w:sz w:val="16"/>
          <w:szCs w:val="16"/>
        </w:rPr>
        <w:softHyphen/>
        <w:t>ты прекратили. Самолет в ожидании по</w:t>
      </w:r>
      <w:r w:rsidRPr="008A2E5A">
        <w:rPr>
          <w:rFonts w:ascii="Times New Roman" w:hAnsi="Times New Roman"/>
          <w:color w:val="0070C0"/>
          <w:sz w:val="16"/>
          <w:szCs w:val="16"/>
        </w:rPr>
        <w:softHyphen/>
        <w:t>ступления кондиционного мотора М-107П законсервировали. Всего к этому времени заменили три мотора (24308).</w:t>
      </w:r>
    </w:p>
    <w:p w14:paraId="0DEB676B" w14:textId="77777777" w:rsidR="001525AB" w:rsidRPr="008A2E5A" w:rsidRDefault="001525AB" w:rsidP="001525AB">
      <w:pPr>
        <w:spacing w:after="0" w:line="240" w:lineRule="auto"/>
        <w:jc w:val="both"/>
        <w:rPr>
          <w:rFonts w:ascii="Times New Roman" w:hAnsi="Times New Roman"/>
          <w:color w:val="0070C0"/>
          <w:sz w:val="16"/>
          <w:szCs w:val="16"/>
        </w:rPr>
      </w:pPr>
    </w:p>
    <w:p w14:paraId="46B7D7A6" w14:textId="77777777" w:rsidR="001525AB" w:rsidRPr="008A2E5A" w:rsidRDefault="001525AB" w:rsidP="001525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22 по 26 июля 1942 г. Як-7В – вывозной №0266 успешно прошла серийные испытания, проведенные военным представительством завода №153 совместно с ЛИИ НКАП. Как основной недостаток летчик-испытатель майор П.И. Лазарев отметил отсутствие переговорного устройства (введено с 4-й серии), а также несоответст</w:t>
      </w:r>
      <w:r w:rsidRPr="008A2E5A">
        <w:rPr>
          <w:rFonts w:ascii="Times New Roman" w:hAnsi="Times New Roman"/>
          <w:color w:val="0070C0"/>
          <w:sz w:val="16"/>
          <w:szCs w:val="16"/>
        </w:rPr>
        <w:softHyphen/>
        <w:t>вие максимальной скорости самолета договорной вели</w:t>
      </w:r>
      <w:r w:rsidRPr="008A2E5A">
        <w:rPr>
          <w:rFonts w:ascii="Times New Roman" w:hAnsi="Times New Roman"/>
          <w:color w:val="0070C0"/>
          <w:sz w:val="16"/>
          <w:szCs w:val="16"/>
        </w:rPr>
        <w:softHyphen/>
        <w:t>чине (таблица 18.)</w:t>
      </w:r>
    </w:p>
    <w:p w14:paraId="15D8CCD4" w14:textId="77777777" w:rsidR="001525AB" w:rsidRPr="008A2E5A" w:rsidRDefault="001525AB" w:rsidP="001525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Таблица №18. Сравнительные характеристики заданных летных данных самолетов Як-7В в 1942 г. и полученных при испытаниях Як-7В № 0266</w:t>
      </w:r>
    </w:p>
    <w:tbl>
      <w:tblPr>
        <w:tblOverlap w:val="never"/>
        <w:tblW w:w="0" w:type="auto"/>
        <w:tblLayout w:type="fixed"/>
        <w:tblCellMar>
          <w:left w:w="10" w:type="dxa"/>
          <w:right w:w="10" w:type="dxa"/>
        </w:tblCellMar>
        <w:tblLook w:val="04A0" w:firstRow="1" w:lastRow="0" w:firstColumn="1" w:lastColumn="0" w:noHBand="0" w:noVBand="1"/>
      </w:tblPr>
      <w:tblGrid>
        <w:gridCol w:w="4934"/>
        <w:gridCol w:w="2362"/>
        <w:gridCol w:w="2366"/>
      </w:tblGrid>
      <w:tr w:rsidR="001525AB" w:rsidRPr="008A2E5A" w14:paraId="037ED2F4" w14:textId="77777777" w:rsidTr="004C5D62">
        <w:trPr>
          <w:trHeight w:val="437"/>
        </w:trPr>
        <w:tc>
          <w:tcPr>
            <w:tcW w:w="4934" w:type="dxa"/>
            <w:tcBorders>
              <w:top w:val="single" w:sz="4" w:space="0" w:color="auto"/>
              <w:left w:val="single" w:sz="4" w:space="0" w:color="auto"/>
            </w:tcBorders>
            <w:shd w:val="clear" w:color="auto" w:fill="auto"/>
          </w:tcPr>
          <w:p w14:paraId="3936AC78" w14:textId="77777777" w:rsidR="001525AB" w:rsidRPr="008A2E5A" w:rsidRDefault="001525AB" w:rsidP="004C5D62">
            <w:pPr>
              <w:spacing w:after="0" w:line="240" w:lineRule="auto"/>
              <w:jc w:val="both"/>
              <w:rPr>
                <w:rFonts w:ascii="Times New Roman" w:hAnsi="Times New Roman"/>
                <w:color w:val="0070C0"/>
                <w:sz w:val="16"/>
                <w:szCs w:val="16"/>
              </w:rPr>
            </w:pPr>
          </w:p>
        </w:tc>
        <w:tc>
          <w:tcPr>
            <w:tcW w:w="2362" w:type="dxa"/>
            <w:tcBorders>
              <w:top w:val="single" w:sz="4" w:space="0" w:color="auto"/>
              <w:left w:val="single" w:sz="4" w:space="0" w:color="auto"/>
            </w:tcBorders>
            <w:shd w:val="clear" w:color="auto" w:fill="auto"/>
            <w:vAlign w:val="bottom"/>
          </w:tcPr>
          <w:p w14:paraId="01834E11" w14:textId="77777777" w:rsidR="001525AB" w:rsidRPr="008A2E5A" w:rsidRDefault="001525A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Технические условия договора поставки ВВС КА</w:t>
            </w:r>
          </w:p>
        </w:tc>
        <w:tc>
          <w:tcPr>
            <w:tcW w:w="2366" w:type="dxa"/>
            <w:tcBorders>
              <w:top w:val="single" w:sz="4" w:space="0" w:color="auto"/>
              <w:left w:val="single" w:sz="4" w:space="0" w:color="auto"/>
              <w:right w:val="single" w:sz="4" w:space="0" w:color="auto"/>
            </w:tcBorders>
            <w:shd w:val="clear" w:color="auto" w:fill="auto"/>
            <w:vAlign w:val="bottom"/>
          </w:tcPr>
          <w:p w14:paraId="255686D1" w14:textId="77777777" w:rsidR="001525AB" w:rsidRPr="008A2E5A" w:rsidRDefault="001525A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результатам испытаний Як-7В № 0266</w:t>
            </w:r>
          </w:p>
        </w:tc>
      </w:tr>
      <w:tr w:rsidR="001525AB" w:rsidRPr="008A2E5A" w14:paraId="5E177C4C" w14:textId="77777777" w:rsidTr="004C5D62">
        <w:trPr>
          <w:trHeight w:val="254"/>
        </w:trPr>
        <w:tc>
          <w:tcPr>
            <w:tcW w:w="4934" w:type="dxa"/>
            <w:tcBorders>
              <w:top w:val="single" w:sz="4" w:space="0" w:color="auto"/>
              <w:left w:val="single" w:sz="4" w:space="0" w:color="auto"/>
            </w:tcBorders>
            <w:shd w:val="clear" w:color="auto" w:fill="auto"/>
            <w:vAlign w:val="center"/>
          </w:tcPr>
          <w:p w14:paraId="336F7D25" w14:textId="77777777" w:rsidR="001525AB" w:rsidRPr="008A2E5A" w:rsidRDefault="001525A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у земли, км/ч</w:t>
            </w:r>
          </w:p>
        </w:tc>
        <w:tc>
          <w:tcPr>
            <w:tcW w:w="2362" w:type="dxa"/>
            <w:tcBorders>
              <w:top w:val="single" w:sz="4" w:space="0" w:color="auto"/>
              <w:left w:val="single" w:sz="4" w:space="0" w:color="auto"/>
            </w:tcBorders>
            <w:shd w:val="clear" w:color="auto" w:fill="auto"/>
            <w:vAlign w:val="center"/>
          </w:tcPr>
          <w:p w14:paraId="5720D3DD" w14:textId="77777777" w:rsidR="001525AB" w:rsidRPr="008A2E5A" w:rsidRDefault="001525A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2366" w:type="dxa"/>
            <w:tcBorders>
              <w:top w:val="single" w:sz="4" w:space="0" w:color="auto"/>
              <w:left w:val="single" w:sz="4" w:space="0" w:color="auto"/>
              <w:right w:val="single" w:sz="4" w:space="0" w:color="auto"/>
            </w:tcBorders>
            <w:shd w:val="clear" w:color="auto" w:fill="auto"/>
            <w:vAlign w:val="center"/>
          </w:tcPr>
          <w:p w14:paraId="216C9832" w14:textId="77777777" w:rsidR="001525AB" w:rsidRPr="008A2E5A" w:rsidRDefault="001525A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4I3</w:t>
            </w:r>
          </w:p>
        </w:tc>
      </w:tr>
      <w:tr w:rsidR="001525AB" w:rsidRPr="008A2E5A" w14:paraId="35E40478" w14:textId="77777777" w:rsidTr="004C5D62">
        <w:trPr>
          <w:trHeight w:val="250"/>
        </w:trPr>
        <w:tc>
          <w:tcPr>
            <w:tcW w:w="4934" w:type="dxa"/>
            <w:tcBorders>
              <w:top w:val="single" w:sz="4" w:space="0" w:color="auto"/>
              <w:left w:val="single" w:sz="4" w:space="0" w:color="auto"/>
            </w:tcBorders>
            <w:shd w:val="clear" w:color="auto" w:fill="auto"/>
            <w:vAlign w:val="bottom"/>
          </w:tcPr>
          <w:p w14:paraId="46084A0C" w14:textId="77777777" w:rsidR="001525AB" w:rsidRPr="008A2E5A" w:rsidRDefault="001525A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на расчетной высоте, км/ч</w:t>
            </w:r>
          </w:p>
        </w:tc>
        <w:tc>
          <w:tcPr>
            <w:tcW w:w="2362" w:type="dxa"/>
            <w:tcBorders>
              <w:top w:val="single" w:sz="4" w:space="0" w:color="auto"/>
              <w:left w:val="single" w:sz="4" w:space="0" w:color="auto"/>
            </w:tcBorders>
            <w:shd w:val="clear" w:color="auto" w:fill="auto"/>
            <w:vAlign w:val="bottom"/>
          </w:tcPr>
          <w:p w14:paraId="470D916A" w14:textId="77777777" w:rsidR="001525AB" w:rsidRPr="008A2E5A" w:rsidRDefault="001525A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w:t>
            </w:r>
          </w:p>
        </w:tc>
        <w:tc>
          <w:tcPr>
            <w:tcW w:w="2366" w:type="dxa"/>
            <w:tcBorders>
              <w:top w:val="single" w:sz="4" w:space="0" w:color="auto"/>
              <w:left w:val="single" w:sz="4" w:space="0" w:color="auto"/>
              <w:right w:val="single" w:sz="4" w:space="0" w:color="auto"/>
            </w:tcBorders>
            <w:shd w:val="clear" w:color="auto" w:fill="auto"/>
            <w:vAlign w:val="bottom"/>
          </w:tcPr>
          <w:p w14:paraId="6E906E4A" w14:textId="77777777" w:rsidR="001525AB" w:rsidRPr="008A2E5A" w:rsidRDefault="001525A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473</w:t>
            </w:r>
          </w:p>
        </w:tc>
      </w:tr>
      <w:tr w:rsidR="001525AB" w:rsidRPr="008A2E5A" w14:paraId="2446183A" w14:textId="77777777" w:rsidTr="004C5D62">
        <w:trPr>
          <w:trHeight w:val="250"/>
        </w:trPr>
        <w:tc>
          <w:tcPr>
            <w:tcW w:w="4934" w:type="dxa"/>
            <w:tcBorders>
              <w:top w:val="single" w:sz="4" w:space="0" w:color="auto"/>
              <w:left w:val="single" w:sz="4" w:space="0" w:color="auto"/>
            </w:tcBorders>
            <w:shd w:val="clear" w:color="auto" w:fill="auto"/>
            <w:vAlign w:val="bottom"/>
          </w:tcPr>
          <w:p w14:paraId="078C458A" w14:textId="77777777" w:rsidR="001525AB" w:rsidRPr="008A2E5A" w:rsidRDefault="001525A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Время набора высоты 5000 м, мин</w:t>
            </w:r>
          </w:p>
        </w:tc>
        <w:tc>
          <w:tcPr>
            <w:tcW w:w="2362" w:type="dxa"/>
            <w:tcBorders>
              <w:top w:val="single" w:sz="4" w:space="0" w:color="auto"/>
              <w:left w:val="single" w:sz="4" w:space="0" w:color="auto"/>
            </w:tcBorders>
            <w:shd w:val="clear" w:color="auto" w:fill="auto"/>
            <w:vAlign w:val="bottom"/>
          </w:tcPr>
          <w:p w14:paraId="2B547FB9" w14:textId="77777777" w:rsidR="001525AB" w:rsidRPr="008A2E5A" w:rsidRDefault="001525A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w:t>
            </w:r>
          </w:p>
        </w:tc>
        <w:tc>
          <w:tcPr>
            <w:tcW w:w="2366" w:type="dxa"/>
            <w:tcBorders>
              <w:top w:val="single" w:sz="4" w:space="0" w:color="auto"/>
              <w:left w:val="single" w:sz="4" w:space="0" w:color="auto"/>
              <w:right w:val="single" w:sz="4" w:space="0" w:color="auto"/>
            </w:tcBorders>
            <w:shd w:val="clear" w:color="auto" w:fill="auto"/>
            <w:vAlign w:val="bottom"/>
          </w:tcPr>
          <w:p w14:paraId="63B4A5B6" w14:textId="77777777" w:rsidR="001525AB" w:rsidRPr="008A2E5A" w:rsidRDefault="001525A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6,54</w:t>
            </w:r>
          </w:p>
        </w:tc>
      </w:tr>
      <w:tr w:rsidR="001525AB" w:rsidRPr="008A2E5A" w14:paraId="026C5484" w14:textId="77777777" w:rsidTr="004C5D62">
        <w:trPr>
          <w:trHeight w:val="254"/>
        </w:trPr>
        <w:tc>
          <w:tcPr>
            <w:tcW w:w="4934" w:type="dxa"/>
            <w:tcBorders>
              <w:top w:val="single" w:sz="4" w:space="0" w:color="auto"/>
              <w:left w:val="single" w:sz="4" w:space="0" w:color="auto"/>
            </w:tcBorders>
            <w:shd w:val="clear" w:color="auto" w:fill="auto"/>
            <w:vAlign w:val="bottom"/>
          </w:tcPr>
          <w:p w14:paraId="301C2C22" w14:textId="77777777" w:rsidR="001525AB" w:rsidRPr="008A2E5A" w:rsidRDefault="001525A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Разбег, м</w:t>
            </w:r>
          </w:p>
        </w:tc>
        <w:tc>
          <w:tcPr>
            <w:tcW w:w="2362" w:type="dxa"/>
            <w:tcBorders>
              <w:top w:val="single" w:sz="4" w:space="0" w:color="auto"/>
              <w:left w:val="single" w:sz="4" w:space="0" w:color="auto"/>
            </w:tcBorders>
            <w:shd w:val="clear" w:color="auto" w:fill="auto"/>
            <w:vAlign w:val="bottom"/>
          </w:tcPr>
          <w:p w14:paraId="43D5DDA2" w14:textId="77777777" w:rsidR="001525AB" w:rsidRPr="008A2E5A" w:rsidRDefault="001525A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340</w:t>
            </w:r>
          </w:p>
        </w:tc>
        <w:tc>
          <w:tcPr>
            <w:tcW w:w="2366" w:type="dxa"/>
            <w:tcBorders>
              <w:top w:val="single" w:sz="4" w:space="0" w:color="auto"/>
              <w:left w:val="single" w:sz="4" w:space="0" w:color="auto"/>
              <w:right w:val="single" w:sz="4" w:space="0" w:color="auto"/>
            </w:tcBorders>
            <w:shd w:val="clear" w:color="auto" w:fill="auto"/>
            <w:vAlign w:val="bottom"/>
          </w:tcPr>
          <w:p w14:paraId="7EA45C0D" w14:textId="77777777" w:rsidR="001525AB" w:rsidRPr="008A2E5A" w:rsidRDefault="001525A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295</w:t>
            </w:r>
          </w:p>
        </w:tc>
      </w:tr>
      <w:tr w:rsidR="001525AB" w:rsidRPr="008A2E5A" w14:paraId="2B3CB132" w14:textId="77777777" w:rsidTr="004C5D62">
        <w:trPr>
          <w:trHeight w:val="245"/>
        </w:trPr>
        <w:tc>
          <w:tcPr>
            <w:tcW w:w="4934" w:type="dxa"/>
            <w:tcBorders>
              <w:top w:val="single" w:sz="4" w:space="0" w:color="auto"/>
              <w:left w:val="single" w:sz="4" w:space="0" w:color="auto"/>
            </w:tcBorders>
            <w:shd w:val="clear" w:color="auto" w:fill="auto"/>
            <w:vAlign w:val="bottom"/>
          </w:tcPr>
          <w:p w14:paraId="10F2EDC0" w14:textId="77777777" w:rsidR="001525AB" w:rsidRPr="008A2E5A" w:rsidRDefault="001525A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Пробег с применением щитков и тормозов, м</w:t>
            </w:r>
          </w:p>
        </w:tc>
        <w:tc>
          <w:tcPr>
            <w:tcW w:w="2362" w:type="dxa"/>
            <w:tcBorders>
              <w:top w:val="single" w:sz="4" w:space="0" w:color="auto"/>
              <w:left w:val="single" w:sz="4" w:space="0" w:color="auto"/>
            </w:tcBorders>
            <w:shd w:val="clear" w:color="auto" w:fill="auto"/>
            <w:vAlign w:val="bottom"/>
          </w:tcPr>
          <w:p w14:paraId="52978F28" w14:textId="77777777" w:rsidR="001525AB" w:rsidRPr="008A2E5A" w:rsidRDefault="001525A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540</w:t>
            </w:r>
          </w:p>
        </w:tc>
        <w:tc>
          <w:tcPr>
            <w:tcW w:w="2366" w:type="dxa"/>
            <w:tcBorders>
              <w:top w:val="single" w:sz="4" w:space="0" w:color="auto"/>
              <w:left w:val="single" w:sz="4" w:space="0" w:color="auto"/>
              <w:right w:val="single" w:sz="4" w:space="0" w:color="auto"/>
            </w:tcBorders>
            <w:shd w:val="clear" w:color="auto" w:fill="auto"/>
            <w:vAlign w:val="bottom"/>
          </w:tcPr>
          <w:p w14:paraId="1B5BC90D" w14:textId="77777777" w:rsidR="001525AB" w:rsidRPr="008A2E5A" w:rsidRDefault="001525A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360</w:t>
            </w:r>
          </w:p>
        </w:tc>
      </w:tr>
      <w:tr w:rsidR="001525AB" w:rsidRPr="008A2E5A" w14:paraId="2FE0E5DB" w14:textId="77777777" w:rsidTr="004C5D62">
        <w:trPr>
          <w:trHeight w:val="264"/>
        </w:trPr>
        <w:tc>
          <w:tcPr>
            <w:tcW w:w="4934" w:type="dxa"/>
            <w:tcBorders>
              <w:top w:val="single" w:sz="4" w:space="0" w:color="auto"/>
              <w:left w:val="single" w:sz="4" w:space="0" w:color="auto"/>
              <w:bottom w:val="single" w:sz="4" w:space="0" w:color="auto"/>
            </w:tcBorders>
            <w:shd w:val="clear" w:color="auto" w:fill="auto"/>
            <w:vAlign w:val="center"/>
          </w:tcPr>
          <w:p w14:paraId="52668ADA" w14:textId="77777777" w:rsidR="001525AB" w:rsidRPr="008A2E5A" w:rsidRDefault="001525A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Время виража на высоте 1000 м, с</w:t>
            </w:r>
          </w:p>
        </w:tc>
        <w:tc>
          <w:tcPr>
            <w:tcW w:w="2362" w:type="dxa"/>
            <w:tcBorders>
              <w:top w:val="single" w:sz="4" w:space="0" w:color="auto"/>
              <w:left w:val="single" w:sz="4" w:space="0" w:color="auto"/>
              <w:bottom w:val="single" w:sz="4" w:space="0" w:color="auto"/>
            </w:tcBorders>
            <w:shd w:val="clear" w:color="auto" w:fill="auto"/>
            <w:vAlign w:val="center"/>
          </w:tcPr>
          <w:p w14:paraId="42E9B62C" w14:textId="77777777" w:rsidR="001525AB" w:rsidRPr="008A2E5A" w:rsidRDefault="001525A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2366" w:type="dxa"/>
            <w:tcBorders>
              <w:top w:val="single" w:sz="4" w:space="0" w:color="auto"/>
              <w:left w:val="single" w:sz="4" w:space="0" w:color="auto"/>
              <w:bottom w:val="single" w:sz="4" w:space="0" w:color="auto"/>
              <w:right w:val="single" w:sz="4" w:space="0" w:color="auto"/>
            </w:tcBorders>
            <w:shd w:val="clear" w:color="auto" w:fill="auto"/>
            <w:vAlign w:val="center"/>
          </w:tcPr>
          <w:p w14:paraId="1AFE7BD2" w14:textId="77777777" w:rsidR="001525AB" w:rsidRPr="008A2E5A" w:rsidRDefault="001525AB"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w:t>
            </w:r>
          </w:p>
        </w:tc>
      </w:tr>
    </w:tbl>
    <w:p w14:paraId="61DECFBC" w14:textId="77777777" w:rsidR="001525AB" w:rsidRPr="008A2E5A" w:rsidRDefault="001525AB" w:rsidP="001525A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дальнейшем конструкция Як-7В претерпевала мини</w:t>
      </w:r>
      <w:r w:rsidRPr="008A2E5A">
        <w:rPr>
          <w:rFonts w:ascii="Times New Roman" w:hAnsi="Times New Roman"/>
          <w:color w:val="0070C0"/>
          <w:sz w:val="16"/>
          <w:szCs w:val="16"/>
        </w:rPr>
        <w:softHyphen/>
        <w:t>мальные изменения, имевшие целью максимальную уни</w:t>
      </w:r>
      <w:r w:rsidRPr="008A2E5A">
        <w:rPr>
          <w:rFonts w:ascii="Times New Roman" w:hAnsi="Times New Roman"/>
          <w:color w:val="0070C0"/>
          <w:sz w:val="16"/>
          <w:szCs w:val="16"/>
        </w:rPr>
        <w:softHyphen/>
        <w:t>фикацию с боевыми машинами. С 4-й серии ввели улуч</w:t>
      </w:r>
      <w:r w:rsidRPr="008A2E5A">
        <w:rPr>
          <w:rFonts w:ascii="Times New Roman" w:hAnsi="Times New Roman"/>
          <w:color w:val="0070C0"/>
          <w:sz w:val="16"/>
          <w:szCs w:val="16"/>
        </w:rPr>
        <w:softHyphen/>
        <w:t>шения, связанные с эксплуатацией моторной установ</w:t>
      </w:r>
      <w:r w:rsidRPr="008A2E5A">
        <w:rPr>
          <w:rFonts w:ascii="Times New Roman" w:hAnsi="Times New Roman"/>
          <w:color w:val="0070C0"/>
          <w:sz w:val="16"/>
          <w:szCs w:val="16"/>
        </w:rPr>
        <w:softHyphen/>
        <w:t>ки и введенные на боевых самолетах, а также новую руч</w:t>
      </w:r>
      <w:r w:rsidRPr="008A2E5A">
        <w:rPr>
          <w:rFonts w:ascii="Times New Roman" w:hAnsi="Times New Roman"/>
          <w:color w:val="0070C0"/>
          <w:sz w:val="16"/>
          <w:szCs w:val="16"/>
        </w:rPr>
        <w:softHyphen/>
        <w:t>ку управления. Следующий комплекс доработок произо</w:t>
      </w:r>
      <w:r w:rsidRPr="008A2E5A">
        <w:rPr>
          <w:rFonts w:ascii="Times New Roman" w:hAnsi="Times New Roman"/>
          <w:color w:val="0070C0"/>
          <w:sz w:val="16"/>
          <w:szCs w:val="16"/>
        </w:rPr>
        <w:softHyphen/>
        <w:t>шел с 7-й серии и включал в себя установку прицела ПБП- 1А в передней кабине и фотокинопулемета ПАУ-22 с про</w:t>
      </w:r>
      <w:r w:rsidRPr="008A2E5A">
        <w:rPr>
          <w:rFonts w:ascii="Times New Roman" w:hAnsi="Times New Roman"/>
          <w:color w:val="0070C0"/>
          <w:sz w:val="16"/>
          <w:szCs w:val="16"/>
        </w:rPr>
        <w:softHyphen/>
        <w:t>водкой управления, монтаж однопроводной электросети, введение унифицированной моторамы и рукояток штур</w:t>
      </w:r>
      <w:r w:rsidRPr="008A2E5A">
        <w:rPr>
          <w:rFonts w:ascii="Times New Roman" w:hAnsi="Times New Roman"/>
          <w:color w:val="0070C0"/>
          <w:sz w:val="16"/>
          <w:szCs w:val="16"/>
        </w:rPr>
        <w:softHyphen/>
        <w:t>валов, выполненных из пластмасс (23381).</w:t>
      </w:r>
    </w:p>
    <w:p w14:paraId="3BD43C95" w14:textId="77777777" w:rsidR="001525AB" w:rsidRPr="008A2E5A" w:rsidRDefault="001525AB" w:rsidP="001525AB">
      <w:pPr>
        <w:spacing w:after="0" w:line="240" w:lineRule="auto"/>
        <w:jc w:val="both"/>
        <w:rPr>
          <w:rFonts w:ascii="Times New Roman" w:hAnsi="Times New Roman"/>
          <w:color w:val="0070C0"/>
          <w:sz w:val="16"/>
          <w:szCs w:val="16"/>
        </w:rPr>
      </w:pPr>
    </w:p>
    <w:p w14:paraId="392F458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июля 1942 в Москве была завершена сборка и регулировка планера-танка А-40 ЛТ или КТ О.К.А., прибывшего из Тюмени и его доставили в ЛИИ (94,91).</w:t>
      </w:r>
    </w:p>
    <w:p w14:paraId="658A164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85159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июля 1942 л завода 462 П.У.Фокин поломал МиГ-3, преждевременно убрав шасси на взлете (2108).</w:t>
      </w:r>
    </w:p>
    <w:p w14:paraId="7599B7A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27D9FD" w14:textId="77777777" w:rsidR="00526171" w:rsidRPr="001E2C69" w:rsidRDefault="0052617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июля 1942 года на аэродроме ЛИИ в Кратово собрали планер и танк, привезенный их Тюмени. Осенью 1942 г. планер КТ впервые поднялся в воздух. Увы, этот первый испытательный полёт оказался единственным. Командиром самолёта-буксировщика – четырёхмоторного ТБ-3 с двигателями АМ-34РНВ – был П.А.Еремеев. Пилотом танка-планёра, а одновременно и механиком-водителем, стал лётчик-испытатель С.Н.Анохин. Согласно отчёту, разбег и отрыв производился при взлётном форсаже моторов. Вес самолёта был равен 17500 кг. Планёр оторвался на скорости 110-115 км/час, самолёт на скорости 120 км/час. Как оказалось, мощность четырёх двигателей самолёта ТБ-3 явно не обеспечивала уверенного полёта. Процитируем отчёт об испытаниях: «При форсированных оборотах мотора была набрана высота 30-40 м. После частичной уборки форсажа /…/ поезд сохранил горизонтальный полёт на скорости 130 км/час. При увеличении скорости до 140 км/час поезд снижался с вертикальной скоростью 0,5 м/сек. Не имея возможности набрать высоту, было принято решение сделать отцепку планера с прямой над аэродромом Быково. Посадка был сделана благополучно. /…/ После приземления планер немного развернуло. Длина пробега около 20 метров /…/. С быковского аэродрома на аэродром (название замазано, речь идёт о Монино) (8 км) планер «АТ» без разборки был доставлен самоходом. Ввиду недостатка мощности на самолете ТБ-3 4АМ34РНВ для буксировки планера «АТ», дальнейшие испытания были приостановлены». «Летающий танк» Антонова вернули в Кратово (на аэродром ЛИИ), и более он никогда не поднимался в воздух. Результаты могли бы быть более успешными в случае использовании в качестве буксировщика самолёта ТБ-7 (Пе-8). Однако это было бы непозволительной роскошью – таких самолётов насчитывалось в строю всего около 40, и они были остро необходимы для других целей. По этой причине работа над «летающим танком» КТ (А-40) не получила продолжения (19165).</w:t>
      </w:r>
    </w:p>
    <w:p w14:paraId="04E281AD" w14:textId="77777777" w:rsidR="00526171" w:rsidRPr="001E2C69" w:rsidRDefault="00526171" w:rsidP="00722885">
      <w:pPr>
        <w:spacing w:after="0" w:line="240" w:lineRule="auto"/>
        <w:jc w:val="both"/>
        <w:rPr>
          <w:rFonts w:ascii="Times New Roman" w:hAnsi="Times New Roman"/>
          <w:color w:val="000000" w:themeColor="text1"/>
          <w:sz w:val="16"/>
          <w:szCs w:val="16"/>
        </w:rPr>
      </w:pPr>
    </w:p>
    <w:p w14:paraId="0095774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июля 1942 НАЧАЛЬНИК СТРОИТЕЛЬСТВА ЗАВОДА № 600 Коробко А.С. и директор ЕСЬКОВ В.С. писали НКВТ А.И.М. РАПОРТ</w:t>
      </w:r>
    </w:p>
    <w:p w14:paraId="010CD54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 окончании строительства, освоении и работе завода № 600</w:t>
      </w:r>
    </w:p>
    <w:p w14:paraId="645FB8E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основании Постановления Правительства и приказа НКАП, 10-я Строительно-монтажная Контора ГУКС'а НКАП, согласно проекту и генеральной смете, в точном соответствии с техническими условиями построила самолётно-сборочный завод, военный городок и жилищно-культурно-бытовые объекты в Западном Китае.</w:t>
      </w:r>
    </w:p>
    <w:p w14:paraId="4745314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Всего построено и сдано с оценкой на «отлично»:</w:t>
      </w:r>
    </w:p>
    <w:p w14:paraId="448104C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Производственных зданий - 12332м2</w:t>
      </w:r>
    </w:p>
    <w:p w14:paraId="24A03948"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Жилых и культурно-бытовых зданий — 9911 м</w:t>
      </w:r>
      <w:r w:rsidRPr="001E2C69">
        <w:rPr>
          <w:rFonts w:ascii="Times New Roman" w:hAnsi="Times New Roman"/>
          <w:color w:val="000000" w:themeColor="text1"/>
          <w:sz w:val="16"/>
          <w:szCs w:val="16"/>
          <w:vertAlign w:val="superscript"/>
        </w:rPr>
        <w:t>2</w:t>
      </w:r>
    </w:p>
    <w:p w14:paraId="31C2387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Военный городок — 5588 м2</w:t>
      </w:r>
    </w:p>
    <w:p w14:paraId="02FD787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Внешние сети водопровода, канализации, теплофикации — 10861 погон. м.</w:t>
      </w:r>
    </w:p>
    <w:p w14:paraId="51022B8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Безрельсовые дороги — 41294 погон. м.</w:t>
      </w:r>
    </w:p>
    <w:p w14:paraId="5B4D389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Электросети— 5300 погон, м.</w:t>
      </w:r>
    </w:p>
    <w:p w14:paraId="3C8088B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Общим количеством: 78 зданий, искусственный водоём, аэродром и дороги на общей застроенной площади в 120.000м2.</w:t>
      </w:r>
    </w:p>
    <w:p w14:paraId="2A0AA7F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Строительство завода выполнено со снижением себестоимости против утверждённых смет на 16,9 </w:t>
      </w:r>
      <w:r w:rsidRPr="001E2C69">
        <w:rPr>
          <w:rFonts w:ascii="Times New Roman" w:hAnsi="Times New Roman"/>
          <w:iCs/>
          <w:color w:val="000000" w:themeColor="text1"/>
          <w:sz w:val="16"/>
          <w:szCs w:val="16"/>
        </w:rPr>
        <w:t xml:space="preserve">% </w:t>
      </w:r>
      <w:r w:rsidRPr="001E2C69">
        <w:rPr>
          <w:rFonts w:ascii="Times New Roman" w:hAnsi="Times New Roman"/>
          <w:color w:val="000000" w:themeColor="text1"/>
          <w:sz w:val="16"/>
          <w:szCs w:val="16"/>
        </w:rPr>
        <w:t>или сэкономлено 5502 тыс. руб, из которых 470 тысяч инвалютных руб.</w:t>
      </w:r>
    </w:p>
    <w:p w14:paraId="75DB228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Через 6 месяцев после начала строительных работ в срок, установленный Правительством, прибывший в октябре месяце 1940 года коллектив завода приступил к освоению завода и в трехмесячный срок в условиях незаконченного строительства организовал завод. В том же 1940 году собраны первые шесть самолётов гласно графику НКАП.</w:t>
      </w:r>
    </w:p>
    <w:p w14:paraId="72C930F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Утверждённая СНК СССР, ЦК ВКП(б) и НКАП годовая программа по сборке и сдаче Наркомату Обороны СССР 143 самолётов И-16 заводом была выполнена досрочно на 2 месяца и 10 дней. Пуск и освоение завода проведены с экономией в 10,7 </w:t>
      </w:r>
      <w:r w:rsidRPr="001E2C69">
        <w:rPr>
          <w:rFonts w:ascii="Times New Roman" w:hAnsi="Times New Roman"/>
          <w:iCs/>
          <w:color w:val="000000" w:themeColor="text1"/>
          <w:sz w:val="16"/>
          <w:szCs w:val="16"/>
        </w:rPr>
        <w:t xml:space="preserve">% </w:t>
      </w:r>
      <w:r w:rsidRPr="001E2C69">
        <w:rPr>
          <w:rFonts w:ascii="Times New Roman" w:hAnsi="Times New Roman"/>
          <w:color w:val="000000" w:themeColor="text1"/>
          <w:sz w:val="16"/>
          <w:szCs w:val="16"/>
        </w:rPr>
        <w:t>или сэкономлено 575 тысяч инвалютных рублей против утверждённых Правительством смет. Собранные самолёты, по заключению УВВС КА, обладали высокими лётными качествами, а доставка их в Союз была организована летом. Досрочно закончив годовую про грамму 1941 г., завод в полтора месяца провёл большую работу по перестройке самолётно-сборочного завода на изготовление необходимых фронту остродефицитных частей к самолетам И-16, ЛАГГ-3 и ЯК-76, для чего к 1 января 1942 г. на базе построенных сооружений своими силами завод за счёт использования внутренних ресурсов организовал новые цеха: агрегатно-сборочный с малярной и обойной мастерскими, слесарно-сварочный, заготовительно-медницкий. гальванический, термический и инструментальный. Проведённое на заводе № 153 испытание качества изготовленных агрегатов, подтвердило хорошее выполнение работ, стыковка агрегатов полностью соответствует установленным техническим условиям. Для ускорения и упрощения процесса изготовления агрегатов на заводе применен опыт наших передовых авиапредприятий и заводов Дугласа и Вульти</w:t>
      </w:r>
    </w:p>
    <w:p w14:paraId="2B6796E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Проведена большая работа по переквалификации кадров сборщиков на необходимые новые специальности, а также по подготовке кадров из местно</w:t>
      </w:r>
      <w:r w:rsidRPr="001E2C69">
        <w:rPr>
          <w:rFonts w:ascii="Times New Roman" w:hAnsi="Times New Roman"/>
          <w:color w:val="000000" w:themeColor="text1"/>
          <w:sz w:val="16"/>
          <w:szCs w:val="16"/>
        </w:rPr>
        <w:softHyphen/>
        <w:t>го отсталого населения.</w:t>
      </w:r>
    </w:p>
    <w:p w14:paraId="4014A71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января 1942 завод полностью освоил изготовление частей самолетов и и программу 1-го полугодия 1942 года выполнил на 104% и на 5 дней раньше срока.</w:t>
      </w:r>
    </w:p>
    <w:p w14:paraId="735AACF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Проведённая реконструкция самомолетно-сборочного завода своими силами создала все условия к превращению за вода № 600 в самолётостроительный. Завод создал все необходимые культурно-бытовые условия для командированных из Союза работников и членов</w:t>
      </w:r>
      <w:r w:rsidRPr="001E2C69">
        <w:rPr>
          <w:rFonts w:ascii="Times New Roman" w:hAnsi="Times New Roman"/>
          <w:iCs/>
          <w:color w:val="000000" w:themeColor="text1"/>
          <w:sz w:val="16"/>
          <w:szCs w:val="16"/>
        </w:rPr>
        <w:t xml:space="preserve"> их </w:t>
      </w:r>
      <w:r w:rsidRPr="001E2C69">
        <w:rPr>
          <w:rFonts w:ascii="Times New Roman" w:hAnsi="Times New Roman"/>
          <w:color w:val="000000" w:themeColor="text1"/>
          <w:sz w:val="16"/>
          <w:szCs w:val="16"/>
        </w:rPr>
        <w:t>семей, а также для работающих на за воде рабочих из местного населения. Имеется больница, школа 10-летка, детсад, детясли, клуб, баня-прачечная . В настоящее время коллектив завода располагает собственной мощной продовольственной и топливной базой (подсобное хозяйство и ряд предприятий пищевого производства, угольная шахта). Выпуск изделий ширпотреба: лож ки, пуговицы, мыло, а также и пищевого производства: колбасные, кондитерские, пиво и др. может быть увеличен и сдаваться Совсиньторгу для экспорт ной продажи. Разрешение Наркома т. Шахурина на сдачу продукции наше го подсобного производства В/О «Совсиньторг» имеется. Строительство и освоение завода проводилось в трудных специфических условиях отсталой провинции Китая, оторванности завода от ближайшей жел. дор. станции на расстоянии 900 километров, наличия на трассе двух высокогорных перевалов, на совершенно голом плато при наличии ураганных ветров и тяжёлых климатических условий (жара до 70°) и при ограниченном количестве работников, откомандированных из Союза.</w:t>
      </w:r>
    </w:p>
    <w:p w14:paraId="78A96AFF"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Считаем необходимым отметить большую помощь, оказанную строи</w:t>
      </w:r>
      <w:r w:rsidRPr="001E2C69">
        <w:rPr>
          <w:rFonts w:ascii="Times New Roman" w:hAnsi="Times New Roman"/>
          <w:color w:val="000000" w:themeColor="text1"/>
          <w:sz w:val="16"/>
          <w:szCs w:val="16"/>
        </w:rPr>
        <w:softHyphen/>
        <w:t>тельству и заводу со стороны аппарата НКВТ, ведающего Зап. Китаем, и руко</w:t>
      </w:r>
      <w:r w:rsidRPr="001E2C69">
        <w:rPr>
          <w:rFonts w:ascii="Times New Roman" w:hAnsi="Times New Roman"/>
          <w:color w:val="000000" w:themeColor="text1"/>
          <w:sz w:val="16"/>
          <w:szCs w:val="16"/>
        </w:rPr>
        <w:softHyphen/>
        <w:t>водства В/О «Совсиньторг» по пере</w:t>
      </w:r>
      <w:r w:rsidRPr="001E2C69">
        <w:rPr>
          <w:rFonts w:ascii="Times New Roman" w:hAnsi="Times New Roman"/>
          <w:color w:val="000000" w:themeColor="text1"/>
          <w:sz w:val="16"/>
          <w:szCs w:val="16"/>
        </w:rPr>
        <w:softHyphen/>
        <w:t>броске грузов отечественного произ</w:t>
      </w:r>
      <w:r w:rsidRPr="001E2C69">
        <w:rPr>
          <w:rFonts w:ascii="Times New Roman" w:hAnsi="Times New Roman"/>
          <w:color w:val="000000" w:themeColor="text1"/>
          <w:sz w:val="16"/>
          <w:szCs w:val="16"/>
        </w:rPr>
        <w:softHyphen/>
        <w:t>водства из Союза.</w:t>
      </w:r>
    </w:p>
    <w:p w14:paraId="167AA39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более подробного доклада просим нас принять.</w:t>
      </w:r>
    </w:p>
    <w:p w14:paraId="79E1869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СТРОИТЕЛЬСТВА ЗАВОДА (Коробко А.С.) ДИРЕКТОР (ЕСЬКОВ В.С.)</w:t>
      </w:r>
    </w:p>
    <w:p w14:paraId="5BF4CF9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23.VI1.42 г.</w:t>
      </w:r>
    </w:p>
    <w:p w14:paraId="59CD404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первой странице этого рапорта есть резолюция; «Надо бы работников этого строительства и завода награ</w:t>
      </w:r>
      <w:r w:rsidRPr="001E2C69">
        <w:rPr>
          <w:rFonts w:ascii="Times New Roman" w:hAnsi="Times New Roman"/>
          <w:color w:val="000000" w:themeColor="text1"/>
          <w:sz w:val="16"/>
          <w:szCs w:val="16"/>
        </w:rPr>
        <w:softHyphen/>
        <w:t>дить. 23.УШ. А.Микоян».</w:t>
      </w:r>
    </w:p>
    <w:p w14:paraId="3226DA60"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9469C6"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Другие оборонные отрасли:</w:t>
      </w:r>
    </w:p>
    <w:p w14:paraId="33AA7CB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7E48C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22 июля по 11 августа 1942 года на полигоне в районе Нижнего Тагила проводились Государственные испытания нововведений на трех танках Т-34.</w:t>
      </w:r>
    </w:p>
    <w:p w14:paraId="3DBAAFC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испытания новой коробки передач и башни с башенкой была создана специальная государственная комиссия. Завод № 183 представил на испытания два танка Т-34 с обычными башнями, 5-скоростной коробкой перемены передач и натяжными механизмами двух вариантов - с треугольной и трапециодальной резьбой (в документах эти машины иногда именуются Т-34С - «скоростной») и один танк с новой башней, оснащенной командирской башенкой, но с 4-скоростной коробкой.</w:t>
      </w:r>
    </w:p>
    <w:p w14:paraId="3DF6CCB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Всего за семь ходовых дней машины прошли более 1500 километров.</w:t>
      </w:r>
    </w:p>
    <w:p w14:paraId="4019989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Первый танк Т-34 с 5-скоростной коробкой поступил на испытания 22 июля 1942 года, до этого прошел 430 километров. Второй Т-34 был представлен госкомиссии 31 июля, к этому моменту пробег машины составлял 2500 километров.</w:t>
      </w:r>
    </w:p>
    <w:p w14:paraId="30FFFDE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Серийная машина Т-34 с новой башней поступила 9 августа 1942 года. Новая башня представляла собой литую конструкцию, выполненную за одно целое с командирской башенкой и с серийным погоном 1420 мм. Ее масса составляла 4300 килограмм, что на 100 килограмм было больше, чем серийная башня тридцатьчетверки. В командирской башенке, расположенной по центру в задней части крыши, имелось 5 прорезей, в которые вставлялись призматические смотровые приборы. Каждая кассета с призмой при помощи специального рычага могла опускаться. Углы обзора из командирской башенки составляли вниз 20 градусов и вверх 9 градусов, по горизонту обеспечивался круговой обзор, мертвое пространство составляло 7 метров. Командир, наблюдающий из башенки, размещался на сиденье в нише башни. Ноги он ставил на специальные подножки, закрепленные на кронштейнах сидений наводчика и заряжающего, а для защиты от возможного удара гильзами при их экстракции во время стрельбы перед командиром имелся откидной металлический щиток.</w:t>
      </w:r>
    </w:p>
    <w:p w14:paraId="67BD267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ходе испытаний 5-скоростные коробки перемены передач показали свои преимущества перед 4-скоростной и доказали свою полную надежность:</w:t>
      </w:r>
    </w:p>
    <w:p w14:paraId="5E7A8ED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«Новая 5-скоростная коробка являясь полностью взаимозаменаямой со старой 4-скоростной коробкой, обеспечила лучшую динамическую характеристику танка Т-34 и в то же время, благодаря отсутствию скосов на торцах шестерен и большей длине зуба, напряженность шестерен уменьшилась, что обеспечило более продолжительную их работу на танке. Одновременно с этим управление 5-скоростной коробкой благодаря наличию специальных зубчатых муфт значительно упростилось и стало доступно даже мало подготовленному механику-водителю. Как показала практика эксплуатации танка Т-34, при наличии 5-скоростной коробки перемены передач средние скорости движения танка заметно возросли при одновременном снижении количества горючего».</w:t>
      </w:r>
    </w:p>
    <w:p w14:paraId="1EC754A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командирской башенке отмечался ряд недостатков, но и она, и новые коробки передач были рекомендованы государственной комиссией для серийного производства.</w:t>
      </w:r>
    </w:p>
    <w:p w14:paraId="6007767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Пятискоростные коробки перемены передач первым стал осваивать Уральский завод тяжелого машиностроения (УЗТМ) в Свердловске - летом 1942 года, в связи с угрозой немцев Сталинграду и СТЗ, постановлением ГКО к производству танков Т-34 подключали УЗТМ и Челябинский Кировский завод (ЧКЗ). Большая часть тридцатьчетверок, выпушенная на УЗТМ до конца 1942 года, получила новые коробки перемены передач. В конце года к производству новых коробок подключился и ЧКЗ, а затем заводы № 112 и № 174. Причем последний с 1943 года становится головным по выпуску 5-скоростных коробок передач.</w:t>
      </w:r>
    </w:p>
    <w:p w14:paraId="195981D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Что касается завода № 183, то он так и не освоил выпуск своего детища. Не помогли ни различные письма, ни приказы. Дело в том, что в Нижнем Тагиле имелся большой дефицит зуборезных станков, а бывшие в наличии с трудом обеспечивали текущее производства танков, причем работали они чуть ли не круглосуточно. А в новой коробке передач было пусть на немного (примерно на 8%), но больше шестерен, что при масштабах производства танков на заводе № 183 привело бы к нехватке КПП. Тем не менее, Нижний Тагил все же ставил 5-скоростные коробки на Т-34, получая их с других заводов, например, с ЧКЗ. Кстати, конструкторы новой КПП Я. Баран и А. Шпайхлер за ее создание получили Сталинскую премию (12217).</w:t>
      </w:r>
    </w:p>
    <w:p w14:paraId="19D7B6B5"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242D248"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июля 1942 г.</w:t>
      </w:r>
    </w:p>
    <w:p w14:paraId="3889ED19"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РГАЭ Фонд 8752 Опись 1 Дело 11 лист 188 – 189</w:t>
      </w:r>
    </w:p>
    <w:p w14:paraId="1E59A2DD"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служебного пользования.</w:t>
      </w:r>
    </w:p>
    <w:p w14:paraId="6FC9B666"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 НАРОДНОГО КОМИССАРИАТА ЭЛЕКТРОПРОМЫШЛЕННОСТИ СОЮЗА ССР НАРОДНОГО КОМИССАРИАТА ТАНКОВОЙ ПРОМЫШЛЕННОСТИ СОЮЗА ССР № МЗ-373/296</w:t>
      </w:r>
    </w:p>
    <w:p w14:paraId="28675726"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Москва</w:t>
      </w:r>
    </w:p>
    <w:p w14:paraId="1F871C75"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июля 1942 г.</w:t>
      </w:r>
    </w:p>
    <w:p w14:paraId="1D5B6B34"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повышения качества танковых стартеров СТ-700 с реле привода РСТ-334 и устранения разнотипности в технической документации ПРИКАЗЫВАЕМ:</w:t>
      </w:r>
    </w:p>
    <w:p w14:paraId="572C744B"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w:t>
      </w:r>
    </w:p>
    <w:p w14:paraId="5F76493F"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Ввести в действие с 10 сентября 1942 г. на заводах НКЭП утвержденные НКЭП, НКТП и БТУ ГАБТУ КА по акту от 12 июля 1942 г. – чертежи и технические условия на стартер СТ-700 с реле привода РСТ-334 завода № 255.</w:t>
      </w:r>
    </w:p>
    <w:p w14:paraId="57E4D438"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w:t>
      </w:r>
    </w:p>
    <w:p w14:paraId="00AE5C7D"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Воспретить внесение изменений в техническую документацию указанную в п. 1 и изготовление изделий с отступлением от нее без согласования с заводом № 255 и утверждения НКТП, НКЭП и ГАБТУ КА.</w:t>
      </w:r>
    </w:p>
    <w:p w14:paraId="3C1EC95A"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w:t>
      </w:r>
    </w:p>
    <w:p w14:paraId="041F6667"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Воспретить выпуск изделий на прошедших приемочные испытания, установленные техническими условиями.</w:t>
      </w:r>
    </w:p>
    <w:p w14:paraId="43A84127"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4.</w:t>
      </w:r>
    </w:p>
    <w:p w14:paraId="28D856CD"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Директору завода № 255 т. МОРОЗ к 28 июля доукомплектовать по указанию Наркомэлектропрома техническую документацию, высланную заводам НКЭП № 651, 653, 655 и 659 чертежами реле привода РСТ-334.</w:t>
      </w:r>
    </w:p>
    <w:p w14:paraId="0E86C3F4"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w:t>
      </w:r>
    </w:p>
    <w:p w14:paraId="63181412"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Директору завода № 255 т. МОРОЗ в период с 22 по 28 августа провести контрольные испытания стартеров СТ-700 с пусковым реле РС-400 и генераторов ГТ-4563А с реле регулятором РРА-24Ф на партии в 20 штук, а также типовые испытания этих агрегатов на двух комплектах и отработать окончательную методику всех видов испытаний. К этому же сроку дать заключение по вопросам, перечисленным в приложении к настоящему приказу, в соответствии с актом от 12 июля 1942 г. – требующим дополнительных испытаний.</w:t>
      </w:r>
    </w:p>
    <w:p w14:paraId="2DC6EBBA"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w:t>
      </w:r>
    </w:p>
    <w:p w14:paraId="434E1BB5"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участия в испытаниях по п. 5 настоящего приказа и утверждения их результатов создать комиссию в составе представителей:</w:t>
      </w:r>
    </w:p>
    <w:p w14:paraId="2689C021"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Наркомтанкопрома – т. Нухман.</w:t>
      </w:r>
    </w:p>
    <w:p w14:paraId="0D9C6F82"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Наркомэлектропрома – т. Архангельский.</w:t>
      </w:r>
    </w:p>
    <w:p w14:paraId="456E8693"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БТУ ГАБТУ КА – по указанию начальника БТУ ГАБТУ КА.</w:t>
      </w:r>
    </w:p>
    <w:p w14:paraId="3C2D7FA8"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Завода № 255 – т. Сергеева.</w:t>
      </w:r>
    </w:p>
    <w:p w14:paraId="38872A19"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Завода № 651 – т. Файнштейн.</w:t>
      </w:r>
    </w:p>
    <w:p w14:paraId="3466C14C"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Завода № 653 – т. Часовникова.</w:t>
      </w:r>
    </w:p>
    <w:p w14:paraId="65124DA2"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Завода № 655 – т. Погожева.</w:t>
      </w:r>
    </w:p>
    <w:p w14:paraId="0A393591"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Завода "Динамо" – т. Лехтман.</w:t>
      </w:r>
    </w:p>
    <w:p w14:paraId="4FC8BCDD"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Председателем комиссии назначить т. Нухман А.Г., работу комиссии начать 22 августа и закончить 28 августа.</w:t>
      </w:r>
    </w:p>
    <w:p w14:paraId="6302452C"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w:t>
      </w:r>
    </w:p>
    <w:p w14:paraId="69248F7C"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Директорам заводов НКЭП № 651 – т. Грицай, № 653 – т. Федулову, № 655 – т. Елкину, № 659 – т. Абакумову, "Динамо" – т. Брилю и завода № 254 НКТП т. Козлову передать к 15 августа с.г. заводу № 255 все материалы, необходимые для проверки и дачи заключения по вопросам перечисленным в приложении к настоящему приказу, а также перечень вопросов (с их обоснованием), подлежащих уточнению на заводе № 255.</w:t>
      </w:r>
    </w:p>
    <w:p w14:paraId="3AA17478"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w:t>
      </w:r>
    </w:p>
    <w:p w14:paraId="5EFDF310"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Директорам заводов № 255 – т. Мороз, № 254 – т. Козлову, № 238 – т. Галунину, СТЗ – т. Задорожному, № 651 – т. Грицай, № 653 – т. Федулову, № 655 – т. Елкину, № 659 – т. Абакумову и "Динамо" – т. Бриль – не позднее 1 октября 1942 г. разработать и утвердить технологию на изделия электрооборудования, изготовляемые этими заводами для танков и к 15 октября выслать по одному комплекту утвержденной технологии в адрес НЭП и НКТП.</w:t>
      </w:r>
    </w:p>
    <w:p w14:paraId="4F6293FD"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w:t>
      </w:r>
    </w:p>
    <w:p w14:paraId="13D42F53"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Директору завода № 254 т. Козлову командировать с 5 по 15 августа с.г. на завод № 651 НКЭП т. Нежданова В.Т. для оказания технической помощи.</w:t>
      </w:r>
    </w:p>
    <w:p w14:paraId="4E283188"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ЗАМЕСТИТЕЛЬ НАРОДНОГО КОМИССАРА ЭЛЕКТРОПРОМЫШЛЕННОСТИ СОЮЗА ССР подпись Зубович.</w:t>
      </w:r>
    </w:p>
    <w:p w14:paraId="770118F4"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июля 1942 г.</w:t>
      </w:r>
    </w:p>
    <w:p w14:paraId="00272DB9"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ЗАМЕСТИТЕЛЬ НАРОДНОГО КОМИССАРА ТАНКОВОЙ ПРОМЫШЛЕННОСТИ СОЮЗА ССР подпись Зернов.</w:t>
      </w:r>
    </w:p>
    <w:p w14:paraId="7A11C707"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июля 1942 г.</w:t>
      </w:r>
    </w:p>
    <w:p w14:paraId="170D59EC"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РГАЭ Фонд 8752 Опись 1 Дело 11 лист 190</w:t>
      </w:r>
    </w:p>
    <w:p w14:paraId="763F76B1"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ПРИЛОЖЕНИЕ</w:t>
      </w:r>
    </w:p>
    <w:p w14:paraId="7BB95AD6"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приказу № МЗ-373/296 по Наркомэлектропрому и Наркомтанкопрому от "22" июля 1942 г.</w:t>
      </w:r>
    </w:p>
    <w:p w14:paraId="10DEAB5F"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Перечень вопросов, подлежащих дополнительной проверке и согласованию на заводе № 255 НКТП:</w:t>
      </w:r>
    </w:p>
    <w:p w14:paraId="49611714"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Методика проверки возврата привода стартера при оборотах холостого хода.</w:t>
      </w:r>
    </w:p>
    <w:p w14:paraId="2CBF439E"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Величина усилия, которое должен преодолеть привод при убирании в горизонтальном положении.</w:t>
      </w:r>
    </w:p>
    <w:p w14:paraId="4091C6B6"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Напряжение выключения реле РСТ.</w:t>
      </w:r>
    </w:p>
    <w:p w14:paraId="33810471"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Величина момента развиваемого стартером при токе 800 ампер.</w:t>
      </w:r>
    </w:p>
    <w:p w14:paraId="77943219"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Твердости материалов, обозначенных на чертежах:</w:t>
      </w:r>
    </w:p>
    <w:p w14:paraId="0B52DB20"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ст. 504-13 – втулка</w:t>
      </w:r>
    </w:p>
    <w:p w14:paraId="04AD1FCA"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ст. 66-89 – втулка муфты</w:t>
      </w:r>
    </w:p>
    <w:p w14:paraId="00A92E9A"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ст. 146-94 – пружина</w:t>
      </w:r>
    </w:p>
    <w:p w14:paraId="756D6F7B"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хз. 96-14 – шайба</w:t>
      </w:r>
    </w:p>
    <w:p w14:paraId="025AC1F7"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ст. 94-67 – вал</w:t>
      </w:r>
    </w:p>
    <w:p w14:paraId="6ECFDE8B"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ст. 94-67 – заготовка вала.</w:t>
      </w:r>
    </w:p>
    <w:p w14:paraId="37997515"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Верно: подпись 19-VII-42 (Гинзбург) (21225).</w:t>
      </w:r>
    </w:p>
    <w:p w14:paraId="152D777B" w14:textId="77777777" w:rsidR="001D66FE" w:rsidRPr="001E2C69" w:rsidRDefault="001D66FE" w:rsidP="00722885">
      <w:pPr>
        <w:spacing w:after="0" w:line="240" w:lineRule="auto"/>
        <w:jc w:val="both"/>
        <w:rPr>
          <w:rFonts w:ascii="Times New Roman" w:hAnsi="Times New Roman"/>
          <w:color w:val="000000" w:themeColor="text1"/>
          <w:sz w:val="16"/>
          <w:szCs w:val="16"/>
        </w:rPr>
      </w:pPr>
    </w:p>
    <w:p w14:paraId="0388F2C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июля 1942 вышло Постановление ГКО № 2076 О производстве и поставке Наркомобороны, Наркомвоенморфлоту и НКВД СССР средств инженерного вооружения в III квартале 1942 года. РГАНИР, Фонд ГКО, д. 46, лл. 1-3, 4-37 (11012).</w:t>
      </w:r>
    </w:p>
    <w:p w14:paraId="37D7936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3E32E6"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Армия:</w:t>
      </w:r>
    </w:p>
    <w:p w14:paraId="41339E0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41A79D"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июля в 1942 году утреннее сообщение Совинформбюро:</w:t>
      </w:r>
    </w:p>
    <w:p w14:paraId="15C819AA"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22 июля наши войска вели бои с противником в районе Воронежа и юго-восточнее городе Ворошиловграда.</w:t>
      </w:r>
    </w:p>
    <w:p w14:paraId="388D4A54"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1F693B81"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наши войска теснили противника и наносили удары по его переправам через реку Дон. На одном из участков гитлеровцы упорно защищали шоссе. Наши танкисты сломили сопротивление противника и, уничтожив 17 танков и до батальона немецкой пехоты, овладели этим шоссе. На другом участке артиллеристы товарищи Шеметов, Фесин и Иванов, выдвинувшись вперёд, прямой наводкой разбили 10 вражеских автомашин с пехотой и разрушили дорогу кпереправе. Наводчик т. Куликов захватил немецкое орудие и, повернув его в сторону противника, расстреливал отходящих немцев. Красноармеец т. Сокол из противотанкового ружья подбил три немецких танка.</w:t>
      </w:r>
    </w:p>
    <w:p w14:paraId="231C862D"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Юго-восточнее Ворошиловграда наши войска вели оборонительные бои и на отдельных участках под давлением превосходящих сил противника отошли на новые позиции. На одном участке немецким войскам удалось прорваться вперёд. Наши части нанесли контрудар по флангам этой группировки противника, а затем уничтожили её мощным артиллерийским и миномётным огнём. Немцы потеряли в этом бою свыше полка пехоты, 19 танков, 65 автомашин, 3 автоцистерны с горючим и 7 противотанковых орудий. На другом участке на расставленных сапёрами минах подорвались 4 немецких танка и 7 автомашин с пехотой.</w:t>
      </w:r>
    </w:p>
    <w:p w14:paraId="18543CAC"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Калининском фронте происходили бои местного значения и артиллерийская перестрелка. На одном из участков пехота и танки противника пытались прорваться в тыл нашей части. Артиллеристы батарей под командованием тов. Сивякова открыли огонь, уничтожили 6 немецких танков и рассеяли гитлеровцев. Батарея старшего лейтенанта Фёдорова четыре дня вела непрерывный бой, переходя с одного рубежа на другой. За эти дни артиллеристы подбили 3 немецких танка и уничтожили свыше 300 солдат и офицеров противника.</w:t>
      </w:r>
    </w:p>
    <w:p w14:paraId="72A86188"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под командованием тов. И., действующий в одном из районов Украины, оккупированных немцами, совершил нападение на штаб немецкой части. Партизаны уничтожили 25 немецких солдат и 11 офицеров, сожгли бронемашину, танкетку, 2 грузовых и легковую машину.</w:t>
      </w:r>
    </w:p>
    <w:p w14:paraId="40B29073"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553 полка 329 немецкой пехотной дивизии Генрих Вебер рассказал: «Я недавно прибыл на Восточный фронт в составе 329 запасного батальона. Этот батальон формировался в городе Герфорде. Нам не удалось закончить курс обучения, так как сильно потрёпанная 329 дивизия крайне нуждалась в пополнении. Накануне выступления на передовые позиции русские неожиданно атаковали нас. В ночном бою первая рота потеряла только убитыми 25 человек, многие солдаты были ранены. В эту ночь понёс большие потери в целом весь наш батальон, только что прибывший на фронт».</w:t>
      </w:r>
    </w:p>
    <w:p w14:paraId="1D5C50F0"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мерзавцы истребляют мирное население оккупированных ими районов Смоленской области. Недавно карательный отряд эсэсовцев учинил зверскую расправу над жителями деревни Лениницы. Гитлеровцы сожгли в этой деревне 20 жилых домов, замучили и расстреляли 270 женщин, детей и стариков.</w:t>
      </w:r>
    </w:p>
    <w:p w14:paraId="7999D3C3"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Тюрьмы Финляндии переполнены бежавшими с фронта дезертирами. В тюрьме города Пелсо, рассчитанной на 300 человек, содержится 2.000 заключенных, в тюрьмах Коннунсуо и Турку в одиночных камерах сидят по 5—6 человек. С каждым днём растут ряды «лесной гвардии» — вооружённых отрядов дезертиров, скрывающихся в лесах. Один из таких отрядов, насчитывающий около 200 солдат, совершил налёт на бараки, в которых разместились немцы, и перебил 30 гитлеровцев. Другой отряд, скрывающийся в лесах близ Миккели, недавно напал на немецкий обоз и отбил 5 повозок с продовольствием.» (14960).</w:t>
      </w:r>
    </w:p>
    <w:p w14:paraId="1D5DD21C" w14:textId="77777777" w:rsidR="00495961" w:rsidRPr="001E2C69" w:rsidRDefault="00495961" w:rsidP="00722885">
      <w:pPr>
        <w:spacing w:after="0" w:line="240" w:lineRule="auto"/>
        <w:jc w:val="both"/>
        <w:rPr>
          <w:rFonts w:ascii="Times New Roman" w:hAnsi="Times New Roman"/>
          <w:color w:val="000000" w:themeColor="text1"/>
          <w:sz w:val="16"/>
          <w:szCs w:val="16"/>
        </w:rPr>
      </w:pPr>
    </w:p>
    <w:p w14:paraId="33522FCC"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июля в 1942 году вечернее сообщение Совинформбюро:</w:t>
      </w:r>
    </w:p>
    <w:p w14:paraId="730084B7"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«В течение 22 июля наши войска вели бои в районе Воронежа, а также в районах Цымлянская, Новочеркасск.</w:t>
      </w:r>
    </w:p>
    <w:p w14:paraId="75F057FD"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206C7A53"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21 июля частями нашей авиации на различных участках фронта уничтожено или повреждено более 100 немецких танков и бронемашин, 420 автомашин с войсками и грузами, взорван склад боеприпасов и склад горючего, подавлен огонь 60 полевых и зенитных орудий, разбито три железнодорожных состава, рассеяно и частью уничтожено до двух батальонов пехоты противника.</w:t>
      </w:r>
    </w:p>
    <w:p w14:paraId="7C9D8DE7"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B районе Воронежа наши войска продолжали вести активные бои с противником. Наши части захватили населённый пункт, расположенный на магистрали, и, преодолевая упорное сопротивление гитлеровцев, продолжали продвигаться вперёд. В течение дня наши танкисты уничтожили 15 танков и до 2.000 солдат и офицеров противника. В числе других трофеев танкистами захвачено у немцев 32 орудия, 137 пулемётов и автоматов и 20.000 снарядов.</w:t>
      </w:r>
    </w:p>
    <w:p w14:paraId="4359C942"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Огромный урон наносят противнику наши пехотинцы. Только одна часть, где командиром тов. Попов, в последних боях захватила 45 орудий, 2 танка, 41 пулемёт, 14 миномётов, 3 радиостанции, немецкий самолёт вместе с экипажем и 16 автомобилей. Наша авиация активно поддерживает действия наземных сил. За один день наши лётчики уничтожили 6 танков, 50 автомашин, 14 орудий и сбили 5 немецких самолётов.</w:t>
      </w:r>
    </w:p>
    <w:p w14:paraId="668ACA02"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 войска вели ожесточённые бои в районе Новочеркасска. На одном из участков наши лётчики подвергли бомбардировке вражескую колонну танков, автомашин и скопление пехоты противника. В результате налёта уничтожено несколько танков, 57 автомашин с войсками и боеприпасами, подожжено шесть автоцистерн с горючим, рассеяна и частично уничтожена значительная группа гитлеровцев. На другом участке наши войска в течение двух дней вели тяжелые бои с превосходящими силами противника. В этих боях немцы потеряли убитыми свыше 1.300 солдат и офицеров. Уничтожено 14 немецких танков, 9 орудий, свыше 30 пулемётов и 40 автомашин. Наши войска также понесли значительные потери и к исходу второго дня боёв по приказу командования отошли на новые позиции.</w:t>
      </w:r>
    </w:p>
    <w:p w14:paraId="7574912E"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Ленинградском фронте происходили бои местного значения и артиллерийская перестрелка. На одном из участков рота наших бойцов стремительным броском захватила одну высоту. Гитлеровцы предприняли несколько контратак и в боях заэту высоту потеряли до 500 солдат и офицеров. На других участках бомбёжкой с воздуха и огнём артиллерии разрушено 10 немецких ДЗОТов, уничтожено несколько батарей и отдельных орудий и взорван склад боеприпасов противника. В воздушных боях и огнём зенитной артиллерии сбито 13 и подбито 8 немецких самолётов.</w:t>
      </w:r>
    </w:p>
    <w:p w14:paraId="13F2857A"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белорусских партизан под руководством тов. Ш. в течение четырёх дней вёл ожесточённые бои с немецкими оккупантами. Партизаны вначале отступали и изматывали гитлеровцев, а затем успешно атаковали их. Немцы в этих боях потеряли более 200 солдат и офицеров. Кроме того, сожжено 3 танка и 10 автомашин оккупантов.</w:t>
      </w:r>
    </w:p>
    <w:p w14:paraId="59F76539"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партизан под командованием тов. Н., действующий в одном из оккупированных немцами районов Калининской области, совершил налёт на железнодорожную станцию. Партизаны истребили 72 гитлеровца, сожгли склад горючего, 42 вагона и 7 автомашин. Советские патриоты захватили у противника пулемёт, 18 винтовок, несколько ящиков с патронами и другое военное снаряжение.</w:t>
      </w:r>
    </w:p>
    <w:p w14:paraId="02F315A0"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Немецкому ефрейтору Якобу Майеру пишут из Оберцоллинга: «На той неделе сбежали ещё два француза, один из них работал у нас, другой у соседа. Теперь у нас остался только один из четырёх, которых нам дали с самого начала... Французы всё думают о том, как бы удрать отсюда. Они хотят домой, во Францию. Кто же будет у нас работать, если французы разбегутся?..»</w:t>
      </w:r>
    </w:p>
    <w:p w14:paraId="42914D67"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Патриоты Польши на одной из станций выпустили бензин из трёх железнодорожных цистерн и подожгли его. Сгорел весь состав и немецкий склад с обмундированием. В другом районе немецкий транспортный самолёт сделал вынужденную посадку. Патриоты уничтожили экипаж и взорвали немецкий самолёт.» (14960).</w:t>
      </w:r>
    </w:p>
    <w:p w14:paraId="5B533DB0" w14:textId="77777777" w:rsidR="00495961" w:rsidRPr="001E2C69" w:rsidRDefault="00495961" w:rsidP="00722885">
      <w:pPr>
        <w:spacing w:after="0" w:line="240" w:lineRule="auto"/>
        <w:jc w:val="both"/>
        <w:rPr>
          <w:rFonts w:ascii="Times New Roman" w:hAnsi="Times New Roman"/>
          <w:color w:val="000000" w:themeColor="text1"/>
          <w:sz w:val="16"/>
          <w:szCs w:val="16"/>
        </w:rPr>
      </w:pPr>
    </w:p>
    <w:p w14:paraId="23726E8B" w14:textId="66F56B2D" w:rsidR="00344FD4" w:rsidRPr="001E2C69" w:rsidRDefault="00344FD4" w:rsidP="00722885">
      <w:pPr>
        <w:pStyle w:val="af"/>
        <w:spacing w:before="0" w:after="0"/>
        <w:jc w:val="both"/>
        <w:textAlignment w:val="baseline"/>
        <w:rPr>
          <w:color w:val="000000" w:themeColor="text1"/>
          <w:sz w:val="16"/>
          <w:szCs w:val="16"/>
        </w:rPr>
      </w:pPr>
      <w:r w:rsidRPr="001E2C69">
        <w:rPr>
          <w:color w:val="000000" w:themeColor="text1"/>
          <w:sz w:val="16"/>
          <w:szCs w:val="16"/>
        </w:rPr>
        <w:t>22 июля 1942 шесть Ил-2 из 504-го шап майора Ф.</w:t>
      </w:r>
      <w:r w:rsidR="001E2C69">
        <w:rPr>
          <w:color w:val="000000" w:themeColor="text1"/>
          <w:sz w:val="16"/>
          <w:szCs w:val="16"/>
        </w:rPr>
        <w:t xml:space="preserve">   </w:t>
      </w:r>
      <w:r w:rsidRPr="001E2C69">
        <w:rPr>
          <w:color w:val="000000" w:themeColor="text1"/>
          <w:sz w:val="16"/>
          <w:szCs w:val="16"/>
        </w:rPr>
        <w:t>З.</w:t>
      </w:r>
      <w:r w:rsidR="001E2C69">
        <w:rPr>
          <w:color w:val="000000" w:themeColor="text1"/>
          <w:sz w:val="16"/>
          <w:szCs w:val="16"/>
        </w:rPr>
        <w:t xml:space="preserve">   </w:t>
      </w:r>
      <w:r w:rsidRPr="001E2C69">
        <w:rPr>
          <w:color w:val="000000" w:themeColor="text1"/>
          <w:sz w:val="16"/>
          <w:szCs w:val="16"/>
        </w:rPr>
        <w:t>Болдырихина под прикрытием истребителей Як-1 произвели первый из последовавшей затем длинной серии налетов на Морозовскую. Согласно советским данным, первым над аэродромом появилось звено Яков, которое, свалившись со стороны солнца, сначала атаковало патрульные Bf-109, а потом сбило три пытавшихся взлететь по тревоге мессера.</w:t>
      </w:r>
    </w:p>
    <w:p w14:paraId="780789A8" w14:textId="77777777" w:rsidR="00344FD4" w:rsidRPr="001E2C69" w:rsidRDefault="00344FD4" w:rsidP="00722885">
      <w:pPr>
        <w:pStyle w:val="af"/>
        <w:spacing w:before="0" w:after="0"/>
        <w:jc w:val="both"/>
        <w:textAlignment w:val="baseline"/>
        <w:rPr>
          <w:color w:val="000000" w:themeColor="text1"/>
          <w:sz w:val="16"/>
          <w:szCs w:val="16"/>
        </w:rPr>
      </w:pPr>
      <w:r w:rsidRPr="001E2C69">
        <w:rPr>
          <w:color w:val="000000" w:themeColor="text1"/>
          <w:sz w:val="16"/>
          <w:szCs w:val="16"/>
        </w:rPr>
        <w:t>Вслед за этим на малой высоте появилось шесть штурмовиков. Невзирая на бешеный огонь зенитных орудий, Илы сбросили на предполагаемые стоянки самолетов фугасные и осколочные бомбы, а также дали залп реактивных снарядов. По итогам налета пилоты отчитались о якобы двадцати семи уничтоженных Ju-52. При этом собственные потери атакующих составили два Ил-2 и один Як-1 (19522).</w:t>
      </w:r>
    </w:p>
    <w:p w14:paraId="5438F6F4" w14:textId="77777777" w:rsidR="00344FD4" w:rsidRPr="001E2C69" w:rsidRDefault="00344FD4" w:rsidP="00722885">
      <w:pPr>
        <w:pStyle w:val="af"/>
        <w:spacing w:before="0" w:after="0"/>
        <w:jc w:val="both"/>
        <w:textAlignment w:val="baseline"/>
        <w:rPr>
          <w:color w:val="000000" w:themeColor="text1"/>
          <w:sz w:val="16"/>
          <w:szCs w:val="16"/>
        </w:rPr>
      </w:pPr>
    </w:p>
    <w:p w14:paraId="2866D17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Между 22 июля 1942 и 22 августа Лахденпохья - главную базу немецко-финско-итальянской Ладожской флотилии - бомбили 20 ДБ и 9 СБ, 22 августа - 22 сентября - 12 ДБ и 3 СБ, 22 сентября - 22 октября - 4 ДБ и 3 СБ, после 22 октября - 3 ДБ. Налеты советской авиации (в них также принимали участие МБР-2 авиагруппы Ладожской флотилии) значительно затруднили действия вражеских военно-морских сил на озере. Швейцарский историк Ю. Майстер, занимавшийся изучением боевых действий на морских, озерных и речных театрах Великой Отечественной, по этому поводу писал: "54-я истребительная эскадра полностью занималась тем, что обороняла боевые паромы (имелись в виду паромы Зибеля немецкой Ладожской флотилии) во время монтажа на верфи, а затем их базы. Из-за тяжелых боев в районе Ленинградского котла и на Волховском фронте немецкой авиации не удалось добиться над морем превосходства в воздухе... Только во время некоторых наступательных операций в течение дня паромам могло быть предоставлено более или менее достаточное прикрытие истребителями, в то время как торпедные катера и прибрежные минные заградители без прикрытия истребителями могли проводить операции лишь ночью. Русские бомбардировщики каждую ночь бомбили базы союзников (немцев, финнов и итальянцев) и добивались разрушений, при этом имелись человеческие жертвы... Ночные налеты советской авиации обычно совершались одиночными самолетами старой конструкции и в основном были направлены на Сортанлахти и Кякисалми. За период с 18 августа по 22 октября в Сортанлахти воздушные тревоги объявляли 127 раз, причем в 45 случаях следовали налеты бомбардировщиков. ПВО в различных финских портах осуществлялась лишь при помощи пулеметов и 40-мм орудий и потому не могла действовать успешно". Насколько известно, в результате этого "бомбового прессинга" нашим не удалось окончательно уничтожить ни одного вражеского корабля, но в том, что противнику не удалось сорвать перевозки по ладожской "Дороге жизни", есть вклад летчиков 1-го гмтап (12002).</w:t>
      </w:r>
    </w:p>
    <w:p w14:paraId="0B7ED8D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51675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22 июля по 22 августа 1942 состоялась Мгинская операция по предотвращению нового наступления на Ленинград. Ничего не достигли, но 18 немецкую армию измотали (2438,398).</w:t>
      </w:r>
    </w:p>
    <w:p w14:paraId="79F5D65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2C6C6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июля 1942 г. в бою севернее Новочеркасска 14 отдельный гвардейский минометный дивизион Москвина двумя залпами прямой наводкой уничтожил 11 танков, по одному на установку, тогда как хорошим считалось поражение двух-трех. Иногда гвардейцы-минометчики оставались единственной силой, способной оказать врагу организованное сопротивление. Это заставило командующего фронтом Р.Я. Малиновского создать на базе таких частей Подвижную механизированную группу (ПМГ) во главе с командующим ГМЧ А.И. Нестеренко. В нее вошли три полка и дивизион БМ-13, посаженная на автомобили 176-я стрелковая дивизия, сводный танковый батальон, зенитный и противотанковый артиллерийские дивизионы. Подобных подразделений ни до, ни после того больше не было. Отлично сражались и мотострелки, и танкисты, а зенитчики при господстве немецкой авиации сумели обеспечить чистое небо над ПМГ. (Дело в том, что у летчиков “люфтваффе” возник так называемый “синдром последнего дня войны” (проще говоря, никто не хотел умирать), и, когда 30 июля один за другим сбили два “Юнкерса”, немецкие пилоты перестали летать в зону зенитного огня или сбрасывали бомбы неприцельно с больших высот.). Главная же нагрузка легла на огневиков (9632).</w:t>
      </w:r>
    </w:p>
    <w:p w14:paraId="2E473FB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647EA9" w14:textId="77777777" w:rsidR="00AE7191" w:rsidRPr="001E2C69" w:rsidRDefault="00AE7191" w:rsidP="00722885">
      <w:pPr>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noProof/>
          <w:color w:val="000000" w:themeColor="text1"/>
          <w:sz w:val="16"/>
          <w:szCs w:val="16"/>
        </w:rPr>
        <w:t xml:space="preserve">22 июля </w:t>
      </w:r>
      <w:r w:rsidRPr="001E2C69">
        <w:rPr>
          <w:rFonts w:ascii="Times New Roman" w:hAnsi="Times New Roman"/>
          <w:color w:val="000000" w:themeColor="text1"/>
          <w:sz w:val="16"/>
          <w:szCs w:val="16"/>
        </w:rPr>
        <w:t xml:space="preserve">1942 </w:t>
      </w:r>
      <w:r w:rsidRPr="001E2C69">
        <w:rPr>
          <w:rFonts w:ascii="Times New Roman" w:hAnsi="Times New Roman"/>
          <w:noProof/>
          <w:color w:val="000000" w:themeColor="text1"/>
          <w:sz w:val="16"/>
          <w:szCs w:val="16"/>
        </w:rPr>
        <w:t xml:space="preserve">на перехват </w:t>
      </w:r>
      <w:r w:rsidRPr="001E2C69">
        <w:rPr>
          <w:rFonts w:ascii="Times New Roman" w:hAnsi="Times New Roman"/>
          <w:color w:val="000000" w:themeColor="text1"/>
          <w:sz w:val="16"/>
          <w:szCs w:val="16"/>
        </w:rPr>
        <w:t>высотного разведчика</w:t>
      </w:r>
      <w:r w:rsidRPr="001E2C69">
        <w:rPr>
          <w:rFonts w:ascii="Times New Roman" w:hAnsi="Times New Roman"/>
          <w:noProof/>
          <w:color w:val="000000" w:themeColor="text1"/>
          <w:sz w:val="16"/>
          <w:szCs w:val="16"/>
        </w:rPr>
        <w:t xml:space="preserve"> с аэродрома Бекетовка </w:t>
      </w:r>
      <w:r w:rsidRPr="001E2C69">
        <w:rPr>
          <w:rFonts w:ascii="Times New Roman" w:hAnsi="Times New Roman"/>
          <w:color w:val="000000" w:themeColor="text1"/>
          <w:sz w:val="16"/>
          <w:szCs w:val="16"/>
        </w:rPr>
        <w:t xml:space="preserve">(Сталинград) </w:t>
      </w:r>
      <w:r w:rsidRPr="001E2C69">
        <w:rPr>
          <w:rFonts w:ascii="Times New Roman" w:hAnsi="Times New Roman"/>
          <w:noProof/>
          <w:color w:val="000000" w:themeColor="text1"/>
          <w:sz w:val="16"/>
          <w:szCs w:val="16"/>
        </w:rPr>
        <w:t xml:space="preserve">поднялся летчик 439-го ИАП ПВО ст. л-т Козлов. Он настиг </w:t>
      </w:r>
      <w:r w:rsidRPr="001E2C69">
        <w:rPr>
          <w:rFonts w:ascii="Times New Roman" w:hAnsi="Times New Roman"/>
          <w:color w:val="000000" w:themeColor="text1"/>
          <w:sz w:val="16"/>
          <w:szCs w:val="16"/>
          <w:lang w:val="en-US"/>
        </w:rPr>
        <w:t>Ju</w:t>
      </w:r>
      <w:r w:rsidRPr="001E2C69">
        <w:rPr>
          <w:rFonts w:ascii="Times New Roman" w:hAnsi="Times New Roman"/>
          <w:noProof/>
          <w:color w:val="000000" w:themeColor="text1"/>
          <w:sz w:val="16"/>
          <w:szCs w:val="16"/>
        </w:rPr>
        <w:t>88 на высоте 8000 м и атаковал его с дистанции 200-300 м. Но на такой даль</w:t>
      </w:r>
      <w:r w:rsidRPr="001E2C69">
        <w:rPr>
          <w:rFonts w:ascii="Times New Roman" w:hAnsi="Times New Roman"/>
          <w:noProof/>
          <w:color w:val="000000" w:themeColor="text1"/>
          <w:sz w:val="16"/>
          <w:szCs w:val="16"/>
        </w:rPr>
        <w:softHyphen/>
        <w:t>ности два пулемета БС его МиГ-3 были неэффективны, патро</w:t>
      </w:r>
      <w:r w:rsidRPr="001E2C69">
        <w:rPr>
          <w:rFonts w:ascii="Times New Roman" w:hAnsi="Times New Roman"/>
          <w:noProof/>
          <w:color w:val="000000" w:themeColor="text1"/>
          <w:sz w:val="16"/>
          <w:szCs w:val="16"/>
        </w:rPr>
        <w:softHyphen/>
        <w:t>ны кончились, и тогда Козлов пошел на таран. Враг пытался уйти пикированием, разогнавшись до 650 км/ч, но оторваться не смог, и МиГ-3 врезался винтом в его стабилизатор. От удара Козлов потерял сознание, когда пришел в себя, увидел, что его «МиГ» едва держится на скорости 150-170 км/ч, тогда он про</w:t>
      </w:r>
      <w:r w:rsidRPr="001E2C69">
        <w:rPr>
          <w:rFonts w:ascii="Times New Roman" w:hAnsi="Times New Roman"/>
          <w:noProof/>
          <w:color w:val="000000" w:themeColor="text1"/>
          <w:sz w:val="16"/>
          <w:szCs w:val="16"/>
        </w:rPr>
        <w:softHyphen/>
        <w:t>извел посадку в поле на шасси. «Юнкере» ушел в сторону Миллерово. Падения его никто не видел, лишь колхозники нашли большие куски стабилизатора</w:t>
      </w:r>
      <w:r w:rsidRPr="001E2C69">
        <w:rPr>
          <w:rFonts w:ascii="Times New Roman" w:hAnsi="Times New Roman"/>
          <w:color w:val="000000" w:themeColor="text1"/>
          <w:sz w:val="16"/>
          <w:szCs w:val="16"/>
        </w:rPr>
        <w:t xml:space="preserve"> (11938)</w:t>
      </w:r>
      <w:r w:rsidRPr="001E2C69">
        <w:rPr>
          <w:rFonts w:ascii="Times New Roman" w:hAnsi="Times New Roman"/>
          <w:noProof/>
          <w:color w:val="000000" w:themeColor="text1"/>
          <w:sz w:val="16"/>
          <w:szCs w:val="16"/>
        </w:rPr>
        <w:t>.</w:t>
      </w:r>
    </w:p>
    <w:p w14:paraId="705C0D28" w14:textId="77777777" w:rsidR="00AE7191" w:rsidRPr="001E2C69" w:rsidRDefault="00AE7191" w:rsidP="00722885">
      <w:pPr>
        <w:autoSpaceDE w:val="0"/>
        <w:autoSpaceDN w:val="0"/>
        <w:adjustRightInd w:val="0"/>
        <w:spacing w:after="0" w:line="240" w:lineRule="auto"/>
        <w:jc w:val="both"/>
        <w:rPr>
          <w:rFonts w:ascii="Times New Roman" w:hAnsi="Times New Roman"/>
          <w:noProof/>
          <w:color w:val="000000" w:themeColor="text1"/>
          <w:sz w:val="16"/>
          <w:szCs w:val="16"/>
        </w:rPr>
      </w:pPr>
    </w:p>
    <w:p w14:paraId="1671A9C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22 июля в ночь на 23 июля 1942 командование 8-го авиакорпуса Люфтваффе решило начать постановку мин на Волге, одновременно произведя налет на Сталинград. Около полуночи по местному времени в городе была объявлена воздушная тревога. Вслед за этим в 00.15 появились первые самолеты, исполнявшие роль цельфиндеров. Они сбросили зажигательные бомбы таким образом, что очаги пожаров обозначили прямоугольник, в который попала вся северная промзона города. После этого двадцать Ju-88 из I. и III./KG51 «Эдельвейс» атаковали Сталинградский тракторный завод, сбросив на него 40 фугасных бомб SC500. В результате были частично разрушены несколько цехов, убит 21 и ранены 85 человек. Возникшие пожары команды МПВО и прибывшие автонасосы тушили до утра. В это же время старшина поста ВНОС И. Ситников, находясь на боевом дежурстве в районе поселка Ступинский Яр, услышал гул самолетов, идущих над Волгой. Он слышался несколько минут, после чего постепенно стих. Сделав записи в журнале наблюдений и указав время, Ситников напряженно вглядывался в июльское небо и вдруг заметил на фоне звезд несколько парашютов, опускающихся прямо на Волгу. Сначала он подумал, что немцы выбросили десант, но, внимательно присмотревшись, увидел, что к парашютам прицеплены предметы цилиндрической формы. Вскоре послышались тихие всплески и зловещие «подарки» быстро погрузились в воду. «Мины!» – осенило старшину, и он тут же побежал к ближайшему телефону докладывать об увиденном. И действительно, одновременно с налетом эскадры KG51 на Сталинград несколько групп Не-111 из KG55 сбросили на парашютах донные мины в районе Горного Балыклея и на участке Солдники – Черный Яр. Смертоносные металлические цилиндры плавно опустились на дно и замерли в ожидании своих жертв. Это была очевидная попытка блокировать подходы к Сталинграду, как с </w:t>
      </w:r>
      <w:r w:rsidRPr="001E2C69">
        <w:rPr>
          <w:rFonts w:ascii="Times New Roman" w:hAnsi="Times New Roman"/>
          <w:color w:val="000000" w:themeColor="text1"/>
          <w:sz w:val="16"/>
          <w:szCs w:val="16"/>
        </w:rPr>
        <w:lastRenderedPageBreak/>
        <w:t>верхнего, так и нижнего плесов реки (11774).</w:t>
      </w:r>
    </w:p>
    <w:p w14:paraId="218BD11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E18BB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июля 1942 ТКА-61 вышел для атаки порта Анапа в сопровождении ТКА-12 и ТКА-81. После того, как с отрядом встретился МБР-2ВУ, с ТКА-61 сняли экипаж и управление передали на самолёт. Под огнём немецкой артиллерии водитель с него вывел катер на цель, но в 300 - 400 м от головы мола ТКА-61 неожиданно взорвался. Вероятно, он столкнулся с каким-то препятствием, поскольку команды на взрыв не давалось. Последний оставшийся в распоряжении флота радиоуправляемый торпедный катер ТКА-41 использовали 16 декабря 1943 г. в еще одном набеге на Камыш-Бурун. Но и на этот раз в полутора милях от косы Камыш- Бурун ТКА-41 взорвался и затонул (12003).</w:t>
      </w:r>
    </w:p>
    <w:p w14:paraId="66B8D67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07C8C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состоянию на 22 ию</w:t>
      </w:r>
      <w:r w:rsidRPr="001E2C69">
        <w:rPr>
          <w:rFonts w:ascii="Times New Roman" w:hAnsi="Times New Roman"/>
          <w:color w:val="000000" w:themeColor="text1"/>
          <w:sz w:val="16"/>
          <w:szCs w:val="16"/>
        </w:rPr>
        <w:softHyphen/>
        <w:t>ля 1942 г. в составе 62-й авиабригады насчитывалось 15 И-15бис (из них четыре находились в ремонте) (12294).</w:t>
      </w:r>
    </w:p>
    <w:p w14:paraId="31AD58D3"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2355FC8"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За рубежом:</w:t>
      </w:r>
    </w:p>
    <w:p w14:paraId="34A8604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74A753"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июля 1942 поставлен первые истребители ВВС армии США Lockheed P-38F Молния 14 истребительной группы их Преск Айл, штат Мэн, для Соединенного Королевства через Исландию . Они стали первыми истребителями, пересекшими Атлантический океан (20793).</w:t>
      </w:r>
    </w:p>
    <w:p w14:paraId="6244016D" w14:textId="77777777" w:rsidR="001D66FE" w:rsidRPr="001E2C69" w:rsidRDefault="001D66FE" w:rsidP="00722885">
      <w:pPr>
        <w:spacing w:after="0" w:line="240" w:lineRule="auto"/>
        <w:jc w:val="both"/>
        <w:rPr>
          <w:rFonts w:ascii="Times New Roman" w:hAnsi="Times New Roman"/>
          <w:color w:val="000000" w:themeColor="text1"/>
          <w:sz w:val="16"/>
          <w:szCs w:val="16"/>
        </w:rPr>
      </w:pPr>
    </w:p>
    <w:p w14:paraId="65F7B07A"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марта 1942 г. начался запуск воздушных шаров из района порта Гарвич (Harwich). Наибольший успех был достигнут 12 июля 1942 г., когда трос аэростата вывел из строя 110 кВ линию электропередачи под Лейпцигом, что повлекло за собой пожар на электростанции, общий ущерб от которого составил 1 млн фунтов стерлингов. Досталось и нейтралам. Так, в ночь с 19 на 20 января 1944 г. неуправляемый аэростат нарушил освещение железной дороги Лунд–Фалькенберг (Швеция), что привело к столкновению двух поездов. Атаки продолжались до сентября 1944 г. Всего было выпущено 99 142 автоматических аэростата, большая часть которых — 53 543 —снаряжалась зажигательными бомбами. Общие затраты на операцию составили 220 тыс. фунтов стерлингов (22756).</w:t>
      </w:r>
    </w:p>
    <w:p w14:paraId="6A3A1827" w14:textId="77777777" w:rsidR="001D66FE" w:rsidRPr="001E2C69" w:rsidRDefault="001D66FE" w:rsidP="00722885">
      <w:pPr>
        <w:spacing w:after="0" w:line="240" w:lineRule="auto"/>
        <w:jc w:val="both"/>
        <w:rPr>
          <w:rFonts w:ascii="Times New Roman" w:hAnsi="Times New Roman"/>
          <w:color w:val="000000" w:themeColor="text1"/>
          <w:sz w:val="16"/>
          <w:szCs w:val="16"/>
        </w:rPr>
      </w:pPr>
    </w:p>
    <w:p w14:paraId="3A82A830"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июля 1942 г. в сражении у Эль-Аламейна (Египет) расчет гренадера Г. Хальма из 104-го гренадерского полка из Pak.36(r) – переделки грабинской Ф-22 - в течение нескольких минут уничтожил девять английских танков. В 1942 г. немцы переделали 358 Ф-22 в 7,62-см Pak.36(r), в 1943 г. —169, и в 1944 г. — 33. Было начато и массовое производство боеприпасов. Наши солдаты не без основания называли пушку Pak.36(r) «гадюкой» или «коброй». Несколько десятков пушек Pak.36(r) было захвачено советскими войсками под Сталинградом. Часть трофейных «гадюк» поступила на вооружение наших истребительно-противотанковых дивизионов. Руководство ГАУ даже рассматривало вопрос о запуске в производство 76-мм Pak.36(r). Но Грабин отказался, поскольку он уже проектировал более мощные системы (15117).</w:t>
      </w:r>
    </w:p>
    <w:p w14:paraId="417B00D8" w14:textId="77777777" w:rsidR="00495961" w:rsidRPr="001E2C69" w:rsidRDefault="00495961" w:rsidP="00722885">
      <w:pPr>
        <w:spacing w:after="0" w:line="240" w:lineRule="auto"/>
        <w:jc w:val="both"/>
        <w:rPr>
          <w:rFonts w:ascii="Times New Roman" w:hAnsi="Times New Roman"/>
          <w:color w:val="000000" w:themeColor="text1"/>
          <w:sz w:val="16"/>
          <w:szCs w:val="16"/>
        </w:rPr>
      </w:pPr>
    </w:p>
    <w:p w14:paraId="26DC3C48"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июля 1942 началась депортация евреев из Варшавского гетто в концлагеря (4962).</w:t>
      </w:r>
    </w:p>
    <w:p w14:paraId="6A015984"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D4021B"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июля 1942 началась депортация евреев из Варшавского гетто в лагерь смерти Треблинка (4963 ).</w:t>
      </w:r>
    </w:p>
    <w:p w14:paraId="7061A7E3"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72A6C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lang w:val="en-US"/>
        </w:rPr>
        <w:t>July 22 1942 First deportations from Warsaw Ghetto to concentration camps; Treblinka extermination camp opened (1050).</w:t>
      </w:r>
    </w:p>
    <w:p w14:paraId="6273F42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56B803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июля 1942 состоялась первая депортация евреев из Варшавского гетто в концлагеря. Открылся лагерь Треблинка (1050).</w:t>
      </w:r>
    </w:p>
    <w:p w14:paraId="5822D9A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05D348"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июля 1942 президент США Ф. Рузвельт заявил, что открытие второго фронта до конца этого года невозможно (4962).</w:t>
      </w:r>
    </w:p>
    <w:p w14:paraId="168760A7"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93A4EE"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июля 1942 в США введены карточки на горючее (4962).</w:t>
      </w:r>
    </w:p>
    <w:p w14:paraId="552B3C7D"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BC752D"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Авиапромышленность:</w:t>
      </w:r>
    </w:p>
    <w:p w14:paraId="36E8438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732F0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1942 Зам. Нач. 7 ГУ Алексеев в письме Нач. особой группы при НКАП Фирсаеву указывал, что в письме НИИ ВВС, полученном 7 ГУ находилась просьба направить в НИИ ВВС подлинники утвержденных отчетов по гос. испытаниям серийных Ил-2 АМ-38 N 2611 и 1904, которые находятся у А.И.Ш. (1684,166).</w:t>
      </w:r>
    </w:p>
    <w:p w14:paraId="68E077C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603C1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1942 И.В.С. направил ГИ ВВС А.К.Репину эскизный проект одноместного бронированного ш с АМ-38 МШ, главной особенностью которого являлось решение проблемы обзора вниз под углом 24 гр. (вместо 8 гр. на Ил-2). Несмотря на положительное заключение НИИ ВВС дальнейшие работы показали, что значительно превышена расчетная масса и снижены ЛТД. работы прекратили (3846,17).</w:t>
      </w:r>
    </w:p>
    <w:p w14:paraId="34EE825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0C309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1942 года Шахурин писал письмо N Н-20/2846 Сталину.</w:t>
      </w:r>
    </w:p>
    <w:p w14:paraId="17B0953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порядке информации докладываю: по плану опытного строительства 1941 года конструктором Сухим П.О. выпущен одноместный бронированный штурмовик Су-6 с мотором М-71 (взлетной мощностью 2000 л.с. и мощностью на высоте 2250 м - 1800 л.с.), который согласно акта государственных испытаний НИИ ВВС показал следующие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E2C69" w:rsidRPr="001E2C69" w14:paraId="199169B9" w14:textId="77777777" w:rsidTr="00CC5360">
        <w:tc>
          <w:tcPr>
            <w:tcW w:w="5636" w:type="dxa"/>
            <w:tcBorders>
              <w:top w:val="single" w:sz="12" w:space="0" w:color="auto"/>
            </w:tcBorders>
          </w:tcPr>
          <w:p w14:paraId="6C58B3E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максимальная скорость у земли</w:t>
            </w:r>
          </w:p>
        </w:tc>
        <w:tc>
          <w:tcPr>
            <w:tcW w:w="5636" w:type="dxa"/>
            <w:tcBorders>
              <w:top w:val="single" w:sz="12" w:space="0" w:color="auto"/>
            </w:tcBorders>
          </w:tcPr>
          <w:p w14:paraId="21FA476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445 км/час</w:t>
            </w:r>
          </w:p>
        </w:tc>
      </w:tr>
      <w:tr w:rsidR="001E2C69" w:rsidRPr="001E2C69" w14:paraId="6DC82377" w14:textId="77777777" w:rsidTr="00CC5360">
        <w:tc>
          <w:tcPr>
            <w:tcW w:w="5636" w:type="dxa"/>
          </w:tcPr>
          <w:p w14:paraId="7A919FF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максимальная скорость на форсаже</w:t>
            </w:r>
          </w:p>
        </w:tc>
        <w:tc>
          <w:tcPr>
            <w:tcW w:w="5636" w:type="dxa"/>
          </w:tcPr>
          <w:p w14:paraId="3FB3BF8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496 км/час</w:t>
            </w:r>
          </w:p>
        </w:tc>
      </w:tr>
      <w:tr w:rsidR="001E2C69" w:rsidRPr="001E2C69" w14:paraId="38A6935A" w14:textId="77777777" w:rsidTr="00CC5360">
        <w:tc>
          <w:tcPr>
            <w:tcW w:w="5636" w:type="dxa"/>
          </w:tcPr>
          <w:p w14:paraId="3205829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максимальная скорость на высоте</w:t>
            </w:r>
          </w:p>
        </w:tc>
        <w:tc>
          <w:tcPr>
            <w:tcW w:w="5636" w:type="dxa"/>
          </w:tcPr>
          <w:p w14:paraId="1870C0F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55BE3F06" w14:textId="77777777" w:rsidTr="00CC5360">
        <w:tc>
          <w:tcPr>
            <w:tcW w:w="5636" w:type="dxa"/>
          </w:tcPr>
          <w:p w14:paraId="696FA73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2500 м</w:t>
            </w:r>
          </w:p>
        </w:tc>
        <w:tc>
          <w:tcPr>
            <w:tcW w:w="5636" w:type="dxa"/>
          </w:tcPr>
          <w:p w14:paraId="7B6E68F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491 км/час</w:t>
            </w:r>
          </w:p>
        </w:tc>
      </w:tr>
      <w:tr w:rsidR="001E2C69" w:rsidRPr="001E2C69" w14:paraId="4C5990C2" w14:textId="77777777" w:rsidTr="00CC5360">
        <w:tc>
          <w:tcPr>
            <w:tcW w:w="5636" w:type="dxa"/>
          </w:tcPr>
          <w:p w14:paraId="7E849AE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дальность на 0,9 максимальной</w:t>
            </w:r>
          </w:p>
        </w:tc>
        <w:tc>
          <w:tcPr>
            <w:tcW w:w="5636" w:type="dxa"/>
          </w:tcPr>
          <w:p w14:paraId="4038567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73B8F324" w14:textId="77777777" w:rsidTr="00CC5360">
        <w:tc>
          <w:tcPr>
            <w:tcW w:w="5636" w:type="dxa"/>
          </w:tcPr>
          <w:p w14:paraId="23133C8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скорости</w:t>
            </w:r>
          </w:p>
        </w:tc>
        <w:tc>
          <w:tcPr>
            <w:tcW w:w="5636" w:type="dxa"/>
          </w:tcPr>
          <w:p w14:paraId="340660B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450 км</w:t>
            </w:r>
          </w:p>
        </w:tc>
      </w:tr>
      <w:tr w:rsidR="001E2C69" w:rsidRPr="001E2C69" w14:paraId="5FB9F095" w14:textId="77777777" w:rsidTr="00CC5360">
        <w:tc>
          <w:tcPr>
            <w:tcW w:w="5636" w:type="dxa"/>
          </w:tcPr>
          <w:p w14:paraId="1954A1C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вооружение</w:t>
            </w:r>
          </w:p>
        </w:tc>
        <w:tc>
          <w:tcPr>
            <w:tcW w:w="5636" w:type="dxa"/>
          </w:tcPr>
          <w:p w14:paraId="5ECFAA0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4EE89421" w14:textId="77777777" w:rsidTr="00CC5360">
        <w:tc>
          <w:tcPr>
            <w:tcW w:w="5636" w:type="dxa"/>
          </w:tcPr>
          <w:p w14:paraId="7B4F668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пушки калибра 23 мм</w:t>
            </w:r>
          </w:p>
        </w:tc>
        <w:tc>
          <w:tcPr>
            <w:tcW w:w="5636" w:type="dxa"/>
          </w:tcPr>
          <w:p w14:paraId="301C760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230 снарядов</w:t>
            </w:r>
          </w:p>
        </w:tc>
      </w:tr>
      <w:tr w:rsidR="001E2C69" w:rsidRPr="001E2C69" w14:paraId="62F1DEEE" w14:textId="77777777" w:rsidTr="00CC5360">
        <w:tc>
          <w:tcPr>
            <w:tcW w:w="5636" w:type="dxa"/>
          </w:tcPr>
          <w:p w14:paraId="4B87888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пулемета калибра 7,62 мм</w:t>
            </w:r>
          </w:p>
        </w:tc>
        <w:tc>
          <w:tcPr>
            <w:tcW w:w="5636" w:type="dxa"/>
          </w:tcPr>
          <w:p w14:paraId="298EB63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300 патронов</w:t>
            </w:r>
          </w:p>
        </w:tc>
      </w:tr>
      <w:tr w:rsidR="001E2C69" w:rsidRPr="001E2C69" w14:paraId="7ED4727E" w14:textId="77777777" w:rsidTr="00CC5360">
        <w:tc>
          <w:tcPr>
            <w:tcW w:w="5636" w:type="dxa"/>
          </w:tcPr>
          <w:p w14:paraId="7402471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балок РС-132 или РС-82</w:t>
            </w:r>
          </w:p>
        </w:tc>
        <w:tc>
          <w:tcPr>
            <w:tcW w:w="5636" w:type="dxa"/>
          </w:tcPr>
          <w:p w14:paraId="166D6BF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47C66682" w14:textId="77777777" w:rsidTr="00CC5360">
        <w:tc>
          <w:tcPr>
            <w:tcW w:w="5636" w:type="dxa"/>
          </w:tcPr>
          <w:p w14:paraId="373944B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Нормальная бомбовая нагрузка 200 кг при емкости</w:t>
            </w:r>
          </w:p>
        </w:tc>
        <w:tc>
          <w:tcPr>
            <w:tcW w:w="5636" w:type="dxa"/>
          </w:tcPr>
          <w:p w14:paraId="2B0DB43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4DA13843" w14:textId="77777777" w:rsidTr="00CC5360">
        <w:tc>
          <w:tcPr>
            <w:tcW w:w="5636" w:type="dxa"/>
          </w:tcPr>
          <w:p w14:paraId="2157779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бомбоотсека - 400 кг</w:t>
            </w:r>
          </w:p>
        </w:tc>
        <w:tc>
          <w:tcPr>
            <w:tcW w:w="5636" w:type="dxa"/>
          </w:tcPr>
          <w:p w14:paraId="3393F16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0C04C41C" w14:textId="77777777" w:rsidTr="00CC5360">
        <w:tc>
          <w:tcPr>
            <w:tcW w:w="5636" w:type="dxa"/>
          </w:tcPr>
          <w:p w14:paraId="3CF84A7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Предусмотрена подвеска под крыльями 2 бомб по</w:t>
            </w:r>
          </w:p>
        </w:tc>
        <w:tc>
          <w:tcPr>
            <w:tcW w:w="5636" w:type="dxa"/>
          </w:tcPr>
          <w:p w14:paraId="1C4E89A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34ED5EB9" w14:textId="77777777" w:rsidTr="00CC5360">
        <w:tc>
          <w:tcPr>
            <w:tcW w:w="5636" w:type="dxa"/>
            <w:tcBorders>
              <w:bottom w:val="single" w:sz="12" w:space="0" w:color="auto"/>
            </w:tcBorders>
          </w:tcPr>
          <w:p w14:paraId="2DE42F3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100 кг или 2 ВАП-200.</w:t>
            </w:r>
          </w:p>
        </w:tc>
        <w:tc>
          <w:tcPr>
            <w:tcW w:w="5636" w:type="dxa"/>
            <w:tcBorders>
              <w:bottom w:val="single" w:sz="12" w:space="0" w:color="auto"/>
            </w:tcBorders>
          </w:tcPr>
          <w:p w14:paraId="25F4A1B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1157A63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технике пилотирования самолет прост и доступен летчикам средней квалификации, имеет хорошую устойчивость и допускает полет с брошенной ручкой на всех режимах. Нагрузки на рули и элероны велики. Бронирование кабины летчика и фонаря осуществляется аналогично самолету Ил-2. Задняя крышка мотора с агрегатами забронирована, цилиндры мотора не забронированы (927,307).</w:t>
      </w:r>
    </w:p>
    <w:p w14:paraId="6A91537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3CE0B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1942 А.И.Ш. писал письмо года N Н-20/2847 И.В.Сталину.</w:t>
      </w:r>
    </w:p>
    <w:p w14:paraId="0E8695F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порядке информации докладываю: по плану опытного строительства 1941 года, конструктором Поликарповым выпущен одноместный истребитель И-185 с мотором М-71 (взлетной мощностью 2000 л.с. и мощностью на высоте 5000 м - 1700 л.с.), который, согласно отчета по совместным заводским и государственным испытаниям показал следующие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889"/>
        <w:gridCol w:w="1383"/>
      </w:tblGrid>
      <w:tr w:rsidR="001E2C69" w:rsidRPr="001E2C69" w14:paraId="29A173A7" w14:textId="77777777" w:rsidTr="00CC5360">
        <w:tc>
          <w:tcPr>
            <w:tcW w:w="9889" w:type="dxa"/>
            <w:tcBorders>
              <w:top w:val="single" w:sz="12" w:space="0" w:color="auto"/>
            </w:tcBorders>
          </w:tcPr>
          <w:p w14:paraId="5C330BE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полетный вес</w:t>
            </w:r>
          </w:p>
        </w:tc>
        <w:tc>
          <w:tcPr>
            <w:tcW w:w="1383" w:type="dxa"/>
            <w:tcBorders>
              <w:top w:val="single" w:sz="12" w:space="0" w:color="auto"/>
            </w:tcBorders>
          </w:tcPr>
          <w:p w14:paraId="2D5B7B9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3480 кг</w:t>
            </w:r>
          </w:p>
        </w:tc>
      </w:tr>
      <w:tr w:rsidR="001E2C69" w:rsidRPr="001E2C69" w14:paraId="7BD55434" w14:textId="77777777" w:rsidTr="00CC5360">
        <w:tc>
          <w:tcPr>
            <w:tcW w:w="9889" w:type="dxa"/>
          </w:tcPr>
          <w:p w14:paraId="31DE83B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максимальная скорость у земли</w:t>
            </w:r>
          </w:p>
        </w:tc>
        <w:tc>
          <w:tcPr>
            <w:tcW w:w="1383" w:type="dxa"/>
          </w:tcPr>
          <w:p w14:paraId="406EF5B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521 км/час</w:t>
            </w:r>
          </w:p>
        </w:tc>
      </w:tr>
      <w:tr w:rsidR="001E2C69" w:rsidRPr="001E2C69" w14:paraId="38F152D2" w14:textId="77777777" w:rsidTr="00CC5360">
        <w:tc>
          <w:tcPr>
            <w:tcW w:w="9889" w:type="dxa"/>
          </w:tcPr>
          <w:p w14:paraId="420C503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максимальная скорость на высоте</w:t>
            </w:r>
          </w:p>
        </w:tc>
        <w:tc>
          <w:tcPr>
            <w:tcW w:w="1383" w:type="dxa"/>
          </w:tcPr>
          <w:p w14:paraId="6D6E3B9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0EF33C58" w14:textId="77777777" w:rsidTr="00CC5360">
        <w:tc>
          <w:tcPr>
            <w:tcW w:w="9889" w:type="dxa"/>
          </w:tcPr>
          <w:p w14:paraId="1D030E0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500 м с форсажем</w:t>
            </w:r>
          </w:p>
        </w:tc>
        <w:tc>
          <w:tcPr>
            <w:tcW w:w="1383" w:type="dxa"/>
          </w:tcPr>
          <w:p w14:paraId="193E87F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556 км/час</w:t>
            </w:r>
          </w:p>
        </w:tc>
      </w:tr>
      <w:tr w:rsidR="001E2C69" w:rsidRPr="001E2C69" w14:paraId="563A1925" w14:textId="77777777" w:rsidTr="00CC5360">
        <w:tc>
          <w:tcPr>
            <w:tcW w:w="9889" w:type="dxa"/>
          </w:tcPr>
          <w:p w14:paraId="245EAA2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максимальная скорость на высоте</w:t>
            </w:r>
          </w:p>
        </w:tc>
        <w:tc>
          <w:tcPr>
            <w:tcW w:w="1383" w:type="dxa"/>
          </w:tcPr>
          <w:p w14:paraId="5EB1634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2EFB8B30" w14:textId="77777777" w:rsidTr="00CC5360">
        <w:tc>
          <w:tcPr>
            <w:tcW w:w="9889" w:type="dxa"/>
          </w:tcPr>
          <w:p w14:paraId="0DE37A6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6170 м</w:t>
            </w:r>
          </w:p>
        </w:tc>
        <w:tc>
          <w:tcPr>
            <w:tcW w:w="1383" w:type="dxa"/>
          </w:tcPr>
          <w:p w14:paraId="6ADCAD9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630 км/час</w:t>
            </w:r>
          </w:p>
        </w:tc>
      </w:tr>
      <w:tr w:rsidR="001E2C69" w:rsidRPr="001E2C69" w14:paraId="2AC3F95E" w14:textId="77777777" w:rsidTr="00CC5360">
        <w:tc>
          <w:tcPr>
            <w:tcW w:w="9889" w:type="dxa"/>
          </w:tcPr>
          <w:p w14:paraId="03177F7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Вооружение нормальное</w:t>
            </w:r>
          </w:p>
        </w:tc>
        <w:tc>
          <w:tcPr>
            <w:tcW w:w="1383" w:type="dxa"/>
          </w:tcPr>
          <w:p w14:paraId="3782AA1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0BE076A5" w14:textId="77777777" w:rsidTr="00CC5360">
        <w:tc>
          <w:tcPr>
            <w:tcW w:w="9889" w:type="dxa"/>
          </w:tcPr>
          <w:p w14:paraId="3B4260C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пулемета калибра 12,7 мм</w:t>
            </w:r>
          </w:p>
        </w:tc>
        <w:tc>
          <w:tcPr>
            <w:tcW w:w="1383" w:type="dxa"/>
          </w:tcPr>
          <w:p w14:paraId="7C8816D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550 патронов</w:t>
            </w:r>
          </w:p>
        </w:tc>
      </w:tr>
      <w:tr w:rsidR="001E2C69" w:rsidRPr="001E2C69" w14:paraId="74DB065B" w14:textId="77777777" w:rsidTr="00CC5360">
        <w:tc>
          <w:tcPr>
            <w:tcW w:w="9889" w:type="dxa"/>
          </w:tcPr>
          <w:p w14:paraId="3D34514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2 пулемета калибра 7,62 мм</w:t>
            </w:r>
          </w:p>
        </w:tc>
        <w:tc>
          <w:tcPr>
            <w:tcW w:w="1383" w:type="dxa"/>
          </w:tcPr>
          <w:p w14:paraId="1B1E4F7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1500 патронов</w:t>
            </w:r>
          </w:p>
        </w:tc>
      </w:tr>
      <w:tr w:rsidR="001E2C69" w:rsidRPr="001E2C69" w14:paraId="6B107D81" w14:textId="77777777" w:rsidTr="00CC5360">
        <w:tc>
          <w:tcPr>
            <w:tcW w:w="9889" w:type="dxa"/>
          </w:tcPr>
          <w:p w14:paraId="118FBC8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Вооружение в перегрузку</w:t>
            </w:r>
          </w:p>
        </w:tc>
        <w:tc>
          <w:tcPr>
            <w:tcW w:w="1383" w:type="dxa"/>
          </w:tcPr>
          <w:p w14:paraId="523F8CF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32560DA2" w14:textId="77777777" w:rsidTr="00CC5360">
        <w:tc>
          <w:tcPr>
            <w:tcW w:w="9889" w:type="dxa"/>
          </w:tcPr>
          <w:p w14:paraId="72ABB58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Бомбы 500 кг или 8РС-82.</w:t>
            </w:r>
          </w:p>
        </w:tc>
        <w:tc>
          <w:tcPr>
            <w:tcW w:w="1383" w:type="dxa"/>
          </w:tcPr>
          <w:p w14:paraId="405FB2A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72E0C2FA" w14:textId="77777777" w:rsidTr="00CC5360">
        <w:tc>
          <w:tcPr>
            <w:tcW w:w="9889" w:type="dxa"/>
          </w:tcPr>
          <w:p w14:paraId="2A55CC9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Этот же самолет И-185 с мотором М-82 на совместных заводских и государственных испытаниях показал следующие данные по скоростям:</w:t>
            </w:r>
          </w:p>
        </w:tc>
        <w:tc>
          <w:tcPr>
            <w:tcW w:w="1383" w:type="dxa"/>
          </w:tcPr>
          <w:p w14:paraId="3896239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041D9D1E" w14:textId="77777777" w:rsidTr="00CC5360">
        <w:tc>
          <w:tcPr>
            <w:tcW w:w="9889" w:type="dxa"/>
          </w:tcPr>
          <w:p w14:paraId="33A4F09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максимальная скорость у земли</w:t>
            </w:r>
          </w:p>
        </w:tc>
        <w:tc>
          <w:tcPr>
            <w:tcW w:w="1383" w:type="dxa"/>
          </w:tcPr>
          <w:p w14:paraId="59AE05B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515 км/час</w:t>
            </w:r>
          </w:p>
        </w:tc>
      </w:tr>
      <w:tr w:rsidR="001E2C69" w:rsidRPr="001E2C69" w14:paraId="7A5EC5A3" w14:textId="77777777" w:rsidTr="00CC5360">
        <w:tc>
          <w:tcPr>
            <w:tcW w:w="9889" w:type="dxa"/>
          </w:tcPr>
          <w:p w14:paraId="7F21296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максимальная скорость на высоте</w:t>
            </w:r>
          </w:p>
        </w:tc>
        <w:tc>
          <w:tcPr>
            <w:tcW w:w="1383" w:type="dxa"/>
          </w:tcPr>
          <w:p w14:paraId="363DC29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1E2C69" w14:paraId="58BA137B" w14:textId="77777777" w:rsidTr="00CC5360">
        <w:tc>
          <w:tcPr>
            <w:tcW w:w="9889" w:type="dxa"/>
          </w:tcPr>
          <w:p w14:paraId="20D0F38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200 м с форсажем</w:t>
            </w:r>
          </w:p>
        </w:tc>
        <w:tc>
          <w:tcPr>
            <w:tcW w:w="1383" w:type="dxa"/>
          </w:tcPr>
          <w:p w14:paraId="0B1C537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549 км/час</w:t>
            </w:r>
          </w:p>
        </w:tc>
      </w:tr>
      <w:tr w:rsidR="001E2C69" w:rsidRPr="001E2C69" w14:paraId="5CBDDB5E" w14:textId="77777777" w:rsidTr="00CC5360">
        <w:tc>
          <w:tcPr>
            <w:tcW w:w="9889" w:type="dxa"/>
          </w:tcPr>
          <w:p w14:paraId="758A321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максимальная скорость на высоте</w:t>
            </w:r>
          </w:p>
        </w:tc>
        <w:tc>
          <w:tcPr>
            <w:tcW w:w="1383" w:type="dxa"/>
          </w:tcPr>
          <w:p w14:paraId="51AFB4F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1E2C69" w14:paraId="19D93EF5" w14:textId="77777777" w:rsidTr="00CC5360">
        <w:tc>
          <w:tcPr>
            <w:tcW w:w="9889" w:type="dxa"/>
            <w:tcBorders>
              <w:bottom w:val="single" w:sz="12" w:space="0" w:color="auto"/>
            </w:tcBorders>
          </w:tcPr>
          <w:p w14:paraId="7A95801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6470 м</w:t>
            </w:r>
          </w:p>
        </w:tc>
        <w:tc>
          <w:tcPr>
            <w:tcW w:w="1383" w:type="dxa"/>
            <w:tcBorders>
              <w:bottom w:val="single" w:sz="12" w:space="0" w:color="auto"/>
            </w:tcBorders>
          </w:tcPr>
          <w:p w14:paraId="54609FA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615 км/час (927,311)</w:t>
            </w:r>
          </w:p>
        </w:tc>
      </w:tr>
    </w:tbl>
    <w:p w14:paraId="3E50F17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23AEA0" w14:textId="77777777" w:rsidR="001D66FE" w:rsidRPr="001E2C69" w:rsidRDefault="001D66FE"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23 июля 1942 Н.И.Ш. доложил Сталину:</w:t>
      </w:r>
      <w:r w:rsidRPr="001E2C69">
        <w:rPr>
          <w:rStyle w:val="aff8"/>
          <w:rFonts w:ascii="Times New Roman" w:hAnsi="Times New Roman" w:cs="Times New Roman"/>
          <w:color w:val="000000" w:themeColor="text1"/>
        </w:rPr>
        <w:t xml:space="preserve"> </w:t>
      </w:r>
      <w:r w:rsidRPr="001E2C69">
        <w:rPr>
          <w:rStyle w:val="aff8"/>
          <w:rFonts w:ascii="Times New Roman" w:hAnsi="Times New Roman" w:cs="Times New Roman"/>
          <w:i w:val="0"/>
          <w:iCs w:val="0"/>
          <w:color w:val="000000" w:themeColor="text1"/>
        </w:rPr>
        <w:t>«В связи с начавшимся, согласно решению ГКО, серийным выпу</w:t>
      </w:r>
      <w:r w:rsidRPr="001E2C69">
        <w:rPr>
          <w:rStyle w:val="aff8"/>
          <w:rFonts w:ascii="Times New Roman" w:hAnsi="Times New Roman" w:cs="Times New Roman"/>
          <w:i w:val="0"/>
          <w:iCs w:val="0"/>
          <w:color w:val="000000" w:themeColor="text1"/>
        </w:rPr>
        <w:softHyphen/>
        <w:t>ском самолетов ЛаГГ-5 с мотором М-82 на заводе №21, в данное время отпадает целесообразность внедрения в серию не только самолета И-185 с М-82, но и само</w:t>
      </w:r>
      <w:r w:rsidRPr="001E2C69">
        <w:rPr>
          <w:rStyle w:val="aff8"/>
          <w:rFonts w:ascii="Times New Roman" w:hAnsi="Times New Roman" w:cs="Times New Roman"/>
          <w:i w:val="0"/>
          <w:iCs w:val="0"/>
          <w:color w:val="000000" w:themeColor="text1"/>
        </w:rPr>
        <w:softHyphen/>
        <w:t>лета И-185 с М-71».</w:t>
      </w:r>
      <w:r w:rsidRPr="001E2C69">
        <w:rPr>
          <w:rFonts w:ascii="Times New Roman" w:hAnsi="Times New Roman" w:cs="Times New Roman"/>
          <w:color w:val="000000" w:themeColor="text1"/>
          <w:sz w:val="16"/>
          <w:szCs w:val="16"/>
        </w:rPr>
        <w:t xml:space="preserve"> Соответственно, «от</w:t>
      </w:r>
      <w:r w:rsidRPr="001E2C69">
        <w:rPr>
          <w:rFonts w:ascii="Times New Roman" w:hAnsi="Times New Roman" w:cs="Times New Roman"/>
          <w:color w:val="000000" w:themeColor="text1"/>
          <w:sz w:val="16"/>
          <w:szCs w:val="16"/>
        </w:rPr>
        <w:softHyphen/>
        <w:t>падала целесообразность» и в разверты</w:t>
      </w:r>
      <w:r w:rsidRPr="001E2C69">
        <w:rPr>
          <w:rFonts w:ascii="Times New Roman" w:hAnsi="Times New Roman" w:cs="Times New Roman"/>
          <w:color w:val="000000" w:themeColor="text1"/>
          <w:sz w:val="16"/>
          <w:szCs w:val="16"/>
        </w:rPr>
        <w:softHyphen/>
        <w:t>вании производства моторов М-71 (со</w:t>
      </w:r>
      <w:r w:rsidRPr="001E2C69">
        <w:rPr>
          <w:rFonts w:ascii="Times New Roman" w:hAnsi="Times New Roman" w:cs="Times New Roman"/>
          <w:color w:val="000000" w:themeColor="text1"/>
          <w:sz w:val="16"/>
          <w:szCs w:val="16"/>
        </w:rPr>
        <w:softHyphen/>
        <w:t>ответственно и самолета Су-6 с ним). Во всяком случае, решение этого вопроса можно было отложить (19846).</w:t>
      </w:r>
    </w:p>
    <w:p w14:paraId="7AEEEEB0" w14:textId="77777777" w:rsidR="001D66FE" w:rsidRPr="001E2C69" w:rsidRDefault="001D66FE"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424BCEA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1942 А.И.Шахурин писал И.В.С. "В порядке информации докладываю, что по плану опытного строительства 1941 конструктором Н.Н.П. выпущен одноместный истребитель И-185 с М-71...Вооружение самолета И-185 с М-82 состоит из 3 пушек 20 мм и 500 патронов. В связи с начавшимся, согласно решению ГКО, серийным выпуском самолетов Ла-5 с М-82 на заводе 21, в данное время отпадает целесообразность внедрения в серию не только самолета И-185 М-82, но и самолета И-185 с М-71" (927,315).</w:t>
      </w:r>
    </w:p>
    <w:p w14:paraId="71448D0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E318A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1942 года нарком Шахурин доложил Сталину:</w:t>
      </w:r>
    </w:p>
    <w:p w14:paraId="3C350FFD"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порядке информации докла</w:t>
      </w:r>
      <w:r w:rsidRPr="001E2C69">
        <w:rPr>
          <w:rFonts w:ascii="Times New Roman" w:hAnsi="Times New Roman"/>
          <w:color w:val="000000" w:themeColor="text1"/>
          <w:sz w:val="16"/>
          <w:szCs w:val="16"/>
        </w:rPr>
        <w:softHyphen/>
        <w:t>дываю: по плану опытного строитель</w:t>
      </w:r>
      <w:r w:rsidRPr="001E2C69">
        <w:rPr>
          <w:rFonts w:ascii="Times New Roman" w:hAnsi="Times New Roman"/>
          <w:color w:val="000000" w:themeColor="text1"/>
          <w:sz w:val="16"/>
          <w:szCs w:val="16"/>
        </w:rPr>
        <w:softHyphen/>
        <w:t>ства 1941 года, конструктором тов. Поликарповым Н.Н. выпущен одно</w:t>
      </w:r>
      <w:r w:rsidRPr="001E2C69">
        <w:rPr>
          <w:rFonts w:ascii="Times New Roman" w:hAnsi="Times New Roman"/>
          <w:color w:val="000000" w:themeColor="text1"/>
          <w:sz w:val="16"/>
          <w:szCs w:val="16"/>
        </w:rPr>
        <w:softHyphen/>
        <w:t>местный истребитель И-185 с мо</w:t>
      </w:r>
      <w:r w:rsidRPr="001E2C69">
        <w:rPr>
          <w:rFonts w:ascii="Times New Roman" w:hAnsi="Times New Roman"/>
          <w:color w:val="000000" w:themeColor="text1"/>
          <w:sz w:val="16"/>
          <w:szCs w:val="16"/>
        </w:rPr>
        <w:softHyphen/>
        <w:t>тором М-71 (взлетной мощностью 2000 л.с. и мощностью на высоте 5000 м - 1700 л.с.), который, со</w:t>
      </w:r>
      <w:r w:rsidRPr="001E2C69">
        <w:rPr>
          <w:rFonts w:ascii="Times New Roman" w:hAnsi="Times New Roman"/>
          <w:color w:val="000000" w:themeColor="text1"/>
          <w:sz w:val="16"/>
          <w:szCs w:val="16"/>
        </w:rPr>
        <w:softHyphen/>
        <w:t>гласно отчета по совместным завод</w:t>
      </w:r>
      <w:r w:rsidRPr="001E2C69">
        <w:rPr>
          <w:rFonts w:ascii="Times New Roman" w:hAnsi="Times New Roman"/>
          <w:color w:val="000000" w:themeColor="text1"/>
          <w:sz w:val="16"/>
          <w:szCs w:val="16"/>
        </w:rPr>
        <w:softHyphen/>
        <w:t>ским и государственным испытани</w:t>
      </w:r>
      <w:r w:rsidRPr="001E2C69">
        <w:rPr>
          <w:rFonts w:ascii="Times New Roman" w:hAnsi="Times New Roman"/>
          <w:color w:val="000000" w:themeColor="text1"/>
          <w:sz w:val="16"/>
          <w:szCs w:val="16"/>
        </w:rPr>
        <w:softHyphen/>
        <w:t>ям, показал следующие данные: полетный вес - 3480 кг максимальная скорость у земли - 521 км/ч на Н=500 м с форсажем - 556 на Н=6170 м - 630, вооружение нормальное 2 пулемета 12,7 мм - 550 патр. 2 пулемета 7,62 мм - 1500 патр. вооружение в перегрузку - бомбы 500 кг или 8 РС-82. Этот же самолет И-185 с мото</w:t>
      </w:r>
      <w:r w:rsidRPr="001E2C69">
        <w:rPr>
          <w:rFonts w:ascii="Times New Roman" w:hAnsi="Times New Roman"/>
          <w:color w:val="000000" w:themeColor="text1"/>
          <w:sz w:val="16"/>
          <w:szCs w:val="16"/>
        </w:rPr>
        <w:softHyphen/>
        <w:t>ром М-82 на совместных заводс</w:t>
      </w:r>
      <w:r w:rsidRPr="001E2C69">
        <w:rPr>
          <w:rFonts w:ascii="Times New Roman" w:hAnsi="Times New Roman"/>
          <w:color w:val="000000" w:themeColor="text1"/>
          <w:sz w:val="16"/>
          <w:szCs w:val="16"/>
        </w:rPr>
        <w:softHyphen/>
        <w:t>ких и государственных испытаниях показал следующие данные по ско</w:t>
      </w:r>
      <w:r w:rsidRPr="001E2C69">
        <w:rPr>
          <w:rFonts w:ascii="Times New Roman" w:hAnsi="Times New Roman"/>
          <w:color w:val="000000" w:themeColor="text1"/>
          <w:sz w:val="16"/>
          <w:szCs w:val="16"/>
        </w:rPr>
        <w:softHyphen/>
        <w:t>ростям:</w:t>
      </w:r>
    </w:p>
    <w:p w14:paraId="5AB3309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максимальная скорость у земли - 515 км/ч на Н=200 м с форсажем - 549 на Н=6470 м - 615. Вооружение самолета И-185 с М-82 состоит из 3-х синхронных пушек кал. 20 мм с запасом сна</w:t>
      </w:r>
      <w:r w:rsidRPr="001E2C69">
        <w:rPr>
          <w:rFonts w:ascii="Times New Roman" w:hAnsi="Times New Roman"/>
          <w:color w:val="000000" w:themeColor="text1"/>
          <w:sz w:val="16"/>
          <w:szCs w:val="16"/>
        </w:rPr>
        <w:softHyphen/>
        <w:t>рядов 500 шт.</w:t>
      </w:r>
    </w:p>
    <w:p w14:paraId="275C800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связи с начавшимся, согласно решению ГОКО, серийным выпус</w:t>
      </w:r>
      <w:r w:rsidRPr="001E2C69">
        <w:rPr>
          <w:rFonts w:ascii="Times New Roman" w:hAnsi="Times New Roman"/>
          <w:color w:val="000000" w:themeColor="text1"/>
          <w:sz w:val="16"/>
          <w:szCs w:val="16"/>
        </w:rPr>
        <w:softHyphen/>
        <w:t>ком самолетов ЛаГГ-5 с мотором М-82 на заводе № 21, в данное время отпадает целесообразность внедрения в серию не только са</w:t>
      </w:r>
      <w:r w:rsidRPr="001E2C69">
        <w:rPr>
          <w:rFonts w:ascii="Times New Roman" w:hAnsi="Times New Roman"/>
          <w:color w:val="000000" w:themeColor="text1"/>
          <w:sz w:val="16"/>
          <w:szCs w:val="16"/>
        </w:rPr>
        <w:softHyphen/>
        <w:t>молета И-185 с М-82, но и самоле</w:t>
      </w:r>
      <w:r w:rsidRPr="001E2C69">
        <w:rPr>
          <w:rFonts w:ascii="Times New Roman" w:hAnsi="Times New Roman"/>
          <w:color w:val="000000" w:themeColor="text1"/>
          <w:sz w:val="16"/>
          <w:szCs w:val="16"/>
        </w:rPr>
        <w:softHyphen/>
        <w:t>та И-185 с М-71». Итак, окончательно зафиксирован</w:t>
      </w:r>
      <w:r w:rsidRPr="001E2C69">
        <w:rPr>
          <w:rFonts w:ascii="Times New Roman" w:hAnsi="Times New Roman"/>
          <w:color w:val="000000" w:themeColor="text1"/>
          <w:sz w:val="16"/>
          <w:szCs w:val="16"/>
        </w:rPr>
        <w:softHyphen/>
        <w:t>ная скорость И-185 с М-82 у земли была примерно равна скорости ЛаГГ-5, а на 2-й границе высотности превы</w:t>
      </w:r>
      <w:r w:rsidRPr="001E2C69">
        <w:rPr>
          <w:rFonts w:ascii="Times New Roman" w:hAnsi="Times New Roman"/>
          <w:color w:val="000000" w:themeColor="text1"/>
          <w:sz w:val="16"/>
          <w:szCs w:val="16"/>
        </w:rPr>
        <w:softHyphen/>
        <w:t>шала ее на 15 км/ч, что можно объяс</w:t>
      </w:r>
      <w:r w:rsidRPr="001E2C69">
        <w:rPr>
          <w:rFonts w:ascii="Times New Roman" w:hAnsi="Times New Roman"/>
          <w:color w:val="000000" w:themeColor="text1"/>
          <w:sz w:val="16"/>
          <w:szCs w:val="16"/>
        </w:rPr>
        <w:softHyphen/>
        <w:t>нить меньшей площадью крыла -15,53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xml:space="preserve"> против 17,51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xml:space="preserve"> у ЛаГГ-5 (10686).</w:t>
      </w:r>
    </w:p>
    <w:p w14:paraId="22A85E9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419CB9" w14:textId="77777777" w:rsidR="00121172" w:rsidRPr="001E2C69"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23 июля 1942, прочитав письмо своего зама по опытному самолетостроению Яковлева от 14 мая 1942 г., где он предлагает запустить И-185 в серию в Тбилиси, и углубленно изучив вопрос, Шахурин пишет Сталину: "В порядке информации докладываю, что по плану опытного строительства 1941 конструктором Н.Н. Поликарповым выпущен одноместный истребитель И-185 с М-71... В связи с начавшимся... серийным выпуском самолетов Ла-5 с М-82 на заводе 21, в данное время отпадает целесообразность внедрения в серию не только самолета И-185 М-82, но и самолета И-185 с М-71".</w:t>
      </w:r>
    </w:p>
    <w:p w14:paraId="60264530" w14:textId="77777777" w:rsidR="00121172" w:rsidRPr="001E2C69"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Так что же, как сказано в оформленном прокуратурой после войны обвинительном заключении, Шахурин действительно поставлял на вооружение ВВС Красной Армии самолеты с заведомо низкими летными данными, а прекрасные перспективные самолеты и моторы не пускал в серию?</w:t>
      </w:r>
    </w:p>
    <w:p w14:paraId="3739366D" w14:textId="77777777" w:rsidR="00121172" w:rsidRPr="001E2C69"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Требуя запуска И-185 в производство, Поликарпов утверждал, что эксплуатация М-71 на И-185 проходит без дефектов, но как мы видим, это было совсем не так: она шла "с переменным успехом". Некоторые экземпляры М-71 работали более-менее нормально, иные же - отнюдь. Вот как писал о них Шахурину начальник 8-го (моторного) Главка НКАП Поликовский:</w:t>
      </w:r>
    </w:p>
    <w:p w14:paraId="28E9D455" w14:textId="77777777" w:rsidR="00121172" w:rsidRPr="001E2C69"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"М-71 прошел 50-ти часовые совместные испытания в январе 1941 года.</w:t>
      </w:r>
    </w:p>
    <w:p w14:paraId="2D838776" w14:textId="77777777" w:rsidR="00121172" w:rsidRPr="001E2C69"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течении 1941 г. заводом №19 была изготовлена малая серия... в количестве 20 штук для доводки до 100 часового ресурса и летных испытаний на самолетах И-185 и СУ-6.</w:t>
      </w:r>
    </w:p>
    <w:p w14:paraId="29F097C1" w14:textId="77777777" w:rsidR="00121172" w:rsidRPr="001E2C69"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Общая наработка мотора М-71 в процессе доводки заводскими испытаниями до 100 часового ресурса - составляет 1563 часа. Из них проведено 4 сточасовых испытания по программе 67 МГУ, без существенных дефектов (на моторах №№4, 19, 20, 21).</w:t>
      </w:r>
    </w:p>
    <w:p w14:paraId="0DFA9172" w14:textId="77777777" w:rsidR="00121172" w:rsidRPr="001E2C69"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Летные испытания мотор М-71 проходил на 4-х экземплярах самолетов - государственные испытания самолетов И-185 и СУ-6 с мотором М-71 прошли без дефектов по мотору.</w:t>
      </w:r>
    </w:p>
    <w:p w14:paraId="60AA7D15" w14:textId="77777777" w:rsidR="00121172" w:rsidRPr="001E2C69"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На государственные испытания мотор ставился два раза:</w:t>
      </w:r>
    </w:p>
    <w:p w14:paraId="078D7117" w14:textId="77777777" w:rsidR="00121172" w:rsidRPr="001E2C69"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первом испытании (февраль - март 1942 г.) испытания проходили два мотора (№24 и №36).</w:t>
      </w:r>
    </w:p>
    <w:p w14:paraId="58382664" w14:textId="77777777" w:rsidR="00121172" w:rsidRPr="001E2C69"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Первый из них был снят с испытаний после 45 часов режимной работы, по поломке передней мотылевой шейки коленвала.</w:t>
      </w:r>
    </w:p>
    <w:p w14:paraId="7D25BC84" w14:textId="77777777" w:rsidR="00121172" w:rsidRPr="001E2C69"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Поломка произошла по причине грубой обработки отверстия под маслопроводящую трубку.</w:t>
      </w:r>
    </w:p>
    <w:p w14:paraId="2BBE0D43" w14:textId="77777777" w:rsidR="00121172" w:rsidRPr="001E2C69"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Второй мотор прошел 100 часов режимной работы, но испытания не были зачтены из-за наличия выгорания фасок на клапанах выхлопа.</w:t>
      </w:r>
    </w:p>
    <w:p w14:paraId="350FA02D" w14:textId="77777777" w:rsidR="00121172" w:rsidRPr="001E2C69"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течении апреля - мая 1942 года завод изготовил и испытал новые клапана выхлопа с увеличенной внутренней полостью охлаждения.</w:t>
      </w:r>
    </w:p>
    <w:p w14:paraId="3380BA36" w14:textId="77777777" w:rsidR="00121172" w:rsidRPr="001E2C69"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Вторые испытания были начаты в июне 1942 года. Государственные испытания проходили моторы №№36 и 38...".</w:t>
      </w:r>
    </w:p>
    <w:p w14:paraId="6C74779D" w14:textId="77777777" w:rsidR="00121172" w:rsidRPr="001E2C69" w:rsidRDefault="0012117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Надо отметить, что указанные моторы были сделаны опытным производством завода №19, где кадры и оборудование были лучше, чем у основной серийной части. Тем не менее, стабильного качества добиться не удалось. Это было написано 27 июля 1942 г., что же изменилось к весне 1943 г.? Ничего. Доводка и испытания М-71 в различных вариантах продолжалась на стендах и на опытных самолетах Ла-5, Ла-7, Су-6, Су-8 и ДВБ-102 до конца 1945 г., но безрезультатно. Этот двигатель продолжал преподносить "сюрпризы" и так и не был запущен в полноценное серийное производство, хотя на это было "убито" столько сил и средств (17737).</w:t>
      </w:r>
    </w:p>
    <w:p w14:paraId="4B1DC59C" w14:textId="77777777" w:rsidR="00121172" w:rsidRPr="001E2C69" w:rsidRDefault="00121172" w:rsidP="00722885">
      <w:pPr>
        <w:spacing w:after="0" w:line="240" w:lineRule="auto"/>
        <w:jc w:val="both"/>
        <w:rPr>
          <w:rFonts w:ascii="Times New Roman" w:hAnsi="Times New Roman"/>
          <w:color w:val="000000" w:themeColor="text1"/>
          <w:sz w:val="16"/>
          <w:szCs w:val="16"/>
        </w:rPr>
      </w:pPr>
    </w:p>
    <w:p w14:paraId="5032CA03" w14:textId="77777777" w:rsidR="00495961" w:rsidRPr="001E2C69" w:rsidRDefault="00495961" w:rsidP="00722885">
      <w:pPr>
        <w:pStyle w:val="a4"/>
        <w:rPr>
          <w:color w:val="000000" w:themeColor="text1"/>
          <w:lang w:val="ru-RU"/>
        </w:rPr>
      </w:pPr>
      <w:r w:rsidRPr="001E2C69">
        <w:rPr>
          <w:color w:val="000000" w:themeColor="text1"/>
          <w:lang w:val="ru-RU"/>
        </w:rPr>
        <w:t>23 июля 1942 г. нарком Шахурин доложил Сталину: В порядке информации докладываю: по плану опытного строительства 1941 года, структором тов. Поликарповым Н.Н. выпущен одноместный истребитель И-185 с мотором М-71 (взлетной мощностью 2000 л.с. и мощностью на высоте 5000 м — 1700 л.е.), который, согласно отчёта по совместным заводским и государственным испытаниям, показал следующие данные:</w:t>
      </w:r>
    </w:p>
    <w:p w14:paraId="477CB4D9" w14:textId="77777777" w:rsidR="00495961" w:rsidRPr="001E2C69" w:rsidRDefault="00495961" w:rsidP="00722885">
      <w:pPr>
        <w:pStyle w:val="a4"/>
        <w:tabs>
          <w:tab w:val="left" w:pos="5002"/>
        </w:tabs>
        <w:rPr>
          <w:color w:val="000000" w:themeColor="text1"/>
          <w:lang w:val="ru-RU"/>
        </w:rPr>
      </w:pPr>
      <w:r w:rsidRPr="001E2C69">
        <w:rPr>
          <w:color w:val="000000" w:themeColor="text1"/>
          <w:lang w:val="ru-RU"/>
        </w:rPr>
        <w:t>полётный вес</w:t>
      </w:r>
      <w:r w:rsidRPr="001E2C69">
        <w:rPr>
          <w:color w:val="000000" w:themeColor="text1"/>
          <w:lang w:val="ru-RU"/>
        </w:rPr>
        <w:tab/>
        <w:t>— 3480 кг</w:t>
      </w:r>
    </w:p>
    <w:p w14:paraId="1632C7EB" w14:textId="77777777" w:rsidR="00495961" w:rsidRPr="001E2C69" w:rsidRDefault="00495961" w:rsidP="00722885">
      <w:pPr>
        <w:pStyle w:val="a4"/>
        <w:tabs>
          <w:tab w:val="left" w:pos="5036"/>
        </w:tabs>
        <w:rPr>
          <w:color w:val="000000" w:themeColor="text1"/>
          <w:lang w:val="ru-RU"/>
        </w:rPr>
      </w:pPr>
      <w:r w:rsidRPr="001E2C69">
        <w:rPr>
          <w:color w:val="000000" w:themeColor="text1"/>
          <w:lang w:val="ru-RU"/>
        </w:rPr>
        <w:t>максимальная скорость у земли</w:t>
      </w:r>
      <w:r w:rsidRPr="001E2C69">
        <w:rPr>
          <w:color w:val="000000" w:themeColor="text1"/>
          <w:lang w:val="ru-RU"/>
        </w:rPr>
        <w:tab/>
        <w:t>— 521 км/ч</w:t>
      </w:r>
    </w:p>
    <w:p w14:paraId="352C491B" w14:textId="77777777" w:rsidR="00495961" w:rsidRPr="001E2C69" w:rsidRDefault="00495961" w:rsidP="00722885">
      <w:pPr>
        <w:pStyle w:val="a4"/>
        <w:tabs>
          <w:tab w:val="left" w:pos="5031"/>
        </w:tabs>
        <w:rPr>
          <w:color w:val="000000" w:themeColor="text1"/>
          <w:lang w:val="ru-RU"/>
        </w:rPr>
      </w:pPr>
      <w:r w:rsidRPr="001E2C69">
        <w:rPr>
          <w:color w:val="000000" w:themeColor="text1"/>
          <w:lang w:val="ru-RU"/>
        </w:rPr>
        <w:t>на Н=500 м с форсажом</w:t>
      </w:r>
      <w:r w:rsidRPr="001E2C69">
        <w:rPr>
          <w:color w:val="000000" w:themeColor="text1"/>
          <w:lang w:val="ru-RU"/>
        </w:rPr>
        <w:tab/>
        <w:t>— 556</w:t>
      </w:r>
    </w:p>
    <w:p w14:paraId="7EFD5643" w14:textId="77777777" w:rsidR="00495961" w:rsidRPr="001E2C69" w:rsidRDefault="00495961" w:rsidP="00722885">
      <w:pPr>
        <w:pStyle w:val="a4"/>
        <w:tabs>
          <w:tab w:val="left" w:pos="5031"/>
        </w:tabs>
        <w:rPr>
          <w:color w:val="000000" w:themeColor="text1"/>
          <w:lang w:val="ru-RU"/>
        </w:rPr>
      </w:pPr>
      <w:r w:rsidRPr="001E2C69">
        <w:rPr>
          <w:color w:val="000000" w:themeColor="text1"/>
          <w:lang w:val="ru-RU"/>
        </w:rPr>
        <w:t>на Н=6170 м</w:t>
      </w:r>
      <w:r w:rsidRPr="001E2C69">
        <w:rPr>
          <w:color w:val="000000" w:themeColor="text1"/>
          <w:lang w:val="ru-RU"/>
        </w:rPr>
        <w:tab/>
        <w:t>—630</w:t>
      </w:r>
    </w:p>
    <w:p w14:paraId="57E35727" w14:textId="77777777" w:rsidR="00495961" w:rsidRPr="001E2C69" w:rsidRDefault="00495961" w:rsidP="00722885">
      <w:pPr>
        <w:pStyle w:val="a4"/>
        <w:rPr>
          <w:color w:val="000000" w:themeColor="text1"/>
          <w:lang w:val="ru-RU"/>
        </w:rPr>
      </w:pPr>
      <w:r w:rsidRPr="001E2C69">
        <w:rPr>
          <w:color w:val="000000" w:themeColor="text1"/>
          <w:lang w:val="ru-RU"/>
        </w:rPr>
        <w:t>вооружение нормальное</w:t>
      </w:r>
    </w:p>
    <w:p w14:paraId="47935519" w14:textId="77777777" w:rsidR="00495961" w:rsidRPr="001E2C69" w:rsidRDefault="00495961" w:rsidP="00722885">
      <w:pPr>
        <w:pStyle w:val="a4"/>
        <w:tabs>
          <w:tab w:val="left" w:pos="5011"/>
        </w:tabs>
        <w:rPr>
          <w:color w:val="000000" w:themeColor="text1"/>
          <w:lang w:val="ru-RU"/>
        </w:rPr>
      </w:pPr>
      <w:r w:rsidRPr="001E2C69">
        <w:rPr>
          <w:color w:val="000000" w:themeColor="text1"/>
          <w:lang w:val="ru-RU"/>
        </w:rPr>
        <w:t>2 пулемёта 12,7 мм</w:t>
      </w:r>
      <w:r w:rsidRPr="001E2C69">
        <w:rPr>
          <w:color w:val="000000" w:themeColor="text1"/>
          <w:lang w:val="ru-RU"/>
        </w:rPr>
        <w:tab/>
        <w:t>— 550 патр.</w:t>
      </w:r>
    </w:p>
    <w:p w14:paraId="7A34896E" w14:textId="77777777" w:rsidR="00495961" w:rsidRPr="001E2C69" w:rsidRDefault="00495961" w:rsidP="00722885">
      <w:pPr>
        <w:pStyle w:val="a4"/>
        <w:tabs>
          <w:tab w:val="left" w:pos="5016"/>
        </w:tabs>
        <w:rPr>
          <w:color w:val="000000" w:themeColor="text1"/>
          <w:lang w:val="ru-RU"/>
        </w:rPr>
      </w:pPr>
      <w:r w:rsidRPr="001E2C69">
        <w:rPr>
          <w:color w:val="000000" w:themeColor="text1"/>
          <w:lang w:val="ru-RU"/>
        </w:rPr>
        <w:t>2 пулемёта 7,62 мм</w:t>
      </w:r>
      <w:r w:rsidRPr="001E2C69">
        <w:rPr>
          <w:color w:val="000000" w:themeColor="text1"/>
          <w:lang w:val="ru-RU"/>
        </w:rPr>
        <w:tab/>
        <w:t>— 1500 патр.</w:t>
      </w:r>
    </w:p>
    <w:p w14:paraId="4C8929A3" w14:textId="77777777" w:rsidR="00495961" w:rsidRPr="001E2C69" w:rsidRDefault="00495961" w:rsidP="00722885">
      <w:pPr>
        <w:pStyle w:val="a4"/>
        <w:tabs>
          <w:tab w:val="left" w:pos="5006"/>
        </w:tabs>
        <w:rPr>
          <w:color w:val="000000" w:themeColor="text1"/>
          <w:lang w:val="ru-RU"/>
        </w:rPr>
      </w:pPr>
      <w:r w:rsidRPr="001E2C69">
        <w:rPr>
          <w:color w:val="000000" w:themeColor="text1"/>
          <w:lang w:val="ru-RU"/>
        </w:rPr>
        <w:t>вооружение в перегрузку</w:t>
      </w:r>
      <w:r w:rsidRPr="001E2C69">
        <w:rPr>
          <w:color w:val="000000" w:themeColor="text1"/>
          <w:lang w:val="ru-RU"/>
        </w:rPr>
        <w:tab/>
        <w:t>— бомбы 500 кг или 8 РС-82.</w:t>
      </w:r>
    </w:p>
    <w:p w14:paraId="450F229D" w14:textId="77777777" w:rsidR="00495961" w:rsidRPr="001E2C69" w:rsidRDefault="00495961" w:rsidP="00722885">
      <w:pPr>
        <w:pStyle w:val="a4"/>
        <w:rPr>
          <w:color w:val="000000" w:themeColor="text1"/>
          <w:lang w:val="ru-RU"/>
        </w:rPr>
      </w:pPr>
      <w:r w:rsidRPr="001E2C69">
        <w:rPr>
          <w:color w:val="000000" w:themeColor="text1"/>
          <w:lang w:val="ru-RU"/>
        </w:rPr>
        <w:t>Этот же самолёт И-185 с мотором М-82 на совместных заводских и государственных испытаниях показал следующие данные по скоростям:</w:t>
      </w:r>
    </w:p>
    <w:p w14:paraId="70AFB70D" w14:textId="77777777" w:rsidR="00495961" w:rsidRPr="001E2C69" w:rsidRDefault="00495961" w:rsidP="00722885">
      <w:pPr>
        <w:pStyle w:val="a4"/>
        <w:rPr>
          <w:color w:val="000000" w:themeColor="text1"/>
          <w:lang w:val="ru-RU"/>
        </w:rPr>
      </w:pPr>
      <w:r w:rsidRPr="001E2C69">
        <w:rPr>
          <w:color w:val="000000" w:themeColor="text1"/>
          <w:lang w:val="ru-RU"/>
        </w:rPr>
        <w:t>максимальная скорость у земли</w:t>
      </w:r>
      <w:r w:rsidRPr="001E2C69">
        <w:rPr>
          <w:color w:val="000000" w:themeColor="text1"/>
          <w:lang w:val="ru-RU"/>
        </w:rPr>
        <w:tab/>
        <w:t>—515 км/ч</w:t>
      </w:r>
    </w:p>
    <w:p w14:paraId="200E5BA5" w14:textId="77777777" w:rsidR="00495961" w:rsidRPr="001E2C69" w:rsidRDefault="00495961" w:rsidP="00722885">
      <w:pPr>
        <w:pStyle w:val="a4"/>
        <w:tabs>
          <w:tab w:val="left" w:pos="5031"/>
        </w:tabs>
        <w:rPr>
          <w:color w:val="000000" w:themeColor="text1"/>
          <w:lang w:val="ru-RU"/>
        </w:rPr>
      </w:pPr>
      <w:r w:rsidRPr="001E2C69">
        <w:rPr>
          <w:color w:val="000000" w:themeColor="text1"/>
          <w:lang w:val="ru-RU"/>
        </w:rPr>
        <w:t>на Н=200 м с форсажем</w:t>
      </w:r>
      <w:r w:rsidRPr="001E2C69">
        <w:rPr>
          <w:color w:val="000000" w:themeColor="text1"/>
          <w:lang w:val="ru-RU"/>
        </w:rPr>
        <w:tab/>
        <w:t>— 549</w:t>
      </w:r>
    </w:p>
    <w:p w14:paraId="61DE8E66" w14:textId="77777777" w:rsidR="00495961" w:rsidRPr="001E2C69" w:rsidRDefault="00495961" w:rsidP="00722885">
      <w:pPr>
        <w:pStyle w:val="a4"/>
        <w:tabs>
          <w:tab w:val="left" w:pos="5036"/>
        </w:tabs>
        <w:rPr>
          <w:color w:val="000000" w:themeColor="text1"/>
          <w:lang w:val="ru-RU"/>
        </w:rPr>
      </w:pPr>
      <w:r w:rsidRPr="001E2C69">
        <w:rPr>
          <w:color w:val="000000" w:themeColor="text1"/>
          <w:lang w:val="ru-RU"/>
        </w:rPr>
        <w:t>на Н=6470 м</w:t>
      </w:r>
      <w:r w:rsidRPr="001E2C69">
        <w:rPr>
          <w:color w:val="000000" w:themeColor="text1"/>
          <w:lang w:val="ru-RU"/>
        </w:rPr>
        <w:tab/>
        <w:t>—615.</w:t>
      </w:r>
    </w:p>
    <w:p w14:paraId="3209C782" w14:textId="77777777" w:rsidR="00495961" w:rsidRPr="001E2C69" w:rsidRDefault="00495961" w:rsidP="00722885">
      <w:pPr>
        <w:pStyle w:val="a4"/>
        <w:rPr>
          <w:color w:val="000000" w:themeColor="text1"/>
          <w:lang w:val="ru-RU"/>
        </w:rPr>
      </w:pPr>
      <w:r w:rsidRPr="001E2C69">
        <w:rPr>
          <w:color w:val="000000" w:themeColor="text1"/>
          <w:lang w:val="ru-RU"/>
        </w:rPr>
        <w:t>Вооружение самолёта И-185 с М-82 состоит из 3-х синхронных пушек кал. 20 мм с запасом снарядов 500 шт.</w:t>
      </w:r>
    </w:p>
    <w:p w14:paraId="3C3781A5" w14:textId="77777777" w:rsidR="00495961" w:rsidRPr="001E2C69" w:rsidRDefault="00495961" w:rsidP="00722885">
      <w:pPr>
        <w:pStyle w:val="a4"/>
        <w:rPr>
          <w:color w:val="000000" w:themeColor="text1"/>
          <w:lang w:val="ru-RU"/>
        </w:rPr>
      </w:pPr>
      <w:r w:rsidRPr="001E2C69">
        <w:rPr>
          <w:color w:val="000000" w:themeColor="text1"/>
          <w:lang w:val="ru-RU"/>
        </w:rPr>
        <w:t>В связи с начавшимся, согласно решению ГОКО, серийным выпуском самолётов ЛаГГ-5 с мотором М-82 на заводе № 21, в данное время отпадает целесообразность внедрения в серию не только самолёта И-185 с М-82, но и самолёта И-185 с М-71» (15788).</w:t>
      </w:r>
    </w:p>
    <w:p w14:paraId="3875725B" w14:textId="77777777" w:rsidR="00495961" w:rsidRPr="001E2C69" w:rsidRDefault="00495961" w:rsidP="00722885">
      <w:pPr>
        <w:pStyle w:val="a4"/>
        <w:rPr>
          <w:color w:val="000000" w:themeColor="text1"/>
          <w:lang w:val="ru-RU"/>
        </w:rPr>
      </w:pPr>
    </w:p>
    <w:p w14:paraId="0CB0D79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1942 г. Н.Н.П. подписал «Общее заключение комиссии НКАП» по Ту-2, в котром отмечалось:</w:t>
      </w:r>
    </w:p>
    <w:p w14:paraId="774C719B"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«Самолет Ту-2, конструкции А.Н.Туполева, находит</w:t>
      </w:r>
      <w:r w:rsidRPr="001E2C69">
        <w:rPr>
          <w:rFonts w:ascii="Times New Roman" w:hAnsi="Times New Roman"/>
          <w:color w:val="000000" w:themeColor="text1"/>
          <w:sz w:val="16"/>
          <w:szCs w:val="16"/>
        </w:rPr>
        <w:softHyphen/>
        <w:t>ся в развернутом серийном производстве на заводе № 166 с выпуском до 1 самолета в день.</w:t>
      </w:r>
    </w:p>
    <w:p w14:paraId="4AAF43C4"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основании рассмотренных комиссией материа</w:t>
      </w:r>
      <w:r w:rsidRPr="001E2C69">
        <w:rPr>
          <w:rFonts w:ascii="Times New Roman" w:hAnsi="Times New Roman"/>
          <w:color w:val="000000" w:themeColor="text1"/>
          <w:sz w:val="16"/>
          <w:szCs w:val="16"/>
        </w:rPr>
        <w:softHyphen/>
        <w:t>лов можно видеть, что самолет Ту-2 превосходит по сво</w:t>
      </w:r>
      <w:r w:rsidRPr="001E2C69">
        <w:rPr>
          <w:rFonts w:ascii="Times New Roman" w:hAnsi="Times New Roman"/>
          <w:color w:val="000000" w:themeColor="text1"/>
          <w:sz w:val="16"/>
          <w:szCs w:val="16"/>
        </w:rPr>
        <w:softHyphen/>
        <w:t xml:space="preserve">им летно-тактическим данным современные серийные </w:t>
      </w:r>
      <w:r w:rsidRPr="001E2C69">
        <w:rPr>
          <w:rFonts w:ascii="Times New Roman" w:hAnsi="Times New Roman"/>
          <w:color w:val="000000" w:themeColor="text1"/>
          <w:sz w:val="16"/>
          <w:szCs w:val="16"/>
        </w:rPr>
        <w:lastRenderedPageBreak/>
        <w:t>советские и заграничные бомбардировщики.</w:t>
      </w:r>
    </w:p>
    <w:p w14:paraId="40C784C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Самолет Ту-2 обладает мощным вооружением защи</w:t>
      </w:r>
      <w:r w:rsidRPr="001E2C69">
        <w:rPr>
          <w:rFonts w:ascii="Times New Roman" w:hAnsi="Times New Roman"/>
          <w:color w:val="000000" w:themeColor="text1"/>
          <w:sz w:val="16"/>
          <w:szCs w:val="16"/>
        </w:rPr>
        <w:softHyphen/>
        <w:t>ты и нападения и имеет дальность не менее 2000 км при весе перевозимого бомбового груза - 1000 кгр.</w:t>
      </w:r>
    </w:p>
    <w:p w14:paraId="413E9B1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самолета Ту-2 на заводе № 166 доста</w:t>
      </w:r>
      <w:r w:rsidRPr="001E2C69">
        <w:rPr>
          <w:rFonts w:ascii="Times New Roman" w:hAnsi="Times New Roman"/>
          <w:color w:val="000000" w:themeColor="text1"/>
          <w:sz w:val="16"/>
          <w:szCs w:val="16"/>
        </w:rPr>
        <w:softHyphen/>
        <w:t>точно оснащено и готовится к более крупному выпуску серийных самолетов.</w:t>
      </w:r>
    </w:p>
    <w:p w14:paraId="19CFB8E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Ввиду этого комиссия считает, что при устранении основных дефектов, отмеченных в ее докладной запис</w:t>
      </w:r>
      <w:r w:rsidRPr="001E2C69">
        <w:rPr>
          <w:rFonts w:ascii="Times New Roman" w:hAnsi="Times New Roman"/>
          <w:color w:val="000000" w:themeColor="text1"/>
          <w:sz w:val="16"/>
          <w:szCs w:val="16"/>
        </w:rPr>
        <w:softHyphen/>
        <w:t>ке, самолет Ту-2 имеет все данные пойти на снабжение ВВС и успешно выполнять свои боевые задачи.</w:t>
      </w:r>
    </w:p>
    <w:p w14:paraId="50F5A566"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166 с точки зрения Комиссии имеет все ос</w:t>
      </w:r>
      <w:r w:rsidRPr="001E2C69">
        <w:rPr>
          <w:rFonts w:ascii="Times New Roman" w:hAnsi="Times New Roman"/>
          <w:color w:val="000000" w:themeColor="text1"/>
          <w:sz w:val="16"/>
          <w:szCs w:val="16"/>
        </w:rPr>
        <w:softHyphen/>
        <w:t>нования к расширению своей производственной мощ</w:t>
      </w:r>
      <w:r w:rsidRPr="001E2C69">
        <w:rPr>
          <w:rFonts w:ascii="Times New Roman" w:hAnsi="Times New Roman"/>
          <w:color w:val="000000" w:themeColor="text1"/>
          <w:sz w:val="16"/>
          <w:szCs w:val="16"/>
        </w:rPr>
        <w:softHyphen/>
        <w:t>ности и к выпуску крупной серии самолета Ту-2» (10667).</w:t>
      </w:r>
    </w:p>
    <w:p w14:paraId="7AD7235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732F3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1942 в производство завода 381 были спущены почти все чертежи Би Болховитинова (1632,265).</w:t>
      </w:r>
    </w:p>
    <w:p w14:paraId="1FE7722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1310D9"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1942 г. после завершения строительства начальник строительства завода А.С. Коробко и ди</w:t>
      </w:r>
      <w:r w:rsidRPr="001E2C69">
        <w:rPr>
          <w:rFonts w:ascii="Times New Roman" w:hAnsi="Times New Roman"/>
          <w:color w:val="000000" w:themeColor="text1"/>
          <w:sz w:val="16"/>
          <w:szCs w:val="16"/>
        </w:rPr>
        <w:softHyphen/>
        <w:t xml:space="preserve">ректор </w:t>
      </w:r>
      <w:r w:rsidRPr="001E2C69">
        <w:rPr>
          <w:rFonts w:ascii="Times New Roman" w:hAnsi="Times New Roman"/>
          <w:color w:val="000000" w:themeColor="text1"/>
          <w:sz w:val="16"/>
          <w:szCs w:val="16"/>
          <w:lang w:val="en-US"/>
        </w:rPr>
        <w:t>B</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C</w:t>
      </w:r>
      <w:r w:rsidRPr="001E2C69">
        <w:rPr>
          <w:rFonts w:ascii="Times New Roman" w:hAnsi="Times New Roman"/>
          <w:color w:val="000000" w:themeColor="text1"/>
          <w:sz w:val="16"/>
          <w:szCs w:val="16"/>
        </w:rPr>
        <w:t>. Еськов направили Народному Комиссару Внешней Торговли А.И. Микояну «Рапорт об окончании строительства, освоении и работе завода № 600»:</w:t>
      </w:r>
    </w:p>
    <w:p w14:paraId="2F79FDAB"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основании Постановления Правительства и приказа НКАП, 10-я Строительно-монтажная Контора ГУКС'а НКАП, согласно проекту и генеральной смете, в точном соответ</w:t>
      </w:r>
      <w:r w:rsidRPr="001E2C69">
        <w:rPr>
          <w:rFonts w:ascii="Times New Roman" w:hAnsi="Times New Roman"/>
          <w:color w:val="000000" w:themeColor="text1"/>
          <w:sz w:val="16"/>
          <w:szCs w:val="16"/>
        </w:rPr>
        <w:softHyphen/>
        <w:t>ствии с техническими условиями построила самолётосборочный завод, военный городок и жилищно-культурно-бытовые объекты в Западном Китае.</w:t>
      </w:r>
    </w:p>
    <w:p w14:paraId="760562BB"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Всего построено и сдано с оценкой на «отлично»:</w:t>
      </w:r>
    </w:p>
    <w:p w14:paraId="47A9A96D"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Производственных зданий — 12332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Жилых и культурно-бытовых зданий — 9911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Военный городок —5588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Внешние сети водопровода, канализации, теплофикации — 10861 погон, м. Безрельсовые дороги — 41294 погон, м. Электросети — 5300 погон, м. общим количеством: 78 зданий, искусственный водоём, аэродром и дороги на общей за</w:t>
      </w:r>
      <w:r w:rsidRPr="001E2C69">
        <w:rPr>
          <w:rFonts w:ascii="Times New Roman" w:hAnsi="Times New Roman"/>
          <w:color w:val="000000" w:themeColor="text1"/>
          <w:sz w:val="16"/>
          <w:szCs w:val="16"/>
        </w:rPr>
        <w:softHyphen/>
        <w:t>строенной площади в 120.000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52D5A06D"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Строительство завода выполнено со снижением себестоимости против утверждённых смет на 16,9% или сэкономлено 5502 тыс. руб., из которых 470 тыс. инвалютных рублей.</w:t>
      </w:r>
    </w:p>
    <w:p w14:paraId="687849AA"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Через 6 месяцев после начала строительных работ в срок, установленный Правитель</w:t>
      </w:r>
      <w:r w:rsidRPr="001E2C69">
        <w:rPr>
          <w:rFonts w:ascii="Times New Roman" w:hAnsi="Times New Roman"/>
          <w:color w:val="000000" w:themeColor="text1"/>
          <w:sz w:val="16"/>
          <w:szCs w:val="16"/>
        </w:rPr>
        <w:softHyphen/>
        <w:t>ством, прибывший в октябре месяце 1940 года коллектив завода приступил к освоению завода и в трёхмесячный срок в условиях незаконченного в полном объёме строитель</w:t>
      </w:r>
      <w:r w:rsidRPr="001E2C69">
        <w:rPr>
          <w:rFonts w:ascii="Times New Roman" w:hAnsi="Times New Roman"/>
          <w:color w:val="000000" w:themeColor="text1"/>
          <w:sz w:val="16"/>
          <w:szCs w:val="16"/>
        </w:rPr>
        <w:softHyphen/>
        <w:t>ства организовал завод. В этом же 1940 году собраны первые шесть самолётов, сог</w:t>
      </w:r>
      <w:r w:rsidRPr="001E2C69">
        <w:rPr>
          <w:rFonts w:ascii="Times New Roman" w:hAnsi="Times New Roman"/>
          <w:color w:val="000000" w:themeColor="text1"/>
          <w:sz w:val="16"/>
          <w:szCs w:val="16"/>
        </w:rPr>
        <w:softHyphen/>
        <w:t>ласно графику НКАП. Утверждённая СНК СССР, ЦК ВКП(б) и НКАП годовая программа по сборке и сдаче Наркомату Обороны СССР 143 самолётов И-16 заводом была вы</w:t>
      </w:r>
      <w:r w:rsidRPr="001E2C69">
        <w:rPr>
          <w:rFonts w:ascii="Times New Roman" w:hAnsi="Times New Roman"/>
          <w:color w:val="000000" w:themeColor="text1"/>
          <w:sz w:val="16"/>
          <w:szCs w:val="16"/>
        </w:rPr>
        <w:softHyphen/>
        <w:t>полнена досрочно на 2 месяца и 10 дней.</w:t>
      </w:r>
    </w:p>
    <w:p w14:paraId="69AEF751"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Пуск и освоение завода проведены с экономией в 10,7% или сэкономлено 575 тысяч инвалютных рублей против утверждённых Правительством смет.</w:t>
      </w:r>
    </w:p>
    <w:p w14:paraId="7852C23A"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Собранные самолёты, по заключению УВВС КА, обладали высокими лётными качест</w:t>
      </w:r>
      <w:r w:rsidRPr="001E2C69">
        <w:rPr>
          <w:rFonts w:ascii="Times New Roman" w:hAnsi="Times New Roman"/>
          <w:color w:val="000000" w:themeColor="text1"/>
          <w:sz w:val="16"/>
          <w:szCs w:val="16"/>
        </w:rPr>
        <w:softHyphen/>
        <w:t>вами, а доставка их в Союз была организована лётом.</w:t>
      </w:r>
    </w:p>
    <w:p w14:paraId="19F2292D"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Досрочно закончив годовую программу 1941 г., завод в полтора месяца провёл боль</w:t>
      </w:r>
      <w:r w:rsidRPr="001E2C69">
        <w:rPr>
          <w:rFonts w:ascii="Times New Roman" w:hAnsi="Times New Roman"/>
          <w:color w:val="000000" w:themeColor="text1"/>
          <w:sz w:val="16"/>
          <w:szCs w:val="16"/>
        </w:rPr>
        <w:softHyphen/>
        <w:t>шую работу по перестройке самолётосборочного завода на изготовление необходимых фронту остродефицитных частей к самолётам И-16, ЛАГГ-3 и ЯК-76, для чего к 1 янва</w:t>
      </w:r>
      <w:r w:rsidRPr="001E2C69">
        <w:rPr>
          <w:rFonts w:ascii="Times New Roman" w:hAnsi="Times New Roman"/>
          <w:color w:val="000000" w:themeColor="text1"/>
          <w:sz w:val="16"/>
          <w:szCs w:val="16"/>
        </w:rPr>
        <w:softHyphen/>
        <w:t>ря 1942 г. на базе построенных сооружений своими силами завод за счёт использова</w:t>
      </w:r>
      <w:r w:rsidRPr="001E2C69">
        <w:rPr>
          <w:rFonts w:ascii="Times New Roman" w:hAnsi="Times New Roman"/>
          <w:color w:val="000000" w:themeColor="text1"/>
          <w:sz w:val="16"/>
          <w:szCs w:val="16"/>
        </w:rPr>
        <w:softHyphen/>
        <w:t>ния внутренних ресурсов организовал новые цеха: агрегатно-сборочный с малярной и обойной мастерскими, слесарно-сварочный, заготовительно-медницкий, гальваничес</w:t>
      </w:r>
      <w:r w:rsidRPr="001E2C69">
        <w:rPr>
          <w:rFonts w:ascii="Times New Roman" w:hAnsi="Times New Roman"/>
          <w:color w:val="000000" w:themeColor="text1"/>
          <w:sz w:val="16"/>
          <w:szCs w:val="16"/>
        </w:rPr>
        <w:softHyphen/>
        <w:t>кий, термический и инструментальный.</w:t>
      </w:r>
    </w:p>
    <w:p w14:paraId="7A2271CB"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Проведённое на заводе № 153 испытание качества изготовленных агрегатов, подтвер</w:t>
      </w:r>
      <w:r w:rsidRPr="001E2C69">
        <w:rPr>
          <w:rFonts w:ascii="Times New Roman" w:hAnsi="Times New Roman"/>
          <w:color w:val="000000" w:themeColor="text1"/>
          <w:sz w:val="16"/>
          <w:szCs w:val="16"/>
        </w:rPr>
        <w:softHyphen/>
        <w:t>дило хорошее выполнение работ, стыковка агрегатов полностью соответствует установ</w:t>
      </w:r>
      <w:r w:rsidRPr="001E2C69">
        <w:rPr>
          <w:rFonts w:ascii="Times New Roman" w:hAnsi="Times New Roman"/>
          <w:color w:val="000000" w:themeColor="text1"/>
          <w:sz w:val="16"/>
          <w:szCs w:val="16"/>
        </w:rPr>
        <w:softHyphen/>
        <w:t>ленным техническим условиям.</w:t>
      </w:r>
    </w:p>
    <w:p w14:paraId="16747FC5"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ускорения и упрощения процесса изготовления агрегатов на заводе применен опыт наших передовых авиационных предприятий и заводов Дугласа и Вульти (т.е. американ</w:t>
      </w:r>
      <w:r w:rsidRPr="001E2C69">
        <w:rPr>
          <w:rFonts w:ascii="Times New Roman" w:hAnsi="Times New Roman"/>
          <w:color w:val="000000" w:themeColor="text1"/>
          <w:sz w:val="16"/>
          <w:szCs w:val="16"/>
        </w:rPr>
        <w:softHyphen/>
        <w:t>ская фирма «Валти»).</w:t>
      </w:r>
    </w:p>
    <w:p w14:paraId="0E566855"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Проведена большая работа по переквалификации кадров сборщиков на необходимые новые специальности, а также по подготовке кадров из местного отсталого населения.</w:t>
      </w:r>
    </w:p>
    <w:p w14:paraId="23ED4E76"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января 1942 г. завод полностью освоил изготовление частей самолётов и програм</w:t>
      </w:r>
      <w:r w:rsidRPr="001E2C69">
        <w:rPr>
          <w:rFonts w:ascii="Times New Roman" w:hAnsi="Times New Roman"/>
          <w:color w:val="000000" w:themeColor="text1"/>
          <w:sz w:val="16"/>
          <w:szCs w:val="16"/>
        </w:rPr>
        <w:softHyphen/>
        <w:t>му 1-го полугодия 1942 года выполнил на 104 % на пять дней раньше срока.</w:t>
      </w:r>
    </w:p>
    <w:p w14:paraId="61E7C694"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Проведённая реконструкция самолётосборочного завода своими силами создала все условия к превращению завода № 600 в самолётостроительный.</w:t>
      </w:r>
    </w:p>
    <w:p w14:paraId="13BA0112"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создал все необходимые культурно-бытовые условия для командированных из Союза работников и членов их семей, а также для работающих на заводе рабочих из местного населения. Имеется больница, школа 10-летка, детсад, детясли, клуб, баня- прачечная.</w:t>
      </w:r>
    </w:p>
    <w:p w14:paraId="61C7D931"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настоящее время коллектив завода располагает собственной мощной продовольст</w:t>
      </w:r>
      <w:r w:rsidRPr="001E2C69">
        <w:rPr>
          <w:rFonts w:ascii="Times New Roman" w:hAnsi="Times New Roman"/>
          <w:color w:val="000000" w:themeColor="text1"/>
          <w:sz w:val="16"/>
          <w:szCs w:val="16"/>
        </w:rPr>
        <w:softHyphen/>
        <w:t>венной и топливной базой (подсобное хозяйство и ряд предприятий пищевого производ</w:t>
      </w:r>
      <w:r w:rsidRPr="001E2C69">
        <w:rPr>
          <w:rFonts w:ascii="Times New Roman" w:hAnsi="Times New Roman"/>
          <w:color w:val="000000" w:themeColor="text1"/>
          <w:sz w:val="16"/>
          <w:szCs w:val="16"/>
        </w:rPr>
        <w:softHyphen/>
        <w:t>ства, угольная шахта).</w:t>
      </w:r>
    </w:p>
    <w:p w14:paraId="4AE41BD8"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Выпуск изделий ширпотреба: ложки, пуговицы, мыло, а также и пищевого производст</w:t>
      </w:r>
      <w:r w:rsidRPr="001E2C69">
        <w:rPr>
          <w:rFonts w:ascii="Times New Roman" w:hAnsi="Times New Roman"/>
          <w:color w:val="000000" w:themeColor="text1"/>
          <w:sz w:val="16"/>
          <w:szCs w:val="16"/>
        </w:rPr>
        <w:softHyphen/>
        <w:t>ва: колбасные, кондитерские, пиво и др. может быть увеличен и сдаваться Совсинторгу для экспортной продажи. Разрешение Наркома т. Шахурина на сдачу продукции нашего подсобного производства В/О «Совсинторг» имеется.</w:t>
      </w:r>
    </w:p>
    <w:p w14:paraId="2C0D0EA7"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Строительство и освоение завода проводилось в трудных специфических условиях от</w:t>
      </w:r>
      <w:r w:rsidRPr="001E2C69">
        <w:rPr>
          <w:rFonts w:ascii="Times New Roman" w:hAnsi="Times New Roman"/>
          <w:color w:val="000000" w:themeColor="text1"/>
          <w:sz w:val="16"/>
          <w:szCs w:val="16"/>
        </w:rPr>
        <w:softHyphen/>
        <w:t>сталой провинции Китая, оторванности завода от ближайшей жел. дор. станции на рас</w:t>
      </w:r>
      <w:r w:rsidRPr="001E2C69">
        <w:rPr>
          <w:rFonts w:ascii="Times New Roman" w:hAnsi="Times New Roman"/>
          <w:color w:val="000000" w:themeColor="text1"/>
          <w:sz w:val="16"/>
          <w:szCs w:val="16"/>
        </w:rPr>
        <w:softHyphen/>
        <w:t>стоянии 900 км, наличия на трассе двух высокогорных перевалов, на совершенно голом плато при наличии ураганных ветров и тяжёлых климатических условий (жара до 70°) и при ограниченном количестве работников, командированных из Союза. Считаем необходимым отметить большую помощь, оказанную строи</w:t>
      </w:r>
      <w:r w:rsidRPr="001E2C69">
        <w:rPr>
          <w:rFonts w:ascii="Times New Roman" w:hAnsi="Times New Roman"/>
          <w:color w:val="000000" w:themeColor="text1"/>
          <w:sz w:val="16"/>
          <w:szCs w:val="16"/>
        </w:rPr>
        <w:softHyphen/>
        <w:t>тельству и заводу со стороны аппа</w:t>
      </w:r>
      <w:r w:rsidRPr="001E2C69">
        <w:rPr>
          <w:rFonts w:ascii="Times New Roman" w:hAnsi="Times New Roman"/>
          <w:color w:val="000000" w:themeColor="text1"/>
          <w:sz w:val="16"/>
          <w:szCs w:val="16"/>
        </w:rPr>
        <w:softHyphen/>
        <w:t>рата НКВТ, ведающего Зап. Китаем, и руководства В/О «Совсинторг» по переброске грузов отечественного производства из Союза».</w:t>
      </w:r>
    </w:p>
    <w:p w14:paraId="0BF7E6B3" w14:textId="77777777" w:rsidR="00495961" w:rsidRPr="001E2C69" w:rsidRDefault="0049596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первой странице этого рапорта есть резолюция: «Надо бы работни</w:t>
      </w:r>
      <w:r w:rsidRPr="001E2C69">
        <w:rPr>
          <w:rFonts w:ascii="Times New Roman" w:hAnsi="Times New Roman"/>
          <w:color w:val="000000" w:themeColor="text1"/>
          <w:sz w:val="16"/>
          <w:szCs w:val="16"/>
        </w:rPr>
        <w:softHyphen/>
        <w:t>ков этого строительства и завода наградить. 23.</w:t>
      </w:r>
      <w:r w:rsidRPr="001E2C69">
        <w:rPr>
          <w:rFonts w:ascii="Times New Roman" w:hAnsi="Times New Roman"/>
          <w:color w:val="000000" w:themeColor="text1"/>
          <w:sz w:val="16"/>
          <w:szCs w:val="16"/>
          <w:lang w:val="en-US"/>
        </w:rPr>
        <w:t>VII</w:t>
      </w:r>
      <w:r w:rsidRPr="001E2C69">
        <w:rPr>
          <w:rFonts w:ascii="Times New Roman" w:hAnsi="Times New Roman"/>
          <w:color w:val="000000" w:themeColor="text1"/>
          <w:sz w:val="16"/>
          <w:szCs w:val="16"/>
        </w:rPr>
        <w:t>. А.Микоян» (15811).</w:t>
      </w:r>
    </w:p>
    <w:p w14:paraId="405A2630" w14:textId="77777777" w:rsidR="00495961" w:rsidRPr="001E2C69" w:rsidRDefault="00495961" w:rsidP="00722885">
      <w:pPr>
        <w:spacing w:after="0" w:line="240" w:lineRule="auto"/>
        <w:jc w:val="both"/>
        <w:rPr>
          <w:rFonts w:ascii="Times New Roman" w:hAnsi="Times New Roman"/>
          <w:color w:val="000000" w:themeColor="text1"/>
          <w:sz w:val="16"/>
          <w:szCs w:val="16"/>
        </w:rPr>
      </w:pPr>
    </w:p>
    <w:p w14:paraId="5D77CC03"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Другие оборонные отрасли:</w:t>
      </w:r>
    </w:p>
    <w:p w14:paraId="57DA815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E153BD" w14:textId="77777777" w:rsidR="00D07242" w:rsidRPr="008A2E5A" w:rsidRDefault="00D07242" w:rsidP="00D072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июля 1942 г. вышло постановление ГКО № 2078сс «О вооружении танков огнеметами».</w:t>
      </w:r>
    </w:p>
    <w:p w14:paraId="00562BA4" w14:textId="77777777" w:rsidR="00D07242" w:rsidRPr="008A2E5A" w:rsidRDefault="00D07242" w:rsidP="00D072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Обороны постановляет:</w:t>
      </w:r>
    </w:p>
    <w:p w14:paraId="04D4EBFA" w14:textId="77777777" w:rsidR="00D07242" w:rsidRPr="008A2E5A" w:rsidRDefault="00D07242" w:rsidP="00D072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Обязать Наркомтанкопром (т. Зальцмана):</w:t>
      </w:r>
    </w:p>
    <w:p w14:paraId="776D8E8A" w14:textId="77777777" w:rsidR="00D07242" w:rsidRPr="008A2E5A" w:rsidRDefault="00D07242" w:rsidP="00D072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изготовить на заводах Кировском, № 183, СТЗ и № 112 и сдать НКО (ГАБТУ КА) в III квартале 1942 г. 325 огнеметных танков:</w:t>
      </w:r>
    </w:p>
    <w:p w14:paraId="41023F9A" w14:textId="77777777" w:rsidR="00D07242" w:rsidRPr="008A2E5A" w:rsidRDefault="00D07242" w:rsidP="00D072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Завод-изготовитель</w:t>
      </w:r>
      <w:r w:rsidRPr="008A2E5A">
        <w:rPr>
          <w:rFonts w:ascii="Times New Roman" w:hAnsi="Times New Roman"/>
          <w:color w:val="0070C0"/>
          <w:sz w:val="16"/>
          <w:szCs w:val="16"/>
        </w:rPr>
        <w:tab/>
        <w:t>Тип  танка</w:t>
      </w:r>
      <w:r w:rsidRPr="008A2E5A">
        <w:rPr>
          <w:rFonts w:ascii="Times New Roman" w:hAnsi="Times New Roman"/>
          <w:color w:val="0070C0"/>
          <w:sz w:val="16"/>
          <w:szCs w:val="16"/>
        </w:rPr>
        <w:tab/>
        <w:t>Количество на III квартал</w:t>
      </w:r>
      <w:r w:rsidRPr="008A2E5A">
        <w:rPr>
          <w:rFonts w:ascii="Times New Roman" w:hAnsi="Times New Roman"/>
          <w:color w:val="0070C0"/>
          <w:sz w:val="16"/>
          <w:szCs w:val="16"/>
        </w:rPr>
        <w:tab/>
        <w:t>В том числе</w:t>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0E4EC732" w14:textId="77777777" w:rsidR="00D07242" w:rsidRPr="008A2E5A" w:rsidRDefault="00D07242" w:rsidP="00D072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июль</w:t>
      </w:r>
      <w:r w:rsidRPr="008A2E5A">
        <w:rPr>
          <w:rFonts w:ascii="Times New Roman" w:hAnsi="Times New Roman"/>
          <w:color w:val="0070C0"/>
          <w:sz w:val="16"/>
          <w:szCs w:val="16"/>
        </w:rPr>
        <w:tab/>
        <w:t>август</w:t>
      </w:r>
      <w:r w:rsidRPr="008A2E5A">
        <w:rPr>
          <w:rFonts w:ascii="Times New Roman" w:hAnsi="Times New Roman"/>
          <w:color w:val="0070C0"/>
          <w:sz w:val="16"/>
          <w:szCs w:val="16"/>
        </w:rPr>
        <w:tab/>
        <w:t>сентябрь</w:t>
      </w:r>
    </w:p>
    <w:p w14:paraId="7F3C913E" w14:textId="77777777" w:rsidR="00D07242" w:rsidRPr="008A2E5A" w:rsidRDefault="00D07242" w:rsidP="00D072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Кировский завод</w:t>
      </w:r>
      <w:r w:rsidRPr="008A2E5A">
        <w:rPr>
          <w:rFonts w:ascii="Times New Roman" w:hAnsi="Times New Roman"/>
          <w:color w:val="0070C0"/>
          <w:sz w:val="16"/>
          <w:szCs w:val="16"/>
        </w:rPr>
        <w:tab/>
        <w:t>КВ-8</w:t>
      </w:r>
      <w:r w:rsidRPr="008A2E5A">
        <w:rPr>
          <w:rFonts w:ascii="Times New Roman" w:hAnsi="Times New Roman"/>
          <w:color w:val="0070C0"/>
          <w:sz w:val="16"/>
          <w:szCs w:val="16"/>
        </w:rPr>
        <w:tab/>
        <w:t>75</w:t>
      </w:r>
      <w:r w:rsidRPr="008A2E5A">
        <w:rPr>
          <w:rFonts w:ascii="Times New Roman" w:hAnsi="Times New Roman"/>
          <w:color w:val="0070C0"/>
          <w:sz w:val="16"/>
          <w:szCs w:val="16"/>
        </w:rPr>
        <w:tab/>
        <w:t>25</w:t>
      </w:r>
      <w:r w:rsidRPr="008A2E5A">
        <w:rPr>
          <w:rFonts w:ascii="Times New Roman" w:hAnsi="Times New Roman"/>
          <w:color w:val="0070C0"/>
          <w:sz w:val="16"/>
          <w:szCs w:val="16"/>
        </w:rPr>
        <w:tab/>
        <w:t>25</w:t>
      </w:r>
      <w:r w:rsidRPr="008A2E5A">
        <w:rPr>
          <w:rFonts w:ascii="Times New Roman" w:hAnsi="Times New Roman"/>
          <w:color w:val="0070C0"/>
          <w:sz w:val="16"/>
          <w:szCs w:val="16"/>
        </w:rPr>
        <w:tab/>
        <w:t>25</w:t>
      </w:r>
    </w:p>
    <w:p w14:paraId="519CEDAF" w14:textId="77777777" w:rsidR="00D07242" w:rsidRPr="008A2E5A" w:rsidRDefault="00D07242" w:rsidP="00D072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183</w:t>
      </w:r>
      <w:r w:rsidRPr="008A2E5A">
        <w:rPr>
          <w:rFonts w:ascii="Times New Roman" w:hAnsi="Times New Roman"/>
          <w:color w:val="0070C0"/>
          <w:sz w:val="16"/>
          <w:szCs w:val="16"/>
        </w:rPr>
        <w:tab/>
        <w:t>Т-34</w:t>
      </w:r>
      <w:r w:rsidRPr="008A2E5A">
        <w:rPr>
          <w:rFonts w:ascii="Times New Roman" w:hAnsi="Times New Roman"/>
          <w:color w:val="0070C0"/>
          <w:sz w:val="16"/>
          <w:szCs w:val="16"/>
        </w:rPr>
        <w:tab/>
        <w:t>100</w:t>
      </w:r>
      <w:r w:rsidRPr="008A2E5A">
        <w:rPr>
          <w:rFonts w:ascii="Times New Roman" w:hAnsi="Times New Roman"/>
          <w:color w:val="0070C0"/>
          <w:sz w:val="16"/>
          <w:szCs w:val="16"/>
        </w:rPr>
        <w:tab/>
        <w:t>30</w:t>
      </w:r>
      <w:r w:rsidRPr="008A2E5A">
        <w:rPr>
          <w:rFonts w:ascii="Times New Roman" w:hAnsi="Times New Roman"/>
          <w:color w:val="0070C0"/>
          <w:sz w:val="16"/>
          <w:szCs w:val="16"/>
        </w:rPr>
        <w:tab/>
        <w:t>35</w:t>
      </w:r>
      <w:r w:rsidRPr="008A2E5A">
        <w:rPr>
          <w:rFonts w:ascii="Times New Roman" w:hAnsi="Times New Roman"/>
          <w:color w:val="0070C0"/>
          <w:sz w:val="16"/>
          <w:szCs w:val="16"/>
        </w:rPr>
        <w:tab/>
        <w:t>35</w:t>
      </w:r>
    </w:p>
    <w:p w14:paraId="0C573DA6" w14:textId="77777777" w:rsidR="00D07242" w:rsidRPr="008A2E5A" w:rsidRDefault="00D07242" w:rsidP="00D072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СТЗ</w:t>
      </w:r>
      <w:r w:rsidRPr="008A2E5A">
        <w:rPr>
          <w:rFonts w:ascii="Times New Roman" w:hAnsi="Times New Roman"/>
          <w:color w:val="0070C0"/>
          <w:sz w:val="16"/>
          <w:szCs w:val="16"/>
        </w:rPr>
        <w:tab/>
        <w:t>Т-34</w:t>
      </w:r>
      <w:r w:rsidRPr="008A2E5A">
        <w:rPr>
          <w:rFonts w:ascii="Times New Roman" w:hAnsi="Times New Roman"/>
          <w:color w:val="0070C0"/>
          <w:sz w:val="16"/>
          <w:szCs w:val="16"/>
        </w:rPr>
        <w:tab/>
        <w:t>90</w:t>
      </w:r>
      <w:r w:rsidRPr="008A2E5A">
        <w:rPr>
          <w:rFonts w:ascii="Times New Roman" w:hAnsi="Times New Roman"/>
          <w:color w:val="0070C0"/>
          <w:sz w:val="16"/>
          <w:szCs w:val="16"/>
        </w:rPr>
        <w:tab/>
        <w:t>30</w:t>
      </w:r>
      <w:r w:rsidRPr="008A2E5A">
        <w:rPr>
          <w:rFonts w:ascii="Times New Roman" w:hAnsi="Times New Roman"/>
          <w:color w:val="0070C0"/>
          <w:sz w:val="16"/>
          <w:szCs w:val="16"/>
        </w:rPr>
        <w:tab/>
        <w:t>30</w:t>
      </w:r>
      <w:r w:rsidRPr="008A2E5A">
        <w:rPr>
          <w:rFonts w:ascii="Times New Roman" w:hAnsi="Times New Roman"/>
          <w:color w:val="0070C0"/>
          <w:sz w:val="16"/>
          <w:szCs w:val="16"/>
        </w:rPr>
        <w:tab/>
        <w:t>30</w:t>
      </w:r>
    </w:p>
    <w:p w14:paraId="09E4D270" w14:textId="77777777" w:rsidR="00D07242" w:rsidRPr="008A2E5A" w:rsidRDefault="00D07242" w:rsidP="00D072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№112</w:t>
      </w:r>
      <w:r w:rsidRPr="008A2E5A">
        <w:rPr>
          <w:rFonts w:ascii="Times New Roman" w:hAnsi="Times New Roman"/>
          <w:color w:val="0070C0"/>
          <w:sz w:val="16"/>
          <w:szCs w:val="16"/>
        </w:rPr>
        <w:tab/>
        <w:t>Т-34</w:t>
      </w:r>
      <w:r w:rsidRPr="008A2E5A">
        <w:rPr>
          <w:rFonts w:ascii="Times New Roman" w:hAnsi="Times New Roman"/>
          <w:color w:val="0070C0"/>
          <w:sz w:val="16"/>
          <w:szCs w:val="16"/>
        </w:rPr>
        <w:tab/>
        <w:t>60</w:t>
      </w:r>
      <w:r w:rsidRPr="008A2E5A">
        <w:rPr>
          <w:rFonts w:ascii="Times New Roman" w:hAnsi="Times New Roman"/>
          <w:color w:val="0070C0"/>
          <w:sz w:val="16"/>
          <w:szCs w:val="16"/>
        </w:rPr>
        <w:tab/>
        <w:t>20</w:t>
      </w:r>
      <w:r w:rsidRPr="008A2E5A">
        <w:rPr>
          <w:rFonts w:ascii="Times New Roman" w:hAnsi="Times New Roman"/>
          <w:color w:val="0070C0"/>
          <w:sz w:val="16"/>
          <w:szCs w:val="16"/>
        </w:rPr>
        <w:tab/>
        <w:t>20</w:t>
      </w:r>
      <w:r w:rsidRPr="008A2E5A">
        <w:rPr>
          <w:rFonts w:ascii="Times New Roman" w:hAnsi="Times New Roman"/>
          <w:color w:val="0070C0"/>
          <w:sz w:val="16"/>
          <w:szCs w:val="16"/>
        </w:rPr>
        <w:tab/>
        <w:t>20</w:t>
      </w:r>
    </w:p>
    <w:p w14:paraId="2A69D0F4" w14:textId="77777777" w:rsidR="00D07242" w:rsidRPr="008A2E5A" w:rsidRDefault="00D07242" w:rsidP="00D072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w:t>
      </w:r>
      <w:r w:rsidRPr="008A2E5A">
        <w:rPr>
          <w:rFonts w:ascii="Times New Roman" w:hAnsi="Times New Roman"/>
          <w:color w:val="0070C0"/>
          <w:sz w:val="16"/>
          <w:szCs w:val="16"/>
        </w:rPr>
        <w:tab/>
      </w:r>
      <w:r w:rsidRPr="008A2E5A">
        <w:rPr>
          <w:rFonts w:ascii="Times New Roman" w:hAnsi="Times New Roman"/>
          <w:color w:val="0070C0"/>
          <w:sz w:val="16"/>
          <w:szCs w:val="16"/>
        </w:rPr>
        <w:tab/>
        <w:t>325</w:t>
      </w:r>
      <w:r w:rsidRPr="008A2E5A">
        <w:rPr>
          <w:rFonts w:ascii="Times New Roman" w:hAnsi="Times New Roman"/>
          <w:color w:val="0070C0"/>
          <w:sz w:val="16"/>
          <w:szCs w:val="16"/>
        </w:rPr>
        <w:tab/>
        <w:t>105</w:t>
      </w:r>
      <w:r w:rsidRPr="008A2E5A">
        <w:rPr>
          <w:rFonts w:ascii="Times New Roman" w:hAnsi="Times New Roman"/>
          <w:color w:val="0070C0"/>
          <w:sz w:val="16"/>
          <w:szCs w:val="16"/>
        </w:rPr>
        <w:tab/>
        <w:t>110</w:t>
      </w:r>
      <w:r w:rsidRPr="008A2E5A">
        <w:rPr>
          <w:rFonts w:ascii="Times New Roman" w:hAnsi="Times New Roman"/>
          <w:color w:val="0070C0"/>
          <w:sz w:val="16"/>
          <w:szCs w:val="16"/>
        </w:rPr>
        <w:tab/>
        <w:t>110</w:t>
      </w:r>
    </w:p>
    <w:p w14:paraId="3881F84F" w14:textId="77777777" w:rsidR="00D07242" w:rsidRPr="008A2E5A" w:rsidRDefault="00D07242" w:rsidP="00D072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изготовить на заводе № 222 в III квартале 1942 г. 450 огнеметов АТО-41 с поставкой их по месяцам:</w:t>
      </w:r>
    </w:p>
    <w:p w14:paraId="6D1FB61A" w14:textId="77777777" w:rsidR="00D07242" w:rsidRPr="008A2E5A" w:rsidRDefault="00D07242" w:rsidP="00D072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поставить ГАБТУ КА в III квартале 1942 г. с завода № 222 50 ротных комплектов запасных частей к огнеметам АТО-41 по номенклатуре, согласованной с ГАБТУ КА.</w:t>
      </w:r>
    </w:p>
    <w:p w14:paraId="749A079E" w14:textId="77777777" w:rsidR="00D07242" w:rsidRPr="008A2E5A" w:rsidRDefault="00D07242" w:rsidP="00D072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Обязать Наркомтанкопром (т. Зальцмана, директора завода № 222 (т. Пышкина) и главного конструктора завода № 222 (т. Маята) улучшить качество выпускаемых огнеметов АТО-41, особенно автоматики, обеспечив безотказную работу ее.</w:t>
      </w:r>
    </w:p>
    <w:p w14:paraId="5423221F" w14:textId="77777777" w:rsidR="00D07242" w:rsidRPr="008A2E5A" w:rsidRDefault="00D07242" w:rsidP="00D072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Наркомат боеприпасов (т. Ванникова) изготовить и сдать НКО (ГАБТУ КА) в III квартале 1942 г. 100 000 патронов к огнеметам АТО-41, в том числе в июле - 15 000, в августе - 40 000 и в сентябре - 45 000.</w:t>
      </w:r>
    </w:p>
    <w:p w14:paraId="62E0E47D" w14:textId="77777777" w:rsidR="00D07242" w:rsidRPr="008A2E5A" w:rsidRDefault="00D07242" w:rsidP="00D072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Обязать ГАБТУ КА (т. Федоренко) представить к 10 августа 1942 г. Государственному Комитету Обороны отчет об использовании огнеметных танков.</w:t>
      </w:r>
    </w:p>
    <w:p w14:paraId="68AA7875" w14:textId="77777777" w:rsidR="00D07242" w:rsidRPr="008A2E5A" w:rsidRDefault="00D07242" w:rsidP="00D072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Государственного Комитета Обороны И. Сталин</w:t>
      </w:r>
    </w:p>
    <w:p w14:paraId="6EDC13AB" w14:textId="77777777" w:rsidR="00D07242" w:rsidRPr="008A2E5A" w:rsidRDefault="00D07242" w:rsidP="00D072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Послано: тт. Молотову, Вознесенскому, Зальцману, Малышеву, Федоренко,Василевскому, Сабурову, Чадаеву - все; Пышкину - 2, Берия и Ванникову - 3.</w:t>
      </w:r>
    </w:p>
    <w:p w14:paraId="0BEB67EF" w14:textId="77777777" w:rsidR="00D07242" w:rsidRPr="00D07242" w:rsidRDefault="00D07242" w:rsidP="00D07242">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РГАСПИ</w:t>
      </w:r>
      <w:r w:rsidRPr="0016279C">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16279C">
        <w:rPr>
          <w:rFonts w:ascii="Times New Roman" w:hAnsi="Times New Roman"/>
          <w:color w:val="0070C0"/>
          <w:sz w:val="16"/>
          <w:szCs w:val="16"/>
          <w:lang w:val="en-US"/>
        </w:rPr>
        <w:t xml:space="preserve">. 644. On. 1. </w:t>
      </w:r>
      <w:r w:rsidRPr="008A2E5A">
        <w:rPr>
          <w:rFonts w:ascii="Times New Roman" w:hAnsi="Times New Roman"/>
          <w:color w:val="0070C0"/>
          <w:sz w:val="16"/>
          <w:szCs w:val="16"/>
        </w:rPr>
        <w:t>А</w:t>
      </w:r>
      <w:r w:rsidRPr="0016279C">
        <w:rPr>
          <w:rFonts w:ascii="Times New Roman" w:hAnsi="Times New Roman"/>
          <w:color w:val="0070C0"/>
          <w:sz w:val="16"/>
          <w:szCs w:val="16"/>
          <w:lang w:val="en-US"/>
        </w:rPr>
        <w:t xml:space="preserve">. 44. </w:t>
      </w:r>
      <w:r w:rsidRPr="008A2E5A">
        <w:rPr>
          <w:rFonts w:ascii="Times New Roman" w:hAnsi="Times New Roman"/>
          <w:color w:val="0070C0"/>
          <w:sz w:val="16"/>
          <w:szCs w:val="16"/>
        </w:rPr>
        <w:t>Л</w:t>
      </w:r>
      <w:r w:rsidRPr="0016279C">
        <w:rPr>
          <w:rFonts w:ascii="Times New Roman" w:hAnsi="Times New Roman"/>
          <w:color w:val="0070C0"/>
          <w:sz w:val="16"/>
          <w:szCs w:val="16"/>
          <w:lang w:val="en-US"/>
        </w:rPr>
        <w:t>. 106. 2.</w:t>
      </w:r>
      <w:r w:rsidRPr="0016279C">
        <w:rPr>
          <w:rFonts w:ascii="Times New Roman" w:hAnsi="Times New Roman"/>
          <w:color w:val="0070C0"/>
          <w:sz w:val="16"/>
          <w:szCs w:val="16"/>
          <w:lang w:val="en-US"/>
        </w:rPr>
        <w:tab/>
      </w:r>
      <w:r w:rsidRPr="008A2E5A">
        <w:rPr>
          <w:rFonts w:ascii="Times New Roman" w:hAnsi="Times New Roman"/>
          <w:color w:val="0070C0"/>
          <w:sz w:val="16"/>
          <w:szCs w:val="16"/>
        </w:rPr>
        <w:t>РГАСПИ</w:t>
      </w:r>
      <w:r w:rsidRPr="0016279C">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16279C">
        <w:rPr>
          <w:rFonts w:ascii="Times New Roman" w:hAnsi="Times New Roman"/>
          <w:color w:val="0070C0"/>
          <w:sz w:val="16"/>
          <w:szCs w:val="16"/>
          <w:lang w:val="en-US"/>
        </w:rPr>
        <w:t xml:space="preserve">. 644. On. 1. </w:t>
      </w:r>
      <w:r w:rsidRPr="008A2E5A">
        <w:rPr>
          <w:rFonts w:ascii="Times New Roman" w:hAnsi="Times New Roman"/>
          <w:color w:val="0070C0"/>
          <w:sz w:val="16"/>
          <w:szCs w:val="16"/>
        </w:rPr>
        <w:t>Д</w:t>
      </w:r>
      <w:r w:rsidRPr="00D07242">
        <w:rPr>
          <w:rFonts w:ascii="Times New Roman" w:hAnsi="Times New Roman"/>
          <w:color w:val="0070C0"/>
          <w:sz w:val="16"/>
          <w:szCs w:val="16"/>
          <w:lang w:val="en-US"/>
        </w:rPr>
        <w:t xml:space="preserve">. 46. </w:t>
      </w:r>
      <w:r w:rsidRPr="008A2E5A">
        <w:rPr>
          <w:rFonts w:ascii="Times New Roman" w:hAnsi="Times New Roman"/>
          <w:color w:val="0070C0"/>
          <w:sz w:val="16"/>
          <w:szCs w:val="16"/>
        </w:rPr>
        <w:t>Л</w:t>
      </w:r>
      <w:r w:rsidRPr="00D07242">
        <w:rPr>
          <w:rFonts w:ascii="Times New Roman" w:hAnsi="Times New Roman"/>
          <w:color w:val="0070C0"/>
          <w:sz w:val="16"/>
          <w:szCs w:val="16"/>
          <w:lang w:val="en-US"/>
        </w:rPr>
        <w:t>. 39 (23987).</w:t>
      </w:r>
    </w:p>
    <w:p w14:paraId="60FEE303" w14:textId="77777777" w:rsidR="00D07242" w:rsidRPr="00D07242" w:rsidRDefault="00D07242" w:rsidP="00D07242">
      <w:pPr>
        <w:spacing w:after="0" w:line="240" w:lineRule="auto"/>
        <w:jc w:val="both"/>
        <w:rPr>
          <w:rFonts w:ascii="Times New Roman" w:hAnsi="Times New Roman"/>
          <w:color w:val="0070C0"/>
          <w:sz w:val="16"/>
          <w:szCs w:val="16"/>
          <w:lang w:val="en-US"/>
        </w:rPr>
      </w:pPr>
    </w:p>
    <w:p w14:paraId="74A159F8"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1942 года вышел приказ № 508с НКБ</w:t>
      </w:r>
    </w:p>
    <w:p w14:paraId="6D057E18"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соответствии с Указом Президиума ВС от 21 июня 1942 года:</w:t>
      </w:r>
    </w:p>
    <w:p w14:paraId="06C35A6E"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им. Орджоникидзе Наркомата Автомобильного транспорта, находящийся в Сталинобаде Таджикской ССР принять в систему НКБ для организации на нем производства 76 мм корпусов снарядов сталистого чугуна (5905, 123-124).</w:t>
      </w:r>
    </w:p>
    <w:p w14:paraId="0F70DD3E"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E45E9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1942 года был утвержден Устав завода № 586 НКВ (9264).</w:t>
      </w:r>
    </w:p>
    <w:p w14:paraId="0F0E13F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1F978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1942 вышло Постановление ГКО № 2077 Об обеспечении автотранспортом формируемых 10 истребительно-противотанковых артиллерийских полков в Сталинградском учебно-артиллерийском центре. РГАНИР, Фонд ГКО, д. 46, лл. 38 (11012).</w:t>
      </w:r>
    </w:p>
    <w:p w14:paraId="19042E5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72B0D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1942 вышло Постановление ГКО № 2078 О вооружении танков огнеметами АТО-41 в III квартале 1942 года. РГАНИР, Фонд ГКО, д. 46, лл. 39 (11012).</w:t>
      </w:r>
    </w:p>
    <w:p w14:paraId="5AF653B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F73F45"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1942 вышло Постановление ГКО № 2079 Об упразднении Управления Ленинградской ж.д. (7045, 40).</w:t>
      </w:r>
    </w:p>
    <w:p w14:paraId="46430A17"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E6EDE6"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1942 вышло Постановление ГКО № 2080 Об упорядочении планирования дополнительных железнодорожных перевозок и создания поездов-вертушек. (7045, 41-42).</w:t>
      </w:r>
    </w:p>
    <w:p w14:paraId="7A41465A"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34D492"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1942 вышло Постановление ГКО № 2081 О заработной плате руководящих и инженерно-технических работников и рабочих заводов железнодорожного машиностроения, рабочих по ремонту подвижного состава, пути, оборудования и инвентаря, на заводах, в депо, вагоноремонтных пунктах, дистанциях пути, машинопутевых станциях, мастерских железных дорог. (7045, 43-44,45-51).</w:t>
      </w:r>
    </w:p>
    <w:p w14:paraId="46CBB1D7"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7265EB"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1942 вышло Постановление ГКО № 2083 Об обеспечении железных дорог дровами во втором полугодии 1942 года. (7045, 56-63,64-69).</w:t>
      </w:r>
    </w:p>
    <w:p w14:paraId="32BC8F8F"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DC3AB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1942 закончена постройка 11 металлических барж-"блокадок".</w:t>
      </w:r>
    </w:p>
    <w:p w14:paraId="49C5492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956D96"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Армия:</w:t>
      </w:r>
    </w:p>
    <w:p w14:paraId="6F99E15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66BC3D"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в 1942 году утреннее сообщение Совинформбюро:</w:t>
      </w:r>
    </w:p>
    <w:p w14:paraId="69507741"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23 июля наши войска вели бои с противником в районе Воронежа, а также в районах Цымлянская, Новочеркасск.</w:t>
      </w:r>
    </w:p>
    <w:p w14:paraId="4EFBE5A2"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30A55CB5"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продолжались упорные бои. Наши войска потеснили противникаи улучшили свои позиции. Наши танкисты атаковали оборонительный рубеж противника и уничтожили 3 немецких танка, 5 бронемашин, 14 автомашин, 60 подвод с грузом и до 200 гитлеровцев. На другом участке бойцы нашей части после мощной артиллерийской подготовки сломили сопротивление противника и прижали его к реке. В ожесточённой схватке уничтожено свыше 750 немецких солдат и офицеров, 6 танков, 10 орудий и много другого вооружения. Взяты пленные. Многие гитлеровцы утонули в реке.</w:t>
      </w:r>
    </w:p>
    <w:p w14:paraId="52E251F6"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Новочеркасска наши войска вели оборонительные бои. Отражая атаки немцев, наши бойцы изматывают силы врага и наносят ему большой урон. Только на участке одного подразделения в течение суток уничтожено 470 немецких солдат и офицеров, 5 танков и бронемашин, 17 автомашин с войсками и грузами. На другом участке артиллеристы отбили 4 танковые атаки противника. Немцы потеряли 17 танков и до 200 солдат и офицеров.</w:t>
      </w:r>
    </w:p>
    <w:p w14:paraId="4F6F2BC6"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Калининском фронте происходила редкая артиллерийская перестрелка и поиски разведчиков. Два разведывательных отряда под командованием старшего лейтенанта Барабанщикова и старшего лейтенанта Демченко разгромили немецкие гарнизоны впунктах Б. и П. Наши бойцы истребили более 250 солдат и офицеров, в числе которых оказался командир батальона немецкого пехотного полка. Уничтожены 2 орудия, 12 пулемётов, 3 миномёта, радиостанция и взорван склад боеприпасов противника. Захвачены трофеи и пленные. Подразделение, где командиром тов.Старинов, действующее в тылу врага, за 7 дней пустило под откос 10 железнодорожных эшелонов противника.</w:t>
      </w:r>
    </w:p>
    <w:p w14:paraId="76EF29DC"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Ленинградском фронте батарея под командованием тов. Горюнова произвела успешный огневой налёт на группу финских солдат. Убито и ранено несколько десятков белофиннов. Артиллеристы подразделения тов. Воронича уничтожили орудие противника и истребили не менее 30 гитлеровцев.</w:t>
      </w:r>
    </w:p>
    <w:p w14:paraId="5025E272"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под командованием тов. С., действующий в одном из районов Черниговской области, внезапно напал на роту немецко-фашистских оккупантов. Партизаны истребили несколько десятков гитлеровцев и захватили 8 пулемётов, 2 миномёта, 80 винтовок и боеприпасы.</w:t>
      </w:r>
    </w:p>
    <w:p w14:paraId="586CFD43"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185 полка 87 немецкой пехотной дивизии Альфонс X., поляк понациональности, рассказал: «Немцы считают всех поляков своими рабами. Десятки тысяч жителей Польши насильно увезены в Германию на принудительные работы. Польских крестьян сгоняют с земли и заставляют с раннего утра до поздней ночи работать на немцев. За малейшую провинность грозит тюрьма или концентрационный лагерь. Поляки, мобилизованные в германскую армию, не хотят воевать за Гитлера».</w:t>
      </w:r>
    </w:p>
    <w:p w14:paraId="683CE8FA"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Французские патриоты ежедневно истребляют десятки немецких оккупантов. Недавно в одном парижском кафе взрывом гранаты убито 8 немецких офицеров. В Дьеппе в городском саду обнаружены трупы четырёх немецких солдат.</w:t>
      </w:r>
    </w:p>
    <w:p w14:paraId="03C29F68"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Коллектив завода, где директором тов. Борисов, успешно борется за увеличение выпуска авиационных моторов. В цехе, которым руководит тов. Лебедь, выработка деталей увеличена в два раза». В цехе, где начальником тов. Максимов, введена одновременная шлифовка 12 деталей. Значительно сократилось время, которое затрачивается на сборку мотора.» (14961).</w:t>
      </w:r>
    </w:p>
    <w:p w14:paraId="5C6A116D" w14:textId="77777777" w:rsidR="00DD0C17" w:rsidRPr="001E2C69" w:rsidRDefault="00DD0C17" w:rsidP="00722885">
      <w:pPr>
        <w:spacing w:after="0" w:line="240" w:lineRule="auto"/>
        <w:jc w:val="both"/>
        <w:rPr>
          <w:rFonts w:ascii="Times New Roman" w:hAnsi="Times New Roman"/>
          <w:color w:val="000000" w:themeColor="text1"/>
          <w:sz w:val="16"/>
          <w:szCs w:val="16"/>
        </w:rPr>
      </w:pPr>
    </w:p>
    <w:p w14:paraId="6C2B68B9"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в 1942 году вечернее сообщение Совинформбюро:</w:t>
      </w:r>
    </w:p>
    <w:p w14:paraId="585D7126"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23 июля наши войска вели ожесточённые бои в районе Воронежа, а также в районах Цымлянская, Новочеркасск, Ростов.</w:t>
      </w:r>
    </w:p>
    <w:p w14:paraId="13CAA708"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6076AAC8"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3а 22 июля частями нашей авиации на различных участках фронта уничтожено или повреждено 32 немецких танка, 165 автомашин с войсками и грузами, 40 повозок сбоеприпасами, подавлен огонь 3 дивизионов полевой и зенитной артиллерии, взорвано 2 склада боеприпасов, повреждён транспорт и потоплен торпедный катер, рассеяно и частью уничтожено до двух рот пехоты противника.</w:t>
      </w:r>
    </w:p>
    <w:p w14:paraId="4382A26F"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продолжались бои. Потрёпанные в последнее время немецко-фашистские войска подтягивают подкрепления и всеми силами стремятся удержать захваченные ими рубежи. В течение дня на одном из участков большое число танков и пехоты противника атаковало Н-скую мотострелковую часть. Наши бойцы отбили все атаки немцев и продвинулись вперёд. На поле боя осталось несколько десятков подбитых и сожжённых танков и до 1.000 трупов солдат и офицеров противника. На другом участке подразделение старшего лейтенанта Гориловича отбило три контратаки гитлеровцев и захватило укреплённый рубеж. Немцы потеряли убитыми свыше 100 солдат и офицеров. Бронебойщики сожгли два немецких танка.</w:t>
      </w:r>
    </w:p>
    <w:p w14:paraId="059E45C2"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Цымлянской идут напряжённые бои. Советские части отбивали многочисленные атаки противника. Наши артиллеристы сожгли 4 немецких танка, уничтожили 3 самоходных орудия, 7 пулемётов и до 300 гитлеровцев. Одно подразделение наших танков прорвалось в тыл противника. Огнём и гусеницами танкисты уничтожили свыше 40 автомашин с боеприпасами, походную мастерскую и истребили 150 немецких солдат и офицеров.</w:t>
      </w:r>
    </w:p>
    <w:p w14:paraId="23E6D741"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Новочеркасска наши войска вели оборонительные бои с крупными силами танков и мотопехотой противника. Одна наша часть в течение суток отбила семь вражеских атак и уничтожила свыше 1.000 немецких солдат и офицеров. Когда создалась угроза окружения, наши бойцы по приказу командования отошли на новый рубеж. На другом участке наши бронебойщики подбили 8 немецких танков.</w:t>
      </w:r>
    </w:p>
    <w:p w14:paraId="69DC9FCB"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Калининском фронте продолжались активные действия разведывательных отрядов, Разведчики части, где командиром тов. Фёдоров, переправились через реку, вступили в бой с численно превосходящими силами противника и истребили 70 гитлеровцев. Другая группа разведчиков совершила смелый налёт на немецкий гарнизон. Отважные бойцы истребили 20 гитлеровцев, захватили нескольких немецких солдат в плен и без потерь вернулись в свою часть.</w:t>
      </w:r>
    </w:p>
    <w:p w14:paraId="4FEB1E04"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Партизаны из отряда тов. Т., действующего в тылу у противника на Северо-Западном фронте, пустили под откос немецкий воинский эшелон. Разбито семь пассажирских вагонов с войсками и семь платформ с автомашинами. Погибло 150гитлеровцев. Группа партизан этого же отряда совершила смелый налёт на немецкий гарнизон в деревне О. Советские патриоты в короткой схватке истребили 40 оккупантов, взорвали склад боеприпасов противника и захватили батальонный миномёт.</w:t>
      </w:r>
    </w:p>
    <w:p w14:paraId="09EB4F2E"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унтер-офицер 246 полка 88 немецкой дивизии Карл Ш. рассказал: «За один день наша рота потеряла убитыми и ранеными 90 человек. Нам была поставлена задача занять высоту Н., окопаться и удержать её. Когда мы уже находились на этой высоте, к нам в тыл зашли русские танки. Вскоре первый взвод роты перестал существовать, 15 солдат было убито и ранено. Всех остальных ждала такая же участь. Посоветовавшись со мной и другими солдатами, штабс-фельфебель Р. приказал сложить оружие. Все мы в количестве 17 человек сдались в плен».</w:t>
      </w:r>
    </w:p>
    <w:p w14:paraId="23495561"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Получено сообщение о новых чудовищных злодеяниях немецко-фашистских извергов. В начале июля военный комендант Курска обязал многих жителей города явиться на сборный пункт, захватив с собой продукты и лопаты. В назначенный срок собралось больше 400 человек. Немцы угнали собравшихся на строительство укреплений. Через десять дней, когда работы были закончены, гитлеровские палачи заставили вырыть ямы и расстреляли всех работавших на строительстве.</w:t>
      </w:r>
    </w:p>
    <w:p w14:paraId="4F5D3085"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Борьба югославских партизан против немецко-итальянских захватчиков продолжается с возрастающей силой. Партизанские отряды удерживают целый ряд захваченных ими городов и успешно отражают атаки итальянцев. Только в одном из боёв патриоты уничтожили свыше 300 оккупантов. Недалеко от итало-югославской границы партизаны захватили ряд пунктов на железной дороге Триест - Любляна. Итальянские самолёты подвергли жестокой бомбардировке гор. Прозор и полностью разрушили его. Убито много женщин и детей.» (14961).</w:t>
      </w:r>
    </w:p>
    <w:p w14:paraId="451B46B1" w14:textId="77777777" w:rsidR="00DD0C17" w:rsidRPr="001E2C69" w:rsidRDefault="00DD0C17" w:rsidP="00722885">
      <w:pPr>
        <w:spacing w:after="0" w:line="240" w:lineRule="auto"/>
        <w:jc w:val="both"/>
        <w:rPr>
          <w:rFonts w:ascii="Times New Roman" w:hAnsi="Times New Roman"/>
          <w:color w:val="000000" w:themeColor="text1"/>
          <w:sz w:val="16"/>
          <w:szCs w:val="16"/>
        </w:rPr>
      </w:pPr>
    </w:p>
    <w:p w14:paraId="4273CF1D"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в 1942 году верховное главное командование вооруженными силами Германии издало директиву № 45 о продолжении наступления на советско-германском фронте: группы армий «Б» — на Сталинград, группы армий «А» — на Кавказ (14961).</w:t>
      </w:r>
    </w:p>
    <w:p w14:paraId="6FDD6B11" w14:textId="77777777" w:rsidR="00DD0C17" w:rsidRPr="001E2C69" w:rsidRDefault="00DD0C17" w:rsidP="00722885">
      <w:pPr>
        <w:spacing w:after="0" w:line="240" w:lineRule="auto"/>
        <w:jc w:val="both"/>
        <w:rPr>
          <w:rFonts w:ascii="Times New Roman" w:hAnsi="Times New Roman"/>
          <w:color w:val="000000" w:themeColor="text1"/>
          <w:sz w:val="16"/>
          <w:szCs w:val="16"/>
        </w:rPr>
      </w:pPr>
    </w:p>
    <w:p w14:paraId="1C615BB8"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в 1942 году массированный авиаудар немецких ВВС по Сталинграду (14961).</w:t>
      </w:r>
    </w:p>
    <w:p w14:paraId="5E087516" w14:textId="77777777" w:rsidR="00DD0C17" w:rsidRPr="001E2C69" w:rsidRDefault="00DD0C17" w:rsidP="00722885">
      <w:pPr>
        <w:spacing w:after="0" w:line="240" w:lineRule="auto"/>
        <w:jc w:val="both"/>
        <w:rPr>
          <w:rFonts w:ascii="Times New Roman" w:hAnsi="Times New Roman"/>
          <w:color w:val="000000" w:themeColor="text1"/>
          <w:sz w:val="16"/>
          <w:szCs w:val="16"/>
        </w:rPr>
      </w:pPr>
    </w:p>
    <w:p w14:paraId="0580C5A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lang w:val="en-US"/>
        </w:rPr>
        <w:lastRenderedPageBreak/>
        <w:t>July 23, 1942: Rostov-on-Don is captured by the 1.Panzer-Armee, thus clearing the way for the advance of Armeegruppe A toward the Caucasus and Kuban region. In North Africa, fighting continues on the El Alamein front (3819).</w:t>
      </w:r>
    </w:p>
    <w:p w14:paraId="382A75E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FF9CC2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July 23 1942 Germans capture Rostov (1037).</w:t>
      </w:r>
    </w:p>
    <w:p w14:paraId="3D1AA91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D5FA4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1942 немцы захватили Ростов (1037), и открылся путь на Кавказ (3819).</w:t>
      </w:r>
    </w:p>
    <w:p w14:paraId="25EE3EB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E9E28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1942 вышла директива N 45 немецкого командования, в которой определялся дальнейший ход войны против СССР (3186).</w:t>
      </w:r>
    </w:p>
    <w:p w14:paraId="0AA4374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E9574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1942 Гитлер подписал знаменитую директиву № 45, в которой, кроме определения наступательных задач, были определены и приоритетные цели для Люфтваффе:  «Задачи авиации состоят в том, чтобы сначала крупными силами обеспечить переправу войск через Дон, затем оказать поддержку группировке, наступающей вдоль железной дороги на Тихорецк. После этого ее главные силы должны быть сосредоточены для уничтожения армии Тимошенко. Наряду с этим оказывать помощь наступлению группы армий «Б» на Сталинград и Астрахань. Особое значение имеет при этом заблаговременное разрушение города Сталинград. Кроме того, следует при случае производить налеты на Астрахань, движение судов в нижнем течении р. Волга должно быть парализовано путем сбрасывания мин… Чтобы в ближайшее время лишить противника возможности доставлять нефть с Кавказа, необходимо разрушить используемые для этой цели железные дороги, а также парализовать перевозки по Каспийскому морю». Германская авиация, наносившая удары по Сталинграду и волжскому судоходству, базировалась на аэродромах, близко выдвинутых к линии фронта. «Юнкерсы» 51-й эскадры «Эдельвейс»действовали с аэродрома в Сталино (Донецк), «Хейнкели» 2-й и 3-й групп 55-й эскадры «Грайф» – с аэродрома в Краматорске, a I./KG55 – с аэродрома Кутейниково. На 27 июля I./KG51 располагала 17 исправными Ju-88, а П. и III./KG55 – 41 Не-111. В течение суток 24 июля над территорией Сталинградского корпусного района ПВО были зафиксированы 208 самолето-пролетов противника, 25 июля – 343,26 июля – 312,27 июля – 332 и 28 июля – 337. Немецкие самолеты сбрасывали в реку мины ГМА, ГМВ и ВМ1000. Они были оборудованы различными типами взрывателей, в т.ч. акустическими. Боезаряды массой от 300 до 680 кг при взрыве гарантированно уничтожали любой тип речного судна. В течение 25—27 июля немецкие самолеты забросали этими минами Волгу на протяжении 400 км, от Камышина до села Никольского в Астраханской области. Лишь в районе Сталинграда было зафиксировано падение в фарватер около 50 мин. Одновременно с этим немецкие бомбардировщики бомбили и обстреливали суда и нефтекараваны, а также наносили удары по пристаням (11774).</w:t>
      </w:r>
    </w:p>
    <w:p w14:paraId="0AC68A1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ABCCB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1942 немецкие части нанесли удар по 62-й армии, пытаясь прорваться к Сталинграду, и к вечеру следующего дня прорвали фронт. Для восстановления положения командование Сталинградского фронта предприняло контрудар силами 13-го танкового корпуса (157 танков, из них 94 Т-34). Однако, несмотря на довольно внушительный состав, подготовка экипажей Т-34 оставляла желать лучшего. «Механики-водители танков имеют только по 35 часов вождения. Крайне необходимо, чтобы в корпусе было хотя бы 30 механиков-водителей со стажем 3050 часов», - так докладывал об этом командир корпуса.</w:t>
      </w:r>
    </w:p>
    <w:p w14:paraId="42D9BC8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Несмотря на это, 25 июля 1942 года 13-й танковый корпус нанес удар по прорвавшимся в тыл 62-й армии немецким частям, задержав их продвижение. Только 163-я танковая бригада уничтожила несколько немецких танков, захватив пять из них, потеряв при этом 16 боевых машин, из них 10 Т-34.</w:t>
      </w:r>
    </w:p>
    <w:p w14:paraId="362299D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Всего за неделю боев 13-й танковый корпус, действуя без артиллерийской и пехотной поддержки, сумел задержать немецкие наступающие части и нанести им большой урон, хотя и сам понес огромные потери. К 1 августа в его составе осталось всего 16 боеспособных танков (из 157), из них девять тридцатьчетверок. При этом был безвозвратно потерян 81 танк (из них 51 Т-34), еще 60 находились в ремонте (из них 34 Т-34). Следует сказать, что из-за отсутствия эвакуационных средств не удалось эвакуировать часть подбитых тридцатьчетверок, и их пришлось бросить на поле боя.</w:t>
      </w:r>
    </w:p>
    <w:p w14:paraId="68742D7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1942 года по директиве Ставки ВГК на Сталинградском фронте началось формирование двух танковых армий (1 и 4-я), в каждую из которых включалось два танковых корпуса, три стрелковых дивизии, четыре артиллерийских и один гвардейский минометный полк. Несмотря на то, что завершить их формирование не удалось, танковые армии своими действиями сумели задержать наступление немецких частей и не допустить разгрома войск Сталинградского фронта.</w:t>
      </w:r>
    </w:p>
    <w:p w14:paraId="4C01D53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Однако уже 25 июля 1942 года, из-за прорыва немецких войск к Калачу, 1-я танковая армия получила приказ уничтожить прорвавшегося противника и восстановить, положение.</w:t>
      </w:r>
    </w:p>
    <w:p w14:paraId="7D5DCA1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Нанесенным силами 28-го танкового корпуса (208 танков, из них 130 Т-34) 1-й танковой армии 26 июля контрударом удалось отбросить немцев на 6 — 7 км и временно восстановить положение у Калача (12217).</w:t>
      </w:r>
    </w:p>
    <w:p w14:paraId="121FB5A5"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E02902A"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ночь с 23 на 24.7.42 г. полк летал на бомбометание по Кенигсбергу. Самолет №42066 командир Пусэп, штурман Штепенко, задание не выполнил из-за сплошной облач</w:t>
      </w:r>
      <w:r w:rsidRPr="001E2C69">
        <w:rPr>
          <w:rFonts w:ascii="Times New Roman" w:hAnsi="Times New Roman"/>
          <w:color w:val="000000" w:themeColor="text1"/>
          <w:sz w:val="16"/>
          <w:szCs w:val="16"/>
        </w:rPr>
        <w:softHyphen/>
        <w:t>ности и отказа РПК-2. Обнаружить цель в таких условиях штурман не смог. В 04 час 45 мин произвел посадку на своем аэродроме с бомбами благополучно (19936).</w:t>
      </w:r>
    </w:p>
    <w:p w14:paraId="53616AC2" w14:textId="77777777" w:rsidR="001D66FE" w:rsidRPr="001E2C69" w:rsidRDefault="001D66FE" w:rsidP="00722885">
      <w:pPr>
        <w:spacing w:after="0" w:line="240" w:lineRule="auto"/>
        <w:jc w:val="both"/>
        <w:rPr>
          <w:rFonts w:ascii="Times New Roman" w:hAnsi="Times New Roman"/>
          <w:color w:val="000000" w:themeColor="text1"/>
          <w:sz w:val="16"/>
          <w:szCs w:val="16"/>
        </w:rPr>
      </w:pPr>
    </w:p>
    <w:p w14:paraId="65883F3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1942 начальник Волжского пароходства Чуянов приказал ускорить маскировочные работы на Сталинградской городской нефтебазе, расположенной на берегу Волги, около металлургического завода «Красный Октябрь». Здесь хранились десятки тысяч тонн топлива, и в случае бомбежки мог возникнуть огромный пожар. Эвакуировать эти запасы уже не было никакой возможности. Специальная саперно-маскировочная часть в срочном порядке принялась красить баки под цвет окружающей местности, а местное население, в т.ч. школьники, обваливало их землей. На предприятиях, где работа кипела круглые сутки, решением комитета обороны было введено круглосуточное дежурство ответственных руководителей (11774).</w:t>
      </w:r>
    </w:p>
    <w:p w14:paraId="36ED739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77A565"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Внешняя политика:</w:t>
      </w:r>
    </w:p>
    <w:p w14:paraId="5F10E91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CBB3B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1942 года</w:t>
      </w:r>
    </w:p>
    <w:p w14:paraId="6FBA0D1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 РУЗВЕЛЬТ И. В. СТАЛИНУ *</w:t>
      </w:r>
    </w:p>
    <w:p w14:paraId="4F95A34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Я получил Ваше послание относительно предполагаемого рекогносцировочного перелета с Аляски и совещания в Москве. Участники рекогносцировочного перелета будут находиться на Аляске и будут готовы вылететь к 1 августа. В связи с этим четырехмоторный бомбардировщик будет находиться в Номе на тот случай, если он потребуется.</w:t>
      </w:r>
    </w:p>
    <w:p w14:paraId="3AA6500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Я весьма ценю Ваше сообщение о трудностях, испытываемых на фронте с американскими танками. Нашим специалистам по танкам эта информация будет весьма полезна для устранения недостатков этого типа танков. Однако опасность пожара в будущих типах будет снижена, так как они будут работать на горючем с более низким октановым числом (7430).</w:t>
      </w:r>
    </w:p>
    <w:p w14:paraId="1959304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9EDB4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1942 года было отправлено:</w:t>
      </w:r>
    </w:p>
    <w:p w14:paraId="2250174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ПОСЛАНИЕ ПРЕМЬЕРА СТАЛИНА ПРЕМЬЕРУ ЧЕРЧИЛЛЮ</w:t>
      </w:r>
    </w:p>
    <w:p w14:paraId="759AC84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Получил Ваше послание от 18 июля.</w:t>
      </w:r>
    </w:p>
    <w:p w14:paraId="4E0132F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Из послания видно, что, во-первых, Правительство Великобритании отказывается продолжать снабжение Советского Союза военными материалами по северному пути и, во-вторых, несмотря на известное согласованное Англо-Советское коммюнике 22 о принятии неотложных мер по организации второго фронта в 1942 году, Правительство Великобритании откладывает это дело на 1943 год.</w:t>
      </w:r>
    </w:p>
    <w:p w14:paraId="1F0C0C6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 военно-морские специалисты считают доводы английских морских специалистов о необходимости прекращения подвоза военных материалов в северные порты СССР несостоятельными. Они убеждены, что при доброй воле и готовности выполнить взятые на себя обязательства подвоз мог бы осуществляться регулярно с большими потерями для немцев. Приказ Английского Адмиралтейства 17-му конвою покинуть транспорты и вернуться в Англию, а транспортным судам рассыпаться и добираться в одиночку до советских портов без эскорта наши специалисты считают непонятным и необъяснимым. Я, конечно, не считаю, что регулярный подвоз в северные советские порты возможен без риска и потерь. Но в обстановке войны ни одно большое дело не может быть осуществлено без риска и потерь. Вам, конечно, известно, что Советский Союз несет несравненно более серьезные потери. Во всяком случае, я никак не мог предположить, что Правительство Великобритании откажет нам в подвозе военных материалов именно теперь, когда Советский Союз особенно нуждается в подвозе военных материалов в момент серьезного напряжения на советско-германском фронте. Понятно, что подвоз через персидские порты ни в какой мере не окупит той потери, которая будет иметь место при отказе от подвоза северным путем.</w:t>
      </w:r>
    </w:p>
    <w:p w14:paraId="2C44EF3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Что касается второго вопроса, а именно вопроса об организации второго фронта в Европе, то я боюсь, что этот вопрос начинает принимать несерьезный характер. Исходя из создавшегося положения на советско-германском фронте, я должен заявить самым категорическим образом, что Советское Правительство не может примириться с откладыванием организации второго фронта в Европе на 1943 год.</w:t>
      </w:r>
    </w:p>
    <w:p w14:paraId="6B99C70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Надеюсь, что Вы не будете в обиде на то, что я счел нужным откровенно и честно высказать свое мнение и мнение моих коллег по вопросам, затронутым в Вашем послании.</w:t>
      </w:r>
    </w:p>
    <w:p w14:paraId="057449C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 СТАЛИН (7430).</w:t>
      </w:r>
    </w:p>
    <w:p w14:paraId="593F3E0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3B20C7"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За рубежом:</w:t>
      </w:r>
    </w:p>
    <w:p w14:paraId="79655FC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17A424"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23 июля в 1942 году в одном из полетов прототип </w:t>
      </w:r>
      <w:hyperlink r:id="rId155" w:tgtFrame="_blank" w:history="1">
        <w:r w:rsidRPr="001E2C69">
          <w:rPr>
            <w:rFonts w:ascii="Times New Roman" w:hAnsi="Times New Roman"/>
            <w:color w:val="000000" w:themeColor="text1"/>
            <w:sz w:val="16"/>
            <w:szCs w:val="16"/>
          </w:rPr>
          <w:t xml:space="preserve">«de Havilland» «Mosquito» </w:t>
        </w:r>
      </w:hyperlink>
      <w:r w:rsidRPr="001E2C69">
        <w:rPr>
          <w:rFonts w:ascii="Times New Roman" w:hAnsi="Times New Roman"/>
          <w:color w:val="000000" w:themeColor="text1"/>
          <w:sz w:val="16"/>
          <w:szCs w:val="16"/>
        </w:rPr>
        <w:t>(«W4050») с моторами "Мерлин" 61 развил максимальную скорость 695 км/ч на высоте 5100 м. В октябре 1942 года этот же самолет с еще более совершенными моторами "Мерлин" 77 сумел достичь наивысшего абсолютного показателя "Москито" - 703 км/ч на высоте 8800 м (14961).</w:t>
      </w:r>
    </w:p>
    <w:p w14:paraId="4300CCEC" w14:textId="77777777" w:rsidR="00DD0C17" w:rsidRPr="001E2C69" w:rsidRDefault="00DD0C17" w:rsidP="00722885">
      <w:pPr>
        <w:spacing w:after="0" w:line="240" w:lineRule="auto"/>
        <w:jc w:val="both"/>
        <w:rPr>
          <w:rFonts w:ascii="Times New Roman" w:hAnsi="Times New Roman"/>
          <w:color w:val="000000" w:themeColor="text1"/>
          <w:sz w:val="16"/>
          <w:szCs w:val="16"/>
        </w:rPr>
      </w:pPr>
    </w:p>
    <w:p w14:paraId="5E90C05D" w14:textId="77777777" w:rsidR="001D66FE" w:rsidRPr="001E2C69" w:rsidRDefault="001D66F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1941 года была атака линейного крейсера «Шарнхорст» во французском порту Ла-Паллас. В корабль попала одна 2000-фунтовая бомба, но и один «Стирлинг» был сбит. Англичане продолжали атаки на Брест и Ла-Паллас, пока 18 декабря 1941 года сводная группа бомбардировщиков «Стирлинг», «Манчестер» и «Галифакс» на подходе к Ла-Палласу не попала под удар «мессеров», и именно «стирлинги» понесли наибольшие потери — из 17 самолетов этого типа было сбито четыре, остальные получили повреждения. Это вызвало такое падение морального духа экипажей, что командование было вынуждено перейти к «беспокоящим» налетам одиночными самолетами, используя фактор внезапности, а на Ла-Паллас вовсе не летали. Ни одного крупного боевого корабля «стирлингам» так и не удалось потопить (22823).</w:t>
      </w:r>
    </w:p>
    <w:p w14:paraId="72309D7A" w14:textId="77777777" w:rsidR="001D66FE" w:rsidRPr="001E2C69" w:rsidRDefault="001D66FE" w:rsidP="00722885">
      <w:pPr>
        <w:spacing w:after="0" w:line="240" w:lineRule="auto"/>
        <w:jc w:val="both"/>
        <w:rPr>
          <w:rFonts w:ascii="Times New Roman" w:hAnsi="Times New Roman"/>
          <w:color w:val="000000" w:themeColor="text1"/>
          <w:sz w:val="16"/>
          <w:szCs w:val="16"/>
        </w:rPr>
      </w:pPr>
    </w:p>
    <w:p w14:paraId="10C25D6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июля 1942 года Альберт Шпеер, которому поручили разобраться с перспективными проектами в области военных технологий, докладывал фюреру об итогах своей работы. Вот запись, сделанная Шпеером в дневнике: «Фюреру вкратце доложено о совещании по поводу расщепления атома и об оказываемой нами поддержке» (11688).</w:t>
      </w:r>
    </w:p>
    <w:p w14:paraId="0B858F2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D0E1F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июня 1942 года, в тот самый день, когда фюрер без особого интереса выслушивал доклад Шпеера о «расщеплении атома», в лейпцигской лаборатории произошла катастрофа. Шаровидный реактор вот уже двадцать дней покоился в чане с водой. Вдруг вода возмутилась, заклокотала. Из глубины побежали пузыри. Происходило что-то странное. Профессор Депель взял пробу пузырей. Оказалось, что это водород. Значит, где-то возникла течь, и уран вступил в реакцию с водой.</w:t>
      </w:r>
    </w:p>
    <w:p w14:paraId="7179C00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Через некоторое время пузыри исчезли, все успокоилось. Тем не менее Депель решил извлечь реактор из чана, чтобы посмотреть, сколько воды проникло внутрь. В 15 часов 15 минут лаборант ослабил колпачок штуцера. Послышался какой-то шум. Воздух с силой втягивался внутрь, словно там, в центре шара, образовался вакуум. Еще через три секунды в потолок ударила воздушная струя. Из трещины длиной 15 сантиметров вырвался раскаленный газ. Тут и там мелькали искры, вылетали горящие крупицы урана. Вслед за тем взметнулось и пламя. Высота его достигала двадцати сантиметров. Вокруг языка пламени потек алюминий. Пожар разгорелся не на шутку.</w:t>
      </w:r>
    </w:p>
    <w:p w14:paraId="66C8E40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Депель, прибежавший на помощь лаборанту, стал тушить пламя водой, но огонь не убывал. Лишь с трудом его удалось сбить, зато из трещины теперь непрерывно валил густой дым, а образовавшееся отверстие становилось все шире. Предчувствуя катастрофу, профессор велел немедленно выкачивать тяжелую воду, чтобы спасти хоть какую-то важную часть реактора. Саму же «урановую машину» вновь опустили в резервуар, дабы остудить ее.</w:t>
      </w:r>
    </w:p>
    <w:p w14:paraId="43E184F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Гейзенберг, мельком заглянув в лабораторию, увидел, что «ситуация контролируется», и отбыл проводить семинар. Ситуация же вовсе не контролировалась. Температура реактора росла.</w:t>
      </w:r>
    </w:p>
    <w:p w14:paraId="3DB7B59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18.00 – опасный для жизни опыт длился уже три часа – Гейзенберг завершил семинар и вернулся к Депелю. Реактор продолжал накаляться. Физики напряженно вглядывались в воду, как вдруг реактор затрясся. Ученые переглянулись и опрометью бросились из помещения. Через секунду прогремел мощный взрыв. Струи пылающего урана разлетались повсюду. Здание лаборатории охватил огонь. Только после этого кто-то наконец догадался вызвать пожарных.</w:t>
      </w:r>
    </w:p>
    <w:p w14:paraId="4BBDB62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Оба ученых спаслись в тот день чудом. Большая часть их лаборатории была разрушена, все запасы урана и почти все запасы тяжелой воды погибли. Столь же серьезно пострадало самолюбие Гейзенберга. Профессора буквально перекосило, когда начальник пожарной охраны, прибыв в лабораторию и не церемонясь в выборе саксонских выражений, поздравил оглушенного мэтра со столь осязаемыми доказательствами «расщепления атома».</w:t>
      </w:r>
    </w:p>
    <w:p w14:paraId="480293CB"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Правда, пожарник, костеря Гейзенберга и иже с ним, был все-таки не прав, подозревая в несчастье «цепную ядерную реакцию». На самом деле причиной взрыва стала не физика, но химия. Вода проникла сквозь оболочку шара и вступила в реакцию с порошковым ураном. Образовался водород – газ, легко взрывающийся. Достаточно было искры, чтобы все взлетело на воздух.</w:t>
      </w:r>
    </w:p>
    <w:p w14:paraId="25ECBC7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Отчитываясь перед начальством, Депель советовал в будущем использовать лишь твердый уран в пластинах, а не его порошок (11688).</w:t>
      </w:r>
    </w:p>
    <w:p w14:paraId="06072CC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4C7D77"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Авиапромышленность:</w:t>
      </w:r>
    </w:p>
    <w:p w14:paraId="7D76358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EFE96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июля 1942 г. в «Заключении» отчета по полигонным испытаниям само</w:t>
      </w:r>
      <w:r w:rsidRPr="001E2C69">
        <w:rPr>
          <w:rFonts w:ascii="Times New Roman" w:hAnsi="Times New Roman"/>
          <w:color w:val="000000" w:themeColor="text1"/>
          <w:sz w:val="16"/>
          <w:szCs w:val="16"/>
        </w:rPr>
        <w:softHyphen/>
        <w:t>летов Ил-2 и ЛаГГ-3 с пушками Ш-37 специалисты НИП АВ отмечали, что: «...Для более рационального использования су</w:t>
      </w:r>
      <w:r w:rsidRPr="001E2C69">
        <w:rPr>
          <w:rFonts w:ascii="Times New Roman" w:hAnsi="Times New Roman"/>
          <w:color w:val="000000" w:themeColor="text1"/>
          <w:sz w:val="16"/>
          <w:szCs w:val="16"/>
        </w:rPr>
        <w:softHyphen/>
        <w:t>ществующего вооружения самолета Ил-2 в борьбе с немецки</w:t>
      </w:r>
      <w:r w:rsidRPr="001E2C69">
        <w:rPr>
          <w:rFonts w:ascii="Times New Roman" w:hAnsi="Times New Roman"/>
          <w:color w:val="000000" w:themeColor="text1"/>
          <w:sz w:val="16"/>
          <w:szCs w:val="16"/>
        </w:rPr>
        <w:softHyphen/>
        <w:t>ми танками необходимо выделить штурмовые авиаполки, воо</w:t>
      </w:r>
      <w:r w:rsidRPr="001E2C69">
        <w:rPr>
          <w:rFonts w:ascii="Times New Roman" w:hAnsi="Times New Roman"/>
          <w:color w:val="000000" w:themeColor="text1"/>
          <w:sz w:val="16"/>
          <w:szCs w:val="16"/>
        </w:rPr>
        <w:softHyphen/>
        <w:t>руженные Ил-2 с авиапушками ВЯ-23 мм, основной задачей которых должно быть действие по танкам. Летный состав этих частей должен пройти спецподготовку. &lt;...&gt; Наиболее эффек</w:t>
      </w:r>
      <w:r w:rsidRPr="001E2C69">
        <w:rPr>
          <w:rFonts w:ascii="Times New Roman" w:hAnsi="Times New Roman"/>
          <w:color w:val="000000" w:themeColor="text1"/>
          <w:sz w:val="16"/>
          <w:szCs w:val="16"/>
        </w:rPr>
        <w:softHyphen/>
        <w:t>тивным средством борьбы с немецкими танками, имеющими броню до 40 мм, показали авиапушки 37 мм. В этой связи не</w:t>
      </w:r>
      <w:r w:rsidRPr="001E2C69">
        <w:rPr>
          <w:rFonts w:ascii="Times New Roman" w:hAnsi="Times New Roman"/>
          <w:color w:val="000000" w:themeColor="text1"/>
          <w:sz w:val="16"/>
          <w:szCs w:val="16"/>
        </w:rPr>
        <w:softHyphen/>
        <w:t>обходимо создать специальные противотанковые части, воору</w:t>
      </w:r>
      <w:r w:rsidRPr="001E2C69">
        <w:rPr>
          <w:rFonts w:ascii="Times New Roman" w:hAnsi="Times New Roman"/>
          <w:color w:val="000000" w:themeColor="text1"/>
          <w:sz w:val="16"/>
          <w:szCs w:val="16"/>
        </w:rPr>
        <w:softHyphen/>
        <w:t>женные истребителями ЛаГГ-3 и Як с 37-мм авиапушками и усиленным бронированием. Летному составу этих частей дать специальную подготовку. &lt;...&gt; Считать необходимым создание специального центра по отработке вопросов боевого примене</w:t>
      </w:r>
      <w:r w:rsidRPr="001E2C69">
        <w:rPr>
          <w:rFonts w:ascii="Times New Roman" w:hAnsi="Times New Roman"/>
          <w:color w:val="000000" w:themeColor="text1"/>
          <w:sz w:val="16"/>
          <w:szCs w:val="16"/>
        </w:rPr>
        <w:softHyphen/>
        <w:t>ния АВ ВВС КА, на базе которого проводить систематическую подготовку летных кадров в ведении прицельной стрельбы и бомбометания. Обратить особое внимание на повышение ка</w:t>
      </w:r>
      <w:r w:rsidRPr="001E2C69">
        <w:rPr>
          <w:rFonts w:ascii="Times New Roman" w:hAnsi="Times New Roman"/>
          <w:color w:val="000000" w:themeColor="text1"/>
          <w:sz w:val="16"/>
          <w:szCs w:val="16"/>
        </w:rPr>
        <w:softHyphen/>
        <w:t>чества боевой подготовки летного состава штурмовых частей в ЗАЛ в прицельной стрельбе и бомбометании» (11474,329).</w:t>
      </w:r>
    </w:p>
    <w:p w14:paraId="20D94C1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 мая 1942 г. приказом командующего ВВС КА генерал-лейтенанта А.А. Новикова НИП АВ предписывалось провести всесторонние исследования по оценке действенности стоящих на вооружении авиации средств поражения и разработать рациональную тактику и способы боевого применения истребителей ЛаГГ-3, вооруженных 37-мм пушками, и самолетов Ил-2.</w:t>
      </w:r>
    </w:p>
    <w:p w14:paraId="4B49C38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Как и следовало ожидать, наиболее эффективным ооужием оказались пушки калибра 37 мм: «...поражение тегких танков с дистанции не более 500 м возможно при стрельбе с любых на</w:t>
      </w:r>
      <w:r w:rsidRPr="001E2C69">
        <w:rPr>
          <w:rFonts w:ascii="Times New Roman" w:hAnsi="Times New Roman"/>
          <w:color w:val="000000" w:themeColor="text1"/>
          <w:sz w:val="16"/>
          <w:szCs w:val="16"/>
        </w:rPr>
        <w:softHyphen/>
        <w:t>правлений, средние танки могут быть поражены стрельбой по борту или по кормовой части танка».</w:t>
      </w:r>
    </w:p>
    <w:p w14:paraId="67DE3D4C"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то же время вооружение серийных Ил-2 (2 пушки ШВАК или ВЯ-23, 2 пулемета ШКАС, 8 РС и 400 кг бомб) не отвечало требованиям надежного поражения бронетехники.</w:t>
      </w:r>
    </w:p>
    <w:p w14:paraId="53E27C1A"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Устойчивое поражение легких танков типа Р</w:t>
      </w:r>
      <w:r w:rsidRPr="001E2C69">
        <w:rPr>
          <w:rFonts w:ascii="Times New Roman" w:hAnsi="Times New Roman"/>
          <w:color w:val="000000" w:themeColor="text1"/>
          <w:sz w:val="16"/>
          <w:szCs w:val="16"/>
          <w:lang w:val="en-US"/>
        </w:rPr>
        <w:t>z</w:t>
      </w:r>
      <w:r w:rsidRPr="001E2C69">
        <w:rPr>
          <w:rFonts w:ascii="Times New Roman" w:hAnsi="Times New Roman"/>
          <w:color w:val="000000" w:themeColor="text1"/>
          <w:sz w:val="16"/>
          <w:szCs w:val="16"/>
        </w:rPr>
        <w:t>.П и Р</w:t>
      </w:r>
      <w:r w:rsidRPr="001E2C69">
        <w:rPr>
          <w:rFonts w:ascii="Times New Roman" w:hAnsi="Times New Roman"/>
          <w:color w:val="000000" w:themeColor="text1"/>
          <w:sz w:val="16"/>
          <w:szCs w:val="16"/>
          <w:lang w:val="en-US"/>
        </w:rPr>
        <w:t>z</w:t>
      </w:r>
      <w:r w:rsidRPr="001E2C69">
        <w:rPr>
          <w:rFonts w:ascii="Times New Roman" w:hAnsi="Times New Roman"/>
          <w:color w:val="000000" w:themeColor="text1"/>
          <w:sz w:val="16"/>
          <w:szCs w:val="16"/>
        </w:rPr>
        <w:t>.38(1) обеспечивалось лишь при стрельбе из пушек ВЯ-23 бронебой-но-зажигательными снарядами. При этом атаку следовало производить сбоку или сзади с дистанции 300—400 м и при уг</w:t>
      </w:r>
      <w:r w:rsidRPr="001E2C69">
        <w:rPr>
          <w:rFonts w:ascii="Times New Roman" w:hAnsi="Times New Roman"/>
          <w:color w:val="000000" w:themeColor="text1"/>
          <w:sz w:val="16"/>
          <w:szCs w:val="16"/>
        </w:rPr>
        <w:softHyphen/>
        <w:t>лах пикирования до 30°.</w:t>
      </w:r>
    </w:p>
    <w:p w14:paraId="32BFD61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Поражение танка Р</w:t>
      </w:r>
      <w:r w:rsidRPr="001E2C69">
        <w:rPr>
          <w:rFonts w:ascii="Times New Roman" w:hAnsi="Times New Roman"/>
          <w:color w:val="000000" w:themeColor="text1"/>
          <w:sz w:val="16"/>
          <w:szCs w:val="16"/>
          <w:lang w:val="en-US"/>
        </w:rPr>
        <w:t>z</w:t>
      </w:r>
      <w:r w:rsidRPr="001E2C69">
        <w:rPr>
          <w:rFonts w:ascii="Times New Roman" w:hAnsi="Times New Roman"/>
          <w:color w:val="000000" w:themeColor="text1"/>
          <w:sz w:val="16"/>
          <w:szCs w:val="16"/>
        </w:rPr>
        <w:t>.38(т) с усиленным бронированием при тех же условиях атаки было возможным только в борт у ходовой части танка, где устанавливалась 15-мм броня. Но попадания в «чистую» броню было маловероятным, поскольку большая ее часть закрывалась роликами, катками и гусеницами, а попадания в элементы ходовой части повреждений танку не наносили.</w:t>
      </w:r>
    </w:p>
    <w:p w14:paraId="04846E9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Броня средних танков типа Р</w:t>
      </w:r>
      <w:r w:rsidRPr="001E2C69">
        <w:rPr>
          <w:rFonts w:ascii="Times New Roman" w:hAnsi="Times New Roman"/>
          <w:color w:val="000000" w:themeColor="text1"/>
          <w:sz w:val="16"/>
          <w:szCs w:val="16"/>
          <w:lang w:val="en-US"/>
        </w:rPr>
        <w:t>z</w:t>
      </w:r>
      <w:r w:rsidRPr="001E2C69">
        <w:rPr>
          <w:rFonts w:ascii="Times New Roman" w:hAnsi="Times New Roman"/>
          <w:color w:val="000000" w:themeColor="text1"/>
          <w:sz w:val="16"/>
          <w:szCs w:val="16"/>
        </w:rPr>
        <w:t>.1У, Р</w:t>
      </w:r>
      <w:r w:rsidRPr="001E2C69">
        <w:rPr>
          <w:rFonts w:ascii="Times New Roman" w:hAnsi="Times New Roman"/>
          <w:color w:val="000000" w:themeColor="text1"/>
          <w:sz w:val="16"/>
          <w:szCs w:val="16"/>
          <w:lang w:val="en-US"/>
        </w:rPr>
        <w:t>z</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III</w:t>
      </w:r>
      <w:r w:rsidRPr="001E2C69">
        <w:rPr>
          <w:rFonts w:ascii="Times New Roman" w:hAnsi="Times New Roman"/>
          <w:color w:val="000000" w:themeColor="text1"/>
          <w:sz w:val="16"/>
          <w:szCs w:val="16"/>
        </w:rPr>
        <w:t xml:space="preserve"> и </w:t>
      </w:r>
      <w:r w:rsidRPr="001E2C69">
        <w:rPr>
          <w:rFonts w:ascii="Times New Roman" w:hAnsi="Times New Roman"/>
          <w:color w:val="000000" w:themeColor="text1"/>
          <w:sz w:val="16"/>
          <w:szCs w:val="16"/>
          <w:lang w:val="en-US"/>
        </w:rPr>
        <w:t>StuGIIII</w:t>
      </w:r>
      <w:r w:rsidRPr="001E2C69">
        <w:rPr>
          <w:rFonts w:ascii="Times New Roman" w:hAnsi="Times New Roman"/>
          <w:color w:val="000000" w:themeColor="text1"/>
          <w:sz w:val="16"/>
          <w:szCs w:val="16"/>
        </w:rPr>
        <w:t xml:space="preserve"> с толщи</w:t>
      </w:r>
      <w:r w:rsidRPr="001E2C69">
        <w:rPr>
          <w:rFonts w:ascii="Times New Roman" w:hAnsi="Times New Roman"/>
          <w:color w:val="000000" w:themeColor="text1"/>
          <w:sz w:val="16"/>
          <w:szCs w:val="16"/>
        </w:rPr>
        <w:softHyphen/>
        <w:t>ной бортовой брони 30 мм и лобовой 50 мм при стрельбе с са</w:t>
      </w:r>
      <w:r w:rsidRPr="001E2C69">
        <w:rPr>
          <w:rFonts w:ascii="Times New Roman" w:hAnsi="Times New Roman"/>
          <w:color w:val="000000" w:themeColor="text1"/>
          <w:sz w:val="16"/>
          <w:szCs w:val="16"/>
        </w:rPr>
        <w:softHyphen/>
        <w:t>молета Ил-2 из пушки ВЯ-23 не поражалась ни с одного на</w:t>
      </w:r>
      <w:r w:rsidRPr="001E2C69">
        <w:rPr>
          <w:rFonts w:ascii="Times New Roman" w:hAnsi="Times New Roman"/>
          <w:color w:val="000000" w:themeColor="text1"/>
          <w:sz w:val="16"/>
          <w:szCs w:val="16"/>
        </w:rPr>
        <w:softHyphen/>
        <w:t>правления атаки.</w:t>
      </w:r>
    </w:p>
    <w:p w14:paraId="67929E72"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Поражение надмоторной брони и брони крыши башен не</w:t>
      </w:r>
      <w:r w:rsidRPr="001E2C69">
        <w:rPr>
          <w:rFonts w:ascii="Times New Roman" w:hAnsi="Times New Roman"/>
          <w:color w:val="000000" w:themeColor="text1"/>
          <w:sz w:val="16"/>
          <w:szCs w:val="16"/>
        </w:rPr>
        <w:softHyphen/>
        <w:t>мецких танков всех типов при стрельбе из пушек ВЯ-23 и ШВАК получалось лишь при углах пикирования Ил-2 более 40°. Однако пилотирование штурмовика на этих режимах было сложным, а вероятность попадания в уязвимые части танков (из-за малой их площади) — небольшой.</w:t>
      </w:r>
    </w:p>
    <w:p w14:paraId="7ED55939"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Другими словами, штурмовик Ил-2, вооруженный пушка</w:t>
      </w:r>
      <w:r w:rsidRPr="001E2C69">
        <w:rPr>
          <w:rFonts w:ascii="Times New Roman" w:hAnsi="Times New Roman"/>
          <w:color w:val="000000" w:themeColor="text1"/>
          <w:sz w:val="16"/>
          <w:szCs w:val="16"/>
        </w:rPr>
        <w:softHyphen/>
        <w:t>ми ВЯ-23, мог наносить устойчивое поражение только легким танкам и бронемашинам с толщиной брони до 20 мм.</w:t>
      </w:r>
    </w:p>
    <w:p w14:paraId="59CCC96E"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отношении пушек ШВАК в выводах по испытаниям ука</w:t>
      </w:r>
      <w:r w:rsidRPr="001E2C69">
        <w:rPr>
          <w:rFonts w:ascii="Times New Roman" w:hAnsi="Times New Roman"/>
          <w:color w:val="000000" w:themeColor="text1"/>
          <w:sz w:val="16"/>
          <w:szCs w:val="16"/>
        </w:rPr>
        <w:softHyphen/>
        <w:t>зывалось следующее: «Самолеты Ил-2, вооруженные пушками ШВАК, по танкам использовать неэффективно, а лучше ис</w:t>
      </w:r>
      <w:r w:rsidRPr="001E2C69">
        <w:rPr>
          <w:rFonts w:ascii="Times New Roman" w:hAnsi="Times New Roman"/>
          <w:color w:val="000000" w:themeColor="text1"/>
          <w:sz w:val="16"/>
          <w:szCs w:val="16"/>
        </w:rPr>
        <w:softHyphen/>
        <w:t>пользовать их на 5—10 км в тылу по пехоте и горючему, обес</w:t>
      </w:r>
      <w:r w:rsidRPr="001E2C69">
        <w:rPr>
          <w:rFonts w:ascii="Times New Roman" w:hAnsi="Times New Roman"/>
          <w:color w:val="000000" w:themeColor="text1"/>
          <w:sz w:val="16"/>
          <w:szCs w:val="16"/>
        </w:rPr>
        <w:softHyphen/>
        <w:t>печивающему танки» (11474,324).</w:t>
      </w:r>
    </w:p>
    <w:p w14:paraId="2058663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55287C" w14:textId="77777777" w:rsidR="00344FD4" w:rsidRPr="001E2C69" w:rsidRDefault="00344FD4" w:rsidP="00722885">
      <w:pPr>
        <w:pStyle w:val="34"/>
        <w:shd w:val="clear" w:color="auto" w:fill="auto"/>
        <w:spacing w:line="240" w:lineRule="auto"/>
        <w:jc w:val="both"/>
        <w:rPr>
          <w:rFonts w:ascii="Times New Roman" w:cs="Times New Roman"/>
          <w:color w:val="000000" w:themeColor="text1"/>
          <w:spacing w:val="0"/>
          <w:sz w:val="16"/>
          <w:szCs w:val="16"/>
        </w:rPr>
      </w:pPr>
      <w:r w:rsidRPr="001E2C69">
        <w:rPr>
          <w:rStyle w:val="3fb"/>
          <w:rFonts w:ascii="Times New Roman" w:hAnsi="Times New Roman" w:cs="Times New Roman"/>
          <w:i w:val="0"/>
          <w:color w:val="000000" w:themeColor="text1"/>
          <w:spacing w:val="0"/>
          <w:sz w:val="16"/>
          <w:szCs w:val="16"/>
        </w:rPr>
        <w:t xml:space="preserve">24 июля 1942 г. в Акте об </w:t>
      </w:r>
      <w:r w:rsidRPr="001E2C69">
        <w:rPr>
          <w:rFonts w:ascii="Times New Roman" w:cs="Times New Roman"/>
          <w:color w:val="000000" w:themeColor="text1"/>
          <w:spacing w:val="0"/>
          <w:sz w:val="16"/>
          <w:szCs w:val="16"/>
        </w:rPr>
        <w:t>испытаниях эффективности действия Ил-2 и ЛаГГ-3 против бро</w:t>
      </w:r>
      <w:r w:rsidRPr="001E2C69">
        <w:rPr>
          <w:rFonts w:ascii="Times New Roman" w:cs="Times New Roman"/>
          <w:color w:val="000000" w:themeColor="text1"/>
          <w:spacing w:val="0"/>
          <w:sz w:val="16"/>
          <w:szCs w:val="16"/>
        </w:rPr>
        <w:softHyphen/>
        <w:t>нетехники</w:t>
      </w:r>
      <w:r w:rsidRPr="001E2C69">
        <w:rPr>
          <w:rStyle w:val="3fb"/>
          <w:rFonts w:ascii="Times New Roman" w:hAnsi="Times New Roman" w:cs="Times New Roman"/>
          <w:i w:val="0"/>
          <w:color w:val="000000" w:themeColor="text1"/>
          <w:spacing w:val="0"/>
          <w:sz w:val="16"/>
          <w:szCs w:val="16"/>
        </w:rPr>
        <w:t xml:space="preserve"> </w:t>
      </w:r>
      <w:r w:rsidRPr="001E2C69">
        <w:rPr>
          <w:rFonts w:ascii="Times New Roman" w:cs="Times New Roman"/>
          <w:color w:val="000000" w:themeColor="text1"/>
          <w:spacing w:val="0"/>
          <w:sz w:val="16"/>
          <w:szCs w:val="16"/>
        </w:rPr>
        <w:t>29 июня по 15 июля 1942 г.</w:t>
      </w:r>
      <w:r w:rsidRPr="001E2C69">
        <w:rPr>
          <w:rStyle w:val="3fb"/>
          <w:rFonts w:ascii="Times New Roman" w:hAnsi="Times New Roman" w:cs="Times New Roman"/>
          <w:i w:val="0"/>
          <w:color w:val="000000" w:themeColor="text1"/>
          <w:spacing w:val="0"/>
          <w:sz w:val="16"/>
          <w:szCs w:val="16"/>
        </w:rPr>
        <w:t>, составленном сотруд</w:t>
      </w:r>
      <w:r w:rsidRPr="001E2C69">
        <w:rPr>
          <w:rStyle w:val="3fb"/>
          <w:rFonts w:ascii="Times New Roman" w:hAnsi="Times New Roman" w:cs="Times New Roman"/>
          <w:i w:val="0"/>
          <w:color w:val="000000" w:themeColor="text1"/>
          <w:spacing w:val="0"/>
          <w:sz w:val="16"/>
          <w:szCs w:val="16"/>
        </w:rPr>
        <w:softHyphen/>
        <w:t>никами полигона, говорилось:</w:t>
      </w:r>
      <w:r w:rsidRPr="001E2C69">
        <w:rPr>
          <w:rFonts w:ascii="Times New Roman" w:cs="Times New Roman"/>
          <w:color w:val="000000" w:themeColor="text1"/>
          <w:spacing w:val="0"/>
          <w:sz w:val="16"/>
          <w:szCs w:val="16"/>
        </w:rPr>
        <w:t xml:space="preserve"> «Наиболее эффективным сред</w:t>
      </w:r>
      <w:r w:rsidRPr="001E2C69">
        <w:rPr>
          <w:rFonts w:ascii="Times New Roman" w:cs="Times New Roman"/>
          <w:color w:val="000000" w:themeColor="text1"/>
          <w:spacing w:val="0"/>
          <w:sz w:val="16"/>
          <w:szCs w:val="16"/>
        </w:rPr>
        <w:softHyphen/>
        <w:t>ством борьбы с немецкими танками, имеющими броню до 40 мм, оказались авиапушки 37 мм. В этой связи необходимо создать специальные противотанковые части, вооруженные истребителямиЛаГГ-3и Яке 37-мм авиапушками и усиленным бронированием. Летный состав этих частей должен пройти специальную подготовку» (19106).</w:t>
      </w:r>
    </w:p>
    <w:p w14:paraId="2FFF1037" w14:textId="77777777" w:rsidR="00344FD4" w:rsidRPr="001E2C69" w:rsidRDefault="00344FD4" w:rsidP="00722885">
      <w:pPr>
        <w:pStyle w:val="34"/>
        <w:shd w:val="clear" w:color="auto" w:fill="auto"/>
        <w:spacing w:line="240" w:lineRule="auto"/>
        <w:jc w:val="both"/>
        <w:rPr>
          <w:rFonts w:ascii="Times New Roman" w:cs="Times New Roman"/>
          <w:color w:val="000000" w:themeColor="text1"/>
          <w:spacing w:val="0"/>
          <w:sz w:val="16"/>
          <w:szCs w:val="16"/>
        </w:rPr>
      </w:pPr>
    </w:p>
    <w:p w14:paraId="671DC87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июля 1942 вышел приказ НКАП и ВВС N 559а/с/032 по созданию комиссии для рассмотрения бронирования серийных самолетов (1587,12).</w:t>
      </w:r>
    </w:p>
    <w:p w14:paraId="7CA1AB0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целях решения вопроса об улучшении бронезащиты серийных самолетов от оружия крупного калибра:</w:t>
      </w:r>
    </w:p>
    <w:p w14:paraId="612AB47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Создать комиссию для определения схем бронезащиты самолетов от оружия крупного калибра, без ухудшения их летных свойств, в след. составе:</w:t>
      </w:r>
    </w:p>
    <w:p w14:paraId="3E59DE0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Председатель - нач. НИИ ВВС П.А.Лесков, члены - П.О.С....</w:t>
      </w:r>
    </w:p>
    <w:p w14:paraId="18A746C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К 1 августа 1942 комиссии представить на рассмотрение схемы улучшения бронезащиты самолетов ЛаГГ-3, ЛаГГ-5, Як-1, Як-7, Пе-2, Пе-3, Ил-2, Ил-4, Ту-2 и ТБ-7 (1567,130).</w:t>
      </w:r>
    </w:p>
    <w:p w14:paraId="6452F56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9DDB64" w14:textId="77777777" w:rsidR="00140708" w:rsidRPr="001E2C69" w:rsidRDefault="0014070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24 июля 1942 г. в заключении отчета по полигонным испытани</w:t>
      </w:r>
      <w:r w:rsidRPr="001E2C69">
        <w:rPr>
          <w:color w:val="000000" w:themeColor="text1"/>
          <w:sz w:val="16"/>
          <w:szCs w:val="16"/>
        </w:rPr>
        <w:softHyphen/>
        <w:t>ям вооружения самолетов Ил-2 от специалисты НИП АВ отмечали, что «...для более рационального использования существующего во</w:t>
      </w:r>
      <w:r w:rsidRPr="001E2C69">
        <w:rPr>
          <w:color w:val="000000" w:themeColor="text1"/>
          <w:sz w:val="16"/>
          <w:szCs w:val="16"/>
        </w:rPr>
        <w:softHyphen/>
        <w:t>оружения самолета Ил-2 в борьбе с немецкими тан</w:t>
      </w:r>
      <w:r w:rsidRPr="001E2C69">
        <w:rPr>
          <w:color w:val="000000" w:themeColor="text1"/>
          <w:sz w:val="16"/>
          <w:szCs w:val="16"/>
        </w:rPr>
        <w:softHyphen/>
        <w:t>ками необходимо выделить штурмовые авиаполки, /.../ основной задачей которых должно быть дей</w:t>
      </w:r>
      <w:r w:rsidRPr="001E2C69">
        <w:rPr>
          <w:color w:val="000000" w:themeColor="text1"/>
          <w:sz w:val="16"/>
          <w:szCs w:val="16"/>
        </w:rPr>
        <w:softHyphen/>
        <w:t>ствие по танкам. Летный состав этих частей дол</w:t>
      </w:r>
      <w:r w:rsidRPr="001E2C69">
        <w:rPr>
          <w:color w:val="000000" w:themeColor="text1"/>
          <w:sz w:val="16"/>
          <w:szCs w:val="16"/>
        </w:rPr>
        <w:softHyphen/>
        <w:t>жен пройти спецподготовку. /.../ Наиболее эффек</w:t>
      </w:r>
      <w:r w:rsidRPr="001E2C69">
        <w:rPr>
          <w:color w:val="000000" w:themeColor="text1"/>
          <w:sz w:val="16"/>
          <w:szCs w:val="16"/>
        </w:rPr>
        <w:softHyphen/>
        <w:t>тивным средством борьбы с немецкими танками, имеющими броню до 40 мм, оказались авиапушки 37 мм. В этой связи необходимо создать специаль</w:t>
      </w:r>
      <w:r w:rsidRPr="001E2C69">
        <w:rPr>
          <w:color w:val="000000" w:themeColor="text1"/>
          <w:sz w:val="16"/>
          <w:szCs w:val="16"/>
        </w:rPr>
        <w:softHyphen/>
        <w:t>ные противотанковые части, вооруженные истре</w:t>
      </w:r>
      <w:r w:rsidRPr="001E2C69">
        <w:rPr>
          <w:color w:val="000000" w:themeColor="text1"/>
          <w:sz w:val="16"/>
          <w:szCs w:val="16"/>
        </w:rPr>
        <w:softHyphen/>
        <w:t>бителями ЛаГГ-3 и Як с 37-мм авиапушками и уси</w:t>
      </w:r>
      <w:r w:rsidRPr="001E2C69">
        <w:rPr>
          <w:color w:val="000000" w:themeColor="text1"/>
          <w:sz w:val="16"/>
          <w:szCs w:val="16"/>
        </w:rPr>
        <w:softHyphen/>
        <w:t>ленным бронированием. Летному составу этих частей дать специальную подготовку. /.../ Считать необходимым создание специального центра по отработке вопросов боевого применения АВ ВВС КА, на базе которого проводить систематическую подготовку летных кадров в ведении прицельной стрельбы и бомбометания. Обратить особое вни</w:t>
      </w:r>
      <w:r w:rsidRPr="001E2C69">
        <w:rPr>
          <w:color w:val="000000" w:themeColor="text1"/>
          <w:sz w:val="16"/>
          <w:szCs w:val="16"/>
        </w:rPr>
        <w:softHyphen/>
        <w:t>мание на повышение качества боевой подготовки летного состава штурмовых частей в ЗАП в при</w:t>
      </w:r>
      <w:r w:rsidRPr="001E2C69">
        <w:rPr>
          <w:color w:val="000000" w:themeColor="text1"/>
          <w:sz w:val="16"/>
          <w:szCs w:val="16"/>
        </w:rPr>
        <w:softHyphen/>
        <w:t>цельной стрельбе и бомбометании».</w:t>
      </w:r>
    </w:p>
    <w:p w14:paraId="0BF67D26" w14:textId="77777777" w:rsidR="00140708" w:rsidRPr="001E2C69" w:rsidRDefault="0014070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Требовалось «поручить НКАП в срочном по</w:t>
      </w:r>
      <w:r w:rsidRPr="001E2C69">
        <w:rPr>
          <w:color w:val="000000" w:themeColor="text1"/>
          <w:sz w:val="16"/>
          <w:szCs w:val="16"/>
        </w:rPr>
        <w:softHyphen/>
        <w:t>рядке создать штурмовик, вооруженный 37-мм пушкой, расположенной в плоскости оси само</w:t>
      </w:r>
      <w:r w:rsidRPr="001E2C69">
        <w:rPr>
          <w:color w:val="000000" w:themeColor="text1"/>
          <w:sz w:val="16"/>
          <w:szCs w:val="16"/>
        </w:rPr>
        <w:softHyphen/>
        <w:t>лета».</w:t>
      </w:r>
    </w:p>
    <w:p w14:paraId="0A2BCAEA" w14:textId="77777777" w:rsidR="00140708" w:rsidRPr="001E2C69" w:rsidRDefault="0014070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Кроме этого, считалось необходимым прове</w:t>
      </w:r>
      <w:r w:rsidRPr="001E2C69">
        <w:rPr>
          <w:color w:val="000000" w:themeColor="text1"/>
          <w:sz w:val="16"/>
          <w:szCs w:val="16"/>
        </w:rPr>
        <w:softHyphen/>
        <w:t>дение работ по увеличению бронепробиваемости снарядов калибра 23 и 37 мм, а также создание «специальных противотанковых и зажигательных средств борьбы против танков».</w:t>
      </w:r>
    </w:p>
    <w:p w14:paraId="4D1417A6" w14:textId="77777777" w:rsidR="00140708" w:rsidRPr="001E2C69" w:rsidRDefault="0014070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Учитывая, что временной механизм штурмовика Цветкова во всех случаях позволяет получить луч</w:t>
      </w:r>
      <w:r w:rsidRPr="001E2C69">
        <w:rPr>
          <w:color w:val="000000" w:themeColor="text1"/>
          <w:sz w:val="16"/>
          <w:szCs w:val="16"/>
        </w:rPr>
        <w:softHyphen/>
        <w:t>шие результаты при бомбометании и в некоторой степени компенсировать недостаточную подготов</w:t>
      </w:r>
      <w:r w:rsidRPr="001E2C69">
        <w:rPr>
          <w:color w:val="000000" w:themeColor="text1"/>
          <w:sz w:val="16"/>
          <w:szCs w:val="16"/>
        </w:rPr>
        <w:softHyphen/>
        <w:t>ку летного состава боевых частей, рекомендова</w:t>
      </w:r>
      <w:r w:rsidRPr="001E2C69">
        <w:rPr>
          <w:color w:val="000000" w:themeColor="text1"/>
          <w:sz w:val="16"/>
          <w:szCs w:val="16"/>
        </w:rPr>
        <w:softHyphen/>
        <w:t>лось срочно доработать ВМШ, обеспечив возмож</w:t>
      </w:r>
      <w:r w:rsidRPr="001E2C69">
        <w:rPr>
          <w:color w:val="000000" w:themeColor="text1"/>
          <w:sz w:val="16"/>
          <w:szCs w:val="16"/>
        </w:rPr>
        <w:softHyphen/>
        <w:t>ность бомбометания с его помощью на выходе из пикирования.</w:t>
      </w:r>
    </w:p>
    <w:p w14:paraId="16DC0E54" w14:textId="77777777" w:rsidR="00140708" w:rsidRPr="001E2C69" w:rsidRDefault="0014070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Акте «По полигонному отстрелу самолета Ил-2, вооруженного 2 крыльевыми пушками ка</w:t>
      </w:r>
      <w:r w:rsidRPr="001E2C69">
        <w:rPr>
          <w:color w:val="000000" w:themeColor="text1"/>
          <w:sz w:val="16"/>
          <w:szCs w:val="16"/>
        </w:rPr>
        <w:softHyphen/>
        <w:t>либра 37 мм системы Шпитального (ОКБ-15)» от 2 октября 1942 г. отмечалось, что «для повышения эффективности стрельбы необходимо организо</w:t>
      </w:r>
      <w:r w:rsidRPr="001E2C69">
        <w:rPr>
          <w:color w:val="000000" w:themeColor="text1"/>
          <w:sz w:val="16"/>
          <w:szCs w:val="16"/>
        </w:rPr>
        <w:softHyphen/>
        <w:t>вать систематическую тренировку летного состава в стрельбе по танкам».</w:t>
      </w:r>
    </w:p>
    <w:p w14:paraId="131E69E3" w14:textId="77777777" w:rsidR="00140708" w:rsidRPr="001E2C69" w:rsidRDefault="0014070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Общий вывод состоял в том, что штурмовик Ил-2 с пушками Ш-37 является мощным средством борьбы с немецкими легкими и средними танками. Для его эффективного боевого применения летный состав должен быть хорошо натренирован в веде</w:t>
      </w:r>
      <w:r w:rsidRPr="001E2C69">
        <w:rPr>
          <w:color w:val="000000" w:themeColor="text1"/>
          <w:sz w:val="16"/>
          <w:szCs w:val="16"/>
        </w:rPr>
        <w:softHyphen/>
        <w:t>нии прицельного огня короткими очередями (3—5 снарядов в очереди) по малоразмерным целям (от</w:t>
      </w:r>
      <w:r w:rsidRPr="001E2C69">
        <w:rPr>
          <w:color w:val="000000" w:themeColor="text1"/>
          <w:sz w:val="16"/>
          <w:szCs w:val="16"/>
        </w:rPr>
        <w:softHyphen/>
        <w:t>дельный танк, автомашина и т.д.) и иметь отличную летную подготовку.</w:t>
      </w:r>
    </w:p>
    <w:p w14:paraId="10D0D3E1" w14:textId="77777777" w:rsidR="00140708" w:rsidRPr="001E2C69" w:rsidRDefault="0014070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Рекомендовалось построить небольшую серию таких самолетов для проведения войсковых испы</w:t>
      </w:r>
      <w:r w:rsidRPr="001E2C69">
        <w:rPr>
          <w:color w:val="000000" w:themeColor="text1"/>
          <w:sz w:val="16"/>
          <w:szCs w:val="16"/>
        </w:rPr>
        <w:softHyphen/>
        <w:t>таний и сформировать в полках специальные груп</w:t>
      </w:r>
      <w:r w:rsidRPr="001E2C69">
        <w:rPr>
          <w:color w:val="000000" w:themeColor="text1"/>
          <w:sz w:val="16"/>
          <w:szCs w:val="16"/>
        </w:rPr>
        <w:softHyphen/>
        <w:t>пы летчиков-штурмовиков, обученных прицельной стрельбе из крупнокалиберных пушек с Ил-2 по наземным целям и натренированных для борьбы с немецкими танками.</w:t>
      </w:r>
    </w:p>
    <w:p w14:paraId="365D0ADF" w14:textId="77777777" w:rsidR="00140708" w:rsidRPr="001E2C69" w:rsidRDefault="0014070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Попутно заметим, что последнее положение, например, нашло свое отражение в «Основных ука</w:t>
      </w:r>
      <w:r w:rsidRPr="001E2C69">
        <w:rPr>
          <w:color w:val="000000" w:themeColor="text1"/>
          <w:sz w:val="16"/>
          <w:szCs w:val="16"/>
        </w:rPr>
        <w:softHyphen/>
        <w:t>заниях по использованию германской штурмовой авиации для действий по танкам» от 3 июня 1942 г., где указывается: «Для действий по танкам исполь</w:t>
      </w:r>
      <w:r w:rsidRPr="001E2C69">
        <w:rPr>
          <w:color w:val="000000" w:themeColor="text1"/>
          <w:sz w:val="16"/>
          <w:szCs w:val="16"/>
        </w:rPr>
        <w:softHyphen/>
        <w:t>зуются специально подготовленные экипажи. Ис</w:t>
      </w:r>
      <w:r w:rsidRPr="001E2C69">
        <w:rPr>
          <w:color w:val="000000" w:themeColor="text1"/>
          <w:sz w:val="16"/>
          <w:szCs w:val="16"/>
        </w:rPr>
        <w:softHyphen/>
        <w:t>пользование малоопытных летчиков запрещается в связи с необходимостью экономить боеприпасы. Специальные экипажи должны путем постоянных тренировок непрерывно повышать свою стрелко</w:t>
      </w:r>
      <w:r w:rsidRPr="001E2C69">
        <w:rPr>
          <w:color w:val="000000" w:themeColor="text1"/>
          <w:sz w:val="16"/>
          <w:szCs w:val="16"/>
        </w:rPr>
        <w:softHyphen/>
        <w:t>вую подготовку».</w:t>
      </w:r>
    </w:p>
    <w:p w14:paraId="2A76E654" w14:textId="77777777" w:rsidR="00140708" w:rsidRPr="001E2C69" w:rsidRDefault="0014070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После утверждения результатов по полигон</w:t>
      </w:r>
      <w:r w:rsidRPr="001E2C69">
        <w:rPr>
          <w:color w:val="000000" w:themeColor="text1"/>
          <w:sz w:val="16"/>
          <w:szCs w:val="16"/>
        </w:rPr>
        <w:softHyphen/>
        <w:t>ным испытаниям вооружения самолета Ил-2 на эффективность действия по трофейным немец</w:t>
      </w:r>
      <w:r w:rsidRPr="001E2C69">
        <w:rPr>
          <w:color w:val="000000" w:themeColor="text1"/>
          <w:sz w:val="16"/>
          <w:szCs w:val="16"/>
        </w:rPr>
        <w:softHyphen/>
        <w:t>ким танкам и бронемашинам начальником НИП АВ ВВС полковником Л. П. Лобачевым материалы 21 июля были направлены главному инженеру ВВС генерал-лейтенанту А. К. Репину, который ут</w:t>
      </w:r>
      <w:r w:rsidRPr="001E2C69">
        <w:rPr>
          <w:color w:val="000000" w:themeColor="text1"/>
          <w:sz w:val="16"/>
          <w:szCs w:val="16"/>
        </w:rPr>
        <w:softHyphen/>
        <w:t>вердил отчет 24 июля. Уже через два дня, 26 июля, с отчетом ознакомился командующий ВВС гене</w:t>
      </w:r>
      <w:r w:rsidRPr="001E2C69">
        <w:rPr>
          <w:color w:val="000000" w:themeColor="text1"/>
          <w:sz w:val="16"/>
          <w:szCs w:val="16"/>
        </w:rPr>
        <w:softHyphen/>
        <w:t>рал-лейтенант А. А. Новиков и утвердил результа</w:t>
      </w:r>
      <w:r w:rsidRPr="001E2C69">
        <w:rPr>
          <w:color w:val="000000" w:themeColor="text1"/>
          <w:sz w:val="16"/>
          <w:szCs w:val="16"/>
        </w:rPr>
        <w:softHyphen/>
        <w:t>ты испытаний.</w:t>
      </w:r>
    </w:p>
    <w:p w14:paraId="2E6EEBC6" w14:textId="77777777" w:rsidR="00140708" w:rsidRPr="001E2C69" w:rsidRDefault="0014070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 распоряжению командующего ВВС один эк</w:t>
      </w:r>
      <w:r w:rsidRPr="001E2C69">
        <w:rPr>
          <w:color w:val="000000" w:themeColor="text1"/>
          <w:sz w:val="16"/>
          <w:szCs w:val="16"/>
        </w:rPr>
        <w:softHyphen/>
        <w:t>земпляр отчета 31 июля был направлен для озна</w:t>
      </w:r>
      <w:r w:rsidRPr="001E2C69">
        <w:rPr>
          <w:color w:val="000000" w:themeColor="text1"/>
          <w:sz w:val="16"/>
          <w:szCs w:val="16"/>
        </w:rPr>
        <w:softHyphen/>
        <w:t>комления начальнику Генерального штаба Красной Армии маршалу Б. М. Шапошникову. По одному экземпляру получили начальник НИИ ВВС гене</w:t>
      </w:r>
      <w:r w:rsidRPr="001E2C69">
        <w:rPr>
          <w:color w:val="000000" w:themeColor="text1"/>
          <w:sz w:val="16"/>
          <w:szCs w:val="16"/>
        </w:rPr>
        <w:softHyphen/>
        <w:t>рал-майор П. А. Лосюков и заместитель командую</w:t>
      </w:r>
      <w:r w:rsidRPr="001E2C69">
        <w:rPr>
          <w:color w:val="000000" w:themeColor="text1"/>
          <w:sz w:val="16"/>
          <w:szCs w:val="16"/>
        </w:rPr>
        <w:softHyphen/>
        <w:t>щего ВВС КА по воздушно-стрелковой службе гене</w:t>
      </w:r>
      <w:r w:rsidRPr="001E2C69">
        <w:rPr>
          <w:color w:val="000000" w:themeColor="text1"/>
          <w:sz w:val="16"/>
          <w:szCs w:val="16"/>
        </w:rPr>
        <w:softHyphen/>
        <w:t>рал-майор А. М. Рафалович.</w:t>
      </w:r>
    </w:p>
    <w:p w14:paraId="7057DACD" w14:textId="77777777" w:rsidR="00140708" w:rsidRPr="001E2C69" w:rsidRDefault="0014070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Если подойти критически к оценке результатов полигонных испытаний, то можно сказать следую</w:t>
      </w:r>
      <w:r w:rsidRPr="001E2C69">
        <w:rPr>
          <w:color w:val="000000" w:themeColor="text1"/>
          <w:sz w:val="16"/>
          <w:szCs w:val="16"/>
        </w:rPr>
        <w:softHyphen/>
        <w:t>щее. Испытание пушечного вооружения было про</w:t>
      </w:r>
      <w:r w:rsidRPr="001E2C69">
        <w:rPr>
          <w:color w:val="000000" w:themeColor="text1"/>
          <w:sz w:val="16"/>
          <w:szCs w:val="16"/>
        </w:rPr>
        <w:softHyphen/>
        <w:t>ведено достаточно тщательно, а испытание бомб и ракетных снарядов — неполно.</w:t>
      </w:r>
    </w:p>
    <w:p w14:paraId="7571DC70" w14:textId="77777777" w:rsidR="00140708" w:rsidRPr="001E2C69" w:rsidRDefault="0014070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Так, например, с целью определения эффектив</w:t>
      </w:r>
      <w:r w:rsidRPr="001E2C69">
        <w:rPr>
          <w:color w:val="000000" w:themeColor="text1"/>
          <w:sz w:val="16"/>
          <w:szCs w:val="16"/>
        </w:rPr>
        <w:softHyphen/>
        <w:t>ности действия были испытаны подрывом бом</w:t>
      </w:r>
      <w:r w:rsidRPr="001E2C69">
        <w:rPr>
          <w:color w:val="000000" w:themeColor="text1"/>
          <w:sz w:val="16"/>
          <w:szCs w:val="16"/>
        </w:rPr>
        <w:softHyphen/>
        <w:t>бы типа АО-25сл, АО-25м13, ФАБ-50сч, ФАБ-100цк и ФАБ-250, тогда как наиболее успешно применя</w:t>
      </w:r>
      <w:r w:rsidRPr="001E2C69">
        <w:rPr>
          <w:color w:val="000000" w:themeColor="text1"/>
          <w:sz w:val="16"/>
          <w:szCs w:val="16"/>
        </w:rPr>
        <w:softHyphen/>
        <w:t>ются в условиях боя бомбы ФАБ-50м2 и ФАБ-50м9. Опытные бомбы типа ФАБ-50—100 вообще не ис- пытывались.</w:t>
      </w:r>
    </w:p>
    <w:p w14:paraId="2C22992B" w14:textId="77777777" w:rsidR="00140708" w:rsidRPr="001E2C69" w:rsidRDefault="0014070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Методика испытаний подрывами бомб на по</w:t>
      </w:r>
      <w:r w:rsidRPr="001E2C69">
        <w:rPr>
          <w:color w:val="000000" w:themeColor="text1"/>
          <w:sz w:val="16"/>
          <w:szCs w:val="16"/>
        </w:rPr>
        <w:softHyphen/>
        <w:t>верхности грунта не отражает работу бомб при сбрасывании их с самолета в боевой обстановке. Действительно, бомба с взрывателем мгновенного действия, сброшенная с высоты, благодаря инерт</w:t>
      </w:r>
      <w:r w:rsidRPr="001E2C69">
        <w:rPr>
          <w:color w:val="000000" w:themeColor="text1"/>
          <w:sz w:val="16"/>
          <w:szCs w:val="16"/>
        </w:rPr>
        <w:softHyphen/>
        <w:t>ности последнего успевает углубиться в преграду. При взрыве образуется воронка глубиной до 0,6 м и часть наиболее крупных осколков от головной части бомбы перехватывается преградой или ча</w:t>
      </w:r>
      <w:r w:rsidRPr="001E2C69">
        <w:rPr>
          <w:color w:val="000000" w:themeColor="text1"/>
          <w:sz w:val="16"/>
          <w:szCs w:val="16"/>
        </w:rPr>
        <w:softHyphen/>
        <w:t>стично выбрасывается вместе с преградой со зна</w:t>
      </w:r>
      <w:r w:rsidRPr="001E2C69">
        <w:rPr>
          <w:color w:val="000000" w:themeColor="text1"/>
          <w:sz w:val="16"/>
          <w:szCs w:val="16"/>
        </w:rPr>
        <w:softHyphen/>
        <w:t>чительно меньшей начальной скоростью, чем при открытом взрыве. Кроме того, выбранные значения углов места, при которых проводились подрывы бомб, не соответствуют углам падения бомб при сбросе с типовых высот боевого применения штур</w:t>
      </w:r>
      <w:r w:rsidRPr="001E2C69">
        <w:rPr>
          <w:color w:val="000000" w:themeColor="text1"/>
          <w:sz w:val="16"/>
          <w:szCs w:val="16"/>
        </w:rPr>
        <w:softHyphen/>
        <w:t>мовика Ил-2.</w:t>
      </w:r>
    </w:p>
    <w:p w14:paraId="465AD06D" w14:textId="77777777" w:rsidR="00140708" w:rsidRPr="001E2C69" w:rsidRDefault="0014070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Таким образом, предложенный метод подрыва бомб не давал полной картины действительных ус</w:t>
      </w:r>
      <w:r w:rsidRPr="001E2C69">
        <w:rPr>
          <w:color w:val="000000" w:themeColor="text1"/>
          <w:sz w:val="16"/>
          <w:szCs w:val="16"/>
        </w:rPr>
        <w:softHyphen/>
        <w:t>ловий взрыва ни бомб, сброшенных с высоты, ни бомб, сброшенных на штурмовом полете, так как в последнем случае, как правило, бомбы рвутся в горизонтальном положении, после падения их на земле.</w:t>
      </w:r>
    </w:p>
    <w:p w14:paraId="24FABC37" w14:textId="77777777" w:rsidR="00140708" w:rsidRPr="001E2C69" w:rsidRDefault="0014070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Выводы о действии бомб и РОФС по танкам были сделаны, судя по отчету, на основании еди</w:t>
      </w:r>
      <w:r w:rsidRPr="001E2C69">
        <w:rPr>
          <w:color w:val="000000" w:themeColor="text1"/>
          <w:sz w:val="16"/>
          <w:szCs w:val="16"/>
        </w:rPr>
        <w:softHyphen/>
        <w:t>ничных наблюдений, а потому не могут быть пол</w:t>
      </w:r>
      <w:r w:rsidRPr="001E2C69">
        <w:rPr>
          <w:color w:val="000000" w:themeColor="text1"/>
          <w:sz w:val="16"/>
          <w:szCs w:val="16"/>
        </w:rPr>
        <w:softHyphen/>
        <w:t>ными и безупречными. В частности, РОФС-132 был подорван на удалении 1 м от танка и дал меньшее поражение танка по сравнению с АО-25м13 (явля</w:t>
      </w:r>
      <w:r w:rsidRPr="001E2C69">
        <w:rPr>
          <w:color w:val="000000" w:themeColor="text1"/>
          <w:sz w:val="16"/>
          <w:szCs w:val="16"/>
        </w:rPr>
        <w:softHyphen/>
        <w:t>ющейся переделкой из головной части РОФС-132), подорванной на удалении 3 м от танка.</w:t>
      </w:r>
    </w:p>
    <w:p w14:paraId="421362EC" w14:textId="77777777" w:rsidR="00140708" w:rsidRPr="001E2C69" w:rsidRDefault="0014070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Кроме того, в рекомендациях строевым частям были значительно завышены дальности стрельбы ракетными снарядами и не совсем корректно обо</w:t>
      </w:r>
      <w:r w:rsidRPr="001E2C69">
        <w:rPr>
          <w:color w:val="000000" w:themeColor="text1"/>
          <w:sz w:val="16"/>
          <w:szCs w:val="16"/>
        </w:rPr>
        <w:softHyphen/>
        <w:t>сновано использование двух видов вооружения (например, РС и пушек или пушек и бомб) в одном заходе.</w:t>
      </w:r>
    </w:p>
    <w:p w14:paraId="7CC6C282" w14:textId="77777777" w:rsidR="00140708" w:rsidRPr="001E2C69" w:rsidRDefault="0014070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Действительно, как следует из расчетов по ре</w:t>
      </w:r>
      <w:r w:rsidRPr="001E2C69">
        <w:rPr>
          <w:color w:val="000000" w:themeColor="text1"/>
          <w:sz w:val="16"/>
          <w:szCs w:val="16"/>
        </w:rPr>
        <w:softHyphen/>
        <w:t>зультатам полигонных испытаний и анализа бое</w:t>
      </w:r>
      <w:r w:rsidRPr="001E2C69">
        <w:rPr>
          <w:color w:val="000000" w:themeColor="text1"/>
          <w:sz w:val="16"/>
          <w:szCs w:val="16"/>
        </w:rPr>
        <w:softHyphen/>
        <w:t>вого опыта, выполнение одиночных или парных пусков РС-82 с дальности 600 м, как это рекомен</w:t>
      </w:r>
      <w:r w:rsidRPr="001E2C69">
        <w:rPr>
          <w:color w:val="000000" w:themeColor="text1"/>
          <w:sz w:val="16"/>
          <w:szCs w:val="16"/>
        </w:rPr>
        <w:softHyphen/>
        <w:t>довалось НИП АВ, обеспечивало вероятность поражения танка в 6—7 раз меньше, чем стрельба залпом по 4—8 ракетных снарядов с дальности 400—300 м.</w:t>
      </w:r>
    </w:p>
    <w:p w14:paraId="70210011" w14:textId="77777777" w:rsidR="00140708" w:rsidRPr="001E2C69" w:rsidRDefault="0014070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то же время использование двух видов во</w:t>
      </w:r>
      <w:r w:rsidRPr="001E2C69">
        <w:rPr>
          <w:color w:val="000000" w:themeColor="text1"/>
          <w:sz w:val="16"/>
          <w:szCs w:val="16"/>
        </w:rPr>
        <w:softHyphen/>
        <w:t>оружения штурмовика в одном заходе не позволя</w:t>
      </w:r>
      <w:r w:rsidRPr="001E2C69">
        <w:rPr>
          <w:color w:val="000000" w:themeColor="text1"/>
          <w:sz w:val="16"/>
          <w:szCs w:val="16"/>
        </w:rPr>
        <w:softHyphen/>
        <w:t>ло с максимальной эффективностью использовать второй по счету вид оружия, поскольку точность прицеливания для этого вида оружия снижалась примерно на 20—25% по сравнению с ситуацией, когда в одном заходе используется только одно оружие.</w:t>
      </w:r>
    </w:p>
    <w:p w14:paraId="3D0C7C58" w14:textId="77777777" w:rsidR="00140708" w:rsidRPr="001E2C69" w:rsidRDefault="0014070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Анализ боевых возможностей Ил-2 показывает, что более правильным было бы атаковывать ко</w:t>
      </w:r>
      <w:r w:rsidRPr="001E2C69">
        <w:rPr>
          <w:color w:val="000000" w:themeColor="text1"/>
          <w:sz w:val="16"/>
          <w:szCs w:val="16"/>
        </w:rPr>
        <w:softHyphen/>
        <w:t>роткую цель (бронированную или небронирован ную) как минимум в трех заходах с планирования под углом 25—30° с высоты 500—800 м, применяя в каждом заходе только один вид оружия. Напри</w:t>
      </w:r>
      <w:r w:rsidRPr="001E2C69">
        <w:rPr>
          <w:color w:val="000000" w:themeColor="text1"/>
          <w:sz w:val="16"/>
          <w:szCs w:val="16"/>
        </w:rPr>
        <w:softHyphen/>
        <w:t>мер, в первом заходе осуществляется пуск реак</w:t>
      </w:r>
      <w:r w:rsidRPr="001E2C69">
        <w:rPr>
          <w:color w:val="000000" w:themeColor="text1"/>
          <w:sz w:val="16"/>
          <w:szCs w:val="16"/>
        </w:rPr>
        <w:softHyphen/>
        <w:t>тивных снарядов залпом из 4 снарядов с дально</w:t>
      </w:r>
      <w:r w:rsidRPr="001E2C69">
        <w:rPr>
          <w:color w:val="000000" w:themeColor="text1"/>
          <w:sz w:val="16"/>
          <w:szCs w:val="16"/>
        </w:rPr>
        <w:softHyphen/>
        <w:t>сти не более 400—300 м. Затем, во втором заходе, на выходе из планирования выполняется сброс бомб. Начиная с третьего захода, цель обстрели</w:t>
      </w:r>
      <w:r w:rsidRPr="001E2C69">
        <w:rPr>
          <w:color w:val="000000" w:themeColor="text1"/>
          <w:sz w:val="16"/>
          <w:szCs w:val="16"/>
        </w:rPr>
        <w:softHyphen/>
        <w:t>вается пушечно-пулеметным огнем с дистанции до 400—300 м. Атака длинной цели вполне могла производиться с бреющего полета, как это реко</w:t>
      </w:r>
      <w:r w:rsidRPr="001E2C69">
        <w:rPr>
          <w:color w:val="000000" w:themeColor="text1"/>
          <w:sz w:val="16"/>
          <w:szCs w:val="16"/>
        </w:rPr>
        <w:softHyphen/>
        <w:t>мендовали специалисты НИП АВ, но обязательно с раздельным использованием каждого вида во</w:t>
      </w:r>
      <w:r w:rsidRPr="001E2C69">
        <w:rPr>
          <w:color w:val="000000" w:themeColor="text1"/>
          <w:sz w:val="16"/>
          <w:szCs w:val="16"/>
        </w:rPr>
        <w:softHyphen/>
        <w:t>оружения Ил-2 при дальностях залпового пуска РС и начала пулеметно-пушечной стрельбы не более 400 м.</w:t>
      </w:r>
    </w:p>
    <w:p w14:paraId="230B12AA" w14:textId="77777777" w:rsidR="00140708" w:rsidRPr="001E2C69" w:rsidRDefault="0014070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заключении от 12 сентября 1942 г. к отчету НИП АВ ВВС, подготовленном помощником началь</w:t>
      </w:r>
      <w:r w:rsidRPr="001E2C69">
        <w:rPr>
          <w:color w:val="000000" w:themeColor="text1"/>
          <w:sz w:val="16"/>
          <w:szCs w:val="16"/>
        </w:rPr>
        <w:softHyphen/>
        <w:t>ника 2-го отдела Оперативного управления штаба ВВС КА военным инженером 2-го ранга И. В. Пиме- новым, отмечалась «необходимость самого срочно</w:t>
      </w:r>
      <w:r w:rsidRPr="001E2C69">
        <w:rPr>
          <w:color w:val="000000" w:themeColor="text1"/>
          <w:sz w:val="16"/>
          <w:szCs w:val="16"/>
        </w:rPr>
        <w:softHyphen/>
        <w:t>го введения на вооружение Ил-2 с 37-мм пушками ОКБ-15 или ОКБ-16, лучше одной для стрельбы че</w:t>
      </w:r>
      <w:r w:rsidRPr="001E2C69">
        <w:rPr>
          <w:color w:val="000000" w:themeColor="text1"/>
          <w:sz w:val="16"/>
          <w:szCs w:val="16"/>
        </w:rPr>
        <w:softHyphen/>
        <w:t>рез втулку редуктора». Предлагалось незамедли</w:t>
      </w:r>
      <w:r w:rsidRPr="001E2C69">
        <w:rPr>
          <w:color w:val="000000" w:themeColor="text1"/>
          <w:sz w:val="16"/>
          <w:szCs w:val="16"/>
        </w:rPr>
        <w:softHyphen/>
        <w:t>тельно отработать и принять «на вооружение спе</w:t>
      </w:r>
      <w:r w:rsidRPr="001E2C69">
        <w:rPr>
          <w:color w:val="000000" w:themeColor="text1"/>
          <w:sz w:val="16"/>
          <w:szCs w:val="16"/>
        </w:rPr>
        <w:softHyphen/>
        <w:t>циальных противотанковых авиапушек с началь</w:t>
      </w:r>
      <w:r w:rsidRPr="001E2C69">
        <w:rPr>
          <w:color w:val="000000" w:themeColor="text1"/>
          <w:sz w:val="16"/>
          <w:szCs w:val="16"/>
        </w:rPr>
        <w:softHyphen/>
        <w:t>ной скоростью снаряда порядка 1300—1400 м/с (подобные скорости имеют немецкие противотан</w:t>
      </w:r>
      <w:r w:rsidRPr="001E2C69">
        <w:rPr>
          <w:color w:val="000000" w:themeColor="text1"/>
          <w:sz w:val="16"/>
          <w:szCs w:val="16"/>
        </w:rPr>
        <w:softHyphen/>
        <w:t>ковые пушки с так называемыми термитными сна</w:t>
      </w:r>
      <w:r w:rsidRPr="001E2C69">
        <w:rPr>
          <w:color w:val="000000" w:themeColor="text1"/>
          <w:sz w:val="16"/>
          <w:szCs w:val="16"/>
        </w:rPr>
        <w:softHyphen/>
        <w:t>рядами)». Кроме того, требовалось изыскание «но</w:t>
      </w:r>
      <w:r w:rsidRPr="001E2C69">
        <w:rPr>
          <w:color w:val="000000" w:themeColor="text1"/>
          <w:sz w:val="16"/>
          <w:szCs w:val="16"/>
        </w:rPr>
        <w:softHyphen/>
        <w:t>вых методов применения зажигательных средств штурмовиками по танкам, так как зажиганием оди</w:t>
      </w:r>
      <w:r w:rsidRPr="001E2C69">
        <w:rPr>
          <w:color w:val="000000" w:themeColor="text1"/>
          <w:sz w:val="16"/>
          <w:szCs w:val="16"/>
        </w:rPr>
        <w:softHyphen/>
        <w:t>наково достигается уничтожение как легкого, так и тяжелого танка, а горящий танк, как известно, является полностью безвозвратной потерей, чего нельзя сказать о танках, пораженных бомбой или пушечным огнем».</w:t>
      </w:r>
    </w:p>
    <w:p w14:paraId="7AD7BD4D" w14:textId="77777777" w:rsidR="00140708" w:rsidRPr="001E2C69" w:rsidRDefault="0014070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Интересно отметить еще один результат иссле</w:t>
      </w:r>
      <w:r w:rsidRPr="001E2C69">
        <w:rPr>
          <w:color w:val="000000" w:themeColor="text1"/>
          <w:sz w:val="16"/>
          <w:szCs w:val="16"/>
        </w:rPr>
        <w:softHyphen/>
        <w:t>довательской работы по оценке эффективности вооружения Ил-2. В августе 1942 г. с формулиров</w:t>
      </w:r>
      <w:r w:rsidRPr="001E2C69">
        <w:rPr>
          <w:color w:val="000000" w:themeColor="text1"/>
          <w:sz w:val="16"/>
          <w:szCs w:val="16"/>
        </w:rPr>
        <w:softHyphen/>
        <w:t>кой «в связи с необходимостью проведения ин</w:t>
      </w:r>
      <w:r w:rsidRPr="001E2C69">
        <w:rPr>
          <w:color w:val="000000" w:themeColor="text1"/>
          <w:sz w:val="16"/>
          <w:szCs w:val="16"/>
        </w:rPr>
        <w:softHyphen/>
        <w:t>структажа летного состава вновь формируемых штурмовых и истребительных противотанковых полков в стрельбе, бомбометании и выполнении атак по танкам» старший лейтенант Канюко и млад</w:t>
      </w:r>
      <w:r w:rsidRPr="001E2C69">
        <w:rPr>
          <w:color w:val="000000" w:themeColor="text1"/>
          <w:sz w:val="16"/>
          <w:szCs w:val="16"/>
        </w:rPr>
        <w:softHyphen/>
        <w:t>ший лейтенант Назаров из 245-го шап были отко</w:t>
      </w:r>
      <w:r w:rsidRPr="001E2C69">
        <w:rPr>
          <w:color w:val="000000" w:themeColor="text1"/>
          <w:sz w:val="16"/>
          <w:szCs w:val="16"/>
        </w:rPr>
        <w:softHyphen/>
        <w:t>мандированы в 4-й отдел НИИ ВВС. Утверждалось, что «указанные летчики прошли специальную тре</w:t>
      </w:r>
      <w:r w:rsidRPr="001E2C69">
        <w:rPr>
          <w:color w:val="000000" w:themeColor="text1"/>
          <w:sz w:val="16"/>
          <w:szCs w:val="16"/>
        </w:rPr>
        <w:softHyphen/>
        <w:t>нировку в действии по танкам и являются вполне подготовленными инструкторами, которых можно с успехом использовать при переучивании летного состава противотанковых полков».</w:t>
      </w:r>
    </w:p>
    <w:p w14:paraId="41861FFE" w14:textId="77777777" w:rsidR="00140708" w:rsidRPr="001E2C69" w:rsidRDefault="0014070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После получения из НИП АВ отчета с материала</w:t>
      </w:r>
      <w:r w:rsidRPr="001E2C69">
        <w:rPr>
          <w:color w:val="000000" w:themeColor="text1"/>
          <w:sz w:val="16"/>
          <w:szCs w:val="16"/>
        </w:rPr>
        <w:softHyphen/>
        <w:t>ми испытаний вооружения самолетов Ил-2 и ЛаГГ-3 при действии по немецкой бронетехнике специ</w:t>
      </w:r>
      <w:r w:rsidRPr="001E2C69">
        <w:rPr>
          <w:color w:val="000000" w:themeColor="text1"/>
          <w:sz w:val="16"/>
          <w:szCs w:val="16"/>
        </w:rPr>
        <w:softHyphen/>
        <w:t>алисты 2-го отдела (отдел по использованию опыта войны) Оперативного управления штаба ВВС в кон</w:t>
      </w:r>
      <w:r w:rsidRPr="001E2C69">
        <w:rPr>
          <w:color w:val="000000" w:themeColor="text1"/>
          <w:sz w:val="16"/>
          <w:szCs w:val="16"/>
        </w:rPr>
        <w:softHyphen/>
        <w:t>це июля выехали на участки Брянского и Западного фронтов с целью оценки эффективности действия немецкой авиации по бронетанковым частям Крас</w:t>
      </w:r>
      <w:r w:rsidRPr="001E2C69">
        <w:rPr>
          <w:color w:val="000000" w:themeColor="text1"/>
          <w:sz w:val="16"/>
          <w:szCs w:val="16"/>
        </w:rPr>
        <w:softHyphen/>
        <w:t>ной Армии (17500).</w:t>
      </w:r>
    </w:p>
    <w:p w14:paraId="51863833" w14:textId="77777777" w:rsidR="00140708" w:rsidRPr="001E2C69" w:rsidRDefault="00140708" w:rsidP="00722885">
      <w:pPr>
        <w:spacing w:after="0" w:line="240" w:lineRule="auto"/>
        <w:jc w:val="both"/>
        <w:rPr>
          <w:rFonts w:ascii="Times New Roman" w:eastAsia="Times New Roman" w:hAnsi="Times New Roman"/>
          <w:color w:val="000000" w:themeColor="text1"/>
          <w:sz w:val="16"/>
          <w:szCs w:val="16"/>
          <w:lang w:eastAsia="ru-RU"/>
        </w:rPr>
      </w:pPr>
    </w:p>
    <w:p w14:paraId="2526F012" w14:textId="77777777" w:rsidR="00DD0C17" w:rsidRPr="001E2C69"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24 июля 1942 г. вышел совместный приказ ВВС и НКАП № 559а/с/032, согласно которому создавалась специальная комиссия для опре</w:t>
      </w:r>
      <w:r w:rsidRPr="001E2C69">
        <w:rPr>
          <w:rFonts w:ascii="Times New Roman" w:cs="Times New Roman"/>
          <w:color w:val="000000" w:themeColor="text1"/>
          <w:spacing w:val="0"/>
          <w:sz w:val="16"/>
          <w:szCs w:val="16"/>
        </w:rPr>
        <w:softHyphen/>
        <w:t>деления схем бронезащиты самолетов от ору</w:t>
      </w:r>
      <w:r w:rsidRPr="001E2C69">
        <w:rPr>
          <w:rFonts w:ascii="Times New Roman" w:cs="Times New Roman"/>
          <w:color w:val="000000" w:themeColor="text1"/>
          <w:spacing w:val="0"/>
          <w:sz w:val="16"/>
          <w:szCs w:val="16"/>
        </w:rPr>
        <w:softHyphen/>
        <w:t>жия крупного калибра без ухудшения их летных качеств. В состав комиссии вошли: предсе</w:t>
      </w:r>
      <w:r w:rsidRPr="001E2C69">
        <w:rPr>
          <w:rFonts w:ascii="Times New Roman" w:cs="Times New Roman"/>
          <w:color w:val="000000" w:themeColor="text1"/>
          <w:spacing w:val="0"/>
          <w:sz w:val="16"/>
          <w:szCs w:val="16"/>
        </w:rPr>
        <w:softHyphen/>
        <w:t>датель - начальник НИИ ВВС генерал-май</w:t>
      </w:r>
      <w:r w:rsidRPr="001E2C69">
        <w:rPr>
          <w:rFonts w:ascii="Times New Roman" w:cs="Times New Roman"/>
          <w:color w:val="000000" w:themeColor="text1"/>
          <w:spacing w:val="0"/>
          <w:sz w:val="16"/>
          <w:szCs w:val="16"/>
        </w:rPr>
        <w:softHyphen/>
        <w:t>ор П.А. Лосюков, главный конструктор, д.т.н. П.О. Сухой, заместитель начальника 7-го Глав</w:t>
      </w:r>
      <w:r w:rsidRPr="001E2C69">
        <w:rPr>
          <w:rFonts w:ascii="Times New Roman" w:cs="Times New Roman"/>
          <w:color w:val="000000" w:themeColor="text1"/>
          <w:spacing w:val="0"/>
          <w:sz w:val="16"/>
          <w:szCs w:val="16"/>
        </w:rPr>
        <w:softHyphen/>
        <w:t>ного управления НКАП бригинженер П.Я. Залесский, заместитель начальника ВИАМ по научной работе д.т.н. Кишкин, инженер 14-го отдела НИИ ВВС инженер-майор Шлямин, штурман 3-го отдела НИИ ВВС подполковник Никитин.</w:t>
      </w:r>
    </w:p>
    <w:p w14:paraId="61D49976" w14:textId="77777777" w:rsidR="00DD0C17" w:rsidRPr="001E2C69"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К 10 августа комиссия должна была пред</w:t>
      </w:r>
      <w:r w:rsidRPr="001E2C69">
        <w:rPr>
          <w:rFonts w:ascii="Times New Roman" w:cs="Times New Roman"/>
          <w:color w:val="000000" w:themeColor="text1"/>
          <w:spacing w:val="0"/>
          <w:sz w:val="16"/>
          <w:szCs w:val="16"/>
        </w:rPr>
        <w:softHyphen/>
        <w:t>ставить схемы улучшения бронезащиты само</w:t>
      </w:r>
      <w:r w:rsidRPr="001E2C69">
        <w:rPr>
          <w:rFonts w:ascii="Times New Roman" w:cs="Times New Roman"/>
          <w:color w:val="000000" w:themeColor="text1"/>
          <w:spacing w:val="0"/>
          <w:sz w:val="16"/>
          <w:szCs w:val="16"/>
        </w:rPr>
        <w:softHyphen/>
        <w:t>летов ЛаГГ-3, ЛаГГ-5, Як-1, Як-7, Пе-2, Ил-2, Ил-4, Ту-2 и ТБ-7. Приказ подписали замести</w:t>
      </w:r>
      <w:r w:rsidRPr="001E2C69">
        <w:rPr>
          <w:rFonts w:ascii="Times New Roman" w:cs="Times New Roman"/>
          <w:color w:val="000000" w:themeColor="text1"/>
          <w:spacing w:val="0"/>
          <w:sz w:val="16"/>
          <w:szCs w:val="16"/>
        </w:rPr>
        <w:softHyphen/>
        <w:t>тель командующего ВВС КА генерал-лейтенант А.К. Репин и замнаркома авиапромышленно</w:t>
      </w:r>
      <w:r w:rsidRPr="001E2C69">
        <w:rPr>
          <w:rFonts w:ascii="Times New Roman" w:cs="Times New Roman"/>
          <w:color w:val="000000" w:themeColor="text1"/>
          <w:spacing w:val="0"/>
          <w:sz w:val="16"/>
          <w:szCs w:val="16"/>
        </w:rPr>
        <w:softHyphen/>
        <w:t>сти А.С. Яковлев.</w:t>
      </w:r>
    </w:p>
    <w:p w14:paraId="3410232D" w14:textId="77777777" w:rsidR="00DD0C17" w:rsidRPr="001E2C69"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Комиссия провела три заседания -10,13 и 17 августа. На первом заседании заслушивал</w:t>
      </w:r>
      <w:r w:rsidRPr="001E2C69">
        <w:rPr>
          <w:rFonts w:ascii="Times New Roman" w:cs="Times New Roman"/>
          <w:color w:val="000000" w:themeColor="text1"/>
          <w:spacing w:val="0"/>
          <w:sz w:val="16"/>
          <w:szCs w:val="16"/>
        </w:rPr>
        <w:softHyphen/>
        <w:t>ся и обсуждался доклад флагманского врача ВВС КА бригврача Л.Г. Ратгауза «О санитарных потерях на современных боевых самолетах», на втором - доклад НИИ ВВС по результатам подбора типа и толщины брони с целью защи</w:t>
      </w:r>
      <w:r w:rsidRPr="001E2C69">
        <w:rPr>
          <w:rFonts w:ascii="Times New Roman" w:cs="Times New Roman"/>
          <w:color w:val="000000" w:themeColor="text1"/>
          <w:spacing w:val="0"/>
          <w:sz w:val="16"/>
          <w:szCs w:val="16"/>
        </w:rPr>
        <w:softHyphen/>
        <w:t xml:space="preserve">ты от </w:t>
      </w:r>
      <w:r w:rsidRPr="001E2C69">
        <w:rPr>
          <w:rFonts w:ascii="Times New Roman" w:cs="Times New Roman"/>
          <w:color w:val="000000" w:themeColor="text1"/>
          <w:spacing w:val="0"/>
          <w:sz w:val="16"/>
          <w:szCs w:val="16"/>
        </w:rPr>
        <w:lastRenderedPageBreak/>
        <w:t>немецкого авиационного оружия кали</w:t>
      </w:r>
      <w:r w:rsidRPr="001E2C69">
        <w:rPr>
          <w:rFonts w:ascii="Times New Roman" w:cs="Times New Roman"/>
          <w:color w:val="000000" w:themeColor="text1"/>
          <w:spacing w:val="0"/>
          <w:sz w:val="16"/>
          <w:szCs w:val="16"/>
        </w:rPr>
        <w:softHyphen/>
        <w:t xml:space="preserve">бра 15 и 20 мм, на третьем - проект усиления бронирования серийных самолетов ВВС КА, </w:t>
      </w:r>
      <w:r w:rsidRPr="001E2C69">
        <w:rPr>
          <w:rStyle w:val="aff8"/>
          <w:rFonts w:ascii="Times New Roman" w:eastAsia="Arial Narrow" w:hAnsi="Times New Roman" w:cs="Times New Roman"/>
          <w:i w:val="0"/>
          <w:color w:val="000000" w:themeColor="text1"/>
          <w:spacing w:val="0"/>
        </w:rPr>
        <w:t>«представленный НИИ ВВС в виде схем».</w:t>
      </w:r>
    </w:p>
    <w:p w14:paraId="6A2250FC" w14:textId="77777777" w:rsidR="00DD0C17" w:rsidRPr="001E2C69"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Выводы из доклада бригврача Л.Г. Рат</w:t>
      </w:r>
      <w:r w:rsidRPr="001E2C69">
        <w:rPr>
          <w:rFonts w:ascii="Times New Roman" w:cs="Times New Roman"/>
          <w:color w:val="000000" w:themeColor="text1"/>
          <w:spacing w:val="0"/>
          <w:sz w:val="16"/>
          <w:szCs w:val="16"/>
        </w:rPr>
        <w:softHyphen/>
        <w:t>гауза сводились к следующему. Основная масса ранений летного состава приходилась на верхние и нижние конечности (55,7%) и на голову (31,3%). Распределение ранений было неодинаковым у различных категорий летного состава: у летчиков-истребителей и стрелков- радистов бомбардировщиков поражались, главным образом, нижние конечности (42%), у штурмовиков - голова летчика (51,4%). На</w:t>
      </w:r>
      <w:r w:rsidRPr="001E2C69">
        <w:rPr>
          <w:rFonts w:ascii="Times New Roman" w:cs="Times New Roman"/>
          <w:color w:val="000000" w:themeColor="text1"/>
          <w:spacing w:val="0"/>
          <w:sz w:val="16"/>
          <w:szCs w:val="16"/>
        </w:rPr>
        <w:softHyphen/>
        <w:t>ибольшее количество ранений приходилось на левую половину тела (66,7%), меньше - на правую (25,0%) и еще меньше - сзади (4,15%) и снизу (4,15%). Ранения спереди не были за</w:t>
      </w:r>
      <w:r w:rsidRPr="001E2C69">
        <w:rPr>
          <w:rFonts w:ascii="Times New Roman" w:cs="Times New Roman"/>
          <w:color w:val="000000" w:themeColor="text1"/>
          <w:spacing w:val="0"/>
          <w:sz w:val="16"/>
          <w:szCs w:val="16"/>
        </w:rPr>
        <w:softHyphen/>
        <w:t>регистрированы вовсе.</w:t>
      </w:r>
    </w:p>
    <w:p w14:paraId="4189B301" w14:textId="77777777" w:rsidR="00DD0C17" w:rsidRPr="001E2C69"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Летчики на разных типах самолетов име</w:t>
      </w:r>
      <w:r w:rsidRPr="001E2C69">
        <w:rPr>
          <w:rFonts w:ascii="Times New Roman" w:cs="Times New Roman"/>
          <w:color w:val="000000" w:themeColor="text1"/>
          <w:spacing w:val="0"/>
          <w:sz w:val="16"/>
          <w:szCs w:val="16"/>
        </w:rPr>
        <w:softHyphen/>
        <w:t>ли и различное распределение ранений. Так, у летчиков на Як-1 отмечался очень большой процент ранений ног (50,7%), а у летчиков на МиГ-3 чаще встречались ранения головы (44,2%).</w:t>
      </w:r>
    </w:p>
    <w:p w14:paraId="5AA516F0" w14:textId="77777777" w:rsidR="00DD0C17" w:rsidRPr="001E2C69" w:rsidRDefault="00DD0C17" w:rsidP="00722885">
      <w:pPr>
        <w:pStyle w:val="45"/>
        <w:shd w:val="clear" w:color="auto" w:fill="auto"/>
        <w:spacing w:before="0" w:line="240" w:lineRule="auto"/>
        <w:jc w:val="both"/>
        <w:rPr>
          <w:rFonts w:ascii="Times New Roman" w:cs="Times New Roman"/>
          <w:color w:val="000000" w:themeColor="text1"/>
          <w:sz w:val="16"/>
          <w:szCs w:val="16"/>
        </w:rPr>
      </w:pPr>
      <w:r w:rsidRPr="001E2C69">
        <w:rPr>
          <w:rStyle w:val="4f1"/>
          <w:rFonts w:ascii="Times New Roman" w:hAnsi="Times New Roman" w:cs="Times New Roman"/>
          <w:i w:val="0"/>
          <w:color w:val="000000" w:themeColor="text1"/>
          <w:sz w:val="16"/>
          <w:szCs w:val="16"/>
        </w:rPr>
        <w:t>Комиссия констатировала, что</w:t>
      </w:r>
      <w:r w:rsidRPr="001E2C69">
        <w:rPr>
          <w:rFonts w:ascii="Times New Roman" w:cs="Times New Roman"/>
          <w:color w:val="000000" w:themeColor="text1"/>
          <w:sz w:val="16"/>
          <w:szCs w:val="16"/>
        </w:rPr>
        <w:t xml:space="preserve"> «броневая защита боевых самолетов ВВС недостаточна по площади и углам и на некоторых самолетах оставляет особо уязвимые места (левая рука, голова, нижние конечности)».</w:t>
      </w:r>
    </w:p>
    <w:p w14:paraId="0A6DCC68" w14:textId="77777777" w:rsidR="00DD0C17" w:rsidRPr="001E2C69"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Схема бронирования истребителя Як-7Б (по материалам работы комиссии ВВС и НКАП, июль-август 1942 г.).</w:t>
      </w:r>
    </w:p>
    <w:tbl>
      <w:tblPr>
        <w:tblW w:w="0" w:type="auto"/>
        <w:tblLayout w:type="fixed"/>
        <w:tblCellMar>
          <w:left w:w="10" w:type="dxa"/>
          <w:right w:w="10" w:type="dxa"/>
        </w:tblCellMar>
        <w:tblLook w:val="04A0" w:firstRow="1" w:lastRow="0" w:firstColumn="1" w:lastColumn="0" w:noHBand="0" w:noVBand="1"/>
      </w:tblPr>
      <w:tblGrid>
        <w:gridCol w:w="254"/>
        <w:gridCol w:w="1210"/>
        <w:gridCol w:w="360"/>
        <w:gridCol w:w="355"/>
        <w:gridCol w:w="360"/>
        <w:gridCol w:w="355"/>
      </w:tblGrid>
      <w:tr w:rsidR="001E2C69" w:rsidRPr="001E2C69" w14:paraId="378EAA99" w14:textId="77777777" w:rsidTr="00627011">
        <w:trPr>
          <w:trHeight w:val="130"/>
        </w:trPr>
        <w:tc>
          <w:tcPr>
            <w:tcW w:w="254" w:type="dxa"/>
            <w:vMerge w:val="restart"/>
            <w:tcBorders>
              <w:top w:val="single" w:sz="4" w:space="0" w:color="auto"/>
              <w:left w:val="single" w:sz="4" w:space="0" w:color="auto"/>
              <w:right w:val="single" w:sz="4" w:space="0" w:color="auto"/>
            </w:tcBorders>
            <w:shd w:val="clear" w:color="auto" w:fill="FFFFFF"/>
          </w:tcPr>
          <w:p w14:paraId="314775BE"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 п/п</w:t>
            </w:r>
          </w:p>
        </w:tc>
        <w:tc>
          <w:tcPr>
            <w:tcW w:w="1210" w:type="dxa"/>
            <w:vMerge w:val="restart"/>
            <w:tcBorders>
              <w:top w:val="single" w:sz="4" w:space="0" w:color="auto"/>
              <w:left w:val="single" w:sz="4" w:space="0" w:color="auto"/>
              <w:right w:val="single" w:sz="4" w:space="0" w:color="auto"/>
            </w:tcBorders>
            <w:shd w:val="clear" w:color="auto" w:fill="FFFFFF"/>
          </w:tcPr>
          <w:p w14:paraId="1D7CCA33"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Наименование бронедеталей</w:t>
            </w:r>
          </w:p>
        </w:tc>
        <w:tc>
          <w:tcPr>
            <w:tcW w:w="715" w:type="dxa"/>
            <w:gridSpan w:val="2"/>
            <w:tcBorders>
              <w:top w:val="single" w:sz="4" w:space="0" w:color="auto"/>
              <w:left w:val="single" w:sz="4" w:space="0" w:color="auto"/>
              <w:bottom w:val="single" w:sz="4" w:space="0" w:color="auto"/>
              <w:right w:val="single" w:sz="4" w:space="0" w:color="auto"/>
            </w:tcBorders>
            <w:shd w:val="clear" w:color="auto" w:fill="FFFFFF"/>
          </w:tcPr>
          <w:p w14:paraId="5765C7A4"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Существует</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6A8B27F"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Треб</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40D49CC3"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ется</w:t>
            </w:r>
          </w:p>
        </w:tc>
      </w:tr>
      <w:tr w:rsidR="001E2C69" w:rsidRPr="001E2C69" w14:paraId="1CB83388" w14:textId="77777777" w:rsidTr="00627011">
        <w:trPr>
          <w:trHeight w:val="250"/>
        </w:trPr>
        <w:tc>
          <w:tcPr>
            <w:tcW w:w="254" w:type="dxa"/>
            <w:vMerge/>
            <w:tcBorders>
              <w:left w:val="single" w:sz="4" w:space="0" w:color="auto"/>
              <w:bottom w:val="single" w:sz="4" w:space="0" w:color="auto"/>
              <w:right w:val="single" w:sz="4" w:space="0" w:color="auto"/>
            </w:tcBorders>
            <w:shd w:val="clear" w:color="auto" w:fill="FFFFFF"/>
          </w:tcPr>
          <w:p w14:paraId="77338D8A"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1210" w:type="dxa"/>
            <w:vMerge/>
            <w:tcBorders>
              <w:left w:val="single" w:sz="4" w:space="0" w:color="auto"/>
              <w:bottom w:val="single" w:sz="4" w:space="0" w:color="auto"/>
              <w:right w:val="single" w:sz="4" w:space="0" w:color="auto"/>
            </w:tcBorders>
            <w:shd w:val="clear" w:color="auto" w:fill="FFFFFF"/>
          </w:tcPr>
          <w:p w14:paraId="0FC9DECC"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E74EEBB"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Толщ., мм</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76F765BB"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Вес, кг</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C06A30F"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Толщ,, мм</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75AA2E1E"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Вес, кг</w:t>
            </w:r>
          </w:p>
        </w:tc>
      </w:tr>
      <w:tr w:rsidR="001E2C69" w:rsidRPr="001E2C69" w14:paraId="159C2FAB" w14:textId="77777777" w:rsidTr="00627011">
        <w:trPr>
          <w:trHeight w:val="12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619D9AFB"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764F8053"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Бронеспинка</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2FAD4A1"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8,5</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4BBC14A8"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30</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97147A7"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15</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59D6843E"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53</w:t>
            </w:r>
          </w:p>
        </w:tc>
      </w:tr>
      <w:tr w:rsidR="001E2C69" w:rsidRPr="001E2C69" w14:paraId="2E067157" w14:textId="77777777" w:rsidTr="00627011">
        <w:trPr>
          <w:trHeight w:val="12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23DD713D"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2</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014DFAE5"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Бронестекло</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279ECC7B" w14:textId="77777777" w:rsidR="00DD0C17" w:rsidRPr="001E2C69" w:rsidRDefault="00DD0C17" w:rsidP="00722885">
            <w:pPr>
              <w:pStyle w:val="501"/>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12174163" w14:textId="77777777" w:rsidR="00DD0C17" w:rsidRPr="001E2C69" w:rsidRDefault="00DD0C17" w:rsidP="00722885">
            <w:pPr>
              <w:pStyle w:val="511"/>
              <w:shd w:val="clear" w:color="auto" w:fill="auto"/>
              <w:spacing w:line="240" w:lineRule="auto"/>
              <w:jc w:val="both"/>
              <w:rPr>
                <w:rFonts w:ascii="Times New Roman" w:hAnsi="Times New Roman" w:cs="Times New Roman"/>
                <w:i w:val="0"/>
                <w:color w:val="000000" w:themeColor="text1"/>
                <w:sz w:val="16"/>
                <w:szCs w:val="16"/>
              </w:rPr>
            </w:pPr>
            <w:r w:rsidRPr="001E2C69">
              <w:rPr>
                <w:rFonts w:ascii="Times New Roman" w:hAnsi="Times New Roman" w:cs="Times New Roman"/>
                <w:i w:val="0"/>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21342282"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64</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681CA583"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9</w:t>
            </w:r>
          </w:p>
        </w:tc>
      </w:tr>
      <w:tr w:rsidR="001E2C69" w:rsidRPr="001E2C69" w14:paraId="22FA22F9"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4836D133"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3</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7A046D03"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Подлокотник слева</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6D703FA" w14:textId="77777777" w:rsidR="00DD0C17" w:rsidRPr="001E2C69" w:rsidRDefault="00DD0C17" w:rsidP="00722885">
            <w:pPr>
              <w:pStyle w:val="511"/>
              <w:shd w:val="clear" w:color="auto" w:fill="auto"/>
              <w:spacing w:line="240" w:lineRule="auto"/>
              <w:jc w:val="both"/>
              <w:rPr>
                <w:rFonts w:ascii="Times New Roman" w:hAnsi="Times New Roman" w:cs="Times New Roman"/>
                <w:i w:val="0"/>
                <w:color w:val="000000" w:themeColor="text1"/>
                <w:sz w:val="16"/>
                <w:szCs w:val="16"/>
              </w:rPr>
            </w:pPr>
            <w:r w:rsidRPr="001E2C69">
              <w:rPr>
                <w:rFonts w:ascii="Times New Roman" w:hAnsi="Times New Roman" w:cs="Times New Roman"/>
                <w:i w:val="0"/>
                <w:color w:val="000000" w:themeColor="text1"/>
                <w:sz w:val="16"/>
                <w:szCs w:val="16"/>
              </w:rPr>
              <w:t>-</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51C05946" w14:textId="77777777" w:rsidR="00DD0C17" w:rsidRPr="001E2C69" w:rsidRDefault="00DD0C17" w:rsidP="00722885">
            <w:pPr>
              <w:pStyle w:val="501"/>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5B2DA8E5"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01B54A90"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0</w:t>
            </w:r>
          </w:p>
        </w:tc>
      </w:tr>
      <w:tr w:rsidR="001E2C69" w:rsidRPr="001E2C69" w14:paraId="550B8C9E" w14:textId="77777777" w:rsidTr="00627011">
        <w:trPr>
          <w:trHeight w:val="12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711C67D3"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4</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69C7F16D"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Надголовник</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3685D277" w14:textId="77777777" w:rsidR="00DD0C17" w:rsidRPr="001E2C69" w:rsidRDefault="00DD0C17" w:rsidP="00722885">
            <w:pPr>
              <w:pStyle w:val="501"/>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46E80056" w14:textId="77777777" w:rsidR="00DD0C17" w:rsidRPr="001E2C69" w:rsidRDefault="00DD0C17" w:rsidP="00722885">
            <w:pPr>
              <w:pStyle w:val="520"/>
              <w:shd w:val="clear" w:color="auto" w:fill="auto"/>
              <w:spacing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D61CCAA"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10</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3BF58567"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w:t>
            </w:r>
          </w:p>
        </w:tc>
      </w:tr>
      <w:tr w:rsidR="001E2C69" w:rsidRPr="001E2C69" w14:paraId="2C9FACB5" w14:textId="77777777" w:rsidTr="00627011">
        <w:trPr>
          <w:trHeight w:val="139"/>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371E7F30"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28021C98"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Всего брони</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40FC9FC"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1CC4AF6D"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30</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08AAB36"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22D6FC74"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79</w:t>
            </w:r>
          </w:p>
        </w:tc>
      </w:tr>
    </w:tbl>
    <w:p w14:paraId="04B168EF"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(15776).</w:t>
      </w:r>
    </w:p>
    <w:p w14:paraId="25134FC0" w14:textId="77777777" w:rsidR="00DD0C17" w:rsidRPr="001E2C69" w:rsidRDefault="00DD0C17" w:rsidP="00722885">
      <w:pPr>
        <w:pStyle w:val="aff3"/>
        <w:shd w:val="clear" w:color="auto" w:fill="auto"/>
        <w:spacing w:line="240" w:lineRule="auto"/>
        <w:rPr>
          <w:rFonts w:ascii="Times New Roman" w:hAnsi="Times New Roman" w:cs="Times New Roman"/>
          <w:i w:val="0"/>
          <w:color w:val="000000" w:themeColor="text1"/>
          <w:sz w:val="16"/>
          <w:szCs w:val="16"/>
          <w:lang w:val="ru-RU"/>
        </w:rPr>
      </w:pPr>
      <w:r w:rsidRPr="001E2C69">
        <w:rPr>
          <w:rFonts w:ascii="Times New Roman" w:hAnsi="Times New Roman" w:cs="Times New Roman"/>
          <w:i w:val="0"/>
          <w:color w:val="000000" w:themeColor="text1"/>
          <w:sz w:val="16"/>
          <w:szCs w:val="16"/>
          <w:lang w:val="ru-RU"/>
        </w:rPr>
        <w:t>Схема бронирования истребителя Як-1 (по материалам работы комиссии ВВС и НКАП, июль-август 1942 г.).</w:t>
      </w:r>
    </w:p>
    <w:tbl>
      <w:tblPr>
        <w:tblW w:w="0" w:type="auto"/>
        <w:tblLayout w:type="fixed"/>
        <w:tblCellMar>
          <w:left w:w="10" w:type="dxa"/>
          <w:right w:w="10" w:type="dxa"/>
        </w:tblCellMar>
        <w:tblLook w:val="04A0" w:firstRow="1" w:lastRow="0" w:firstColumn="1" w:lastColumn="0" w:noHBand="0" w:noVBand="1"/>
      </w:tblPr>
      <w:tblGrid>
        <w:gridCol w:w="254"/>
        <w:gridCol w:w="1210"/>
        <w:gridCol w:w="360"/>
        <w:gridCol w:w="355"/>
        <w:gridCol w:w="360"/>
        <w:gridCol w:w="360"/>
      </w:tblGrid>
      <w:tr w:rsidR="001E2C69" w:rsidRPr="001E2C69" w14:paraId="08024CF8" w14:textId="77777777" w:rsidTr="00627011">
        <w:trPr>
          <w:trHeight w:val="130"/>
        </w:trPr>
        <w:tc>
          <w:tcPr>
            <w:tcW w:w="254" w:type="dxa"/>
            <w:vMerge w:val="restart"/>
            <w:tcBorders>
              <w:top w:val="single" w:sz="4" w:space="0" w:color="auto"/>
              <w:left w:val="single" w:sz="4" w:space="0" w:color="auto"/>
              <w:right w:val="single" w:sz="4" w:space="0" w:color="auto"/>
            </w:tcBorders>
            <w:shd w:val="clear" w:color="auto" w:fill="FFFFFF"/>
          </w:tcPr>
          <w:p w14:paraId="70E731B1"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 п/п</w:t>
            </w:r>
          </w:p>
        </w:tc>
        <w:tc>
          <w:tcPr>
            <w:tcW w:w="1210" w:type="dxa"/>
            <w:vMerge w:val="restart"/>
            <w:tcBorders>
              <w:top w:val="single" w:sz="4" w:space="0" w:color="auto"/>
              <w:left w:val="single" w:sz="4" w:space="0" w:color="auto"/>
              <w:right w:val="single" w:sz="4" w:space="0" w:color="auto"/>
            </w:tcBorders>
            <w:shd w:val="clear" w:color="auto" w:fill="FFFFFF"/>
          </w:tcPr>
          <w:p w14:paraId="706A554C"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Наименование бронедеталей</w:t>
            </w:r>
          </w:p>
        </w:tc>
        <w:tc>
          <w:tcPr>
            <w:tcW w:w="715" w:type="dxa"/>
            <w:gridSpan w:val="2"/>
            <w:tcBorders>
              <w:top w:val="single" w:sz="4" w:space="0" w:color="auto"/>
              <w:left w:val="single" w:sz="4" w:space="0" w:color="auto"/>
              <w:bottom w:val="single" w:sz="4" w:space="0" w:color="auto"/>
              <w:right w:val="single" w:sz="4" w:space="0" w:color="auto"/>
            </w:tcBorders>
            <w:shd w:val="clear" w:color="auto" w:fill="FFFFFF"/>
          </w:tcPr>
          <w:p w14:paraId="3A574A82"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Существует</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1D2277B"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Треб</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364173C0"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/ется</w:t>
            </w:r>
          </w:p>
        </w:tc>
      </w:tr>
      <w:tr w:rsidR="001E2C69" w:rsidRPr="001E2C69" w14:paraId="735A2D17" w14:textId="77777777" w:rsidTr="00627011">
        <w:trPr>
          <w:trHeight w:val="250"/>
        </w:trPr>
        <w:tc>
          <w:tcPr>
            <w:tcW w:w="254" w:type="dxa"/>
            <w:vMerge/>
            <w:tcBorders>
              <w:left w:val="single" w:sz="4" w:space="0" w:color="auto"/>
              <w:bottom w:val="single" w:sz="4" w:space="0" w:color="auto"/>
              <w:right w:val="single" w:sz="4" w:space="0" w:color="auto"/>
            </w:tcBorders>
            <w:shd w:val="clear" w:color="auto" w:fill="FFFFFF"/>
          </w:tcPr>
          <w:p w14:paraId="5B4F6CC1"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1210" w:type="dxa"/>
            <w:vMerge/>
            <w:tcBorders>
              <w:left w:val="single" w:sz="4" w:space="0" w:color="auto"/>
              <w:bottom w:val="single" w:sz="4" w:space="0" w:color="auto"/>
              <w:right w:val="single" w:sz="4" w:space="0" w:color="auto"/>
            </w:tcBorders>
            <w:shd w:val="clear" w:color="auto" w:fill="FFFFFF"/>
          </w:tcPr>
          <w:p w14:paraId="110C1DD4"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8E10F35"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Толщ., мм</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0D1118C8"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Вес, кг</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3F070CB"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Толщ., мм</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A24082C"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Вес, кг</w:t>
            </w:r>
          </w:p>
        </w:tc>
      </w:tr>
      <w:tr w:rsidR="001E2C69" w:rsidRPr="001E2C69" w14:paraId="2369A888" w14:textId="77777777" w:rsidTr="00627011">
        <w:trPr>
          <w:trHeight w:val="12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6580B288"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154DE9E5"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Бронеспинка</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912AB8A"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8,5</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0C4BB390"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29</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F345A67"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15</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267CF903"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51</w:t>
            </w:r>
          </w:p>
        </w:tc>
      </w:tr>
      <w:tr w:rsidR="001E2C69" w:rsidRPr="001E2C69" w14:paraId="13B38B00"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277324FA"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075E4DCF"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Бронестекло</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7DBC083"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64</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547531E9"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9</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2F08AD0F"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64</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AE3E420"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9</w:t>
            </w:r>
          </w:p>
        </w:tc>
      </w:tr>
      <w:tr w:rsidR="001E2C69" w:rsidRPr="001E2C69" w14:paraId="3C0DAD54"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69E83DB6"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3</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0D947099"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Подлокотник слева</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2B04C44" w14:textId="77777777" w:rsidR="00DD0C17" w:rsidRPr="001E2C69" w:rsidRDefault="00DD0C17" w:rsidP="00722885">
            <w:pPr>
              <w:pStyle w:val="54"/>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106A8667" w14:textId="77777777" w:rsidR="00DD0C17" w:rsidRPr="001E2C69" w:rsidRDefault="00DD0C17" w:rsidP="00722885">
            <w:pPr>
              <w:pStyle w:val="54"/>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1B2CBA6"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233B7BEB"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9</w:t>
            </w:r>
          </w:p>
        </w:tc>
      </w:tr>
      <w:tr w:rsidR="001E2C69" w:rsidRPr="001E2C69" w14:paraId="69943A95"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73BF49E0"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4</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0C8218D4"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Надоголовник</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5FF39A1" w14:textId="77777777" w:rsidR="00DD0C17" w:rsidRPr="001E2C69" w:rsidRDefault="00DD0C17" w:rsidP="00722885">
            <w:pPr>
              <w:pStyle w:val="54"/>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5B52D3AB" w14:textId="77777777" w:rsidR="00DD0C17" w:rsidRPr="001E2C69" w:rsidRDefault="00DD0C17" w:rsidP="00722885">
            <w:pPr>
              <w:pStyle w:val="54"/>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38F1C78"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10</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443D6CC"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w:t>
            </w:r>
          </w:p>
        </w:tc>
      </w:tr>
      <w:tr w:rsidR="001E2C69" w:rsidRPr="001E2C69" w14:paraId="3336506D"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76984450"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4A819744"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Всего брони</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894DC40"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31D26735"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39</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FCE1B91"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5104762C"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77</w:t>
            </w:r>
          </w:p>
        </w:tc>
      </w:tr>
    </w:tbl>
    <w:p w14:paraId="45B8224A" w14:textId="77777777" w:rsidR="00DD0C17" w:rsidRPr="001E2C69" w:rsidRDefault="00DD0C17" w:rsidP="00722885">
      <w:pPr>
        <w:pStyle w:val="28"/>
        <w:shd w:val="clear" w:color="auto" w:fill="auto"/>
        <w:spacing w:before="0"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(15776).</w:t>
      </w:r>
    </w:p>
    <w:p w14:paraId="44084FAB" w14:textId="77777777" w:rsidR="00DD0C17" w:rsidRPr="001E2C69" w:rsidRDefault="00DD0C17" w:rsidP="00722885">
      <w:pPr>
        <w:pStyle w:val="affc"/>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Схема бронирования истребителя ЛаГГ-3 (по материалам работы комиссии ВВС и НКАП, июль-август 1942 г.).</w:t>
      </w:r>
    </w:p>
    <w:tbl>
      <w:tblPr>
        <w:tblW w:w="0" w:type="auto"/>
        <w:tblLayout w:type="fixed"/>
        <w:tblCellMar>
          <w:left w:w="10" w:type="dxa"/>
          <w:right w:w="10" w:type="dxa"/>
        </w:tblCellMar>
        <w:tblLook w:val="04A0" w:firstRow="1" w:lastRow="0" w:firstColumn="1" w:lastColumn="0" w:noHBand="0" w:noVBand="1"/>
      </w:tblPr>
      <w:tblGrid>
        <w:gridCol w:w="259"/>
        <w:gridCol w:w="1210"/>
        <w:gridCol w:w="355"/>
        <w:gridCol w:w="355"/>
        <w:gridCol w:w="360"/>
        <w:gridCol w:w="360"/>
      </w:tblGrid>
      <w:tr w:rsidR="001E2C69" w:rsidRPr="001E2C69" w14:paraId="06CF2E83" w14:textId="77777777" w:rsidTr="00627011">
        <w:trPr>
          <w:trHeight w:val="134"/>
        </w:trPr>
        <w:tc>
          <w:tcPr>
            <w:tcW w:w="259" w:type="dxa"/>
            <w:vMerge w:val="restart"/>
            <w:tcBorders>
              <w:top w:val="single" w:sz="4" w:space="0" w:color="auto"/>
              <w:left w:val="single" w:sz="4" w:space="0" w:color="auto"/>
              <w:right w:val="single" w:sz="4" w:space="0" w:color="auto"/>
            </w:tcBorders>
            <w:shd w:val="clear" w:color="auto" w:fill="FFFFFF"/>
          </w:tcPr>
          <w:p w14:paraId="0DE52459"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 п/п</w:t>
            </w:r>
          </w:p>
        </w:tc>
        <w:tc>
          <w:tcPr>
            <w:tcW w:w="1210" w:type="dxa"/>
            <w:vMerge w:val="restart"/>
            <w:tcBorders>
              <w:top w:val="single" w:sz="4" w:space="0" w:color="auto"/>
              <w:left w:val="single" w:sz="4" w:space="0" w:color="auto"/>
              <w:right w:val="single" w:sz="4" w:space="0" w:color="auto"/>
            </w:tcBorders>
            <w:shd w:val="clear" w:color="auto" w:fill="FFFFFF"/>
          </w:tcPr>
          <w:p w14:paraId="2AB019EA"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Наименование бронедеталей</w:t>
            </w:r>
          </w:p>
        </w:tc>
        <w:tc>
          <w:tcPr>
            <w:tcW w:w="710" w:type="dxa"/>
            <w:gridSpan w:val="2"/>
            <w:tcBorders>
              <w:top w:val="single" w:sz="4" w:space="0" w:color="auto"/>
              <w:left w:val="single" w:sz="4" w:space="0" w:color="auto"/>
              <w:bottom w:val="single" w:sz="4" w:space="0" w:color="auto"/>
              <w:right w:val="single" w:sz="4" w:space="0" w:color="auto"/>
            </w:tcBorders>
            <w:shd w:val="clear" w:color="auto" w:fill="FFFFFF"/>
          </w:tcPr>
          <w:p w14:paraId="40DEE699"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Существует</w:t>
            </w:r>
          </w:p>
        </w:tc>
        <w:tc>
          <w:tcPr>
            <w:tcW w:w="360" w:type="dxa"/>
            <w:tcBorders>
              <w:top w:val="single" w:sz="4" w:space="0" w:color="auto"/>
              <w:left w:val="single" w:sz="4" w:space="0" w:color="auto"/>
              <w:bottom w:val="single" w:sz="4" w:space="0" w:color="auto"/>
            </w:tcBorders>
            <w:shd w:val="clear" w:color="auto" w:fill="FFFFFF"/>
          </w:tcPr>
          <w:p w14:paraId="42414516"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Треб</w:t>
            </w:r>
          </w:p>
        </w:tc>
        <w:tc>
          <w:tcPr>
            <w:tcW w:w="360" w:type="dxa"/>
            <w:tcBorders>
              <w:top w:val="single" w:sz="4" w:space="0" w:color="auto"/>
              <w:bottom w:val="single" w:sz="4" w:space="0" w:color="auto"/>
              <w:right w:val="single" w:sz="4" w:space="0" w:color="auto"/>
            </w:tcBorders>
            <w:shd w:val="clear" w:color="auto" w:fill="FFFFFF"/>
          </w:tcPr>
          <w:p w14:paraId="5D043E19"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ется</w:t>
            </w:r>
          </w:p>
        </w:tc>
      </w:tr>
      <w:tr w:rsidR="001E2C69" w:rsidRPr="001E2C69" w14:paraId="15A78312" w14:textId="77777777" w:rsidTr="00627011">
        <w:trPr>
          <w:trHeight w:val="250"/>
        </w:trPr>
        <w:tc>
          <w:tcPr>
            <w:tcW w:w="259" w:type="dxa"/>
            <w:vMerge/>
            <w:tcBorders>
              <w:left w:val="single" w:sz="4" w:space="0" w:color="auto"/>
              <w:bottom w:val="single" w:sz="4" w:space="0" w:color="auto"/>
              <w:right w:val="single" w:sz="4" w:space="0" w:color="auto"/>
            </w:tcBorders>
            <w:shd w:val="clear" w:color="auto" w:fill="FFFFFF"/>
          </w:tcPr>
          <w:p w14:paraId="5537FA81"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1210" w:type="dxa"/>
            <w:vMerge/>
            <w:tcBorders>
              <w:left w:val="single" w:sz="4" w:space="0" w:color="auto"/>
              <w:bottom w:val="single" w:sz="4" w:space="0" w:color="auto"/>
              <w:right w:val="single" w:sz="4" w:space="0" w:color="auto"/>
            </w:tcBorders>
            <w:shd w:val="clear" w:color="auto" w:fill="FFFFFF"/>
          </w:tcPr>
          <w:p w14:paraId="5F92196D"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02E66064"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Толщ, в мм</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5B0C7E1F"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Вес в кг</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94F4209"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Толщ, в мм</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0A5046C"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Вес в кг</w:t>
            </w:r>
          </w:p>
        </w:tc>
      </w:tr>
      <w:tr w:rsidR="001E2C69" w:rsidRPr="001E2C69" w14:paraId="59AC56D0" w14:textId="77777777" w:rsidTr="00627011">
        <w:trPr>
          <w:trHeight w:val="125"/>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565C093A"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23DADF0C"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Бронеспинка</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1EAB9532"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8,5</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37875DBB"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22</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5F239C1C"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15</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428BB74"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39</w:t>
            </w:r>
          </w:p>
        </w:tc>
      </w:tr>
      <w:tr w:rsidR="001E2C69" w:rsidRPr="001E2C69" w14:paraId="0DA55104" w14:textId="77777777" w:rsidTr="00627011">
        <w:trPr>
          <w:trHeight w:val="130"/>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438B4533"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2</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50EA94FC"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Бронестекло сзади</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5262711F"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64</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259A897B"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14</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3498F7A5"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64</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B61451D"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14</w:t>
            </w:r>
          </w:p>
        </w:tc>
      </w:tr>
      <w:tr w:rsidR="001E2C69" w:rsidRPr="001E2C69" w14:paraId="60830470" w14:textId="77777777" w:rsidTr="00627011">
        <w:trPr>
          <w:trHeight w:val="125"/>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1A21B416"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3</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1A067B39"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Бронекозырек</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05B1FB46"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64</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18015D70"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6</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76A3D3A"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64</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1BB7BA4"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6</w:t>
            </w:r>
          </w:p>
        </w:tc>
      </w:tr>
      <w:tr w:rsidR="001E2C69" w:rsidRPr="001E2C69" w14:paraId="2DA4C9D5" w14:textId="77777777" w:rsidTr="00627011">
        <w:trPr>
          <w:trHeight w:val="125"/>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1D4E2FEE"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4</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5B917EDF"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Надголовник</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77BD20CD"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2DA058FA"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2,5</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B823613"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10</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D616D24"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w:t>
            </w:r>
          </w:p>
        </w:tc>
      </w:tr>
      <w:tr w:rsidR="001E2C69" w:rsidRPr="001E2C69" w14:paraId="70146B36" w14:textId="77777777" w:rsidTr="00627011">
        <w:trPr>
          <w:trHeight w:val="130"/>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25DFBC5C"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5</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1349CFF2"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Подлокотник</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11BB2513"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5389F92E"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F294B26"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E34F129"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9</w:t>
            </w:r>
          </w:p>
        </w:tc>
      </w:tr>
      <w:tr w:rsidR="001E2C69" w:rsidRPr="001E2C69" w14:paraId="110A8980" w14:textId="77777777" w:rsidTr="00627011">
        <w:trPr>
          <w:trHeight w:val="134"/>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5A61F518"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7B048AEF"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Всего брони</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7852DE45"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1E25E931"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44,5</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2F6FB479"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B6B5E38"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76</w:t>
            </w:r>
          </w:p>
        </w:tc>
      </w:tr>
    </w:tbl>
    <w:p w14:paraId="5C49B06A" w14:textId="77777777" w:rsidR="00DD0C17" w:rsidRPr="001E2C69" w:rsidRDefault="00DD0C17" w:rsidP="00722885">
      <w:pPr>
        <w:pStyle w:val="aff3"/>
        <w:shd w:val="clear" w:color="auto" w:fill="auto"/>
        <w:spacing w:line="240" w:lineRule="auto"/>
        <w:rPr>
          <w:rFonts w:ascii="Times New Roman" w:hAnsi="Times New Roman" w:cs="Times New Roman"/>
          <w:i w:val="0"/>
          <w:color w:val="000000" w:themeColor="text1"/>
          <w:sz w:val="16"/>
          <w:szCs w:val="16"/>
        </w:rPr>
      </w:pPr>
      <w:r w:rsidRPr="001E2C69">
        <w:rPr>
          <w:rFonts w:ascii="Times New Roman" w:hAnsi="Times New Roman" w:cs="Times New Roman"/>
          <w:i w:val="0"/>
          <w:color w:val="000000" w:themeColor="text1"/>
          <w:sz w:val="16"/>
          <w:szCs w:val="16"/>
        </w:rPr>
        <w:t>(15776).</w:t>
      </w:r>
    </w:p>
    <w:p w14:paraId="1201C633"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Схема бронирования бомбардировщика Ил-4 и штурмовика Ил-2 (по материалам работы комиссии ВВС и НКАП, июль-август 1942 г.).</w:t>
      </w:r>
    </w:p>
    <w:tbl>
      <w:tblPr>
        <w:tblW w:w="0" w:type="auto"/>
        <w:tblLayout w:type="fixed"/>
        <w:tblCellMar>
          <w:left w:w="10" w:type="dxa"/>
          <w:right w:w="10" w:type="dxa"/>
        </w:tblCellMar>
        <w:tblLook w:val="04A0" w:firstRow="1" w:lastRow="0" w:firstColumn="1" w:lastColumn="0" w:noHBand="0" w:noVBand="1"/>
      </w:tblPr>
      <w:tblGrid>
        <w:gridCol w:w="254"/>
        <w:gridCol w:w="1099"/>
        <w:gridCol w:w="317"/>
        <w:gridCol w:w="312"/>
        <w:gridCol w:w="317"/>
        <w:gridCol w:w="322"/>
      </w:tblGrid>
      <w:tr w:rsidR="001E2C69" w:rsidRPr="001E2C69" w14:paraId="1F39224D" w14:textId="77777777" w:rsidTr="00627011">
        <w:trPr>
          <w:trHeight w:val="134"/>
        </w:trPr>
        <w:tc>
          <w:tcPr>
            <w:tcW w:w="254" w:type="dxa"/>
            <w:vMerge w:val="restart"/>
            <w:tcBorders>
              <w:top w:val="single" w:sz="4" w:space="0" w:color="auto"/>
              <w:left w:val="single" w:sz="4" w:space="0" w:color="auto"/>
              <w:right w:val="single" w:sz="4" w:space="0" w:color="auto"/>
            </w:tcBorders>
            <w:shd w:val="clear" w:color="auto" w:fill="FFFFFF"/>
          </w:tcPr>
          <w:p w14:paraId="691D5762"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N9 п/п</w:t>
            </w:r>
          </w:p>
        </w:tc>
        <w:tc>
          <w:tcPr>
            <w:tcW w:w="1099" w:type="dxa"/>
            <w:vMerge w:val="restart"/>
            <w:tcBorders>
              <w:top w:val="single" w:sz="4" w:space="0" w:color="auto"/>
              <w:left w:val="single" w:sz="4" w:space="0" w:color="auto"/>
              <w:right w:val="single" w:sz="4" w:space="0" w:color="auto"/>
            </w:tcBorders>
            <w:shd w:val="clear" w:color="auto" w:fill="FFFFFF"/>
          </w:tcPr>
          <w:p w14:paraId="25AE4809"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Наименование бронедеталей</w:t>
            </w:r>
          </w:p>
        </w:tc>
        <w:tc>
          <w:tcPr>
            <w:tcW w:w="629" w:type="dxa"/>
            <w:gridSpan w:val="2"/>
            <w:tcBorders>
              <w:top w:val="single" w:sz="4" w:space="0" w:color="auto"/>
              <w:left w:val="single" w:sz="4" w:space="0" w:color="auto"/>
              <w:bottom w:val="single" w:sz="4" w:space="0" w:color="auto"/>
              <w:right w:val="single" w:sz="4" w:space="0" w:color="auto"/>
            </w:tcBorders>
            <w:shd w:val="clear" w:color="auto" w:fill="FFFFFF"/>
          </w:tcPr>
          <w:p w14:paraId="2A0E374B" w14:textId="77777777" w:rsidR="00DD0C17" w:rsidRPr="001E2C69" w:rsidRDefault="00DD0C17" w:rsidP="00722885">
            <w:pPr>
              <w:pStyle w:val="56"/>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Существует</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E6C10A8"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Треб</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12C80A20"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/ется</w:t>
            </w:r>
          </w:p>
        </w:tc>
      </w:tr>
      <w:tr w:rsidR="001E2C69" w:rsidRPr="001E2C69" w14:paraId="797290AD" w14:textId="77777777" w:rsidTr="00627011">
        <w:trPr>
          <w:trHeight w:val="250"/>
        </w:trPr>
        <w:tc>
          <w:tcPr>
            <w:tcW w:w="254" w:type="dxa"/>
            <w:vMerge/>
            <w:tcBorders>
              <w:left w:val="single" w:sz="4" w:space="0" w:color="auto"/>
              <w:bottom w:val="single" w:sz="4" w:space="0" w:color="auto"/>
              <w:right w:val="single" w:sz="4" w:space="0" w:color="auto"/>
            </w:tcBorders>
            <w:shd w:val="clear" w:color="auto" w:fill="FFFFFF"/>
          </w:tcPr>
          <w:p w14:paraId="6DE5B20C"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1099" w:type="dxa"/>
            <w:vMerge/>
            <w:tcBorders>
              <w:left w:val="single" w:sz="4" w:space="0" w:color="auto"/>
              <w:bottom w:val="single" w:sz="4" w:space="0" w:color="auto"/>
              <w:right w:val="single" w:sz="4" w:space="0" w:color="auto"/>
            </w:tcBorders>
            <w:shd w:val="clear" w:color="auto" w:fill="FFFFFF"/>
          </w:tcPr>
          <w:p w14:paraId="1FEC5A8A"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495A346D"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Толщ., мм</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249A20B3"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Ве^кг</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47E54A78"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Толщ., мм</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266B675"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Вес,кг</w:t>
            </w:r>
          </w:p>
        </w:tc>
      </w:tr>
      <w:tr w:rsidR="001E2C69" w:rsidRPr="001E2C69" w14:paraId="710B6BB1" w14:textId="77777777" w:rsidTr="00627011">
        <w:trPr>
          <w:trHeight w:val="25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3B252573"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w:t>
            </w:r>
          </w:p>
        </w:tc>
        <w:tc>
          <w:tcPr>
            <w:tcW w:w="1099" w:type="dxa"/>
            <w:tcBorders>
              <w:top w:val="single" w:sz="4" w:space="0" w:color="auto"/>
              <w:left w:val="single" w:sz="4" w:space="0" w:color="auto"/>
              <w:bottom w:val="single" w:sz="4" w:space="0" w:color="auto"/>
              <w:right w:val="single" w:sz="4" w:space="0" w:color="auto"/>
            </w:tcBorders>
            <w:shd w:val="clear" w:color="auto" w:fill="FFFFFF"/>
          </w:tcPr>
          <w:p w14:paraId="1B1A7622"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Бронеплита за нижним</w:t>
            </w:r>
          </w:p>
          <w:p w14:paraId="6132C985" w14:textId="77777777" w:rsidR="00DD0C17" w:rsidRPr="001E2C69" w:rsidRDefault="00DD0C17" w:rsidP="00722885">
            <w:pPr>
              <w:pStyle w:val="55"/>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ЛЮКОМ</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469E4FB"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1D826014"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13</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2DACB283"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10</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55491DDC"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26</w:t>
            </w:r>
          </w:p>
        </w:tc>
      </w:tr>
      <w:tr w:rsidR="001E2C69" w:rsidRPr="001E2C69" w14:paraId="0137751A" w14:textId="77777777" w:rsidTr="00627011">
        <w:trPr>
          <w:trHeight w:val="24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5E2F5F48"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2</w:t>
            </w:r>
          </w:p>
        </w:tc>
        <w:tc>
          <w:tcPr>
            <w:tcW w:w="1099" w:type="dxa"/>
            <w:tcBorders>
              <w:top w:val="single" w:sz="4" w:space="0" w:color="auto"/>
              <w:left w:val="single" w:sz="4" w:space="0" w:color="auto"/>
              <w:bottom w:val="single" w:sz="4" w:space="0" w:color="auto"/>
              <w:right w:val="single" w:sz="4" w:space="0" w:color="auto"/>
            </w:tcBorders>
            <w:shd w:val="clear" w:color="auto" w:fill="FFFFFF"/>
          </w:tcPr>
          <w:p w14:paraId="5A674245"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Бронеплиты верхнего стрелка</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4666273C"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57FBFE4A"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22</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9574062"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10</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34DF833"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44</w:t>
            </w:r>
          </w:p>
        </w:tc>
      </w:tr>
      <w:tr w:rsidR="001E2C69" w:rsidRPr="001E2C69" w14:paraId="1ED752B8" w14:textId="77777777" w:rsidTr="00627011">
        <w:trPr>
          <w:trHeight w:val="12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47941F3E"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3</w:t>
            </w:r>
          </w:p>
        </w:tc>
        <w:tc>
          <w:tcPr>
            <w:tcW w:w="1099" w:type="dxa"/>
            <w:tcBorders>
              <w:top w:val="single" w:sz="4" w:space="0" w:color="auto"/>
              <w:left w:val="single" w:sz="4" w:space="0" w:color="auto"/>
              <w:bottom w:val="single" w:sz="4" w:space="0" w:color="auto"/>
              <w:right w:val="single" w:sz="4" w:space="0" w:color="auto"/>
            </w:tcBorders>
            <w:shd w:val="clear" w:color="auto" w:fill="FFFFFF"/>
          </w:tcPr>
          <w:p w14:paraId="187F5B3A"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Левая боковина к ней</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68DB8CDF"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49B827D2"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38DC70D7"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7BE1C1DE"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13</w:t>
            </w:r>
          </w:p>
        </w:tc>
      </w:tr>
      <w:tr w:rsidR="001E2C69" w:rsidRPr="001E2C69" w14:paraId="7083C7F9" w14:textId="77777777" w:rsidTr="00627011">
        <w:trPr>
          <w:trHeight w:val="25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458D1411"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4</w:t>
            </w:r>
          </w:p>
        </w:tc>
        <w:tc>
          <w:tcPr>
            <w:tcW w:w="1099" w:type="dxa"/>
            <w:tcBorders>
              <w:top w:val="single" w:sz="4" w:space="0" w:color="auto"/>
              <w:left w:val="single" w:sz="4" w:space="0" w:color="auto"/>
              <w:bottom w:val="single" w:sz="4" w:space="0" w:color="auto"/>
              <w:right w:val="single" w:sz="4" w:space="0" w:color="auto"/>
            </w:tcBorders>
            <w:shd w:val="clear" w:color="auto" w:fill="FFFFFF"/>
          </w:tcPr>
          <w:p w14:paraId="5047A4FE"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Правая</w:t>
            </w:r>
            <w:r w:rsidRPr="001E2C69">
              <w:rPr>
                <w:rStyle w:val="12Tahoma45pt"/>
                <w:rFonts w:ascii="Times New Roman" w:hAnsi="Times New Roman" w:cs="Times New Roman"/>
                <w:b w:val="0"/>
                <w:i w:val="0"/>
                <w:color w:val="000000" w:themeColor="text1"/>
                <w:sz w:val="16"/>
                <w:szCs w:val="16"/>
              </w:rPr>
              <w:t xml:space="preserve"> боковина </w:t>
            </w:r>
            <w:r w:rsidRPr="001E2C69">
              <w:rPr>
                <w:rFonts w:ascii="Times New Roman" w:hAnsi="Times New Roman" w:cs="Times New Roman"/>
                <w:b w:val="0"/>
                <w:color w:val="000000" w:themeColor="text1"/>
                <w:sz w:val="16"/>
                <w:szCs w:val="16"/>
              </w:rPr>
              <w:t>к ней</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679195CA"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572C4757"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4,5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58B9B017"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66A55A3D"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7</w:t>
            </w:r>
          </w:p>
        </w:tc>
      </w:tr>
      <w:tr w:rsidR="001E2C69" w:rsidRPr="001E2C69" w14:paraId="1C724A9D"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0A9B984B"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5</w:t>
            </w:r>
          </w:p>
        </w:tc>
        <w:tc>
          <w:tcPr>
            <w:tcW w:w="1099" w:type="dxa"/>
            <w:tcBorders>
              <w:top w:val="single" w:sz="4" w:space="0" w:color="auto"/>
              <w:left w:val="single" w:sz="4" w:space="0" w:color="auto"/>
              <w:bottom w:val="single" w:sz="4" w:space="0" w:color="auto"/>
              <w:right w:val="single" w:sz="4" w:space="0" w:color="auto"/>
            </w:tcBorders>
            <w:shd w:val="clear" w:color="auto" w:fill="FFFFFF"/>
          </w:tcPr>
          <w:p w14:paraId="0E2E1A0A"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Пол кабины стрелка</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19A9AC3B"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1D41088F"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14</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62F22778"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5</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7EE11868"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14</w:t>
            </w:r>
          </w:p>
        </w:tc>
      </w:tr>
      <w:tr w:rsidR="001E2C69" w:rsidRPr="001E2C69" w14:paraId="13C97200"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67A53430"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6</w:t>
            </w:r>
          </w:p>
        </w:tc>
        <w:tc>
          <w:tcPr>
            <w:tcW w:w="1099" w:type="dxa"/>
            <w:tcBorders>
              <w:top w:val="single" w:sz="4" w:space="0" w:color="auto"/>
              <w:left w:val="single" w:sz="4" w:space="0" w:color="auto"/>
              <w:bottom w:val="single" w:sz="4" w:space="0" w:color="auto"/>
              <w:right w:val="single" w:sz="4" w:space="0" w:color="auto"/>
            </w:tcBorders>
            <w:shd w:val="clear" w:color="auto" w:fill="FFFFFF"/>
          </w:tcPr>
          <w:p w14:paraId="47CFF665"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Откидывающий щиток</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102C5C2F"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10D9223C"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20</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503233F"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10</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146C24B8"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40</w:t>
            </w:r>
          </w:p>
        </w:tc>
      </w:tr>
      <w:tr w:rsidR="001E2C69" w:rsidRPr="001E2C69" w14:paraId="0EAD57D6" w14:textId="77777777" w:rsidTr="00627011">
        <w:trPr>
          <w:trHeight w:val="12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32272498"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7</w:t>
            </w:r>
          </w:p>
        </w:tc>
        <w:tc>
          <w:tcPr>
            <w:tcW w:w="1099" w:type="dxa"/>
            <w:tcBorders>
              <w:top w:val="single" w:sz="4" w:space="0" w:color="auto"/>
              <w:left w:val="single" w:sz="4" w:space="0" w:color="auto"/>
              <w:bottom w:val="single" w:sz="4" w:space="0" w:color="auto"/>
              <w:right w:val="single" w:sz="4" w:space="0" w:color="auto"/>
            </w:tcBorders>
            <w:shd w:val="clear" w:color="auto" w:fill="FFFFFF"/>
          </w:tcPr>
          <w:p w14:paraId="22B3B6B5"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Бронеспинка</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63750F46"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1CD7E240"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35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210F615B"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15</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6616AB0F"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56</w:t>
            </w:r>
          </w:p>
        </w:tc>
      </w:tr>
      <w:tr w:rsidR="001E2C69" w:rsidRPr="001E2C69" w14:paraId="724C021A"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2B0F6A1C"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w:t>
            </w:r>
          </w:p>
        </w:tc>
        <w:tc>
          <w:tcPr>
            <w:tcW w:w="1099" w:type="dxa"/>
            <w:tcBorders>
              <w:top w:val="single" w:sz="4" w:space="0" w:color="auto"/>
              <w:left w:val="single" w:sz="4" w:space="0" w:color="auto"/>
              <w:bottom w:val="single" w:sz="4" w:space="0" w:color="auto"/>
              <w:right w:val="single" w:sz="4" w:space="0" w:color="auto"/>
            </w:tcBorders>
            <w:shd w:val="clear" w:color="auto" w:fill="FFFFFF"/>
          </w:tcPr>
          <w:p w14:paraId="096684F3"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Плиты над головой</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3D070A69"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52273775"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4</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45877120"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780BA87F"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w:t>
            </w:r>
          </w:p>
        </w:tc>
      </w:tr>
      <w:tr w:rsidR="001E2C69" w:rsidRPr="001E2C69" w14:paraId="5B96C8F4" w14:textId="77777777" w:rsidTr="00627011">
        <w:trPr>
          <w:trHeight w:val="139"/>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68F983EC"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1099" w:type="dxa"/>
            <w:tcBorders>
              <w:top w:val="single" w:sz="4" w:space="0" w:color="auto"/>
              <w:left w:val="single" w:sz="4" w:space="0" w:color="auto"/>
              <w:bottom w:val="single" w:sz="4" w:space="0" w:color="auto"/>
              <w:right w:val="single" w:sz="4" w:space="0" w:color="auto"/>
            </w:tcBorders>
            <w:shd w:val="clear" w:color="auto" w:fill="FFFFFF"/>
          </w:tcPr>
          <w:p w14:paraId="4746E4E7"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Всего брони</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05C8488A"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6F9388B5"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118</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09F078E6"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695ACDD1"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208</w:t>
            </w:r>
          </w:p>
        </w:tc>
      </w:tr>
    </w:tbl>
    <w:p w14:paraId="42A82669" w14:textId="77777777" w:rsidR="00DD0C17" w:rsidRPr="001E2C69" w:rsidRDefault="00DD0C17" w:rsidP="00722885">
      <w:pPr>
        <w:pStyle w:val="aff3"/>
        <w:shd w:val="clear" w:color="auto" w:fill="auto"/>
        <w:spacing w:line="240" w:lineRule="auto"/>
        <w:rPr>
          <w:rFonts w:ascii="Times New Roman" w:hAnsi="Times New Roman" w:cs="Times New Roman"/>
          <w:i w:val="0"/>
          <w:color w:val="000000" w:themeColor="text1"/>
          <w:sz w:val="16"/>
          <w:szCs w:val="16"/>
        </w:rPr>
      </w:pPr>
      <w:r w:rsidRPr="001E2C69">
        <w:rPr>
          <w:rFonts w:ascii="Times New Roman" w:hAnsi="Times New Roman" w:cs="Times New Roman"/>
          <w:i w:val="0"/>
          <w:color w:val="000000" w:themeColor="text1"/>
          <w:sz w:val="16"/>
          <w:szCs w:val="16"/>
        </w:rPr>
        <w:t>(15776).</w:t>
      </w:r>
    </w:p>
    <w:tbl>
      <w:tblPr>
        <w:tblW w:w="0" w:type="auto"/>
        <w:tblLayout w:type="fixed"/>
        <w:tblCellMar>
          <w:left w:w="10" w:type="dxa"/>
          <w:right w:w="10" w:type="dxa"/>
        </w:tblCellMar>
        <w:tblLook w:val="04A0" w:firstRow="1" w:lastRow="0" w:firstColumn="1" w:lastColumn="0" w:noHBand="0" w:noVBand="1"/>
      </w:tblPr>
      <w:tblGrid>
        <w:gridCol w:w="259"/>
        <w:gridCol w:w="706"/>
        <w:gridCol w:w="336"/>
        <w:gridCol w:w="336"/>
        <w:gridCol w:w="341"/>
        <w:gridCol w:w="346"/>
      </w:tblGrid>
      <w:tr w:rsidR="001E2C69" w:rsidRPr="001E2C69" w14:paraId="0562E9FE" w14:textId="77777777" w:rsidTr="00627011">
        <w:trPr>
          <w:trHeight w:val="139"/>
        </w:trPr>
        <w:tc>
          <w:tcPr>
            <w:tcW w:w="259" w:type="dxa"/>
            <w:vMerge w:val="restart"/>
            <w:tcBorders>
              <w:top w:val="single" w:sz="4" w:space="0" w:color="auto"/>
              <w:left w:val="single" w:sz="4" w:space="0" w:color="auto"/>
              <w:right w:val="single" w:sz="4" w:space="0" w:color="auto"/>
            </w:tcBorders>
            <w:shd w:val="clear" w:color="auto" w:fill="FFFFFF"/>
          </w:tcPr>
          <w:p w14:paraId="47D667F4"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 п/п</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075EE55E"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672" w:type="dxa"/>
            <w:gridSpan w:val="2"/>
            <w:tcBorders>
              <w:top w:val="single" w:sz="4" w:space="0" w:color="auto"/>
              <w:left w:val="single" w:sz="4" w:space="0" w:color="auto"/>
              <w:bottom w:val="single" w:sz="4" w:space="0" w:color="auto"/>
              <w:right w:val="single" w:sz="4" w:space="0" w:color="auto"/>
            </w:tcBorders>
            <w:shd w:val="clear" w:color="auto" w:fill="FFFFFF"/>
          </w:tcPr>
          <w:p w14:paraId="5E9205F0"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Существует</w:t>
            </w:r>
          </w:p>
        </w:tc>
        <w:tc>
          <w:tcPr>
            <w:tcW w:w="687" w:type="dxa"/>
            <w:gridSpan w:val="2"/>
            <w:tcBorders>
              <w:top w:val="single" w:sz="4" w:space="0" w:color="auto"/>
              <w:left w:val="single" w:sz="4" w:space="0" w:color="auto"/>
              <w:bottom w:val="single" w:sz="4" w:space="0" w:color="auto"/>
              <w:right w:val="single" w:sz="4" w:space="0" w:color="auto"/>
            </w:tcBorders>
            <w:shd w:val="clear" w:color="auto" w:fill="FFFFFF"/>
          </w:tcPr>
          <w:p w14:paraId="22FAAA45"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Требуется</w:t>
            </w:r>
          </w:p>
        </w:tc>
      </w:tr>
      <w:tr w:rsidR="001E2C69" w:rsidRPr="001E2C69" w14:paraId="0BBA5097" w14:textId="77777777" w:rsidTr="00627011">
        <w:trPr>
          <w:trHeight w:val="245"/>
        </w:trPr>
        <w:tc>
          <w:tcPr>
            <w:tcW w:w="259" w:type="dxa"/>
            <w:vMerge/>
            <w:tcBorders>
              <w:left w:val="single" w:sz="4" w:space="0" w:color="auto"/>
              <w:bottom w:val="single" w:sz="4" w:space="0" w:color="auto"/>
              <w:right w:val="single" w:sz="4" w:space="0" w:color="auto"/>
            </w:tcBorders>
            <w:shd w:val="clear" w:color="auto" w:fill="FFFFFF"/>
          </w:tcPr>
          <w:p w14:paraId="3EB76F58"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1E37540B"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бронедеталей</w:t>
            </w: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4B9FF200"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Толщ., мм</w:t>
            </w: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5213D931"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Вес, кг</w:t>
            </w:r>
          </w:p>
        </w:tc>
        <w:tc>
          <w:tcPr>
            <w:tcW w:w="341" w:type="dxa"/>
            <w:tcBorders>
              <w:top w:val="single" w:sz="4" w:space="0" w:color="auto"/>
              <w:left w:val="single" w:sz="4" w:space="0" w:color="auto"/>
              <w:bottom w:val="single" w:sz="4" w:space="0" w:color="auto"/>
              <w:right w:val="single" w:sz="4" w:space="0" w:color="auto"/>
            </w:tcBorders>
            <w:shd w:val="clear" w:color="auto" w:fill="FFFFFF"/>
          </w:tcPr>
          <w:p w14:paraId="5E801BEB"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Толщ., мм</w:t>
            </w:r>
          </w:p>
        </w:tc>
        <w:tc>
          <w:tcPr>
            <w:tcW w:w="346" w:type="dxa"/>
            <w:tcBorders>
              <w:top w:val="single" w:sz="4" w:space="0" w:color="auto"/>
              <w:left w:val="single" w:sz="4" w:space="0" w:color="auto"/>
              <w:bottom w:val="single" w:sz="4" w:space="0" w:color="auto"/>
              <w:right w:val="single" w:sz="4" w:space="0" w:color="auto"/>
            </w:tcBorders>
            <w:shd w:val="clear" w:color="auto" w:fill="FFFFFF"/>
          </w:tcPr>
          <w:p w14:paraId="73BBEE85"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Вес, кг</w:t>
            </w:r>
          </w:p>
        </w:tc>
      </w:tr>
      <w:tr w:rsidR="001E2C69" w:rsidRPr="001E2C69" w14:paraId="618A89EC" w14:textId="77777777" w:rsidTr="00627011">
        <w:trPr>
          <w:trHeight w:val="250"/>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05B27678"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2A778341"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Передняя часть (мото)</w:t>
            </w: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45F32E27"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4,5</w:t>
            </w: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1D3E6A55"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825</w:t>
            </w:r>
          </w:p>
        </w:tc>
        <w:tc>
          <w:tcPr>
            <w:tcW w:w="341" w:type="dxa"/>
            <w:tcBorders>
              <w:top w:val="single" w:sz="4" w:space="0" w:color="auto"/>
              <w:left w:val="single" w:sz="4" w:space="0" w:color="auto"/>
              <w:bottom w:val="single" w:sz="4" w:space="0" w:color="auto"/>
              <w:right w:val="single" w:sz="4" w:space="0" w:color="auto"/>
            </w:tcBorders>
            <w:shd w:val="clear" w:color="auto" w:fill="FFFFFF"/>
          </w:tcPr>
          <w:p w14:paraId="7E820263"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4,5</w:t>
            </w:r>
          </w:p>
        </w:tc>
        <w:tc>
          <w:tcPr>
            <w:tcW w:w="346" w:type="dxa"/>
            <w:tcBorders>
              <w:top w:val="single" w:sz="4" w:space="0" w:color="auto"/>
              <w:left w:val="single" w:sz="4" w:space="0" w:color="auto"/>
              <w:bottom w:val="single" w:sz="4" w:space="0" w:color="auto"/>
              <w:right w:val="single" w:sz="4" w:space="0" w:color="auto"/>
            </w:tcBorders>
            <w:shd w:val="clear" w:color="auto" w:fill="FFFFFF"/>
          </w:tcPr>
          <w:p w14:paraId="5CA2830E"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825</w:t>
            </w:r>
          </w:p>
        </w:tc>
      </w:tr>
      <w:tr w:rsidR="001E2C69" w:rsidRPr="001E2C69" w14:paraId="06636098" w14:textId="77777777" w:rsidTr="00627011">
        <w:trPr>
          <w:trHeight w:val="245"/>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1ADA1AC6"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lastRenderedPageBreak/>
              <w:t>2</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3C41D0F5"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Кабинный пояс</w:t>
            </w: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43FA153B"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5 и 6</w:t>
            </w: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6C0D442F"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825</w:t>
            </w:r>
          </w:p>
        </w:tc>
        <w:tc>
          <w:tcPr>
            <w:tcW w:w="341" w:type="dxa"/>
            <w:tcBorders>
              <w:top w:val="single" w:sz="4" w:space="0" w:color="auto"/>
              <w:left w:val="single" w:sz="4" w:space="0" w:color="auto"/>
              <w:bottom w:val="single" w:sz="4" w:space="0" w:color="auto"/>
              <w:right w:val="single" w:sz="4" w:space="0" w:color="auto"/>
            </w:tcBorders>
            <w:shd w:val="clear" w:color="auto" w:fill="FFFFFF"/>
          </w:tcPr>
          <w:p w14:paraId="53FDB16A"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5 и 6</w:t>
            </w:r>
          </w:p>
        </w:tc>
        <w:tc>
          <w:tcPr>
            <w:tcW w:w="346" w:type="dxa"/>
            <w:tcBorders>
              <w:top w:val="single" w:sz="4" w:space="0" w:color="auto"/>
              <w:left w:val="single" w:sz="4" w:space="0" w:color="auto"/>
              <w:bottom w:val="single" w:sz="4" w:space="0" w:color="auto"/>
              <w:right w:val="single" w:sz="4" w:space="0" w:color="auto"/>
            </w:tcBorders>
            <w:shd w:val="clear" w:color="auto" w:fill="FFFFFF"/>
          </w:tcPr>
          <w:p w14:paraId="468C108A"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825</w:t>
            </w:r>
          </w:p>
        </w:tc>
      </w:tr>
      <w:tr w:rsidR="001E2C69" w:rsidRPr="001E2C69" w14:paraId="1DC6E9FE" w14:textId="77777777" w:rsidTr="00627011">
        <w:trPr>
          <w:trHeight w:val="125"/>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2D7D4E42"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3</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3B3005CE"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Задняя стенка</w:t>
            </w: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3C5B82C8"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12</w:t>
            </w: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1DB50F6B"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105</w:t>
            </w:r>
          </w:p>
        </w:tc>
        <w:tc>
          <w:tcPr>
            <w:tcW w:w="341" w:type="dxa"/>
            <w:tcBorders>
              <w:top w:val="single" w:sz="4" w:space="0" w:color="auto"/>
              <w:left w:val="single" w:sz="4" w:space="0" w:color="auto"/>
              <w:bottom w:val="single" w:sz="4" w:space="0" w:color="auto"/>
              <w:right w:val="single" w:sz="4" w:space="0" w:color="auto"/>
            </w:tcBorders>
            <w:shd w:val="clear" w:color="auto" w:fill="FFFFFF"/>
          </w:tcPr>
          <w:p w14:paraId="461D50C4"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15</w:t>
            </w:r>
          </w:p>
        </w:tc>
        <w:tc>
          <w:tcPr>
            <w:tcW w:w="346" w:type="dxa"/>
            <w:tcBorders>
              <w:top w:val="single" w:sz="4" w:space="0" w:color="auto"/>
              <w:left w:val="single" w:sz="4" w:space="0" w:color="auto"/>
              <w:bottom w:val="single" w:sz="4" w:space="0" w:color="auto"/>
              <w:right w:val="single" w:sz="4" w:space="0" w:color="auto"/>
            </w:tcBorders>
            <w:shd w:val="clear" w:color="auto" w:fill="FFFFFF"/>
          </w:tcPr>
          <w:p w14:paraId="6DB04152"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131</w:t>
            </w:r>
          </w:p>
        </w:tc>
      </w:tr>
      <w:tr w:rsidR="001E2C69" w:rsidRPr="001E2C69" w14:paraId="1C52F610" w14:textId="77777777" w:rsidTr="00627011">
        <w:trPr>
          <w:trHeight w:val="139"/>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730B6AD8"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180EDBCE"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Всего брони</w:t>
            </w: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0D1320B7"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31DACCC5"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930</w:t>
            </w:r>
          </w:p>
        </w:tc>
        <w:tc>
          <w:tcPr>
            <w:tcW w:w="341" w:type="dxa"/>
            <w:tcBorders>
              <w:top w:val="single" w:sz="4" w:space="0" w:color="auto"/>
              <w:left w:val="single" w:sz="4" w:space="0" w:color="auto"/>
              <w:bottom w:val="single" w:sz="4" w:space="0" w:color="auto"/>
              <w:right w:val="single" w:sz="4" w:space="0" w:color="auto"/>
            </w:tcBorders>
            <w:shd w:val="clear" w:color="auto" w:fill="FFFFFF"/>
          </w:tcPr>
          <w:p w14:paraId="31EE7590"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46" w:type="dxa"/>
            <w:tcBorders>
              <w:top w:val="single" w:sz="4" w:space="0" w:color="auto"/>
              <w:left w:val="single" w:sz="4" w:space="0" w:color="auto"/>
              <w:bottom w:val="single" w:sz="4" w:space="0" w:color="auto"/>
              <w:right w:val="single" w:sz="4" w:space="0" w:color="auto"/>
            </w:tcBorders>
            <w:shd w:val="clear" w:color="auto" w:fill="FFFFFF"/>
          </w:tcPr>
          <w:p w14:paraId="2420E08B"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956</w:t>
            </w:r>
          </w:p>
        </w:tc>
      </w:tr>
    </w:tbl>
    <w:p w14:paraId="35B674D1" w14:textId="77777777" w:rsidR="00DD0C17" w:rsidRPr="001E2C69" w:rsidRDefault="00DD0C17" w:rsidP="00722885">
      <w:pPr>
        <w:pStyle w:val="45"/>
        <w:shd w:val="clear" w:color="auto" w:fill="auto"/>
        <w:spacing w:before="0" w:line="240" w:lineRule="auto"/>
        <w:jc w:val="both"/>
        <w:rPr>
          <w:rStyle w:val="4f1"/>
          <w:rFonts w:ascii="Times New Roman" w:hAnsi="Times New Roman" w:cs="Times New Roman"/>
          <w:i w:val="0"/>
          <w:color w:val="000000" w:themeColor="text1"/>
          <w:sz w:val="16"/>
          <w:szCs w:val="16"/>
        </w:rPr>
      </w:pPr>
      <w:r w:rsidRPr="001E2C69">
        <w:rPr>
          <w:rStyle w:val="4f1"/>
          <w:rFonts w:ascii="Times New Roman" w:hAnsi="Times New Roman" w:cs="Times New Roman"/>
          <w:i w:val="0"/>
          <w:color w:val="000000" w:themeColor="text1"/>
          <w:sz w:val="16"/>
          <w:szCs w:val="16"/>
        </w:rPr>
        <w:t>(15776).</w:t>
      </w:r>
    </w:p>
    <w:p w14:paraId="33AC47D3" w14:textId="77777777" w:rsidR="00DD0C17" w:rsidRPr="001E2C69" w:rsidRDefault="00DD0C17" w:rsidP="00722885">
      <w:pPr>
        <w:pStyle w:val="aff3"/>
        <w:shd w:val="clear" w:color="auto" w:fill="auto"/>
        <w:spacing w:line="240" w:lineRule="auto"/>
        <w:rPr>
          <w:rFonts w:ascii="Times New Roman" w:hAnsi="Times New Roman" w:cs="Times New Roman"/>
          <w:i w:val="0"/>
          <w:color w:val="000000" w:themeColor="text1"/>
          <w:sz w:val="16"/>
          <w:szCs w:val="16"/>
          <w:lang w:val="ru-RU"/>
        </w:rPr>
      </w:pPr>
      <w:r w:rsidRPr="001E2C69">
        <w:rPr>
          <w:rFonts w:ascii="Times New Roman" w:hAnsi="Times New Roman" w:cs="Times New Roman"/>
          <w:i w:val="0"/>
          <w:color w:val="000000" w:themeColor="text1"/>
          <w:sz w:val="16"/>
          <w:szCs w:val="16"/>
          <w:lang w:val="ru-RU"/>
        </w:rPr>
        <w:t>Схема бронирования тяжелого бомбардировщика Пе-8 (по материалам работы комиссии ВВС и НКАП, июль-август 1942 г.).</w:t>
      </w:r>
    </w:p>
    <w:tbl>
      <w:tblPr>
        <w:tblW w:w="0" w:type="auto"/>
        <w:tblLayout w:type="fixed"/>
        <w:tblCellMar>
          <w:left w:w="10" w:type="dxa"/>
          <w:right w:w="10" w:type="dxa"/>
        </w:tblCellMar>
        <w:tblLook w:val="04A0" w:firstRow="1" w:lastRow="0" w:firstColumn="1" w:lastColumn="0" w:noHBand="0" w:noVBand="1"/>
      </w:tblPr>
      <w:tblGrid>
        <w:gridCol w:w="173"/>
        <w:gridCol w:w="826"/>
        <w:gridCol w:w="322"/>
        <w:gridCol w:w="322"/>
        <w:gridCol w:w="322"/>
        <w:gridCol w:w="331"/>
      </w:tblGrid>
      <w:tr w:rsidR="001E2C69" w:rsidRPr="001E2C69" w14:paraId="65FED237" w14:textId="77777777" w:rsidTr="00627011">
        <w:trPr>
          <w:trHeight w:val="130"/>
        </w:trPr>
        <w:tc>
          <w:tcPr>
            <w:tcW w:w="173" w:type="dxa"/>
            <w:vMerge w:val="restart"/>
            <w:tcBorders>
              <w:top w:val="single" w:sz="4" w:space="0" w:color="auto"/>
              <w:left w:val="single" w:sz="4" w:space="0" w:color="auto"/>
              <w:right w:val="single" w:sz="4" w:space="0" w:color="auto"/>
            </w:tcBorders>
            <w:shd w:val="clear" w:color="auto" w:fill="FFFFFF"/>
          </w:tcPr>
          <w:p w14:paraId="734C3195"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 п/п</w:t>
            </w:r>
          </w:p>
        </w:tc>
        <w:tc>
          <w:tcPr>
            <w:tcW w:w="826" w:type="dxa"/>
            <w:vMerge w:val="restart"/>
            <w:tcBorders>
              <w:top w:val="single" w:sz="4" w:space="0" w:color="auto"/>
              <w:left w:val="single" w:sz="4" w:space="0" w:color="auto"/>
              <w:right w:val="single" w:sz="4" w:space="0" w:color="auto"/>
            </w:tcBorders>
            <w:shd w:val="clear" w:color="auto" w:fill="FFFFFF"/>
          </w:tcPr>
          <w:p w14:paraId="4D17095B"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Наименование бронедеталей</w:t>
            </w:r>
          </w:p>
        </w:tc>
        <w:tc>
          <w:tcPr>
            <w:tcW w:w="644" w:type="dxa"/>
            <w:gridSpan w:val="2"/>
            <w:tcBorders>
              <w:top w:val="single" w:sz="4" w:space="0" w:color="auto"/>
              <w:left w:val="single" w:sz="4" w:space="0" w:color="auto"/>
              <w:bottom w:val="single" w:sz="4" w:space="0" w:color="auto"/>
              <w:right w:val="single" w:sz="4" w:space="0" w:color="auto"/>
            </w:tcBorders>
            <w:shd w:val="clear" w:color="auto" w:fill="FFFFFF"/>
          </w:tcPr>
          <w:p w14:paraId="07CEB504"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Существует</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002FC79"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Треб</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2D9C7344"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/ется</w:t>
            </w:r>
          </w:p>
        </w:tc>
      </w:tr>
      <w:tr w:rsidR="001E2C69" w:rsidRPr="001E2C69" w14:paraId="171C560F" w14:textId="77777777" w:rsidTr="00627011">
        <w:trPr>
          <w:trHeight w:val="250"/>
        </w:trPr>
        <w:tc>
          <w:tcPr>
            <w:tcW w:w="173" w:type="dxa"/>
            <w:vMerge/>
            <w:tcBorders>
              <w:left w:val="single" w:sz="4" w:space="0" w:color="auto"/>
              <w:bottom w:val="single" w:sz="4" w:space="0" w:color="auto"/>
              <w:right w:val="single" w:sz="4" w:space="0" w:color="auto"/>
            </w:tcBorders>
            <w:shd w:val="clear" w:color="auto" w:fill="FFFFFF"/>
          </w:tcPr>
          <w:p w14:paraId="7BD37200"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826" w:type="dxa"/>
            <w:vMerge/>
            <w:tcBorders>
              <w:left w:val="single" w:sz="4" w:space="0" w:color="auto"/>
              <w:bottom w:val="single" w:sz="4" w:space="0" w:color="auto"/>
              <w:right w:val="single" w:sz="4" w:space="0" w:color="auto"/>
            </w:tcBorders>
            <w:shd w:val="clear" w:color="auto" w:fill="FFFFFF"/>
          </w:tcPr>
          <w:p w14:paraId="79C96B06"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3F1BBD4A"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Толщ, в мм</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639A051"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Вес вкг</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BC81480"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Толщ, в мм</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15C73A82"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Вес вкг</w:t>
            </w:r>
          </w:p>
        </w:tc>
      </w:tr>
      <w:tr w:rsidR="001E2C69" w:rsidRPr="001E2C69" w14:paraId="35AC8B42" w14:textId="77777777" w:rsidTr="00627011">
        <w:trPr>
          <w:trHeight w:val="125"/>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351E4635"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1</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6578210A"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Бронеспинка пилота I</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C9868E7"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8</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DFD51D1"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32</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A3887FB"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8</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75C585D7"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32</w:t>
            </w:r>
          </w:p>
        </w:tc>
      </w:tr>
      <w:tr w:rsidR="001E2C69" w:rsidRPr="001E2C69" w14:paraId="68A3220A" w14:textId="77777777" w:rsidTr="00627011">
        <w:trPr>
          <w:trHeight w:val="130"/>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37672A16"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2</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0BC64FEF"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Бронеспинка пилота II</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51F5314E"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8</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67160FE"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32</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6A2BA15"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8</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2BC967E2"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32</w:t>
            </w:r>
          </w:p>
        </w:tc>
      </w:tr>
      <w:tr w:rsidR="001E2C69" w:rsidRPr="001E2C69" w14:paraId="53DE4F19" w14:textId="77777777" w:rsidTr="00627011">
        <w:trPr>
          <w:trHeight w:val="245"/>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555DCAC6"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3</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0A38F26A"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Бронеплиты подшас- сийных стрелков (2)</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5B86FE0"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12</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FA8B406"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90</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160F273E"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8</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5E613FED"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60</w:t>
            </w:r>
          </w:p>
        </w:tc>
      </w:tr>
      <w:tr w:rsidR="001E2C69" w:rsidRPr="001E2C69" w14:paraId="23CB1B6F" w14:textId="77777777" w:rsidTr="00627011">
        <w:trPr>
          <w:trHeight w:val="250"/>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128D506B"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4</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5252E6A5"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Бронеплиты передне</w:t>
            </w:r>
            <w:r w:rsidRPr="001E2C69">
              <w:rPr>
                <w:rFonts w:ascii="Times New Roman" w:hAnsi="Times New Roman" w:cs="Times New Roman"/>
                <w:color w:val="000000" w:themeColor="text1"/>
                <w:sz w:val="16"/>
                <w:szCs w:val="16"/>
              </w:rPr>
              <w:softHyphen/>
              <w:t>го стрелка</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5167369C"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12</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7FA6E35F"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34</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06DB882"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8</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4C4C3CF3"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22</w:t>
            </w:r>
          </w:p>
        </w:tc>
      </w:tr>
      <w:tr w:rsidR="001E2C69" w:rsidRPr="001E2C69" w14:paraId="1673A804" w14:textId="77777777" w:rsidTr="00627011">
        <w:trPr>
          <w:trHeight w:val="485"/>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41E82D0B"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5</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0314CFEC"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lang w:val="ru-RU"/>
              </w:rPr>
            </w:pPr>
            <w:r w:rsidRPr="001E2C69">
              <w:rPr>
                <w:rFonts w:ascii="Times New Roman" w:hAnsi="Times New Roman" w:cs="Times New Roman"/>
                <w:color w:val="000000" w:themeColor="text1"/>
                <w:sz w:val="16"/>
                <w:szCs w:val="16"/>
                <w:lang w:val="ru-RU"/>
              </w:rPr>
              <w:t>Хвостовой стрелок:</w:t>
            </w:r>
          </w:p>
          <w:p w14:paraId="50794ACE" w14:textId="77777777" w:rsidR="00DD0C17" w:rsidRPr="001E2C69" w:rsidRDefault="00DD0C17" w:rsidP="00722885">
            <w:pPr>
              <w:pStyle w:val="57"/>
              <w:shd w:val="clear" w:color="auto" w:fill="auto"/>
              <w:tabs>
                <w:tab w:val="left" w:pos="131"/>
              </w:tabs>
              <w:spacing w:line="240" w:lineRule="auto"/>
              <w:jc w:val="both"/>
              <w:rPr>
                <w:rFonts w:ascii="Times New Roman" w:hAnsi="Times New Roman" w:cs="Times New Roman"/>
                <w:color w:val="000000" w:themeColor="text1"/>
                <w:sz w:val="16"/>
                <w:szCs w:val="16"/>
                <w:lang w:val="ru-RU"/>
              </w:rPr>
            </w:pPr>
            <w:r w:rsidRPr="001E2C69">
              <w:rPr>
                <w:rFonts w:ascii="Times New Roman" w:hAnsi="Times New Roman" w:cs="Times New Roman"/>
                <w:color w:val="000000" w:themeColor="text1"/>
                <w:sz w:val="16"/>
                <w:szCs w:val="16"/>
                <w:lang w:val="ru-RU"/>
              </w:rPr>
              <w:t>а)</w:t>
            </w:r>
            <w:r w:rsidRPr="001E2C69">
              <w:rPr>
                <w:rFonts w:ascii="Times New Roman" w:hAnsi="Times New Roman" w:cs="Times New Roman"/>
                <w:color w:val="000000" w:themeColor="text1"/>
                <w:sz w:val="16"/>
                <w:szCs w:val="16"/>
                <w:lang w:val="ru-RU"/>
              </w:rPr>
              <w:tab/>
              <w:t>диск на пол</w:t>
            </w:r>
          </w:p>
          <w:p w14:paraId="583791E9" w14:textId="77777777" w:rsidR="00DD0C17" w:rsidRPr="001E2C69" w:rsidRDefault="00DD0C17" w:rsidP="00722885">
            <w:pPr>
              <w:pStyle w:val="57"/>
              <w:shd w:val="clear" w:color="auto" w:fill="auto"/>
              <w:tabs>
                <w:tab w:val="left" w:pos="131"/>
              </w:tabs>
              <w:spacing w:line="240" w:lineRule="auto"/>
              <w:jc w:val="both"/>
              <w:rPr>
                <w:rFonts w:ascii="Times New Roman" w:hAnsi="Times New Roman" w:cs="Times New Roman"/>
                <w:color w:val="000000" w:themeColor="text1"/>
                <w:sz w:val="16"/>
                <w:szCs w:val="16"/>
                <w:lang w:val="ru-RU"/>
              </w:rPr>
            </w:pPr>
            <w:r w:rsidRPr="001E2C69">
              <w:rPr>
                <w:rFonts w:ascii="Times New Roman" w:hAnsi="Times New Roman" w:cs="Times New Roman"/>
                <w:color w:val="000000" w:themeColor="text1"/>
                <w:sz w:val="16"/>
                <w:szCs w:val="16"/>
                <w:lang w:val="ru-RU"/>
              </w:rPr>
              <w:t>б)</w:t>
            </w:r>
            <w:r w:rsidRPr="001E2C69">
              <w:rPr>
                <w:rFonts w:ascii="Times New Roman" w:hAnsi="Times New Roman" w:cs="Times New Roman"/>
                <w:color w:val="000000" w:themeColor="text1"/>
                <w:sz w:val="16"/>
                <w:szCs w:val="16"/>
                <w:lang w:val="ru-RU"/>
              </w:rPr>
              <w:tab/>
              <w:t>боковины на башне</w:t>
            </w:r>
          </w:p>
          <w:p w14:paraId="66E576A7" w14:textId="77777777" w:rsidR="00DD0C17" w:rsidRPr="001E2C69" w:rsidRDefault="00DD0C17" w:rsidP="00722885">
            <w:pPr>
              <w:pStyle w:val="57"/>
              <w:shd w:val="clear" w:color="auto" w:fill="auto"/>
              <w:tabs>
                <w:tab w:val="left" w:pos="131"/>
              </w:tabs>
              <w:spacing w:line="240" w:lineRule="auto"/>
              <w:jc w:val="both"/>
              <w:rPr>
                <w:rFonts w:ascii="Times New Roman" w:hAnsi="Times New Roman" w:cs="Times New Roman"/>
                <w:color w:val="000000" w:themeColor="text1"/>
                <w:sz w:val="16"/>
                <w:szCs w:val="16"/>
                <w:lang w:val="ru-RU"/>
              </w:rPr>
            </w:pPr>
            <w:r w:rsidRPr="001E2C69">
              <w:rPr>
                <w:rFonts w:ascii="Times New Roman" w:hAnsi="Times New Roman" w:cs="Times New Roman"/>
                <w:color w:val="000000" w:themeColor="text1"/>
                <w:sz w:val="16"/>
                <w:szCs w:val="16"/>
                <w:lang w:val="ru-RU"/>
              </w:rPr>
              <w:t>в)</w:t>
            </w:r>
            <w:r w:rsidRPr="001E2C69">
              <w:rPr>
                <w:rFonts w:ascii="Times New Roman" w:hAnsi="Times New Roman" w:cs="Times New Roman"/>
                <w:color w:val="000000" w:themeColor="text1"/>
                <w:sz w:val="16"/>
                <w:szCs w:val="16"/>
                <w:lang w:val="ru-RU"/>
              </w:rPr>
              <w:tab/>
              <w:t>плита сзади пояса</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C05CACC"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5541BDB0" w14:textId="77777777" w:rsidR="00DD0C17" w:rsidRPr="001E2C69" w:rsidRDefault="00DD0C17" w:rsidP="00722885">
            <w:pPr>
              <w:pStyle w:val="624"/>
              <w:shd w:val="clear" w:color="auto" w:fill="auto"/>
              <w:spacing w:before="0" w:line="240" w:lineRule="auto"/>
              <w:jc w:val="both"/>
              <w:rPr>
                <w:rFonts w:ascii="Times New Roman" w:hAnsi="Times New Roman" w:cs="Times New Roman"/>
                <w:color w:val="000000" w:themeColor="text1"/>
              </w:rPr>
            </w:pPr>
            <w:r w:rsidRPr="001E2C69">
              <w:rPr>
                <w:rFonts w:ascii="Times New Roman" w:hAnsi="Times New Roman" w:cs="Times New Roman"/>
                <w:color w:val="000000" w:themeColor="text1"/>
                <w:vertAlign w:val="superscript"/>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5616F103"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5 5 5</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4928E565"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32</w:t>
            </w:r>
          </w:p>
          <w:p w14:paraId="40F51D59"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20 8</w:t>
            </w:r>
          </w:p>
        </w:tc>
      </w:tr>
      <w:tr w:rsidR="001E2C69" w:rsidRPr="001E2C69" w14:paraId="7965F53B" w14:textId="77777777" w:rsidTr="00627011">
        <w:trPr>
          <w:trHeight w:val="490"/>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6E015C45"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6</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453DB375"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lang w:val="ru-RU"/>
              </w:rPr>
            </w:pPr>
            <w:r w:rsidRPr="001E2C69">
              <w:rPr>
                <w:rFonts w:ascii="Times New Roman" w:hAnsi="Times New Roman" w:cs="Times New Roman"/>
                <w:color w:val="000000" w:themeColor="text1"/>
                <w:sz w:val="16"/>
                <w:szCs w:val="16"/>
                <w:lang w:val="ru-RU"/>
              </w:rPr>
              <w:t>Центральный стрелок:</w:t>
            </w:r>
          </w:p>
          <w:p w14:paraId="6B1A7B06" w14:textId="77777777" w:rsidR="00DD0C17" w:rsidRPr="001E2C69" w:rsidRDefault="00DD0C17" w:rsidP="00722885">
            <w:pPr>
              <w:pStyle w:val="57"/>
              <w:shd w:val="clear" w:color="auto" w:fill="auto"/>
              <w:tabs>
                <w:tab w:val="left" w:pos="131"/>
              </w:tabs>
              <w:spacing w:line="240" w:lineRule="auto"/>
              <w:jc w:val="both"/>
              <w:rPr>
                <w:rFonts w:ascii="Times New Roman" w:hAnsi="Times New Roman" w:cs="Times New Roman"/>
                <w:color w:val="000000" w:themeColor="text1"/>
                <w:sz w:val="16"/>
                <w:szCs w:val="16"/>
                <w:lang w:val="ru-RU"/>
              </w:rPr>
            </w:pPr>
            <w:r w:rsidRPr="001E2C69">
              <w:rPr>
                <w:rFonts w:ascii="Times New Roman" w:hAnsi="Times New Roman" w:cs="Times New Roman"/>
                <w:color w:val="000000" w:themeColor="text1"/>
                <w:sz w:val="16"/>
                <w:szCs w:val="16"/>
                <w:lang w:val="ru-RU"/>
              </w:rPr>
              <w:t>а)</w:t>
            </w:r>
            <w:r w:rsidRPr="001E2C69">
              <w:rPr>
                <w:rFonts w:ascii="Times New Roman" w:hAnsi="Times New Roman" w:cs="Times New Roman"/>
                <w:color w:val="000000" w:themeColor="text1"/>
                <w:sz w:val="16"/>
                <w:szCs w:val="16"/>
                <w:lang w:val="ru-RU"/>
              </w:rPr>
              <w:tab/>
              <w:t>фартук на турели</w:t>
            </w:r>
          </w:p>
          <w:p w14:paraId="71EE881E" w14:textId="77777777" w:rsidR="00DD0C17" w:rsidRPr="001E2C69" w:rsidRDefault="00DD0C17" w:rsidP="00722885">
            <w:pPr>
              <w:pStyle w:val="57"/>
              <w:shd w:val="clear" w:color="auto" w:fill="auto"/>
              <w:tabs>
                <w:tab w:val="left" w:pos="136"/>
              </w:tabs>
              <w:spacing w:line="240" w:lineRule="auto"/>
              <w:jc w:val="both"/>
              <w:rPr>
                <w:rFonts w:ascii="Times New Roman" w:hAnsi="Times New Roman" w:cs="Times New Roman"/>
                <w:color w:val="000000" w:themeColor="text1"/>
                <w:sz w:val="16"/>
                <w:szCs w:val="16"/>
                <w:lang w:val="ru-RU"/>
              </w:rPr>
            </w:pPr>
            <w:r w:rsidRPr="001E2C69">
              <w:rPr>
                <w:rFonts w:ascii="Times New Roman" w:hAnsi="Times New Roman" w:cs="Times New Roman"/>
                <w:color w:val="000000" w:themeColor="text1"/>
                <w:sz w:val="16"/>
                <w:szCs w:val="16"/>
                <w:lang w:val="ru-RU"/>
              </w:rPr>
              <w:t>б)</w:t>
            </w:r>
            <w:r w:rsidRPr="001E2C69">
              <w:rPr>
                <w:rFonts w:ascii="Times New Roman" w:hAnsi="Times New Roman" w:cs="Times New Roman"/>
                <w:color w:val="000000" w:themeColor="text1"/>
                <w:sz w:val="16"/>
                <w:szCs w:val="16"/>
                <w:lang w:val="ru-RU"/>
              </w:rPr>
              <w:tab/>
              <w:t>плиты на нижнем поясе колпака турели</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66E8D950"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DE5B9FE"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11CF647"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8 8</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0F20D3B1"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20 20</w:t>
            </w:r>
          </w:p>
        </w:tc>
      </w:tr>
      <w:tr w:rsidR="001E2C69" w:rsidRPr="001E2C69" w14:paraId="5646B1A5" w14:textId="77777777" w:rsidTr="00627011">
        <w:trPr>
          <w:trHeight w:val="485"/>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577DC0A8"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7</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0E54E059"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lang w:val="ru-RU"/>
              </w:rPr>
            </w:pPr>
            <w:r w:rsidRPr="001E2C69">
              <w:rPr>
                <w:rFonts w:ascii="Times New Roman" w:hAnsi="Times New Roman" w:cs="Times New Roman"/>
                <w:color w:val="000000" w:themeColor="text1"/>
                <w:sz w:val="16"/>
                <w:szCs w:val="16"/>
                <w:lang w:val="ru-RU"/>
              </w:rPr>
              <w:t>Пошасгийсные стрелки: корыто</w:t>
            </w:r>
            <w:r w:rsidRPr="001E2C69">
              <w:rPr>
                <w:rFonts w:ascii="Times New Roman" w:hAnsi="Times New Roman" w:cs="Times New Roman"/>
                <w:color w:val="000000" w:themeColor="text1"/>
                <w:sz w:val="16"/>
                <w:szCs w:val="16"/>
                <w:lang w:val="ru-RU"/>
              </w:rPr>
              <w:softHyphen/>
              <w:t>образные плиты внутри гандолы (2)</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692F7EB6" w14:textId="77777777" w:rsidR="00DD0C17" w:rsidRPr="001E2C69" w:rsidRDefault="00DD0C17" w:rsidP="00722885">
            <w:pPr>
              <w:pStyle w:val="614"/>
              <w:shd w:val="clear" w:color="auto" w:fill="auto"/>
              <w:spacing w:before="0" w:after="0" w:line="240" w:lineRule="auto"/>
              <w:jc w:val="both"/>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5E1CF7CA" w14:textId="77777777" w:rsidR="00DD0C17" w:rsidRPr="001E2C69" w:rsidRDefault="00DD0C17" w:rsidP="00722885">
            <w:pPr>
              <w:pStyle w:val="633"/>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185ADAE6"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5</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708C6D36"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40</w:t>
            </w:r>
          </w:p>
        </w:tc>
      </w:tr>
      <w:tr w:rsidR="001E2C69" w:rsidRPr="001E2C69" w14:paraId="717A7059" w14:textId="77777777" w:rsidTr="00627011">
        <w:trPr>
          <w:trHeight w:val="370"/>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7119D8AF"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8</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079AB84D"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lang w:val="ru-RU"/>
              </w:rPr>
            </w:pPr>
            <w:r w:rsidRPr="001E2C69">
              <w:rPr>
                <w:rFonts w:ascii="Times New Roman" w:hAnsi="Times New Roman" w:cs="Times New Roman"/>
                <w:color w:val="000000" w:themeColor="text1"/>
                <w:sz w:val="16"/>
                <w:szCs w:val="16"/>
                <w:lang w:val="ru-RU"/>
              </w:rPr>
              <w:t>Борт-механик:</w:t>
            </w:r>
          </w:p>
          <w:p w14:paraId="559D05DD" w14:textId="77777777" w:rsidR="00DD0C17" w:rsidRPr="001E2C69" w:rsidRDefault="00DD0C17" w:rsidP="00722885">
            <w:pPr>
              <w:pStyle w:val="57"/>
              <w:shd w:val="clear" w:color="auto" w:fill="auto"/>
              <w:tabs>
                <w:tab w:val="left" w:pos="136"/>
              </w:tabs>
              <w:spacing w:line="240" w:lineRule="auto"/>
              <w:jc w:val="both"/>
              <w:rPr>
                <w:rFonts w:ascii="Times New Roman" w:hAnsi="Times New Roman" w:cs="Times New Roman"/>
                <w:color w:val="000000" w:themeColor="text1"/>
                <w:sz w:val="16"/>
                <w:szCs w:val="16"/>
                <w:lang w:val="ru-RU"/>
              </w:rPr>
            </w:pPr>
            <w:r w:rsidRPr="001E2C69">
              <w:rPr>
                <w:rFonts w:ascii="Times New Roman" w:hAnsi="Times New Roman" w:cs="Times New Roman"/>
                <w:color w:val="000000" w:themeColor="text1"/>
                <w:sz w:val="16"/>
                <w:szCs w:val="16"/>
                <w:lang w:val="ru-RU"/>
              </w:rPr>
              <w:t>а)</w:t>
            </w:r>
            <w:r w:rsidRPr="001E2C69">
              <w:rPr>
                <w:rFonts w:ascii="Times New Roman" w:hAnsi="Times New Roman" w:cs="Times New Roman"/>
                <w:color w:val="000000" w:themeColor="text1"/>
                <w:sz w:val="16"/>
                <w:szCs w:val="16"/>
                <w:lang w:val="ru-RU"/>
              </w:rPr>
              <w:tab/>
              <w:t>плита за спиной</w:t>
            </w:r>
          </w:p>
          <w:p w14:paraId="03F6C95A" w14:textId="77777777" w:rsidR="00DD0C17" w:rsidRPr="001E2C69" w:rsidRDefault="00DD0C17" w:rsidP="00722885">
            <w:pPr>
              <w:pStyle w:val="57"/>
              <w:shd w:val="clear" w:color="auto" w:fill="auto"/>
              <w:tabs>
                <w:tab w:val="left" w:pos="136"/>
              </w:tabs>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б)</w:t>
            </w:r>
            <w:r w:rsidRPr="001E2C69">
              <w:rPr>
                <w:rFonts w:ascii="Times New Roman" w:hAnsi="Times New Roman" w:cs="Times New Roman"/>
                <w:color w:val="000000" w:themeColor="text1"/>
                <w:sz w:val="16"/>
                <w:szCs w:val="16"/>
              </w:rPr>
              <w:tab/>
              <w:t>плита справа</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D9741E9" w14:textId="77777777" w:rsidR="00DD0C17" w:rsidRPr="001E2C69" w:rsidRDefault="00DD0C17" w:rsidP="00722885">
            <w:pPr>
              <w:pStyle w:val="601"/>
              <w:shd w:val="clear" w:color="auto" w:fill="auto"/>
              <w:spacing w:after="0"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1EC854AC" w14:textId="77777777" w:rsidR="00DD0C17" w:rsidRPr="001E2C69" w:rsidRDefault="00DD0C17" w:rsidP="00722885">
            <w:pPr>
              <w:pStyle w:val="642"/>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66519D6"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8 6</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6F9CE7ED"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32 12</w:t>
            </w:r>
          </w:p>
        </w:tc>
      </w:tr>
      <w:tr w:rsidR="001E2C69" w:rsidRPr="001E2C69" w14:paraId="43C678BB" w14:textId="77777777" w:rsidTr="00627011">
        <w:trPr>
          <w:trHeight w:val="130"/>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0134ECEA"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9</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667173BE"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Бронеспинка радиста</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9723CB5" w14:textId="77777777" w:rsidR="00DD0C17" w:rsidRPr="001E2C69" w:rsidRDefault="00DD0C17" w:rsidP="00722885">
            <w:pPr>
              <w:pStyle w:val="591"/>
              <w:shd w:val="clear" w:color="auto" w:fill="auto"/>
              <w:spacing w:line="240" w:lineRule="auto"/>
              <w:jc w:val="both"/>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1E8FB449" w14:textId="77777777" w:rsidR="00DD0C17" w:rsidRPr="001E2C69" w:rsidRDefault="00DD0C17" w:rsidP="00722885">
            <w:pPr>
              <w:pStyle w:val="591"/>
              <w:shd w:val="clear" w:color="auto" w:fill="auto"/>
              <w:spacing w:line="240" w:lineRule="auto"/>
              <w:jc w:val="both"/>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A0427C5"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8</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5C765C79"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32</w:t>
            </w:r>
          </w:p>
        </w:tc>
      </w:tr>
      <w:tr w:rsidR="001E2C69" w:rsidRPr="001E2C69" w14:paraId="79154DC2" w14:textId="77777777" w:rsidTr="00627011">
        <w:trPr>
          <w:trHeight w:val="485"/>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3012718E"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10</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4E9B2356"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lang w:val="ru-RU"/>
              </w:rPr>
            </w:pPr>
            <w:r w:rsidRPr="001E2C69">
              <w:rPr>
                <w:rFonts w:ascii="Times New Roman" w:hAnsi="Times New Roman" w:cs="Times New Roman"/>
                <w:color w:val="000000" w:themeColor="text1"/>
                <w:sz w:val="16"/>
                <w:szCs w:val="16"/>
                <w:lang w:val="ru-RU"/>
              </w:rPr>
              <w:t>Бронесиденья пилотов, штурмана, радиста, техника к переднего стрелка</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30A77069"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29041A4" w14:textId="77777777" w:rsidR="00DD0C17" w:rsidRPr="001E2C69" w:rsidRDefault="00DD0C17" w:rsidP="00722885">
            <w:pPr>
              <w:pStyle w:val="652"/>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1332EDB9"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5</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23D68E14"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32</w:t>
            </w:r>
          </w:p>
        </w:tc>
      </w:tr>
      <w:tr w:rsidR="001E2C69" w:rsidRPr="001E2C69" w14:paraId="14A80B7E" w14:textId="77777777" w:rsidTr="00627011">
        <w:trPr>
          <w:trHeight w:val="130"/>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41550A08" w14:textId="77777777" w:rsidR="00DD0C17" w:rsidRPr="001E2C69" w:rsidRDefault="00DD0C17" w:rsidP="00722885">
            <w:pPr>
              <w:pStyle w:val="340"/>
              <w:shd w:val="clear" w:color="auto" w:fill="auto"/>
              <w:spacing w:before="0"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и</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766EA6CD"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Надголовники пилотов</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E01F4C5" w14:textId="77777777" w:rsidR="00DD0C17" w:rsidRPr="001E2C69" w:rsidRDefault="00DD0C17" w:rsidP="00722885">
            <w:pPr>
              <w:pStyle w:val="580"/>
              <w:shd w:val="clear" w:color="auto" w:fill="auto"/>
              <w:spacing w:line="240" w:lineRule="auto"/>
              <w:jc w:val="both"/>
              <w:rPr>
                <w:rFonts w:ascii="Times New Roman" w:hAnsi="Times New Roman" w:cs="Times New Roman"/>
                <w:i w:val="0"/>
                <w:color w:val="000000" w:themeColor="text1"/>
                <w:sz w:val="16"/>
                <w:szCs w:val="16"/>
              </w:rPr>
            </w:pPr>
            <w:r w:rsidRPr="001E2C69">
              <w:rPr>
                <w:rFonts w:ascii="Times New Roman" w:hAnsi="Times New Roman" w:cs="Times New Roman"/>
                <w:i w:val="0"/>
                <w:color w:val="000000" w:themeColor="text1"/>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7C17EB6D" w14:textId="77777777" w:rsidR="00DD0C17" w:rsidRPr="001E2C69" w:rsidRDefault="00DD0C17" w:rsidP="00722885">
            <w:pPr>
              <w:pStyle w:val="591"/>
              <w:shd w:val="clear" w:color="auto" w:fill="auto"/>
              <w:spacing w:line="240" w:lineRule="auto"/>
              <w:jc w:val="both"/>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3CAFA7D7"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6</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39C6A4AB"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6</w:t>
            </w:r>
          </w:p>
        </w:tc>
      </w:tr>
      <w:tr w:rsidR="001E2C69" w:rsidRPr="001E2C69" w14:paraId="1C02F220" w14:textId="77777777" w:rsidTr="00627011">
        <w:trPr>
          <w:trHeight w:val="134"/>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0DCD8C4F"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218C7AA2"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Всею брони</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5495AB7"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A29EB5C"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188</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536E9D7"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26B5802C" w14:textId="77777777" w:rsidR="00DD0C17" w:rsidRPr="001E2C69" w:rsidRDefault="00DD0C17" w:rsidP="00722885">
            <w:pPr>
              <w:pStyle w:val="57"/>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400</w:t>
            </w:r>
          </w:p>
        </w:tc>
      </w:tr>
    </w:tbl>
    <w:p w14:paraId="380F7CCF" w14:textId="77777777" w:rsidR="00DD0C17" w:rsidRPr="001E2C69" w:rsidRDefault="00DD0C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(15776).</w:t>
      </w:r>
    </w:p>
    <w:p w14:paraId="4533DA1B" w14:textId="77777777" w:rsidR="00DD0C17" w:rsidRPr="001E2C69" w:rsidRDefault="00DD0C17" w:rsidP="00722885">
      <w:pPr>
        <w:pStyle w:val="affc"/>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Схема бронирования пикирующего бомбардировщика Пе-2 (по материалам работы комиссии ВВС и НКАП, июль-август 1942 г.).</w:t>
      </w:r>
    </w:p>
    <w:tbl>
      <w:tblPr>
        <w:tblW w:w="0" w:type="auto"/>
        <w:tblLayout w:type="fixed"/>
        <w:tblCellMar>
          <w:left w:w="10" w:type="dxa"/>
          <w:right w:w="10" w:type="dxa"/>
        </w:tblCellMar>
        <w:tblLook w:val="04A0" w:firstRow="1" w:lastRow="0" w:firstColumn="1" w:lastColumn="0" w:noHBand="0" w:noVBand="1"/>
      </w:tblPr>
      <w:tblGrid>
        <w:gridCol w:w="254"/>
        <w:gridCol w:w="1008"/>
        <w:gridCol w:w="312"/>
        <w:gridCol w:w="317"/>
        <w:gridCol w:w="317"/>
        <w:gridCol w:w="322"/>
      </w:tblGrid>
      <w:tr w:rsidR="001E2C69" w:rsidRPr="001E2C69" w14:paraId="0C09C999" w14:textId="77777777" w:rsidTr="00627011">
        <w:trPr>
          <w:trHeight w:val="134"/>
        </w:trPr>
        <w:tc>
          <w:tcPr>
            <w:tcW w:w="254" w:type="dxa"/>
            <w:vMerge w:val="restart"/>
            <w:tcBorders>
              <w:top w:val="single" w:sz="4" w:space="0" w:color="auto"/>
              <w:left w:val="single" w:sz="4" w:space="0" w:color="auto"/>
              <w:right w:val="single" w:sz="4" w:space="0" w:color="auto"/>
            </w:tcBorders>
            <w:shd w:val="clear" w:color="auto" w:fill="FFFFFF"/>
          </w:tcPr>
          <w:p w14:paraId="71430D88"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 п/п</w:t>
            </w:r>
          </w:p>
        </w:tc>
        <w:tc>
          <w:tcPr>
            <w:tcW w:w="1008" w:type="dxa"/>
            <w:vMerge w:val="restart"/>
            <w:tcBorders>
              <w:top w:val="single" w:sz="4" w:space="0" w:color="auto"/>
              <w:left w:val="single" w:sz="4" w:space="0" w:color="auto"/>
              <w:right w:val="single" w:sz="4" w:space="0" w:color="auto"/>
            </w:tcBorders>
            <w:shd w:val="clear" w:color="auto" w:fill="FFFFFF"/>
          </w:tcPr>
          <w:p w14:paraId="346AFE70"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Наименование бронедеталей</w:t>
            </w:r>
          </w:p>
        </w:tc>
        <w:tc>
          <w:tcPr>
            <w:tcW w:w="629" w:type="dxa"/>
            <w:gridSpan w:val="2"/>
            <w:tcBorders>
              <w:top w:val="single" w:sz="4" w:space="0" w:color="auto"/>
              <w:left w:val="single" w:sz="4" w:space="0" w:color="auto"/>
              <w:bottom w:val="single" w:sz="4" w:space="0" w:color="auto"/>
              <w:right w:val="single" w:sz="4" w:space="0" w:color="auto"/>
            </w:tcBorders>
            <w:shd w:val="clear" w:color="auto" w:fill="FFFFFF"/>
          </w:tcPr>
          <w:p w14:paraId="07AFD50D"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Существует</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F8CF656"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Треб</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5DD33E4C"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/ется</w:t>
            </w:r>
          </w:p>
        </w:tc>
      </w:tr>
      <w:tr w:rsidR="001E2C69" w:rsidRPr="001E2C69" w14:paraId="1036CDC7" w14:textId="77777777" w:rsidTr="00627011">
        <w:trPr>
          <w:trHeight w:val="245"/>
        </w:trPr>
        <w:tc>
          <w:tcPr>
            <w:tcW w:w="254" w:type="dxa"/>
            <w:vMerge/>
            <w:tcBorders>
              <w:left w:val="single" w:sz="4" w:space="0" w:color="auto"/>
              <w:bottom w:val="single" w:sz="4" w:space="0" w:color="auto"/>
              <w:right w:val="single" w:sz="4" w:space="0" w:color="auto"/>
            </w:tcBorders>
            <w:shd w:val="clear" w:color="auto" w:fill="FFFFFF"/>
          </w:tcPr>
          <w:p w14:paraId="6E8799D8"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1008" w:type="dxa"/>
            <w:vMerge/>
            <w:tcBorders>
              <w:left w:val="single" w:sz="4" w:space="0" w:color="auto"/>
              <w:bottom w:val="single" w:sz="4" w:space="0" w:color="auto"/>
              <w:right w:val="single" w:sz="4" w:space="0" w:color="auto"/>
            </w:tcBorders>
            <w:shd w:val="clear" w:color="auto" w:fill="FFFFFF"/>
          </w:tcPr>
          <w:p w14:paraId="6325D433"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3D4A958C"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Тот:., т</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15800B6"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Ведкг</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582032B0"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Толщ., мм</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66456B6B"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Вес,кг</w:t>
            </w:r>
          </w:p>
        </w:tc>
      </w:tr>
      <w:tr w:rsidR="001E2C69" w:rsidRPr="001E2C69" w14:paraId="4D5D4C3B" w14:textId="77777777" w:rsidTr="00627011">
        <w:trPr>
          <w:trHeight w:val="12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2180FFF8"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w:t>
            </w:r>
          </w:p>
        </w:tc>
        <w:tc>
          <w:tcPr>
            <w:tcW w:w="1008" w:type="dxa"/>
            <w:tcBorders>
              <w:top w:val="single" w:sz="4" w:space="0" w:color="auto"/>
              <w:left w:val="single" w:sz="4" w:space="0" w:color="auto"/>
              <w:bottom w:val="single" w:sz="4" w:space="0" w:color="auto"/>
              <w:right w:val="single" w:sz="4" w:space="0" w:color="auto"/>
            </w:tcBorders>
            <w:shd w:val="clear" w:color="auto" w:fill="FFFFFF"/>
          </w:tcPr>
          <w:p w14:paraId="6CE89B2B"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Бромесиденье</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3295A4CD"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31E020C5"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6</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E55E64D" w14:textId="77777777" w:rsidR="00DD0C17" w:rsidRPr="001E2C69" w:rsidRDefault="00DD0C17" w:rsidP="00722885">
            <w:pPr>
              <w:pStyle w:val="661"/>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07115C7" w14:textId="77777777" w:rsidR="00DD0C17" w:rsidRPr="001E2C69" w:rsidRDefault="00DD0C17" w:rsidP="00722885">
            <w:pPr>
              <w:pStyle w:val="661"/>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w:t>
            </w:r>
          </w:p>
        </w:tc>
      </w:tr>
      <w:tr w:rsidR="001E2C69" w:rsidRPr="001E2C69" w14:paraId="63BE2D63"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0F426494"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2</w:t>
            </w:r>
          </w:p>
        </w:tc>
        <w:tc>
          <w:tcPr>
            <w:tcW w:w="1008" w:type="dxa"/>
            <w:tcBorders>
              <w:top w:val="single" w:sz="4" w:space="0" w:color="auto"/>
              <w:left w:val="single" w:sz="4" w:space="0" w:color="auto"/>
              <w:bottom w:val="single" w:sz="4" w:space="0" w:color="auto"/>
              <w:right w:val="single" w:sz="4" w:space="0" w:color="auto"/>
            </w:tcBorders>
            <w:shd w:val="clear" w:color="auto" w:fill="FFFFFF"/>
          </w:tcPr>
          <w:p w14:paraId="01193FE3"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Бронеспинка</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40B48AD5"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13,5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693EDD07"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37</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2BB23E12"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15</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7003FAEC"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41,5</w:t>
            </w:r>
          </w:p>
        </w:tc>
      </w:tr>
      <w:tr w:rsidR="001E2C69" w:rsidRPr="001E2C69" w14:paraId="2454F4DD" w14:textId="77777777" w:rsidTr="00627011">
        <w:trPr>
          <w:trHeight w:val="12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11E02056"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3</w:t>
            </w:r>
          </w:p>
        </w:tc>
        <w:tc>
          <w:tcPr>
            <w:tcW w:w="1008" w:type="dxa"/>
            <w:tcBorders>
              <w:top w:val="single" w:sz="4" w:space="0" w:color="auto"/>
              <w:left w:val="single" w:sz="4" w:space="0" w:color="auto"/>
              <w:bottom w:val="single" w:sz="4" w:space="0" w:color="auto"/>
              <w:right w:val="single" w:sz="4" w:space="0" w:color="auto"/>
            </w:tcBorders>
            <w:shd w:val="clear" w:color="auto" w:fill="FFFFFF"/>
          </w:tcPr>
          <w:p w14:paraId="5E452FE6"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Подлокотник</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1F4B6E49"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13,5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2BD2B74B"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7,5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4DCE8ABE"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15</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7AD7457"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8,3</w:t>
            </w:r>
          </w:p>
        </w:tc>
      </w:tr>
      <w:tr w:rsidR="001E2C69" w:rsidRPr="001E2C69" w14:paraId="560C3291" w14:textId="77777777" w:rsidTr="00627011">
        <w:trPr>
          <w:trHeight w:val="25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6A429228"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4</w:t>
            </w:r>
          </w:p>
        </w:tc>
        <w:tc>
          <w:tcPr>
            <w:tcW w:w="1008" w:type="dxa"/>
            <w:tcBorders>
              <w:top w:val="single" w:sz="4" w:space="0" w:color="auto"/>
              <w:left w:val="single" w:sz="4" w:space="0" w:color="auto"/>
              <w:bottom w:val="single" w:sz="4" w:space="0" w:color="auto"/>
              <w:right w:val="single" w:sz="4" w:space="0" w:color="auto"/>
            </w:tcBorders>
            <w:shd w:val="clear" w:color="auto" w:fill="FFFFFF"/>
          </w:tcPr>
          <w:p w14:paraId="16EDFA80"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Бронеплита штурмана</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42AFBE8A"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6B2D9D41"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32,6</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4FF6C0BF"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13</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84D3C39"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50</w:t>
            </w:r>
          </w:p>
        </w:tc>
      </w:tr>
      <w:tr w:rsidR="001E2C69" w:rsidRPr="001E2C69" w14:paraId="3A2833C7" w14:textId="77777777" w:rsidTr="00627011">
        <w:trPr>
          <w:trHeight w:val="25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2CFCD90A"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lastRenderedPageBreak/>
              <w:t>5</w:t>
            </w:r>
          </w:p>
        </w:tc>
        <w:tc>
          <w:tcPr>
            <w:tcW w:w="1008" w:type="dxa"/>
            <w:tcBorders>
              <w:top w:val="single" w:sz="4" w:space="0" w:color="auto"/>
              <w:left w:val="single" w:sz="4" w:space="0" w:color="auto"/>
              <w:bottom w:val="single" w:sz="4" w:space="0" w:color="auto"/>
              <w:right w:val="single" w:sz="4" w:space="0" w:color="auto"/>
            </w:tcBorders>
            <w:shd w:val="clear" w:color="auto" w:fill="FFFFFF"/>
          </w:tcPr>
          <w:p w14:paraId="7B1F31D7"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Люковая плита радиста</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76C803CE"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4,5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246FC08"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8,2</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283FA509"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CAB13ED"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14,5</w:t>
            </w:r>
          </w:p>
        </w:tc>
      </w:tr>
      <w:tr w:rsidR="001E2C69" w:rsidRPr="001E2C69" w14:paraId="4F811593" w14:textId="77777777" w:rsidTr="00627011">
        <w:trPr>
          <w:trHeight w:val="25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33573A7A"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6</w:t>
            </w:r>
          </w:p>
        </w:tc>
        <w:tc>
          <w:tcPr>
            <w:tcW w:w="1008" w:type="dxa"/>
            <w:tcBorders>
              <w:top w:val="single" w:sz="4" w:space="0" w:color="auto"/>
              <w:left w:val="single" w:sz="4" w:space="0" w:color="auto"/>
              <w:bottom w:val="single" w:sz="4" w:space="0" w:color="auto"/>
              <w:right w:val="single" w:sz="4" w:space="0" w:color="auto"/>
            </w:tcBorders>
            <w:shd w:val="clear" w:color="auto" w:fill="FFFFFF"/>
          </w:tcPr>
          <w:p w14:paraId="346B245A"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Верхняя плита радиста</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0D5E55DC"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4,5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7107F22"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39,5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4EEA2D9E"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10</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8E4E064"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46,8</w:t>
            </w:r>
          </w:p>
        </w:tc>
      </w:tr>
      <w:tr w:rsidR="001E2C69" w:rsidRPr="001E2C69" w14:paraId="2C1E0E63" w14:textId="77777777" w:rsidTr="00627011">
        <w:trPr>
          <w:trHeight w:val="24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2625798D"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7</w:t>
            </w:r>
          </w:p>
        </w:tc>
        <w:tc>
          <w:tcPr>
            <w:tcW w:w="1008" w:type="dxa"/>
            <w:tcBorders>
              <w:top w:val="single" w:sz="4" w:space="0" w:color="auto"/>
              <w:left w:val="single" w:sz="4" w:space="0" w:color="auto"/>
              <w:bottom w:val="single" w:sz="4" w:space="0" w:color="auto"/>
              <w:right w:val="single" w:sz="4" w:space="0" w:color="auto"/>
            </w:tcBorders>
            <w:shd w:val="clear" w:color="auto" w:fill="FFFFFF"/>
          </w:tcPr>
          <w:p w14:paraId="06B4E533"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Нижняя плита радиста</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64C99A3C"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252EDF4B"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5,5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1238FE84"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10</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F88BF42"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6,3</w:t>
            </w:r>
          </w:p>
        </w:tc>
      </w:tr>
      <w:tr w:rsidR="001E2C69" w:rsidRPr="001E2C69" w14:paraId="04F940DB"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181AA36A"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w:t>
            </w:r>
          </w:p>
        </w:tc>
        <w:tc>
          <w:tcPr>
            <w:tcW w:w="1008" w:type="dxa"/>
            <w:tcBorders>
              <w:top w:val="single" w:sz="4" w:space="0" w:color="auto"/>
              <w:left w:val="single" w:sz="4" w:space="0" w:color="auto"/>
              <w:bottom w:val="single" w:sz="4" w:space="0" w:color="auto"/>
              <w:right w:val="single" w:sz="4" w:space="0" w:color="auto"/>
            </w:tcBorders>
            <w:shd w:val="clear" w:color="auto" w:fill="FFFFFF"/>
          </w:tcPr>
          <w:p w14:paraId="50FBDCDE"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Заголовник</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695515CD"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00323B8F"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7,7</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22238783"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13</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81266A9"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12,6</w:t>
            </w:r>
          </w:p>
        </w:tc>
      </w:tr>
      <w:tr w:rsidR="001E2C69" w:rsidRPr="001E2C69" w14:paraId="6341368F"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6939D4C4"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1008" w:type="dxa"/>
            <w:tcBorders>
              <w:top w:val="single" w:sz="4" w:space="0" w:color="auto"/>
              <w:left w:val="single" w:sz="4" w:space="0" w:color="auto"/>
              <w:bottom w:val="single" w:sz="4" w:space="0" w:color="auto"/>
              <w:right w:val="single" w:sz="4" w:space="0" w:color="auto"/>
            </w:tcBorders>
            <w:shd w:val="clear" w:color="auto" w:fill="FFFFFF"/>
          </w:tcPr>
          <w:p w14:paraId="6AA460C8"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Всего брони</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3F21C2FB"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0D41E75C"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144</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34557589"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D8ADCB0"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180</w:t>
            </w:r>
          </w:p>
        </w:tc>
      </w:tr>
    </w:tbl>
    <w:p w14:paraId="57D6F7FF" w14:textId="77777777" w:rsidR="00DD0C17" w:rsidRPr="001E2C69" w:rsidRDefault="00DD0C17" w:rsidP="00722885">
      <w:pPr>
        <w:pStyle w:val="28"/>
        <w:shd w:val="clear" w:color="auto" w:fill="auto"/>
        <w:spacing w:before="0"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(15776).</w:t>
      </w:r>
    </w:p>
    <w:p w14:paraId="6CF4C8A0" w14:textId="77777777" w:rsidR="00DD0C17" w:rsidRPr="001E2C69" w:rsidRDefault="00DD0C17" w:rsidP="00722885">
      <w:pPr>
        <w:pStyle w:val="affc"/>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Схема бронирования бомбардировщика Ту-2 (по материалам работы комиссии ВВС и НКАП, июль-август 1942 г.).</w:t>
      </w:r>
    </w:p>
    <w:tbl>
      <w:tblPr>
        <w:tblW w:w="0" w:type="auto"/>
        <w:tblLayout w:type="fixed"/>
        <w:tblCellMar>
          <w:left w:w="10" w:type="dxa"/>
          <w:right w:w="10" w:type="dxa"/>
        </w:tblCellMar>
        <w:tblLook w:val="04A0" w:firstRow="1" w:lastRow="0" w:firstColumn="1" w:lastColumn="0" w:noHBand="0" w:noVBand="1"/>
      </w:tblPr>
      <w:tblGrid>
        <w:gridCol w:w="259"/>
        <w:gridCol w:w="1378"/>
        <w:gridCol w:w="317"/>
        <w:gridCol w:w="312"/>
        <w:gridCol w:w="317"/>
        <w:gridCol w:w="322"/>
      </w:tblGrid>
      <w:tr w:rsidR="001E2C69" w:rsidRPr="001E2C69" w14:paraId="3AE85512" w14:textId="77777777" w:rsidTr="00627011">
        <w:trPr>
          <w:trHeight w:val="130"/>
        </w:trPr>
        <w:tc>
          <w:tcPr>
            <w:tcW w:w="259" w:type="dxa"/>
            <w:vMerge w:val="restart"/>
            <w:tcBorders>
              <w:top w:val="single" w:sz="4" w:space="0" w:color="auto"/>
              <w:left w:val="single" w:sz="4" w:space="0" w:color="auto"/>
              <w:right w:val="single" w:sz="4" w:space="0" w:color="auto"/>
            </w:tcBorders>
            <w:shd w:val="clear" w:color="auto" w:fill="FFFFFF"/>
          </w:tcPr>
          <w:p w14:paraId="05C19DE9"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 п/п</w:t>
            </w:r>
          </w:p>
        </w:tc>
        <w:tc>
          <w:tcPr>
            <w:tcW w:w="1378" w:type="dxa"/>
            <w:tcBorders>
              <w:top w:val="single" w:sz="4" w:space="0" w:color="auto"/>
              <w:left w:val="single" w:sz="4" w:space="0" w:color="auto"/>
              <w:right w:val="single" w:sz="4" w:space="0" w:color="auto"/>
            </w:tcBorders>
            <w:shd w:val="clear" w:color="auto" w:fill="FFFFFF"/>
          </w:tcPr>
          <w:p w14:paraId="6FD3A9D1"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629" w:type="dxa"/>
            <w:gridSpan w:val="2"/>
            <w:tcBorders>
              <w:top w:val="single" w:sz="4" w:space="0" w:color="auto"/>
              <w:left w:val="single" w:sz="4" w:space="0" w:color="auto"/>
              <w:bottom w:val="single" w:sz="4" w:space="0" w:color="auto"/>
              <w:right w:val="single" w:sz="4" w:space="0" w:color="auto"/>
            </w:tcBorders>
            <w:shd w:val="clear" w:color="auto" w:fill="FFFFFF"/>
          </w:tcPr>
          <w:p w14:paraId="26269D48"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Существует</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326C8B6E"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Треб</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92DBE40"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/ется</w:t>
            </w:r>
          </w:p>
        </w:tc>
      </w:tr>
      <w:tr w:rsidR="001E2C69" w:rsidRPr="001E2C69" w14:paraId="00A8F1D2" w14:textId="77777777" w:rsidTr="00627011">
        <w:trPr>
          <w:trHeight w:val="230"/>
        </w:trPr>
        <w:tc>
          <w:tcPr>
            <w:tcW w:w="259" w:type="dxa"/>
            <w:vMerge/>
            <w:tcBorders>
              <w:left w:val="single" w:sz="4" w:space="0" w:color="auto"/>
              <w:bottom w:val="single" w:sz="4" w:space="0" w:color="auto"/>
              <w:right w:val="single" w:sz="4" w:space="0" w:color="auto"/>
            </w:tcBorders>
            <w:shd w:val="clear" w:color="auto" w:fill="FFFFFF"/>
          </w:tcPr>
          <w:p w14:paraId="7E1479BD"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1378" w:type="dxa"/>
            <w:tcBorders>
              <w:left w:val="single" w:sz="4" w:space="0" w:color="auto"/>
              <w:bottom w:val="single" w:sz="4" w:space="0" w:color="auto"/>
              <w:right w:val="single" w:sz="4" w:space="0" w:color="auto"/>
            </w:tcBorders>
            <w:shd w:val="clear" w:color="auto" w:fill="FFFFFF"/>
          </w:tcPr>
          <w:p w14:paraId="728F3E92"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Наименование бронедеталей</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C604B11"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Толщ, в мм</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152CB7E6"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Вес в кг</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6F97BB9B"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Толщ, в мм</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B052D55"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Вес в кг</w:t>
            </w:r>
          </w:p>
        </w:tc>
      </w:tr>
      <w:tr w:rsidR="001E2C69" w:rsidRPr="001E2C69" w14:paraId="16E1CF6A" w14:textId="77777777" w:rsidTr="00627011">
        <w:trPr>
          <w:trHeight w:val="125"/>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6C51B3E4"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w:t>
            </w: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156F3149"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Бронеспинка летчика</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65C27B7C"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71082633"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60,4</w:t>
            </w:r>
          </w:p>
        </w:tc>
        <w:tc>
          <w:tcPr>
            <w:tcW w:w="317" w:type="dxa"/>
            <w:tcBorders>
              <w:top w:val="single" w:sz="4" w:space="0" w:color="auto"/>
              <w:left w:val="single" w:sz="4" w:space="0" w:color="auto"/>
              <w:right w:val="single" w:sz="4" w:space="0" w:color="auto"/>
            </w:tcBorders>
            <w:shd w:val="clear" w:color="auto" w:fill="FFFFFF"/>
          </w:tcPr>
          <w:p w14:paraId="60AE70C8"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right w:val="single" w:sz="4" w:space="0" w:color="auto"/>
            </w:tcBorders>
            <w:shd w:val="clear" w:color="auto" w:fill="FFFFFF"/>
          </w:tcPr>
          <w:p w14:paraId="1F29850C"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r>
      <w:tr w:rsidR="001E2C69" w:rsidRPr="001E2C69" w14:paraId="1600322A" w14:textId="77777777" w:rsidTr="00627011">
        <w:trPr>
          <w:trHeight w:val="130"/>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6FDED5DE"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2</w:t>
            </w: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52BFA6F9"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Бронеплита летчика</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1D758C14"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418BAB24"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6</w:t>
            </w:r>
          </w:p>
        </w:tc>
        <w:tc>
          <w:tcPr>
            <w:tcW w:w="317" w:type="dxa"/>
            <w:tcBorders>
              <w:left w:val="single" w:sz="4" w:space="0" w:color="auto"/>
              <w:right w:val="single" w:sz="4" w:space="0" w:color="auto"/>
            </w:tcBorders>
            <w:shd w:val="clear" w:color="auto" w:fill="FFFFFF"/>
          </w:tcPr>
          <w:p w14:paraId="26314FAF"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22" w:type="dxa"/>
            <w:tcBorders>
              <w:left w:val="single" w:sz="4" w:space="0" w:color="auto"/>
              <w:right w:val="single" w:sz="4" w:space="0" w:color="auto"/>
            </w:tcBorders>
            <w:shd w:val="clear" w:color="auto" w:fill="FFFFFF"/>
          </w:tcPr>
          <w:p w14:paraId="4CCAAA9D"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r>
      <w:tr w:rsidR="001E2C69" w:rsidRPr="001E2C69" w14:paraId="5333F618" w14:textId="77777777" w:rsidTr="00627011">
        <w:trPr>
          <w:trHeight w:val="130"/>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209122AB"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3</w:t>
            </w: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7AEBB071"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Бронеплита штурмана</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3EDCD357"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38A486D9"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13,9</w:t>
            </w:r>
          </w:p>
        </w:tc>
        <w:tc>
          <w:tcPr>
            <w:tcW w:w="317" w:type="dxa"/>
            <w:tcBorders>
              <w:left w:val="single" w:sz="4" w:space="0" w:color="auto"/>
              <w:right w:val="single" w:sz="4" w:space="0" w:color="auto"/>
            </w:tcBorders>
            <w:shd w:val="clear" w:color="auto" w:fill="FFFFFF"/>
          </w:tcPr>
          <w:p w14:paraId="1AD60F4C"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22" w:type="dxa"/>
            <w:tcBorders>
              <w:left w:val="single" w:sz="4" w:space="0" w:color="auto"/>
              <w:right w:val="single" w:sz="4" w:space="0" w:color="auto"/>
            </w:tcBorders>
            <w:shd w:val="clear" w:color="auto" w:fill="FFFFFF"/>
          </w:tcPr>
          <w:p w14:paraId="21158FA2"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r>
      <w:tr w:rsidR="001E2C69" w:rsidRPr="001E2C69" w14:paraId="1F99994D" w14:textId="77777777" w:rsidTr="00627011">
        <w:trPr>
          <w:trHeight w:val="125"/>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0B74D20F"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4</w:t>
            </w: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1BAB4D09"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Бронеплита штурмана</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15B725F8"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2E384A73"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11,9</w:t>
            </w:r>
          </w:p>
        </w:tc>
        <w:tc>
          <w:tcPr>
            <w:tcW w:w="317" w:type="dxa"/>
            <w:tcBorders>
              <w:left w:val="single" w:sz="4" w:space="0" w:color="auto"/>
              <w:right w:val="single" w:sz="4" w:space="0" w:color="auto"/>
            </w:tcBorders>
            <w:shd w:val="clear" w:color="auto" w:fill="FFFFFF"/>
          </w:tcPr>
          <w:p w14:paraId="408CEFD3"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22" w:type="dxa"/>
            <w:tcBorders>
              <w:left w:val="single" w:sz="4" w:space="0" w:color="auto"/>
              <w:right w:val="single" w:sz="4" w:space="0" w:color="auto"/>
            </w:tcBorders>
            <w:shd w:val="clear" w:color="auto" w:fill="FFFFFF"/>
          </w:tcPr>
          <w:p w14:paraId="79D94784"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r>
      <w:tr w:rsidR="001E2C69" w:rsidRPr="001E2C69" w14:paraId="5B590BBD" w14:textId="77777777" w:rsidTr="00627011">
        <w:trPr>
          <w:trHeight w:val="230"/>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629AECAC"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5</w:t>
            </w: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6C766A2F"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Бронеплита верхнего стрелка</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15D475E7"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б</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12BBD6E4"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18,8</w:t>
            </w:r>
          </w:p>
        </w:tc>
        <w:tc>
          <w:tcPr>
            <w:tcW w:w="317" w:type="dxa"/>
            <w:tcBorders>
              <w:left w:val="single" w:sz="4" w:space="0" w:color="auto"/>
              <w:right w:val="single" w:sz="4" w:space="0" w:color="auto"/>
            </w:tcBorders>
            <w:shd w:val="clear" w:color="auto" w:fill="FFFFFF"/>
          </w:tcPr>
          <w:p w14:paraId="4B2FB69A" w14:textId="77777777" w:rsidR="00DD0C17" w:rsidRPr="001E2C69" w:rsidRDefault="00DD0C17" w:rsidP="00722885">
            <w:pPr>
              <w:pStyle w:val="681"/>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У</w:t>
            </w:r>
          </w:p>
        </w:tc>
        <w:tc>
          <w:tcPr>
            <w:tcW w:w="322" w:type="dxa"/>
            <w:tcBorders>
              <w:left w:val="single" w:sz="4" w:space="0" w:color="auto"/>
              <w:right w:val="single" w:sz="4" w:space="0" w:color="auto"/>
            </w:tcBorders>
            <w:shd w:val="clear" w:color="auto" w:fill="FFFFFF"/>
          </w:tcPr>
          <w:p w14:paraId="007D209E" w14:textId="77777777" w:rsidR="00DD0C17" w:rsidRPr="001E2C69" w:rsidRDefault="00DD0C17" w:rsidP="00722885">
            <w:pPr>
              <w:pStyle w:val="681"/>
              <w:shd w:val="clear" w:color="auto" w:fill="auto"/>
              <w:spacing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1</w:t>
            </w:r>
          </w:p>
        </w:tc>
      </w:tr>
      <w:tr w:rsidR="001E2C69" w:rsidRPr="001E2C69" w14:paraId="5D057C90" w14:textId="77777777" w:rsidTr="00627011">
        <w:trPr>
          <w:trHeight w:val="125"/>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0224304D"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6</w:t>
            </w: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415DA25C"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То же</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402A7998"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3887825A"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26,1</w:t>
            </w:r>
          </w:p>
        </w:tc>
        <w:tc>
          <w:tcPr>
            <w:tcW w:w="317" w:type="dxa"/>
            <w:tcBorders>
              <w:left w:val="single" w:sz="4" w:space="0" w:color="auto"/>
              <w:right w:val="single" w:sz="4" w:space="0" w:color="auto"/>
            </w:tcBorders>
            <w:shd w:val="clear" w:color="auto" w:fill="FFFFFF"/>
          </w:tcPr>
          <w:p w14:paraId="41A09122"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н</w:t>
            </w:r>
          </w:p>
        </w:tc>
        <w:tc>
          <w:tcPr>
            <w:tcW w:w="322" w:type="dxa"/>
            <w:tcBorders>
              <w:left w:val="single" w:sz="4" w:space="0" w:color="auto"/>
              <w:right w:val="single" w:sz="4" w:space="0" w:color="auto"/>
            </w:tcBorders>
            <w:shd w:val="clear" w:color="auto" w:fill="FFFFFF"/>
          </w:tcPr>
          <w:p w14:paraId="47ECA868"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r>
      <w:tr w:rsidR="001E2C69" w:rsidRPr="001E2C69" w14:paraId="4BD7A360" w14:textId="77777777" w:rsidTr="00627011">
        <w:trPr>
          <w:trHeight w:val="230"/>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368897E6"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7</w:t>
            </w: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31382880"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Бронеплита нижнего стрелка</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52767716"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6</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25C376DD"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18,8</w:t>
            </w:r>
          </w:p>
        </w:tc>
        <w:tc>
          <w:tcPr>
            <w:tcW w:w="317" w:type="dxa"/>
            <w:tcBorders>
              <w:left w:val="single" w:sz="4" w:space="0" w:color="auto"/>
              <w:right w:val="single" w:sz="4" w:space="0" w:color="auto"/>
            </w:tcBorders>
            <w:shd w:val="clear" w:color="auto" w:fill="FFFFFF"/>
          </w:tcPr>
          <w:p w14:paraId="56B3B707"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о и</w:t>
            </w:r>
          </w:p>
        </w:tc>
        <w:tc>
          <w:tcPr>
            <w:tcW w:w="322" w:type="dxa"/>
            <w:tcBorders>
              <w:left w:val="single" w:sz="4" w:space="0" w:color="auto"/>
              <w:right w:val="single" w:sz="4" w:space="0" w:color="auto"/>
            </w:tcBorders>
            <w:shd w:val="clear" w:color="auto" w:fill="FFFFFF"/>
          </w:tcPr>
          <w:p w14:paraId="478170F8"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к</w:t>
            </w:r>
          </w:p>
        </w:tc>
      </w:tr>
      <w:tr w:rsidR="001E2C69" w:rsidRPr="001E2C69" w14:paraId="71B01CBB" w14:textId="77777777" w:rsidTr="00627011">
        <w:trPr>
          <w:trHeight w:val="125"/>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2AA36614"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8</w:t>
            </w: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598FDCB0"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То же</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F123A74"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79597145"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10,1</w:t>
            </w:r>
          </w:p>
        </w:tc>
        <w:tc>
          <w:tcPr>
            <w:tcW w:w="317" w:type="dxa"/>
            <w:tcBorders>
              <w:left w:val="single" w:sz="4" w:space="0" w:color="auto"/>
              <w:right w:val="single" w:sz="4" w:space="0" w:color="auto"/>
            </w:tcBorders>
            <w:shd w:val="clear" w:color="auto" w:fill="FFFFFF"/>
          </w:tcPr>
          <w:p w14:paraId="775B4B17"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22" w:type="dxa"/>
            <w:tcBorders>
              <w:left w:val="single" w:sz="4" w:space="0" w:color="auto"/>
              <w:right w:val="single" w:sz="4" w:space="0" w:color="auto"/>
            </w:tcBorders>
            <w:shd w:val="clear" w:color="auto" w:fill="FFFFFF"/>
          </w:tcPr>
          <w:p w14:paraId="045CA845"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r>
      <w:tr w:rsidR="001E2C69" w:rsidRPr="001E2C69" w14:paraId="7CBAFB29" w14:textId="77777777" w:rsidTr="00627011">
        <w:trPr>
          <w:trHeight w:val="130"/>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0C4B1E95"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9</w:t>
            </w: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38E0FC4B"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То же</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2A3B8BA2"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12</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49689D25"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26,1</w:t>
            </w:r>
          </w:p>
        </w:tc>
        <w:tc>
          <w:tcPr>
            <w:tcW w:w="317" w:type="dxa"/>
            <w:tcBorders>
              <w:left w:val="single" w:sz="4" w:space="0" w:color="auto"/>
              <w:bottom w:val="single" w:sz="4" w:space="0" w:color="auto"/>
              <w:right w:val="single" w:sz="4" w:space="0" w:color="auto"/>
            </w:tcBorders>
            <w:shd w:val="clear" w:color="auto" w:fill="FFFFFF"/>
          </w:tcPr>
          <w:p w14:paraId="4D615F5F"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22" w:type="dxa"/>
            <w:tcBorders>
              <w:left w:val="single" w:sz="4" w:space="0" w:color="auto"/>
              <w:bottom w:val="single" w:sz="4" w:space="0" w:color="auto"/>
              <w:right w:val="single" w:sz="4" w:space="0" w:color="auto"/>
            </w:tcBorders>
            <w:shd w:val="clear" w:color="auto" w:fill="FFFFFF"/>
          </w:tcPr>
          <w:p w14:paraId="2B948B91"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r>
      <w:tr w:rsidR="001E2C69" w:rsidRPr="001E2C69" w14:paraId="3740B66E" w14:textId="77777777" w:rsidTr="00627011">
        <w:trPr>
          <w:trHeight w:val="134"/>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2C424AA8"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0636E521"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Всего брони</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0300CB27"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507E586E"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184,3</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1A1355D3" w14:textId="77777777" w:rsidR="00DD0C17" w:rsidRPr="001E2C69" w:rsidRDefault="00DD0C17" w:rsidP="00722885">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72D02C4F" w14:textId="77777777" w:rsidR="00DD0C17" w:rsidRPr="001E2C69" w:rsidRDefault="00DD0C17" w:rsidP="00722885">
            <w:pPr>
              <w:pStyle w:val="122"/>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184,3</w:t>
            </w:r>
          </w:p>
        </w:tc>
      </w:tr>
    </w:tbl>
    <w:p w14:paraId="48A36ACF" w14:textId="77777777" w:rsidR="00DD0C17" w:rsidRPr="001E2C69" w:rsidRDefault="00DD0C17" w:rsidP="00722885">
      <w:pPr>
        <w:pStyle w:val="affc"/>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(15776).</w:t>
      </w:r>
    </w:p>
    <w:p w14:paraId="404560AA" w14:textId="77777777" w:rsidR="00DD0C17" w:rsidRPr="001E2C69"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Сравнение схем бронирования советских и зарубежных самолетов, проведенное в НИИ ВВС по заданию комиссии, оказалось не в пользу отечественных истребителей.</w:t>
      </w:r>
    </w:p>
    <w:p w14:paraId="409A2EF4" w14:textId="77777777" w:rsidR="00DD0C17" w:rsidRPr="001E2C69"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Действительно, если удельный вес брони в полетном весе истребителей ВВС КА (Як-1, Як-7Б, ЛаГГ-3) находился в пределах 1,04- 1,15%, то удельный вес брони английского «Харрикейна» II составлял 1,27-2,87%, аме</w:t>
      </w:r>
      <w:r w:rsidRPr="001E2C69">
        <w:rPr>
          <w:rFonts w:ascii="Times New Roman" w:cs="Times New Roman"/>
          <w:color w:val="000000" w:themeColor="text1"/>
          <w:spacing w:val="0"/>
          <w:sz w:val="16"/>
          <w:szCs w:val="16"/>
        </w:rPr>
        <w:softHyphen/>
        <w:t>риканских Р-39, Р-40 и Р-51 - 1,8-3,54% и немецких машин - 1,3-1,53%. Двухмоторный дальний истребитель сопровождения Пе-Збис имел удельный вес брони 1,85%, а его немец</w:t>
      </w:r>
      <w:r w:rsidRPr="001E2C69">
        <w:rPr>
          <w:rFonts w:ascii="Times New Roman" w:cs="Times New Roman"/>
          <w:color w:val="000000" w:themeColor="text1"/>
          <w:spacing w:val="0"/>
          <w:sz w:val="16"/>
          <w:szCs w:val="16"/>
        </w:rPr>
        <w:softHyphen/>
        <w:t>кий аналог ВТ1 ЮС - 2,86%.</w:t>
      </w:r>
    </w:p>
    <w:p w14:paraId="76080E45" w14:textId="77777777" w:rsidR="00DD0C17" w:rsidRPr="001E2C69" w:rsidRDefault="00DD0C17" w:rsidP="00722885">
      <w:pPr>
        <w:pStyle w:val="36"/>
        <w:shd w:val="clear" w:color="auto" w:fill="auto"/>
        <w:spacing w:after="0" w:line="240" w:lineRule="auto"/>
        <w:jc w:val="both"/>
        <w:rPr>
          <w:rStyle w:val="aff8"/>
          <w:rFonts w:ascii="Times New Roman" w:eastAsia="Arial Narrow" w:hAnsi="Times New Roman" w:cs="Times New Roman"/>
          <w:i w:val="0"/>
          <w:color w:val="000000" w:themeColor="text1"/>
          <w:spacing w:val="0"/>
        </w:rPr>
      </w:pPr>
      <w:r w:rsidRPr="001E2C69">
        <w:rPr>
          <w:rFonts w:ascii="Times New Roman" w:cs="Times New Roman"/>
          <w:color w:val="000000" w:themeColor="text1"/>
          <w:spacing w:val="0"/>
          <w:sz w:val="16"/>
          <w:szCs w:val="16"/>
        </w:rPr>
        <w:t>Бомбардировочные самолеты ВВС КА в части бронирования были, что называется, на уровне: они ни в чем не уступали американским машинам и несколько превосходили немецкие самолеты. Так, удельный вес брони Пе-2 и Ту-2 достигал 1,7-1,8%, тогда как у американско</w:t>
      </w:r>
      <w:r w:rsidRPr="001E2C69">
        <w:rPr>
          <w:rFonts w:ascii="Times New Roman" w:cs="Times New Roman"/>
          <w:color w:val="000000" w:themeColor="text1"/>
          <w:spacing w:val="0"/>
          <w:sz w:val="16"/>
          <w:szCs w:val="16"/>
        </w:rPr>
        <w:softHyphen/>
        <w:t>го бомбардировщика «Бостон» этот показа</w:t>
      </w:r>
      <w:r w:rsidRPr="001E2C69">
        <w:rPr>
          <w:rFonts w:ascii="Times New Roman" w:cs="Times New Roman"/>
          <w:color w:val="000000" w:themeColor="text1"/>
          <w:spacing w:val="0"/>
          <w:sz w:val="16"/>
          <w:szCs w:val="16"/>
        </w:rPr>
        <w:softHyphen/>
        <w:t>тель равнялся 1,95%, а у немецких самолетов 1М8А, йо215 и Не111Н - 1,1 -1,5%. При этом в отчете НИИ ВВС отмечалась</w:t>
      </w:r>
      <w:r w:rsidRPr="001E2C69">
        <w:rPr>
          <w:rStyle w:val="aff8"/>
          <w:rFonts w:ascii="Times New Roman" w:eastAsia="Arial Narrow" w:hAnsi="Times New Roman" w:cs="Times New Roman"/>
          <w:i w:val="0"/>
          <w:color w:val="000000" w:themeColor="text1"/>
          <w:spacing w:val="0"/>
        </w:rPr>
        <w:t xml:space="preserve"> «совершенно неу</w:t>
      </w:r>
      <w:r w:rsidRPr="001E2C69">
        <w:rPr>
          <w:rStyle w:val="aff8"/>
          <w:rFonts w:ascii="Times New Roman" w:eastAsia="Arial Narrow" w:hAnsi="Times New Roman" w:cs="Times New Roman"/>
          <w:i w:val="0"/>
          <w:color w:val="000000" w:themeColor="text1"/>
          <w:spacing w:val="0"/>
        </w:rPr>
        <w:softHyphen/>
        <w:t>довлетворительная броневая защита экипажа на самолете Бостон-3».</w:t>
      </w:r>
    </w:p>
    <w:p w14:paraId="2E185FC8" w14:textId="77777777" w:rsidR="00DD0C17" w:rsidRPr="001E2C69"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Основные изменения в схемах бронирова</w:t>
      </w:r>
      <w:r w:rsidRPr="001E2C69">
        <w:rPr>
          <w:rFonts w:ascii="Times New Roman" w:cs="Times New Roman"/>
          <w:color w:val="000000" w:themeColor="text1"/>
          <w:spacing w:val="0"/>
          <w:sz w:val="16"/>
          <w:szCs w:val="16"/>
        </w:rPr>
        <w:softHyphen/>
        <w:t>ния серийных истребителей ВВС КА, представ</w:t>
      </w:r>
      <w:r w:rsidRPr="001E2C69">
        <w:rPr>
          <w:rFonts w:ascii="Times New Roman" w:cs="Times New Roman"/>
          <w:color w:val="000000" w:themeColor="text1"/>
          <w:spacing w:val="0"/>
          <w:sz w:val="16"/>
          <w:szCs w:val="16"/>
        </w:rPr>
        <w:softHyphen/>
        <w:t>ленных НИИ ВВС КА, сводились к обязательной установке на всех Як-1, Як-7Б и ЛаГГ-3 15-мм бронеспинки, 10-мм надголовника и 8-мм под</w:t>
      </w:r>
      <w:r w:rsidRPr="001E2C69">
        <w:rPr>
          <w:rFonts w:ascii="Times New Roman" w:cs="Times New Roman"/>
          <w:color w:val="000000" w:themeColor="text1"/>
          <w:spacing w:val="0"/>
          <w:sz w:val="16"/>
          <w:szCs w:val="16"/>
        </w:rPr>
        <w:softHyphen/>
        <w:t>локотника под левую руку летчика, а также бро</w:t>
      </w:r>
      <w:r w:rsidRPr="001E2C69">
        <w:rPr>
          <w:rFonts w:ascii="Times New Roman" w:cs="Times New Roman"/>
          <w:color w:val="000000" w:themeColor="text1"/>
          <w:spacing w:val="0"/>
          <w:sz w:val="16"/>
          <w:szCs w:val="16"/>
        </w:rPr>
        <w:softHyphen/>
        <w:t>нестекла толщиной 64 мм (только на Як-7Б). Вес брони возрастал до 76-79 кг вместо преж</w:t>
      </w:r>
      <w:r w:rsidRPr="001E2C69">
        <w:rPr>
          <w:rFonts w:ascii="Times New Roman" w:cs="Times New Roman"/>
          <w:color w:val="000000" w:themeColor="text1"/>
          <w:spacing w:val="0"/>
          <w:sz w:val="16"/>
          <w:szCs w:val="16"/>
        </w:rPr>
        <w:softHyphen/>
        <w:t>них 30-38</w:t>
      </w:r>
      <w:r w:rsidRPr="001E2C69">
        <w:rPr>
          <w:rStyle w:val="aff8"/>
          <w:rFonts w:ascii="Times New Roman" w:eastAsia="Arial Narrow" w:hAnsi="Times New Roman" w:cs="Times New Roman"/>
          <w:i w:val="0"/>
          <w:color w:val="000000" w:themeColor="text1"/>
          <w:spacing w:val="0"/>
        </w:rPr>
        <w:t xml:space="preserve"> кг.</w:t>
      </w:r>
    </w:p>
    <w:p w14:paraId="781F5917" w14:textId="77777777" w:rsidR="00DD0C17" w:rsidRPr="001E2C69"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Бронирование штурмовика Ил-2 усили</w:t>
      </w:r>
      <w:r w:rsidRPr="001E2C69">
        <w:rPr>
          <w:rFonts w:ascii="Times New Roman" w:cs="Times New Roman"/>
          <w:color w:val="000000" w:themeColor="text1"/>
          <w:spacing w:val="0"/>
          <w:sz w:val="16"/>
          <w:szCs w:val="16"/>
        </w:rPr>
        <w:softHyphen/>
        <w:t>валось путем установки задней бронестен- ки толщиной 15 мм вместо 12 мм, что давало прирост веса брони в 26 кг (с 930 до 956 кг). Здесь следует учитывать, что в это время уси</w:t>
      </w:r>
      <w:r w:rsidRPr="001E2C69">
        <w:rPr>
          <w:rFonts w:ascii="Times New Roman" w:cs="Times New Roman"/>
          <w:color w:val="000000" w:themeColor="text1"/>
          <w:spacing w:val="0"/>
          <w:sz w:val="16"/>
          <w:szCs w:val="16"/>
        </w:rPr>
        <w:softHyphen/>
        <w:t>ленно обсуждался переход в серийном про</w:t>
      </w:r>
      <w:r w:rsidRPr="001E2C69">
        <w:rPr>
          <w:rFonts w:ascii="Times New Roman" w:cs="Times New Roman"/>
          <w:color w:val="000000" w:themeColor="text1"/>
          <w:spacing w:val="0"/>
          <w:sz w:val="16"/>
          <w:szCs w:val="16"/>
        </w:rPr>
        <w:softHyphen/>
        <w:t>изводстве к двухместному варианту Ил-2. При этом центровка самолета смещалась назад, и его пилотажные качества ухудшались. Поэтому при большем весе брони центровка смещалась назад до пределов, опасных для полетов.</w:t>
      </w:r>
    </w:p>
    <w:p w14:paraId="65A9B499" w14:textId="77777777" w:rsidR="00DD0C17" w:rsidRPr="001E2C69"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На серийном Пе-2 предлагалось «изъять» бронесиденье и увеличить толщину броне</w:t>
      </w:r>
      <w:r w:rsidRPr="001E2C69">
        <w:rPr>
          <w:rFonts w:ascii="Times New Roman" w:cs="Times New Roman"/>
          <w:color w:val="000000" w:themeColor="text1"/>
          <w:spacing w:val="0"/>
          <w:sz w:val="16"/>
          <w:szCs w:val="16"/>
        </w:rPr>
        <w:softHyphen/>
        <w:t>спинки летчика и подлокотника до 15 мм (вме</w:t>
      </w:r>
      <w:r w:rsidRPr="001E2C69">
        <w:rPr>
          <w:rFonts w:ascii="Times New Roman" w:cs="Times New Roman"/>
          <w:color w:val="000000" w:themeColor="text1"/>
          <w:spacing w:val="0"/>
          <w:sz w:val="16"/>
          <w:szCs w:val="16"/>
        </w:rPr>
        <w:softHyphen/>
        <w:t>сто 13,5 мм), заголовника - до 13 мм (8,5 мм), бронеплиты штурмана - до 13 мм (8,5 мм), лю</w:t>
      </w:r>
      <w:r w:rsidRPr="001E2C69">
        <w:rPr>
          <w:rFonts w:ascii="Times New Roman" w:cs="Times New Roman"/>
          <w:color w:val="000000" w:themeColor="text1"/>
          <w:spacing w:val="0"/>
          <w:sz w:val="16"/>
          <w:szCs w:val="16"/>
        </w:rPr>
        <w:softHyphen/>
        <w:t>ковой плиты радиста - до 8 мм (4,5 мм), верх</w:t>
      </w:r>
      <w:r w:rsidRPr="001E2C69">
        <w:rPr>
          <w:rFonts w:ascii="Times New Roman" w:cs="Times New Roman"/>
          <w:color w:val="000000" w:themeColor="text1"/>
          <w:spacing w:val="0"/>
          <w:sz w:val="16"/>
          <w:szCs w:val="16"/>
        </w:rPr>
        <w:softHyphen/>
        <w:t>ней и нижней плит радиста - до 10 мм (8,5 мм). Общий прирост брони составил 36 кг (180 кг вместо 144 кг).</w:t>
      </w:r>
    </w:p>
    <w:p w14:paraId="3A824B7E" w14:textId="77777777" w:rsidR="00DD0C17" w:rsidRPr="001E2C69"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Вес бронирования дальнего бомбардиров</w:t>
      </w:r>
      <w:r w:rsidRPr="001E2C69">
        <w:rPr>
          <w:rFonts w:ascii="Times New Roman" w:cs="Times New Roman"/>
          <w:color w:val="000000" w:themeColor="text1"/>
          <w:spacing w:val="0"/>
          <w:sz w:val="16"/>
          <w:szCs w:val="16"/>
        </w:rPr>
        <w:softHyphen/>
        <w:t>щика Ил-4 увеличивался почти вдвое - со 118 до 208 кг. Бронеспинка летчика имела толщи</w:t>
      </w:r>
      <w:r w:rsidRPr="001E2C69">
        <w:rPr>
          <w:rFonts w:ascii="Times New Roman" w:cs="Times New Roman"/>
          <w:color w:val="000000" w:themeColor="text1"/>
          <w:spacing w:val="0"/>
          <w:sz w:val="16"/>
          <w:szCs w:val="16"/>
        </w:rPr>
        <w:softHyphen/>
        <w:t>ну 15 мм (было 8,5 мм), а плиты над головой - 8 мм (5 мм). Толщины бронеплит, прикрываю</w:t>
      </w:r>
      <w:r w:rsidRPr="001E2C69">
        <w:rPr>
          <w:rFonts w:ascii="Times New Roman" w:cs="Times New Roman"/>
          <w:color w:val="000000" w:themeColor="text1"/>
          <w:spacing w:val="0"/>
          <w:sz w:val="16"/>
          <w:szCs w:val="16"/>
        </w:rPr>
        <w:softHyphen/>
        <w:t>щих стрелка со стороны задней полусферы, увеличивались до 10 мм (задняя стенка, от</w:t>
      </w:r>
      <w:r w:rsidRPr="001E2C69">
        <w:rPr>
          <w:rFonts w:ascii="Times New Roman" w:cs="Times New Roman"/>
          <w:color w:val="000000" w:themeColor="text1"/>
          <w:spacing w:val="0"/>
          <w:sz w:val="16"/>
          <w:szCs w:val="16"/>
        </w:rPr>
        <w:softHyphen/>
        <w:t>кидывающийся щиток) и 8 мм (левая и правая боковины задней стенки).</w:t>
      </w:r>
    </w:p>
    <w:p w14:paraId="3396E88E" w14:textId="77777777" w:rsidR="00DD0C17" w:rsidRPr="001E2C69"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Более кардинально обошлись с тяжелым бомбардировщиком Пе-8. Вес бронедеталей в новой схеме бронирования достигал 400 кг вместо 188 кг. На самолет дополнительно уста</w:t>
      </w:r>
      <w:r w:rsidRPr="001E2C69">
        <w:rPr>
          <w:rFonts w:ascii="Times New Roman" w:cs="Times New Roman"/>
          <w:color w:val="000000" w:themeColor="text1"/>
          <w:spacing w:val="0"/>
          <w:sz w:val="16"/>
          <w:szCs w:val="16"/>
        </w:rPr>
        <w:softHyphen/>
        <w:t>навливались бронеплиты толщиной от 5 до 12 мм, защищающие переднего, центрального, хвостового и подшассийных стрелков. Устанав</w:t>
      </w:r>
      <w:r w:rsidRPr="001E2C69">
        <w:rPr>
          <w:rFonts w:ascii="Times New Roman" w:cs="Times New Roman"/>
          <w:color w:val="000000" w:themeColor="text1"/>
          <w:spacing w:val="0"/>
          <w:sz w:val="16"/>
          <w:szCs w:val="16"/>
        </w:rPr>
        <w:softHyphen/>
        <w:t>ливались 5-мм бронесиденья пилотов, штур</w:t>
      </w:r>
      <w:r w:rsidRPr="001E2C69">
        <w:rPr>
          <w:rFonts w:ascii="Times New Roman" w:cs="Times New Roman"/>
          <w:color w:val="000000" w:themeColor="text1"/>
          <w:spacing w:val="0"/>
          <w:sz w:val="16"/>
          <w:szCs w:val="16"/>
        </w:rPr>
        <w:softHyphen/>
        <w:t>мана, радиста, техника и переднего стрелка, 8-мм бронеспинка радиста и 6-мм надголовни- ки пилотов. Борттехник самолета прикрывался бронеплитками толщиной 8 и 6 мм.</w:t>
      </w:r>
    </w:p>
    <w:p w14:paraId="3F6469E0" w14:textId="77777777" w:rsidR="00DD0C17" w:rsidRPr="001E2C69"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Схема бронирования фронтового бом</w:t>
      </w:r>
      <w:r w:rsidRPr="001E2C69">
        <w:rPr>
          <w:rFonts w:ascii="Times New Roman" w:cs="Times New Roman"/>
          <w:color w:val="000000" w:themeColor="text1"/>
          <w:spacing w:val="0"/>
          <w:sz w:val="16"/>
          <w:szCs w:val="16"/>
        </w:rPr>
        <w:softHyphen/>
        <w:t>бардировщика Ту-2, как соответствующая новым требованиям ВВС КА, оставалась без изменений.</w:t>
      </w:r>
    </w:p>
    <w:p w14:paraId="0A3E8B7F" w14:textId="77777777" w:rsidR="00DD0C17" w:rsidRPr="001E2C69"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При рассмотрении улучшенных схем бро</w:t>
      </w:r>
      <w:r w:rsidRPr="001E2C69">
        <w:rPr>
          <w:rFonts w:ascii="Times New Roman" w:cs="Times New Roman"/>
          <w:color w:val="000000" w:themeColor="text1"/>
          <w:spacing w:val="0"/>
          <w:sz w:val="16"/>
          <w:szCs w:val="16"/>
        </w:rPr>
        <w:softHyphen/>
        <w:t>нирования серийных самолетов ВВС КА ко</w:t>
      </w:r>
      <w:r w:rsidRPr="001E2C69">
        <w:rPr>
          <w:rFonts w:ascii="Times New Roman" w:cs="Times New Roman"/>
          <w:color w:val="000000" w:themeColor="text1"/>
          <w:spacing w:val="0"/>
          <w:sz w:val="16"/>
          <w:szCs w:val="16"/>
        </w:rPr>
        <w:softHyphen/>
        <w:t>миссия внесла в них некоторые изменения. Так, верхнюю броню стрелка-радиста на Пе-2 рекомендовалось разместить таким образом, чтобы она не закрывала бортовые окна ради</w:t>
      </w:r>
      <w:r w:rsidRPr="001E2C69">
        <w:rPr>
          <w:rFonts w:ascii="Times New Roman" w:cs="Times New Roman"/>
          <w:color w:val="000000" w:themeColor="text1"/>
          <w:spacing w:val="0"/>
          <w:sz w:val="16"/>
          <w:szCs w:val="16"/>
        </w:rPr>
        <w:softHyphen/>
        <w:t>ста. Схема броневой защиты Ил-4 считалась достаточной только если он будет использо</w:t>
      </w:r>
      <w:r w:rsidRPr="001E2C69">
        <w:rPr>
          <w:rFonts w:ascii="Times New Roman" w:cs="Times New Roman"/>
          <w:color w:val="000000" w:themeColor="text1"/>
          <w:spacing w:val="0"/>
          <w:sz w:val="16"/>
          <w:szCs w:val="16"/>
        </w:rPr>
        <w:softHyphen/>
        <w:t>ваться как ночной бомбардировщик. Для днев</w:t>
      </w:r>
      <w:r w:rsidRPr="001E2C69">
        <w:rPr>
          <w:rFonts w:ascii="Times New Roman" w:cs="Times New Roman"/>
          <w:color w:val="000000" w:themeColor="text1"/>
          <w:spacing w:val="0"/>
          <w:sz w:val="16"/>
          <w:szCs w:val="16"/>
        </w:rPr>
        <w:softHyphen/>
        <w:t>ного варианта требовалось увеличить толщину брони. При этом в любом случае пред</w:t>
      </w:r>
      <w:r w:rsidRPr="001E2C69">
        <w:rPr>
          <w:rFonts w:ascii="Times New Roman" w:cs="Times New Roman"/>
          <w:color w:val="000000" w:themeColor="text1"/>
          <w:spacing w:val="0"/>
          <w:sz w:val="16"/>
          <w:szCs w:val="16"/>
        </w:rPr>
        <w:softHyphen/>
        <w:t>лагалось установить дополнительно подлокотник для левой руки летчика. На Ту-2 предполагалось дополнитель</w:t>
      </w:r>
      <w:r w:rsidRPr="001E2C69">
        <w:rPr>
          <w:rFonts w:ascii="Times New Roman" w:cs="Times New Roman"/>
          <w:color w:val="000000" w:themeColor="text1"/>
          <w:spacing w:val="0"/>
          <w:sz w:val="16"/>
          <w:szCs w:val="16"/>
        </w:rPr>
        <w:softHyphen/>
        <w:t>но установить позади штурмана спра</w:t>
      </w:r>
      <w:r w:rsidRPr="001E2C69">
        <w:rPr>
          <w:rFonts w:ascii="Times New Roman" w:cs="Times New Roman"/>
          <w:color w:val="000000" w:themeColor="text1"/>
          <w:spacing w:val="0"/>
          <w:sz w:val="16"/>
          <w:szCs w:val="16"/>
        </w:rPr>
        <w:softHyphen/>
        <w:t>ва поперечную бронеплиту толщиной 15 мм из расчета обеспечения угловой защиты летчика справа-сзади до 25° (15776).</w:t>
      </w:r>
    </w:p>
    <w:p w14:paraId="1C7A47CD" w14:textId="77777777" w:rsidR="00DD0C17" w:rsidRPr="001E2C69" w:rsidRDefault="00DD0C17" w:rsidP="00722885">
      <w:pPr>
        <w:pStyle w:val="36"/>
        <w:shd w:val="clear" w:color="auto" w:fill="auto"/>
        <w:spacing w:after="0" w:line="240" w:lineRule="auto"/>
        <w:jc w:val="both"/>
        <w:rPr>
          <w:rFonts w:ascii="Times New Roman" w:cs="Times New Roman"/>
          <w:color w:val="000000" w:themeColor="text1"/>
          <w:spacing w:val="0"/>
          <w:sz w:val="16"/>
          <w:szCs w:val="16"/>
        </w:rPr>
      </w:pPr>
    </w:p>
    <w:p w14:paraId="1A2153F3"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июля 1942 вышел приказ НКАП и ВВС №559а/с/032 об использо</w:t>
      </w:r>
      <w:r w:rsidRPr="001E2C69">
        <w:rPr>
          <w:rFonts w:ascii="Times New Roman" w:hAnsi="Times New Roman"/>
          <w:color w:val="000000" w:themeColor="text1"/>
          <w:sz w:val="16"/>
          <w:szCs w:val="16"/>
        </w:rPr>
        <w:softHyphen/>
        <w:t>вании на истребителях брони. Сначала на Ла-5 установили броне-спинку, а также ввели протектирование баков. Затем в соответст</w:t>
      </w:r>
      <w:r w:rsidRPr="001E2C69">
        <w:rPr>
          <w:rFonts w:ascii="Times New Roman" w:hAnsi="Times New Roman"/>
          <w:color w:val="000000" w:themeColor="text1"/>
          <w:sz w:val="16"/>
          <w:szCs w:val="16"/>
        </w:rPr>
        <w:softHyphen/>
        <w:t>вии с постановлением ГКО № 2359сс от 1 октября 1942 г. внедрили лобовое бронестекло. Кроме того, этим же документом определя</w:t>
      </w:r>
      <w:r w:rsidRPr="001E2C69">
        <w:rPr>
          <w:rFonts w:ascii="Times New Roman" w:hAnsi="Times New Roman"/>
          <w:color w:val="000000" w:themeColor="text1"/>
          <w:sz w:val="16"/>
          <w:szCs w:val="16"/>
        </w:rPr>
        <w:softHyphen/>
        <w:t>лось использование на истребителях «Ла» и «Як» красной подсвет</w:t>
      </w:r>
      <w:r w:rsidRPr="001E2C69">
        <w:rPr>
          <w:rFonts w:ascii="Times New Roman" w:hAnsi="Times New Roman"/>
          <w:color w:val="000000" w:themeColor="text1"/>
          <w:sz w:val="16"/>
          <w:szCs w:val="16"/>
        </w:rPr>
        <w:softHyphen/>
        <w:t>ки сетки прицела, кнопочного электропневмоспуска пушек по типу Ме-109 вместо тугих механических гашеток (11123).</w:t>
      </w:r>
    </w:p>
    <w:p w14:paraId="0B9E47E7"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392C5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июля 1942 в НКАП поступила жалоба П.Якушкина - работника авиадивизии, который направил 10 апреля 1942 в адрес 7 ГУ НКАП за N 00101 материал проекта новой системы вооружения боевых одноместных самолетов истребителей, штурмовиков, а также о внедрении в боевую практику нового прибора ППЗС. Считал, что в 7ГУ к предложению отнеслись по чиновничьи, а люди в это время продолжали гибнуть (1684,151).</w:t>
      </w:r>
    </w:p>
    <w:p w14:paraId="766764D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9383E2"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Другие оборонные отрасли:</w:t>
      </w:r>
    </w:p>
    <w:p w14:paraId="71376CE9"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5A119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июля 1942 года на АНИОПе были выполнены очередные испытания мин ГМ-280 (МТВ - минометное тяжелое вооружение), которые были изготовлены заводом им. Ленина и снаряженны на заводе №522. Все мины были изготовлены по чертежам полигона и завода им. Ленина. Было произведено четыре выстрела на дальность порядка 1700 м. Три выстрела были выполнены штат-но, при одном из-за недоброкачественного изготовления нарезки, отклонений от чертежей АНИОПа, произошел отрыв реактивной части от мины. После выяснения причин отрыва полигон потребовал изготовлять мины ГМ-280 строго по его чертежам (6403, 42).</w:t>
      </w:r>
    </w:p>
    <w:p w14:paraId="7860C94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17A940" w14:textId="77777777" w:rsidR="00ED1980" w:rsidRPr="001E2C69" w:rsidRDefault="00ED1980"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К 24 июля 1942 на испытания вышли 6 танков Т-70. 2 танка были серийного типа, остальные имели усиленную ходовую часть. 2 из них имели борта толщиной 25 мм, другие 2 – 35 мм. При толщине бортов 25 мм боевая масса танка выросла до 10 400 кг, а при толщине 35 мм – до 11 000 кг. Два танка получили измененные выводы выхлопных труб, которые внедрили на серийных Т-70 с 5 августа 1942 года. Еще два танка получили полное ограждение двигателя, его ввели в серию с 8 августа. Также на танках испытывались крылья и брызговики разного типа. В результате все 6 танков были разными, отличаясь от остальных теми или иными деталями.</w:t>
      </w:r>
    </w:p>
    <w:p w14:paraId="0AC4D618" w14:textId="77777777" w:rsidR="00ED1980" w:rsidRPr="001E2C69" w:rsidRDefault="00ED1980"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lastRenderedPageBreak/>
        <w:t>Испытания выявили, что штатная ходовая часть удовлетворительно работала только первые 300 километров. Далее начинали разрушаться катки, проседать торсионы и ломаться траки. Усиленный трак, который испытывали на второй серийной машине, из-за поломок проушин оказался забракован. Что же касается усиленной ходовой части, то она работала надежно. Правда, из-за увеличения массы скорость танка упала на 5%. По этой причине было принято соломоново решение: с 10 сентября ввести в серию ходовую часть на танке с бортами толщиной 15 мм. Предполагалось, что с 1 октября серийные танки будут выпускаться с бортами толщиной 25 мм, но этого так и не случилось.</w:t>
      </w:r>
    </w:p>
    <w:p w14:paraId="3C560207" w14:textId="77777777" w:rsidR="00ED1980" w:rsidRPr="001E2C69" w:rsidRDefault="00ED1980"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Также в серию было решено ввести двойные воздухоочистители, благодаря которому срок службы моторов увеличился с 640 до 1200 километров. Они появились на танках с 5 сентября, тогда же в конструкцию ввели усиленную главную передачу. Еще одной новинкой стал люк механика-водителя с перископическим смотровым прибором. Его разработали в июле 1942 года и испытали на одном из таков с усиленными бортами, в серии он появился с 16 сентября (17695).</w:t>
      </w:r>
    </w:p>
    <w:p w14:paraId="4A989FEF" w14:textId="77777777" w:rsidR="00ED1980" w:rsidRPr="001E2C69" w:rsidRDefault="00ED1980" w:rsidP="00722885">
      <w:pPr>
        <w:spacing w:after="0" w:line="240" w:lineRule="auto"/>
        <w:jc w:val="both"/>
        <w:rPr>
          <w:rFonts w:ascii="Times New Roman" w:eastAsia="Times New Roman" w:hAnsi="Times New Roman"/>
          <w:color w:val="000000" w:themeColor="text1"/>
          <w:sz w:val="16"/>
          <w:szCs w:val="16"/>
          <w:lang w:eastAsia="ru-RU"/>
        </w:rPr>
      </w:pPr>
    </w:p>
    <w:p w14:paraId="5E759A41" w14:textId="77777777" w:rsidR="00D07242" w:rsidRPr="008A2E5A" w:rsidRDefault="00D07242" w:rsidP="00D072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24 июля 1942 г. на ГАЗ им. Молотова было подготовлено 6 модернизированных танков Т-70. Из них два, с серийными номерами 826 и 980, являлись обычными серийными Т-70. Танк с серийным номером 207 получил борта толщиной 25 мм, укороченные крылья и усиленную ходовую часть. Второй танк с бортами толщиной 25 мм, имевший серийный номер 335, также получил башню, чьи стенки усилили до 45 мм, а также расширенные крылья. Еще два танка с серийными номерами 725 и 745, как и планировалось, получили борта корпуса толщиной 35 мм. Одновременно на машинах испытывали узлы, которые ввели в серию с августа 1942 года. На два танка установили новые выводы выхлопных труб, еще на два полное ограждение двигателя. На танке №725 испытывался новый люк с измененным смотровым прибором. У машин с толщиной бортов 25 мм боевая масса выросла до 10400 кг, а у танков с толщиной бортов 35 мм – до 11000 кг. Одними только траками с увеличенной шириной усиление ходовой части не обошлось. Толщина опорных и поддерживающих катков, а также ленивцев, выросла до 130 мм. Одновременно были установлены усиленные балансиры и торсионы, переделан венец ведущего колеса. При разработке усиленной ходовой Астров ориентировался на то, что боевая масса может подойти к 11,54 тоннам, так что конструкцию модернизировали с запасом.</w:t>
      </w:r>
    </w:p>
    <w:p w14:paraId="60AB9CEF" w14:textId="77777777" w:rsidR="00D07242" w:rsidRPr="008A2E5A" w:rsidRDefault="00D07242" w:rsidP="00D072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итогам испытаний, которые продолжались с 24 июля по 18 августа 1942 года, каждый из танков прошел 1500 километров. Танки с утолщенной броней оказались на 3-4 км/ч медленнее обычных Т-70 при езде по шоссе. Чуть меньше была разница в скорости по проселку. Усиленная ходовая часть стала проявлять себя на бездорожье, где проходимость машин, оснащенных новыми элементами, оказалась выше. Куда более существенной оказалась разница в надежности. Выяснилось, что штатная ходовая часть удовлетворительно работала только первые 300 километров. Далее начинали разрушаться катки, проседать торсионы и ломаться траки. Усиленный трак, который испытывали на второй серийной машине, из-за поломок проушин оказался забракован. Что же касается усиленной ходовой части, то она работала не в пример надежнее. По результатам испытаний на четырех танках с уширенными траками их заменили всего 3 штуки. Надежнее работали и усиленные опорные катки: за время испытаний их заменили всего 5 штук. Таким образом, введение новой ходовой части стало окончательным решением. А вот броню усиливать не стали. Решение верное, поскольку что 15, что 25, что 35 мм одинаково пробивались даже 3,7 cm Pak (23363).</w:t>
      </w:r>
    </w:p>
    <w:p w14:paraId="32B05730" w14:textId="77777777" w:rsidR="00D07242" w:rsidRPr="008A2E5A" w:rsidRDefault="00D07242" w:rsidP="00D07242">
      <w:pPr>
        <w:spacing w:after="0" w:line="240" w:lineRule="auto"/>
        <w:jc w:val="both"/>
        <w:rPr>
          <w:rFonts w:ascii="Times New Roman" w:hAnsi="Times New Roman"/>
          <w:color w:val="0070C0"/>
          <w:sz w:val="16"/>
          <w:szCs w:val="16"/>
        </w:rPr>
      </w:pPr>
    </w:p>
    <w:p w14:paraId="320DA887" w14:textId="77777777" w:rsidR="00D07242" w:rsidRPr="008A2E5A" w:rsidRDefault="00D07242" w:rsidP="00D072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24 июля по 18 августа 1942 года, каждый из 6 модернизированных танков Т-70 прошел 1500 километров. Танки с утолщенной броней оказались на 3-4 км/ч медленнее обычных Т-70 при езде по шоссе. Чуть меньше была разница в скорости по проселку. Усиленная ходовая часть стала проявлять себя на бездорожье, где проходимость машин, оснащенных новыми элементами, оказалась выше. Куда более существенной оказалась разница в надежности. Выяснилось, что штатная ходовая часть удовлетворительно работала только первые 300 километров. Далее начинали разрушаться катки, проседать торсионы и ломаться траки. Усиленный трак, который испытывали на второй серийной машине, из-за поломок проушин оказался забракован. Что же касается усиленной ходовой части, то она работала не в пример надежнее. По результатам испытаний на четырех танках с уширенными траками их заменили всего 3 штуки. Надежнее работали и усиленные опорные катки: за время испытаний их заменили всего 5 штук. Таким образом, введение новой ходовой части стало окончательным решением. А вот броню усиливать не стали. Решение верное, поскольку что 15, что 25, что 35 мм одинаково пробивались даже 3,7 cm Pak.</w:t>
      </w:r>
    </w:p>
    <w:p w14:paraId="5106FF96" w14:textId="77777777" w:rsidR="00D07242" w:rsidRPr="008A2E5A" w:rsidRDefault="00D07242" w:rsidP="00D072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Принятое 80 лет назад постановление ГКО №2276сс разбивало процесс внедрения новинок по этапам. Сначала, с 12 сентября, вводился сдвоенный воздухоочиститель. Новая ходовая часть вводилась со второй половины сентября, а с 26 числа ставились новые крылья. Полностью на модернизированную ходовую часть заводы переходили с 1 октября 1942 года. Тогда же вводился новый люк механика-водителя. Разработали его в КЭО ГАЗ им. Молотова еще в июле 1942 года. Вместо призмы ставился новый смотровой прибор, по типу командирской панорамы. За счет того, что прибор мог поворачиваться вокруг своей оси, обзорность с места механика-водителя увеличивалась. Следует также отметить, что еще с августа 1942 года на Т-70 стали вводить различные улучшения, так что переход на Т-70Б оказался скорее вторым этапом модернизации.</w:t>
      </w:r>
    </w:p>
    <w:p w14:paraId="1487EE58" w14:textId="77777777" w:rsidR="00D07242" w:rsidRPr="008A2E5A" w:rsidRDefault="00D07242" w:rsidP="00D072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Фактическая сторона вопроса несколько отличалась от постановления ГКО №2276сс. Новый воздухоочиститель ввели чуть позже - 22 сентября. Задержался и новый люк механика, а новые крылья стали ставить с 10 октября 1942 года. Наконец, за сентябрь 1942 года сдали всего 2 Т-70Б. Официально ГАЗ им. Молотова перешел на модернизированную ходовую часть с 1 октября. Хуже ситуация развивалась на заводе №38. Он несколько отставал от головного завода: официально на Т-70Б там переходили с 20 октября 1942 года, по факту из 235 танков, сданных за отчетный месяц, модернизированную ходовую часть получили только 9. При этом внешность что горьковских, что кировских машин была специфичной. И в октябре, и в ноябре, и даже отчасти в декабре Т-70Б зачастую можно было отличить только по ходовой части. В дело шли и старые люки механика-водителя, и даже корпуса (23363). </w:t>
      </w:r>
    </w:p>
    <w:p w14:paraId="3DCF5912" w14:textId="77777777" w:rsidR="00D07242" w:rsidRPr="008A2E5A" w:rsidRDefault="00D07242" w:rsidP="00D07242">
      <w:pPr>
        <w:spacing w:after="0" w:line="240" w:lineRule="auto"/>
        <w:jc w:val="both"/>
        <w:rPr>
          <w:rFonts w:ascii="Times New Roman" w:hAnsi="Times New Roman"/>
          <w:color w:val="0070C0"/>
          <w:sz w:val="16"/>
          <w:szCs w:val="16"/>
        </w:rPr>
      </w:pPr>
    </w:p>
    <w:p w14:paraId="08C9E155"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июля 1942 г.</w:t>
      </w:r>
    </w:p>
    <w:p w14:paraId="43D61CF2"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РГАЭ Фонд 8752 Опись 4 Дело 92 лист 310 – 309</w:t>
      </w:r>
    </w:p>
    <w:p w14:paraId="08214A0E"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Сов.секретно.</w:t>
      </w:r>
    </w:p>
    <w:p w14:paraId="0022C246"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 НАРОДНОГО КОМИССАРА ТАНКОВОЙ ПРОМЫШЛЕННОСТИ СОЮЗА ССР № 542сс</w:t>
      </w:r>
    </w:p>
    <w:p w14:paraId="508399F9"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Москва</w:t>
      </w:r>
    </w:p>
    <w:p w14:paraId="63B6B52E"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июля 1942 г.</w:t>
      </w:r>
    </w:p>
    <w:p w14:paraId="73519820"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 исполнение Постановления ГОКО-2078сс от 23.VII-1942 г. "О вооружении танков огнеметами АТО-41 в 3 квартале 1932 г." – ПРИКАЗЫВАЮ:</w:t>
      </w:r>
    </w:p>
    <w:p w14:paraId="1C45EB7A"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Директорам заводов № 183 – т. Максареву, СТЗ – т. Задорожному, № 112 – т. Рубинчик, Кировского завода – т. Махонину изготовить в 3 квартале танки с огнеметами в следующих количествах:</w:t>
      </w:r>
    </w:p>
    <w:p w14:paraId="416777DE" w14:textId="0CA73E1B"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По заводу № 183</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100 штук, в том числе в VII – 30 шт., в VIII – 35 шт. в IX – 35 шт.</w:t>
      </w:r>
    </w:p>
    <w:p w14:paraId="396E639A" w14:textId="22217A5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По СТЗ</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90 штук, в том числе в VII – 30 шт., в VIII – 30 шт. в IX – 30 шт.</w:t>
      </w:r>
    </w:p>
    <w:p w14:paraId="5AEFF09F" w14:textId="179440AC"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По заводу № 112</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60 штук, в том числе в VII – 20 шт., в VIII – 20 шт. в IX – 20 шт.</w:t>
      </w:r>
    </w:p>
    <w:p w14:paraId="41EEF042" w14:textId="2AABD861"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По Кировскому заводу</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75 штук, в том числе в VII – 25 шт., в VIII – 25 шт. в IX – 25 шт.</w:t>
      </w:r>
    </w:p>
    <w:p w14:paraId="0683EE6B"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Директору завода № 222 т. ПЫШКИНУ изготовить и поставить в 3 квартале по месяцам:</w:t>
      </w:r>
    </w:p>
    <w:p w14:paraId="0E5E3B91"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w:t>
      </w:r>
    </w:p>
    <w:p w14:paraId="501FE219"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Поставить ГАБТУ КА в 3 квартале 42 г. 50 ротных комплектов запасных частей к огнеметам АТО-41 по номенклатуре, согласованной с ГАБТУ КА.</w:t>
      </w:r>
    </w:p>
    <w:p w14:paraId="7231AA4D"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Директору завода № 222 т. ПЫШКИНУ и главному конструктору завода т. МАЯТ улучшить качество выпускаемых огнеметов АТО-41 и в особенности автоматики, обеспечив безотказную ее работу.</w:t>
      </w:r>
    </w:p>
    <w:p w14:paraId="765F4847"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Ведущему инженеру 1 отдела т. Зарецкому и ведущим инженерам 1 отдела по перечисленным выше танковым заводам взять под особое наблюдение выполнение настоящего приказа.</w:t>
      </w:r>
    </w:p>
    <w:p w14:paraId="4064B2D2"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ЗАМЕСТИТЕЛЬ НАРОДНОГО КОМИССАРА ТАНКОВОЙ ПРОМЫШЛЕННОСТИ СОЮЗА ССР подпись (П. ЗЕРНОВ) (21226).</w:t>
      </w:r>
    </w:p>
    <w:p w14:paraId="722CF2D6" w14:textId="77777777" w:rsidR="006B5C1C" w:rsidRPr="001E2C69" w:rsidRDefault="006B5C1C" w:rsidP="00722885">
      <w:pPr>
        <w:spacing w:after="0" w:line="240" w:lineRule="auto"/>
        <w:jc w:val="both"/>
        <w:rPr>
          <w:rFonts w:ascii="Times New Roman" w:hAnsi="Times New Roman"/>
          <w:color w:val="000000" w:themeColor="text1"/>
          <w:sz w:val="16"/>
          <w:szCs w:val="16"/>
        </w:rPr>
      </w:pPr>
    </w:p>
    <w:p w14:paraId="5C3C620C"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июля 1942 вышло Постановление ГКО № 2084 Об улучшении состояния и работы вагонного парка железных дорог в 1942 году. (7045, 70-82,83-101).</w:t>
      </w:r>
    </w:p>
    <w:p w14:paraId="138A587A"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710C4C"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июля 1942 вышло Постановление ГКО № 2086 О плане капитального ремонта танков, тракторов и автомобилей для Красной Армии на III квартал 1942 г. (7046, 1-7,8-107).</w:t>
      </w:r>
    </w:p>
    <w:p w14:paraId="34F1A07E"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A6D64B"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июля 1942 вышло Постановление ГКО № 2089 О восстановлении производства вагонов типа НКПС на заводах Наркомсредмаша и НКПС. (7046, 111-119,120-124).</w:t>
      </w:r>
    </w:p>
    <w:p w14:paraId="7F77D0E3" w14:textId="77777777" w:rsidR="00AE7191" w:rsidRPr="001E2C69" w:rsidRDefault="00AE7191" w:rsidP="00722885">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9585E8" w14:textId="77777777" w:rsidR="00AE7191" w:rsidRPr="001E2C69" w:rsidRDefault="00267F26"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1E2C69">
        <w:rPr>
          <w:rFonts w:ascii="Times New Roman" w:hAnsi="Times New Roman"/>
          <w:i/>
          <w:iCs/>
          <w:color w:val="000000" w:themeColor="text1"/>
          <w:sz w:val="16"/>
          <w:szCs w:val="16"/>
        </w:rPr>
        <w:t>Армия:</w:t>
      </w:r>
    </w:p>
    <w:p w14:paraId="2D3EEF6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73C96A"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июля в 1942 году утреннее сообщение Совинформбюро:</w:t>
      </w:r>
    </w:p>
    <w:p w14:paraId="0F02D6C8"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24 июля наши войска вели бои с противником в районе Воронежа, а также в районах Цымлянская, Новочеркасск, Ростов.</w:t>
      </w:r>
    </w:p>
    <w:p w14:paraId="7AF66003"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58CE5D7B"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районе Воронежа бои продолжаются с прежним ожесточением. Противник оказывает упорное сопротивление нашим наступающим войскам. Отдельные рубежи и населённые пункты по нескольку раз переходят из рук в руки. В районе одной переправы через реку Дон подразделения, которыми командуют капитан Носаль и </w:t>
      </w:r>
      <w:r w:rsidRPr="001E2C69">
        <w:rPr>
          <w:rFonts w:ascii="Times New Roman" w:hAnsi="Times New Roman"/>
          <w:color w:val="000000" w:themeColor="text1"/>
          <w:sz w:val="16"/>
          <w:szCs w:val="16"/>
        </w:rPr>
        <w:lastRenderedPageBreak/>
        <w:t>капитан Андронов, встретили численно превосходящие силы немцев и венгров. Противник предпринял три сильных контратаки. Наши бойцы отбили эти атаки и уничтожили свыше 700 гитлеровцев. На другом участке наши танкисты уничтожили 9 немецких танков.</w:t>
      </w:r>
    </w:p>
    <w:p w14:paraId="7FE52467"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Новочеркасска продолжались тяжёлые бой. Наши войска отбивали атаки численно превосходящих сил противника. Только на одном узком участке немцы потеряли 17 танков и свыше 800 человек убитыми. Активно действует наша авиация, наносящая непрерывные удары по боевым порядкам противника и по его коммуникациям.</w:t>
      </w:r>
    </w:p>
    <w:p w14:paraId="14B272C4"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Цымлянской наша часть отразила две атаки немецких танков и автоматчиков. Выдвинувшиеся вперёд и на фланги бронебойщики сожгли 3 и подбили 6 немецких танков. Метким ружейно-пулемётным огнём, а также в рукопашных схватках наши бойцы уничтожили свыше 400 немецких автоматчиков.</w:t>
      </w:r>
    </w:p>
    <w:p w14:paraId="1CE979AF"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Ленинградского фронта за два дня боевых действий противник потерял убитыми и ранеными более 800 солдат и офицеров. Огнём нашей артиллерии и миномётов уничтожено 2 орудия, 10 пулемётов и 2 миномёта. Разрушено16 ДЗОТов, несколько блиндажей, землянок и наблюдательных пунктов. Взяты пленные, и захвачены трофеи. В воздушных боях и огнём зенитной артиллерии сбито 4 немецких самолёта.</w:t>
      </w:r>
    </w:p>
    <w:p w14:paraId="43EDF60E"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Партизаны отрядов, объединённых под командованием тт. К., Л. и Д., действующие в Белоруссии, уничтожили немецкого генерала, 8 офицеров и 27 солдат.Советские патриоты взорвали 11 автомашин с военным грузом и захватили трофеи.</w:t>
      </w:r>
    </w:p>
    <w:p w14:paraId="1B055BDE"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Письма немецких солдат на родину проникнуты страхом перед советскими партизанами. Солдаты пишут, что неуловимые партизанские отряды наносят немцам серьёзные потери. Ефрейтор Шидер жалуется Францу Геблеру: «...Мы уже несколько недель действуем в тылу против партизан. Проклятая война! Со всех сторон враги». Ефрейтор Гесльбауэр пишет фрау К. Гесльбауэр: «...Почти ежедневно взлетают ввоздух повозки, машины. Кругом нас ненавидят. Трудно рассказать, какой опасности подвергаешься здесь».</w:t>
      </w:r>
    </w:p>
    <w:p w14:paraId="37A212E4"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мерзавцы истребляют население оккупированных районов Орловской области. В посёлках Павловский и Голышино гитлеровцы сожгли и разрушили все жилые дома и постройки. Немцы зверски замучили и расстреляли 175 женщин, детей и стариков.</w:t>
      </w:r>
    </w:p>
    <w:p w14:paraId="5FBB73FE"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французских патриотов совершил смелый налёт на немецкий склад в департаменте Па-де-Кале (Франция). Уничтожив часовых, патриоты захватили автоматы, пулемёты и 250 противотанковых мин.</w:t>
      </w:r>
    </w:p>
    <w:p w14:paraId="355DB5D5"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Колхозники Узбекистана сдают государству зерно нового урожая. Многие колхозы республики уже выполнили свои обязательства перед государством. Закончила зернопоставки Андижанская область. Колхозы, выполнившие план, сдают зерно в хлебный фонд Красной Армии.» (14962).</w:t>
      </w:r>
    </w:p>
    <w:p w14:paraId="67158F0F" w14:textId="77777777" w:rsidR="00001919" w:rsidRPr="001E2C69" w:rsidRDefault="00001919" w:rsidP="00722885">
      <w:pPr>
        <w:spacing w:after="0" w:line="240" w:lineRule="auto"/>
        <w:jc w:val="both"/>
        <w:rPr>
          <w:rFonts w:ascii="Times New Roman" w:hAnsi="Times New Roman"/>
          <w:color w:val="000000" w:themeColor="text1"/>
          <w:sz w:val="16"/>
          <w:szCs w:val="16"/>
        </w:rPr>
      </w:pPr>
    </w:p>
    <w:p w14:paraId="411E14C1"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июля в 1942 году вечернее сообщение Совинформбюро:</w:t>
      </w:r>
    </w:p>
    <w:p w14:paraId="3A0F15F1"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24 июля наши войска вели ожесточённые бои в районе Воронежа, а также в районах Цымлянская, Новочеркасск, Ростов.</w:t>
      </w:r>
    </w:p>
    <w:p w14:paraId="6FC9929E"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230AAFF6"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23 июля частями нашей авиации на различных участках фронта уничтожено или повреждено 90 немецких танков и бронемашин, 270 автомашин с войсками и грузами,14 автоцистерн с горючим, взорвано 3 склада боеприпасов и 2 склада горючего, подавлен огонь 4 дивизионов полевой и зенитной артиллерии, рассеяно и частью уничтожено до пяти батальонов пехоты и эскадрон конницы противника.</w:t>
      </w:r>
    </w:p>
    <w:p w14:paraId="6C0D2DE2"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наши войска продолжали наносить удары войскам противника. Гитлеровцы бросают в бой новые резервы и переходят в контратаки. На одном из участков разгромлен только что прибывший из глубокого тыла немецкий пехотный полк. От него осталось не более роты. Кроме того, нашими бойцами уничтожено 10 танков и бронемашин.</w:t>
      </w:r>
    </w:p>
    <w:p w14:paraId="50A615CF"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другом участке группа наших войск, потеснив противника, переправилась через Дон и закрепилась на западном берегу реки. Наша авиация продолжала бомбить позиции немцев. Прямым попаданием бомб разрушена важная переправа противника. Уничтожено 18 немецких танков, 34 автомашины, 6 зенитных орудий и 26 повозок с грузом.</w:t>
      </w:r>
    </w:p>
    <w:p w14:paraId="0E9F96D2"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Ростова крупные танковые части противника стремятся прорваться к городу. Идут напряжённые, кровопролитные бои. На одном из участков артиллеристыи бронебойщики отбили шесть танковых атак противника и уничтожили 38 немецких танков. Подступы к укреплённым районам завалены тысячами трупов гитлеровцев. Однако, не считаясь с потерями, противник бросает в бой всё новые и новые силы.</w:t>
      </w:r>
    </w:p>
    <w:p w14:paraId="1B69A9FE"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Цымлянской наши войска вели оборонительные бои. Немцы предпринимают упорные попытки переправиться на южный берег Дона и несут при этом огромные потери. Только на одном участке в течение суток противник потерял убитыми свыше 1.500 солдат и офицеров. На другом участке немцам удалось под прикрытием авиации и мощного артиллерийского огня переправиться через реку. Контрударом наши части окружили и уничтожили прорвавшийся полк немецкой пехоты. Советские воины ведут самоотверженную борьбу с численно превосходящими силами противника под лозунгом: «Умрём, но не отступим!»</w:t>
      </w:r>
    </w:p>
    <w:p w14:paraId="3FAB357D"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Брянском фронте на одном из участков наши войска вели активные бои. В течение дня подбито и сожжено свыше 20 немецких танков. Наши части продвинулись вперёд и заняли несколько населённых пунктов. Захвачены пленные.</w:t>
      </w:r>
    </w:p>
    <w:p w14:paraId="262FC970"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Группа смоленских партизан под руководством тов. Г. произвела нападение на немецкую базу. Партизаны взорвали склад боеприпасов и сожгли склады с продовольствием и различным военным имуществом.</w:t>
      </w:r>
    </w:p>
    <w:p w14:paraId="124F9D0A"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233 полка 102 немецкой пехотной дивизии поляк Юрий Б. рассказал: «До 1939 года я работал учителем в польской народной школе. Захватив Польшу, немецкие оккупанты ликвидировали и закрыли все польские школы. Школьные помещения заняты под казармы и госпитали. Весной этого года меня мобилизовали в германскую армию. Мне было очень больно и тяжело надевать мундир гитлеровского солдата, мундир армии, опозорившей себя на весь мир. Я отлично понимал, что поляк, который вольно или невольно служит Гитлеру, затягивает петлю на собственной шее. Поэтому я твёрдо решил при первой же возможности перейти на сторону Красной Армии. В четырёхдневных боях рота потеряла убитыми, ранеными и пленными свыше 80 человек. Когда мы находились в окопах, неожиданно появились русские танки, за ними следовала пехота. Солдаты разбежались, а я вылез из окопа и сдался в плен».</w:t>
      </w:r>
    </w:p>
    <w:p w14:paraId="134849D3"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Советские граждане, перешедшие линию Брянского фронта, рассказали о чудовищном преступлении гитлеровских мерзавцев. Немцам удалось из засады захватить в плен красноармейца тов. Густова. Бандиты учинили зверские пытки красноармейцу, добиваясь от него сведений о расположении советских войск. Наш боец не проронил ни одного слова. Взбешённые гитлеровцы привязали тов. Густова к двум танкам и разорвали его на части.</w:t>
      </w:r>
    </w:p>
    <w:p w14:paraId="5744D82D"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Германии начали выдавать по карточкам вместо масла и маргарина новый эрзац - «масло» из смазочных материалов. В связи с употреблением в пищу этого эрзаца только за неделю в Дортмунде зарегистрирован 121 случай тяжёлого отравления.» (14962).</w:t>
      </w:r>
    </w:p>
    <w:p w14:paraId="07261CDA" w14:textId="77777777" w:rsidR="00001919" w:rsidRPr="001E2C69" w:rsidRDefault="00001919" w:rsidP="00722885">
      <w:pPr>
        <w:spacing w:after="0" w:line="240" w:lineRule="auto"/>
        <w:jc w:val="both"/>
        <w:rPr>
          <w:rFonts w:ascii="Times New Roman" w:hAnsi="Times New Roman"/>
          <w:color w:val="000000" w:themeColor="text1"/>
          <w:sz w:val="16"/>
          <w:szCs w:val="16"/>
        </w:rPr>
      </w:pPr>
    </w:p>
    <w:p w14:paraId="5C2D9D40" w14:textId="77777777" w:rsidR="00344FD4" w:rsidRPr="001E2C69"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24 июля 1942 1-й запасной авиационный полк приступил к формированию пра</w:t>
      </w:r>
      <w:r w:rsidRPr="001E2C69">
        <w:rPr>
          <w:rFonts w:ascii="Times New Roman" w:hAnsi="Times New Roman" w:cs="Times New Roman"/>
          <w:color w:val="000000" w:themeColor="text1"/>
          <w:sz w:val="16"/>
          <w:szCs w:val="16"/>
        </w:rPr>
        <w:softHyphen/>
        <w:t>ктически нового 23-го штурмового ави</w:t>
      </w:r>
      <w:r w:rsidRPr="001E2C69">
        <w:rPr>
          <w:rFonts w:ascii="Times New Roman" w:hAnsi="Times New Roman" w:cs="Times New Roman"/>
          <w:color w:val="000000" w:themeColor="text1"/>
          <w:sz w:val="16"/>
          <w:szCs w:val="16"/>
        </w:rPr>
        <w:softHyphen/>
        <w:t>аполка. Теперь он должен был состоять из двух эскадрилий на Р-10, одного связного У-2 или УТ-1,156 человек лич</w:t>
      </w:r>
      <w:r w:rsidRPr="001E2C69">
        <w:rPr>
          <w:rFonts w:ascii="Times New Roman" w:hAnsi="Times New Roman" w:cs="Times New Roman"/>
          <w:color w:val="000000" w:themeColor="text1"/>
          <w:sz w:val="16"/>
          <w:szCs w:val="16"/>
        </w:rPr>
        <w:softHyphen/>
        <w:t>ного состава и аэрофотолаборатории. Новым командиром стал капитан Ох- тень Михаил Васильевич. Программа обучения была определена в 25 дней. Каждый летчик должен был выполнить по 52 учебных вылета общей продол</w:t>
      </w:r>
      <w:r w:rsidRPr="001E2C69">
        <w:rPr>
          <w:rFonts w:ascii="Times New Roman" w:hAnsi="Times New Roman" w:cs="Times New Roman"/>
          <w:color w:val="000000" w:themeColor="text1"/>
          <w:sz w:val="16"/>
          <w:szCs w:val="16"/>
        </w:rPr>
        <w:softHyphen/>
        <w:t>жительностью 7,5 часов. Переобучение планировалось завершить 20 августа 1942 года.</w:t>
      </w:r>
    </w:p>
    <w:p w14:paraId="5CF69A15" w14:textId="77777777" w:rsidR="00344FD4" w:rsidRPr="001E2C69"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Личный состав, прибывавший на формирование полка, был молодой, боевой опыт имели только командиры эскадрилий и их заместители. Большая часть летчиков и техников не знала материальной части, поэтому пришлось осваивать и обслуживать самолеты од</w:t>
      </w:r>
      <w:r w:rsidRPr="001E2C69">
        <w:rPr>
          <w:rFonts w:ascii="Times New Roman" w:hAnsi="Times New Roman" w:cs="Times New Roman"/>
          <w:color w:val="000000" w:themeColor="text1"/>
          <w:sz w:val="16"/>
          <w:szCs w:val="16"/>
        </w:rPr>
        <w:softHyphen/>
        <w:t>новременно.</w:t>
      </w:r>
    </w:p>
    <w:p w14:paraId="7B81FECD" w14:textId="77777777" w:rsidR="00344FD4" w:rsidRPr="001E2C69"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К сожалению, только неопытностью личного состава дело не ограничива</w:t>
      </w:r>
      <w:r w:rsidRPr="001E2C69">
        <w:rPr>
          <w:rFonts w:ascii="Times New Roman" w:hAnsi="Times New Roman" w:cs="Times New Roman"/>
          <w:color w:val="000000" w:themeColor="text1"/>
          <w:sz w:val="16"/>
          <w:szCs w:val="16"/>
        </w:rPr>
        <w:softHyphen/>
        <w:t>лось. В часть прибыли летчики и тех</w:t>
      </w:r>
      <w:r w:rsidRPr="001E2C69">
        <w:rPr>
          <w:rFonts w:ascii="Times New Roman" w:hAnsi="Times New Roman" w:cs="Times New Roman"/>
          <w:color w:val="000000" w:themeColor="text1"/>
          <w:sz w:val="16"/>
          <w:szCs w:val="16"/>
        </w:rPr>
        <w:softHyphen/>
        <w:t>ники, отчисленные из боевых полков и училищ за те или иные проступки. Некоторые из них впоследствии были осуждены военным трибуналом.</w:t>
      </w:r>
    </w:p>
    <w:p w14:paraId="4519033F" w14:textId="77777777" w:rsidR="00344FD4" w:rsidRPr="001E2C69"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Правда, проступок проступку рознь. Летчик старший лейтенант Сысолятин был осужден на 10 лет за воздушное ху</w:t>
      </w:r>
      <w:r w:rsidRPr="001E2C69">
        <w:rPr>
          <w:rFonts w:ascii="Times New Roman" w:hAnsi="Times New Roman" w:cs="Times New Roman"/>
          <w:color w:val="000000" w:themeColor="text1"/>
          <w:sz w:val="16"/>
          <w:szCs w:val="16"/>
        </w:rPr>
        <w:softHyphen/>
        <w:t>лиганство, но на фронте вел себя вполне достойно, так же, как и летчик, красно</w:t>
      </w:r>
      <w:r w:rsidRPr="001E2C69">
        <w:rPr>
          <w:rFonts w:ascii="Times New Roman" w:hAnsi="Times New Roman" w:cs="Times New Roman"/>
          <w:color w:val="000000" w:themeColor="text1"/>
          <w:sz w:val="16"/>
          <w:szCs w:val="16"/>
        </w:rPr>
        <w:softHyphen/>
        <w:t>флотец Петрищев.</w:t>
      </w:r>
    </w:p>
    <w:p w14:paraId="6B9E5CA1" w14:textId="77777777" w:rsidR="00344FD4" w:rsidRPr="001E2C69"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Отметим, что к категории проштра</w:t>
      </w:r>
      <w:r w:rsidRPr="001E2C69">
        <w:rPr>
          <w:rFonts w:ascii="Times New Roman" w:hAnsi="Times New Roman" w:cs="Times New Roman"/>
          <w:color w:val="000000" w:themeColor="text1"/>
          <w:sz w:val="16"/>
          <w:szCs w:val="16"/>
        </w:rPr>
        <w:softHyphen/>
        <w:t>фившихся относился и сам командир полка. Капитан М.В. Охтень, ещё в конце 1941 года носил знаки различия майора и командовал 13-м иап ВВС КБФ. В январе 1942 года за неумелое руководство полком он был отстранен от занимаемой должности и отправлен в резерв. Забегая вперед, скажем, что «выправить» свою карьеру Михаилу Васильевичу так и не удалось. Проведя 23-й шап через жестокие бои осени- зимы 1942 года, в июле 1943 года он был снова отстранен от командова</w:t>
      </w:r>
      <w:r w:rsidRPr="001E2C69">
        <w:rPr>
          <w:rFonts w:ascii="Times New Roman" w:hAnsi="Times New Roman" w:cs="Times New Roman"/>
          <w:color w:val="000000" w:themeColor="text1"/>
          <w:sz w:val="16"/>
          <w:szCs w:val="16"/>
        </w:rPr>
        <w:softHyphen/>
        <w:t>ния полком. Погиб М.В. Охтень в мае 1944 года в звании старшего лейте</w:t>
      </w:r>
      <w:r w:rsidRPr="001E2C69">
        <w:rPr>
          <w:rFonts w:ascii="Times New Roman" w:hAnsi="Times New Roman" w:cs="Times New Roman"/>
          <w:color w:val="000000" w:themeColor="text1"/>
          <w:sz w:val="16"/>
          <w:szCs w:val="16"/>
        </w:rPr>
        <w:softHyphen/>
        <w:t>нанта и должности замкомэска 47-го шап ВВС ЧФ.</w:t>
      </w:r>
    </w:p>
    <w:p w14:paraId="3554770A" w14:textId="77777777" w:rsidR="00344FD4" w:rsidRPr="001E2C69"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Комплектовался полк за счет Р-10 из 2-го запасного авиаполка. Самолеты были предназначены на списание, но тяжелое положение с материальной частью вынудило их подремонтировать и бросить в бой. В процессе учебы выяснилась одна очень неприятная особенность немановского разведчика. Питание бензином производилось из нескольких баков, не соединенных между собой. По мере расходования горючего пилот должен был своевре менно перекрывать подачу горючего из выработанного бака. В противном слу</w:t>
      </w:r>
      <w:r w:rsidRPr="001E2C69">
        <w:rPr>
          <w:rFonts w:ascii="Times New Roman" w:hAnsi="Times New Roman" w:cs="Times New Roman"/>
          <w:color w:val="000000" w:themeColor="text1"/>
          <w:sz w:val="16"/>
          <w:szCs w:val="16"/>
        </w:rPr>
        <w:softHyphen/>
        <w:t>чае двигатель начинал подсасывать из пустого бака воздух и глох. Напомним, что следить за выработкой горючего надо было и в бою.</w:t>
      </w:r>
    </w:p>
    <w:p w14:paraId="04677980" w14:textId="77777777" w:rsidR="00344FD4" w:rsidRPr="001E2C69"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Уже со второго дня полетов в полку начались летные происшествия. 7 августа разбил самолет краснофлотец С.П. Груз</w:t>
      </w:r>
      <w:r w:rsidRPr="001E2C69">
        <w:rPr>
          <w:rFonts w:ascii="Times New Roman" w:hAnsi="Times New Roman" w:cs="Times New Roman"/>
          <w:color w:val="000000" w:themeColor="text1"/>
          <w:sz w:val="16"/>
          <w:szCs w:val="16"/>
        </w:rPr>
        <w:softHyphen/>
        <w:t>дев, совершавший свой четвертый вылет на Р-10. И августа забыл перекрыть пустой бак заместитель командира полка старший лейтенант Д.А. Груздев. Самолет был разбит, а Груздев и штурман полка капитан Рябчук тяжело ранены.</w:t>
      </w:r>
    </w:p>
    <w:p w14:paraId="10ACE630" w14:textId="77777777" w:rsidR="00344FD4" w:rsidRPr="001E2C69"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Несмотря на то, что командованию 1-го зап удалось сместить срок готов</w:t>
      </w:r>
      <w:r w:rsidRPr="001E2C69">
        <w:rPr>
          <w:rFonts w:ascii="Times New Roman" w:hAnsi="Times New Roman" w:cs="Times New Roman"/>
          <w:color w:val="000000" w:themeColor="text1"/>
          <w:sz w:val="16"/>
          <w:szCs w:val="16"/>
        </w:rPr>
        <w:softHyphen/>
        <w:t>ности 23-го полка на 25 августа и даже перевыполнить учебный план (при плане 1320 часов, налет составил 1348 часов), результаты обучения были удручаю</w:t>
      </w:r>
      <w:r w:rsidRPr="001E2C69">
        <w:rPr>
          <w:rFonts w:ascii="Times New Roman" w:hAnsi="Times New Roman" w:cs="Times New Roman"/>
          <w:color w:val="000000" w:themeColor="text1"/>
          <w:sz w:val="16"/>
          <w:szCs w:val="16"/>
        </w:rPr>
        <w:softHyphen/>
        <w:t>щими. Только управление полка и отлич</w:t>
      </w:r>
      <w:r w:rsidRPr="001E2C69">
        <w:rPr>
          <w:rFonts w:ascii="Times New Roman" w:hAnsi="Times New Roman" w:cs="Times New Roman"/>
          <w:color w:val="000000" w:themeColor="text1"/>
          <w:sz w:val="16"/>
          <w:szCs w:val="16"/>
        </w:rPr>
        <w:softHyphen/>
        <w:t>ники Конов и Сысолятин смогли сдать зачеты на допуск к самостоятельным полетам. Остальным, как откровенно на</w:t>
      </w:r>
      <w:r w:rsidRPr="001E2C69">
        <w:rPr>
          <w:rFonts w:ascii="Times New Roman" w:hAnsi="Times New Roman" w:cs="Times New Roman"/>
          <w:color w:val="000000" w:themeColor="text1"/>
          <w:sz w:val="16"/>
          <w:szCs w:val="16"/>
        </w:rPr>
        <w:softHyphen/>
        <w:t>писано в истории части, зачеты просто «натягивались».</w:t>
      </w:r>
    </w:p>
    <w:p w14:paraId="54078C3D" w14:textId="77777777" w:rsidR="00344FD4" w:rsidRPr="001E2C69"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С инженерно-техническим соста</w:t>
      </w:r>
      <w:r w:rsidRPr="001E2C69">
        <w:rPr>
          <w:rFonts w:ascii="Times New Roman" w:hAnsi="Times New Roman" w:cs="Times New Roman"/>
          <w:color w:val="000000" w:themeColor="text1"/>
          <w:sz w:val="16"/>
          <w:szCs w:val="16"/>
        </w:rPr>
        <w:softHyphen/>
        <w:t xml:space="preserve">вом ситуация сложилась ещё хуже, чем с летным. Самолет Р-10 знали всего два человека. Из-за большого объема работ по подготовке и проведению полетов, организовать полноценное обучение не удалось. Зачеты на знание материальной части самолета и мотора М-25 организовали только через </w:t>
      </w:r>
      <w:r w:rsidRPr="001E2C69">
        <w:rPr>
          <w:rFonts w:ascii="Times New Roman" w:hAnsi="Times New Roman" w:cs="Times New Roman"/>
          <w:color w:val="000000" w:themeColor="text1"/>
          <w:sz w:val="16"/>
          <w:szCs w:val="16"/>
        </w:rPr>
        <w:lastRenderedPageBreak/>
        <w:t>пять (!) месяцев после окончания учебы. При этом, несмотря на полученный опыт, личный состав инженерно-ави</w:t>
      </w:r>
      <w:r w:rsidRPr="001E2C69">
        <w:rPr>
          <w:rFonts w:ascii="Times New Roman" w:hAnsi="Times New Roman" w:cs="Times New Roman"/>
          <w:color w:val="000000" w:themeColor="text1"/>
          <w:sz w:val="16"/>
          <w:szCs w:val="16"/>
        </w:rPr>
        <w:softHyphen/>
        <w:t>ационной службы полка показал неу</w:t>
      </w:r>
      <w:r w:rsidRPr="001E2C69">
        <w:rPr>
          <w:rFonts w:ascii="Times New Roman" w:hAnsi="Times New Roman" w:cs="Times New Roman"/>
          <w:color w:val="000000" w:themeColor="text1"/>
          <w:sz w:val="16"/>
          <w:szCs w:val="16"/>
        </w:rPr>
        <w:softHyphen/>
        <w:t>довлетворительные знания.</w:t>
      </w:r>
    </w:p>
    <w:p w14:paraId="409BE0F8" w14:textId="77777777" w:rsidR="00344FD4" w:rsidRPr="001E2C69"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25 августа началось перебазирова</w:t>
      </w:r>
      <w:r w:rsidRPr="001E2C69">
        <w:rPr>
          <w:rFonts w:ascii="Times New Roman" w:hAnsi="Times New Roman" w:cs="Times New Roman"/>
          <w:color w:val="000000" w:themeColor="text1"/>
          <w:sz w:val="16"/>
          <w:szCs w:val="16"/>
        </w:rPr>
        <w:softHyphen/>
        <w:t>ние полка на Черноморский флот. При</w:t>
      </w:r>
      <w:r w:rsidRPr="001E2C69">
        <w:rPr>
          <w:rFonts w:ascii="Times New Roman" w:hAnsi="Times New Roman" w:cs="Times New Roman"/>
          <w:color w:val="000000" w:themeColor="text1"/>
          <w:sz w:val="16"/>
          <w:szCs w:val="16"/>
        </w:rPr>
        <w:softHyphen/>
        <w:t>каз об этом пришел утром, подготовка к вылету велась в спешке и началось... На взлете был разбит самолет красно</w:t>
      </w:r>
      <w:r w:rsidRPr="001E2C69">
        <w:rPr>
          <w:rFonts w:ascii="Times New Roman" w:hAnsi="Times New Roman" w:cs="Times New Roman"/>
          <w:color w:val="000000" w:themeColor="text1"/>
          <w:sz w:val="16"/>
          <w:szCs w:val="16"/>
        </w:rPr>
        <w:softHyphen/>
        <w:t>флотца Быкова, пилот тяжело ранен, штурман отделался легкими ушибами. При посадке в Саратове поврежден самолет пилота Дементьева. 26 августа при вылете из Саратова разбился еще один Р-10. На посадке в Эльтоне забыл выпустить шасси летчик Лущик, самолет требовал ремонта. У Р-10 краснофлотца Авраменко шасси подломилось, да так, что самолет ремонту уже не подлежал. К счастью, экипаж не пострадал.</w:t>
      </w:r>
    </w:p>
    <w:p w14:paraId="371257A5" w14:textId="77777777" w:rsidR="00344FD4" w:rsidRPr="001E2C69"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К 27 августа в Эльтоне находилось 16 машин из 22 вылетевших из Са</w:t>
      </w:r>
      <w:r w:rsidRPr="001E2C69">
        <w:rPr>
          <w:rFonts w:ascii="Times New Roman" w:hAnsi="Times New Roman" w:cs="Times New Roman"/>
          <w:color w:val="000000" w:themeColor="text1"/>
          <w:sz w:val="16"/>
          <w:szCs w:val="16"/>
        </w:rPr>
        <w:softHyphen/>
        <w:t>ранска. Три самолета были потеряны безвозвратно, три ожидали ремонта. 28 августа при посадке в Астрахани забыл переключить бензобаки стар</w:t>
      </w:r>
      <w:r w:rsidRPr="001E2C69">
        <w:rPr>
          <w:rFonts w:ascii="Times New Roman" w:hAnsi="Times New Roman" w:cs="Times New Roman"/>
          <w:color w:val="000000" w:themeColor="text1"/>
          <w:sz w:val="16"/>
          <w:szCs w:val="16"/>
        </w:rPr>
        <w:softHyphen/>
        <w:t>ший лейтенант Сысолятин, самолет был поврежден. На посадке также по</w:t>
      </w:r>
      <w:r w:rsidRPr="001E2C69">
        <w:rPr>
          <w:rFonts w:ascii="Times New Roman" w:hAnsi="Times New Roman" w:cs="Times New Roman"/>
          <w:color w:val="000000" w:themeColor="text1"/>
          <w:sz w:val="16"/>
          <w:szCs w:val="16"/>
        </w:rPr>
        <w:softHyphen/>
        <w:t>лучил повреждения Р-10 краснофлотца Федосекина.</w:t>
      </w:r>
    </w:p>
    <w:p w14:paraId="55B92EB4" w14:textId="77777777" w:rsidR="00344FD4" w:rsidRPr="001E2C69"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29 августа, подлетая к Махачкале, снова забыл о бензобаках краснофло</w:t>
      </w:r>
      <w:r w:rsidRPr="001E2C69">
        <w:rPr>
          <w:rFonts w:ascii="Times New Roman" w:hAnsi="Times New Roman" w:cs="Times New Roman"/>
          <w:color w:val="000000" w:themeColor="text1"/>
          <w:sz w:val="16"/>
          <w:szCs w:val="16"/>
        </w:rPr>
        <w:softHyphen/>
        <w:t>тец Шумилов, в результате ему при</w:t>
      </w:r>
      <w:r w:rsidRPr="001E2C69">
        <w:rPr>
          <w:rFonts w:ascii="Times New Roman" w:hAnsi="Times New Roman" w:cs="Times New Roman"/>
          <w:color w:val="000000" w:themeColor="text1"/>
          <w:sz w:val="16"/>
          <w:szCs w:val="16"/>
        </w:rPr>
        <w:softHyphen/>
        <w:t>шлось сажать самолет на воду. Лейте</w:t>
      </w:r>
      <w:r w:rsidRPr="001E2C69">
        <w:rPr>
          <w:rFonts w:ascii="Times New Roman" w:hAnsi="Times New Roman" w:cs="Times New Roman"/>
          <w:color w:val="000000" w:themeColor="text1"/>
          <w:sz w:val="16"/>
          <w:szCs w:val="16"/>
        </w:rPr>
        <w:softHyphen/>
        <w:t>нант Конов благополучно сел на аэро</w:t>
      </w:r>
      <w:r w:rsidRPr="001E2C69">
        <w:rPr>
          <w:rFonts w:ascii="Times New Roman" w:hAnsi="Times New Roman" w:cs="Times New Roman"/>
          <w:color w:val="000000" w:themeColor="text1"/>
          <w:sz w:val="16"/>
          <w:szCs w:val="16"/>
        </w:rPr>
        <w:softHyphen/>
        <w:t>дром, но на пробеге у него оборвался шатун двигателя. Чуть забегая вперед, скажем, что за все время эпопеи пере</w:t>
      </w:r>
      <w:r w:rsidRPr="001E2C69">
        <w:rPr>
          <w:rFonts w:ascii="Times New Roman" w:hAnsi="Times New Roman" w:cs="Times New Roman"/>
          <w:color w:val="000000" w:themeColor="text1"/>
          <w:sz w:val="16"/>
          <w:szCs w:val="16"/>
        </w:rPr>
        <w:softHyphen/>
        <w:t>лета полк потерял 11 машин: пять из них были списаны, остальные требо</w:t>
      </w:r>
      <w:r w:rsidRPr="001E2C69">
        <w:rPr>
          <w:rFonts w:ascii="Times New Roman" w:hAnsi="Times New Roman" w:cs="Times New Roman"/>
          <w:color w:val="000000" w:themeColor="text1"/>
          <w:sz w:val="16"/>
          <w:szCs w:val="16"/>
        </w:rPr>
        <w:softHyphen/>
        <w:t>вали ремонта. При этом только само</w:t>
      </w:r>
      <w:r w:rsidRPr="001E2C69">
        <w:rPr>
          <w:rFonts w:ascii="Times New Roman" w:hAnsi="Times New Roman" w:cs="Times New Roman"/>
          <w:color w:val="000000" w:themeColor="text1"/>
          <w:sz w:val="16"/>
          <w:szCs w:val="16"/>
        </w:rPr>
        <w:softHyphen/>
        <w:t>лет Конова потерян по причине отказа материальной части, остальные - из-за ошибок пилотов.</w:t>
      </w:r>
    </w:p>
    <w:p w14:paraId="3C41A075" w14:textId="77777777" w:rsidR="00344FD4" w:rsidRPr="001E2C69"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Но ситуация на Кавказе осенью 1942 года была критической, поэтому советское командование бросало про</w:t>
      </w:r>
      <w:r w:rsidRPr="001E2C69">
        <w:rPr>
          <w:rFonts w:ascii="Times New Roman" w:hAnsi="Times New Roman" w:cs="Times New Roman"/>
          <w:color w:val="000000" w:themeColor="text1"/>
          <w:sz w:val="16"/>
          <w:szCs w:val="16"/>
        </w:rPr>
        <w:softHyphen/>
        <w:t>тив наступающих немецких частей, все, что попадало под руку. Так слу</w:t>
      </w:r>
      <w:r w:rsidRPr="001E2C69">
        <w:rPr>
          <w:rFonts w:ascii="Times New Roman" w:hAnsi="Times New Roman" w:cs="Times New Roman"/>
          <w:color w:val="000000" w:themeColor="text1"/>
          <w:sz w:val="16"/>
          <w:szCs w:val="16"/>
        </w:rPr>
        <w:softHyphen/>
        <w:t>чилось и с 23-й авиационным полком. Добравшись 1 сентября до Тбилиси, полк, точнее, то, что от него осталось, застрял там из-за плохой погоды над перевалами Главного Кавказского хребта. И по приказу командующего Закавказским фронтом генерала армии И.В. Тюленева полк, потеряв безвоз</w:t>
      </w:r>
      <w:r w:rsidRPr="001E2C69">
        <w:rPr>
          <w:rFonts w:ascii="Times New Roman" w:hAnsi="Times New Roman" w:cs="Times New Roman"/>
          <w:color w:val="000000" w:themeColor="text1"/>
          <w:sz w:val="16"/>
          <w:szCs w:val="16"/>
        </w:rPr>
        <w:softHyphen/>
        <w:t>вратно еще один самолет, вернулся в Махачкалу. Здесь 23-й шап вошел в оперативное подчинение 216-й истре</w:t>
      </w:r>
      <w:r w:rsidRPr="001E2C69">
        <w:rPr>
          <w:rFonts w:ascii="Times New Roman" w:hAnsi="Times New Roman" w:cs="Times New Roman"/>
          <w:color w:val="000000" w:themeColor="text1"/>
          <w:sz w:val="16"/>
          <w:szCs w:val="16"/>
        </w:rPr>
        <w:softHyphen/>
        <w:t>бительной авиационной дивизии и ба</w:t>
      </w:r>
      <w:r w:rsidRPr="001E2C69">
        <w:rPr>
          <w:rFonts w:ascii="Times New Roman" w:hAnsi="Times New Roman" w:cs="Times New Roman"/>
          <w:color w:val="000000" w:themeColor="text1"/>
          <w:sz w:val="16"/>
          <w:szCs w:val="16"/>
        </w:rPr>
        <w:softHyphen/>
        <w:t>зировался на аэродроме Арахонская. Так как управление и технический состав части продолжали следовать к месту прежнего назначения, полку были выделены механики из 216-й иад. Всего в Арахонской оказалось 16 самолетов Р-10, столько же летчиков и 12 штурманов, командир и комиссар полка, а также начальник штаба капи</w:t>
      </w:r>
      <w:r w:rsidRPr="001E2C69">
        <w:rPr>
          <w:rFonts w:ascii="Times New Roman" w:hAnsi="Times New Roman" w:cs="Times New Roman"/>
          <w:color w:val="000000" w:themeColor="text1"/>
          <w:sz w:val="16"/>
          <w:szCs w:val="16"/>
        </w:rPr>
        <w:softHyphen/>
        <w:t>тан Драгунов (19085).</w:t>
      </w:r>
    </w:p>
    <w:p w14:paraId="3CB58604" w14:textId="77777777" w:rsidR="00344FD4" w:rsidRPr="001E2C69" w:rsidRDefault="00344FD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1AE3154E"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июля в 1942 году завершились Воронежско-Ворошиловградская и Донбасская операции. Советские войска отошли на 150-400 км, оставили Донбасс, богатые сельскохозяйственные районы правобережья Дона, город Ростов-на-Дону. Противник форсировал Дон, захватил ряд плацдармов на левом берегу, создал прямую угрозу Сталинграду и Северному Кавказу, но уничтожить основные силы Юго-Западного и Южного фронтов ему не удалось (14962).</w:t>
      </w:r>
    </w:p>
    <w:p w14:paraId="14B5209D" w14:textId="77777777" w:rsidR="00001919" w:rsidRPr="001E2C69" w:rsidRDefault="00001919" w:rsidP="00722885">
      <w:pPr>
        <w:spacing w:after="0" w:line="240" w:lineRule="auto"/>
        <w:jc w:val="both"/>
        <w:rPr>
          <w:rFonts w:ascii="Times New Roman" w:hAnsi="Times New Roman"/>
          <w:color w:val="000000" w:themeColor="text1"/>
          <w:sz w:val="16"/>
          <w:szCs w:val="16"/>
        </w:rPr>
      </w:pPr>
    </w:p>
    <w:p w14:paraId="03B0E142"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июля в 1942 году заканчивается общее наступление вермахта на южном крыле фронта (14962).</w:t>
      </w:r>
    </w:p>
    <w:p w14:paraId="33BE59A0" w14:textId="77777777" w:rsidR="00001919" w:rsidRPr="001E2C69" w:rsidRDefault="00001919" w:rsidP="00722885">
      <w:pPr>
        <w:spacing w:after="0" w:line="240" w:lineRule="auto"/>
        <w:jc w:val="both"/>
        <w:rPr>
          <w:rFonts w:ascii="Times New Roman" w:hAnsi="Times New Roman"/>
          <w:color w:val="000000" w:themeColor="text1"/>
          <w:sz w:val="16"/>
          <w:szCs w:val="16"/>
        </w:rPr>
      </w:pPr>
    </w:p>
    <w:p w14:paraId="28810EE4"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июля в 1942 году германское командование перебросило на советско-германский фронт основные силы авиации, действовавшей в Северной Африке (14962).</w:t>
      </w:r>
    </w:p>
    <w:p w14:paraId="7A250A68" w14:textId="77777777" w:rsidR="00001919" w:rsidRPr="001E2C69" w:rsidRDefault="00001919" w:rsidP="00722885">
      <w:pPr>
        <w:spacing w:after="0" w:line="240" w:lineRule="auto"/>
        <w:jc w:val="both"/>
        <w:rPr>
          <w:rFonts w:ascii="Times New Roman" w:hAnsi="Times New Roman"/>
          <w:color w:val="000000" w:themeColor="text1"/>
          <w:sz w:val="16"/>
          <w:szCs w:val="16"/>
        </w:rPr>
      </w:pPr>
    </w:p>
    <w:p w14:paraId="7A0D1FDA"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июля в 1942 году (24 – 25 июля) в результате молниеносной десантной операции усиленная рота «Бранденбург-800» гауптмана Граберта овладевает шестикилометровыми гидротехническими сооружениями (железнодорожные насыпи, земляные плотины, мосты) между Ростовом-на-Дону и Батайском в пойме Дона (14962).</w:t>
      </w:r>
    </w:p>
    <w:p w14:paraId="648BF9EF" w14:textId="77777777" w:rsidR="00001919" w:rsidRPr="001E2C69" w:rsidRDefault="00001919" w:rsidP="00722885">
      <w:pPr>
        <w:spacing w:after="0" w:line="240" w:lineRule="auto"/>
        <w:jc w:val="both"/>
        <w:rPr>
          <w:rFonts w:ascii="Times New Roman" w:hAnsi="Times New Roman"/>
          <w:color w:val="000000" w:themeColor="text1"/>
          <w:sz w:val="16"/>
          <w:szCs w:val="16"/>
        </w:rPr>
      </w:pPr>
    </w:p>
    <w:p w14:paraId="69003CE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июля 1942 сержант Шот из 688-го шап после атаки цели был атакован 2 В</w:t>
      </w:r>
      <w:r w:rsidRPr="001E2C69">
        <w:rPr>
          <w:rFonts w:ascii="Times New Roman" w:hAnsi="Times New Roman"/>
          <w:color w:val="000000" w:themeColor="text1"/>
          <w:sz w:val="16"/>
          <w:szCs w:val="16"/>
          <w:lang w:val="en-US"/>
        </w:rPr>
        <w:t>f</w:t>
      </w:r>
      <w:r w:rsidRPr="001E2C69">
        <w:rPr>
          <w:rFonts w:ascii="Times New Roman" w:hAnsi="Times New Roman"/>
          <w:color w:val="000000" w:themeColor="text1"/>
          <w:sz w:val="16"/>
          <w:szCs w:val="16"/>
        </w:rPr>
        <w:t>109. В результате самолет был сильно поврежден (правое шасси, пробиты правая половина центроплана, троса элеронов, две лопасти винта, повреждены троса рулевого управления). Сам Шот был ранен в правый глаз. Несмотря на все это, "тов. Шот дотянул самолет на один из наших аэродромов и благополучно произвел посадку, а сам вылезти из кабины не смог, потерял сознание" (12020).</w:t>
      </w:r>
    </w:p>
    <w:p w14:paraId="492C9BFE"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693CB5"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и 26 июля 1942 состоялись повторные удары по Кенигсбергу. В последнем участ</w:t>
      </w:r>
      <w:r w:rsidRPr="001E2C69">
        <w:rPr>
          <w:rFonts w:ascii="Times New Roman" w:hAnsi="Times New Roman"/>
          <w:color w:val="000000" w:themeColor="text1"/>
          <w:sz w:val="16"/>
          <w:szCs w:val="16"/>
        </w:rPr>
        <w:softHyphen/>
        <w:t>вовали 88 самолетов. В Данциге подо</w:t>
      </w:r>
      <w:r w:rsidRPr="001E2C69">
        <w:rPr>
          <w:rFonts w:ascii="Times New Roman" w:hAnsi="Times New Roman"/>
          <w:color w:val="000000" w:themeColor="text1"/>
          <w:sz w:val="16"/>
          <w:szCs w:val="16"/>
        </w:rPr>
        <w:softHyphen/>
        <w:t>жгли верфи и достигли нескольких по</w:t>
      </w:r>
      <w:r w:rsidRPr="001E2C69">
        <w:rPr>
          <w:rFonts w:ascii="Times New Roman" w:hAnsi="Times New Roman"/>
          <w:color w:val="000000" w:themeColor="text1"/>
          <w:sz w:val="16"/>
          <w:szCs w:val="16"/>
        </w:rPr>
        <w:softHyphen/>
        <w:t>паданий в линкор «Гнейзенау». Над Берлином советские бомбардировщики появились 26 августа. На город полете-1 ли бомбы с надписями: «Срочно. Бер</w:t>
      </w:r>
      <w:r w:rsidRPr="001E2C69">
        <w:rPr>
          <w:rFonts w:ascii="Times New Roman" w:hAnsi="Times New Roman"/>
          <w:color w:val="000000" w:themeColor="text1"/>
          <w:sz w:val="16"/>
          <w:szCs w:val="16"/>
        </w:rPr>
        <w:softHyphen/>
        <w:t>лин, Гитлеру!», «Кровопийце Адольфу от гвардейцев» и другими. 14 сентября организовали налеты на объекты в Ру</w:t>
      </w:r>
      <w:r w:rsidRPr="001E2C69">
        <w:rPr>
          <w:rFonts w:ascii="Times New Roman" w:hAnsi="Times New Roman"/>
          <w:color w:val="000000" w:themeColor="text1"/>
          <w:sz w:val="16"/>
          <w:szCs w:val="16"/>
        </w:rPr>
        <w:softHyphen/>
        <w:t>мынии, в которых участвовали полки 3-1и, 17-й и 45-й дивизий. Бомбили Буха</w:t>
      </w:r>
      <w:r w:rsidRPr="001E2C69">
        <w:rPr>
          <w:rFonts w:ascii="Times New Roman" w:hAnsi="Times New Roman"/>
          <w:color w:val="000000" w:themeColor="text1"/>
          <w:sz w:val="16"/>
          <w:szCs w:val="16"/>
        </w:rPr>
        <w:softHyphen/>
        <w:t>рест, Плоешти с его нефтеперегонными заводами и порт Галац на Дунае. В таких дальних рейдах остро сказы</w:t>
      </w:r>
      <w:r w:rsidRPr="001E2C69">
        <w:rPr>
          <w:rFonts w:ascii="Times New Roman" w:hAnsi="Times New Roman"/>
          <w:color w:val="000000" w:themeColor="text1"/>
          <w:sz w:val="16"/>
          <w:szCs w:val="16"/>
        </w:rPr>
        <w:softHyphen/>
        <w:t>вались недостатки Ил-4. Полет длился до 12 часов. Все это время от пилота требовалось неусыпное внимание. Не</w:t>
      </w:r>
      <w:r w:rsidRPr="001E2C69">
        <w:rPr>
          <w:rFonts w:ascii="Times New Roman" w:hAnsi="Times New Roman"/>
          <w:color w:val="000000" w:themeColor="text1"/>
          <w:sz w:val="16"/>
          <w:szCs w:val="16"/>
        </w:rPr>
        <w:softHyphen/>
        <w:t>достаточная продольная устойчивость, ухудшившаяся на модификации ДБ-3Ф и продолжавшая ухудшаться после пе</w:t>
      </w:r>
      <w:r w:rsidRPr="001E2C69">
        <w:rPr>
          <w:rFonts w:ascii="Times New Roman" w:hAnsi="Times New Roman"/>
          <w:color w:val="000000" w:themeColor="text1"/>
          <w:sz w:val="16"/>
          <w:szCs w:val="16"/>
        </w:rPr>
        <w:softHyphen/>
        <w:t>рехода к экипажу из четырех человек и установки дополнительного оборудова</w:t>
      </w:r>
      <w:r w:rsidRPr="001E2C69">
        <w:rPr>
          <w:rFonts w:ascii="Times New Roman" w:hAnsi="Times New Roman"/>
          <w:color w:val="000000" w:themeColor="text1"/>
          <w:sz w:val="16"/>
          <w:szCs w:val="16"/>
        </w:rPr>
        <w:softHyphen/>
        <w:t>ния, не давали летчику ни минуты по-, коя. Автопилоты стояли только на еди</w:t>
      </w:r>
      <w:r w:rsidRPr="001E2C69">
        <w:rPr>
          <w:rFonts w:ascii="Times New Roman" w:hAnsi="Times New Roman"/>
          <w:color w:val="000000" w:themeColor="text1"/>
          <w:sz w:val="16"/>
          <w:szCs w:val="16"/>
        </w:rPr>
        <w:softHyphen/>
        <w:t>ничных машинах (до конца 1942 г. на фронт отправили около 60 самолетов с АВП-12), причем в «болтанку» их предписывали отключать (гидравлика реагировала слишком медленно). Ино</w:t>
      </w:r>
      <w:r w:rsidRPr="001E2C69">
        <w:rPr>
          <w:rFonts w:ascii="Times New Roman" w:hAnsi="Times New Roman"/>
          <w:color w:val="000000" w:themeColor="text1"/>
          <w:sz w:val="16"/>
          <w:szCs w:val="16"/>
        </w:rPr>
        <w:softHyphen/>
        <w:t>гда на помощь пилоту подключался штурман, вставлявший в гнездо съем</w:t>
      </w:r>
      <w:r w:rsidRPr="001E2C69">
        <w:rPr>
          <w:rFonts w:ascii="Times New Roman" w:hAnsi="Times New Roman"/>
          <w:color w:val="000000" w:themeColor="text1"/>
          <w:sz w:val="16"/>
          <w:szCs w:val="16"/>
        </w:rPr>
        <w:softHyphen/>
        <w:t>ную ручку управления и дававший ко</w:t>
      </w:r>
      <w:r w:rsidRPr="001E2C69">
        <w:rPr>
          <w:rFonts w:ascii="Times New Roman" w:hAnsi="Times New Roman"/>
          <w:color w:val="000000" w:themeColor="text1"/>
          <w:sz w:val="16"/>
          <w:szCs w:val="16"/>
        </w:rPr>
        <w:softHyphen/>
        <w:t>мандиру немного отдохнуть. Можно привести мнение дважды Ге</w:t>
      </w:r>
      <w:r w:rsidRPr="001E2C69">
        <w:rPr>
          <w:rFonts w:ascii="Times New Roman" w:hAnsi="Times New Roman"/>
          <w:color w:val="000000" w:themeColor="text1"/>
          <w:sz w:val="16"/>
          <w:szCs w:val="16"/>
        </w:rPr>
        <w:softHyphen/>
        <w:t>роя Советского Союза А.И. Молодчего: «...по своей природе Ил-4 неустойчив, каждую секунду норовит завалиться в крен, уйти с курса, забрать или опустить нос. Нужно беспрерывно крутить штур</w:t>
      </w:r>
      <w:r w:rsidRPr="001E2C69">
        <w:rPr>
          <w:rFonts w:ascii="Times New Roman" w:hAnsi="Times New Roman"/>
          <w:color w:val="000000" w:themeColor="text1"/>
          <w:sz w:val="16"/>
          <w:szCs w:val="16"/>
        </w:rPr>
        <w:softHyphen/>
        <w:t>вал, чтобы самолет летел в заданном режиме». А вот что писал летавший в ту пору на Ил-4 В.В. Решетников: «Уп</w:t>
      </w:r>
      <w:r w:rsidRPr="001E2C69">
        <w:rPr>
          <w:rFonts w:ascii="Times New Roman" w:hAnsi="Times New Roman"/>
          <w:color w:val="000000" w:themeColor="text1"/>
          <w:sz w:val="16"/>
          <w:szCs w:val="16"/>
        </w:rPr>
        <w:softHyphen/>
        <w:t>равление нельзя было бросить ни на се</w:t>
      </w:r>
      <w:r w:rsidRPr="001E2C69">
        <w:rPr>
          <w:rFonts w:ascii="Times New Roman" w:hAnsi="Times New Roman"/>
          <w:color w:val="000000" w:themeColor="text1"/>
          <w:sz w:val="16"/>
          <w:szCs w:val="16"/>
        </w:rPr>
        <w:softHyphen/>
        <w:t>кунду: при самой идеальной нейтраль</w:t>
      </w:r>
      <w:r w:rsidRPr="001E2C69">
        <w:rPr>
          <w:rFonts w:ascii="Times New Roman" w:hAnsi="Times New Roman"/>
          <w:color w:val="000000" w:themeColor="text1"/>
          <w:sz w:val="16"/>
          <w:szCs w:val="16"/>
        </w:rPr>
        <w:softHyphen/>
        <w:t>ной регулировке руля высоты машина с брошенным управлением без раздумий, совершенно произвольно лезла вверх или, если ей так вздумается, завалива</w:t>
      </w:r>
      <w:r w:rsidRPr="001E2C69">
        <w:rPr>
          <w:rFonts w:ascii="Times New Roman" w:hAnsi="Times New Roman"/>
          <w:color w:val="000000" w:themeColor="text1"/>
          <w:sz w:val="16"/>
          <w:szCs w:val="16"/>
        </w:rPr>
        <w:softHyphen/>
        <w:t>лась с ускорением вниз. Она нахально «висела» на руках и в длительных мно</w:t>
      </w:r>
      <w:r w:rsidRPr="001E2C69">
        <w:rPr>
          <w:rFonts w:ascii="Times New Roman" w:hAnsi="Times New Roman"/>
          <w:color w:val="000000" w:themeColor="text1"/>
          <w:sz w:val="16"/>
          <w:szCs w:val="16"/>
        </w:rPr>
        <w:softHyphen/>
        <w:t>гочасовых полетах выматывала пилотов изрядно. Грешна была этим, матушка». Чрезвычайно утомительным являлся полет при отказе одного мотора. Пари</w:t>
      </w:r>
      <w:r w:rsidRPr="001E2C69">
        <w:rPr>
          <w:rFonts w:ascii="Times New Roman" w:hAnsi="Times New Roman"/>
          <w:color w:val="000000" w:themeColor="text1"/>
          <w:sz w:val="16"/>
          <w:szCs w:val="16"/>
        </w:rPr>
        <w:softHyphen/>
        <w:t>руя тенденцию к развороту, летчик постоянно был вынужден давить на пе</w:t>
      </w:r>
      <w:r w:rsidRPr="001E2C69">
        <w:rPr>
          <w:rFonts w:ascii="Times New Roman" w:hAnsi="Times New Roman"/>
          <w:color w:val="000000" w:themeColor="text1"/>
          <w:sz w:val="16"/>
          <w:szCs w:val="16"/>
        </w:rPr>
        <w:softHyphen/>
        <w:t>даль, поскольку триммер не компенси</w:t>
      </w:r>
      <w:r w:rsidRPr="001E2C69">
        <w:rPr>
          <w:rFonts w:ascii="Times New Roman" w:hAnsi="Times New Roman"/>
          <w:color w:val="000000" w:themeColor="text1"/>
          <w:sz w:val="16"/>
          <w:szCs w:val="16"/>
        </w:rPr>
        <w:softHyphen/>
        <w:t>ровал полностью асимметрию тяги. Этот дефект сохранился практически до последних серий бомбардировщиков. Недостаточно эффективным явля</w:t>
      </w:r>
      <w:r w:rsidRPr="001E2C69">
        <w:rPr>
          <w:rFonts w:ascii="Times New Roman" w:hAnsi="Times New Roman"/>
          <w:color w:val="000000" w:themeColor="text1"/>
          <w:sz w:val="16"/>
          <w:szCs w:val="16"/>
        </w:rPr>
        <w:softHyphen/>
        <w:t>лось и оборонительное вооружение Ил-4. Трех пулеметов ШКАС для нача</w:t>
      </w:r>
      <w:r w:rsidRPr="001E2C69">
        <w:rPr>
          <w:rFonts w:ascii="Times New Roman" w:hAnsi="Times New Roman"/>
          <w:color w:val="000000" w:themeColor="text1"/>
          <w:sz w:val="16"/>
          <w:szCs w:val="16"/>
        </w:rPr>
        <w:softHyphen/>
        <w:t>ла 1942 г. уже было недостаточно. Сперва в полках АДД появились кус</w:t>
      </w:r>
      <w:r w:rsidRPr="001E2C69">
        <w:rPr>
          <w:rFonts w:ascii="Times New Roman" w:hAnsi="Times New Roman"/>
          <w:color w:val="000000" w:themeColor="text1"/>
          <w:sz w:val="16"/>
          <w:szCs w:val="16"/>
        </w:rPr>
        <w:softHyphen/>
        <w:t>тарные установки крупнокалиберного пулемета УБТ в турели МВ-3. По-види</w:t>
      </w:r>
      <w:r w:rsidRPr="001E2C69">
        <w:rPr>
          <w:rFonts w:ascii="Times New Roman" w:hAnsi="Times New Roman"/>
          <w:color w:val="000000" w:themeColor="text1"/>
          <w:sz w:val="16"/>
          <w:szCs w:val="16"/>
        </w:rPr>
        <w:softHyphen/>
        <w:t>мому, первой их начала использовать 3-я дивизия АЛЛ. С весны вместо верх</w:t>
      </w:r>
      <w:r w:rsidRPr="001E2C69">
        <w:rPr>
          <w:rFonts w:ascii="Times New Roman" w:hAnsi="Times New Roman"/>
          <w:color w:val="000000" w:themeColor="text1"/>
          <w:sz w:val="16"/>
          <w:szCs w:val="16"/>
        </w:rPr>
        <w:softHyphen/>
        <w:t>ней турели МВ-3 стали ставить УТК-1 с крупнокалиберным пулеметом УБТ и запасом в 200 патронов к нему. УТК-1 являлась переделкой той же МВ-3, осу</w:t>
      </w:r>
      <w:r w:rsidRPr="001E2C69">
        <w:rPr>
          <w:rFonts w:ascii="Times New Roman" w:hAnsi="Times New Roman"/>
          <w:color w:val="000000" w:themeColor="text1"/>
          <w:sz w:val="16"/>
          <w:szCs w:val="16"/>
        </w:rPr>
        <w:softHyphen/>
        <w:t>ществленной под руководством инже</w:t>
      </w:r>
      <w:r w:rsidRPr="001E2C69">
        <w:rPr>
          <w:rFonts w:ascii="Times New Roman" w:hAnsi="Times New Roman"/>
          <w:color w:val="000000" w:themeColor="text1"/>
          <w:sz w:val="16"/>
          <w:szCs w:val="16"/>
        </w:rPr>
        <w:softHyphen/>
        <w:t>нера Шебанова. Ранние УТК-1 часто использовали детали и узлы разобран</w:t>
      </w:r>
      <w:r w:rsidRPr="001E2C69">
        <w:rPr>
          <w:rFonts w:ascii="Times New Roman" w:hAnsi="Times New Roman"/>
          <w:color w:val="000000" w:themeColor="text1"/>
          <w:sz w:val="16"/>
          <w:szCs w:val="16"/>
        </w:rPr>
        <w:softHyphen/>
        <w:t>ных МВ-3. Поэтому частям предписы</w:t>
      </w:r>
      <w:r w:rsidRPr="001E2C69">
        <w:rPr>
          <w:rFonts w:ascii="Times New Roman" w:hAnsi="Times New Roman"/>
          <w:color w:val="000000" w:themeColor="text1"/>
          <w:sz w:val="16"/>
          <w:szCs w:val="16"/>
        </w:rPr>
        <w:softHyphen/>
        <w:t>валось при получении УТК-1 старые ту</w:t>
      </w:r>
      <w:r w:rsidRPr="001E2C69">
        <w:rPr>
          <w:rFonts w:ascii="Times New Roman" w:hAnsi="Times New Roman"/>
          <w:color w:val="000000" w:themeColor="text1"/>
          <w:sz w:val="16"/>
          <w:szCs w:val="16"/>
        </w:rPr>
        <w:softHyphen/>
        <w:t>рели отправлять обратно на завод. Усиление огневой мощи сразу заста</w:t>
      </w:r>
      <w:r w:rsidRPr="001E2C69">
        <w:rPr>
          <w:rFonts w:ascii="Times New Roman" w:hAnsi="Times New Roman"/>
          <w:color w:val="000000" w:themeColor="text1"/>
          <w:sz w:val="16"/>
          <w:szCs w:val="16"/>
        </w:rPr>
        <w:softHyphen/>
        <w:t>вило немецкие ночные истребители держаться подальше и, соответственно, понизило эффективность их стрельбы. В феврале 1942 г. в 748-м полку инже</w:t>
      </w:r>
      <w:r w:rsidRPr="001E2C69">
        <w:rPr>
          <w:rFonts w:ascii="Times New Roman" w:hAnsi="Times New Roman"/>
          <w:color w:val="000000" w:themeColor="text1"/>
          <w:sz w:val="16"/>
          <w:szCs w:val="16"/>
        </w:rPr>
        <w:softHyphen/>
        <w:t>нер Ю.П. Знаменский создал люковую установку под пулемет УБТ. В ней ис</w:t>
      </w:r>
      <w:r w:rsidRPr="001E2C69">
        <w:rPr>
          <w:rFonts w:ascii="Times New Roman" w:hAnsi="Times New Roman"/>
          <w:color w:val="000000" w:themeColor="text1"/>
          <w:sz w:val="16"/>
          <w:szCs w:val="16"/>
        </w:rPr>
        <w:softHyphen/>
        <w:t>пользовали удлиненную и уширенную раму от МВ-2, а также лафет, патрон</w:t>
      </w:r>
      <w:r w:rsidRPr="001E2C69">
        <w:rPr>
          <w:rFonts w:ascii="Times New Roman" w:hAnsi="Times New Roman"/>
          <w:color w:val="000000" w:themeColor="text1"/>
          <w:sz w:val="16"/>
          <w:szCs w:val="16"/>
        </w:rPr>
        <w:softHyphen/>
        <w:t>ный ящик и удлиненный рукав питания от ЛУ Пе-2. Боезапас составлял 250 патронов. Установку испытали в бою и остались ею довольны. Командование АЛЛ упорно пыталось добиться внедрения этой установки на серийных самолетах, но Ильюшин столь же упорно противился этому, бо</w:t>
      </w:r>
      <w:r w:rsidRPr="001E2C69">
        <w:rPr>
          <w:rFonts w:ascii="Times New Roman" w:hAnsi="Times New Roman"/>
          <w:color w:val="000000" w:themeColor="text1"/>
          <w:sz w:val="16"/>
          <w:szCs w:val="16"/>
        </w:rPr>
        <w:softHyphen/>
        <w:t>ясь, что сдвиг центровки назад (новая установка была на 70 кг тяжелее МВ-2) еще более ухудшит и без того не очень приятные пилотажные качества Ил-4. Но в полках продолжали монтировать УБТ и в люковой установке (10734,71).</w:t>
      </w:r>
    </w:p>
    <w:p w14:paraId="134AD901" w14:textId="77777777" w:rsidR="00AE7191" w:rsidRPr="001E2C69" w:rsidRDefault="00AE7191" w:rsidP="00722885">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73A86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и 26 июля 1942 состоялись повторные удары по Кенигсбергу. В последнем участвовали 88 самолетов. В Данциге подожгли верфи и достигли нескольких попаданий в линкор "Гнейзе- нау". Над Берлином советские бомбардировщики появились 26 августа. На город полетели бомбы с надписями: "Срочно. Берлин, Гитлеру!", "Кровопийце Адольфу от гвардейцев" и другими. 14 сентября организовали налеты на объекты в Румынии, в которых участвовали полки 3-й, 17-й и 45-й дивизий. Бомбили Бухарест, Плоешти с его нефтеперегонными заводами и порт Галац на Дунае.</w:t>
      </w:r>
    </w:p>
    <w:p w14:paraId="25100AE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таких дальних рейдах остро сказывались недостатки Ил-4. Полет длился до 12 часов. Все это время от пилота требовалось неусыпное внимание. Недостаточная продольная устойчивость, ухудшившаяся на модификации ДБ-ЗФ и продолжавшая ухудшаться после перехода к экипажу из четырех человек и установки дополнительного оборудования, не давали летчику ни минуты покоя. Автопилоты стояли только на единичных машинах (до конца 1942 г. на фронт отправили около 60 самолетов с АВП-12), причем в "болтанку" их предписывали отключать (гидравлика pea- Штурман гировала слишком медленно). Иногда на по- в кабине Ил-4 мощь пилоту подключался штурман, вставлявший в гнездо съемную ручку управления и дававший командиру немного отдохнуть.</w:t>
      </w:r>
    </w:p>
    <w:p w14:paraId="737EFC15"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Можно привести мнение дважды Героя Советского Союза А.И. Молодчего: "...по своей природе Ил-4 неустойчив, каждую секунду норовит завалиться в крен, уйти с курса, забрать или опустить нос. Нужно беспрерывно крутить штурвал, чтобы самолет летел в заданном режиме". А вот что писал летавший в ту пору на Ил-4 В. В. Решетников: "Управление нельзя было бросить ни на секунду: при самой идеальной нейтральной регулировке руля высоты машина с брошенным управлением без раздумий, совершенно произвольно лезла вверх или, если ей так вздумается, заваливалась с ускорением вниз. Она нахально "висела" на руках и в длительных Группа Ил-4 многочасовых полетах выматывала пилотов на полевом изрядно. Грешна была этим, матушка". Чрезвычайно утомительным являлся полет при отказе одного мотора. Парируя тенденцию к развороту, летчик постоянно был вынужден давить на педаль, поскольку триммер не компенсировал полностью асимметрию тяги. Этот дефект сохранился практически до последних серий бомбардировщиков (12021).</w:t>
      </w:r>
    </w:p>
    <w:p w14:paraId="6999AC5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7633A4"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24 июля 1942 командующий КБФ отдал приказ приступить к полетам на "свободную охоту" в Финском заливе, но штаб ВВС еще некоторое время оставался верным практике предварительной воздушной разведки. Поскольку наладить ее оперативность по-прежнему не удавалось, вылеты торпедоносцев оставались редким явлением - два раза в августе и один раз в сентябре. Видимый успех достигался в каждом случае, но ни разу он не был подтвержден современными данными. Например, 27 августа пара Ил-4 в сопровождении 10 "Харрикейнов" атаковала "три транспорта" в Нарвском заливе и наблюдала потопление одного, якобы в результате попадания торпеды, сброшенной В.А. Балебиным. Реально нападению подверглась группа тральщиков из состава немецкой 3-й флотилии, которая доложила, что ее атаковали два торпедоносца, после чего наблюдались следы торпед, прошедших на значительном расстоянии. Судя по всему, прицелиться нашим пилотам помешал плотный </w:t>
      </w:r>
      <w:r w:rsidRPr="001E2C69">
        <w:rPr>
          <w:rFonts w:ascii="Times New Roman" w:hAnsi="Times New Roman"/>
          <w:color w:val="000000" w:themeColor="text1"/>
          <w:sz w:val="16"/>
          <w:szCs w:val="16"/>
        </w:rPr>
        <w:lastRenderedPageBreak/>
        <w:t>заградительный огонь главного калибра тральщиков - при падении каждого 105-мм снаряда вверх поднимался столб воды высотой 10-15 м, встреча с которым сулила самолету немедленную гибель.</w:t>
      </w:r>
    </w:p>
    <w:p w14:paraId="1CA7FBD6"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Тем временем основные усилия 1-го гмтап были сосредоточены на ночных налетах на железнодорожные станции и аэродромы противника. Интенсивность вылетов по сравнению с предыдущими месяцами выросла примерно в два раза. Делалось это в связи с планировавшейся операцией по деблокаде Ленинграда. Операция состоялась в сентябре - октябре и завершилась крупной неудачей - немцам удалось окружить часть ударной группировки Волховского фронта в лесных массивах в районе Синявино. Правда, их войска тоже понесли серьезные потери и израсходовали множество бомб и снарядов, что сорвало планировавшееся наступление на Ленинград. В ходе этих налетов полк и понес свои основные боевые потери. В первой половине сентября один за другим пропали без вести машины ст. л-т Овсянникова, капитанов Зотова, Кузнецова и Пушкина. Тогда предполагали, что их сбили ночные истребители противника, но ставшие известными в настоящее время материалы противника не подтверждают это предположение. В результате к 22 сентября численный состав полка сократился практически вдвое: там насчитывалось всего 9/8 Ил-4, 4/4 ДВ-ЗБ и 3/3 СБ. Вылетов на морском направлении по-прежнему совершались единицы.</w:t>
      </w:r>
    </w:p>
    <w:p w14:paraId="737511B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Регулярными полеты торпедоносцев стали только с 8 октября, уже при новом командире полка Герое Советского Союза майоре Н.В. Челнокове. Еще в июле 41-го бывший комэск-1 временно покинул родной полк, чтобы возглавить свежесфор- мированную эскадрилью штурмовиков Ил-2. Эскадрилья воевала в составе 57-го бап. С 20.8.1941 до конца года Челноков лично произвел 58 вылетов на штурмовике, в ходе которых в группе уничтожил 51 танк, 148 автомашин, 123 фургона, 43 зенитных пушки, 18 бронемашин. 22 орудия и миномета и т.д. Указом от 14.6.1942 Н.В. Челноков был удостоен звания Героя Советского Союза, практически одновременно получил назначение на должность помощника командира 1-го гмтап. 9 августа он сменил на этой должности Е.Н. Преображенского, который стал командиром 8-й бомбардировочной бригады, куда по-прежнему входил и 1-й гмтап.</w:t>
      </w:r>
    </w:p>
    <w:p w14:paraId="6D36670F"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Отчаявшись наладить взаимодействие между разведчиками и торпедоносцами, командование ВВС КБФ пошло на то. чтобы разрешить полеты на "свободную охоту", хотя и понимало, что этот метод ущербен. Почти каждый день на поиск вылетала пара торпедоносцев, зачастую возвращавшаяся из-за плохой погоды или неисправностей материальной части. Когда же погода оказывалась лучше, наших летчиков ожидали неприятные сюрпризы. 13 октября пара, возглавляемая Балебиным, безуспешно атаковала группу сторожевиков и на обратном пути была перехвачена шестеркой финских "фоккеров". Воздушным стрелкам якобы удалось сбить двоих преследователей, но оба "ильюшиных" получили по 30-40 пулевых пробоин и с трудом дотянули до базы. 19-го Балебин атаковал миноносец (реально - финский сторожевой корабль), на следующий день экипаж Пяткова, по донесению, потопил "небольшой транспорт" южнее Ханко (немецкий охотник "Uj 1214"). 22 октября паре торпедоносцев не удалось обнаружить целей, чего не скажешь о финских истребителях, атаковавших наших при возвращении. Один из "ильюшиных" получил весьма серьезные повреждения, но дотянул до базы. После этого случая вылеты продолжились исключительно в сопровождении истребителей, однако практика показала, что это не решает проблемы. 25-го пара Ил-4. возвращавшаяся после "успешной" атаки крупного транспорта в сопровождении "Харрикейнов". была атакована шестеркой вражеских охотников. Торпедоносцам удалось оторваться от преследования, но двое из числа сопровождавших рухнули в воду (12002).</w:t>
      </w:r>
    </w:p>
    <w:p w14:paraId="5B1C9DC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DD30A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lang w:val="en-US"/>
        </w:rPr>
        <w:t>July 24, 1942: Large numbers of Russian troops are liquidated in and around Rostov after German troops secure the city (3819).</w:t>
      </w:r>
    </w:p>
    <w:p w14:paraId="07A08FAD"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5B49007"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июля 1942 немцы захватили Ростов и пошли на Кавказ (512,212).</w:t>
      </w:r>
    </w:p>
    <w:p w14:paraId="6B062E83"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334CD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июля 1942 вышло Постановление ГКО № 2087 О строительстве резервных телеграфно-телефонных узлов и обходных линий связи Закавказья, Нижний Волочек на Урал для связи с центром страны. РГАНИР, Фонд ГКО, д. 47, лл. 108-109 (11012).</w:t>
      </w:r>
    </w:p>
    <w:p w14:paraId="36182B60"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44D61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июля 1942 вышло Постановление ГКО № 2088 О сформировании восемнадцати армейских полков ПВО для девяти танковых армий. РГАНИР, Фонд ГКО, д. 47, лл. 110 (11012).</w:t>
      </w:r>
    </w:p>
    <w:p w14:paraId="63D636DA"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0324C2"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июля 1942 командующий КБФ отдал приказ приступить к полетам на «свободную охоту» в Финском заливе, однако, последующие вылеты состоялись только 9, 27 августа и 20 сентября. Видимый успех был достигнут только 27 августа, когда пара Ил-4 в сопровождении 10 «Харрикейнов» атаковала «три транспорта» в Нарвском заливе и наблюдала потопление одного (реально не подтверждается). Регулярными полеты на «свободную охоту» стали только с 8 октября уже при новом командире полка Герое Советского Союза майоре Н.В.Челнокове (сменил Е.Н.Преображенского 9 августа). Почти каждый день на поиск вылетала пара торпедоносцев, зачастую возвращавшаяся из-за плохой погоды или неисправностей материальной части (9965).</w:t>
      </w:r>
    </w:p>
    <w:p w14:paraId="0FA5FEF8"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33376C"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июля 1942 Издание директивы Ставки Верховного Главнокомандования о возрастающей роли связи в обеспечении управления войсками (11072).</w:t>
      </w:r>
    </w:p>
    <w:p w14:paraId="3DE22771" w14:textId="77777777" w:rsidR="00AE7191" w:rsidRPr="001E2C69" w:rsidRDefault="00AE7191" w:rsidP="00722885">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0FE19C"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Жизнь и внутренняя политика:</w:t>
      </w:r>
    </w:p>
    <w:p w14:paraId="044EE30F" w14:textId="77777777" w:rsidR="00AE7191" w:rsidRPr="001E2C69" w:rsidRDefault="00AE7191" w:rsidP="00722885">
      <w:pPr>
        <w:pStyle w:val="Iauiue"/>
        <w:jc w:val="both"/>
        <w:rPr>
          <w:iCs/>
          <w:color w:val="000000" w:themeColor="text1"/>
          <w:sz w:val="16"/>
          <w:szCs w:val="16"/>
        </w:rPr>
      </w:pPr>
    </w:p>
    <w:p w14:paraId="6169719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июля 1942 вышло Постановление ГКО № 2085 Об эвакуации скота из районов Краснодарского края, Ростовской и Сталинградской областей. РГАНИР, Фонд ГКО, д. 46, лл. 102 (11012).</w:t>
      </w:r>
    </w:p>
    <w:p w14:paraId="2536AD95"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DADE1CE"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24 июля 1942 Илья Эренбург в “Красной Звезде” выдвинул лозунг “Убей немца” (4962).</w:t>
      </w:r>
    </w:p>
    <w:p w14:paraId="52BC69E9" w14:textId="77777777" w:rsidR="00AE7191" w:rsidRPr="001E2C69" w:rsidRDefault="00AE7191" w:rsidP="00722885">
      <w:pPr>
        <w:pStyle w:val="Iauiue"/>
        <w:tabs>
          <w:tab w:val="left" w:pos="11199"/>
        </w:tabs>
        <w:jc w:val="both"/>
        <w:rPr>
          <w:color w:val="000000" w:themeColor="text1"/>
          <w:sz w:val="16"/>
          <w:szCs w:val="16"/>
        </w:rPr>
      </w:pPr>
    </w:p>
    <w:p w14:paraId="2137F3D3"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7A91B9DE" w14:textId="77777777" w:rsidR="00AE7191" w:rsidRPr="001E2C69" w:rsidRDefault="00AE7191" w:rsidP="00722885">
      <w:pPr>
        <w:pStyle w:val="Iauiue"/>
        <w:jc w:val="both"/>
        <w:rPr>
          <w:iCs/>
          <w:color w:val="000000" w:themeColor="text1"/>
          <w:sz w:val="16"/>
          <w:szCs w:val="16"/>
        </w:rPr>
      </w:pPr>
    </w:p>
    <w:p w14:paraId="43948025"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24 июля 1942 Финляндия тайно предложила США сделку: финны переходят на сторону союзников в случае, если американцы гарантируют защиту Финляндии от советской агрессии (4962).</w:t>
      </w:r>
    </w:p>
    <w:p w14:paraId="3304E714" w14:textId="77777777" w:rsidR="00AE7191" w:rsidRPr="001E2C69" w:rsidRDefault="00AE7191" w:rsidP="00722885">
      <w:pPr>
        <w:pStyle w:val="Iauiue"/>
        <w:tabs>
          <w:tab w:val="left" w:pos="11199"/>
        </w:tabs>
        <w:jc w:val="both"/>
        <w:rPr>
          <w:color w:val="000000" w:themeColor="text1"/>
          <w:sz w:val="16"/>
          <w:szCs w:val="16"/>
        </w:rPr>
      </w:pPr>
    </w:p>
    <w:p w14:paraId="5E21C9B9"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5144A7C8" w14:textId="77777777" w:rsidR="00AE7191" w:rsidRPr="001E2C69" w:rsidRDefault="00AE7191" w:rsidP="00722885">
      <w:pPr>
        <w:pStyle w:val="Iauiue"/>
        <w:jc w:val="both"/>
        <w:rPr>
          <w:iCs/>
          <w:color w:val="000000" w:themeColor="text1"/>
          <w:sz w:val="16"/>
          <w:szCs w:val="16"/>
        </w:rPr>
      </w:pPr>
    </w:p>
    <w:p w14:paraId="51E57ADF" w14:textId="77777777" w:rsidR="008E0C53" w:rsidRPr="001E2C69" w:rsidRDefault="008E0C53"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период с 25 по 30 июля 1942 установки РС-82, смонтированные на левом крыле на одном из серийных Ил-2 для стрельбы назад прошли испытания в воздухе с целью проверки эффективности самой идеи и оценки безопасности стрельбы. Ракетная установка представляла собой батарею из трех РО-82, перевернутых на 180° в горизонтальной плоскости и закрепленных на двух кронштейнах (ракетные снаряды «не висят на штифте, а находятся сверху балки, обращенные своим стабилизатором вперед по направлению полета»). Кронштейны крепились сверху к силовым элементам крыла. Расстояние от оси самолета до среднего ракетного орудия составляло 3,5 м и находилось вне плоскости, ометаемой воздушным винтом. В вертикальной плоскости ось правого (по направлению полета) орудия составляла +5°, ось среднего – +4,5°, ось левого – +6° с осью самолета. В горизонтальной плоскости оси орудий отстояли от строительной оси самолета на следующие углы: правое – +1°, среднее – +2,5°, левое – +4°. Электропроводка от штатных РО-82 (под левой плоскостью) на время испытаний была «перекинута к опытной батарее 3РО-82». Поэтому управление стрельбой ничем не отличалось от стрельбы из ракетных орудий, расположенных под крылом, и осуществлялось при помощи ЭСБР-3п. Прицеливание выполнялось «на глаз», что называется, «в сторону противника». Максимальная скорость полета Ил-2 с батареей 3РО-82 уменьшилась на 12 км/ч. В то же время конструкция установки позволяла выполнять все допустимые фигуры пилотажа. В воздухе стреляли РСами как одиночно, так и залпом из трех снарядов. Замедление срабатывания взрывателей АГДТ устанавливалось на 4 и 2,2 с. Все ракетные снаряды сработали после пуска штатно. Стрельбы показали, что газовая струя от РС «вредного воздействия на обшивку крыла не оказывала», дефектов крепления батареи на самолете не обнаружили. Рассеивание разрывов снарядов при стрельбе назад с Ил-2 получилось заметно меньше, чем при стрельбе из аналогичной установки с самолета Пе-2 (установка проходила испытания на НИП АВ с 20 по 25 июня 1942 г.), но все равно было слишком велико для обеспечения приемлемой эффективности действия по неприятельским истребителям. Это объяснялось неэффективностью стабилизатора ракетного снаряда «на первом метре его полета с момента схода РС с РО и до момента увеличения собственной скорости РС свыше 90–95 м/с, когда воздушный поток воздействует на стабилизатор в направлении обратном нормальному». Кроме того, при минимальной установке АГДТ на 2,2 с ракетные снаряды разрывались на удалении 380–420 м от самолета. Угол превышения точки разрыва над самолетом лежал в пределах 24°. Делалось заключение, что «данная батарея РО не может защитить Ил-2 от атаки сзади с близких дистанций (менее 400 м) со стороны верхней задней полусферы под углом большим 25°». В то же время увеличить установочный угол ракетных орудий более 8–10° не представлялось возможным, так как при этом резко ухудшалась аэродинамика самолета и возрастало рассеивание при стрельбе. Был сделан следующий вывод: «Применение батареи РО-82 в целях поражения истребителей противника является тактически нецелесообразным, так как: а) невозможно в воздухе вести прицельную стрельбу из-за большого рассеивания даже при наличии специальных прицелов; б) атаки истребителей с близких дистанций и с пикирования отразить нельзя; в) боекомплект 3 РС-82 не обеспечивает защиты Ил-2 при многократных атаках». Соответственно, заключение полигона по установке на самолет Ил-2 ракетных орудий для стрельбы назад было отрицательным. При этом считалось необходимым «ускорить разработку установки создающей эффективную огневую защиту самолета Ил-2 в области верхней задней полусферы» (19776).</w:t>
      </w:r>
    </w:p>
    <w:p w14:paraId="6BA7A755" w14:textId="77777777" w:rsidR="008E0C53" w:rsidRPr="001E2C69" w:rsidRDefault="008E0C53" w:rsidP="00722885">
      <w:pPr>
        <w:spacing w:after="0" w:line="240" w:lineRule="auto"/>
        <w:jc w:val="both"/>
        <w:rPr>
          <w:rFonts w:ascii="Times New Roman" w:hAnsi="Times New Roman"/>
          <w:color w:val="000000" w:themeColor="text1"/>
          <w:sz w:val="16"/>
          <w:szCs w:val="16"/>
        </w:rPr>
      </w:pPr>
    </w:p>
    <w:p w14:paraId="19CB5E6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июля 1942 вышло Постановление ГКО № 2090 Об экономии алюминия в авиационной промышленности. РГАНИР, Фонд ГКО, д. 47, лл. 125 (11012).</w:t>
      </w:r>
    </w:p>
    <w:p w14:paraId="29F1F023"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8EE96BC"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25 июля 1942 г. по</w:t>
      </w:r>
      <w:r w:rsidRPr="008A2E5A">
        <w:rPr>
          <w:rFonts w:ascii="Times New Roman" w:hAnsi="Times New Roman"/>
          <w:color w:val="0070C0"/>
          <w:sz w:val="16"/>
          <w:szCs w:val="16"/>
        </w:rPr>
        <w:softHyphen/>
        <w:t>сле выхода постановления ГКО №2090 «Об экономии алюминия в авиационной промышлен</w:t>
      </w:r>
      <w:r w:rsidRPr="008A2E5A">
        <w:rPr>
          <w:rFonts w:ascii="Times New Roman" w:hAnsi="Times New Roman"/>
          <w:color w:val="0070C0"/>
          <w:sz w:val="16"/>
          <w:szCs w:val="16"/>
        </w:rPr>
        <w:softHyphen/>
        <w:t>ности» тематику исследований существенно расшири</w:t>
      </w:r>
      <w:r w:rsidRPr="008A2E5A">
        <w:rPr>
          <w:rFonts w:ascii="Times New Roman" w:hAnsi="Times New Roman"/>
          <w:color w:val="0070C0"/>
          <w:sz w:val="16"/>
          <w:szCs w:val="16"/>
        </w:rPr>
        <w:softHyphen/>
        <w:t>ли. Начиная с января 1943 г. под руководством профессора Н.Н. Чулицкого путем штамповки-формования с контактным подогревом из шпона на смолах или смоля</w:t>
      </w:r>
      <w:r w:rsidRPr="008A2E5A">
        <w:rPr>
          <w:rFonts w:ascii="Times New Roman" w:hAnsi="Times New Roman"/>
          <w:color w:val="0070C0"/>
          <w:sz w:val="16"/>
          <w:szCs w:val="16"/>
        </w:rPr>
        <w:softHyphen/>
        <w:t>ных клеях изготовили вначале профили: угол, швеллер, двутавр, п-образный, а потом ряд крупных блоков дета</w:t>
      </w:r>
      <w:r w:rsidRPr="008A2E5A">
        <w:rPr>
          <w:rFonts w:ascii="Times New Roman" w:hAnsi="Times New Roman"/>
          <w:color w:val="0070C0"/>
          <w:sz w:val="16"/>
          <w:szCs w:val="16"/>
        </w:rPr>
        <w:softHyphen/>
        <w:t>лей и агрегатов для самолета Як-7 (посадочные щитки, киль, руль направления, элероны, тоннель водорадиатора со створкой). При этом установили, что деревян</w:t>
      </w:r>
      <w:r w:rsidRPr="008A2E5A">
        <w:rPr>
          <w:rFonts w:ascii="Times New Roman" w:hAnsi="Times New Roman"/>
          <w:color w:val="0070C0"/>
          <w:sz w:val="16"/>
          <w:szCs w:val="16"/>
        </w:rPr>
        <w:softHyphen/>
        <w:t>ные конструкции, а также конструкции комбинирован</w:t>
      </w:r>
      <w:r w:rsidRPr="008A2E5A">
        <w:rPr>
          <w:rFonts w:ascii="Times New Roman" w:hAnsi="Times New Roman"/>
          <w:color w:val="0070C0"/>
          <w:sz w:val="16"/>
          <w:szCs w:val="16"/>
        </w:rPr>
        <w:softHyphen/>
        <w:t>ные из шпона и металла, ориентированные на эту тех</w:t>
      </w:r>
      <w:r w:rsidRPr="008A2E5A">
        <w:rPr>
          <w:rFonts w:ascii="Times New Roman" w:hAnsi="Times New Roman"/>
          <w:color w:val="0070C0"/>
          <w:sz w:val="16"/>
          <w:szCs w:val="16"/>
        </w:rPr>
        <w:softHyphen/>
        <w:t>нологию, могут быть легче аналогичных металлических (например, вес посадочных щитков Як-7Б из древес</w:t>
      </w:r>
      <w:r w:rsidRPr="008A2E5A">
        <w:rPr>
          <w:rFonts w:ascii="Times New Roman" w:hAnsi="Times New Roman"/>
          <w:color w:val="0070C0"/>
          <w:sz w:val="16"/>
          <w:szCs w:val="16"/>
        </w:rPr>
        <w:softHyphen/>
        <w:t>ных пластиков составил 9,8, а металлических - 11,2 кг) и вместе с тем менее трудоемкими.</w:t>
      </w:r>
    </w:p>
    <w:p w14:paraId="241987EB"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Большую часть отработанных опытным производст</w:t>
      </w:r>
      <w:r w:rsidRPr="008A2E5A">
        <w:rPr>
          <w:rFonts w:ascii="Times New Roman" w:hAnsi="Times New Roman"/>
          <w:color w:val="0070C0"/>
          <w:sz w:val="16"/>
          <w:szCs w:val="16"/>
        </w:rPr>
        <w:softHyphen/>
        <w:t>вом перечисленных выше агрегатов так и не примени</w:t>
      </w:r>
      <w:r w:rsidRPr="008A2E5A">
        <w:rPr>
          <w:rFonts w:ascii="Times New Roman" w:hAnsi="Times New Roman"/>
          <w:color w:val="0070C0"/>
          <w:sz w:val="16"/>
          <w:szCs w:val="16"/>
        </w:rPr>
        <w:softHyphen/>
        <w:t>ли на самолетах Як-7. Киль, руль направления и элеро</w:t>
      </w:r>
      <w:r w:rsidRPr="008A2E5A">
        <w:rPr>
          <w:rFonts w:ascii="Times New Roman" w:hAnsi="Times New Roman"/>
          <w:color w:val="0070C0"/>
          <w:sz w:val="16"/>
          <w:szCs w:val="16"/>
        </w:rPr>
        <w:softHyphen/>
        <w:t>ны успешно прошли статические испытания, тоннель водорадиатора со створкой - эксплуатационные, и только посадочные щитки - летные. По указанию А.С. Яковлева, отданному 27 декабря 1942 г., начались работы по при</w:t>
      </w:r>
      <w:r w:rsidRPr="008A2E5A">
        <w:rPr>
          <w:rFonts w:ascii="Times New Roman" w:hAnsi="Times New Roman"/>
          <w:color w:val="0070C0"/>
          <w:sz w:val="16"/>
          <w:szCs w:val="16"/>
        </w:rPr>
        <w:softHyphen/>
        <w:t>менению в производстве заменителей дюралюминия, и уже в феврале 1943 г. филиал ОКБ завода №115 закончил сборкой и начал испытания самолета Як-7Б №3115301, на котором установили посадочные щитки, выполнен</w:t>
      </w:r>
      <w:r w:rsidRPr="008A2E5A">
        <w:rPr>
          <w:rFonts w:ascii="Times New Roman" w:hAnsi="Times New Roman"/>
          <w:color w:val="0070C0"/>
          <w:sz w:val="16"/>
          <w:szCs w:val="16"/>
        </w:rPr>
        <w:softHyphen/>
        <w:t>ные из древесных пластиков. Из-за дефицита листово</w:t>
      </w:r>
      <w:r w:rsidRPr="008A2E5A">
        <w:rPr>
          <w:rFonts w:ascii="Times New Roman" w:hAnsi="Times New Roman"/>
          <w:color w:val="0070C0"/>
          <w:sz w:val="16"/>
          <w:szCs w:val="16"/>
        </w:rPr>
        <w:softHyphen/>
        <w:t>го дюраля (расход которого на заводе №153 увеличил</w:t>
      </w:r>
      <w:r w:rsidRPr="008A2E5A">
        <w:rPr>
          <w:rFonts w:ascii="Times New Roman" w:hAnsi="Times New Roman"/>
          <w:color w:val="0070C0"/>
          <w:sz w:val="16"/>
          <w:szCs w:val="16"/>
        </w:rPr>
        <w:softHyphen/>
        <w:t>ся в связи с внедрением в серийное производство са</w:t>
      </w:r>
      <w:r w:rsidRPr="008A2E5A">
        <w:rPr>
          <w:rFonts w:ascii="Times New Roman" w:hAnsi="Times New Roman"/>
          <w:color w:val="0070C0"/>
          <w:sz w:val="16"/>
          <w:szCs w:val="16"/>
        </w:rPr>
        <w:softHyphen/>
        <w:t>молетов Як-9 с металлическими лонжеронами) опытная машина также получила деревянное хвостовое оперение обычной, как у Як-1, конструкции, деревянные, противо</w:t>
      </w:r>
      <w:r w:rsidRPr="008A2E5A">
        <w:rPr>
          <w:rFonts w:ascii="Times New Roman" w:hAnsi="Times New Roman"/>
          <w:color w:val="0070C0"/>
          <w:sz w:val="16"/>
          <w:szCs w:val="16"/>
        </w:rPr>
        <w:softHyphen/>
        <w:t>пожарную перегородку и диафрагмы в зализах, отделяю</w:t>
      </w:r>
      <w:r w:rsidRPr="008A2E5A">
        <w:rPr>
          <w:rFonts w:ascii="Times New Roman" w:hAnsi="Times New Roman"/>
          <w:color w:val="0070C0"/>
          <w:sz w:val="16"/>
          <w:szCs w:val="16"/>
        </w:rPr>
        <w:softHyphen/>
        <w:t>щие кабину от моторного отсека.</w:t>
      </w:r>
    </w:p>
    <w:p w14:paraId="028019BE"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своим габаритным размерам деревянные щитки ни</w:t>
      </w:r>
      <w:r w:rsidRPr="008A2E5A">
        <w:rPr>
          <w:rFonts w:ascii="Times New Roman" w:hAnsi="Times New Roman"/>
          <w:color w:val="0070C0"/>
          <w:sz w:val="16"/>
          <w:szCs w:val="16"/>
        </w:rPr>
        <w:softHyphen/>
        <w:t>чем не отличались от серийных металлических. Их силовой набор состоял из профильного деревянного лонжерона, выклеенного из березового шпона, концевых стрингеров и нервюр, связанных поверх фанерными кницами. Основное полотно обшивки выполнили из трехмиллиметровой баке</w:t>
      </w:r>
      <w:r w:rsidRPr="008A2E5A">
        <w:rPr>
          <w:rFonts w:ascii="Times New Roman" w:hAnsi="Times New Roman"/>
          <w:color w:val="0070C0"/>
          <w:sz w:val="16"/>
          <w:szCs w:val="16"/>
        </w:rPr>
        <w:softHyphen/>
        <w:t>литовой фанеры. Для сборки всей конструкции применял</w:t>
      </w:r>
      <w:r w:rsidRPr="008A2E5A">
        <w:rPr>
          <w:rFonts w:ascii="Times New Roman" w:hAnsi="Times New Roman"/>
          <w:color w:val="0070C0"/>
          <w:sz w:val="16"/>
          <w:szCs w:val="16"/>
        </w:rPr>
        <w:softHyphen/>
        <w:t>ся смоляной клей КБ-3. Вес деревянных щитков составил 9,8 кг против 11,2 кг у металлических. Щитки соединялись с крылом при помощи серийных металлических петель, при</w:t>
      </w:r>
      <w:r w:rsidRPr="008A2E5A">
        <w:rPr>
          <w:rFonts w:ascii="Times New Roman" w:hAnsi="Times New Roman"/>
          <w:color w:val="0070C0"/>
          <w:sz w:val="16"/>
          <w:szCs w:val="16"/>
        </w:rPr>
        <w:softHyphen/>
        <w:t>клепанных к обшивке и стрингеру. Механизм открывания и закрывания щитков обычный серийный. Прочность щит</w:t>
      </w:r>
      <w:r w:rsidRPr="008A2E5A">
        <w:rPr>
          <w:rFonts w:ascii="Times New Roman" w:hAnsi="Times New Roman"/>
          <w:color w:val="0070C0"/>
          <w:sz w:val="16"/>
          <w:szCs w:val="16"/>
        </w:rPr>
        <w:softHyphen/>
        <w:t>ков проверялась при планировании самолета с открыты</w:t>
      </w:r>
      <w:r w:rsidRPr="008A2E5A">
        <w:rPr>
          <w:rFonts w:ascii="Times New Roman" w:hAnsi="Times New Roman"/>
          <w:color w:val="0070C0"/>
          <w:sz w:val="16"/>
          <w:szCs w:val="16"/>
        </w:rPr>
        <w:softHyphen/>
        <w:t>ми щитками на различных скоростях до 350 км/ч (условие ухода на второй круг при посадке). Испытания показали, что щитки обладают достаточной прочностью. За все вре</w:t>
      </w:r>
      <w:r w:rsidRPr="008A2E5A">
        <w:rPr>
          <w:rFonts w:ascii="Times New Roman" w:hAnsi="Times New Roman"/>
          <w:color w:val="0070C0"/>
          <w:sz w:val="16"/>
          <w:szCs w:val="16"/>
        </w:rPr>
        <w:softHyphen/>
        <w:t>мя испытаний, с 28 февраля по 3 апреля, самолет находил</w:t>
      </w:r>
      <w:r w:rsidRPr="008A2E5A">
        <w:rPr>
          <w:rFonts w:ascii="Times New Roman" w:hAnsi="Times New Roman"/>
          <w:color w:val="0070C0"/>
          <w:sz w:val="16"/>
          <w:szCs w:val="16"/>
        </w:rPr>
        <w:softHyphen/>
        <w:t>ся на открытом воздухе. Деформации щитков от действия атмосферных условий не наблюдалось.</w:t>
      </w:r>
    </w:p>
    <w:p w14:paraId="07683990"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Деревянные конструкции испытывались с перспекти</w:t>
      </w:r>
      <w:r w:rsidRPr="008A2E5A">
        <w:rPr>
          <w:rFonts w:ascii="Times New Roman" w:hAnsi="Times New Roman"/>
          <w:color w:val="0070C0"/>
          <w:sz w:val="16"/>
          <w:szCs w:val="16"/>
        </w:rPr>
        <w:softHyphen/>
        <w:t>вой внедрения в серийное производство в мае 1943 г. Однако алюминиевый голод вскоре удалось ликвидиро</w:t>
      </w:r>
      <w:r w:rsidRPr="008A2E5A">
        <w:rPr>
          <w:rFonts w:ascii="Times New Roman" w:hAnsi="Times New Roman"/>
          <w:color w:val="0070C0"/>
          <w:sz w:val="16"/>
          <w:szCs w:val="16"/>
        </w:rPr>
        <w:softHyphen/>
        <w:t>вать, в том числе за счет поставок по ленд-лизу, поэтому конструкцию Як-7Б изменять не стали. Кроме изготовле</w:t>
      </w:r>
      <w:r w:rsidRPr="008A2E5A">
        <w:rPr>
          <w:rFonts w:ascii="Times New Roman" w:hAnsi="Times New Roman"/>
          <w:color w:val="0070C0"/>
          <w:sz w:val="16"/>
          <w:szCs w:val="16"/>
        </w:rPr>
        <w:softHyphen/>
        <w:t>ния чисто деревянных конструкций, специалисты ВИАМ также разработали технологию склеивания шпона со ста</w:t>
      </w:r>
      <w:r w:rsidRPr="008A2E5A">
        <w:rPr>
          <w:rFonts w:ascii="Times New Roman" w:hAnsi="Times New Roman"/>
          <w:color w:val="0070C0"/>
          <w:sz w:val="16"/>
          <w:szCs w:val="16"/>
        </w:rPr>
        <w:softHyphen/>
        <w:t>лью и дюралем и определили характеристики основных физико-механических свойств композиций из шпона и металла - временное сопротивление сжатию и растяже</w:t>
      </w:r>
      <w:r w:rsidRPr="008A2E5A">
        <w:rPr>
          <w:rFonts w:ascii="Times New Roman" w:hAnsi="Times New Roman"/>
          <w:color w:val="0070C0"/>
          <w:sz w:val="16"/>
          <w:szCs w:val="16"/>
        </w:rPr>
        <w:softHyphen/>
        <w:t>нию, модуль упругости при растяжении (23381).</w:t>
      </w:r>
    </w:p>
    <w:p w14:paraId="4474EAE2" w14:textId="77777777" w:rsidR="00F62933" w:rsidRPr="008A2E5A" w:rsidRDefault="00F62933" w:rsidP="00F62933">
      <w:pPr>
        <w:spacing w:after="0" w:line="240" w:lineRule="auto"/>
        <w:jc w:val="both"/>
        <w:rPr>
          <w:rFonts w:ascii="Times New Roman" w:hAnsi="Times New Roman"/>
          <w:color w:val="0070C0"/>
          <w:sz w:val="16"/>
          <w:szCs w:val="16"/>
        </w:rPr>
      </w:pPr>
    </w:p>
    <w:p w14:paraId="41962A3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июля 1942 вышло Постановление ГКО № 2092 Вопрос НКАП. РГАНИР, Фонд ГКО, д. 47, лл. 127 (11012).</w:t>
      </w:r>
    </w:p>
    <w:p w14:paraId="38DE15A3"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AF0D4A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 июля 1942 вышло постановление ГКО N 2092 о строительстве деревянных консолей к ДБ-3Ф (1581,5).</w:t>
      </w:r>
    </w:p>
    <w:p w14:paraId="441AB441" w14:textId="77777777" w:rsidR="00AE7191" w:rsidRPr="001E2C69" w:rsidRDefault="00AE7191" w:rsidP="00722885">
      <w:pPr>
        <w:pStyle w:val="Iauiue"/>
        <w:jc w:val="both"/>
        <w:rPr>
          <w:color w:val="000000" w:themeColor="text1"/>
          <w:sz w:val="16"/>
          <w:szCs w:val="16"/>
        </w:rPr>
      </w:pPr>
    </w:p>
    <w:p w14:paraId="4F81F42F" w14:textId="77777777" w:rsidR="009A1081" w:rsidRPr="001E2C69" w:rsidRDefault="009A108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июля 1942 вышло постановление ГКО N 2092 Вопрос НКАП</w:t>
      </w:r>
    </w:p>
    <w:p w14:paraId="47818F5B" w14:textId="77777777" w:rsidR="009A1081" w:rsidRPr="001E2C69" w:rsidRDefault="009A1081" w:rsidP="00722885">
      <w:pPr>
        <w:tabs>
          <w:tab w:val="left" w:pos="1870"/>
        </w:tabs>
        <w:spacing w:after="0" w:line="240" w:lineRule="auto"/>
        <w:jc w:val="both"/>
        <w:rPr>
          <w:rFonts w:ascii="Times New Roman" w:eastAsia="Gungsuh" w:hAnsi="Times New Roman"/>
          <w:color w:val="000000" w:themeColor="text1"/>
          <w:sz w:val="16"/>
          <w:szCs w:val="16"/>
          <w:lang w:eastAsia="ru-RU"/>
        </w:rPr>
      </w:pPr>
      <w:r w:rsidRPr="001E2C69">
        <w:rPr>
          <w:rFonts w:ascii="Times New Roman" w:eastAsia="Gungsuh" w:hAnsi="Times New Roman"/>
          <w:color w:val="000000" w:themeColor="text1"/>
          <w:sz w:val="16"/>
          <w:szCs w:val="16"/>
          <w:lang w:eastAsia="ru-RU"/>
        </w:rPr>
        <w:t>1. Обязать директора завода № 23 т.Кузина к глав</w:t>
      </w:r>
      <w:r w:rsidRPr="001E2C69">
        <w:rPr>
          <w:rFonts w:ascii="Times New Roman" w:eastAsia="Gungsuh" w:hAnsi="Times New Roman"/>
          <w:color w:val="000000" w:themeColor="text1"/>
          <w:sz w:val="16"/>
          <w:szCs w:val="16"/>
          <w:lang w:eastAsia="ru-RU"/>
        </w:rPr>
        <w:softHyphen/>
        <w:t>ного конструктора т.Ильюшина:</w:t>
      </w:r>
    </w:p>
    <w:p w14:paraId="50657F8F" w14:textId="77777777" w:rsidR="009A1081" w:rsidRPr="001E2C69" w:rsidRDefault="009A1081" w:rsidP="00722885">
      <w:pPr>
        <w:tabs>
          <w:tab w:val="left" w:pos="1893"/>
        </w:tabs>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Gungsuh" w:hAnsi="Times New Roman"/>
          <w:color w:val="000000" w:themeColor="text1"/>
          <w:sz w:val="16"/>
          <w:szCs w:val="16"/>
          <w:lang w:eastAsia="ru-RU"/>
        </w:rPr>
        <w:t>а) закончить две деревянных консоли к самолету ДБЗФ с мотором М82 к 5 августа 1942 г.;</w:t>
      </w:r>
    </w:p>
    <w:p w14:paraId="60DB6132" w14:textId="77777777" w:rsidR="009A1081" w:rsidRPr="001E2C69" w:rsidRDefault="009A1081" w:rsidP="00722885">
      <w:pPr>
        <w:tabs>
          <w:tab w:val="left" w:pos="1818"/>
        </w:tabs>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Gungsuh" w:hAnsi="Times New Roman"/>
          <w:color w:val="000000" w:themeColor="text1"/>
          <w:sz w:val="16"/>
          <w:szCs w:val="16"/>
          <w:lang w:eastAsia="ru-RU"/>
        </w:rPr>
        <w:t>б) две следующих деревянных консоли закончить к 10 августа 1942 г. для самолета с мотором М88, ус</w:t>
      </w:r>
      <w:r w:rsidRPr="001E2C69">
        <w:rPr>
          <w:rFonts w:ascii="Times New Roman" w:eastAsia="Gungsuh" w:hAnsi="Times New Roman"/>
          <w:color w:val="000000" w:themeColor="text1"/>
          <w:sz w:val="16"/>
          <w:szCs w:val="16"/>
          <w:lang w:eastAsia="ru-RU"/>
        </w:rPr>
        <w:softHyphen/>
        <w:t>тановить на самолет и закончить летные испытания к 20 августа.</w:t>
      </w:r>
    </w:p>
    <w:p w14:paraId="5B2CA99B" w14:textId="77777777" w:rsidR="009A1081" w:rsidRPr="001E2C69" w:rsidRDefault="009A1081" w:rsidP="00722885">
      <w:pPr>
        <w:tabs>
          <w:tab w:val="left" w:pos="1870"/>
        </w:tabs>
        <w:spacing w:after="0" w:line="240" w:lineRule="auto"/>
        <w:jc w:val="both"/>
        <w:rPr>
          <w:rFonts w:ascii="Times New Roman" w:eastAsia="Gungsuh" w:hAnsi="Times New Roman"/>
          <w:color w:val="000000" w:themeColor="text1"/>
          <w:sz w:val="16"/>
          <w:szCs w:val="16"/>
          <w:lang w:eastAsia="ru-RU"/>
        </w:rPr>
      </w:pPr>
      <w:r w:rsidRPr="001E2C69">
        <w:rPr>
          <w:rFonts w:ascii="Times New Roman" w:eastAsia="Gungsuh" w:hAnsi="Times New Roman"/>
          <w:color w:val="000000" w:themeColor="text1"/>
          <w:sz w:val="16"/>
          <w:szCs w:val="16"/>
          <w:lang w:eastAsia="ru-RU"/>
        </w:rPr>
        <w:t>2. Главному конструктору т.Ильюшину установить две деревянные консоли на самолет ДБЗФ с М82 к 10 августа и закончить заводские летные испытания самолета к 1 сен</w:t>
      </w:r>
      <w:r w:rsidRPr="001E2C69">
        <w:rPr>
          <w:rFonts w:ascii="Times New Roman" w:eastAsia="Gungsuh" w:hAnsi="Times New Roman"/>
          <w:color w:val="000000" w:themeColor="text1"/>
          <w:sz w:val="16"/>
          <w:szCs w:val="16"/>
          <w:lang w:eastAsia="ru-RU"/>
        </w:rPr>
        <w:softHyphen/>
        <w:t>ря 1942 (19348).</w:t>
      </w:r>
    </w:p>
    <w:p w14:paraId="5B739578" w14:textId="77777777" w:rsidR="009A1081" w:rsidRPr="001E2C69" w:rsidRDefault="009A1081" w:rsidP="00722885">
      <w:pPr>
        <w:pStyle w:val="Iauiue"/>
        <w:jc w:val="both"/>
        <w:rPr>
          <w:color w:val="000000" w:themeColor="text1"/>
          <w:sz w:val="16"/>
          <w:szCs w:val="16"/>
        </w:rPr>
      </w:pPr>
    </w:p>
    <w:p w14:paraId="7C3A079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 июля 1942 вышел приказ НКАП N 561с в обеспечение выполнения заказа УВВС по перевооружению на 400 самолетах Пе-2 верхней установки пулемета ШКАС на установку под пулемет УБТ - 12.7 мм (1584).</w:t>
      </w:r>
    </w:p>
    <w:p w14:paraId="59421461" w14:textId="77777777" w:rsidR="00AE7191" w:rsidRPr="001E2C69" w:rsidRDefault="00AE7191" w:rsidP="00722885">
      <w:pPr>
        <w:pStyle w:val="Iauiue"/>
        <w:jc w:val="both"/>
        <w:rPr>
          <w:color w:val="000000" w:themeColor="text1"/>
          <w:sz w:val="16"/>
          <w:szCs w:val="16"/>
        </w:rPr>
      </w:pPr>
    </w:p>
    <w:p w14:paraId="5714B61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 июля 1942 л 82 завода Попов совершил аварию при испытаниях Як-7, т.к. не выпустилась правая нога (2108).</w:t>
      </w:r>
    </w:p>
    <w:p w14:paraId="50996212" w14:textId="77777777" w:rsidR="00AE7191" w:rsidRPr="001E2C69" w:rsidRDefault="00AE7191" w:rsidP="00722885">
      <w:pPr>
        <w:pStyle w:val="Iauiue"/>
        <w:jc w:val="both"/>
        <w:rPr>
          <w:color w:val="000000" w:themeColor="text1"/>
          <w:sz w:val="16"/>
          <w:szCs w:val="16"/>
        </w:rPr>
      </w:pPr>
    </w:p>
    <w:p w14:paraId="275439B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 июля 1942 был составлен акт в г Пушкино в соответствии с приказом по заводу 82 о причинах посадки Як-7Б N 820301 пилотом Поповым на одну левую ногу с убранной полностью правой ногой (2130).</w:t>
      </w:r>
    </w:p>
    <w:p w14:paraId="6536C78B" w14:textId="77777777" w:rsidR="00AE7191" w:rsidRPr="001E2C69" w:rsidRDefault="00AE7191" w:rsidP="00722885">
      <w:pPr>
        <w:pStyle w:val="Iauiue"/>
        <w:jc w:val="both"/>
        <w:rPr>
          <w:color w:val="000000" w:themeColor="text1"/>
          <w:sz w:val="16"/>
          <w:szCs w:val="16"/>
        </w:rPr>
      </w:pPr>
    </w:p>
    <w:p w14:paraId="019203D4" w14:textId="77777777" w:rsidR="00AE7191" w:rsidRPr="001E2C69" w:rsidRDefault="00AE7191"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25 и 26 июля 1942 на НИПАВ прошел испытания ракетный бронебойный снаряд с кумулятивной боевой частью ка</w:t>
      </w:r>
      <w:r w:rsidRPr="001E2C69">
        <w:rPr>
          <w:rFonts w:ascii="Times New Roman" w:cs="Times New Roman"/>
          <w:color w:val="000000" w:themeColor="text1"/>
          <w:spacing w:val="0"/>
        </w:rPr>
        <w:softHyphen/>
        <w:t>либра 82 мм - РБСК-82. Снаряд был раз</w:t>
      </w:r>
      <w:r w:rsidRPr="001E2C69">
        <w:rPr>
          <w:rFonts w:ascii="Times New Roman" w:cs="Times New Roman"/>
          <w:color w:val="000000" w:themeColor="text1"/>
          <w:spacing w:val="0"/>
        </w:rPr>
        <w:softHyphen/>
        <w:t>работан совместными усилиями НИИ-3 и НИИ-6. Немецкую танковую броню толщи</w:t>
      </w:r>
      <w:r w:rsidRPr="001E2C69">
        <w:rPr>
          <w:rFonts w:ascii="Times New Roman" w:cs="Times New Roman"/>
          <w:color w:val="000000" w:themeColor="text1"/>
          <w:spacing w:val="0"/>
        </w:rPr>
        <w:softHyphen/>
        <w:t>ной 30 мм боеприпас разрушал при любых углах встречи, а 50-мм броню - при нор</w:t>
      </w:r>
      <w:r w:rsidRPr="001E2C69">
        <w:rPr>
          <w:rFonts w:ascii="Times New Roman" w:cs="Times New Roman"/>
          <w:color w:val="000000" w:themeColor="text1"/>
          <w:spacing w:val="0"/>
        </w:rPr>
        <w:softHyphen/>
        <w:t>мальном попадании. Делался вывод, что «РБСК-82 - более эффективен по танкам, чем штатный РС-82». Рассеивание куму</w:t>
      </w:r>
      <w:r w:rsidRPr="001E2C69">
        <w:rPr>
          <w:rFonts w:ascii="Times New Roman" w:cs="Times New Roman"/>
          <w:color w:val="000000" w:themeColor="text1"/>
          <w:spacing w:val="0"/>
        </w:rPr>
        <w:softHyphen/>
        <w:t>лятивного снаряда не отличалось от та</w:t>
      </w:r>
      <w:r w:rsidRPr="001E2C69">
        <w:rPr>
          <w:rFonts w:ascii="Times New Roman" w:cs="Times New Roman"/>
          <w:color w:val="000000" w:themeColor="text1"/>
          <w:spacing w:val="0"/>
        </w:rPr>
        <w:softHyphen/>
        <w:t>кового для РС-82. Основным недостатком считалась малая вероятность попадания в танк и ограниченное их количество - всего 8 снарядов, на самолете Ил-2.</w:t>
      </w:r>
    </w:p>
    <w:p w14:paraId="59A997CF" w14:textId="77777777" w:rsidR="00AE7191" w:rsidRPr="001E2C69" w:rsidRDefault="00AE7191"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 период с 15 октября по 24 ноября 1942 г. РБСК-82 прошел на НИП АВ по</w:t>
      </w:r>
      <w:r w:rsidRPr="001E2C69">
        <w:rPr>
          <w:rFonts w:ascii="Times New Roman" w:cs="Times New Roman"/>
          <w:color w:val="000000" w:themeColor="text1"/>
          <w:spacing w:val="0"/>
        </w:rPr>
        <w:softHyphen/>
        <w:t>вторные полигонные испытания. По ре</w:t>
      </w:r>
      <w:r w:rsidRPr="001E2C69">
        <w:rPr>
          <w:rFonts w:ascii="Times New Roman" w:cs="Times New Roman"/>
          <w:color w:val="000000" w:themeColor="text1"/>
          <w:spacing w:val="0"/>
        </w:rPr>
        <w:softHyphen/>
        <w:t>зультатам стрельб специалисты полиго</w:t>
      </w:r>
      <w:r w:rsidRPr="001E2C69">
        <w:rPr>
          <w:rFonts w:ascii="Times New Roman" w:cs="Times New Roman"/>
          <w:color w:val="000000" w:themeColor="text1"/>
          <w:spacing w:val="0"/>
        </w:rPr>
        <w:softHyphen/>
        <w:t>на рекомендовали принять боеприпас на вооружение ВВС КА как универсальный осколочно-фугасно-бронебойный снаряд. Но решения по нему так и не последовало. Ставка была сделана на мелкокалиберные противотанковые бомбы кумулятивного -елствия, которые показали весьма обнадеживающие результаты (12739).</w:t>
      </w:r>
    </w:p>
    <w:p w14:paraId="5A31B817" w14:textId="77777777" w:rsidR="00AE7191" w:rsidRPr="001E2C69" w:rsidRDefault="00AE7191" w:rsidP="00722885">
      <w:pPr>
        <w:pStyle w:val="27"/>
        <w:shd w:val="clear" w:color="auto" w:fill="auto"/>
        <w:spacing w:after="0" w:line="240" w:lineRule="auto"/>
        <w:ind w:firstLine="0"/>
        <w:rPr>
          <w:rFonts w:ascii="Times New Roman" w:cs="Times New Roman"/>
          <w:color w:val="000000" w:themeColor="text1"/>
          <w:spacing w:val="0"/>
        </w:rPr>
      </w:pPr>
    </w:p>
    <w:p w14:paraId="40703222" w14:textId="77777777" w:rsidR="00C8778C" w:rsidRPr="001E2C69" w:rsidRDefault="00C8778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25 и 26 июля 1942 испытывался РБСК-82. Ведущим инженером по испытаниям был старший техник-лейтенант А. Г. Губин. От НИИ-3 в испытаниях участвовал военинженер 3-го ранга Шитов. Отчет по испытаниям начальник филиала НИП АВ ВВС инженер-полковник Л. П. Лобачев ут</w:t>
      </w:r>
      <w:r w:rsidRPr="001E2C69">
        <w:rPr>
          <w:color w:val="000000" w:themeColor="text1"/>
          <w:sz w:val="16"/>
          <w:szCs w:val="16"/>
        </w:rPr>
        <w:softHyphen/>
        <w:t>вердил 12 августа 1942 г.</w:t>
      </w:r>
    </w:p>
    <w:p w14:paraId="2B400BC8" w14:textId="77777777" w:rsidR="00C8778C" w:rsidRPr="001E2C69" w:rsidRDefault="00C8778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ходе испытаний предполагалось «проверить пригодность и безопасность действия головных взрывателей АМ-А и М-50 ракетных снарядов ку</w:t>
      </w:r>
      <w:r w:rsidRPr="001E2C69">
        <w:rPr>
          <w:color w:val="000000" w:themeColor="text1"/>
          <w:sz w:val="16"/>
          <w:szCs w:val="16"/>
        </w:rPr>
        <w:softHyphen/>
        <w:t>мулятивного действия РБСК-82 при стрельбе по броне». Планировалось «определить бронепроби- ваемость РБСК-82 стрельбой по танкам со станка на земле», а также «характеристики устойчивости РБСК-82 на траектории и вероятные отклонения при стрельбе в воздухе с самолета Ил-2 по назем</w:t>
      </w:r>
      <w:r w:rsidRPr="001E2C69">
        <w:rPr>
          <w:color w:val="000000" w:themeColor="text1"/>
          <w:sz w:val="16"/>
          <w:szCs w:val="16"/>
        </w:rPr>
        <w:softHyphen/>
        <w:t>ным целям».</w:t>
      </w:r>
    </w:p>
    <w:p w14:paraId="5310D1CB" w14:textId="77777777" w:rsidR="00C8778C" w:rsidRPr="001E2C69" w:rsidRDefault="00C8778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Снаряд был разработан совместными усилиями НИИ-3 и НИИ-6. Немецкую танковую броню толщиной 30 мм бое- припас разрушал при любых углах встречи, а 50-мм броню — при нормальном попадании. Как отмеча</w:t>
      </w:r>
      <w:r w:rsidRPr="001E2C69">
        <w:rPr>
          <w:color w:val="000000" w:themeColor="text1"/>
          <w:sz w:val="16"/>
          <w:szCs w:val="16"/>
        </w:rPr>
        <w:softHyphen/>
        <w:t>лось в отчете, снаряды «обладают большой фугас</w:t>
      </w:r>
      <w:r w:rsidRPr="001E2C69">
        <w:rPr>
          <w:color w:val="000000" w:themeColor="text1"/>
          <w:sz w:val="16"/>
          <w:szCs w:val="16"/>
        </w:rPr>
        <w:softHyphen/>
        <w:t>ной волной, способной разрушить броню до 15 мм при непосредственном попадании или при взры</w:t>
      </w:r>
      <w:r w:rsidRPr="001E2C69">
        <w:rPr>
          <w:color w:val="000000" w:themeColor="text1"/>
          <w:sz w:val="16"/>
          <w:szCs w:val="16"/>
        </w:rPr>
        <w:softHyphen/>
        <w:t>ве на удалении 0,5 м от брони». Делался вывод, что «РБСК-82 — более эффективен по танкам, чем штатный РС-82». Рассеивание кумулятивного снаря</w:t>
      </w:r>
      <w:r w:rsidRPr="001E2C69">
        <w:rPr>
          <w:color w:val="000000" w:themeColor="text1"/>
          <w:sz w:val="16"/>
          <w:szCs w:val="16"/>
        </w:rPr>
        <w:softHyphen/>
        <w:t>да не отличалось от такового для РС-82. Основным недостатком считалась малая вероятность попада</w:t>
      </w:r>
      <w:r w:rsidRPr="001E2C69">
        <w:rPr>
          <w:color w:val="000000" w:themeColor="text1"/>
          <w:sz w:val="16"/>
          <w:szCs w:val="16"/>
        </w:rPr>
        <w:softHyphen/>
        <w:t>ния в танк и ограниченное их количество — всего 8 снарядов — на самолете Ил-2.</w:t>
      </w:r>
    </w:p>
    <w:p w14:paraId="474D464B" w14:textId="77777777" w:rsidR="00C8778C" w:rsidRPr="001E2C69" w:rsidRDefault="00C8778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Снаряды испытывались в двух вариантах сна</w:t>
      </w:r>
      <w:r w:rsidRPr="001E2C69">
        <w:rPr>
          <w:color w:val="000000" w:themeColor="text1"/>
          <w:sz w:val="16"/>
          <w:szCs w:val="16"/>
        </w:rPr>
        <w:softHyphen/>
        <w:t>ряжения ВВ: тротил и сплав 70/30 (тротил с гек- согеном). Снаряды с тротилом имели очко под взрыватель АМ-А, а снаряды со сплавом 70/30 — взрыватель М-50. Взрыватели имели капсюль на- кольного действия типа АПУВ. Ракетная часть РБСК-82 — штатная, от ракетных снарядов М-8, сна</w:t>
      </w:r>
      <w:r w:rsidRPr="001E2C69">
        <w:rPr>
          <w:color w:val="000000" w:themeColor="text1"/>
          <w:sz w:val="16"/>
          <w:szCs w:val="16"/>
        </w:rPr>
        <w:softHyphen/>
        <w:t>ряженных пироксилиновым порохом.</w:t>
      </w:r>
    </w:p>
    <w:p w14:paraId="7A8E7426" w14:textId="77777777" w:rsidR="00C8778C" w:rsidRPr="001E2C69" w:rsidRDefault="00C8778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Головная часть РБСК-82 состояла из стального цилиндра с толщиной стенок 8 мм. В переднюю часть цилиндра закатывался конус из листового железа. При помощи этого конуса создавалась вы</w:t>
      </w:r>
      <w:r w:rsidRPr="001E2C69">
        <w:rPr>
          <w:color w:val="000000" w:themeColor="text1"/>
          <w:sz w:val="16"/>
          <w:szCs w:val="16"/>
        </w:rPr>
        <w:softHyphen/>
        <w:t>емка во взрывчатом веществе, залитом в цилиндр головки снаряда. По центру цилиндра проходила трубка, которая служила «для передачи луча ог</w:t>
      </w:r>
      <w:r w:rsidRPr="001E2C69">
        <w:rPr>
          <w:color w:val="000000" w:themeColor="text1"/>
          <w:sz w:val="16"/>
          <w:szCs w:val="16"/>
        </w:rPr>
        <w:softHyphen/>
        <w:t>ня от накольного капсюля к капсюлю-детонатору ТАТ-1». Оживальная часть головки изготавливалась из листового железа и закатывалась на переднюю часть цилиндра.</w:t>
      </w:r>
    </w:p>
    <w:p w14:paraId="460ACBE4" w14:textId="77777777" w:rsidR="00C8778C" w:rsidRPr="001E2C69" w:rsidRDefault="00C8778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общей сложности в ходе испытаний было из</w:t>
      </w:r>
      <w:r w:rsidRPr="001E2C69">
        <w:rPr>
          <w:color w:val="000000" w:themeColor="text1"/>
          <w:sz w:val="16"/>
          <w:szCs w:val="16"/>
        </w:rPr>
        <w:softHyphen/>
        <w:t>расходовано 40 штук РБСК-82, из них 18 — стрель</w:t>
      </w:r>
      <w:r w:rsidRPr="001E2C69">
        <w:rPr>
          <w:color w:val="000000" w:themeColor="text1"/>
          <w:sz w:val="16"/>
          <w:szCs w:val="16"/>
        </w:rPr>
        <w:softHyphen/>
        <w:t>бой в воздухе, остальные — на земле. Обстрели</w:t>
      </w:r>
      <w:r w:rsidRPr="001E2C69">
        <w:rPr>
          <w:color w:val="000000" w:themeColor="text1"/>
          <w:sz w:val="16"/>
          <w:szCs w:val="16"/>
        </w:rPr>
        <w:softHyphen/>
        <w:t xml:space="preserve">вались трофейные немецкие танки </w:t>
      </w:r>
      <w:r w:rsidRPr="001E2C69">
        <w:rPr>
          <w:color w:val="000000" w:themeColor="text1"/>
          <w:sz w:val="16"/>
          <w:szCs w:val="16"/>
          <w:lang w:val="en-US"/>
        </w:rPr>
        <w:t>Pz</w:t>
      </w:r>
      <w:r w:rsidRPr="001E2C69">
        <w:rPr>
          <w:color w:val="000000" w:themeColor="text1"/>
          <w:sz w:val="16"/>
          <w:szCs w:val="16"/>
        </w:rPr>
        <w:t>.</w:t>
      </w:r>
      <w:r w:rsidRPr="001E2C69">
        <w:rPr>
          <w:color w:val="000000" w:themeColor="text1"/>
          <w:sz w:val="16"/>
          <w:szCs w:val="16"/>
          <w:lang w:val="en-US"/>
        </w:rPr>
        <w:t>III</w:t>
      </w:r>
      <w:r w:rsidRPr="001E2C69">
        <w:rPr>
          <w:color w:val="000000" w:themeColor="text1"/>
          <w:sz w:val="16"/>
          <w:szCs w:val="16"/>
        </w:rPr>
        <w:t xml:space="preserve">, </w:t>
      </w:r>
      <w:r w:rsidRPr="001E2C69">
        <w:rPr>
          <w:color w:val="000000" w:themeColor="text1"/>
          <w:sz w:val="16"/>
          <w:szCs w:val="16"/>
          <w:lang w:val="en-US"/>
        </w:rPr>
        <w:t>StuG</w:t>
      </w:r>
      <w:r w:rsidRPr="001E2C69">
        <w:rPr>
          <w:color w:val="000000" w:themeColor="text1"/>
          <w:sz w:val="16"/>
          <w:szCs w:val="16"/>
        </w:rPr>
        <w:t xml:space="preserve"> III и чешский танк </w:t>
      </w:r>
      <w:r w:rsidRPr="001E2C69">
        <w:rPr>
          <w:color w:val="000000" w:themeColor="text1"/>
          <w:sz w:val="16"/>
          <w:szCs w:val="16"/>
          <w:lang w:val="en-US"/>
        </w:rPr>
        <w:t>Pz</w:t>
      </w:r>
      <w:r w:rsidRPr="001E2C69">
        <w:rPr>
          <w:color w:val="000000" w:themeColor="text1"/>
          <w:sz w:val="16"/>
          <w:szCs w:val="16"/>
        </w:rPr>
        <w:t>.38 (</w:t>
      </w:r>
      <w:r w:rsidRPr="001E2C69">
        <w:rPr>
          <w:color w:val="000000" w:themeColor="text1"/>
          <w:sz w:val="16"/>
          <w:szCs w:val="16"/>
          <w:lang w:val="en-US"/>
        </w:rPr>
        <w:t>t</w:t>
      </w:r>
      <w:r w:rsidRPr="001E2C69">
        <w:rPr>
          <w:color w:val="000000" w:themeColor="text1"/>
          <w:sz w:val="16"/>
          <w:szCs w:val="16"/>
        </w:rPr>
        <w:t>) с усиленным бронирова</w:t>
      </w:r>
      <w:r w:rsidRPr="001E2C69">
        <w:rPr>
          <w:color w:val="000000" w:themeColor="text1"/>
          <w:sz w:val="16"/>
          <w:szCs w:val="16"/>
        </w:rPr>
        <w:softHyphen/>
        <w:t>нием.</w:t>
      </w:r>
    </w:p>
    <w:p w14:paraId="273CCDDC" w14:textId="77777777" w:rsidR="00C8778C" w:rsidRPr="001E2C69" w:rsidRDefault="00C8778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На земле стрельба велась с пусковой установки на 6 снарядов, устанавливаемой на различные дис</w:t>
      </w:r>
      <w:r w:rsidRPr="001E2C69">
        <w:rPr>
          <w:color w:val="000000" w:themeColor="text1"/>
          <w:sz w:val="16"/>
          <w:szCs w:val="16"/>
        </w:rPr>
        <w:softHyphen/>
        <w:t>танции от танков. Прицеливание осуществлялось с помощью простейшего механического прицела.</w:t>
      </w:r>
    </w:p>
    <w:p w14:paraId="62B23734" w14:textId="77777777" w:rsidR="00C8778C" w:rsidRPr="001E2C69" w:rsidRDefault="00C8778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 xml:space="preserve">Стрельба в воздухе велась по танку </w:t>
      </w:r>
      <w:r w:rsidRPr="001E2C69">
        <w:rPr>
          <w:color w:val="000000" w:themeColor="text1"/>
          <w:sz w:val="16"/>
          <w:szCs w:val="16"/>
          <w:lang w:val="en-US"/>
        </w:rPr>
        <w:t>StuG</w:t>
      </w:r>
      <w:r w:rsidRPr="001E2C69">
        <w:rPr>
          <w:color w:val="000000" w:themeColor="text1"/>
          <w:sz w:val="16"/>
          <w:szCs w:val="16"/>
        </w:rPr>
        <w:t xml:space="preserve"> III с пи</w:t>
      </w:r>
      <w:r w:rsidRPr="001E2C69">
        <w:rPr>
          <w:color w:val="000000" w:themeColor="text1"/>
          <w:sz w:val="16"/>
          <w:szCs w:val="16"/>
        </w:rPr>
        <w:softHyphen/>
        <w:t>кирования под углом 30° залпами по 2—4 снаряда в одном заходе. Дистанция стрельбы 200 м. Всего было выполнено 3 полета. Снаряды показали хо</w:t>
      </w:r>
      <w:r w:rsidRPr="001E2C69">
        <w:rPr>
          <w:color w:val="000000" w:themeColor="text1"/>
          <w:sz w:val="16"/>
          <w:szCs w:val="16"/>
        </w:rPr>
        <w:softHyphen/>
        <w:t>рошую устойчивость на траектории полета, но ни одного опадания в танк получить не удалось.</w:t>
      </w:r>
    </w:p>
    <w:p w14:paraId="69FCAE43" w14:textId="77777777" w:rsidR="00C8778C" w:rsidRPr="001E2C69" w:rsidRDefault="00C8778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Основные же результаты стрельб сводились к следующему. Ракетный бронебойный снаряд ку</w:t>
      </w:r>
      <w:r w:rsidRPr="001E2C69">
        <w:rPr>
          <w:color w:val="000000" w:themeColor="text1"/>
          <w:sz w:val="16"/>
          <w:szCs w:val="16"/>
        </w:rPr>
        <w:softHyphen/>
        <w:t>мулятивного действия РБСК-82, снаряженный спла</w:t>
      </w:r>
      <w:r w:rsidRPr="001E2C69">
        <w:rPr>
          <w:color w:val="000000" w:themeColor="text1"/>
          <w:sz w:val="16"/>
          <w:szCs w:val="16"/>
        </w:rPr>
        <w:softHyphen/>
        <w:t>вом 70/30, «производит разрушения брони 30 мм под любыми углами встречи и с любым взрыва</w:t>
      </w:r>
      <w:r w:rsidRPr="001E2C69">
        <w:rPr>
          <w:color w:val="000000" w:themeColor="text1"/>
          <w:sz w:val="16"/>
          <w:szCs w:val="16"/>
        </w:rPr>
        <w:softHyphen/>
        <w:t>телем», а броню толщиной 50 мм «пробивает под прямым углом, но не пробивает под углом встречи 30° (60° к перпендикуляру к поверхности)». Счита</w:t>
      </w:r>
      <w:r w:rsidRPr="001E2C69">
        <w:rPr>
          <w:color w:val="000000" w:themeColor="text1"/>
          <w:sz w:val="16"/>
          <w:szCs w:val="16"/>
        </w:rPr>
        <w:softHyphen/>
        <w:t>лось, что этот эффект является следствием запаз</w:t>
      </w:r>
      <w:r w:rsidRPr="001E2C69">
        <w:rPr>
          <w:color w:val="000000" w:themeColor="text1"/>
          <w:sz w:val="16"/>
          <w:szCs w:val="16"/>
        </w:rPr>
        <w:softHyphen/>
        <w:t>дывания в срабатывании взрывателя «от рикошета и кумулятивная струя формируется при деформи</w:t>
      </w:r>
      <w:r w:rsidRPr="001E2C69">
        <w:rPr>
          <w:color w:val="000000" w:themeColor="text1"/>
          <w:sz w:val="16"/>
          <w:szCs w:val="16"/>
        </w:rPr>
        <w:softHyphen/>
        <w:t>рованном конусе». Снаряды РБСК-82 в тротиловом снаряжении пробивали броню толщиной 30 мм лишь под углами встречи не менее 30°, а броню 50 мм не пробивали ни при каких условиях попа</w:t>
      </w:r>
      <w:r w:rsidRPr="001E2C69">
        <w:rPr>
          <w:color w:val="000000" w:themeColor="text1"/>
          <w:sz w:val="16"/>
          <w:szCs w:val="16"/>
        </w:rPr>
        <w:softHyphen/>
        <w:t>дания. Отверстия, получаемые при сквозном про</w:t>
      </w:r>
      <w:r w:rsidRPr="001E2C69">
        <w:rPr>
          <w:color w:val="000000" w:themeColor="text1"/>
          <w:sz w:val="16"/>
          <w:szCs w:val="16"/>
        </w:rPr>
        <w:softHyphen/>
        <w:t>битии брони, имели диаметр до 35 мм. При этом в большинстве случаев пробитие брони сопрово</w:t>
      </w:r>
      <w:r w:rsidRPr="001E2C69">
        <w:rPr>
          <w:color w:val="000000" w:themeColor="text1"/>
          <w:sz w:val="16"/>
          <w:szCs w:val="16"/>
        </w:rPr>
        <w:softHyphen/>
        <w:t>ждалось отколом брони вокруг выходного отвер</w:t>
      </w:r>
      <w:r w:rsidRPr="001E2C69">
        <w:rPr>
          <w:color w:val="000000" w:themeColor="text1"/>
          <w:sz w:val="16"/>
          <w:szCs w:val="16"/>
        </w:rPr>
        <w:softHyphen/>
        <w:t>стия. Кроме того, как отмечалось в отчете, снаряды «обладают большой фугасной волной, способной разрушить броню до 15 мм при непосредственном попадании или при взрыве на удалении 0,5 м от брони».</w:t>
      </w:r>
    </w:p>
    <w:p w14:paraId="1DB64185" w14:textId="77777777" w:rsidR="00C8778C" w:rsidRPr="001E2C69" w:rsidRDefault="00C8778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Делался вывод, что «РБСК-82 — более эффек</w:t>
      </w:r>
      <w:r w:rsidRPr="001E2C69">
        <w:rPr>
          <w:color w:val="000000" w:themeColor="text1"/>
          <w:sz w:val="16"/>
          <w:szCs w:val="16"/>
        </w:rPr>
        <w:softHyphen/>
        <w:t>тивен по танкам, чем штатный РС-82». Рассеивание кумулятивного снаряда не отличается от такового для РС-82. Взрыватели АМ-А и М-50 работают без</w:t>
      </w:r>
      <w:r w:rsidRPr="001E2C69">
        <w:rPr>
          <w:color w:val="000000" w:themeColor="text1"/>
          <w:sz w:val="16"/>
          <w:szCs w:val="16"/>
        </w:rPr>
        <w:softHyphen/>
        <w:t>отказно. Основным недостатком является малая вероятность попадания в танк.</w:t>
      </w:r>
    </w:p>
    <w:p w14:paraId="73FC447C" w14:textId="77777777" w:rsidR="00C8778C" w:rsidRPr="001E2C69" w:rsidRDefault="00C8778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lastRenderedPageBreak/>
        <w:t>В заключении отчета по испытаниям началь</w:t>
      </w:r>
      <w:r w:rsidRPr="001E2C69">
        <w:rPr>
          <w:color w:val="000000" w:themeColor="text1"/>
          <w:sz w:val="16"/>
          <w:szCs w:val="16"/>
        </w:rPr>
        <w:softHyphen/>
        <w:t>ник стрелково-пушечного отделения полигона ин</w:t>
      </w:r>
      <w:r w:rsidRPr="001E2C69">
        <w:rPr>
          <w:color w:val="000000" w:themeColor="text1"/>
          <w:sz w:val="16"/>
          <w:szCs w:val="16"/>
        </w:rPr>
        <w:softHyphen/>
        <w:t>женер-майор А. Я. Филиппов и ведущий инженер старший техник-лейтенант А. Г. Губин зафиксиро</w:t>
      </w:r>
      <w:r w:rsidRPr="001E2C69">
        <w:rPr>
          <w:color w:val="000000" w:themeColor="text1"/>
          <w:sz w:val="16"/>
          <w:szCs w:val="16"/>
        </w:rPr>
        <w:softHyphen/>
        <w:t>вали: «1) Представленные на испытания ракетные снаряды РБСК-82, представляющие собой новый метод бронепробиваемости за счет кумулятивного эффекта, показали удовлетворительные результаты при прямом попадании в танк с наземной установ</w:t>
      </w:r>
      <w:r w:rsidRPr="001E2C69">
        <w:rPr>
          <w:color w:val="000000" w:themeColor="text1"/>
          <w:sz w:val="16"/>
          <w:szCs w:val="16"/>
        </w:rPr>
        <w:softHyphen/>
        <w:t>ки. 2) Считать целесообразным изготовить опытную партию в 100 шт. и проверить эффективность по цели».</w:t>
      </w:r>
    </w:p>
    <w:p w14:paraId="2FDC3997" w14:textId="77777777" w:rsidR="00C8778C" w:rsidRPr="001E2C69" w:rsidRDefault="00C8778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Однако в массовое серийное производство та</w:t>
      </w:r>
      <w:r w:rsidRPr="001E2C69">
        <w:rPr>
          <w:color w:val="000000" w:themeColor="text1"/>
          <w:sz w:val="16"/>
          <w:szCs w:val="16"/>
        </w:rPr>
        <w:softHyphen/>
        <w:t>кой боеприпас не пошел, надо полагать, по при</w:t>
      </w:r>
      <w:r w:rsidRPr="001E2C69">
        <w:rPr>
          <w:color w:val="000000" w:themeColor="text1"/>
          <w:sz w:val="16"/>
          <w:szCs w:val="16"/>
        </w:rPr>
        <w:softHyphen/>
        <w:t>чине отсутствия явного преимущества в боевой эффективности по сравнению с противотанковыми авиационными бомбами. Действительно, посколь ку кассеты мелких бомб Ил-2 вмещали до 200— 300 противотанковых бомб, то обеспечивалась довольно высокая вероятность прямого попада</w:t>
      </w:r>
      <w:r w:rsidRPr="001E2C69">
        <w:rPr>
          <w:color w:val="000000" w:themeColor="text1"/>
          <w:sz w:val="16"/>
          <w:szCs w:val="16"/>
        </w:rPr>
        <w:softHyphen/>
        <w:t>ния в танки, даже в рассредоточенных боевых по</w:t>
      </w:r>
      <w:r w:rsidRPr="001E2C69">
        <w:rPr>
          <w:color w:val="000000" w:themeColor="text1"/>
          <w:sz w:val="16"/>
          <w:szCs w:val="16"/>
        </w:rPr>
        <w:softHyphen/>
        <w:t>рядках (17500).</w:t>
      </w:r>
    </w:p>
    <w:p w14:paraId="2E9A291A" w14:textId="77777777" w:rsidR="00C8778C" w:rsidRPr="001E2C69" w:rsidRDefault="00C8778C" w:rsidP="00722885">
      <w:pPr>
        <w:spacing w:after="0" w:line="240" w:lineRule="auto"/>
        <w:jc w:val="both"/>
        <w:rPr>
          <w:rFonts w:ascii="Times New Roman" w:eastAsia="Times New Roman" w:hAnsi="Times New Roman"/>
          <w:color w:val="000000" w:themeColor="text1"/>
          <w:sz w:val="16"/>
          <w:szCs w:val="16"/>
          <w:lang w:eastAsia="ru-RU"/>
        </w:rPr>
      </w:pPr>
    </w:p>
    <w:p w14:paraId="6B279CB7"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69B40340" w14:textId="77777777" w:rsidR="00AE7191" w:rsidRPr="001E2C69" w:rsidRDefault="00AE7191" w:rsidP="00722885">
      <w:pPr>
        <w:pStyle w:val="Iauiue"/>
        <w:jc w:val="both"/>
        <w:rPr>
          <w:iCs/>
          <w:color w:val="000000" w:themeColor="text1"/>
          <w:sz w:val="16"/>
          <w:szCs w:val="16"/>
        </w:rPr>
      </w:pPr>
    </w:p>
    <w:p w14:paraId="39EDA84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25 июля по 16 августа 1942 года на Софринском артиллерийском полигоне по инициативе ГАУ КА прошли полигонные испытания опытного образца СГ-122 в объеме 234 выстрела и 50 километров пробега. В целом отмечалось, что кучность и скорострельность (при малых углах возвышения — 11–12 выстрелов в минуту, при больших — 5 выстрелов в минуту) у СГ-122 вполне удовлетворительные и практически соответствующие таковым для 122-мм полевой гаубицы М-30. В процессе ходовых испытаний отмечался недостаточный обзор с места механика-водителя (особенно вправо по ходу) и трудность вождения самоходки по пересеченной местности из-за смешения центра тяжести машины вперёд.</w:t>
      </w:r>
    </w:p>
    <w:p w14:paraId="6D5EB46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изготовлении новых образцов СГ-122 комиссия, испытывавшая опытный образец, рекомендовала смонтировать откидные сиденья для экипажа и установить защиту панорамы гаубицы (в виде секторного броневого колпака).</w:t>
      </w:r>
    </w:p>
    <w:p w14:paraId="653C3EE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Несмотря на нежелание (в общем-то обоснованное) ГАБТУ КА заниматься СГ-122, руководство ГАУ КА и наркомата вооружения сумело «пробить» свою машину на самом верху (12688).</w:t>
      </w:r>
    </w:p>
    <w:p w14:paraId="53469350"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58E4B03" w14:textId="77777777" w:rsidR="00C8778C" w:rsidRPr="001E2C69" w:rsidRDefault="00C877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25 июля 1942 начались и 16 августа закончились испытания опытного образца СГ-122. Вышедшая на них самоходная установка имела массу изменений по сравнению с изначальным проектом.</w:t>
      </w:r>
    </w:p>
    <w:p w14:paraId="4EE0A1F5" w14:textId="77777777" w:rsidR="00C8778C" w:rsidRPr="001E2C69" w:rsidRDefault="00C877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Наибольшая скорость движения машины по шоссе, достигнутая на испытаниях, составила 50 км/ч, а по бездорожью – 30 км/ч. Всего за время испытаний СГ-122 преодолела 50 километров, в основном по бездорожью. Средняя скорость движения составила 15 км/ч, при этом машина расходовала 300 литров топлива на 100 километров. Бездорожье машина преодолело вполне спокойно, но при этом испытатели указывали, что вести СГ-122 тяжело, поскольку центр тяжести оказался смещён к передней части. Был зафиксирован случай возгорания фрикциона. Кроме того, отмечался повышенный износ бандажей опорных катков.</w:t>
      </w:r>
    </w:p>
    <w:p w14:paraId="1AB2151D" w14:textId="77777777" w:rsidR="00C8778C" w:rsidRPr="001E2C69" w:rsidRDefault="00C877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Испытания стрельбой были проведены в гораздо большем объёме, чем планировалось изначально. Из гаубицы было произведено 234 выстрела, почти в 5 раз больше, чем предполагалось. В ходе стрельбы прицел сбивался на 1–2 деления, но в целом кучность была признана удовлетворительной. Скорострельность, в зависимости от угла наводки орудия, достигала от 5 до 11–12 выстрелов в минуту. Удобство обслуживания орудия было признано вполне удовлетворительным, как и размещение боеприпасов. Время перехода САУ из походного положения в боевое составляло 20–25 секунд. Места для экипажа было вполне достаточно. Правда, сидение имелось только у механика-водителя.</w:t>
      </w:r>
    </w:p>
    <w:p w14:paraId="3CE0BC99" w14:textId="77777777" w:rsidR="00C8778C" w:rsidRPr="001E2C69" w:rsidRDefault="00C877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целом испытания были признаны успешными. По их итогам КБ завода №592 получило задание разместить в боевом отделении откидные сидения для остальных членов экипажа, сделать бронировку панорамного прицела и упрочнить крепление обоймы для спускового крючка (17663).</w:t>
      </w:r>
    </w:p>
    <w:p w14:paraId="14B002DD" w14:textId="77777777" w:rsidR="00C8778C" w:rsidRPr="001E2C69" w:rsidRDefault="00C8778C" w:rsidP="00722885">
      <w:pPr>
        <w:pStyle w:val="12a"/>
        <w:shd w:val="clear" w:color="auto" w:fill="auto"/>
        <w:spacing w:after="0" w:line="240" w:lineRule="auto"/>
        <w:jc w:val="both"/>
        <w:rPr>
          <w:color w:val="000000" w:themeColor="text1"/>
          <w:sz w:val="16"/>
          <w:szCs w:val="16"/>
        </w:rPr>
      </w:pPr>
    </w:p>
    <w:p w14:paraId="62628877"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июля 1942 года</w:t>
      </w:r>
    </w:p>
    <w:p w14:paraId="791A1FC2"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РГАЭ Фонд 8752 Опись 4 Дело 92 лист 340 – 338</w:t>
      </w:r>
    </w:p>
    <w:p w14:paraId="7A415035"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СЕКРЕТНО</w:t>
      </w:r>
    </w:p>
    <w:p w14:paraId="36AEEF79"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 НАРОДНОГО КОМИССАРИАТА ТАНКОВОЙ ПРОМЫШЛЕННОСТИ СОЮЗА ССР № 546с</w:t>
      </w:r>
    </w:p>
    <w:p w14:paraId="7025D649"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Москва</w:t>
      </w:r>
    </w:p>
    <w:p w14:paraId="769AACD8"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июля 1942 года.</w:t>
      </w:r>
    </w:p>
    <w:p w14:paraId="26E5E444"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Опыт работы заводов Наркомата за прошедшее полугодие 1942 г. указывает на крайнюю слабость в организации и качественном проведении исследовательских работ. Несмотря на наличие приказов и указаний Наркомтанкопрома о запрещении каких бы то ни было конструктивных изменений без надлежащего качественного проведения исследований, имеют место факты недопустимого упрощенческого подхода к проведению исследований и даже игнорирование таковых. Например:</w:t>
      </w:r>
    </w:p>
    <w:p w14:paraId="5C72B9AD"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на Сталинградском тракторном заводе с января по март месяц с.г. проводились испытания танка Т-34 с новой конструкцией бортовых передач бесструнного типа с подшипниками с цилиндрическими роликами. Решение о вводе на серийное производство указанных бортовых передач было принято заводом без утверждения НКТП и ГАБТУ КА после первого этапа испытаний, несмотря на наличие заключений представителей ГАБТУ КА и главного конструктора завода о допустимости ввода этой конструкции только после проведения окончательных испытаний и утверждения акта таковых в установленном порядке. Помимо этого, в процессе последующего серийного производства, без всяких испытаний, подшипники с цилиндрическими роликами были заменены коническими роликоподшипниками.</w:t>
      </w:r>
    </w:p>
    <w:p w14:paraId="384A0BCC"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По заводу № 112 без проведения испытаний и согласования с главным конструктором решением главного металлурга были введены непроверенные заменители металла наиболее ответственных деталей танка, что вскоре было отменено приказом по Наркомату.</w:t>
      </w:r>
    </w:p>
    <w:p w14:paraId="0BB364CF"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По заводу № 183 в июне с.г. по требованию представителя заказчика были проведены пробеговые испытания 4-х танков Т-34 на израсходование полной заправки горючего и смазки. Эти испытания были организованы и проведены производственным цехом (150) без утвержденной главным инженером и главным конструктором программы. Экспериментальный цех завода и конструкторы в этих испытаниях участия не принимали. Рассмотрение актов испытаний 12 – 17 июня с.г. показывает:</w:t>
      </w:r>
    </w:p>
    <w:p w14:paraId="7C2F088D"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В актах не указан ряд необходимых данных об условиях, в которых протекало испытание, как например: состояние дорог, температура окружающего воздуха, скорости движения, в течение какого времени наступил перегрев масла в моторе и т.д.</w:t>
      </w:r>
    </w:p>
    <w:p w14:paraId="336801A2"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В актах перечислен ряд дефектов, обнаруженных как в процессе испытания, так и при осмотре в цехе по окончании таковых, а в выводах все эти дефекты обойдены и даже написано: "Основные агрегаты танков ведут себя хорошо". В одном акте сделано указание лишь на низкое качество траков и влияние на их разрушение колес с внутренней амортизацией. В тоже время в другом акте ни слова не сказано о качестве траков несмотря на то, что целью испытаний являлось установление качества последних.</w:t>
      </w:r>
    </w:p>
    <w:p w14:paraId="381379CC"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Акты, подписанные начальником серийного цеха 150 т. ШЕБЕЛЬНИКОВЫМ, ст. контрольным мастером цеха 159 т. АРТЕМЕНКО и представителями заказчика, без утверждения гл. инженера завода и главного конструктора и без согласования со ст. военным представителем ГАБТУ КА, вручены представителям ГАБТУ КА для отправки в ГАБТУ КА.</w:t>
      </w:r>
    </w:p>
    <w:p w14:paraId="5E3447B2"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Аналогичные случаи имеют место в той или иной степени и на остальных заводах Наркомата. Одной из причин подобной недопустимой практики является слабость экспериментальных цехов заводов, неукомплектованность их квалифицированными кадрами испытателей и исследователей, а также недостаточное внимание и недооценка значения исследовательской работы со стороны главных инженеров и главных конструкторов заводов.</w:t>
      </w:r>
    </w:p>
    <w:p w14:paraId="16AF6789"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наведения порядка в организации и проведении исследовательской работы, с целью обеспечения повышения качества выпускаемых заводами Наркомата танков и моторов, ПРИКАЗЫВАЮ:</w:t>
      </w:r>
    </w:p>
    <w:p w14:paraId="6223AD83"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Установить для всякого рода испытаний танков и моторов как внутризаводских, так и проводимых по требованию представителей заказчика, следующий порядок:</w:t>
      </w:r>
    </w:p>
    <w:p w14:paraId="0DC46404"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Все испытания танков и моторов, по своему объему и характеру выходящие за рамки сдаточных испытаний ежесуточной продукции заводов, проводить под руководством работников экспериментальных цехов и конструкторов.</w:t>
      </w:r>
    </w:p>
    <w:p w14:paraId="423DB6BC"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Для каждого испытания составляется план и программа, в которой должно быть указано: цель, преследуемая проведением испытаний, условия, в которых будут проводиться испытания, методика проведения испытаний и перечень данных, подлежащих наблюдению.</w:t>
      </w:r>
    </w:p>
    <w:p w14:paraId="5498167F"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План и программа, составленные работниками экспериментальных цехов по согласованию с конструкторским бюро и представителями ГАБТУ КА утверждаются главным конструктором и главным инженером завода и согласовываются со ст. военпредом завода.</w:t>
      </w:r>
    </w:p>
    <w:p w14:paraId="69A3FBEC"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При проведении испытаний работниками экспериментальных цехов ведутся все записи данных и величин в соответствии с программой.</w:t>
      </w:r>
    </w:p>
    <w:p w14:paraId="53047B41"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 Лицо, возглавляющее проведение испытаний, несет всю ответственность как за подготовку и проведение их, так и за правильное оформление результатов испытаний в виде акта.</w:t>
      </w:r>
    </w:p>
    <w:p w14:paraId="6DF94361"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 В акте испытаний должно быть указано: цель испытаний; условия, в которых они проводились; результаты наблюдений данных, предписанных программой; обнаруженные дефекты; заключение на основе полученных данных и дефектов и, наконец, выводы и предложения.</w:t>
      </w:r>
    </w:p>
    <w:p w14:paraId="0E9AC71E"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ж) Акты испытаний и их результаты утверждаются главным конструктором и главным инженером завода и согласовываются ст. военпредом ГАБТУ КА.</w:t>
      </w:r>
    </w:p>
    <w:p w14:paraId="62D58C82"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 Если испытания носили характер сдаточных для определения допустимости ввода на серийное производство того или иного изменения конструкции, необходимо при получении положительных результатов испытаний, помимо акта по испытаниям, составить протокол для представления данного изменения на утверждение НКТП и ГАБТУ КА к вводу в серийное производство. Протокол составляется главным конструктором, согласовывается с главным технологом и главным металлургом и утверждается главным инженером завода и ст. военпредом ГАБТУ КА.</w:t>
      </w:r>
    </w:p>
    <w:p w14:paraId="357C436D"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2. Для систематизации проверки качества выпускаемых заводами НКТП танков и моторов установить обязательное проведение ежемесячно испытания одного танка на пробег длительностью на полное израсходование заправки горючего. Кроме того, заводами в соответствии с договорами и техническими условиями проводятся гарантийные и длительные пробеги по особой программе.</w:t>
      </w:r>
    </w:p>
    <w:p w14:paraId="7B336B29"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Директору завода № 183 т. МАКСАРЕВУ по танку Т-34 и директору Кировского завода т. МАХОНИНУ по танку КВ разработать типовые программы контрольных ежемесячных испытаний танков на пробег на расход полной заправки горючего и представить таковые к 5.VIII.42 года на мое утверждение.</w:t>
      </w:r>
    </w:p>
    <w:p w14:paraId="7EA2F76E"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Главным инженерам заводов Наркомата принять меры к улучшению организации работы экспериментальных цехов и укомплектованию их высококвалифицированными кадрами работников в соответствии с настоящим приказом.</w:t>
      </w:r>
    </w:p>
    <w:p w14:paraId="4CFB3AC2"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Обращаю внимание директоров заводов, главных инженеров, главных конструкторов, начальников экспериментальных цехов, исследователей и конструкторов на безусловную необходимость принятия всех мер к высококачественному проведению исследовательских работ, как непременного условия дальнейшего повышения качества и надежности в боевой эксплоатации наших танков.</w:t>
      </w:r>
    </w:p>
    <w:p w14:paraId="5D0A11CC"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Контроль за выполнением настоящего приказа возлагаю на зам. начальника 2-го отдела т. Гинзбурга С.А.</w:t>
      </w:r>
    </w:p>
    <w:p w14:paraId="66599979"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НАРОДНОГО КОМИССАРА ТАНКОВОЙ ПРОМЫШЛЕННОСТИ СОЮЗА ССР подпись (П. ЗЕРНОВ) (21227).</w:t>
      </w:r>
    </w:p>
    <w:p w14:paraId="1661930C" w14:textId="77777777" w:rsidR="006B5C1C" w:rsidRPr="001E2C69" w:rsidRDefault="006B5C1C" w:rsidP="00722885">
      <w:pPr>
        <w:spacing w:after="0" w:line="240" w:lineRule="auto"/>
        <w:jc w:val="both"/>
        <w:rPr>
          <w:rFonts w:ascii="Times New Roman" w:hAnsi="Times New Roman"/>
          <w:color w:val="000000" w:themeColor="text1"/>
          <w:sz w:val="16"/>
          <w:szCs w:val="16"/>
        </w:rPr>
      </w:pPr>
    </w:p>
    <w:p w14:paraId="54DC424A"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25 июля 1942 г. Приказ № 546с Наркомата танковой промышленности СССР об улучшении организации исследовательских работ и испытаний танков и моторов </w:t>
      </w:r>
    </w:p>
    <w:p w14:paraId="20E7E81A"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7BBFF167"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Опыт работы заводов наркомата за прошедшее полугодие 1942 г. указывает на крайнюю слабость в организации и качественном проведении исследовательских работ. Несмотря на наличие приказов и указаний Наркомтанкопрома о запрещении каких бы то ни было конструктивных изменений без надлежащего качественного проведения исследований, имеют место факты недопустимого упрощенческого подхода к проведению исследований и даже игнорирование таковых. Например:</w:t>
      </w:r>
    </w:p>
    <w:p w14:paraId="0D9CF2F5"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на Сталинградском тракторном заводе с января по март месяц сего года проводились испытания танка Т-34 с новой конструкцией бортовых передач бесструнного типа с подшипниками с цилиндрическими роликами. Решение о вводе на серийное производство указанных бортовых передач было принято заводом без утверждения НКТП и ГАБТУ КА после первого этапа испытаний, несмотря на наличие заключений представителей ГАБТУ К А и главного конструктора завода о допустимости ввода этой конструкции только после проведения окончательных испытаний и утверждения акта таковых в установленном порядке. Помимо этого, в процессе последующего серийного производства без всяких испытаний подшипники с цилиндрическими роликами были заменены коническими роликоподшипниками;</w:t>
      </w:r>
    </w:p>
    <w:p w14:paraId="59216244"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по заводу № 112 без проведения испытаний и согласования с гл. конструктором решением гл. металлурга были введены непроверенные заменители металла наиболее ответственных деталей танка, что вскоре было отменено приказом по наркомату;</w:t>
      </w:r>
    </w:p>
    <w:p w14:paraId="70C3AC8F"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по заводу № 183 в июне сего года по требованию представителя заказчика были проведены пробеговые испытания 4 танков Т-34 на израсходование полной заправки горючего и смазки. Эти испытания были организованы и проведены производственным цехом (150) без утвержденной гл. инженером и гл. конструктором программы.</w:t>
      </w:r>
    </w:p>
    <w:p w14:paraId="1DBFCC55"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Экспериментальный цех завода и конструкторы в этих испытаниях участия не принимали. </w:t>
      </w:r>
    </w:p>
    <w:p w14:paraId="620E9F62"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Рассмотрение актов испытаний 12-17 июня с. г. показывает:</w:t>
      </w:r>
    </w:p>
    <w:p w14:paraId="66056FE1"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 актах не указан ряд необходимых данных об условиях, в которых протекало испытание, как например: состояние дорог, температура окружающего воздуха, скорости движения, в течение какого времени наступил перегрев масла в моторе и т. д.</w:t>
      </w:r>
    </w:p>
    <w:p w14:paraId="79A1FF8C"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В актах перечислен ряд дефектов, обнаруженных как в процессе испытания, так и при осмотре в цехе по окончании таковых. А в выводах все эти дефекты обойдены и даже написано: «Основные агрегаты танков ведут себя хорошо». В одном акте сделано указание лишь на низкое качество траков и влияние на их разрушение колес с внутренней амортизацией. В то же время в другом акте ни слова не сказано о качестве траков, несмотря на то, что целью испытания являлось установление качества последних.</w:t>
      </w:r>
    </w:p>
    <w:p w14:paraId="56D5A4E1"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Акты, подписанные начальником серийного цеха 150 т. Шебельниковым, ст. контрольным мастером цеха 159 т. Артеменко и представителями заказчика без утверждения гл. инженера завода и гл. конструктора и без согласования со ст. военным представителем ГАБТУ КА, вручены представителям ГАБТУ КА для отправки в ГАБТУ КА.</w:t>
      </w:r>
    </w:p>
    <w:p w14:paraId="5D2331DD"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Аналогичные случаи имеют место в той или иной степени и на остальных заводах наркомата.</w:t>
      </w:r>
    </w:p>
    <w:p w14:paraId="2A3CDB3B"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Одной из причин подобной недопустимой практики является слабость экспериментальных цехов заводов, неукомплектованность их квалифицированными кадрами испытателей и исследователей, а также недостаточное внимание и недооценка значения исследовательской работы со стороны гл. инженеров и гл. конструкторов заводов.</w:t>
      </w:r>
    </w:p>
    <w:p w14:paraId="7BB32824"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наведения порядка в организации и проведении исследовательской работы с целью обеспечения повышения качества выпускаемых заводами наркомата танковых моторов приказываю:</w:t>
      </w:r>
    </w:p>
    <w:p w14:paraId="2317F8BF"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Установить для всякого рода испытаний танков и моторов как внутризаводских, так и проводимых по требованию представителей заказчика следующий порядок:</w:t>
      </w:r>
    </w:p>
    <w:p w14:paraId="69AE810A"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все испытания танков и моторов, по своему объему и характеру выходящие за рамки сдаточных испытаний ежесуточной продукции заводов, проводить под руководством работников экспериментальных цехов и конструкторов; б) для каждого испытания составляется план и программа, в которой должно быть указано: цель, преследуемая проведением испытаний; условия, в которых будут проводиться испытания; методика проведения испытаний и перечень данных, подлежащих наблюдению; в) план и программа, составленные работниками экспериментальных цехов по согласованию с конструкторскими бюро и представителями ГАБТУ КА, утверждаются гл. конструктором и гл. инженером завода и согласовываются со ст. военпредом завода; г) при проведении испытаний работниками экспериментальных цехов ведутся все записи данных и величин в соответствии с программой; д) лицо, возглавляющее проведение испытаний, несет всю ответственность как за подготовку и проведение их, так и за правильное оформление результатов испытаний в виде акта; е) в акте испытаний должно быть указано: цель испытаний, условия, в которых они проводились, результаты наблюдений данных, предписанных программой, обнаруженные дефекты, заключение на основе полученных данных и дефектов и, наконец, выводы и предложения; ж) акты испытаний и их результаты утверждаются гл. конструктором и гл. инженером завода и согласовываются [со] ст. военпредом ГАБТУ КА; з) если испытания носили характер сдаточных для определения допустимости ввода на серийное производство того или иного изменения конструкции, необходимо при получении положительных результатов испытаний, помимо акта по испытаниям, составлять протокол для представления данного изменения на утверждение НКТП и ГАБТУ КА к вводу в серийное производство.</w:t>
      </w:r>
    </w:p>
    <w:p w14:paraId="66994BAD"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Протокол составляется гл. конструктором, согласовывается с гл. технологом и гл. металлургом и утверждается гл. инженером завода и ст. военпредом ГАБТУ КА.</w:t>
      </w:r>
    </w:p>
    <w:p w14:paraId="21F90D08"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Для систематизации проверки качества выпускаемых заводами НКТП танков и моторов установить обязательное проведение ежемесячно испытания одного танка на пробег длительностью на полное израсходование заправки горючего. Кроме того, заводами в соответствии с договорами и техническими условиями проводятся гарантийные и длительные пробеги по особой программе.</w:t>
      </w:r>
    </w:p>
    <w:p w14:paraId="6A75B5EF"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Директору завода № 183 т. Максареву по танку Т-34 и директору Кировского завода т. Махонину по танку КВ разработать типовые программы контрольных ежемесячных испытаний танков на пробег, на расход полной заправки горючего и представить таковые к 5 августа 1942 г. на мое утверждение.</w:t>
      </w:r>
    </w:p>
    <w:p w14:paraId="40D17D59"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Главным инженерам заводов наркомата принять меры к улучшению организации работы экспериментальных цехов и укомплектованию их высококвалифицированными кадрами работников в соответствии с настоящим приказом.</w:t>
      </w:r>
    </w:p>
    <w:p w14:paraId="3FC28BE9"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Обращаю внимание директоров заводов, главных инженеров, главных конструкторов, начальников экспериментальных цехов, исследователей и конструкторов на безусловную необходимость принятия всех мер к высококачественному проведению исследовательских работ как непременного условия дальнейшего повышения качества и надежности боевой эксплуатации наших танков.</w:t>
      </w:r>
    </w:p>
    <w:p w14:paraId="257E358D"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Контроль за выполнением настоящего приказа возложить на зам. нач[альника] 2-го отдела т. Гинзбурга С. А.1*</w:t>
      </w:r>
    </w:p>
    <w:p w14:paraId="75D915C5"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 народного комиссара танковой промышленности Союза ССР П. Зернов</w:t>
      </w:r>
    </w:p>
    <w:p w14:paraId="24252592"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 8752. Оп. 4. Д. 92. Л. 340-338. Подлинник.</w:t>
      </w:r>
    </w:p>
    <w:p w14:paraId="401F2762" w14:textId="77777777" w:rsidR="00F62933" w:rsidRPr="008A2E5A" w:rsidRDefault="00F62933" w:rsidP="00F62933">
      <w:pPr>
        <w:spacing w:after="0" w:line="240" w:lineRule="auto"/>
        <w:jc w:val="both"/>
        <w:rPr>
          <w:rFonts w:ascii="Times New Roman" w:hAnsi="Times New Roman"/>
          <w:color w:val="0070C0"/>
          <w:sz w:val="16"/>
          <w:szCs w:val="16"/>
        </w:rPr>
      </w:pPr>
    </w:p>
    <w:p w14:paraId="4F48ACF2"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июля 1942 года завод отправил с эшелоном №15258 в 1-е Горьковское танковое училище 9 Т-60 и 1 Т-30 (серийный номер 2071). Есть известная серия фотографий, сделанных на заводе летом 1942 года. На них как раз матчасть с того самого эшелона. Дальше, как говорится, следим за руками. Фактическое число Т-60 можно понять по числу сданных корпусов. С января по июнь 1942 года сварили 567 комплектов, из них изготовили как минимум 524 Т-60 и как минимум 10 шасси под установку М-8 (24888).</w:t>
      </w:r>
    </w:p>
    <w:p w14:paraId="321FB1E2" w14:textId="77777777" w:rsidR="00F62933" w:rsidRPr="008A2E5A" w:rsidRDefault="00F62933" w:rsidP="00F62933">
      <w:pPr>
        <w:spacing w:after="0" w:line="240" w:lineRule="auto"/>
        <w:jc w:val="both"/>
        <w:rPr>
          <w:rFonts w:ascii="Times New Roman" w:hAnsi="Times New Roman"/>
          <w:color w:val="0070C0"/>
          <w:sz w:val="16"/>
          <w:szCs w:val="16"/>
        </w:rPr>
      </w:pPr>
    </w:p>
    <w:p w14:paraId="112F3BD1"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июля 1942 начались полигонные испытания СГ-122 и продолжались до 16 августа 1942 года. Испытания стрельбой провели в гораздо большем объёме, чем планировалось изначально. Из гаубицы было произведено 234 выстрела, почти в 5 раз больше, чем изначально предполагалось. Скорострельность, в зависимости от угла наводки орудия, достигала от 5 до 11–12 выстрелов в минуту, то есть на уровне заводских испытаний. Время перехода САУ из походного положения в боевое составляло 20–25 секунд. Также были проведены ходовые испытания. В ходе езды по проселку и бездорожью средняя скорость составила 15 км/ч, а расход топлива около 300 литров на 100 километров. При таком расходе запас хода составил примерно 100 километров, то есть примерно столько же, сколько у StuG III.</w:t>
      </w:r>
    </w:p>
    <w:p w14:paraId="5C168A94" w14:textId="77777777" w:rsidR="00F62933" w:rsidRPr="008A2E5A" w:rsidRDefault="00F62933" w:rsidP="00F629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По итогам испытаний выяснилось, что вырос износ передних опорных катков. Связано это было с повышенной нагрузкой на носовую часть, поскольку появилась более тяжелая орудийная система и усиленное бронирование. Имелись претензии и к боевому отделению. И в исходном проекте, и в опытном образце сиденье предусматривалось только для механика-водителя. По этой причине испытатели указали на то, что откидные сиденья нужны для всех членов экипажа. Также не </w:t>
      </w:r>
      <w:r w:rsidRPr="008A2E5A">
        <w:rPr>
          <w:rFonts w:ascii="Times New Roman" w:hAnsi="Times New Roman"/>
          <w:color w:val="0070C0"/>
          <w:sz w:val="16"/>
          <w:szCs w:val="16"/>
        </w:rPr>
        <w:lastRenderedPageBreak/>
        <w:t>удалось проверить работу радиостанции, поскольку на опытной машине ее не было. Тем не менее, полигонные испытания СГ-122 выдержала, а претензии ГАБТУ КА посчитали недостаточными для прекращения работ. 7 сентября 1942 года был подписан договор между ГАУ КА и заводом №592 на выпуск первых пяти СГ-122. Стоимость переделки StuG III в СГ-122 оценивалась в 45 тысяч рублей. Правда, уже к 1 октября стало ясно, что ориентироваться придется не только на шасси StuG III, но и на Pz.Kpfw.III. Началась настоящая охота за трофейными машинами. Например, на заводах №176 и №535 НКВ нашли 4 Pz.Kpfw.III, которые оказались пригодными для переделки (23368).</w:t>
      </w:r>
    </w:p>
    <w:p w14:paraId="67CF3ECF" w14:textId="77777777" w:rsidR="00F62933" w:rsidRPr="008A2E5A" w:rsidRDefault="00F62933" w:rsidP="00F62933">
      <w:pPr>
        <w:spacing w:after="0" w:line="240" w:lineRule="auto"/>
        <w:jc w:val="both"/>
        <w:rPr>
          <w:rFonts w:ascii="Times New Roman" w:hAnsi="Times New Roman"/>
          <w:color w:val="0070C0"/>
          <w:sz w:val="16"/>
          <w:szCs w:val="16"/>
        </w:rPr>
      </w:pPr>
    </w:p>
    <w:p w14:paraId="3F6AA47D"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25 июля 1942 И.В.С. писал телеграмму об улучшении качества огнеметов АТО-41 и с августа начали производить модернезированные АТО-41 на з-де № 222 НКВ и в конце 1942 разработали АТО-42 (5219, 32).</w:t>
      </w:r>
    </w:p>
    <w:p w14:paraId="79351ED5" w14:textId="77777777" w:rsidR="00AE7191" w:rsidRPr="001E2C69" w:rsidRDefault="00AE7191" w:rsidP="00722885">
      <w:pPr>
        <w:pStyle w:val="Iauiue"/>
        <w:tabs>
          <w:tab w:val="left" w:pos="11199"/>
        </w:tabs>
        <w:jc w:val="both"/>
        <w:rPr>
          <w:color w:val="000000" w:themeColor="text1"/>
          <w:sz w:val="16"/>
          <w:szCs w:val="16"/>
        </w:rPr>
      </w:pPr>
    </w:p>
    <w:p w14:paraId="05ECBFE7"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25 июля 1942 вышло Постановление ГКО № 2091 Об увеличении производства алюминия. (7046, 126).</w:t>
      </w:r>
    </w:p>
    <w:p w14:paraId="668AB165" w14:textId="77777777" w:rsidR="00AE7191" w:rsidRPr="001E2C69" w:rsidRDefault="00AE7191" w:rsidP="00722885">
      <w:pPr>
        <w:pStyle w:val="Iauiue"/>
        <w:tabs>
          <w:tab w:val="left" w:pos="11199"/>
        </w:tabs>
        <w:jc w:val="both"/>
        <w:rPr>
          <w:color w:val="000000" w:themeColor="text1"/>
          <w:sz w:val="16"/>
          <w:szCs w:val="16"/>
        </w:rPr>
      </w:pPr>
    </w:p>
    <w:p w14:paraId="71C45D8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июля 1942 вышло Постановление ГКО № 2093 Об обеспечении формирований дивизионов М-30 автотранспортом. РГАНИР, Фонд ГКО, д. 47, лл. 128 (11012).</w:t>
      </w:r>
    </w:p>
    <w:p w14:paraId="1545358D"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B24218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июля 1942 вышло Постановление ГКО № 2094 Об окончании строительства завода № 313 в г. Комсомольске и организации на нем производства 82 мм минометов. РГАНИР, Фонд ГКО, д. 47, лл. 129-130, 131-132 (11012).</w:t>
      </w:r>
    </w:p>
    <w:p w14:paraId="54277144"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8311825"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25 июля 1942 вышло Постановление ГКО № 2095 О производстве бронепоездов во II квартале 1942 г. (7046, 133-136,137-140).</w:t>
      </w:r>
    </w:p>
    <w:p w14:paraId="5E780022" w14:textId="77777777" w:rsidR="00AE7191" w:rsidRPr="001E2C69" w:rsidRDefault="00AE7191" w:rsidP="00722885">
      <w:pPr>
        <w:pStyle w:val="Iauiue"/>
        <w:tabs>
          <w:tab w:val="left" w:pos="11199"/>
        </w:tabs>
        <w:jc w:val="both"/>
        <w:rPr>
          <w:color w:val="000000" w:themeColor="text1"/>
          <w:sz w:val="16"/>
          <w:szCs w:val="16"/>
        </w:rPr>
      </w:pPr>
    </w:p>
    <w:p w14:paraId="6EA8A90E"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июля 1942 г. вышло постановление ГКО № 2095сс «О производстве бронепоездов во II полугодии 1942 года». В соответствии с постановлением должно было быть до конца года построено 20 бепо на предприятиях как НКПС, так и НКТМ. Однако и это постановление, как и № 22сс, в указанные сроки выполнено не было.</w:t>
      </w:r>
    </w:p>
    <w:p w14:paraId="576A70CD"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Положительный опыт, наколенный при строительстве бронепоездов с вооружением в танковых башнях, позволил управлению бронепоездов ГАБТУ КА к февралю 1942 г. разработать проект бронепоезда нового типа с корпусом из термически обработанной брони и вооружением из 76-мм пушек в танковых башнях. Окончательные варианты конструкции бронеплощадки, получившей обозначение ПЛ-43 (площадка легкая образца 1943 г.) и бронепаровоза ПР-43 (паровоз образца 1943 г.) были утверждены 12 апреля 1943 г. Разработку бронепаровоза провели на бронерембазе № 6 с учетом опыта изготовления бронепаровозов бепо «Козьма Минин» и «Илья Муромец». Бронеплощадка ПЛ-43 строилась на базе 20-тонной платформы, ее бронирование осуществлялось листами термически обработанной брони толщиной 45 мм, бортовые листы устанавливались под наклоном в 20–30 град. Паровоз серии Ов или Од бронировался листами брони толщиной 20 мм, будка машиниста и командирская рубка — 30 мм. В состав бронепоезда, получившего обозначение БП-43 (бронепоезд образца 1943 г.), планировалось включать бронепаровоз ПР-43, четыре бронеплощадки ПЛ-43 и площадки с зенитным вооружением ПВО-4 (вооружались двумя автоматическими 37-мм пушками).</w:t>
      </w:r>
    </w:p>
    <w:p w14:paraId="297645E9"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1942 г. было изготовлено всего два БП-43, сказались задержки с предоставлением предприятиям комплектов чертежей, брони, танковых башен (кстати, башни отгружались не новые, а с подбитых танков, не подлежащих восстановлению) и т. п. Оставшиеся по плану 18 бронепоездов БП-43 были закончены только к концу октября 1943 г. Хотя первоначально планировалось продолжить изготовление БП-43 и в дальнейшем, но от этих планов отказались в связи с небольшими потерями бронепоездов на фронтах. Так, если в 1941 г. РККА потеряла 65 бронепоездов, в 1942 г. — 42 бронепоезда, то потери в 1943 г. составили всего два бронепоезда. А в 1944– 1945 гг. потерь бронепоездов не было вообще. Всего за время войны было потеряно 89 бронепоездов (включая флотские, трофейные, импровизированные и т. п.) (22731).</w:t>
      </w:r>
    </w:p>
    <w:p w14:paraId="3964C287" w14:textId="77777777" w:rsidR="006B5C1C" w:rsidRPr="001E2C69" w:rsidRDefault="006B5C1C" w:rsidP="00722885">
      <w:pPr>
        <w:spacing w:after="0" w:line="240" w:lineRule="auto"/>
        <w:jc w:val="both"/>
        <w:rPr>
          <w:rFonts w:ascii="Times New Roman" w:hAnsi="Times New Roman"/>
          <w:color w:val="000000" w:themeColor="text1"/>
          <w:sz w:val="16"/>
          <w:szCs w:val="16"/>
        </w:rPr>
      </w:pPr>
    </w:p>
    <w:p w14:paraId="3CA9F723"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5F7ACAEF" w14:textId="77777777" w:rsidR="00AE7191" w:rsidRPr="001E2C69" w:rsidRDefault="00AE7191" w:rsidP="00722885">
      <w:pPr>
        <w:pStyle w:val="Iauiue"/>
        <w:jc w:val="both"/>
        <w:rPr>
          <w:iCs/>
          <w:color w:val="000000" w:themeColor="text1"/>
          <w:sz w:val="16"/>
          <w:szCs w:val="16"/>
        </w:rPr>
      </w:pPr>
    </w:p>
    <w:p w14:paraId="04C82F22"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июля в 1942 году утреннее сообщение Совинформбюро:</w:t>
      </w:r>
    </w:p>
    <w:p w14:paraId="0EC4EBF1"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25 июля наши войска вели бои с противником в районе Воронежа, а также в районах Цымлянская, Новочеркасск, Ростов.</w:t>
      </w:r>
    </w:p>
    <w:p w14:paraId="339C460E"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0D386832"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наши войска вели активные бои с немецко-фашистскими войсками. Авиация, взаимодействуя с наземными частями, наносила непрерывные удары по боевым порядкам противника, его тылам и коммуникациям. Лётчики части, которой командует тов. Кросовский, за пять дней уничтожили несколько десятков немецких танков, более 300 автомашин, 6 бензоцистерн, 40 полевых и зенитных орудий, разрушили 9 водных переправ и истребили до четырёх батальонов пехоты противника. Артиллеристы батареи младшего лейтенанта Салманова за два дня подбили 7 немецких танков.</w:t>
      </w:r>
    </w:p>
    <w:p w14:paraId="4802093A"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Ростова продолжаются тяжёлые бои с численно превосходящими силами танков и мотопехоты противника. Немцам на одном из участков удалось прорваться в расположение наших войск. В ожесточённом бою, часто переходившем в рукопашные схватки, наши бойцы истребили свыше 2.000 гитлеровцев, сожгли 18 немецких танков, уничтожили 3 самоходных орудия и 14 пулемётов. На другом участке немцам удалось несколько продвинуться вперёд лишь после того, как все защитники этого рубежа пали смертью храбрых, сражаясь до последней капли крови за свою родную землю. Потери немцев на этом участке в несколько раз превосходят наши потери.</w:t>
      </w:r>
    </w:p>
    <w:p w14:paraId="1128BF5A"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Цымлянской наши войска вели оборонительные бои за переправы через Дон. Немцы любой ценой стремятся проникнуть на южный берег реки и под ударами наших войск несут огромные потери. На одном из участков наши артиллеристы потопили несколько десятков надувных лодок и плотов. Истреблено свыше 500 немецких солдат и офицеров. На другом участке артиллеристы Н-ской части произвели мощный огневой налёт на скопление танков и пехоты противника. Уничтожено 10 немецких танков, рассеяно и частью уничтожено до батальона гитлеровцев.</w:t>
      </w:r>
    </w:p>
    <w:p w14:paraId="6341ABE5"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Ленинградского фронта наши войска вели активные боевые действия. Бойцы нашей части, поддержанные массированным огнём артиллерии и миномётов, атаковали позиции немцев. Впереди шли наши танки, расчищая путь пехоте и уничтожая огневые точки противника. Бой длился несколько часов. К концу дня задача, поставленная командованием, была выполнена. Опорный пункт врага был взят. Разрушено 16 ДЗОТов, захвачены трофеи и пленные. Противник в этом бою понёс большие потери. По признанию захваченного в плен ефрейтора Генриха Райнгарца, от батальона немцев в живых осталось не более 15 человек.</w:t>
      </w:r>
    </w:p>
    <w:p w14:paraId="696C65FA"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Калининском фронте продолжались бои местного значения. На одном участке пехоте противника удалось прорваться в наши траншеи. B рукопашном бою большинство гитлеровцев было уничтожено. У наших окопов осталось свыше 150 трупов солдат и офицеров противника. На другом участке немцы предприняли наступление на стыке двух наших подразделений. Массированным пулемётным и миномётным огнём гитлеровцы были отброшены. На этом же участке младший лейтенант Посохин из станкового пулемёта подбил немецкий самолёт. Один из немецких лётчиков, пытавшийся бежать, был убит, второй взят в плен. В самолёте обнаружен портфель с важными документами.</w:t>
      </w:r>
    </w:p>
    <w:p w14:paraId="7E911656"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орловских партизан под руководством тов. Е. за месяц боёв против немецких захватчиков уничтожил свыше 200 немецких и 350 венгерских солдат и офицеров. Партизаны пустили под откос 10 железнодорожных эшелонов, во время крушения которых погибли сотни гитлеровцев и много техники. Советские патриотыза этот же период захватили 2 орудия, 14 миномётов, 9 ручных и 4 станковых пулемёта и много боеприпасов.</w:t>
      </w:r>
    </w:p>
    <w:p w14:paraId="1F12DE60"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под командованием тов. Д. подорвал на минах шедший с большой скоростью эшелон противника. Разбито 4 крытых вагона с живой силой и 38 платформ с военной техникой немецко-фашистских оккупантов.</w:t>
      </w:r>
    </w:p>
    <w:p w14:paraId="31E9C98A"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Рудник имени III Интернационала, получивший переходящее Красное Знамя Государственного Комитета Обороны, за двадцать дней июля месяца перевыполнил план на 11 процентов.» (14963).</w:t>
      </w:r>
    </w:p>
    <w:p w14:paraId="70E5839A" w14:textId="77777777" w:rsidR="00CF69B5" w:rsidRPr="001E2C69" w:rsidRDefault="00CF69B5" w:rsidP="00722885">
      <w:pPr>
        <w:spacing w:after="0" w:line="240" w:lineRule="auto"/>
        <w:jc w:val="both"/>
        <w:rPr>
          <w:rFonts w:ascii="Times New Roman" w:hAnsi="Times New Roman"/>
          <w:color w:val="000000" w:themeColor="text1"/>
          <w:sz w:val="16"/>
          <w:szCs w:val="16"/>
        </w:rPr>
      </w:pPr>
    </w:p>
    <w:p w14:paraId="2FF6AE4C"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июля в 1942 году вечернее сообщение Совинформбюро:</w:t>
      </w:r>
    </w:p>
    <w:p w14:paraId="25895D1F"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25 июля наши войска вели ожесточённые бои в районе Воронежа, а также, в районах Цымлянская, Новочеркасск, Ростов.</w:t>
      </w:r>
    </w:p>
    <w:p w14:paraId="21C63AFE"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4CD1D5C0"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Нашими кораблями в Финском заливе потоплено два транспорта противника общим водоизмещением в 16.000 тонн.</w:t>
      </w:r>
    </w:p>
    <w:p w14:paraId="2901F86C"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24 июля частями нашей авиации на различных участках фронта уничтожено или повреждено до 80 немецких танков, 5 бронемашин, 400 автомашин с войсками и грузами, 16 автоцистерн с горючим, 3 прожектора, взорваны 8 складов боеприпасов и склад горючего, подавлен огонь 10 батарей полевой и зенитной артиллерии, рассеяно и частью уничтожено до двух полков пехоты противника.</w:t>
      </w:r>
    </w:p>
    <w:p w14:paraId="4BA420A0"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продолжались упорные бои. Советские войска отражали контратаки немецко-фашистских войск и на ряде участков продолжали теснить противника. Гитлеровцы вынуждены срочно перебрасывать резервы из глубокого тыла. Так, в районе Воронежа появилась 383 немецкая пехотная дивизия, находившаяся до последнего времени во Франции.</w:t>
      </w:r>
    </w:p>
    <w:p w14:paraId="72846859"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 бойцы проявляют беззаветный героизм в борьбе с врагом, успешно уничтожают его живую силу и технику. За несколько дней боёв расчёт противотанкового орудия тов. Диденко подбил 14 средних и один тяжёлый немецкий танк. Наводчик противотанкового орудия тов. Совьеренко уничтожил 10 танков противника и до взвода немецких солдат. Расчёты орудия тт. Меняйлова и Косенкова уничтожили по три танка противника. Красноармеец тов. Моренинов огнём из противотанкового ружья сбил немецкий самолёт.</w:t>
      </w:r>
    </w:p>
    <w:p w14:paraId="5CA41072"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В районе Ростова наши войска вели тяжёлые бои против немецко-фашистских войск. Противник сосредоточил здесь крупные силы и, пользуясь подавляющим численным превосходством, непрерывно штурмует наши укрепления. В отдельных местах ему удалось прорвать наши рубежи и проникнуть на окраину города. Наши бойцы, не щадя своей жизни, ведут борьбу с танками и пехотой противника. Одна рота в течение восьми часов отбивала атаки гитлеровцев. Бронебойщики, приданные роте, уничтожили 11 немецких танков. На подступах к позициям осталось свыше 600 вражеских трупов. На другом участке пять советских танков вели борьбу с тридцатью немецкими. Отважные танкисты подбили и сожгли 18 танков противника и вышли из боя только тогда, когда израсходовали все боеприпасы.</w:t>
      </w:r>
    </w:p>
    <w:p w14:paraId="1D17D7D5"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Цимлянской наши лётчики обрушивают тяжёлые удары по войскам противника. На одном из участков наша бомбардировочная и штурмовая авиация произвела налёт на мотомехчасти противника и уничтожила 7 немецких танков, 100 автомашин с пехотой и военным грузом, 6 орудий и 20 повозок с боеприпасами. В воздушном бою сбито два и подбит один немецкий самолёт.</w:t>
      </w:r>
    </w:p>
    <w:p w14:paraId="36BFC7DE"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белорусских партизан под руководством тов. З. за последнее время разрушил 6 мостов, подорвал 7 немецких автомашин с боеприпасами, уничтожил 60 солдат и 2 офицеров противника. Партизаны этого отряда, объединившись с латвийским партизанским отрядом, где командиром тов. С, совершили налёт на полицейское управление. Совместными действиями партизан этих отрядов истреблены 17 полицейских, немецкий офицер и бургомистр, уничтожено два воинских склада оккупантов.</w:t>
      </w:r>
    </w:p>
    <w:p w14:paraId="7663600B"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войска на юге и в районе Воронежа несут огромные потери. Многие дивизий, подготовленные немецким командованием для наступления на советско-германском фронте, перемолоты, истекают кровью. Гитлеровцы теперь вынуждены вводить в бой новые дивизии, спешно перебрасывать войска с других фронтов и из глубокого тыла.</w:t>
      </w:r>
    </w:p>
    <w:p w14:paraId="5D688260"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 этом свидетельствуют трофейные документы, показания пленных и письма, найденные у убитых немецких солдат и офицеров. Так, пленный лейтенант 340 немецкой пехотной дивизии Ганс Фишер сообщил: «...Наша дивизия выполняла гарнизонную службу в районе Кале (Франция). Внезапно был получен приказ, и мы вконце июня 1942 года были срочно погружены в вагоны и переброшены на Восточныйфронт. С середины июля 340 дивизия участвует в боях в России». В конце июня также прибыли из Франции на советско-германский фронт 370, 371 и 377 пехотные дивизии, одна танковая дивизия и другие немецкие соединения. Пленный солдат 377немецкой пехотной дивизии Теодор Крамер рассказал: «Мы до последнего времени находились в Безансоне (Франция). Нас всех удивил приказ о переброске дивизии наВосток. Однако офицеры нам разъяснили, что Германии нужно выиграть время и, не считаясь с ослаблением позиции на Западе, бросить войска на Восток».</w:t>
      </w:r>
    </w:p>
    <w:p w14:paraId="0D5E8ACC"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начале июля французские патриоты совершили нападение на немецкий гарнизон в городе Ниоре. Убито 42 гитлеровца, полностью разрушена телефонная и телеграфная связь. В Анжере патриоты подожгли фабрику, изготовляющую для немцев парашюты и аэростаты. В городе Бресте отряд вооружённых французских патриотов напал на казарму эсэсовцев, уничтожил 11 оккупантов и вывез на грузовиках всё находившееся здесь оружие.» (14963).</w:t>
      </w:r>
    </w:p>
    <w:p w14:paraId="7EFF797D" w14:textId="77777777" w:rsidR="00CF69B5" w:rsidRPr="001E2C69" w:rsidRDefault="00CF69B5" w:rsidP="00722885">
      <w:pPr>
        <w:spacing w:after="0" w:line="240" w:lineRule="auto"/>
        <w:jc w:val="both"/>
        <w:rPr>
          <w:rFonts w:ascii="Times New Roman" w:hAnsi="Times New Roman"/>
          <w:color w:val="000000" w:themeColor="text1"/>
          <w:sz w:val="16"/>
          <w:szCs w:val="16"/>
        </w:rPr>
      </w:pPr>
    </w:p>
    <w:p w14:paraId="29E4B842"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июля в 1942 году в СССР немцы начинают продвижение на Северном Кавказе прорывом 1-й танковой армии на Сальск и Майкоп (14963).</w:t>
      </w:r>
    </w:p>
    <w:p w14:paraId="467D7B97" w14:textId="77777777" w:rsidR="00CF69B5" w:rsidRPr="001E2C69" w:rsidRDefault="00CF69B5" w:rsidP="00722885">
      <w:pPr>
        <w:spacing w:after="0" w:line="240" w:lineRule="auto"/>
        <w:jc w:val="both"/>
        <w:rPr>
          <w:rFonts w:ascii="Times New Roman" w:hAnsi="Times New Roman"/>
          <w:color w:val="000000" w:themeColor="text1"/>
          <w:sz w:val="16"/>
          <w:szCs w:val="16"/>
        </w:rPr>
      </w:pPr>
    </w:p>
    <w:p w14:paraId="56FB31DC"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июля в 1942 году немецкие войска занимают Ростов и Новочеркасск (14963).</w:t>
      </w:r>
    </w:p>
    <w:p w14:paraId="7DB4B53C" w14:textId="77777777" w:rsidR="00CF69B5" w:rsidRPr="001E2C69" w:rsidRDefault="00CF69B5" w:rsidP="00722885">
      <w:pPr>
        <w:spacing w:after="0" w:line="240" w:lineRule="auto"/>
        <w:jc w:val="both"/>
        <w:rPr>
          <w:rFonts w:ascii="Times New Roman" w:hAnsi="Times New Roman"/>
          <w:color w:val="000000" w:themeColor="text1"/>
          <w:sz w:val="16"/>
          <w:szCs w:val="16"/>
        </w:rPr>
      </w:pPr>
    </w:p>
    <w:p w14:paraId="1899C9B7"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июля в 1942 году с плацдармов в нижнем течении Дона противник перешел в наступление на сальском, ставропольском и краснодарском направлениях. Йачалась Битва за Кавказ - оборонительная (до 31 декабря 1942; Армавиро-Майкопская, Новороссийская, Моздок-Малгобекская, Туапсинская, Нальчикско-Орджоникидзевская) и наступательная (1 января - 9 октября 1943; Северо-Кавказская, Краснодарская, Новороссийско-Таманская) операции войск Южного, Северо-Кавказского и Закавказского фронтов, Черноморского флота, Азовской и Каспийской военных флотилий. Для выполнения плана по захвату Кавказа (кодовое наименовние - "Эдельвейс") германское командование выделило группу армий "А" (1-я и 4-я танковые армии, 17-я немецкая полевая армия, 3-я румынская армия, часть сил 4-го воздушного флота; командующий генерал-фельдмаршал В. Лист). Противнику противостояли войска Южного и часть сил Северо-Кавказского фронтов (51, 37, 12, 18, 56-я армии и 4-я воздушная армия). Войска Южного фронта закрепились на левом берегу Дона от устья Манычского канала до Азова. Для усиления действующих на сталинградского направлении войск германское командование выделило из состава группы армий "А" 24-й танковый корпус (2 танковые дивизии), 11-й армейский. корпус (2 пехотные дивизии), 8-ю итальянскую армию (6 пехотных дивизий, 1 пехотная и 1 кавалерийская бригады). Германское командование перебросило на советско-германский фронт основные силы авиации, действовавшей в Северной Африке (14963).</w:t>
      </w:r>
    </w:p>
    <w:p w14:paraId="5EDC4254" w14:textId="77777777" w:rsidR="00CF69B5" w:rsidRPr="001E2C69" w:rsidRDefault="00CF69B5" w:rsidP="00722885">
      <w:pPr>
        <w:spacing w:after="0" w:line="240" w:lineRule="auto"/>
        <w:jc w:val="both"/>
        <w:rPr>
          <w:rFonts w:ascii="Times New Roman" w:hAnsi="Times New Roman"/>
          <w:color w:val="000000" w:themeColor="text1"/>
          <w:sz w:val="16"/>
          <w:szCs w:val="16"/>
        </w:rPr>
      </w:pPr>
    </w:p>
    <w:p w14:paraId="42E969FB"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25 июля 1942 в районе Сальска и Майкопа фашистская 1-я танковая армия совершила прорыв советского фронта, начало Битвы за Кавказ (4962).</w:t>
      </w:r>
    </w:p>
    <w:p w14:paraId="0F939761" w14:textId="77777777" w:rsidR="00AE7191" w:rsidRPr="001E2C69" w:rsidRDefault="00AE7191" w:rsidP="00722885">
      <w:pPr>
        <w:pStyle w:val="Iauiue"/>
        <w:tabs>
          <w:tab w:val="left" w:pos="11199"/>
        </w:tabs>
        <w:jc w:val="both"/>
        <w:rPr>
          <w:color w:val="000000" w:themeColor="text1"/>
          <w:sz w:val="16"/>
          <w:szCs w:val="16"/>
        </w:rPr>
      </w:pPr>
    </w:p>
    <w:p w14:paraId="2C232BDF"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июля в 1942 году агенты 2-го батальона «Бранденбург-800» в красноармейской форме десантируются на парашютах в районе северокавказских Минеральных Вод. Диверсанты минируют и взрывают железнодорожный мост на ветке Минеральные Воды - Пятигорск (14963).</w:t>
      </w:r>
    </w:p>
    <w:p w14:paraId="5C56D65D" w14:textId="77777777" w:rsidR="00CF69B5" w:rsidRPr="001E2C69" w:rsidRDefault="00CF69B5" w:rsidP="00722885">
      <w:pPr>
        <w:spacing w:after="0" w:line="240" w:lineRule="auto"/>
        <w:jc w:val="both"/>
        <w:rPr>
          <w:rFonts w:ascii="Times New Roman" w:hAnsi="Times New Roman"/>
          <w:color w:val="000000" w:themeColor="text1"/>
          <w:sz w:val="16"/>
          <w:szCs w:val="16"/>
        </w:rPr>
      </w:pPr>
    </w:p>
    <w:p w14:paraId="0A6A8B2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C 25 июля по 31 декабря 1942 был оборонительный период битвы за Кавказ (2438,104).</w:t>
      </w:r>
    </w:p>
    <w:p w14:paraId="3468F0B8" w14:textId="77777777" w:rsidR="00AE7191" w:rsidRPr="001E2C69" w:rsidRDefault="00AE7191" w:rsidP="00722885">
      <w:pPr>
        <w:pStyle w:val="Iauiue"/>
        <w:jc w:val="both"/>
        <w:rPr>
          <w:color w:val="000000" w:themeColor="text1"/>
          <w:sz w:val="16"/>
          <w:szCs w:val="16"/>
        </w:rPr>
      </w:pPr>
    </w:p>
    <w:p w14:paraId="38E79A5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25 июля по 31 декабря 1942 обороняли Кавказ (2438,253).</w:t>
      </w:r>
    </w:p>
    <w:p w14:paraId="28199B42" w14:textId="77777777" w:rsidR="00AE7191" w:rsidRPr="001E2C69" w:rsidRDefault="00AE7191" w:rsidP="00722885">
      <w:pPr>
        <w:pStyle w:val="Iauiue"/>
        <w:jc w:val="both"/>
        <w:rPr>
          <w:color w:val="000000" w:themeColor="text1"/>
          <w:sz w:val="16"/>
          <w:szCs w:val="16"/>
        </w:rPr>
      </w:pPr>
    </w:p>
    <w:p w14:paraId="7965F2A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25 июля по 28 сентября 1942 была северокавказская оборонительная операция (3186).</w:t>
      </w:r>
    </w:p>
    <w:p w14:paraId="571B4CBB" w14:textId="77777777" w:rsidR="00AE7191" w:rsidRPr="001E2C69" w:rsidRDefault="00AE7191" w:rsidP="00722885">
      <w:pPr>
        <w:pStyle w:val="Iauiue"/>
        <w:jc w:val="both"/>
        <w:rPr>
          <w:color w:val="000000" w:themeColor="text1"/>
          <w:sz w:val="16"/>
          <w:szCs w:val="16"/>
        </w:rPr>
      </w:pPr>
    </w:p>
    <w:p w14:paraId="4D5B8E3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25 июля по 31 декабря 1942 года - северокавказская оборонительная операция (2691).</w:t>
      </w:r>
    </w:p>
    <w:p w14:paraId="4C6B4CC9" w14:textId="77777777" w:rsidR="00AE7191" w:rsidRPr="001E2C69" w:rsidRDefault="00AE7191" w:rsidP="00722885">
      <w:pPr>
        <w:pStyle w:val="Iauiue"/>
        <w:jc w:val="both"/>
        <w:rPr>
          <w:color w:val="000000" w:themeColor="text1"/>
          <w:sz w:val="16"/>
          <w:szCs w:val="16"/>
        </w:rPr>
      </w:pPr>
    </w:p>
    <w:p w14:paraId="4B6DAA7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 июля 1942 потребовалось в спешном порядке привлечь авиацию для советского контрудара под Сталинградом (518,231).</w:t>
      </w:r>
    </w:p>
    <w:p w14:paraId="49306859" w14:textId="77777777" w:rsidR="00AE7191" w:rsidRPr="001E2C69" w:rsidRDefault="00AE7191" w:rsidP="00722885">
      <w:pPr>
        <w:pStyle w:val="Iauiue"/>
        <w:jc w:val="both"/>
        <w:rPr>
          <w:color w:val="000000" w:themeColor="text1"/>
          <w:sz w:val="16"/>
          <w:szCs w:val="16"/>
        </w:rPr>
      </w:pPr>
    </w:p>
    <w:p w14:paraId="3EB703B9" w14:textId="77777777" w:rsidR="006B5C1C" w:rsidRPr="001E2C69" w:rsidRDefault="006B5C1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ночь с 25 на 26 июля 1942 произошел интересный случай. На конвой, состоявший из двух вспомогательных тральщиков и транспорта «Левант», были сброшены несколько бомб. В дневнике боевых действий командующего ВМС Германии на Балтийском море по этому поводу было записано следующее: «Таким образом, впервые на Балтийском море у берегов Германии была произведена бомбардировка конвоя. Одиночный налет на судоходство, конечно, не может иметь серьезного значения. Однако оживленная деятельность русской авиации в восточных провинциях Рейха и в прибрежных районах свидетельствует об улучшении оснащения авиатехникой» (22728).</w:t>
      </w:r>
    </w:p>
    <w:p w14:paraId="0E16A494" w14:textId="77777777" w:rsidR="006B5C1C" w:rsidRPr="001E2C69" w:rsidRDefault="006B5C1C" w:rsidP="00722885">
      <w:pPr>
        <w:spacing w:after="0" w:line="240" w:lineRule="auto"/>
        <w:jc w:val="both"/>
        <w:rPr>
          <w:rFonts w:ascii="Times New Roman" w:hAnsi="Times New Roman"/>
          <w:color w:val="000000" w:themeColor="text1"/>
          <w:sz w:val="16"/>
          <w:szCs w:val="16"/>
        </w:rPr>
      </w:pPr>
    </w:p>
    <w:p w14:paraId="611FFA1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Поздним вечером 25 июля 1942 пароход «Смоленск» шел вверх по течению с нефтеналивной баржей «Кондома» на буксире. В трюмах судна тоже находилось топливо. Несмотря на приближение фронта к Волге и полеты немецких самолетов над рекой, члены команд многих судов продолжали работать как в мирное время, часто беря в плавание детей. Не был исключением и «Смоленск». На борту кроме капитана, его помощника и 15 матросов находились девять детей, коротавших так летние каникулы. Солнце уже давно зашло за высокий берег Волги, и на реку постепенно опускалась тьма. На небосводе появились звездочки, а впереди на воде зажглись огоньки бакенов. Младшие дети отправились спать в каюты, остальные же остались на палубе, наслаждаясь теплым июльским воздухом. Пароход миновал Горную Пролейку, расположенную на полпути между Дубовкой и Камышиным, когда произошло ужасное… Страшной силы взрыв сотряс реку, и в одно мгновение корабль, еще секунду назад мерно скользивший по воде, подпрыгнул и скрылся в клубах дыма и пара. Затем все вокруг осветил яркий столб пламени от взорвавшихся нефтепродуктов. Жители поселка, услышав взрыв, побежали на берег, но увидели только горящую на поверхности реки нефть. Спастись не удалось никому. На рассвете место гибели «Смоленска» проходили другие суда, и их команды видели лишь мазутные пятна на воде и плавающие обломки. Баржа «Кондома» не пострадала и все утро дрейфовала по реке, словно призрак, но и она на следующий день была потоплена немцами (11774).</w:t>
      </w:r>
    </w:p>
    <w:p w14:paraId="22CB3E4C"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A21A493" w14:textId="77777777" w:rsidR="00CF69B5"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27B399BC" w14:textId="77777777" w:rsidR="00CF69B5" w:rsidRPr="001E2C69" w:rsidRDefault="00CF69B5" w:rsidP="00722885">
      <w:pPr>
        <w:pStyle w:val="Iauiue"/>
        <w:jc w:val="both"/>
        <w:rPr>
          <w:iCs/>
          <w:color w:val="000000" w:themeColor="text1"/>
          <w:sz w:val="16"/>
          <w:szCs w:val="16"/>
        </w:rPr>
      </w:pPr>
    </w:p>
    <w:p w14:paraId="301D7E37"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25 июля в 1942 году компания «North American» была уполномочена оснастить два </w:t>
      </w:r>
      <w:hyperlink r:id="rId156" w:tgtFrame="_blank" w:history="1">
        <w:r w:rsidRPr="001E2C69">
          <w:rPr>
            <w:rFonts w:ascii="Times New Roman" w:hAnsi="Times New Roman"/>
            <w:color w:val="000000" w:themeColor="text1"/>
            <w:sz w:val="16"/>
            <w:szCs w:val="16"/>
          </w:rPr>
          <w:t xml:space="preserve">«Mustang» </w:t>
        </w:r>
      </w:hyperlink>
      <w:r w:rsidRPr="001E2C69">
        <w:rPr>
          <w:rFonts w:ascii="Times New Roman" w:hAnsi="Times New Roman"/>
          <w:color w:val="000000" w:themeColor="text1"/>
          <w:sz w:val="16"/>
          <w:szCs w:val="16"/>
        </w:rPr>
        <w:t>двигателями «Merlin 65», импортированными из Великобритании. Эти самолеты рассматривались достаточно отличными от существующей модели «Mustang», и им дали новое обозначение «XP-78». Для переоборудования NAA выбрала два «P-51» из партии непоставленных RAF «Mustang IA», которыми повторно обладали USAAF с серийными номерами 41-37350 и 41-37421. Внутри компании NAA проект получил обозначение «NA-101». В ходе работы над проектом обозначение этих двух самолетов изменили на «XP-51B». Большую роль в переоборудовании самолетов сыграли ранние работы «Rolls-Royce», хотя британская двигателестроительная фирма не участвовала в проекте. Инженеры «North American» переместили воздухозаборник карбюратора в нижнюю часть капота двигателя, чтобы обеспечить нормальную работу карбюратора с восходящим потоком двигателя «Merlin». Воздухо-воздушный радиатор охладителя был добавлен к группе радиаторов, расположенной внутри совкового воздухозаборника под фюзеляжем. Подфюзеляжная группа радиаторов была размещена заметно глубже чем прежде и имела остроугольный вход, расположенный в более чем двух дюймах от нижней стороны фюзеляжа. Были изменены створки подфюзеляжной системы радиаторов. Маслорадиатор из центральной части круглого радиатора охлаждающей жидкости переместили к кромке трубы и оснастили индивидуальным воздухозаборником с регулируемым входом. За радиатором охлаждающей жидкости разместили прямоугольный воздухо-</w:t>
      </w:r>
      <w:r w:rsidRPr="001E2C69">
        <w:rPr>
          <w:rFonts w:ascii="Times New Roman" w:hAnsi="Times New Roman"/>
          <w:color w:val="000000" w:themeColor="text1"/>
          <w:sz w:val="16"/>
          <w:szCs w:val="16"/>
        </w:rPr>
        <w:lastRenderedPageBreak/>
        <w:t>воздушный радиатор охладителя. Выходной канал в хвостовой части получил большее сечение. Из-за возросшей скорости и нагрузок потребовалось усиление планера. Были применены новые элероны и усиленные подкрыльные точки подвески, на которых появилась возможность размещения двух 1000 фунтовых бомб или двух топливных баков аналогичного веса. На самолеты установили новый четырехлопастный пропеллер Hamilton Standard Hydromatic диаметром 11 футов 2 дюйма с широкими лопастями. С самолетов полностью сняли все оборудование для установки двух синхронизированных 12,7 мм пулеметов и вооружение состояло только из четырех 12,7 мм пулеметов, установленных попарно в крыльях. В августе 1942 года на основе оценочных данных «NAA» было заказано 400 «P-51B». Заказ последовал еще до полета первого прототипа (14963).</w:t>
      </w:r>
    </w:p>
    <w:p w14:paraId="767FD14E" w14:textId="77777777" w:rsidR="00CF69B5" w:rsidRPr="001E2C69" w:rsidRDefault="00CF69B5" w:rsidP="00722885">
      <w:pPr>
        <w:spacing w:after="0" w:line="240" w:lineRule="auto"/>
        <w:jc w:val="both"/>
        <w:rPr>
          <w:rFonts w:ascii="Times New Roman" w:hAnsi="Times New Roman"/>
          <w:color w:val="000000" w:themeColor="text1"/>
          <w:sz w:val="16"/>
          <w:szCs w:val="16"/>
        </w:rPr>
      </w:pPr>
    </w:p>
    <w:p w14:paraId="208D8890" w14:textId="77777777" w:rsidR="00CF69B5" w:rsidRPr="001E2C69" w:rsidRDefault="00CF69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июля в 1942 году на заседании англо-американского объединенного комитета начальников штабов в Лондоне принято решение о проведении операции «Торч» - высадке десанта в Северной Африке (14963).</w:t>
      </w:r>
    </w:p>
    <w:p w14:paraId="70BCAD17" w14:textId="77777777" w:rsidR="00CF69B5" w:rsidRPr="001E2C69" w:rsidRDefault="00CF69B5" w:rsidP="00722885">
      <w:pPr>
        <w:spacing w:after="0" w:line="240" w:lineRule="auto"/>
        <w:jc w:val="both"/>
        <w:rPr>
          <w:rFonts w:ascii="Times New Roman" w:hAnsi="Times New Roman"/>
          <w:color w:val="000000" w:themeColor="text1"/>
          <w:sz w:val="16"/>
          <w:szCs w:val="16"/>
        </w:rPr>
      </w:pPr>
    </w:p>
    <w:p w14:paraId="11492EB7"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3F91D090" w14:textId="77777777" w:rsidR="00AE7191" w:rsidRPr="001E2C69" w:rsidRDefault="00AE7191" w:rsidP="00722885">
      <w:pPr>
        <w:pStyle w:val="Iauiue"/>
        <w:jc w:val="both"/>
        <w:rPr>
          <w:iCs/>
          <w:color w:val="000000" w:themeColor="text1"/>
          <w:sz w:val="16"/>
          <w:szCs w:val="16"/>
        </w:rPr>
      </w:pPr>
    </w:p>
    <w:p w14:paraId="57FAF2F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26 июля 1942 С.В.И. писал А.И.Ш. письмо N 339с:</w:t>
      </w:r>
    </w:p>
    <w:p w14:paraId="5148A31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169, изготавливающий хвостовые части фюзеляжа самолета Ил-2 для завода 30, дает продукцию низкого и недопустимо непостоянного качества. Контроль за изготавливаемой продукцией поставлен плохо.</w:t>
      </w:r>
    </w:p>
    <w:p w14:paraId="6AA642C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результате такого положения на заводе 30 был целый ряд случаев разрушения хвостов на самолетах, еще не дошедших до частей.</w:t>
      </w:r>
    </w:p>
    <w:p w14:paraId="075CFC2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Примеры:</w:t>
      </w:r>
    </w:p>
    <w:p w14:paraId="1542238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Испытанные 2 уже усиленных фюзеляжа показали прочность один - 90%, другой - 126% вместо 179% по испытаниям фюзеляжа завода 18, сделанного по тем же чертежам.</w:t>
      </w:r>
    </w:p>
    <w:p w14:paraId="255AF20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результате такого положения уже и усиленные фюзеляжи выпускаются непрочными и если в течение ближайших дней качество не будет улучшено, то необходимо будет остановить производство хвостов на завода 169.</w:t>
      </w:r>
    </w:p>
    <w:p w14:paraId="2D04B30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169 не сделал для себя выводов из целого ряда фактов и до последнего времени не улучшил качество продукции и не усилил контроля, а завод 30 ставить хвостовые части также без достаточного контроля, по-видимому считая, что за хвосты несет полную ответственность завод 169. Для того, чтобы покончить с недоброкачественной продукцией, завод 169 необходимо подчинить заводу 30 с тем, чтобы последний имел возможность по-хозяйски наладить технологический процесс, навести порядок и нести полную ответственность за выпускаемый самолет Ил-2 (1680,88).</w:t>
      </w:r>
    </w:p>
    <w:p w14:paraId="28556A10" w14:textId="77777777" w:rsidR="00AE7191" w:rsidRPr="001E2C69" w:rsidRDefault="00AE7191" w:rsidP="00722885">
      <w:pPr>
        <w:pStyle w:val="Iauiue"/>
        <w:jc w:val="both"/>
        <w:rPr>
          <w:color w:val="000000" w:themeColor="text1"/>
          <w:sz w:val="16"/>
          <w:szCs w:val="16"/>
        </w:rPr>
      </w:pPr>
    </w:p>
    <w:p w14:paraId="6FD2C31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 июля 1942 вышло Постановление ГКО № 2105 О постройке реактивного самолета-перехватчика конструкции т. Костикова. РГАНИР, Фонд ГКО, д. 48, лл. 32-33 (11012).</w:t>
      </w:r>
    </w:p>
    <w:p w14:paraId="039292E3"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919BFFF"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 июля 1942 вышло Постановление ГКО № 2105 О постройке реактивного самолета-перехватчика конструкции т. Костикова</w:t>
      </w:r>
    </w:p>
    <w:p w14:paraId="5BE74F95"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Государственный комитет обороны постановляет:</w:t>
      </w:r>
    </w:p>
    <w:p w14:paraId="53E4FEF0"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Обязать Наркомавиапром тов. Шахурина и главного кон</w:t>
      </w:r>
      <w:r w:rsidRPr="001E2C69">
        <w:rPr>
          <w:rFonts w:ascii="Times New Roman" w:hAnsi="Times New Roman"/>
          <w:color w:val="000000" w:themeColor="text1"/>
          <w:sz w:val="16"/>
          <w:szCs w:val="16"/>
        </w:rPr>
        <w:softHyphen/>
        <w:t>структора тов.Костикова спроектировать и построить реактив</w:t>
      </w:r>
      <w:r w:rsidRPr="001E2C69">
        <w:rPr>
          <w:rFonts w:ascii="Times New Roman" w:hAnsi="Times New Roman"/>
          <w:color w:val="000000" w:themeColor="text1"/>
          <w:sz w:val="16"/>
          <w:szCs w:val="16"/>
        </w:rPr>
        <w:softHyphen/>
        <w:t>ный самолет-перехватчик в количестве пяти экземпляров со следующими летно-техническимк данными:</w:t>
      </w:r>
    </w:p>
    <w:p w14:paraId="1315280A"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Максимальная скорость у земли и на высоте 8000 мт - 720 км/час</w:t>
      </w:r>
    </w:p>
    <w:p w14:paraId="2DADBBDC"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форсажем - 820 км/час</w:t>
      </w:r>
    </w:p>
    <w:p w14:paraId="7D0CB18C"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Время набора высоты 5000 мт - 1,9 мин.</w:t>
      </w:r>
    </w:p>
    <w:p w14:paraId="6B0444C3"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Продолжительность полета на скорости 800 км/час на высо</w:t>
      </w:r>
      <w:r w:rsidRPr="001E2C69">
        <w:rPr>
          <w:rFonts w:ascii="Times New Roman" w:hAnsi="Times New Roman"/>
          <w:color w:val="000000" w:themeColor="text1"/>
          <w:sz w:val="16"/>
          <w:szCs w:val="16"/>
        </w:rPr>
        <w:softHyphen/>
        <w:t>те 8000 мт - 20 мин</w:t>
      </w:r>
    </w:p>
    <w:p w14:paraId="1DCEE541"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Потолок практический - 10000 м</w:t>
      </w:r>
    </w:p>
    <w:p w14:paraId="253D9E32"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Посадочная скорость с выго</w:t>
      </w:r>
      <w:r w:rsidRPr="001E2C69">
        <w:rPr>
          <w:rFonts w:ascii="Times New Roman" w:hAnsi="Times New Roman"/>
          <w:color w:val="000000" w:themeColor="text1"/>
          <w:sz w:val="16"/>
          <w:szCs w:val="16"/>
        </w:rPr>
        <w:softHyphen/>
        <w:t>ревшим горючим - 130 км/час</w:t>
      </w:r>
    </w:p>
    <w:p w14:paraId="47EAA4C1"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Вооружение:</w:t>
      </w:r>
    </w:p>
    <w:p w14:paraId="0FBF499F"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неподвижных пушки калибра 20 мм с боезапасом 340 снарядов</w:t>
      </w:r>
    </w:p>
    <w:p w14:paraId="38781382"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Самолет построить с двумя вариантами воздушно-реактив</w:t>
      </w:r>
      <w:r w:rsidRPr="001E2C69">
        <w:rPr>
          <w:rFonts w:ascii="Times New Roman" w:hAnsi="Times New Roman"/>
          <w:color w:val="000000" w:themeColor="text1"/>
          <w:sz w:val="16"/>
          <w:szCs w:val="16"/>
        </w:rPr>
        <w:softHyphen/>
        <w:t>ных двигателей по 2 экз. каждого варианта и 1 экз. для ста</w:t>
      </w:r>
      <w:r w:rsidRPr="001E2C69">
        <w:rPr>
          <w:rFonts w:ascii="Times New Roman" w:hAnsi="Times New Roman"/>
          <w:color w:val="000000" w:themeColor="text1"/>
          <w:sz w:val="16"/>
          <w:szCs w:val="16"/>
        </w:rPr>
        <w:softHyphen/>
        <w:t>тических испытаний.</w:t>
      </w:r>
    </w:p>
    <w:p w14:paraId="71912549"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Срок постройки с прсд"явлекием на совместные испытания:</w:t>
      </w:r>
    </w:p>
    <w:p w14:paraId="68505129"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первого варианта самолета - 15 марта 1943 года второго варианта самолета - 15 мая 1943 года.</w:t>
      </w:r>
    </w:p>
    <w:p w14:paraId="6C46849B" w14:textId="77777777" w:rsidR="0044627C" w:rsidRPr="001E2C69" w:rsidRDefault="0044627C" w:rsidP="00722885">
      <w:pPr>
        <w:tabs>
          <w:tab w:val="left" w:pos="1113"/>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Постройку самолета произвести на заводе № 156 НКАП, на котором Народному комиссару т.Шахурину и директору заво</w:t>
      </w:r>
      <w:r w:rsidRPr="001E2C69">
        <w:rPr>
          <w:rFonts w:ascii="Times New Roman" w:hAnsi="Times New Roman"/>
          <w:color w:val="000000" w:themeColor="text1"/>
          <w:sz w:val="16"/>
          <w:szCs w:val="16"/>
        </w:rPr>
        <w:softHyphen/>
        <w:t>да тов.Ржищеву организовать опытно-конструкторское бюро тов.Костикова с опытным цехом при нем.</w:t>
      </w:r>
    </w:p>
    <w:p w14:paraId="685A3208" w14:textId="77777777" w:rsidR="0044627C" w:rsidRPr="001E2C69" w:rsidRDefault="0044627C" w:rsidP="00722885">
      <w:pPr>
        <w:tabs>
          <w:tab w:val="left" w:pos="1118"/>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Главным конструктором специального ОКБ на заводе № 156 назначить тов.Костикова с сохранением за ним должности директора и главного конструктора Института Реактивной Тех</w:t>
      </w:r>
      <w:r w:rsidRPr="001E2C69">
        <w:rPr>
          <w:rFonts w:ascii="Times New Roman" w:hAnsi="Times New Roman"/>
          <w:color w:val="000000" w:themeColor="text1"/>
          <w:sz w:val="16"/>
          <w:szCs w:val="16"/>
        </w:rPr>
        <w:softHyphen/>
        <w:t>ники .</w:t>
      </w:r>
    </w:p>
    <w:p w14:paraId="673E4355" w14:textId="77777777" w:rsidR="0044627C" w:rsidRPr="001E2C69" w:rsidRDefault="0044627C" w:rsidP="00722885">
      <w:pPr>
        <w:tabs>
          <w:tab w:val="left" w:pos="112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Народному Комиссару т.Шахурину перевести в ОКБ за</w:t>
      </w:r>
      <w:r w:rsidRPr="001E2C69">
        <w:rPr>
          <w:rFonts w:ascii="Times New Roman" w:hAnsi="Times New Roman"/>
          <w:color w:val="000000" w:themeColor="text1"/>
          <w:sz w:val="16"/>
          <w:szCs w:val="16"/>
        </w:rPr>
        <w:softHyphen/>
        <w:t xml:space="preserve">вода № </w:t>
      </w:r>
      <w:r w:rsidRPr="001E2C69">
        <w:rPr>
          <w:rStyle w:val="0pt"/>
          <w:rFonts w:ascii="Times New Roman" w:hAnsi="Times New Roman" w:cs="Times New Roman"/>
          <w:color w:val="000000" w:themeColor="text1"/>
          <w:spacing w:val="0"/>
          <w:sz w:val="16"/>
          <w:szCs w:val="16"/>
        </w:rPr>
        <w:t>156</w:t>
      </w:r>
      <w:r w:rsidRPr="001E2C69">
        <w:rPr>
          <w:rFonts w:ascii="Times New Roman" w:hAnsi="Times New Roman"/>
          <w:color w:val="000000" w:themeColor="text1"/>
          <w:sz w:val="16"/>
          <w:szCs w:val="16"/>
        </w:rPr>
        <w:t xml:space="preserve"> с завода № </w:t>
      </w:r>
      <w:r w:rsidRPr="001E2C69">
        <w:rPr>
          <w:rStyle w:val="0pt"/>
          <w:rFonts w:ascii="Times New Roman" w:hAnsi="Times New Roman" w:cs="Times New Roman"/>
          <w:color w:val="000000" w:themeColor="text1"/>
          <w:spacing w:val="0"/>
          <w:sz w:val="16"/>
          <w:szCs w:val="16"/>
        </w:rPr>
        <w:t>166</w:t>
      </w:r>
      <w:r w:rsidRPr="001E2C69">
        <w:rPr>
          <w:rFonts w:ascii="Times New Roman" w:hAnsi="Times New Roman"/>
          <w:color w:val="000000" w:themeColor="text1"/>
          <w:sz w:val="16"/>
          <w:szCs w:val="16"/>
        </w:rPr>
        <w:t xml:space="preserve"> группу конструкторов и производ</w:t>
      </w:r>
      <w:r w:rsidRPr="001E2C69">
        <w:rPr>
          <w:rFonts w:ascii="Times New Roman" w:hAnsi="Times New Roman"/>
          <w:color w:val="000000" w:themeColor="text1"/>
          <w:sz w:val="16"/>
          <w:szCs w:val="16"/>
        </w:rPr>
        <w:softHyphen/>
        <w:t>ственников из бывшего ОКБ -</w:t>
      </w:r>
      <w:r w:rsidRPr="001E2C69">
        <w:rPr>
          <w:rStyle w:val="CenturyGothic85pt0pt"/>
          <w:rFonts w:ascii="Times New Roman" w:hAnsi="Times New Roman" w:cs="Times New Roman"/>
          <w:color w:val="000000" w:themeColor="text1"/>
          <w:spacing w:val="0"/>
          <w:sz w:val="16"/>
          <w:szCs w:val="16"/>
          <w:lang w:val="ru-RU"/>
        </w:rPr>
        <w:t xml:space="preserve"> тов</w:t>
      </w:r>
      <w:r w:rsidRPr="001E2C69">
        <w:rPr>
          <w:rFonts w:ascii="Times New Roman" w:hAnsi="Times New Roman"/>
          <w:color w:val="000000" w:themeColor="text1"/>
          <w:sz w:val="16"/>
          <w:szCs w:val="16"/>
        </w:rPr>
        <w:t>. Архангельского по списку НКАП.</w:t>
      </w:r>
    </w:p>
    <w:p w14:paraId="5AA9F955" w14:textId="77777777" w:rsidR="0044627C" w:rsidRPr="001E2C69" w:rsidRDefault="0044627C" w:rsidP="00722885">
      <w:pPr>
        <w:tabs>
          <w:tab w:val="left" w:pos="95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Народному Комиссару Путей Сообщения - т.Хрулеву пе</w:t>
      </w:r>
      <w:r w:rsidRPr="001E2C69">
        <w:rPr>
          <w:rFonts w:ascii="Times New Roman" w:hAnsi="Times New Roman"/>
          <w:color w:val="000000" w:themeColor="text1"/>
          <w:sz w:val="16"/>
          <w:szCs w:val="16"/>
        </w:rPr>
        <w:softHyphen/>
        <w:t>ревести в Москву в трехнедельный срок личный состав для ОКБ тов.Костикова из г.Омска и г.Свердловска по спискам НКАП</w:t>
      </w:r>
    </w:p>
    <w:p w14:paraId="45CF0978" w14:textId="77777777" w:rsidR="0044627C" w:rsidRPr="001E2C69" w:rsidRDefault="0044627C" w:rsidP="00722885">
      <w:pPr>
        <w:tabs>
          <w:tab w:val="left" w:pos="95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Народному Комиссару Вооружения тов.Устинову организо</w:t>
      </w:r>
      <w:r w:rsidRPr="001E2C69">
        <w:rPr>
          <w:rFonts w:ascii="Times New Roman" w:hAnsi="Times New Roman"/>
          <w:color w:val="000000" w:themeColor="text1"/>
          <w:sz w:val="16"/>
          <w:szCs w:val="16"/>
        </w:rPr>
        <w:softHyphen/>
        <w:t xml:space="preserve">вать изготовление прошитых, кованных заготовок из стали ЭК17 в количестве 10 тонн по спецификации завода № </w:t>
      </w:r>
      <w:r w:rsidRPr="001E2C69">
        <w:rPr>
          <w:rStyle w:val="0pt"/>
          <w:rFonts w:ascii="Times New Roman" w:hAnsi="Times New Roman" w:cs="Times New Roman"/>
          <w:color w:val="000000" w:themeColor="text1"/>
          <w:spacing w:val="0"/>
          <w:sz w:val="16"/>
          <w:szCs w:val="16"/>
        </w:rPr>
        <w:t>156</w:t>
      </w:r>
      <w:r w:rsidRPr="001E2C69">
        <w:rPr>
          <w:rFonts w:ascii="Times New Roman" w:hAnsi="Times New Roman"/>
          <w:color w:val="000000" w:themeColor="text1"/>
          <w:sz w:val="16"/>
          <w:szCs w:val="16"/>
        </w:rPr>
        <w:t xml:space="preserve"> к </w:t>
      </w:r>
      <w:r w:rsidRPr="001E2C69">
        <w:rPr>
          <w:rStyle w:val="0pt"/>
          <w:rFonts w:ascii="Times New Roman" w:hAnsi="Times New Roman" w:cs="Times New Roman"/>
          <w:color w:val="000000" w:themeColor="text1"/>
          <w:spacing w:val="0"/>
          <w:sz w:val="16"/>
          <w:szCs w:val="16"/>
        </w:rPr>
        <w:t>15</w:t>
      </w:r>
      <w:r w:rsidRPr="001E2C69">
        <w:rPr>
          <w:rFonts w:ascii="Times New Roman" w:hAnsi="Times New Roman"/>
          <w:color w:val="000000" w:themeColor="text1"/>
          <w:sz w:val="16"/>
          <w:szCs w:val="16"/>
        </w:rPr>
        <w:t xml:space="preserve"> сен</w:t>
      </w:r>
      <w:r w:rsidRPr="001E2C69">
        <w:rPr>
          <w:rFonts w:ascii="Times New Roman" w:hAnsi="Times New Roman"/>
          <w:color w:val="000000" w:themeColor="text1"/>
          <w:sz w:val="16"/>
          <w:szCs w:val="16"/>
        </w:rPr>
        <w:softHyphen/>
        <w:t>тября с. г.</w:t>
      </w:r>
    </w:p>
    <w:p w14:paraId="32AB2766" w14:textId="77777777" w:rsidR="0044627C" w:rsidRPr="001E2C69" w:rsidRDefault="0044627C" w:rsidP="00722885">
      <w:pPr>
        <w:tabs>
          <w:tab w:val="left" w:pos="958"/>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Народному Комиссару Минометного Вооружения тов.Парши</w:t>
      </w:r>
      <w:r w:rsidRPr="001E2C69">
        <w:rPr>
          <w:rFonts w:ascii="Times New Roman" w:hAnsi="Times New Roman"/>
          <w:color w:val="000000" w:themeColor="text1"/>
          <w:sz w:val="16"/>
          <w:szCs w:val="16"/>
        </w:rPr>
        <w:softHyphen/>
        <w:t>ну организовать во Всесоюзном Институте Гидро-машиностроения проектирование и изготовление по техническим требованиям заво</w:t>
      </w:r>
      <w:r w:rsidRPr="001E2C69">
        <w:rPr>
          <w:rFonts w:ascii="Times New Roman" w:hAnsi="Times New Roman"/>
          <w:color w:val="000000" w:themeColor="text1"/>
          <w:sz w:val="16"/>
          <w:szCs w:val="16"/>
        </w:rPr>
        <w:softHyphen/>
      </w:r>
      <w:r w:rsidRPr="001E2C69">
        <w:rPr>
          <w:rStyle w:val="0pt"/>
          <w:rFonts w:ascii="Times New Roman" w:hAnsi="Times New Roman" w:cs="Times New Roman"/>
          <w:color w:val="000000" w:themeColor="text1"/>
          <w:spacing w:val="0"/>
          <w:sz w:val="16"/>
          <w:szCs w:val="16"/>
        </w:rPr>
        <w:t xml:space="preserve">да </w:t>
      </w:r>
      <w:r w:rsidRPr="001E2C69">
        <w:rPr>
          <w:rStyle w:val="0pt"/>
          <w:rFonts w:ascii="Times New Roman" w:eastAsia="Calibri" w:hAnsi="Times New Roman" w:cs="Times New Roman"/>
          <w:color w:val="000000" w:themeColor="text1"/>
          <w:spacing w:val="0"/>
          <w:sz w:val="16"/>
          <w:szCs w:val="16"/>
        </w:rPr>
        <w:t>№</w:t>
      </w:r>
      <w:r w:rsidRPr="001E2C69">
        <w:rPr>
          <w:rStyle w:val="0pt"/>
          <w:rFonts w:ascii="Times New Roman" w:hAnsi="Times New Roman" w:cs="Times New Roman"/>
          <w:color w:val="000000" w:themeColor="text1"/>
          <w:spacing w:val="0"/>
          <w:sz w:val="16"/>
          <w:szCs w:val="16"/>
        </w:rPr>
        <w:t xml:space="preserve"> 15</w:t>
      </w:r>
      <w:r w:rsidRPr="001E2C69">
        <w:rPr>
          <w:rStyle w:val="0pt"/>
          <w:rFonts w:ascii="Times New Roman" w:eastAsia="Calibri" w:hAnsi="Times New Roman" w:cs="Times New Roman"/>
          <w:color w:val="000000" w:themeColor="text1"/>
          <w:spacing w:val="0"/>
          <w:sz w:val="16"/>
          <w:szCs w:val="16"/>
        </w:rPr>
        <w:t>6</w:t>
      </w:r>
      <w:r w:rsidRPr="001E2C69">
        <w:rPr>
          <w:rFonts w:ascii="Times New Roman" w:hAnsi="Times New Roman"/>
          <w:color w:val="000000" w:themeColor="text1"/>
          <w:sz w:val="16"/>
          <w:szCs w:val="16"/>
        </w:rPr>
        <w:t xml:space="preserve"> насосных установок в пяти экземплярах:</w:t>
      </w:r>
    </w:p>
    <w:p w14:paraId="6B132F9F"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 экз. к 1 сентября </w:t>
      </w:r>
      <w:r w:rsidRPr="001E2C69">
        <w:rPr>
          <w:rStyle w:val="0pt"/>
          <w:rFonts w:ascii="Times New Roman" w:hAnsi="Times New Roman" w:cs="Times New Roman"/>
          <w:color w:val="000000" w:themeColor="text1"/>
          <w:spacing w:val="0"/>
          <w:sz w:val="16"/>
          <w:szCs w:val="16"/>
        </w:rPr>
        <w:t>1942</w:t>
      </w:r>
      <w:r w:rsidRPr="001E2C69">
        <w:rPr>
          <w:rFonts w:ascii="Times New Roman" w:hAnsi="Times New Roman"/>
          <w:color w:val="000000" w:themeColor="text1"/>
          <w:sz w:val="16"/>
          <w:szCs w:val="16"/>
        </w:rPr>
        <w:t xml:space="preserve"> года</w:t>
      </w:r>
    </w:p>
    <w:p w14:paraId="5A16D01C"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4 экз. к 1 декабря </w:t>
      </w:r>
      <w:r w:rsidRPr="001E2C69">
        <w:rPr>
          <w:rStyle w:val="0pt"/>
          <w:rFonts w:ascii="Times New Roman" w:hAnsi="Times New Roman" w:cs="Times New Roman"/>
          <w:color w:val="000000" w:themeColor="text1"/>
          <w:spacing w:val="0"/>
          <w:sz w:val="16"/>
          <w:szCs w:val="16"/>
        </w:rPr>
        <w:t>1942</w:t>
      </w:r>
      <w:r w:rsidRPr="001E2C69">
        <w:rPr>
          <w:rFonts w:ascii="Times New Roman" w:hAnsi="Times New Roman"/>
          <w:color w:val="000000" w:themeColor="text1"/>
          <w:sz w:val="16"/>
          <w:szCs w:val="16"/>
        </w:rPr>
        <w:t xml:space="preserve"> года.</w:t>
      </w:r>
    </w:p>
    <w:p w14:paraId="383AAAFF"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Народному Комиссару Авиационной промышленности тов.Шахурину окавать помощь Всесоюзному</w:t>
      </w:r>
      <w:r w:rsidRPr="001E2C69">
        <w:rPr>
          <w:rStyle w:val="85pt"/>
          <w:rFonts w:ascii="Times New Roman" w:hAnsi="Times New Roman" w:cs="Times New Roman"/>
          <w:color w:val="000000" w:themeColor="text1"/>
          <w:spacing w:val="0"/>
          <w:sz w:val="16"/>
          <w:szCs w:val="16"/>
        </w:rPr>
        <w:t xml:space="preserve"> Институту</w:t>
      </w:r>
      <w:r w:rsidRPr="001E2C69">
        <w:rPr>
          <w:rFonts w:ascii="Times New Roman" w:hAnsi="Times New Roman"/>
          <w:color w:val="000000" w:themeColor="text1"/>
          <w:sz w:val="16"/>
          <w:szCs w:val="16"/>
        </w:rPr>
        <w:t xml:space="preserve"> Гидро-машиностроения изготовив лопатки и литье для турбин на заводах ИКАЛ.</w:t>
      </w:r>
    </w:p>
    <w:p w14:paraId="3DBED6E6" w14:textId="77777777" w:rsidR="0044627C" w:rsidRPr="001E2C69" w:rsidRDefault="0044627C" w:rsidP="00722885">
      <w:pPr>
        <w:tabs>
          <w:tab w:val="left" w:pos="958"/>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Председателю Моссовета тов.Пронину обеспечить прописку в Москве и возвращение квартир, ранее занимавшихся переводимы</w:t>
      </w:r>
      <w:r w:rsidRPr="001E2C69">
        <w:rPr>
          <w:rFonts w:ascii="Times New Roman" w:hAnsi="Times New Roman"/>
          <w:color w:val="000000" w:themeColor="text1"/>
          <w:sz w:val="16"/>
          <w:szCs w:val="16"/>
        </w:rPr>
        <w:softHyphen/>
        <w:t xml:space="preserve">ми в Москву из других городов сотрудниками ОКБ завода' </w:t>
      </w:r>
      <w:r w:rsidRPr="001E2C69">
        <w:rPr>
          <w:rStyle w:val="0pt"/>
          <w:rFonts w:ascii="Times New Roman" w:hAnsi="Times New Roman" w:cs="Times New Roman"/>
          <w:color w:val="000000" w:themeColor="text1"/>
          <w:spacing w:val="0"/>
          <w:sz w:val="16"/>
          <w:szCs w:val="16"/>
        </w:rPr>
        <w:t xml:space="preserve">156 по </w:t>
      </w:r>
      <w:r w:rsidRPr="001E2C69">
        <w:rPr>
          <w:rFonts w:ascii="Times New Roman" w:hAnsi="Times New Roman"/>
          <w:color w:val="000000" w:themeColor="text1"/>
          <w:sz w:val="16"/>
          <w:szCs w:val="16"/>
        </w:rPr>
        <w:t xml:space="preserve">спискам НКАП, общим количеством до </w:t>
      </w:r>
      <w:r w:rsidRPr="001E2C69">
        <w:rPr>
          <w:rStyle w:val="0pt"/>
          <w:rFonts w:ascii="Times New Roman" w:hAnsi="Times New Roman" w:cs="Times New Roman"/>
          <w:color w:val="000000" w:themeColor="text1"/>
          <w:spacing w:val="0"/>
          <w:sz w:val="16"/>
          <w:szCs w:val="16"/>
        </w:rPr>
        <w:t>300</w:t>
      </w:r>
      <w:r w:rsidRPr="001E2C69">
        <w:rPr>
          <w:rFonts w:ascii="Times New Roman" w:hAnsi="Times New Roman"/>
          <w:color w:val="000000" w:themeColor="text1"/>
          <w:sz w:val="16"/>
          <w:szCs w:val="16"/>
        </w:rPr>
        <w:t xml:space="preserve"> человек.</w:t>
      </w:r>
    </w:p>
    <w:p w14:paraId="5D46FC5C" w14:textId="77777777" w:rsidR="0044627C" w:rsidRPr="001E2C69" w:rsidRDefault="0044627C" w:rsidP="00722885">
      <w:pPr>
        <w:tabs>
          <w:tab w:val="left" w:pos="95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Народному Комиссару Внешней Торговли тов.Микояну выде</w:t>
      </w:r>
      <w:r w:rsidRPr="001E2C69">
        <w:rPr>
          <w:rFonts w:ascii="Times New Roman" w:hAnsi="Times New Roman"/>
          <w:color w:val="000000" w:themeColor="text1"/>
          <w:sz w:val="16"/>
          <w:szCs w:val="16"/>
        </w:rPr>
        <w:softHyphen/>
        <w:t xml:space="preserve">лить в июле-августе </w:t>
      </w:r>
      <w:r w:rsidRPr="001E2C69">
        <w:rPr>
          <w:rStyle w:val="0pt"/>
          <w:rFonts w:ascii="Times New Roman" w:hAnsi="Times New Roman" w:cs="Times New Roman"/>
          <w:color w:val="000000" w:themeColor="text1"/>
          <w:spacing w:val="0"/>
          <w:sz w:val="16"/>
          <w:szCs w:val="16"/>
        </w:rPr>
        <w:t>1942</w:t>
      </w:r>
      <w:r w:rsidRPr="001E2C69">
        <w:rPr>
          <w:rFonts w:ascii="Times New Roman" w:hAnsi="Times New Roman"/>
          <w:color w:val="000000" w:themeColor="text1"/>
          <w:sz w:val="16"/>
          <w:szCs w:val="16"/>
        </w:rPr>
        <w:t xml:space="preserve"> года:</w:t>
      </w:r>
    </w:p>
    <w:p w14:paraId="074C4837" w14:textId="77777777" w:rsidR="0044627C" w:rsidRPr="001E2C69" w:rsidRDefault="0044627C" w:rsidP="00722885">
      <w:pPr>
        <w:tabs>
          <w:tab w:val="left" w:pos="958"/>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из числа поступающих по импорту - 25 металлорежущих станков;</w:t>
      </w:r>
    </w:p>
    <w:p w14:paraId="147B23F3" w14:textId="77777777" w:rsidR="0044627C" w:rsidRPr="001E2C69" w:rsidRDefault="0044627C" w:rsidP="00722885">
      <w:pPr>
        <w:tabs>
          <w:tab w:val="left" w:pos="973"/>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из числа поступающих по импорту или в счет поставок НКО: три трехтонки, три полуторатонки, один Пикап и две легко</w:t>
      </w:r>
      <w:r w:rsidRPr="001E2C69">
        <w:rPr>
          <w:rFonts w:ascii="Times New Roman" w:hAnsi="Times New Roman"/>
          <w:color w:val="000000" w:themeColor="text1"/>
          <w:sz w:val="16"/>
          <w:szCs w:val="16"/>
        </w:rPr>
        <w:softHyphen/>
        <w:t>вых автомашины.</w:t>
      </w:r>
    </w:p>
    <w:p w14:paraId="531EDD12" w14:textId="77777777" w:rsidR="0044627C" w:rsidRPr="001E2C69" w:rsidRDefault="0044627C" w:rsidP="00722885">
      <w:pPr>
        <w:tabs>
          <w:tab w:val="left" w:pos="1105"/>
        </w:tabs>
        <w:spacing w:after="0" w:line="240" w:lineRule="auto"/>
        <w:jc w:val="both"/>
        <w:rPr>
          <w:rFonts w:ascii="Times New Roman" w:hAnsi="Times New Roman"/>
          <w:color w:val="000000" w:themeColor="text1"/>
          <w:sz w:val="16"/>
          <w:szCs w:val="16"/>
        </w:rPr>
      </w:pPr>
      <w:r w:rsidRPr="001E2C69">
        <w:rPr>
          <w:rStyle w:val="0pt"/>
          <w:rFonts w:ascii="Times New Roman" w:hAnsi="Times New Roman" w:cs="Times New Roman"/>
          <w:color w:val="000000" w:themeColor="text1"/>
          <w:spacing w:val="0"/>
          <w:sz w:val="16"/>
          <w:szCs w:val="16"/>
        </w:rPr>
        <w:t>10.</w:t>
      </w:r>
      <w:r w:rsidRPr="001E2C69">
        <w:rPr>
          <w:rFonts w:ascii="Times New Roman" w:hAnsi="Times New Roman"/>
          <w:color w:val="000000" w:themeColor="text1"/>
          <w:sz w:val="16"/>
          <w:szCs w:val="16"/>
        </w:rPr>
        <w:t xml:space="preserve"> Наркомфину тов.Звереву выделить Наркомавиапрому из резервного фонда СНК СССР на обосудование </w:t>
      </w:r>
      <w:r w:rsidRPr="001E2C69">
        <w:rPr>
          <w:rStyle w:val="85pt"/>
          <w:rFonts w:ascii="Times New Roman" w:hAnsi="Times New Roman" w:cs="Times New Roman"/>
          <w:color w:val="000000" w:themeColor="text1"/>
          <w:spacing w:val="0"/>
          <w:sz w:val="16"/>
          <w:szCs w:val="16"/>
        </w:rPr>
        <w:t>ОКБ</w:t>
      </w:r>
      <w:r w:rsidRPr="001E2C69">
        <w:rPr>
          <w:rFonts w:ascii="Times New Roman" w:hAnsi="Times New Roman"/>
          <w:color w:val="000000" w:themeColor="text1"/>
          <w:sz w:val="16"/>
          <w:szCs w:val="16"/>
        </w:rPr>
        <w:t xml:space="preserve"> и опытного цеха завода № </w:t>
      </w:r>
      <w:r w:rsidRPr="001E2C69">
        <w:rPr>
          <w:rStyle w:val="0pt"/>
          <w:rFonts w:ascii="Times New Roman" w:hAnsi="Times New Roman" w:cs="Times New Roman"/>
          <w:color w:val="000000" w:themeColor="text1"/>
          <w:spacing w:val="0"/>
          <w:sz w:val="16"/>
          <w:szCs w:val="16"/>
        </w:rPr>
        <w:t>156</w:t>
      </w:r>
      <w:r w:rsidRPr="001E2C69">
        <w:rPr>
          <w:rFonts w:ascii="Times New Roman" w:hAnsi="Times New Roman"/>
          <w:color w:val="000000" w:themeColor="text1"/>
          <w:sz w:val="16"/>
          <w:szCs w:val="16"/>
        </w:rPr>
        <w:t xml:space="preserve"> и расходы по перевозке </w:t>
      </w:r>
      <w:r w:rsidRPr="001E2C69">
        <w:rPr>
          <w:rStyle w:val="0pt"/>
          <w:rFonts w:ascii="Times New Roman" w:hAnsi="Times New Roman" w:cs="Times New Roman"/>
          <w:color w:val="000000" w:themeColor="text1"/>
          <w:spacing w:val="0"/>
          <w:sz w:val="16"/>
          <w:szCs w:val="16"/>
        </w:rPr>
        <w:t>1.500.000</w:t>
      </w:r>
      <w:r w:rsidRPr="001E2C69">
        <w:rPr>
          <w:rFonts w:ascii="Times New Roman" w:hAnsi="Times New Roman"/>
          <w:color w:val="000000" w:themeColor="text1"/>
          <w:sz w:val="16"/>
          <w:szCs w:val="16"/>
        </w:rPr>
        <w:t xml:space="preserve"> рублей и на по</w:t>
      </w:r>
      <w:r w:rsidRPr="001E2C69">
        <w:rPr>
          <w:rFonts w:ascii="Times New Roman" w:hAnsi="Times New Roman"/>
          <w:color w:val="000000" w:themeColor="text1"/>
          <w:sz w:val="16"/>
          <w:szCs w:val="16"/>
        </w:rPr>
        <w:softHyphen/>
        <w:t xml:space="preserve">стройку самолетов-перехватчиков </w:t>
      </w:r>
      <w:r w:rsidRPr="001E2C69">
        <w:rPr>
          <w:rStyle w:val="0pt"/>
          <w:rFonts w:ascii="Times New Roman" w:hAnsi="Times New Roman" w:cs="Times New Roman"/>
          <w:color w:val="000000" w:themeColor="text1"/>
          <w:spacing w:val="0"/>
          <w:sz w:val="16"/>
          <w:szCs w:val="16"/>
        </w:rPr>
        <w:t>7.500.000</w:t>
      </w:r>
      <w:r w:rsidRPr="001E2C69">
        <w:rPr>
          <w:rFonts w:ascii="Times New Roman" w:hAnsi="Times New Roman"/>
          <w:color w:val="000000" w:themeColor="text1"/>
          <w:sz w:val="16"/>
          <w:szCs w:val="16"/>
        </w:rPr>
        <w:t xml:space="preserve"> рублей (19350).</w:t>
      </w:r>
    </w:p>
    <w:p w14:paraId="6213D36E" w14:textId="77777777" w:rsidR="009A1081" w:rsidRPr="001E2C69" w:rsidRDefault="009A1081" w:rsidP="00722885">
      <w:pPr>
        <w:spacing w:after="0" w:line="240" w:lineRule="auto"/>
        <w:jc w:val="both"/>
        <w:rPr>
          <w:rFonts w:ascii="Times New Roman" w:hAnsi="Times New Roman"/>
          <w:color w:val="000000" w:themeColor="text1"/>
          <w:sz w:val="16"/>
          <w:szCs w:val="16"/>
        </w:rPr>
      </w:pPr>
    </w:p>
    <w:p w14:paraId="2DA2FF4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26 июля 1942 вышло постановления ГКО N 2105сс о постройке реактивного истребителя-перехватчика конструкции А.Г.Костикова (1579,48) в НИИ-3 НКБ, а не НКАП. 302 д.б. иметь комбинированную установку из ЖРД + ВРД - ПВРД Мак. скорость на ПВРД 0 - 720-800 км/час, на 5000 м - 710-760, на 8000 м - 700-730 км/час, верт. скорость ЖРД + ПВРД - на 0 - 118 м/сек., на 5000 м - 123 м/сек., на 8000 м - 140 м/сек, на одном ЖРД - 22, 13, 10. Дальность на высоте 0 - 11 мин. и 146 км, на 5000 - 22 мин. и 195 км, на 8000 м - 26 мин. и 240 км. Нач. полетный вес - 3000 кг, дина - 8.7, высота - 3.2, размах - 9.55, запас топлива - 730 кг для ЖРД и 600-700 кг для ПВРД, 2 или 4 ШВАК, ЖРД - РД-1100, ПВРД (2168,4).</w:t>
      </w:r>
    </w:p>
    <w:p w14:paraId="6127F1E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Возможно это было постановление от 26 июня 1942.</w:t>
      </w:r>
    </w:p>
    <w:p w14:paraId="5477093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26 июля 1942 вышел приказ НКАП N 564с:</w:t>
      </w:r>
    </w:p>
    <w:p w14:paraId="75A9AA4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целях усиления руководства Куйбышевскими авиазаводами:</w:t>
      </w:r>
    </w:p>
    <w:p w14:paraId="08F6F03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Управление Уполномоченного НКАП по Куйбышевским авиазаводам реорганизовать в Управление Куйбышевскими авиазаводами, наименовав его 15 ГУ НКАП (1584,50).</w:t>
      </w:r>
    </w:p>
    <w:p w14:paraId="046B2AB5" w14:textId="77777777" w:rsidR="00AE7191" w:rsidRPr="001E2C69" w:rsidRDefault="00AE7191" w:rsidP="00722885">
      <w:pPr>
        <w:pStyle w:val="Iauiue"/>
        <w:jc w:val="both"/>
        <w:rPr>
          <w:color w:val="000000" w:themeColor="text1"/>
          <w:sz w:val="16"/>
          <w:szCs w:val="16"/>
        </w:rPr>
      </w:pPr>
    </w:p>
    <w:p w14:paraId="1E520D5D" w14:textId="77777777" w:rsidR="009C17EE" w:rsidRPr="001E2C69" w:rsidRDefault="009C17E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 июля 1942 в соответствии с пунктом 6 постановления от 15 июля 1942 г. вышло новое постановление № 2105. По этому постановлению: 1. НИИ-3 при СНК обязано спроектировать реактивный самолет. 2. НКАП /Шахурин/ построить 5 экземпляров самолета. 1-й вариант к 15.03.43, 2-й вариант к 15.05.43 г. 3. НКМВ /Паршин/ организовать в ВИГМ /всесоюзный институт гидромашин/ проектирование и изготовление 5 насосных агрегатов (1-й к 01.09.42 и еще 4 комплекта к 01.02.42 г., при этом НКАП должен изготовить для них лопатки и литье. 4.  Для постройки самолетов НКАП должен выделить завод № 55 с укомплектованием его ИТР и рабочих в количестве 200 чел. к 15.09.42 г. (19590).</w:t>
      </w:r>
    </w:p>
    <w:p w14:paraId="4CD777AF" w14:textId="77777777" w:rsidR="009C17EE" w:rsidRPr="001E2C69" w:rsidRDefault="009C17EE" w:rsidP="00722885">
      <w:pPr>
        <w:spacing w:after="0" w:line="240" w:lineRule="auto"/>
        <w:jc w:val="both"/>
        <w:rPr>
          <w:rFonts w:ascii="Times New Roman" w:hAnsi="Times New Roman"/>
          <w:color w:val="000000" w:themeColor="text1"/>
          <w:sz w:val="16"/>
          <w:szCs w:val="16"/>
        </w:rPr>
      </w:pPr>
    </w:p>
    <w:p w14:paraId="011758AF"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lastRenderedPageBreak/>
        <w:t>26 июля 1942 вышло Постановление ГКО № 2103 О передаче летно-технического состава, самолетов и моторов Осоавиахима в ВВС Красной Армии, ВВС Военно-Морского Флота и Воздушно-десантным войскам Красной Армии. (7047, 28-29,30).</w:t>
      </w:r>
    </w:p>
    <w:p w14:paraId="77B1D875" w14:textId="77777777" w:rsidR="00AE7191" w:rsidRPr="001E2C69" w:rsidRDefault="00AE7191" w:rsidP="00722885">
      <w:pPr>
        <w:pStyle w:val="Iauiue"/>
        <w:tabs>
          <w:tab w:val="left" w:pos="11199"/>
        </w:tabs>
        <w:jc w:val="both"/>
        <w:rPr>
          <w:color w:val="000000" w:themeColor="text1"/>
          <w:sz w:val="16"/>
          <w:szCs w:val="16"/>
        </w:rPr>
      </w:pPr>
    </w:p>
    <w:p w14:paraId="7CCA0B1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 июля 1942 вышло Постановление ГКО № 2104 О повышении боевых качеств самолета Як-1. РГАНИР, Фонд ГКО, д. 48, лл. 31 (11012).</w:t>
      </w:r>
    </w:p>
    <w:p w14:paraId="6E198AFC"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4F5E6F2" w14:textId="77777777" w:rsidR="009A1081" w:rsidRPr="001E2C69" w:rsidRDefault="009A1081" w:rsidP="00722885">
      <w:pPr>
        <w:tabs>
          <w:tab w:val="left" w:pos="1870"/>
        </w:tabs>
        <w:spacing w:after="0" w:line="240" w:lineRule="auto"/>
        <w:jc w:val="both"/>
        <w:rPr>
          <w:rFonts w:ascii="Times New Roman" w:eastAsia="Gungsuh" w:hAnsi="Times New Roman"/>
          <w:color w:val="000000" w:themeColor="text1"/>
          <w:sz w:val="16"/>
          <w:szCs w:val="16"/>
          <w:lang w:eastAsia="ru-RU"/>
        </w:rPr>
      </w:pPr>
      <w:r w:rsidRPr="001E2C69">
        <w:rPr>
          <w:rFonts w:ascii="Times New Roman" w:hAnsi="Times New Roman"/>
          <w:color w:val="000000" w:themeColor="text1"/>
          <w:sz w:val="16"/>
          <w:szCs w:val="16"/>
        </w:rPr>
        <w:t>26 июля 1942 вышло Постановление ГКО № 2104 О повышении боевых качеств самолета Як-1</w:t>
      </w:r>
    </w:p>
    <w:p w14:paraId="48A9C66D" w14:textId="77777777" w:rsidR="009A1081" w:rsidRPr="001E2C69" w:rsidRDefault="009A1081" w:rsidP="00722885">
      <w:pPr>
        <w:tabs>
          <w:tab w:val="left" w:pos="1248"/>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В целях повышения боевых качеств самолета Як-1 ввести следующие изменения в конструкцию самолета, про</w:t>
      </w:r>
      <w:r w:rsidRPr="001E2C69">
        <w:rPr>
          <w:rFonts w:ascii="Times New Roman" w:hAnsi="Times New Roman"/>
          <w:color w:val="000000" w:themeColor="text1"/>
          <w:sz w:val="16"/>
          <w:szCs w:val="16"/>
        </w:rPr>
        <w:softHyphen/>
        <w:t>веренные государственными испытаниями:</w:t>
      </w:r>
    </w:p>
    <w:p w14:paraId="342E2EBF" w14:textId="77777777" w:rsidR="009A1081" w:rsidRPr="001E2C69" w:rsidRDefault="009A1081" w:rsidP="00722885">
      <w:pPr>
        <w:tabs>
          <w:tab w:val="left" w:pos="127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а) вместо двух пулеметов Шкас и одной моторной пушки Швак, устанавливать один пулемет системы Березина калибра </w:t>
      </w:r>
      <w:r w:rsidRPr="001E2C69">
        <w:rPr>
          <w:rStyle w:val="0pt"/>
          <w:rFonts w:ascii="Times New Roman" w:hAnsi="Times New Roman" w:cs="Times New Roman"/>
          <w:color w:val="000000" w:themeColor="text1"/>
          <w:spacing w:val="0"/>
          <w:sz w:val="16"/>
          <w:szCs w:val="16"/>
        </w:rPr>
        <w:t>12,7</w:t>
      </w:r>
      <w:r w:rsidRPr="001E2C69">
        <w:rPr>
          <w:rFonts w:ascii="Times New Roman" w:hAnsi="Times New Roman"/>
          <w:color w:val="000000" w:themeColor="text1"/>
          <w:sz w:val="16"/>
          <w:szCs w:val="16"/>
        </w:rPr>
        <w:t xml:space="preserve"> с боезапасом в </w:t>
      </w:r>
      <w:r w:rsidRPr="001E2C69">
        <w:rPr>
          <w:rStyle w:val="0pt"/>
          <w:rFonts w:ascii="Times New Roman" w:hAnsi="Times New Roman" w:cs="Times New Roman"/>
          <w:color w:val="000000" w:themeColor="text1"/>
          <w:spacing w:val="0"/>
          <w:sz w:val="16"/>
          <w:szCs w:val="16"/>
        </w:rPr>
        <w:t>200</w:t>
      </w:r>
      <w:r w:rsidRPr="001E2C69">
        <w:rPr>
          <w:rFonts w:ascii="Times New Roman" w:hAnsi="Times New Roman"/>
          <w:color w:val="000000" w:themeColor="text1"/>
          <w:sz w:val="16"/>
          <w:szCs w:val="16"/>
        </w:rPr>
        <w:t xml:space="preserve"> патрон и одну пушку"Швак калибра 20 с боезапасом в </w:t>
      </w:r>
      <w:r w:rsidRPr="001E2C69">
        <w:rPr>
          <w:rStyle w:val="0pt"/>
          <w:rFonts w:ascii="Times New Roman" w:hAnsi="Times New Roman" w:cs="Times New Roman"/>
          <w:color w:val="000000" w:themeColor="text1"/>
          <w:spacing w:val="0"/>
          <w:sz w:val="16"/>
          <w:szCs w:val="16"/>
        </w:rPr>
        <w:t>120</w:t>
      </w:r>
      <w:r w:rsidRPr="001E2C69">
        <w:rPr>
          <w:rFonts w:ascii="Times New Roman" w:hAnsi="Times New Roman"/>
          <w:color w:val="000000" w:themeColor="text1"/>
          <w:sz w:val="16"/>
          <w:szCs w:val="16"/>
        </w:rPr>
        <w:t xml:space="preserve"> патрон;</w:t>
      </w:r>
    </w:p>
    <w:p w14:paraId="6AC4257C" w14:textId="77777777" w:rsidR="009A1081" w:rsidRPr="001E2C69" w:rsidRDefault="009A1081" w:rsidP="00722885">
      <w:pPr>
        <w:tabs>
          <w:tab w:val="left" w:pos="1248"/>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усилить броневащиту летчика, установив дополнитель</w:t>
      </w:r>
      <w:r w:rsidRPr="001E2C69">
        <w:rPr>
          <w:rFonts w:ascii="Times New Roman" w:hAnsi="Times New Roman"/>
          <w:color w:val="000000" w:themeColor="text1"/>
          <w:sz w:val="16"/>
          <w:szCs w:val="16"/>
        </w:rPr>
        <w:softHyphen/>
        <w:t>но верхнюю стальную плиту и два бронестекла: впереди и сзади сидения пилота;</w:t>
      </w:r>
    </w:p>
    <w:p w14:paraId="01DEE68F" w14:textId="77777777" w:rsidR="009A1081" w:rsidRPr="001E2C69" w:rsidRDefault="009A1081" w:rsidP="00722885">
      <w:pPr>
        <w:tabs>
          <w:tab w:val="left" w:pos="1255"/>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для улучшения обзора изменить фонарь пилота по об</w:t>
      </w:r>
      <w:r w:rsidRPr="001E2C69">
        <w:rPr>
          <w:rFonts w:ascii="Times New Roman" w:hAnsi="Times New Roman"/>
          <w:color w:val="000000" w:themeColor="text1"/>
          <w:sz w:val="16"/>
          <w:szCs w:val="16"/>
        </w:rPr>
        <w:softHyphen/>
        <w:t>разцу, прошедшему испытания, обеспечивающему круговой об</w:t>
      </w:r>
      <w:r w:rsidRPr="001E2C69">
        <w:rPr>
          <w:rFonts w:ascii="Times New Roman" w:hAnsi="Times New Roman"/>
          <w:color w:val="000000" w:themeColor="text1"/>
          <w:sz w:val="16"/>
          <w:szCs w:val="16"/>
        </w:rPr>
        <w:softHyphen/>
        <w:t>зор;</w:t>
      </w:r>
    </w:p>
    <w:p w14:paraId="5F3FADA0" w14:textId="77777777" w:rsidR="009A1081" w:rsidRPr="001E2C69" w:rsidRDefault="009A1081" w:rsidP="00722885">
      <w:pPr>
        <w:tabs>
          <w:tab w:val="left" w:pos="124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для улучшения маневренности самолета Як-1 изменить соотношения площадей стабилизатора и руля высоты по типу самолета Як-7.</w:t>
      </w:r>
    </w:p>
    <w:p w14:paraId="28F4BD61" w14:textId="77777777" w:rsidR="009A1081" w:rsidRPr="001E2C69" w:rsidRDefault="009A1081" w:rsidP="00722885">
      <w:pPr>
        <w:tabs>
          <w:tab w:val="left" w:pos="1255"/>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Обязать Наркомавиапром тов.Шахурина, главного кон</w:t>
      </w:r>
      <w:r w:rsidRPr="001E2C69">
        <w:rPr>
          <w:rFonts w:ascii="Times New Roman" w:hAnsi="Times New Roman"/>
          <w:color w:val="000000" w:themeColor="text1"/>
          <w:sz w:val="16"/>
          <w:szCs w:val="16"/>
        </w:rPr>
        <w:softHyphen/>
        <w:t xml:space="preserve">структора тов.Яковлева и директора завода № </w:t>
      </w:r>
      <w:r w:rsidRPr="001E2C69">
        <w:rPr>
          <w:rStyle w:val="0pt"/>
          <w:rFonts w:ascii="Times New Roman" w:hAnsi="Times New Roman" w:cs="Times New Roman"/>
          <w:color w:val="000000" w:themeColor="text1"/>
          <w:spacing w:val="0"/>
          <w:sz w:val="16"/>
          <w:szCs w:val="16"/>
        </w:rPr>
        <w:t>292</w:t>
      </w:r>
      <w:r w:rsidRPr="001E2C69">
        <w:rPr>
          <w:rFonts w:ascii="Times New Roman" w:hAnsi="Times New Roman"/>
          <w:color w:val="000000" w:themeColor="text1"/>
          <w:sz w:val="16"/>
          <w:szCs w:val="16"/>
        </w:rPr>
        <w:t xml:space="preserve"> тов.Левина к о августа с.г. доложить ГОКО о'посядке и сроках внедре</w:t>
      </w:r>
      <w:r w:rsidRPr="001E2C69">
        <w:rPr>
          <w:rFonts w:ascii="Times New Roman" w:hAnsi="Times New Roman"/>
          <w:color w:val="000000" w:themeColor="text1"/>
          <w:sz w:val="16"/>
          <w:szCs w:val="16"/>
        </w:rPr>
        <w:softHyphen/>
        <w:t xml:space="preserve">ния модификации самолета Як-1 в серийном производстве на заводе № </w:t>
      </w:r>
      <w:r w:rsidRPr="001E2C69">
        <w:rPr>
          <w:rStyle w:val="0pt"/>
          <w:rFonts w:ascii="Times New Roman" w:hAnsi="Times New Roman" w:cs="Times New Roman"/>
          <w:color w:val="000000" w:themeColor="text1"/>
          <w:spacing w:val="0"/>
          <w:sz w:val="16"/>
          <w:szCs w:val="16"/>
        </w:rPr>
        <w:t>292</w:t>
      </w:r>
      <w:r w:rsidRPr="001E2C69">
        <w:rPr>
          <w:rStyle w:val="0pt"/>
          <w:rFonts w:ascii="Times New Roman" w:eastAsia="Calibri" w:hAnsi="Times New Roman" w:cs="Times New Roman"/>
          <w:color w:val="000000" w:themeColor="text1"/>
          <w:spacing w:val="0"/>
          <w:sz w:val="16"/>
          <w:szCs w:val="16"/>
        </w:rPr>
        <w:t xml:space="preserve"> </w:t>
      </w:r>
      <w:r w:rsidRPr="001E2C69">
        <w:rPr>
          <w:rFonts w:ascii="Times New Roman" w:hAnsi="Times New Roman"/>
          <w:color w:val="000000" w:themeColor="text1"/>
          <w:sz w:val="16"/>
          <w:szCs w:val="16"/>
        </w:rPr>
        <w:t>(19349).</w:t>
      </w:r>
    </w:p>
    <w:p w14:paraId="5011EC15" w14:textId="77777777" w:rsidR="009A1081" w:rsidRPr="001E2C69" w:rsidRDefault="009A1081" w:rsidP="00722885">
      <w:pPr>
        <w:spacing w:after="0" w:line="240" w:lineRule="auto"/>
        <w:jc w:val="both"/>
        <w:rPr>
          <w:rFonts w:ascii="Times New Roman" w:hAnsi="Times New Roman"/>
          <w:color w:val="000000" w:themeColor="text1"/>
          <w:sz w:val="16"/>
          <w:szCs w:val="16"/>
        </w:rPr>
      </w:pPr>
    </w:p>
    <w:p w14:paraId="5A9AC42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 июля 1942 г. в ЦАГИ завершили исследования с целью изыскания путей увеличения скорости Як-1, которые шли с 20 июля. Ведущий инженер исследований - А.И. Сильман (ведущий инженер по Як-1 1-й лаборатории ЦАГИ). Вместе с работами повышения эффективности водо- и маслорадиаторов (велись с 24 мая по 10 июня 1942 г.) эти работы показали, что достаточно простыми и доступными для серийного производства средствами (герметизацией и изменением форм туннелей водо- и масло- радиаторов, улучшением форм всасывающего и выхлопных патрубков, герметизацией фюзеляжа) можно увеличить максимальную скорость на 25-28 км/ч, а если обеспечить уборку хвостового колеса и полное закрытие куполов шасси, то - на 33-38 км/ч.</w:t>
      </w:r>
    </w:p>
    <w:p w14:paraId="7E642D4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рекомендациям ЦАГИ в ЛИИ НКАП был переоборудован и в августе-сентябре 1942 г. прошел летные испытания Як-1 № 0868 с мотором М-105ПФ. В его конструкцию, чтобы улучшить работу системы охлаждения воды и масла и увеличить максимальную скорость, были внесены следующие изменения.</w:t>
      </w:r>
    </w:p>
    <w:p w14:paraId="6429516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По водорадиатору:</w:t>
      </w:r>
    </w:p>
    <w:p w14:paraId="2024FC8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изменен профиль верхней передней стенки входной части туннеля;</w:t>
      </w:r>
    </w:p>
    <w:p w14:paraId="45F91A5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увеличен ход регулирующей заслонки на 50 мм (до 350 мм);</w:t>
      </w:r>
    </w:p>
    <w:p w14:paraId="00745E2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произведена герметизация туннеля.</w:t>
      </w:r>
    </w:p>
    <w:p w14:paraId="0B4C391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По маслорадиатору:</w:t>
      </w:r>
    </w:p>
    <w:p w14:paraId="0636C8B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уменьшена на 40 % площадь входной части туннеля и сам туннель удлинен до 225 мм;</w:t>
      </w:r>
    </w:p>
    <w:p w14:paraId="7EBE59D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удлинена выходная часть туннеля до 410 мм, а профиль ее верхней стенки выполнен скругленным;</w:t>
      </w:r>
    </w:p>
    <w:p w14:paraId="6789C1B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увеличен ход регулирующей заслонки на 80 мм (до 340 мм);</w:t>
      </w:r>
    </w:p>
    <w:p w14:paraId="2AD9970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произведена герметизация туннеля.</w:t>
      </w:r>
    </w:p>
    <w:p w14:paraId="7883793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Изменена форма сечения и расположение всасывающего патрубка нагнетателя.</w:t>
      </w:r>
    </w:p>
    <w:p w14:paraId="66CE7AD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Установлены обтекатели на выхлопные патрубки на выход трубы продувки картера мотора и кронштейны управления элеронами.</w:t>
      </w:r>
    </w:p>
    <w:p w14:paraId="1A4A683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Установлен обтекатель-козырек на сдвижную часть фонаря кабины.</w:t>
      </w:r>
    </w:p>
    <w:p w14:paraId="338BBF1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Произведена герметизация фюзеляжа (загерметизирована противопожарная перегородка, установлены фанерная перегородка за бронеспинкой и матерчатая за водорадиа- тором).</w:t>
      </w:r>
    </w:p>
    <w:p w14:paraId="132FDF4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7. Установлен обтекатель входного отверстия кожухов пулеметов и заделаны патрубки для отвода пороховых газов. </w:t>
      </w:r>
    </w:p>
    <w:p w14:paraId="2E94960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По результатам испытаний внесенные в конструкцию изменения дали прирост скорости на 23 км/ч (у машины № 0868 на высоте 3500 м скорость стала 594 км/ч, а у серийного Як-I на высоте 3650 м - 571 км/ч). Скороподъемность осталась без изменений. Увеличение скорости можно было считать гарантированным, поскольку на испытания Як-1 № 0868 поступил после эксплуатации в части, где аэродинамические формы подверглись ухудшению за счет нарушения лакокрасочного покрытия, вмятин в металлических деталях, плохой подгонки лючков и зализов. После осуществления уборки хвостового колеса, полного закрытия ниш шасси щитками и улучшения отделки поверхностей самолета удалось достичь скорости 612 км/ч на высоте 3700 м. Квинтэссенцией всех работ по улучшению Як-1 в 1942 г. стал Як-1б (12048). </w:t>
      </w:r>
    </w:p>
    <w:p w14:paraId="154C8D72"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A286D64" w14:textId="77777777" w:rsidR="00CB4201" w:rsidRPr="008A2E5A" w:rsidRDefault="00CB4201" w:rsidP="00CB420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июля 1942 г. вышло постановление Госкомитета обороны № 2105сс о постройке ракетного перехватчика со сроком готовности первого варианта к 15 марта 1943 г., второго — к 15 мая. С этой целью в институте сформировали новое ОКБ-55. Костикова на</w:t>
      </w:r>
      <w:r w:rsidRPr="008A2E5A">
        <w:rPr>
          <w:rFonts w:ascii="Times New Roman" w:hAnsi="Times New Roman"/>
          <w:color w:val="0070C0"/>
          <w:sz w:val="16"/>
          <w:szCs w:val="16"/>
        </w:rPr>
        <w:softHyphen/>
        <w:t>значили главным конструктором ОКБ-55 и директором опытного завода. В Москве и Свердловске построили стенды для испытаний ЖРД и ПВРД.</w:t>
      </w:r>
    </w:p>
    <w:p w14:paraId="5BF98AD0" w14:textId="77777777" w:rsidR="00CB4201" w:rsidRPr="008A2E5A" w:rsidRDefault="00CB4201" w:rsidP="00CB420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к весне 1943 г. ПВРД Зуева су</w:t>
      </w:r>
      <w:r w:rsidRPr="008A2E5A">
        <w:rPr>
          <w:rFonts w:ascii="Times New Roman" w:hAnsi="Times New Roman"/>
          <w:color w:val="0070C0"/>
          <w:sz w:val="16"/>
          <w:szCs w:val="16"/>
        </w:rPr>
        <w:softHyphen/>
        <w:t>ществовал только в виде модели в по</w:t>
      </w:r>
      <w:r w:rsidRPr="008A2E5A">
        <w:rPr>
          <w:rFonts w:ascii="Times New Roman" w:hAnsi="Times New Roman"/>
          <w:color w:val="0070C0"/>
          <w:sz w:val="16"/>
          <w:szCs w:val="16"/>
        </w:rPr>
        <w:softHyphen/>
        <w:t>ловину натуральной величины. ЖРД Душкина с тягой 1100 кг/сек и допол</w:t>
      </w:r>
      <w:r w:rsidRPr="008A2E5A">
        <w:rPr>
          <w:rFonts w:ascii="Times New Roman" w:hAnsi="Times New Roman"/>
          <w:color w:val="0070C0"/>
          <w:sz w:val="16"/>
          <w:szCs w:val="16"/>
        </w:rPr>
        <w:softHyphen/>
        <w:t>нительной камерой на 450 кг/сек тоже не был готов. В итоге ракетоплан ис</w:t>
      </w:r>
      <w:r w:rsidRPr="008A2E5A">
        <w:rPr>
          <w:rFonts w:ascii="Times New Roman" w:hAnsi="Times New Roman"/>
          <w:color w:val="0070C0"/>
          <w:sz w:val="16"/>
          <w:szCs w:val="16"/>
        </w:rPr>
        <w:softHyphen/>
        <w:t>пытали в октябре 1943 г. как планёр. Полеты с двигателем не состоялись.</w:t>
      </w:r>
    </w:p>
    <w:p w14:paraId="0F4F4693" w14:textId="77777777" w:rsidR="00CB4201" w:rsidRPr="008A2E5A" w:rsidRDefault="00CB4201" w:rsidP="00CB420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1944 г., когда провал про</w:t>
      </w:r>
      <w:r w:rsidRPr="008A2E5A">
        <w:rPr>
          <w:rFonts w:ascii="Times New Roman" w:hAnsi="Times New Roman"/>
          <w:color w:val="0070C0"/>
          <w:sz w:val="16"/>
          <w:szCs w:val="16"/>
        </w:rPr>
        <w:softHyphen/>
        <w:t>екта стал очевидным, Костикова аре</w:t>
      </w:r>
      <w:r w:rsidRPr="008A2E5A">
        <w:rPr>
          <w:rFonts w:ascii="Times New Roman" w:hAnsi="Times New Roman"/>
          <w:color w:val="0070C0"/>
          <w:sz w:val="16"/>
          <w:szCs w:val="16"/>
        </w:rPr>
        <w:softHyphen/>
        <w:t>стовали как «шпиона» и вредителя» (23560).</w:t>
      </w:r>
    </w:p>
    <w:p w14:paraId="6F53364A" w14:textId="77777777" w:rsidR="00CB4201" w:rsidRPr="008A2E5A" w:rsidRDefault="00CB4201" w:rsidP="00CB4201">
      <w:pPr>
        <w:spacing w:after="0" w:line="240" w:lineRule="auto"/>
        <w:jc w:val="both"/>
        <w:rPr>
          <w:rFonts w:ascii="Times New Roman" w:hAnsi="Times New Roman"/>
          <w:color w:val="0070C0"/>
          <w:sz w:val="16"/>
          <w:szCs w:val="16"/>
        </w:rPr>
      </w:pPr>
    </w:p>
    <w:p w14:paraId="52672293" w14:textId="77777777" w:rsidR="00CD0974" w:rsidRPr="001E2C69" w:rsidRDefault="00CD097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 июля 1941 подполковник Кошиц провел дополнительные контрольные испытания имеющихся двух машин А-7. По его мнению, к полноценным полетам годился только один экземпляр. В результате, 30 июля последова</w:t>
      </w:r>
      <w:r w:rsidRPr="001E2C69">
        <w:rPr>
          <w:rFonts w:ascii="Times New Roman" w:hAnsi="Times New Roman"/>
          <w:color w:val="000000" w:themeColor="text1"/>
          <w:sz w:val="16"/>
          <w:szCs w:val="16"/>
        </w:rPr>
        <w:softHyphen/>
        <w:t>ло решение ВВС о прекращении формирования автожир- ного соединения по причине отсутствия исправных лета</w:t>
      </w:r>
      <w:r w:rsidRPr="001E2C69">
        <w:rPr>
          <w:rFonts w:ascii="Times New Roman" w:hAnsi="Times New Roman"/>
          <w:color w:val="000000" w:themeColor="text1"/>
          <w:sz w:val="16"/>
          <w:szCs w:val="16"/>
        </w:rPr>
        <w:softHyphen/>
        <w:t>тельных аппаратов. Все это свидетельствовало, что карь</w:t>
      </w:r>
      <w:r w:rsidRPr="001E2C69">
        <w:rPr>
          <w:rFonts w:ascii="Times New Roman" w:hAnsi="Times New Roman"/>
          <w:color w:val="000000" w:themeColor="text1"/>
          <w:sz w:val="16"/>
          <w:szCs w:val="16"/>
        </w:rPr>
        <w:softHyphen/>
        <w:t>ера автожира А-7 закончилась.</w:t>
      </w:r>
    </w:p>
    <w:p w14:paraId="59A640B6" w14:textId="77777777" w:rsidR="00CD0974" w:rsidRPr="001E2C69" w:rsidRDefault="00CD097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Последние события в судьбе А-7 практически совпали с последовавшим письмом генерал-полковника Воронова на имя заместителя наркома авиапромышленности Яковлева. В своем письме Воронов обвинял главного конструктора Камова в выпуске недоброкачественной техники и требо</w:t>
      </w:r>
      <w:r w:rsidRPr="001E2C69">
        <w:rPr>
          <w:rFonts w:ascii="Times New Roman" w:hAnsi="Times New Roman"/>
          <w:color w:val="000000" w:themeColor="text1"/>
          <w:sz w:val="16"/>
          <w:szCs w:val="16"/>
        </w:rPr>
        <w:softHyphen/>
        <w:t>вал предать его суду. В прилагавшейся справке указыва</w:t>
      </w:r>
      <w:r w:rsidRPr="001E2C69">
        <w:rPr>
          <w:rFonts w:ascii="Times New Roman" w:hAnsi="Times New Roman"/>
          <w:color w:val="000000" w:themeColor="text1"/>
          <w:sz w:val="16"/>
          <w:szCs w:val="16"/>
        </w:rPr>
        <w:softHyphen/>
        <w:t>лось, что автожир А-7 доводился в течение восьми лет, од</w:t>
      </w:r>
      <w:r w:rsidRPr="001E2C69">
        <w:rPr>
          <w:rFonts w:ascii="Times New Roman" w:hAnsi="Times New Roman"/>
          <w:color w:val="000000" w:themeColor="text1"/>
          <w:sz w:val="16"/>
          <w:szCs w:val="16"/>
        </w:rPr>
        <w:softHyphen/>
        <w:t>нако так и не достиг уровня запланированных характери</w:t>
      </w:r>
      <w:r w:rsidRPr="001E2C69">
        <w:rPr>
          <w:rFonts w:ascii="Times New Roman" w:hAnsi="Times New Roman"/>
          <w:color w:val="000000" w:themeColor="text1"/>
          <w:sz w:val="16"/>
          <w:szCs w:val="16"/>
        </w:rPr>
        <w:softHyphen/>
        <w:t>стик. Далее утверждалось, что за время пребывания на фронте эскадрилья автожиров не выполнила ни одного бо</w:t>
      </w:r>
      <w:r w:rsidRPr="001E2C69">
        <w:rPr>
          <w:rFonts w:ascii="Times New Roman" w:hAnsi="Times New Roman"/>
          <w:color w:val="000000" w:themeColor="text1"/>
          <w:sz w:val="16"/>
          <w:szCs w:val="16"/>
        </w:rPr>
        <w:softHyphen/>
        <w:t>евого вылета.</w:t>
      </w:r>
    </w:p>
    <w:p w14:paraId="5A0D61C1" w14:textId="77777777" w:rsidR="00CD0974" w:rsidRPr="001E2C69" w:rsidRDefault="00CD097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Было очевидно, что указанное послание заместителя наркома обороны Воронова не было лишено неточностей и даже отрицало объективные факты. В указанных об</w:t>
      </w:r>
      <w:r w:rsidRPr="001E2C69">
        <w:rPr>
          <w:rFonts w:ascii="Times New Roman" w:hAnsi="Times New Roman"/>
          <w:color w:val="000000" w:themeColor="text1"/>
          <w:sz w:val="16"/>
          <w:szCs w:val="16"/>
        </w:rPr>
        <w:softHyphen/>
        <w:t>стоятельствах Яковлев вступился за Камова, мотивируя все неудачи сложностью и новизной дела. В ответном письме Воронову и в прокуратуру Яковлев оценил обвинение как необоснованное, чем спас Камова от крупных неприятно</w:t>
      </w:r>
      <w:r w:rsidRPr="001E2C69">
        <w:rPr>
          <w:rFonts w:ascii="Times New Roman" w:hAnsi="Times New Roman"/>
          <w:color w:val="000000" w:themeColor="text1"/>
          <w:sz w:val="16"/>
          <w:szCs w:val="16"/>
        </w:rPr>
        <w:softHyphen/>
        <w:t>стей. Однако работы по автожирам с этого момента в Со</w:t>
      </w:r>
      <w:r w:rsidRPr="001E2C69">
        <w:rPr>
          <w:rFonts w:ascii="Times New Roman" w:hAnsi="Times New Roman"/>
          <w:color w:val="000000" w:themeColor="text1"/>
          <w:sz w:val="16"/>
          <w:szCs w:val="16"/>
        </w:rPr>
        <w:softHyphen/>
        <w:t>ветском Союзе окончательно прекратили. Завод в Би</w:t>
      </w:r>
      <w:r w:rsidRPr="001E2C69">
        <w:rPr>
          <w:rFonts w:ascii="Times New Roman" w:hAnsi="Times New Roman"/>
          <w:color w:val="000000" w:themeColor="text1"/>
          <w:sz w:val="16"/>
          <w:szCs w:val="16"/>
        </w:rPr>
        <w:softHyphen/>
        <w:t>лимбае перепрофилировали для ремонта поврежденной техники и выпуска необходимой для фронта продукции (20361).</w:t>
      </w:r>
    </w:p>
    <w:p w14:paraId="4E6C0892" w14:textId="77777777" w:rsidR="00CD0974" w:rsidRPr="001E2C69" w:rsidRDefault="00CD0974" w:rsidP="00722885">
      <w:pPr>
        <w:shd w:val="clear" w:color="auto" w:fill="FFFFFF"/>
        <w:spacing w:after="0" w:line="240" w:lineRule="auto"/>
        <w:jc w:val="both"/>
        <w:rPr>
          <w:rFonts w:ascii="Times New Roman" w:hAnsi="Times New Roman"/>
          <w:color w:val="000000" w:themeColor="text1"/>
          <w:sz w:val="16"/>
          <w:szCs w:val="16"/>
        </w:rPr>
      </w:pPr>
    </w:p>
    <w:p w14:paraId="34DB0E6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26 июля 1942 года вышло постановление ГОКО № 2107 и 28 июля 1942 года вышел приказ НКАП № 565-с, в соответствии с которыми в октябре 1942 года на основании на базе местного сырья (известняка) был основан завод № 57.</w:t>
      </w:r>
    </w:p>
    <w:p w14:paraId="52C463E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Расположен завод в черте Куйбышева.</w:t>
      </w:r>
    </w:p>
    <w:p w14:paraId="533970A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Директор – Травников</w:t>
      </w:r>
    </w:p>
    <w:p w14:paraId="5DA2B6E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Адрес: Куйбышев, ст. Безымянка, Кировский район, Кировское шоссе, расстояние до города 20 км, расстояние до ж/д станции 5 км</w:t>
      </w:r>
    </w:p>
    <w:p w14:paraId="4650147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Производственный профиль – основная продукция карбид кальция</w:t>
      </w:r>
    </w:p>
    <w:p w14:paraId="092DCA7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Строительство его было начато в августе 1942 года, введен в эксплуатацию 2 октября 1942 года для выпуска карбида кальция (9836).</w:t>
      </w:r>
    </w:p>
    <w:p w14:paraId="3CBCD14E" w14:textId="77777777" w:rsidR="00AE7191" w:rsidRPr="001E2C69" w:rsidRDefault="00AE7191" w:rsidP="00722885">
      <w:pPr>
        <w:pStyle w:val="Iauiue"/>
        <w:jc w:val="both"/>
        <w:rPr>
          <w:color w:val="000000" w:themeColor="text1"/>
          <w:sz w:val="16"/>
          <w:szCs w:val="16"/>
        </w:rPr>
      </w:pPr>
    </w:p>
    <w:p w14:paraId="32B67F45"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1E3D3D0E" w14:textId="77777777" w:rsidR="00AE7191" w:rsidRPr="001E2C69" w:rsidRDefault="00AE7191" w:rsidP="00722885">
      <w:pPr>
        <w:pStyle w:val="Iauiue"/>
        <w:jc w:val="both"/>
        <w:rPr>
          <w:iCs/>
          <w:color w:val="000000" w:themeColor="text1"/>
          <w:sz w:val="16"/>
          <w:szCs w:val="16"/>
        </w:rPr>
      </w:pPr>
    </w:p>
    <w:p w14:paraId="2E5C0466"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26 июля 1942 вышло Постановление ГКО № 2097 [О срочном укомплектовании формируемых танковых бригад передвижными мастерскими для ремонта танков в полевых условиях.] (7047, 2,3).</w:t>
      </w:r>
    </w:p>
    <w:p w14:paraId="1B218D61" w14:textId="77777777" w:rsidR="00AE7191" w:rsidRPr="001E2C69" w:rsidRDefault="00AE7191" w:rsidP="00722885">
      <w:pPr>
        <w:pStyle w:val="Iauiue"/>
        <w:tabs>
          <w:tab w:val="left" w:pos="11199"/>
        </w:tabs>
        <w:jc w:val="both"/>
        <w:rPr>
          <w:color w:val="000000" w:themeColor="text1"/>
          <w:sz w:val="16"/>
          <w:szCs w:val="16"/>
        </w:rPr>
      </w:pPr>
    </w:p>
    <w:p w14:paraId="7139914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 июля 1942 вышло Постановление ГКО № 2098 Об увеличении выпуска авиационных и танковых подшипников на Свердловском и Томском подшипниковых заводах Hаркомсредмаша. РГАНИР, Фонд ГКО, д. 48, лл. 4-6 (11012).</w:t>
      </w:r>
    </w:p>
    <w:p w14:paraId="48878F8F"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39B4C7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 июля 1942 вышло Постановление ГКО № 2099 О производстве автомобилей и запасных частей к ним в III квартале 1942 г. РГАНИР, Фонд ГКО, д. 48, лл. 7-11, 12-18 (11012).</w:t>
      </w:r>
    </w:p>
    <w:p w14:paraId="47D18A89"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CBC75AC"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26 июля 1942 вышло Постановление ГКО № 2100 [О пополнении ДА за счет дополнительного призыва призывников 1924 г. рождения, разбронирования рабочих промышленности и т.д.] (7047, 19-21,22-24).</w:t>
      </w:r>
    </w:p>
    <w:p w14:paraId="74FB2165" w14:textId="77777777" w:rsidR="00AE7191" w:rsidRPr="001E2C69" w:rsidRDefault="00AE7191" w:rsidP="00722885">
      <w:pPr>
        <w:pStyle w:val="Iauiue"/>
        <w:tabs>
          <w:tab w:val="left" w:pos="11199"/>
        </w:tabs>
        <w:jc w:val="both"/>
        <w:rPr>
          <w:color w:val="000000" w:themeColor="text1"/>
          <w:sz w:val="16"/>
          <w:szCs w:val="16"/>
        </w:rPr>
      </w:pPr>
    </w:p>
    <w:p w14:paraId="613D1EB1"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lastRenderedPageBreak/>
        <w:t>26 июля 1942 вышло Постановление ГКО № 2101 Об организации, штатном составе и вооружении стрелковой дивизии численностью 10 374 человека. (7047, 25-26).</w:t>
      </w:r>
    </w:p>
    <w:p w14:paraId="00CF6803" w14:textId="77777777" w:rsidR="00AE7191" w:rsidRPr="001E2C69" w:rsidRDefault="00AE7191" w:rsidP="00722885">
      <w:pPr>
        <w:pStyle w:val="Iauiue"/>
        <w:tabs>
          <w:tab w:val="left" w:pos="11199"/>
        </w:tabs>
        <w:jc w:val="both"/>
        <w:rPr>
          <w:color w:val="000000" w:themeColor="text1"/>
          <w:sz w:val="16"/>
          <w:szCs w:val="16"/>
        </w:rPr>
      </w:pPr>
    </w:p>
    <w:p w14:paraId="2FD5EA4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 июля 1942 вышло Постановление ГКО № 2106 О мероприятиях по увеличению производства азида натрия для капсюльных заводов Наркомбоеприпасов. РГАНИР, Фонд ГКО, д. 48, лл. 34-35, 36-38 (11012).</w:t>
      </w:r>
    </w:p>
    <w:p w14:paraId="3C8A29B9"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B6F617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 июля 1942 вышло Постановление ГКО № 2107 Об организации карбидного завода НКАП в г. Куйбышеве. РГАНИР, Фонд ГКО, д. 48, лл. 39-41, 42-47 (11012).</w:t>
      </w:r>
    </w:p>
    <w:p w14:paraId="1AFA8CFD"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8FF845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 июля 1942 г. вышло постановление ГКО № 2107 о организации Куйбышевского карбидного завода (ГС Завод № 57 НКАП, МАП, Куйбышевский карбндный завод, Куйбышевский Карбидно-Кислородный завод, ЗАО «Самарский кислородный завод» (СаКиЗ) /443052  г. Самара ул. Береговая, 5/), который строился с конца 1941.</w:t>
      </w:r>
    </w:p>
    <w:p w14:paraId="1D8449C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1941 г. после начала войны в Куйбышев эвакуированы Воронежский кислородный и Запорожский карбидный заводы, начали производственную деятельность в 1942 г.</w:t>
      </w:r>
    </w:p>
    <w:p w14:paraId="770E56A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введен в строй в 1942 г. По приказу № 714с от 19.09.1942 г. получил наименование ГС завод № 57 НКАП при 15ГУ. В соответствии с пост. СМ СССР № 713-342 от 26.06.1957 г. передан в ведение Куйбышевского СНХ РСФСР. Пост. СНХ в 1959 г. все заводы были объединены в Куйбышевский Карбидно-Кислородный завод.</w:t>
      </w:r>
    </w:p>
    <w:p w14:paraId="7C1EB02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1979-81 г. была проведена полная реконструкция завода, установлено современное оборудование на новой производственной площадке. В 1994 г. начат выпуск водорода, поверочных газовых смесей, «бананового газа».</w:t>
      </w:r>
    </w:p>
    <w:p w14:paraId="4058118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1993 г. предприятие было акционировано и преобразовано в ОАО «Самарский кислородный завод». В 02.2007 г. СаКиЗ куплен немецким концерном «Линде-газ».</w:t>
      </w:r>
    </w:p>
    <w:p w14:paraId="0DA5F1D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Гендиректор (-2005-07 г.-)- </w:t>
      </w:r>
      <w:r w:rsidRPr="001E2C69">
        <w:rPr>
          <w:rFonts w:ascii="Times New Roman" w:hAnsi="Times New Roman"/>
          <w:color w:val="000000" w:themeColor="text1"/>
          <w:sz w:val="16"/>
          <w:szCs w:val="16"/>
          <w:lang w:val="en-US"/>
        </w:rPr>
        <w:t>P</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P</w:t>
      </w:r>
      <w:r w:rsidRPr="001E2C69">
        <w:rPr>
          <w:rFonts w:ascii="Times New Roman" w:hAnsi="Times New Roman"/>
          <w:color w:val="000000" w:themeColor="text1"/>
          <w:sz w:val="16"/>
          <w:szCs w:val="16"/>
        </w:rPr>
        <w:t>. Мухтаров.</w:t>
      </w:r>
    </w:p>
    <w:p w14:paraId="323A9D1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Коммерческий директор (2007 г.)- С. Каляев (11982).</w:t>
      </w:r>
    </w:p>
    <w:p w14:paraId="0DAA5899" w14:textId="77777777" w:rsidR="00001919" w:rsidRPr="001E2C69" w:rsidRDefault="00001919" w:rsidP="00722885">
      <w:pPr>
        <w:spacing w:after="0" w:line="240" w:lineRule="auto"/>
        <w:jc w:val="both"/>
        <w:rPr>
          <w:rFonts w:ascii="Times New Roman" w:hAnsi="Times New Roman"/>
          <w:color w:val="000000" w:themeColor="text1"/>
          <w:sz w:val="16"/>
          <w:szCs w:val="16"/>
        </w:rPr>
      </w:pPr>
    </w:p>
    <w:p w14:paraId="5B15B11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 июля 1942 вышло Постановление ГКО № 2108 Об обеспечении Наркомвоенфлота новыми образцами торпедно-минно-трального вооружения. РГАНИР, Фонд ГКО, д. 48, лл. 48-50 (11012).</w:t>
      </w:r>
    </w:p>
    <w:p w14:paraId="6A385C9B"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F45938F" w14:textId="77777777" w:rsidR="00001919"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 июля 1942 вышло:</w:t>
      </w:r>
    </w:p>
    <w:p w14:paraId="7B3A81FA" w14:textId="77777777" w:rsidR="00001919" w:rsidRPr="001E2C69" w:rsidRDefault="00AE7191" w:rsidP="00722885">
      <w:pPr>
        <w:spacing w:after="0" w:line="240" w:lineRule="auto"/>
        <w:jc w:val="both"/>
        <w:rPr>
          <w:rFonts w:ascii="Times New Roman" w:hAnsi="Times New Roman"/>
          <w:bCs/>
          <w:color w:val="000000" w:themeColor="text1"/>
          <w:sz w:val="16"/>
          <w:szCs w:val="16"/>
        </w:rPr>
      </w:pPr>
      <w:r w:rsidRPr="001E2C69">
        <w:rPr>
          <w:rFonts w:ascii="Times New Roman" w:hAnsi="Times New Roman"/>
          <w:bCs/>
          <w:color w:val="000000" w:themeColor="text1"/>
          <w:sz w:val="16"/>
          <w:szCs w:val="16"/>
        </w:rPr>
        <w:t>ГОСУДАРСТВЕННЫЙ КОМИТЕТ ОБОРОНЫ ПОСТАНОВЛЕНИЕ № 2108 сс</w:t>
      </w:r>
    </w:p>
    <w:p w14:paraId="0E995A65" w14:textId="77777777" w:rsidR="00AE7191" w:rsidRPr="001E2C69" w:rsidRDefault="00AE7191" w:rsidP="00722885">
      <w:pPr>
        <w:spacing w:after="0" w:line="240" w:lineRule="auto"/>
        <w:jc w:val="both"/>
        <w:rPr>
          <w:rFonts w:ascii="Times New Roman" w:hAnsi="Times New Roman"/>
          <w:bCs/>
          <w:color w:val="000000" w:themeColor="text1"/>
          <w:sz w:val="16"/>
          <w:szCs w:val="16"/>
        </w:rPr>
      </w:pPr>
      <w:r w:rsidRPr="001E2C69">
        <w:rPr>
          <w:rFonts w:ascii="Times New Roman" w:hAnsi="Times New Roman"/>
          <w:bCs/>
          <w:color w:val="000000" w:themeColor="text1"/>
          <w:sz w:val="16"/>
          <w:szCs w:val="16"/>
        </w:rPr>
        <w:t>Об обеспечении Наркомвоенморфлота новыми образцами торпедо-минно-трального вооружения</w:t>
      </w:r>
    </w:p>
    <w:p w14:paraId="2C2D90D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Государственный Комитет Обороны ПОСТАНОВЛЯЕТ: </w:t>
      </w:r>
    </w:p>
    <w:p w14:paraId="6B1B1C4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Разрешить Наркомвоенморфлоту (т. Кузнецову) принять на вооружение Военно-Морского флота Союза ССР следующие образцы минно-трального вооружения:</w:t>
      </w:r>
    </w:p>
    <w:p w14:paraId="0A1930F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Морскую плавающую мину - «ПЛТ-2»</w:t>
      </w:r>
    </w:p>
    <w:p w14:paraId="0377D40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б) Морскую мину для постановки из </w:t>
      </w:r>
    </w:p>
    <w:p w14:paraId="270E3D7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торпедных труб подводных лодок - «ПЛТ-3»</w:t>
      </w:r>
    </w:p>
    <w:p w14:paraId="685953D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Трал для проводки кораблей ночью - «НТ»</w:t>
      </w:r>
    </w:p>
    <w:p w14:paraId="45F2A69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г) Катерный электромагнитный трал - «КЭМТ-2» </w:t>
      </w:r>
    </w:p>
    <w:p w14:paraId="08ECD06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 Обязать Наркомсудпром (т. Носенко) организовать на заводах Наркомсудпром серийное производство и поставить Наркомвоенморфлоту в III квартале 1942 г. следующее количество морских плавающих мин (ПЛТ-2) и морских мин для постановки из торпедных труб подводных лодок (ПЛТ-3): </w:t>
      </w:r>
    </w:p>
    <w:p w14:paraId="000312E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штуках)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2485"/>
        <w:gridCol w:w="1275"/>
        <w:gridCol w:w="1701"/>
        <w:gridCol w:w="3969"/>
      </w:tblGrid>
      <w:tr w:rsidR="001E2C69" w:rsidRPr="001E2C69" w14:paraId="2221B1F4" w14:textId="77777777" w:rsidTr="00CC5360">
        <w:trPr>
          <w:jc w:val="center"/>
        </w:trPr>
        <w:tc>
          <w:tcPr>
            <w:tcW w:w="2485" w:type="dxa"/>
            <w:tcBorders>
              <w:top w:val="single" w:sz="12" w:space="0" w:color="auto"/>
            </w:tcBorders>
          </w:tcPr>
          <w:p w14:paraId="10F9C0F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Наименование изделий</w:t>
            </w:r>
          </w:p>
        </w:tc>
        <w:tc>
          <w:tcPr>
            <w:tcW w:w="1275" w:type="dxa"/>
            <w:gridSpan w:val="2"/>
            <w:tcBorders>
              <w:top w:val="single" w:sz="12" w:space="0" w:color="auto"/>
            </w:tcBorders>
          </w:tcPr>
          <w:p w14:paraId="586CF71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Поставщик</w:t>
            </w:r>
          </w:p>
        </w:tc>
        <w:tc>
          <w:tcPr>
            <w:tcW w:w="3969" w:type="dxa"/>
            <w:tcBorders>
              <w:top w:val="single" w:sz="12" w:space="0" w:color="auto"/>
            </w:tcBorders>
          </w:tcPr>
          <w:p w14:paraId="6750CEF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Количество, подлежащее поставке в III кв. 1942 года </w:t>
            </w:r>
          </w:p>
        </w:tc>
      </w:tr>
      <w:tr w:rsidR="001E2C69" w:rsidRPr="001E2C69" w14:paraId="4058D2DC" w14:textId="77777777" w:rsidTr="00CC5360">
        <w:trPr>
          <w:jc w:val="center"/>
        </w:trPr>
        <w:tc>
          <w:tcPr>
            <w:tcW w:w="2485" w:type="dxa"/>
          </w:tcPr>
          <w:p w14:paraId="01B4A2A7"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1275" w:type="dxa"/>
          </w:tcPr>
          <w:p w14:paraId="09D09F5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Наркомат</w:t>
            </w:r>
          </w:p>
        </w:tc>
        <w:tc>
          <w:tcPr>
            <w:tcW w:w="1701" w:type="dxa"/>
          </w:tcPr>
          <w:p w14:paraId="237C6DD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w:t>
            </w:r>
          </w:p>
        </w:tc>
        <w:tc>
          <w:tcPr>
            <w:tcW w:w="3969" w:type="dxa"/>
          </w:tcPr>
          <w:p w14:paraId="778EE7A0"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600707FB" w14:textId="77777777" w:rsidTr="00CC5360">
        <w:trPr>
          <w:jc w:val="center"/>
        </w:trPr>
        <w:tc>
          <w:tcPr>
            <w:tcW w:w="2485" w:type="dxa"/>
          </w:tcPr>
          <w:p w14:paraId="2A9E092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Морские плавающие мины </w:t>
            </w:r>
          </w:p>
          <w:p w14:paraId="0BD2F99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«ПЛТ-2»</w:t>
            </w:r>
          </w:p>
        </w:tc>
        <w:tc>
          <w:tcPr>
            <w:tcW w:w="1275" w:type="dxa"/>
          </w:tcPr>
          <w:p w14:paraId="37BDBB1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НКСП</w:t>
            </w:r>
          </w:p>
        </w:tc>
        <w:tc>
          <w:tcPr>
            <w:tcW w:w="1701" w:type="dxa"/>
          </w:tcPr>
          <w:p w14:paraId="04BF6C2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239</w:t>
            </w:r>
          </w:p>
          <w:p w14:paraId="3EA3CA6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(г. Петропавловск) </w:t>
            </w:r>
          </w:p>
        </w:tc>
        <w:tc>
          <w:tcPr>
            <w:tcW w:w="3969" w:type="dxa"/>
          </w:tcPr>
          <w:p w14:paraId="2C980BB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40 (в счет сокращения поставок мин обр. 1908 г.)</w:t>
            </w:r>
          </w:p>
        </w:tc>
      </w:tr>
      <w:tr w:rsidR="001E2C69" w:rsidRPr="001E2C69" w14:paraId="14F27E89" w14:textId="77777777" w:rsidTr="00CC5360">
        <w:trPr>
          <w:jc w:val="center"/>
        </w:trPr>
        <w:tc>
          <w:tcPr>
            <w:tcW w:w="2485" w:type="dxa"/>
            <w:tcBorders>
              <w:bottom w:val="single" w:sz="12" w:space="0" w:color="auto"/>
            </w:tcBorders>
          </w:tcPr>
          <w:p w14:paraId="08CA1C7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Морские мины «ПЛТ-3»</w:t>
            </w:r>
          </w:p>
        </w:tc>
        <w:tc>
          <w:tcPr>
            <w:tcW w:w="1275" w:type="dxa"/>
            <w:tcBorders>
              <w:bottom w:val="single" w:sz="12" w:space="0" w:color="auto"/>
            </w:tcBorders>
          </w:tcPr>
          <w:p w14:paraId="4CB3243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НКСП</w:t>
            </w:r>
          </w:p>
        </w:tc>
        <w:tc>
          <w:tcPr>
            <w:tcW w:w="1701" w:type="dxa"/>
            <w:tcBorders>
              <w:bottom w:val="single" w:sz="12" w:space="0" w:color="auto"/>
            </w:tcBorders>
          </w:tcPr>
          <w:p w14:paraId="0F8094F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182</w:t>
            </w:r>
          </w:p>
          <w:p w14:paraId="52E08D4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Махач-Кала)</w:t>
            </w:r>
          </w:p>
        </w:tc>
        <w:tc>
          <w:tcPr>
            <w:tcW w:w="3969" w:type="dxa"/>
            <w:tcBorders>
              <w:bottom w:val="single" w:sz="12" w:space="0" w:color="auto"/>
            </w:tcBorders>
          </w:tcPr>
          <w:p w14:paraId="0B9958D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100 </w:t>
            </w:r>
          </w:p>
        </w:tc>
      </w:tr>
    </w:tbl>
    <w:p w14:paraId="35ED115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Поручить комиссии в составе т. Борисова (Госплан при Совнаркоме СССР) – созыв, т. Носенко (Наркомсудпром), т. Кузнецова (Наркомвоенморфлот), т. Паршина (Наркомминвооружения) и т. Кабанова (Наркомэлектропром) в 10 дневный срок предоставить на утверждение ГОКО проект постановления о размещении на заводах Наркомсудпрома, Наркомминвооружения и Наркомэлектропрома производства глубоководных минных защитников и электроторпед «ЭТ-80»</w:t>
      </w:r>
    </w:p>
    <w:p w14:paraId="62BFA3C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Обязать Наркомсудпром (т. Носенко) для обеспечения разработки, изготовления и испытаний новых образцов морских мин и тралов:</w:t>
      </w:r>
    </w:p>
    <w:p w14:paraId="6CF9F8D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выделить из состава завода № 347 Наркомсудпрома (г. Петропавловск Центральное конструкторское бюро и присвоить ему наименование «ЦКБ-36»;</w:t>
      </w:r>
    </w:p>
    <w:p w14:paraId="4CCBD56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подчинить «ЦКБ-36» 2-му Главному Управлению Наркомсудпрома и передать для его размещения филиал завода № 239 Наркомсудпрома в г. Петропавловске Казахской ССР.</w:t>
      </w:r>
    </w:p>
    <w:p w14:paraId="42C78C8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Имеющиеся по филиалу завода № 239 производственные задания, разместить на основном заводе № 239 в г. Петропавловске;</w:t>
      </w:r>
    </w:p>
    <w:p w14:paraId="7C67711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изготовить следующие опытные образцы мин и тралов, провести их испытания и совместно с Наркомвоенморфлотом представить заключение о возможности принятия на вооружение Военно-Морского флота: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3542"/>
        <w:gridCol w:w="2678"/>
        <w:gridCol w:w="937"/>
        <w:gridCol w:w="3475"/>
      </w:tblGrid>
      <w:tr w:rsidR="001E2C69" w:rsidRPr="001E2C69" w14:paraId="23F06B5B" w14:textId="77777777" w:rsidTr="00CC5360">
        <w:trPr>
          <w:jc w:val="center"/>
        </w:trPr>
        <w:tc>
          <w:tcPr>
            <w:tcW w:w="3542" w:type="dxa"/>
            <w:tcBorders>
              <w:top w:val="single" w:sz="12" w:space="0" w:color="auto"/>
            </w:tcBorders>
          </w:tcPr>
          <w:p w14:paraId="276A228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Наименование изделий</w:t>
            </w:r>
          </w:p>
        </w:tc>
        <w:tc>
          <w:tcPr>
            <w:tcW w:w="2678" w:type="dxa"/>
            <w:tcBorders>
              <w:top w:val="single" w:sz="12" w:space="0" w:color="auto"/>
            </w:tcBorders>
          </w:tcPr>
          <w:p w14:paraId="2DBA435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изготовитель опытных образцов</w:t>
            </w:r>
          </w:p>
        </w:tc>
        <w:tc>
          <w:tcPr>
            <w:tcW w:w="937" w:type="dxa"/>
            <w:tcBorders>
              <w:top w:val="single" w:sz="12" w:space="0" w:color="auto"/>
            </w:tcBorders>
          </w:tcPr>
          <w:p w14:paraId="5DB56AD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w:t>
            </w:r>
          </w:p>
        </w:tc>
        <w:tc>
          <w:tcPr>
            <w:tcW w:w="3475" w:type="dxa"/>
            <w:tcBorders>
              <w:top w:val="single" w:sz="12" w:space="0" w:color="auto"/>
            </w:tcBorders>
          </w:tcPr>
          <w:p w14:paraId="13CFBF7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Срок проведения морских испытаний и представления заключения</w:t>
            </w:r>
          </w:p>
        </w:tc>
      </w:tr>
      <w:tr w:rsidR="001E2C69" w:rsidRPr="001E2C69" w14:paraId="464244C9" w14:textId="77777777" w:rsidTr="00CC5360">
        <w:trPr>
          <w:jc w:val="center"/>
        </w:trPr>
        <w:tc>
          <w:tcPr>
            <w:tcW w:w="3542" w:type="dxa"/>
          </w:tcPr>
          <w:p w14:paraId="59534DF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Морской трал уничтожитель (МТУ)</w:t>
            </w:r>
          </w:p>
        </w:tc>
        <w:tc>
          <w:tcPr>
            <w:tcW w:w="2678" w:type="dxa"/>
          </w:tcPr>
          <w:p w14:paraId="6BE2B04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«ЦКБ-36» НКСП</w:t>
            </w:r>
          </w:p>
        </w:tc>
        <w:tc>
          <w:tcPr>
            <w:tcW w:w="937" w:type="dxa"/>
          </w:tcPr>
          <w:p w14:paraId="729192C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компл.</w:t>
            </w:r>
          </w:p>
        </w:tc>
        <w:tc>
          <w:tcPr>
            <w:tcW w:w="3475" w:type="dxa"/>
          </w:tcPr>
          <w:p w14:paraId="55B9717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1.VIII-1942 г.</w:t>
            </w:r>
          </w:p>
        </w:tc>
      </w:tr>
      <w:tr w:rsidR="001E2C69" w:rsidRPr="001E2C69" w14:paraId="03D3A082" w14:textId="77777777" w:rsidTr="00CC5360">
        <w:trPr>
          <w:jc w:val="center"/>
        </w:trPr>
        <w:tc>
          <w:tcPr>
            <w:tcW w:w="3542" w:type="dxa"/>
          </w:tcPr>
          <w:p w14:paraId="77559E1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Речной трал уничтожитель (РТУ)</w:t>
            </w:r>
          </w:p>
        </w:tc>
        <w:tc>
          <w:tcPr>
            <w:tcW w:w="2678" w:type="dxa"/>
          </w:tcPr>
          <w:p w14:paraId="2A9EFF1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_»_</w:t>
            </w:r>
          </w:p>
        </w:tc>
        <w:tc>
          <w:tcPr>
            <w:tcW w:w="937" w:type="dxa"/>
          </w:tcPr>
          <w:p w14:paraId="30AC353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компл.</w:t>
            </w:r>
          </w:p>
        </w:tc>
        <w:tc>
          <w:tcPr>
            <w:tcW w:w="3475" w:type="dxa"/>
          </w:tcPr>
          <w:p w14:paraId="5982A3D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1.VIII-1942 г.</w:t>
            </w:r>
          </w:p>
        </w:tc>
      </w:tr>
      <w:tr w:rsidR="001E2C69" w:rsidRPr="001E2C69" w14:paraId="12F5AF5E" w14:textId="77777777" w:rsidTr="00CC5360">
        <w:trPr>
          <w:jc w:val="center"/>
        </w:trPr>
        <w:tc>
          <w:tcPr>
            <w:tcW w:w="3542" w:type="dxa"/>
          </w:tcPr>
          <w:p w14:paraId="68C1604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Морская неконтактная мина (НЯМ)</w:t>
            </w:r>
          </w:p>
        </w:tc>
        <w:tc>
          <w:tcPr>
            <w:tcW w:w="2678" w:type="dxa"/>
          </w:tcPr>
          <w:p w14:paraId="5D98A2A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«ЦКБ-36» НКСП</w:t>
            </w:r>
          </w:p>
        </w:tc>
        <w:tc>
          <w:tcPr>
            <w:tcW w:w="937" w:type="dxa"/>
          </w:tcPr>
          <w:p w14:paraId="43A5708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шт.</w:t>
            </w:r>
          </w:p>
        </w:tc>
        <w:tc>
          <w:tcPr>
            <w:tcW w:w="3475" w:type="dxa"/>
          </w:tcPr>
          <w:p w14:paraId="3CDA04C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15.VIII-1942 г.</w:t>
            </w:r>
          </w:p>
        </w:tc>
      </w:tr>
      <w:tr w:rsidR="001E2C69" w:rsidRPr="001E2C69" w14:paraId="02BD564B" w14:textId="77777777" w:rsidTr="00CC5360">
        <w:trPr>
          <w:jc w:val="center"/>
        </w:trPr>
        <w:tc>
          <w:tcPr>
            <w:tcW w:w="3542" w:type="dxa"/>
            <w:tcBorders>
              <w:bottom w:val="single" w:sz="12" w:space="0" w:color="auto"/>
            </w:tcBorders>
          </w:tcPr>
          <w:p w14:paraId="76556CA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Морская авиационная неконтактная мина (АМД-1)</w:t>
            </w:r>
          </w:p>
        </w:tc>
        <w:tc>
          <w:tcPr>
            <w:tcW w:w="2678" w:type="dxa"/>
            <w:tcBorders>
              <w:bottom w:val="single" w:sz="12" w:space="0" w:color="auto"/>
            </w:tcBorders>
          </w:tcPr>
          <w:p w14:paraId="46365C1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182 НКСН</w:t>
            </w:r>
          </w:p>
        </w:tc>
        <w:tc>
          <w:tcPr>
            <w:tcW w:w="937" w:type="dxa"/>
            <w:tcBorders>
              <w:bottom w:val="single" w:sz="12" w:space="0" w:color="auto"/>
            </w:tcBorders>
          </w:tcPr>
          <w:p w14:paraId="2E78EB1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шт.</w:t>
            </w:r>
          </w:p>
        </w:tc>
        <w:tc>
          <w:tcPr>
            <w:tcW w:w="3475" w:type="dxa"/>
            <w:tcBorders>
              <w:bottom w:val="single" w:sz="12" w:space="0" w:color="auto"/>
            </w:tcBorders>
          </w:tcPr>
          <w:p w14:paraId="6FE0161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15.VIII-1942 г.</w:t>
            </w:r>
          </w:p>
        </w:tc>
      </w:tr>
    </w:tbl>
    <w:p w14:paraId="34A4232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Обязать Наркомвоенморфлот (т. Кузнецова) обеспечить бесперебойное проведение морских испытаний новых образцов мин, торпед и тралов на кораблях и самолетах Военно-Морского флота.</w:t>
      </w:r>
    </w:p>
    <w:p w14:paraId="17E694C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Разрешить Наркомсудпрому (т. Носенко) и Наркомвоенморфлоту (т. Кузнецову) установить премии для работников ЦКБ, заводов и личного состава ВМФ за разработку, изготовление, проведение испытаний и внедрение в серийное производство новых образцов мин, торпед и тралов в сроки, установленные настоящим постановление, для чего доходов и расходов на III квартал 1942 г. по Наркомсудпрому – 500 тыс. рублей и в смете Наркомвоенморфлота 100 тыс. рублей.</w:t>
      </w:r>
    </w:p>
    <w:p w14:paraId="03E734F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Обязать Наркомчермет (т. Тевосян) обеспечить отгрузку в июле месяце 51 тн. стали для опытных образцов мин и тралов по спецификации и разнарядке НКСП в счет фондов последнего.8. Обязать НКПС (т. Хрулева) выделить в июле месяце 1942 г. вагоны дл перевозки 51 тонны листовой стали с завода Наркомчермета на завод Наркомсудпрома.</w:t>
      </w:r>
    </w:p>
    <w:p w14:paraId="57E7E64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9. Возложить контроль за ходом выполнения настоящего постановления на Наркомгосконтроля СССР (т. Попова). </w:t>
      </w:r>
    </w:p>
    <w:p w14:paraId="767A505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ПРЕДСЕДАТЕЛЬ ГОСУДАРСТВЕННОГО КОМИТЕТА ОБОРОНЫ (11813).</w:t>
      </w:r>
    </w:p>
    <w:p w14:paraId="4D6900EE"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05596E2"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7E8A2F91" w14:textId="77777777" w:rsidR="00AE7191" w:rsidRPr="001E2C69" w:rsidRDefault="00AE7191" w:rsidP="00722885">
      <w:pPr>
        <w:pStyle w:val="Iauiue"/>
        <w:jc w:val="both"/>
        <w:rPr>
          <w:iCs/>
          <w:color w:val="000000" w:themeColor="text1"/>
          <w:sz w:val="16"/>
          <w:szCs w:val="16"/>
        </w:rPr>
      </w:pPr>
    </w:p>
    <w:p w14:paraId="164FDB38"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 июля в 1942 году утреннее сообщение Совинформбюро:</w:t>
      </w:r>
    </w:p>
    <w:p w14:paraId="1099AB78"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26 июля наши войска вели бои с противником в районе Воронежа, а также в районах Цымлянская, Новочеркасск, Ростов.</w:t>
      </w:r>
    </w:p>
    <w:p w14:paraId="7253CFF1"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145D36FB"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продолжались ожесточённые бои. Западнее города наши войска продвинулись вперёд. В боях за два населённых пункта взято в плен несколько сот немецких солдат и офицеров, захвачено 54 пулемёта, 45 орудий, 2 танка, самолёт,18 миномётов и много боеприпасов. На другом участке гитлеровцы, стремясь задержать продвижение наших частей, бросили в контратаку полк, только что прибывший из глубокого тыла. Встреченный мощным миномётным и пулемётным огнём,противник понёс большие потери и был вынужден залечь. Тогда в бой вступили наши танки и пехота. В результате боя немцы потеряли только убитыми свыше 1.200 солдат и офицеров. Подбито 5 немецких танков. Взяты пленные и трофеи.</w:t>
      </w:r>
    </w:p>
    <w:p w14:paraId="5712FA59"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Ростова противник бросает в бой крупные колонны танков, стремясь массированными ударами сломить сопротивление защитников города. Наши бойцы самоотверженно отстаивают каждый рубеж и наносят немцам большой урон. На одном из участков огнём артиллерии и бронебойщиков уничтожено 27 немецких танков. На другом участке наши бойцы отразили три атаки противника и уничтожили до 800 гитлеровцев. Противник предпринял четвёртую атаку и ввёл в бой полк пехоты и до50 танков. Немцам удалось прорваться в глубь оборонительного района. На окраине города продолжаются ожесточённые бои.</w:t>
      </w:r>
    </w:p>
    <w:p w14:paraId="0E1B06E5"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В районе Цымлянской наши войска ведут оборонительные бои с войсками противника. На одном участке немцы организовали переправу через Дон и перебросили через реку передовые отряды. Наша авиация нанесла несколько массированных ударов по переправе и скоплению войск противника. Вслед за ударами авиации наши бойцы опрокинули передовые отряды гитлеровцев и полностью их уничтожили. Противник потерял убитыми свыше 300 солдат и офицеров. Захвачены 26 пулемётов, 18 миномётов, много автоматов, винтовок и боеприпасы. На другом участке наши части отбили атаку пехоты и танков противника. Уничтожено 15 немецких танков и до 600 гитлеровцев.</w:t>
      </w:r>
    </w:p>
    <w:p w14:paraId="3DE43B82"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Калининском фронте происходили активные действия разведывательных отрядов и артиллерийская перестрелка. Разведчики под руководством старшего лейтенанта Докунина выбили немцев из деревни Г. Другая группа разведчиков под командованием лейтенанта Максимова пробралась к вражескому ДЗОТу и забросала его гранатами. В это время из других ДЗОТов выбежали немецкие солдаты. Наши разведчики вступили сними в бой и истребили 18 гитлеровцев. На одном из участков противник сосредоточил пехоту у переднего края своей обороны. Артиллеристы командира Плотникова открыли огонь и уничтожили свыше 250 немцев, 2 тяжёлых миномёта и 9 подвод с боеприпасами.</w:t>
      </w:r>
    </w:p>
    <w:p w14:paraId="77CBCC88"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ленинградских партизан под руководством тов. К. пустил под откос эшелон с войсками и боеприпасами противника. Партизаны этого отряда за три недели июля месяца истребили 80 немецких оккупантов, уничтожили 8 автомашин и вырезали 2 километра телефонного провода.</w:t>
      </w:r>
    </w:p>
    <w:p w14:paraId="6072633B"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 убитого в районе Воронежа немецкого обер-ефрейтора Алоиза Луринга найдено неотправленное письмо Эрнсту Шлегелю. В письме говорится: «Я не могу тебе передать то, что здесь происходит. Поверь, что ничего подобного я еще не видел и не переживал за всё время войны. Каждый день стоит нам много жизней. Наш батальон расформирован — в нём почти никого не осталось. Я попал в 5 роту. Уже сейчас в ней меньше людей, чем должно быть в одном взводе... Русские очень отчаянные люди. Они упорно сопротивляются и не боятся смерти. Да, Россия — это загадка для всех нас. Иногда мне кажется, что мы втянуты в очень опасную авантюру».</w:t>
      </w:r>
    </w:p>
    <w:p w14:paraId="1F55C8F2"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Гамбурге (Германия) толпа портовых рабочих разгромила продовольственный склад. Вызванный отряд гестапо был встречен градом камней. Гитлеровцы открыли стрельбу и убили несколько десятков рабочих. В порту произведены массовые аресты.</w:t>
      </w:r>
    </w:p>
    <w:p w14:paraId="390A9EB7"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Коллектив завода № 654 Наркомэлектропрома, где директором тов. Бенский, неуклонно повышает производительность труда. К 20 июля завод выполнил заказы предприятий танковой промышленности, а спустя три дня завершил месячную программу по всем видам производства.» (14964).</w:t>
      </w:r>
    </w:p>
    <w:p w14:paraId="6777B229" w14:textId="77777777" w:rsidR="00001919" w:rsidRPr="001E2C69" w:rsidRDefault="00001919" w:rsidP="00722885">
      <w:pPr>
        <w:spacing w:after="0" w:line="240" w:lineRule="auto"/>
        <w:jc w:val="both"/>
        <w:rPr>
          <w:rFonts w:ascii="Times New Roman" w:hAnsi="Times New Roman"/>
          <w:color w:val="000000" w:themeColor="text1"/>
          <w:sz w:val="16"/>
          <w:szCs w:val="16"/>
        </w:rPr>
      </w:pPr>
    </w:p>
    <w:p w14:paraId="75FACD5F"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 июля в 1942 году вечернее сообщение Совинформбюро:</w:t>
      </w:r>
    </w:p>
    <w:p w14:paraId="31A5A6BB"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«B течение 26 июля наши войска продолжали ожесточённые бои в районе Воронежа, а также в районах Цымлянская, Новочеркасск, Ростов.</w:t>
      </w:r>
    </w:p>
    <w:p w14:paraId="3AFA1918"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27A17A4C"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истекшую неделю, с 19 по 25 июля включительно в воздушных боях, на аэродромах и огнём зенитной артиллерии уничтожено 299 немецких самолётов. Наши потери —137 самолётов.</w:t>
      </w:r>
    </w:p>
    <w:p w14:paraId="78DD8182"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25 июля частями нашей авиации на различных участках фронта уничтожено или повреждено 46 немецких танков, 170 автомашин с войсками и грузами, 25 подвод с боеприпасами, взорван склад горючего, разбито 3 железнодорожных состава, рассеяно и частью уничтожено до двух батальонов пехоты противника.</w:t>
      </w:r>
    </w:p>
    <w:p w14:paraId="64BE5880"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наши войска продолжают вести наступательные бои против немецко-фашистских войск. Попытки противника контратаками вернуть потерянные важные позиции терпят неудачу. Гитлеровцы несут при этом большие потери. Толькона одном участке, по неполным данным, за три недели разгромлено и уничтожено свыше четырёх полков пехоты и мотопехоты противника, уничтожено 328 танков, захвачено 400 пулемётов, 560 автоматов, 189 орудий, 46 миномётов, 20.000 снарядов, 170.000 патронов. На другом участке понесла значительный урон 376 немецкая пехотная дивизия, только что прибывшая из Франции и сразу же брошенная в бой.</w:t>
      </w:r>
    </w:p>
    <w:p w14:paraId="75562580"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Ростова идут ожесточённые бои на окраине города. Наши части наносят наступающим фашистам большие потери. Только одна небольшая группа советской пехоты в течение дня огнём из противотанковых ружей, гранатами и бутылками сгорючей смесью уничтожила 9 немецких танков и сотни гитлеровцев. На другом участке противник ввёл в бой крупные танковые силы, и ценой огромных потерь ему удалось продвинуться вперёд.</w:t>
      </w:r>
    </w:p>
    <w:p w14:paraId="04E99B23"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Цымлянской наши войска продолжали вести упорные оборонительные бои и отбивали многочисленные попытки немцев переправиться на южный берег Дона. Активно действуют наши артиллеристы, обрушивающие массированные удары по скоплениям противника. В течение дня артиллеристы Н-ской части, по неполным данным, уничтожили 6 немецких танков и 20 автомашин с войсками, потопили 9 понтонов с солдатами и вооружением. На другом участке наше подразделение ликвидировало попытку немцев закрепиться на южном берегу реки и уничтожило свыше 300 гитлеровцев.</w:t>
      </w:r>
    </w:p>
    <w:p w14:paraId="10F1361B"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Западном фронте наблюдалась редкая артиллерийская и миномётная перестрелка. На одном из участков огнём нашей артиллерии разрушено 3 немецких ДЗОТа и уничтожено до полутора взводов пехоты противника. На другом участке наши артиллеристы и снайперы истребили свыше 150 солдат и офицеров противника.</w:t>
      </w:r>
    </w:p>
    <w:p w14:paraId="10B5599E"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тов. М., действующий в одном из районов Белоруссии, за последнее время взорвал несколько мостов и пустил под откос два железнодорожных воинских эшелона противника. Партизаны из засад истребили свыше 60 оккупантов. За два месяца партизанский отряд увеличился более чем в два раза.</w:t>
      </w:r>
    </w:p>
    <w:p w14:paraId="183BB188"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боях на Юге и в районе Воронежа выявляются всё новые и новые дивизии, которые немцы срочно перебросили на фронт из глубокого тыла. Так, за последнее время вступили в бой 71 и 376 немецкие пехотные дивизии, прибывшие из Франции, 82 пехотная дивизия, прибывшая из Голландии. Гитлеровцы, как азартные картёжники, идут на риск, бросая свои резервы на советско-германский фронт.</w:t>
      </w:r>
    </w:p>
    <w:p w14:paraId="45166B8C"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Ниже публикуются выдержки из записной книжки убитого ефрейтора 82 немецкой пехотной дивизии Густава Кноппа:</w:t>
      </w:r>
    </w:p>
    <w:p w14:paraId="0828BC18"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«...Вот уже несколько месяцев, как мы стоим в Голландии. Жизнь вполне сносная, если не считать бесконечных учебных тревог. Что же касается местного населения, которое нас ненавидит, то настоящий немец не обращает внимания на разную шваль... Получил письмо от Адольфа. 71 дивизия срочно отправляется из Реймса на Восток. Настроение тревожное. Неужели и нас ожидает такая же участь? Но ведь кто-то должен остаться на Западе? К тому же до сих пор наша дивизия не имеет материальной части. Буду надеяться на лучшее...</w:t>
      </w:r>
    </w:p>
    <w:p w14:paraId="1DC49D38"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Итак, свершилось. Мы покидаем Голландию. Нас, старых солдат, забирают всех. Остаётся одна дрянь и юнцы. Неужели опять Россия?</w:t>
      </w:r>
    </w:p>
    <w:p w14:paraId="1AD01F2C"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...Настроение подавленное. Две недели не разувал ног. Вчерашнее наступлениенам стоило дорого. Во втором батальоне не осталось и половины состава. Что нас ждёт впереди?»</w:t>
      </w:r>
    </w:p>
    <w:p w14:paraId="3D48ACCE"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Бежавшие из занятого немецкими оккупантами города Россошь советские граждане рассказали о новых чудовищных преступлениях немецко-фашистских бандитов.Ворвавшись в город, гитлеровцы начали массовые грабежи и расстрелы мирных жителей. Немецкие солдаты забросали гранатами подвал дома, где укрывалось более 40 женщин и детей. Только за три дня гитлеровские мерзавцы убили более 400 женщин, детей и стариков. Немецкие автоматчики каждый день выводят группы мирных жителей за город и расстреливают их.» (14964).</w:t>
      </w:r>
    </w:p>
    <w:p w14:paraId="281A422A" w14:textId="77777777" w:rsidR="00001919" w:rsidRPr="001E2C69" w:rsidRDefault="00001919" w:rsidP="00722885">
      <w:pPr>
        <w:spacing w:after="0" w:line="240" w:lineRule="auto"/>
        <w:jc w:val="both"/>
        <w:rPr>
          <w:rFonts w:ascii="Times New Roman" w:hAnsi="Times New Roman"/>
          <w:color w:val="000000" w:themeColor="text1"/>
          <w:sz w:val="16"/>
          <w:szCs w:val="16"/>
        </w:rPr>
      </w:pPr>
    </w:p>
    <w:p w14:paraId="12690B3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26 июля 1942 нарком ВМФ потребовал от авианачальников, включая командиров бригад и комиссаров, летать (1085,161).</w:t>
      </w:r>
    </w:p>
    <w:p w14:paraId="62E11606" w14:textId="77777777" w:rsidR="00AE7191" w:rsidRPr="001E2C69" w:rsidRDefault="00AE7191" w:rsidP="00722885">
      <w:pPr>
        <w:pStyle w:val="Iauiue"/>
        <w:jc w:val="both"/>
        <w:rPr>
          <w:color w:val="000000" w:themeColor="text1"/>
          <w:sz w:val="16"/>
          <w:szCs w:val="16"/>
        </w:rPr>
      </w:pPr>
    </w:p>
    <w:p w14:paraId="7016CF79"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lang w:val="en-US"/>
        </w:rPr>
        <w:t>July 26, 1942: Start of the advance by Armeegruppe A from Rostov and the lower Don toward the Caucasus region (3819).</w:t>
      </w:r>
    </w:p>
    <w:p w14:paraId="3622595B" w14:textId="77777777" w:rsidR="00AE7191" w:rsidRPr="001E2C69" w:rsidRDefault="00AE7191" w:rsidP="00722885">
      <w:pPr>
        <w:pStyle w:val="Iauiue"/>
        <w:jc w:val="both"/>
        <w:rPr>
          <w:color w:val="000000" w:themeColor="text1"/>
          <w:sz w:val="16"/>
          <w:szCs w:val="16"/>
          <w:lang w:val="en-US"/>
        </w:rPr>
      </w:pPr>
    </w:p>
    <w:p w14:paraId="5ECAD06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26 июля 1942 началось наступление Группы А от Ростова и нижнего Дона на Кавказ (3819).</w:t>
      </w:r>
    </w:p>
    <w:p w14:paraId="25A9B8D1" w14:textId="77777777" w:rsidR="00AE7191" w:rsidRPr="001E2C69" w:rsidRDefault="00AE7191" w:rsidP="00722885">
      <w:pPr>
        <w:pStyle w:val="Iauiue"/>
        <w:jc w:val="both"/>
        <w:rPr>
          <w:color w:val="000000" w:themeColor="text1"/>
          <w:sz w:val="16"/>
          <w:szCs w:val="16"/>
        </w:rPr>
      </w:pPr>
    </w:p>
    <w:p w14:paraId="7B23E2A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 июля 1942 немецкие самолеты несколько раз появлялись над Волгой. Они разбомбили баржи «Таловка» и «Веста», перевозившие автомобильное масло. В районе хутора Быково, в 40 км южнее Камышина, «Хейнкели» обстреляли из пулеметов, а затем сбросили тяжелые зажигательные бомбы на пассажирский пароход «Александр Невский», на борту которого находились 300 пассажиров. Капитан Николай Харламович сразу повернул корабль в сторону высокого берега, и вскоре тот уткнулся носом в песок. Люди в панике бросились на берег, и в огне погибли только 15 человек. В тот же день были потоплены три буксирных судна, четыре сухогрузные и две нефтеналивные баржи. В районе Сталинграда подорвался на мине и затонул пароход «Аджарстан», на котором погибли 20 человек. Помимо бомбардировок и обстрелов, дальние разведчики Люфтваффе применяли против кораблей речного флота и «психическое» оружие, сбрасывая дырявые и набитые гвоздями бочки из-под бензина. В связи с этими событиями все более важную роль стала играть Волжская военная флотилия под командованием контр-адмирала Д. Дергачева. К концу июля в ее составе имелись 18 мощных буксиров, вооруженных зенитными орудиями, а также семь канонерских лодок, 14 бронекатеров, 33 катера-тральщика, две плавучие зенитные батареи и два батальона морской пехоты. До середины июля главной задачей флотилии было обеспечение ПВО Саратова, особенно железнодорожного моста через Волгу. Теперь же начиная с 26 июля корабли ВВФ конвоировали речные суда, двигавшиеся по Волге, и обеспечивали их ПВО. Напуганное донесениями о массовой гибели судов, пароходство «Волготанкер» вечером этого дня приостановило отправку танкеров из порта Астрахани. Но десятки кораблей уже находились в пути. 26 июля нарком речного флота Шашков выступил с докладом на заседании ГКО о положении на Нижней Волге. Он попросил срочно принять меры по вооружению судов и усилению ПВО. В этот же день с аналогичной просьбой к руководству страны обратился и Астраханский горкомитет обороны (11774).</w:t>
      </w:r>
    </w:p>
    <w:p w14:paraId="2ABAC10A"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98C621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 июля 1942 вышло Постановление ГКО № 2096 О назначении т. Иванова В.И. членом Калининского штаба партизанского движения. РГАНИР, Фонд ГКО, д. 48, лл. 1 (11012).</w:t>
      </w:r>
    </w:p>
    <w:p w14:paraId="799BF4CD"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F0B649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26 июля 1942 вышло Постановление ГКО № 2102 О сформировании 35 истребительно-противотанковых артиллерийских полков. РГАНИР, Фонд ГКО, д. 48, лл. 27 (11012).</w:t>
      </w:r>
    </w:p>
    <w:p w14:paraId="231FDCE3"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869C21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26 июля 1942, у Кривой косы в Азовском море ТКА № 154 и СКА №0175 обнаружили, и по докладам экипажей, уничтожили две шхуны. По немецким данным подтверждается гибель одного из двух сторожевых катеров местной охранной флотилии, атакованных советскими кораблями (6002).</w:t>
      </w:r>
    </w:p>
    <w:p w14:paraId="2C46B23C" w14:textId="77777777" w:rsidR="00AE7191" w:rsidRPr="001E2C69" w:rsidRDefault="00AE7191" w:rsidP="00722885">
      <w:pPr>
        <w:pStyle w:val="Iauiue"/>
        <w:jc w:val="both"/>
        <w:rPr>
          <w:color w:val="000000" w:themeColor="text1"/>
          <w:sz w:val="16"/>
          <w:szCs w:val="16"/>
        </w:rPr>
      </w:pPr>
    </w:p>
    <w:p w14:paraId="7CD0012F" w14:textId="3E036255" w:rsidR="008A175E" w:rsidRDefault="008A175E" w:rsidP="00722885">
      <w:pPr>
        <w:pStyle w:val="Iauiue"/>
        <w:jc w:val="both"/>
        <w:rPr>
          <w:i/>
          <w:iCs/>
          <w:color w:val="000000" w:themeColor="text1"/>
          <w:sz w:val="16"/>
          <w:szCs w:val="16"/>
        </w:rPr>
      </w:pPr>
      <w:r>
        <w:rPr>
          <w:i/>
          <w:iCs/>
          <w:color w:val="000000" w:themeColor="text1"/>
          <w:sz w:val="16"/>
          <w:szCs w:val="16"/>
        </w:rPr>
        <w:t>Внешняя политика:</w:t>
      </w:r>
    </w:p>
    <w:p w14:paraId="37F2D5DB" w14:textId="77777777" w:rsidR="008A175E" w:rsidRDefault="008A175E" w:rsidP="00722885">
      <w:pPr>
        <w:pStyle w:val="Iauiue"/>
        <w:jc w:val="both"/>
        <w:rPr>
          <w:i/>
          <w:iCs/>
          <w:color w:val="000000" w:themeColor="text1"/>
          <w:sz w:val="16"/>
          <w:szCs w:val="16"/>
        </w:rPr>
      </w:pPr>
    </w:p>
    <w:p w14:paraId="7A02F40B" w14:textId="77777777" w:rsidR="008A175E" w:rsidRPr="008A2E5A" w:rsidRDefault="008A175E" w:rsidP="008A175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июля 1942 г. до</w:t>
      </w:r>
      <w:r w:rsidRPr="008A2E5A">
        <w:rPr>
          <w:rFonts w:ascii="Times New Roman" w:hAnsi="Times New Roman"/>
          <w:color w:val="0070C0"/>
          <w:sz w:val="16"/>
          <w:szCs w:val="16"/>
        </w:rPr>
        <w:softHyphen/>
        <w:t>говором о союзе в войне юридически были окончательно оформлены принципы ленд-лиза в отношениях между СССР и Великобританией. Принципы организации британских по</w:t>
      </w:r>
      <w:r w:rsidRPr="008A2E5A">
        <w:rPr>
          <w:rFonts w:ascii="Times New Roman" w:hAnsi="Times New Roman"/>
          <w:color w:val="0070C0"/>
          <w:sz w:val="16"/>
          <w:szCs w:val="16"/>
        </w:rPr>
        <w:softHyphen/>
        <w:t>ставок немного отличались от американ</w:t>
      </w:r>
      <w:r w:rsidRPr="008A2E5A">
        <w:rPr>
          <w:rFonts w:ascii="Times New Roman" w:hAnsi="Times New Roman"/>
          <w:color w:val="0070C0"/>
          <w:sz w:val="16"/>
          <w:szCs w:val="16"/>
        </w:rPr>
        <w:softHyphen/>
        <w:t>ских. Англичане разделяли военные (во</w:t>
      </w:r>
      <w:r w:rsidRPr="008A2E5A">
        <w:rPr>
          <w:rFonts w:ascii="Times New Roman" w:hAnsi="Times New Roman"/>
          <w:color w:val="0070C0"/>
          <w:sz w:val="16"/>
          <w:szCs w:val="16"/>
        </w:rPr>
        <w:softHyphen/>
        <w:t>оружение, боевая техника, специальный транспорт, средства связи) и невоенные (промышленное оборудование, инстру</w:t>
      </w:r>
      <w:r w:rsidRPr="008A2E5A">
        <w:rPr>
          <w:rFonts w:ascii="Times New Roman" w:hAnsi="Times New Roman"/>
          <w:color w:val="0070C0"/>
          <w:sz w:val="16"/>
          <w:szCs w:val="16"/>
        </w:rPr>
        <w:softHyphen/>
        <w:t>мент, сырье и полуфабрикаты) поставки.</w:t>
      </w:r>
    </w:p>
    <w:p w14:paraId="5E5940C2" w14:textId="77777777" w:rsidR="008A175E" w:rsidRPr="008A2E5A" w:rsidRDefault="008A175E" w:rsidP="008A175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Первые шли по схеме ленд-лиза с отсчетом с 6 сентября 1941 г. По вторым действова</w:t>
      </w:r>
      <w:r w:rsidRPr="008A2E5A">
        <w:rPr>
          <w:rFonts w:ascii="Times New Roman" w:hAnsi="Times New Roman"/>
          <w:color w:val="0070C0"/>
          <w:sz w:val="16"/>
          <w:szCs w:val="16"/>
        </w:rPr>
        <w:softHyphen/>
        <w:t>ли следующие принципы: разница между стоимостью поставок из Великобритании в СССР и обратно считалась проданной в счет кредита на пять лет под 3% годовых. Американцы такого разделения не делали и весь кредит считался беспроцентным. Как и в случае с США, до создания необ</w:t>
      </w:r>
      <w:r w:rsidRPr="008A2E5A">
        <w:rPr>
          <w:rFonts w:ascii="Times New Roman" w:hAnsi="Times New Roman"/>
          <w:color w:val="0070C0"/>
          <w:sz w:val="16"/>
          <w:szCs w:val="16"/>
        </w:rPr>
        <w:softHyphen/>
        <w:t>ходимой юридической базы советская сто</w:t>
      </w:r>
      <w:r w:rsidRPr="008A2E5A">
        <w:rPr>
          <w:rFonts w:ascii="Times New Roman" w:hAnsi="Times New Roman"/>
          <w:color w:val="0070C0"/>
          <w:sz w:val="16"/>
          <w:szCs w:val="16"/>
        </w:rPr>
        <w:softHyphen/>
        <w:t>рона размещала заказы в Великобритании на собственные средства.</w:t>
      </w:r>
    </w:p>
    <w:p w14:paraId="21162892" w14:textId="77777777" w:rsidR="008A175E" w:rsidRPr="008A2E5A" w:rsidRDefault="008A175E" w:rsidP="008A175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Англичане отвечали не только за себя, но и за всю огромную тогда Британскую империю. Например, значительные по объему поставки из Канады из общих британских обязательств первоначально не выделялись.</w:t>
      </w:r>
    </w:p>
    <w:p w14:paraId="6A1F3790" w14:textId="77777777" w:rsidR="008A175E" w:rsidRPr="008A2E5A" w:rsidRDefault="008A175E" w:rsidP="008A175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Контроль за отправкой самолетов из Англии осуществлял Инженерный отдел торгового представительства, в который в октябре 1941 г. добавили 14 авиаци</w:t>
      </w:r>
      <w:r w:rsidRPr="008A2E5A">
        <w:rPr>
          <w:rFonts w:ascii="Times New Roman" w:hAnsi="Times New Roman"/>
          <w:color w:val="0070C0"/>
          <w:sz w:val="16"/>
          <w:szCs w:val="16"/>
        </w:rPr>
        <w:softHyphen/>
        <w:t>онных специалистов. Позднее появился особый Авиационный отдел, входивший в Инженерное управление (23513).</w:t>
      </w:r>
    </w:p>
    <w:p w14:paraId="4AA376F0" w14:textId="77777777" w:rsidR="008A175E" w:rsidRPr="008A2E5A" w:rsidRDefault="008A175E" w:rsidP="008A175E">
      <w:pPr>
        <w:spacing w:after="0" w:line="240" w:lineRule="auto"/>
        <w:jc w:val="both"/>
        <w:rPr>
          <w:rFonts w:ascii="Times New Roman" w:hAnsi="Times New Roman"/>
          <w:color w:val="0070C0"/>
          <w:sz w:val="16"/>
          <w:szCs w:val="16"/>
        </w:rPr>
      </w:pPr>
    </w:p>
    <w:p w14:paraId="2F307A25" w14:textId="52CA5A30"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71CAA8D1" w14:textId="77777777" w:rsidR="00AE7191" w:rsidRPr="001E2C69" w:rsidRDefault="00AE7191" w:rsidP="00722885">
      <w:pPr>
        <w:pStyle w:val="Iauiue"/>
        <w:jc w:val="both"/>
        <w:rPr>
          <w:iCs/>
          <w:color w:val="000000" w:themeColor="text1"/>
          <w:sz w:val="16"/>
          <w:szCs w:val="16"/>
        </w:rPr>
      </w:pPr>
    </w:p>
    <w:p w14:paraId="06BB4FC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26/27 июля и 28/29 июля 1942 состоялись массовые налета RAF на Гамбург (2245,7).</w:t>
      </w:r>
    </w:p>
    <w:p w14:paraId="5AF0C795" w14:textId="77777777" w:rsidR="00AE7191" w:rsidRPr="001E2C69" w:rsidRDefault="00AE7191" w:rsidP="00722885">
      <w:pPr>
        <w:pStyle w:val="Iauiue"/>
        <w:jc w:val="both"/>
        <w:rPr>
          <w:color w:val="000000" w:themeColor="text1"/>
          <w:sz w:val="16"/>
          <w:szCs w:val="16"/>
        </w:rPr>
      </w:pPr>
    </w:p>
    <w:p w14:paraId="622578BE"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 июля в 1942 году британские самолеты бомбят Гамбург (14964).</w:t>
      </w:r>
    </w:p>
    <w:p w14:paraId="5295F427" w14:textId="77777777" w:rsidR="00001919" w:rsidRPr="001E2C69" w:rsidRDefault="00001919" w:rsidP="00722885">
      <w:pPr>
        <w:spacing w:after="0" w:line="240" w:lineRule="auto"/>
        <w:jc w:val="both"/>
        <w:rPr>
          <w:rFonts w:ascii="Times New Roman" w:hAnsi="Times New Roman"/>
          <w:color w:val="000000" w:themeColor="text1"/>
          <w:sz w:val="16"/>
          <w:szCs w:val="16"/>
        </w:rPr>
      </w:pPr>
    </w:p>
    <w:p w14:paraId="5DC461EB"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51ED67D6" w14:textId="77777777" w:rsidR="00AE7191" w:rsidRPr="001E2C69" w:rsidRDefault="00AE7191" w:rsidP="00722885">
      <w:pPr>
        <w:pStyle w:val="Iauiue"/>
        <w:jc w:val="both"/>
        <w:rPr>
          <w:iCs/>
          <w:color w:val="000000" w:themeColor="text1"/>
          <w:sz w:val="16"/>
          <w:szCs w:val="16"/>
        </w:rPr>
      </w:pPr>
    </w:p>
    <w:p w14:paraId="1BB5531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27 июля 1942 года начальник 8 главного управления В. Поликовский писал письмо N 1186 Шахурину.</w:t>
      </w:r>
    </w:p>
    <w:p w14:paraId="164049E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Справка</w:t>
      </w:r>
    </w:p>
    <w:p w14:paraId="3B5F180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мотору М-71.</w:t>
      </w:r>
    </w:p>
    <w:p w14:paraId="4A289AF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Мотор М-71 прошел 50-ти часовые совместные испытания в январе 1941 года.</w:t>
      </w:r>
    </w:p>
    <w:p w14:paraId="12CE670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течении 1941 года заводом N 19 была изготовлена малая серия моторов М-71 в количестве 20 штук для доводки до 100 часового ресурса и летных испытаний на самолетах И-185 и СУ-6.</w:t>
      </w:r>
    </w:p>
    <w:p w14:paraId="1352405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Общая наработка мотора М-71 в процессе доводки заводскими испытаниями до 100 часового ресурса - составляет 1563 часа. Из них проведено 4 сточасовых испытания по программе 67 МГУ, без существенных дефектов (на моторах NN 4, 19, 20, 21).</w:t>
      </w:r>
    </w:p>
    <w:p w14:paraId="557B458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Летные испытания мотор М-71 проходил на 4-х экземплярах самолетов - государственные испытания самолетов И-185 и СУ-6 с мотором М-71 прошли без дефектов по мотору.</w:t>
      </w:r>
    </w:p>
    <w:p w14:paraId="7527833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 государственные испытания мотор ставился два раза:</w:t>
      </w:r>
    </w:p>
    <w:p w14:paraId="07E2BFA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первом испытании (февраль - март 1942 года) испытания проходили два мотора (N 24 и N 36).</w:t>
      </w:r>
    </w:p>
    <w:p w14:paraId="20DE891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Первый из них был снят с испытаний после 45 часов режимной работы, по поломке передней мотылевой шейки коленвала.</w:t>
      </w:r>
    </w:p>
    <w:p w14:paraId="143DE5A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Поломка произошла по причине грубой обработки отверстия под маслопроводящую трубку.</w:t>
      </w:r>
    </w:p>
    <w:p w14:paraId="25A067F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Второй мотор прошел 100 часов режимной работы, но испытания не были зачтены из-за наличия выгорания фасок на клапанах выхлопа.</w:t>
      </w:r>
    </w:p>
    <w:p w14:paraId="15C1A4A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течении апреля - мая 1942 года завод изготовил и испытал новые клапана выхлопа с увеличенной внутренней полостью охлаждения.</w:t>
      </w:r>
    </w:p>
    <w:p w14:paraId="40D69BC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Вторые испытания были начаты в июне 1942 года. Государственные испытания проходили моторы NN 36 и 38 (1684,169).</w:t>
      </w:r>
    </w:p>
    <w:p w14:paraId="0422AD23" w14:textId="77777777" w:rsidR="00AE7191" w:rsidRPr="001E2C69" w:rsidRDefault="00AE7191" w:rsidP="00722885">
      <w:pPr>
        <w:pStyle w:val="Iauiue"/>
        <w:jc w:val="both"/>
        <w:rPr>
          <w:color w:val="000000" w:themeColor="text1"/>
          <w:sz w:val="16"/>
          <w:szCs w:val="16"/>
        </w:rPr>
      </w:pPr>
    </w:p>
    <w:p w14:paraId="4158BFA7" w14:textId="77777777" w:rsidR="00F1788C" w:rsidRPr="001E2C69"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27 июля 1942 г. начальник 8-го (моторного) Главка НКАП Поликовский писал о них Шахурину:</w:t>
      </w:r>
    </w:p>
    <w:p w14:paraId="04BD3C65" w14:textId="77777777" w:rsidR="00F1788C" w:rsidRPr="001E2C69"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"М-71 прошел 50-ти часовые совместные испытания в январе 1941 года.</w:t>
      </w:r>
    </w:p>
    <w:p w14:paraId="6AC2902F" w14:textId="77777777" w:rsidR="00F1788C" w:rsidRPr="001E2C69"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течении 1941 г. заводом №19 была изготовлена малая серия... в количестве 20 штук для доводки до 100 часового ресурса и летных испытаний на самолетах И-185 и СУ-6.</w:t>
      </w:r>
    </w:p>
    <w:p w14:paraId="45223C55" w14:textId="77777777" w:rsidR="00F1788C" w:rsidRPr="001E2C69"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Общая наработка мотора М-71 в процессе доводки заводскими испытаниями до 100 часового ресурса - составляет 1563 часа. Из них проведено 4 сточасовых испытания по программе 67 МГУ, без существенных дефектов (на моторах №№4, 19, 20, 21).</w:t>
      </w:r>
    </w:p>
    <w:p w14:paraId="4D7159E0" w14:textId="77777777" w:rsidR="00F1788C" w:rsidRPr="001E2C69"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Летные испытания мотор М-71 проходил на 4-х экземплярах самолетов - государственные испытания самолетов И-185 и СУ-6 с мотором М-71 прошли без дефектов по мотору.</w:t>
      </w:r>
    </w:p>
    <w:p w14:paraId="1091CDC7" w14:textId="77777777" w:rsidR="00F1788C" w:rsidRPr="001E2C69"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На государственные испытания мотор ставился два раза:</w:t>
      </w:r>
    </w:p>
    <w:p w14:paraId="4490183F" w14:textId="77777777" w:rsidR="00F1788C" w:rsidRPr="001E2C69"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первом испытании (февраль - март 1942 г.) испытания проходили два мотора (№24 и №36).</w:t>
      </w:r>
    </w:p>
    <w:p w14:paraId="66FEF144" w14:textId="77777777" w:rsidR="00F1788C" w:rsidRPr="001E2C69"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Первый из них был снят с испытаний после 45 часов режимной работы, по поломке передней мотылевой шейки коленвала.</w:t>
      </w:r>
    </w:p>
    <w:p w14:paraId="5D7AA960" w14:textId="77777777" w:rsidR="00F1788C" w:rsidRPr="001E2C69"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Поломка произошла по причине грубой обработки отверстия под маслопроводящую трубку.</w:t>
      </w:r>
    </w:p>
    <w:p w14:paraId="45C0A263" w14:textId="77777777" w:rsidR="00F1788C" w:rsidRPr="001E2C69"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Второй мотор прошел 100 часов режимной работы, но испытания не были зачтены из-за наличия выгорания фасок на клапанах выхлопа.</w:t>
      </w:r>
    </w:p>
    <w:p w14:paraId="0A2299FE" w14:textId="77777777" w:rsidR="00F1788C" w:rsidRPr="001E2C69"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течении апреля - мая 1942 года завод изготовил и испытал новые клапана выхлопа с увеличенной внутренней полостью охлаждения.</w:t>
      </w:r>
    </w:p>
    <w:p w14:paraId="6C7A5992" w14:textId="77777777" w:rsidR="00F1788C" w:rsidRPr="001E2C69"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Вторые испытания были начаты в июне 1942 года. Государственные испытания проходили моторы №№36 и 38...".</w:t>
      </w:r>
    </w:p>
    <w:p w14:paraId="2CCB2E00" w14:textId="77777777" w:rsidR="00F1788C" w:rsidRPr="001E2C69"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Надо отметить, что указанные моторы были сделаны опытным производством завода №19, где кадры и оборудование были лучше, чем у основной серийной части. Тем не менее, стабильного качества добиться не удалось (17737).</w:t>
      </w:r>
    </w:p>
    <w:p w14:paraId="09B08880" w14:textId="77777777" w:rsidR="00F1788C" w:rsidRPr="001E2C69" w:rsidRDefault="00F1788C" w:rsidP="00722885">
      <w:pPr>
        <w:pStyle w:val="12a"/>
        <w:shd w:val="clear" w:color="auto" w:fill="auto"/>
        <w:spacing w:after="0" w:line="240" w:lineRule="auto"/>
        <w:jc w:val="both"/>
        <w:rPr>
          <w:color w:val="000000" w:themeColor="text1"/>
          <w:sz w:val="16"/>
          <w:szCs w:val="16"/>
        </w:rPr>
      </w:pPr>
    </w:p>
    <w:p w14:paraId="6FD02BF9" w14:textId="77777777" w:rsidR="00CD0974" w:rsidRPr="001E2C69" w:rsidRDefault="00CD097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 июля 1942 г.</w:t>
      </w:r>
    </w:p>
    <w:p w14:paraId="2033EA1E" w14:textId="77777777" w:rsidR="00CD0974" w:rsidRPr="001E2C69" w:rsidRDefault="00CD097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ГЛАВНОМУ КОНСТРУКТОРУ ЗАВОДА № 21</w:t>
      </w:r>
    </w:p>
    <w:p w14:paraId="02A941B7" w14:textId="77777777" w:rsidR="00CD0974" w:rsidRPr="001E2C69" w:rsidRDefault="00CD097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ТОВ. ЛАВОЧКИНУ</w:t>
      </w:r>
    </w:p>
    <w:p w14:paraId="324AC187" w14:textId="77777777" w:rsidR="00CD0974" w:rsidRPr="001E2C69" w:rsidRDefault="00CD097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 июля 1942 г.</w:t>
      </w:r>
    </w:p>
    <w:p w14:paraId="78EF2CC9" w14:textId="77777777" w:rsidR="00CD0974" w:rsidRPr="001E2C69" w:rsidRDefault="00CD097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улучшения конструкции фонарей самолетов ЛаГГ-3 и ЛаГГ-5 необходимо провести следующие работы:</w:t>
      </w:r>
    </w:p>
    <w:p w14:paraId="0A961C93" w14:textId="77777777" w:rsidR="00CD0974" w:rsidRPr="001E2C69" w:rsidRDefault="00CD097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Улучшить обзор назад;</w:t>
      </w:r>
    </w:p>
    <w:p w14:paraId="3BD2E920" w14:textId="77777777" w:rsidR="00CD0974" w:rsidRPr="001E2C69" w:rsidRDefault="00CD097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Установить прозрачную броню в задних смотровых щелях;</w:t>
      </w:r>
    </w:p>
    <w:p w14:paraId="25465388" w14:textId="77777777" w:rsidR="00CD0974" w:rsidRPr="001E2C69" w:rsidRDefault="00CD097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Установить металлический броневой надголовник так, чтобы одновременно с защитой головы летчика сзади, этот надголовник не мешал летчику в случае аварийного выбрасывания;</w:t>
      </w:r>
    </w:p>
    <w:p w14:paraId="15FF5942" w14:textId="77777777" w:rsidR="00CD0974" w:rsidRPr="001E2C69" w:rsidRDefault="00CD097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Установить в передней части фонаря прозрачную броню;</w:t>
      </w:r>
    </w:p>
    <w:p w14:paraId="000FEC15" w14:textId="77777777" w:rsidR="00CD0974" w:rsidRPr="001E2C69" w:rsidRDefault="00CD097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Изменить конструкцию передней неподвижной части фонаря так, чтобы сферическая поверхность плексигласа была изменена на плоскую;</w:t>
      </w:r>
    </w:p>
    <w:p w14:paraId="7DE09075" w14:textId="77777777" w:rsidR="00CD0974" w:rsidRPr="001E2C69" w:rsidRDefault="00CD097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Разработать механизм закрытия и открытия фонаря в полете по типу самолета «Томагаук».</w:t>
      </w:r>
    </w:p>
    <w:p w14:paraId="2B12C680" w14:textId="77777777" w:rsidR="00CD0974" w:rsidRPr="001E2C69" w:rsidRDefault="00CD097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Изготовить с учетом указанных требований по новым фонарям на самолеты ЛаГГ-3 и ЛаГГ-5 и предъявить их для испытаний в НИИ ВВС КА к 15 августа 1942 года.</w:t>
      </w:r>
    </w:p>
    <w:p w14:paraId="0A55F6A4" w14:textId="77777777" w:rsidR="00CD0974" w:rsidRPr="001E2C69" w:rsidRDefault="00CD097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Дементьев</w:t>
      </w:r>
    </w:p>
    <w:p w14:paraId="1EE3B8C3" w14:textId="77777777" w:rsidR="00CD0974" w:rsidRPr="001E2C69" w:rsidRDefault="00CD097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ЦАНО. Ф. 2066. Оп. 6. Д. 796. Л. 15.</w:t>
      </w:r>
    </w:p>
    <w:p w14:paraId="2133D9BF" w14:textId="77777777" w:rsidR="00CD0974" w:rsidRPr="001E2C69" w:rsidRDefault="00CD097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Подлинник. Машинопись (20935).</w:t>
      </w:r>
    </w:p>
    <w:p w14:paraId="5D35441C" w14:textId="77777777" w:rsidR="00CD0974" w:rsidRPr="001E2C69" w:rsidRDefault="00CD0974" w:rsidP="00722885">
      <w:pPr>
        <w:spacing w:after="0" w:line="240" w:lineRule="auto"/>
        <w:jc w:val="both"/>
        <w:rPr>
          <w:rFonts w:ascii="Times New Roman" w:hAnsi="Times New Roman"/>
          <w:color w:val="000000" w:themeColor="text1"/>
          <w:sz w:val="16"/>
          <w:szCs w:val="16"/>
        </w:rPr>
      </w:pPr>
    </w:p>
    <w:p w14:paraId="2881FFFE" w14:textId="77777777" w:rsidR="00DF6309" w:rsidRPr="008A2E5A" w:rsidRDefault="00DF6309" w:rsidP="00DF630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июля 1942 г. закончились испытания на износ на первом серийном Як-7Б №2215301, которые проводили заводские летчики- испытатели Н.Я. Симонов и А.Е. Пашкевич с 10 июня. За время испытаний произвели 501 посадку (в том числе 52 с «плюхом», 18 на левую и 22 на правую опоры шасси), 1019 фигур высшего пилота</w:t>
      </w:r>
      <w:r w:rsidRPr="008A2E5A">
        <w:rPr>
          <w:rFonts w:ascii="Times New Roman" w:hAnsi="Times New Roman"/>
          <w:color w:val="0070C0"/>
          <w:sz w:val="16"/>
          <w:szCs w:val="16"/>
        </w:rPr>
        <w:softHyphen/>
        <w:t>жа и 165 подъемов шасси в воздухе. Машина налетала 48 часов 04 минуты, показав достаточную прочность сило</w:t>
      </w:r>
      <w:r w:rsidRPr="008A2E5A">
        <w:rPr>
          <w:rFonts w:ascii="Times New Roman" w:hAnsi="Times New Roman"/>
          <w:color w:val="0070C0"/>
          <w:sz w:val="16"/>
          <w:szCs w:val="16"/>
        </w:rPr>
        <w:softHyphen/>
        <w:t>вых элементов конструкции самолета, его надежность в работе и простоту в эксплуатации. Чего нельзя было ска</w:t>
      </w:r>
      <w:r w:rsidRPr="008A2E5A">
        <w:rPr>
          <w:rFonts w:ascii="Times New Roman" w:hAnsi="Times New Roman"/>
          <w:color w:val="0070C0"/>
          <w:sz w:val="16"/>
          <w:szCs w:val="16"/>
        </w:rPr>
        <w:softHyphen/>
        <w:t>зать о моторе М-105П - за время испытаний их смени</w:t>
      </w:r>
      <w:r w:rsidRPr="008A2E5A">
        <w:rPr>
          <w:rFonts w:ascii="Times New Roman" w:hAnsi="Times New Roman"/>
          <w:color w:val="0070C0"/>
          <w:sz w:val="16"/>
          <w:szCs w:val="16"/>
        </w:rPr>
        <w:softHyphen/>
        <w:t>лось три штуки.</w:t>
      </w:r>
    </w:p>
    <w:p w14:paraId="1E467F54" w14:textId="77777777" w:rsidR="00DF6309" w:rsidRPr="008A2E5A" w:rsidRDefault="00DF6309" w:rsidP="00DF630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Як-7Б был наиболее массовой серийно выпускающей</w:t>
      </w:r>
      <w:r w:rsidRPr="008A2E5A">
        <w:rPr>
          <w:rFonts w:ascii="Times New Roman" w:hAnsi="Times New Roman"/>
          <w:color w:val="0070C0"/>
          <w:sz w:val="16"/>
          <w:szCs w:val="16"/>
        </w:rPr>
        <w:softHyphen/>
        <w:t>ся модификацией машины Як-7 (см. таблицу 13).</w:t>
      </w:r>
    </w:p>
    <w:p w14:paraId="118F7B02" w14:textId="77777777" w:rsidR="00DF6309" w:rsidRPr="008A2E5A" w:rsidRDefault="00DF6309" w:rsidP="00DF630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Таблица №13. Выпуск самолетов Як-7 по основным модификациям заводами НКАП в 1940-1944 гг.</w:t>
      </w:r>
    </w:p>
    <w:tbl>
      <w:tblPr>
        <w:tblOverlap w:val="never"/>
        <w:tblW w:w="0" w:type="auto"/>
        <w:tblLayout w:type="fixed"/>
        <w:tblCellMar>
          <w:left w:w="10" w:type="dxa"/>
          <w:right w:w="10" w:type="dxa"/>
        </w:tblCellMar>
        <w:tblLook w:val="04A0" w:firstRow="1" w:lastRow="0" w:firstColumn="1" w:lastColumn="0" w:noHBand="0" w:noVBand="1"/>
      </w:tblPr>
      <w:tblGrid>
        <w:gridCol w:w="1354"/>
        <w:gridCol w:w="1368"/>
        <w:gridCol w:w="984"/>
        <w:gridCol w:w="994"/>
        <w:gridCol w:w="994"/>
        <w:gridCol w:w="994"/>
        <w:gridCol w:w="994"/>
        <w:gridCol w:w="994"/>
        <w:gridCol w:w="998"/>
      </w:tblGrid>
      <w:tr w:rsidR="00DF6309" w:rsidRPr="008A2E5A" w14:paraId="26DEF489" w14:textId="77777777" w:rsidTr="004C5D62">
        <w:trPr>
          <w:trHeight w:val="437"/>
        </w:trPr>
        <w:tc>
          <w:tcPr>
            <w:tcW w:w="1354" w:type="dxa"/>
            <w:tcBorders>
              <w:top w:val="single" w:sz="4" w:space="0" w:color="auto"/>
              <w:left w:val="single" w:sz="4" w:space="0" w:color="auto"/>
            </w:tcBorders>
            <w:shd w:val="clear" w:color="auto" w:fill="auto"/>
            <w:vAlign w:val="center"/>
          </w:tcPr>
          <w:p w14:paraId="486EA5C3"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Модификация</w:t>
            </w:r>
          </w:p>
        </w:tc>
        <w:tc>
          <w:tcPr>
            <w:tcW w:w="1368" w:type="dxa"/>
            <w:tcBorders>
              <w:top w:val="single" w:sz="4" w:space="0" w:color="auto"/>
              <w:left w:val="single" w:sz="4" w:space="0" w:color="auto"/>
            </w:tcBorders>
            <w:shd w:val="clear" w:color="auto" w:fill="auto"/>
          </w:tcPr>
          <w:p w14:paraId="57D9FFDB"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изготовитель</w:t>
            </w:r>
          </w:p>
        </w:tc>
        <w:tc>
          <w:tcPr>
            <w:tcW w:w="984" w:type="dxa"/>
            <w:tcBorders>
              <w:top w:val="single" w:sz="4" w:space="0" w:color="auto"/>
              <w:left w:val="single" w:sz="4" w:space="0" w:color="auto"/>
            </w:tcBorders>
            <w:shd w:val="clear" w:color="auto" w:fill="auto"/>
            <w:vAlign w:val="center"/>
          </w:tcPr>
          <w:p w14:paraId="6139627A"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1940 г.</w:t>
            </w:r>
          </w:p>
        </w:tc>
        <w:tc>
          <w:tcPr>
            <w:tcW w:w="994" w:type="dxa"/>
            <w:tcBorders>
              <w:top w:val="single" w:sz="4" w:space="0" w:color="auto"/>
              <w:left w:val="single" w:sz="4" w:space="0" w:color="auto"/>
            </w:tcBorders>
            <w:shd w:val="clear" w:color="auto" w:fill="auto"/>
            <w:vAlign w:val="center"/>
          </w:tcPr>
          <w:p w14:paraId="7183CE11"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1941 г.</w:t>
            </w:r>
          </w:p>
        </w:tc>
        <w:tc>
          <w:tcPr>
            <w:tcW w:w="994" w:type="dxa"/>
            <w:tcBorders>
              <w:top w:val="single" w:sz="4" w:space="0" w:color="auto"/>
              <w:left w:val="single" w:sz="4" w:space="0" w:color="auto"/>
            </w:tcBorders>
            <w:shd w:val="clear" w:color="auto" w:fill="auto"/>
            <w:vAlign w:val="center"/>
          </w:tcPr>
          <w:p w14:paraId="688543A8"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1942 г.</w:t>
            </w:r>
          </w:p>
        </w:tc>
        <w:tc>
          <w:tcPr>
            <w:tcW w:w="994" w:type="dxa"/>
            <w:tcBorders>
              <w:top w:val="single" w:sz="4" w:space="0" w:color="auto"/>
              <w:left w:val="single" w:sz="4" w:space="0" w:color="auto"/>
            </w:tcBorders>
            <w:shd w:val="clear" w:color="auto" w:fill="auto"/>
            <w:vAlign w:val="center"/>
          </w:tcPr>
          <w:p w14:paraId="5B816A02"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 г.</w:t>
            </w:r>
          </w:p>
        </w:tc>
        <w:tc>
          <w:tcPr>
            <w:tcW w:w="994" w:type="dxa"/>
            <w:tcBorders>
              <w:top w:val="single" w:sz="4" w:space="0" w:color="auto"/>
              <w:left w:val="single" w:sz="4" w:space="0" w:color="auto"/>
            </w:tcBorders>
            <w:shd w:val="clear" w:color="auto" w:fill="auto"/>
            <w:vAlign w:val="center"/>
          </w:tcPr>
          <w:p w14:paraId="0ECCB0BC"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1944 г.</w:t>
            </w:r>
          </w:p>
        </w:tc>
        <w:tc>
          <w:tcPr>
            <w:tcW w:w="994" w:type="dxa"/>
            <w:tcBorders>
              <w:top w:val="single" w:sz="4" w:space="0" w:color="auto"/>
              <w:left w:val="single" w:sz="4" w:space="0" w:color="auto"/>
            </w:tcBorders>
            <w:shd w:val="clear" w:color="auto" w:fill="auto"/>
            <w:vAlign w:val="center"/>
          </w:tcPr>
          <w:p w14:paraId="5DA4E640"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Итого</w:t>
            </w:r>
          </w:p>
        </w:tc>
        <w:tc>
          <w:tcPr>
            <w:tcW w:w="998" w:type="dxa"/>
            <w:tcBorders>
              <w:top w:val="single" w:sz="4" w:space="0" w:color="auto"/>
              <w:left w:val="single" w:sz="4" w:space="0" w:color="auto"/>
              <w:right w:val="single" w:sz="4" w:space="0" w:color="auto"/>
            </w:tcBorders>
            <w:shd w:val="clear" w:color="auto" w:fill="auto"/>
            <w:vAlign w:val="center"/>
          </w:tcPr>
          <w:p w14:paraId="1A2209CE"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w:t>
            </w:r>
          </w:p>
        </w:tc>
      </w:tr>
      <w:tr w:rsidR="00DF6309" w:rsidRPr="008A2E5A" w14:paraId="5C8A65F3" w14:textId="77777777" w:rsidTr="004C5D62">
        <w:trPr>
          <w:trHeight w:val="254"/>
        </w:trPr>
        <w:tc>
          <w:tcPr>
            <w:tcW w:w="1354" w:type="dxa"/>
            <w:vMerge w:val="restart"/>
            <w:tcBorders>
              <w:top w:val="single" w:sz="4" w:space="0" w:color="auto"/>
              <w:left w:val="single" w:sz="4" w:space="0" w:color="auto"/>
            </w:tcBorders>
            <w:shd w:val="clear" w:color="auto" w:fill="auto"/>
            <w:vAlign w:val="center"/>
          </w:tcPr>
          <w:p w14:paraId="5257F74C"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УТИ-26/Як-7</w:t>
            </w:r>
          </w:p>
        </w:tc>
        <w:tc>
          <w:tcPr>
            <w:tcW w:w="1368" w:type="dxa"/>
            <w:tcBorders>
              <w:top w:val="single" w:sz="4" w:space="0" w:color="auto"/>
              <w:left w:val="single" w:sz="4" w:space="0" w:color="auto"/>
            </w:tcBorders>
            <w:shd w:val="clear" w:color="auto" w:fill="auto"/>
            <w:vAlign w:val="center"/>
          </w:tcPr>
          <w:p w14:paraId="13B6FC0C"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№115</w:t>
            </w:r>
          </w:p>
        </w:tc>
        <w:tc>
          <w:tcPr>
            <w:tcW w:w="984" w:type="dxa"/>
            <w:tcBorders>
              <w:top w:val="single" w:sz="4" w:space="0" w:color="auto"/>
              <w:left w:val="single" w:sz="4" w:space="0" w:color="auto"/>
            </w:tcBorders>
            <w:shd w:val="clear" w:color="auto" w:fill="auto"/>
            <w:vAlign w:val="center"/>
          </w:tcPr>
          <w:p w14:paraId="6DF01F3D"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994" w:type="dxa"/>
            <w:tcBorders>
              <w:top w:val="single" w:sz="4" w:space="0" w:color="auto"/>
              <w:left w:val="single" w:sz="4" w:space="0" w:color="auto"/>
            </w:tcBorders>
            <w:shd w:val="clear" w:color="auto" w:fill="auto"/>
            <w:vAlign w:val="center"/>
          </w:tcPr>
          <w:p w14:paraId="2FEB60EC"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73F1F7A7"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24B6AB2B"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0ED160DF"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117E1319"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998" w:type="dxa"/>
            <w:vMerge w:val="restart"/>
            <w:tcBorders>
              <w:top w:val="single" w:sz="4" w:space="0" w:color="auto"/>
              <w:left w:val="single" w:sz="4" w:space="0" w:color="auto"/>
              <w:right w:val="single" w:sz="4" w:space="0" w:color="auto"/>
            </w:tcBorders>
            <w:shd w:val="clear" w:color="auto" w:fill="auto"/>
            <w:vAlign w:val="center"/>
          </w:tcPr>
          <w:p w14:paraId="2CAF4F85"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723</w:t>
            </w:r>
          </w:p>
        </w:tc>
      </w:tr>
      <w:tr w:rsidR="00DF6309" w:rsidRPr="008A2E5A" w14:paraId="7DF4F570" w14:textId="77777777" w:rsidTr="004C5D62">
        <w:trPr>
          <w:trHeight w:val="250"/>
        </w:trPr>
        <w:tc>
          <w:tcPr>
            <w:tcW w:w="1354" w:type="dxa"/>
            <w:vMerge/>
            <w:tcBorders>
              <w:left w:val="single" w:sz="4" w:space="0" w:color="auto"/>
            </w:tcBorders>
            <w:shd w:val="clear" w:color="auto" w:fill="auto"/>
            <w:vAlign w:val="center"/>
          </w:tcPr>
          <w:p w14:paraId="447603CD" w14:textId="77777777" w:rsidR="00DF6309" w:rsidRPr="008A2E5A" w:rsidRDefault="00DF6309" w:rsidP="004C5D62">
            <w:pPr>
              <w:spacing w:after="0" w:line="240" w:lineRule="auto"/>
              <w:jc w:val="both"/>
              <w:rPr>
                <w:rFonts w:ascii="Times New Roman" w:hAnsi="Times New Roman"/>
                <w:color w:val="0070C0"/>
                <w:sz w:val="16"/>
                <w:szCs w:val="16"/>
              </w:rPr>
            </w:pPr>
          </w:p>
        </w:tc>
        <w:tc>
          <w:tcPr>
            <w:tcW w:w="1368" w:type="dxa"/>
            <w:tcBorders>
              <w:top w:val="single" w:sz="4" w:space="0" w:color="auto"/>
              <w:left w:val="single" w:sz="4" w:space="0" w:color="auto"/>
            </w:tcBorders>
            <w:shd w:val="clear" w:color="auto" w:fill="auto"/>
            <w:vAlign w:val="center"/>
          </w:tcPr>
          <w:p w14:paraId="7E7CB838"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№301</w:t>
            </w:r>
          </w:p>
        </w:tc>
        <w:tc>
          <w:tcPr>
            <w:tcW w:w="984" w:type="dxa"/>
            <w:tcBorders>
              <w:top w:val="single" w:sz="4" w:space="0" w:color="auto"/>
              <w:left w:val="single" w:sz="4" w:space="0" w:color="auto"/>
            </w:tcBorders>
            <w:shd w:val="clear" w:color="auto" w:fill="auto"/>
            <w:vAlign w:val="center"/>
          </w:tcPr>
          <w:p w14:paraId="11B43A00"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4A21DD01"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186</w:t>
            </w:r>
          </w:p>
        </w:tc>
        <w:tc>
          <w:tcPr>
            <w:tcW w:w="994" w:type="dxa"/>
            <w:tcBorders>
              <w:top w:val="single" w:sz="4" w:space="0" w:color="auto"/>
              <w:left w:val="single" w:sz="4" w:space="0" w:color="auto"/>
            </w:tcBorders>
            <w:shd w:val="clear" w:color="auto" w:fill="auto"/>
            <w:vAlign w:val="center"/>
          </w:tcPr>
          <w:p w14:paraId="10284263"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73878D54"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3245C6A7"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39E2C751"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186</w:t>
            </w:r>
          </w:p>
        </w:tc>
        <w:tc>
          <w:tcPr>
            <w:tcW w:w="998" w:type="dxa"/>
            <w:vMerge/>
            <w:tcBorders>
              <w:left w:val="single" w:sz="4" w:space="0" w:color="auto"/>
              <w:right w:val="single" w:sz="4" w:space="0" w:color="auto"/>
            </w:tcBorders>
            <w:shd w:val="clear" w:color="auto" w:fill="auto"/>
            <w:vAlign w:val="center"/>
          </w:tcPr>
          <w:p w14:paraId="4C052F50" w14:textId="77777777" w:rsidR="00DF6309" w:rsidRPr="008A2E5A" w:rsidRDefault="00DF6309" w:rsidP="004C5D62">
            <w:pPr>
              <w:spacing w:after="0" w:line="240" w:lineRule="auto"/>
              <w:jc w:val="both"/>
              <w:rPr>
                <w:rFonts w:ascii="Times New Roman" w:hAnsi="Times New Roman"/>
                <w:color w:val="0070C0"/>
                <w:sz w:val="16"/>
                <w:szCs w:val="16"/>
              </w:rPr>
            </w:pPr>
          </w:p>
        </w:tc>
      </w:tr>
      <w:tr w:rsidR="00DF6309" w:rsidRPr="008A2E5A" w14:paraId="17290A88" w14:textId="77777777" w:rsidTr="004C5D62">
        <w:trPr>
          <w:trHeight w:val="250"/>
        </w:trPr>
        <w:tc>
          <w:tcPr>
            <w:tcW w:w="1354" w:type="dxa"/>
            <w:tcBorders>
              <w:top w:val="single" w:sz="4" w:space="0" w:color="auto"/>
              <w:left w:val="single" w:sz="4" w:space="0" w:color="auto"/>
            </w:tcBorders>
            <w:shd w:val="clear" w:color="auto" w:fill="auto"/>
            <w:vAlign w:val="center"/>
          </w:tcPr>
          <w:p w14:paraId="3978C0AD"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Як-7В</w:t>
            </w:r>
          </w:p>
        </w:tc>
        <w:tc>
          <w:tcPr>
            <w:tcW w:w="1368" w:type="dxa"/>
            <w:tcBorders>
              <w:top w:val="single" w:sz="4" w:space="0" w:color="auto"/>
              <w:left w:val="single" w:sz="4" w:space="0" w:color="auto"/>
            </w:tcBorders>
            <w:shd w:val="clear" w:color="auto" w:fill="auto"/>
            <w:vAlign w:val="center"/>
          </w:tcPr>
          <w:p w14:paraId="68847168"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№153</w:t>
            </w:r>
          </w:p>
        </w:tc>
        <w:tc>
          <w:tcPr>
            <w:tcW w:w="984" w:type="dxa"/>
            <w:tcBorders>
              <w:top w:val="single" w:sz="4" w:space="0" w:color="auto"/>
              <w:left w:val="single" w:sz="4" w:space="0" w:color="auto"/>
            </w:tcBorders>
            <w:shd w:val="clear" w:color="auto" w:fill="auto"/>
            <w:vAlign w:val="center"/>
          </w:tcPr>
          <w:p w14:paraId="3BFF8457"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5484C41D"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w:t>
            </w:r>
          </w:p>
        </w:tc>
        <w:tc>
          <w:tcPr>
            <w:tcW w:w="994" w:type="dxa"/>
            <w:tcBorders>
              <w:top w:val="single" w:sz="4" w:space="0" w:color="auto"/>
              <w:left w:val="single" w:sz="4" w:space="0" w:color="auto"/>
            </w:tcBorders>
            <w:shd w:val="clear" w:color="auto" w:fill="auto"/>
            <w:vAlign w:val="center"/>
          </w:tcPr>
          <w:p w14:paraId="04646375"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201</w:t>
            </w:r>
          </w:p>
        </w:tc>
        <w:tc>
          <w:tcPr>
            <w:tcW w:w="994" w:type="dxa"/>
            <w:tcBorders>
              <w:top w:val="single" w:sz="4" w:space="0" w:color="auto"/>
              <w:left w:val="single" w:sz="4" w:space="0" w:color="auto"/>
            </w:tcBorders>
            <w:shd w:val="clear" w:color="auto" w:fill="auto"/>
            <w:vAlign w:val="center"/>
          </w:tcPr>
          <w:p w14:paraId="1A482798"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324</w:t>
            </w:r>
          </w:p>
        </w:tc>
        <w:tc>
          <w:tcPr>
            <w:tcW w:w="994" w:type="dxa"/>
            <w:tcBorders>
              <w:top w:val="single" w:sz="4" w:space="0" w:color="auto"/>
              <w:left w:val="single" w:sz="4" w:space="0" w:color="auto"/>
            </w:tcBorders>
            <w:shd w:val="clear" w:color="auto" w:fill="auto"/>
            <w:vAlign w:val="center"/>
          </w:tcPr>
          <w:p w14:paraId="5D23AC83"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3C9E0391"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535</w:t>
            </w:r>
          </w:p>
        </w:tc>
        <w:tc>
          <w:tcPr>
            <w:tcW w:w="998" w:type="dxa"/>
            <w:vMerge/>
            <w:tcBorders>
              <w:left w:val="single" w:sz="4" w:space="0" w:color="auto"/>
              <w:right w:val="single" w:sz="4" w:space="0" w:color="auto"/>
            </w:tcBorders>
            <w:shd w:val="clear" w:color="auto" w:fill="auto"/>
            <w:vAlign w:val="center"/>
          </w:tcPr>
          <w:p w14:paraId="14FBB3AF" w14:textId="77777777" w:rsidR="00DF6309" w:rsidRPr="008A2E5A" w:rsidRDefault="00DF6309" w:rsidP="004C5D62">
            <w:pPr>
              <w:spacing w:after="0" w:line="240" w:lineRule="auto"/>
              <w:jc w:val="both"/>
              <w:rPr>
                <w:rFonts w:ascii="Times New Roman" w:hAnsi="Times New Roman"/>
                <w:color w:val="0070C0"/>
                <w:sz w:val="16"/>
                <w:szCs w:val="16"/>
              </w:rPr>
            </w:pPr>
          </w:p>
        </w:tc>
      </w:tr>
      <w:tr w:rsidR="00DF6309" w:rsidRPr="008A2E5A" w14:paraId="5EFEE8E1" w14:textId="77777777" w:rsidTr="004C5D62">
        <w:trPr>
          <w:trHeight w:val="250"/>
        </w:trPr>
        <w:tc>
          <w:tcPr>
            <w:tcW w:w="1354" w:type="dxa"/>
            <w:vMerge w:val="restart"/>
            <w:tcBorders>
              <w:top w:val="single" w:sz="4" w:space="0" w:color="auto"/>
              <w:left w:val="single" w:sz="4" w:space="0" w:color="auto"/>
            </w:tcBorders>
            <w:shd w:val="clear" w:color="auto" w:fill="auto"/>
            <w:vAlign w:val="center"/>
          </w:tcPr>
          <w:p w14:paraId="1C85C199"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Як-7А</w:t>
            </w:r>
          </w:p>
        </w:tc>
        <w:tc>
          <w:tcPr>
            <w:tcW w:w="1368" w:type="dxa"/>
            <w:tcBorders>
              <w:top w:val="single" w:sz="4" w:space="0" w:color="auto"/>
              <w:left w:val="single" w:sz="4" w:space="0" w:color="auto"/>
            </w:tcBorders>
            <w:shd w:val="clear" w:color="auto" w:fill="auto"/>
            <w:vAlign w:val="center"/>
          </w:tcPr>
          <w:p w14:paraId="5260DB47"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№153</w:t>
            </w:r>
          </w:p>
        </w:tc>
        <w:tc>
          <w:tcPr>
            <w:tcW w:w="984" w:type="dxa"/>
            <w:tcBorders>
              <w:top w:val="single" w:sz="4" w:space="0" w:color="auto"/>
              <w:left w:val="single" w:sz="4" w:space="0" w:color="auto"/>
            </w:tcBorders>
            <w:shd w:val="clear" w:color="auto" w:fill="auto"/>
            <w:vAlign w:val="center"/>
          </w:tcPr>
          <w:p w14:paraId="68C924AF"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07912B03"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w:t>
            </w:r>
          </w:p>
        </w:tc>
        <w:tc>
          <w:tcPr>
            <w:tcW w:w="994" w:type="dxa"/>
            <w:tcBorders>
              <w:top w:val="single" w:sz="4" w:space="0" w:color="auto"/>
              <w:left w:val="single" w:sz="4" w:space="0" w:color="auto"/>
            </w:tcBorders>
            <w:shd w:val="clear" w:color="auto" w:fill="auto"/>
            <w:vAlign w:val="center"/>
          </w:tcPr>
          <w:p w14:paraId="672BD8F8"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262</w:t>
            </w:r>
          </w:p>
        </w:tc>
        <w:tc>
          <w:tcPr>
            <w:tcW w:w="994" w:type="dxa"/>
            <w:tcBorders>
              <w:top w:val="single" w:sz="4" w:space="0" w:color="auto"/>
              <w:left w:val="single" w:sz="4" w:space="0" w:color="auto"/>
            </w:tcBorders>
            <w:shd w:val="clear" w:color="auto" w:fill="auto"/>
            <w:vAlign w:val="center"/>
          </w:tcPr>
          <w:p w14:paraId="182F9BDB"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757ADA66"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051983F4"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273</w:t>
            </w:r>
          </w:p>
        </w:tc>
        <w:tc>
          <w:tcPr>
            <w:tcW w:w="998" w:type="dxa"/>
            <w:vMerge w:val="restart"/>
            <w:tcBorders>
              <w:top w:val="single" w:sz="4" w:space="0" w:color="auto"/>
              <w:left w:val="single" w:sz="4" w:space="0" w:color="auto"/>
              <w:right w:val="single" w:sz="4" w:space="0" w:color="auto"/>
            </w:tcBorders>
            <w:shd w:val="clear" w:color="auto" w:fill="auto"/>
            <w:vAlign w:val="center"/>
          </w:tcPr>
          <w:p w14:paraId="3EE7D5B9"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325</w:t>
            </w:r>
          </w:p>
        </w:tc>
      </w:tr>
      <w:tr w:rsidR="00DF6309" w:rsidRPr="008A2E5A" w14:paraId="7F19F9D7" w14:textId="77777777" w:rsidTr="004C5D62">
        <w:trPr>
          <w:trHeight w:val="250"/>
        </w:trPr>
        <w:tc>
          <w:tcPr>
            <w:tcW w:w="1354" w:type="dxa"/>
            <w:vMerge/>
            <w:tcBorders>
              <w:left w:val="single" w:sz="4" w:space="0" w:color="auto"/>
            </w:tcBorders>
            <w:shd w:val="clear" w:color="auto" w:fill="auto"/>
            <w:vAlign w:val="center"/>
          </w:tcPr>
          <w:p w14:paraId="7438F54C" w14:textId="77777777" w:rsidR="00DF6309" w:rsidRPr="008A2E5A" w:rsidRDefault="00DF6309" w:rsidP="004C5D62">
            <w:pPr>
              <w:spacing w:after="0" w:line="240" w:lineRule="auto"/>
              <w:jc w:val="both"/>
              <w:rPr>
                <w:rFonts w:ascii="Times New Roman" w:hAnsi="Times New Roman"/>
                <w:color w:val="0070C0"/>
                <w:sz w:val="16"/>
                <w:szCs w:val="16"/>
              </w:rPr>
            </w:pPr>
          </w:p>
        </w:tc>
        <w:tc>
          <w:tcPr>
            <w:tcW w:w="1368" w:type="dxa"/>
            <w:tcBorders>
              <w:top w:val="single" w:sz="4" w:space="0" w:color="auto"/>
              <w:left w:val="single" w:sz="4" w:space="0" w:color="auto"/>
            </w:tcBorders>
            <w:shd w:val="clear" w:color="auto" w:fill="auto"/>
            <w:vAlign w:val="center"/>
          </w:tcPr>
          <w:p w14:paraId="48276496"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№301</w:t>
            </w:r>
          </w:p>
        </w:tc>
        <w:tc>
          <w:tcPr>
            <w:tcW w:w="984" w:type="dxa"/>
            <w:tcBorders>
              <w:top w:val="single" w:sz="4" w:space="0" w:color="auto"/>
              <w:left w:val="single" w:sz="4" w:space="0" w:color="auto"/>
            </w:tcBorders>
            <w:shd w:val="clear" w:color="auto" w:fill="auto"/>
            <w:vAlign w:val="center"/>
          </w:tcPr>
          <w:p w14:paraId="2A4AB1A0"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0E8D0685"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w:t>
            </w:r>
          </w:p>
        </w:tc>
        <w:tc>
          <w:tcPr>
            <w:tcW w:w="994" w:type="dxa"/>
            <w:tcBorders>
              <w:top w:val="single" w:sz="4" w:space="0" w:color="auto"/>
              <w:left w:val="single" w:sz="4" w:space="0" w:color="auto"/>
            </w:tcBorders>
            <w:shd w:val="clear" w:color="auto" w:fill="auto"/>
            <w:vAlign w:val="center"/>
          </w:tcPr>
          <w:p w14:paraId="533FC30E"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502AC667"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140A40DA"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6866A018"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w:t>
            </w:r>
          </w:p>
        </w:tc>
        <w:tc>
          <w:tcPr>
            <w:tcW w:w="998" w:type="dxa"/>
            <w:vMerge/>
            <w:tcBorders>
              <w:left w:val="single" w:sz="4" w:space="0" w:color="auto"/>
              <w:right w:val="single" w:sz="4" w:space="0" w:color="auto"/>
            </w:tcBorders>
            <w:shd w:val="clear" w:color="auto" w:fill="auto"/>
            <w:vAlign w:val="center"/>
          </w:tcPr>
          <w:p w14:paraId="44189BB3" w14:textId="77777777" w:rsidR="00DF6309" w:rsidRPr="008A2E5A" w:rsidRDefault="00DF6309" w:rsidP="004C5D62">
            <w:pPr>
              <w:spacing w:after="0" w:line="240" w:lineRule="auto"/>
              <w:jc w:val="both"/>
              <w:rPr>
                <w:rFonts w:ascii="Times New Roman" w:hAnsi="Times New Roman"/>
                <w:color w:val="0070C0"/>
                <w:sz w:val="16"/>
                <w:szCs w:val="16"/>
              </w:rPr>
            </w:pPr>
          </w:p>
        </w:tc>
      </w:tr>
      <w:tr w:rsidR="00DF6309" w:rsidRPr="008A2E5A" w14:paraId="524B55D5" w14:textId="77777777" w:rsidTr="004C5D62">
        <w:trPr>
          <w:trHeight w:val="254"/>
        </w:trPr>
        <w:tc>
          <w:tcPr>
            <w:tcW w:w="1354" w:type="dxa"/>
            <w:vMerge w:val="restart"/>
            <w:tcBorders>
              <w:top w:val="single" w:sz="4" w:space="0" w:color="auto"/>
              <w:left w:val="single" w:sz="4" w:space="0" w:color="auto"/>
            </w:tcBorders>
            <w:shd w:val="clear" w:color="auto" w:fill="auto"/>
            <w:vAlign w:val="center"/>
          </w:tcPr>
          <w:p w14:paraId="2292A8D0"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Як-7Б</w:t>
            </w:r>
          </w:p>
        </w:tc>
        <w:tc>
          <w:tcPr>
            <w:tcW w:w="1368" w:type="dxa"/>
            <w:tcBorders>
              <w:top w:val="single" w:sz="4" w:space="0" w:color="auto"/>
              <w:left w:val="single" w:sz="4" w:space="0" w:color="auto"/>
            </w:tcBorders>
            <w:shd w:val="clear" w:color="auto" w:fill="auto"/>
            <w:vAlign w:val="center"/>
          </w:tcPr>
          <w:p w14:paraId="6F630934"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w:t>
            </w:r>
          </w:p>
        </w:tc>
        <w:tc>
          <w:tcPr>
            <w:tcW w:w="984" w:type="dxa"/>
            <w:tcBorders>
              <w:top w:val="single" w:sz="4" w:space="0" w:color="auto"/>
              <w:left w:val="single" w:sz="4" w:space="0" w:color="auto"/>
            </w:tcBorders>
            <w:shd w:val="clear" w:color="auto" w:fill="auto"/>
            <w:vAlign w:val="center"/>
          </w:tcPr>
          <w:p w14:paraId="45650155"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4EF0F404"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0CCE2B00"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p>
        </w:tc>
        <w:tc>
          <w:tcPr>
            <w:tcW w:w="994" w:type="dxa"/>
            <w:tcBorders>
              <w:top w:val="single" w:sz="4" w:space="0" w:color="auto"/>
              <w:left w:val="single" w:sz="4" w:space="0" w:color="auto"/>
            </w:tcBorders>
            <w:shd w:val="clear" w:color="auto" w:fill="auto"/>
            <w:vAlign w:val="center"/>
          </w:tcPr>
          <w:p w14:paraId="5C5467E7"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2D22FF02"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329DAD65"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p>
        </w:tc>
        <w:tc>
          <w:tcPr>
            <w:tcW w:w="998" w:type="dxa"/>
            <w:vMerge w:val="restart"/>
            <w:tcBorders>
              <w:top w:val="single" w:sz="4" w:space="0" w:color="auto"/>
              <w:left w:val="single" w:sz="4" w:space="0" w:color="auto"/>
              <w:right w:val="single" w:sz="4" w:space="0" w:color="auto"/>
            </w:tcBorders>
            <w:shd w:val="clear" w:color="auto" w:fill="auto"/>
            <w:vAlign w:val="center"/>
          </w:tcPr>
          <w:p w14:paraId="6611C1F9"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5358</w:t>
            </w:r>
          </w:p>
        </w:tc>
      </w:tr>
      <w:tr w:rsidR="00DF6309" w:rsidRPr="008A2E5A" w14:paraId="73867066" w14:textId="77777777" w:rsidTr="004C5D62">
        <w:trPr>
          <w:trHeight w:val="250"/>
        </w:trPr>
        <w:tc>
          <w:tcPr>
            <w:tcW w:w="1354" w:type="dxa"/>
            <w:vMerge/>
            <w:tcBorders>
              <w:left w:val="single" w:sz="4" w:space="0" w:color="auto"/>
            </w:tcBorders>
            <w:shd w:val="clear" w:color="auto" w:fill="auto"/>
            <w:vAlign w:val="center"/>
          </w:tcPr>
          <w:p w14:paraId="2F28A731" w14:textId="77777777" w:rsidR="00DF6309" w:rsidRPr="008A2E5A" w:rsidRDefault="00DF6309" w:rsidP="004C5D62">
            <w:pPr>
              <w:spacing w:after="0" w:line="240" w:lineRule="auto"/>
              <w:jc w:val="both"/>
              <w:rPr>
                <w:rFonts w:ascii="Times New Roman" w:hAnsi="Times New Roman"/>
                <w:color w:val="0070C0"/>
                <w:sz w:val="16"/>
                <w:szCs w:val="16"/>
              </w:rPr>
            </w:pPr>
          </w:p>
        </w:tc>
        <w:tc>
          <w:tcPr>
            <w:tcW w:w="1368" w:type="dxa"/>
            <w:tcBorders>
              <w:top w:val="single" w:sz="4" w:space="0" w:color="auto"/>
              <w:left w:val="single" w:sz="4" w:space="0" w:color="auto"/>
            </w:tcBorders>
            <w:shd w:val="clear" w:color="auto" w:fill="auto"/>
            <w:vAlign w:val="center"/>
          </w:tcPr>
          <w:p w14:paraId="45A2E256"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№82</w:t>
            </w:r>
          </w:p>
        </w:tc>
        <w:tc>
          <w:tcPr>
            <w:tcW w:w="984" w:type="dxa"/>
            <w:tcBorders>
              <w:top w:val="single" w:sz="4" w:space="0" w:color="auto"/>
              <w:left w:val="single" w:sz="4" w:space="0" w:color="auto"/>
            </w:tcBorders>
            <w:shd w:val="clear" w:color="auto" w:fill="auto"/>
            <w:vAlign w:val="center"/>
          </w:tcPr>
          <w:p w14:paraId="14D1C76D"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4EDC4D54"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748F7A36"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215</w:t>
            </w:r>
          </w:p>
        </w:tc>
        <w:tc>
          <w:tcPr>
            <w:tcW w:w="994" w:type="dxa"/>
            <w:tcBorders>
              <w:top w:val="single" w:sz="4" w:space="0" w:color="auto"/>
              <w:left w:val="single" w:sz="4" w:space="0" w:color="auto"/>
            </w:tcBorders>
            <w:shd w:val="clear" w:color="auto" w:fill="auto"/>
            <w:vAlign w:val="center"/>
          </w:tcPr>
          <w:p w14:paraId="3F505CA2"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640</w:t>
            </w:r>
          </w:p>
        </w:tc>
        <w:tc>
          <w:tcPr>
            <w:tcW w:w="994" w:type="dxa"/>
            <w:tcBorders>
              <w:top w:val="single" w:sz="4" w:space="0" w:color="auto"/>
              <w:left w:val="single" w:sz="4" w:space="0" w:color="auto"/>
            </w:tcBorders>
            <w:shd w:val="clear" w:color="auto" w:fill="auto"/>
            <w:vAlign w:val="center"/>
          </w:tcPr>
          <w:p w14:paraId="08FE85CD"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465</w:t>
            </w:r>
          </w:p>
        </w:tc>
        <w:tc>
          <w:tcPr>
            <w:tcW w:w="994" w:type="dxa"/>
            <w:tcBorders>
              <w:top w:val="single" w:sz="4" w:space="0" w:color="auto"/>
              <w:left w:val="single" w:sz="4" w:space="0" w:color="auto"/>
            </w:tcBorders>
            <w:shd w:val="clear" w:color="auto" w:fill="auto"/>
            <w:vAlign w:val="center"/>
          </w:tcPr>
          <w:p w14:paraId="275FBFDF"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1320</w:t>
            </w:r>
          </w:p>
        </w:tc>
        <w:tc>
          <w:tcPr>
            <w:tcW w:w="998" w:type="dxa"/>
            <w:vMerge/>
            <w:tcBorders>
              <w:left w:val="single" w:sz="4" w:space="0" w:color="auto"/>
              <w:right w:val="single" w:sz="4" w:space="0" w:color="auto"/>
            </w:tcBorders>
            <w:shd w:val="clear" w:color="auto" w:fill="auto"/>
            <w:vAlign w:val="center"/>
          </w:tcPr>
          <w:p w14:paraId="1F50A2E8" w14:textId="77777777" w:rsidR="00DF6309" w:rsidRPr="008A2E5A" w:rsidRDefault="00DF6309" w:rsidP="004C5D62">
            <w:pPr>
              <w:spacing w:after="0" w:line="240" w:lineRule="auto"/>
              <w:jc w:val="both"/>
              <w:rPr>
                <w:rFonts w:ascii="Times New Roman" w:hAnsi="Times New Roman"/>
                <w:color w:val="0070C0"/>
                <w:sz w:val="16"/>
                <w:szCs w:val="16"/>
              </w:rPr>
            </w:pPr>
          </w:p>
        </w:tc>
      </w:tr>
      <w:tr w:rsidR="00DF6309" w:rsidRPr="008A2E5A" w14:paraId="343E22A9" w14:textId="77777777" w:rsidTr="004C5D62">
        <w:trPr>
          <w:trHeight w:val="250"/>
        </w:trPr>
        <w:tc>
          <w:tcPr>
            <w:tcW w:w="1354" w:type="dxa"/>
            <w:vMerge/>
            <w:tcBorders>
              <w:left w:val="single" w:sz="4" w:space="0" w:color="auto"/>
            </w:tcBorders>
            <w:shd w:val="clear" w:color="auto" w:fill="auto"/>
            <w:vAlign w:val="center"/>
          </w:tcPr>
          <w:p w14:paraId="0792FC42" w14:textId="77777777" w:rsidR="00DF6309" w:rsidRPr="008A2E5A" w:rsidRDefault="00DF6309" w:rsidP="004C5D62">
            <w:pPr>
              <w:spacing w:after="0" w:line="240" w:lineRule="auto"/>
              <w:jc w:val="both"/>
              <w:rPr>
                <w:rFonts w:ascii="Times New Roman" w:hAnsi="Times New Roman"/>
                <w:color w:val="0070C0"/>
                <w:sz w:val="16"/>
                <w:szCs w:val="16"/>
              </w:rPr>
            </w:pPr>
          </w:p>
        </w:tc>
        <w:tc>
          <w:tcPr>
            <w:tcW w:w="1368" w:type="dxa"/>
            <w:tcBorders>
              <w:top w:val="single" w:sz="4" w:space="0" w:color="auto"/>
              <w:left w:val="single" w:sz="4" w:space="0" w:color="auto"/>
            </w:tcBorders>
            <w:shd w:val="clear" w:color="auto" w:fill="auto"/>
            <w:vAlign w:val="center"/>
          </w:tcPr>
          <w:p w14:paraId="2CE4258D"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№153</w:t>
            </w:r>
          </w:p>
        </w:tc>
        <w:tc>
          <w:tcPr>
            <w:tcW w:w="984" w:type="dxa"/>
            <w:tcBorders>
              <w:top w:val="single" w:sz="4" w:space="0" w:color="auto"/>
              <w:left w:val="single" w:sz="4" w:space="0" w:color="auto"/>
            </w:tcBorders>
            <w:shd w:val="clear" w:color="auto" w:fill="auto"/>
            <w:vAlign w:val="center"/>
          </w:tcPr>
          <w:p w14:paraId="47816731"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4A609BE4"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7749528A"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1701</w:t>
            </w:r>
          </w:p>
        </w:tc>
        <w:tc>
          <w:tcPr>
            <w:tcW w:w="994" w:type="dxa"/>
            <w:tcBorders>
              <w:top w:val="single" w:sz="4" w:space="0" w:color="auto"/>
              <w:left w:val="single" w:sz="4" w:space="0" w:color="auto"/>
            </w:tcBorders>
            <w:shd w:val="clear" w:color="auto" w:fill="auto"/>
            <w:vAlign w:val="center"/>
          </w:tcPr>
          <w:p w14:paraId="52F07ABB"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2332</w:t>
            </w:r>
          </w:p>
        </w:tc>
        <w:tc>
          <w:tcPr>
            <w:tcW w:w="994" w:type="dxa"/>
            <w:tcBorders>
              <w:top w:val="single" w:sz="4" w:space="0" w:color="auto"/>
              <w:left w:val="single" w:sz="4" w:space="0" w:color="auto"/>
            </w:tcBorders>
            <w:shd w:val="clear" w:color="auto" w:fill="auto"/>
            <w:vAlign w:val="center"/>
          </w:tcPr>
          <w:p w14:paraId="6EA148D9"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tcBorders>
            <w:shd w:val="clear" w:color="auto" w:fill="auto"/>
            <w:vAlign w:val="center"/>
          </w:tcPr>
          <w:p w14:paraId="3C74A2C5"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4033</w:t>
            </w:r>
          </w:p>
        </w:tc>
        <w:tc>
          <w:tcPr>
            <w:tcW w:w="998" w:type="dxa"/>
            <w:vMerge/>
            <w:tcBorders>
              <w:left w:val="single" w:sz="4" w:space="0" w:color="auto"/>
              <w:right w:val="single" w:sz="4" w:space="0" w:color="auto"/>
            </w:tcBorders>
            <w:shd w:val="clear" w:color="auto" w:fill="auto"/>
            <w:vAlign w:val="center"/>
          </w:tcPr>
          <w:p w14:paraId="619535CF" w14:textId="77777777" w:rsidR="00DF6309" w:rsidRPr="008A2E5A" w:rsidRDefault="00DF6309" w:rsidP="004C5D62">
            <w:pPr>
              <w:spacing w:after="0" w:line="240" w:lineRule="auto"/>
              <w:jc w:val="both"/>
              <w:rPr>
                <w:rFonts w:ascii="Times New Roman" w:hAnsi="Times New Roman"/>
                <w:color w:val="0070C0"/>
                <w:sz w:val="16"/>
                <w:szCs w:val="16"/>
              </w:rPr>
            </w:pPr>
          </w:p>
        </w:tc>
      </w:tr>
      <w:tr w:rsidR="00DF6309" w:rsidRPr="008A2E5A" w14:paraId="4A7D1827" w14:textId="77777777" w:rsidTr="004C5D62">
        <w:trPr>
          <w:trHeight w:val="259"/>
        </w:trPr>
        <w:tc>
          <w:tcPr>
            <w:tcW w:w="1354" w:type="dxa"/>
            <w:tcBorders>
              <w:top w:val="single" w:sz="4" w:space="0" w:color="auto"/>
              <w:left w:val="single" w:sz="4" w:space="0" w:color="auto"/>
              <w:bottom w:val="single" w:sz="4" w:space="0" w:color="auto"/>
            </w:tcBorders>
            <w:shd w:val="clear" w:color="auto" w:fill="auto"/>
            <w:vAlign w:val="center"/>
          </w:tcPr>
          <w:p w14:paraId="4EC48CC7"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Як-7-37</w:t>
            </w:r>
          </w:p>
        </w:tc>
        <w:tc>
          <w:tcPr>
            <w:tcW w:w="1368" w:type="dxa"/>
            <w:tcBorders>
              <w:top w:val="single" w:sz="4" w:space="0" w:color="auto"/>
              <w:left w:val="single" w:sz="4" w:space="0" w:color="auto"/>
              <w:bottom w:val="single" w:sz="4" w:space="0" w:color="auto"/>
            </w:tcBorders>
            <w:shd w:val="clear" w:color="auto" w:fill="auto"/>
            <w:vAlign w:val="center"/>
          </w:tcPr>
          <w:p w14:paraId="655990E6"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№153</w:t>
            </w:r>
          </w:p>
        </w:tc>
        <w:tc>
          <w:tcPr>
            <w:tcW w:w="984" w:type="dxa"/>
            <w:tcBorders>
              <w:top w:val="single" w:sz="4" w:space="0" w:color="auto"/>
              <w:left w:val="single" w:sz="4" w:space="0" w:color="auto"/>
              <w:bottom w:val="single" w:sz="4" w:space="0" w:color="auto"/>
            </w:tcBorders>
            <w:shd w:val="clear" w:color="auto" w:fill="auto"/>
            <w:vAlign w:val="center"/>
          </w:tcPr>
          <w:p w14:paraId="3818A2E5"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bottom w:val="single" w:sz="4" w:space="0" w:color="auto"/>
            </w:tcBorders>
            <w:shd w:val="clear" w:color="auto" w:fill="auto"/>
            <w:vAlign w:val="center"/>
          </w:tcPr>
          <w:p w14:paraId="242DEEC7"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bottom w:val="single" w:sz="4" w:space="0" w:color="auto"/>
            </w:tcBorders>
            <w:shd w:val="clear" w:color="auto" w:fill="auto"/>
            <w:vAlign w:val="center"/>
          </w:tcPr>
          <w:p w14:paraId="112E1BFE"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w:t>
            </w:r>
          </w:p>
        </w:tc>
        <w:tc>
          <w:tcPr>
            <w:tcW w:w="994" w:type="dxa"/>
            <w:tcBorders>
              <w:top w:val="single" w:sz="4" w:space="0" w:color="auto"/>
              <w:left w:val="single" w:sz="4" w:space="0" w:color="auto"/>
              <w:bottom w:val="single" w:sz="4" w:space="0" w:color="auto"/>
            </w:tcBorders>
            <w:shd w:val="clear" w:color="auto" w:fill="auto"/>
            <w:vAlign w:val="center"/>
          </w:tcPr>
          <w:p w14:paraId="30F48EA1"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bottom w:val="single" w:sz="4" w:space="0" w:color="auto"/>
            </w:tcBorders>
            <w:shd w:val="clear" w:color="auto" w:fill="auto"/>
            <w:vAlign w:val="center"/>
          </w:tcPr>
          <w:p w14:paraId="31108889"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94" w:type="dxa"/>
            <w:tcBorders>
              <w:top w:val="single" w:sz="4" w:space="0" w:color="auto"/>
              <w:left w:val="single" w:sz="4" w:space="0" w:color="auto"/>
              <w:bottom w:val="single" w:sz="4" w:space="0" w:color="auto"/>
            </w:tcBorders>
            <w:shd w:val="clear" w:color="auto" w:fill="auto"/>
            <w:vAlign w:val="center"/>
          </w:tcPr>
          <w:p w14:paraId="6252C5A3"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w:t>
            </w:r>
          </w:p>
        </w:tc>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14:paraId="1C74DE33" w14:textId="77777777" w:rsidR="00DF6309" w:rsidRPr="008A2E5A" w:rsidRDefault="00DF630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w:t>
            </w:r>
          </w:p>
        </w:tc>
      </w:tr>
    </w:tbl>
    <w:p w14:paraId="3C1470E7" w14:textId="77777777" w:rsidR="00DF6309" w:rsidRPr="008A2E5A" w:rsidRDefault="00DF6309" w:rsidP="00DF630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(23381).</w:t>
      </w:r>
    </w:p>
    <w:p w14:paraId="773C147F" w14:textId="77777777" w:rsidR="00DF6309" w:rsidRPr="008A2E5A" w:rsidRDefault="00DF6309" w:rsidP="00DF6309">
      <w:pPr>
        <w:spacing w:after="0" w:line="240" w:lineRule="auto"/>
        <w:jc w:val="both"/>
        <w:rPr>
          <w:rFonts w:ascii="Times New Roman" w:hAnsi="Times New Roman"/>
          <w:color w:val="0070C0"/>
          <w:sz w:val="16"/>
          <w:szCs w:val="16"/>
        </w:rPr>
      </w:pPr>
    </w:p>
    <w:p w14:paraId="54714973"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191BAE66" w14:textId="77777777" w:rsidR="00AE7191" w:rsidRPr="001E2C69" w:rsidRDefault="00AE7191" w:rsidP="00722885">
      <w:pPr>
        <w:pStyle w:val="Iauiue"/>
        <w:jc w:val="both"/>
        <w:rPr>
          <w:iCs/>
          <w:color w:val="000000" w:themeColor="text1"/>
          <w:sz w:val="16"/>
          <w:szCs w:val="16"/>
        </w:rPr>
      </w:pPr>
    </w:p>
    <w:p w14:paraId="55FE4EED" w14:textId="77777777" w:rsidR="00F1788C" w:rsidRPr="001E2C69"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К 27 июля 1942 были изготовлены два опытных образца КВ-1с, имевшие серийные номера 15001 и 15002. На сроки очень сильно повлияло постановление ГКО №1958 от 3 июля 1942 года. Согласно ему, на ЧКЗ с августа организовывалось производство Т-34. В результате пришлось отказаться не только от планов по производству трактора С-10, но и заметно замедлить программы КВ-1с и КВ-13. Из-за запуска в серию столь необходимых войскам Т-34 сильно уменьшился и выпуск КВ-1. Существовали даже предпосылки к полному снятию КВ-1 с производства ради Т-34, но до столь радикальной меры дело не дошло.</w:t>
      </w:r>
    </w:p>
    <w:p w14:paraId="1826CC11" w14:textId="77777777" w:rsidR="00F1788C" w:rsidRPr="001E2C69"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Еще одним серьезным отличием КВ-1с от КВ-1 стала ходовая часть. Ее изменение также частично прописывалось в постановлении ГКО. Для облегченного танка был разработан новый трак шириной 608 мм с характерными «скосами». На этом инженеры СКБ-2 и завода №100 не остановились: они переделали балансиры, поддерживающие катки, ленивцы, был спроектирован и новый опорный каток облегченной конструкции.</w:t>
      </w:r>
    </w:p>
    <w:p w14:paraId="236F6638" w14:textId="77777777" w:rsidR="00F1788C" w:rsidRPr="001E2C69"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Относительно надежности новой ходовой части, особенно траков, имелись определенные опасения. По этой причине танки 15001 и 15002 несколько отличались друг от друга. Внешне эти танки можно отличить по креплению поручней на башне: у 15001 они приваривались к крыше, а у 15002 к бортам. Изначально, впрочем, было еще одно отличие: если на танк 15002 установили гусеницы с узкими траками, то на 15001 – обычные гусеницы шириной 700 мм, которые использовались на КВ-1. Разница по массе между полным комплектом старых и новых траков составила 200 килограмм.</w:t>
      </w:r>
    </w:p>
    <w:p w14:paraId="03B1351C" w14:textId="77777777" w:rsidR="00F1788C" w:rsidRPr="001E2C69"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августе был проведены испытания проходимости по болотистому берегу озера Синеглазово, находящемуся в 18 километрах от Челябинска. В них участвовали КВ-1с 15001 с широкой гусеницей, КВ-1с 15004 с узкой гусеницей, КВ-1 10033 с широкой гусеницей и КВ-1 11021 с узкой гусеницей. Быстрее всего дистанцию преодолел КВ-1с 15004. Несмотря на то, что потребовались дополнительные испытания, решение в пользу узких траков было принято.</w:t>
      </w:r>
    </w:p>
    <w:p w14:paraId="404F2094" w14:textId="77777777" w:rsidR="00F1788C" w:rsidRPr="001E2C69"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Основная нагрузка в ходе испытаний легла на второй опытный образец, 15002. Это не должно удивлять, поскольку именно вторая опытная машина в полной мере соответствовала КВ-1с, который предполагалось запускать в серию. Первый опытный образец также не простаивал: после испытаний траков на проходимость машину «переобули» на гусеницы шириной 608 мм, после чего на нем также отрабатывали различные элементы.</w:t>
      </w:r>
    </w:p>
    <w:p w14:paraId="36A1AA74" w14:textId="77777777" w:rsidR="00F1788C" w:rsidRPr="001E2C69"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Первый этап полигонных испытаний КВ-1с 15002 прошел 28 июля 1942 года. В его ходе машина развила среднюю скорость 22,5 км/ч. Ходовые испытания на шоссе продолжались до 5 августа, всего за это время машина прошла по Уфимскому шоссе 761 километр. 26 августа были проведены испытания на максимальную скорость, за это время оказалось пройдено еще 40 километров. Танк развивал скорость до 43 км/ч, что для боевой машины массой 42,5 тонны было вполне достойным показателем. Расход горючего составил 250–280 литров на 100 километров.</w:t>
      </w:r>
    </w:p>
    <w:p w14:paraId="7314F210" w14:textId="77777777" w:rsidR="00F1788C" w:rsidRPr="001E2C69"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Гораздо более важным был другой показатель – надежность. 4 августа танк совершил 200-километровый марш, в ходе которого не было зафиксировано ни одной неполадки. За день до того были обнаружены небольшие неполадки с фрикционами, которые удалось быстро исправить на заводе.</w:t>
      </w:r>
    </w:p>
    <w:p w14:paraId="05974C6C" w14:textId="77777777" w:rsidR="00F1788C" w:rsidRPr="001E2C69"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Не менее важными стали испытания на Чудиновском тракте, в ходе которых танк прошел 553 километра. 9 августа КВ-1с преодолел по проселку 300 километров со средней скоростью 20 км/ч, и это стало сигналом к тому, что машину можно запускать в серийное производство. При езде по проселочной дороге танк потреблял, в зависимости от условий, 200–350 литров топлива на 100 километров. По болотистой местности возле озера Синеглазово танк прошел еще 673 километра, потребляя при этом 300–350 литров на 100 километров и показав среднюю скорость 15,5 км/ч. Коробка передач и система охлаждения работали нормально. Таким образом, требования по обеспечению надежности были выполнены.</w:t>
      </w:r>
    </w:p>
    <w:p w14:paraId="185B8169" w14:textId="77777777" w:rsidR="00F1788C" w:rsidRPr="001E2C69"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Вполне успешно прошли и стрельбы. В ходе испытаний на скорострельность орудия экипаж облачился в сковывающее движения зимнее обмундирование, и даже при этом удалось добиться скорострельности на уровне 6 выстрелов в минуту. Таким образом, уменьшение размеров башни не сказалось на удобстве работы в боевом отделении.</w:t>
      </w:r>
    </w:p>
    <w:p w14:paraId="09805923" w14:textId="77777777" w:rsidR="00F1788C" w:rsidRPr="001E2C69" w:rsidRDefault="00F1788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По окончании испытаний оба опытных образца КВ-1с стали своеобразными ходовыми стендами. На танках испытывались различные узлы и агрегаты, в частности, новые траки и модернизированные опорные катки. Наиболее бурной оказалось судьба танка 15002, позже превратившегося сначала в первый опытный образец КВ-85, а затем – в опытный танк КВ-122. Эта машина дожила до наших дней и ныне стоит на постаменте в Автово в Санкт-Петербурге (17682).</w:t>
      </w:r>
    </w:p>
    <w:p w14:paraId="1BE84BD7" w14:textId="77777777" w:rsidR="00F1788C" w:rsidRPr="001E2C69" w:rsidRDefault="00F1788C" w:rsidP="00722885">
      <w:pPr>
        <w:pStyle w:val="12a"/>
        <w:shd w:val="clear" w:color="auto" w:fill="auto"/>
        <w:spacing w:after="0" w:line="240" w:lineRule="auto"/>
        <w:jc w:val="both"/>
        <w:rPr>
          <w:color w:val="000000" w:themeColor="text1"/>
          <w:sz w:val="16"/>
          <w:szCs w:val="16"/>
        </w:rPr>
      </w:pPr>
    </w:p>
    <w:p w14:paraId="56C5453B" w14:textId="77777777" w:rsidR="00DF6309" w:rsidRPr="008A2E5A" w:rsidRDefault="00DF6309" w:rsidP="00DF630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июля 1942 года были готовы два опытных образца КВ-1с.</w:t>
      </w:r>
    </w:p>
    <w:p w14:paraId="68FDBA1A" w14:textId="77777777" w:rsidR="00DF6309" w:rsidRPr="008A2E5A" w:rsidRDefault="00DF6309" w:rsidP="00DF630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Конструкторская группа Балжи провела поистине титаническую работу, выискивая по мелочам способы выиграть лишние килограммы. Даже корпус несколько отличался от КВ-1, особенно это касалось кормовой части. Она стала немного покатой, что позволило дополнительно снизить массу. Во многом другой стала и ходовая часть. Балансиры, ленивцы, поддерживающие катки перепроектировали. Появился и новый опорный каток, который стал заметно легче конструкции КВ-1. В постановлении ГКО №1878 указывалась ширина трака 650 мм, но ее снизили еще больше - до 608 мм. Для подстраховки имелась возможность поставить и старые траки, шириной 700 мм, но только на них выигрывали 200 кг. Разница между массой опорных катков КВ-1с и КВ-1 была еще больше - 390 кг.</w:t>
      </w:r>
    </w:p>
    <w:p w14:paraId="68D97732" w14:textId="77777777" w:rsidR="00DF6309" w:rsidRPr="008A2E5A" w:rsidRDefault="00DF6309" w:rsidP="00DF630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Немалый выигрыш был и по башне. Как и требовало постановление, ее немного "ужали", а толщина стенок снизилась до 82 мм (по стойкости это примерно 75 мм катаной брони). Впрочем, выигрыш был не только в массе. Как уже говорилось выше, базой послужила доработанная башня КВ-13, имевшая одну интересную особенность. У исходного КВ-13 выемка пушки была как у Т-34, а КВ-1 изначально получил специальную орудийную установку с развитыми боковинами. Очень похожую установку, которая крепилась к башне на болтах, собирались реализовать на Т-34, а позже она прописалась на Т-34 с шестигранной литой башней. Торчащая установка была не лучшей идеей, поэтому на КВ-13, а заодно и КВ-1с, ее "вписали" в общую форму башни. Она так же крепилась изнутри на болтах, как у и КВ-1, го не было выступов. Снарядостойкость от такого решения выросла. Перекочевали на КВ-1с идея с командирской башенкой, не имеющей люка, кормовой пулемет в выступе с левой стороны, а также башенный люк с уравновешивающим механизмом. Под новый танк ввели перископические смотровые приборы, причем их число на башне сократилось до 2. Пользовался ими заряжающий. Аналогичные перископы получил и механик-водитель. В общей сложности переделке, по сравнению с КВ-1, подверглось 15 групп чертежей. Одним словом, работа оказалась проведена немалая (23351).</w:t>
      </w:r>
    </w:p>
    <w:p w14:paraId="79BEADC0" w14:textId="77777777" w:rsidR="00DF6309" w:rsidRPr="008A2E5A" w:rsidRDefault="00DF6309" w:rsidP="00DF6309">
      <w:pPr>
        <w:spacing w:after="0" w:line="240" w:lineRule="auto"/>
        <w:jc w:val="both"/>
        <w:rPr>
          <w:rFonts w:ascii="Times New Roman" w:hAnsi="Times New Roman"/>
          <w:color w:val="0070C0"/>
          <w:sz w:val="16"/>
          <w:szCs w:val="16"/>
        </w:rPr>
      </w:pPr>
    </w:p>
    <w:p w14:paraId="39B22C75"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 июля 1942 года Конструктор инженер-полковник Осокин писал Начальнику Главного Автоброне</w:t>
      </w:r>
      <w:hyperlink r:id="rId157"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ового Управления Красной Армии</w:t>
      </w:r>
    </w:p>
    <w:p w14:paraId="03604492"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копия: Заведующему Военным отделом ЦК ВКП(б) (Москва)</w:t>
      </w:r>
    </w:p>
    <w:p w14:paraId="1F335422"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Желая помочь любимой Родине в ее борьбе с фашистскими ордами и делом ответить на приказы № 55 и 130 Народного Комиссара Обороны Союза ССР тов. Сталина, я разработал и предлагаю вашему вниманию проект нового мощного вида вооружения Красной Армии - "</w:t>
      </w:r>
      <w:hyperlink r:id="rId158"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овый крейсер".</w:t>
      </w:r>
    </w:p>
    <w:p w14:paraId="0F2F4D95"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11.6.1942 года этот проект мною был доложен Начальнику отдела Автоброне</w:t>
      </w:r>
      <w:hyperlink r:id="rId159"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овых войск Уральского военного округа полковнику Евдокимову, инженерам вверенного ему отдела и заместителю командующего ВВС округа генерал-майору авиации тов. Соколову. Ими мое предложение было признано ценным и интересным в оборонном значении, и были сделаны некоторые технические указания - для доработки проекта.</w:t>
      </w:r>
    </w:p>
    <w:p w14:paraId="24C00D92"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Полковник Евдокимов, собираясь на другой день в Москву, обещал лично доложить Вам о моем предложении и просить Вас о вызове меня в Москву - для личного доклада.</w:t>
      </w:r>
    </w:p>
    <w:p w14:paraId="76D5559B"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того времени прошло более месяца и все сделанные мне указания в проекте выполнены. Об этом мною 2.7.1942 года было телеграфно доложено полковнику Евдокимову (УралВО), с просьбой ускорить мою командировку в Москву.</w:t>
      </w:r>
    </w:p>
    <w:p w14:paraId="714204A8"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 имея ответа на телеграмму, 18.7.42 года я обратился к своему начальнику части - дивинженеру тов. Андрееву, доложил ему свой проект и предложения и получил разрешение обратиться по этому делу в соответствующие, вышестоящие органы.</w:t>
      </w:r>
    </w:p>
    <w:p w14:paraId="0CB989DC"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Будучи убежден в целесообразности и большом боевом значении предлагаемого мною "</w:t>
      </w:r>
      <w:hyperlink r:id="rId160"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 xml:space="preserve">ового крейсера", я считаю всякое дальнейшее промедление в продвижении проекта крайне нежелательным. по этому прошу Вас о скорейшем вызове меня в Москву, с тем, чтобы лично доложить этот проект Вам, или назначенной Вашим приказом авторитетной комиссии специалистов – инженеров и тактиков </w:t>
      </w:r>
      <w:hyperlink r:id="rId161"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овых войск.</w:t>
      </w:r>
    </w:p>
    <w:p w14:paraId="44EA74E5"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Считая свое предложение серьезным, я, имея уже опыт конструкторской работы, отдаю себе, вместе с тем, полный отчет о возможных трудностях практической реализации проекта, но твердо полагаю, что эти трудности вполне окупятся боевыми качествами новых машин.</w:t>
      </w:r>
    </w:p>
    <w:p w14:paraId="719342F7"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разработку проекта "</w:t>
      </w:r>
      <w:hyperlink r:id="rId162"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ового крейсера" мною затрачено, преимущественно во внеслужебное время, свыше 500 часов и это обстоятельство также требует доведения дела до его логического конца.</w:t>
      </w:r>
    </w:p>
    <w:p w14:paraId="397CEC66"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случае благоприятного решения о реализации проекта, мои практические предложения, связанные с этим, прошу разрешения доложить лично.</w:t>
      </w:r>
    </w:p>
    <w:p w14:paraId="0885E9D6"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настоящее время я являюсь представителем Ленинградских Авиационно-Технических Курсов Усовершенствования ВВС имени К.Е. Ворошилова (адрес: гор. Магнитогорск, Челябинская область, 2-я плотина, почтовый ящик 529). В случае необходимости, по вопросу о моей командировке в Москву прошу списаться с генерал-майором авиации тов. Ивановым - начальником управления ВУЗ Главного Управления ВВС Красной Армии или с его заместителями.</w:t>
      </w:r>
    </w:p>
    <w:p w14:paraId="146875FC"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вызове прошу Вашего указания о выдаче мне проездных документов на перевозку по авиалиниям Магнитогорск-Свердловск-Москва, так как это в 5-7 раз сократит время поездки и будет способствовать скорейшему разрешению вопроса.</w:t>
      </w:r>
    </w:p>
    <w:p w14:paraId="068303B7"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 принятом Вами решении прошу телеграфно поставить меня в известность по вышеуказанному служебному адресу курсов.</w:t>
      </w:r>
    </w:p>
    <w:p w14:paraId="6B323BAD"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Конструктор</w:t>
      </w:r>
    </w:p>
    <w:p w14:paraId="01283E88"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инженер-полковник Осокин</w:t>
      </w:r>
    </w:p>
    <w:p w14:paraId="7FF3A36C"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 июля 1942 года.</w:t>
      </w:r>
    </w:p>
    <w:p w14:paraId="40D15308"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ЦАМО РФ, фонд 38, опись 11350, дело №1356, стр.4-6 (15623).</w:t>
      </w:r>
    </w:p>
    <w:p w14:paraId="396B3565" w14:textId="77777777" w:rsidR="00001919" w:rsidRPr="001E2C69" w:rsidRDefault="00001919" w:rsidP="00722885">
      <w:pPr>
        <w:spacing w:after="0" w:line="240" w:lineRule="auto"/>
        <w:jc w:val="both"/>
        <w:rPr>
          <w:rFonts w:ascii="Times New Roman" w:hAnsi="Times New Roman"/>
          <w:color w:val="000000" w:themeColor="text1"/>
          <w:sz w:val="16"/>
          <w:szCs w:val="16"/>
        </w:rPr>
      </w:pPr>
    </w:p>
    <w:p w14:paraId="60EC3536"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27 июля 1942 года вышел приказ № 522с НКБ</w:t>
      </w:r>
    </w:p>
    <w:p w14:paraId="60C24A6E"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Для испытания 82 мм мин и 76 мм снарядов организовать при заводе № 613 филиал Уральского полигона с непосредственным подчинением Управлению Полигонов НКБ (5905, 190).</w:t>
      </w:r>
    </w:p>
    <w:p w14:paraId="18AE5ACB" w14:textId="77777777" w:rsidR="00AE7191" w:rsidRPr="001E2C69" w:rsidRDefault="00AE7191" w:rsidP="00722885">
      <w:pPr>
        <w:pStyle w:val="Iauiue"/>
        <w:tabs>
          <w:tab w:val="left" w:pos="11199"/>
        </w:tabs>
        <w:jc w:val="both"/>
        <w:rPr>
          <w:color w:val="000000" w:themeColor="text1"/>
          <w:sz w:val="16"/>
          <w:szCs w:val="16"/>
        </w:rPr>
      </w:pPr>
    </w:p>
    <w:p w14:paraId="73DDE8B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 июля 1942 вышло Постановление ГКО № 2109 О плане военного судостроения на III квартал 1942 г. и поставке для Наркомвоенфлота трального вооружения, спецоборудования и запчастей к механизмам. РГАНИР, Фонд ГКО, д. 48, лл. 51-59, 60-110 (11012).</w:t>
      </w:r>
    </w:p>
    <w:p w14:paraId="2336E0C6"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B59C94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 июля 1942 вышло Постановление ГКО № 2110 О подготовке к выводу из строя объектов нефтяной промышленности Грознефтикомбината. РГАНИР, Фонд ГКО, д. 48, лл. 111 (11012).</w:t>
      </w:r>
    </w:p>
    <w:p w14:paraId="0E8C3963"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482371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 июля 1942 г. вышло постановление ГКО № 2110 о подготовке к выводу из строя объектов комбината (Завод № 420 НК нефти, Грозненский нефтеперерабатывающий завод им. В.И. Ленина, Грозненский нефтекомбинат («Грознефтекомбинат») НКТП), а 11.08.1942 г. - постановление № 2167 об эвакуации ценного оборудования и материалов, а также неполностью загруженных установок с комбината. 13.09.1942 г. вышло постановление ГКО № 2298 о демонтаже грозненских нефтеперерабатывающих заводов. 20.04.1945 г. вышло постановление ГКО № 8231 о восстановлении и капремонте оборудования Грозненских нефтеперерабатывающих заводов.</w:t>
      </w:r>
    </w:p>
    <w:p w14:paraId="0288936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Грозненский НПЗ им. Ленина был в 1931 г., с 31.03.1935 г. вошел в состав треста «Грознефтезаводы». Нефтекомбинат в 06.1937 г. - в ведении НКТП, в 1940 г. - в ведении НК нефти.</w:t>
      </w:r>
    </w:p>
    <w:p w14:paraId="4C8B775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420 и Крекинг-завод объединены в НПЗ им. Ленина.</w:t>
      </w:r>
    </w:p>
    <w:p w14:paraId="1D6D07F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Начальник (1943-45 г.)- </w:t>
      </w:r>
      <w:r w:rsidRPr="001E2C69">
        <w:rPr>
          <w:rFonts w:ascii="Times New Roman" w:hAnsi="Times New Roman"/>
          <w:color w:val="000000" w:themeColor="text1"/>
          <w:sz w:val="16"/>
          <w:szCs w:val="16"/>
          <w:lang w:val="en-US"/>
        </w:rPr>
        <w:t>B</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C</w:t>
      </w:r>
      <w:r w:rsidRPr="001E2C69">
        <w:rPr>
          <w:rFonts w:ascii="Times New Roman" w:hAnsi="Times New Roman"/>
          <w:color w:val="000000" w:themeColor="text1"/>
          <w:sz w:val="16"/>
          <w:szCs w:val="16"/>
        </w:rPr>
        <w:t>. Федоров.</w:t>
      </w:r>
    </w:p>
    <w:p w14:paraId="7AD664C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Зам. начальника (1940-41 г.)- </w:t>
      </w:r>
      <w:r w:rsidRPr="001E2C69">
        <w:rPr>
          <w:rFonts w:ascii="Times New Roman" w:hAnsi="Times New Roman"/>
          <w:color w:val="000000" w:themeColor="text1"/>
          <w:sz w:val="16"/>
          <w:szCs w:val="16"/>
          <w:lang w:val="en-US"/>
        </w:rPr>
        <w:t>B</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C</w:t>
      </w:r>
      <w:r w:rsidRPr="001E2C69">
        <w:rPr>
          <w:rFonts w:ascii="Times New Roman" w:hAnsi="Times New Roman"/>
          <w:color w:val="000000" w:themeColor="text1"/>
          <w:sz w:val="16"/>
          <w:szCs w:val="16"/>
        </w:rPr>
        <w:t>. Федоров.</w:t>
      </w:r>
    </w:p>
    <w:p w14:paraId="0DE59B1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1-й Грозненский газолиновый завод (ГГЗ-1) НКТП, НКНП /Чечено-Ингушская АССР  г. Грозный/</w:t>
      </w:r>
    </w:p>
    <w:p w14:paraId="3C7B5EA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Входил в состав Грознефтекомбината, с 31.03.1935 г. - в состав треста «Грознефтезаводы». В 1936 г. - в ведении НКТП, в 1940 г. - НКНП.</w:t>
      </w:r>
    </w:p>
    <w:p w14:paraId="63EB075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11.1941 г. эвакуирован в Ишимбай.</w:t>
      </w:r>
    </w:p>
    <w:p w14:paraId="4A85197A" w14:textId="77777777" w:rsidR="00AE7191" w:rsidRPr="001E2C69" w:rsidRDefault="00AE7191" w:rsidP="00722885">
      <w:pPr>
        <w:tabs>
          <w:tab w:val="left" w:pos="333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1-й Грозненский крекинг-завод НК нефти</w:t>
      </w:r>
    </w:p>
    <w:p w14:paraId="6F2F2FB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1940 г. завод - в ведении НК нефти.</w:t>
      </w:r>
    </w:p>
    <w:p w14:paraId="00475E60" w14:textId="77777777" w:rsidR="00AE7191" w:rsidRPr="001E2C69" w:rsidRDefault="00AE7191" w:rsidP="00722885">
      <w:pPr>
        <w:tabs>
          <w:tab w:val="left" w:pos="3345"/>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2-й Грозненский крекинг-завод НК нефти</w:t>
      </w:r>
    </w:p>
    <w:p w14:paraId="4CFC2DF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26.12.1942 г. вышло постановление ГКО № 2659 о прекращении демонтажа крекинг-установок № 9 и № 10.</w:t>
      </w:r>
    </w:p>
    <w:p w14:paraId="017C333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Трест, Объединение «Грознефтезаводы»</w:t>
      </w:r>
    </w:p>
    <w:p w14:paraId="14C504E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1935-43 г. - трест «Грознефтезаводы», в 1945-46 г. - объединение. С 31.03.1935 г. в его составе - Грозненский НПЗ.</w:t>
      </w:r>
    </w:p>
    <w:p w14:paraId="655A799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17.02.1945 г. вышло распоряжение ГКО № 7545 о материально-техническом обеспечении объединения для усиления буровых работ и улучшения эксплуатации скважин.</w:t>
      </w:r>
    </w:p>
    <w:p w14:paraId="5AF7B9D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Управляющий (1941-43 г.)- </w:t>
      </w:r>
      <w:r w:rsidRPr="001E2C69">
        <w:rPr>
          <w:rFonts w:ascii="Times New Roman" w:hAnsi="Times New Roman"/>
          <w:color w:val="000000" w:themeColor="text1"/>
          <w:sz w:val="16"/>
          <w:szCs w:val="16"/>
          <w:lang w:val="en-US"/>
        </w:rPr>
        <w:t>B</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C</w:t>
      </w:r>
      <w:r w:rsidRPr="001E2C69">
        <w:rPr>
          <w:rFonts w:ascii="Times New Roman" w:hAnsi="Times New Roman"/>
          <w:color w:val="000000" w:themeColor="text1"/>
          <w:sz w:val="16"/>
          <w:szCs w:val="16"/>
        </w:rPr>
        <w:t xml:space="preserve">. Федоров. Начальник (1945-46 г.)- </w:t>
      </w:r>
      <w:r w:rsidRPr="001E2C69">
        <w:rPr>
          <w:rFonts w:ascii="Times New Roman" w:hAnsi="Times New Roman"/>
          <w:color w:val="000000" w:themeColor="text1"/>
          <w:sz w:val="16"/>
          <w:szCs w:val="16"/>
          <w:lang w:val="en-US"/>
        </w:rPr>
        <w:t>B</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C</w:t>
      </w:r>
      <w:r w:rsidRPr="001E2C69">
        <w:rPr>
          <w:rFonts w:ascii="Times New Roman" w:hAnsi="Times New Roman"/>
          <w:color w:val="000000" w:themeColor="text1"/>
          <w:sz w:val="16"/>
          <w:szCs w:val="16"/>
        </w:rPr>
        <w:t>. Федоров (11982).</w:t>
      </w:r>
    </w:p>
    <w:p w14:paraId="6CA12167"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C8B646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 июля 1942 вышло Постановление ГКО № 2111 О мобилизации молодежи в Краснодарском и Орджоникидзевском краях для производственного обучения в ремесленных, железнодорожных училищах и школах ФЗО. РГАНИР, Фонд ГКО, д. 48, лл. 112 (11012).</w:t>
      </w:r>
    </w:p>
    <w:p w14:paraId="0A96AFBD"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1E098B0"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27 июля 1942 вышло Постановление ГКО № 2112 Об освобождении железных дорог Северного Кавказа от излишнего парка подвижного состава. (7047, 113-115).</w:t>
      </w:r>
    </w:p>
    <w:p w14:paraId="304E662A" w14:textId="77777777" w:rsidR="00AE7191" w:rsidRPr="001E2C69" w:rsidRDefault="00AE7191" w:rsidP="00722885">
      <w:pPr>
        <w:pStyle w:val="Iauiue"/>
        <w:tabs>
          <w:tab w:val="left" w:pos="11199"/>
        </w:tabs>
        <w:jc w:val="both"/>
        <w:rPr>
          <w:color w:val="000000" w:themeColor="text1"/>
          <w:sz w:val="16"/>
          <w:szCs w:val="16"/>
        </w:rPr>
      </w:pPr>
    </w:p>
    <w:p w14:paraId="4AB22503"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27 июля 1942 вышло Постановление ГКО № 2113 Об эвакуации оборудования, материалов и сырья из г. Краснодара и Краснодарского края. (7047, 116-117).</w:t>
      </w:r>
    </w:p>
    <w:p w14:paraId="2F42B012" w14:textId="77777777" w:rsidR="00AE7191" w:rsidRPr="001E2C69" w:rsidRDefault="00AE7191" w:rsidP="00722885">
      <w:pPr>
        <w:pStyle w:val="Iauiue"/>
        <w:tabs>
          <w:tab w:val="left" w:pos="11199"/>
        </w:tabs>
        <w:jc w:val="both"/>
        <w:rPr>
          <w:color w:val="000000" w:themeColor="text1"/>
          <w:sz w:val="16"/>
          <w:szCs w:val="16"/>
        </w:rPr>
      </w:pPr>
    </w:p>
    <w:p w14:paraId="2C695D0F"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6123DCF7" w14:textId="77777777" w:rsidR="00AE7191" w:rsidRPr="001E2C69" w:rsidRDefault="00AE7191" w:rsidP="00722885">
      <w:pPr>
        <w:pStyle w:val="Iauiue"/>
        <w:jc w:val="both"/>
        <w:rPr>
          <w:iCs/>
          <w:color w:val="000000" w:themeColor="text1"/>
          <w:sz w:val="16"/>
          <w:szCs w:val="16"/>
        </w:rPr>
      </w:pPr>
    </w:p>
    <w:p w14:paraId="37E0EBBD"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 июля в 1942 году утреннее сообщение Совинформбюро:</w:t>
      </w:r>
    </w:p>
    <w:p w14:paraId="4AC07CBD"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27 июля наши войска вели бои с противником в районе Воронежа, а также в районах Цымлянская, Новочеркасск, Ростов.</w:t>
      </w:r>
    </w:p>
    <w:p w14:paraId="557E38A6"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665017E9"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продолжались ожесточённые бои. На одном из участков наши танковые части атаковали позиции противника и нанесли ему большие потери. Танковый десант разгромил гитлеровцев, укрепившихся в роще. Комиссар танково-десантной роты тов. Ванкузин под огнём противника первым с группой бойцов ворвался во вражеские окопы. Отважный комиссар застрелил четырёх немецких офицеров и двух солдат. Гитлеровцы, оставив много убитых и раненых, поспешно отступили. Командир танка лейтенант Борщников и сержант-водитель Батов раздавили противотанковое орудие, метким огнём разбили ДЗОТ и уничтожили большую группу солдат и офицеров противника. На другом участке бойцы соединения, которымкомандует тов. Попов, за день уничтожили до 1.000 немецких солдат и офицеров и сбили огнём пехотного оружия 3 самолёта противника.</w:t>
      </w:r>
    </w:p>
    <w:p w14:paraId="29B23D28"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Ростова наши войска вели тяжёлые бои на окраине города. Пользуясь численным превосходством, немцы непрерывно атакуют наши части. На одном участке батальон пьяных гитлеровцев густыми цепями пошёл в атаку на наши позиции. Подпустив врага на близкое расстояние, наши бойцы открыли ураганный огонь. Лишь немногим гитлеровцам удалось уйти обратно. На другом участке продолжаетсяк ровопролитный бой с прорвавшимися в глубь нашей обороны войсками противника. За несколько часов на этом участке немцы потеряли 20 танков и более 700 солдат и офицеров.</w:t>
      </w:r>
    </w:p>
    <w:p w14:paraId="35E0F682"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Цымлянской идут упорные бои за переправы. Немцы стремятся одновременно в нескольких местах форсировать реку Дон. Действия наземных войск противника поддерживает авиация. На одном из участков идёт крупный танковый бой, в ходе которого немцы уже потеряли 30 танков. Наши бойцы сковали численно превосходящие силы противника и не дают им продвинуться вперёд. На другом участке наша часть после тяжёлых боёв отошла на новые позиции.</w:t>
      </w:r>
    </w:p>
    <w:p w14:paraId="125D9DF0"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Брянского фронта наши войска вели активные бои. Наша танковая часть заняла высоту, имеющую большое значение. В этом бою танкисты разгромили 10-й моторизованный полк противника и уничтожили 1.250 вражеских солдат и офицеров. Остатки немецкого мотополка — около 300 человек — взяты вплен. Подбито 20 танков противника.</w:t>
      </w:r>
    </w:p>
    <w:p w14:paraId="2C80C952"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черниговских партизан под командованием тов. Ф. разгромил карательную экспедицию гитлеровцев. Партизаны уничтожили 65 оккупантов и захватили военное снаряжение. За последние дни отряд взорвал 5 шоссейных мостов.</w:t>
      </w:r>
    </w:p>
    <w:p w14:paraId="63B80D0D"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Добровольно сдавшийся в плен обер-ефрейтор 73 мотострелкового полка 19 танковой дивизии Ганс О. рассказал: «На Восточный фронт я прибыл в мае 1942 года. До этого я служил в гарнизоне города Бергена в охране лагеря русских военнопленных. Ужасы, которые претерпевают русские военнопленные, трудно описать. Они живут под открытым небом, за колючей проволокой. Сразу же по прибытии пленных в лагерь с них снимают обувь, отбирают все личные вещи. Пленные голодают. </w:t>
      </w:r>
      <w:r w:rsidRPr="001E2C69">
        <w:rPr>
          <w:rFonts w:ascii="Times New Roman" w:hAnsi="Times New Roman"/>
          <w:color w:val="000000" w:themeColor="text1"/>
          <w:sz w:val="16"/>
          <w:szCs w:val="16"/>
        </w:rPr>
        <w:lastRenderedPageBreak/>
        <w:t>Вместо пищи им время от времени выдают мясо павших лошадей. Когда изголодавшиеся люди бросаются за пищей, офицеры безжалостно избивают их. В лагере ежедневно умирает от побоев, голода и болезней 10—15 человек. За малейшие провинности пленных сажают в карцер, откуда живым никто не выходит. Трупы умерших и убитых сбрасывают в яму, вырытую в полукилометре от лагеря. Иногда вместе с мёртвыми зарывают и тяжело больных. Однажды я имел неосторожность дать одному пленному 2 сигареты. За это я был предан военно-полевому суду по обвинению «в нарушении здорового ощущения немецкой расы». После отбытия наказания меня отправили на передовые позиции. При первом удобном случае я сдался в плен».</w:t>
      </w:r>
    </w:p>
    <w:p w14:paraId="26D9A9C1"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Французские патриоты усиливают борьбу против немецких захватчиков. Близ города Руана группа вооружённых крестьян захватила немецкий склад с реквизированным у населения зерном и вывезла оттуда все запасы. На путях станции Ренн произошёл взрыв. Возникшим пожаром уничтожено свыше 250 вагонов, следовавших в Германию.» (14965).</w:t>
      </w:r>
    </w:p>
    <w:p w14:paraId="07521886" w14:textId="77777777" w:rsidR="00001919" w:rsidRPr="001E2C69" w:rsidRDefault="00001919" w:rsidP="00722885">
      <w:pPr>
        <w:spacing w:after="0" w:line="240" w:lineRule="auto"/>
        <w:jc w:val="both"/>
        <w:rPr>
          <w:rFonts w:ascii="Times New Roman" w:hAnsi="Times New Roman"/>
          <w:color w:val="000000" w:themeColor="text1"/>
          <w:sz w:val="16"/>
          <w:szCs w:val="16"/>
        </w:rPr>
      </w:pPr>
    </w:p>
    <w:p w14:paraId="73838420"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 июля в 1942 году вечернее сообщение Совинформбюро:</w:t>
      </w:r>
    </w:p>
    <w:p w14:paraId="1770A95A"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27 июля наши войска вели бои в районе Воронежа, а также в районе Цымлянская. После упорных боёв наши войска оставили города Новочеркасск и Ростов.</w:t>
      </w:r>
    </w:p>
    <w:p w14:paraId="581DA08F"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03A57701"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Нашими кораблями в Баренцевом море потоплены подводная лодка и транспорт противника водоизмещением в 10.000 тонн.</w:t>
      </w:r>
    </w:p>
    <w:p w14:paraId="7DD307CC"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26 июля частями нашей авиации на различных участках фронта уничтожено или повреждено 82 немецких танка, 260 автомашин с войсками и грузами, 7 автоцистернс горючим, взорвано 3 склада боеприпасов, подавлен огонь 7 батарей зенитной иполевой артиллерии, рассеяно и частью уничтожено более двух батальонов пехоты противника.</w:t>
      </w:r>
    </w:p>
    <w:p w14:paraId="23DF2448"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наши войска продолжали вести упорные бои с немецко-фашистскими войсками. Одна наша часть форсировала реку Дон западнее Воронежа. Другая часть, уничтожив до 1.200 солдат и офицеров противника, переправилась через Дон несколько южнее Воронежа. Сейчас обе эти части ведут активные боевые операции на западном берегу реки. На другом участке наши бойцы заняли важный населённый пункт. Контратаки противника с целью вернуть потерянные позиции успеха не имели.</w:t>
      </w:r>
    </w:p>
    <w:p w14:paraId="427FABB5"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Цымлянской противник стремится переправиться на южный берег Дона.Бои продолжаются с переменным успехом. На одном участке немцам удалось продвинуться вперёд. Стремительным ударом наши пехотинцы и танкисты остановили врага и потеснили его. В этом бою уничтожено 5 немецких танков, 8 орудий и свыше 350 солдат и офицеров противника.</w:t>
      </w:r>
    </w:p>
    <w:p w14:paraId="36EB1885"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Ленинградском фронте происходили бои местного значения и артиллерийская перестрелка. На одном участке немцы предприняли атаку и пытались вернуть потерянный ими накануне пункт. Миномётным и ружейно-пулемётным огнём атака противника была отбита. На поле боя гитлеровцы оставили 150 трупов. При взятии населённого пункта, о чём сообщалось ранее, наши бойцы захватили 9 пулемётов, много винтовок и автоматов, 500 гранат, до 100 тысяч патронов и большой склад боеприпасов.</w:t>
      </w:r>
    </w:p>
    <w:p w14:paraId="74187104"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Группа партизан из отряда тов. Т., действующего в одном из районов Ленинградской области, уничтожила 22 гитлеровца. Другая группа, партизан пустила под откос железнодорожный эшелон противника. В результате крушения разбиты паровоз, несколько платформ с тракторами и погибло до 150 немецко-фашистских оккупантов.</w:t>
      </w:r>
    </w:p>
    <w:p w14:paraId="68B4AA53"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Значительная часть немецких войск в ожесточённых боях перемолота Красной Армией. Немецкое командование лихорадочно перебрасывает из оккупированных стран Европы на советско-германский фронт свежие подкрепления. Установлено, что недавно на фронт прибыли из Ванна и Гавра 305 и 336 дивизии, а вслед за ними из Парижа одна танковая дивизия и другие части.</w:t>
      </w:r>
    </w:p>
    <w:p w14:paraId="75F7265D"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 убитого обер-фельдфебеля 305 немецкой пехотной дивизии Конрада Динклера найдено неотправленное письмо к товарищу в Вену. В этом письме говорится: «Мы надеялись ещё долго пробыть в благословенной Франции, а вместо этого попали в ад кромешный. Не знаю, удастся ли вырваться отсюда... Еще в городе Ванн, когда сталоизвестно, что дивизия отправляется на Восток, многие солдаты опустили головы...Среди офицеров возникли горячие споры. Одни доказывали, что безумие вывозить боеспособные части из Франции, когда можно ожидать каждую минуту удара в спину. Другие утверждали, что побеждает тот, кто идёт на риск и опережает своих противников. Кто из них прав, покажет будущее. В настоящее же время для нас настали чёрные дни. Вчера русские ударили во фланг нашему батальону, мы понесли большие потери».</w:t>
      </w:r>
    </w:p>
    <w:p w14:paraId="2587B36D"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захватчики насильно угоняют население Латвии на каторжные работы в Германию. За последнее время гитлеровцы вывезли из Рижского, Лудзенского и Резекнеского уездов более 750 мужчин, женщин и подростков. Фашистские мерзавцы сажают в тюрьмы и расстреливают всех, кто уклоняется от поездки в Германию. В сёлах Резекнеского уезда гестаповцы в течение всего лишь нескольких дней расстреляли и повесили более 40 крестьян.</w:t>
      </w:r>
    </w:p>
    <w:p w14:paraId="61FB16F7" w14:textId="77777777" w:rsidR="00001919" w:rsidRPr="001E2C69" w:rsidRDefault="000019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Железнодорожный эшелон с немецкими войсками, направлявшийся из Франции на советско-германский фронт, потерпел катастрофу недалеко от станции Бохня (Польша). Убиты и ранены сотни немецких солдат. Сообщают, что поезд взорвался на минах, установленных польскими патриотами.» (14965).</w:t>
      </w:r>
    </w:p>
    <w:p w14:paraId="78ACEEAC" w14:textId="77777777" w:rsidR="00001919" w:rsidRPr="001E2C69" w:rsidRDefault="00001919" w:rsidP="00722885">
      <w:pPr>
        <w:spacing w:after="0" w:line="240" w:lineRule="auto"/>
        <w:jc w:val="both"/>
        <w:rPr>
          <w:rFonts w:ascii="Times New Roman" w:hAnsi="Times New Roman"/>
          <w:color w:val="000000" w:themeColor="text1"/>
          <w:sz w:val="16"/>
          <w:szCs w:val="16"/>
        </w:rPr>
      </w:pPr>
    </w:p>
    <w:p w14:paraId="1D4D40BC"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rPr>
        <w:t>27 июля 1942 8 И-16 под командой И.М.Пилипенко, охраняя переправу через Дон в районе Ростова, вступили в бой с 23 и сбили 6 без потерь. СталГСС</w:t>
      </w:r>
      <w:r w:rsidRPr="001E2C69">
        <w:rPr>
          <w:color w:val="000000" w:themeColor="text1"/>
          <w:sz w:val="16"/>
          <w:szCs w:val="16"/>
          <w:lang w:val="en-US"/>
        </w:rPr>
        <w:t xml:space="preserve"> (438,851).</w:t>
      </w:r>
    </w:p>
    <w:p w14:paraId="37B936B4" w14:textId="77777777" w:rsidR="00AE7191" w:rsidRPr="001E2C69" w:rsidRDefault="00AE7191" w:rsidP="00722885">
      <w:pPr>
        <w:pStyle w:val="Iauiue"/>
        <w:jc w:val="both"/>
        <w:rPr>
          <w:color w:val="000000" w:themeColor="text1"/>
          <w:sz w:val="16"/>
          <w:szCs w:val="16"/>
          <w:lang w:val="en-US"/>
        </w:rPr>
      </w:pPr>
    </w:p>
    <w:p w14:paraId="57745907"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lang w:val="en-US"/>
        </w:rPr>
        <w:t>July 27, 1942: German troops take Bataysk, and 6.Armee launches an attack to destroy a bridgehead west of Stalingrad at Kalach (3819).</w:t>
      </w:r>
    </w:p>
    <w:p w14:paraId="25883FE1" w14:textId="77777777" w:rsidR="00AE7191" w:rsidRPr="001E2C69" w:rsidRDefault="00AE7191" w:rsidP="00722885">
      <w:pPr>
        <w:pStyle w:val="Iauiue"/>
        <w:jc w:val="both"/>
        <w:rPr>
          <w:color w:val="000000" w:themeColor="text1"/>
          <w:sz w:val="16"/>
          <w:szCs w:val="16"/>
          <w:lang w:val="en-US"/>
        </w:rPr>
      </w:pPr>
    </w:p>
    <w:p w14:paraId="7707688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27 июля 1942 немцы заняли Батайск и 6А начала наступление для уничтожения плацдармов на запад от Сталинграда у Калача (3819).</w:t>
      </w:r>
    </w:p>
    <w:p w14:paraId="72415842" w14:textId="77777777" w:rsidR="00AE7191" w:rsidRPr="001E2C69" w:rsidRDefault="00AE7191" w:rsidP="00722885">
      <w:pPr>
        <w:pStyle w:val="Iauiue"/>
        <w:jc w:val="both"/>
        <w:rPr>
          <w:color w:val="000000" w:themeColor="text1"/>
          <w:sz w:val="16"/>
          <w:szCs w:val="16"/>
        </w:rPr>
      </w:pPr>
    </w:p>
    <w:p w14:paraId="4FE3C0C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ночь на 27 июля 1942 в районе Капустина Яра немцы потопили ветерана волжского флота – колесный пароход «Айтодор» 1858 г. постройки и две баржи с боеприпасами. Прогремел страшной силы взрыв, разметавший обломки кораблей по берегам реки, яркий столб пламени осветил безлюдную степь. Погибли шесть членов команды, в т.ч. капитан судна Петр Рузанкин. Днем 27 июля Люфтваффе добились еще одного большого успеха. В это время вверх по Волге двигался большой нефтекараван из восьми нефтеналивных судов. Сначала в районе Сталинграда в ходе бомбардировки были потоплены две баржи. Горящая нефть из их танков хлынула в Волгу, и над рекой поднялось густое облако дыма. В тушении пожара принимал участие легендарный пожарный пароход «Гаситель». Остальные суда продолжали идти вверх по течению и достигли деревни Дубовка, в 25 км севернее Сталинграда когда их вновь атаковали «Хейнкели». В результате были потоплены еще четыре нефтебаржи, в т.ч. «Обь», на борту которой находилось 10 тыс. т керосина. Караван, таким образом, был почти полностью уничтожен. Огромный столб дыма поднялся над приволжскими степями, горящая нефть текла вниз по Волге, и движение судов по реке было сильно затруднено. Все это происходило на глазах у жителей Сталинграда. Пылающая река, тонущие баржи и плавающие среди них матросы – все это вселяло ужас. Вечером того же дня десять Не-111 совершили налет на пристань Владимировка (Ахтубинск). В результате был потоплен один колесный пароход и баржа, а буксир «Орджоникидзе» получил тяжелые повреждения. Критическая ситуация складывалась и в Сталинградском порту. Хотя к концу июля здесь имелись 12 механизированных причалов, 20 плавучих кранов, десятки транспортерных линий и рабочие трудились практически круглосуточно, обрабатывать в срок большинство судов не удавалось. Видя торчащие из воды остовы потопленных барж, матросы нервно курили и постоянно поглядывали на небо, опасаясь новых налетов. Корабли в порту стояли очень скученно и представляли собой отличную мишень. Команды вновь прибывавших судов рассказывали ужасные истории о подрывах на минах, плавающих в воде трупах и бомбежках. На Нижней Волге ситуация складывалась поистине катастрофическая. По ночам в фарватер опускались все новые и новые мины, днем и ночью бомбардировщики из KG27 «Бельке» и KG55 «Грайф» бомбили суда и пристани. Всего с 25 по 31 июля посты ВНОС зафиксировали падение в Волгу 231 мины, сброшенной с немецких самолетов. Между тем Волжская военная флотилия оказалась не готова к борьбе с минной опасностью на реке. Формирование отдельной бригады траления, начатое в июле, затягивалось. Переделка судов происходила наспех, установленные тралы быстро продемонстрировали свою непригодность, а у экипажей отсутствовал какой бы то ни было опыт по борьбе с минными постановками. Команды речных судов также проявили растерянность и панику. Корабли плохо маскировались, нередко допускалась их скученность, да и информация о заминированных участках поступала несвоевременно и не всегда точная. Некоторые «сведения» зачастую основывались на слухах и домыслах. Поэтому взрывы на волжских плесах гремели постоянно, и каждые сутки гибли по четыре-пять кораблей. Но несмотря на чрезвычайно трудные условия, судоходство на Нижней Волге оставалось весьма интенсивным. В пути находились десятки буксиров, пароходов и барже грузами и людьми (11774).</w:t>
      </w:r>
    </w:p>
    <w:p w14:paraId="6F6691CA"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CF3DEE1"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42BA382D" w14:textId="77777777" w:rsidR="00AE7191" w:rsidRPr="001E2C69" w:rsidRDefault="00AE7191" w:rsidP="00722885">
      <w:pPr>
        <w:pStyle w:val="Iauiue"/>
        <w:jc w:val="both"/>
        <w:rPr>
          <w:iCs/>
          <w:color w:val="000000" w:themeColor="text1"/>
          <w:sz w:val="16"/>
          <w:szCs w:val="16"/>
        </w:rPr>
      </w:pPr>
    </w:p>
    <w:p w14:paraId="7D09F966"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27 июля в 1942 году первый боевой вылет американского истребителя </w:t>
      </w:r>
      <w:hyperlink r:id="rId163" w:tgtFrame="_blank" w:history="1">
        <w:r w:rsidRPr="001E2C69">
          <w:rPr>
            <w:rFonts w:ascii="Times New Roman" w:hAnsi="Times New Roman"/>
            <w:color w:val="000000" w:themeColor="text1"/>
            <w:sz w:val="16"/>
            <w:szCs w:val="16"/>
          </w:rPr>
          <w:t xml:space="preserve">«Норт Америкен» «Р-51» «Мустанг» («North American» «P-51» «Mustang»). </w:t>
        </w:r>
      </w:hyperlink>
      <w:r w:rsidRPr="001E2C69">
        <w:rPr>
          <w:rFonts w:ascii="Times New Roman" w:hAnsi="Times New Roman"/>
          <w:color w:val="000000" w:themeColor="text1"/>
          <w:sz w:val="16"/>
          <w:szCs w:val="16"/>
        </w:rPr>
        <w:t xml:space="preserve">Рейхсмаршалу Герману Герингу приписывают такие слова: «Когда я увидел над Берлином бомбардировщики, сопровождаемые истребителями («Мустангами»), я понял, что дело плохо» (4 марта 1944 года). История истребителя «Р-51» «Мустанг» началась в 1940 году. Британская закупочная комиссия («Britsh Purchasing Commision», «BPC») вела переговоры с фирмой «Норт Америкэн Авиэйшен» («NAA») о лицензионном производстве истребителей «Р-40» для ВВС Великобритании (RAF). Но представители «NAA» предложили ВРС создать новый истребитель по собственному проекту фирмы. До этого «Норт Америкэн» строила только учебные самолёты. и ВРС с большой неохотой согласились рассмотреть их предложение. В январе 1940 года «Датч» Киндельбергер и Ли Этвуд, президент и вице-президент «Норт Америкэн», предложили построить для RAF 320 истребителей, получивших фирменное обозначение «NA-73». Самолёт должен был быть оснащён мотором фирмы «Аллисон», стоить не более 40 000 долларов за штуку и иметь вооружение в соответствии с требованиями британцев. Это предложение было принято ВРС 10 апреля </w:t>
      </w:r>
      <w:r w:rsidRPr="001E2C69">
        <w:rPr>
          <w:rFonts w:ascii="Times New Roman" w:hAnsi="Times New Roman"/>
          <w:color w:val="000000" w:themeColor="text1"/>
          <w:sz w:val="16"/>
          <w:szCs w:val="16"/>
        </w:rPr>
        <w:lastRenderedPageBreak/>
        <w:t>1940 года - дата, которую принято считать началом истории «Мустанга». 27 июля 1942 года, над Дьеппом (Dieppe) «Мустанг» был атакован парой «FW-190» и сбит. «Мустангом» управлял американский пилот-доброволец Холлис Хиллис (Hollis S. Hillis) из 414 эскадрона Канадских Королевских ВВС (14965).</w:t>
      </w:r>
    </w:p>
    <w:p w14:paraId="02B1C335" w14:textId="77777777" w:rsidR="00E13488" w:rsidRPr="001E2C69" w:rsidRDefault="00E13488" w:rsidP="00722885">
      <w:pPr>
        <w:spacing w:after="0" w:line="240" w:lineRule="auto"/>
        <w:jc w:val="both"/>
        <w:rPr>
          <w:rFonts w:ascii="Times New Roman" w:hAnsi="Times New Roman"/>
          <w:color w:val="000000" w:themeColor="text1"/>
          <w:sz w:val="16"/>
          <w:szCs w:val="16"/>
        </w:rPr>
      </w:pPr>
    </w:p>
    <w:p w14:paraId="789A732F"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27 июля 1942 на Трафальгарской площади состоялась 60-тысячная демонстрация с требованием открыть второй фронт в Европе для помощи Советскому Союзу (4962).</w:t>
      </w:r>
    </w:p>
    <w:p w14:paraId="5841D55A" w14:textId="77777777" w:rsidR="00AE7191" w:rsidRPr="001E2C69" w:rsidRDefault="00AE7191" w:rsidP="00722885">
      <w:pPr>
        <w:pStyle w:val="Iauiue"/>
        <w:tabs>
          <w:tab w:val="left" w:pos="11199"/>
        </w:tabs>
        <w:jc w:val="both"/>
        <w:rPr>
          <w:color w:val="000000" w:themeColor="text1"/>
          <w:sz w:val="16"/>
          <w:szCs w:val="16"/>
        </w:rPr>
      </w:pPr>
    </w:p>
    <w:p w14:paraId="70A2B13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27 июля 1942 в Лондоне на Трафальгарской площади был митинг, на котором 60 тыс, человек требовали немедленного открытия второго фронта (3907,236).</w:t>
      </w:r>
    </w:p>
    <w:p w14:paraId="2C765F4E" w14:textId="77777777" w:rsidR="00AE7191" w:rsidRPr="001E2C69" w:rsidRDefault="00AE7191" w:rsidP="00722885">
      <w:pPr>
        <w:pStyle w:val="Iauiue"/>
        <w:jc w:val="both"/>
        <w:rPr>
          <w:color w:val="000000" w:themeColor="text1"/>
          <w:sz w:val="16"/>
          <w:szCs w:val="16"/>
        </w:rPr>
      </w:pPr>
    </w:p>
    <w:p w14:paraId="54330DC6"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 июля в 1942 году заканчивается 17-дневная битва при Эль Аламейне (El Alamein). Британия предотвращает немецкое и итальянское наступление на Египет (14965).</w:t>
      </w:r>
    </w:p>
    <w:p w14:paraId="45A447FC" w14:textId="77777777" w:rsidR="00E13488" w:rsidRPr="001E2C69" w:rsidRDefault="00E13488" w:rsidP="00722885">
      <w:pPr>
        <w:spacing w:after="0" w:line="240" w:lineRule="auto"/>
        <w:jc w:val="both"/>
        <w:rPr>
          <w:rFonts w:ascii="Times New Roman" w:hAnsi="Times New Roman"/>
          <w:color w:val="000000" w:themeColor="text1"/>
          <w:sz w:val="16"/>
          <w:szCs w:val="16"/>
        </w:rPr>
      </w:pPr>
    </w:p>
    <w:p w14:paraId="4A6A6D55"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 июля в 1942 году английский комитет начальников штабов издал директиву, предусматривающую высадку морского десанта в районе Дьеппа (14965).</w:t>
      </w:r>
    </w:p>
    <w:p w14:paraId="6FF12719" w14:textId="77777777" w:rsidR="00E13488" w:rsidRPr="001E2C69" w:rsidRDefault="00E13488" w:rsidP="00722885">
      <w:pPr>
        <w:spacing w:after="0" w:line="240" w:lineRule="auto"/>
        <w:jc w:val="both"/>
        <w:rPr>
          <w:rFonts w:ascii="Times New Roman" w:hAnsi="Times New Roman"/>
          <w:color w:val="000000" w:themeColor="text1"/>
          <w:sz w:val="16"/>
          <w:szCs w:val="16"/>
        </w:rPr>
      </w:pPr>
    </w:p>
    <w:p w14:paraId="1175E664"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27 июля 1942 в США введены ограничения на торговлю сладостями (4962).</w:t>
      </w:r>
    </w:p>
    <w:p w14:paraId="73144AFD" w14:textId="77777777" w:rsidR="00AE7191" w:rsidRPr="001E2C69" w:rsidRDefault="00AE7191" w:rsidP="00722885">
      <w:pPr>
        <w:pStyle w:val="Iauiue"/>
        <w:tabs>
          <w:tab w:val="left" w:pos="11199"/>
        </w:tabs>
        <w:jc w:val="both"/>
        <w:rPr>
          <w:color w:val="000000" w:themeColor="text1"/>
          <w:sz w:val="16"/>
          <w:szCs w:val="16"/>
        </w:rPr>
      </w:pPr>
    </w:p>
    <w:p w14:paraId="6C8DC2BE"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1574F687" w14:textId="77777777" w:rsidR="00AE7191" w:rsidRPr="001E2C69" w:rsidRDefault="00AE7191" w:rsidP="00722885">
      <w:pPr>
        <w:pStyle w:val="Iauiue"/>
        <w:jc w:val="both"/>
        <w:rPr>
          <w:iCs/>
          <w:color w:val="000000" w:themeColor="text1"/>
          <w:sz w:val="16"/>
          <w:szCs w:val="16"/>
        </w:rPr>
      </w:pPr>
    </w:p>
    <w:p w14:paraId="4322442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28 июля 1942 вышел отчет по гос. испытаниям самолета Ил-2 с АМ-38 в одноместном варианте, N 30341 завода 30 конструкции С.В.И.:</w:t>
      </w:r>
    </w:p>
    <w:p w14:paraId="149C6A7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Экипаж - 1</w:t>
      </w:r>
    </w:p>
    <w:p w14:paraId="4FAD7E8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Взл. мощность - 1600 нр</w:t>
      </w:r>
    </w:p>
    <w:p w14:paraId="4DDC8B7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Ном. мощность на высоте - 1500/1650</w:t>
      </w:r>
    </w:p>
    <w:p w14:paraId="20E010F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Вес пустого - 4348</w:t>
      </w:r>
    </w:p>
    <w:p w14:paraId="4EF7329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Полетный (норм./перегр.) - 5750/6950</w:t>
      </w:r>
    </w:p>
    <w:p w14:paraId="7C5D7FE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Пл. крыла - 38.5</w:t>
      </w:r>
    </w:p>
    <w:p w14:paraId="2A01D7E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Макс. скорость</w:t>
      </w:r>
    </w:p>
    <w:p w14:paraId="23C592B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у земли - 382</w:t>
      </w:r>
    </w:p>
    <w:p w14:paraId="6D9A345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на 2350 - 412</w:t>
      </w:r>
    </w:p>
    <w:p w14:paraId="4FD7FBB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Посадочная скорость - 134</w:t>
      </w:r>
    </w:p>
    <w:p w14:paraId="2BDFDE1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Время подъема на 4000 0:11.1</w:t>
      </w:r>
    </w:p>
    <w:p w14:paraId="4658E17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Практ. потолок - 6000</w:t>
      </w:r>
    </w:p>
    <w:p w14:paraId="5ACD7CE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Запас горючего - 535</w:t>
      </w:r>
    </w:p>
    <w:p w14:paraId="183D5D0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Дальность на 0.9 макс. на 200 м - 620</w:t>
      </w:r>
    </w:p>
    <w:p w14:paraId="05265E0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Разбег - 430</w:t>
      </w:r>
    </w:p>
    <w:p w14:paraId="2BF160B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Пробег - 425</w:t>
      </w:r>
    </w:p>
    <w:p w14:paraId="6618658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От старта до 25 м - 1125</w:t>
      </w:r>
    </w:p>
    <w:p w14:paraId="50FCFC4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Винт - ВИШ-22Т</w:t>
      </w:r>
    </w:p>
    <w:p w14:paraId="146848F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Вооружение:</w:t>
      </w:r>
    </w:p>
    <w:p w14:paraId="7FC4765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вперед - 2ШВАК с 500, 2ШКАС с 1500</w:t>
      </w:r>
    </w:p>
    <w:p w14:paraId="2EFCA11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Бомб норм. - 400</w:t>
      </w:r>
    </w:p>
    <w:p w14:paraId="2CBC3C0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Бомб в перегруз - 600</w:t>
      </w:r>
    </w:p>
    <w:p w14:paraId="4C57C87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8РС-82 (1785).</w:t>
      </w:r>
    </w:p>
    <w:p w14:paraId="5EB3251F" w14:textId="77777777" w:rsidR="00AE7191" w:rsidRPr="001E2C69" w:rsidRDefault="00AE7191" w:rsidP="00722885">
      <w:pPr>
        <w:pStyle w:val="Iauiue"/>
        <w:jc w:val="both"/>
        <w:rPr>
          <w:color w:val="000000" w:themeColor="text1"/>
          <w:sz w:val="16"/>
          <w:szCs w:val="16"/>
        </w:rPr>
      </w:pPr>
    </w:p>
    <w:p w14:paraId="19A3FB91" w14:textId="77777777" w:rsidR="000C324B" w:rsidRPr="001E2C69" w:rsidRDefault="000C324B" w:rsidP="00722885">
      <w:pPr>
        <w:spacing w:after="0" w:line="240" w:lineRule="auto"/>
        <w:jc w:val="both"/>
        <w:rPr>
          <w:rStyle w:val="Bodytext2NotItalic"/>
          <w:rFonts w:eastAsia="Calibri"/>
          <w:i w:val="0"/>
          <w:color w:val="000000" w:themeColor="text1"/>
          <w:sz w:val="16"/>
          <w:szCs w:val="16"/>
        </w:rPr>
      </w:pPr>
      <w:r w:rsidRPr="001E2C69">
        <w:rPr>
          <w:rStyle w:val="Bodytext2NotItalic"/>
          <w:rFonts w:eastAsia="Calibri"/>
          <w:i w:val="0"/>
          <w:color w:val="000000" w:themeColor="text1"/>
          <w:sz w:val="16"/>
          <w:szCs w:val="16"/>
        </w:rPr>
        <w:t>28 июля 1942 года в адрес руководства ГАБТУ КА было направлено письмо за подписями Волкова и Ярцева:</w:t>
      </w:r>
    </w:p>
    <w:p w14:paraId="42F6B355" w14:textId="77777777" w:rsidR="000C324B" w:rsidRPr="001E2C69" w:rsidRDefault="000C324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настоящее время в целях повышения бронепробиваемости немец</w:t>
      </w:r>
      <w:r w:rsidRPr="001E2C69">
        <w:rPr>
          <w:rFonts w:ascii="Times New Roman" w:hAnsi="Times New Roman"/>
          <w:color w:val="000000" w:themeColor="text1"/>
          <w:sz w:val="16"/>
          <w:szCs w:val="16"/>
        </w:rPr>
        <w:softHyphen/>
        <w:t>ких танков и бронемашин, по требованию командования Военно-воздуш</w:t>
      </w:r>
      <w:r w:rsidRPr="001E2C69">
        <w:rPr>
          <w:rFonts w:ascii="Times New Roman" w:hAnsi="Times New Roman"/>
          <w:color w:val="000000" w:themeColor="text1"/>
          <w:sz w:val="16"/>
          <w:szCs w:val="16"/>
        </w:rPr>
        <w:softHyphen/>
        <w:t>ных сил Красной Армии, нами разработана пушка «ВЯ» под 23-мм гильзу с нарезной частью канала ствола под штатную пулю калибра 14,5 мм, бронепробиваемостъ которой должна быть до 90 мм (благодаря большей начальной скорости пули).</w:t>
      </w:r>
    </w:p>
    <w:p w14:paraId="0D4A8C90" w14:textId="77777777" w:rsidR="000C324B" w:rsidRPr="001E2C69" w:rsidRDefault="000C324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Пушка ВЯ калибра 23 мм состоит на вооружении ВВС КЛ и изготов</w:t>
      </w:r>
      <w:r w:rsidRPr="001E2C69">
        <w:rPr>
          <w:rFonts w:ascii="Times New Roman" w:hAnsi="Times New Roman"/>
          <w:color w:val="000000" w:themeColor="text1"/>
          <w:sz w:val="16"/>
          <w:szCs w:val="16"/>
        </w:rPr>
        <w:softHyphen/>
        <w:t>ляется на заводах НКВ.</w:t>
      </w:r>
    </w:p>
    <w:p w14:paraId="7FFF2B21" w14:textId="77777777" w:rsidR="000C324B" w:rsidRPr="001E2C69" w:rsidRDefault="000C324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переходом на калибр 14,5 мм в пушке «ВЯ» калибра 23 мм меняется ствол и приемник, причем данные изменения можно ввести в детали на соответствующих переходах, что легко осуществить в развернутом про</w:t>
      </w:r>
      <w:r w:rsidRPr="001E2C69">
        <w:rPr>
          <w:rFonts w:ascii="Times New Roman" w:hAnsi="Times New Roman"/>
          <w:color w:val="000000" w:themeColor="text1"/>
          <w:sz w:val="16"/>
          <w:szCs w:val="16"/>
        </w:rPr>
        <w:softHyphen/>
        <w:t>изводстве.</w:t>
      </w:r>
    </w:p>
    <w:p w14:paraId="7B268161" w14:textId="77777777" w:rsidR="000C324B" w:rsidRPr="001E2C69" w:rsidRDefault="000C324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основании вышеизложенного считаем целесообразным установить в танк пушку «ВЯ» калибра 14,5 мм. По нашим предположениям, пушка «ВЯ» калибра 14,5мм может быть установлена в легкий танк.</w:t>
      </w:r>
    </w:p>
    <w:p w14:paraId="0F3E51C4" w14:textId="77777777" w:rsidR="000C324B" w:rsidRPr="001E2C69" w:rsidRDefault="000C324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Просим Вашего разрешения на опытную установку в танк пушки «ВЯ» калибра 14,5мм на одном из заводов танковой промышленности».</w:t>
      </w:r>
    </w:p>
    <w:p w14:paraId="64D3727D" w14:textId="77777777" w:rsidR="000C324B" w:rsidRPr="001E2C69" w:rsidRDefault="000C324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Данная инициатива так и не была воплощена в жизнь (17485).</w:t>
      </w:r>
    </w:p>
    <w:p w14:paraId="1EDC1EA5" w14:textId="77777777" w:rsidR="000C324B" w:rsidRPr="001E2C69" w:rsidRDefault="000C324B" w:rsidP="00722885">
      <w:pPr>
        <w:spacing w:after="0" w:line="240" w:lineRule="auto"/>
        <w:jc w:val="both"/>
        <w:rPr>
          <w:rFonts w:ascii="Times New Roman" w:hAnsi="Times New Roman"/>
          <w:color w:val="000000" w:themeColor="text1"/>
          <w:sz w:val="16"/>
          <w:szCs w:val="16"/>
        </w:rPr>
      </w:pPr>
    </w:p>
    <w:p w14:paraId="7D9075B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июля 1942 Незваль писал, «до сих пор не начались нормальные испытания ТБ-7 с М-82. Наблюдается тряска моторов, не достает охлаждения головок цилиндров. И, в то же время, нет возможности оперативно решать вопросы. Деталь, изготовляемая за 2-3 часа, по вине серийного завода, требует несколько дней». В августе, наконец, начались летные испытания, но их пришлось вскоре прекратить по причине сильной вибрации моторов. «...ЦАГИ реальной помощи по устранению вибраций не оказывает».</w:t>
      </w:r>
    </w:p>
    <w:p w14:paraId="2A01865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 все же, в своих воспоминаниях Незваль утверждает, что после успешных испытаний на дальность поздней осенью Пе-8 с М-82, этот вариант был одобрен и запущен в производство. В итоге, по словам Незваля, до конца года было выпущено два Пе-8 с М-82, три с М-30 и пятнадцать с АМ-35, что несколько противоречит официальным документам (12049).</w:t>
      </w:r>
    </w:p>
    <w:p w14:paraId="178A7CD0"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6888E92"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28 с июля 1942 г. башенную» ВУБ-1 (Б-270) под прозрачным колпаком с расширенным по сравнению с ФТ полем обстрела. Пулемет БТ-12,7 поворачивался влево на 110°, вправо на 88° и вверх на 55° стали ставить и в Иркутске на заводе № 39 (22828).</w:t>
      </w:r>
    </w:p>
    <w:p w14:paraId="4FD26927" w14:textId="77777777" w:rsidR="002E06F9" w:rsidRPr="001E2C69" w:rsidRDefault="002E06F9" w:rsidP="00722885">
      <w:pPr>
        <w:spacing w:after="0" w:line="240" w:lineRule="auto"/>
        <w:jc w:val="both"/>
        <w:rPr>
          <w:rFonts w:ascii="Times New Roman" w:hAnsi="Times New Roman"/>
          <w:color w:val="000000" w:themeColor="text1"/>
          <w:sz w:val="16"/>
          <w:szCs w:val="16"/>
        </w:rPr>
      </w:pPr>
    </w:p>
    <w:p w14:paraId="36E2F18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28 июля 1942 на гос. испытания поступил ПС-84 2М-62ИР серии 36 № 1843603 - военный впариант самолета, доработанный в соответствии с замечаниями НИИ ВВС, которые были отражены в Акте по результатам гос. испытаний ПС-84К(И) в 1940. Ви и-п/. В.М.Кокорин. Летал экипаж л В.В.Лисицына и ш ст.л А.И.Старых (3404, 8).</w:t>
      </w:r>
    </w:p>
    <w:p w14:paraId="3B59C50E" w14:textId="77777777" w:rsidR="00AE7191" w:rsidRPr="001E2C69" w:rsidRDefault="00AE7191" w:rsidP="00722885">
      <w:pPr>
        <w:pStyle w:val="Iauiue"/>
        <w:jc w:val="both"/>
        <w:rPr>
          <w:color w:val="000000" w:themeColor="text1"/>
          <w:sz w:val="16"/>
          <w:szCs w:val="16"/>
        </w:rPr>
      </w:pPr>
    </w:p>
    <w:p w14:paraId="29E5ED3C" w14:textId="77777777" w:rsidR="007D206F" w:rsidRPr="008A2E5A" w:rsidRDefault="007D206F" w:rsidP="007D206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июля 1942 ГИРТу (Костиков) и Наркомату авиационной промышленности (Шахурин) было поручено создание реактивного перехватчика 302 с выходом на летные испытания в марте 1943 года. 12 авгу</w:t>
      </w:r>
      <w:r w:rsidRPr="008A2E5A">
        <w:rPr>
          <w:rFonts w:ascii="Times New Roman" w:hAnsi="Times New Roman"/>
          <w:color w:val="0070C0"/>
          <w:sz w:val="16"/>
          <w:szCs w:val="16"/>
        </w:rPr>
        <w:softHyphen/>
        <w:t>ста для сборки опытных образцов перехватчика ГИРТу передан Московский авиазавод № 55. Менее чем за год предстояло соз</w:t>
      </w:r>
      <w:r w:rsidRPr="008A2E5A">
        <w:rPr>
          <w:rFonts w:ascii="Times New Roman" w:hAnsi="Times New Roman"/>
          <w:color w:val="0070C0"/>
          <w:sz w:val="16"/>
          <w:szCs w:val="16"/>
        </w:rPr>
        <w:softHyphen/>
        <w:t>дать реактивный самолет принципиально новой конструкции, оснащенный жидкостным двигателем с турбонасосной подачей топлива и прямоточными воздушно-реактивными двигателями.</w:t>
      </w:r>
    </w:p>
    <w:p w14:paraId="74CADB0E" w14:textId="77777777" w:rsidR="007D206F" w:rsidRPr="008A2E5A" w:rsidRDefault="007D206F" w:rsidP="007D206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предписанный срок вывести машину на испытания не удалось. Планер Поликарпова получился. Жидкостный двига</w:t>
      </w:r>
      <w:r w:rsidRPr="008A2E5A">
        <w:rPr>
          <w:rFonts w:ascii="Times New Roman" w:hAnsi="Times New Roman"/>
          <w:color w:val="0070C0"/>
          <w:sz w:val="16"/>
          <w:szCs w:val="16"/>
        </w:rPr>
        <w:softHyphen/>
        <w:t>тель Душкина был близок к завершению. Но с прямоточным двигателем Зуева возникла масса проблем. Спасая свое детище, Костиков обратился к Маленкову, отвечавшему в ЦК за авиаци</w:t>
      </w:r>
      <w:r w:rsidRPr="008A2E5A">
        <w:rPr>
          <w:rFonts w:ascii="Times New Roman" w:hAnsi="Times New Roman"/>
          <w:color w:val="0070C0"/>
          <w:sz w:val="16"/>
          <w:szCs w:val="16"/>
        </w:rPr>
        <w:softHyphen/>
        <w:t>онную промышленность, с просьбой разрешить сделать первые два летных экземпляра самолета без ПВРД и перенести срок ис</w:t>
      </w:r>
      <w:r w:rsidRPr="008A2E5A">
        <w:rPr>
          <w:rFonts w:ascii="Times New Roman" w:hAnsi="Times New Roman"/>
          <w:color w:val="0070C0"/>
          <w:sz w:val="16"/>
          <w:szCs w:val="16"/>
        </w:rPr>
        <w:softHyphen/>
        <w:t>пытаний. Неудача Костикова следовала за неудачей Болховитинова. Маленков решил не гневить Сталина и не докладывать ему.</w:t>
      </w:r>
    </w:p>
    <w:p w14:paraId="25429422" w14:textId="77777777" w:rsidR="007D206F" w:rsidRPr="008A2E5A" w:rsidRDefault="007D206F" w:rsidP="007D206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Устным указанием он разрешил Костикову продлить срок работы до конца года, наде</w:t>
      </w:r>
      <w:r w:rsidRPr="008A2E5A">
        <w:rPr>
          <w:rFonts w:ascii="Times New Roman" w:hAnsi="Times New Roman"/>
          <w:color w:val="0070C0"/>
          <w:sz w:val="16"/>
          <w:szCs w:val="16"/>
        </w:rPr>
        <w:softHyphen/>
        <w:t>ясь, что настойчивый и целеустремленный конструктор своего добьется, а успех все спишет. Самолету без ПВРД присвоили ин</w:t>
      </w:r>
      <w:r w:rsidRPr="008A2E5A">
        <w:rPr>
          <w:rFonts w:ascii="Times New Roman" w:hAnsi="Times New Roman"/>
          <w:color w:val="0070C0"/>
          <w:sz w:val="16"/>
          <w:szCs w:val="16"/>
        </w:rPr>
        <w:softHyphen/>
        <w:t>декс 302П (23510).</w:t>
      </w:r>
    </w:p>
    <w:p w14:paraId="0639B37F" w14:textId="77777777" w:rsidR="007D206F" w:rsidRPr="008A2E5A" w:rsidRDefault="007D206F" w:rsidP="007D206F">
      <w:pPr>
        <w:spacing w:after="0" w:line="240" w:lineRule="auto"/>
        <w:jc w:val="both"/>
        <w:rPr>
          <w:rFonts w:ascii="Times New Roman" w:hAnsi="Times New Roman"/>
          <w:color w:val="0070C0"/>
          <w:sz w:val="16"/>
          <w:szCs w:val="16"/>
        </w:rPr>
      </w:pPr>
    </w:p>
    <w:p w14:paraId="7DE9763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июля 1942 была предпринята следу</w:t>
      </w:r>
      <w:r w:rsidRPr="001E2C69">
        <w:rPr>
          <w:rFonts w:ascii="Times New Roman" w:hAnsi="Times New Roman"/>
          <w:color w:val="000000" w:themeColor="text1"/>
          <w:sz w:val="16"/>
          <w:szCs w:val="16"/>
        </w:rPr>
        <w:softHyphen/>
        <w:t>ющая попытка 50 часовых испытаний М-82Ф и на этот раз удалось снять высотную характеристику. На взлет</w:t>
      </w:r>
      <w:r w:rsidRPr="001E2C69">
        <w:rPr>
          <w:rFonts w:ascii="Times New Roman" w:hAnsi="Times New Roman"/>
          <w:color w:val="000000" w:themeColor="text1"/>
          <w:sz w:val="16"/>
          <w:szCs w:val="16"/>
        </w:rPr>
        <w:softHyphen/>
        <w:t>ном режиме при п=2500 об/мин (вме</w:t>
      </w:r>
      <w:r w:rsidRPr="001E2C69">
        <w:rPr>
          <w:rFonts w:ascii="Times New Roman" w:hAnsi="Times New Roman"/>
          <w:color w:val="000000" w:themeColor="text1"/>
          <w:sz w:val="16"/>
          <w:szCs w:val="16"/>
        </w:rPr>
        <w:softHyphen/>
        <w:t>сто 2400) и Рк=1200 мм (вместо 950 мм) мотор показал мощность 1855 л.с., но при постановке его на длительное испытание прогорел поршень цилин</w:t>
      </w:r>
      <w:r w:rsidRPr="001E2C69">
        <w:rPr>
          <w:rFonts w:ascii="Times New Roman" w:hAnsi="Times New Roman"/>
          <w:color w:val="000000" w:themeColor="text1"/>
          <w:sz w:val="16"/>
          <w:szCs w:val="16"/>
        </w:rPr>
        <w:softHyphen/>
        <w:t>дра №12. Еще через месяц - 28 ав</w:t>
      </w:r>
      <w:r w:rsidRPr="001E2C69">
        <w:rPr>
          <w:rFonts w:ascii="Times New Roman" w:hAnsi="Times New Roman"/>
          <w:color w:val="000000" w:themeColor="text1"/>
          <w:sz w:val="16"/>
          <w:szCs w:val="16"/>
        </w:rPr>
        <w:softHyphen/>
        <w:t>густа началось 50-часовое испытание следующего М-82Ф с усиленными вых</w:t>
      </w:r>
      <w:r w:rsidRPr="001E2C69">
        <w:rPr>
          <w:rFonts w:ascii="Times New Roman" w:hAnsi="Times New Roman"/>
          <w:color w:val="000000" w:themeColor="text1"/>
          <w:sz w:val="16"/>
          <w:szCs w:val="16"/>
        </w:rPr>
        <w:softHyphen/>
        <w:t>лопными клапанами, на этот раз мо</w:t>
      </w:r>
      <w:r w:rsidRPr="001E2C69">
        <w:rPr>
          <w:rFonts w:ascii="Times New Roman" w:hAnsi="Times New Roman"/>
          <w:color w:val="000000" w:themeColor="text1"/>
          <w:sz w:val="16"/>
          <w:szCs w:val="16"/>
        </w:rPr>
        <w:softHyphen/>
        <w:t>тор нормально наработал 43 ч 30 мин, после чего вышли из строя детали нагнетателя (10705).</w:t>
      </w:r>
    </w:p>
    <w:p w14:paraId="0068E47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5310690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28 июля 1942 года вышел приказ НКАП № 565-с во исполнение постановления ГОКО № 2107 от 26 июля 1942 года, в соответствии с которыми в октябре 1942 года </w:t>
      </w:r>
      <w:r w:rsidRPr="001E2C69">
        <w:rPr>
          <w:color w:val="000000" w:themeColor="text1"/>
          <w:sz w:val="16"/>
          <w:szCs w:val="16"/>
        </w:rPr>
        <w:lastRenderedPageBreak/>
        <w:t>на основании на базе местного сырья (известняка) был основан завод № 57.</w:t>
      </w:r>
    </w:p>
    <w:p w14:paraId="379A81F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Расположен завод в черте Куйбышева.</w:t>
      </w:r>
    </w:p>
    <w:p w14:paraId="3D79E1F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Директор – Травников</w:t>
      </w:r>
    </w:p>
    <w:p w14:paraId="07DD86E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Адрес: Куйбышев, ст. Безымянка, Кировский район, Кировское шоссе, расстояние до города 20 км, расстояние до ж/д станции 5 км</w:t>
      </w:r>
    </w:p>
    <w:p w14:paraId="588D608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Производственный профиль – основная продукция карбид кальция</w:t>
      </w:r>
    </w:p>
    <w:p w14:paraId="42BBEFC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Строительство его было начато в августе 1942 года, введен в эксплуатацию 2 октября 1942 года для выпуска карбида кальция (9836).</w:t>
      </w:r>
    </w:p>
    <w:p w14:paraId="3EE9B679" w14:textId="77777777" w:rsidR="00AE7191" w:rsidRPr="001E2C69" w:rsidRDefault="00AE7191" w:rsidP="00722885">
      <w:pPr>
        <w:pStyle w:val="Iauiue"/>
        <w:jc w:val="both"/>
        <w:rPr>
          <w:color w:val="000000" w:themeColor="text1"/>
          <w:sz w:val="16"/>
          <w:szCs w:val="16"/>
        </w:rPr>
      </w:pPr>
    </w:p>
    <w:p w14:paraId="270A275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июля 1942 вышло Постановление ГКО № 2116 О мерах по улучшению руководства куйбышевскими авиационными заводами. РГАНИР, Фонд ГКО, д. 48, лл. 120-120об (11012).</w:t>
      </w:r>
    </w:p>
    <w:p w14:paraId="4B94C15F" w14:textId="77777777" w:rsidR="00B52727" w:rsidRPr="001E2C69" w:rsidRDefault="00B5272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июля 1942 вышло Постановление ГКО № 2116 О мерах по улучшению руководства куйбышевскими авиационными заводами</w:t>
      </w:r>
    </w:p>
    <w:p w14:paraId="24CB4842" w14:textId="77777777" w:rsidR="00B52727" w:rsidRPr="001E2C69" w:rsidRDefault="00B5272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целях усиления руководства куйбышевскими авиационными заводами, Государственный Комитет Обороны постановляет:</w:t>
      </w:r>
    </w:p>
    <w:p w14:paraId="259FD14A" w14:textId="77777777" w:rsidR="00B52727" w:rsidRPr="001E2C69" w:rsidRDefault="00B52727" w:rsidP="00722885">
      <w:pPr>
        <w:tabs>
          <w:tab w:val="left" w:pos="111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Возложить на первого заместителя наркома авиационной промышленности тов.Дементьева непосредственную ответственность за работу всех куйбышевских авиационных заводов, подчинив ему ныне существующее в г.Куйбышеве Управление куйбышевскими авиа</w:t>
      </w:r>
      <w:r w:rsidRPr="001E2C69">
        <w:rPr>
          <w:rFonts w:ascii="Times New Roman" w:hAnsi="Times New Roman"/>
          <w:color w:val="000000" w:themeColor="text1"/>
          <w:sz w:val="16"/>
          <w:szCs w:val="16"/>
        </w:rPr>
        <w:softHyphen/>
        <w:t>ционными эаводами и обяэав его находиться в Куйбышеве не менее 10 дней в месяц.</w:t>
      </w:r>
    </w:p>
    <w:p w14:paraId="7F2CB808" w14:textId="77777777" w:rsidR="00B52727" w:rsidRPr="001E2C69" w:rsidRDefault="00B52727" w:rsidP="00722885">
      <w:pPr>
        <w:tabs>
          <w:tab w:val="left" w:pos="1103"/>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Обязать тов.Дементьева при разрешении вопросов по куй</w:t>
      </w:r>
      <w:r w:rsidRPr="001E2C69">
        <w:rPr>
          <w:rFonts w:ascii="Times New Roman" w:hAnsi="Times New Roman"/>
          <w:color w:val="000000" w:themeColor="text1"/>
          <w:sz w:val="16"/>
          <w:szCs w:val="16"/>
        </w:rPr>
        <w:softHyphen/>
        <w:t>бышевским авиационным заводам всемерно использовать аппарат главных управлений НКАП.</w:t>
      </w:r>
    </w:p>
    <w:p w14:paraId="719CF4ED" w14:textId="77777777" w:rsidR="00B52727" w:rsidRPr="001E2C69" w:rsidRDefault="00B52727" w:rsidP="00722885">
      <w:pPr>
        <w:tabs>
          <w:tab w:val="left" w:pos="1088"/>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Установить, что куйбышевские заводы остаются подотчет</w:t>
      </w:r>
      <w:r w:rsidRPr="001E2C69">
        <w:rPr>
          <w:rFonts w:ascii="Times New Roman" w:hAnsi="Times New Roman"/>
          <w:color w:val="000000" w:themeColor="text1"/>
          <w:sz w:val="16"/>
          <w:szCs w:val="16"/>
        </w:rPr>
        <w:softHyphen/>
        <w:t>ными соответствующим главным управлениям, а главные управления ответственными за работу куйбышевских" заводов.</w:t>
      </w:r>
    </w:p>
    <w:p w14:paraId="2D6D2933" w14:textId="77777777" w:rsidR="00B52727" w:rsidRPr="001E2C69" w:rsidRDefault="00B52727" w:rsidP="00722885">
      <w:pPr>
        <w:tabs>
          <w:tab w:val="left" w:pos="1103"/>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Возложить на управление куйбышевскими авиационными заводами выполнение следующих задач:</w:t>
      </w:r>
    </w:p>
    <w:p w14:paraId="4FD2622B" w14:textId="77777777" w:rsidR="00B52727" w:rsidRPr="001E2C69" w:rsidRDefault="00B5272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контроль и обеспечение выполнения заводами производствен</w:t>
      </w:r>
      <w:r w:rsidRPr="001E2C69">
        <w:rPr>
          <w:rFonts w:ascii="Times New Roman" w:hAnsi="Times New Roman"/>
          <w:color w:val="000000" w:themeColor="text1"/>
          <w:sz w:val="16"/>
          <w:szCs w:val="16"/>
        </w:rPr>
        <w:softHyphen/>
        <w:t>ной программы;</w:t>
      </w:r>
    </w:p>
    <w:p w14:paraId="550CE0E3" w14:textId="77777777" w:rsidR="00B52727" w:rsidRPr="001E2C69" w:rsidRDefault="00B5272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выявление и полное использование мощностей заводов, осуще</w:t>
      </w:r>
      <w:r w:rsidRPr="001E2C69">
        <w:rPr>
          <w:rFonts w:ascii="Times New Roman" w:hAnsi="Times New Roman"/>
          <w:color w:val="000000" w:themeColor="text1"/>
          <w:sz w:val="16"/>
          <w:szCs w:val="16"/>
        </w:rPr>
        <w:softHyphen/>
        <w:t>ствление межзаводской и внешней кооперации, контроль за соблю</w:t>
      </w:r>
      <w:r w:rsidRPr="001E2C69">
        <w:rPr>
          <w:rFonts w:ascii="Times New Roman" w:hAnsi="Times New Roman"/>
          <w:color w:val="000000" w:themeColor="text1"/>
          <w:sz w:val="16"/>
          <w:szCs w:val="16"/>
        </w:rPr>
        <w:softHyphen/>
        <w:t>дением технологической дисциплины и обеспечение качества выпус</w:t>
      </w:r>
      <w:r w:rsidRPr="001E2C69">
        <w:rPr>
          <w:rFonts w:ascii="Times New Roman" w:hAnsi="Times New Roman"/>
          <w:color w:val="000000" w:themeColor="text1"/>
          <w:sz w:val="16"/>
          <w:szCs w:val="16"/>
        </w:rPr>
        <w:softHyphen/>
        <w:t>каемой продукции;</w:t>
      </w:r>
    </w:p>
    <w:p w14:paraId="6A1C596D" w14:textId="77777777" w:rsidR="00B52727" w:rsidRPr="001E2C69" w:rsidRDefault="00B5272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контроль за капитальным строительством, реализацией заво</w:t>
      </w:r>
      <w:r w:rsidRPr="001E2C69">
        <w:rPr>
          <w:rFonts w:ascii="Times New Roman" w:hAnsi="Times New Roman"/>
          <w:color w:val="000000" w:themeColor="text1"/>
          <w:sz w:val="16"/>
          <w:szCs w:val="16"/>
        </w:rPr>
        <w:softHyphen/>
        <w:t>дами фондов на материалы, сырье и создание дополнительных баз снабжения;</w:t>
      </w:r>
    </w:p>
    <w:p w14:paraId="5C9F9931" w14:textId="77777777" w:rsidR="00B52727" w:rsidRPr="001E2C69" w:rsidRDefault="00B5272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комплектование рабочей силой, подготовка кадров,контроль за производственной дисциплиной, социально-бытовое и санитарно- медицинское обслуживание рабочих.</w:t>
      </w:r>
    </w:p>
    <w:p w14:paraId="71C4CA89" w14:textId="77777777" w:rsidR="00B52727" w:rsidRPr="001E2C69" w:rsidRDefault="00B52727" w:rsidP="00722885">
      <w:pPr>
        <w:tabs>
          <w:tab w:val="left" w:pos="1103"/>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Обязать Управление куйбышевскими авиационными заводами НКАП и т.Дементьева:</w:t>
      </w:r>
    </w:p>
    <w:p w14:paraId="259ACC87" w14:textId="77777777" w:rsidR="00B52727" w:rsidRPr="001E2C69" w:rsidRDefault="00B52727" w:rsidP="00722885">
      <w:pPr>
        <w:tabs>
          <w:tab w:val="left" w:pos="111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а) уже в августе месяце добиться коренного улучшения в деле полного использования оборудования на заводах №№ </w:t>
      </w:r>
      <w:r w:rsidRPr="001E2C69">
        <w:rPr>
          <w:rStyle w:val="0pt"/>
          <w:rFonts w:ascii="Times New Roman" w:hAnsi="Times New Roman" w:cs="Times New Roman"/>
          <w:color w:val="000000" w:themeColor="text1"/>
          <w:spacing w:val="0"/>
          <w:sz w:val="16"/>
          <w:szCs w:val="16"/>
        </w:rPr>
        <w:t>1,18, 24 и 35;</w:t>
      </w:r>
    </w:p>
    <w:p w14:paraId="3EA51A1B" w14:textId="77777777" w:rsidR="00B52727" w:rsidRPr="001E2C69" w:rsidRDefault="00B52727" w:rsidP="00722885">
      <w:pPr>
        <w:tabs>
          <w:tab w:val="left" w:pos="1118"/>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организовать внутреннюю кооперацию между всеми куйбы</w:t>
      </w:r>
      <w:r w:rsidRPr="001E2C69">
        <w:rPr>
          <w:rFonts w:ascii="Times New Roman" w:hAnsi="Times New Roman"/>
          <w:color w:val="000000" w:themeColor="text1"/>
          <w:sz w:val="16"/>
          <w:szCs w:val="16"/>
        </w:rPr>
        <w:softHyphen/>
        <w:t>шевскими авиазаводами.</w:t>
      </w:r>
    </w:p>
    <w:p w14:paraId="5EE74716" w14:textId="77777777" w:rsidR="00B52727" w:rsidRPr="001E2C69" w:rsidRDefault="00B5272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Обяэать Наркомавиапром т.Шахурина и т.Дементьева в 5-дневный срок укомплектовать аппарат управления квалифицированными работниками, командировав немедленно в г.Куйбышев 15 человек ответственных работников наркомата, в том числе: т.Фофонова-вам.главного инженера 3 главного управления,т.Крюч</w:t>
      </w:r>
      <w:r w:rsidRPr="001E2C69">
        <w:rPr>
          <w:rFonts w:ascii="Times New Roman" w:hAnsi="Times New Roman"/>
          <w:color w:val="000000" w:themeColor="text1"/>
          <w:sz w:val="16"/>
          <w:szCs w:val="16"/>
        </w:rPr>
        <w:softHyphen/>
        <w:t>кова- начальника группы мощностей НКАП, т.Карпова-быв.директора т.Беднякова-начальника отдела транспортного управления НКАП, т.Зорина-эам.начальника 1 главка.</w:t>
      </w:r>
    </w:p>
    <w:p w14:paraId="153E8260" w14:textId="77777777" w:rsidR="00B52727" w:rsidRPr="001E2C69" w:rsidRDefault="00B52727" w:rsidP="00722885">
      <w:pPr>
        <w:tabs>
          <w:tab w:val="left" w:pos="1103"/>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Обязать тов.Дементьева к 20 августа с.г. доло</w:t>
      </w:r>
      <w:r w:rsidRPr="001E2C69">
        <w:rPr>
          <w:rFonts w:ascii="Times New Roman" w:hAnsi="Times New Roman"/>
          <w:color w:val="000000" w:themeColor="text1"/>
          <w:sz w:val="16"/>
          <w:szCs w:val="16"/>
        </w:rPr>
        <w:softHyphen/>
        <w:t>жить Государственному Комитету Обороны о принятых им ме</w:t>
      </w:r>
      <w:r w:rsidRPr="001E2C69">
        <w:rPr>
          <w:rFonts w:ascii="Times New Roman" w:hAnsi="Times New Roman"/>
          <w:color w:val="000000" w:themeColor="text1"/>
          <w:sz w:val="16"/>
          <w:szCs w:val="16"/>
        </w:rPr>
        <w:softHyphen/>
        <w:t>рах по улучшению работы куйбышевских авиационных заводов (10352).</w:t>
      </w:r>
    </w:p>
    <w:p w14:paraId="1A1C6509" w14:textId="77777777" w:rsidR="0044627C" w:rsidRPr="001E2C69" w:rsidRDefault="0044627C" w:rsidP="00722885">
      <w:pPr>
        <w:spacing w:after="0" w:line="240" w:lineRule="auto"/>
        <w:jc w:val="both"/>
        <w:rPr>
          <w:rFonts w:ascii="Times New Roman" w:hAnsi="Times New Roman"/>
          <w:color w:val="000000" w:themeColor="text1"/>
          <w:sz w:val="16"/>
          <w:szCs w:val="16"/>
        </w:rPr>
      </w:pPr>
    </w:p>
    <w:p w14:paraId="4E5CBAAC"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56723F5C" w14:textId="77777777" w:rsidR="00AE7191" w:rsidRPr="001E2C69" w:rsidRDefault="00AE7191" w:rsidP="00722885">
      <w:pPr>
        <w:pStyle w:val="Iauiue"/>
        <w:jc w:val="both"/>
        <w:rPr>
          <w:iCs/>
          <w:color w:val="000000" w:themeColor="text1"/>
          <w:sz w:val="16"/>
          <w:szCs w:val="16"/>
        </w:rPr>
      </w:pPr>
    </w:p>
    <w:p w14:paraId="77F5955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июля 1942 г. директор издал приказ о начале работы завода (Завод № 577 НКБ, п/я 5, ФГУП «Соликамский завод «Урал» Росбоеприпаса /г. Соликамск п/я 5 «Искра» (1943 г.)/ /618554  г. Соликамск-14 Пермской обл. тел. 30-007/); 8.08.1942 г. завод пущен в эксплуатацию, этот день стал днем рождения. К этому времени были построены здания нитрации, стабилизации, хранилище кислот, нитроузел, производства пороховой массы и трубчатых порохов. 6.12.1942 г. вышло постановление ГКО № 2583 об увеличении мощности завода по производству нитроглицериновых порохов. В начале 1943 г. сдан комплекс мастерских по производству коллоксилина. Проектная мощность на 1.01.1943 г.- 650 т пороха в месяц. 21.04.1943 г. вышло постановление ГКО № 3216 о мероприятиях по обеспечению строительства 2-й очереди завода. Приказом НКБ № 1054с от 15.11.1943 г. заводу предписано ввести в строй коллоксилиновое производство с выпуском в 11.1943 г. 200 т коллоксилина, для этого с других заводов НКБ на завод переведено 4 специалиста. К началу 1944 г. завод вышел на проектную мощность в 1100 т в месяц. За годы войны выпущено зарядов: 2655, 6 тыс. для М-13 «Катюша», 192,6 тыс. к 100-мм пушке, 11.871,5 тыс. к 82-мм миномету, 1592,4 тыс. для 120-мм миномета.</w:t>
      </w:r>
    </w:p>
    <w:p w14:paraId="236E500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12.1942-11.1943 г. -в ведении ЗГУ НКБ. Имел обозначение «п/я 5» (1943 г.).</w:t>
      </w:r>
    </w:p>
    <w:p w14:paraId="5A00929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завода цехи (1943 г.): основные: № 1 кислотный, № 2 минометных порохов, № 3 коллоксилиновый, № 4 пороховой, № 5 зарядный; вспомогательные: полигон, ЦЗЛ, ремонтно-механический № 7, электроцех, паросиловой, тарная мастерская.</w:t>
      </w:r>
    </w:p>
    <w:p w14:paraId="63040B8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войны завод наращивал производственные мощности, освоено производство новых видов порохов и зарядов- к пушке 2А28, минометам 82БМ, 120ПМ, 160-мм и 240-мм минометам. В 1960-е-70-е  г. значительно увеличена номенклатура выпускаемых изделий, освоена более безопасная технология производства порохов; построены новые производства: зарядов для РСЗО «Град», крупнейшее в стране производство сферических порохов для стрелкового оружия; зарядов для катапультных кресел. В конце 1980-х  г. освоен выпуск зарядов для САУ «Мета». К 1992 г. завод стал одним из крупнейших в СССР: выпускал около 40% порохов и зарядов. В 1990- е  г. получило развитие производство гражданской продукции - резинотехнических изделий и лакокрасочной продукции.</w:t>
      </w:r>
    </w:p>
    <w:p w14:paraId="2D3B637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5A634D6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(1943 г.): производственная- 35645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вспомогательная- 11058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2E9E4B3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(1.01.1945 г.)- 2978 чел.</w:t>
      </w:r>
    </w:p>
    <w:p w14:paraId="09B7E65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(09.1941-42 г.)- В.В. Мейпариани, (11.1942-04.1943 г.-)- С.С. Качалов. Начальник (-10.1943-44 г.-&gt; С.С. Качалов. Директор (1946-48 г.)- В.Я. Кайда, (1948-59 г.)- Н.Н. Григорьев, (1959-60 г.)- А.Н. Соколов, (1960- 63 г.)- С.И. Гришин, (1963-68 Г.)- Л.Л. Гиндин, (1968-88 г.)-  Г.М. Даниличев, (1988-2005 г.-&gt; А.И. Пашков.</w:t>
      </w:r>
      <w:r w:rsidRPr="001E2C69">
        <w:rPr>
          <w:rFonts w:ascii="Times New Roman" w:hAnsi="Times New Roman"/>
          <w:color w:val="000000" w:themeColor="text1"/>
          <w:sz w:val="16"/>
          <w:szCs w:val="16"/>
          <w:vertAlign w:val="superscript"/>
        </w:rPr>
        <w:t>101</w:t>
      </w:r>
    </w:p>
    <w:p w14:paraId="6F0CEA1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(09.1941 г.-)- Н.П. Потапов, (04.1943 г.)- И.Д. Козловский, (10.1943 г.)- Артюшенко.</w:t>
      </w:r>
    </w:p>
    <w:p w14:paraId="5D7CE3D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технологи: (1941 г.-)- И.А. Батайский, (1941 г.-)- Н.И. Икоников.</w:t>
      </w:r>
    </w:p>
    <w:p w14:paraId="1B3EBD5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производства: № 3 (ВОВ)- Н.В. Россомагин; № 4 (ВОВ)- И.И. Шатохин, (ВОВ)- Ф.Я. Грищенко; № 5 (ВОВ)- О.П. Алещенко; нитроузла (ВОВ)- Н.А. Кравченко.</w:t>
      </w:r>
    </w:p>
    <w:p w14:paraId="50F2E94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лабораторий: ЦЗЛ (ВОВ)- М. Г. Шарабрина.</w:t>
      </w:r>
      <w:r w:rsidRPr="001E2C69">
        <w:rPr>
          <w:rFonts w:ascii="Times New Roman" w:hAnsi="Times New Roman"/>
          <w:color w:val="000000" w:themeColor="text1"/>
          <w:sz w:val="16"/>
          <w:szCs w:val="16"/>
          <w:vertAlign w:val="superscript"/>
        </w:rPr>
        <w:t>55</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vertAlign w:val="superscript"/>
        </w:rPr>
        <w:t>56</w:t>
      </w:r>
    </w:p>
    <w:p w14:paraId="11EC42D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заряды для М-13, минометов 82-мм, 120-мм; порох ленточка, коллксилин (1943) (11982).</w:t>
      </w:r>
    </w:p>
    <w:p w14:paraId="2FCD7AEA"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8F1350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28 июля 1942 года директором завода № 529 был Аристов (9265).</w:t>
      </w:r>
    </w:p>
    <w:p w14:paraId="588D2FF4" w14:textId="77777777" w:rsidR="00AE7191" w:rsidRPr="001E2C69" w:rsidRDefault="00AE7191" w:rsidP="00722885">
      <w:pPr>
        <w:pStyle w:val="Iauiue"/>
        <w:jc w:val="both"/>
        <w:rPr>
          <w:color w:val="000000" w:themeColor="text1"/>
          <w:sz w:val="16"/>
          <w:szCs w:val="16"/>
        </w:rPr>
      </w:pPr>
    </w:p>
    <w:p w14:paraId="3B7583C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июля 1942 г. Постановле</w:t>
      </w:r>
      <w:r w:rsidRPr="001E2C69">
        <w:rPr>
          <w:rFonts w:ascii="Times New Roman" w:hAnsi="Times New Roman"/>
          <w:color w:val="000000" w:themeColor="text1"/>
          <w:sz w:val="16"/>
          <w:szCs w:val="16"/>
        </w:rPr>
        <w:softHyphen/>
        <w:t>нием ГКО директору УЗТМ Б.Г. Музрукову было по</w:t>
      </w:r>
      <w:r w:rsidRPr="001E2C69">
        <w:rPr>
          <w:rFonts w:ascii="Times New Roman" w:hAnsi="Times New Roman"/>
          <w:color w:val="000000" w:themeColor="text1"/>
          <w:sz w:val="16"/>
          <w:szCs w:val="16"/>
        </w:rPr>
        <w:softHyphen/>
        <w:t>ручено организовать производство уже всего танка Т-34. Начиная с сен</w:t>
      </w:r>
      <w:r w:rsidRPr="001E2C69">
        <w:rPr>
          <w:rFonts w:ascii="Times New Roman" w:hAnsi="Times New Roman"/>
          <w:color w:val="000000" w:themeColor="text1"/>
          <w:sz w:val="16"/>
          <w:szCs w:val="16"/>
        </w:rPr>
        <w:softHyphen/>
        <w:t>тября 1942 г., на УЗТМ начался серийный выпуск средних танков. При освоении серийного производства танка Т-34 из-за расширения номен</w:t>
      </w:r>
      <w:r w:rsidRPr="001E2C69">
        <w:rPr>
          <w:rFonts w:ascii="Times New Roman" w:hAnsi="Times New Roman"/>
          <w:color w:val="000000" w:themeColor="text1"/>
          <w:sz w:val="16"/>
          <w:szCs w:val="16"/>
        </w:rPr>
        <w:softHyphen/>
        <w:t>клатуры литых деталей, на УЗТМ возникла проблема по увеличению программы выпуска литых башен. Литейные цеха не могли уже обеспе</w:t>
      </w:r>
      <w:r w:rsidRPr="001E2C69">
        <w:rPr>
          <w:rFonts w:ascii="Times New Roman" w:hAnsi="Times New Roman"/>
          <w:color w:val="000000" w:themeColor="text1"/>
          <w:sz w:val="16"/>
          <w:szCs w:val="16"/>
        </w:rPr>
        <w:softHyphen/>
        <w:t>чить программу выпуска танков. В соответствии с решением директора завода конструктором И.Ф. Вахрушевым и технологом В.С. Ананьевым была разработана конструкция штампованной башни. Для ее изготов</w:t>
      </w:r>
      <w:r w:rsidRPr="001E2C69">
        <w:rPr>
          <w:rFonts w:ascii="Times New Roman" w:hAnsi="Times New Roman"/>
          <w:color w:val="000000" w:themeColor="text1"/>
          <w:sz w:val="16"/>
          <w:szCs w:val="16"/>
        </w:rPr>
        <w:softHyphen/>
        <w:t>ления были задействованы свободные мощности десятитысячетонного пресса. С октября 1942 г. по март 1944 г. на УЗТМ было изготовлено 2670 штампованных башен. Причем качество этих башен, изготовлен</w:t>
      </w:r>
      <w:r w:rsidRPr="001E2C69">
        <w:rPr>
          <w:rFonts w:ascii="Times New Roman" w:hAnsi="Times New Roman"/>
          <w:color w:val="000000" w:themeColor="text1"/>
          <w:sz w:val="16"/>
          <w:szCs w:val="16"/>
        </w:rPr>
        <w:softHyphen/>
        <w:t>ных из брони толщиной 45 мм, не уступало качеству литых башен, имевших толщину 52 мм. По бронестойкости качество штампованных башен было даже несколько выше, чем литых (10703).</w:t>
      </w:r>
    </w:p>
    <w:p w14:paraId="264D1E7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7797A04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28 июля 1942 года постановлением ГОКО №2120 Уралмашзаводу поручили организовать производство уже всего танка Т-34. Танки "Уралмаш" выпускал недолго - до августа 1943 года. Затем это предприятие стало основным по выпуску САУ на базе Т-34 (3862).</w:t>
      </w:r>
    </w:p>
    <w:p w14:paraId="0EEC180A" w14:textId="77777777" w:rsidR="00AE7191" w:rsidRPr="001E2C69" w:rsidRDefault="00AE7191" w:rsidP="00722885">
      <w:pPr>
        <w:pStyle w:val="Iauiue"/>
        <w:jc w:val="both"/>
        <w:rPr>
          <w:color w:val="000000" w:themeColor="text1"/>
          <w:sz w:val="16"/>
          <w:szCs w:val="16"/>
        </w:rPr>
      </w:pPr>
    </w:p>
    <w:p w14:paraId="1262E81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июля 1942 г. распо</w:t>
      </w:r>
      <w:r w:rsidRPr="001E2C69">
        <w:rPr>
          <w:rFonts w:ascii="Times New Roman" w:hAnsi="Times New Roman"/>
          <w:color w:val="000000" w:themeColor="text1"/>
          <w:sz w:val="16"/>
          <w:szCs w:val="16"/>
        </w:rPr>
        <w:softHyphen/>
        <w:t>ряжением ГКО № 2120 к производству Т-34 бьши подключены Уральский завод тяжелого маши</w:t>
      </w:r>
      <w:r w:rsidRPr="001E2C69">
        <w:rPr>
          <w:rFonts w:ascii="Times New Roman" w:hAnsi="Times New Roman"/>
          <w:color w:val="000000" w:themeColor="text1"/>
          <w:sz w:val="16"/>
          <w:szCs w:val="16"/>
        </w:rPr>
        <w:softHyphen/>
        <w:t>ностроения («Уралмаш»), до того выпускавший лишь бро-некорпуса и башни танков Т-34 и КВ, а также был спешно переориентирован на выпуск Т-34 Омский завод № 174, за</w:t>
      </w:r>
      <w:r w:rsidRPr="001E2C69">
        <w:rPr>
          <w:rFonts w:ascii="Times New Roman" w:hAnsi="Times New Roman"/>
          <w:color w:val="000000" w:themeColor="text1"/>
          <w:sz w:val="16"/>
          <w:szCs w:val="16"/>
        </w:rPr>
        <w:softHyphen/>
        <w:t>вершавший пусконаладочные работы конвейера для вы</w:t>
      </w:r>
      <w:r w:rsidRPr="001E2C69">
        <w:rPr>
          <w:rFonts w:ascii="Times New Roman" w:hAnsi="Times New Roman"/>
          <w:color w:val="000000" w:themeColor="text1"/>
          <w:sz w:val="16"/>
          <w:szCs w:val="16"/>
        </w:rPr>
        <w:softHyphen/>
        <w:t>пуска Т-50. А поскольку оба эти предприятия не имели опыта выпуска средних танков (первый - вообще не имел опыта производства танков), то приказом по НКТП вре</w:t>
      </w:r>
      <w:r w:rsidRPr="001E2C69">
        <w:rPr>
          <w:rFonts w:ascii="Times New Roman" w:hAnsi="Times New Roman"/>
          <w:color w:val="000000" w:themeColor="text1"/>
          <w:sz w:val="16"/>
          <w:szCs w:val="16"/>
        </w:rPr>
        <w:softHyphen/>
        <w:t>менно, вплоть до особого распоряжения, на выпуск танков Т-34 был ориентирован также Челябинский Кировский за</w:t>
      </w:r>
      <w:r w:rsidRPr="001E2C69">
        <w:rPr>
          <w:rFonts w:ascii="Times New Roman" w:hAnsi="Times New Roman"/>
          <w:color w:val="000000" w:themeColor="text1"/>
          <w:sz w:val="16"/>
          <w:szCs w:val="16"/>
        </w:rPr>
        <w:softHyphen/>
        <w:t>вод («Танкоград»). Все указанные предприятия должны были выдать первые Т-34 1 октября. В тех условиях это было единственно верное решение, позволившее не только сохранить высокий темп выпуска,' но и увеличить процентное содержание средних танков в бронетанковых войсках Советского Союза. УЗТМ был подключен к выпуску Т-34 еще 31 октября 1941 г., но до марта 1942 г. завод выдавал только раскрой броневых листов Т-34, который отправлялся заводам-изго</w:t>
      </w:r>
      <w:r w:rsidRPr="001E2C69">
        <w:rPr>
          <w:rFonts w:ascii="Times New Roman" w:hAnsi="Times New Roman"/>
          <w:color w:val="000000" w:themeColor="text1"/>
          <w:sz w:val="16"/>
          <w:szCs w:val="16"/>
        </w:rPr>
        <w:softHyphen/>
        <w:t>товителям в Нижний Тагил, Сталинград и Горький. 21 мар</w:t>
      </w:r>
      <w:r w:rsidRPr="001E2C69">
        <w:rPr>
          <w:rFonts w:ascii="Times New Roman" w:hAnsi="Times New Roman"/>
          <w:color w:val="000000" w:themeColor="text1"/>
          <w:sz w:val="16"/>
          <w:szCs w:val="16"/>
        </w:rPr>
        <w:softHyphen/>
        <w:t>та 1942 г. завод получил от Наркомата полные чертежи кор</w:t>
      </w:r>
      <w:r w:rsidRPr="001E2C69">
        <w:rPr>
          <w:rFonts w:ascii="Times New Roman" w:hAnsi="Times New Roman"/>
          <w:color w:val="000000" w:themeColor="text1"/>
          <w:sz w:val="16"/>
          <w:szCs w:val="16"/>
        </w:rPr>
        <w:softHyphen/>
        <w:t>пусов и башен среднего танка и в апреле выдал первые комплектные бронекорпуса Т-34, которые поступили на УТЗ. В марте перестроенные литейные цеха завода начали осва</w:t>
      </w:r>
      <w:r w:rsidRPr="001E2C69">
        <w:rPr>
          <w:rFonts w:ascii="Times New Roman" w:hAnsi="Times New Roman"/>
          <w:color w:val="000000" w:themeColor="text1"/>
          <w:sz w:val="16"/>
          <w:szCs w:val="16"/>
        </w:rPr>
        <w:softHyphen/>
        <w:t xml:space="preserve">ивать литье башен танков Т-34 и КВ. Распоряжение ГКО № 2120 поставило </w:t>
      </w:r>
      <w:r w:rsidRPr="001E2C69">
        <w:rPr>
          <w:rFonts w:ascii="Times New Roman" w:hAnsi="Times New Roman"/>
          <w:color w:val="000000" w:themeColor="text1"/>
          <w:sz w:val="16"/>
          <w:szCs w:val="16"/>
        </w:rPr>
        <w:lastRenderedPageBreak/>
        <w:t>завод в сложные условия. Он должен был, не снижая программы отгрузки корпусов и башен Т-34, выдавать до конца 1942 г. не менее 50 Т-34 ежемесячно. Был увеличен объем литья башен и для ЧКЗ, который также начал работы по освоению выпуска Т-34. Таким образом, программа выпуска башен на УЗТМ увеличилась более чем вдвое. Литейные цеха «Уралмаша» на</w:t>
      </w:r>
      <w:r w:rsidRPr="001E2C69">
        <w:rPr>
          <w:rFonts w:ascii="Times New Roman" w:hAnsi="Times New Roman"/>
          <w:color w:val="000000" w:themeColor="text1"/>
          <w:sz w:val="16"/>
          <w:szCs w:val="16"/>
        </w:rPr>
        <w:softHyphen/>
        <w:t>чали задыхаться, не справляясь с такой программой башен</w:t>
      </w:r>
      <w:r w:rsidRPr="001E2C69">
        <w:rPr>
          <w:rFonts w:ascii="Times New Roman" w:hAnsi="Times New Roman"/>
          <w:color w:val="000000" w:themeColor="text1"/>
          <w:sz w:val="16"/>
          <w:szCs w:val="16"/>
        </w:rPr>
        <w:softHyphen/>
        <w:t>ного производства. Стала сказываться нехватка «жидкой брони», формовочной земли. Попытки организовать на заво</w:t>
      </w:r>
      <w:r w:rsidRPr="001E2C69">
        <w:rPr>
          <w:rFonts w:ascii="Times New Roman" w:hAnsi="Times New Roman"/>
          <w:color w:val="000000" w:themeColor="text1"/>
          <w:sz w:val="16"/>
          <w:szCs w:val="16"/>
        </w:rPr>
        <w:softHyphen/>
        <w:t>де производство сварных башен бьши отклонены, так как в условиях ручной сварки стоимость и время изготовления единицы продукции были чрезмерными.</w:t>
      </w:r>
    </w:p>
    <w:p w14:paraId="776F680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3E0CDC1D" w14:textId="77777777" w:rsidR="007D206F" w:rsidRPr="008A2E5A" w:rsidRDefault="007D206F" w:rsidP="007D206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июля 1942 года было подписано постановление ГКО №2120 "Об организации производства танков Т-34 на Уралмашзаводе и заводе №37 Наркомтанкопрома". Уже к 29 сентября реорганизованный завод №37, ставший частью УЗТМ (завод №50), изготовил первые два Т-34. Наработки по производству Т-70 были переданы заводу №38. А вот история свердловских Т-60 продолжалось немного дольше, чем планировалось (23355).</w:t>
      </w:r>
    </w:p>
    <w:p w14:paraId="0E6507E6" w14:textId="77777777" w:rsidR="007D206F" w:rsidRPr="008A2E5A" w:rsidRDefault="007D206F" w:rsidP="007D206F">
      <w:pPr>
        <w:spacing w:after="0" w:line="240" w:lineRule="auto"/>
        <w:jc w:val="both"/>
        <w:rPr>
          <w:rFonts w:ascii="Times New Roman" w:hAnsi="Times New Roman"/>
          <w:color w:val="0070C0"/>
          <w:sz w:val="16"/>
          <w:szCs w:val="16"/>
        </w:rPr>
      </w:pPr>
    </w:p>
    <w:p w14:paraId="07F6463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июля 1942 г. Распоряжением ГКО № 2120 заводу Уралмаш поручено к 1.10.1942г. освоить выпуск танков Т-34. В 09.1942г. выпущены первые 5 Т-34. В конце 1943г. выпуск Т-34 прекращен в пользу СУ-85 и СУ-122. В соответствии с пост. ГКО № 2559 от 2.12.1942г. на заводе начат выпуск СУ-122. В соответствии с пост. ГКО № 3892 от 8.08.1943г. СУ-122 снята с производства и организован выпуск 85-мм САУ на базе танка Т-34 (11982).</w:t>
      </w:r>
    </w:p>
    <w:p w14:paraId="0DF12B1D"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80FBDA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июля 1942 года по инициативе НКТП было принято постановление ГКО № 2120, согласно которому следовало начать на УЗТМ производство Т-34. Для того, чтобы завод мог самостоятельно производить большую часть деталей танка, с ним был слит расположенный в Свердловске завод № 37, а производство лёгких танков на нём было прекращено. На УЗТМ были быстро проведены подготовительные работы: выделен предназначенный для сборки танков цех, изготовлено дополнительное оборудование и оснастка, построены узкоколейные пути с поворотными кругами для перевозки танков во время сборки. 20 сентября началась сборка первых Т-34. Но сразу же встали проблемы, связанные с неприспособленностью завода с точки зрения полного цикла производства танков. Рост числа крупных деталей, которые необходимо было изготавливать литьём, привел к тому, что литейные цеха не могли более обеспечивать производство. Достать новое оборудование было просто негде. Директор УЗТМ Б. Г. Музруков принял решение перейти от литья башни к её штамповке. Для этой цели был задействован уникальный пресс мощностью 10000 тонн. Хотя таким способом удалось выйти из сложного положения, но новый метод привёл к значительному росту затрат энергии и материалов, которые превышали расходы на литую башню более чем в двое (ГАРФ. Ф. Р-5446. Оп. 44а. Д. 7522. Л. 51-52). 21 сентября были сданы военной приёмке первые пять танков. В ноябре уже был произведён 101 танк (12290).</w:t>
      </w:r>
    </w:p>
    <w:p w14:paraId="0EEC2390"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41D0815" w14:textId="77777777" w:rsidR="00DD43AE" w:rsidRPr="001E2C69" w:rsidRDefault="00DD43A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28 июля 1942 года вышло постановление ГКО №2120 «Об организации производства танков Т-34 на Уралмашзаводе и заводе №37 Наркомтанкопрома». Завод №37 стал частью УЗТМ, в составе которого его переименовали в завод №50. Разработка легких танков и самоходных установок на предприятии оказалась свернута. 29 сентября реорганизованный завод сдал первые танки Т-34 – в Свердловске стала производиться база для создания средних САУ.</w:t>
      </w:r>
    </w:p>
    <w:p w14:paraId="38CBCD05" w14:textId="77777777" w:rsidR="00DD43AE" w:rsidRPr="001E2C69" w:rsidRDefault="00DD43A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Затягивание работ по разработке средних самоходных установок, разумеется, не осталось незамеченным. Дело постепенно стало выходить за рамки ГАУ и НКВ, то есть структур, которые являлись заказчиками и «операторами» самоходной артиллерии. Согласно первоначальным планам, завод №8 должен был представить свой проект еще 25 июня 1942 года, затем эту дату сдвинули на 10 августа. В реальности проекты ЗИК-10 и ЗИК-11 рассмотрели только 8 сентября.</w:t>
      </w:r>
    </w:p>
    <w:p w14:paraId="7D8505EA" w14:textId="77777777" w:rsidR="00DD43AE" w:rsidRPr="001E2C69" w:rsidRDefault="00DD43AE" w:rsidP="00722885">
      <w:pPr>
        <w:pStyle w:val="12a"/>
        <w:shd w:val="clear" w:color="auto" w:fill="auto"/>
        <w:spacing w:after="0" w:line="240" w:lineRule="auto"/>
        <w:jc w:val="both"/>
        <w:rPr>
          <w:color w:val="000000" w:themeColor="text1"/>
          <w:sz w:val="16"/>
          <w:szCs w:val="16"/>
          <w:lang w:eastAsia="ru-RU"/>
        </w:rPr>
      </w:pPr>
      <w:r w:rsidRPr="001E2C69">
        <w:rPr>
          <w:color w:val="000000" w:themeColor="text1"/>
          <w:sz w:val="16"/>
          <w:szCs w:val="16"/>
          <w:lang w:eastAsia="ru-RU"/>
        </w:rPr>
        <w:t>Пробуксовка программы самоходной артиллерии привело к тому, что к этому вопросу подключился заместитель Накрома обороны генерал-полковник артиллерии Н.Н. Воронов. В начале октября началась бурная переписка между НКО и ГАУ, о происходящем Воронов доложил Сталину (17679).</w:t>
      </w:r>
    </w:p>
    <w:p w14:paraId="7340DEB0" w14:textId="77777777" w:rsidR="00DD43AE" w:rsidRPr="001E2C69" w:rsidRDefault="00DD43AE" w:rsidP="00722885">
      <w:pPr>
        <w:pStyle w:val="12a"/>
        <w:shd w:val="clear" w:color="auto" w:fill="auto"/>
        <w:spacing w:after="0" w:line="240" w:lineRule="auto"/>
        <w:jc w:val="both"/>
        <w:rPr>
          <w:color w:val="000000" w:themeColor="text1"/>
          <w:sz w:val="16"/>
          <w:szCs w:val="16"/>
        </w:rPr>
      </w:pPr>
    </w:p>
    <w:p w14:paraId="1AABE95F" w14:textId="77777777" w:rsidR="00DD43AE" w:rsidRPr="001E2C69" w:rsidRDefault="00DD43AE"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28 июля 1942 года вышло постановление ГКО №2120 «Об организации производства танков Т-34 на Уралмашзаводе и заводе № 37 Наркомтанкопрома». Согласно этому документу, завод № 37 входил в состав Уральского завода тяжёлого машиностроения (УЗТМ), а выпуск лёгких танков на его мощностях прекращался. Это означало, что и работы по лёгким САУ в Свердловске также останавливались. Наработки по СУ-31 и СУ-32 были переданы на завод № 38 в Киров, где Гинзбург стал работать в тесном сотрудничестве с заводским КБ под руководством М. Н. Щукина (17660).</w:t>
      </w:r>
    </w:p>
    <w:p w14:paraId="5024967C" w14:textId="77777777" w:rsidR="00DD43AE" w:rsidRPr="001E2C69" w:rsidRDefault="00DD43AE" w:rsidP="00722885">
      <w:pPr>
        <w:pStyle w:val="12a"/>
        <w:shd w:val="clear" w:color="auto" w:fill="auto"/>
        <w:spacing w:after="0" w:line="240" w:lineRule="auto"/>
        <w:jc w:val="both"/>
        <w:rPr>
          <w:color w:val="000000" w:themeColor="text1"/>
          <w:sz w:val="16"/>
          <w:szCs w:val="16"/>
        </w:rPr>
      </w:pPr>
    </w:p>
    <w:p w14:paraId="26ADFCF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июля 1942 года постановлением ГКО № 2120 Челябинский Кировский завод, выпускавший тяжелые танки КВ, параллельно с этим подключался к производству танков Т-34. Такое решение было принято в связи с угрозой прорыва немецких войск к Сталинграду и возможной эвакуацией СТЗ, являвшегося на тот момент вторым по массовости выпуска (после завода №183) предприятием, изготавливавшим тридцатьчетверки. В отличие от других заводов, таких как «Красное Сормово» и Уралмаш, для челябинцев это задание было более легким к выполнению, так как опыт выпуска танков (хотя и тяжелых) уже имелся.</w:t>
      </w:r>
    </w:p>
    <w:p w14:paraId="7BCF965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сборки Т-34 на ЧКЗ решили использовать конвейер сборки гусеничных тракторов «Сталинец-65». Для организации производства тридцатьчетверок в срочном порядке пришлось спроектировать и изготовить более 5000 различных кондукторов и приспособлений, более 500 штампов, а аткже разработать технологию для выпуска более чем 2000 деталей и узлов. Однако имевшийся опыт танкостроения оказался весьма кстати, и уже 22 августа на Ч КЗ собрали первую тридцатьчетверку, а до конца месяца сдали еще 29. В дальнейшем выпуск машин стал нарастать - в сентябре сдали 220 Т-34, в октябре 300, в ноябре 230, а всего за 1942 год Челябинский Кировский завод передал Красной Армии 1055 Т-34. К этому времени на выпуске тридцатьчетверок было задействовано до 75% оборудования ЧКЗ, а на остальном собирали тяжелые КВ-1С.</w:t>
      </w:r>
    </w:p>
    <w:p w14:paraId="65C7109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ходе выпуска танков Т-34 ЧКЗ вносил в их конструкцию большое количество изменений. Так, с 25 ноября 1942 года ввели новые гусеницы с унифицированными траками и ведущие колеса с роликами, с 28 ноября - штампованные диски опорных катков, с 19 декабря - установка плоских половинчатых траков, с 29 декабря - штампованное ведущее колесо штампованные диски с напрессованным бандажом), с 30 декабря - новые смотровые приборы в башне (стекло «триплекс» установлено сверху в гнезде, смотровая щель закрыта бронезаслонкой).</w:t>
      </w:r>
    </w:p>
    <w:p w14:paraId="20D48FA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1943 году ЧКЗ передали военной приемке 3593 тридцатьчетверки. при этом их выпуск из месяца «месяц нарастал с 220 в январе, 315 в июле 315 и до 360 в декабре. Причем помимо увеличения производства ЧКЗ проделал большую работу как по улучшению качества танков, так и по конструктивной доработке их основных узлов. При этом в первом квартале 1943 года завод испытывал большие проблемы из-за отсутствия топлива, металла, а также отставания заготовительных цехов.</w:t>
      </w:r>
    </w:p>
    <w:p w14:paraId="1596E95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Что касается дефектов танков, то при проведении сдаточных пробегов больше всего недостатков выявлялось в коробке перемены передач (35%), двигателе (17%) и главном фрикционе (15%). Кроме того, начиная со 2-го квартала наблюдалось отслоение резиновых грузошин опорных катков. Выяснилось, что это происходит по вине завода № 735, поставлявшего резину, и после принятия последним мер этот недостаток устранили.</w:t>
      </w:r>
    </w:p>
    <w:p w14:paraId="5983280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Кроме того, за 1943 год ЧКЗ внес ряд изменений в конструкцию коробки передач, бортовых передач и ходовой части, что позволило повысить надежность их работы.</w:t>
      </w:r>
    </w:p>
    <w:p w14:paraId="17A3FBA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первом квартале 1944 года ЧКЗ сдал военпредам 445 Т-34 и еше одну машину в апреле, посте чего выпуск Т-34 завершили. Дело в том, что еще 12 марта 1944 года появилось постановление ГКО № 5378. в соответствии с которым производство танков Т-34 на Челябинском Кировском заводе прекращалось с целью увеличения изготовления танков ИС-2. Поэтому после израсходования имеющегося задела все работы по Т-34 свернули. Всего за период с августа 1942-го по апрель 1944 года Челябинский Кировский завод изготовил 5094 танка Т-34-76 (12217).</w:t>
      </w:r>
    </w:p>
    <w:p w14:paraId="08F8E37F"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F3C45B8" w14:textId="77777777" w:rsidR="00E13488" w:rsidRPr="001E2C69" w:rsidRDefault="00E13488"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С 28 июля по 26 августа 1942 года два об</w:t>
      </w:r>
      <w:r w:rsidRPr="001E2C69">
        <w:rPr>
          <w:rFonts w:ascii="Times New Roman" w:cs="Times New Roman"/>
          <w:color w:val="000000" w:themeColor="text1"/>
          <w:spacing w:val="0"/>
        </w:rPr>
        <w:softHyphen/>
        <w:t xml:space="preserve">разца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-1С прошли государственные ис</w:t>
      </w:r>
      <w:r w:rsidRPr="001E2C69">
        <w:rPr>
          <w:rFonts w:ascii="Times New Roman" w:cs="Times New Roman"/>
          <w:color w:val="000000" w:themeColor="text1"/>
          <w:spacing w:val="0"/>
        </w:rPr>
        <w:softHyphen/>
        <w:t xml:space="preserve">пытания на опытном заводе № 100. По сравнению с танком КВ-1 на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-1С была уменьшена до 60 мм толщина броне</w:t>
      </w:r>
      <w:r w:rsidRPr="001E2C69">
        <w:rPr>
          <w:rFonts w:ascii="Times New Roman" w:cs="Times New Roman"/>
          <w:color w:val="000000" w:themeColor="text1"/>
          <w:spacing w:val="0"/>
        </w:rPr>
        <w:softHyphen/>
        <w:t>вых листов, изменена форма кормы корпу</w:t>
      </w:r>
      <w:r w:rsidRPr="001E2C69">
        <w:rPr>
          <w:rFonts w:ascii="Times New Roman" w:cs="Times New Roman"/>
          <w:color w:val="000000" w:themeColor="text1"/>
          <w:spacing w:val="0"/>
        </w:rPr>
        <w:softHyphen/>
        <w:t>са, установлена башня новой конструкции с командирской башенкой кругового обзора, новые смотровые приборы. Существенные изменения внесли конструкторы и в сило</w:t>
      </w:r>
      <w:r w:rsidRPr="001E2C69">
        <w:rPr>
          <w:rFonts w:ascii="Times New Roman" w:cs="Times New Roman"/>
          <w:color w:val="000000" w:themeColor="text1"/>
          <w:spacing w:val="0"/>
        </w:rPr>
        <w:softHyphen/>
        <w:t>вую передачу танка КВ-1С, установив новый главный фрикцион, восьмискоростную ко</w:t>
      </w:r>
      <w:r w:rsidRPr="001E2C69">
        <w:rPr>
          <w:rFonts w:ascii="Times New Roman" w:cs="Times New Roman"/>
          <w:color w:val="000000" w:themeColor="text1"/>
          <w:spacing w:val="0"/>
        </w:rPr>
        <w:softHyphen/>
        <w:t>робку перемены передач с силуминовым кар</w:t>
      </w:r>
      <w:r w:rsidRPr="001E2C69">
        <w:rPr>
          <w:rFonts w:ascii="Times New Roman" w:cs="Times New Roman"/>
          <w:color w:val="000000" w:themeColor="text1"/>
          <w:spacing w:val="0"/>
        </w:rPr>
        <w:softHyphen/>
        <w:t>тером (восемь скоростей вперед и две назад). Кроме того, на танке смонтировали радиа</w:t>
      </w:r>
      <w:r w:rsidRPr="001E2C69">
        <w:rPr>
          <w:rFonts w:ascii="Times New Roman" w:cs="Times New Roman"/>
          <w:color w:val="000000" w:themeColor="text1"/>
          <w:spacing w:val="0"/>
        </w:rPr>
        <w:softHyphen/>
        <w:t>торы и вентилятор другой конструкции, из</w:t>
      </w:r>
      <w:r w:rsidRPr="001E2C69">
        <w:rPr>
          <w:rFonts w:ascii="Times New Roman" w:cs="Times New Roman"/>
          <w:color w:val="000000" w:themeColor="text1"/>
          <w:spacing w:val="0"/>
        </w:rPr>
        <w:softHyphen/>
        <w:t>менили расположение аккумуляторов. В хо</w:t>
      </w:r>
      <w:r w:rsidRPr="001E2C69">
        <w:rPr>
          <w:rFonts w:ascii="Times New Roman" w:cs="Times New Roman"/>
          <w:color w:val="000000" w:themeColor="text1"/>
          <w:spacing w:val="0"/>
        </w:rPr>
        <w:softHyphen/>
        <w:t>довой части применили облегченные опор</w:t>
      </w:r>
      <w:r w:rsidRPr="001E2C69">
        <w:rPr>
          <w:rFonts w:ascii="Times New Roman" w:cs="Times New Roman"/>
          <w:color w:val="000000" w:themeColor="text1"/>
          <w:spacing w:val="0"/>
        </w:rPr>
        <w:softHyphen/>
        <w:t>ные катки, ленивец и облегченные гусеницы уменьшенной ширины. В результате всех этих изменений мас</w:t>
      </w:r>
      <w:r w:rsidRPr="001E2C69">
        <w:rPr>
          <w:rFonts w:ascii="Times New Roman" w:cs="Times New Roman"/>
          <w:color w:val="000000" w:themeColor="text1"/>
          <w:spacing w:val="0"/>
        </w:rPr>
        <w:softHyphen/>
        <w:t>са КВ-1С снизилась до 42,3 т, возросла ско</w:t>
      </w:r>
      <w:r w:rsidRPr="001E2C69">
        <w:rPr>
          <w:rFonts w:ascii="Times New Roman" w:cs="Times New Roman"/>
          <w:color w:val="000000" w:themeColor="text1"/>
          <w:spacing w:val="0"/>
        </w:rPr>
        <w:softHyphen/>
        <w:t>рость (до 43,3 км/ч по шоссе), улучшилась маневренность и надежность танка.</w:t>
      </w:r>
    </w:p>
    <w:p w14:paraId="564B81BA" w14:textId="77777777" w:rsidR="00E13488" w:rsidRPr="001E2C69" w:rsidRDefault="00E13488" w:rsidP="00722885">
      <w:pPr>
        <w:pStyle w:val="27"/>
        <w:shd w:val="clear" w:color="auto" w:fill="auto"/>
        <w:spacing w:after="0" w:line="240" w:lineRule="auto"/>
        <w:ind w:firstLine="0"/>
        <w:rPr>
          <w:rFonts w:ascii="Times New Roman" w:cs="Times New Roman"/>
          <w:color w:val="000000" w:themeColor="text1"/>
          <w:spacing w:val="0"/>
        </w:rPr>
      </w:pPr>
    </w:p>
    <w:p w14:paraId="2B245A6D" w14:textId="77777777" w:rsidR="007D206F" w:rsidRPr="008A2E5A" w:rsidRDefault="007D206F" w:rsidP="007D206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июля 1942 начались испытания танка КВ-1с № 15002 и к 26 августа он преодолел 2027 километров. Максимальная скорость по шоссе составила 43,3 км/ч, что тоже неплохо. Средняя скорость по шоссе составила 22,4 км/ч, по проселку 15,8 км/ч, а по целине 15,5 км/ч. Минимальная разница между проселком и целиной удивлять не должна, дорогой это можно было назвать условно. Расход топлива по шоссе составил 280 литров на 100 километров, а по проселку и целине - 350 литров.</w:t>
      </w:r>
    </w:p>
    <w:p w14:paraId="2CADCD95" w14:textId="77777777" w:rsidR="007D206F" w:rsidRPr="008A2E5A" w:rsidRDefault="007D206F" w:rsidP="007D206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Важным моментом была проверка теплового режима двигателя. При температуре воздуха +25 градусов температура воды не поднималась выше 90 градусов. Правда, на максимальной скорости можно было двигаться недолго - танк перегревался. Также проверялась работа коробки передач, для чего КВ-1с таскал за собой на буксире КВ-1. Дефектов КПП не обнаружилось. Входе испытаний танк преодолевал подъемы под углом до 38 градусов. Танк уверенно преодолел брод глубиной 1,6 метр, правда, внутрь начинала заливаться вода, которая просачивалась через нижние люки. В целом танк показал себя надежной машиной, но имелись дефекты по моторам. В общей сложности на нем заменили 3 двигателя, причиной указали заводской брак.</w:t>
      </w:r>
    </w:p>
    <w:p w14:paraId="22B499A2" w14:textId="77777777" w:rsidR="007D206F" w:rsidRPr="008A2E5A" w:rsidRDefault="007D206F" w:rsidP="007D206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Хватало и других мелких недоработок, тем не менее, общие выводы по результатам были сделаны положительные. Танк в целом соответствовал характеристикам, окончательные выводы по нему сделали 9 сентября 1942 года. Самое интересное, что на тот момент танк уже производился. Первые танки стали собирать в районе 20 августа, когда уже было понятно, что машина получилась. Впрочем, такой фальстарт имел определенные последствия, да и в целом первый год производства КВ-1с оказался очень сложным. Балжи в этом смысле "везло": в 1945 году в примерно таком же пожарном темпе рождался ИС-3. Несмотря на то, что подобный подход </w:t>
      </w:r>
      <w:r w:rsidRPr="008A2E5A">
        <w:rPr>
          <w:rFonts w:ascii="Times New Roman" w:hAnsi="Times New Roman"/>
          <w:color w:val="0070C0"/>
          <w:sz w:val="16"/>
          <w:szCs w:val="16"/>
        </w:rPr>
        <w:lastRenderedPageBreak/>
        <w:t>приводил к отрицательным результатам, плюсов оказалось больше. Во многом новый танк за неполных 2 месяца разработки - это большое достижение. Что же касается опытных машин, то КВ-1с №15002 дожил до наших дней. Правда, в сильно измененном виде (23351).</w:t>
      </w:r>
    </w:p>
    <w:p w14:paraId="0576A0CA" w14:textId="77777777" w:rsidR="007D206F" w:rsidRPr="008A2E5A" w:rsidRDefault="007D206F" w:rsidP="007D206F">
      <w:pPr>
        <w:spacing w:after="0" w:line="240" w:lineRule="auto"/>
        <w:jc w:val="both"/>
        <w:rPr>
          <w:rFonts w:ascii="Times New Roman" w:hAnsi="Times New Roman"/>
          <w:color w:val="0070C0"/>
          <w:sz w:val="16"/>
          <w:szCs w:val="16"/>
        </w:rPr>
      </w:pPr>
    </w:p>
    <w:p w14:paraId="29BCAD4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июля 1942 года постановлением ГКО № 542 сс заводу № 222 приказывалось улучшить конструкцию огнемета (12217).</w:t>
      </w:r>
    </w:p>
    <w:p w14:paraId="464FC45F"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D2D52F7" w14:textId="77777777" w:rsidR="00AE7191" w:rsidRPr="001E2C69" w:rsidRDefault="00AE7191" w:rsidP="00722885">
      <w:pPr>
        <w:pStyle w:val="a4"/>
        <w:rPr>
          <w:color w:val="000000" w:themeColor="text1"/>
          <w:lang w:val="ru-RU"/>
        </w:rPr>
      </w:pPr>
      <w:r w:rsidRPr="001E2C69">
        <w:rPr>
          <w:color w:val="000000" w:themeColor="text1"/>
          <w:lang w:val="ru-RU"/>
        </w:rPr>
        <w:t>С 28 июля по 26 августа 1942 г. два опыт</w:t>
      </w:r>
      <w:r w:rsidRPr="001E2C69">
        <w:rPr>
          <w:color w:val="000000" w:themeColor="text1"/>
          <w:lang w:val="ru-RU"/>
        </w:rPr>
        <w:softHyphen/>
        <w:t xml:space="preserve">ных образца танка </w:t>
      </w:r>
      <w:r w:rsidRPr="001E2C69">
        <w:rPr>
          <w:color w:val="000000" w:themeColor="text1"/>
        </w:rPr>
        <w:t>KB</w:t>
      </w:r>
      <w:r w:rsidRPr="001E2C69">
        <w:rPr>
          <w:color w:val="000000" w:themeColor="text1"/>
          <w:lang w:val="ru-RU"/>
        </w:rPr>
        <w:t>-1С проходили государ</w:t>
      </w:r>
      <w:r w:rsidRPr="001E2C69">
        <w:rPr>
          <w:color w:val="000000" w:themeColor="text1"/>
          <w:lang w:val="ru-RU"/>
        </w:rPr>
        <w:softHyphen/>
        <w:t>ственные испытания. Ввиду их убедительных результатов, новый тяжелый танк 20 августа (еще до окончания испытаний) был принят на вооружение. Своевременность этого решения и последующего быстрого освоения серийно</w:t>
      </w:r>
      <w:r w:rsidRPr="001E2C69">
        <w:rPr>
          <w:color w:val="000000" w:themeColor="text1"/>
          <w:lang w:val="ru-RU"/>
        </w:rPr>
        <w:softHyphen/>
        <w:t xml:space="preserve">го производства танков </w:t>
      </w:r>
      <w:r w:rsidRPr="001E2C69">
        <w:rPr>
          <w:color w:val="000000" w:themeColor="text1"/>
        </w:rPr>
        <w:t>KB</w:t>
      </w:r>
      <w:r w:rsidRPr="001E2C69">
        <w:rPr>
          <w:color w:val="000000" w:themeColor="text1"/>
          <w:lang w:val="ru-RU"/>
        </w:rPr>
        <w:t>-1С подтвердила история. Уже в ноябре 1942 г. в контрнаступлении под Сталин</w:t>
      </w:r>
      <w:r w:rsidRPr="001E2C69">
        <w:rPr>
          <w:color w:val="000000" w:themeColor="text1"/>
          <w:lang w:val="ru-RU"/>
        </w:rPr>
        <w:softHyphen/>
        <w:t xml:space="preserve">градом танки </w:t>
      </w:r>
      <w:r w:rsidRPr="001E2C69">
        <w:rPr>
          <w:color w:val="000000" w:themeColor="text1"/>
        </w:rPr>
        <w:t>KB</w:t>
      </w:r>
      <w:r w:rsidRPr="001E2C69">
        <w:rPr>
          <w:color w:val="000000" w:themeColor="text1"/>
          <w:lang w:val="ru-RU"/>
        </w:rPr>
        <w:t>-1С сыграли заметную роль. В знаменитой Курской битве лета 1943 г. сотни этих танков, состоявших на осна</w:t>
      </w:r>
      <w:r w:rsidRPr="001E2C69">
        <w:rPr>
          <w:color w:val="000000" w:themeColor="text1"/>
          <w:lang w:val="ru-RU"/>
        </w:rPr>
        <w:softHyphen/>
        <w:t>щении 5-й гвардейской тан</w:t>
      </w:r>
      <w:r w:rsidRPr="001E2C69">
        <w:rPr>
          <w:color w:val="000000" w:themeColor="text1"/>
          <w:lang w:val="ru-RU"/>
        </w:rPr>
        <w:softHyphen/>
        <w:t>ковой армии, при передисло</w:t>
      </w:r>
      <w:r w:rsidRPr="001E2C69">
        <w:rPr>
          <w:color w:val="000000" w:themeColor="text1"/>
          <w:lang w:val="ru-RU"/>
        </w:rPr>
        <w:softHyphen/>
        <w:t>кации в район Курской дуги прошли своим ходом 400 км без единой поломки и с мар</w:t>
      </w:r>
      <w:r w:rsidRPr="001E2C69">
        <w:rPr>
          <w:color w:val="000000" w:themeColor="text1"/>
          <w:lang w:val="ru-RU"/>
        </w:rPr>
        <w:softHyphen/>
        <w:t>ша вступили в бой под Про хоровкой (11897).</w:t>
      </w:r>
    </w:p>
    <w:p w14:paraId="4ED4C17E" w14:textId="77777777" w:rsidR="00AE7191" w:rsidRPr="001E2C69" w:rsidRDefault="00AE7191" w:rsidP="00722885">
      <w:pPr>
        <w:pStyle w:val="a4"/>
        <w:rPr>
          <w:color w:val="000000" w:themeColor="text1"/>
          <w:lang w:val="ru-RU"/>
        </w:rPr>
      </w:pPr>
    </w:p>
    <w:p w14:paraId="530FF10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28 июля по 26 августа 1942 два танка КВ- 1С прошли государст</w:t>
      </w:r>
      <w:r w:rsidRPr="001E2C69">
        <w:rPr>
          <w:rFonts w:ascii="Times New Roman" w:hAnsi="Times New Roman"/>
          <w:color w:val="000000" w:themeColor="text1"/>
          <w:sz w:val="16"/>
          <w:szCs w:val="16"/>
        </w:rPr>
        <w:softHyphen/>
        <w:t>венные испытания, еще до окончания которых - 20 авгус</w:t>
      </w:r>
      <w:r w:rsidRPr="001E2C69">
        <w:rPr>
          <w:rFonts w:ascii="Times New Roman" w:hAnsi="Times New Roman"/>
          <w:color w:val="000000" w:themeColor="text1"/>
          <w:sz w:val="16"/>
          <w:szCs w:val="16"/>
        </w:rPr>
        <w:softHyphen/>
        <w:t>та - новый танк был принят на вооружение Красной Армии. Он в самом деле оправдывал свое название, ибо его масса снизилась до 42,3 тонны, а максимальная ско</w:t>
      </w:r>
      <w:r w:rsidRPr="001E2C69">
        <w:rPr>
          <w:rFonts w:ascii="Times New Roman" w:hAnsi="Times New Roman"/>
          <w:color w:val="000000" w:themeColor="text1"/>
          <w:sz w:val="16"/>
          <w:szCs w:val="16"/>
        </w:rPr>
        <w:softHyphen/>
        <w:t>рость возросла до 43 км/ч по шоссе. Однако это было достигнуто за счет снижения броне</w:t>
      </w:r>
      <w:r w:rsidRPr="001E2C69">
        <w:rPr>
          <w:rFonts w:ascii="Times New Roman" w:hAnsi="Times New Roman"/>
          <w:color w:val="000000" w:themeColor="text1"/>
          <w:sz w:val="16"/>
          <w:szCs w:val="16"/>
        </w:rPr>
        <w:softHyphen/>
        <w:t>вой защиты танка, и если летом-осенью такое решение еще могло быть оправданным, то к лету 1942 г. ситуация изме</w:t>
      </w:r>
      <w:r w:rsidRPr="001E2C69">
        <w:rPr>
          <w:rFonts w:ascii="Times New Roman" w:hAnsi="Times New Roman"/>
          <w:color w:val="000000" w:themeColor="text1"/>
          <w:sz w:val="16"/>
          <w:szCs w:val="16"/>
        </w:rPr>
        <w:softHyphen/>
        <w:t>нилась. Теперь в вермахт начали поступать новые 75-мм противотанковые пушки Рак 40, танки Т Ш и Т 1У стали вооружаться длинноствольными 50- и 75-мм орудиями. Повсеместно вводились кумулятивные и подкалиберные боеприпасы. Все это привело к тому, что танк КВ утратил часть своих боевых качеств и в целом сравнялся с Т-34 (10782).</w:t>
      </w:r>
    </w:p>
    <w:p w14:paraId="259EE68C"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BFF618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период с 28 июля по 26 августа 1942 года КВ-1С (опытный) прошел Государственные испытания на Опытном заводе № 100. По результатам испытаний с учетом устранения выявленных дефектов, танк был при</w:t>
      </w:r>
      <w:r w:rsidRPr="001E2C69">
        <w:rPr>
          <w:rFonts w:ascii="Times New Roman" w:hAnsi="Times New Roman"/>
          <w:color w:val="000000" w:themeColor="text1"/>
          <w:sz w:val="16"/>
          <w:szCs w:val="16"/>
        </w:rPr>
        <w:softHyphen/>
        <w:t>нят на вооружение РККА. Второй изготовленный образец являлся предсерийным вариантом танка КВ-1С. В период с 13 августа по 20 ок</w:t>
      </w:r>
      <w:r w:rsidRPr="001E2C69">
        <w:rPr>
          <w:rFonts w:ascii="Times New Roman" w:hAnsi="Times New Roman"/>
          <w:color w:val="000000" w:themeColor="text1"/>
          <w:sz w:val="16"/>
          <w:szCs w:val="16"/>
        </w:rPr>
        <w:softHyphen/>
        <w:t>тября 1943 г. он прошел длительные заводские испытания. Первый опытный образец танка КВ-1С был разработан на базе тан</w:t>
      </w:r>
      <w:r w:rsidRPr="001E2C69">
        <w:rPr>
          <w:rFonts w:ascii="Times New Roman" w:hAnsi="Times New Roman"/>
          <w:color w:val="000000" w:themeColor="text1"/>
          <w:sz w:val="16"/>
          <w:szCs w:val="16"/>
        </w:rPr>
        <w:softHyphen/>
        <w:t>ка КВ-1 обр. 1941 г. и отличался от него уменьшенной толщиной борто</w:t>
      </w:r>
      <w:r w:rsidRPr="001E2C69">
        <w:rPr>
          <w:rFonts w:ascii="Times New Roman" w:hAnsi="Times New Roman"/>
          <w:color w:val="000000" w:themeColor="text1"/>
          <w:sz w:val="16"/>
          <w:szCs w:val="16"/>
        </w:rPr>
        <w:softHyphen/>
        <w:t>вых листов корпуса и днища, а также размещением членов экипажа в башне. От предсерийного образца и серийного танка КВ-1 С он отличал</w:t>
      </w:r>
      <w:r w:rsidRPr="001E2C69">
        <w:rPr>
          <w:rFonts w:ascii="Times New Roman" w:hAnsi="Times New Roman"/>
          <w:color w:val="000000" w:themeColor="text1"/>
          <w:sz w:val="16"/>
          <w:szCs w:val="16"/>
        </w:rPr>
        <w:softHyphen/>
        <w:t>ся отсутствием поручней для танкового десанта на корпусе и башне ма</w:t>
      </w:r>
      <w:r w:rsidRPr="001E2C69">
        <w:rPr>
          <w:rFonts w:ascii="Times New Roman" w:hAnsi="Times New Roman"/>
          <w:color w:val="000000" w:themeColor="text1"/>
          <w:sz w:val="16"/>
          <w:szCs w:val="16"/>
        </w:rPr>
        <w:softHyphen/>
        <w:t>шины и установкой защитного козырька над смотровым люком механи</w:t>
      </w:r>
      <w:r w:rsidRPr="001E2C69">
        <w:rPr>
          <w:rFonts w:ascii="Times New Roman" w:hAnsi="Times New Roman"/>
          <w:color w:val="000000" w:themeColor="text1"/>
          <w:sz w:val="16"/>
          <w:szCs w:val="16"/>
        </w:rPr>
        <w:softHyphen/>
        <w:t>ка-водителя. Танк, имевший классическую схему общей компоновки, был воору</w:t>
      </w:r>
      <w:r w:rsidRPr="001E2C69">
        <w:rPr>
          <w:rFonts w:ascii="Times New Roman" w:hAnsi="Times New Roman"/>
          <w:color w:val="000000" w:themeColor="text1"/>
          <w:sz w:val="16"/>
          <w:szCs w:val="16"/>
        </w:rPr>
        <w:softHyphen/>
        <w:t>жен 76,2-мм танковой пушкой ЗИС-5 обр. 1941 г. и четырьмя 7,62-мм пулеметами ДТ, один из которых был спарен с пушкой. Пушка и спарен</w:t>
      </w:r>
      <w:r w:rsidRPr="001E2C69">
        <w:rPr>
          <w:rFonts w:ascii="Times New Roman" w:hAnsi="Times New Roman"/>
          <w:color w:val="000000" w:themeColor="text1"/>
          <w:sz w:val="16"/>
          <w:szCs w:val="16"/>
        </w:rPr>
        <w:softHyphen/>
        <w:t>ный пулемет устанавливались в маске и имели общие приборы и меха</w:t>
      </w:r>
      <w:r w:rsidRPr="001E2C69">
        <w:rPr>
          <w:rFonts w:ascii="Times New Roman" w:hAnsi="Times New Roman"/>
          <w:color w:val="000000" w:themeColor="text1"/>
          <w:sz w:val="16"/>
          <w:szCs w:val="16"/>
        </w:rPr>
        <w:softHyphen/>
        <w:t>низмы наводки и стрельбы (10703).</w:t>
      </w:r>
    </w:p>
    <w:p w14:paraId="6F4C40C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240F00A3"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июля 1942 г.</w:t>
      </w:r>
    </w:p>
    <w:p w14:paraId="6E982350"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РГАЭ Фонд 8752 Опись 4 Дело 93 лист 69 – 66</w:t>
      </w:r>
    </w:p>
    <w:p w14:paraId="5D8F9372"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Сов. секретно.</w:t>
      </w:r>
    </w:p>
    <w:p w14:paraId="68185F18"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 ПО НАРОДНОМУ КОМИССАРИАТУ ТАНКОВОЙ ПРОМЫШЛЕННОСТИ СОЮЗА ССР № 551сс</w:t>
      </w:r>
    </w:p>
    <w:p w14:paraId="0A04FE07"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Москва</w:t>
      </w:r>
    </w:p>
    <w:p w14:paraId="7C921201"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июля 1942 г.</w:t>
      </w:r>
    </w:p>
    <w:p w14:paraId="0AC9AACD"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исполнение Постановления ГОКО от 24 июля за № 2086сс "О плане капитального ремонта танков, тракторов и автомобилей для Красной Армии на III квартал 1942 г.", ПРИКАЗЫВАЮ:</w:t>
      </w:r>
    </w:p>
    <w:p w14:paraId="75AA2674"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Установить на III квартал 1942 года следующий план капитального ремонта танков, танковых двигателей и тракторов на заводах Наркомтанкопрома для ГАБТУ Красной Армии (в штуках):</w:t>
      </w:r>
    </w:p>
    <w:p w14:paraId="1B9221E2"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Директорам заводов Наркомтанкопрома произвести в III квартале капитальный ремонт машин для ГАБТУ КА в следующих количествах по заводам:</w:t>
      </w:r>
    </w:p>
    <w:p w14:paraId="502AAAC0"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Кировского завода т. МАХОНИНУ:</w:t>
      </w:r>
    </w:p>
    <w:p w14:paraId="0FE564D0"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Сталинградского тракторного завода т. ЗАДОРОЖНОМУ:</w:t>
      </w:r>
    </w:p>
    <w:p w14:paraId="6E5949F7"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Завода № 112 т. РУБИНЧИКУ:</w:t>
      </w:r>
    </w:p>
    <w:p w14:paraId="727770BA"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Филиала завода № 37 т. ЗЕЛИКСОНУ:</w:t>
      </w:r>
    </w:p>
    <w:p w14:paraId="6B2C9444"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 Филиала завода № 76 (КИМ) т. ТУМАНЯНУ:</w:t>
      </w:r>
    </w:p>
    <w:p w14:paraId="2840E8EB"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 Завода № 200 т. СОЧИВКО:</w:t>
      </w:r>
    </w:p>
    <w:p w14:paraId="5D344EB8"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Директору завода "КИМ" т. ТУМАНЯН производить ремонт танковых двигателей для Канашского вагоноремонтного завода НКПС в счет плана ремонта двигателей В-2, утвержденного заводу "КИМ" на III квартал 1942 г.</w:t>
      </w:r>
    </w:p>
    <w:p w14:paraId="3ABCD065"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Директорам заводов перечисленных в п. 2, а также начальнику III отдела НКТП т. ВАСИНУ в соответствии с упомянутым выше постановлением ГОКО учесть, что в случаях отсутствия ремонтного фонда по танкам и танковым двигателям или поступления его на заводы в недостаточном количестве, за план ремонта танков и двигателей по каждому заводу в отдельности принимается фактическое поступление их до 15 числа текущего месяца, включая остаток ремонтного фонда от прошлых месяцев, но не больше утвержденного пунктом 2 настоящего приказа.</w:t>
      </w:r>
    </w:p>
    <w:p w14:paraId="78938D94"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Отменить приказ Наркомтанкопрома № 483сс от 27.VI об освобождении завода № 200 от ремонта танков "КВ". Начальнику 3 Главного Управления НКТП т. ХАБАХПАШЕВУ и директору завода № 200 т. СОЧИВКО обеспечить выполнение заводом № 200 заданного на III квартал плана по ремонту танков "КВ" и до 1 октября произвести необходимые работы по наращению мощностей для ремонта 25 танков "КВ" ежемесячно.</w:t>
      </w:r>
    </w:p>
    <w:p w14:paraId="4FAB4D44"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Директорам и главным инженерам заводов НКТП СТЗ – т.т. ЗАДОРОЖНОМУ и ДЕМЬЯНОВИЧУ; № 112 – т.т. РУБИНЧИКУ и РОЗЕНФЕЛЬДТ; филиала завода № 76 (КИМ) – т.т. ТУМАНЯН и СМИРНОВУ; филиала завода № 37 – т.т. ЗЕЛИКСОНУ и КОЗЫРЕВУ под их личную ответственность закончить в течение июля и августа 1942 года все работы по наращению мощностей для ремонта танков и моторов до объемов, установленных приказами НКТП № 112с от 11.I.42 г. и № 387с от 7.V.42 г.</w:t>
      </w:r>
    </w:p>
    <w:p w14:paraId="79C0161F"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Начальнику отдела труда и зарплаты НКТП т. ПРОМЫСЛОВУ в пятидневный срок разослать ля руководства на заводы, перечисленные в пункте 2 настоящего приказа, систему премирования за скоростной и высококачественный ремонт машин, утвержденную постановлением ГОКО от 3 мая 1942 года № ГОКО-1689сс, с отнесением расхода по выплате премий за счет начисления на стоимость ремонта.</w:t>
      </w:r>
    </w:p>
    <w:p w14:paraId="591D9D18"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Заместителю Народного Комиссара Танковой Промышленности тов. МОСИНУ и Директору филиала завода № 76 (КИМ) тов. ТУМАНЯНУ организовать на заводе (КИМ) Отдел рабочего снабжения.</w:t>
      </w:r>
    </w:p>
    <w:p w14:paraId="6020890B"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Директору Кировского завода т. МАХОНИНУ и директору завода № 76 т. КОЧЕТКОВУ поставить за счет фондов ГАБТУ КА заводам промышленности и рембазам НКО в III квартале 1942 года дизели В-2 согласно приложению № 1 для замены неподдающихся восстановлению двигателей на танках, подлежащих капитальному ремонту.</w:t>
      </w:r>
    </w:p>
    <w:p w14:paraId="5B365757"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Директорам заводов Кировского – т. МАХОНИНУ; СТЗ – т. ЗАДОРОЖНОМУ; № 183 – т. МАКСАРЕВУ; № 76 – т. КОЧЕТКОВУ; № 174 – т. КАЦНЕЛЬСОНУ; № 37 – т. ФРЕЗЕРОВУ; ЗЭМ – т. МОРОЗУ поставить в III квартале 1942 года заводам промышленности равными партиями по месяцам для ремонтов танков – запасные части согласно приложениям №№ 2, 3, 4, 5, 6, 7, 8, 9, 10, 11 и 12 в счет плана производства запчастей на III квартал 1942 года, установленного приказом № 520сс от 13.VII-с.г.</w:t>
      </w:r>
    </w:p>
    <w:p w14:paraId="4EC19778"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Директору СТЗ т. ЗАДОРОЖНОМУ и директору завода № 112 т. РУБИНЧИКУ использовать для ремонта танков на своих заводах запчасти танка Т-34, предназначенные по приказу НКТП № 520сс от 13.VII-с.г. ремзаводам промышленности.</w:t>
      </w:r>
    </w:p>
    <w:p w14:paraId="73DCC1E3"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Директору Кировского завода т. МАХОНИНУ и директору СТЗ т. ЗАДОРОЖНОМУ поставить в III квартале 1942 года заводам промышленности равными партиями по месяцам запасные части для ремонта тракторов согласно приложениям №№ 13, 14, 15 и 16 в счет фондов НКО.</w:t>
      </w:r>
    </w:p>
    <w:p w14:paraId="770725DC"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Директорам заводов – Кировского т. МАХОНИНУ; № 112 – т. РУБИНЧИКУ и Уралмашзавода – т. МУЗРУКОВУ, за счет производства поставить в III квартале 1942 года 1,5 тонны сормайта следующим Наркоматам, производящим капитальный ремонт автомашин для Красной Армии: НКАТ РСФСР – 1,0 тонну, в том числе с завода № 112 – 0,7 тонн, с Уралмашзавода – 0,3 тонны; НКАТ Грузинской ССР – 0,1 тонны, поставщик Кировский завод и Мосгорисполкому – 0,4 тонны, поставщик Уралмашзавод.</w:t>
      </w:r>
    </w:p>
    <w:p w14:paraId="684467A0"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Начальнику Главснаба НКТП т. РОЗИНУ:</w:t>
      </w:r>
    </w:p>
    <w:p w14:paraId="234844F6"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в суточный срок распределить по заводам НКТП, производящим ремонт танков, танковых моторов и тракторов соответственно установленному плану ремонта и заявкам, горюче смазочные материалы, электрооборудование и приборы, выделяемые на III квартал ха счет фондов НКО, согласно приложениям №№ 17, 18, 19, 20, 21 и 22;</w:t>
      </w:r>
    </w:p>
    <w:p w14:paraId="268A510F"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обеспечить помощь и контроль за своевременной и полной реализацией выделенных материалов.</w:t>
      </w:r>
    </w:p>
    <w:p w14:paraId="23546F10"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Зам. Начальника 1 отдела т. ДАВТЯН и директору филиала завода № 37 тов. ЗЕЛИКСОН обеспечить реализацию фондов на моторы "ГАЗ-202" и запасные части, выделенных за счет лимитов НКО, согласно приложению № 23.</w:t>
      </w:r>
    </w:p>
    <w:p w14:paraId="79357EA4"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16. Директорам заводов НКТП, Начальнику Главснаба т. РОЗИНУ, Начальнику 3 Главного Управления т. ХАБАХПАШЕВУ и начальникам 1-го, 3-го, Транспортного и Механо-Энергетического отделов НКТП учесть, что тем же постановлением ГОКО за № 2086сс от 24 июля:</w:t>
      </w:r>
    </w:p>
    <w:p w14:paraId="144864DF"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установлено, что отоваривание фондов и поставка материалов, топлива и запасных частей, выделенных для ремонта танков, тракторов и автомашин, производится наравне с поставками танковой и авиационной промышленности.</w:t>
      </w:r>
    </w:p>
    <w:p w14:paraId="38528C43"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НКПС обязан обеспечить по заявкам Наркоматов своевременную перевозку оперативными транспортами танков, тракторов и автомашин, требующих ремонта и отремонтированных, а также материалов и запасных частей для ремонта машин.</w:t>
      </w:r>
    </w:p>
    <w:p w14:paraId="51DBCA98"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НКЭП обязан обеспечить бесперебойное снабжение электроэнергией предприятий, производящих капитальный ремонт танков, тракторов и автомашин для Красной Армии.</w:t>
      </w:r>
    </w:p>
    <w:p w14:paraId="77F80467"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ГАБТУ КА разрешено по договоренности с НКТП и НКСМ передавать танковым заводам годные корпуса, с которых сняты все агрегаты в результате их разрушения, для использования этих корпусов на сборке новых танков.</w:t>
      </w:r>
    </w:p>
    <w:p w14:paraId="00CDE5CC"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Директорам заводов НКТП Кировского – т. МАХОНИНУ, СТЗ – т. ЗАДОРОЖНОМУ, № 112 – т. РУБИНЧИКУ, № 200 – т. СОЧИВКО каждую пятидневку сообщать в 1-й отдел НКТП, через диспетчерскую службу, сводки выпуска из ремонта танков, дизельмоторов и тракторов.</w:t>
      </w:r>
    </w:p>
    <w:p w14:paraId="75F578AE"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И.О. Начальника сектора запасных частей и ремонта т. ЛУКЬЯНОВУ подготавливать для представления в Совнарком СССР, Госплан СССР и Наркомат Госконтроля СССР каждые 10 дней сводки выпуска из ремонта машин по всем заводам НКТП.</w:t>
      </w:r>
    </w:p>
    <w:p w14:paraId="6523A68B"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Контроль за выполнением настоящего приказа возлагаю на И.О. Начальника сектора запасных частей и ремонта 1-го отдела т. ЛУКЬЯНОВА.</w:t>
      </w:r>
    </w:p>
    <w:p w14:paraId="23B90720" w14:textId="77777777" w:rsidR="002E06F9" w:rsidRPr="001E2C69" w:rsidRDefault="002E06F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ЗАМЕСТИТЕЛЬ НАРОДНОГО КОМИССАРА ТАНКОВОЙ ПРОМЫШЛЕННОСТИ СОЮЗА ССР подпись П. ЗЕРНОВ (21228).</w:t>
      </w:r>
    </w:p>
    <w:p w14:paraId="0C532E4B" w14:textId="77777777" w:rsidR="002E06F9" w:rsidRPr="001E2C69" w:rsidRDefault="002E06F9" w:rsidP="00722885">
      <w:pPr>
        <w:spacing w:after="0" w:line="240" w:lineRule="auto"/>
        <w:jc w:val="both"/>
        <w:rPr>
          <w:rFonts w:ascii="Times New Roman" w:hAnsi="Times New Roman"/>
          <w:color w:val="000000" w:themeColor="text1"/>
          <w:sz w:val="16"/>
          <w:szCs w:val="16"/>
        </w:rPr>
      </w:pPr>
    </w:p>
    <w:p w14:paraId="5B5D942A"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28 июля 1942 года вышел приказ № 525с НКБ</w:t>
      </w:r>
    </w:p>
    <w:p w14:paraId="3009FDEE"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В соответствии с распоряжением СНК № 13211-рс от 18 июля 1942 года:</w:t>
      </w:r>
    </w:p>
    <w:p w14:paraId="0A5F51CE"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Выделить филиал завода № 58 в самостоятельный завод с присвоением ему № 738, подчинив его руководству 6-го Главного управления (5905, 199).</w:t>
      </w:r>
    </w:p>
    <w:p w14:paraId="05D2041C" w14:textId="77777777" w:rsidR="00AE7191" w:rsidRPr="001E2C69" w:rsidRDefault="00AE7191" w:rsidP="00722885">
      <w:pPr>
        <w:pStyle w:val="Iauiue"/>
        <w:tabs>
          <w:tab w:val="left" w:pos="11199"/>
        </w:tabs>
        <w:jc w:val="both"/>
        <w:rPr>
          <w:color w:val="000000" w:themeColor="text1"/>
          <w:sz w:val="16"/>
          <w:szCs w:val="16"/>
        </w:rPr>
      </w:pPr>
    </w:p>
    <w:p w14:paraId="64F46975"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июля 1942 года вышел приказ Наркомата среднего машиностроения о передаче с Горьковского автозавода 1400 броневого листа, оставшегося от производства танков Т-60, для использования его на бронедетали к бронепоездам (15218).</w:t>
      </w:r>
    </w:p>
    <w:p w14:paraId="0F7E8BB1" w14:textId="77777777" w:rsidR="00E13488" w:rsidRPr="001E2C69" w:rsidRDefault="00E13488" w:rsidP="00722885">
      <w:pPr>
        <w:spacing w:after="0" w:line="240" w:lineRule="auto"/>
        <w:jc w:val="both"/>
        <w:rPr>
          <w:rFonts w:ascii="Times New Roman" w:hAnsi="Times New Roman"/>
          <w:color w:val="000000" w:themeColor="text1"/>
          <w:sz w:val="16"/>
          <w:szCs w:val="16"/>
        </w:rPr>
      </w:pPr>
    </w:p>
    <w:p w14:paraId="04C1C525"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28 июля 1942 вышло Постановление ГКО № 2115 О вооружении судов Рейдтанкера Наркомморфлота и волжских судов Наркомречфлота. (7047, 119).</w:t>
      </w:r>
    </w:p>
    <w:p w14:paraId="18B4C6A1" w14:textId="77777777" w:rsidR="00AE7191" w:rsidRPr="001E2C69" w:rsidRDefault="00AE7191" w:rsidP="00722885">
      <w:pPr>
        <w:pStyle w:val="Iauiue"/>
        <w:tabs>
          <w:tab w:val="left" w:pos="11199"/>
        </w:tabs>
        <w:jc w:val="both"/>
        <w:rPr>
          <w:color w:val="000000" w:themeColor="text1"/>
          <w:sz w:val="16"/>
          <w:szCs w:val="16"/>
        </w:rPr>
      </w:pPr>
    </w:p>
    <w:p w14:paraId="6A34CC1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июля 1942 вышло Постановление ГКО № 2117 О частичном изменении постановлений ГОКО № 1961сс от 4 июля и № 2012сс от 11 июля 1942 г. РГАНИР, Фонд ГКО, д. 48, лл. 121 (11012).</w:t>
      </w:r>
    </w:p>
    <w:p w14:paraId="068600F2"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DDF0A0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июля 1942 вышло Постановление ГКО № 2118 Об отгрузке агрегатов, узлов и деталей танка КВ заводу № 371 (г. Ленинград). РГАНИР, Фонд ГКО, д. 48, лл. 122, 123 (11012).</w:t>
      </w:r>
    </w:p>
    <w:p w14:paraId="509148CC"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0A29D2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июля 1942 вышло Постановление ГКО № 2120 Об организации производства танков Т-34 на Уралмашзаводе и заводе № 37 Наркомтанкопрома. РГАНИР, Фонд ГКО, д. 48, лл. 125-129, 130-134 (11012).</w:t>
      </w:r>
    </w:p>
    <w:p w14:paraId="2974330B"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9D6FE4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июля 1942 г. О мобилизации рабочих на строительство прядильно-ткацкого комбината Наркомтекстиля СССР в г. Канске</w:t>
      </w:r>
    </w:p>
    <w:p w14:paraId="77E6602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Решение № 978 исполкома Красноярского исполкома крайсовета</w:t>
      </w:r>
    </w:p>
    <w:p w14:paraId="5C03C15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Красноярск 28 июля 1942 г.</w:t>
      </w:r>
    </w:p>
    <w:p w14:paraId="171DD6B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соответствии с постановлением Совнаркома Союза ССР № 1252 от 24/VII-[19]42 г. исполком крайсовета решил: </w:t>
      </w:r>
    </w:p>
    <w:p w14:paraId="6EC3F53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Обязать Канский горсовет: </w:t>
      </w:r>
    </w:p>
    <w:p w14:paraId="6EA30FAD" w14:textId="77777777" w:rsidR="00AE7191" w:rsidRPr="001E2C69" w:rsidRDefault="00AE7191" w:rsidP="00722885">
      <w:pPr>
        <w:tabs>
          <w:tab w:val="left" w:pos="72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До 8 августа с/г. мобилизовать из числа неработающего трудоспособного населения на строительство прядильно-ткацкого комбината Наркомтекстиля СССР, осуществляемого Главвоенпромстроем, 200 человек.</w:t>
      </w:r>
    </w:p>
    <w:p w14:paraId="009D51D1" w14:textId="77777777" w:rsidR="00AE7191" w:rsidRPr="001E2C69" w:rsidRDefault="00AE7191" w:rsidP="00722885">
      <w:pPr>
        <w:tabs>
          <w:tab w:val="left" w:pos="72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О ходе мобилизации сообщать телеграфно раз в пятидневку нарастающим итогом и не позднее 8-го августа сообщить о выполнении настоящего решения.</w:t>
      </w:r>
    </w:p>
    <w:p w14:paraId="2E587D0B" w14:textId="77777777" w:rsidR="00AE7191" w:rsidRPr="001E2C69" w:rsidRDefault="00AE7191" w:rsidP="00722885">
      <w:pPr>
        <w:tabs>
          <w:tab w:val="left" w:pos="72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число мобилизованных засчитывать количество рабочих, принятых строительством в индивидуальном порядке, начиная с 24-го июля 1942 года. </w:t>
      </w:r>
    </w:p>
    <w:p w14:paraId="13C1D8B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Зам[еститель] председателя исполкома крайсовета подпись К. Левина</w:t>
      </w:r>
    </w:p>
    <w:p w14:paraId="0EA432B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Секретарь исполкома крайсовета подпись Е. Нифантьев</w:t>
      </w:r>
    </w:p>
    <w:p w14:paraId="4C3AA88E" w14:textId="77777777" w:rsidR="00AE7191" w:rsidRPr="001E2C69" w:rsidRDefault="00AE7191" w:rsidP="00722885">
      <w:pPr>
        <w:spacing w:after="0" w:line="240" w:lineRule="auto"/>
        <w:jc w:val="both"/>
        <w:rPr>
          <w:rFonts w:ascii="Times New Roman" w:hAnsi="Times New Roman"/>
          <w:iCs/>
          <w:color w:val="000000" w:themeColor="text1"/>
          <w:sz w:val="16"/>
          <w:szCs w:val="16"/>
        </w:rPr>
      </w:pPr>
      <w:r w:rsidRPr="001E2C69">
        <w:rPr>
          <w:rFonts w:ascii="Times New Roman" w:hAnsi="Times New Roman"/>
          <w:iCs/>
          <w:color w:val="000000" w:themeColor="text1"/>
          <w:sz w:val="16"/>
          <w:szCs w:val="16"/>
        </w:rPr>
        <w:t>ГАКК. Ф.Р-1386. Оп.1. Д.844. Л.135. Подлинник. Машинопись (11800).</w:t>
      </w:r>
    </w:p>
    <w:p w14:paraId="01611A68" w14:textId="77777777" w:rsidR="00AE7191" w:rsidRPr="001E2C69" w:rsidRDefault="00AE7191" w:rsidP="00722885">
      <w:pPr>
        <w:spacing w:after="0" w:line="240" w:lineRule="auto"/>
        <w:jc w:val="both"/>
        <w:rPr>
          <w:rFonts w:ascii="Times New Roman" w:hAnsi="Times New Roman"/>
          <w:iCs/>
          <w:color w:val="000000" w:themeColor="text1"/>
          <w:sz w:val="16"/>
          <w:szCs w:val="16"/>
        </w:rPr>
      </w:pPr>
    </w:p>
    <w:p w14:paraId="053EB63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28 июля 1942 г. руководство ВМФ утвердило обширный перечень изменений технического проекта сторожевика типа Ястреб, в котором помимо усиления зе</w:t>
      </w:r>
      <w:r w:rsidRPr="001E2C69">
        <w:rPr>
          <w:color w:val="000000" w:themeColor="text1"/>
          <w:sz w:val="16"/>
          <w:szCs w:val="16"/>
        </w:rPr>
        <w:softHyphen/>
        <w:t>нитного вооружения и прочности оконечностей предусматривалась установка гидроакустической станции "Тамир", бомбометов, раз</w:t>
      </w:r>
      <w:r w:rsidRPr="001E2C69">
        <w:rPr>
          <w:color w:val="000000" w:themeColor="text1"/>
          <w:sz w:val="16"/>
          <w:szCs w:val="16"/>
        </w:rPr>
        <w:softHyphen/>
        <w:t>магничивающего устройства и даже изменение формы кормы — с транцевой на крейсерскую (3898).</w:t>
      </w:r>
    </w:p>
    <w:p w14:paraId="51E20D50" w14:textId="77777777" w:rsidR="00AE7191" w:rsidRPr="001E2C69" w:rsidRDefault="00AE7191" w:rsidP="00722885">
      <w:pPr>
        <w:pStyle w:val="Iauiue"/>
        <w:jc w:val="both"/>
        <w:rPr>
          <w:color w:val="000000" w:themeColor="text1"/>
          <w:sz w:val="16"/>
          <w:szCs w:val="16"/>
        </w:rPr>
      </w:pPr>
    </w:p>
    <w:p w14:paraId="6825A284"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06D8847D" w14:textId="77777777" w:rsidR="00AE7191" w:rsidRPr="001E2C69" w:rsidRDefault="00AE7191" w:rsidP="00722885">
      <w:pPr>
        <w:pStyle w:val="Iauiue"/>
        <w:jc w:val="both"/>
        <w:rPr>
          <w:iCs/>
          <w:color w:val="000000" w:themeColor="text1"/>
          <w:sz w:val="16"/>
          <w:szCs w:val="16"/>
        </w:rPr>
      </w:pPr>
    </w:p>
    <w:p w14:paraId="3B5F5D6B"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июля в 1942 году утреннее сообщение Совинформбюро:</w:t>
      </w:r>
    </w:p>
    <w:p w14:paraId="548F9994"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28 июля наши войска вели бои с противником в районе Воронежа, а также в районе Цымлянская.</w:t>
      </w:r>
    </w:p>
    <w:p w14:paraId="24039617"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38A1A33C"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продолжались бои. Наши войска наносили удары немецко-фашистским войскам и несколько улучшили свои позиции. Переправившиеся на западный берег Дона части вели упорные бои с противником. На другом участке гитлеровцы атаковали населённый пункт, захваченный накануне нашими войсками. Потеряв на подступах к селу несколько сот солдат и офицеров, а также 3 танка,немцы вынуждены были отступить. Успешно истребляют врага советские артиллеристы. Один наш артиллерийский дивизион в течение суток уничтожил 4 тяжёлых немецкихтанка, подавил огонь 3 артиллерийских и 2 миномётных батарей и взорвал склад боеприпасов противника.</w:t>
      </w:r>
    </w:p>
    <w:p w14:paraId="2BFFF516"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излучине Дона наши войска отражают многочисленные атаки танков и мотопехоты противника. Одна наша часть в течение дня уничтожила 25 немецких танков и до 700 немецких солдат и офицеров.</w:t>
      </w:r>
    </w:p>
    <w:p w14:paraId="156A20FD"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Советская авиация неоднократно бомбила боевые порядки гитлеровцев. Уничтожено и повреждено 27 танков, 78 автомашин с войсками и грузом, более 100 повозок и несколько полевых и зенитных орудий. Рассеяно и частью уничтожено до двух рот пехоты и не менее эскадрона кавалерии противника. Наши бомбардировщики атаковали аэродромы противника и уничтожили на земле 22 и повредили 15 немецких самолётов. В воздушном бою советские истребители сбили 3 немецких «Мессершмитта-109».</w:t>
      </w:r>
    </w:p>
    <w:p w14:paraId="23805524"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Калининском фронте происходили бои местного значения. На одном участке противник пытался овладеть нашим оборонительным рубежом и бросил в атаку до двух полков пехоты и 40 танков. Немцам удалось вначале потеснить передовое охранение и прорваться к переднему краю нашей обороны. Однако здесь гитлеровцы были встречены мощным артиллерийским огнём. Они понесли большие потери и были вынуждены залечь. В это время наши части перешли в контратаку, опрокинули противника и отбросили его на исходные позиции.</w:t>
      </w:r>
    </w:p>
    <w:p w14:paraId="0D4F07A5"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под командованием тов. Е., действующий в Орловскойобласти, за три недели уничтожил до 100 оккупантов, подорвал 2 броневика, 5 грузовых и одну легковую автомашину. Кроме того, партизаны подбили два немецких самолёта и пустили под откос 4 железнодорожных эшелона противника.</w:t>
      </w:r>
    </w:p>
    <w:p w14:paraId="2BE4F5F2"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 немецкого солдата Генриха Ройшеля найдено письмо от жены из Хемница. В письме говорится: «Не знаю, как долго ещё продлится война, но уже сейчас на каждом шагу видишь людей, которые еле волокут ноги. Многих наших знакомых ты бы сейчас ни за что не узнал. Между тем опять поговаривают о новом сокращении норм снабжения. Что же тогда будет с нами?»</w:t>
      </w:r>
    </w:p>
    <w:p w14:paraId="09BC16D0"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Норвежские патриоты разрушают укрепления, возведённые немецкими захватчиками на побережье Норвегии. Гитлеровцы согнали 500 норвежцев на строительство аэродрома близ Листер Фьорка. Отважные патриоты сожгли ангары, перебили охрану и, захватив оружие, ушли в горы.</w:t>
      </w:r>
    </w:p>
    <w:p w14:paraId="0FC3F17F"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Партизаны Югославии ведут героическую борьбу с немецкими и итальянскими захватчиками. Смелыми налётами патриоты истребляют оккупантов, захватывают у них оружие и боеприпасы. У города Б. партизаны напали на итальянскую колонну и истребили 32 солдата и одного офицера. В бою с партизанами у деревни К. итальянцы потеряли убитыми и ранеными 160 солдат и офицеров. 50 итальянских солдат захвачены партизанами в плен. Захвачено также у противника 12 пулемётов, 2 миномёта, 85 винтовок и много боеприпасов.</w:t>
      </w:r>
    </w:p>
    <w:p w14:paraId="6B1456FF"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Нефтепромысел треста «Бугуруслан-нефть», получивший переходящее Красное Знамя Государственного Комитета Обороны, выполняет суточные задания по добыче нефти в июле месяце на 119 процентов.» (14966).</w:t>
      </w:r>
    </w:p>
    <w:p w14:paraId="065A67E1" w14:textId="77777777" w:rsidR="00E13488" w:rsidRPr="001E2C69" w:rsidRDefault="00E13488" w:rsidP="00722885">
      <w:pPr>
        <w:spacing w:after="0" w:line="240" w:lineRule="auto"/>
        <w:jc w:val="both"/>
        <w:rPr>
          <w:rFonts w:ascii="Times New Roman" w:hAnsi="Times New Roman"/>
          <w:color w:val="000000" w:themeColor="text1"/>
          <w:sz w:val="16"/>
          <w:szCs w:val="16"/>
        </w:rPr>
      </w:pPr>
    </w:p>
    <w:p w14:paraId="554FE44D"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июля в 1942 году вечернее сообщение Совинформбюро:</w:t>
      </w:r>
    </w:p>
    <w:p w14:paraId="74F63556"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28 июля наши войска вели ожесточённые бои в районе Воронежа, а также в районах Цымлянская, Батайск.</w:t>
      </w:r>
    </w:p>
    <w:p w14:paraId="24691C81"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6F7748DE"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Нашими кораблями в Финском заливе потоплено три транспорта противника общим водоизмещением в 19.000 тонн.</w:t>
      </w:r>
    </w:p>
    <w:p w14:paraId="4E335BD7"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27 июля частями нашей авиации на различных участках фронта уничтожено или повреждено до 60 немецких танков, 5 бронемашин, 200 автомашин с войсками и грузами, 10 автоцистерн с горючим, 30 повозок с боеприпасами, взорвано 3 склада боеприпасов и 2 склада горючего, подавлен огонь 10 батарей полевой и зенитной артиллерии, рассеяно и частью уничтожено до полка пехоты противника.</w:t>
      </w:r>
    </w:p>
    <w:p w14:paraId="2357363A"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участке южнее Воронежа одна наша часть ворвалась в расположение противникаи ведёт ожесточённый бой внутри укрепленного немцами района. На соседнем участке наши бойцы продвинулись вперёд и выбивают гитлеровцев из нескольких населённых пунктов. Противник потерял в этих боях убитыми свыше 1.000 солдат и офицеров. Западнее Воронежа немцы предприняли танковую атаку. Встреченные огнём нашей артиллерии, они понесли большие потери и отошли на прежние позиции.</w:t>
      </w:r>
    </w:p>
    <w:p w14:paraId="63C810DB"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Цымлянской наши войска вели бои с противником. В одном месте немцам удалось переправиться на южный берег Дона. Наши части непрерывными контратаками стремятся отбросить противника. Советские танкисты ворвались в расположение немецких войск и уничтожили 5 танков, 18 орудий, сожгли 10 автомашин с боеприпасами и уничтожили свыше 200 гитлеровцев.</w:t>
      </w:r>
    </w:p>
    <w:p w14:paraId="0D3B8DD5"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Батайска происходят ожесточённые бои. Наши части отбили четыре атаки гитлеровцев, следовавшие одна за другой. Противнику нанесены большие потери. Огнём артиллерии уничтожено 17 немецких танков и свыше батальона пехоты противника.</w:t>
      </w:r>
    </w:p>
    <w:p w14:paraId="40BCE9EA"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Брянского фронта наши части в течение двух дней вели бои, в которых с той и другой стороны участвовало большое количество танков. Гвардейцы-танкисты во взаимодействии с другими родами войск нанесли большой урон действующей здесь немецкой танковой дивизии. Подбито и уничтожено более 100 немецких танков. Гитлеровцы оставили один укрепленный населённый пункт. За два дня боёв на этом участке нашими бойцами захвачены 12 немецких танков, 28 орудий, 48 пулемётов, 2 радиостанции, 7.000 снарядов и другие трофеи. Взяты пленные.</w:t>
      </w:r>
    </w:p>
    <w:p w14:paraId="2A667F11"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Немецкое командование перебрасывает с Запада на советско-германский фронт не только пехотные дивизии и мотомехчасти, но и авиацию. Недавно были переброшены 55 бомбардировочная эскадра, 3 и 53 истребительные эскадры и другие военно-воздушные части.</w:t>
      </w:r>
    </w:p>
    <w:p w14:paraId="39256679"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пилот 55 бомбардировочной эскадры унтер-офицер Фриц Клейн рассказал: «Наша эскадра до последнего времени базировалась во Франции. Последнее время мы почти прекратили боевые полёты. В июле предполагалось провести большие манёвры с участием войск, расположенных во Франции, Бельгии и Голландии. Но неожиданно наша и некоторые другие эскадры получили приказ вылететь на русский фронт». Пленный лётчик 53 истребительной эскадры унтер-офицер Карл Корк показал: «На некоторых аэродромах на Западе не осталось ни одной боевой машины. В ряде случаев ранее действовавшие военные аэродромы превращены в ложные аэродромы с макетами вместо боевых самолётов. В течение одного месяца наша группа перебазировалась не менее пяти раз. Лётчики по этому поводу острили и называли нашу группу кочующей. Нам говорили, что это делается для того, чтобы ввести в заблуждение противника и дезориентировать его. Но в конце концов многие кочевые группы, в том числе и наша, оказались в России. Сюда же переброшена с Запада и 3 истребительная эскадра «Удет».</w:t>
      </w:r>
    </w:p>
    <w:p w14:paraId="6AD90BBE"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захватчики разграбили и сожгли дотла 47 деревень Андреевского района, Смоленской области. Гитлеровские мерзавцы замучили и расстреляли несколько сот мирных жителей этих деревень.</w:t>
      </w:r>
    </w:p>
    <w:p w14:paraId="23A4656C"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авиационном заводе в городе Винер-Нейштадт (Австрия) произошёл взрыв. На заводе синтетического бензина в предместьях Вены возник большой пожар. Огнём уничтожено несколько цехов и склады с горючим. Немецкие власти с беспокойством отмечают резкое увеличение числа диверсий и актов саботажа на предприятиях Австрии.</w:t>
      </w:r>
    </w:p>
    <w:p w14:paraId="74D39B33"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где директором тов. Киселевский, досрочно выполняет все заказы фронта. Вчера коллектив завода выполнил июльскую программу. В течение месяца завод выпускал продукцию строго по графику.» (14966).</w:t>
      </w:r>
    </w:p>
    <w:p w14:paraId="74F5F1DB" w14:textId="77777777" w:rsidR="00E13488" w:rsidRPr="001E2C69" w:rsidRDefault="00E13488" w:rsidP="00722885">
      <w:pPr>
        <w:spacing w:after="0" w:line="240" w:lineRule="auto"/>
        <w:jc w:val="both"/>
        <w:rPr>
          <w:rFonts w:ascii="Times New Roman" w:hAnsi="Times New Roman"/>
          <w:color w:val="000000" w:themeColor="text1"/>
          <w:sz w:val="16"/>
          <w:szCs w:val="16"/>
        </w:rPr>
      </w:pPr>
    </w:p>
    <w:p w14:paraId="1A4C41FE" w14:textId="77777777" w:rsidR="00E13488" w:rsidRPr="001E2C69" w:rsidRDefault="00E1348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июля в 1942 году в СССР немцы овладевают Ростовом-на-Дону. Танковые и моторизированные войска противника вышли в Задонские, Сальские и Краснодарские степи, создали угрозу прорыва в глубь Кавказа (14966).</w:t>
      </w:r>
    </w:p>
    <w:p w14:paraId="7A8C623F" w14:textId="77777777" w:rsidR="00E13488" w:rsidRPr="001E2C69" w:rsidRDefault="00E13488" w:rsidP="00722885">
      <w:pPr>
        <w:spacing w:after="0" w:line="240" w:lineRule="auto"/>
        <w:jc w:val="both"/>
        <w:rPr>
          <w:rFonts w:ascii="Times New Roman" w:hAnsi="Times New Roman"/>
          <w:color w:val="000000" w:themeColor="text1"/>
          <w:sz w:val="16"/>
          <w:szCs w:val="16"/>
        </w:rPr>
      </w:pPr>
    </w:p>
    <w:p w14:paraId="76A1F4D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28 июля 1942 вышли указания штаба ВВС КА № 3324'72, в которых отмечалось: "...основным недочетом продолжает оставаться отсутствие длительного воздействия на противника, неконкретность задач, а также неумение вести воздушный бой. Максимальное поражение целей и действительное моральное подавление живой силы противника должно достигаться не залповым бомбометанием с одного захода, а длительным (в течение 15-30 минут) пребыванием...штурмовиков над целью с применением многократных заходов на бомбометание, завершаемых атаками войск противника пушечно-пулеметным огнем... Задачи авиационным частям на действия по войскам должны быть совершенно конкретны с указанием определенных, заметных с воздуха целей. Следует исключить использование бомбардировщиков и штурмовиков в целях "обработки районов", "прочесывании" и тому подобных задач..." (8687).</w:t>
      </w:r>
    </w:p>
    <w:p w14:paraId="3E3A8996" w14:textId="77777777" w:rsidR="00AE7191" w:rsidRPr="001E2C69" w:rsidRDefault="00AE7191" w:rsidP="00722885">
      <w:pPr>
        <w:pStyle w:val="Iauiue"/>
        <w:jc w:val="both"/>
        <w:rPr>
          <w:color w:val="000000" w:themeColor="text1"/>
          <w:sz w:val="16"/>
          <w:szCs w:val="16"/>
        </w:rPr>
      </w:pPr>
    </w:p>
    <w:p w14:paraId="66BD2338"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28 июля 1942 в СССР издан приказ 227, запрещавший под угрозой расстрела любое отступление, вводивший штрафбаты и заградотряды (4962).</w:t>
      </w:r>
    </w:p>
    <w:p w14:paraId="00FD127C" w14:textId="77777777" w:rsidR="00AE7191" w:rsidRPr="001E2C69" w:rsidRDefault="00AE7191" w:rsidP="00722885">
      <w:pPr>
        <w:pStyle w:val="Iauiue"/>
        <w:tabs>
          <w:tab w:val="left" w:pos="11199"/>
        </w:tabs>
        <w:jc w:val="both"/>
        <w:rPr>
          <w:color w:val="000000" w:themeColor="text1"/>
          <w:sz w:val="16"/>
          <w:szCs w:val="16"/>
        </w:rPr>
      </w:pPr>
    </w:p>
    <w:p w14:paraId="07BACB2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28 июля 1942 вышел знаменитый приказ N 227 "Ни шагу назад" (337,56) и образовали на основе Южного и Северо-Кавказского фронтов один Северо-Кавказский под командованием С.М.Б. (512,213).</w:t>
      </w:r>
    </w:p>
    <w:p w14:paraId="24117D0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Якобы И.В.С. после доклада Н.М.Шверника, что Сталинград в опасности подумав сказал "Ничего не будем эвакуировать. Мы должны сказать армии и народу, что отступать дальше некуда. Надо защищать Сталинград" (339,30).</w:t>
      </w:r>
    </w:p>
    <w:p w14:paraId="4DF6484D" w14:textId="77777777" w:rsidR="00AE7191" w:rsidRPr="001E2C69" w:rsidRDefault="00AE7191" w:rsidP="00722885">
      <w:pPr>
        <w:pStyle w:val="Iauiue"/>
        <w:jc w:val="both"/>
        <w:rPr>
          <w:color w:val="000000" w:themeColor="text1"/>
          <w:sz w:val="16"/>
          <w:szCs w:val="16"/>
        </w:rPr>
      </w:pPr>
    </w:p>
    <w:p w14:paraId="7C40907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28 июля 1942 г. вышел ПРИКАЗ № 227 НКО О МЕРАХ ПО УКРЕПЛЕНИЮ ДИСЦИПЛИНЫ И ПОРЯДКА В КРАСНОЙ АРМИИ И ЗАПРЕЩЕНИИ САМОВОЛЬНОГО ОТХОДА С БОЕВЫХ ПОЗИЦИЙ</w:t>
      </w:r>
    </w:p>
    <w:p w14:paraId="53F4241D" w14:textId="77777777" w:rsidR="00AE7191" w:rsidRPr="001E2C69" w:rsidRDefault="00AE7191" w:rsidP="00722885">
      <w:pPr>
        <w:pStyle w:val="Iauiue"/>
        <w:jc w:val="both"/>
        <w:rPr>
          <w:iCs/>
          <w:color w:val="000000" w:themeColor="text1"/>
          <w:sz w:val="16"/>
          <w:szCs w:val="16"/>
        </w:rPr>
      </w:pPr>
      <w:r w:rsidRPr="001E2C69">
        <w:rPr>
          <w:iCs/>
          <w:color w:val="000000" w:themeColor="text1"/>
          <w:sz w:val="16"/>
          <w:szCs w:val="16"/>
        </w:rPr>
        <w:t>Без публикации</w:t>
      </w:r>
    </w:p>
    <w:p w14:paraId="581A4D9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Враг бросает на фронт все новые силы и, не считаясь с большими для него потерями, лезет вперед, рвется в глубь Советского Союза, захватывает новые районы, опустошает и разоряет наши города и села, насилует, грабит и убивает советское население. Бои идут в районе Воронежа, на Дону, на юге у ворот Северного Кавказа. Немецкие оккупанты рвутся к Сталинграду, к Волге и хотят любой ценой захватить Кубань, Северный Кавказ с их нефтяными и хлебными богатствами. Враг уже захватил Ворошиловград, Старо-бельск, Россошь, Купянск, Валуйки, Новочеркасск, Ростов-на-Дону, половину Воронежа. Часть войск Южного фронта, идя за паникерами, оставила Ростов и Новочеркасск без серьезного сопротивления и без приказа Москвы, покрыв свои знамена позором.</w:t>
      </w:r>
    </w:p>
    <w:p w14:paraId="041E962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Население нашей страны, с любовью и уважением относящееся к Красной Армии, начинает разочаровываться в ней, теряет веру в Красную Армию, а многие из них проклинают Красную Армию за то, что она отдает наш народ под ярмо немецких угнетателей, а сама утекает на восток.</w:t>
      </w:r>
    </w:p>
    <w:p w14:paraId="247263C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Некоторые неумные люди на фронте утешают себя разговорами о том, что мы можем и дальше отступать на восток, так как у нас много территории, много земли, много населения и что хлеба у нас всегда будет в избытке. Этим они хотят оправдать свое позорное поведение на фронтах. Но такие разговоры являются насквозь фальшивыми и лживыми, выгодными лишь нашим врагам.</w:t>
      </w:r>
    </w:p>
    <w:p w14:paraId="5369AEF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Каждый командир, красноармеец и политработник должны понять*, что наши средства не безграничны. Территория Советского государства — это не пустыня, а люди— рабочие, крестьяне, интеллигенция, наши отцы, матери, жены, братья, дети. Территория СССР, которую захватил и стремится захватить враг, — это хлеб и другие продукты для армии и тыла, металл и топливо для промышленности, фабрики, заводы, снабжающие армию вооружением и боеприпасами, железные дороги. После потери Украины, Белоруссии, Прибалтики, Донбаса и других областей у нас стало намного меньше территории, стало быть, стало намного меньше людей, хлеба, металла, заводов, фабрик. Мы потеряли более 70 миллионов населения, более 800 миллионов пудов хлеба в год и более 10 миллионов тонн металла в год. У нас нет уже теперь преобладания над немцами ни в людских резервах, ни в запасах хлеба. Отступать дальше — значит загубить себя и загубить вместе с тем нашу Родину. Каждый новый клочок оставленной нами территории будет всемерно усиливать врага и всемерно ослаблять нашу оборону, нашу Родину.</w:t>
      </w:r>
    </w:p>
    <w:p w14:paraId="1869268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Поэтому надо в корне пресекать разговоры о том, что мы имеем возможность без конца отступать, что у нас много территории, страна наша велика и богата, населения много, хлеба всегда будет в избытке. Такие разговоры являются лживыми и вредными, они ослабляют нас и усиливают врага, ибо если не прекратим отступление, останемся без хлеба, без топлива, без металла, без сырья, без фабрик и заводов, без железных дорог.</w:t>
      </w:r>
    </w:p>
    <w:p w14:paraId="14F6B2E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Из этого следует, что пора кончить отступление.</w:t>
      </w:r>
    </w:p>
    <w:p w14:paraId="5739F67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Ни шагу назад! Таким теперь должен быть наш главный призыв.</w:t>
      </w:r>
    </w:p>
    <w:p w14:paraId="65B06BE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Надо упорнб, до последней капли крови защищать каждую позицию, каждый метр советской территории, цепляться за каждый клочок советской земли и отстаивать его до последней возможности.</w:t>
      </w:r>
    </w:p>
    <w:p w14:paraId="3C28336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Наша Родина переживает тяжелые дни. Мы должны остановить, а затем отбросить и разгромить врага, чего бы это нам ни стоило. Немцы не так сильны, как это кажется паникерам. Они напрягают последние силы. Выдержать их удар сейчас, в ближайшие несколько месяцев — это значит обеспечить за нами победу.</w:t>
      </w:r>
    </w:p>
    <w:p w14:paraId="6D485F3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Можем ли выдержать удар, а потом и отбросить врага на запад? Да, можем, ибо наши фабрики и заводы в тылу работают теперь прекрасно, и наш фронт получает все </w:t>
      </w:r>
      <w:r w:rsidRPr="001E2C69">
        <w:rPr>
          <w:color w:val="000000" w:themeColor="text1"/>
          <w:sz w:val="16"/>
          <w:szCs w:val="16"/>
        </w:rPr>
        <w:lastRenderedPageBreak/>
        <w:t>больше и больше самолетов, танков, артиллерии, минометов.</w:t>
      </w:r>
    </w:p>
    <w:p w14:paraId="0C78A8C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Чего же у нас не хватает?</w:t>
      </w:r>
    </w:p>
    <w:p w14:paraId="0BF09DC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Не хватает порядка и дисциалины в ротах, батальонах, полках, дивизиях, в танковых частях, в авиаэскадрильях. В этом теперь наш главный недостаток. Мы должны установить в нашей армии строжайший порядок и железную дисциплину, если мы хотим спасти положение и отстоять нашу Родину.</w:t>
      </w:r>
    </w:p>
    <w:p w14:paraId="28E0FAC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Нельзя терпеть дальше командиров, комиссаров, политработников, части и соединения которых самовольно оставляют боевые позиции. Нельзя терпеть дальше, когда командиры, комиссары, политработники допускают, чтобы несколько паникеров определяли положение на поле боя, чтобы они увлекали в отступление других бойцов и открывали фронт врагу.</w:t>
      </w:r>
    </w:p>
    <w:p w14:paraId="5A01CCA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Паникеры и трусы должны истребляться на месте.</w:t>
      </w:r>
    </w:p>
    <w:p w14:paraId="1215287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Отныне железным законом дисциплины для каждого командира, красноармейца, политработника должно являться требование — ни шагу назад без приказа высшего командования.</w:t>
      </w:r>
    </w:p>
    <w:p w14:paraId="50BF2CF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Командиры роты, батальона, полка, дивизии, соответствующие комиссары и политработники, отступающие с боевой позиции без приказа свыше, являются предателями Родины. С такими командирами и политработниками </w:t>
      </w:r>
      <w:r w:rsidRPr="001E2C69">
        <w:rPr>
          <w:color w:val="000000" w:themeColor="text1"/>
          <w:sz w:val="16"/>
          <w:szCs w:val="16"/>
          <w:u w:val="single"/>
        </w:rPr>
        <w:t>и поступать</w:t>
      </w:r>
      <w:r w:rsidRPr="001E2C69">
        <w:rPr>
          <w:color w:val="000000" w:themeColor="text1"/>
          <w:sz w:val="16"/>
          <w:szCs w:val="16"/>
        </w:rPr>
        <w:t xml:space="preserve"> надо, как с предателями Родины.</w:t>
      </w:r>
    </w:p>
    <w:p w14:paraId="512D96C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Таков призыв нашей Родины.</w:t>
      </w:r>
    </w:p>
    <w:p w14:paraId="5CFDA12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Выполнить этот призыв — значит отстоять нашу землю, спасти Родину, истребить и победить ненавистного врага.</w:t>
      </w:r>
    </w:p>
    <w:p w14:paraId="091C986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После своего зимнего отступления под напором Красной Армии, когда в немецких войсках расшаталась дисциплина, немцы для восстановления дисциплины приняли некоторые суровые меры, приведшие к неплохим результатам. Они сформировали более 100 штрафных рот из бойцов, провинившихся в нарушении дисциплины по трусости или неустойчивости, поставили их на опасные участки фронта и приказали им искупить кровью свои грехи. Они сформировали, далее, около десятка штрафных батальонов из командиров, провинившихся в нарушении дисциплины по трусости или неустойчивости, лишили их орденов, поставили их на еще более опасные участки фронта и приказали им искупить кровью свои грехи. Они сформировали, наконец, специальные отряды заграждения, поставили их позади неустойчивых дивизий и велели им расстреливать на месте паникеров в случае попытки самовольного оставления позиций и в случае попытки сдаться в плен. Как известно, эти меры возымели свое действие, и теперь немецкие войска дерутся лучше, чем они дрались зимой. И вот получается, что немецкие войска имеют хорошую дисциплину, хотя у них нет возвышенной цели защиты своей родины, а есть лишь одна грабительская цель — покорить чужую страну, а наши войска, имеющие возвышенную цель защиты своей поруганной Родины, не имеют такой дисциплины и терпят ввиду этого поражение.</w:t>
      </w:r>
    </w:p>
    <w:p w14:paraId="29109B7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Не следует ли нам поучиться в этом деле у наших врагов, как учились в прошлом наши предки у врагов и одерживали потом над ними победу?</w:t>
      </w:r>
    </w:p>
    <w:p w14:paraId="7D27EB9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Я думаю, что следует.</w:t>
      </w:r>
    </w:p>
    <w:p w14:paraId="7F8683E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Верховное Главнокомандование Красной Армии приказывает:</w:t>
      </w:r>
    </w:p>
    <w:p w14:paraId="66802D9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Военным советам фронтов и прежде всего командующим фронтов:</w:t>
      </w:r>
    </w:p>
    <w:p w14:paraId="5E618B2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 безусловно ликвидировать отступательные настроения в войсках и железной рукой пресекать пропаганду о том, что мы можем и должны якобы отступать и дальше на восток, что от такого отступления не будет якобы вреда;</w:t>
      </w:r>
    </w:p>
    <w:p w14:paraId="5F24A28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 безусловно снимать с поста и направлять в Ставку для привлечения военному суду командующих армиями, допустивших самовольный отход войск с занимаемых позиций, без приказа командования фронта;</w:t>
      </w:r>
    </w:p>
    <w:p w14:paraId="1B7BC77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сформировать в пределах фронта от одного до трех (смотря по обстановке) штрафных батальона (по 800 человек),* куда направлять средних и старших командиров и соответствующих политработников всех родов войск, провинившихся в нарушении дисциплины по трусости или неустойчивости, и поставить их на более трудные участки фронта, чтобы дать им возможность искупить кровью свои преступления против Родины.</w:t>
      </w:r>
    </w:p>
    <w:p w14:paraId="76A029C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Военным советам армий и прежде всего командующим армиями:</w:t>
      </w:r>
    </w:p>
    <w:p w14:paraId="797063D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 безусловно снимать с постов командиров и комиссаров корпусов и дивизий, допустивших самовольный отход войск с занимаемых позиций без приказа командования армии, и направлять их в военный совет фронта для предания военному суду;</w:t>
      </w:r>
    </w:p>
    <w:p w14:paraId="67B2AB6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 сформировать в пределах армии 3 — 5 хорошо вооруженных заградительных отряда (до 200 человек в каждом), поставить их в непосредственном тылу неустойчивых дивизий и обязать их в случае паники и беспорядочного отхода частей дивизии расстреливать на месте паникеров и трусов и тем помочь честным бойцам дивизий выполнить свой долг перед Родиной;</w:t>
      </w:r>
    </w:p>
    <w:p w14:paraId="4C679F0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сформировать в пределах армии от пяти до десяти (смотря по обстановке) штрафных рот (от 150 до 200 человек в каждой), куда направлять рядовых бойцов и младших командиров, провинившихся в нарушении дисциплины по трусости или неустойчивости, и поставить их на трудные участки армии, чтобы дать им возможность искупить кровью свои преступле-ния перед Родиной.</w:t>
      </w:r>
    </w:p>
    <w:p w14:paraId="3E4DE53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Командирам и комиссарам корпусов и дивизий:</w:t>
      </w:r>
    </w:p>
    <w:p w14:paraId="4D5EE52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 безусловно снимать с постов командиров и комиссаров полков и батальонов, допустивших самовольный отход частей без приказа командира корпуса или дивизии, отбирать у них ордена и медали и направлять их в военные советы фронта* для предания военному суду;</w:t>
      </w:r>
    </w:p>
    <w:p w14:paraId="4C8A5DF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 оказывать всяческую помощь и поддержку заградительным отрядам армии в деле укрепления порядка и дисциплины в частях.</w:t>
      </w:r>
    </w:p>
    <w:p w14:paraId="7343A12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Приказ прочесть во всех ротах, эскадронах, батареях, эскадрильях, командах, штабах.</w:t>
      </w:r>
    </w:p>
    <w:p w14:paraId="048B0A07" w14:textId="77777777" w:rsidR="00AE7191" w:rsidRPr="001E2C69" w:rsidRDefault="00AE7191" w:rsidP="00722885">
      <w:pPr>
        <w:pStyle w:val="Iauiue"/>
        <w:jc w:val="both"/>
        <w:rPr>
          <w:color w:val="000000" w:themeColor="text1"/>
          <w:sz w:val="16"/>
          <w:szCs w:val="16"/>
        </w:rPr>
      </w:pPr>
      <w:r w:rsidRPr="001E2C69">
        <w:rPr>
          <w:iCs/>
          <w:color w:val="000000" w:themeColor="text1"/>
          <w:sz w:val="16"/>
          <w:szCs w:val="16"/>
        </w:rPr>
        <w:t xml:space="preserve">Народный комиссар обороны СССР И. СТАЛИН </w:t>
      </w:r>
      <w:r w:rsidRPr="001E2C69">
        <w:rPr>
          <w:color w:val="000000" w:themeColor="text1"/>
          <w:sz w:val="16"/>
          <w:szCs w:val="16"/>
        </w:rPr>
        <w:t>(9844).</w:t>
      </w:r>
    </w:p>
    <w:p w14:paraId="650C5787" w14:textId="77777777" w:rsidR="00AE7191" w:rsidRPr="001E2C69" w:rsidRDefault="00AE7191" w:rsidP="00722885">
      <w:pPr>
        <w:pStyle w:val="Iauiue"/>
        <w:jc w:val="both"/>
        <w:rPr>
          <w:color w:val="000000" w:themeColor="text1"/>
          <w:sz w:val="16"/>
          <w:szCs w:val="16"/>
        </w:rPr>
      </w:pPr>
    </w:p>
    <w:p w14:paraId="2586BD9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28 июля 1942 немцы взяли Ростов-на-Дону и начали продвигаться на Кавказ (3907,236).</w:t>
      </w:r>
    </w:p>
    <w:p w14:paraId="3D244B1B" w14:textId="77777777" w:rsidR="00AE7191" w:rsidRPr="001E2C69" w:rsidRDefault="00AE7191" w:rsidP="00722885">
      <w:pPr>
        <w:pStyle w:val="Iauiue"/>
        <w:jc w:val="both"/>
        <w:rPr>
          <w:color w:val="000000" w:themeColor="text1"/>
          <w:sz w:val="16"/>
          <w:szCs w:val="16"/>
        </w:rPr>
      </w:pPr>
    </w:p>
    <w:p w14:paraId="3462315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июля 1942 положение на Волге обсуждал Государственный комитет обороны. Было принято решение об установке зенитного вооружения на судах, работающих в Южном Поволжье. На корабли назначались помощники капитанов по военной части, в обязанности которых входило командование боевыми расчетами. Уже в следующие дни в Сталинградском порту закипела работа. На нескольких пароходах срочно приваривали броневые листы к рулевым рубкам, грузили 37-мм зенитные пушки и пулеметы, матросы затаскивали на борт ящики с боеприпасами. Но оружия везде не хватало, и поначалу смогли наскрести только на 16 судов. В то же время бакенщики получили приказ сократить число и замаскировать навигационные ограждения на реке. Из речного транспорта в срочном порядке были изъяты 16 пассажирских и семь буксирных катеров для переоборудования в тральщики (11774).</w:t>
      </w:r>
    </w:p>
    <w:p w14:paraId="360A901F"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E47C8B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июля 1942 вышло Постановление ГКО № 2114 О сформировании 7-8 стрелковых дивизий в Северо-Кавказском военном округе. РГАНИР, Фонд ГКО, д. 48, лл. 118 (11012).</w:t>
      </w:r>
    </w:p>
    <w:p w14:paraId="32EC951C"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9213195"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Жизнь и внутренняя политика:</w:t>
      </w:r>
    </w:p>
    <w:p w14:paraId="4977F5DF" w14:textId="77777777" w:rsidR="00AE7191" w:rsidRPr="001E2C69" w:rsidRDefault="00AE7191" w:rsidP="00722885">
      <w:pPr>
        <w:pStyle w:val="Iauiue"/>
        <w:jc w:val="both"/>
        <w:rPr>
          <w:iCs/>
          <w:color w:val="000000" w:themeColor="text1"/>
          <w:sz w:val="16"/>
          <w:szCs w:val="16"/>
        </w:rPr>
      </w:pPr>
    </w:p>
    <w:p w14:paraId="1A205690" w14:textId="77777777" w:rsidR="00AE7191" w:rsidRPr="001E2C69" w:rsidRDefault="00AE7191" w:rsidP="00722885">
      <w:pPr>
        <w:pStyle w:val="Iauiue"/>
        <w:tabs>
          <w:tab w:val="left" w:pos="11199"/>
        </w:tabs>
        <w:jc w:val="both"/>
        <w:rPr>
          <w:color w:val="000000" w:themeColor="text1"/>
          <w:sz w:val="16"/>
          <w:szCs w:val="16"/>
          <w:lang w:val="en-US"/>
        </w:rPr>
      </w:pPr>
      <w:r w:rsidRPr="001E2C69">
        <w:rPr>
          <w:color w:val="000000" w:themeColor="text1"/>
          <w:sz w:val="16"/>
          <w:szCs w:val="16"/>
        </w:rPr>
        <w:t xml:space="preserve">28 июля 1942 вышло Постановление ГКО № 2119 О свертывании коечной госпитальной сети Наркомздрава. </w:t>
      </w:r>
      <w:r w:rsidRPr="001E2C69">
        <w:rPr>
          <w:color w:val="000000" w:themeColor="text1"/>
          <w:sz w:val="16"/>
          <w:szCs w:val="16"/>
          <w:lang w:val="en-US"/>
        </w:rPr>
        <w:t>(7047, 124).</w:t>
      </w:r>
    </w:p>
    <w:p w14:paraId="65A59107" w14:textId="77777777" w:rsidR="00AE7191" w:rsidRPr="001E2C69" w:rsidRDefault="00AE7191" w:rsidP="00722885">
      <w:pPr>
        <w:pStyle w:val="Iauiue"/>
        <w:tabs>
          <w:tab w:val="left" w:pos="11199"/>
        </w:tabs>
        <w:jc w:val="both"/>
        <w:rPr>
          <w:color w:val="000000" w:themeColor="text1"/>
          <w:sz w:val="16"/>
          <w:szCs w:val="16"/>
          <w:lang w:val="en-US"/>
        </w:rPr>
      </w:pPr>
    </w:p>
    <w:p w14:paraId="1BB994A9"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lang w:val="en-US"/>
        </w:rPr>
        <w:t>July 28, 1942: The effect of the fall of Rostov spreads panic and terror in the Soviet Union, promting harsh counter-measures by the Soviet High Command (3819).</w:t>
      </w:r>
    </w:p>
    <w:p w14:paraId="3988C613" w14:textId="77777777" w:rsidR="00AE7191" w:rsidRPr="001E2C69" w:rsidRDefault="00AE7191" w:rsidP="00722885">
      <w:pPr>
        <w:pStyle w:val="Iauiue"/>
        <w:jc w:val="both"/>
        <w:rPr>
          <w:color w:val="000000" w:themeColor="text1"/>
          <w:sz w:val="16"/>
          <w:szCs w:val="16"/>
          <w:lang w:val="en-US"/>
        </w:rPr>
      </w:pPr>
    </w:p>
    <w:p w14:paraId="4F23A6F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28 июля 1942 эффект падения Ростова породил панику в СССР (3819).</w:t>
      </w:r>
    </w:p>
    <w:p w14:paraId="25C8FFF7" w14:textId="77777777" w:rsidR="00AE7191" w:rsidRPr="001E2C69" w:rsidRDefault="00AE7191" w:rsidP="00722885">
      <w:pPr>
        <w:pStyle w:val="Iauiue"/>
        <w:jc w:val="both"/>
        <w:rPr>
          <w:color w:val="000000" w:themeColor="text1"/>
          <w:sz w:val="16"/>
          <w:szCs w:val="16"/>
        </w:rPr>
      </w:pPr>
    </w:p>
    <w:p w14:paraId="2B105CFB" w14:textId="77777777" w:rsidR="00326FD0" w:rsidRPr="001E2C69" w:rsidRDefault="00326FD0" w:rsidP="00722885">
      <w:pPr>
        <w:pStyle w:val="Iauiue"/>
        <w:tabs>
          <w:tab w:val="left" w:pos="11199"/>
        </w:tabs>
        <w:jc w:val="both"/>
        <w:rPr>
          <w:color w:val="000000" w:themeColor="text1"/>
          <w:sz w:val="16"/>
          <w:szCs w:val="16"/>
        </w:rPr>
      </w:pPr>
      <w:r w:rsidRPr="001E2C69">
        <w:rPr>
          <w:color w:val="000000" w:themeColor="text1"/>
          <w:sz w:val="16"/>
          <w:szCs w:val="16"/>
        </w:rPr>
        <w:t>28 июля 1942 нацисты расстреляли 10 тысяч евреев в Минске (4962).</w:t>
      </w:r>
    </w:p>
    <w:p w14:paraId="2DCBD024" w14:textId="77777777" w:rsidR="00326FD0" w:rsidRPr="001E2C69" w:rsidRDefault="00326FD0" w:rsidP="00722885">
      <w:pPr>
        <w:pStyle w:val="Iauiue"/>
        <w:tabs>
          <w:tab w:val="left" w:pos="11199"/>
        </w:tabs>
        <w:jc w:val="both"/>
        <w:rPr>
          <w:color w:val="000000" w:themeColor="text1"/>
          <w:sz w:val="16"/>
          <w:szCs w:val="16"/>
        </w:rPr>
      </w:pPr>
    </w:p>
    <w:p w14:paraId="7EFCCF70"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43AEFE23" w14:textId="77777777" w:rsidR="00AE7191" w:rsidRPr="001E2C69" w:rsidRDefault="00AE7191" w:rsidP="00722885">
      <w:pPr>
        <w:pStyle w:val="Iauiue"/>
        <w:jc w:val="both"/>
        <w:rPr>
          <w:iCs/>
          <w:color w:val="000000" w:themeColor="text1"/>
          <w:sz w:val="16"/>
          <w:szCs w:val="16"/>
        </w:rPr>
      </w:pPr>
    </w:p>
    <w:p w14:paraId="2B5867B2"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28 июля в 1942 году первый полет итальянского ударного самолета </w:t>
      </w:r>
      <w:hyperlink r:id="rId164" w:tgtFrame="_blank" w:history="1">
        <w:r w:rsidRPr="001E2C69">
          <w:rPr>
            <w:rFonts w:ascii="Times New Roman" w:hAnsi="Times New Roman"/>
            <w:color w:val="000000" w:themeColor="text1"/>
            <w:sz w:val="16"/>
            <w:szCs w:val="16"/>
          </w:rPr>
          <w:t xml:space="preserve">«SM.89» («ММ.533»). </w:t>
        </w:r>
      </w:hyperlink>
      <w:r w:rsidRPr="001E2C69">
        <w:rPr>
          <w:rFonts w:ascii="Times New Roman" w:hAnsi="Times New Roman"/>
          <w:color w:val="000000" w:themeColor="text1"/>
          <w:sz w:val="16"/>
          <w:szCs w:val="16"/>
        </w:rPr>
        <w:t>Его заводские испытания, проходившие на аэродроме «Vergiate» проводил летчик-испытатель «Guglielmo Algarotti». В октябре прототип передали в исследовательский центр в «Guidonia» в Риме для проведения всесторонних тестов. Несмотря на отсутствие третьего мотора и возросшую полетную массу «SM.89» показал весьма неплохие характеристики (14966).</w:t>
      </w:r>
    </w:p>
    <w:p w14:paraId="798EEF7A" w14:textId="77777777" w:rsidR="00326FD0" w:rsidRPr="001E2C69" w:rsidRDefault="00326FD0" w:rsidP="00722885">
      <w:pPr>
        <w:spacing w:after="0" w:line="240" w:lineRule="auto"/>
        <w:jc w:val="both"/>
        <w:rPr>
          <w:rFonts w:ascii="Times New Roman" w:hAnsi="Times New Roman"/>
          <w:color w:val="000000" w:themeColor="text1"/>
          <w:sz w:val="16"/>
          <w:szCs w:val="16"/>
        </w:rPr>
      </w:pPr>
    </w:p>
    <w:p w14:paraId="7D8EAD9D"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28–29 июля (ночь) 1942 256 британских бомбардировщиков атакуют Гамбург, Германия, при этом потеряно 30 самолетов, что явилось неприемлемо высоким уровнем потерь - 11,7% (20793).</w:t>
      </w:r>
    </w:p>
    <w:p w14:paraId="65A76ACD" w14:textId="77777777" w:rsidR="00650296" w:rsidRPr="001E2C69" w:rsidRDefault="00650296" w:rsidP="00722885">
      <w:pPr>
        <w:spacing w:after="0" w:line="240" w:lineRule="auto"/>
        <w:jc w:val="both"/>
        <w:rPr>
          <w:rFonts w:ascii="Times New Roman" w:hAnsi="Times New Roman"/>
          <w:color w:val="000000" w:themeColor="text1"/>
          <w:sz w:val="16"/>
          <w:szCs w:val="16"/>
        </w:rPr>
      </w:pPr>
    </w:p>
    <w:p w14:paraId="7B86170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28 июля 1942 японская императорская ставка издала приказ о начале общего наступления на Новой Гвинее (3186).</w:t>
      </w:r>
    </w:p>
    <w:p w14:paraId="622E3D2F" w14:textId="77777777" w:rsidR="00AE7191" w:rsidRPr="001E2C69" w:rsidRDefault="00AE7191" w:rsidP="00722885">
      <w:pPr>
        <w:pStyle w:val="Iauiue"/>
        <w:jc w:val="both"/>
        <w:rPr>
          <w:color w:val="000000" w:themeColor="text1"/>
          <w:sz w:val="16"/>
          <w:szCs w:val="16"/>
        </w:rPr>
      </w:pPr>
    </w:p>
    <w:p w14:paraId="22EE2598"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2524F2D1" w14:textId="77777777" w:rsidR="00AE7191" w:rsidRPr="001E2C69" w:rsidRDefault="00AE7191" w:rsidP="00722885">
      <w:pPr>
        <w:pStyle w:val="Iauiue"/>
        <w:jc w:val="both"/>
        <w:rPr>
          <w:iCs/>
          <w:color w:val="000000" w:themeColor="text1"/>
          <w:sz w:val="16"/>
          <w:szCs w:val="16"/>
        </w:rPr>
      </w:pPr>
    </w:p>
    <w:p w14:paraId="1583F10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29 июля 1942 г. в письме № 946 на имя А.И. Шахурина и П.Ф. Жигарева С.В. Ильюшин писал, что «такая установка, состоя</w:t>
      </w:r>
      <w:r w:rsidRPr="001E2C69">
        <w:rPr>
          <w:rFonts w:ascii="Times New Roman" w:hAnsi="Times New Roman"/>
          <w:color w:val="000000" w:themeColor="text1"/>
          <w:sz w:val="16"/>
          <w:szCs w:val="16"/>
        </w:rPr>
        <w:softHyphen/>
        <w:t>щая из 2-х неподвижных закрепленных пулеметов, стреляющих на</w:t>
      </w:r>
      <w:r w:rsidRPr="001E2C69">
        <w:rPr>
          <w:rFonts w:ascii="Times New Roman" w:hAnsi="Times New Roman"/>
          <w:color w:val="000000" w:themeColor="text1"/>
          <w:sz w:val="16"/>
          <w:szCs w:val="16"/>
        </w:rPr>
        <w:softHyphen/>
        <w:t>зад, нами разработана. Стрельба назад по противнику производится простейшим зеркальным прицелом, основанным на принципе двойного отражения. Представляя при сем чертежи этой установки, прошу Вас и тов. Жигарева их утвердить и дать указание о срочном изготовлении этих установок в количестве 50-и штук для испыта</w:t>
      </w:r>
      <w:r w:rsidRPr="001E2C69">
        <w:rPr>
          <w:rFonts w:ascii="Times New Roman" w:hAnsi="Times New Roman"/>
          <w:color w:val="000000" w:themeColor="text1"/>
          <w:sz w:val="16"/>
          <w:szCs w:val="16"/>
        </w:rPr>
        <w:softHyphen/>
        <w:t>ния на фронте в боевых условиях с тем, чтобы в случае достаточно хорошей их эффективности, запустить их на все самолеты» (10695).</w:t>
      </w:r>
    </w:p>
    <w:p w14:paraId="01C3514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3D10A957"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433D4513" w14:textId="77777777" w:rsidR="00AE7191" w:rsidRPr="001E2C69" w:rsidRDefault="00AE7191" w:rsidP="00722885">
      <w:pPr>
        <w:pStyle w:val="Iauiue"/>
        <w:jc w:val="both"/>
        <w:rPr>
          <w:iCs/>
          <w:color w:val="000000" w:themeColor="text1"/>
          <w:sz w:val="16"/>
          <w:szCs w:val="16"/>
        </w:rPr>
      </w:pPr>
    </w:p>
    <w:p w14:paraId="208FCBE9"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 июля в 1942 году поселку Каслинский, основанному в 1747 г. при строительстве чугуноплавильного и железоделательного завода на озере Большое Касли, присвоен статус города Касли (ныне — административный центр Челябинской области; один из старейших городов Южного Урала). Широко известен благодаря прославленному каслинскому литью (14967).</w:t>
      </w:r>
    </w:p>
    <w:p w14:paraId="478E7399" w14:textId="77777777" w:rsidR="00326FD0" w:rsidRPr="001E2C69" w:rsidRDefault="00326FD0" w:rsidP="00722885">
      <w:pPr>
        <w:spacing w:after="0" w:line="240" w:lineRule="auto"/>
        <w:jc w:val="both"/>
        <w:rPr>
          <w:rFonts w:ascii="Times New Roman" w:hAnsi="Times New Roman"/>
          <w:color w:val="000000" w:themeColor="text1"/>
          <w:sz w:val="16"/>
          <w:szCs w:val="16"/>
        </w:rPr>
      </w:pPr>
    </w:p>
    <w:p w14:paraId="3EF59923"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29 июля 1942 года вышел приказ № 530с НКБ</w:t>
      </w:r>
    </w:p>
    <w:p w14:paraId="6F00A469"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Присвоить принятому в состав НКБ Электромеханическому заводу “КЭС” НККХ РСФСР № 737 и подчинить 5 Главному управлению (5905, 230).</w:t>
      </w:r>
    </w:p>
    <w:p w14:paraId="06B0420A" w14:textId="77777777" w:rsidR="00AE7191" w:rsidRPr="001E2C69" w:rsidRDefault="00AE7191" w:rsidP="00722885">
      <w:pPr>
        <w:pStyle w:val="Iauiue"/>
        <w:tabs>
          <w:tab w:val="left" w:pos="11199"/>
        </w:tabs>
        <w:jc w:val="both"/>
        <w:rPr>
          <w:color w:val="000000" w:themeColor="text1"/>
          <w:sz w:val="16"/>
          <w:szCs w:val="16"/>
        </w:rPr>
      </w:pPr>
    </w:p>
    <w:p w14:paraId="32E230B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 июля 1942 вышло Постановление ГКО № 2121 О вывозе электротехнического оборудования со Сталинградской эвакобазы Hаркомэлектростанций. РГАНИР, Фонд ГКО, д. 48, лл. 135 (11012).</w:t>
      </w:r>
    </w:p>
    <w:p w14:paraId="2A7356A3"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5CF7E9D"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29 июля 1942 вышло Постановление ГКО № 2125 Об обеспечении заготовки и поставки дров заводам Наркомвооружения № 71, 74 и 367 [Ижевск]. (7047, 140-143).</w:t>
      </w:r>
    </w:p>
    <w:p w14:paraId="243906E2" w14:textId="77777777" w:rsidR="00AE7191" w:rsidRPr="001E2C69" w:rsidRDefault="00AE7191" w:rsidP="00722885">
      <w:pPr>
        <w:pStyle w:val="Iauiue"/>
        <w:tabs>
          <w:tab w:val="left" w:pos="11199"/>
        </w:tabs>
        <w:jc w:val="both"/>
        <w:rPr>
          <w:color w:val="000000" w:themeColor="text1"/>
          <w:sz w:val="16"/>
          <w:szCs w:val="16"/>
        </w:rPr>
      </w:pPr>
    </w:p>
    <w:p w14:paraId="3AC9C845"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29 июля 1942 вышло Постановление ГКО № 2126 О строительстве железнодорожной ветви Джезказган - Джездинский марганцевый рудник. (7047, 144-147).</w:t>
      </w:r>
    </w:p>
    <w:p w14:paraId="6A14D36F" w14:textId="77777777" w:rsidR="00AE7191" w:rsidRPr="001E2C69" w:rsidRDefault="00AE7191" w:rsidP="00722885">
      <w:pPr>
        <w:pStyle w:val="Iauiue"/>
        <w:tabs>
          <w:tab w:val="left" w:pos="11199"/>
        </w:tabs>
        <w:jc w:val="both"/>
        <w:rPr>
          <w:color w:val="000000" w:themeColor="text1"/>
          <w:sz w:val="16"/>
          <w:szCs w:val="16"/>
        </w:rPr>
      </w:pPr>
    </w:p>
    <w:p w14:paraId="3C003765"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29 июля 1942 вышло Постановление ГКО № 2127 Об усилении пропускной способности Ашхабадской, Ташкентской, Оренбургской и Туркестано-Сибирской ж.д. (7047, 148).</w:t>
      </w:r>
    </w:p>
    <w:p w14:paraId="6F59F102" w14:textId="77777777" w:rsidR="00AE7191" w:rsidRPr="001E2C69" w:rsidRDefault="00AE7191" w:rsidP="00722885">
      <w:pPr>
        <w:pStyle w:val="Iauiue"/>
        <w:tabs>
          <w:tab w:val="left" w:pos="11199"/>
        </w:tabs>
        <w:jc w:val="both"/>
        <w:rPr>
          <w:color w:val="000000" w:themeColor="text1"/>
          <w:sz w:val="16"/>
          <w:szCs w:val="16"/>
        </w:rPr>
      </w:pPr>
    </w:p>
    <w:p w14:paraId="687FD95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 июля 1942 закладка на стапеле Балтийского завода носовой оконечности для эсминца "Сторожевой" (10671).</w:t>
      </w:r>
    </w:p>
    <w:p w14:paraId="0BC1523F"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27CEF7D"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5DFC5584" w14:textId="77777777" w:rsidR="00AE7191" w:rsidRPr="001E2C69" w:rsidRDefault="00AE7191" w:rsidP="00722885">
      <w:pPr>
        <w:pStyle w:val="Iauiue"/>
        <w:jc w:val="both"/>
        <w:rPr>
          <w:iCs/>
          <w:color w:val="000000" w:themeColor="text1"/>
          <w:sz w:val="16"/>
          <w:szCs w:val="16"/>
        </w:rPr>
      </w:pPr>
    </w:p>
    <w:p w14:paraId="34699141"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 июля в 1942 году утреннее сообщение Совинформбюро:</w:t>
      </w:r>
    </w:p>
    <w:p w14:paraId="50F63E75"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29 июля наши войска вели бои с противником в районе Воронежа, а также в районах Цымлянская, Батайск.</w:t>
      </w:r>
    </w:p>
    <w:p w14:paraId="11C6F229"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1844D8B4"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продолжались бои, в ходе которых немецко-фашистские войска несут большие потери. Одно наше пехотное соединение за десять дней уничтожило 10.800 немецких солдат и офицеров, 158 танков, 28 самолётов и 88 автомашин. Захвачены 24 орудия, 90 пулемётов, 14 миномётов, много снарядов и другие трофеи.</w:t>
      </w:r>
    </w:p>
    <w:p w14:paraId="243A21A5"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 бойцы проявляют находчивость и смекалку в борьбе против гитлеровцев. Красноармеец-разведчик тов. Кочкин обнаружил линию связи противника и, следуя по ней ползком, добрался до штабной палатки немцев. Отважный боец метнул в палатку несколько ручных гранат и уничтожил 10 офицеров. Старший сержант Костюченко подобрался к немецкой кухне и несколькими очередями из автомата истребил 30 солдат и одного немецкого офицера.</w:t>
      </w:r>
    </w:p>
    <w:p w14:paraId="65298FE1"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Дымлянской наши войска вели оборонительные бои. Советская бомбардировочная и штурмовая авиация наносила массированные удары по танкам и мотомехчастям противника. За один день наши лётчики уничтожили 36 немецких танков и 106 автомашин с пехотой и военными грузами. В воздушных боях сбито 13 немецких самолётов.</w:t>
      </w:r>
    </w:p>
    <w:p w14:paraId="06819BE2"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Батайска продолжались ожесточённые бои. Наши бойцы оказывают упорное сопротивление наступающим войскам противника. В течение вчерашнего дня на одном участке подбито 19 немецких танков и уничтожено 1.100 солдат и офицеров противника. Только после того, как немцы ввели в бой новые силы, наши части отошли на другой оборонительный рубеж.</w:t>
      </w:r>
    </w:p>
    <w:p w14:paraId="3545EB38"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Брянском фронте наши части потеснили противника и улучшили свои позиции. Наши бойцы под командованием тов. Фокина овладели окраинами двух населённых пунктов и закрепились на достигнутом рубеже. На другом участке наши части продолжали вести активные бои. В результате этих боёв немцы потеряли убитыми и ранеными 1.200 солдат и офицеров. Артиллерийским и миномётным огнём подавлены 2 артиллерийские и 4 миномётные батареи, разрушено 10 ДЗОТов и рассеяно до батальона пехоты противника.</w:t>
      </w:r>
    </w:p>
    <w:p w14:paraId="565D8D12"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Калининского фронта пехота противника при поддержке танков и авиации атаковала наши позиции. Бой принял упорный характер. Отдельные населённые пункты переходили из рук в руки по нескольку раз. В двухдневных бояхна этом участке гитлеровцы потеряли убитыми и ранеными до 2.000 солдат и офицеров, 2 самолёта, 4 танка, несколько орудий, 15 пулемётов и другое вооружение, захвачены пленные и трофеи.</w:t>
      </w:r>
    </w:p>
    <w:p w14:paraId="5DF9E18D"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киевских партизан под командованием тов. Е. совершил налёт на аэродром, где находились два немецких самолёта. Партизаны перебили охрану, сожгли самолёты и склад с бензином.</w:t>
      </w:r>
    </w:p>
    <w:p w14:paraId="564EBB48"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под командованием тов. В., действующий в одном из районов Орловской области, пустил под откос немецкий эшелон с боеприпасами. За неделю боевых действий партизаны истребили 106 оккупантов.</w:t>
      </w:r>
    </w:p>
    <w:p w14:paraId="2573A9ED"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унтер-офицер 9 немецкой танковой дивизии. Иозеф Б. рассказал: «В мае дивизия получила значительное пополнение. Количество солдат в ротах было доведено до 120—140 человек. 33 танковый полк получил 50 старых отремонтированных танков и 50 новых с длинноствольными пушками новой конструкции. Кроме того, дивизии был придан танковый батальон из другой части. За две недели боёв дивизия потеряла свыше сотни танков. Людские потери также очень велики. Во втором батальоне 11 мотострелкового полка осталась всего лишь одна треть солдат. Примерно такое же положение в других частях и подразделениях. Наибольшие потери дивизия понесла от русской артиллерии и тяжёлых миномётов».</w:t>
      </w:r>
    </w:p>
    <w:p w14:paraId="614AAABC"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захватчики сожгли дотла деревни Беленино, Холмянка,Зализно, Курчебово, Левково и посёлок Сафоново, Сафоновского района, Смоленской области. Фашистские бандиты расстреляли в этих деревнях многих женщин, детей и стариков.» (14967).</w:t>
      </w:r>
    </w:p>
    <w:p w14:paraId="0884CCA3" w14:textId="77777777" w:rsidR="00326FD0" w:rsidRPr="001E2C69" w:rsidRDefault="00326FD0" w:rsidP="00722885">
      <w:pPr>
        <w:spacing w:after="0" w:line="240" w:lineRule="auto"/>
        <w:jc w:val="both"/>
        <w:rPr>
          <w:rFonts w:ascii="Times New Roman" w:hAnsi="Times New Roman"/>
          <w:color w:val="000000" w:themeColor="text1"/>
          <w:sz w:val="16"/>
          <w:szCs w:val="16"/>
        </w:rPr>
      </w:pPr>
    </w:p>
    <w:p w14:paraId="69AB30A0"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 июля в 1942 году вечернее сообщение Совинформбюро:</w:t>
      </w:r>
    </w:p>
    <w:p w14:paraId="677558CB"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29 июля наши войска вели ожесточённые бои в районе Воронежа, а также в районах Цымлянская, Батайск и юго-западнее Клетская.</w:t>
      </w:r>
    </w:p>
    <w:p w14:paraId="1BDC4874"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6CD44269"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28 июля частями нашей авиации на различных участках фронта уничтожено или повреждено более 70 немецких танков, 240 автомашин с войсками и грузами, 20 повозок с боеприпасами, 4 автоцистерны с горючим, взорваны склад боеприпасов и склад горючего, подавлен огонь 15 батарей полевой и зенитной артиллерии, рассеяно и частью уничтожено до двух рот пехоты противника.</w:t>
      </w:r>
    </w:p>
    <w:p w14:paraId="26049FCC"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в результате атаки, завершившейся рукопашной схваткой, наша часть заняла населённый пункт. На подступах и на улицах населённого пункта немцы оставили свыше 500 трупов. Захвачено 4 орудия, 16 пулемётов, 8 миномётов и много боеприпасов. В течение дня гитлеровцы трижды пытались вернуть оставленные позиции, но, потеряв дополнительно 2 танка и 150 человек убитыми, отступили.</w:t>
      </w:r>
    </w:p>
    <w:p w14:paraId="1A730D15"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юго-западнее Клетской идут упорные бои. Советские войска сдерживают натиск немцев и сами наносят им удары. Наша пехотная часть, взаимодействуя станковым подразделением, разгромила прорвавшегося вперёд противника. В этом бою немцы потеряли до 1.500 солдат и офицеров, 19 танков, 45 автомашин и 60 мотоциклов. На другом участке наши танкисты и артиллеристы уничтожили 40 немецких танков.</w:t>
      </w:r>
    </w:p>
    <w:p w14:paraId="4AC9AC67"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Цымлянской наши войска вели ожесточённые бои по уничтожению группировки противника, переправившейся через Дон. В бою около населённого пункта Б. нашими бойцами уничтожено 12 немецких танков, несколько орудий и пулемётов. Немцы потеряли только убитыми свыше 800 солдат и офицеров. Противник непрерывно подводит резервы и сразу же бросает их в бой.</w:t>
      </w:r>
    </w:p>
    <w:p w14:paraId="35E7DA17"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Батайска продолжались тяжёлые бои с наступающими немецко-фашистскими войсками. Обороняя один важный рубеж, пехотное соединение при поддержке танков и авиации в течение дня уничтожило до 2.000 немецких солдат и офицеров, 28 танков и 15 орудий. Политрук взвода разведки т. Нечаев организовал засаду на пути наступающей группы противника. Подпустив врага на близкое расстояние, бойцы открыли огонь. Немцы в беспорядке отошли, оставив на дороге около 100 убитых солдат и офицеров.</w:t>
      </w:r>
    </w:p>
    <w:p w14:paraId="1AA662B3"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На Ленинградском фронте происходила артиллерийская перестрелка. За два дня огнём нашей артиллерии и действиями разведывательных групп истреблено свыше 400 немецких солдат и офицеров, уничтожено 4 орудия, 10 повозок с боеприпасами и продовольствием. Захвачены пленные. Группа красноармейцев подразделения </w:t>
      </w:r>
      <w:r w:rsidRPr="001E2C69">
        <w:rPr>
          <w:rFonts w:ascii="Times New Roman" w:hAnsi="Times New Roman"/>
          <w:color w:val="000000" w:themeColor="text1"/>
          <w:sz w:val="16"/>
          <w:szCs w:val="16"/>
        </w:rPr>
        <w:lastRenderedPageBreak/>
        <w:t>т. Лобанова ворвалась в траншеи и блиндажи противника и в рукопашном бою уничтожила более 40 гитлеровцев. Захватив 3 пулемёта, миномёт и другие трофеи, бойцы вернулись в свою часть.</w:t>
      </w:r>
    </w:p>
    <w:p w14:paraId="7C25254C"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калининских партизан под командованием тов. М. заминировал участок железнодорожного пути. На минах подорвались три поезда противника, в том числе один воинский эшелон. По неполным данным, убито и ранено свыше 500 оккупантов.</w:t>
      </w:r>
    </w:p>
    <w:p w14:paraId="3814BE42"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6 роты 695 немецкого пехотного полка Вальтер Толлькюн рассказал: «Наш полк долгое время находился на побережье Ламанша, в 120 километрах от Лилля (Франция). В мае мы получили приказ выступить. Офицеры говорили, что едем в Югославию. Доехав до Варшавы, мы поняли, что нас везут на Восточный фронт. 11 июля мы впервые участвовали в бою. Русские танки и пехота окружили и разгромили роту. В живых нас осталось только 15 человек, и все сдались в плен».</w:t>
      </w:r>
    </w:p>
    <w:p w14:paraId="0ED3C851"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Многие колхозы досрочно выполняют поставки государству хлеба, мяса и сырья. Сельскохозяйственная артель «Улан Хальмг», Юстинского улуса, Калмыцкой АССР, сдала государству 13.200 пудов пшеницы, ржи и ячменя. Колхозники артели «Сибирский партизан», Шарыповского района, Хакасской автономной области, перевыполнили план поставок мяса. Досрочно завершили мясопоставки колхозники Кедского района Аджарии. Шелководы Гармского района, Таджикской ССР, сдали государству сверх плана около 22 тонн коконов.» (14967).</w:t>
      </w:r>
    </w:p>
    <w:p w14:paraId="6DB872D6" w14:textId="77777777" w:rsidR="00326FD0" w:rsidRPr="001E2C69" w:rsidRDefault="00326FD0" w:rsidP="00722885">
      <w:pPr>
        <w:spacing w:after="0" w:line="240" w:lineRule="auto"/>
        <w:jc w:val="both"/>
        <w:rPr>
          <w:rFonts w:ascii="Times New Roman" w:hAnsi="Times New Roman"/>
          <w:color w:val="000000" w:themeColor="text1"/>
          <w:sz w:val="16"/>
          <w:szCs w:val="16"/>
        </w:rPr>
      </w:pPr>
    </w:p>
    <w:p w14:paraId="581A6A69"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 июля в 1942 году начался контрудар 4-й танковой армии на Дону из района Трёхостровской в западном направлении. Войска армии разорвали фронт окружения противника двух советских дивизий (оборонялись в районе Верхней Бузиновки) и закрепились на рубеже Ореховский, Евлампиевский (14967).</w:t>
      </w:r>
    </w:p>
    <w:p w14:paraId="087122ED" w14:textId="77777777" w:rsidR="00326FD0" w:rsidRPr="001E2C69" w:rsidRDefault="00326FD0" w:rsidP="00722885">
      <w:pPr>
        <w:spacing w:after="0" w:line="240" w:lineRule="auto"/>
        <w:jc w:val="both"/>
        <w:rPr>
          <w:rFonts w:ascii="Times New Roman" w:hAnsi="Times New Roman"/>
          <w:color w:val="000000" w:themeColor="text1"/>
          <w:sz w:val="16"/>
          <w:szCs w:val="16"/>
        </w:rPr>
      </w:pPr>
    </w:p>
    <w:p w14:paraId="77559D56"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29 июля 1942 начался контрудар 4-й танковой армии на Дону из района Трёхостровской в западном направлении. Войска армии разорвали фронт окружения противника двух советских дивизий (оборонялись в районе Верхней Бузиновки) и закрепились на рубеже Ореховский, Евлампиевский (4963 ).</w:t>
      </w:r>
    </w:p>
    <w:p w14:paraId="2A81D1C6" w14:textId="77777777" w:rsidR="00AE7191" w:rsidRPr="001E2C69" w:rsidRDefault="00AE7191" w:rsidP="00722885">
      <w:pPr>
        <w:pStyle w:val="Iauiue"/>
        <w:tabs>
          <w:tab w:val="left" w:pos="11199"/>
        </w:tabs>
        <w:jc w:val="both"/>
        <w:rPr>
          <w:color w:val="000000" w:themeColor="text1"/>
          <w:sz w:val="16"/>
          <w:szCs w:val="16"/>
        </w:rPr>
      </w:pPr>
    </w:p>
    <w:p w14:paraId="51595133"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lang w:val="en-US"/>
        </w:rPr>
        <w:t>July 29, 1942: German troops take Proletarskaya and establish a bridgehead over the Manych River in the Caucasus region (3819).</w:t>
      </w:r>
    </w:p>
    <w:p w14:paraId="6A8CFB2D" w14:textId="77777777" w:rsidR="00AE7191" w:rsidRPr="001E2C69" w:rsidRDefault="00AE7191" w:rsidP="00722885">
      <w:pPr>
        <w:pStyle w:val="Iauiue"/>
        <w:jc w:val="both"/>
        <w:rPr>
          <w:color w:val="000000" w:themeColor="text1"/>
          <w:sz w:val="16"/>
          <w:szCs w:val="16"/>
          <w:lang w:val="en-US"/>
        </w:rPr>
      </w:pPr>
    </w:p>
    <w:p w14:paraId="3D8CCB8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29 июля 1942 германские войска заняли Пролетарскую и закрепились на плацдарме у Маныча (3819).</w:t>
      </w:r>
    </w:p>
    <w:p w14:paraId="5D69069B" w14:textId="77777777" w:rsidR="00AE7191" w:rsidRPr="001E2C69" w:rsidRDefault="00AE7191" w:rsidP="00722885">
      <w:pPr>
        <w:pStyle w:val="Iauiue"/>
        <w:jc w:val="both"/>
        <w:rPr>
          <w:color w:val="000000" w:themeColor="text1"/>
          <w:sz w:val="16"/>
          <w:szCs w:val="16"/>
        </w:rPr>
      </w:pPr>
    </w:p>
    <w:p w14:paraId="212F5F3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 июля 1942 на участке Астрахань – Камышин в пути находилось в общей сложности 220 тыс. т нефтепродуктов. В этот день пароход «Коллективизация» под командованием капитана А. С. Чеснокова следовал вверх по течению с тремя нефтебаржами на буксире. В районе поселка Соленое Займище, в 40 км южнее Ахтубинска, судно атаковали два Не-111. Несколько бомб попали в баржи, остальные взорвались по левому борту. При этом осколками был убит механик Ф. С. Востриков. Героическими усилиями матросов горящие баржи удалось отцепить и продолжить путь с одной уцелевшей (11774).</w:t>
      </w:r>
    </w:p>
    <w:p w14:paraId="3164CB4D"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2D8084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29 июля 1942 состоялось первое боевое применение торпедоносцев в СССР. Пара ДБ-3Ф 24 мтап (ведущий к И.Я.Гарбуз и ведомый к Б.С.Громов) потопили два транспорта общим водоизмещением около 20 тыс. тонн в Парсангер Фиорде близ побережья Норвегии (3846,17).</w:t>
      </w:r>
    </w:p>
    <w:p w14:paraId="34C2C504" w14:textId="77777777" w:rsidR="00AE7191" w:rsidRPr="001E2C69" w:rsidRDefault="00AE7191" w:rsidP="00722885">
      <w:pPr>
        <w:pStyle w:val="Iauiue"/>
        <w:jc w:val="both"/>
        <w:rPr>
          <w:color w:val="000000" w:themeColor="text1"/>
          <w:sz w:val="16"/>
          <w:szCs w:val="16"/>
        </w:rPr>
      </w:pPr>
    </w:p>
    <w:p w14:paraId="2F0D04E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29 июля 1942 экипаж к Гарбуза СФ с использованием низких торпед потопил крупный транспорт на подходе к порту Вардэ. Это впервые (1085,149).</w:t>
      </w:r>
    </w:p>
    <w:p w14:paraId="218198E3" w14:textId="77777777" w:rsidR="00AE7191" w:rsidRPr="001E2C69" w:rsidRDefault="00AE7191" w:rsidP="00722885">
      <w:pPr>
        <w:pStyle w:val="Iauiue"/>
        <w:jc w:val="both"/>
        <w:rPr>
          <w:color w:val="000000" w:themeColor="text1"/>
          <w:sz w:val="16"/>
          <w:szCs w:val="16"/>
        </w:rPr>
      </w:pPr>
    </w:p>
    <w:p w14:paraId="03D3123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 июля 1942 на СФ, на основании данных воздушной разведки, пара Ил-4, которую вел капитан Гарбуз, атаковала конвой противника, состоявший из двух транспортов и семи кораблей охране</w:t>
      </w:r>
      <w:r w:rsidRPr="001E2C69">
        <w:rPr>
          <w:rFonts w:ascii="Times New Roman" w:hAnsi="Times New Roman"/>
          <w:color w:val="000000" w:themeColor="text1"/>
          <w:sz w:val="16"/>
          <w:szCs w:val="16"/>
        </w:rPr>
        <w:softHyphen/>
        <w:t>ния. В результате попадания двух тор</w:t>
      </w:r>
      <w:r w:rsidRPr="001E2C69">
        <w:rPr>
          <w:rFonts w:ascii="Times New Roman" w:hAnsi="Times New Roman"/>
          <w:color w:val="000000" w:themeColor="text1"/>
          <w:sz w:val="16"/>
          <w:szCs w:val="16"/>
        </w:rPr>
        <w:softHyphen/>
        <w:t>пед большой транспорт (водоизмеще</w:t>
      </w:r>
      <w:r w:rsidRPr="001E2C69">
        <w:rPr>
          <w:rFonts w:ascii="Times New Roman" w:hAnsi="Times New Roman"/>
          <w:color w:val="000000" w:themeColor="text1"/>
          <w:sz w:val="16"/>
          <w:szCs w:val="16"/>
        </w:rPr>
        <w:softHyphen/>
        <w:t>нием около 15000 г) затонул (10734,85).</w:t>
      </w:r>
    </w:p>
    <w:p w14:paraId="536D671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2719E62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Считается, что 29 июля 1942 был первый зафиксированный случай боевого применения торпедоносцев. Пара ДБ-3Ф из 24 мтап (ведомый Б.С.Громов) потопили два транспорта водоизмещением 20 тыс. т вблизи побережья Норвегии (Порсангер-фиорд) (2467,5).</w:t>
      </w:r>
    </w:p>
    <w:p w14:paraId="279E5FF9" w14:textId="77777777" w:rsidR="00AE7191" w:rsidRPr="001E2C69" w:rsidRDefault="00AE7191" w:rsidP="00722885">
      <w:pPr>
        <w:pStyle w:val="Iauiue"/>
        <w:jc w:val="both"/>
        <w:rPr>
          <w:color w:val="000000" w:themeColor="text1"/>
          <w:sz w:val="16"/>
          <w:szCs w:val="16"/>
        </w:rPr>
      </w:pPr>
    </w:p>
    <w:p w14:paraId="01D4A11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 июля 1942 на основании данных воздушной разведки, пара Ил-4, которую вел капитан Гарбуз, атаковала конвой противника, состоявший из двух транспортов и семи кораблей охранения. В результате попадания двух торпед большой транспорт (водоизмещением около 15000 г) затонул (12021).</w:t>
      </w:r>
    </w:p>
    <w:p w14:paraId="5534835C"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AA04D5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 июля - 11 августа 1942 состоялась последняя по счету операция по минированию подходов к порту Котка. «Илы» без видимого успеха выставили у порта шесть АМГ и 23 А-1-IV (кроме того, из-за неполадок в матчасти две мины были сброшены в Лужской губе и одна в озеро перед посадкой). Всего в течение года бомбардировщики 1 -го ГМТАП сбросили 97 мин (в т.ч. три - аварийно), но успеха так и не добились. Флот противника оказался готов к борьбе с нашими минами, в том числе и неконтактными, уже давно переставшими быть диковинкой на «западных» ТВД. Если добавить к этому шаблонность нашей тактики (постановки во всех случаях совмещались с бомбардировочным ударом), то можно прийти к выводу, что обнаружение и уничтожение наших заграждений не составляли большего труда для минно-траль-ных служб немецкого и финского флотов (9965).</w:t>
      </w:r>
    </w:p>
    <w:p w14:paraId="52C50409"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B38B4E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 июля 1942 года 4-я танковая армия вступила в бой, когда ее 22-й танковый корпус (180 танков, из них 96 Т-34) нанес контрудар по 14-му танковому корпусу немцев у Верхней Бузиновки. Правда, во время маршей из-за поломок отстало 55 машин, из них 33 тридцатьчетверки. Продвинувшись на несколько километров, корпус потерял 14 танков (из них 11 Т-34), уничтожив при этом 2 танка, 12 орудий и захватив 25 автомобилей, минометную батарею и две цистерны с горючим. Однако на следующий день атака успеха не имела - взять Верхнюю Бузиновку не удалось, а потери корпуса составили 41 танк, из них 25 Т-34. Тем не менее, наступление немецких частей на этом участке удалось задержать (12217).</w:t>
      </w:r>
    </w:p>
    <w:p w14:paraId="7980970B"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52F89E4"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29 июля 1942 в СССР учреждены ордена Александра Невского, Суворова и Кутузова (4962).</w:t>
      </w:r>
    </w:p>
    <w:p w14:paraId="1BC9C446" w14:textId="77777777" w:rsidR="00AE7191" w:rsidRPr="001E2C69" w:rsidRDefault="00AE7191" w:rsidP="00722885">
      <w:pPr>
        <w:pStyle w:val="Iauiue"/>
        <w:tabs>
          <w:tab w:val="left" w:pos="11199"/>
        </w:tabs>
        <w:jc w:val="both"/>
        <w:rPr>
          <w:color w:val="000000" w:themeColor="text1"/>
          <w:sz w:val="16"/>
          <w:szCs w:val="16"/>
        </w:rPr>
      </w:pPr>
    </w:p>
    <w:p w14:paraId="267B801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 июля 1942 вышло Постановление ГКО № 2122 О т.т. Мочалове В.В. и Сухареве П.Е. РГАНИР, Фонд ГКО, д. 48, лл. 136 (11012).</w:t>
      </w:r>
    </w:p>
    <w:p w14:paraId="6AEE5B01"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526355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 июля 1942 вышло Постановление ГКО № 2123 О т. Литвинове А.И. РГАНИР, Фонд ГКО, д. 48, лл. 137 (11012).</w:t>
      </w:r>
    </w:p>
    <w:p w14:paraId="35D92DBD"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7BC6B0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 июля 1942 вышло Постановление ГКО № 2124 О реорганизации отдельной стрелковой бригады. РГАНИР, Фонд ГКО, д. 48, лл. 138-139 (11012).</w:t>
      </w:r>
    </w:p>
    <w:p w14:paraId="42639ED3"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2D0DAF9"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 июля в 1942 году начальник Главного политического управления РККА издал директиву о разъяснении личному составу приказа № 227 от 28 июля 1942 г (14967).</w:t>
      </w:r>
    </w:p>
    <w:p w14:paraId="216D3F87" w14:textId="77777777" w:rsidR="00326FD0" w:rsidRPr="001E2C69" w:rsidRDefault="00326FD0" w:rsidP="00722885">
      <w:pPr>
        <w:spacing w:after="0" w:line="240" w:lineRule="auto"/>
        <w:jc w:val="both"/>
        <w:rPr>
          <w:rFonts w:ascii="Times New Roman" w:hAnsi="Times New Roman"/>
          <w:color w:val="000000" w:themeColor="text1"/>
          <w:sz w:val="16"/>
          <w:szCs w:val="16"/>
        </w:rPr>
      </w:pPr>
    </w:p>
    <w:p w14:paraId="772AD2F1"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40EB6189" w14:textId="77777777" w:rsidR="00AE7191" w:rsidRPr="001E2C69" w:rsidRDefault="00AE7191" w:rsidP="00722885">
      <w:pPr>
        <w:pStyle w:val="Iauiue"/>
        <w:jc w:val="both"/>
        <w:rPr>
          <w:iCs/>
          <w:color w:val="000000" w:themeColor="text1"/>
          <w:sz w:val="16"/>
          <w:szCs w:val="16"/>
        </w:rPr>
      </w:pPr>
    </w:p>
    <w:p w14:paraId="2109938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30 июля 1942 Нач. ГУЗ и ТС Селезнев и военком Шаповалов писали письмо № 388850 НКАП А.И.Ш.:</w:t>
      </w:r>
    </w:p>
    <w:p w14:paraId="076D2B7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"Заводами НКАП самолеты Ил-2 и Пе-2 комплектуются кассетами для мелких бомб из расчета: один комплект кассет на три Ил-2 и один на два Пе-2.</w:t>
      </w:r>
    </w:p>
    <w:p w14:paraId="022A098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целях материального обеспечения выполнения приказа НКО N 0490 от 17 июня 1942 о значительном увеличении бомбардировочных дневных ударов по противнику, прошу Вас дать указания заводам, выпускающим Ил-2 и Пе-2 с 15 августа с.г. устанавливать на каждый самолет один комплект КМБ."</w:t>
      </w:r>
    </w:p>
    <w:p w14:paraId="21BCD6A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Приложение: Проект постановления ГОКО на 1 листе (1632,132).</w:t>
      </w:r>
    </w:p>
    <w:p w14:paraId="64830D7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Постановление ГОКО</w:t>
      </w:r>
    </w:p>
    <w:p w14:paraId="12A7C44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Содержание: О комплектовании самолетов ИЛ-2 и ПЕ-2 кассетами для мелких бомб из расчета: один комплект кассет на каждый самолет.</w:t>
      </w:r>
    </w:p>
    <w:p w14:paraId="4921A6E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Обязать НКАП Шахурина с 15 августа 1942 года самолеты ИЛ-2 и ПЕ-2 комплектовать кассетами для мелких бомб - КМБ-ИЛ-2 и КМБ-ПЕ-2 из расчета: один комплект кассет на каждый самолет.</w:t>
      </w:r>
    </w:p>
    <w:p w14:paraId="2B0D580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Сталин (2728,125).</w:t>
      </w:r>
    </w:p>
    <w:p w14:paraId="39F678B4" w14:textId="77777777" w:rsidR="00AE7191" w:rsidRPr="001E2C69" w:rsidRDefault="00AE7191" w:rsidP="00722885">
      <w:pPr>
        <w:pStyle w:val="Iauiue"/>
        <w:jc w:val="both"/>
        <w:rPr>
          <w:color w:val="000000" w:themeColor="text1"/>
          <w:sz w:val="16"/>
          <w:szCs w:val="16"/>
        </w:rPr>
      </w:pPr>
    </w:p>
    <w:p w14:paraId="3F8176C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30 июля 1942 года секретарь обкома ВКП(б) Лукьянов писал письмо N 315с Маленкову.</w:t>
      </w:r>
    </w:p>
    <w:p w14:paraId="64B6343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Конструкторами ОКБ-2 завода N 32 НКАП Можаровским, Веневидовым и гл. конструктором завода N 266 Енгибаряном в Кирове разработано новое средство вооружения для штурмовых действий с самолетов по уничтожению наземного противника - танков, мотопехоты, аэродромов и т.п.</w:t>
      </w:r>
    </w:p>
    <w:p w14:paraId="3CFD005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Эта система, названная авторами: Автоматическая комбинированная артиллерийская батарея (АКАБ) позволяет вести прицельный огонь высокой эффективности как совместно, так и раздельно с бомбометанием, путем непрерывной автоматической наводки оружия 2-х батарей на цель в соответствии со скоростью и высотой полета, с автоматическим сбрасыванием бомб по той же цели.</w:t>
      </w:r>
    </w:p>
    <w:p w14:paraId="5103AAF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Система АКАБ заключает в себе следующее вооружение:</w:t>
      </w:r>
    </w:p>
    <w:p w14:paraId="14C325B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2 пушки ШВАК кал. 20 мм с боезапасом по 200 снарядов на каждую (всего 400 снарядов).</w:t>
      </w:r>
    </w:p>
    <w:p w14:paraId="1D89CE3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lastRenderedPageBreak/>
        <w:t>2) 2 крупнокалиберных пулемета УБК кал. 12,7 мм с боезапасом по 220 патронов на каждый (всего 440 патронов).</w:t>
      </w:r>
    </w:p>
    <w:p w14:paraId="4AB908C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Бомбовая нагрузка в зависимости от типа самолета.</w:t>
      </w:r>
    </w:p>
    <w:p w14:paraId="3793346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Стрельба и бомбометание обслуживаются одним прицелом коллиматорного типа, имеющимся в серийных самолетах. Управление автоматикой АКАБ осуществляется одной кнопкой по заранее устанавливаемой программе огня. Простота наводки и управление огнем на простом горизонтальном полете при штурмовой атаке не требует высокой квалификации экипажа.</w:t>
      </w:r>
    </w:p>
    <w:p w14:paraId="254E396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Система автоматического управления АКАБ решает в кратчайшие промежутки времени атаки задачу прицельной стрельбы и бомбометания.</w:t>
      </w:r>
    </w:p>
    <w:p w14:paraId="44FCB9B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Система АКАБ изготовлена в 3-х экземплярах на 3 самолета испытана в наземных условиях. Испытанный экземпляр системы АКАБ запроектирован в варианте применительно к самолету Пе-2 и Пе-3 без существенных изменений конструкции серийного самолета.</w:t>
      </w:r>
    </w:p>
    <w:p w14:paraId="2E6CD1F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Обком ВКП(б) считает необходимым и просит Вас обязать НКАП в кратчайший срок выделить самолет Пе-2 с завода N 22 и предложить директору завода N 22 Окулову и гл. конструктору этого завода Путилову в кратчайший срок смонтировать АКАБ на указанном самолете для проведения летных испытаний.</w:t>
      </w:r>
    </w:p>
    <w:p w14:paraId="1FC06EB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Обком считает, что внедрением нового вида авиавооружения системы АКАБ, ВВС получит в ближайшее время на базе самолетов Пе-2, Пе-3 и др. находящихся в серийном производстве новый тип двухмоторного мощного штурмовика, оснащенного лучшим видом автоматического вооружения.</w:t>
      </w:r>
    </w:p>
    <w:p w14:paraId="3465195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Приложение: акт наземных испытаний АКАБ на 19 листах (1633).</w:t>
      </w:r>
    </w:p>
    <w:p w14:paraId="258AA9F4" w14:textId="77777777" w:rsidR="00AE7191" w:rsidRPr="001E2C69" w:rsidRDefault="00AE7191" w:rsidP="00722885">
      <w:pPr>
        <w:pStyle w:val="Iauiue"/>
        <w:jc w:val="both"/>
        <w:rPr>
          <w:color w:val="000000" w:themeColor="text1"/>
          <w:sz w:val="16"/>
          <w:szCs w:val="16"/>
        </w:rPr>
      </w:pPr>
    </w:p>
    <w:p w14:paraId="53A6ACB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30 июля 1942 вышел приказ НКАП N 582с:</w:t>
      </w:r>
    </w:p>
    <w:p w14:paraId="3C3CAF5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целях своевременной и всесторонней подготовки боевых самолетов к зимней эксплуатации:</w:t>
      </w:r>
    </w:p>
    <w:p w14:paraId="7F20562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Нач. ЛИИ Чесалову совместно с ГК А.С.Я., С.В.И., С.А.Л. и Путиловым к 19 августа 1942 разработать технические требования к эталонам основных боевых самолетов, оборудованных для зимней эксплуатации.</w:t>
      </w:r>
    </w:p>
    <w:p w14:paraId="169702E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Директорам заводов 292, 153, 21, 126, 1, 18, 22 к 1 сентября 1942 обеспечить изготовление эталонов самолетов по тех. требованиям для зимней эксплуатации.</w:t>
      </w:r>
    </w:p>
    <w:p w14:paraId="3A57D3E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Директорам и ГК заводов 292, 153, 21, 126, 1, 18, 22 к 15 октября 1942 оборудовать по схемам ЛИИ и ЦИАМ самолеты Як-1, як-7, ЛаГГ-3, ЛаГ-5, Ил-2, Ил-4, Пе-2 приспособлениями для расжижения масла бензином, испытать и дать инструкции по эксплуатации частям ВВС</w:t>
      </w:r>
    </w:p>
    <w:p w14:paraId="5669194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(проверить и доработать применявшуюся ранее систему запуска холодных моторов с помощью пускового насоса ПН-1) (1582,29).</w:t>
      </w:r>
    </w:p>
    <w:p w14:paraId="18FBF398" w14:textId="77777777" w:rsidR="00AE7191" w:rsidRPr="001E2C69" w:rsidRDefault="00AE7191" w:rsidP="00722885">
      <w:pPr>
        <w:pStyle w:val="Iauiue"/>
        <w:jc w:val="both"/>
        <w:rPr>
          <w:color w:val="000000" w:themeColor="text1"/>
          <w:sz w:val="16"/>
          <w:szCs w:val="16"/>
        </w:rPr>
      </w:pPr>
    </w:p>
    <w:p w14:paraId="14BCBB2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30 июля 1942 Зам. Нач. 7 ГУ Алексеев в письме НКАП А.И.Ш. представил сравнительные данные времени набора высоты ЛаГГ-3, Як-1, Як-7 и МиГ-1, составленные по отчетам испытаний опытных и серийных экземпляров самолетов (1684,167).</w:t>
      </w:r>
    </w:p>
    <w:p w14:paraId="2765869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ЛаГГ-3 были данные машин:</w:t>
      </w:r>
    </w:p>
    <w:p w14:paraId="7CE90F2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опытный 301 завода</w:t>
      </w:r>
    </w:p>
    <w:p w14:paraId="13F6D27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серийный 21 завода N 2891 - хуже</w:t>
      </w:r>
    </w:p>
    <w:p w14:paraId="7EF3DDF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серийный 21 завода N 31212912 - хуже</w:t>
      </w:r>
    </w:p>
    <w:p w14:paraId="6C9821C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Як-1</w:t>
      </w:r>
    </w:p>
    <w:p w14:paraId="2355AF1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опытный 115 завода</w:t>
      </w:r>
    </w:p>
    <w:p w14:paraId="292A8AF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серийный 292 завода N 1569 - хуже</w:t>
      </w:r>
    </w:p>
    <w:p w14:paraId="6022643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Як-7</w:t>
      </w:r>
    </w:p>
    <w:p w14:paraId="226AC80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серийный 153 N 2202</w:t>
      </w:r>
    </w:p>
    <w:p w14:paraId="758883A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МиГ-1 АМ-35А</w:t>
      </w:r>
    </w:p>
    <w:p w14:paraId="113009C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опытный 1 завода (1684,168).</w:t>
      </w:r>
    </w:p>
    <w:p w14:paraId="7AF38B87" w14:textId="77777777" w:rsidR="00AE7191" w:rsidRPr="001E2C69" w:rsidRDefault="00AE7191" w:rsidP="00722885">
      <w:pPr>
        <w:pStyle w:val="Iauiue"/>
        <w:jc w:val="both"/>
        <w:rPr>
          <w:color w:val="000000" w:themeColor="text1"/>
          <w:sz w:val="16"/>
          <w:szCs w:val="16"/>
        </w:rPr>
      </w:pPr>
    </w:p>
    <w:p w14:paraId="6C3CA66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 июля 1942 года ВВС при</w:t>
      </w:r>
      <w:r w:rsidRPr="001E2C69">
        <w:rPr>
          <w:rFonts w:ascii="Times New Roman" w:hAnsi="Times New Roman"/>
          <w:color w:val="000000" w:themeColor="text1"/>
          <w:sz w:val="16"/>
          <w:szCs w:val="16"/>
        </w:rPr>
        <w:softHyphen/>
        <w:t>няли решение о прекращении формирования автожирных единиц. Экипа</w:t>
      </w:r>
      <w:r w:rsidRPr="001E2C69">
        <w:rPr>
          <w:rFonts w:ascii="Times New Roman" w:hAnsi="Times New Roman"/>
          <w:color w:val="000000" w:themeColor="text1"/>
          <w:sz w:val="16"/>
          <w:szCs w:val="16"/>
        </w:rPr>
        <w:softHyphen/>
        <w:t>жи автожиров пересадили на самолеты, 2 аппарата направили в летную школу Оренбурга, остальные списали (10224,56).</w:t>
      </w:r>
    </w:p>
    <w:p w14:paraId="6DC816F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30266E21"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4D5BC4D3" w14:textId="77777777" w:rsidR="00AE7191" w:rsidRPr="001E2C69" w:rsidRDefault="00AE7191" w:rsidP="00722885">
      <w:pPr>
        <w:pStyle w:val="Iauiue"/>
        <w:jc w:val="both"/>
        <w:rPr>
          <w:iCs/>
          <w:color w:val="000000" w:themeColor="text1"/>
          <w:sz w:val="16"/>
          <w:szCs w:val="16"/>
        </w:rPr>
      </w:pPr>
    </w:p>
    <w:p w14:paraId="549AAE8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30 июля 1942 г. вышел ПРИКАЗ № 0580 О НАПРАВЛЕНИИ ТАНКОВ, ВЫПУСКАЕМЫХ СТАЛИНГРАДСКИМ ТРАКТОРНЫМ ЗАВОДОМ, НА СТАЛИНГРАДСКИЙ И СЕВЕРО-КАВКАЗСКИЙ ФРОНТЫ</w:t>
      </w:r>
    </w:p>
    <w:p w14:paraId="4D25CBF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Обязать ГАБТУ все танки, выпускаемые СТЗ, направлять на обслуживание Сталинградского и Северо-Кавказского фронтов.</w:t>
      </w:r>
    </w:p>
    <w:p w14:paraId="3E0E2CD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Из танков, выпускаемых СТЗ, формировать отдельные батальоны и отдельные бригады однотипного состава, т. е. целиком из танков Т-34, без малых танков.</w:t>
      </w:r>
    </w:p>
    <w:p w14:paraId="40DB7F8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Отдельные батальоны Сталинградского формирования иметь в составе 21 танка Т-34, а отдельные бригады — в составе двух батальонов плюс два танка для командира бригады и начальника штаба бригады — всего 44 танка Т-34.</w:t>
      </w:r>
    </w:p>
    <w:p w14:paraId="3FB88A87" w14:textId="77777777" w:rsidR="00AE7191" w:rsidRPr="001E2C69" w:rsidRDefault="00AE7191" w:rsidP="00722885">
      <w:pPr>
        <w:pStyle w:val="Iauiue"/>
        <w:jc w:val="both"/>
        <w:rPr>
          <w:color w:val="000000" w:themeColor="text1"/>
          <w:sz w:val="16"/>
          <w:szCs w:val="16"/>
        </w:rPr>
      </w:pPr>
      <w:r w:rsidRPr="001E2C69">
        <w:rPr>
          <w:iCs/>
          <w:color w:val="000000" w:themeColor="text1"/>
          <w:sz w:val="16"/>
          <w:szCs w:val="16"/>
        </w:rPr>
        <w:t xml:space="preserve">Народный комиссар обороны И. СТАЛИН </w:t>
      </w:r>
      <w:r w:rsidRPr="001E2C69">
        <w:rPr>
          <w:color w:val="000000" w:themeColor="text1"/>
          <w:sz w:val="16"/>
          <w:szCs w:val="16"/>
        </w:rPr>
        <w:t>(9844).</w:t>
      </w:r>
    </w:p>
    <w:p w14:paraId="25A73C21" w14:textId="77777777" w:rsidR="00AE7191" w:rsidRPr="001E2C69" w:rsidRDefault="00AE7191" w:rsidP="00722885">
      <w:pPr>
        <w:pStyle w:val="Iauiue"/>
        <w:jc w:val="both"/>
        <w:rPr>
          <w:color w:val="000000" w:themeColor="text1"/>
          <w:sz w:val="16"/>
          <w:szCs w:val="16"/>
        </w:rPr>
      </w:pPr>
    </w:p>
    <w:p w14:paraId="08531515" w14:textId="77777777" w:rsidR="007D206F" w:rsidRPr="008A2E5A" w:rsidRDefault="007D206F" w:rsidP="007D206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июля 1942 г. вышел ПРИКАЗ О НАПРАВЛЕНИИ ТАНКОВ, ВЫПУСКАЕМЫХ СТАЛИНГРАДСКИМ ТРАКТОРНЫМ ЗАВОДОМ, НА СТАЛИНГРАДСКИЙ И СЕВЕРО-КАВКАЗСКИЙ ФРОНТЫ № 0580</w:t>
      </w:r>
      <w:r w:rsidRPr="008A2E5A">
        <w:rPr>
          <w:rFonts w:ascii="Times New Roman" w:hAnsi="Times New Roman"/>
          <w:color w:val="0070C0"/>
          <w:sz w:val="16"/>
          <w:szCs w:val="16"/>
        </w:rPr>
        <w:tab/>
      </w:r>
    </w:p>
    <w:p w14:paraId="765C74B5" w14:textId="77777777" w:rsidR="007D206F" w:rsidRPr="008A2E5A" w:rsidRDefault="007D206F" w:rsidP="007D206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Обязать ГАБТУ все танки, выпускаемые СТЗ, направлять на обслуживание Сталинградского и Северо-Кавказского фронтов.</w:t>
      </w:r>
    </w:p>
    <w:p w14:paraId="53F638CB" w14:textId="77777777" w:rsidR="007D206F" w:rsidRPr="008A2E5A" w:rsidRDefault="007D206F" w:rsidP="007D206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Из танков, выпускаемых СТЗ, формировать отдельные батальоны и отдельные бригады однотипного состава, т. е. целиком из танков Т-34, без малых танков.</w:t>
      </w:r>
    </w:p>
    <w:p w14:paraId="27ED9319" w14:textId="77777777" w:rsidR="007D206F" w:rsidRPr="008A2E5A" w:rsidRDefault="007D206F" w:rsidP="007D206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Отдельные батальоны Сталинградского формирования иметь в составе 21 танка Т-34, а отдельные бригады — в составе двух батальонов плюс два танка для командира бригады и начальника штаба бригады — всего 44 танка Т-34.</w:t>
      </w:r>
    </w:p>
    <w:p w14:paraId="6030E745" w14:textId="77777777" w:rsidR="007D206F" w:rsidRPr="008A2E5A" w:rsidRDefault="007D206F" w:rsidP="007D206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обороны И. СТАЛИН</w:t>
      </w:r>
    </w:p>
    <w:p w14:paraId="4F251CF4" w14:textId="77777777" w:rsidR="007D206F" w:rsidRPr="008A2E5A" w:rsidRDefault="007D206F" w:rsidP="007D206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 4, оп. 11, д. 71, л. 502. Подлинник (23993).</w:t>
      </w:r>
    </w:p>
    <w:p w14:paraId="5DD4A324" w14:textId="77777777" w:rsidR="007D206F" w:rsidRPr="008A2E5A" w:rsidRDefault="007D206F" w:rsidP="007D206F">
      <w:pPr>
        <w:spacing w:after="0" w:line="240" w:lineRule="auto"/>
        <w:jc w:val="both"/>
        <w:rPr>
          <w:rFonts w:ascii="Times New Roman" w:hAnsi="Times New Roman"/>
          <w:color w:val="0070C0"/>
          <w:sz w:val="16"/>
          <w:szCs w:val="16"/>
        </w:rPr>
      </w:pPr>
    </w:p>
    <w:p w14:paraId="1BBA84B9"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30 июля 1942 года вышел приказ № 538с НКБ</w:t>
      </w:r>
    </w:p>
    <w:p w14:paraId="5D8272AA"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Во исполнение постановления ГОКО № 2089с от 24 июля 1942 года:</w:t>
      </w:r>
    </w:p>
    <w:p w14:paraId="7075CC35"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Начальнику 4 ГЛ. управления и директору завода № 561 передать завод в НКПС полностью со всем имеющимся на нем оборудованием ………. Начальнику 3 Гл. управления и директору завода № 579 передать Наркомсредмашу площадку строительства завода № 579 в г. Сталинске со всеми сооружениями (5905, 264).</w:t>
      </w:r>
    </w:p>
    <w:p w14:paraId="7227EF08" w14:textId="77777777" w:rsidR="00AE7191" w:rsidRPr="001E2C69" w:rsidRDefault="00AE7191" w:rsidP="00722885">
      <w:pPr>
        <w:pStyle w:val="Iauiue"/>
        <w:tabs>
          <w:tab w:val="left" w:pos="11199"/>
        </w:tabs>
        <w:jc w:val="both"/>
        <w:rPr>
          <w:color w:val="000000" w:themeColor="text1"/>
          <w:sz w:val="16"/>
          <w:szCs w:val="16"/>
        </w:rPr>
      </w:pPr>
    </w:p>
    <w:p w14:paraId="44D1AF29"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 июля 1942 года</w:t>
      </w:r>
    </w:p>
    <w:p w14:paraId="3B39921C"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РГАЭ Фонд 8752 Опись 4 Дело 93 лист 82 – 81</w:t>
      </w:r>
    </w:p>
    <w:p w14:paraId="2AA70A53"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Секретно.</w:t>
      </w:r>
    </w:p>
    <w:p w14:paraId="6543D6EF"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 ПО НАРОДНОМУ КОМИССАРИАТУ ТАНКОВОЙ ПРОМЫШЛЕННОСТИ СССР № 555с</w:t>
      </w:r>
    </w:p>
    <w:p w14:paraId="76998548"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Москва</w:t>
      </w:r>
    </w:p>
    <w:p w14:paraId="7A9B2206"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 июля 1942 года.</w:t>
      </w:r>
    </w:p>
    <w:p w14:paraId="2C753E96"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целях оказания заводу № 183 технической помощи в завершении проводимых заводом работ по обеспечению взаимозаменяемости, унификации и нормализации деталей и технологического процесса по Т-34 и перенесения этого опыта на другие заводы – ПРИКАЗЫВАЮ:</w:t>
      </w:r>
    </w:p>
    <w:p w14:paraId="28EEC474"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Организовать бригаду из работников ГПИ-8 и заводов Наркомата в составе:</w:t>
      </w:r>
    </w:p>
    <w:p w14:paraId="6AF36650"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Божко – Зам. Начальника Техн. Отдела Кировского завода – руководитель бригады.</w:t>
      </w:r>
    </w:p>
    <w:p w14:paraId="16A8F28B"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Орленко – ГПИ-8 – Зам. руководителя бригады.</w:t>
      </w:r>
    </w:p>
    <w:p w14:paraId="6A6D6C20"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Кучеренко – Нач. КБ завода № 183 – Зам. руководителя бригады.</w:t>
      </w:r>
    </w:p>
    <w:p w14:paraId="02D9F938"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Бер И.С. – Завод № 112 – Зам. Главного конструктора – руководителем группы.</w:t>
      </w:r>
    </w:p>
    <w:p w14:paraId="7F3A9AE7"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Алексеева Н.Н. – Завод № 174 ст. технолог – руководителем группы.</w:t>
      </w:r>
    </w:p>
    <w:p w14:paraId="06558DA7"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Панчюрина – Технолог СТЗ.</w:t>
      </w:r>
    </w:p>
    <w:p w14:paraId="1B280248"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Батыкова – Ст. технолог завода № 174.</w:t>
      </w:r>
    </w:p>
    <w:p w14:paraId="68EC49FD"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Бутковского – Зам. Начальника БИП завода № 174.</w:t>
      </w:r>
    </w:p>
    <w:p w14:paraId="4BDF53D7"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Выдрина – Ведущего технолога завода № 37.</w:t>
      </w:r>
    </w:p>
    <w:p w14:paraId="51A02C48"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Леонтьева – Начальника бюро стандартизации и взаимозаменяемости завода № 174.</w:t>
      </w:r>
    </w:p>
    <w:p w14:paraId="08CFA372"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Вкашник – Старший инженер ГПИ-8.</w:t>
      </w:r>
    </w:p>
    <w:p w14:paraId="20BE055D"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Лифшиц – Старший инженер ГПИ-8.</w:t>
      </w:r>
    </w:p>
    <w:p w14:paraId="34E0760F"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13) Михайлова – Старший инженер ГПИ-8.</w:t>
      </w:r>
    </w:p>
    <w:p w14:paraId="221DFCE9"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Егорова – Старший инженер ГПИ-8.</w:t>
      </w:r>
    </w:p>
    <w:p w14:paraId="737C39DA"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Сысоева – Старший инженер ГПИ-8.</w:t>
      </w:r>
    </w:p>
    <w:p w14:paraId="7FC45DC6"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Плоткина – Старший инженер ГПИ-8.</w:t>
      </w:r>
    </w:p>
    <w:p w14:paraId="2B4E5F41"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Пинского – Старший инженер ГПИ-8.</w:t>
      </w:r>
    </w:p>
    <w:p w14:paraId="78A910DC"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Мельникова – Зам. главного технолога завода № 183</w:t>
      </w:r>
    </w:p>
    <w:p w14:paraId="08F8B65F"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Судакина – Металлург НКТП.</w:t>
      </w:r>
    </w:p>
    <w:p w14:paraId="48790419"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Возложить на бригаду и ее руководителя т. Божко следующие работы:</w:t>
      </w:r>
    </w:p>
    <w:p w14:paraId="659F05A7"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Проверить взаимозаменяемость всех узлов и деталей трансмиссии, ходовой части и других механизмов танка Т-34, выпускаемого как заводом № 183, так и другими заводами НКТП и проработать мероприятия по обеспечению таковой.</w:t>
      </w:r>
    </w:p>
    <w:p w14:paraId="20A8B7F4"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Проверить и разработать мероприятия по унификации и сокращению номенклатуры крепежа, других нормалей, деталей и элементов деталей.</w:t>
      </w:r>
    </w:p>
    <w:p w14:paraId="03A5CEC8"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Проработать возможность унификации и сокращения номенклатуры применяемых на машину черных и цветных металлов.</w:t>
      </w:r>
    </w:p>
    <w:p w14:paraId="0AFA788B"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Проверить принятые заводом № 183 технологические процессы по массовым и наиболее важным узлами деталям и разработать конкретные предложения к рационализации и унификации этих процессов.</w:t>
      </w:r>
    </w:p>
    <w:p w14:paraId="45EF3494"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 Проверить проведенную заводом № 183 работу по нормализации и сокращению номенклатуры режущего и мерительного инструмента.</w:t>
      </w:r>
    </w:p>
    <w:p w14:paraId="04C0E191"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Возложить на И.О. Главного инженера ГПИ-8 т. Шпынева ответственность за направление, результаты и качество работы бригады на заводе.</w:t>
      </w:r>
    </w:p>
    <w:p w14:paraId="769A3C4F"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Место работы бригады – завод № 183 в г. Нижний Тагил.</w:t>
      </w:r>
    </w:p>
    <w:p w14:paraId="16088B3A"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Установить срок работы бригады на заводе № 183 с 5-го августа по 15-е сентября с.г.</w:t>
      </w:r>
    </w:p>
    <w:p w14:paraId="60D1F288"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Директорам заводов: № 183 т. Максареву, № 174 т. Кацнельсон, Кировского т. Махонину, СТЗ т. Задорожному, № 112 т. Рубинчику, № 37 т. Фрезерову и Нач. ГПИ-8 т. Солину временно командировать на завод № 183 перечисленных в п. 1-м работников – членов бригады с 1-го августа с.г.</w:t>
      </w:r>
    </w:p>
    <w:p w14:paraId="715229AA"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По окончании работы бригады и разработке предложений на заводе № 183 т. Шпынову и т. Божко направить на заводы Наркомтанкопрома, изготовляющие танки Т-34, ответственных работников бригады для согласования и проверки на месте предложений, разработанных бригадой. По окончании согласования предложений, доработать весь материал и представить мне к 10/X-с.г. на утверждение.</w:t>
      </w:r>
    </w:p>
    <w:p w14:paraId="78154BED"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Директору завода № 183 т. Максареву выделить дополнительно в распоряжение руководителя бригады т. Божко, по согласованию с последним, необходимое количество работников из конструкторского бюро и других бюро завода, и создать соответствующие условия бригаде для выполнения настоящего задания (рабочее помещение, жилище, питание).</w:t>
      </w:r>
    </w:p>
    <w:p w14:paraId="640EB5F6"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Контроль за ходом выполнения настоящего приказа возлагаю на заместителя начальника II-го отдала т. Гинзбург С.А.</w:t>
      </w:r>
    </w:p>
    <w:p w14:paraId="236789BE"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ЗАМЕСТИТЕЛЬ НАРОДНОГО КОМИССАРА ТАНКОВОЙ ПРОМЫШЛЕННОСТИ СОЮЗА ССР подпись ЗЕРНОВ (21230).</w:t>
      </w:r>
    </w:p>
    <w:p w14:paraId="561BFCAA" w14:textId="77777777" w:rsidR="00650296" w:rsidRPr="001E2C69" w:rsidRDefault="00650296" w:rsidP="00722885">
      <w:pPr>
        <w:spacing w:after="0" w:line="240" w:lineRule="auto"/>
        <w:jc w:val="both"/>
        <w:rPr>
          <w:rFonts w:ascii="Times New Roman" w:hAnsi="Times New Roman"/>
          <w:color w:val="000000" w:themeColor="text1"/>
          <w:sz w:val="16"/>
          <w:szCs w:val="16"/>
        </w:rPr>
      </w:pPr>
    </w:p>
    <w:p w14:paraId="0AB8D9E8"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 июля 1942 г.</w:t>
      </w:r>
    </w:p>
    <w:p w14:paraId="708C4C14"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РГАЭ Фонд 8752 Опись 4 Дело 93 лист 99 – 93</w:t>
      </w:r>
    </w:p>
    <w:p w14:paraId="514FA150"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Сов. секретно.</w:t>
      </w:r>
    </w:p>
    <w:p w14:paraId="76EC5240"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 НАРОДНОГО КОМИССАРИАТА ТАНКОВОЙ ПРОМЫШЛЕННОСТИ СОЮЗА ССР № 556сс</w:t>
      </w:r>
    </w:p>
    <w:p w14:paraId="631C596F"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Москва</w:t>
      </w:r>
    </w:p>
    <w:p w14:paraId="519FDEA6"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 июля 1942 г.</w:t>
      </w:r>
    </w:p>
    <w:p w14:paraId="7D2D72A6"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 исполнение постановления ГОКО № 2120сс от 28.VII-1942 г. "Об организации производства танков Т-34 на Уралмашзаводе" и заводе № 37 Наркомтанкопрома, ПРИКАЗЫВАЮ:</w:t>
      </w:r>
    </w:p>
    <w:p w14:paraId="53943D2B"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Директору Уралмашзавода тов. Музрукову:</w:t>
      </w:r>
    </w:p>
    <w:p w14:paraId="78FB85FD"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организовать на Уралмашзаводе и заводе № 37 производство танков Т-34 с началом выпуска их в октябре 1942 г.;</w:t>
      </w:r>
    </w:p>
    <w:p w14:paraId="64504646"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обеспечить выполнение программы производства танков Т-34 на Уралмашзаводе в 1942 году:</w:t>
      </w:r>
    </w:p>
    <w:p w14:paraId="76A4E5EF"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октябре – 25 штук</w:t>
      </w:r>
    </w:p>
    <w:p w14:paraId="2F16015B"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ноябре – 100 штук</w:t>
      </w:r>
    </w:p>
    <w:p w14:paraId="7A3EB986"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декабре – 200 штук</w:t>
      </w:r>
    </w:p>
    <w:p w14:paraId="53605618"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Всего – 325 штук.</w:t>
      </w:r>
    </w:p>
    <w:p w14:paraId="31D3BFD8"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Довести к 1 января 1943 года производство танков Т-34 на Уралмашзаводе до 350 штук в месяц с соответствующим количеством запасных частей к ним;</w:t>
      </w:r>
    </w:p>
    <w:p w14:paraId="2373953E"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объединить Уралмашзавод и завод № 37 в единый завод "УРАЛМАШЗАВОД";</w:t>
      </w:r>
    </w:p>
    <w:p w14:paraId="243121D9"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в связи с организацией производства танков Т-34 на Уралмашзаводе м заводе № 37 прекратить с 1 августа с.г. подготовку производства и производство танков Т-70 на заводе № 37.</w:t>
      </w:r>
    </w:p>
    <w:p w14:paraId="0BEC4FC3"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Тов. Музрукову передать всю имеющуюся на бывшем заводе № 37 оснастку, приспособления и инструмент для производства танков Т-70, а также годное незавершенное производство и готовые детали заводу № 38;</w:t>
      </w:r>
    </w:p>
    <w:p w14:paraId="03BC9BB9"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 обеспечить выполнение программы производства корпусов танков Т-34 и КВ на Уралмашзаводе в 1942 году:</w:t>
      </w:r>
    </w:p>
    <w:p w14:paraId="75AEBE4D"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Прекратить производство корпусов танков КВ на Уралмашзаводе с сентября 1942 года;</w:t>
      </w:r>
    </w:p>
    <w:p w14:paraId="4BC795B8"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 передать с Уралмашзавода заводу № 200 всю оснастку, инструмент, приспособления, а также незавершенное производство по мере прекращения выпуска корпусов танков КВ.</w:t>
      </w:r>
    </w:p>
    <w:p w14:paraId="42C79686"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Начальнику 3 Главного управления тов. Хабахпашеву и директору завода № 200 – тов. Сочивко, в связи с прекращением с сентября месяца производства корпусов танков КВ на Уралмашзаводе, обеспечить Кировский завод, начиная с сентября месяца с.г., корпусами танков КВ на полную программу выпуска этих машин.</w:t>
      </w:r>
    </w:p>
    <w:p w14:paraId="7DE674FB"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Директору Уралмашзавода тов. Музрукову, Зам. начальника II отдела тов. Гинзбург, Нач. ОКСа тов. Корневу, Зам. начальника металлургического отдела тов. Середину, Нач. Главснаба тов. Розину, Нач. транспортного отдела тов. Косолапову учесть и принять к сведению, что указанным постановлением ГОКО:</w:t>
      </w:r>
    </w:p>
    <w:p w14:paraId="0D22CD61"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разрешено Уралмашзаводу принять для подготовки производства танков Т-34 5-скоростную коробку перемены передач, усиленный ленивец и башню с командирской башенкой.</w:t>
      </w:r>
    </w:p>
    <w:p w14:paraId="0B2DB006"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Нарком вооружения тов. Устинов обязан:</w:t>
      </w:r>
    </w:p>
    <w:p w14:paraId="72C688FA"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передать к 1 августа 1942 г. Уралмашзаводу незаконченный строительством цех № 70 завода № 8 (бывший корпус УГМР) для организации в нем сборки танков Т-34;</w:t>
      </w:r>
    </w:p>
    <w:p w14:paraId="4581E4DE"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закончить демонтаж оборудования цеха № 24 завода № 8 (одного пролета к 15 августа и второго пролета к 1 сентября 1942 г.) и перенести указанный цех из корпуса механического цеха во вновь построенное здание обдирочного цеха завода № 8;</w:t>
      </w:r>
    </w:p>
    <w:p w14:paraId="2335F0D7"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предусмотреть в IV квартале 1942 г. увеличение производства танковых пушек Ф-34 в соответствии с увеличением производства танков Т-34.</w:t>
      </w:r>
    </w:p>
    <w:p w14:paraId="676539ED"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Наркомстрой (тов. Гинзбург) и Начальник Свердловскпромстроя (тов. Соболев) обязаны закончить начатое строительство и обеспечить строительство новых производственных помещений на Уралмашзаводе согласно приложению № 1.</w:t>
      </w:r>
    </w:p>
    <w:p w14:paraId="316C206D"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Т.т. Сабурову, Малышеву с участием т.т. Зальцман и Устинова поручено в 10-дневный срок проверить баланс стального литья и поковок по Уралмашзаводу с учетом полного обеспечения в первую очередь потребности производства танков Т-34, корпусов и дизелей и с частичным снятием с Уралмашзавода заказов на стальное литье и поковки для других наркоматов. Предложения внести на утверждение ГОКО. Тов. Музрукову и тов. Середину подготовить для представления в ГОКО указанный материал к 1 августа с.г.</w:t>
      </w:r>
    </w:p>
    <w:p w14:paraId="1C24BB95"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 Наркомчермет (т. Тевосян), Наркомцветмет (т. Ломако), Наркомрезинпром (т. Митрохин), Наркомэлектропром (т. Кабанов) обязаны принять от Наркомтанкопрома изменения разнарядок на черные и цветные металлы и изделия в связи со снятием с производства на заводе № 37 танков Т-70 и организацией выпуска танков Т-34 на Уралмашзаводе в соответствии с настоящим постановлением. Тов. Розину произвести соответствующее изменение разнарядок.</w:t>
      </w:r>
    </w:p>
    <w:p w14:paraId="483D0FA1"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 Наркомэлектропром (т. Кабанов), Наркомминвооружения (т. Паршин), Наркомсудпром (т. Носенко) обязаны поставить Наркомтанкопрому для пуска вновь организуемых цехов на Уралмашзаводе материалы и изделия в количествах согласно приложениям № 2, 3 и 4. Тов. Розину обеспечить получение указанных материалов и изделий.</w:t>
      </w:r>
    </w:p>
    <w:p w14:paraId="698D7EC9"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ж) Госплан СССР – т. Сабурову (созыв), Наркомвнешторг – т. Микоян, Наркомтанкопром – т. Зальцман и Наркомстанкостроения – т. Ефремову в 10-дневный срок внести в ГОКО предложения об обеспечении заводов Наркомтанкопрома в III и IV кварталах 1942 г. специальными станками типа Глиссон и "Клингельберг", шлицешлифовальными и зуборезными станками для производства танков Т-34 с использованием импортных поступлений. Тов. Музрукову, т. Гинзбургу представить мне к 1 августа с.г. предложения по обеспечению заводов Наркомтанкопрома вышеуказанными станками.</w:t>
      </w:r>
    </w:p>
    <w:p w14:paraId="7445C30D"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 Разрешено вывезти из г. Ленинграда с Кировского завода, завода № 174 и Ижорского 20 крановых тележек, 3 комплекта бегунов и 13 штук формовочных машин в счет разрешенного Наркомтанкопрому к вывозу из г. Ленинграда оборудования и вагонов для его переброски.</w:t>
      </w:r>
    </w:p>
    <w:p w14:paraId="3358C85A"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Военный совет Ленинградского фронта и Ленинградский Горисполком обязаны обеспечить первоочередную отправку указанного оборудования из г. Ленинграда, переброску его через Ладожское озеро, а НКПС – т. Хрулев обязан обеспечить доставку указанного оборудования в г. Свердловск на Уралмашзавод.</w:t>
      </w:r>
    </w:p>
    <w:p w14:paraId="700AFDA2"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Тов. Музрукову, тов. Розину и тов. Гинзбургу в 3-дневный срок передать спецификацию указанного оборудования в г. Ленинград тов. Петросьянц для подбора его на указанных предприятиях г. Ленинграда и отправки на Уралмашзавод.</w:t>
      </w:r>
    </w:p>
    <w:p w14:paraId="70B120FE"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 Наркомстрой – тов. Гинзбург обязан построить в ноябре 1942 г. дополнительные трамвайные пути для соединения Уралмашзавода и завода № 37 (бывш. завод "Металлист"), а Свердловский Горкомхоз обеспечить присоединение этих путей к существующим и прокладку троллеи. Тов. Музрукову и тов. Корневу обеспечить контроль за выполнением настоящего пункта.</w:t>
      </w:r>
    </w:p>
    <w:p w14:paraId="564B94E7"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НКО – тов. Щаденко обязан передать Свердловскпромстрою Наркомстроя к 15 августа 1942 г. для строительства Уралмашзавода 1000 человек из числа выздоравливающих красноармейцев.</w:t>
      </w:r>
    </w:p>
    <w:p w14:paraId="2C9C39A9"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 Распространены на строительство Уралмашзавода и завода № 37 пункты №№ 6, 11, 12, 13, 14, 16, 17, 19, 24, 25, 26 и 38 постановления ГОКО № 1592 от 13 апреля 1942 г. (приложения к настоящему приказу №№ 5 и 6). Тов. Музрукову, тов. Розину и тов. Корневу обеспечить контроль за выполнением настоящего пункта.</w:t>
      </w:r>
    </w:p>
    <w:p w14:paraId="005CD6C6"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 Наркомстройматериалов СССР – тов. Соснин обязан:</w:t>
      </w:r>
    </w:p>
    <w:p w14:paraId="04A81D42"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отгрузить Свердловскпромстрою Наркомстроя до 10 августа с.г. впереди всех других потребителей 250 вагонов цемента с Чернореченского цементного завода за счет фондов Наркомстроя, а НКПС обязан обеспечить перевозку указанного цемента на строительство Уралмашзавода и завода № 37 специальными транспортами.</w:t>
      </w:r>
    </w:p>
    <w:p w14:paraId="407730B7"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Отгрузить Свердловскпромстрою Наркомстроя к 10 августа с.г. в счет фондов Наркомстроя: рубероида и пергамина 10.000 кв. мтр. и стекла 2.000 кв. мтр.</w:t>
      </w:r>
    </w:p>
    <w:p w14:paraId="3794A61F"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 Главлесосбыт при СНК СССР – тов. Лопухов обязан отгрузить впереди всех других потребителей до 15 августа с.г. Наркомстрою для строительства Уралмашзавода и завода № 37 300 вагонов лесоматериалов в счет фондов Наркомстроя.</w:t>
      </w:r>
    </w:p>
    <w:p w14:paraId="5CB5CB73"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 Выделено Свердловскпромстрою Наркомстроя для строительства Уралмашзавода до 1 сентября 1942 г. 1.000 тн. сортового железа, 300 тн. листового железа, 400 тн. балок и швеллеров за счет остатков, имеющихся на заводах Наркомтанкопрома, подлежащих сдаче сверх утвержденных планом распределения в III квартале. Тов. Розину обеспечить выполнение настоящего пункта.</w:t>
      </w:r>
    </w:p>
    <w:p w14:paraId="454AF2F6"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 НКПС – тов. Хрулев и начальник дороги им. Кагановича тов. Закорко обязаны обеспечить бесперебойную доставку местных материалов и леса тресту Свердловскпромстрой Наркомстроя для строительства Уралмашзавода и завода № 37.</w:t>
      </w:r>
    </w:p>
    <w:p w14:paraId="6757AEB1"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 Комитет по учету и распределению рабочей силы при СНК СССР тов. Москатов, Председатель Рязанского Облисполкома тов. Мамонов и Председатель Тамбовского Облисполкома тов. Козинков обязаны мобилизовать до 10 августа по 1.000 чел. в каждой области из числа эвакуированного населения и направить Свердловскпромстрою Наркомстроя для строительства Уралмашзавода и строительства завода № 37.</w:t>
      </w:r>
    </w:p>
    <w:p w14:paraId="29D5A8A6"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НКПС – тов. Хрулев обязан обеспечить переброску мобилизованных рабочих из указанных областей в г. Свердловск.</w:t>
      </w:r>
    </w:p>
    <w:p w14:paraId="04B3B4CF"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Наркомторг – тов. Любимов обязан обеспечить рабочих, мобилизованных для строительства Уралмашзавода питанием на время переезда в г. Свердловск.</w:t>
      </w:r>
    </w:p>
    <w:p w14:paraId="7D2C2E21"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 Разрешено Наркомстрою:</w:t>
      </w:r>
    </w:p>
    <w:p w14:paraId="22F2AC64"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Выдать рабочим из числа эвакуированного населения, мобилизованным на строительство Уралмашзавода безвозвратное пособие в сумме 300 руб. каждому.</w:t>
      </w:r>
    </w:p>
    <w:p w14:paraId="52CC2A4E"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Для рабочих и ИТР, работающих по 11 часов и выполняющих нормы на строительстве Уралмашзавода и завода № 37, ввести с 1 августа вторые обеды (без карточек) в количестве до 1.500 обедов в сутки за счет фондов Наркомстроя на продовольственные товары.</w:t>
      </w:r>
    </w:p>
    <w:p w14:paraId="7D7FD217"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Указанное постановление ГОКО:</w:t>
      </w:r>
    </w:p>
    <w:p w14:paraId="2BABC1CE"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Обязало Наркомгосконтроль – тов. Попова обеспечить контроль за выполнением настоящего постановления.</w:t>
      </w:r>
    </w:p>
    <w:p w14:paraId="7736C2A4"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Утвердило уполномоченным Государственного Комитета Обороны по производству танков Т-34 на Уралмашзаводе 1-го Секретаря Свердловского Обкома ВКП(б) – тов. Андрианова.</w:t>
      </w:r>
    </w:p>
    <w:p w14:paraId="0AD6005F" w14:textId="77777777" w:rsidR="00650296" w:rsidRPr="001E2C69" w:rsidRDefault="006502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Заместитель Народного Комиссара Танковой промышленности Союза ССР подпись П. ЗЕРНОВ (21231).</w:t>
      </w:r>
    </w:p>
    <w:p w14:paraId="4ED8FA7A" w14:textId="77777777" w:rsidR="00650296" w:rsidRPr="001E2C69" w:rsidRDefault="00650296" w:rsidP="00722885">
      <w:pPr>
        <w:spacing w:after="0" w:line="240" w:lineRule="auto"/>
        <w:jc w:val="both"/>
        <w:rPr>
          <w:rFonts w:ascii="Times New Roman" w:hAnsi="Times New Roman"/>
          <w:color w:val="000000" w:themeColor="text1"/>
          <w:sz w:val="16"/>
          <w:szCs w:val="16"/>
        </w:rPr>
      </w:pPr>
    </w:p>
    <w:p w14:paraId="010A07C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30-31 июля 1942 в Ленинграде завершено изготовление еще 26 самоходных плашкоутов для Ладоги. Катеростроители передали флоту 3 катера типа КМ-5, 2 ТК типа Д-3 (10671).</w:t>
      </w:r>
    </w:p>
    <w:p w14:paraId="78D86F12"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229FE54"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400E940A" w14:textId="77777777" w:rsidR="00AE7191" w:rsidRPr="001E2C69" w:rsidRDefault="00AE7191" w:rsidP="00722885">
      <w:pPr>
        <w:pStyle w:val="Iauiue"/>
        <w:jc w:val="both"/>
        <w:rPr>
          <w:iCs/>
          <w:color w:val="000000" w:themeColor="text1"/>
          <w:sz w:val="16"/>
          <w:szCs w:val="16"/>
        </w:rPr>
      </w:pPr>
    </w:p>
    <w:p w14:paraId="0A520DF7"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 июля в 1942 году утреннее сообщение Совинформбюро:</w:t>
      </w:r>
    </w:p>
    <w:p w14:paraId="08EE7767"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30 июля наши войска вели бои с противником в районе Воронежа, а также в районах Цымлянская, Батайск и юго-западнее Клетская.</w:t>
      </w:r>
    </w:p>
    <w:p w14:paraId="3F676683"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7CD47CFD"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на ряде участков наши войска продвигались вперёд, преодолевая упорное сопротивление противника. Одна наша часть выбила противника из населённого пункта и захватила 3 орудия, 4 миномёта, 7 станковых пулемётов и склад с боеприпасами. На другом участке бойцы Н-ской части отразили контратаку противника. В этом бою немцы потеряли 450 солдат и офицеров.</w:t>
      </w:r>
    </w:p>
    <w:p w14:paraId="7ECBE819"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Батайска идут тяжёлые бои. Противник предпринял ряд атак и на отдельных участках продвинулся вперёд. Наши бойцы около населённого пункта О. В течение суток сдерживали натиск врага. На подступах к нашим позициям немцы потеряли 19 танков и 900 человек убитыми. На другом участке наша часть отразила танковую атаку противника и уничтожила 8 немецких танков.</w:t>
      </w:r>
    </w:p>
    <w:p w14:paraId="6F940063"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Клетской продолжались ожесточённые бои с танками и пехотой противника. Все попытки гитлеровцев вклиниться в нашу оборону потерпели неудачу. На одном из участков фронта наша танковая часть предприняла атаку, уничтожила 30 немецких танков и несколько сот солдат и офицеров противника.</w:t>
      </w:r>
    </w:p>
    <w:p w14:paraId="1BDFD92B"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Цымлянской советские лётчики нанесли ряд ударов по группировке противника, переправившейся на южный берег Дона. После авиационной подготовки наши танковые и пехотные части провели ряд успешных контратак. Уничтожено 700 немецких солдат и офицеров, 17 танков, 11 орудий и 27 пулемётов. На некоторых участках противник сосредоточил крупные силы и стремится прорвать линию нашей обороны. Советские войска отбивают атаки врага и перемалывают его живую силу итехнику.</w:t>
      </w:r>
    </w:p>
    <w:p w14:paraId="759AFC31"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Калининском фронте наблюдалась активная деятельность разведывательных отрядов. Наши бойцы под командованием старшего лейтенанта Филимоненкова проникли в тыл противника и совершили внезапный налёт на немецкий гарнизон. Уничтожено до 100 солдат и офицеров противника. Старшина тов. Куракин и красноармеец тов. Скипкин разобрали железнодорожное полотно и пустили под откос немецкий воинский эшелон.</w:t>
      </w:r>
    </w:p>
    <w:p w14:paraId="55C9DF22"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«Батя», действующий в Смоленской области, за 20 дней июля истребил до 600 гитлеровцев, взорвал 8 железнодорожных мостов и пустил под откос 2 воинских эшелона противника. Партизаны уничтожили немецкий танк, несколько автомашин и захватили трофеи.</w:t>
      </w:r>
    </w:p>
    <w:p w14:paraId="3C81F497"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штабс-фельдфебель 246 полка 88 немецкой пехотной дивизии И. Эдер рассказал: «За один день наш полк потерял более половины личного состава. Третий батальон полностью уничтожен. От него осталось в живых десятка полтора солдат, которые сдались в плен. Другие полки дивизии также понесли огромные потери, особенно от огня русских миномётов».</w:t>
      </w:r>
    </w:p>
    <w:p w14:paraId="60912B81"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Перешедший на сторону Красной Армии солдат 11 финского пехотного полка Р.Калле рассказал: «Когда 2 батальон нашего полка получил приказ о наступлении, многие солдаты разбежались. 130 человек были пойманы. Их посадили на центральную гауптвахту в Кестеньге и предали военно-полевому суду. Финские солдаты очень высокого мнения о русских снайперах. Они прекрасно стреляют. Даже в период затишья снайперы ежедневно убивали по 3—5 человек из нашей роты. Недавно русский снайпер убил командира роты капитана Кенкюря».</w:t>
      </w:r>
    </w:p>
    <w:p w14:paraId="3C3EEE39"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Акмолинской области, где уборка колосовых ещё не начиналась, колхозы сдают государству зерно из урожая прошлого года. На заготовительные пункты уже поступило 500 тысяч пудов хлеба.» (14968).</w:t>
      </w:r>
    </w:p>
    <w:p w14:paraId="5545CBEF" w14:textId="77777777" w:rsidR="00326FD0" w:rsidRPr="001E2C69" w:rsidRDefault="00326FD0" w:rsidP="00722885">
      <w:pPr>
        <w:spacing w:after="0" w:line="240" w:lineRule="auto"/>
        <w:jc w:val="both"/>
        <w:rPr>
          <w:rFonts w:ascii="Times New Roman" w:hAnsi="Times New Roman"/>
          <w:color w:val="000000" w:themeColor="text1"/>
          <w:sz w:val="16"/>
          <w:szCs w:val="16"/>
        </w:rPr>
      </w:pPr>
    </w:p>
    <w:p w14:paraId="71AD77BF"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 июля в 1942 году вечернее сообщение Совинформбюро:</w:t>
      </w:r>
    </w:p>
    <w:p w14:paraId="26D7D81E"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30 июля наши войска вели ожесточённые бои в районе Воронежа, а также в районах Цымлянской, южнее и юго-восточнее Батайска и юго-западнее Клетской.</w:t>
      </w:r>
    </w:p>
    <w:p w14:paraId="418AC8F2"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044BC1C9"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29 июля частями нашей авиации на различных участках фронта уничтожена или повреждено до 30 немецких танков, 360 автомашин с войсками и грузами, 5 автоцистерн с горючим, взорвано 2 склада боеприпасов и 2 склада горючего, подавлен огонь 15 батарей полевой и зенитной артиллерии, рассеяно и частью уничтожено до четырёх рот пехоты противника.</w:t>
      </w:r>
    </w:p>
    <w:p w14:paraId="6955F5A3"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гитлеровцы, выбитые за последние дни нашими войсками из ряда опорных пунктов, бросают в бой свежие части и пытаются улучшить своё положение. Северо-западнее города батальон пехоты противника после артиллерийской подготовки перешёл в атаку. Немцы стремились вклиниться в нашу оборону. Встреченные дружным миномётным и ружейно-пулемётным огнём, гитлеровцы в беспорядке отступили, оставив на поле боя 200 трупов. У населенного пункта, вчера занятого нашими частями, весь день шёл ожесточённый бой. Наши бойцы отбили четыре атаки немцев и уничтожили 5 танков и свыше 900 солдат и офицеров противника.</w:t>
      </w:r>
    </w:p>
    <w:p w14:paraId="21BD6235"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В районе юго-западнее Клетской наши части отбивали атаки немецко-фашистских войск и на отдельных участках потеснили гитлеровцев. Несколько танковых групп и два полка пехоты противника атаковали позиции части, где командиром тов. Сажин. Наши бойцы отбили эту атаку, уничтожили 9 танков и несколько сот солдат и офицеров противника. Наша истребительная авиация за день боевых действий сбила 14 немецких самолётов.</w:t>
      </w:r>
    </w:p>
    <w:p w14:paraId="796D459F"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Цымлянской наши войска продолжали вести бои по уничтожению группировки противника, переправившейся через Дон. Наши танкисты при активной поддержке пехоты ворвались в расположение крупной группировки немцев и нанесли им большие потери. Уничтожено 11 танков, 18 орудий и до 1.500 солдат и офицеров противника. С целью прорваться на юг немцы бросают в бой новые танковые и пехотные части.</w:t>
      </w:r>
    </w:p>
    <w:p w14:paraId="7014D1B4"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Южнее и юго-восточнее Батайска идут кровопролитные бои с наступающими мотомеханизированными частями противника. Несмотря на то, что сопротивление наших войск возросло, немцам удалось на отдельных участках продвинуться вперёд. На одном из участков бойцы батальона противотанковых ружей, отражая атаки противника, уничтожили 18 немецких танков. Неувядаемой славой покрыл себя бронебойщик Эрдни Деликов. Когда гитлеровцы под прикрытием авиации стали теснить наших бойцов, тов. Деликов открыл огонь из противотанкового ружья и уничтожилодин за другим 3 немецких броневика. Осколками авиабомбы тов. Деликов был смертельно ранен. Умирая, отважный сын советского народа боец Деликов крикнул своим товарищам: «Возьмите моё ружьё. Бейте фашистских гадов! Пусть знают, что наши не отступают!»</w:t>
      </w:r>
    </w:p>
    <w:p w14:paraId="69BDEAC9"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Брянском фронте происходили бои местного значения. Одна наша часть за два дня уничтожила 5 немецких миномётных батарей с прислугой, 2 орудия, 2 тяжёлых пулемёта с расчётами, 13 пулемётных точек и разрушила 8 блиндажей. Противник потерял убитыми и ранеными до 400 солдат и офицеров. Захвачены пленные. Гвардеец тов. Кононов забросал гранатами вражеский блиндаж и уничтожил четырёх немецких офицеров, пытавшихся спастись бегством.</w:t>
      </w:r>
    </w:p>
    <w:p w14:paraId="35E51FB9"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под командованием тов. Т., действующий в одном из районов Ленинградской области, пустил под откос три эшелона противника с войсками и боеприпасами. Разбито 110 вагонов.</w:t>
      </w:r>
    </w:p>
    <w:p w14:paraId="31FEDBF7"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2 батальона 35 пехотного полка 7 венгерской бригады Любомир П.рассказал:</w:t>
      </w:r>
    </w:p>
    <w:p w14:paraId="194971D1"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 всех сёлах, которые мы проходили от Курска к Дону, — в Мантурове, Поповкеи других — немецкие солдаты грабили крестьян, забирали у них продукты, скот,одежду и ценные вещи. Награбленное грузили на повозки. Офицеры поощряли грабежи и бесчинства и сами принимали в них участие. В селе Сторожево были расстреляны десятки крестьян только за то, что они добровольно не отдавали своих вещей».</w:t>
      </w:r>
    </w:p>
    <w:p w14:paraId="31A025A9"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Югославские патриоты добились новых успехов в борьбе противнемецко-итальянских захватчиков. На днях партизаны заняли один город и продолжают преследовать оккупантов. В бою у гор. Козара итальянцы потеряли убитыми и ранеными до 4.000 человек. Партизаны сожгли 7 танков, захватили 3 противотанковых пушки и много вооружения. В боях у городов Камник, Поляна и Кокра партизаны захватили в плен несколько десятков гитлеровцев, 5 пулемётов и склад с боеприпасами.» (14968).</w:t>
      </w:r>
    </w:p>
    <w:p w14:paraId="67D189DA" w14:textId="77777777" w:rsidR="00326FD0" w:rsidRPr="001E2C69" w:rsidRDefault="00326FD0" w:rsidP="00722885">
      <w:pPr>
        <w:spacing w:after="0" w:line="240" w:lineRule="auto"/>
        <w:jc w:val="both"/>
        <w:rPr>
          <w:rFonts w:ascii="Times New Roman" w:hAnsi="Times New Roman"/>
          <w:color w:val="000000" w:themeColor="text1"/>
          <w:sz w:val="16"/>
          <w:szCs w:val="16"/>
        </w:rPr>
      </w:pPr>
    </w:p>
    <w:p w14:paraId="6CA258A5"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 июля в 1942 году началась Ржевско-Сычевская наступательная операция войск левого крыла Калининского (30-я и 29-я армии, командующий - генерал-полковник И.С.Конев) и правого крыла Западного (31-я и 20-я армии, командующий - генерал армии Г.К.Жуков) фронтов, продолжавшаяся до 23 августа. Прорвав первую полосу обороны противника, советские войска вступили в затяжные бои под Полунино. Соединения 1-й и 4-й танковых армий противникака прорвались на Северо-Кавказском фронте на глубину до 120 км. Войска 37-й армии начали отход на Ставрополь (14968).</w:t>
      </w:r>
    </w:p>
    <w:p w14:paraId="2B2F93B9" w14:textId="77777777" w:rsidR="00326FD0" w:rsidRPr="001E2C69" w:rsidRDefault="00326FD0" w:rsidP="00722885">
      <w:pPr>
        <w:spacing w:after="0" w:line="240" w:lineRule="auto"/>
        <w:jc w:val="both"/>
        <w:rPr>
          <w:rFonts w:ascii="Times New Roman" w:hAnsi="Times New Roman"/>
          <w:color w:val="000000" w:themeColor="text1"/>
          <w:sz w:val="16"/>
          <w:szCs w:val="16"/>
        </w:rPr>
      </w:pPr>
    </w:p>
    <w:p w14:paraId="5B42FBB1"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30 июля 1942 советские войска начали наступательную операцию подo Ржевом (4962). 1942 году началась Ржевско-Сычевская наступательная операция войск левого крыла Калининского (генерал-полковник И.С. Конев) и правого крыла Западного (генерал армии Г.К. Жуков) фронтов, продолжавшаяся до 23 августа. Прорвав первую полосу обороны противника, советские войска вступили в затяжные бои под Полунино (4963 ).</w:t>
      </w:r>
    </w:p>
    <w:p w14:paraId="33BEAD30" w14:textId="77777777" w:rsidR="00AE7191" w:rsidRPr="001E2C69" w:rsidRDefault="00AE7191" w:rsidP="00722885">
      <w:pPr>
        <w:pStyle w:val="Iauiue"/>
        <w:tabs>
          <w:tab w:val="left" w:pos="11199"/>
        </w:tabs>
        <w:jc w:val="both"/>
        <w:rPr>
          <w:color w:val="000000" w:themeColor="text1"/>
          <w:sz w:val="16"/>
          <w:szCs w:val="16"/>
        </w:rPr>
      </w:pPr>
    </w:p>
    <w:p w14:paraId="3506D5E4"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lang w:val="en-US"/>
        </w:rPr>
        <w:t>July 30, 1942: Start of a Soviet counter-offensive at Rzhev, leading to the temporary encirclement of six German divisions which are supplied by massive air drops of the Luftwaffe. Armeegruppe A consolidates its bridgehead over the Manych River, while Armeegruppe B struggles to reduce the Soviet bridgehead at Kalch in the Don Estuary west of Stalingrad (3819).</w:t>
      </w:r>
    </w:p>
    <w:p w14:paraId="6248624B" w14:textId="77777777" w:rsidR="00AE7191" w:rsidRPr="001E2C69" w:rsidRDefault="00AE7191" w:rsidP="00722885">
      <w:pPr>
        <w:pStyle w:val="Iauiue"/>
        <w:jc w:val="both"/>
        <w:rPr>
          <w:color w:val="000000" w:themeColor="text1"/>
          <w:sz w:val="16"/>
          <w:szCs w:val="16"/>
          <w:lang w:val="en-US"/>
        </w:rPr>
      </w:pPr>
    </w:p>
    <w:p w14:paraId="0DEFC89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C 30 июля по 23 августа 1942 была Ржевско-Сычевская операция Г.К.Ж. и И.С.Конева. 5-7 августа отразили контрудар и 23 августа не достигнув успеха перешли к обороне (2443,76).</w:t>
      </w:r>
    </w:p>
    <w:p w14:paraId="42F0020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ходе этой операции авиация широко использовалась как транспортное средство для снабжения танковых армий (518,168).</w:t>
      </w:r>
    </w:p>
    <w:p w14:paraId="0C8BB6D2" w14:textId="77777777" w:rsidR="00AE7191" w:rsidRPr="001E2C69" w:rsidRDefault="00AE7191" w:rsidP="00722885">
      <w:pPr>
        <w:pStyle w:val="Iauiue"/>
        <w:jc w:val="both"/>
        <w:rPr>
          <w:color w:val="000000" w:themeColor="text1"/>
          <w:sz w:val="16"/>
          <w:szCs w:val="16"/>
        </w:rPr>
      </w:pPr>
    </w:p>
    <w:p w14:paraId="66F140B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30 июля по 23 августа 1942 была Ржевско-Сычевская наступательная операция советских войск (3186) - ЗФ - первое успешное летнее наступление КА (3398,263).</w:t>
      </w:r>
    </w:p>
    <w:p w14:paraId="504BE586" w14:textId="77777777" w:rsidR="00AE7191" w:rsidRPr="001E2C69" w:rsidRDefault="00AE7191" w:rsidP="00722885">
      <w:pPr>
        <w:pStyle w:val="Iauiue"/>
        <w:jc w:val="both"/>
        <w:rPr>
          <w:color w:val="000000" w:themeColor="text1"/>
          <w:sz w:val="16"/>
          <w:szCs w:val="16"/>
        </w:rPr>
      </w:pPr>
    </w:p>
    <w:p w14:paraId="0AB11EF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 июля 1942 года из района Волчанска противник силами 6-й армии и 40 го танкового корпуса перешел в наступление и в полосе Юго-Западного фронта, нанося главный удар в стык 21 -й и 28-й армий. Сбив стрелковые части, 6-я немецкая армия вышли к позициям 13-го танкового корпуса генерал-майора П.Е. Шуро- ва (163 танка, из них 51 Т-34). Зенитной артиллерии корпус не имел, а разведывательные и ремонтные подразделения были не укомплектованы людьми и техникой.</w:t>
      </w:r>
    </w:p>
    <w:p w14:paraId="47FEE3E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подходе немецких частей по сигналу командира корпуса был открыт ураганный огонь. Одновременно по скоплению вражеских войск произвела залп реактивная артиллерия. Танки, наступавшие на левом фланге по лощине к реке Волчьей, натолкнулись на взвод КВ-1 старшего лейтенанта Д.Д. Шолохова из 2-го батальона 158-й танковой бригады. В ожесточенном бою взвод потерял две машины, однако танк Шолохова в этом бою уничтожил 8 немецких танков. Воспользовавшись этим успехом 85-я танковая бригада перешла в контратаку и заставила части противника отступить. Перегруппировав свои силы и вызвав авиацию, немцы предприняли еще три атаки, теперь уже ближе к центру обороны 13-го танкового корпуса. В течение всего дня продолжись ожесточенные танковые бои. в отдельные периоды боя в нем участвовало с обеих сторон до 300 машин. За один день боев 30 июня танкисты 13-го танкового корпуса подбили около 40 вражеских танков, но и сами понесли большие потери.</w:t>
      </w:r>
    </w:p>
    <w:p w14:paraId="1879981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исходу дня общая обстановка сложилась не в пользу 21-й армии, и чтобы избежать окружения, командующий 21-й армией решил отвести войска на восточный берег Оскола. Попытка восстановить положение силами 23-го танкового корпуса генерал-майора А.М. Хасина (128 танков, из них 38 Т-34) успеха не имела.</w:t>
      </w:r>
    </w:p>
    <w:p w14:paraId="0BCB8FC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Из-за плохой организации контрудара корпус понес большие потери. О неудачных действиях корпуса сообщалось в докладной записке «О недочетах в боевых действиях 23-го танкового корпуса за период с 1 по 10 июля 1942 года», направленной комиссару госбезопасности 3-го ранга Абакумову:</w:t>
      </w:r>
    </w:p>
    <w:p w14:paraId="1B57A9B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«Беспрерывная переброска частей 23-го танкового корпуса с одного рубежа на другой, неправильное использование их в бою - измотало материальную часть, не достигая цели. За 10 дней части корпуса совершили марш обшей сложностью до 300 километров.</w:t>
      </w:r>
    </w:p>
    <w:p w14:paraId="0D15FAC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командования 28-й армии, части 23-го танкового корпуса 1.7.1942 года сосредоточились в районе Козинка, Казначеевка, Конопляновка с задачей - уничтожить противника, продвигавшегося на восток в направлении Волоконовка и дать возможность частям 29-й армии отойти за реку Оскол и занять оборону. Первая и основная задача была не выполнена (12217).</w:t>
      </w:r>
    </w:p>
    <w:p w14:paraId="1F42EB28"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54413DA"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30 июля 1942 вышло Постановление ГКО № 2128 [О порядке и организации ведения огня зенитной артиллерией ПВО Москвы]. (7047, 149-150,151-160).</w:t>
      </w:r>
    </w:p>
    <w:p w14:paraId="7FBA867B" w14:textId="77777777" w:rsidR="00AE7191" w:rsidRPr="001E2C69" w:rsidRDefault="00AE7191" w:rsidP="00722885">
      <w:pPr>
        <w:pStyle w:val="Iauiue"/>
        <w:tabs>
          <w:tab w:val="left" w:pos="11199"/>
        </w:tabs>
        <w:jc w:val="both"/>
        <w:rPr>
          <w:color w:val="000000" w:themeColor="text1"/>
          <w:sz w:val="16"/>
          <w:szCs w:val="16"/>
        </w:rPr>
      </w:pPr>
    </w:p>
    <w:p w14:paraId="386099B3"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 июля 1942 последова</w:t>
      </w:r>
      <w:r w:rsidRPr="001E2C69">
        <w:rPr>
          <w:rFonts w:ascii="Times New Roman" w:hAnsi="Times New Roman"/>
          <w:color w:val="000000" w:themeColor="text1"/>
          <w:sz w:val="16"/>
          <w:szCs w:val="16"/>
        </w:rPr>
        <w:softHyphen/>
        <w:t>ло решение ВВС о прекращении формирования автожирного соединения по причине отсутствия исправных лета</w:t>
      </w:r>
      <w:r w:rsidRPr="001E2C69">
        <w:rPr>
          <w:rFonts w:ascii="Times New Roman" w:hAnsi="Times New Roman"/>
          <w:color w:val="000000" w:themeColor="text1"/>
          <w:sz w:val="16"/>
          <w:szCs w:val="16"/>
        </w:rPr>
        <w:softHyphen/>
        <w:t>тельных аппаратов. Все это свидетельствовало, что карь</w:t>
      </w:r>
      <w:r w:rsidRPr="001E2C69">
        <w:rPr>
          <w:rFonts w:ascii="Times New Roman" w:hAnsi="Times New Roman"/>
          <w:color w:val="000000" w:themeColor="text1"/>
          <w:sz w:val="16"/>
          <w:szCs w:val="16"/>
        </w:rPr>
        <w:softHyphen/>
        <w:t>ера автожира А-7 закончилась.</w:t>
      </w:r>
    </w:p>
    <w:p w14:paraId="6CF5283D"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Последние события в судьбе А-7 практически совпали с последовавшим письмом генерал-полковника Воронова на имя заместителя наркома авиапромышленности Яковлева. В своем письме Воронов обвинял главного конструктора Камова в выпуске недоброкачественной техники и требо</w:t>
      </w:r>
      <w:r w:rsidRPr="001E2C69">
        <w:rPr>
          <w:rFonts w:ascii="Times New Roman" w:hAnsi="Times New Roman"/>
          <w:color w:val="000000" w:themeColor="text1"/>
          <w:sz w:val="16"/>
          <w:szCs w:val="16"/>
        </w:rPr>
        <w:softHyphen/>
        <w:t>вал предать его суду. В прилагавшейся справке указыва</w:t>
      </w:r>
      <w:r w:rsidRPr="001E2C69">
        <w:rPr>
          <w:rFonts w:ascii="Times New Roman" w:hAnsi="Times New Roman"/>
          <w:color w:val="000000" w:themeColor="text1"/>
          <w:sz w:val="16"/>
          <w:szCs w:val="16"/>
        </w:rPr>
        <w:softHyphen/>
        <w:t>лось, что автожир А-7 доводился в течение восьми лет, од</w:t>
      </w:r>
      <w:r w:rsidRPr="001E2C69">
        <w:rPr>
          <w:rFonts w:ascii="Times New Roman" w:hAnsi="Times New Roman"/>
          <w:color w:val="000000" w:themeColor="text1"/>
          <w:sz w:val="16"/>
          <w:szCs w:val="16"/>
        </w:rPr>
        <w:softHyphen/>
        <w:t>нако так и не достиг уровня запланированных характери</w:t>
      </w:r>
      <w:r w:rsidRPr="001E2C69">
        <w:rPr>
          <w:rFonts w:ascii="Times New Roman" w:hAnsi="Times New Roman"/>
          <w:color w:val="000000" w:themeColor="text1"/>
          <w:sz w:val="16"/>
          <w:szCs w:val="16"/>
        </w:rPr>
        <w:softHyphen/>
        <w:t>стик. Далее утверждалось, что за время пребывания на фронте эскадрилья автожиров не выполнила ни одного бо</w:t>
      </w:r>
      <w:r w:rsidRPr="001E2C69">
        <w:rPr>
          <w:rFonts w:ascii="Times New Roman" w:hAnsi="Times New Roman"/>
          <w:color w:val="000000" w:themeColor="text1"/>
          <w:sz w:val="16"/>
          <w:szCs w:val="16"/>
        </w:rPr>
        <w:softHyphen/>
        <w:t>евого вылета.</w:t>
      </w:r>
    </w:p>
    <w:p w14:paraId="14159F8D"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Было очевидно, что указанное послание заместителя наркома обороны Воронова не было лишено неточностей и даже отрицало объективные факты. В указанных об</w:t>
      </w:r>
      <w:r w:rsidRPr="001E2C69">
        <w:rPr>
          <w:rFonts w:ascii="Times New Roman" w:hAnsi="Times New Roman"/>
          <w:color w:val="000000" w:themeColor="text1"/>
          <w:sz w:val="16"/>
          <w:szCs w:val="16"/>
        </w:rPr>
        <w:softHyphen/>
        <w:t>стоятельствах Яковлев вступился за Камова, мотивируя все неудачи сложностью и новизной дела. В ответном письме Воронову и в прокуратуру Яковлев оценил обвинение как необоснованное, чем спас Камова от крупных неприятно</w:t>
      </w:r>
      <w:r w:rsidRPr="001E2C69">
        <w:rPr>
          <w:rFonts w:ascii="Times New Roman" w:hAnsi="Times New Roman"/>
          <w:color w:val="000000" w:themeColor="text1"/>
          <w:sz w:val="16"/>
          <w:szCs w:val="16"/>
        </w:rPr>
        <w:softHyphen/>
        <w:t>стей. Однако работы по автожирам с этого момента в Со</w:t>
      </w:r>
      <w:r w:rsidRPr="001E2C69">
        <w:rPr>
          <w:rFonts w:ascii="Times New Roman" w:hAnsi="Times New Roman"/>
          <w:color w:val="000000" w:themeColor="text1"/>
          <w:sz w:val="16"/>
          <w:szCs w:val="16"/>
        </w:rPr>
        <w:softHyphen/>
        <w:t>ветском Союзе окончательно прекратили. Завод в Би</w:t>
      </w:r>
      <w:r w:rsidRPr="001E2C69">
        <w:rPr>
          <w:rFonts w:ascii="Times New Roman" w:hAnsi="Times New Roman"/>
          <w:color w:val="000000" w:themeColor="text1"/>
          <w:sz w:val="16"/>
          <w:szCs w:val="16"/>
        </w:rPr>
        <w:softHyphen/>
        <w:t>лимбае перепрофилировали для ремонта поврежденной техники и выпуска необходимой для фронта продукции (20361).</w:t>
      </w:r>
    </w:p>
    <w:p w14:paraId="1C96B393" w14:textId="77777777" w:rsidR="00291E17" w:rsidRPr="001E2C69" w:rsidRDefault="00291E17" w:rsidP="00722885">
      <w:pPr>
        <w:shd w:val="clear" w:color="auto" w:fill="FFFFFF"/>
        <w:spacing w:after="0" w:line="240" w:lineRule="auto"/>
        <w:jc w:val="both"/>
        <w:rPr>
          <w:rFonts w:ascii="Times New Roman" w:hAnsi="Times New Roman"/>
          <w:color w:val="000000" w:themeColor="text1"/>
          <w:sz w:val="16"/>
          <w:szCs w:val="16"/>
        </w:rPr>
      </w:pPr>
    </w:p>
    <w:p w14:paraId="31C6194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 июля 1942 Издание приказа НКО о назначении офицерского состава на должности начальников радиостанций РСБ (11072).</w:t>
      </w:r>
    </w:p>
    <w:p w14:paraId="17C5086C"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CE0D73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30 июля 1942 около 21.00, когда летний день клонился к закату, пассажирские пароходы «Михаил Калинин» и «Вячеслав Молотов», шедшие рейсом из Астрахани, причалили к пристани Владимировка (Ахтубинск). Пассажиры спешно выходили на причал, на их место садились новые. Кроме того, к судам прицепили баржи с солдатами, направлявшимися на фронт. Около 22.00 пароходы отдали швартовы и продолжили путь вверх по течению. Солнце скрылось за горизонтом, и реку постепенно окутывала тьма. Все знали, что в это время над Волгой появляются немецкие самолеты, поэтому в 22.45 было принято решение встать на якорь около берега, поросшего ивами, и замаскироваться. Верхние палубы кораблей были закиданы ветками, что давало надежду оказаться незамеченными с воздуха. Пассажиров </w:t>
      </w:r>
      <w:r w:rsidRPr="001E2C69">
        <w:rPr>
          <w:rFonts w:ascii="Times New Roman" w:hAnsi="Times New Roman"/>
          <w:color w:val="000000" w:themeColor="text1"/>
          <w:sz w:val="16"/>
          <w:szCs w:val="16"/>
        </w:rPr>
        <w:lastRenderedPageBreak/>
        <w:t>высадили на берег, вахтенные матросы и солдаты в баржах напряженно наблюдали за звездным небом. И вскоре опасения подтвердились. После 23.00 с запада послышался нарастающий гул авиационных моторов, хотя разглядеть сами силуэты бомбардировщиков не удавалось. Все замерли в страхе, надеясь, что пронесет. И действительно гул стал постепенно стихать. Но тут произошло неожиданное. Прямо с парохода «Вячеслав Молотов» в небо взвилась сигнальная ракета, ярко осветив степные окрестности и притаившиеся у берега суда. Одновременно с этим вторая ракета взвилась с берега рядом с «Калининым»! Тут же началась паника, сидевшие на берегу пассажиры бросились врассыпную подальше от кораблей, солдаты начали спешно хватать оружие, готовясь к бою. Через несколько минут послышался свит падающих бомб и грохот взрывов. В небо взметнулись водяные столбы и огненные султаны, пароходы осыпали комья грязи. После этого солдаты отчетливо увидели на фоне звездного неба темный силуэт еще одного бомбардировщика, заходящего в атаку с юго-запада. Часть бойцов открыла беспорядочный огонь из винтовок и автоматов, но самолет упорно шел на «Михаил Калинин», и вновь послышался леденящий кровь вой падающих бомб. На сей раз взрывы подняли тонны воды за кормой судна, окатив ей палубы и военную баржу. Одновременно второй самолет сбросил бомбы рядом с «Молотовым». Не дожидаясь нового захода, капитан «Михаила Калинина» приказал поднять якорь, и едва тот оторвался от речного дна, дал полный вперед, отваливая от берега. В то же время командир воинской части собрал группу бойцов с противотанковыми ружьями и, перебравшись с ними на верхнюю палубу парохода, приказал занять удобную позицию для стрельбы. И вот вновь послышался нарастающий гул моторов и появился силуэт самолета. Солдаты, а их было тридцать человек, подняли стволы ружей вверх и, замерев, следили за его приближением. Главное было не сорваться и не начать палить вразнобой. И вот, в момент, когда уже были отчетливо видны широко раскинувшиеся крылья и два работающих мотора, командир прокричал:  «Залп!» И тут случилось невероятное, из брюха бомбардировщика сверкнуло пламя, и через секунды он вспыхнул в ночном небе как факел, после чего резко повернул на запад и стал стремительно удаляться, оставляя за собой едва различимый шлейф дыма… Вероятно, это был Не-111 унтер-офицера Иона из 6-й эскадрильи KG55 «Грайф». В этот день он вылетел с аэродрома Краматорск, имея задание атаковать корабли на Волге, и не вернулся. Весь экипаж бомбардировщика в составе Вальтера Иона, штурмана фельдфебеля Мартина Валльбенштайна, бортрадиста обер-ефрейтора Петера Филиппа, бортмеханика унтер-офицера Фридриха Вильгельма и бортстрелка обер-ефрейтора Хайнца Шлейнхеге с тех пор считается пропавшим без вести. Это была первая потеря немцев в ходе атак речного транспорта на Волге. А пароходы «Вячеслав Молотов» и «Михаил Калинин» не получили во время этого налета серьезных повреждений. Воинские части потеряли убитым одного пулеметчика, которого похоронили ранним утром прямо на берегу. Но, помимо радости от успешного отражения налета, всех пассажиров, матросов и солдат волновал вопрос, кто же выстрелил злополучные осветительные ракеты. Пока суда продолжали путь вверх по Волге, провели собственное расследование. Кто-то вспомнил, что во время стоянки во Владимировке к борту «Вячеслава Молотова» подходила моторная лодка, и с нее на кормовую часть вскочил человек в форме моряка, заявивший, что едет в Сталинград в штаб. Обыскав корабль, его вскоре арестовали, чтобы затем передать в органы НКВД. Но всем было ясно, что даже если это и диверсант, то был еще второй, т.к. ракеты взлетали из двух разных точек (11774).</w:t>
      </w:r>
    </w:p>
    <w:p w14:paraId="58AD8431"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3B5279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 июля 1942 в ходе атаки кораблей на Волге, севернее Сталинграда, зенитным огнем был поврежден Не-111H-6 «1G+DR» лейтенанта Бёренфёнгера из 7./KG27. Самолет дотянул до линии фронта, но до своего аэродрома не сумел долететь. «Хейнкель» упал на землю в районе деревни Островерховка, в 18 км южнее Харькова, и весь его экипаж – Карл Бёренфёнгер и обер-ефрейторы Эрвин Шински, Вильгельм Хеббе и Отто Зееман – погиб. В тот же день на аэродром в Курске не вернулся и Не-111H-6 «1G+DK» лейтенанта Шульца из 2./KG27. В 20 км западнее г. Богучар он был атакован ночным истребителем. После этого летчики сообщили, что выпрыгивают на парашютах. Затем выяснилось, что два члена экипажа – Зигфрид Шульц и бортрадист унтер-офицер Альберт Гейзенбергер – погибли, а дальнейшая судьба двух других – штурмана обер-ефрейтора Зигфрида Панниера и бортмеханика обер-ефрейтора Вильгельма Шторка – осталась неизвестной. 31 июля во время боевого вылета на атаку кораблей на Волге был подбит и упал в районе Артемовска, не дотянув 50 км до аэродрома в Краматорске, Не-111 фельдфебеля Пауля Риттера из 8./KG55. При этом сам Риттер успел выпрыгнуть на парашюте, остальные же члены экипажа бомбардировщика: штурман унтер-офицер Макс Шайдеманн, бортрадист унтер-офицер Георг Брсекиш, бортмеханик унтер-офицер Карл Каст и бортстрелок обер-ефрейтор Йозеф Юлиен – погибли. Таким образом, в течение суток Люфтваффе потеряли сразу четыре бомбардировщика – охотника за кораблями. Один из пилотов 2./KG27 «Бельке» вспоминал о боевом вылете над Волгой:  «В одну светлую лунную ночь, когда мы могли хорошо различать как реку и города, так и суда на реке, я летел на высоте около 200 м над Волгой. Мне удалось „положить“ две бомбы по 250 кг вблизи от одного судна, правда, без какого-либо видимого результата. Разрывы снарядов русской легкой и средней зенитной артиллерии были далеко позади меня, без попаданий. При очередном заходе я приказал своему штурману обстрелять из бортового пулемета цель впереди по курсу, в то время как я пытался сбросить другие две бомбы. Это было роковой ошибкой, потому что я представлял для русских весьма хорошую цель. Так и случилось: мы получили попадания по полной программе. Радист закричал: „Рули управления снесло! Нет, они вроде бы опять здесь!“ Несмотря на очень опасную ситуацию, мы расхохотались. Счастливый случай оставил нашу машину управляемой. Нам удалось выкрутиться, и я поднялся на высоту 4000 м». После шести часов полета «Хейнкель» благополучно приземлился в Курске. Затем в ходе осмотра в левом руле была обнаружена дыра диаметром 60 см, а корпусе – множество мелких осколочных пробоин. Минирование и бомбовые удары серьезно затруднили движение по волжскому речному пути, который стал одной из важнейших коммуникаций, питавших фронты под Сталинградом и обеспечивающих перевозку нефтепродуктов из Баку в центральные районы СССР. Командование Сталинградского дивизионного района ПВО сформировало Волжскую оперативную группу ПВО. На пристанях, пароходах, буксирах и баржах были установлены более 300 зенитных орудий и пулеметов. По заданию ГКО в Сталинград прибыл народный комиссар речного флота 3. А. Шашков с группой работников наркомата. Для обеспечения водных перевозок на участке Сталинград – Астрахань и функционирования переправ в районе Сталинграда была создана оперативная группа работников Управления Нижневолжского речного пароходства (НВРП). В конце июля для противовоздушной обороны судоходства от Камышина до Астрахани из состава 102-й ИАД ПВО были выделены 16 истребителей. Впрочем, этих сил было явно недостаточно. Что могли сделать полтора десятка самолетов на участке в 600 км? (11774).</w:t>
      </w:r>
    </w:p>
    <w:p w14:paraId="27BC92E4"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85BEFCD"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4A0B3D13" w14:textId="77777777" w:rsidR="00AE7191" w:rsidRPr="001E2C69" w:rsidRDefault="00AE7191" w:rsidP="00722885">
      <w:pPr>
        <w:pStyle w:val="Iauiue"/>
        <w:jc w:val="both"/>
        <w:rPr>
          <w:iCs/>
          <w:color w:val="000000" w:themeColor="text1"/>
          <w:sz w:val="16"/>
          <w:szCs w:val="16"/>
        </w:rPr>
      </w:pPr>
    </w:p>
    <w:p w14:paraId="2C32E52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31 июля 1942 г. первый одноместный серийный Ил-2 (зав. № 182412) с опытным мотором АМ-38ф поступил в ЛИС 18-го авиа</w:t>
      </w:r>
      <w:r w:rsidRPr="001E2C69">
        <w:rPr>
          <w:color w:val="000000" w:themeColor="text1"/>
          <w:sz w:val="16"/>
          <w:szCs w:val="16"/>
        </w:rPr>
        <w:softHyphen/>
        <w:t>завода для снятия летных данных по програм</w:t>
      </w:r>
      <w:r w:rsidRPr="001E2C69">
        <w:rPr>
          <w:color w:val="000000" w:themeColor="text1"/>
          <w:sz w:val="16"/>
          <w:szCs w:val="16"/>
        </w:rPr>
        <w:softHyphen/>
        <w:t>ме приемо-сдаточных испытаний серий</w:t>
      </w:r>
      <w:r w:rsidRPr="001E2C69">
        <w:rPr>
          <w:color w:val="000000" w:themeColor="text1"/>
          <w:sz w:val="16"/>
          <w:szCs w:val="16"/>
        </w:rPr>
        <w:softHyphen/>
        <w:t>ных самолетов с дополнением по ис</w:t>
      </w:r>
      <w:r w:rsidRPr="001E2C69">
        <w:rPr>
          <w:color w:val="000000" w:themeColor="text1"/>
          <w:sz w:val="16"/>
          <w:szCs w:val="16"/>
        </w:rPr>
        <w:softHyphen/>
        <w:t>пытанию работы ВМГ (6467).</w:t>
      </w:r>
    </w:p>
    <w:p w14:paraId="378F096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При полетном весе 5873 кг одноме</w:t>
      </w:r>
      <w:r w:rsidRPr="001E2C69">
        <w:rPr>
          <w:color w:val="000000" w:themeColor="text1"/>
          <w:sz w:val="16"/>
          <w:szCs w:val="16"/>
        </w:rPr>
        <w:softHyphen/>
        <w:t>стный Ил-2 АМ-38ф показал максималь</w:t>
      </w:r>
      <w:r w:rsidRPr="001E2C69">
        <w:rPr>
          <w:color w:val="000000" w:themeColor="text1"/>
          <w:sz w:val="16"/>
          <w:szCs w:val="16"/>
        </w:rPr>
        <w:softHyphen/>
        <w:t>ную скорость у земли 373 км/ч и на высоте 1750 м - 391 км/ч. Длина разбе</w:t>
      </w:r>
      <w:r w:rsidRPr="001E2C69">
        <w:rPr>
          <w:color w:val="000000" w:themeColor="text1"/>
          <w:sz w:val="16"/>
          <w:szCs w:val="16"/>
        </w:rPr>
        <w:softHyphen/>
        <w:t>га модифицированного штурмовика со</w:t>
      </w:r>
      <w:r w:rsidRPr="001E2C69">
        <w:rPr>
          <w:color w:val="000000" w:themeColor="text1"/>
          <w:sz w:val="16"/>
          <w:szCs w:val="16"/>
        </w:rPr>
        <w:softHyphen/>
        <w:t>кратилась до 375 м.</w:t>
      </w:r>
    </w:p>
    <w:p w14:paraId="0568794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Из-за крайне неудовлетво</w:t>
      </w:r>
      <w:r w:rsidRPr="001E2C69">
        <w:rPr>
          <w:color w:val="000000" w:themeColor="text1"/>
          <w:sz w:val="16"/>
          <w:szCs w:val="16"/>
        </w:rPr>
        <w:softHyphen/>
        <w:t>рительной работы мотора летные испытания Ил-2 АМ-38ф в полном объеме прове</w:t>
      </w:r>
      <w:r w:rsidRPr="001E2C69">
        <w:rPr>
          <w:color w:val="000000" w:themeColor="text1"/>
          <w:sz w:val="16"/>
          <w:szCs w:val="16"/>
        </w:rPr>
        <w:softHyphen/>
        <w:t>сти не удалось. Уже 18 авгу</w:t>
      </w:r>
      <w:r w:rsidRPr="001E2C69">
        <w:rPr>
          <w:color w:val="000000" w:themeColor="text1"/>
          <w:sz w:val="16"/>
          <w:szCs w:val="16"/>
        </w:rPr>
        <w:softHyphen/>
        <w:t>ста испытания модифициро</w:t>
      </w:r>
      <w:r w:rsidRPr="001E2C69">
        <w:rPr>
          <w:color w:val="000000" w:themeColor="text1"/>
          <w:sz w:val="16"/>
          <w:szCs w:val="16"/>
        </w:rPr>
        <w:softHyphen/>
        <w:t>ванного штурмовика были прекращены, а мотор АМ-38ф возвращен на 24-й завод для устранения обнаруженных де</w:t>
      </w:r>
      <w:r w:rsidRPr="001E2C69">
        <w:rPr>
          <w:color w:val="000000" w:themeColor="text1"/>
          <w:sz w:val="16"/>
          <w:szCs w:val="16"/>
        </w:rPr>
        <w:softHyphen/>
        <w:t>фектов и доводки его работы до требуемого уровня надежно</w:t>
      </w:r>
      <w:r w:rsidRPr="001E2C69">
        <w:rPr>
          <w:color w:val="000000" w:themeColor="text1"/>
          <w:sz w:val="16"/>
          <w:szCs w:val="16"/>
        </w:rPr>
        <w:softHyphen/>
        <w:t>сти (6467).</w:t>
      </w:r>
    </w:p>
    <w:p w14:paraId="14016FDD" w14:textId="77777777" w:rsidR="00AE7191" w:rsidRPr="001E2C69" w:rsidRDefault="00AE7191" w:rsidP="00722885">
      <w:pPr>
        <w:pStyle w:val="Iauiue"/>
        <w:jc w:val="both"/>
        <w:rPr>
          <w:color w:val="000000" w:themeColor="text1"/>
          <w:sz w:val="16"/>
          <w:szCs w:val="16"/>
        </w:rPr>
      </w:pPr>
    </w:p>
    <w:p w14:paraId="162D275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31 июля 1942 в НИИ ВВС были проведены контрольные испытания серийного сам Ил-2 N 182412 с опытным мотором АМ-38Ф и опытным винтом АВ-5Л-158.</w:t>
      </w:r>
    </w:p>
    <w:p w14:paraId="5D49DA1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Взлетный режим: Рк = 1320 мм рт. ст. и n = 2350_об/мин.</w:t>
      </w:r>
    </w:p>
    <w:p w14:paraId="7541714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Предварительные результаты позволяют утверждать, что АВ-5Л-158 по сравнению с винтом АВ-5Л-124 существенных преимуществ не дает (162,24).</w:t>
      </w:r>
    </w:p>
    <w:p w14:paraId="6AA2F24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Данные, что в июле 1942 проводились гос. испытания двухместного Ил-2 1942 подтверждаются (173,219). Однако, по другим сведениям, они, действительно, начавшись в июле, завершились лишь 12 декабря, а кроме того сообщается, что этот испытываемый двухместный Ил-2 был уже с форсированным двигателем АМ-38Ф мощностью 1700-1780 л.с. (по сравнению с мощностью двигателя АМ-38 в 1575-1665 л.с., который стоял на самолете в то время (182)) или 1750 л.с. взлетной мощности (182,244), с винтом АВ-5Л-158 диаметром 3,6 м, а также новой конструкцией всасывающего патрубка, разработанного ЦАГИ.</w:t>
      </w:r>
    </w:p>
    <w:p w14:paraId="08366199" w14:textId="77777777" w:rsidR="00AE7191" w:rsidRPr="001E2C69" w:rsidRDefault="00AE7191" w:rsidP="00722885">
      <w:pPr>
        <w:pStyle w:val="Iauiue"/>
        <w:jc w:val="both"/>
        <w:rPr>
          <w:color w:val="000000" w:themeColor="text1"/>
          <w:sz w:val="16"/>
          <w:szCs w:val="16"/>
        </w:rPr>
      </w:pPr>
    </w:p>
    <w:p w14:paraId="294AD41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31 июля 1942 была подготовлена таблица с данными самолетов:</w:t>
      </w:r>
    </w:p>
    <w:p w14:paraId="36B7685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 Штурмовые и бомбардировочные 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984"/>
        <w:gridCol w:w="2410"/>
        <w:gridCol w:w="3402"/>
      </w:tblGrid>
      <w:tr w:rsidR="001E2C69" w:rsidRPr="001E2C69" w14:paraId="6892132A" w14:textId="77777777" w:rsidTr="00CC5360">
        <w:tc>
          <w:tcPr>
            <w:tcW w:w="2802" w:type="dxa"/>
            <w:tcBorders>
              <w:top w:val="single" w:sz="12" w:space="0" w:color="auto"/>
            </w:tcBorders>
          </w:tcPr>
          <w:p w14:paraId="3529F63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Название самолетов</w:t>
            </w:r>
          </w:p>
        </w:tc>
        <w:tc>
          <w:tcPr>
            <w:tcW w:w="1984" w:type="dxa"/>
            <w:tcBorders>
              <w:top w:val="single" w:sz="12" w:space="0" w:color="auto"/>
            </w:tcBorders>
          </w:tcPr>
          <w:p w14:paraId="25D69EE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Ил-2 с АМ-38</w:t>
            </w:r>
          </w:p>
        </w:tc>
        <w:tc>
          <w:tcPr>
            <w:tcW w:w="2410" w:type="dxa"/>
            <w:tcBorders>
              <w:top w:val="single" w:sz="12" w:space="0" w:color="auto"/>
            </w:tcBorders>
          </w:tcPr>
          <w:p w14:paraId="359BBDD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Пе-2 с 2М-105</w:t>
            </w:r>
          </w:p>
        </w:tc>
        <w:tc>
          <w:tcPr>
            <w:tcW w:w="3402" w:type="dxa"/>
            <w:tcBorders>
              <w:top w:val="single" w:sz="12" w:space="0" w:color="auto"/>
            </w:tcBorders>
          </w:tcPr>
          <w:p w14:paraId="32CFCA5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ДБ-3Ф с 2М-88Б</w:t>
            </w:r>
          </w:p>
        </w:tc>
      </w:tr>
      <w:tr w:rsidR="001E2C69" w:rsidRPr="001E2C69" w14:paraId="793B7931" w14:textId="77777777" w:rsidTr="00CC5360">
        <w:tc>
          <w:tcPr>
            <w:tcW w:w="2802" w:type="dxa"/>
          </w:tcPr>
          <w:p w14:paraId="46F62ED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Данные</w:t>
            </w:r>
          </w:p>
        </w:tc>
        <w:tc>
          <w:tcPr>
            <w:tcW w:w="1984" w:type="dxa"/>
          </w:tcPr>
          <w:p w14:paraId="6D70B0B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N 1904 завод N18</w:t>
            </w:r>
          </w:p>
        </w:tc>
        <w:tc>
          <w:tcPr>
            <w:tcW w:w="2410" w:type="dxa"/>
          </w:tcPr>
          <w:p w14:paraId="17396EC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N 10/35 завод N22</w:t>
            </w:r>
          </w:p>
        </w:tc>
        <w:tc>
          <w:tcPr>
            <w:tcW w:w="3402" w:type="dxa"/>
          </w:tcPr>
          <w:p w14:paraId="115B5E4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N 390801 по данным</w:t>
            </w:r>
          </w:p>
        </w:tc>
      </w:tr>
      <w:tr w:rsidR="001E2C69" w:rsidRPr="001E2C69" w14:paraId="7F4E2BB8" w14:textId="77777777" w:rsidTr="00CC5360">
        <w:tc>
          <w:tcPr>
            <w:tcW w:w="2802" w:type="dxa"/>
          </w:tcPr>
          <w:p w14:paraId="79A532A0" w14:textId="77777777" w:rsidR="00AE7191" w:rsidRPr="001E2C69" w:rsidRDefault="00AE7191" w:rsidP="00722885">
            <w:pPr>
              <w:pStyle w:val="Iauiue"/>
              <w:jc w:val="both"/>
              <w:rPr>
                <w:color w:val="000000" w:themeColor="text1"/>
                <w:sz w:val="16"/>
                <w:szCs w:val="16"/>
              </w:rPr>
            </w:pPr>
          </w:p>
        </w:tc>
        <w:tc>
          <w:tcPr>
            <w:tcW w:w="1984" w:type="dxa"/>
          </w:tcPr>
          <w:p w14:paraId="51941EA2" w14:textId="77777777" w:rsidR="00AE7191" w:rsidRPr="001E2C69" w:rsidRDefault="00AE7191" w:rsidP="00722885">
            <w:pPr>
              <w:pStyle w:val="Iauiue"/>
              <w:jc w:val="both"/>
              <w:rPr>
                <w:color w:val="000000" w:themeColor="text1"/>
                <w:sz w:val="16"/>
                <w:szCs w:val="16"/>
              </w:rPr>
            </w:pPr>
          </w:p>
        </w:tc>
        <w:tc>
          <w:tcPr>
            <w:tcW w:w="2410" w:type="dxa"/>
          </w:tcPr>
          <w:p w14:paraId="3A680618" w14:textId="77777777" w:rsidR="00AE7191" w:rsidRPr="001E2C69" w:rsidRDefault="00AE7191" w:rsidP="00722885">
            <w:pPr>
              <w:pStyle w:val="Iauiue"/>
              <w:jc w:val="both"/>
              <w:rPr>
                <w:color w:val="000000" w:themeColor="text1"/>
                <w:sz w:val="16"/>
                <w:szCs w:val="16"/>
              </w:rPr>
            </w:pPr>
          </w:p>
        </w:tc>
        <w:tc>
          <w:tcPr>
            <w:tcW w:w="3402" w:type="dxa"/>
          </w:tcPr>
          <w:p w14:paraId="43BE870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гос. испытаний 1940 г.</w:t>
            </w:r>
          </w:p>
        </w:tc>
      </w:tr>
      <w:tr w:rsidR="001E2C69" w:rsidRPr="001E2C69" w14:paraId="05D25B6F" w14:textId="77777777" w:rsidTr="00CC5360">
        <w:tc>
          <w:tcPr>
            <w:tcW w:w="2802" w:type="dxa"/>
          </w:tcPr>
          <w:p w14:paraId="74F0236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Максимальная скорость у земли</w:t>
            </w:r>
          </w:p>
        </w:tc>
        <w:tc>
          <w:tcPr>
            <w:tcW w:w="1984" w:type="dxa"/>
          </w:tcPr>
          <w:p w14:paraId="3B8C414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391</w:t>
            </w:r>
          </w:p>
        </w:tc>
        <w:tc>
          <w:tcPr>
            <w:tcW w:w="2410" w:type="dxa"/>
          </w:tcPr>
          <w:p w14:paraId="0EB00BB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446 без наружн.</w:t>
            </w:r>
          </w:p>
        </w:tc>
        <w:tc>
          <w:tcPr>
            <w:tcW w:w="3402" w:type="dxa"/>
          </w:tcPr>
          <w:p w14:paraId="12BD5E2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345</w:t>
            </w:r>
          </w:p>
        </w:tc>
      </w:tr>
      <w:tr w:rsidR="001E2C69" w:rsidRPr="001E2C69" w14:paraId="298B3AA5" w14:textId="77777777" w:rsidTr="00CC5360">
        <w:tc>
          <w:tcPr>
            <w:tcW w:w="2802" w:type="dxa"/>
          </w:tcPr>
          <w:p w14:paraId="720A738F" w14:textId="77777777" w:rsidR="00AE7191" w:rsidRPr="001E2C69" w:rsidRDefault="00AE7191" w:rsidP="00722885">
            <w:pPr>
              <w:pStyle w:val="Iauiue"/>
              <w:jc w:val="both"/>
              <w:rPr>
                <w:color w:val="000000" w:themeColor="text1"/>
                <w:sz w:val="16"/>
                <w:szCs w:val="16"/>
              </w:rPr>
            </w:pPr>
          </w:p>
        </w:tc>
        <w:tc>
          <w:tcPr>
            <w:tcW w:w="1984" w:type="dxa"/>
          </w:tcPr>
          <w:p w14:paraId="160024AC" w14:textId="77777777" w:rsidR="00AE7191" w:rsidRPr="001E2C69" w:rsidRDefault="00AE7191" w:rsidP="00722885">
            <w:pPr>
              <w:pStyle w:val="Iauiue"/>
              <w:jc w:val="both"/>
              <w:rPr>
                <w:color w:val="000000" w:themeColor="text1"/>
                <w:sz w:val="16"/>
                <w:szCs w:val="16"/>
              </w:rPr>
            </w:pPr>
          </w:p>
        </w:tc>
        <w:tc>
          <w:tcPr>
            <w:tcW w:w="2410" w:type="dxa"/>
          </w:tcPr>
          <w:p w14:paraId="1E8B875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держателей</w:t>
            </w:r>
          </w:p>
        </w:tc>
        <w:tc>
          <w:tcPr>
            <w:tcW w:w="3402" w:type="dxa"/>
          </w:tcPr>
          <w:p w14:paraId="69D4F36B" w14:textId="77777777" w:rsidR="00AE7191" w:rsidRPr="001E2C69" w:rsidRDefault="00AE7191" w:rsidP="00722885">
            <w:pPr>
              <w:pStyle w:val="Iauiue"/>
              <w:jc w:val="both"/>
              <w:rPr>
                <w:color w:val="000000" w:themeColor="text1"/>
                <w:sz w:val="16"/>
                <w:szCs w:val="16"/>
              </w:rPr>
            </w:pPr>
          </w:p>
        </w:tc>
      </w:tr>
      <w:tr w:rsidR="001E2C69" w:rsidRPr="001E2C69" w14:paraId="7FCE4B59" w14:textId="77777777" w:rsidTr="00CC5360">
        <w:tc>
          <w:tcPr>
            <w:tcW w:w="2802" w:type="dxa"/>
          </w:tcPr>
          <w:p w14:paraId="5D559F8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Максимальная скорость на </w:t>
            </w:r>
          </w:p>
        </w:tc>
        <w:tc>
          <w:tcPr>
            <w:tcW w:w="1984" w:type="dxa"/>
          </w:tcPr>
          <w:p w14:paraId="38D7261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416/2300</w:t>
            </w:r>
          </w:p>
        </w:tc>
        <w:tc>
          <w:tcPr>
            <w:tcW w:w="2410" w:type="dxa"/>
          </w:tcPr>
          <w:p w14:paraId="30DC09F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530/5000 без наружн.</w:t>
            </w:r>
          </w:p>
        </w:tc>
        <w:tc>
          <w:tcPr>
            <w:tcW w:w="3402" w:type="dxa"/>
          </w:tcPr>
          <w:p w14:paraId="0477B7A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429/6700</w:t>
            </w:r>
          </w:p>
        </w:tc>
      </w:tr>
      <w:tr w:rsidR="001E2C69" w:rsidRPr="001E2C69" w14:paraId="7C05CBD0" w14:textId="77777777" w:rsidTr="00CC5360">
        <w:tc>
          <w:tcPr>
            <w:tcW w:w="2802" w:type="dxa"/>
          </w:tcPr>
          <w:p w14:paraId="282D9DE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высоте в км/час</w:t>
            </w:r>
          </w:p>
        </w:tc>
        <w:tc>
          <w:tcPr>
            <w:tcW w:w="1984" w:type="dxa"/>
          </w:tcPr>
          <w:p w14:paraId="79106C07" w14:textId="77777777" w:rsidR="00AE7191" w:rsidRPr="001E2C69" w:rsidRDefault="00AE7191" w:rsidP="00722885">
            <w:pPr>
              <w:pStyle w:val="Iauiue"/>
              <w:jc w:val="both"/>
              <w:rPr>
                <w:color w:val="000000" w:themeColor="text1"/>
                <w:sz w:val="16"/>
                <w:szCs w:val="16"/>
              </w:rPr>
            </w:pPr>
          </w:p>
        </w:tc>
        <w:tc>
          <w:tcPr>
            <w:tcW w:w="2410" w:type="dxa"/>
          </w:tcPr>
          <w:p w14:paraId="060D4E1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держателей</w:t>
            </w:r>
          </w:p>
        </w:tc>
        <w:tc>
          <w:tcPr>
            <w:tcW w:w="3402" w:type="dxa"/>
          </w:tcPr>
          <w:p w14:paraId="4778B007" w14:textId="77777777" w:rsidR="00AE7191" w:rsidRPr="001E2C69" w:rsidRDefault="00AE7191" w:rsidP="00722885">
            <w:pPr>
              <w:pStyle w:val="Iauiue"/>
              <w:jc w:val="both"/>
              <w:rPr>
                <w:color w:val="000000" w:themeColor="text1"/>
                <w:sz w:val="16"/>
                <w:szCs w:val="16"/>
              </w:rPr>
            </w:pPr>
          </w:p>
        </w:tc>
      </w:tr>
      <w:tr w:rsidR="001E2C69" w:rsidRPr="001E2C69" w14:paraId="33C8DC20" w14:textId="77777777" w:rsidTr="00CC5360">
        <w:tc>
          <w:tcPr>
            <w:tcW w:w="2802" w:type="dxa"/>
          </w:tcPr>
          <w:p w14:paraId="0568F18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Дальность с нормальным полетн.</w:t>
            </w:r>
          </w:p>
        </w:tc>
        <w:tc>
          <w:tcPr>
            <w:tcW w:w="1984" w:type="dxa"/>
          </w:tcPr>
          <w:p w14:paraId="2605E75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620 на скорости 0,9</w:t>
            </w:r>
          </w:p>
        </w:tc>
        <w:tc>
          <w:tcPr>
            <w:tcW w:w="2410" w:type="dxa"/>
          </w:tcPr>
          <w:p w14:paraId="4B87AEC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770 на скорости 0,8</w:t>
            </w:r>
          </w:p>
        </w:tc>
        <w:tc>
          <w:tcPr>
            <w:tcW w:w="3402" w:type="dxa"/>
          </w:tcPr>
          <w:p w14:paraId="2F498D9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720 на скорости 0,9</w:t>
            </w:r>
          </w:p>
        </w:tc>
      </w:tr>
      <w:tr w:rsidR="001E2C69" w:rsidRPr="001E2C69" w14:paraId="1ECC1EF7" w14:textId="77777777" w:rsidTr="00CC5360">
        <w:tc>
          <w:tcPr>
            <w:tcW w:w="2802" w:type="dxa"/>
          </w:tcPr>
          <w:p w14:paraId="3BB1996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весом на скорости в км</w:t>
            </w:r>
          </w:p>
        </w:tc>
        <w:tc>
          <w:tcPr>
            <w:tcW w:w="1984" w:type="dxa"/>
          </w:tcPr>
          <w:p w14:paraId="2757063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от макс. на высоте</w:t>
            </w:r>
          </w:p>
        </w:tc>
        <w:tc>
          <w:tcPr>
            <w:tcW w:w="2410" w:type="dxa"/>
          </w:tcPr>
          <w:p w14:paraId="509576B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от макс. на высоте</w:t>
            </w:r>
          </w:p>
        </w:tc>
        <w:tc>
          <w:tcPr>
            <w:tcW w:w="3402" w:type="dxa"/>
          </w:tcPr>
          <w:p w14:paraId="10F8406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от макс.</w:t>
            </w:r>
          </w:p>
        </w:tc>
      </w:tr>
      <w:tr w:rsidR="001E2C69" w:rsidRPr="001E2C69" w14:paraId="7390AE2C" w14:textId="77777777" w:rsidTr="00CC5360">
        <w:tc>
          <w:tcPr>
            <w:tcW w:w="2802" w:type="dxa"/>
          </w:tcPr>
          <w:p w14:paraId="17CCB842" w14:textId="77777777" w:rsidR="00AE7191" w:rsidRPr="001E2C69" w:rsidRDefault="00AE7191" w:rsidP="00722885">
            <w:pPr>
              <w:pStyle w:val="Iauiue"/>
              <w:jc w:val="both"/>
              <w:rPr>
                <w:color w:val="000000" w:themeColor="text1"/>
                <w:sz w:val="16"/>
                <w:szCs w:val="16"/>
              </w:rPr>
            </w:pPr>
          </w:p>
        </w:tc>
        <w:tc>
          <w:tcPr>
            <w:tcW w:w="1984" w:type="dxa"/>
          </w:tcPr>
          <w:p w14:paraId="23C57D3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570 м</w:t>
            </w:r>
          </w:p>
        </w:tc>
        <w:tc>
          <w:tcPr>
            <w:tcW w:w="2410" w:type="dxa"/>
          </w:tcPr>
          <w:p w14:paraId="6A626F0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5000 м</w:t>
            </w:r>
          </w:p>
        </w:tc>
        <w:tc>
          <w:tcPr>
            <w:tcW w:w="3402" w:type="dxa"/>
          </w:tcPr>
          <w:p w14:paraId="5D49CED5" w14:textId="77777777" w:rsidR="00AE7191" w:rsidRPr="001E2C69" w:rsidRDefault="00AE7191" w:rsidP="00722885">
            <w:pPr>
              <w:pStyle w:val="Iauiue"/>
              <w:jc w:val="both"/>
              <w:rPr>
                <w:color w:val="000000" w:themeColor="text1"/>
                <w:sz w:val="16"/>
                <w:szCs w:val="16"/>
              </w:rPr>
            </w:pPr>
          </w:p>
        </w:tc>
      </w:tr>
      <w:tr w:rsidR="001E2C69" w:rsidRPr="001E2C69" w14:paraId="54A53761" w14:textId="77777777" w:rsidTr="00CC5360">
        <w:tc>
          <w:tcPr>
            <w:tcW w:w="2802" w:type="dxa"/>
          </w:tcPr>
          <w:p w14:paraId="1076C44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Дальность с полностью залитыми</w:t>
            </w:r>
          </w:p>
        </w:tc>
        <w:tc>
          <w:tcPr>
            <w:tcW w:w="1984" w:type="dxa"/>
          </w:tcPr>
          <w:p w14:paraId="37556A4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w:t>
            </w:r>
          </w:p>
        </w:tc>
        <w:tc>
          <w:tcPr>
            <w:tcW w:w="2410" w:type="dxa"/>
          </w:tcPr>
          <w:p w14:paraId="62DA26D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1315 на скорости 0,8</w:t>
            </w:r>
          </w:p>
        </w:tc>
        <w:tc>
          <w:tcPr>
            <w:tcW w:w="3402" w:type="dxa"/>
          </w:tcPr>
          <w:p w14:paraId="6611D1A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2540 на скорости 0,9</w:t>
            </w:r>
          </w:p>
        </w:tc>
      </w:tr>
      <w:tr w:rsidR="001E2C69" w:rsidRPr="001E2C69" w14:paraId="0DA7D91B" w14:textId="77777777" w:rsidTr="00CC5360">
        <w:tc>
          <w:tcPr>
            <w:tcW w:w="2802" w:type="dxa"/>
          </w:tcPr>
          <w:p w14:paraId="614A6F2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бензобаками на скорости в км</w:t>
            </w:r>
          </w:p>
        </w:tc>
        <w:tc>
          <w:tcPr>
            <w:tcW w:w="1984" w:type="dxa"/>
          </w:tcPr>
          <w:p w14:paraId="7F975973" w14:textId="77777777" w:rsidR="00AE7191" w:rsidRPr="001E2C69" w:rsidRDefault="00AE7191" w:rsidP="00722885">
            <w:pPr>
              <w:pStyle w:val="Iauiue"/>
              <w:jc w:val="both"/>
              <w:rPr>
                <w:color w:val="000000" w:themeColor="text1"/>
                <w:sz w:val="16"/>
                <w:szCs w:val="16"/>
              </w:rPr>
            </w:pPr>
          </w:p>
        </w:tc>
        <w:tc>
          <w:tcPr>
            <w:tcW w:w="2410" w:type="dxa"/>
          </w:tcPr>
          <w:p w14:paraId="6C4F7DA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от макс. на высоте</w:t>
            </w:r>
          </w:p>
        </w:tc>
        <w:tc>
          <w:tcPr>
            <w:tcW w:w="3402" w:type="dxa"/>
          </w:tcPr>
          <w:p w14:paraId="4094204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от макс.</w:t>
            </w:r>
          </w:p>
        </w:tc>
      </w:tr>
      <w:tr w:rsidR="001E2C69" w:rsidRPr="001E2C69" w14:paraId="06AC8DA9" w14:textId="77777777" w:rsidTr="00CC5360">
        <w:tc>
          <w:tcPr>
            <w:tcW w:w="2802" w:type="dxa"/>
          </w:tcPr>
          <w:p w14:paraId="7B409DF2" w14:textId="77777777" w:rsidR="00AE7191" w:rsidRPr="001E2C69" w:rsidRDefault="00AE7191" w:rsidP="00722885">
            <w:pPr>
              <w:pStyle w:val="Iauiue"/>
              <w:jc w:val="both"/>
              <w:rPr>
                <w:color w:val="000000" w:themeColor="text1"/>
                <w:sz w:val="16"/>
                <w:szCs w:val="16"/>
              </w:rPr>
            </w:pPr>
          </w:p>
        </w:tc>
        <w:tc>
          <w:tcPr>
            <w:tcW w:w="1984" w:type="dxa"/>
          </w:tcPr>
          <w:p w14:paraId="78F85581" w14:textId="77777777" w:rsidR="00AE7191" w:rsidRPr="001E2C69" w:rsidRDefault="00AE7191" w:rsidP="00722885">
            <w:pPr>
              <w:pStyle w:val="Iauiue"/>
              <w:jc w:val="both"/>
              <w:rPr>
                <w:color w:val="000000" w:themeColor="text1"/>
                <w:sz w:val="16"/>
                <w:szCs w:val="16"/>
              </w:rPr>
            </w:pPr>
          </w:p>
        </w:tc>
        <w:tc>
          <w:tcPr>
            <w:tcW w:w="2410" w:type="dxa"/>
          </w:tcPr>
          <w:p w14:paraId="69F53B2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5000 м</w:t>
            </w:r>
          </w:p>
        </w:tc>
        <w:tc>
          <w:tcPr>
            <w:tcW w:w="3402" w:type="dxa"/>
          </w:tcPr>
          <w:p w14:paraId="7FEB7320" w14:textId="77777777" w:rsidR="00AE7191" w:rsidRPr="001E2C69" w:rsidRDefault="00AE7191" w:rsidP="00722885">
            <w:pPr>
              <w:pStyle w:val="Iauiue"/>
              <w:jc w:val="both"/>
              <w:rPr>
                <w:color w:val="000000" w:themeColor="text1"/>
                <w:sz w:val="16"/>
                <w:szCs w:val="16"/>
              </w:rPr>
            </w:pPr>
          </w:p>
        </w:tc>
      </w:tr>
      <w:tr w:rsidR="001E2C69" w:rsidRPr="001E2C69" w14:paraId="70C01955" w14:textId="77777777" w:rsidTr="00CC5360">
        <w:tc>
          <w:tcPr>
            <w:tcW w:w="2802" w:type="dxa"/>
          </w:tcPr>
          <w:p w14:paraId="24C349C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lastRenderedPageBreak/>
              <w:t>Стрелково-артиллерийское</w:t>
            </w:r>
          </w:p>
        </w:tc>
        <w:tc>
          <w:tcPr>
            <w:tcW w:w="1984" w:type="dxa"/>
          </w:tcPr>
          <w:p w14:paraId="72F18E9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пуш. кал. 23 мм</w:t>
            </w:r>
          </w:p>
        </w:tc>
        <w:tc>
          <w:tcPr>
            <w:tcW w:w="2410" w:type="dxa"/>
          </w:tcPr>
          <w:p w14:paraId="37F8EF8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Вперед: 1 пул. кал.</w:t>
            </w:r>
          </w:p>
        </w:tc>
        <w:tc>
          <w:tcPr>
            <w:tcW w:w="3402" w:type="dxa"/>
          </w:tcPr>
          <w:p w14:paraId="640A0DC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Вперед: 1 пул. кал.</w:t>
            </w:r>
          </w:p>
        </w:tc>
      </w:tr>
      <w:tr w:rsidR="001E2C69" w:rsidRPr="001E2C69" w14:paraId="57EC6BBF" w14:textId="77777777" w:rsidTr="00CC5360">
        <w:tc>
          <w:tcPr>
            <w:tcW w:w="2802" w:type="dxa"/>
          </w:tcPr>
          <w:p w14:paraId="1498C3F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Вооружение</w:t>
            </w:r>
          </w:p>
        </w:tc>
        <w:tc>
          <w:tcPr>
            <w:tcW w:w="1984" w:type="dxa"/>
          </w:tcPr>
          <w:p w14:paraId="43A3D9B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снар. 320 шт.</w:t>
            </w:r>
          </w:p>
        </w:tc>
        <w:tc>
          <w:tcPr>
            <w:tcW w:w="2410" w:type="dxa"/>
          </w:tcPr>
          <w:p w14:paraId="7FE31CC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12,7 мм патр. 150 шт.</w:t>
            </w:r>
          </w:p>
        </w:tc>
        <w:tc>
          <w:tcPr>
            <w:tcW w:w="3402" w:type="dxa"/>
          </w:tcPr>
          <w:p w14:paraId="46D441C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7,62 мм патр. 500 шт.</w:t>
            </w:r>
          </w:p>
        </w:tc>
      </w:tr>
      <w:tr w:rsidR="001E2C69" w:rsidRPr="001E2C69" w14:paraId="48796055" w14:textId="77777777" w:rsidTr="00CC5360">
        <w:tc>
          <w:tcPr>
            <w:tcW w:w="2802" w:type="dxa"/>
          </w:tcPr>
          <w:p w14:paraId="23EE7347" w14:textId="77777777" w:rsidR="00AE7191" w:rsidRPr="001E2C69" w:rsidRDefault="00AE7191" w:rsidP="00722885">
            <w:pPr>
              <w:pStyle w:val="Iauiue"/>
              <w:jc w:val="both"/>
              <w:rPr>
                <w:color w:val="000000" w:themeColor="text1"/>
                <w:sz w:val="16"/>
                <w:szCs w:val="16"/>
              </w:rPr>
            </w:pPr>
          </w:p>
        </w:tc>
        <w:tc>
          <w:tcPr>
            <w:tcW w:w="1984" w:type="dxa"/>
          </w:tcPr>
          <w:p w14:paraId="0DC92C0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пул. кал. 7,62 мм</w:t>
            </w:r>
          </w:p>
        </w:tc>
        <w:tc>
          <w:tcPr>
            <w:tcW w:w="2410" w:type="dxa"/>
          </w:tcPr>
          <w:p w14:paraId="79ABF6F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пул. кал. 7,62 мм</w:t>
            </w:r>
          </w:p>
        </w:tc>
        <w:tc>
          <w:tcPr>
            <w:tcW w:w="3402" w:type="dxa"/>
          </w:tcPr>
          <w:p w14:paraId="552D5DE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Назад: Верхняя точка</w:t>
            </w:r>
          </w:p>
        </w:tc>
      </w:tr>
      <w:tr w:rsidR="001E2C69" w:rsidRPr="001E2C69" w14:paraId="657FDD6A" w14:textId="77777777" w:rsidTr="00CC5360">
        <w:tc>
          <w:tcPr>
            <w:tcW w:w="2802" w:type="dxa"/>
          </w:tcPr>
          <w:p w14:paraId="737173CB" w14:textId="77777777" w:rsidR="00AE7191" w:rsidRPr="001E2C69" w:rsidRDefault="00AE7191" w:rsidP="00722885">
            <w:pPr>
              <w:pStyle w:val="Iauiue"/>
              <w:jc w:val="both"/>
              <w:rPr>
                <w:color w:val="000000" w:themeColor="text1"/>
                <w:sz w:val="16"/>
                <w:szCs w:val="16"/>
              </w:rPr>
            </w:pPr>
          </w:p>
        </w:tc>
        <w:tc>
          <w:tcPr>
            <w:tcW w:w="1984" w:type="dxa"/>
          </w:tcPr>
          <w:p w14:paraId="6274278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патр. 1500 шт.</w:t>
            </w:r>
          </w:p>
        </w:tc>
        <w:tc>
          <w:tcPr>
            <w:tcW w:w="2410" w:type="dxa"/>
          </w:tcPr>
          <w:p w14:paraId="1D1E79A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патр. 450 шт.</w:t>
            </w:r>
          </w:p>
        </w:tc>
        <w:tc>
          <w:tcPr>
            <w:tcW w:w="3402" w:type="dxa"/>
          </w:tcPr>
          <w:p w14:paraId="352EF52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пул. кал. 7,62 мм</w:t>
            </w:r>
          </w:p>
        </w:tc>
      </w:tr>
      <w:tr w:rsidR="001E2C69" w:rsidRPr="001E2C69" w14:paraId="49C47CCB" w14:textId="77777777" w:rsidTr="00CC5360">
        <w:tc>
          <w:tcPr>
            <w:tcW w:w="2802" w:type="dxa"/>
          </w:tcPr>
          <w:p w14:paraId="755E1C32" w14:textId="77777777" w:rsidR="00AE7191" w:rsidRPr="001E2C69" w:rsidRDefault="00AE7191" w:rsidP="00722885">
            <w:pPr>
              <w:pStyle w:val="Iauiue"/>
              <w:jc w:val="both"/>
              <w:rPr>
                <w:color w:val="000000" w:themeColor="text1"/>
                <w:sz w:val="16"/>
                <w:szCs w:val="16"/>
              </w:rPr>
            </w:pPr>
          </w:p>
        </w:tc>
        <w:tc>
          <w:tcPr>
            <w:tcW w:w="1984" w:type="dxa"/>
          </w:tcPr>
          <w:p w14:paraId="366CB18F" w14:textId="77777777" w:rsidR="00AE7191" w:rsidRPr="001E2C69" w:rsidRDefault="00AE7191" w:rsidP="00722885">
            <w:pPr>
              <w:pStyle w:val="Iauiue"/>
              <w:jc w:val="both"/>
              <w:rPr>
                <w:color w:val="000000" w:themeColor="text1"/>
                <w:sz w:val="16"/>
                <w:szCs w:val="16"/>
              </w:rPr>
            </w:pPr>
          </w:p>
        </w:tc>
        <w:tc>
          <w:tcPr>
            <w:tcW w:w="2410" w:type="dxa"/>
          </w:tcPr>
          <w:p w14:paraId="02E49D7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Назад: верхний</w:t>
            </w:r>
          </w:p>
        </w:tc>
        <w:tc>
          <w:tcPr>
            <w:tcW w:w="3402" w:type="dxa"/>
          </w:tcPr>
          <w:p w14:paraId="177A4C0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патр. 1200 шт.</w:t>
            </w:r>
          </w:p>
        </w:tc>
      </w:tr>
      <w:tr w:rsidR="001E2C69" w:rsidRPr="001E2C69" w14:paraId="55975956" w14:textId="77777777" w:rsidTr="00CC5360">
        <w:tc>
          <w:tcPr>
            <w:tcW w:w="2802" w:type="dxa"/>
          </w:tcPr>
          <w:p w14:paraId="11F46213" w14:textId="77777777" w:rsidR="00AE7191" w:rsidRPr="001E2C69" w:rsidRDefault="00AE7191" w:rsidP="00722885">
            <w:pPr>
              <w:pStyle w:val="Iauiue"/>
              <w:jc w:val="both"/>
              <w:rPr>
                <w:color w:val="000000" w:themeColor="text1"/>
                <w:sz w:val="16"/>
                <w:szCs w:val="16"/>
              </w:rPr>
            </w:pPr>
          </w:p>
        </w:tc>
        <w:tc>
          <w:tcPr>
            <w:tcW w:w="1984" w:type="dxa"/>
          </w:tcPr>
          <w:p w14:paraId="67631CB6" w14:textId="77777777" w:rsidR="00AE7191" w:rsidRPr="001E2C69" w:rsidRDefault="00AE7191" w:rsidP="00722885">
            <w:pPr>
              <w:pStyle w:val="Iauiue"/>
              <w:jc w:val="both"/>
              <w:rPr>
                <w:color w:val="000000" w:themeColor="text1"/>
                <w:sz w:val="16"/>
                <w:szCs w:val="16"/>
              </w:rPr>
            </w:pPr>
          </w:p>
        </w:tc>
        <w:tc>
          <w:tcPr>
            <w:tcW w:w="2410" w:type="dxa"/>
          </w:tcPr>
          <w:p w14:paraId="6051599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пул. кал. 7,62 мм</w:t>
            </w:r>
          </w:p>
        </w:tc>
        <w:tc>
          <w:tcPr>
            <w:tcW w:w="3402" w:type="dxa"/>
          </w:tcPr>
          <w:p w14:paraId="2BE6F02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Нижняя точка. 1 пул. </w:t>
            </w:r>
          </w:p>
        </w:tc>
      </w:tr>
      <w:tr w:rsidR="001E2C69" w:rsidRPr="001E2C69" w14:paraId="6BB0F382" w14:textId="77777777" w:rsidTr="00CC5360">
        <w:tc>
          <w:tcPr>
            <w:tcW w:w="2802" w:type="dxa"/>
          </w:tcPr>
          <w:p w14:paraId="2A4B244A" w14:textId="77777777" w:rsidR="00AE7191" w:rsidRPr="001E2C69" w:rsidRDefault="00AE7191" w:rsidP="00722885">
            <w:pPr>
              <w:pStyle w:val="Iauiue"/>
              <w:jc w:val="both"/>
              <w:rPr>
                <w:color w:val="000000" w:themeColor="text1"/>
                <w:sz w:val="16"/>
                <w:szCs w:val="16"/>
              </w:rPr>
            </w:pPr>
          </w:p>
        </w:tc>
        <w:tc>
          <w:tcPr>
            <w:tcW w:w="1984" w:type="dxa"/>
          </w:tcPr>
          <w:p w14:paraId="1FBC01E0" w14:textId="77777777" w:rsidR="00AE7191" w:rsidRPr="001E2C69" w:rsidRDefault="00AE7191" w:rsidP="00722885">
            <w:pPr>
              <w:pStyle w:val="Iauiue"/>
              <w:jc w:val="both"/>
              <w:rPr>
                <w:color w:val="000000" w:themeColor="text1"/>
                <w:sz w:val="16"/>
                <w:szCs w:val="16"/>
              </w:rPr>
            </w:pPr>
          </w:p>
        </w:tc>
        <w:tc>
          <w:tcPr>
            <w:tcW w:w="2410" w:type="dxa"/>
          </w:tcPr>
          <w:p w14:paraId="0AA0C3C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патр. 750 шт. Люковый.</w:t>
            </w:r>
          </w:p>
        </w:tc>
        <w:tc>
          <w:tcPr>
            <w:tcW w:w="3402" w:type="dxa"/>
          </w:tcPr>
          <w:p w14:paraId="54841F4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кал. 7,62 мм патр. 750 шт</w:t>
            </w:r>
          </w:p>
        </w:tc>
      </w:tr>
      <w:tr w:rsidR="001E2C69" w:rsidRPr="001E2C69" w14:paraId="665F728C" w14:textId="77777777" w:rsidTr="00CC5360">
        <w:tc>
          <w:tcPr>
            <w:tcW w:w="2802" w:type="dxa"/>
          </w:tcPr>
          <w:p w14:paraId="7E7AA0B5" w14:textId="77777777" w:rsidR="00AE7191" w:rsidRPr="001E2C69" w:rsidRDefault="00AE7191" w:rsidP="00722885">
            <w:pPr>
              <w:pStyle w:val="Iauiue"/>
              <w:jc w:val="both"/>
              <w:rPr>
                <w:color w:val="000000" w:themeColor="text1"/>
                <w:sz w:val="16"/>
                <w:szCs w:val="16"/>
              </w:rPr>
            </w:pPr>
          </w:p>
        </w:tc>
        <w:tc>
          <w:tcPr>
            <w:tcW w:w="1984" w:type="dxa"/>
          </w:tcPr>
          <w:p w14:paraId="417441E8" w14:textId="77777777" w:rsidR="00AE7191" w:rsidRPr="001E2C69" w:rsidRDefault="00AE7191" w:rsidP="00722885">
            <w:pPr>
              <w:pStyle w:val="Iauiue"/>
              <w:jc w:val="both"/>
              <w:rPr>
                <w:color w:val="000000" w:themeColor="text1"/>
                <w:sz w:val="16"/>
                <w:szCs w:val="16"/>
              </w:rPr>
            </w:pPr>
          </w:p>
        </w:tc>
        <w:tc>
          <w:tcPr>
            <w:tcW w:w="2410" w:type="dxa"/>
          </w:tcPr>
          <w:p w14:paraId="2411286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пул. кал. 12,7 мм</w:t>
            </w:r>
          </w:p>
        </w:tc>
        <w:tc>
          <w:tcPr>
            <w:tcW w:w="3402" w:type="dxa"/>
          </w:tcPr>
          <w:p w14:paraId="41474644" w14:textId="77777777" w:rsidR="00AE7191" w:rsidRPr="001E2C69" w:rsidRDefault="00AE7191" w:rsidP="00722885">
            <w:pPr>
              <w:pStyle w:val="Iauiue"/>
              <w:jc w:val="both"/>
              <w:rPr>
                <w:color w:val="000000" w:themeColor="text1"/>
                <w:sz w:val="16"/>
                <w:szCs w:val="16"/>
              </w:rPr>
            </w:pPr>
          </w:p>
        </w:tc>
      </w:tr>
      <w:tr w:rsidR="001E2C69" w:rsidRPr="001E2C69" w14:paraId="48102310" w14:textId="77777777" w:rsidTr="00CC5360">
        <w:tc>
          <w:tcPr>
            <w:tcW w:w="2802" w:type="dxa"/>
          </w:tcPr>
          <w:p w14:paraId="76BA4883" w14:textId="77777777" w:rsidR="00AE7191" w:rsidRPr="001E2C69" w:rsidRDefault="00AE7191" w:rsidP="00722885">
            <w:pPr>
              <w:pStyle w:val="Iauiue"/>
              <w:jc w:val="both"/>
              <w:rPr>
                <w:color w:val="000000" w:themeColor="text1"/>
                <w:sz w:val="16"/>
                <w:szCs w:val="16"/>
              </w:rPr>
            </w:pPr>
          </w:p>
        </w:tc>
        <w:tc>
          <w:tcPr>
            <w:tcW w:w="1984" w:type="dxa"/>
          </w:tcPr>
          <w:p w14:paraId="637CB9C1" w14:textId="77777777" w:rsidR="00AE7191" w:rsidRPr="001E2C69" w:rsidRDefault="00AE7191" w:rsidP="00722885">
            <w:pPr>
              <w:pStyle w:val="Iauiue"/>
              <w:jc w:val="both"/>
              <w:rPr>
                <w:color w:val="000000" w:themeColor="text1"/>
                <w:sz w:val="16"/>
                <w:szCs w:val="16"/>
              </w:rPr>
            </w:pPr>
          </w:p>
        </w:tc>
        <w:tc>
          <w:tcPr>
            <w:tcW w:w="2410" w:type="dxa"/>
          </w:tcPr>
          <w:p w14:paraId="42EF1E2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патр. 200 шт.</w:t>
            </w:r>
          </w:p>
        </w:tc>
        <w:tc>
          <w:tcPr>
            <w:tcW w:w="3402" w:type="dxa"/>
          </w:tcPr>
          <w:p w14:paraId="6A653787" w14:textId="77777777" w:rsidR="00AE7191" w:rsidRPr="001E2C69" w:rsidRDefault="00AE7191" w:rsidP="00722885">
            <w:pPr>
              <w:pStyle w:val="Iauiue"/>
              <w:jc w:val="both"/>
              <w:rPr>
                <w:color w:val="000000" w:themeColor="text1"/>
                <w:sz w:val="16"/>
                <w:szCs w:val="16"/>
              </w:rPr>
            </w:pPr>
          </w:p>
        </w:tc>
      </w:tr>
      <w:tr w:rsidR="001E2C69" w:rsidRPr="001E2C69" w14:paraId="73C38947" w14:textId="77777777" w:rsidTr="00CC5360">
        <w:tc>
          <w:tcPr>
            <w:tcW w:w="2802" w:type="dxa"/>
          </w:tcPr>
          <w:p w14:paraId="2E1E01A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Реактивное вооружение</w:t>
            </w:r>
          </w:p>
        </w:tc>
        <w:tc>
          <w:tcPr>
            <w:tcW w:w="1984" w:type="dxa"/>
          </w:tcPr>
          <w:p w14:paraId="5032C35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 шт. Ро-82</w:t>
            </w:r>
          </w:p>
        </w:tc>
        <w:tc>
          <w:tcPr>
            <w:tcW w:w="2410" w:type="dxa"/>
          </w:tcPr>
          <w:p w14:paraId="467C4EE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w:t>
            </w:r>
          </w:p>
        </w:tc>
        <w:tc>
          <w:tcPr>
            <w:tcW w:w="3402" w:type="dxa"/>
          </w:tcPr>
          <w:p w14:paraId="29EC92AC" w14:textId="77777777" w:rsidR="00AE7191" w:rsidRPr="001E2C69" w:rsidRDefault="00AE7191" w:rsidP="00722885">
            <w:pPr>
              <w:pStyle w:val="Iauiue"/>
              <w:jc w:val="both"/>
              <w:rPr>
                <w:color w:val="000000" w:themeColor="text1"/>
                <w:sz w:val="16"/>
                <w:szCs w:val="16"/>
              </w:rPr>
            </w:pPr>
          </w:p>
        </w:tc>
      </w:tr>
      <w:tr w:rsidR="001E2C69" w:rsidRPr="001E2C69" w14:paraId="5D22A64E" w14:textId="77777777" w:rsidTr="00CC5360">
        <w:tc>
          <w:tcPr>
            <w:tcW w:w="2802" w:type="dxa"/>
          </w:tcPr>
          <w:p w14:paraId="2F765CD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Бомбовая нагрузка при</w:t>
            </w:r>
          </w:p>
        </w:tc>
        <w:tc>
          <w:tcPr>
            <w:tcW w:w="1984" w:type="dxa"/>
          </w:tcPr>
          <w:p w14:paraId="6AD5255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Внутренняя подвеска:</w:t>
            </w:r>
          </w:p>
        </w:tc>
        <w:tc>
          <w:tcPr>
            <w:tcW w:w="2410" w:type="dxa"/>
          </w:tcPr>
          <w:p w14:paraId="0E061DA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Внутренняя подвеска:</w:t>
            </w:r>
          </w:p>
        </w:tc>
        <w:tc>
          <w:tcPr>
            <w:tcW w:w="3402" w:type="dxa"/>
          </w:tcPr>
          <w:p w14:paraId="1BAD29A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Внутренняя подвеска:</w:t>
            </w:r>
          </w:p>
        </w:tc>
      </w:tr>
      <w:tr w:rsidR="001E2C69" w:rsidRPr="001E2C69" w14:paraId="19C181F9" w14:textId="77777777" w:rsidTr="00CC5360">
        <w:tc>
          <w:tcPr>
            <w:tcW w:w="2802" w:type="dxa"/>
          </w:tcPr>
          <w:p w14:paraId="1552ED9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нормальном полетном весе</w:t>
            </w:r>
          </w:p>
        </w:tc>
        <w:tc>
          <w:tcPr>
            <w:tcW w:w="1984" w:type="dxa"/>
          </w:tcPr>
          <w:p w14:paraId="2972230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4хФАБ-100 всего 400 кг</w:t>
            </w:r>
          </w:p>
        </w:tc>
        <w:tc>
          <w:tcPr>
            <w:tcW w:w="2410" w:type="dxa"/>
          </w:tcPr>
          <w:p w14:paraId="1AB6CDF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6хФАБ-100 всего 600 кг</w:t>
            </w:r>
          </w:p>
        </w:tc>
        <w:tc>
          <w:tcPr>
            <w:tcW w:w="3402" w:type="dxa"/>
          </w:tcPr>
          <w:p w14:paraId="7207367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10хФАБ-100 всего 1000 кг</w:t>
            </w:r>
          </w:p>
        </w:tc>
      </w:tr>
      <w:tr w:rsidR="001E2C69" w:rsidRPr="001E2C69" w14:paraId="4ECAE1FC" w14:textId="77777777" w:rsidTr="00CC5360">
        <w:tc>
          <w:tcPr>
            <w:tcW w:w="2802" w:type="dxa"/>
          </w:tcPr>
          <w:p w14:paraId="2FA3E1F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кг</w:t>
            </w:r>
          </w:p>
        </w:tc>
        <w:tc>
          <w:tcPr>
            <w:tcW w:w="1984" w:type="dxa"/>
          </w:tcPr>
          <w:p w14:paraId="3D2140B0" w14:textId="77777777" w:rsidR="00AE7191" w:rsidRPr="001E2C69" w:rsidRDefault="00AE7191" w:rsidP="00722885">
            <w:pPr>
              <w:pStyle w:val="Iauiue"/>
              <w:jc w:val="both"/>
              <w:rPr>
                <w:color w:val="000000" w:themeColor="text1"/>
                <w:sz w:val="16"/>
                <w:szCs w:val="16"/>
              </w:rPr>
            </w:pPr>
          </w:p>
        </w:tc>
        <w:tc>
          <w:tcPr>
            <w:tcW w:w="2410" w:type="dxa"/>
          </w:tcPr>
          <w:p w14:paraId="3FBB65FF" w14:textId="77777777" w:rsidR="00AE7191" w:rsidRPr="001E2C69" w:rsidRDefault="00AE7191" w:rsidP="00722885">
            <w:pPr>
              <w:pStyle w:val="Iauiue"/>
              <w:jc w:val="both"/>
              <w:rPr>
                <w:color w:val="000000" w:themeColor="text1"/>
                <w:sz w:val="16"/>
                <w:szCs w:val="16"/>
              </w:rPr>
            </w:pPr>
          </w:p>
        </w:tc>
        <w:tc>
          <w:tcPr>
            <w:tcW w:w="3402" w:type="dxa"/>
          </w:tcPr>
          <w:p w14:paraId="1344BB1C" w14:textId="77777777" w:rsidR="00AE7191" w:rsidRPr="001E2C69" w:rsidRDefault="00AE7191" w:rsidP="00722885">
            <w:pPr>
              <w:pStyle w:val="Iauiue"/>
              <w:jc w:val="both"/>
              <w:rPr>
                <w:color w:val="000000" w:themeColor="text1"/>
                <w:sz w:val="16"/>
                <w:szCs w:val="16"/>
              </w:rPr>
            </w:pPr>
          </w:p>
        </w:tc>
      </w:tr>
      <w:tr w:rsidR="001E2C69" w:rsidRPr="001E2C69" w14:paraId="493B4008" w14:textId="77777777" w:rsidTr="00CC5360">
        <w:tc>
          <w:tcPr>
            <w:tcW w:w="2802" w:type="dxa"/>
          </w:tcPr>
          <w:p w14:paraId="584C5EF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Максимальная бомбовая нагрузка</w:t>
            </w:r>
          </w:p>
        </w:tc>
        <w:tc>
          <w:tcPr>
            <w:tcW w:w="1984" w:type="dxa"/>
          </w:tcPr>
          <w:p w14:paraId="04E3B1C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Внутренняя подвеска:</w:t>
            </w:r>
          </w:p>
        </w:tc>
        <w:tc>
          <w:tcPr>
            <w:tcW w:w="2410" w:type="dxa"/>
          </w:tcPr>
          <w:p w14:paraId="2E26D6F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Внутренняя подвеска:</w:t>
            </w:r>
          </w:p>
        </w:tc>
        <w:tc>
          <w:tcPr>
            <w:tcW w:w="3402" w:type="dxa"/>
          </w:tcPr>
          <w:p w14:paraId="231073E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Внутренняя подвеска:</w:t>
            </w:r>
          </w:p>
        </w:tc>
      </w:tr>
      <w:tr w:rsidR="001E2C69" w:rsidRPr="001E2C69" w14:paraId="65AB1D29" w14:textId="77777777" w:rsidTr="00CC5360">
        <w:tc>
          <w:tcPr>
            <w:tcW w:w="2802" w:type="dxa"/>
          </w:tcPr>
          <w:p w14:paraId="011447F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кг</w:t>
            </w:r>
          </w:p>
        </w:tc>
        <w:tc>
          <w:tcPr>
            <w:tcW w:w="1984" w:type="dxa"/>
          </w:tcPr>
          <w:p w14:paraId="0219155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4хФАБ-100</w:t>
            </w:r>
          </w:p>
        </w:tc>
        <w:tc>
          <w:tcPr>
            <w:tcW w:w="2410" w:type="dxa"/>
          </w:tcPr>
          <w:p w14:paraId="175458D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6хФАБ-100</w:t>
            </w:r>
          </w:p>
        </w:tc>
        <w:tc>
          <w:tcPr>
            <w:tcW w:w="3402" w:type="dxa"/>
          </w:tcPr>
          <w:p w14:paraId="19E0F1D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5хФАБ-100</w:t>
            </w:r>
          </w:p>
        </w:tc>
      </w:tr>
      <w:tr w:rsidR="001E2C69" w:rsidRPr="001E2C69" w14:paraId="469D0EFA" w14:textId="77777777" w:rsidTr="00CC5360">
        <w:tc>
          <w:tcPr>
            <w:tcW w:w="2802" w:type="dxa"/>
          </w:tcPr>
          <w:p w14:paraId="708A91BC" w14:textId="77777777" w:rsidR="00AE7191" w:rsidRPr="001E2C69" w:rsidRDefault="00AE7191" w:rsidP="00722885">
            <w:pPr>
              <w:pStyle w:val="Iauiue"/>
              <w:jc w:val="both"/>
              <w:rPr>
                <w:color w:val="000000" w:themeColor="text1"/>
                <w:sz w:val="16"/>
                <w:szCs w:val="16"/>
              </w:rPr>
            </w:pPr>
          </w:p>
        </w:tc>
        <w:tc>
          <w:tcPr>
            <w:tcW w:w="1984" w:type="dxa"/>
          </w:tcPr>
          <w:p w14:paraId="0F05C7B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Наружная подвеска</w:t>
            </w:r>
          </w:p>
        </w:tc>
        <w:tc>
          <w:tcPr>
            <w:tcW w:w="2410" w:type="dxa"/>
          </w:tcPr>
          <w:p w14:paraId="6BCC93F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Наружная подвеска</w:t>
            </w:r>
          </w:p>
        </w:tc>
        <w:tc>
          <w:tcPr>
            <w:tcW w:w="3402" w:type="dxa"/>
          </w:tcPr>
          <w:p w14:paraId="22558A0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Наружная подвеска</w:t>
            </w:r>
          </w:p>
        </w:tc>
      </w:tr>
      <w:tr w:rsidR="001E2C69" w:rsidRPr="001E2C69" w14:paraId="06A7AF80" w14:textId="77777777" w:rsidTr="00CC5360">
        <w:tc>
          <w:tcPr>
            <w:tcW w:w="2802" w:type="dxa"/>
          </w:tcPr>
          <w:p w14:paraId="12545DE5" w14:textId="77777777" w:rsidR="00AE7191" w:rsidRPr="001E2C69" w:rsidRDefault="00AE7191" w:rsidP="00722885">
            <w:pPr>
              <w:pStyle w:val="Iauiue"/>
              <w:jc w:val="both"/>
              <w:rPr>
                <w:color w:val="000000" w:themeColor="text1"/>
                <w:sz w:val="16"/>
                <w:szCs w:val="16"/>
              </w:rPr>
            </w:pPr>
          </w:p>
        </w:tc>
        <w:tc>
          <w:tcPr>
            <w:tcW w:w="1984" w:type="dxa"/>
          </w:tcPr>
          <w:p w14:paraId="49A2E23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2хФАБ-100</w:t>
            </w:r>
          </w:p>
        </w:tc>
        <w:tc>
          <w:tcPr>
            <w:tcW w:w="2410" w:type="dxa"/>
          </w:tcPr>
          <w:p w14:paraId="08CC875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4х100</w:t>
            </w:r>
          </w:p>
        </w:tc>
        <w:tc>
          <w:tcPr>
            <w:tcW w:w="3402" w:type="dxa"/>
          </w:tcPr>
          <w:p w14:paraId="29719D2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4хФАБ-500</w:t>
            </w:r>
          </w:p>
        </w:tc>
      </w:tr>
      <w:tr w:rsidR="001E2C69" w:rsidRPr="001E2C69" w14:paraId="63D759B8" w14:textId="77777777" w:rsidTr="00CC5360">
        <w:tc>
          <w:tcPr>
            <w:tcW w:w="2802" w:type="dxa"/>
          </w:tcPr>
          <w:p w14:paraId="6A048768" w14:textId="77777777" w:rsidR="00AE7191" w:rsidRPr="001E2C69" w:rsidRDefault="00AE7191" w:rsidP="00722885">
            <w:pPr>
              <w:pStyle w:val="Iauiue"/>
              <w:jc w:val="both"/>
              <w:rPr>
                <w:color w:val="000000" w:themeColor="text1"/>
                <w:sz w:val="16"/>
                <w:szCs w:val="16"/>
              </w:rPr>
            </w:pPr>
          </w:p>
        </w:tc>
        <w:tc>
          <w:tcPr>
            <w:tcW w:w="1984" w:type="dxa"/>
          </w:tcPr>
          <w:p w14:paraId="4ACB8CA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Всего 600 кг</w:t>
            </w:r>
          </w:p>
        </w:tc>
        <w:tc>
          <w:tcPr>
            <w:tcW w:w="2410" w:type="dxa"/>
          </w:tcPr>
          <w:p w14:paraId="7DE0B84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Всего 1000 кг</w:t>
            </w:r>
          </w:p>
        </w:tc>
        <w:tc>
          <w:tcPr>
            <w:tcW w:w="3402" w:type="dxa"/>
          </w:tcPr>
          <w:p w14:paraId="3109E65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Всего 2500 кг</w:t>
            </w:r>
          </w:p>
        </w:tc>
      </w:tr>
      <w:tr w:rsidR="001E2C69" w:rsidRPr="001E2C69" w14:paraId="0A00E583" w14:textId="77777777" w:rsidTr="00CC5360">
        <w:tc>
          <w:tcPr>
            <w:tcW w:w="2802" w:type="dxa"/>
          </w:tcPr>
          <w:p w14:paraId="5799E32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Мощность мотора в л.с.</w:t>
            </w:r>
          </w:p>
        </w:tc>
        <w:tc>
          <w:tcPr>
            <w:tcW w:w="1984" w:type="dxa"/>
          </w:tcPr>
          <w:p w14:paraId="45AD0E70" w14:textId="77777777" w:rsidR="00AE7191" w:rsidRPr="001E2C69" w:rsidRDefault="00AE7191" w:rsidP="00722885">
            <w:pPr>
              <w:pStyle w:val="Iauiue"/>
              <w:jc w:val="both"/>
              <w:rPr>
                <w:color w:val="000000" w:themeColor="text1"/>
                <w:sz w:val="16"/>
                <w:szCs w:val="16"/>
              </w:rPr>
            </w:pPr>
          </w:p>
        </w:tc>
        <w:tc>
          <w:tcPr>
            <w:tcW w:w="2410" w:type="dxa"/>
          </w:tcPr>
          <w:p w14:paraId="1B0FB768" w14:textId="77777777" w:rsidR="00AE7191" w:rsidRPr="001E2C69" w:rsidRDefault="00AE7191" w:rsidP="00722885">
            <w:pPr>
              <w:pStyle w:val="Iauiue"/>
              <w:jc w:val="both"/>
              <w:rPr>
                <w:color w:val="000000" w:themeColor="text1"/>
                <w:sz w:val="16"/>
                <w:szCs w:val="16"/>
              </w:rPr>
            </w:pPr>
          </w:p>
        </w:tc>
        <w:tc>
          <w:tcPr>
            <w:tcW w:w="3402" w:type="dxa"/>
          </w:tcPr>
          <w:p w14:paraId="44FBC6A8" w14:textId="77777777" w:rsidR="00AE7191" w:rsidRPr="001E2C69" w:rsidRDefault="00AE7191" w:rsidP="00722885">
            <w:pPr>
              <w:pStyle w:val="Iauiue"/>
              <w:jc w:val="both"/>
              <w:rPr>
                <w:color w:val="000000" w:themeColor="text1"/>
                <w:sz w:val="16"/>
                <w:szCs w:val="16"/>
              </w:rPr>
            </w:pPr>
          </w:p>
        </w:tc>
      </w:tr>
      <w:tr w:rsidR="001E2C69" w:rsidRPr="001E2C69" w14:paraId="68C0D7C8" w14:textId="77777777" w:rsidTr="00CC5360">
        <w:tc>
          <w:tcPr>
            <w:tcW w:w="2802" w:type="dxa"/>
          </w:tcPr>
          <w:p w14:paraId="5F719B3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у земли</w:t>
            </w:r>
          </w:p>
        </w:tc>
        <w:tc>
          <w:tcPr>
            <w:tcW w:w="1984" w:type="dxa"/>
          </w:tcPr>
          <w:p w14:paraId="245BA76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1500</w:t>
            </w:r>
          </w:p>
        </w:tc>
        <w:tc>
          <w:tcPr>
            <w:tcW w:w="2410" w:type="dxa"/>
          </w:tcPr>
          <w:p w14:paraId="6B31026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1020</w:t>
            </w:r>
          </w:p>
        </w:tc>
        <w:tc>
          <w:tcPr>
            <w:tcW w:w="3402" w:type="dxa"/>
          </w:tcPr>
          <w:p w14:paraId="52357B1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950</w:t>
            </w:r>
          </w:p>
        </w:tc>
      </w:tr>
      <w:tr w:rsidR="001E2C69" w:rsidRPr="001E2C69" w14:paraId="598DA6DB" w14:textId="77777777" w:rsidTr="00CC5360">
        <w:tc>
          <w:tcPr>
            <w:tcW w:w="2802" w:type="dxa"/>
          </w:tcPr>
          <w:p w14:paraId="4923021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 высоте</w:t>
            </w:r>
          </w:p>
        </w:tc>
        <w:tc>
          <w:tcPr>
            <w:tcW w:w="1984" w:type="dxa"/>
          </w:tcPr>
          <w:p w14:paraId="5F146F3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1500/1650</w:t>
            </w:r>
          </w:p>
        </w:tc>
        <w:tc>
          <w:tcPr>
            <w:tcW w:w="2410" w:type="dxa"/>
          </w:tcPr>
          <w:p w14:paraId="2DFC888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1050/4000</w:t>
            </w:r>
          </w:p>
        </w:tc>
        <w:tc>
          <w:tcPr>
            <w:tcW w:w="3402" w:type="dxa"/>
          </w:tcPr>
          <w:p w14:paraId="4C0E3ED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1000/6000</w:t>
            </w:r>
          </w:p>
        </w:tc>
      </w:tr>
      <w:tr w:rsidR="001E2C69" w:rsidRPr="001E2C69" w14:paraId="41043A4C" w14:textId="77777777" w:rsidTr="00CC5360">
        <w:tc>
          <w:tcPr>
            <w:tcW w:w="2802" w:type="dxa"/>
          </w:tcPr>
          <w:p w14:paraId="2A46F6D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Нормальный полетный вес</w:t>
            </w:r>
          </w:p>
        </w:tc>
        <w:tc>
          <w:tcPr>
            <w:tcW w:w="1984" w:type="dxa"/>
          </w:tcPr>
          <w:p w14:paraId="7F78D41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5670</w:t>
            </w:r>
          </w:p>
        </w:tc>
        <w:tc>
          <w:tcPr>
            <w:tcW w:w="2410" w:type="dxa"/>
          </w:tcPr>
          <w:p w14:paraId="596E9BA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7700</w:t>
            </w:r>
          </w:p>
        </w:tc>
        <w:tc>
          <w:tcPr>
            <w:tcW w:w="3402" w:type="dxa"/>
          </w:tcPr>
          <w:p w14:paraId="035723C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8033</w:t>
            </w:r>
          </w:p>
        </w:tc>
      </w:tr>
      <w:tr w:rsidR="001E2C69" w:rsidRPr="001E2C69" w14:paraId="28A32358" w14:textId="77777777" w:rsidTr="00CC5360">
        <w:tc>
          <w:tcPr>
            <w:tcW w:w="2802" w:type="dxa"/>
          </w:tcPr>
          <w:p w14:paraId="5A3D478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Запас горючего в кг</w:t>
            </w:r>
          </w:p>
        </w:tc>
        <w:tc>
          <w:tcPr>
            <w:tcW w:w="1984" w:type="dxa"/>
          </w:tcPr>
          <w:p w14:paraId="7BED0E2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540</w:t>
            </w:r>
          </w:p>
        </w:tc>
        <w:tc>
          <w:tcPr>
            <w:tcW w:w="2410" w:type="dxa"/>
          </w:tcPr>
          <w:p w14:paraId="5044FCC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700</w:t>
            </w:r>
          </w:p>
        </w:tc>
        <w:tc>
          <w:tcPr>
            <w:tcW w:w="3402" w:type="dxa"/>
          </w:tcPr>
          <w:p w14:paraId="01A16B6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750</w:t>
            </w:r>
          </w:p>
        </w:tc>
      </w:tr>
      <w:tr w:rsidR="001E2C69" w:rsidRPr="001E2C69" w14:paraId="1CC104A7" w14:textId="77777777" w:rsidTr="00CC5360">
        <w:tc>
          <w:tcPr>
            <w:tcW w:w="2802" w:type="dxa"/>
          </w:tcPr>
          <w:p w14:paraId="158FAC4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Полетный вес в перегрузочном</w:t>
            </w:r>
          </w:p>
        </w:tc>
        <w:tc>
          <w:tcPr>
            <w:tcW w:w="1984" w:type="dxa"/>
          </w:tcPr>
          <w:p w14:paraId="43D105C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5870</w:t>
            </w:r>
          </w:p>
        </w:tc>
        <w:tc>
          <w:tcPr>
            <w:tcW w:w="2410" w:type="dxa"/>
          </w:tcPr>
          <w:p w14:paraId="44D8A88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8700</w:t>
            </w:r>
          </w:p>
        </w:tc>
        <w:tc>
          <w:tcPr>
            <w:tcW w:w="3402" w:type="dxa"/>
          </w:tcPr>
          <w:p w14:paraId="46C55E5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10153</w:t>
            </w:r>
          </w:p>
        </w:tc>
      </w:tr>
      <w:tr w:rsidR="001E2C69" w:rsidRPr="001E2C69" w14:paraId="02ECB18A" w14:textId="77777777" w:rsidTr="00CC5360">
        <w:tc>
          <w:tcPr>
            <w:tcW w:w="2802" w:type="dxa"/>
          </w:tcPr>
          <w:p w14:paraId="33DC345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варианте в кг</w:t>
            </w:r>
          </w:p>
        </w:tc>
        <w:tc>
          <w:tcPr>
            <w:tcW w:w="1984" w:type="dxa"/>
          </w:tcPr>
          <w:p w14:paraId="21D1A862" w14:textId="77777777" w:rsidR="00AE7191" w:rsidRPr="001E2C69" w:rsidRDefault="00AE7191" w:rsidP="00722885">
            <w:pPr>
              <w:pStyle w:val="Iauiue"/>
              <w:jc w:val="both"/>
              <w:rPr>
                <w:color w:val="000000" w:themeColor="text1"/>
                <w:sz w:val="16"/>
                <w:szCs w:val="16"/>
              </w:rPr>
            </w:pPr>
          </w:p>
        </w:tc>
        <w:tc>
          <w:tcPr>
            <w:tcW w:w="2410" w:type="dxa"/>
          </w:tcPr>
          <w:p w14:paraId="03356DDB" w14:textId="77777777" w:rsidR="00AE7191" w:rsidRPr="001E2C69" w:rsidRDefault="00AE7191" w:rsidP="00722885">
            <w:pPr>
              <w:pStyle w:val="Iauiue"/>
              <w:jc w:val="both"/>
              <w:rPr>
                <w:color w:val="000000" w:themeColor="text1"/>
                <w:sz w:val="16"/>
                <w:szCs w:val="16"/>
              </w:rPr>
            </w:pPr>
          </w:p>
        </w:tc>
        <w:tc>
          <w:tcPr>
            <w:tcW w:w="3402" w:type="dxa"/>
          </w:tcPr>
          <w:p w14:paraId="33C40B27" w14:textId="77777777" w:rsidR="00AE7191" w:rsidRPr="001E2C69" w:rsidRDefault="00AE7191" w:rsidP="00722885">
            <w:pPr>
              <w:pStyle w:val="Iauiue"/>
              <w:jc w:val="both"/>
              <w:rPr>
                <w:color w:val="000000" w:themeColor="text1"/>
                <w:sz w:val="16"/>
                <w:szCs w:val="16"/>
              </w:rPr>
            </w:pPr>
          </w:p>
        </w:tc>
      </w:tr>
      <w:tr w:rsidR="001E2C69" w:rsidRPr="001E2C69" w14:paraId="61F479EB" w14:textId="77777777" w:rsidTr="00CC5360">
        <w:tc>
          <w:tcPr>
            <w:tcW w:w="2802" w:type="dxa"/>
          </w:tcPr>
          <w:p w14:paraId="4D63A17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Запас горючего при полностью</w:t>
            </w:r>
          </w:p>
        </w:tc>
        <w:tc>
          <w:tcPr>
            <w:tcW w:w="1984" w:type="dxa"/>
          </w:tcPr>
          <w:p w14:paraId="02375EF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540</w:t>
            </w:r>
          </w:p>
        </w:tc>
        <w:tc>
          <w:tcPr>
            <w:tcW w:w="2410" w:type="dxa"/>
          </w:tcPr>
          <w:p w14:paraId="2143857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1125</w:t>
            </w:r>
          </w:p>
        </w:tc>
        <w:tc>
          <w:tcPr>
            <w:tcW w:w="3402" w:type="dxa"/>
          </w:tcPr>
          <w:p w14:paraId="3665297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2750</w:t>
            </w:r>
          </w:p>
        </w:tc>
      </w:tr>
      <w:tr w:rsidR="001E2C69" w:rsidRPr="001E2C69" w14:paraId="2C590B53" w14:textId="77777777" w:rsidTr="00CC5360">
        <w:tc>
          <w:tcPr>
            <w:tcW w:w="2802" w:type="dxa"/>
          </w:tcPr>
          <w:p w14:paraId="7AF6155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залитых баках в кг</w:t>
            </w:r>
          </w:p>
        </w:tc>
        <w:tc>
          <w:tcPr>
            <w:tcW w:w="1984" w:type="dxa"/>
          </w:tcPr>
          <w:p w14:paraId="4D9DBD2A" w14:textId="77777777" w:rsidR="00AE7191" w:rsidRPr="001E2C69" w:rsidRDefault="00AE7191" w:rsidP="00722885">
            <w:pPr>
              <w:pStyle w:val="Iauiue"/>
              <w:jc w:val="both"/>
              <w:rPr>
                <w:color w:val="000000" w:themeColor="text1"/>
                <w:sz w:val="16"/>
                <w:szCs w:val="16"/>
              </w:rPr>
            </w:pPr>
          </w:p>
        </w:tc>
        <w:tc>
          <w:tcPr>
            <w:tcW w:w="2410" w:type="dxa"/>
          </w:tcPr>
          <w:p w14:paraId="376ED930" w14:textId="77777777" w:rsidR="00AE7191" w:rsidRPr="001E2C69" w:rsidRDefault="00AE7191" w:rsidP="00722885">
            <w:pPr>
              <w:pStyle w:val="Iauiue"/>
              <w:jc w:val="both"/>
              <w:rPr>
                <w:color w:val="000000" w:themeColor="text1"/>
                <w:sz w:val="16"/>
                <w:szCs w:val="16"/>
              </w:rPr>
            </w:pPr>
          </w:p>
        </w:tc>
        <w:tc>
          <w:tcPr>
            <w:tcW w:w="3402" w:type="dxa"/>
          </w:tcPr>
          <w:p w14:paraId="328ED39D" w14:textId="77777777" w:rsidR="00AE7191" w:rsidRPr="001E2C69" w:rsidRDefault="00AE7191" w:rsidP="00722885">
            <w:pPr>
              <w:pStyle w:val="Iauiue"/>
              <w:jc w:val="both"/>
              <w:rPr>
                <w:color w:val="000000" w:themeColor="text1"/>
                <w:sz w:val="16"/>
                <w:szCs w:val="16"/>
              </w:rPr>
            </w:pPr>
          </w:p>
        </w:tc>
      </w:tr>
      <w:tr w:rsidR="001E2C69" w:rsidRPr="001E2C69" w14:paraId="787A0ED6" w14:textId="77777777" w:rsidTr="00CC5360">
        <w:tc>
          <w:tcPr>
            <w:tcW w:w="2802" w:type="dxa"/>
          </w:tcPr>
          <w:p w14:paraId="6F14281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Практический потолок в м</w:t>
            </w:r>
          </w:p>
        </w:tc>
        <w:tc>
          <w:tcPr>
            <w:tcW w:w="1984" w:type="dxa"/>
          </w:tcPr>
          <w:p w14:paraId="735322B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6000</w:t>
            </w:r>
          </w:p>
        </w:tc>
        <w:tc>
          <w:tcPr>
            <w:tcW w:w="2410" w:type="dxa"/>
          </w:tcPr>
          <w:p w14:paraId="5767CC6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8800</w:t>
            </w:r>
          </w:p>
        </w:tc>
        <w:tc>
          <w:tcPr>
            <w:tcW w:w="3402" w:type="dxa"/>
          </w:tcPr>
          <w:p w14:paraId="44186F7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10000</w:t>
            </w:r>
          </w:p>
        </w:tc>
      </w:tr>
      <w:tr w:rsidR="001E2C69" w:rsidRPr="001E2C69" w14:paraId="1F924B2B" w14:textId="77777777" w:rsidTr="00CC5360">
        <w:tc>
          <w:tcPr>
            <w:tcW w:w="2802" w:type="dxa"/>
          </w:tcPr>
          <w:p w14:paraId="7D980E5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Время набора высоты 5000 м в мин.</w:t>
            </w:r>
          </w:p>
        </w:tc>
        <w:tc>
          <w:tcPr>
            <w:tcW w:w="1984" w:type="dxa"/>
          </w:tcPr>
          <w:p w14:paraId="4D6A2CE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16,6</w:t>
            </w:r>
          </w:p>
        </w:tc>
        <w:tc>
          <w:tcPr>
            <w:tcW w:w="2410" w:type="dxa"/>
          </w:tcPr>
          <w:p w14:paraId="7D48FD3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w:t>
            </w:r>
          </w:p>
        </w:tc>
        <w:tc>
          <w:tcPr>
            <w:tcW w:w="3402" w:type="dxa"/>
          </w:tcPr>
          <w:p w14:paraId="742737B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10,54</w:t>
            </w:r>
          </w:p>
        </w:tc>
      </w:tr>
      <w:tr w:rsidR="001E2C69" w:rsidRPr="001E2C69" w14:paraId="6A71C556" w14:textId="77777777" w:rsidTr="00CC5360">
        <w:tc>
          <w:tcPr>
            <w:tcW w:w="2802" w:type="dxa"/>
          </w:tcPr>
          <w:p w14:paraId="4A5A6DB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Посадочная скорость в км/час</w:t>
            </w:r>
          </w:p>
        </w:tc>
        <w:tc>
          <w:tcPr>
            <w:tcW w:w="1984" w:type="dxa"/>
          </w:tcPr>
          <w:p w14:paraId="0A2ED43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137</w:t>
            </w:r>
          </w:p>
        </w:tc>
        <w:tc>
          <w:tcPr>
            <w:tcW w:w="2410" w:type="dxa"/>
          </w:tcPr>
          <w:p w14:paraId="418F8B8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145</w:t>
            </w:r>
          </w:p>
        </w:tc>
        <w:tc>
          <w:tcPr>
            <w:tcW w:w="3402" w:type="dxa"/>
          </w:tcPr>
          <w:p w14:paraId="3AE7D20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125</w:t>
            </w:r>
          </w:p>
        </w:tc>
      </w:tr>
      <w:tr w:rsidR="001E2C69" w:rsidRPr="001E2C69" w14:paraId="066949D0" w14:textId="77777777" w:rsidTr="00CC5360">
        <w:tc>
          <w:tcPr>
            <w:tcW w:w="2802" w:type="dxa"/>
          </w:tcPr>
          <w:p w14:paraId="29AC702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Длина разбега в м</w:t>
            </w:r>
          </w:p>
        </w:tc>
        <w:tc>
          <w:tcPr>
            <w:tcW w:w="1984" w:type="dxa"/>
          </w:tcPr>
          <w:p w14:paraId="5758327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420 с форс. мотора</w:t>
            </w:r>
          </w:p>
        </w:tc>
        <w:tc>
          <w:tcPr>
            <w:tcW w:w="2410" w:type="dxa"/>
          </w:tcPr>
          <w:p w14:paraId="6D94909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445</w:t>
            </w:r>
          </w:p>
        </w:tc>
        <w:tc>
          <w:tcPr>
            <w:tcW w:w="3402" w:type="dxa"/>
          </w:tcPr>
          <w:p w14:paraId="777CB64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360</w:t>
            </w:r>
          </w:p>
        </w:tc>
      </w:tr>
      <w:tr w:rsidR="001E2C69" w:rsidRPr="001E2C69" w14:paraId="77F37384" w14:textId="77777777" w:rsidTr="00CC5360">
        <w:tc>
          <w:tcPr>
            <w:tcW w:w="2802" w:type="dxa"/>
          </w:tcPr>
          <w:p w14:paraId="104174D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Длина пробега в м</w:t>
            </w:r>
          </w:p>
        </w:tc>
        <w:tc>
          <w:tcPr>
            <w:tcW w:w="1984" w:type="dxa"/>
          </w:tcPr>
          <w:p w14:paraId="3A2B885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365</w:t>
            </w:r>
          </w:p>
        </w:tc>
        <w:tc>
          <w:tcPr>
            <w:tcW w:w="2410" w:type="dxa"/>
          </w:tcPr>
          <w:p w14:paraId="331A223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400</w:t>
            </w:r>
          </w:p>
        </w:tc>
        <w:tc>
          <w:tcPr>
            <w:tcW w:w="3402" w:type="dxa"/>
          </w:tcPr>
          <w:p w14:paraId="0CA02D3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400</w:t>
            </w:r>
          </w:p>
        </w:tc>
      </w:tr>
      <w:tr w:rsidR="001E2C69" w:rsidRPr="001E2C69" w14:paraId="664BA874" w14:textId="77777777" w:rsidTr="00CC5360">
        <w:tc>
          <w:tcPr>
            <w:tcW w:w="2802" w:type="dxa"/>
          </w:tcPr>
          <w:p w14:paraId="51A3754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Нагрузка на кв. метр крыла при</w:t>
            </w:r>
          </w:p>
        </w:tc>
        <w:tc>
          <w:tcPr>
            <w:tcW w:w="1984" w:type="dxa"/>
          </w:tcPr>
          <w:p w14:paraId="06D80FF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148</w:t>
            </w:r>
          </w:p>
        </w:tc>
        <w:tc>
          <w:tcPr>
            <w:tcW w:w="2410" w:type="dxa"/>
          </w:tcPr>
          <w:p w14:paraId="29E986B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188,5</w:t>
            </w:r>
          </w:p>
        </w:tc>
        <w:tc>
          <w:tcPr>
            <w:tcW w:w="3402" w:type="dxa"/>
          </w:tcPr>
          <w:p w14:paraId="7EE3053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120</w:t>
            </w:r>
          </w:p>
        </w:tc>
      </w:tr>
      <w:tr w:rsidR="001E2C69" w:rsidRPr="001E2C69" w14:paraId="4EC5EA70" w14:textId="77777777" w:rsidTr="00CC5360">
        <w:tc>
          <w:tcPr>
            <w:tcW w:w="2802" w:type="dxa"/>
            <w:tcBorders>
              <w:bottom w:val="single" w:sz="12" w:space="0" w:color="auto"/>
            </w:tcBorders>
          </w:tcPr>
          <w:p w14:paraId="7F8A610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норм. Полетном весе в кг/ кв. м</w:t>
            </w:r>
          </w:p>
        </w:tc>
        <w:tc>
          <w:tcPr>
            <w:tcW w:w="1984" w:type="dxa"/>
            <w:tcBorders>
              <w:bottom w:val="single" w:sz="12" w:space="0" w:color="auto"/>
            </w:tcBorders>
          </w:tcPr>
          <w:p w14:paraId="7ABA13AC" w14:textId="77777777" w:rsidR="00AE7191" w:rsidRPr="001E2C69" w:rsidRDefault="00AE7191" w:rsidP="00722885">
            <w:pPr>
              <w:pStyle w:val="Iauiue"/>
              <w:jc w:val="both"/>
              <w:rPr>
                <w:color w:val="000000" w:themeColor="text1"/>
                <w:sz w:val="16"/>
                <w:szCs w:val="16"/>
              </w:rPr>
            </w:pPr>
          </w:p>
        </w:tc>
        <w:tc>
          <w:tcPr>
            <w:tcW w:w="2410" w:type="dxa"/>
            <w:tcBorders>
              <w:bottom w:val="single" w:sz="12" w:space="0" w:color="auto"/>
            </w:tcBorders>
          </w:tcPr>
          <w:p w14:paraId="4F91B9AD" w14:textId="77777777" w:rsidR="00AE7191" w:rsidRPr="001E2C69" w:rsidRDefault="00AE7191" w:rsidP="00722885">
            <w:pPr>
              <w:pStyle w:val="Iauiue"/>
              <w:jc w:val="both"/>
              <w:rPr>
                <w:color w:val="000000" w:themeColor="text1"/>
                <w:sz w:val="16"/>
                <w:szCs w:val="16"/>
              </w:rPr>
            </w:pPr>
          </w:p>
        </w:tc>
        <w:tc>
          <w:tcPr>
            <w:tcW w:w="3402" w:type="dxa"/>
            <w:tcBorders>
              <w:bottom w:val="single" w:sz="12" w:space="0" w:color="auto"/>
            </w:tcBorders>
          </w:tcPr>
          <w:p w14:paraId="248CF5FE" w14:textId="77777777" w:rsidR="00AE7191" w:rsidRPr="001E2C69" w:rsidRDefault="00AE7191" w:rsidP="00722885">
            <w:pPr>
              <w:pStyle w:val="Iauiue"/>
              <w:jc w:val="both"/>
              <w:rPr>
                <w:color w:val="000000" w:themeColor="text1"/>
                <w:sz w:val="16"/>
                <w:szCs w:val="16"/>
              </w:rPr>
            </w:pPr>
          </w:p>
        </w:tc>
      </w:tr>
    </w:tbl>
    <w:p w14:paraId="19BFAA6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 Истребительные 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1276"/>
        <w:gridCol w:w="1417"/>
        <w:gridCol w:w="1418"/>
        <w:gridCol w:w="1417"/>
        <w:gridCol w:w="1559"/>
        <w:gridCol w:w="1420"/>
      </w:tblGrid>
      <w:tr w:rsidR="001E2C69" w:rsidRPr="001E2C69" w14:paraId="4DEC79D6" w14:textId="77777777" w:rsidTr="00CC5360">
        <w:tc>
          <w:tcPr>
            <w:tcW w:w="2093" w:type="dxa"/>
            <w:tcBorders>
              <w:top w:val="single" w:sz="12" w:space="0" w:color="auto"/>
            </w:tcBorders>
          </w:tcPr>
          <w:p w14:paraId="68F7D6A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Название самолетов</w:t>
            </w:r>
          </w:p>
        </w:tc>
        <w:tc>
          <w:tcPr>
            <w:tcW w:w="1276" w:type="dxa"/>
            <w:tcBorders>
              <w:top w:val="single" w:sz="12" w:space="0" w:color="auto"/>
            </w:tcBorders>
          </w:tcPr>
          <w:p w14:paraId="06F1A95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Як-1 с М-105П</w:t>
            </w:r>
          </w:p>
        </w:tc>
        <w:tc>
          <w:tcPr>
            <w:tcW w:w="1417" w:type="dxa"/>
            <w:tcBorders>
              <w:top w:val="single" w:sz="12" w:space="0" w:color="auto"/>
            </w:tcBorders>
          </w:tcPr>
          <w:p w14:paraId="7FFA5A0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Як-7Б с М-105П</w:t>
            </w:r>
          </w:p>
        </w:tc>
        <w:tc>
          <w:tcPr>
            <w:tcW w:w="1418" w:type="dxa"/>
            <w:tcBorders>
              <w:top w:val="single" w:sz="12" w:space="0" w:color="auto"/>
            </w:tcBorders>
          </w:tcPr>
          <w:p w14:paraId="425D90B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Як-7Б с М-105П</w:t>
            </w:r>
          </w:p>
        </w:tc>
        <w:tc>
          <w:tcPr>
            <w:tcW w:w="1417" w:type="dxa"/>
            <w:tcBorders>
              <w:top w:val="single" w:sz="12" w:space="0" w:color="auto"/>
            </w:tcBorders>
          </w:tcPr>
          <w:p w14:paraId="1A84CCC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ЛАГГ-3 с М-105П</w:t>
            </w:r>
          </w:p>
        </w:tc>
        <w:tc>
          <w:tcPr>
            <w:tcW w:w="1559" w:type="dxa"/>
            <w:tcBorders>
              <w:top w:val="single" w:sz="12" w:space="0" w:color="auto"/>
            </w:tcBorders>
          </w:tcPr>
          <w:p w14:paraId="73B0355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МИГ-3 с АМ-35А</w:t>
            </w:r>
          </w:p>
        </w:tc>
        <w:tc>
          <w:tcPr>
            <w:tcW w:w="1420" w:type="dxa"/>
            <w:tcBorders>
              <w:top w:val="single" w:sz="12" w:space="0" w:color="auto"/>
            </w:tcBorders>
          </w:tcPr>
          <w:p w14:paraId="49FB6F5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ПЕ-3 с 2М-105</w:t>
            </w:r>
          </w:p>
        </w:tc>
      </w:tr>
      <w:tr w:rsidR="001E2C69" w:rsidRPr="001E2C69" w14:paraId="6208C1C0" w14:textId="77777777" w:rsidTr="00CC5360">
        <w:tc>
          <w:tcPr>
            <w:tcW w:w="2093" w:type="dxa"/>
          </w:tcPr>
          <w:p w14:paraId="040AD6E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Данные</w:t>
            </w:r>
          </w:p>
        </w:tc>
        <w:tc>
          <w:tcPr>
            <w:tcW w:w="1276" w:type="dxa"/>
          </w:tcPr>
          <w:p w14:paraId="2EE3B67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N 2029 з-да</w:t>
            </w:r>
          </w:p>
        </w:tc>
        <w:tc>
          <w:tcPr>
            <w:tcW w:w="1417" w:type="dxa"/>
          </w:tcPr>
          <w:p w14:paraId="70DC86F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эталон на 1942 г.</w:t>
            </w:r>
          </w:p>
        </w:tc>
        <w:tc>
          <w:tcPr>
            <w:tcW w:w="1418" w:type="dxa"/>
          </w:tcPr>
          <w:p w14:paraId="57329C5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повышенным</w:t>
            </w:r>
          </w:p>
        </w:tc>
        <w:tc>
          <w:tcPr>
            <w:tcW w:w="1417" w:type="dxa"/>
          </w:tcPr>
          <w:p w14:paraId="4BA514D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 серии N 3121715</w:t>
            </w:r>
          </w:p>
        </w:tc>
        <w:tc>
          <w:tcPr>
            <w:tcW w:w="1559" w:type="dxa"/>
          </w:tcPr>
          <w:p w14:paraId="171C73E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N 3943 с</w:t>
            </w:r>
          </w:p>
        </w:tc>
        <w:tc>
          <w:tcPr>
            <w:tcW w:w="1420" w:type="dxa"/>
          </w:tcPr>
          <w:p w14:paraId="39969CC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N5/33 зав. N 22</w:t>
            </w:r>
          </w:p>
        </w:tc>
      </w:tr>
      <w:tr w:rsidR="001E2C69" w:rsidRPr="001E2C69" w14:paraId="39D20D4F" w14:textId="77777777" w:rsidTr="00CC5360">
        <w:tc>
          <w:tcPr>
            <w:tcW w:w="2093" w:type="dxa"/>
          </w:tcPr>
          <w:p w14:paraId="04FDC596" w14:textId="77777777" w:rsidR="00AE7191" w:rsidRPr="001E2C69" w:rsidRDefault="00AE7191" w:rsidP="00722885">
            <w:pPr>
              <w:pStyle w:val="Iauiue"/>
              <w:jc w:val="both"/>
              <w:rPr>
                <w:color w:val="000000" w:themeColor="text1"/>
                <w:sz w:val="16"/>
                <w:szCs w:val="16"/>
              </w:rPr>
            </w:pPr>
          </w:p>
        </w:tc>
        <w:tc>
          <w:tcPr>
            <w:tcW w:w="1276" w:type="dxa"/>
          </w:tcPr>
          <w:p w14:paraId="1691AF0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N 292</w:t>
            </w:r>
          </w:p>
        </w:tc>
        <w:tc>
          <w:tcPr>
            <w:tcW w:w="1417" w:type="dxa"/>
          </w:tcPr>
          <w:p w14:paraId="6DF3BD4F" w14:textId="77777777" w:rsidR="00AE7191" w:rsidRPr="001E2C69" w:rsidRDefault="00AE7191" w:rsidP="00722885">
            <w:pPr>
              <w:pStyle w:val="Iauiue"/>
              <w:jc w:val="both"/>
              <w:rPr>
                <w:color w:val="000000" w:themeColor="text1"/>
                <w:sz w:val="16"/>
                <w:szCs w:val="16"/>
              </w:rPr>
            </w:pPr>
          </w:p>
        </w:tc>
        <w:tc>
          <w:tcPr>
            <w:tcW w:w="1418" w:type="dxa"/>
          </w:tcPr>
          <w:p w14:paraId="3AB27AE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наддувом)</w:t>
            </w:r>
          </w:p>
        </w:tc>
        <w:tc>
          <w:tcPr>
            <w:tcW w:w="1417" w:type="dxa"/>
          </w:tcPr>
          <w:p w14:paraId="6C20FB4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 N 21</w:t>
            </w:r>
          </w:p>
        </w:tc>
        <w:tc>
          <w:tcPr>
            <w:tcW w:w="1559" w:type="dxa"/>
          </w:tcPr>
          <w:p w14:paraId="4853CD9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 N 1</w:t>
            </w:r>
          </w:p>
        </w:tc>
        <w:tc>
          <w:tcPr>
            <w:tcW w:w="1420" w:type="dxa"/>
          </w:tcPr>
          <w:p w14:paraId="520235A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предкрылками</w:t>
            </w:r>
          </w:p>
        </w:tc>
      </w:tr>
      <w:tr w:rsidR="001E2C69" w:rsidRPr="001E2C69" w14:paraId="21056CF3" w14:textId="77777777" w:rsidTr="00CC5360">
        <w:tc>
          <w:tcPr>
            <w:tcW w:w="2093" w:type="dxa"/>
          </w:tcPr>
          <w:p w14:paraId="4A5552E9" w14:textId="77777777" w:rsidR="00AE7191" w:rsidRPr="001E2C69" w:rsidRDefault="00AE7191" w:rsidP="00722885">
            <w:pPr>
              <w:pStyle w:val="Iauiue"/>
              <w:jc w:val="both"/>
              <w:rPr>
                <w:color w:val="000000" w:themeColor="text1"/>
                <w:sz w:val="16"/>
                <w:szCs w:val="16"/>
              </w:rPr>
            </w:pPr>
          </w:p>
        </w:tc>
        <w:tc>
          <w:tcPr>
            <w:tcW w:w="1276" w:type="dxa"/>
          </w:tcPr>
          <w:p w14:paraId="465A8BDC" w14:textId="77777777" w:rsidR="00AE7191" w:rsidRPr="001E2C69" w:rsidRDefault="00AE7191" w:rsidP="00722885">
            <w:pPr>
              <w:pStyle w:val="Iauiue"/>
              <w:jc w:val="both"/>
              <w:rPr>
                <w:color w:val="000000" w:themeColor="text1"/>
                <w:sz w:val="16"/>
                <w:szCs w:val="16"/>
              </w:rPr>
            </w:pPr>
          </w:p>
        </w:tc>
        <w:tc>
          <w:tcPr>
            <w:tcW w:w="1417" w:type="dxa"/>
          </w:tcPr>
          <w:p w14:paraId="1AB4613F" w14:textId="77777777" w:rsidR="00AE7191" w:rsidRPr="001E2C69" w:rsidRDefault="00AE7191" w:rsidP="00722885">
            <w:pPr>
              <w:pStyle w:val="Iauiue"/>
              <w:jc w:val="both"/>
              <w:rPr>
                <w:color w:val="000000" w:themeColor="text1"/>
                <w:sz w:val="16"/>
                <w:szCs w:val="16"/>
              </w:rPr>
            </w:pPr>
          </w:p>
        </w:tc>
        <w:tc>
          <w:tcPr>
            <w:tcW w:w="1418" w:type="dxa"/>
          </w:tcPr>
          <w:p w14:paraId="15037E10" w14:textId="77777777" w:rsidR="00AE7191" w:rsidRPr="001E2C69" w:rsidRDefault="00AE7191" w:rsidP="00722885">
            <w:pPr>
              <w:pStyle w:val="Iauiue"/>
              <w:jc w:val="both"/>
              <w:rPr>
                <w:color w:val="000000" w:themeColor="text1"/>
                <w:sz w:val="16"/>
                <w:szCs w:val="16"/>
              </w:rPr>
            </w:pPr>
          </w:p>
        </w:tc>
        <w:tc>
          <w:tcPr>
            <w:tcW w:w="1417" w:type="dxa"/>
          </w:tcPr>
          <w:p w14:paraId="4207ECED" w14:textId="77777777" w:rsidR="00AE7191" w:rsidRPr="001E2C69" w:rsidRDefault="00AE7191" w:rsidP="00722885">
            <w:pPr>
              <w:pStyle w:val="Iauiue"/>
              <w:jc w:val="both"/>
              <w:rPr>
                <w:color w:val="000000" w:themeColor="text1"/>
                <w:sz w:val="16"/>
                <w:szCs w:val="16"/>
              </w:rPr>
            </w:pPr>
          </w:p>
        </w:tc>
        <w:tc>
          <w:tcPr>
            <w:tcW w:w="1559" w:type="dxa"/>
          </w:tcPr>
          <w:p w14:paraId="45191404" w14:textId="77777777" w:rsidR="00AE7191" w:rsidRPr="001E2C69" w:rsidRDefault="00AE7191" w:rsidP="00722885">
            <w:pPr>
              <w:pStyle w:val="Iauiue"/>
              <w:jc w:val="both"/>
              <w:rPr>
                <w:color w:val="000000" w:themeColor="text1"/>
                <w:sz w:val="16"/>
                <w:szCs w:val="16"/>
              </w:rPr>
            </w:pPr>
          </w:p>
        </w:tc>
        <w:tc>
          <w:tcPr>
            <w:tcW w:w="1420" w:type="dxa"/>
          </w:tcPr>
          <w:p w14:paraId="6E21C813" w14:textId="77777777" w:rsidR="00AE7191" w:rsidRPr="001E2C69" w:rsidRDefault="00AE7191" w:rsidP="00722885">
            <w:pPr>
              <w:pStyle w:val="Iauiue"/>
              <w:jc w:val="both"/>
              <w:rPr>
                <w:color w:val="000000" w:themeColor="text1"/>
                <w:sz w:val="16"/>
                <w:szCs w:val="16"/>
              </w:rPr>
            </w:pPr>
          </w:p>
        </w:tc>
      </w:tr>
      <w:tr w:rsidR="001E2C69" w:rsidRPr="001E2C69" w14:paraId="7B54A0A2" w14:textId="77777777" w:rsidTr="00CC5360">
        <w:tc>
          <w:tcPr>
            <w:tcW w:w="2093" w:type="dxa"/>
          </w:tcPr>
          <w:p w14:paraId="68317D6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Скорость у земли с</w:t>
            </w:r>
          </w:p>
        </w:tc>
        <w:tc>
          <w:tcPr>
            <w:tcW w:w="1276" w:type="dxa"/>
          </w:tcPr>
          <w:p w14:paraId="4DA5553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471</w:t>
            </w:r>
          </w:p>
        </w:tc>
        <w:tc>
          <w:tcPr>
            <w:tcW w:w="1417" w:type="dxa"/>
          </w:tcPr>
          <w:p w14:paraId="5AC3665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500</w:t>
            </w:r>
          </w:p>
        </w:tc>
        <w:tc>
          <w:tcPr>
            <w:tcW w:w="1418" w:type="dxa"/>
          </w:tcPr>
          <w:p w14:paraId="153AE4E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520</w:t>
            </w:r>
          </w:p>
        </w:tc>
        <w:tc>
          <w:tcPr>
            <w:tcW w:w="1417" w:type="dxa"/>
          </w:tcPr>
          <w:p w14:paraId="0F6BAFE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457</w:t>
            </w:r>
          </w:p>
        </w:tc>
        <w:tc>
          <w:tcPr>
            <w:tcW w:w="1559" w:type="dxa"/>
          </w:tcPr>
          <w:p w14:paraId="3148302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466</w:t>
            </w:r>
          </w:p>
        </w:tc>
        <w:tc>
          <w:tcPr>
            <w:tcW w:w="1420" w:type="dxa"/>
          </w:tcPr>
          <w:p w14:paraId="396BE59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454</w:t>
            </w:r>
          </w:p>
        </w:tc>
      </w:tr>
      <w:tr w:rsidR="001E2C69" w:rsidRPr="001E2C69" w14:paraId="33275B9C" w14:textId="77777777" w:rsidTr="00CC5360">
        <w:tc>
          <w:tcPr>
            <w:tcW w:w="2093" w:type="dxa"/>
          </w:tcPr>
          <w:p w14:paraId="78A3569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закрытым фонарем</w:t>
            </w:r>
          </w:p>
        </w:tc>
        <w:tc>
          <w:tcPr>
            <w:tcW w:w="1276" w:type="dxa"/>
          </w:tcPr>
          <w:p w14:paraId="2D3CF249" w14:textId="77777777" w:rsidR="00AE7191" w:rsidRPr="001E2C69" w:rsidRDefault="00AE7191" w:rsidP="00722885">
            <w:pPr>
              <w:pStyle w:val="Iauiue"/>
              <w:jc w:val="both"/>
              <w:rPr>
                <w:color w:val="000000" w:themeColor="text1"/>
                <w:sz w:val="16"/>
                <w:szCs w:val="16"/>
              </w:rPr>
            </w:pPr>
          </w:p>
        </w:tc>
        <w:tc>
          <w:tcPr>
            <w:tcW w:w="1417" w:type="dxa"/>
          </w:tcPr>
          <w:p w14:paraId="1627ACDE" w14:textId="77777777" w:rsidR="00AE7191" w:rsidRPr="001E2C69" w:rsidRDefault="00AE7191" w:rsidP="00722885">
            <w:pPr>
              <w:pStyle w:val="Iauiue"/>
              <w:jc w:val="both"/>
              <w:rPr>
                <w:color w:val="000000" w:themeColor="text1"/>
                <w:sz w:val="16"/>
                <w:szCs w:val="16"/>
              </w:rPr>
            </w:pPr>
          </w:p>
        </w:tc>
        <w:tc>
          <w:tcPr>
            <w:tcW w:w="1418" w:type="dxa"/>
          </w:tcPr>
          <w:p w14:paraId="0B1F8C08" w14:textId="77777777" w:rsidR="00AE7191" w:rsidRPr="001E2C69" w:rsidRDefault="00AE7191" w:rsidP="00722885">
            <w:pPr>
              <w:pStyle w:val="Iauiue"/>
              <w:jc w:val="both"/>
              <w:rPr>
                <w:color w:val="000000" w:themeColor="text1"/>
                <w:sz w:val="16"/>
                <w:szCs w:val="16"/>
              </w:rPr>
            </w:pPr>
          </w:p>
        </w:tc>
        <w:tc>
          <w:tcPr>
            <w:tcW w:w="1417" w:type="dxa"/>
          </w:tcPr>
          <w:p w14:paraId="544BB80A" w14:textId="77777777" w:rsidR="00AE7191" w:rsidRPr="001E2C69" w:rsidRDefault="00AE7191" w:rsidP="00722885">
            <w:pPr>
              <w:pStyle w:val="Iauiue"/>
              <w:jc w:val="both"/>
              <w:rPr>
                <w:color w:val="000000" w:themeColor="text1"/>
                <w:sz w:val="16"/>
                <w:szCs w:val="16"/>
              </w:rPr>
            </w:pPr>
          </w:p>
        </w:tc>
        <w:tc>
          <w:tcPr>
            <w:tcW w:w="1559" w:type="dxa"/>
          </w:tcPr>
          <w:p w14:paraId="77E04D1E" w14:textId="77777777" w:rsidR="00AE7191" w:rsidRPr="001E2C69" w:rsidRDefault="00AE7191" w:rsidP="00722885">
            <w:pPr>
              <w:pStyle w:val="Iauiue"/>
              <w:jc w:val="both"/>
              <w:rPr>
                <w:color w:val="000000" w:themeColor="text1"/>
                <w:sz w:val="16"/>
                <w:szCs w:val="16"/>
              </w:rPr>
            </w:pPr>
          </w:p>
        </w:tc>
        <w:tc>
          <w:tcPr>
            <w:tcW w:w="1420" w:type="dxa"/>
          </w:tcPr>
          <w:p w14:paraId="72FB70E8" w14:textId="77777777" w:rsidR="00AE7191" w:rsidRPr="001E2C69" w:rsidRDefault="00AE7191" w:rsidP="00722885">
            <w:pPr>
              <w:pStyle w:val="Iauiue"/>
              <w:jc w:val="both"/>
              <w:rPr>
                <w:color w:val="000000" w:themeColor="text1"/>
                <w:sz w:val="16"/>
                <w:szCs w:val="16"/>
              </w:rPr>
            </w:pPr>
          </w:p>
        </w:tc>
      </w:tr>
      <w:tr w:rsidR="001E2C69" w:rsidRPr="001E2C69" w14:paraId="207905B2" w14:textId="77777777" w:rsidTr="00CC5360">
        <w:tc>
          <w:tcPr>
            <w:tcW w:w="2093" w:type="dxa"/>
          </w:tcPr>
          <w:p w14:paraId="07F235B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Скорость у земли с</w:t>
            </w:r>
          </w:p>
        </w:tc>
        <w:tc>
          <w:tcPr>
            <w:tcW w:w="1276" w:type="dxa"/>
          </w:tcPr>
          <w:p w14:paraId="72041A6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560/4800</w:t>
            </w:r>
          </w:p>
        </w:tc>
        <w:tc>
          <w:tcPr>
            <w:tcW w:w="1417" w:type="dxa"/>
          </w:tcPr>
          <w:p w14:paraId="2275C89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580/4850</w:t>
            </w:r>
          </w:p>
        </w:tc>
        <w:tc>
          <w:tcPr>
            <w:tcW w:w="1418" w:type="dxa"/>
          </w:tcPr>
          <w:p w14:paraId="1B9D4DB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585/4200</w:t>
            </w:r>
          </w:p>
        </w:tc>
        <w:tc>
          <w:tcPr>
            <w:tcW w:w="1417" w:type="dxa"/>
          </w:tcPr>
          <w:p w14:paraId="7CBACE1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535/5000</w:t>
            </w:r>
          </w:p>
        </w:tc>
        <w:tc>
          <w:tcPr>
            <w:tcW w:w="1559" w:type="dxa"/>
          </w:tcPr>
          <w:p w14:paraId="2581A1E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615/7800</w:t>
            </w:r>
          </w:p>
        </w:tc>
        <w:tc>
          <w:tcPr>
            <w:tcW w:w="1420" w:type="dxa"/>
          </w:tcPr>
          <w:p w14:paraId="792BCD8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540/5000</w:t>
            </w:r>
          </w:p>
        </w:tc>
      </w:tr>
      <w:tr w:rsidR="001E2C69" w:rsidRPr="001E2C69" w14:paraId="73C9CA2B" w14:textId="77777777" w:rsidTr="00CC5360">
        <w:tc>
          <w:tcPr>
            <w:tcW w:w="2093" w:type="dxa"/>
          </w:tcPr>
          <w:p w14:paraId="5DDC3A2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закрытым фонарем без</w:t>
            </w:r>
          </w:p>
        </w:tc>
        <w:tc>
          <w:tcPr>
            <w:tcW w:w="1276" w:type="dxa"/>
          </w:tcPr>
          <w:p w14:paraId="64AEF43B" w14:textId="77777777" w:rsidR="00AE7191" w:rsidRPr="001E2C69" w:rsidRDefault="00AE7191" w:rsidP="00722885">
            <w:pPr>
              <w:pStyle w:val="Iauiue"/>
              <w:jc w:val="both"/>
              <w:rPr>
                <w:color w:val="000000" w:themeColor="text1"/>
                <w:sz w:val="16"/>
                <w:szCs w:val="16"/>
              </w:rPr>
            </w:pPr>
          </w:p>
        </w:tc>
        <w:tc>
          <w:tcPr>
            <w:tcW w:w="1417" w:type="dxa"/>
          </w:tcPr>
          <w:p w14:paraId="26DC5905" w14:textId="77777777" w:rsidR="00AE7191" w:rsidRPr="001E2C69" w:rsidRDefault="00AE7191" w:rsidP="00722885">
            <w:pPr>
              <w:pStyle w:val="Iauiue"/>
              <w:jc w:val="both"/>
              <w:rPr>
                <w:color w:val="000000" w:themeColor="text1"/>
                <w:sz w:val="16"/>
                <w:szCs w:val="16"/>
              </w:rPr>
            </w:pPr>
          </w:p>
        </w:tc>
        <w:tc>
          <w:tcPr>
            <w:tcW w:w="1418" w:type="dxa"/>
          </w:tcPr>
          <w:p w14:paraId="6E4FE9A2" w14:textId="77777777" w:rsidR="00AE7191" w:rsidRPr="001E2C69" w:rsidRDefault="00AE7191" w:rsidP="00722885">
            <w:pPr>
              <w:pStyle w:val="Iauiue"/>
              <w:jc w:val="both"/>
              <w:rPr>
                <w:color w:val="000000" w:themeColor="text1"/>
                <w:sz w:val="16"/>
                <w:szCs w:val="16"/>
              </w:rPr>
            </w:pPr>
          </w:p>
        </w:tc>
        <w:tc>
          <w:tcPr>
            <w:tcW w:w="1417" w:type="dxa"/>
          </w:tcPr>
          <w:p w14:paraId="0AC2DD5F" w14:textId="77777777" w:rsidR="00AE7191" w:rsidRPr="001E2C69" w:rsidRDefault="00AE7191" w:rsidP="00722885">
            <w:pPr>
              <w:pStyle w:val="Iauiue"/>
              <w:jc w:val="both"/>
              <w:rPr>
                <w:color w:val="000000" w:themeColor="text1"/>
                <w:sz w:val="16"/>
                <w:szCs w:val="16"/>
              </w:rPr>
            </w:pPr>
          </w:p>
        </w:tc>
        <w:tc>
          <w:tcPr>
            <w:tcW w:w="1559" w:type="dxa"/>
          </w:tcPr>
          <w:p w14:paraId="70B3402E" w14:textId="77777777" w:rsidR="00AE7191" w:rsidRPr="001E2C69" w:rsidRDefault="00AE7191" w:rsidP="00722885">
            <w:pPr>
              <w:pStyle w:val="Iauiue"/>
              <w:jc w:val="both"/>
              <w:rPr>
                <w:color w:val="000000" w:themeColor="text1"/>
                <w:sz w:val="16"/>
                <w:szCs w:val="16"/>
              </w:rPr>
            </w:pPr>
          </w:p>
        </w:tc>
        <w:tc>
          <w:tcPr>
            <w:tcW w:w="1420" w:type="dxa"/>
          </w:tcPr>
          <w:p w14:paraId="27B2072B" w14:textId="77777777" w:rsidR="00AE7191" w:rsidRPr="001E2C69" w:rsidRDefault="00AE7191" w:rsidP="00722885">
            <w:pPr>
              <w:pStyle w:val="Iauiue"/>
              <w:jc w:val="both"/>
              <w:rPr>
                <w:color w:val="000000" w:themeColor="text1"/>
                <w:sz w:val="16"/>
                <w:szCs w:val="16"/>
              </w:rPr>
            </w:pPr>
          </w:p>
        </w:tc>
      </w:tr>
      <w:tr w:rsidR="001E2C69" w:rsidRPr="001E2C69" w14:paraId="51287D1D" w14:textId="77777777" w:rsidTr="00CC5360">
        <w:tc>
          <w:tcPr>
            <w:tcW w:w="2093" w:type="dxa"/>
          </w:tcPr>
          <w:p w14:paraId="1F5DD3C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Дальность с нормальн.</w:t>
            </w:r>
          </w:p>
        </w:tc>
        <w:tc>
          <w:tcPr>
            <w:tcW w:w="1276" w:type="dxa"/>
          </w:tcPr>
          <w:p w14:paraId="6D91379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700 на скорости</w:t>
            </w:r>
          </w:p>
        </w:tc>
        <w:tc>
          <w:tcPr>
            <w:tcW w:w="1417" w:type="dxa"/>
          </w:tcPr>
          <w:p w14:paraId="770EFA6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700 на скорости</w:t>
            </w:r>
          </w:p>
        </w:tc>
        <w:tc>
          <w:tcPr>
            <w:tcW w:w="1418" w:type="dxa"/>
          </w:tcPr>
          <w:p w14:paraId="14A8BA7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w:t>
            </w:r>
          </w:p>
        </w:tc>
        <w:tc>
          <w:tcPr>
            <w:tcW w:w="1417" w:type="dxa"/>
          </w:tcPr>
          <w:p w14:paraId="2805ABD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705 на скорости</w:t>
            </w:r>
          </w:p>
        </w:tc>
        <w:tc>
          <w:tcPr>
            <w:tcW w:w="1559" w:type="dxa"/>
          </w:tcPr>
          <w:p w14:paraId="7C9D22D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628 на скорости</w:t>
            </w:r>
          </w:p>
        </w:tc>
        <w:tc>
          <w:tcPr>
            <w:tcW w:w="1420" w:type="dxa"/>
          </w:tcPr>
          <w:p w14:paraId="334DF7C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1780 на скорости</w:t>
            </w:r>
          </w:p>
        </w:tc>
      </w:tr>
      <w:tr w:rsidR="001E2C69" w:rsidRPr="001E2C69" w14:paraId="41F396E7" w14:textId="77777777" w:rsidTr="00CC5360">
        <w:tc>
          <w:tcPr>
            <w:tcW w:w="2093" w:type="dxa"/>
          </w:tcPr>
          <w:p w14:paraId="1954B53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полетным весом в км</w:t>
            </w:r>
          </w:p>
        </w:tc>
        <w:tc>
          <w:tcPr>
            <w:tcW w:w="1276" w:type="dxa"/>
          </w:tcPr>
          <w:p w14:paraId="61B936E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0,9 от макс. на</w:t>
            </w:r>
          </w:p>
        </w:tc>
        <w:tc>
          <w:tcPr>
            <w:tcW w:w="1417" w:type="dxa"/>
          </w:tcPr>
          <w:p w14:paraId="197D1F8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0,9 от макс. на</w:t>
            </w:r>
          </w:p>
        </w:tc>
        <w:tc>
          <w:tcPr>
            <w:tcW w:w="1418" w:type="dxa"/>
          </w:tcPr>
          <w:p w14:paraId="702F5A6D" w14:textId="77777777" w:rsidR="00AE7191" w:rsidRPr="001E2C69" w:rsidRDefault="00AE7191" w:rsidP="00722885">
            <w:pPr>
              <w:pStyle w:val="Iauiue"/>
              <w:jc w:val="both"/>
              <w:rPr>
                <w:color w:val="000000" w:themeColor="text1"/>
                <w:sz w:val="16"/>
                <w:szCs w:val="16"/>
              </w:rPr>
            </w:pPr>
          </w:p>
        </w:tc>
        <w:tc>
          <w:tcPr>
            <w:tcW w:w="1417" w:type="dxa"/>
          </w:tcPr>
          <w:p w14:paraId="63AD066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0,9 от макс. на</w:t>
            </w:r>
          </w:p>
        </w:tc>
        <w:tc>
          <w:tcPr>
            <w:tcW w:w="1559" w:type="dxa"/>
          </w:tcPr>
          <w:p w14:paraId="7FDA779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0,9 от макс. на</w:t>
            </w:r>
          </w:p>
        </w:tc>
        <w:tc>
          <w:tcPr>
            <w:tcW w:w="1420" w:type="dxa"/>
          </w:tcPr>
          <w:p w14:paraId="7B2B29E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0,8 от макс. на</w:t>
            </w:r>
          </w:p>
        </w:tc>
      </w:tr>
      <w:tr w:rsidR="001E2C69" w:rsidRPr="001E2C69" w14:paraId="207BCA37" w14:textId="77777777" w:rsidTr="00CC5360">
        <w:tc>
          <w:tcPr>
            <w:tcW w:w="2093" w:type="dxa"/>
          </w:tcPr>
          <w:p w14:paraId="38F0EBDE" w14:textId="77777777" w:rsidR="00AE7191" w:rsidRPr="001E2C69" w:rsidRDefault="00AE7191" w:rsidP="00722885">
            <w:pPr>
              <w:pStyle w:val="Iauiue"/>
              <w:jc w:val="both"/>
              <w:rPr>
                <w:color w:val="000000" w:themeColor="text1"/>
                <w:sz w:val="16"/>
                <w:szCs w:val="16"/>
              </w:rPr>
            </w:pPr>
          </w:p>
        </w:tc>
        <w:tc>
          <w:tcPr>
            <w:tcW w:w="1276" w:type="dxa"/>
          </w:tcPr>
          <w:p w14:paraId="0D95763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высоте 5000 м</w:t>
            </w:r>
          </w:p>
        </w:tc>
        <w:tc>
          <w:tcPr>
            <w:tcW w:w="1417" w:type="dxa"/>
          </w:tcPr>
          <w:p w14:paraId="39E522A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высоте 5000 м</w:t>
            </w:r>
          </w:p>
        </w:tc>
        <w:tc>
          <w:tcPr>
            <w:tcW w:w="1418" w:type="dxa"/>
          </w:tcPr>
          <w:p w14:paraId="266E3DA0" w14:textId="77777777" w:rsidR="00AE7191" w:rsidRPr="001E2C69" w:rsidRDefault="00AE7191" w:rsidP="00722885">
            <w:pPr>
              <w:pStyle w:val="Iauiue"/>
              <w:jc w:val="both"/>
              <w:rPr>
                <w:color w:val="000000" w:themeColor="text1"/>
                <w:sz w:val="16"/>
                <w:szCs w:val="16"/>
              </w:rPr>
            </w:pPr>
          </w:p>
        </w:tc>
        <w:tc>
          <w:tcPr>
            <w:tcW w:w="1417" w:type="dxa"/>
          </w:tcPr>
          <w:p w14:paraId="6E3EF35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высоте 4700 м</w:t>
            </w:r>
          </w:p>
        </w:tc>
        <w:tc>
          <w:tcPr>
            <w:tcW w:w="1559" w:type="dxa"/>
          </w:tcPr>
          <w:p w14:paraId="000B71F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 высоте 7250 м</w:t>
            </w:r>
          </w:p>
        </w:tc>
        <w:tc>
          <w:tcPr>
            <w:tcW w:w="1420" w:type="dxa"/>
          </w:tcPr>
          <w:p w14:paraId="521F93F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высоте 4000 м</w:t>
            </w:r>
          </w:p>
        </w:tc>
      </w:tr>
      <w:tr w:rsidR="001E2C69" w:rsidRPr="001E2C69" w14:paraId="2F5E2866" w14:textId="77777777" w:rsidTr="00CC5360">
        <w:tc>
          <w:tcPr>
            <w:tcW w:w="2093" w:type="dxa"/>
          </w:tcPr>
          <w:p w14:paraId="48096789" w14:textId="77777777" w:rsidR="00AE7191" w:rsidRPr="001E2C69" w:rsidRDefault="00AE7191" w:rsidP="00722885">
            <w:pPr>
              <w:pStyle w:val="Iauiue"/>
              <w:jc w:val="both"/>
              <w:rPr>
                <w:color w:val="000000" w:themeColor="text1"/>
                <w:sz w:val="16"/>
                <w:szCs w:val="16"/>
              </w:rPr>
            </w:pPr>
          </w:p>
        </w:tc>
        <w:tc>
          <w:tcPr>
            <w:tcW w:w="1276" w:type="dxa"/>
          </w:tcPr>
          <w:p w14:paraId="2BD5DE85" w14:textId="77777777" w:rsidR="00AE7191" w:rsidRPr="001E2C69" w:rsidRDefault="00AE7191" w:rsidP="00722885">
            <w:pPr>
              <w:pStyle w:val="Iauiue"/>
              <w:jc w:val="both"/>
              <w:rPr>
                <w:color w:val="000000" w:themeColor="text1"/>
                <w:sz w:val="16"/>
                <w:szCs w:val="16"/>
              </w:rPr>
            </w:pPr>
          </w:p>
        </w:tc>
        <w:tc>
          <w:tcPr>
            <w:tcW w:w="1417" w:type="dxa"/>
          </w:tcPr>
          <w:p w14:paraId="46C64F6F" w14:textId="77777777" w:rsidR="00AE7191" w:rsidRPr="001E2C69" w:rsidRDefault="00AE7191" w:rsidP="00722885">
            <w:pPr>
              <w:pStyle w:val="Iauiue"/>
              <w:jc w:val="both"/>
              <w:rPr>
                <w:color w:val="000000" w:themeColor="text1"/>
                <w:sz w:val="16"/>
                <w:szCs w:val="16"/>
              </w:rPr>
            </w:pPr>
          </w:p>
        </w:tc>
        <w:tc>
          <w:tcPr>
            <w:tcW w:w="1418" w:type="dxa"/>
          </w:tcPr>
          <w:p w14:paraId="40E23B3A" w14:textId="77777777" w:rsidR="00AE7191" w:rsidRPr="001E2C69" w:rsidRDefault="00AE7191" w:rsidP="00722885">
            <w:pPr>
              <w:pStyle w:val="Iauiue"/>
              <w:jc w:val="both"/>
              <w:rPr>
                <w:color w:val="000000" w:themeColor="text1"/>
                <w:sz w:val="16"/>
                <w:szCs w:val="16"/>
              </w:rPr>
            </w:pPr>
          </w:p>
        </w:tc>
        <w:tc>
          <w:tcPr>
            <w:tcW w:w="1417" w:type="dxa"/>
          </w:tcPr>
          <w:p w14:paraId="4206FB1C" w14:textId="77777777" w:rsidR="00AE7191" w:rsidRPr="001E2C69" w:rsidRDefault="00AE7191" w:rsidP="00722885">
            <w:pPr>
              <w:pStyle w:val="Iauiue"/>
              <w:jc w:val="both"/>
              <w:rPr>
                <w:color w:val="000000" w:themeColor="text1"/>
                <w:sz w:val="16"/>
                <w:szCs w:val="16"/>
              </w:rPr>
            </w:pPr>
          </w:p>
        </w:tc>
        <w:tc>
          <w:tcPr>
            <w:tcW w:w="1559" w:type="dxa"/>
          </w:tcPr>
          <w:p w14:paraId="20DC2F40" w14:textId="77777777" w:rsidR="00AE7191" w:rsidRPr="001E2C69" w:rsidRDefault="00AE7191" w:rsidP="00722885">
            <w:pPr>
              <w:pStyle w:val="Iauiue"/>
              <w:jc w:val="both"/>
              <w:rPr>
                <w:color w:val="000000" w:themeColor="text1"/>
                <w:sz w:val="16"/>
                <w:szCs w:val="16"/>
              </w:rPr>
            </w:pPr>
          </w:p>
        </w:tc>
        <w:tc>
          <w:tcPr>
            <w:tcW w:w="1420" w:type="dxa"/>
          </w:tcPr>
          <w:p w14:paraId="3A0D681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2100 на скорости</w:t>
            </w:r>
          </w:p>
        </w:tc>
      </w:tr>
      <w:tr w:rsidR="001E2C69" w:rsidRPr="001E2C69" w14:paraId="074B81D9" w14:textId="77777777" w:rsidTr="00CC5360">
        <w:tc>
          <w:tcPr>
            <w:tcW w:w="2093" w:type="dxa"/>
          </w:tcPr>
          <w:p w14:paraId="4A408AD3" w14:textId="77777777" w:rsidR="00AE7191" w:rsidRPr="001E2C69" w:rsidRDefault="00AE7191" w:rsidP="00722885">
            <w:pPr>
              <w:pStyle w:val="Iauiue"/>
              <w:jc w:val="both"/>
              <w:rPr>
                <w:color w:val="000000" w:themeColor="text1"/>
                <w:sz w:val="16"/>
                <w:szCs w:val="16"/>
              </w:rPr>
            </w:pPr>
          </w:p>
        </w:tc>
        <w:tc>
          <w:tcPr>
            <w:tcW w:w="1276" w:type="dxa"/>
          </w:tcPr>
          <w:p w14:paraId="291A9C37" w14:textId="77777777" w:rsidR="00AE7191" w:rsidRPr="001E2C69" w:rsidRDefault="00AE7191" w:rsidP="00722885">
            <w:pPr>
              <w:pStyle w:val="Iauiue"/>
              <w:jc w:val="both"/>
              <w:rPr>
                <w:color w:val="000000" w:themeColor="text1"/>
                <w:sz w:val="16"/>
                <w:szCs w:val="16"/>
              </w:rPr>
            </w:pPr>
          </w:p>
        </w:tc>
        <w:tc>
          <w:tcPr>
            <w:tcW w:w="1417" w:type="dxa"/>
          </w:tcPr>
          <w:p w14:paraId="7CE7C278" w14:textId="77777777" w:rsidR="00AE7191" w:rsidRPr="001E2C69" w:rsidRDefault="00AE7191" w:rsidP="00722885">
            <w:pPr>
              <w:pStyle w:val="Iauiue"/>
              <w:jc w:val="both"/>
              <w:rPr>
                <w:color w:val="000000" w:themeColor="text1"/>
                <w:sz w:val="16"/>
                <w:szCs w:val="16"/>
              </w:rPr>
            </w:pPr>
          </w:p>
        </w:tc>
        <w:tc>
          <w:tcPr>
            <w:tcW w:w="1418" w:type="dxa"/>
          </w:tcPr>
          <w:p w14:paraId="621C6349" w14:textId="77777777" w:rsidR="00AE7191" w:rsidRPr="001E2C69" w:rsidRDefault="00AE7191" w:rsidP="00722885">
            <w:pPr>
              <w:pStyle w:val="Iauiue"/>
              <w:jc w:val="both"/>
              <w:rPr>
                <w:color w:val="000000" w:themeColor="text1"/>
                <w:sz w:val="16"/>
                <w:szCs w:val="16"/>
              </w:rPr>
            </w:pPr>
          </w:p>
        </w:tc>
        <w:tc>
          <w:tcPr>
            <w:tcW w:w="1417" w:type="dxa"/>
          </w:tcPr>
          <w:p w14:paraId="7619E4B9" w14:textId="77777777" w:rsidR="00AE7191" w:rsidRPr="001E2C69" w:rsidRDefault="00AE7191" w:rsidP="00722885">
            <w:pPr>
              <w:pStyle w:val="Iauiue"/>
              <w:jc w:val="both"/>
              <w:rPr>
                <w:color w:val="000000" w:themeColor="text1"/>
                <w:sz w:val="16"/>
                <w:szCs w:val="16"/>
              </w:rPr>
            </w:pPr>
          </w:p>
        </w:tc>
        <w:tc>
          <w:tcPr>
            <w:tcW w:w="1559" w:type="dxa"/>
          </w:tcPr>
          <w:p w14:paraId="5A687B0D" w14:textId="77777777" w:rsidR="00AE7191" w:rsidRPr="001E2C69" w:rsidRDefault="00AE7191" w:rsidP="00722885">
            <w:pPr>
              <w:pStyle w:val="Iauiue"/>
              <w:jc w:val="both"/>
              <w:rPr>
                <w:color w:val="000000" w:themeColor="text1"/>
                <w:sz w:val="16"/>
                <w:szCs w:val="16"/>
              </w:rPr>
            </w:pPr>
          </w:p>
        </w:tc>
        <w:tc>
          <w:tcPr>
            <w:tcW w:w="1420" w:type="dxa"/>
          </w:tcPr>
          <w:p w14:paraId="754586A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0,8 от макс. на</w:t>
            </w:r>
          </w:p>
        </w:tc>
      </w:tr>
      <w:tr w:rsidR="001E2C69" w:rsidRPr="001E2C69" w14:paraId="1F974003" w14:textId="77777777" w:rsidTr="00CC5360">
        <w:tc>
          <w:tcPr>
            <w:tcW w:w="2093" w:type="dxa"/>
          </w:tcPr>
          <w:p w14:paraId="76C118E7" w14:textId="77777777" w:rsidR="00AE7191" w:rsidRPr="001E2C69" w:rsidRDefault="00AE7191" w:rsidP="00722885">
            <w:pPr>
              <w:pStyle w:val="Iauiue"/>
              <w:jc w:val="both"/>
              <w:rPr>
                <w:color w:val="000000" w:themeColor="text1"/>
                <w:sz w:val="16"/>
                <w:szCs w:val="16"/>
              </w:rPr>
            </w:pPr>
          </w:p>
        </w:tc>
        <w:tc>
          <w:tcPr>
            <w:tcW w:w="1276" w:type="dxa"/>
          </w:tcPr>
          <w:p w14:paraId="68E54329" w14:textId="77777777" w:rsidR="00AE7191" w:rsidRPr="001E2C69" w:rsidRDefault="00AE7191" w:rsidP="00722885">
            <w:pPr>
              <w:pStyle w:val="Iauiue"/>
              <w:jc w:val="both"/>
              <w:rPr>
                <w:color w:val="000000" w:themeColor="text1"/>
                <w:sz w:val="16"/>
                <w:szCs w:val="16"/>
              </w:rPr>
            </w:pPr>
          </w:p>
        </w:tc>
        <w:tc>
          <w:tcPr>
            <w:tcW w:w="1417" w:type="dxa"/>
          </w:tcPr>
          <w:p w14:paraId="3E4E75CE" w14:textId="77777777" w:rsidR="00AE7191" w:rsidRPr="001E2C69" w:rsidRDefault="00AE7191" w:rsidP="00722885">
            <w:pPr>
              <w:pStyle w:val="Iauiue"/>
              <w:jc w:val="both"/>
              <w:rPr>
                <w:color w:val="000000" w:themeColor="text1"/>
                <w:sz w:val="16"/>
                <w:szCs w:val="16"/>
              </w:rPr>
            </w:pPr>
          </w:p>
        </w:tc>
        <w:tc>
          <w:tcPr>
            <w:tcW w:w="1418" w:type="dxa"/>
          </w:tcPr>
          <w:p w14:paraId="630A279E" w14:textId="77777777" w:rsidR="00AE7191" w:rsidRPr="001E2C69" w:rsidRDefault="00AE7191" w:rsidP="00722885">
            <w:pPr>
              <w:pStyle w:val="Iauiue"/>
              <w:jc w:val="both"/>
              <w:rPr>
                <w:color w:val="000000" w:themeColor="text1"/>
                <w:sz w:val="16"/>
                <w:szCs w:val="16"/>
              </w:rPr>
            </w:pPr>
          </w:p>
        </w:tc>
        <w:tc>
          <w:tcPr>
            <w:tcW w:w="1417" w:type="dxa"/>
          </w:tcPr>
          <w:p w14:paraId="179EB2B1" w14:textId="77777777" w:rsidR="00AE7191" w:rsidRPr="001E2C69" w:rsidRDefault="00AE7191" w:rsidP="00722885">
            <w:pPr>
              <w:pStyle w:val="Iauiue"/>
              <w:jc w:val="both"/>
              <w:rPr>
                <w:color w:val="000000" w:themeColor="text1"/>
                <w:sz w:val="16"/>
                <w:szCs w:val="16"/>
              </w:rPr>
            </w:pPr>
          </w:p>
        </w:tc>
        <w:tc>
          <w:tcPr>
            <w:tcW w:w="1559" w:type="dxa"/>
          </w:tcPr>
          <w:p w14:paraId="3E39DF0E" w14:textId="77777777" w:rsidR="00AE7191" w:rsidRPr="001E2C69" w:rsidRDefault="00AE7191" w:rsidP="00722885">
            <w:pPr>
              <w:pStyle w:val="Iauiue"/>
              <w:jc w:val="both"/>
              <w:rPr>
                <w:color w:val="000000" w:themeColor="text1"/>
                <w:sz w:val="16"/>
                <w:szCs w:val="16"/>
              </w:rPr>
            </w:pPr>
          </w:p>
        </w:tc>
        <w:tc>
          <w:tcPr>
            <w:tcW w:w="1420" w:type="dxa"/>
          </w:tcPr>
          <w:p w14:paraId="4D2F031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высоте 4000 м с</w:t>
            </w:r>
          </w:p>
        </w:tc>
      </w:tr>
      <w:tr w:rsidR="001E2C69" w:rsidRPr="001E2C69" w14:paraId="6D8DB180" w14:textId="77777777" w:rsidTr="00CC5360">
        <w:tc>
          <w:tcPr>
            <w:tcW w:w="2093" w:type="dxa"/>
          </w:tcPr>
          <w:p w14:paraId="087F69B7" w14:textId="77777777" w:rsidR="00AE7191" w:rsidRPr="001E2C69" w:rsidRDefault="00AE7191" w:rsidP="00722885">
            <w:pPr>
              <w:pStyle w:val="Iauiue"/>
              <w:jc w:val="both"/>
              <w:rPr>
                <w:color w:val="000000" w:themeColor="text1"/>
                <w:sz w:val="16"/>
                <w:szCs w:val="16"/>
              </w:rPr>
            </w:pPr>
          </w:p>
        </w:tc>
        <w:tc>
          <w:tcPr>
            <w:tcW w:w="1276" w:type="dxa"/>
          </w:tcPr>
          <w:p w14:paraId="1B0754EB" w14:textId="77777777" w:rsidR="00AE7191" w:rsidRPr="001E2C69" w:rsidRDefault="00AE7191" w:rsidP="00722885">
            <w:pPr>
              <w:pStyle w:val="Iauiue"/>
              <w:jc w:val="both"/>
              <w:rPr>
                <w:color w:val="000000" w:themeColor="text1"/>
                <w:sz w:val="16"/>
                <w:szCs w:val="16"/>
              </w:rPr>
            </w:pPr>
          </w:p>
        </w:tc>
        <w:tc>
          <w:tcPr>
            <w:tcW w:w="1417" w:type="dxa"/>
          </w:tcPr>
          <w:p w14:paraId="03518122" w14:textId="77777777" w:rsidR="00AE7191" w:rsidRPr="001E2C69" w:rsidRDefault="00AE7191" w:rsidP="00722885">
            <w:pPr>
              <w:pStyle w:val="Iauiue"/>
              <w:jc w:val="both"/>
              <w:rPr>
                <w:color w:val="000000" w:themeColor="text1"/>
                <w:sz w:val="16"/>
                <w:szCs w:val="16"/>
              </w:rPr>
            </w:pPr>
          </w:p>
        </w:tc>
        <w:tc>
          <w:tcPr>
            <w:tcW w:w="1418" w:type="dxa"/>
          </w:tcPr>
          <w:p w14:paraId="68D3ACF2" w14:textId="77777777" w:rsidR="00AE7191" w:rsidRPr="001E2C69" w:rsidRDefault="00AE7191" w:rsidP="00722885">
            <w:pPr>
              <w:pStyle w:val="Iauiue"/>
              <w:jc w:val="both"/>
              <w:rPr>
                <w:color w:val="000000" w:themeColor="text1"/>
                <w:sz w:val="16"/>
                <w:szCs w:val="16"/>
              </w:rPr>
            </w:pPr>
          </w:p>
        </w:tc>
        <w:tc>
          <w:tcPr>
            <w:tcW w:w="1417" w:type="dxa"/>
          </w:tcPr>
          <w:p w14:paraId="1B9EB794" w14:textId="77777777" w:rsidR="00AE7191" w:rsidRPr="001E2C69" w:rsidRDefault="00AE7191" w:rsidP="00722885">
            <w:pPr>
              <w:pStyle w:val="Iauiue"/>
              <w:jc w:val="both"/>
              <w:rPr>
                <w:color w:val="000000" w:themeColor="text1"/>
                <w:sz w:val="16"/>
                <w:szCs w:val="16"/>
              </w:rPr>
            </w:pPr>
          </w:p>
        </w:tc>
        <w:tc>
          <w:tcPr>
            <w:tcW w:w="1559" w:type="dxa"/>
          </w:tcPr>
          <w:p w14:paraId="32F57651" w14:textId="77777777" w:rsidR="00AE7191" w:rsidRPr="001E2C69" w:rsidRDefault="00AE7191" w:rsidP="00722885">
            <w:pPr>
              <w:pStyle w:val="Iauiue"/>
              <w:jc w:val="both"/>
              <w:rPr>
                <w:color w:val="000000" w:themeColor="text1"/>
                <w:sz w:val="16"/>
                <w:szCs w:val="16"/>
              </w:rPr>
            </w:pPr>
          </w:p>
        </w:tc>
        <w:tc>
          <w:tcPr>
            <w:tcW w:w="1420" w:type="dxa"/>
          </w:tcPr>
          <w:p w14:paraId="0DC8DB3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подв. баками</w:t>
            </w:r>
          </w:p>
        </w:tc>
      </w:tr>
      <w:tr w:rsidR="001E2C69" w:rsidRPr="001E2C69" w14:paraId="597912AE" w14:textId="77777777" w:rsidTr="00CC5360">
        <w:tc>
          <w:tcPr>
            <w:tcW w:w="2093" w:type="dxa"/>
          </w:tcPr>
          <w:p w14:paraId="6FDF7F5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Стрелково-артиллерийское</w:t>
            </w:r>
          </w:p>
        </w:tc>
        <w:tc>
          <w:tcPr>
            <w:tcW w:w="1276" w:type="dxa"/>
          </w:tcPr>
          <w:p w14:paraId="6C2653B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пуш. кал. 20 мм</w:t>
            </w:r>
          </w:p>
        </w:tc>
        <w:tc>
          <w:tcPr>
            <w:tcW w:w="1417" w:type="dxa"/>
          </w:tcPr>
          <w:p w14:paraId="1566D5E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пуш. кал. 20 мм</w:t>
            </w:r>
          </w:p>
        </w:tc>
        <w:tc>
          <w:tcPr>
            <w:tcW w:w="1418" w:type="dxa"/>
          </w:tcPr>
          <w:p w14:paraId="2529800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пуш. кал. 20 мм</w:t>
            </w:r>
          </w:p>
        </w:tc>
        <w:tc>
          <w:tcPr>
            <w:tcW w:w="1417" w:type="dxa"/>
          </w:tcPr>
          <w:p w14:paraId="44203B7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пуш. кал. 20 мм</w:t>
            </w:r>
          </w:p>
        </w:tc>
        <w:tc>
          <w:tcPr>
            <w:tcW w:w="1559" w:type="dxa"/>
          </w:tcPr>
          <w:p w14:paraId="2397332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пул. кал. 12,7 мм</w:t>
            </w:r>
          </w:p>
        </w:tc>
        <w:tc>
          <w:tcPr>
            <w:tcW w:w="1420" w:type="dxa"/>
          </w:tcPr>
          <w:p w14:paraId="7A924BF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Вперед: 2 пуш. кал.</w:t>
            </w:r>
          </w:p>
        </w:tc>
      </w:tr>
      <w:tr w:rsidR="001E2C69" w:rsidRPr="001E2C69" w14:paraId="3B3C1BDB" w14:textId="77777777" w:rsidTr="00CC5360">
        <w:tc>
          <w:tcPr>
            <w:tcW w:w="2093" w:type="dxa"/>
          </w:tcPr>
          <w:p w14:paraId="14CE6FD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Вооружение</w:t>
            </w:r>
          </w:p>
        </w:tc>
        <w:tc>
          <w:tcPr>
            <w:tcW w:w="1276" w:type="dxa"/>
          </w:tcPr>
          <w:p w14:paraId="4EA60BC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снар. 120 шт.</w:t>
            </w:r>
          </w:p>
        </w:tc>
        <w:tc>
          <w:tcPr>
            <w:tcW w:w="1417" w:type="dxa"/>
          </w:tcPr>
          <w:p w14:paraId="531FE99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снар. 120 шт.</w:t>
            </w:r>
          </w:p>
        </w:tc>
        <w:tc>
          <w:tcPr>
            <w:tcW w:w="1418" w:type="dxa"/>
          </w:tcPr>
          <w:p w14:paraId="0A50A36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снар. 120 шт.</w:t>
            </w:r>
          </w:p>
        </w:tc>
        <w:tc>
          <w:tcPr>
            <w:tcW w:w="1417" w:type="dxa"/>
          </w:tcPr>
          <w:p w14:paraId="5298F7E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снар. 150 шт.</w:t>
            </w:r>
          </w:p>
        </w:tc>
        <w:tc>
          <w:tcPr>
            <w:tcW w:w="1559" w:type="dxa"/>
          </w:tcPr>
          <w:p w14:paraId="516AA10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патр. 300 шт.</w:t>
            </w:r>
          </w:p>
        </w:tc>
        <w:tc>
          <w:tcPr>
            <w:tcW w:w="1420" w:type="dxa"/>
          </w:tcPr>
          <w:p w14:paraId="02B029B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20мм, снар. 320 шт.</w:t>
            </w:r>
          </w:p>
        </w:tc>
      </w:tr>
      <w:tr w:rsidR="001E2C69" w:rsidRPr="001E2C69" w14:paraId="18BC74E2" w14:textId="77777777" w:rsidTr="00CC5360">
        <w:tc>
          <w:tcPr>
            <w:tcW w:w="2093" w:type="dxa"/>
          </w:tcPr>
          <w:p w14:paraId="0C056F04" w14:textId="77777777" w:rsidR="00AE7191" w:rsidRPr="001E2C69" w:rsidRDefault="00AE7191" w:rsidP="00722885">
            <w:pPr>
              <w:pStyle w:val="Iauiue"/>
              <w:jc w:val="both"/>
              <w:rPr>
                <w:color w:val="000000" w:themeColor="text1"/>
                <w:sz w:val="16"/>
                <w:szCs w:val="16"/>
              </w:rPr>
            </w:pPr>
          </w:p>
        </w:tc>
        <w:tc>
          <w:tcPr>
            <w:tcW w:w="1276" w:type="dxa"/>
          </w:tcPr>
          <w:p w14:paraId="4780976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пул. кал. 7,62 мм</w:t>
            </w:r>
          </w:p>
        </w:tc>
        <w:tc>
          <w:tcPr>
            <w:tcW w:w="1417" w:type="dxa"/>
          </w:tcPr>
          <w:p w14:paraId="2B3C8DE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пул. кал. 12,7 мм</w:t>
            </w:r>
          </w:p>
        </w:tc>
        <w:tc>
          <w:tcPr>
            <w:tcW w:w="1418" w:type="dxa"/>
          </w:tcPr>
          <w:p w14:paraId="4D1BAD3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пул. кал. 12,7 мм</w:t>
            </w:r>
          </w:p>
        </w:tc>
        <w:tc>
          <w:tcPr>
            <w:tcW w:w="1417" w:type="dxa"/>
          </w:tcPr>
          <w:p w14:paraId="39D0942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пул. кал. 12,7 мм</w:t>
            </w:r>
          </w:p>
        </w:tc>
        <w:tc>
          <w:tcPr>
            <w:tcW w:w="1559" w:type="dxa"/>
          </w:tcPr>
          <w:p w14:paraId="11CFB9F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пул. кал. 7,62 мм</w:t>
            </w:r>
          </w:p>
        </w:tc>
        <w:tc>
          <w:tcPr>
            <w:tcW w:w="1420" w:type="dxa"/>
          </w:tcPr>
          <w:p w14:paraId="691D010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пул. кал. 12,7 мм</w:t>
            </w:r>
          </w:p>
        </w:tc>
      </w:tr>
      <w:tr w:rsidR="001E2C69" w:rsidRPr="001E2C69" w14:paraId="30E4EA3E" w14:textId="77777777" w:rsidTr="00CC5360">
        <w:tc>
          <w:tcPr>
            <w:tcW w:w="2093" w:type="dxa"/>
          </w:tcPr>
          <w:p w14:paraId="10DCBCB3" w14:textId="77777777" w:rsidR="00AE7191" w:rsidRPr="001E2C69" w:rsidRDefault="00AE7191" w:rsidP="00722885">
            <w:pPr>
              <w:pStyle w:val="Iauiue"/>
              <w:jc w:val="both"/>
              <w:rPr>
                <w:color w:val="000000" w:themeColor="text1"/>
                <w:sz w:val="16"/>
                <w:szCs w:val="16"/>
              </w:rPr>
            </w:pPr>
          </w:p>
        </w:tc>
        <w:tc>
          <w:tcPr>
            <w:tcW w:w="1276" w:type="dxa"/>
          </w:tcPr>
          <w:p w14:paraId="7F3FD42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патр. 1500 шт.</w:t>
            </w:r>
          </w:p>
        </w:tc>
        <w:tc>
          <w:tcPr>
            <w:tcW w:w="1417" w:type="dxa"/>
          </w:tcPr>
          <w:p w14:paraId="4EBAADB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патр. 400 шт.</w:t>
            </w:r>
          </w:p>
        </w:tc>
        <w:tc>
          <w:tcPr>
            <w:tcW w:w="1418" w:type="dxa"/>
          </w:tcPr>
          <w:p w14:paraId="6AA62AC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патр. 400 шт.</w:t>
            </w:r>
          </w:p>
        </w:tc>
        <w:tc>
          <w:tcPr>
            <w:tcW w:w="1417" w:type="dxa"/>
          </w:tcPr>
          <w:p w14:paraId="03C3049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патр. 200 шт.</w:t>
            </w:r>
          </w:p>
        </w:tc>
        <w:tc>
          <w:tcPr>
            <w:tcW w:w="1559" w:type="dxa"/>
          </w:tcPr>
          <w:p w14:paraId="6B93932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патр. 1500 шт.</w:t>
            </w:r>
          </w:p>
        </w:tc>
        <w:tc>
          <w:tcPr>
            <w:tcW w:w="1420" w:type="dxa"/>
          </w:tcPr>
          <w:p w14:paraId="1780526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патр. 150 шт. 1 пул.</w:t>
            </w:r>
          </w:p>
        </w:tc>
      </w:tr>
      <w:tr w:rsidR="001E2C69" w:rsidRPr="001E2C69" w14:paraId="43C49A8B" w14:textId="77777777" w:rsidTr="00CC5360">
        <w:tc>
          <w:tcPr>
            <w:tcW w:w="2093" w:type="dxa"/>
          </w:tcPr>
          <w:p w14:paraId="58FB1D4C" w14:textId="77777777" w:rsidR="00AE7191" w:rsidRPr="001E2C69" w:rsidRDefault="00AE7191" w:rsidP="00722885">
            <w:pPr>
              <w:pStyle w:val="Iauiue"/>
              <w:jc w:val="both"/>
              <w:rPr>
                <w:color w:val="000000" w:themeColor="text1"/>
                <w:sz w:val="16"/>
                <w:szCs w:val="16"/>
              </w:rPr>
            </w:pPr>
          </w:p>
        </w:tc>
        <w:tc>
          <w:tcPr>
            <w:tcW w:w="1276" w:type="dxa"/>
          </w:tcPr>
          <w:p w14:paraId="349FBF1B" w14:textId="77777777" w:rsidR="00AE7191" w:rsidRPr="001E2C69" w:rsidRDefault="00AE7191" w:rsidP="00722885">
            <w:pPr>
              <w:pStyle w:val="Iauiue"/>
              <w:jc w:val="both"/>
              <w:rPr>
                <w:color w:val="000000" w:themeColor="text1"/>
                <w:sz w:val="16"/>
                <w:szCs w:val="16"/>
              </w:rPr>
            </w:pPr>
          </w:p>
        </w:tc>
        <w:tc>
          <w:tcPr>
            <w:tcW w:w="1417" w:type="dxa"/>
          </w:tcPr>
          <w:p w14:paraId="6F73481F" w14:textId="77777777" w:rsidR="00AE7191" w:rsidRPr="001E2C69" w:rsidRDefault="00AE7191" w:rsidP="00722885">
            <w:pPr>
              <w:pStyle w:val="Iauiue"/>
              <w:jc w:val="both"/>
              <w:rPr>
                <w:color w:val="000000" w:themeColor="text1"/>
                <w:sz w:val="16"/>
                <w:szCs w:val="16"/>
              </w:rPr>
            </w:pPr>
          </w:p>
        </w:tc>
        <w:tc>
          <w:tcPr>
            <w:tcW w:w="1418" w:type="dxa"/>
          </w:tcPr>
          <w:p w14:paraId="34A2BAE2" w14:textId="77777777" w:rsidR="00AE7191" w:rsidRPr="001E2C69" w:rsidRDefault="00AE7191" w:rsidP="00722885">
            <w:pPr>
              <w:pStyle w:val="Iauiue"/>
              <w:jc w:val="both"/>
              <w:rPr>
                <w:color w:val="000000" w:themeColor="text1"/>
                <w:sz w:val="16"/>
                <w:szCs w:val="16"/>
              </w:rPr>
            </w:pPr>
          </w:p>
        </w:tc>
        <w:tc>
          <w:tcPr>
            <w:tcW w:w="1417" w:type="dxa"/>
          </w:tcPr>
          <w:p w14:paraId="61E8400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пул. кал. 7,62 мм</w:t>
            </w:r>
          </w:p>
        </w:tc>
        <w:tc>
          <w:tcPr>
            <w:tcW w:w="1559" w:type="dxa"/>
          </w:tcPr>
          <w:p w14:paraId="25EE054C" w14:textId="77777777" w:rsidR="00AE7191" w:rsidRPr="001E2C69" w:rsidRDefault="00AE7191" w:rsidP="00722885">
            <w:pPr>
              <w:pStyle w:val="Iauiue"/>
              <w:jc w:val="both"/>
              <w:rPr>
                <w:color w:val="000000" w:themeColor="text1"/>
                <w:sz w:val="16"/>
                <w:szCs w:val="16"/>
              </w:rPr>
            </w:pPr>
          </w:p>
        </w:tc>
        <w:tc>
          <w:tcPr>
            <w:tcW w:w="1420" w:type="dxa"/>
          </w:tcPr>
          <w:p w14:paraId="374DEE8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кал. 7,62 мм патр.</w:t>
            </w:r>
          </w:p>
        </w:tc>
      </w:tr>
      <w:tr w:rsidR="001E2C69" w:rsidRPr="001E2C69" w14:paraId="5A84D231" w14:textId="77777777" w:rsidTr="00CC5360">
        <w:tc>
          <w:tcPr>
            <w:tcW w:w="2093" w:type="dxa"/>
          </w:tcPr>
          <w:p w14:paraId="686996BE" w14:textId="77777777" w:rsidR="00AE7191" w:rsidRPr="001E2C69" w:rsidRDefault="00AE7191" w:rsidP="00722885">
            <w:pPr>
              <w:pStyle w:val="Iauiue"/>
              <w:jc w:val="both"/>
              <w:rPr>
                <w:color w:val="000000" w:themeColor="text1"/>
                <w:sz w:val="16"/>
                <w:szCs w:val="16"/>
              </w:rPr>
            </w:pPr>
          </w:p>
        </w:tc>
        <w:tc>
          <w:tcPr>
            <w:tcW w:w="1276" w:type="dxa"/>
          </w:tcPr>
          <w:p w14:paraId="35C8E578" w14:textId="77777777" w:rsidR="00AE7191" w:rsidRPr="001E2C69" w:rsidRDefault="00AE7191" w:rsidP="00722885">
            <w:pPr>
              <w:pStyle w:val="Iauiue"/>
              <w:jc w:val="both"/>
              <w:rPr>
                <w:color w:val="000000" w:themeColor="text1"/>
                <w:sz w:val="16"/>
                <w:szCs w:val="16"/>
              </w:rPr>
            </w:pPr>
          </w:p>
        </w:tc>
        <w:tc>
          <w:tcPr>
            <w:tcW w:w="1417" w:type="dxa"/>
          </w:tcPr>
          <w:p w14:paraId="7717FC64" w14:textId="77777777" w:rsidR="00AE7191" w:rsidRPr="001E2C69" w:rsidRDefault="00AE7191" w:rsidP="00722885">
            <w:pPr>
              <w:pStyle w:val="Iauiue"/>
              <w:jc w:val="both"/>
              <w:rPr>
                <w:color w:val="000000" w:themeColor="text1"/>
                <w:sz w:val="16"/>
                <w:szCs w:val="16"/>
              </w:rPr>
            </w:pPr>
          </w:p>
        </w:tc>
        <w:tc>
          <w:tcPr>
            <w:tcW w:w="1418" w:type="dxa"/>
          </w:tcPr>
          <w:p w14:paraId="6E3A7353" w14:textId="77777777" w:rsidR="00AE7191" w:rsidRPr="001E2C69" w:rsidRDefault="00AE7191" w:rsidP="00722885">
            <w:pPr>
              <w:pStyle w:val="Iauiue"/>
              <w:jc w:val="both"/>
              <w:rPr>
                <w:color w:val="000000" w:themeColor="text1"/>
                <w:sz w:val="16"/>
                <w:szCs w:val="16"/>
              </w:rPr>
            </w:pPr>
          </w:p>
        </w:tc>
        <w:tc>
          <w:tcPr>
            <w:tcW w:w="1417" w:type="dxa"/>
          </w:tcPr>
          <w:p w14:paraId="53671FA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патр. 1300 шт.</w:t>
            </w:r>
          </w:p>
        </w:tc>
        <w:tc>
          <w:tcPr>
            <w:tcW w:w="1559" w:type="dxa"/>
          </w:tcPr>
          <w:p w14:paraId="363718A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 последних</w:t>
            </w:r>
          </w:p>
        </w:tc>
        <w:tc>
          <w:tcPr>
            <w:tcW w:w="1420" w:type="dxa"/>
          </w:tcPr>
          <w:p w14:paraId="7ABA5CB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450 шт.</w:t>
            </w:r>
          </w:p>
        </w:tc>
      </w:tr>
      <w:tr w:rsidR="001E2C69" w:rsidRPr="001E2C69" w14:paraId="53158A40" w14:textId="77777777" w:rsidTr="00CC5360">
        <w:tc>
          <w:tcPr>
            <w:tcW w:w="2093" w:type="dxa"/>
          </w:tcPr>
          <w:p w14:paraId="348094AB" w14:textId="77777777" w:rsidR="00AE7191" w:rsidRPr="001E2C69" w:rsidRDefault="00AE7191" w:rsidP="00722885">
            <w:pPr>
              <w:pStyle w:val="Iauiue"/>
              <w:jc w:val="both"/>
              <w:rPr>
                <w:color w:val="000000" w:themeColor="text1"/>
                <w:sz w:val="16"/>
                <w:szCs w:val="16"/>
              </w:rPr>
            </w:pPr>
          </w:p>
        </w:tc>
        <w:tc>
          <w:tcPr>
            <w:tcW w:w="1276" w:type="dxa"/>
          </w:tcPr>
          <w:p w14:paraId="43D4290E" w14:textId="77777777" w:rsidR="00AE7191" w:rsidRPr="001E2C69" w:rsidRDefault="00AE7191" w:rsidP="00722885">
            <w:pPr>
              <w:pStyle w:val="Iauiue"/>
              <w:jc w:val="both"/>
              <w:rPr>
                <w:color w:val="000000" w:themeColor="text1"/>
                <w:sz w:val="16"/>
                <w:szCs w:val="16"/>
              </w:rPr>
            </w:pPr>
          </w:p>
        </w:tc>
        <w:tc>
          <w:tcPr>
            <w:tcW w:w="1417" w:type="dxa"/>
          </w:tcPr>
          <w:p w14:paraId="3D37DC1F" w14:textId="77777777" w:rsidR="00AE7191" w:rsidRPr="001E2C69" w:rsidRDefault="00AE7191" w:rsidP="00722885">
            <w:pPr>
              <w:pStyle w:val="Iauiue"/>
              <w:jc w:val="both"/>
              <w:rPr>
                <w:color w:val="000000" w:themeColor="text1"/>
                <w:sz w:val="16"/>
                <w:szCs w:val="16"/>
              </w:rPr>
            </w:pPr>
          </w:p>
        </w:tc>
        <w:tc>
          <w:tcPr>
            <w:tcW w:w="1418" w:type="dxa"/>
          </w:tcPr>
          <w:p w14:paraId="23046988" w14:textId="77777777" w:rsidR="00AE7191" w:rsidRPr="001E2C69" w:rsidRDefault="00AE7191" w:rsidP="00722885">
            <w:pPr>
              <w:pStyle w:val="Iauiue"/>
              <w:jc w:val="both"/>
              <w:rPr>
                <w:color w:val="000000" w:themeColor="text1"/>
                <w:sz w:val="16"/>
                <w:szCs w:val="16"/>
              </w:rPr>
            </w:pPr>
          </w:p>
        </w:tc>
        <w:tc>
          <w:tcPr>
            <w:tcW w:w="1417" w:type="dxa"/>
          </w:tcPr>
          <w:p w14:paraId="7B5138D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17 серии: 1 пуш.</w:t>
            </w:r>
          </w:p>
        </w:tc>
        <w:tc>
          <w:tcPr>
            <w:tcW w:w="1559" w:type="dxa"/>
          </w:tcPr>
          <w:p w14:paraId="75FE269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сериях 2 пул. кал.</w:t>
            </w:r>
          </w:p>
        </w:tc>
        <w:tc>
          <w:tcPr>
            <w:tcW w:w="1420" w:type="dxa"/>
          </w:tcPr>
          <w:p w14:paraId="321B0ED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Назад: 1 пул. кал.</w:t>
            </w:r>
          </w:p>
        </w:tc>
      </w:tr>
      <w:tr w:rsidR="001E2C69" w:rsidRPr="001E2C69" w14:paraId="5DAF0D47" w14:textId="77777777" w:rsidTr="00CC5360">
        <w:tc>
          <w:tcPr>
            <w:tcW w:w="2093" w:type="dxa"/>
          </w:tcPr>
          <w:p w14:paraId="7C6596E8" w14:textId="77777777" w:rsidR="00AE7191" w:rsidRPr="001E2C69" w:rsidRDefault="00AE7191" w:rsidP="00722885">
            <w:pPr>
              <w:pStyle w:val="Iauiue"/>
              <w:jc w:val="both"/>
              <w:rPr>
                <w:color w:val="000000" w:themeColor="text1"/>
                <w:sz w:val="16"/>
                <w:szCs w:val="16"/>
              </w:rPr>
            </w:pPr>
          </w:p>
        </w:tc>
        <w:tc>
          <w:tcPr>
            <w:tcW w:w="1276" w:type="dxa"/>
          </w:tcPr>
          <w:p w14:paraId="605B446E" w14:textId="77777777" w:rsidR="00AE7191" w:rsidRPr="001E2C69" w:rsidRDefault="00AE7191" w:rsidP="00722885">
            <w:pPr>
              <w:pStyle w:val="Iauiue"/>
              <w:jc w:val="both"/>
              <w:rPr>
                <w:color w:val="000000" w:themeColor="text1"/>
                <w:sz w:val="16"/>
                <w:szCs w:val="16"/>
              </w:rPr>
            </w:pPr>
          </w:p>
        </w:tc>
        <w:tc>
          <w:tcPr>
            <w:tcW w:w="1417" w:type="dxa"/>
          </w:tcPr>
          <w:p w14:paraId="285D1D6F" w14:textId="77777777" w:rsidR="00AE7191" w:rsidRPr="001E2C69" w:rsidRDefault="00AE7191" w:rsidP="00722885">
            <w:pPr>
              <w:pStyle w:val="Iauiue"/>
              <w:jc w:val="both"/>
              <w:rPr>
                <w:color w:val="000000" w:themeColor="text1"/>
                <w:sz w:val="16"/>
                <w:szCs w:val="16"/>
              </w:rPr>
            </w:pPr>
          </w:p>
        </w:tc>
        <w:tc>
          <w:tcPr>
            <w:tcW w:w="1418" w:type="dxa"/>
          </w:tcPr>
          <w:p w14:paraId="173EED44" w14:textId="77777777" w:rsidR="00AE7191" w:rsidRPr="001E2C69" w:rsidRDefault="00AE7191" w:rsidP="00722885">
            <w:pPr>
              <w:pStyle w:val="Iauiue"/>
              <w:jc w:val="both"/>
              <w:rPr>
                <w:color w:val="000000" w:themeColor="text1"/>
                <w:sz w:val="16"/>
                <w:szCs w:val="16"/>
              </w:rPr>
            </w:pPr>
          </w:p>
        </w:tc>
        <w:tc>
          <w:tcPr>
            <w:tcW w:w="1417" w:type="dxa"/>
          </w:tcPr>
          <w:p w14:paraId="6420F72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кал. 20 мм снар.</w:t>
            </w:r>
          </w:p>
        </w:tc>
        <w:tc>
          <w:tcPr>
            <w:tcW w:w="1559" w:type="dxa"/>
          </w:tcPr>
          <w:p w14:paraId="5FB7A9B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12,7 мм патрон</w:t>
            </w:r>
          </w:p>
        </w:tc>
        <w:tc>
          <w:tcPr>
            <w:tcW w:w="1420" w:type="dxa"/>
          </w:tcPr>
          <w:p w14:paraId="23F734B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7,62мм патр.</w:t>
            </w:r>
          </w:p>
        </w:tc>
      </w:tr>
      <w:tr w:rsidR="001E2C69" w:rsidRPr="001E2C69" w14:paraId="3DE2B331" w14:textId="77777777" w:rsidTr="00CC5360">
        <w:tc>
          <w:tcPr>
            <w:tcW w:w="2093" w:type="dxa"/>
          </w:tcPr>
          <w:p w14:paraId="1F9D35BC" w14:textId="77777777" w:rsidR="00AE7191" w:rsidRPr="001E2C69" w:rsidRDefault="00AE7191" w:rsidP="00722885">
            <w:pPr>
              <w:pStyle w:val="Iauiue"/>
              <w:jc w:val="both"/>
              <w:rPr>
                <w:color w:val="000000" w:themeColor="text1"/>
                <w:sz w:val="16"/>
                <w:szCs w:val="16"/>
              </w:rPr>
            </w:pPr>
          </w:p>
        </w:tc>
        <w:tc>
          <w:tcPr>
            <w:tcW w:w="1276" w:type="dxa"/>
          </w:tcPr>
          <w:p w14:paraId="6D233813" w14:textId="77777777" w:rsidR="00AE7191" w:rsidRPr="001E2C69" w:rsidRDefault="00AE7191" w:rsidP="00722885">
            <w:pPr>
              <w:pStyle w:val="Iauiue"/>
              <w:jc w:val="both"/>
              <w:rPr>
                <w:color w:val="000000" w:themeColor="text1"/>
                <w:sz w:val="16"/>
                <w:szCs w:val="16"/>
              </w:rPr>
            </w:pPr>
          </w:p>
        </w:tc>
        <w:tc>
          <w:tcPr>
            <w:tcW w:w="1417" w:type="dxa"/>
          </w:tcPr>
          <w:p w14:paraId="7B2B1561" w14:textId="77777777" w:rsidR="00AE7191" w:rsidRPr="001E2C69" w:rsidRDefault="00AE7191" w:rsidP="00722885">
            <w:pPr>
              <w:pStyle w:val="Iauiue"/>
              <w:jc w:val="both"/>
              <w:rPr>
                <w:color w:val="000000" w:themeColor="text1"/>
                <w:sz w:val="16"/>
                <w:szCs w:val="16"/>
              </w:rPr>
            </w:pPr>
          </w:p>
        </w:tc>
        <w:tc>
          <w:tcPr>
            <w:tcW w:w="1418" w:type="dxa"/>
          </w:tcPr>
          <w:p w14:paraId="3EE01A68" w14:textId="77777777" w:rsidR="00AE7191" w:rsidRPr="001E2C69" w:rsidRDefault="00AE7191" w:rsidP="00722885">
            <w:pPr>
              <w:pStyle w:val="Iauiue"/>
              <w:jc w:val="both"/>
              <w:rPr>
                <w:color w:val="000000" w:themeColor="text1"/>
                <w:sz w:val="16"/>
                <w:szCs w:val="16"/>
              </w:rPr>
            </w:pPr>
          </w:p>
        </w:tc>
        <w:tc>
          <w:tcPr>
            <w:tcW w:w="1417" w:type="dxa"/>
          </w:tcPr>
          <w:p w14:paraId="3661DE7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160 шт. 1 пул. кал.</w:t>
            </w:r>
          </w:p>
        </w:tc>
        <w:tc>
          <w:tcPr>
            <w:tcW w:w="1559" w:type="dxa"/>
          </w:tcPr>
          <w:p w14:paraId="63A0A7D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700 шт.</w:t>
            </w:r>
          </w:p>
        </w:tc>
        <w:tc>
          <w:tcPr>
            <w:tcW w:w="1420" w:type="dxa"/>
          </w:tcPr>
          <w:p w14:paraId="2554B64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750 шт.</w:t>
            </w:r>
          </w:p>
        </w:tc>
      </w:tr>
      <w:tr w:rsidR="001E2C69" w:rsidRPr="001E2C69" w14:paraId="62A72028" w14:textId="77777777" w:rsidTr="00CC5360">
        <w:tc>
          <w:tcPr>
            <w:tcW w:w="2093" w:type="dxa"/>
          </w:tcPr>
          <w:p w14:paraId="3D012502" w14:textId="77777777" w:rsidR="00AE7191" w:rsidRPr="001E2C69" w:rsidRDefault="00AE7191" w:rsidP="00722885">
            <w:pPr>
              <w:pStyle w:val="Iauiue"/>
              <w:jc w:val="both"/>
              <w:rPr>
                <w:color w:val="000000" w:themeColor="text1"/>
                <w:sz w:val="16"/>
                <w:szCs w:val="16"/>
              </w:rPr>
            </w:pPr>
          </w:p>
        </w:tc>
        <w:tc>
          <w:tcPr>
            <w:tcW w:w="1276" w:type="dxa"/>
          </w:tcPr>
          <w:p w14:paraId="6FF59F21" w14:textId="77777777" w:rsidR="00AE7191" w:rsidRPr="001E2C69" w:rsidRDefault="00AE7191" w:rsidP="00722885">
            <w:pPr>
              <w:pStyle w:val="Iauiue"/>
              <w:jc w:val="both"/>
              <w:rPr>
                <w:color w:val="000000" w:themeColor="text1"/>
                <w:sz w:val="16"/>
                <w:szCs w:val="16"/>
              </w:rPr>
            </w:pPr>
          </w:p>
        </w:tc>
        <w:tc>
          <w:tcPr>
            <w:tcW w:w="1417" w:type="dxa"/>
          </w:tcPr>
          <w:p w14:paraId="3CE6BA49" w14:textId="77777777" w:rsidR="00AE7191" w:rsidRPr="001E2C69" w:rsidRDefault="00AE7191" w:rsidP="00722885">
            <w:pPr>
              <w:pStyle w:val="Iauiue"/>
              <w:jc w:val="both"/>
              <w:rPr>
                <w:color w:val="000000" w:themeColor="text1"/>
                <w:sz w:val="16"/>
                <w:szCs w:val="16"/>
              </w:rPr>
            </w:pPr>
          </w:p>
        </w:tc>
        <w:tc>
          <w:tcPr>
            <w:tcW w:w="1418" w:type="dxa"/>
          </w:tcPr>
          <w:p w14:paraId="7A8561C0" w14:textId="77777777" w:rsidR="00AE7191" w:rsidRPr="001E2C69" w:rsidRDefault="00AE7191" w:rsidP="00722885">
            <w:pPr>
              <w:pStyle w:val="Iauiue"/>
              <w:jc w:val="both"/>
              <w:rPr>
                <w:color w:val="000000" w:themeColor="text1"/>
                <w:sz w:val="16"/>
                <w:szCs w:val="16"/>
              </w:rPr>
            </w:pPr>
          </w:p>
        </w:tc>
        <w:tc>
          <w:tcPr>
            <w:tcW w:w="1417" w:type="dxa"/>
          </w:tcPr>
          <w:p w14:paraId="6A03FDC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12,7 мм патр. </w:t>
            </w:r>
          </w:p>
        </w:tc>
        <w:tc>
          <w:tcPr>
            <w:tcW w:w="1559" w:type="dxa"/>
          </w:tcPr>
          <w:p w14:paraId="362BC563" w14:textId="77777777" w:rsidR="00AE7191" w:rsidRPr="001E2C69" w:rsidRDefault="00AE7191" w:rsidP="00722885">
            <w:pPr>
              <w:pStyle w:val="Iauiue"/>
              <w:jc w:val="both"/>
              <w:rPr>
                <w:color w:val="000000" w:themeColor="text1"/>
                <w:sz w:val="16"/>
                <w:szCs w:val="16"/>
              </w:rPr>
            </w:pPr>
          </w:p>
        </w:tc>
        <w:tc>
          <w:tcPr>
            <w:tcW w:w="1420" w:type="dxa"/>
          </w:tcPr>
          <w:p w14:paraId="484037B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пул. кал. 12,7 мм</w:t>
            </w:r>
          </w:p>
        </w:tc>
      </w:tr>
      <w:tr w:rsidR="001E2C69" w:rsidRPr="001E2C69" w14:paraId="77B05279" w14:textId="77777777" w:rsidTr="00CC5360">
        <w:tc>
          <w:tcPr>
            <w:tcW w:w="2093" w:type="dxa"/>
          </w:tcPr>
          <w:p w14:paraId="408977D9" w14:textId="77777777" w:rsidR="00AE7191" w:rsidRPr="001E2C69" w:rsidRDefault="00AE7191" w:rsidP="00722885">
            <w:pPr>
              <w:pStyle w:val="Iauiue"/>
              <w:jc w:val="both"/>
              <w:rPr>
                <w:color w:val="000000" w:themeColor="text1"/>
                <w:sz w:val="16"/>
                <w:szCs w:val="16"/>
              </w:rPr>
            </w:pPr>
          </w:p>
        </w:tc>
        <w:tc>
          <w:tcPr>
            <w:tcW w:w="1276" w:type="dxa"/>
          </w:tcPr>
          <w:p w14:paraId="74C78716" w14:textId="77777777" w:rsidR="00AE7191" w:rsidRPr="001E2C69" w:rsidRDefault="00AE7191" w:rsidP="00722885">
            <w:pPr>
              <w:pStyle w:val="Iauiue"/>
              <w:jc w:val="both"/>
              <w:rPr>
                <w:color w:val="000000" w:themeColor="text1"/>
                <w:sz w:val="16"/>
                <w:szCs w:val="16"/>
              </w:rPr>
            </w:pPr>
          </w:p>
        </w:tc>
        <w:tc>
          <w:tcPr>
            <w:tcW w:w="1417" w:type="dxa"/>
          </w:tcPr>
          <w:p w14:paraId="25964D3B" w14:textId="77777777" w:rsidR="00AE7191" w:rsidRPr="001E2C69" w:rsidRDefault="00AE7191" w:rsidP="00722885">
            <w:pPr>
              <w:pStyle w:val="Iauiue"/>
              <w:jc w:val="both"/>
              <w:rPr>
                <w:color w:val="000000" w:themeColor="text1"/>
                <w:sz w:val="16"/>
                <w:szCs w:val="16"/>
              </w:rPr>
            </w:pPr>
          </w:p>
        </w:tc>
        <w:tc>
          <w:tcPr>
            <w:tcW w:w="1418" w:type="dxa"/>
          </w:tcPr>
          <w:p w14:paraId="121D9C30" w14:textId="77777777" w:rsidR="00AE7191" w:rsidRPr="001E2C69" w:rsidRDefault="00AE7191" w:rsidP="00722885">
            <w:pPr>
              <w:pStyle w:val="Iauiue"/>
              <w:jc w:val="both"/>
              <w:rPr>
                <w:color w:val="000000" w:themeColor="text1"/>
                <w:sz w:val="16"/>
                <w:szCs w:val="16"/>
              </w:rPr>
            </w:pPr>
          </w:p>
        </w:tc>
        <w:tc>
          <w:tcPr>
            <w:tcW w:w="1417" w:type="dxa"/>
          </w:tcPr>
          <w:p w14:paraId="14FDA96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200 шт.</w:t>
            </w:r>
          </w:p>
        </w:tc>
        <w:tc>
          <w:tcPr>
            <w:tcW w:w="1559" w:type="dxa"/>
          </w:tcPr>
          <w:p w14:paraId="62592863" w14:textId="77777777" w:rsidR="00AE7191" w:rsidRPr="001E2C69" w:rsidRDefault="00AE7191" w:rsidP="00722885">
            <w:pPr>
              <w:pStyle w:val="Iauiue"/>
              <w:jc w:val="both"/>
              <w:rPr>
                <w:color w:val="000000" w:themeColor="text1"/>
                <w:sz w:val="16"/>
                <w:szCs w:val="16"/>
              </w:rPr>
            </w:pPr>
          </w:p>
        </w:tc>
        <w:tc>
          <w:tcPr>
            <w:tcW w:w="1420" w:type="dxa"/>
          </w:tcPr>
          <w:p w14:paraId="116F58D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патр. 100 шт.</w:t>
            </w:r>
          </w:p>
        </w:tc>
      </w:tr>
      <w:tr w:rsidR="001E2C69" w:rsidRPr="001E2C69" w14:paraId="14B8821A" w14:textId="77777777" w:rsidTr="00CC5360">
        <w:tc>
          <w:tcPr>
            <w:tcW w:w="2093" w:type="dxa"/>
          </w:tcPr>
          <w:p w14:paraId="4258DD6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Реактивное вооружение</w:t>
            </w:r>
          </w:p>
        </w:tc>
        <w:tc>
          <w:tcPr>
            <w:tcW w:w="1276" w:type="dxa"/>
          </w:tcPr>
          <w:p w14:paraId="66326C3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 последних</w:t>
            </w:r>
          </w:p>
        </w:tc>
        <w:tc>
          <w:tcPr>
            <w:tcW w:w="1417" w:type="dxa"/>
          </w:tcPr>
          <w:p w14:paraId="376D815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шт. РО-82</w:t>
            </w:r>
          </w:p>
        </w:tc>
        <w:tc>
          <w:tcPr>
            <w:tcW w:w="1418" w:type="dxa"/>
          </w:tcPr>
          <w:p w14:paraId="7F07FC3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шт. РО-82</w:t>
            </w:r>
          </w:p>
        </w:tc>
        <w:tc>
          <w:tcPr>
            <w:tcW w:w="1417" w:type="dxa"/>
          </w:tcPr>
          <w:p w14:paraId="70647FE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 последних</w:t>
            </w:r>
          </w:p>
        </w:tc>
        <w:tc>
          <w:tcPr>
            <w:tcW w:w="1559" w:type="dxa"/>
          </w:tcPr>
          <w:p w14:paraId="5A8AE52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 последних</w:t>
            </w:r>
          </w:p>
        </w:tc>
        <w:tc>
          <w:tcPr>
            <w:tcW w:w="1420" w:type="dxa"/>
          </w:tcPr>
          <w:p w14:paraId="1D850FB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w:t>
            </w:r>
          </w:p>
        </w:tc>
      </w:tr>
      <w:tr w:rsidR="001E2C69" w:rsidRPr="001E2C69" w14:paraId="0AA4F000" w14:textId="77777777" w:rsidTr="00CC5360">
        <w:tc>
          <w:tcPr>
            <w:tcW w:w="2093" w:type="dxa"/>
          </w:tcPr>
          <w:p w14:paraId="0563CFC7" w14:textId="77777777" w:rsidR="00AE7191" w:rsidRPr="001E2C69" w:rsidRDefault="00AE7191" w:rsidP="00722885">
            <w:pPr>
              <w:pStyle w:val="Iauiue"/>
              <w:jc w:val="both"/>
              <w:rPr>
                <w:color w:val="000000" w:themeColor="text1"/>
                <w:sz w:val="16"/>
                <w:szCs w:val="16"/>
              </w:rPr>
            </w:pPr>
          </w:p>
        </w:tc>
        <w:tc>
          <w:tcPr>
            <w:tcW w:w="1276" w:type="dxa"/>
          </w:tcPr>
          <w:p w14:paraId="6126BED6" w14:textId="77777777" w:rsidR="00AE7191" w:rsidRPr="001E2C69" w:rsidRDefault="00AE7191" w:rsidP="00722885">
            <w:pPr>
              <w:pStyle w:val="Iauiue"/>
              <w:jc w:val="both"/>
              <w:rPr>
                <w:color w:val="000000" w:themeColor="text1"/>
                <w:sz w:val="16"/>
                <w:szCs w:val="16"/>
              </w:rPr>
            </w:pPr>
          </w:p>
        </w:tc>
        <w:tc>
          <w:tcPr>
            <w:tcW w:w="1417" w:type="dxa"/>
          </w:tcPr>
          <w:p w14:paraId="267404C4" w14:textId="77777777" w:rsidR="00AE7191" w:rsidRPr="001E2C69" w:rsidRDefault="00AE7191" w:rsidP="00722885">
            <w:pPr>
              <w:pStyle w:val="Iauiue"/>
              <w:jc w:val="both"/>
              <w:rPr>
                <w:color w:val="000000" w:themeColor="text1"/>
                <w:sz w:val="16"/>
                <w:szCs w:val="16"/>
              </w:rPr>
            </w:pPr>
          </w:p>
        </w:tc>
        <w:tc>
          <w:tcPr>
            <w:tcW w:w="1418" w:type="dxa"/>
          </w:tcPr>
          <w:p w14:paraId="4BE791B1" w14:textId="77777777" w:rsidR="00AE7191" w:rsidRPr="001E2C69" w:rsidRDefault="00AE7191" w:rsidP="00722885">
            <w:pPr>
              <w:pStyle w:val="Iauiue"/>
              <w:jc w:val="both"/>
              <w:rPr>
                <w:color w:val="000000" w:themeColor="text1"/>
                <w:sz w:val="16"/>
                <w:szCs w:val="16"/>
              </w:rPr>
            </w:pPr>
          </w:p>
        </w:tc>
        <w:tc>
          <w:tcPr>
            <w:tcW w:w="1417" w:type="dxa"/>
          </w:tcPr>
          <w:p w14:paraId="0DCD1FE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сериях установл.</w:t>
            </w:r>
          </w:p>
        </w:tc>
        <w:tc>
          <w:tcPr>
            <w:tcW w:w="1559" w:type="dxa"/>
          </w:tcPr>
          <w:p w14:paraId="114C8F6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сериях установл.</w:t>
            </w:r>
          </w:p>
        </w:tc>
        <w:tc>
          <w:tcPr>
            <w:tcW w:w="1420" w:type="dxa"/>
          </w:tcPr>
          <w:p w14:paraId="4126DAC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сериях установл.</w:t>
            </w:r>
          </w:p>
        </w:tc>
      </w:tr>
      <w:tr w:rsidR="001E2C69" w:rsidRPr="001E2C69" w14:paraId="09E935CE" w14:textId="77777777" w:rsidTr="00CC5360">
        <w:tc>
          <w:tcPr>
            <w:tcW w:w="2093" w:type="dxa"/>
          </w:tcPr>
          <w:p w14:paraId="7497D756" w14:textId="77777777" w:rsidR="00AE7191" w:rsidRPr="001E2C69" w:rsidRDefault="00AE7191" w:rsidP="00722885">
            <w:pPr>
              <w:pStyle w:val="Iauiue"/>
              <w:jc w:val="both"/>
              <w:rPr>
                <w:color w:val="000000" w:themeColor="text1"/>
                <w:sz w:val="16"/>
                <w:szCs w:val="16"/>
              </w:rPr>
            </w:pPr>
          </w:p>
        </w:tc>
        <w:tc>
          <w:tcPr>
            <w:tcW w:w="1276" w:type="dxa"/>
          </w:tcPr>
          <w:p w14:paraId="002CE5F2" w14:textId="77777777" w:rsidR="00AE7191" w:rsidRPr="001E2C69" w:rsidRDefault="00AE7191" w:rsidP="00722885">
            <w:pPr>
              <w:pStyle w:val="Iauiue"/>
              <w:jc w:val="both"/>
              <w:rPr>
                <w:color w:val="000000" w:themeColor="text1"/>
                <w:sz w:val="16"/>
                <w:szCs w:val="16"/>
              </w:rPr>
            </w:pPr>
          </w:p>
        </w:tc>
        <w:tc>
          <w:tcPr>
            <w:tcW w:w="1417" w:type="dxa"/>
          </w:tcPr>
          <w:p w14:paraId="557E3760" w14:textId="77777777" w:rsidR="00AE7191" w:rsidRPr="001E2C69" w:rsidRDefault="00AE7191" w:rsidP="00722885">
            <w:pPr>
              <w:pStyle w:val="Iauiue"/>
              <w:jc w:val="both"/>
              <w:rPr>
                <w:color w:val="000000" w:themeColor="text1"/>
                <w:sz w:val="16"/>
                <w:szCs w:val="16"/>
              </w:rPr>
            </w:pPr>
          </w:p>
        </w:tc>
        <w:tc>
          <w:tcPr>
            <w:tcW w:w="1418" w:type="dxa"/>
          </w:tcPr>
          <w:p w14:paraId="661F3C22" w14:textId="77777777" w:rsidR="00AE7191" w:rsidRPr="001E2C69" w:rsidRDefault="00AE7191" w:rsidP="00722885">
            <w:pPr>
              <w:pStyle w:val="Iauiue"/>
              <w:jc w:val="both"/>
              <w:rPr>
                <w:color w:val="000000" w:themeColor="text1"/>
                <w:sz w:val="16"/>
                <w:szCs w:val="16"/>
              </w:rPr>
            </w:pPr>
          </w:p>
        </w:tc>
        <w:tc>
          <w:tcPr>
            <w:tcW w:w="1417" w:type="dxa"/>
          </w:tcPr>
          <w:p w14:paraId="5752DFE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шт. РО-82</w:t>
            </w:r>
          </w:p>
        </w:tc>
        <w:tc>
          <w:tcPr>
            <w:tcW w:w="1559" w:type="dxa"/>
          </w:tcPr>
          <w:p w14:paraId="2164B54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шт. РО-82</w:t>
            </w:r>
          </w:p>
        </w:tc>
        <w:tc>
          <w:tcPr>
            <w:tcW w:w="1420" w:type="dxa"/>
          </w:tcPr>
          <w:p w14:paraId="2F8B312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шт. РО-82</w:t>
            </w:r>
          </w:p>
        </w:tc>
      </w:tr>
      <w:tr w:rsidR="001E2C69" w:rsidRPr="001E2C69" w14:paraId="7B63FF5A" w14:textId="77777777" w:rsidTr="00CC5360">
        <w:tc>
          <w:tcPr>
            <w:tcW w:w="2093" w:type="dxa"/>
          </w:tcPr>
          <w:p w14:paraId="52C1DFC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Бомбовая нагрузка при</w:t>
            </w:r>
          </w:p>
        </w:tc>
        <w:tc>
          <w:tcPr>
            <w:tcW w:w="1276" w:type="dxa"/>
          </w:tcPr>
          <w:p w14:paraId="72B1A04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нет</w:t>
            </w:r>
          </w:p>
        </w:tc>
        <w:tc>
          <w:tcPr>
            <w:tcW w:w="1417" w:type="dxa"/>
          </w:tcPr>
          <w:p w14:paraId="235E308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нет</w:t>
            </w:r>
          </w:p>
        </w:tc>
        <w:tc>
          <w:tcPr>
            <w:tcW w:w="1418" w:type="dxa"/>
          </w:tcPr>
          <w:p w14:paraId="6F78DDE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нет</w:t>
            </w:r>
          </w:p>
        </w:tc>
        <w:tc>
          <w:tcPr>
            <w:tcW w:w="1417" w:type="dxa"/>
          </w:tcPr>
          <w:p w14:paraId="0AE58A2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нет</w:t>
            </w:r>
          </w:p>
        </w:tc>
        <w:tc>
          <w:tcPr>
            <w:tcW w:w="1559" w:type="dxa"/>
          </w:tcPr>
          <w:p w14:paraId="22F1229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нет</w:t>
            </w:r>
          </w:p>
        </w:tc>
        <w:tc>
          <w:tcPr>
            <w:tcW w:w="1420" w:type="dxa"/>
          </w:tcPr>
          <w:p w14:paraId="17C854A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Внутренняя</w:t>
            </w:r>
          </w:p>
        </w:tc>
      </w:tr>
      <w:tr w:rsidR="001E2C69" w:rsidRPr="001E2C69" w14:paraId="7249D71C" w14:textId="77777777" w:rsidTr="00CC5360">
        <w:tc>
          <w:tcPr>
            <w:tcW w:w="2093" w:type="dxa"/>
          </w:tcPr>
          <w:p w14:paraId="46480F7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нормальном полетном</w:t>
            </w:r>
          </w:p>
        </w:tc>
        <w:tc>
          <w:tcPr>
            <w:tcW w:w="1276" w:type="dxa"/>
          </w:tcPr>
          <w:p w14:paraId="5587088C" w14:textId="77777777" w:rsidR="00AE7191" w:rsidRPr="001E2C69" w:rsidRDefault="00AE7191" w:rsidP="00722885">
            <w:pPr>
              <w:pStyle w:val="Iauiue"/>
              <w:jc w:val="both"/>
              <w:rPr>
                <w:color w:val="000000" w:themeColor="text1"/>
                <w:sz w:val="16"/>
                <w:szCs w:val="16"/>
              </w:rPr>
            </w:pPr>
          </w:p>
        </w:tc>
        <w:tc>
          <w:tcPr>
            <w:tcW w:w="1417" w:type="dxa"/>
          </w:tcPr>
          <w:p w14:paraId="385FD068" w14:textId="77777777" w:rsidR="00AE7191" w:rsidRPr="001E2C69" w:rsidRDefault="00AE7191" w:rsidP="00722885">
            <w:pPr>
              <w:pStyle w:val="Iauiue"/>
              <w:jc w:val="both"/>
              <w:rPr>
                <w:color w:val="000000" w:themeColor="text1"/>
                <w:sz w:val="16"/>
                <w:szCs w:val="16"/>
              </w:rPr>
            </w:pPr>
          </w:p>
        </w:tc>
        <w:tc>
          <w:tcPr>
            <w:tcW w:w="1418" w:type="dxa"/>
          </w:tcPr>
          <w:p w14:paraId="4ECAEEB0" w14:textId="77777777" w:rsidR="00AE7191" w:rsidRPr="001E2C69" w:rsidRDefault="00AE7191" w:rsidP="00722885">
            <w:pPr>
              <w:pStyle w:val="Iauiue"/>
              <w:jc w:val="both"/>
              <w:rPr>
                <w:color w:val="000000" w:themeColor="text1"/>
                <w:sz w:val="16"/>
                <w:szCs w:val="16"/>
              </w:rPr>
            </w:pPr>
          </w:p>
        </w:tc>
        <w:tc>
          <w:tcPr>
            <w:tcW w:w="1417" w:type="dxa"/>
          </w:tcPr>
          <w:p w14:paraId="5A33A5A9" w14:textId="77777777" w:rsidR="00AE7191" w:rsidRPr="001E2C69" w:rsidRDefault="00AE7191" w:rsidP="00722885">
            <w:pPr>
              <w:pStyle w:val="Iauiue"/>
              <w:jc w:val="both"/>
              <w:rPr>
                <w:color w:val="000000" w:themeColor="text1"/>
                <w:sz w:val="16"/>
                <w:szCs w:val="16"/>
              </w:rPr>
            </w:pPr>
          </w:p>
        </w:tc>
        <w:tc>
          <w:tcPr>
            <w:tcW w:w="1559" w:type="dxa"/>
          </w:tcPr>
          <w:p w14:paraId="0A67286D" w14:textId="77777777" w:rsidR="00AE7191" w:rsidRPr="001E2C69" w:rsidRDefault="00AE7191" w:rsidP="00722885">
            <w:pPr>
              <w:pStyle w:val="Iauiue"/>
              <w:jc w:val="both"/>
              <w:rPr>
                <w:color w:val="000000" w:themeColor="text1"/>
                <w:sz w:val="16"/>
                <w:szCs w:val="16"/>
              </w:rPr>
            </w:pPr>
          </w:p>
        </w:tc>
        <w:tc>
          <w:tcPr>
            <w:tcW w:w="1420" w:type="dxa"/>
          </w:tcPr>
          <w:p w14:paraId="3286A3E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подвеска:</w:t>
            </w:r>
          </w:p>
        </w:tc>
      </w:tr>
      <w:tr w:rsidR="001E2C69" w:rsidRPr="001E2C69" w14:paraId="30D53E7C" w14:textId="77777777" w:rsidTr="00CC5360">
        <w:tc>
          <w:tcPr>
            <w:tcW w:w="2093" w:type="dxa"/>
          </w:tcPr>
          <w:p w14:paraId="15CE4E5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весе кг</w:t>
            </w:r>
          </w:p>
        </w:tc>
        <w:tc>
          <w:tcPr>
            <w:tcW w:w="1276" w:type="dxa"/>
          </w:tcPr>
          <w:p w14:paraId="26A08BDE" w14:textId="77777777" w:rsidR="00AE7191" w:rsidRPr="001E2C69" w:rsidRDefault="00AE7191" w:rsidP="00722885">
            <w:pPr>
              <w:pStyle w:val="Iauiue"/>
              <w:jc w:val="both"/>
              <w:rPr>
                <w:color w:val="000000" w:themeColor="text1"/>
                <w:sz w:val="16"/>
                <w:szCs w:val="16"/>
              </w:rPr>
            </w:pPr>
          </w:p>
        </w:tc>
        <w:tc>
          <w:tcPr>
            <w:tcW w:w="1417" w:type="dxa"/>
          </w:tcPr>
          <w:p w14:paraId="78228DD3" w14:textId="77777777" w:rsidR="00AE7191" w:rsidRPr="001E2C69" w:rsidRDefault="00AE7191" w:rsidP="00722885">
            <w:pPr>
              <w:pStyle w:val="Iauiue"/>
              <w:jc w:val="both"/>
              <w:rPr>
                <w:color w:val="000000" w:themeColor="text1"/>
                <w:sz w:val="16"/>
                <w:szCs w:val="16"/>
              </w:rPr>
            </w:pPr>
          </w:p>
        </w:tc>
        <w:tc>
          <w:tcPr>
            <w:tcW w:w="1418" w:type="dxa"/>
          </w:tcPr>
          <w:p w14:paraId="60A7D11C" w14:textId="77777777" w:rsidR="00AE7191" w:rsidRPr="001E2C69" w:rsidRDefault="00AE7191" w:rsidP="00722885">
            <w:pPr>
              <w:pStyle w:val="Iauiue"/>
              <w:jc w:val="both"/>
              <w:rPr>
                <w:color w:val="000000" w:themeColor="text1"/>
                <w:sz w:val="16"/>
                <w:szCs w:val="16"/>
              </w:rPr>
            </w:pPr>
          </w:p>
        </w:tc>
        <w:tc>
          <w:tcPr>
            <w:tcW w:w="1417" w:type="dxa"/>
          </w:tcPr>
          <w:p w14:paraId="210E09F2" w14:textId="77777777" w:rsidR="00AE7191" w:rsidRPr="001E2C69" w:rsidRDefault="00AE7191" w:rsidP="00722885">
            <w:pPr>
              <w:pStyle w:val="Iauiue"/>
              <w:jc w:val="both"/>
              <w:rPr>
                <w:color w:val="000000" w:themeColor="text1"/>
                <w:sz w:val="16"/>
                <w:szCs w:val="16"/>
              </w:rPr>
            </w:pPr>
          </w:p>
        </w:tc>
        <w:tc>
          <w:tcPr>
            <w:tcW w:w="1559" w:type="dxa"/>
          </w:tcPr>
          <w:p w14:paraId="32A05C89" w14:textId="77777777" w:rsidR="00AE7191" w:rsidRPr="001E2C69" w:rsidRDefault="00AE7191" w:rsidP="00722885">
            <w:pPr>
              <w:pStyle w:val="Iauiue"/>
              <w:jc w:val="both"/>
              <w:rPr>
                <w:color w:val="000000" w:themeColor="text1"/>
                <w:sz w:val="16"/>
                <w:szCs w:val="16"/>
              </w:rPr>
            </w:pPr>
          </w:p>
        </w:tc>
        <w:tc>
          <w:tcPr>
            <w:tcW w:w="1420" w:type="dxa"/>
          </w:tcPr>
          <w:p w14:paraId="4D0AC28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2хФАБ-100 всего</w:t>
            </w:r>
          </w:p>
        </w:tc>
      </w:tr>
      <w:tr w:rsidR="001E2C69" w:rsidRPr="001E2C69" w14:paraId="421B237D" w14:textId="77777777" w:rsidTr="00CC5360">
        <w:tc>
          <w:tcPr>
            <w:tcW w:w="2093" w:type="dxa"/>
          </w:tcPr>
          <w:p w14:paraId="7FCAF089" w14:textId="77777777" w:rsidR="00AE7191" w:rsidRPr="001E2C69" w:rsidRDefault="00AE7191" w:rsidP="00722885">
            <w:pPr>
              <w:pStyle w:val="Iauiue"/>
              <w:jc w:val="both"/>
              <w:rPr>
                <w:color w:val="000000" w:themeColor="text1"/>
                <w:sz w:val="16"/>
                <w:szCs w:val="16"/>
              </w:rPr>
            </w:pPr>
          </w:p>
        </w:tc>
        <w:tc>
          <w:tcPr>
            <w:tcW w:w="1276" w:type="dxa"/>
          </w:tcPr>
          <w:p w14:paraId="277AC1A4" w14:textId="77777777" w:rsidR="00AE7191" w:rsidRPr="001E2C69" w:rsidRDefault="00AE7191" w:rsidP="00722885">
            <w:pPr>
              <w:pStyle w:val="Iauiue"/>
              <w:jc w:val="both"/>
              <w:rPr>
                <w:color w:val="000000" w:themeColor="text1"/>
                <w:sz w:val="16"/>
                <w:szCs w:val="16"/>
              </w:rPr>
            </w:pPr>
          </w:p>
        </w:tc>
        <w:tc>
          <w:tcPr>
            <w:tcW w:w="1417" w:type="dxa"/>
          </w:tcPr>
          <w:p w14:paraId="2B636C73" w14:textId="77777777" w:rsidR="00AE7191" w:rsidRPr="001E2C69" w:rsidRDefault="00AE7191" w:rsidP="00722885">
            <w:pPr>
              <w:pStyle w:val="Iauiue"/>
              <w:jc w:val="both"/>
              <w:rPr>
                <w:color w:val="000000" w:themeColor="text1"/>
                <w:sz w:val="16"/>
                <w:szCs w:val="16"/>
              </w:rPr>
            </w:pPr>
          </w:p>
        </w:tc>
        <w:tc>
          <w:tcPr>
            <w:tcW w:w="1418" w:type="dxa"/>
          </w:tcPr>
          <w:p w14:paraId="20443047" w14:textId="77777777" w:rsidR="00AE7191" w:rsidRPr="001E2C69" w:rsidRDefault="00AE7191" w:rsidP="00722885">
            <w:pPr>
              <w:pStyle w:val="Iauiue"/>
              <w:jc w:val="both"/>
              <w:rPr>
                <w:color w:val="000000" w:themeColor="text1"/>
                <w:sz w:val="16"/>
                <w:szCs w:val="16"/>
              </w:rPr>
            </w:pPr>
          </w:p>
        </w:tc>
        <w:tc>
          <w:tcPr>
            <w:tcW w:w="1417" w:type="dxa"/>
          </w:tcPr>
          <w:p w14:paraId="72FCC59E" w14:textId="77777777" w:rsidR="00AE7191" w:rsidRPr="001E2C69" w:rsidRDefault="00AE7191" w:rsidP="00722885">
            <w:pPr>
              <w:pStyle w:val="Iauiue"/>
              <w:jc w:val="both"/>
              <w:rPr>
                <w:color w:val="000000" w:themeColor="text1"/>
                <w:sz w:val="16"/>
                <w:szCs w:val="16"/>
              </w:rPr>
            </w:pPr>
          </w:p>
        </w:tc>
        <w:tc>
          <w:tcPr>
            <w:tcW w:w="1559" w:type="dxa"/>
          </w:tcPr>
          <w:p w14:paraId="66363695" w14:textId="77777777" w:rsidR="00AE7191" w:rsidRPr="001E2C69" w:rsidRDefault="00AE7191" w:rsidP="00722885">
            <w:pPr>
              <w:pStyle w:val="Iauiue"/>
              <w:jc w:val="both"/>
              <w:rPr>
                <w:color w:val="000000" w:themeColor="text1"/>
                <w:sz w:val="16"/>
                <w:szCs w:val="16"/>
              </w:rPr>
            </w:pPr>
          </w:p>
        </w:tc>
        <w:tc>
          <w:tcPr>
            <w:tcW w:w="1420" w:type="dxa"/>
          </w:tcPr>
          <w:p w14:paraId="48D8D97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200 кг</w:t>
            </w:r>
          </w:p>
        </w:tc>
      </w:tr>
      <w:tr w:rsidR="001E2C69" w:rsidRPr="001E2C69" w14:paraId="2548F258" w14:textId="77777777" w:rsidTr="00CC5360">
        <w:tc>
          <w:tcPr>
            <w:tcW w:w="2093" w:type="dxa"/>
          </w:tcPr>
          <w:p w14:paraId="262D3EE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Максимальная бомбовая</w:t>
            </w:r>
          </w:p>
        </w:tc>
        <w:tc>
          <w:tcPr>
            <w:tcW w:w="1276" w:type="dxa"/>
          </w:tcPr>
          <w:p w14:paraId="30D35BF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нет</w:t>
            </w:r>
          </w:p>
        </w:tc>
        <w:tc>
          <w:tcPr>
            <w:tcW w:w="1417" w:type="dxa"/>
          </w:tcPr>
          <w:p w14:paraId="377B0A9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нет</w:t>
            </w:r>
          </w:p>
        </w:tc>
        <w:tc>
          <w:tcPr>
            <w:tcW w:w="1418" w:type="dxa"/>
          </w:tcPr>
          <w:p w14:paraId="0651F4C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нет</w:t>
            </w:r>
          </w:p>
        </w:tc>
        <w:tc>
          <w:tcPr>
            <w:tcW w:w="1417" w:type="dxa"/>
          </w:tcPr>
          <w:p w14:paraId="11278F4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200 в перегр. на</w:t>
            </w:r>
          </w:p>
        </w:tc>
        <w:tc>
          <w:tcPr>
            <w:tcW w:w="1559" w:type="dxa"/>
          </w:tcPr>
          <w:p w14:paraId="35B006E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200 в перегр.</w:t>
            </w:r>
          </w:p>
        </w:tc>
        <w:tc>
          <w:tcPr>
            <w:tcW w:w="1420" w:type="dxa"/>
          </w:tcPr>
          <w:p w14:paraId="3D05DF0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Внутренняя</w:t>
            </w:r>
          </w:p>
        </w:tc>
      </w:tr>
      <w:tr w:rsidR="001E2C69" w:rsidRPr="001E2C69" w14:paraId="5E455AEA" w14:textId="77777777" w:rsidTr="00CC5360">
        <w:tc>
          <w:tcPr>
            <w:tcW w:w="2093" w:type="dxa"/>
          </w:tcPr>
          <w:p w14:paraId="7A85F0A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lastRenderedPageBreak/>
              <w:t>нагрузка</w:t>
            </w:r>
          </w:p>
        </w:tc>
        <w:tc>
          <w:tcPr>
            <w:tcW w:w="1276" w:type="dxa"/>
          </w:tcPr>
          <w:p w14:paraId="7F6E634D" w14:textId="77777777" w:rsidR="00AE7191" w:rsidRPr="001E2C69" w:rsidRDefault="00AE7191" w:rsidP="00722885">
            <w:pPr>
              <w:pStyle w:val="Iauiue"/>
              <w:jc w:val="both"/>
              <w:rPr>
                <w:color w:val="000000" w:themeColor="text1"/>
                <w:sz w:val="16"/>
                <w:szCs w:val="16"/>
              </w:rPr>
            </w:pPr>
          </w:p>
        </w:tc>
        <w:tc>
          <w:tcPr>
            <w:tcW w:w="1417" w:type="dxa"/>
          </w:tcPr>
          <w:p w14:paraId="48E46DFE" w14:textId="77777777" w:rsidR="00AE7191" w:rsidRPr="001E2C69" w:rsidRDefault="00AE7191" w:rsidP="00722885">
            <w:pPr>
              <w:pStyle w:val="Iauiue"/>
              <w:jc w:val="both"/>
              <w:rPr>
                <w:color w:val="000000" w:themeColor="text1"/>
                <w:sz w:val="16"/>
                <w:szCs w:val="16"/>
              </w:rPr>
            </w:pPr>
          </w:p>
        </w:tc>
        <w:tc>
          <w:tcPr>
            <w:tcW w:w="1418" w:type="dxa"/>
          </w:tcPr>
          <w:p w14:paraId="7E5C8E33" w14:textId="77777777" w:rsidR="00AE7191" w:rsidRPr="001E2C69" w:rsidRDefault="00AE7191" w:rsidP="00722885">
            <w:pPr>
              <w:pStyle w:val="Iauiue"/>
              <w:jc w:val="both"/>
              <w:rPr>
                <w:color w:val="000000" w:themeColor="text1"/>
                <w:sz w:val="16"/>
                <w:szCs w:val="16"/>
              </w:rPr>
            </w:pPr>
          </w:p>
        </w:tc>
        <w:tc>
          <w:tcPr>
            <w:tcW w:w="1417" w:type="dxa"/>
          </w:tcPr>
          <w:p w14:paraId="3FC82E1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 последн.</w:t>
            </w:r>
          </w:p>
        </w:tc>
        <w:tc>
          <w:tcPr>
            <w:tcW w:w="1559" w:type="dxa"/>
          </w:tcPr>
          <w:p w14:paraId="7D9C1F9C" w14:textId="77777777" w:rsidR="00AE7191" w:rsidRPr="001E2C69" w:rsidRDefault="00AE7191" w:rsidP="00722885">
            <w:pPr>
              <w:pStyle w:val="Iauiue"/>
              <w:jc w:val="both"/>
              <w:rPr>
                <w:color w:val="000000" w:themeColor="text1"/>
                <w:sz w:val="16"/>
                <w:szCs w:val="16"/>
              </w:rPr>
            </w:pPr>
          </w:p>
        </w:tc>
        <w:tc>
          <w:tcPr>
            <w:tcW w:w="1420" w:type="dxa"/>
          </w:tcPr>
          <w:p w14:paraId="697590E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подвеска:</w:t>
            </w:r>
          </w:p>
        </w:tc>
      </w:tr>
      <w:tr w:rsidR="001E2C69" w:rsidRPr="001E2C69" w14:paraId="1C496093" w14:textId="77777777" w:rsidTr="00CC5360">
        <w:tc>
          <w:tcPr>
            <w:tcW w:w="2093" w:type="dxa"/>
          </w:tcPr>
          <w:p w14:paraId="25BDB128" w14:textId="77777777" w:rsidR="00AE7191" w:rsidRPr="001E2C69" w:rsidRDefault="00AE7191" w:rsidP="00722885">
            <w:pPr>
              <w:pStyle w:val="Iauiue"/>
              <w:jc w:val="both"/>
              <w:rPr>
                <w:color w:val="000000" w:themeColor="text1"/>
                <w:sz w:val="16"/>
                <w:szCs w:val="16"/>
              </w:rPr>
            </w:pPr>
          </w:p>
        </w:tc>
        <w:tc>
          <w:tcPr>
            <w:tcW w:w="1276" w:type="dxa"/>
          </w:tcPr>
          <w:p w14:paraId="7941FF74" w14:textId="77777777" w:rsidR="00AE7191" w:rsidRPr="001E2C69" w:rsidRDefault="00AE7191" w:rsidP="00722885">
            <w:pPr>
              <w:pStyle w:val="Iauiue"/>
              <w:jc w:val="both"/>
              <w:rPr>
                <w:color w:val="000000" w:themeColor="text1"/>
                <w:sz w:val="16"/>
                <w:szCs w:val="16"/>
              </w:rPr>
            </w:pPr>
          </w:p>
        </w:tc>
        <w:tc>
          <w:tcPr>
            <w:tcW w:w="1417" w:type="dxa"/>
          </w:tcPr>
          <w:p w14:paraId="73F2009F" w14:textId="77777777" w:rsidR="00AE7191" w:rsidRPr="001E2C69" w:rsidRDefault="00AE7191" w:rsidP="00722885">
            <w:pPr>
              <w:pStyle w:val="Iauiue"/>
              <w:jc w:val="both"/>
              <w:rPr>
                <w:color w:val="000000" w:themeColor="text1"/>
                <w:sz w:val="16"/>
                <w:szCs w:val="16"/>
              </w:rPr>
            </w:pPr>
          </w:p>
        </w:tc>
        <w:tc>
          <w:tcPr>
            <w:tcW w:w="1418" w:type="dxa"/>
          </w:tcPr>
          <w:p w14:paraId="260EBACA" w14:textId="77777777" w:rsidR="00AE7191" w:rsidRPr="001E2C69" w:rsidRDefault="00AE7191" w:rsidP="00722885">
            <w:pPr>
              <w:pStyle w:val="Iauiue"/>
              <w:jc w:val="both"/>
              <w:rPr>
                <w:color w:val="000000" w:themeColor="text1"/>
                <w:sz w:val="16"/>
                <w:szCs w:val="16"/>
              </w:rPr>
            </w:pPr>
          </w:p>
        </w:tc>
        <w:tc>
          <w:tcPr>
            <w:tcW w:w="1417" w:type="dxa"/>
          </w:tcPr>
          <w:p w14:paraId="1E20A7E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сериях</w:t>
            </w:r>
          </w:p>
        </w:tc>
        <w:tc>
          <w:tcPr>
            <w:tcW w:w="1559" w:type="dxa"/>
          </w:tcPr>
          <w:p w14:paraId="65D7396A" w14:textId="77777777" w:rsidR="00AE7191" w:rsidRPr="001E2C69" w:rsidRDefault="00AE7191" w:rsidP="00722885">
            <w:pPr>
              <w:pStyle w:val="Iauiue"/>
              <w:jc w:val="both"/>
              <w:rPr>
                <w:color w:val="000000" w:themeColor="text1"/>
                <w:sz w:val="16"/>
                <w:szCs w:val="16"/>
              </w:rPr>
            </w:pPr>
          </w:p>
        </w:tc>
        <w:tc>
          <w:tcPr>
            <w:tcW w:w="1420" w:type="dxa"/>
          </w:tcPr>
          <w:p w14:paraId="0CC27D3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2хФАБ-100</w:t>
            </w:r>
          </w:p>
        </w:tc>
      </w:tr>
      <w:tr w:rsidR="001E2C69" w:rsidRPr="001E2C69" w14:paraId="3097B840" w14:textId="77777777" w:rsidTr="00CC5360">
        <w:tc>
          <w:tcPr>
            <w:tcW w:w="2093" w:type="dxa"/>
          </w:tcPr>
          <w:p w14:paraId="460A9B7A" w14:textId="77777777" w:rsidR="00AE7191" w:rsidRPr="001E2C69" w:rsidRDefault="00AE7191" w:rsidP="00722885">
            <w:pPr>
              <w:pStyle w:val="Iauiue"/>
              <w:jc w:val="both"/>
              <w:rPr>
                <w:color w:val="000000" w:themeColor="text1"/>
                <w:sz w:val="16"/>
                <w:szCs w:val="16"/>
              </w:rPr>
            </w:pPr>
          </w:p>
        </w:tc>
        <w:tc>
          <w:tcPr>
            <w:tcW w:w="1276" w:type="dxa"/>
          </w:tcPr>
          <w:p w14:paraId="1FFB7A61" w14:textId="77777777" w:rsidR="00AE7191" w:rsidRPr="001E2C69" w:rsidRDefault="00AE7191" w:rsidP="00722885">
            <w:pPr>
              <w:pStyle w:val="Iauiue"/>
              <w:jc w:val="both"/>
              <w:rPr>
                <w:color w:val="000000" w:themeColor="text1"/>
                <w:sz w:val="16"/>
                <w:szCs w:val="16"/>
              </w:rPr>
            </w:pPr>
          </w:p>
        </w:tc>
        <w:tc>
          <w:tcPr>
            <w:tcW w:w="1417" w:type="dxa"/>
          </w:tcPr>
          <w:p w14:paraId="0D9293AA" w14:textId="77777777" w:rsidR="00AE7191" w:rsidRPr="001E2C69" w:rsidRDefault="00AE7191" w:rsidP="00722885">
            <w:pPr>
              <w:pStyle w:val="Iauiue"/>
              <w:jc w:val="both"/>
              <w:rPr>
                <w:color w:val="000000" w:themeColor="text1"/>
                <w:sz w:val="16"/>
                <w:szCs w:val="16"/>
              </w:rPr>
            </w:pPr>
          </w:p>
        </w:tc>
        <w:tc>
          <w:tcPr>
            <w:tcW w:w="1418" w:type="dxa"/>
          </w:tcPr>
          <w:p w14:paraId="4B378B9E" w14:textId="77777777" w:rsidR="00AE7191" w:rsidRPr="001E2C69" w:rsidRDefault="00AE7191" w:rsidP="00722885">
            <w:pPr>
              <w:pStyle w:val="Iauiue"/>
              <w:jc w:val="both"/>
              <w:rPr>
                <w:color w:val="000000" w:themeColor="text1"/>
                <w:sz w:val="16"/>
                <w:szCs w:val="16"/>
              </w:rPr>
            </w:pPr>
          </w:p>
        </w:tc>
        <w:tc>
          <w:tcPr>
            <w:tcW w:w="1417" w:type="dxa"/>
          </w:tcPr>
          <w:p w14:paraId="2CF40258" w14:textId="77777777" w:rsidR="00AE7191" w:rsidRPr="001E2C69" w:rsidRDefault="00AE7191" w:rsidP="00722885">
            <w:pPr>
              <w:pStyle w:val="Iauiue"/>
              <w:jc w:val="both"/>
              <w:rPr>
                <w:color w:val="000000" w:themeColor="text1"/>
                <w:sz w:val="16"/>
                <w:szCs w:val="16"/>
              </w:rPr>
            </w:pPr>
          </w:p>
        </w:tc>
        <w:tc>
          <w:tcPr>
            <w:tcW w:w="1559" w:type="dxa"/>
          </w:tcPr>
          <w:p w14:paraId="280AAA8F" w14:textId="77777777" w:rsidR="00AE7191" w:rsidRPr="001E2C69" w:rsidRDefault="00AE7191" w:rsidP="00722885">
            <w:pPr>
              <w:pStyle w:val="Iauiue"/>
              <w:jc w:val="both"/>
              <w:rPr>
                <w:color w:val="000000" w:themeColor="text1"/>
                <w:sz w:val="16"/>
                <w:szCs w:val="16"/>
              </w:rPr>
            </w:pPr>
          </w:p>
        </w:tc>
        <w:tc>
          <w:tcPr>
            <w:tcW w:w="1420" w:type="dxa"/>
          </w:tcPr>
          <w:p w14:paraId="3C3DF97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Наружная</w:t>
            </w:r>
          </w:p>
        </w:tc>
      </w:tr>
      <w:tr w:rsidR="001E2C69" w:rsidRPr="001E2C69" w14:paraId="10815690" w14:textId="77777777" w:rsidTr="00CC5360">
        <w:tc>
          <w:tcPr>
            <w:tcW w:w="2093" w:type="dxa"/>
          </w:tcPr>
          <w:p w14:paraId="47843250" w14:textId="77777777" w:rsidR="00AE7191" w:rsidRPr="001E2C69" w:rsidRDefault="00AE7191" w:rsidP="00722885">
            <w:pPr>
              <w:pStyle w:val="Iauiue"/>
              <w:jc w:val="both"/>
              <w:rPr>
                <w:color w:val="000000" w:themeColor="text1"/>
                <w:sz w:val="16"/>
                <w:szCs w:val="16"/>
              </w:rPr>
            </w:pPr>
          </w:p>
        </w:tc>
        <w:tc>
          <w:tcPr>
            <w:tcW w:w="1276" w:type="dxa"/>
          </w:tcPr>
          <w:p w14:paraId="358AF058" w14:textId="77777777" w:rsidR="00AE7191" w:rsidRPr="001E2C69" w:rsidRDefault="00AE7191" w:rsidP="00722885">
            <w:pPr>
              <w:pStyle w:val="Iauiue"/>
              <w:jc w:val="both"/>
              <w:rPr>
                <w:color w:val="000000" w:themeColor="text1"/>
                <w:sz w:val="16"/>
                <w:szCs w:val="16"/>
              </w:rPr>
            </w:pPr>
          </w:p>
        </w:tc>
        <w:tc>
          <w:tcPr>
            <w:tcW w:w="1417" w:type="dxa"/>
          </w:tcPr>
          <w:p w14:paraId="2E332C2C" w14:textId="77777777" w:rsidR="00AE7191" w:rsidRPr="001E2C69" w:rsidRDefault="00AE7191" w:rsidP="00722885">
            <w:pPr>
              <w:pStyle w:val="Iauiue"/>
              <w:jc w:val="both"/>
              <w:rPr>
                <w:color w:val="000000" w:themeColor="text1"/>
                <w:sz w:val="16"/>
                <w:szCs w:val="16"/>
              </w:rPr>
            </w:pPr>
          </w:p>
        </w:tc>
        <w:tc>
          <w:tcPr>
            <w:tcW w:w="1418" w:type="dxa"/>
          </w:tcPr>
          <w:p w14:paraId="7C326368" w14:textId="77777777" w:rsidR="00AE7191" w:rsidRPr="001E2C69" w:rsidRDefault="00AE7191" w:rsidP="00722885">
            <w:pPr>
              <w:pStyle w:val="Iauiue"/>
              <w:jc w:val="both"/>
              <w:rPr>
                <w:color w:val="000000" w:themeColor="text1"/>
                <w:sz w:val="16"/>
                <w:szCs w:val="16"/>
              </w:rPr>
            </w:pPr>
          </w:p>
        </w:tc>
        <w:tc>
          <w:tcPr>
            <w:tcW w:w="1417" w:type="dxa"/>
          </w:tcPr>
          <w:p w14:paraId="341C7B4D" w14:textId="77777777" w:rsidR="00AE7191" w:rsidRPr="001E2C69" w:rsidRDefault="00AE7191" w:rsidP="00722885">
            <w:pPr>
              <w:pStyle w:val="Iauiue"/>
              <w:jc w:val="both"/>
              <w:rPr>
                <w:color w:val="000000" w:themeColor="text1"/>
                <w:sz w:val="16"/>
                <w:szCs w:val="16"/>
              </w:rPr>
            </w:pPr>
          </w:p>
        </w:tc>
        <w:tc>
          <w:tcPr>
            <w:tcW w:w="1559" w:type="dxa"/>
          </w:tcPr>
          <w:p w14:paraId="43B30FD1" w14:textId="77777777" w:rsidR="00AE7191" w:rsidRPr="001E2C69" w:rsidRDefault="00AE7191" w:rsidP="00722885">
            <w:pPr>
              <w:pStyle w:val="Iauiue"/>
              <w:jc w:val="both"/>
              <w:rPr>
                <w:color w:val="000000" w:themeColor="text1"/>
                <w:sz w:val="16"/>
                <w:szCs w:val="16"/>
              </w:rPr>
            </w:pPr>
          </w:p>
        </w:tc>
        <w:tc>
          <w:tcPr>
            <w:tcW w:w="1420" w:type="dxa"/>
          </w:tcPr>
          <w:p w14:paraId="47728C6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подвеска:</w:t>
            </w:r>
          </w:p>
        </w:tc>
      </w:tr>
      <w:tr w:rsidR="001E2C69" w:rsidRPr="001E2C69" w14:paraId="576B89E7" w14:textId="77777777" w:rsidTr="00CC5360">
        <w:tc>
          <w:tcPr>
            <w:tcW w:w="2093" w:type="dxa"/>
          </w:tcPr>
          <w:p w14:paraId="4CE2918D" w14:textId="77777777" w:rsidR="00AE7191" w:rsidRPr="001E2C69" w:rsidRDefault="00AE7191" w:rsidP="00722885">
            <w:pPr>
              <w:pStyle w:val="Iauiue"/>
              <w:jc w:val="both"/>
              <w:rPr>
                <w:color w:val="000000" w:themeColor="text1"/>
                <w:sz w:val="16"/>
                <w:szCs w:val="16"/>
              </w:rPr>
            </w:pPr>
          </w:p>
        </w:tc>
        <w:tc>
          <w:tcPr>
            <w:tcW w:w="1276" w:type="dxa"/>
          </w:tcPr>
          <w:p w14:paraId="2AF6B3C1" w14:textId="77777777" w:rsidR="00AE7191" w:rsidRPr="001E2C69" w:rsidRDefault="00AE7191" w:rsidP="00722885">
            <w:pPr>
              <w:pStyle w:val="Iauiue"/>
              <w:jc w:val="both"/>
              <w:rPr>
                <w:color w:val="000000" w:themeColor="text1"/>
                <w:sz w:val="16"/>
                <w:szCs w:val="16"/>
              </w:rPr>
            </w:pPr>
          </w:p>
        </w:tc>
        <w:tc>
          <w:tcPr>
            <w:tcW w:w="1417" w:type="dxa"/>
          </w:tcPr>
          <w:p w14:paraId="555AAB4F" w14:textId="77777777" w:rsidR="00AE7191" w:rsidRPr="001E2C69" w:rsidRDefault="00AE7191" w:rsidP="00722885">
            <w:pPr>
              <w:pStyle w:val="Iauiue"/>
              <w:jc w:val="both"/>
              <w:rPr>
                <w:color w:val="000000" w:themeColor="text1"/>
                <w:sz w:val="16"/>
                <w:szCs w:val="16"/>
              </w:rPr>
            </w:pPr>
          </w:p>
        </w:tc>
        <w:tc>
          <w:tcPr>
            <w:tcW w:w="1418" w:type="dxa"/>
          </w:tcPr>
          <w:p w14:paraId="126AD862" w14:textId="77777777" w:rsidR="00AE7191" w:rsidRPr="001E2C69" w:rsidRDefault="00AE7191" w:rsidP="00722885">
            <w:pPr>
              <w:pStyle w:val="Iauiue"/>
              <w:jc w:val="both"/>
              <w:rPr>
                <w:color w:val="000000" w:themeColor="text1"/>
                <w:sz w:val="16"/>
                <w:szCs w:val="16"/>
              </w:rPr>
            </w:pPr>
          </w:p>
        </w:tc>
        <w:tc>
          <w:tcPr>
            <w:tcW w:w="1417" w:type="dxa"/>
          </w:tcPr>
          <w:p w14:paraId="27FBE38C" w14:textId="77777777" w:rsidR="00AE7191" w:rsidRPr="001E2C69" w:rsidRDefault="00AE7191" w:rsidP="00722885">
            <w:pPr>
              <w:pStyle w:val="Iauiue"/>
              <w:jc w:val="both"/>
              <w:rPr>
                <w:color w:val="000000" w:themeColor="text1"/>
                <w:sz w:val="16"/>
                <w:szCs w:val="16"/>
              </w:rPr>
            </w:pPr>
          </w:p>
        </w:tc>
        <w:tc>
          <w:tcPr>
            <w:tcW w:w="1559" w:type="dxa"/>
          </w:tcPr>
          <w:p w14:paraId="05553154" w14:textId="77777777" w:rsidR="00AE7191" w:rsidRPr="001E2C69" w:rsidRDefault="00AE7191" w:rsidP="00722885">
            <w:pPr>
              <w:pStyle w:val="Iauiue"/>
              <w:jc w:val="both"/>
              <w:rPr>
                <w:color w:val="000000" w:themeColor="text1"/>
                <w:sz w:val="16"/>
                <w:szCs w:val="16"/>
              </w:rPr>
            </w:pPr>
          </w:p>
        </w:tc>
        <w:tc>
          <w:tcPr>
            <w:tcW w:w="1420" w:type="dxa"/>
          </w:tcPr>
          <w:p w14:paraId="3052113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2хФАБ-100. Всего</w:t>
            </w:r>
          </w:p>
        </w:tc>
      </w:tr>
      <w:tr w:rsidR="001E2C69" w:rsidRPr="001E2C69" w14:paraId="042ABDF8" w14:textId="77777777" w:rsidTr="00CC5360">
        <w:tc>
          <w:tcPr>
            <w:tcW w:w="2093" w:type="dxa"/>
          </w:tcPr>
          <w:p w14:paraId="539646B9" w14:textId="77777777" w:rsidR="00AE7191" w:rsidRPr="001E2C69" w:rsidRDefault="00AE7191" w:rsidP="00722885">
            <w:pPr>
              <w:pStyle w:val="Iauiue"/>
              <w:jc w:val="both"/>
              <w:rPr>
                <w:color w:val="000000" w:themeColor="text1"/>
                <w:sz w:val="16"/>
                <w:szCs w:val="16"/>
              </w:rPr>
            </w:pPr>
          </w:p>
        </w:tc>
        <w:tc>
          <w:tcPr>
            <w:tcW w:w="1276" w:type="dxa"/>
          </w:tcPr>
          <w:p w14:paraId="4723FEF3" w14:textId="77777777" w:rsidR="00AE7191" w:rsidRPr="001E2C69" w:rsidRDefault="00AE7191" w:rsidP="00722885">
            <w:pPr>
              <w:pStyle w:val="Iauiue"/>
              <w:jc w:val="both"/>
              <w:rPr>
                <w:color w:val="000000" w:themeColor="text1"/>
                <w:sz w:val="16"/>
                <w:szCs w:val="16"/>
              </w:rPr>
            </w:pPr>
          </w:p>
        </w:tc>
        <w:tc>
          <w:tcPr>
            <w:tcW w:w="1417" w:type="dxa"/>
          </w:tcPr>
          <w:p w14:paraId="4AF87EA7" w14:textId="77777777" w:rsidR="00AE7191" w:rsidRPr="001E2C69" w:rsidRDefault="00AE7191" w:rsidP="00722885">
            <w:pPr>
              <w:pStyle w:val="Iauiue"/>
              <w:jc w:val="both"/>
              <w:rPr>
                <w:color w:val="000000" w:themeColor="text1"/>
                <w:sz w:val="16"/>
                <w:szCs w:val="16"/>
              </w:rPr>
            </w:pPr>
          </w:p>
        </w:tc>
        <w:tc>
          <w:tcPr>
            <w:tcW w:w="1418" w:type="dxa"/>
          </w:tcPr>
          <w:p w14:paraId="3A1FA65C" w14:textId="77777777" w:rsidR="00AE7191" w:rsidRPr="001E2C69" w:rsidRDefault="00AE7191" w:rsidP="00722885">
            <w:pPr>
              <w:pStyle w:val="Iauiue"/>
              <w:jc w:val="both"/>
              <w:rPr>
                <w:color w:val="000000" w:themeColor="text1"/>
                <w:sz w:val="16"/>
                <w:szCs w:val="16"/>
              </w:rPr>
            </w:pPr>
          </w:p>
        </w:tc>
        <w:tc>
          <w:tcPr>
            <w:tcW w:w="1417" w:type="dxa"/>
          </w:tcPr>
          <w:p w14:paraId="6B3DDB28" w14:textId="77777777" w:rsidR="00AE7191" w:rsidRPr="001E2C69" w:rsidRDefault="00AE7191" w:rsidP="00722885">
            <w:pPr>
              <w:pStyle w:val="Iauiue"/>
              <w:jc w:val="both"/>
              <w:rPr>
                <w:color w:val="000000" w:themeColor="text1"/>
                <w:sz w:val="16"/>
                <w:szCs w:val="16"/>
              </w:rPr>
            </w:pPr>
          </w:p>
        </w:tc>
        <w:tc>
          <w:tcPr>
            <w:tcW w:w="1559" w:type="dxa"/>
          </w:tcPr>
          <w:p w14:paraId="3F0D6F2A" w14:textId="77777777" w:rsidR="00AE7191" w:rsidRPr="001E2C69" w:rsidRDefault="00AE7191" w:rsidP="00722885">
            <w:pPr>
              <w:pStyle w:val="Iauiue"/>
              <w:jc w:val="both"/>
              <w:rPr>
                <w:color w:val="000000" w:themeColor="text1"/>
                <w:sz w:val="16"/>
                <w:szCs w:val="16"/>
              </w:rPr>
            </w:pPr>
          </w:p>
        </w:tc>
        <w:tc>
          <w:tcPr>
            <w:tcW w:w="1420" w:type="dxa"/>
          </w:tcPr>
          <w:p w14:paraId="016E6BD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400 кг</w:t>
            </w:r>
          </w:p>
        </w:tc>
      </w:tr>
      <w:tr w:rsidR="001E2C69" w:rsidRPr="001E2C69" w14:paraId="19FC5F9C" w14:textId="77777777" w:rsidTr="00CC5360">
        <w:tc>
          <w:tcPr>
            <w:tcW w:w="2093" w:type="dxa"/>
          </w:tcPr>
          <w:p w14:paraId="76C6776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Мощность мотора в л.с.</w:t>
            </w:r>
          </w:p>
        </w:tc>
        <w:tc>
          <w:tcPr>
            <w:tcW w:w="1276" w:type="dxa"/>
          </w:tcPr>
          <w:p w14:paraId="36E0C655" w14:textId="77777777" w:rsidR="00AE7191" w:rsidRPr="001E2C69" w:rsidRDefault="00AE7191" w:rsidP="00722885">
            <w:pPr>
              <w:pStyle w:val="Iauiue"/>
              <w:jc w:val="both"/>
              <w:rPr>
                <w:color w:val="000000" w:themeColor="text1"/>
                <w:sz w:val="16"/>
                <w:szCs w:val="16"/>
              </w:rPr>
            </w:pPr>
          </w:p>
        </w:tc>
        <w:tc>
          <w:tcPr>
            <w:tcW w:w="1417" w:type="dxa"/>
          </w:tcPr>
          <w:p w14:paraId="68257FC5" w14:textId="77777777" w:rsidR="00AE7191" w:rsidRPr="001E2C69" w:rsidRDefault="00AE7191" w:rsidP="00722885">
            <w:pPr>
              <w:pStyle w:val="Iauiue"/>
              <w:jc w:val="both"/>
              <w:rPr>
                <w:color w:val="000000" w:themeColor="text1"/>
                <w:sz w:val="16"/>
                <w:szCs w:val="16"/>
              </w:rPr>
            </w:pPr>
          </w:p>
        </w:tc>
        <w:tc>
          <w:tcPr>
            <w:tcW w:w="1418" w:type="dxa"/>
          </w:tcPr>
          <w:p w14:paraId="01A3A10E" w14:textId="77777777" w:rsidR="00AE7191" w:rsidRPr="001E2C69" w:rsidRDefault="00AE7191" w:rsidP="00722885">
            <w:pPr>
              <w:pStyle w:val="Iauiue"/>
              <w:jc w:val="both"/>
              <w:rPr>
                <w:color w:val="000000" w:themeColor="text1"/>
                <w:sz w:val="16"/>
                <w:szCs w:val="16"/>
              </w:rPr>
            </w:pPr>
          </w:p>
        </w:tc>
        <w:tc>
          <w:tcPr>
            <w:tcW w:w="1417" w:type="dxa"/>
          </w:tcPr>
          <w:p w14:paraId="7D664C8E" w14:textId="77777777" w:rsidR="00AE7191" w:rsidRPr="001E2C69" w:rsidRDefault="00AE7191" w:rsidP="00722885">
            <w:pPr>
              <w:pStyle w:val="Iauiue"/>
              <w:jc w:val="both"/>
              <w:rPr>
                <w:color w:val="000000" w:themeColor="text1"/>
                <w:sz w:val="16"/>
                <w:szCs w:val="16"/>
              </w:rPr>
            </w:pPr>
          </w:p>
        </w:tc>
        <w:tc>
          <w:tcPr>
            <w:tcW w:w="1559" w:type="dxa"/>
          </w:tcPr>
          <w:p w14:paraId="5893E5D0" w14:textId="77777777" w:rsidR="00AE7191" w:rsidRPr="001E2C69" w:rsidRDefault="00AE7191" w:rsidP="00722885">
            <w:pPr>
              <w:pStyle w:val="Iauiue"/>
              <w:jc w:val="both"/>
              <w:rPr>
                <w:color w:val="000000" w:themeColor="text1"/>
                <w:sz w:val="16"/>
                <w:szCs w:val="16"/>
              </w:rPr>
            </w:pPr>
          </w:p>
        </w:tc>
        <w:tc>
          <w:tcPr>
            <w:tcW w:w="1420" w:type="dxa"/>
          </w:tcPr>
          <w:p w14:paraId="3CE4361A" w14:textId="77777777" w:rsidR="00AE7191" w:rsidRPr="001E2C69" w:rsidRDefault="00AE7191" w:rsidP="00722885">
            <w:pPr>
              <w:pStyle w:val="Iauiue"/>
              <w:jc w:val="both"/>
              <w:rPr>
                <w:color w:val="000000" w:themeColor="text1"/>
                <w:sz w:val="16"/>
                <w:szCs w:val="16"/>
              </w:rPr>
            </w:pPr>
          </w:p>
        </w:tc>
      </w:tr>
      <w:tr w:rsidR="001E2C69" w:rsidRPr="001E2C69" w14:paraId="5FFD0138" w14:textId="77777777" w:rsidTr="00CC5360">
        <w:tc>
          <w:tcPr>
            <w:tcW w:w="2093" w:type="dxa"/>
          </w:tcPr>
          <w:p w14:paraId="01ECA73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у земли</w:t>
            </w:r>
          </w:p>
        </w:tc>
        <w:tc>
          <w:tcPr>
            <w:tcW w:w="1276" w:type="dxa"/>
          </w:tcPr>
          <w:p w14:paraId="6ED682C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1020</w:t>
            </w:r>
          </w:p>
        </w:tc>
        <w:tc>
          <w:tcPr>
            <w:tcW w:w="1417" w:type="dxa"/>
          </w:tcPr>
          <w:p w14:paraId="3664CC5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1020</w:t>
            </w:r>
          </w:p>
        </w:tc>
        <w:tc>
          <w:tcPr>
            <w:tcW w:w="1418" w:type="dxa"/>
          </w:tcPr>
          <w:p w14:paraId="53FF01B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1180-1200</w:t>
            </w:r>
          </w:p>
        </w:tc>
        <w:tc>
          <w:tcPr>
            <w:tcW w:w="1417" w:type="dxa"/>
          </w:tcPr>
          <w:p w14:paraId="78F27FF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1020</w:t>
            </w:r>
          </w:p>
        </w:tc>
        <w:tc>
          <w:tcPr>
            <w:tcW w:w="1559" w:type="dxa"/>
          </w:tcPr>
          <w:p w14:paraId="0A24B59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1120</w:t>
            </w:r>
          </w:p>
        </w:tc>
        <w:tc>
          <w:tcPr>
            <w:tcW w:w="1420" w:type="dxa"/>
          </w:tcPr>
          <w:p w14:paraId="3D577A5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1020</w:t>
            </w:r>
          </w:p>
        </w:tc>
      </w:tr>
      <w:tr w:rsidR="001E2C69" w:rsidRPr="001E2C69" w14:paraId="7AFE2741" w14:textId="77777777" w:rsidTr="00CC5360">
        <w:tc>
          <w:tcPr>
            <w:tcW w:w="2093" w:type="dxa"/>
          </w:tcPr>
          <w:p w14:paraId="0824A23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 высоте</w:t>
            </w:r>
          </w:p>
        </w:tc>
        <w:tc>
          <w:tcPr>
            <w:tcW w:w="1276" w:type="dxa"/>
          </w:tcPr>
          <w:p w14:paraId="00705F9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1050/4000</w:t>
            </w:r>
          </w:p>
        </w:tc>
        <w:tc>
          <w:tcPr>
            <w:tcW w:w="1417" w:type="dxa"/>
          </w:tcPr>
          <w:p w14:paraId="720FF97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1050/4000</w:t>
            </w:r>
          </w:p>
        </w:tc>
        <w:tc>
          <w:tcPr>
            <w:tcW w:w="1418" w:type="dxa"/>
          </w:tcPr>
          <w:p w14:paraId="69E36E9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1150/2800</w:t>
            </w:r>
          </w:p>
        </w:tc>
        <w:tc>
          <w:tcPr>
            <w:tcW w:w="1417" w:type="dxa"/>
          </w:tcPr>
          <w:p w14:paraId="5516094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1050/4000</w:t>
            </w:r>
          </w:p>
        </w:tc>
        <w:tc>
          <w:tcPr>
            <w:tcW w:w="1559" w:type="dxa"/>
          </w:tcPr>
          <w:p w14:paraId="496F60C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1200/6000</w:t>
            </w:r>
          </w:p>
        </w:tc>
        <w:tc>
          <w:tcPr>
            <w:tcW w:w="1420" w:type="dxa"/>
          </w:tcPr>
          <w:p w14:paraId="50E1A18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1050/4000</w:t>
            </w:r>
          </w:p>
        </w:tc>
      </w:tr>
      <w:tr w:rsidR="001E2C69" w:rsidRPr="001E2C69" w14:paraId="2A62DFAF" w14:textId="77777777" w:rsidTr="00CC5360">
        <w:tc>
          <w:tcPr>
            <w:tcW w:w="2093" w:type="dxa"/>
          </w:tcPr>
          <w:p w14:paraId="0334F4C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Нормальный полетный вес</w:t>
            </w:r>
          </w:p>
        </w:tc>
        <w:tc>
          <w:tcPr>
            <w:tcW w:w="1276" w:type="dxa"/>
          </w:tcPr>
          <w:p w14:paraId="21A056FC" w14:textId="77777777" w:rsidR="00AE7191" w:rsidRPr="001E2C69" w:rsidRDefault="00AE7191" w:rsidP="00722885">
            <w:pPr>
              <w:pStyle w:val="Iauiue"/>
              <w:jc w:val="both"/>
              <w:rPr>
                <w:color w:val="000000" w:themeColor="text1"/>
                <w:sz w:val="16"/>
                <w:szCs w:val="16"/>
              </w:rPr>
            </w:pPr>
          </w:p>
        </w:tc>
        <w:tc>
          <w:tcPr>
            <w:tcW w:w="1417" w:type="dxa"/>
          </w:tcPr>
          <w:p w14:paraId="1F35B45A" w14:textId="77777777" w:rsidR="00AE7191" w:rsidRPr="001E2C69" w:rsidRDefault="00AE7191" w:rsidP="00722885">
            <w:pPr>
              <w:pStyle w:val="Iauiue"/>
              <w:jc w:val="both"/>
              <w:rPr>
                <w:color w:val="000000" w:themeColor="text1"/>
                <w:sz w:val="16"/>
                <w:szCs w:val="16"/>
              </w:rPr>
            </w:pPr>
          </w:p>
        </w:tc>
        <w:tc>
          <w:tcPr>
            <w:tcW w:w="1418" w:type="dxa"/>
          </w:tcPr>
          <w:p w14:paraId="6A54B104" w14:textId="77777777" w:rsidR="00AE7191" w:rsidRPr="001E2C69" w:rsidRDefault="00AE7191" w:rsidP="00722885">
            <w:pPr>
              <w:pStyle w:val="Iauiue"/>
              <w:jc w:val="both"/>
              <w:rPr>
                <w:color w:val="000000" w:themeColor="text1"/>
                <w:sz w:val="16"/>
                <w:szCs w:val="16"/>
              </w:rPr>
            </w:pPr>
          </w:p>
        </w:tc>
        <w:tc>
          <w:tcPr>
            <w:tcW w:w="1417" w:type="dxa"/>
          </w:tcPr>
          <w:p w14:paraId="4E17DBDD" w14:textId="77777777" w:rsidR="00AE7191" w:rsidRPr="001E2C69" w:rsidRDefault="00AE7191" w:rsidP="00722885">
            <w:pPr>
              <w:pStyle w:val="Iauiue"/>
              <w:jc w:val="both"/>
              <w:rPr>
                <w:color w:val="000000" w:themeColor="text1"/>
                <w:sz w:val="16"/>
                <w:szCs w:val="16"/>
              </w:rPr>
            </w:pPr>
          </w:p>
        </w:tc>
        <w:tc>
          <w:tcPr>
            <w:tcW w:w="1559" w:type="dxa"/>
          </w:tcPr>
          <w:p w14:paraId="045A9F54" w14:textId="77777777" w:rsidR="00AE7191" w:rsidRPr="001E2C69" w:rsidRDefault="00AE7191" w:rsidP="00722885">
            <w:pPr>
              <w:pStyle w:val="Iauiue"/>
              <w:jc w:val="both"/>
              <w:rPr>
                <w:color w:val="000000" w:themeColor="text1"/>
                <w:sz w:val="16"/>
                <w:szCs w:val="16"/>
              </w:rPr>
            </w:pPr>
          </w:p>
        </w:tc>
        <w:tc>
          <w:tcPr>
            <w:tcW w:w="1420" w:type="dxa"/>
          </w:tcPr>
          <w:p w14:paraId="239F1E87" w14:textId="77777777" w:rsidR="00AE7191" w:rsidRPr="001E2C69" w:rsidRDefault="00AE7191" w:rsidP="00722885">
            <w:pPr>
              <w:pStyle w:val="Iauiue"/>
              <w:jc w:val="both"/>
              <w:rPr>
                <w:color w:val="000000" w:themeColor="text1"/>
                <w:sz w:val="16"/>
                <w:szCs w:val="16"/>
              </w:rPr>
            </w:pPr>
          </w:p>
        </w:tc>
      </w:tr>
      <w:tr w:rsidR="001E2C69" w:rsidRPr="001E2C69" w14:paraId="2B723B51" w14:textId="77777777" w:rsidTr="00CC5360">
        <w:tc>
          <w:tcPr>
            <w:tcW w:w="2093" w:type="dxa"/>
          </w:tcPr>
          <w:p w14:paraId="2E2C10B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кг</w:t>
            </w:r>
          </w:p>
        </w:tc>
        <w:tc>
          <w:tcPr>
            <w:tcW w:w="1276" w:type="dxa"/>
          </w:tcPr>
          <w:p w14:paraId="6B8A3C0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2951</w:t>
            </w:r>
          </w:p>
        </w:tc>
        <w:tc>
          <w:tcPr>
            <w:tcW w:w="1417" w:type="dxa"/>
          </w:tcPr>
          <w:p w14:paraId="312CF86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3042</w:t>
            </w:r>
          </w:p>
        </w:tc>
        <w:tc>
          <w:tcPr>
            <w:tcW w:w="1418" w:type="dxa"/>
          </w:tcPr>
          <w:p w14:paraId="2542AC5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3042</w:t>
            </w:r>
          </w:p>
        </w:tc>
        <w:tc>
          <w:tcPr>
            <w:tcW w:w="1417" w:type="dxa"/>
          </w:tcPr>
          <w:p w14:paraId="09DA311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3280</w:t>
            </w:r>
          </w:p>
        </w:tc>
        <w:tc>
          <w:tcPr>
            <w:tcW w:w="1559" w:type="dxa"/>
          </w:tcPr>
          <w:p w14:paraId="12991A2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3299</w:t>
            </w:r>
          </w:p>
        </w:tc>
        <w:tc>
          <w:tcPr>
            <w:tcW w:w="1420" w:type="dxa"/>
          </w:tcPr>
          <w:p w14:paraId="168C9D1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7735</w:t>
            </w:r>
          </w:p>
        </w:tc>
      </w:tr>
      <w:tr w:rsidR="001E2C69" w:rsidRPr="001E2C69" w14:paraId="38B1754F" w14:textId="77777777" w:rsidTr="00CC5360">
        <w:tc>
          <w:tcPr>
            <w:tcW w:w="2093" w:type="dxa"/>
          </w:tcPr>
          <w:p w14:paraId="585A575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Запас горючего в кг</w:t>
            </w:r>
          </w:p>
        </w:tc>
        <w:tc>
          <w:tcPr>
            <w:tcW w:w="1276" w:type="dxa"/>
          </w:tcPr>
          <w:p w14:paraId="1CD6427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305</w:t>
            </w:r>
          </w:p>
        </w:tc>
        <w:tc>
          <w:tcPr>
            <w:tcW w:w="1417" w:type="dxa"/>
          </w:tcPr>
          <w:p w14:paraId="62C05AC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305</w:t>
            </w:r>
          </w:p>
        </w:tc>
        <w:tc>
          <w:tcPr>
            <w:tcW w:w="1418" w:type="dxa"/>
          </w:tcPr>
          <w:p w14:paraId="0867105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305</w:t>
            </w:r>
          </w:p>
        </w:tc>
        <w:tc>
          <w:tcPr>
            <w:tcW w:w="1417" w:type="dxa"/>
          </w:tcPr>
          <w:p w14:paraId="74EB564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340</w:t>
            </w:r>
          </w:p>
        </w:tc>
        <w:tc>
          <w:tcPr>
            <w:tcW w:w="1559" w:type="dxa"/>
          </w:tcPr>
          <w:p w14:paraId="0359351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335</w:t>
            </w:r>
          </w:p>
        </w:tc>
        <w:tc>
          <w:tcPr>
            <w:tcW w:w="1420" w:type="dxa"/>
          </w:tcPr>
          <w:p w14:paraId="10556FD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1335/1606 с</w:t>
            </w:r>
          </w:p>
        </w:tc>
      </w:tr>
      <w:tr w:rsidR="001E2C69" w:rsidRPr="001E2C69" w14:paraId="45FF1AF7" w14:textId="77777777" w:rsidTr="00CC5360">
        <w:tc>
          <w:tcPr>
            <w:tcW w:w="2093" w:type="dxa"/>
          </w:tcPr>
          <w:p w14:paraId="0AEE337D" w14:textId="77777777" w:rsidR="00AE7191" w:rsidRPr="001E2C69" w:rsidRDefault="00AE7191" w:rsidP="00722885">
            <w:pPr>
              <w:pStyle w:val="Iauiue"/>
              <w:jc w:val="both"/>
              <w:rPr>
                <w:color w:val="000000" w:themeColor="text1"/>
                <w:sz w:val="16"/>
                <w:szCs w:val="16"/>
              </w:rPr>
            </w:pPr>
          </w:p>
        </w:tc>
        <w:tc>
          <w:tcPr>
            <w:tcW w:w="1276" w:type="dxa"/>
          </w:tcPr>
          <w:p w14:paraId="6F3A0971" w14:textId="77777777" w:rsidR="00AE7191" w:rsidRPr="001E2C69" w:rsidRDefault="00AE7191" w:rsidP="00722885">
            <w:pPr>
              <w:pStyle w:val="Iauiue"/>
              <w:jc w:val="both"/>
              <w:rPr>
                <w:color w:val="000000" w:themeColor="text1"/>
                <w:sz w:val="16"/>
                <w:szCs w:val="16"/>
              </w:rPr>
            </w:pPr>
          </w:p>
        </w:tc>
        <w:tc>
          <w:tcPr>
            <w:tcW w:w="1417" w:type="dxa"/>
          </w:tcPr>
          <w:p w14:paraId="20891563" w14:textId="77777777" w:rsidR="00AE7191" w:rsidRPr="001E2C69" w:rsidRDefault="00AE7191" w:rsidP="00722885">
            <w:pPr>
              <w:pStyle w:val="Iauiue"/>
              <w:jc w:val="both"/>
              <w:rPr>
                <w:color w:val="000000" w:themeColor="text1"/>
                <w:sz w:val="16"/>
                <w:szCs w:val="16"/>
              </w:rPr>
            </w:pPr>
          </w:p>
        </w:tc>
        <w:tc>
          <w:tcPr>
            <w:tcW w:w="1418" w:type="dxa"/>
          </w:tcPr>
          <w:p w14:paraId="460628A4" w14:textId="77777777" w:rsidR="00AE7191" w:rsidRPr="001E2C69" w:rsidRDefault="00AE7191" w:rsidP="00722885">
            <w:pPr>
              <w:pStyle w:val="Iauiue"/>
              <w:jc w:val="both"/>
              <w:rPr>
                <w:color w:val="000000" w:themeColor="text1"/>
                <w:sz w:val="16"/>
                <w:szCs w:val="16"/>
              </w:rPr>
            </w:pPr>
          </w:p>
        </w:tc>
        <w:tc>
          <w:tcPr>
            <w:tcW w:w="1417" w:type="dxa"/>
          </w:tcPr>
          <w:p w14:paraId="755205D3" w14:textId="77777777" w:rsidR="00AE7191" w:rsidRPr="001E2C69" w:rsidRDefault="00AE7191" w:rsidP="00722885">
            <w:pPr>
              <w:pStyle w:val="Iauiue"/>
              <w:jc w:val="both"/>
              <w:rPr>
                <w:color w:val="000000" w:themeColor="text1"/>
                <w:sz w:val="16"/>
                <w:szCs w:val="16"/>
              </w:rPr>
            </w:pPr>
          </w:p>
        </w:tc>
        <w:tc>
          <w:tcPr>
            <w:tcW w:w="1559" w:type="dxa"/>
          </w:tcPr>
          <w:p w14:paraId="66B65F38" w14:textId="77777777" w:rsidR="00AE7191" w:rsidRPr="001E2C69" w:rsidRDefault="00AE7191" w:rsidP="00722885">
            <w:pPr>
              <w:pStyle w:val="Iauiue"/>
              <w:jc w:val="both"/>
              <w:rPr>
                <w:color w:val="000000" w:themeColor="text1"/>
                <w:sz w:val="16"/>
                <w:szCs w:val="16"/>
              </w:rPr>
            </w:pPr>
          </w:p>
        </w:tc>
        <w:tc>
          <w:tcPr>
            <w:tcW w:w="1420" w:type="dxa"/>
          </w:tcPr>
          <w:p w14:paraId="7D6FD30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подвесн. б/баками</w:t>
            </w:r>
          </w:p>
        </w:tc>
      </w:tr>
      <w:tr w:rsidR="001E2C69" w:rsidRPr="001E2C69" w14:paraId="46066984" w14:textId="77777777" w:rsidTr="00CC5360">
        <w:tc>
          <w:tcPr>
            <w:tcW w:w="2093" w:type="dxa"/>
          </w:tcPr>
          <w:p w14:paraId="66BA5FC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Полетный вес в перегруз.</w:t>
            </w:r>
          </w:p>
        </w:tc>
        <w:tc>
          <w:tcPr>
            <w:tcW w:w="1276" w:type="dxa"/>
          </w:tcPr>
          <w:p w14:paraId="16F849C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2951</w:t>
            </w:r>
          </w:p>
        </w:tc>
        <w:tc>
          <w:tcPr>
            <w:tcW w:w="1417" w:type="dxa"/>
          </w:tcPr>
          <w:p w14:paraId="4E3328E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3100 с 6-РО</w:t>
            </w:r>
          </w:p>
        </w:tc>
        <w:tc>
          <w:tcPr>
            <w:tcW w:w="1418" w:type="dxa"/>
          </w:tcPr>
          <w:p w14:paraId="1BB4854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3100 с 6-РО</w:t>
            </w:r>
          </w:p>
        </w:tc>
        <w:tc>
          <w:tcPr>
            <w:tcW w:w="1417" w:type="dxa"/>
          </w:tcPr>
          <w:p w14:paraId="7768BA9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3280</w:t>
            </w:r>
          </w:p>
        </w:tc>
        <w:tc>
          <w:tcPr>
            <w:tcW w:w="1559" w:type="dxa"/>
          </w:tcPr>
          <w:p w14:paraId="07CB4AF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3499 с бомбами</w:t>
            </w:r>
          </w:p>
        </w:tc>
        <w:tc>
          <w:tcPr>
            <w:tcW w:w="1420" w:type="dxa"/>
          </w:tcPr>
          <w:p w14:paraId="1D078F0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8435</w:t>
            </w:r>
          </w:p>
        </w:tc>
      </w:tr>
      <w:tr w:rsidR="001E2C69" w:rsidRPr="001E2C69" w14:paraId="095464CB" w14:textId="77777777" w:rsidTr="00CC5360">
        <w:tc>
          <w:tcPr>
            <w:tcW w:w="2093" w:type="dxa"/>
          </w:tcPr>
          <w:p w14:paraId="7F0AB75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варианте в кг</w:t>
            </w:r>
          </w:p>
        </w:tc>
        <w:tc>
          <w:tcPr>
            <w:tcW w:w="1276" w:type="dxa"/>
          </w:tcPr>
          <w:p w14:paraId="5929060F" w14:textId="77777777" w:rsidR="00AE7191" w:rsidRPr="001E2C69" w:rsidRDefault="00AE7191" w:rsidP="00722885">
            <w:pPr>
              <w:pStyle w:val="Iauiue"/>
              <w:jc w:val="both"/>
              <w:rPr>
                <w:color w:val="000000" w:themeColor="text1"/>
                <w:sz w:val="16"/>
                <w:szCs w:val="16"/>
              </w:rPr>
            </w:pPr>
          </w:p>
        </w:tc>
        <w:tc>
          <w:tcPr>
            <w:tcW w:w="1417" w:type="dxa"/>
          </w:tcPr>
          <w:p w14:paraId="15DA4BC9" w14:textId="77777777" w:rsidR="00AE7191" w:rsidRPr="001E2C69" w:rsidRDefault="00AE7191" w:rsidP="00722885">
            <w:pPr>
              <w:pStyle w:val="Iauiue"/>
              <w:jc w:val="both"/>
              <w:rPr>
                <w:color w:val="000000" w:themeColor="text1"/>
                <w:sz w:val="16"/>
                <w:szCs w:val="16"/>
              </w:rPr>
            </w:pPr>
          </w:p>
        </w:tc>
        <w:tc>
          <w:tcPr>
            <w:tcW w:w="1418" w:type="dxa"/>
          </w:tcPr>
          <w:p w14:paraId="729A2BCB" w14:textId="77777777" w:rsidR="00AE7191" w:rsidRPr="001E2C69" w:rsidRDefault="00AE7191" w:rsidP="00722885">
            <w:pPr>
              <w:pStyle w:val="Iauiue"/>
              <w:jc w:val="both"/>
              <w:rPr>
                <w:color w:val="000000" w:themeColor="text1"/>
                <w:sz w:val="16"/>
                <w:szCs w:val="16"/>
              </w:rPr>
            </w:pPr>
          </w:p>
        </w:tc>
        <w:tc>
          <w:tcPr>
            <w:tcW w:w="1417" w:type="dxa"/>
          </w:tcPr>
          <w:p w14:paraId="1F8EF96B" w14:textId="77777777" w:rsidR="00AE7191" w:rsidRPr="001E2C69" w:rsidRDefault="00AE7191" w:rsidP="00722885">
            <w:pPr>
              <w:pStyle w:val="Iauiue"/>
              <w:jc w:val="both"/>
              <w:rPr>
                <w:color w:val="000000" w:themeColor="text1"/>
                <w:sz w:val="16"/>
                <w:szCs w:val="16"/>
              </w:rPr>
            </w:pPr>
          </w:p>
        </w:tc>
        <w:tc>
          <w:tcPr>
            <w:tcW w:w="1559" w:type="dxa"/>
          </w:tcPr>
          <w:p w14:paraId="4B033C4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200 кг</w:t>
            </w:r>
          </w:p>
        </w:tc>
        <w:tc>
          <w:tcPr>
            <w:tcW w:w="1420" w:type="dxa"/>
          </w:tcPr>
          <w:p w14:paraId="562CA21F" w14:textId="77777777" w:rsidR="00AE7191" w:rsidRPr="001E2C69" w:rsidRDefault="00AE7191" w:rsidP="00722885">
            <w:pPr>
              <w:pStyle w:val="Iauiue"/>
              <w:jc w:val="both"/>
              <w:rPr>
                <w:color w:val="000000" w:themeColor="text1"/>
                <w:sz w:val="16"/>
                <w:szCs w:val="16"/>
              </w:rPr>
            </w:pPr>
          </w:p>
        </w:tc>
      </w:tr>
      <w:tr w:rsidR="001E2C69" w:rsidRPr="001E2C69" w14:paraId="6FEAC63C" w14:textId="77777777" w:rsidTr="00CC5360">
        <w:tc>
          <w:tcPr>
            <w:tcW w:w="2093" w:type="dxa"/>
          </w:tcPr>
          <w:p w14:paraId="05AB77F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Практический потолок в м</w:t>
            </w:r>
          </w:p>
        </w:tc>
        <w:tc>
          <w:tcPr>
            <w:tcW w:w="1276" w:type="dxa"/>
          </w:tcPr>
          <w:p w14:paraId="1E253B3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9900</w:t>
            </w:r>
          </w:p>
        </w:tc>
        <w:tc>
          <w:tcPr>
            <w:tcW w:w="1417" w:type="dxa"/>
          </w:tcPr>
          <w:p w14:paraId="155E28B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10000</w:t>
            </w:r>
          </w:p>
        </w:tc>
        <w:tc>
          <w:tcPr>
            <w:tcW w:w="1418" w:type="dxa"/>
          </w:tcPr>
          <w:p w14:paraId="584DC07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10000</w:t>
            </w:r>
          </w:p>
        </w:tc>
        <w:tc>
          <w:tcPr>
            <w:tcW w:w="1417" w:type="dxa"/>
          </w:tcPr>
          <w:p w14:paraId="39DE4F7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9300</w:t>
            </w:r>
          </w:p>
        </w:tc>
        <w:tc>
          <w:tcPr>
            <w:tcW w:w="1559" w:type="dxa"/>
          </w:tcPr>
          <w:p w14:paraId="209BF3E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11500</w:t>
            </w:r>
          </w:p>
        </w:tc>
        <w:tc>
          <w:tcPr>
            <w:tcW w:w="1420" w:type="dxa"/>
          </w:tcPr>
          <w:p w14:paraId="19E7E28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9500</w:t>
            </w:r>
          </w:p>
        </w:tc>
      </w:tr>
      <w:tr w:rsidR="001E2C69" w:rsidRPr="001E2C69" w14:paraId="45A1BBFB" w14:textId="77777777" w:rsidTr="00CC5360">
        <w:tc>
          <w:tcPr>
            <w:tcW w:w="2093" w:type="dxa"/>
          </w:tcPr>
          <w:p w14:paraId="1CC3E08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Время набора высоты</w:t>
            </w:r>
          </w:p>
        </w:tc>
        <w:tc>
          <w:tcPr>
            <w:tcW w:w="1276" w:type="dxa"/>
          </w:tcPr>
          <w:p w14:paraId="2189C19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6,8</w:t>
            </w:r>
          </w:p>
        </w:tc>
        <w:tc>
          <w:tcPr>
            <w:tcW w:w="1417" w:type="dxa"/>
          </w:tcPr>
          <w:p w14:paraId="3CD54F5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6,5</w:t>
            </w:r>
          </w:p>
        </w:tc>
        <w:tc>
          <w:tcPr>
            <w:tcW w:w="1418" w:type="dxa"/>
          </w:tcPr>
          <w:p w14:paraId="5E51BC5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5,8</w:t>
            </w:r>
          </w:p>
        </w:tc>
        <w:tc>
          <w:tcPr>
            <w:tcW w:w="1417" w:type="dxa"/>
          </w:tcPr>
          <w:p w14:paraId="00B3E3A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8,6</w:t>
            </w:r>
          </w:p>
        </w:tc>
        <w:tc>
          <w:tcPr>
            <w:tcW w:w="1559" w:type="dxa"/>
          </w:tcPr>
          <w:p w14:paraId="1031230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7,1</w:t>
            </w:r>
          </w:p>
        </w:tc>
        <w:tc>
          <w:tcPr>
            <w:tcW w:w="1420" w:type="dxa"/>
          </w:tcPr>
          <w:p w14:paraId="481AC26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8,5</w:t>
            </w:r>
          </w:p>
        </w:tc>
      </w:tr>
      <w:tr w:rsidR="001E2C69" w:rsidRPr="001E2C69" w14:paraId="0AF4D54A" w14:textId="77777777" w:rsidTr="00CC5360">
        <w:tc>
          <w:tcPr>
            <w:tcW w:w="2093" w:type="dxa"/>
          </w:tcPr>
          <w:p w14:paraId="68B56F6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5000 м в мин.</w:t>
            </w:r>
          </w:p>
        </w:tc>
        <w:tc>
          <w:tcPr>
            <w:tcW w:w="1276" w:type="dxa"/>
          </w:tcPr>
          <w:p w14:paraId="137F15B0" w14:textId="77777777" w:rsidR="00AE7191" w:rsidRPr="001E2C69" w:rsidRDefault="00AE7191" w:rsidP="00722885">
            <w:pPr>
              <w:pStyle w:val="Iauiue"/>
              <w:jc w:val="both"/>
              <w:rPr>
                <w:color w:val="000000" w:themeColor="text1"/>
                <w:sz w:val="16"/>
                <w:szCs w:val="16"/>
              </w:rPr>
            </w:pPr>
          </w:p>
        </w:tc>
        <w:tc>
          <w:tcPr>
            <w:tcW w:w="1417" w:type="dxa"/>
          </w:tcPr>
          <w:p w14:paraId="0D6FC9EC" w14:textId="77777777" w:rsidR="00AE7191" w:rsidRPr="001E2C69" w:rsidRDefault="00AE7191" w:rsidP="00722885">
            <w:pPr>
              <w:pStyle w:val="Iauiue"/>
              <w:jc w:val="both"/>
              <w:rPr>
                <w:color w:val="000000" w:themeColor="text1"/>
                <w:sz w:val="16"/>
                <w:szCs w:val="16"/>
              </w:rPr>
            </w:pPr>
          </w:p>
        </w:tc>
        <w:tc>
          <w:tcPr>
            <w:tcW w:w="1418" w:type="dxa"/>
          </w:tcPr>
          <w:p w14:paraId="14A21311" w14:textId="77777777" w:rsidR="00AE7191" w:rsidRPr="001E2C69" w:rsidRDefault="00AE7191" w:rsidP="00722885">
            <w:pPr>
              <w:pStyle w:val="Iauiue"/>
              <w:jc w:val="both"/>
              <w:rPr>
                <w:color w:val="000000" w:themeColor="text1"/>
                <w:sz w:val="16"/>
                <w:szCs w:val="16"/>
              </w:rPr>
            </w:pPr>
          </w:p>
        </w:tc>
        <w:tc>
          <w:tcPr>
            <w:tcW w:w="1417" w:type="dxa"/>
          </w:tcPr>
          <w:p w14:paraId="28C22CB9" w14:textId="77777777" w:rsidR="00AE7191" w:rsidRPr="001E2C69" w:rsidRDefault="00AE7191" w:rsidP="00722885">
            <w:pPr>
              <w:pStyle w:val="Iauiue"/>
              <w:jc w:val="both"/>
              <w:rPr>
                <w:color w:val="000000" w:themeColor="text1"/>
                <w:sz w:val="16"/>
                <w:szCs w:val="16"/>
              </w:rPr>
            </w:pPr>
          </w:p>
        </w:tc>
        <w:tc>
          <w:tcPr>
            <w:tcW w:w="1559" w:type="dxa"/>
          </w:tcPr>
          <w:p w14:paraId="3C3A7BDD" w14:textId="77777777" w:rsidR="00AE7191" w:rsidRPr="001E2C69" w:rsidRDefault="00AE7191" w:rsidP="00722885">
            <w:pPr>
              <w:pStyle w:val="Iauiue"/>
              <w:jc w:val="both"/>
              <w:rPr>
                <w:color w:val="000000" w:themeColor="text1"/>
                <w:sz w:val="16"/>
                <w:szCs w:val="16"/>
              </w:rPr>
            </w:pPr>
          </w:p>
        </w:tc>
        <w:tc>
          <w:tcPr>
            <w:tcW w:w="1420" w:type="dxa"/>
          </w:tcPr>
          <w:p w14:paraId="2AAEB224" w14:textId="77777777" w:rsidR="00AE7191" w:rsidRPr="001E2C69" w:rsidRDefault="00AE7191" w:rsidP="00722885">
            <w:pPr>
              <w:pStyle w:val="Iauiue"/>
              <w:jc w:val="both"/>
              <w:rPr>
                <w:color w:val="000000" w:themeColor="text1"/>
                <w:sz w:val="16"/>
                <w:szCs w:val="16"/>
              </w:rPr>
            </w:pPr>
          </w:p>
        </w:tc>
      </w:tr>
      <w:tr w:rsidR="001E2C69" w:rsidRPr="001E2C69" w14:paraId="033FB926" w14:textId="77777777" w:rsidTr="00CC5360">
        <w:tc>
          <w:tcPr>
            <w:tcW w:w="2093" w:type="dxa"/>
          </w:tcPr>
          <w:p w14:paraId="6DA732E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Вираж на высоте</w:t>
            </w:r>
          </w:p>
        </w:tc>
        <w:tc>
          <w:tcPr>
            <w:tcW w:w="1276" w:type="dxa"/>
          </w:tcPr>
          <w:p w14:paraId="42598D0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20-21</w:t>
            </w:r>
          </w:p>
        </w:tc>
        <w:tc>
          <w:tcPr>
            <w:tcW w:w="1417" w:type="dxa"/>
          </w:tcPr>
          <w:p w14:paraId="00844B2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21</w:t>
            </w:r>
          </w:p>
        </w:tc>
        <w:tc>
          <w:tcPr>
            <w:tcW w:w="1418" w:type="dxa"/>
          </w:tcPr>
          <w:p w14:paraId="6E4378B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w:t>
            </w:r>
          </w:p>
        </w:tc>
        <w:tc>
          <w:tcPr>
            <w:tcW w:w="1417" w:type="dxa"/>
          </w:tcPr>
          <w:p w14:paraId="2D7C1AF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21</w:t>
            </w:r>
          </w:p>
        </w:tc>
        <w:tc>
          <w:tcPr>
            <w:tcW w:w="1559" w:type="dxa"/>
          </w:tcPr>
          <w:p w14:paraId="0D236A8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22</w:t>
            </w:r>
          </w:p>
        </w:tc>
        <w:tc>
          <w:tcPr>
            <w:tcW w:w="1420" w:type="dxa"/>
          </w:tcPr>
          <w:p w14:paraId="22BB372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32 сек. на высоте</w:t>
            </w:r>
          </w:p>
        </w:tc>
      </w:tr>
      <w:tr w:rsidR="001E2C69" w:rsidRPr="001E2C69" w14:paraId="42745419" w14:textId="77777777" w:rsidTr="00CC5360">
        <w:tc>
          <w:tcPr>
            <w:tcW w:w="2093" w:type="dxa"/>
          </w:tcPr>
          <w:p w14:paraId="3EAEA27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1000 м в сек.</w:t>
            </w:r>
          </w:p>
        </w:tc>
        <w:tc>
          <w:tcPr>
            <w:tcW w:w="1276" w:type="dxa"/>
          </w:tcPr>
          <w:p w14:paraId="4C9ADFBC" w14:textId="77777777" w:rsidR="00AE7191" w:rsidRPr="001E2C69" w:rsidRDefault="00AE7191" w:rsidP="00722885">
            <w:pPr>
              <w:pStyle w:val="Iauiue"/>
              <w:jc w:val="both"/>
              <w:rPr>
                <w:color w:val="000000" w:themeColor="text1"/>
                <w:sz w:val="16"/>
                <w:szCs w:val="16"/>
              </w:rPr>
            </w:pPr>
          </w:p>
        </w:tc>
        <w:tc>
          <w:tcPr>
            <w:tcW w:w="1417" w:type="dxa"/>
          </w:tcPr>
          <w:p w14:paraId="6C86047D" w14:textId="77777777" w:rsidR="00AE7191" w:rsidRPr="001E2C69" w:rsidRDefault="00AE7191" w:rsidP="00722885">
            <w:pPr>
              <w:pStyle w:val="Iauiue"/>
              <w:jc w:val="both"/>
              <w:rPr>
                <w:color w:val="000000" w:themeColor="text1"/>
                <w:sz w:val="16"/>
                <w:szCs w:val="16"/>
              </w:rPr>
            </w:pPr>
          </w:p>
        </w:tc>
        <w:tc>
          <w:tcPr>
            <w:tcW w:w="1418" w:type="dxa"/>
          </w:tcPr>
          <w:p w14:paraId="6C671D67" w14:textId="77777777" w:rsidR="00AE7191" w:rsidRPr="001E2C69" w:rsidRDefault="00AE7191" w:rsidP="00722885">
            <w:pPr>
              <w:pStyle w:val="Iauiue"/>
              <w:jc w:val="both"/>
              <w:rPr>
                <w:color w:val="000000" w:themeColor="text1"/>
                <w:sz w:val="16"/>
                <w:szCs w:val="16"/>
              </w:rPr>
            </w:pPr>
          </w:p>
        </w:tc>
        <w:tc>
          <w:tcPr>
            <w:tcW w:w="1417" w:type="dxa"/>
          </w:tcPr>
          <w:p w14:paraId="4ADFEB22" w14:textId="77777777" w:rsidR="00AE7191" w:rsidRPr="001E2C69" w:rsidRDefault="00AE7191" w:rsidP="00722885">
            <w:pPr>
              <w:pStyle w:val="Iauiue"/>
              <w:jc w:val="both"/>
              <w:rPr>
                <w:color w:val="000000" w:themeColor="text1"/>
                <w:sz w:val="16"/>
                <w:szCs w:val="16"/>
              </w:rPr>
            </w:pPr>
          </w:p>
        </w:tc>
        <w:tc>
          <w:tcPr>
            <w:tcW w:w="1559" w:type="dxa"/>
          </w:tcPr>
          <w:p w14:paraId="0B4C54CA" w14:textId="77777777" w:rsidR="00AE7191" w:rsidRPr="001E2C69" w:rsidRDefault="00AE7191" w:rsidP="00722885">
            <w:pPr>
              <w:pStyle w:val="Iauiue"/>
              <w:jc w:val="both"/>
              <w:rPr>
                <w:color w:val="000000" w:themeColor="text1"/>
                <w:sz w:val="16"/>
                <w:szCs w:val="16"/>
              </w:rPr>
            </w:pPr>
          </w:p>
        </w:tc>
        <w:tc>
          <w:tcPr>
            <w:tcW w:w="1420" w:type="dxa"/>
          </w:tcPr>
          <w:p w14:paraId="0A5D904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4000 м</w:t>
            </w:r>
          </w:p>
        </w:tc>
      </w:tr>
      <w:tr w:rsidR="001E2C69" w:rsidRPr="001E2C69" w14:paraId="05BACB3C" w14:textId="77777777" w:rsidTr="00CC5360">
        <w:tc>
          <w:tcPr>
            <w:tcW w:w="2093" w:type="dxa"/>
          </w:tcPr>
          <w:p w14:paraId="03CB234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Посадочная скорость в</w:t>
            </w:r>
          </w:p>
        </w:tc>
        <w:tc>
          <w:tcPr>
            <w:tcW w:w="1276" w:type="dxa"/>
          </w:tcPr>
          <w:p w14:paraId="2315B06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141</w:t>
            </w:r>
          </w:p>
        </w:tc>
        <w:tc>
          <w:tcPr>
            <w:tcW w:w="1417" w:type="dxa"/>
          </w:tcPr>
          <w:p w14:paraId="121DA6E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140</w:t>
            </w:r>
          </w:p>
        </w:tc>
        <w:tc>
          <w:tcPr>
            <w:tcW w:w="1418" w:type="dxa"/>
          </w:tcPr>
          <w:p w14:paraId="1697CD7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140</w:t>
            </w:r>
          </w:p>
        </w:tc>
        <w:tc>
          <w:tcPr>
            <w:tcW w:w="1417" w:type="dxa"/>
          </w:tcPr>
          <w:p w14:paraId="58B161B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143</w:t>
            </w:r>
          </w:p>
        </w:tc>
        <w:tc>
          <w:tcPr>
            <w:tcW w:w="1559" w:type="dxa"/>
          </w:tcPr>
          <w:p w14:paraId="27FF428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140</w:t>
            </w:r>
          </w:p>
        </w:tc>
        <w:tc>
          <w:tcPr>
            <w:tcW w:w="1420" w:type="dxa"/>
          </w:tcPr>
          <w:p w14:paraId="06A8686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145</w:t>
            </w:r>
          </w:p>
        </w:tc>
      </w:tr>
      <w:tr w:rsidR="001E2C69" w:rsidRPr="001E2C69" w14:paraId="393D4525" w14:textId="77777777" w:rsidTr="00CC5360">
        <w:tc>
          <w:tcPr>
            <w:tcW w:w="2093" w:type="dxa"/>
          </w:tcPr>
          <w:p w14:paraId="6A1361A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км/час</w:t>
            </w:r>
          </w:p>
        </w:tc>
        <w:tc>
          <w:tcPr>
            <w:tcW w:w="1276" w:type="dxa"/>
          </w:tcPr>
          <w:p w14:paraId="04967853" w14:textId="77777777" w:rsidR="00AE7191" w:rsidRPr="001E2C69" w:rsidRDefault="00AE7191" w:rsidP="00722885">
            <w:pPr>
              <w:pStyle w:val="Iauiue"/>
              <w:jc w:val="both"/>
              <w:rPr>
                <w:color w:val="000000" w:themeColor="text1"/>
                <w:sz w:val="16"/>
                <w:szCs w:val="16"/>
              </w:rPr>
            </w:pPr>
          </w:p>
        </w:tc>
        <w:tc>
          <w:tcPr>
            <w:tcW w:w="1417" w:type="dxa"/>
          </w:tcPr>
          <w:p w14:paraId="1B92B928" w14:textId="77777777" w:rsidR="00AE7191" w:rsidRPr="001E2C69" w:rsidRDefault="00AE7191" w:rsidP="00722885">
            <w:pPr>
              <w:pStyle w:val="Iauiue"/>
              <w:jc w:val="both"/>
              <w:rPr>
                <w:color w:val="000000" w:themeColor="text1"/>
                <w:sz w:val="16"/>
                <w:szCs w:val="16"/>
              </w:rPr>
            </w:pPr>
          </w:p>
        </w:tc>
        <w:tc>
          <w:tcPr>
            <w:tcW w:w="1418" w:type="dxa"/>
          </w:tcPr>
          <w:p w14:paraId="66D6056D" w14:textId="77777777" w:rsidR="00AE7191" w:rsidRPr="001E2C69" w:rsidRDefault="00AE7191" w:rsidP="00722885">
            <w:pPr>
              <w:pStyle w:val="Iauiue"/>
              <w:jc w:val="both"/>
              <w:rPr>
                <w:color w:val="000000" w:themeColor="text1"/>
                <w:sz w:val="16"/>
                <w:szCs w:val="16"/>
              </w:rPr>
            </w:pPr>
          </w:p>
        </w:tc>
        <w:tc>
          <w:tcPr>
            <w:tcW w:w="1417" w:type="dxa"/>
          </w:tcPr>
          <w:p w14:paraId="3B9B14E5" w14:textId="77777777" w:rsidR="00AE7191" w:rsidRPr="001E2C69" w:rsidRDefault="00AE7191" w:rsidP="00722885">
            <w:pPr>
              <w:pStyle w:val="Iauiue"/>
              <w:jc w:val="both"/>
              <w:rPr>
                <w:color w:val="000000" w:themeColor="text1"/>
                <w:sz w:val="16"/>
                <w:szCs w:val="16"/>
              </w:rPr>
            </w:pPr>
          </w:p>
        </w:tc>
        <w:tc>
          <w:tcPr>
            <w:tcW w:w="1559" w:type="dxa"/>
          </w:tcPr>
          <w:p w14:paraId="477D570E" w14:textId="77777777" w:rsidR="00AE7191" w:rsidRPr="001E2C69" w:rsidRDefault="00AE7191" w:rsidP="00722885">
            <w:pPr>
              <w:pStyle w:val="Iauiue"/>
              <w:jc w:val="both"/>
              <w:rPr>
                <w:color w:val="000000" w:themeColor="text1"/>
                <w:sz w:val="16"/>
                <w:szCs w:val="16"/>
              </w:rPr>
            </w:pPr>
          </w:p>
        </w:tc>
        <w:tc>
          <w:tcPr>
            <w:tcW w:w="1420" w:type="dxa"/>
          </w:tcPr>
          <w:p w14:paraId="2E8180F7" w14:textId="77777777" w:rsidR="00AE7191" w:rsidRPr="001E2C69" w:rsidRDefault="00AE7191" w:rsidP="00722885">
            <w:pPr>
              <w:pStyle w:val="Iauiue"/>
              <w:jc w:val="both"/>
              <w:rPr>
                <w:color w:val="000000" w:themeColor="text1"/>
                <w:sz w:val="16"/>
                <w:szCs w:val="16"/>
              </w:rPr>
            </w:pPr>
          </w:p>
        </w:tc>
      </w:tr>
      <w:tr w:rsidR="001E2C69" w:rsidRPr="001E2C69" w14:paraId="2C716E0F" w14:textId="77777777" w:rsidTr="00CC5360">
        <w:tc>
          <w:tcPr>
            <w:tcW w:w="2093" w:type="dxa"/>
          </w:tcPr>
          <w:p w14:paraId="7E9265D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Длина разбега в м</w:t>
            </w:r>
          </w:p>
        </w:tc>
        <w:tc>
          <w:tcPr>
            <w:tcW w:w="1276" w:type="dxa"/>
          </w:tcPr>
          <w:p w14:paraId="515AF62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365</w:t>
            </w:r>
          </w:p>
        </w:tc>
        <w:tc>
          <w:tcPr>
            <w:tcW w:w="1417" w:type="dxa"/>
          </w:tcPr>
          <w:p w14:paraId="29A1FD6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340</w:t>
            </w:r>
          </w:p>
        </w:tc>
        <w:tc>
          <w:tcPr>
            <w:tcW w:w="1418" w:type="dxa"/>
          </w:tcPr>
          <w:p w14:paraId="46840E7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w:t>
            </w:r>
          </w:p>
        </w:tc>
        <w:tc>
          <w:tcPr>
            <w:tcW w:w="1417" w:type="dxa"/>
          </w:tcPr>
          <w:p w14:paraId="532C038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460</w:t>
            </w:r>
          </w:p>
        </w:tc>
        <w:tc>
          <w:tcPr>
            <w:tcW w:w="1559" w:type="dxa"/>
          </w:tcPr>
          <w:p w14:paraId="5A91695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398</w:t>
            </w:r>
          </w:p>
        </w:tc>
        <w:tc>
          <w:tcPr>
            <w:tcW w:w="1420" w:type="dxa"/>
          </w:tcPr>
          <w:p w14:paraId="17838AD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443</w:t>
            </w:r>
          </w:p>
        </w:tc>
      </w:tr>
      <w:tr w:rsidR="001E2C69" w:rsidRPr="001E2C69" w14:paraId="4474EF8E" w14:textId="77777777" w:rsidTr="00CC5360">
        <w:tc>
          <w:tcPr>
            <w:tcW w:w="2093" w:type="dxa"/>
          </w:tcPr>
          <w:p w14:paraId="1698122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Длина пробега в м</w:t>
            </w:r>
          </w:p>
        </w:tc>
        <w:tc>
          <w:tcPr>
            <w:tcW w:w="1276" w:type="dxa"/>
          </w:tcPr>
          <w:p w14:paraId="62FC96A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520</w:t>
            </w:r>
          </w:p>
        </w:tc>
        <w:tc>
          <w:tcPr>
            <w:tcW w:w="1417" w:type="dxa"/>
          </w:tcPr>
          <w:p w14:paraId="0F2BE7D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540</w:t>
            </w:r>
          </w:p>
        </w:tc>
        <w:tc>
          <w:tcPr>
            <w:tcW w:w="1418" w:type="dxa"/>
          </w:tcPr>
          <w:p w14:paraId="22693FC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w:t>
            </w:r>
          </w:p>
        </w:tc>
        <w:tc>
          <w:tcPr>
            <w:tcW w:w="1417" w:type="dxa"/>
          </w:tcPr>
          <w:p w14:paraId="3ABF882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459</w:t>
            </w:r>
          </w:p>
        </w:tc>
        <w:tc>
          <w:tcPr>
            <w:tcW w:w="1559" w:type="dxa"/>
          </w:tcPr>
          <w:p w14:paraId="60D662F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455</w:t>
            </w:r>
          </w:p>
        </w:tc>
        <w:tc>
          <w:tcPr>
            <w:tcW w:w="1420" w:type="dxa"/>
          </w:tcPr>
          <w:p w14:paraId="1B9F2C5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500</w:t>
            </w:r>
          </w:p>
        </w:tc>
      </w:tr>
      <w:tr w:rsidR="001E2C69" w:rsidRPr="001E2C69" w14:paraId="6DE824CD" w14:textId="77777777" w:rsidTr="00CC5360">
        <w:tc>
          <w:tcPr>
            <w:tcW w:w="2093" w:type="dxa"/>
          </w:tcPr>
          <w:p w14:paraId="5516EE4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Нагрузка на кв. метр</w:t>
            </w:r>
          </w:p>
        </w:tc>
        <w:tc>
          <w:tcPr>
            <w:tcW w:w="1276" w:type="dxa"/>
          </w:tcPr>
          <w:p w14:paraId="6BC015D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171</w:t>
            </w:r>
          </w:p>
        </w:tc>
        <w:tc>
          <w:tcPr>
            <w:tcW w:w="1417" w:type="dxa"/>
          </w:tcPr>
          <w:p w14:paraId="4314046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178</w:t>
            </w:r>
          </w:p>
        </w:tc>
        <w:tc>
          <w:tcPr>
            <w:tcW w:w="1418" w:type="dxa"/>
          </w:tcPr>
          <w:p w14:paraId="71FA792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178</w:t>
            </w:r>
          </w:p>
        </w:tc>
        <w:tc>
          <w:tcPr>
            <w:tcW w:w="1417" w:type="dxa"/>
          </w:tcPr>
          <w:p w14:paraId="31079A4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188</w:t>
            </w:r>
          </w:p>
        </w:tc>
        <w:tc>
          <w:tcPr>
            <w:tcW w:w="1559" w:type="dxa"/>
          </w:tcPr>
          <w:p w14:paraId="0BB745A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188,5</w:t>
            </w:r>
          </w:p>
        </w:tc>
        <w:tc>
          <w:tcPr>
            <w:tcW w:w="1420" w:type="dxa"/>
          </w:tcPr>
          <w:p w14:paraId="10F6FA2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189</w:t>
            </w:r>
          </w:p>
        </w:tc>
      </w:tr>
      <w:tr w:rsidR="001E2C69" w:rsidRPr="001E2C69" w14:paraId="107DEE1A" w14:textId="77777777" w:rsidTr="00CC5360">
        <w:tc>
          <w:tcPr>
            <w:tcW w:w="2093" w:type="dxa"/>
          </w:tcPr>
          <w:p w14:paraId="7DD8BCD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крыла при норм. </w:t>
            </w:r>
          </w:p>
        </w:tc>
        <w:tc>
          <w:tcPr>
            <w:tcW w:w="1276" w:type="dxa"/>
          </w:tcPr>
          <w:p w14:paraId="7ED255CE" w14:textId="77777777" w:rsidR="00AE7191" w:rsidRPr="001E2C69" w:rsidRDefault="00AE7191" w:rsidP="00722885">
            <w:pPr>
              <w:pStyle w:val="Iauiue"/>
              <w:jc w:val="both"/>
              <w:rPr>
                <w:color w:val="000000" w:themeColor="text1"/>
                <w:sz w:val="16"/>
                <w:szCs w:val="16"/>
              </w:rPr>
            </w:pPr>
          </w:p>
        </w:tc>
        <w:tc>
          <w:tcPr>
            <w:tcW w:w="1417" w:type="dxa"/>
          </w:tcPr>
          <w:p w14:paraId="6632B2D9" w14:textId="77777777" w:rsidR="00AE7191" w:rsidRPr="001E2C69" w:rsidRDefault="00AE7191" w:rsidP="00722885">
            <w:pPr>
              <w:pStyle w:val="Iauiue"/>
              <w:jc w:val="both"/>
              <w:rPr>
                <w:color w:val="000000" w:themeColor="text1"/>
                <w:sz w:val="16"/>
                <w:szCs w:val="16"/>
              </w:rPr>
            </w:pPr>
          </w:p>
        </w:tc>
        <w:tc>
          <w:tcPr>
            <w:tcW w:w="1418" w:type="dxa"/>
          </w:tcPr>
          <w:p w14:paraId="42042824" w14:textId="77777777" w:rsidR="00AE7191" w:rsidRPr="001E2C69" w:rsidRDefault="00AE7191" w:rsidP="00722885">
            <w:pPr>
              <w:pStyle w:val="Iauiue"/>
              <w:jc w:val="both"/>
              <w:rPr>
                <w:color w:val="000000" w:themeColor="text1"/>
                <w:sz w:val="16"/>
                <w:szCs w:val="16"/>
              </w:rPr>
            </w:pPr>
          </w:p>
        </w:tc>
        <w:tc>
          <w:tcPr>
            <w:tcW w:w="1417" w:type="dxa"/>
          </w:tcPr>
          <w:p w14:paraId="3484C9D7" w14:textId="77777777" w:rsidR="00AE7191" w:rsidRPr="001E2C69" w:rsidRDefault="00AE7191" w:rsidP="00722885">
            <w:pPr>
              <w:pStyle w:val="Iauiue"/>
              <w:jc w:val="both"/>
              <w:rPr>
                <w:color w:val="000000" w:themeColor="text1"/>
                <w:sz w:val="16"/>
                <w:szCs w:val="16"/>
              </w:rPr>
            </w:pPr>
          </w:p>
        </w:tc>
        <w:tc>
          <w:tcPr>
            <w:tcW w:w="1559" w:type="dxa"/>
          </w:tcPr>
          <w:p w14:paraId="654011FF" w14:textId="77777777" w:rsidR="00AE7191" w:rsidRPr="001E2C69" w:rsidRDefault="00AE7191" w:rsidP="00722885">
            <w:pPr>
              <w:pStyle w:val="Iauiue"/>
              <w:jc w:val="both"/>
              <w:rPr>
                <w:color w:val="000000" w:themeColor="text1"/>
                <w:sz w:val="16"/>
                <w:szCs w:val="16"/>
              </w:rPr>
            </w:pPr>
          </w:p>
        </w:tc>
        <w:tc>
          <w:tcPr>
            <w:tcW w:w="1420" w:type="dxa"/>
          </w:tcPr>
          <w:p w14:paraId="65FF5C1F" w14:textId="77777777" w:rsidR="00AE7191" w:rsidRPr="001E2C69" w:rsidRDefault="00AE7191" w:rsidP="00722885">
            <w:pPr>
              <w:pStyle w:val="Iauiue"/>
              <w:jc w:val="both"/>
              <w:rPr>
                <w:color w:val="000000" w:themeColor="text1"/>
                <w:sz w:val="16"/>
                <w:szCs w:val="16"/>
              </w:rPr>
            </w:pPr>
          </w:p>
        </w:tc>
      </w:tr>
      <w:tr w:rsidR="001E2C69" w:rsidRPr="001E2C69" w14:paraId="3C2777B1" w14:textId="77777777" w:rsidTr="00CC5360">
        <w:tc>
          <w:tcPr>
            <w:tcW w:w="2093" w:type="dxa"/>
          </w:tcPr>
          <w:p w14:paraId="4A2410F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Полетном весе в кг на</w:t>
            </w:r>
          </w:p>
        </w:tc>
        <w:tc>
          <w:tcPr>
            <w:tcW w:w="1276" w:type="dxa"/>
          </w:tcPr>
          <w:p w14:paraId="64AAE1EA" w14:textId="77777777" w:rsidR="00AE7191" w:rsidRPr="001E2C69" w:rsidRDefault="00AE7191" w:rsidP="00722885">
            <w:pPr>
              <w:pStyle w:val="Iauiue"/>
              <w:jc w:val="both"/>
              <w:rPr>
                <w:color w:val="000000" w:themeColor="text1"/>
                <w:sz w:val="16"/>
                <w:szCs w:val="16"/>
              </w:rPr>
            </w:pPr>
          </w:p>
        </w:tc>
        <w:tc>
          <w:tcPr>
            <w:tcW w:w="1417" w:type="dxa"/>
          </w:tcPr>
          <w:p w14:paraId="0AA9AB39" w14:textId="77777777" w:rsidR="00AE7191" w:rsidRPr="001E2C69" w:rsidRDefault="00AE7191" w:rsidP="00722885">
            <w:pPr>
              <w:pStyle w:val="Iauiue"/>
              <w:jc w:val="both"/>
              <w:rPr>
                <w:color w:val="000000" w:themeColor="text1"/>
                <w:sz w:val="16"/>
                <w:szCs w:val="16"/>
              </w:rPr>
            </w:pPr>
          </w:p>
        </w:tc>
        <w:tc>
          <w:tcPr>
            <w:tcW w:w="1418" w:type="dxa"/>
          </w:tcPr>
          <w:p w14:paraId="2A1A5BB0" w14:textId="77777777" w:rsidR="00AE7191" w:rsidRPr="001E2C69" w:rsidRDefault="00AE7191" w:rsidP="00722885">
            <w:pPr>
              <w:pStyle w:val="Iauiue"/>
              <w:jc w:val="both"/>
              <w:rPr>
                <w:color w:val="000000" w:themeColor="text1"/>
                <w:sz w:val="16"/>
                <w:szCs w:val="16"/>
              </w:rPr>
            </w:pPr>
          </w:p>
        </w:tc>
        <w:tc>
          <w:tcPr>
            <w:tcW w:w="1417" w:type="dxa"/>
          </w:tcPr>
          <w:p w14:paraId="503C2855" w14:textId="77777777" w:rsidR="00AE7191" w:rsidRPr="001E2C69" w:rsidRDefault="00AE7191" w:rsidP="00722885">
            <w:pPr>
              <w:pStyle w:val="Iauiue"/>
              <w:jc w:val="both"/>
              <w:rPr>
                <w:color w:val="000000" w:themeColor="text1"/>
                <w:sz w:val="16"/>
                <w:szCs w:val="16"/>
              </w:rPr>
            </w:pPr>
          </w:p>
        </w:tc>
        <w:tc>
          <w:tcPr>
            <w:tcW w:w="1559" w:type="dxa"/>
          </w:tcPr>
          <w:p w14:paraId="2EE423F7" w14:textId="77777777" w:rsidR="00AE7191" w:rsidRPr="001E2C69" w:rsidRDefault="00AE7191" w:rsidP="00722885">
            <w:pPr>
              <w:pStyle w:val="Iauiue"/>
              <w:jc w:val="both"/>
              <w:rPr>
                <w:color w:val="000000" w:themeColor="text1"/>
                <w:sz w:val="16"/>
                <w:szCs w:val="16"/>
              </w:rPr>
            </w:pPr>
          </w:p>
        </w:tc>
        <w:tc>
          <w:tcPr>
            <w:tcW w:w="1420" w:type="dxa"/>
          </w:tcPr>
          <w:p w14:paraId="01448178" w14:textId="77777777" w:rsidR="00AE7191" w:rsidRPr="001E2C69" w:rsidRDefault="00AE7191" w:rsidP="00722885">
            <w:pPr>
              <w:pStyle w:val="Iauiue"/>
              <w:jc w:val="both"/>
              <w:rPr>
                <w:color w:val="000000" w:themeColor="text1"/>
                <w:sz w:val="16"/>
                <w:szCs w:val="16"/>
              </w:rPr>
            </w:pPr>
          </w:p>
        </w:tc>
      </w:tr>
      <w:tr w:rsidR="009B487A" w:rsidRPr="001E2C69" w14:paraId="34B1719C" w14:textId="77777777" w:rsidTr="00CC5360">
        <w:tc>
          <w:tcPr>
            <w:tcW w:w="2093" w:type="dxa"/>
            <w:tcBorders>
              <w:bottom w:val="single" w:sz="12" w:space="0" w:color="auto"/>
            </w:tcBorders>
          </w:tcPr>
          <w:p w14:paraId="5127836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кв. м (1684,119)</w:t>
            </w:r>
          </w:p>
        </w:tc>
        <w:tc>
          <w:tcPr>
            <w:tcW w:w="1276" w:type="dxa"/>
            <w:tcBorders>
              <w:bottom w:val="single" w:sz="12" w:space="0" w:color="auto"/>
            </w:tcBorders>
          </w:tcPr>
          <w:p w14:paraId="73E85A35" w14:textId="77777777" w:rsidR="00AE7191" w:rsidRPr="001E2C69" w:rsidRDefault="00AE7191" w:rsidP="00722885">
            <w:pPr>
              <w:pStyle w:val="Iauiue"/>
              <w:jc w:val="both"/>
              <w:rPr>
                <w:color w:val="000000" w:themeColor="text1"/>
                <w:sz w:val="16"/>
                <w:szCs w:val="16"/>
              </w:rPr>
            </w:pPr>
          </w:p>
        </w:tc>
        <w:tc>
          <w:tcPr>
            <w:tcW w:w="1417" w:type="dxa"/>
            <w:tcBorders>
              <w:bottom w:val="single" w:sz="12" w:space="0" w:color="auto"/>
            </w:tcBorders>
          </w:tcPr>
          <w:p w14:paraId="33D99D03" w14:textId="77777777" w:rsidR="00AE7191" w:rsidRPr="001E2C69" w:rsidRDefault="00AE7191" w:rsidP="00722885">
            <w:pPr>
              <w:pStyle w:val="Iauiue"/>
              <w:jc w:val="both"/>
              <w:rPr>
                <w:color w:val="000000" w:themeColor="text1"/>
                <w:sz w:val="16"/>
                <w:szCs w:val="16"/>
              </w:rPr>
            </w:pPr>
          </w:p>
        </w:tc>
        <w:tc>
          <w:tcPr>
            <w:tcW w:w="1418" w:type="dxa"/>
            <w:tcBorders>
              <w:bottom w:val="single" w:sz="12" w:space="0" w:color="auto"/>
            </w:tcBorders>
          </w:tcPr>
          <w:p w14:paraId="3E695C60" w14:textId="77777777" w:rsidR="00AE7191" w:rsidRPr="001E2C69" w:rsidRDefault="00AE7191" w:rsidP="00722885">
            <w:pPr>
              <w:pStyle w:val="Iauiue"/>
              <w:jc w:val="both"/>
              <w:rPr>
                <w:color w:val="000000" w:themeColor="text1"/>
                <w:sz w:val="16"/>
                <w:szCs w:val="16"/>
              </w:rPr>
            </w:pPr>
          </w:p>
        </w:tc>
        <w:tc>
          <w:tcPr>
            <w:tcW w:w="1417" w:type="dxa"/>
            <w:tcBorders>
              <w:bottom w:val="single" w:sz="12" w:space="0" w:color="auto"/>
            </w:tcBorders>
          </w:tcPr>
          <w:p w14:paraId="6B099202" w14:textId="77777777" w:rsidR="00AE7191" w:rsidRPr="001E2C69" w:rsidRDefault="00AE7191" w:rsidP="00722885">
            <w:pPr>
              <w:pStyle w:val="Iauiue"/>
              <w:jc w:val="both"/>
              <w:rPr>
                <w:color w:val="000000" w:themeColor="text1"/>
                <w:sz w:val="16"/>
                <w:szCs w:val="16"/>
              </w:rPr>
            </w:pPr>
          </w:p>
        </w:tc>
        <w:tc>
          <w:tcPr>
            <w:tcW w:w="1559" w:type="dxa"/>
            <w:tcBorders>
              <w:bottom w:val="single" w:sz="12" w:space="0" w:color="auto"/>
            </w:tcBorders>
          </w:tcPr>
          <w:p w14:paraId="69334D56" w14:textId="77777777" w:rsidR="00AE7191" w:rsidRPr="001E2C69" w:rsidRDefault="00AE7191" w:rsidP="00722885">
            <w:pPr>
              <w:pStyle w:val="Iauiue"/>
              <w:jc w:val="both"/>
              <w:rPr>
                <w:color w:val="000000" w:themeColor="text1"/>
                <w:sz w:val="16"/>
                <w:szCs w:val="16"/>
              </w:rPr>
            </w:pPr>
          </w:p>
        </w:tc>
        <w:tc>
          <w:tcPr>
            <w:tcW w:w="1420" w:type="dxa"/>
            <w:tcBorders>
              <w:bottom w:val="single" w:sz="12" w:space="0" w:color="auto"/>
            </w:tcBorders>
          </w:tcPr>
          <w:p w14:paraId="702ACAC2" w14:textId="77777777" w:rsidR="00AE7191" w:rsidRPr="001E2C69" w:rsidRDefault="00AE7191" w:rsidP="00722885">
            <w:pPr>
              <w:pStyle w:val="Iauiue"/>
              <w:jc w:val="both"/>
              <w:rPr>
                <w:color w:val="000000" w:themeColor="text1"/>
                <w:sz w:val="16"/>
                <w:szCs w:val="16"/>
              </w:rPr>
            </w:pPr>
          </w:p>
        </w:tc>
      </w:tr>
    </w:tbl>
    <w:p w14:paraId="16602E56" w14:textId="77777777" w:rsidR="00AE7191" w:rsidRPr="001E2C69" w:rsidRDefault="00AE7191" w:rsidP="00722885">
      <w:pPr>
        <w:pStyle w:val="Iauiue"/>
        <w:jc w:val="both"/>
        <w:rPr>
          <w:color w:val="000000" w:themeColor="text1"/>
          <w:sz w:val="16"/>
          <w:szCs w:val="16"/>
        </w:rPr>
      </w:pPr>
    </w:p>
    <w:p w14:paraId="02DE69B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31 июля 1942 г. руководитель бригады з-да № 288 (ОТБ НКВД) Д.Л.Томашевич и директор завода направили Начальнику управления опытного строительства ВВС Лешукову предложение о постройке противотанкового самолета “Пегас” и альбом “Эскизный проект самолета противотанковой воздушной армии”.</w:t>
      </w:r>
    </w:p>
    <w:p w14:paraId="298A6E7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Идея самолета - одноместный самолет для уничтожения танков и мобильных войск противника, простой и дешевый в производстве, не требующий высокой квалификации летчика, максимально обеспечивающий эффективность выполнения боевых задач и защищенность летчика и самолета от ружейно-пулеметного огня противника.</w:t>
      </w:r>
    </w:p>
    <w:p w14:paraId="3EBCB50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Самолет был легкого типа с двумя моторами М-11Ф с винтами от самолета У-2, деревянной конструкции. Для удешевления на самолете отсутствовали электро- и радиооборудование, гидросистема, детали, требующие сложную механическую обработку. Самолет был приспособлен к сборке на конвейере без стапелей и “выкроек” рабочими невысокой квалификации.</w:t>
      </w:r>
    </w:p>
    <w:p w14:paraId="6879D0A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Простота в управлении достигались рядом мер: у летчика только ручка управления самолетом с гашеткой и по одному рычагу управления газом на каждый мотор.</w:t>
      </w:r>
    </w:p>
    <w:p w14:paraId="2447050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Рычагов управления опережением зажигания нет, так как управление опережением кинематически было сопряжено с управлением газом.</w:t>
      </w:r>
    </w:p>
    <w:p w14:paraId="53983C9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Автоматические предкрылки, установленные напротив элеронов, и полукольцевые капоты над моторами должны были обеспечивать устойчивый полет без сваливания до углов атаки 20°.</w:t>
      </w:r>
    </w:p>
    <w:p w14:paraId="1258B03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Предусматривалась возможность посадки с разворотом на 180° при остановке обоих моторов на взлете с подвешенной 500-кг бомбой.</w:t>
      </w:r>
    </w:p>
    <w:p w14:paraId="6F6DF00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Летчик (в бронежилете) помещался в бронекоробке, образованной гомогенной броней спереди с толщинами от б до 13 мм, с боков - 6-8 мм, снизу - б мм, сзади 13 мм, сзади-сверху - откидной бронезаголовник летчика с толщинами брони 6-10 мм. Спереди бронестекло толщиной 64 мм. Имелось зеркало для обзора назад. Летчик в бронежилете.</w:t>
      </w:r>
    </w:p>
    <w:p w14:paraId="679DE42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Каждый мотор питался от своего бензобака, расположенного за мотогондолой. При загорании бак сбрасывался и мотор переходил на питание от бронированного бензобака. При этом запаса топлива хватало на 30 минут полета.</w:t>
      </w:r>
    </w:p>
    <w:p w14:paraId="2F4795F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Схема самолета - низкоплан, конструкция деревянная с бронекапсулой в носовой части фюзеляжа. Контуры самолета образованы прямыми линиями. Фюзеляж четырехгранного сечения с плоскими стенками, заготовляемыми заранее вместе с лонжеронами и планками шпангоутов.</w:t>
      </w:r>
    </w:p>
    <w:p w14:paraId="685236F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Крыло и оперение - двухлонжеронные с фанерной обшивкой. Оперение расчаленное. Шасси - одностоечное неубираемое с резиновой пластинчатой амортизацией.Управление -троссовое и проволочное.</w:t>
      </w:r>
    </w:p>
    <w:p w14:paraId="3512BD8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Для постройки самолета применялись дешевые и недефицитные материалы: простая строительная неавиационная фанера, сосна, кровельное железо (баки), мягкая сталь разных толщин (узлы). Из дефицитных использовались только бронесталь для изготовления бронекапсулы, бронестекло и дюраль (только в капотах).</w:t>
      </w:r>
    </w:p>
    <w:p w14:paraId="2AFEA9A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Полетный вес самолета 1916-2222,22 кг. Основные размеры: площадь крыла - 22,63 м2, длина самолета - 8,764 м, размах крыла - 11,5 м.</w:t>
      </w:r>
    </w:p>
    <w:p w14:paraId="06C061C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Моторы мощностью по 150 л. с. Нагрузка на площадь крыла в пределах 84,67-98,20 кг/м2. Нагрузка на мощность - 6,39-7,40 кг/л. с.</w:t>
      </w:r>
    </w:p>
    <w:p w14:paraId="1D74333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Было построено четыре варианта. Вариант № 1 и 2 имели обзор из кабины вперед-вниз до 15°, в экземпляре № 3 - до 30°, а в варианте № 4 - до 55°.</w:t>
      </w:r>
    </w:p>
    <w:p w14:paraId="0DDE6F2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Предусматривались следующие сменные варианты вооружения:</w:t>
      </w:r>
    </w:p>
    <w:p w14:paraId="2959C87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один пулемет БС (140 патронов), установленный в носу самолета, 1 бомба в 250 кг и 2 по 100 кг и одна 50-кг бомба под фюзеляжем или 5 бомб по 100 кг;</w:t>
      </w:r>
    </w:p>
    <w:p w14:paraId="746B31C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один пулемет БС (140 патронов) и 2 PC-132 под фюзеляжем;</w:t>
      </w:r>
    </w:p>
    <w:p w14:paraId="4F62596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один пулемет БС (140 патронов) и 1 пушка Ш-37 калибра 37 мм (50 снарядов);</w:t>
      </w:r>
    </w:p>
    <w:p w14:paraId="0B0C3BF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один пулемет БС (140 патронов) и 2 пушки ВЯ-23 калибра 23 мм (160 снарядов);</w:t>
      </w:r>
    </w:p>
    <w:p w14:paraId="6F64C55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один пулемет БС (140 патронов) и мелкие бомбы в кассетах внутри фюзеляжа;</w:t>
      </w:r>
    </w:p>
    <w:p w14:paraId="07F2D82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один пулемет БС (140 патронов) и 4 автоматических противотанковых ружья калибра 14,5 мм.</w:t>
      </w:r>
    </w:p>
    <w:p w14:paraId="0A5AD8F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Бомбы фугасные или противотанковые.</w:t>
      </w:r>
    </w:p>
    <w:p w14:paraId="5A412C54"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rPr>
        <w:t xml:space="preserve">Отметим, что все указанные варианты вооружения, за исключением третьего, отчасти, четвертого и шестого, нельзя назвать противотанковыми и отвечающими назначению самолета, особенно для условий боев начала 1943 г., когда легкие танки вермахта повсеместно были вытеснены более мощными средними танками типа Pz Kpfw IV и Pz Kpfw III, а также новыми толстобронными Pz. </w:t>
      </w:r>
      <w:r w:rsidRPr="001E2C69">
        <w:rPr>
          <w:color w:val="000000" w:themeColor="text1"/>
          <w:sz w:val="16"/>
          <w:szCs w:val="16"/>
          <w:lang w:val="en-US"/>
        </w:rPr>
        <w:t xml:space="preserve">VI Ausf H “Tiger I”, Pz. V “Panther” Ausf D </w:t>
      </w:r>
      <w:r w:rsidRPr="001E2C69">
        <w:rPr>
          <w:color w:val="000000" w:themeColor="text1"/>
          <w:sz w:val="16"/>
          <w:szCs w:val="16"/>
        </w:rPr>
        <w:t>и</w:t>
      </w:r>
      <w:r w:rsidRPr="001E2C69">
        <w:rPr>
          <w:color w:val="000000" w:themeColor="text1"/>
          <w:sz w:val="16"/>
          <w:szCs w:val="16"/>
          <w:lang w:val="en-US"/>
        </w:rPr>
        <w:t xml:space="preserve"> Jgd Pz Tiger (P) “ELefant”.</w:t>
      </w:r>
    </w:p>
    <w:p w14:paraId="114E74C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Единственными бронецелями вермахта, с которыми штурмовик Томаше-вича еще мог бы успешно бороться, были лишь легкобронированные САУ (типа “Wespe” и т.д.) и противотанковые СУ (типа “Marder-II” и “Marder-III”), созданные на базе легких танков.</w:t>
      </w:r>
    </w:p>
    <w:p w14:paraId="09E1A24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При этом, если учесть соотношение веса самолета и силы отдачи при стрельбе из пушек Ш-37 и ВЯ-23, то можно смело утверждать, что единственным более-менее приемлемым составом вооружения “Пегаса” был шестой вариант (патрон 14,5-мм противотанкового ружья обладал прекрасными бронепробивными свойствами, а сила отдачи при стрельбе могла быть в пределах допустимого).</w:t>
      </w:r>
    </w:p>
    <w:p w14:paraId="301A231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Более того, в рамках принятых весо-габаритных параметров штурмовика все попытки создать противотанковый самолет с мощным пушечным вооружением, обеспечивающим поражение средних и тяжелых танков были заранее обречены на провал, что, собственно говоря, и подтвердили последующие испытания “Пегаса” (9649).</w:t>
      </w:r>
    </w:p>
    <w:p w14:paraId="75C08816" w14:textId="77777777" w:rsidR="00AE7191" w:rsidRPr="001E2C69" w:rsidRDefault="00AE7191" w:rsidP="00722885">
      <w:pPr>
        <w:pStyle w:val="Iauiue"/>
        <w:jc w:val="both"/>
        <w:rPr>
          <w:color w:val="000000" w:themeColor="text1"/>
          <w:sz w:val="16"/>
          <w:szCs w:val="16"/>
        </w:rPr>
      </w:pPr>
    </w:p>
    <w:p w14:paraId="3C09F685"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31 июля 1942 г. начальник ЦКБ-29 НКВД и директор завода №288 Г.Я. Кутепов направил для рассмотрения начальнику Управления опытного строительства ГУ ИАС ВВС бри- гинженеру Г.П.Лешукову Предложение о постройке проти</w:t>
      </w:r>
      <w:r w:rsidRPr="001E2C69">
        <w:rPr>
          <w:rFonts w:ascii="Times New Roman" w:hAnsi="Times New Roman"/>
          <w:color w:val="000000" w:themeColor="text1"/>
          <w:sz w:val="16"/>
          <w:szCs w:val="16"/>
        </w:rPr>
        <w:softHyphen/>
        <w:t>вотанкового самолета «Пегас» и аль</w:t>
      </w:r>
      <w:r w:rsidRPr="001E2C69">
        <w:rPr>
          <w:rFonts w:ascii="Times New Roman" w:hAnsi="Times New Roman"/>
          <w:color w:val="000000" w:themeColor="text1"/>
          <w:sz w:val="16"/>
          <w:szCs w:val="16"/>
        </w:rPr>
        <w:softHyphen/>
        <w:t>бом «Эскизный проект самолета противо</w:t>
      </w:r>
      <w:r w:rsidRPr="001E2C69">
        <w:rPr>
          <w:rFonts w:ascii="Times New Roman" w:hAnsi="Times New Roman"/>
          <w:color w:val="000000" w:themeColor="text1"/>
          <w:sz w:val="16"/>
          <w:szCs w:val="16"/>
        </w:rPr>
        <w:softHyphen/>
        <w:t>танковой воздушной армии».</w:t>
      </w:r>
    </w:p>
    <w:p w14:paraId="654320E9"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Детально изучив представленные ма</w:t>
      </w:r>
      <w:r w:rsidRPr="001E2C69">
        <w:rPr>
          <w:rFonts w:ascii="Times New Roman" w:hAnsi="Times New Roman"/>
          <w:color w:val="000000" w:themeColor="text1"/>
          <w:sz w:val="16"/>
          <w:szCs w:val="16"/>
        </w:rPr>
        <w:softHyphen/>
        <w:t>териалы, военные специалисты достаточ</w:t>
      </w:r>
      <w:r w:rsidRPr="001E2C69">
        <w:rPr>
          <w:rFonts w:ascii="Times New Roman" w:hAnsi="Times New Roman"/>
          <w:color w:val="000000" w:themeColor="text1"/>
          <w:sz w:val="16"/>
          <w:szCs w:val="16"/>
        </w:rPr>
        <w:softHyphen/>
        <w:t>но объективно оценили главную особен</w:t>
      </w:r>
      <w:r w:rsidRPr="001E2C69">
        <w:rPr>
          <w:rFonts w:ascii="Times New Roman" w:hAnsi="Times New Roman"/>
          <w:color w:val="000000" w:themeColor="text1"/>
          <w:sz w:val="16"/>
          <w:szCs w:val="16"/>
        </w:rPr>
        <w:softHyphen/>
        <w:t>ность проекта - предельную простоту и дешевизну самолета, но вполне справед</w:t>
      </w:r>
      <w:r w:rsidRPr="001E2C69">
        <w:rPr>
          <w:rFonts w:ascii="Times New Roman" w:hAnsi="Times New Roman"/>
          <w:color w:val="000000" w:themeColor="text1"/>
          <w:sz w:val="16"/>
          <w:szCs w:val="16"/>
        </w:rPr>
        <w:softHyphen/>
        <w:t>ливо поставили под сомнение возмож</w:t>
      </w:r>
      <w:r w:rsidRPr="001E2C69">
        <w:rPr>
          <w:rFonts w:ascii="Times New Roman" w:hAnsi="Times New Roman"/>
          <w:color w:val="000000" w:themeColor="text1"/>
          <w:sz w:val="16"/>
          <w:szCs w:val="16"/>
        </w:rPr>
        <w:softHyphen/>
        <w:t>ность постройки 15000 самолетов «Пегас» в течение года. Главным образом ввиду необеспеченности заявленной програм</w:t>
      </w:r>
      <w:r w:rsidRPr="001E2C69">
        <w:rPr>
          <w:rFonts w:ascii="Times New Roman" w:hAnsi="Times New Roman"/>
          <w:color w:val="000000" w:themeColor="text1"/>
          <w:sz w:val="16"/>
          <w:szCs w:val="16"/>
        </w:rPr>
        <w:softHyphen/>
        <w:t>мы строительства моторами М-11, кото</w:t>
      </w:r>
      <w:r w:rsidRPr="001E2C69">
        <w:rPr>
          <w:rFonts w:ascii="Times New Roman" w:hAnsi="Times New Roman"/>
          <w:color w:val="000000" w:themeColor="text1"/>
          <w:sz w:val="16"/>
          <w:szCs w:val="16"/>
        </w:rPr>
        <w:softHyphen/>
        <w:t>рых необходимо было изготовить не ме</w:t>
      </w:r>
      <w:r w:rsidRPr="001E2C69">
        <w:rPr>
          <w:rFonts w:ascii="Times New Roman" w:hAnsi="Times New Roman"/>
          <w:color w:val="000000" w:themeColor="text1"/>
          <w:sz w:val="16"/>
          <w:szCs w:val="16"/>
        </w:rPr>
        <w:softHyphen/>
        <w:t>нее 30000 единиц, а с учетом переда</w:t>
      </w:r>
      <w:r w:rsidRPr="001E2C69">
        <w:rPr>
          <w:rFonts w:ascii="Times New Roman" w:hAnsi="Times New Roman"/>
          <w:color w:val="000000" w:themeColor="text1"/>
          <w:sz w:val="16"/>
          <w:szCs w:val="16"/>
        </w:rPr>
        <w:softHyphen/>
        <w:t>чи некоторого количества моторов в обо</w:t>
      </w:r>
      <w:r w:rsidRPr="001E2C69">
        <w:rPr>
          <w:rFonts w:ascii="Times New Roman" w:hAnsi="Times New Roman"/>
          <w:color w:val="000000" w:themeColor="text1"/>
          <w:sz w:val="16"/>
          <w:szCs w:val="16"/>
        </w:rPr>
        <w:softHyphen/>
        <w:t>ротный ремонтный фонд, и того больше. Для этого в системе НКАП требовалось создать новый мощный моторный завод, что было совершенно нереальным в усло</w:t>
      </w:r>
      <w:r w:rsidRPr="001E2C69">
        <w:rPr>
          <w:rFonts w:ascii="Times New Roman" w:hAnsi="Times New Roman"/>
          <w:color w:val="000000" w:themeColor="text1"/>
          <w:sz w:val="16"/>
          <w:szCs w:val="16"/>
        </w:rPr>
        <w:softHyphen/>
        <w:t>виях войны.</w:t>
      </w:r>
    </w:p>
    <w:p w14:paraId="5B526741"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Кроме того, виделись и практически непреодолимые в условиях войны труд</w:t>
      </w:r>
      <w:r w:rsidRPr="001E2C69">
        <w:rPr>
          <w:rFonts w:ascii="Times New Roman" w:hAnsi="Times New Roman"/>
          <w:color w:val="000000" w:themeColor="text1"/>
          <w:sz w:val="16"/>
          <w:szCs w:val="16"/>
        </w:rPr>
        <w:softHyphen/>
        <w:t>ности при формировании и боевом при</w:t>
      </w:r>
      <w:r w:rsidRPr="001E2C69">
        <w:rPr>
          <w:rFonts w:ascii="Times New Roman" w:hAnsi="Times New Roman"/>
          <w:color w:val="000000" w:themeColor="text1"/>
          <w:sz w:val="16"/>
          <w:szCs w:val="16"/>
        </w:rPr>
        <w:softHyphen/>
        <w:t>менении специальной противотанко</w:t>
      </w:r>
      <w:r w:rsidRPr="001E2C69">
        <w:rPr>
          <w:rFonts w:ascii="Times New Roman" w:hAnsi="Times New Roman"/>
          <w:color w:val="000000" w:themeColor="text1"/>
          <w:sz w:val="16"/>
          <w:szCs w:val="16"/>
        </w:rPr>
        <w:softHyphen/>
        <w:t>вой воздушной армии. Причем на пер</w:t>
      </w:r>
      <w:r w:rsidRPr="001E2C69">
        <w:rPr>
          <w:rFonts w:ascii="Times New Roman" w:hAnsi="Times New Roman"/>
          <w:color w:val="000000" w:themeColor="text1"/>
          <w:sz w:val="16"/>
          <w:szCs w:val="16"/>
        </w:rPr>
        <w:softHyphen/>
        <w:t>вый план выходили даже не технические и организационные проблемы, связанные с насыщением нового формирования ма</w:t>
      </w:r>
      <w:r w:rsidRPr="001E2C69">
        <w:rPr>
          <w:rFonts w:ascii="Times New Roman" w:hAnsi="Times New Roman"/>
          <w:color w:val="000000" w:themeColor="text1"/>
          <w:sz w:val="16"/>
          <w:szCs w:val="16"/>
        </w:rPr>
        <w:softHyphen/>
        <w:t>териальной частью и обеспечением под</w:t>
      </w:r>
      <w:r w:rsidRPr="001E2C69">
        <w:rPr>
          <w:rFonts w:ascii="Times New Roman" w:hAnsi="Times New Roman"/>
          <w:color w:val="000000" w:themeColor="text1"/>
          <w:sz w:val="16"/>
          <w:szCs w:val="16"/>
        </w:rPr>
        <w:softHyphen/>
        <w:t>держания такой огромной массы само</w:t>
      </w:r>
      <w:r w:rsidRPr="001E2C69">
        <w:rPr>
          <w:rFonts w:ascii="Times New Roman" w:hAnsi="Times New Roman"/>
          <w:color w:val="000000" w:themeColor="text1"/>
          <w:sz w:val="16"/>
          <w:szCs w:val="16"/>
        </w:rPr>
        <w:softHyphen/>
        <w:t>летов в боеготовом состоянии, а пробле</w:t>
      </w:r>
      <w:r w:rsidRPr="001E2C69">
        <w:rPr>
          <w:rFonts w:ascii="Times New Roman" w:hAnsi="Times New Roman"/>
          <w:color w:val="000000" w:themeColor="text1"/>
          <w:sz w:val="16"/>
          <w:szCs w:val="16"/>
        </w:rPr>
        <w:softHyphen/>
        <w:t>мы комплектования и подготовки лично</w:t>
      </w:r>
      <w:r w:rsidRPr="001E2C69">
        <w:rPr>
          <w:rFonts w:ascii="Times New Roman" w:hAnsi="Times New Roman"/>
          <w:color w:val="000000" w:themeColor="text1"/>
          <w:sz w:val="16"/>
          <w:szCs w:val="16"/>
        </w:rPr>
        <w:softHyphen/>
        <w:t>го состава.</w:t>
      </w:r>
    </w:p>
    <w:p w14:paraId="035015F0"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Действительно, 15000 самолетов, это при 32-самолетном составе авиаполков (штат №015/282) свыше 60000 (!) человек личного состава.</w:t>
      </w:r>
    </w:p>
    <w:p w14:paraId="32664C30"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Требовалось отобрать и обучить (хо</w:t>
      </w:r>
      <w:r w:rsidRPr="001E2C69">
        <w:rPr>
          <w:rFonts w:ascii="Times New Roman" w:hAnsi="Times New Roman"/>
          <w:color w:val="000000" w:themeColor="text1"/>
          <w:sz w:val="16"/>
          <w:szCs w:val="16"/>
        </w:rPr>
        <w:softHyphen/>
        <w:t>рошую стрелковую и тактическую подго</w:t>
      </w:r>
      <w:r w:rsidRPr="001E2C69">
        <w:rPr>
          <w:rFonts w:ascii="Times New Roman" w:hAnsi="Times New Roman"/>
          <w:color w:val="000000" w:themeColor="text1"/>
          <w:sz w:val="16"/>
          <w:szCs w:val="16"/>
        </w:rPr>
        <w:softHyphen/>
        <w:t>товку никто не отменял вне зависимости от типа самолета) не только 15000 летчи</w:t>
      </w:r>
      <w:r w:rsidRPr="001E2C69">
        <w:rPr>
          <w:rFonts w:ascii="Times New Roman" w:hAnsi="Times New Roman"/>
          <w:color w:val="000000" w:themeColor="text1"/>
          <w:sz w:val="16"/>
          <w:szCs w:val="16"/>
        </w:rPr>
        <w:softHyphen/>
        <w:t>ков, но и командиров полков и дивизий с опытом ведения современной воздуш</w:t>
      </w:r>
      <w:r w:rsidRPr="001E2C69">
        <w:rPr>
          <w:rFonts w:ascii="Times New Roman" w:hAnsi="Times New Roman"/>
          <w:color w:val="000000" w:themeColor="text1"/>
          <w:sz w:val="16"/>
          <w:szCs w:val="16"/>
        </w:rPr>
        <w:softHyphen/>
        <w:t>ной войны, а на уровне штабов ВВС, воз</w:t>
      </w:r>
      <w:r w:rsidRPr="001E2C69">
        <w:rPr>
          <w:rFonts w:ascii="Times New Roman" w:hAnsi="Times New Roman"/>
          <w:color w:val="000000" w:themeColor="text1"/>
          <w:sz w:val="16"/>
          <w:szCs w:val="16"/>
        </w:rPr>
        <w:softHyphen/>
        <w:t>душных армий и фронтов проработать все вопросы взаимодействия армии про</w:t>
      </w:r>
      <w:r w:rsidRPr="001E2C69">
        <w:rPr>
          <w:rFonts w:ascii="Times New Roman" w:hAnsi="Times New Roman"/>
          <w:color w:val="000000" w:themeColor="text1"/>
          <w:sz w:val="16"/>
          <w:szCs w:val="16"/>
        </w:rPr>
        <w:softHyphen/>
        <w:t>тивотанковых «Пегасов».</w:t>
      </w:r>
    </w:p>
    <w:p w14:paraId="1985A988"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Вызывала сомнение и заявленная в проекте высокая боевая эффективность противотанкового самолета. Дело в том, что небольшая скорость полета не только повышала вероятность поражения броне</w:t>
      </w:r>
      <w:r w:rsidRPr="001E2C69">
        <w:rPr>
          <w:rFonts w:ascii="Times New Roman" w:hAnsi="Times New Roman"/>
          <w:color w:val="000000" w:themeColor="text1"/>
          <w:sz w:val="16"/>
          <w:szCs w:val="16"/>
        </w:rPr>
        <w:softHyphen/>
        <w:t>техники противника, но повышала и ве</w:t>
      </w:r>
      <w:r w:rsidRPr="001E2C69">
        <w:rPr>
          <w:rFonts w:ascii="Times New Roman" w:hAnsi="Times New Roman"/>
          <w:color w:val="000000" w:themeColor="text1"/>
          <w:sz w:val="16"/>
          <w:szCs w:val="16"/>
        </w:rPr>
        <w:softHyphen/>
        <w:t>роятность поражения самого самолета ог</w:t>
      </w:r>
      <w:r w:rsidRPr="001E2C69">
        <w:rPr>
          <w:rFonts w:ascii="Times New Roman" w:hAnsi="Times New Roman"/>
          <w:color w:val="000000" w:themeColor="text1"/>
          <w:sz w:val="16"/>
          <w:szCs w:val="16"/>
        </w:rPr>
        <w:softHyphen/>
        <w:t>нем с земли. По опыту применения бо</w:t>
      </w:r>
      <w:r w:rsidRPr="001E2C69">
        <w:rPr>
          <w:rFonts w:ascii="Times New Roman" w:hAnsi="Times New Roman"/>
          <w:color w:val="000000" w:themeColor="text1"/>
          <w:sz w:val="16"/>
          <w:szCs w:val="16"/>
        </w:rPr>
        <w:softHyphen/>
        <w:t>лее скоростного штурмовика Ил-2 его бронекорпус с толщиной брони 6-12 мм успешно пробивался бронебойными ма</w:t>
      </w:r>
      <w:r w:rsidRPr="001E2C69">
        <w:rPr>
          <w:rFonts w:ascii="Times New Roman" w:hAnsi="Times New Roman"/>
          <w:color w:val="000000" w:themeColor="text1"/>
          <w:sz w:val="16"/>
          <w:szCs w:val="16"/>
        </w:rPr>
        <w:softHyphen/>
        <w:t>локалиберными снарядами и крупнока</w:t>
      </w:r>
      <w:r w:rsidRPr="001E2C69">
        <w:rPr>
          <w:rFonts w:ascii="Times New Roman" w:hAnsi="Times New Roman"/>
          <w:color w:val="000000" w:themeColor="text1"/>
          <w:sz w:val="16"/>
          <w:szCs w:val="16"/>
        </w:rPr>
        <w:softHyphen/>
        <w:t>либерными пулями немецких зенитных и авиационных автоматов. Между тем бро</w:t>
      </w:r>
      <w:r w:rsidRPr="001E2C69">
        <w:rPr>
          <w:rFonts w:ascii="Times New Roman" w:hAnsi="Times New Roman"/>
          <w:color w:val="000000" w:themeColor="text1"/>
          <w:sz w:val="16"/>
          <w:szCs w:val="16"/>
        </w:rPr>
        <w:softHyphen/>
        <w:t>нирование кабины летчика на самоле</w:t>
      </w:r>
      <w:r w:rsidRPr="001E2C69">
        <w:rPr>
          <w:rFonts w:ascii="Times New Roman" w:hAnsi="Times New Roman"/>
          <w:color w:val="000000" w:themeColor="text1"/>
          <w:sz w:val="16"/>
          <w:szCs w:val="16"/>
        </w:rPr>
        <w:softHyphen/>
        <w:t>те «Пегас» принципиально ненамного от</w:t>
      </w:r>
      <w:r w:rsidRPr="001E2C69">
        <w:rPr>
          <w:rFonts w:ascii="Times New Roman" w:hAnsi="Times New Roman"/>
          <w:color w:val="000000" w:themeColor="text1"/>
          <w:sz w:val="16"/>
          <w:szCs w:val="16"/>
        </w:rPr>
        <w:softHyphen/>
        <w:t>личалось от Ил-2. Схема бронирования и выбранные толщины брони, по мнению специалистов института, не обеспечивали надежную защиту, как от зенитного огня, так и от огня истребителей. К тому же мо</w:t>
      </w:r>
      <w:r w:rsidRPr="001E2C69">
        <w:rPr>
          <w:rFonts w:ascii="Times New Roman" w:hAnsi="Times New Roman"/>
          <w:color w:val="000000" w:themeColor="text1"/>
          <w:sz w:val="16"/>
          <w:szCs w:val="16"/>
        </w:rPr>
        <w:softHyphen/>
        <w:t>торы не бронировались. Протектор ос</w:t>
      </w:r>
      <w:r w:rsidRPr="001E2C69">
        <w:rPr>
          <w:rFonts w:ascii="Times New Roman" w:hAnsi="Times New Roman"/>
          <w:color w:val="000000" w:themeColor="text1"/>
          <w:sz w:val="16"/>
          <w:szCs w:val="16"/>
        </w:rPr>
        <w:softHyphen/>
        <w:t>новных бензобаков, система нейтральных газов и противопожарные перегородки проектом не предусматривались. В то же время сброс бензобаков не исключал по</w:t>
      </w:r>
      <w:r w:rsidRPr="001E2C69">
        <w:rPr>
          <w:rFonts w:ascii="Times New Roman" w:hAnsi="Times New Roman"/>
          <w:color w:val="000000" w:themeColor="text1"/>
          <w:sz w:val="16"/>
          <w:szCs w:val="16"/>
        </w:rPr>
        <w:softHyphen/>
        <w:t>жара, так как летчик может своевременно не заметить возгорания.</w:t>
      </w:r>
    </w:p>
    <w:p w14:paraId="37C57397"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Было очевидно, что в условиях ин</w:t>
      </w:r>
      <w:r w:rsidRPr="001E2C69">
        <w:rPr>
          <w:rFonts w:ascii="Times New Roman" w:hAnsi="Times New Roman"/>
          <w:color w:val="000000" w:themeColor="text1"/>
          <w:sz w:val="16"/>
          <w:szCs w:val="16"/>
        </w:rPr>
        <w:softHyphen/>
        <w:t>тенсивных воздушных боев (по-друго</w:t>
      </w:r>
      <w:r w:rsidRPr="001E2C69">
        <w:rPr>
          <w:rFonts w:ascii="Times New Roman" w:hAnsi="Times New Roman"/>
          <w:color w:val="000000" w:themeColor="text1"/>
          <w:sz w:val="16"/>
          <w:szCs w:val="16"/>
        </w:rPr>
        <w:softHyphen/>
        <w:t>му и быть не могло, так как крупные мас</w:t>
      </w:r>
      <w:r w:rsidRPr="001E2C69">
        <w:rPr>
          <w:rFonts w:ascii="Times New Roman" w:hAnsi="Times New Roman"/>
          <w:color w:val="000000" w:themeColor="text1"/>
          <w:sz w:val="16"/>
          <w:szCs w:val="16"/>
        </w:rPr>
        <w:softHyphen/>
        <w:t>сы танков действуют только на главном направлении удара, значит, и прикрыва</w:t>
      </w:r>
      <w:r w:rsidRPr="001E2C69">
        <w:rPr>
          <w:rFonts w:ascii="Times New Roman" w:hAnsi="Times New Roman"/>
          <w:color w:val="000000" w:themeColor="text1"/>
          <w:sz w:val="16"/>
          <w:szCs w:val="16"/>
        </w:rPr>
        <w:softHyphen/>
        <w:t>ются с воздуха) армады противотанковых «Пегасов» будут нести и огромные потери от огня противника. Самолет Томашевича виделся не столько полноценной проти</w:t>
      </w:r>
      <w:r w:rsidRPr="001E2C69">
        <w:rPr>
          <w:rFonts w:ascii="Times New Roman" w:hAnsi="Times New Roman"/>
          <w:color w:val="000000" w:themeColor="text1"/>
          <w:sz w:val="16"/>
          <w:szCs w:val="16"/>
        </w:rPr>
        <w:softHyphen/>
        <w:t>вотанковой системой, сколько одноразо</w:t>
      </w:r>
      <w:r w:rsidRPr="001E2C69">
        <w:rPr>
          <w:rFonts w:ascii="Times New Roman" w:hAnsi="Times New Roman"/>
          <w:color w:val="000000" w:themeColor="text1"/>
          <w:sz w:val="16"/>
          <w:szCs w:val="16"/>
        </w:rPr>
        <w:softHyphen/>
        <w:t>вой, в лучшем случае 2-3-х разовой бо</w:t>
      </w:r>
      <w:r w:rsidRPr="001E2C69">
        <w:rPr>
          <w:rFonts w:ascii="Times New Roman" w:hAnsi="Times New Roman"/>
          <w:color w:val="000000" w:themeColor="text1"/>
          <w:sz w:val="16"/>
          <w:szCs w:val="16"/>
        </w:rPr>
        <w:softHyphen/>
        <w:t>евой машиной. Но главное, с каждой по</w:t>
      </w:r>
      <w:r w:rsidRPr="001E2C69">
        <w:rPr>
          <w:rFonts w:ascii="Times New Roman" w:hAnsi="Times New Roman"/>
          <w:color w:val="000000" w:themeColor="text1"/>
          <w:sz w:val="16"/>
          <w:szCs w:val="16"/>
        </w:rPr>
        <w:softHyphen/>
        <w:t>терей «Пегаса» терялся и летный состав, в большинстве своем безвозвратно. Под</w:t>
      </w:r>
      <w:r w:rsidRPr="001E2C69">
        <w:rPr>
          <w:rFonts w:ascii="Times New Roman" w:hAnsi="Times New Roman"/>
          <w:color w:val="000000" w:themeColor="text1"/>
          <w:sz w:val="16"/>
          <w:szCs w:val="16"/>
        </w:rPr>
        <w:softHyphen/>
        <w:t>готовка же летчиков дело затратное и продолжительное. Собственно, именно по этой причине командование ВВС КА и Ставка ВГК не решились на создание не только специальных противотанковых дивизий, как предлагалось Оперативным управлением штаба ВВС, но даже отдель</w:t>
      </w:r>
      <w:r w:rsidRPr="001E2C69">
        <w:rPr>
          <w:rFonts w:ascii="Times New Roman" w:hAnsi="Times New Roman"/>
          <w:color w:val="000000" w:themeColor="text1"/>
          <w:sz w:val="16"/>
          <w:szCs w:val="16"/>
        </w:rPr>
        <w:softHyphen/>
        <w:t>ных противотанковых полков. При интен</w:t>
      </w:r>
      <w:r w:rsidRPr="001E2C69">
        <w:rPr>
          <w:rFonts w:ascii="Times New Roman" w:hAnsi="Times New Roman"/>
          <w:color w:val="000000" w:themeColor="text1"/>
          <w:sz w:val="16"/>
          <w:szCs w:val="16"/>
        </w:rPr>
        <w:softHyphen/>
        <w:t>сивных боях специально обученные лет</w:t>
      </w:r>
      <w:r w:rsidRPr="001E2C69">
        <w:rPr>
          <w:rFonts w:ascii="Times New Roman" w:hAnsi="Times New Roman"/>
          <w:color w:val="000000" w:themeColor="text1"/>
          <w:sz w:val="16"/>
          <w:szCs w:val="16"/>
        </w:rPr>
        <w:softHyphen/>
        <w:t>чики погибают «в общей свалке» также часто, как и рядовые летчики, не имею</w:t>
      </w:r>
      <w:r w:rsidRPr="001E2C69">
        <w:rPr>
          <w:rFonts w:ascii="Times New Roman" w:hAnsi="Times New Roman"/>
          <w:color w:val="000000" w:themeColor="text1"/>
          <w:sz w:val="16"/>
          <w:szCs w:val="16"/>
        </w:rPr>
        <w:softHyphen/>
        <w:t>щие противотанковой подготовки.</w:t>
      </w:r>
    </w:p>
    <w:p w14:paraId="2CF02FA3"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Положительной стороной самолета «Пегас» считалось применение сменных составов оружия на подвесных мостах и лафетах, что расширяло круг тактических задач, решаемых самолетом. Из числа сменных комплектов вооружения наилуч</w:t>
      </w:r>
      <w:r w:rsidRPr="001E2C69">
        <w:rPr>
          <w:rFonts w:ascii="Times New Roman" w:hAnsi="Times New Roman"/>
          <w:color w:val="000000" w:themeColor="text1"/>
          <w:sz w:val="16"/>
          <w:szCs w:val="16"/>
        </w:rPr>
        <w:softHyphen/>
        <w:t>шими сочли варианты с пушкой калибра 37 мм, ракетными снарядами и бомбами.</w:t>
      </w:r>
    </w:p>
    <w:p w14:paraId="15605A82"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Однако возможность использования пу</w:t>
      </w:r>
      <w:r w:rsidRPr="001E2C69">
        <w:rPr>
          <w:rFonts w:ascii="Times New Roman" w:hAnsi="Times New Roman"/>
          <w:color w:val="000000" w:themeColor="text1"/>
          <w:sz w:val="16"/>
          <w:szCs w:val="16"/>
        </w:rPr>
        <w:softHyphen/>
        <w:t>шек калибра 37 мм с силой отдачи поряд</w:t>
      </w:r>
      <w:r w:rsidRPr="001E2C69">
        <w:rPr>
          <w:rFonts w:ascii="Times New Roman" w:hAnsi="Times New Roman"/>
          <w:color w:val="000000" w:themeColor="text1"/>
          <w:sz w:val="16"/>
          <w:szCs w:val="16"/>
        </w:rPr>
        <w:softHyphen/>
        <w:t>ка 3000-5500 кг на столь легком само</w:t>
      </w:r>
      <w:r w:rsidRPr="001E2C69">
        <w:rPr>
          <w:rFonts w:ascii="Times New Roman" w:hAnsi="Times New Roman"/>
          <w:color w:val="000000" w:themeColor="text1"/>
          <w:sz w:val="16"/>
          <w:szCs w:val="16"/>
        </w:rPr>
        <w:softHyphen/>
        <w:t>лете требовалось проверить реальными стрельбами в воздухе. Кроме этого, под</w:t>
      </w:r>
      <w:r w:rsidRPr="001E2C69">
        <w:rPr>
          <w:rFonts w:ascii="Times New Roman" w:hAnsi="Times New Roman"/>
          <w:color w:val="000000" w:themeColor="text1"/>
          <w:sz w:val="16"/>
          <w:szCs w:val="16"/>
        </w:rPr>
        <w:softHyphen/>
        <w:t>вергли критике тандемное (друг за дру</w:t>
      </w:r>
      <w:r w:rsidRPr="001E2C69">
        <w:rPr>
          <w:rFonts w:ascii="Times New Roman" w:hAnsi="Times New Roman"/>
          <w:color w:val="000000" w:themeColor="text1"/>
          <w:sz w:val="16"/>
          <w:szCs w:val="16"/>
        </w:rPr>
        <w:softHyphen/>
        <w:t>гом по три в ряд) размещение девяти ра</w:t>
      </w:r>
      <w:r w:rsidRPr="001E2C69">
        <w:rPr>
          <w:rFonts w:ascii="Times New Roman" w:hAnsi="Times New Roman"/>
          <w:color w:val="000000" w:themeColor="text1"/>
          <w:sz w:val="16"/>
          <w:szCs w:val="16"/>
        </w:rPr>
        <w:softHyphen/>
        <w:t>кетных орудий. К этому времени на НИП АВ ВВС дважды проходили полигонные испытания ракетные орудия тандемного типа РОТ-82 (РО-82 тандем) по два РС-82 на каждое орудие. И оба раза неудачно: под воздействием газовой струи передне</w:t>
      </w:r>
      <w:r w:rsidRPr="001E2C69">
        <w:rPr>
          <w:rFonts w:ascii="Times New Roman" w:hAnsi="Times New Roman"/>
          <w:color w:val="000000" w:themeColor="text1"/>
          <w:sz w:val="16"/>
          <w:szCs w:val="16"/>
        </w:rPr>
        <w:softHyphen/>
        <w:t>го PC в момент выстрела ветрянка взры</w:t>
      </w:r>
      <w:r w:rsidRPr="001E2C69">
        <w:rPr>
          <w:rFonts w:ascii="Times New Roman" w:hAnsi="Times New Roman"/>
          <w:color w:val="000000" w:themeColor="text1"/>
          <w:sz w:val="16"/>
          <w:szCs w:val="16"/>
        </w:rPr>
        <w:softHyphen/>
        <w:t>вателя заднего снаряда деформировалась или даже срывалась совсем. Установка предохранительной заслонки хотя и за</w:t>
      </w:r>
      <w:r w:rsidRPr="001E2C69">
        <w:rPr>
          <w:rFonts w:ascii="Times New Roman" w:hAnsi="Times New Roman"/>
          <w:color w:val="000000" w:themeColor="text1"/>
          <w:sz w:val="16"/>
          <w:szCs w:val="16"/>
        </w:rPr>
        <w:softHyphen/>
        <w:t>щищала ветрянку от газовой струи, но со</w:t>
      </w:r>
      <w:r w:rsidRPr="001E2C69">
        <w:rPr>
          <w:rFonts w:ascii="Times New Roman" w:hAnsi="Times New Roman"/>
          <w:color w:val="000000" w:themeColor="text1"/>
          <w:sz w:val="16"/>
          <w:szCs w:val="16"/>
        </w:rPr>
        <w:softHyphen/>
        <w:t>здавала такую большую отдачу на ракет</w:t>
      </w:r>
      <w:r w:rsidRPr="001E2C69">
        <w:rPr>
          <w:rFonts w:ascii="Times New Roman" w:hAnsi="Times New Roman"/>
          <w:color w:val="000000" w:themeColor="text1"/>
          <w:sz w:val="16"/>
          <w:szCs w:val="16"/>
        </w:rPr>
        <w:softHyphen/>
        <w:t>ное орудие, что штатные крепежные бол</w:t>
      </w:r>
      <w:r w:rsidRPr="001E2C69">
        <w:rPr>
          <w:rFonts w:ascii="Times New Roman" w:hAnsi="Times New Roman"/>
          <w:color w:val="000000" w:themeColor="text1"/>
          <w:sz w:val="16"/>
          <w:szCs w:val="16"/>
        </w:rPr>
        <w:softHyphen/>
        <w:t>ты не выдерживали нагрузки и ломались. Поэтому рекомендовалось подвеску ра</w:t>
      </w:r>
      <w:r w:rsidRPr="001E2C69">
        <w:rPr>
          <w:rFonts w:ascii="Times New Roman" w:hAnsi="Times New Roman"/>
          <w:color w:val="000000" w:themeColor="text1"/>
          <w:sz w:val="16"/>
          <w:szCs w:val="16"/>
        </w:rPr>
        <w:softHyphen/>
        <w:t>кетных орудий сделать в один ряд даже за счет сокращения их числа на самолете.</w:t>
      </w:r>
    </w:p>
    <w:p w14:paraId="2C7CDBFC"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Общее мнение специалистов НИИ ВВС сводилось к тому, что боевой «Пегас» «массовой противотанковой авиации» ма</w:t>
      </w:r>
      <w:r w:rsidRPr="001E2C69">
        <w:rPr>
          <w:rFonts w:ascii="Times New Roman" w:hAnsi="Times New Roman"/>
          <w:color w:val="000000" w:themeColor="text1"/>
          <w:sz w:val="16"/>
          <w:szCs w:val="16"/>
        </w:rPr>
        <w:softHyphen/>
        <w:t>лопригоден для применения на фронте, а идея создания противотанковой армии такой численности находится за гранью разумного риска. В то же время, учиты</w:t>
      </w:r>
      <w:r w:rsidRPr="001E2C69">
        <w:rPr>
          <w:rFonts w:ascii="Times New Roman" w:hAnsi="Times New Roman"/>
          <w:color w:val="000000" w:themeColor="text1"/>
          <w:sz w:val="16"/>
          <w:szCs w:val="16"/>
        </w:rPr>
        <w:softHyphen/>
        <w:t>вая известную заинтересованность в про</w:t>
      </w:r>
      <w:r w:rsidRPr="001E2C69">
        <w:rPr>
          <w:rFonts w:ascii="Times New Roman" w:hAnsi="Times New Roman"/>
          <w:color w:val="000000" w:themeColor="text1"/>
          <w:sz w:val="16"/>
          <w:szCs w:val="16"/>
        </w:rPr>
        <w:softHyphen/>
        <w:t>движении самолета «Пегас» руководст</w:t>
      </w:r>
      <w:r w:rsidRPr="001E2C69">
        <w:rPr>
          <w:rFonts w:ascii="Times New Roman" w:hAnsi="Times New Roman"/>
          <w:color w:val="000000" w:themeColor="text1"/>
          <w:sz w:val="16"/>
          <w:szCs w:val="16"/>
        </w:rPr>
        <w:softHyphen/>
        <w:t>ва НКВД, приходилось быть предельно острожными. В официальном заключении по материалам ЦКБ-29 отмечалось, что самолет Томашевича представляет инте</w:t>
      </w:r>
      <w:r w:rsidRPr="001E2C69">
        <w:rPr>
          <w:rFonts w:ascii="Times New Roman" w:hAnsi="Times New Roman"/>
          <w:color w:val="000000" w:themeColor="text1"/>
          <w:sz w:val="16"/>
          <w:szCs w:val="16"/>
        </w:rPr>
        <w:softHyphen/>
        <w:t>рес для ВВС КА, но «вопрос о развертыва</w:t>
      </w:r>
      <w:r w:rsidRPr="001E2C69">
        <w:rPr>
          <w:rFonts w:ascii="Times New Roman" w:hAnsi="Times New Roman"/>
          <w:color w:val="000000" w:themeColor="text1"/>
          <w:sz w:val="16"/>
          <w:szCs w:val="16"/>
        </w:rPr>
        <w:softHyphen/>
        <w:t>нии работ по массовой постройке» жест</w:t>
      </w:r>
      <w:r w:rsidRPr="001E2C69">
        <w:rPr>
          <w:rFonts w:ascii="Times New Roman" w:hAnsi="Times New Roman"/>
          <w:color w:val="000000" w:themeColor="text1"/>
          <w:sz w:val="16"/>
          <w:szCs w:val="16"/>
        </w:rPr>
        <w:softHyphen/>
        <w:t>ко увязывался с результатами проверки тактических и летных свойств, вопросов живучести и отработки вооружения пяти опытных «Пегасов».</w:t>
      </w:r>
    </w:p>
    <w:p w14:paraId="4D101336"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Официального заказа ВВС на постройку даже опытных самолетов «Пегас» в НКАП так и не последовало (23181).</w:t>
      </w:r>
    </w:p>
    <w:p w14:paraId="7CBDCF16" w14:textId="77777777" w:rsidR="00291E17" w:rsidRPr="001E2C69" w:rsidRDefault="00291E17" w:rsidP="00722885">
      <w:pPr>
        <w:shd w:val="clear" w:color="auto" w:fill="FFFFFF"/>
        <w:spacing w:after="0" w:line="240" w:lineRule="auto"/>
        <w:jc w:val="both"/>
        <w:rPr>
          <w:rFonts w:ascii="Times New Roman" w:hAnsi="Times New Roman"/>
          <w:color w:val="000000" w:themeColor="text1"/>
          <w:sz w:val="16"/>
          <w:szCs w:val="16"/>
        </w:rPr>
      </w:pPr>
    </w:p>
    <w:p w14:paraId="76319B51"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31 июля 1942 г. начальник ЦКБ-29 и директор завода № 288 полковник НКВД Г.Я. Кутепов направил для рассмотрения начальника Управления опытного строительства ГУ ИАС ВВС бригинженеру Григорию Петровичу Лешукову Предложение о постройке противотанкового самолёта «Пегас» и альбом «Эскизный проект самолёта противотанковой воздушной армии».</w:t>
      </w:r>
    </w:p>
    <w:p w14:paraId="68205ED8"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замыслу Томашевича самолёт для противотанковой воздушной армии должен быть номестным, простым и недорогим в изготовлении и эксплуатации, не требовать высокой злификации летного состава, но при этом, что важно, оснащаться мощным пушечным и бомбовым вооружением и обеспечивать защиту лётчика в бою от крупнокалиберных пул и 20-мм снарядов.</w:t>
      </w:r>
    </w:p>
    <w:p w14:paraId="3CE37E61" w14:textId="77777777" w:rsidR="00326FD0" w:rsidRPr="001E2C69" w:rsidRDefault="00326FD0" w:rsidP="00722885">
      <w:pPr>
        <w:pStyle w:val="80"/>
        <w:shd w:val="clear" w:color="auto" w:fill="auto"/>
        <w:spacing w:line="240" w:lineRule="auto"/>
        <w:jc w:val="both"/>
        <w:rPr>
          <w:rFonts w:ascii="Times New Roman" w:hAnsi="Times New Roman" w:cs="Times New Roman"/>
          <w:color w:val="000000" w:themeColor="text1"/>
        </w:rPr>
      </w:pPr>
      <w:r w:rsidRPr="001E2C69">
        <w:rPr>
          <w:rFonts w:ascii="Times New Roman" w:hAnsi="Times New Roman" w:cs="Times New Roman"/>
          <w:color w:val="000000" w:themeColor="text1"/>
        </w:rPr>
        <w:t xml:space="preserve">Противотанковый самолёт предназначался исключительно только для «уничтожения тан ков и мобильных войск». Соответственно этому, из конструкции исключалось всё, что напря </w:t>
      </w:r>
      <w:r w:rsidRPr="001E2C69">
        <w:rPr>
          <w:rStyle w:val="885pt"/>
          <w:rFonts w:ascii="Times New Roman" w:hAnsi="Times New Roman" w:cs="Times New Roman"/>
          <w:color w:val="000000" w:themeColor="text1"/>
          <w:sz w:val="16"/>
          <w:szCs w:val="16"/>
        </w:rPr>
        <w:t>мую не использовалось при решении основной задачи. Оставался только самый минимум «который необходим для уничтожения танков».</w:t>
      </w:r>
    </w:p>
    <w:p w14:paraId="7E741704"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Считалось, что новой ударной машине совершенно не требуются большая горизонталь ная скорость и диапазон скоростей полёта, а также высотность. Даже наоборот, небольшая минимальная скорость полёта противотанкового самолёта (по расчетам - 102 км/ч</w:t>
      </w:r>
      <w:r w:rsidRPr="001E2C69">
        <w:rPr>
          <w:rStyle w:val="0pt1"/>
          <w:rFonts w:eastAsia="Arial Unicode MS"/>
          <w:b w:val="0"/>
          <w:color w:val="000000" w:themeColor="text1"/>
          <w:spacing w:val="0"/>
          <w:sz w:val="16"/>
          <w:szCs w:val="16"/>
        </w:rPr>
        <w:t xml:space="preserve"> у </w:t>
      </w:r>
      <w:r w:rsidRPr="001E2C69">
        <w:rPr>
          <w:rFonts w:ascii="Times New Roman" w:hAnsi="Times New Roman"/>
          <w:color w:val="000000" w:themeColor="text1"/>
          <w:sz w:val="16"/>
          <w:szCs w:val="16"/>
        </w:rPr>
        <w:t>земли) должна была обеспечить лучшие условия для стрельбы и бомбометания по танкам) в сравнении с современными скоростными штурмовиками Ил-2.</w:t>
      </w:r>
    </w:p>
    <w:p w14:paraId="46A3F51B"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этом случае стрельбу по танкам противника можно было вести с предельно малых высот </w:t>
      </w:r>
      <w:r w:rsidRPr="001E2C69">
        <w:rPr>
          <w:rStyle w:val="affb"/>
          <w:rFonts w:ascii="Times New Roman" w:hAnsi="Times New Roman" w:cs="Times New Roman"/>
          <w:b w:val="0"/>
          <w:color w:val="000000" w:themeColor="text1"/>
          <w:spacing w:val="0"/>
          <w:sz w:val="16"/>
          <w:szCs w:val="16"/>
        </w:rPr>
        <w:t>и</w:t>
      </w:r>
      <w:r w:rsidRPr="001E2C69">
        <w:rPr>
          <w:rFonts w:ascii="Times New Roman" w:hAnsi="Times New Roman"/>
          <w:color w:val="000000" w:themeColor="text1"/>
          <w:sz w:val="16"/>
          <w:szCs w:val="16"/>
        </w:rPr>
        <w:t xml:space="preserve"> почти под прямым углом к по</w:t>
      </w:r>
      <w:r w:rsidRPr="001E2C69">
        <w:rPr>
          <w:rFonts w:ascii="Times New Roman" w:hAnsi="Times New Roman"/>
          <w:color w:val="000000" w:themeColor="text1"/>
          <w:sz w:val="16"/>
          <w:szCs w:val="16"/>
        </w:rPr>
        <w:softHyphen/>
        <w:t>верхности бортовой брони, а дистанция прекращения стрель</w:t>
      </w:r>
      <w:r w:rsidRPr="001E2C69">
        <w:rPr>
          <w:rFonts w:ascii="Times New Roman" w:hAnsi="Times New Roman"/>
          <w:color w:val="000000" w:themeColor="text1"/>
          <w:sz w:val="16"/>
          <w:szCs w:val="16"/>
        </w:rPr>
        <w:softHyphen/>
        <w:t>бы была значительно меньше, чем у Ил-2, что создавало на</w:t>
      </w:r>
      <w:r w:rsidRPr="001E2C69">
        <w:rPr>
          <w:rFonts w:ascii="Times New Roman" w:hAnsi="Times New Roman"/>
          <w:color w:val="000000" w:themeColor="text1"/>
          <w:sz w:val="16"/>
          <w:szCs w:val="16"/>
        </w:rPr>
        <w:softHyphen/>
        <w:t>илучшие условия для проби</w:t>
      </w:r>
      <w:r w:rsidRPr="001E2C69">
        <w:rPr>
          <w:rFonts w:ascii="Times New Roman" w:hAnsi="Times New Roman"/>
          <w:color w:val="000000" w:themeColor="text1"/>
          <w:sz w:val="16"/>
          <w:szCs w:val="16"/>
        </w:rPr>
        <w:softHyphen/>
        <w:t>тия танковой брони штатными боеприпасами к авиационным пушкам.</w:t>
      </w:r>
    </w:p>
    <w:p w14:paraId="1AFEE201"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учетом особенностей бо</w:t>
      </w:r>
      <w:r w:rsidRPr="001E2C69">
        <w:rPr>
          <w:rFonts w:ascii="Times New Roman" w:hAnsi="Times New Roman"/>
          <w:color w:val="000000" w:themeColor="text1"/>
          <w:sz w:val="16"/>
          <w:szCs w:val="16"/>
        </w:rPr>
        <w:softHyphen/>
        <w:t>евого применения от машины не требовались высокие маневренные качества и взлётно-посадочные свойства. По технике пилотирования самолёт должен 1был допускать освоение лётчи- бками с подготовкой ниже среднего.</w:t>
      </w:r>
    </w:p>
    <w:p w14:paraId="3F3107FF"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проекту конструкция была полностью деревянная с бронекабиной в носовой части эзеляжа. Схема - низкоплан. Контуры самолёта образованы ямыми линиями, конструкция эдельно проста и техноло- ична, сборка без стапелей, из «роек. Использовались по</w:t>
      </w:r>
      <w:r w:rsidRPr="001E2C69">
        <w:rPr>
          <w:rFonts w:ascii="Times New Roman" w:hAnsi="Times New Roman"/>
          <w:color w:val="000000" w:themeColor="text1"/>
          <w:sz w:val="16"/>
          <w:szCs w:val="16"/>
        </w:rPr>
        <w:softHyphen/>
        <w:t xml:space="preserve">лочная сосна, строительная знера, кровельное железо </w:t>
      </w:r>
      <w:r w:rsidRPr="001E2C69">
        <w:rPr>
          <w:rStyle w:val="9pt"/>
          <w:rFonts w:ascii="Times New Roman" w:hAnsi="Times New Roman" w:cs="Times New Roman"/>
          <w:b w:val="0"/>
          <w:i w:val="0"/>
          <w:color w:val="000000" w:themeColor="text1"/>
          <w:sz w:val="16"/>
          <w:szCs w:val="16"/>
        </w:rPr>
        <w:t>бензо- и маслобаков, мягкая сталь разных толщин (узлы, бро</w:t>
      </w:r>
      <w:r w:rsidRPr="001E2C69">
        <w:rPr>
          <w:rFonts w:ascii="Times New Roman" w:hAnsi="Times New Roman"/>
          <w:color w:val="000000" w:themeColor="text1"/>
          <w:sz w:val="16"/>
          <w:szCs w:val="16"/>
        </w:rPr>
        <w:t xml:space="preserve">неспинка), низкосортный </w:t>
      </w:r>
      <w:r w:rsidRPr="001E2C69">
        <w:rPr>
          <w:rStyle w:val="75pt"/>
          <w:rFonts w:ascii="Times New Roman" w:hAnsi="Times New Roman" w:cs="Times New Roman"/>
          <w:color w:val="000000" w:themeColor="text1"/>
          <w:sz w:val="16"/>
          <w:szCs w:val="16"/>
        </w:rPr>
        <w:t xml:space="preserve">эалюминий (только капоты </w:t>
      </w:r>
      <w:r w:rsidRPr="001E2C69">
        <w:rPr>
          <w:rFonts w:ascii="Times New Roman" w:hAnsi="Times New Roman"/>
          <w:color w:val="000000" w:themeColor="text1"/>
          <w:sz w:val="16"/>
          <w:szCs w:val="16"/>
        </w:rPr>
        <w:t>торов). Все стыки - фланце- наружные. Отсутствовали эжные детали с механической обработкой, гидравлическая и воздушная системы, электро- и радиооборудование. Простота и дешевизна конструкции были предельные. Это позволяло быстро разворачивзть производство практически на любом заводе или мастерской с минимально необходимым составом станочного оборудования и неопытными рабочими.</w:t>
      </w:r>
    </w:p>
    <w:p w14:paraId="570C8DFD"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Фюзеляж четырёхгранного сечения с плоскими стенками, заготовляемыми заранее вме- с лонжеронами и планками шпангоутов. Крыло и оперение полностью деревянные фанерной обшивкой. Шасси - одностоечное неубираемое с резиновой пластинчатой эртизацией. Деревянными предполагались даже моторамы и колёса шасси! Электро</w:t>
      </w:r>
      <w:r w:rsidRPr="001E2C69">
        <w:rPr>
          <w:rFonts w:ascii="Times New Roman" w:hAnsi="Times New Roman"/>
          <w:color w:val="000000" w:themeColor="text1"/>
          <w:sz w:val="16"/>
          <w:szCs w:val="16"/>
        </w:rPr>
        <w:softHyphen/>
        <w:t>водка самая простейшая. Приборное оборудование использовалось от самолёта У-2. Лётчик помещался в бронекабине простейших форм с толщиной брони от 6 до 13 мм: эеди - 13 мм, сзади - 10-13 мм, борта и пол - 6 мм, бронекозырёк - 64 мм. Сразу же (кабиной в фюзеляже располагался небольшой отсек для размещения патронных ящиков иного состава пушечного вооружения. Для этого центроплан имел вырез посередине, подвесок вооружения в отсеке можно было разместить двух человек или 400 кг груза. Это позволяло привлекать самолёт для решения ряда транспортных и диверсионных задач. Под крыльями монтировались два мотора М-11ф мощностью по 140 л.с., что обеспе- зло потребную грузоподъёмность, установку стрелково-пушечного вооружения вблизи оси самолёта и хороший обзор лётчику вперёд и вниз. Сами моторы М-11ф были хорошо освоены промышленностью и лётно-техническим составов имели высокую надёжность невысокую стоимость в производстве и эксплуатации. По подсчётам, пять противоток ковых самолётов конструкци: Томашевича расходовали п- выполнении одного боевого вылета столько же горючего сколько требовалось для обес</w:t>
      </w:r>
      <w:r w:rsidRPr="001E2C69">
        <w:rPr>
          <w:rFonts w:ascii="Times New Roman" w:hAnsi="Times New Roman"/>
          <w:color w:val="000000" w:themeColor="text1"/>
          <w:sz w:val="16"/>
          <w:szCs w:val="16"/>
        </w:rPr>
        <w:softHyphen/>
        <w:t>печения боевого вылета одног штурмовика Ил-2.</w:t>
      </w:r>
    </w:p>
    <w:p w14:paraId="17B00046"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Для повышения боевой живучести каждый мотор питал: от своего бензобака, который располагался за мотором служил и обтекателем мотогондолы. При возгорании в полёте бензобак сбрасывался. В </w:t>
      </w:r>
      <w:bookmarkStart w:id="86" w:name="bookmark89"/>
      <w:r w:rsidRPr="001E2C69">
        <w:rPr>
          <w:rFonts w:ascii="Times New Roman" w:hAnsi="Times New Roman"/>
          <w:color w:val="000000" w:themeColor="text1"/>
          <w:sz w:val="16"/>
          <w:szCs w:val="16"/>
        </w:rPr>
        <w:t>момент сбрасывания мотор переходил на питание от расходного бронированного бачке</w:t>
      </w:r>
      <w:bookmarkEnd w:id="86"/>
      <w:r w:rsidRPr="001E2C69">
        <w:rPr>
          <w:rFonts w:ascii="Times New Roman" w:hAnsi="Times New Roman"/>
          <w:color w:val="000000" w:themeColor="text1"/>
          <w:sz w:val="16"/>
          <w:szCs w:val="16"/>
        </w:rPr>
        <w:t xml:space="preserve">, </w:t>
      </w:r>
      <w:bookmarkStart w:id="87" w:name="bookmark90"/>
      <w:r w:rsidRPr="001E2C69">
        <w:rPr>
          <w:rFonts w:ascii="Times New Roman" w:hAnsi="Times New Roman"/>
          <w:color w:val="000000" w:themeColor="text1"/>
          <w:sz w:val="16"/>
          <w:szCs w:val="16"/>
        </w:rPr>
        <w:t>рассчитанного на 30 мин работы.</w:t>
      </w:r>
      <w:bookmarkEnd w:id="87"/>
    </w:p>
    <w:p w14:paraId="56073D58"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Желание реализовать идею сбрасываемого бензобака предопределило расположени мотора и баков под крылом. Как показали дальнейшие события, это создало ряд трудно стей при эксплуатации.</w:t>
      </w:r>
    </w:p>
    <w:p w14:paraId="6EC9307C"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Для получения высоких взлётно-посадочных свойств предлагалось использовать прс филь крыла </w:t>
      </w:r>
      <w:r w:rsidRPr="001E2C69">
        <w:rPr>
          <w:rFonts w:ascii="Times New Roman" w:hAnsi="Times New Roman"/>
          <w:color w:val="000000" w:themeColor="text1"/>
          <w:sz w:val="16"/>
          <w:szCs w:val="16"/>
          <w:lang w:val="en-US"/>
        </w:rPr>
        <w:t>NACA</w:t>
      </w:r>
      <w:r w:rsidRPr="001E2C69">
        <w:rPr>
          <w:rFonts w:ascii="Times New Roman" w:hAnsi="Times New Roman"/>
          <w:color w:val="000000" w:themeColor="text1"/>
          <w:sz w:val="16"/>
          <w:szCs w:val="16"/>
        </w:rPr>
        <w:t xml:space="preserve"> 44 с высокими несущими характеристиками, а также фиксировании: предкрылки напротив элеронов и профилированные (над моторами) полукольцевые капоты. По расчётам все это, вместе взятое, обеспечивало устойчивый полет без сваливания дс углов атаки 20°.</w:t>
      </w:r>
    </w:p>
    <w:p w14:paraId="3755E4E2"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Вооружение состояло из крупнокалиберного пулемёта УБК с боезапасом 150 патроне в носовом обтекателе фюзеляжа и пяти сменных составов бомбового, ракетного и пушеч ного оружия: 250 кг бомб (в том числе 1x250 кг или 2x100 и 1x50 кг бомбы), 9 РО-132 или РО-82, одна 37-мм пушка с 50 снарядами, две пушки ВЯ калибра 23 мм со 160 снарядами четыре «противотанковых автоматических ружья» калибра 14,5 мм с 600 снарядами. Вс сменные варианты размещались на мостах и лафетах вооружения, которые подвешивали под фюзеляжем в районе центроплана.</w:t>
      </w:r>
    </w:p>
    <w:p w14:paraId="753A71DD"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В отношении последнего варианта следует дать пояснения. Здесь имелись в виду ав томатические пушки калибра 14,5 мм конструкции Салищева-Галкина и Волкова-Ярцева, которые в сентябре 1942 г. проходили испытания на НИП АВ ВВС. Первая пушка проекти ровалась под патрон для серийно выпускавшихся противотанковых ружей ПТРД и ПТРС, вторая - под новый патрон разработки ОКБ-16.</w:t>
      </w:r>
    </w:p>
    <w:p w14:paraId="5E2F1B3A" w14:textId="77777777" w:rsidR="00326FD0" w:rsidRPr="001E2C69" w:rsidRDefault="00326FD0" w:rsidP="00722885">
      <w:pPr>
        <w:spacing w:after="0" w:line="240" w:lineRule="auto"/>
        <w:jc w:val="both"/>
        <w:rPr>
          <w:rStyle w:val="affb"/>
          <w:rFonts w:ascii="Times New Roman" w:hAnsi="Times New Roman" w:cs="Times New Roman"/>
          <w:b w:val="0"/>
          <w:color w:val="000000" w:themeColor="text1"/>
          <w:spacing w:val="0"/>
          <w:sz w:val="16"/>
          <w:szCs w:val="16"/>
        </w:rPr>
      </w:pPr>
      <w:r w:rsidRPr="001E2C69">
        <w:rPr>
          <w:rFonts w:ascii="Times New Roman" w:hAnsi="Times New Roman"/>
          <w:color w:val="000000" w:themeColor="text1"/>
          <w:sz w:val="16"/>
          <w:szCs w:val="16"/>
        </w:rPr>
        <w:t>Указанные варианты вооружения, за исключением третьего и, отчасти, пятого, нельг назвать противотанковыми. Особенно это касается условий боёв начала 1943 г., когда лёг</w:t>
      </w:r>
      <w:r w:rsidRPr="001E2C69">
        <w:rPr>
          <w:rFonts w:ascii="Times New Roman" w:hAnsi="Times New Roman"/>
          <w:color w:val="000000" w:themeColor="text1"/>
          <w:sz w:val="16"/>
          <w:szCs w:val="16"/>
        </w:rPr>
        <w:softHyphen/>
        <w:t xml:space="preserve">кие танки вермахта повсеместно были вытеснены более мощными средними танками тип </w:t>
      </w:r>
      <w:r w:rsidRPr="001E2C69">
        <w:rPr>
          <w:rFonts w:ascii="Times New Roman" w:hAnsi="Times New Roman"/>
          <w:color w:val="000000" w:themeColor="text1"/>
          <w:sz w:val="16"/>
          <w:szCs w:val="16"/>
          <w:lang w:val="en-US"/>
        </w:rPr>
        <w:t>Pz</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IV</w:t>
      </w:r>
      <w:r w:rsidRPr="001E2C69">
        <w:rPr>
          <w:rFonts w:ascii="Times New Roman" w:hAnsi="Times New Roman"/>
          <w:color w:val="000000" w:themeColor="text1"/>
          <w:sz w:val="16"/>
          <w:szCs w:val="16"/>
        </w:rPr>
        <w:t xml:space="preserve"> и </w:t>
      </w:r>
      <w:r w:rsidRPr="001E2C69">
        <w:rPr>
          <w:rFonts w:ascii="Times New Roman" w:hAnsi="Times New Roman"/>
          <w:color w:val="000000" w:themeColor="text1"/>
          <w:sz w:val="16"/>
          <w:szCs w:val="16"/>
          <w:lang w:val="en-US"/>
        </w:rPr>
        <w:t>Pz</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HI</w:t>
      </w:r>
      <w:r w:rsidRPr="001E2C69">
        <w:rPr>
          <w:rFonts w:ascii="Times New Roman" w:hAnsi="Times New Roman"/>
          <w:color w:val="000000" w:themeColor="text1"/>
          <w:sz w:val="16"/>
          <w:szCs w:val="16"/>
        </w:rPr>
        <w:t xml:space="preserve">, а также новыми толстобронными </w:t>
      </w:r>
      <w:r w:rsidRPr="001E2C69">
        <w:rPr>
          <w:rFonts w:ascii="Times New Roman" w:hAnsi="Times New Roman"/>
          <w:color w:val="000000" w:themeColor="text1"/>
          <w:sz w:val="16"/>
          <w:szCs w:val="16"/>
          <w:lang w:val="en-US"/>
        </w:rPr>
        <w:t>Pz</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VI</w:t>
      </w:r>
      <w:r w:rsidRPr="001E2C69">
        <w:rPr>
          <w:rFonts w:ascii="Times New Roman" w:hAnsi="Times New Roman"/>
          <w:color w:val="000000" w:themeColor="text1"/>
          <w:sz w:val="16"/>
          <w:szCs w:val="16"/>
        </w:rPr>
        <w:t xml:space="preserve"> «Тигр», </w:t>
      </w:r>
      <w:r w:rsidRPr="001E2C69">
        <w:rPr>
          <w:rFonts w:ascii="Times New Roman" w:hAnsi="Times New Roman"/>
          <w:color w:val="000000" w:themeColor="text1"/>
          <w:sz w:val="16"/>
          <w:szCs w:val="16"/>
          <w:lang w:val="en-US"/>
        </w:rPr>
        <w:t>Pz</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V</w:t>
      </w:r>
      <w:r w:rsidRPr="001E2C69">
        <w:rPr>
          <w:rFonts w:ascii="Times New Roman" w:hAnsi="Times New Roman"/>
          <w:color w:val="000000" w:themeColor="text1"/>
          <w:sz w:val="16"/>
          <w:szCs w:val="16"/>
        </w:rPr>
        <w:t xml:space="preserve"> «Пантера» и </w:t>
      </w:r>
      <w:r w:rsidRPr="001E2C69">
        <w:rPr>
          <w:rFonts w:ascii="Times New Roman" w:hAnsi="Times New Roman"/>
          <w:color w:val="000000" w:themeColor="text1"/>
          <w:sz w:val="16"/>
          <w:szCs w:val="16"/>
          <w:lang w:val="en-US"/>
        </w:rPr>
        <w:t>JgdPzTigerI</w:t>
      </w:r>
      <w:r w:rsidRPr="001E2C69">
        <w:rPr>
          <w:rFonts w:ascii="Times New Roman" w:hAnsi="Times New Roman"/>
          <w:color w:val="000000" w:themeColor="text1"/>
          <w:sz w:val="16"/>
          <w:szCs w:val="16"/>
        </w:rPr>
        <w:t xml:space="preserve"> «Фердинанд». Единственными бронецелями Вермахта, с которыми штурмовик Д.Л. Томашг вича ещё мог как-то бороться, были легкобронированные САУ типа «Веспе» и им подобны; и противотанковые СУ типа «Мардер-И» и «Мардер-Ш», созданные на базе лёгких танков. При этом если учесть соотношение полётного веса самолёта и силы отдачи при стрельбе из пушек калибра 23-37 мм, то можно смело утверждать, что единственным приемлемы составом вооружения самолёта был пятый вариант. Более того, в рамках принятых в массогабаритных параметров штурмовика все попытки создать противотанковый самолёт мощным пушечным вооружением, обеспечивающим поражение средних и тяжёлых танко были заранее обречены на провал, что и подтвердили последующие испытания машины.</w:t>
      </w:r>
    </w:p>
    <w:p w14:paraId="5034684B"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расчётам при нормаль</w:t>
      </w:r>
      <w:r w:rsidRPr="001E2C69">
        <w:rPr>
          <w:rFonts w:ascii="Times New Roman" w:hAnsi="Times New Roman"/>
          <w:color w:val="000000" w:themeColor="text1"/>
          <w:sz w:val="16"/>
          <w:szCs w:val="16"/>
        </w:rPr>
        <w:softHyphen/>
        <w:t>ном полётном весе 1939 кг мак</w:t>
      </w:r>
      <w:r w:rsidRPr="001E2C69">
        <w:rPr>
          <w:rFonts w:ascii="Times New Roman" w:hAnsi="Times New Roman"/>
          <w:color w:val="000000" w:themeColor="text1"/>
          <w:sz w:val="16"/>
          <w:szCs w:val="16"/>
        </w:rPr>
        <w:softHyphen/>
        <w:t>симальная скорость полёта са</w:t>
      </w:r>
      <w:r w:rsidRPr="001E2C69">
        <w:rPr>
          <w:rFonts w:ascii="Times New Roman" w:hAnsi="Times New Roman"/>
          <w:color w:val="000000" w:themeColor="text1"/>
          <w:sz w:val="16"/>
          <w:szCs w:val="16"/>
        </w:rPr>
        <w:softHyphen/>
        <w:t>молёта у земли составляла 207 км/ч, вертикальная скорость - 2,4 м/с, время подъёма на вы</w:t>
      </w:r>
      <w:r w:rsidRPr="001E2C69">
        <w:rPr>
          <w:rFonts w:ascii="Times New Roman" w:hAnsi="Times New Roman"/>
          <w:color w:val="000000" w:themeColor="text1"/>
          <w:sz w:val="16"/>
          <w:szCs w:val="16"/>
        </w:rPr>
        <w:softHyphen/>
        <w:t>соту 1000 м - 8 мин, посадоч</w:t>
      </w:r>
      <w:r w:rsidRPr="001E2C69">
        <w:rPr>
          <w:rFonts w:ascii="Times New Roman" w:hAnsi="Times New Roman"/>
          <w:color w:val="000000" w:themeColor="text1"/>
          <w:sz w:val="16"/>
          <w:szCs w:val="16"/>
        </w:rPr>
        <w:softHyphen/>
        <w:t>ная скорость - 90 км/ч, разбег - 320 м, пробег - 280 м, пра</w:t>
      </w:r>
      <w:r w:rsidRPr="001E2C69">
        <w:rPr>
          <w:rFonts w:ascii="Times New Roman" w:hAnsi="Times New Roman"/>
          <w:color w:val="000000" w:themeColor="text1"/>
          <w:sz w:val="16"/>
          <w:szCs w:val="16"/>
        </w:rPr>
        <w:softHyphen/>
        <w:t>ктический потолок - 2850 м.</w:t>
      </w:r>
    </w:p>
    <w:p w14:paraId="0591F87D"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Дальность полёта у земли на скорости 0,7 от максималь</w:t>
      </w:r>
      <w:r w:rsidRPr="001E2C69">
        <w:rPr>
          <w:rFonts w:ascii="Times New Roman" w:hAnsi="Times New Roman"/>
          <w:color w:val="000000" w:themeColor="text1"/>
          <w:sz w:val="16"/>
          <w:szCs w:val="16"/>
        </w:rPr>
        <w:softHyphen/>
        <w:t>ной (145 км/ч) при запасе то</w:t>
      </w:r>
      <w:r w:rsidRPr="001E2C69">
        <w:rPr>
          <w:rFonts w:ascii="Times New Roman" w:hAnsi="Times New Roman"/>
          <w:color w:val="000000" w:themeColor="text1"/>
          <w:sz w:val="16"/>
          <w:szCs w:val="16"/>
        </w:rPr>
        <w:softHyphen/>
        <w:t>плива в 135 кг достигала 520 км, а при запасе топлива 270 кг - 1000 км.</w:t>
      </w:r>
    </w:p>
    <w:p w14:paraId="4BF694D2"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этом в сопроводитель</w:t>
      </w:r>
      <w:r w:rsidRPr="001E2C69">
        <w:rPr>
          <w:rFonts w:ascii="Times New Roman" w:hAnsi="Times New Roman"/>
          <w:color w:val="000000" w:themeColor="text1"/>
          <w:sz w:val="16"/>
          <w:szCs w:val="16"/>
        </w:rPr>
        <w:softHyphen/>
        <w:t>ных материалах к проекту Д.Л. Томашевич гарантировал,</w:t>
      </w:r>
      <w:r w:rsidRPr="001E2C69">
        <w:rPr>
          <w:rStyle w:val="aff8"/>
          <w:rFonts w:ascii="Times New Roman" w:eastAsia="Arial Unicode MS" w:hAnsi="Times New Roman" w:cs="Times New Roman"/>
          <w:i w:val="0"/>
          <w:color w:val="000000" w:themeColor="text1"/>
        </w:rPr>
        <w:t xml:space="preserve"> «что самолёт в реальном полёте будет иметь расчётные лётные данные».</w:t>
      </w:r>
    </w:p>
    <w:p w14:paraId="4DB82C15"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Томашевич и руководство ЦКБ-29 считали необходимым немедленно приступить к по</w:t>
      </w:r>
      <w:r w:rsidRPr="001E2C69">
        <w:rPr>
          <w:rFonts w:ascii="Times New Roman" w:hAnsi="Times New Roman"/>
          <w:color w:val="000000" w:themeColor="text1"/>
          <w:sz w:val="16"/>
          <w:szCs w:val="16"/>
        </w:rPr>
        <w:softHyphen/>
        <w:t>стройке пяти опытных экзем</w:t>
      </w:r>
      <w:r w:rsidRPr="001E2C69">
        <w:rPr>
          <w:rFonts w:ascii="Times New Roman" w:hAnsi="Times New Roman"/>
          <w:color w:val="000000" w:themeColor="text1"/>
          <w:sz w:val="16"/>
          <w:szCs w:val="16"/>
        </w:rPr>
        <w:softHyphen/>
        <w:t>пляров самолёта на заводе N° 288. Проектирование и по</w:t>
      </w:r>
      <w:r w:rsidRPr="001E2C69">
        <w:rPr>
          <w:rFonts w:ascii="Times New Roman" w:hAnsi="Times New Roman"/>
          <w:color w:val="000000" w:themeColor="text1"/>
          <w:sz w:val="16"/>
          <w:szCs w:val="16"/>
        </w:rPr>
        <w:softHyphen/>
        <w:t>стройку опытных машин плани</w:t>
      </w:r>
      <w:r w:rsidRPr="001E2C69">
        <w:rPr>
          <w:rFonts w:ascii="Times New Roman" w:hAnsi="Times New Roman"/>
          <w:color w:val="000000" w:themeColor="text1"/>
          <w:sz w:val="16"/>
          <w:szCs w:val="16"/>
        </w:rPr>
        <w:softHyphen/>
        <w:t>ровали завершить за три меся</w:t>
      </w:r>
      <w:r w:rsidRPr="001E2C69">
        <w:rPr>
          <w:rFonts w:ascii="Times New Roman" w:hAnsi="Times New Roman"/>
          <w:color w:val="000000" w:themeColor="text1"/>
          <w:sz w:val="16"/>
          <w:szCs w:val="16"/>
        </w:rPr>
        <w:softHyphen/>
        <w:t>ца, то есть, готовность первого опытного самолёта ожидалась к</w:t>
      </w:r>
      <w:bookmarkStart w:id="88" w:name="bookmark91"/>
      <w:r w:rsidRPr="001E2C69">
        <w:rPr>
          <w:rFonts w:ascii="Times New Roman" w:hAnsi="Times New Roman"/>
          <w:color w:val="000000" w:themeColor="text1"/>
          <w:sz w:val="16"/>
          <w:szCs w:val="16"/>
        </w:rPr>
        <w:t xml:space="preserve"> 1 ноября 1942 г.</w:t>
      </w:r>
      <w:bookmarkEnd w:id="88"/>
    </w:p>
    <w:p w14:paraId="2D7FFBC5" w14:textId="77777777" w:rsidR="00326FD0" w:rsidRPr="001E2C69" w:rsidRDefault="00326FD0" w:rsidP="00722885">
      <w:pPr>
        <w:pStyle w:val="45"/>
        <w:shd w:val="clear" w:color="auto" w:fill="auto"/>
        <w:spacing w:before="0" w:line="240" w:lineRule="auto"/>
        <w:jc w:val="both"/>
        <w:rPr>
          <w:rFonts w:ascii="Times New Roman" w:cs="Times New Roman"/>
          <w:color w:val="000000" w:themeColor="text1"/>
          <w:sz w:val="16"/>
          <w:szCs w:val="16"/>
        </w:rPr>
      </w:pPr>
      <w:r w:rsidRPr="001E2C69">
        <w:rPr>
          <w:rStyle w:val="49pt"/>
          <w:rFonts w:ascii="Times New Roman" w:hAnsi="Times New Roman" w:cs="Times New Roman"/>
          <w:i w:val="0"/>
          <w:color w:val="000000" w:themeColor="text1"/>
          <w:sz w:val="16"/>
          <w:szCs w:val="16"/>
        </w:rPr>
        <w:t>Одновременно требовалось выд</w:t>
      </w:r>
      <w:r w:rsidRPr="001E2C69">
        <w:rPr>
          <w:rStyle w:val="4f1"/>
          <w:rFonts w:ascii="Times New Roman" w:hAnsi="Times New Roman" w:cs="Times New Roman"/>
          <w:i w:val="0"/>
          <w:color w:val="000000" w:themeColor="text1"/>
          <w:sz w:val="16"/>
          <w:szCs w:val="16"/>
        </w:rPr>
        <w:t xml:space="preserve">елить два серийных завода </w:t>
      </w:r>
      <w:r w:rsidRPr="001E2C69">
        <w:rPr>
          <w:rFonts w:ascii="Times New Roman" w:cs="Times New Roman"/>
          <w:color w:val="000000" w:themeColor="text1"/>
          <w:sz w:val="16"/>
          <w:szCs w:val="16"/>
        </w:rPr>
        <w:t xml:space="preserve">один - типа завода сельскохозяйственных машин — для постройки самолётов, другой типа </w:t>
      </w:r>
      <w:r w:rsidRPr="001E2C69">
        <w:rPr>
          <w:rStyle w:val="aff8"/>
          <w:rFonts w:ascii="Times New Roman" w:eastAsia="Arial Unicode MS" w:hAnsi="Times New Roman" w:cs="Times New Roman"/>
          <w:i w:val="0"/>
          <w:color w:val="000000" w:themeColor="text1"/>
        </w:rPr>
        <w:t>завода № 29 - для изготовления авиамоторов»), на</w:t>
      </w:r>
      <w:r w:rsidRPr="001E2C69">
        <w:rPr>
          <w:rFonts w:ascii="Times New Roman" w:cs="Times New Roman"/>
          <w:color w:val="000000" w:themeColor="text1"/>
          <w:sz w:val="16"/>
          <w:szCs w:val="16"/>
        </w:rPr>
        <w:t xml:space="preserve"> которых организовать выпуск про- ютанковых самолётов «немедленно после готовности серийной технологии и оснастки», в </w:t>
      </w:r>
      <w:r w:rsidRPr="001E2C69">
        <w:rPr>
          <w:rStyle w:val="aff8"/>
          <w:rFonts w:ascii="Times New Roman" w:eastAsia="Arial Unicode MS" w:hAnsi="Times New Roman" w:cs="Times New Roman"/>
          <w:i w:val="0"/>
          <w:color w:val="000000" w:themeColor="text1"/>
        </w:rPr>
        <w:t xml:space="preserve">зависимо от готовности опытных самолётов и окончания их испытаний». </w:t>
      </w:r>
      <w:r w:rsidRPr="001E2C69">
        <w:rPr>
          <w:rFonts w:ascii="Times New Roman" w:cs="Times New Roman"/>
          <w:color w:val="000000" w:themeColor="text1"/>
          <w:sz w:val="16"/>
          <w:szCs w:val="16"/>
        </w:rPr>
        <w:t>После постройки первых пяти самолётов, кроме обычных лётных испытаний, предлагалось отработать тактику боя с танками, для чего выделить танковую часть и оборудовать юлеко от г. Омск специальный полигон.</w:t>
      </w:r>
    </w:p>
    <w:p w14:paraId="21EA7BC0" w14:textId="77777777" w:rsidR="00326FD0" w:rsidRPr="001E2C69" w:rsidRDefault="00326FD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Расходы на постройку пяти опытных машин и проведение лётных и тактических испытания по оценкам составляли около 3 200 000 руб., а на подготовку серийного производства, включая первоначальный серийный задел, - примерно 6 500 000 руб. (15846).</w:t>
      </w:r>
    </w:p>
    <w:p w14:paraId="3B9A3DA8" w14:textId="77777777" w:rsidR="00326FD0" w:rsidRPr="001E2C69" w:rsidRDefault="00326FD0" w:rsidP="00722885">
      <w:pPr>
        <w:spacing w:after="0" w:line="240" w:lineRule="auto"/>
        <w:jc w:val="both"/>
        <w:rPr>
          <w:rFonts w:ascii="Times New Roman" w:hAnsi="Times New Roman"/>
          <w:color w:val="000000" w:themeColor="text1"/>
          <w:sz w:val="16"/>
          <w:szCs w:val="16"/>
        </w:rPr>
      </w:pPr>
    </w:p>
    <w:p w14:paraId="273C25C2" w14:textId="77777777" w:rsidR="00B83888" w:rsidRPr="001E2C69" w:rsidRDefault="00B8388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31 июля 1942 г. началь</w:t>
      </w:r>
      <w:r w:rsidRPr="001E2C69">
        <w:rPr>
          <w:color w:val="000000" w:themeColor="text1"/>
          <w:sz w:val="16"/>
          <w:szCs w:val="16"/>
        </w:rPr>
        <w:softHyphen/>
        <w:t>ник ЦКБ-29 НКВД и директор завода № 288 Г. Я. Кутепов направил для рассмотрения начальнику Управления опытного строительства ГУ ИАС ВВС бригинженеру Г. П. Лешукову Предложение о постройке противотанкового самолета «Пегас» и альбом «Эскизный проект само</w:t>
      </w:r>
      <w:r w:rsidRPr="001E2C69">
        <w:rPr>
          <w:color w:val="000000" w:themeColor="text1"/>
          <w:sz w:val="16"/>
          <w:szCs w:val="16"/>
        </w:rPr>
        <w:softHyphen/>
        <w:t>лета противотанковой воздушной армии».</w:t>
      </w:r>
    </w:p>
    <w:p w14:paraId="49814124" w14:textId="77777777" w:rsidR="00B83888" w:rsidRPr="001E2C69" w:rsidRDefault="00B8388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Противотанковым самолетом за</w:t>
      </w:r>
      <w:r w:rsidRPr="001E2C69">
        <w:rPr>
          <w:color w:val="000000" w:themeColor="text1"/>
          <w:sz w:val="16"/>
          <w:szCs w:val="16"/>
        </w:rPr>
        <w:softHyphen/>
        <w:t>нялись и в ЦКБ-29 наркомата внутренних дел СССР занялись летом 1942 г. Строго в духе проходившей реорганизации ВВС и мероприятий по повышению эффективности бо</w:t>
      </w:r>
      <w:r w:rsidRPr="001E2C69">
        <w:rPr>
          <w:color w:val="000000" w:themeColor="text1"/>
          <w:sz w:val="16"/>
          <w:szCs w:val="16"/>
        </w:rPr>
        <w:softHyphen/>
        <w:t>евых сил авиации руководитель конструкторской бригады ЦКБ-29 Д. Л. Томашевич в инициативном порядке разработал проект бронированного про</w:t>
      </w:r>
      <w:r w:rsidRPr="001E2C69">
        <w:rPr>
          <w:color w:val="000000" w:themeColor="text1"/>
          <w:sz w:val="16"/>
          <w:szCs w:val="16"/>
        </w:rPr>
        <w:softHyphen/>
        <w:t>тивотанкового самолета массовой постройки для вооружения им специальной противотанковой воздушной армии. Предлагалось к 1 августа 1943 г. построить 15 000 (!) машин этого типа и для дости</w:t>
      </w:r>
      <w:r w:rsidRPr="001E2C69">
        <w:rPr>
          <w:color w:val="000000" w:themeColor="text1"/>
          <w:sz w:val="16"/>
          <w:szCs w:val="16"/>
        </w:rPr>
        <w:softHyphen/>
        <w:t>жения максимального эффекта внезапно массиро</w:t>
      </w:r>
      <w:r w:rsidRPr="001E2C69">
        <w:rPr>
          <w:color w:val="000000" w:themeColor="text1"/>
          <w:sz w:val="16"/>
          <w:szCs w:val="16"/>
        </w:rPr>
        <w:softHyphen/>
        <w:t>ванно бросить их в бой против немецких танков. Томашевич и вместе с ним руководство ЦКБ-29 считали, что «в случае удовлетворительных такти</w:t>
      </w:r>
      <w:r w:rsidRPr="001E2C69">
        <w:rPr>
          <w:color w:val="000000" w:themeColor="text1"/>
          <w:sz w:val="16"/>
          <w:szCs w:val="16"/>
        </w:rPr>
        <w:softHyphen/>
        <w:t>ческих свойств самолета страна получит в 1943 г. средство, которое решит исход кампании на нашем театре военных действий и, следовательно, исход всей войны. В свете такой перспективы /.../ работы должны быть немедленно развернуты во всю ши</w:t>
      </w:r>
      <w:r w:rsidRPr="001E2C69">
        <w:rPr>
          <w:color w:val="000000" w:themeColor="text1"/>
          <w:sz w:val="16"/>
          <w:szCs w:val="16"/>
        </w:rPr>
        <w:softHyphen/>
        <w:t>рину».</w:t>
      </w:r>
    </w:p>
    <w:p w14:paraId="7EACEEB8" w14:textId="77777777" w:rsidR="00B83888" w:rsidRPr="001E2C69" w:rsidRDefault="00B8388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 замыслу Томашевича самолет для противо</w:t>
      </w:r>
      <w:r w:rsidRPr="001E2C69">
        <w:rPr>
          <w:color w:val="000000" w:themeColor="text1"/>
          <w:sz w:val="16"/>
          <w:szCs w:val="16"/>
        </w:rPr>
        <w:softHyphen/>
        <w:t>танковой воздушной армии должен быть одно</w:t>
      </w:r>
      <w:r w:rsidRPr="001E2C69">
        <w:rPr>
          <w:color w:val="000000" w:themeColor="text1"/>
          <w:sz w:val="16"/>
          <w:szCs w:val="16"/>
        </w:rPr>
        <w:softHyphen/>
        <w:t>местным, простым и недорогим в изготовлении и эксплуатации, не требовать для освоения высо</w:t>
      </w:r>
      <w:r w:rsidRPr="001E2C69">
        <w:rPr>
          <w:color w:val="000000" w:themeColor="text1"/>
          <w:sz w:val="16"/>
          <w:szCs w:val="16"/>
        </w:rPr>
        <w:softHyphen/>
        <w:t>кой квалификации летного состава, но при этом, что важно, оснащаться мощным пушечным и бом</w:t>
      </w:r>
      <w:r w:rsidRPr="001E2C69">
        <w:rPr>
          <w:color w:val="000000" w:themeColor="text1"/>
          <w:sz w:val="16"/>
          <w:szCs w:val="16"/>
        </w:rPr>
        <w:softHyphen/>
        <w:t>бовым вооружением и обеспечивать защиту летчи</w:t>
      </w:r>
      <w:r w:rsidRPr="001E2C69">
        <w:rPr>
          <w:color w:val="000000" w:themeColor="text1"/>
          <w:sz w:val="16"/>
          <w:szCs w:val="16"/>
        </w:rPr>
        <w:softHyphen/>
        <w:t>ка в бою от крупнокалиберных пуль и 20-мм сна</w:t>
      </w:r>
      <w:r w:rsidRPr="001E2C69">
        <w:rPr>
          <w:color w:val="000000" w:themeColor="text1"/>
          <w:sz w:val="16"/>
          <w:szCs w:val="16"/>
        </w:rPr>
        <w:softHyphen/>
        <w:t>рядов.</w:t>
      </w:r>
    </w:p>
    <w:p w14:paraId="4B4F1795" w14:textId="77777777" w:rsidR="00B83888" w:rsidRPr="001E2C69" w:rsidRDefault="00B8388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Противотанковый самолет предназначался ис</w:t>
      </w:r>
      <w:r w:rsidRPr="001E2C69">
        <w:rPr>
          <w:color w:val="000000" w:themeColor="text1"/>
          <w:sz w:val="16"/>
          <w:szCs w:val="16"/>
        </w:rPr>
        <w:softHyphen/>
        <w:t>ключительно для решения только одной задачи — «уничтожения танков и мобильных войск».</w:t>
      </w:r>
    </w:p>
    <w:p w14:paraId="34488A05" w14:textId="77777777" w:rsidR="00B83888" w:rsidRPr="001E2C69" w:rsidRDefault="00B8388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Соответственно этому из конструкции самолета исключалось все, что напрямую не использовалось при решении задачи уничтожения танков. Оставал</w:t>
      </w:r>
      <w:r w:rsidRPr="001E2C69">
        <w:rPr>
          <w:color w:val="000000" w:themeColor="text1"/>
          <w:sz w:val="16"/>
          <w:szCs w:val="16"/>
        </w:rPr>
        <w:softHyphen/>
        <w:t>ся только самый минимум, «который необходим для уничтожения танков».</w:t>
      </w:r>
    </w:p>
    <w:p w14:paraId="5DE3A1F4" w14:textId="77777777" w:rsidR="00B83888" w:rsidRPr="001E2C69" w:rsidRDefault="00B8388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Считалось, что новой ударной машине совер</w:t>
      </w:r>
      <w:r w:rsidRPr="001E2C69">
        <w:rPr>
          <w:color w:val="000000" w:themeColor="text1"/>
          <w:sz w:val="16"/>
          <w:szCs w:val="16"/>
        </w:rPr>
        <w:softHyphen/>
        <w:t>шенно не требовались большая горизонтальная скорость и диапазон скоростей полета, а также высотность. Даже наоборот, небольшая минималь</w:t>
      </w:r>
      <w:r w:rsidRPr="001E2C69">
        <w:rPr>
          <w:color w:val="000000" w:themeColor="text1"/>
          <w:sz w:val="16"/>
          <w:szCs w:val="16"/>
        </w:rPr>
        <w:softHyphen/>
        <w:t>ная скорость полета противотанкового самолета (по расчетам — 102 км/ч у земли) должна была обеспечить лучшие условия для прицеливания и стрельбы по танкам в сравнении с современ</w:t>
      </w:r>
      <w:r w:rsidRPr="001E2C69">
        <w:rPr>
          <w:color w:val="000000" w:themeColor="text1"/>
          <w:sz w:val="16"/>
          <w:szCs w:val="16"/>
        </w:rPr>
        <w:softHyphen/>
        <w:t>ными скоростными штурмовиками Ил-2. Действи</w:t>
      </w:r>
      <w:r w:rsidRPr="001E2C69">
        <w:rPr>
          <w:color w:val="000000" w:themeColor="text1"/>
          <w:sz w:val="16"/>
          <w:szCs w:val="16"/>
        </w:rPr>
        <w:softHyphen/>
        <w:t>тельно, в этом случае стрельбу по танкам против</w:t>
      </w:r>
      <w:r w:rsidRPr="001E2C69">
        <w:rPr>
          <w:color w:val="000000" w:themeColor="text1"/>
          <w:sz w:val="16"/>
          <w:szCs w:val="16"/>
        </w:rPr>
        <w:softHyphen/>
        <w:t>ника можно было вести с предельно малых высот и почти под прямым углом к поверхности борто</w:t>
      </w:r>
      <w:r w:rsidRPr="001E2C69">
        <w:rPr>
          <w:color w:val="000000" w:themeColor="text1"/>
          <w:sz w:val="16"/>
          <w:szCs w:val="16"/>
        </w:rPr>
        <w:softHyphen/>
        <w:t>вой брони, а дистанция прекращения стрельбы была значительно меньше, чем у Ил-2, что созда</w:t>
      </w:r>
      <w:r w:rsidRPr="001E2C69">
        <w:rPr>
          <w:color w:val="000000" w:themeColor="text1"/>
          <w:sz w:val="16"/>
          <w:szCs w:val="16"/>
        </w:rPr>
        <w:softHyphen/>
        <w:t>вало наилучшие условия для пробития танковой брони штатными боеприпасами к авиационным пушкам.</w:t>
      </w:r>
    </w:p>
    <w:p w14:paraId="00C8FA11" w14:textId="77777777" w:rsidR="00B83888" w:rsidRPr="001E2C69" w:rsidRDefault="00B8388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С учетом особенностей боевого применения от машины требовались высокие маневренные каче</w:t>
      </w:r>
      <w:r w:rsidRPr="001E2C69">
        <w:rPr>
          <w:color w:val="000000" w:themeColor="text1"/>
          <w:sz w:val="16"/>
          <w:szCs w:val="16"/>
        </w:rPr>
        <w:softHyphen/>
        <w:t>ства и взлетно-посадочные свойства. По технике пилотирования самолет должен был допускать ос</w:t>
      </w:r>
      <w:r w:rsidRPr="001E2C69">
        <w:rPr>
          <w:color w:val="000000" w:themeColor="text1"/>
          <w:sz w:val="16"/>
          <w:szCs w:val="16"/>
        </w:rPr>
        <w:softHyphen/>
        <w:t>воение летчиками с подготовкой ниже среднего.</w:t>
      </w:r>
    </w:p>
    <w:p w14:paraId="392E0B49" w14:textId="77777777" w:rsidR="00B83888" w:rsidRPr="001E2C69" w:rsidRDefault="00B8388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 проекту конструкция самолета полностью деревянная с бронекабиной в носовой части фю</w:t>
      </w:r>
      <w:r w:rsidRPr="001E2C69">
        <w:rPr>
          <w:color w:val="000000" w:themeColor="text1"/>
          <w:sz w:val="16"/>
          <w:szCs w:val="16"/>
        </w:rPr>
        <w:softHyphen/>
        <w:t>зеляжа. Схема — низкоплан. Контуры самолета об</w:t>
      </w:r>
      <w:r w:rsidRPr="001E2C69">
        <w:rPr>
          <w:color w:val="000000" w:themeColor="text1"/>
          <w:sz w:val="16"/>
          <w:szCs w:val="16"/>
        </w:rPr>
        <w:softHyphen/>
        <w:t>разованы прямыми линиями, конструкция предель</w:t>
      </w:r>
      <w:r w:rsidRPr="001E2C69">
        <w:rPr>
          <w:color w:val="000000" w:themeColor="text1"/>
          <w:sz w:val="16"/>
          <w:szCs w:val="16"/>
        </w:rPr>
        <w:softHyphen/>
        <w:t>но проста и технологична, сборка без стапелей, из выкроек. Использовались поделочная сосна, строительная фанера, кровельное железо (бензо- и маслобаки), мягкая сталь разных толщин (узлы бронеспинки), низкосортный дюралюминий (толь</w:t>
      </w:r>
      <w:r w:rsidRPr="001E2C69">
        <w:rPr>
          <w:color w:val="000000" w:themeColor="text1"/>
          <w:sz w:val="16"/>
          <w:szCs w:val="16"/>
        </w:rPr>
        <w:softHyphen/>
        <w:t>ко капоты). Все стыки — фланцевые наружные. Отсутствовали сложные детали с механической об</w:t>
      </w:r>
      <w:r w:rsidRPr="001E2C69">
        <w:rPr>
          <w:color w:val="000000" w:themeColor="text1"/>
          <w:sz w:val="16"/>
          <w:szCs w:val="16"/>
        </w:rPr>
        <w:softHyphen/>
        <w:t>работкой, гидравлическая и воздушная системы, электро- и радиооборудование.</w:t>
      </w:r>
    </w:p>
    <w:p w14:paraId="3673B056" w14:textId="77777777" w:rsidR="00B83888" w:rsidRPr="001E2C69" w:rsidRDefault="00B8388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Простота и дешевизна конструкции были пре</w:t>
      </w:r>
      <w:r w:rsidRPr="001E2C69">
        <w:rPr>
          <w:color w:val="000000" w:themeColor="text1"/>
          <w:sz w:val="16"/>
          <w:szCs w:val="16"/>
        </w:rPr>
        <w:softHyphen/>
        <w:t>дельные. Это позволяло быстро разворачивать производство практически на любом заводе или мастерской с минимально необходимым составом станочного оборудования и неопытными рабо</w:t>
      </w:r>
      <w:r w:rsidRPr="001E2C69">
        <w:rPr>
          <w:color w:val="000000" w:themeColor="text1"/>
          <w:sz w:val="16"/>
          <w:szCs w:val="16"/>
        </w:rPr>
        <w:softHyphen/>
        <w:t>чими.</w:t>
      </w:r>
    </w:p>
    <w:p w14:paraId="0F4096C2" w14:textId="77777777" w:rsidR="00B83888" w:rsidRPr="001E2C69" w:rsidRDefault="00B8388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Фюзеляж четырехгранного сечения с плоскими стенками, заготовляемыми заранее вместе с лон</w:t>
      </w:r>
      <w:r w:rsidRPr="001E2C69">
        <w:rPr>
          <w:color w:val="000000" w:themeColor="text1"/>
          <w:sz w:val="16"/>
          <w:szCs w:val="16"/>
        </w:rPr>
        <w:softHyphen/>
        <w:t>жеронами и планками шпангоутов. Крыло и опере</w:t>
      </w:r>
      <w:r w:rsidRPr="001E2C69">
        <w:rPr>
          <w:color w:val="000000" w:themeColor="text1"/>
          <w:sz w:val="16"/>
          <w:szCs w:val="16"/>
        </w:rPr>
        <w:softHyphen/>
        <w:t>ние полностью деревянные, с фанерной обшивкой. Шасси — одностоечное, неубираемое, с резиновой пластинчатой амортизацией. Деревянными пред</w:t>
      </w:r>
      <w:r w:rsidRPr="001E2C69">
        <w:rPr>
          <w:color w:val="000000" w:themeColor="text1"/>
          <w:sz w:val="16"/>
          <w:szCs w:val="16"/>
        </w:rPr>
        <w:softHyphen/>
        <w:t>полагались моторамы и колеса шасси. Электро</w:t>
      </w:r>
      <w:r w:rsidRPr="001E2C69">
        <w:rPr>
          <w:color w:val="000000" w:themeColor="text1"/>
          <w:sz w:val="16"/>
          <w:szCs w:val="16"/>
        </w:rPr>
        <w:softHyphen/>
        <w:t>проводка предполагалась самая простейшая. При</w:t>
      </w:r>
      <w:r w:rsidRPr="001E2C69">
        <w:rPr>
          <w:color w:val="000000" w:themeColor="text1"/>
          <w:sz w:val="16"/>
          <w:szCs w:val="16"/>
        </w:rPr>
        <w:softHyphen/>
        <w:t>борное оборудование использовалось от само</w:t>
      </w:r>
      <w:r w:rsidRPr="001E2C69">
        <w:rPr>
          <w:color w:val="000000" w:themeColor="text1"/>
          <w:sz w:val="16"/>
          <w:szCs w:val="16"/>
        </w:rPr>
        <w:softHyphen/>
        <w:t>лета У-2.</w:t>
      </w:r>
    </w:p>
    <w:p w14:paraId="3BE436D7" w14:textId="77777777" w:rsidR="00B83888" w:rsidRPr="001E2C69" w:rsidRDefault="00B8388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Летчик помещался в бронекабине простейших форм с толщиной брони от 6 до 13 мм (спереди — 13 мм, сзади — 10—13 мм, борта и пол — 6 мм), бронекозырек — 64 мм. Сразу же за кабиной в фю</w:t>
      </w:r>
      <w:r w:rsidRPr="001E2C69">
        <w:rPr>
          <w:color w:val="000000" w:themeColor="text1"/>
          <w:sz w:val="16"/>
          <w:szCs w:val="16"/>
        </w:rPr>
        <w:softHyphen/>
        <w:t>зеляже располагался небольшой отсек, который предполагалось использовать для размещения в нем патронных ящиков сменного состава пушеч</w:t>
      </w:r>
      <w:r w:rsidRPr="001E2C69">
        <w:rPr>
          <w:color w:val="000000" w:themeColor="text1"/>
          <w:sz w:val="16"/>
          <w:szCs w:val="16"/>
        </w:rPr>
        <w:softHyphen/>
        <w:t>ного вооружения. Для этого центроплан имел вы</w:t>
      </w:r>
      <w:r w:rsidRPr="001E2C69">
        <w:rPr>
          <w:color w:val="000000" w:themeColor="text1"/>
          <w:sz w:val="16"/>
          <w:szCs w:val="16"/>
        </w:rPr>
        <w:softHyphen/>
        <w:t>рез посередине. Без подвесок вооружения в отсеке можно было разместить 2 человек или 400 кг груза.</w:t>
      </w:r>
    </w:p>
    <w:p w14:paraId="3D18AFF2" w14:textId="77777777" w:rsidR="00B83888" w:rsidRPr="001E2C69" w:rsidRDefault="00B8388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Это позволяло привлекать самолет для решения ряда транспортных и диверсионных задач.</w:t>
      </w:r>
    </w:p>
    <w:p w14:paraId="7722A895" w14:textId="77777777" w:rsidR="00B83888" w:rsidRPr="001E2C69" w:rsidRDefault="00B8388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На самолет устанавливались 2 мотора М-11ф (140 л.с.), что обе</w:t>
      </w:r>
      <w:r w:rsidRPr="001E2C69">
        <w:rPr>
          <w:color w:val="000000" w:themeColor="text1"/>
          <w:sz w:val="16"/>
          <w:szCs w:val="16"/>
        </w:rPr>
        <w:softHyphen/>
        <w:t>спечивало потребную грузоподъ</w:t>
      </w:r>
      <w:r w:rsidRPr="001E2C69">
        <w:rPr>
          <w:color w:val="000000" w:themeColor="text1"/>
          <w:sz w:val="16"/>
          <w:szCs w:val="16"/>
        </w:rPr>
        <w:softHyphen/>
        <w:t>емность, установку стрелково-пу- шечного вооружения вблизи оси самолета и хороший обзор летчику вперед и вниз. Сами моторы М-11ф были хорошо освоены промышлен</w:t>
      </w:r>
      <w:r w:rsidRPr="001E2C69">
        <w:rPr>
          <w:color w:val="000000" w:themeColor="text1"/>
          <w:sz w:val="16"/>
          <w:szCs w:val="16"/>
        </w:rPr>
        <w:softHyphen/>
        <w:t>ностью и летно-техническим соста</w:t>
      </w:r>
      <w:r w:rsidRPr="001E2C69">
        <w:rPr>
          <w:color w:val="000000" w:themeColor="text1"/>
          <w:sz w:val="16"/>
          <w:szCs w:val="16"/>
        </w:rPr>
        <w:softHyphen/>
        <w:t>вом, имели высокую надежность и невысокую стоимость в произ</w:t>
      </w:r>
      <w:r w:rsidRPr="001E2C69">
        <w:rPr>
          <w:color w:val="000000" w:themeColor="text1"/>
          <w:sz w:val="16"/>
          <w:szCs w:val="16"/>
        </w:rPr>
        <w:softHyphen/>
        <w:t>водстве и эксплуатации. По подсче</w:t>
      </w:r>
      <w:r w:rsidRPr="001E2C69">
        <w:rPr>
          <w:color w:val="000000" w:themeColor="text1"/>
          <w:sz w:val="16"/>
          <w:szCs w:val="16"/>
        </w:rPr>
        <w:softHyphen/>
        <w:t>там, 5 противотанковых самолетов конструкции Томашевича расходо</w:t>
      </w:r>
      <w:r w:rsidRPr="001E2C69">
        <w:rPr>
          <w:color w:val="000000" w:themeColor="text1"/>
          <w:sz w:val="16"/>
          <w:szCs w:val="16"/>
        </w:rPr>
        <w:softHyphen/>
        <w:t>вали при выполнении одного бое</w:t>
      </w:r>
      <w:r w:rsidRPr="001E2C69">
        <w:rPr>
          <w:color w:val="000000" w:themeColor="text1"/>
          <w:sz w:val="16"/>
          <w:szCs w:val="16"/>
        </w:rPr>
        <w:softHyphen/>
        <w:t>вого вылета столько же горючего, сколько требовалось для обеспече</w:t>
      </w:r>
      <w:r w:rsidRPr="001E2C69">
        <w:rPr>
          <w:color w:val="000000" w:themeColor="text1"/>
          <w:sz w:val="16"/>
          <w:szCs w:val="16"/>
        </w:rPr>
        <w:softHyphen/>
        <w:t>ния боевого вылета одного штур</w:t>
      </w:r>
      <w:r w:rsidRPr="001E2C69">
        <w:rPr>
          <w:color w:val="000000" w:themeColor="text1"/>
          <w:sz w:val="16"/>
          <w:szCs w:val="16"/>
        </w:rPr>
        <w:softHyphen/>
        <w:t>мовика Ил-2.</w:t>
      </w:r>
    </w:p>
    <w:p w14:paraId="07AA5BE3" w14:textId="77777777" w:rsidR="00B83888" w:rsidRPr="001E2C69" w:rsidRDefault="00B8388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Для повышения боевой живуче</w:t>
      </w:r>
      <w:r w:rsidRPr="001E2C69">
        <w:rPr>
          <w:color w:val="000000" w:themeColor="text1"/>
          <w:sz w:val="16"/>
          <w:szCs w:val="16"/>
        </w:rPr>
        <w:softHyphen/>
        <w:t>сти каждый мотор питался от свое</w:t>
      </w:r>
      <w:r w:rsidRPr="001E2C69">
        <w:rPr>
          <w:color w:val="000000" w:themeColor="text1"/>
          <w:sz w:val="16"/>
          <w:szCs w:val="16"/>
        </w:rPr>
        <w:softHyphen/>
        <w:t>го бензобака, который располагал</w:t>
      </w:r>
      <w:r w:rsidRPr="001E2C69">
        <w:rPr>
          <w:color w:val="000000" w:themeColor="text1"/>
          <w:sz w:val="16"/>
          <w:szCs w:val="16"/>
        </w:rPr>
        <w:softHyphen/>
        <w:t>ся за мотором и являлся обтекателем мотогондолы. При возгорании в полете бензобак сбрасывался. В момент сбрасывания мотор переходил на пита</w:t>
      </w:r>
      <w:r w:rsidRPr="001E2C69">
        <w:rPr>
          <w:color w:val="000000" w:themeColor="text1"/>
          <w:sz w:val="16"/>
          <w:szCs w:val="16"/>
        </w:rPr>
        <w:softHyphen/>
        <w:t>ние от специального бронированного бачка (рас</w:t>
      </w:r>
      <w:r w:rsidRPr="001E2C69">
        <w:rPr>
          <w:color w:val="000000" w:themeColor="text1"/>
          <w:sz w:val="16"/>
          <w:szCs w:val="16"/>
        </w:rPr>
        <w:softHyphen/>
        <w:t>считанного на 30 мин полета).</w:t>
      </w:r>
    </w:p>
    <w:p w14:paraId="2D93BB67" w14:textId="77777777" w:rsidR="00B83888" w:rsidRPr="001E2C69" w:rsidRDefault="00B8388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Отметим, что желание реализовать идею сбра</w:t>
      </w:r>
      <w:r w:rsidRPr="001E2C69">
        <w:rPr>
          <w:color w:val="000000" w:themeColor="text1"/>
          <w:sz w:val="16"/>
          <w:szCs w:val="16"/>
        </w:rPr>
        <w:softHyphen/>
        <w:t>сываемого бензобака предопределило располо</w:t>
      </w:r>
      <w:r w:rsidRPr="001E2C69">
        <w:rPr>
          <w:color w:val="000000" w:themeColor="text1"/>
          <w:sz w:val="16"/>
          <w:szCs w:val="16"/>
        </w:rPr>
        <w:softHyphen/>
        <w:t>жение мотора и баков под крылом. Как показали дальнейшие события, это решение создавало ряд трудностей при эксплуатации самолета.</w:t>
      </w:r>
    </w:p>
    <w:p w14:paraId="17893124" w14:textId="77777777" w:rsidR="00B83888" w:rsidRPr="001E2C69" w:rsidRDefault="00B8388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 xml:space="preserve">Для получения высоких взлетно-посадочных свойств предполагалось использовать профиль крыла </w:t>
      </w:r>
      <w:r w:rsidRPr="001E2C69">
        <w:rPr>
          <w:color w:val="000000" w:themeColor="text1"/>
          <w:sz w:val="16"/>
          <w:szCs w:val="16"/>
          <w:lang w:val="en-US"/>
        </w:rPr>
        <w:t>NACA</w:t>
      </w:r>
      <w:r w:rsidRPr="001E2C69">
        <w:rPr>
          <w:color w:val="000000" w:themeColor="text1"/>
          <w:sz w:val="16"/>
          <w:szCs w:val="16"/>
        </w:rPr>
        <w:t xml:space="preserve"> 44 с высокими несущими свойствами, а также постоянные предкрылки (напротив элеро</w:t>
      </w:r>
      <w:r w:rsidRPr="001E2C69">
        <w:rPr>
          <w:color w:val="000000" w:themeColor="text1"/>
          <w:sz w:val="16"/>
          <w:szCs w:val="16"/>
        </w:rPr>
        <w:softHyphen/>
        <w:t>нов) и профилированные (над моторами) полуколь</w:t>
      </w:r>
      <w:r w:rsidRPr="001E2C69">
        <w:rPr>
          <w:color w:val="000000" w:themeColor="text1"/>
          <w:sz w:val="16"/>
          <w:szCs w:val="16"/>
        </w:rPr>
        <w:softHyphen/>
        <w:t>цевые капоты. По расчетам, все это, вместе взятое, должно обеспечивать устойчивый полет без свали</w:t>
      </w:r>
      <w:r w:rsidRPr="001E2C69">
        <w:rPr>
          <w:color w:val="000000" w:themeColor="text1"/>
          <w:sz w:val="16"/>
          <w:szCs w:val="16"/>
        </w:rPr>
        <w:softHyphen/>
        <w:t>вания до угла атаки 20°.</w:t>
      </w:r>
    </w:p>
    <w:p w14:paraId="052EF9F0" w14:textId="77777777" w:rsidR="00B83888" w:rsidRPr="001E2C69" w:rsidRDefault="00B8388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Вооружение самолета состояло из крупнокали</w:t>
      </w:r>
      <w:r w:rsidRPr="001E2C69">
        <w:rPr>
          <w:color w:val="000000" w:themeColor="text1"/>
          <w:sz w:val="16"/>
          <w:szCs w:val="16"/>
        </w:rPr>
        <w:softHyphen/>
        <w:t>берного пулемета УБК (150 патронов) в носовом обтекателе фюзеляжа и 5 сменных составов бомбо</w:t>
      </w:r>
      <w:r w:rsidRPr="001E2C69">
        <w:rPr>
          <w:color w:val="000000" w:themeColor="text1"/>
          <w:sz w:val="16"/>
          <w:szCs w:val="16"/>
        </w:rPr>
        <w:softHyphen/>
        <w:t>вого, ракетного и пушечного оружия: 250 кг бомб, 4 РО-132, 1 37-мм пушка (50 снарядов), 2 пушки ВЯ калибра 23 мм (160 снарядов) и 4 «противо</w:t>
      </w:r>
      <w:r w:rsidRPr="001E2C69">
        <w:rPr>
          <w:color w:val="000000" w:themeColor="text1"/>
          <w:sz w:val="16"/>
          <w:szCs w:val="16"/>
        </w:rPr>
        <w:softHyphen/>
        <w:t>танковых автоматических ружья» калибра 14,5 мм (600 снарядов). Все сменные варианты размеща</w:t>
      </w:r>
      <w:r w:rsidRPr="001E2C69">
        <w:rPr>
          <w:color w:val="000000" w:themeColor="text1"/>
          <w:sz w:val="16"/>
          <w:szCs w:val="16"/>
        </w:rPr>
        <w:softHyphen/>
        <w:t>лись на специальных «мостах» (или лафетах) воору</w:t>
      </w:r>
      <w:r w:rsidRPr="001E2C69">
        <w:rPr>
          <w:color w:val="000000" w:themeColor="text1"/>
          <w:sz w:val="16"/>
          <w:szCs w:val="16"/>
        </w:rPr>
        <w:softHyphen/>
        <w:t>жения, которые подвешивались под фюзеляжем в районе центроплана.</w:t>
      </w:r>
    </w:p>
    <w:p w14:paraId="76372714" w14:textId="77777777" w:rsidR="00B83888" w:rsidRPr="001E2C69" w:rsidRDefault="00B8388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отношении последнего варианта следует дать пояснения. Здесь имелись в виду автоматические пушки калибра 14,5 мм конструкции Салищева— Галкина и Волкова—Ярцева, которые в сентябре 1942 г. проходили испытания на НИП АВ ВВС.</w:t>
      </w:r>
    </w:p>
    <w:p w14:paraId="3CE321A0" w14:textId="77777777" w:rsidR="00B83888" w:rsidRPr="001E2C69" w:rsidRDefault="00B8388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Отметим, что все указанные варианты воору</w:t>
      </w:r>
      <w:r w:rsidRPr="001E2C69">
        <w:rPr>
          <w:color w:val="000000" w:themeColor="text1"/>
          <w:sz w:val="16"/>
          <w:szCs w:val="16"/>
        </w:rPr>
        <w:softHyphen/>
        <w:t>жения, за исключением третьего и отчасти пятого, нельзя назвать противотанковыми. Особенно это касается условий боев начала 1943 г., когда легкие танки вермахта повсеместно были вытеснены бо</w:t>
      </w:r>
      <w:r w:rsidRPr="001E2C69">
        <w:rPr>
          <w:color w:val="000000" w:themeColor="text1"/>
          <w:sz w:val="16"/>
          <w:szCs w:val="16"/>
        </w:rPr>
        <w:softHyphen/>
        <w:t xml:space="preserve">лее мощными средними танками типа </w:t>
      </w:r>
      <w:r w:rsidRPr="001E2C69">
        <w:rPr>
          <w:color w:val="000000" w:themeColor="text1"/>
          <w:sz w:val="16"/>
          <w:szCs w:val="16"/>
          <w:lang w:val="en-US"/>
        </w:rPr>
        <w:t>Pz</w:t>
      </w:r>
      <w:r w:rsidRPr="001E2C69">
        <w:rPr>
          <w:color w:val="000000" w:themeColor="text1"/>
          <w:sz w:val="16"/>
          <w:szCs w:val="16"/>
        </w:rPr>
        <w:t>.</w:t>
      </w:r>
      <w:r w:rsidRPr="001E2C69">
        <w:rPr>
          <w:color w:val="000000" w:themeColor="text1"/>
          <w:sz w:val="16"/>
          <w:szCs w:val="16"/>
          <w:lang w:val="en-US"/>
        </w:rPr>
        <w:t>IV</w:t>
      </w:r>
      <w:r w:rsidRPr="001E2C69">
        <w:rPr>
          <w:color w:val="000000" w:themeColor="text1"/>
          <w:sz w:val="16"/>
          <w:szCs w:val="16"/>
        </w:rPr>
        <w:t xml:space="preserve"> и </w:t>
      </w:r>
      <w:r w:rsidRPr="001E2C69">
        <w:rPr>
          <w:color w:val="000000" w:themeColor="text1"/>
          <w:sz w:val="16"/>
          <w:szCs w:val="16"/>
          <w:lang w:val="en-US"/>
        </w:rPr>
        <w:t>Pz</w:t>
      </w:r>
      <w:r w:rsidRPr="001E2C69">
        <w:rPr>
          <w:color w:val="000000" w:themeColor="text1"/>
          <w:sz w:val="16"/>
          <w:szCs w:val="16"/>
        </w:rPr>
        <w:t>.</w:t>
      </w:r>
      <w:r w:rsidRPr="001E2C69">
        <w:rPr>
          <w:color w:val="000000" w:themeColor="text1"/>
          <w:sz w:val="16"/>
          <w:szCs w:val="16"/>
          <w:lang w:val="en-US"/>
        </w:rPr>
        <w:t>III</w:t>
      </w:r>
      <w:r w:rsidRPr="001E2C69">
        <w:rPr>
          <w:color w:val="000000" w:themeColor="text1"/>
          <w:sz w:val="16"/>
          <w:szCs w:val="16"/>
        </w:rPr>
        <w:t xml:space="preserve">, а также новыми толстобронными </w:t>
      </w:r>
      <w:r w:rsidRPr="001E2C69">
        <w:rPr>
          <w:color w:val="000000" w:themeColor="text1"/>
          <w:sz w:val="16"/>
          <w:szCs w:val="16"/>
          <w:lang w:val="en-US"/>
        </w:rPr>
        <w:t>Pz</w:t>
      </w:r>
      <w:r w:rsidRPr="001E2C69">
        <w:rPr>
          <w:color w:val="000000" w:themeColor="text1"/>
          <w:sz w:val="16"/>
          <w:szCs w:val="16"/>
        </w:rPr>
        <w:t>.</w:t>
      </w:r>
      <w:r w:rsidRPr="001E2C69">
        <w:rPr>
          <w:color w:val="000000" w:themeColor="text1"/>
          <w:sz w:val="16"/>
          <w:szCs w:val="16"/>
          <w:lang w:val="en-US"/>
        </w:rPr>
        <w:t>VI</w:t>
      </w:r>
      <w:r w:rsidRPr="001E2C69">
        <w:rPr>
          <w:color w:val="000000" w:themeColor="text1"/>
          <w:sz w:val="16"/>
          <w:szCs w:val="16"/>
        </w:rPr>
        <w:t xml:space="preserve"> «Тигр», </w:t>
      </w:r>
      <w:r w:rsidRPr="001E2C69">
        <w:rPr>
          <w:color w:val="000000" w:themeColor="text1"/>
          <w:sz w:val="16"/>
          <w:szCs w:val="16"/>
          <w:lang w:val="en-US"/>
        </w:rPr>
        <w:t>Pz</w:t>
      </w:r>
      <w:r w:rsidRPr="001E2C69">
        <w:rPr>
          <w:color w:val="000000" w:themeColor="text1"/>
          <w:sz w:val="16"/>
          <w:szCs w:val="16"/>
        </w:rPr>
        <w:t>.</w:t>
      </w:r>
      <w:r w:rsidRPr="001E2C69">
        <w:rPr>
          <w:color w:val="000000" w:themeColor="text1"/>
          <w:sz w:val="16"/>
          <w:szCs w:val="16"/>
          <w:lang w:val="en-US"/>
        </w:rPr>
        <w:t>V</w:t>
      </w:r>
      <w:r w:rsidRPr="001E2C69">
        <w:rPr>
          <w:color w:val="000000" w:themeColor="text1"/>
          <w:sz w:val="16"/>
          <w:szCs w:val="16"/>
        </w:rPr>
        <w:t xml:space="preserve"> «Пантера» и </w:t>
      </w:r>
      <w:r w:rsidRPr="001E2C69">
        <w:rPr>
          <w:color w:val="000000" w:themeColor="text1"/>
          <w:sz w:val="16"/>
          <w:szCs w:val="16"/>
          <w:lang w:val="en-US"/>
        </w:rPr>
        <w:t>Jgd</w:t>
      </w:r>
      <w:r w:rsidRPr="001E2C69">
        <w:rPr>
          <w:color w:val="000000" w:themeColor="text1"/>
          <w:sz w:val="16"/>
          <w:szCs w:val="16"/>
        </w:rPr>
        <w:t xml:space="preserve"> </w:t>
      </w:r>
      <w:r w:rsidRPr="001E2C69">
        <w:rPr>
          <w:color w:val="000000" w:themeColor="text1"/>
          <w:sz w:val="16"/>
          <w:szCs w:val="16"/>
          <w:lang w:val="en-US"/>
        </w:rPr>
        <w:t>Pz</w:t>
      </w:r>
      <w:r w:rsidRPr="001E2C69">
        <w:rPr>
          <w:color w:val="000000" w:themeColor="text1"/>
          <w:sz w:val="16"/>
          <w:szCs w:val="16"/>
        </w:rPr>
        <w:t xml:space="preserve"> </w:t>
      </w:r>
      <w:r w:rsidRPr="001E2C69">
        <w:rPr>
          <w:color w:val="000000" w:themeColor="text1"/>
          <w:sz w:val="16"/>
          <w:szCs w:val="16"/>
          <w:lang w:val="en-US"/>
        </w:rPr>
        <w:t>Tiger</w:t>
      </w:r>
      <w:r w:rsidRPr="001E2C69">
        <w:rPr>
          <w:color w:val="000000" w:themeColor="text1"/>
          <w:sz w:val="16"/>
          <w:szCs w:val="16"/>
        </w:rPr>
        <w:t xml:space="preserve"> (</w:t>
      </w:r>
      <w:r w:rsidRPr="001E2C69">
        <w:rPr>
          <w:color w:val="000000" w:themeColor="text1"/>
          <w:sz w:val="16"/>
          <w:szCs w:val="16"/>
          <w:lang w:val="en-US"/>
        </w:rPr>
        <w:t>P</w:t>
      </w:r>
      <w:r w:rsidRPr="001E2C69">
        <w:rPr>
          <w:color w:val="000000" w:themeColor="text1"/>
          <w:sz w:val="16"/>
          <w:szCs w:val="16"/>
        </w:rPr>
        <w:t>) «Фердинанд». Един</w:t>
      </w:r>
      <w:r w:rsidRPr="001E2C69">
        <w:rPr>
          <w:color w:val="000000" w:themeColor="text1"/>
          <w:sz w:val="16"/>
          <w:szCs w:val="16"/>
        </w:rPr>
        <w:softHyphen/>
        <w:t>ственными бронецелями вермахта, с которыми штурмовик Д. Л. Томашевича еще мог как-то бороть</w:t>
      </w:r>
      <w:r w:rsidRPr="001E2C69">
        <w:rPr>
          <w:color w:val="000000" w:themeColor="text1"/>
          <w:sz w:val="16"/>
          <w:szCs w:val="16"/>
        </w:rPr>
        <w:softHyphen/>
        <w:t>ся, являлись легкобронированные САУ (типа «Ве- спе» и т.д.) и противотанковые СУ (типа «Мардер-</w:t>
      </w:r>
      <w:r w:rsidRPr="001E2C69">
        <w:rPr>
          <w:color w:val="000000" w:themeColor="text1"/>
          <w:sz w:val="16"/>
          <w:szCs w:val="16"/>
          <w:lang w:val="en-US"/>
        </w:rPr>
        <w:t>II</w:t>
      </w:r>
      <w:r w:rsidRPr="001E2C69">
        <w:rPr>
          <w:color w:val="000000" w:themeColor="text1"/>
          <w:sz w:val="16"/>
          <w:szCs w:val="16"/>
        </w:rPr>
        <w:t>» и «Мардер-</w:t>
      </w:r>
      <w:r w:rsidRPr="001E2C69">
        <w:rPr>
          <w:color w:val="000000" w:themeColor="text1"/>
          <w:sz w:val="16"/>
          <w:szCs w:val="16"/>
          <w:lang w:val="en-US"/>
        </w:rPr>
        <w:t>III</w:t>
      </w:r>
      <w:r w:rsidRPr="001E2C69">
        <w:rPr>
          <w:color w:val="000000" w:themeColor="text1"/>
          <w:sz w:val="16"/>
          <w:szCs w:val="16"/>
        </w:rPr>
        <w:t>»), созданные на базе легких танков. При этом если учесть соотношение полетного веса самолета и силы отдачи при стрельбе из пушек ка</w:t>
      </w:r>
      <w:r w:rsidRPr="001E2C69">
        <w:rPr>
          <w:color w:val="000000" w:themeColor="text1"/>
          <w:sz w:val="16"/>
          <w:szCs w:val="16"/>
        </w:rPr>
        <w:softHyphen/>
        <w:t>либра 23—37 мм, то можно смело утверждать, что единственным приемлемым составом вооружения самолета был пятый вариант. Более того, в рамках принятых весогабаритных параметров штурмови</w:t>
      </w:r>
      <w:r w:rsidRPr="001E2C69">
        <w:rPr>
          <w:color w:val="000000" w:themeColor="text1"/>
          <w:sz w:val="16"/>
          <w:szCs w:val="16"/>
        </w:rPr>
        <w:softHyphen/>
        <w:t>ка все попытки создать противотанковый самолет с мощным пушечным вооружением, обеспечиваю</w:t>
      </w:r>
      <w:r w:rsidRPr="001E2C69">
        <w:rPr>
          <w:color w:val="000000" w:themeColor="text1"/>
          <w:sz w:val="16"/>
          <w:szCs w:val="16"/>
        </w:rPr>
        <w:softHyphen/>
        <w:t>щим поражение средних и тяжелых танков, были заранее обречены на провал, что и подтвердили последующие испытания машины.</w:t>
      </w:r>
    </w:p>
    <w:p w14:paraId="708DDE99" w14:textId="77777777" w:rsidR="00B83888" w:rsidRPr="001E2C69" w:rsidRDefault="00B8388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lastRenderedPageBreak/>
        <w:t>По расчетам, при нормальном полетном ве</w:t>
      </w:r>
      <w:r w:rsidRPr="001E2C69">
        <w:rPr>
          <w:color w:val="000000" w:themeColor="text1"/>
          <w:sz w:val="16"/>
          <w:szCs w:val="16"/>
        </w:rPr>
        <w:softHyphen/>
        <w:t>се 1939 кг максимальная скорость полета само</w:t>
      </w:r>
      <w:r w:rsidRPr="001E2C69">
        <w:rPr>
          <w:color w:val="000000" w:themeColor="text1"/>
          <w:sz w:val="16"/>
          <w:szCs w:val="16"/>
        </w:rPr>
        <w:softHyphen/>
        <w:t>лета у земли составляла 207 км/ч, вертикальная скорость — 2,4 м/с, время подъема на высоту 1000 м — 8 мин, посадочная скорость — 90 км/ч, разбег — 320 м, пробег — 280 м, практический по</w:t>
      </w:r>
      <w:r w:rsidRPr="001E2C69">
        <w:rPr>
          <w:color w:val="000000" w:themeColor="text1"/>
          <w:sz w:val="16"/>
          <w:szCs w:val="16"/>
        </w:rPr>
        <w:softHyphen/>
        <w:t>толок — 2850 м.</w:t>
      </w:r>
    </w:p>
    <w:p w14:paraId="0DA18DDE" w14:textId="77777777" w:rsidR="00B83888" w:rsidRPr="001E2C69" w:rsidRDefault="00B8388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Дальность полета у земли на скорости 0,7 мак</w:t>
      </w:r>
      <w:r w:rsidRPr="001E2C69">
        <w:rPr>
          <w:color w:val="000000" w:themeColor="text1"/>
          <w:sz w:val="16"/>
          <w:szCs w:val="16"/>
        </w:rPr>
        <w:softHyphen/>
        <w:t>симальной (145 км/ч) при запасе топлива в 135 кг достигала 520 км и при запасе топлива 270 кг — 1000 км.</w:t>
      </w:r>
    </w:p>
    <w:p w14:paraId="09CC41E9" w14:textId="77777777" w:rsidR="00B83888" w:rsidRPr="001E2C69" w:rsidRDefault="00B8388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При этом в сопроводительных материалах к проекту Д. Л. Томашевич гарантировал, «что само</w:t>
      </w:r>
      <w:r w:rsidRPr="001E2C69">
        <w:rPr>
          <w:color w:val="000000" w:themeColor="text1"/>
          <w:sz w:val="16"/>
          <w:szCs w:val="16"/>
        </w:rPr>
        <w:softHyphen/>
        <w:t>лет в реальном полете будет иметь расчетные лет</w:t>
      </w:r>
      <w:r w:rsidRPr="001E2C69">
        <w:rPr>
          <w:color w:val="000000" w:themeColor="text1"/>
          <w:sz w:val="16"/>
          <w:szCs w:val="16"/>
        </w:rPr>
        <w:softHyphen/>
        <w:t>ные данные».</w:t>
      </w:r>
    </w:p>
    <w:p w14:paraId="7C094D53" w14:textId="77777777" w:rsidR="00B83888" w:rsidRPr="001E2C69" w:rsidRDefault="00B8388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Для реализации замысла Томашевич и руко</w:t>
      </w:r>
      <w:r w:rsidRPr="001E2C69">
        <w:rPr>
          <w:color w:val="000000" w:themeColor="text1"/>
          <w:sz w:val="16"/>
          <w:szCs w:val="16"/>
        </w:rPr>
        <w:softHyphen/>
        <w:t>водство ЦКБ-29 считали необходимым немедленно приступить к постройке 5 опытных экземпляров самолета на заводе № 288. Проектирование и по</w:t>
      </w:r>
      <w:r w:rsidRPr="001E2C69">
        <w:rPr>
          <w:color w:val="000000" w:themeColor="text1"/>
          <w:sz w:val="16"/>
          <w:szCs w:val="16"/>
        </w:rPr>
        <w:softHyphen/>
        <w:t>стройку опытных машин планировали завершить в течение не более 3 месяцев. То есть готовность первого опытного самолета ожидалась к 1 ноября 1942 г.</w:t>
      </w:r>
    </w:p>
    <w:p w14:paraId="0BE86683" w14:textId="77777777" w:rsidR="00B83888" w:rsidRPr="001E2C69" w:rsidRDefault="00B8388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Одновременно требовалось выделить два се</w:t>
      </w:r>
      <w:r w:rsidRPr="001E2C69">
        <w:rPr>
          <w:color w:val="000000" w:themeColor="text1"/>
          <w:sz w:val="16"/>
          <w:szCs w:val="16"/>
        </w:rPr>
        <w:softHyphen/>
        <w:t>рийных завода («один — типа завода сельскохо</w:t>
      </w:r>
      <w:r w:rsidRPr="001E2C69">
        <w:rPr>
          <w:color w:val="000000" w:themeColor="text1"/>
          <w:sz w:val="16"/>
          <w:szCs w:val="16"/>
        </w:rPr>
        <w:softHyphen/>
        <w:t>зяйственных машин — для постройки самолетов, другой — типа завода № 29 — для изготовления авиамоторов»), на которых организовать выпуск противотанковых самолетов «немедленно после готовности серийной технологии и оснастки», «не</w:t>
      </w:r>
      <w:r w:rsidRPr="001E2C69">
        <w:rPr>
          <w:color w:val="000000" w:themeColor="text1"/>
          <w:sz w:val="16"/>
          <w:szCs w:val="16"/>
        </w:rPr>
        <w:softHyphen/>
        <w:t>зависимо от готовности опытных самолетов и окон</w:t>
      </w:r>
      <w:r w:rsidRPr="001E2C69">
        <w:rPr>
          <w:color w:val="000000" w:themeColor="text1"/>
          <w:sz w:val="16"/>
          <w:szCs w:val="16"/>
        </w:rPr>
        <w:softHyphen/>
        <w:t>чания их испытаний».</w:t>
      </w:r>
    </w:p>
    <w:p w14:paraId="6DB15EB8" w14:textId="77777777" w:rsidR="00B83888" w:rsidRPr="001E2C69" w:rsidRDefault="00B8388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После постройки первых пяти самолетов, кро</w:t>
      </w:r>
      <w:r w:rsidRPr="001E2C69">
        <w:rPr>
          <w:color w:val="000000" w:themeColor="text1"/>
          <w:sz w:val="16"/>
          <w:szCs w:val="16"/>
        </w:rPr>
        <w:softHyphen/>
        <w:t>ме обычных летных испытаний, предлагалось от</w:t>
      </w:r>
      <w:r w:rsidRPr="001E2C69">
        <w:rPr>
          <w:color w:val="000000" w:themeColor="text1"/>
          <w:sz w:val="16"/>
          <w:szCs w:val="16"/>
        </w:rPr>
        <w:softHyphen/>
        <w:t>работать тактику боя с танками, для чего выделить танковую часть и оборудовать недалеко от г. Омск специальный полигон.</w:t>
      </w:r>
    </w:p>
    <w:p w14:paraId="488B9C59" w14:textId="77777777" w:rsidR="00B83888" w:rsidRPr="001E2C69" w:rsidRDefault="00B8388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Расходы на постройку 5 опытных машин и про</w:t>
      </w:r>
      <w:r w:rsidRPr="001E2C69">
        <w:rPr>
          <w:color w:val="000000" w:themeColor="text1"/>
          <w:sz w:val="16"/>
          <w:szCs w:val="16"/>
        </w:rPr>
        <w:softHyphen/>
        <w:t>ведение летных и тактических испытаний, по оцен</w:t>
      </w:r>
      <w:r w:rsidRPr="001E2C69">
        <w:rPr>
          <w:color w:val="000000" w:themeColor="text1"/>
          <w:sz w:val="16"/>
          <w:szCs w:val="16"/>
        </w:rPr>
        <w:softHyphen/>
        <w:t>кам, составляли около 3 200 000 руб., а на подготов</w:t>
      </w:r>
      <w:r w:rsidRPr="001E2C69">
        <w:rPr>
          <w:color w:val="000000" w:themeColor="text1"/>
          <w:sz w:val="16"/>
          <w:szCs w:val="16"/>
        </w:rPr>
        <w:softHyphen/>
        <w:t>ку серийного производства, включая первоначаль</w:t>
      </w:r>
      <w:r w:rsidRPr="001E2C69">
        <w:rPr>
          <w:color w:val="000000" w:themeColor="text1"/>
          <w:sz w:val="16"/>
          <w:szCs w:val="16"/>
        </w:rPr>
        <w:softHyphen/>
        <w:t>ный серийный задел, — примерно 6 500 000 руб (17500).</w:t>
      </w:r>
    </w:p>
    <w:p w14:paraId="2EF9E490" w14:textId="77777777" w:rsidR="00B83888" w:rsidRPr="001E2C69" w:rsidRDefault="00B83888" w:rsidP="00722885">
      <w:pPr>
        <w:spacing w:after="0" w:line="240" w:lineRule="auto"/>
        <w:jc w:val="both"/>
        <w:rPr>
          <w:rFonts w:ascii="Times New Roman" w:eastAsia="Times New Roman" w:hAnsi="Times New Roman"/>
          <w:color w:val="000000" w:themeColor="text1"/>
          <w:sz w:val="16"/>
          <w:szCs w:val="16"/>
          <w:lang w:eastAsia="ru-RU"/>
        </w:rPr>
      </w:pPr>
    </w:p>
    <w:p w14:paraId="43C2472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31 июля 1942 вышел приказ НКАП N 583с:</w:t>
      </w:r>
    </w:p>
    <w:p w14:paraId="0F313B2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целях усиления стрелковой защиты самолетов ПС-84:</w:t>
      </w:r>
    </w:p>
    <w:p w14:paraId="6EB7FF2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Нач. 10 ГУ Тарасевичу и директору завода 84 Ярунину с 15 сентября 1942 выпускать самолеты ПС-84 с турелью УТК-1 под УЬП 12.7 мм, вместо турели МВ-3 под ШКАС (1582,40).</w:t>
      </w:r>
    </w:p>
    <w:p w14:paraId="23C4FBF3" w14:textId="77777777" w:rsidR="00AE7191" w:rsidRPr="001E2C69" w:rsidRDefault="00AE7191" w:rsidP="00722885">
      <w:pPr>
        <w:pStyle w:val="Iauiue"/>
        <w:jc w:val="both"/>
        <w:rPr>
          <w:color w:val="000000" w:themeColor="text1"/>
          <w:sz w:val="16"/>
          <w:szCs w:val="16"/>
        </w:rPr>
      </w:pPr>
    </w:p>
    <w:p w14:paraId="57025F5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31 июля 1942 на аэродроме завода 166 в Омске закончились совместные испытания 103В (Ту-2) (796,26) с М-82А и АВ-5-167 (826), которые проходили С 15 декабря 1941 (826).</w:t>
      </w:r>
    </w:p>
    <w:p w14:paraId="111039B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Скорость на 3200 м была только 528 км/час, а у земли - 460 км/час. В ходе испытаний вниз поставили БС и для обороны задней полусферы поставили неподвижно 4 РС-82 (1835,18).</w:t>
      </w:r>
    </w:p>
    <w:p w14:paraId="3682E24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другим данным это были предварительные испытания, а полные окончились 22 августа 1942 (1835,18).</w:t>
      </w:r>
    </w:p>
    <w:p w14:paraId="563035A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акте, подписанном Е.К.Стоманом, Мируцом, М.П.Васякиным и утвержденным А.Н.Т. и директором завода 166 Соколовым говорилось (1835,18):</w:t>
      </w:r>
    </w:p>
    <w:p w14:paraId="128742C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"...ВМГ работает неудовлетворительно (трещины в выхлопных коллекторах, падение давление масла, раскачка оборотов, перегрев мотора на земле). Недоведен М-82, велики усилия на секторах газа, сектора отходят с крайних положений, усложняется посадка самолета, с подъемом на высоту ухудшается работа автокорректора, неудовлетворительно работают свечи. Выброс масла из агрегатов на высоте более 5000 м...</w:t>
      </w:r>
    </w:p>
    <w:p w14:paraId="6A19907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...Самолет 103В 2М-82А по своей управляемости, устойчивости, взлетно-посадочным свойствам, а также маневренности и температурным режимам ВМГ удовлетворяет ТТТ... Самолет по технике пилотирования прост, напоминает СБ...(1835,19).</w:t>
      </w:r>
    </w:p>
    <w:p w14:paraId="71C87D65" w14:textId="77777777" w:rsidR="00AE7191" w:rsidRPr="001E2C69" w:rsidRDefault="00AE7191" w:rsidP="00722885">
      <w:pPr>
        <w:pStyle w:val="Iauiue"/>
        <w:jc w:val="both"/>
        <w:rPr>
          <w:color w:val="000000" w:themeColor="text1"/>
          <w:sz w:val="16"/>
          <w:szCs w:val="16"/>
        </w:rPr>
      </w:pPr>
    </w:p>
    <w:p w14:paraId="337F8D2B" w14:textId="77777777" w:rsidR="009C17EE" w:rsidRPr="001E2C69" w:rsidRDefault="009C17E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31 июля 1942 Воронов отдал приказ о расформирования звена автожиров. Над Камовым стали сгущаться тучи, хотя, если разобраться в ситуации, его вины в происходившем не было. В условиях военного времени завод №290 не смог обеспечить не только постройку новых автожиров, но даже полноценную модернизацию уже построенных. Машины постоянно преследовали поломки, причём большая их часть оказалась результатом неправильной эксплуатации.</w:t>
      </w:r>
    </w:p>
    <w:p w14:paraId="3F577FAA" w14:textId="77777777" w:rsidR="009C17EE" w:rsidRPr="001E2C69" w:rsidRDefault="009C17E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Окончательно активность по теме А-7 была свёрнута к началу 1943 года. Камов едва не попал под суд, но его спас заместитель наркома авиапромышленности А.Я. Яковлев. Известный авиаконструктор заступился за разработчиков А-7. Машине и её создателям просто не повезло (18227).</w:t>
      </w:r>
    </w:p>
    <w:p w14:paraId="1AC97CD2" w14:textId="77777777" w:rsidR="009C17EE" w:rsidRPr="001E2C69" w:rsidRDefault="009C17EE" w:rsidP="00722885">
      <w:pPr>
        <w:spacing w:after="0" w:line="240" w:lineRule="auto"/>
        <w:jc w:val="both"/>
        <w:rPr>
          <w:rFonts w:ascii="Times New Roman" w:hAnsi="Times New Roman"/>
          <w:color w:val="000000" w:themeColor="text1"/>
          <w:sz w:val="16"/>
          <w:szCs w:val="16"/>
        </w:rPr>
      </w:pPr>
    </w:p>
    <w:p w14:paraId="3EC63285"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548CF4ED" w14:textId="77777777" w:rsidR="00AE7191" w:rsidRPr="001E2C69" w:rsidRDefault="00AE7191" w:rsidP="00722885">
      <w:pPr>
        <w:pStyle w:val="Iauiue"/>
        <w:jc w:val="both"/>
        <w:rPr>
          <w:iCs/>
          <w:color w:val="000000" w:themeColor="text1"/>
          <w:sz w:val="16"/>
          <w:szCs w:val="16"/>
        </w:rPr>
      </w:pPr>
    </w:p>
    <w:p w14:paraId="3E9D156B"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31 июля 1942 года вышел приказ № 545 НКБ</w:t>
      </w:r>
    </w:p>
    <w:p w14:paraId="2B4B843C"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В целях увеличения выпуска минометных зарядов и максимальной механизации процесса их производства:</w:t>
      </w:r>
    </w:p>
    <w:p w14:paraId="0B1CCDE3"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Организовать при Московском филиале НИИ-6 Специальное бюро по минометным зарядам (5910, 7).</w:t>
      </w:r>
    </w:p>
    <w:p w14:paraId="6B133A01" w14:textId="77777777" w:rsidR="00AE7191" w:rsidRPr="001E2C69" w:rsidRDefault="00AE7191" w:rsidP="00722885">
      <w:pPr>
        <w:pStyle w:val="Iauiue"/>
        <w:tabs>
          <w:tab w:val="left" w:pos="11199"/>
        </w:tabs>
        <w:jc w:val="both"/>
        <w:rPr>
          <w:color w:val="000000" w:themeColor="text1"/>
          <w:sz w:val="16"/>
          <w:szCs w:val="16"/>
        </w:rPr>
      </w:pPr>
    </w:p>
    <w:p w14:paraId="63E7F23B"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31 Июля 1942 г.</w:t>
      </w:r>
    </w:p>
    <w:p w14:paraId="5444B0ED"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РГАЭ Фонд 8752 Опись 4 Дело 93 лист 119 – 118</w:t>
      </w:r>
    </w:p>
    <w:p w14:paraId="6A4458B9"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Секретно.</w:t>
      </w:r>
    </w:p>
    <w:p w14:paraId="5B0CAF3C"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 НАРОДНОГО КОМИССАРИАТА ТАНКОВОЙ ПРОМЫШЛЕННОСТИ СССР № 562с</w:t>
      </w:r>
    </w:p>
    <w:p w14:paraId="10AB7E92"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Москва</w:t>
      </w:r>
    </w:p>
    <w:p w14:paraId="1E235E7D"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"31" Июля 1942 г.</w:t>
      </w:r>
    </w:p>
    <w:p w14:paraId="4DECA4C5"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Совещание, созванное Наркоматом Танковой Промышленности в г. Москве по вопросу улучшения качества бронекорпусов, изготовляемых из брони высокой твердости, рассмотрело и одобрило представленные 3-м Главным Управлением НКТП проекты основных положений технологических инструкций по всем стадиям обработки бронедеталей и сварки корпусов. В целях быстрейшей реализации их в производстве и улучшения качества брони и бронекорпусов, ПРИКАЗЫВАЮ:</w:t>
      </w:r>
    </w:p>
    <w:p w14:paraId="0A79FEB9"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Директорам заводов: УЗТМ (т. Музруков), № 200 (т. Сочивко), № 264 (т. Суворов), № 112 (т. Рубинчик), № 183 (т. Максарев), № 174 (т. Кацнельсон), № 176 (т. Федотов), № 177 (т. Волков), № 178 (т. Скиба), № 180 (т. Орлов), № 37 (т. Фрезеров) и № 38 (т. Яковлев) на основе утвержденных основных положений по технологии производства и обработки брони, разработать производственные инструкции и выслать их после утверждения Главными инженерами заводов в 3-е Главное Управление НКТП. Разработку всех инструкций и их утверждение произвести в декадный срок с момента получения настоящего приказа, но не позже 15 августа с.г.</w:t>
      </w:r>
    </w:p>
    <w:p w14:paraId="052DBAEE"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Обязываю директоров заводов ежемесячно представлять в 3-е Главное Управление НКТП материалы по качеству получаемого бронелиста и качеству бронекорпусов с показателями брака по каждому переделу.</w:t>
      </w:r>
    </w:p>
    <w:p w14:paraId="4668E705"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Обращаю внимание директоров заводов на необходимость всемерного укрепления роли ОТК в деле контроля всех стадий бронепроизводства, а также на необходимость всемерного укрепления лабораторий и металлургических отделов.</w:t>
      </w:r>
    </w:p>
    <w:p w14:paraId="41738B40"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Директору ЦНИИ-48 тов. ЗАВЬЯЛОВУ А.С.:</w:t>
      </w:r>
    </w:p>
    <w:p w14:paraId="08B1E753"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в месячный срок составить и выпустить пособия по техминимуму для рабочих всех специальностей, связанных производством и обработкой брони;</w:t>
      </w:r>
    </w:p>
    <w:p w14:paraId="2C042329"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в двухмесячный срок составить и выпустить руководство для инженерно-технических работников по производству, обработке и сварке брони.</w:t>
      </w:r>
    </w:p>
    <w:p w14:paraId="35C5A4BA"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Директорам всех заводов организовать техминимумы по всем технологическим инструкциям среди мастеров, бригадиров и технологов и произвести испытание сварщиков и резчиков. К сварке и резке допускать только рабочих, имеющих дипломы о сдаче соответствующих испытаний.</w:t>
      </w:r>
    </w:p>
    <w:p w14:paraId="7A4D3C53"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Директору завода № 183 т. Максареву обязать конструкторское бюро проработать конструктивные вопросы по корпусу Т-34 с целью уменьшения объема сварки, уменьшения наварных деталей на поверхности бронелистов, изменения шипов, уменьшения в допустимых пределах габаритов швов, согласовав указанные вопросы с НИИ-48.</w:t>
      </w:r>
    </w:p>
    <w:p w14:paraId="0010244F" w14:textId="77777777" w:rsidR="00291E17" w:rsidRPr="001E2C69" w:rsidRDefault="00291E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ЗАМЕСТИТЕЛЬ НАРОДНОГО КОМИССАРА ТАНКОВОЙ ПРОМЫШЛЕННОСТИ СОЮЗА ССР подпись ЗЕРНОВ (21232).</w:t>
      </w:r>
    </w:p>
    <w:p w14:paraId="064D8A66" w14:textId="77777777" w:rsidR="00291E17" w:rsidRPr="001E2C69" w:rsidRDefault="00291E17" w:rsidP="00722885">
      <w:pPr>
        <w:spacing w:after="0" w:line="240" w:lineRule="auto"/>
        <w:jc w:val="both"/>
        <w:rPr>
          <w:rFonts w:ascii="Times New Roman" w:hAnsi="Times New Roman"/>
          <w:color w:val="000000" w:themeColor="text1"/>
          <w:sz w:val="16"/>
          <w:szCs w:val="16"/>
        </w:rPr>
      </w:pPr>
    </w:p>
    <w:p w14:paraId="5BA52F93"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6B1EF3F0" w14:textId="77777777" w:rsidR="00AE7191" w:rsidRPr="001E2C69" w:rsidRDefault="00AE7191" w:rsidP="00722885">
      <w:pPr>
        <w:pStyle w:val="Iauiue"/>
        <w:jc w:val="both"/>
        <w:rPr>
          <w:iCs/>
          <w:color w:val="000000" w:themeColor="text1"/>
          <w:sz w:val="16"/>
          <w:szCs w:val="16"/>
        </w:rPr>
      </w:pPr>
    </w:p>
    <w:p w14:paraId="1D8140B7"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31 июля в 1942 году утреннее сообщение Совинформбюро:</w:t>
      </w:r>
    </w:p>
    <w:p w14:paraId="029C7025"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31 июля наши войска вели бои с противником в районе Воронежа, а также в районах Цымлянская, южнее и юго-восточнее Батайска и юго-западнее Клетской.</w:t>
      </w:r>
    </w:p>
    <w:p w14:paraId="4686EFBE"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41A81D9F"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наши войска вели бои с противником. Западнее города немцы пытались атаковать наши части, но были отброшены. В этом бою гитлеровцы потеряли свыше 200 солдат и офицеров. Активно действовала советская авиация. В течение суток наши лётчики уничтожили 12 немецких танков, 80 автомашин, подавили 5 артиллерийских и 2 миномётные батареи, взорвали 3 склада с боеприпасами, рассеяли и частью уничтожили до полутора батальонов пехоты противника. В воздушных боях сбито 6 и подбито 3 немецких истребителя.</w:t>
      </w:r>
    </w:p>
    <w:p w14:paraId="6985462F"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районе юго-западнее Клетской наши войска, отбивая атаки немцев, нанесли войскам противника большой урон. Только на одном участке за последние дни уничтожено 120 танков и свыше 2.000 солдат и офицеров противника. В районе населённого пункта Р. группа немецких танков прорвалась в расположение нашей части. Наши танкисты мощным контрударом подбили 12 танков и отбросили противника. Немецкое командование стремится прорвать линию обороны советских </w:t>
      </w:r>
      <w:r w:rsidRPr="001E2C69">
        <w:rPr>
          <w:rFonts w:ascii="Times New Roman" w:hAnsi="Times New Roman"/>
          <w:color w:val="000000" w:themeColor="text1"/>
          <w:sz w:val="16"/>
          <w:szCs w:val="16"/>
        </w:rPr>
        <w:lastRenderedPageBreak/>
        <w:t>войск и бросает в бой свежие подкрепления. На одном из участков гитлеровцы послали в бой стрелковую бригаду финнов, поддержанную немецкими танками. Наши бойцы отбили атаку и уничтожили несколько сот белофиннов.</w:t>
      </w:r>
    </w:p>
    <w:p w14:paraId="38E268B8"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Южнее и юго-восточнее Батайска наши части отбивают ожесточённые атаки крупных танковых сил противника, наступающих при поддержке большого количества самолётов. Ценою больших потерь немцам удалось несколько продвинуться вперёд. Одно наше село защищали рота бойцов и подразделение противотанковых орудий. Немцы восемь раз переходили в атаку, но не могли сломить мужественных бойцов. Огнём орудий, гранатами и бутылками с зажигательной смесью они уничтожили 16 немецких танков. Противник потерял убитыми и ранеными свыше 400 человек. Только на другой день, получив приказ командования, бойцы отошли на новый рубеж.</w:t>
      </w:r>
    </w:p>
    <w:p w14:paraId="60D8270B"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Брянском фронте происходили бои местного значения. Получив подкрепление, противник пытался на одном из участков прорвать передний край нашей обороны. Встреченные сильным миномётным огнём, гитлеровцы понесли большие потери и стали отходить. Наши бойцы воспользовались создавшейся обстановкой и ворвались в укреплённый противником населённый пункт. На другом участке танкисты под командованием т. Попова с трёх направлений атаковали усиленный вражеский моторизованный батальон и уничтожили 6 немецких танков, 16 автомашин, 12 противотанковых орудий и свыше 300 гитлеровцев.</w:t>
      </w:r>
    </w:p>
    <w:p w14:paraId="5F5EC6C8"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витебских партизан под командованием т. Л. в бою с немецкими захватчиками уничтожил 113 солдат и 7 немецких офицеров. Партизаны этого отряда взорвали два моста через реку.</w:t>
      </w:r>
    </w:p>
    <w:p w14:paraId="51FCD52D"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Пробравшийся через линию фронта в расположение наших частей колхозник А.П.Максимов из деревни Мякшено, Ленинградской области, рассказал: «Немцы замучили и расстреляли в деревне многих женщин, детей и стариков. Совхоз «Полоное» и 500 крестьян окрестных деревень немецкие власти передали барону Хильмону. Крестьяне работают у барона от зари до зари, не получая никакой платы. Помещик-барон издевается над крестьянами и кормит их проросшим овсом».</w:t>
      </w:r>
    </w:p>
    <w:p w14:paraId="6B8AF61D"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Орлеане (Франция) гитлеровцы арестовали около двухсот французов и приговорили их к каторжным работам. В связи с этим состоялась антигерманская демонстрация. Более тысячи французских патриотов собрались на вокзал проводить своих товарищей. Толпа оттеснила и смяла конвой. Многие арестованные бежали.» (14969).</w:t>
      </w:r>
    </w:p>
    <w:p w14:paraId="4D109D69" w14:textId="77777777" w:rsidR="00032351" w:rsidRPr="001E2C69" w:rsidRDefault="00032351" w:rsidP="00722885">
      <w:pPr>
        <w:spacing w:after="0" w:line="240" w:lineRule="auto"/>
        <w:jc w:val="both"/>
        <w:rPr>
          <w:rFonts w:ascii="Times New Roman" w:hAnsi="Times New Roman"/>
          <w:color w:val="000000" w:themeColor="text1"/>
          <w:sz w:val="16"/>
          <w:szCs w:val="16"/>
        </w:rPr>
      </w:pPr>
    </w:p>
    <w:p w14:paraId="1173AE1F"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31 июля в 1942 году вечернее сообщение Совинформбюро:</w:t>
      </w:r>
    </w:p>
    <w:p w14:paraId="1DEBA119"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31 июля наши войска вели бои в районах Клетская, Цымлянская, южнее и юго-восточнее Батайска.</w:t>
      </w:r>
    </w:p>
    <w:p w14:paraId="738FFAA5"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изменении не произошло.</w:t>
      </w:r>
    </w:p>
    <w:p w14:paraId="758F7F7A"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30 июля частями нашей авиации на различных участках фронта уничтожено или повреждено 56 немецких танков, 230 автомашин с войсками и грузами, 20 автоцистерн с горючим, взорвано 2 склада боеприпасов и 2 склада горючего, подавлен огонь 16 батарей полевой и зенитной артиллерии, разбито 2 железнодорожных состава, рассеяно и частью уничтожено до четырёх рот пехоты противника.</w:t>
      </w:r>
    </w:p>
    <w:p w14:paraId="1D1A6F1F"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Баренцовом море авиацией флота потоплен транспорт противника водоизмещением в 15.000 тонн.</w:t>
      </w:r>
    </w:p>
    <w:p w14:paraId="1A25BF39"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Южнее Воронежа противник дважды переходил в контратаку, артиллерийским и миномётным огнём гитлеровцы были отброшены и понесли большие потери. Немецкая пехота при поддержке танков атаковала роту лейтенанта Акимова. Отбивая натиск врага, наши бойцы гранатами и бутылками с зажигательной смесью подожгли 4 танка и истребили 80 немецких солдат и офицеров.</w:t>
      </w:r>
    </w:p>
    <w:p w14:paraId="3525A1B5"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бою в районе южнее Клетской уничтожено 48 немецких танков, 17 противотанковых и 10 тяжёлых орудий, 21 автомашина и 3 броневика. Захвачены 3 танка и самолёт. На другом участке наши танкисты захватили 10 исправных немецких танков, которые сразу же были направлены в бой против гитлеровцев.</w:t>
      </w:r>
    </w:p>
    <w:p w14:paraId="7FB978D6"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Цымлянской продолжались упорные бои с группировкой противника, переправившейся на южный берег Дона. Только на участке одного нашего соединения уничтожено 9 немецких танков, 15 орудий, 23 пулемёта и 8 миномётных батарей. Противник потерял свыше 1.000 солдат и офицеров.</w:t>
      </w:r>
    </w:p>
    <w:p w14:paraId="095DB304"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Южнее и юго-восточнее Батайска наши войска вели тяжёлые оборонительные бои с противником. На отдельных участках после кровопролитного сражения наши части отошли на новые рубежи. Немцы потеряли в этом бою 13 танков, 18 орудии и свыше 600 человек убитыми. Моторизованной колонне противника в группе танков удалось зайти во фланг нашей части. Советские бойцы огнём из противотанковых орудий и ружей сожгли 5 танков и 7 автомашин. Затем наши танки и пехота перешли в контратаку. Немецкая колонна была рассечена на несколько групп и по частям уничтожена.</w:t>
      </w:r>
    </w:p>
    <w:p w14:paraId="6AA94AEF"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Ленинградском фронте происходили бои местного значения. Немцы предприняли попытку вернуть занятый нашими войсками населённый пункт. При поддержке бомбардировочной авиации гитлеровцы дважды атаковали наши позиции. Бойцы части, где командиром тов. Важенин, встретили врага мощным артиллерийским, миномётным и ружейно-пулемётным огнём. Потеряв до 300 солдат и офицеров, немцы отступили. Огнём нашей зенитной артиллерии сбито 5 немецких самолётов.</w:t>
      </w:r>
    </w:p>
    <w:p w14:paraId="7BACB2A6"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Западном фронте велась редкая артиллерийская и пулемётная перестрелка. Огнём нашей артиллерии разрушено несколько блиндажей, взорван склад с боеприпасами, рассеяно и частью уничтожено несколько разведывательных групп и до двух рот пехоты противника. Снайперы Н-ского соединения за последние 10 дней истребили 260 немецких солдат и офицеров.</w:t>
      </w:r>
    </w:p>
    <w:p w14:paraId="2B4E85DD"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ленинградских партизан под командованием тов. Д. пустил под откос два железнодорожных эшелона противника. Разбито 50 вагонов, в большей части груженных автомашинами и танками. Под обломками вагонов погибло до 300 немецких оккупантов.</w:t>
      </w:r>
    </w:p>
    <w:p w14:paraId="7E7236FD"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50 полка 11 финской пехотной дивизии Юхо П. рассказал: «Финляндия зашла в тупик. Промышленность переживает полный застой. Сельское хозяйство пришло в упадок. Многие крестьяне весной засеяли лишь половину своей земли. Не хватало рабочих рук, не было семян и удобрений. Народ ненавидит немцев и считает их виновниками всех бед, обрушившихся на Финляндию. Недавно в городе Тампере в ресторан, где кутили немцы, кто-то бросил несколько гранат. В лесах скрывается большое количество солдат, бежавших с фронта. Они ловят немцев и шюцкоровцев и истребляют их».</w:t>
      </w:r>
    </w:p>
    <w:p w14:paraId="7EB48197"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Получено сообщение о чудовищном преступлении немецко-фашистских людоедов.</w:t>
      </w:r>
    </w:p>
    <w:p w14:paraId="6DDC7D75"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начале июля в Днепропетровске немцы арестовали 150 рабочих паровозных мастерских за отказ поехать на работу в Германию. Гитлеровские мерзавцы в течение семи дней морили арестованных рабочих голодом, а потом вывели их за город и расстреляли.» (14969).</w:t>
      </w:r>
    </w:p>
    <w:p w14:paraId="3EC5D83B" w14:textId="77777777" w:rsidR="00032351" w:rsidRPr="001E2C69" w:rsidRDefault="00032351" w:rsidP="00722885">
      <w:pPr>
        <w:spacing w:after="0" w:line="240" w:lineRule="auto"/>
        <w:jc w:val="both"/>
        <w:rPr>
          <w:rFonts w:ascii="Times New Roman" w:hAnsi="Times New Roman"/>
          <w:color w:val="000000" w:themeColor="text1"/>
          <w:sz w:val="16"/>
          <w:szCs w:val="16"/>
        </w:rPr>
      </w:pPr>
    </w:p>
    <w:p w14:paraId="47052A79" w14:textId="1A43F3E4" w:rsidR="001B2C96" w:rsidRPr="001E2C69" w:rsidRDefault="001B2C96" w:rsidP="00722885">
      <w:pPr>
        <w:pStyle w:val="af"/>
        <w:spacing w:before="0" w:after="0"/>
        <w:jc w:val="both"/>
        <w:textAlignment w:val="baseline"/>
        <w:rPr>
          <w:color w:val="000000" w:themeColor="text1"/>
          <w:sz w:val="16"/>
          <w:szCs w:val="16"/>
        </w:rPr>
      </w:pPr>
      <w:r w:rsidRPr="001E2C69">
        <w:rPr>
          <w:color w:val="000000" w:themeColor="text1"/>
          <w:sz w:val="16"/>
          <w:szCs w:val="16"/>
        </w:rPr>
        <w:t>31 июля 1942 экипаж самолета-разведчика Су-2 из 8-го pan в составе лейтенантов Н.</w:t>
      </w:r>
      <w:r w:rsidR="001E2C69">
        <w:rPr>
          <w:color w:val="000000" w:themeColor="text1"/>
          <w:sz w:val="16"/>
          <w:szCs w:val="16"/>
        </w:rPr>
        <w:t xml:space="preserve">   </w:t>
      </w:r>
      <w:r w:rsidRPr="001E2C69">
        <w:rPr>
          <w:color w:val="000000" w:themeColor="text1"/>
          <w:sz w:val="16"/>
          <w:szCs w:val="16"/>
        </w:rPr>
        <w:t>С.</w:t>
      </w:r>
      <w:r w:rsidR="001E2C69">
        <w:rPr>
          <w:color w:val="000000" w:themeColor="text1"/>
          <w:sz w:val="16"/>
          <w:szCs w:val="16"/>
        </w:rPr>
        <w:t xml:space="preserve">   </w:t>
      </w:r>
      <w:r w:rsidRPr="001E2C69">
        <w:rPr>
          <w:color w:val="000000" w:themeColor="text1"/>
          <w:sz w:val="16"/>
          <w:szCs w:val="16"/>
        </w:rPr>
        <w:t>Терехина и А.</w:t>
      </w:r>
      <w:r w:rsidR="001E2C69">
        <w:rPr>
          <w:color w:val="000000" w:themeColor="text1"/>
          <w:sz w:val="16"/>
          <w:szCs w:val="16"/>
        </w:rPr>
        <w:t xml:space="preserve">   </w:t>
      </w:r>
      <w:r w:rsidRPr="001E2C69">
        <w:rPr>
          <w:color w:val="000000" w:themeColor="text1"/>
          <w:sz w:val="16"/>
          <w:szCs w:val="16"/>
        </w:rPr>
        <w:t>Т.</w:t>
      </w:r>
      <w:r w:rsidR="001E2C69">
        <w:rPr>
          <w:color w:val="000000" w:themeColor="text1"/>
          <w:sz w:val="16"/>
          <w:szCs w:val="16"/>
        </w:rPr>
        <w:t xml:space="preserve">   </w:t>
      </w:r>
      <w:r w:rsidRPr="001E2C69">
        <w:rPr>
          <w:color w:val="000000" w:themeColor="text1"/>
          <w:sz w:val="16"/>
          <w:szCs w:val="16"/>
        </w:rPr>
        <w:t>Степаненко совершал полет в ближнем тылу немецкой 6-й армии. Вскоре тихоходная машина была атакована шестью Bf-109. По утверждению бойцов, наблюдавших за боем, подбитая сушка направилась прямо на скопление германских танков и протаранила их (19522).</w:t>
      </w:r>
    </w:p>
    <w:p w14:paraId="2C3B3209" w14:textId="77777777" w:rsidR="001B2C96" w:rsidRPr="001E2C69" w:rsidRDefault="001B2C96" w:rsidP="00722885">
      <w:pPr>
        <w:pStyle w:val="af"/>
        <w:spacing w:before="0" w:after="0"/>
        <w:jc w:val="both"/>
        <w:textAlignment w:val="baseline"/>
        <w:rPr>
          <w:color w:val="000000" w:themeColor="text1"/>
          <w:sz w:val="16"/>
          <w:szCs w:val="16"/>
        </w:rPr>
      </w:pPr>
    </w:p>
    <w:p w14:paraId="75FB4115" w14:textId="77777777" w:rsidR="00032351" w:rsidRPr="001E2C69" w:rsidRDefault="00032351" w:rsidP="00722885">
      <w:pPr>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rPr>
        <w:t>31 июля в 1942 году на полуостровах Рыбачий и Средний создан Северный оборонительный район (расформирован 5 января 1945): 23-й укреплённый район и приданные ему артиллерийские, стрелковые и другие соединения и части армии и Северного флота; в оперативном подчинении торпедные катера и самолеты. Командующий - генерал-лейтенант С.И.Кабанов (август 1942 - сентябрь 1943), генерал-майор (с ноября 1944 генерал-лейтенант) Е.Т.Дубовцев (с сентября 1943). СоветскиевойскаоставилигородСальск</w:t>
      </w:r>
      <w:r w:rsidRPr="001E2C69">
        <w:rPr>
          <w:rFonts w:ascii="Times New Roman" w:hAnsi="Times New Roman"/>
          <w:color w:val="000000" w:themeColor="text1"/>
          <w:sz w:val="16"/>
          <w:szCs w:val="16"/>
          <w:lang w:val="en-US"/>
        </w:rPr>
        <w:t xml:space="preserve"> (14969).</w:t>
      </w:r>
    </w:p>
    <w:p w14:paraId="42FCBD36" w14:textId="77777777" w:rsidR="00032351" w:rsidRPr="001E2C69" w:rsidRDefault="00032351" w:rsidP="00722885">
      <w:pPr>
        <w:spacing w:after="0" w:line="240" w:lineRule="auto"/>
        <w:jc w:val="both"/>
        <w:rPr>
          <w:rFonts w:ascii="Times New Roman" w:hAnsi="Times New Roman"/>
          <w:color w:val="000000" w:themeColor="text1"/>
          <w:sz w:val="16"/>
          <w:szCs w:val="16"/>
          <w:lang w:val="en-US"/>
        </w:rPr>
      </w:pPr>
    </w:p>
    <w:p w14:paraId="74F3A0B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lang w:val="en-US"/>
        </w:rPr>
        <w:t xml:space="preserve">July 31 1942 Paulus' 6th Army crosses the Don River and races for Stalingrad. Russian General Chuikov reinforces as fast as his railways allow. </w:t>
      </w:r>
      <w:r w:rsidRPr="001E2C69">
        <w:rPr>
          <w:color w:val="000000" w:themeColor="text1"/>
          <w:sz w:val="16"/>
          <w:szCs w:val="16"/>
        </w:rPr>
        <w:t>(1052).</w:t>
      </w:r>
    </w:p>
    <w:p w14:paraId="416AC150" w14:textId="77777777" w:rsidR="00AE7191" w:rsidRPr="001E2C69" w:rsidRDefault="00AE7191" w:rsidP="00722885">
      <w:pPr>
        <w:pStyle w:val="Iauiue"/>
        <w:jc w:val="both"/>
        <w:rPr>
          <w:color w:val="000000" w:themeColor="text1"/>
          <w:sz w:val="16"/>
          <w:szCs w:val="16"/>
        </w:rPr>
      </w:pPr>
    </w:p>
    <w:p w14:paraId="3786F2B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31 июля 1942 6 армия Паулюса форсировала Дон, а Чуйков подтягивал резервы (1052).</w:t>
      </w:r>
    </w:p>
    <w:p w14:paraId="4F19B8A9" w14:textId="77777777" w:rsidR="00AE7191" w:rsidRPr="001E2C69" w:rsidRDefault="00AE7191" w:rsidP="00722885">
      <w:pPr>
        <w:pStyle w:val="Iauiue"/>
        <w:jc w:val="both"/>
        <w:rPr>
          <w:color w:val="000000" w:themeColor="text1"/>
          <w:sz w:val="16"/>
          <w:szCs w:val="16"/>
        </w:rPr>
      </w:pPr>
    </w:p>
    <w:p w14:paraId="28CDF9F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Днем 31 июля 1941 пароходы пароходы «Михаил Калинин» и «Вячеслав Молотов», шедшие рейсом из Астрахани, подошли к Сталинграду. Тут глазам матросов и пассажиров предстало страшное зрелище. Повсюду виднелись торчащие из воды и горящие баржи с нефтью, кое-где горящее топливо текло по реке, отравляя все вокруг едким черным дымом. Самого города из-за этого чадящего ада почти не было видно. И здесь же между нефтяными пятнами и плавающими обломками сновали суда и буксиры, непрерывным потоком перевозящие грузы с одного берега на другой. Вскоре в дымке показался порт. Когда корабли достигли причала, баржи с солдатами отцепили, быстро прошла высадка и посадка пассажиров, после чего «Калинин» и «Молотов» поспешили отправиться дальше вверх по Волге. Но до безопасных вод было еще далеко. В этот же день, 31 июля, немецкие бомбардировщики совершили налет на речную пристань Маркс, расположенную на левом берегу Волги, в 60 км северо-восточнее Саратова, а также продолжали атаковать суда и нефтекараваны на участке между Камышином и Никольским и минировать фарватер. В ночь на 1 августа экипаж He– 111 «1G+CR» из 7-й эскадрильи KG27 «Бельке» в ходе боевого вылета над Волгой обнаружил и атаковал нефтекараван, идущий вверх по течению. В результате прямых попаданий две баржи вспыхнули и затонули. В эти же дни у Садковского Яра в результате бомбардировки затонул грузовой теплоход «Осетия», который вез в Сталинград кавалерийских лошадей. На Бабаевском перекате, около острова Ступинского, подорвался на мине пассажирский теплоход «10 лет „Комсомольской правды“». Судно пошло под воду так быстр о, что все пассажиры и члены команды погибли. Лишь его капитану А. В. Семикову чудом удалось спастись. В районе Камышина подорвался на мине и утонул буксирный пароход «Союзный ЦИК». При этом погибла почти вся команда, а также трое детей. В этой обстановке у многих речников стали сдавать нервы. Опасаясь гибели, десятки матросов бежали с судов во время стоянок в городах, капитаны нередко затягивали выход в рейс под предлогом «дополнительного ремонта» и др. причин. В связи с этим Наркомату речного флота пришлось ввести на судах должность комиссара. В их обязанности входило вести политическую работу среди судовых команд и контролировать выполнение капитанами инструкций вышестоящего начальства (11774).</w:t>
      </w:r>
    </w:p>
    <w:p w14:paraId="00FC73DF"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FF5E96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31 июля 1942 был создан Северный оборонительный район для обороны п/о Рыбачий и Средний (3186).</w:t>
      </w:r>
    </w:p>
    <w:p w14:paraId="4807375C" w14:textId="77777777" w:rsidR="00AE7191" w:rsidRPr="001E2C69" w:rsidRDefault="00AE7191" w:rsidP="00722885">
      <w:pPr>
        <w:pStyle w:val="Iauiue"/>
        <w:jc w:val="both"/>
        <w:rPr>
          <w:color w:val="000000" w:themeColor="text1"/>
          <w:sz w:val="16"/>
          <w:szCs w:val="16"/>
        </w:rPr>
      </w:pPr>
    </w:p>
    <w:p w14:paraId="57E392D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lastRenderedPageBreak/>
        <w:t>31 июля 1942 Президиум ВС издал Указ об учреждении орденов: Суворова, Кутузова, Александра Невского (3186).</w:t>
      </w:r>
    </w:p>
    <w:p w14:paraId="508655AB" w14:textId="77777777" w:rsidR="00AE7191" w:rsidRPr="001E2C69" w:rsidRDefault="00AE7191" w:rsidP="00722885">
      <w:pPr>
        <w:pStyle w:val="Iauiue"/>
        <w:jc w:val="both"/>
        <w:rPr>
          <w:color w:val="000000" w:themeColor="text1"/>
          <w:sz w:val="16"/>
          <w:szCs w:val="16"/>
        </w:rPr>
      </w:pPr>
    </w:p>
    <w:p w14:paraId="4C916719"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Жизнь и внутренняя политика:</w:t>
      </w:r>
    </w:p>
    <w:p w14:paraId="012D0C18" w14:textId="77777777" w:rsidR="00AE7191" w:rsidRPr="001E2C69" w:rsidRDefault="00AE7191" w:rsidP="00722885">
      <w:pPr>
        <w:pStyle w:val="Iauiue"/>
        <w:jc w:val="both"/>
        <w:rPr>
          <w:iCs/>
          <w:color w:val="000000" w:themeColor="text1"/>
          <w:sz w:val="16"/>
          <w:szCs w:val="16"/>
        </w:rPr>
      </w:pPr>
    </w:p>
    <w:p w14:paraId="3835984F"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31 июля в 1942 году в Краснодоне возникла подпольная комсомольская организация «Молодая Гвардия» во главе с О.В.Кошевым (14969).</w:t>
      </w:r>
    </w:p>
    <w:p w14:paraId="7B20F340" w14:textId="77777777" w:rsidR="00032351" w:rsidRPr="001E2C69" w:rsidRDefault="00032351" w:rsidP="00722885">
      <w:pPr>
        <w:spacing w:after="0" w:line="240" w:lineRule="auto"/>
        <w:jc w:val="both"/>
        <w:rPr>
          <w:rFonts w:ascii="Times New Roman" w:hAnsi="Times New Roman"/>
          <w:color w:val="000000" w:themeColor="text1"/>
          <w:sz w:val="16"/>
          <w:szCs w:val="16"/>
        </w:rPr>
      </w:pPr>
    </w:p>
    <w:p w14:paraId="3A20E0C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31 июля 1942 появилась очередная (их было несколько) директива НКВД и Прокуратуры СССР за № 308 о передаче заключенных в Красную Армию. Начальникам лагерей предписывалось совместно с прокурором пересмотреть личные дела “заключенных мужчин в возрасте до 40 лет из лиц, осужденных за бытовые и имущественные преступления”, и “по Вашему усмотрению независимо от срока наказания годных к строевой службе передать военкоматам”, выдав справки о досрочном освобождении. Всего в августе - сентябре по этой директиве в армию было передано 30 тысяч заключенных (7560).</w:t>
      </w:r>
    </w:p>
    <w:p w14:paraId="1A5BF5F5" w14:textId="77777777" w:rsidR="00AE7191" w:rsidRPr="001E2C69" w:rsidRDefault="00AE7191" w:rsidP="00722885">
      <w:pPr>
        <w:pStyle w:val="Iauiue"/>
        <w:jc w:val="both"/>
        <w:rPr>
          <w:color w:val="000000" w:themeColor="text1"/>
          <w:sz w:val="16"/>
          <w:szCs w:val="16"/>
        </w:rPr>
      </w:pPr>
    </w:p>
    <w:p w14:paraId="54F76C4E"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Внешняя политика:</w:t>
      </w:r>
    </w:p>
    <w:p w14:paraId="3302BDEF" w14:textId="77777777" w:rsidR="00AE7191" w:rsidRPr="001E2C69" w:rsidRDefault="00AE7191" w:rsidP="00722885">
      <w:pPr>
        <w:pStyle w:val="Iauiue"/>
        <w:jc w:val="both"/>
        <w:rPr>
          <w:iCs/>
          <w:color w:val="000000" w:themeColor="text1"/>
          <w:sz w:val="16"/>
          <w:szCs w:val="16"/>
        </w:rPr>
      </w:pPr>
    </w:p>
    <w:p w14:paraId="0B3D4C4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31 июля 1942 года</w:t>
      </w:r>
    </w:p>
    <w:p w14:paraId="49A2DF3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ПРЕМЬЕР-МИНИСТР ПРЕМЬЕРУ СТАЛИНУ</w:t>
      </w:r>
    </w:p>
    <w:p w14:paraId="085ACC2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СОВЕРШЕННО СЕКРЕТНО</w:t>
      </w:r>
    </w:p>
    <w:p w14:paraId="1E57A9D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Мы принимаем предварительные подготовительные меры (смотрите мое следующее послание) для отправки большого конвоя 2 в Архангельск в первой неделе сентября.</w:t>
      </w:r>
    </w:p>
    <w:p w14:paraId="241BB8F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Я хотел бы, чтобы Вы пригласили меня встретиться с Вами лично в Астрахани, на Кавказе или в каком-либо другом подходящем месте. Мы могли бы совместно обсудить вопросы, связанные с войной, и в дружеском контакте принять совместные решения. Я мог бы сообщить Вам планы наступательных операций в 1942 г., согласованные мною с Президентом Рузвельтом. Я привез бы с собой моего начальника Имперского генерального штаба.</w:t>
      </w:r>
    </w:p>
    <w:p w14:paraId="569361A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Я немедленно вылетаю в Каир. Как Вы легко можете себе представить, у меня там имеются серьезные дела. Оттуда я мог бы, если Вы этого пожелаете, сообщить Вам подходящую дату для нашей встречи, которая, поскольку дело касается меня, могла бы состояться между 10 и 13 августа, если, конечно, все будет благополучно.</w:t>
      </w:r>
    </w:p>
    <w:p w14:paraId="6F16048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Военный кабинет одобрил мои предложения (7430).</w:t>
      </w:r>
    </w:p>
    <w:p w14:paraId="3AB9A0F7" w14:textId="77777777" w:rsidR="00AE7191" w:rsidRPr="001E2C69" w:rsidRDefault="00AE7191" w:rsidP="00722885">
      <w:pPr>
        <w:pStyle w:val="Iauiue"/>
        <w:jc w:val="both"/>
        <w:rPr>
          <w:color w:val="000000" w:themeColor="text1"/>
          <w:sz w:val="16"/>
          <w:szCs w:val="16"/>
        </w:rPr>
      </w:pPr>
    </w:p>
    <w:p w14:paraId="7E60F46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31 июля 1942 года было получено:</w:t>
      </w:r>
    </w:p>
    <w:p w14:paraId="688DEB7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ПРЕМЬЕР-МИНИСТР ПРЕМЬЕРУ СТАЛИНУ</w:t>
      </w:r>
    </w:p>
    <w:p w14:paraId="278FF7D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ЛИЧНО И СЕКРЕТНО</w:t>
      </w:r>
    </w:p>
    <w:p w14:paraId="592406B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дополнение к моему предшествующему посланию. Мы принимаем предварительные меры к отправке конвоя в 40 судов в первую неделю сентября. Я должен, однако, прямо сказать, что, если угроза с воздуха для германских надводных судов в Баренцевом море не будет столь сильна, чтобы удержать их от операций против конвоя, у нас мало шансов, как показал опыт конвоя № 17, провести благополучно даже и треть судов. Как Вам, конечно, известно, это положение обсуждалось с Майским, и, насколько я понимаю, последний сообщил Вам, что мы считаем необходимым минимум защиты с воздуха (7430).</w:t>
      </w:r>
    </w:p>
    <w:p w14:paraId="56226DE0" w14:textId="77777777" w:rsidR="00AE7191" w:rsidRPr="001E2C69" w:rsidRDefault="00AE7191" w:rsidP="00722885">
      <w:pPr>
        <w:pStyle w:val="Iauiue"/>
        <w:jc w:val="both"/>
        <w:rPr>
          <w:color w:val="000000" w:themeColor="text1"/>
          <w:sz w:val="16"/>
          <w:szCs w:val="16"/>
        </w:rPr>
      </w:pPr>
    </w:p>
    <w:p w14:paraId="01DE0A9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31 июля 1942 Правительства США и СССР обменялись нотами о продлении торгового соглашения до 6 августа 1943 (3186).</w:t>
      </w:r>
    </w:p>
    <w:p w14:paraId="3E48D8A9" w14:textId="77777777" w:rsidR="00AE7191" w:rsidRPr="001E2C69" w:rsidRDefault="00AE7191" w:rsidP="00722885">
      <w:pPr>
        <w:pStyle w:val="Iauiue"/>
        <w:jc w:val="both"/>
        <w:rPr>
          <w:color w:val="000000" w:themeColor="text1"/>
          <w:sz w:val="16"/>
          <w:szCs w:val="16"/>
        </w:rPr>
      </w:pPr>
    </w:p>
    <w:p w14:paraId="0BAC9FC5"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31 июля в 1942 году японскому послу в СССР Н.Сато даны указания создать основы для японского посредничества при восстановлении мира между Германией и Советским Союзом (14969).</w:t>
      </w:r>
    </w:p>
    <w:p w14:paraId="787A00E9" w14:textId="77777777" w:rsidR="00032351" w:rsidRPr="001E2C69" w:rsidRDefault="00032351" w:rsidP="00722885">
      <w:pPr>
        <w:spacing w:after="0" w:line="240" w:lineRule="auto"/>
        <w:jc w:val="both"/>
        <w:rPr>
          <w:rFonts w:ascii="Times New Roman" w:hAnsi="Times New Roman"/>
          <w:color w:val="000000" w:themeColor="text1"/>
          <w:sz w:val="16"/>
          <w:szCs w:val="16"/>
        </w:rPr>
      </w:pPr>
    </w:p>
    <w:p w14:paraId="7B81DB42"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3FC5737B" w14:textId="77777777" w:rsidR="00AE7191" w:rsidRPr="001E2C69" w:rsidRDefault="00AE7191" w:rsidP="00722885">
      <w:pPr>
        <w:pStyle w:val="Iauiue"/>
        <w:jc w:val="both"/>
        <w:rPr>
          <w:iCs/>
          <w:color w:val="000000" w:themeColor="text1"/>
          <w:sz w:val="16"/>
          <w:szCs w:val="16"/>
        </w:rPr>
      </w:pPr>
    </w:p>
    <w:p w14:paraId="14EBFCF1"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31 июля в 1942 году взлетел первый </w:t>
      </w:r>
      <w:hyperlink r:id="rId165" w:tgtFrame="_blank" w:history="1">
        <w:r w:rsidRPr="001E2C69">
          <w:rPr>
            <w:rFonts w:ascii="Times New Roman" w:hAnsi="Times New Roman"/>
            <w:color w:val="000000" w:themeColor="text1"/>
            <w:sz w:val="16"/>
            <w:szCs w:val="16"/>
          </w:rPr>
          <w:t xml:space="preserve">«Curtiss» «Hawk 75А-5» </w:t>
        </w:r>
      </w:hyperlink>
      <w:r w:rsidRPr="001E2C69">
        <w:rPr>
          <w:rFonts w:ascii="Times New Roman" w:hAnsi="Times New Roman"/>
          <w:color w:val="000000" w:themeColor="text1"/>
          <w:sz w:val="16"/>
          <w:szCs w:val="16"/>
        </w:rPr>
        <w:t>индийского производства. Собрали их немного, всего пять истребителей, далее завод полностью загрузили ремонтом самолетов, доставляемых с фронта. Модель самолета, собиравшаяся по лицензии в Китае, имела обозначение «Н75А-5». После того, как в Китае было построено несколько самолетов, производство было переведено в Индию, а самолеты «Нawk 75А-5» приобретены ВВС Великобритании под обозначением «Mohawk» «Mk.IV». Самолеты этого типа поставлялись в Норвегию, которая заказала 24 экземпляра модели «Нawk 75А-6», после чего еще 36 самолетов «Нawk 75А-8». Последние не были поставлены, так как шесть из них было передано Независимым норвежским силам в Канаде после оккупации Норвегии Германией, а оставшиеся 30 самолетов были реквизированы для службы в составе Авиационного корпуса сухопутных сил США под обозначением «Р-36G» (14969).</w:t>
      </w:r>
    </w:p>
    <w:p w14:paraId="3C53796D" w14:textId="77777777" w:rsidR="00032351" w:rsidRPr="001E2C69" w:rsidRDefault="00032351" w:rsidP="00722885">
      <w:pPr>
        <w:spacing w:after="0" w:line="240" w:lineRule="auto"/>
        <w:jc w:val="both"/>
        <w:rPr>
          <w:rFonts w:ascii="Times New Roman" w:hAnsi="Times New Roman"/>
          <w:color w:val="000000" w:themeColor="text1"/>
          <w:sz w:val="16"/>
          <w:szCs w:val="16"/>
        </w:rPr>
      </w:pPr>
    </w:p>
    <w:p w14:paraId="69661633"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31 июля в 1942 году состоялась официальная передача первого серийного </w:t>
      </w:r>
      <w:hyperlink r:id="rId166" w:tgtFrame="_blank" w:history="1">
        <w:r w:rsidRPr="001E2C69">
          <w:rPr>
            <w:rFonts w:ascii="Times New Roman" w:hAnsi="Times New Roman"/>
            <w:color w:val="000000" w:themeColor="text1"/>
            <w:sz w:val="16"/>
            <w:szCs w:val="16"/>
          </w:rPr>
          <w:t xml:space="preserve">«F4U-1» </w:t>
        </w:r>
      </w:hyperlink>
      <w:r w:rsidRPr="001E2C69">
        <w:rPr>
          <w:rFonts w:ascii="Times New Roman" w:hAnsi="Times New Roman"/>
          <w:color w:val="000000" w:themeColor="text1"/>
          <w:sz w:val="16"/>
          <w:szCs w:val="16"/>
        </w:rPr>
        <w:t>(заводской номер 02153) с двигателем «R-2800-82 мощностью 1970 л.с. американскому флоту, после чего самолет был направлен на авианосец "Сангамон" ("Sangamon") в залив Чесапик. Во время испытательных полетов была достигнута скорость 638 км/ч на высоте 7540 метров и скороподъемность 15,23 м/сек. Масса пустого составляла 4028 кг, а взлетный вес самолета 5388 кг (14969).</w:t>
      </w:r>
    </w:p>
    <w:p w14:paraId="0C6E86EF" w14:textId="77777777" w:rsidR="00032351" w:rsidRPr="001E2C69" w:rsidRDefault="00032351" w:rsidP="00722885">
      <w:pPr>
        <w:spacing w:after="0" w:line="240" w:lineRule="auto"/>
        <w:jc w:val="both"/>
        <w:rPr>
          <w:rFonts w:ascii="Times New Roman" w:hAnsi="Times New Roman"/>
          <w:color w:val="000000" w:themeColor="text1"/>
          <w:sz w:val="16"/>
          <w:szCs w:val="16"/>
        </w:rPr>
      </w:pPr>
    </w:p>
    <w:p w14:paraId="073B4197"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31 июля в 1942 году впервые поднялся в воздух </w:t>
      </w:r>
      <w:hyperlink r:id="rId167" w:tgtFrame="_blank" w:history="1">
        <w:r w:rsidRPr="001E2C69">
          <w:rPr>
            <w:rFonts w:ascii="Times New Roman" w:hAnsi="Times New Roman"/>
            <w:color w:val="000000" w:themeColor="text1"/>
            <w:sz w:val="16"/>
            <w:szCs w:val="16"/>
          </w:rPr>
          <w:t xml:space="preserve">«Do.217N». </w:t>
        </w:r>
      </w:hyperlink>
      <w:r w:rsidRPr="001E2C69">
        <w:rPr>
          <w:rFonts w:ascii="Times New Roman" w:hAnsi="Times New Roman"/>
          <w:color w:val="000000" w:themeColor="text1"/>
          <w:sz w:val="16"/>
          <w:szCs w:val="16"/>
        </w:rPr>
        <w:t>Кроме двигателей и сохранения заднего бомбоотсека он практически ничем не отличался от Do.217j-2 в варианте ночного истребителя. К этому времени «Do.217j-2» и его вариант с двигателем «DB-603А» - «Do.217N» использовались в нескольких эскадрильях ночных истребителей, хотя ни один из полков не был переоснащен на этот тип полностью и использовал самолеты "Дорнье" вместе с «Вf.110» (14969).</w:t>
      </w:r>
    </w:p>
    <w:p w14:paraId="074FEB44" w14:textId="77777777" w:rsidR="00032351" w:rsidRPr="001E2C69" w:rsidRDefault="00032351" w:rsidP="00722885">
      <w:pPr>
        <w:spacing w:after="0" w:line="240" w:lineRule="auto"/>
        <w:jc w:val="both"/>
        <w:rPr>
          <w:rFonts w:ascii="Times New Roman" w:hAnsi="Times New Roman"/>
          <w:color w:val="000000" w:themeColor="text1"/>
          <w:sz w:val="16"/>
          <w:szCs w:val="16"/>
        </w:rPr>
      </w:pPr>
    </w:p>
    <w:p w14:paraId="58BE1BAF" w14:textId="77777777" w:rsidR="00B44038" w:rsidRPr="001E2C69" w:rsidRDefault="00B4403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31 июля 1942 обширный, 800 км (500 миль) прожекторный пояс, созданный Германией для направления ночных истребителей к британским бомбардировщикам на их маршрутах в и из Германии, приказано расформировать, чтобы прожекторы могли быть перераспределены для точечной обороны отдельных немецких городов. Пояс прожекторов заменен еще более глубоким поясом наземных радаров, что позволяет немецким ночным истребителям перехватывать вражеские самолеты с гораздо большей степенью радиолокационного контроля (20793).</w:t>
      </w:r>
    </w:p>
    <w:p w14:paraId="1038F78C" w14:textId="77777777" w:rsidR="00B44038" w:rsidRPr="001E2C69" w:rsidRDefault="00B44038" w:rsidP="00722885">
      <w:pPr>
        <w:spacing w:after="0" w:line="240" w:lineRule="auto"/>
        <w:jc w:val="both"/>
        <w:rPr>
          <w:rFonts w:ascii="Times New Roman" w:hAnsi="Times New Roman"/>
          <w:color w:val="000000" w:themeColor="text1"/>
          <w:sz w:val="16"/>
          <w:szCs w:val="16"/>
        </w:rPr>
      </w:pPr>
    </w:p>
    <w:p w14:paraId="20014607"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lang w:val="en-US"/>
        </w:rPr>
        <w:t>July 31, 1942: Heavy RAF night raid on Dusseldorf (3819).</w:t>
      </w:r>
    </w:p>
    <w:p w14:paraId="6BE84877" w14:textId="77777777" w:rsidR="00AE7191" w:rsidRPr="001E2C69" w:rsidRDefault="00AE7191" w:rsidP="00722885">
      <w:pPr>
        <w:pStyle w:val="Iauiue"/>
        <w:jc w:val="both"/>
        <w:rPr>
          <w:color w:val="000000" w:themeColor="text1"/>
          <w:sz w:val="16"/>
          <w:szCs w:val="16"/>
          <w:lang w:val="en-US"/>
        </w:rPr>
      </w:pPr>
    </w:p>
    <w:p w14:paraId="4930F9D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31 июля 1942 состоялся тяжелый налет Королевских ВВС на Дюссельдорф (3819).</w:t>
      </w:r>
    </w:p>
    <w:p w14:paraId="76ED6347" w14:textId="77777777" w:rsidR="00AE7191" w:rsidRPr="001E2C69" w:rsidRDefault="00AE7191" w:rsidP="00722885">
      <w:pPr>
        <w:pStyle w:val="Iauiue"/>
        <w:jc w:val="both"/>
        <w:rPr>
          <w:color w:val="000000" w:themeColor="text1"/>
          <w:sz w:val="16"/>
          <w:szCs w:val="16"/>
        </w:rPr>
      </w:pPr>
    </w:p>
    <w:p w14:paraId="0C068126" w14:textId="77777777" w:rsidR="00032351" w:rsidRPr="001E2C69" w:rsidRDefault="000323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31 июля в 1942 году США разместили в Великобритании 8-ю авиационную армию (400 боевых самолетов) (14969).</w:t>
      </w:r>
    </w:p>
    <w:p w14:paraId="70954713" w14:textId="77777777" w:rsidR="00032351" w:rsidRPr="001E2C69" w:rsidRDefault="00032351" w:rsidP="00722885">
      <w:pPr>
        <w:spacing w:after="0" w:line="240" w:lineRule="auto"/>
        <w:jc w:val="both"/>
        <w:rPr>
          <w:rFonts w:ascii="Times New Roman" w:hAnsi="Times New Roman"/>
          <w:color w:val="000000" w:themeColor="text1"/>
          <w:sz w:val="16"/>
          <w:szCs w:val="16"/>
        </w:rPr>
      </w:pPr>
    </w:p>
    <w:p w14:paraId="29D48D8E"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5A47388E" w14:textId="77777777" w:rsidR="00AE7191" w:rsidRPr="001E2C69" w:rsidRDefault="00AE7191" w:rsidP="00722885">
      <w:pPr>
        <w:pStyle w:val="Iauiue"/>
        <w:jc w:val="both"/>
        <w:rPr>
          <w:iCs/>
          <w:color w:val="000000" w:themeColor="text1"/>
          <w:sz w:val="16"/>
          <w:szCs w:val="16"/>
        </w:rPr>
      </w:pPr>
    </w:p>
    <w:p w14:paraId="795193B9"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кон</w:t>
      </w:r>
      <w:r w:rsidRPr="001E2C69">
        <w:rPr>
          <w:color w:val="000000" w:themeColor="text1"/>
          <w:sz w:val="16"/>
          <w:szCs w:val="16"/>
        </w:rPr>
        <w:softHyphen/>
        <w:t>це июля 1942 после получения из НИП АВ отчета с материала</w:t>
      </w:r>
      <w:r w:rsidRPr="001E2C69">
        <w:rPr>
          <w:color w:val="000000" w:themeColor="text1"/>
          <w:sz w:val="16"/>
          <w:szCs w:val="16"/>
        </w:rPr>
        <w:softHyphen/>
        <w:t>ми испытаний вооружения самолетов Ил-2 и ЛаГГ-3 при действии по немецкой бронетехнике, специ</w:t>
      </w:r>
      <w:r w:rsidRPr="001E2C69">
        <w:rPr>
          <w:color w:val="000000" w:themeColor="text1"/>
          <w:sz w:val="16"/>
          <w:szCs w:val="16"/>
        </w:rPr>
        <w:softHyphen/>
        <w:t>алисты 2-го отдела (отдел по использованию опыта войны) Оперативного управления штаба ВВС выехали на участки Брянского и Западного фронтов с целью оценки эффективности действия немецкой авиации по бронетанковым частям Крас</w:t>
      </w:r>
      <w:r w:rsidRPr="001E2C69">
        <w:rPr>
          <w:color w:val="000000" w:themeColor="text1"/>
          <w:sz w:val="16"/>
          <w:szCs w:val="16"/>
        </w:rPr>
        <w:softHyphen/>
        <w:t>ной Армии.</w:t>
      </w:r>
    </w:p>
    <w:p w14:paraId="499D0EE0"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своем докладе по итогам командировки на фронт помощник начальника 2-го отдела военин</w:t>
      </w:r>
      <w:r w:rsidRPr="001E2C69">
        <w:rPr>
          <w:color w:val="000000" w:themeColor="text1"/>
          <w:sz w:val="16"/>
          <w:szCs w:val="16"/>
        </w:rPr>
        <w:softHyphen/>
        <w:t>женер 2-го ранга И. В. Пименов отмечал, что «в высших штабах танковых соединений /.../ данные об эффективности действия авиации по танкам (бо</w:t>
      </w:r>
      <w:r w:rsidRPr="001E2C69">
        <w:rPr>
          <w:color w:val="000000" w:themeColor="text1"/>
          <w:sz w:val="16"/>
          <w:szCs w:val="16"/>
        </w:rPr>
        <w:softHyphen/>
        <w:t>евые донесения и оперсводки танковых соедине</w:t>
      </w:r>
      <w:r w:rsidRPr="001E2C69">
        <w:rPr>
          <w:color w:val="000000" w:themeColor="text1"/>
          <w:sz w:val="16"/>
          <w:szCs w:val="16"/>
        </w:rPr>
        <w:softHyphen/>
        <w:t>ний) носят общий характер, без указания объектов и условий бомбометания, числа самолето-вылетов авиации противника непосредственно по танкам и конкретных результатов нападения». Все это «соз</w:t>
      </w:r>
      <w:r w:rsidRPr="001E2C69">
        <w:rPr>
          <w:color w:val="000000" w:themeColor="text1"/>
          <w:sz w:val="16"/>
          <w:szCs w:val="16"/>
        </w:rPr>
        <w:softHyphen/>
        <w:t>дает в высших танковых штабах явно преувеличен</w:t>
      </w:r>
      <w:r w:rsidRPr="001E2C69">
        <w:rPr>
          <w:color w:val="000000" w:themeColor="text1"/>
          <w:sz w:val="16"/>
          <w:szCs w:val="16"/>
        </w:rPr>
        <w:softHyphen/>
        <w:t>ное представление об эффективности действия авиации по танкам».</w:t>
      </w:r>
    </w:p>
    <w:p w14:paraId="29508C28"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Так, анализ документов и заявлений команди</w:t>
      </w:r>
      <w:r w:rsidRPr="001E2C69">
        <w:rPr>
          <w:color w:val="000000" w:themeColor="text1"/>
          <w:sz w:val="16"/>
          <w:szCs w:val="16"/>
        </w:rPr>
        <w:softHyphen/>
        <w:t>ров частей и соединений 5-й танковой армии, под</w:t>
      </w:r>
      <w:r w:rsidRPr="001E2C69">
        <w:rPr>
          <w:color w:val="000000" w:themeColor="text1"/>
          <w:sz w:val="16"/>
          <w:szCs w:val="16"/>
        </w:rPr>
        <w:softHyphen/>
        <w:t>вижной механизированной группы генерал-майора Бычковского, 7-го танкового корпуса, 3-й гвардей</w:t>
      </w:r>
      <w:r w:rsidRPr="001E2C69">
        <w:rPr>
          <w:color w:val="000000" w:themeColor="text1"/>
          <w:sz w:val="16"/>
          <w:szCs w:val="16"/>
        </w:rPr>
        <w:softHyphen/>
        <w:t>ской, 62-й и 71-й танковых бригад показал, что тя</w:t>
      </w:r>
      <w:r w:rsidRPr="001E2C69">
        <w:rPr>
          <w:color w:val="000000" w:themeColor="text1"/>
          <w:sz w:val="16"/>
          <w:szCs w:val="16"/>
        </w:rPr>
        <w:softHyphen/>
        <w:t>желые и средние танки типа КВ-1 и Т-34 уничтожа</w:t>
      </w:r>
      <w:r w:rsidRPr="001E2C69">
        <w:rPr>
          <w:color w:val="000000" w:themeColor="text1"/>
          <w:sz w:val="16"/>
          <w:szCs w:val="16"/>
        </w:rPr>
        <w:softHyphen/>
        <w:t>ются только при прямом попадании бомбы круп</w:t>
      </w:r>
      <w:r w:rsidRPr="001E2C69">
        <w:rPr>
          <w:color w:val="000000" w:themeColor="text1"/>
          <w:sz w:val="16"/>
          <w:szCs w:val="16"/>
        </w:rPr>
        <w:softHyphen/>
        <w:t>ного калибра. Танк выводился из строя временно при попадании бомб крупного калибра 250—500 кг с взрывателем мгновенного действия на расстоя</w:t>
      </w:r>
      <w:r w:rsidRPr="001E2C69">
        <w:rPr>
          <w:color w:val="000000" w:themeColor="text1"/>
          <w:sz w:val="16"/>
          <w:szCs w:val="16"/>
        </w:rPr>
        <w:softHyphen/>
        <w:t>нии 1—1,5 м от танка или при прямом попадании фугасной 50-кг бомбы.</w:t>
      </w:r>
    </w:p>
    <w:p w14:paraId="121D99C6"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Прямое попадание бомбы в танк было случай</w:t>
      </w:r>
      <w:r w:rsidRPr="001E2C69">
        <w:rPr>
          <w:color w:val="000000" w:themeColor="text1"/>
          <w:sz w:val="16"/>
          <w:szCs w:val="16"/>
        </w:rPr>
        <w:softHyphen/>
        <w:t>ным явлением: «. даже бомбометание с пикирова</w:t>
      </w:r>
      <w:r w:rsidRPr="001E2C69">
        <w:rPr>
          <w:color w:val="000000" w:themeColor="text1"/>
          <w:sz w:val="16"/>
          <w:szCs w:val="16"/>
        </w:rPr>
        <w:softHyphen/>
        <w:t>ния с высоты 800—1000 м несколькими десятками самолетов не всегда дает желаемый результат».</w:t>
      </w:r>
    </w:p>
    <w:p w14:paraId="14A10019"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Легкие танки несут значительно большие поте</w:t>
      </w:r>
      <w:r w:rsidRPr="001E2C69">
        <w:rPr>
          <w:color w:val="000000" w:themeColor="text1"/>
          <w:sz w:val="16"/>
          <w:szCs w:val="16"/>
        </w:rPr>
        <w:softHyphen/>
        <w:t>ри, так как поражаются осколками крупных бомб на расстоянии до 10 м и, кроме того, несут поражение от огня авиационных пушек.</w:t>
      </w:r>
    </w:p>
    <w:p w14:paraId="7F8D7746"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lastRenderedPageBreak/>
        <w:t>Наибольшее поражение танкам наносится в том случае, если бомбометание производится по их плотному скоплению в районе переправ, в эше</w:t>
      </w:r>
      <w:r w:rsidRPr="001E2C69">
        <w:rPr>
          <w:color w:val="000000" w:themeColor="text1"/>
          <w:sz w:val="16"/>
          <w:szCs w:val="16"/>
        </w:rPr>
        <w:softHyphen/>
        <w:t>лонах или при выгрузке из них. Рассредоточение танков на 80—100 м вполне гарантирует их от по</w:t>
      </w:r>
      <w:r w:rsidRPr="001E2C69">
        <w:rPr>
          <w:color w:val="000000" w:themeColor="text1"/>
          <w:sz w:val="16"/>
          <w:szCs w:val="16"/>
        </w:rPr>
        <w:softHyphen/>
        <w:t>ражения как на марше, так и при расположении на месте, так как поражение в этом случае может быть только случайным.</w:t>
      </w:r>
    </w:p>
    <w:p w14:paraId="7125C179"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Значительные потери от авиационных бомб и пулеметно-пушечного огня самолетов несет не- окопавшаяся живая сила, в частности, мотопехота танковых бригад и вспомогательные технические средства (автотранспорт с боеприпасами, бензоци</w:t>
      </w:r>
      <w:r w:rsidRPr="001E2C69">
        <w:rPr>
          <w:color w:val="000000" w:themeColor="text1"/>
          <w:sz w:val="16"/>
          <w:szCs w:val="16"/>
        </w:rPr>
        <w:softHyphen/>
        <w:t>стерны и бензозаправщики, радиостанции и поход</w:t>
      </w:r>
      <w:r w:rsidRPr="001E2C69">
        <w:rPr>
          <w:color w:val="000000" w:themeColor="text1"/>
          <w:sz w:val="16"/>
          <w:szCs w:val="16"/>
        </w:rPr>
        <w:softHyphen/>
        <w:t>ные мастерские).</w:t>
      </w:r>
    </w:p>
    <w:p w14:paraId="507C2156"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Систематические массированные действия не</w:t>
      </w:r>
      <w:r w:rsidRPr="001E2C69">
        <w:rPr>
          <w:color w:val="000000" w:themeColor="text1"/>
          <w:sz w:val="16"/>
          <w:szCs w:val="16"/>
        </w:rPr>
        <w:softHyphen/>
        <w:t>мецкой авиации по нашим танковым частям и со</w:t>
      </w:r>
      <w:r w:rsidRPr="001E2C69">
        <w:rPr>
          <w:color w:val="000000" w:themeColor="text1"/>
          <w:sz w:val="16"/>
          <w:szCs w:val="16"/>
        </w:rPr>
        <w:softHyphen/>
        <w:t>единениям, не нанося серьезных потерь танкам, тем не менее сковывали их, отсекали мотопехоту, лишали возможности сближения с противником и продвижения на поле боя до момента достиже</w:t>
      </w:r>
      <w:r w:rsidRPr="001E2C69">
        <w:rPr>
          <w:color w:val="000000" w:themeColor="text1"/>
          <w:sz w:val="16"/>
          <w:szCs w:val="16"/>
        </w:rPr>
        <w:softHyphen/>
        <w:t>ния его боевых порядков, когда авиация противни</w:t>
      </w:r>
      <w:r w:rsidRPr="001E2C69">
        <w:rPr>
          <w:color w:val="000000" w:themeColor="text1"/>
          <w:sz w:val="16"/>
          <w:szCs w:val="16"/>
        </w:rPr>
        <w:softHyphen/>
        <w:t>ка «из-за боязни поражения своих танков кончает атаковывать танки».</w:t>
      </w:r>
    </w:p>
    <w:p w14:paraId="4517CD1D"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Бомбардировка танковых частей авиацией оправдывается только с точки зрения достижения тактического эффекта — задержки продвижения танков, особенно в дефиле (переправы, гати и т.п.) и в исходных пунктах для атаки. Бомбежки с целью уничтожения боевых машин могут дать некоторый эффект только в местах скопления — в эшелонах, на погрузке и выгрузке и т.п.</w:t>
      </w:r>
    </w:p>
    <w:p w14:paraId="3D24A874"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Командир 3-й гвардейской танковой брига</w:t>
      </w:r>
      <w:r w:rsidRPr="001E2C69">
        <w:rPr>
          <w:color w:val="000000" w:themeColor="text1"/>
          <w:sz w:val="16"/>
          <w:szCs w:val="16"/>
        </w:rPr>
        <w:softHyphen/>
        <w:t>ды полковник И.А. Вовченко показал: «В период с 6.7.42 по 14.7.42 бригаду ежедневно бомбила не</w:t>
      </w:r>
      <w:r w:rsidRPr="001E2C69">
        <w:rPr>
          <w:color w:val="000000" w:themeColor="text1"/>
          <w:sz w:val="16"/>
          <w:szCs w:val="16"/>
        </w:rPr>
        <w:softHyphen/>
        <w:t>мецкая авиация в среднем около 200 самолето-вы</w:t>
      </w:r>
      <w:r w:rsidRPr="001E2C69">
        <w:rPr>
          <w:color w:val="000000" w:themeColor="text1"/>
          <w:sz w:val="16"/>
          <w:szCs w:val="16"/>
        </w:rPr>
        <w:softHyphen/>
        <w:t>летов бомбардировщиков в день (10—12 налетов продолжительностью от 30 минут до 1,5 часа груп</w:t>
      </w:r>
      <w:r w:rsidRPr="001E2C69">
        <w:rPr>
          <w:color w:val="000000" w:themeColor="text1"/>
          <w:sz w:val="16"/>
          <w:szCs w:val="16"/>
        </w:rPr>
        <w:softHyphen/>
        <w:t>пами от 15 до 52 самолетов, из которых 1—15 ис</w:t>
      </w:r>
      <w:r w:rsidRPr="001E2C69">
        <w:rPr>
          <w:color w:val="000000" w:themeColor="text1"/>
          <w:sz w:val="16"/>
          <w:szCs w:val="16"/>
        </w:rPr>
        <w:softHyphen/>
        <w:t>требителей, иногда без прикрытия истребителей). Можно сказать, что немцы сейчас воюют на нашем участке фронта на 50% авиацией, на 40% артиллерией, на 9% танками и лишь на 1% пехотой. Не</w:t>
      </w:r>
      <w:r w:rsidRPr="001E2C69">
        <w:rPr>
          <w:color w:val="000000" w:themeColor="text1"/>
          <w:sz w:val="16"/>
          <w:szCs w:val="16"/>
        </w:rPr>
        <w:softHyphen/>
        <w:t>смотря на такие интенсивные бомбежки, бригада безвозвратных потерь от авиации не имела. За это время были два случая повреждения танков».</w:t>
      </w:r>
    </w:p>
    <w:p w14:paraId="425F3897"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7 июля в корму танка КВ-1 комиссара бригады старшего батальонного комиссара Седякина попа</w:t>
      </w:r>
      <w:r w:rsidRPr="001E2C69">
        <w:rPr>
          <w:color w:val="000000" w:themeColor="text1"/>
          <w:sz w:val="16"/>
          <w:szCs w:val="16"/>
        </w:rPr>
        <w:softHyphen/>
        <w:t>ла бомба калибра 50 кг. В результате взрыва было сорвано крыло, разбиты триплекс и телескопиче</w:t>
      </w:r>
      <w:r w:rsidRPr="001E2C69">
        <w:rPr>
          <w:color w:val="000000" w:themeColor="text1"/>
          <w:sz w:val="16"/>
          <w:szCs w:val="16"/>
        </w:rPr>
        <w:softHyphen/>
        <w:t>ский прицел. Экипаж остался цел, а сам танк остал</w:t>
      </w:r>
      <w:r w:rsidRPr="001E2C69">
        <w:rPr>
          <w:color w:val="000000" w:themeColor="text1"/>
          <w:sz w:val="16"/>
          <w:szCs w:val="16"/>
        </w:rPr>
        <w:softHyphen/>
        <w:t>ся на ходу и боеспособности не потерял.</w:t>
      </w:r>
    </w:p>
    <w:p w14:paraId="5A0AD983"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этот же день бомба калибром 500—1000 кг упала на расстоянии 0,5—0,8 м от танка командира бригады полковника Вовченко. От взрыва образо</w:t>
      </w:r>
      <w:r w:rsidRPr="001E2C69">
        <w:rPr>
          <w:color w:val="000000" w:themeColor="text1"/>
          <w:sz w:val="16"/>
          <w:szCs w:val="16"/>
        </w:rPr>
        <w:softHyphen/>
        <w:t>валась воронка диаметром 18 м и глубиной до 5 м. Танк основательно встряхнуло, затем он опустил</w:t>
      </w:r>
      <w:r w:rsidRPr="001E2C69">
        <w:rPr>
          <w:color w:val="000000" w:themeColor="text1"/>
          <w:sz w:val="16"/>
          <w:szCs w:val="16"/>
        </w:rPr>
        <w:softHyphen/>
        <w:t>ся в образовавшуюся воронку. У танка оказались разбитыми триплекс и телескопический прицел, сорвана гусеница. Экипаж был легко контужен. Че</w:t>
      </w:r>
      <w:r w:rsidRPr="001E2C69">
        <w:rPr>
          <w:color w:val="000000" w:themeColor="text1"/>
          <w:sz w:val="16"/>
          <w:szCs w:val="16"/>
        </w:rPr>
        <w:softHyphen/>
        <w:t>рез 5 часов исправленный танк и экипаж пошли в бой.</w:t>
      </w:r>
    </w:p>
    <w:p w14:paraId="6D475C91"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 заявлению командира 1-го батальона 71-й танковой бригады майора Я. И. Плисова, в марте 1942 г. в районе г. Холм в поле остался один тяже</w:t>
      </w:r>
      <w:r w:rsidRPr="001E2C69">
        <w:rPr>
          <w:color w:val="000000" w:themeColor="text1"/>
          <w:sz w:val="16"/>
          <w:szCs w:val="16"/>
        </w:rPr>
        <w:softHyphen/>
        <w:t>лый танк КВ-1, который авиация противника пы</w:t>
      </w:r>
      <w:r w:rsidRPr="001E2C69">
        <w:rPr>
          <w:color w:val="000000" w:themeColor="text1"/>
          <w:sz w:val="16"/>
          <w:szCs w:val="16"/>
        </w:rPr>
        <w:softHyphen/>
        <w:t xml:space="preserve">талась уничтожить в течение двух дней. В общей сложности по танку «работало» около 60 самолетов </w:t>
      </w:r>
      <w:r w:rsidRPr="001E2C69">
        <w:rPr>
          <w:color w:val="000000" w:themeColor="text1"/>
          <w:sz w:val="16"/>
          <w:szCs w:val="16"/>
          <w:lang w:val="en-US"/>
        </w:rPr>
        <w:t>Ju</w:t>
      </w:r>
      <w:r w:rsidRPr="001E2C69">
        <w:rPr>
          <w:color w:val="000000" w:themeColor="text1"/>
          <w:sz w:val="16"/>
          <w:szCs w:val="16"/>
        </w:rPr>
        <w:t xml:space="preserve">87, </w:t>
      </w:r>
      <w:r w:rsidRPr="001E2C69">
        <w:rPr>
          <w:color w:val="000000" w:themeColor="text1"/>
          <w:sz w:val="16"/>
          <w:szCs w:val="16"/>
          <w:lang w:val="en-US"/>
        </w:rPr>
        <w:t>Ju</w:t>
      </w:r>
      <w:r w:rsidRPr="001E2C69">
        <w:rPr>
          <w:color w:val="000000" w:themeColor="text1"/>
          <w:sz w:val="16"/>
          <w:szCs w:val="16"/>
        </w:rPr>
        <w:t xml:space="preserve">88 и </w:t>
      </w:r>
      <w:r w:rsidRPr="001E2C69">
        <w:rPr>
          <w:color w:val="000000" w:themeColor="text1"/>
          <w:sz w:val="16"/>
          <w:szCs w:val="16"/>
          <w:lang w:val="en-US"/>
        </w:rPr>
        <w:t>He</w:t>
      </w:r>
      <w:r w:rsidRPr="001E2C69">
        <w:rPr>
          <w:color w:val="000000" w:themeColor="text1"/>
          <w:sz w:val="16"/>
          <w:szCs w:val="16"/>
        </w:rPr>
        <w:t>111. Пилоты Люфтваффе бомбили танк и с пикирования, и с горизонтального полета, но безрезультатно. Вся земля вокруг танка и в не</w:t>
      </w:r>
      <w:r w:rsidRPr="001E2C69">
        <w:rPr>
          <w:color w:val="000000" w:themeColor="text1"/>
          <w:sz w:val="16"/>
          <w:szCs w:val="16"/>
        </w:rPr>
        <w:softHyphen/>
        <w:t>посредственной близости от него была изрыта во</w:t>
      </w:r>
      <w:r w:rsidRPr="001E2C69">
        <w:rPr>
          <w:color w:val="000000" w:themeColor="text1"/>
          <w:sz w:val="16"/>
          <w:szCs w:val="16"/>
        </w:rPr>
        <w:softHyphen/>
        <w:t>ронками, но прямых попаданий не было. Осколки поражения танку не причинили.</w:t>
      </w:r>
    </w:p>
    <w:p w14:paraId="65B708AE"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этой же танковой бригаде 21 января 1942 г. в районе деревни Сопки Федулы колонна из 22 лег</w:t>
      </w:r>
      <w:r w:rsidRPr="001E2C69">
        <w:rPr>
          <w:color w:val="000000" w:themeColor="text1"/>
          <w:sz w:val="16"/>
          <w:szCs w:val="16"/>
        </w:rPr>
        <w:softHyphen/>
        <w:t>ких и средних танков, рассредоточенных на дистан</w:t>
      </w:r>
      <w:r w:rsidRPr="001E2C69">
        <w:rPr>
          <w:color w:val="000000" w:themeColor="text1"/>
          <w:sz w:val="16"/>
          <w:szCs w:val="16"/>
        </w:rPr>
        <w:softHyphen/>
        <w:t>ции 50—100 м один от другого, была атакована не</w:t>
      </w:r>
      <w:r w:rsidRPr="001E2C69">
        <w:rPr>
          <w:color w:val="000000" w:themeColor="text1"/>
          <w:sz w:val="16"/>
          <w:szCs w:val="16"/>
        </w:rPr>
        <w:softHyphen/>
        <w:t xml:space="preserve">мецкой авиацией. Самолеты </w:t>
      </w:r>
      <w:r w:rsidRPr="001E2C69">
        <w:rPr>
          <w:color w:val="000000" w:themeColor="text1"/>
          <w:sz w:val="16"/>
          <w:szCs w:val="16"/>
          <w:lang w:val="en-US"/>
        </w:rPr>
        <w:t>Ju</w:t>
      </w:r>
      <w:r w:rsidRPr="001E2C69">
        <w:rPr>
          <w:color w:val="000000" w:themeColor="text1"/>
          <w:sz w:val="16"/>
          <w:szCs w:val="16"/>
        </w:rPr>
        <w:t>88 двумя эшелонами по 24 самолета в каждом в течение двух часов бом</w:t>
      </w:r>
      <w:r w:rsidRPr="001E2C69">
        <w:rPr>
          <w:color w:val="000000" w:themeColor="text1"/>
          <w:sz w:val="16"/>
          <w:szCs w:val="16"/>
        </w:rPr>
        <w:softHyphen/>
        <w:t>били и обстреливали из пулеметов танки. Бомбили с пикирования с высоты 600 м и ниже. Зенитных средств в колонне не было. Истребительной ави</w:t>
      </w:r>
      <w:r w:rsidRPr="001E2C69">
        <w:rPr>
          <w:color w:val="000000" w:themeColor="text1"/>
          <w:sz w:val="16"/>
          <w:szCs w:val="16"/>
        </w:rPr>
        <w:softHyphen/>
        <w:t>ацией колонна также не прикрывалась. Поэтому условия бомбометания для противника были почти полигонными. Заход на цель самолеты делали с го</w:t>
      </w:r>
      <w:r w:rsidRPr="001E2C69">
        <w:rPr>
          <w:color w:val="000000" w:themeColor="text1"/>
          <w:sz w:val="16"/>
          <w:szCs w:val="16"/>
        </w:rPr>
        <w:softHyphen/>
        <w:t>ловы колонны вдоль нее. Сбрасывались фугасные бомбы калибра от 50 до 250 кг. Несмотря на то что бомбы рвались в 2—3 м от танков, ни один из них не пострадал. Только у одного танка был пробит масляный бак.</w:t>
      </w:r>
    </w:p>
    <w:p w14:paraId="39D4EB87"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 xml:space="preserve">В том же районе 6 </w:t>
      </w:r>
      <w:r w:rsidRPr="001E2C69">
        <w:rPr>
          <w:color w:val="000000" w:themeColor="text1"/>
          <w:sz w:val="16"/>
          <w:szCs w:val="16"/>
          <w:lang w:val="en-US"/>
        </w:rPr>
        <w:t>Ju</w:t>
      </w:r>
      <w:r w:rsidRPr="001E2C69">
        <w:rPr>
          <w:color w:val="000000" w:themeColor="text1"/>
          <w:sz w:val="16"/>
          <w:szCs w:val="16"/>
        </w:rPr>
        <w:t>88 атаковали 5 танков Т-34, которые выдвигались по дороге в сторону леса. Дистанция между танками была 50 м. Немецкие лет</w:t>
      </w:r>
      <w:r w:rsidRPr="001E2C69">
        <w:rPr>
          <w:color w:val="000000" w:themeColor="text1"/>
          <w:sz w:val="16"/>
          <w:szCs w:val="16"/>
        </w:rPr>
        <w:softHyphen/>
        <w:t>чики бомбили с пикирования. При этом высота вво</w:t>
      </w:r>
      <w:r w:rsidRPr="001E2C69">
        <w:rPr>
          <w:color w:val="000000" w:themeColor="text1"/>
          <w:sz w:val="16"/>
          <w:szCs w:val="16"/>
        </w:rPr>
        <w:softHyphen/>
        <w:t>да в пикирование составляла 1000—1200 м. Заход на цель выполнялся под углом 90° к колонне. Всего было сброшено 18 бомб калибром 250 и 500 кг. Все бомбы упали точно на дорогу, но в стороне от тан</w:t>
      </w:r>
      <w:r w:rsidRPr="001E2C69">
        <w:rPr>
          <w:color w:val="000000" w:themeColor="text1"/>
          <w:sz w:val="16"/>
          <w:szCs w:val="16"/>
        </w:rPr>
        <w:softHyphen/>
        <w:t>ков. Ни один из них не получил даже повреждений.</w:t>
      </w:r>
    </w:p>
    <w:p w14:paraId="385C7E99"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Со слов начальника штаба 71-й тбр майора Гольдберга, потери бригады от авиации против</w:t>
      </w:r>
      <w:r w:rsidRPr="001E2C69">
        <w:rPr>
          <w:color w:val="000000" w:themeColor="text1"/>
          <w:sz w:val="16"/>
          <w:szCs w:val="16"/>
        </w:rPr>
        <w:softHyphen/>
        <w:t>ника в период с 6 по 8 августа составили всего 2 танка — 11% всех потерь, от противотанковых мин — 16,6%, от противотанковой артиллерии — 72,4%. При этом все поврежденные авиацией танки к 10 августа были введены в строй.</w:t>
      </w:r>
    </w:p>
    <w:p w14:paraId="4F718447"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Подобное распределение потерь танков от раз</w:t>
      </w:r>
      <w:r w:rsidRPr="001E2C69">
        <w:rPr>
          <w:color w:val="000000" w:themeColor="text1"/>
          <w:sz w:val="16"/>
          <w:szCs w:val="16"/>
        </w:rPr>
        <w:softHyphen/>
        <w:t>личных средств борьбы подтверждается данными допроса пленного инженера по ремонту 1-й гер</w:t>
      </w:r>
      <w:r w:rsidRPr="001E2C69">
        <w:rPr>
          <w:color w:val="000000" w:themeColor="text1"/>
          <w:sz w:val="16"/>
          <w:szCs w:val="16"/>
        </w:rPr>
        <w:softHyphen/>
        <w:t>манской танковой дивизии (Калининский фронт). По его словам, наибольшие потери танки несли от огня нашей артиллерии и танков. На втором месте стоят потери от противотанковых мин, ручных гра</w:t>
      </w:r>
      <w:r w:rsidRPr="001E2C69">
        <w:rPr>
          <w:color w:val="000000" w:themeColor="text1"/>
          <w:sz w:val="16"/>
          <w:szCs w:val="16"/>
        </w:rPr>
        <w:softHyphen/>
        <w:t>нат и бутылок с зажигательной смесью. Наимень</w:t>
      </w:r>
      <w:r w:rsidRPr="001E2C69">
        <w:rPr>
          <w:color w:val="000000" w:themeColor="text1"/>
          <w:sz w:val="16"/>
          <w:szCs w:val="16"/>
        </w:rPr>
        <w:softHyphen/>
        <w:t>шие потери несли танки от действий нашей ави</w:t>
      </w:r>
      <w:r w:rsidRPr="001E2C69">
        <w:rPr>
          <w:color w:val="000000" w:themeColor="text1"/>
          <w:sz w:val="16"/>
          <w:szCs w:val="16"/>
        </w:rPr>
        <w:softHyphen/>
        <w:t>ации: случаи вывода из строя танков нашей авиа</w:t>
      </w:r>
      <w:r w:rsidRPr="001E2C69">
        <w:rPr>
          <w:color w:val="000000" w:themeColor="text1"/>
          <w:sz w:val="16"/>
          <w:szCs w:val="16"/>
        </w:rPr>
        <w:softHyphen/>
        <w:t>ции — единичны.</w:t>
      </w:r>
    </w:p>
    <w:p w14:paraId="50EC89AF"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Между тем наши авиационные командиры до</w:t>
      </w:r>
      <w:r w:rsidRPr="001E2C69">
        <w:rPr>
          <w:color w:val="000000" w:themeColor="text1"/>
          <w:sz w:val="16"/>
          <w:szCs w:val="16"/>
        </w:rPr>
        <w:softHyphen/>
        <w:t>кладывали о десятках уничтоженных танков про</w:t>
      </w:r>
      <w:r w:rsidRPr="001E2C69">
        <w:rPr>
          <w:color w:val="000000" w:themeColor="text1"/>
          <w:sz w:val="16"/>
          <w:szCs w:val="16"/>
        </w:rPr>
        <w:softHyphen/>
        <w:t>тивника. Например, штаб 8-й воздушной армии Юго-Западного фронта доложил командующему ВВС КА об уничтожении в период с 10 по 14 июня 1942 г. 202 танков вермахта, что составляло до 40% (!) от численности всех танков, действовавших в это время на харьковском направлении. И это при том, что группировка штурмовой и бомбардировочной авиации 8 ВА к 13 июня включала 120 истребите</w:t>
      </w:r>
      <w:r w:rsidRPr="001E2C69">
        <w:rPr>
          <w:color w:val="000000" w:themeColor="text1"/>
          <w:sz w:val="16"/>
          <w:szCs w:val="16"/>
        </w:rPr>
        <w:softHyphen/>
        <w:t>лей и только 20 штурмовиков Ил-2 и 18 дневных бомбардировщиков.</w:t>
      </w:r>
    </w:p>
    <w:p w14:paraId="1D6ADC03"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Командование ВВС КА вполне справедливо посчитало эти данные не только неправдивыми, но и неправдоподобными. Действительно, если учесть, что наземные части Юго-Западного фронта в этот период также уничтожали танки вермахта, причем в значительно большем количестве, чем авиация, то, казалось бы, из-за больших потерь в танках, близких к 90—100% от первоначального состава, немецкие войска должны были остано</w:t>
      </w:r>
      <w:r w:rsidRPr="001E2C69">
        <w:rPr>
          <w:color w:val="000000" w:themeColor="text1"/>
          <w:sz w:val="16"/>
          <w:szCs w:val="16"/>
        </w:rPr>
        <w:softHyphen/>
        <w:t>виться. Однако танковое наступление противника на этом направлении 14 июня и в последующие дни продолжалось с неубывающей силой.</w:t>
      </w:r>
    </w:p>
    <w:p w14:paraId="278725F9"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 поводу причин случившегося штаб ВВС КА в своих указаниях от 20 июня отмечал: «.неправ</w:t>
      </w:r>
      <w:r w:rsidRPr="001E2C69">
        <w:rPr>
          <w:color w:val="000000" w:themeColor="text1"/>
          <w:sz w:val="16"/>
          <w:szCs w:val="16"/>
        </w:rPr>
        <w:softHyphen/>
        <w:t>доподобность донесений штабов воздушных армий является следствием того, что результаты боевых действий авиации никем не контролируются и до</w:t>
      </w:r>
      <w:r w:rsidRPr="001E2C69">
        <w:rPr>
          <w:color w:val="000000" w:themeColor="text1"/>
          <w:sz w:val="16"/>
          <w:szCs w:val="16"/>
        </w:rPr>
        <w:softHyphen/>
        <w:t>несения обычно составляются на основании докла</w:t>
      </w:r>
      <w:r w:rsidRPr="001E2C69">
        <w:rPr>
          <w:color w:val="000000" w:themeColor="text1"/>
          <w:sz w:val="16"/>
          <w:szCs w:val="16"/>
        </w:rPr>
        <w:softHyphen/>
        <w:t>дов экипажей самолетов, летавших на выполнение задания».</w:t>
      </w:r>
    </w:p>
    <w:p w14:paraId="06C894DB"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Еще более характерен факт, имевший место на Западном фронте, когда генералу армии Г. К. Жуко</w:t>
      </w:r>
      <w:r w:rsidRPr="001E2C69">
        <w:rPr>
          <w:color w:val="000000" w:themeColor="text1"/>
          <w:sz w:val="16"/>
          <w:szCs w:val="16"/>
        </w:rPr>
        <w:softHyphen/>
        <w:t>ву было доложено, что механизированная группа генерал-майора Бычковского в период с 4 по 9 ав</w:t>
      </w:r>
      <w:r w:rsidRPr="001E2C69">
        <w:rPr>
          <w:color w:val="000000" w:themeColor="text1"/>
          <w:sz w:val="16"/>
          <w:szCs w:val="16"/>
        </w:rPr>
        <w:softHyphen/>
        <w:t>густа потеряла 106 танков от воздействия авиации противника — 8 тяжелых, 63 средних и 35 легких. На самом же деле, как показало расследование, «из 106 выведенных из строя танков только 2 бы</w:t>
      </w:r>
      <w:r w:rsidRPr="001E2C69">
        <w:rPr>
          <w:color w:val="000000" w:themeColor="text1"/>
          <w:sz w:val="16"/>
          <w:szCs w:val="16"/>
        </w:rPr>
        <w:softHyphen/>
        <w:t>ли поражены авиацией противника, и это несмотря на весьма ожесточенные бомбардировки, которые проводил противник с малых высот».</w:t>
      </w:r>
    </w:p>
    <w:p w14:paraId="58034F67"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 мнению военинженера 2-го ранга И. В. Пиме- нова, переоценка возможностей немецкой авиации при действии по танкам связывалась в значитель</w:t>
      </w:r>
      <w:r w:rsidRPr="001E2C69">
        <w:rPr>
          <w:color w:val="000000" w:themeColor="text1"/>
          <w:sz w:val="16"/>
          <w:szCs w:val="16"/>
        </w:rPr>
        <w:softHyphen/>
        <w:t>ной мере с массированным и целеустремленным ее применением над полем боя.</w:t>
      </w:r>
    </w:p>
    <w:p w14:paraId="120A04F4"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 xml:space="preserve">Особенностью действий немецкой авиации на атакованных участках фронта являлось непрерыв ное наблюдение за передним краем и районом расположения советской артиллерии на глубину 5—6 км патрулирующими разведчиками </w:t>
      </w:r>
      <w:r w:rsidRPr="001E2C69">
        <w:rPr>
          <w:color w:val="000000" w:themeColor="text1"/>
          <w:sz w:val="16"/>
          <w:szCs w:val="16"/>
          <w:lang w:val="en-US"/>
        </w:rPr>
        <w:t>Hs</w:t>
      </w:r>
      <w:r w:rsidRPr="001E2C69">
        <w:rPr>
          <w:color w:val="000000" w:themeColor="text1"/>
          <w:sz w:val="16"/>
          <w:szCs w:val="16"/>
        </w:rPr>
        <w:t xml:space="preserve">126 и </w:t>
      </w:r>
      <w:r w:rsidRPr="001E2C69">
        <w:rPr>
          <w:color w:val="000000" w:themeColor="text1"/>
          <w:sz w:val="16"/>
          <w:szCs w:val="16"/>
          <w:lang w:val="en-US"/>
        </w:rPr>
        <w:t>Fw</w:t>
      </w:r>
      <w:r w:rsidRPr="001E2C69">
        <w:rPr>
          <w:color w:val="000000" w:themeColor="text1"/>
          <w:sz w:val="16"/>
          <w:szCs w:val="16"/>
        </w:rPr>
        <w:t>189. При этом в силу малочисленности и сла</w:t>
      </w:r>
      <w:r w:rsidRPr="001E2C69">
        <w:rPr>
          <w:color w:val="000000" w:themeColor="text1"/>
          <w:sz w:val="16"/>
          <w:szCs w:val="16"/>
        </w:rPr>
        <w:softHyphen/>
        <w:t>бой активности наших истребителей разведчики противника буквально все время висели над рай</w:t>
      </w:r>
      <w:r w:rsidRPr="001E2C69">
        <w:rPr>
          <w:color w:val="000000" w:themeColor="text1"/>
          <w:sz w:val="16"/>
          <w:szCs w:val="16"/>
        </w:rPr>
        <w:softHyphen/>
        <w:t>оном расположения советских танковых корпусов.</w:t>
      </w:r>
    </w:p>
    <w:p w14:paraId="256CB2A6"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Как отмечал Пименов, «бросается в глаза еще одна деталь: авиация противника действовала не распыляясь, бомбила намеченный участок 2—3 раза подряд, а затем переносила свои действия на соседний участок, где повторяла то же самое». Над полем боя появлялись сразу большие группы бомбардировщиков, которые «работали» над це</w:t>
      </w:r>
      <w:r w:rsidRPr="001E2C69">
        <w:rPr>
          <w:color w:val="000000" w:themeColor="text1"/>
          <w:sz w:val="16"/>
          <w:szCs w:val="16"/>
        </w:rPr>
        <w:softHyphen/>
        <w:t>лью в течение 25—65 мин. При этом в отсутствие зенитного огня и противодействия в воздухе бом</w:t>
      </w:r>
      <w:r w:rsidRPr="001E2C69">
        <w:rPr>
          <w:color w:val="000000" w:themeColor="text1"/>
          <w:sz w:val="16"/>
          <w:szCs w:val="16"/>
        </w:rPr>
        <w:softHyphen/>
        <w:t>бометание производилось только с пикирования с небольшой высоты — 900—1000 м (высота сбро</w:t>
      </w:r>
      <w:r w:rsidRPr="001E2C69">
        <w:rPr>
          <w:color w:val="000000" w:themeColor="text1"/>
          <w:sz w:val="16"/>
          <w:szCs w:val="16"/>
        </w:rPr>
        <w:softHyphen/>
        <w:t>са бомб 500—600 м) одиночными самолетами. Вы</w:t>
      </w:r>
      <w:r w:rsidRPr="001E2C69">
        <w:rPr>
          <w:color w:val="000000" w:themeColor="text1"/>
          <w:sz w:val="16"/>
          <w:szCs w:val="16"/>
        </w:rPr>
        <w:softHyphen/>
        <w:t>бор конкретной цели осуществлялся каждым эки</w:t>
      </w:r>
      <w:r w:rsidRPr="001E2C69">
        <w:rPr>
          <w:color w:val="000000" w:themeColor="text1"/>
          <w:sz w:val="16"/>
          <w:szCs w:val="16"/>
        </w:rPr>
        <w:softHyphen/>
        <w:t>пажем самостоятельно. Благодаря этому точность была высокой.</w:t>
      </w:r>
    </w:p>
    <w:p w14:paraId="560E5203"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Если район цели был прикрыт огнем малока</w:t>
      </w:r>
      <w:r w:rsidRPr="001E2C69">
        <w:rPr>
          <w:color w:val="000000" w:themeColor="text1"/>
          <w:sz w:val="16"/>
          <w:szCs w:val="16"/>
        </w:rPr>
        <w:softHyphen/>
        <w:t>либерной зенитной артиллерии или крупнокали</w:t>
      </w:r>
      <w:r w:rsidRPr="001E2C69">
        <w:rPr>
          <w:color w:val="000000" w:themeColor="text1"/>
          <w:sz w:val="16"/>
          <w:szCs w:val="16"/>
        </w:rPr>
        <w:softHyphen/>
        <w:t>берных зенитных пулеметов, то бомбометание вы</w:t>
      </w:r>
      <w:r w:rsidRPr="001E2C69">
        <w:rPr>
          <w:color w:val="000000" w:themeColor="text1"/>
          <w:sz w:val="16"/>
          <w:szCs w:val="16"/>
        </w:rPr>
        <w:softHyphen/>
        <w:t>полнялось немецкими пилотами с горизонтального полета. В случае непрерывного прикрытия целей нашими истребителями противник почти не пока</w:t>
      </w:r>
      <w:r w:rsidRPr="001E2C69">
        <w:rPr>
          <w:color w:val="000000" w:themeColor="text1"/>
          <w:sz w:val="16"/>
          <w:szCs w:val="16"/>
        </w:rPr>
        <w:softHyphen/>
        <w:t>зывался над расположением наших войск.</w:t>
      </w:r>
    </w:p>
    <w:p w14:paraId="7E6D1068"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Бомбардировочная авиация противника «ста</w:t>
      </w:r>
      <w:r w:rsidRPr="001E2C69">
        <w:rPr>
          <w:color w:val="000000" w:themeColor="text1"/>
          <w:sz w:val="16"/>
          <w:szCs w:val="16"/>
        </w:rPr>
        <w:softHyphen/>
        <w:t>ралась не только нанести поражение живой силе и техническим средствам борьбы, но также сковать действия наших наземных войск, в первую очередь танковых, и морально подавить их длительным пребыванием самолетов над целью, дополняя бом</w:t>
      </w:r>
      <w:r w:rsidRPr="001E2C69">
        <w:rPr>
          <w:color w:val="000000" w:themeColor="text1"/>
          <w:sz w:val="16"/>
          <w:szCs w:val="16"/>
        </w:rPr>
        <w:softHyphen/>
        <w:t>бометание обстрелом из пулеметов».</w:t>
      </w:r>
    </w:p>
    <w:p w14:paraId="391B6563"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Между тем «продолжительные бомбардировки изматывают силы танковых экипажей и подрывают их моральное состояние». В 3-й гвардейской тан</w:t>
      </w:r>
      <w:r w:rsidRPr="001E2C69">
        <w:rPr>
          <w:color w:val="000000" w:themeColor="text1"/>
          <w:sz w:val="16"/>
          <w:szCs w:val="16"/>
        </w:rPr>
        <w:softHyphen/>
        <w:t>ковой бригаде, например, было зарегистрировано несколько случаев потери сознания экипажами в результате «колоссального нервного напряжения при непрерывных бомбежках немецкой авиации».</w:t>
      </w:r>
    </w:p>
    <w:p w14:paraId="6B0D4753" w14:textId="77777777" w:rsidR="0013300C" w:rsidRPr="001E2C69" w:rsidRDefault="0013300C"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Положение усугублялось тем обстоятельством, что красноармейцы оказались совершенно не об</w:t>
      </w:r>
      <w:r w:rsidRPr="001E2C69">
        <w:rPr>
          <w:color w:val="000000" w:themeColor="text1"/>
          <w:sz w:val="16"/>
          <w:szCs w:val="16"/>
        </w:rPr>
        <w:softHyphen/>
        <w:t>ученными «к отражению атак авиации пехотным оружием»: «У командного состава всех степеней имеет хождение мнение, что борьба с авиаци</w:t>
      </w:r>
      <w:r w:rsidRPr="001E2C69">
        <w:rPr>
          <w:color w:val="000000" w:themeColor="text1"/>
          <w:sz w:val="16"/>
          <w:szCs w:val="16"/>
        </w:rPr>
        <w:softHyphen/>
        <w:t>ей противника может вестись только путем при</w:t>
      </w:r>
      <w:r w:rsidRPr="001E2C69">
        <w:rPr>
          <w:color w:val="000000" w:themeColor="text1"/>
          <w:sz w:val="16"/>
          <w:szCs w:val="16"/>
        </w:rPr>
        <w:softHyphen/>
        <w:t>крытия истребителями». В результате «при от</w:t>
      </w:r>
      <w:r w:rsidRPr="001E2C69">
        <w:rPr>
          <w:color w:val="000000" w:themeColor="text1"/>
          <w:sz w:val="16"/>
          <w:szCs w:val="16"/>
        </w:rPr>
        <w:softHyphen/>
        <w:t>сутствии истребителей действия наземных войск во время налетов авиации противника парали</w:t>
      </w:r>
      <w:r w:rsidRPr="001E2C69">
        <w:rPr>
          <w:color w:val="000000" w:themeColor="text1"/>
          <w:sz w:val="16"/>
          <w:szCs w:val="16"/>
        </w:rPr>
        <w:softHyphen/>
        <w:t>зуется» (17500).</w:t>
      </w:r>
    </w:p>
    <w:p w14:paraId="77763C7A" w14:textId="77777777" w:rsidR="0013300C" w:rsidRPr="001E2C69" w:rsidRDefault="0013300C" w:rsidP="00722885">
      <w:pPr>
        <w:spacing w:after="0" w:line="240" w:lineRule="auto"/>
        <w:jc w:val="both"/>
        <w:rPr>
          <w:rFonts w:ascii="Times New Roman" w:hAnsi="Times New Roman"/>
          <w:color w:val="000000" w:themeColor="text1"/>
          <w:sz w:val="16"/>
          <w:szCs w:val="16"/>
        </w:rPr>
      </w:pPr>
    </w:p>
    <w:p w14:paraId="0DFB01F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конце июля месяца 1942 Шахурин распорядился приостановить работы по постройке пяти самолетов малой войсковой серии Су-6, а имеющийся задел за</w:t>
      </w:r>
      <w:r w:rsidRPr="001E2C69">
        <w:rPr>
          <w:rFonts w:ascii="Times New Roman" w:hAnsi="Times New Roman"/>
          <w:color w:val="000000" w:themeColor="text1"/>
          <w:sz w:val="16"/>
          <w:szCs w:val="16"/>
        </w:rPr>
        <w:softHyphen/>
        <w:t>консервировать.</w:t>
      </w:r>
    </w:p>
    <w:p w14:paraId="71864A7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этому времени оба летных экземпляра самолета Су-6 на</w:t>
      </w:r>
      <w:r w:rsidRPr="001E2C69">
        <w:rPr>
          <w:rFonts w:ascii="Times New Roman" w:hAnsi="Times New Roman"/>
          <w:color w:val="000000" w:themeColor="text1"/>
          <w:sz w:val="16"/>
          <w:szCs w:val="16"/>
        </w:rPr>
        <w:softHyphen/>
        <w:t>ходились в Молотове на заводе № 289 (территория моторо</w:t>
      </w:r>
      <w:r w:rsidRPr="001E2C69">
        <w:rPr>
          <w:rFonts w:ascii="Times New Roman" w:hAnsi="Times New Roman"/>
          <w:color w:val="000000" w:themeColor="text1"/>
          <w:sz w:val="16"/>
          <w:szCs w:val="16"/>
        </w:rPr>
        <w:softHyphen/>
        <w:t>строительного завода № 19), где на них предполагалось уста</w:t>
      </w:r>
      <w:r w:rsidRPr="001E2C69">
        <w:rPr>
          <w:rFonts w:ascii="Times New Roman" w:hAnsi="Times New Roman"/>
          <w:color w:val="000000" w:themeColor="text1"/>
          <w:sz w:val="16"/>
          <w:szCs w:val="16"/>
        </w:rPr>
        <w:softHyphen/>
        <w:t>новить новые моторы М-71ф и отработать винтомоторную группу. Все работы планировалось провести силами завода № 19. Первый экземпляр («81») отличался от второго экземп</w:t>
      </w:r>
      <w:r w:rsidRPr="001E2C69">
        <w:rPr>
          <w:rFonts w:ascii="Times New Roman" w:hAnsi="Times New Roman"/>
          <w:color w:val="000000" w:themeColor="text1"/>
          <w:sz w:val="16"/>
          <w:szCs w:val="16"/>
        </w:rPr>
        <w:softHyphen/>
        <w:t>ляра («82») отсутствием предкрылков и установкой восьми РО-82 вместо десяти. На нем не было пушек. В свое время на него планировалось установить пушки МП-6 калибра 23 мм, но они, как известно, были сняты с серийного производства.</w:t>
      </w:r>
    </w:p>
    <w:p w14:paraId="47E4E31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Трезво оценивая складывающуюся обстановку вокруг Су-6, П.О. Сухой принимает решение установить на самолет две пушки калибра 37 мм, устранить выявленные на государствен</w:t>
      </w:r>
      <w:r w:rsidRPr="001E2C69">
        <w:rPr>
          <w:rFonts w:ascii="Times New Roman" w:hAnsi="Times New Roman"/>
          <w:color w:val="000000" w:themeColor="text1"/>
          <w:sz w:val="16"/>
          <w:szCs w:val="16"/>
        </w:rPr>
        <w:softHyphen/>
        <w:t>ных испытаниях недостатки и доработать в соответствии с так</w:t>
      </w:r>
      <w:r w:rsidRPr="001E2C69">
        <w:rPr>
          <w:rFonts w:ascii="Times New Roman" w:hAnsi="Times New Roman"/>
          <w:color w:val="000000" w:themeColor="text1"/>
          <w:sz w:val="16"/>
          <w:szCs w:val="16"/>
        </w:rPr>
        <w:softHyphen/>
        <w:t>тико-техническими требованиями ВВС к самолету-штурмови</w:t>
      </w:r>
      <w:r w:rsidRPr="001E2C69">
        <w:rPr>
          <w:rFonts w:ascii="Times New Roman" w:hAnsi="Times New Roman"/>
          <w:color w:val="000000" w:themeColor="text1"/>
          <w:sz w:val="16"/>
          <w:szCs w:val="16"/>
        </w:rPr>
        <w:softHyphen/>
        <w:t xml:space="preserve">ку на 1943 г. На первом </w:t>
      </w:r>
      <w:r w:rsidRPr="001E2C69">
        <w:rPr>
          <w:rFonts w:ascii="Times New Roman" w:hAnsi="Times New Roman"/>
          <w:color w:val="000000" w:themeColor="text1"/>
          <w:sz w:val="16"/>
          <w:szCs w:val="16"/>
        </w:rPr>
        <w:lastRenderedPageBreak/>
        <w:t>экземпляре модифицированной «шестерки» должны были монтироваться пушки 11П ОКБ-16 (в серии НС-37). На втором экземпляре — пушки Ш-37 ОКБ-15. При этом количество пулеметов ШКАС сокращалось до двух, а ра</w:t>
      </w:r>
      <w:r w:rsidRPr="001E2C69">
        <w:rPr>
          <w:rFonts w:ascii="Times New Roman" w:hAnsi="Times New Roman"/>
          <w:color w:val="000000" w:themeColor="text1"/>
          <w:sz w:val="16"/>
          <w:szCs w:val="16"/>
        </w:rPr>
        <w:softHyphen/>
        <w:t>кетных орудий — до шести. Боезапас к пушкам включал 80 снарядов, а к пулеметам — 1500 патронов. Срок готовности первого экземпляра устанавливался — ноябрь, а второго — де</w:t>
      </w:r>
      <w:r w:rsidRPr="001E2C69">
        <w:rPr>
          <w:rFonts w:ascii="Times New Roman" w:hAnsi="Times New Roman"/>
          <w:color w:val="000000" w:themeColor="text1"/>
          <w:sz w:val="16"/>
          <w:szCs w:val="16"/>
        </w:rPr>
        <w:softHyphen/>
        <w:t>кабрь 1942 г. (11474,412).</w:t>
      </w:r>
    </w:p>
    <w:p w14:paraId="32E809F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0AD3668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конце июля 1942 г. конструкторы разработали для Ту-2 изготавливаемые из дерева и фанеры узлы носовой и хвостовой частей фюзеляжа, створок бомболюков, стабилизатора, килевых шайб, мотогондол, законцо- вок крыла. Реально в производство внедрили носовую часть фюзеляжа (до 3-го шпангоута) и хвостовой кок. Они обшивались фанерой (11988).</w:t>
      </w:r>
    </w:p>
    <w:p w14:paraId="6B113769"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E87A65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конце июля 1942 г. закончили войсковые испытания Ту-2, а итоговый отчет был утвержден 22 августа. Выводы испытателей в целом были одобрительными. В заключении отчета записали: "Серийные самолеты Ту-2 постройки заво да № 166 по своим летным свойствам, надежности работы моторов и вооружению могут быть использованы в боевой работе..." Но вместе с тем высоту полета ограничили 5000 м (до которой нормально работало БСМ-14). Использованию самолета в качестве пикировщика препятствовала перераскрутка винтов. Рекомендовали доработать ненадежные тормоза колес, а также усилить оборонительное вооружение. Дело в том, что огневая мощь пулеметов ШКАС уже считалась недостаточной. На пикирующем бомбардировщике Пе-2 еще летом 1941 г. смонтировали два 12,7-мм пулемета - один неподвижный в носу фюзеляжа, а второй - в люковой установке, стрелявшей вниз-назад. Позже к ним добавили еще один крупнокалиберный пулемет у штурмана и бортовой ШКАС у стрелка-радиста. Новое вооружение весьма эффективно использовалось на фронте, не позволяя немецким истребителям близко подходить к бомбардировщику. Усиление неподвижного вооружения Ту-2 не требовалось: по секундному залпу он значительно превосходил Пе-2. Поэтому специалисты НИИ ВВС рекомендовали поставить 12,7-мм пулеметы УБТ на обеих верхних установках - у штурмана и стрелка-радиста (11988).</w:t>
      </w:r>
    </w:p>
    <w:p w14:paraId="0505205D"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19541ED" w14:textId="77777777" w:rsidR="009A014D" w:rsidRPr="001E2C69" w:rsidRDefault="009A014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lang w:eastAsia="ru-RU" w:bidi="ru-RU"/>
        </w:rPr>
        <w:t>В конце июля 1942 г. полеты на Ту-2 в ходе первого этапа войскоовых испытний, прекратили, а итоговый отчет был утвержден 22 августа. Выводы испытателей в целом были одобрительными. В заключении от</w:t>
      </w:r>
      <w:r w:rsidRPr="001E2C69">
        <w:rPr>
          <w:rFonts w:ascii="Times New Roman" w:hAnsi="Times New Roman"/>
          <w:color w:val="000000" w:themeColor="text1"/>
          <w:sz w:val="16"/>
          <w:szCs w:val="16"/>
          <w:lang w:eastAsia="ru-RU" w:bidi="ru-RU"/>
        </w:rPr>
        <w:softHyphen/>
        <w:t>чета записали: «Серийные самолеты Ту-2 постройки завода №166 по своим лет</w:t>
      </w:r>
      <w:r w:rsidRPr="001E2C69">
        <w:rPr>
          <w:rFonts w:ascii="Times New Roman" w:hAnsi="Times New Roman"/>
          <w:color w:val="000000" w:themeColor="text1"/>
          <w:sz w:val="16"/>
          <w:szCs w:val="16"/>
          <w:lang w:eastAsia="ru-RU" w:bidi="ru-RU"/>
        </w:rPr>
        <w:softHyphen/>
        <w:t>ным свойствам, надежности работы мото</w:t>
      </w:r>
      <w:r w:rsidRPr="001E2C69">
        <w:rPr>
          <w:rFonts w:ascii="Times New Roman" w:hAnsi="Times New Roman"/>
          <w:color w:val="000000" w:themeColor="text1"/>
          <w:sz w:val="16"/>
          <w:szCs w:val="16"/>
          <w:lang w:eastAsia="ru-RU" w:bidi="ru-RU"/>
        </w:rPr>
        <w:softHyphen/>
        <w:t>ров и вооружению могут быть использо</w:t>
      </w:r>
      <w:r w:rsidRPr="001E2C69">
        <w:rPr>
          <w:rFonts w:ascii="Times New Roman" w:hAnsi="Times New Roman"/>
          <w:color w:val="000000" w:themeColor="text1"/>
          <w:sz w:val="16"/>
          <w:szCs w:val="16"/>
          <w:lang w:eastAsia="ru-RU" w:bidi="ru-RU"/>
        </w:rPr>
        <w:softHyphen/>
        <w:t>ваны в боевой работе...» Но вместе с тем высоту полета ограничили 5000 м (до ко</w:t>
      </w:r>
      <w:r w:rsidRPr="001E2C69">
        <w:rPr>
          <w:rFonts w:ascii="Times New Roman" w:hAnsi="Times New Roman"/>
          <w:color w:val="000000" w:themeColor="text1"/>
          <w:sz w:val="16"/>
          <w:szCs w:val="16"/>
          <w:lang w:eastAsia="ru-RU" w:bidi="ru-RU"/>
        </w:rPr>
        <w:softHyphen/>
        <w:t>торой нормально работало БСМ-14). Ис</w:t>
      </w:r>
      <w:r w:rsidRPr="001E2C69">
        <w:rPr>
          <w:rFonts w:ascii="Times New Roman" w:hAnsi="Times New Roman"/>
          <w:color w:val="000000" w:themeColor="text1"/>
          <w:sz w:val="16"/>
          <w:szCs w:val="16"/>
          <w:lang w:eastAsia="ru-RU" w:bidi="ru-RU"/>
        </w:rPr>
        <w:softHyphen/>
        <w:t>пользованию самолета в качестве пики</w:t>
      </w:r>
      <w:r w:rsidRPr="001E2C69">
        <w:rPr>
          <w:rFonts w:ascii="Times New Roman" w:hAnsi="Times New Roman"/>
          <w:color w:val="000000" w:themeColor="text1"/>
          <w:sz w:val="16"/>
          <w:szCs w:val="16"/>
          <w:lang w:eastAsia="ru-RU" w:bidi="ru-RU"/>
        </w:rPr>
        <w:softHyphen/>
        <w:t>ровщика препятствовала перераскрутка винтов. Рекомендовали доработать не</w:t>
      </w:r>
      <w:r w:rsidRPr="001E2C69">
        <w:rPr>
          <w:rFonts w:ascii="Times New Roman" w:hAnsi="Times New Roman"/>
          <w:color w:val="000000" w:themeColor="text1"/>
          <w:sz w:val="16"/>
          <w:szCs w:val="16"/>
          <w:lang w:eastAsia="ru-RU" w:bidi="ru-RU"/>
        </w:rPr>
        <w:softHyphen/>
        <w:t>надежные тормоза колес, а также уси</w:t>
      </w:r>
      <w:r w:rsidRPr="001E2C69">
        <w:rPr>
          <w:rFonts w:ascii="Times New Roman" w:hAnsi="Times New Roman"/>
          <w:color w:val="000000" w:themeColor="text1"/>
          <w:sz w:val="16"/>
          <w:szCs w:val="16"/>
          <w:lang w:eastAsia="ru-RU" w:bidi="ru-RU"/>
        </w:rPr>
        <w:softHyphen/>
        <w:t>лить оборонительное вооружение. Дело в том, что огневая мощь пулеметов ШКАС уже считалась недостаточной. На пики</w:t>
      </w:r>
      <w:r w:rsidRPr="001E2C69">
        <w:rPr>
          <w:rFonts w:ascii="Times New Roman" w:hAnsi="Times New Roman"/>
          <w:color w:val="000000" w:themeColor="text1"/>
          <w:sz w:val="16"/>
          <w:szCs w:val="16"/>
          <w:lang w:eastAsia="ru-RU" w:bidi="ru-RU"/>
        </w:rPr>
        <w:softHyphen/>
        <w:t>рующем бомбардировщике Пе-2 еще ле</w:t>
      </w:r>
      <w:r w:rsidRPr="001E2C69">
        <w:rPr>
          <w:rFonts w:ascii="Times New Roman" w:hAnsi="Times New Roman"/>
          <w:color w:val="000000" w:themeColor="text1"/>
          <w:sz w:val="16"/>
          <w:szCs w:val="16"/>
          <w:lang w:eastAsia="ru-RU" w:bidi="ru-RU"/>
        </w:rPr>
        <w:softHyphen/>
        <w:t>том 1941 г. смонтировали два 12,7-мм пу</w:t>
      </w:r>
      <w:r w:rsidRPr="001E2C69">
        <w:rPr>
          <w:rFonts w:ascii="Times New Roman" w:hAnsi="Times New Roman"/>
          <w:color w:val="000000" w:themeColor="text1"/>
          <w:sz w:val="16"/>
          <w:szCs w:val="16"/>
          <w:lang w:eastAsia="ru-RU" w:bidi="ru-RU"/>
        </w:rPr>
        <w:softHyphen/>
        <w:t>лемета - один неподвижный в носу фю</w:t>
      </w:r>
      <w:r w:rsidRPr="001E2C69">
        <w:rPr>
          <w:rFonts w:ascii="Times New Roman" w:hAnsi="Times New Roman"/>
          <w:color w:val="000000" w:themeColor="text1"/>
          <w:sz w:val="16"/>
          <w:szCs w:val="16"/>
          <w:lang w:eastAsia="ru-RU" w:bidi="ru-RU"/>
        </w:rPr>
        <w:softHyphen/>
        <w:t>зеляжа, а второй - в люковой установке, стрелявшей вниз-назад. Позже к ним до</w:t>
      </w:r>
      <w:r w:rsidRPr="001E2C69">
        <w:rPr>
          <w:rFonts w:ascii="Times New Roman" w:hAnsi="Times New Roman"/>
          <w:color w:val="000000" w:themeColor="text1"/>
          <w:sz w:val="16"/>
          <w:szCs w:val="16"/>
          <w:lang w:eastAsia="ru-RU" w:bidi="ru-RU"/>
        </w:rPr>
        <w:softHyphen/>
        <w:t>бавили еще один крупнокалиберный пу</w:t>
      </w:r>
      <w:r w:rsidRPr="001E2C69">
        <w:rPr>
          <w:rFonts w:ascii="Times New Roman" w:hAnsi="Times New Roman"/>
          <w:color w:val="000000" w:themeColor="text1"/>
          <w:sz w:val="16"/>
          <w:szCs w:val="16"/>
          <w:lang w:eastAsia="ru-RU" w:bidi="ru-RU"/>
        </w:rPr>
        <w:softHyphen/>
        <w:t>лемет у штурмана и бортовой ШКАС у стрелка-радиста. Новое вооружение весьма эффективно использовалось на фронте, не позволяя немецким истреби</w:t>
      </w:r>
      <w:r w:rsidRPr="001E2C69">
        <w:rPr>
          <w:rFonts w:ascii="Times New Roman" w:hAnsi="Times New Roman"/>
          <w:color w:val="000000" w:themeColor="text1"/>
          <w:sz w:val="16"/>
          <w:szCs w:val="16"/>
          <w:lang w:eastAsia="ru-RU" w:bidi="ru-RU"/>
        </w:rPr>
        <w:softHyphen/>
        <w:t>телям близко подходить к бомбардиров</w:t>
      </w:r>
      <w:r w:rsidRPr="001E2C69">
        <w:rPr>
          <w:rFonts w:ascii="Times New Roman" w:hAnsi="Times New Roman"/>
          <w:color w:val="000000" w:themeColor="text1"/>
          <w:sz w:val="16"/>
          <w:szCs w:val="16"/>
          <w:lang w:eastAsia="ru-RU" w:bidi="ru-RU"/>
        </w:rPr>
        <w:softHyphen/>
        <w:t>щику. Усиление неподвижного вооруже</w:t>
      </w:r>
      <w:r w:rsidRPr="001E2C69">
        <w:rPr>
          <w:rFonts w:ascii="Times New Roman" w:hAnsi="Times New Roman"/>
          <w:color w:val="000000" w:themeColor="text1"/>
          <w:sz w:val="16"/>
          <w:szCs w:val="16"/>
          <w:lang w:eastAsia="ru-RU" w:bidi="ru-RU"/>
        </w:rPr>
        <w:softHyphen/>
        <w:t>ния Ту-2 не требовалось: по секундному залпу он значительно превосходил Пе-2. Поэтому специалисты НИИ ВВС рекомен</w:t>
      </w:r>
      <w:r w:rsidRPr="001E2C69">
        <w:rPr>
          <w:rFonts w:ascii="Times New Roman" w:hAnsi="Times New Roman"/>
          <w:color w:val="000000" w:themeColor="text1"/>
          <w:sz w:val="16"/>
          <w:szCs w:val="16"/>
          <w:lang w:eastAsia="ru-RU" w:bidi="ru-RU"/>
        </w:rPr>
        <w:softHyphen/>
        <w:t>довали поставить 12,7-мм пулеметы УБТ на обеих верхних установках - у штур</w:t>
      </w:r>
      <w:r w:rsidRPr="001E2C69">
        <w:rPr>
          <w:rFonts w:ascii="Times New Roman" w:hAnsi="Times New Roman"/>
          <w:color w:val="000000" w:themeColor="text1"/>
          <w:sz w:val="16"/>
          <w:szCs w:val="16"/>
          <w:lang w:eastAsia="ru-RU" w:bidi="ru-RU"/>
        </w:rPr>
        <w:softHyphen/>
        <w:t>мана и стрелка-радиста.</w:t>
      </w:r>
    </w:p>
    <w:p w14:paraId="560ED52C" w14:textId="77777777" w:rsidR="009A014D" w:rsidRPr="001E2C69" w:rsidRDefault="009A014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lang w:eastAsia="ru-RU" w:bidi="ru-RU"/>
        </w:rPr>
        <w:t>Недостатки тормозной системы не</w:t>
      </w:r>
      <w:r w:rsidRPr="001E2C69">
        <w:rPr>
          <w:rFonts w:ascii="Times New Roman" w:hAnsi="Times New Roman"/>
          <w:color w:val="000000" w:themeColor="text1"/>
          <w:sz w:val="16"/>
          <w:szCs w:val="16"/>
          <w:lang w:eastAsia="ru-RU" w:bidi="ru-RU"/>
        </w:rPr>
        <w:softHyphen/>
        <w:t>однократно приводили к неуправляе</w:t>
      </w:r>
      <w:r w:rsidRPr="001E2C69">
        <w:rPr>
          <w:rFonts w:ascii="Times New Roman" w:hAnsi="Times New Roman"/>
          <w:color w:val="000000" w:themeColor="text1"/>
          <w:sz w:val="16"/>
          <w:szCs w:val="16"/>
          <w:lang w:eastAsia="ru-RU" w:bidi="ru-RU"/>
        </w:rPr>
        <w:softHyphen/>
        <w:t>мому развороту на посадке. Так, при сдаточных испытаниях два раза под</w:t>
      </w:r>
      <w:r w:rsidRPr="001E2C69">
        <w:rPr>
          <w:rFonts w:ascii="Times New Roman" w:hAnsi="Times New Roman"/>
          <w:color w:val="000000" w:themeColor="text1"/>
          <w:sz w:val="16"/>
          <w:szCs w:val="16"/>
          <w:lang w:eastAsia="ru-RU" w:bidi="ru-RU"/>
        </w:rPr>
        <w:softHyphen/>
        <w:t>ряд, 7 и 16 июля, потерпели аварии но</w:t>
      </w:r>
      <w:r w:rsidRPr="001E2C69">
        <w:rPr>
          <w:rFonts w:ascii="Times New Roman" w:hAnsi="Times New Roman"/>
          <w:color w:val="000000" w:themeColor="text1"/>
          <w:sz w:val="16"/>
          <w:szCs w:val="16"/>
          <w:lang w:eastAsia="ru-RU" w:bidi="ru-RU"/>
        </w:rPr>
        <w:softHyphen/>
        <w:t>венькие бомбардировщики. Экипажи (летчиков Котякова и Бакина) не постра</w:t>
      </w:r>
      <w:r w:rsidRPr="001E2C69">
        <w:rPr>
          <w:rFonts w:ascii="Times New Roman" w:hAnsi="Times New Roman"/>
          <w:color w:val="000000" w:themeColor="text1"/>
          <w:sz w:val="16"/>
          <w:szCs w:val="16"/>
          <w:lang w:eastAsia="ru-RU" w:bidi="ru-RU"/>
        </w:rPr>
        <w:softHyphen/>
        <w:t>дали. Например, у майора В.Д. Бакина машину №100303 вывернуло вправо, что привело к поломке стойки шасси. Бы</w:t>
      </w:r>
      <w:r w:rsidRPr="001E2C69">
        <w:rPr>
          <w:rFonts w:ascii="Times New Roman" w:hAnsi="Times New Roman"/>
          <w:color w:val="000000" w:themeColor="text1"/>
          <w:sz w:val="16"/>
          <w:szCs w:val="16"/>
          <w:lang w:eastAsia="ru-RU" w:bidi="ru-RU"/>
        </w:rPr>
        <w:softHyphen/>
        <w:t>вали случаи, когда бомбардировщик де</w:t>
      </w:r>
      <w:r w:rsidRPr="001E2C69">
        <w:rPr>
          <w:rFonts w:ascii="Times New Roman" w:hAnsi="Times New Roman"/>
          <w:color w:val="000000" w:themeColor="text1"/>
          <w:sz w:val="16"/>
          <w:szCs w:val="16"/>
          <w:lang w:eastAsia="ru-RU" w:bidi="ru-RU"/>
        </w:rPr>
        <w:softHyphen/>
        <w:t>лал на поле до двух кругов и оставался цел. Но чаще ломали шасси, винты, за- концовки крыла, мяли мотогондолы. Са</w:t>
      </w:r>
      <w:r w:rsidRPr="001E2C69">
        <w:rPr>
          <w:rFonts w:ascii="Times New Roman" w:hAnsi="Times New Roman"/>
          <w:color w:val="000000" w:themeColor="text1"/>
          <w:sz w:val="16"/>
          <w:szCs w:val="16"/>
          <w:lang w:eastAsia="ru-RU" w:bidi="ru-RU"/>
        </w:rPr>
        <w:softHyphen/>
        <w:t>молет летчика Полевого после посадки с разворотом вспыхнул; экипаж успел выбраться и отбежать.</w:t>
      </w:r>
    </w:p>
    <w:p w14:paraId="1214DC0B" w14:textId="77777777" w:rsidR="009A014D" w:rsidRPr="001E2C69" w:rsidRDefault="009A014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lang w:eastAsia="ru-RU" w:bidi="ru-RU"/>
        </w:rPr>
        <w:t>Дефекты серийных Ту-2 вызвали рас</w:t>
      </w:r>
      <w:r w:rsidRPr="001E2C69">
        <w:rPr>
          <w:rFonts w:ascii="Times New Roman" w:hAnsi="Times New Roman"/>
          <w:color w:val="000000" w:themeColor="text1"/>
          <w:sz w:val="16"/>
          <w:szCs w:val="16"/>
          <w:lang w:eastAsia="ru-RU" w:bidi="ru-RU"/>
        </w:rPr>
        <w:softHyphen/>
        <w:t>поряжение командования ВВС прекра</w:t>
      </w:r>
      <w:r w:rsidRPr="001E2C69">
        <w:rPr>
          <w:rFonts w:ascii="Times New Roman" w:hAnsi="Times New Roman"/>
          <w:color w:val="000000" w:themeColor="text1"/>
          <w:sz w:val="16"/>
          <w:szCs w:val="16"/>
          <w:lang w:eastAsia="ru-RU" w:bidi="ru-RU"/>
        </w:rPr>
        <w:softHyphen/>
        <w:t>тить приемку бомбардировщиков. НКАП направил на завод авторитетную комис</w:t>
      </w:r>
      <w:r w:rsidRPr="001E2C69">
        <w:rPr>
          <w:rFonts w:ascii="Times New Roman" w:hAnsi="Times New Roman"/>
          <w:color w:val="000000" w:themeColor="text1"/>
          <w:sz w:val="16"/>
          <w:szCs w:val="16"/>
          <w:lang w:eastAsia="ru-RU" w:bidi="ru-RU"/>
        </w:rPr>
        <w:softHyphen/>
        <w:t>сию во главе с известным авиаконструк</w:t>
      </w:r>
      <w:r w:rsidRPr="001E2C69">
        <w:rPr>
          <w:rFonts w:ascii="Times New Roman" w:hAnsi="Times New Roman"/>
          <w:color w:val="000000" w:themeColor="text1"/>
          <w:sz w:val="16"/>
          <w:szCs w:val="16"/>
          <w:lang w:eastAsia="ru-RU" w:bidi="ru-RU"/>
        </w:rPr>
        <w:softHyphen/>
        <w:t>тором Н.Н. Поликарповым. Члены комис</w:t>
      </w:r>
      <w:r w:rsidRPr="001E2C69">
        <w:rPr>
          <w:rFonts w:ascii="Times New Roman" w:hAnsi="Times New Roman"/>
          <w:color w:val="000000" w:themeColor="text1"/>
          <w:sz w:val="16"/>
          <w:szCs w:val="16"/>
          <w:lang w:eastAsia="ru-RU" w:bidi="ru-RU"/>
        </w:rPr>
        <w:softHyphen/>
        <w:t>сии согласились с заводскими испытате</w:t>
      </w:r>
      <w:r w:rsidRPr="001E2C69">
        <w:rPr>
          <w:rFonts w:ascii="Times New Roman" w:hAnsi="Times New Roman"/>
          <w:color w:val="000000" w:themeColor="text1"/>
          <w:sz w:val="16"/>
          <w:szCs w:val="16"/>
          <w:lang w:eastAsia="ru-RU" w:bidi="ru-RU"/>
        </w:rPr>
        <w:softHyphen/>
        <w:t>лями в том, что причиной разворотов на посадке является несинхронная работа тормозов правого и левого колес. Пред</w:t>
      </w:r>
      <w:r w:rsidRPr="001E2C69">
        <w:rPr>
          <w:rFonts w:ascii="Times New Roman" w:hAnsi="Times New Roman"/>
          <w:color w:val="000000" w:themeColor="text1"/>
          <w:sz w:val="16"/>
          <w:szCs w:val="16"/>
          <w:lang w:eastAsia="ru-RU" w:bidi="ru-RU"/>
        </w:rPr>
        <w:softHyphen/>
        <w:t>ложено было заменить тормозную гидро</w:t>
      </w:r>
      <w:r w:rsidRPr="001E2C69">
        <w:rPr>
          <w:rFonts w:ascii="Times New Roman" w:hAnsi="Times New Roman"/>
          <w:color w:val="000000" w:themeColor="text1"/>
          <w:sz w:val="16"/>
          <w:szCs w:val="16"/>
          <w:lang w:eastAsia="ru-RU" w:bidi="ru-RU"/>
        </w:rPr>
        <w:softHyphen/>
        <w:t>систему, скопированную туполевцами по настоянию ВВС с немецкого бомбарди</w:t>
      </w:r>
      <w:r w:rsidRPr="001E2C69">
        <w:rPr>
          <w:rFonts w:ascii="Times New Roman" w:hAnsi="Times New Roman"/>
          <w:color w:val="000000" w:themeColor="text1"/>
          <w:sz w:val="16"/>
          <w:szCs w:val="16"/>
          <w:lang w:eastAsia="ru-RU" w:bidi="ru-RU"/>
        </w:rPr>
        <w:softHyphen/>
        <w:t xml:space="preserve">ровщика </w:t>
      </w:r>
      <w:r w:rsidRPr="001E2C69">
        <w:rPr>
          <w:rFonts w:ascii="Times New Roman" w:hAnsi="Times New Roman"/>
          <w:color w:val="000000" w:themeColor="text1"/>
          <w:sz w:val="16"/>
          <w:szCs w:val="16"/>
          <w:lang w:val="en-US" w:bidi="en-US"/>
        </w:rPr>
        <w:t>Ju</w:t>
      </w:r>
      <w:r w:rsidRPr="001E2C69">
        <w:rPr>
          <w:rFonts w:ascii="Times New Roman" w:hAnsi="Times New Roman"/>
          <w:color w:val="000000" w:themeColor="text1"/>
          <w:sz w:val="16"/>
          <w:szCs w:val="16"/>
          <w:lang w:bidi="en-US"/>
        </w:rPr>
        <w:t xml:space="preserve"> </w:t>
      </w:r>
      <w:r w:rsidRPr="001E2C69">
        <w:rPr>
          <w:rFonts w:ascii="Times New Roman" w:hAnsi="Times New Roman"/>
          <w:color w:val="000000" w:themeColor="text1"/>
          <w:sz w:val="16"/>
          <w:szCs w:val="16"/>
          <w:lang w:eastAsia="ru-RU" w:bidi="ru-RU"/>
        </w:rPr>
        <w:t>88А, на более надежную, при</w:t>
      </w:r>
      <w:r w:rsidRPr="001E2C69">
        <w:rPr>
          <w:rFonts w:ascii="Times New Roman" w:hAnsi="Times New Roman"/>
          <w:color w:val="000000" w:themeColor="text1"/>
          <w:sz w:val="16"/>
          <w:szCs w:val="16"/>
          <w:lang w:eastAsia="ru-RU" w:bidi="ru-RU"/>
        </w:rPr>
        <w:softHyphen/>
        <w:t>менявшуюся на самолетах фирмы «Дуг</w:t>
      </w:r>
      <w:r w:rsidRPr="001E2C69">
        <w:rPr>
          <w:rFonts w:ascii="Times New Roman" w:hAnsi="Times New Roman"/>
          <w:color w:val="000000" w:themeColor="text1"/>
          <w:sz w:val="16"/>
          <w:szCs w:val="16"/>
          <w:lang w:eastAsia="ru-RU" w:bidi="ru-RU"/>
        </w:rPr>
        <w:softHyphen/>
        <w:t>лас». В качестве же временного решения попробовали на пробеге стопорить хво</w:t>
      </w:r>
      <w:r w:rsidRPr="001E2C69">
        <w:rPr>
          <w:rFonts w:ascii="Times New Roman" w:hAnsi="Times New Roman"/>
          <w:color w:val="000000" w:themeColor="text1"/>
          <w:sz w:val="16"/>
          <w:szCs w:val="16"/>
          <w:lang w:eastAsia="ru-RU" w:bidi="ru-RU"/>
        </w:rPr>
        <w:softHyphen/>
        <w:t>стовое колесо. На Ту-2 имелся автомати</w:t>
      </w:r>
      <w:r w:rsidRPr="001E2C69">
        <w:rPr>
          <w:rFonts w:ascii="Times New Roman" w:hAnsi="Times New Roman"/>
          <w:color w:val="000000" w:themeColor="text1"/>
          <w:sz w:val="16"/>
          <w:szCs w:val="16"/>
          <w:lang w:eastAsia="ru-RU" w:bidi="ru-RU"/>
        </w:rPr>
        <w:softHyphen/>
        <w:t>ческий стопор, который должен был фик</w:t>
      </w:r>
      <w:r w:rsidRPr="001E2C69">
        <w:rPr>
          <w:rFonts w:ascii="Times New Roman" w:hAnsi="Times New Roman"/>
          <w:color w:val="000000" w:themeColor="text1"/>
          <w:sz w:val="16"/>
          <w:szCs w:val="16"/>
          <w:lang w:eastAsia="ru-RU" w:bidi="ru-RU"/>
        </w:rPr>
        <w:softHyphen/>
        <w:t>сировать стойку хвостового колеса при резких ее разворотах, но срабатывал он далеко не всегда. С 20 июля заводские испытатели стали садиться с включенным механическим стопором хвостового ко</w:t>
      </w:r>
      <w:r w:rsidRPr="001E2C69">
        <w:rPr>
          <w:rFonts w:ascii="Times New Roman" w:hAnsi="Times New Roman"/>
          <w:color w:val="000000" w:themeColor="text1"/>
          <w:sz w:val="16"/>
          <w:szCs w:val="16"/>
          <w:lang w:eastAsia="ru-RU" w:bidi="ru-RU"/>
        </w:rPr>
        <w:softHyphen/>
        <w:t>леса. Управляемость машины на пробеге значительно улучшилась.</w:t>
      </w:r>
    </w:p>
    <w:p w14:paraId="454A55E2" w14:textId="77777777" w:rsidR="009A014D" w:rsidRPr="001E2C69" w:rsidRDefault="009A014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lang w:eastAsia="ru-RU" w:bidi="ru-RU"/>
        </w:rPr>
        <w:t>Еще одной серьезной проблемой яв</w:t>
      </w:r>
      <w:r w:rsidRPr="001E2C69">
        <w:rPr>
          <w:rFonts w:ascii="Times New Roman" w:hAnsi="Times New Roman"/>
          <w:color w:val="000000" w:themeColor="text1"/>
          <w:sz w:val="16"/>
          <w:szCs w:val="16"/>
          <w:lang w:eastAsia="ru-RU" w:bidi="ru-RU"/>
        </w:rPr>
        <w:softHyphen/>
        <w:t>лялись двигатели. Моторы М-82А, хотя и выпускались серийно, еще оставались достаточно «сырыми». На высоте более 6000 м они недодавали мощность, стра</w:t>
      </w:r>
      <w:r w:rsidRPr="001E2C69">
        <w:rPr>
          <w:rFonts w:ascii="Times New Roman" w:hAnsi="Times New Roman"/>
          <w:color w:val="000000" w:themeColor="text1"/>
          <w:sz w:val="16"/>
          <w:szCs w:val="16"/>
          <w:lang w:eastAsia="ru-RU" w:bidi="ru-RU"/>
        </w:rPr>
        <w:softHyphen/>
        <w:t>дали значительными вибрациями и рас</w:t>
      </w:r>
      <w:r w:rsidRPr="001E2C69">
        <w:rPr>
          <w:rFonts w:ascii="Times New Roman" w:hAnsi="Times New Roman"/>
          <w:color w:val="000000" w:themeColor="text1"/>
          <w:sz w:val="16"/>
          <w:szCs w:val="16"/>
          <w:lang w:eastAsia="ru-RU" w:bidi="ru-RU"/>
        </w:rPr>
        <w:softHyphen/>
        <w:t>ходовали много масла. Хотя за это отве</w:t>
      </w:r>
      <w:r w:rsidRPr="001E2C69">
        <w:rPr>
          <w:rFonts w:ascii="Times New Roman" w:hAnsi="Times New Roman"/>
          <w:color w:val="000000" w:themeColor="text1"/>
          <w:sz w:val="16"/>
          <w:szCs w:val="16"/>
          <w:lang w:eastAsia="ru-RU" w:bidi="ru-RU"/>
        </w:rPr>
        <w:softHyphen/>
        <w:t>чал их конструктор А.Д. Швецов и завод №19, дефекты мотоустановки сильно ска</w:t>
      </w:r>
      <w:r w:rsidRPr="001E2C69">
        <w:rPr>
          <w:rFonts w:ascii="Times New Roman" w:hAnsi="Times New Roman"/>
          <w:color w:val="000000" w:themeColor="text1"/>
          <w:sz w:val="16"/>
          <w:szCs w:val="16"/>
          <w:lang w:eastAsia="ru-RU" w:bidi="ru-RU"/>
        </w:rPr>
        <w:softHyphen/>
        <w:t>зывались на летных и эксплуатационных характеристиках Ту-2.</w:t>
      </w:r>
    </w:p>
    <w:p w14:paraId="4FCD884E" w14:textId="77777777" w:rsidR="009A014D" w:rsidRPr="001E2C69" w:rsidRDefault="009A014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lang w:eastAsia="ru-RU" w:bidi="ru-RU"/>
        </w:rPr>
        <w:t>Кроме того, комиссия подвергла кри</w:t>
      </w:r>
      <w:r w:rsidRPr="001E2C69">
        <w:rPr>
          <w:rFonts w:ascii="Times New Roman" w:hAnsi="Times New Roman"/>
          <w:color w:val="000000" w:themeColor="text1"/>
          <w:sz w:val="16"/>
          <w:szCs w:val="16"/>
          <w:lang w:eastAsia="ru-RU" w:bidi="ru-RU"/>
        </w:rPr>
        <w:softHyphen/>
        <w:t>тике чрезмерный вес серийных машин. Весовая отдача у них при нормальной бомбовой нагрузке не превышала 27,5%, в то время как у других самолетов та</w:t>
      </w:r>
      <w:r w:rsidRPr="001E2C69">
        <w:rPr>
          <w:rFonts w:ascii="Times New Roman" w:hAnsi="Times New Roman"/>
          <w:color w:val="000000" w:themeColor="text1"/>
          <w:sz w:val="16"/>
          <w:szCs w:val="16"/>
          <w:lang w:eastAsia="ru-RU" w:bidi="ru-RU"/>
        </w:rPr>
        <w:softHyphen/>
        <w:t>кого же класса она составляла около 30%. Это была плата за возможность бомбить с крутого пикирования.</w:t>
      </w:r>
    </w:p>
    <w:p w14:paraId="1AF303F0" w14:textId="77777777" w:rsidR="009A014D" w:rsidRPr="001E2C69" w:rsidRDefault="009A014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lang w:eastAsia="ru-RU" w:bidi="ru-RU"/>
        </w:rPr>
        <w:t>Но в целом Поликарпов и его кол</w:t>
      </w:r>
      <w:r w:rsidRPr="001E2C69">
        <w:rPr>
          <w:rFonts w:ascii="Times New Roman" w:hAnsi="Times New Roman"/>
          <w:color w:val="000000" w:themeColor="text1"/>
          <w:sz w:val="16"/>
          <w:szCs w:val="16"/>
          <w:lang w:eastAsia="ru-RU" w:bidi="ru-RU"/>
        </w:rPr>
        <w:softHyphen/>
        <w:t>леги поддержали Туполева. В Москву от</w:t>
      </w:r>
      <w:r w:rsidRPr="001E2C69">
        <w:rPr>
          <w:rFonts w:ascii="Times New Roman" w:hAnsi="Times New Roman"/>
          <w:color w:val="000000" w:themeColor="text1"/>
          <w:sz w:val="16"/>
          <w:szCs w:val="16"/>
          <w:lang w:eastAsia="ru-RU" w:bidi="ru-RU"/>
        </w:rPr>
        <w:softHyphen/>
        <w:t>правили документ, в котором, в частно</w:t>
      </w:r>
      <w:r w:rsidRPr="001E2C69">
        <w:rPr>
          <w:rFonts w:ascii="Times New Roman" w:hAnsi="Times New Roman"/>
          <w:color w:val="000000" w:themeColor="text1"/>
          <w:sz w:val="16"/>
          <w:szCs w:val="16"/>
          <w:lang w:eastAsia="ru-RU" w:bidi="ru-RU"/>
        </w:rPr>
        <w:softHyphen/>
        <w:t>сти, говорилось: «... самолет Ту-2 по своим летно-тактическим данным превосходит современные серийные советские и за</w:t>
      </w:r>
      <w:r w:rsidRPr="001E2C69">
        <w:rPr>
          <w:rFonts w:ascii="Times New Roman" w:hAnsi="Times New Roman"/>
          <w:color w:val="000000" w:themeColor="text1"/>
          <w:sz w:val="16"/>
          <w:szCs w:val="16"/>
          <w:lang w:eastAsia="ru-RU" w:bidi="ru-RU"/>
        </w:rPr>
        <w:softHyphen/>
        <w:t>граничные бомбардировщики». Комиссия сочла, что при устранении основных де</w:t>
      </w:r>
      <w:r w:rsidRPr="001E2C69">
        <w:rPr>
          <w:rFonts w:ascii="Times New Roman" w:hAnsi="Times New Roman"/>
          <w:color w:val="000000" w:themeColor="text1"/>
          <w:sz w:val="16"/>
          <w:szCs w:val="16"/>
          <w:lang w:eastAsia="ru-RU" w:bidi="ru-RU"/>
        </w:rPr>
        <w:softHyphen/>
        <w:t>фектов самолет сможет успешно выпол</w:t>
      </w:r>
      <w:r w:rsidRPr="001E2C69">
        <w:rPr>
          <w:rFonts w:ascii="Times New Roman" w:hAnsi="Times New Roman"/>
          <w:color w:val="000000" w:themeColor="text1"/>
          <w:sz w:val="16"/>
          <w:szCs w:val="16"/>
          <w:lang w:eastAsia="ru-RU" w:bidi="ru-RU"/>
        </w:rPr>
        <w:softHyphen/>
        <w:t>нять боевые задачи.</w:t>
      </w:r>
    </w:p>
    <w:p w14:paraId="77EABB5E" w14:textId="77777777" w:rsidR="009A014D" w:rsidRPr="001E2C69" w:rsidRDefault="009A014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lang w:eastAsia="ru-RU" w:bidi="ru-RU"/>
        </w:rPr>
        <w:t>Приемка бомбардировщиков возоб</w:t>
      </w:r>
      <w:r w:rsidRPr="001E2C69">
        <w:rPr>
          <w:rFonts w:ascii="Times New Roman" w:hAnsi="Times New Roman"/>
          <w:color w:val="000000" w:themeColor="text1"/>
          <w:sz w:val="16"/>
          <w:szCs w:val="16"/>
          <w:lang w:eastAsia="ru-RU" w:bidi="ru-RU"/>
        </w:rPr>
        <w:softHyphen/>
        <w:t>новилась. Реагируя на требования воен</w:t>
      </w:r>
      <w:r w:rsidRPr="001E2C69">
        <w:rPr>
          <w:rFonts w:ascii="Times New Roman" w:hAnsi="Times New Roman"/>
          <w:color w:val="000000" w:themeColor="text1"/>
          <w:sz w:val="16"/>
          <w:szCs w:val="16"/>
          <w:lang w:eastAsia="ru-RU" w:bidi="ru-RU"/>
        </w:rPr>
        <w:softHyphen/>
        <w:t>ных, завод вносил изменения в строящи</w:t>
      </w:r>
      <w:r w:rsidRPr="001E2C69">
        <w:rPr>
          <w:rFonts w:ascii="Times New Roman" w:hAnsi="Times New Roman"/>
          <w:color w:val="000000" w:themeColor="text1"/>
          <w:sz w:val="16"/>
          <w:szCs w:val="16"/>
          <w:lang w:eastAsia="ru-RU" w:bidi="ru-RU"/>
        </w:rPr>
        <w:softHyphen/>
        <w:t>еся бомбардировщики. С 5-й серии (июль- август 1942 г.) внедрили тормоза типа «Дуглас» окончательно снявшие про</w:t>
      </w:r>
      <w:r w:rsidRPr="001E2C69">
        <w:rPr>
          <w:rFonts w:ascii="Times New Roman" w:hAnsi="Times New Roman"/>
          <w:color w:val="000000" w:themeColor="text1"/>
          <w:sz w:val="16"/>
          <w:szCs w:val="16"/>
          <w:lang w:eastAsia="ru-RU" w:bidi="ru-RU"/>
        </w:rPr>
        <w:softHyphen/>
        <w:t>блемы с неуправляемым разворотом на посадке. Одновременно изменили управ</w:t>
      </w:r>
      <w:r w:rsidRPr="001E2C69">
        <w:rPr>
          <w:rFonts w:ascii="Times New Roman" w:hAnsi="Times New Roman"/>
          <w:color w:val="000000" w:themeColor="text1"/>
          <w:sz w:val="16"/>
          <w:szCs w:val="16"/>
          <w:lang w:eastAsia="ru-RU" w:bidi="ru-RU"/>
        </w:rPr>
        <w:softHyphen/>
        <w:t>ление пуском реактивных снарядов. Ра</w:t>
      </w:r>
      <w:r w:rsidRPr="001E2C69">
        <w:rPr>
          <w:rFonts w:ascii="Times New Roman" w:hAnsi="Times New Roman"/>
          <w:color w:val="000000" w:themeColor="text1"/>
          <w:sz w:val="16"/>
          <w:szCs w:val="16"/>
          <w:lang w:eastAsia="ru-RU" w:bidi="ru-RU"/>
        </w:rPr>
        <w:softHyphen/>
        <w:t>нее стрельба РС-82 велась с помощью бомбосбрасывателя ЭСБР-6, переклю</w:t>
      </w:r>
      <w:r w:rsidRPr="001E2C69">
        <w:rPr>
          <w:rFonts w:ascii="Times New Roman" w:hAnsi="Times New Roman"/>
          <w:color w:val="000000" w:themeColor="text1"/>
          <w:sz w:val="16"/>
          <w:szCs w:val="16"/>
          <w:lang w:eastAsia="ru-RU" w:bidi="ru-RU"/>
        </w:rPr>
        <w:softHyphen/>
        <w:t>чавшегося на другой режим. Бомбы при этом сбрасывать было нельзя. С 5-й серии пуск ракет осуществлялся независимым устройством (21061).</w:t>
      </w:r>
    </w:p>
    <w:p w14:paraId="0322F34C" w14:textId="77777777" w:rsidR="009A014D" w:rsidRPr="001E2C69" w:rsidRDefault="009A014D" w:rsidP="00722885">
      <w:pPr>
        <w:spacing w:after="0" w:line="240" w:lineRule="auto"/>
        <w:jc w:val="both"/>
        <w:rPr>
          <w:rFonts w:ascii="Times New Roman" w:hAnsi="Times New Roman"/>
          <w:color w:val="000000" w:themeColor="text1"/>
          <w:sz w:val="16"/>
          <w:szCs w:val="16"/>
        </w:rPr>
      </w:pPr>
    </w:p>
    <w:p w14:paraId="6EDC5EAF" w14:textId="77777777" w:rsidR="009A014D" w:rsidRPr="001E2C69" w:rsidRDefault="009A014D" w:rsidP="00722885">
      <w:pPr>
        <w:spacing w:after="0" w:line="240" w:lineRule="auto"/>
        <w:jc w:val="both"/>
        <w:rPr>
          <w:rFonts w:ascii="Times New Roman" w:hAnsi="Times New Roman"/>
          <w:color w:val="000000" w:themeColor="text1"/>
          <w:sz w:val="16"/>
          <w:szCs w:val="16"/>
          <w:lang w:eastAsia="ru-RU" w:bidi="ru-RU"/>
        </w:rPr>
      </w:pPr>
      <w:r w:rsidRPr="001E2C69">
        <w:rPr>
          <w:rFonts w:ascii="Times New Roman" w:hAnsi="Times New Roman"/>
          <w:color w:val="000000" w:themeColor="text1"/>
          <w:sz w:val="16"/>
          <w:szCs w:val="16"/>
          <w:lang w:eastAsia="ru-RU" w:bidi="ru-RU"/>
        </w:rPr>
        <w:t>В конце июля 1942 г. конструкторы разработали для Ту-2 изготавливаемые из дерева и фанеры узлы носовой и хвостовой частей фюзеляжа, створок бомболюков, стаби</w:t>
      </w:r>
      <w:r w:rsidRPr="001E2C69">
        <w:rPr>
          <w:rFonts w:ascii="Times New Roman" w:hAnsi="Times New Roman"/>
          <w:color w:val="000000" w:themeColor="text1"/>
          <w:sz w:val="16"/>
          <w:szCs w:val="16"/>
          <w:lang w:eastAsia="ru-RU" w:bidi="ru-RU"/>
        </w:rPr>
        <w:softHyphen/>
        <w:t>лизатора, килевых шайб, мотогондол, за- концовок крыла. Реально в производство внедрили носовую часть фюзеляжа (до 3-го шпангоута) и хвостовой кок, обши</w:t>
      </w:r>
      <w:r w:rsidRPr="001E2C69">
        <w:rPr>
          <w:rFonts w:ascii="Times New Roman" w:hAnsi="Times New Roman"/>
          <w:color w:val="000000" w:themeColor="text1"/>
          <w:sz w:val="16"/>
          <w:szCs w:val="16"/>
          <w:lang w:eastAsia="ru-RU" w:bidi="ru-RU"/>
        </w:rPr>
        <w:softHyphen/>
        <w:t>тые фанерой (21061).</w:t>
      </w:r>
    </w:p>
    <w:p w14:paraId="172942A2" w14:textId="77777777" w:rsidR="009A014D" w:rsidRPr="001E2C69" w:rsidRDefault="009A014D" w:rsidP="00722885">
      <w:pPr>
        <w:spacing w:after="0" w:line="240" w:lineRule="auto"/>
        <w:jc w:val="both"/>
        <w:rPr>
          <w:rFonts w:ascii="Times New Roman" w:hAnsi="Times New Roman"/>
          <w:color w:val="000000" w:themeColor="text1"/>
          <w:sz w:val="16"/>
          <w:szCs w:val="16"/>
        </w:rPr>
      </w:pPr>
    </w:p>
    <w:p w14:paraId="1A82517B" w14:textId="77777777" w:rsidR="007D206F" w:rsidRPr="008A2E5A" w:rsidRDefault="007D206F" w:rsidP="007D206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июля 1942 г., несмотря на острую потребность ВВС КА в самоле</w:t>
      </w:r>
      <w:r w:rsidRPr="008A2E5A">
        <w:rPr>
          <w:rFonts w:ascii="Times New Roman" w:hAnsi="Times New Roman"/>
          <w:color w:val="0070C0"/>
          <w:sz w:val="16"/>
          <w:szCs w:val="16"/>
        </w:rPr>
        <w:softHyphen/>
        <w:t>тах Як-7В, завод №153 остановил их производство, имея в цехах готовых 36 самоле</w:t>
      </w:r>
      <w:r w:rsidRPr="008A2E5A">
        <w:rPr>
          <w:rFonts w:ascii="Times New Roman" w:hAnsi="Times New Roman"/>
          <w:color w:val="0070C0"/>
          <w:sz w:val="16"/>
          <w:szCs w:val="16"/>
        </w:rPr>
        <w:softHyphen/>
        <w:t>тов, требовавших только установки нефорсированных моторов. С точки зрения авиастроителей изготовле</w:t>
      </w:r>
      <w:r w:rsidRPr="008A2E5A">
        <w:rPr>
          <w:rFonts w:ascii="Times New Roman" w:hAnsi="Times New Roman"/>
          <w:color w:val="0070C0"/>
          <w:sz w:val="16"/>
          <w:szCs w:val="16"/>
        </w:rPr>
        <w:softHyphen/>
        <w:t>ние невооруженных, с неубирающимся шасси, без ра</w:t>
      </w:r>
      <w:r w:rsidRPr="008A2E5A">
        <w:rPr>
          <w:rFonts w:ascii="Times New Roman" w:hAnsi="Times New Roman"/>
          <w:color w:val="0070C0"/>
          <w:sz w:val="16"/>
          <w:szCs w:val="16"/>
        </w:rPr>
        <w:softHyphen/>
        <w:t>диостанций Як-7В было более выгодным и по себесто</w:t>
      </w:r>
      <w:r w:rsidRPr="008A2E5A">
        <w:rPr>
          <w:rFonts w:ascii="Times New Roman" w:hAnsi="Times New Roman"/>
          <w:color w:val="0070C0"/>
          <w:sz w:val="16"/>
          <w:szCs w:val="16"/>
        </w:rPr>
        <w:softHyphen/>
        <w:t>имости, и по срокам изготовления, и по условиям сда</w:t>
      </w:r>
      <w:r w:rsidRPr="008A2E5A">
        <w:rPr>
          <w:rFonts w:ascii="Times New Roman" w:hAnsi="Times New Roman"/>
          <w:color w:val="0070C0"/>
          <w:sz w:val="16"/>
          <w:szCs w:val="16"/>
        </w:rPr>
        <w:softHyphen/>
        <w:t>чи заказчику. При плане с 15 февраля до конца июля в 110 самолетов завод выпустил и сдал 164 машины это</w:t>
      </w:r>
      <w:r w:rsidRPr="008A2E5A">
        <w:rPr>
          <w:rFonts w:ascii="Times New Roman" w:hAnsi="Times New Roman"/>
          <w:color w:val="0070C0"/>
          <w:sz w:val="16"/>
          <w:szCs w:val="16"/>
        </w:rPr>
        <w:softHyphen/>
        <w:t>го типа. Ввиду того, что перевыполнение плана поста</w:t>
      </w:r>
      <w:r w:rsidRPr="008A2E5A">
        <w:rPr>
          <w:rFonts w:ascii="Times New Roman" w:hAnsi="Times New Roman"/>
          <w:color w:val="0070C0"/>
          <w:sz w:val="16"/>
          <w:szCs w:val="16"/>
        </w:rPr>
        <w:softHyphen/>
        <w:t>вок самолетов Як-7В шло за счет недопоставки боевых самолетов, НКАП прекратил выпуск вывозных самоле</w:t>
      </w:r>
      <w:r w:rsidRPr="008A2E5A">
        <w:rPr>
          <w:rFonts w:ascii="Times New Roman" w:hAnsi="Times New Roman"/>
          <w:color w:val="0070C0"/>
          <w:sz w:val="16"/>
          <w:szCs w:val="16"/>
        </w:rPr>
        <w:softHyphen/>
        <w:t>тов. Вмешательством начальника ГУ обучения, формирования и боевой подготовки ВВС КА генерал-майо</w:t>
      </w:r>
      <w:r w:rsidRPr="008A2E5A">
        <w:rPr>
          <w:rFonts w:ascii="Times New Roman" w:hAnsi="Times New Roman"/>
          <w:color w:val="0070C0"/>
          <w:sz w:val="16"/>
          <w:szCs w:val="16"/>
        </w:rPr>
        <w:softHyphen/>
        <w:t>ра авиации А.В. Никитина вопрос об обеспечении еже</w:t>
      </w:r>
      <w:r w:rsidRPr="008A2E5A">
        <w:rPr>
          <w:rFonts w:ascii="Times New Roman" w:hAnsi="Times New Roman"/>
          <w:color w:val="0070C0"/>
          <w:sz w:val="16"/>
          <w:szCs w:val="16"/>
        </w:rPr>
        <w:softHyphen/>
        <w:t>месячного выпуска 20 Як-7В был еще раз подтвержден постановлением ГКО №2271 сс от 7 сентября 1942 г. В связи с внедрением нового типа машин - Як-9 - на заводе №153 не стали восстанавливать оснастку и пе</w:t>
      </w:r>
      <w:r w:rsidRPr="008A2E5A">
        <w:rPr>
          <w:rFonts w:ascii="Times New Roman" w:hAnsi="Times New Roman"/>
          <w:color w:val="0070C0"/>
          <w:sz w:val="16"/>
          <w:szCs w:val="16"/>
        </w:rPr>
        <w:softHyphen/>
        <w:t>реналаживать конвейерные линии, а просто установи</w:t>
      </w:r>
      <w:r w:rsidRPr="008A2E5A">
        <w:rPr>
          <w:rFonts w:ascii="Times New Roman" w:hAnsi="Times New Roman"/>
          <w:color w:val="0070C0"/>
          <w:sz w:val="16"/>
          <w:szCs w:val="16"/>
        </w:rPr>
        <w:softHyphen/>
        <w:t>ли моторы на изготовленные ранее машины и сдали их ВВС. Формально невыполнение плана было небольшим: из 210 положенных по заданию ВВС КА получили 205 Як-7В. Из указанного количества только 74 самолета попали небольшими партиями в 13 авиашкол (Арма</w:t>
      </w:r>
      <w:r w:rsidRPr="008A2E5A">
        <w:rPr>
          <w:rFonts w:ascii="Times New Roman" w:hAnsi="Times New Roman"/>
          <w:color w:val="0070C0"/>
          <w:sz w:val="16"/>
          <w:szCs w:val="16"/>
        </w:rPr>
        <w:softHyphen/>
        <w:t>вирскую - 8, Батайскую - 9, Бирмскую - 4, Борисоглеб</w:t>
      </w:r>
      <w:r w:rsidRPr="008A2E5A">
        <w:rPr>
          <w:rFonts w:ascii="Times New Roman" w:hAnsi="Times New Roman"/>
          <w:color w:val="0070C0"/>
          <w:sz w:val="16"/>
          <w:szCs w:val="16"/>
        </w:rPr>
        <w:softHyphen/>
        <w:t>скую - 10, Вязниковскую - 3, Качинскую - 6, Конотопс- кую - 6, Краснодарскую - 8, Одесскую - 3, Сталинград</w:t>
      </w:r>
      <w:r w:rsidRPr="008A2E5A">
        <w:rPr>
          <w:rFonts w:ascii="Times New Roman" w:hAnsi="Times New Roman"/>
          <w:color w:val="0070C0"/>
          <w:sz w:val="16"/>
          <w:szCs w:val="16"/>
        </w:rPr>
        <w:softHyphen/>
        <w:t>скую - 12, Тбилисскую - 5, Чугуевскую - 12). Остальные учебные самолеты распределили между запасными и учебно-тренировочными полками ВВС КА (23381).</w:t>
      </w:r>
    </w:p>
    <w:p w14:paraId="147C9A2D" w14:textId="77777777" w:rsidR="007D206F" w:rsidRPr="008A2E5A" w:rsidRDefault="007D206F" w:rsidP="007D206F">
      <w:pPr>
        <w:spacing w:after="0" w:line="240" w:lineRule="auto"/>
        <w:jc w:val="both"/>
        <w:rPr>
          <w:rFonts w:ascii="Times New Roman" w:hAnsi="Times New Roman"/>
          <w:color w:val="0070C0"/>
          <w:sz w:val="16"/>
          <w:szCs w:val="16"/>
        </w:rPr>
      </w:pPr>
    </w:p>
    <w:p w14:paraId="30B7519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конце июля 1942 ТС-1 А.Я.Щербакова предъявили ВВС на гос. испытания в вариантах транспортного, десантно-транспортного и санитарного и в августе А.К.Долгов закончил испытания Ще-2. Рекомендовали в серию, но пошел только в октябре 1943 (576,4).</w:t>
      </w:r>
    </w:p>
    <w:p w14:paraId="03C13A50" w14:textId="77777777" w:rsidR="00AE7191" w:rsidRPr="001E2C69" w:rsidRDefault="00AE7191" w:rsidP="00722885">
      <w:pPr>
        <w:pStyle w:val="Iauiue"/>
        <w:jc w:val="both"/>
        <w:rPr>
          <w:color w:val="000000" w:themeColor="text1"/>
          <w:sz w:val="16"/>
          <w:szCs w:val="16"/>
        </w:rPr>
      </w:pPr>
    </w:p>
    <w:p w14:paraId="34DD9660" w14:textId="77777777" w:rsidR="007D206F" w:rsidRPr="008A2E5A" w:rsidRDefault="007D206F" w:rsidP="007D206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июля 1942 г. самолет ТС-1 был предъявлен ВВС как транспортный, десантно-транспортный и санитарный. В августе ТС-1 прошел государственные испытания и был рекомендован в серию.</w:t>
      </w:r>
    </w:p>
    <w:p w14:paraId="33DEB0F9" w14:textId="77777777" w:rsidR="007D206F" w:rsidRPr="008A2E5A" w:rsidRDefault="007D206F" w:rsidP="007D206F">
      <w:pPr>
        <w:spacing w:after="0" w:line="240" w:lineRule="auto"/>
        <w:jc w:val="both"/>
        <w:rPr>
          <w:rFonts w:ascii="Times New Roman" w:hAnsi="Times New Roman"/>
          <w:color w:val="0070C0"/>
          <w:sz w:val="16"/>
          <w:szCs w:val="16"/>
        </w:rPr>
      </w:pPr>
    </w:p>
    <w:p w14:paraId="26E6D49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конце июля 1942 на заводе 381 в производство были спущены чертежи РД для Би (1632,264).</w:t>
      </w:r>
    </w:p>
    <w:p w14:paraId="0076BAA4" w14:textId="77777777" w:rsidR="00AE7191" w:rsidRPr="001E2C69" w:rsidRDefault="00AE7191" w:rsidP="00722885">
      <w:pPr>
        <w:pStyle w:val="Iauiue"/>
        <w:jc w:val="both"/>
        <w:rPr>
          <w:color w:val="000000" w:themeColor="text1"/>
          <w:sz w:val="16"/>
          <w:szCs w:val="16"/>
        </w:rPr>
      </w:pPr>
    </w:p>
    <w:p w14:paraId="65E2DCE0"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4B40592A" w14:textId="77777777" w:rsidR="00AE7191" w:rsidRPr="001E2C69" w:rsidRDefault="00AE7191" w:rsidP="00722885">
      <w:pPr>
        <w:pStyle w:val="Iauiue"/>
        <w:jc w:val="both"/>
        <w:rPr>
          <w:iCs/>
          <w:color w:val="000000" w:themeColor="text1"/>
          <w:sz w:val="16"/>
          <w:szCs w:val="16"/>
        </w:rPr>
      </w:pPr>
    </w:p>
    <w:p w14:paraId="22C6E583" w14:textId="77777777" w:rsidR="0096186D" w:rsidRPr="001E2C69" w:rsidRDefault="0096186D" w:rsidP="00722885">
      <w:pPr>
        <w:pStyle w:val="article-renderblock"/>
        <w:shd w:val="clear" w:color="auto" w:fill="FFFFFF"/>
        <w:spacing w:before="0" w:beforeAutospacing="0" w:after="0" w:afterAutospacing="0"/>
        <w:jc w:val="both"/>
        <w:rPr>
          <w:color w:val="000000" w:themeColor="text1"/>
          <w:sz w:val="16"/>
          <w:szCs w:val="16"/>
        </w:rPr>
      </w:pPr>
      <w:r w:rsidRPr="001E2C69">
        <w:rPr>
          <w:color w:val="000000" w:themeColor="text1"/>
          <w:sz w:val="16"/>
          <w:szCs w:val="16"/>
        </w:rPr>
        <w:t>В конце июля 1942 года А.А. Волков и С.А. Ярцев предлагали ГАБТУ КА вариант ВЯ под калибр 14,5 мм. По их мнению, на коротких дистанциях патрон из такой пушки мог пробить до 90 (!) мм брони. Впрочем, на идею как-то не особо среагировали. Во-первых, цифры какие-то фантастические. Во-вторых, с мега-пушкой чуток опоздали, ибо как раз в начале июля 1942 года выпуск Т-60 прекратили. В-третьих, стоит напомнить про силу отдачи ВЯ. Да и внутренние габариты ВЯ были не особо подходящие для установки в башню Т-60 (20693).</w:t>
      </w:r>
    </w:p>
    <w:p w14:paraId="435FA563" w14:textId="77777777" w:rsidR="0096186D" w:rsidRPr="001E2C69" w:rsidRDefault="0096186D" w:rsidP="00722885">
      <w:pPr>
        <w:shd w:val="clear" w:color="auto" w:fill="FFFFFF"/>
        <w:spacing w:after="0" w:line="240" w:lineRule="auto"/>
        <w:jc w:val="both"/>
        <w:rPr>
          <w:rFonts w:ascii="Times New Roman" w:hAnsi="Times New Roman"/>
          <w:color w:val="000000" w:themeColor="text1"/>
          <w:sz w:val="16"/>
          <w:szCs w:val="16"/>
        </w:rPr>
      </w:pPr>
    </w:p>
    <w:p w14:paraId="475895CA" w14:textId="77777777" w:rsidR="0096186D" w:rsidRPr="001E2C69" w:rsidRDefault="0096186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конце июля 1942 года завод №37 влили в состав УЗТМ и вместо Т-70 организовывался выпуск Т-34 (21261).</w:t>
      </w:r>
    </w:p>
    <w:p w14:paraId="2C774385" w14:textId="77777777" w:rsidR="0096186D" w:rsidRPr="001E2C69" w:rsidRDefault="0096186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282503A" w14:textId="77777777" w:rsidR="007D206F" w:rsidRPr="008A2E5A" w:rsidRDefault="007D206F" w:rsidP="007D206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конце июля 1942 года было решено переориентировать завод №37 на выпуск танков Т-34 и работы по легким САУ там прекратились. Далее разработка началась в Кирове, на заводе №38. Инициировали ее постановлением ГКО №2429сс "О производстве опытных образцов артиллерийских самоходных установок". Так на свет появилась СУ-12, принятая на вооружение Красной Армии еще до завершения испытаний (23367).</w:t>
      </w:r>
    </w:p>
    <w:p w14:paraId="6C4CA852" w14:textId="77777777" w:rsidR="007D206F" w:rsidRPr="008A2E5A" w:rsidRDefault="007D206F" w:rsidP="007D206F">
      <w:pPr>
        <w:spacing w:after="0" w:line="240" w:lineRule="auto"/>
        <w:jc w:val="both"/>
        <w:rPr>
          <w:rFonts w:ascii="Times New Roman" w:hAnsi="Times New Roman"/>
          <w:color w:val="0070C0"/>
          <w:sz w:val="16"/>
          <w:szCs w:val="16"/>
        </w:rPr>
      </w:pPr>
    </w:p>
    <w:p w14:paraId="7EA972C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конце июля месяца 1942 проект использования 10000 тонного пресса для штамповки башен Т-34 предста</w:t>
      </w:r>
      <w:r w:rsidRPr="001E2C69">
        <w:rPr>
          <w:rFonts w:ascii="Times New Roman" w:hAnsi="Times New Roman"/>
          <w:color w:val="000000" w:themeColor="text1"/>
          <w:sz w:val="16"/>
          <w:szCs w:val="16"/>
        </w:rPr>
        <w:softHyphen/>
        <w:t>вили на рассмотрение ОГК НКТП. Руководство Наркомата первоначально прохладно отнеслось к проекту, так как еще весной положение с броневым прокатом средней и боль</w:t>
      </w:r>
      <w:r w:rsidRPr="001E2C69">
        <w:rPr>
          <w:rFonts w:ascii="Times New Roman" w:hAnsi="Times New Roman"/>
          <w:color w:val="000000" w:themeColor="text1"/>
          <w:sz w:val="16"/>
          <w:szCs w:val="16"/>
        </w:rPr>
        <w:softHyphen/>
        <w:t>шой толщины было катастрофическим. Однако к августу путем жесткой стандартизации, уменьшения номенклатуры проката и стопроцентного контроля выпускаемой продук</w:t>
      </w:r>
      <w:r w:rsidRPr="001E2C69">
        <w:rPr>
          <w:rFonts w:ascii="Times New Roman" w:hAnsi="Times New Roman"/>
          <w:color w:val="000000" w:themeColor="text1"/>
          <w:sz w:val="16"/>
          <w:szCs w:val="16"/>
        </w:rPr>
        <w:softHyphen/>
        <w:t>ции положение с 45-мм бронелистом выправилось. Но 60-мм листа, из которого планировалось штамповать башен</w:t>
      </w:r>
      <w:r w:rsidRPr="001E2C69">
        <w:rPr>
          <w:rFonts w:ascii="Times New Roman" w:hAnsi="Times New Roman"/>
          <w:color w:val="000000" w:themeColor="text1"/>
          <w:sz w:val="16"/>
          <w:szCs w:val="16"/>
        </w:rPr>
        <w:softHyphen/>
        <w:t>ные купола, все еще было недостаточно. Поэтому по согла</w:t>
      </w:r>
      <w:r w:rsidRPr="001E2C69">
        <w:rPr>
          <w:rFonts w:ascii="Times New Roman" w:hAnsi="Times New Roman"/>
          <w:color w:val="000000" w:themeColor="text1"/>
          <w:sz w:val="16"/>
          <w:szCs w:val="16"/>
        </w:rPr>
        <w:softHyphen/>
        <w:t>сованию с ОГК НКТП в сентябре проект был переработан на использование 45-мм листа, и в середине месяца матри</w:t>
      </w:r>
      <w:r w:rsidRPr="001E2C69">
        <w:rPr>
          <w:rFonts w:ascii="Times New Roman" w:hAnsi="Times New Roman"/>
          <w:color w:val="000000" w:themeColor="text1"/>
          <w:sz w:val="16"/>
          <w:szCs w:val="16"/>
        </w:rPr>
        <w:softHyphen/>
        <w:t>ца и пуансон для выпуска первой башни бьши готовы. 19 сентября из бронелиста средней твердости были отштампо</w:t>
      </w:r>
      <w:r w:rsidRPr="001E2C69">
        <w:rPr>
          <w:rFonts w:ascii="Times New Roman" w:hAnsi="Times New Roman"/>
          <w:color w:val="000000" w:themeColor="text1"/>
          <w:sz w:val="16"/>
          <w:szCs w:val="16"/>
        </w:rPr>
        <w:softHyphen/>
        <w:t>ваны первые три башенных купола, прозванные заводчана-ми «формочками». Эксперимент показал, что, вопреки вы</w:t>
      </w:r>
      <w:r w:rsidRPr="001E2C69">
        <w:rPr>
          <w:rFonts w:ascii="Times New Roman" w:hAnsi="Times New Roman"/>
          <w:color w:val="000000" w:themeColor="text1"/>
          <w:sz w:val="16"/>
          <w:szCs w:val="16"/>
        </w:rPr>
        <w:softHyphen/>
        <w:t>сказываниям скептиков, купола получились целыми, без разрывов и трещин. Термообработка не привела к значи</w:t>
      </w:r>
      <w:r w:rsidRPr="001E2C69">
        <w:rPr>
          <w:rFonts w:ascii="Times New Roman" w:hAnsi="Times New Roman"/>
          <w:color w:val="000000" w:themeColor="text1"/>
          <w:sz w:val="16"/>
          <w:szCs w:val="16"/>
        </w:rPr>
        <w:softHyphen/>
        <w:t>тельным деформациям, а главное — снарядостойкость штампованного купола оказалась куда лучшей, чем таковая у самой лучшей литой башни, несмотря на меньшую тол</w:t>
      </w:r>
      <w:r w:rsidRPr="001E2C69">
        <w:rPr>
          <w:rFonts w:ascii="Times New Roman" w:hAnsi="Times New Roman"/>
          <w:color w:val="000000" w:themeColor="text1"/>
          <w:sz w:val="16"/>
          <w:szCs w:val="16"/>
        </w:rPr>
        <w:softHyphen/>
        <w:t>щину стенок. Стоимость новой башни оказалась на 5000 рублей выше, чем У литой, но производительность труда при штамповке была высочайшей. Механизмы для танка УЗТМ получал первоначально от УТЗ им. Сталина, позднее — от ЧКЗ. Первые 5 танков Т-34 УЗТМ сдал заказчику в сентябре 1942 г., до конца 1942 г. это количество составило 266 машин, из них со штампованной башней — 106. ЧКЗ, производивший прежде тяжелые танки КВ, на</w:t>
      </w:r>
      <w:r w:rsidRPr="001E2C69">
        <w:rPr>
          <w:rFonts w:ascii="Times New Roman" w:hAnsi="Times New Roman"/>
          <w:color w:val="000000" w:themeColor="text1"/>
          <w:sz w:val="16"/>
          <w:szCs w:val="16"/>
        </w:rPr>
        <w:softHyphen/>
        <w:t>ходился в более выгодном положении в плане выпуска Т-34 перед другими, ведь распоряжением наркома НКТП В. Малышева завод прорабатывал вопрос об освоении вы</w:t>
      </w:r>
      <w:r w:rsidRPr="001E2C69">
        <w:rPr>
          <w:rFonts w:ascii="Times New Roman" w:hAnsi="Times New Roman"/>
          <w:color w:val="000000" w:themeColor="text1"/>
          <w:sz w:val="16"/>
          <w:szCs w:val="16"/>
        </w:rPr>
        <w:softHyphen/>
        <w:t>пуска Т-34 еще осенью 1941 г. Но тогда время челябинских «тридцатьчетверок» еще не настало (10782).</w:t>
      </w:r>
    </w:p>
    <w:p w14:paraId="45A42F6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56DE99F2"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34C4BD52" w14:textId="77777777" w:rsidR="00AE7191" w:rsidRPr="001E2C69" w:rsidRDefault="00AE7191" w:rsidP="00722885">
      <w:pPr>
        <w:pStyle w:val="Iauiue"/>
        <w:jc w:val="both"/>
        <w:rPr>
          <w:iCs/>
          <w:color w:val="000000" w:themeColor="text1"/>
          <w:sz w:val="16"/>
          <w:szCs w:val="16"/>
        </w:rPr>
      </w:pPr>
    </w:p>
    <w:p w14:paraId="3EAD9AF0" w14:textId="77777777" w:rsidR="004D6E34" w:rsidRPr="001E2C69" w:rsidRDefault="004D6E3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конце июля 1942 г. противник предпринял первые налёты на Сталинград. Они осущест</w:t>
      </w:r>
      <w:r w:rsidRPr="001E2C69">
        <w:rPr>
          <w:rFonts w:ascii="Times New Roman" w:hAnsi="Times New Roman"/>
          <w:color w:val="000000" w:themeColor="text1"/>
          <w:sz w:val="16"/>
          <w:szCs w:val="16"/>
        </w:rPr>
        <w:softHyphen/>
        <w:t>влялись ночью группами по 20-45 самолётов на высотах 2000-2500 м. Эти налёты носили эпизо</w:t>
      </w:r>
      <w:r w:rsidRPr="001E2C69">
        <w:rPr>
          <w:rFonts w:ascii="Times New Roman" w:hAnsi="Times New Roman"/>
          <w:color w:val="000000" w:themeColor="text1"/>
          <w:sz w:val="16"/>
          <w:szCs w:val="16"/>
        </w:rPr>
        <w:softHyphen/>
        <w:t>дический характер и успешно отражались огнём зенитной артиллерии.</w:t>
      </w:r>
    </w:p>
    <w:p w14:paraId="251DABE0" w14:textId="77777777" w:rsidR="004D6E34" w:rsidRPr="001E2C69" w:rsidRDefault="004D6E3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августа целый день над Сталинградом ви</w:t>
      </w:r>
      <w:r w:rsidRPr="001E2C69">
        <w:rPr>
          <w:rFonts w:ascii="Times New Roman" w:hAnsi="Times New Roman"/>
          <w:color w:val="000000" w:themeColor="text1"/>
          <w:sz w:val="16"/>
          <w:szCs w:val="16"/>
        </w:rPr>
        <w:softHyphen/>
        <w:t>сели немецкие бомбардировщики. В это время 6-я армия Паулюса рвалась на северную окраину Сталинграда, а 4-я танковая армия Гота пробива</w:t>
      </w:r>
      <w:r w:rsidRPr="001E2C69">
        <w:rPr>
          <w:rFonts w:ascii="Times New Roman" w:hAnsi="Times New Roman"/>
          <w:color w:val="000000" w:themeColor="text1"/>
          <w:sz w:val="16"/>
          <w:szCs w:val="16"/>
        </w:rPr>
        <w:softHyphen/>
        <w:t>лась в южные пригороды. С утра группами по 10</w:t>
      </w:r>
      <w:r w:rsidRPr="001E2C69">
        <w:rPr>
          <w:rFonts w:ascii="Times New Roman" w:hAnsi="Times New Roman"/>
          <w:color w:val="000000" w:themeColor="text1"/>
          <w:sz w:val="16"/>
          <w:szCs w:val="16"/>
        </w:rPr>
        <w:softHyphen/>
        <w:t>15 бомбардировщиков противник бомбил почти без перерывов Тракторный завод. Во второй по</w:t>
      </w:r>
      <w:r w:rsidRPr="001E2C69">
        <w:rPr>
          <w:rFonts w:ascii="Times New Roman" w:hAnsi="Times New Roman"/>
          <w:color w:val="000000" w:themeColor="text1"/>
          <w:sz w:val="16"/>
          <w:szCs w:val="16"/>
        </w:rPr>
        <w:softHyphen/>
        <w:t>ловине дня противник провёл первый массиро</w:t>
      </w:r>
      <w:r w:rsidRPr="001E2C69">
        <w:rPr>
          <w:rFonts w:ascii="Times New Roman" w:hAnsi="Times New Roman"/>
          <w:color w:val="000000" w:themeColor="text1"/>
          <w:sz w:val="16"/>
          <w:szCs w:val="16"/>
        </w:rPr>
        <w:softHyphen/>
        <w:t>ванный налёт на Сталинград авиацией 4-го воз</w:t>
      </w:r>
      <w:r w:rsidRPr="001E2C69">
        <w:rPr>
          <w:rFonts w:ascii="Times New Roman" w:hAnsi="Times New Roman"/>
          <w:color w:val="000000" w:themeColor="text1"/>
          <w:sz w:val="16"/>
          <w:szCs w:val="16"/>
        </w:rPr>
        <w:softHyphen/>
        <w:t>душного флота. Около 400 бомбардировщиков под прикрытием истребителей обрушили тысячи бомб на центральную и южную части города.</w:t>
      </w:r>
    </w:p>
    <w:p w14:paraId="7E577D2C" w14:textId="77777777" w:rsidR="004D6E34" w:rsidRPr="001E2C69" w:rsidRDefault="004D6E3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один из моментов сражения за город иссяк</w:t>
      </w:r>
      <w:r w:rsidRPr="001E2C69">
        <w:rPr>
          <w:rFonts w:ascii="Times New Roman" w:hAnsi="Times New Roman"/>
          <w:color w:val="000000" w:themeColor="text1"/>
          <w:sz w:val="16"/>
          <w:szCs w:val="16"/>
        </w:rPr>
        <w:softHyphen/>
        <w:t>ли снаряды к зенитным орудиям. Расчётное вре</w:t>
      </w:r>
      <w:r w:rsidRPr="001E2C69">
        <w:rPr>
          <w:rFonts w:ascii="Times New Roman" w:hAnsi="Times New Roman"/>
          <w:color w:val="000000" w:themeColor="text1"/>
          <w:sz w:val="16"/>
          <w:szCs w:val="16"/>
        </w:rPr>
        <w:softHyphen/>
        <w:t>мя их доставки с другого берега Волги составляло два часа. Используя слабость зенитного огня, не</w:t>
      </w:r>
      <w:r w:rsidRPr="001E2C69">
        <w:rPr>
          <w:rFonts w:ascii="Times New Roman" w:hAnsi="Times New Roman"/>
          <w:color w:val="000000" w:themeColor="text1"/>
          <w:sz w:val="16"/>
          <w:szCs w:val="16"/>
        </w:rPr>
        <w:softHyphen/>
        <w:t>мецкие самолёты стали «утюжить» город. Мощ</w:t>
      </w:r>
      <w:r w:rsidRPr="001E2C69">
        <w:rPr>
          <w:rFonts w:ascii="Times New Roman" w:hAnsi="Times New Roman"/>
          <w:color w:val="000000" w:themeColor="text1"/>
          <w:sz w:val="16"/>
          <w:szCs w:val="16"/>
        </w:rPr>
        <w:softHyphen/>
        <w:t>ный удар пришёлся и по позициям зенитчиков. Тогда командующий силами и средствами ПВО Сталинграда полковник Е.А. Райнин отдал при</w:t>
      </w:r>
      <w:r w:rsidRPr="001E2C69">
        <w:rPr>
          <w:rFonts w:ascii="Times New Roman" w:hAnsi="Times New Roman"/>
          <w:color w:val="000000" w:themeColor="text1"/>
          <w:sz w:val="16"/>
          <w:szCs w:val="16"/>
        </w:rPr>
        <w:softHyphen/>
        <w:t>каз: «Поднять аэростаты заграждения».</w:t>
      </w:r>
    </w:p>
    <w:p w14:paraId="7D6A0827" w14:textId="77777777" w:rsidR="004D6E34" w:rsidRPr="001E2C69" w:rsidRDefault="004D6E3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Аэростаты оттеснили самолёты с малых на средние высоты. А те, в свою очередь, перенес</w:t>
      </w:r>
      <w:r w:rsidRPr="001E2C69">
        <w:rPr>
          <w:rFonts w:ascii="Times New Roman" w:hAnsi="Times New Roman"/>
          <w:color w:val="000000" w:themeColor="text1"/>
          <w:sz w:val="16"/>
          <w:szCs w:val="16"/>
        </w:rPr>
        <w:softHyphen/>
        <w:t>ли свой огонь с наземных объектов на аэроста</w:t>
      </w:r>
      <w:r w:rsidRPr="001E2C69">
        <w:rPr>
          <w:rFonts w:ascii="Times New Roman" w:hAnsi="Times New Roman"/>
          <w:color w:val="000000" w:themeColor="text1"/>
          <w:sz w:val="16"/>
          <w:szCs w:val="16"/>
        </w:rPr>
        <w:softHyphen/>
        <w:t>ты. В течение полутора-двух часов шёл расстрел аэростатов заграждения немецкими самолёта</w:t>
      </w:r>
      <w:r w:rsidRPr="001E2C69">
        <w:rPr>
          <w:rFonts w:ascii="Times New Roman" w:hAnsi="Times New Roman"/>
          <w:color w:val="000000" w:themeColor="text1"/>
          <w:sz w:val="16"/>
          <w:szCs w:val="16"/>
        </w:rPr>
        <w:softHyphen/>
        <w:t>ми. Аэростаты продержались так долго, потому что немцы боялись расстреливать наполненные водородом оболочки с близкого расстояния, а обстрел с больших дистанций не всегда дости</w:t>
      </w:r>
      <w:r w:rsidRPr="001E2C69">
        <w:rPr>
          <w:rFonts w:ascii="Times New Roman" w:hAnsi="Times New Roman"/>
          <w:color w:val="000000" w:themeColor="text1"/>
          <w:sz w:val="16"/>
          <w:szCs w:val="16"/>
        </w:rPr>
        <w:softHyphen/>
        <w:t>гал цели. Но постепенно аэростаты загорались, а штормовой ветер довершал их уничтожение. По существу, аэростатами пожертвовали ради спасения зенитно-артиллерийских средств. Через два часа 6-й ОДАЗ окончательно потерял боеспо</w:t>
      </w:r>
      <w:r w:rsidRPr="001E2C69">
        <w:rPr>
          <w:rFonts w:ascii="Times New Roman" w:hAnsi="Times New Roman"/>
          <w:color w:val="000000" w:themeColor="text1"/>
          <w:sz w:val="16"/>
          <w:szCs w:val="16"/>
        </w:rPr>
        <w:softHyphen/>
        <w:t>собность, но за это время были подвезены снаря</w:t>
      </w:r>
      <w:r w:rsidRPr="001E2C69">
        <w:rPr>
          <w:rFonts w:ascii="Times New Roman" w:hAnsi="Times New Roman"/>
          <w:color w:val="000000" w:themeColor="text1"/>
          <w:sz w:val="16"/>
          <w:szCs w:val="16"/>
        </w:rPr>
        <w:softHyphen/>
        <w:t>ды с другого берега Волги, и зенитная артиллерия вновь вступила в бой.</w:t>
      </w:r>
    </w:p>
    <w:p w14:paraId="67C7B414" w14:textId="77777777" w:rsidR="004D6E34" w:rsidRPr="001E2C69" w:rsidRDefault="004D6E3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гибели аэростатов заграждения в небе Сталинграда 6-й ОДАЗ отправили на перефор</w:t>
      </w:r>
      <w:r w:rsidRPr="001E2C69">
        <w:rPr>
          <w:rFonts w:ascii="Times New Roman" w:hAnsi="Times New Roman"/>
          <w:color w:val="000000" w:themeColor="text1"/>
          <w:sz w:val="16"/>
          <w:szCs w:val="16"/>
        </w:rPr>
        <w:softHyphen/>
        <w:t>мирование в Саратов. Часть личного состава ди</w:t>
      </w:r>
      <w:r w:rsidRPr="001E2C69">
        <w:rPr>
          <w:rFonts w:ascii="Times New Roman" w:hAnsi="Times New Roman"/>
          <w:color w:val="000000" w:themeColor="text1"/>
          <w:sz w:val="16"/>
          <w:szCs w:val="16"/>
        </w:rPr>
        <w:softHyphen/>
        <w:t>визиона передали в комендантскую службу для охраны штаба фронта и пополнения стрелко</w:t>
      </w:r>
      <w:r w:rsidRPr="001E2C69">
        <w:rPr>
          <w:rFonts w:ascii="Times New Roman" w:hAnsi="Times New Roman"/>
          <w:color w:val="000000" w:themeColor="text1"/>
          <w:sz w:val="16"/>
          <w:szCs w:val="16"/>
        </w:rPr>
        <w:softHyphen/>
        <w:t>вых частей, защищавших Бекетовку и Красноармейск. На смену 6-му ОДАЗ в Сталинград при</w:t>
      </w:r>
      <w:r w:rsidRPr="001E2C69">
        <w:rPr>
          <w:rFonts w:ascii="Times New Roman" w:hAnsi="Times New Roman"/>
          <w:color w:val="000000" w:themeColor="text1"/>
          <w:sz w:val="16"/>
          <w:szCs w:val="16"/>
        </w:rPr>
        <w:softHyphen/>
        <w:t>был 26-й ОДАЗ (20120).</w:t>
      </w:r>
    </w:p>
    <w:p w14:paraId="73546377" w14:textId="77777777" w:rsidR="004D6E34" w:rsidRPr="001E2C69" w:rsidRDefault="004D6E34" w:rsidP="00722885">
      <w:pPr>
        <w:spacing w:after="0" w:line="240" w:lineRule="auto"/>
        <w:jc w:val="both"/>
        <w:rPr>
          <w:rFonts w:ascii="Times New Roman" w:hAnsi="Times New Roman"/>
          <w:color w:val="000000" w:themeColor="text1"/>
          <w:sz w:val="16"/>
          <w:szCs w:val="16"/>
        </w:rPr>
      </w:pPr>
    </w:p>
    <w:p w14:paraId="7A9FB58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конце июля 1942 года в 244-и дивизии к трем первоначальным полкам (861-му, 45-му и 449-му) добавился 860-й, а к зиме дивизия разрослась до пяти полков, все на Б-3. В таком составе она вступила в Сталинградскую битву (3457,101).</w:t>
      </w:r>
    </w:p>
    <w:p w14:paraId="5C04B5FE" w14:textId="77777777" w:rsidR="00AE7191" w:rsidRPr="001E2C69" w:rsidRDefault="00AE7191" w:rsidP="00722885">
      <w:pPr>
        <w:pStyle w:val="Iauiue"/>
        <w:jc w:val="both"/>
        <w:rPr>
          <w:color w:val="000000" w:themeColor="text1"/>
          <w:sz w:val="16"/>
          <w:szCs w:val="16"/>
        </w:rPr>
      </w:pPr>
    </w:p>
    <w:p w14:paraId="3BC6AE1C" w14:textId="77777777" w:rsidR="00AE7191" w:rsidRPr="001E2C69" w:rsidRDefault="00AE7191" w:rsidP="00722885">
      <w:pPr>
        <w:pStyle w:val="a4"/>
        <w:rPr>
          <w:color w:val="000000" w:themeColor="text1"/>
          <w:lang w:val="ru-RU"/>
        </w:rPr>
      </w:pPr>
      <w:r w:rsidRPr="001E2C69">
        <w:rPr>
          <w:color w:val="000000" w:themeColor="text1"/>
          <w:lang w:val="ru-RU"/>
        </w:rPr>
        <w:t>В конце июля 1942 г. с целью выявления фактической эффективности действия немецкой авиации по бронетанковым частям Красной Армии, на участки Брянского и Западного фронтов выехали специалисты 2-го отдела (отдел по использованию опыта войны) Оперативного управления штаба ВВС КА.</w:t>
      </w:r>
    </w:p>
    <w:p w14:paraId="50124409" w14:textId="77777777" w:rsidR="00AE7191" w:rsidRPr="001E2C69" w:rsidRDefault="00AE7191" w:rsidP="00722885">
      <w:pPr>
        <w:pStyle w:val="a4"/>
        <w:rPr>
          <w:color w:val="000000" w:themeColor="text1"/>
          <w:lang w:val="ru-RU"/>
        </w:rPr>
      </w:pPr>
      <w:r w:rsidRPr="001E2C69">
        <w:rPr>
          <w:color w:val="000000" w:themeColor="text1"/>
          <w:lang w:val="ru-RU"/>
        </w:rPr>
        <w:t>Анализ документов и заявлений коман</w:t>
      </w:r>
      <w:r w:rsidRPr="001E2C69">
        <w:rPr>
          <w:color w:val="000000" w:themeColor="text1"/>
          <w:lang w:val="ru-RU"/>
        </w:rPr>
        <w:softHyphen/>
        <w:t>диров частей и соединений 5-й танковой армии, подвижной механизированной группы генерал-майора Бычковского, 7-го танкового корпуса,3-й гвардейской,62-й и 71-й танковых бригад показал, что тяжелые и средние танки типа КВ-1 и Т-34 унич</w:t>
      </w:r>
      <w:r w:rsidRPr="001E2C69">
        <w:rPr>
          <w:color w:val="000000" w:themeColor="text1"/>
          <w:lang w:val="ru-RU"/>
        </w:rPr>
        <w:softHyphen/>
        <w:t>тожаются только при прямом попадании бомбы крупного калибра. При падении бомб крупного калибра 250-500 кг с взрывателем мгновенного действия на расстоянии 1-1,5 м от танка или при прямом попадании фугасной 50-кг бомбы танк выводился из строя временно. Однако прямое попадание бомбы в танк было случайным явлением: «...даже бомбометание с пикирования с высоты 800-1000 м несколькими десят</w:t>
      </w:r>
      <w:r w:rsidRPr="001E2C69">
        <w:rPr>
          <w:color w:val="000000" w:themeColor="text1"/>
          <w:lang w:val="ru-RU"/>
        </w:rPr>
        <w:softHyphen/>
        <w:t>ками самолетов не всегда дает желаемый результат».</w:t>
      </w:r>
    </w:p>
    <w:p w14:paraId="67C8DB45" w14:textId="77777777" w:rsidR="00AE7191" w:rsidRPr="001E2C69" w:rsidRDefault="00AE7191" w:rsidP="00722885">
      <w:pPr>
        <w:pStyle w:val="a4"/>
        <w:rPr>
          <w:color w:val="000000" w:themeColor="text1"/>
          <w:lang w:val="ru-RU"/>
        </w:rPr>
      </w:pPr>
      <w:r w:rsidRPr="001E2C69">
        <w:rPr>
          <w:color w:val="000000" w:themeColor="text1"/>
          <w:lang w:val="ru-RU"/>
        </w:rPr>
        <w:t>Легкие танки несут значительно боль</w:t>
      </w:r>
      <w:r w:rsidRPr="001E2C69">
        <w:rPr>
          <w:color w:val="000000" w:themeColor="text1"/>
          <w:lang w:val="ru-RU"/>
        </w:rPr>
        <w:softHyphen/>
        <w:t>шие потери, так как поражаются осколками крупных бомб на расстоянии до 10 м и, кроме того, несут поражение от огня авиационных пушек.</w:t>
      </w:r>
    </w:p>
    <w:p w14:paraId="1F90C348" w14:textId="77777777" w:rsidR="00AE7191" w:rsidRPr="001E2C69" w:rsidRDefault="00AE7191" w:rsidP="00722885">
      <w:pPr>
        <w:pStyle w:val="a4"/>
        <w:rPr>
          <w:color w:val="000000" w:themeColor="text1"/>
          <w:lang w:val="ru-RU"/>
        </w:rPr>
      </w:pPr>
      <w:r w:rsidRPr="001E2C69">
        <w:rPr>
          <w:color w:val="000000" w:themeColor="text1"/>
          <w:lang w:val="ru-RU"/>
        </w:rPr>
        <w:t>Наибольшее поражение танкам на</w:t>
      </w:r>
      <w:r w:rsidRPr="001E2C69">
        <w:rPr>
          <w:color w:val="000000" w:themeColor="text1"/>
          <w:lang w:val="ru-RU"/>
        </w:rPr>
        <w:softHyphen/>
        <w:t>носится в том случае, если бомбометание производится по их плотному скоплению у переправ, в эшелонах или при выгрузке из них. Рассредоточение танков на 80-100 м вполне гарантирует их от поражения, как на марше, так и при расположении на месте, так как поражение в этом случае может быть только случайным.</w:t>
      </w:r>
    </w:p>
    <w:p w14:paraId="0FA05323" w14:textId="77777777" w:rsidR="00AE7191" w:rsidRPr="001E2C69" w:rsidRDefault="00AE7191" w:rsidP="00722885">
      <w:pPr>
        <w:pStyle w:val="a4"/>
        <w:rPr>
          <w:color w:val="000000" w:themeColor="text1"/>
          <w:lang w:val="ru-RU"/>
        </w:rPr>
      </w:pPr>
      <w:r w:rsidRPr="001E2C69">
        <w:rPr>
          <w:color w:val="000000" w:themeColor="text1"/>
          <w:lang w:val="ru-RU"/>
        </w:rPr>
        <w:t>Значительные потери от авиационных бомб и пулеметно-пушечного огня само</w:t>
      </w:r>
      <w:r w:rsidRPr="001E2C69">
        <w:rPr>
          <w:color w:val="000000" w:themeColor="text1"/>
          <w:lang w:val="ru-RU"/>
        </w:rPr>
        <w:softHyphen/>
        <w:t>летов несут неокопавшаяся живая сила, в частности мотопехота танковых бригад и вспомогательные технические средства (автотранспорт с боеприпасами, бензоци</w:t>
      </w:r>
      <w:r w:rsidRPr="001E2C69">
        <w:rPr>
          <w:color w:val="000000" w:themeColor="text1"/>
          <w:lang w:val="ru-RU"/>
        </w:rPr>
        <w:softHyphen/>
        <w:t>стерны и бензозаправщики, радиостанции и походные мастерские).</w:t>
      </w:r>
    </w:p>
    <w:p w14:paraId="14A21F1D" w14:textId="77777777" w:rsidR="00AE7191" w:rsidRPr="001E2C69" w:rsidRDefault="00AE7191" w:rsidP="00722885">
      <w:pPr>
        <w:pStyle w:val="a4"/>
        <w:rPr>
          <w:color w:val="000000" w:themeColor="text1"/>
          <w:lang w:val="ru-RU"/>
        </w:rPr>
      </w:pPr>
      <w:r w:rsidRPr="001E2C69">
        <w:rPr>
          <w:color w:val="000000" w:themeColor="text1"/>
          <w:lang w:val="ru-RU"/>
        </w:rPr>
        <w:t>Систематические массированные действия немецкой авиации по нашим танковым частям и соединениям, не нанося значительных потерь боевым машинам, тем не менее, сковывали их, отсекали от танков мотопехоту, лишали возможности сближения с противником и продвижения на поле боя до момента достижения его боевых порядков, когда авиация противника «из-за боязни поражения своих танков прекращает атаки».</w:t>
      </w:r>
    </w:p>
    <w:p w14:paraId="2A905442" w14:textId="77777777" w:rsidR="00AE7191" w:rsidRPr="001E2C69" w:rsidRDefault="00AE7191" w:rsidP="00722885">
      <w:pPr>
        <w:pStyle w:val="a4"/>
        <w:rPr>
          <w:color w:val="000000" w:themeColor="text1"/>
          <w:lang w:val="ru-RU"/>
        </w:rPr>
      </w:pPr>
      <w:r w:rsidRPr="001E2C69">
        <w:rPr>
          <w:color w:val="000000" w:themeColor="text1"/>
          <w:lang w:val="ru-RU"/>
        </w:rPr>
        <w:t>Бомбардировка танковых частей авиацией оправдывается только с точки зрения достижения тактического эффекта - задержки продвижения танков, особенно в дефиле (переправы, гати, и т.п.) и в исходных пунктах для атаки. Бомбежки с целью уничтожения боевых машин могут дать некоторый эффект только в местах скопления - в эшелонах, на погрузке и выгрузке и т.п.</w:t>
      </w:r>
    </w:p>
    <w:p w14:paraId="7DFD2EB5" w14:textId="77777777" w:rsidR="00AE7191" w:rsidRPr="001E2C69" w:rsidRDefault="00AE7191" w:rsidP="00722885">
      <w:pPr>
        <w:pStyle w:val="6b"/>
        <w:shd w:val="clear" w:color="auto" w:fill="auto"/>
        <w:spacing w:before="0" w:line="240" w:lineRule="auto"/>
        <w:rPr>
          <w:rFonts w:ascii="Times New Roman" w:hAnsi="Times New Roman"/>
          <w:color w:val="000000" w:themeColor="text1"/>
          <w:sz w:val="16"/>
          <w:szCs w:val="16"/>
        </w:rPr>
      </w:pPr>
      <w:r w:rsidRPr="001E2C69">
        <w:rPr>
          <w:rStyle w:val="622"/>
          <w:rFonts w:ascii="Times New Roman" w:hAnsi="Times New Roman" w:cs="Times New Roman"/>
          <w:i w:val="0"/>
          <w:iCs w:val="0"/>
          <w:color w:val="000000" w:themeColor="text1"/>
          <w:sz w:val="16"/>
          <w:szCs w:val="16"/>
        </w:rPr>
        <w:t xml:space="preserve">Командир 3-й гвардейской танковой бригады полковник И. А. Вовченко показал: </w:t>
      </w:r>
      <w:r w:rsidRPr="001E2C69">
        <w:rPr>
          <w:rFonts w:ascii="Times New Roman" w:hAnsi="Times New Roman"/>
          <w:color w:val="000000" w:themeColor="text1"/>
          <w:sz w:val="16"/>
          <w:szCs w:val="16"/>
        </w:rPr>
        <w:t>«В период с 6.7.42 по 14.7.42 бригаду еже</w:t>
      </w:r>
      <w:r w:rsidRPr="001E2C69">
        <w:rPr>
          <w:rFonts w:ascii="Times New Roman" w:hAnsi="Times New Roman"/>
          <w:color w:val="000000" w:themeColor="text1"/>
          <w:sz w:val="16"/>
          <w:szCs w:val="16"/>
        </w:rPr>
        <w:softHyphen/>
        <w:t>дневно бомбила немецкая авиация, совер</w:t>
      </w:r>
      <w:r w:rsidRPr="001E2C69">
        <w:rPr>
          <w:rFonts w:ascii="Times New Roman" w:hAnsi="Times New Roman"/>
          <w:color w:val="000000" w:themeColor="text1"/>
          <w:sz w:val="16"/>
          <w:szCs w:val="16"/>
        </w:rPr>
        <w:softHyphen/>
        <w:t>шая в среднем около 200 самолето-вылетов бомбардировщиков в день (10-12 налетов продолжительностью 30 минут до 1,5 ч группами от 15 до 52 самолетов, из которых 1-15 истребителей, иногда без прикрытия истребителей). Можно сказать, что немцы сейчас воюют на нашем участке фронта на 50% авиацией, на 40% артиллерией, на 9% танками и лишь на 1% пехотой. Не</w:t>
      </w:r>
      <w:r w:rsidRPr="001E2C69">
        <w:rPr>
          <w:rFonts w:ascii="Times New Roman" w:hAnsi="Times New Roman"/>
          <w:color w:val="000000" w:themeColor="text1"/>
          <w:sz w:val="16"/>
          <w:szCs w:val="16"/>
        </w:rPr>
        <w:softHyphen/>
        <w:t>смотря на такие интенсивные бомбежки, бригада безвозвратных потерь от авиации не имела. За это время были два случая повреждения танков».</w:t>
      </w:r>
    </w:p>
    <w:p w14:paraId="74F5C193" w14:textId="77777777" w:rsidR="00AE7191" w:rsidRPr="001E2C69" w:rsidRDefault="00AE7191" w:rsidP="00722885">
      <w:pPr>
        <w:pStyle w:val="a4"/>
        <w:rPr>
          <w:color w:val="000000" w:themeColor="text1"/>
          <w:lang w:val="ru-RU"/>
        </w:rPr>
      </w:pPr>
      <w:r w:rsidRPr="001E2C69">
        <w:rPr>
          <w:color w:val="000000" w:themeColor="text1"/>
          <w:lang w:val="ru-RU"/>
        </w:rPr>
        <w:t>7 июля в корму танка КВ-1 комиссара бригады старшего батальонного комиссара Седякина попала бомба калибра 50 кг. В результате взрыва было сорвано крыло, разбиты триплекс и телескопический при</w:t>
      </w:r>
      <w:r w:rsidRPr="001E2C69">
        <w:rPr>
          <w:color w:val="000000" w:themeColor="text1"/>
          <w:lang w:val="ru-RU"/>
        </w:rPr>
        <w:softHyphen/>
        <w:t>цел . Экипаж остался цел, а сам танк остался на ходу и боеспособности не потерял.</w:t>
      </w:r>
    </w:p>
    <w:p w14:paraId="13100CEE" w14:textId="77777777" w:rsidR="00AE7191" w:rsidRPr="001E2C69" w:rsidRDefault="00AE7191" w:rsidP="00722885">
      <w:pPr>
        <w:pStyle w:val="a4"/>
        <w:rPr>
          <w:color w:val="000000" w:themeColor="text1"/>
          <w:lang w:val="ru-RU"/>
        </w:rPr>
      </w:pPr>
      <w:r w:rsidRPr="001E2C69">
        <w:rPr>
          <w:color w:val="000000" w:themeColor="text1"/>
          <w:lang w:val="ru-RU"/>
        </w:rPr>
        <w:t>В этот же день бомба калибром 500- 1000 кг упала на расстоянии 0,5-0,8 м от танка командира бригады полковника Вовченко. От взрыва образовалась воронка диаметром 18 м и глубиной до 5 м. Танк основательно встряхнуло, затем он сполз в образовавшуюся воронку. У танка оказались разбитыми триплекс и телескопический прицел, сорвана гусеница. Экипаж был легко контужен. Через 5 ч исправленный танк и экипаж пошли в бой.</w:t>
      </w:r>
    </w:p>
    <w:p w14:paraId="69CCC8EC" w14:textId="77777777" w:rsidR="00AE7191" w:rsidRPr="001E2C69" w:rsidRDefault="00AE7191" w:rsidP="00722885">
      <w:pPr>
        <w:pStyle w:val="a4"/>
        <w:rPr>
          <w:color w:val="000000" w:themeColor="text1"/>
          <w:lang w:val="ru-RU"/>
        </w:rPr>
      </w:pPr>
      <w:r w:rsidRPr="001E2C69">
        <w:rPr>
          <w:color w:val="000000" w:themeColor="text1"/>
          <w:lang w:val="ru-RU"/>
        </w:rPr>
        <w:t>По заявлению командира 1 -го батальона 71 -й танковой бригады майора Я.И. Плисова в марте 1942 г. в районе г. Холм в поле остался один тяжелый танк КВ-1, который авиация противника пыталась уничтожить в течение двух дней. В общей сложности по танку «работало» около 60 самолетов 87, ^ 88 и Не111. Пилоты люфтваффе бомбили танк и с пикирования и с горизонтального полета, но безрезультатно. Вся земля вокруг танка и в непосредственной близости от него была изрыта воронками, но прямых попаданий не было. Осколки поражения танку не причинили (12733).</w:t>
      </w:r>
    </w:p>
    <w:p w14:paraId="7044E3FE" w14:textId="77777777" w:rsidR="00AE7191" w:rsidRPr="001E2C69" w:rsidRDefault="00AE7191" w:rsidP="00722885">
      <w:pPr>
        <w:pStyle w:val="a4"/>
        <w:rPr>
          <w:color w:val="000000" w:themeColor="text1"/>
          <w:lang w:val="ru-RU"/>
        </w:rPr>
      </w:pPr>
    </w:p>
    <w:p w14:paraId="1DEB747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конце июля 1942 у станицы Мечетинская ПМГ во главе с командующим ГМЧ А.И. Нестеренко столкнулась с главными силами 1 -и танковой армии вермахта. “Разведка донесла, что движется колонна танков и мотопехоты, – докладывал Москвин. – Мы выбрали позицию у дороги так, чтобы батареи могли одновременно вести огонь. Появились мотоциклисты, за ними машины и танки. Батарейными залпами колонна была накрыта на всю глубину, подбитые и дымящиеся машины останавливались, на них, как слепые, налетали танки и сами загорались. Продвижение противника по этой дороге приостановилось”.</w:t>
      </w:r>
    </w:p>
    <w:p w14:paraId="6CDF05E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Несколько таких ударов вынудили немцев изменить тактику. Они оставляли запасы горючего и боеприпасов в тылу и двигались малыми группами: впереди 15 – 20 танков, за ними грузовики с пехотой. Это снижало темп наступления, но создавало угрозу обхода ПМГ с флангов. В ответ ее командование применило свои малые группы, в каждую из которых входил дивизион “катюш”, рота мотострелков, зенитная и противотанковая батареи. Такая группа майора Пузика, используя метод Москвина, за два дня уничтожила 15 вражеских танков и 35 автомашин.</w:t>
      </w:r>
    </w:p>
    <w:p w14:paraId="42F2CD4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Степь к югу становилась холмистой, и немецкие танки и мотопехота стали накапливаться в складках местности, ложной атакой провоцировали залп БМ-13, и, пока </w:t>
      </w:r>
      <w:r w:rsidRPr="001E2C69">
        <w:rPr>
          <w:color w:val="000000" w:themeColor="text1"/>
          <w:sz w:val="16"/>
          <w:szCs w:val="16"/>
        </w:rPr>
        <w:lastRenderedPageBreak/>
        <w:t>те 5 – 6 мин перезаряжались, совершали бросок.</w:t>
      </w:r>
    </w:p>
    <w:p w14:paraId="77BB075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“Однажды, подъезжая к огневой позиции 14-го дивизиона, увидел, что у левофланговой машины направляющие подняты до отказа, а на них, подложив чехол, сидит Москвин, – вспоминал генерал Нестеренко. – Комиссар дивизиона Юровский объяснил, что командир наблюдает за неприятелем и корректирует стрельбу”. А Москвин сообщил, что залпом накрыто скопление врага, горят четыре танка и пять машин.</w:t>
      </w:r>
    </w:p>
    <w:p w14:paraId="5D169FC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Если дивизион не реагировал на ложную атаку или вел огонь одной установкои, немцы не покидали укрытий, ожидая, когда “катюши” израсходуют боекомплект. Показательна перемена в психологии гитлеровцев. Раньше они катили громадными колоннами по степи, а теперь, как пехота под пулеметным огнем, таились, использовали отвлекающие действия, выжидали время для атаки. Инициатива уплывала из рук 1 -и танковой армии...</w:t>
      </w:r>
    </w:p>
    <w:p w14:paraId="47FC6E3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Предложенный Москвиным способ корректировки рекомендовали другим частям, и вскоре график немецкого наступления на Кавказ был сорван. Еще несколько дней боев – и из названия 1-й танковой армии можно было бы убирать слово “танковая”, а потери гвардейцев-минометчиков были минимальными – Нестеренко в мемуарах поименно перечислил убитых и раненых (9632).</w:t>
      </w:r>
    </w:p>
    <w:p w14:paraId="3A1DBE93" w14:textId="77777777" w:rsidR="00AE7191" w:rsidRPr="001E2C69" w:rsidRDefault="00AE7191" w:rsidP="00722885">
      <w:pPr>
        <w:pStyle w:val="Iauiue"/>
        <w:jc w:val="both"/>
        <w:rPr>
          <w:color w:val="000000" w:themeColor="text1"/>
          <w:sz w:val="16"/>
          <w:szCs w:val="16"/>
        </w:rPr>
      </w:pPr>
    </w:p>
    <w:p w14:paraId="77704916" w14:textId="77777777" w:rsidR="007D206F" w:rsidRPr="001E2C69" w:rsidRDefault="007D206F" w:rsidP="007D206F">
      <w:pPr>
        <w:pStyle w:val="Iauiue"/>
        <w:jc w:val="both"/>
        <w:rPr>
          <w:iCs/>
          <w:color w:val="000000" w:themeColor="text1"/>
          <w:sz w:val="16"/>
          <w:szCs w:val="16"/>
        </w:rPr>
      </w:pPr>
      <w:r w:rsidRPr="001E2C69">
        <w:rPr>
          <w:i/>
          <w:iCs/>
          <w:color w:val="000000" w:themeColor="text1"/>
          <w:sz w:val="16"/>
          <w:szCs w:val="16"/>
        </w:rPr>
        <w:t>Авиапромышленность:</w:t>
      </w:r>
    </w:p>
    <w:p w14:paraId="29B0CC7A" w14:textId="77777777" w:rsidR="007D206F" w:rsidRPr="001E2C69" w:rsidRDefault="007D206F" w:rsidP="007D206F">
      <w:pPr>
        <w:pStyle w:val="Iauiue"/>
        <w:jc w:val="both"/>
        <w:rPr>
          <w:iCs/>
          <w:color w:val="000000" w:themeColor="text1"/>
          <w:sz w:val="16"/>
          <w:szCs w:val="16"/>
        </w:rPr>
      </w:pPr>
    </w:p>
    <w:p w14:paraId="462A6294" w14:textId="77777777" w:rsidR="007D206F" w:rsidRPr="008A2E5A" w:rsidRDefault="007D206F" w:rsidP="007D206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июля — начале августа 1942 года первые подразделения ВВС были перевооружены на Ла-5. Первой полностью боеготовой частью стал 49 ИАП 234 ИАД из 1-й Воздушной Армии Западного фронта. На полк также была возложена задача провести войсковые испытания новой машины, для чего в него были откомандированы инспекторы из Штаба ВВС. В период с 14 по 24 августа 1942 года 19 истребителей Ла-5 из 49 ИАП совершили 180 боевых вылетов общей продолжительностью 130 часов. Они приняли участие в 27 воздушных боях и сбили 16 самолетов противника. Их собственные потери составляли пять сбитых самолетов, два пропавших без вести, четыре самолета потерпели аварии из-за повреждений, полученных в бою, один — по техническим причинам, а еще один (22 августа) в результате тарана. Таким образом, через две недели осталось только шесть боеготовых Ла-5 из 19 первоначальных. Это было следствием слишком быстрого переучивания на новые самолеты — некоторые из пилотов успели налетать всего 2–3 часа перед тем, как идти в бой.</w:t>
      </w:r>
    </w:p>
    <w:p w14:paraId="6314A4E6" w14:textId="77777777" w:rsidR="007D206F" w:rsidRPr="008A2E5A" w:rsidRDefault="007D206F" w:rsidP="007D206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Подобным образом обстояли дела и в других подразделениях, поспешно перевооруженных новыми истребителями. В их число входили 27, 240, 297 и 437 ИАП 287 ИАД 8-й Воздушной Армии на Сталинградском фронте. За период с 20 августа по 13 сентября 1942 года части 287 ИАД совершили 797 боевых вылетов, в которых уничтожили 87 самолетов противника. Процент потерь Ла-5 был примерно таким же, как и в 49 ИАП. Наиболее успешно действовал 437 ИАП (позднее ставший 113 ГИАП) под командованием майора М. С. Хвостикова, пилоты которого записали на свой счет 53 из 87 побед. Хуже дела обстояли в 240 ИАП майора И. Ф. Соладатьенко, брошенного в бой под Сталинградом после двухнедельной переподготовки. За 10 дней (с 20 по 29 августа) полк выполнил 109 боевых вылетов, принял участие в 58 боях, в которых было уничтожено десять вражеских самолетов (девять Bf-109 и один Ju-88). При этом часть потеряла все свои Ла-5 и большую часть пилотов, после чего была выведена в тыл на переформирование. 75 ИАП, пришедший 4 сентября на смену 240 ИАП, добился лучших результатов. За три месяца боевой деятельности на Сталинградском фронте полк принял участие в 57 воздушных боях, одержав 63 победы и потеряв одиннадцать Ла-5 и четырех пилотов. В дальнейшем полк перевооружили на Як-1 и он стал одним из самых результативных подразделений истребительной авиации советских ВВС. Одно из подтверждений чудовищных потерь, понесенных первыми частями, перевооруженными на Ла-5, можно найти в воспоминаниях Ф. М. Косолапова, служившего в то время летчиком-перегонщиком на заводе № 21. Он перегонял новенькие Ла-5 в учебные центры и, изредка, в боевые подразделения. 27 августа 1942 года он и еще 19 пилотов перегоняли Ла-5 подразделению, базировавшемуся в Верхней Ахтубе под Сталинградом. В ходе перелета Косолапову из-за неисправности пришлось совершить посадку, и из-за ремонта он прибыл к месту назначения на шесть часов позже своих коллег. Он был в шоке, узнав, что ранее прибывших 19 Ла-5 уже не существует. Все истребители немедленно были брошены в бой и погибли. Трудно представить, но за шесть часов был уничтожен целый полк Ла-5!</w:t>
      </w:r>
    </w:p>
    <w:p w14:paraId="2A07034B" w14:textId="77777777" w:rsidR="007D206F" w:rsidRPr="008A2E5A" w:rsidRDefault="007D206F" w:rsidP="007D206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Относительно количества Ла-5 в советских ВВС на Сталинградском фронте можно судить по отчетам 8-й Воздушной Армии за сентябрь-октябрь 1942 года. Воздушная Армия включала 18 истребительных полков, из которых девять были вооружены Як-1, три — Як-7, один — Curtiss P-40, один ЛаГГ-3 и четыре Ла-5 (все они входили в состав 287 ИАД). Но уже к концу года ВВС стали получать достаточное количество новых машин, чтобы части, вооруженные Ла-5, превратились из исключения в правило.</w:t>
      </w:r>
    </w:p>
    <w:p w14:paraId="6A1611C3" w14:textId="77777777" w:rsidR="007D206F" w:rsidRPr="008A2E5A" w:rsidRDefault="007D206F" w:rsidP="007D206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Первым подразделением авиации флота, получившим Ла-5, был 4 ГИАП ВВС КБФ (Краснознаменного Балтийского Флота), две эскадрильи которого в феврале 1943 года были посланы переучиваться на новую машину. К концу марта полк уже вернулся на фронт на новых Ла-5, которые несли на борту надпись «Эскадрилья Валерий Чкалов». Впервые флотские Ла-5 вступили в бой 4 апреля 1943 года. Наряду с новыми истребителями полк продолжал эксплуатировать устаревшие И-16, последние — в основном ночью (23547).</w:t>
      </w:r>
    </w:p>
    <w:p w14:paraId="6BB4448C" w14:textId="77777777" w:rsidR="007D206F" w:rsidRPr="008A2E5A" w:rsidRDefault="007D206F" w:rsidP="007D206F">
      <w:pPr>
        <w:spacing w:after="0" w:line="240" w:lineRule="auto"/>
        <w:jc w:val="both"/>
        <w:rPr>
          <w:rFonts w:ascii="Times New Roman" w:hAnsi="Times New Roman"/>
          <w:color w:val="0070C0"/>
          <w:sz w:val="16"/>
          <w:szCs w:val="16"/>
        </w:rPr>
      </w:pPr>
    </w:p>
    <w:p w14:paraId="2224F1E2" w14:textId="1E77CE11"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7E6034D4" w14:textId="77777777" w:rsidR="00AE7191" w:rsidRPr="001E2C69" w:rsidRDefault="00AE7191" w:rsidP="00722885">
      <w:pPr>
        <w:pStyle w:val="Iauiue"/>
        <w:jc w:val="both"/>
        <w:rPr>
          <w:iCs/>
          <w:color w:val="000000" w:themeColor="text1"/>
          <w:sz w:val="16"/>
          <w:szCs w:val="16"/>
        </w:rPr>
      </w:pPr>
    </w:p>
    <w:p w14:paraId="4BD79F0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согласно И.Ф.Петрову, прошел гос. испытания двухместный Ил-2 с АМ-38Ф (262,59). Задержалась передача двухместного Ил-2 в серию до октября 1942, а в войска - еще позже, наверное, из-за заделов на заводах 1, 18 и 30 (173,219).</w:t>
      </w:r>
    </w:p>
    <w:p w14:paraId="29FCACAE" w14:textId="77777777" w:rsidR="00AE7191" w:rsidRPr="001E2C69" w:rsidRDefault="00AE7191" w:rsidP="00722885">
      <w:pPr>
        <w:pStyle w:val="Iauiue"/>
        <w:jc w:val="both"/>
        <w:rPr>
          <w:color w:val="000000" w:themeColor="text1"/>
          <w:sz w:val="16"/>
          <w:szCs w:val="16"/>
        </w:rPr>
      </w:pPr>
    </w:p>
    <w:p w14:paraId="5D79609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июля 1942 Ил-2 АМ-38ф проходил контрольные испы</w:t>
      </w:r>
      <w:r w:rsidRPr="001E2C69">
        <w:rPr>
          <w:rFonts w:ascii="Times New Roman" w:hAnsi="Times New Roman"/>
          <w:color w:val="000000" w:themeColor="text1"/>
          <w:sz w:val="16"/>
          <w:szCs w:val="16"/>
        </w:rPr>
        <w:softHyphen/>
        <w:t>тания в НИИ ВВС, которые в целом подтвердили результа</w:t>
      </w:r>
      <w:r w:rsidRPr="001E2C69">
        <w:rPr>
          <w:rFonts w:ascii="Times New Roman" w:hAnsi="Times New Roman"/>
          <w:color w:val="000000" w:themeColor="text1"/>
          <w:sz w:val="16"/>
          <w:szCs w:val="16"/>
        </w:rPr>
        <w:softHyphen/>
        <w:t>ты заводских испытаний. Од</w:t>
      </w:r>
      <w:r w:rsidRPr="001E2C69">
        <w:rPr>
          <w:rFonts w:ascii="Times New Roman" w:hAnsi="Times New Roman"/>
          <w:color w:val="000000" w:themeColor="text1"/>
          <w:sz w:val="16"/>
          <w:szCs w:val="16"/>
        </w:rPr>
        <w:softHyphen/>
        <w:t>нако из-за неудовлетвори</w:t>
      </w:r>
      <w:r w:rsidRPr="001E2C69">
        <w:rPr>
          <w:rFonts w:ascii="Times New Roman" w:hAnsi="Times New Roman"/>
          <w:color w:val="000000" w:themeColor="text1"/>
          <w:sz w:val="16"/>
          <w:szCs w:val="16"/>
        </w:rPr>
        <w:softHyphen/>
        <w:t>тельной работы мотора про</w:t>
      </w:r>
      <w:r w:rsidRPr="001E2C69">
        <w:rPr>
          <w:rFonts w:ascii="Times New Roman" w:hAnsi="Times New Roman"/>
          <w:color w:val="000000" w:themeColor="text1"/>
          <w:sz w:val="16"/>
          <w:szCs w:val="16"/>
        </w:rPr>
        <w:softHyphen/>
        <w:t>грамму летных испытаний в полном объеме выполнить не удалось. 18 августа полеты Ил-2 с АМ-38ф были прекращены и самолет возвращен на завод № 18 для устранения обнаруженных дефектов и доводки вин</w:t>
      </w:r>
      <w:r w:rsidRPr="001E2C69">
        <w:rPr>
          <w:rFonts w:ascii="Times New Roman" w:hAnsi="Times New Roman"/>
          <w:color w:val="000000" w:themeColor="text1"/>
          <w:sz w:val="16"/>
          <w:szCs w:val="16"/>
        </w:rPr>
        <w:softHyphen/>
        <w:t>томоторной группы до требуемого уровня надежности.</w:t>
      </w:r>
    </w:p>
    <w:p w14:paraId="147B180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Работы по доводке АМ-38ф проходили достаточно успеш</w:t>
      </w:r>
      <w:r w:rsidRPr="001E2C69">
        <w:rPr>
          <w:rFonts w:ascii="Times New Roman" w:hAnsi="Times New Roman"/>
          <w:color w:val="000000" w:themeColor="text1"/>
          <w:sz w:val="16"/>
          <w:szCs w:val="16"/>
        </w:rPr>
        <w:softHyphen/>
        <w:t>но, и уже в сентябре 1942 г. были проведены повторные 50-ча</w:t>
      </w:r>
      <w:r w:rsidRPr="001E2C69">
        <w:rPr>
          <w:rFonts w:ascii="Times New Roman" w:hAnsi="Times New Roman"/>
          <w:color w:val="000000" w:themeColor="text1"/>
          <w:sz w:val="16"/>
          <w:szCs w:val="16"/>
        </w:rPr>
        <w:softHyphen/>
        <w:t>совые специальные летные испытания мотора на самолете Ил-2. За время испытаний мотор и его агрегаты работали на</w:t>
      </w:r>
      <w:r w:rsidRPr="001E2C69">
        <w:rPr>
          <w:rFonts w:ascii="Times New Roman" w:hAnsi="Times New Roman"/>
          <w:color w:val="000000" w:themeColor="text1"/>
          <w:sz w:val="16"/>
          <w:szCs w:val="16"/>
        </w:rPr>
        <w:softHyphen/>
        <w:t>дежно и дефектов не имели. Наработка мотора на взлетном ре</w:t>
      </w:r>
      <w:r w:rsidRPr="001E2C69">
        <w:rPr>
          <w:rFonts w:ascii="Times New Roman" w:hAnsi="Times New Roman"/>
          <w:color w:val="000000" w:themeColor="text1"/>
          <w:sz w:val="16"/>
          <w:szCs w:val="16"/>
        </w:rPr>
        <w:softHyphen/>
        <w:t>жиме составила 2 ч 5 мин., а на номинальном и 0,5 от номи</w:t>
      </w:r>
      <w:r w:rsidRPr="001E2C69">
        <w:rPr>
          <w:rFonts w:ascii="Times New Roman" w:hAnsi="Times New Roman"/>
          <w:color w:val="000000" w:themeColor="text1"/>
          <w:sz w:val="16"/>
          <w:szCs w:val="16"/>
        </w:rPr>
        <w:softHyphen/>
        <w:t>нального — 43 ч 14 мин. (11474,300).</w:t>
      </w:r>
    </w:p>
    <w:p w14:paraId="5154E36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40A609F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закончились гос. испытания двухместного Ил-2 с АМ-38Ф (438,852).</w:t>
      </w:r>
    </w:p>
    <w:p w14:paraId="3CD83C9D" w14:textId="77777777" w:rsidR="00AE7191" w:rsidRPr="001E2C69" w:rsidRDefault="00AE7191" w:rsidP="00722885">
      <w:pPr>
        <w:pStyle w:val="Iauiue"/>
        <w:jc w:val="both"/>
        <w:rPr>
          <w:color w:val="000000" w:themeColor="text1"/>
          <w:sz w:val="16"/>
          <w:szCs w:val="16"/>
        </w:rPr>
      </w:pPr>
    </w:p>
    <w:p w14:paraId="4E9A399D" w14:textId="77777777" w:rsidR="001B2C96" w:rsidRPr="001E2C69" w:rsidRDefault="001B2C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shd w:val="clear" w:color="auto" w:fill="FFFFFF"/>
        </w:rPr>
        <w:t>В июле 1942 года вышел отчет об испытаниях Ил-2 в НИИ ВВС:</w:t>
      </w:r>
    </w:p>
    <w:p w14:paraId="0DA10911" w14:textId="77777777" w:rsidR="001B2C96" w:rsidRPr="001E2C69" w:rsidRDefault="001B2C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Самолет № 1612 (16-ой серии) отличается от самолета № 0408 (4-ой серии), проходившего госиспытания в январе 1942 г. следующим:</w:t>
      </w:r>
    </w:p>
    <w:p w14:paraId="75E57A29" w14:textId="77777777" w:rsidR="001B2C96" w:rsidRPr="001E2C69" w:rsidRDefault="001B2C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Над верхней частью заднего бензобака поставлена бронеплита толщиной 4 мм.</w:t>
      </w:r>
    </w:p>
    <w:p w14:paraId="7F8C5E71" w14:textId="77777777" w:rsidR="001B2C96" w:rsidRPr="001E2C69" w:rsidRDefault="001B2C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Над головой летчика, на подвижной части фонаря, поставлена броневая плита толщиной 5 мм.</w:t>
      </w:r>
    </w:p>
    <w:p w14:paraId="47101674" w14:textId="77777777" w:rsidR="001B2C96" w:rsidRPr="001E2C69" w:rsidRDefault="001B2C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Средняя часть прозрачной брони за головой летчика заменена на непрозрачную броню толщиной 12 мм.</w:t>
      </w:r>
    </w:p>
    <w:p w14:paraId="4F3A2E4A" w14:textId="77777777" w:rsidR="001B2C96" w:rsidRPr="001E2C69" w:rsidRDefault="001B2C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Поставлена броневая плита толщиной 5 мм над пеногасительным бачком (19706).</w:t>
      </w:r>
    </w:p>
    <w:p w14:paraId="060EB809" w14:textId="77777777" w:rsidR="001B2C96" w:rsidRPr="001E2C69" w:rsidRDefault="001B2C96" w:rsidP="00722885">
      <w:pPr>
        <w:spacing w:after="0" w:line="240" w:lineRule="auto"/>
        <w:jc w:val="both"/>
        <w:rPr>
          <w:rFonts w:ascii="Times New Roman" w:hAnsi="Times New Roman"/>
          <w:color w:val="000000" w:themeColor="text1"/>
          <w:sz w:val="16"/>
          <w:szCs w:val="16"/>
        </w:rPr>
      </w:pPr>
    </w:p>
    <w:p w14:paraId="7DB6DB00" w14:textId="77777777" w:rsidR="001B2C96" w:rsidRPr="001E2C69" w:rsidRDefault="001B2C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w:t>
      </w:r>
    </w:p>
    <w:p w14:paraId="6AFC95DE" w14:textId="77777777" w:rsidR="001B2C96" w:rsidRPr="001E2C69" w:rsidRDefault="001B2C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 по заводу № 18</w:t>
      </w:r>
    </w:p>
    <w:p w14:paraId="770E640D" w14:textId="77777777" w:rsidR="001B2C96" w:rsidRPr="001E2C69" w:rsidRDefault="001B2C96" w:rsidP="00722885">
      <w:pPr>
        <w:pStyle w:val="af"/>
        <w:shd w:val="clear" w:color="auto" w:fill="FFFFFF"/>
        <w:spacing w:before="0" w:after="0"/>
        <w:jc w:val="both"/>
        <w:rPr>
          <w:color w:val="000000" w:themeColor="text1"/>
          <w:sz w:val="16"/>
          <w:szCs w:val="16"/>
        </w:rPr>
      </w:pPr>
      <w:r w:rsidRPr="001E2C69">
        <w:rPr>
          <w:color w:val="000000" w:themeColor="text1"/>
          <w:sz w:val="16"/>
          <w:szCs w:val="16"/>
        </w:rPr>
        <w:t>произвести в агусте месяце 20 машин с пушками Ш (19706).</w:t>
      </w:r>
    </w:p>
    <w:p w14:paraId="7E21310B" w14:textId="77777777" w:rsidR="001B2C96" w:rsidRPr="001E2C69" w:rsidRDefault="001B2C96" w:rsidP="00722885">
      <w:pPr>
        <w:pStyle w:val="af"/>
        <w:shd w:val="clear" w:color="auto" w:fill="FFFFFF"/>
        <w:spacing w:before="0" w:after="0"/>
        <w:jc w:val="both"/>
        <w:rPr>
          <w:color w:val="000000" w:themeColor="text1"/>
          <w:sz w:val="16"/>
          <w:szCs w:val="16"/>
        </w:rPr>
      </w:pPr>
      <w:r w:rsidRPr="001E2C69">
        <w:rPr>
          <w:color w:val="000000" w:themeColor="text1"/>
          <w:sz w:val="16"/>
          <w:szCs w:val="16"/>
          <w:shd w:val="clear" w:color="auto" w:fill="FFFFFF"/>
        </w:rPr>
        <w:t>(Опись 1/дело11. Приказы по заводу, с. 35)</w:t>
      </w:r>
      <w:r w:rsidRPr="001E2C69">
        <w:rPr>
          <w:color w:val="000000" w:themeColor="text1"/>
          <w:sz w:val="16"/>
          <w:szCs w:val="16"/>
        </w:rPr>
        <w:t xml:space="preserve"> (19706).</w:t>
      </w:r>
    </w:p>
    <w:p w14:paraId="5A63699B" w14:textId="77777777" w:rsidR="001B2C96" w:rsidRPr="001E2C69" w:rsidRDefault="001B2C96" w:rsidP="00722885">
      <w:pPr>
        <w:pStyle w:val="af"/>
        <w:shd w:val="clear" w:color="auto" w:fill="FFFFFF"/>
        <w:spacing w:before="0" w:after="0"/>
        <w:jc w:val="both"/>
        <w:rPr>
          <w:color w:val="000000" w:themeColor="text1"/>
          <w:sz w:val="16"/>
          <w:szCs w:val="16"/>
        </w:rPr>
      </w:pPr>
    </w:p>
    <w:p w14:paraId="32D74DD4" w14:textId="77777777" w:rsidR="00627011" w:rsidRPr="001E2C69" w:rsidRDefault="00627011" w:rsidP="00722885">
      <w:pPr>
        <w:pStyle w:val="45"/>
        <w:shd w:val="clear" w:color="auto" w:fill="auto"/>
        <w:spacing w:before="0" w:line="240" w:lineRule="auto"/>
        <w:jc w:val="both"/>
        <w:rPr>
          <w:rFonts w:ascii="Times New Roman" w:cs="Times New Roman"/>
          <w:color w:val="000000" w:themeColor="text1"/>
          <w:sz w:val="16"/>
          <w:szCs w:val="16"/>
        </w:rPr>
      </w:pPr>
      <w:r w:rsidRPr="001E2C69">
        <w:rPr>
          <w:rStyle w:val="4f1"/>
          <w:rFonts w:ascii="Times New Roman" w:hAnsi="Times New Roman" w:cs="Times New Roman"/>
          <w:i w:val="0"/>
          <w:color w:val="000000" w:themeColor="text1"/>
          <w:sz w:val="16"/>
          <w:szCs w:val="16"/>
        </w:rPr>
        <w:t>В июле 1942 г. главный инженер ВВС КА генерал-лейтенант А.К. Репин в письме глав</w:t>
      </w:r>
      <w:r w:rsidRPr="001E2C69">
        <w:rPr>
          <w:rStyle w:val="4f1"/>
          <w:rFonts w:ascii="Times New Roman" w:hAnsi="Times New Roman" w:cs="Times New Roman"/>
          <w:i w:val="0"/>
          <w:color w:val="000000" w:themeColor="text1"/>
          <w:sz w:val="16"/>
          <w:szCs w:val="16"/>
        </w:rPr>
        <w:softHyphen/>
        <w:t>ному конструктору завода №240 Ильюшину указывал, что</w:t>
      </w:r>
      <w:r w:rsidRPr="001E2C69">
        <w:rPr>
          <w:rFonts w:ascii="Times New Roman" w:cs="Times New Roman"/>
          <w:color w:val="000000" w:themeColor="text1"/>
          <w:sz w:val="16"/>
          <w:szCs w:val="16"/>
        </w:rPr>
        <w:t xml:space="preserve"> «в связи с более широким при</w:t>
      </w:r>
      <w:r w:rsidRPr="001E2C69">
        <w:rPr>
          <w:rFonts w:ascii="Times New Roman" w:cs="Times New Roman"/>
          <w:color w:val="000000" w:themeColor="text1"/>
          <w:sz w:val="16"/>
          <w:szCs w:val="16"/>
        </w:rPr>
        <w:softHyphen/>
        <w:t>менением немцами самолетов с крупнокали</w:t>
      </w:r>
      <w:r w:rsidRPr="001E2C69">
        <w:rPr>
          <w:rFonts w:ascii="Times New Roman" w:cs="Times New Roman"/>
          <w:color w:val="000000" w:themeColor="text1"/>
          <w:sz w:val="16"/>
          <w:szCs w:val="16"/>
        </w:rPr>
        <w:softHyphen/>
        <w:t>берным вооружением (пулемет МГ-151 кали</w:t>
      </w:r>
      <w:r w:rsidRPr="001E2C69">
        <w:rPr>
          <w:rFonts w:ascii="Times New Roman" w:cs="Times New Roman"/>
          <w:color w:val="000000" w:themeColor="text1"/>
          <w:sz w:val="16"/>
          <w:szCs w:val="16"/>
        </w:rPr>
        <w:softHyphen/>
        <w:t>бра 15-20 мм и пушка калибра 20 мм), потери самолетов Ил-2 за последнее время сильно возросли».</w:t>
      </w:r>
      <w:r w:rsidRPr="001E2C69">
        <w:rPr>
          <w:rStyle w:val="aff2"/>
          <w:rFonts w:ascii="Times New Roman" w:hAnsi="Times New Roman" w:cs="Times New Roman"/>
          <w:iCs/>
          <w:color w:val="000000" w:themeColor="text1"/>
          <w:spacing w:val="0"/>
          <w:sz w:val="16"/>
          <w:szCs w:val="16"/>
        </w:rPr>
        <w:t xml:space="preserve"> По данным планового отделения ГУ ВВС КА, боевые потери Ил-2 только за апрель, май и июнь 1942 г. составили 936 само</w:t>
      </w:r>
      <w:r w:rsidRPr="001E2C69">
        <w:rPr>
          <w:rStyle w:val="aff2"/>
          <w:rFonts w:ascii="Times New Roman" w:hAnsi="Times New Roman" w:cs="Times New Roman"/>
          <w:iCs/>
          <w:color w:val="000000" w:themeColor="text1"/>
          <w:spacing w:val="0"/>
          <w:sz w:val="16"/>
          <w:szCs w:val="16"/>
        </w:rPr>
        <w:softHyphen/>
        <w:t>летов, или свыше 60% от потерь Ил-2 за целый год войны (с июня 1941 г.).</w:t>
      </w:r>
    </w:p>
    <w:p w14:paraId="08D194C9" w14:textId="77777777" w:rsidR="00627011" w:rsidRPr="001E2C69"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При попадании в бронеспинку Ил-2 круп</w:t>
      </w:r>
      <w:r w:rsidRPr="001E2C69">
        <w:rPr>
          <w:rFonts w:ascii="Times New Roman" w:cs="Times New Roman"/>
          <w:color w:val="000000" w:themeColor="text1"/>
          <w:spacing w:val="0"/>
          <w:sz w:val="16"/>
          <w:szCs w:val="16"/>
        </w:rPr>
        <w:softHyphen/>
        <w:t>нокалиберных пуль и снарядов самолеты, за редким исключением, полностью выходили из строя. Пулестойкость бронеспинки оказалась настолько низкой, что даже с самых больших дистанций воздушного боя она пробивалась с последующим разрушением внутренних частей самолета и поражением экипажа не только пу</w:t>
      </w:r>
      <w:r w:rsidRPr="001E2C69">
        <w:rPr>
          <w:rFonts w:ascii="Times New Roman" w:cs="Times New Roman"/>
          <w:color w:val="000000" w:themeColor="text1"/>
          <w:spacing w:val="0"/>
          <w:sz w:val="16"/>
          <w:szCs w:val="16"/>
        </w:rPr>
        <w:softHyphen/>
        <w:t>лей, но и осколками пуль и брони.</w:t>
      </w:r>
    </w:p>
    <w:p w14:paraId="6B45A388" w14:textId="77777777" w:rsidR="00627011" w:rsidRPr="001E2C69" w:rsidRDefault="00627011" w:rsidP="00722885">
      <w:pPr>
        <w:pStyle w:val="45"/>
        <w:shd w:val="clear" w:color="auto" w:fill="auto"/>
        <w:spacing w:before="0" w:line="240" w:lineRule="auto"/>
        <w:jc w:val="both"/>
        <w:rPr>
          <w:rFonts w:ascii="Times New Roman" w:cs="Times New Roman"/>
          <w:color w:val="000000" w:themeColor="text1"/>
          <w:sz w:val="16"/>
          <w:szCs w:val="16"/>
        </w:rPr>
      </w:pPr>
      <w:r w:rsidRPr="001E2C69">
        <w:rPr>
          <w:rStyle w:val="4f1"/>
          <w:rFonts w:ascii="Times New Roman" w:hAnsi="Times New Roman" w:cs="Times New Roman"/>
          <w:i w:val="0"/>
          <w:color w:val="000000" w:themeColor="text1"/>
          <w:sz w:val="16"/>
          <w:szCs w:val="16"/>
        </w:rPr>
        <w:t>Исключительно большие потери самолетов Ил-2 в некоторых частях вынуждали</w:t>
      </w:r>
      <w:r w:rsidRPr="001E2C69">
        <w:rPr>
          <w:rFonts w:ascii="Times New Roman" w:cs="Times New Roman"/>
          <w:color w:val="000000" w:themeColor="text1"/>
          <w:sz w:val="16"/>
          <w:szCs w:val="16"/>
        </w:rPr>
        <w:t xml:space="preserve"> «либо са</w:t>
      </w:r>
      <w:r w:rsidRPr="001E2C69">
        <w:rPr>
          <w:rFonts w:ascii="Times New Roman" w:cs="Times New Roman"/>
          <w:color w:val="000000" w:themeColor="text1"/>
          <w:sz w:val="16"/>
          <w:szCs w:val="16"/>
        </w:rPr>
        <w:softHyphen/>
        <w:t>жать в заднюю часть фюзеляжа стрелка с пу</w:t>
      </w:r>
      <w:r w:rsidRPr="001E2C69">
        <w:rPr>
          <w:rFonts w:ascii="Times New Roman" w:cs="Times New Roman"/>
          <w:color w:val="000000" w:themeColor="text1"/>
          <w:sz w:val="16"/>
          <w:szCs w:val="16"/>
        </w:rPr>
        <w:softHyphen/>
        <w:t>леметом БТдля защиты самолета сзади, либо выделять большое количество истребителей для их сопровождения».</w:t>
      </w:r>
      <w:r w:rsidRPr="001E2C69">
        <w:rPr>
          <w:rStyle w:val="4f1"/>
          <w:rFonts w:ascii="Times New Roman" w:hAnsi="Times New Roman" w:cs="Times New Roman"/>
          <w:i w:val="0"/>
          <w:color w:val="000000" w:themeColor="text1"/>
          <w:sz w:val="16"/>
          <w:szCs w:val="16"/>
        </w:rPr>
        <w:t xml:space="preserve"> Предлагалось увели</w:t>
      </w:r>
      <w:r w:rsidRPr="001E2C69">
        <w:rPr>
          <w:rStyle w:val="4f1"/>
          <w:rFonts w:ascii="Times New Roman" w:hAnsi="Times New Roman" w:cs="Times New Roman"/>
          <w:i w:val="0"/>
          <w:color w:val="000000" w:themeColor="text1"/>
          <w:sz w:val="16"/>
          <w:szCs w:val="16"/>
        </w:rPr>
        <w:softHyphen/>
        <w:t>чить толщину бронеспинки самолета Ил-2 на</w:t>
      </w:r>
      <w:r w:rsidRPr="001E2C69">
        <w:rPr>
          <w:rStyle w:val="4f1"/>
          <w:rFonts w:ascii="Times New Roman" w:hAnsi="Times New Roman" w:cs="Times New Roman"/>
          <w:i w:val="0"/>
          <w:color w:val="000000" w:themeColor="text1"/>
          <w:sz w:val="16"/>
          <w:szCs w:val="16"/>
        </w:rPr>
        <w:softHyphen/>
        <w:t>столько,</w:t>
      </w:r>
      <w:r w:rsidRPr="001E2C69">
        <w:rPr>
          <w:rFonts w:ascii="Times New Roman" w:cs="Times New Roman"/>
          <w:color w:val="000000" w:themeColor="text1"/>
          <w:sz w:val="16"/>
          <w:szCs w:val="16"/>
        </w:rPr>
        <w:t xml:space="preserve"> «чтобы сделать его сзади неуязвимым для авиационного вооружения противника».</w:t>
      </w:r>
    </w:p>
    <w:p w14:paraId="699F814E" w14:textId="77777777" w:rsidR="00627011" w:rsidRPr="001E2C69" w:rsidRDefault="00627011" w:rsidP="00722885">
      <w:pPr>
        <w:pStyle w:val="45"/>
        <w:shd w:val="clear" w:color="auto" w:fill="auto"/>
        <w:spacing w:before="0" w:line="240" w:lineRule="auto"/>
        <w:jc w:val="both"/>
        <w:rPr>
          <w:rFonts w:ascii="Times New Roman" w:cs="Times New Roman"/>
          <w:color w:val="000000" w:themeColor="text1"/>
          <w:sz w:val="16"/>
          <w:szCs w:val="16"/>
        </w:rPr>
      </w:pPr>
      <w:r w:rsidRPr="001E2C69">
        <w:rPr>
          <w:rStyle w:val="4f1"/>
          <w:rFonts w:ascii="Times New Roman" w:hAnsi="Times New Roman" w:cs="Times New Roman"/>
          <w:i w:val="0"/>
          <w:color w:val="000000" w:themeColor="text1"/>
          <w:sz w:val="16"/>
          <w:szCs w:val="16"/>
        </w:rPr>
        <w:t>Кроме того,</w:t>
      </w:r>
      <w:r w:rsidRPr="001E2C69">
        <w:rPr>
          <w:rFonts w:ascii="Times New Roman" w:cs="Times New Roman"/>
          <w:color w:val="000000" w:themeColor="text1"/>
          <w:sz w:val="16"/>
          <w:szCs w:val="16"/>
        </w:rPr>
        <w:t xml:space="preserve"> «поскольку самолет Ил-2 пе</w:t>
      </w:r>
      <w:r w:rsidRPr="001E2C69">
        <w:rPr>
          <w:rFonts w:ascii="Times New Roman" w:cs="Times New Roman"/>
          <w:color w:val="000000" w:themeColor="text1"/>
          <w:sz w:val="16"/>
          <w:szCs w:val="16"/>
        </w:rPr>
        <w:softHyphen/>
        <w:t>регружен и непосредственно увеличить тол</w:t>
      </w:r>
      <w:r w:rsidRPr="001E2C69">
        <w:rPr>
          <w:rFonts w:ascii="Times New Roman" w:cs="Times New Roman"/>
          <w:color w:val="000000" w:themeColor="text1"/>
          <w:sz w:val="16"/>
          <w:szCs w:val="16"/>
        </w:rPr>
        <w:softHyphen/>
        <w:t>щину брони невозможно»,</w:t>
      </w:r>
      <w:r w:rsidRPr="001E2C69">
        <w:rPr>
          <w:rStyle w:val="4f1"/>
          <w:rFonts w:ascii="Times New Roman" w:hAnsi="Times New Roman" w:cs="Times New Roman"/>
          <w:i w:val="0"/>
          <w:color w:val="000000" w:themeColor="text1"/>
          <w:sz w:val="16"/>
          <w:szCs w:val="16"/>
        </w:rPr>
        <w:t xml:space="preserve"> Репин просил про</w:t>
      </w:r>
      <w:r w:rsidRPr="001E2C69">
        <w:rPr>
          <w:rStyle w:val="4f1"/>
          <w:rFonts w:ascii="Times New Roman" w:hAnsi="Times New Roman" w:cs="Times New Roman"/>
          <w:i w:val="0"/>
          <w:color w:val="000000" w:themeColor="text1"/>
          <w:sz w:val="16"/>
          <w:szCs w:val="16"/>
        </w:rPr>
        <w:softHyphen/>
        <w:t>работать в срочном порядке способы усиления броневой защиты самолета. По его мнению, имелась реальная возможность</w:t>
      </w:r>
      <w:r w:rsidRPr="001E2C69">
        <w:rPr>
          <w:rFonts w:ascii="Times New Roman" w:cs="Times New Roman"/>
          <w:color w:val="000000" w:themeColor="text1"/>
          <w:sz w:val="16"/>
          <w:szCs w:val="16"/>
        </w:rPr>
        <w:t xml:space="preserve"> «укоротить длину бронекорпуса самолета с таким расче</w:t>
      </w:r>
      <w:r w:rsidRPr="001E2C69">
        <w:rPr>
          <w:rFonts w:ascii="Times New Roman" w:cs="Times New Roman"/>
          <w:color w:val="000000" w:themeColor="text1"/>
          <w:sz w:val="16"/>
          <w:szCs w:val="16"/>
        </w:rPr>
        <w:softHyphen/>
        <w:t>том, чтобы приблизить бронеспинку к сидению летчика».</w:t>
      </w:r>
    </w:p>
    <w:p w14:paraId="27307291" w14:textId="77777777" w:rsidR="00627011" w:rsidRPr="001E2C69"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Этот шаг обеспечивал уменьшение веса продольной брони бронекорпуса, за счет чего можно было увеличить толщину бронеспинки до 20-22 мм без увеличения веса бронекор</w:t>
      </w:r>
      <w:r w:rsidRPr="001E2C69">
        <w:rPr>
          <w:rFonts w:ascii="Times New Roman" w:cs="Times New Roman"/>
          <w:color w:val="000000" w:themeColor="text1"/>
          <w:spacing w:val="0"/>
          <w:sz w:val="16"/>
          <w:szCs w:val="16"/>
        </w:rPr>
        <w:softHyphen/>
        <w:t>пуса. При этом бензобак, находящийся между бронеспинкой и летчиком, предлагалось уста</w:t>
      </w:r>
      <w:r w:rsidRPr="001E2C69">
        <w:rPr>
          <w:rFonts w:ascii="Times New Roman" w:cs="Times New Roman"/>
          <w:color w:val="000000" w:themeColor="text1"/>
          <w:spacing w:val="0"/>
          <w:sz w:val="16"/>
          <w:szCs w:val="16"/>
        </w:rPr>
        <w:softHyphen/>
        <w:t>новить под сиденьем летчика по типу немецко</w:t>
      </w:r>
      <w:r w:rsidRPr="001E2C69">
        <w:rPr>
          <w:rFonts w:ascii="Times New Roman" w:cs="Times New Roman"/>
          <w:color w:val="000000" w:themeColor="text1"/>
          <w:spacing w:val="0"/>
          <w:sz w:val="16"/>
          <w:szCs w:val="16"/>
        </w:rPr>
        <w:softHyphen/>
        <w:t>го ВТ109.</w:t>
      </w:r>
    </w:p>
    <w:p w14:paraId="08A7E75E" w14:textId="77777777" w:rsidR="00627011" w:rsidRPr="001E2C69"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lastRenderedPageBreak/>
        <w:t>Одновременно увеличивался до 30-35° и диапазон углов защиты в задней полусфе</w:t>
      </w:r>
      <w:r w:rsidRPr="001E2C69">
        <w:rPr>
          <w:rFonts w:ascii="Times New Roman" w:cs="Times New Roman"/>
          <w:color w:val="000000" w:themeColor="text1"/>
          <w:spacing w:val="0"/>
          <w:sz w:val="16"/>
          <w:szCs w:val="16"/>
        </w:rPr>
        <w:softHyphen/>
        <w:t>ре. Действительно, из-за большого удаления летчика от бронеспинки она не обеспечивала необходимой угловой защиты в задней полу</w:t>
      </w:r>
      <w:r w:rsidRPr="001E2C69">
        <w:rPr>
          <w:rFonts w:ascii="Times New Roman" w:cs="Times New Roman"/>
          <w:color w:val="000000" w:themeColor="text1"/>
          <w:spacing w:val="0"/>
          <w:sz w:val="16"/>
          <w:szCs w:val="16"/>
        </w:rPr>
        <w:softHyphen/>
        <w:t>сфере. Поэтому для надежной защиты летчика требовалось увеличивать толщину продольной брони кабины, что приводило к росту веса бро</w:t>
      </w:r>
      <w:r w:rsidRPr="001E2C69">
        <w:rPr>
          <w:rFonts w:ascii="Times New Roman" w:cs="Times New Roman"/>
          <w:color w:val="000000" w:themeColor="text1"/>
          <w:spacing w:val="0"/>
          <w:sz w:val="16"/>
          <w:szCs w:val="16"/>
        </w:rPr>
        <w:softHyphen/>
        <w:t>некорпуса.</w:t>
      </w:r>
    </w:p>
    <w:p w14:paraId="2C63A797" w14:textId="77777777" w:rsidR="00627011" w:rsidRPr="001E2C69" w:rsidRDefault="00627011" w:rsidP="00722885">
      <w:pPr>
        <w:pStyle w:val="45"/>
        <w:shd w:val="clear" w:color="auto" w:fill="auto"/>
        <w:spacing w:before="0" w:line="240" w:lineRule="auto"/>
        <w:jc w:val="both"/>
        <w:rPr>
          <w:rFonts w:ascii="Times New Roman" w:cs="Times New Roman"/>
          <w:color w:val="000000" w:themeColor="text1"/>
          <w:sz w:val="16"/>
          <w:szCs w:val="16"/>
        </w:rPr>
      </w:pPr>
      <w:r w:rsidRPr="001E2C69">
        <w:rPr>
          <w:rStyle w:val="4f1"/>
          <w:rFonts w:ascii="Times New Roman" w:hAnsi="Times New Roman" w:cs="Times New Roman"/>
          <w:i w:val="0"/>
          <w:color w:val="000000" w:themeColor="text1"/>
          <w:sz w:val="16"/>
          <w:szCs w:val="16"/>
        </w:rPr>
        <w:t>Отмечалось, что</w:t>
      </w:r>
      <w:r w:rsidRPr="001E2C69">
        <w:rPr>
          <w:rFonts w:ascii="Times New Roman" w:cs="Times New Roman"/>
          <w:color w:val="000000" w:themeColor="text1"/>
          <w:sz w:val="16"/>
          <w:szCs w:val="16"/>
        </w:rPr>
        <w:t xml:space="preserve"> «за период эксплоата- ции самолетов Ил-2 выяснился ряд слабых мест значительно снижающих живучесть этих самолетов»./</w:t>
      </w:r>
      <w:r w:rsidRPr="001E2C69">
        <w:rPr>
          <w:rStyle w:val="aff2"/>
          <w:rFonts w:ascii="Times New Roman" w:hAnsi="Times New Roman" w:cs="Times New Roman"/>
          <w:iCs/>
          <w:color w:val="000000" w:themeColor="text1"/>
          <w:spacing w:val="0"/>
          <w:sz w:val="16"/>
          <w:szCs w:val="16"/>
        </w:rPr>
        <w:t>К таким местам, в первую оче</w:t>
      </w:r>
      <w:r w:rsidRPr="001E2C69">
        <w:rPr>
          <w:rStyle w:val="aff2"/>
          <w:rFonts w:ascii="Times New Roman" w:hAnsi="Times New Roman" w:cs="Times New Roman"/>
          <w:iCs/>
          <w:color w:val="000000" w:themeColor="text1"/>
          <w:spacing w:val="0"/>
          <w:sz w:val="16"/>
          <w:szCs w:val="16"/>
        </w:rPr>
        <w:softHyphen/>
        <w:t>редь, относилась</w:t>
      </w:r>
      <w:r w:rsidRPr="001E2C69">
        <w:rPr>
          <w:rStyle w:val="aff8"/>
          <w:rFonts w:ascii="Times New Roman" w:hAnsi="Times New Roman" w:cs="Times New Roman"/>
          <w:i w:val="0"/>
          <w:color w:val="000000" w:themeColor="text1"/>
        </w:rPr>
        <w:t xml:space="preserve"> «незащищенность пневма- тиков от поражения их ружейно-пулеметным огнем пехоты противника».</w:t>
      </w:r>
      <w:r w:rsidRPr="001E2C69">
        <w:rPr>
          <w:rStyle w:val="aff2"/>
          <w:rFonts w:ascii="Times New Roman" w:hAnsi="Times New Roman" w:cs="Times New Roman"/>
          <w:iCs/>
          <w:color w:val="000000" w:themeColor="text1"/>
          <w:spacing w:val="0"/>
          <w:sz w:val="16"/>
          <w:szCs w:val="16"/>
        </w:rPr>
        <w:t xml:space="preserve"> Частые случаи по</w:t>
      </w:r>
      <w:r w:rsidRPr="001E2C69">
        <w:rPr>
          <w:rStyle w:val="aff2"/>
          <w:rFonts w:ascii="Times New Roman" w:hAnsi="Times New Roman" w:cs="Times New Roman"/>
          <w:iCs/>
          <w:color w:val="000000" w:themeColor="text1"/>
          <w:spacing w:val="0"/>
          <w:sz w:val="16"/>
          <w:szCs w:val="16"/>
        </w:rPr>
        <w:softHyphen/>
        <w:t>ражения пневматиков Ил-2 заставили Управле</w:t>
      </w:r>
      <w:r w:rsidRPr="001E2C69">
        <w:rPr>
          <w:rStyle w:val="aff2"/>
          <w:rFonts w:ascii="Times New Roman" w:hAnsi="Times New Roman" w:cs="Times New Roman"/>
          <w:iCs/>
          <w:color w:val="000000" w:themeColor="text1"/>
          <w:spacing w:val="0"/>
          <w:sz w:val="16"/>
          <w:szCs w:val="16"/>
        </w:rPr>
        <w:softHyphen/>
        <w:t>ние ВВС КА в опытном порядке заказать вме</w:t>
      </w:r>
      <w:r w:rsidRPr="001E2C69">
        <w:rPr>
          <w:rStyle w:val="aff2"/>
          <w:rFonts w:ascii="Times New Roman" w:hAnsi="Times New Roman" w:cs="Times New Roman"/>
          <w:iCs/>
          <w:color w:val="000000" w:themeColor="text1"/>
          <w:spacing w:val="0"/>
          <w:sz w:val="16"/>
          <w:szCs w:val="16"/>
        </w:rPr>
        <w:softHyphen/>
        <w:t>сто них губчатые камеры, но и они имели суще</w:t>
      </w:r>
      <w:r w:rsidRPr="001E2C69">
        <w:rPr>
          <w:rStyle w:val="aff2"/>
          <w:rFonts w:ascii="Times New Roman" w:hAnsi="Times New Roman" w:cs="Times New Roman"/>
          <w:iCs/>
          <w:color w:val="000000" w:themeColor="text1"/>
          <w:spacing w:val="0"/>
          <w:sz w:val="16"/>
          <w:szCs w:val="16"/>
        </w:rPr>
        <w:softHyphen/>
        <w:t>ственные недостатки. В этой связи предлага</w:t>
      </w:r>
      <w:r w:rsidRPr="001E2C69">
        <w:rPr>
          <w:rStyle w:val="aff2"/>
          <w:rFonts w:ascii="Times New Roman" w:hAnsi="Times New Roman" w:cs="Times New Roman"/>
          <w:iCs/>
          <w:color w:val="000000" w:themeColor="text1"/>
          <w:spacing w:val="0"/>
          <w:sz w:val="16"/>
          <w:szCs w:val="16"/>
        </w:rPr>
        <w:softHyphen/>
        <w:t>лось забронировать откидные крышки шасси броней толщиной 4,5 мм.</w:t>
      </w:r>
      <w:r w:rsidRPr="001E2C69">
        <w:rPr>
          <w:rStyle w:val="aff8"/>
          <w:rFonts w:ascii="Times New Roman" w:hAnsi="Times New Roman" w:cs="Times New Roman"/>
          <w:i w:val="0"/>
          <w:color w:val="000000" w:themeColor="text1"/>
        </w:rPr>
        <w:t xml:space="preserve"> «Такое бронирование пневматиков будет утяжелять самолет не боль</w:t>
      </w:r>
      <w:r w:rsidRPr="001E2C69">
        <w:rPr>
          <w:rStyle w:val="aff8"/>
          <w:rFonts w:ascii="Times New Roman" w:hAnsi="Times New Roman" w:cs="Times New Roman"/>
          <w:i w:val="0"/>
          <w:color w:val="000000" w:themeColor="text1"/>
        </w:rPr>
        <w:softHyphen/>
        <w:t xml:space="preserve">ше, чем губчатые камеры и будет защищать не только пневматики, но и механизмы шасси», - </w:t>
      </w:r>
      <w:r w:rsidRPr="001E2C69">
        <w:rPr>
          <w:rStyle w:val="aff2"/>
          <w:rFonts w:ascii="Times New Roman" w:hAnsi="Times New Roman" w:cs="Times New Roman"/>
          <w:iCs/>
          <w:color w:val="000000" w:themeColor="text1"/>
          <w:spacing w:val="0"/>
          <w:sz w:val="16"/>
          <w:szCs w:val="16"/>
        </w:rPr>
        <w:t>указывалось в документе.</w:t>
      </w:r>
    </w:p>
    <w:p w14:paraId="0621064E" w14:textId="77777777" w:rsidR="00627011" w:rsidRPr="001E2C69"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 xml:space="preserve">Поскольку в боевых вылетах имели место </w:t>
      </w:r>
      <w:r w:rsidRPr="001E2C69">
        <w:rPr>
          <w:rStyle w:val="aff8"/>
          <w:rFonts w:ascii="Times New Roman" w:eastAsia="Arial Narrow" w:hAnsi="Times New Roman" w:cs="Times New Roman"/>
          <w:i w:val="0"/>
          <w:color w:val="000000" w:themeColor="text1"/>
          <w:spacing w:val="0"/>
        </w:rPr>
        <w:t>«частые случаи поражения летчика с земли из ручных пулеметов и даже автоматов при стрельбе по обочинам фонаря самолета во время бреющих полетов»,</w:t>
      </w:r>
      <w:r w:rsidRPr="001E2C69">
        <w:rPr>
          <w:rFonts w:ascii="Times New Roman" w:cs="Times New Roman"/>
          <w:color w:val="000000" w:themeColor="text1"/>
          <w:spacing w:val="0"/>
          <w:sz w:val="16"/>
          <w:szCs w:val="16"/>
        </w:rPr>
        <w:t xml:space="preserve"> то считалоЬь не</w:t>
      </w:r>
      <w:r w:rsidRPr="001E2C69">
        <w:rPr>
          <w:rFonts w:ascii="Times New Roman" w:cs="Times New Roman"/>
          <w:color w:val="000000" w:themeColor="text1"/>
          <w:spacing w:val="0"/>
          <w:sz w:val="16"/>
          <w:szCs w:val="16"/>
        </w:rPr>
        <w:softHyphen/>
        <w:t>обходимым броневые плитки на фонаре сде</w:t>
      </w:r>
      <w:r w:rsidRPr="001E2C69">
        <w:rPr>
          <w:rFonts w:ascii="Times New Roman" w:cs="Times New Roman"/>
          <w:color w:val="000000" w:themeColor="text1"/>
          <w:spacing w:val="0"/>
          <w:sz w:val="16"/>
          <w:szCs w:val="16"/>
        </w:rPr>
        <w:softHyphen/>
        <w:t>лать длиннее, чтобы они защищали летчика с боков.</w:t>
      </w:r>
    </w:p>
    <w:p w14:paraId="3BFB8586" w14:textId="77777777" w:rsidR="00627011" w:rsidRPr="001E2C69"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И главное, при попадании пули или снаря</w:t>
      </w:r>
      <w:r w:rsidRPr="001E2C69">
        <w:rPr>
          <w:rFonts w:ascii="Times New Roman" w:cs="Times New Roman"/>
          <w:color w:val="000000" w:themeColor="text1"/>
          <w:spacing w:val="0"/>
          <w:sz w:val="16"/>
          <w:szCs w:val="16"/>
        </w:rPr>
        <w:softHyphen/>
        <w:t>да в бронеспинку от них, а также от цементи</w:t>
      </w:r>
      <w:r w:rsidRPr="001E2C69">
        <w:rPr>
          <w:rFonts w:ascii="Times New Roman" w:cs="Times New Roman"/>
          <w:color w:val="000000" w:themeColor="text1"/>
          <w:spacing w:val="0"/>
          <w:sz w:val="16"/>
          <w:szCs w:val="16"/>
        </w:rPr>
        <w:softHyphen/>
        <w:t>рованного слоя бронеспинки, образовывались сотни осколков, которые разрушали троса управления и деревянную часть фюзеляжа. По</w:t>
      </w:r>
      <w:r w:rsidRPr="001E2C69">
        <w:rPr>
          <w:rFonts w:ascii="Times New Roman" w:cs="Times New Roman"/>
          <w:color w:val="000000" w:themeColor="text1"/>
          <w:spacing w:val="0"/>
          <w:sz w:val="16"/>
          <w:szCs w:val="16"/>
        </w:rPr>
        <w:softHyphen/>
        <w:t>этому на бронеспинку требовалось установить экран на расстоянии 60-70 мм из шлемовой брони толщиной 1-1,5 мм (15776).</w:t>
      </w:r>
    </w:p>
    <w:p w14:paraId="3B3E3F72" w14:textId="77777777" w:rsidR="00627011" w:rsidRPr="001E2C69"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p>
    <w:p w14:paraId="5E14C31E" w14:textId="77777777" w:rsidR="00AE7191" w:rsidRPr="001E2C69" w:rsidRDefault="00AE7191" w:rsidP="00722885">
      <w:pPr>
        <w:pStyle w:val="47"/>
        <w:shd w:val="clear" w:color="auto" w:fill="auto"/>
        <w:spacing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В июле 1942 г. в НКАП и УВВС был направлен эскизный проект одноместного модер</w:t>
      </w:r>
      <w:r w:rsidRPr="001E2C69">
        <w:rPr>
          <w:rFonts w:ascii="Times New Roman" w:hAnsi="Times New Roman" w:cs="Times New Roman"/>
          <w:color w:val="000000" w:themeColor="text1"/>
          <w:sz w:val="16"/>
          <w:szCs w:val="16"/>
        </w:rPr>
        <w:softHyphen/>
        <w:t>низированного штурмовика Ил-6 (рабочее название МШ). Основной особенно</w:t>
      </w:r>
      <w:r w:rsidRPr="001E2C69">
        <w:rPr>
          <w:rFonts w:ascii="Times New Roman" w:hAnsi="Times New Roman" w:cs="Times New Roman"/>
          <w:color w:val="000000" w:themeColor="text1"/>
          <w:sz w:val="16"/>
          <w:szCs w:val="16"/>
        </w:rPr>
        <w:softHyphen/>
        <w:t>стью новой машины стало размещение дви</w:t>
      </w:r>
      <w:r w:rsidRPr="001E2C69">
        <w:rPr>
          <w:rFonts w:ascii="Times New Roman" w:hAnsi="Times New Roman" w:cs="Times New Roman"/>
          <w:color w:val="000000" w:themeColor="text1"/>
          <w:sz w:val="16"/>
          <w:szCs w:val="16"/>
        </w:rPr>
        <w:softHyphen/>
        <w:t>гателя АМ-38 в средней части фюзеляжа. Посредством длинного вала он соединялся с втулкой воздушного винта. Расположенная над валом и сильно сдвинутая вперед каби</w:t>
      </w:r>
      <w:r w:rsidRPr="001E2C69">
        <w:rPr>
          <w:rFonts w:ascii="Times New Roman" w:hAnsi="Times New Roman" w:cs="Times New Roman"/>
          <w:color w:val="000000" w:themeColor="text1"/>
          <w:sz w:val="16"/>
          <w:szCs w:val="16"/>
        </w:rPr>
        <w:softHyphen/>
        <w:t>на летчика обеспечивала, по сравнению с Ил-2, прекрасный обзор вперед-вниз. Меж</w:t>
      </w:r>
      <w:r w:rsidRPr="001E2C69">
        <w:rPr>
          <w:rFonts w:ascii="Times New Roman" w:hAnsi="Times New Roman" w:cs="Times New Roman"/>
          <w:color w:val="000000" w:themeColor="text1"/>
          <w:sz w:val="16"/>
          <w:szCs w:val="16"/>
        </w:rPr>
        <w:softHyphen/>
        <w:t>ду кабиной и двигателем размещались баки с топливом и маслом. Радиаторы систем ох</w:t>
      </w:r>
      <w:r w:rsidRPr="001E2C69">
        <w:rPr>
          <w:rFonts w:ascii="Times New Roman" w:hAnsi="Times New Roman" w:cs="Times New Roman"/>
          <w:color w:val="000000" w:themeColor="text1"/>
          <w:sz w:val="16"/>
          <w:szCs w:val="16"/>
        </w:rPr>
        <w:softHyphen/>
        <w:t>лаждения и смазки двигателя, находящи</w:t>
      </w:r>
      <w:r w:rsidRPr="001E2C69">
        <w:rPr>
          <w:rFonts w:ascii="Times New Roman" w:hAnsi="Times New Roman" w:cs="Times New Roman"/>
          <w:color w:val="000000" w:themeColor="text1"/>
          <w:sz w:val="16"/>
          <w:szCs w:val="16"/>
        </w:rPr>
        <w:softHyphen/>
        <w:t>еся в подфюзеляжной части центроплана, продувались воздухом, поступающим из заборников в носке центроплана. Самолет имел обычной схемы двухколесное шасси с убирающимся хвостовым колесом. При этом основные опоры обладали особенно</w:t>
      </w:r>
      <w:r w:rsidRPr="001E2C69">
        <w:rPr>
          <w:rFonts w:ascii="Times New Roman" w:hAnsi="Times New Roman" w:cs="Times New Roman"/>
          <w:color w:val="000000" w:themeColor="text1"/>
          <w:sz w:val="16"/>
          <w:szCs w:val="16"/>
        </w:rPr>
        <w:softHyphen/>
        <w:t>стью, впервые встретившейся на самолетах С.В. Ильюшина. Уборка их осуществлялась назад с поворотом колес на 90°. Бронекор- пус, как и на всех штурмовиках ОКБ, за</w:t>
      </w:r>
      <w:r w:rsidRPr="001E2C69">
        <w:rPr>
          <w:rFonts w:ascii="Times New Roman" w:hAnsi="Times New Roman" w:cs="Times New Roman"/>
          <w:color w:val="000000" w:themeColor="text1"/>
          <w:sz w:val="16"/>
          <w:szCs w:val="16"/>
        </w:rPr>
        <w:softHyphen/>
        <w:t>щищал наиболее уязвимые для поражения места и имел более плоские стенки.</w:t>
      </w:r>
    </w:p>
    <w:p w14:paraId="5D8E3368" w14:textId="77777777" w:rsidR="00AE7191" w:rsidRPr="001E2C69" w:rsidRDefault="00AE7191" w:rsidP="00722885">
      <w:pPr>
        <w:pStyle w:val="47"/>
        <w:shd w:val="clear" w:color="auto" w:fill="auto"/>
        <w:spacing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Самолет рассматривался с двумя раз</w:t>
      </w:r>
      <w:r w:rsidRPr="001E2C69">
        <w:rPr>
          <w:rFonts w:ascii="Times New Roman" w:hAnsi="Times New Roman" w:cs="Times New Roman"/>
          <w:color w:val="000000" w:themeColor="text1"/>
          <w:sz w:val="16"/>
          <w:szCs w:val="16"/>
        </w:rPr>
        <w:softHyphen/>
        <w:t>личными вариантами установки вооруже</w:t>
      </w:r>
      <w:r w:rsidRPr="001E2C69">
        <w:rPr>
          <w:rFonts w:ascii="Times New Roman" w:hAnsi="Times New Roman" w:cs="Times New Roman"/>
          <w:color w:val="000000" w:themeColor="text1"/>
          <w:sz w:val="16"/>
          <w:szCs w:val="16"/>
        </w:rPr>
        <w:softHyphen/>
        <w:t>ния: как противотанковый и как бомбарди</w:t>
      </w:r>
      <w:r w:rsidRPr="001E2C69">
        <w:rPr>
          <w:rFonts w:ascii="Times New Roman" w:hAnsi="Times New Roman" w:cs="Times New Roman"/>
          <w:color w:val="000000" w:themeColor="text1"/>
          <w:sz w:val="16"/>
          <w:szCs w:val="16"/>
        </w:rPr>
        <w:softHyphen/>
        <w:t>ровочный. В первом использовалась пушка Ш-37, стреляющая через втулку воздушного винта, две синхронные пушки ШВАК и два синхронных пулемета ШКАС, стреляющие через плоскость, ометаемую воздушным винтом. Под крылом допускалась установка восьми реактивных снарядов РС-82. Номен</w:t>
      </w:r>
      <w:r w:rsidRPr="001E2C69">
        <w:rPr>
          <w:rFonts w:ascii="Times New Roman" w:hAnsi="Times New Roman" w:cs="Times New Roman"/>
          <w:color w:val="000000" w:themeColor="text1"/>
          <w:sz w:val="16"/>
          <w:szCs w:val="16"/>
        </w:rPr>
        <w:softHyphen/>
        <w:t>клатура стрелково-пушечного вооружения второго варианта отличалась от перво</w:t>
      </w:r>
      <w:r w:rsidRPr="001E2C69">
        <w:rPr>
          <w:rFonts w:ascii="Times New Roman" w:hAnsi="Times New Roman" w:cs="Times New Roman"/>
          <w:color w:val="000000" w:themeColor="text1"/>
          <w:sz w:val="16"/>
          <w:szCs w:val="16"/>
        </w:rPr>
        <w:softHyphen/>
        <w:t>го отсутствием пушки Ш-37. Зато 400 кг бомб можно было разместить во внутрен</w:t>
      </w:r>
      <w:r w:rsidRPr="001E2C69">
        <w:rPr>
          <w:rFonts w:ascii="Times New Roman" w:hAnsi="Times New Roman" w:cs="Times New Roman"/>
          <w:color w:val="000000" w:themeColor="text1"/>
          <w:sz w:val="16"/>
          <w:szCs w:val="16"/>
        </w:rPr>
        <w:softHyphen/>
        <w:t>них отсеках крыла, а при перегрузке с ис</w:t>
      </w:r>
      <w:r w:rsidRPr="001E2C69">
        <w:rPr>
          <w:rFonts w:ascii="Times New Roman" w:hAnsi="Times New Roman" w:cs="Times New Roman"/>
          <w:color w:val="000000" w:themeColor="text1"/>
          <w:sz w:val="16"/>
          <w:szCs w:val="16"/>
        </w:rPr>
        <w:softHyphen/>
        <w:t>пользованием наружных подвесок - 600 кг. Особенности конструкции, мощное во</w:t>
      </w:r>
      <w:r w:rsidRPr="001E2C69">
        <w:rPr>
          <w:rFonts w:ascii="Times New Roman" w:hAnsi="Times New Roman" w:cs="Times New Roman"/>
          <w:color w:val="000000" w:themeColor="text1"/>
          <w:sz w:val="16"/>
          <w:szCs w:val="16"/>
        </w:rPr>
        <w:softHyphen/>
        <w:t>оружение и установленное оборудование оказались слишком тяжелыми для двига</w:t>
      </w:r>
      <w:r w:rsidRPr="001E2C69">
        <w:rPr>
          <w:rFonts w:ascii="Times New Roman" w:hAnsi="Times New Roman" w:cs="Times New Roman"/>
          <w:color w:val="000000" w:themeColor="text1"/>
          <w:sz w:val="16"/>
          <w:szCs w:val="16"/>
        </w:rPr>
        <w:softHyphen/>
        <w:t>теля АМ-38, мощность которого не была беспредельной. К тому же при стендовых испытаниях двигателя возникли колебания передаточного вала, требующие длитель</w:t>
      </w:r>
      <w:r w:rsidRPr="001E2C69">
        <w:rPr>
          <w:rFonts w:ascii="Times New Roman" w:hAnsi="Times New Roman" w:cs="Times New Roman"/>
          <w:color w:val="000000" w:themeColor="text1"/>
          <w:sz w:val="16"/>
          <w:szCs w:val="16"/>
        </w:rPr>
        <w:softHyphen/>
        <w:t>ной доводки. Несмотря на положительное заключение заказчика, основное направ</w:t>
      </w:r>
      <w:r w:rsidRPr="001E2C69">
        <w:rPr>
          <w:rFonts w:ascii="Times New Roman" w:hAnsi="Times New Roman" w:cs="Times New Roman"/>
          <w:color w:val="000000" w:themeColor="text1"/>
          <w:sz w:val="16"/>
          <w:szCs w:val="16"/>
        </w:rPr>
        <w:softHyphen/>
        <w:t>ление работ ОКБ сосредоточилось на про</w:t>
      </w:r>
      <w:r w:rsidRPr="001E2C69">
        <w:rPr>
          <w:rFonts w:ascii="Times New Roman" w:hAnsi="Times New Roman" w:cs="Times New Roman"/>
          <w:color w:val="000000" w:themeColor="text1"/>
          <w:sz w:val="16"/>
          <w:szCs w:val="16"/>
        </w:rPr>
        <w:softHyphen/>
        <w:t>ектировании второго, уже двухмоторного варианта Ил-6 (МШ-2).</w:t>
      </w:r>
    </w:p>
    <w:p w14:paraId="335710FF" w14:textId="77777777" w:rsidR="00AE7191" w:rsidRPr="001E2C69" w:rsidRDefault="00AE7191" w:rsidP="00722885">
      <w:pPr>
        <w:pStyle w:val="47"/>
        <w:shd w:val="clear" w:color="auto" w:fill="auto"/>
        <w:spacing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Необычная конструкция этой машины имела двухбалочную схему. В коротком центральном фюзеляже находилась каби</w:t>
      </w:r>
      <w:r w:rsidRPr="001E2C69">
        <w:rPr>
          <w:rFonts w:ascii="Times New Roman" w:hAnsi="Times New Roman" w:cs="Times New Roman"/>
          <w:color w:val="000000" w:themeColor="text1"/>
          <w:sz w:val="16"/>
          <w:szCs w:val="16"/>
        </w:rPr>
        <w:softHyphen/>
        <w:t>на летчика и два двигателя АМ-38 с тяну</w:t>
      </w:r>
      <w:r w:rsidRPr="001E2C69">
        <w:rPr>
          <w:rFonts w:ascii="Times New Roman" w:hAnsi="Times New Roman" w:cs="Times New Roman"/>
          <w:color w:val="000000" w:themeColor="text1"/>
          <w:sz w:val="16"/>
          <w:szCs w:val="16"/>
        </w:rPr>
        <w:softHyphen/>
        <w:t>щим и толкающим воздушными винтами. Водо- и маслорадиаторы, установленные также в подфюзеляжной части центропла</w:t>
      </w:r>
      <w:r w:rsidRPr="001E2C69">
        <w:rPr>
          <w:rFonts w:ascii="Times New Roman" w:hAnsi="Times New Roman" w:cs="Times New Roman"/>
          <w:color w:val="000000" w:themeColor="text1"/>
          <w:sz w:val="16"/>
          <w:szCs w:val="16"/>
        </w:rPr>
        <w:softHyphen/>
        <w:t>на, охлаждались воздухом, поступающим из заборников в носке крыла и выбрасыва</w:t>
      </w:r>
      <w:r w:rsidRPr="001E2C69">
        <w:rPr>
          <w:rFonts w:ascii="Times New Roman" w:hAnsi="Times New Roman" w:cs="Times New Roman"/>
          <w:color w:val="000000" w:themeColor="text1"/>
          <w:sz w:val="16"/>
          <w:szCs w:val="16"/>
        </w:rPr>
        <w:softHyphen/>
        <w:t>емым вниз под крыло. Бензо- и маслобаки размещались между двигателями. И опять впервые на этом самолете С.В. Ильюшин решил применить трехколесное шасси с ассиметричной передней опорой, убираю</w:t>
      </w:r>
      <w:r w:rsidRPr="001E2C69">
        <w:rPr>
          <w:rFonts w:ascii="Times New Roman" w:hAnsi="Times New Roman" w:cs="Times New Roman"/>
          <w:color w:val="000000" w:themeColor="text1"/>
          <w:sz w:val="16"/>
          <w:szCs w:val="16"/>
        </w:rPr>
        <w:softHyphen/>
        <w:t>щейся в центральную часть фюзеляжа. Ос</w:t>
      </w:r>
      <w:r w:rsidRPr="001E2C69">
        <w:rPr>
          <w:rFonts w:ascii="Times New Roman" w:hAnsi="Times New Roman" w:cs="Times New Roman"/>
          <w:color w:val="000000" w:themeColor="text1"/>
          <w:sz w:val="16"/>
          <w:szCs w:val="16"/>
        </w:rPr>
        <w:softHyphen/>
        <w:t>новные опоры, конструкция которых была полностью заимствована с самолета Ил-2, убирались в боковые балки. Стрелково- пушечное вооружение самолета, целиком размещенное в боковых балках, состояло из двух пушек ВЯ-23 и четырех пулеметов ШКАС. Нормальная бомбовая нагрузка, раз</w:t>
      </w:r>
      <w:r w:rsidRPr="001E2C69">
        <w:rPr>
          <w:rFonts w:ascii="Times New Roman" w:hAnsi="Times New Roman" w:cs="Times New Roman"/>
          <w:color w:val="000000" w:themeColor="text1"/>
          <w:sz w:val="16"/>
          <w:szCs w:val="16"/>
        </w:rPr>
        <w:softHyphen/>
        <w:t>мещенная в отсеках центроплана, состав</w:t>
      </w:r>
      <w:r w:rsidRPr="001E2C69">
        <w:rPr>
          <w:rFonts w:ascii="Times New Roman" w:hAnsi="Times New Roman" w:cs="Times New Roman"/>
          <w:color w:val="000000" w:themeColor="text1"/>
          <w:sz w:val="16"/>
          <w:szCs w:val="16"/>
        </w:rPr>
        <w:softHyphen/>
        <w:t>ляла 400 кг, а в перегрузочном варианте - 600 кг с использованием наружных под</w:t>
      </w:r>
      <w:r w:rsidRPr="001E2C69">
        <w:rPr>
          <w:rFonts w:ascii="Times New Roman" w:hAnsi="Times New Roman" w:cs="Times New Roman"/>
          <w:color w:val="000000" w:themeColor="text1"/>
          <w:sz w:val="16"/>
          <w:szCs w:val="16"/>
        </w:rPr>
        <w:softHyphen/>
        <w:t>весок. Допускалась подвеска восьми сна</w:t>
      </w:r>
      <w:r w:rsidRPr="001E2C69">
        <w:rPr>
          <w:rFonts w:ascii="Times New Roman" w:hAnsi="Times New Roman" w:cs="Times New Roman"/>
          <w:color w:val="000000" w:themeColor="text1"/>
          <w:sz w:val="16"/>
          <w:szCs w:val="16"/>
        </w:rPr>
        <w:softHyphen/>
        <w:t>рядов РС-82 под крылом. К сожалению, не сохранились сведения о бронировании этой машины и расчетные значения ее летных данных. Известно только, что в июне 1942 г. аэродинамическая модель, фрагменты которой сохранились до сих пор, была на</w:t>
      </w:r>
      <w:r w:rsidRPr="001E2C69">
        <w:rPr>
          <w:rFonts w:ascii="Times New Roman" w:hAnsi="Times New Roman" w:cs="Times New Roman"/>
          <w:color w:val="000000" w:themeColor="text1"/>
          <w:sz w:val="16"/>
          <w:szCs w:val="16"/>
        </w:rPr>
        <w:softHyphen/>
        <w:t>правлена в ЦАГИ для проведения продувок.</w:t>
      </w:r>
    </w:p>
    <w:p w14:paraId="2E33D5EA" w14:textId="77777777" w:rsidR="00AE7191" w:rsidRPr="001E2C69" w:rsidRDefault="00AE7191" w:rsidP="00722885">
      <w:pPr>
        <w:pStyle w:val="47"/>
        <w:shd w:val="clear" w:color="auto" w:fill="auto"/>
        <w:spacing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Дальнейшая судьба этого проекта оста</w:t>
      </w:r>
      <w:r w:rsidRPr="001E2C69">
        <w:rPr>
          <w:rFonts w:ascii="Times New Roman" w:hAnsi="Times New Roman" w:cs="Times New Roman"/>
          <w:color w:val="000000" w:themeColor="text1"/>
          <w:sz w:val="16"/>
          <w:szCs w:val="16"/>
        </w:rPr>
        <w:softHyphen/>
        <w:t>лась неизвестной. В то сложное время не</w:t>
      </w:r>
      <w:r w:rsidRPr="001E2C69">
        <w:rPr>
          <w:rFonts w:ascii="Times New Roman" w:hAnsi="Times New Roman" w:cs="Times New Roman"/>
          <w:color w:val="000000" w:themeColor="text1"/>
          <w:sz w:val="16"/>
          <w:szCs w:val="16"/>
        </w:rPr>
        <w:softHyphen/>
        <w:t>позволительно было отвлекать производ</w:t>
      </w:r>
      <w:r w:rsidRPr="001E2C69">
        <w:rPr>
          <w:rFonts w:ascii="Times New Roman" w:hAnsi="Times New Roman" w:cs="Times New Roman"/>
          <w:color w:val="000000" w:themeColor="text1"/>
          <w:sz w:val="16"/>
          <w:szCs w:val="16"/>
        </w:rPr>
        <w:softHyphen/>
        <w:t>ственные мощности авиапрома на освоение новых самолетов (12734).</w:t>
      </w:r>
    </w:p>
    <w:p w14:paraId="15A22C3B" w14:textId="77777777" w:rsidR="00AE7191" w:rsidRPr="001E2C69" w:rsidRDefault="00AE7191" w:rsidP="00722885">
      <w:pPr>
        <w:pStyle w:val="47"/>
        <w:shd w:val="clear" w:color="auto" w:fill="auto"/>
        <w:spacing w:line="240" w:lineRule="auto"/>
        <w:ind w:firstLine="0"/>
        <w:jc w:val="both"/>
        <w:rPr>
          <w:rFonts w:ascii="Times New Roman" w:hAnsi="Times New Roman" w:cs="Times New Roman"/>
          <w:color w:val="000000" w:themeColor="text1"/>
          <w:sz w:val="16"/>
          <w:szCs w:val="16"/>
        </w:rPr>
      </w:pPr>
    </w:p>
    <w:p w14:paraId="09878C1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в ЦАГИ на основании данных ГУ Ремонта и эксплуатации ВВС КА по авариям боевых самолетов в первом квартале 1942 был составлен "Предварительный анализ аварийных материалов семи боевых самолетов по рекламациям с фронта войны". По отчету Ил-2 были в плачевном состоянии (304).</w:t>
      </w:r>
    </w:p>
    <w:p w14:paraId="3015C165" w14:textId="77777777" w:rsidR="00AE7191" w:rsidRPr="001E2C69" w:rsidRDefault="00AE7191" w:rsidP="00722885">
      <w:pPr>
        <w:pStyle w:val="Iauiue"/>
        <w:jc w:val="both"/>
        <w:rPr>
          <w:color w:val="000000" w:themeColor="text1"/>
          <w:sz w:val="16"/>
          <w:szCs w:val="16"/>
        </w:rPr>
      </w:pPr>
    </w:p>
    <w:p w14:paraId="4DA9094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 начальник Управления технической экс</w:t>
      </w:r>
      <w:r w:rsidRPr="001E2C69">
        <w:rPr>
          <w:rFonts w:ascii="Times New Roman" w:hAnsi="Times New Roman"/>
          <w:color w:val="000000" w:themeColor="text1"/>
          <w:sz w:val="16"/>
          <w:szCs w:val="16"/>
        </w:rPr>
        <w:softHyphen/>
        <w:t>плуатации ВВС КА генерал-майор Ф.Н. Шульговский докла</w:t>
      </w:r>
      <w:r w:rsidRPr="001E2C69">
        <w:rPr>
          <w:rFonts w:ascii="Times New Roman" w:hAnsi="Times New Roman"/>
          <w:color w:val="000000" w:themeColor="text1"/>
          <w:sz w:val="16"/>
          <w:szCs w:val="16"/>
        </w:rPr>
        <w:softHyphen/>
        <w:t>дывал Главному инженеру ВВС генерал-лейтенанту А.К. Репи</w:t>
      </w:r>
      <w:r w:rsidRPr="001E2C69">
        <w:rPr>
          <w:rFonts w:ascii="Times New Roman" w:hAnsi="Times New Roman"/>
          <w:color w:val="000000" w:themeColor="text1"/>
          <w:sz w:val="16"/>
          <w:szCs w:val="16"/>
        </w:rPr>
        <w:softHyphen/>
        <w:t>ну, что за пять месяцев 1942 г. вышло из строя 97 моторов АМ-38. В среднем моторы работают по 20—50 часов, и только небольшое количество вырабатывают установленный ресурс.</w:t>
      </w:r>
    </w:p>
    <w:p w14:paraId="68D5842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24 каждый месяц предъявлял моторы АМ-38 на 100-часовые испытания, но ни один мотор этих испытаний не выдержал (главным образом по прогару и обрыву клапанов), «хотя срок службы мотору установлен 150 часов». Лишь один серийный АМ-38 отработал на стенде 72 часа.</w:t>
      </w:r>
    </w:p>
    <w:p w14:paraId="623B3E6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январе месяце 40% моторов были сняты с контрольных испытаний по 73 различным дефектам: дефекты обработки, не</w:t>
      </w:r>
      <w:r w:rsidRPr="001E2C69">
        <w:rPr>
          <w:rFonts w:ascii="Times New Roman" w:hAnsi="Times New Roman"/>
          <w:color w:val="000000" w:themeColor="text1"/>
          <w:sz w:val="16"/>
          <w:szCs w:val="16"/>
        </w:rPr>
        <w:softHyphen/>
        <w:t>качественное литье и плохой монтаж. Массовыми дефектами АМ-38 являлись прогар и трещины головок блоков цилиндров (течь из-под футорок свечных отверстий и в перемычках между клапанами) и поломка клапанных пружин. Довольно частыми были обрыв клапанов, преждевременный износ поршневых ко</w:t>
      </w:r>
      <w:r w:rsidRPr="001E2C69">
        <w:rPr>
          <w:rFonts w:ascii="Times New Roman" w:hAnsi="Times New Roman"/>
          <w:color w:val="000000" w:themeColor="text1"/>
          <w:sz w:val="16"/>
          <w:szCs w:val="16"/>
        </w:rPr>
        <w:softHyphen/>
        <w:t>лец, появление течи через нижнее уплотнение (вода в картере), прогар пусковых клапанов, биение масла из суфлера, а также заклинение мотора и разрушение коренных подшипников (11474,264).</w:t>
      </w:r>
    </w:p>
    <w:p w14:paraId="15D4FF4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27514FA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 начальник Управления технической эксплуатации ВВС КА генерал-майор Ф. Н. Шульговский докладывал Главному инженеру ВВС генерал-лейтенанту А. И. Репину, что за пять месяцев 1942 г. вышло из строя 97 моторов АМ-38. В среднем моторы работают по 20-50 часов, и только небольшое количество вырабатывают установленный ресурс. Завод №24 каждый месяц предъявлял моторы АМ-38 на 100-часовые испытания, но ни один мотор этих испытаний не выдержал, "хотя срок службы мотору установлен 150 часов". Только один серийный АМ-38 отработал на стенде 50 ч.</w:t>
      </w:r>
    </w:p>
    <w:p w14:paraId="7569C13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состоянию на 1 июня по вине моторов АМ-38 и М-105 в частях ВВС произошла 31 катастрофа, 36 аварий и 36 поломок самолетов, зарегистрировано 104 случая вынужденных посадок, 112 аварий моторов, 141 случай преждевременных съемок моторов. Массовые аварии моторов имели место не только в строю, но и на самолетных и моторных заводах НКАП.</w:t>
      </w:r>
    </w:p>
    <w:p w14:paraId="7526250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началу июля на фронтах и в запасных авиаполках имелось 579 исправных современных самолетов без моторов и 122 самолета без винтов, а также 1364 моторов, требующих ремонта.</w:t>
      </w:r>
    </w:p>
    <w:p w14:paraId="5366A93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приведения моторного парка ВВС КА в порядок генерал Шульговский считал необходимым форсировать выпуск остродефицитных запчастей для восстановления неисправных моторов: "То, что дает НКАП по запасным моторным частям, ничтожно мало и, безусловно, не позволит решить задачу введения в строй самолетов. Для бесперебойной боевой работы нужно иметь хотя бы минимальный оборотный фонд исправных моторов, которого ВВС КА не имеют".</w:t>
      </w:r>
    </w:p>
    <w:p w14:paraId="2477C8E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Анализ документов показывает, что низкое качество сборки штурмовиков Ил-2 обуславливалось не только массовым приходом на авиазаводы малоквалифицированной рабочей силы, но и отсутствием военной приемки в заготовительных и агрегатно-механи- ческих цехах самолетостроительных заводов и на заводах-поставщиках комплектующих изделий. По этой причине военные представители не могли оказать существенного влияния на качество собранных самолетов, которое закладывалось на начальных стадиях производства. Военпреды осуществляли только окончательную приемку уже собранных штурмовиков. Летчики военных представительств работали в одном графике с заводскими летчиками и контрольные переоблеты самолетов после заводских летчиков не производили.</w:t>
      </w:r>
    </w:p>
    <w:p w14:paraId="226318C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Как следствие многие Ил-2 до фронта просто не долетали - терпели аварии и катастрофы при перегоне с мест формирования полков к фронту, а на самих фронтах процент неисправных Ил-2 был очень высок - 30-40% и более (12020).</w:t>
      </w:r>
    </w:p>
    <w:p w14:paraId="4EBAD32D"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0443E5C" w14:textId="003CB195" w:rsidR="00627011" w:rsidRPr="001E2C69" w:rsidRDefault="00627011" w:rsidP="00722885">
      <w:pPr>
        <w:shd w:val="clear" w:color="auto" w:fill="FFFFFF"/>
        <w:spacing w:after="0" w:line="240" w:lineRule="auto"/>
        <w:jc w:val="both"/>
        <w:rPr>
          <w:rFonts w:ascii="Times New Roman" w:eastAsia="Times New Roman" w:hAnsi="Times New Roman"/>
          <w:color w:val="000000" w:themeColor="text1"/>
          <w:sz w:val="16"/>
          <w:szCs w:val="16"/>
        </w:rPr>
      </w:pPr>
      <w:r w:rsidRPr="001E2C69">
        <w:rPr>
          <w:rFonts w:ascii="Times New Roman" w:eastAsia="Times New Roman" w:hAnsi="Times New Roman"/>
          <w:color w:val="000000" w:themeColor="text1"/>
          <w:sz w:val="16"/>
          <w:szCs w:val="16"/>
        </w:rPr>
        <w:t>В июле – августе 1942 г. после внесения изменений образец</w:t>
      </w:r>
      <w:r w:rsidR="001E2C69">
        <w:rPr>
          <w:rFonts w:ascii="Times New Roman" w:eastAsia="Times New Roman" w:hAnsi="Times New Roman"/>
          <w:color w:val="000000" w:themeColor="text1"/>
          <w:sz w:val="16"/>
          <w:szCs w:val="16"/>
        </w:rPr>
        <w:t xml:space="preserve">   </w:t>
      </w:r>
      <w:r w:rsidRPr="001E2C69">
        <w:rPr>
          <w:rFonts w:ascii="Times New Roman" w:eastAsia="Times New Roman" w:hAnsi="Times New Roman"/>
          <w:color w:val="000000" w:themeColor="text1"/>
          <w:sz w:val="16"/>
          <w:szCs w:val="16"/>
        </w:rPr>
        <w:t xml:space="preserve"> № 2 пушки 11П</w:t>
      </w:r>
      <w:r w:rsidR="001E2C69">
        <w:rPr>
          <w:rFonts w:ascii="Times New Roman" w:eastAsia="Times New Roman" w:hAnsi="Times New Roman"/>
          <w:color w:val="000000" w:themeColor="text1"/>
          <w:sz w:val="16"/>
          <w:szCs w:val="16"/>
        </w:rPr>
        <w:t xml:space="preserve">   </w:t>
      </w:r>
      <w:r w:rsidRPr="001E2C69">
        <w:rPr>
          <w:rFonts w:ascii="Times New Roman" w:eastAsia="Times New Roman" w:hAnsi="Times New Roman"/>
          <w:color w:val="000000" w:themeColor="text1"/>
          <w:sz w:val="16"/>
          <w:szCs w:val="16"/>
        </w:rPr>
        <w:t xml:space="preserve"> успешно прошел повторные полигонные испытания на филиале НИП АВ ВВС КА в г. Ногинске, причем в отчете полигона отмечалось, что из двух систем 37-мм пушек</w:t>
      </w:r>
      <w:r w:rsidR="001E2C69">
        <w:rPr>
          <w:rFonts w:ascii="Times New Roman" w:eastAsia="Times New Roman" w:hAnsi="Times New Roman"/>
          <w:color w:val="000000" w:themeColor="text1"/>
          <w:sz w:val="16"/>
          <w:szCs w:val="16"/>
        </w:rPr>
        <w:t xml:space="preserve">   </w:t>
      </w:r>
      <w:r w:rsidRPr="001E2C69">
        <w:rPr>
          <w:rFonts w:ascii="Times New Roman" w:eastAsia="Times New Roman" w:hAnsi="Times New Roman"/>
          <w:color w:val="000000" w:themeColor="text1"/>
          <w:sz w:val="16"/>
          <w:szCs w:val="16"/>
        </w:rPr>
        <w:t xml:space="preserve"> (ОКБ-15 и ОКБ-16) лучшей системой является пушка 11П ОКБ-16. После принятия на вооружение пушка 11П стала именоваться НС-37 (Нудельман – Суранов). Однако, учитывая, что к тому времени производство пушки Ш-37 ОКБ-15 было уже налажено, полигон рекомендовал провести сравнительные испытания пушек, разработанных в ОКБ-15 и ОКБ-16.</w:t>
      </w:r>
    </w:p>
    <w:p w14:paraId="05194789" w14:textId="3877C1C2" w:rsidR="00627011" w:rsidRPr="001E2C69" w:rsidRDefault="00627011" w:rsidP="00722885">
      <w:pPr>
        <w:shd w:val="clear" w:color="auto" w:fill="FFFFFF"/>
        <w:spacing w:after="0" w:line="240" w:lineRule="auto"/>
        <w:jc w:val="both"/>
        <w:rPr>
          <w:rFonts w:ascii="Times New Roman" w:eastAsia="Times New Roman" w:hAnsi="Times New Roman"/>
          <w:color w:val="000000" w:themeColor="text1"/>
          <w:sz w:val="16"/>
          <w:szCs w:val="16"/>
        </w:rPr>
      </w:pPr>
      <w:r w:rsidRPr="001E2C69">
        <w:rPr>
          <w:rFonts w:ascii="Times New Roman" w:eastAsia="Times New Roman" w:hAnsi="Times New Roman"/>
          <w:color w:val="000000" w:themeColor="text1"/>
          <w:sz w:val="16"/>
          <w:szCs w:val="16"/>
        </w:rPr>
        <w:t>ВВС остро нуждались в вооружении самолетов мощной 37-мм пушкой. И тогда в ОКБ-16 решили обратиться за помощью в Правительство. «В письме лично к И.В. Сталину, - вспоминал</w:t>
      </w:r>
      <w:r w:rsidR="001E2C69">
        <w:rPr>
          <w:rFonts w:ascii="Times New Roman" w:eastAsia="Times New Roman" w:hAnsi="Times New Roman"/>
          <w:color w:val="000000" w:themeColor="text1"/>
          <w:sz w:val="16"/>
          <w:szCs w:val="16"/>
        </w:rPr>
        <w:t xml:space="preserve">   </w:t>
      </w:r>
      <w:r w:rsidRPr="001E2C69">
        <w:rPr>
          <w:rFonts w:ascii="Times New Roman" w:eastAsia="Times New Roman" w:hAnsi="Times New Roman"/>
          <w:color w:val="000000" w:themeColor="text1"/>
          <w:sz w:val="16"/>
          <w:szCs w:val="16"/>
        </w:rPr>
        <w:t xml:space="preserve"> Нудельман А.Э., - докладывалось, что разработана и рекомендована на вооружение 37-мм авиационная пушка для истребителей и штурмовиков, имеющая большие преимущества перед пушкой Ш-37. Вооружение авиации 37-мм пушкой ОКБ-16 сейчас, во время войны, поможет обеспечить господство наших самолетов в воздухе» (15979).</w:t>
      </w:r>
    </w:p>
    <w:p w14:paraId="35DA0CD7" w14:textId="77777777" w:rsidR="00627011" w:rsidRPr="001E2C69" w:rsidRDefault="00627011" w:rsidP="00722885">
      <w:pPr>
        <w:shd w:val="clear" w:color="auto" w:fill="FFFFFF"/>
        <w:spacing w:after="0" w:line="240" w:lineRule="auto"/>
        <w:jc w:val="both"/>
        <w:rPr>
          <w:rFonts w:ascii="Times New Roman" w:eastAsia="Times New Roman" w:hAnsi="Times New Roman"/>
          <w:color w:val="000000" w:themeColor="text1"/>
          <w:sz w:val="16"/>
          <w:szCs w:val="16"/>
        </w:rPr>
      </w:pPr>
    </w:p>
    <w:p w14:paraId="092B652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 был разработан специальный временной ме</w:t>
      </w:r>
      <w:r w:rsidRPr="001E2C69">
        <w:rPr>
          <w:rFonts w:ascii="Times New Roman" w:hAnsi="Times New Roman"/>
          <w:color w:val="000000" w:themeColor="text1"/>
          <w:sz w:val="16"/>
          <w:szCs w:val="16"/>
        </w:rPr>
        <w:softHyphen/>
        <w:t>ханизм штурмовика ВМШ-2, повышающий точность бомбо</w:t>
      </w:r>
      <w:r w:rsidRPr="001E2C69">
        <w:rPr>
          <w:rFonts w:ascii="Times New Roman" w:hAnsi="Times New Roman"/>
          <w:color w:val="000000" w:themeColor="text1"/>
          <w:sz w:val="16"/>
          <w:szCs w:val="16"/>
        </w:rPr>
        <w:softHyphen/>
        <w:t>метания с горизонтального полета и с пикирования. Однако поддержки у летного состава он не нашел по причине ограни</w:t>
      </w:r>
      <w:r w:rsidRPr="001E2C69">
        <w:rPr>
          <w:rFonts w:ascii="Times New Roman" w:hAnsi="Times New Roman"/>
          <w:color w:val="000000" w:themeColor="text1"/>
          <w:sz w:val="16"/>
          <w:szCs w:val="16"/>
        </w:rPr>
        <w:softHyphen/>
        <w:t>ченности диапазона высот боевого применения и дискретно</w:t>
      </w:r>
      <w:r w:rsidRPr="001E2C69">
        <w:rPr>
          <w:rFonts w:ascii="Times New Roman" w:hAnsi="Times New Roman"/>
          <w:color w:val="000000" w:themeColor="text1"/>
          <w:sz w:val="16"/>
          <w:szCs w:val="16"/>
        </w:rPr>
        <w:softHyphen/>
        <w:t>сти их выбора.</w:t>
      </w:r>
    </w:p>
    <w:p w14:paraId="60D55DB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Бомбометание с горизонтального полета с помощью ВМШ-2 могло производиться с высот 70, 100, 200, 300 м и выше (все кратно 100 м), а бомбометание на выходе из пикирования — только с высоты 400 м, хотя ввод в пикирование осуществлялся с различных высот (от 600 м до 1200 м). Это приводило к излишнему однообразию тактических приемов над целью, и про</w:t>
      </w:r>
      <w:r w:rsidRPr="001E2C69">
        <w:rPr>
          <w:rFonts w:ascii="Times New Roman" w:hAnsi="Times New Roman"/>
          <w:color w:val="000000" w:themeColor="text1"/>
          <w:sz w:val="16"/>
          <w:szCs w:val="16"/>
        </w:rPr>
        <w:softHyphen/>
        <w:t>тивник наносил Ил-2 тяжелые потери, в основном огнем МЗА (11474,254).</w:t>
      </w:r>
    </w:p>
    <w:p w14:paraId="747924A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6680C99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г. сконструированный преподавателем кафедры бомбоме</w:t>
      </w:r>
      <w:r w:rsidRPr="001E2C69">
        <w:rPr>
          <w:color w:val="000000" w:themeColor="text1"/>
          <w:sz w:val="16"/>
          <w:szCs w:val="16"/>
        </w:rPr>
        <w:softHyphen/>
        <w:t>тания ВВА им. Н.Е.Жуковского М.К.Цветков ВМШ прошел специаль</w:t>
      </w:r>
      <w:r w:rsidRPr="001E2C69">
        <w:rPr>
          <w:color w:val="000000" w:themeColor="text1"/>
          <w:sz w:val="16"/>
          <w:szCs w:val="16"/>
        </w:rPr>
        <w:softHyphen/>
        <w:t>ные полигонные испытания в НИП АВ ВВС КА.</w:t>
      </w:r>
    </w:p>
    <w:p w14:paraId="75C3012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Испытания показали, что применение ВМШ повышает точность бомбометания с горизонтального полета по сравнению с прицеливанием по существующим меткам на бронекапоте. Так, вероятность попадания одной бомбы ФАБ-50 в поло</w:t>
      </w:r>
      <w:r w:rsidRPr="001E2C69">
        <w:rPr>
          <w:color w:val="000000" w:themeColor="text1"/>
          <w:sz w:val="16"/>
          <w:szCs w:val="16"/>
        </w:rPr>
        <w:softHyphen/>
        <w:t>су 20х100 м при бомбометании с высо</w:t>
      </w:r>
      <w:r w:rsidRPr="001E2C69">
        <w:rPr>
          <w:color w:val="000000" w:themeColor="text1"/>
          <w:sz w:val="16"/>
          <w:szCs w:val="16"/>
        </w:rPr>
        <w:softHyphen/>
        <w:t>ты 200 м при помощи ВМШ составила 0,049, а серией из 4-х ФАБ-50 - 0,085.</w:t>
      </w:r>
    </w:p>
    <w:p w14:paraId="5510C1D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 основным недостаткам ВМШ Цветкова относились: дискретность выбора и ограниченность диапазона высот бое</w:t>
      </w:r>
      <w:r w:rsidRPr="001E2C69">
        <w:rPr>
          <w:color w:val="000000" w:themeColor="text1"/>
          <w:sz w:val="16"/>
          <w:szCs w:val="16"/>
        </w:rPr>
        <w:softHyphen/>
        <w:t>вого применения, а также отсутствие режима бомбометания на выходе из пикирования.</w:t>
      </w:r>
    </w:p>
    <w:p w14:paraId="7EE9FCD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ВМШ Цветкова срочно передали на завод № 589, где с учетом результатов полигонных испытаний была создана его улучшенная модификация, получившая обозначение ВМШ-2.</w:t>
      </w:r>
    </w:p>
    <w:p w14:paraId="7195E83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Дальнейшая доработка ВМШ-2 и от</w:t>
      </w:r>
      <w:r w:rsidRPr="001E2C69">
        <w:rPr>
          <w:color w:val="000000" w:themeColor="text1"/>
          <w:sz w:val="16"/>
          <w:szCs w:val="16"/>
        </w:rPr>
        <w:softHyphen/>
        <w:t>работка методики его боевого приме</w:t>
      </w:r>
      <w:r w:rsidRPr="001E2C69">
        <w:rPr>
          <w:color w:val="000000" w:themeColor="text1"/>
          <w:sz w:val="16"/>
          <w:szCs w:val="16"/>
        </w:rPr>
        <w:softHyphen/>
        <w:t>нения затянулись почти на два года (6467).</w:t>
      </w:r>
    </w:p>
    <w:p w14:paraId="1EF9BE94" w14:textId="77777777" w:rsidR="00AE7191" w:rsidRPr="001E2C69" w:rsidRDefault="00AE7191" w:rsidP="00722885">
      <w:pPr>
        <w:pStyle w:val="Iauiue"/>
        <w:jc w:val="both"/>
        <w:rPr>
          <w:color w:val="000000" w:themeColor="text1"/>
          <w:sz w:val="16"/>
          <w:szCs w:val="16"/>
        </w:rPr>
      </w:pPr>
    </w:p>
    <w:p w14:paraId="6E10E358" w14:textId="77777777" w:rsidR="00627011" w:rsidRPr="001E2C69" w:rsidRDefault="0062701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года, в соответствии с приказом НКАП на части территории бывшего завода № 240, который отошел С.В.И., около Центрального аэродрома, которая была передана В.Г. Ермолаеву, образован новый самостоятельный опытный завод № 134. Вернувшийся в Москву В.Г. Ермолаев окончательно остановил свой выбор на дизелях М-30Б (с 1944 г. – АЧ-30Б) конструкции А.Д. Чаромского (Прим. 59) (15223).</w:t>
      </w:r>
    </w:p>
    <w:p w14:paraId="18EE8DEC" w14:textId="77777777" w:rsidR="00627011" w:rsidRPr="001E2C69" w:rsidRDefault="00627011" w:rsidP="00722885">
      <w:pPr>
        <w:shd w:val="clear" w:color="auto" w:fill="FFFFFF"/>
        <w:spacing w:after="0" w:line="240" w:lineRule="auto"/>
        <w:jc w:val="both"/>
        <w:rPr>
          <w:rFonts w:ascii="Times New Roman" w:hAnsi="Times New Roman"/>
          <w:color w:val="000000" w:themeColor="text1"/>
          <w:sz w:val="16"/>
          <w:szCs w:val="16"/>
        </w:rPr>
      </w:pPr>
    </w:p>
    <w:p w14:paraId="12C76064" w14:textId="63E0D896" w:rsidR="00B1242C" w:rsidRPr="001E2C69" w:rsidRDefault="00B1242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года с отличными результатами завершил государственные испытания бронированный штурмовик Су-6 конструкции ОКБ П.</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О.</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Сухого с мотором воздушного охлаждения М-71 (1700/2000 л.</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с.).</w:t>
      </w:r>
    </w:p>
    <w:p w14:paraId="05C9A503" w14:textId="52126971" w:rsidR="00B1242C" w:rsidRPr="001E2C69" w:rsidRDefault="00B1242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нормальной боевой нагрузкой (10 РС-132, 200</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кг бомб, 2 пушки ВЯ и 4 ШКАС с боекомплектом) самолет развивал у земли скорость 445</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км/ч, на высоте 2500</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м</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491</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км/ч. Время подъема на высоту 1000</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м</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1,7</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мин. Вираж на высоте 1000</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м выполнялся за 24–25 с.</w:t>
      </w:r>
    </w:p>
    <w:p w14:paraId="23CC1EE9" w14:textId="77777777" w:rsidR="00B1242C" w:rsidRPr="001E2C69" w:rsidRDefault="00B1242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Попытка построить войсковую серию Су-6 успехом не увенчалась. Формально из-за трудностей с выпуском моторов М-71, поскольку он изготавливался малой серией только для обеспечения опытных работ по самолетам и мотору, а увеличение его производства в планы руководства НКАП не входило (17489).</w:t>
      </w:r>
    </w:p>
    <w:p w14:paraId="68CA9AAC" w14:textId="77777777" w:rsidR="00B1242C" w:rsidRPr="001E2C69" w:rsidRDefault="00B1242C" w:rsidP="00722885">
      <w:pPr>
        <w:spacing w:after="0" w:line="240" w:lineRule="auto"/>
        <w:jc w:val="both"/>
        <w:rPr>
          <w:rFonts w:ascii="Times New Roman" w:eastAsia="Times New Roman" w:hAnsi="Times New Roman"/>
          <w:color w:val="000000" w:themeColor="text1"/>
          <w:sz w:val="16"/>
          <w:szCs w:val="16"/>
          <w:lang w:eastAsia="ru-RU"/>
        </w:rPr>
      </w:pPr>
    </w:p>
    <w:p w14:paraId="5BB6306D" w14:textId="77777777" w:rsidR="004D6E34" w:rsidRPr="001E2C69" w:rsidRDefault="004D6E3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В июле 1942 г. Сухой предъя</w:t>
      </w:r>
      <w:r w:rsidRPr="001E2C69">
        <w:rPr>
          <w:rFonts w:ascii="Times New Roman" w:hAnsi="Times New Roman" w:cs="Times New Roman"/>
          <w:color w:val="000000" w:themeColor="text1"/>
          <w:sz w:val="16"/>
          <w:szCs w:val="16"/>
        </w:rPr>
        <w:softHyphen/>
        <w:t>вил в НИИ ВВС первый проект истре</w:t>
      </w:r>
      <w:r w:rsidRPr="001E2C69">
        <w:rPr>
          <w:rFonts w:ascii="Times New Roman" w:hAnsi="Times New Roman" w:cs="Times New Roman"/>
          <w:color w:val="000000" w:themeColor="text1"/>
          <w:sz w:val="16"/>
          <w:szCs w:val="16"/>
        </w:rPr>
        <w:softHyphen/>
        <w:t>бительного варианта Су-6, вто</w:t>
      </w:r>
      <w:r w:rsidRPr="001E2C69">
        <w:rPr>
          <w:rFonts w:ascii="Times New Roman" w:hAnsi="Times New Roman" w:cs="Times New Roman"/>
          <w:color w:val="000000" w:themeColor="text1"/>
          <w:sz w:val="16"/>
          <w:szCs w:val="16"/>
        </w:rPr>
        <w:softHyphen/>
        <w:t>рой (с двумя турбокомпрессорами ТК-3) - в феврале 1943 г. С самолета снималось все вооружение, кроме пушек, и боль</w:t>
      </w:r>
      <w:r w:rsidRPr="001E2C69">
        <w:rPr>
          <w:rFonts w:ascii="Times New Roman" w:hAnsi="Times New Roman" w:cs="Times New Roman"/>
          <w:color w:val="000000" w:themeColor="text1"/>
          <w:sz w:val="16"/>
          <w:szCs w:val="16"/>
        </w:rPr>
        <w:softHyphen/>
        <w:t>шая часть брони. С мотором М-71ф мак</w:t>
      </w:r>
      <w:r w:rsidRPr="001E2C69">
        <w:rPr>
          <w:rFonts w:ascii="Times New Roman" w:hAnsi="Times New Roman" w:cs="Times New Roman"/>
          <w:color w:val="000000" w:themeColor="text1"/>
          <w:sz w:val="16"/>
          <w:szCs w:val="16"/>
        </w:rPr>
        <w:softHyphen/>
        <w:t>симальная скорость Су-6 по расчетам со</w:t>
      </w:r>
      <w:r w:rsidRPr="001E2C69">
        <w:rPr>
          <w:rFonts w:ascii="Times New Roman" w:hAnsi="Times New Roman" w:cs="Times New Roman"/>
          <w:color w:val="000000" w:themeColor="text1"/>
          <w:sz w:val="16"/>
          <w:szCs w:val="16"/>
        </w:rPr>
        <w:softHyphen/>
        <w:t>ставляла 602 км/ч - на высоте 5000 м, и 535 км/ч - у земли. Вертикальная ско</w:t>
      </w:r>
      <w:r w:rsidRPr="001E2C69">
        <w:rPr>
          <w:rFonts w:ascii="Times New Roman" w:hAnsi="Times New Roman" w:cs="Times New Roman"/>
          <w:color w:val="000000" w:themeColor="text1"/>
          <w:sz w:val="16"/>
          <w:szCs w:val="16"/>
        </w:rPr>
        <w:softHyphen/>
        <w:t>рость на 1000 м - не менее 13 м/с. При установке двух турбокомпрессоров</w:t>
      </w:r>
    </w:p>
    <w:p w14:paraId="776CA55A" w14:textId="77777777" w:rsidR="004D6E34" w:rsidRPr="001E2C69" w:rsidRDefault="004D6E3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ТК-3 максимальная скорость достигала 634 км/ч на высоте 8300 м, время подъ</w:t>
      </w:r>
      <w:r w:rsidRPr="001E2C69">
        <w:rPr>
          <w:rFonts w:ascii="Times New Roman" w:hAnsi="Times New Roman" w:cs="Times New Roman"/>
          <w:color w:val="000000" w:themeColor="text1"/>
          <w:sz w:val="16"/>
          <w:szCs w:val="16"/>
        </w:rPr>
        <w:softHyphen/>
        <w:t>ема на 8000 м - 10,3 мин. Скоростная дальность полета - 1240 км.</w:t>
      </w:r>
    </w:p>
    <w:p w14:paraId="1E107325" w14:textId="77777777" w:rsidR="004D6E34" w:rsidRPr="001E2C69" w:rsidRDefault="004D6E3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Надо сказать, военные довольно скептически относились к идее брониро</w:t>
      </w:r>
      <w:r w:rsidRPr="001E2C69">
        <w:rPr>
          <w:rFonts w:ascii="Times New Roman" w:hAnsi="Times New Roman" w:cs="Times New Roman"/>
          <w:color w:val="000000" w:themeColor="text1"/>
          <w:sz w:val="16"/>
          <w:szCs w:val="16"/>
        </w:rPr>
        <w:softHyphen/>
        <w:t>ванного истребителя бомбардировщи</w:t>
      </w:r>
      <w:r w:rsidRPr="001E2C69">
        <w:rPr>
          <w:rFonts w:ascii="Times New Roman" w:hAnsi="Times New Roman" w:cs="Times New Roman"/>
          <w:color w:val="000000" w:themeColor="text1"/>
          <w:sz w:val="16"/>
          <w:szCs w:val="16"/>
        </w:rPr>
        <w:softHyphen/>
        <w:t>ков. Особенно к его невысотному вари</w:t>
      </w:r>
      <w:r w:rsidRPr="001E2C69">
        <w:rPr>
          <w:rFonts w:ascii="Times New Roman" w:hAnsi="Times New Roman" w:cs="Times New Roman"/>
          <w:color w:val="000000" w:themeColor="text1"/>
          <w:sz w:val="16"/>
          <w:szCs w:val="16"/>
        </w:rPr>
        <w:softHyphen/>
        <w:t>анту. Не ясными и весьма спорными были вопросы тактики его применения и вза</w:t>
      </w:r>
      <w:r w:rsidRPr="001E2C69">
        <w:rPr>
          <w:rFonts w:ascii="Times New Roman" w:hAnsi="Times New Roman" w:cs="Times New Roman"/>
          <w:color w:val="000000" w:themeColor="text1"/>
          <w:sz w:val="16"/>
          <w:szCs w:val="16"/>
        </w:rPr>
        <w:softHyphen/>
        <w:t>имодействия с обычными истребителями в воздушном бою с противником. Вер</w:t>
      </w:r>
      <w:r w:rsidRPr="001E2C69">
        <w:rPr>
          <w:rFonts w:ascii="Times New Roman" w:hAnsi="Times New Roman" w:cs="Times New Roman"/>
          <w:color w:val="000000" w:themeColor="text1"/>
          <w:sz w:val="16"/>
          <w:szCs w:val="16"/>
        </w:rPr>
        <w:softHyphen/>
        <w:t>тикальная маневренность бронирован</w:t>
      </w:r>
      <w:r w:rsidRPr="001E2C69">
        <w:rPr>
          <w:rFonts w:ascii="Times New Roman" w:hAnsi="Times New Roman" w:cs="Times New Roman"/>
          <w:color w:val="000000" w:themeColor="text1"/>
          <w:sz w:val="16"/>
          <w:szCs w:val="16"/>
        </w:rPr>
        <w:softHyphen/>
        <w:t>ного истребителя не позволяла на равных вести бой с немецкими истребителями, тогда как вертикальный маневр был ос</w:t>
      </w:r>
      <w:r w:rsidRPr="001E2C69">
        <w:rPr>
          <w:rFonts w:ascii="Times New Roman" w:hAnsi="Times New Roman" w:cs="Times New Roman"/>
          <w:color w:val="000000" w:themeColor="text1"/>
          <w:sz w:val="16"/>
          <w:szCs w:val="16"/>
        </w:rPr>
        <w:softHyphen/>
        <w:t>новным маневром современного воздуш</w:t>
      </w:r>
      <w:r w:rsidRPr="001E2C69">
        <w:rPr>
          <w:rFonts w:ascii="Times New Roman" w:hAnsi="Times New Roman" w:cs="Times New Roman"/>
          <w:color w:val="000000" w:themeColor="text1"/>
          <w:sz w:val="16"/>
          <w:szCs w:val="16"/>
        </w:rPr>
        <w:softHyphen/>
        <w:t>ного боя. То есть, штурмовик-истребитель в воздушном бою с истребителями будет больше обороняться, чем наступать. Оче</w:t>
      </w:r>
      <w:r w:rsidRPr="001E2C69">
        <w:rPr>
          <w:rFonts w:ascii="Times New Roman" w:hAnsi="Times New Roman" w:cs="Times New Roman"/>
          <w:color w:val="000000" w:themeColor="text1"/>
          <w:sz w:val="16"/>
          <w:szCs w:val="16"/>
        </w:rPr>
        <w:softHyphen/>
        <w:t>видно, свои истребители обычного типа должны будут его защищать от атак вра</w:t>
      </w:r>
      <w:r w:rsidRPr="001E2C69">
        <w:rPr>
          <w:rFonts w:ascii="Times New Roman" w:hAnsi="Times New Roman" w:cs="Times New Roman"/>
          <w:color w:val="000000" w:themeColor="text1"/>
          <w:sz w:val="16"/>
          <w:szCs w:val="16"/>
        </w:rPr>
        <w:softHyphen/>
        <w:t>жеских истребителей также как чистых штурмовиков и бомбардировщиков.</w:t>
      </w:r>
    </w:p>
    <w:p w14:paraId="781E193F" w14:textId="77777777" w:rsidR="004D6E34" w:rsidRPr="001E2C69" w:rsidRDefault="004D6E3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Единственной возможностью брони</w:t>
      </w:r>
      <w:r w:rsidRPr="001E2C69">
        <w:rPr>
          <w:rFonts w:ascii="Times New Roman" w:hAnsi="Times New Roman" w:cs="Times New Roman"/>
          <w:color w:val="000000" w:themeColor="text1"/>
          <w:sz w:val="16"/>
          <w:szCs w:val="16"/>
        </w:rPr>
        <w:softHyphen/>
        <w:t>рованного истребителя встать в боевой строй ВВС КА, была ниша высотного истребителя-перехватчика. Но здесь имелся менее затратный путь - доработка серий</w:t>
      </w:r>
      <w:r w:rsidRPr="001E2C69">
        <w:rPr>
          <w:rFonts w:ascii="Times New Roman" w:hAnsi="Times New Roman" w:cs="Times New Roman"/>
          <w:color w:val="000000" w:themeColor="text1"/>
          <w:sz w:val="16"/>
          <w:szCs w:val="16"/>
        </w:rPr>
        <w:softHyphen/>
        <w:t>ных фронтовых истребителей в высотные варианты. Хотя постройка нового типа са</w:t>
      </w:r>
      <w:r w:rsidRPr="001E2C69">
        <w:rPr>
          <w:rFonts w:ascii="Times New Roman" w:hAnsi="Times New Roman" w:cs="Times New Roman"/>
          <w:color w:val="000000" w:themeColor="text1"/>
          <w:sz w:val="16"/>
          <w:szCs w:val="16"/>
        </w:rPr>
        <w:softHyphen/>
        <w:t>молета не исключалась.</w:t>
      </w:r>
    </w:p>
    <w:p w14:paraId="35BB78AE" w14:textId="77777777" w:rsidR="004D6E34" w:rsidRPr="001E2C69" w:rsidRDefault="004D6E3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Именно по этим причи</w:t>
      </w:r>
      <w:r w:rsidRPr="001E2C69">
        <w:rPr>
          <w:rFonts w:ascii="Times New Roman" w:hAnsi="Times New Roman" w:cs="Times New Roman"/>
          <w:color w:val="000000" w:themeColor="text1"/>
          <w:sz w:val="16"/>
          <w:szCs w:val="16"/>
        </w:rPr>
        <w:softHyphen/>
        <w:t>нам специалисты НИИ ВВС и в 1942 г., и в 1943 г. рекомендо</w:t>
      </w:r>
      <w:r w:rsidRPr="001E2C69">
        <w:rPr>
          <w:rFonts w:ascii="Times New Roman" w:hAnsi="Times New Roman" w:cs="Times New Roman"/>
          <w:color w:val="000000" w:themeColor="text1"/>
          <w:sz w:val="16"/>
          <w:szCs w:val="16"/>
        </w:rPr>
        <w:softHyphen/>
        <w:t>вали Сухому доработать про</w:t>
      </w:r>
      <w:r w:rsidRPr="001E2C69">
        <w:rPr>
          <w:rFonts w:ascii="Times New Roman" w:hAnsi="Times New Roman" w:cs="Times New Roman"/>
          <w:color w:val="000000" w:themeColor="text1"/>
          <w:sz w:val="16"/>
          <w:szCs w:val="16"/>
        </w:rPr>
        <w:softHyphen/>
        <w:t>екты истребительных вариан</w:t>
      </w:r>
      <w:r w:rsidRPr="001E2C69">
        <w:rPr>
          <w:rFonts w:ascii="Times New Roman" w:hAnsi="Times New Roman" w:cs="Times New Roman"/>
          <w:color w:val="000000" w:themeColor="text1"/>
          <w:sz w:val="16"/>
          <w:szCs w:val="16"/>
        </w:rPr>
        <w:softHyphen/>
        <w:t>тов Су-6 и вновь предъявить на рассмотрение. Официаль</w:t>
      </w:r>
      <w:r w:rsidRPr="001E2C69">
        <w:rPr>
          <w:rFonts w:ascii="Times New Roman" w:hAnsi="Times New Roman" w:cs="Times New Roman"/>
          <w:color w:val="000000" w:themeColor="text1"/>
          <w:sz w:val="16"/>
          <w:szCs w:val="16"/>
        </w:rPr>
        <w:softHyphen/>
        <w:t>ного задания по этому типу са</w:t>
      </w:r>
      <w:r w:rsidRPr="001E2C69">
        <w:rPr>
          <w:rFonts w:ascii="Times New Roman" w:hAnsi="Times New Roman" w:cs="Times New Roman"/>
          <w:color w:val="000000" w:themeColor="text1"/>
          <w:sz w:val="16"/>
          <w:szCs w:val="16"/>
        </w:rPr>
        <w:softHyphen/>
        <w:t>молета Сухой не получил. В то же время военные согласились испытать одноместный Су-6 (прошедший государственные испытания) в конфигурации истребителя бомбардировщиков с мотором М-71ф и дать по нему заключение (19846).</w:t>
      </w:r>
    </w:p>
    <w:p w14:paraId="7411692C" w14:textId="77777777" w:rsidR="004D6E34" w:rsidRPr="001E2C69" w:rsidRDefault="004D6E34"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3F9CA402" w14:textId="15EA755D" w:rsidR="00B1242C" w:rsidRPr="001E2C69" w:rsidRDefault="00B1242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года Сухой предъявил в НИИ ВВС первый проект истребительного варианта Су-6, второй с двумя турбокомпрессорами ТК-3</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в феврале 1943 года. С самолета снималось все вооружение, кроме пушек, и большая часть брони. С мотором М-71ф максимальная скорость Су-6, по расчетам, составляла 602</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км/ч</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на высоте 5000</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м и 535</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км/ч</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у земли. Вертикальная скорость на 1000</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м</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не менее 13</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м/с. При установке двух турбокомпрессоров ТК-3 максимальная скорость достигала 634</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км/ч на высоте 8300</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м, время подъема на 8000</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м</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10,3</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мин. Скоростная дальность полета</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1240</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км (17490).</w:t>
      </w:r>
    </w:p>
    <w:p w14:paraId="774CAD4D" w14:textId="77777777" w:rsidR="00B1242C" w:rsidRPr="001E2C69" w:rsidRDefault="00B1242C" w:rsidP="00722885">
      <w:pPr>
        <w:spacing w:after="0" w:line="240" w:lineRule="auto"/>
        <w:jc w:val="both"/>
        <w:rPr>
          <w:rFonts w:ascii="Times New Roman" w:eastAsia="Times New Roman" w:hAnsi="Times New Roman"/>
          <w:color w:val="000000" w:themeColor="text1"/>
          <w:sz w:val="16"/>
          <w:szCs w:val="16"/>
          <w:lang w:eastAsia="ru-RU"/>
        </w:rPr>
      </w:pPr>
    </w:p>
    <w:p w14:paraId="53A1553D" w14:textId="77777777" w:rsidR="00627011" w:rsidRPr="001E2C69" w:rsidRDefault="00627011" w:rsidP="00722885">
      <w:pPr>
        <w:pStyle w:val="a4"/>
        <w:tabs>
          <w:tab w:val="left" w:pos="5612"/>
        </w:tabs>
        <w:rPr>
          <w:color w:val="000000" w:themeColor="text1"/>
          <w:lang w:val="ru-RU"/>
        </w:rPr>
      </w:pPr>
      <w:r w:rsidRPr="001E2C69">
        <w:rPr>
          <w:color w:val="000000" w:themeColor="text1"/>
          <w:lang w:val="ru-RU"/>
        </w:rPr>
        <w:t>В июле 1942 г. стараниями В.Г. Ермолаева удалось образовать опытный завод № 134, которому передали территорию «Б» завода № 240 и здания бывшего Библиотечного института им. Молотова (в районе метро «Аэропорт»). На новом месте коллектив ОКБ-134 в короткие сроки завершил проектирование и постройку варианта бомбардировщика Ер-2 с дизельными моторами М-30Б (с 1944 г. — АЧ-ЗОБ) (15810).</w:t>
      </w:r>
    </w:p>
    <w:p w14:paraId="6F4FDF25" w14:textId="77777777" w:rsidR="00627011" w:rsidRPr="001E2C69" w:rsidRDefault="00627011" w:rsidP="00722885">
      <w:pPr>
        <w:pStyle w:val="a4"/>
        <w:tabs>
          <w:tab w:val="left" w:pos="5612"/>
        </w:tabs>
        <w:rPr>
          <w:color w:val="000000" w:themeColor="text1"/>
          <w:lang w:val="ru-RU"/>
        </w:rPr>
      </w:pPr>
    </w:p>
    <w:p w14:paraId="6630946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 по инициативе П.О.С. на двух машинах (№ 25095 и 26096) установили новые моторы М-82ФН с непосредственным впрыском топлива в цилиндры. Несмотря на аварию второго самолета 5 августа 1942 г., Павел Осипович добился продолжения испытаний. После доводки ВМГ, стало ясно, что новый двигатель сулит огромные перспективы. Работа оказалась весьма полезной для нашей авиации. Напомним, что только летом 1943 г. успех пришел к Ла-5ФН с таким же мотором (12028).</w:t>
      </w:r>
    </w:p>
    <w:p w14:paraId="70BA77A7"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C8D370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г вышел приказ НКАП о работе над антиобледенителями и в т.ч. для Ил-4 (7666).</w:t>
      </w:r>
    </w:p>
    <w:p w14:paraId="10840C97" w14:textId="77777777" w:rsidR="00AE7191" w:rsidRPr="001E2C69" w:rsidRDefault="00AE7191" w:rsidP="00722885">
      <w:pPr>
        <w:pStyle w:val="Iauiue"/>
        <w:jc w:val="both"/>
        <w:rPr>
          <w:color w:val="000000" w:themeColor="text1"/>
          <w:sz w:val="16"/>
          <w:szCs w:val="16"/>
        </w:rPr>
      </w:pPr>
    </w:p>
    <w:p w14:paraId="34E3AD8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июля 1942 к во</w:t>
      </w:r>
      <w:r w:rsidRPr="001E2C69">
        <w:rPr>
          <w:rFonts w:ascii="Times New Roman" w:hAnsi="Times New Roman"/>
          <w:color w:val="000000" w:themeColor="text1"/>
          <w:sz w:val="16"/>
          <w:szCs w:val="16"/>
        </w:rPr>
        <w:softHyphen/>
        <w:t>оружению некоторых Ил-4 добавился гранатомет ДАГ-10. Он выбрасывал гранаты АГ-2, снабженные парашютом. Такая граната через три-четыре секун</w:t>
      </w:r>
      <w:r w:rsidRPr="001E2C69">
        <w:rPr>
          <w:rFonts w:ascii="Times New Roman" w:hAnsi="Times New Roman"/>
          <w:color w:val="000000" w:themeColor="text1"/>
          <w:sz w:val="16"/>
          <w:szCs w:val="16"/>
        </w:rPr>
        <w:softHyphen/>
        <w:t>ды разрывалась за хвостом бомбарди</w:t>
      </w:r>
      <w:r w:rsidRPr="001E2C69">
        <w:rPr>
          <w:rFonts w:ascii="Times New Roman" w:hAnsi="Times New Roman"/>
          <w:color w:val="000000" w:themeColor="text1"/>
          <w:sz w:val="16"/>
          <w:szCs w:val="16"/>
        </w:rPr>
        <w:softHyphen/>
        <w:t>ровщика, эффективно «выкуривая» не</w:t>
      </w:r>
      <w:r w:rsidRPr="001E2C69">
        <w:rPr>
          <w:rFonts w:ascii="Times New Roman" w:hAnsi="Times New Roman"/>
          <w:color w:val="000000" w:themeColor="text1"/>
          <w:sz w:val="16"/>
          <w:szCs w:val="16"/>
        </w:rPr>
        <w:softHyphen/>
        <w:t>мецкие истребители из излюбленной позиции за хвостом. Все эти мероприятия стабильно под</w:t>
      </w:r>
      <w:r w:rsidRPr="001E2C69">
        <w:rPr>
          <w:rFonts w:ascii="Times New Roman" w:hAnsi="Times New Roman"/>
          <w:color w:val="000000" w:themeColor="text1"/>
          <w:sz w:val="16"/>
          <w:szCs w:val="16"/>
        </w:rPr>
        <w:softHyphen/>
        <w:t>нимали взлетный вес самолета. Соот</w:t>
      </w:r>
      <w:r w:rsidRPr="001E2C69">
        <w:rPr>
          <w:rFonts w:ascii="Times New Roman" w:hAnsi="Times New Roman"/>
          <w:color w:val="000000" w:themeColor="text1"/>
          <w:sz w:val="16"/>
          <w:szCs w:val="16"/>
        </w:rPr>
        <w:softHyphen/>
        <w:t>ветственно падала максимальная ско</w:t>
      </w:r>
      <w:r w:rsidRPr="001E2C69">
        <w:rPr>
          <w:rFonts w:ascii="Times New Roman" w:hAnsi="Times New Roman"/>
          <w:color w:val="000000" w:themeColor="text1"/>
          <w:sz w:val="16"/>
          <w:szCs w:val="16"/>
        </w:rPr>
        <w:softHyphen/>
        <w:t>рость и затягивался взлет. С целью борьбы с последним ввели промежуточ</w:t>
      </w:r>
      <w:r w:rsidRPr="001E2C69">
        <w:rPr>
          <w:rFonts w:ascii="Times New Roman" w:hAnsi="Times New Roman"/>
          <w:color w:val="000000" w:themeColor="text1"/>
          <w:sz w:val="16"/>
          <w:szCs w:val="16"/>
        </w:rPr>
        <w:softHyphen/>
        <w:t>ное (взлетное) положение щитков. На самолетах завода № 126 фиксацию щитков под углом 17° внедрили на 101-й серии. На взлете щитки убирались по</w:t>
      </w:r>
      <w:r w:rsidRPr="001E2C69">
        <w:rPr>
          <w:rFonts w:ascii="Times New Roman" w:hAnsi="Times New Roman"/>
          <w:color w:val="000000" w:themeColor="text1"/>
          <w:sz w:val="16"/>
          <w:szCs w:val="16"/>
        </w:rPr>
        <w:softHyphen/>
        <w:t>сле достижения скорости 160-200 км/ч. Разбег действительно сократился, но зато усилилась и без того неуемная тен</w:t>
      </w:r>
      <w:r w:rsidRPr="001E2C69">
        <w:rPr>
          <w:rFonts w:ascii="Times New Roman" w:hAnsi="Times New Roman"/>
          <w:color w:val="000000" w:themeColor="text1"/>
          <w:sz w:val="16"/>
          <w:szCs w:val="16"/>
        </w:rPr>
        <w:softHyphen/>
        <w:t>денция к развороту на взлете (10734,71).</w:t>
      </w:r>
    </w:p>
    <w:p w14:paraId="1D86235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3E0672A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НКВМФ а Кузнецов писал письмо Пред. ГКО И.В.С.:</w:t>
      </w:r>
    </w:p>
    <w:p w14:paraId="18697DC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Торпедоносная авиация ВВС ТОФ предназначена для боевых действий по удаленным от наших баз промышленным центрам и военно-морским базам вероятного противника.</w:t>
      </w:r>
    </w:p>
    <w:p w14:paraId="220A567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Использование торпедоносной авиации в условиях тихоокеанского театра будет иметь особо важное значение для противодействия морским силам вероятных противников, что связано с дальними полетами на низких высотах в открытом море и требует обеспечения самолетов надежными моторами.</w:t>
      </w:r>
    </w:p>
    <w:p w14:paraId="01A2F42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своем составе ВВС ТОФ имеют 131 самолет ДБ-3, из коих 122 вооружены только изношенными М-87 старых версий (60% моторного парка прошли по 3-4 ремонта, а остальные - по 1-2 ремонта).</w:t>
      </w:r>
    </w:p>
    <w:p w14:paraId="637D8AD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При интенсивном ходе боевой подготовки, выработка ресурса моторов приближает к последним возможностям в дальнейшем использовании этих моторов. Это положение усложняется прекращением производства авиапромышленностью запчастей к М-87.</w:t>
      </w:r>
    </w:p>
    <w:p w14:paraId="6243E13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 создавшемся положении я докладывал вам 28 июня с.г7 за N 1002сс.</w:t>
      </w:r>
    </w:p>
    <w:p w14:paraId="612436D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Единственным выходом из положения считаю необходимым произвести замену М-87 на М-88Б на всех ДБ-3т ВВС ТОФ.</w:t>
      </w:r>
    </w:p>
    <w:p w14:paraId="455824C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Бомбардировочная авиация ВВС ТОФ имеет в своем составе 94 самолета первых серий СБ 2М-100-М-103. Моторный парк М-100 и М-103 также сильно изношен, 70% моторов имеют по 3-4 ремонта, а 30% по 1-2 ремонта. Запчасти к этим моторам прекращены производством, а запасы исчерпаны, особенно: блоки, цилиндры, клапана, подшипники, поршневые кольца, вкладыши главных шатунов. Отсутствие запчастей не позволяет производить восстановительный ремонт по этим моторам.</w:t>
      </w:r>
    </w:p>
    <w:p w14:paraId="6188B8B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целях повышения боеспособности самолетного парка СБ ВВС ТОФ является необходимость в самые кратчайшие сроки перевооружить под М-105.</w:t>
      </w:r>
    </w:p>
    <w:p w14:paraId="55243CE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Докладывая вышеизложенное, прошу издать прилагаемый проект постановления ГКО." (1685,131).</w:t>
      </w:r>
    </w:p>
    <w:p w14:paraId="6A41F2CA" w14:textId="77777777" w:rsidR="00AE7191" w:rsidRPr="001E2C69" w:rsidRDefault="00AE7191" w:rsidP="00722885">
      <w:pPr>
        <w:pStyle w:val="Iauiue"/>
        <w:jc w:val="both"/>
        <w:rPr>
          <w:color w:val="000000" w:themeColor="text1"/>
          <w:sz w:val="16"/>
          <w:szCs w:val="16"/>
        </w:rPr>
      </w:pPr>
    </w:p>
    <w:p w14:paraId="7F0C0D0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июля 1942 г. в состав оборонительного вооружения ДБ-3Ф вошли гранатометы ДАГ-10 с пятью авиационными гранатами АГ-2, оснащенными парашютами. Взрываясь через 3-4 секунды после сброса, они создавали в нижней задней полусфере за самолетом, которая была наиболее слабо защищена, зону поражения осколками (9528).</w:t>
      </w:r>
    </w:p>
    <w:p w14:paraId="0C5D3AC9" w14:textId="77777777" w:rsidR="00AE7191" w:rsidRPr="001E2C69" w:rsidRDefault="00AE7191" w:rsidP="00722885">
      <w:pPr>
        <w:pStyle w:val="Iauiue"/>
        <w:jc w:val="both"/>
        <w:rPr>
          <w:color w:val="000000" w:themeColor="text1"/>
          <w:sz w:val="16"/>
          <w:szCs w:val="16"/>
        </w:rPr>
      </w:pPr>
    </w:p>
    <w:p w14:paraId="6FA4F82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С июля 1942 г. Ил-4 совершали массированные налеты на скопления вражеских войск, развивавших наступление на юге. Одновременно крупные соединения этих </w:t>
      </w:r>
      <w:r w:rsidRPr="001E2C69">
        <w:rPr>
          <w:color w:val="000000" w:themeColor="text1"/>
          <w:sz w:val="16"/>
          <w:szCs w:val="16"/>
        </w:rPr>
        <w:lastRenderedPageBreak/>
        <w:t>самолетов с увеличенной за счет подвесных топливных баков дальностью полета стали бомбить Кенигсберг, Данциг, Штеттин, Тильзит, а с 27 августа - Берлин, действуя с подмосковных аэродромов. В ту ночь первыми Занесли удар по Берлину экипажи капитана А.И.Молодчего и капитана М.В.Симонова. Эти налеты, совершенные в то время, когда советские войска были вынуждены отступать, а враг рвался к Сталинграду, имели ве только военное, но, прежде всего, политическое значение. О них сообщили все советские газеты, они укрепляли боевой дух сражающихся советских войск, вселяли в тружеников тыла уверенность в конечной победе (9528).</w:t>
      </w:r>
    </w:p>
    <w:p w14:paraId="26CFCBED" w14:textId="77777777" w:rsidR="00AE7191" w:rsidRPr="001E2C69" w:rsidRDefault="00AE7191" w:rsidP="00722885">
      <w:pPr>
        <w:pStyle w:val="Iauiue"/>
        <w:jc w:val="both"/>
        <w:rPr>
          <w:color w:val="000000" w:themeColor="text1"/>
          <w:sz w:val="16"/>
          <w:szCs w:val="16"/>
        </w:rPr>
      </w:pPr>
    </w:p>
    <w:p w14:paraId="0CCF16F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серьезно уменьшившемуся по составу коллективу ОКБ Ермолаева передали территорию "Б" завода N 240 и здание эвакуированного Библиотечного института наркомата просвещения. Из рабочих к этому моменту остались только 70 человек, а из станков - целых пять! Завод, по существу, начинал жизнь заново под новым номером 134. Первыми задачами для рабочих стало переоборудование двух поврежденных Ер-2, доставленных с фронта, под моторы АМ-35А и еще одного - под моторы АМ-37. После восстановительного ремонта все три машины были сданы в 747-й авиаполк полковника Гусева (3322,36).</w:t>
      </w:r>
    </w:p>
    <w:p w14:paraId="7FAFFF34" w14:textId="77777777" w:rsidR="00AE7191" w:rsidRPr="001E2C69" w:rsidRDefault="00AE7191" w:rsidP="00722885">
      <w:pPr>
        <w:pStyle w:val="Iauiue"/>
        <w:jc w:val="both"/>
        <w:rPr>
          <w:color w:val="000000" w:themeColor="text1"/>
          <w:sz w:val="16"/>
          <w:szCs w:val="16"/>
        </w:rPr>
      </w:pPr>
    </w:p>
    <w:p w14:paraId="1DDE5E1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г. завод № 39 перевыполнил программу, установленную правительством, и занял второе место в социалистическом соревновании среди авиационных предприятий страны. Праздничное настроение, однако, оказалось изрядно подпорчено. В течение десяти дней в этом месяце над Иркутском шли непрерывные дожди, поэтому на залитом водой, раскисшем аэродроме скопилось более сотни необлетанных самолетов. По распоряжению директора завода на летное поле выехали все имевшиеся в городе пожарные машины, немедленно приступившие к откачке воды. Спустя двое суток первые “пешки” поднялись в воздух. В 1942 г. завод № 39 выпустил 121 Пе-3бис. Еще 13 машин в варианте дальних разведчиков закончили постройкой и сдали в строевые части в начале 1943 г. На этом производство Пе-3бис было прекращено (моторы М-105Р, необходимые для этих самолетов, долго искали по всей стране, поскольку на пикировщики Пе-2 к тому времени стали монтировать менее высотные, но несколько более мощные М-105ПФ). С осени 1942 г. предприятие перешло на массовый выпуск дальних бомбардировщиков Ил-4 (7644).</w:t>
      </w:r>
    </w:p>
    <w:p w14:paraId="76CB3C23" w14:textId="77777777" w:rsidR="00AE7191" w:rsidRPr="001E2C69" w:rsidRDefault="00AE7191" w:rsidP="00722885">
      <w:pPr>
        <w:pStyle w:val="Iauiue"/>
        <w:jc w:val="both"/>
        <w:rPr>
          <w:color w:val="000000" w:themeColor="text1"/>
          <w:sz w:val="16"/>
          <w:szCs w:val="16"/>
        </w:rPr>
      </w:pPr>
    </w:p>
    <w:p w14:paraId="6DCF10F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согласно ГСС ли И.Федорова, который работал на 21 заводе, прибывший Зам. НКАП П.Дементьев проверил всю документацию по ЛаГГ-3, который производился под Москвой, в Ленинграде, в Горьком, Новосибирске и в Таганроге, и пришел к выводу, что многие детали не взаимозаменяемы. Считал, что ЛаГГ-3 - "был ценен лишь как навоз, на котором вырос непревзойденный Ла-5" (3241,3).</w:t>
      </w:r>
    </w:p>
    <w:p w14:paraId="3BCB8091" w14:textId="77777777" w:rsidR="00AE7191" w:rsidRPr="001E2C69" w:rsidRDefault="00AE7191" w:rsidP="00722885">
      <w:pPr>
        <w:pStyle w:val="Iauiue"/>
        <w:jc w:val="both"/>
        <w:rPr>
          <w:color w:val="000000" w:themeColor="text1"/>
          <w:sz w:val="16"/>
          <w:szCs w:val="16"/>
        </w:rPr>
      </w:pPr>
    </w:p>
    <w:p w14:paraId="09101F9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1942-го было выпущено 34 самолета ЛаГ-5, в декабре - 308. На поточные методы изготовления технологи перевели от 35 до 50% всех работ по Ла-5 (4573).</w:t>
      </w:r>
    </w:p>
    <w:p w14:paraId="4A994A7C" w14:textId="77777777" w:rsidR="00AE7191" w:rsidRPr="001E2C69" w:rsidRDefault="00AE7191" w:rsidP="00722885">
      <w:pPr>
        <w:pStyle w:val="Iauiue"/>
        <w:jc w:val="both"/>
        <w:rPr>
          <w:color w:val="000000" w:themeColor="text1"/>
          <w:sz w:val="16"/>
          <w:szCs w:val="16"/>
        </w:rPr>
      </w:pPr>
    </w:p>
    <w:p w14:paraId="3DE7750D" w14:textId="77777777" w:rsidR="001071C7" w:rsidRPr="008A2E5A" w:rsidRDefault="001071C7" w:rsidP="001071C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1942 г. было выпущено 37 машин ЛаГ-5. Этого количества самолетов с лихвой хватило для уком</w:t>
      </w:r>
      <w:r w:rsidRPr="008A2E5A">
        <w:rPr>
          <w:rFonts w:ascii="Times New Roman" w:hAnsi="Times New Roman"/>
          <w:color w:val="0070C0"/>
          <w:sz w:val="16"/>
          <w:szCs w:val="16"/>
        </w:rPr>
        <w:softHyphen/>
        <w:t>плектования 49 Краснознаменного ИАП, вскоре отправленного на Западный фронт, однако пунктом назначения основной массы истребителей «Лавочкина» первых серий стал Сталинград. Участь этих машин и их пилотов оказалась весьма трагичной, чем-то схожей с судьбой спартанских героев битвы у Фермопил, отгремевшей более двух с половиной тысяч лет тому назад. Темпы производства были действительно высокими. В начале сентября завод за</w:t>
      </w:r>
      <w:r w:rsidRPr="008A2E5A">
        <w:rPr>
          <w:rFonts w:ascii="Times New Roman" w:hAnsi="Times New Roman"/>
          <w:color w:val="0070C0"/>
          <w:sz w:val="16"/>
          <w:szCs w:val="16"/>
        </w:rPr>
        <w:softHyphen/>
        <w:t>вершил постройку полноценной третьей серии ЛаГ-5 из 100 самолетов. В первой - скорее установочной партии, чем серии - было 20 машин, а во второй - уже 80. Как бы странно это ни выглядело, ни одна из этих машин ни на государственные, ни на конт</w:t>
      </w:r>
      <w:r w:rsidRPr="008A2E5A">
        <w:rPr>
          <w:rFonts w:ascii="Times New Roman" w:hAnsi="Times New Roman"/>
          <w:color w:val="0070C0"/>
          <w:sz w:val="16"/>
          <w:szCs w:val="16"/>
        </w:rPr>
        <w:softHyphen/>
        <w:t>рольные испытания не попала, хотя отличий от опытного ЛаГГ-3М-82 у ЛаГ-5 хватало (23587).</w:t>
      </w:r>
    </w:p>
    <w:p w14:paraId="73825667" w14:textId="77777777" w:rsidR="001071C7" w:rsidRPr="008A2E5A" w:rsidRDefault="001071C7" w:rsidP="001071C7">
      <w:pPr>
        <w:spacing w:after="0" w:line="240" w:lineRule="auto"/>
        <w:jc w:val="both"/>
        <w:rPr>
          <w:rFonts w:ascii="Times New Roman" w:hAnsi="Times New Roman"/>
          <w:color w:val="0070C0"/>
          <w:sz w:val="16"/>
          <w:szCs w:val="16"/>
        </w:rPr>
      </w:pPr>
    </w:p>
    <w:p w14:paraId="75CB545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1942-го главный инженер завода № 21 Борис Васильевич Куприянов обратился к члену ГКО Г.М.Маленкову, курировавшему авиационную промышленность, с предложением о снятии с самолета ЛаГ-5 протектированных бензобаков, как неэффективных против снарядов авиапушек, что давало экономию в весе 70 кг. Конструкторы ОКБ решали задачу облегчением консоли крыла, изъятием консольных бензобаков, установкой вместо одной пушки ШВАК пулемета БС (4573).</w:t>
      </w:r>
    </w:p>
    <w:p w14:paraId="146F2031" w14:textId="77777777" w:rsidR="00AE7191" w:rsidRPr="001E2C69" w:rsidRDefault="00AE7191" w:rsidP="00722885">
      <w:pPr>
        <w:pStyle w:val="Iauiue"/>
        <w:jc w:val="both"/>
        <w:rPr>
          <w:color w:val="000000" w:themeColor="text1"/>
          <w:sz w:val="16"/>
          <w:szCs w:val="16"/>
        </w:rPr>
      </w:pPr>
    </w:p>
    <w:p w14:paraId="0632AD14" w14:textId="77777777" w:rsidR="00627011" w:rsidRPr="001E2C69" w:rsidRDefault="00627011"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 июле 1942 г. началась серийная постройка ЛаГГ-5 в Тбилиси. На завод № 31 доставили моторы М-82 первых серий с экпипсами, в результате самолёты производства завода № 31 имели некоторые отличия в конструкции ВМГ, да и других агрегатов. Но в августе 1942 г. ГКО принял решение оставить в производстве на заводе № 31 только самолёт ЛаГГ-3, поэтому выпуск ЛаГГ-5 на нём быстро свернули. Взамен 31-го завода в том же августе к выпуску Ла-5 подключили завод № 99 в Улан-Удэ, а в октябре 1942 г. — за</w:t>
      </w:r>
      <w:r w:rsidRPr="001E2C69">
        <w:rPr>
          <w:rFonts w:ascii="Times New Roman" w:cs="Times New Roman"/>
          <w:color w:val="000000" w:themeColor="text1"/>
          <w:spacing w:val="0"/>
        </w:rPr>
        <w:softHyphen/>
        <w:t>вод № 381 в Нижнем Тагиле, в 1943 г. переведенный в Москву (15813).</w:t>
      </w:r>
    </w:p>
    <w:p w14:paraId="6126915C" w14:textId="77777777" w:rsidR="00627011" w:rsidRPr="001E2C69" w:rsidRDefault="00627011" w:rsidP="00722885">
      <w:pPr>
        <w:pStyle w:val="27"/>
        <w:shd w:val="clear" w:color="auto" w:fill="auto"/>
        <w:spacing w:after="0" w:line="240" w:lineRule="auto"/>
        <w:ind w:firstLine="0"/>
        <w:rPr>
          <w:rFonts w:ascii="Times New Roman" w:cs="Times New Roman"/>
          <w:color w:val="000000" w:themeColor="text1"/>
          <w:spacing w:val="0"/>
        </w:rPr>
      </w:pPr>
    </w:p>
    <w:p w14:paraId="1FA3600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года директором завода № 301 был назначен Смирнов И.Н.</w:t>
      </w:r>
    </w:p>
    <w:p w14:paraId="59A690D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Приказом НКАП от 30 декабря 1944 года за № 712сс на завод было возложено переоборудование самолета ЯК-9 в высотном варианте и приказом № 76сс от 20 февраля 1945 года – переоборудование самолетов ЯК-9, ВК-105-ПФ в учебные с двойным управлением (вывозной вариант).</w:t>
      </w:r>
    </w:p>
    <w:p w14:paraId="660FE58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Директором завода в мае 1945 года был назначен Сычев В.В.</w:t>
      </w:r>
    </w:p>
    <w:p w14:paraId="0AE4EF7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Приказом НКАП от 2 октября 1945 года за № 393с было произведено слияние завода с заводом № 81 и на территории завода № 301 было организовано опытное производство гл. конструктора Лавочкина.</w:t>
      </w:r>
    </w:p>
    <w:p w14:paraId="0BC475E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Этим же приказом директором завода назначен гл. конструктор С.А. Лавочкин.</w:t>
      </w:r>
    </w:p>
    <w:p w14:paraId="0AEB596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81 помещался на территории завода № 381. Производственное слияние резко увеличило мощности завода ………..(9602).</w:t>
      </w:r>
    </w:p>
    <w:p w14:paraId="01D0EF3B" w14:textId="77777777" w:rsidR="00AE7191" w:rsidRPr="001E2C69" w:rsidRDefault="00AE7191" w:rsidP="00722885">
      <w:pPr>
        <w:pStyle w:val="Iauiue"/>
        <w:jc w:val="both"/>
        <w:rPr>
          <w:color w:val="000000" w:themeColor="text1"/>
          <w:sz w:val="16"/>
          <w:szCs w:val="16"/>
        </w:rPr>
      </w:pPr>
    </w:p>
    <w:p w14:paraId="001B7FB2" w14:textId="77777777" w:rsidR="004D6E34" w:rsidRPr="001E2C69" w:rsidRDefault="004D6E3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w:t>
      </w:r>
    </w:p>
    <w:p w14:paraId="39FE6D00" w14:textId="77777777" w:rsidR="004D6E34" w:rsidRPr="001E2C69" w:rsidRDefault="004D6E3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ДИРЕКТОРУ ЗАВОДА № 21 ГЛАВНОМУ КОНСТРУКТОРУ ЗАВОДА № 21</w:t>
      </w:r>
    </w:p>
    <w:p w14:paraId="70A863F7" w14:textId="77777777" w:rsidR="004D6E34" w:rsidRPr="001E2C69" w:rsidRDefault="004D6E3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Первые воздушные бои самолетов ЛаГГ-5 с немецкими самолетами Ме-109ф показали:</w:t>
      </w:r>
    </w:p>
    <w:p w14:paraId="070FEBCD" w14:textId="77777777" w:rsidR="004D6E34" w:rsidRPr="001E2C69" w:rsidRDefault="004D6E3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Самолет ЛаГГ-5 имеет преимущество перед Ме-109ф в горизонтальном маневре.</w:t>
      </w:r>
    </w:p>
    <w:p w14:paraId="08D5CEB3" w14:textId="77777777" w:rsidR="004D6E34" w:rsidRPr="001E2C69" w:rsidRDefault="004D6E3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Самолет ЛаГГ-5 на наборе высоты при даче форсажа имеет скорость, равную Ме-109ф.</w:t>
      </w:r>
    </w:p>
    <w:p w14:paraId="0D67577C" w14:textId="77777777" w:rsidR="004D6E34" w:rsidRPr="001E2C69" w:rsidRDefault="004D6E3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Самолет ЛаГГ-5 отстает от Ме-109ф в вертикальном маневре. По объяснениям летчиков, самолет ЛаГГ-5 отстает от Ме-109ф по той причине, что не удается резкое изменение траектории полета ввиду больших нагрузок на ручку управления, особо на больших скоростях.</w:t>
      </w:r>
    </w:p>
    <w:p w14:paraId="5093FB33" w14:textId="77777777" w:rsidR="004D6E34" w:rsidRPr="001E2C69" w:rsidRDefault="004D6E3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Отрицательно влияет на боевые качества самолета ЛаГГ-5 и то обстоятельство, что фонарь пилота нельзя открыть на больших скоростях, и летчики летают с открытым фонарем, а это снижает скорость полета.</w:t>
      </w:r>
    </w:p>
    <w:p w14:paraId="5818B47C" w14:textId="77777777" w:rsidR="004D6E34" w:rsidRPr="001E2C69" w:rsidRDefault="004D6E3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Имеются жалобы и на тяжелое управление элеронами на больших скоростях полета (большие нагрузки на ручку управления).</w:t>
      </w:r>
    </w:p>
    <w:p w14:paraId="46D0D489" w14:textId="77777777" w:rsidR="004D6E34" w:rsidRPr="001E2C69" w:rsidRDefault="004D6E3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Из изложенного следует, что необходимо срочно провести работы:</w:t>
      </w:r>
    </w:p>
    <w:p w14:paraId="54765D4A" w14:textId="77777777" w:rsidR="004D6E34" w:rsidRPr="001E2C69" w:rsidRDefault="004D6E3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по увеличению аэродинамической компенсации рулей и элеронов;</w:t>
      </w:r>
    </w:p>
    <w:p w14:paraId="5BE5D1B3" w14:textId="77777777" w:rsidR="004D6E34" w:rsidRPr="001E2C69" w:rsidRDefault="004D6E3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по аварийному сбросу фонаря пилота.</w:t>
      </w:r>
    </w:p>
    <w:p w14:paraId="1AAA967F" w14:textId="77777777" w:rsidR="004D6E34" w:rsidRPr="001E2C69" w:rsidRDefault="004D6E3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Ст[арший] военпред инженер-полковник</w:t>
      </w:r>
      <w:r w:rsidRPr="001E2C69">
        <w:rPr>
          <w:rFonts w:ascii="Times New Roman" w:hAnsi="Times New Roman"/>
          <w:color w:val="000000" w:themeColor="text1"/>
          <w:sz w:val="16"/>
          <w:szCs w:val="16"/>
        </w:rPr>
        <w:tab/>
        <w:t>ЯРОШЕНКО</w:t>
      </w:r>
    </w:p>
    <w:p w14:paraId="1D5C5124" w14:textId="77777777" w:rsidR="004D6E34" w:rsidRPr="001E2C69" w:rsidRDefault="004D6E3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ЦАНО. Ф. 2066. Оп. 6. Д. 796. Л 28.</w:t>
      </w:r>
    </w:p>
    <w:p w14:paraId="79A1A518" w14:textId="77777777" w:rsidR="004D6E34" w:rsidRPr="001E2C69" w:rsidRDefault="004D6E3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Подлинник. Машинопись (20935).</w:t>
      </w:r>
    </w:p>
    <w:p w14:paraId="494793D0" w14:textId="77777777" w:rsidR="004D6E34" w:rsidRPr="001E2C69" w:rsidRDefault="004D6E34" w:rsidP="00722885">
      <w:pPr>
        <w:spacing w:after="0" w:line="240" w:lineRule="auto"/>
        <w:jc w:val="both"/>
        <w:rPr>
          <w:rFonts w:ascii="Times New Roman" w:hAnsi="Times New Roman"/>
          <w:color w:val="000000" w:themeColor="text1"/>
          <w:sz w:val="16"/>
          <w:szCs w:val="16"/>
        </w:rPr>
      </w:pPr>
    </w:p>
    <w:p w14:paraId="477649C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года началась серийная постройка Ла-5 на заводе № 31. На завод №31 были доставлены моторы М-82 первых серий с эклипсами, в резуль</w:t>
      </w:r>
      <w:r w:rsidRPr="001E2C69">
        <w:rPr>
          <w:rFonts w:ascii="Times New Roman" w:hAnsi="Times New Roman"/>
          <w:color w:val="000000" w:themeColor="text1"/>
          <w:sz w:val="16"/>
          <w:szCs w:val="16"/>
        </w:rPr>
        <w:softHyphen/>
        <w:t>тате самолеты производства завода №31 имели некоторые отличия в конструкции ВМГ, да и других агрега</w:t>
      </w:r>
      <w:r w:rsidRPr="001E2C69">
        <w:rPr>
          <w:rFonts w:ascii="Times New Roman" w:hAnsi="Times New Roman"/>
          <w:color w:val="000000" w:themeColor="text1"/>
          <w:sz w:val="16"/>
          <w:szCs w:val="16"/>
        </w:rPr>
        <w:softHyphen/>
        <w:t>тов. Но в августе 1942 года ГКО при</w:t>
      </w:r>
      <w:r w:rsidRPr="001E2C69">
        <w:rPr>
          <w:rFonts w:ascii="Times New Roman" w:hAnsi="Times New Roman"/>
          <w:color w:val="000000" w:themeColor="text1"/>
          <w:sz w:val="16"/>
          <w:szCs w:val="16"/>
        </w:rPr>
        <w:softHyphen/>
        <w:t>нял решение оставить в производ</w:t>
      </w:r>
      <w:r w:rsidRPr="001E2C69">
        <w:rPr>
          <w:rFonts w:ascii="Times New Roman" w:hAnsi="Times New Roman"/>
          <w:color w:val="000000" w:themeColor="text1"/>
          <w:sz w:val="16"/>
          <w:szCs w:val="16"/>
        </w:rPr>
        <w:softHyphen/>
        <w:t>стве на заводе №31 только самолет ЛаГГ-3, поэтому выпуск ЛаГГ-5 на нем быстро свернули. Взамен 31-го заво</w:t>
      </w:r>
      <w:r w:rsidRPr="001E2C69">
        <w:rPr>
          <w:rFonts w:ascii="Times New Roman" w:hAnsi="Times New Roman"/>
          <w:color w:val="000000" w:themeColor="text1"/>
          <w:sz w:val="16"/>
          <w:szCs w:val="16"/>
        </w:rPr>
        <w:softHyphen/>
        <w:t>да в том же августе к выпуску Ла-5 был подключен завод №99 в Улан-Удэ, а в октябре 1942 года - завод №381 в Нижнем Тагиле, в 1943 году переведенный в Москву (10699).</w:t>
      </w:r>
    </w:p>
    <w:p w14:paraId="1FF8481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12F3203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вышла серия карбюраторов АК-82БП А-4, отличающаяся по</w:t>
      </w:r>
      <w:r w:rsidRPr="001E2C69">
        <w:rPr>
          <w:rFonts w:ascii="Times New Roman" w:hAnsi="Times New Roman"/>
          <w:color w:val="000000" w:themeColor="text1"/>
          <w:sz w:val="16"/>
          <w:szCs w:val="16"/>
        </w:rPr>
        <w:softHyphen/>
        <w:t>вышением твердости ролика дозиру</w:t>
      </w:r>
      <w:r w:rsidRPr="001E2C69">
        <w:rPr>
          <w:rFonts w:ascii="Times New Roman" w:hAnsi="Times New Roman"/>
          <w:color w:val="000000" w:themeColor="text1"/>
          <w:sz w:val="16"/>
          <w:szCs w:val="16"/>
        </w:rPr>
        <w:softHyphen/>
        <w:t>ющей иглы для снижения его выра</w:t>
      </w:r>
      <w:r w:rsidRPr="001E2C69">
        <w:rPr>
          <w:rFonts w:ascii="Times New Roman" w:hAnsi="Times New Roman"/>
          <w:color w:val="000000" w:themeColor="text1"/>
          <w:sz w:val="16"/>
          <w:szCs w:val="16"/>
        </w:rPr>
        <w:softHyphen/>
        <w:t>ботки. Затем появилась 5-я серия с измененным профилем и полировкой дозирующей иглы, снова плоскими мембранами, но с укорочением их хода, введением жиклера экономайзера для улучшения высотной характерис</w:t>
      </w:r>
      <w:r w:rsidRPr="001E2C69">
        <w:rPr>
          <w:rFonts w:ascii="Times New Roman" w:hAnsi="Times New Roman"/>
          <w:color w:val="000000" w:themeColor="text1"/>
          <w:sz w:val="16"/>
          <w:szCs w:val="16"/>
        </w:rPr>
        <w:softHyphen/>
        <w:t>тики и др. К весне 1943 года вышла серия А-6, на которой вместо жикле</w:t>
      </w:r>
      <w:r w:rsidRPr="001E2C69">
        <w:rPr>
          <w:rFonts w:ascii="Times New Roman" w:hAnsi="Times New Roman"/>
          <w:color w:val="000000" w:themeColor="text1"/>
          <w:sz w:val="16"/>
          <w:szCs w:val="16"/>
        </w:rPr>
        <w:softHyphen/>
        <w:t>ра экономайзера была введена ре</w:t>
      </w:r>
      <w:r w:rsidRPr="001E2C69">
        <w:rPr>
          <w:rFonts w:ascii="Times New Roman" w:hAnsi="Times New Roman"/>
          <w:color w:val="000000" w:themeColor="text1"/>
          <w:sz w:val="16"/>
          <w:szCs w:val="16"/>
        </w:rPr>
        <w:softHyphen/>
        <w:t>гулировочная игла в ниппеле трубки экономайзера и т.д. Даже краткое перечисление этих изменений наводит на мысль, что до</w:t>
      </w:r>
      <w:r w:rsidRPr="001E2C69">
        <w:rPr>
          <w:rFonts w:ascii="Times New Roman" w:hAnsi="Times New Roman"/>
          <w:color w:val="000000" w:themeColor="text1"/>
          <w:sz w:val="16"/>
          <w:szCs w:val="16"/>
        </w:rPr>
        <w:softHyphen/>
        <w:t>водка карбюратора проходила в ос</w:t>
      </w:r>
      <w:r w:rsidRPr="001E2C69">
        <w:rPr>
          <w:rFonts w:ascii="Times New Roman" w:hAnsi="Times New Roman"/>
          <w:color w:val="000000" w:themeColor="text1"/>
          <w:sz w:val="16"/>
          <w:szCs w:val="16"/>
        </w:rPr>
        <w:softHyphen/>
        <w:t>новном все тем же методом проб и ошибок. Никаких существенных ре</w:t>
      </w:r>
      <w:r w:rsidRPr="001E2C69">
        <w:rPr>
          <w:rFonts w:ascii="Times New Roman" w:hAnsi="Times New Roman"/>
          <w:color w:val="000000" w:themeColor="text1"/>
          <w:sz w:val="16"/>
          <w:szCs w:val="16"/>
        </w:rPr>
        <w:softHyphen/>
        <w:t>зультатов по улучшению работы АК-82БП получено не было (10705).</w:t>
      </w:r>
    </w:p>
    <w:p w14:paraId="14284AE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68CE671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июля 1942 г. над Москвой на высотах 12000-13000 м, исключавших поражение огнем зенитной артиллерии и недосягаемых для истребителей, стоявших на вооруже</w:t>
      </w:r>
      <w:r w:rsidRPr="001E2C69">
        <w:rPr>
          <w:rFonts w:ascii="Times New Roman" w:hAnsi="Times New Roman"/>
          <w:color w:val="000000" w:themeColor="text1"/>
          <w:sz w:val="16"/>
          <w:szCs w:val="16"/>
        </w:rPr>
        <w:softHyphen/>
        <w:t>нии авиации ПВО СССР, регулярно начал летать немец</w:t>
      </w:r>
      <w:r w:rsidRPr="001E2C69">
        <w:rPr>
          <w:rFonts w:ascii="Times New Roman" w:hAnsi="Times New Roman"/>
          <w:color w:val="000000" w:themeColor="text1"/>
          <w:sz w:val="16"/>
          <w:szCs w:val="16"/>
        </w:rPr>
        <w:softHyphen/>
        <w:t>кий высотный разведчик Юнкере 1и-86К-1. Его полеты очень нервировали Ставку Верховного Главнокомандо</w:t>
      </w:r>
      <w:r w:rsidRPr="001E2C69">
        <w:rPr>
          <w:rFonts w:ascii="Times New Roman" w:hAnsi="Times New Roman"/>
          <w:color w:val="000000" w:themeColor="text1"/>
          <w:sz w:val="16"/>
          <w:szCs w:val="16"/>
        </w:rPr>
        <w:softHyphen/>
        <w:t>вания, так как противник мог получать ценную разведы</w:t>
      </w:r>
      <w:r w:rsidRPr="001E2C69">
        <w:rPr>
          <w:rFonts w:ascii="Times New Roman" w:hAnsi="Times New Roman"/>
          <w:color w:val="000000" w:themeColor="text1"/>
          <w:sz w:val="16"/>
          <w:szCs w:val="16"/>
        </w:rPr>
        <w:softHyphen/>
        <w:t>вательную информацию. Постановлением ГКО от 12 ноября 1942 г. ОКБ А.С.Яковлева обязали до 15 января 1943 г. поставить в части ПВО Москвы на войсковые ис</w:t>
      </w:r>
      <w:r w:rsidRPr="001E2C69">
        <w:rPr>
          <w:rFonts w:ascii="Times New Roman" w:hAnsi="Times New Roman"/>
          <w:color w:val="000000" w:themeColor="text1"/>
          <w:sz w:val="16"/>
          <w:szCs w:val="16"/>
        </w:rPr>
        <w:softHyphen/>
        <w:t>пытания пять экземпляров высотных истребителей Як-9 с М-105ПД. Аналогичные задания были выданы в ОКБ С.А.Лавочкина и А.И.Микояна. По разным причинам КБ Яковлева смогло выпол</w:t>
      </w:r>
      <w:r w:rsidRPr="001E2C69">
        <w:rPr>
          <w:rFonts w:ascii="Times New Roman" w:hAnsi="Times New Roman"/>
          <w:color w:val="000000" w:themeColor="text1"/>
          <w:sz w:val="16"/>
          <w:szCs w:val="16"/>
        </w:rPr>
        <w:softHyphen/>
        <w:t>нить задание лишь к 20 апреля 1943 г. Еще хуже было то, что предельный потолок Як-9 с М-105ПД не превышал 12000 м. В ОКБ А.И.Микояна более основательно подошли к задаче. К концу 1943 г. там удалось построить истреби</w:t>
      </w:r>
      <w:r w:rsidRPr="001E2C69">
        <w:rPr>
          <w:rFonts w:ascii="Times New Roman" w:hAnsi="Times New Roman"/>
          <w:color w:val="000000" w:themeColor="text1"/>
          <w:sz w:val="16"/>
          <w:szCs w:val="16"/>
        </w:rPr>
        <w:softHyphen/>
        <w:t>тель И-</w:t>
      </w:r>
      <w:r w:rsidRPr="001E2C69">
        <w:rPr>
          <w:rFonts w:ascii="Times New Roman" w:hAnsi="Times New Roman"/>
          <w:color w:val="000000" w:themeColor="text1"/>
          <w:sz w:val="16"/>
          <w:szCs w:val="16"/>
        </w:rPr>
        <w:lastRenderedPageBreak/>
        <w:t>221, способный летать на высотах около 13000 м. Испытания показали, что необходима доработка маши</w:t>
      </w:r>
      <w:r w:rsidRPr="001E2C69">
        <w:rPr>
          <w:rFonts w:ascii="Times New Roman" w:hAnsi="Times New Roman"/>
          <w:color w:val="000000" w:themeColor="text1"/>
          <w:sz w:val="16"/>
          <w:szCs w:val="16"/>
        </w:rPr>
        <w:softHyphen/>
        <w:t>ны. Затем последовали усовершенствованные модифи</w:t>
      </w:r>
      <w:r w:rsidRPr="001E2C69">
        <w:rPr>
          <w:rFonts w:ascii="Times New Roman" w:hAnsi="Times New Roman"/>
          <w:color w:val="000000" w:themeColor="text1"/>
          <w:sz w:val="16"/>
          <w:szCs w:val="16"/>
        </w:rPr>
        <w:softHyphen/>
        <w:t>кации И-222, И-224, И-225, причем на последних удалось реализовать требования ВВС, но лишь к концу 1944 - началу 1945 гг. (10667).</w:t>
      </w:r>
    </w:p>
    <w:p w14:paraId="5155E22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66D0E0B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закончились гос. испытания Як-1б эталона без гаргрота (4,204).</w:t>
      </w:r>
    </w:p>
    <w:p w14:paraId="764A507B" w14:textId="77777777" w:rsidR="00AE7191" w:rsidRPr="001E2C69" w:rsidRDefault="00AE7191" w:rsidP="00722885">
      <w:pPr>
        <w:pStyle w:val="Iauiue"/>
        <w:jc w:val="both"/>
        <w:rPr>
          <w:color w:val="000000" w:themeColor="text1"/>
          <w:sz w:val="16"/>
          <w:szCs w:val="16"/>
        </w:rPr>
      </w:pPr>
    </w:p>
    <w:p w14:paraId="1BFE63C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прошел гос. испытания эталон Як-1 с улучшенным обзором, бронированием и вооружением и по его образцу с января начался выпуск Як-1М (3243,6).</w:t>
      </w:r>
    </w:p>
    <w:p w14:paraId="09460B08" w14:textId="77777777" w:rsidR="00AE7191" w:rsidRPr="001E2C69" w:rsidRDefault="00AE7191" w:rsidP="00722885">
      <w:pPr>
        <w:pStyle w:val="Iauiue"/>
        <w:jc w:val="both"/>
        <w:rPr>
          <w:color w:val="000000" w:themeColor="text1"/>
          <w:sz w:val="16"/>
          <w:szCs w:val="16"/>
        </w:rPr>
      </w:pPr>
    </w:p>
    <w:p w14:paraId="5F21E78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153 завод закончил выпуск Як-7Б М-105ПА, который велся с апреля 1942 и всего сделали 261 (65,84).</w:t>
      </w:r>
    </w:p>
    <w:p w14:paraId="32BD0E86" w14:textId="77777777" w:rsidR="00AE7191" w:rsidRPr="001E2C69" w:rsidRDefault="00AE7191" w:rsidP="00722885">
      <w:pPr>
        <w:pStyle w:val="Iauiue"/>
        <w:jc w:val="both"/>
        <w:rPr>
          <w:color w:val="000000" w:themeColor="text1"/>
          <w:sz w:val="16"/>
          <w:szCs w:val="16"/>
        </w:rPr>
      </w:pPr>
    </w:p>
    <w:p w14:paraId="19E2FFA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был готов Як-7Д (1046,37).</w:t>
      </w:r>
    </w:p>
    <w:p w14:paraId="34765C6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другим данным - в июне.</w:t>
      </w:r>
    </w:p>
    <w:p w14:paraId="3BC36768" w14:textId="77777777" w:rsidR="00AE7191" w:rsidRPr="001E2C69" w:rsidRDefault="00AE7191" w:rsidP="00722885">
      <w:pPr>
        <w:pStyle w:val="Iauiue"/>
        <w:jc w:val="both"/>
        <w:rPr>
          <w:color w:val="000000" w:themeColor="text1"/>
          <w:sz w:val="16"/>
          <w:szCs w:val="16"/>
        </w:rPr>
      </w:pPr>
    </w:p>
    <w:p w14:paraId="261E70E0" w14:textId="77777777" w:rsidR="000E1CF9" w:rsidRPr="008A2E5A" w:rsidRDefault="000E1CF9" w:rsidP="000E1C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1942 г. для ускорения работ по М- 105ПД завод №115 оснастил силовой установкой, ана</w:t>
      </w:r>
      <w:r w:rsidRPr="008A2E5A">
        <w:rPr>
          <w:rFonts w:ascii="Times New Roman" w:hAnsi="Times New Roman"/>
          <w:color w:val="0070C0"/>
          <w:sz w:val="16"/>
          <w:szCs w:val="16"/>
        </w:rPr>
        <w:softHyphen/>
        <w:t>логичной Як-5, самолет Як-7А №1207, находившийся в списочном составе авиапарка ЛИИ НКАП, и с 15 июля начал работы по переоборудованию Як-7Б №2202, за</w:t>
      </w:r>
      <w:r w:rsidRPr="008A2E5A">
        <w:rPr>
          <w:rFonts w:ascii="Times New Roman" w:hAnsi="Times New Roman"/>
          <w:color w:val="0070C0"/>
          <w:sz w:val="16"/>
          <w:szCs w:val="16"/>
        </w:rPr>
        <w:softHyphen/>
        <w:t>кончившего испытания мотора М-105ПФ в НИИ ВВС КА. Кроме изменений в моторной установке, эту маши</w:t>
      </w:r>
      <w:r w:rsidRPr="008A2E5A">
        <w:rPr>
          <w:rFonts w:ascii="Times New Roman" w:hAnsi="Times New Roman"/>
          <w:color w:val="0070C0"/>
          <w:sz w:val="16"/>
          <w:szCs w:val="16"/>
        </w:rPr>
        <w:softHyphen/>
        <w:t>ну дополнительно облегчили за счет снятия пулеметов и установили каплевидный фонарь по образцу, выпол</w:t>
      </w:r>
      <w:r w:rsidRPr="008A2E5A">
        <w:rPr>
          <w:rFonts w:ascii="Times New Roman" w:hAnsi="Times New Roman"/>
          <w:color w:val="0070C0"/>
          <w:sz w:val="16"/>
          <w:szCs w:val="16"/>
        </w:rPr>
        <w:softHyphen/>
        <w:t>ненному на опытном Як-1б №3560 с передним и зад</w:t>
      </w:r>
      <w:r w:rsidRPr="008A2E5A">
        <w:rPr>
          <w:rFonts w:ascii="Times New Roman" w:hAnsi="Times New Roman"/>
          <w:color w:val="0070C0"/>
          <w:sz w:val="16"/>
          <w:szCs w:val="16"/>
        </w:rPr>
        <w:softHyphen/>
        <w:t>ним бронестеклами. Як-7Б №2202 с мотором М-105ПД представили на государственные испытания, проведен</w:t>
      </w:r>
      <w:r w:rsidRPr="008A2E5A">
        <w:rPr>
          <w:rFonts w:ascii="Times New Roman" w:hAnsi="Times New Roman"/>
          <w:color w:val="0070C0"/>
          <w:sz w:val="16"/>
          <w:szCs w:val="16"/>
        </w:rPr>
        <w:softHyphen/>
        <w:t>ные в период с 17 по 23 сентября 1942 г. (Несмотря на то что отчет утвержден заместителем главного инжене</w:t>
      </w:r>
      <w:r w:rsidRPr="008A2E5A">
        <w:rPr>
          <w:rFonts w:ascii="Times New Roman" w:hAnsi="Times New Roman"/>
          <w:color w:val="0070C0"/>
          <w:sz w:val="16"/>
          <w:szCs w:val="16"/>
        </w:rPr>
        <w:softHyphen/>
        <w:t>ра ВВС КА генерал-майором ИАС Лапиным 25 сентября, сам отчет отпечатан только 14 октября, подписан участ</w:t>
      </w:r>
      <w:r w:rsidRPr="008A2E5A">
        <w:rPr>
          <w:rFonts w:ascii="Times New Roman" w:hAnsi="Times New Roman"/>
          <w:color w:val="0070C0"/>
          <w:sz w:val="16"/>
          <w:szCs w:val="16"/>
        </w:rPr>
        <w:softHyphen/>
        <w:t>никами испытаний и должностными лицами НИИ ВВС КА 16-18 октября и в его тексте упоминаются полеты, про</w:t>
      </w:r>
      <w:r w:rsidRPr="008A2E5A">
        <w:rPr>
          <w:rFonts w:ascii="Times New Roman" w:hAnsi="Times New Roman"/>
          <w:color w:val="0070C0"/>
          <w:sz w:val="16"/>
          <w:szCs w:val="16"/>
        </w:rPr>
        <w:softHyphen/>
        <w:t>ходившие 6 октября 1942 г. Поэтому дата окончания ис</w:t>
      </w:r>
      <w:r w:rsidRPr="008A2E5A">
        <w:rPr>
          <w:rFonts w:ascii="Times New Roman" w:hAnsi="Times New Roman"/>
          <w:color w:val="0070C0"/>
          <w:sz w:val="16"/>
          <w:szCs w:val="16"/>
        </w:rPr>
        <w:softHyphen/>
        <w:t>пытаний требует уточнения.)</w:t>
      </w:r>
    </w:p>
    <w:p w14:paraId="78DD0123" w14:textId="77777777" w:rsidR="000E1CF9" w:rsidRPr="008A2E5A" w:rsidRDefault="000E1CF9" w:rsidP="000E1C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сравнению с опытным самолетом Як-5 истребитель Як-7 с мотором М-105ПД показал более скромные резуль</w:t>
      </w:r>
      <w:r w:rsidRPr="008A2E5A">
        <w:rPr>
          <w:rFonts w:ascii="Times New Roman" w:hAnsi="Times New Roman"/>
          <w:color w:val="0070C0"/>
          <w:sz w:val="16"/>
          <w:szCs w:val="16"/>
        </w:rPr>
        <w:softHyphen/>
        <w:t>таты. При меньшем на 46 кг (2904 кг) полетном весе макси</w:t>
      </w:r>
      <w:r w:rsidRPr="008A2E5A">
        <w:rPr>
          <w:rFonts w:ascii="Times New Roman" w:hAnsi="Times New Roman"/>
          <w:color w:val="0070C0"/>
          <w:sz w:val="16"/>
          <w:szCs w:val="16"/>
        </w:rPr>
        <w:softHyphen/>
        <w:t>мальная скорость у земли равнялась 500 км/ч, и 611 км/ч на высоте 7600 м. Практический потолок составил 11 300 м. Тем не менее модифицированный Як-7 превосходил по скорости истребитель МиГ-3 до высоты 5000 м, а истре</w:t>
      </w:r>
      <w:r w:rsidRPr="008A2E5A">
        <w:rPr>
          <w:rFonts w:ascii="Times New Roman" w:hAnsi="Times New Roman"/>
          <w:color w:val="0070C0"/>
          <w:sz w:val="16"/>
          <w:szCs w:val="16"/>
        </w:rPr>
        <w:softHyphen/>
        <w:t>битель Ла-5 с М-82 - на высотах свыше 3800 м. По скоро</w:t>
      </w:r>
      <w:r w:rsidRPr="008A2E5A">
        <w:rPr>
          <w:rFonts w:ascii="Times New Roman" w:hAnsi="Times New Roman"/>
          <w:color w:val="0070C0"/>
          <w:sz w:val="16"/>
          <w:szCs w:val="16"/>
        </w:rPr>
        <w:softHyphen/>
        <w:t>подъемности Як-7 №2202 превосходил и МиГ-3, и Ла-5. Однако отсутствие автомата управления турбомуфтой, неустойчивая работа мотора на высотах свыше 7000 м, падение давления масла ниже допустимого на высотах свыше 9000 м, сокращенный состав вооружения и отсут</w:t>
      </w:r>
      <w:r w:rsidRPr="008A2E5A">
        <w:rPr>
          <w:rFonts w:ascii="Times New Roman" w:hAnsi="Times New Roman"/>
          <w:color w:val="0070C0"/>
          <w:sz w:val="16"/>
          <w:szCs w:val="16"/>
        </w:rPr>
        <w:softHyphen/>
        <w:t>ствие радиостанции не позволили принять положитель</w:t>
      </w:r>
      <w:r w:rsidRPr="008A2E5A">
        <w:rPr>
          <w:rFonts w:ascii="Times New Roman" w:hAnsi="Times New Roman"/>
          <w:color w:val="0070C0"/>
          <w:sz w:val="16"/>
          <w:szCs w:val="16"/>
        </w:rPr>
        <w:softHyphen/>
        <w:t>ное заключение по самолету. По устранению этих дефек</w:t>
      </w:r>
      <w:r w:rsidRPr="008A2E5A">
        <w:rPr>
          <w:rFonts w:ascii="Times New Roman" w:hAnsi="Times New Roman"/>
          <w:color w:val="0070C0"/>
          <w:sz w:val="16"/>
          <w:szCs w:val="16"/>
        </w:rPr>
        <w:softHyphen/>
        <w:t>тов НИИ ВВС посчитал возможным изготовить опытную серию из 10 машин для войсковых испытаний. Самолет оставили в НИИ ВВС на 50-часовые длительные испыта</w:t>
      </w:r>
      <w:r w:rsidRPr="008A2E5A">
        <w:rPr>
          <w:rFonts w:ascii="Times New Roman" w:hAnsi="Times New Roman"/>
          <w:color w:val="0070C0"/>
          <w:sz w:val="16"/>
          <w:szCs w:val="16"/>
        </w:rPr>
        <w:softHyphen/>
        <w:t>ния с целью определения надежности мотора и его агре</w:t>
      </w:r>
      <w:r w:rsidRPr="008A2E5A">
        <w:rPr>
          <w:rFonts w:ascii="Times New Roman" w:hAnsi="Times New Roman"/>
          <w:color w:val="0070C0"/>
          <w:sz w:val="16"/>
          <w:szCs w:val="16"/>
        </w:rPr>
        <w:softHyphen/>
        <w:t>гатов, которые провели с 14 октября по 9 ноября 1942 г. Испытания закончились аварией мотора из-за раскрутки винта по причине отказа регулятора Р-7. При выполнении вынужденной посадки с убранным шасси самолет и мо</w:t>
      </w:r>
      <w:r w:rsidRPr="008A2E5A">
        <w:rPr>
          <w:rFonts w:ascii="Times New Roman" w:hAnsi="Times New Roman"/>
          <w:color w:val="0070C0"/>
          <w:sz w:val="16"/>
          <w:szCs w:val="16"/>
        </w:rPr>
        <w:softHyphen/>
        <w:t>тор были разбиты. Всего мотор М-105ПД №225-646 на</w:t>
      </w:r>
      <w:r w:rsidRPr="008A2E5A">
        <w:rPr>
          <w:rFonts w:ascii="Times New Roman" w:hAnsi="Times New Roman"/>
          <w:color w:val="0070C0"/>
          <w:sz w:val="16"/>
          <w:szCs w:val="16"/>
        </w:rPr>
        <w:softHyphen/>
        <w:t>работал 63 часа, из которых 29 часов 45 минут в воздухе и 14 часов 10 минут на режиме номинальной мощности. В процессе испытаний мотор работал надежно. Как ос</w:t>
      </w:r>
      <w:r w:rsidRPr="008A2E5A">
        <w:rPr>
          <w:rFonts w:ascii="Times New Roman" w:hAnsi="Times New Roman"/>
          <w:color w:val="0070C0"/>
          <w:sz w:val="16"/>
          <w:szCs w:val="16"/>
        </w:rPr>
        <w:softHyphen/>
        <w:t>новной недостаток, требующий обязательной доработки, летчики-испытатели указали отсутствие автомата пере</w:t>
      </w:r>
      <w:r w:rsidRPr="008A2E5A">
        <w:rPr>
          <w:rFonts w:ascii="Times New Roman" w:hAnsi="Times New Roman"/>
          <w:color w:val="0070C0"/>
          <w:sz w:val="16"/>
          <w:szCs w:val="16"/>
        </w:rPr>
        <w:softHyphen/>
        <w:t>ключения турбомуфты. В боевых условиях летчик не смог бы вручную и оптимально регулировать работу нагнета</w:t>
      </w:r>
      <w:r w:rsidRPr="008A2E5A">
        <w:rPr>
          <w:rFonts w:ascii="Times New Roman" w:hAnsi="Times New Roman"/>
          <w:color w:val="0070C0"/>
          <w:sz w:val="16"/>
          <w:szCs w:val="16"/>
        </w:rPr>
        <w:softHyphen/>
        <w:t>теля для получения от мотора максимальной мощности (23381).</w:t>
      </w:r>
    </w:p>
    <w:p w14:paraId="51818BA8" w14:textId="77777777" w:rsidR="000E1CF9" w:rsidRPr="008A2E5A" w:rsidRDefault="000E1CF9" w:rsidP="000E1CF9">
      <w:pPr>
        <w:spacing w:after="0" w:line="240" w:lineRule="auto"/>
        <w:jc w:val="both"/>
        <w:rPr>
          <w:rFonts w:ascii="Times New Roman" w:hAnsi="Times New Roman"/>
          <w:color w:val="0070C0"/>
          <w:sz w:val="16"/>
          <w:szCs w:val="16"/>
        </w:rPr>
      </w:pPr>
    </w:p>
    <w:p w14:paraId="5262DD0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заводом 293 была составлена новая программа широких совместных испытаний БИ-2 на 17 полетов на тяги от 800 до 1400 кг и с достижением скорости до 800 км/час. Однако, она не была принята (2928,12).</w:t>
      </w:r>
    </w:p>
    <w:p w14:paraId="35C5D34C" w14:textId="77777777" w:rsidR="00AE7191" w:rsidRPr="001E2C69" w:rsidRDefault="00AE7191" w:rsidP="00722885">
      <w:pPr>
        <w:pStyle w:val="Iauiue"/>
        <w:jc w:val="both"/>
        <w:rPr>
          <w:color w:val="000000" w:themeColor="text1"/>
          <w:sz w:val="16"/>
          <w:szCs w:val="16"/>
        </w:rPr>
      </w:pPr>
    </w:p>
    <w:p w14:paraId="0147D33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в НИП АВ прошла испытания на ПС-84 турель УТК под УБТ (3404, 11).</w:t>
      </w:r>
    </w:p>
    <w:p w14:paraId="3B7EBF32" w14:textId="77777777" w:rsidR="00AE7191" w:rsidRPr="001E2C69" w:rsidRDefault="00AE7191" w:rsidP="00722885">
      <w:pPr>
        <w:pStyle w:val="Iauiue"/>
        <w:jc w:val="both"/>
        <w:rPr>
          <w:color w:val="000000" w:themeColor="text1"/>
          <w:sz w:val="16"/>
          <w:szCs w:val="16"/>
        </w:rPr>
      </w:pPr>
    </w:p>
    <w:p w14:paraId="0879AF52" w14:textId="77777777" w:rsidR="00627011" w:rsidRPr="001E2C69"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В июле 1942 г. территорию завода № 445 передали в систему НКАП для организа</w:t>
      </w:r>
      <w:r w:rsidRPr="001E2C69">
        <w:rPr>
          <w:rFonts w:ascii="Times New Roman" w:cs="Times New Roman"/>
          <w:color w:val="000000" w:themeColor="text1"/>
          <w:spacing w:val="0"/>
          <w:sz w:val="16"/>
          <w:szCs w:val="16"/>
        </w:rPr>
        <w:softHyphen/>
        <w:t>ции завода № 464 по ремонту самолётов Ли-2 (15792).</w:t>
      </w:r>
    </w:p>
    <w:p w14:paraId="3F4786AD" w14:textId="77777777" w:rsidR="00627011" w:rsidRPr="001E2C69"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p>
    <w:p w14:paraId="360662E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г. второй опытный БДП-2 был передан для опытной эксплуатации как транспортное средство Управлению воздушной магистрали Москва - Иркутск. Был выполнен ряд полетов на буксире за самолетом СБ по маршруту Новосибирск - Омск - Свердловск и обратно. Вместе с БДП на трассе использовались несколько планеров А-7. Аэрофлотовцы, надо сказать, от проведенных испытаний были в восторге, планеры позволяли загружать крупногабаритные грузы, являясь, по сути, приложением к рейсовому СБ (ПС-40), несущему нагрузку. По результатам испытаний предполагалось построить несколько транспортных планеров для гражданских линий (4540).</w:t>
      </w:r>
    </w:p>
    <w:p w14:paraId="2E0E1443" w14:textId="77777777" w:rsidR="00AE7191" w:rsidRPr="001E2C69" w:rsidRDefault="00AE7191" w:rsidP="00722885">
      <w:pPr>
        <w:pStyle w:val="Iauiue"/>
        <w:jc w:val="both"/>
        <w:rPr>
          <w:color w:val="000000" w:themeColor="text1"/>
          <w:sz w:val="16"/>
          <w:szCs w:val="16"/>
        </w:rPr>
      </w:pPr>
    </w:p>
    <w:p w14:paraId="6D2C12F9" w14:textId="77777777" w:rsidR="001B2C96" w:rsidRPr="001E2C69" w:rsidRDefault="001B2C96" w:rsidP="00722885">
      <w:pPr>
        <w:spacing w:after="0" w:line="240" w:lineRule="auto"/>
        <w:jc w:val="both"/>
        <w:rPr>
          <w:rFonts w:ascii="Times New Roman" w:hAnsi="Times New Roman"/>
          <w:color w:val="000000" w:themeColor="text1"/>
          <w:sz w:val="16"/>
          <w:szCs w:val="16"/>
          <w:shd w:val="clear" w:color="auto" w:fill="FFFFFF"/>
        </w:rPr>
      </w:pPr>
      <w:r w:rsidRPr="001E2C69">
        <w:rPr>
          <w:rFonts w:ascii="Times New Roman" w:hAnsi="Times New Roman"/>
          <w:color w:val="000000" w:themeColor="text1"/>
          <w:sz w:val="16"/>
          <w:szCs w:val="16"/>
          <w:shd w:val="clear" w:color="auto" w:fill="FFFFFF"/>
        </w:rPr>
        <w:t>В июле 1942 года планер БДП передали для эксплуатации в рядах Аэрофлота. БДП-2 летал на буксире за самолётом ПС-40 по маршруту Новосибирск-Омск-Свердловск и обратно. Предполагалось построить серию таких аппаратов для гражданской авиации, но до конца 1942 года в ремонтных мастерских Сибирского ВО собрали только четыре БДП-2 и ещё несколько экземпляров передал фронту мебельный комбинат г.Шумерля. Об их боевом применении точной информации пока найти не удалось. В то же время ОКБ Поликарпова переделало один из БДП-2 под установку двух двигателей М-11Ф, превратив его в мотопланер. Этот аппарат, обозначенный как МП, мог перевозить 12 десантников с вооружением или аналогичную весовую нагрузку. При увеличении нагрузки взлет совершался с помощью самолёта-буксировщика. Летом 1943 года МП успешно прошел заводские испытания, но в серии не строился по причине сокращения числа партизанских районов и наличии в строю ВВС самолётов типа Ще-2, Як-6 и Ли-2 (19619).</w:t>
      </w:r>
    </w:p>
    <w:p w14:paraId="4EE0C2FB" w14:textId="77777777" w:rsidR="001B2C96" w:rsidRPr="001E2C69" w:rsidRDefault="001B2C96" w:rsidP="00722885">
      <w:pPr>
        <w:spacing w:after="0" w:line="240" w:lineRule="auto"/>
        <w:jc w:val="both"/>
        <w:rPr>
          <w:rFonts w:ascii="Times New Roman" w:hAnsi="Times New Roman"/>
          <w:color w:val="000000" w:themeColor="text1"/>
          <w:sz w:val="16"/>
          <w:szCs w:val="16"/>
          <w:shd w:val="clear" w:color="auto" w:fill="FFFFFF"/>
        </w:rPr>
      </w:pPr>
    </w:p>
    <w:p w14:paraId="1FA5000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июля 1942 ЛИИ для обеспечения идентичности серийных опытным стал проводить контрольные испытания (173,219).</w:t>
      </w:r>
    </w:p>
    <w:p w14:paraId="17FE2AFD" w14:textId="77777777" w:rsidR="00AE7191" w:rsidRPr="001E2C69" w:rsidRDefault="00AE7191" w:rsidP="00722885">
      <w:pPr>
        <w:pStyle w:val="Iauiue"/>
        <w:jc w:val="both"/>
        <w:rPr>
          <w:color w:val="000000" w:themeColor="text1"/>
          <w:sz w:val="16"/>
          <w:szCs w:val="16"/>
        </w:rPr>
      </w:pPr>
    </w:p>
    <w:p w14:paraId="0CC3F2B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г. были проведены сравнительные испытания перхлорвиниловых покрытий и стандартного покрытия аэролаками AIH и АМТ-4. Для этого использовались элероны, обтянутые тканью ACT-100. Кроме того, испытывался и руль высоты с трофейного немецкого самолета.</w:t>
      </w:r>
    </w:p>
    <w:p w14:paraId="5443494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При простреле ткани зажигательными пулями ни одно покрытие, в том числе стандартное, не воспламенилось. Когда поверхность элеронов облили бензином и подожгли, стандартное покрытие запылало как факел с выходом пламени далеко за границы пролитого бензина. Перхлорвиниловое же сгорело только "в пределах разлитого бензина без дальнейшего распространения огня." Такой же результат был получен и при поджигании положенного на элерон кусочка желтого фосфора. Трофейный руль выдержал испытания с теми же результатами, что и новое покрытие.</w:t>
      </w:r>
    </w:p>
    <w:p w14:paraId="345EC06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Но такие покрытия были сложны в серийном производстве и в горячее военное время негорючие хлорвиниловые эмали широкого применения не нашли. Исключение составили только перхлорвиниловые эмали ДД-118А и ДД-118Б серого цвета (FS 26173), применявшиеся с 1943 г. для окраски внутренних поверхностей (3522).</w:t>
      </w:r>
    </w:p>
    <w:p w14:paraId="3207C4D9" w14:textId="77777777" w:rsidR="00AE7191" w:rsidRPr="001E2C69" w:rsidRDefault="00AE7191" w:rsidP="00722885">
      <w:pPr>
        <w:pStyle w:val="Iauiue"/>
        <w:jc w:val="both"/>
        <w:rPr>
          <w:color w:val="000000" w:themeColor="text1"/>
          <w:sz w:val="16"/>
          <w:szCs w:val="16"/>
        </w:rPr>
      </w:pPr>
    </w:p>
    <w:p w14:paraId="6F1790B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в НИИ ВВС или ЛИИ испытывали Киттихаук Р-40Е с Аллисон V-1710-39 (173,244).</w:t>
      </w:r>
    </w:p>
    <w:p w14:paraId="7617E584" w14:textId="77777777" w:rsidR="00AE7191" w:rsidRPr="001E2C69" w:rsidRDefault="00AE7191" w:rsidP="00722885">
      <w:pPr>
        <w:pStyle w:val="Iauiue"/>
        <w:jc w:val="both"/>
        <w:rPr>
          <w:color w:val="000000" w:themeColor="text1"/>
          <w:sz w:val="16"/>
          <w:szCs w:val="16"/>
        </w:rPr>
      </w:pPr>
    </w:p>
    <w:p w14:paraId="0DCCF0C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года в НИИ ВВС проходил испытания Р-40D "Киттихаук". При испытаниях достаточно четко выявилось, что на Западе Р-40 использовался в первую очередь как штурмовик и истребитель-бомбардировщик. Совершенствование машины шло именно в этом направлении: усилили бронезащиту, ввели бомбовую подвеску, увеличили скорость (за счет улучшения аэродинамики и более мощного двигателя) и дальность. Но это подняло вес истребителя и значительно ухудшило скороподъемность, снизило потолок, увеличило время выполнения виражей, длину разбега на взлете и, особенно, пробега при посадке. Изучив его сильные и слабые стороны, самолету постарались найти подходящие области применения (3457,63).</w:t>
      </w:r>
    </w:p>
    <w:p w14:paraId="0A3D53C4" w14:textId="77777777" w:rsidR="00AE7191" w:rsidRPr="001E2C69" w:rsidRDefault="00AE7191" w:rsidP="00722885">
      <w:pPr>
        <w:pStyle w:val="Iauiue"/>
        <w:jc w:val="both"/>
        <w:rPr>
          <w:color w:val="000000" w:themeColor="text1"/>
          <w:sz w:val="16"/>
          <w:szCs w:val="16"/>
        </w:rPr>
      </w:pPr>
    </w:p>
    <w:p w14:paraId="0482BF7E" w14:textId="77777777" w:rsidR="000E1CF9" w:rsidRPr="008A2E5A" w:rsidRDefault="000E1CF9" w:rsidP="000E1C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1942 г. один из доработанных «Харрикейнов» прошел испытания в НИИ ВВС. Он имел две пушки ШВАК (с бое</w:t>
      </w:r>
      <w:r w:rsidRPr="008A2E5A">
        <w:rPr>
          <w:rFonts w:ascii="Times New Roman" w:hAnsi="Times New Roman"/>
          <w:color w:val="0070C0"/>
          <w:sz w:val="16"/>
          <w:szCs w:val="16"/>
        </w:rPr>
        <w:softHyphen/>
        <w:t>запасом по 120 патронов) и два пулемета УБТ (по 100 патронов). Пулеметы винто</w:t>
      </w:r>
      <w:r w:rsidRPr="008A2E5A">
        <w:rPr>
          <w:rFonts w:ascii="Times New Roman" w:hAnsi="Times New Roman"/>
          <w:color w:val="0070C0"/>
          <w:sz w:val="16"/>
          <w:szCs w:val="16"/>
        </w:rPr>
        <w:softHyphen/>
        <w:t>вочного калибра отсутствовали. Под кры</w:t>
      </w:r>
      <w:r w:rsidRPr="008A2E5A">
        <w:rPr>
          <w:rFonts w:ascii="Times New Roman" w:hAnsi="Times New Roman"/>
          <w:color w:val="0070C0"/>
          <w:sz w:val="16"/>
          <w:szCs w:val="16"/>
        </w:rPr>
        <w:softHyphen/>
        <w:t>льями предусматривалась подвеска шести реактивных снарядов РС-82. В такой ком</w:t>
      </w:r>
      <w:r w:rsidRPr="008A2E5A">
        <w:rPr>
          <w:rFonts w:ascii="Times New Roman" w:hAnsi="Times New Roman"/>
          <w:color w:val="0070C0"/>
          <w:sz w:val="16"/>
          <w:szCs w:val="16"/>
        </w:rPr>
        <w:softHyphen/>
        <w:t>плектации взлетный вес составлял 3352 кг.</w:t>
      </w:r>
    </w:p>
    <w:p w14:paraId="26F8E9CA" w14:textId="77777777" w:rsidR="000E1CF9" w:rsidRPr="008A2E5A" w:rsidRDefault="000E1CF9" w:rsidP="000E1C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Предусматривалась также подвеска под крылом двух бомб по 100 кг или хи</w:t>
      </w:r>
      <w:r w:rsidRPr="008A2E5A">
        <w:rPr>
          <w:rFonts w:ascii="Times New Roman" w:hAnsi="Times New Roman"/>
          <w:color w:val="0070C0"/>
          <w:sz w:val="16"/>
          <w:szCs w:val="16"/>
        </w:rPr>
        <w:softHyphen/>
        <w:t>мических выливных приборов ВАП-бм. Вот последнее являлось новинкой. У ан</w:t>
      </w:r>
      <w:r w:rsidRPr="008A2E5A">
        <w:rPr>
          <w:rFonts w:ascii="Times New Roman" w:hAnsi="Times New Roman"/>
          <w:color w:val="0070C0"/>
          <w:sz w:val="16"/>
          <w:szCs w:val="16"/>
        </w:rPr>
        <w:softHyphen/>
        <w:t>гличан под «Харрикейном» иногда веша</w:t>
      </w:r>
      <w:r w:rsidRPr="008A2E5A">
        <w:rPr>
          <w:rFonts w:ascii="Times New Roman" w:hAnsi="Times New Roman"/>
          <w:color w:val="0070C0"/>
          <w:sz w:val="16"/>
          <w:szCs w:val="16"/>
        </w:rPr>
        <w:softHyphen/>
        <w:t>ли дымовые приборы для создания мас</w:t>
      </w:r>
      <w:r w:rsidRPr="008A2E5A">
        <w:rPr>
          <w:rFonts w:ascii="Times New Roman" w:hAnsi="Times New Roman"/>
          <w:color w:val="0070C0"/>
          <w:sz w:val="16"/>
          <w:szCs w:val="16"/>
        </w:rPr>
        <w:softHyphen/>
        <w:t>кировочных завес, а вот наступательное химическое оружие для этой машины ни</w:t>
      </w:r>
      <w:r w:rsidRPr="008A2E5A">
        <w:rPr>
          <w:rFonts w:ascii="Times New Roman" w:hAnsi="Times New Roman"/>
          <w:color w:val="0070C0"/>
          <w:sz w:val="16"/>
          <w:szCs w:val="16"/>
        </w:rPr>
        <w:softHyphen/>
        <w:t>когда не рассматривалось. Наш ВАП-бм представлял собой обтекаемой формы бак, в который заливали раствор отрав</w:t>
      </w:r>
      <w:r w:rsidRPr="008A2E5A">
        <w:rPr>
          <w:rFonts w:ascii="Times New Roman" w:hAnsi="Times New Roman"/>
          <w:color w:val="0070C0"/>
          <w:sz w:val="16"/>
          <w:szCs w:val="16"/>
        </w:rPr>
        <w:softHyphen/>
        <w:t>ляющего вещества. Штатными у нас тогда считались иприт и люизит, а растворите</w:t>
      </w:r>
      <w:r w:rsidRPr="008A2E5A">
        <w:rPr>
          <w:rFonts w:ascii="Times New Roman" w:hAnsi="Times New Roman"/>
          <w:color w:val="0070C0"/>
          <w:sz w:val="16"/>
          <w:szCs w:val="16"/>
        </w:rPr>
        <w:softHyphen/>
        <w:t>лем являлся керосин. Жидкость вытесня</w:t>
      </w:r>
      <w:r w:rsidRPr="008A2E5A">
        <w:rPr>
          <w:rFonts w:ascii="Times New Roman" w:hAnsi="Times New Roman"/>
          <w:color w:val="0070C0"/>
          <w:sz w:val="16"/>
          <w:szCs w:val="16"/>
        </w:rPr>
        <w:softHyphen/>
        <w:t>лась из бака напором набегающего потока воздуха и разбрызгивалась через насадки. Выливные приборы предназначались для атаки с бреющего полета на войска на мар</w:t>
      </w:r>
      <w:r w:rsidRPr="008A2E5A">
        <w:rPr>
          <w:rFonts w:ascii="Times New Roman" w:hAnsi="Times New Roman"/>
          <w:color w:val="0070C0"/>
          <w:sz w:val="16"/>
          <w:szCs w:val="16"/>
        </w:rPr>
        <w:softHyphen/>
        <w:t>ше и на позициях, а также на обозы на до</w:t>
      </w:r>
      <w:r w:rsidRPr="008A2E5A">
        <w:rPr>
          <w:rFonts w:ascii="Times New Roman" w:hAnsi="Times New Roman"/>
          <w:color w:val="0070C0"/>
          <w:sz w:val="16"/>
          <w:szCs w:val="16"/>
        </w:rPr>
        <w:softHyphen/>
        <w:t>рогах.</w:t>
      </w:r>
    </w:p>
    <w:p w14:paraId="362DB9E2" w14:textId="77777777" w:rsidR="000E1CF9" w:rsidRPr="008A2E5A" w:rsidRDefault="000E1CF9" w:rsidP="000E1C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 и боезапас добавили к взлетному весу «Харрикейна» 171 кг. Аэродинамика самолета несколько ухуд</w:t>
      </w:r>
      <w:r w:rsidRPr="008A2E5A">
        <w:rPr>
          <w:rFonts w:ascii="Times New Roman" w:hAnsi="Times New Roman"/>
          <w:color w:val="0070C0"/>
          <w:sz w:val="16"/>
          <w:szCs w:val="16"/>
        </w:rPr>
        <w:softHyphen/>
        <w:t>шилась за счет выступающих направля</w:t>
      </w:r>
      <w:r w:rsidRPr="008A2E5A">
        <w:rPr>
          <w:rFonts w:ascii="Times New Roman" w:hAnsi="Times New Roman"/>
          <w:color w:val="0070C0"/>
          <w:sz w:val="16"/>
          <w:szCs w:val="16"/>
        </w:rPr>
        <w:softHyphen/>
        <w:t>ющих под реактивные снаряды и бомбо</w:t>
      </w:r>
      <w:r w:rsidRPr="008A2E5A">
        <w:rPr>
          <w:rFonts w:ascii="Times New Roman" w:hAnsi="Times New Roman"/>
          <w:color w:val="0070C0"/>
          <w:sz w:val="16"/>
          <w:szCs w:val="16"/>
        </w:rPr>
        <w:softHyphen/>
        <w:t>держателей, а также стволов наших пушек и пулеметов. У «Харрикейна» ПВ стволы «Браунингов» исходно были упрятаны в крыло, а отверстия в передней кромке последнего перед стрельбой заклеивались бумагой.</w:t>
      </w:r>
    </w:p>
    <w:p w14:paraId="1340E23B" w14:textId="77777777" w:rsidR="000E1CF9" w:rsidRPr="008A2E5A" w:rsidRDefault="000E1CF9" w:rsidP="000E1C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Летали на испытаниях капитан Голофастов и майор Хомяков. Всего по</w:t>
      </w:r>
      <w:r w:rsidRPr="008A2E5A">
        <w:rPr>
          <w:rFonts w:ascii="Times New Roman" w:hAnsi="Times New Roman"/>
          <w:color w:val="0070C0"/>
          <w:sz w:val="16"/>
          <w:szCs w:val="16"/>
        </w:rPr>
        <w:softHyphen/>
        <w:t>лучилось 22 ч 15 мин летного времени. Увеличение веса и ухудшение аэродина</w:t>
      </w:r>
      <w:r w:rsidRPr="008A2E5A">
        <w:rPr>
          <w:rFonts w:ascii="Times New Roman" w:hAnsi="Times New Roman"/>
          <w:color w:val="0070C0"/>
          <w:sz w:val="16"/>
          <w:szCs w:val="16"/>
        </w:rPr>
        <w:softHyphen/>
        <w:t xml:space="preserve">мики, безусловно, сказались на летных данных. Максимальная скорость упала до 498 км/ч (по другому документу — до 490 км/ч), немного пострадали разбег и </w:t>
      </w:r>
      <w:r w:rsidRPr="008A2E5A">
        <w:rPr>
          <w:rFonts w:ascii="Times New Roman" w:hAnsi="Times New Roman"/>
          <w:color w:val="0070C0"/>
          <w:sz w:val="16"/>
          <w:szCs w:val="16"/>
        </w:rPr>
        <w:lastRenderedPageBreak/>
        <w:t>маневренность. Подвеска реактив</w:t>
      </w:r>
      <w:r w:rsidRPr="008A2E5A">
        <w:rPr>
          <w:rFonts w:ascii="Times New Roman" w:hAnsi="Times New Roman"/>
          <w:color w:val="0070C0"/>
          <w:sz w:val="16"/>
          <w:szCs w:val="16"/>
        </w:rPr>
        <w:softHyphen/>
        <w:t>ных снарядов обошлась в 9 км/ч, бомбы «съедали» 16 км/ч, громоздкие выливные приборы — 19 км/ч. Можно это срав</w:t>
      </w:r>
      <w:r w:rsidRPr="008A2E5A">
        <w:rPr>
          <w:rFonts w:ascii="Times New Roman" w:hAnsi="Times New Roman"/>
          <w:color w:val="0070C0"/>
          <w:sz w:val="16"/>
          <w:szCs w:val="16"/>
        </w:rPr>
        <w:softHyphen/>
        <w:t>нить с тем, как влияет закрытие фонаря кабины — это давало разницу в 13 км/ч. Центровка самолета после переделки сместилась вперед, несколько ухудшив штопорные характеристики, но сочли, что это не опасно (23513).</w:t>
      </w:r>
    </w:p>
    <w:p w14:paraId="3B339DB8" w14:textId="77777777" w:rsidR="000E1CF9" w:rsidRPr="008A2E5A" w:rsidRDefault="000E1CF9" w:rsidP="000E1CF9">
      <w:pPr>
        <w:spacing w:after="0" w:line="240" w:lineRule="auto"/>
        <w:jc w:val="both"/>
        <w:rPr>
          <w:rFonts w:ascii="Times New Roman" w:hAnsi="Times New Roman"/>
          <w:color w:val="0070C0"/>
          <w:sz w:val="16"/>
          <w:szCs w:val="16"/>
        </w:rPr>
      </w:pPr>
    </w:p>
    <w:p w14:paraId="729165DD" w14:textId="77777777" w:rsidR="00FE59A3" w:rsidRPr="008A2E5A" w:rsidRDefault="00FE59A3" w:rsidP="00FE59A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1942 г. один из доработанных на заводе № 81 «Хар</w:t>
      </w:r>
      <w:r w:rsidRPr="008A2E5A">
        <w:rPr>
          <w:rFonts w:ascii="Times New Roman" w:hAnsi="Times New Roman"/>
          <w:color w:val="0070C0"/>
          <w:sz w:val="16"/>
          <w:szCs w:val="16"/>
        </w:rPr>
        <w:softHyphen/>
        <w:t>рикейнов» прошел испытания в НИИ ВВС. Он имел две пушки ШВАК (с боезапасом по 120 патронов) и два пулемета УБТ (по 100 па</w:t>
      </w:r>
      <w:r w:rsidRPr="008A2E5A">
        <w:rPr>
          <w:rFonts w:ascii="Times New Roman" w:hAnsi="Times New Roman"/>
          <w:color w:val="0070C0"/>
          <w:sz w:val="16"/>
          <w:szCs w:val="16"/>
        </w:rPr>
        <w:softHyphen/>
        <w:t>тронов). Под крыльями предусматривалась подвеска шести реактивных снарядов РС-82. В такой комплектации взлетный вес состав</w:t>
      </w:r>
      <w:r w:rsidRPr="008A2E5A">
        <w:rPr>
          <w:rFonts w:ascii="Times New Roman" w:hAnsi="Times New Roman"/>
          <w:color w:val="0070C0"/>
          <w:sz w:val="16"/>
          <w:szCs w:val="16"/>
        </w:rPr>
        <w:softHyphen/>
        <w:t>лял 3352 кг.</w:t>
      </w:r>
    </w:p>
    <w:p w14:paraId="4EFDB257" w14:textId="77777777" w:rsidR="00FE59A3" w:rsidRPr="008A2E5A" w:rsidRDefault="00FE59A3" w:rsidP="00FE59A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Предусматривалась также подвеска под крылом двух бомб по 100 кг или химических выливных приборов ВАП-6. Вот последнее являлось новинкой. У англичан под «Харри</w:t>
      </w:r>
      <w:r w:rsidRPr="008A2E5A">
        <w:rPr>
          <w:rFonts w:ascii="Times New Roman" w:hAnsi="Times New Roman"/>
          <w:color w:val="0070C0"/>
          <w:sz w:val="16"/>
          <w:szCs w:val="16"/>
        </w:rPr>
        <w:softHyphen/>
        <w:t>кейнов» иногда вешали дымовые приборы для создания маскировочных завес, а вот наступательное химическое оружие для этой машины никогда не рассматривалось. Наш ВАП-6 представлял собой обтекаемой формы бак, в который заливали раствор от</w:t>
      </w:r>
      <w:r w:rsidRPr="008A2E5A">
        <w:rPr>
          <w:rFonts w:ascii="Times New Roman" w:hAnsi="Times New Roman"/>
          <w:color w:val="0070C0"/>
          <w:sz w:val="16"/>
          <w:szCs w:val="16"/>
        </w:rPr>
        <w:softHyphen/>
        <w:t>равляющего вещества. Штатными у нас тогда считались иприт и люизит, а растворителем являлся керосин. Жидкость вытеснялась из бака напором набегающего потока воздуха и разбрызгивалась через насадок. Выливные приборы предназначались для атаки с брею</w:t>
      </w:r>
      <w:r w:rsidRPr="008A2E5A">
        <w:rPr>
          <w:rFonts w:ascii="Times New Roman" w:hAnsi="Times New Roman"/>
          <w:color w:val="0070C0"/>
          <w:sz w:val="16"/>
          <w:szCs w:val="16"/>
        </w:rPr>
        <w:softHyphen/>
        <w:t>щего полета на войска на марше и на позици</w:t>
      </w:r>
      <w:r w:rsidRPr="008A2E5A">
        <w:rPr>
          <w:rFonts w:ascii="Times New Roman" w:hAnsi="Times New Roman"/>
          <w:color w:val="0070C0"/>
          <w:sz w:val="16"/>
          <w:szCs w:val="16"/>
        </w:rPr>
        <w:softHyphen/>
        <w:t>ях, а также на обозы на дорогах.</w:t>
      </w:r>
    </w:p>
    <w:p w14:paraId="75AF9289" w14:textId="77777777" w:rsidR="00FE59A3" w:rsidRPr="008A2E5A" w:rsidRDefault="00FE59A3" w:rsidP="00FE59A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 и боезапас добавили к взлет</w:t>
      </w:r>
      <w:r w:rsidRPr="008A2E5A">
        <w:rPr>
          <w:rFonts w:ascii="Times New Roman" w:hAnsi="Times New Roman"/>
          <w:color w:val="0070C0"/>
          <w:sz w:val="16"/>
          <w:szCs w:val="16"/>
        </w:rPr>
        <w:softHyphen/>
        <w:t>ному весу «Харрикейна» 171 кг. Аэродина</w:t>
      </w:r>
      <w:r w:rsidRPr="008A2E5A">
        <w:rPr>
          <w:rFonts w:ascii="Times New Roman" w:hAnsi="Times New Roman"/>
          <w:color w:val="0070C0"/>
          <w:sz w:val="16"/>
          <w:szCs w:val="16"/>
        </w:rPr>
        <w:softHyphen/>
        <w:t>мика самолета несколько ухудшилась за счет выступающих направляющих под реактивные снаряды и бомбодержателей, а также ство</w:t>
      </w:r>
      <w:r w:rsidRPr="008A2E5A">
        <w:rPr>
          <w:rFonts w:ascii="Times New Roman" w:hAnsi="Times New Roman"/>
          <w:color w:val="0070C0"/>
          <w:sz w:val="16"/>
          <w:szCs w:val="16"/>
        </w:rPr>
        <w:softHyphen/>
        <w:t>лов наших пушек и пулеметов. У «Харрикей</w:t>
      </w:r>
      <w:r w:rsidRPr="008A2E5A">
        <w:rPr>
          <w:rFonts w:ascii="Times New Roman" w:hAnsi="Times New Roman"/>
          <w:color w:val="0070C0"/>
          <w:sz w:val="16"/>
          <w:szCs w:val="16"/>
        </w:rPr>
        <w:softHyphen/>
        <w:t>на» ПВ стволы «Браунингов» исходно были упрятаны в крыло, а отверстия в передней кромке последнего перед стрельбой заклеи</w:t>
      </w:r>
      <w:r w:rsidRPr="008A2E5A">
        <w:rPr>
          <w:rFonts w:ascii="Times New Roman" w:hAnsi="Times New Roman"/>
          <w:color w:val="0070C0"/>
          <w:sz w:val="16"/>
          <w:szCs w:val="16"/>
        </w:rPr>
        <w:softHyphen/>
        <w:t>вались бумагой.</w:t>
      </w:r>
    </w:p>
    <w:p w14:paraId="6B95974A" w14:textId="77777777" w:rsidR="00FE59A3" w:rsidRPr="008A2E5A" w:rsidRDefault="00FE59A3" w:rsidP="00FE59A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Летали на испытаниях капитан Голфастов и майор Хомяков. Всего получилось 22 часа 15 минут летного времени. Увеличение веса и ухудшение аэродинамики, безусловно, сказались на летных данных. Максимальная скорость упала до 498 км/ч (по другому-до</w:t>
      </w:r>
      <w:r w:rsidRPr="008A2E5A">
        <w:rPr>
          <w:rFonts w:ascii="Times New Roman" w:hAnsi="Times New Roman"/>
          <w:color w:val="0070C0"/>
          <w:sz w:val="16"/>
          <w:szCs w:val="16"/>
        </w:rPr>
        <w:softHyphen/>
        <w:t>кументу — до 490 км/ч), немного пострадали разбег и маневренность. Подвеска реактив</w:t>
      </w:r>
      <w:r w:rsidRPr="008A2E5A">
        <w:rPr>
          <w:rFonts w:ascii="Times New Roman" w:hAnsi="Times New Roman"/>
          <w:color w:val="0070C0"/>
          <w:sz w:val="16"/>
          <w:szCs w:val="16"/>
        </w:rPr>
        <w:softHyphen/>
        <w:t>ных снарядов обошлась в 9 км/ч, бомбы «съе</w:t>
      </w:r>
      <w:r w:rsidRPr="008A2E5A">
        <w:rPr>
          <w:rFonts w:ascii="Times New Roman" w:hAnsi="Times New Roman"/>
          <w:color w:val="0070C0"/>
          <w:sz w:val="16"/>
          <w:szCs w:val="16"/>
        </w:rPr>
        <w:softHyphen/>
        <w:t>дали» 16 км/ч, громоздкие выливные при боры — 19 км/ч. Можно это сравнить с тем, как влияет закрытие фонаря кабины — это давало разницу в 13 км/ч. Центровка само</w:t>
      </w:r>
      <w:r w:rsidRPr="008A2E5A">
        <w:rPr>
          <w:rFonts w:ascii="Times New Roman" w:hAnsi="Times New Roman"/>
          <w:color w:val="0070C0"/>
          <w:sz w:val="16"/>
          <w:szCs w:val="16"/>
        </w:rPr>
        <w:softHyphen/>
        <w:t>лета после переделки сместилась вперед, не</w:t>
      </w:r>
      <w:r w:rsidRPr="008A2E5A">
        <w:rPr>
          <w:rFonts w:ascii="Times New Roman" w:hAnsi="Times New Roman"/>
          <w:color w:val="0070C0"/>
          <w:sz w:val="16"/>
          <w:szCs w:val="16"/>
        </w:rPr>
        <w:softHyphen/>
        <w:t>сколько ухудшив штопорные характеристики, но сочли, что это не опасно (24506).</w:t>
      </w:r>
    </w:p>
    <w:p w14:paraId="64D9E618" w14:textId="77777777" w:rsidR="00FE59A3" w:rsidRPr="008A2E5A" w:rsidRDefault="00FE59A3" w:rsidP="00FE59A3">
      <w:pPr>
        <w:spacing w:after="0" w:line="240" w:lineRule="auto"/>
        <w:jc w:val="both"/>
        <w:rPr>
          <w:rFonts w:ascii="Times New Roman" w:hAnsi="Times New Roman"/>
          <w:color w:val="0070C0"/>
          <w:sz w:val="16"/>
          <w:szCs w:val="16"/>
        </w:rPr>
      </w:pPr>
    </w:p>
    <w:p w14:paraId="6DC3416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в НИИ ВВС или ЛИИ испытывали DB-7B Бостон с R-2600-А5В (173,272).</w:t>
      </w:r>
    </w:p>
    <w:p w14:paraId="76B0AC8F" w14:textId="77777777" w:rsidR="00AE7191" w:rsidRPr="001E2C69" w:rsidRDefault="00AE7191" w:rsidP="00722885">
      <w:pPr>
        <w:pStyle w:val="Iauiue"/>
        <w:jc w:val="both"/>
        <w:rPr>
          <w:color w:val="000000" w:themeColor="text1"/>
          <w:sz w:val="16"/>
          <w:szCs w:val="16"/>
        </w:rPr>
      </w:pPr>
    </w:p>
    <w:p w14:paraId="72D8E74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НИИ ВВС закончил испытания Р-51 (173,260).</w:t>
      </w:r>
    </w:p>
    <w:p w14:paraId="062E70D5" w14:textId="77777777" w:rsidR="00AE7191" w:rsidRPr="001E2C69" w:rsidRDefault="00AE7191" w:rsidP="00722885">
      <w:pPr>
        <w:pStyle w:val="Iauiue"/>
        <w:jc w:val="both"/>
        <w:rPr>
          <w:color w:val="000000" w:themeColor="text1"/>
          <w:sz w:val="16"/>
          <w:szCs w:val="16"/>
        </w:rPr>
      </w:pPr>
    </w:p>
    <w:p w14:paraId="3EAB589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после того, как к первой строевой войсковой частью советских ВВС, приступившей к освоению бомбардировщика В-25 летом 1942 г. - 37-му БАП, прибывшему с Дальнего Востока на аэродром Кратово в Подмосковье стал, присоединились еще два бомбардировочных полка: 16-й и 125-й, до того времени воевавший на Ленинградском фронте на самолетах Пе-2 из этих полков сформировали 222-ю БАД, которая с 8 августа 1942 приняла участие в боевых действиях в составе 1-го БАК (3198).</w:t>
      </w:r>
    </w:p>
    <w:p w14:paraId="4E72A86B" w14:textId="77777777" w:rsidR="00AE7191" w:rsidRPr="001E2C69" w:rsidRDefault="00AE7191" w:rsidP="00722885">
      <w:pPr>
        <w:pStyle w:val="Iauiue"/>
        <w:jc w:val="both"/>
        <w:rPr>
          <w:color w:val="000000" w:themeColor="text1"/>
          <w:sz w:val="16"/>
          <w:szCs w:val="16"/>
        </w:rPr>
      </w:pPr>
    </w:p>
    <w:p w14:paraId="54CAD11D" w14:textId="77777777" w:rsidR="000E1CF9" w:rsidRPr="008A2E5A" w:rsidRDefault="000E1CF9" w:rsidP="000E1C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1942 г., понимая, что судьба нового мотора М-107 достаточно проблематична, ОКБ В.Я. Климова провело стендовые испытания одного М-107 с повышенным над</w:t>
      </w:r>
      <w:r w:rsidRPr="008A2E5A">
        <w:rPr>
          <w:rFonts w:ascii="Times New Roman" w:hAnsi="Times New Roman"/>
          <w:color w:val="0070C0"/>
          <w:sz w:val="16"/>
          <w:szCs w:val="16"/>
        </w:rPr>
        <w:softHyphen/>
        <w:t>дувом. На этих испытаниях удалось получить мощность 1600 л.с. на второй границе высотности мотора. Другой альтернативы появившимся на истребителях противни</w:t>
      </w:r>
      <w:r w:rsidRPr="008A2E5A">
        <w:rPr>
          <w:rFonts w:ascii="Times New Roman" w:hAnsi="Times New Roman"/>
          <w:color w:val="0070C0"/>
          <w:sz w:val="16"/>
          <w:szCs w:val="16"/>
        </w:rPr>
        <w:softHyphen/>
        <w:t>ка мощным моторам DB-605A в СССР не создали, поэ</w:t>
      </w:r>
      <w:r w:rsidRPr="008A2E5A">
        <w:rPr>
          <w:rFonts w:ascii="Times New Roman" w:hAnsi="Times New Roman"/>
          <w:color w:val="0070C0"/>
          <w:sz w:val="16"/>
          <w:szCs w:val="16"/>
        </w:rPr>
        <w:softHyphen/>
        <w:t>тому постановлением ГКО №2346сс от 25 сентября 1942 г. (дублирующий приказ НКАП №733 от 29.09.42 г.) ОКБ В.Я. Климова и моторостроительный завод №26 г.Уфа обязали ускорить доводку форсированного мотора, по</w:t>
      </w:r>
      <w:r w:rsidRPr="008A2E5A">
        <w:rPr>
          <w:rFonts w:ascii="Times New Roman" w:hAnsi="Times New Roman"/>
          <w:color w:val="0070C0"/>
          <w:sz w:val="16"/>
          <w:szCs w:val="16"/>
        </w:rPr>
        <w:softHyphen/>
        <w:t>лучившего наименование М-107А, чтобы к концу г. обес</w:t>
      </w:r>
      <w:r w:rsidRPr="008A2E5A">
        <w:rPr>
          <w:rFonts w:ascii="Times New Roman" w:hAnsi="Times New Roman"/>
          <w:color w:val="0070C0"/>
          <w:sz w:val="16"/>
          <w:szCs w:val="16"/>
        </w:rPr>
        <w:softHyphen/>
        <w:t>печить 100-часовой ресурс и подготовить производство к его серийному выпуску. Постановлением ГКО №2397сс (23381).</w:t>
      </w:r>
    </w:p>
    <w:p w14:paraId="03C51F14" w14:textId="77777777" w:rsidR="000E1CF9" w:rsidRPr="008A2E5A" w:rsidRDefault="000E1CF9" w:rsidP="000E1CF9">
      <w:pPr>
        <w:spacing w:after="0" w:line="240" w:lineRule="auto"/>
        <w:jc w:val="both"/>
        <w:rPr>
          <w:rFonts w:ascii="Times New Roman" w:hAnsi="Times New Roman"/>
          <w:color w:val="0070C0"/>
          <w:sz w:val="16"/>
          <w:szCs w:val="16"/>
        </w:rPr>
      </w:pPr>
    </w:p>
    <w:p w14:paraId="3C45F811" w14:textId="77777777" w:rsidR="000E1CF9" w:rsidRPr="008A2E5A" w:rsidRDefault="000E1CF9" w:rsidP="000E1C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1942 по поводу понижения качества выпускаемых НКАП моторов и са</w:t>
      </w:r>
      <w:r w:rsidRPr="008A2E5A">
        <w:rPr>
          <w:rFonts w:ascii="Times New Roman" w:hAnsi="Times New Roman"/>
          <w:color w:val="0070C0"/>
          <w:sz w:val="16"/>
          <w:szCs w:val="16"/>
        </w:rPr>
        <w:softHyphen/>
        <w:t>молетов в 1-м полугодии 1942 г. помощник начальника Инспекции ВВС КА по эксплуатации и ремонту инженер-полковник Бугров до</w:t>
      </w:r>
      <w:r w:rsidRPr="008A2E5A">
        <w:rPr>
          <w:rFonts w:ascii="Times New Roman" w:hAnsi="Times New Roman"/>
          <w:color w:val="0070C0"/>
          <w:sz w:val="16"/>
          <w:szCs w:val="16"/>
        </w:rPr>
        <w:softHyphen/>
        <w:t>кладывал начальнику Инспекции полковнику В.И. Сталину: «Основ</w:t>
      </w:r>
      <w:r w:rsidRPr="008A2E5A">
        <w:rPr>
          <w:rFonts w:ascii="Times New Roman" w:hAnsi="Times New Roman"/>
          <w:color w:val="0070C0"/>
          <w:sz w:val="16"/>
          <w:szCs w:val="16"/>
        </w:rPr>
        <w:softHyphen/>
        <w:t>ным недостатком в работе заводов является погоня за количеством выпускаемой про</w:t>
      </w:r>
      <w:r w:rsidRPr="008A2E5A">
        <w:rPr>
          <w:rFonts w:ascii="Times New Roman" w:hAnsi="Times New Roman"/>
          <w:color w:val="0070C0"/>
          <w:sz w:val="16"/>
          <w:szCs w:val="16"/>
        </w:rPr>
        <w:softHyphen/>
        <w:t xml:space="preserve">дукции, и совершенно забыто качество. /.../ </w:t>
      </w:r>
    </w:p>
    <w:p w14:paraId="634A67AF" w14:textId="77777777" w:rsidR="000E1CF9" w:rsidRPr="008A2E5A" w:rsidRDefault="000E1CF9" w:rsidP="000E1C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Руководство Наркомата Авиапрома и самих авиазаводов сосредото</w:t>
      </w:r>
      <w:r w:rsidRPr="008A2E5A">
        <w:rPr>
          <w:rFonts w:ascii="Times New Roman" w:hAnsi="Times New Roman"/>
          <w:color w:val="0070C0"/>
          <w:sz w:val="16"/>
          <w:szCs w:val="16"/>
        </w:rPr>
        <w:softHyphen/>
        <w:t>чивает все свое внимание на увеличении выпуска про</w:t>
      </w:r>
      <w:r w:rsidRPr="008A2E5A">
        <w:rPr>
          <w:rFonts w:ascii="Times New Roman" w:hAnsi="Times New Roman"/>
          <w:color w:val="0070C0"/>
          <w:sz w:val="16"/>
          <w:szCs w:val="16"/>
        </w:rPr>
        <w:softHyphen/>
        <w:t>дукции, тогда как вопросы качества остаются в стороне, устранением дефектов на заводах занимаются мало, де</w:t>
      </w:r>
      <w:r w:rsidRPr="008A2E5A">
        <w:rPr>
          <w:rFonts w:ascii="Times New Roman" w:hAnsi="Times New Roman"/>
          <w:color w:val="0070C0"/>
          <w:sz w:val="16"/>
          <w:szCs w:val="16"/>
        </w:rPr>
        <w:softHyphen/>
        <w:t>фекты принимают массовый характер, войсковые части Действующей армии получают недоброкачественную боевую технику, боеспособность частей снижается».</w:t>
      </w:r>
    </w:p>
    <w:p w14:paraId="387897AA" w14:textId="77777777" w:rsidR="000E1CF9" w:rsidRPr="008A2E5A" w:rsidRDefault="000E1CF9" w:rsidP="000E1C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многочисленные рекламации из строевых частей, требования заказывающих и ин</w:t>
      </w:r>
      <w:r w:rsidRPr="008A2E5A">
        <w:rPr>
          <w:rFonts w:ascii="Times New Roman" w:hAnsi="Times New Roman"/>
          <w:color w:val="0070C0"/>
          <w:sz w:val="16"/>
          <w:szCs w:val="16"/>
        </w:rPr>
        <w:softHyphen/>
        <w:t>спектирующих органов ВВС КА, Наркоматом авиапро</w:t>
      </w:r>
      <w:r w:rsidRPr="008A2E5A">
        <w:rPr>
          <w:rFonts w:ascii="Times New Roman" w:hAnsi="Times New Roman"/>
          <w:color w:val="0070C0"/>
          <w:sz w:val="16"/>
          <w:szCs w:val="16"/>
        </w:rPr>
        <w:softHyphen/>
        <w:t>мышленности и заводами в практическом плане по улучшению качества выпускаемых самолетов Ил-2 и моторов АМ-38 почти ничего не делалось: «Заводы НКАП и конструктора самолетов и моторов очень медленно и неохотно реагируют на запросы частей по устранению массовых дефектов выявленных в процессе эксплуатации».</w:t>
      </w:r>
    </w:p>
    <w:p w14:paraId="055F2E9A" w14:textId="77777777" w:rsidR="000E1CF9" w:rsidRPr="008A2E5A" w:rsidRDefault="000E1CF9" w:rsidP="000E1CF9">
      <w:pPr>
        <w:spacing w:after="0" w:line="240" w:lineRule="auto"/>
        <w:jc w:val="both"/>
        <w:rPr>
          <w:rFonts w:ascii="Times New Roman" w:hAnsi="Times New Roman"/>
          <w:color w:val="0070C0"/>
          <w:sz w:val="16"/>
          <w:szCs w:val="16"/>
        </w:rPr>
      </w:pPr>
    </w:p>
    <w:p w14:paraId="2F8B7541" w14:textId="77777777" w:rsidR="000E1CF9" w:rsidRPr="008A2E5A" w:rsidRDefault="000E1CF9" w:rsidP="000E1C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1942 г. фильтр, предложенный ЛИИ НКАП, установили на само</w:t>
      </w:r>
      <w:r w:rsidRPr="008A2E5A">
        <w:rPr>
          <w:rFonts w:ascii="Times New Roman" w:hAnsi="Times New Roman"/>
          <w:color w:val="0070C0"/>
          <w:sz w:val="16"/>
          <w:szCs w:val="16"/>
        </w:rPr>
        <w:softHyphen/>
        <w:t>лет, но испытания данного фильтра завершить не удалось вначале из-за выхода мотора из строя, а впоследствии из- за установки на самолет мотора М-105ПД и отсутствия в ЛИИ НКАП другой машины для проведения испытаний.</w:t>
      </w:r>
    </w:p>
    <w:p w14:paraId="141E1801" w14:textId="77777777" w:rsidR="000E1CF9" w:rsidRPr="008A2E5A" w:rsidRDefault="000E1CF9" w:rsidP="000E1C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Работы по пылефильтрам продолжились в ЛИИ НКАП с целью создания легкосъемного воздушного фильтра для наземной эксплуатации (23381).</w:t>
      </w:r>
    </w:p>
    <w:p w14:paraId="618BAC96" w14:textId="77777777" w:rsidR="000E1CF9" w:rsidRPr="008A2E5A" w:rsidRDefault="000E1CF9" w:rsidP="000E1CF9">
      <w:pPr>
        <w:spacing w:after="0" w:line="240" w:lineRule="auto"/>
        <w:jc w:val="both"/>
        <w:rPr>
          <w:rFonts w:ascii="Times New Roman" w:hAnsi="Times New Roman"/>
          <w:color w:val="0070C0"/>
          <w:sz w:val="16"/>
          <w:szCs w:val="16"/>
        </w:rPr>
      </w:pPr>
    </w:p>
    <w:p w14:paraId="1FB3EB9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 завод № 45 вновь вы</w:t>
      </w:r>
      <w:r w:rsidRPr="001E2C69">
        <w:rPr>
          <w:rFonts w:ascii="Times New Roman" w:hAnsi="Times New Roman"/>
          <w:color w:val="000000" w:themeColor="text1"/>
          <w:sz w:val="16"/>
          <w:szCs w:val="16"/>
        </w:rPr>
        <w:softHyphen/>
        <w:t>полнил план, изготовив требуемые 28 двигателей. Конечно, этого было не</w:t>
      </w:r>
      <w:r w:rsidRPr="001E2C69">
        <w:rPr>
          <w:rFonts w:ascii="Times New Roman" w:hAnsi="Times New Roman"/>
          <w:color w:val="000000" w:themeColor="text1"/>
          <w:sz w:val="16"/>
          <w:szCs w:val="16"/>
        </w:rPr>
        <w:softHyphen/>
        <w:t>достаточно. Положение на фронте ос</w:t>
      </w:r>
      <w:r w:rsidRPr="001E2C69">
        <w:rPr>
          <w:rFonts w:ascii="Times New Roman" w:hAnsi="Times New Roman"/>
          <w:color w:val="000000" w:themeColor="text1"/>
          <w:sz w:val="16"/>
          <w:szCs w:val="16"/>
        </w:rPr>
        <w:softHyphen/>
        <w:t>тавалось очень серьезным, на юге стра</w:t>
      </w:r>
      <w:r w:rsidRPr="001E2C69">
        <w:rPr>
          <w:rFonts w:ascii="Times New Roman" w:hAnsi="Times New Roman"/>
          <w:color w:val="000000" w:themeColor="text1"/>
          <w:sz w:val="16"/>
          <w:szCs w:val="16"/>
        </w:rPr>
        <w:softHyphen/>
        <w:t>ны Красная Армия отступала. Работни</w:t>
      </w:r>
      <w:r w:rsidRPr="001E2C69">
        <w:rPr>
          <w:rFonts w:ascii="Times New Roman" w:hAnsi="Times New Roman"/>
          <w:color w:val="000000" w:themeColor="text1"/>
          <w:sz w:val="16"/>
          <w:szCs w:val="16"/>
        </w:rPr>
        <w:softHyphen/>
        <w:t>ки завода отлично понимали, как нуж</w:t>
      </w:r>
      <w:r w:rsidRPr="001E2C69">
        <w:rPr>
          <w:rFonts w:ascii="Times New Roman" w:hAnsi="Times New Roman"/>
          <w:color w:val="000000" w:themeColor="text1"/>
          <w:sz w:val="16"/>
          <w:szCs w:val="16"/>
        </w:rPr>
        <w:softHyphen/>
        <w:t>ны «Илы». В августе на самолетострои</w:t>
      </w:r>
      <w:r w:rsidRPr="001E2C69">
        <w:rPr>
          <w:rFonts w:ascii="Times New Roman" w:hAnsi="Times New Roman"/>
          <w:color w:val="000000" w:themeColor="text1"/>
          <w:sz w:val="16"/>
          <w:szCs w:val="16"/>
        </w:rPr>
        <w:softHyphen/>
        <w:t>тельные предприятия были отправле</w:t>
      </w:r>
      <w:r w:rsidRPr="001E2C69">
        <w:rPr>
          <w:rFonts w:ascii="Times New Roman" w:hAnsi="Times New Roman"/>
          <w:color w:val="000000" w:themeColor="text1"/>
          <w:sz w:val="16"/>
          <w:szCs w:val="16"/>
        </w:rPr>
        <w:softHyphen/>
        <w:t>ны уже 52 двигателя - на один больше плана. В сентябре завод перевыполнил программу, предусматривавшую изго</w:t>
      </w:r>
      <w:r w:rsidRPr="001E2C69">
        <w:rPr>
          <w:rFonts w:ascii="Times New Roman" w:hAnsi="Times New Roman"/>
          <w:color w:val="000000" w:themeColor="text1"/>
          <w:sz w:val="16"/>
          <w:szCs w:val="16"/>
        </w:rPr>
        <w:softHyphen/>
        <w:t>товление 85 моторов, и занял третье место среди предприятий наркомата. Так же уверенно завод работал и в ок</w:t>
      </w:r>
      <w:r w:rsidRPr="001E2C69">
        <w:rPr>
          <w:rFonts w:ascii="Times New Roman" w:hAnsi="Times New Roman"/>
          <w:color w:val="000000" w:themeColor="text1"/>
          <w:sz w:val="16"/>
          <w:szCs w:val="16"/>
        </w:rPr>
        <w:softHyphen/>
        <w:t>тябре, доведя месячную производитель</w:t>
      </w:r>
      <w:r w:rsidRPr="001E2C69">
        <w:rPr>
          <w:rFonts w:ascii="Times New Roman" w:hAnsi="Times New Roman"/>
          <w:color w:val="000000" w:themeColor="text1"/>
          <w:sz w:val="16"/>
          <w:szCs w:val="16"/>
        </w:rPr>
        <w:softHyphen/>
        <w:t>ность до 130 единиц (11159). Однако в конце года из-за проблем с кадрами и плохих погодных условий ситуация ухудшилась. Достаточно ска</w:t>
      </w:r>
      <w:r w:rsidRPr="001E2C69">
        <w:rPr>
          <w:rFonts w:ascii="Times New Roman" w:hAnsi="Times New Roman"/>
          <w:color w:val="000000" w:themeColor="text1"/>
          <w:sz w:val="16"/>
          <w:szCs w:val="16"/>
        </w:rPr>
        <w:softHyphen/>
        <w:t>зать, что за 1942 г. на завод было при</w:t>
      </w:r>
      <w:r w:rsidRPr="001E2C69">
        <w:rPr>
          <w:rFonts w:ascii="Times New Roman" w:hAnsi="Times New Roman"/>
          <w:color w:val="000000" w:themeColor="text1"/>
          <w:sz w:val="16"/>
          <w:szCs w:val="16"/>
        </w:rPr>
        <w:softHyphen/>
        <w:t>нято 14 238 человек, в том числе 7260 рабочих и 1769 инженеров и техни</w:t>
      </w:r>
      <w:r w:rsidRPr="001E2C69">
        <w:rPr>
          <w:rFonts w:ascii="Times New Roman" w:hAnsi="Times New Roman"/>
          <w:color w:val="000000" w:themeColor="text1"/>
          <w:sz w:val="16"/>
          <w:szCs w:val="16"/>
        </w:rPr>
        <w:softHyphen/>
        <w:t>ков. Из указанного числа рабочих толь</w:t>
      </w:r>
      <w:r w:rsidRPr="001E2C69">
        <w:rPr>
          <w:rFonts w:ascii="Times New Roman" w:hAnsi="Times New Roman"/>
          <w:color w:val="000000" w:themeColor="text1"/>
          <w:sz w:val="16"/>
          <w:szCs w:val="16"/>
        </w:rPr>
        <w:softHyphen/>
        <w:t>ко 40 % имели опыт работы на заводе, остальные были «зелеными» новичка</w:t>
      </w:r>
      <w:r w:rsidRPr="001E2C69">
        <w:rPr>
          <w:rFonts w:ascii="Times New Roman" w:hAnsi="Times New Roman"/>
          <w:color w:val="000000" w:themeColor="text1"/>
          <w:sz w:val="16"/>
          <w:szCs w:val="16"/>
        </w:rPr>
        <w:softHyphen/>
        <w:t>ми. В течение года на предприятии прошло обучен-и'ё специальности 4176 человек (в том числе 1265 тока</w:t>
      </w:r>
      <w:r w:rsidRPr="001E2C69">
        <w:rPr>
          <w:rFonts w:ascii="Times New Roman" w:hAnsi="Times New Roman"/>
          <w:color w:val="000000" w:themeColor="text1"/>
          <w:sz w:val="16"/>
          <w:szCs w:val="16"/>
        </w:rPr>
        <w:softHyphen/>
        <w:t>рей, 82 слесаря, 273 шлифовщика и 360 фрезеровщиков).</w:t>
      </w:r>
    </w:p>
    <w:p w14:paraId="5462983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Недостаточная квалификация ра</w:t>
      </w:r>
      <w:r w:rsidRPr="001E2C69">
        <w:rPr>
          <w:rFonts w:ascii="Times New Roman" w:hAnsi="Times New Roman"/>
          <w:color w:val="000000" w:themeColor="text1"/>
          <w:sz w:val="16"/>
          <w:szCs w:val="16"/>
        </w:rPr>
        <w:softHyphen/>
        <w:t>ботников грозила срывом производ</w:t>
      </w:r>
      <w:r w:rsidRPr="001E2C69">
        <w:rPr>
          <w:rFonts w:ascii="Times New Roman" w:hAnsi="Times New Roman"/>
          <w:color w:val="000000" w:themeColor="text1"/>
          <w:sz w:val="16"/>
          <w:szCs w:val="16"/>
        </w:rPr>
        <w:softHyphen/>
        <w:t>ственных планов. Три мотора, постав</w:t>
      </w:r>
      <w:r w:rsidRPr="001E2C69">
        <w:rPr>
          <w:rFonts w:ascii="Times New Roman" w:hAnsi="Times New Roman"/>
          <w:color w:val="000000" w:themeColor="text1"/>
          <w:sz w:val="16"/>
          <w:szCs w:val="16"/>
        </w:rPr>
        <w:softHyphen/>
        <w:t>ленные на длительные испытания осе</w:t>
      </w:r>
      <w:r w:rsidRPr="001E2C69">
        <w:rPr>
          <w:rFonts w:ascii="Times New Roman" w:hAnsi="Times New Roman"/>
          <w:color w:val="000000" w:themeColor="text1"/>
          <w:sz w:val="16"/>
          <w:szCs w:val="16"/>
        </w:rPr>
        <w:softHyphen/>
        <w:t>нью 1942 г., не отработали установлен</w:t>
      </w:r>
      <w:r w:rsidRPr="001E2C69">
        <w:rPr>
          <w:rFonts w:ascii="Times New Roman" w:hAnsi="Times New Roman"/>
          <w:color w:val="000000" w:themeColor="text1"/>
          <w:sz w:val="16"/>
          <w:szCs w:val="16"/>
        </w:rPr>
        <w:softHyphen/>
        <w:t>ного 100-часового срока. Четвертый двигатель АМ-38 честно «отбарабанил» 100 часов, но на 104-м у него оборвался равноправный шатун. Вообще, наи</w:t>
      </w:r>
      <w:r w:rsidRPr="001E2C69">
        <w:rPr>
          <w:rFonts w:ascii="Times New Roman" w:hAnsi="Times New Roman"/>
          <w:color w:val="000000" w:themeColor="text1"/>
          <w:sz w:val="16"/>
          <w:szCs w:val="16"/>
        </w:rPr>
        <w:softHyphen/>
        <w:t>более характерными поломками АМ-38 в тот период были разрушения шесте</w:t>
      </w:r>
      <w:r w:rsidRPr="001E2C69">
        <w:rPr>
          <w:rFonts w:ascii="Times New Roman" w:hAnsi="Times New Roman"/>
          <w:color w:val="000000" w:themeColor="text1"/>
          <w:sz w:val="16"/>
          <w:szCs w:val="16"/>
        </w:rPr>
        <w:softHyphen/>
        <w:t>рен и поломки клапанов, что было выз</w:t>
      </w:r>
      <w:r w:rsidRPr="001E2C69">
        <w:rPr>
          <w:rFonts w:ascii="Times New Roman" w:hAnsi="Times New Roman"/>
          <w:color w:val="000000" w:themeColor="text1"/>
          <w:sz w:val="16"/>
          <w:szCs w:val="16"/>
        </w:rPr>
        <w:softHyphen/>
        <w:t>вано нетолько невысоким качеством из</w:t>
      </w:r>
      <w:r w:rsidRPr="001E2C69">
        <w:rPr>
          <w:rFonts w:ascii="Times New Roman" w:hAnsi="Times New Roman"/>
          <w:color w:val="000000" w:themeColor="text1"/>
          <w:sz w:val="16"/>
          <w:szCs w:val="16"/>
        </w:rPr>
        <w:softHyphen/>
        <w:t>готовления моторов, но и низкокаче</w:t>
      </w:r>
      <w:r w:rsidRPr="001E2C69">
        <w:rPr>
          <w:rFonts w:ascii="Times New Roman" w:hAnsi="Times New Roman"/>
          <w:color w:val="000000" w:themeColor="text1"/>
          <w:sz w:val="16"/>
          <w:szCs w:val="16"/>
        </w:rPr>
        <w:softHyphen/>
        <w:t>ственным третьесортным бензином, которым снабжался завод (11159).</w:t>
      </w:r>
    </w:p>
    <w:p w14:paraId="65772A7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27A4C39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для работ по авиадизелям создали специальное ОКБ-500. Оно занялось доработкой М-30, который оснасти</w:t>
      </w:r>
      <w:r w:rsidRPr="001E2C69">
        <w:rPr>
          <w:rFonts w:ascii="Times New Roman" w:hAnsi="Times New Roman"/>
          <w:color w:val="000000" w:themeColor="text1"/>
          <w:sz w:val="16"/>
          <w:szCs w:val="16"/>
        </w:rPr>
        <w:softHyphen/>
        <w:t>ли ПЦН от мотора АМ-38, получив тем самым модификацию М-ЗОБ. В серию ее запустили как АЧ-ЗОБ. Этот двигатель выпускался заводами № 500 и № 45 в Москве. Его устанавливали на серийные бомбарди</w:t>
      </w:r>
      <w:r w:rsidRPr="001E2C69">
        <w:rPr>
          <w:rFonts w:ascii="Times New Roman" w:hAnsi="Times New Roman"/>
          <w:color w:val="000000" w:themeColor="text1"/>
          <w:sz w:val="16"/>
          <w:szCs w:val="16"/>
        </w:rPr>
        <w:softHyphen/>
        <w:t>ровщики Ер-2. Но надежность АЧ-30Б оставалась по-прежнему низкой. Это привело к тому, что в сентябре 1945 г. его окончательно сняли с производства. Вслед за ним сняли с вооружения оснащенные дизелями бомбардировщики Ер-2. Авиационные дизели стали переделывать в судовые, танковые и использо</w:t>
      </w:r>
      <w:r w:rsidRPr="001E2C69">
        <w:rPr>
          <w:rFonts w:ascii="Times New Roman" w:hAnsi="Times New Roman"/>
          <w:color w:val="000000" w:themeColor="text1"/>
          <w:sz w:val="16"/>
          <w:szCs w:val="16"/>
        </w:rPr>
        <w:softHyphen/>
        <w:t>вать в небольших сельских электростанциях. Чаромского сняли с должности главного конструктора ОКБ-500, назначив туда В.М. Яковлева. Уже при нем заканчивались работы по дизелям АЧ-31 и АЧ-32, являвшимся развитием АЧ-ЗОБ. Ни один из них не был внедрен в серийное производство. После войны под руководством Яковлева ОКБ-500 спроектировало не</w:t>
      </w:r>
      <w:r w:rsidRPr="001E2C69">
        <w:rPr>
          <w:rFonts w:ascii="Times New Roman" w:hAnsi="Times New Roman"/>
          <w:color w:val="000000" w:themeColor="text1"/>
          <w:sz w:val="16"/>
          <w:szCs w:val="16"/>
        </w:rPr>
        <w:softHyphen/>
        <w:t xml:space="preserve">сколько мощных дизелей для тяжелых бомбардировщиков. Сперва это был М-52 (начатый в конструкторском бюро завода № 45) мощностью 2400 л.с., затем М-224 мощностью 4400 л.с. Последний являлся копией «квадратного» немецкого дизеля </w:t>
      </w:r>
      <w:r w:rsidRPr="001E2C69">
        <w:rPr>
          <w:rFonts w:ascii="Times New Roman" w:hAnsi="Times New Roman"/>
          <w:color w:val="000000" w:themeColor="text1"/>
          <w:sz w:val="16"/>
          <w:szCs w:val="16"/>
          <w:vertAlign w:val="superscript"/>
        </w:rPr>
        <w:t>т</w:t>
      </w:r>
      <w:r w:rsidRPr="001E2C69">
        <w:rPr>
          <w:rFonts w:ascii="Times New Roman" w:hAnsi="Times New Roman"/>
          <w:color w:val="000000" w:themeColor="text1"/>
          <w:sz w:val="16"/>
          <w:szCs w:val="16"/>
        </w:rPr>
        <w:t>штю 224. Над ним работала под общим руководством советских специалистов бригада немцев во главе с конструк</w:t>
      </w:r>
      <w:r w:rsidRPr="001E2C69">
        <w:rPr>
          <w:rFonts w:ascii="Times New Roman" w:hAnsi="Times New Roman"/>
          <w:color w:val="000000" w:themeColor="text1"/>
          <w:sz w:val="16"/>
          <w:szCs w:val="16"/>
        </w:rPr>
        <w:softHyphen/>
        <w:t>тором Герлахом сначала в Германии, а затем на заводе № 500. Работу над М-224 приостановили в ноябре 1947 г., поскольку Яковлеву удалось дока</w:t>
      </w:r>
      <w:r w:rsidRPr="001E2C69">
        <w:rPr>
          <w:rFonts w:ascii="Times New Roman" w:hAnsi="Times New Roman"/>
          <w:color w:val="000000" w:themeColor="text1"/>
          <w:sz w:val="16"/>
          <w:szCs w:val="16"/>
        </w:rPr>
        <w:softHyphen/>
        <w:t>зать преимущества своего нового проекта — М-501 мощностью 6000 л.с., огромного 42-цилиндрового дизеля. Он предназначался для стратегическо</w:t>
      </w:r>
      <w:r w:rsidRPr="001E2C69">
        <w:rPr>
          <w:rFonts w:ascii="Times New Roman" w:hAnsi="Times New Roman"/>
          <w:color w:val="000000" w:themeColor="text1"/>
          <w:sz w:val="16"/>
          <w:szCs w:val="16"/>
        </w:rPr>
        <w:softHyphen/>
        <w:t>го бомбардировщика Туполева — сверхдальнего носителя ядерного ору</w:t>
      </w:r>
      <w:r w:rsidRPr="001E2C69">
        <w:rPr>
          <w:rFonts w:ascii="Times New Roman" w:hAnsi="Times New Roman"/>
          <w:color w:val="000000" w:themeColor="text1"/>
          <w:sz w:val="16"/>
          <w:szCs w:val="16"/>
        </w:rPr>
        <w:softHyphen/>
        <w:t>жия. Работы над этим двигателем шли до 1953 г., но в серию запустили его судовой вариант — М-501М. ОКБ-500 с 1947 г. занялось ТРД. В ка</w:t>
      </w:r>
      <w:r w:rsidRPr="001E2C69">
        <w:rPr>
          <w:rFonts w:ascii="Times New Roman" w:hAnsi="Times New Roman"/>
          <w:color w:val="000000" w:themeColor="text1"/>
          <w:sz w:val="16"/>
          <w:szCs w:val="16"/>
        </w:rPr>
        <w:softHyphen/>
        <w:t>честве первого задания оно успешно скопировало английский «Дервент», запущенный в СССР в серию как РД-500. В середине 50-х годов все проектные работы по поршневым авиадвига</w:t>
      </w:r>
      <w:r w:rsidRPr="001E2C69">
        <w:rPr>
          <w:rFonts w:ascii="Times New Roman" w:hAnsi="Times New Roman"/>
          <w:color w:val="000000" w:themeColor="text1"/>
          <w:sz w:val="16"/>
          <w:szCs w:val="16"/>
        </w:rPr>
        <w:softHyphen/>
        <w:t>телям, в том числе и по дизелям, свернули. Некоторые конструкторы за</w:t>
      </w:r>
      <w:r w:rsidRPr="001E2C69">
        <w:rPr>
          <w:rFonts w:ascii="Times New Roman" w:hAnsi="Times New Roman"/>
          <w:color w:val="000000" w:themeColor="text1"/>
          <w:sz w:val="16"/>
          <w:szCs w:val="16"/>
        </w:rPr>
        <w:softHyphen/>
        <w:t>нялись ТРД и ТВД, другие перешли к моторам для бронетанковой техни</w:t>
      </w:r>
      <w:r w:rsidRPr="001E2C69">
        <w:rPr>
          <w:rFonts w:ascii="Times New Roman" w:hAnsi="Times New Roman"/>
          <w:color w:val="000000" w:themeColor="text1"/>
          <w:sz w:val="16"/>
          <w:szCs w:val="16"/>
        </w:rPr>
        <w:softHyphen/>
        <w:t>ки. Чаромский, который после снятия с должности главного конструктора перебрался в ЦИАМ, в 1946-1947 гг. создал там свой последний авиаци</w:t>
      </w:r>
      <w:r w:rsidRPr="001E2C69">
        <w:rPr>
          <w:rFonts w:ascii="Times New Roman" w:hAnsi="Times New Roman"/>
          <w:color w:val="000000" w:themeColor="text1"/>
          <w:sz w:val="16"/>
          <w:szCs w:val="16"/>
        </w:rPr>
        <w:softHyphen/>
        <w:t>онный дизель М-25. В отличие от всех предыдущих его конструкций он являлся двухтактным, с двумя противоположно движущимися поршнями в каждом из горизонтально расположенных цилиндров. Этот двигатель заинтересовал танкостроителей и стал основой для целого семейства танковых дизелей. Многие элементы конструкции М-25 использовали в двигателе 5ТДФ, стоявшем на широко известном танке Т-64. Интерес к авиационным дизелям в России вновь возрос в начале 90-х годов, когда начали возникать проекты небольших и сравнитель</w:t>
      </w:r>
      <w:r w:rsidRPr="001E2C69">
        <w:rPr>
          <w:rFonts w:ascii="Times New Roman" w:hAnsi="Times New Roman"/>
          <w:color w:val="000000" w:themeColor="text1"/>
          <w:sz w:val="16"/>
          <w:szCs w:val="16"/>
        </w:rPr>
        <w:softHyphen/>
        <w:t>но недорогих «деловых» самолетов, обладавших, тем не менее, доволь</w:t>
      </w:r>
      <w:r w:rsidRPr="001E2C69">
        <w:rPr>
          <w:rFonts w:ascii="Times New Roman" w:hAnsi="Times New Roman"/>
          <w:color w:val="000000" w:themeColor="text1"/>
          <w:sz w:val="16"/>
          <w:szCs w:val="16"/>
        </w:rPr>
        <w:softHyphen/>
        <w:t>но значительной продолжительностью полета. В Рыбинске под руковод</w:t>
      </w:r>
      <w:r w:rsidRPr="001E2C69">
        <w:rPr>
          <w:rFonts w:ascii="Times New Roman" w:hAnsi="Times New Roman"/>
          <w:color w:val="000000" w:themeColor="text1"/>
          <w:sz w:val="16"/>
          <w:szCs w:val="16"/>
        </w:rPr>
        <w:softHyphen/>
        <w:t>ством А.С. Новикова спроектировали трехцилиндровый дизель ДН-200 с противоположно движущимися поршнями. С 1991 г. началась отработка цилиндро-поршневой группы на одноцилиндровом стенде. Появился и ряд других интересных проектов. В частности, в 2000 г. в Воронеже подгото</w:t>
      </w:r>
      <w:r w:rsidRPr="001E2C69">
        <w:rPr>
          <w:rFonts w:ascii="Times New Roman" w:hAnsi="Times New Roman"/>
          <w:color w:val="000000" w:themeColor="text1"/>
          <w:sz w:val="16"/>
          <w:szCs w:val="16"/>
        </w:rPr>
        <w:softHyphen/>
        <w:t>вили проект 6-цилиндрового оппозитного двигателя ДМ-6. Но до сих пор ни одного авиационного дизеля в России не производится (11852).</w:t>
      </w:r>
    </w:p>
    <w:p w14:paraId="76F03FB5"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9C90A5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В июле 1942 г. первый тип М-30Б, модернизированный вариант с ПЦН (в ОКБ-500 готовились два варианта — с ПЦН от моторов АМ-38 и М-105) прошел 100-часовые испытания, второй оказался менее удачным, хотя именно его сначала хотели запустить в серию. В конечном итоге в производство пошел вариант с ПЦН от АМ-38 (с уменьшенным диаметром крыльчатки) и двумя турбонаг</w:t>
      </w:r>
      <w:r w:rsidRPr="001E2C69">
        <w:rPr>
          <w:rFonts w:ascii="Times New Roman" w:hAnsi="Times New Roman"/>
          <w:color w:val="000000" w:themeColor="text1"/>
          <w:sz w:val="16"/>
          <w:szCs w:val="16"/>
        </w:rPr>
        <w:softHyphen/>
        <w:t>нетателями Т1-82 и интеркулерами. С августа 1942 г. завод № 500 начал переделку М-30 в М-ЗОБ (переделано 35 экз.), а затем произ</w:t>
      </w:r>
      <w:r w:rsidRPr="001E2C69">
        <w:rPr>
          <w:rFonts w:ascii="Times New Roman" w:hAnsi="Times New Roman"/>
          <w:color w:val="000000" w:themeColor="text1"/>
          <w:sz w:val="16"/>
          <w:szCs w:val="16"/>
        </w:rPr>
        <w:softHyphen/>
        <w:t>водство М-ЗОБ (за 1942 г. изготовлено 34 экз.). В январе — апреле 1943 г. М-ЗОБ испытывался на Ер-2, в августе — на Ил-6. В феврале того же года осуществлялась опытная эксплуатация М-ЗОБ на Пе-8 в частях АДД. Официально АЧ-ЗОБ был принят к крупносерийному производству 19 июня 1943 г. С весны того же года выпуск АЧ-ЗОБ осваивали на заводе № 45. Фактически массовый выпуск дизелей на обоих предприятиях начался с 4-го квартала 1943 г. В ходе серийного производства АЧ-ЗОБ менялся довольно мало; с апреля 1945 г. на нем ввели дополнительные топливные фильтры. Мощность 1250/1500 л.с., вес опытных образцов 1280 кг, серийных 1290 кг (поздние серии 1310 кг). Выпуск на обоих заводах прекращен в сентябре 1945 г. Всего изготовлено 1450 АЧ-ЗОБ (11852).</w:t>
      </w:r>
    </w:p>
    <w:p w14:paraId="309FD60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7EE2733A" w14:textId="77777777" w:rsidR="001B2C96" w:rsidRPr="001E2C69" w:rsidRDefault="001B2C96" w:rsidP="00722885">
      <w:pPr>
        <w:pStyle w:val="af"/>
        <w:shd w:val="clear" w:color="auto" w:fill="FFFFFF"/>
        <w:spacing w:before="0" w:after="0"/>
        <w:jc w:val="both"/>
        <w:rPr>
          <w:color w:val="000000" w:themeColor="text1"/>
          <w:sz w:val="16"/>
          <w:szCs w:val="16"/>
        </w:rPr>
      </w:pPr>
      <w:r w:rsidRPr="001E2C69">
        <w:rPr>
          <w:color w:val="000000" w:themeColor="text1"/>
          <w:sz w:val="16"/>
          <w:szCs w:val="16"/>
        </w:rPr>
        <w:t>В июле 1940 г. руководитель конструкторской группы В.П. Глушко, теперь уже находящейся в «шараге» Спецотдела № 4 НКВД на авиазаводе №16 (ОКВ-16), предлагал установить на опытные самолеты «100» (прототип пикирующего бомбарди ровщика Пе-2) и Сталь-7 (прототип дальнего бомбардировщика Ер-2) вспомогательные ЖРД типа ОРМ-62 с тягой по 300 кгс для увеличения скорости полета в решающий момент воздушного боя.</w:t>
      </w:r>
    </w:p>
    <w:p w14:paraId="506B6A1C" w14:textId="77777777" w:rsidR="001B2C96" w:rsidRPr="001E2C69" w:rsidRDefault="001B2C96" w:rsidP="00722885">
      <w:pPr>
        <w:pStyle w:val="af"/>
        <w:shd w:val="clear" w:color="auto" w:fill="FFFFFF"/>
        <w:spacing w:before="0" w:after="0"/>
        <w:jc w:val="both"/>
        <w:rPr>
          <w:color w:val="000000" w:themeColor="text1"/>
          <w:sz w:val="16"/>
          <w:szCs w:val="16"/>
        </w:rPr>
      </w:pPr>
      <w:r w:rsidRPr="001E2C69">
        <w:rPr>
          <w:color w:val="000000" w:themeColor="text1"/>
          <w:sz w:val="16"/>
          <w:szCs w:val="16"/>
        </w:rPr>
        <w:t>По мнению автора проекта, благодаря двигателям-ускори телям эти самолеты приобретали ряд тактических преиму ществ: они могли или быстро настичь самолет противника с поршневым двигателем, или, наоборот, быстро оторваться от преследования противника, или выйти из боя в случае необ ходимости. Предполагалось, что время работы такого двига теля-ускорителя может измеряться несколькими минутами.</w:t>
      </w:r>
    </w:p>
    <w:p w14:paraId="43D29FB2" w14:textId="77777777" w:rsidR="001B2C96" w:rsidRPr="001E2C69" w:rsidRDefault="001B2C96" w:rsidP="00722885">
      <w:pPr>
        <w:pStyle w:val="af"/>
        <w:shd w:val="clear" w:color="auto" w:fill="FFFFFF"/>
        <w:spacing w:before="0" w:after="0"/>
        <w:jc w:val="both"/>
        <w:rPr>
          <w:color w:val="000000" w:themeColor="text1"/>
          <w:sz w:val="16"/>
          <w:szCs w:val="16"/>
        </w:rPr>
      </w:pPr>
      <w:r w:rsidRPr="001E2C69">
        <w:rPr>
          <w:color w:val="000000" w:themeColor="text1"/>
          <w:sz w:val="16"/>
          <w:szCs w:val="16"/>
        </w:rPr>
        <w:t>Предложение было принято, и В.П. Глушко поручили созда ние ЖРД-ускорителей, а его группу преобразовали в КБ-2 по ЯСРД в составе ОКБ-16 (19586).</w:t>
      </w:r>
    </w:p>
    <w:p w14:paraId="02453C3F" w14:textId="77777777" w:rsidR="001B2C96" w:rsidRPr="001E2C69" w:rsidRDefault="001B2C96" w:rsidP="00722885">
      <w:pPr>
        <w:pStyle w:val="af"/>
        <w:shd w:val="clear" w:color="auto" w:fill="FFFFFF"/>
        <w:spacing w:before="0" w:after="0"/>
        <w:jc w:val="both"/>
        <w:rPr>
          <w:color w:val="000000" w:themeColor="text1"/>
          <w:sz w:val="16"/>
          <w:szCs w:val="16"/>
        </w:rPr>
      </w:pPr>
    </w:p>
    <w:p w14:paraId="3524E26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проводились опытные окраски разработанными ВИАМ трудно-воспламеняемыми хлорвиниловыми эмалями стандартных цветов: ДД-118А (серая, для внутренних поверхностей), ХВ-4 (зеленая), ХВ-6 (черная) и ХВ-7 (голубая). ими истребителей Яковлева. С августа велись работы по внедрению этих материалов в промышленности, но и в апреле 1943 г. до окончания работ было далеко - свободных мощностей у лакокрасочных заводов не было. Хлорвиниловые эмали получили широкое распространение только после войны (11989).</w:t>
      </w:r>
    </w:p>
    <w:p w14:paraId="630F4983"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C84163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на вооружение приняли более тяжелые РС М-20 и М-30. М-20 был разработан в РНИИ. На М-20 БЧ была втрое тяжелее М-13, а общая масса снаряда выросла на 35% и дальность повысилась до 5,5 км. М-30 был разработан ГУВ ГМЧ (А.И.Семенов, А.Г.Мрыкин, Г.А.Копылов, М.Ф.Малов, М.А.Комиссарчик). Ракетная часть от М-13, а БЧ - диаметром 300 мм с 28.9 кг ВВ. Дальность - всего 2.8 км (177,176).</w:t>
      </w:r>
    </w:p>
    <w:p w14:paraId="5255C80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Не может быть, чтобы их не пытались приспособить к самолетам, но данных об этом - нет.</w:t>
      </w:r>
    </w:p>
    <w:p w14:paraId="3FE6776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Як-6 транспортный был готов на 75-80%, а бомбардировочный - на 20-25% и делали на Заводе 47 под руководством зам. А.С.Я. А.А.Синицына (4657, 16).</w:t>
      </w:r>
    </w:p>
    <w:p w14:paraId="078058C2" w14:textId="77777777" w:rsidR="00AE7191" w:rsidRPr="001E2C69" w:rsidRDefault="00AE7191" w:rsidP="00722885">
      <w:pPr>
        <w:pStyle w:val="Iauiue"/>
        <w:jc w:val="both"/>
        <w:rPr>
          <w:color w:val="000000" w:themeColor="text1"/>
          <w:sz w:val="16"/>
          <w:szCs w:val="16"/>
        </w:rPr>
      </w:pPr>
    </w:p>
    <w:p w14:paraId="61D9BAE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 Проверкой, проведенной специальной комиссией Куйбышевского облисполкома и Обкома ВКП(б), было установлено, что авиамастерские № 272 Народного комиссариата обороны систематически не выполняли программу ремонта самолетов, моторов, аппаратуры и вооружения. Это происходило, главным образом, потому, что мастерские имели совершенно недостаточную производственную площадь для размещения цехов и соблюдения технологии ремонта. В связи с этим в основных ремонтных цехах была большая скученность ремонтируемых машин, аппаратура и вооружение ремонтировались в непригодных помещениях, а моторы самолетов, как ожидающие ремонта, так и отремонтированные, находились под открытым небом. Кроме того, ремонтные цеха авиамастерских № 272 размещались на двух разных территориях, так как значительная часть производственных помещений на основной 6 территории была занята ремонтной мастерской Союззаготтранса, которые использовали ее не полностью. Также из-за совместного размещения авиамастерских с мастерскими Союззаготтранса совершенно не была обеспечена надлежащая охрана боевой материальной части и военного имущества авиамастерских (ГАСО. Ф. Р-2558. Оп. 6. Д. 87. Л. 91.) (11714).</w:t>
      </w:r>
    </w:p>
    <w:p w14:paraId="78E3309D"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ECCDFE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года на базу бывш. завода № 279 из Ленинграда была эвакуирована оставшаяся часть завода № 218 (другая часть завода № 218 была эвакуирована в Казань, на площадку фабрики по производству кинопленки, позднее организованной в самостоятельный завод № 488), в настоящее время находящийся в Ленинграде на Корпусном шоссе, д. 1А.</w:t>
      </w:r>
    </w:p>
    <w:p w14:paraId="54B7B90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218 (ныне завод № 149) по прибытии в Раменсоке занял территорию, ранее занимаемую заводом № 279.</w:t>
      </w:r>
    </w:p>
    <w:p w14:paraId="274310C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Основным профилем завода является производство и выпуск аэронавигационных и автопилотажных приборов.</w:t>
      </w:r>
    </w:p>
    <w:p w14:paraId="52E748B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Адрес: Раменское Московской области, ул. Сафоновская, д. 49</w:t>
      </w:r>
    </w:p>
    <w:p w14:paraId="0DDE0EB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Производственный профиль – приборостроение</w:t>
      </w:r>
    </w:p>
    <w:p w14:paraId="1AE85C9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Площадка завода расположена в г. Раменское в 46 км от Москвы, в 2-х км от его центра, в 1,5 км от ж/д ст. Раменское. Завод находится на восточной окраине города.</w:t>
      </w:r>
    </w:p>
    <w:p w14:paraId="5F344D2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До 1944 года завод, наряду с выпуском авиационных приборов, выпускал пирометрические и электроизмерительные приборы, производство которых решением Правительства от 13 марта 1943 года и 16 января 1944 года передано на заводы: первое заводу № 218, а второе заводу № 295 с 1946 года (9505).</w:t>
      </w:r>
    </w:p>
    <w:p w14:paraId="74813552" w14:textId="77777777" w:rsidR="00AE7191" w:rsidRPr="001E2C69" w:rsidRDefault="00AE7191" w:rsidP="00722885">
      <w:pPr>
        <w:pStyle w:val="Iauiue"/>
        <w:jc w:val="both"/>
        <w:rPr>
          <w:color w:val="000000" w:themeColor="text1"/>
          <w:sz w:val="16"/>
          <w:szCs w:val="16"/>
        </w:rPr>
      </w:pPr>
    </w:p>
    <w:p w14:paraId="1BE78EA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г. программа государственных испытаний станции Гнейс-2 на Пе-2, которая проводилась в НИИ ВВС в Свердловске с чнваря 1942, была выполнена. Основные результаты оказались, по тем временам, неплохими:</w:t>
      </w:r>
    </w:p>
    <w:p w14:paraId="1D58DD9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дальность обнаружения самолета-бомбардировщика 3500 м;</w:t>
      </w:r>
    </w:p>
    <w:p w14:paraId="753A78F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точность выхода на цель 5 °;</w:t>
      </w:r>
    </w:p>
    <w:p w14:paraId="5F3EBC7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минимальная высота полета при поиске противника 2000 м.</w:t>
      </w:r>
    </w:p>
    <w:p w14:paraId="04D2333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Итоги испытаний были признаны успешными, хотя РЛС и нуждалась в совершенствовании: из 25 выполненных полетов в 5 случаях аппаратура “Гнейс-2” отказывала. Авиация ПВО нуждалась в новой технике (а в 1943 г. в число заказчиков вошли и ВВС ВМФ), и еще до конца испытаний институт начал изготовление 15 предсерийных комплектов станции, которыми были оборудованы самолеты Пе-2 и Пе-3 (4476).</w:t>
      </w:r>
    </w:p>
    <w:p w14:paraId="0F03D871" w14:textId="77777777" w:rsidR="00AE7191" w:rsidRPr="001E2C69" w:rsidRDefault="00AE7191" w:rsidP="00722885">
      <w:pPr>
        <w:pStyle w:val="Iauiue"/>
        <w:jc w:val="both"/>
        <w:rPr>
          <w:color w:val="000000" w:themeColor="text1"/>
          <w:sz w:val="16"/>
          <w:szCs w:val="16"/>
        </w:rPr>
      </w:pPr>
    </w:p>
    <w:p w14:paraId="21932C8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 станция «Гнейс-2» успешно прошла государственные испытания на Пе-2, которые показали следующие результаты:</w:t>
      </w:r>
    </w:p>
    <w:p w14:paraId="261F5FA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дальность обнаружения самолета-бомбардировщика 3500 м;</w:t>
      </w:r>
    </w:p>
    <w:p w14:paraId="1CA651A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точность наведения по угловым координатам ±5°.</w:t>
      </w:r>
    </w:p>
    <w:p w14:paraId="339668E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 ожидая окончания полигонных испытаний изготовили серию в 15 комплектов этих станций для оборудования ими самолетов Пе-2 и Пе-3. Первое боевое применение эти самолеты прошли в конце 1942 г. под Москвой, затем небольшая группа их была направлена под Сталинград для перехвата немецких самолетов, снабжавших окруженную армию Паулюса (11026).</w:t>
      </w:r>
    </w:p>
    <w:p w14:paraId="2C433079"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8A7618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 другая часть завода № 218 эвакуирована на территорию завода № 279 НКАП (г. Раменское), который в 1941 г. уже был эвакуирован в Ижевск. В Раменском завод влит в состав вновь образованного завода № 149 НКАП (10776).</w:t>
      </w:r>
    </w:p>
    <w:p w14:paraId="38557480"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163210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 мощности Уральского завода по производству алюминия были увеличены в два раза. Осенью 1941 года началась эвакуация Волховского алюминиевого и Тихвинского глинозёмного заводов - оборудование предприятий было демонтировано, разделено и отправлено в Свердловск и Каменск-Уральский. Часть техники была доставлена на строительную площадку Богословского завода. Туда же впоследствии привезли установки Днепровского алюминиевого завода, который тоже подвергся срочной эвакуации в 41-м году. Остальную часть оборудования принял Уральский завод - там же разместили днепровскую технику, которая легла в основу второй производственной линии уральского гиганта (12249).</w:t>
      </w:r>
    </w:p>
    <w:p w14:paraId="12F6CACF"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0CF22B2" w14:textId="77777777" w:rsidR="00627011" w:rsidRPr="001E2C69" w:rsidRDefault="00627011" w:rsidP="00722885">
      <w:pPr>
        <w:spacing w:after="0" w:line="240" w:lineRule="auto"/>
        <w:jc w:val="both"/>
        <w:rPr>
          <w:rFonts w:ascii="Times New Roman" w:eastAsia="Times New Roman" w:hAnsi="Times New Roman"/>
          <w:color w:val="000000" w:themeColor="text1"/>
          <w:sz w:val="16"/>
          <w:szCs w:val="16"/>
        </w:rPr>
      </w:pPr>
      <w:r w:rsidRPr="001E2C69">
        <w:rPr>
          <w:rFonts w:ascii="Times New Roman" w:eastAsia="Times New Roman" w:hAnsi="Times New Roman"/>
          <w:color w:val="000000" w:themeColor="text1"/>
          <w:sz w:val="16"/>
          <w:szCs w:val="16"/>
        </w:rPr>
        <w:t>В июле 1942 года по заданию Наркомата минометного вооружения и исходным данным, представленным из Артиллерийского управления ВМФ, была разработана боевая 16-зарядная установка М-13-М, смонтированная на морском бронекатере для пуска снарядов М-13. Она предназначалась для тех же целей, что и установки М-13-МI и М-13-МII.</w:t>
      </w:r>
    </w:p>
    <w:p w14:paraId="4572C2AE" w14:textId="77777777" w:rsidR="00627011" w:rsidRPr="001E2C69" w:rsidRDefault="00627011" w:rsidP="00722885">
      <w:pPr>
        <w:spacing w:after="0" w:line="240" w:lineRule="auto"/>
        <w:jc w:val="both"/>
        <w:rPr>
          <w:rFonts w:ascii="Times New Roman" w:eastAsia="Times New Roman" w:hAnsi="Times New Roman"/>
          <w:color w:val="000000" w:themeColor="text1"/>
          <w:sz w:val="16"/>
          <w:szCs w:val="16"/>
        </w:rPr>
      </w:pPr>
      <w:r w:rsidRPr="001E2C69">
        <w:rPr>
          <w:rFonts w:ascii="Times New Roman" w:eastAsia="Times New Roman" w:hAnsi="Times New Roman"/>
          <w:color w:val="000000" w:themeColor="text1"/>
          <w:sz w:val="16"/>
          <w:szCs w:val="16"/>
        </w:rPr>
        <w:t>Метательная установка установки М-13-М состояла из качающейся части, поворотного устройства, механизмов горизонтального и вертикального наведения, системы прицеливания и электрооборудования. Качающаяся часть – направляющие и ферма – унифицирована с качающейся частью установки М-13, метательная установка которой монтировалась на доработанном шасси трактора СТЗ-5.</w:t>
      </w:r>
    </w:p>
    <w:p w14:paraId="5EA37A01" w14:textId="77777777" w:rsidR="00627011" w:rsidRPr="001E2C69" w:rsidRDefault="00627011" w:rsidP="00722885">
      <w:pPr>
        <w:spacing w:after="0" w:line="240" w:lineRule="auto"/>
        <w:jc w:val="both"/>
        <w:rPr>
          <w:rFonts w:ascii="Times New Roman" w:eastAsia="Times New Roman" w:hAnsi="Times New Roman"/>
          <w:color w:val="000000" w:themeColor="text1"/>
          <w:sz w:val="16"/>
          <w:szCs w:val="16"/>
        </w:rPr>
      </w:pPr>
      <w:r w:rsidRPr="001E2C69">
        <w:rPr>
          <w:rFonts w:ascii="Times New Roman" w:eastAsia="Times New Roman" w:hAnsi="Times New Roman"/>
          <w:color w:val="000000" w:themeColor="text1"/>
          <w:sz w:val="16"/>
          <w:szCs w:val="16"/>
        </w:rPr>
        <w:t>Поворотное устройство было выполнено в виде шарового погона. Нижняя часть погона непосредственно крепилась к палубе бронекатера, а верхняя (вращающаяся) часть состояла из опоры с осью для качающейся части, стойки для крепления качающейся части на походе, приводов механизмов горизонтального и вертикального наведения, прицельного устройства, сиденья для стреляющего и наводчика, крепления аккумуляторных батарей и переключателя типа ПУО. Впервые был применен перископический прицел ПТК, связанный кинематической связью с осью качающейся части.</w:t>
      </w:r>
    </w:p>
    <w:p w14:paraId="408C6EAD" w14:textId="77777777" w:rsidR="00627011" w:rsidRPr="001E2C69" w:rsidRDefault="00627011" w:rsidP="00722885">
      <w:pPr>
        <w:spacing w:after="0" w:line="240" w:lineRule="auto"/>
        <w:jc w:val="both"/>
        <w:rPr>
          <w:rFonts w:ascii="Times New Roman" w:eastAsia="Times New Roman" w:hAnsi="Times New Roman"/>
          <w:color w:val="000000" w:themeColor="text1"/>
          <w:sz w:val="16"/>
          <w:szCs w:val="16"/>
        </w:rPr>
      </w:pPr>
      <w:r w:rsidRPr="001E2C69">
        <w:rPr>
          <w:rFonts w:ascii="Times New Roman" w:eastAsia="Times New Roman" w:hAnsi="Times New Roman"/>
          <w:color w:val="000000" w:themeColor="text1"/>
          <w:sz w:val="16"/>
          <w:szCs w:val="16"/>
        </w:rPr>
        <w:lastRenderedPageBreak/>
        <w:t>Установка М-13-М являлась основным вариантом боевой установки на бронекатере. Для вооружения кораблей Военно-морского флота была изготовлена серия установок М-13-М, которые применялись в Сталинградской битве. После модернизации установки использовались в боевых операциях 1943-1944 годов на Черноморском флоте, Азовской, Днепровской и Дунайской флотилиях (15982).</w:t>
      </w:r>
    </w:p>
    <w:p w14:paraId="667EB56B" w14:textId="77777777" w:rsidR="00627011" w:rsidRPr="001E2C69" w:rsidRDefault="00627011" w:rsidP="00722885">
      <w:pPr>
        <w:spacing w:after="0" w:line="240" w:lineRule="auto"/>
        <w:jc w:val="both"/>
        <w:rPr>
          <w:rFonts w:ascii="Times New Roman" w:eastAsia="Times New Roman" w:hAnsi="Times New Roman"/>
          <w:color w:val="000000" w:themeColor="text1"/>
          <w:sz w:val="16"/>
          <w:szCs w:val="16"/>
        </w:rPr>
      </w:pPr>
    </w:p>
    <w:p w14:paraId="2602AA28" w14:textId="77777777" w:rsidR="00627011" w:rsidRPr="001E2C69" w:rsidRDefault="00627011" w:rsidP="00722885">
      <w:pPr>
        <w:spacing w:after="0" w:line="240" w:lineRule="auto"/>
        <w:jc w:val="both"/>
        <w:rPr>
          <w:rFonts w:ascii="Times New Roman" w:eastAsia="Times New Roman" w:hAnsi="Times New Roman"/>
          <w:color w:val="000000" w:themeColor="text1"/>
          <w:sz w:val="16"/>
          <w:szCs w:val="16"/>
        </w:rPr>
      </w:pPr>
      <w:r w:rsidRPr="001E2C69">
        <w:rPr>
          <w:rFonts w:ascii="Times New Roman" w:eastAsia="Times New Roman" w:hAnsi="Times New Roman"/>
          <w:color w:val="000000" w:themeColor="text1"/>
          <w:sz w:val="16"/>
          <w:szCs w:val="16"/>
        </w:rPr>
        <w:t>В июле 1942 г. в Военный совет ЧФ (ВСЧФ), в Поти, прибыл флагманский артиллерист Новороссийской ВМБ капитан-лейтенант Г.В.Терновский с идеей вооружить торпедные катера (ТК) типа Г-5 и катера малые охотники (МО-2) ракетно-пусковыми установками (РПУ) для снарядов РС 82. Идею поддержал член ВСЧФ дивизионный комиссар Н.М.Кулаков.</w:t>
      </w:r>
    </w:p>
    <w:p w14:paraId="4F4683AB" w14:textId="77777777" w:rsidR="00627011" w:rsidRPr="001E2C69" w:rsidRDefault="00627011" w:rsidP="00722885">
      <w:pPr>
        <w:spacing w:after="0" w:line="240" w:lineRule="auto"/>
        <w:jc w:val="both"/>
        <w:rPr>
          <w:rFonts w:ascii="Times New Roman" w:eastAsia="Times New Roman" w:hAnsi="Times New Roman"/>
          <w:color w:val="000000" w:themeColor="text1"/>
          <w:sz w:val="16"/>
          <w:szCs w:val="16"/>
        </w:rPr>
      </w:pPr>
      <w:r w:rsidRPr="001E2C69">
        <w:rPr>
          <w:rFonts w:ascii="Times New Roman" w:eastAsia="Times New Roman" w:hAnsi="Times New Roman"/>
          <w:color w:val="000000" w:themeColor="text1"/>
          <w:sz w:val="16"/>
          <w:szCs w:val="16"/>
        </w:rPr>
        <w:t>Для реализации идеи требовалось: разработать конструкцию РПУ и выполнить ее рабочие чертежи, по которым на заводе изготовить РПУ, смонтировать ее на ТК, а затем испытать ее в море стрельбой по плавающим мишеням.</w:t>
      </w:r>
    </w:p>
    <w:p w14:paraId="5F36075E" w14:textId="77777777" w:rsidR="00627011" w:rsidRPr="001E2C69" w:rsidRDefault="00627011" w:rsidP="00722885">
      <w:pPr>
        <w:spacing w:after="0" w:line="240" w:lineRule="auto"/>
        <w:jc w:val="both"/>
        <w:rPr>
          <w:rFonts w:ascii="Times New Roman" w:eastAsia="Times New Roman" w:hAnsi="Times New Roman"/>
          <w:color w:val="000000" w:themeColor="text1"/>
          <w:sz w:val="16"/>
          <w:szCs w:val="16"/>
        </w:rPr>
      </w:pPr>
      <w:r w:rsidRPr="001E2C69">
        <w:rPr>
          <w:rFonts w:ascii="Times New Roman" w:eastAsia="Times New Roman" w:hAnsi="Times New Roman"/>
          <w:color w:val="000000" w:themeColor="text1"/>
          <w:sz w:val="16"/>
          <w:szCs w:val="16"/>
        </w:rPr>
        <w:t>Специалисты Артиллерийского отдела ЧФ (АОЧФ) отказались разрабатывать идею.</w:t>
      </w:r>
    </w:p>
    <w:p w14:paraId="36C58F98" w14:textId="77777777" w:rsidR="00627011" w:rsidRPr="001E2C69" w:rsidRDefault="00627011" w:rsidP="00722885">
      <w:pPr>
        <w:spacing w:after="0" w:line="240" w:lineRule="auto"/>
        <w:jc w:val="both"/>
        <w:rPr>
          <w:rFonts w:ascii="Times New Roman" w:eastAsia="Times New Roman" w:hAnsi="Times New Roman"/>
          <w:color w:val="000000" w:themeColor="text1"/>
          <w:sz w:val="16"/>
          <w:szCs w:val="16"/>
        </w:rPr>
      </w:pPr>
      <w:r w:rsidRPr="001E2C69">
        <w:rPr>
          <w:rFonts w:ascii="Times New Roman" w:eastAsia="Times New Roman" w:hAnsi="Times New Roman"/>
          <w:color w:val="000000" w:themeColor="text1"/>
          <w:sz w:val="16"/>
          <w:szCs w:val="16"/>
        </w:rPr>
        <w:t>В Техническом отделе ЧФ идею поддержали начальник ТОЧФ, капитан 1 ранга И.С.Стеценко и я - начальник КБ, инженер-конструктор, воентехник 2 ранга Ю.Д.Первицкий.</w:t>
      </w:r>
    </w:p>
    <w:p w14:paraId="54228A04" w14:textId="77777777" w:rsidR="00627011" w:rsidRPr="001E2C69" w:rsidRDefault="00627011" w:rsidP="00722885">
      <w:pPr>
        <w:spacing w:after="0" w:line="240" w:lineRule="auto"/>
        <w:jc w:val="both"/>
        <w:rPr>
          <w:rFonts w:ascii="Times New Roman" w:eastAsia="Times New Roman" w:hAnsi="Times New Roman"/>
          <w:color w:val="000000" w:themeColor="text1"/>
          <w:sz w:val="16"/>
          <w:szCs w:val="16"/>
        </w:rPr>
      </w:pPr>
      <w:r w:rsidRPr="001E2C69">
        <w:rPr>
          <w:rFonts w:ascii="Times New Roman" w:eastAsia="Times New Roman" w:hAnsi="Times New Roman"/>
          <w:color w:val="000000" w:themeColor="text1"/>
          <w:sz w:val="16"/>
          <w:szCs w:val="16"/>
        </w:rPr>
        <w:t>Работа начиналась с обстоятельного обсуждения с Г.В.Терновским тактико-технических условий и требований, предъявляемых к ракетно-пусковым установкам (РПУ) для катеров.</w:t>
      </w:r>
    </w:p>
    <w:p w14:paraId="4C15A673" w14:textId="53EB220E" w:rsidR="00627011" w:rsidRPr="001E2C69" w:rsidRDefault="00627011" w:rsidP="00722885">
      <w:pPr>
        <w:spacing w:after="0" w:line="240" w:lineRule="auto"/>
        <w:jc w:val="both"/>
        <w:rPr>
          <w:rFonts w:ascii="Times New Roman" w:eastAsia="Times New Roman" w:hAnsi="Times New Roman"/>
          <w:color w:val="000000" w:themeColor="text1"/>
          <w:sz w:val="16"/>
          <w:szCs w:val="16"/>
        </w:rPr>
      </w:pPr>
      <w:r w:rsidRPr="001E2C69">
        <w:rPr>
          <w:rFonts w:ascii="Times New Roman" w:eastAsia="Times New Roman" w:hAnsi="Times New Roman"/>
          <w:color w:val="000000" w:themeColor="text1"/>
          <w:sz w:val="16"/>
          <w:szCs w:val="16"/>
        </w:rPr>
        <w:t>Ракетно-пусковая установка располагалась перед рубкой катера.</w:t>
      </w:r>
      <w:r w:rsidR="001E2C69">
        <w:rPr>
          <w:rFonts w:ascii="Times New Roman" w:eastAsia="Times New Roman" w:hAnsi="Times New Roman"/>
          <w:color w:val="000000" w:themeColor="text1"/>
          <w:sz w:val="16"/>
          <w:szCs w:val="16"/>
        </w:rPr>
        <w:t xml:space="preserve">   </w:t>
      </w:r>
      <w:r w:rsidRPr="001E2C69">
        <w:rPr>
          <w:rFonts w:ascii="Times New Roman" w:eastAsia="Times New Roman" w:hAnsi="Times New Roman"/>
          <w:color w:val="000000" w:themeColor="text1"/>
          <w:sz w:val="16"/>
          <w:szCs w:val="16"/>
        </w:rPr>
        <w:t xml:space="preserve">Такое </w:t>
      </w:r>
      <w:r w:rsidR="001E2C69">
        <w:rPr>
          <w:rFonts w:ascii="Times New Roman" w:eastAsia="Times New Roman" w:hAnsi="Times New Roman"/>
          <w:color w:val="000000" w:themeColor="text1"/>
          <w:sz w:val="16"/>
          <w:szCs w:val="16"/>
        </w:rPr>
        <w:t xml:space="preserve">   </w:t>
      </w:r>
      <w:r w:rsidRPr="001E2C69">
        <w:rPr>
          <w:rFonts w:ascii="Times New Roman" w:eastAsia="Times New Roman" w:hAnsi="Times New Roman"/>
          <w:color w:val="000000" w:themeColor="text1"/>
          <w:sz w:val="16"/>
          <w:szCs w:val="16"/>
        </w:rPr>
        <w:t>решение было вынужденным, т.к. вся кормовая часть ТК занята двумя торпедными аппаратами с торпедами, крупнокалиберными пулеметами ДШК и другим оборудованием. Это исключало возможность стрельбы РС 82 при движении ТК вперед, из-за опасности попадания в рубку «хвоста» выхлопных газов РС 82. Перед стрельбой направляющие для РС 82 («стволы») устанавливались под углом 30</w:t>
      </w:r>
      <w:r w:rsidRPr="001E2C69">
        <w:rPr>
          <w:rFonts w:ascii="Times New Roman" w:eastAsia="Times New Roman" w:hAnsi="Times New Roman"/>
          <w:color w:val="000000" w:themeColor="text1"/>
          <w:sz w:val="16"/>
          <w:szCs w:val="16"/>
          <w:vertAlign w:val="superscript"/>
        </w:rPr>
        <w:t>0</w:t>
      </w:r>
      <w:r w:rsidRPr="001E2C69">
        <w:rPr>
          <w:rFonts w:ascii="Times New Roman" w:eastAsia="Times New Roman" w:hAnsi="Times New Roman"/>
          <w:color w:val="000000" w:themeColor="text1"/>
          <w:sz w:val="16"/>
          <w:szCs w:val="16"/>
        </w:rPr>
        <w:t>, 45</w:t>
      </w:r>
      <w:r w:rsidRPr="001E2C69">
        <w:rPr>
          <w:rFonts w:ascii="Times New Roman" w:eastAsia="Times New Roman" w:hAnsi="Times New Roman"/>
          <w:color w:val="000000" w:themeColor="text1"/>
          <w:sz w:val="16"/>
          <w:szCs w:val="16"/>
          <w:vertAlign w:val="superscript"/>
        </w:rPr>
        <w:t>0</w:t>
      </w:r>
      <w:r w:rsidRPr="001E2C69">
        <w:rPr>
          <w:rFonts w:ascii="Times New Roman" w:eastAsia="Times New Roman" w:hAnsi="Times New Roman"/>
          <w:color w:val="000000" w:themeColor="text1"/>
          <w:sz w:val="16"/>
          <w:szCs w:val="16"/>
        </w:rPr>
        <w:t>, 60</w:t>
      </w:r>
      <w:r w:rsidRPr="001E2C69">
        <w:rPr>
          <w:rFonts w:ascii="Times New Roman" w:eastAsia="Times New Roman" w:hAnsi="Times New Roman"/>
          <w:color w:val="000000" w:themeColor="text1"/>
          <w:sz w:val="16"/>
          <w:szCs w:val="16"/>
          <w:vertAlign w:val="superscript"/>
        </w:rPr>
        <w:t>0</w:t>
      </w:r>
      <w:r w:rsidRPr="001E2C69">
        <w:rPr>
          <w:rFonts w:ascii="Times New Roman" w:eastAsia="Times New Roman" w:hAnsi="Times New Roman"/>
          <w:color w:val="000000" w:themeColor="text1"/>
          <w:sz w:val="16"/>
          <w:szCs w:val="16"/>
        </w:rPr>
        <w:t xml:space="preserve"> или 90</w:t>
      </w:r>
      <w:r w:rsidRPr="001E2C69">
        <w:rPr>
          <w:rFonts w:ascii="Times New Roman" w:eastAsia="Times New Roman" w:hAnsi="Times New Roman"/>
          <w:color w:val="000000" w:themeColor="text1"/>
          <w:sz w:val="16"/>
          <w:szCs w:val="16"/>
          <w:vertAlign w:val="superscript"/>
        </w:rPr>
        <w:t>0</w:t>
      </w:r>
      <w:r w:rsidRPr="001E2C69">
        <w:rPr>
          <w:rFonts w:ascii="Times New Roman" w:eastAsia="Times New Roman" w:hAnsi="Times New Roman"/>
          <w:color w:val="000000" w:themeColor="text1"/>
          <w:sz w:val="16"/>
          <w:szCs w:val="16"/>
        </w:rPr>
        <w:t xml:space="preserve"> относительно оси катера, чтобы выхлопы РС 82 направлялись за правый или левый борт ТК. При выходе катера на позицию в точку для стрельбы, командир ТК давал команду мотористу «стоп», «малый назад», (чтобы катер слушался руля), затем осуществлялась наводка направляющих РПУ на цель требуемым расположением катера в зависимости от углов 30</w:t>
      </w:r>
      <w:r w:rsidRPr="001E2C69">
        <w:rPr>
          <w:rFonts w:ascii="Times New Roman" w:eastAsia="Times New Roman" w:hAnsi="Times New Roman"/>
          <w:color w:val="000000" w:themeColor="text1"/>
          <w:sz w:val="16"/>
          <w:szCs w:val="16"/>
          <w:vertAlign w:val="superscript"/>
        </w:rPr>
        <w:t>0</w:t>
      </w:r>
      <w:r w:rsidRPr="001E2C69">
        <w:rPr>
          <w:rFonts w:ascii="Times New Roman" w:eastAsia="Times New Roman" w:hAnsi="Times New Roman"/>
          <w:color w:val="000000" w:themeColor="text1"/>
          <w:sz w:val="16"/>
          <w:szCs w:val="16"/>
        </w:rPr>
        <w:t>, 45</w:t>
      </w:r>
      <w:r w:rsidRPr="001E2C69">
        <w:rPr>
          <w:rFonts w:ascii="Times New Roman" w:eastAsia="Times New Roman" w:hAnsi="Times New Roman"/>
          <w:color w:val="000000" w:themeColor="text1"/>
          <w:sz w:val="16"/>
          <w:szCs w:val="16"/>
          <w:vertAlign w:val="superscript"/>
        </w:rPr>
        <w:t>0</w:t>
      </w:r>
      <w:r w:rsidRPr="001E2C69">
        <w:rPr>
          <w:rFonts w:ascii="Times New Roman" w:eastAsia="Times New Roman" w:hAnsi="Times New Roman"/>
          <w:color w:val="000000" w:themeColor="text1"/>
          <w:sz w:val="16"/>
          <w:szCs w:val="16"/>
        </w:rPr>
        <w:t>, 60</w:t>
      </w:r>
      <w:r w:rsidRPr="001E2C69">
        <w:rPr>
          <w:rFonts w:ascii="Times New Roman" w:eastAsia="Times New Roman" w:hAnsi="Times New Roman"/>
          <w:color w:val="000000" w:themeColor="text1"/>
          <w:sz w:val="16"/>
          <w:szCs w:val="16"/>
          <w:vertAlign w:val="superscript"/>
        </w:rPr>
        <w:t>0</w:t>
      </w:r>
      <w:r w:rsidRPr="001E2C69">
        <w:rPr>
          <w:rFonts w:ascii="Times New Roman" w:eastAsia="Times New Roman" w:hAnsi="Times New Roman"/>
          <w:color w:val="000000" w:themeColor="text1"/>
          <w:sz w:val="16"/>
          <w:szCs w:val="16"/>
        </w:rPr>
        <w:t xml:space="preserve"> или 90</w:t>
      </w:r>
      <w:r w:rsidRPr="001E2C69">
        <w:rPr>
          <w:rFonts w:ascii="Times New Roman" w:eastAsia="Times New Roman" w:hAnsi="Times New Roman"/>
          <w:color w:val="000000" w:themeColor="text1"/>
          <w:sz w:val="16"/>
          <w:szCs w:val="16"/>
          <w:vertAlign w:val="superscript"/>
        </w:rPr>
        <w:t>0</w:t>
      </w:r>
      <w:r w:rsidRPr="001E2C69">
        <w:rPr>
          <w:rFonts w:ascii="Times New Roman" w:eastAsia="Times New Roman" w:hAnsi="Times New Roman"/>
          <w:color w:val="000000" w:themeColor="text1"/>
          <w:sz w:val="16"/>
          <w:szCs w:val="16"/>
        </w:rPr>
        <w:t>, и производился пристрелочный пуск первого РС 82, а после корректировки угла места направляющих (из рубки) давался залп, или очередь, РС 82 для поражения цели. Затем - «полный вперед»!</w:t>
      </w:r>
    </w:p>
    <w:p w14:paraId="759F724D" w14:textId="00649BBB" w:rsidR="00627011" w:rsidRPr="001E2C69" w:rsidRDefault="00627011" w:rsidP="00722885">
      <w:pPr>
        <w:spacing w:after="0" w:line="240" w:lineRule="auto"/>
        <w:jc w:val="both"/>
        <w:rPr>
          <w:rFonts w:ascii="Times New Roman" w:eastAsia="Times New Roman" w:hAnsi="Times New Roman"/>
          <w:color w:val="000000" w:themeColor="text1"/>
          <w:sz w:val="16"/>
          <w:szCs w:val="16"/>
        </w:rPr>
      </w:pPr>
      <w:r w:rsidRPr="001E2C69">
        <w:rPr>
          <w:rFonts w:ascii="Times New Roman" w:eastAsia="Times New Roman" w:hAnsi="Times New Roman"/>
          <w:color w:val="000000" w:themeColor="text1"/>
          <w:sz w:val="16"/>
          <w:szCs w:val="16"/>
        </w:rPr>
        <w:t>Безопасность стрельбы для команды ТК обеспечивалась автоматической электроблокировкой пускового устройства (ПУ) и положения машинного телеграфа. При нажиме на кнопку «Пуск» выстрел мог осуществляться только при положении машинного телеграфа - «малый назад» или «назад». Только командир катера, непосредственно перед стрельбой, мог включать пусковое устройство специальным ключом КПУ, как у автомобиля.</w:t>
      </w:r>
      <w:r w:rsidR="001E2C69">
        <w:rPr>
          <w:rFonts w:ascii="Times New Roman" w:eastAsia="Times New Roman" w:hAnsi="Times New Roman"/>
          <w:color w:val="000000" w:themeColor="text1"/>
          <w:sz w:val="16"/>
          <w:szCs w:val="16"/>
        </w:rPr>
        <w:t xml:space="preserve">   </w:t>
      </w:r>
    </w:p>
    <w:p w14:paraId="00F0DCBA" w14:textId="404BA47D" w:rsidR="00627011" w:rsidRPr="001E2C69" w:rsidRDefault="00627011" w:rsidP="00722885">
      <w:pPr>
        <w:spacing w:after="0" w:line="240" w:lineRule="auto"/>
        <w:jc w:val="both"/>
        <w:rPr>
          <w:rFonts w:ascii="Times New Roman" w:eastAsia="Times New Roman" w:hAnsi="Times New Roman"/>
          <w:color w:val="000000" w:themeColor="text1"/>
          <w:sz w:val="16"/>
          <w:szCs w:val="16"/>
        </w:rPr>
      </w:pPr>
      <w:r w:rsidRPr="001E2C69">
        <w:rPr>
          <w:rFonts w:ascii="Times New Roman" w:eastAsia="Times New Roman" w:hAnsi="Times New Roman"/>
          <w:color w:val="000000" w:themeColor="text1"/>
          <w:sz w:val="16"/>
          <w:szCs w:val="16"/>
        </w:rPr>
        <w:t>Для обеспечения достаточно высокой точности поражения цели я разработал конструкцию ртутного автоматического устройства (РАУ), обеспечивающего пуск РС 82 только в момент, когда качающийся на волнах катер имеет крен и дифферент близкие к нулю.</w:t>
      </w:r>
      <w:r w:rsidR="001E2C69">
        <w:rPr>
          <w:rFonts w:ascii="Times New Roman" w:eastAsia="Times New Roman" w:hAnsi="Times New Roman"/>
          <w:color w:val="000000" w:themeColor="text1"/>
          <w:sz w:val="16"/>
          <w:szCs w:val="16"/>
        </w:rPr>
        <w:t xml:space="preserve">   </w:t>
      </w:r>
    </w:p>
    <w:p w14:paraId="33507CA6" w14:textId="77777777" w:rsidR="00627011" w:rsidRPr="001E2C69" w:rsidRDefault="00627011" w:rsidP="00722885">
      <w:pPr>
        <w:spacing w:after="0" w:line="240" w:lineRule="auto"/>
        <w:jc w:val="both"/>
        <w:rPr>
          <w:rFonts w:ascii="Times New Roman" w:eastAsia="Times New Roman" w:hAnsi="Times New Roman"/>
          <w:color w:val="000000" w:themeColor="text1"/>
          <w:sz w:val="16"/>
          <w:szCs w:val="16"/>
        </w:rPr>
      </w:pPr>
      <w:r w:rsidRPr="001E2C69">
        <w:rPr>
          <w:rFonts w:ascii="Times New Roman" w:eastAsia="Times New Roman" w:hAnsi="Times New Roman"/>
          <w:color w:val="000000" w:themeColor="text1"/>
          <w:sz w:val="16"/>
          <w:szCs w:val="16"/>
        </w:rPr>
        <w:t>Конструкция РАУ, последовательно включенного в электроцепь зажигания запала для РС 82, состояла из двух стеклянных V-образных трубок, заполненных ртутью и расположенных в вертикальных плоскостях крена и дифферента, т.е. под углом 90</w:t>
      </w:r>
      <w:r w:rsidRPr="001E2C69">
        <w:rPr>
          <w:rFonts w:ascii="Times New Roman" w:eastAsia="Times New Roman" w:hAnsi="Times New Roman"/>
          <w:color w:val="000000" w:themeColor="text1"/>
          <w:sz w:val="16"/>
          <w:szCs w:val="16"/>
          <w:vertAlign w:val="superscript"/>
        </w:rPr>
        <w:t>0</w:t>
      </w:r>
      <w:r w:rsidRPr="001E2C69">
        <w:rPr>
          <w:rFonts w:ascii="Times New Roman" w:eastAsia="Times New Roman" w:hAnsi="Times New Roman"/>
          <w:color w:val="000000" w:themeColor="text1"/>
          <w:sz w:val="16"/>
          <w:szCs w:val="16"/>
        </w:rPr>
        <w:t>. В четыре пробирки трубок ввинчены регулируемые контакты. При нажатии кнопки «Пуск» электроцепь запала для РС 82 автоматически замыкалась только при крене и дифференте катера близких к нулю, т.е. в момент, когда все четыре контакта касаются ртути.</w:t>
      </w:r>
    </w:p>
    <w:p w14:paraId="31CAC52C" w14:textId="77777777" w:rsidR="00627011" w:rsidRPr="001E2C69" w:rsidRDefault="00627011" w:rsidP="00722885">
      <w:pPr>
        <w:spacing w:after="0" w:line="240" w:lineRule="auto"/>
        <w:jc w:val="both"/>
        <w:rPr>
          <w:rFonts w:ascii="Times New Roman" w:eastAsia="Times New Roman" w:hAnsi="Times New Roman"/>
          <w:color w:val="000000" w:themeColor="text1"/>
          <w:sz w:val="16"/>
          <w:szCs w:val="16"/>
        </w:rPr>
      </w:pPr>
      <w:r w:rsidRPr="001E2C69">
        <w:rPr>
          <w:rFonts w:ascii="Times New Roman" w:eastAsia="Times New Roman" w:hAnsi="Times New Roman"/>
          <w:color w:val="000000" w:themeColor="text1"/>
          <w:sz w:val="16"/>
          <w:szCs w:val="16"/>
        </w:rPr>
        <w:t>После этого разработали Тактико-технические задания (ТТЗ) на опытно-конструкторскую разработку шестиснарядных РПУ-6 для ТК и для МО-2, доложили в ВСЧФ дивизионному комиссару Н.М.Кулакову и получили «добро».</w:t>
      </w:r>
    </w:p>
    <w:p w14:paraId="4AFAF84C" w14:textId="77777777" w:rsidR="00627011" w:rsidRPr="001E2C69" w:rsidRDefault="00627011" w:rsidP="00722885">
      <w:pPr>
        <w:spacing w:after="0" w:line="240" w:lineRule="auto"/>
        <w:jc w:val="both"/>
        <w:rPr>
          <w:rFonts w:ascii="Times New Roman" w:eastAsia="Times New Roman" w:hAnsi="Times New Roman"/>
          <w:color w:val="000000" w:themeColor="text1"/>
          <w:sz w:val="16"/>
          <w:szCs w:val="16"/>
        </w:rPr>
      </w:pPr>
      <w:r w:rsidRPr="001E2C69">
        <w:rPr>
          <w:rFonts w:ascii="Times New Roman" w:eastAsia="Times New Roman" w:hAnsi="Times New Roman"/>
          <w:color w:val="000000" w:themeColor="text1"/>
          <w:sz w:val="16"/>
          <w:szCs w:val="16"/>
        </w:rPr>
        <w:t>В соответствии с ТТЗ была разработана конструкция шестиснарядной РПУ-6 для ТК типа Г-5. Она монтировалась на палубе перед рубкой катера. На круглой станине устанавливалось опорное кольцо, к которому шарнирно крепилась рама с шесттью направляющими для РС 82. На каждой трубе с направляющими закреплялся пиропистолет с герменическим замком, защищающим электроконтакты и пиропатрон запала РС 82 от попадания морской воды и коррозии. Над четырьмя и под дву3мя направляющими, для надежности и безопасности закрепления РС 82 в походном положении, предусмотрены две рамки с соединительной планкой и пружинным устройством, которое фиксировало РС 82 в исходном положении и придерживало его «на старте» в начальный момент пуска. При зарядке РПУ-6, при повернутом на 80</w:t>
      </w:r>
      <w:r w:rsidRPr="001E2C69">
        <w:rPr>
          <w:rFonts w:ascii="Times New Roman" w:eastAsia="Times New Roman" w:hAnsi="Times New Roman"/>
          <w:color w:val="000000" w:themeColor="text1"/>
          <w:sz w:val="16"/>
          <w:szCs w:val="16"/>
          <w:vertAlign w:val="superscript"/>
        </w:rPr>
        <w:t>0</w:t>
      </w:r>
      <w:r w:rsidRPr="001E2C69">
        <w:rPr>
          <w:rFonts w:ascii="Times New Roman" w:eastAsia="Times New Roman" w:hAnsi="Times New Roman"/>
          <w:color w:val="000000" w:themeColor="text1"/>
          <w:sz w:val="16"/>
          <w:szCs w:val="16"/>
        </w:rPr>
        <w:t xml:space="preserve"> пиропистолете, снаряд РС 82 вводился в направляющие и фиксировался на них в исходном положении пружинной защелкой. Затем пиропистолет с новым пиропатроном -запалом для РС 82 закреплялся на своем месте защелкой и герметизирующим гаечным замком. Направляющие с опорным кольцом могли поворачиваться зубчатым механизмом и фиксироваться стопором на станине под углами: 30</w:t>
      </w:r>
      <w:r w:rsidRPr="001E2C69">
        <w:rPr>
          <w:rFonts w:ascii="Times New Roman" w:eastAsia="Times New Roman" w:hAnsi="Times New Roman"/>
          <w:color w:val="000000" w:themeColor="text1"/>
          <w:sz w:val="16"/>
          <w:szCs w:val="16"/>
          <w:vertAlign w:val="superscript"/>
        </w:rPr>
        <w:t>0</w:t>
      </w:r>
      <w:r w:rsidRPr="001E2C69">
        <w:rPr>
          <w:rFonts w:ascii="Times New Roman" w:eastAsia="Times New Roman" w:hAnsi="Times New Roman"/>
          <w:color w:val="000000" w:themeColor="text1"/>
          <w:sz w:val="16"/>
          <w:szCs w:val="16"/>
        </w:rPr>
        <w:t>, 45</w:t>
      </w:r>
      <w:r w:rsidRPr="001E2C69">
        <w:rPr>
          <w:rFonts w:ascii="Times New Roman" w:eastAsia="Times New Roman" w:hAnsi="Times New Roman"/>
          <w:color w:val="000000" w:themeColor="text1"/>
          <w:sz w:val="16"/>
          <w:szCs w:val="16"/>
          <w:vertAlign w:val="superscript"/>
        </w:rPr>
        <w:t>0</w:t>
      </w:r>
      <w:r w:rsidRPr="001E2C69">
        <w:rPr>
          <w:rFonts w:ascii="Times New Roman" w:eastAsia="Times New Roman" w:hAnsi="Times New Roman"/>
          <w:color w:val="000000" w:themeColor="text1"/>
          <w:sz w:val="16"/>
          <w:szCs w:val="16"/>
        </w:rPr>
        <w:t>, 60</w:t>
      </w:r>
      <w:r w:rsidRPr="001E2C69">
        <w:rPr>
          <w:rFonts w:ascii="Times New Roman" w:eastAsia="Times New Roman" w:hAnsi="Times New Roman"/>
          <w:color w:val="000000" w:themeColor="text1"/>
          <w:sz w:val="16"/>
          <w:szCs w:val="16"/>
          <w:vertAlign w:val="superscript"/>
        </w:rPr>
        <w:t>0</w:t>
      </w:r>
      <w:r w:rsidRPr="001E2C69">
        <w:rPr>
          <w:rFonts w:ascii="Times New Roman" w:eastAsia="Times New Roman" w:hAnsi="Times New Roman"/>
          <w:color w:val="000000" w:themeColor="text1"/>
          <w:sz w:val="16"/>
          <w:szCs w:val="16"/>
        </w:rPr>
        <w:t xml:space="preserve"> и 90</w:t>
      </w:r>
      <w:r w:rsidRPr="001E2C69">
        <w:rPr>
          <w:rFonts w:ascii="Times New Roman" w:eastAsia="Times New Roman" w:hAnsi="Times New Roman"/>
          <w:color w:val="000000" w:themeColor="text1"/>
          <w:sz w:val="16"/>
          <w:szCs w:val="16"/>
          <w:vertAlign w:val="superscript"/>
        </w:rPr>
        <w:t>0</w:t>
      </w:r>
      <w:r w:rsidRPr="001E2C69">
        <w:rPr>
          <w:rFonts w:ascii="Times New Roman" w:eastAsia="Times New Roman" w:hAnsi="Times New Roman"/>
          <w:color w:val="000000" w:themeColor="text1"/>
          <w:sz w:val="16"/>
          <w:szCs w:val="16"/>
        </w:rPr>
        <w:t xml:space="preserve"> к продольной оси катера механиком из моторного отделения. Угол места направляющих устанавливался и после пристрелки корректировался посредством специального механизма, путем вращения маховичка со шкалой из рубки ТК.</w:t>
      </w:r>
    </w:p>
    <w:p w14:paraId="19144C7F" w14:textId="77777777" w:rsidR="00627011" w:rsidRPr="001E2C69" w:rsidRDefault="00627011" w:rsidP="00722885">
      <w:pPr>
        <w:spacing w:after="0" w:line="240" w:lineRule="auto"/>
        <w:jc w:val="both"/>
        <w:rPr>
          <w:rFonts w:ascii="Times New Roman" w:eastAsia="Times New Roman" w:hAnsi="Times New Roman"/>
          <w:color w:val="000000" w:themeColor="text1"/>
          <w:sz w:val="16"/>
          <w:szCs w:val="16"/>
        </w:rPr>
      </w:pPr>
      <w:r w:rsidRPr="001E2C69">
        <w:rPr>
          <w:rFonts w:ascii="Times New Roman" w:eastAsia="Times New Roman" w:hAnsi="Times New Roman"/>
          <w:color w:val="000000" w:themeColor="text1"/>
          <w:sz w:val="16"/>
          <w:szCs w:val="16"/>
        </w:rPr>
        <w:t>При наводке на цель определялась дистанция до цели, а затем по баллистической таблице для стрельбы РС 82 определялась величина угла места. Наводка на цель по курсовому углу осуществлялась по визиру для торпедной стрельбы. Курсовой угол определялся посредством специальных таблиц с учетом угла установки направляющих (30</w:t>
      </w:r>
      <w:r w:rsidRPr="001E2C69">
        <w:rPr>
          <w:rFonts w:ascii="Times New Roman" w:eastAsia="Times New Roman" w:hAnsi="Times New Roman"/>
          <w:color w:val="000000" w:themeColor="text1"/>
          <w:sz w:val="16"/>
          <w:szCs w:val="16"/>
          <w:vertAlign w:val="superscript"/>
        </w:rPr>
        <w:t>0</w:t>
      </w:r>
      <w:r w:rsidRPr="001E2C69">
        <w:rPr>
          <w:rFonts w:ascii="Times New Roman" w:eastAsia="Times New Roman" w:hAnsi="Times New Roman"/>
          <w:color w:val="000000" w:themeColor="text1"/>
          <w:sz w:val="16"/>
          <w:szCs w:val="16"/>
        </w:rPr>
        <w:t>, 45</w:t>
      </w:r>
      <w:r w:rsidRPr="001E2C69">
        <w:rPr>
          <w:rFonts w:ascii="Times New Roman" w:eastAsia="Times New Roman" w:hAnsi="Times New Roman"/>
          <w:color w:val="000000" w:themeColor="text1"/>
          <w:sz w:val="16"/>
          <w:szCs w:val="16"/>
          <w:vertAlign w:val="superscript"/>
        </w:rPr>
        <w:t>0</w:t>
      </w:r>
      <w:r w:rsidRPr="001E2C69">
        <w:rPr>
          <w:rFonts w:ascii="Times New Roman" w:eastAsia="Times New Roman" w:hAnsi="Times New Roman"/>
          <w:color w:val="000000" w:themeColor="text1"/>
          <w:sz w:val="16"/>
          <w:szCs w:val="16"/>
        </w:rPr>
        <w:t>, 60</w:t>
      </w:r>
      <w:r w:rsidRPr="001E2C69">
        <w:rPr>
          <w:rFonts w:ascii="Times New Roman" w:eastAsia="Times New Roman" w:hAnsi="Times New Roman"/>
          <w:color w:val="000000" w:themeColor="text1"/>
          <w:sz w:val="16"/>
          <w:szCs w:val="16"/>
          <w:vertAlign w:val="superscript"/>
        </w:rPr>
        <w:t>0</w:t>
      </w:r>
      <w:r w:rsidRPr="001E2C69">
        <w:rPr>
          <w:rFonts w:ascii="Times New Roman" w:eastAsia="Times New Roman" w:hAnsi="Times New Roman"/>
          <w:color w:val="000000" w:themeColor="text1"/>
          <w:sz w:val="16"/>
          <w:szCs w:val="16"/>
        </w:rPr>
        <w:t xml:space="preserve"> или 90</w:t>
      </w:r>
      <w:r w:rsidRPr="001E2C69">
        <w:rPr>
          <w:rFonts w:ascii="Times New Roman" w:eastAsia="Times New Roman" w:hAnsi="Times New Roman"/>
          <w:color w:val="000000" w:themeColor="text1"/>
          <w:sz w:val="16"/>
          <w:szCs w:val="16"/>
          <w:vertAlign w:val="superscript"/>
        </w:rPr>
        <w:t>0</w:t>
      </w:r>
      <w:r w:rsidRPr="001E2C69">
        <w:rPr>
          <w:rFonts w:ascii="Times New Roman" w:eastAsia="Times New Roman" w:hAnsi="Times New Roman"/>
          <w:color w:val="000000" w:themeColor="text1"/>
          <w:sz w:val="16"/>
          <w:szCs w:val="16"/>
        </w:rPr>
        <w:t>), курсов и скоростей цели и катера.</w:t>
      </w:r>
    </w:p>
    <w:p w14:paraId="3AC76DDE" w14:textId="77777777" w:rsidR="00627011" w:rsidRPr="001E2C69" w:rsidRDefault="00627011" w:rsidP="00722885">
      <w:pPr>
        <w:spacing w:after="0" w:line="240" w:lineRule="auto"/>
        <w:jc w:val="both"/>
        <w:rPr>
          <w:rFonts w:ascii="Times New Roman" w:eastAsia="Times New Roman" w:hAnsi="Times New Roman"/>
          <w:color w:val="000000" w:themeColor="text1"/>
          <w:sz w:val="16"/>
          <w:szCs w:val="16"/>
        </w:rPr>
      </w:pPr>
      <w:r w:rsidRPr="001E2C69">
        <w:rPr>
          <w:rFonts w:ascii="Times New Roman" w:eastAsia="Times New Roman" w:hAnsi="Times New Roman"/>
          <w:color w:val="000000" w:themeColor="text1"/>
          <w:sz w:val="16"/>
          <w:szCs w:val="16"/>
        </w:rPr>
        <w:t>После установки требуемого угла места, и в походном состоянии, для устранения люфтов (и ударов) в винтовой паре и шарнирах механизма предусмотрено люфтовыбирающее устройство, состоящее из пружины-амортизатора, троса и винтового механизма, посредством которого из моторного отделения ТК трос натягивался.</w:t>
      </w:r>
    </w:p>
    <w:p w14:paraId="0FCEAD4D" w14:textId="54F74FFD" w:rsidR="00627011" w:rsidRPr="001E2C69" w:rsidRDefault="00627011" w:rsidP="00722885">
      <w:pPr>
        <w:spacing w:after="0" w:line="240" w:lineRule="auto"/>
        <w:jc w:val="both"/>
        <w:rPr>
          <w:rFonts w:ascii="Times New Roman" w:eastAsia="Times New Roman" w:hAnsi="Times New Roman"/>
          <w:color w:val="000000" w:themeColor="text1"/>
          <w:sz w:val="16"/>
          <w:szCs w:val="16"/>
        </w:rPr>
      </w:pPr>
      <w:r w:rsidRPr="001E2C69">
        <w:rPr>
          <w:rFonts w:ascii="Times New Roman" w:eastAsia="Times New Roman" w:hAnsi="Times New Roman"/>
          <w:color w:val="000000" w:themeColor="text1"/>
          <w:sz w:val="16"/>
          <w:szCs w:val="16"/>
        </w:rPr>
        <w:t>Выстрел происходил при нажатой кнопке «Пуск» на пульте управления только тогда, когда крен и дифферент качающегося катера оказывались близкими к нулю, т.е. в момент когда автоматическое устройство (РАУ) замыкало цепь запала РС 82. При этом пусковое устройство (ПУ) должно быть включено в цепь питания ключом (КПУ), а машинный телеграф (МТ) катера находиться в положении «малый назад» или «назад».</w:t>
      </w:r>
      <w:r w:rsidR="001E2C69">
        <w:rPr>
          <w:rFonts w:ascii="Times New Roman" w:eastAsia="Times New Roman" w:hAnsi="Times New Roman"/>
          <w:color w:val="000000" w:themeColor="text1"/>
          <w:sz w:val="16"/>
          <w:szCs w:val="16"/>
        </w:rPr>
        <w:t xml:space="preserve">   </w:t>
      </w:r>
    </w:p>
    <w:p w14:paraId="06DB19AD" w14:textId="77777777" w:rsidR="00627011" w:rsidRPr="001E2C69" w:rsidRDefault="00627011" w:rsidP="00722885">
      <w:pPr>
        <w:spacing w:after="0" w:line="240" w:lineRule="auto"/>
        <w:jc w:val="both"/>
        <w:rPr>
          <w:rFonts w:ascii="Times New Roman" w:eastAsia="Times New Roman" w:hAnsi="Times New Roman"/>
          <w:color w:val="000000" w:themeColor="text1"/>
          <w:sz w:val="16"/>
          <w:szCs w:val="16"/>
        </w:rPr>
      </w:pPr>
      <w:r w:rsidRPr="001E2C69">
        <w:rPr>
          <w:rFonts w:ascii="Times New Roman" w:eastAsia="Times New Roman" w:hAnsi="Times New Roman"/>
          <w:color w:val="000000" w:themeColor="text1"/>
          <w:sz w:val="16"/>
          <w:szCs w:val="16"/>
        </w:rPr>
        <w:t>В соответствии со вторым ТТЗ была разработана конструкция РПУ-6 для катера-охотника типа МО-2, которая навешивалась и закреплялась на откатнике 45-мм пушки, имеющейся на катере. Справа и слева от ствола пушки располагалось по три направляющих для РС 82. Конструкция остальных узлов такая же как и у РПУ-6 для ТК. Однако, наводка на цель осуществлялась так, как при стрельбе из пушки, но в момент выстрела наводчик должен обязательно находиться сбоку от ствола, во избежание ожогов. Выстрел осуществлялся после нажатия кнопки «Пуск» на пульте, посредством РАУ (15985).</w:t>
      </w:r>
    </w:p>
    <w:p w14:paraId="1E74A5E4" w14:textId="77777777" w:rsidR="00627011" w:rsidRPr="001E2C69" w:rsidRDefault="00627011" w:rsidP="00722885">
      <w:pPr>
        <w:spacing w:after="0" w:line="240" w:lineRule="auto"/>
        <w:jc w:val="both"/>
        <w:rPr>
          <w:rFonts w:ascii="Times New Roman" w:eastAsia="Times New Roman" w:hAnsi="Times New Roman"/>
          <w:color w:val="000000" w:themeColor="text1"/>
          <w:sz w:val="16"/>
          <w:szCs w:val="16"/>
        </w:rPr>
      </w:pPr>
    </w:p>
    <w:p w14:paraId="7C0CDD76" w14:textId="46F2F6C0" w:rsidR="00627011" w:rsidRPr="001E2C69" w:rsidRDefault="0062701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был создан первый из серии с</w:t>
      </w:r>
      <w:hyperlink r:id="rId168"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 xml:space="preserve">ов для запуска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100-мм реактивных противо</w:t>
      </w:r>
      <w:hyperlink r:id="rId169"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овых мин МП-10 - открытый двухзарядный станок МП-10. Он состоял из рамы, на которой сверху были закреплены две направляющие в виде открытого лотка, а снизу два ходовых колеса малого диаметра</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 и тяговое устройство (дышло) для передвижения с</w:t>
      </w:r>
      <w:hyperlink r:id="rId170"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а при смене позиций. С боку с</w:t>
      </w:r>
      <w:hyperlink r:id="rId171"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а на кронштейне имелось прицельное приспособление в виде мушки и рамки с пусковым механизмом.</w:t>
      </w:r>
    </w:p>
    <w:p w14:paraId="1498FC91" w14:textId="499D7486" w:rsidR="00627011" w:rsidRPr="001E2C69" w:rsidRDefault="0062701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августе 1942г. СКБ московского завода №733 “Компрессор“ был создан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опытный 2-х ствольный станок для пуска реактивной противо</w:t>
      </w:r>
      <w:hyperlink r:id="rId172"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 xml:space="preserve">овой мины МП-10. Станок разрабатывался по заданию ГУВ ГМЧ КА, ТЗ-00149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и предназначался для поражения </w:t>
      </w:r>
      <w:hyperlink r:id="rId173"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 xml:space="preserve">ов и бронемашин противника.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Заводское название: переносной двуствольный противо</w:t>
      </w:r>
      <w:hyperlink r:id="rId174"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овый реактивный миномет (ПДПРМ).</w:t>
      </w:r>
    </w:p>
    <w:p w14:paraId="4C1E1487" w14:textId="28939D87" w:rsidR="00627011" w:rsidRPr="001E2C69" w:rsidRDefault="0062701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Боевой станок (пусковая установка)для МП-10 представлял собой направляющие в виде двух тонкостенных гладких стальных труб, в которые сзади вставлялись мины МП-10. Снизу к направляющим крепились: спусковой механизм с рычагом и шепталом механического действия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с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двойным спусковым крючком, , передний суппорт и задний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упор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удерживающие мину от выпадения,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трубчатая рукоять для наведения, передняя трубчатая сошка. Прицельные приспособления</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 представляли собой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простые открытые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мушку и рамку приваренные к стволу с левой стороны.</w:t>
      </w:r>
    </w:p>
    <w:p w14:paraId="39064E51" w14:textId="77777777" w:rsidR="00627011" w:rsidRPr="001E2C69" w:rsidRDefault="0062701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Пуск мины производился нажатием на спусковой крючок, при этом механизм выдергивал из мины запал мгновенного действия.</w:t>
      </w:r>
    </w:p>
    <w:p w14:paraId="41F75A02" w14:textId="77777777" w:rsidR="00627011" w:rsidRPr="001E2C69" w:rsidRDefault="0062701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Прицеливание и пуск мины производился из лежачего положения. При пуске стрелок надевал на голову специальный защитный шлем.</w:t>
      </w:r>
    </w:p>
    <w:p w14:paraId="4944DDBC" w14:textId="5F821E2A" w:rsidR="00627011" w:rsidRPr="001E2C69" w:rsidRDefault="0062701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Станок был испытан на артиллерийском полигоне ГАУ и был принят на вооружение РККА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(В индексах вооружения ГАУ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значился как: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52-У-931 - 2-зарядный станок серт. ТЗ-00149 для пуска 100-мм противо</w:t>
      </w:r>
      <w:hyperlink r:id="rId175"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 xml:space="preserve">овых мин 52-У-941Б.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журнал № 0018, 1942 г)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Заводом “Компрессор”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была изготовлена опытная серия.</w:t>
      </w:r>
    </w:p>
    <w:p w14:paraId="71FB5B6C" w14:textId="77777777" w:rsidR="00627011" w:rsidRPr="001E2C69" w:rsidRDefault="0062701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сентябре 1942 г. была создана одноствольная версия с</w:t>
      </w:r>
      <w:hyperlink r:id="rId176"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а для пуска реактивной противо</w:t>
      </w:r>
      <w:hyperlink r:id="rId177"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овой мины МП-10. Конструкция была полностью аналогична двуствольному образцу.</w:t>
      </w:r>
    </w:p>
    <w:p w14:paraId="52EF2E2D" w14:textId="77777777" w:rsidR="00627011" w:rsidRPr="001E2C69" w:rsidRDefault="0062701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сожалению, ТТХ данных РПГ и характеристик противо</w:t>
      </w:r>
      <w:hyperlink r:id="rId178"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овой реактивной мины МП-10 и результатов испытаний не обнаружено…(15596).</w:t>
      </w:r>
    </w:p>
    <w:p w14:paraId="3CCB5C93" w14:textId="77777777" w:rsidR="00627011" w:rsidRPr="001E2C69" w:rsidRDefault="00627011" w:rsidP="00722885">
      <w:pPr>
        <w:spacing w:after="0" w:line="240" w:lineRule="auto"/>
        <w:jc w:val="both"/>
        <w:rPr>
          <w:rFonts w:ascii="Times New Roman" w:hAnsi="Times New Roman"/>
          <w:color w:val="000000" w:themeColor="text1"/>
          <w:sz w:val="16"/>
          <w:szCs w:val="16"/>
        </w:rPr>
      </w:pPr>
    </w:p>
    <w:p w14:paraId="43A34B82" w14:textId="77777777" w:rsidR="004D6E34" w:rsidRPr="001E2C69" w:rsidRDefault="004D6E34"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В июле 1942 года инженер-подполковник Владимир Иванович Александров выдвинул идею создания установки для пуска снарядов калибра 132 мм с использованием более коротких направляющих, чем у штатного варианта. В своих рассуждениях он основывался на опыте работ в этом направлении, которые проводились в НИИ-3 в 1934-1935 годах, а также на анализе конструкции немецких пусковых установок. Уменьшение длины направляющих, как утверждал Александров, может дать много преимуществ: повысит скорость производства установок и их огневую мощь, позволит использовать шасси меньшей грузоподъёмности и т. п. Однако инженер не учёл тот факт, что с уменьшением направляющих увеличится рассеивание.</w:t>
      </w:r>
    </w:p>
    <w:p w14:paraId="6A9497A9" w14:textId="77777777" w:rsidR="004D6E34" w:rsidRPr="001E2C69" w:rsidRDefault="004D6E34"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Проектирование КАРС-1 (Короткой артиллерийской ракетной системы №1) вели сотрудники Специального конструкторского бюро №2 (СКБ-2) завода имени Кирова в Ленинграде. Установка представляла собой бронированный контейнер с открывающейся передней крышкой, внутри которого были установлены два снаряда. На танке КВ монтировались четыре таких контейнера, и он мог залпом или последовательно осуществить по ходу своего движения пуск восьми снарядов М-13.</w:t>
      </w:r>
    </w:p>
    <w:p w14:paraId="618B1BA3" w14:textId="334173CF" w:rsidR="004D6E34" w:rsidRPr="001E2C69" w:rsidRDefault="004D6E34"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Испытания с опытным образцом танка КВ-1К с различной длиной направляющих (2000, 1200, 1250 и 2400 мм), проведённые в августе и октябре 1942 года на Чебаркульском полигоне стрелкового вооружения РККА, показали удовлетворительные результаты. Было установлено, что</w:t>
      </w:r>
      <w:r w:rsidR="001E2C69">
        <w:rPr>
          <w:color w:val="000000" w:themeColor="text1"/>
          <w:sz w:val="16"/>
          <w:szCs w:val="16"/>
        </w:rPr>
        <w:t xml:space="preserve">   </w:t>
      </w:r>
      <w:r w:rsidRPr="001E2C69">
        <w:rPr>
          <w:color w:val="000000" w:themeColor="text1"/>
          <w:sz w:val="16"/>
          <w:szCs w:val="16"/>
          <w:bdr w:val="none" w:sz="0" w:space="0" w:color="auto" w:frame="1"/>
        </w:rPr>
        <w:t>«полученные данные по кучности и дальности почти не отличаются от табличных данных»</w:t>
      </w:r>
      <w:r w:rsidR="001E2C69">
        <w:rPr>
          <w:color w:val="000000" w:themeColor="text1"/>
          <w:sz w:val="16"/>
          <w:szCs w:val="16"/>
        </w:rPr>
        <w:t xml:space="preserve">   </w:t>
      </w:r>
      <w:r w:rsidRPr="001E2C69">
        <w:rPr>
          <w:color w:val="000000" w:themeColor="text1"/>
          <w:sz w:val="16"/>
          <w:szCs w:val="16"/>
        </w:rPr>
        <w:t xml:space="preserve">для направляющих длиной 5000 мм. КАРС-1 была одобрена Главным управлением вооружения Гвардейских </w:t>
      </w:r>
      <w:r w:rsidRPr="001E2C69">
        <w:rPr>
          <w:color w:val="000000" w:themeColor="text1"/>
          <w:sz w:val="16"/>
          <w:szCs w:val="16"/>
        </w:rPr>
        <w:lastRenderedPageBreak/>
        <w:t>миномётных частей (ГУВ ГМЧ) РККА, которое рекомендовало принять её на вооружения танков КВ, но в связи с прекращением их производства установка не нашла применения (19941).</w:t>
      </w:r>
    </w:p>
    <w:p w14:paraId="30B035F9" w14:textId="77777777" w:rsidR="004D6E34" w:rsidRPr="001E2C69" w:rsidRDefault="004D6E34" w:rsidP="00722885">
      <w:pPr>
        <w:pStyle w:val="af"/>
        <w:shd w:val="clear" w:color="auto" w:fill="FFFFFF"/>
        <w:spacing w:before="0" w:after="0"/>
        <w:jc w:val="both"/>
        <w:textAlignment w:val="baseline"/>
        <w:rPr>
          <w:color w:val="000000" w:themeColor="text1"/>
          <w:sz w:val="16"/>
          <w:szCs w:val="16"/>
        </w:rPr>
      </w:pPr>
    </w:p>
    <w:p w14:paraId="2B44F435" w14:textId="77777777" w:rsidR="000E1CF9" w:rsidRPr="008A2E5A" w:rsidRDefault="000E1CF9" w:rsidP="000E1C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1941 на «Компрессоре» был собран первый опытный об</w:t>
      </w:r>
      <w:r w:rsidRPr="008A2E5A">
        <w:rPr>
          <w:rFonts w:ascii="Times New Roman" w:hAnsi="Times New Roman"/>
          <w:color w:val="0070C0"/>
          <w:sz w:val="16"/>
          <w:szCs w:val="16"/>
        </w:rPr>
        <w:softHyphen/>
        <w:t>разец БМ-8-36. Через несколько дней установка прошла ускоренные во</w:t>
      </w:r>
      <w:r w:rsidRPr="008A2E5A">
        <w:rPr>
          <w:rFonts w:ascii="Times New Roman" w:hAnsi="Times New Roman"/>
          <w:color w:val="0070C0"/>
          <w:sz w:val="16"/>
          <w:szCs w:val="16"/>
        </w:rPr>
        <w:softHyphen/>
        <w:t>йсковые испытания на Софринском полигоне. 2 августа снаряд РС-82 был принят на вооружение под индексом М-8. 6 авгу</w:t>
      </w:r>
      <w:r w:rsidRPr="008A2E5A">
        <w:rPr>
          <w:rFonts w:ascii="Times New Roman" w:hAnsi="Times New Roman"/>
          <w:color w:val="0070C0"/>
          <w:sz w:val="16"/>
          <w:szCs w:val="16"/>
        </w:rPr>
        <w:softHyphen/>
        <w:t>ста была принята на вооружение пусковая установка БМ-8-36. В конструкторской документации она получила индекс КС-71, в документации заказчика — 52-ТР-391.</w:t>
      </w:r>
    </w:p>
    <w:p w14:paraId="0F595505" w14:textId="77777777" w:rsidR="000E1CF9" w:rsidRPr="008A2E5A" w:rsidRDefault="000E1CF9" w:rsidP="000E1C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Перегруженный заказами «Компрессор» принять к серий</w:t>
      </w:r>
      <w:r w:rsidRPr="008A2E5A">
        <w:rPr>
          <w:rFonts w:ascii="Times New Roman" w:hAnsi="Times New Roman"/>
          <w:color w:val="0070C0"/>
          <w:sz w:val="16"/>
          <w:szCs w:val="16"/>
        </w:rPr>
        <w:softHyphen/>
        <w:t>ному производству еще одну боевую машину не мог. Поиски нового завода продолжались несколько недель и были прерва</w:t>
      </w:r>
      <w:r w:rsidRPr="008A2E5A">
        <w:rPr>
          <w:rFonts w:ascii="Times New Roman" w:hAnsi="Times New Roman"/>
          <w:color w:val="0070C0"/>
          <w:sz w:val="16"/>
          <w:szCs w:val="16"/>
        </w:rPr>
        <w:softHyphen/>
        <w:t>ны начавшейся эвакуацией Московских предприятий. Вопрос удалось решить только после остановки эвакуации. 11 нояб</w:t>
      </w:r>
      <w:r w:rsidRPr="008A2E5A">
        <w:rPr>
          <w:rFonts w:ascii="Times New Roman" w:hAnsi="Times New Roman"/>
          <w:color w:val="0070C0"/>
          <w:sz w:val="16"/>
          <w:szCs w:val="16"/>
        </w:rPr>
        <w:softHyphen/>
        <w:t>ря 1941 года приказом Паршина головным по выпуску БМ-8 был назначен Московский завод «Красная Пресня». Выпустив несколько боевых машин, «Компрессор» передал «Красной Пресне» всю конструкторскую документацию. К серийному производству также подключились Пензенский машинострои</w:t>
      </w:r>
      <w:r w:rsidRPr="008A2E5A">
        <w:rPr>
          <w:rFonts w:ascii="Times New Roman" w:hAnsi="Times New Roman"/>
          <w:color w:val="0070C0"/>
          <w:sz w:val="16"/>
          <w:szCs w:val="16"/>
        </w:rPr>
        <w:softHyphen/>
        <w:t>тельный завод и Харьковский завод имени Шевченко.</w:t>
      </w:r>
    </w:p>
    <w:p w14:paraId="711F6A65" w14:textId="77777777" w:rsidR="000E1CF9" w:rsidRPr="008A2E5A" w:rsidRDefault="000E1CF9" w:rsidP="000E1C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«Красная Пресня» перед во</w:t>
      </w:r>
      <w:r w:rsidRPr="008A2E5A">
        <w:rPr>
          <w:rFonts w:ascii="Times New Roman" w:hAnsi="Times New Roman"/>
          <w:color w:val="0070C0"/>
          <w:sz w:val="16"/>
          <w:szCs w:val="16"/>
        </w:rPr>
        <w:softHyphen/>
        <w:t>йной выпускал ли</w:t>
      </w:r>
      <w:r w:rsidRPr="008A2E5A">
        <w:rPr>
          <w:rFonts w:ascii="Times New Roman" w:hAnsi="Times New Roman"/>
          <w:color w:val="0070C0"/>
          <w:sz w:val="16"/>
          <w:szCs w:val="16"/>
        </w:rPr>
        <w:softHyphen/>
        <w:t>тейные машины, был небольшим предпри</w:t>
      </w:r>
      <w:r w:rsidRPr="008A2E5A">
        <w:rPr>
          <w:rFonts w:ascii="Times New Roman" w:hAnsi="Times New Roman"/>
          <w:color w:val="0070C0"/>
          <w:sz w:val="16"/>
          <w:szCs w:val="16"/>
        </w:rPr>
        <w:softHyphen/>
        <w:t>ятием с незначитель</w:t>
      </w:r>
      <w:r w:rsidRPr="008A2E5A">
        <w:rPr>
          <w:rFonts w:ascii="Times New Roman" w:hAnsi="Times New Roman"/>
          <w:color w:val="0070C0"/>
          <w:sz w:val="16"/>
          <w:szCs w:val="16"/>
        </w:rPr>
        <w:softHyphen/>
        <w:t>ным парком станоч</w:t>
      </w:r>
      <w:r w:rsidRPr="008A2E5A">
        <w:rPr>
          <w:rFonts w:ascii="Times New Roman" w:hAnsi="Times New Roman"/>
          <w:color w:val="0070C0"/>
          <w:sz w:val="16"/>
          <w:szCs w:val="16"/>
        </w:rPr>
        <w:softHyphen/>
        <w:t>ного оборудования, но славился коллективом  специалистов очень высокой ква</w:t>
      </w:r>
      <w:r w:rsidRPr="008A2E5A">
        <w:rPr>
          <w:rFonts w:ascii="Times New Roman" w:hAnsi="Times New Roman"/>
          <w:color w:val="0070C0"/>
          <w:sz w:val="16"/>
          <w:szCs w:val="16"/>
        </w:rPr>
        <w:softHyphen/>
        <w:t>лификации. Его производственные площади еще уменьшились после попадания на территорию трех фугасных немецких авиа</w:t>
      </w:r>
      <w:r w:rsidRPr="008A2E5A">
        <w:rPr>
          <w:rFonts w:ascii="Times New Roman" w:hAnsi="Times New Roman"/>
          <w:color w:val="0070C0"/>
          <w:sz w:val="16"/>
          <w:szCs w:val="16"/>
        </w:rPr>
        <w:softHyphen/>
        <w:t>бомб. Руководил предприятием Алексей Федорович Горин. Ему и пришлось решать все вопросы освоения и серийного выпуска боевых машин.</w:t>
      </w:r>
    </w:p>
    <w:p w14:paraId="5D418CC4" w14:textId="77777777" w:rsidR="000E1CF9" w:rsidRPr="008A2E5A" w:rsidRDefault="000E1CF9" w:rsidP="000E1C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Через день после выхода приказа наркома с Московского автозавода прибыли первые шасси ЗиС-6. После монтажа пу</w:t>
      </w:r>
      <w:r w:rsidRPr="008A2E5A">
        <w:rPr>
          <w:rFonts w:ascii="Times New Roman" w:hAnsi="Times New Roman"/>
          <w:color w:val="0070C0"/>
          <w:sz w:val="16"/>
          <w:szCs w:val="16"/>
        </w:rPr>
        <w:softHyphen/>
        <w:t>сковых установок и военной приемки боевые машины отпра</w:t>
      </w:r>
      <w:r w:rsidRPr="008A2E5A">
        <w:rPr>
          <w:rFonts w:ascii="Times New Roman" w:hAnsi="Times New Roman"/>
          <w:color w:val="0070C0"/>
          <w:sz w:val="16"/>
          <w:szCs w:val="16"/>
        </w:rPr>
        <w:softHyphen/>
        <w:t>вились на фронт и участвовали в битве под Москвой. Вскоре производство остановилось, так как все шасси ЗиС-6 направи</w:t>
      </w:r>
      <w:r w:rsidRPr="008A2E5A">
        <w:rPr>
          <w:rFonts w:ascii="Times New Roman" w:hAnsi="Times New Roman"/>
          <w:color w:val="0070C0"/>
          <w:sz w:val="16"/>
          <w:szCs w:val="16"/>
        </w:rPr>
        <w:softHyphen/>
        <w:t>ли для монтажа БМ-13, что и следовало ожидать.</w:t>
      </w:r>
    </w:p>
    <w:p w14:paraId="36C22095" w14:textId="77777777" w:rsidR="000E1CF9" w:rsidRPr="008A2E5A" w:rsidRDefault="000E1CF9" w:rsidP="000E1C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Автозавод предложил Бармину двухосные ЗиС-5. Шасси было слабеньким, но условия военного времени не оставляли выбора. Бармин и Горин согласились. Вскоре «Красная Пресня» выпустила небольшую партию этих машин, но заказчик от них отказался, вновь сославшись на низкую проходимость. В поис</w:t>
      </w:r>
      <w:r w:rsidRPr="008A2E5A">
        <w:rPr>
          <w:rFonts w:ascii="Times New Roman" w:hAnsi="Times New Roman"/>
          <w:color w:val="0070C0"/>
          <w:sz w:val="16"/>
          <w:szCs w:val="16"/>
        </w:rPr>
        <w:softHyphen/>
        <w:t>ках выхода из создавшегося положения Бармин принял реше</w:t>
      </w:r>
      <w:r w:rsidRPr="008A2E5A">
        <w:rPr>
          <w:rFonts w:ascii="Times New Roman" w:hAnsi="Times New Roman"/>
          <w:color w:val="0070C0"/>
          <w:sz w:val="16"/>
          <w:szCs w:val="16"/>
        </w:rPr>
        <w:softHyphen/>
        <w:t>ние монтировать установки на танках.</w:t>
      </w:r>
    </w:p>
    <w:p w14:paraId="5068C4C0" w14:textId="77777777" w:rsidR="000E1CF9" w:rsidRPr="008A2E5A" w:rsidRDefault="000E1CF9" w:rsidP="000E1C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Снарядные корпуса М-8 выпускал завод имени Владими</w:t>
      </w:r>
      <w:r w:rsidRPr="008A2E5A">
        <w:rPr>
          <w:rFonts w:ascii="Times New Roman" w:hAnsi="Times New Roman"/>
          <w:color w:val="0070C0"/>
          <w:sz w:val="16"/>
          <w:szCs w:val="16"/>
        </w:rPr>
        <w:softHyphen/>
        <w:t>ра Ильича, снаряжением и окончательной сборкой занимался завод № 12 в Электростали. Первые собранные машины были укомплектованы снарядами РС-82, большую партию (23510).</w:t>
      </w:r>
    </w:p>
    <w:p w14:paraId="5E50E4AC" w14:textId="77777777" w:rsidR="000E1CF9" w:rsidRPr="008A2E5A" w:rsidRDefault="000E1CF9" w:rsidP="000E1CF9">
      <w:pPr>
        <w:spacing w:after="0" w:line="240" w:lineRule="auto"/>
        <w:jc w:val="both"/>
        <w:rPr>
          <w:rFonts w:ascii="Times New Roman" w:hAnsi="Times New Roman"/>
          <w:color w:val="0070C0"/>
          <w:sz w:val="16"/>
          <w:szCs w:val="16"/>
        </w:rPr>
      </w:pPr>
    </w:p>
    <w:p w14:paraId="60AB4047"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24CDCB92" w14:textId="77777777" w:rsidR="00AE7191" w:rsidRPr="001E2C69" w:rsidRDefault="00AE7191" w:rsidP="00722885">
      <w:pPr>
        <w:pStyle w:val="Iauiue"/>
        <w:jc w:val="both"/>
        <w:rPr>
          <w:iCs/>
          <w:color w:val="000000" w:themeColor="text1"/>
          <w:sz w:val="16"/>
          <w:szCs w:val="16"/>
        </w:rPr>
      </w:pPr>
    </w:p>
    <w:p w14:paraId="06076979" w14:textId="77777777" w:rsidR="007240D5" w:rsidRPr="001E2C69" w:rsidRDefault="007240D5"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В июле 1942 г., Наркомат воо</w:t>
      </w:r>
      <w:r w:rsidRPr="001E2C69">
        <w:rPr>
          <w:rFonts w:ascii="Times New Roman" w:cs="Times New Roman"/>
          <w:color w:val="000000" w:themeColor="text1"/>
          <w:spacing w:val="0"/>
          <w:sz w:val="16"/>
          <w:szCs w:val="16"/>
        </w:rPr>
        <w:softHyphen/>
        <w:t>ружения провел большую техническую конфе</w:t>
      </w:r>
      <w:r w:rsidRPr="001E2C69">
        <w:rPr>
          <w:rFonts w:ascii="Times New Roman" w:cs="Times New Roman"/>
          <w:color w:val="000000" w:themeColor="text1"/>
          <w:spacing w:val="0"/>
          <w:sz w:val="16"/>
          <w:szCs w:val="16"/>
        </w:rPr>
        <w:softHyphen/>
        <w:t>ренцию, посвященную внедрению поточных линий, высокопроизводительных технологий, доработке образцов с целью сокращения вре</w:t>
      </w:r>
      <w:r w:rsidRPr="001E2C69">
        <w:rPr>
          <w:rFonts w:ascii="Times New Roman" w:cs="Times New Roman"/>
          <w:color w:val="000000" w:themeColor="text1"/>
          <w:spacing w:val="0"/>
          <w:sz w:val="16"/>
          <w:szCs w:val="16"/>
        </w:rPr>
        <w:softHyphen/>
        <w:t>мени их производства.</w:t>
      </w:r>
    </w:p>
    <w:p w14:paraId="6565FABB" w14:textId="77777777" w:rsidR="007240D5" w:rsidRPr="001E2C69" w:rsidRDefault="007240D5" w:rsidP="00722885">
      <w:pPr>
        <w:pStyle w:val="36"/>
        <w:shd w:val="clear" w:color="auto" w:fill="auto"/>
        <w:spacing w:after="0" w:line="240" w:lineRule="auto"/>
        <w:jc w:val="both"/>
        <w:rPr>
          <w:rFonts w:ascii="Times New Roman" w:cs="Times New Roman"/>
          <w:color w:val="000000" w:themeColor="text1"/>
          <w:spacing w:val="0"/>
          <w:sz w:val="16"/>
          <w:szCs w:val="16"/>
        </w:rPr>
      </w:pPr>
    </w:p>
    <w:p w14:paraId="1450C57B" w14:textId="77777777" w:rsidR="004C71FA" w:rsidRPr="001E2C69" w:rsidRDefault="004C71F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 сразу по прибытии из Томска, заключенные конструкторы ОТБ-172 были разделены. Группа заключённых (среди них С.И.Лодкин, Л.Л.Битнер, Г.М.Райцин, Д.М.Рыбкин, B.C.Мамашин) была отправлена в г. Молотовск (с 1957 г. Северодвинск), где были включены в состав 20-го отдела при Архангельском судостроительном заводе № 402 (18664).</w:t>
      </w:r>
    </w:p>
    <w:p w14:paraId="79B4C896" w14:textId="77777777" w:rsidR="004C71FA" w:rsidRPr="001E2C69" w:rsidRDefault="004C71FA" w:rsidP="00722885">
      <w:pPr>
        <w:spacing w:after="0" w:line="240" w:lineRule="auto"/>
        <w:jc w:val="both"/>
        <w:rPr>
          <w:rFonts w:ascii="Times New Roman" w:hAnsi="Times New Roman"/>
          <w:color w:val="000000" w:themeColor="text1"/>
          <w:sz w:val="16"/>
          <w:szCs w:val="16"/>
        </w:rPr>
      </w:pPr>
    </w:p>
    <w:p w14:paraId="27801895" w14:textId="5893D420" w:rsidR="00AE7191" w:rsidRPr="001E2C69" w:rsidRDefault="00AE7191" w:rsidP="00722885">
      <w:pPr>
        <w:pStyle w:val="af"/>
        <w:spacing w:before="0" w:after="0"/>
        <w:jc w:val="both"/>
        <w:rPr>
          <w:color w:val="000000" w:themeColor="text1"/>
          <w:sz w:val="16"/>
          <w:szCs w:val="16"/>
        </w:rPr>
      </w:pPr>
      <w:r w:rsidRPr="001E2C69">
        <w:rPr>
          <w:color w:val="000000" w:themeColor="text1"/>
          <w:sz w:val="16"/>
          <w:szCs w:val="16"/>
        </w:rPr>
        <w:t>Июль 1942</w:t>
      </w:r>
      <w:r w:rsidR="001E2C69">
        <w:rPr>
          <w:color w:val="000000" w:themeColor="text1"/>
          <w:sz w:val="16"/>
          <w:szCs w:val="16"/>
        </w:rPr>
        <w:t xml:space="preserve">   </w:t>
      </w:r>
      <w:r w:rsidRPr="001E2C69">
        <w:rPr>
          <w:color w:val="000000" w:themeColor="text1"/>
          <w:sz w:val="16"/>
          <w:szCs w:val="16"/>
        </w:rPr>
        <w:t>г. НИИ-48:</w:t>
      </w:r>
    </w:p>
    <w:p w14:paraId="783BC9CB" w14:textId="77777777" w:rsidR="00AE7191" w:rsidRPr="001E2C69" w:rsidRDefault="00AE7191" w:rsidP="00722885">
      <w:pPr>
        <w:pStyle w:val="af"/>
        <w:spacing w:before="0" w:after="0"/>
        <w:jc w:val="both"/>
        <w:rPr>
          <w:color w:val="000000" w:themeColor="text1"/>
          <w:sz w:val="16"/>
          <w:szCs w:val="16"/>
        </w:rPr>
      </w:pPr>
      <w:r w:rsidRPr="001E2C69">
        <w:rPr>
          <w:color w:val="000000" w:themeColor="text1"/>
          <w:sz w:val="16"/>
          <w:szCs w:val="16"/>
        </w:rPr>
        <w:t>Из отчета «Поражение брони немецких танков»</w:t>
      </w:r>
    </w:p>
    <w:p w14:paraId="28B95D65" w14:textId="77777777" w:rsidR="00AE7191" w:rsidRPr="001E2C69" w:rsidRDefault="00AE7191" w:rsidP="00722885">
      <w:pPr>
        <w:pStyle w:val="af"/>
        <w:spacing w:before="0" w:after="0"/>
        <w:jc w:val="both"/>
        <w:rPr>
          <w:color w:val="000000" w:themeColor="text1"/>
          <w:sz w:val="16"/>
          <w:szCs w:val="16"/>
        </w:rPr>
      </w:pPr>
      <w:r w:rsidRPr="001E2C69">
        <w:rPr>
          <w:color w:val="000000" w:themeColor="text1"/>
          <w:sz w:val="16"/>
          <w:szCs w:val="16"/>
        </w:rPr>
        <w:t>«Ввиду отсутствия в настоящее время необходимого количества каморных бронебойных снарядов в артиллерийских подразделениях распространена стрельба по немецким танкам из 76,2-мм дивизионных пушек снарядами других типов…</w:t>
      </w:r>
    </w:p>
    <w:p w14:paraId="6A40ADDA" w14:textId="6C3EB905" w:rsidR="00AE7191" w:rsidRPr="001E2C69" w:rsidRDefault="00AE7191" w:rsidP="00722885">
      <w:pPr>
        <w:pStyle w:val="af"/>
        <w:spacing w:before="0" w:after="0"/>
        <w:jc w:val="both"/>
        <w:rPr>
          <w:color w:val="000000" w:themeColor="text1"/>
          <w:sz w:val="16"/>
          <w:szCs w:val="16"/>
        </w:rPr>
      </w:pPr>
      <w:r w:rsidRPr="001E2C69">
        <w:rPr>
          <w:color w:val="000000" w:themeColor="text1"/>
          <w:sz w:val="16"/>
          <w:szCs w:val="16"/>
        </w:rPr>
        <w:t>1.</w:t>
      </w:r>
      <w:r w:rsidR="001E2C69">
        <w:rPr>
          <w:color w:val="000000" w:themeColor="text1"/>
          <w:sz w:val="16"/>
          <w:szCs w:val="16"/>
        </w:rPr>
        <w:t xml:space="preserve">   </w:t>
      </w:r>
      <w:r w:rsidRPr="001E2C69">
        <w:rPr>
          <w:color w:val="000000" w:themeColor="text1"/>
          <w:sz w:val="16"/>
          <w:szCs w:val="16"/>
        </w:rPr>
        <w:t>Бронебойные сплошные снаряды. Пробивают броню немецких танков с любого направления. Имеют недостаточное заброневое действие. Приводят к пожару и поражению танков только при попадании в мотор, бензобаки или боеприпасы…</w:t>
      </w:r>
    </w:p>
    <w:p w14:paraId="4E5A6CF2" w14:textId="4861409A" w:rsidR="00AE7191" w:rsidRPr="001E2C69" w:rsidRDefault="00AE7191" w:rsidP="00722885">
      <w:pPr>
        <w:pStyle w:val="af"/>
        <w:spacing w:before="0" w:after="0"/>
        <w:jc w:val="both"/>
        <w:rPr>
          <w:color w:val="000000" w:themeColor="text1"/>
          <w:sz w:val="16"/>
          <w:szCs w:val="16"/>
        </w:rPr>
      </w:pPr>
      <w:r w:rsidRPr="001E2C69">
        <w:rPr>
          <w:color w:val="000000" w:themeColor="text1"/>
          <w:sz w:val="16"/>
          <w:szCs w:val="16"/>
        </w:rPr>
        <w:t>2.</w:t>
      </w:r>
      <w:r w:rsidR="001E2C69">
        <w:rPr>
          <w:color w:val="000000" w:themeColor="text1"/>
          <w:sz w:val="16"/>
          <w:szCs w:val="16"/>
        </w:rPr>
        <w:t xml:space="preserve">   </w:t>
      </w:r>
      <w:r w:rsidRPr="001E2C69">
        <w:rPr>
          <w:color w:val="000000" w:themeColor="text1"/>
          <w:sz w:val="16"/>
          <w:szCs w:val="16"/>
        </w:rPr>
        <w:t>Осколочно-фугасная стальная граната. Может использоваться при стрельбе по легким (в ряде случаев и средним) танкам при их облическом движении по бортам, или в подбашенное кольцо, что приводит к разрушению бортовых листов, или срыву их с креплений, а также заклиниванию башни и порче механизмов башни в том числе оптических прицелов и приборов наблюдения… В ряде случаев наблюдалось прекращение способности вращения башни, а в случае ведения огня гаубицами — и срыве башни легкого танка с креплений…</w:t>
      </w:r>
    </w:p>
    <w:p w14:paraId="7E125734" w14:textId="485C434F" w:rsidR="00AE7191" w:rsidRPr="001E2C69" w:rsidRDefault="00AE7191" w:rsidP="00722885">
      <w:pPr>
        <w:pStyle w:val="af"/>
        <w:spacing w:before="0" w:after="0"/>
        <w:jc w:val="both"/>
        <w:rPr>
          <w:color w:val="000000" w:themeColor="text1"/>
          <w:sz w:val="16"/>
          <w:szCs w:val="16"/>
        </w:rPr>
      </w:pPr>
      <w:r w:rsidRPr="001E2C69">
        <w:rPr>
          <w:color w:val="000000" w:themeColor="text1"/>
          <w:sz w:val="16"/>
          <w:szCs w:val="16"/>
        </w:rPr>
        <w:t>3.</w:t>
      </w:r>
      <w:r w:rsidR="001E2C69">
        <w:rPr>
          <w:color w:val="000000" w:themeColor="text1"/>
          <w:sz w:val="16"/>
          <w:szCs w:val="16"/>
        </w:rPr>
        <w:t xml:space="preserve">   </w:t>
      </w:r>
      <w:r w:rsidRPr="001E2C69">
        <w:rPr>
          <w:color w:val="000000" w:themeColor="text1"/>
          <w:sz w:val="16"/>
          <w:szCs w:val="16"/>
        </w:rPr>
        <w:t>Шрапнель по прежнему является одним из основных бронебойных снарядов, так как на дистанции стрельбы до 300 метров способна пробить до 35 мм брони, что позволяет ее успешно применять против легких танков, а на ближней дистанции (до 200</w:t>
      </w:r>
      <w:r w:rsidR="001E2C69">
        <w:rPr>
          <w:color w:val="000000" w:themeColor="text1"/>
          <w:sz w:val="16"/>
          <w:szCs w:val="16"/>
        </w:rPr>
        <w:t xml:space="preserve">   </w:t>
      </w:r>
      <w:r w:rsidRPr="001E2C69">
        <w:rPr>
          <w:color w:val="000000" w:themeColor="text1"/>
          <w:sz w:val="16"/>
          <w:szCs w:val="16"/>
        </w:rPr>
        <w:t>м) и против бортовой брони средних танков…</w:t>
      </w:r>
    </w:p>
    <w:p w14:paraId="20A8572F" w14:textId="09A51959" w:rsidR="00AE7191" w:rsidRPr="001E2C69" w:rsidRDefault="00AE7191" w:rsidP="00722885">
      <w:pPr>
        <w:pStyle w:val="af"/>
        <w:spacing w:before="0" w:after="0"/>
        <w:jc w:val="both"/>
        <w:rPr>
          <w:color w:val="000000" w:themeColor="text1"/>
          <w:sz w:val="16"/>
          <w:szCs w:val="16"/>
        </w:rPr>
      </w:pPr>
      <w:r w:rsidRPr="001E2C69">
        <w:rPr>
          <w:color w:val="000000" w:themeColor="text1"/>
          <w:sz w:val="16"/>
          <w:szCs w:val="16"/>
        </w:rPr>
        <w:t>4.</w:t>
      </w:r>
      <w:r w:rsidR="001E2C69">
        <w:rPr>
          <w:color w:val="000000" w:themeColor="text1"/>
          <w:sz w:val="16"/>
          <w:szCs w:val="16"/>
        </w:rPr>
        <w:t xml:space="preserve">   </w:t>
      </w:r>
      <w:r w:rsidRPr="001E2C69">
        <w:rPr>
          <w:color w:val="000000" w:themeColor="text1"/>
          <w:sz w:val="16"/>
          <w:szCs w:val="16"/>
        </w:rPr>
        <w:t>Зажигательный снаряд недостаточно эффективен, но в ряде случаев может использоваться при ведении огня прямой наводкой… Желательно вести огонь зажигательным снарядом по одиночному танку сосредоточенным огнем батареи.</w:t>
      </w:r>
    </w:p>
    <w:p w14:paraId="75257220" w14:textId="70D87CAB" w:rsidR="00AE7191" w:rsidRPr="001E2C69" w:rsidRDefault="00AE7191" w:rsidP="00722885">
      <w:pPr>
        <w:pStyle w:val="af"/>
        <w:spacing w:before="0" w:after="0"/>
        <w:jc w:val="both"/>
        <w:rPr>
          <w:color w:val="000000" w:themeColor="text1"/>
          <w:sz w:val="16"/>
          <w:szCs w:val="16"/>
        </w:rPr>
      </w:pPr>
      <w:r w:rsidRPr="001E2C69">
        <w:rPr>
          <w:color w:val="000000" w:themeColor="text1"/>
          <w:sz w:val="16"/>
          <w:szCs w:val="16"/>
        </w:rPr>
        <w:t>5.</w:t>
      </w:r>
      <w:r w:rsidR="001E2C69">
        <w:rPr>
          <w:color w:val="000000" w:themeColor="text1"/>
          <w:sz w:val="16"/>
          <w:szCs w:val="16"/>
        </w:rPr>
        <w:t xml:space="preserve">   </w:t>
      </w:r>
      <w:r w:rsidRPr="001E2C69">
        <w:rPr>
          <w:color w:val="000000" w:themeColor="text1"/>
          <w:sz w:val="16"/>
          <w:szCs w:val="16"/>
        </w:rPr>
        <w:t>Фугасная стальная граната наиболее эффективна в случае ведения огня по бортам танка при его облическом движении…</w:t>
      </w:r>
    </w:p>
    <w:p w14:paraId="38981D7A" w14:textId="21089049" w:rsidR="00AE7191" w:rsidRPr="001E2C69" w:rsidRDefault="00AE7191" w:rsidP="00722885">
      <w:pPr>
        <w:pStyle w:val="af"/>
        <w:spacing w:before="0" w:after="0"/>
        <w:jc w:val="both"/>
        <w:rPr>
          <w:color w:val="000000" w:themeColor="text1"/>
          <w:sz w:val="16"/>
          <w:szCs w:val="16"/>
        </w:rPr>
      </w:pPr>
      <w:r w:rsidRPr="001E2C69">
        <w:rPr>
          <w:color w:val="000000" w:themeColor="text1"/>
          <w:sz w:val="16"/>
          <w:szCs w:val="16"/>
        </w:rPr>
        <w:t>6.</w:t>
      </w:r>
      <w:r w:rsidR="001E2C69">
        <w:rPr>
          <w:color w:val="000000" w:themeColor="text1"/>
          <w:sz w:val="16"/>
          <w:szCs w:val="16"/>
        </w:rPr>
        <w:t xml:space="preserve">   </w:t>
      </w:r>
      <w:r w:rsidRPr="001E2C69">
        <w:rPr>
          <w:color w:val="000000" w:themeColor="text1"/>
          <w:sz w:val="16"/>
          <w:szCs w:val="16"/>
        </w:rPr>
        <w:t>Осколочная граната сталистого чугуна может использоваться только при ведении стрельбы по башне танка „на ослепление“…</w:t>
      </w:r>
    </w:p>
    <w:p w14:paraId="3EAFA1DE" w14:textId="77777777" w:rsidR="00AE7191" w:rsidRPr="001E2C69" w:rsidRDefault="00AE7191" w:rsidP="00722885">
      <w:pPr>
        <w:pStyle w:val="af"/>
        <w:spacing w:before="0" w:after="0"/>
        <w:jc w:val="both"/>
        <w:rPr>
          <w:color w:val="000000" w:themeColor="text1"/>
          <w:sz w:val="16"/>
          <w:szCs w:val="16"/>
        </w:rPr>
      </w:pPr>
      <w:r w:rsidRPr="001E2C69">
        <w:rPr>
          <w:color w:val="000000" w:themeColor="text1"/>
          <w:sz w:val="16"/>
          <w:szCs w:val="16"/>
        </w:rPr>
        <w:t>Ни один из рассмотренных типов снарядов не может в полной мере заменить каморные бронебойные снаряды, так как не обладает для этого необходимым бронепробиванием (до 60 мм брони) и заброневым действием газами разрыва и осколками…</w:t>
      </w:r>
    </w:p>
    <w:p w14:paraId="72E1A59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(Исп. Терсков, Бабенко) (22.07.1942»</w:t>
      </w:r>
      <w:hyperlink r:id="rId179" w:anchor="n_100" w:history="1">
        <w:r w:rsidRPr="001E2C69">
          <w:rPr>
            <w:rStyle w:val="a6"/>
            <w:rFonts w:ascii="Times New Roman" w:hAnsi="Times New Roman"/>
            <w:color w:val="000000" w:themeColor="text1"/>
            <w:sz w:val="16"/>
            <w:szCs w:val="16"/>
          </w:rPr>
          <w:t>[100]</w:t>
        </w:r>
      </w:hyperlink>
      <w:r w:rsidRPr="001E2C69">
        <w:rPr>
          <w:rFonts w:ascii="Times New Roman" w:hAnsi="Times New Roman"/>
          <w:color w:val="000000" w:themeColor="text1"/>
          <w:sz w:val="16"/>
          <w:szCs w:val="16"/>
        </w:rPr>
        <w:t xml:space="preserve">.) </w:t>
      </w:r>
    </w:p>
    <w:p w14:paraId="559AEA9F" w14:textId="77777777" w:rsidR="00AE7191" w:rsidRPr="001E2C69" w:rsidRDefault="00AE7191" w:rsidP="00722885">
      <w:pPr>
        <w:pStyle w:val="af"/>
        <w:spacing w:before="0" w:after="0"/>
        <w:jc w:val="both"/>
        <w:rPr>
          <w:color w:val="000000" w:themeColor="text1"/>
          <w:sz w:val="16"/>
          <w:szCs w:val="16"/>
        </w:rPr>
      </w:pPr>
      <w:r w:rsidRPr="001E2C69">
        <w:rPr>
          <w:color w:val="000000" w:themeColor="text1"/>
          <w:sz w:val="16"/>
          <w:szCs w:val="16"/>
        </w:rPr>
        <w:t>Как видно из этого документа, «снарядный голод» в отношении бронебойных снарядов не был полностью ликвидирован даже в сорок втором году — появившийся тогда БР-350БСП (тот самый «бронебойный сплошной» из п.1) отчасти снял остроту проблемы, но не решил ее окончательно. В сорок первом же немецкие панцеры в большинстве случае приходилось останавливать именно шрапнелью «на удар». Или осколочно-фугасными. Теми, что были. Теми, что успели запасти, теми, чье массовое производство успели развернуть и отладить в мирное время, потому что в сжатые сроки освоить массовый выпуск современных бронебойных снарядов с приварной головкой отечественная промышленность не смогла. Заметим, что немцы таких проблем не испытывали, сумев не только быстро развернуть массовый выпуск снарядов нового типа, но и переделать до уровня PzGr 39 старые запасы (12624).</w:t>
      </w:r>
    </w:p>
    <w:p w14:paraId="3327C255" w14:textId="77777777" w:rsidR="00AE7191" w:rsidRPr="001E2C69" w:rsidRDefault="00AE7191" w:rsidP="00722885">
      <w:pPr>
        <w:pStyle w:val="af"/>
        <w:spacing w:before="0" w:after="0"/>
        <w:jc w:val="both"/>
        <w:rPr>
          <w:color w:val="000000" w:themeColor="text1"/>
          <w:sz w:val="16"/>
          <w:szCs w:val="16"/>
        </w:rPr>
      </w:pPr>
    </w:p>
    <w:p w14:paraId="1757184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 в Баку был создан Завод № 160 НКБ. Производство: снаряды для гвардейских минометов (11982).</w:t>
      </w:r>
    </w:p>
    <w:p w14:paraId="034B8775"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3984C4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 Завод «Красный Аксай», основанный в 1891, и который, вероятно, был реэвакурован в Ростов-на-Дону, действовал в Ростове-на- Дону в ведении Главсельмаша НКМВ (в 02.1942 г. завод планировалось передать в 1ГУ НКМВ под № 713) (Механический медно-чугунолитейный завод, Завод «Красный Аксай» НКМВ, ЗАО «Красный Аксай» /344025  г. Ростов-на-Дону ул. 35-я Линия, 83/).</w:t>
      </w:r>
    </w:p>
    <w:p w14:paraId="04B3F3A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тракторных культиваторов (1967 г.).</w:t>
      </w:r>
    </w:p>
    <w:p w14:paraId="06980C2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(03.1946 г.)- 2300 чел. (11982)</w:t>
      </w:r>
    </w:p>
    <w:p w14:paraId="12181137"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059290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Уральский кировский завод, увеличивший производство КВ в 25 раз, получил задание дополнительное на Т-34. 2 августа сделали первый. ХТЗ объединили с другим - Уралвагонзаводом в Нижнем Тагиле и стал Уральский танковый завод им. И.В.С. N 183 (424,12).</w:t>
      </w:r>
    </w:p>
    <w:p w14:paraId="378731F8" w14:textId="77777777" w:rsidR="00AE7191" w:rsidRPr="001E2C69" w:rsidRDefault="00AE7191" w:rsidP="00722885">
      <w:pPr>
        <w:pStyle w:val="Iauiue"/>
        <w:jc w:val="both"/>
        <w:rPr>
          <w:color w:val="000000" w:themeColor="text1"/>
          <w:sz w:val="16"/>
          <w:szCs w:val="16"/>
        </w:rPr>
      </w:pPr>
    </w:p>
    <w:p w14:paraId="5894B90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года в разгар испытаний КВ-13 скоропостижно скончался Н.В.Цейц, и ведущим конструктором по машине был назначен Н.Ф.Шашмурин. По его инициативе на КВ-13 установили коробку передач, разработанную Ф.А.Маришкиным для KB-1с, и узлы ходовой части от этого танка. Однако и в таком виде танк испытаний не выдержал, после чего интерес военных к нему заметно уменьшился. (3862).</w:t>
      </w:r>
    </w:p>
    <w:p w14:paraId="5C8B3BC0" w14:textId="77777777" w:rsidR="00AE7191" w:rsidRPr="001E2C69" w:rsidRDefault="00AE7191" w:rsidP="00722885">
      <w:pPr>
        <w:pStyle w:val="Iauiue"/>
        <w:jc w:val="both"/>
        <w:rPr>
          <w:color w:val="000000" w:themeColor="text1"/>
          <w:sz w:val="16"/>
          <w:szCs w:val="16"/>
        </w:rPr>
      </w:pPr>
    </w:p>
    <w:p w14:paraId="6480186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началась сборка первых облегченных КВ в утвержденном виде, но еще до их окончания было приня</w:t>
      </w:r>
      <w:r w:rsidRPr="001E2C69">
        <w:rPr>
          <w:rFonts w:ascii="Times New Roman" w:hAnsi="Times New Roman"/>
          <w:color w:val="000000" w:themeColor="text1"/>
          <w:sz w:val="16"/>
          <w:szCs w:val="16"/>
        </w:rPr>
        <w:softHyphen/>
        <w:t>то решение о разворачивании на заводе выпуска Т-34, а сборку КВ планировалось сократить по крайней мере в два раза — до 450 танков в квартал. Однако доводка облегченной машины продолжалась. По сравнению с танком КВ-1, на ней до 60 мм была снижена толщина бортовой брони корпуса (лишь лоб подбашенной коробки сохранил толщину 75 мм), широко введено броневое литье, установлена уменьшенная башня новой конструкции с командирской башенкой кругового обзора. Помимо новой КПП с силуминовым картером (дефицит алюминия уже был в прошлом) и бортредукто-ров, на танк был установлен новый главный фрикцион, новая система охлаждения, применены облегченные опорные катки, ленивец и облегченные гусеничные цепи. Этот танк получил индекс КВ-1 С («скоростной»). С 28 июля по 26 августа два танка КВ- 1С прошли государст</w:t>
      </w:r>
      <w:r w:rsidRPr="001E2C69">
        <w:rPr>
          <w:rFonts w:ascii="Times New Roman" w:hAnsi="Times New Roman"/>
          <w:color w:val="000000" w:themeColor="text1"/>
          <w:sz w:val="16"/>
          <w:szCs w:val="16"/>
        </w:rPr>
        <w:softHyphen/>
        <w:t>венные испытания, еще до окончания которых - 20 авгус</w:t>
      </w:r>
      <w:r w:rsidRPr="001E2C69">
        <w:rPr>
          <w:rFonts w:ascii="Times New Roman" w:hAnsi="Times New Roman"/>
          <w:color w:val="000000" w:themeColor="text1"/>
          <w:sz w:val="16"/>
          <w:szCs w:val="16"/>
        </w:rPr>
        <w:softHyphen/>
        <w:t>та - новый танк был принят на вооружение Красной Армии. Он в самом деле оправдывал свое название, ибо его масса снизилась до 42,3 тонны, а максимальная ско</w:t>
      </w:r>
      <w:r w:rsidRPr="001E2C69">
        <w:rPr>
          <w:rFonts w:ascii="Times New Roman" w:hAnsi="Times New Roman"/>
          <w:color w:val="000000" w:themeColor="text1"/>
          <w:sz w:val="16"/>
          <w:szCs w:val="16"/>
        </w:rPr>
        <w:softHyphen/>
        <w:t>рость возросла до 43 км/ч по шоссе. Однако это было достигнуто за счет снижения броне</w:t>
      </w:r>
      <w:r w:rsidRPr="001E2C69">
        <w:rPr>
          <w:rFonts w:ascii="Times New Roman" w:hAnsi="Times New Roman"/>
          <w:color w:val="000000" w:themeColor="text1"/>
          <w:sz w:val="16"/>
          <w:szCs w:val="16"/>
        </w:rPr>
        <w:softHyphen/>
        <w:t>вой защиты танка, и если летом-осенью такое решение еще могло быть оправданным, то к лету 1942 г. ситуация изме</w:t>
      </w:r>
      <w:r w:rsidRPr="001E2C69">
        <w:rPr>
          <w:rFonts w:ascii="Times New Roman" w:hAnsi="Times New Roman"/>
          <w:color w:val="000000" w:themeColor="text1"/>
          <w:sz w:val="16"/>
          <w:szCs w:val="16"/>
        </w:rPr>
        <w:softHyphen/>
        <w:t>нилась. Теперь в вермахт начали поступать новые 75-мм противотанковые пушки Рак 40, танки Т Ш и Т 1У стали вооружаться длинноствольными 50- и 75-мм орудиями. Повсеместно вводились кумулятивные и подкалиберные боеприпасы. Все это привело к тому, что танк КВ утратил часть своих боевых качеств и в целом сравнялся с Т-34 (10782).</w:t>
      </w:r>
    </w:p>
    <w:p w14:paraId="21351796"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7D2A120" w14:textId="77777777" w:rsidR="004D6E34" w:rsidRPr="001E2C69" w:rsidRDefault="004D6E34" w:rsidP="00722885">
      <w:pPr>
        <w:shd w:val="clear" w:color="auto" w:fill="FFFFFF"/>
        <w:spacing w:after="0" w:line="240" w:lineRule="auto"/>
        <w:jc w:val="both"/>
        <w:rPr>
          <w:rStyle w:val="920"/>
          <w:rFonts w:ascii="Times New Roman" w:hAnsi="Times New Roman" w:cs="Times New Roman"/>
          <w:color w:val="000000" w:themeColor="text1"/>
          <w:sz w:val="16"/>
          <w:szCs w:val="16"/>
        </w:rPr>
      </w:pPr>
      <w:r w:rsidRPr="001E2C69">
        <w:rPr>
          <w:rStyle w:val="920"/>
          <w:rFonts w:ascii="Times New Roman" w:hAnsi="Times New Roman" w:cs="Times New Roman"/>
          <w:color w:val="000000" w:themeColor="text1"/>
          <w:sz w:val="16"/>
          <w:szCs w:val="16"/>
        </w:rPr>
        <w:lastRenderedPageBreak/>
        <w:t>С июля 1942 года начать испытания элементов ходо</w:t>
      </w:r>
      <w:r w:rsidRPr="001E2C69">
        <w:rPr>
          <w:rStyle w:val="920"/>
          <w:rFonts w:ascii="Times New Roman" w:hAnsi="Times New Roman" w:cs="Times New Roman"/>
          <w:color w:val="000000" w:themeColor="text1"/>
          <w:sz w:val="16"/>
          <w:szCs w:val="16"/>
        </w:rPr>
        <w:softHyphen/>
        <w:t>вой части КВ-13 на одном из КВ-1. Работы шли по остаточному принципу - приоритетом стали работы над КВ-1с, в кото</w:t>
      </w:r>
      <w:r w:rsidRPr="001E2C69">
        <w:rPr>
          <w:rStyle w:val="920"/>
          <w:rFonts w:ascii="Times New Roman" w:hAnsi="Times New Roman" w:cs="Times New Roman"/>
          <w:color w:val="000000" w:themeColor="text1"/>
          <w:sz w:val="16"/>
          <w:szCs w:val="16"/>
        </w:rPr>
        <w:softHyphen/>
        <w:t xml:space="preserve">ром вовсю использовались наработки по КВ-13 (особенно хорошо это видно по башне) (19872). </w:t>
      </w:r>
    </w:p>
    <w:p w14:paraId="267C2CA8" w14:textId="77777777" w:rsidR="004D6E34" w:rsidRPr="001E2C69" w:rsidRDefault="004D6E34" w:rsidP="00722885">
      <w:pPr>
        <w:shd w:val="clear" w:color="auto" w:fill="FFFFFF"/>
        <w:spacing w:after="0" w:line="240" w:lineRule="auto"/>
        <w:jc w:val="both"/>
        <w:rPr>
          <w:rStyle w:val="920"/>
          <w:rFonts w:ascii="Times New Roman" w:hAnsi="Times New Roman" w:cs="Times New Roman"/>
          <w:color w:val="000000" w:themeColor="text1"/>
          <w:sz w:val="16"/>
          <w:szCs w:val="16"/>
        </w:rPr>
      </w:pPr>
    </w:p>
    <w:p w14:paraId="0CD6AC1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года была принята на вооружение САУ СГ-122, которая представляла собой ту же гаубицу М-30, но установленную на шасси трофейного StuG III. САУ оказалась неудачной и была быстро снята с вооружения (3862).</w:t>
      </w:r>
    </w:p>
    <w:p w14:paraId="2295871D" w14:textId="77777777" w:rsidR="00AE7191" w:rsidRPr="001E2C69" w:rsidRDefault="00AE7191" w:rsidP="00722885">
      <w:pPr>
        <w:pStyle w:val="Iauiue"/>
        <w:jc w:val="both"/>
        <w:rPr>
          <w:color w:val="000000" w:themeColor="text1"/>
          <w:sz w:val="16"/>
          <w:szCs w:val="16"/>
        </w:rPr>
      </w:pPr>
    </w:p>
    <w:p w14:paraId="5D6D2E5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года, стремясь компенсировать неизбежную потерю СТЗ, ГОКО дал задание Челябинскому Кировскому заводу приступить к выпуску Т-34 (3862).</w:t>
      </w:r>
    </w:p>
    <w:p w14:paraId="4096978B" w14:textId="77777777" w:rsidR="00AE7191" w:rsidRPr="001E2C69" w:rsidRDefault="00AE7191" w:rsidP="00722885">
      <w:pPr>
        <w:pStyle w:val="Iauiue"/>
        <w:jc w:val="both"/>
        <w:rPr>
          <w:color w:val="000000" w:themeColor="text1"/>
          <w:sz w:val="16"/>
          <w:szCs w:val="16"/>
        </w:rPr>
      </w:pPr>
    </w:p>
    <w:p w14:paraId="0B7025F9" w14:textId="77777777" w:rsidR="00FE59A3" w:rsidRPr="008A2E5A" w:rsidRDefault="00FE59A3" w:rsidP="00FE59A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июля 1942 г. в результате эвакуации сталинградского танкостроительного центра уральские заводы (Кировский завод и завод № 76) временно стали единственными производителями В-2. Челябинское предприятие должно было повысить выпуск в течение второй половины 1942 г. с 850 моторов в месяц в июне до 1400 в декабре, то есть более чем в 1,5 раза. Точно так же для свердловского завода план увелчился с 420 до 700 моторов в месяц[1067]. Однако необходимо отметить, что планы увеличения общего производства танков и двигателей на III квартал были составлены еще в начале июня 1942 г., то есть еще до начала эвакуации сталинградских предприятий (она состоялась во второй половине июля). Но таких показателей ни один завод не смог достигнуть и к концу войны. Поэтому уже в начале 1943 г. планы (и месячные, и квартальные) для всех заводов были значительно сокращены. Более того, до начала эвакуации СТЗ власти рассчитывали, что с ноября 1943 г. дополнительно к существующим мощностям (в том числе и СТЗ) начнет действовать дизельный завод в Барнауле. Его проектная мощность составляла 2 тыс. двигателей в год[1068]. Именно на эту площадку и было эвакуировано сталинградское производство В-2 (23536).</w:t>
      </w:r>
    </w:p>
    <w:p w14:paraId="686D67F8" w14:textId="77777777" w:rsidR="00FE59A3" w:rsidRPr="008A2E5A" w:rsidRDefault="00FE59A3" w:rsidP="00FE59A3">
      <w:pPr>
        <w:spacing w:after="0" w:line="240" w:lineRule="auto"/>
        <w:jc w:val="both"/>
        <w:rPr>
          <w:rFonts w:ascii="Times New Roman" w:hAnsi="Times New Roman"/>
          <w:color w:val="0070C0"/>
          <w:sz w:val="16"/>
          <w:szCs w:val="16"/>
        </w:rPr>
      </w:pPr>
    </w:p>
    <w:p w14:paraId="483A7CDF" w14:textId="77777777" w:rsidR="00FE59A3" w:rsidRPr="008A2E5A" w:rsidRDefault="00FE59A3" w:rsidP="00FE59A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1942 г., в связи с началом производства в Свердловске средних танков Т-34, завод № 37 НКТП перестал существовать и вошел в состав УЗТМ. Следовательно, в Свердловске закончилась недолгая история производства легких танков. Все опытные разработки новых легких машин для Уралмаша оказались лишними. У нового производства была совершенно иная задача - организация выпуска среднего танка. В этих условиях про данные разработки легких машин в Свердловске забыли и не вспоминали уже никогда (23536).</w:t>
      </w:r>
    </w:p>
    <w:p w14:paraId="06D54072" w14:textId="77777777" w:rsidR="00FE59A3" w:rsidRPr="008A2E5A" w:rsidRDefault="00FE59A3" w:rsidP="00FE59A3">
      <w:pPr>
        <w:spacing w:after="0" w:line="240" w:lineRule="auto"/>
        <w:jc w:val="both"/>
        <w:rPr>
          <w:rFonts w:ascii="Times New Roman" w:hAnsi="Times New Roman"/>
          <w:color w:val="0070C0"/>
          <w:sz w:val="16"/>
          <w:szCs w:val="16"/>
        </w:rPr>
      </w:pPr>
    </w:p>
    <w:p w14:paraId="6C40793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июль 1942 года пришелся пик производства танков Т-34 на Сталинградском тракторном - за этот месяц завод сдал Красной Армии 421 тридцатьчетверку. Однако далось это дорогой ценой - приходилось использовать по ряду деталей вместо алюминия, бронзы и латуни, которых катастрофически не хватало, сталь или чугун, вместо медных трубок в трубопроводах появились стальные, отменили лужение топливных и масляных баков. У завода возникли перебои с оптикой из-за несвоевременной ее поставки - приходилось использовать приборы, имеющееся в наличии и спешно приспосабливать их для установки на танки (12217).</w:t>
      </w:r>
    </w:p>
    <w:p w14:paraId="007775B9"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1EBF0FC" w14:textId="77777777" w:rsidR="00573D52" w:rsidRPr="001E2C69" w:rsidRDefault="00573D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июле 1942 года проект У-22 оказался в Арткоме ГАУ.</w:t>
      </w:r>
    </w:p>
    <w:p w14:paraId="53889E8E" w14:textId="77777777" w:rsidR="00573D52" w:rsidRPr="001E2C69" w:rsidRDefault="00573D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Потерпев неудачу с тяжелым танком, было решено обратить свой взор на платформу среднего танка Т-34. Как раз весной 1942 года началось по-настоящему валовое производство Т-34 на заводе №183 в Нижнем Тагиле. НКТП санкционировал совместную работу конструкторских бюро заводов №8 и №183. Система для установки в Т-34 получила обозначение У-22 и минимально отличалась от первоначальной разработки. Для того чтобы в башню влезло более крупное орудие, ее пришлось несколько переделать. Согласно расчетам, боевая масса такого «артиллерийского танка» составила бы 30,7 тонн, что примерно соответствовало массе обычного Т-34.</w:t>
      </w:r>
    </w:p>
    <w:p w14:paraId="3B379CF7" w14:textId="77777777" w:rsidR="00573D52" w:rsidRPr="001E2C69" w:rsidRDefault="00573D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Ответ оказался вполне ожидаемым:</w:t>
      </w:r>
    </w:p>
    <w:p w14:paraId="5F8D861F" w14:textId="77777777" w:rsidR="00573D52" w:rsidRPr="001E2C69" w:rsidRDefault="00573D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«Проектом предусматривается установка опытного образца 122 мм танковой гаубицы У-11 в новой башне танка Т-34, при сохранении существующего погона башни.</w:t>
      </w:r>
    </w:p>
    <w:p w14:paraId="535F3DA9" w14:textId="77777777" w:rsidR="00573D52" w:rsidRPr="001E2C69" w:rsidRDefault="00573D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В виду того, что при предложенной установке в боевом отделении вмещается только два человека для обслуживания орудия, что совершенно недостаточно для нормальной работы при гаубице, данный проект интереса не представляет и подлежит отклонению.</w:t>
      </w:r>
    </w:p>
    <w:p w14:paraId="07CD538A" w14:textId="77777777" w:rsidR="00573D52" w:rsidRPr="001E2C69" w:rsidRDefault="00573D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При наличии образца установки этой гаубицы в более просторной башне танка КВ, не удовлетворяющего по удобству обслуживания и скорострельности предъявляемым требованиям, разработка присланного проекта явно нецелесообразна.</w:t>
      </w:r>
    </w:p>
    <w:p w14:paraId="6B0A921F" w14:textId="77777777" w:rsidR="00573D52" w:rsidRPr="001E2C69" w:rsidRDefault="00573D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Во избежание непроизводительной траты сил и средств в дальнейшем Артком ГАУ считал бы правильным, чтобы все инициативные работы конструкторского бюро предварительно согласовывались с ГАУ КА» (17680).</w:t>
      </w:r>
    </w:p>
    <w:p w14:paraId="0F94A9EC" w14:textId="77777777" w:rsidR="00573D52" w:rsidRPr="001E2C69" w:rsidRDefault="00573D52" w:rsidP="00722885">
      <w:pPr>
        <w:spacing w:after="0" w:line="240" w:lineRule="auto"/>
        <w:jc w:val="both"/>
        <w:rPr>
          <w:rFonts w:ascii="Times New Roman" w:eastAsia="Times New Roman" w:hAnsi="Times New Roman"/>
          <w:color w:val="000000" w:themeColor="text1"/>
          <w:sz w:val="16"/>
          <w:szCs w:val="16"/>
          <w:lang w:eastAsia="ru-RU"/>
        </w:rPr>
      </w:pPr>
    </w:p>
    <w:p w14:paraId="5547838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года по предложению профессора Военно-морской академии Н. Петровского на бронерембазе № 7 изготовили танк Т-34 для подводного вождения, при котором воздух подавался через гофрированный шланг, один конец которого закреплялся на башне, а второй на специальном поплавке на поверхности воды.</w:t>
      </w:r>
    </w:p>
    <w:p w14:paraId="338E704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июля 1942 года танк испытали на реке Прямая Болда в районе Астраханской ГЭС. Машина прошла по дну реки шириной 250 метров и максимальной глубиной 7,7 метра. Дальнейшего развития эта работа не получила (12217).</w:t>
      </w:r>
    </w:p>
    <w:p w14:paraId="7A75DBCF"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67E7EC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года техусловия на бронелист были вновь ужесточены. Но в обстановке нехватки ресурсов заводы вынуждены были принимать и даже некондиционные партии брони с отступлением от техусловий на основе взаимной договорённости. Положение улучшилось после того, как в конце 1942 года на танковых и бронекорпусных заводах начали проводить селекцию поступающего бронелиста, используя партии с повышенным содержанием углерода для изготовления менее подверженных трещинам деталей. Этот метод быстро дал свои плоды. Например, благодаря этому приёму к марту 1943 года почти исчезли трещины на бронекорпусах, производимых УЗТМ (РГАЭ. Ф. 8798. Оп. 4. Д. 20. Л. 54).</w:t>
      </w:r>
    </w:p>
    <w:p w14:paraId="0DD14A9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наибольшей степени подвержены дефекту тонщин были те детали, которые изготовлялись из высокоуглеродистой брони повышенной твёрдости, особенно те партии, где содержание углерода приближалось к верхней допустимой границе. Зачастую содержание углерода по причине отступления на металлургических заводах от технических условий даже превышало максимальную норму.</w:t>
      </w:r>
    </w:p>
    <w:p w14:paraId="3128521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Другим способом, позволившим радикально уменьшить число трещин, стал подбор ширины бронелиста при прокате. Специально прокатывая бронелист такой ширины, которая требовалась для изготовления ряда деталей, удалось избежать обрезки бронелиста. Это не только позволяло высвободить часть рабочей силы и оборудования с тяжелых огнерезных работ, но и позволяло сократить количество трещин, которые могли бы появиться как результат воздействия на металл огневой резки. Другим направлением поисков стала оптимизация режимов сварки. Воздействие процесса сварки на металл могло привести к возникновению внутренней напряженности, но грамотно установленный порядок её осуществления (с какого места начинать варить и в какую сторону) позволял этого избежать, для чего потребовалось добиться точного соблюдения техпроцесса сварщиками. В конечном итоге благодаря целому комплексу произведённых мероприятий удалось преодолеть проблему трещин (12290).</w:t>
      </w:r>
    </w:p>
    <w:p w14:paraId="72E1E2CA"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EC6668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Уралмашзавод в инициативном порядке разработал проект средней САУ на базе Т-34, получившей обозначение У-34. Предлагали вместо башни поставить рубку с 76-мм танковой пушкой Ф-34. Из-за начала серии Т-34 на заводе работы прекратили (4406).</w:t>
      </w:r>
    </w:p>
    <w:p w14:paraId="7C592322" w14:textId="77777777" w:rsidR="00AE7191" w:rsidRPr="001E2C69" w:rsidRDefault="00AE7191" w:rsidP="00722885">
      <w:pPr>
        <w:pStyle w:val="Iauiue"/>
        <w:jc w:val="both"/>
        <w:rPr>
          <w:color w:val="000000" w:themeColor="text1"/>
          <w:sz w:val="16"/>
          <w:szCs w:val="16"/>
        </w:rPr>
      </w:pPr>
    </w:p>
    <w:p w14:paraId="02A5CF7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 танк Т-34 с командирской башенкой был разработан в Нижнем Та</w:t>
      </w:r>
      <w:r w:rsidRPr="001E2C69">
        <w:rPr>
          <w:rFonts w:ascii="Times New Roman" w:hAnsi="Times New Roman"/>
          <w:color w:val="000000" w:themeColor="text1"/>
          <w:sz w:val="16"/>
          <w:szCs w:val="16"/>
        </w:rPr>
        <w:softHyphen/>
        <w:t>гиле конструкторским бюро КБ-520 завода № 183 под ру</w:t>
      </w:r>
      <w:r w:rsidRPr="001E2C69">
        <w:rPr>
          <w:rFonts w:ascii="Times New Roman" w:hAnsi="Times New Roman"/>
          <w:color w:val="000000" w:themeColor="text1"/>
          <w:sz w:val="16"/>
          <w:szCs w:val="16"/>
        </w:rPr>
        <w:softHyphen/>
        <w:t>ководством главного конструктора А.А. Морозова. Изготовленный опытный образец танка в период с 9 по 16 августа 1942 г. прошел испы</w:t>
      </w:r>
      <w:r w:rsidRPr="001E2C69">
        <w:rPr>
          <w:rFonts w:ascii="Times New Roman" w:hAnsi="Times New Roman"/>
          <w:color w:val="000000" w:themeColor="text1"/>
          <w:sz w:val="16"/>
          <w:szCs w:val="16"/>
        </w:rPr>
        <w:softHyphen/>
        <w:t>тания на артиллерийском полигоне в Нижней Тагиле. На вооружение танк не принимался и в серийном производстве не состоял (10703).</w:t>
      </w:r>
    </w:p>
    <w:p w14:paraId="2E156C8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06F1AF39"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В июле 1943 выпускался Т-34, который являлся дальнейшим развитием среднего танка Т-34 выпускавшегося в 1941 г. на заводе № 183 в г. Харькове до эвакуации в г. Нижний Тагил. Танк был разработан конструкторским бюро «520» (КБ-520) завода № 183 (г. Нижний Тагил) под руководством главного конструктора завода А.А. Морозова и начальника КБ-520 Н.А. Кучеренко. Танк отличался от предыдущей модификации, прежде всего установкой новой более просторной (т.н. «шестигранной») литой башни. Кроме того, в конструкцию танка было внесено значительное число изменений, произведенных с целью снижения трудоемкости производства и переводом изготовления большинства деталей со штамповки на литье. </w:t>
      </w:r>
    </w:p>
    <w:p w14:paraId="00DBD3F6"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Танк с экипажем из четырех человек имел классическую схему общей компоновки, получившую широкое распространение в послевоенном мировом танкостроении. Корпус танка был разделен на четыре отделения: управления, боевое, моторное и трансмиссионное. Отделение управления располагалось в носовой части корпуса танка и в нем слева находилось рабочее место механика-водителя, справа – стрелка-радиста. Забронированный объем отделения управления составлял 2,2 м3. В боевом отделении слева от пушки размещался командир танка (он же наводчик), справа от нее – заряжающий. Моторное отделение располагалось за боевым, и было отделено от него разборной перегородкой. Забронированный объем моторного отделения составлял 3,7 м3. Трансмиссионное отделение располагалось в кормовой части танка, и его забронированный объем составлял 1,5 м3. </w:t>
      </w:r>
    </w:p>
    <w:p w14:paraId="0C5F24F7"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В отделении управления размещались: сиденья механика-водителя и стрелка-радиста, механические приводы управления движением танка, контрольно-измерительные приборы (КИП), пулемет ДТ в шаровой установке, часть боекомплекта, привод к поперечным жалюзи, два баллона со сжатым воздухом, часть комплекта ЗИП (запасные части, инструмент и принадлежности). </w:t>
      </w:r>
    </w:p>
    <w:p w14:paraId="3919CBB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 xml:space="preserve">В лобовом листе корпуса танка имелся люк механика-водителя, который предназначался для посадки (высадки) механика-водителя и стрелка-радиста в танк, а также для наблюдения механиком-водителем за местностью при отсутствии огневого воздействия противника. В боевой обстановке люк закрывался броневой крышкой на петлях и запирался двумя задрайками. В нижней части крышки между задрайками располагался самозапирающийся пружинный замок, корпус которого был приварен с внутренней стороны крышки. Для облегчения открывания крышка люка механика-водителя была оснащена пружинным уравновешивающим механизмом. В открытом положении крышка люка фиксировалась стопором. Для фиксирования крышки люка в одном из шести положений необходимо было, вращая маховичок, ввести зуб стопора в одну из выемок, расположенных на штоке уравновешивающего механизма. </w:t>
      </w:r>
    </w:p>
    <w:p w14:paraId="2DA9AC86"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В крышке люка имелось два окна для перископических смотровых приборов механика-водителя. Каждый перископический прибор представлял собой призму из силикатного или органического стекла. Для защиты глаз механика-водителя от осколков призмы в случае ее повреждения было установлено общее для обоих перископов защитное стекло. От воздействия пуль и осколков призмы закрывались снаружи броневыми крышками. Каждая крышка открывалась с помощью ручного привода и могла фиксироваться в трех открытых положениях. В случае повреждения призма заменялась запасной. Четыре запасных призмы хранились в обоймах в ящике, находящемся в боевом отделении. Для увеличения горизонтального угла обзора смотровые приборы располагались под углом к продольной оси люка с разворотом в сторону бортов. Горизонтальный сектор наблюдения правого прибора составлял 95°, левого – 85°. Вертикальный сектор наблюдения – 27°. Непросматриваемое пространство перед танком составляло 5,7 м.</w:t>
      </w:r>
    </w:p>
    <w:p w14:paraId="614C5BE8"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В отделении управления в носовой части днища танка, у ног стрелка-радиста, располагался запасный (аварийный) люк-лаз. </w:t>
      </w:r>
    </w:p>
    <w:p w14:paraId="496EBB35"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Органы управления движением танка включали в себя левый и правый рычаги управления поворотом, педали главного фрикциона, горного (стояночного) тормоза, подачи топлива и рычаг (кулиса) переключения передач. Педали главного фрикциона, горного тормоза и подачи топлива распо-лагались слева направо, как в обычном автомобиле, а число контрольно-измерительных приборов было сведено к минимуму. </w:t>
      </w:r>
    </w:p>
    <w:p w14:paraId="3810B79F"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В боевом отделении располагались рабочие места командира танка и заряжающего, основное и часть вспомогательного вооружения танка. У правого и левого бортов корпуса танка в боевом отделении за съемными стальными листами (фальшбортами) устанавливались по два топливных бака. На полу в специальных стальных снарядных ящиках ("чемоданах") и у бортов размещалась основная часть боекомплекта к пушке. Посадка и выход командира и заряжающего осуществлялись через два круглых люка в крыше башни, которые закрывались откидными крышками на петлях. </w:t>
      </w:r>
    </w:p>
    <w:p w14:paraId="746120A8"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В боевой обстановке командир вел круговое наблюдение, используя перископический панорамный прибор ПТК. Прицел устанавливался неподвижно в крыше башни танка. Головная часть прицела возвышалась над крышей, а окуляр находился на уровне глаз сидящего на сиденье командира. В приборе имелся механизм кругового обзора, позволявший вращать головную призму вокруг вертикальной оси на 360° при неподвижном корпусе и окуляре. Оптическая система прибора имела 2,5-кратное увеличение и поле зрения в 26°. Она позволяла вести наблюдение в вертикальной плоскости в секторе от -15° до +30°. Данный оптический прибор позволял на большей дистанции и с лучшей достоверностью обнаруживать цели по сравнению с приборами наблюдения без увеличения, теми, что применялись в командирских башенках немецких средних танков Т-III и Т-IV (смотровые щели с пятислойным стеклом). Для улучшения обзорности по бортам башни танка были установлены смотровые приборы (слева – для командира танка, справа – для заряжающего). В горизонтальной плоскости каждый прибор обеспечивал обзор в секторе 90° и в вертикальной плоскости в секторе ± 6°. Корпус каждого бокового смотрового прибора был приварен к внутренней стенки башне так, что вырез его находился против щели башни. Смотровая щель закрывалась броневой заслонкой. При наблюдении заслонка опускалась вниз. Во время боя глаза наблюдателя от свинцовых брызг предохраняло двухслойное защитное стекло. Непросматриваемое («мертвое») пространство при наблюдении через смотровые щели в башне составляло 17 м. </w:t>
      </w:r>
    </w:p>
    <w:p w14:paraId="4D2EBB53"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наводчика осложняло работу по управлению боем в том случае, когда командир танка являлся командиром подразделения или части. Кроме выполнения основной своей обязанности, заряжающий мог вести автономную стрельбу из спаренного с пушкой пулемета ДТ, при снятии его со стопора. Конструкция пулеметной установки позволяла вести стрельбу в вертикальной плоскости в секторе ± 5° и в горизонтальной плоскости в секторе ± 4,5°. </w:t>
      </w:r>
    </w:p>
    <w:p w14:paraId="14D54761"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Забронированный объем моторного отделения составлял 3,7 м3. В нем размещались: дизель В-2 с установленным на нем воздухоочистителем, ра-диаторы системы охлаж-дения двигателя, масляные баки системы смазки двигателя и аккуму-ляторные батареи. </w:t>
      </w:r>
    </w:p>
    <w:p w14:paraId="5520211D"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В трансмиссионном отделении размещались: главный фрикцион с центробежным вентиля-тором, коробка передач, бортовые фрикционы, электростартер, бортовые редуктора и два топливных бака. Забронированный объем трансмис-сионного отделения составлял 1,5 м3. </w:t>
      </w:r>
    </w:p>
    <w:p w14:paraId="4CA33D4F"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Основным оружием танка являлась модернизированная 76,2-мм танковая пушка Ф-34 обр. 1940 г. Модернизация пушки заключалась главным образом в упрощении затвора и его унификации с затворами 76,2 мм пушек ЗИС-5 и ЗИС-3. В опускавшемся вниз клиновом затворе была изменена полуавтоматика механического (копирного) типа. В тормозе отката был упразднен компенсатор, а также были изменены ручной и ножной спусковые механизмы. Масса качающихся частей пушки составляла 1155 кг. Ствол длиной 41,5 калибра имел постоянную крутизну нарезов. Нарезная часть трубы ствола имела 32 нареза и длину 2562 мм. Боевая скорострельность пушки Ф-34 при закрытых люках башни составляла 5 – 6 выстрелов в минуту. </w:t>
      </w:r>
    </w:p>
    <w:p w14:paraId="2D73EF7E"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Непростреливаемое пространство перед танком достигало 6,8 м. Боекомплект к пушке состоял из 77 бронебойных и осколочно-фугасных выстрелов, из которых 68 находились в 6-ти больших (по 9 снарядов) и 2-х малых (по 7 снарядов) металлических ящиках расположенных на полу боевого отделения. Остальные выстрелы размещались в боеукладке (кассетах) на правой (3) и левой (6) стенках корпуса танка. </w:t>
      </w:r>
    </w:p>
    <w:p w14:paraId="53B78EE9"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При отправке с завода танк комплектовался 30 пулеметными дисками емкостью по 63 патрона. В танке также укладывались: один 7,62-мм пистолет-пулемет ППШ с 4 запасными дисками и 25 ручных гранат Ф-1. </w:t>
      </w:r>
    </w:p>
    <w:p w14:paraId="43F26E31"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Броневая защита танка – дифференцированная, противоснарядная. Броневой корпус танка представляет собой жесткую сварную коробку из литой и катаной брони толщиной 20 и 45 мм. Форма корпуса, имевшая большие углы наклона броневых листов, обеспечивала рациональное использование его объема и высокую бронестойкость. Корпус состоял из следующих основных частей: носовой (лобовой) части, бортов, кормы, днища, крыши и поперечных перегородок. </w:t>
      </w:r>
    </w:p>
    <w:p w14:paraId="467A16B5"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Лобовая часть корпуса состояла из верхнего (34.29.904) и нижнего (34.29.905) катаных броневых листов толщиной 45 мм, изготовленных из гомогенной броневой стали высокой твердости марки 8С (МЗ-2), скрепленных литой балкой (34.29.906), изготовленной из той же броневой стали, что и лобовые броневые листы. Такая броня при больших углах наклона и отношении толщины брони к диаметру снаряда близком к единице обладала более высокой стойкостью, чем другие марки броневой стали. </w:t>
      </w:r>
    </w:p>
    <w:p w14:paraId="54C5ED7A" w14:textId="77777777" w:rsidR="00AE7191" w:rsidRPr="001E2C69" w:rsidRDefault="00AE7191" w:rsidP="00722885">
      <w:pPr>
        <w:pStyle w:val="314"/>
        <w:shd w:val="clear" w:color="auto" w:fill="auto"/>
        <w:spacing w:line="240" w:lineRule="auto"/>
        <w:rPr>
          <w:rFonts w:ascii="Times New Roman" w:hAnsi="Times New Roman" w:cs="Times New Roman"/>
          <w:i w:val="0"/>
          <w:iCs w:val="0"/>
          <w:noProof w:val="0"/>
          <w:color w:val="000000" w:themeColor="text1"/>
          <w:spacing w:val="0"/>
          <w:sz w:val="16"/>
          <w:szCs w:val="16"/>
          <w:lang w:val="ru-RU"/>
        </w:rPr>
      </w:pPr>
      <w:r w:rsidRPr="001E2C69">
        <w:rPr>
          <w:rFonts w:ascii="Times New Roman" w:hAnsi="Times New Roman" w:cs="Times New Roman"/>
          <w:i w:val="0"/>
          <w:iCs w:val="0"/>
          <w:color w:val="000000" w:themeColor="text1"/>
          <w:spacing w:val="0"/>
          <w:sz w:val="16"/>
          <w:szCs w:val="16"/>
          <w:lang w:val="ru-RU"/>
        </w:rPr>
        <w:t>Верхний лобовой лист своей нижней кромкой был приварен к балке, являвшейся связующим звеном нижнего и верхнего лобовых листов, а верхней кромкой – к переднему подбашенному листу (34.29.1705). В верхнем лобовом листе корпуса с правой стороны было сделано овальное отверстие, к кромкам которого приваривалась броневая защита (колпак) для шаровой установки пулемета ДТ. Слева от нее имелся люк механика-водителя, который закрывается литой броневой крышкой на петлях. Наличие люка механика-водителя и шаровой установки курсового пулемета на верхнем лобовом листе корпуса снижало его снарядостойкость.</w:t>
      </w:r>
    </w:p>
    <w:p w14:paraId="48344559"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В нижней части верхнего лобового листа имелось два отверстия для доступа к хвостовикам червяков механизмов натяжения гусениц. Отверстия были закрыты броневыми заглушками на резьбе. Рядом с отверстиями (ближе к продольной оси танка) были приварены буксирные крюки с защелками. Аналогичные по конструкции буксирные крюки вваривались и в нижний кормовой лист корпуса танка. </w:t>
      </w:r>
    </w:p>
    <w:p w14:paraId="185553FB"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Нижний лобовой лист корпуса танка своей верхней кромкой приваривался к балке, боковыми кромками – к вертикальным листам бортов, а нижней кромкой – к днищу. </w:t>
      </w:r>
    </w:p>
    <w:p w14:paraId="1C838633" w14:textId="77777777" w:rsidR="00AE7191" w:rsidRPr="001E2C69" w:rsidRDefault="00AE7191" w:rsidP="00722885">
      <w:pPr>
        <w:pStyle w:val="314"/>
        <w:shd w:val="clear" w:color="auto" w:fill="auto"/>
        <w:spacing w:line="240" w:lineRule="auto"/>
        <w:rPr>
          <w:rFonts w:ascii="Times New Roman" w:hAnsi="Times New Roman" w:cs="Times New Roman"/>
          <w:i w:val="0"/>
          <w:iCs w:val="0"/>
          <w:noProof w:val="0"/>
          <w:color w:val="000000" w:themeColor="text1"/>
          <w:spacing w:val="0"/>
          <w:sz w:val="16"/>
          <w:szCs w:val="16"/>
          <w:lang w:val="ru-RU"/>
        </w:rPr>
      </w:pPr>
      <w:r w:rsidRPr="001E2C69">
        <w:rPr>
          <w:rFonts w:ascii="Times New Roman" w:hAnsi="Times New Roman" w:cs="Times New Roman"/>
          <w:i w:val="0"/>
          <w:iCs w:val="0"/>
          <w:color w:val="000000" w:themeColor="text1"/>
          <w:spacing w:val="0"/>
          <w:sz w:val="16"/>
          <w:szCs w:val="16"/>
          <w:lang w:val="ru-RU"/>
        </w:rPr>
        <w:t>Левый и правый борт корпуса состоял из нижнего (34.29.006) и верхнего (34.29.013) броневых листов. Нижний броневой лист располагался вертикально, а верхний (подкрылок) – наклонно (под углом 40° от вертикали). Верхний и нижний броневые листы соединялись (с помощью сварки) между собой горизонтальными броневыми листами – днищем подкрылка (34.29.1636 и 34.29.1637). В вертикальном броневом листе борта было вырезано четыре отверстия для прохода кронштейнов балансиров опорных катков, круглое отверстие для кронштейна балансира первого опорного катка и четыре дугообразных выреза для цапф балансиров. С наружной стороны борта было приварено шесть кронштейнов для крепления резиновых упоров, ограничивавших ход балансиров опорных катков вверх, кронштейн кривошипа направляющего колеса (ленивца) и четыре стойки для крепления планок ограничения горизонтального перемещения балансира. С внутренней стороны к борту приваривались четыре шахты узлов подвески и в носовой части – кронштейн переднего узла подвески. В кормовой части был борта приклепан и приварен картер бортового редуктора. В поперечном сечении корпус танка имел грибовидную форму. Такая форма корпуса увеличивала снарядостойкость наиболее поражаемой верхней части корпуса, не затрудняла обвод гусениц и не увеличивала размеров танка по ширине. Корма корпуса танка состояла из двух кормовых броневых листов – верхнего (34.29.008) и нижнего (34.29.007), и двух картеров бортовых редукторов (34.29.021 и 34.29.022). Все эти детали изготавливались из гомогенной броневой стали высокой твердости марки 8С (МЗ-2) толщиной 45 мм. Верхний броневой лист откидывался на трех петлях и крепился болтами к угольникам бортовых и нижнего кормового листов корпуса.</w:t>
      </w:r>
    </w:p>
    <w:p w14:paraId="7CC006F9"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Для доступа к агрегатам, установленным в трансмис-сионном отделении, в средней части броневого листа имелся круглый люк, закрывавшийся броневой крышкой, крепив-шейся к листу с помощью петли и семи болтов. По обе стороны от люка были расположены два отверстия, через которые проходили выхлопные трубы. Снаружи эти отверстия были защищены 20-мм броневыми колпаками (34.29.023), крепящимися к верхнему листу болтами. </w:t>
      </w:r>
    </w:p>
    <w:p w14:paraId="6DD8845A"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Днище корпуса танка является основным скрепляющим элементом и состояло из четырех частей, соединенных встык сварным швом. Соединения усиливались накладками Т-образного сечения. Листы днища изготовлялись из 20-мм гомогенной брони марки 2-П (МЗ-3). </w:t>
      </w:r>
    </w:p>
    <w:p w14:paraId="265A6150"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В переднем листе днища (34.29.1700), у ног стрелка-радиста, располагался люк-лаз овальной формы, который являлся запасным выходом для членов экипажа танка. Люк изнутри танка закрывался броневой крышкой (34.29.026), соединенной с днищем петлей. Крышка к днищу крепилась двумя задрайками, которые прижимались к фланцу люка гайками. Для быстрого запирания люка на крышке была установлена пружинная защелка. В задней части днища имелись: люк для доступа к масляному насосу и водяной помпе (428Ч292 мм), два отверстия для слива масла из маслобаков, отверстие для слива воды, два отверстия для слива топлива и лючок для слива </w:t>
      </w:r>
      <w:r w:rsidRPr="001E2C69">
        <w:rPr>
          <w:color w:val="000000" w:themeColor="text1"/>
          <w:sz w:val="16"/>
          <w:szCs w:val="16"/>
        </w:rPr>
        <w:lastRenderedPageBreak/>
        <w:t xml:space="preserve">масла из картера коробки передач (Ш 300 мм). Указанные отверстия были закрыты броневыми пробками, а люк и лючок – броневыми крышками на болтах. По краям днища у каждого борта имелось по четыре выреза, предназ-наченных для осмотра и монтажа элементов узлов подвески опорных катков. У кромок вырезов, с их внутренней стороны приваривались основания шахт узлов подвески. </w:t>
      </w:r>
    </w:p>
    <w:p w14:paraId="74541433" w14:textId="77777777" w:rsidR="00AE7191" w:rsidRPr="001E2C69" w:rsidRDefault="00AE7191" w:rsidP="00722885">
      <w:pPr>
        <w:pStyle w:val="314"/>
        <w:shd w:val="clear" w:color="auto" w:fill="auto"/>
        <w:spacing w:line="240" w:lineRule="auto"/>
        <w:rPr>
          <w:rFonts w:ascii="Times New Roman" w:hAnsi="Times New Roman" w:cs="Times New Roman"/>
          <w:i w:val="0"/>
          <w:iCs w:val="0"/>
          <w:color w:val="000000" w:themeColor="text1"/>
          <w:spacing w:val="0"/>
          <w:sz w:val="16"/>
          <w:szCs w:val="16"/>
          <w:lang w:val="ru-RU"/>
        </w:rPr>
      </w:pPr>
      <w:r w:rsidRPr="001E2C69">
        <w:rPr>
          <w:rFonts w:ascii="Times New Roman" w:hAnsi="Times New Roman" w:cs="Times New Roman"/>
          <w:i w:val="0"/>
          <w:iCs w:val="0"/>
          <w:color w:val="000000" w:themeColor="text1"/>
          <w:spacing w:val="0"/>
          <w:sz w:val="16"/>
          <w:szCs w:val="16"/>
          <w:lang w:val="ru-RU"/>
        </w:rPr>
        <w:t>Крыша корпуса танка состояла из трех основных частей: крыши над боевым отделением, крыши над моторным и крыши над трансмис-сионным отделениями. Все детали крыши корпуса изготавливались из 20-мм катанной гомогенной брони марки 2-П (МЗ-3). Крыша над боевым отделением представляла собой броневой лист, сваренный в стык из двух 20-мм броневых деталей (34.29.1704 и 34.29.1705). В крыше над боевым отделением имелся круглый вырез (Ш 1481 мм) для установки башни, отверстия</w:t>
      </w:r>
      <w:r w:rsidRPr="001E2C69">
        <w:rPr>
          <w:rFonts w:ascii="Times New Roman" w:hAnsi="Times New Roman" w:cs="Times New Roman"/>
          <w:i w:val="0"/>
          <w:iCs w:val="0"/>
          <w:noProof w:val="0"/>
          <w:color w:val="000000" w:themeColor="text1"/>
          <w:spacing w:val="0"/>
          <w:sz w:val="16"/>
          <w:szCs w:val="16"/>
          <w:lang w:val="ru-RU"/>
        </w:rPr>
        <w:t xml:space="preserve"> для болтов </w:t>
      </w:r>
      <w:r w:rsidRPr="001E2C69">
        <w:rPr>
          <w:rFonts w:ascii="Times New Roman" w:hAnsi="Times New Roman" w:cs="Times New Roman"/>
          <w:i w:val="0"/>
          <w:iCs w:val="0"/>
          <w:color w:val="000000" w:themeColor="text1"/>
          <w:spacing w:val="0"/>
          <w:sz w:val="16"/>
          <w:szCs w:val="16"/>
          <w:lang w:val="ru-RU"/>
        </w:rPr>
        <w:t xml:space="preserve">крепления нижнего погона и четыре выреза, закрывающиеся крышками, для доступа к верхним частям узлов подвески танка. Броневая крыша над моторным отделением съемная. Она состояла из среднего продольного листа (34.29.849) над двигателем и двух боковых продольных листов (34.29.850 и 34.29.851) над радиаторами системы охлаждения двигателя. Средний лист крыши над двигателем имел корытообразную форму с выпуклостью, обращенной вверх. Боковые и кормовая стенки листа усиливались приваренными 20-мм броневыми планками. В верхней части броневого листа имелся большой люк (800Ч500 мм) для доступа к двигателю, закрываемый крышкой (34.29.050) на двух петлях. Крышка люка запиралась специальным замком. В средней части листов, расположенных над радиаторами, имелись продольные окна для прохода воздуха. В этих окнах вертикально располагались броневые не регулируемые жалюзи, приваренные к поперечным перемычкам. Для заливки масла в маслобаки в продольных листах имелись закрытые броневыми крышками круглые отверстия. Над жалюзи устанавливались броневые колпаки с решетками (34.29.053 и 34.29.054). </w:t>
      </w:r>
    </w:p>
    <w:p w14:paraId="5897D612"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Крыша над трансмиссионным отделением состояла из двух броневых листов (34.29.014 и 34.29.015), расположенных над топливными баками, двух броневых листов жалюзи (34.29.037), расположенными над вентилятором, узкого поперечного броневого листа (34.29.035) и откидного колпака с сеткой, который закрывал крышу над трансмиссионным отделением, предохраняя от попадания в него посторонних предметов. Листы жалюзи, с помощью привода, фиксировались в одном из трех положений. Рукоятка привода жалюзи перемещалась механиком-водителем по сектору, установленному на левой шахте узла подвески второго опорного катка. Два лючка в крыше, закрывавшиеся броневыми крышками, предназначались для доступа к пробкам заправочных горловин кормовых топливных баков. </w:t>
      </w:r>
    </w:p>
    <w:p w14:paraId="53FC5FF5"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На танке устанавливалась литая граненая башня («гайка») с толщиной стенок 52 мм. Корпус башни (34.30.474) отливался из броневой стали марки 8С (МЗ-2). В передней наклонной стенке башни имелось прямоугольное отверстие для монтажа пушки и спаренного пулемета. Снаружи отверстие было закрыто броневым лобовым щитом (34.30.475), который крепился к башне двадцатью болтами. По бокам выреза крепились кронштейны для цапф люльки. На правом кронштейне имелась вертикальная площадка для крепления стопора пушки по-походному, а на левом (в нижней части) – направляющее отверстие для подъемного механизма пушки. В наклонных боковых стенках башни (в средней части) были прорезаны две смотровые щели, защищенные приварен-ными снаружи планками. Щели были оборудованы смотровыми приборами. В кормовой наклонной стенке башни имелось отверстие для закрепления приспособления проверки накат-ника и тормоза отката пушки. Отверстие закрывалось заглуш-кой, закрепленной изнутри башни при помощи гайки.</w:t>
      </w:r>
    </w:p>
    <w:p w14:paraId="13FA17AB"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Крыша башни (34.30.476), изготовленная из катаного броневого листа толщиной 20 мм, приваривалась к корпусу башни. В передней части крыши с левой стороны имелось отверстие под установку перископического панорамного прибора командира ПТК. Головная часть прицела была защищена литым броневым колпаком. Для посадки и высадки командира и заряжающего в средней части крыши имелись два люка диаметром по 522 мм. Люки закрывались броневыми крышками (34.30.477), крепившимися к крыше башни с помощью шарнирных петель с захватами. Захваты удерживали крышки люков в открытом положении. Крышки люков запирались замками, для облегчения открывания каждая крышка уравновешивалась торсионом (пружиной). </w:t>
      </w:r>
    </w:p>
    <w:p w14:paraId="7C6AB08B"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В кормовой части крыши башни находился люк (Ш 221 мм) для вентиляции боевого отделения. Люк закрывался приваренной сверху броневой крышкой – «колпаком» (34.30.480), диаметром 375 мм с четырьмя вырезами для прохода воздуха. Для демонтажа (монтажа) башни на крыше имелись четыре рыма (два в передней и два в кормовой части крыши башни). </w:t>
      </w:r>
    </w:p>
    <w:p w14:paraId="2403B1E5"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До лета 1943 года броневая защита достаточно надежно защищала экипаж танка от огня танковой и противотанковой артиллерии противника калибров до 50 мм. Как правило, бронебойные снаряды данных калибров лобовую проекцию танка Т-34 не пробивали. Поражения танков противником, в основном производилось при стрельбе по бортовым и кормовой проекции танка. В 1942 году на снаряды этих калибров приходилось более 70% поражений танков Т-34. Зимой 1942 – 1943 годов более 60% поражений танков приходилось на артиллерийские орудия калибров до 50 мм. От кумулятивных снарядов в 1942 году были зафиксированы единичные поражения. Зимой 1942 – 1943 годов данным типом боеприпасов было поражено 1,8% танков Т-34. Летом 1943 года во время Битвы под Курском основными снарядами немецкой танковой и противотанковой артиллерии являлись бронебойные снаряды калибров 75 и 88 мм. На эти калибры пришлось свыше 60% всех поражений танков Т-34. Причем 78% обстрелов танков Т-34 производилось из 75-мм пушек с дистанции 100 – 600 м. Дистанция стрельбы из 88-мм пушек была несколько выше. Так 61% обстрелов танков Т-34 данным калибром пушек производился с дистанции 400 – 1100 м. </w:t>
      </w:r>
    </w:p>
    <w:p w14:paraId="3CCC5929"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Защищенность танка повышалась за счет установки в танке двигателя работающего на дизельном топливе. По сравнению с танками, в топливной системе которых применялся бензин, танк Т-34 с дизелем В-2-34 обладал повышенной пожаробезопасностью. Образование опасных в пожарном отношении паров у дизельного топлива начинается с температуры окружающего воздуха + 30°С. У бензинов же, парообразование начинается уже при температуре -30°С. </w:t>
      </w:r>
    </w:p>
    <w:p w14:paraId="068551DD" w14:textId="77777777" w:rsidR="00AE7191" w:rsidRPr="001E2C69" w:rsidRDefault="00AE7191" w:rsidP="00722885">
      <w:pPr>
        <w:pStyle w:val="314"/>
        <w:shd w:val="clear" w:color="auto" w:fill="auto"/>
        <w:spacing w:line="240" w:lineRule="auto"/>
        <w:rPr>
          <w:rFonts w:ascii="Times New Roman" w:hAnsi="Times New Roman" w:cs="Times New Roman"/>
          <w:i w:val="0"/>
          <w:iCs w:val="0"/>
          <w:color w:val="000000" w:themeColor="text1"/>
          <w:spacing w:val="0"/>
          <w:sz w:val="16"/>
          <w:szCs w:val="16"/>
          <w:lang w:val="ru-RU"/>
        </w:rPr>
      </w:pPr>
      <w:r w:rsidRPr="001E2C69">
        <w:rPr>
          <w:rFonts w:ascii="Times New Roman" w:hAnsi="Times New Roman" w:cs="Times New Roman"/>
          <w:i w:val="0"/>
          <w:iCs w:val="0"/>
          <w:color w:val="000000" w:themeColor="text1"/>
          <w:spacing w:val="0"/>
          <w:sz w:val="16"/>
          <w:szCs w:val="16"/>
          <w:lang w:val="ru-RU"/>
        </w:rPr>
        <w:t xml:space="preserve">В случае возникновения пожара в танке, его тушение производилось с помощью двух ручных тетрахлорных огнетушителей типа РАВ, которые размещались в отделении управления у левого и правого бортов перед шахтами узлов подвески вторых опорных катков. Продолжительность действия огнетушителя составляла около минуты. Недостатком данного типа огнетушителя являлась необходимость надевания противогаза при тушении пожара в закрытом танке, так как тетрахлор под воздействием огня разлагался и выделял удушливый газ – фосген. Кроме того, тетрахлор оказывал коррозирующее действие на агрегаты танка и был электропроводен. Для тушения пожара в части моторного или трансмиссионном отделениях членам экипажа необходимо было выходить из машины, что не всегда позволяла сделать боевая обстановка. Основу силовой установки танка составлял </w:t>
      </w:r>
      <w:r w:rsidRPr="001E2C69">
        <w:rPr>
          <w:rFonts w:ascii="Times New Roman" w:hAnsi="Times New Roman" w:cs="Times New Roman"/>
          <w:i w:val="0"/>
          <w:iCs w:val="0"/>
          <w:color w:val="000000" w:themeColor="text1"/>
          <w:spacing w:val="0"/>
          <w:sz w:val="16"/>
          <w:szCs w:val="16"/>
        </w:rPr>
        <w:t>V</w:t>
      </w:r>
      <w:r w:rsidRPr="001E2C69">
        <w:rPr>
          <w:rFonts w:ascii="Times New Roman" w:hAnsi="Times New Roman" w:cs="Times New Roman"/>
          <w:i w:val="0"/>
          <w:iCs w:val="0"/>
          <w:color w:val="000000" w:themeColor="text1"/>
          <w:spacing w:val="0"/>
          <w:sz w:val="16"/>
          <w:szCs w:val="16"/>
          <w:lang w:val="ru-RU"/>
        </w:rPr>
        <w:t xml:space="preserve">-образный (угол развала 60°), двенадцатицилиндровый, четырехтактный, бескомпрессорный дизель В-2-34, мощностью 500 л.с. Двигатель устанавливался в моторном отделении вдоль продольной оси корпуса танка на подмоторной раме на четырех лапах, отлитых заодно с верхней половиной картера, и крепился к ней восемью болтами. На двигателе устанавливались: топливоподкачивающая помпа, топливный фильтр, топливный насос НК-1, топливопровод высокого давления, форсунки, масляный насос, масляный фильтр, водяной насос и генератор. </w:t>
      </w:r>
    </w:p>
    <w:p w14:paraId="43A24834"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Пуск двигателя осуществлялся с помощью электростартера СТ-700 (основной способ) или сжатого воздуха (запасный способ) из двух воздушных баллонов, находившихся в отделении управления. </w:t>
      </w:r>
    </w:p>
    <w:p w14:paraId="43B8C037"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Для очистки воздуха, поступающего в цилиндры двигателя, использовался масляный воздухоочиститель, основным фильтрующим элементом которого являлась промасленная канитель. На дно нижнего поддона воздухо-очистителя наливалось масло. Засасываемый воздух попадал в нижний поддон и проходя над масляной ванной, оставляет в ней крупную пыль. После чего воздух проходит через сетки и помещенную между ними промасленную канитель, на поверхности которой задер-живаются остальные более мелкие частицы пыли. Конструкция данного типа воздухоочистителя обеспечивала очистку воздуха со степенью равную 70 %. Для обеспечения защиты цилиндров двигателя от повышенного пылевого износа в условиях повышенной запыленности воздуха необходимо было через каждые 10 – 12 часов движения или после 250 – 300 км заменять масло в масляной ванне воздухоочистителя и промывать канитель в керосине. </w:t>
      </w:r>
    </w:p>
    <w:p w14:paraId="21B2E934"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В топливную систему входило шесть топливных баков, находившихся внутри корпуса танка. Передние баки, правый и левый, устанавливались в боевом отделении около бортов. Емкость каждого переднего бака – 160 л. Два средних бака емкостью по 45 л были расположены в моторном отделении около бортов. Два кормовых бака емкостью по 80 л расположены в трансмиссионном отделении. Общая заправочная емкость внутренних топливных баков составляла 540 л. Топливные баки заполнялись дизельным топливом марки ДТ, а в случае его отсутствия – газойлем марки «Э». Дизельное топливо ДТ применялось двух сортов: летнее и зимнее. Летнее ДТ применялось при температуре окружающего воздуха не ниже +5°С. Зимнее ДТ использовалось также и летом. Во время эксплуатации танка при температуре ниже -20°С рекомендовалось добавлять к зимнему ДТ или газойлю от 10 до 40 % тракторного керосина в зависимости от температуры окружающего воздуха (от -20° до -40°С). Проверка количества топлива производилась щупом, опускавшимся в бак через отверстие для заливки топлива. </w:t>
      </w:r>
    </w:p>
    <w:p w14:paraId="67A946F5"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Система смазки двигателя состояла из двух масляных баков емкостью по 57 л, масляного насоса, масляного фильтра, манометра, двух термометров и уравнительного бачка. Для смазки двигателя применялись авиационные масла МК и МС летом и МЗС – зимой. В каждый масляный бак заливалось по 40 л масла. При наличии в баках масла менее 20 л работа двигателя запрещалась. </w:t>
      </w:r>
    </w:p>
    <w:p w14:paraId="64140163" w14:textId="77777777" w:rsidR="00AE7191" w:rsidRPr="001E2C69" w:rsidRDefault="00AE7191" w:rsidP="00722885">
      <w:pPr>
        <w:pStyle w:val="314"/>
        <w:shd w:val="clear" w:color="auto" w:fill="auto"/>
        <w:spacing w:line="240" w:lineRule="auto"/>
        <w:rPr>
          <w:rFonts w:ascii="Times New Roman" w:hAnsi="Times New Roman" w:cs="Times New Roman"/>
          <w:i w:val="0"/>
          <w:iCs w:val="0"/>
          <w:color w:val="000000" w:themeColor="text1"/>
          <w:spacing w:val="0"/>
          <w:sz w:val="16"/>
          <w:szCs w:val="16"/>
          <w:lang w:val="ru-RU"/>
        </w:rPr>
      </w:pPr>
      <w:r w:rsidRPr="001E2C69">
        <w:rPr>
          <w:rFonts w:ascii="Times New Roman" w:hAnsi="Times New Roman" w:cs="Times New Roman"/>
          <w:i w:val="0"/>
          <w:iCs w:val="0"/>
          <w:color w:val="000000" w:themeColor="text1"/>
          <w:spacing w:val="0"/>
          <w:sz w:val="16"/>
          <w:szCs w:val="16"/>
          <w:lang w:val="ru-RU"/>
        </w:rPr>
        <w:t xml:space="preserve">Система охлаждения двигателя – жидкостная, закрытого типа. В систему охлаждения двигателя входили: водяная рубашка блоков цилиндров, водяные радиаторы, водяной насос, центробежный вентилятор, тройник с паровым и воздушным клапанами и трубопроводы. Емкость системы охлаждения 90 – 95 л. Радиаторы сообщались с атмосферой через воздушный клапан. Тройник, сообщавшийся с обоими радиаторами, предназначался для заливки охлаждающей жидкости в систему охлаждения. В период летней эксплуатации всистему охлаждения заливалась пресная вода, очищенная от механических и по возможности химических примесей. При температуре ниже -20°С рекомендовалось использовать вместо воды низкозамерзающую жидкость – антифриз (смесь 55 % этиленгликоля и 45 % воды). Антифриз был ядовитым и дорогим продуктом и поэтому к его сохранности предъявлялись повышенные требования. </w:t>
      </w:r>
    </w:p>
    <w:p w14:paraId="6E8631BE"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Трансмиссия танка состояла из многодискового главного фрикциона, механической простой коробки передач, двух бортовых фрикционов с тормозами и двух однорядных шестерен-чатых бортовых редукторов. Многодисковый главный фрикцион сухого трения (сталь по стали) устанавливался на носке коленчатого вала двигателя. Он имел 10 ведущих и 12 ведомых дисков. Главный фрикцион обеспечивал: отключение двигателя от коробки передач, при переключении передач; плавную передачу нагрузки на двигатель при трогании танка с места; предохра-нение деталей трансмиссии и двигателя от поломок при резком изменении частоты вращения коленчатого вала двигателя. Для обеспечения нормальной работы главного фрикциона механику-водителю предписывалось проверять через каждые 10 – 12 часов движения или после 250 – 300 км пробега величину хода нажимного диска. При ходе нажимного диска менее 6 мм необходимо было производить </w:t>
      </w:r>
      <w:r w:rsidRPr="001E2C69">
        <w:rPr>
          <w:color w:val="000000" w:themeColor="text1"/>
          <w:sz w:val="16"/>
          <w:szCs w:val="16"/>
        </w:rPr>
        <w:lastRenderedPageBreak/>
        <w:t xml:space="preserve">регулировку. Периодичность выполнения данной операции в боевой обстановке, а иногда и вследствие недостаточного опыта механика-водителя не соблюдалась. По этой причине во время эксплуатации отмечались случаи затруднения включения требуемой по условиям движения танка передачи. </w:t>
      </w:r>
    </w:p>
    <w:p w14:paraId="2D2F2CC0"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Двухвальная трехходовая, четырехступенчатая коробка передач танка имела четыре передачи для движения вперед и одну передачу заднего хода. Она была выполнена без прямой передачи с расположением валов в одной горизонтальной плоскости и имела алюминиевый картер, состоявший из двух половин. Коническая шестерня ведущего вала, выполненная заодно с валом, находилась в зацеплении с ведомой шестерней на промежуточном валу. В передней части верхней половины картера на горловине на специальной площадке устанавливался электростартер. Переключение передач осуществлялось механиком-водителем с помощью рычага (кулисы), расположенного в отделении управления справа от его сиденья. В кулисе смонтирован шариковый замок, предохраняющий от одновременного включения нескольких передач и стопорный механизм, препятствующий самопроизвольному выключению или включению шестерен. </w:t>
      </w:r>
    </w:p>
    <w:p w14:paraId="05D49CCB" w14:textId="77777777" w:rsidR="00627011" w:rsidRPr="001E2C69" w:rsidRDefault="00AE7191" w:rsidP="00722885">
      <w:pPr>
        <w:pStyle w:val="Default"/>
        <w:jc w:val="both"/>
        <w:rPr>
          <w:color w:val="000000" w:themeColor="text1"/>
          <w:sz w:val="16"/>
          <w:szCs w:val="16"/>
        </w:rPr>
      </w:pPr>
      <w:r w:rsidRPr="001E2C69">
        <w:rPr>
          <w:color w:val="000000" w:themeColor="text1"/>
          <w:sz w:val="16"/>
          <w:szCs w:val="16"/>
        </w:rPr>
        <w:t>Бортовые фрикционы были смонтированы на главном валу коробки передач. Внутренние (ведущие) барабаны были посажены на шлицы главного вала коробки передач, наружные (ведомые) барабаны были соединены болтами с фланцами бортовых редукторов. Между внутренним и наружным барабанами каждого бортового фрикциона размещался комплект из двадцати одного ведущего и двадцати двух ведомых стальных дисков, каждый из которых был связан зубьями с соответствующим барабаном. Для остановки и поворота танка на наружных барабанах бортовых фрикционов устанавливались два плавающих ленточных тормоза, изготавливавшихся из листовой стали с накладками феродо.</w:t>
      </w:r>
    </w:p>
    <w:p w14:paraId="488FBF75"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Для управления бортовыми фрикционами и тормозами использовались два механических привода: рычаги управления поворотом танка и педаль горного тормоза – для торможения боевой машины. Для облегчения управления танком рычаги и педаль имели сервопружины. </w:t>
      </w:r>
    </w:p>
    <w:p w14:paraId="4DB0CFAF"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В кормовой части машины между бортовыми фрикционами и ведущими колесами танка располагались бортовые редукторы, представлявшие собой одноступенчатые шестеренчатые понижающие передачи и обеспечивавшие постоянное в 5,7 раза увеличение крутящего момента на ведущих колесах танка. </w:t>
      </w:r>
    </w:p>
    <w:p w14:paraId="131C40CC"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Ходовая часть танка состояла из гусеничного движителя и подвески. В состав гусеничного движителя входили: две гусеницы, два ведущих колеса, десять опорных катков, два направляющих колеса с механизмами натяжения гусениц. </w:t>
      </w:r>
    </w:p>
    <w:p w14:paraId="3DEE8BE1"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Каждое ведущее колесо устанавливалось на шлицах ведомого вала бортового редуктора и крепилось на валу с помощью специального кольца. В дисках литого ведущего колеса имелось по шесть больших отверстий для выхода грязи и снега и по шесть отверстий для осей роликов. Наружный диаметр ведущего колеса – 634 мм. Гусеницы имели гребневое зацепление с ведущими колесами. Ведущие колеса, вращаясь, упирались роликами в гребни траков и передвигали гусеницы. </w:t>
      </w:r>
    </w:p>
    <w:p w14:paraId="0379124E"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Гусеница состояла из чередующихся между собой 36 траков с гребнем и 36 траков без гребней, шарнирно соединенных 72 пальцами. Палец трака имел головку, удерживающую его от смещения наружу. Головка пальца была обращена к корпусу. В верхней части крышки бортового редуктора был укреплен кулак, имевший две наклонные плоскости, обеспечивавшие возвращение пальца на место (в случае смещения его в сторону корпуса танка) при движении танка как вперед, так и назад. Траки шириной 500 мм отливались из высокомарганцовистой стали Гадфильда. Внешняя поверхность траков имела ребра жесткости, образовывавших грунтозацепы и увеличивавшие сцепление гусеницы с грунтом. На танке имелись дополнительные съемные грунтозацепы (шпоры), представляющие собой литой угольник с отверстием. На краях шпор имелось по два выступа, один из которых длиннее другого. При надевании шпоры ее вкладывали в прямоугольные пазы трака без гребня, сначала длинным выступом, а затем, отведя назад, – коротким выступом. Шпора крепилась к траку болтом. Шпоры применялись в случае движения танка по грунтам с низкой несущей способностью или обледенелым дорогам. Съемные шпоры устанавливались через три трака на четвертом. </w:t>
      </w:r>
    </w:p>
    <w:p w14:paraId="56BFEC76"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Литое направляющее колесо с механизмом натяжения располагалось в передней части танка. Направляющее колесо на двух подшипниках устанавливалось на кривошип и крепилось гайкой. Натяжение гусеницы осуществ-лялось поворотом кривошипа при вращении червячной пары механизма натяжения. На червяке имелась квадратная головка под торцовый ключ. Головка под ключ выходила в отверстие в броне в носовой части корпуса танка. Отверстие закрывалось броневой пробкой на резьбе. </w:t>
      </w:r>
    </w:p>
    <w:p w14:paraId="1BDF5891" w14:textId="77777777" w:rsidR="00AE7191" w:rsidRPr="001E2C69" w:rsidRDefault="00AE7191" w:rsidP="00722885">
      <w:pPr>
        <w:pStyle w:val="314"/>
        <w:shd w:val="clear" w:color="auto" w:fill="auto"/>
        <w:spacing w:line="240" w:lineRule="auto"/>
        <w:rPr>
          <w:rFonts w:ascii="Times New Roman" w:hAnsi="Times New Roman" w:cs="Times New Roman"/>
          <w:i w:val="0"/>
          <w:iCs w:val="0"/>
          <w:color w:val="000000" w:themeColor="text1"/>
          <w:spacing w:val="0"/>
          <w:sz w:val="16"/>
          <w:szCs w:val="16"/>
          <w:lang w:val="ru-RU"/>
        </w:rPr>
      </w:pPr>
      <w:r w:rsidRPr="001E2C69">
        <w:rPr>
          <w:rFonts w:ascii="Times New Roman" w:hAnsi="Times New Roman" w:cs="Times New Roman"/>
          <w:i w:val="0"/>
          <w:iCs w:val="0"/>
          <w:color w:val="000000" w:themeColor="text1"/>
          <w:spacing w:val="0"/>
          <w:sz w:val="16"/>
          <w:szCs w:val="16"/>
          <w:lang w:val="ru-RU"/>
        </w:rPr>
        <w:t xml:space="preserve">На крайних узлах подвески устанавливались двухдисковые опорные катки с наружной амортизацией, а на 2,3 и 4 узлах подвески – опорные катки с внутренней амортизацией. Опорные катки с наружной амортизацией имели литые диски, отлитые заодно со ступицей. На шине наружной амортизации имелся протекторный рисунок. Часть опорных катков, из-за дефицита резины, имела внутреннюю амортизацию. Эти опорные катки имели резиновые кольца (по четыре на каждом катке) малых размеров, расположенные уступицы. С наружной стороны ступица закрывалась броневым колпаком, который крепился к ней пятью болтами. Опорные катки обоих типов имели диаметр 830 мм и были взаимозаменяемы. </w:t>
      </w:r>
    </w:p>
    <w:p w14:paraId="62556327"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Опорные катки устанавливались на осях, запрессованных в балансиры. По своей конструкции балансиры передних опорных катков отличались от остальных расположением рычага подвески. Балансиры передних опорных катков обоих бортов со всеми монтируемыми на них деталями были взаимозаменяемы только между собой. От осевых смещений балансир переднего катка удерживался навернутой на его ось гайкой. Балансиры остальных опорных катков удерживались от осевых смещений упорными планками, закрепленными болтами на корпусе танка. Планки находились в пазах, выфрезерованных в головках балансиров. Балансиры в сборе были взаимозаменяемы только с балансирами одного борта (правого или левого). </w:t>
      </w:r>
    </w:p>
    <w:p w14:paraId="00C9BD04"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Подвеска танка – индивидуальная, пружинная состояла из десяти узлов. Каждый из узлов подвески передних опорных катков состоял из двух концентрических винтовых пружин, которые располагались в передней части внутри корпуса и были защищены стальными кожухами. В узлах подвески остальных опорных катков пружины располагались одна над другой. Узлы подвески располагались внутри корпуса танка наклонно в специальных шахтах, вваренных в корпус. Все детали узлов подвески опорных катков (за исключением передних) были взаимозаменяемы. Узлы подвески передних опорных катков были взаимозаменяемы только между собой. </w:t>
      </w:r>
    </w:p>
    <w:p w14:paraId="566500DE"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Величина динамического хода опорных катков: для первого – 75 мм, для второго, четвертого и пятого – 115 мм и для третьего – 90 мм. Динамический ход опорных катков ограничивался крепившимися к наружной поверхности бортов упорами. Статический ход опорных катков ограничивался штоками подвесок и гусеницей, за исключением передних опорных катков, ход которых ограничивался резиновыми буферами, находившимися на днище внутри корпуса под проушинами штоков передних узлов подвески. </w:t>
      </w:r>
    </w:p>
    <w:p w14:paraId="7BDF2A40"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Электрооборудование танка было выполнено по однопроводной схеме (аварийное освещение – двухпроводное). Напряжение бортовой сети составляло 12 и 24 В. Основным источником электрической энергии танка являлся генератор ГТ-1000 с реле-регулятором РРА, а вспомогательным – четыре аккумуляторные батареи (АКБ) марки 6СТЭ-128, соединенные между собой попарно параллельно, а между </w:t>
      </w:r>
      <w:r w:rsidRPr="001E2C69">
        <w:rPr>
          <w:iCs/>
          <w:color w:val="000000" w:themeColor="text1"/>
          <w:sz w:val="16"/>
          <w:szCs w:val="16"/>
        </w:rPr>
        <w:t xml:space="preserve">................... ........ "....... ..... .34" </w:t>
      </w:r>
      <w:r w:rsidRPr="001E2C69">
        <w:rPr>
          <w:color w:val="000000" w:themeColor="text1"/>
          <w:sz w:val="16"/>
          <w:szCs w:val="16"/>
        </w:rPr>
        <w:t xml:space="preserve">группами – последовательно. Источники электрической энергии находились в моторном отделении. На днище моторного отделения, по обеим сторонам двигателя, устанавливались на специальных кронштейнах по две АКБ. С правой стороны двигателя (по направлению движения танка) на двух кронштейнах (лапах) картера двигателя устанавливался генератор. </w:t>
      </w:r>
    </w:p>
    <w:p w14:paraId="3B64CA3E"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Основными потребителями электроэнергии являлись: стартер СТ-700 с пусковым реле РС-371; электродвигатель механизма поворота башни МБ-20А; электродвигатель вентилятора боевого отделения МВ-12; танковое переговорное устройство ТПУ-3Р; вибрационный электросигнал ГФ-12Т; фара и задний фонарь со стеклом красного цвета. </w:t>
      </w:r>
    </w:p>
    <w:p w14:paraId="24AF8311"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Стартер при помощи стяжных лент крепился к специальному ложу на горловине коробки передач. Пусковое реле стартера устанавливалось на верхней половине картера коробки передач с левой (по ходу танка) стороны. Мотор поворота башни крепился двумя стальными лентами в ложе поворотного механизма. Мотор вентилятора боевого отделения устанавливался в вентиляционном лючке крыши башни. Электросигнал крепился внутри танка на левой косынке моторной перегородки. </w:t>
      </w:r>
    </w:p>
    <w:p w14:paraId="7C43F525"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Слева от механика-водителя на двух резиновых амортизаторах крепился щиток электроприборов, который освещался лампочкой на самом щитке. Аварийный щиток устанавливался в верхней части первой правой шахты подвески. На нем размещался плафон аварийного освещения боевого отделения. На потолке башни устанавливался плафон с тумблером для освещения боевого отделения. Выключатель аккумуляторных батарей ("массы") размещался справа от сидения стрелка-радиста. Щиток блока защиты аккумуляторных батарей был смонтирован на левой стороне перегородки боевого и моторного отделений – над левой группой аккумуляторных батарей. </w:t>
      </w:r>
    </w:p>
    <w:p w14:paraId="562081B4"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На полу боевого отделения, на специальной подставке устанавливалось вращающееся контактное устройство ВКУ-137, имевшее по три силовых и по семь слаботочных щеток и колец. Особенностью электрической сети танка являлось включение приборов и аппаратов электрооборудования, рассчитанных на работу при различных напряжениях. Генератор, стартер с пусковым реле и мотор поворота башни были рассчитаны на работу при напряжении 24 В, остальные потребители – на 12 В. </w:t>
      </w:r>
    </w:p>
    <w:p w14:paraId="381CBA92"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В передней части танка на левом наклонном броневом листе, на специальном кронштейне крепилась фара. </w:t>
      </w:r>
    </w:p>
    <w:p w14:paraId="412E4742"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Для внутренней телефонной связи между членами экипажа в танке устанавливалось танковое переговорное устройство ТПУ-3Р. В состав ТПУ входили: аппарат командира танка № 1, расположенный в башне на левой стенке, над смотровым прибором; аппарат стрелка-радиста № 2, расположенный в носовой части корпуса на правом борту танка, между узлом подвески переднего опорного катка и первой шахтой, рядом с передатчиком; аппарат механика-водителя № 3, расположенный впереди сиденья механика-водителя на переднем наклонном броневом листе, между люком механика-водителя и колпаком защиты курсового пулемета; три пары головных телефонов типа ТА-2 и ларингофонов типа ЛА-3, установленных в шлемофонах и три шнура с разъемной колодкой. </w:t>
      </w:r>
    </w:p>
    <w:p w14:paraId="27708F1D" w14:textId="77777777" w:rsidR="00AE7191" w:rsidRPr="001E2C69" w:rsidRDefault="00AE7191" w:rsidP="00722885">
      <w:pPr>
        <w:pStyle w:val="Default"/>
        <w:jc w:val="both"/>
        <w:rPr>
          <w:color w:val="000000" w:themeColor="text1"/>
          <w:sz w:val="16"/>
          <w:szCs w:val="16"/>
        </w:rPr>
      </w:pPr>
      <w:r w:rsidRPr="001E2C69">
        <w:rPr>
          <w:color w:val="000000" w:themeColor="text1"/>
          <w:sz w:val="16"/>
          <w:szCs w:val="16"/>
        </w:rPr>
        <w:t xml:space="preserve">Для обеспечения эксплуатации танка в войсках танк оснащался возимым комплектом запасных частей, инструмента и принадлежностей (ЗИП). Часть комплекта ЗИП располагалась снаружи танка, а часть – внутри. На правой полке над гусеницей размещались: два буксирных троса, большая саперная лопата, два трака с гребнем, 18 шпор, ящик с инструментом и запасными частями, два трака без гребня. На левой полке над гусеницей размещались: две петли для соединения буксирных тросов, ящик с ЗИПом пушки Ф-34, брезент для покрытия танка и подстилочный брезент. В отделении управления укладывались: брезентовая сумка с ЗИПом двигателя, сумка с предметами ТПУ, два шлемофона в сумках, ящик и сумка с инструментами, паяльная лампа, молоток слесарный, топор, ведро металлическое с универсальной лейкой, фильтром и шёлковым полотном, ведро брезентовое, шприц-пресс, ломик, лом, кувалда и сумка для документов. </w:t>
      </w:r>
    </w:p>
    <w:p w14:paraId="242F00BC" w14:textId="77777777" w:rsidR="00AE7191" w:rsidRPr="001E2C69" w:rsidRDefault="00AE7191" w:rsidP="00722885">
      <w:pPr>
        <w:pStyle w:val="314"/>
        <w:shd w:val="clear" w:color="auto" w:fill="auto"/>
        <w:spacing w:line="240" w:lineRule="auto"/>
        <w:rPr>
          <w:rFonts w:ascii="Times New Roman" w:hAnsi="Times New Roman" w:cs="Times New Roman"/>
          <w:i w:val="0"/>
          <w:iCs w:val="0"/>
          <w:noProof w:val="0"/>
          <w:color w:val="000000" w:themeColor="text1"/>
          <w:spacing w:val="0"/>
          <w:sz w:val="16"/>
          <w:szCs w:val="16"/>
          <w:lang w:val="ru-RU"/>
        </w:rPr>
      </w:pPr>
      <w:r w:rsidRPr="001E2C69">
        <w:rPr>
          <w:rFonts w:ascii="Times New Roman" w:hAnsi="Times New Roman" w:cs="Times New Roman"/>
          <w:i w:val="0"/>
          <w:iCs w:val="0"/>
          <w:color w:val="000000" w:themeColor="text1"/>
          <w:spacing w:val="0"/>
          <w:sz w:val="16"/>
          <w:szCs w:val="16"/>
          <w:lang w:val="ru-RU"/>
        </w:rPr>
        <w:lastRenderedPageBreak/>
        <w:t>В боевом отделении укладывались: запасная головка перископа ПТК, сумка с предметами ТПУ, два шлемофона в сумках, санитарная аптечка в футляре, два бачка для питьевой воды, защитные стекла смотровых приборов, два комплекта сошек и ЗИПа пулеметов ДТ, ЗИП пушки в сумке, ручной экстрактор пушки</w:t>
      </w:r>
      <w:r w:rsidRPr="001E2C69">
        <w:rPr>
          <w:rFonts w:ascii="Times New Roman" w:hAnsi="Times New Roman" w:cs="Times New Roman"/>
          <w:i w:val="0"/>
          <w:iCs w:val="0"/>
          <w:noProof w:val="0"/>
          <w:color w:val="000000" w:themeColor="text1"/>
          <w:spacing w:val="0"/>
          <w:sz w:val="16"/>
          <w:szCs w:val="16"/>
          <w:lang w:val="ru-RU"/>
        </w:rPr>
        <w:t xml:space="preserve"> (12068)</w:t>
      </w:r>
      <w:r w:rsidRPr="001E2C69">
        <w:rPr>
          <w:rFonts w:ascii="Times New Roman" w:hAnsi="Times New Roman" w:cs="Times New Roman"/>
          <w:i w:val="0"/>
          <w:iCs w:val="0"/>
          <w:color w:val="000000" w:themeColor="text1"/>
          <w:spacing w:val="0"/>
          <w:sz w:val="16"/>
          <w:szCs w:val="16"/>
          <w:lang w:val="ru-RU"/>
        </w:rPr>
        <w:t>.</w:t>
      </w:r>
    </w:p>
    <w:p w14:paraId="3A3C04CA" w14:textId="77777777" w:rsidR="00AE7191" w:rsidRPr="001E2C69" w:rsidRDefault="00AE7191" w:rsidP="00722885">
      <w:pPr>
        <w:pStyle w:val="314"/>
        <w:shd w:val="clear" w:color="auto" w:fill="auto"/>
        <w:spacing w:line="240" w:lineRule="auto"/>
        <w:rPr>
          <w:rFonts w:ascii="Times New Roman" w:hAnsi="Times New Roman" w:cs="Times New Roman"/>
          <w:i w:val="0"/>
          <w:iCs w:val="0"/>
          <w:color w:val="000000" w:themeColor="text1"/>
          <w:spacing w:val="0"/>
          <w:sz w:val="16"/>
          <w:szCs w:val="16"/>
          <w:lang w:val="ru-RU"/>
        </w:rPr>
      </w:pPr>
    </w:p>
    <w:p w14:paraId="2B9080B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года был изготовлен опытный образец, получивший обозначение Т-34С. Этот танк был создан на базе серийного танка Т-34-76 и отличался от последнего установкой новой литой башни (на серийном погоне) с командирской башенкой, а также пятиступенчатой коробки передач (10703).</w:t>
      </w:r>
    </w:p>
    <w:p w14:paraId="61A6C35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1DFE627E" w14:textId="77777777" w:rsidR="001722AC" w:rsidRPr="007155F3" w:rsidRDefault="001722AC" w:rsidP="001722AC">
      <w:pPr>
        <w:spacing w:after="0" w:line="240" w:lineRule="auto"/>
        <w:jc w:val="both"/>
        <w:rPr>
          <w:rFonts w:ascii="Times New Roman" w:hAnsi="Times New Roman"/>
          <w:color w:val="0070C0"/>
          <w:sz w:val="16"/>
          <w:szCs w:val="16"/>
        </w:rPr>
      </w:pPr>
      <w:r w:rsidRPr="007155F3">
        <w:rPr>
          <w:rFonts w:ascii="Times New Roman" w:hAnsi="Times New Roman"/>
          <w:color w:val="0070C0"/>
          <w:sz w:val="16"/>
          <w:szCs w:val="16"/>
        </w:rPr>
        <w:t>В июле 1942 г. число выпущенных на ГАЗ танков Т-70 выросло. ГАЗ им. Молотова сдал положенные 450 танков, из них 101 радийный. Завод № 38, при плане в 150 Т-70, сдал 153. Еще 10 штук сдал завод № 37, но его очень быстро переключили на производство Т-34 (24898).</w:t>
      </w:r>
    </w:p>
    <w:p w14:paraId="43152D00" w14:textId="77777777" w:rsidR="001722AC" w:rsidRPr="007155F3" w:rsidRDefault="001722AC" w:rsidP="001722AC">
      <w:pPr>
        <w:spacing w:after="0" w:line="240" w:lineRule="auto"/>
        <w:jc w:val="both"/>
        <w:rPr>
          <w:rFonts w:ascii="Times New Roman" w:hAnsi="Times New Roman"/>
          <w:color w:val="0070C0"/>
          <w:sz w:val="16"/>
          <w:szCs w:val="16"/>
        </w:rPr>
      </w:pPr>
    </w:p>
    <w:p w14:paraId="1E6C3FCE" w14:textId="77777777" w:rsidR="001722AC" w:rsidRPr="007155F3" w:rsidRDefault="001722AC" w:rsidP="001722AC">
      <w:pPr>
        <w:spacing w:after="0" w:line="240" w:lineRule="auto"/>
        <w:jc w:val="both"/>
        <w:rPr>
          <w:rFonts w:ascii="Times New Roman" w:hAnsi="Times New Roman"/>
          <w:color w:val="0070C0"/>
          <w:sz w:val="16"/>
          <w:szCs w:val="16"/>
        </w:rPr>
      </w:pPr>
      <w:r w:rsidRPr="007155F3">
        <w:rPr>
          <w:rFonts w:ascii="Times New Roman" w:hAnsi="Times New Roman"/>
          <w:color w:val="0070C0"/>
          <w:sz w:val="16"/>
          <w:szCs w:val="16"/>
        </w:rPr>
        <w:t>В июле 1942 года пошли первые отзывы с фронта о танках Т-70, что привело к запуску работ по модернизации. Помимо большой модернизации (двухместная башня, утолщение бортов), возникла потребность и в других доработках. Выяснилось, что с ходовой частью имеются проблемы. Работы по данной теме привели к созданию Т-70Б. Впрочем, до запуска его в серию было еще далеко. А пока выпуск Т-70 наращивался. За август 1942 года ГАЗ им. Молотова сдал 500 танков, из них 232 радийных. Завод №38, при плане в 190 танков, сдал 193. Одновременно шла и доработка танка. С 5 августа выхлопные трубы стали выводить через отверстия в крыше корпуса (ранее они выходили через воздухозаборник снизу). 8 августа ввели полное ограждение двигателя, что заметно улучшило условия работы командира и механика-водителя. Первыми изменения ввели на ГАЗ, далее их получили танки завода №38 (24898).</w:t>
      </w:r>
    </w:p>
    <w:p w14:paraId="39D87D68" w14:textId="77777777" w:rsidR="001722AC" w:rsidRPr="007155F3" w:rsidRDefault="001722AC" w:rsidP="001722AC">
      <w:pPr>
        <w:spacing w:after="0" w:line="240" w:lineRule="auto"/>
        <w:jc w:val="both"/>
        <w:rPr>
          <w:rFonts w:ascii="Times New Roman" w:hAnsi="Times New Roman"/>
          <w:color w:val="0070C0"/>
          <w:sz w:val="16"/>
          <w:szCs w:val="16"/>
        </w:rPr>
      </w:pPr>
    </w:p>
    <w:p w14:paraId="414FC1C4" w14:textId="77777777" w:rsidR="001722AC" w:rsidRPr="007155F3" w:rsidRDefault="001722AC" w:rsidP="001722AC">
      <w:pPr>
        <w:spacing w:after="0" w:line="240" w:lineRule="auto"/>
        <w:jc w:val="both"/>
        <w:rPr>
          <w:rFonts w:ascii="Times New Roman" w:hAnsi="Times New Roman"/>
          <w:color w:val="0070C0"/>
          <w:sz w:val="16"/>
          <w:szCs w:val="16"/>
        </w:rPr>
      </w:pPr>
      <w:r>
        <w:rPr>
          <w:color w:val="0070C0"/>
          <w:sz w:val="16"/>
          <w:szCs w:val="16"/>
        </w:rPr>
        <w:t>В</w:t>
      </w:r>
      <w:r w:rsidRPr="007155F3">
        <w:rPr>
          <w:rFonts w:ascii="Times New Roman" w:hAnsi="Times New Roman"/>
          <w:color w:val="0070C0"/>
          <w:sz w:val="16"/>
          <w:szCs w:val="16"/>
        </w:rPr>
        <w:t xml:space="preserve"> июле 1942 года появился первый штат (№010/270-010/277) под Т-70. Из 53 танков на долю Т-70 приходилась 21 машина. Такой штат являлся наиболее оптимальным, основная масса Т-70 формировалась подобным образом. 6 сентября 1942 года появился штат №010/240-010/248, по нему в бригаде имелось 5 KB, 24 Т-34 и 20 Т-70. По нему, например, формировали 33-ю танковую бригаду, где служил Т-70, ныне находящийся в парке "Патриот". Но продержался он недолго, поскольку тяжелые танки стали поступать в отдельные гвардейские танковые полки прорыва.</w:t>
      </w:r>
    </w:p>
    <w:p w14:paraId="2BC964E1" w14:textId="77777777" w:rsidR="001722AC" w:rsidRPr="007155F3" w:rsidRDefault="001722AC" w:rsidP="001722AC">
      <w:pPr>
        <w:spacing w:after="0" w:line="240" w:lineRule="auto"/>
        <w:jc w:val="both"/>
        <w:rPr>
          <w:rFonts w:ascii="Times New Roman" w:hAnsi="Times New Roman"/>
          <w:color w:val="0070C0"/>
          <w:sz w:val="16"/>
          <w:szCs w:val="16"/>
        </w:rPr>
      </w:pPr>
      <w:r w:rsidRPr="007155F3">
        <w:rPr>
          <w:rFonts w:ascii="Times New Roman" w:hAnsi="Times New Roman"/>
          <w:color w:val="0070C0"/>
          <w:sz w:val="16"/>
          <w:szCs w:val="16"/>
        </w:rPr>
        <w:t>Естественно, при таком штате Т-70 особо ничем похвастаться не могли. Тем более что во второй половине 1942 года, когда они массово пошли на фронт, ситуация сильно изменилась. Противотанковые возможности 45-мм танковой пушки снизились. Частично это удалось компенсировать вводом подкалиберного снаряда, который на испытаниях апреля 1943 года смог пробить бортовую броню Pz.Kpfw.Tiger Ausf.E на дистанции 200 метров. Но таких снарядов в боекомплекте имелось всего 4 штуки. При этом главными противниками являлись Pz.Kpfw.III и Pz.Kpfw.IV, лобовая броня которых являлась проблемой еще в 1941 году.</w:t>
      </w:r>
    </w:p>
    <w:p w14:paraId="682FDC0F" w14:textId="77777777" w:rsidR="001722AC" w:rsidRPr="007155F3" w:rsidRDefault="001722AC" w:rsidP="001722AC">
      <w:pPr>
        <w:spacing w:after="0" w:line="240" w:lineRule="auto"/>
        <w:jc w:val="both"/>
        <w:rPr>
          <w:rFonts w:ascii="Times New Roman" w:hAnsi="Times New Roman"/>
          <w:color w:val="0070C0"/>
          <w:sz w:val="16"/>
          <w:szCs w:val="16"/>
        </w:rPr>
      </w:pPr>
      <w:r w:rsidRPr="007155F3">
        <w:rPr>
          <w:rFonts w:ascii="Times New Roman" w:hAnsi="Times New Roman"/>
          <w:color w:val="0070C0"/>
          <w:sz w:val="16"/>
          <w:szCs w:val="16"/>
        </w:rPr>
        <w:t>Вместе с тем, говорить о том, что выпуск Т-70 являлся бесполезной тратой времени, точно не стоит. Как средство поддержки пехоты 70-ки вполне годились. В отличие от Т-60, этот танк имел полноценную танковую пушку с осколочно-фугасным снарядом, имеющим на борту больше 100 грамм ВВ. Т-70 часто использовались пехотой как "маршрутки" поля боя, порой на них забивалось до 20 человек (даже интересно, как они там держались). Неплохо у Т-70 было и с выживаемостью на поле боя, а также с обзорностью. Кроме того, с лета 1942 года танки стали получать радиостанции, что однозначно повысило их эффективность на поле боя (24898).</w:t>
      </w:r>
    </w:p>
    <w:p w14:paraId="0F1A20DD" w14:textId="77777777" w:rsidR="001722AC" w:rsidRPr="007155F3" w:rsidRDefault="001722AC" w:rsidP="001722AC">
      <w:pPr>
        <w:spacing w:after="0" w:line="240" w:lineRule="auto"/>
        <w:jc w:val="both"/>
        <w:rPr>
          <w:rFonts w:ascii="Times New Roman" w:hAnsi="Times New Roman"/>
          <w:color w:val="0070C0"/>
          <w:sz w:val="16"/>
          <w:szCs w:val="16"/>
        </w:rPr>
      </w:pPr>
    </w:p>
    <w:p w14:paraId="55A00EA2" w14:textId="77777777" w:rsidR="00573D52" w:rsidRPr="001E2C69" w:rsidRDefault="00573D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июле 1942 на заводе № 37 изготовили СУ-32. Как и СУ-31, построили её из неброневой стали толщиной 15 мм по периметру. Ходовую часть взяли от Т-70, как и люк механика-водителя. Серьёзно была переработана рубка, которая стала более просторной, что позволило увеличить боекомплект установки до 60 выстрелов. Как и в проектном образце, рубку сделали открытой сверху, однако площадь открытого сзади проёма сократили за счёт добавления кормовых бронелистов. Для удобства попадания внутрь САУ на кормовых листах рубки установили скобы, также имелись две подножки.</w:t>
      </w:r>
    </w:p>
    <w:p w14:paraId="785E41A1" w14:textId="77777777" w:rsidR="00573D52" w:rsidRPr="001E2C69" w:rsidRDefault="00573D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качестве вооружения использовалась 76-мм пушка ЗИС-3 на тумбе. Система устанавливалась вместе с элементами лафета и фрагментами станин, из-за чего занимала внутри боевого отделения больше места. Зато использовалась менее дефицитная пушка с минимумом переделок. Для прикрытия механизмов отката пушка получила бронировку сварной конструкции. Справа от пушки располагался курсовой пулемёт ДТ в шаровой установке, аналогичной использовавшейся на КВ-1 (17668).</w:t>
      </w:r>
    </w:p>
    <w:p w14:paraId="5308A317" w14:textId="77777777" w:rsidR="00573D52" w:rsidRPr="001E2C69" w:rsidRDefault="00573D52" w:rsidP="00722885">
      <w:pPr>
        <w:spacing w:after="0" w:line="240" w:lineRule="auto"/>
        <w:jc w:val="both"/>
        <w:rPr>
          <w:rFonts w:ascii="Times New Roman" w:eastAsia="Times New Roman" w:hAnsi="Times New Roman"/>
          <w:color w:val="000000" w:themeColor="text1"/>
          <w:sz w:val="16"/>
          <w:szCs w:val="16"/>
          <w:lang w:eastAsia="ru-RU"/>
        </w:rPr>
      </w:pPr>
    </w:p>
    <w:p w14:paraId="0D658EE3" w14:textId="77777777" w:rsidR="00573D52" w:rsidRPr="001E2C69" w:rsidRDefault="00573D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июле 1942 года КБ завода №92 представило пушку с длиной ствола 63 калибра и лафетом ЗИС-3 в качестве основы. Она получила обозначение ИС-1 и вполне успешно прошла заводские испытания. Именно это орудие стали считать приоритетным для ЗИС-41. Правда, на испытаниях на Гороховецком полигоне у ИС-1 был выявлен ряд недостатков, и ее серийное производство не состоялось (17671).</w:t>
      </w:r>
    </w:p>
    <w:p w14:paraId="0C2752AA" w14:textId="77777777" w:rsidR="00573D52" w:rsidRPr="001E2C69" w:rsidRDefault="00573D52" w:rsidP="00722885">
      <w:pPr>
        <w:spacing w:after="0" w:line="240" w:lineRule="auto"/>
        <w:jc w:val="both"/>
        <w:rPr>
          <w:rFonts w:ascii="Times New Roman" w:eastAsia="Times New Roman" w:hAnsi="Times New Roman"/>
          <w:color w:val="000000" w:themeColor="text1"/>
          <w:sz w:val="16"/>
          <w:szCs w:val="16"/>
          <w:lang w:eastAsia="ru-RU"/>
        </w:rPr>
      </w:pPr>
    </w:p>
    <w:p w14:paraId="60D11839" w14:textId="77777777" w:rsidR="00055F9B" w:rsidRPr="001E2C69" w:rsidRDefault="00055F9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июле 1942 года машина, получившая обозначение СУ-32, была готова. По проекту толщина лобовой части корпуса и рубки достигала 35 мм, но опытный образец изготовили из конструкционной стали толщиной 15 мм. Поэтому на машину дополнительно установили балласт. С боевой массой машины, как и в случае с СУ-31, не угадали, но уже в лучшую сторону. Вместо 10,5 тонн масса составила 10 тонн. Помимо 76-мм орудия ЗИС-3, также имелось оборонительное вооружение в виде пулемета ДТ в шаровой установке. Его разместили в лобовой части корпуса, с правой стороны. Экипаж остался тот же, что и у ЗИК-7, то есть 3 человека. Отмечалось, что механик-водитель не изолирован от мотора и выхлопных газов (21099).</w:t>
      </w:r>
    </w:p>
    <w:p w14:paraId="509B1A26" w14:textId="77777777" w:rsidR="00055F9B" w:rsidRPr="001E2C69" w:rsidRDefault="00055F9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B9B0013" w14:textId="77777777" w:rsidR="00573D52" w:rsidRPr="001E2C69" w:rsidRDefault="00573D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июле 1942 года в КБ ГАЗ им. Молотова начались работы по модернизации ходовой части Т-70. К 12 числу был разработан новый трак, расширенный до 300 мм. Его довольно легко визуально отличить по отсутствию круглых отверстий. Одновременно поступили отчеты с Брянского и Центрального фронтов, из которых было понятно, что толщины бортов корпуса в 15 мм для танка явно недостаточно.</w:t>
      </w:r>
    </w:p>
    <w:p w14:paraId="645EBB35" w14:textId="77777777" w:rsidR="00573D52" w:rsidRPr="001E2C69" w:rsidRDefault="00573D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Кроме того, именно в этот момент впервые прозвучала информация о том, что командир лёгкого танка перегружен работой, поскольку вынужден совмещать обязанности командира, наводчика, заряжающего и радиста. Это стало сигналом к разработке двухместной башни, что привело, в итоге, к созданию Т-80, последнего советского серийного легкого танка военного периода. Информация о том, что конструктор Астров имел какие-то планы, по созданию двухместной башни для Т-70 ещё весной 1942 года, является плодом фантазии авторов, это написавших.</w:t>
      </w:r>
    </w:p>
    <w:p w14:paraId="2140C615" w14:textId="77777777" w:rsidR="00573D52" w:rsidRPr="001E2C69" w:rsidRDefault="00573D5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Другой известной фантазией, появившейся еще в 60-е годы, является индекс танка с модернизированной ходовой частью. Широко известное обозначение Т-70М является плодом воображения одного из не очень чистоплотных с точки зрения исторической достоверности создателей справочника, появившегося в послевоенные годы. Этому же составителю мы «обязаны» и появлением индекса Т-40с. Так вот, впервые обозначение модернизированного Т-70 появилось в июле 1942 года, и выглядело оно как Т-70Б. Также в переписке использовалось обозначение Т-70-Б (17695).</w:t>
      </w:r>
    </w:p>
    <w:p w14:paraId="4CFBE7B3" w14:textId="77777777" w:rsidR="00573D52" w:rsidRPr="001E2C69" w:rsidRDefault="00573D52" w:rsidP="00722885">
      <w:pPr>
        <w:spacing w:after="0" w:line="240" w:lineRule="auto"/>
        <w:jc w:val="both"/>
        <w:rPr>
          <w:rFonts w:ascii="Times New Roman" w:eastAsia="Times New Roman" w:hAnsi="Times New Roman"/>
          <w:color w:val="000000" w:themeColor="text1"/>
          <w:sz w:val="16"/>
          <w:szCs w:val="16"/>
          <w:lang w:eastAsia="ru-RU"/>
        </w:rPr>
      </w:pPr>
    </w:p>
    <w:p w14:paraId="76F4903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 по заданию ГАУ завод № 37 на базе танка Т-60 изготовил опытный образец зенитной 37-мм самоходной установки ЗСУ-37. А в кон</w:t>
      </w:r>
      <w:r w:rsidRPr="001E2C69">
        <w:rPr>
          <w:rFonts w:ascii="Times New Roman" w:hAnsi="Times New Roman"/>
          <w:color w:val="000000" w:themeColor="text1"/>
          <w:sz w:val="16"/>
          <w:szCs w:val="16"/>
        </w:rPr>
        <w:softHyphen/>
        <w:t>це того же года для противовоздушной обороны танковых соединений и штабов войск были разработаны и изготовлены опытные образцы зенит</w:t>
      </w:r>
      <w:r w:rsidRPr="001E2C69">
        <w:rPr>
          <w:rFonts w:ascii="Times New Roman" w:hAnsi="Times New Roman"/>
          <w:color w:val="000000" w:themeColor="text1"/>
          <w:sz w:val="16"/>
          <w:szCs w:val="16"/>
        </w:rPr>
        <w:softHyphen/>
        <w:t>ных танков Т-60-3, Т-70 (зенитный) и Т-90, вооруженные спаренной уста</w:t>
      </w:r>
      <w:r w:rsidRPr="001E2C69">
        <w:rPr>
          <w:rFonts w:ascii="Times New Roman" w:hAnsi="Times New Roman"/>
          <w:color w:val="000000" w:themeColor="text1"/>
          <w:sz w:val="16"/>
          <w:szCs w:val="16"/>
        </w:rPr>
        <w:softHyphen/>
        <w:t>новкой 12,7-мм пулеметов ДШК. Кроме того, на базе танка Т-60 Горьковским автозаводом был разработан и изготовлен опытный образец танка Т-95 с другим вариантом установки аналогичного вооружения и прице</w:t>
      </w:r>
      <w:r w:rsidRPr="001E2C69">
        <w:rPr>
          <w:rFonts w:ascii="Times New Roman" w:hAnsi="Times New Roman"/>
          <w:color w:val="000000" w:themeColor="text1"/>
          <w:sz w:val="16"/>
          <w:szCs w:val="16"/>
        </w:rPr>
        <w:softHyphen/>
        <w:t>лов, но по ряду причин эта машина не была запущена в производство (10703).</w:t>
      </w:r>
    </w:p>
    <w:p w14:paraId="1F4DBE8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04927F56" w14:textId="77777777" w:rsidR="000C324B" w:rsidRPr="001E2C69" w:rsidRDefault="000C324B" w:rsidP="00722885">
      <w:pPr>
        <w:pStyle w:val="162"/>
        <w:shd w:val="clear" w:color="auto" w:fill="auto"/>
        <w:spacing w:line="240" w:lineRule="auto"/>
        <w:jc w:val="both"/>
        <w:rPr>
          <w:color w:val="000000" w:themeColor="text1"/>
          <w:sz w:val="16"/>
          <w:szCs w:val="16"/>
        </w:rPr>
      </w:pPr>
      <w:r w:rsidRPr="001E2C69">
        <w:rPr>
          <w:rFonts w:eastAsia="Calibri"/>
          <w:color w:val="000000" w:themeColor="text1"/>
          <w:sz w:val="16"/>
          <w:szCs w:val="16"/>
        </w:rPr>
        <w:t>В июле 1942 заводу № 264 удалось сдать 51 танк Т-60. Ввиду несвоевременного поступления двигателей с ГАЗ и траков с СТЗ, доукомплектование последних Т-60 закончилась 26 июля. Большинство танков июльского выпуска было отправлено на комплектование частей Сталинградского и Воронежского фронтов.Впрочем, наступающих на Сталинград немцев и румын встретили не только танки: часть башен Т-60 из задела была использована в каче</w:t>
      </w:r>
      <w:r w:rsidRPr="001E2C69">
        <w:rPr>
          <w:rFonts w:eastAsia="Calibri"/>
          <w:color w:val="000000" w:themeColor="text1"/>
          <w:sz w:val="16"/>
          <w:szCs w:val="16"/>
        </w:rPr>
        <w:softHyphen/>
        <w:t>стве неподвижных огневых точек. Несмотря на все трудности, завод № 264 оказался на втором месте по числу выпущенных Т-60: всего в Красноармейске было выпущено 1174 танка.</w:t>
      </w:r>
    </w:p>
    <w:p w14:paraId="032BAE42" w14:textId="77777777" w:rsidR="000C324B" w:rsidRPr="001E2C69" w:rsidRDefault="000C324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окончании битвы за Сталинград завод № 264, меньше постра</w:t>
      </w:r>
      <w:r w:rsidRPr="001E2C69">
        <w:rPr>
          <w:rFonts w:ascii="Times New Roman" w:hAnsi="Times New Roman"/>
          <w:color w:val="000000" w:themeColor="text1"/>
          <w:sz w:val="16"/>
          <w:szCs w:val="16"/>
        </w:rPr>
        <w:softHyphen/>
        <w:t>давший от бомбежек, был преобразован в ремзавод № 264. Помимо восстановления советских танков, предприятие занималось ремонтом и трофейной бронетехники. В 1944 году завод занимался изготовлени</w:t>
      </w:r>
      <w:r w:rsidRPr="001E2C69">
        <w:rPr>
          <w:rFonts w:ascii="Times New Roman" w:hAnsi="Times New Roman"/>
          <w:color w:val="000000" w:themeColor="text1"/>
          <w:sz w:val="16"/>
          <w:szCs w:val="16"/>
        </w:rPr>
        <w:softHyphen/>
        <w:t>ем рубок для САУ ИСУ-152, находился в кооперации по производству танка Т-44. В дальнейшем завод вернулся к основной деятельности (судостроению) и танками не занимался (17485).</w:t>
      </w:r>
    </w:p>
    <w:p w14:paraId="3DC8CD4E" w14:textId="77777777" w:rsidR="000C324B" w:rsidRPr="001E2C69" w:rsidRDefault="000C324B" w:rsidP="00722885">
      <w:pPr>
        <w:spacing w:after="0" w:line="240" w:lineRule="auto"/>
        <w:jc w:val="both"/>
        <w:rPr>
          <w:rFonts w:ascii="Times New Roman" w:hAnsi="Times New Roman"/>
          <w:color w:val="000000" w:themeColor="text1"/>
          <w:sz w:val="16"/>
          <w:szCs w:val="16"/>
        </w:rPr>
      </w:pPr>
    </w:p>
    <w:p w14:paraId="59C301EC" w14:textId="77777777" w:rsidR="00FE59A3" w:rsidRPr="008A2E5A" w:rsidRDefault="00FE59A3" w:rsidP="00FE59A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июль 1942 г. заводом № 37 было сдано 10 Т-60, уже 5 июля сдача прекратилась, после чего началась подготовка производства Т-70. Правда, 70-ке повезло еще меньше. 28 июля 1942 года было подписано постановление ГКО №2120 "Об организации производства танков Т-34 на Уралмашзаводе и заводе №37 Наркомтанкопрома". Уже к 29 сентября реорганизованный завод №37, ставший частью УЗТМ (завод №50), изготовил первые два Т-34. Наработки по производству Т-70 были переданы заводу №38. А вот история свердловских Т-60 продолжалось немного дольше, чем планировалось (23355).</w:t>
      </w:r>
    </w:p>
    <w:p w14:paraId="292DA249" w14:textId="77777777" w:rsidR="00FE59A3" w:rsidRPr="008A2E5A" w:rsidRDefault="00FE59A3" w:rsidP="00FE59A3">
      <w:pPr>
        <w:spacing w:after="0" w:line="240" w:lineRule="auto"/>
        <w:jc w:val="both"/>
        <w:rPr>
          <w:rFonts w:ascii="Times New Roman" w:hAnsi="Times New Roman"/>
          <w:color w:val="0070C0"/>
          <w:sz w:val="16"/>
          <w:szCs w:val="16"/>
        </w:rPr>
      </w:pPr>
    </w:p>
    <w:p w14:paraId="56B7A568" w14:textId="77777777" w:rsidR="00FE59A3" w:rsidRPr="008A2E5A" w:rsidRDefault="00FE59A3" w:rsidP="00FE59A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1942 года и на заводе №264, и на заводе №37, производство танков Т-60 прекратилось. С другой стороны, именно сдача последних танков задержалась, причем с этим связана полудетективная история. Ее главным героем стал инженер-полковник Г.Э. Зухер. 10 июля 1942 года Гершон Эльевич прибыл в Свердловск, где был назначен районным инженером УЗТМ. На новом месте Зухер занялся организацией военной приёмки, в чем добился больших успехов. Лишним тому доказательством стало неоднократное награждение орденами и медалями. Ну а первым его крупным успехом стало решение проблемы с "забытыми" танками.</w:t>
      </w:r>
    </w:p>
    <w:p w14:paraId="5E516D48" w14:textId="77777777" w:rsidR="00FE59A3" w:rsidRPr="008A2E5A" w:rsidRDefault="00FE59A3" w:rsidP="00FE59A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По состоянию на 1 сентября 1942 года, на заводе № 37 все еще имелось 130 Т-60, все они не имели траков. Планировалось, что эти танки получат траки, отлитые на заводе №37 (на завод №183 можно было не надеяться – у них и так горел план по Т-34), но в реальности дело развивалось по иному сценарию. В течение сентября и октября удалось отправить 49 танков, по остальным доукомплектование застопорилось в виду форсирования работ по Т-34. А с остальными разворачивалась живописная картина. 81 танк стоял под открытым небом, постепенно ржавея. Из 81 пушки ТНШ 80 было установлено на танках, одна пушка лежала на складе УЗТМ. </w:t>
      </w:r>
      <w:r w:rsidRPr="008A2E5A">
        <w:rPr>
          <w:rFonts w:ascii="Times New Roman" w:hAnsi="Times New Roman"/>
          <w:color w:val="0070C0"/>
          <w:sz w:val="16"/>
          <w:szCs w:val="16"/>
        </w:rPr>
        <w:lastRenderedPageBreak/>
        <w:t>Большинство звеньев к пушке (1096420 штук из 1136740) и патронов (20406 из 22996) лежали под навесом, открытые всем ветрам, дождю и снегу. Впрочем, И.М. Зальцман, на тот момент нарком танковой промышленности, оставил вопрос без внимания. Но тут Зухер проявил принципиальную позицию, не испугавшись ответных мер со стороны наркома. Он довел информацию о творившемся беспределе до руководства ГАБТУ КА и местного парткома (23355).</w:t>
      </w:r>
    </w:p>
    <w:p w14:paraId="74DA4F93" w14:textId="77777777" w:rsidR="00FE59A3" w:rsidRPr="008A2E5A" w:rsidRDefault="00FE59A3" w:rsidP="00FE59A3">
      <w:pPr>
        <w:spacing w:after="0" w:line="240" w:lineRule="auto"/>
        <w:jc w:val="both"/>
        <w:rPr>
          <w:rFonts w:ascii="Times New Roman" w:hAnsi="Times New Roman"/>
          <w:color w:val="0070C0"/>
          <w:sz w:val="16"/>
          <w:szCs w:val="16"/>
        </w:rPr>
      </w:pPr>
    </w:p>
    <w:p w14:paraId="5B78ED1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июля 1942 г. в связи с принятием на вооружение автоматического танкового огнемета АТО-42 в КБ завода № 112 под руководством глав</w:t>
      </w:r>
      <w:r w:rsidRPr="001E2C69">
        <w:rPr>
          <w:rFonts w:ascii="Times New Roman" w:hAnsi="Times New Roman"/>
          <w:color w:val="000000" w:themeColor="text1"/>
          <w:sz w:val="16"/>
          <w:szCs w:val="16"/>
        </w:rPr>
        <w:softHyphen/>
        <w:t>ного конструктора В.В. Крылова были переработаны чертежи установ</w:t>
      </w:r>
      <w:r w:rsidRPr="001E2C69">
        <w:rPr>
          <w:rFonts w:ascii="Times New Roman" w:hAnsi="Times New Roman"/>
          <w:color w:val="000000" w:themeColor="text1"/>
          <w:sz w:val="16"/>
          <w:szCs w:val="16"/>
        </w:rPr>
        <w:softHyphen/>
        <w:t>ки огнемета АТО-41 под установку нового огнемета. Некоторое время завод выпускал огнеметные танки ОТ-34-76 с огнеметом как АТО-41, так и АТО-42. Новая огнеметная установка отличалась конструкцией отдельных элементов, увеличенной до 200 л емкостью бака для огнесме</w:t>
      </w:r>
      <w:r w:rsidRPr="001E2C69">
        <w:rPr>
          <w:rFonts w:ascii="Times New Roman" w:hAnsi="Times New Roman"/>
          <w:color w:val="000000" w:themeColor="text1"/>
          <w:sz w:val="16"/>
          <w:szCs w:val="16"/>
        </w:rPr>
        <w:softHyphen/>
        <w:t>си и количеством баллонов со сжатым воздухом. Кроме того, была уве</w:t>
      </w:r>
      <w:r w:rsidRPr="001E2C69">
        <w:rPr>
          <w:rFonts w:ascii="Times New Roman" w:hAnsi="Times New Roman"/>
          <w:color w:val="000000" w:themeColor="text1"/>
          <w:sz w:val="16"/>
          <w:szCs w:val="16"/>
        </w:rPr>
        <w:softHyphen/>
        <w:t>личена дальность огнеметания до 60 - 70 м при стрельбе огневыми вы</w:t>
      </w:r>
      <w:r w:rsidRPr="001E2C69">
        <w:rPr>
          <w:rFonts w:ascii="Times New Roman" w:hAnsi="Times New Roman"/>
          <w:color w:val="000000" w:themeColor="text1"/>
          <w:sz w:val="16"/>
          <w:szCs w:val="16"/>
        </w:rPr>
        <w:softHyphen/>
        <w:t>стрелами, содержавшими смесь 60% мазута и 40% керосина и до 100 -130 м при использовании спецсмеси. Темп стрельбы был увеличен до 24 - 30 выстр./мин. В 1943 г. к производству огнеметных танков был привлечен завод № 174 в Омске. Кроме одного танка с огнеметом АТО-41, все остальные огнеметные танки ОТ-34-76 (489 машин) выпуска 1943 - 1944 гг. были вооружены огнеметом АТО-42. На части огнеметных танков с 1943 г. в башне машины устанавлива</w:t>
      </w:r>
      <w:r w:rsidRPr="001E2C69">
        <w:rPr>
          <w:rFonts w:ascii="Times New Roman" w:hAnsi="Times New Roman"/>
          <w:color w:val="000000" w:themeColor="text1"/>
          <w:sz w:val="16"/>
          <w:szCs w:val="16"/>
        </w:rPr>
        <w:softHyphen/>
        <w:t>лась радиостанция 9Р с танковым переговорным устройством ТПУ-2. Всего было выпущено 148 огнеметных танков ОТ-34-76, оснащенных радиостанцией. Антенный изолятор крепился внутри броневого защит</w:t>
      </w:r>
      <w:r w:rsidRPr="001E2C69">
        <w:rPr>
          <w:rFonts w:ascii="Times New Roman" w:hAnsi="Times New Roman"/>
          <w:color w:val="000000" w:themeColor="text1"/>
          <w:sz w:val="16"/>
          <w:szCs w:val="16"/>
        </w:rPr>
        <w:softHyphen/>
        <w:t>ного стакана, приваривавшегося к кронштейну на кормовом листе баш</w:t>
      </w:r>
      <w:r w:rsidRPr="001E2C69">
        <w:rPr>
          <w:rFonts w:ascii="Times New Roman" w:hAnsi="Times New Roman"/>
          <w:color w:val="000000" w:themeColor="text1"/>
          <w:sz w:val="16"/>
          <w:szCs w:val="16"/>
        </w:rPr>
        <w:softHyphen/>
        <w:t>ни танка (10703).</w:t>
      </w:r>
    </w:p>
    <w:p w14:paraId="492BC42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59F4B40C" w14:textId="77777777" w:rsidR="00FE59A3" w:rsidRPr="008A2E5A" w:rsidRDefault="00FE59A3" w:rsidP="00FE59A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1942 года проходил второй этап ходовых испытаний МЛ3 и МС3 и машина показала себя лучшим из зарубежных танков. В летних условиях средняя скорость по проселку составила 29 км/ч, а расход топлива 176 литров на 100 километров. По сравнению с майскими испытаниями улучшились показатели при езде по целине. Средняя скорость выросла до 20 км/ч, а расход топлива снизился до 246 литров на 100 километров.</w:t>
      </w:r>
    </w:p>
    <w:p w14:paraId="1BAC076E" w14:textId="77777777" w:rsidR="00FE59A3" w:rsidRPr="008A2E5A" w:rsidRDefault="00FE59A3" w:rsidP="00FE59A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Еще более интересные результаты М3 Легкий показал в ходе преодоления водных преград. Местом для испытания выбрали реку Мёша в районе села Сокуры. Ширина брода составила 45 метров, глубина 1,4 метра. М3 Легкий на этом этапе испытаний оказался единственным, который смог преодолеть брод в оба направления, при этом не понадобилась помощь тягача. У остальных же танков результаты испытаний оказались очень похожими: в ходе преодоления брода набиралась вода в моторном отделении, после чего машина глохла. Секретом успеха М3 Легкого стала большая высота корпуса и самая большая удельная мощность.</w:t>
      </w:r>
    </w:p>
    <w:p w14:paraId="31A5BCFC" w14:textId="77777777" w:rsidR="00FE59A3" w:rsidRPr="008A2E5A" w:rsidRDefault="00FE59A3" w:rsidP="00FE59A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Вполне достойно показал себя танк и при движении по болоту. Конечно, гусеничные ленты у него были довольно узкими, но при этом удельное давление на грунт оказалось сравнимым с Т-70. Для испытаний выбрали участок длиной 100 метров, проходимый человеком, сложный для лошади и непроходимый для колёсной техники. М3 Легкий преодолел его в обоих направлениях, каждый раз проходя по свежему участку. Проблемы случились при попытке пройти по собственному следу. Пройдя 55 метров, машина застряла по причине пробуксовки правой гусеничной ленты. В ходе испытаний выяснилось, что максимальная глубина погружения М3Л в болотистую местность составляет 320 мм. Стоит также отметить, что были еще одни испытания - в Кубинке. И там М3 Легкий прошел в тех местах, где застряли и Т-60, и Т-70.</w:t>
      </w:r>
    </w:p>
    <w:p w14:paraId="3E4FE7F6" w14:textId="77777777" w:rsidR="00FE59A3" w:rsidRPr="008A2E5A" w:rsidRDefault="00FE59A3" w:rsidP="00FE59A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Одними только ходовыми испытаниями дело не обошлось. Проверялись и другие характеристики танка, включая и обзорность. Проверялось два танка - с башнями D38976 (Казань) и D39273 (Кубинка). Обе башни испытателям не понравились. Отмечались весьма ограниченные углы наблюдения и недостаточная стойкость защитных стекол. Детали были выполнены с большими зазорами, которые допускали проникновение внутрь свинцовых брызг. Смена формы башенки особо не поменяла картину, поскольку она сократила габарит только при фронтальном обстреле. При фланговом обстреле силуэт даже немного увеличился. Судя по всему, американские испытатели пришли к похожим выводам, поскольку весной 1942 года стали выпускаться башни без смотровой башенки.</w:t>
      </w:r>
    </w:p>
    <w:p w14:paraId="1A82AF19" w14:textId="77777777" w:rsidR="00FE59A3" w:rsidRPr="008A2E5A" w:rsidRDefault="00FE59A3" w:rsidP="00FE59A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Надо сказать, что с оптикой у американцев дела обстояли откровенно плохо. Когда ругают наши приборы наблюдения, люди просто не в курсе, что было у американцев. На башне D38976 и корпусах того же периода использовались обычные стеклоблоки. Башня D39273 и более поздние корпуса получили призматические смотровые приборы, не самые удачные. Наконец, смотровая башенка на D39273 должна была получить перископические смотровые приборы, но их так и не дождались.</w:t>
      </w:r>
    </w:p>
    <w:p w14:paraId="228406AF" w14:textId="77777777" w:rsidR="00FE59A3" w:rsidRPr="008A2E5A" w:rsidRDefault="00FE59A3" w:rsidP="00FE59A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Отдельно стоит сказать про прицел. Телескопический прицел M5A1 представлял собой простую трубу с перекрестием. Выверка прицела производилась при помощи специального механизма. Кроме того, на дистанции 800 и более метров видимость через прицел оказалась плохая. Как указали испытатели, проще было наблюдать цель невооруженным взглядом. В ходе проведения испытаний специалисты НИБТ Полигона решили переделать прицел, взяв для этого детали отечественного производства. В результате увеличение выросло с 1,1 до 2,17, появилось более удобное перекрестье с боковыми поправками. Только за счет нового прицела скорострельность выросла до 7 выстрелов в минуту.</w:t>
      </w:r>
    </w:p>
    <w:p w14:paraId="3E012EAE" w14:textId="77777777" w:rsidR="00FE59A3" w:rsidRPr="008A2E5A" w:rsidRDefault="00FE59A3" w:rsidP="00FE59A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Изучали у нас и корпуса с башнями американского танка. Происходило это уже осенью 1942 года, причем объектом стал точно такой же танк с башней D38976, который испытывали под Казанью. Правда, это уже был повоевавший М3 Легкий из 114-й танковой бригады. На Гороховецком АНИОП указывали, что толстые броневые листы М3 Легкого (больше 25 мм) цементированные. При обстреле броня продемонстрировала пониженную прочность листов, которая сопровождалась трещинами и отколами (24180).</w:t>
      </w:r>
    </w:p>
    <w:p w14:paraId="4E68B183" w14:textId="77777777" w:rsidR="00FE59A3" w:rsidRPr="008A2E5A" w:rsidRDefault="00FE59A3" w:rsidP="00FE59A3">
      <w:pPr>
        <w:spacing w:after="0" w:line="240" w:lineRule="auto"/>
        <w:jc w:val="both"/>
        <w:rPr>
          <w:rFonts w:ascii="Times New Roman" w:hAnsi="Times New Roman"/>
          <w:color w:val="0070C0"/>
          <w:sz w:val="16"/>
          <w:szCs w:val="16"/>
        </w:rPr>
      </w:pPr>
    </w:p>
    <w:p w14:paraId="2F11B6C2" w14:textId="77777777" w:rsidR="009F003B" w:rsidRPr="001E2C69"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июле 1942 один из «Тетрархов», танк с регистрационным номером T.9328, был отправлен из Азербайджана на НИИБТ Полигон в Кубинку.</w:t>
      </w:r>
    </w:p>
    <w:p w14:paraId="559D0418" w14:textId="77777777" w:rsidR="009F003B" w:rsidRPr="001E2C69"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Итоги почти полугодовой эксплуатации «Тетрархов» в горных условиях были кратко изложены в записке, отправленной в Москву зам начальника АБТУ Закавказского фронта по ремонту и снабжения инженер-подполковником Галкиным 29 ноября 1942 года:</w:t>
      </w:r>
    </w:p>
    <w:p w14:paraId="03B301D6" w14:textId="77777777" w:rsidR="009F003B" w:rsidRPr="001E2C69"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«На основании поступающих материалов от войсковых частей о недостатках, выявленных при эксплуатации английских танков МК-7, докладываю:</w:t>
      </w:r>
    </w:p>
    <w:p w14:paraId="055A1E8D" w14:textId="77777777" w:rsidR="009F003B" w:rsidRPr="001E2C69"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1. Двигатель работает хорошо, но конструкция системы охлаждения имеет существенный недостаток, не позволяющий полного слива воды без снятия двигателя, к тому же сечение отводной трубки 4 мм недостаточное, быстро засоряется накипью, а во время мороза замерзает. Работа зимой даже в условиях Закавказского фронта на этом двигателе требует применения антифриза.</w:t>
      </w:r>
    </w:p>
    <w:p w14:paraId="6D52B65A" w14:textId="77777777" w:rsidR="009F003B" w:rsidRPr="001E2C69"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2. Большое количество деталей и узлов изготовлено с недостаточным запасом прочности, в связи с чем даже не при полной нагрузке не на плохих дорогах они часто выходят из строя.</w:t>
      </w:r>
    </w:p>
    <w:p w14:paraId="192A7E34" w14:textId="77777777" w:rsidR="009F003B" w:rsidRPr="001E2C69"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&lt;…&gt;</w:t>
      </w:r>
    </w:p>
    <w:p w14:paraId="0E384CC3" w14:textId="77777777" w:rsidR="009F003B" w:rsidRPr="001E2C69"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3. Кронштейны поддерживающих колёс имеют недостаточный запас прочности, отсюда возникают трещины в углах кронштейна.</w:t>
      </w:r>
    </w:p>
    <w:p w14:paraId="20E58D57" w14:textId="77777777" w:rsidR="009F003B" w:rsidRPr="001E2C69"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4. Быстро изнашивается и выходит из строя шестерня промежуточного вала.</w:t>
      </w:r>
    </w:p>
    <w:p w14:paraId="216BF46F" w14:textId="77777777" w:rsidR="009F003B" w:rsidRPr="001E2C69"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5. Броневой корпус имеет следующие недочёты:</w:t>
      </w:r>
    </w:p>
    <w:p w14:paraId="458D1825" w14:textId="77777777" w:rsidR="009F003B" w:rsidRPr="001E2C69"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а. крепление крыши (башни – прим. автора) танка недостаточное, семь угольников толщиной 4–5 мм легко могут быть сорваны при помощи ломика</w:t>
      </w:r>
    </w:p>
    <w:p w14:paraId="50E42AC4" w14:textId="77777777" w:rsidR="009F003B" w:rsidRPr="001E2C69"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б. крышка люка закрепляется непрочно.</w:t>
      </w:r>
    </w:p>
    <w:p w14:paraId="5C498D8C" w14:textId="77777777" w:rsidR="009F003B" w:rsidRPr="001E2C69"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в. в корпусе башни и кормовой броне моторного отделения имеются отверстия, без которых с успехом можно обойтись, не увеличивая тем самым уязвимость танка от оружейного огня и действий зажигательной смеси.</w:t>
      </w:r>
    </w:p>
    <w:p w14:paraId="0CC826BA" w14:textId="77777777" w:rsidR="009F003B" w:rsidRPr="001E2C69"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6. К недостатка танка относится и сама компоновка отдельных агрегатов (коробка перемены передач, дифференциал, тормозные барабаны), которые расположены под мотором и при неисправности требуют снятия двигателя.</w:t>
      </w:r>
    </w:p>
    <w:p w14:paraId="75827280" w14:textId="77777777" w:rsidR="009F003B" w:rsidRPr="001E2C69"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7. Доступ к гайкам шпилек кронштейна ведущей шестёренки ведомого колеса затруднён.</w:t>
      </w:r>
    </w:p>
    <w:p w14:paraId="286F9CE6" w14:textId="77777777" w:rsidR="009F003B" w:rsidRPr="001E2C69"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8. Гусеничное полотно и траки не обеспечивают надёжного сцепления с почвой и дают большой процент пробуксовок при мокрых и снежных дорогах.</w:t>
      </w:r>
    </w:p>
    <w:p w14:paraId="5CE2FBE5" w14:textId="77777777" w:rsidR="009F003B" w:rsidRPr="001E2C69"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Указанные конструктивные недостатки, при отсутствии необходимых запчастей, надолго выводят из строя данные танки».</w:t>
      </w:r>
    </w:p>
    <w:p w14:paraId="0AE65FF4" w14:textId="77777777" w:rsidR="009F003B" w:rsidRPr="001E2C69"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К слову, проблемы при езде по мягкому грунту и недостатки, связанные с двигателем, отмечали и сами англичане в ходе испытаний «Тетрарха» в 1941 году на Ближнем Востоке (17648).</w:t>
      </w:r>
    </w:p>
    <w:p w14:paraId="42FBCC5D" w14:textId="77777777" w:rsidR="009F003B" w:rsidRPr="001E2C69" w:rsidRDefault="009F003B" w:rsidP="00722885">
      <w:pPr>
        <w:pStyle w:val="12a"/>
        <w:shd w:val="clear" w:color="auto" w:fill="auto"/>
        <w:spacing w:after="0" w:line="240" w:lineRule="auto"/>
        <w:jc w:val="both"/>
        <w:rPr>
          <w:color w:val="000000" w:themeColor="text1"/>
          <w:sz w:val="16"/>
          <w:szCs w:val="16"/>
        </w:rPr>
      </w:pPr>
    </w:p>
    <w:p w14:paraId="50DBD284" w14:textId="77777777" w:rsidR="009F003B" w:rsidRPr="001E2C69"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июле 1942 года в Казани на полигоне НИИБТ прошло сравнительное испытание танка Light Tank M3, которые в советской переписке называли «М-3 лёгкий» или М3л с башней D38976. В ходе него М3л разогнался ещё быстрее – до 60 км/ч. Средний расход топлива по шоссе, просёлку и бездорожью составил на этот раз 136, 176 и 246 литров соответственно. Это говорит о том, что на первом этапе, вероятно, существовали какие-то проблемы. Впрочем, запас хода по бездорожью всё равно оказался меньше 100 км. Неудивительно, что англичане в 1942 году затребовали для «Стюартов» дополнительные баки. Справедливости ради, отметим, что Pz.Kpfw.III Ausf.H на испытаниях показал расход топлива 215, 280 и 335 литров соответственно, а запас его хода по бездорожью составил всего 95 километров, что соответствовало паспортным данным.</w:t>
      </w:r>
    </w:p>
    <w:p w14:paraId="1C27FDC7" w14:textId="77777777" w:rsidR="009F003B" w:rsidRPr="001E2C69"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Испытания в летних условиях показали, что американский лёгкий танк имеет всё те же проблемы на подъёмах. Не помогла даже установка шпор, после которой машина стала не соскальзывать, а рыть грунт. Впрочем, у остальных танков характеристики по подъёму оказались не особо лучшими. На подъёмах круче 40 градусов у М3л наблюдалось недостаточное сцепление с грунтом.</w:t>
      </w:r>
    </w:p>
    <w:p w14:paraId="453F7D61" w14:textId="77777777" w:rsidR="009F003B" w:rsidRPr="001E2C69"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При движении по броду глубиной 1,4 метра танк смог выбраться на берег только со второй попытки, и снова из-за недостаточного сцепления с грунтом. Между тем, Medium Tank M3 при попытке выхода из воды вовсе заглох, и его пришлось вытаскивать трактором. То же самое случилось и с Valentine VII. А Pz.Kpfw.III Ausf.H не смог и этого, поскольку его моторное отделение залило водой при прохождении брода глубиной 1,3 метра, и танк прошёл всего 30 метров. Pz.Kpfw.38(t) Ausf.E оказался чуть удачливее, преодолев 35 метров.</w:t>
      </w:r>
    </w:p>
    <w:p w14:paraId="2FB9D405" w14:textId="77777777" w:rsidR="009F003B" w:rsidRPr="001E2C69"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lastRenderedPageBreak/>
        <w:t>Отдельной программой стали испытания по передвижению в болотистой местности. Для них был выбран участок длиной 100 метров, проходимый человеком, сложный для лошади и непроходимый для колёсной техники. Американский лёгкий танк преодолел его в обоих направлениях, застряв в ходе движения по собственному следу. Medium Tank M3 застрял, преодолев 30 метров; Pz.Kpfw.III Ausf.H преодолел 50 метров и тоже завяз. Для Valentine VII и Pz.Kpfw.38(t) Ausf.E болото не оказалось проблемой, они также прошли по свежему болоту.</w:t>
      </w:r>
    </w:p>
    <w:p w14:paraId="07079F3C" w14:textId="77777777" w:rsidR="009F003B" w:rsidRPr="001E2C69"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Позже был проведён второй этап, в котором вместо Pz.Kpfw.III Ausf.H и Valentine VII использовались лёгкие танки Т-60 и Т-70. Результаты оказались теми же. М3л снова был лидером. Что же касается «новичков», то они в принципе болото преодолевали, но в ходовую часть забивалась трава, что и стало причиной застревания Т-70 в ходе одной из попыток.</w:t>
      </w:r>
    </w:p>
    <w:p w14:paraId="4A7464FD" w14:textId="77777777" w:rsidR="009F003B" w:rsidRPr="001E2C69"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Финалом испытаний стали стрельбы. В их ходе выяснилось, что советская 45-мм пушка, а также английская 2-фунтовая (40 мм) пушка не пробивают бронебойными снарядами плиты толщиной 50 мм. Что же касается 37-мм американской пушки M5, то она с дистанции 100 метров вполне спокойно пробивала и 50-мм лобовую плиту StuG III Ausf.B, и 50-мм (25+25 мм) лоб Pz.Kpfw.38(t) Ausf.E. Мощности орудия вполне хватало, чтобы успешно бороться со всеми танками противника, выпускавшимися в 1941 году.</w:t>
      </w:r>
    </w:p>
    <w:p w14:paraId="6E530D7B" w14:textId="77777777" w:rsidR="009F003B" w:rsidRPr="001E2C69"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Изучение конструкции и химического состава корпуса американского танка советских инженеров не впечатлило. Корпус имел большое количество клёпаных соединений, а из-за большой удельной массы дефицитных присадок никеля и молибдена не вызвала интереса и сталь, из которой изготовлялся танк (17653).</w:t>
      </w:r>
    </w:p>
    <w:p w14:paraId="03392425" w14:textId="77777777" w:rsidR="009F003B" w:rsidRPr="001E2C69" w:rsidRDefault="009F003B" w:rsidP="00722885">
      <w:pPr>
        <w:pStyle w:val="12a"/>
        <w:shd w:val="clear" w:color="auto" w:fill="auto"/>
        <w:spacing w:after="0" w:line="240" w:lineRule="auto"/>
        <w:jc w:val="both"/>
        <w:rPr>
          <w:color w:val="000000" w:themeColor="text1"/>
          <w:sz w:val="16"/>
          <w:szCs w:val="16"/>
        </w:rPr>
      </w:pPr>
    </w:p>
    <w:p w14:paraId="422C47AE" w14:textId="77777777" w:rsidR="009F003B" w:rsidRPr="001E2C69" w:rsidRDefault="009F003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 xml:space="preserve">В июле 1942 пехотные танки ChurchillIIи ChurchillIII прибыли в Архангельск. Всего в Советский Союз был отправлен 301 танк данного типа, из которых до места назначения добрались 253. Несмотря на сравнительно небольшой объём поставок, тёзки премьер-министра Великобритании сыграли весьма важную роль на полях сражений Великой Отечественной войны. Достаточно сказать, что именно эти машины, наряду с </w:t>
      </w:r>
      <w:hyperlink r:id="rId180" w:history="1">
        <w:r w:rsidRPr="001E2C69">
          <w:rPr>
            <w:rFonts w:ascii="Times New Roman" w:eastAsia="Times New Roman" w:hAnsi="Times New Roman"/>
            <w:iCs/>
            <w:color w:val="000000" w:themeColor="text1"/>
            <w:sz w:val="16"/>
            <w:szCs w:val="16"/>
            <w:lang w:eastAsia="ru-RU"/>
          </w:rPr>
          <w:t>КВ-1с</w:t>
        </w:r>
      </w:hyperlink>
      <w:r w:rsidRPr="001E2C69">
        <w:rPr>
          <w:rFonts w:ascii="Times New Roman" w:eastAsia="Times New Roman" w:hAnsi="Times New Roman"/>
          <w:iCs/>
          <w:color w:val="000000" w:themeColor="text1"/>
          <w:sz w:val="16"/>
          <w:szCs w:val="16"/>
          <w:lang w:eastAsia="ru-RU"/>
        </w:rPr>
        <w:t xml:space="preserve">, были основными тяжёлыми танками Красной армии в </w:t>
      </w:r>
      <w:hyperlink r:id="rId181" w:history="1">
        <w:r w:rsidRPr="001E2C69">
          <w:rPr>
            <w:rFonts w:ascii="Times New Roman" w:eastAsia="Times New Roman" w:hAnsi="Times New Roman"/>
            <w:iCs/>
            <w:color w:val="000000" w:themeColor="text1"/>
            <w:sz w:val="16"/>
            <w:szCs w:val="16"/>
            <w:lang w:eastAsia="ru-RU"/>
          </w:rPr>
          <w:t>танковом сражении под Прохоровкой</w:t>
        </w:r>
      </w:hyperlink>
      <w:r w:rsidRPr="001E2C69">
        <w:rPr>
          <w:rFonts w:ascii="Times New Roman" w:hAnsi="Times New Roman"/>
          <w:color w:val="000000" w:themeColor="text1"/>
          <w:sz w:val="16"/>
          <w:szCs w:val="16"/>
        </w:rPr>
        <w:t xml:space="preserve"> (17961)</w:t>
      </w:r>
      <w:r w:rsidRPr="001E2C69">
        <w:rPr>
          <w:rFonts w:ascii="Times New Roman" w:eastAsia="Times New Roman" w:hAnsi="Times New Roman"/>
          <w:iCs/>
          <w:color w:val="000000" w:themeColor="text1"/>
          <w:sz w:val="16"/>
          <w:szCs w:val="16"/>
          <w:lang w:eastAsia="ru-RU"/>
        </w:rPr>
        <w:t>.</w:t>
      </w:r>
    </w:p>
    <w:p w14:paraId="37C6A672" w14:textId="77777777" w:rsidR="009F003B" w:rsidRPr="001E2C69" w:rsidRDefault="009F003B" w:rsidP="00722885">
      <w:pPr>
        <w:spacing w:after="0" w:line="240" w:lineRule="auto"/>
        <w:jc w:val="both"/>
        <w:rPr>
          <w:rFonts w:ascii="Times New Roman" w:eastAsia="Times New Roman" w:hAnsi="Times New Roman"/>
          <w:color w:val="000000" w:themeColor="text1"/>
          <w:sz w:val="16"/>
          <w:szCs w:val="16"/>
          <w:lang w:eastAsia="ru-RU"/>
        </w:rPr>
      </w:pPr>
    </w:p>
    <w:p w14:paraId="5AEC31C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 ГБТУ КА вновь возбудило ходатайство о возобновлении работ по инфракрасным приборам, в результате чего вышло Постановление ГОКО №2181сс от 18.08.1942 г., которое обязы</w:t>
      </w:r>
      <w:r w:rsidRPr="001E2C69">
        <w:rPr>
          <w:rFonts w:ascii="Times New Roman" w:hAnsi="Times New Roman"/>
          <w:color w:val="000000" w:themeColor="text1"/>
          <w:sz w:val="16"/>
          <w:szCs w:val="16"/>
        </w:rPr>
        <w:softHyphen/>
        <w:t>вало ОКБ ВЭИ изготовить 25 комплектов приборов для ночного вождения танков.</w:t>
      </w:r>
    </w:p>
    <w:p w14:paraId="323EEC1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октябре 1942 г. указанные приборы были изготовлены и в количестве 24 комплектов установ</w:t>
      </w:r>
      <w:r w:rsidRPr="001E2C69">
        <w:rPr>
          <w:rFonts w:ascii="Times New Roman" w:hAnsi="Times New Roman"/>
          <w:color w:val="000000" w:themeColor="text1"/>
          <w:sz w:val="16"/>
          <w:szCs w:val="16"/>
        </w:rPr>
        <w:softHyphen/>
        <w:t>лены для испытаний в танках Т-34 в 16-й и 17-й танковых бригадах 1-го гвардейского Донского кор</w:t>
      </w:r>
      <w:r w:rsidRPr="001E2C69">
        <w:rPr>
          <w:rFonts w:ascii="Times New Roman" w:hAnsi="Times New Roman"/>
          <w:color w:val="000000" w:themeColor="text1"/>
          <w:sz w:val="16"/>
          <w:szCs w:val="16"/>
        </w:rPr>
        <w:softHyphen/>
        <w:t>пуса.</w:t>
      </w:r>
    </w:p>
    <w:p w14:paraId="32F358A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сентябре 1943 г. ГОИ совместно с ОКБ ВЭИ изготовили и представили на испытания два ком</w:t>
      </w:r>
      <w:r w:rsidRPr="001E2C69">
        <w:rPr>
          <w:rFonts w:ascii="Times New Roman" w:hAnsi="Times New Roman"/>
          <w:color w:val="000000" w:themeColor="text1"/>
          <w:sz w:val="16"/>
          <w:szCs w:val="16"/>
        </w:rPr>
        <w:softHyphen/>
        <w:t>плекта танковых ночных прицелов ПЦТ-8, которые проходили испытания на НИБТ полигоне ГБТУКА.</w:t>
      </w:r>
    </w:p>
    <w:p w14:paraId="3C9C46D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мае месяце 1944 г. ОКБ ВЭИ вновь проводило испытании приборов для ночного вождения на заводе № 100 НКТП (11420).</w:t>
      </w:r>
    </w:p>
    <w:p w14:paraId="5256C04F"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51C697E" w14:textId="77777777" w:rsidR="00627011" w:rsidRPr="001E2C69" w:rsidRDefault="00627011" w:rsidP="00722885">
      <w:pPr>
        <w:pStyle w:val="af"/>
        <w:shd w:val="clear" w:color="auto" w:fill="FFFFFF"/>
        <w:spacing w:before="0" w:after="0"/>
        <w:jc w:val="both"/>
        <w:rPr>
          <w:color w:val="000000" w:themeColor="text1"/>
          <w:sz w:val="16"/>
          <w:szCs w:val="16"/>
        </w:rPr>
      </w:pPr>
      <w:r w:rsidRPr="001E2C69">
        <w:rPr>
          <w:color w:val="000000" w:themeColor="text1"/>
          <w:sz w:val="16"/>
          <w:szCs w:val="16"/>
        </w:rPr>
        <w:t>В июле 1942 года тема 152-мм истребителей ДОТов вообще исчезла из планов опытных работ ГАУ и ГАБТУ, вернувшись в них только к середине августа (15806).</w:t>
      </w:r>
    </w:p>
    <w:p w14:paraId="0E07FBF7" w14:textId="77777777" w:rsidR="00627011" w:rsidRPr="001E2C69" w:rsidRDefault="00627011" w:rsidP="00722885">
      <w:pPr>
        <w:spacing w:after="0" w:line="240" w:lineRule="auto"/>
        <w:jc w:val="both"/>
        <w:rPr>
          <w:rFonts w:ascii="Times New Roman" w:hAnsi="Times New Roman"/>
          <w:color w:val="000000" w:themeColor="text1"/>
          <w:sz w:val="16"/>
          <w:szCs w:val="16"/>
        </w:rPr>
      </w:pPr>
    </w:p>
    <w:p w14:paraId="6359E980" w14:textId="77777777" w:rsidR="00627011" w:rsidRPr="001E2C69" w:rsidRDefault="0062701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года на ЧКЗ возникли проблемы с производством коробок перемены пере</w:t>
      </w:r>
      <w:r w:rsidRPr="001E2C69">
        <w:rPr>
          <w:rFonts w:ascii="Times New Roman" w:hAnsi="Times New Roman"/>
          <w:color w:val="000000" w:themeColor="text1"/>
          <w:sz w:val="16"/>
          <w:szCs w:val="16"/>
        </w:rPr>
        <w:softHyphen/>
        <w:t>дач. Дело в том, что Челябинский Киров</w:t>
      </w:r>
      <w:r w:rsidRPr="001E2C69">
        <w:rPr>
          <w:rFonts w:ascii="Times New Roman" w:hAnsi="Times New Roman"/>
          <w:color w:val="000000" w:themeColor="text1"/>
          <w:sz w:val="16"/>
          <w:szCs w:val="16"/>
        </w:rPr>
        <w:softHyphen/>
        <w:t>ский завод должен был выпускать три типа боевых машин - КВ-1, КВ-1С и Т-34. Чтобы как-то выйти из этой сложной ситуации ди</w:t>
      </w:r>
      <w:r w:rsidRPr="001E2C69">
        <w:rPr>
          <w:rFonts w:ascii="Times New Roman" w:hAnsi="Times New Roman"/>
          <w:color w:val="000000" w:themeColor="text1"/>
          <w:sz w:val="16"/>
          <w:szCs w:val="16"/>
        </w:rPr>
        <w:softHyphen/>
        <w:t>ректор ЧКЗ С. Махонин и главный конструк</w:t>
      </w:r>
      <w:r w:rsidRPr="001E2C69">
        <w:rPr>
          <w:rFonts w:ascii="Times New Roman" w:hAnsi="Times New Roman"/>
          <w:color w:val="000000" w:themeColor="text1"/>
          <w:sz w:val="16"/>
          <w:szCs w:val="16"/>
        </w:rPr>
        <w:softHyphen/>
        <w:t>тор Ж. Котин в своем письме на имя нарко</w:t>
      </w:r>
      <w:r w:rsidRPr="001E2C69">
        <w:rPr>
          <w:rFonts w:ascii="Times New Roman" w:hAnsi="Times New Roman"/>
          <w:color w:val="000000" w:themeColor="text1"/>
          <w:sz w:val="16"/>
          <w:szCs w:val="16"/>
        </w:rPr>
        <w:softHyphen/>
        <w:t>ма танковой промышленности И. Зальцмана предлагали следующее:</w:t>
      </w:r>
    </w:p>
    <w:p w14:paraId="0B5FCB3D" w14:textId="77777777" w:rsidR="00627011" w:rsidRPr="001E2C69" w:rsidRDefault="00627011"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«При создавшейся производственной про</w:t>
      </w:r>
      <w:r w:rsidRPr="001E2C69">
        <w:rPr>
          <w:rFonts w:ascii="Times New Roman" w:cs="Times New Roman"/>
          <w:color w:val="000000" w:themeColor="text1"/>
          <w:spacing w:val="0"/>
        </w:rPr>
        <w:softHyphen/>
        <w:t>грамме на заводе ввод новой восьмискоростной коробки перемены передач вызо</w:t>
      </w:r>
      <w:r w:rsidRPr="001E2C69">
        <w:rPr>
          <w:rFonts w:ascii="Times New Roman" w:cs="Times New Roman"/>
          <w:color w:val="000000" w:themeColor="text1"/>
          <w:spacing w:val="0"/>
        </w:rPr>
        <w:softHyphen/>
        <w:t>вет ряд осложнений в производстве, так как на участках цеха завода будут параллельно изготавливаться детали трех коробок переме</w:t>
      </w:r>
      <w:r w:rsidRPr="001E2C69">
        <w:rPr>
          <w:rFonts w:ascii="Times New Roman" w:cs="Times New Roman"/>
          <w:color w:val="000000" w:themeColor="text1"/>
          <w:spacing w:val="0"/>
        </w:rPr>
        <w:softHyphen/>
        <w:t xml:space="preserve">ны передач: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 xml:space="preserve"> нормальная, восьмискоростная и коробка машины Т-34. Учитывая:</w:t>
      </w:r>
    </w:p>
    <w:p w14:paraId="7504A0AC" w14:textId="77777777" w:rsidR="00627011" w:rsidRPr="001E2C69" w:rsidRDefault="00627011" w:rsidP="00722885">
      <w:pPr>
        <w:pStyle w:val="27"/>
        <w:shd w:val="clear" w:color="auto" w:fill="auto"/>
        <w:tabs>
          <w:tab w:val="left" w:pos="394"/>
        </w:tabs>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а) что в условиях уменьшенного выпу</w:t>
      </w:r>
      <w:r w:rsidRPr="001E2C69">
        <w:rPr>
          <w:rFonts w:ascii="Times New Roman" w:cs="Times New Roman"/>
          <w:color w:val="000000" w:themeColor="text1"/>
          <w:spacing w:val="0"/>
        </w:rPr>
        <w:softHyphen/>
        <w:t xml:space="preserve">ска в армию танков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 xml:space="preserve"> эксплуатация ново</w:t>
      </w:r>
      <w:r w:rsidRPr="001E2C69">
        <w:rPr>
          <w:rFonts w:ascii="Times New Roman" w:cs="Times New Roman"/>
          <w:color w:val="000000" w:themeColor="text1"/>
          <w:spacing w:val="0"/>
        </w:rPr>
        <w:softHyphen/>
        <w:t>го типа КПП вызовет осложнения с запчас</w:t>
      </w:r>
      <w:r w:rsidRPr="001E2C69">
        <w:rPr>
          <w:rFonts w:ascii="Times New Roman" w:cs="Times New Roman"/>
          <w:color w:val="000000" w:themeColor="text1"/>
          <w:spacing w:val="0"/>
        </w:rPr>
        <w:softHyphen/>
        <w:t>тями;</w:t>
      </w:r>
    </w:p>
    <w:p w14:paraId="4D94EB8E" w14:textId="77777777" w:rsidR="00627011" w:rsidRPr="001E2C69" w:rsidRDefault="00627011" w:rsidP="00722885">
      <w:pPr>
        <w:pStyle w:val="27"/>
        <w:shd w:val="clear" w:color="auto" w:fill="auto"/>
        <w:tabs>
          <w:tab w:val="left" w:pos="332"/>
        </w:tabs>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б) что проведенные заводом меры по упроч</w:t>
      </w:r>
      <w:r w:rsidRPr="001E2C69">
        <w:rPr>
          <w:rFonts w:ascii="Times New Roman" w:cs="Times New Roman"/>
          <w:color w:val="000000" w:themeColor="text1"/>
          <w:spacing w:val="0"/>
        </w:rPr>
        <w:softHyphen/>
        <w:t>нению старой КП П дадут еще лучшие резуль</w:t>
      </w:r>
      <w:r w:rsidRPr="001E2C69">
        <w:rPr>
          <w:rFonts w:ascii="Times New Roman" w:cs="Times New Roman"/>
          <w:color w:val="000000" w:themeColor="text1"/>
          <w:spacing w:val="0"/>
        </w:rPr>
        <w:softHyphen/>
        <w:t>таты в условиях танка с новым корпусом и пониженным до 42,5 т весом, на новую ма</w:t>
      </w:r>
      <w:r w:rsidRPr="001E2C69">
        <w:rPr>
          <w:rFonts w:ascii="Times New Roman" w:cs="Times New Roman"/>
          <w:color w:val="000000" w:themeColor="text1"/>
          <w:spacing w:val="0"/>
        </w:rPr>
        <w:softHyphen/>
        <w:t xml:space="preserve">шину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-1С завод предлагает ставить:</w:t>
      </w:r>
    </w:p>
    <w:p w14:paraId="651D9734" w14:textId="77777777" w:rsidR="00627011" w:rsidRPr="001E2C69" w:rsidRDefault="00627011" w:rsidP="00722885">
      <w:pPr>
        <w:pStyle w:val="27"/>
        <w:shd w:val="clear" w:color="auto" w:fill="auto"/>
        <w:tabs>
          <w:tab w:val="left" w:pos="356"/>
        </w:tabs>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а) облегченный корпус и башню с коман</w:t>
      </w:r>
      <w:r w:rsidRPr="001E2C69">
        <w:rPr>
          <w:rFonts w:ascii="Times New Roman" w:cs="Times New Roman"/>
          <w:color w:val="000000" w:themeColor="text1"/>
          <w:spacing w:val="0"/>
        </w:rPr>
        <w:softHyphen/>
        <w:t>дирской башенкой;</w:t>
      </w:r>
    </w:p>
    <w:p w14:paraId="3B3E7FF4" w14:textId="77777777" w:rsidR="00627011" w:rsidRPr="001E2C69" w:rsidRDefault="00627011" w:rsidP="00722885">
      <w:pPr>
        <w:pStyle w:val="27"/>
        <w:shd w:val="clear" w:color="auto" w:fill="auto"/>
        <w:tabs>
          <w:tab w:val="left" w:pos="362"/>
        </w:tabs>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б) новый радиатор (водяной и масляный);</w:t>
      </w:r>
    </w:p>
    <w:p w14:paraId="67BF9A37" w14:textId="77777777" w:rsidR="00627011" w:rsidRPr="001E2C69" w:rsidRDefault="00627011" w:rsidP="00722885">
      <w:pPr>
        <w:pStyle w:val="27"/>
        <w:shd w:val="clear" w:color="auto" w:fill="auto"/>
        <w:tabs>
          <w:tab w:val="left" w:pos="356"/>
        </w:tabs>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 новый тип вентилятора большой мощ</w:t>
      </w:r>
      <w:r w:rsidRPr="001E2C69">
        <w:rPr>
          <w:rFonts w:ascii="Times New Roman" w:cs="Times New Roman"/>
          <w:color w:val="000000" w:themeColor="text1"/>
          <w:spacing w:val="0"/>
        </w:rPr>
        <w:softHyphen/>
        <w:t>ности;</w:t>
      </w:r>
    </w:p>
    <w:p w14:paraId="3C8C235F" w14:textId="77777777" w:rsidR="00627011" w:rsidRPr="001E2C69" w:rsidRDefault="00627011" w:rsidP="00722885">
      <w:pPr>
        <w:pStyle w:val="27"/>
        <w:shd w:val="clear" w:color="auto" w:fill="auto"/>
        <w:tabs>
          <w:tab w:val="left" w:pos="343"/>
        </w:tabs>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г) старую коробку перемены передач.</w:t>
      </w:r>
    </w:p>
    <w:p w14:paraId="6735C2DC" w14:textId="77777777" w:rsidR="00627011" w:rsidRPr="001E2C69" w:rsidRDefault="00627011"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 xml:space="preserve">В июле 1942 ЧКЗ выпустит 100 танков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 xml:space="preserve"> и 50 танков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-1С со старой коробкой пе</w:t>
      </w:r>
      <w:r w:rsidRPr="001E2C69">
        <w:rPr>
          <w:rFonts w:ascii="Times New Roman" w:cs="Times New Roman"/>
          <w:color w:val="000000" w:themeColor="text1"/>
          <w:spacing w:val="0"/>
        </w:rPr>
        <w:softHyphen/>
        <w:t xml:space="preserve">редач (КВ-1М). В августе будем выпускать только танки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-1М» (15226).</w:t>
      </w:r>
    </w:p>
    <w:p w14:paraId="1481597A" w14:textId="77777777" w:rsidR="00627011" w:rsidRPr="001E2C69" w:rsidRDefault="00627011" w:rsidP="00722885">
      <w:pPr>
        <w:pStyle w:val="27"/>
        <w:shd w:val="clear" w:color="auto" w:fill="auto"/>
        <w:spacing w:after="0" w:line="240" w:lineRule="auto"/>
        <w:ind w:firstLine="0"/>
        <w:rPr>
          <w:rFonts w:ascii="Times New Roman" w:cs="Times New Roman"/>
          <w:color w:val="000000" w:themeColor="text1"/>
          <w:spacing w:val="0"/>
        </w:rPr>
      </w:pPr>
    </w:p>
    <w:p w14:paraId="415251D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Выксунский завод, используя задел сменных железнодорожных колес (реборд) от выпускавшегося ранее БА-20ЖД провел модификацию БА-64 в БА-64В. Машина предназначалась для охраны бронепоездов и разведки на местности с развитой железнодорожной сетью. Ходовая часть БА-64 была несколько изменена: более узкую ходовую часть БА-64 (по сравнению с БА-20) пришлось компенсировать большим боковым вылетом бандажей. Это вело к снижению эксплуатационных свойств подшипников (3862).</w:t>
      </w:r>
    </w:p>
    <w:p w14:paraId="0E1AB1F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Параллельно с серийным производством, Выксунский завод продолжал совершенствовать конструкцию и создавать новые модификации БА-64. броневик пробовали поставить на рельсы (3862).</w:t>
      </w:r>
    </w:p>
    <w:p w14:paraId="312A6384" w14:textId="77777777" w:rsidR="00AE7191" w:rsidRPr="001E2C69" w:rsidRDefault="00AE7191" w:rsidP="00722885">
      <w:pPr>
        <w:pStyle w:val="Iauiue"/>
        <w:jc w:val="both"/>
        <w:rPr>
          <w:color w:val="000000" w:themeColor="text1"/>
          <w:sz w:val="16"/>
          <w:szCs w:val="16"/>
        </w:rPr>
      </w:pPr>
    </w:p>
    <w:p w14:paraId="4238926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июля 1942 года параллельно с Выксунским заводом Горьковский автозавод также провел железнодорожную модернизацию БА-64. В отличии от Выксунского завода, горьковчане решили создать универсальную машину, способную перемещаться и на автомобильных колесах, и по железнодорожному полотну (3862).</w:t>
      </w:r>
    </w:p>
    <w:p w14:paraId="0F56206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Горьковская модель - БА-б4Г - представляла собой бронеавтомобиль с обычным колесами, но с четырьмя роликами с ребордами, попарно расположенными впереди и сзади машины, удерживавшими ее на рельсах. Для того чтобы сойти с колеи, было достаточно поднять ролики. Задний ход был получен введением реверсивной раздаточной коробкой (3862).</w:t>
      </w:r>
    </w:p>
    <w:p w14:paraId="76263A8D" w14:textId="77777777" w:rsidR="00AE7191" w:rsidRPr="001E2C69" w:rsidRDefault="00AE7191" w:rsidP="00722885">
      <w:pPr>
        <w:pStyle w:val="Iauiue"/>
        <w:jc w:val="both"/>
        <w:rPr>
          <w:color w:val="000000" w:themeColor="text1"/>
          <w:sz w:val="16"/>
          <w:szCs w:val="16"/>
        </w:rPr>
      </w:pPr>
    </w:p>
    <w:p w14:paraId="33A12E55" w14:textId="77777777" w:rsidR="00627011" w:rsidRPr="001E2C69" w:rsidRDefault="00627011" w:rsidP="00722885">
      <w:pPr>
        <w:widowControl w:val="0"/>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года в передней части крыши корпуса БА-64 прорезали вентиляционное отверстие, которое сверху закрыли броневым кожухом, что позволило улучшить вентиляцию боевого отделения, особенно в движении. В сентябре ввели дополнительный лючок, в крыше моторного отделения (по типу бронемашины БА-10), что позволило несколько улучшить охлаждение двигателя, который из-за недостаточного притока воздуха часто перегревался (15218).</w:t>
      </w:r>
    </w:p>
    <w:p w14:paraId="497B3723" w14:textId="77777777" w:rsidR="00627011" w:rsidRPr="001E2C69" w:rsidRDefault="00627011" w:rsidP="00722885">
      <w:pPr>
        <w:widowControl w:val="0"/>
        <w:spacing w:after="0" w:line="240" w:lineRule="auto"/>
        <w:jc w:val="both"/>
        <w:rPr>
          <w:rFonts w:ascii="Times New Roman" w:hAnsi="Times New Roman"/>
          <w:color w:val="000000" w:themeColor="text1"/>
          <w:sz w:val="16"/>
          <w:szCs w:val="16"/>
        </w:rPr>
      </w:pPr>
    </w:p>
    <w:p w14:paraId="16FF25C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 был спроектирован бронеавтомобиль конструкции Выксунского завода ДРО, который имел сменные железнодорожные колеса. При переводе машины на железнодорожный ход колеса, предназначавшиеся для движения по обычным дорогам, снимались и закреплялись на корпусе машины. В проекте Горьковского автозавода, разработанном в ноябре 1942 г., предусматривалась возмож</w:t>
      </w:r>
      <w:r w:rsidRPr="001E2C69">
        <w:rPr>
          <w:rFonts w:ascii="Times New Roman" w:hAnsi="Times New Roman"/>
          <w:color w:val="000000" w:themeColor="text1"/>
          <w:sz w:val="16"/>
          <w:szCs w:val="16"/>
        </w:rPr>
        <w:softHyphen/>
        <w:t>ность движения бронеавтомобиля по рельсам с помощью резинового хода па специальных откидных направляющих роликах (в виде желез-подорожных бандажей), устанавливавшихся на кронштейнах с пружи</w:t>
      </w:r>
      <w:r w:rsidRPr="001E2C69">
        <w:rPr>
          <w:rFonts w:ascii="Times New Roman" w:hAnsi="Times New Roman"/>
          <w:color w:val="000000" w:themeColor="text1"/>
          <w:sz w:val="16"/>
          <w:szCs w:val="16"/>
        </w:rPr>
        <w:softHyphen/>
        <w:t>нами спереди и сзади машины. В предложенном проекте значительно сокращалось время подготовки бронеавтомобиля для движения сто по железнодорожной колее. Аналогичные работы в 1944 г. велись и на Московском вагоноремонтном заводе им. Войтовича. Кроме того, в годы Великой Отечественной войны велись работы по повышению проходимости серийных бронеавтомобилей по грунтам со слабой несущей способностью. Так, в 1942 - 1943 гг. был разработан, из</w:t>
      </w:r>
      <w:r w:rsidRPr="001E2C69">
        <w:rPr>
          <w:rFonts w:ascii="Times New Roman" w:hAnsi="Times New Roman"/>
          <w:color w:val="000000" w:themeColor="text1"/>
          <w:sz w:val="16"/>
          <w:szCs w:val="16"/>
        </w:rPr>
        <w:softHyphen/>
        <w:t>готовлен и испытан опытный образец бронеавтомобиля БА-64 с лыжно-гуееничным движителем (10703).</w:t>
      </w:r>
    </w:p>
    <w:p w14:paraId="555880D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3F5340C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года заводом ДРО был изготовлен опытный образец машины БА-64В. В 1943 г. на Горьковском автозаводе были изготовлены еще три опытных образца БА-64В. На вооружении и в се</w:t>
      </w:r>
      <w:r w:rsidRPr="001E2C69">
        <w:rPr>
          <w:rFonts w:ascii="Times New Roman" w:hAnsi="Times New Roman"/>
          <w:color w:val="000000" w:themeColor="text1"/>
          <w:sz w:val="16"/>
          <w:szCs w:val="16"/>
        </w:rPr>
        <w:softHyphen/>
        <w:t>рийном производстве бронеавтомобиль БА-64В не состоял. Бронеавтомобиль БА-64В отличался от серийного образца БА-64 наличием сменных железнодорожных колес, использовавшихся от ос</w:t>
      </w:r>
      <w:r w:rsidRPr="001E2C69">
        <w:rPr>
          <w:rFonts w:ascii="Times New Roman" w:hAnsi="Times New Roman"/>
          <w:color w:val="000000" w:themeColor="text1"/>
          <w:sz w:val="16"/>
          <w:szCs w:val="16"/>
        </w:rPr>
        <w:softHyphen/>
        <w:t>тавшегося задела по машине БА-20 ж-д. Железнодорожные колеса устанавливались вместо основных - пневматических. Ввиду более узкой ко</w:t>
      </w:r>
      <w:r w:rsidRPr="001E2C69">
        <w:rPr>
          <w:rFonts w:ascii="Times New Roman" w:hAnsi="Times New Roman"/>
          <w:color w:val="000000" w:themeColor="text1"/>
          <w:sz w:val="16"/>
          <w:szCs w:val="16"/>
        </w:rPr>
        <w:softHyphen/>
        <w:t>леи бронеавтомобиля БА-64 по сравнению с колеей бронеавтомобиля БА-20 металлические диски колес были сделаны с большим боковым вылетом бандажей, что привело к увеличению консольной нагрузки в подшипниках ступиц колес и снижению их ресурса. Основным недо</w:t>
      </w:r>
      <w:r w:rsidRPr="001E2C69">
        <w:rPr>
          <w:rFonts w:ascii="Times New Roman" w:hAnsi="Times New Roman"/>
          <w:color w:val="000000" w:themeColor="text1"/>
          <w:sz w:val="16"/>
          <w:szCs w:val="16"/>
        </w:rPr>
        <w:softHyphen/>
        <w:t>статком бронеавтомобиля было отсутствие полного реверса и низкая скорость движения на передаче заднего хода - не более 13 км/ч. Кроме того, при движении задним ходом система охлаждения двигателя маши</w:t>
      </w:r>
      <w:r w:rsidRPr="001E2C69">
        <w:rPr>
          <w:rFonts w:ascii="Times New Roman" w:hAnsi="Times New Roman"/>
          <w:color w:val="000000" w:themeColor="text1"/>
          <w:sz w:val="16"/>
          <w:szCs w:val="16"/>
        </w:rPr>
        <w:softHyphen/>
        <w:t>ны не получала достаточного количества охлаждающего воздуха, что приводило к перегреву двигателя. Коробка передач не была рассчитана на длительную работу на передаче заднего хода (пониженной), что так</w:t>
      </w:r>
      <w:r w:rsidRPr="001E2C69">
        <w:rPr>
          <w:rFonts w:ascii="Times New Roman" w:hAnsi="Times New Roman"/>
          <w:color w:val="000000" w:themeColor="text1"/>
          <w:sz w:val="16"/>
          <w:szCs w:val="16"/>
        </w:rPr>
        <w:softHyphen/>
        <w:t>же приводило к преждевременному выходу ее из строя (10703).</w:t>
      </w:r>
    </w:p>
    <w:p w14:paraId="77E9AEA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5ADDD64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июля 1942 г. бронеавтомо</w:t>
      </w:r>
      <w:r w:rsidRPr="001E2C69">
        <w:rPr>
          <w:rFonts w:ascii="Times New Roman" w:hAnsi="Times New Roman"/>
          <w:color w:val="000000" w:themeColor="text1"/>
          <w:sz w:val="16"/>
          <w:szCs w:val="16"/>
        </w:rPr>
        <w:softHyphen/>
        <w:t>били БЛ-20М были сняты с производства (10703).</w:t>
      </w:r>
    </w:p>
    <w:p w14:paraId="0B72D9E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501D766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Ульяновский филиал N 4 ЗИС (УльЗИС) был официально назначен головным предприятием по выпуску ЗИС-5. Собирали 20-30 машин в сутки (3050).</w:t>
      </w:r>
    </w:p>
    <w:p w14:paraId="15539227" w14:textId="77777777" w:rsidR="00AE7191" w:rsidRPr="001E2C69" w:rsidRDefault="00AE7191" w:rsidP="00722885">
      <w:pPr>
        <w:pStyle w:val="Iauiue"/>
        <w:jc w:val="both"/>
        <w:rPr>
          <w:color w:val="000000" w:themeColor="text1"/>
          <w:sz w:val="16"/>
          <w:szCs w:val="16"/>
        </w:rPr>
      </w:pPr>
    </w:p>
    <w:p w14:paraId="421AA20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г НИИ-48 преобразуется в Государственный Центральный научно-исследовательский броневой институт (ЦНИИ-48) и МГ НИИ-48 становится МГ ЦНИИ-48 (9835).</w:t>
      </w:r>
    </w:p>
    <w:p w14:paraId="12C5F747" w14:textId="77777777" w:rsidR="00AE7191" w:rsidRPr="001E2C69" w:rsidRDefault="00AE7191" w:rsidP="00722885">
      <w:pPr>
        <w:pStyle w:val="Iauiue"/>
        <w:jc w:val="both"/>
        <w:rPr>
          <w:color w:val="000000" w:themeColor="text1"/>
          <w:sz w:val="16"/>
          <w:szCs w:val="16"/>
        </w:rPr>
      </w:pPr>
    </w:p>
    <w:p w14:paraId="4FAC1C6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 член совета закупочной комиссии Разин (зять Молотова) позвонил Салтыкову и сказал, что их вызывает Джефферс - глава ведомства по каучуку и резине. А.В. Салтыков вспоминал: "Джефферс спросил нас, для чего нам нужен шинный завод, и, выслушав ответ, сказал, что сегодня мы примем решение, за которое мистеру Соренсону - фирма Форд - резинщики отольют золотую статую. И он сказал нам, что мистер Соренсон предложил Правительству США купить шинный завод "Форда " в Дир-барне. Я хорошо знал этот самый современный завод в США, пущенный "Фордом " в 1938 г. Он был подробно описан в литературе, и вся наша комиссия в 1941 г. два раза его посетила с экскурсией. Правда, видели мы его только сверху с особых мостков, проложенных Фордом для экскурсантов. Джефферс предложил немедленно поехать на завод и быстро дать ответ. Я и Шабанов сразу же выехали на завод "Форда " и два дня осматривали его. Мы дали ответ Джефферсу, что согласны взять завод по ленд-лизу при условии, что нам заменят часть оборудования и поставят дополнительно оборудование, необходимое для производства грузовых шин и конвейеров. Сборочное и вулканиза-ционное оборудование, а также транспортные средства было обещано поставить новые ".</w:t>
      </w:r>
    </w:p>
    <w:p w14:paraId="18C9C14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Обо всем был поставлен в известность А.И. Микоян, который дал согласие на приобретение завода. Оформление сделки происходило следующим образом. "Форд " продавал завод правительству США, а оно, заключив договор с "Фордом " и рядом других фирм, поставляло нам шинный завод на 1.5 млн. шин в год комплектный. Фирма "Форд ", не дожидаясь оформления сделки, начало демонтаж, консервацию и упаковку действующего оборудования.</w:t>
      </w:r>
    </w:p>
    <w:p w14:paraId="0F08AD4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Фирма "Форд " была заинтересована в быстром демонтаже оборудования, т.к. хотела организовать на освобождающейся территории производство автомобилей-амфибий. В одном из номеров "Раббер ворлд " за 1980 г. указано, что этот завод "Форда " продали, потому что он обанкротился.</w:t>
      </w:r>
    </w:p>
    <w:p w14:paraId="5AECCA5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Оформление длилось долго. Казначейство не подписывало договора с фирмами. Наконец, в газете "Вашингтон Пост " появилась статья "Вашингтонская карусель ", в которой Казначейство критиковалось за бюрократизм и пособничество Гитлеру. После этого министр подписал заказы и договора.</w:t>
      </w:r>
    </w:p>
    <w:p w14:paraId="491A8ED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октябре 1942 г. правительство США закупило оборудование от "Форда " и заключило договор с другими фирмами на закупку нового оборудования и договор с детройтской проектной фирмой "Гиффелс и Валлей ". При этом обнаружилось, что американцы применяли при проектировании, неизвестные тогда в нашей стране методы макетного (из бумаги) проектирования. При проектировании встретились большие трудности, поскольку не было известно, где в СССР будет строиться завод.</w:t>
      </w:r>
    </w:p>
    <w:p w14:paraId="1AE6D34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Нужно указать, что электрооборудование завода "Форда " было рассчитано на частоту 60 Гц, тогда как в СССР применялся переменный ток с частотой 50 Гц. Из-за этого двигатели в наших условиях вращались на 17% медленнее. Американцы поставили в связи с этим больше смесителей и вальцов пропорционально снижению скорости. Остальное оборудование изготавливалось на нашу частоту.</w:t>
      </w:r>
    </w:p>
    <w:p w14:paraId="244335D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Нарком Митрохин, несмотря на неоднократные запросы сообщить, где будет строиться завод и каковы размеры участка, упорно молчал и только требовал, чтобы завод был мощностью 2.5 млн. шин в год, а не 1.5 млн., как решило американское правительство согласно просьбе Молотова с согласия Микояна. Не получая данных о площадке, комиссия согласилась с предложением американской стороны проектировать завод в здании, подобном зданию фирмы Форда. Это было двухэтажное металлическое здание с этажеркой для подготовительного цеха. Хотя и было понятно, что такой корпус в СССР нельзя будет построить, комиссия вынуждена было согласиться на такой вариант. Это позволило заказать конвейеры, электрические кабели, трубопроводы и прочее вспомогательное оборудование. Молчание НКРП длилось до февраля 1943 г., а часть оборудования в морской упаковке уже грузили в тихоокеанские порты.</w:t>
      </w:r>
    </w:p>
    <w:p w14:paraId="417528A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начале марта 1943 г. в США приехала делегация НКРП под председательством зам. наркома Макеева. В ней были резинщики Чесноков - будущий директор шинного завода, Петренко - начальник Главкаучука, Коротков - специалист по СК, впоследствии осуществивший пионерские исследования в области стереоспецифического синтеза СК, Смирнов - тоже специалист по СК, Марей - специалист по испытаниям резин, Бартеньев - главный инженер завода Оназот, Ус - инженер ЯРАК, Горохов - инженер НИИШП'а, Власов - главный инженер Ярославского филиала Резинопроекта, Белодед и др. Летела делегация на советском бомбардировщике через Аляску и Канаду, через военные аэродромы.</w:t>
      </w:r>
    </w:p>
    <w:p w14:paraId="46A6A88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тот приезд, кстати, американские ученые с пристрастием расспрашивали Макеева о работах по каучуконосам в СССР. </w:t>
      </w:r>
    </w:p>
    <w:p w14:paraId="029C0C8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Комиссия привезла чертежи участка; им оказалась недостроенная одноэтажная часть завода подшипников в Москве. Салтыков и Власов с согласия Чеснокова дали предложения о размещении оборудования в одноэтажном корпусе и двух вновь строящихся корпусах и согласовали с фирмой "Гиффелс и Валлей " и поставщиками оборудования некоторое удлинение конвейеров, труб и кабелей.</w:t>
      </w:r>
    </w:p>
    <w:p w14:paraId="379A37F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 время перелета делегации Макеева произошел неприятный инцидент. На одном из аэродромов США к представителям делегации подошли русские и пригласили посетить их поселение. Там они пробыли до обеда, а когда вернулись, самолета на аэродроме не оказалось. Он появился только утром следующего дня. Американцы дали комиссии какие-то технические объяснения. В самолете находилась документация по производству и применению СК. Макеев надеялся выгодно ее реализовать в Америке. Позднее в Вашингтоне во время официального приема, на котором Салтыков "по совместительству " выполнял функции переводчика, американский представитель сказал: "Переведите мистеру Макееву, что мы не заинтересованы в вашем СК. Мы строим производство СК других марок ". Ознакомились ли американцы с документацией или нет, приходится только гадать.</w:t>
      </w:r>
    </w:p>
    <w:p w14:paraId="3261E82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Еще в 1935 г. Осипов-Шмидт писал: "Судя по характеру предложения, сделанного нам американской фирмой об оказании нами технической помощи при организации в США производства СК по нашему методу, нужно полагать, что особых надежд на развитие своего собственного метода американцы не возлагают ". Что это были за предложения, нам не известно. </w:t>
      </w:r>
    </w:p>
    <w:p w14:paraId="711426D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Был еще и "прокол " такого характера. "Форд " предложил нам установку по конвейерной сборке покрышки, неиспользовавшегося нами тогда типоразмера. Комиссия Макеева отказалась, спустя небольшой период времени АЗЛК перешел на этот размер шин, и мы лишились сборочного, вулканизационного и формового оборудования.</w:t>
      </w:r>
    </w:p>
    <w:p w14:paraId="2D21E31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конце апреля 1943 г. Салтыков вылетел в Москву. Его вызвал для доклада Нарком резиновой промышленности Т.Б. Митрохин. Нарком сказал, что завод должен быть на 2.5 млн. шин в год, а не на 1.5, как мы его купили у США. При этом он либо не понимал, либо делал вид, что это уже не возможно.</w:t>
      </w:r>
    </w:p>
    <w:p w14:paraId="0810AD1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А.В. Салтыков вспоминал: "В конце мая меня вызвал для доклада Микоян. В его приемной меня "общупал " полковник Госбезопасности и пропустил. Микоян был очень вежлив и хорошо все понимал. Он встал мне навстречу, поздоровался, усадил за столик и выслушал мой доклад. Он спросил меня о мощности завода. Я сказал: "1.5 млн. шин в год ". "Что же Митрохин хочет делать шины из воздуха? Почему он говорит о 2.5 млн.? " - спросил Микоян. Я сказал, что не знаю и что 1.5 млн. обговаривали с США всегда с 1941 г. и последний раз в 1942 г. Молотов просил такой завод. Микоян пригласил своего помощника и поручил нам вместе подготовить проект постановления ГКО. Такое постановление мы подготовили. В нем проектирование поручалось "Резинопроекту " НКРП, Строительство поручалось ИКС (срок 1.5 года). Завод мощностью 1.5 млн. шин в год предполагалось построить в Москве по Шарикоподшипниковской ул. на территории 1 ГПЗ (Государственного подшипникового завода). Для поощрения работников "Резинопроекта " предполагалось обеспечение продовольственными карточками ".</w:t>
      </w:r>
    </w:p>
    <w:p w14:paraId="02CC06E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Через несколько дней ГКО издал это постановление. Салтыкова назначили главным инженером "Резинопроекта " и главным инженером проекта. Технический проект завода был закончен за 25 дней. В конце 1943 г. началось строительство. Вернувшийся в августе 1943 г. в Москву В.П. Чесноков был назначен (17 декабря 1943 г.) директором, а А.В. Салтыков - главным инженером завода № 507.</w:t>
      </w:r>
    </w:p>
    <w:p w14:paraId="68314EF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был пущен в ноябре 1945 г. Этот завод о точки зрения техники и технологии относился к разряду самых передовых предприятий того времени (11634).</w:t>
      </w:r>
    </w:p>
    <w:p w14:paraId="46B02AE9"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55C23D9" w14:textId="77777777" w:rsidR="00055F9B" w:rsidRPr="001E2C69" w:rsidRDefault="00055F9B"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года РЛС Гнейс-2 успешно прошла государственные испытания, продемонстрировав способность обнаруживать бомбардировщик на дальности 3500 метров и выполнять наведение по угловым координатам с точностью ±5°. При этом минимальная высота при поиске воздушных целей противника составляла 2000 метров. Впрочем, новая станция все же нуждалась в определенной доработке – в пяти из 25 выполненных в общей сложности полетов аппаратура самолетной РЛС отказывала (22709).</w:t>
      </w:r>
    </w:p>
    <w:p w14:paraId="7AD8052F" w14:textId="77777777" w:rsidR="00055F9B" w:rsidRPr="001E2C69" w:rsidRDefault="00055F9B" w:rsidP="00722885">
      <w:pPr>
        <w:shd w:val="clear" w:color="auto" w:fill="FFFFFF"/>
        <w:spacing w:after="0" w:line="240" w:lineRule="auto"/>
        <w:jc w:val="both"/>
        <w:rPr>
          <w:rFonts w:ascii="Times New Roman" w:hAnsi="Times New Roman"/>
          <w:color w:val="000000" w:themeColor="text1"/>
          <w:sz w:val="16"/>
          <w:szCs w:val="16"/>
        </w:rPr>
      </w:pPr>
    </w:p>
    <w:p w14:paraId="6F6B05C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1942г. Плавский завод «Смычка» (Плавский завод «Смычка» НКМВ, Машиностроительный завод «Смычка» ММиП, Плавский машиностроительный завод «Смычка» /г. Плавск Тульской обл. «Смычка» (1948г.)/) - в ведении Главхиммаша НКМВ, в 1947-48г. - в ведении Главпродмаша ММиП.</w:t>
      </w:r>
    </w:p>
    <w:p w14:paraId="77CAB5E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(1947г.) цехи: основные: 1-й сепараторный, 2-й сепараторный, прессово- заготовительный, литейный, защитных покрытий; вспомогательные: инструментальный, ремонтно-механический.</w:t>
      </w:r>
    </w:p>
    <w:p w14:paraId="36B0774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1989г. завод вошел в состав ПО «Машиностроительный завод «Молния».</w:t>
      </w:r>
    </w:p>
    <w:p w14:paraId="2ADD4A2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оборудования для пищевой промышленности и медицины.</w:t>
      </w:r>
    </w:p>
    <w:p w14:paraId="0672356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(1939г.)- 221 ед., (1946г.)- 200 ед., (1947г.)- 312 ед.</w:t>
      </w:r>
    </w:p>
    <w:p w14:paraId="667665B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(1947г.)- 5,8 га; застройки (1947г.)- 9064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(1939г.)- 3899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(1946г.)- 3551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(1947г.)- 6733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6729D08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(1939г.)- 828 чел., (1946г.)- 426 чел., (1947г.)- 675 чел.</w:t>
      </w:r>
    </w:p>
    <w:p w14:paraId="4A31FF8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(1948г.)- Стрельцов.</w:t>
      </w:r>
    </w:p>
    <w:p w14:paraId="7B25674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(1948г.)- Абаляев.</w:t>
      </w:r>
    </w:p>
    <w:p w14:paraId="64F85C0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спецукупорка для 82-мм мин (1942); сепаратор ОСЕ, холодильники ОХК, ОХБ, ОХД, тестомешалка, льдодробилка, тиски слесарные (1947) (11982).</w:t>
      </w:r>
    </w:p>
    <w:p w14:paraId="26EF1970" w14:textId="77777777" w:rsidR="00627011" w:rsidRPr="001E2C69" w:rsidRDefault="00627011" w:rsidP="00722885">
      <w:pPr>
        <w:spacing w:after="0" w:line="240" w:lineRule="auto"/>
        <w:jc w:val="both"/>
        <w:rPr>
          <w:rFonts w:ascii="Times New Roman" w:hAnsi="Times New Roman"/>
          <w:color w:val="000000" w:themeColor="text1"/>
          <w:sz w:val="16"/>
          <w:szCs w:val="16"/>
        </w:rPr>
      </w:pPr>
    </w:p>
    <w:p w14:paraId="3DAFAD9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июле 1942 г. завод № 741 им. Ф. Энгельса 1ГУ НКМВ (Завод № 741 им. Энгельса НКМВ, ММиП, МПСС, МЭСЭП, МРТП, Машиностроительный завод АО машиностроительных заводов «Я.М. Айваз», Петроградский государственный инструментальный завод им. Ф. Энгельса, Петроградский государственный машиностроительный завод им. Ф. Энгельса, Завод им. Ф. Энгельса НКОМ, Ордена Ленина, ордена Трудового Красного Знамени машиностроительный завод им. Фридриха Энгельса ММиП, п/я 438, Научно-производственный комплекс (НПК) электронных приборов ЛОЭП «Светлана», АОЗТ, ЗАО «Светлана-Электронприбор» </w:t>
      </w:r>
      <w:r w:rsidRPr="001E2C69">
        <w:rPr>
          <w:rFonts w:ascii="Times New Roman" w:hAnsi="Times New Roman"/>
          <w:color w:val="000000" w:themeColor="text1"/>
          <w:sz w:val="16"/>
          <w:szCs w:val="16"/>
        </w:rPr>
        <w:lastRenderedPageBreak/>
        <w:t>/г. Санкт-Петербург,  г. Петроград,  г. Ленинград пр. Энгельса, 21-23 «Завод Энгельса» (1948 г.)/ /194156  г. Санкт-Петербург пр. Энгельса, 27 тел. 552-79-68) еще действовал в Ленинграде. Производство 50-мм минометов. Затем был эвакуирован.</w:t>
      </w:r>
    </w:p>
    <w:p w14:paraId="17A238E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Имел филиал в  г. Волхове (ВОВ), который осуществлял производство и ремонт 50-мм минометов.</w:t>
      </w:r>
    </w:p>
    <w:p w14:paraId="456E4D6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1946 г. ОЛ и ОТКЗ машиностроительный завод им. Энгельса - в ведении Главтекстильлегмаша ММиП, с 12.1951 г. - МПСС, с 03.1953 г. - МЭСЭП. С 01.1954 г. завод передан в МРТП и получил наименование «предприятие п/я 438». В 06.1957 г. передан в ведение Управления радиотехнической промышленности ЛенСНХ.</w:t>
      </w:r>
      <w:r w:rsidRPr="001E2C69">
        <w:rPr>
          <w:rFonts w:ascii="Times New Roman" w:hAnsi="Times New Roman"/>
          <w:color w:val="000000" w:themeColor="text1"/>
          <w:sz w:val="16"/>
          <w:szCs w:val="16"/>
          <w:vertAlign w:val="superscript"/>
        </w:rPr>
        <w:t>131</w:t>
      </w:r>
    </w:p>
    <w:p w14:paraId="339C9E4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завода (1947 г.) 8 основных цехов, в т.ч. трикотажных машин.</w:t>
      </w:r>
    </w:p>
    <w:p w14:paraId="1A7090D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войны - производство текстильных, обувных и табачных машин. В 1951 г. завод им. Ф. Энгельса перепрофилирован на выпуск электронных СВЧ приборов для РЛ техники. С 1953 г. начат серийный выпуск приборов СВЧ. В 1954 г. на заводе создано ОКБ по разработке приборов СВЧ.</w:t>
      </w:r>
    </w:p>
    <w:p w14:paraId="6B713E6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1.10.1962 г. завод вошел в состав вновь созданного ЛОЭП «Светлана» как НПК электронных приборов, имеющий свое Особое КБ электронных приборов.</w:t>
      </w:r>
    </w:p>
    <w:p w14:paraId="7274CFE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1993 г. на базе завода создано ДП ОАО «Светлана» - АОЗТ «Светлана-Электронприбор».</w:t>
      </w:r>
    </w:p>
    <w:p w14:paraId="06580DB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На предприятии освоены и внедрены уникальные технологии производства: вольфрамовых пластинчатых сеток для клистронов; электродов поджига из двуокиси титана и радиоактивных электродов; наполнение СВЧ разрядников аргоном и парами тритиевой воды; </w:t>
      </w:r>
      <w:r w:rsidRPr="001E2C69">
        <w:rPr>
          <w:rFonts w:ascii="Times New Roman" w:hAnsi="Times New Roman"/>
          <w:color w:val="000000" w:themeColor="text1"/>
          <w:sz w:val="16"/>
          <w:szCs w:val="16"/>
          <w:lang w:val="en-US"/>
        </w:rPr>
        <w:t>p</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i</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n</w:t>
      </w:r>
      <w:r w:rsidRPr="001E2C69">
        <w:rPr>
          <w:rFonts w:ascii="Times New Roman" w:hAnsi="Times New Roman"/>
          <w:color w:val="000000" w:themeColor="text1"/>
          <w:sz w:val="16"/>
          <w:szCs w:val="16"/>
        </w:rPr>
        <w:t xml:space="preserve"> диодов для фазовращателей.</w:t>
      </w:r>
    </w:p>
    <w:p w14:paraId="7B12B54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2006 г. освоен выпуск более 170 типов изделий, в т.ч.: маломощных клиетронных и твердотельных генераторов- 60, клистронов средней мощности- 20, полупроводниковых фазовращателей- 10, защитных устройств- более 80. Предприятие является единственным в стране производителем (2006 г.) защитных устройств и фазовращателей.</w:t>
      </w:r>
    </w:p>
    <w:p w14:paraId="17C1BE3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(2006 г.): приборы СВЧ вакуумные и полупроводниковые для радиолокации и связи; приборы сигнальные; детали прецизионные из металлов; мощные светодиоды, светофоры; магнетроны для бытовых СВЧ- печей, автомобильные приборы обнаружения радарного облучения, натриевые лампы уличного освещения, СВЧ- печи для сушки сельхозпродукции.</w:t>
      </w:r>
    </w:p>
    <w:p w14:paraId="7EABE26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(1939 г.)-1416 ед., (1946 г.)- 387 ед., (1947 г.)- 971 ед.</w:t>
      </w:r>
    </w:p>
    <w:p w14:paraId="231A7F9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(1947 г.)- 13,52 га; застройки (1947 г.)- 12476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производственная (1939 г.)- 34233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(1946 г.)- 9456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(1947 г.)- 16136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4A9E620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(1939 г.)- 4585 чел., (1946 г.)- 1167 чел., (1947 г.)-1417 чел.</w:t>
      </w:r>
    </w:p>
    <w:p w14:paraId="3922B48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(03.1942 г.)- Боярский,</w:t>
      </w:r>
      <w:r w:rsidRPr="001E2C69">
        <w:rPr>
          <w:rFonts w:ascii="Times New Roman" w:hAnsi="Times New Roman"/>
          <w:color w:val="000000" w:themeColor="text1"/>
          <w:sz w:val="16"/>
          <w:szCs w:val="16"/>
          <w:vertAlign w:val="superscript"/>
        </w:rPr>
        <w:t>65</w:t>
      </w:r>
      <w:r w:rsidRPr="001E2C69">
        <w:rPr>
          <w:rFonts w:ascii="Times New Roman" w:hAnsi="Times New Roman"/>
          <w:color w:val="000000" w:themeColor="text1"/>
          <w:sz w:val="16"/>
          <w:szCs w:val="16"/>
        </w:rPr>
        <w:t xml:space="preserve"> (-05.1948-51; 1951-59 г.)- П.И. Тихомиров, (1959-63 г.)- С.А. Сергеев, (- 1969 г.)- О.В. Филатов, (1969-73 г.)- К.И. Бухарин. Начальник (1978 г.-)- В.Н. Васильев, (-1993 г.)- В.В. Попов. Гендиректор (1.01.1994 г.-&gt; В.В. Попов, (1994-2007 г.-)- Б.Л. Уткин.</w:t>
      </w:r>
    </w:p>
    <w:p w14:paraId="0373812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директора (-1994 г.)- Б.Л. Уткин.</w:t>
      </w:r>
    </w:p>
    <w:p w14:paraId="012F335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(1948 г.)- Н.С. Никифоров, О.В. Филатов, (1971-78 г.)- В.Н. Васильев, Е.Е. Хольнов,  Г.Н. Запрягаев.</w:t>
      </w:r>
    </w:p>
    <w:p w14:paraId="0AD0D5C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гл. инженера- Е.Е. Хольнов.</w:t>
      </w:r>
    </w:p>
    <w:p w14:paraId="08A669A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технолог-  Г.Н. Запрягаев. Гл. энергетик (1954-56 г.)- С.А. Сергеев. Начальник производства (1982-84 г.)- Л.И. Биндар, Б.Л. Уткин.</w:t>
      </w:r>
    </w:p>
    <w:p w14:paraId="7330AEC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отделений: (2000-е)-  Г.И. Каяльянц.</w:t>
      </w:r>
    </w:p>
    <w:p w14:paraId="2DAF09B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цехов: сборочного- С.Д. Уман; (-1974 г.)- Л.И. Биндар, Б.Л. Уткин, Е.Е. Хольнов.</w:t>
      </w:r>
    </w:p>
    <w:p w14:paraId="2F1375F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начальника цеха: Л.И. Биндар, М.Я. Морозов, О.В. Филатов.</w:t>
      </w:r>
    </w:p>
    <w:p w14:paraId="18A0393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Гл. конструкторы: М.Я. Морозов (клистроны), </w:t>
      </w:r>
      <w:r w:rsidRPr="001E2C69">
        <w:rPr>
          <w:rFonts w:ascii="Times New Roman" w:hAnsi="Times New Roman"/>
          <w:color w:val="000000" w:themeColor="text1"/>
          <w:sz w:val="16"/>
          <w:szCs w:val="16"/>
          <w:lang w:val="en-US"/>
        </w:rPr>
        <w:t>A</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M</w:t>
      </w:r>
      <w:r w:rsidRPr="001E2C69">
        <w:rPr>
          <w:rFonts w:ascii="Times New Roman" w:hAnsi="Times New Roman"/>
          <w:color w:val="000000" w:themeColor="text1"/>
          <w:sz w:val="16"/>
          <w:szCs w:val="16"/>
        </w:rPr>
        <w:t>. Старик (полупроводниковые приборы).</w:t>
      </w:r>
    </w:p>
    <w:p w14:paraId="55C0330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Начальники отделов: технического-  Г.Н. Запрягаев; ОТК- О.В. Филатов; (-1981 г.)- </w:t>
      </w:r>
      <w:r w:rsidRPr="001E2C69">
        <w:rPr>
          <w:rFonts w:ascii="Times New Roman" w:hAnsi="Times New Roman"/>
          <w:color w:val="000000" w:themeColor="text1"/>
          <w:sz w:val="16"/>
          <w:szCs w:val="16"/>
          <w:lang w:val="en-US"/>
        </w:rPr>
        <w:t>A</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M</w:t>
      </w:r>
      <w:r w:rsidRPr="001E2C69">
        <w:rPr>
          <w:rFonts w:ascii="Times New Roman" w:hAnsi="Times New Roman"/>
          <w:color w:val="000000" w:themeColor="text1"/>
          <w:sz w:val="16"/>
          <w:szCs w:val="16"/>
        </w:rPr>
        <w:t>. Старик, Е.Е. Хольнов.</w:t>
      </w:r>
    </w:p>
    <w:p w14:paraId="4972358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начальника отдела: технического-  Г.Н. Запрягаев.</w:t>
      </w:r>
    </w:p>
    <w:p w14:paraId="3D7D9A9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лабораторий: по разработке СВЧ разрядников (1954 г.-)- Т.Д. Ветошникова; по разработке медицинских спецприборов (1981 г.-)- А.М. Старше;  Г.И. Каяльянц, М.Я. Морозов.</w:t>
      </w:r>
    </w:p>
    <w:p w14:paraId="16A1A04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бюро:  Г.Н. Запрягаев.</w:t>
      </w:r>
      <w:r w:rsidRPr="001E2C69">
        <w:rPr>
          <w:rFonts w:ascii="Times New Roman" w:hAnsi="Times New Roman"/>
          <w:color w:val="000000" w:themeColor="text1"/>
          <w:sz w:val="16"/>
          <w:szCs w:val="16"/>
          <w:vertAlign w:val="superscript"/>
        </w:rPr>
        <w:t>130</w:t>
      </w:r>
    </w:p>
    <w:p w14:paraId="518E877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машины: трикотажные МТО, ТОЮ, обтяжная ОМ, затяжная ЗВ, для строчки подошв </w:t>
      </w:r>
      <w:r w:rsidRPr="001E2C69">
        <w:rPr>
          <w:rFonts w:ascii="Times New Roman" w:hAnsi="Times New Roman"/>
          <w:color w:val="000000" w:themeColor="text1"/>
          <w:sz w:val="16"/>
          <w:szCs w:val="16"/>
          <w:lang w:val="en-US"/>
        </w:rPr>
        <w:t>KB</w:t>
      </w:r>
      <w:r w:rsidRPr="001E2C69">
        <w:rPr>
          <w:rFonts w:ascii="Times New Roman" w:hAnsi="Times New Roman"/>
          <w:color w:val="000000" w:themeColor="text1"/>
          <w:sz w:val="16"/>
          <w:szCs w:val="16"/>
        </w:rPr>
        <w:t>, гребнечесальная ГХ, скобочная МСК, прошивная ПНК; прессы для вулканизации ПО, ПО-1 (1947).</w:t>
      </w:r>
      <w:r w:rsidRPr="001E2C69">
        <w:rPr>
          <w:rFonts w:ascii="Times New Roman" w:hAnsi="Times New Roman"/>
          <w:color w:val="000000" w:themeColor="text1"/>
          <w:sz w:val="16"/>
          <w:szCs w:val="16"/>
          <w:vertAlign w:val="superscript"/>
        </w:rPr>
        <w:t xml:space="preserve">129 </w:t>
      </w:r>
      <w:r w:rsidRPr="001E2C69">
        <w:rPr>
          <w:rFonts w:ascii="Times New Roman" w:hAnsi="Times New Roman"/>
          <w:color w:val="000000" w:themeColor="text1"/>
          <w:sz w:val="16"/>
          <w:szCs w:val="16"/>
        </w:rPr>
        <w:t>Особое КБ (ОКБ) электронных приборов с производством</w:t>
      </w:r>
    </w:p>
    <w:p w14:paraId="63EF47C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ОКБ создано в 1954 г. для разработки приборов СВЧ.</w:t>
      </w:r>
    </w:p>
    <w:p w14:paraId="6DA27B6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Созданы полупроводниковые СВЧ приборы для </w:t>
      </w:r>
      <w:r w:rsidRPr="001E2C69">
        <w:rPr>
          <w:rFonts w:ascii="Times New Roman" w:hAnsi="Times New Roman"/>
          <w:color w:val="000000" w:themeColor="text1"/>
          <w:sz w:val="16"/>
          <w:szCs w:val="16"/>
          <w:lang w:val="en-US"/>
        </w:rPr>
        <w:t>PJI</w:t>
      </w:r>
      <w:r w:rsidRPr="001E2C69">
        <w:rPr>
          <w:rFonts w:ascii="Times New Roman" w:hAnsi="Times New Roman"/>
          <w:color w:val="000000" w:themeColor="text1"/>
          <w:sz w:val="16"/>
          <w:szCs w:val="16"/>
        </w:rPr>
        <w:t xml:space="preserve"> аппаратуры «Шмель-К, -2», «Мишень-2», МФБУ-5, 19Ж6, 22Ж6, систем С-300, «Тор», «Тунгуска», «Сабля», «Штык», «Вымпел-Р2», «Рычаг-бМ», «Заслон», «Эпицентр», «Плацдарм», «Созвездие-СР», С-400, «Панцирь-С1».</w:t>
      </w:r>
    </w:p>
    <w:p w14:paraId="0D6623C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(1956-59 г.)- С.А. Сергеев, (1963-69 г.)- К.И. Бухарин, (1990-е)- В.В. Попов, (-1997 г.)- В.А. Савшинский.</w:t>
      </w:r>
    </w:p>
    <w:p w14:paraId="227628B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начальника: по научной тематике- С.И. Рудковский, по научной работе (-1971 г.)- В.Н. Васильев; (1954 г.- )- С.И. Рудковский, (1984-85 г.)- Л.И. Биндар,  Г.Н. Запрягаев, Б.Л. Уткин. Зам. директора по коммерческим вопросам (1997 г.-)- В.А. Савшинский.</w:t>
      </w:r>
    </w:p>
    <w:p w14:paraId="2A057FA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С.И. Рудковский, В.А. Савшинский, (1990 г.-)- В.В. Попов.</w:t>
      </w:r>
    </w:p>
    <w:p w14:paraId="2FFFDF5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конструкторы: В.А. Савшинский, А.А. Тув (клистроны).</w:t>
      </w:r>
    </w:p>
    <w:p w14:paraId="0628287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отделов: (1974-82 г.)- Л.И. Биндар, (2007 г.)- В.И. Кузнецов, (1981-2007 г.-&gt; К.К. Шутов.</w:t>
      </w:r>
    </w:p>
    <w:p w14:paraId="4DA4E32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лабораторий: (1977 г.-)- А.В. Кириллов, В.И. Кузнецов, Ф.М. Рыбаков, С.Д. Уман.</w:t>
      </w:r>
    </w:p>
    <w:p w14:paraId="49AB100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Создано:</w:t>
      </w:r>
      <w:r w:rsidRPr="001E2C69">
        <w:rPr>
          <w:rFonts w:ascii="Times New Roman" w:hAnsi="Times New Roman"/>
          <w:color w:val="000000" w:themeColor="text1"/>
          <w:sz w:val="16"/>
          <w:szCs w:val="16"/>
        </w:rPr>
        <w:t xml:space="preserve"> генератор К-132; клистроны для РЛС систем «Бук», С-300, «Рысь» (11982).</w:t>
      </w:r>
    </w:p>
    <w:p w14:paraId="4293CE77"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B647BD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г. от идеи буксируемой подводной баржи, разработанной для доставки грузов в Севасто</w:t>
      </w:r>
      <w:r w:rsidRPr="001E2C69">
        <w:rPr>
          <w:color w:val="000000" w:themeColor="text1"/>
          <w:sz w:val="16"/>
          <w:szCs w:val="16"/>
        </w:rPr>
        <w:softHyphen/>
        <w:t>поль в ЦКБ-18, отказались в пользу "малого подводного транспорта" на 250—300 т груза по габаритам не более 533-мм торпеды. Для ускорения его по</w:t>
      </w:r>
      <w:r w:rsidRPr="001E2C69">
        <w:rPr>
          <w:color w:val="000000" w:themeColor="text1"/>
          <w:sz w:val="16"/>
          <w:szCs w:val="16"/>
        </w:rPr>
        <w:softHyphen/>
        <w:t>стройки предполагалась утилизация механизмов и оборудования бесполезных в боевом отношении подводных лодок VI и У1бис се</w:t>
      </w:r>
      <w:r w:rsidRPr="001E2C69">
        <w:rPr>
          <w:color w:val="000000" w:themeColor="text1"/>
          <w:sz w:val="16"/>
          <w:szCs w:val="16"/>
        </w:rPr>
        <w:softHyphen/>
        <w:t>рий (3898).</w:t>
      </w:r>
    </w:p>
    <w:p w14:paraId="18F0451F" w14:textId="77777777" w:rsidR="00AE7191" w:rsidRPr="001E2C69" w:rsidRDefault="00AE7191" w:rsidP="00722885">
      <w:pPr>
        <w:pStyle w:val="Iauiue"/>
        <w:jc w:val="both"/>
        <w:rPr>
          <w:color w:val="000000" w:themeColor="text1"/>
          <w:sz w:val="16"/>
          <w:szCs w:val="16"/>
        </w:rPr>
      </w:pPr>
    </w:p>
    <w:p w14:paraId="5498717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года по заданию Наркомата минометного вооружения и исходным данным, представленным из Артиллерийского управления ВМФ, была разработана боевая 16-зарядная установка М-13-М, смонтированная на морском бронекатере для пуска снарядов М-13. Она предназначалась для тех же целей, что и установки М-13-МI и М-13-МII.</w:t>
      </w:r>
    </w:p>
    <w:p w14:paraId="77455C0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Метательная установка установки М-13-М состояла из качающейся части, поворотного устройства, механизмов горизонтального и вертикального наведения, системы прицеливания и электрооборудования. Качающаяся часть – направляющие и ферма – унифицирована с качающейся частью установки М-13, метательная установка которой монтировалась на модифицированном шасси трактора СТЗ-5.</w:t>
      </w:r>
    </w:p>
    <w:p w14:paraId="3AE7B60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Поворотное устройство было выполнено в виде шарового погона. Нижняя часть погона непосредственно крепилась к палубе бронекатера, а верхняя (вращающаяся) часть состояла из опоры с осью для качающейся части, стойки для крепления качающейся части на походе, приводов механизмов горизонтального и вертикального наведения, прицельного устройства, сиденья для стреляющего и наводчика, крепления аккумуляторных батарей и переключателя типа ПУО. Впервые был применен перископический прицел ПТК, связанный кинематической связью с осью качающейся части.</w:t>
      </w:r>
    </w:p>
    <w:p w14:paraId="663E392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Установка М-13-М являлась основным вариантом боевой установки на бронекатере. Для вооружения кораблей Военно-морского флота была изготовлена серия установок М-13-М, которые применялись в Сталинградской битве. После модернизации установки использовались в боевых операциях 1943-1944 годов на Черноморском флоте, Азовской, Днепровской и Дунайской флотилиях [3] (11772).</w:t>
      </w:r>
    </w:p>
    <w:p w14:paraId="7C245400"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8B79058"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55293BB0" w14:textId="77777777" w:rsidR="00AE7191" w:rsidRPr="001E2C69" w:rsidRDefault="00AE7191" w:rsidP="00722885">
      <w:pPr>
        <w:pStyle w:val="Iauiue"/>
        <w:jc w:val="both"/>
        <w:rPr>
          <w:iCs/>
          <w:color w:val="000000" w:themeColor="text1"/>
          <w:sz w:val="16"/>
          <w:szCs w:val="16"/>
        </w:rPr>
      </w:pPr>
    </w:p>
    <w:p w14:paraId="29E39FD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июля 1942 по август 1943 над Москвой шесть раз появлялся Ju-86R-1 (65,122).</w:t>
      </w:r>
    </w:p>
    <w:p w14:paraId="1C789B5B" w14:textId="77777777" w:rsidR="00AE7191" w:rsidRPr="001E2C69" w:rsidRDefault="00AE7191" w:rsidP="00722885">
      <w:pPr>
        <w:pStyle w:val="Iauiue"/>
        <w:jc w:val="both"/>
        <w:rPr>
          <w:color w:val="000000" w:themeColor="text1"/>
          <w:sz w:val="16"/>
          <w:szCs w:val="16"/>
        </w:rPr>
      </w:pPr>
    </w:p>
    <w:p w14:paraId="59ECC321" w14:textId="77777777" w:rsidR="00627011" w:rsidRPr="001E2C69" w:rsidRDefault="0062701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С июля 1942 г. немецкие высотные разведчики </w:t>
      </w:r>
      <w:r w:rsidRPr="001E2C69">
        <w:rPr>
          <w:rFonts w:ascii="Times New Roman" w:hAnsi="Times New Roman"/>
          <w:color w:val="000000" w:themeColor="text1"/>
          <w:sz w:val="16"/>
          <w:szCs w:val="16"/>
          <w:lang w:val="en-US"/>
        </w:rPr>
        <w:t>Ju</w:t>
      </w:r>
      <w:r w:rsidRPr="001E2C69">
        <w:rPr>
          <w:rFonts w:ascii="Times New Roman" w:hAnsi="Times New Roman"/>
          <w:color w:val="000000" w:themeColor="text1"/>
          <w:sz w:val="16"/>
          <w:szCs w:val="16"/>
        </w:rPr>
        <w:t xml:space="preserve"> 86</w:t>
      </w:r>
      <w:r w:rsidRPr="001E2C69">
        <w:rPr>
          <w:rFonts w:ascii="Times New Roman" w:hAnsi="Times New Roman"/>
          <w:color w:val="000000" w:themeColor="text1"/>
          <w:sz w:val="16"/>
          <w:szCs w:val="16"/>
          <w:lang w:val="en-US"/>
        </w:rPr>
        <w:t>R</w:t>
      </w:r>
      <w:r w:rsidRPr="001E2C69">
        <w:rPr>
          <w:rFonts w:ascii="Times New Roman" w:hAnsi="Times New Roman"/>
          <w:color w:val="000000" w:themeColor="text1"/>
          <w:sz w:val="16"/>
          <w:szCs w:val="16"/>
        </w:rPr>
        <w:t>-2 вновь стали «навещать» московское небо. Ни один из истребите</w:t>
      </w:r>
      <w:r w:rsidRPr="001E2C69">
        <w:rPr>
          <w:rFonts w:ascii="Times New Roman" w:hAnsi="Times New Roman"/>
          <w:color w:val="000000" w:themeColor="text1"/>
          <w:sz w:val="16"/>
          <w:szCs w:val="16"/>
        </w:rPr>
        <w:softHyphen/>
        <w:t>лей, находившихся в тот момент на вооружении ВВС РККА, не мог им помешать.</w:t>
      </w:r>
    </w:p>
    <w:p w14:paraId="6B06B75B" w14:textId="77777777" w:rsidR="00627011" w:rsidRPr="001E2C69" w:rsidRDefault="0062701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Как писал лётчик-испытатель и писатель И.И. Шелест, «...его «прогулки» за линию фронта, да ещё к Москве, вызвали понятное беспокойство Ставки Верховного Коман</w:t>
      </w:r>
      <w:r w:rsidRPr="001E2C69">
        <w:rPr>
          <w:rFonts w:ascii="Times New Roman" w:hAnsi="Times New Roman"/>
          <w:color w:val="000000" w:themeColor="text1"/>
          <w:sz w:val="16"/>
          <w:szCs w:val="16"/>
        </w:rPr>
        <w:softHyphen/>
        <w:t>дования. Что же касается лиц, ответственных за техническое состояние противовоз</w:t>
      </w:r>
      <w:r w:rsidRPr="001E2C69">
        <w:rPr>
          <w:rFonts w:ascii="Times New Roman" w:hAnsi="Times New Roman"/>
          <w:color w:val="000000" w:themeColor="text1"/>
          <w:sz w:val="16"/>
          <w:szCs w:val="16"/>
        </w:rPr>
        <w:softHyphen/>
        <w:t xml:space="preserve">душной обороны, то появление </w:t>
      </w:r>
      <w:r w:rsidRPr="001E2C69">
        <w:rPr>
          <w:rFonts w:ascii="Times New Roman" w:hAnsi="Times New Roman"/>
          <w:color w:val="000000" w:themeColor="text1"/>
          <w:sz w:val="16"/>
          <w:szCs w:val="16"/>
          <w:lang w:val="en-US"/>
        </w:rPr>
        <w:t>Ju</w:t>
      </w:r>
      <w:r w:rsidRPr="001E2C69">
        <w:rPr>
          <w:rFonts w:ascii="Times New Roman" w:hAnsi="Times New Roman"/>
          <w:color w:val="000000" w:themeColor="text1"/>
          <w:sz w:val="16"/>
          <w:szCs w:val="16"/>
        </w:rPr>
        <w:t>-86</w:t>
      </w:r>
      <w:r w:rsidRPr="001E2C69">
        <w:rPr>
          <w:rFonts w:ascii="Times New Roman" w:hAnsi="Times New Roman"/>
          <w:color w:val="000000" w:themeColor="text1"/>
          <w:sz w:val="16"/>
          <w:szCs w:val="16"/>
          <w:lang w:val="en-US"/>
        </w:rPr>
        <w:t>R</w:t>
      </w:r>
      <w:r w:rsidRPr="001E2C69">
        <w:rPr>
          <w:rFonts w:ascii="Times New Roman" w:hAnsi="Times New Roman"/>
          <w:color w:val="000000" w:themeColor="text1"/>
          <w:sz w:val="16"/>
          <w:szCs w:val="16"/>
        </w:rPr>
        <w:t xml:space="preserve"> на недоступной для наших истребителей высоте оказалось, прямо скажем, гнетущей неожиданностью».</w:t>
      </w:r>
    </w:p>
    <w:p w14:paraId="7BB50D40" w14:textId="77777777" w:rsidR="00627011" w:rsidRPr="001E2C69" w:rsidRDefault="0062701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Предоставить Люфтваффе беспрепятственно летать над столицей, постоянно следить за перемещением грузов и воинских частей, работой предприятий». Такое И.В. Сталин допустить не мог: «У Сталина имели место серьёные разговоры и совещания, в резуль</w:t>
      </w:r>
      <w:r w:rsidRPr="001E2C69">
        <w:rPr>
          <w:rFonts w:ascii="Times New Roman" w:hAnsi="Times New Roman"/>
          <w:color w:val="000000" w:themeColor="text1"/>
          <w:sz w:val="16"/>
          <w:szCs w:val="16"/>
        </w:rPr>
        <w:softHyphen/>
        <w:t>тате которых Наркомату авиационной промышленности предложили в самом срочном порядке модернизировать несколько истребителей Як для высотных полётов, а главно</w:t>
      </w:r>
      <w:r w:rsidRPr="001E2C69">
        <w:rPr>
          <w:rFonts w:ascii="Times New Roman" w:hAnsi="Times New Roman"/>
          <w:color w:val="000000" w:themeColor="text1"/>
          <w:sz w:val="16"/>
          <w:szCs w:val="16"/>
        </w:rPr>
        <w:softHyphen/>
        <w:t>му конструктору Микояну создать новый высотный истребитель...».</w:t>
      </w:r>
    </w:p>
    <w:p w14:paraId="6BCA3F5E" w14:textId="77777777" w:rsidR="00627011" w:rsidRPr="001E2C69" w:rsidRDefault="0062701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тому же Сталину просто не хотелось ударить «лицом в грязь» перед союзниками, ко</w:t>
      </w:r>
      <w:r w:rsidRPr="001E2C69">
        <w:rPr>
          <w:rFonts w:ascii="Times New Roman" w:hAnsi="Times New Roman"/>
          <w:color w:val="000000" w:themeColor="text1"/>
          <w:sz w:val="16"/>
          <w:szCs w:val="16"/>
        </w:rPr>
        <w:softHyphen/>
        <w:t xml:space="preserve">торые успешно расправлялись с высотными самолётами Третьего Рейха (15830). </w:t>
      </w:r>
    </w:p>
    <w:p w14:paraId="48EDE160" w14:textId="77777777" w:rsidR="00627011" w:rsidRPr="001E2C69" w:rsidRDefault="00627011" w:rsidP="00722885">
      <w:pPr>
        <w:spacing w:after="0" w:line="240" w:lineRule="auto"/>
        <w:jc w:val="both"/>
        <w:rPr>
          <w:rFonts w:ascii="Times New Roman" w:hAnsi="Times New Roman"/>
          <w:color w:val="000000" w:themeColor="text1"/>
          <w:sz w:val="16"/>
          <w:szCs w:val="16"/>
        </w:rPr>
      </w:pPr>
    </w:p>
    <w:p w14:paraId="68EBECD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В июле 1942 г. были подведены итоги боевых действий ВВС Красной Армии за первый год войны (начиная с июля 1941 г) Выяснилось, что в 6484 учтённых боевых вылетах было потеряно 60 «бисов», то есть одна потеря приходилась на 108 са- молёто-вылетов. Такие показатели оказа</w:t>
      </w:r>
      <w:r w:rsidRPr="001E2C69">
        <w:rPr>
          <w:rFonts w:ascii="Times New Roman" w:hAnsi="Times New Roman"/>
          <w:color w:val="000000" w:themeColor="text1"/>
          <w:sz w:val="16"/>
          <w:szCs w:val="16"/>
        </w:rPr>
        <w:softHyphen/>
        <w:t>лись заметно лучше, чем у многих новых истребителей и даже штурмовиков Ил-2. Потери в результате аварий и катастроф составили всего 11 машин.</w:t>
      </w:r>
    </w:p>
    <w:p w14:paraId="3DE9496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Несмотря на возрастающее поступ</w:t>
      </w:r>
      <w:r w:rsidRPr="001E2C69">
        <w:rPr>
          <w:rFonts w:ascii="Times New Roman" w:hAnsi="Times New Roman"/>
          <w:color w:val="000000" w:themeColor="text1"/>
          <w:sz w:val="16"/>
          <w:szCs w:val="16"/>
        </w:rPr>
        <w:softHyphen/>
        <w:t>ление в войска новой техники, в 1943 г. старенькие бипланы, прошедшие не один ремонт, продолжали свою боевую деятельность. На 1 июня 1943 г. в составе действующей армии ещё насчитывалось 32 И-15бис (главным образом в 7-й и 4-й воздушных армиях). Кроме того, в этот период до 40 машин имелось в соста</w:t>
      </w:r>
      <w:r w:rsidRPr="001E2C69">
        <w:rPr>
          <w:rFonts w:ascii="Times New Roman" w:hAnsi="Times New Roman"/>
          <w:color w:val="000000" w:themeColor="text1"/>
          <w:sz w:val="16"/>
          <w:szCs w:val="16"/>
        </w:rPr>
        <w:softHyphen/>
        <w:t>ве тыловых соединений ПВО и в лётных школах. Для большинства из них этот год стал последним (12294).</w:t>
      </w:r>
    </w:p>
    <w:p w14:paraId="39B1935D"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C6F314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794-й полку, который воевал на ЮФ на "Бостонах", удался налет на аэродром Россошь. Неожиданно зайдя со стороны болота, бомбами и пулеметным огнем "Бостоны" уничтожили и повредили 21 самолет. Эту цифру впоследствии установили партизаны. Рейд попытались повторить, но на этот раз достичь неожиданности не удалось. Два Б-3 сбили, один, поврежденный, совершил вынужденную посадку. Немцы в ответ разбомбили аэродром полка и сожгли шесть "Бостонов" (3457,100).</w:t>
      </w:r>
    </w:p>
    <w:p w14:paraId="00C31AA3" w14:textId="77777777" w:rsidR="00AE7191" w:rsidRPr="001E2C69" w:rsidRDefault="00AE7191" w:rsidP="00722885">
      <w:pPr>
        <w:pStyle w:val="Iauiue"/>
        <w:jc w:val="both"/>
        <w:rPr>
          <w:color w:val="000000" w:themeColor="text1"/>
          <w:sz w:val="16"/>
          <w:szCs w:val="16"/>
        </w:rPr>
      </w:pPr>
    </w:p>
    <w:p w14:paraId="57E1939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июля 1942 начал воевать 37-й полк, с августа - 16-й, с сентября - 125-й. Бомбардировщики действовали под Вязьмой, Дорогобужем, Ярцево. Было совершено много дневных вылетов одиночными машинами и мелкими группами без прикрытия истребителями. Целями являлись автомобильные и танковые колонны, укрепленные позиции. Во фронтовой авиации "Митчеллы" поработали недолго. На малых высотах довольно громоздкий В-25 вел себя инертно и представлял неплохую мишень для немецких зенитчиков. Потери начали расти. В итоге пришли к выводу, что использование В-25 по тактическим целям неэффективно. 29 сентября 1942 года 222-ю дивизию официально передали в Авиацию дальнего действия (АДД). Для роли фронтового бомбардировщика у нас гораздо лучше подходили Пе-2 и А-20, а в АДД можно было в полной мере использовать и большой радиус действия В-25, и отличное навигационное радиооборудование, и мощное вооружение, и значительную бомбовую нагрузку. По всем этим характеристикам он более соответствовал дальнему Ил-4, нежели нашим фронтовым бомбардировщикам. В некоторых отношениях - по скорости, оборонительному вооружению, оборудованию - В-25 превосходил Ил-4, но кое в чем и уступал ему (3457,91).</w:t>
      </w:r>
    </w:p>
    <w:p w14:paraId="03E7E06D" w14:textId="77777777" w:rsidR="00AE7191" w:rsidRPr="001E2C69" w:rsidRDefault="00AE7191" w:rsidP="00722885">
      <w:pPr>
        <w:pStyle w:val="Iauiue"/>
        <w:jc w:val="both"/>
        <w:rPr>
          <w:color w:val="000000" w:themeColor="text1"/>
          <w:sz w:val="16"/>
          <w:szCs w:val="16"/>
        </w:rPr>
      </w:pPr>
    </w:p>
    <w:p w14:paraId="719968F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июля 1942 начались налеты АДД на цели в Восточной Пруссии, а затем и на Берлин, Будапешт, Бухарест, Плоешти. Поскольку достичь столь удаленных объектов с постоянных мест базирования полков АДД не удавалось, применили схему с использованием аэродромов подскока поближе к фронту или с применением подвесных баков (7666). В дальних рейдах остро сказывались недостатки Ил-4. Полет длился до 12 часов. Все это время от пилота требовалось неусыпное внимание. Недостаточная продольная устойчивость, ухудшившаяся на модификации ДБ-3Ф и продолжавшая ухудшаться после перехода к экипажу из четырех человек и установки дополнительного оборудования, не давала летчику ни минуты покоя. Автопилоты стояли только на единичных машинах (до конца 1942 г. на фронт отправили около 60 самолетов с АВП-12), причем в “болтанку” их предписывали отключать. Иногда на помощь пилоту подключался штурман, вставлявший в гнездо съемную ручку управления и дававший командиру немного отдохнуть. Согласно мнение дважды Героя Советского Союза А.И.Молодчего: “По своей природе Ил-4 неустойчив, каждую секунду норовит завалиться в крен, уйти с курса, забрать или опустить нос. Нужно беспрерывно крутить штурвал, чтобы самолет летел в заданном режиме”. В.В.Решетников подтверждал: “Управление нельзя было бросить ни на секунду: при самой идеальной нейтральной регулировке руля высоты машина с брошенным управлением без раздумий, совершенно произвольно лезла вверх или, если ей так вздумается, заваливалась с ускорением вниз. Она нахально “висела” на руках и в длительных многочасовых полетах выматывала пилотов изрядно. Грешна была этим, матушка”. Чрезвычайно утомительным являлся полет при отказе одного мотора. Парируя тенденцию к развороту, летчик постоянно был вынужден давить на педаль, поскольку триммер не компенсировал полностью асимметрию тяги. Этот дефект сохранился практически до последних серий бомбардировщика (7666).</w:t>
      </w:r>
    </w:p>
    <w:p w14:paraId="255DEFB5" w14:textId="77777777" w:rsidR="00AE7191" w:rsidRPr="001E2C69" w:rsidRDefault="00AE7191" w:rsidP="00722885">
      <w:pPr>
        <w:pStyle w:val="Iauiue"/>
        <w:jc w:val="both"/>
        <w:rPr>
          <w:color w:val="000000" w:themeColor="text1"/>
          <w:sz w:val="16"/>
          <w:szCs w:val="16"/>
        </w:rPr>
      </w:pPr>
    </w:p>
    <w:p w14:paraId="1FC1A9F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июля 1942 начались налеты АДД на цели в Восточной Пруссии, а затем и на Бер</w:t>
      </w:r>
      <w:r w:rsidRPr="001E2C69">
        <w:rPr>
          <w:rFonts w:ascii="Times New Roman" w:hAnsi="Times New Roman"/>
          <w:color w:val="000000" w:themeColor="text1"/>
          <w:sz w:val="16"/>
          <w:szCs w:val="16"/>
        </w:rPr>
        <w:softHyphen/>
        <w:t>лин, Будапешт, Бухарест, Плоешти. Поскольку достичь столь удаленных объектов с постоянных мест базирова</w:t>
      </w:r>
      <w:r w:rsidRPr="001E2C69">
        <w:rPr>
          <w:rFonts w:ascii="Times New Roman" w:hAnsi="Times New Roman"/>
          <w:color w:val="000000" w:themeColor="text1"/>
          <w:sz w:val="16"/>
          <w:szCs w:val="16"/>
        </w:rPr>
        <w:softHyphen/>
        <w:t>ния полков АЛЛ не удавалось, приме</w:t>
      </w:r>
      <w:r w:rsidRPr="001E2C69">
        <w:rPr>
          <w:rFonts w:ascii="Times New Roman" w:hAnsi="Times New Roman"/>
          <w:color w:val="000000" w:themeColor="text1"/>
          <w:sz w:val="16"/>
          <w:szCs w:val="16"/>
        </w:rPr>
        <w:softHyphen/>
        <w:t>нили схему с использованием аэродро</w:t>
      </w:r>
      <w:r w:rsidRPr="001E2C69">
        <w:rPr>
          <w:rFonts w:ascii="Times New Roman" w:hAnsi="Times New Roman"/>
          <w:color w:val="000000" w:themeColor="text1"/>
          <w:sz w:val="16"/>
          <w:szCs w:val="16"/>
        </w:rPr>
        <w:softHyphen/>
        <w:t>мов подскока поближе к фронту или с применением подвесных баков (10734,69).</w:t>
      </w:r>
    </w:p>
    <w:p w14:paraId="63A2B0A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735F4EB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Нач. штаба ВВС стал г-м Ф.Я.Фалалеев (340,90).</w:t>
      </w:r>
    </w:p>
    <w:p w14:paraId="2A5C3CE4" w14:textId="77777777" w:rsidR="00AE7191" w:rsidRPr="001E2C69" w:rsidRDefault="00AE7191" w:rsidP="00722885">
      <w:pPr>
        <w:pStyle w:val="Iauiue"/>
        <w:jc w:val="both"/>
        <w:rPr>
          <w:color w:val="000000" w:themeColor="text1"/>
          <w:sz w:val="16"/>
          <w:szCs w:val="16"/>
        </w:rPr>
      </w:pPr>
    </w:p>
    <w:p w14:paraId="2F98D27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 в составе 62-й ааиабригады насчитывалось 11 И-16 и 3 УТИ-4. Самолеты базировались на аэродромах в Анапе. Лазаревском, Мысхако, м. Гайдук. 8 И-16 числилось в составе 87-й авиаэскадрильи, базирующейся сначала в Ейске, затем в Ольчинке и Анапе. И-16. принадлежащие ВВС ЧФ находились в основном в 8-м и 32-м иап 62-й авиабригады. Ожесточенные бои в период обороны Севастополя привели к заметному уменьшению численности всех типов истребителей. Уже мосле паления этой черноморской крепости из Крыма на восточные аэродромы перелетело 4 И-16 (12015).</w:t>
      </w:r>
    </w:p>
    <w:p w14:paraId="14CEFEB1"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40D8F8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вышла "Инструкция по организации связи в авиационных соединениях и частях", утвержденная командующим ВВС КА. Потребовала, чтобы пункты управления командиров авиасоединений д. размещаться в районе КП командующего, прикрываемой общевойсковой или танковой армии. "На наблюдательном пункте развертывается радиостанция, при помощи которой командир авиасоединения командует авиацией, находящейся над полем боя и наводит истребителей на самолеты противника с наиболее выгодных направлений и высот." (518,281).</w:t>
      </w:r>
    </w:p>
    <w:p w14:paraId="77476BCE" w14:textId="77777777" w:rsidR="00AE7191" w:rsidRPr="001E2C69" w:rsidRDefault="00AE7191" w:rsidP="00722885">
      <w:pPr>
        <w:pStyle w:val="Iauiue"/>
        <w:jc w:val="both"/>
        <w:rPr>
          <w:color w:val="000000" w:themeColor="text1"/>
          <w:sz w:val="16"/>
          <w:szCs w:val="16"/>
        </w:rPr>
      </w:pPr>
    </w:p>
    <w:p w14:paraId="09FFA82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экипажи к Дронова и сл Пяткова на БФ впервые потопили два корабля используя низкое торпедометание (1085,166).</w:t>
      </w:r>
    </w:p>
    <w:p w14:paraId="2FE2FD25" w14:textId="77777777" w:rsidR="00AE7191" w:rsidRPr="001E2C69" w:rsidRDefault="00AE7191" w:rsidP="00722885">
      <w:pPr>
        <w:pStyle w:val="Iauiue"/>
        <w:jc w:val="both"/>
        <w:rPr>
          <w:color w:val="000000" w:themeColor="text1"/>
          <w:sz w:val="16"/>
          <w:szCs w:val="16"/>
        </w:rPr>
      </w:pPr>
    </w:p>
    <w:p w14:paraId="32163C8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на Балтике экипажи капитана Дронова и старшего лейтенанта Пяткова потопили первые два корабля противника (10734,85).</w:t>
      </w:r>
    </w:p>
    <w:p w14:paraId="1A1CB07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59AB235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июля 1942 по решению Ставки ВГК на Северный флот возложили задачу обороны полуостровов Средний и Рыбачий и создали Северный оборонительный район (359,189).</w:t>
      </w:r>
    </w:p>
    <w:p w14:paraId="1576C2F4" w14:textId="77777777" w:rsidR="00AE7191" w:rsidRPr="001E2C69" w:rsidRDefault="00AE7191" w:rsidP="00722885">
      <w:pPr>
        <w:pStyle w:val="Iauiue"/>
        <w:jc w:val="both"/>
        <w:rPr>
          <w:color w:val="000000" w:themeColor="text1"/>
          <w:sz w:val="16"/>
          <w:szCs w:val="16"/>
        </w:rPr>
      </w:pPr>
    </w:p>
    <w:p w14:paraId="0821CD0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АНТ-44 Чайка перелетела из Севастополя на Кавказ и разбилась при посадке в начале 1943 после бомбежки Ялты (577,13).</w:t>
      </w:r>
    </w:p>
    <w:p w14:paraId="13C35CD6" w14:textId="77777777" w:rsidR="00AE7191" w:rsidRPr="001E2C69" w:rsidRDefault="00AE7191" w:rsidP="00722885">
      <w:pPr>
        <w:pStyle w:val="Iauiue"/>
        <w:jc w:val="both"/>
        <w:rPr>
          <w:color w:val="000000" w:themeColor="text1"/>
          <w:sz w:val="16"/>
          <w:szCs w:val="16"/>
        </w:rPr>
      </w:pPr>
    </w:p>
    <w:p w14:paraId="48CD48A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после оставления Севастополя, с Ил-4 в одной из бухт сбросили шесть АМк. IV Такие же мины затем использовались у о. Бирючий, в Керченском проливе и около Фе</w:t>
      </w:r>
      <w:r w:rsidRPr="001E2C69">
        <w:rPr>
          <w:rFonts w:ascii="Times New Roman" w:hAnsi="Times New Roman"/>
          <w:color w:val="000000" w:themeColor="text1"/>
          <w:sz w:val="16"/>
          <w:szCs w:val="16"/>
        </w:rPr>
        <w:softHyphen/>
        <w:t>одосии. За 1942 г. на Черном море сбросили 46 мин (10734,85).</w:t>
      </w:r>
    </w:p>
    <w:p w14:paraId="0669BA8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2126019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года в танковых войсках 61-й армии перед началом проведения Болховской наступательной операции имелось 334 танка семи марок. Из них только 67 (20%) - Т-34. "Рабочей лошадкой" советских танковых войск Т-34 стали только к 1943 году (3862).</w:t>
      </w:r>
    </w:p>
    <w:p w14:paraId="4A190129" w14:textId="77777777" w:rsidR="00AE7191" w:rsidRPr="001E2C69" w:rsidRDefault="00AE7191" w:rsidP="00722885">
      <w:pPr>
        <w:pStyle w:val="Iauiue"/>
        <w:jc w:val="both"/>
        <w:rPr>
          <w:color w:val="000000" w:themeColor="text1"/>
          <w:sz w:val="16"/>
          <w:szCs w:val="16"/>
        </w:rPr>
      </w:pPr>
    </w:p>
    <w:p w14:paraId="3C4E57EA" w14:textId="77777777" w:rsidR="0007364D" w:rsidRPr="001E2C69" w:rsidRDefault="0007364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июле 1942 года был сформирован ООТБ (отдельный особый танковый батальон). В некоторых публикациях он называется ООТБ литер «Б», но это уже другая часть, которая находилась в составе 31-й армии. Его командиром стал майор Ф.В. Небылов. Батальон полностью состоял из трофейных танков: помимо 10 Pz.Kpfw.38(t), в нем находилось 2 StuG III, 12 Pz.Kpfw.III и 6 Pz.Kpfw.IV. Характерной деталью «Праг» ООТБ были большие белые звезды, которые наносились на лобовой лист корпуса и борта башни. Такой отличительный знак был крайне необходим, поскольку трофейные танки могли подбить свои же. ООТБ, то он был отправлен в 20-ю армию в Крым.</w:t>
      </w:r>
    </w:p>
    <w:p w14:paraId="248F7391" w14:textId="77777777" w:rsidR="0007364D" w:rsidRPr="001E2C69" w:rsidRDefault="0007364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По состоянию на 31 августа в батальоне было 8 «Праг, 6 Pz.Kpfw.IV, 10 Pz.Kpfw.III и 2 StuG III. К тому моменту батальон действовал совместно с 354-й стрелковой дивизией. 3 сентября батальон поддерживал наступление 1203-го стрелкового полка 354-й стрелковой дивизии в районе деревни Опокино. На следующий день одна «Прага» была подбита артиллерией, еще две машины оказались подбиты вражеской авиацией. Из оставшихся танков один находился в распоряжении командира 354-й сд. На следующий день было подбито еще 2 трофейных танка, но при этом 1, поврежденный ранее, удалось ввести в строй. Днем позже количество боеспособных «Праг» удалось довести до 5, из них 2 требовали ремонта. Экипажи окопали машины и использовали как неподвижные огневые точки. В тот момент батальон находился северо-восточнее деревни Черниково.</w:t>
      </w:r>
    </w:p>
    <w:p w14:paraId="2E514710" w14:textId="77777777" w:rsidR="0007364D" w:rsidRPr="001E2C69" w:rsidRDefault="0007364D" w:rsidP="00722885">
      <w:pPr>
        <w:pStyle w:val="12a"/>
        <w:shd w:val="clear" w:color="auto" w:fill="auto"/>
        <w:spacing w:after="0" w:line="240" w:lineRule="auto"/>
        <w:jc w:val="both"/>
        <w:rPr>
          <w:color w:val="000000" w:themeColor="text1"/>
          <w:sz w:val="16"/>
          <w:szCs w:val="16"/>
          <w:lang w:eastAsia="ru-RU"/>
        </w:rPr>
      </w:pPr>
      <w:r w:rsidRPr="001E2C69">
        <w:rPr>
          <w:color w:val="000000" w:themeColor="text1"/>
          <w:sz w:val="16"/>
          <w:szCs w:val="16"/>
          <w:lang w:eastAsia="ru-RU"/>
        </w:rPr>
        <w:t>На протяжении следующей недели танки держали оборону совместно с 331-й стрелковой дивизией. По состоянию на 25 сентября в строю оставалось 3 «Праги». Из потерянных ранее танков 2 остались на территории противника, не так давно их фотографии «всплывали» на одном из интернет-аукционов. Позже эти машины удалось эвакуировать. Батальон до конца октября 1942 года имел примерно такой же состав, после чего его расформировали. Федор Васильевич Небылов закончил войну в звании гвардии подполковника, занимая к тому моменту должность заместителя командира 67-й гвардейской тяжелой танковой бригады. В ее составе он дошел до Берлина (17687).</w:t>
      </w:r>
    </w:p>
    <w:p w14:paraId="7F1FEBED" w14:textId="77777777" w:rsidR="0007364D" w:rsidRPr="001E2C69" w:rsidRDefault="0007364D" w:rsidP="00722885">
      <w:pPr>
        <w:pStyle w:val="12a"/>
        <w:shd w:val="clear" w:color="auto" w:fill="auto"/>
        <w:spacing w:after="0" w:line="240" w:lineRule="auto"/>
        <w:jc w:val="both"/>
        <w:rPr>
          <w:color w:val="000000" w:themeColor="text1"/>
          <w:sz w:val="16"/>
          <w:szCs w:val="16"/>
        </w:rPr>
      </w:pPr>
    </w:p>
    <w:p w14:paraId="06AAEF5E" w14:textId="77777777" w:rsidR="007240D5" w:rsidRPr="001E2C69" w:rsidRDefault="007240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у станции Родаково, близ Ворошиловграда, был уничтожен немецкими пикирующими бомбардировщиками бронепоезд №2 «За Родину». В этот же день западне Ростова были взорваны своими командами попавшие в окружение бронепоезда 7-го отдельного дивизиона – №21 и 29 (15218).</w:t>
      </w:r>
    </w:p>
    <w:p w14:paraId="66AD9DD2" w14:textId="77777777" w:rsidR="007240D5" w:rsidRPr="001E2C69" w:rsidRDefault="007240D5" w:rsidP="00722885">
      <w:pPr>
        <w:spacing w:after="0" w:line="240" w:lineRule="auto"/>
        <w:jc w:val="both"/>
        <w:rPr>
          <w:rFonts w:ascii="Times New Roman" w:hAnsi="Times New Roman"/>
          <w:color w:val="000000" w:themeColor="text1"/>
          <w:sz w:val="16"/>
          <w:szCs w:val="16"/>
        </w:rPr>
      </w:pPr>
    </w:p>
    <w:p w14:paraId="2D8C75B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г. КБФ предпринял попытку захватить небольшой скалистый остров Соммерс, который оборонял финский гарнизон в составе 92 человек при 12 орудиях калибром от 20- до 75-мм, таком же количестве пулеметов и двух минометах. Хотя в распоряжении нашего командования имелось довольно много катеров самого разного назначения, основными десантными средствами были выбраны торпедные катера типа Г-5 и малые охотники. Налеты нашей авиации особых результатов не дали, поэтому когда в 01:20 8 июля десантные группы развернулись и пошли к местам высадки, финны встретили их огнем. На ТКА №121 при подходе к берегу заглохли моторы с муфтами, включенными на передний ход и при заводке моторов он сразу сел на камни. После того, как десантники покинули катер, его попытались снять с камней, но неудачно. Хорошо еще, что удалось спасти экипаж. Также на подходе к месту высадки получил повреждения ТКА №71. Несмотря на это, ему удалось высадить находившихся на борту бойцов, но не в предусмотренном планом месте, а “куда придется”. Отходивший после этого от острова 71-й вновь попал под артиллерийский огонь, загорелся и погиб. Личный состав с него под непрекращающимся обстрелом сумел забрать катер №152 (типа Д-3), сам имевший повреждения. Досталось и “пятерке” с бортовым номером 171 - погиб командир, из числа десантников трое были убиты и четверо ранены. Реакция финского командования на действия Балтфлота оказалась быстрой и энергичной - в бой были брошены канонерские лодки “Уусимаа” и “Хямеенмаа”, а также пять сторожевых катеров. Подходившая к Соммерсу первой “Уусимаа” подверглась нападению двух “Гэ-пятых” (№73 и 113) из состава дозорной группы и сумела успешно отразить атаку, потопив 113-й. Советские катерники доложили о потоплении неприятельской канлодки - первой из заявленных в ходе боев побед. Ожесточенные бои за Соммерс шли до 10 июля, причем основными противниками наших катерников были финские канонерки и сторожевые катера типа VMV. И надо сказать, что они балтийцам оказались не по зубам - несмотря на целый ряд докладов об уничтожении вражеских кораблей ни одна торпедная атака не завершилась успехом, а ответный огонь часто достигал цели. В перестрелках из бортового оружия перевес был полностью на стороне финнов, катера которых имели на вооружении скорострельные малокалиберные пушки. По огневой мощи им уступали даже малые охотники, а о “Гэ-пятых” и говорить нечего. Из “пятерок”, кроме уже упомянутых, погибли еще и №31 и 123. Кроме того, жертвами провалившейся операции стали два представителя других типов ТК (Д-3 №22 и Ш-4 №83), а также малый охотник №306 (6002).</w:t>
      </w:r>
    </w:p>
    <w:p w14:paraId="008D44C1" w14:textId="77777777" w:rsidR="00AE7191" w:rsidRPr="001E2C69" w:rsidRDefault="00AE7191" w:rsidP="00722885">
      <w:pPr>
        <w:pStyle w:val="Iauiue"/>
        <w:jc w:val="both"/>
        <w:rPr>
          <w:color w:val="000000" w:themeColor="text1"/>
          <w:sz w:val="16"/>
          <w:szCs w:val="16"/>
        </w:rPr>
      </w:pPr>
    </w:p>
    <w:p w14:paraId="7F877C79" w14:textId="77777777" w:rsidR="00F1598A" w:rsidRPr="001E2C69" w:rsidRDefault="00F1598A" w:rsidP="00F1598A">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года в 22-й армейский ремонтно-восстановительный батальон направили 16 трофейных танков, и еще четыре — 132-й отдельный ремонтно-восстановительный батальон. Причём этот батальон занимался и перевооружением немецких танков отечественным вооружением. Правда, масштаб таких работ был невелик, и касался в основном замены немецких пулеметов на отечественные ДТ и установку отечественной оптики. Так, в своем письме от 2 июля 1942 года в главное артуправление заместитель начальника БТУ ГАБТУ КА Алымов сообщал: «Прошу Вашего распоряжения об отпуске для 132 ОРВБ следующее артвооружение в счёт лимитов, выделенных ГАУ КА для ГАБТУ КА на ремонт: 1. 20 мм пушек ШВАК — 1 шт.; 2. Пулемётов ДТ — 15 шт.; 3. Коробов к 20 мм ШВАК — 32; 4. Дисков к ДТ — 308; 5. ЗИП к пушке ШВАК — 4к-та; 6. ЗИПкДТ — 26к-тов; 7. Прицелов ТМФП-1 — 4; 8. Банников к 37-мм — 13; 9. Прицелов ТМФ — 13, 10. ЗИП к 37 мм пушке — 1 к-т; 11. ЗИП к 76 мм пушке — 1 к-т; 12. Прицелов ТОД-6 — 2 шт. (12688).</w:t>
      </w:r>
    </w:p>
    <w:p w14:paraId="0BBF19EF" w14:textId="77777777" w:rsidR="00F1598A" w:rsidRPr="001E2C69" w:rsidRDefault="00F1598A" w:rsidP="00F1598A">
      <w:pPr>
        <w:spacing w:after="0" w:line="240" w:lineRule="auto"/>
        <w:jc w:val="both"/>
        <w:rPr>
          <w:rFonts w:ascii="Times New Roman" w:hAnsi="Times New Roman"/>
          <w:color w:val="000000" w:themeColor="text1"/>
          <w:sz w:val="16"/>
          <w:szCs w:val="16"/>
        </w:rPr>
      </w:pPr>
    </w:p>
    <w:p w14:paraId="46934DF8"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Внешняя политика:</w:t>
      </w:r>
    </w:p>
    <w:p w14:paraId="1C23033B" w14:textId="77777777" w:rsidR="00AE7191" w:rsidRPr="001E2C69" w:rsidRDefault="00AE7191" w:rsidP="00722885">
      <w:pPr>
        <w:pStyle w:val="Iauiue"/>
        <w:jc w:val="both"/>
        <w:rPr>
          <w:iCs/>
          <w:color w:val="000000" w:themeColor="text1"/>
          <w:sz w:val="16"/>
          <w:szCs w:val="16"/>
        </w:rPr>
      </w:pPr>
    </w:p>
    <w:p w14:paraId="063FAF1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 1942, когда после нападения Германии на Советский Союз правительства Великобритании и США приняли решение об оказании военной помощи, А-20 оказались среди предложенных нам типов самолетов. "Бостоны", безусловно, были лучше упорно навязывавшихся нам самолетов Локхид А-29, тихоходных и слабо вооруженных. Начальник ВВС Жигарев писал паркому торговли Микояну, в ведении которого находились все импортные поставки: "...предложенные нам американцами самолеты ДВ-7В по своим боевым качествам заслуживают внимания и могут быть приобретены". Первоначально предлагалось поставить 584 А-20, затем цифра выросла до 828 машин, из них 300-из заказов, размещенных англичанами. Ее и зафиксировали в Московском протоколе (3457,99).</w:t>
      </w:r>
    </w:p>
    <w:p w14:paraId="542D228E" w14:textId="77777777" w:rsidR="00AE7191" w:rsidRPr="001E2C69" w:rsidRDefault="00AE7191" w:rsidP="00722885">
      <w:pPr>
        <w:pStyle w:val="Iauiue"/>
        <w:jc w:val="both"/>
        <w:rPr>
          <w:color w:val="000000" w:themeColor="text1"/>
          <w:sz w:val="16"/>
          <w:szCs w:val="16"/>
        </w:rPr>
      </w:pPr>
    </w:p>
    <w:p w14:paraId="62937E92"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4F6B90D6" w14:textId="77777777" w:rsidR="00AE7191" w:rsidRPr="001E2C69" w:rsidRDefault="00AE7191" w:rsidP="00722885">
      <w:pPr>
        <w:pStyle w:val="Iauiue"/>
        <w:jc w:val="both"/>
        <w:rPr>
          <w:iCs/>
          <w:color w:val="000000" w:themeColor="text1"/>
          <w:sz w:val="16"/>
          <w:szCs w:val="16"/>
        </w:rPr>
      </w:pPr>
    </w:p>
    <w:p w14:paraId="367DC17D" w14:textId="56AAB445" w:rsidR="00FE59A3" w:rsidRPr="008A2E5A" w:rsidRDefault="00FE59A3" w:rsidP="00FE59A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1942  г. Годдард переехал на военно-морскую испытательную станцию в Аннаполисе, где работал до июля 1945 г. В  августе его JATO давал 800  кг тяги в  течение 20 секунд, и Фишер решил испытать его на самолёте. После пяти наземных испытаний гидросамолёт, пилотируемый Фишером, поднялся в воздух с реки Северн на ускорителях Годдарда. Но при следующем взлете на высоте 45,7 м (150 футов) ускоритель загорелся. К счастью, взрыва не было. Причиной авария стал неправильный монтаж. Однако авиаторы решили, что пороховые ускорители дешевле и безопаснее. Тем не менее, флот попросил Годдарда усовершенствовать его ускоритель. В ноябре 1942 г. Годдард показал новый образец представителям Бюро аэронавтики и чиновникам из Вашингтона. Гидросамолет пилотировал Фишер. Испытания прошли блестяще (23372).</w:t>
      </w:r>
    </w:p>
    <w:p w14:paraId="11749DDF" w14:textId="77777777" w:rsidR="00FE59A3" w:rsidRPr="008A2E5A" w:rsidRDefault="00FE59A3" w:rsidP="00FE59A3">
      <w:pPr>
        <w:spacing w:after="0" w:line="240" w:lineRule="auto"/>
        <w:jc w:val="both"/>
        <w:rPr>
          <w:rFonts w:ascii="Times New Roman" w:hAnsi="Times New Roman"/>
          <w:color w:val="0070C0"/>
          <w:sz w:val="16"/>
          <w:szCs w:val="16"/>
        </w:rPr>
      </w:pPr>
    </w:p>
    <w:p w14:paraId="7CF17639" w14:textId="77777777" w:rsidR="00055F9B" w:rsidRPr="001E2C69" w:rsidRDefault="00055F9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Июль 1942 года состоялся первый полет Кавасаки Ki-66 (20793).</w:t>
      </w:r>
    </w:p>
    <w:p w14:paraId="565172CD" w14:textId="77777777" w:rsidR="00055F9B" w:rsidRPr="001E2C69" w:rsidRDefault="00055F9B" w:rsidP="00722885">
      <w:pPr>
        <w:spacing w:after="0" w:line="240" w:lineRule="auto"/>
        <w:jc w:val="both"/>
        <w:rPr>
          <w:rFonts w:ascii="Times New Roman" w:hAnsi="Times New Roman"/>
          <w:color w:val="000000" w:themeColor="text1"/>
          <w:sz w:val="16"/>
          <w:szCs w:val="16"/>
        </w:rPr>
      </w:pPr>
    </w:p>
    <w:p w14:paraId="6CA04DD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в обороне восточной морской границы, кроме 84 армейских и 83 самолетов морской авиации, были задействованы не менее 10 дирижаблей полужесткой конструкции, сведенных в 1-е крыло флота воздушных кораблей. Кстати, под энергичным командованием [464] адмирала К. Розендаля к концу войны флот воздушных кораблей вырос до 130 единиц. Наряду с усилением значения станции Лейкхерста, командование флота приняло решение о строительстве вспомогательных станций в штатах Массачусетс, Северная Каролина, Джорджия, Флорида, Луизиана, Техас, Калифорния и Орегон. Дополнительно сооружались базы в Карибском море, Бразилии и Гибралтаре. Из Нью-Джерси дирижабли были переброшены к Мексиканскому заливу в Веймут, штат Массачусетс. 2-е крыло флота воздушных кораблей было организовано в Ричмонде, штат Флорида, с задачей охраны воздушного пространства в акватории Ямайки, Тринидада и к югу от Бразилии (11324).</w:t>
      </w:r>
    </w:p>
    <w:p w14:paraId="5CD7F53E"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9387749" w14:textId="77777777" w:rsidR="00055F9B" w:rsidRPr="001E2C69" w:rsidRDefault="00055F9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Июль 1942 Fliegerkorps II Люфтваффе отозван на базы в Сицилии, чтобы провести новую концентрированную бомбардировку против Мальты. Силы оси сбросили  700 тонн (635,036 кг) бомб и уничтожили 17 британских самолетов на земле, но истребители Royal Air Force Мальты заставляют их приостановить наступление 15 июля после потери 65 самолетов в обмен на 36 Британский Супермарин Спитфайр (20793).</w:t>
      </w:r>
    </w:p>
    <w:p w14:paraId="7644F1B9" w14:textId="77777777" w:rsidR="00055F9B" w:rsidRPr="001E2C69" w:rsidRDefault="00055F9B" w:rsidP="00722885">
      <w:pPr>
        <w:spacing w:after="0" w:line="240" w:lineRule="auto"/>
        <w:jc w:val="both"/>
        <w:rPr>
          <w:rFonts w:ascii="Times New Roman" w:hAnsi="Times New Roman"/>
          <w:color w:val="000000" w:themeColor="text1"/>
          <w:sz w:val="16"/>
          <w:szCs w:val="16"/>
        </w:rPr>
      </w:pPr>
    </w:p>
    <w:p w14:paraId="63E84355" w14:textId="77777777" w:rsidR="00AE7191" w:rsidRPr="001E2C69" w:rsidRDefault="00AE7191" w:rsidP="00722885">
      <w:pPr>
        <w:pStyle w:val="afff5"/>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В июле 1942 года штаб японского императорского флота провел совещание с учеными о возможности военного применения атомной энергии. В разгар Тихоокеанской войны командование японского флота стало инициатором встречи адмиралов с учеными-физиками. Первым в списке приглашенных на совещание был видный японский физик Иосио Нисина, возглавлявший Институт физико-химических исследований и в свое время учившийся у Нильса Бора в Копенгагене. Обсуждение возможности применения атомной энергии шло в милитаристской Японии и раньше. Еще до начала войны на Тихом океане начальник научно-исследовательского института авиационной технологии генерал Такео Ясуда поручил Иосио Нисине просчитать возможность использования расщепляющихся материалов в качестве взрывчатки. Под руководством Нисины был создан секретный комитет из ведущих японских ученых, который должен был постоянно следить за состоянием исследовательских работ, проводимых в области использования атомной энергии (11457).</w:t>
      </w:r>
    </w:p>
    <w:p w14:paraId="606BFEBA" w14:textId="77777777" w:rsidR="00AE7191" w:rsidRPr="001E2C69" w:rsidRDefault="00AE7191" w:rsidP="00722885">
      <w:pPr>
        <w:pStyle w:val="afff5"/>
        <w:jc w:val="both"/>
        <w:rPr>
          <w:i w:val="0"/>
          <w:iCs w:val="0"/>
          <w:color w:val="000000" w:themeColor="text1"/>
          <w:spacing w:val="0"/>
          <w:kern w:val="0"/>
          <w:position w:val="0"/>
          <w:sz w:val="16"/>
          <w:szCs w:val="16"/>
        </w:rPr>
      </w:pPr>
    </w:p>
    <w:p w14:paraId="2A180029" w14:textId="77777777" w:rsidR="004C71FA" w:rsidRPr="001E2C69" w:rsidRDefault="004C71FA" w:rsidP="00722885">
      <w:pPr>
        <w:spacing w:after="0" w:line="240" w:lineRule="auto"/>
        <w:jc w:val="both"/>
        <w:rPr>
          <w:rFonts w:ascii="Times New Roman" w:hAnsi="Times New Roman"/>
          <w:color w:val="000000" w:themeColor="text1"/>
          <w:sz w:val="16"/>
          <w:szCs w:val="16"/>
        </w:rPr>
      </w:pPr>
      <w:r w:rsidRPr="001E2C69">
        <w:rPr>
          <w:rStyle w:val="a8"/>
          <w:rFonts w:ascii="Times New Roman" w:hAnsi="Times New Roman"/>
          <w:b w:val="0"/>
          <w:color w:val="000000" w:themeColor="text1"/>
          <w:sz w:val="16"/>
          <w:szCs w:val="16"/>
          <w:bdr w:val="none" w:sz="0" w:space="0" w:color="auto" w:frame="1"/>
          <w:shd w:val="clear" w:color="auto" w:fill="FFFFFF"/>
        </w:rPr>
        <w:t>В июле 1942 года неподалеку от Токио была проведена выставка трофейной авиатехники союзников (19201).</w:t>
      </w:r>
    </w:p>
    <w:p w14:paraId="75CAEF85" w14:textId="77777777" w:rsidR="004C71FA" w:rsidRPr="001E2C69" w:rsidRDefault="004C71FA" w:rsidP="00722885">
      <w:pPr>
        <w:spacing w:after="0" w:line="240" w:lineRule="auto"/>
        <w:jc w:val="both"/>
        <w:rPr>
          <w:rFonts w:ascii="Times New Roman" w:hAnsi="Times New Roman"/>
          <w:color w:val="000000" w:themeColor="text1"/>
          <w:sz w:val="16"/>
          <w:szCs w:val="16"/>
        </w:rPr>
      </w:pPr>
    </w:p>
    <w:p w14:paraId="0553BE3A"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78B562C0" w14:textId="77777777" w:rsidR="00AE7191" w:rsidRPr="001E2C69" w:rsidRDefault="00AE7191" w:rsidP="00722885">
      <w:pPr>
        <w:pStyle w:val="Iauiue"/>
        <w:jc w:val="both"/>
        <w:rPr>
          <w:iCs/>
          <w:color w:val="000000" w:themeColor="text1"/>
          <w:sz w:val="16"/>
          <w:szCs w:val="16"/>
        </w:rPr>
      </w:pPr>
    </w:p>
    <w:p w14:paraId="619A5BF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июле-августе 1942 одновременно с отработкой заводом № 30 двухместного «Ила» на заводе № 1 построили самолет Ил-2бис (зав. № 4434) с мотором АМ-38, имевший полностью бронированную кабину стрелка с блистерной установкой БЛУБ (блистерная установка Березина) под пулемет УБТ с магазинным питанием и боекомплектом в 150 патронов, размещенном в трех магазинах. Кабина стрелка на Ил-2бис была близка по компоновке к кабинам стрелков на само</w:t>
      </w:r>
      <w:r w:rsidRPr="001E2C69">
        <w:rPr>
          <w:rFonts w:ascii="Times New Roman" w:hAnsi="Times New Roman"/>
          <w:color w:val="000000" w:themeColor="text1"/>
          <w:sz w:val="16"/>
          <w:szCs w:val="16"/>
        </w:rPr>
        <w:softHyphen/>
        <w:t>летах БШ-2 с двигателем АМ-35 и Ил-2 с двигателем М-82. Кабина стрелка оборудовалась на месте заднего фюзеляжного бензобака, вместо которого в двух внутренних бомбоотсеках в цен</w:t>
      </w:r>
      <w:r w:rsidRPr="001E2C69">
        <w:rPr>
          <w:rFonts w:ascii="Times New Roman" w:hAnsi="Times New Roman"/>
          <w:color w:val="000000" w:themeColor="text1"/>
          <w:sz w:val="16"/>
          <w:szCs w:val="16"/>
        </w:rPr>
        <w:softHyphen/>
        <w:t>троплане самолета устанавливались два бензобака такого же объ</w:t>
      </w:r>
      <w:r w:rsidRPr="001E2C69">
        <w:rPr>
          <w:rFonts w:ascii="Times New Roman" w:hAnsi="Times New Roman"/>
          <w:color w:val="000000" w:themeColor="text1"/>
          <w:sz w:val="16"/>
          <w:szCs w:val="16"/>
        </w:rPr>
        <w:softHyphen/>
        <w:t>ема. Эти бензобаки имели бронезащиту. То есть кабина стрелка оказалась в бронированной части бронекорпуса самолета. От огня со стороны хвоста самолета и сверху стрелок защищался 8-мм бро-нестенкой, прозрачной (особый тип стекла) 64-мм броней на блис-Тере пулемета и 5-мм броневым листом над головой на сдвижной части фонаря кабины. Пол кабины стрелка также имел 5-мм бро-ЗДо, а между стрелком и летчиком устанавливалась 7-мм бронеплита, то есть, бронезащита стрелка на Ил-2бис была почти такая же, и у летчика. Связь летчика со стрелком осуществлялась с помощью СПУ-2Ф, трехцветной световой сигнализации и через заднее бро</w:t>
      </w:r>
      <w:r w:rsidRPr="001E2C69">
        <w:rPr>
          <w:rFonts w:ascii="Times New Roman" w:hAnsi="Times New Roman"/>
          <w:color w:val="000000" w:themeColor="text1"/>
          <w:sz w:val="16"/>
          <w:szCs w:val="16"/>
        </w:rPr>
        <w:softHyphen/>
        <w:t>нестекло кабины летчика. Внутренняя подвеска бомб составляла 200 кг. Две крыльевые пушки ШВАК имели боезапас 500 снарядов на обе пушки, а два пу</w:t>
      </w:r>
      <w:r w:rsidRPr="001E2C69">
        <w:rPr>
          <w:rFonts w:ascii="Times New Roman" w:hAnsi="Times New Roman"/>
          <w:color w:val="000000" w:themeColor="text1"/>
          <w:sz w:val="16"/>
          <w:szCs w:val="16"/>
        </w:rPr>
        <w:softHyphen/>
        <w:t>лемета ШКАС — 1500 патронов. Кроме того самолет нес 8 реактив</w:t>
      </w:r>
      <w:r w:rsidRPr="001E2C69">
        <w:rPr>
          <w:rFonts w:ascii="Times New Roman" w:hAnsi="Times New Roman"/>
          <w:color w:val="000000" w:themeColor="text1"/>
          <w:sz w:val="16"/>
          <w:szCs w:val="16"/>
        </w:rPr>
        <w:softHyphen/>
        <w:t>ных снарядов РС-82 (10695).</w:t>
      </w:r>
    </w:p>
    <w:p w14:paraId="79C78C5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775EDAFC"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июле — августе 1942 г. зз числа заказанных ВВС Ил-2 с 37-мм пушками Ш-37 конструкции ОКБ-15 Б. Г. Шпитального  заводом № 18 было по</w:t>
      </w:r>
      <w:r w:rsidRPr="001E2C69">
        <w:rPr>
          <w:color w:val="000000" w:themeColor="text1"/>
          <w:sz w:val="16"/>
          <w:szCs w:val="16"/>
        </w:rPr>
        <w:softHyphen/>
        <w:t>строено 10 самолетов — зав. № 1873522, 1873722, 1873822, 1873023, 1876123, 1879928, 1871129, 1875029, 1878029, 1879029.</w:t>
      </w:r>
    </w:p>
    <w:p w14:paraId="0D03F48E"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Пушки Ш-37 имели магазинное питание на 40 патронов. Как и на самолете Ил-2 с Ш-37 зав. № 1861704, пушки устанавливались под крылом на двух кронштейнах — переднем и заднем. Перед</w:t>
      </w:r>
      <w:r w:rsidRPr="001E2C69">
        <w:rPr>
          <w:color w:val="000000" w:themeColor="text1"/>
          <w:sz w:val="16"/>
          <w:szCs w:val="16"/>
        </w:rPr>
        <w:softHyphen/>
        <w:t>нее крепление является поддерживающим. На нем имелись винты горизонтальной и вертикальной ре</w:t>
      </w:r>
      <w:r w:rsidRPr="001E2C69">
        <w:rPr>
          <w:color w:val="000000" w:themeColor="text1"/>
          <w:sz w:val="16"/>
          <w:szCs w:val="16"/>
        </w:rPr>
        <w:softHyphen/>
        <w:t xml:space="preserve">гулировки, необходимые для наводки </w:t>
      </w:r>
      <w:r w:rsidRPr="001E2C69">
        <w:rPr>
          <w:color w:val="000000" w:themeColor="text1"/>
          <w:sz w:val="16"/>
          <w:szCs w:val="16"/>
        </w:rPr>
        <w:lastRenderedPageBreak/>
        <w:t>оружия при пристрелке. Заднее крепление было силовым. Оно воспринимало всю силу отдачи пушки при выстре</w:t>
      </w:r>
      <w:r w:rsidRPr="001E2C69">
        <w:rPr>
          <w:color w:val="000000" w:themeColor="text1"/>
          <w:sz w:val="16"/>
          <w:szCs w:val="16"/>
        </w:rPr>
        <w:softHyphen/>
        <w:t>ле через противооткатное устройство лафета пуш</w:t>
      </w:r>
      <w:r w:rsidRPr="001E2C69">
        <w:rPr>
          <w:color w:val="000000" w:themeColor="text1"/>
          <w:sz w:val="16"/>
          <w:szCs w:val="16"/>
        </w:rPr>
        <w:softHyphen/>
        <w:t>ки. На заднем и переднем креплениях пушка закре</w:t>
      </w:r>
      <w:r w:rsidRPr="001E2C69">
        <w:rPr>
          <w:color w:val="000000" w:themeColor="text1"/>
          <w:sz w:val="16"/>
          <w:szCs w:val="16"/>
        </w:rPr>
        <w:softHyphen/>
        <w:t>пляется на цапфах с помощью специальных раз</w:t>
      </w:r>
      <w:r w:rsidRPr="001E2C69">
        <w:rPr>
          <w:color w:val="000000" w:themeColor="text1"/>
          <w:sz w:val="16"/>
          <w:szCs w:val="16"/>
        </w:rPr>
        <w:softHyphen/>
        <w:t>резных гаек. Для устойчивого положения магазин поддерживается в двух точках складывающимися качалками. Эти качалки имеют общую ось враще</w:t>
      </w:r>
      <w:r w:rsidRPr="001E2C69">
        <w:rPr>
          <w:color w:val="000000" w:themeColor="text1"/>
          <w:sz w:val="16"/>
          <w:szCs w:val="16"/>
        </w:rPr>
        <w:softHyphen/>
        <w:t>ния на кронштейне, который устанавливается на стенке заднего лонжерона. Спуск пушек работает от электроспуска, перезарядка — от воздушной си</w:t>
      </w:r>
      <w:r w:rsidRPr="001E2C69">
        <w:rPr>
          <w:color w:val="000000" w:themeColor="text1"/>
          <w:sz w:val="16"/>
          <w:szCs w:val="16"/>
        </w:rPr>
        <w:softHyphen/>
        <w:t>стемы при давлении 50 атм.</w:t>
      </w:r>
    </w:p>
    <w:p w14:paraId="6BC99A90"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Начиная с 1 сентября самолеты проходили от</w:t>
      </w:r>
      <w:r w:rsidRPr="001E2C69">
        <w:rPr>
          <w:color w:val="000000" w:themeColor="text1"/>
          <w:sz w:val="16"/>
          <w:szCs w:val="16"/>
        </w:rPr>
        <w:softHyphen/>
        <w:t>работку на летно-испытательной станции завода № 18 и на полигоне 5-го запасного авиаполка 1-й запасной авиабригады в Кинель-Черкассах. В со</w:t>
      </w:r>
      <w:r w:rsidRPr="001E2C69">
        <w:rPr>
          <w:color w:val="000000" w:themeColor="text1"/>
          <w:sz w:val="16"/>
          <w:szCs w:val="16"/>
        </w:rPr>
        <w:softHyphen/>
        <w:t>став испытательной бригады входили: начальник группы вооружения СКО инженер Васильев, ве</w:t>
      </w:r>
      <w:r w:rsidRPr="001E2C69">
        <w:rPr>
          <w:color w:val="000000" w:themeColor="text1"/>
          <w:sz w:val="16"/>
          <w:szCs w:val="16"/>
        </w:rPr>
        <w:softHyphen/>
        <w:t>дущий инженер военного представительства по вооружению инженер-капитан Сиваков, ведущий инженер ОКБ-15 Объедков, начальник цеха при</w:t>
      </w:r>
      <w:r w:rsidRPr="001E2C69">
        <w:rPr>
          <w:color w:val="000000" w:themeColor="text1"/>
          <w:sz w:val="16"/>
          <w:szCs w:val="16"/>
        </w:rPr>
        <w:softHyphen/>
        <w:t>стрелки Гвоздев.</w:t>
      </w:r>
    </w:p>
    <w:p w14:paraId="303B823F"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Основные результаты сводились к следующе</w:t>
      </w:r>
      <w:r w:rsidRPr="001E2C69">
        <w:rPr>
          <w:color w:val="000000" w:themeColor="text1"/>
          <w:sz w:val="16"/>
          <w:szCs w:val="16"/>
        </w:rPr>
        <w:softHyphen/>
        <w:t>му. Механизм крепления пушки Ш-37 под крылом самолета допускал откат всей пушки вместе с па</w:t>
      </w:r>
      <w:r w:rsidRPr="001E2C69">
        <w:rPr>
          <w:color w:val="000000" w:themeColor="text1"/>
          <w:sz w:val="16"/>
          <w:szCs w:val="16"/>
        </w:rPr>
        <w:softHyphen/>
        <w:t>тронным ящиком до 120 мм, обеспечивая при этом нормальную работу автоматики пушек, удобную ре</w:t>
      </w:r>
      <w:r w:rsidRPr="001E2C69">
        <w:rPr>
          <w:color w:val="000000" w:themeColor="text1"/>
          <w:sz w:val="16"/>
          <w:szCs w:val="16"/>
        </w:rPr>
        <w:softHyphen/>
        <w:t>гулировку, постановку и снятие пушек.</w:t>
      </w:r>
    </w:p>
    <w:p w14:paraId="76006F25"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Изрядно повозились с обеспечением необхо</w:t>
      </w:r>
      <w:r w:rsidRPr="001E2C69">
        <w:rPr>
          <w:color w:val="000000" w:themeColor="text1"/>
          <w:sz w:val="16"/>
          <w:szCs w:val="16"/>
        </w:rPr>
        <w:softHyphen/>
        <w:t>димой прочности крепления магазина пушки. При стрельбах регулярно происходили отказы в стрель</w:t>
      </w:r>
      <w:r w:rsidRPr="001E2C69">
        <w:rPr>
          <w:color w:val="000000" w:themeColor="text1"/>
          <w:sz w:val="16"/>
          <w:szCs w:val="16"/>
        </w:rPr>
        <w:softHyphen/>
        <w:t>бе вследствие поломок кронштейна крепления магазина к лонжерону крыла. Положительных ре</w:t>
      </w:r>
      <w:r w:rsidRPr="001E2C69">
        <w:rPr>
          <w:color w:val="000000" w:themeColor="text1"/>
          <w:sz w:val="16"/>
          <w:szCs w:val="16"/>
        </w:rPr>
        <w:softHyphen/>
        <w:t>зультатов удалось достичь только после изменения конструкции кронштейна и применения листовой стали при его изготовлении.</w:t>
      </w:r>
    </w:p>
    <w:p w14:paraId="09B4CA7E"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Для исключения перекосов в установке мага</w:t>
      </w:r>
      <w:r w:rsidRPr="001E2C69">
        <w:rPr>
          <w:color w:val="000000" w:themeColor="text1"/>
          <w:sz w:val="16"/>
          <w:szCs w:val="16"/>
        </w:rPr>
        <w:softHyphen/>
        <w:t>зина и возможных деформаций кронштейна или самого лонжерона при плохом монтаже рекомен</w:t>
      </w:r>
      <w:r w:rsidRPr="001E2C69">
        <w:rPr>
          <w:color w:val="000000" w:themeColor="text1"/>
          <w:sz w:val="16"/>
          <w:szCs w:val="16"/>
        </w:rPr>
        <w:softHyphen/>
        <w:t>довалось «ОКБ-15 разработать крепление магазина на самой пушке, не связывая последнее с конструк</w:t>
      </w:r>
      <w:r w:rsidRPr="001E2C69">
        <w:rPr>
          <w:color w:val="000000" w:themeColor="text1"/>
          <w:sz w:val="16"/>
          <w:szCs w:val="16"/>
        </w:rPr>
        <w:softHyphen/>
        <w:t>цией крыла /.../ или улучшить старую конструкцию ящика путем замены существующего соединения рычагов качалок на тандерное соединение». По мнению специалистов испытательной бригады, «та</w:t>
      </w:r>
      <w:r w:rsidRPr="001E2C69">
        <w:rPr>
          <w:color w:val="000000" w:themeColor="text1"/>
          <w:sz w:val="16"/>
          <w:szCs w:val="16"/>
        </w:rPr>
        <w:softHyphen/>
        <w:t>кое изменение позволит производить регулировку наклона ящика питания относительно ствольной коробки без разборки качалок».</w:t>
      </w:r>
    </w:p>
    <w:p w14:paraId="77C8F48C"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то же время сами пушки «благодаря про</w:t>
      </w:r>
      <w:r w:rsidRPr="001E2C69">
        <w:rPr>
          <w:color w:val="000000" w:themeColor="text1"/>
          <w:sz w:val="16"/>
          <w:szCs w:val="16"/>
        </w:rPr>
        <w:softHyphen/>
        <w:t>стой и надежной кинематике» при всех стрельбах работали удовлетворительно. Отказы и задержки возникали главным образом «по причине произ</w:t>
      </w:r>
      <w:r w:rsidRPr="001E2C69">
        <w:rPr>
          <w:color w:val="000000" w:themeColor="text1"/>
          <w:sz w:val="16"/>
          <w:szCs w:val="16"/>
        </w:rPr>
        <w:softHyphen/>
        <w:t>водственных дефектов завода № 74 в изготовлении ящиков питания ЯП-40».</w:t>
      </w:r>
    </w:p>
    <w:p w14:paraId="735AA893"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Для подтверждения надежности в стрельбе пу</w:t>
      </w:r>
      <w:r w:rsidRPr="001E2C69">
        <w:rPr>
          <w:color w:val="000000" w:themeColor="text1"/>
          <w:sz w:val="16"/>
          <w:szCs w:val="16"/>
        </w:rPr>
        <w:softHyphen/>
        <w:t>шек Ш-37 был проведен «настрел пушки Г-103 до 531 выстрела» на самолете Ил-2 зав. № 1876123. Эта стрельба проходила без серьезных задержек. Автоматика пушки работала отлично.</w:t>
      </w:r>
    </w:p>
    <w:p w14:paraId="78020A35"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Однако имелись и недостатки. Так, вследствие неудачной формы приемного окна ствольной ко</w:t>
      </w:r>
      <w:r w:rsidRPr="001E2C69">
        <w:rPr>
          <w:color w:val="000000" w:themeColor="text1"/>
          <w:sz w:val="16"/>
          <w:szCs w:val="16"/>
        </w:rPr>
        <w:softHyphen/>
        <w:t>робки при задержке из-за обрыва гильзы «боевой патрон экстрагирует оборванное дульце гильзы и не может пройти с нею через приемное окно», тогда как «снять оборванную гильзу очень трудно и опасно». Предлагалось «расфрезеровать выход</w:t>
      </w:r>
      <w:r w:rsidRPr="001E2C69">
        <w:rPr>
          <w:color w:val="000000" w:themeColor="text1"/>
          <w:sz w:val="16"/>
          <w:szCs w:val="16"/>
        </w:rPr>
        <w:softHyphen/>
        <w:t>ную сторону приемного окна ствольной коробки по форме прямоугольника».</w:t>
      </w:r>
    </w:p>
    <w:p w14:paraId="014E885F"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Кроме того, требовалось решить вопрос «о легком извлечении последней стреляной гильзы из патронника, так как после выстрела последне</w:t>
      </w:r>
      <w:r w:rsidRPr="001E2C69">
        <w:rPr>
          <w:color w:val="000000" w:themeColor="text1"/>
          <w:sz w:val="16"/>
          <w:szCs w:val="16"/>
        </w:rPr>
        <w:softHyphen/>
        <w:t>го боевого патрона затвор досылает в патронник стреляную гильзу, шедшую за последним боевым патроном». При этом обеспечить экстракцию этой гильзы одной только перезарядкой не получалось. Необходимо было помогать выталкиванию гильзы банником через ствол пушки.</w:t>
      </w:r>
    </w:p>
    <w:p w14:paraId="3CD25464"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Перезарядка пушек Ш-37 осуществлялась при помощи установленных на пушке 2 цилиндров пе</w:t>
      </w:r>
      <w:r w:rsidRPr="001E2C69">
        <w:rPr>
          <w:color w:val="000000" w:themeColor="text1"/>
          <w:sz w:val="16"/>
          <w:szCs w:val="16"/>
        </w:rPr>
        <w:softHyphen/>
        <w:t>резарядки, которые уверенно работали при устра</w:t>
      </w:r>
      <w:r w:rsidRPr="001E2C69">
        <w:rPr>
          <w:color w:val="000000" w:themeColor="text1"/>
          <w:sz w:val="16"/>
          <w:szCs w:val="16"/>
        </w:rPr>
        <w:softHyphen/>
        <w:t>нении задержки в стрельбе («возвращение частей в крайнее заднее положение с патроном») в любых условиях при давлении воздуха в системе самолета от 30 до 50 атм.</w:t>
      </w:r>
    </w:p>
    <w:p w14:paraId="6BFC5CCA"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связи с увеличенным расходом воздуха на каж</w:t>
      </w:r>
      <w:r w:rsidRPr="001E2C69">
        <w:rPr>
          <w:color w:val="000000" w:themeColor="text1"/>
          <w:sz w:val="16"/>
          <w:szCs w:val="16"/>
        </w:rPr>
        <w:softHyphen/>
        <w:t>дом самолете Ил-2 с пушками Ш-37 дополнительно устанавливался резервный баллон на 8 л (давление 150 атм.), «кроме двух существующих баллонов по 12 л — один на 150 атм., а другой на 50 атм.».</w:t>
      </w:r>
    </w:p>
    <w:p w14:paraId="4B809C3B"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К серьезному недостатку системы перезарядки отнесли большое время поступления воздуха в ци</w:t>
      </w:r>
      <w:r w:rsidRPr="001E2C69">
        <w:rPr>
          <w:color w:val="000000" w:themeColor="text1"/>
          <w:sz w:val="16"/>
          <w:szCs w:val="16"/>
        </w:rPr>
        <w:softHyphen/>
        <w:t>линдры перезарядки, что обуславливалось «боль</w:t>
      </w:r>
      <w:r w:rsidRPr="001E2C69">
        <w:rPr>
          <w:color w:val="000000" w:themeColor="text1"/>
          <w:sz w:val="16"/>
          <w:szCs w:val="16"/>
        </w:rPr>
        <w:softHyphen/>
        <w:t>шим ходом поршней, равным 375 мм, и малым сечением гибкого шланга, равным всего 6 мм». На практике для полной перезарядки пушки в воздухе требовалось около 4—6 сек. Для устранения этого дефекта предлагалось увеличить сечение гибких шлангов до 8 мм.</w:t>
      </w:r>
    </w:p>
    <w:p w14:paraId="1FF65E2D"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Несмотря на то что электроспуски при напряже</w:t>
      </w:r>
      <w:r w:rsidRPr="001E2C69">
        <w:rPr>
          <w:color w:val="000000" w:themeColor="text1"/>
          <w:sz w:val="16"/>
          <w:szCs w:val="16"/>
        </w:rPr>
        <w:softHyphen/>
        <w:t>нии аккумулятора не менее 20 вольт надежно ра</w:t>
      </w:r>
      <w:r w:rsidRPr="001E2C69">
        <w:rPr>
          <w:color w:val="000000" w:themeColor="text1"/>
          <w:sz w:val="16"/>
          <w:szCs w:val="16"/>
        </w:rPr>
        <w:softHyphen/>
        <w:t>ботали на земле и в воздухе, было рекомендовано «ОКБ-15 и НКАП установить дублирующую пневмо- систему электроспуска конструкции завода № 18».</w:t>
      </w:r>
    </w:p>
    <w:p w14:paraId="4987968D"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Пристрелка пушек выполнялась с помощью ТХП на дистанции 50 м, исходя из действительной дис</w:t>
      </w:r>
      <w:r w:rsidRPr="001E2C69">
        <w:rPr>
          <w:color w:val="000000" w:themeColor="text1"/>
          <w:sz w:val="16"/>
          <w:szCs w:val="16"/>
        </w:rPr>
        <w:softHyphen/>
        <w:t>танции огня 400 м.</w:t>
      </w:r>
    </w:p>
    <w:p w14:paraId="71A76D85"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Самолеты облетывались и отстреливались в воздухе по полному боекомплекту. Несколько са</w:t>
      </w:r>
      <w:r w:rsidRPr="001E2C69">
        <w:rPr>
          <w:color w:val="000000" w:themeColor="text1"/>
          <w:sz w:val="16"/>
          <w:szCs w:val="16"/>
        </w:rPr>
        <w:softHyphen/>
        <w:t>молетов отстрелял опытный летчик-испытатель, заместитель начальника летно-испытательной станции завода № 18 майор Е. Н. Ломакин. Ника</w:t>
      </w:r>
      <w:r w:rsidRPr="001E2C69">
        <w:rPr>
          <w:color w:val="000000" w:themeColor="text1"/>
          <w:sz w:val="16"/>
          <w:szCs w:val="16"/>
        </w:rPr>
        <w:softHyphen/>
        <w:t>ких негативных особенностей в пилотировании и применении Ил-2 с Ш-37 он не отметил: «1. Ма</w:t>
      </w:r>
      <w:r w:rsidRPr="001E2C69">
        <w:rPr>
          <w:color w:val="000000" w:themeColor="text1"/>
          <w:sz w:val="16"/>
          <w:szCs w:val="16"/>
        </w:rPr>
        <w:softHyphen/>
        <w:t>шины с пушками ШФК-37 устойчивы в воздухе и ничем не отличаются от машин серийного типа. 2. Для израсходования полного боекомплекта пат</w:t>
      </w:r>
      <w:r w:rsidRPr="001E2C69">
        <w:rPr>
          <w:color w:val="000000" w:themeColor="text1"/>
          <w:sz w:val="16"/>
          <w:szCs w:val="16"/>
        </w:rPr>
        <w:softHyphen/>
        <w:t>ронов необходимо делать не менее 4—5 заходов по 8—10 патронов в очереди. 3. Кучность попа</w:t>
      </w:r>
      <w:r w:rsidRPr="001E2C69">
        <w:rPr>
          <w:color w:val="000000" w:themeColor="text1"/>
          <w:sz w:val="16"/>
          <w:szCs w:val="16"/>
        </w:rPr>
        <w:softHyphen/>
        <w:t>дания хорошая. С самолета хорошо видны сле</w:t>
      </w:r>
      <w:r w:rsidRPr="001E2C69">
        <w:rPr>
          <w:color w:val="000000" w:themeColor="text1"/>
          <w:sz w:val="16"/>
          <w:szCs w:val="16"/>
        </w:rPr>
        <w:softHyphen/>
        <w:t>ды попаданий, особенно попадания в землю.</w:t>
      </w:r>
    </w:p>
    <w:p w14:paraId="3F218067"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Это дает возможность ориентироваться в точности попаданий. 4. Стрельба прицельным огнем в ноч</w:t>
      </w:r>
      <w:r w:rsidRPr="001E2C69">
        <w:rPr>
          <w:color w:val="000000" w:themeColor="text1"/>
          <w:sz w:val="16"/>
          <w:szCs w:val="16"/>
        </w:rPr>
        <w:softHyphen/>
        <w:t>ное время невозможна, так как пламя пушек ос</w:t>
      </w:r>
      <w:r w:rsidRPr="001E2C69">
        <w:rPr>
          <w:color w:val="000000" w:themeColor="text1"/>
          <w:sz w:val="16"/>
          <w:szCs w:val="16"/>
        </w:rPr>
        <w:softHyphen/>
        <w:t>лепляет летчика, который теряет ориентировку. 5. Управление перезарядкой и стрельбой простое и удобное».</w:t>
      </w:r>
    </w:p>
    <w:p w14:paraId="0347B747"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начале октября все 10 самолетов Ил-2 с пуш</w:t>
      </w:r>
      <w:r w:rsidRPr="001E2C69">
        <w:rPr>
          <w:color w:val="000000" w:themeColor="text1"/>
          <w:sz w:val="16"/>
          <w:szCs w:val="16"/>
        </w:rPr>
        <w:softHyphen/>
        <w:t>ками Ш-37 официально были переданы 1-й запас</w:t>
      </w:r>
      <w:r w:rsidRPr="001E2C69">
        <w:rPr>
          <w:color w:val="000000" w:themeColor="text1"/>
          <w:sz w:val="16"/>
          <w:szCs w:val="16"/>
        </w:rPr>
        <w:softHyphen/>
        <w:t>ной авиабригаде и перегнаны на аэродром Кряж, где около месяца «они никакому полку переданы не были и за них никто не отвечал, за ними никто не следил». Затем этими самолетами решили во</w:t>
      </w:r>
      <w:r w:rsidRPr="001E2C69">
        <w:rPr>
          <w:color w:val="000000" w:themeColor="text1"/>
          <w:sz w:val="16"/>
          <w:szCs w:val="16"/>
        </w:rPr>
        <w:softHyphen/>
        <w:t>оружить 617-й шап, который проходил переучива</w:t>
      </w:r>
      <w:r w:rsidRPr="001E2C69">
        <w:rPr>
          <w:color w:val="000000" w:themeColor="text1"/>
          <w:sz w:val="16"/>
          <w:szCs w:val="16"/>
        </w:rPr>
        <w:softHyphen/>
        <w:t>ние и переформирование в составе 5-го зап в Ки- нель-Черкассах (аэродром Толкай). На аэродром Толкай и перегнали противотанковые Ил-2.</w:t>
      </w:r>
    </w:p>
    <w:p w14:paraId="714ED9AF"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Насколько удалось установить по документам, находясь на балансе 617-го шап, самолеты факти</w:t>
      </w:r>
      <w:r w:rsidRPr="001E2C69">
        <w:rPr>
          <w:color w:val="000000" w:themeColor="text1"/>
          <w:sz w:val="16"/>
          <w:szCs w:val="16"/>
        </w:rPr>
        <w:softHyphen/>
        <w:t>чески стояли бесхозными. В течение месяца ими никто не занимался и за оружием не следил.</w:t>
      </w:r>
    </w:p>
    <w:p w14:paraId="790205EF"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К моменту приезда в полк старшего техника военного представительства ГУЗ ВВС КА на за</w:t>
      </w:r>
      <w:r w:rsidRPr="001E2C69">
        <w:rPr>
          <w:color w:val="000000" w:themeColor="text1"/>
          <w:sz w:val="16"/>
          <w:szCs w:val="16"/>
        </w:rPr>
        <w:softHyphen/>
        <w:t>воде № 18 старшего техника-лейтенанта А. Г. Ти- шевского 8 ноября 1942 г. пушки Ш-37 на всех самолетах Ил-2 оказались в крайне запущенном состоянии: «. подвижные части и каналы ство</w:t>
      </w:r>
      <w:r w:rsidRPr="001E2C69">
        <w:rPr>
          <w:color w:val="000000" w:themeColor="text1"/>
          <w:sz w:val="16"/>
          <w:szCs w:val="16"/>
        </w:rPr>
        <w:softHyphen/>
        <w:t>лов и снаружи пушки были ржавые». Тишев- ский немедленно доложил о положении дел в полку старшему военному представителю ГУЗ ВВС на заводе № 18 инженер-подполковнику Кувеневу и предпринял активные шаги по приведению пу</w:t>
      </w:r>
      <w:r w:rsidRPr="001E2C69">
        <w:rPr>
          <w:color w:val="000000" w:themeColor="text1"/>
          <w:sz w:val="16"/>
          <w:szCs w:val="16"/>
        </w:rPr>
        <w:softHyphen/>
        <w:t>шек в надлежащий вид.</w:t>
      </w:r>
    </w:p>
    <w:p w14:paraId="5DAAA03A"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 докладу Тишевского, «инженер по вооруже</w:t>
      </w:r>
      <w:r w:rsidRPr="001E2C69">
        <w:rPr>
          <w:color w:val="000000" w:themeColor="text1"/>
          <w:sz w:val="16"/>
          <w:szCs w:val="16"/>
        </w:rPr>
        <w:softHyphen/>
        <w:t>нию 617-го шап военинженер 3-го ранга Черненков беззаботно и халатно отнесся к оружию». Послед</w:t>
      </w:r>
      <w:r w:rsidRPr="001E2C69">
        <w:rPr>
          <w:color w:val="000000" w:themeColor="text1"/>
          <w:sz w:val="16"/>
          <w:szCs w:val="16"/>
        </w:rPr>
        <w:softHyphen/>
        <w:t>ний ссылался на отсутствие технического состава, хотя в полку было 20 специалистов по вооружению. Однако «часть этих людей все время использова</w:t>
      </w:r>
      <w:r w:rsidRPr="001E2C69">
        <w:rPr>
          <w:color w:val="000000" w:themeColor="text1"/>
          <w:sz w:val="16"/>
          <w:szCs w:val="16"/>
        </w:rPr>
        <w:softHyphen/>
        <w:t>лась в нарядах и на разных работах, но если бы у инженера полка по вооружению было желание содержать оружие в надлежащем виде и в полной сохранности, то он всегда сумел бы найти для этого людей и время». Между тем со стороны заместите</w:t>
      </w:r>
      <w:r w:rsidRPr="001E2C69">
        <w:rPr>
          <w:color w:val="000000" w:themeColor="text1"/>
          <w:sz w:val="16"/>
          <w:szCs w:val="16"/>
        </w:rPr>
        <w:softHyphen/>
        <w:t>ля командира полка майора Шалыгина (командир полка майор Гапанюк до 17 ноября находился в от</w:t>
      </w:r>
      <w:r w:rsidRPr="001E2C69">
        <w:rPr>
          <w:color w:val="000000" w:themeColor="text1"/>
          <w:sz w:val="16"/>
          <w:szCs w:val="16"/>
        </w:rPr>
        <w:softHyphen/>
        <w:t>пуске) полностью отсутствовал контроль состояния материальной части вооружения самолетов и ра</w:t>
      </w:r>
      <w:r w:rsidRPr="001E2C69">
        <w:rPr>
          <w:color w:val="000000" w:themeColor="text1"/>
          <w:sz w:val="16"/>
          <w:szCs w:val="16"/>
        </w:rPr>
        <w:softHyphen/>
        <w:t>боты инженера полка по вооружению. Не проявило должного внимания к противотанковым самолетам Ил-2 и командование 5-го запасного полка (коман</w:t>
      </w:r>
      <w:r w:rsidRPr="001E2C69">
        <w:rPr>
          <w:color w:val="000000" w:themeColor="text1"/>
          <w:sz w:val="16"/>
          <w:szCs w:val="16"/>
        </w:rPr>
        <w:softHyphen/>
        <w:t>дир полка — майор Беляков, инженер по вооруже</w:t>
      </w:r>
      <w:r w:rsidRPr="001E2C69">
        <w:rPr>
          <w:color w:val="000000" w:themeColor="text1"/>
          <w:sz w:val="16"/>
          <w:szCs w:val="16"/>
        </w:rPr>
        <w:softHyphen/>
        <w:t>нию — воентехник 1-го ранга Галкин), в подчине</w:t>
      </w:r>
      <w:r w:rsidRPr="001E2C69">
        <w:rPr>
          <w:color w:val="000000" w:themeColor="text1"/>
          <w:sz w:val="16"/>
          <w:szCs w:val="16"/>
        </w:rPr>
        <w:softHyphen/>
        <w:t>нии которого находился 617-й шап в период пере</w:t>
      </w:r>
      <w:r w:rsidRPr="001E2C69">
        <w:rPr>
          <w:color w:val="000000" w:themeColor="text1"/>
          <w:sz w:val="16"/>
          <w:szCs w:val="16"/>
        </w:rPr>
        <w:softHyphen/>
        <w:t>учивания.</w:t>
      </w:r>
    </w:p>
    <w:p w14:paraId="75D1BB64"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После «разбора полетов» на уровне командо</w:t>
      </w:r>
      <w:r w:rsidRPr="001E2C69">
        <w:rPr>
          <w:color w:val="000000" w:themeColor="text1"/>
          <w:sz w:val="16"/>
          <w:szCs w:val="16"/>
        </w:rPr>
        <w:softHyphen/>
        <w:t>вания полков, запасной бригады, руководства во</w:t>
      </w:r>
      <w:r w:rsidRPr="001E2C69">
        <w:rPr>
          <w:color w:val="000000" w:themeColor="text1"/>
          <w:sz w:val="16"/>
          <w:szCs w:val="16"/>
        </w:rPr>
        <w:softHyphen/>
        <w:t>енного представительства на заводе № 18 и УЗСиМ ГУЗ ВВС за пушки, наконец, основательно взялись и к 21 ноября привели в надлежащий вид. Однако «от сильного ржавения на многих деталях пушек остались неустранимые следы ржавчины и рако</w:t>
      </w:r>
      <w:r w:rsidRPr="001E2C69">
        <w:rPr>
          <w:color w:val="000000" w:themeColor="text1"/>
          <w:sz w:val="16"/>
          <w:szCs w:val="16"/>
        </w:rPr>
        <w:softHyphen/>
        <w:t>вины».</w:t>
      </w:r>
    </w:p>
    <w:p w14:paraId="0A0EE1DE"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О фактическом состоянии пушек Ш-37 и самоле</w:t>
      </w:r>
      <w:r w:rsidRPr="001E2C69">
        <w:rPr>
          <w:color w:val="000000" w:themeColor="text1"/>
          <w:sz w:val="16"/>
          <w:szCs w:val="16"/>
        </w:rPr>
        <w:softHyphen/>
        <w:t>тов Ил-2 противотанковой серии Тишевский 23 но</w:t>
      </w:r>
      <w:r w:rsidRPr="001E2C69">
        <w:rPr>
          <w:color w:val="000000" w:themeColor="text1"/>
          <w:sz w:val="16"/>
          <w:szCs w:val="16"/>
        </w:rPr>
        <w:softHyphen/>
        <w:t>ября письменно доложил инженер-подполковнику Кувеневу, а тот в УЗСиМ ГУЗ ВВС.</w:t>
      </w:r>
    </w:p>
    <w:p w14:paraId="77FBC2E8"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Здесь необходимо сказать, что старший тех</w:t>
      </w:r>
      <w:r w:rsidRPr="001E2C69">
        <w:rPr>
          <w:color w:val="000000" w:themeColor="text1"/>
          <w:sz w:val="16"/>
          <w:szCs w:val="16"/>
        </w:rPr>
        <w:softHyphen/>
        <w:t>ник-лейтенант Тишевский был направлен в 617-й шап распоряжением начальника УЗСиМ ГУЗ ВВС инженер-полковника Алексеева для наблюдения и контроля за работой пушек Ш-37 и оказания по</w:t>
      </w:r>
      <w:r w:rsidRPr="001E2C69">
        <w:rPr>
          <w:color w:val="000000" w:themeColor="text1"/>
          <w:sz w:val="16"/>
          <w:szCs w:val="16"/>
        </w:rPr>
        <w:softHyphen/>
        <w:t>мощи летно-техническому составу полка в осво</w:t>
      </w:r>
      <w:r w:rsidRPr="001E2C69">
        <w:rPr>
          <w:color w:val="000000" w:themeColor="text1"/>
          <w:sz w:val="16"/>
          <w:szCs w:val="16"/>
        </w:rPr>
        <w:softHyphen/>
        <w:t>ении и эксплуатации пушек. Позже, когда в полк приехала комиссия НИИ ВВС для проведения вой</w:t>
      </w:r>
      <w:r w:rsidRPr="001E2C69">
        <w:rPr>
          <w:color w:val="000000" w:themeColor="text1"/>
          <w:sz w:val="16"/>
          <w:szCs w:val="16"/>
        </w:rPr>
        <w:softHyphen/>
        <w:t>сковых испытаний самолетов Ил-2 с пушками Ш-37, Тишевский принял деятельное участие и в их про</w:t>
      </w:r>
      <w:r w:rsidRPr="001E2C69">
        <w:rPr>
          <w:color w:val="000000" w:themeColor="text1"/>
          <w:sz w:val="16"/>
          <w:szCs w:val="16"/>
        </w:rPr>
        <w:softHyphen/>
        <w:t>ведении. По завершении испытаний Тишевский составил обстоятельный доклад по результатам боевого применения Ил-2 с Ш-37 и эксплуатации пушек в условиях фронта.</w:t>
      </w:r>
    </w:p>
    <w:p w14:paraId="10714681"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Поскольку ни инженер 617-го шап, ни специ</w:t>
      </w:r>
      <w:r w:rsidRPr="001E2C69">
        <w:rPr>
          <w:color w:val="000000" w:themeColor="text1"/>
          <w:sz w:val="16"/>
          <w:szCs w:val="16"/>
        </w:rPr>
        <w:softHyphen/>
        <w:t>алисты полка по вооружению пушку Ш-37 не зна</w:t>
      </w:r>
      <w:r w:rsidRPr="001E2C69">
        <w:rPr>
          <w:color w:val="000000" w:themeColor="text1"/>
          <w:sz w:val="16"/>
          <w:szCs w:val="16"/>
        </w:rPr>
        <w:softHyphen/>
        <w:t>ли, то Тишевский «занялся обучением техниче</w:t>
      </w:r>
      <w:r w:rsidRPr="001E2C69">
        <w:rPr>
          <w:color w:val="000000" w:themeColor="text1"/>
          <w:sz w:val="16"/>
          <w:szCs w:val="16"/>
        </w:rPr>
        <w:softHyphen/>
        <w:t>ского и летного состава полка мат. части ШФК-37 и работе с ней». При этом все обучение проходило попутно с приведением оружия в порядок. Надле</w:t>
      </w:r>
      <w:r w:rsidRPr="001E2C69">
        <w:rPr>
          <w:color w:val="000000" w:themeColor="text1"/>
          <w:sz w:val="16"/>
          <w:szCs w:val="16"/>
        </w:rPr>
        <w:softHyphen/>
        <w:t>жащего же «изучения пушек всем составом воору- женцев полка и летным составом организовано не было». В итоге «с пушкой были ознакомлены толь</w:t>
      </w:r>
      <w:r w:rsidRPr="001E2C69">
        <w:rPr>
          <w:color w:val="000000" w:themeColor="text1"/>
          <w:sz w:val="16"/>
          <w:szCs w:val="16"/>
        </w:rPr>
        <w:softHyphen/>
        <w:t>ко отдельные люди». Прибывшая «от конструкто</w:t>
      </w:r>
      <w:r w:rsidRPr="001E2C69">
        <w:rPr>
          <w:color w:val="000000" w:themeColor="text1"/>
          <w:sz w:val="16"/>
          <w:szCs w:val="16"/>
        </w:rPr>
        <w:softHyphen/>
        <w:t>ра пушки ШФК-37 Героя Социалистического Труда тов. Шпитального» бригада специалистов в составе 4 человек (инженер Объедков, механики Констан</w:t>
      </w:r>
      <w:r w:rsidRPr="001E2C69">
        <w:rPr>
          <w:color w:val="000000" w:themeColor="text1"/>
          <w:sz w:val="16"/>
          <w:szCs w:val="16"/>
        </w:rPr>
        <w:softHyphen/>
        <w:t>тинов, Брагин и Тужилкин) несколько разрядила обстановку, много сделав «по отладке и подгонке пушек, замене поломанных деталей и подгонке их». Но даже с их помощью весь состав полка охватить учебой не удалось.</w:t>
      </w:r>
    </w:p>
    <w:p w14:paraId="64AA7F07"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Однако это оказалось не самым главным. К это</w:t>
      </w:r>
      <w:r w:rsidRPr="001E2C69">
        <w:rPr>
          <w:color w:val="000000" w:themeColor="text1"/>
          <w:sz w:val="16"/>
          <w:szCs w:val="16"/>
        </w:rPr>
        <w:softHyphen/>
        <w:t>му времени выяснилось, что «в 617-м шап летный состав с «илами» мало знаком, летчики все моло</w:t>
      </w:r>
      <w:r w:rsidRPr="001E2C69">
        <w:rPr>
          <w:color w:val="000000" w:themeColor="text1"/>
          <w:sz w:val="16"/>
          <w:szCs w:val="16"/>
        </w:rPr>
        <w:softHyphen/>
        <w:t>дые, только выпущенные из школ, /.../ переучива</w:t>
      </w:r>
      <w:r w:rsidRPr="001E2C69">
        <w:rPr>
          <w:color w:val="000000" w:themeColor="text1"/>
          <w:sz w:val="16"/>
          <w:szCs w:val="16"/>
        </w:rPr>
        <w:softHyphen/>
        <w:t>ние только началось, еще не был проработан пер</w:t>
      </w:r>
      <w:r w:rsidRPr="001E2C69">
        <w:rPr>
          <w:color w:val="000000" w:themeColor="text1"/>
          <w:sz w:val="16"/>
          <w:szCs w:val="16"/>
        </w:rPr>
        <w:softHyphen/>
        <w:t>вый раздел программы переучивания». Готовность полка к боевым действиям ожидалась не ранее февраля следующего года. Требование командира полка майора И. Г. Гапанюка выделить на пополне</w:t>
      </w:r>
      <w:r w:rsidRPr="001E2C69">
        <w:rPr>
          <w:color w:val="000000" w:themeColor="text1"/>
          <w:sz w:val="16"/>
          <w:szCs w:val="16"/>
        </w:rPr>
        <w:softHyphen/>
        <w:t>ние полка 10 опытных летчиков командир 1-го заб полковник А. И. Подольский оставил без вни</w:t>
      </w:r>
      <w:r w:rsidRPr="001E2C69">
        <w:rPr>
          <w:color w:val="000000" w:themeColor="text1"/>
          <w:sz w:val="16"/>
          <w:szCs w:val="16"/>
        </w:rPr>
        <w:softHyphen/>
        <w:t>мания.</w:t>
      </w:r>
    </w:p>
    <w:p w14:paraId="7BD82A46"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сложившейся ситуации старший техник-лей</w:t>
      </w:r>
      <w:r w:rsidRPr="001E2C69">
        <w:rPr>
          <w:color w:val="000000" w:themeColor="text1"/>
          <w:sz w:val="16"/>
          <w:szCs w:val="16"/>
        </w:rPr>
        <w:softHyphen/>
        <w:t>тенант Тишевский «поставил вопрос о передаче этих самолетов в действующий полк, чтобы они немедленно принимали участие в боевой работе». С этой целью 25 ноября Тишевский направил шиф</w:t>
      </w:r>
      <w:r w:rsidRPr="001E2C69">
        <w:rPr>
          <w:color w:val="000000" w:themeColor="text1"/>
          <w:sz w:val="16"/>
          <w:szCs w:val="16"/>
        </w:rPr>
        <w:softHyphen/>
        <w:t>рованную телеграмму лично начальнику УЗСиМ ГУЗ ВВС инженер-полковнику Алексееву, в которой из</w:t>
      </w:r>
      <w:r w:rsidRPr="001E2C69">
        <w:rPr>
          <w:color w:val="000000" w:themeColor="text1"/>
          <w:sz w:val="16"/>
          <w:szCs w:val="16"/>
        </w:rPr>
        <w:softHyphen/>
        <w:t>ложил свое мнение и дал оценку состояния пушек и самолетов Ил-2.</w:t>
      </w:r>
    </w:p>
    <w:p w14:paraId="2EDAAD80"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Через 5 дней полковник Подольский получил распоряжение не позже 3 декабря перегнать все противотанковые самолеты Ил-2 на Калининский фронт на аэродром Мигалово.</w:t>
      </w:r>
    </w:p>
    <w:p w14:paraId="163EDAE6" w14:textId="77777777" w:rsidR="00285238" w:rsidRPr="001E2C69" w:rsidRDefault="00285238"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lastRenderedPageBreak/>
        <w:t>Как следует из документов, ко дню вылета на фронт все пушки Ш-37 были еще раз вычищены и на 4 самолетах пушки были заряжены («на осталь</w:t>
      </w:r>
      <w:r w:rsidRPr="001E2C69">
        <w:rPr>
          <w:color w:val="000000" w:themeColor="text1"/>
          <w:sz w:val="16"/>
          <w:szCs w:val="16"/>
        </w:rPr>
        <w:softHyphen/>
        <w:t>ные не было патронов») (17500).</w:t>
      </w:r>
    </w:p>
    <w:p w14:paraId="04606367" w14:textId="77777777" w:rsidR="00285238" w:rsidRPr="001E2C69" w:rsidRDefault="00285238" w:rsidP="00722885">
      <w:pPr>
        <w:spacing w:after="0" w:line="240" w:lineRule="auto"/>
        <w:jc w:val="both"/>
        <w:rPr>
          <w:rFonts w:ascii="Times New Roman" w:eastAsia="Times New Roman" w:hAnsi="Times New Roman"/>
          <w:color w:val="000000" w:themeColor="text1"/>
          <w:sz w:val="16"/>
          <w:szCs w:val="16"/>
          <w:lang w:eastAsia="ru-RU"/>
        </w:rPr>
      </w:pPr>
    </w:p>
    <w:p w14:paraId="00D22297" w14:textId="77777777" w:rsidR="004C71FA" w:rsidRPr="001E2C69" w:rsidRDefault="004C71F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июле-августе 1942 г. пушка 11П с патроном без буртика успешно прошла повторные испытания на ЛаГГ-3 зав. № 312197. Б.Г. Шпитальный, который попытался убедить И.В Сталина в преимуществах своей пушки и ненужности орудия, созданного в ОКБ-16. Однако сравнение характеристик двух артсистем неопровержимо свидетельствовало: с точки зрения технологии производства 11П была заметно проще Ш-37 (197 деталей против примерно 290), имела несколько меньший вес (182 кг с узлами крепления против 208 кг у пушки Б.Г. Шпитального) при большей скорострельности (260 выстр./мин против 185) и примерно равных начальной скорости снарядов (790 м/с у осколочно-трассирующего и 900 м/с у бронебойного) и надежности. В обслуживании пушка 11П также продемонстрировала преимущества: ее сборка, регулировка и чистка требовали меньших затрат при невысокой квалификации обслуживающего персонала. Особенно заметно достоинства 11П проявлялись в случае запуска ее в массовую серию: трудоемкость ее изготовления составляла всего 40 % трудоемкости пушки Ш-37. В условиях тотальной войны это преимущество невозможно переоценить. За 1942 г. завод № 21 изготовил 15 ЛаГГ-3 с пушками 11П. В дальнейшем производство машин с 37-мм пушкой было освоено тбилисским заводом № 31, однако точное число выпущенных истребителей в этом варианте неизвестно (18999).</w:t>
      </w:r>
    </w:p>
    <w:p w14:paraId="1885A8DD" w14:textId="77777777" w:rsidR="004C71FA" w:rsidRPr="001E2C69" w:rsidRDefault="004C71FA" w:rsidP="00722885">
      <w:pPr>
        <w:spacing w:after="0" w:line="240" w:lineRule="auto"/>
        <w:jc w:val="both"/>
        <w:rPr>
          <w:rFonts w:ascii="Times New Roman" w:hAnsi="Times New Roman"/>
          <w:color w:val="000000" w:themeColor="text1"/>
          <w:sz w:val="16"/>
          <w:szCs w:val="16"/>
        </w:rPr>
      </w:pPr>
    </w:p>
    <w:p w14:paraId="5AABEDFE" w14:textId="77777777" w:rsidR="00627011" w:rsidRPr="001E2C69"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В июле-августе 1942 г. в ходе специальных испытаний бронекорпусов Ил-2 на обстрел из немецкой пуш</w:t>
      </w:r>
      <w:r w:rsidRPr="001E2C69">
        <w:rPr>
          <w:rFonts w:ascii="Times New Roman" w:cs="Times New Roman"/>
          <w:color w:val="000000" w:themeColor="text1"/>
          <w:spacing w:val="0"/>
          <w:sz w:val="16"/>
          <w:szCs w:val="16"/>
        </w:rPr>
        <w:softHyphen/>
        <w:t>ки МС151/15 калибра 15 мм, проведенных на заводе №125, были выявлены следующие особенности «работы» брони на самолете.</w:t>
      </w:r>
    </w:p>
    <w:p w14:paraId="10D60819" w14:textId="77777777" w:rsidR="00627011" w:rsidRPr="001E2C69"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При попадании в бронекорпус фугасных снарядов с дистанции свыше 100 м под углами к продольной оси самолета не более 30° зад</w:t>
      </w:r>
      <w:r w:rsidRPr="001E2C69">
        <w:rPr>
          <w:rFonts w:ascii="Times New Roman" w:cs="Times New Roman"/>
          <w:color w:val="000000" w:themeColor="text1"/>
          <w:spacing w:val="0"/>
          <w:sz w:val="16"/>
          <w:szCs w:val="16"/>
        </w:rPr>
        <w:softHyphen/>
        <w:t>няя и боковые бронеплиты не поражались. Бо</w:t>
      </w:r>
      <w:r w:rsidRPr="001E2C69">
        <w:rPr>
          <w:rFonts w:ascii="Times New Roman" w:cs="Times New Roman"/>
          <w:color w:val="000000" w:themeColor="text1"/>
          <w:spacing w:val="0"/>
          <w:sz w:val="16"/>
          <w:szCs w:val="16"/>
        </w:rPr>
        <w:softHyphen/>
        <w:t>ковые 6-мм бронеплиты из гомогенной брони марки АБ-1 не обеспечивали защиту при об</w:t>
      </w:r>
      <w:r w:rsidRPr="001E2C69">
        <w:rPr>
          <w:rFonts w:ascii="Times New Roman" w:cs="Times New Roman"/>
          <w:color w:val="000000" w:themeColor="text1"/>
          <w:spacing w:val="0"/>
          <w:sz w:val="16"/>
          <w:szCs w:val="16"/>
        </w:rPr>
        <w:softHyphen/>
        <w:t>стреле с дистанций до 400 м под углом более 20° к продольной оси самолета.</w:t>
      </w:r>
    </w:p>
    <w:p w14:paraId="7E016891" w14:textId="77777777" w:rsidR="00627011" w:rsidRPr="001E2C69"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Цементованная броня марки ХД задней стенки бронекорпуса толщиной 12 мм вне конструкции самолета надежно удержива</w:t>
      </w:r>
      <w:r w:rsidRPr="001E2C69">
        <w:rPr>
          <w:rFonts w:ascii="Times New Roman" w:cs="Times New Roman"/>
          <w:color w:val="000000" w:themeColor="text1"/>
          <w:spacing w:val="0"/>
          <w:sz w:val="16"/>
          <w:szCs w:val="16"/>
        </w:rPr>
        <w:softHyphen/>
        <w:t>ла бронебойный снаряд с дистанции 400 м в конусе до 40° от продольной оси самолета. Однако при обстреле этой же брони через обшивку самолета (в конструкции) с той же дистанции имелись поражения с проломами овальной формы.</w:t>
      </w:r>
    </w:p>
    <w:p w14:paraId="17157971" w14:textId="77777777" w:rsidR="00627011" w:rsidRPr="001E2C69"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В свою очередь, 12-мм гомогенная броня при обстреле ее внутри конструкции самолета показала ту же стойкость, что и цементованная броня такой же толщины. То есть, гомогенная броня в реальных условиях ее «работы» на Ил-2 в сочетании с элементами конструкции само</w:t>
      </w:r>
      <w:r w:rsidRPr="001E2C69">
        <w:rPr>
          <w:rFonts w:ascii="Times New Roman" w:cs="Times New Roman"/>
          <w:color w:val="000000" w:themeColor="text1"/>
          <w:spacing w:val="0"/>
          <w:sz w:val="16"/>
          <w:szCs w:val="16"/>
        </w:rPr>
        <w:softHyphen/>
        <w:t>лета была вполне равноценной цементованной по бронестойкости.</w:t>
      </w:r>
    </w:p>
    <w:p w14:paraId="2DE093C8" w14:textId="77777777" w:rsidR="00627011" w:rsidRPr="001E2C69"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Дело в том, что при прохождении снаряда через элементы конструкции самолета (обшив</w:t>
      </w:r>
      <w:r w:rsidRPr="001E2C69">
        <w:rPr>
          <w:rFonts w:ascii="Times New Roman" w:cs="Times New Roman"/>
          <w:color w:val="000000" w:themeColor="text1"/>
          <w:spacing w:val="0"/>
          <w:sz w:val="16"/>
          <w:szCs w:val="16"/>
        </w:rPr>
        <w:softHyphen/>
        <w:t>ка, бензо- и маслобаки, различного рода пере</w:t>
      </w:r>
      <w:r w:rsidRPr="001E2C69">
        <w:rPr>
          <w:rFonts w:ascii="Times New Roman" w:cs="Times New Roman"/>
          <w:color w:val="000000" w:themeColor="text1"/>
          <w:spacing w:val="0"/>
          <w:sz w:val="16"/>
          <w:szCs w:val="16"/>
        </w:rPr>
        <w:softHyphen/>
        <w:t>городки, трубопроводы, агрегаты и т.д.) его ось отклонялась от касательной к траектории. В результате снаряд встречал поверхность брони, установленной внутри фюзеляжа, под углом, значительно отличающимся по величи</w:t>
      </w:r>
      <w:r w:rsidRPr="001E2C69">
        <w:rPr>
          <w:rFonts w:ascii="Times New Roman" w:cs="Times New Roman"/>
          <w:color w:val="000000" w:themeColor="text1"/>
          <w:spacing w:val="0"/>
          <w:sz w:val="16"/>
          <w:szCs w:val="16"/>
        </w:rPr>
        <w:softHyphen/>
        <w:t>не от угла обстрела (плашмя или под большим углом). В этом случае сказывалось влияние хрупкого цементованного слоя, который иг</w:t>
      </w:r>
      <w:r w:rsidRPr="001E2C69">
        <w:rPr>
          <w:rFonts w:ascii="Times New Roman" w:cs="Times New Roman"/>
          <w:color w:val="000000" w:themeColor="text1"/>
          <w:spacing w:val="0"/>
          <w:sz w:val="16"/>
          <w:szCs w:val="16"/>
        </w:rPr>
        <w:softHyphen/>
        <w:t>рал отрицательную роль для такой геометрии встречи снаряда с броней.</w:t>
      </w:r>
    </w:p>
    <w:p w14:paraId="1B922E2F" w14:textId="77777777" w:rsidR="00627011" w:rsidRPr="001E2C69"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Из отчета НИИ ВВС КА</w:t>
      </w:r>
      <w:r w:rsidRPr="001E2C69">
        <w:rPr>
          <w:rStyle w:val="aff8"/>
          <w:rFonts w:ascii="Times New Roman" w:eastAsia="Arial Narrow" w:hAnsi="Times New Roman" w:cs="Times New Roman"/>
          <w:i w:val="0"/>
          <w:color w:val="000000" w:themeColor="text1"/>
          <w:spacing w:val="0"/>
        </w:rPr>
        <w:t xml:space="preserve"> «по обстрелу брони из немецкого пулемета-пушки МГ-151 кали</w:t>
      </w:r>
      <w:r w:rsidRPr="001E2C69">
        <w:rPr>
          <w:rStyle w:val="aff8"/>
          <w:rFonts w:ascii="Times New Roman" w:eastAsia="Arial Narrow" w:hAnsi="Times New Roman" w:cs="Times New Roman"/>
          <w:i w:val="0"/>
          <w:color w:val="000000" w:themeColor="text1"/>
          <w:spacing w:val="0"/>
        </w:rPr>
        <w:softHyphen/>
        <w:t>бра 15 и 20 мм»</w:t>
      </w:r>
      <w:r w:rsidRPr="001E2C69">
        <w:rPr>
          <w:rFonts w:ascii="Times New Roman" w:cs="Times New Roman"/>
          <w:color w:val="000000" w:themeColor="text1"/>
          <w:spacing w:val="0"/>
          <w:sz w:val="16"/>
          <w:szCs w:val="16"/>
        </w:rPr>
        <w:t xml:space="preserve"> следовало, что для надежной защиты от бронебойных 15-мм пуль</w:t>
      </w:r>
      <w:r w:rsidRPr="001E2C69">
        <w:rPr>
          <w:rStyle w:val="aff8"/>
          <w:rFonts w:ascii="Times New Roman" w:eastAsia="Arial Narrow" w:hAnsi="Times New Roman" w:cs="Times New Roman"/>
          <w:i w:val="0"/>
          <w:color w:val="000000" w:themeColor="text1"/>
          <w:spacing w:val="0"/>
        </w:rPr>
        <w:t xml:space="preserve"> «в случае самых жестких условий обстрела - по нормали (поперечная броня)»</w:t>
      </w:r>
      <w:r w:rsidRPr="001E2C69">
        <w:rPr>
          <w:rFonts w:ascii="Times New Roman" w:cs="Times New Roman"/>
          <w:color w:val="000000" w:themeColor="text1"/>
          <w:spacing w:val="0"/>
          <w:sz w:val="16"/>
          <w:szCs w:val="16"/>
        </w:rPr>
        <w:t xml:space="preserve"> необходима: при стрель</w:t>
      </w:r>
      <w:r w:rsidRPr="001E2C69">
        <w:rPr>
          <w:rFonts w:ascii="Times New Roman" w:cs="Times New Roman"/>
          <w:color w:val="000000" w:themeColor="text1"/>
          <w:spacing w:val="0"/>
          <w:sz w:val="16"/>
          <w:szCs w:val="16"/>
        </w:rPr>
        <w:softHyphen/>
        <w:t>бе с дистанции 50-100 м - гомогенная броня толщиной 25 мм, а с 200-250 м и 350-400 м - цементованная броня толщиной 20 и 16 мм со</w:t>
      </w:r>
      <w:r w:rsidRPr="001E2C69">
        <w:rPr>
          <w:rFonts w:ascii="Times New Roman" w:cs="Times New Roman"/>
          <w:color w:val="000000" w:themeColor="text1"/>
          <w:spacing w:val="0"/>
          <w:sz w:val="16"/>
          <w:szCs w:val="16"/>
        </w:rPr>
        <w:softHyphen/>
        <w:t>ответственно. Для деталей продольной брони самолетов при углах обстрела от 70° к нормали и выше (атака под углом до 20° к оси самоле</w:t>
      </w:r>
      <w:r w:rsidRPr="001E2C69">
        <w:rPr>
          <w:rFonts w:ascii="Times New Roman" w:cs="Times New Roman"/>
          <w:color w:val="000000" w:themeColor="text1"/>
          <w:spacing w:val="0"/>
          <w:sz w:val="16"/>
          <w:szCs w:val="16"/>
        </w:rPr>
        <w:softHyphen/>
        <w:t>та) с дистанции 100 м была достаточна гомо</w:t>
      </w:r>
      <w:r w:rsidRPr="001E2C69">
        <w:rPr>
          <w:rFonts w:ascii="Times New Roman" w:cs="Times New Roman"/>
          <w:color w:val="000000" w:themeColor="text1"/>
          <w:spacing w:val="0"/>
          <w:sz w:val="16"/>
          <w:szCs w:val="16"/>
        </w:rPr>
        <w:softHyphen/>
        <w:t>генная броня пониженной твердости толщиной 8-10 мм.</w:t>
      </w:r>
    </w:p>
    <w:p w14:paraId="52028256" w14:textId="77777777" w:rsidR="00627011" w:rsidRPr="001E2C69"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Style w:val="4f1"/>
          <w:rFonts w:ascii="Times New Roman" w:hAnsi="Times New Roman" w:cs="Times New Roman"/>
          <w:i w:val="0"/>
          <w:color w:val="000000" w:themeColor="text1"/>
          <w:spacing w:val="0"/>
          <w:sz w:val="16"/>
          <w:szCs w:val="16"/>
        </w:rPr>
        <w:t>Делался вывод, что</w:t>
      </w:r>
      <w:r w:rsidRPr="001E2C69">
        <w:rPr>
          <w:rFonts w:ascii="Times New Roman" w:cs="Times New Roman"/>
          <w:color w:val="000000" w:themeColor="text1"/>
          <w:spacing w:val="0"/>
          <w:sz w:val="16"/>
          <w:szCs w:val="16"/>
        </w:rPr>
        <w:t xml:space="preserve"> «существующая на отечественных серийных самолетах броня не обеспечивает надежной защиты летного со</w:t>
      </w:r>
      <w:r w:rsidRPr="001E2C69">
        <w:rPr>
          <w:rFonts w:ascii="Times New Roman" w:cs="Times New Roman"/>
          <w:color w:val="000000" w:themeColor="text1"/>
          <w:spacing w:val="0"/>
          <w:sz w:val="16"/>
          <w:szCs w:val="16"/>
        </w:rPr>
        <w:softHyphen/>
        <w:t>става от поражений существующим у против</w:t>
      </w:r>
      <w:r w:rsidRPr="001E2C69">
        <w:rPr>
          <w:rFonts w:ascii="Times New Roman" w:cs="Times New Roman"/>
          <w:color w:val="000000" w:themeColor="text1"/>
          <w:spacing w:val="0"/>
          <w:sz w:val="16"/>
          <w:szCs w:val="16"/>
        </w:rPr>
        <w:softHyphen/>
        <w:t>ника оружием калибра 15-20 мм». (15776).</w:t>
      </w:r>
    </w:p>
    <w:p w14:paraId="454EFF19" w14:textId="77777777" w:rsidR="00627011" w:rsidRPr="001E2C69" w:rsidRDefault="00627011" w:rsidP="00722885">
      <w:pPr>
        <w:spacing w:after="0" w:line="240" w:lineRule="auto"/>
        <w:jc w:val="both"/>
        <w:rPr>
          <w:rFonts w:ascii="Times New Roman" w:hAnsi="Times New Roman"/>
          <w:color w:val="000000" w:themeColor="text1"/>
          <w:sz w:val="16"/>
          <w:szCs w:val="16"/>
        </w:rPr>
      </w:pPr>
    </w:p>
    <w:p w14:paraId="029D4478" w14:textId="77777777" w:rsidR="00627011" w:rsidRPr="001E2C69"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Style w:val="aff8"/>
          <w:rFonts w:ascii="Times New Roman" w:eastAsia="Arial Narrow" w:hAnsi="Times New Roman" w:cs="Times New Roman"/>
          <w:i w:val="0"/>
          <w:color w:val="000000" w:themeColor="text1"/>
          <w:spacing w:val="0"/>
        </w:rPr>
        <w:t>В</w:t>
      </w:r>
      <w:r w:rsidRPr="001E2C69">
        <w:rPr>
          <w:rFonts w:ascii="Times New Roman" w:cs="Times New Roman"/>
          <w:color w:val="000000" w:themeColor="text1"/>
          <w:spacing w:val="0"/>
          <w:sz w:val="16"/>
          <w:szCs w:val="16"/>
        </w:rPr>
        <w:t xml:space="preserve"> июле-августе 1942 г. на заводе №125 был были проведены испытания 12-мм поперечной це</w:t>
      </w:r>
      <w:r w:rsidRPr="001E2C69">
        <w:rPr>
          <w:rFonts w:ascii="Times New Roman" w:cs="Times New Roman"/>
          <w:color w:val="000000" w:themeColor="text1"/>
          <w:spacing w:val="0"/>
          <w:sz w:val="16"/>
          <w:szCs w:val="16"/>
        </w:rPr>
        <w:softHyphen/>
        <w:t>ментованной брони марки ХД самолета Ил-2 обстрелом из немецких авиапушек. Стрельба велась бронебойными и осколочно- зажигательными боеприпасами калибра 15 и 20 мм к немецкой пушке М0151 под углами к оси самолета в пределах до 40'.</w:t>
      </w:r>
    </w:p>
    <w:p w14:paraId="66584FA9" w14:textId="77777777" w:rsidR="00627011" w:rsidRPr="001E2C69"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Оказалось, что поперечная броневая стенка толщиной 12 мм самолета Ил-2</w:t>
      </w:r>
      <w:r w:rsidRPr="001E2C69">
        <w:rPr>
          <w:rStyle w:val="aff8"/>
          <w:rFonts w:ascii="Times New Roman" w:eastAsia="Arial Narrow" w:hAnsi="Times New Roman" w:cs="Times New Roman"/>
          <w:i w:val="0"/>
          <w:color w:val="000000" w:themeColor="text1"/>
          <w:spacing w:val="0"/>
        </w:rPr>
        <w:t xml:space="preserve"> «пра</w:t>
      </w:r>
      <w:r w:rsidRPr="001E2C69">
        <w:rPr>
          <w:rStyle w:val="aff8"/>
          <w:rFonts w:ascii="Times New Roman" w:eastAsia="Arial Narrow" w:hAnsi="Times New Roman" w:cs="Times New Roman"/>
          <w:i w:val="0"/>
          <w:color w:val="000000" w:themeColor="text1"/>
          <w:spacing w:val="0"/>
        </w:rPr>
        <w:softHyphen/>
        <w:t>ктически является неуязвимой при стрельбе бронебойно-осколочными снарядами 20 мм с дистанций больших 150 м»,</w:t>
      </w:r>
      <w:r w:rsidRPr="001E2C69">
        <w:rPr>
          <w:rFonts w:ascii="Times New Roman" w:cs="Times New Roman"/>
          <w:color w:val="000000" w:themeColor="text1"/>
          <w:spacing w:val="0"/>
          <w:sz w:val="16"/>
          <w:szCs w:val="16"/>
        </w:rPr>
        <w:t xml:space="preserve"> так как снаряды, проходя через обшивку фюзеляжа (4-10 слоев березового шпона толщиной 0,5 мм), теряли устойчивость и попадали в броню при больших углах отклонения к нормали. Бронебойные сна</w:t>
      </w:r>
      <w:r w:rsidRPr="001E2C69">
        <w:rPr>
          <w:rFonts w:ascii="Times New Roman" w:cs="Times New Roman"/>
          <w:color w:val="000000" w:themeColor="text1"/>
          <w:spacing w:val="0"/>
          <w:sz w:val="16"/>
          <w:szCs w:val="16"/>
        </w:rPr>
        <w:softHyphen/>
        <w:t xml:space="preserve">ряды калибра 15 мм при тех же условиях могли </w:t>
      </w:r>
      <w:r w:rsidRPr="001E2C69">
        <w:rPr>
          <w:rStyle w:val="aff8"/>
          <w:rFonts w:ascii="Times New Roman" w:eastAsia="Arial Narrow" w:hAnsi="Times New Roman" w:cs="Times New Roman"/>
          <w:i w:val="0"/>
          <w:color w:val="000000" w:themeColor="text1"/>
          <w:spacing w:val="0"/>
        </w:rPr>
        <w:t>«поражать бронестенку толщиной 12 мм, да</w:t>
      </w:r>
      <w:r w:rsidRPr="001E2C69">
        <w:rPr>
          <w:rStyle w:val="aff8"/>
          <w:rFonts w:ascii="Times New Roman" w:eastAsia="Arial Narrow" w:hAnsi="Times New Roman" w:cs="Times New Roman"/>
          <w:i w:val="0"/>
          <w:color w:val="000000" w:themeColor="text1"/>
          <w:spacing w:val="0"/>
        </w:rPr>
        <w:softHyphen/>
        <w:t>вая до 50% опасных поражений».</w:t>
      </w:r>
      <w:r w:rsidRPr="001E2C69">
        <w:rPr>
          <w:rFonts w:ascii="Times New Roman" w:cs="Times New Roman"/>
          <w:color w:val="000000" w:themeColor="text1"/>
          <w:spacing w:val="0"/>
          <w:sz w:val="16"/>
          <w:szCs w:val="16"/>
        </w:rPr>
        <w:t xml:space="preserve"> Гомогенная броня толщиной 12 мм при обстреле ее внутри конструкции самолета (на Ил-2) показала ту же стойкость, что и цементованная броня такой же толщины.</w:t>
      </w:r>
    </w:p>
    <w:p w14:paraId="64F4FCB5" w14:textId="77777777" w:rsidR="00627011" w:rsidRPr="001E2C69"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Действительно, как показали более позд</w:t>
      </w:r>
      <w:r w:rsidRPr="001E2C69">
        <w:rPr>
          <w:rFonts w:ascii="Times New Roman" w:cs="Times New Roman"/>
          <w:color w:val="000000" w:themeColor="text1"/>
          <w:spacing w:val="0"/>
          <w:sz w:val="16"/>
          <w:szCs w:val="16"/>
        </w:rPr>
        <w:softHyphen/>
        <w:t>ние исследования, элементы конструкции самолета (обшивка, различного рода перего</w:t>
      </w:r>
      <w:r w:rsidRPr="001E2C69">
        <w:rPr>
          <w:rFonts w:ascii="Times New Roman" w:cs="Times New Roman"/>
          <w:color w:val="000000" w:themeColor="text1"/>
          <w:spacing w:val="0"/>
          <w:sz w:val="16"/>
          <w:szCs w:val="16"/>
        </w:rPr>
        <w:softHyphen/>
        <w:t>родки, трубопроводы, агрегаты, оборудование и т.д.), встречающиеся на пути боеприпаса, отклоняли ось снаряда от касательной к его траектории и, как следствие, в значительной степени изменяли геометрию соударения боеприпаса и брони. То есть, снаряд или пуля, проходя через обшивку самолета, испытывали сильный опрокидывающий момент и развора</w:t>
      </w:r>
      <w:r w:rsidRPr="001E2C69">
        <w:rPr>
          <w:rFonts w:ascii="Times New Roman" w:cs="Times New Roman"/>
          <w:color w:val="000000" w:themeColor="text1"/>
          <w:spacing w:val="0"/>
          <w:sz w:val="16"/>
          <w:szCs w:val="16"/>
        </w:rPr>
        <w:softHyphen/>
        <w:t>чивались. В результате боеприпас встречал поверхность брони, установленной внутри фю</w:t>
      </w:r>
      <w:r w:rsidRPr="001E2C69">
        <w:rPr>
          <w:rFonts w:ascii="Times New Roman" w:cs="Times New Roman"/>
          <w:color w:val="000000" w:themeColor="text1"/>
          <w:spacing w:val="0"/>
          <w:sz w:val="16"/>
          <w:szCs w:val="16"/>
        </w:rPr>
        <w:softHyphen/>
        <w:t>зеляжа, под углом, значительно отличающимся по величине от угла обстрела, или даже плаш</w:t>
      </w:r>
      <w:r w:rsidRPr="001E2C69">
        <w:rPr>
          <w:rFonts w:ascii="Times New Roman" w:cs="Times New Roman"/>
          <w:color w:val="000000" w:themeColor="text1"/>
          <w:spacing w:val="0"/>
          <w:sz w:val="16"/>
          <w:szCs w:val="16"/>
        </w:rPr>
        <w:softHyphen/>
        <w:t>мя. При этом терялиф основные бронебойные свойства боеприпаса, а это серьезно облег</w:t>
      </w:r>
      <w:r w:rsidRPr="001E2C69">
        <w:rPr>
          <w:rFonts w:ascii="Times New Roman" w:cs="Times New Roman"/>
          <w:color w:val="000000" w:themeColor="text1"/>
          <w:spacing w:val="0"/>
          <w:sz w:val="16"/>
          <w:szCs w:val="16"/>
        </w:rPr>
        <w:softHyphen/>
        <w:t>чало условия работы брони и обуславливало повышение ее стойкости. Кроме того, при про</w:t>
      </w:r>
      <w:r w:rsidRPr="001E2C69">
        <w:rPr>
          <w:rFonts w:ascii="Times New Roman" w:cs="Times New Roman"/>
          <w:color w:val="000000" w:themeColor="text1"/>
          <w:spacing w:val="0"/>
          <w:sz w:val="16"/>
          <w:szCs w:val="16"/>
        </w:rPr>
        <w:softHyphen/>
        <w:t>битии боеприпасом элементов конструкции самолета происходило его частичное разру</w:t>
      </w:r>
      <w:r w:rsidRPr="001E2C69">
        <w:rPr>
          <w:rFonts w:ascii="Times New Roman" w:cs="Times New Roman"/>
          <w:color w:val="000000" w:themeColor="text1"/>
          <w:spacing w:val="0"/>
          <w:sz w:val="16"/>
          <w:szCs w:val="16"/>
        </w:rPr>
        <w:softHyphen/>
        <w:t>шение (снятие оболочки), что также способст</w:t>
      </w:r>
      <w:r w:rsidRPr="001E2C69">
        <w:rPr>
          <w:rFonts w:ascii="Times New Roman" w:cs="Times New Roman"/>
          <w:color w:val="000000" w:themeColor="text1"/>
          <w:spacing w:val="0"/>
          <w:sz w:val="16"/>
          <w:szCs w:val="16"/>
        </w:rPr>
        <w:softHyphen/>
        <w:t>вовало повышению стойкости брони.</w:t>
      </w:r>
    </w:p>
    <w:p w14:paraId="258F9554" w14:textId="77777777" w:rsidR="00627011" w:rsidRPr="001E2C69"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Как следствие, броневой лист при обстре</w:t>
      </w:r>
      <w:r w:rsidRPr="001E2C69">
        <w:rPr>
          <w:rFonts w:ascii="Times New Roman" w:cs="Times New Roman"/>
          <w:color w:val="000000" w:themeColor="text1"/>
          <w:spacing w:val="0"/>
          <w:sz w:val="16"/>
          <w:szCs w:val="16"/>
        </w:rPr>
        <w:softHyphen/>
        <w:t>ле его через преграду мог быть пробит (при прочих равных условиях) с более близкой ди</w:t>
      </w:r>
      <w:r w:rsidRPr="001E2C69">
        <w:rPr>
          <w:rFonts w:ascii="Times New Roman" w:cs="Times New Roman"/>
          <w:color w:val="000000" w:themeColor="text1"/>
          <w:spacing w:val="0"/>
          <w:sz w:val="16"/>
          <w:szCs w:val="16"/>
        </w:rPr>
        <w:softHyphen/>
        <w:t>станции, чем при обстреле его без преграды. Очевидно, что любые дополнительные к об</w:t>
      </w:r>
      <w:r w:rsidRPr="001E2C69">
        <w:rPr>
          <w:rFonts w:ascii="Times New Roman" w:cs="Times New Roman"/>
          <w:color w:val="000000" w:themeColor="text1"/>
          <w:spacing w:val="0"/>
          <w:sz w:val="16"/>
          <w:szCs w:val="16"/>
        </w:rPr>
        <w:softHyphen/>
        <w:t>шивке фюзеляжа препятствия (например, дю</w:t>
      </w:r>
      <w:r w:rsidRPr="001E2C69">
        <w:rPr>
          <w:rFonts w:ascii="Times New Roman" w:cs="Times New Roman"/>
          <w:color w:val="000000" w:themeColor="text1"/>
          <w:spacing w:val="0"/>
          <w:sz w:val="16"/>
          <w:szCs w:val="16"/>
        </w:rPr>
        <w:softHyphen/>
        <w:t>ралевые перегородки, установленные внутри фюзеляжа перед бронедеталями) значительно усиливали эффект отклонения оси снаряда и повышали стойкость брони, а увеличение ка</w:t>
      </w:r>
      <w:r w:rsidRPr="001E2C69">
        <w:rPr>
          <w:rFonts w:ascii="Times New Roman" w:cs="Times New Roman"/>
          <w:color w:val="000000" w:themeColor="text1"/>
          <w:spacing w:val="0"/>
          <w:sz w:val="16"/>
          <w:szCs w:val="16"/>
        </w:rPr>
        <w:softHyphen/>
        <w:t>либра снаряда при одних и тех же условиях об</w:t>
      </w:r>
      <w:r w:rsidRPr="001E2C69">
        <w:rPr>
          <w:rFonts w:ascii="Times New Roman" w:cs="Times New Roman"/>
          <w:color w:val="000000" w:themeColor="text1"/>
          <w:spacing w:val="0"/>
          <w:sz w:val="16"/>
          <w:szCs w:val="16"/>
        </w:rPr>
        <w:softHyphen/>
        <w:t>стрела и препятствиях, наоборот, уменьшало эффект отклонения оси снаряда.</w:t>
      </w:r>
    </w:p>
    <w:p w14:paraId="10608EBC" w14:textId="77777777" w:rsidR="00627011" w:rsidRPr="001E2C69"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Естественно, процесс взаимодействия снаряда с броней нельзя рассматривать без учета физико-механических свойств самой брони. Если в обычных полигонных условиях встречи снаряда с броней (без препятствий) цементованная броня обладает преимуще</w:t>
      </w:r>
      <w:r w:rsidRPr="001E2C69">
        <w:rPr>
          <w:rFonts w:ascii="Times New Roman" w:cs="Times New Roman"/>
          <w:color w:val="000000" w:themeColor="text1"/>
          <w:spacing w:val="0"/>
          <w:sz w:val="16"/>
          <w:szCs w:val="16"/>
        </w:rPr>
        <w:softHyphen/>
        <w:t>ством по бронестойкости по сравнению с го</w:t>
      </w:r>
      <w:r w:rsidRPr="001E2C69">
        <w:rPr>
          <w:rFonts w:ascii="Times New Roman" w:cs="Times New Roman"/>
          <w:color w:val="000000" w:themeColor="text1"/>
          <w:spacing w:val="0"/>
          <w:sz w:val="16"/>
          <w:szCs w:val="16"/>
        </w:rPr>
        <w:softHyphen/>
        <w:t>могенной, то в реальных условиях работы на самолете преимущество цементованной бро</w:t>
      </w:r>
      <w:r w:rsidRPr="001E2C69">
        <w:rPr>
          <w:rFonts w:ascii="Times New Roman" w:cs="Times New Roman"/>
          <w:color w:val="000000" w:themeColor="text1"/>
          <w:spacing w:val="0"/>
          <w:sz w:val="16"/>
          <w:szCs w:val="16"/>
        </w:rPr>
        <w:softHyphen/>
        <w:t>ни теряется. Сказывается влияние хрупкого цементованного слоя, который для таких ус</w:t>
      </w:r>
      <w:r w:rsidRPr="001E2C69">
        <w:rPr>
          <w:rFonts w:ascii="Times New Roman" w:cs="Times New Roman"/>
          <w:color w:val="000000" w:themeColor="text1"/>
          <w:spacing w:val="0"/>
          <w:sz w:val="16"/>
          <w:szCs w:val="16"/>
        </w:rPr>
        <w:softHyphen/>
        <w:t>ловий встречи снаряда с броней (плашмя или под углом) может играть даже отрицательную роль. В свою очередь, гомогенная броня при обстреле ее в конструкции самолета облада</w:t>
      </w:r>
      <w:r w:rsidRPr="001E2C69">
        <w:rPr>
          <w:rFonts w:ascii="Times New Roman" w:cs="Times New Roman"/>
          <w:color w:val="000000" w:themeColor="text1"/>
          <w:spacing w:val="0"/>
          <w:sz w:val="16"/>
          <w:szCs w:val="16"/>
        </w:rPr>
        <w:softHyphen/>
        <w:t>ет значительно более высокой стойкостью по сравнению с обстрелом ее вне конструкции.</w:t>
      </w:r>
    </w:p>
    <w:p w14:paraId="63508641" w14:textId="77777777" w:rsidR="00627011" w:rsidRPr="001E2C69" w:rsidRDefault="00627011"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Делался вывод, что элементы конструкции самолета в сочетании с гомогенной броней достаточно эффективны. При этом гомогенная броня в реальных условиях ее работы на само</w:t>
      </w:r>
      <w:r w:rsidRPr="001E2C69">
        <w:rPr>
          <w:rFonts w:ascii="Times New Roman" w:cs="Times New Roman"/>
          <w:color w:val="000000" w:themeColor="text1"/>
          <w:spacing w:val="0"/>
          <w:sz w:val="16"/>
          <w:szCs w:val="16"/>
        </w:rPr>
        <w:softHyphen/>
        <w:t>лете оказывалась равноценной цементованной броне по бронестойкости (15778).</w:t>
      </w:r>
    </w:p>
    <w:p w14:paraId="233B6227" w14:textId="77777777" w:rsidR="00627011" w:rsidRPr="001E2C69" w:rsidRDefault="00627011" w:rsidP="00722885">
      <w:pPr>
        <w:spacing w:after="0" w:line="240" w:lineRule="auto"/>
        <w:jc w:val="both"/>
        <w:rPr>
          <w:rFonts w:ascii="Times New Roman" w:hAnsi="Times New Roman"/>
          <w:color w:val="000000" w:themeColor="text1"/>
          <w:sz w:val="16"/>
          <w:szCs w:val="16"/>
        </w:rPr>
      </w:pPr>
    </w:p>
    <w:p w14:paraId="3831334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июле-августе 1942 г. в ходе специальных испытаний бронекорпусов Ил-2 на обстрел из немецкой пушки MG151/15 калибра 15 мм, проведенных на заводе № 125, были выявлены следующие особенности «работы» брони на самолете.</w:t>
      </w:r>
    </w:p>
    <w:p w14:paraId="5289251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Так, при попадании в бронекорпус фугасных снарядов с дистанции свыше 100 м под углами к продольной оси самолета не более 30° задняя и боковые бронеплиты не поражались.</w:t>
      </w:r>
    </w:p>
    <w:p w14:paraId="7260348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Боковые 6-мм бронеплиты из гомогенной брони марки АБ-1 не обеспечивали защиту при обстреле с дистанций до 400 м под углом более 20° к продольной оси самолета.</w:t>
      </w:r>
    </w:p>
    <w:p w14:paraId="6FCBE4B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Цементованная броня марки ХД задней стенки бронекорпуса толщиной 12 мм вне конструкции самолета надежно удерживала бронебойный снаряд с дистанции 400 м в конусе до 40° от продольной оси самолета. Однако при обстреле этой же брони через обшивку самолета (в конструкции) с той же дистанции были получены поражения с проломами овальной формы.</w:t>
      </w:r>
    </w:p>
    <w:p w14:paraId="7C128AB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свою очередь, 12-мм гомогенная броня при обстреле ее внутри конструкции самолета показала ту же стойкость, что и цементованная броня такой же толщины.</w:t>
      </w:r>
    </w:p>
    <w:p w14:paraId="6E604B8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 есть гомогенная броня в реальных условиях ее «работы» на Ил-2 в сочетании с элементами конструкции самолета была вполне равноценной по бронестойкости цементованной.</w:t>
      </w:r>
    </w:p>
    <w:p w14:paraId="7F3F153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Дело в том, что при прохождении снаряда через элементы конструкции самолета (обшивка, бензо- и маслобаки, различного рода перегородки, трубопроводы, агрегаты и т.д.) его ось отклоняется от касательной к траектории. В результате снаряд встречает поверхность брони, установленной внутри фюзеляжа, под углом, значительно отличающимся по величине от угла обстрела (плашмя или под большим углом). В этом случае сказывается влияние хрупкого цементованного слоя, который для такой геометрии встречи снаряда с броней играет отрицательную роль.</w:t>
      </w:r>
    </w:p>
    <w:p w14:paraId="321D093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Именно по этой причине немцы ограничились установкой на самолете Bf109G-2 бронеспинки летчика толщиной всего 4 мм. Защитная система, состоящая из дюралевой поперечной перегородки, составленной из 27 дюралевых листов по 0,8 мм каждый, мягкого бензобака и собственно бронеспинки летчика, находясь внутри фюзеляжа, обеспечивала достаточное снижение эффективности бронебойных снарядов и крупнокалиберных пуль. Пули и снаряды, пробивавшие сначала дюралевую обшивку фюзеляжа, а затем дюралевую перегородку, проникали в мягкий бензобак и там задерживались.</w:t>
      </w:r>
    </w:p>
    <w:p w14:paraId="1EF6512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обстреле этой же системы вне конструкции самолета оказалось, что она обладает значительно меньшей стойкостью против пуль калибра 1 2,7 мм, и при этом получались сквозные пробоины в бронеспинке.</w:t>
      </w:r>
    </w:p>
    <w:p w14:paraId="6A9503E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Между тем до самого окончания своего производства задняя стенка бронекорпуса Ил-2 выполнялась из цементованной брони.</w:t>
      </w:r>
    </w:p>
    <w:p w14:paraId="71C3F64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Следует отметить, что качество брони не во всех случаях было одинаковым. На отдельных самолетах Ил-2 наблюдались случаи, когда осколочные и пулевые попадания приводили к повреждениям брони в виде трещин и даже отколов, что свидетельствует о недостаточной вязкости и прочности брони.</w:t>
      </w:r>
    </w:p>
    <w:p w14:paraId="05CD076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Начиная с 1943 г. количество сквозных пробитий и проломов бронекорпуса Ил-2 резко возросло в сравнении с предыдущими годами, что обуславливалось главным образом переходом немецкой истребительной авиации на крупные калибры пулеметов и пушечное вооружение, а также насыщением войсковых порядков зенитными автоматами калибра 20—37 мм.</w:t>
      </w:r>
    </w:p>
    <w:p w14:paraId="25A2821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Те места винтомоторной группы и других жизненно важных частей самолета Ил-2, которые были слабо защищены броней, оказались и наиболее уязвимыми в бою. К ним относятся: кабина воздушного стрелка (особенно с боков и снизу), блоки мотора у выхлопных патрубков, бронекарманы (воздушные дефлекторы) в передней и задней части мотора, расширительный бачок водосистемы, винт, маслорадиатор (через щели заслонок) и задний бензобак.</w:t>
      </w:r>
    </w:p>
    <w:p w14:paraId="66658D9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Лобовые бронестекла кабины летчика от попадания малокалиберного снаряда и осколков зенитных снарядов, разрушаясь, давали многочисленные осколки стекла, приводящие к ранениям летчика.</w:t>
      </w:r>
    </w:p>
    <w:p w14:paraId="60F6910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Ввиду того, что воздушный стрелок фактически по пояс был «голым», то их потери в бою с истребителями противника были высокими.</w:t>
      </w:r>
    </w:p>
    <w:p w14:paraId="6E26C74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воспоминаниям ветеранов, если была встреча с немецкими истребителями и велся воздушный бой, то обязательно одного-двух стрелков из состава группы привозили ранеными или убитыми (11921).</w:t>
      </w:r>
    </w:p>
    <w:p w14:paraId="60B8EEA6"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1A8452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июле-августе 1942 г. в ходе специальных испытаний бронекорпусов Ил-2 на обстрел из немецкой пушки MG151/15 калибра 15 мм, проведенных на заводе № 125, были выявлены следующие особенности "работы" брони на самолете.</w:t>
      </w:r>
    </w:p>
    <w:p w14:paraId="1F70A8E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Так, при попадании в бронекорпус фугасных снарядов с дистанции свыше 100 м под углами к продольной оси самолета не более 30° задняя и боковые бронеплиты не поражались. </w:t>
      </w:r>
    </w:p>
    <w:p w14:paraId="400C7C5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Боковые 6-мм бронеплиты из гомогенной брони марки АБ-1 не обеспечивали защиту при обстреле с дистанций до 400 м под углом более 20° к продольной оси самолета.</w:t>
      </w:r>
    </w:p>
    <w:p w14:paraId="3A09CD1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Цементованная броня марки ХД задней стенки бронекорпуса толщиной 12 мм вне конструкции самолета надежно удерживала бронебойный снаряд с дистанции 400 м в конусе до 40° от продольной оси самолета. Однако при обстреле этой же брони через обшивку самолета (в конструкции) с той же дистанции были получены поражения с проломами овальной формы.</w:t>
      </w:r>
    </w:p>
    <w:p w14:paraId="250E0F3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свою очередь, 12-мм гомогенная броня при обстреле ее внутри конструкции самолета показала ту же стойкость, что и цементованная броня такой же толщины.</w:t>
      </w:r>
    </w:p>
    <w:p w14:paraId="276AE11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 есть, гомогенная броня в реальных условиях ее "работы" на Ил-2 в сочетании с элементами конструкции самолета была вполне равноценной по бронестойкости цементованной.</w:t>
      </w:r>
    </w:p>
    <w:p w14:paraId="4A48F71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Дело в том, что при прохождении снаряда через элементы конструкции самолета (обшивка, бензо- и маслобаки, различного рода перегородки, трубопроводы, агрегаты и т.д.) его ось отклоняется от касательной к траектории. В результате снаряд встречает поверхность брони, установленной внутри фюзеляжа, под углом, значительно отличающимся по величине от угла обстрела (плашмя или под большим углом). В этом случае сказывается влияние хрупкого цементованного слоя, который для такой геометрии встречи снаряда с броней играет отрицательную роль.</w:t>
      </w:r>
    </w:p>
    <w:p w14:paraId="6C3CADE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Здесь стоит отметить, что именно по этой причине немцы ограничились установкой на самолете Bf 109G-2 бронеспинки летчика толщиной всего 4 мм. Защитная система, состоящая из дюралевой поперечной перегородки, составленной из 27 дюралевых листов по 0,8 мм каждый, мягкого бензобака и собственно бронеспинки летчика, находясь внутри фюзеляжа, обеспечивала достаточное снижение эффективности бронебойных снарядов и крупнокалиберных пуль. Пули и снаряды, пробивавшие сначала дюралевую обшивку фюзеляжа, а затем дюралевую перегородку, проникали в мягкий бензобак и там задерживались.</w:t>
      </w:r>
    </w:p>
    <w:p w14:paraId="6EE89B1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обстреле этой же системы вне конструкции самолета оказалось, что она обладает значительно меньшей стойкостью против пуль калибра 12,7 мм, и при этом получались сквозные пробоины в бронеспинке.</w:t>
      </w:r>
    </w:p>
    <w:p w14:paraId="6C9273E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Между тем до самого окончания своего производства задняя стенка бронекорпуса Ил-2 выполнялась из цементованной брони.</w:t>
      </w:r>
    </w:p>
    <w:p w14:paraId="497662A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Средний процент пробития брони от огня зенитной артиллерии, как показал опыт войны, оказался почти вдвое выше, чем от огня истребителей. Характер пробоин бронекорпусов списанных штурмовиков позволяет сделать вывод, что угловой конус поражения Ил-2 при обстреле зенитной артиллерией не превышал в горизонтальной плоскости 20-25° к нормали и в вертикальной плоскости - 10-15° к нормали. То есть, все попадания в бронекорпус Ил-2 от пушечно- пулеметного зенитного огня приходились исключительно на его боковую часть, тогда как поперечная броня, а также верхняя и нижняя части продольной брони попаданий от зенитного огня не имели.</w:t>
      </w:r>
    </w:p>
    <w:p w14:paraId="5DB4725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Следует отметить, что качество брони не во всех случаях было одинаково. На отдельных самолетах Ил-2 наблюдались случаи, когда осколочные и пулевые попадания приводили к повреждениям брони в виде трещин и даже пробоин, что свидетельствует о недостаточной вязкости и прочности брони.</w:t>
      </w:r>
    </w:p>
    <w:p w14:paraId="6E94731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Лобовые бронестекла кабины летчика от попадания малокалиберного снаряда и осколков зенитных снарядов, разрушаясь, давали осколки стекла, приводящие к ранениям летчика.</w:t>
      </w:r>
    </w:p>
    <w:p w14:paraId="5010054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Те места винтомоторной группы и других жизненно важных частей самолета Ил-2, которые слабо защищены броней, оказались и наиболее уязвимыми. К ним относятся: кабина воздушного стрелка, особенно с боков и снизу; блоки мотора у выхлопных патрубков, бронекарма- ны (воздушные дефлекторы) в передней и задней части мотора, расширительный бачок водосистемы, винт, маслора- диатор (через щели заслонок) и задний бензобак. </w:t>
      </w:r>
    </w:p>
    <w:p w14:paraId="11A68EF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Боевой опыт и полигонные испытания показали, что для поражения Ил-2 было достаточно в среднем 1-2 попаданий снарядов калибра 37 мм или 3-4 попаданий 20-мм снарядов.</w:t>
      </w:r>
    </w:p>
    <w:p w14:paraId="3DC7795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Попадание одного снаряда калибра 37 мм или 20 мм в любую часть мотора Ил-2 приводило к разрушению блока цилиндров, масло- и водопроводов, маслобака, маслофильтра и т.д.</w:t>
      </w:r>
    </w:p>
    <w:p w14:paraId="2886CFC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Одного попадания таких снарядов в бортовую броню кабины летчика, в передний и задний бензобаки было достаточно для вывода штурмовика из строя. При этом очень часто оказывались перебитыми тросы управления рулем поворота, приборное "хозяйство" приходило в негодность, а осколки от взрыва проникали в кабину стрелка, поражая последнего. При поражении бензобаков, как правило, они загорались и затем взрывались (12020).</w:t>
      </w:r>
    </w:p>
    <w:p w14:paraId="56DCEE16"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4A6AD1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июле-августе 1942 проходили повторные гос. испытания НС-37 на ЛаГГ (177,300).</w:t>
      </w:r>
    </w:p>
    <w:p w14:paraId="394A2E4E" w14:textId="77777777" w:rsidR="00AE7191" w:rsidRPr="001E2C69" w:rsidRDefault="00AE7191" w:rsidP="00722885">
      <w:pPr>
        <w:pStyle w:val="Iauiue"/>
        <w:jc w:val="both"/>
        <w:rPr>
          <w:color w:val="000000" w:themeColor="text1"/>
          <w:sz w:val="16"/>
          <w:szCs w:val="16"/>
        </w:rPr>
      </w:pPr>
    </w:p>
    <w:p w14:paraId="19600D10" w14:textId="77777777" w:rsidR="00FE59A3" w:rsidRPr="008A2E5A" w:rsidRDefault="00FE59A3" w:rsidP="00FE59A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июле-августе 1942, поступающие с фронтов предложения по улучшению боевых свойств истреби</w:t>
      </w:r>
      <w:r w:rsidRPr="008A2E5A">
        <w:rPr>
          <w:rFonts w:ascii="Times New Roman" w:hAnsi="Times New Roman"/>
          <w:color w:val="0070C0"/>
          <w:sz w:val="16"/>
          <w:szCs w:val="16"/>
        </w:rPr>
        <w:softHyphen/>
        <w:t>телей Як, были оперативно отработаны ОКБ А.С. Яковлева и начали внедряться в серийное про</w:t>
      </w:r>
      <w:r w:rsidRPr="008A2E5A">
        <w:rPr>
          <w:rFonts w:ascii="Times New Roman" w:hAnsi="Times New Roman"/>
          <w:color w:val="0070C0"/>
          <w:sz w:val="16"/>
          <w:szCs w:val="16"/>
        </w:rPr>
        <w:softHyphen/>
        <w:t>изводство уже с сентября 1942 г. Проблема снижения максимальных скоростей отчасти являлась обратной стороной медали отсутствия мощных моторов водяно</w:t>
      </w:r>
      <w:r w:rsidRPr="008A2E5A">
        <w:rPr>
          <w:rFonts w:ascii="Times New Roman" w:hAnsi="Times New Roman"/>
          <w:color w:val="0070C0"/>
          <w:sz w:val="16"/>
          <w:szCs w:val="16"/>
        </w:rPr>
        <w:softHyphen/>
        <w:t>го охлаждения и форсирования существующих, отчасти совершенства аэродинамики, с большим трудом дости</w:t>
      </w:r>
      <w:r w:rsidRPr="008A2E5A">
        <w:rPr>
          <w:rFonts w:ascii="Times New Roman" w:hAnsi="Times New Roman"/>
          <w:color w:val="0070C0"/>
          <w:sz w:val="16"/>
          <w:szCs w:val="16"/>
        </w:rPr>
        <w:softHyphen/>
        <w:t>гаемого в массовом производстве, и отчасти недоста</w:t>
      </w:r>
      <w:r w:rsidRPr="008A2E5A">
        <w:rPr>
          <w:rFonts w:ascii="Times New Roman" w:hAnsi="Times New Roman"/>
          <w:color w:val="0070C0"/>
          <w:sz w:val="16"/>
          <w:szCs w:val="16"/>
        </w:rPr>
        <w:softHyphen/>
        <w:t>точно грамотной эксплуатации ВМГ самолетов летным составом, что показали выезды летчиков-испытателей ЛИИ НКАП и НИИ ВВС КА в истребительные авиаполки (23381).</w:t>
      </w:r>
    </w:p>
    <w:p w14:paraId="14E1DB82" w14:textId="77777777" w:rsidR="00FE59A3" w:rsidRPr="008A2E5A" w:rsidRDefault="00FE59A3" w:rsidP="00FE59A3">
      <w:pPr>
        <w:spacing w:after="0" w:line="240" w:lineRule="auto"/>
        <w:jc w:val="both"/>
        <w:rPr>
          <w:rFonts w:ascii="Times New Roman" w:hAnsi="Times New Roman"/>
          <w:color w:val="0070C0"/>
          <w:sz w:val="16"/>
          <w:szCs w:val="16"/>
        </w:rPr>
      </w:pPr>
    </w:p>
    <w:p w14:paraId="6DDF4AF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июле-августе 1942 С.А.Л. проявил инициативу и на серийный ЛаГГ-3 установил ПВРД М.М.Бондарюка (2449,12).</w:t>
      </w:r>
    </w:p>
    <w:p w14:paraId="2A4BBD66" w14:textId="77777777" w:rsidR="00AE7191" w:rsidRPr="001E2C69" w:rsidRDefault="00AE7191" w:rsidP="00722885">
      <w:pPr>
        <w:pStyle w:val="Iauiue"/>
        <w:jc w:val="both"/>
        <w:rPr>
          <w:color w:val="000000" w:themeColor="text1"/>
          <w:sz w:val="16"/>
          <w:szCs w:val="16"/>
        </w:rPr>
      </w:pPr>
    </w:p>
    <w:p w14:paraId="36ADB99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июля по декабрь 1942 года на заводе №45 отремонтировали 106 АМ-35А, непосредственно на самолетах заменили 131 АМ-35А. Одновременно, еще в начале 1942 г. наметились первые перебои с поставкой этих двигателей. Затем, в связи с расширением производства АМ-38 для штурмовиков Ил-2 выпуск AM-35 полностью прекратили.</w:t>
      </w:r>
    </w:p>
    <w:p w14:paraId="41B6816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отсутствии перспектив получения АМ-35А и по причине малого доверия к дизельным двигателям наркомат авиапромышленности предложил использовать для оснащения Пе-8 звездообразные двигатели воздушного охлаждения М-82, развивающие максимальную мощность 1330 л.с.</w:t>
      </w:r>
    </w:p>
    <w:p w14:paraId="118FC75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Эта двухрядная, четырнадцатицилиндровая "звезда" воспринималась поначалу достаточно настороженно. Неудачи при попытках создания мощных двигателей воздушного охлаждения накануне войны еще не забылись. Несмотря на то, что М-82, разработанный в КБ А.И.Швецова, в 1940 г. успешно прошел первый этап государственных испытаний, положительных решений по нему поначалу не приняли. Более того, авиационный завод №19 в Перми, специализировавшийся на двигателях воздушного охлаждения, решили переориентировать для производства рядных двигателей жидкостного охлаждения М-105. Понадобились немалые усилия разработчиков и производителей, чтобы доказать, что М-82 вполне надежен, эффективен и необходим. Двигатель запустили в серию, однако даже в начале 1942 г. на него мало кто надеялся, и самолетостроители почти не разрабатывали под него новых проектов. Устанавливать М-82 начали на самолеты, которые по какой-либо причине оказались без необходимых моторов. Так произошло с модификацией ЛаГГ-3 - впоследствии Ла-5, с модификациями Су-2 и Ту-2. Аналогичным образом попал М-82 и на самолет Пе-8 (12025).</w:t>
      </w:r>
    </w:p>
    <w:p w14:paraId="53DFAD99"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713A19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В июле-августе 1942 г. на заводе № 22 изготовили два новых учебных самолета Пе-2. Один из них, с заводским № 1/102, передали на испытания в НИИ ВВС. Основным отличием нового учебного планера от серийного боевого стала установка кабины второго пилота на месте бензобака № 1. Старые рабочие места летчика и штурмана остались почти без изменений, однако стрелковая установка ФТ демонтировалась, а поверх фюзеляжа за фонарем основной кабины крепился фанерный гаргрот. Над центропланом размещалась кабина инструктора, прикрытая прозрачным фонарем с подобным же фанерным обтекателем в задней части. Такая компоновка </w:t>
      </w:r>
      <w:r w:rsidRPr="001E2C69">
        <w:rPr>
          <w:color w:val="000000" w:themeColor="text1"/>
          <w:sz w:val="16"/>
          <w:szCs w:val="16"/>
        </w:rPr>
        <w:lastRenderedPageBreak/>
        <w:t>обеспечивала решение двух задач: сохраняла почти неизменными рабочие места членов экипажа боевой машины и улучшала обзор для инструктора. Вход в кабину последнего осуществлялся сверху через сдвижную часть фонаря.</w:t>
      </w:r>
    </w:p>
    <w:p w14:paraId="572C1ED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Помимо дублирующего управления рулями и элеронами у инструктора имелись переключатели посадочных щитков и триммеров руля высоты и рулей направления. На штурвале второго управления установили кнопку вывода из пикирования, нажатием которой приводился в движение триммер руля высоты, обеспечивающий вывод с перегрузкой 3,5-4 единицы. Тормоза колес управлялись из передней кабины и кабины инструктора. Последний имел также дублированное управление моторами (но не регуляторами шага винтов Р-7), соединенное тягами и рычагами с основным управлением в кабине ученика. Приборное управление в кабине инструктора (довольно скудное) включало указатели скорости и поворота, высотомер, вариометр, гиромагнитный компас и два тахометра. Авиагоризонт и приборы контроля температурного режима винтомоторной группы отсутствовали.</w:t>
      </w:r>
    </w:p>
    <w:p w14:paraId="52A7DBE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сравнению со старым учебным вариантом конструкция самолета № 1/102 являлась, несомненно, более удачной - такой вывод сделали в НИИ ВВС. Было рекомендовано выполнить ряд мелких доработок, направленных на повышение надежности второго управления и улучшение условий работы инструктора (4476).</w:t>
      </w:r>
    </w:p>
    <w:p w14:paraId="0CACC0F5" w14:textId="77777777" w:rsidR="00AE7191" w:rsidRPr="001E2C69" w:rsidRDefault="00AE7191" w:rsidP="00722885">
      <w:pPr>
        <w:pStyle w:val="Iauiue"/>
        <w:jc w:val="both"/>
        <w:rPr>
          <w:color w:val="000000" w:themeColor="text1"/>
          <w:sz w:val="16"/>
          <w:szCs w:val="16"/>
        </w:rPr>
      </w:pPr>
    </w:p>
    <w:p w14:paraId="5A7330C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июле-августе 1942 г. на заводе № 22 изготовили два новых учебных самолета. Один из них, с заводским № 1/102, передали на испытания в НИИ ВВС. Прежние рабочие места летчика и штурмана остались почти без изменений, однако стрелковая установка ФТ демонтировалась, а поверх фюзеляжа за фонарем основной кабины крепился фанерный гаргрот. Над центропланом размещалась кабина инструктора, смонтированная на месте бензобака № 1 и прикрытая прозрачным фонарем с подобным же фанерным обтекателем в задней части. Такая компоновка обеспечивала решение двух задач: сводила к минимуму переделки боевой машины и улучшала обзор для инструктора. Вход в кабину последнего осуществлялся сверху через сдвижную часть фонаря.</w:t>
      </w:r>
    </w:p>
    <w:p w14:paraId="1022F77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Помимо дублирующего управления рулями и элеронами у инструктора имелись переключатели посадочных щитков и триммеров руля высоты и рулей направления. На штурвале второго управления установили кнопку вывода из пикирования, нажатием которой приводился в движение триммер руля высоты. Тормоза колес управлялись из передней кабины и кабины инструктора. Последний имел также дублированное управление моторами (но не регуляторами шага винтов Р-7), соединенное тягами и рычагами с основным управлением в кабине ученика. Приборное управление в кабине инструктора (довольно скудное) включало указатели скорости и поворота, высотомер, вариометр, гиромагнитный компас и два тахометра. Авиагоризонт и приборы контроля температурного режима винтомоторной группы отсутствовали. По сравнению с прежним учебным вариантом конструкция самолета № 1/102 явля- инструктор дает лась, несомненно, более удачной - такой замечания вывод сделали в НИИ ВВС. Было рекомендовано выполнить ряд мелких доработок, направленных на повышение надежности второго управления и улучшение условий работы инструктора. С осени 1942 г. учебные Пе-2 стали малыми партиями изготавливаться на заводе № 22. Их месячный выпуск вначале составлял 2-5 машин, а в марте 1943 г. ВВС заказали уже 100 самолетов Пе-2 в учебном варианте с темпом производства 10 машин в месяц (12042). </w:t>
      </w:r>
    </w:p>
    <w:p w14:paraId="287D7544"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008790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июле-ав</w:t>
      </w:r>
      <w:r w:rsidRPr="001E2C69">
        <w:rPr>
          <w:rFonts w:ascii="Times New Roman" w:hAnsi="Times New Roman"/>
          <w:color w:val="000000" w:themeColor="text1"/>
          <w:sz w:val="16"/>
          <w:szCs w:val="16"/>
        </w:rPr>
        <w:softHyphen/>
        <w:t>густе 1942 г. на БДП-2 был выполнен беспосадочный перелет на дальность 845 км по маршруту Сверд</w:t>
      </w:r>
      <w:r w:rsidRPr="001E2C69">
        <w:rPr>
          <w:rFonts w:ascii="Times New Roman" w:hAnsi="Times New Roman"/>
          <w:color w:val="000000" w:themeColor="text1"/>
          <w:sz w:val="16"/>
          <w:szCs w:val="16"/>
        </w:rPr>
        <w:softHyphen/>
        <w:t>ловск-Омск на буксире за самолетом ПС-40 со средней скоростью 270 км/ч. Ввиду прекращения работ на заводе № 490, серийную постройку машин наркомат возложил на завод №51. Ог</w:t>
      </w:r>
      <w:r w:rsidRPr="001E2C69">
        <w:rPr>
          <w:rFonts w:ascii="Times New Roman" w:hAnsi="Times New Roman"/>
          <w:color w:val="000000" w:themeColor="text1"/>
          <w:sz w:val="16"/>
          <w:szCs w:val="16"/>
        </w:rPr>
        <w:softHyphen/>
        <w:t>раниченные мощности не позволили развернуть широ</w:t>
      </w:r>
      <w:r w:rsidRPr="001E2C69">
        <w:rPr>
          <w:rFonts w:ascii="Times New Roman" w:hAnsi="Times New Roman"/>
          <w:color w:val="000000" w:themeColor="text1"/>
          <w:sz w:val="16"/>
          <w:szCs w:val="16"/>
        </w:rPr>
        <w:softHyphen/>
        <w:t>кое производство: до февраля 1944 г. заказчику сдали всего четыре планера и достраивался пятый. От дальнейшего выпуска БДП отказались (10667).</w:t>
      </w:r>
    </w:p>
    <w:p w14:paraId="1018251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0954911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июле-сентябре 1942 года на территорию завода № 122 был эвакуирован завод № 379 из Ленинграда с его основным оборудованием и кадрами, который вошел в состав завода № 122 (9432).</w:t>
      </w:r>
    </w:p>
    <w:p w14:paraId="0C4F0B1B" w14:textId="77777777" w:rsidR="00AE7191" w:rsidRPr="001E2C69" w:rsidRDefault="00AE7191" w:rsidP="00722885">
      <w:pPr>
        <w:pStyle w:val="Iauiue"/>
        <w:jc w:val="both"/>
        <w:rPr>
          <w:color w:val="000000" w:themeColor="text1"/>
          <w:sz w:val="16"/>
          <w:szCs w:val="16"/>
        </w:rPr>
      </w:pPr>
    </w:p>
    <w:p w14:paraId="4F69C5ED"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27DAFB00" w14:textId="77777777" w:rsidR="00AE7191" w:rsidRPr="001E2C69" w:rsidRDefault="00AE7191" w:rsidP="00722885">
      <w:pPr>
        <w:pStyle w:val="Iauiue"/>
        <w:jc w:val="both"/>
        <w:rPr>
          <w:iCs/>
          <w:color w:val="000000" w:themeColor="text1"/>
          <w:sz w:val="16"/>
          <w:szCs w:val="16"/>
        </w:rPr>
      </w:pPr>
    </w:p>
    <w:p w14:paraId="16DC0A0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 августе 1942 г. были проведены государственные испытания танка КВ-1 С, который с сентября 1942 г. начал серийно выпускаться на ЧКЗ (10703).</w:t>
      </w:r>
    </w:p>
    <w:p w14:paraId="1279EFB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6AEDD6E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 сентябре 1942 г. в КБ Горьковского автозавода был разработан бронеавтомобиль БА-64Г. Опытный образец машины был изготов</w:t>
      </w:r>
      <w:r w:rsidRPr="001E2C69">
        <w:rPr>
          <w:rFonts w:ascii="Times New Roman" w:hAnsi="Times New Roman"/>
          <w:color w:val="000000" w:themeColor="text1"/>
          <w:sz w:val="16"/>
          <w:szCs w:val="16"/>
        </w:rPr>
        <w:softHyphen/>
        <w:t>лен заводом в начале ноября 1942 г. на базе опытного ширококолейного бронеавтомобиля 64-125Б. После проведения заводского пробега в ноя</w:t>
      </w:r>
      <w:r w:rsidRPr="001E2C69">
        <w:rPr>
          <w:rFonts w:ascii="Times New Roman" w:hAnsi="Times New Roman"/>
          <w:color w:val="000000" w:themeColor="text1"/>
          <w:sz w:val="16"/>
          <w:szCs w:val="16"/>
        </w:rPr>
        <w:softHyphen/>
        <w:t>бре 1942 г., был разработан улучшенный вариант машины па железно</w:t>
      </w:r>
      <w:r w:rsidRPr="001E2C69">
        <w:rPr>
          <w:rFonts w:ascii="Times New Roman" w:hAnsi="Times New Roman"/>
          <w:color w:val="000000" w:themeColor="text1"/>
          <w:sz w:val="16"/>
          <w:szCs w:val="16"/>
        </w:rPr>
        <w:softHyphen/>
        <w:t>дорожном ходу. Опытный улучшенный образен бронеавтомобиля был изготовлен автозаводом в январе 1943 г. Весной 1943 г. был изготовлен второй опытный образец улучшенного варианта (эталонный). Оба улучшенных образца бронеавтомобиля поступили на полигонные ис</w:t>
      </w:r>
      <w:r w:rsidRPr="001E2C69">
        <w:rPr>
          <w:rFonts w:ascii="Times New Roman" w:hAnsi="Times New Roman"/>
          <w:color w:val="000000" w:themeColor="text1"/>
          <w:sz w:val="16"/>
          <w:szCs w:val="16"/>
        </w:rPr>
        <w:softHyphen/>
        <w:t>пытания на Гороховецкий полигон ВОСО. Бронеавтомобиль БА-64Г отличался от серийного образца БА-64 возможностью движения по железнодорожной колее. В носовой и кор</w:t>
      </w:r>
      <w:r w:rsidRPr="001E2C69">
        <w:rPr>
          <w:rFonts w:ascii="Times New Roman" w:hAnsi="Times New Roman"/>
          <w:color w:val="000000" w:themeColor="text1"/>
          <w:sz w:val="16"/>
          <w:szCs w:val="16"/>
        </w:rPr>
        <w:softHyphen/>
        <w:t>мовой частях корпуса машины устанавливались специальные, частично подрессоренные, откидывавшиеся вверх железнодорожные колеса ма</w:t>
      </w:r>
      <w:r w:rsidRPr="001E2C69">
        <w:rPr>
          <w:rFonts w:ascii="Times New Roman" w:hAnsi="Times New Roman"/>
          <w:color w:val="000000" w:themeColor="text1"/>
          <w:sz w:val="16"/>
          <w:szCs w:val="16"/>
        </w:rPr>
        <w:softHyphen/>
        <w:t>лого диаметра, которые представляли собой направляющие ролики с ребордами, препятствовавшими сходу машины с железнодорожной ко</w:t>
      </w:r>
      <w:r w:rsidRPr="001E2C69">
        <w:rPr>
          <w:rFonts w:ascii="Times New Roman" w:hAnsi="Times New Roman"/>
          <w:color w:val="000000" w:themeColor="text1"/>
          <w:sz w:val="16"/>
          <w:szCs w:val="16"/>
        </w:rPr>
        <w:softHyphen/>
        <w:t>леи и позволявшие ей двигаться по железнодорожному полотну при ис</w:t>
      </w:r>
      <w:r w:rsidRPr="001E2C69">
        <w:rPr>
          <w:rFonts w:ascii="Times New Roman" w:hAnsi="Times New Roman"/>
          <w:color w:val="000000" w:themeColor="text1"/>
          <w:sz w:val="16"/>
          <w:szCs w:val="16"/>
        </w:rPr>
        <w:softHyphen/>
        <w:t>пользовании колесного движителя. Для достижения постоянного кон</w:t>
      </w:r>
      <w:r w:rsidRPr="001E2C69">
        <w:rPr>
          <w:rFonts w:ascii="Times New Roman" w:hAnsi="Times New Roman"/>
          <w:color w:val="000000" w:themeColor="text1"/>
          <w:sz w:val="16"/>
          <w:szCs w:val="16"/>
        </w:rPr>
        <w:softHyphen/>
        <w:t>такта колес с шинами "ГК" с железнодорожным полотном (колея 1524 мм) было предусмотрено расширение собственной колеи машины, что соответствовало планам ее дальнейшей модернизации и проведению работ над машиной БА-64Б (10703).</w:t>
      </w:r>
    </w:p>
    <w:p w14:paraId="415B630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69F37D2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1942 г. - апреле 1943 г. часть завода “Красная Заря” действовала в Ленинграде.</w:t>
      </w:r>
      <w:r w:rsidRPr="001E2C69">
        <w:rPr>
          <w:rFonts w:ascii="Times New Roman" w:hAnsi="Times New Roman"/>
          <w:color w:val="000000" w:themeColor="text1"/>
          <w:sz w:val="16"/>
          <w:szCs w:val="16"/>
          <w:vertAlign w:val="superscript"/>
        </w:rPr>
        <w:t>65</w:t>
      </w:r>
      <w:r w:rsidRPr="001E2C69">
        <w:rPr>
          <w:rFonts w:ascii="Times New Roman" w:hAnsi="Times New Roman"/>
          <w:color w:val="000000" w:themeColor="text1"/>
          <w:sz w:val="16"/>
          <w:szCs w:val="16"/>
        </w:rPr>
        <w:t xml:space="preserve"> В 1943 г. налажен выпуск военно-полевых аппаратов и станций, боеприпасов. В 1944 г. завод в Ленинграде полностью вступил в строй. В 1945 г. начато освоение АТС декадно-шаговой системы небольшой емкости, а с 1948 г.- городских АТС. В это же время освоен выпуск автомобильных радиоприемников ручной сборки А-3, А-4. Затем их производство передано в Муром, а завод продолжил производство телефонной аппаратуры. С 1964 г. начато освоение выпуска АТС нового поколения. Заводу поручено производство оборудования для правительственной связи, обслуживания наземных стартовых комплексов БР и объектов атомной энергетики.</w:t>
      </w:r>
    </w:p>
    <w:p w14:paraId="3D14368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1946 г. завод - в ведении МПСС, с 04.1953 г. - МЭСЭП, с 01.1954 г. - МРТП, в 07.1957-03.1965 г. - в ведении Управления радиотехнической промышленности ЛенСНХ. В 1956 г. назывался Ордена Ленина завод «Красная заря». В 04.1964 г. на базе завода создано ЛПО «Красная заря», в которое вошел также завод «Радист». До 1991 г. опытный завод «Красная заря» входил в состав ЛНПО «Красная заря». В 1991 г. ЛНПО распалось на ряд самостоятельных предприятий (одно из них- ООО «Завод «Красная заря. Системы цифровой связи»), его правопреемником стал НПК «Красная заря».</w:t>
      </w:r>
    </w:p>
    <w:p w14:paraId="4B7D97B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1993 г. предприятие преобразовано в АОЗТ, затем - ЗАО «Красная заря».</w:t>
      </w:r>
      <w:r w:rsidRPr="001E2C69">
        <w:rPr>
          <w:rFonts w:ascii="Times New Roman" w:hAnsi="Times New Roman"/>
          <w:color w:val="000000" w:themeColor="text1"/>
          <w:sz w:val="16"/>
          <w:szCs w:val="16"/>
          <w:vertAlign w:val="superscript"/>
        </w:rPr>
        <w:t>131</w:t>
      </w:r>
    </w:p>
    <w:p w14:paraId="2C320ED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1996 г. начат выпуск цифровых городских АТС, разработка (совместно с НПК «Телстар») собственной коммутационной платформы «Кразар».</w:t>
      </w:r>
    </w:p>
    <w:p w14:paraId="176F186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Разработка (2003-05 г.): электронные средства коммутации для проводных систем связи; высокоскоростные цифровые сети передачи информации на базе ВОЛС для ФСБ; перевозимый бесшнуровой электронный коммутатор телефонной связи для высших руководителей государства; разработка системы фиксированного радиодоступа «Челнок» для районов с низкой плотностью населения.</w:t>
      </w:r>
    </w:p>
    <w:p w14:paraId="1C08154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(1915 г.)- около 3 тыс. чел.</w:t>
      </w:r>
    </w:p>
    <w:p w14:paraId="7D24901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(1905 г.-)- Л.И. Шпергазе. Гендиректор (-1991-96 г.)- В.К. Евсеев, (1996 г.-)- М.М. Лебедев, (2003 г.-)- В.В. Родионов.</w:t>
      </w:r>
    </w:p>
    <w:p w14:paraId="7EB9B47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1-й зам. гендиректора (2005 г.)- М.М. Лебедев. Зам. гендиректора по научной работе (2005 г.)- Б.С. Плешко.</w:t>
      </w:r>
    </w:p>
    <w:p w14:paraId="354E780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Технический директор (2005 г.)- В.Б. Бельянинов.</w:t>
      </w:r>
    </w:p>
    <w:p w14:paraId="1E5F832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конструкторы: (-1967-72 г.-)- В.И. Петрович («Погода»), (-1994-2005 г.-)- М.М. Лебедев («Сближение»), (2000-е)- В.В. Родионов.</w:t>
      </w:r>
    </w:p>
    <w:p w14:paraId="51383EF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гл. конструкторов: (1972 г.)- Е.А. Калганов («Погода»), (1972 г.)- М.С. Кузьмина («Погода»), (1972 г.)- Б.С. Плешко («Погода»), (1972 г.)- Л.Ф. Симоненко («Погода»), (1980-е)- М.М. Лебедев («Кавказ-5»).</w:t>
      </w:r>
    </w:p>
    <w:p w14:paraId="75D59AD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отделов: (1971 г.)- Ю.И. Котьков.</w:t>
      </w:r>
    </w:p>
    <w:p w14:paraId="1EA1507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Создано: аппаратура засекречивания телефонных переговоров (ЗАС) ЕС-2 (1937), аппаратура повышенной стойкости С-1 и аппаратура ЗАС радиотелефонных каналов ЕИС-3 (1938), полевой унифицированный телефонный аппарат УНА-ФИ-43 системы МБ, УНА-И-43, коммутатор Р-20М (1943); системы передачи данных: «Погода» для Гидрометеослужбы (1967-72); для передачи шифрованных сообщений по телефонным и телеграфным каналам «Родник-2» для КГБ (1977-86), «Исток»; система правительственной связи «Кавказ-5» (1980-е); цифровая радиотелефонная система «Сближение» для Гатчинского узла связи (1994); цифровая АТС «Кразар» (1998); полевые мини-АТС в специсполнении на подвижной базе для ФАПСИ (2001-02); электронная телеграфная станция для Генштаба МО (2001).</w:t>
      </w:r>
    </w:p>
    <w:p w14:paraId="2D99C25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телефоны и приборы управления стрельбой для линкоров (1910); электромагнитные реле для АТС (1922-), РПН (1930-е); аппаратура ЗАС: ЕС-2М, МЕС, МЕС-2, МЕС-2АЖ, ПЖ-1 (1937-40-); телефонные аппараты (1942);</w:t>
      </w:r>
      <w:r w:rsidRPr="001E2C69">
        <w:rPr>
          <w:rFonts w:ascii="Times New Roman" w:hAnsi="Times New Roman"/>
          <w:color w:val="000000" w:themeColor="text1"/>
          <w:sz w:val="16"/>
          <w:szCs w:val="16"/>
          <w:vertAlign w:val="superscript"/>
        </w:rPr>
        <w:t>101</w:t>
      </w:r>
      <w:r w:rsidRPr="001E2C69">
        <w:rPr>
          <w:rFonts w:ascii="Times New Roman" w:hAnsi="Times New Roman"/>
          <w:color w:val="000000" w:themeColor="text1"/>
          <w:sz w:val="16"/>
          <w:szCs w:val="16"/>
        </w:rPr>
        <w:t xml:space="preserve"> АТС: АТСК, АТСК-У, КАТС-К (1964-); цифровые АТСЦ-90 (1996-), «Кразар» (1998-); радиоприемники: автомобильные А-3, А-4, А-5, А-8, А-8М (1956).</w:t>
      </w:r>
    </w:p>
    <w:p w14:paraId="7EC0A7B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Ленинградское ПО, НПО (ЛПО, ЛНПО) «Красная заря» МРП, А-1129 /194175  г. Ленинград/</w:t>
      </w:r>
    </w:p>
    <w:p w14:paraId="3FF009B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04.1964 г. на базе завода «Красная заря» создано ЛПО «Красная заря», в которое вошел также завод «Радист». В 1971-73 г. ЛПО - в ведении 15ГУ МРП. В составе ЛПО (1971 г.): ОКБ; ЦКТБ по релейной технике; НИИКТ; Роменский завод АТС; Белгородский завод «Сокол»; завод «Радист»; Порховский релейный завод. В 1974 г. в состав ПО вошел завод «Россия». До 1991 г. опытный завод «Красная заря» входил в состав ЛНПО «Красная заря». В 1991 г. ЛНПО распалось на ряд самостоятельных предприятий (одно из них- ООО «Завод «Красная заря. Системы цифровой связи»), его правопреемником стал НПК «Красная заря».</w:t>
      </w:r>
    </w:p>
    <w:p w14:paraId="76B1049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 15ГУ № 354 от 27.12.1971 г. на ЛПО организован отдел гарантийного обслуживания.</w:t>
      </w:r>
    </w:p>
    <w:p w14:paraId="000A42F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Гендиректор (-1971-72 г.)- Н. Г. Смирнов; и.о. (08.1972 г.)- Е.П. Леонов.</w:t>
      </w:r>
    </w:p>
    <w:p w14:paraId="24B8C2D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Зам. гендиректора: по науке (1973 г.)- Ю.П. Савельев; по экономике (-12.1971 г.)- В.М. Жданов (снят); по быту (-12.1971)- А.А. Кириллов (снят); по кадрам и режиму (1971 г.)- А. Г. Большаков; (1971 г.)- В.Н. Тихонов, (1972 г.)- Э.Б. Райцес.</w:t>
      </w:r>
    </w:p>
    <w:p w14:paraId="5F17B7A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(-1971-72 г.-)- А.С. Соколов.</w:t>
      </w:r>
    </w:p>
    <w:p w14:paraId="2BEC76D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гл. инженера (1971 г.)-  Г.Д. Филиппов, (1972 г.)- Б.С. Пашков.</w:t>
      </w:r>
    </w:p>
    <w:p w14:paraId="2997669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технолог (1971 г.)- А.А. Васильев.</w:t>
      </w:r>
    </w:p>
    <w:p w14:paraId="3047F5A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отделов: методов управления, планирования и организации (11.1972 г.)- В.А. Иванов; головного патентного (-1971-73 г.-)- Ю.И. Котьков.</w:t>
      </w:r>
    </w:p>
    <w:p w14:paraId="53A76A4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лабораторий: (1972 г.)- Н.Д. Филиппов.</w:t>
      </w:r>
    </w:p>
    <w:p w14:paraId="58A5B7A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бюро: КБ (1972)- Е.А. Чухнов; базовой технологии (1973 г.)- В.В. Дмитриев. Руководитель конструкторской группы (1972 г.)- М.А. Журавлев.</w:t>
      </w:r>
    </w:p>
    <w:p w14:paraId="68837DE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Создано: телефонная станция ГАТС-К (1971).</w:t>
      </w:r>
      <w:r w:rsidRPr="001E2C69">
        <w:rPr>
          <w:rFonts w:ascii="Times New Roman" w:hAnsi="Times New Roman"/>
          <w:color w:val="000000" w:themeColor="text1"/>
          <w:sz w:val="16"/>
          <w:szCs w:val="16"/>
          <w:vertAlign w:val="superscript"/>
        </w:rPr>
        <w:t>Ь5</w:t>
      </w:r>
    </w:p>
    <w:p w14:paraId="1781C08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Роменский завод аппаратуры телефонной связи (АТС) МРП, А-3701 /г. Ромны Сумской обл./</w:t>
      </w:r>
    </w:p>
    <w:p w14:paraId="67C43BC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1971 г. Роменский завод АТС в составе ЛПО «Красная заря» - в ведении 15ГУ МРП, имел наименование «п/я А-3701».</w:t>
      </w:r>
    </w:p>
    <w:p w14:paraId="6E35623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приказам МРП от 9.12.1970 г. и 15ГУ № 7 от 19.03.1971 г. с 1.04.1971 г. на заводе создан отдел НИИКТ под руководством В.Н. Алябина в составе 50 чел. для проведения ОКР по аппаратуре АДУ, средств механизации и автоматизации техпроцессов коммутационной техники.</w:t>
      </w:r>
    </w:p>
    <w:p w14:paraId="1105783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 15ГУ № 354 от 27.12.1971 г. на заводе организован отдел гарантийного обслуживания.</w:t>
      </w:r>
    </w:p>
    <w:p w14:paraId="19E11A9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Директор (-01.1971-73 г.-)- </w:t>
      </w:r>
      <w:r w:rsidRPr="001E2C69">
        <w:rPr>
          <w:rFonts w:ascii="Times New Roman" w:hAnsi="Times New Roman"/>
          <w:color w:val="000000" w:themeColor="text1"/>
          <w:sz w:val="16"/>
          <w:szCs w:val="16"/>
          <w:lang w:val="en-US"/>
        </w:rPr>
        <w:t>B</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C</w:t>
      </w:r>
      <w:r w:rsidRPr="001E2C69">
        <w:rPr>
          <w:rFonts w:ascii="Times New Roman" w:hAnsi="Times New Roman"/>
          <w:color w:val="000000" w:themeColor="text1"/>
          <w:sz w:val="16"/>
          <w:szCs w:val="16"/>
        </w:rPr>
        <w:t>. Щербаков.</w:t>
      </w:r>
    </w:p>
    <w:p w14:paraId="6BC4DE9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директора (1972 г.)- Е.И. Смирнов.</w:t>
      </w:r>
    </w:p>
    <w:p w14:paraId="7A9BAC8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(-08.1971-73 г.-&gt; В.Н. Алябин.</w:t>
      </w:r>
    </w:p>
    <w:p w14:paraId="4137A6D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технолог (1973 г.)- О.С. Турба.</w:t>
      </w:r>
    </w:p>
    <w:p w14:paraId="0F09600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гл. конструктора (1973 г.)- А.В. Щербак.</w:t>
      </w:r>
    </w:p>
    <w:p w14:paraId="75B69E8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отделов: ОТК (-1971-72 г.-)- И.И. Субботин.</w:t>
      </w:r>
      <w:r w:rsidRPr="001E2C69">
        <w:rPr>
          <w:rFonts w:ascii="Times New Roman" w:hAnsi="Times New Roman"/>
          <w:color w:val="000000" w:themeColor="text1"/>
          <w:sz w:val="16"/>
          <w:szCs w:val="16"/>
          <w:vertAlign w:val="superscript"/>
        </w:rPr>
        <w:t>135</w:t>
      </w:r>
    </w:p>
    <w:p w14:paraId="79ED5A2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Белгородский телефонный завод, ПО «Сокол» МРП, А-7847, ЗАО «Сокол-АТС» /308861  г. Белгород ул. Б. Хмельницкого, 137 тел. 34-21-70/</w:t>
      </w:r>
    </w:p>
    <w:p w14:paraId="21A9007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1961 г. на базе Белгородского телефонного завода образовано ПО «Сокол». В 1971 г. Белгородский телефонный завод «Сокол» в составе ЛПО «Красная заря» - в ведении 15ГУ МРП, имело наименование «п/я А- 7847».</w:t>
      </w:r>
    </w:p>
    <w:p w14:paraId="6B83647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Основная продукция- аппаратура АТС.</w:t>
      </w:r>
    </w:p>
    <w:p w14:paraId="2AB1180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 15ГУ № 354 от 27.12.1971 г. на заводе организован отдел гарантийного обслуживания. В составе завода (1973 г.)- СКБ.</w:t>
      </w:r>
    </w:p>
    <w:p w14:paraId="66F3510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1993 г. ПО акционировано и преобразовано в АОЗТ, в 1997 г. переименовано в ЗАО.</w:t>
      </w:r>
    </w:p>
    <w:p w14:paraId="1F796CB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(1991 г.)- около 8 тыс. чел.</w:t>
      </w:r>
    </w:p>
    <w:p w14:paraId="104D62A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(1961 г.-)- В.И. Сошнин, (1965-91 г.)- Е.А. Колчанов. Гендиректор (1991 г.-)- Е.А. Колчанов, (1996 г.-)- В.Н. Андреев.</w:t>
      </w:r>
    </w:p>
    <w:p w14:paraId="03CE924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директора (-1971-73 г.-)- А. Г. Авраменко.</w:t>
      </w:r>
    </w:p>
    <w:p w14:paraId="26CDD5E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(-08.1971-72 г.-)- Н.Н. Верескун.</w:t>
      </w:r>
    </w:p>
    <w:p w14:paraId="4193D64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технолог (1971 г.)- В.Н. Кожевников. Гл. экономист (1973 г.)- Н.Е. Попова.</w:t>
      </w:r>
    </w:p>
    <w:p w14:paraId="5F90806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гл. конструктора (1971 г.)- М.И. Журбенко.</w:t>
      </w:r>
    </w:p>
    <w:p w14:paraId="459B50C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отделов: ПДО (1971 г.)- Ф. Г. Батраков; инструментального (1971 г.)- Долженков; ПЭО (1971 г.)- Н.Е. Попова; ОТК (1971 г.)- А.И. Беседин; ОНОТУЗ (-1971-73 г.-)- Н.В. Соколинская; ОКиК (1971 г.)- Я.Д. Лобенко; ОМА (1972 г.)- А.М, Духонин.</w:t>
      </w:r>
    </w:p>
    <w:p w14:paraId="7277B0B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бюро: БРИЗ (1971 г.)- Боровик.</w:t>
      </w:r>
    </w:p>
    <w:p w14:paraId="74C28FE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АТС: АТСК-50/200 (1970-е); релейные с шаговыми искателями; координатные; многократные координатные соединители МКС; квазиэлектронные «Квант», цифровые «Квант-Е» (1997-), «Квант-Е-Сокол» (2000-); блоки для подвижных узлов связи; кроссовое оборудование; конвекторы для сетей центрального отопления.</w:t>
      </w:r>
      <w:r w:rsidRPr="001E2C69">
        <w:rPr>
          <w:rFonts w:ascii="Times New Roman" w:hAnsi="Times New Roman"/>
          <w:color w:val="000000" w:themeColor="text1"/>
          <w:sz w:val="16"/>
          <w:szCs w:val="16"/>
          <w:vertAlign w:val="superscript"/>
        </w:rPr>
        <w:t>101</w:t>
      </w:r>
    </w:p>
    <w:p w14:paraId="671778D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ЦКТБ по релейной технике ЛПО «Красная заря» МРП, Г-4163 /194175  г. Ленинград/</w:t>
      </w:r>
    </w:p>
    <w:p w14:paraId="0A83CDE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1971 г. ЦКТБ по релейной технике - в составе ЛПО «Красная заря».</w:t>
      </w:r>
    </w:p>
    <w:p w14:paraId="7D7F3C8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15ГУ № 183 от 24.05.1971 г. организована головная НИЛ по релейной технике. По пр. 15ГУ № 230 от 8.07.1971 г. утверждена специализация предприятия - релейная техника.</w:t>
      </w:r>
    </w:p>
    <w:p w14:paraId="1541316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Выполнены НИР: «Полюс» по уменьшению дребезга контактов реле; «Теплостойкость-2», «Надежность», «Вариант-5», «Импульс», «Мечта-Ш», «Предел», «Атом-2», «Анод» (все- в 1970 г.). Выполнены ОКР: «Такт» (1966-70 г.) по разработке перспективного телефонного реле; ОКР «Патент-70» (1971 г.) - проведение патентно- лицензионной работы по предприятиям отрасли; ОКР «Енисей» (1971 г.) по разработке язычкового реле.</w:t>
      </w:r>
    </w:p>
    <w:p w14:paraId="0110FEB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(1971 г.)- Б.А. Борисов.</w:t>
      </w:r>
    </w:p>
    <w:p w14:paraId="04091C4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(1971 г.)- А.Д. Животченко.</w:t>
      </w:r>
    </w:p>
    <w:p w14:paraId="6C8DDF0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технолог (1971 г.)- А.Р. Рудык.</w:t>
      </w:r>
    </w:p>
    <w:p w14:paraId="19B1E6B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Руководитель базовой службы качества (1971 г.)- И.Т. Корнеев.</w:t>
      </w:r>
    </w:p>
    <w:p w14:paraId="58ECECE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отделов: внедрения (1971 г.)- М.А. Федоров; (1971 г.)- И.Д. Ганкин, (1971 г.)- В.З. Ройзен.</w:t>
      </w:r>
    </w:p>
    <w:p w14:paraId="1448F50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лабораторий: (1971 г.)- А.А. Ротенберг, (1971 г.)- С.Л. Хайцер</w:t>
      </w:r>
    </w:p>
    <w:p w14:paraId="4DED776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Создано: измеритель реле ИР-2 (1971), измеритель сопротивления контактов СК9 (1971), прибор, для испытания реле НР-10,-13 (тема «Цирконий», 1971 ).</w:t>
      </w:r>
      <w:r w:rsidRPr="001E2C69">
        <w:rPr>
          <w:rFonts w:ascii="Times New Roman" w:hAnsi="Times New Roman"/>
          <w:color w:val="000000" w:themeColor="text1"/>
          <w:sz w:val="16"/>
          <w:szCs w:val="16"/>
          <w:vertAlign w:val="superscript"/>
        </w:rPr>
        <w:t>135</w:t>
      </w:r>
    </w:p>
    <w:p w14:paraId="2A0A33B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Артель «Столяр-строитель», Производственно-кооперативная артель Второй пятилетки, Государственный завод «Радист» МРП, Р-6366 /194100  г. Санкт-Петербург ул. Кантемировская, 7/</w:t>
      </w:r>
    </w:p>
    <w:p w14:paraId="646E94A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1923 г. организована артель «Столяр-строитель», в 1934 г. она переименована в Производственно- кооперативную артель Второй пятилетки. В 1954 г.- артель «Радист», с 1957 г.- Государственный завод «Радист». В 1964 г. завод вошел в состав ПО «Красная заря». С 1974 г. - в НПО «Северная заря». Директор (07.1971 г.)- Е.Л. Леонов. Гл. инженер (07.1971 г.)-Б.С. Пашков.</w:t>
      </w:r>
    </w:p>
    <w:p w14:paraId="014A763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радиоприемники: «Октябрь», «Нева», «Урал», «Россия»; абонентские громкоговорители: «Ленинградец», «Нева».</w:t>
      </w:r>
    </w:p>
    <w:p w14:paraId="20A696E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Порховский релейный завод МРП, МПСС, ОАО «Порховский релейный завод» /182620  г. Порхов Псковской обл. пр. Ленина, 20/</w:t>
      </w:r>
    </w:p>
    <w:p w14:paraId="31F874E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Основан в 1949(6) г. В 1971 г. завод - в составе ЛПО «Красная заря» в ведении 15ГУ МРП, далее в 1970-е  г. - в ведении 9ГУ МПСС.</w:t>
      </w:r>
    </w:p>
    <w:p w14:paraId="23A9F53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реле.</w:t>
      </w:r>
    </w:p>
    <w:p w14:paraId="4A2FE8C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(1971 г.)- Б.Л. Штерн.</w:t>
      </w:r>
    </w:p>
    <w:p w14:paraId="2B02BEB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(1971 г.)- А.А. Борисов.</w:t>
      </w:r>
    </w:p>
    <w:p w14:paraId="235AC06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абонентский радиоприемник «Балтика» (1950-е).</w:t>
      </w:r>
    </w:p>
    <w:p w14:paraId="6B9508E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НИИ коммутационной техники (НИИКТ) МРП /194175  г. Ленинград/</w:t>
      </w:r>
    </w:p>
    <w:p w14:paraId="4F83C16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1971 г. НИИКТ - в составе ЛПО «Красная заря». В 1971 г. имелся филиал института.</w:t>
      </w:r>
    </w:p>
    <w:p w14:paraId="0C9EDEC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приказам МРП от 9.12.1970 г. и 15ГУ № 7 от 19.03.1971 г. с 1.04.1971 г. на Роменском заводе АТС создан отдел института в составе 50 чел. для проведения ОКР по аппаратуре АДУ, средств механизации и автоматизации техпроцессов коммутационной техники.</w:t>
      </w:r>
    </w:p>
    <w:p w14:paraId="45D5AD7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Имелся филиал института в Пскове (1972 г.), разрабатывал диспетчерскую аппаратуру.</w:t>
      </w:r>
    </w:p>
    <w:p w14:paraId="316CB66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Велись работы по разработке герконовых реле. По пр. 15ГУ № 230 от 8.07.1971 г. утверждена специализация предприятия - коммутационная техника. По приказам МРП № 610 от 4.10.1972 г. и 15ГУ № 298 от 13.10.1972 г. в институте создано головное патентное подразделение по коммутационной и релейной технике. Директор (1972 г.)- Смирнов, (2002 г.)- Д.И. Мартынов.</w:t>
      </w:r>
    </w:p>
    <w:p w14:paraId="329D5C4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директора: по научной работе и маркетингу (2002 г.)- А.А. Малащенко;</w:t>
      </w:r>
      <w:r w:rsidRPr="001E2C69">
        <w:rPr>
          <w:rFonts w:ascii="Times New Roman" w:hAnsi="Times New Roman"/>
          <w:color w:val="000000" w:themeColor="text1"/>
          <w:sz w:val="16"/>
          <w:szCs w:val="16"/>
          <w:vertAlign w:val="superscript"/>
        </w:rPr>
        <w:t>69</w:t>
      </w:r>
      <w:r w:rsidRPr="001E2C69">
        <w:rPr>
          <w:rFonts w:ascii="Times New Roman" w:hAnsi="Times New Roman"/>
          <w:color w:val="000000" w:themeColor="text1"/>
          <w:sz w:val="16"/>
          <w:szCs w:val="16"/>
        </w:rPr>
        <w:t xml:space="preserve"> (1973 г.)- Б.А. Борисов, (1973 г.)- А.П. Савельев.</w:t>
      </w:r>
    </w:p>
    <w:p w14:paraId="59EA4D6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отделений: технологического (-1972-73 г.-)- А.Д. Животченко. Начальники отделов: технологического (1973 г.)- А.Р. Рудык; (1973 г.)- А.Я. Яковлев. Зам. начальника отдела: стандартизации (1972 г.)- М.Я. Мишин; планового (1973 г.)- М.П. Абрамова. Начальники секторов: базовой технологии (1973 г.)- А.А. Ротенберг; (1973 г.)- В. Г. Андреев. Начальники лабораторий: расчетно-исследовательской (1972 г.)- С.Л. Хайцер; (1972 г.)- М.А. Федоров.</w:t>
      </w:r>
    </w:p>
    <w:p w14:paraId="0CA9914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Филиал НИИКТ МРП Выполнена ОКР «Кристалл» (1971 г.) по разработке устройств оперативной телефонной связи. Начальник (1971 г.)- Маркушин.</w:t>
      </w:r>
    </w:p>
    <w:p w14:paraId="60368D6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Псковский завод телефонной аппаратуры МРП, М-5571 /г. Псков/</w:t>
      </w:r>
    </w:p>
    <w:p w14:paraId="27DCA9D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1971 г. завод - в ведении 15ГУ МРП, имел наименование «п/я М-5571». Завод входил в состав НПО «Красная заря», в 1971 г. вышел из его состава.</w:t>
      </w:r>
    </w:p>
    <w:p w14:paraId="576CD17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 МРП № 349 от 1.08.1969 г. заводу поручено организовать со 2-го полугодия 1970 г. производство изделия ШИ-17 с мощностью к концу года до 500 тыс. шт. в год.</w:t>
      </w:r>
    </w:p>
    <w:p w14:paraId="04AC575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 15ГУ № 354 от 27.12.1971 г. на заводе организован отдел гарантийного обслуживания. Директор (-01.1971-72 г.-)- И.И. Клосинский, (09.1973 г.)- Л.Л. Панчеха. Зам. директора- В.И. Магда.</w:t>
      </w:r>
    </w:p>
    <w:p w14:paraId="62A046C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(08.1971 г.)- П.А. Провад, (02.1972 г.)- Л.Л. Панчеха, (09.1973 г.)- А.Я. Рейнер. Зам. гл. технолога (1971 г.)- Н.Н. Красавин. Начальник МСС (1973 г.)-Е.И. Грибков.</w:t>
      </w:r>
    </w:p>
    <w:p w14:paraId="39C9134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Производство: диспетчерская аппаратура «Кристалл», установка административной связи УНС-20 (-1972), АПС-30, «Псков-1, -2 (1972-), -3»; станция административной связи САС-40 (-1972), «Темп-40» (1972- ); телефонная станция УПАТС-100/400; водолазные телефонные станции: ВК-1, легководолазная ЛВТС-63 (- 1972), ВТУС-70-1 (1972-); усилитель абонентский УА-1 (-1972), -2 (1972-); аппаратура предупредительной сигнализации «Графит» системы «Лор» (-1972), прибор охранной сигнализации «Алмаз» (-1972) (11982).</w:t>
      </w:r>
    </w:p>
    <w:p w14:paraId="71F50E03"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127820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июле—августе 1942 г. с целью пополнения минно-тральных сил полноценными ба</w:t>
      </w:r>
      <w:r w:rsidRPr="001E2C69">
        <w:rPr>
          <w:color w:val="000000" w:themeColor="text1"/>
          <w:sz w:val="16"/>
          <w:szCs w:val="16"/>
        </w:rPr>
        <w:softHyphen/>
        <w:t>зовыми тральщиками наркоматы ВМФ и судостроительной про</w:t>
      </w:r>
      <w:r w:rsidRPr="001E2C69">
        <w:rPr>
          <w:color w:val="000000" w:themeColor="text1"/>
          <w:sz w:val="16"/>
          <w:szCs w:val="16"/>
        </w:rPr>
        <w:softHyphen/>
        <w:t>мышленности разработали требования к новому кораблю такого класса, который должен был вооружаться импортными электромагнитными, отечественными акустически</w:t>
      </w:r>
      <w:r w:rsidRPr="001E2C69">
        <w:rPr>
          <w:color w:val="000000" w:themeColor="text1"/>
          <w:sz w:val="16"/>
          <w:szCs w:val="16"/>
        </w:rPr>
        <w:softHyphen/>
        <w:t>ми и буксируемыми контактными тралами, а также минами за</w:t>
      </w:r>
      <w:r w:rsidRPr="001E2C69">
        <w:rPr>
          <w:color w:val="000000" w:themeColor="text1"/>
          <w:sz w:val="16"/>
          <w:szCs w:val="16"/>
        </w:rPr>
        <w:softHyphen/>
        <w:t>граждения. Остальные элементы, включая артиллерию, развивали в пр. 58. Технический пр. 263 такого тральщика, разработанный в ЦКБ-17, был утвержден уже 31 октября 1942 г. Корабль нормаль</w:t>
      </w:r>
      <w:r w:rsidRPr="001E2C69">
        <w:rPr>
          <w:color w:val="000000" w:themeColor="text1"/>
          <w:sz w:val="16"/>
          <w:szCs w:val="16"/>
        </w:rPr>
        <w:softHyphen/>
        <w:t>ным водоизмещением 675 т получился слишком сложным для по</w:t>
      </w:r>
      <w:r w:rsidRPr="001E2C69">
        <w:rPr>
          <w:color w:val="000000" w:themeColor="text1"/>
          <w:sz w:val="16"/>
          <w:szCs w:val="16"/>
        </w:rPr>
        <w:softHyphen/>
        <w:t>стройки в военное время даже в Ленинграде, где его собирались строить на заводе 370 (3898).</w:t>
      </w:r>
    </w:p>
    <w:p w14:paraId="43B4009D" w14:textId="77777777" w:rsidR="00AE7191" w:rsidRPr="001E2C69" w:rsidRDefault="00AE7191" w:rsidP="00722885">
      <w:pPr>
        <w:pStyle w:val="Iauiue"/>
        <w:jc w:val="both"/>
        <w:rPr>
          <w:color w:val="000000" w:themeColor="text1"/>
          <w:sz w:val="16"/>
          <w:szCs w:val="16"/>
        </w:rPr>
      </w:pPr>
    </w:p>
    <w:p w14:paraId="6B88581B"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68A8F22D" w14:textId="77777777" w:rsidR="00AE7191" w:rsidRPr="001E2C69" w:rsidRDefault="00AE7191" w:rsidP="00722885">
      <w:pPr>
        <w:pStyle w:val="Iauiue"/>
        <w:jc w:val="both"/>
        <w:rPr>
          <w:iCs/>
          <w:color w:val="000000" w:themeColor="text1"/>
          <w:sz w:val="16"/>
          <w:szCs w:val="16"/>
        </w:rPr>
      </w:pPr>
    </w:p>
    <w:p w14:paraId="345F979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течение июля-сентября 1942 в состав ВВС Северного флота без учета пополнения “россыпью” влилось не менее 80 Пе-2 и Пе-3. К сожалению, не добившись ярких успехов, эта группировка уже к декабрю из-за потерь уменьшилась наполовину. Сдав технику в другие полки, в ноябре покинули флот 13-й (полк был переучен на бомбардировщики А-20 и в 1943 г. продолжил боевые действия в составе ВВС Черноморского флота) и 28-й бапы (на его базе была сформирована 28-я отдельная эскадрилья двухмоторных колесных разведчиков ВВС СФ). В составе 95-го и 121-го авиаполков на 1 декабря 1942 г. числились 29 Пе-3, а в 29-м бап - 14 Пе-2 (4476).</w:t>
      </w:r>
    </w:p>
    <w:p w14:paraId="5248581F" w14:textId="77777777" w:rsidR="00AE7191" w:rsidRPr="001E2C69" w:rsidRDefault="00AE7191" w:rsidP="00722885">
      <w:pPr>
        <w:pStyle w:val="Iauiue"/>
        <w:jc w:val="both"/>
        <w:rPr>
          <w:color w:val="000000" w:themeColor="text1"/>
          <w:sz w:val="16"/>
          <w:szCs w:val="16"/>
        </w:rPr>
      </w:pPr>
    </w:p>
    <w:p w14:paraId="3C69814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июле-августе 1942 на фронте появились уже целые соединения, укомплектованные исключительно Б-3 "Бостон". Это были 221-я и 244-я дивизии. 221-ю собрали из частей, прибывших под Ворошиловград - 794-го, 745-го и 57-го полков. Она успению сражалась на Юго-Западном фронте. Так, звено младшего лейтенанта Михеева уничтожило немецкую переправу через р. Оскол. Бои были очень ожесточенными, и за два месяца боев в полках осталось по два-три самолета. 244-я дивизию направили в 4-ю воздушную армию на Закавказский фронт в конце августа 1942, кое-как оснастив техникой и в ней насчитывалось всего 20 Б-3. Уже в начале сентября командование ВВС. начало просить Ставку вернуть соединение на доукомплектование. В итоге обе дивизии пополнили и в октябре вновь отправили воевать на юг. Вообще именно на южных участках советско-германского фронта первоначально сосредотачивалось подавляющее большинство "Бостонов". Уже в конце июля 1942 года в 244-и дивизии к трем первоначальным полкам (861-му, 45-му и 449-му) добавился 860-й, а к зиме дивизия разрослась до пяти полков, все на Б-3. В таком составе она вступила в Сталинградскую битву. В предгорьях Кавказа воевала 132-я дивизия, имевшая три полка на "Бостонах" - 63-й, 277-й и 452-й. Затем с Пe-2 па А-20 перевооружили и еще один полк дивизии - 367-й. Комиссар 221-й дивизии С.И.Черноусов впоследствии писал: "Эти машины обладали хорошими но тому времени летными качествами. Они могли конкурировать с немецкой техникой в скорости и маневренности". Когда Б-3 появились на советско-германском фронте, они обгоняли наши новые Пe-2. Американский бомбардировщик отличался хорошей маневренностью и большим практическим потолком. Ему легко давались глубокие виражи, он свободно летал на одном моторе. Учитывая слабую подготовку летчиков, ускоренно выпущенных из училищ в годы воины, очень важны становились пилотажные качества самолета. Здесь "Бостон" был превосходен - прост и легок в управлении, послушен и устойчив на виражах. Взлет н посадка па нем выполнялись куда проще, чем па отечественном Пе-2. Моторы работали надежно, хорошо запускались, однако при весьма интенсивной эксплуатации не вырабатывали предписанный ресурс. Приходилось срывать поставленные американцами пломбы и менять поршни, цилиндры, поршневые кольца и подшипники. Американцы, но сравнению с советскими конструкторами, уделяли больше внимания условиям работы экипажа. Кабины А-20 были просторны, и летчик, и штурман имели хороший обзор, они располагались в удобных креслах с бронезащитой. Кабина отапливалась, что после наших промерзлых СБ и Пе-2 казалось немыслимой роскошью. НИИ спецслужб ВВС отмечал в отчете: "По субъективной оценке летного состава данная система отопления является очень хорошей". Наших пилотов поражало обилие отличных приборов - "Бостон" имел полный набор современного навигационного оснащения (3457,101).</w:t>
      </w:r>
    </w:p>
    <w:p w14:paraId="3691E088" w14:textId="77777777" w:rsidR="00AE7191" w:rsidRPr="001E2C69" w:rsidRDefault="00AE7191" w:rsidP="00722885">
      <w:pPr>
        <w:pStyle w:val="Iauiue"/>
        <w:jc w:val="both"/>
        <w:rPr>
          <w:color w:val="000000" w:themeColor="text1"/>
          <w:sz w:val="16"/>
          <w:szCs w:val="16"/>
        </w:rPr>
      </w:pPr>
    </w:p>
    <w:p w14:paraId="60FEACA8" w14:textId="77777777" w:rsidR="00FE59A3" w:rsidRPr="008A2E5A" w:rsidRDefault="00FE59A3" w:rsidP="00FE59A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июле-августе 1942 г. на фронте появились уже целые соединения, укомплектованные исключительно Бостонами Б-3. Это были 221-я и 244-я дивизии. 221-ю, которой командовал пол</w:t>
      </w:r>
      <w:r w:rsidRPr="008A2E5A">
        <w:rPr>
          <w:rFonts w:ascii="Times New Roman" w:hAnsi="Times New Roman"/>
          <w:color w:val="0070C0"/>
          <w:sz w:val="16"/>
          <w:szCs w:val="16"/>
        </w:rPr>
        <w:softHyphen/>
        <w:t>ковник И.Д. Антошкин, собрали из частей, прибывших на Юго-Западный фронт под Ворошиловград — 794-го, 745-го и 57-го бап. Последний из них совершил первый боевой вылет 24 июня. Закончился он не</w:t>
      </w:r>
      <w:r w:rsidRPr="008A2E5A">
        <w:rPr>
          <w:rFonts w:ascii="Times New Roman" w:hAnsi="Times New Roman"/>
          <w:color w:val="0070C0"/>
          <w:sz w:val="16"/>
          <w:szCs w:val="16"/>
        </w:rPr>
        <w:softHyphen/>
        <w:t>удачно: бомбардировщикам приказали вернуться, поскольку не смогли собрать истребители для сопровождения группы. Плохо прошел и второй вылет в тот же день, большинство самолетов эскадрильи не смогли сбросить бомбы из-за разных неполадок. Удача улыбнулась летчикам только на третий раз, вечером 25 июня. Они отлично отбомбились по скоплению танков и автомашин на околице деревни Ефремовка. Но цель была так велика, что промахнуться по ней было трудно. На во</w:t>
      </w:r>
      <w:r w:rsidRPr="008A2E5A">
        <w:rPr>
          <w:rFonts w:ascii="Times New Roman" w:hAnsi="Times New Roman"/>
          <w:color w:val="0070C0"/>
          <w:sz w:val="16"/>
          <w:szCs w:val="16"/>
        </w:rPr>
        <w:softHyphen/>
        <w:t>прос представителя разведки об увиден</w:t>
      </w:r>
      <w:r w:rsidRPr="008A2E5A">
        <w:rPr>
          <w:rFonts w:ascii="Times New Roman" w:hAnsi="Times New Roman"/>
          <w:color w:val="0070C0"/>
          <w:sz w:val="16"/>
          <w:szCs w:val="16"/>
        </w:rPr>
        <w:softHyphen/>
        <w:t>ном один из летчиков сказал: «Там бом</w:t>
      </w:r>
      <w:r w:rsidRPr="008A2E5A">
        <w:rPr>
          <w:rFonts w:ascii="Times New Roman" w:hAnsi="Times New Roman"/>
          <w:color w:val="0070C0"/>
          <w:sz w:val="16"/>
          <w:szCs w:val="16"/>
        </w:rPr>
        <w:softHyphen/>
        <w:t>бить не перебомбить!» Вот и бомбили, день за днем, по несколько вылетов в день. Уже 26 июня полк при налете на колонну автомашин у Купино потерял первый са</w:t>
      </w:r>
      <w:r w:rsidRPr="008A2E5A">
        <w:rPr>
          <w:rFonts w:ascii="Times New Roman" w:hAnsi="Times New Roman"/>
          <w:color w:val="0070C0"/>
          <w:sz w:val="16"/>
          <w:szCs w:val="16"/>
        </w:rPr>
        <w:softHyphen/>
        <w:t>молет, командира звена Лантуха. Как он погиб, никто не видел. Уклоняясь от не</w:t>
      </w:r>
      <w:r w:rsidRPr="008A2E5A">
        <w:rPr>
          <w:rFonts w:ascii="Times New Roman" w:hAnsi="Times New Roman"/>
          <w:color w:val="0070C0"/>
          <w:sz w:val="16"/>
          <w:szCs w:val="16"/>
        </w:rPr>
        <w:softHyphen/>
        <w:t>мецких истребителей, А-20В нырнул в об</w:t>
      </w:r>
      <w:r w:rsidRPr="008A2E5A">
        <w:rPr>
          <w:rFonts w:ascii="Times New Roman" w:hAnsi="Times New Roman"/>
          <w:color w:val="0070C0"/>
          <w:sz w:val="16"/>
          <w:szCs w:val="16"/>
        </w:rPr>
        <w:softHyphen/>
        <w:t>лака и исчез...</w:t>
      </w:r>
    </w:p>
    <w:p w14:paraId="2532A650" w14:textId="77777777" w:rsidR="00FE59A3" w:rsidRPr="008A2E5A" w:rsidRDefault="00FE59A3" w:rsidP="00FE59A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30 июня немцы начали наступление. Наши войска отошли за реку Оскол, но противник форсировал ее и продолжал двигаться вперед. 221-й бад поставили за</w:t>
      </w:r>
      <w:r w:rsidRPr="008A2E5A">
        <w:rPr>
          <w:rFonts w:ascii="Times New Roman" w:hAnsi="Times New Roman"/>
          <w:color w:val="0070C0"/>
          <w:sz w:val="16"/>
          <w:szCs w:val="16"/>
        </w:rPr>
        <w:softHyphen/>
        <w:t>дачу: бить танки, шедшие в голове немец</w:t>
      </w:r>
      <w:r w:rsidRPr="008A2E5A">
        <w:rPr>
          <w:rFonts w:ascii="Times New Roman" w:hAnsi="Times New Roman"/>
          <w:color w:val="0070C0"/>
          <w:sz w:val="16"/>
          <w:szCs w:val="16"/>
        </w:rPr>
        <w:softHyphen/>
        <w:t>ких колонн. Начинали на рассвете, закан</w:t>
      </w:r>
      <w:r w:rsidRPr="008A2E5A">
        <w:rPr>
          <w:rFonts w:ascii="Times New Roman" w:hAnsi="Times New Roman"/>
          <w:color w:val="0070C0"/>
          <w:sz w:val="16"/>
          <w:szCs w:val="16"/>
        </w:rPr>
        <w:softHyphen/>
        <w:t>чивали на закате — летний день длинный. Время вылета определялось просто: «по готовности звеньев». Получалось от четы</w:t>
      </w:r>
      <w:r w:rsidRPr="008A2E5A">
        <w:rPr>
          <w:rFonts w:ascii="Times New Roman" w:hAnsi="Times New Roman"/>
          <w:color w:val="0070C0"/>
          <w:sz w:val="16"/>
          <w:szCs w:val="16"/>
        </w:rPr>
        <w:softHyphen/>
        <w:t>рех до пяти раз в сутки.</w:t>
      </w:r>
    </w:p>
    <w:p w14:paraId="23231984" w14:textId="77777777" w:rsidR="00FE59A3" w:rsidRPr="008A2E5A" w:rsidRDefault="00FE59A3" w:rsidP="00FE59A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Вражеские истребители и зенитная артиллерия оказывали ожесточенное со</w:t>
      </w:r>
      <w:r w:rsidRPr="008A2E5A">
        <w:rPr>
          <w:rFonts w:ascii="Times New Roman" w:hAnsi="Times New Roman"/>
          <w:color w:val="0070C0"/>
          <w:sz w:val="16"/>
          <w:szCs w:val="16"/>
        </w:rPr>
        <w:softHyphen/>
        <w:t>противление нашим бомбардировщикам. Хотя А-20В обычно ходили на задания в сопровождении истребителей ЛаГГ-3, они тоже несли потери. При атаке бомбар</w:t>
      </w:r>
      <w:r w:rsidRPr="008A2E5A">
        <w:rPr>
          <w:rFonts w:ascii="Times New Roman" w:hAnsi="Times New Roman"/>
          <w:color w:val="0070C0"/>
          <w:sz w:val="16"/>
          <w:szCs w:val="16"/>
        </w:rPr>
        <w:softHyphen/>
        <w:t>дировщики смыкались в плотный строй, прикрывая друг друга огнем, и начина</w:t>
      </w:r>
      <w:r w:rsidRPr="008A2E5A">
        <w:rPr>
          <w:rFonts w:ascii="Times New Roman" w:hAnsi="Times New Roman"/>
          <w:color w:val="0070C0"/>
          <w:sz w:val="16"/>
          <w:szCs w:val="16"/>
        </w:rPr>
        <w:softHyphen/>
        <w:t>ли набирать высоту, а наши истребители, шедшие выше, пикировали на самолеты противника.</w:t>
      </w:r>
    </w:p>
    <w:p w14:paraId="14969740" w14:textId="77777777" w:rsidR="00FE59A3" w:rsidRPr="008A2E5A" w:rsidRDefault="00FE59A3" w:rsidP="00FE59A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разведку «Бостоны» обычно посы</w:t>
      </w:r>
      <w:r w:rsidRPr="008A2E5A">
        <w:rPr>
          <w:rFonts w:ascii="Times New Roman" w:hAnsi="Times New Roman"/>
          <w:color w:val="0070C0"/>
          <w:sz w:val="16"/>
          <w:szCs w:val="16"/>
        </w:rPr>
        <w:softHyphen/>
        <w:t>лали поодиночке. При появлении «мес</w:t>
      </w:r>
      <w:r w:rsidRPr="008A2E5A">
        <w:rPr>
          <w:rFonts w:ascii="Times New Roman" w:hAnsi="Times New Roman"/>
          <w:color w:val="0070C0"/>
          <w:sz w:val="16"/>
          <w:szCs w:val="16"/>
        </w:rPr>
        <w:softHyphen/>
        <w:t>сершмиттов» они набирали высоту или разворачивались носом к врагу, на под</w:t>
      </w:r>
      <w:r w:rsidRPr="008A2E5A">
        <w:rPr>
          <w:rFonts w:ascii="Times New Roman" w:hAnsi="Times New Roman"/>
          <w:color w:val="0070C0"/>
          <w:sz w:val="16"/>
          <w:szCs w:val="16"/>
        </w:rPr>
        <w:softHyphen/>
        <w:t>ходящей дистанции открывая огонь из передних пулеметов. Был случай, когда А-20В выдержал бой с тремя двухмотор</w:t>
      </w:r>
      <w:r w:rsidRPr="008A2E5A">
        <w:rPr>
          <w:rFonts w:ascii="Times New Roman" w:hAnsi="Times New Roman"/>
          <w:color w:val="0070C0"/>
          <w:sz w:val="16"/>
          <w:szCs w:val="16"/>
        </w:rPr>
        <w:softHyphen/>
        <w:t>ными истребителями Bf 110. Он сбил один из них, а от двух других ушел, петляя по оврагам на бреющем полете. Несмотря на поврежденную гидросистему и пробитую покрышку колеса, пилот посадил бомбар</w:t>
      </w:r>
      <w:r w:rsidRPr="008A2E5A">
        <w:rPr>
          <w:rFonts w:ascii="Times New Roman" w:hAnsi="Times New Roman"/>
          <w:color w:val="0070C0"/>
          <w:sz w:val="16"/>
          <w:szCs w:val="16"/>
        </w:rPr>
        <w:softHyphen/>
        <w:t>дировщик на своем аэродроме. На маши</w:t>
      </w:r>
      <w:r w:rsidRPr="008A2E5A">
        <w:rPr>
          <w:rFonts w:ascii="Times New Roman" w:hAnsi="Times New Roman"/>
          <w:color w:val="0070C0"/>
          <w:sz w:val="16"/>
          <w:szCs w:val="16"/>
        </w:rPr>
        <w:softHyphen/>
        <w:t>не насчитали более полусотни пробоин, в том числе в бензобаке.</w:t>
      </w:r>
    </w:p>
    <w:p w14:paraId="703531DD" w14:textId="77777777" w:rsidR="00FE59A3" w:rsidRPr="008A2E5A" w:rsidRDefault="00FE59A3" w:rsidP="00FE59A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июля летчик Митин отправился на разведку по специальному заданию, в ка</w:t>
      </w:r>
      <w:r w:rsidRPr="008A2E5A">
        <w:rPr>
          <w:rFonts w:ascii="Times New Roman" w:hAnsi="Times New Roman"/>
          <w:color w:val="0070C0"/>
          <w:sz w:val="16"/>
          <w:szCs w:val="16"/>
        </w:rPr>
        <w:softHyphen/>
        <w:t>бине стрелка сидел майор из Генерального штаба, который должен был лично оце</w:t>
      </w:r>
      <w:r w:rsidRPr="008A2E5A">
        <w:rPr>
          <w:rFonts w:ascii="Times New Roman" w:hAnsi="Times New Roman"/>
          <w:color w:val="0070C0"/>
          <w:sz w:val="16"/>
          <w:szCs w:val="16"/>
        </w:rPr>
        <w:softHyphen/>
        <w:t>нить ситуацию. Но в полете зенитный сна</w:t>
      </w:r>
      <w:r w:rsidRPr="008A2E5A">
        <w:rPr>
          <w:rFonts w:ascii="Times New Roman" w:hAnsi="Times New Roman"/>
          <w:color w:val="0070C0"/>
          <w:sz w:val="16"/>
          <w:szCs w:val="16"/>
        </w:rPr>
        <w:softHyphen/>
        <w:t>ряд вышиб здоровенный кусок обшивки из левого борта, как раз там, где размещал</w:t>
      </w:r>
      <w:r w:rsidRPr="008A2E5A">
        <w:rPr>
          <w:rFonts w:ascii="Times New Roman" w:hAnsi="Times New Roman"/>
          <w:color w:val="0070C0"/>
          <w:sz w:val="16"/>
          <w:szCs w:val="16"/>
        </w:rPr>
        <w:softHyphen/>
        <w:t>ся майор. Офицер не пострадал, но карту вырвало у него из рук и унесло куда-то в бомбоотсек. Как было вежливо написа</w:t>
      </w:r>
      <w:r w:rsidRPr="008A2E5A">
        <w:rPr>
          <w:rFonts w:ascii="Times New Roman" w:hAnsi="Times New Roman"/>
          <w:color w:val="0070C0"/>
          <w:sz w:val="16"/>
          <w:szCs w:val="16"/>
        </w:rPr>
        <w:softHyphen/>
        <w:t>но, «условия наблюдения у него во второй половине полета ухудшились». Но постав</w:t>
      </w:r>
      <w:r w:rsidRPr="008A2E5A">
        <w:rPr>
          <w:rFonts w:ascii="Times New Roman" w:hAnsi="Times New Roman"/>
          <w:color w:val="0070C0"/>
          <w:sz w:val="16"/>
          <w:szCs w:val="16"/>
        </w:rPr>
        <w:softHyphen/>
        <w:t>ленную задачу решили, и даже секретную карту, застрявшую в бомболюке, нашли (23513).</w:t>
      </w:r>
    </w:p>
    <w:p w14:paraId="43C6CD4B" w14:textId="77777777" w:rsidR="00FE59A3" w:rsidRPr="008A2E5A" w:rsidRDefault="00FE59A3" w:rsidP="00FE59A3">
      <w:pPr>
        <w:spacing w:after="0" w:line="240" w:lineRule="auto"/>
        <w:jc w:val="both"/>
        <w:rPr>
          <w:rFonts w:ascii="Times New Roman" w:hAnsi="Times New Roman"/>
          <w:color w:val="0070C0"/>
          <w:sz w:val="16"/>
          <w:szCs w:val="16"/>
        </w:rPr>
      </w:pPr>
    </w:p>
    <w:p w14:paraId="7DB12149" w14:textId="77777777" w:rsidR="00FE59A3" w:rsidRPr="001E2C69" w:rsidRDefault="00FE59A3" w:rsidP="00FE59A3">
      <w:pPr>
        <w:pStyle w:val="Iauiue"/>
        <w:jc w:val="both"/>
        <w:rPr>
          <w:iCs/>
          <w:color w:val="000000" w:themeColor="text1"/>
          <w:sz w:val="16"/>
          <w:szCs w:val="16"/>
        </w:rPr>
      </w:pPr>
      <w:r w:rsidRPr="001E2C69">
        <w:rPr>
          <w:i/>
          <w:iCs/>
          <w:color w:val="000000" w:themeColor="text1"/>
          <w:sz w:val="16"/>
          <w:szCs w:val="16"/>
        </w:rPr>
        <w:t>Авиапромышленность:</w:t>
      </w:r>
    </w:p>
    <w:p w14:paraId="0F56EF26" w14:textId="77777777" w:rsidR="00FE59A3" w:rsidRPr="001E2C69" w:rsidRDefault="00FE59A3" w:rsidP="00FE59A3">
      <w:pPr>
        <w:pStyle w:val="Iauiue"/>
        <w:jc w:val="both"/>
        <w:rPr>
          <w:iCs/>
          <w:color w:val="000000" w:themeColor="text1"/>
          <w:sz w:val="16"/>
          <w:szCs w:val="16"/>
        </w:rPr>
      </w:pPr>
    </w:p>
    <w:p w14:paraId="5144608F" w14:textId="77777777" w:rsidR="00FE59A3" w:rsidRPr="008A2E5A" w:rsidRDefault="00FE59A3" w:rsidP="00FE59A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лета 1942 г. машину МиГ-3 выкатили из цеха оконча</w:t>
      </w:r>
      <w:r w:rsidRPr="008A2E5A">
        <w:rPr>
          <w:rFonts w:ascii="Times New Roman" w:hAnsi="Times New Roman"/>
          <w:color w:val="0070C0"/>
          <w:sz w:val="16"/>
          <w:szCs w:val="16"/>
        </w:rPr>
        <w:softHyphen/>
        <w:t>тельной сборки, но некоторое время понадобилось на установку недостающих комплектую</w:t>
      </w:r>
      <w:r w:rsidRPr="008A2E5A">
        <w:rPr>
          <w:rFonts w:ascii="Times New Roman" w:hAnsi="Times New Roman"/>
          <w:color w:val="0070C0"/>
          <w:sz w:val="16"/>
          <w:szCs w:val="16"/>
        </w:rPr>
        <w:softHyphen/>
        <w:t>щих, регулировку систем и нивелиров</w:t>
      </w:r>
      <w:r w:rsidRPr="008A2E5A">
        <w:rPr>
          <w:rFonts w:ascii="Times New Roman" w:hAnsi="Times New Roman"/>
          <w:color w:val="0070C0"/>
          <w:sz w:val="16"/>
          <w:szCs w:val="16"/>
        </w:rPr>
        <w:softHyphen/>
        <w:t>ку планера. Взвешивание показало, что заправленный и снаряженный самолет во взлетной конфигурации (с пилотом) имеет массу 3260 кг, что уже было на 5% больше расчетного значения в 3100 кг. На первый взгляд, перебор не такой уж большой получился, но это без радио и части агрегатов силовой установки с со</w:t>
      </w:r>
      <w:r w:rsidRPr="008A2E5A">
        <w:rPr>
          <w:rFonts w:ascii="Times New Roman" w:hAnsi="Times New Roman"/>
          <w:color w:val="0070C0"/>
          <w:sz w:val="16"/>
          <w:szCs w:val="16"/>
        </w:rPr>
        <w:softHyphen/>
        <w:t>кращенным боекомплектом.</w:t>
      </w:r>
    </w:p>
    <w:p w14:paraId="47393EA4" w14:textId="77777777" w:rsidR="00FE59A3" w:rsidRPr="008A2E5A" w:rsidRDefault="00FE59A3" w:rsidP="00FE59A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 было плохо, но не мешало пере</w:t>
      </w:r>
      <w:r w:rsidRPr="008A2E5A">
        <w:rPr>
          <w:rFonts w:ascii="Times New Roman" w:hAnsi="Times New Roman"/>
          <w:color w:val="0070C0"/>
          <w:sz w:val="16"/>
          <w:szCs w:val="16"/>
        </w:rPr>
        <w:softHyphen/>
        <w:t>дать самолет на летные испытания. На</w:t>
      </w:r>
      <w:r w:rsidRPr="008A2E5A">
        <w:rPr>
          <w:rFonts w:ascii="Times New Roman" w:hAnsi="Times New Roman"/>
          <w:color w:val="0070C0"/>
          <w:sz w:val="16"/>
          <w:szCs w:val="16"/>
        </w:rPr>
        <w:softHyphen/>
        <w:t>конец, наземные работы были законче</w:t>
      </w:r>
      <w:r w:rsidRPr="008A2E5A">
        <w:rPr>
          <w:rFonts w:ascii="Times New Roman" w:hAnsi="Times New Roman"/>
          <w:color w:val="0070C0"/>
          <w:sz w:val="16"/>
          <w:szCs w:val="16"/>
        </w:rPr>
        <w:softHyphen/>
        <w:t>ны, и 11 августа 1942 г. пилот Летно-ис</w:t>
      </w:r>
      <w:r w:rsidRPr="008A2E5A">
        <w:rPr>
          <w:rFonts w:ascii="Times New Roman" w:hAnsi="Times New Roman"/>
          <w:color w:val="0070C0"/>
          <w:sz w:val="16"/>
          <w:szCs w:val="16"/>
        </w:rPr>
        <w:softHyphen/>
        <w:t>пытательного института Наркомата авиа</w:t>
      </w:r>
      <w:r w:rsidRPr="008A2E5A">
        <w:rPr>
          <w:rFonts w:ascii="Times New Roman" w:hAnsi="Times New Roman"/>
          <w:color w:val="0070C0"/>
          <w:sz w:val="16"/>
          <w:szCs w:val="16"/>
        </w:rPr>
        <w:softHyphen/>
        <w:t>промышленности И.И. Калинин впервые поднял И-230 в небо с Центрального аэ</w:t>
      </w:r>
      <w:r w:rsidRPr="008A2E5A">
        <w:rPr>
          <w:rFonts w:ascii="Times New Roman" w:hAnsi="Times New Roman"/>
          <w:color w:val="0070C0"/>
          <w:sz w:val="16"/>
          <w:szCs w:val="16"/>
        </w:rPr>
        <w:softHyphen/>
        <w:t>родрома им. Фрунзе на Ходынском поле в Москве (23396).</w:t>
      </w:r>
    </w:p>
    <w:p w14:paraId="7A24FA9B" w14:textId="77777777" w:rsidR="00FE59A3" w:rsidRDefault="00FE59A3" w:rsidP="00FE59A3">
      <w:pPr>
        <w:spacing w:after="0" w:line="240" w:lineRule="auto"/>
        <w:jc w:val="both"/>
        <w:rPr>
          <w:rFonts w:ascii="Times New Roman" w:hAnsi="Times New Roman"/>
          <w:color w:val="0070C0"/>
          <w:sz w:val="16"/>
          <w:szCs w:val="16"/>
        </w:rPr>
      </w:pPr>
    </w:p>
    <w:p w14:paraId="03814093" w14:textId="02972D1A" w:rsidR="00FE59A3" w:rsidRPr="00FE59A3" w:rsidRDefault="00FE59A3" w:rsidP="00FE59A3">
      <w:pPr>
        <w:spacing w:after="0" w:line="240" w:lineRule="auto"/>
        <w:jc w:val="both"/>
        <w:rPr>
          <w:rFonts w:ascii="Times New Roman" w:hAnsi="Times New Roman"/>
          <w:i/>
          <w:iCs/>
          <w:color w:val="0070C0"/>
          <w:sz w:val="16"/>
          <w:szCs w:val="16"/>
        </w:rPr>
      </w:pPr>
      <w:r w:rsidRPr="00FE59A3">
        <w:rPr>
          <w:rFonts w:ascii="Times New Roman" w:hAnsi="Times New Roman"/>
          <w:i/>
          <w:iCs/>
          <w:color w:val="0070C0"/>
          <w:sz w:val="16"/>
          <w:szCs w:val="16"/>
        </w:rPr>
        <w:t>Другие оборонные отрасли:</w:t>
      </w:r>
    </w:p>
    <w:p w14:paraId="094BF0A0" w14:textId="77777777" w:rsidR="00FE59A3" w:rsidRPr="00FE59A3" w:rsidRDefault="00FE59A3" w:rsidP="00FE59A3">
      <w:pPr>
        <w:spacing w:after="0" w:line="240" w:lineRule="auto"/>
        <w:jc w:val="both"/>
        <w:rPr>
          <w:rFonts w:ascii="Times New Roman" w:hAnsi="Times New Roman"/>
          <w:i/>
          <w:iCs/>
          <w:color w:val="0070C0"/>
          <w:sz w:val="16"/>
          <w:szCs w:val="16"/>
        </w:rPr>
      </w:pPr>
    </w:p>
    <w:p w14:paraId="434A2FD9" w14:textId="77777777" w:rsidR="00FE59A3" w:rsidRPr="008A2E5A" w:rsidRDefault="00FE59A3" w:rsidP="00FE59A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лета 1942 года, когда стали поступать сообщения о проблемах, в полной мере запустили работы по модернизации Т-70. Итогом стало появление танка Т-70Б. 8 сентября 1942 года Сталин подписал постановление ГКО №2276сс "О танках Т-70", согласно которому модернизированный танк запускался в серию (23363).</w:t>
      </w:r>
    </w:p>
    <w:p w14:paraId="101A6E27" w14:textId="77777777" w:rsidR="00FE59A3" w:rsidRPr="008A2E5A" w:rsidRDefault="00FE59A3" w:rsidP="00FE59A3">
      <w:pPr>
        <w:spacing w:after="0" w:line="240" w:lineRule="auto"/>
        <w:jc w:val="both"/>
        <w:rPr>
          <w:rFonts w:ascii="Times New Roman" w:hAnsi="Times New Roman"/>
          <w:color w:val="0070C0"/>
          <w:sz w:val="16"/>
          <w:szCs w:val="16"/>
        </w:rPr>
      </w:pPr>
    </w:p>
    <w:p w14:paraId="39B0B956" w14:textId="77777777" w:rsidR="00FE59A3" w:rsidRPr="008A2E5A" w:rsidRDefault="00FE59A3" w:rsidP="00FE59A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лета 1942 года на ГАЗ им. Молотова была запущена работа по модернизации танка Т-70. Прежде всего это касалось ходовой части, которая, как показала эксплуатация в войсках и заводские испытания, имела проблемы с перегрузкой (23367).</w:t>
      </w:r>
    </w:p>
    <w:p w14:paraId="4BC2F993" w14:textId="77777777" w:rsidR="00FE59A3" w:rsidRPr="008A2E5A" w:rsidRDefault="00FE59A3" w:rsidP="00FE59A3">
      <w:pPr>
        <w:spacing w:after="0" w:line="240" w:lineRule="auto"/>
        <w:jc w:val="both"/>
        <w:rPr>
          <w:rFonts w:ascii="Times New Roman" w:hAnsi="Times New Roman"/>
          <w:color w:val="0070C0"/>
          <w:sz w:val="16"/>
          <w:szCs w:val="16"/>
        </w:rPr>
      </w:pPr>
    </w:p>
    <w:p w14:paraId="5B8DAA53" w14:textId="4DC795E5" w:rsidR="00C72084" w:rsidRDefault="00C72084" w:rsidP="00722885">
      <w:pPr>
        <w:pStyle w:val="Iauiue"/>
        <w:jc w:val="both"/>
        <w:rPr>
          <w:i/>
          <w:iCs/>
          <w:color w:val="000000" w:themeColor="text1"/>
          <w:sz w:val="16"/>
          <w:szCs w:val="16"/>
        </w:rPr>
      </w:pPr>
      <w:r>
        <w:rPr>
          <w:i/>
          <w:iCs/>
          <w:color w:val="000000" w:themeColor="text1"/>
          <w:sz w:val="16"/>
          <w:szCs w:val="16"/>
        </w:rPr>
        <w:t>За рубежом:</w:t>
      </w:r>
    </w:p>
    <w:p w14:paraId="03175F66" w14:textId="77777777" w:rsidR="00C72084" w:rsidRDefault="00C72084" w:rsidP="00722885">
      <w:pPr>
        <w:pStyle w:val="Iauiue"/>
        <w:jc w:val="both"/>
        <w:rPr>
          <w:i/>
          <w:iCs/>
          <w:color w:val="000000" w:themeColor="text1"/>
          <w:sz w:val="16"/>
          <w:szCs w:val="16"/>
        </w:rPr>
      </w:pPr>
    </w:p>
    <w:p w14:paraId="32B373FE" w14:textId="77777777" w:rsidR="00C72084" w:rsidRPr="008A2E5A" w:rsidRDefault="00C72084" w:rsidP="00C720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лета 1941 г. «Даймлер-Бенц» заявила о том, что ей удалось решить наибо</w:t>
      </w:r>
      <w:r w:rsidRPr="008A2E5A">
        <w:rPr>
          <w:rFonts w:ascii="Times New Roman" w:hAnsi="Times New Roman"/>
          <w:color w:val="0070C0"/>
          <w:sz w:val="16"/>
          <w:szCs w:val="16"/>
        </w:rPr>
        <w:softHyphen/>
        <w:t>лее серьезные проблемы, связанные с внедре</w:t>
      </w:r>
      <w:r w:rsidRPr="008A2E5A">
        <w:rPr>
          <w:rFonts w:ascii="Times New Roman" w:hAnsi="Times New Roman"/>
          <w:color w:val="0070C0"/>
          <w:sz w:val="16"/>
          <w:szCs w:val="16"/>
        </w:rPr>
        <w:softHyphen/>
        <w:t>нием в серию двигателя DB601E. Параллель</w:t>
      </w:r>
      <w:r w:rsidRPr="008A2E5A">
        <w:rPr>
          <w:rFonts w:ascii="Times New Roman" w:hAnsi="Times New Roman"/>
          <w:color w:val="0070C0"/>
          <w:sz w:val="16"/>
          <w:szCs w:val="16"/>
        </w:rPr>
        <w:softHyphen/>
        <w:t>но подготовили к серийному выпуску новый винт VDM 9-12010А. Следующей версией «Фридриха» по планам фирмы «Мессершмитт» должен был стать вариант истребителя со скомпрометировавшей себя мотор-пушкой MG/FF-M. Между тем, «Маузер» проин</w:t>
      </w:r>
      <w:r w:rsidRPr="008A2E5A">
        <w:rPr>
          <w:rFonts w:ascii="Times New Roman" w:hAnsi="Times New Roman"/>
          <w:color w:val="0070C0"/>
          <w:sz w:val="16"/>
          <w:szCs w:val="16"/>
        </w:rPr>
        <w:softHyphen/>
        <w:t>формировала главного конструктора о том, что она приступила к серийному изготовле</w:t>
      </w:r>
      <w:r w:rsidRPr="008A2E5A">
        <w:rPr>
          <w:rFonts w:ascii="Times New Roman" w:hAnsi="Times New Roman"/>
          <w:color w:val="0070C0"/>
          <w:sz w:val="16"/>
          <w:szCs w:val="16"/>
        </w:rPr>
        <w:softHyphen/>
        <w:t>нию 20-мм варианта пушки MG 151 (ее ско</w:t>
      </w:r>
      <w:r w:rsidRPr="008A2E5A">
        <w:rPr>
          <w:rFonts w:ascii="Times New Roman" w:hAnsi="Times New Roman"/>
          <w:color w:val="0070C0"/>
          <w:sz w:val="16"/>
          <w:szCs w:val="16"/>
        </w:rPr>
        <w:softHyphen/>
        <w:t>рострельность по сравнению с 15-мм мо</w:t>
      </w:r>
      <w:r w:rsidRPr="008A2E5A">
        <w:rPr>
          <w:rFonts w:ascii="Times New Roman" w:hAnsi="Times New Roman"/>
          <w:color w:val="0070C0"/>
          <w:sz w:val="16"/>
          <w:szCs w:val="16"/>
        </w:rPr>
        <w:softHyphen/>
        <w:t>дификацией стала меньше, но осталась на неплохом уровне — 750 выстр./мин при на</w:t>
      </w:r>
      <w:r w:rsidRPr="008A2E5A">
        <w:rPr>
          <w:rFonts w:ascii="Times New Roman" w:hAnsi="Times New Roman"/>
          <w:color w:val="0070C0"/>
          <w:sz w:val="16"/>
          <w:szCs w:val="16"/>
        </w:rPr>
        <w:softHyphen/>
        <w:t>чальной скорости снаряда 790 м/с). В резуль</w:t>
      </w:r>
      <w:r w:rsidRPr="008A2E5A">
        <w:rPr>
          <w:rFonts w:ascii="Times New Roman" w:hAnsi="Times New Roman"/>
          <w:color w:val="0070C0"/>
          <w:sz w:val="16"/>
          <w:szCs w:val="16"/>
        </w:rPr>
        <w:softHyphen/>
        <w:t xml:space="preserve">тате, было решено вооружать «Фридрихи» пушками MG 151, причем на </w:t>
      </w:r>
      <w:r w:rsidRPr="008A2E5A">
        <w:rPr>
          <w:rFonts w:ascii="Times New Roman" w:hAnsi="Times New Roman"/>
          <w:color w:val="0070C0"/>
          <w:sz w:val="16"/>
          <w:szCs w:val="16"/>
        </w:rPr>
        <w:lastRenderedPageBreak/>
        <w:t>модификацию F-3 ставили пушку с калибром ствола 15 мм, а на F-4 — 20-мм ствол. Вскоре стало ясно, что последний вариант гораздо более популярен у летного состава — его и строили в больших количествах, начиная с мая 1941 г. на заводе в Винер-Нойштадте, и с июня — на «Эрле».</w:t>
      </w:r>
    </w:p>
    <w:p w14:paraId="2975AA00" w14:textId="77777777" w:rsidR="00C72084" w:rsidRPr="008A2E5A" w:rsidRDefault="00C72084" w:rsidP="00C720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машины на всех высотах благодаря более мощному двигате</w:t>
      </w:r>
      <w:r w:rsidRPr="008A2E5A">
        <w:rPr>
          <w:rFonts w:ascii="Times New Roman" w:hAnsi="Times New Roman"/>
          <w:color w:val="0070C0"/>
          <w:sz w:val="16"/>
          <w:szCs w:val="16"/>
        </w:rPr>
        <w:softHyphen/>
        <w:t>лю возросла на 10—25 км/ч (относительно Bf 109F-2), улучшилась и скороподъемность. Конструкторы улучшили протектирование бензобака, а защиту пилота усилили, устано</w:t>
      </w:r>
      <w:r w:rsidRPr="008A2E5A">
        <w:rPr>
          <w:rFonts w:ascii="Times New Roman" w:hAnsi="Times New Roman"/>
          <w:color w:val="0070C0"/>
          <w:sz w:val="16"/>
          <w:szCs w:val="16"/>
        </w:rPr>
        <w:softHyphen/>
        <w:t>вив наклонный бронезаголовник. Некоторые машины оснащались дополнительной много</w:t>
      </w:r>
      <w:r w:rsidRPr="008A2E5A">
        <w:rPr>
          <w:rFonts w:ascii="Times New Roman" w:hAnsi="Times New Roman"/>
          <w:color w:val="0070C0"/>
          <w:sz w:val="16"/>
          <w:szCs w:val="16"/>
        </w:rPr>
        <w:softHyphen/>
        <w:t>слойной перегородкой, состоявшей из пачки дюралевых листов, монтировавшейся позади бензобака. Эти листы легко пробивались пу</w:t>
      </w:r>
      <w:r w:rsidRPr="008A2E5A">
        <w:rPr>
          <w:rFonts w:ascii="Times New Roman" w:hAnsi="Times New Roman"/>
          <w:color w:val="0070C0"/>
          <w:sz w:val="16"/>
          <w:szCs w:val="16"/>
        </w:rPr>
        <w:softHyphen/>
        <w:t>лей винтовочного калибра, однако на них пу</w:t>
      </w:r>
      <w:r w:rsidRPr="008A2E5A">
        <w:rPr>
          <w:rFonts w:ascii="Times New Roman" w:hAnsi="Times New Roman"/>
          <w:color w:val="0070C0"/>
          <w:sz w:val="16"/>
          <w:szCs w:val="16"/>
        </w:rPr>
        <w:softHyphen/>
        <w:t>ля оставляла зажигательный состав и, кроме того, теряла устойчивость, подходя к основ</w:t>
      </w:r>
      <w:r w:rsidRPr="008A2E5A">
        <w:rPr>
          <w:rFonts w:ascii="Times New Roman" w:hAnsi="Times New Roman"/>
          <w:color w:val="0070C0"/>
          <w:sz w:val="16"/>
          <w:szCs w:val="16"/>
        </w:rPr>
        <w:softHyphen/>
        <w:t>ной броне уже не носиком, а боком. На фона</w:t>
      </w:r>
      <w:r w:rsidRPr="008A2E5A">
        <w:rPr>
          <w:rFonts w:ascii="Times New Roman" w:hAnsi="Times New Roman"/>
          <w:color w:val="0070C0"/>
          <w:sz w:val="16"/>
          <w:szCs w:val="16"/>
        </w:rPr>
        <w:softHyphen/>
        <w:t>ре кабины установили лобовое бронестекло (такое же 60-мм стекло получили и дорабо</w:t>
      </w:r>
      <w:r w:rsidRPr="008A2E5A">
        <w:rPr>
          <w:rFonts w:ascii="Times New Roman" w:hAnsi="Times New Roman"/>
          <w:color w:val="0070C0"/>
          <w:sz w:val="16"/>
          <w:szCs w:val="16"/>
        </w:rPr>
        <w:softHyphen/>
        <w:t>танные Bf 109F-2, но оно монтировалось сна</w:t>
      </w:r>
      <w:r w:rsidRPr="008A2E5A">
        <w:rPr>
          <w:rFonts w:ascii="Times New Roman" w:hAnsi="Times New Roman"/>
          <w:color w:val="0070C0"/>
          <w:sz w:val="16"/>
          <w:szCs w:val="16"/>
        </w:rPr>
        <w:softHyphen/>
        <w:t>ружи как бы в дополнение к нормальному не</w:t>
      </w:r>
      <w:r w:rsidRPr="008A2E5A">
        <w:rPr>
          <w:rFonts w:ascii="Times New Roman" w:hAnsi="Times New Roman"/>
          <w:color w:val="0070C0"/>
          <w:sz w:val="16"/>
          <w:szCs w:val="16"/>
        </w:rPr>
        <w:softHyphen/>
        <w:t>бронированному козырьку). На части машин бронестекло установили и позади пилота в бронеспинке для улучшения обзора назад.</w:t>
      </w:r>
    </w:p>
    <w:p w14:paraId="22077A80" w14:textId="77777777" w:rsidR="00C72084" w:rsidRPr="008A2E5A" w:rsidRDefault="00C72084" w:rsidP="00C720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Усиливающие элементы стали монтиро</w:t>
      </w:r>
      <w:r w:rsidRPr="008A2E5A">
        <w:rPr>
          <w:rFonts w:ascii="Times New Roman" w:hAnsi="Times New Roman"/>
          <w:color w:val="0070C0"/>
          <w:sz w:val="16"/>
          <w:szCs w:val="16"/>
        </w:rPr>
        <w:softHyphen/>
        <w:t>ваться внутри хвостовой части фюзеляжа и перестали быть заметными. Обычно «Фрид</w:t>
      </w:r>
      <w:r w:rsidRPr="008A2E5A">
        <w:rPr>
          <w:rFonts w:ascii="Times New Roman" w:hAnsi="Times New Roman"/>
          <w:color w:val="0070C0"/>
          <w:sz w:val="16"/>
          <w:szCs w:val="16"/>
        </w:rPr>
        <w:softHyphen/>
        <w:t>рихи» оборудовались радиостанцией FuG 7а и прицелом Реви C/12D. В кабине появился пе</w:t>
      </w:r>
      <w:r w:rsidRPr="008A2E5A">
        <w:rPr>
          <w:rFonts w:ascii="Times New Roman" w:hAnsi="Times New Roman"/>
          <w:color w:val="0070C0"/>
          <w:sz w:val="16"/>
          <w:szCs w:val="16"/>
        </w:rPr>
        <w:softHyphen/>
        <w:t>реключатель. позволявший вести огонь толь</w:t>
      </w:r>
      <w:r w:rsidRPr="008A2E5A">
        <w:rPr>
          <w:rFonts w:ascii="Times New Roman" w:hAnsi="Times New Roman"/>
          <w:color w:val="0070C0"/>
          <w:sz w:val="16"/>
          <w:szCs w:val="16"/>
        </w:rPr>
        <w:softHyphen/>
        <w:t>ко из пушки, только из пулеметов, или из пушки и пулеметов одновременно. Взлетный вес истребителя В. Мессершмитта быстро рос: если Bf 109F-I весил 2615 кг, Bf I09F-2 — 2800 кг, то Bf 109F-3 — уже 2915 кг. Несмотря на осознание пагубности такой практики, тенденция сохранилась и на Bf 109F-4, взлет</w:t>
      </w:r>
      <w:r w:rsidRPr="008A2E5A">
        <w:rPr>
          <w:rFonts w:ascii="Times New Roman" w:hAnsi="Times New Roman"/>
          <w:color w:val="0070C0"/>
          <w:sz w:val="16"/>
          <w:szCs w:val="16"/>
        </w:rPr>
        <w:softHyphen/>
        <w:t>ная масса которого в зависимости от субмоди</w:t>
      </w:r>
      <w:r w:rsidRPr="008A2E5A">
        <w:rPr>
          <w:rFonts w:ascii="Times New Roman" w:hAnsi="Times New Roman"/>
          <w:color w:val="0070C0"/>
          <w:sz w:val="16"/>
          <w:szCs w:val="16"/>
        </w:rPr>
        <w:softHyphen/>
        <w:t>фикации составляла 2930—3015 кг.</w:t>
      </w:r>
    </w:p>
    <w:p w14:paraId="13F33255" w14:textId="77777777" w:rsidR="00C72084" w:rsidRPr="008A2E5A" w:rsidRDefault="00C72084" w:rsidP="00C720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 Bf 109F-4 вызывало самые противоречивые отзывы у наиболее опытных пилотов-истребителей Германии. Так, если В. Мельдерс был полностью удовлетворен легким вооружением из 20-мм пушки и двух пулеметов, то А. Галланд считал сокращение состава вооружения самолета шагом назад. В результате дискуссий по поводу состава во</w:t>
      </w:r>
      <w:r w:rsidRPr="008A2E5A">
        <w:rPr>
          <w:rFonts w:ascii="Times New Roman" w:hAnsi="Times New Roman"/>
          <w:color w:val="0070C0"/>
          <w:sz w:val="16"/>
          <w:szCs w:val="16"/>
        </w:rPr>
        <w:softHyphen/>
        <w:t>оружения фирма «Мессершмитт» разработала для истребителя Bf I09F-4 так называемый полевой доработочный комплект, который представлял собой пару пушек MG-151/20 в подкрыльевых гондолах с боезапасом из 120 снарядов на ствол. Истребитель, оснащенный дополнительными пушками, получил обозна</w:t>
      </w:r>
      <w:r w:rsidRPr="008A2E5A">
        <w:rPr>
          <w:rFonts w:ascii="Times New Roman" w:hAnsi="Times New Roman"/>
          <w:color w:val="0070C0"/>
          <w:sz w:val="16"/>
          <w:szCs w:val="16"/>
        </w:rPr>
        <w:softHyphen/>
        <w:t>чение Bf 109F-4/R1.</w:t>
      </w:r>
    </w:p>
    <w:p w14:paraId="73DE9256" w14:textId="77777777" w:rsidR="00C72084" w:rsidRPr="008A2E5A" w:rsidRDefault="00C72084" w:rsidP="00C720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Хотя дополнительное вооружение повыси</w:t>
      </w:r>
      <w:r w:rsidRPr="008A2E5A">
        <w:rPr>
          <w:rFonts w:ascii="Times New Roman" w:hAnsi="Times New Roman"/>
          <w:color w:val="0070C0"/>
          <w:sz w:val="16"/>
          <w:szCs w:val="16"/>
        </w:rPr>
        <w:softHyphen/>
        <w:t>ло огневую мощь самолета и его боевые воз</w:t>
      </w:r>
      <w:r w:rsidRPr="008A2E5A">
        <w:rPr>
          <w:rFonts w:ascii="Times New Roman" w:hAnsi="Times New Roman"/>
          <w:color w:val="0070C0"/>
          <w:sz w:val="16"/>
          <w:szCs w:val="16"/>
        </w:rPr>
        <w:softHyphen/>
        <w:t>можности в варианте штурмовика или пере</w:t>
      </w:r>
      <w:r w:rsidRPr="008A2E5A">
        <w:rPr>
          <w:rFonts w:ascii="Times New Roman" w:hAnsi="Times New Roman"/>
          <w:color w:val="0070C0"/>
          <w:sz w:val="16"/>
          <w:szCs w:val="16"/>
        </w:rPr>
        <w:softHyphen/>
        <w:t>хватчика, но отрицательно повлияло на ус</w:t>
      </w:r>
      <w:r w:rsidRPr="008A2E5A">
        <w:rPr>
          <w:rFonts w:ascii="Times New Roman" w:hAnsi="Times New Roman"/>
          <w:color w:val="0070C0"/>
          <w:sz w:val="16"/>
          <w:szCs w:val="16"/>
        </w:rPr>
        <w:softHyphen/>
        <w:t>тойчивость и управляемость машины из-за увеличения лобового сопротивления и массы. Самолет приобрел тенденцию к раскачива</w:t>
      </w:r>
      <w:r w:rsidRPr="008A2E5A">
        <w:rPr>
          <w:rFonts w:ascii="Times New Roman" w:hAnsi="Times New Roman"/>
          <w:color w:val="0070C0"/>
          <w:sz w:val="16"/>
          <w:szCs w:val="16"/>
        </w:rPr>
        <w:softHyphen/>
        <w:t>нию, снизились его возможности ведения воздушного боя против истребителей против</w:t>
      </w:r>
      <w:r w:rsidRPr="008A2E5A">
        <w:rPr>
          <w:rFonts w:ascii="Times New Roman" w:hAnsi="Times New Roman"/>
          <w:color w:val="0070C0"/>
          <w:sz w:val="16"/>
          <w:szCs w:val="16"/>
        </w:rPr>
        <w:softHyphen/>
        <w:t>ника (24195).</w:t>
      </w:r>
    </w:p>
    <w:p w14:paraId="3CA0D492" w14:textId="77777777" w:rsidR="00C72084" w:rsidRPr="008A2E5A" w:rsidRDefault="00C72084" w:rsidP="00C72084">
      <w:pPr>
        <w:spacing w:after="0" w:line="240" w:lineRule="auto"/>
        <w:jc w:val="both"/>
        <w:rPr>
          <w:rFonts w:ascii="Times New Roman" w:hAnsi="Times New Roman"/>
          <w:color w:val="0070C0"/>
          <w:sz w:val="16"/>
          <w:szCs w:val="16"/>
        </w:rPr>
      </w:pPr>
    </w:p>
    <w:p w14:paraId="155F836C" w14:textId="64CC0CE3"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0C417AB0" w14:textId="77777777" w:rsidR="00AE7191" w:rsidRPr="001E2C69" w:rsidRDefault="00AE7191" w:rsidP="00722885">
      <w:pPr>
        <w:pStyle w:val="Iauiue"/>
        <w:jc w:val="both"/>
        <w:rPr>
          <w:iCs/>
          <w:color w:val="000000" w:themeColor="text1"/>
          <w:sz w:val="16"/>
          <w:szCs w:val="16"/>
        </w:rPr>
      </w:pPr>
    </w:p>
    <w:p w14:paraId="78A50547" w14:textId="77777777" w:rsidR="007B212D" w:rsidRPr="001E2C69" w:rsidRDefault="007B212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августу 1942 ТБ-7 с серийным номером 42066 (42 - заводское обозна</w:t>
      </w:r>
      <w:r w:rsidRPr="001E2C69">
        <w:rPr>
          <w:rFonts w:ascii="Times New Roman" w:hAnsi="Times New Roman"/>
          <w:color w:val="000000" w:themeColor="text1"/>
          <w:sz w:val="16"/>
          <w:szCs w:val="16"/>
        </w:rPr>
        <w:softHyphen/>
        <w:t xml:space="preserve">чение ТБ-7, 06 - порядковый номер машины в серии, 6 - номер серии), который знаменит, в первую очередь, своим перелетом в Англию, США и обратно с делегацией во главе с министром иностранных дел СССР В.М. Молотовым на борту, был еще не до конца готов и достраивался на заводе. </w:t>
      </w:r>
    </w:p>
    <w:p w14:paraId="6DC866C2" w14:textId="77777777" w:rsidR="007B212D" w:rsidRPr="001E2C69" w:rsidRDefault="007B212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Впервые данная машина упоминается в таблице о состоянии материальной части 432 ДБАП (дальнебомбардировачный авиаполк). Там указывалось, что ТБ-7 №42066 был оснащен моторами М-40Ф, в шассийных установках стоят крупнокалиберные пулеметы УБТ, кор</w:t>
      </w:r>
      <w:r w:rsidRPr="001E2C69">
        <w:rPr>
          <w:rFonts w:ascii="Times New Roman" w:hAnsi="Times New Roman"/>
          <w:color w:val="000000" w:themeColor="text1"/>
          <w:sz w:val="16"/>
          <w:szCs w:val="16"/>
        </w:rPr>
        <w:softHyphen/>
        <w:t>мовая установка КЭБ-42 оснащена пушкой ШВАК.</w:t>
      </w:r>
    </w:p>
    <w:p w14:paraId="3C1B04F5" w14:textId="77777777" w:rsidR="007B212D" w:rsidRPr="001E2C69" w:rsidRDefault="007B212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так как местом формирования и базирования полка в первые месяцы войны был заводской аэродром завода №124 в Казани, где и строи</w:t>
      </w:r>
      <w:r w:rsidRPr="001E2C69">
        <w:rPr>
          <w:rFonts w:ascii="Times New Roman" w:hAnsi="Times New Roman"/>
          <w:color w:val="000000" w:themeColor="text1"/>
          <w:sz w:val="16"/>
          <w:szCs w:val="16"/>
        </w:rPr>
        <w:softHyphen/>
        <w:t>ли ТБ-7, вполне возможно, что он был пере</w:t>
      </w:r>
      <w:r w:rsidRPr="001E2C69">
        <w:rPr>
          <w:rFonts w:ascii="Times New Roman" w:hAnsi="Times New Roman"/>
          <w:color w:val="000000" w:themeColor="text1"/>
          <w:sz w:val="16"/>
          <w:szCs w:val="16"/>
        </w:rPr>
        <w:softHyphen/>
        <w:t>дан и включен в список полка, хотя еще не был окончательно достроен. Или же причина состоит в том, что после неудачных вылетов на Берлин в ночь с 10 на 11 августа и в ночь с 29 на 30 октября 1941 года, доверие к авиа</w:t>
      </w:r>
      <w:r w:rsidRPr="001E2C69">
        <w:rPr>
          <w:rFonts w:ascii="Times New Roman" w:hAnsi="Times New Roman"/>
          <w:color w:val="000000" w:themeColor="text1"/>
          <w:sz w:val="16"/>
          <w:szCs w:val="16"/>
        </w:rPr>
        <w:softHyphen/>
        <w:t>ционным дизелям было потеряно, и ранее выпущенные машины с дизельными двигате</w:t>
      </w:r>
      <w:r w:rsidRPr="001E2C69">
        <w:rPr>
          <w:rFonts w:ascii="Times New Roman" w:hAnsi="Times New Roman"/>
          <w:color w:val="000000" w:themeColor="text1"/>
          <w:sz w:val="16"/>
          <w:szCs w:val="16"/>
        </w:rPr>
        <w:softHyphen/>
        <w:t>лями решили оснастить более надежными двигателями АМ-35А. Это решение коснулось и ТБ-7 №42066. Переоснащение под новые двигатели заняло какое- то время. Тем более, что в декабре 1941 года было принято реше</w:t>
      </w:r>
      <w:r w:rsidRPr="001E2C69">
        <w:rPr>
          <w:rFonts w:ascii="Times New Roman" w:hAnsi="Times New Roman"/>
          <w:color w:val="000000" w:themeColor="text1"/>
          <w:sz w:val="16"/>
          <w:szCs w:val="16"/>
        </w:rPr>
        <w:softHyphen/>
        <w:t>ние о прекращении выпуска ТБ-7 в пользу Пе-2, которые производил эвакуированный из Москвы в Казань завод №22, размещенный на площадях завода №124. Выпуск ТБ-7 про</w:t>
      </w:r>
      <w:r w:rsidRPr="001E2C69">
        <w:rPr>
          <w:rFonts w:ascii="Times New Roman" w:hAnsi="Times New Roman"/>
          <w:color w:val="000000" w:themeColor="text1"/>
          <w:sz w:val="16"/>
          <w:szCs w:val="16"/>
        </w:rPr>
        <w:softHyphen/>
        <w:t>должался теперь малыми темпами и неофи</w:t>
      </w:r>
      <w:r w:rsidRPr="001E2C69">
        <w:rPr>
          <w:rFonts w:ascii="Times New Roman" w:hAnsi="Times New Roman"/>
          <w:color w:val="000000" w:themeColor="text1"/>
          <w:sz w:val="16"/>
          <w:szCs w:val="16"/>
        </w:rPr>
        <w:softHyphen/>
        <w:t>циально (19936).</w:t>
      </w:r>
    </w:p>
    <w:p w14:paraId="7399F4CE" w14:textId="77777777" w:rsidR="007B212D" w:rsidRPr="001E2C69" w:rsidRDefault="007B212D" w:rsidP="00722885">
      <w:pPr>
        <w:spacing w:after="0" w:line="240" w:lineRule="auto"/>
        <w:jc w:val="both"/>
        <w:rPr>
          <w:rFonts w:ascii="Times New Roman" w:hAnsi="Times New Roman"/>
          <w:color w:val="000000" w:themeColor="text1"/>
          <w:sz w:val="16"/>
          <w:szCs w:val="16"/>
        </w:rPr>
      </w:pPr>
    </w:p>
    <w:p w14:paraId="470C6B1C" w14:textId="77777777" w:rsidR="007240D5" w:rsidRPr="001E2C69" w:rsidRDefault="007240D5"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августу месяцу 1942 заводом № 39 было построено 78 Пе-3бис, а вместе с бомбардировщиками Пе-2 - 571 машина. Еще 32 машины сдали в 1943 году. Из них 29 были сданы в 1942 году без двигателей «россыпью». В 1943 года на них установили двигатели и сдали как боевую продукцию (Отчет о работе завода № 39 за 1942 год. Центральный архив ИАЗ, дело № 240, листы 8-14.). Построенные заводом Пе-3бис поступали на вооружение авиационных полков резерва ставки Верховного Главнокомандования.</w:t>
      </w:r>
    </w:p>
    <w:p w14:paraId="4275DB5A" w14:textId="77777777" w:rsidR="007240D5" w:rsidRPr="001E2C69" w:rsidRDefault="007240D5"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4-го августа 1942 директор завода № 39 своим последним приказом за № 770 (в августе 1942 года директор завода № 39 И.Б. Иосилович был отозван в Москву) извещает коллектив завода, что «С сего числа на основании приказа Народного комиссара авиационной промышленности тов. Шахурина, в связи с переходом на другую работу, дела и должность директора завода № 39 мною сданы тов. Абрамову Виктору Ивановичу». Главным инженером завода назначается К. А. Петров (15223).</w:t>
      </w:r>
    </w:p>
    <w:p w14:paraId="3E6CDECB" w14:textId="77777777" w:rsidR="007240D5" w:rsidRPr="001E2C69" w:rsidRDefault="007240D5" w:rsidP="00722885">
      <w:pPr>
        <w:shd w:val="clear" w:color="auto" w:fill="FFFFFF"/>
        <w:spacing w:after="0" w:line="240" w:lineRule="auto"/>
        <w:jc w:val="both"/>
        <w:rPr>
          <w:rFonts w:ascii="Times New Roman" w:hAnsi="Times New Roman"/>
          <w:color w:val="000000" w:themeColor="text1"/>
          <w:sz w:val="16"/>
          <w:szCs w:val="16"/>
        </w:rPr>
      </w:pPr>
    </w:p>
    <w:p w14:paraId="71ABD614" w14:textId="77777777" w:rsidR="007240D5" w:rsidRPr="001E2C69" w:rsidRDefault="007240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августу 1942 г. заводские испытания Та-3бис 2М-89 закончились, и в целом их ре</w:t>
      </w:r>
      <w:r w:rsidRPr="001E2C69">
        <w:rPr>
          <w:rFonts w:ascii="Times New Roman" w:hAnsi="Times New Roman"/>
          <w:color w:val="000000" w:themeColor="text1"/>
          <w:sz w:val="16"/>
          <w:szCs w:val="16"/>
        </w:rPr>
        <w:softHyphen/>
        <w:t>зультаты оценили как положительные, однако отмечалась неустойчивая работа моторов М-89. Это не позволило рекомендовать самолет в большую серию. Определенные наде</w:t>
      </w:r>
      <w:r w:rsidRPr="001E2C69">
        <w:rPr>
          <w:rFonts w:ascii="Times New Roman" w:hAnsi="Times New Roman"/>
          <w:color w:val="000000" w:themeColor="text1"/>
          <w:sz w:val="16"/>
          <w:szCs w:val="16"/>
        </w:rPr>
        <w:softHyphen/>
        <w:t>жды связывались с установкой на Та-3 моторов АМ-37 и М-82А. Однако в конце 1942 г. ОКБ-483 прекратило свое существование (15828).</w:t>
      </w:r>
    </w:p>
    <w:p w14:paraId="6840B047" w14:textId="77777777" w:rsidR="007240D5" w:rsidRPr="001E2C69" w:rsidRDefault="007240D5" w:rsidP="00722885">
      <w:pPr>
        <w:spacing w:after="0" w:line="240" w:lineRule="auto"/>
        <w:jc w:val="both"/>
        <w:rPr>
          <w:rFonts w:ascii="Times New Roman" w:hAnsi="Times New Roman"/>
          <w:color w:val="000000" w:themeColor="text1"/>
          <w:sz w:val="16"/>
          <w:szCs w:val="16"/>
        </w:rPr>
      </w:pPr>
    </w:p>
    <w:p w14:paraId="14B78D1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 августу 1942 закончились гос. испытания Та-3бис с 2М-89. Двигатели работали плохо и появился проект с АМ-37 и ОКО-8 (Та-5), который так и не был реализован (2181,24).</w:t>
      </w:r>
    </w:p>
    <w:p w14:paraId="60ACFB34" w14:textId="77777777" w:rsidR="00AE7191" w:rsidRPr="001E2C69" w:rsidRDefault="00AE7191" w:rsidP="00722885">
      <w:pPr>
        <w:pStyle w:val="Iauiue"/>
        <w:jc w:val="both"/>
        <w:rPr>
          <w:color w:val="000000" w:themeColor="text1"/>
          <w:sz w:val="16"/>
          <w:szCs w:val="16"/>
        </w:rPr>
      </w:pPr>
    </w:p>
    <w:p w14:paraId="672DF52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 К августу 1942-го были закончены летные испытания ТА-3 “биса”. Результаты испытаний в целом были оценены как положительные, однако отмечалась неустойчивая работа моторов М-89. Это не позволило рекомендовать самолет в большую серию. Определенные надежды связывались с установкой на Та-3 моторов АМ-37 и М-82А. Однако в конце 1942 г. ОКБ-483 прекратило свое существование (9649).</w:t>
      </w:r>
    </w:p>
    <w:p w14:paraId="692284ED" w14:textId="77777777" w:rsidR="00AE7191" w:rsidRPr="001E2C69" w:rsidRDefault="00AE7191" w:rsidP="00722885">
      <w:pPr>
        <w:pStyle w:val="Iauiue"/>
        <w:jc w:val="both"/>
        <w:rPr>
          <w:color w:val="000000" w:themeColor="text1"/>
          <w:sz w:val="16"/>
          <w:szCs w:val="16"/>
        </w:rPr>
      </w:pPr>
    </w:p>
    <w:p w14:paraId="6C5254E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 августу 1942 построили серию из 22 Як-7-37 для войсковых испытаний, но он был без предкрылков и вместо МПШ-37 (Ш-37) Б.Г.Ш. на нем стояла НС-37. Самолеты направили на Северо-западный фронт в 42 иап, которым командовал Ф.И.Шинкаренко. В 12 боях сбили 10(1046,34).</w:t>
      </w:r>
    </w:p>
    <w:p w14:paraId="2D9130B0" w14:textId="77777777" w:rsidR="00AE7191" w:rsidRPr="001E2C69" w:rsidRDefault="00AE7191" w:rsidP="00722885">
      <w:pPr>
        <w:pStyle w:val="Iauiue"/>
        <w:jc w:val="both"/>
        <w:rPr>
          <w:color w:val="000000" w:themeColor="text1"/>
          <w:sz w:val="16"/>
          <w:szCs w:val="16"/>
        </w:rPr>
      </w:pPr>
    </w:p>
    <w:p w14:paraId="36059E1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 августу 1942 г. мотор М-107 №К-199 прошел 50-ти часовые совместные испытания. Но дальше дело не шло- То обрывало поршень, то пробивало картер, то не выдерживал главный шатун (4537).</w:t>
      </w:r>
    </w:p>
    <w:p w14:paraId="108E9D25" w14:textId="77777777" w:rsidR="00AE7191" w:rsidRPr="001E2C69" w:rsidRDefault="00AE7191" w:rsidP="00722885">
      <w:pPr>
        <w:pStyle w:val="Iauiue"/>
        <w:jc w:val="both"/>
        <w:rPr>
          <w:color w:val="000000" w:themeColor="text1"/>
          <w:sz w:val="16"/>
          <w:szCs w:val="16"/>
        </w:rPr>
      </w:pPr>
    </w:p>
    <w:p w14:paraId="4A2F3E2D"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117124DC" w14:textId="77777777" w:rsidR="00AE7191" w:rsidRPr="001E2C69" w:rsidRDefault="00AE7191" w:rsidP="00722885">
      <w:pPr>
        <w:pStyle w:val="Iauiue"/>
        <w:jc w:val="both"/>
        <w:rPr>
          <w:iCs/>
          <w:color w:val="000000" w:themeColor="text1"/>
          <w:sz w:val="16"/>
          <w:szCs w:val="16"/>
        </w:rPr>
      </w:pPr>
    </w:p>
    <w:p w14:paraId="3C9FBD9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 августу 1942 г. тактическая грамотность летчиков-штурмовиков повысилась. Штурмовики стали активнее производить заходы со стороны солнца, чаще использовать облачность и дымы. Большие группы Ил-2, как правило, стали возглавлять командиры авиаполков, имея в своем составе заместителей командиров эскадрильей. Атаки целей стали преимущественно производиться прицельно, для чего чаще осуществлялись повторные заходы. Однако не все недостатки в действиях штурмовиков были изжиты (8687).</w:t>
      </w:r>
    </w:p>
    <w:p w14:paraId="573980D4" w14:textId="77777777" w:rsidR="00AE7191" w:rsidRPr="001E2C69" w:rsidRDefault="00AE7191" w:rsidP="00722885">
      <w:pPr>
        <w:pStyle w:val="Iauiue"/>
        <w:jc w:val="both"/>
        <w:rPr>
          <w:color w:val="000000" w:themeColor="text1"/>
          <w:sz w:val="16"/>
          <w:szCs w:val="16"/>
        </w:rPr>
      </w:pPr>
    </w:p>
    <w:p w14:paraId="54103495" w14:textId="77777777" w:rsidR="007240D5"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0CBE23BB" w14:textId="77777777" w:rsidR="007240D5" w:rsidRPr="001E2C69" w:rsidRDefault="007240D5" w:rsidP="00722885">
      <w:pPr>
        <w:pStyle w:val="Iauiue"/>
        <w:jc w:val="both"/>
        <w:rPr>
          <w:iCs/>
          <w:color w:val="000000" w:themeColor="text1"/>
          <w:sz w:val="16"/>
          <w:szCs w:val="16"/>
        </w:rPr>
      </w:pPr>
    </w:p>
    <w:p w14:paraId="756D6A1D" w14:textId="77777777" w:rsidR="007240D5" w:rsidRPr="001E2C69" w:rsidRDefault="007240D5" w:rsidP="00722885">
      <w:pPr>
        <w:pStyle w:val="book"/>
        <w:ind w:firstLine="0"/>
        <w:jc w:val="both"/>
        <w:rPr>
          <w:color w:val="000000" w:themeColor="text1"/>
          <w:sz w:val="16"/>
          <w:szCs w:val="16"/>
        </w:rPr>
      </w:pPr>
      <w:r w:rsidRPr="001E2C69">
        <w:rPr>
          <w:color w:val="000000" w:themeColor="text1"/>
          <w:sz w:val="16"/>
          <w:szCs w:val="16"/>
        </w:rPr>
        <w:t>К августу 1942 г. степень готовности тяжелый крейсер «Зейдлиц» достигла 90%, но 26 августа 1942 г. Гитлер принимает решение переделать его в авианосец. В январе 1943 г. «Зейдлиц» был отбуксирован на верфь «Шихау» в Кенигсберг для достройки в качестве авианосца. Но переделка, видимо, так и не началась, поскольку Гитлер в том же январе 1943 г. отдал приказ о прекращении строительства авианосцев. 9 апреля 1945 г. «Зейдлиц» был поврежден у стенки завода советской авиацией и на следующий день там же затоплен экипажем. В 1946 г. крейсер был поднят аварийно-спасательной службой Юго-Балтийского флота, отбуксирован в Ленинград и 10 марта 1947 г. зачислен в состав ВМФ СССР, но ввиду невозможности достройки 9 апреля 1947 г. исключен из списков судов ВМФ. Разобрали же его лишь в начале 1950-х годов. Было разработано несколько проектов восстановления «Зейдлица». В 1951 г. был представлен проект создания из двух крейсеров — «Таллина» (бывшего «Лютцова») и «Зейдлица» — одного учебного крейсера с вооружением: 12—152-мм, 8—130-мм, 32— 45-мм и 24—25-мм орудий и двумя 53-см торпедными аппаратами. Однако стоимость постройки такого крейсера оказалась больше, чем запланированная сумма на строительство крейсера проекта 68бис, и от этой затеи отказались (15225).</w:t>
      </w:r>
    </w:p>
    <w:p w14:paraId="018CC8AF" w14:textId="77777777" w:rsidR="007240D5" w:rsidRPr="001E2C69" w:rsidRDefault="007240D5" w:rsidP="00722885">
      <w:pPr>
        <w:pStyle w:val="book"/>
        <w:ind w:firstLine="0"/>
        <w:jc w:val="both"/>
        <w:rPr>
          <w:color w:val="000000" w:themeColor="text1"/>
          <w:sz w:val="16"/>
          <w:szCs w:val="16"/>
        </w:rPr>
      </w:pPr>
    </w:p>
    <w:p w14:paraId="10FB95A7"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1EA8E45D" w14:textId="77777777" w:rsidR="00AE7191" w:rsidRPr="001E2C69" w:rsidRDefault="00AE7191" w:rsidP="00722885">
      <w:pPr>
        <w:pStyle w:val="Iauiue"/>
        <w:jc w:val="both"/>
        <w:rPr>
          <w:iCs/>
          <w:color w:val="000000" w:themeColor="text1"/>
          <w:sz w:val="16"/>
          <w:szCs w:val="16"/>
        </w:rPr>
      </w:pPr>
    </w:p>
    <w:p w14:paraId="504D87B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августа 1942 А.И.Ш. писал И.В.С. письмо N 5269:</w:t>
      </w:r>
    </w:p>
    <w:p w14:paraId="495C0AA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порядке информации докладываю: по плану опытного строительства 1941 конструктором С.В.И П.О.С. выпущен одноместный бронированный штурмовик Су-6 с М-71 (взлетная мощность 2000 л.с. и мощность на высоте 2250 м - 1800 л.с.), который согласно акта гос. испытаний НИИ ВВС показал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E2C69" w:rsidRPr="001E2C69" w14:paraId="24341606" w14:textId="77777777" w:rsidTr="00CC5360">
        <w:tc>
          <w:tcPr>
            <w:tcW w:w="5636" w:type="dxa"/>
            <w:tcBorders>
              <w:top w:val="single" w:sz="12" w:space="0" w:color="auto"/>
            </w:tcBorders>
          </w:tcPr>
          <w:p w14:paraId="6B10727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lastRenderedPageBreak/>
              <w:t>макс. скорость у земли</w:t>
            </w:r>
          </w:p>
        </w:tc>
        <w:tc>
          <w:tcPr>
            <w:tcW w:w="5636" w:type="dxa"/>
            <w:tcBorders>
              <w:top w:val="single" w:sz="12" w:space="0" w:color="auto"/>
            </w:tcBorders>
          </w:tcPr>
          <w:p w14:paraId="71033C7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445 км/час</w:t>
            </w:r>
          </w:p>
        </w:tc>
      </w:tr>
      <w:tr w:rsidR="001E2C69" w:rsidRPr="001E2C69" w14:paraId="1DE90051" w14:textId="77777777" w:rsidTr="00CC5360">
        <w:tc>
          <w:tcPr>
            <w:tcW w:w="5636" w:type="dxa"/>
          </w:tcPr>
          <w:p w14:paraId="7D3DA7D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макс. скорость на форсаже</w:t>
            </w:r>
          </w:p>
        </w:tc>
        <w:tc>
          <w:tcPr>
            <w:tcW w:w="5636" w:type="dxa"/>
          </w:tcPr>
          <w:p w14:paraId="415CBDC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496 км/час</w:t>
            </w:r>
          </w:p>
        </w:tc>
      </w:tr>
      <w:tr w:rsidR="001E2C69" w:rsidRPr="001E2C69" w14:paraId="63D1CFBB" w14:textId="77777777" w:rsidTr="00CC5360">
        <w:tc>
          <w:tcPr>
            <w:tcW w:w="5636" w:type="dxa"/>
          </w:tcPr>
          <w:p w14:paraId="0EBDDD6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макс. скорость на 2500 м</w:t>
            </w:r>
          </w:p>
        </w:tc>
        <w:tc>
          <w:tcPr>
            <w:tcW w:w="5636" w:type="dxa"/>
          </w:tcPr>
          <w:p w14:paraId="24E4425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491 км/час</w:t>
            </w:r>
          </w:p>
        </w:tc>
      </w:tr>
      <w:tr w:rsidR="001E2C69" w:rsidRPr="001E2C69" w14:paraId="3FB049B9" w14:textId="77777777" w:rsidTr="00CC5360">
        <w:tc>
          <w:tcPr>
            <w:tcW w:w="5636" w:type="dxa"/>
            <w:tcBorders>
              <w:bottom w:val="single" w:sz="12" w:space="0" w:color="auto"/>
            </w:tcBorders>
          </w:tcPr>
          <w:p w14:paraId="031B27C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дальность на 0.9 макс</w:t>
            </w:r>
          </w:p>
        </w:tc>
        <w:tc>
          <w:tcPr>
            <w:tcW w:w="5636" w:type="dxa"/>
            <w:tcBorders>
              <w:bottom w:val="single" w:sz="12" w:space="0" w:color="auto"/>
            </w:tcBorders>
          </w:tcPr>
          <w:p w14:paraId="43D0E36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450 км</w:t>
            </w:r>
          </w:p>
        </w:tc>
      </w:tr>
    </w:tbl>
    <w:p w14:paraId="6909193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Вооружение:</w:t>
      </w:r>
    </w:p>
    <w:p w14:paraId="1D1A53F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2х23 мм, 230 снарядов</w:t>
      </w:r>
    </w:p>
    <w:p w14:paraId="1613E88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4х7.62 мм, 300 патронов</w:t>
      </w:r>
    </w:p>
    <w:p w14:paraId="14CD171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 РС-132/82</w:t>
      </w:r>
    </w:p>
    <w:p w14:paraId="1AFB3A6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Нормальная бомбовая нагрузка - 200 кг при емкости отсека 400 кг</w:t>
      </w:r>
    </w:p>
    <w:p w14:paraId="32FC369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Под крыльями могут подвешиваться 2х100 кг или 2хВАП-200</w:t>
      </w:r>
    </w:p>
    <w:p w14:paraId="10C823E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технике пилотирования самолет прост и доступен л средней квалификации, имеет хорошую устойчивость и допускает полет с брошенной ручкой на всех режимах. Нагрузки на рули и элероны - велики.</w:t>
      </w:r>
    </w:p>
    <w:p w14:paraId="6915A92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Бронирование кабины л и фонаря осуществляется аналогично самолету Ил-2. Задняя крышка мотора с агрегатами забронирована, цилиндры мотора не забронированы (1650,311).</w:t>
      </w:r>
    </w:p>
    <w:p w14:paraId="7F0760B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Почти то же, что и 19 июля 1942, но с добавкой:</w:t>
      </w:r>
    </w:p>
    <w:p w14:paraId="5916FA2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настоящее время ведутся работы по доводке 100 час. ресурса и сдаче на гос. испытания М-71 на заводе 19. В случае получения положительных результатов по М-71 возможно будет поставить вопрос о целесообразности постройки серии самолетов Су-6 (1650,312).</w:t>
      </w:r>
    </w:p>
    <w:p w14:paraId="61871C01" w14:textId="77777777" w:rsidR="00AE7191" w:rsidRPr="001E2C69" w:rsidRDefault="00AE7191" w:rsidP="00722885">
      <w:pPr>
        <w:pStyle w:val="Iauiue"/>
        <w:jc w:val="both"/>
        <w:rPr>
          <w:color w:val="000000" w:themeColor="text1"/>
          <w:sz w:val="16"/>
          <w:szCs w:val="16"/>
        </w:rPr>
      </w:pPr>
    </w:p>
    <w:p w14:paraId="174A45E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августа 1942 с опозданием на год по сравнению с планом закончили совместные испытания модифицированного М-90 конструкции В.Г.Федичева. Снизили диаметр до 1296 мм и вес до 870 кг. Мотор затребовало несколько КБ, в т.ч. и П.О.С. для Су-4 и проводились летные испытания (395,137).</w:t>
      </w:r>
    </w:p>
    <w:p w14:paraId="17688C35" w14:textId="77777777" w:rsidR="00AE7191" w:rsidRPr="001E2C69" w:rsidRDefault="00AE7191" w:rsidP="00722885">
      <w:pPr>
        <w:pStyle w:val="Iauiue"/>
        <w:jc w:val="both"/>
        <w:rPr>
          <w:color w:val="000000" w:themeColor="text1"/>
          <w:sz w:val="16"/>
          <w:szCs w:val="16"/>
        </w:rPr>
      </w:pPr>
    </w:p>
    <w:p w14:paraId="20D7863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августа 1942 года закончились заводские испытания «103В» с 2 М-82 на заводе № 166, которые заняли 7,5 месяцев после того, как под управлением летчика-ис</w:t>
      </w:r>
      <w:r w:rsidRPr="001E2C69">
        <w:rPr>
          <w:rFonts w:ascii="Times New Roman" w:hAnsi="Times New Roman"/>
          <w:color w:val="000000" w:themeColor="text1"/>
          <w:sz w:val="16"/>
          <w:szCs w:val="16"/>
        </w:rPr>
        <w:softHyphen/>
        <w:t>пытателя М.П. Васякина машина совершила первый полет 15 декабря 1941. Как отмечалось потом в отчете по испытаниям: «Основные причины за</w:t>
      </w:r>
      <w:r w:rsidRPr="001E2C69">
        <w:rPr>
          <w:rFonts w:ascii="Times New Roman" w:hAnsi="Times New Roman"/>
          <w:color w:val="000000" w:themeColor="text1"/>
          <w:sz w:val="16"/>
          <w:szCs w:val="16"/>
        </w:rPr>
        <w:softHyphen/>
        <w:t>тяжки испытаний: неудовлетворитель</w:t>
      </w:r>
      <w:r w:rsidRPr="001E2C69">
        <w:rPr>
          <w:rFonts w:ascii="Times New Roman" w:hAnsi="Times New Roman"/>
          <w:color w:val="000000" w:themeColor="text1"/>
          <w:sz w:val="16"/>
          <w:szCs w:val="16"/>
        </w:rPr>
        <w:softHyphen/>
        <w:t>ная работа моторов М-82 и длитель</w:t>
      </w:r>
      <w:r w:rsidRPr="001E2C69">
        <w:rPr>
          <w:rFonts w:ascii="Times New Roman" w:hAnsi="Times New Roman"/>
          <w:color w:val="000000" w:themeColor="text1"/>
          <w:sz w:val="16"/>
          <w:szCs w:val="16"/>
        </w:rPr>
        <w:softHyphen/>
        <w:t>ная доводка винто-моторной группы. Во время испытаний было заменено восемь моторов... Из-за неудовлет</w:t>
      </w:r>
      <w:r w:rsidRPr="001E2C69">
        <w:rPr>
          <w:rFonts w:ascii="Times New Roman" w:hAnsi="Times New Roman"/>
          <w:color w:val="000000" w:themeColor="text1"/>
          <w:sz w:val="16"/>
          <w:szCs w:val="16"/>
        </w:rPr>
        <w:softHyphen/>
        <w:t>ворительной работы моторов само</w:t>
      </w:r>
      <w:r w:rsidRPr="001E2C69">
        <w:rPr>
          <w:rFonts w:ascii="Times New Roman" w:hAnsi="Times New Roman"/>
          <w:color w:val="000000" w:themeColor="text1"/>
          <w:sz w:val="16"/>
          <w:szCs w:val="16"/>
        </w:rPr>
        <w:softHyphen/>
        <w:t>лет простоял 132 дня, что составляет 57,7% времени, потраченного на ис</w:t>
      </w:r>
      <w:r w:rsidRPr="001E2C69">
        <w:rPr>
          <w:rFonts w:ascii="Times New Roman" w:hAnsi="Times New Roman"/>
          <w:color w:val="000000" w:themeColor="text1"/>
          <w:sz w:val="16"/>
          <w:szCs w:val="16"/>
        </w:rPr>
        <w:softHyphen/>
        <w:t>пытания» (10686).</w:t>
      </w:r>
    </w:p>
    <w:p w14:paraId="07442E2B"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DABE0B7" w14:textId="77777777" w:rsidR="00907F56" w:rsidRPr="001E2C69" w:rsidRDefault="00907F56" w:rsidP="00722885">
      <w:pPr>
        <w:pStyle w:val="a4"/>
        <w:rPr>
          <w:color w:val="000000" w:themeColor="text1"/>
          <w:lang w:val="ru-RU"/>
        </w:rPr>
      </w:pPr>
      <w:r w:rsidRPr="001E2C69">
        <w:rPr>
          <w:color w:val="000000" w:themeColor="text1"/>
          <w:lang w:val="ru-RU"/>
        </w:rPr>
        <w:t>До 1 августа 1942 г. затянулись испытания «103В» с 2 М-82, которые начались 15 декабря 1941 г. Как отмечалось потом в отчете по испытаниям:</w:t>
      </w:r>
    </w:p>
    <w:p w14:paraId="25D8B60E" w14:textId="77777777" w:rsidR="00907F56" w:rsidRPr="001E2C69" w:rsidRDefault="00907F56" w:rsidP="00722885">
      <w:pPr>
        <w:pStyle w:val="a4"/>
        <w:rPr>
          <w:color w:val="000000" w:themeColor="text1"/>
          <w:lang w:val="ru-RU"/>
        </w:rPr>
      </w:pPr>
      <w:r w:rsidRPr="001E2C69">
        <w:rPr>
          <w:color w:val="000000" w:themeColor="text1"/>
          <w:lang w:val="ru-RU"/>
        </w:rPr>
        <w:t>«Основные причины затяжки испытаний: неудовлетворительная работа моторов М-82 и длительная доводка винто-моторной группы. Во время испытаний было заменено во</w:t>
      </w:r>
      <w:r w:rsidRPr="001E2C69">
        <w:rPr>
          <w:color w:val="000000" w:themeColor="text1"/>
          <w:lang w:val="ru-RU"/>
        </w:rPr>
        <w:softHyphen/>
        <w:t>семь моторов... Из-за неудовлетворительной работы моторов самолёт простоял 132 дня, что составляет 57,7% времени, потраченного на испытания» (15788).</w:t>
      </w:r>
    </w:p>
    <w:p w14:paraId="05CD0E4E" w14:textId="77777777" w:rsidR="00907F56" w:rsidRPr="001E2C69" w:rsidRDefault="00907F56" w:rsidP="00722885">
      <w:pPr>
        <w:pStyle w:val="a4"/>
        <w:rPr>
          <w:color w:val="000000" w:themeColor="text1"/>
          <w:lang w:val="ru-RU"/>
        </w:rPr>
      </w:pPr>
    </w:p>
    <w:p w14:paraId="26AA8A4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августа 1942 г. испытания 103В, начатые 15 декабря 1941, приостановили. Заместитель командующего ВВС Репин распорядился: "Испытания прекратить. Характеристики самолета и оценки работы агрегатов дать по серийному самолету Ту-2". Именно под этим обозначением собирались выпускать новую машину. В соответствии с системой, введенной в декабре 1940 г., были взяты две первые буквы фамилии главного конструктора, переставшего быть безымянным арестантом, а цифра "2" (первая четная) показывала, что это первый бомбардировщик, созданный конструктором. Официально обозначение Ту-2 присвоили постановлением ГКО от 26 марта 1942 г. Это была первая машина, получившая марку "Ту", ставшую позднее знаменитой.</w:t>
      </w:r>
    </w:p>
    <w:p w14:paraId="778855C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выводах отчета по совместным испытаниям указали: "...самолет "103В" 2 М-82А по своей управляемости, устойчивости, взлетно-поса- дочным свойствам, а также маневренности и температурным режимам ВМГ удовлетворяет требованиям". Туполев при разборе результатов полетов сказал: "Васякин дал путевку в небо Ту-2".</w:t>
      </w:r>
    </w:p>
    <w:p w14:paraId="444FC12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Самолет спешно готовился к запуску в серийное производство. ВВС требовали от серийных бомбардировщиков увеличения скорости до цифры, предписанной постановлением, упростить и сделать более надежными гидросистему и тормозную систему, ввести бронирование снизу, заменить оба верхних пулемета на крупнокалиберные БС (12,7 мм) и предусмотреть подвеску химического вооружения (выливных приборов). Туполев считал выполнение этих требований вполне реальным, но занимающим некоторое время, так что делать все это собирались постепенно.</w:t>
      </w:r>
    </w:p>
    <w:p w14:paraId="42B1095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Данные опытных образцов самолета "103"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1E2C69" w:rsidRPr="001E2C69" w14:paraId="57949EAA" w14:textId="77777777" w:rsidTr="00CC5360">
        <w:tc>
          <w:tcPr>
            <w:tcW w:w="2802" w:type="dxa"/>
            <w:tcBorders>
              <w:top w:val="single" w:sz="12" w:space="0" w:color="auto"/>
            </w:tcBorders>
          </w:tcPr>
          <w:p w14:paraId="1CC06690"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tcPr>
          <w:p w14:paraId="1C2B63E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"103"</w:t>
            </w:r>
          </w:p>
        </w:tc>
        <w:tc>
          <w:tcPr>
            <w:tcW w:w="2802" w:type="dxa"/>
            <w:tcBorders>
              <w:top w:val="single" w:sz="12" w:space="0" w:color="auto"/>
            </w:tcBorders>
          </w:tcPr>
          <w:p w14:paraId="47A35FB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"103У"</w:t>
            </w:r>
          </w:p>
        </w:tc>
        <w:tc>
          <w:tcPr>
            <w:tcW w:w="2802" w:type="dxa"/>
            <w:tcBorders>
              <w:top w:val="single" w:sz="12" w:space="0" w:color="auto"/>
            </w:tcBorders>
          </w:tcPr>
          <w:p w14:paraId="619CCDE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"103В"</w:t>
            </w:r>
          </w:p>
        </w:tc>
      </w:tr>
      <w:tr w:rsidR="001E2C69" w:rsidRPr="001E2C69" w14:paraId="3FADBE3D" w14:textId="77777777" w:rsidTr="00CC5360">
        <w:tc>
          <w:tcPr>
            <w:tcW w:w="2802" w:type="dxa"/>
          </w:tcPr>
          <w:p w14:paraId="7B97C7F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Тип двигателей</w:t>
            </w:r>
          </w:p>
        </w:tc>
        <w:tc>
          <w:tcPr>
            <w:tcW w:w="2802" w:type="dxa"/>
          </w:tcPr>
          <w:p w14:paraId="08DFDB6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АМ-37</w:t>
            </w:r>
          </w:p>
        </w:tc>
        <w:tc>
          <w:tcPr>
            <w:tcW w:w="2802" w:type="dxa"/>
          </w:tcPr>
          <w:p w14:paraId="0EF1A62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АМ-37</w:t>
            </w:r>
          </w:p>
        </w:tc>
        <w:tc>
          <w:tcPr>
            <w:tcW w:w="2802" w:type="dxa"/>
          </w:tcPr>
          <w:p w14:paraId="67804A4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М-82</w:t>
            </w:r>
          </w:p>
        </w:tc>
      </w:tr>
      <w:tr w:rsidR="001E2C69" w:rsidRPr="001E2C69" w14:paraId="55B28195" w14:textId="77777777" w:rsidTr="00CC5360">
        <w:tc>
          <w:tcPr>
            <w:tcW w:w="2802" w:type="dxa"/>
          </w:tcPr>
          <w:p w14:paraId="0767F21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Размах крыла, м</w:t>
            </w:r>
          </w:p>
        </w:tc>
        <w:tc>
          <w:tcPr>
            <w:tcW w:w="2802" w:type="dxa"/>
          </w:tcPr>
          <w:p w14:paraId="39BF449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18,8</w:t>
            </w:r>
          </w:p>
        </w:tc>
        <w:tc>
          <w:tcPr>
            <w:tcW w:w="2802" w:type="dxa"/>
          </w:tcPr>
          <w:p w14:paraId="79B6D50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18,8</w:t>
            </w:r>
          </w:p>
        </w:tc>
        <w:tc>
          <w:tcPr>
            <w:tcW w:w="2802" w:type="dxa"/>
          </w:tcPr>
          <w:p w14:paraId="76166F2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18,8</w:t>
            </w:r>
          </w:p>
        </w:tc>
      </w:tr>
      <w:tr w:rsidR="001E2C69" w:rsidRPr="001E2C69" w14:paraId="0F1B9469" w14:textId="77777777" w:rsidTr="00CC5360">
        <w:tc>
          <w:tcPr>
            <w:tcW w:w="2802" w:type="dxa"/>
          </w:tcPr>
          <w:p w14:paraId="3C22125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крыла, м2</w:t>
            </w:r>
          </w:p>
        </w:tc>
        <w:tc>
          <w:tcPr>
            <w:tcW w:w="2802" w:type="dxa"/>
          </w:tcPr>
          <w:p w14:paraId="0225511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48,5</w:t>
            </w:r>
          </w:p>
        </w:tc>
        <w:tc>
          <w:tcPr>
            <w:tcW w:w="2802" w:type="dxa"/>
          </w:tcPr>
          <w:p w14:paraId="6CA4CAE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48,5</w:t>
            </w:r>
          </w:p>
        </w:tc>
        <w:tc>
          <w:tcPr>
            <w:tcW w:w="2802" w:type="dxa"/>
          </w:tcPr>
          <w:p w14:paraId="0907E65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48,5</w:t>
            </w:r>
          </w:p>
        </w:tc>
      </w:tr>
      <w:tr w:rsidR="001E2C69" w:rsidRPr="001E2C69" w14:paraId="0115B58C" w14:textId="77777777" w:rsidTr="00CC5360">
        <w:tc>
          <w:tcPr>
            <w:tcW w:w="2802" w:type="dxa"/>
          </w:tcPr>
          <w:p w14:paraId="3019319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Длина самолета, м</w:t>
            </w:r>
          </w:p>
        </w:tc>
        <w:tc>
          <w:tcPr>
            <w:tcW w:w="2802" w:type="dxa"/>
          </w:tcPr>
          <w:p w14:paraId="51908FE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13,2</w:t>
            </w:r>
          </w:p>
        </w:tc>
        <w:tc>
          <w:tcPr>
            <w:tcW w:w="2802" w:type="dxa"/>
          </w:tcPr>
          <w:p w14:paraId="31EE4CA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13,8</w:t>
            </w:r>
          </w:p>
        </w:tc>
        <w:tc>
          <w:tcPr>
            <w:tcW w:w="2802" w:type="dxa"/>
          </w:tcPr>
          <w:p w14:paraId="1E00003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13,7</w:t>
            </w:r>
          </w:p>
        </w:tc>
      </w:tr>
      <w:tr w:rsidR="001E2C69" w:rsidRPr="001E2C69" w14:paraId="170EA9D3" w14:textId="77777777" w:rsidTr="00CC5360">
        <w:tc>
          <w:tcPr>
            <w:tcW w:w="2802" w:type="dxa"/>
          </w:tcPr>
          <w:p w14:paraId="38E274B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Вес, кг: пустого</w:t>
            </w:r>
          </w:p>
        </w:tc>
        <w:tc>
          <w:tcPr>
            <w:tcW w:w="2802" w:type="dxa"/>
          </w:tcPr>
          <w:p w14:paraId="62A4FE9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7626</w:t>
            </w:r>
          </w:p>
        </w:tc>
        <w:tc>
          <w:tcPr>
            <w:tcW w:w="2802" w:type="dxa"/>
          </w:tcPr>
          <w:p w14:paraId="6EC848F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7823</w:t>
            </w:r>
          </w:p>
        </w:tc>
        <w:tc>
          <w:tcPr>
            <w:tcW w:w="2802" w:type="dxa"/>
          </w:tcPr>
          <w:p w14:paraId="14A4F31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7335</w:t>
            </w:r>
          </w:p>
        </w:tc>
      </w:tr>
      <w:tr w:rsidR="001E2C69" w:rsidRPr="001E2C69" w14:paraId="1091E00B" w14:textId="77777777" w:rsidTr="00CC5360">
        <w:tc>
          <w:tcPr>
            <w:tcW w:w="2802" w:type="dxa"/>
          </w:tcPr>
          <w:p w14:paraId="2895CFC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полетный нормальный </w:t>
            </w:r>
          </w:p>
        </w:tc>
        <w:tc>
          <w:tcPr>
            <w:tcW w:w="2802" w:type="dxa"/>
          </w:tcPr>
          <w:p w14:paraId="1650F41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9950 </w:t>
            </w:r>
          </w:p>
        </w:tc>
        <w:tc>
          <w:tcPr>
            <w:tcW w:w="2802" w:type="dxa"/>
          </w:tcPr>
          <w:p w14:paraId="3AB1C8D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10448</w:t>
            </w:r>
          </w:p>
        </w:tc>
        <w:tc>
          <w:tcPr>
            <w:tcW w:w="2802" w:type="dxa"/>
          </w:tcPr>
          <w:p w14:paraId="5171A9F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10230</w:t>
            </w:r>
          </w:p>
        </w:tc>
      </w:tr>
      <w:tr w:rsidR="001E2C69" w:rsidRPr="001E2C69" w14:paraId="09992034" w14:textId="77777777" w:rsidTr="00CC5360">
        <w:tc>
          <w:tcPr>
            <w:tcW w:w="2802" w:type="dxa"/>
          </w:tcPr>
          <w:p w14:paraId="474CB6C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полетный максимальный</w:t>
            </w:r>
          </w:p>
        </w:tc>
        <w:tc>
          <w:tcPr>
            <w:tcW w:w="2802" w:type="dxa"/>
          </w:tcPr>
          <w:p w14:paraId="650CAD4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10 992</w:t>
            </w:r>
          </w:p>
        </w:tc>
        <w:tc>
          <w:tcPr>
            <w:tcW w:w="2802" w:type="dxa"/>
          </w:tcPr>
          <w:p w14:paraId="32609DD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11498</w:t>
            </w:r>
          </w:p>
        </w:tc>
        <w:tc>
          <w:tcPr>
            <w:tcW w:w="2802" w:type="dxa"/>
          </w:tcPr>
          <w:p w14:paraId="3F931BA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11700</w:t>
            </w:r>
          </w:p>
        </w:tc>
      </w:tr>
      <w:tr w:rsidR="001E2C69" w:rsidRPr="001E2C69" w14:paraId="05BEFBB9" w14:textId="77777777" w:rsidTr="00CC5360">
        <w:tc>
          <w:tcPr>
            <w:tcW w:w="2802" w:type="dxa"/>
          </w:tcPr>
          <w:p w14:paraId="52751D6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Скорость максимальная, км/ч: у земли </w:t>
            </w:r>
          </w:p>
        </w:tc>
        <w:tc>
          <w:tcPr>
            <w:tcW w:w="2802" w:type="dxa"/>
          </w:tcPr>
          <w:p w14:paraId="71F56F8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482</w:t>
            </w:r>
          </w:p>
        </w:tc>
        <w:tc>
          <w:tcPr>
            <w:tcW w:w="2802" w:type="dxa"/>
          </w:tcPr>
          <w:p w14:paraId="6FC36A1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469</w:t>
            </w:r>
          </w:p>
        </w:tc>
        <w:tc>
          <w:tcPr>
            <w:tcW w:w="2802" w:type="dxa"/>
          </w:tcPr>
          <w:p w14:paraId="36CA30C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460</w:t>
            </w:r>
          </w:p>
        </w:tc>
      </w:tr>
      <w:tr w:rsidR="001E2C69" w:rsidRPr="001E2C69" w14:paraId="741CD94C" w14:textId="77777777" w:rsidTr="00CC5360">
        <w:tc>
          <w:tcPr>
            <w:tcW w:w="2802" w:type="dxa"/>
          </w:tcPr>
          <w:p w14:paraId="0ACB941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высоте</w:t>
            </w:r>
          </w:p>
        </w:tc>
        <w:tc>
          <w:tcPr>
            <w:tcW w:w="2802" w:type="dxa"/>
          </w:tcPr>
          <w:p w14:paraId="3EFE074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635</w:t>
            </w:r>
          </w:p>
        </w:tc>
        <w:tc>
          <w:tcPr>
            <w:tcW w:w="2802" w:type="dxa"/>
          </w:tcPr>
          <w:p w14:paraId="326B355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610</w:t>
            </w:r>
          </w:p>
        </w:tc>
        <w:tc>
          <w:tcPr>
            <w:tcW w:w="2802" w:type="dxa"/>
          </w:tcPr>
          <w:p w14:paraId="55E9598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528</w:t>
            </w:r>
          </w:p>
        </w:tc>
      </w:tr>
      <w:tr w:rsidR="001E2C69" w:rsidRPr="001E2C69" w14:paraId="2052E550" w14:textId="77777777" w:rsidTr="00CC5360">
        <w:tc>
          <w:tcPr>
            <w:tcW w:w="2802" w:type="dxa"/>
          </w:tcPr>
          <w:p w14:paraId="11C9347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Потолок практический, м</w:t>
            </w:r>
          </w:p>
        </w:tc>
        <w:tc>
          <w:tcPr>
            <w:tcW w:w="2802" w:type="dxa"/>
          </w:tcPr>
          <w:p w14:paraId="6EEE9CC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10 600</w:t>
            </w:r>
          </w:p>
        </w:tc>
        <w:tc>
          <w:tcPr>
            <w:tcW w:w="2802" w:type="dxa"/>
          </w:tcPr>
          <w:p w14:paraId="53029A6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10 500</w:t>
            </w:r>
          </w:p>
        </w:tc>
        <w:tc>
          <w:tcPr>
            <w:tcW w:w="2802" w:type="dxa"/>
          </w:tcPr>
          <w:p w14:paraId="25EA15C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9000</w:t>
            </w:r>
          </w:p>
        </w:tc>
      </w:tr>
      <w:tr w:rsidR="001E2C69" w:rsidRPr="001E2C69" w14:paraId="2C9B2477" w14:textId="77777777" w:rsidTr="00CC5360">
        <w:tc>
          <w:tcPr>
            <w:tcW w:w="2802" w:type="dxa"/>
          </w:tcPr>
          <w:p w14:paraId="2733FC5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Время набора высоты 5000 м, мин</w:t>
            </w:r>
          </w:p>
        </w:tc>
        <w:tc>
          <w:tcPr>
            <w:tcW w:w="2802" w:type="dxa"/>
          </w:tcPr>
          <w:p w14:paraId="10654E8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8,6</w:t>
            </w:r>
          </w:p>
        </w:tc>
        <w:tc>
          <w:tcPr>
            <w:tcW w:w="2802" w:type="dxa"/>
          </w:tcPr>
          <w:p w14:paraId="1981991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9,5</w:t>
            </w:r>
          </w:p>
        </w:tc>
        <w:tc>
          <w:tcPr>
            <w:tcW w:w="2802" w:type="dxa"/>
          </w:tcPr>
          <w:p w14:paraId="1BDA9BE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8,86 1)</w:t>
            </w:r>
          </w:p>
        </w:tc>
      </w:tr>
      <w:tr w:rsidR="001E2C69" w:rsidRPr="001E2C69" w14:paraId="583116FF" w14:textId="77777777" w:rsidTr="00CC5360">
        <w:tc>
          <w:tcPr>
            <w:tcW w:w="2802" w:type="dxa"/>
          </w:tcPr>
          <w:p w14:paraId="56D2AA4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Дальность полета, км: нормальная максимальная</w:t>
            </w:r>
          </w:p>
        </w:tc>
        <w:tc>
          <w:tcPr>
            <w:tcW w:w="2802" w:type="dxa"/>
          </w:tcPr>
          <w:p w14:paraId="6ADAE60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1612</w:t>
            </w:r>
          </w:p>
        </w:tc>
        <w:tc>
          <w:tcPr>
            <w:tcW w:w="2802" w:type="dxa"/>
          </w:tcPr>
          <w:p w14:paraId="6AB7163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1800</w:t>
            </w:r>
          </w:p>
        </w:tc>
        <w:tc>
          <w:tcPr>
            <w:tcW w:w="2802" w:type="dxa"/>
          </w:tcPr>
          <w:p w14:paraId="0CDB67F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2000</w:t>
            </w:r>
          </w:p>
        </w:tc>
      </w:tr>
      <w:tr w:rsidR="001E2C69" w:rsidRPr="001E2C69" w14:paraId="011B435D" w14:textId="77777777" w:rsidTr="00CC5360">
        <w:tc>
          <w:tcPr>
            <w:tcW w:w="2802" w:type="dxa"/>
          </w:tcPr>
          <w:p w14:paraId="6E4C166A"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2802" w:type="dxa"/>
          </w:tcPr>
          <w:p w14:paraId="7804E24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2500</w:t>
            </w:r>
          </w:p>
        </w:tc>
        <w:tc>
          <w:tcPr>
            <w:tcW w:w="2802" w:type="dxa"/>
          </w:tcPr>
          <w:p w14:paraId="6E69D51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2802" w:type="dxa"/>
          </w:tcPr>
          <w:p w14:paraId="6D20098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r>
      <w:tr w:rsidR="001E2C69" w:rsidRPr="001E2C69" w14:paraId="18F04939" w14:textId="77777777" w:rsidTr="00CC5360">
        <w:tc>
          <w:tcPr>
            <w:tcW w:w="2802" w:type="dxa"/>
          </w:tcPr>
          <w:p w14:paraId="0DF3F1D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Разбег, м</w:t>
            </w:r>
          </w:p>
        </w:tc>
        <w:tc>
          <w:tcPr>
            <w:tcW w:w="2802" w:type="dxa"/>
          </w:tcPr>
          <w:p w14:paraId="6292BC7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440</w:t>
            </w:r>
          </w:p>
        </w:tc>
        <w:tc>
          <w:tcPr>
            <w:tcW w:w="2802" w:type="dxa"/>
          </w:tcPr>
          <w:p w14:paraId="32563A3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435</w:t>
            </w:r>
          </w:p>
        </w:tc>
        <w:tc>
          <w:tcPr>
            <w:tcW w:w="2802" w:type="dxa"/>
          </w:tcPr>
          <w:p w14:paraId="31049C6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576</w:t>
            </w:r>
          </w:p>
        </w:tc>
      </w:tr>
      <w:tr w:rsidR="001E2C69" w:rsidRPr="001E2C69" w14:paraId="083F69EC" w14:textId="77777777" w:rsidTr="00CC5360">
        <w:tc>
          <w:tcPr>
            <w:tcW w:w="2802" w:type="dxa"/>
          </w:tcPr>
          <w:p w14:paraId="5535DF9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Пробег, м</w:t>
            </w:r>
          </w:p>
        </w:tc>
        <w:tc>
          <w:tcPr>
            <w:tcW w:w="2802" w:type="dxa"/>
          </w:tcPr>
          <w:p w14:paraId="0ECF22B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730</w:t>
            </w:r>
          </w:p>
        </w:tc>
        <w:tc>
          <w:tcPr>
            <w:tcW w:w="2802" w:type="dxa"/>
          </w:tcPr>
          <w:p w14:paraId="3B74445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765</w:t>
            </w:r>
          </w:p>
        </w:tc>
        <w:tc>
          <w:tcPr>
            <w:tcW w:w="2802" w:type="dxa"/>
          </w:tcPr>
          <w:p w14:paraId="766E805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640</w:t>
            </w:r>
          </w:p>
        </w:tc>
      </w:tr>
      <w:tr w:rsidR="001E2C69" w:rsidRPr="001E2C69" w14:paraId="1630F18C" w14:textId="77777777" w:rsidTr="00CC5360">
        <w:tc>
          <w:tcPr>
            <w:tcW w:w="2802" w:type="dxa"/>
          </w:tcPr>
          <w:p w14:paraId="03CF393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Экипаж, чел.</w:t>
            </w:r>
          </w:p>
        </w:tc>
        <w:tc>
          <w:tcPr>
            <w:tcW w:w="2802" w:type="dxa"/>
          </w:tcPr>
          <w:p w14:paraId="3FD2821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w:t>
            </w:r>
          </w:p>
        </w:tc>
        <w:tc>
          <w:tcPr>
            <w:tcW w:w="2802" w:type="dxa"/>
          </w:tcPr>
          <w:p w14:paraId="09D686E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w:t>
            </w:r>
          </w:p>
        </w:tc>
        <w:tc>
          <w:tcPr>
            <w:tcW w:w="2802" w:type="dxa"/>
          </w:tcPr>
          <w:p w14:paraId="060202C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w:t>
            </w:r>
          </w:p>
        </w:tc>
      </w:tr>
      <w:tr w:rsidR="001E2C69" w:rsidRPr="001E2C69" w14:paraId="1DEC39F4" w14:textId="77777777" w:rsidTr="00CC5360">
        <w:tc>
          <w:tcPr>
            <w:tcW w:w="2802" w:type="dxa"/>
          </w:tcPr>
          <w:p w14:paraId="6EAF414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Бомбовая нагрузка, кг: нормальная максимальная</w:t>
            </w:r>
          </w:p>
        </w:tc>
        <w:tc>
          <w:tcPr>
            <w:tcW w:w="2802" w:type="dxa"/>
          </w:tcPr>
          <w:p w14:paraId="546739B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1000/2000</w:t>
            </w:r>
          </w:p>
        </w:tc>
        <w:tc>
          <w:tcPr>
            <w:tcW w:w="2802" w:type="dxa"/>
          </w:tcPr>
          <w:p w14:paraId="171D4ED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1000/2000</w:t>
            </w:r>
          </w:p>
        </w:tc>
        <w:tc>
          <w:tcPr>
            <w:tcW w:w="2802" w:type="dxa"/>
          </w:tcPr>
          <w:p w14:paraId="5A66342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1000/2000</w:t>
            </w:r>
          </w:p>
        </w:tc>
      </w:tr>
      <w:tr w:rsidR="001E2C69" w:rsidRPr="001E2C69" w14:paraId="53FF2426" w14:textId="77777777" w:rsidTr="00CC5360">
        <w:tc>
          <w:tcPr>
            <w:tcW w:w="2802" w:type="dxa"/>
          </w:tcPr>
          <w:p w14:paraId="0A78017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Вооружение, кол-вохкалибр</w:t>
            </w:r>
          </w:p>
        </w:tc>
        <w:tc>
          <w:tcPr>
            <w:tcW w:w="2802" w:type="dxa"/>
          </w:tcPr>
          <w:p w14:paraId="38DBD73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2x20; 4x7,62</w:t>
            </w:r>
          </w:p>
        </w:tc>
        <w:tc>
          <w:tcPr>
            <w:tcW w:w="2802" w:type="dxa"/>
          </w:tcPr>
          <w:p w14:paraId="64DC354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2x20; 5x7,62</w:t>
            </w:r>
          </w:p>
        </w:tc>
        <w:tc>
          <w:tcPr>
            <w:tcW w:w="2802" w:type="dxa"/>
          </w:tcPr>
          <w:p w14:paraId="6EF54FB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2х202); 5x7,62</w:t>
            </w:r>
          </w:p>
        </w:tc>
      </w:tr>
      <w:tr w:rsidR="001E2C69" w:rsidRPr="001E2C69" w14:paraId="3582F39E" w14:textId="77777777" w:rsidTr="00CC5360">
        <w:tc>
          <w:tcPr>
            <w:tcW w:w="2802" w:type="dxa"/>
            <w:tcBorders>
              <w:bottom w:val="single" w:sz="12" w:space="0" w:color="auto"/>
            </w:tcBorders>
          </w:tcPr>
          <w:p w14:paraId="7E1AA08A"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2802" w:type="dxa"/>
            <w:tcBorders>
              <w:bottom w:val="single" w:sz="12" w:space="0" w:color="auto"/>
            </w:tcBorders>
          </w:tcPr>
          <w:p w14:paraId="5E8DCD0F"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2802" w:type="dxa"/>
            <w:tcBorders>
              <w:bottom w:val="single" w:sz="12" w:space="0" w:color="auto"/>
            </w:tcBorders>
          </w:tcPr>
          <w:p w14:paraId="0100AD44"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2802" w:type="dxa"/>
            <w:tcBorders>
              <w:bottom w:val="single" w:sz="12" w:space="0" w:color="auto"/>
            </w:tcBorders>
          </w:tcPr>
          <w:p w14:paraId="1203C400"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bl>
    <w:p w14:paraId="7BC8BB8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 на высоту 4500 м; 2) - в ходе испытаний - 2x20, 1x12,7, 4x7,62, дополнительно ракетное вооружение 10хРС-132 и 4хРС-82 (назад по полету)</w:t>
      </w:r>
    </w:p>
    <w:p w14:paraId="5ECF9C0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"Верочка" осталась в распоряжении конструкторского бюро. Ее использовали для опробования различных новинок, предполагавшихся к внедрению в серию (11988).</w:t>
      </w:r>
    </w:p>
    <w:p w14:paraId="5DA2E043" w14:textId="77777777" w:rsidR="00AE7191" w:rsidRPr="001E2C69" w:rsidRDefault="00AE7191" w:rsidP="00722885">
      <w:pPr>
        <w:pStyle w:val="Iauiue"/>
        <w:jc w:val="both"/>
        <w:rPr>
          <w:color w:val="000000" w:themeColor="text1"/>
          <w:sz w:val="16"/>
          <w:szCs w:val="16"/>
        </w:rPr>
      </w:pPr>
    </w:p>
    <w:p w14:paraId="4C824AF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1 по 27 августа 1942 проходили совместные испытания Ла завода 31 (708).</w:t>
      </w:r>
    </w:p>
    <w:p w14:paraId="3D83FE9D" w14:textId="77777777" w:rsidR="00AE7191" w:rsidRPr="001E2C69" w:rsidRDefault="00AE7191" w:rsidP="00722885">
      <w:pPr>
        <w:pStyle w:val="Iauiue"/>
        <w:jc w:val="both"/>
        <w:rPr>
          <w:color w:val="000000" w:themeColor="text1"/>
          <w:sz w:val="16"/>
          <w:szCs w:val="16"/>
        </w:rPr>
      </w:pPr>
    </w:p>
    <w:p w14:paraId="1F282299"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августа 1943 г. ТС-1 с моторами М-11Д в вариантах десантно-транспортного и санитарного самолета поступил на госиспытания в НИИ ВВС (ведущий летчик А.К. Долгов). 27 августа самолет вернули на завод № 482 для устранения выявленных дефектов, и в следующем, 1944 г., запустили в серийное производство на заводе № 47 в г. Чкалове (ныне г. Оренбург) под обозначением Ще-2. В том же году предприятие сдало заказчику 222 машины (24206).</w:t>
      </w:r>
    </w:p>
    <w:p w14:paraId="61C415E1" w14:textId="77777777" w:rsidR="00D80E25" w:rsidRPr="008A2E5A" w:rsidRDefault="00D80E25" w:rsidP="00D80E25">
      <w:pPr>
        <w:spacing w:after="0" w:line="240" w:lineRule="auto"/>
        <w:jc w:val="both"/>
        <w:rPr>
          <w:rFonts w:ascii="Times New Roman" w:hAnsi="Times New Roman"/>
          <w:color w:val="0070C0"/>
          <w:sz w:val="16"/>
          <w:szCs w:val="16"/>
        </w:rPr>
      </w:pPr>
    </w:p>
    <w:p w14:paraId="0BCBAF0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1 августа 1942 на аэродроме НИИ ВВС К Кольцово под Свердловском находился Би второй экз. с запасом топлива 450 кг и вооружением, но испытания задержались из-за того, что двигатель не был проверен испытаниями (1632,265).</w:t>
      </w:r>
    </w:p>
    <w:p w14:paraId="200702F4" w14:textId="77777777" w:rsidR="00AE7191" w:rsidRPr="001E2C69" w:rsidRDefault="00AE7191" w:rsidP="00722885">
      <w:pPr>
        <w:pStyle w:val="Iauiue"/>
        <w:jc w:val="both"/>
        <w:rPr>
          <w:color w:val="000000" w:themeColor="text1"/>
          <w:sz w:val="16"/>
          <w:szCs w:val="16"/>
        </w:rPr>
      </w:pPr>
    </w:p>
    <w:p w14:paraId="480908D5" w14:textId="77777777" w:rsidR="00907F56"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1 августа 1942 вышло Постановление ГКО № 2132 [О подготовке авиаэкипажей для работы на авиатрассе Аляска - Красноярск - Москва.] (7047, 168-169).</w:t>
      </w:r>
    </w:p>
    <w:p w14:paraId="1DA4A414" w14:textId="77777777" w:rsidR="00907F56" w:rsidRPr="001E2C69" w:rsidRDefault="00907F56" w:rsidP="00722885">
      <w:pPr>
        <w:pStyle w:val="Iauiue"/>
        <w:tabs>
          <w:tab w:val="left" w:pos="11199"/>
        </w:tabs>
        <w:jc w:val="both"/>
        <w:rPr>
          <w:color w:val="000000" w:themeColor="text1"/>
          <w:sz w:val="16"/>
          <w:szCs w:val="16"/>
        </w:rPr>
      </w:pPr>
    </w:p>
    <w:p w14:paraId="50375ECB" w14:textId="77777777" w:rsidR="00907F56"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1 августа 1942 вышло:</w:t>
      </w:r>
    </w:p>
    <w:p w14:paraId="773C6F2E" w14:textId="77777777" w:rsidR="00AE7191" w:rsidRPr="001E2C69" w:rsidRDefault="00AE7191" w:rsidP="00722885">
      <w:pPr>
        <w:pStyle w:val="Iauiue"/>
        <w:tabs>
          <w:tab w:val="left" w:pos="11199"/>
        </w:tabs>
        <w:jc w:val="both"/>
        <w:rPr>
          <w:bCs/>
          <w:color w:val="000000" w:themeColor="text1"/>
          <w:sz w:val="16"/>
          <w:szCs w:val="16"/>
        </w:rPr>
      </w:pPr>
      <w:r w:rsidRPr="001E2C69">
        <w:rPr>
          <w:color w:val="000000" w:themeColor="text1"/>
          <w:sz w:val="16"/>
          <w:szCs w:val="16"/>
        </w:rPr>
        <w:t>ПОСТАНОВЛЕНИЕ ГОСУДАРСТВЕННОГО КОМИТЕТА ОБОРОНЫ СОЮЗА ССР № 2132 сс</w:t>
      </w:r>
    </w:p>
    <w:p w14:paraId="648224F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Для обеспечения перегонки самолетов из Аляски до Красноярска(Красноярская воздушная трасса) и от Красноярска до района Москвы Государственный Комитет Обороны ПОСТАНОВЛЯЕТ :</w:t>
      </w:r>
    </w:p>
    <w:p w14:paraId="6FD09E8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Обязать Командующего ВВС Красной Армии тов. НОВИКОВА сформировать и подготовить для перегонки принимаемых в Фербенксе самолетов перегоночные группы в количестве:</w:t>
      </w:r>
    </w:p>
    <w:p w14:paraId="315F4F0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экипажей для самолета В-25 ;</w:t>
      </w:r>
    </w:p>
    <w:p w14:paraId="3066B3C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100 экипажей для самолета Бостон-3 ;</w:t>
      </w:r>
    </w:p>
    <w:p w14:paraId="6F0CA28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160 экипажей для самолетов Аэрокобра и Р-40Е.</w:t>
      </w:r>
    </w:p>
    <w:p w14:paraId="52C3F3D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Переучивание летного и технического состава произвести в сроки: первую очередь 50 % экипажей к 15.VIII/42 г. и 50 % экипажей к 15.IX.42 г.</w:t>
      </w:r>
    </w:p>
    <w:p w14:paraId="426DDD5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Лучшие экипажи использовать на трассе Аляска-Красноярск.</w:t>
      </w:r>
    </w:p>
    <w:p w14:paraId="0BD022F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Разрешить тов. НОВИКОВУ взять на укомплектование перегоночных групп 30 экипажей для истребительных самолетов и 30 экипажей для бомбардировочных самолетов из состава ВВС Дальне- Восточного фронта.</w:t>
      </w:r>
    </w:p>
    <w:p w14:paraId="4ADA8D4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Выделяемые экипажи должны быть подготовлены для полетов в сложных метеоусловиях.</w:t>
      </w:r>
    </w:p>
    <w:p w14:paraId="3D6B19C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3.Обязать Командующего Авиацией Дальнего Действия тов. ГОЛОВАНОВА к 3 августа 1942 г. передать ВВС 10 экипажей и т.ПАПАНИНА (Главсевморпуть) - три экипажа, подготовленных для полетов в сложных метеорологических условиях, для перегонки бомбардировочных самолетов.</w:t>
      </w:r>
    </w:p>
    <w:p w14:paraId="50C82B6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Разрешить тов. НОВИКОВУ снять с Южной трассы для использования формируемых перегоночных группах 7 экипажей Б-25 и 10 экипажей Бостон-3.</w:t>
      </w:r>
    </w:p>
    <w:p w14:paraId="2A36C96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5.Для лидирования перегоняемых самолетов создать группы лидеров по участкам ФЕРБЕНКС-УЭЛЬКАЛЪ, УЭЛЪКАЛЪ-СЕЙМЧАН, СЕЙМЧАН-ЯКУТСК, ЯКУТСК-КИРЕНСК, КИРЕНСК-КРАСНОЯРСК в составе двух экипажей на каждом участке. Разрешить использовать для лидирования 12 самолетов Бостон-3.</w:t>
      </w:r>
    </w:p>
    <w:p w14:paraId="12D9D90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Обязать тов. МИКОЯН для переброски экипажей, возвращающихся для приемки самолетов, переброски запчастей и помощи вынужденносевшим самолетам, закупить 43 самолета тина «Дуглас»</w:t>
      </w:r>
    </w:p>
    <w:p w14:paraId="4A679C2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Обязать тов. НОВИКОВА к 15 августа 1942 г. создать Управление Красноярской воздушной трассы в ЯКУТСКЕ, подчинив Начальнику трассы все аэропорты ГВФ, находящиеся на трассе.</w:t>
      </w:r>
    </w:p>
    <w:p w14:paraId="03DDC63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Назначить Начальником Красноярской воздушной трассы Полковника МАЗУРУК, И.П., Заместителем Начальника Восточной трассы Полковника ФОКИНА, В.В.</w:t>
      </w:r>
    </w:p>
    <w:p w14:paraId="6E098A6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Обязать Начальника ГУГВФ тов. АСТАХОВА к 1 сентября 1942 г.:</w:t>
      </w:r>
    </w:p>
    <w:p w14:paraId="7F0FCFF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обеспечить аэропорты Красноярской воздушной трассы всем необходимым оборудованием для приема и выпуска перегоняемых самолетов и обеспечения личного состава перегоночных групп;</w:t>
      </w:r>
    </w:p>
    <w:p w14:paraId="1CA9E6E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закончить световое оборудование трассы ;</w:t>
      </w:r>
    </w:p>
    <w:p w14:paraId="3D0C4AB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обеспечить доставку личного состава и недостающего оборудования и материалов.</w:t>
      </w:r>
    </w:p>
    <w:p w14:paraId="1B9A3E2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10. Обязать тов. НОВИКОВА для приема самолетов в ФЕРБЕНКСЕ командировать группу технического состава в количестве 22 человек, в том числе :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608"/>
        <w:gridCol w:w="2112"/>
      </w:tblGrid>
      <w:tr w:rsidR="001E2C69" w:rsidRPr="001E2C69" w14:paraId="68BC0B8E" w14:textId="77777777" w:rsidTr="00CC5360">
        <w:trPr>
          <w:jc w:val="center"/>
        </w:trPr>
        <w:tc>
          <w:tcPr>
            <w:tcW w:w="4608" w:type="dxa"/>
            <w:tcBorders>
              <w:top w:val="single" w:sz="12" w:space="0" w:color="auto"/>
            </w:tcBorders>
          </w:tcPr>
          <w:p w14:paraId="074FD79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приемки</w:t>
            </w:r>
          </w:p>
        </w:tc>
        <w:tc>
          <w:tcPr>
            <w:tcW w:w="2112" w:type="dxa"/>
            <w:tcBorders>
              <w:top w:val="single" w:sz="12" w:space="0" w:color="auto"/>
            </w:tcBorders>
          </w:tcPr>
          <w:p w14:paraId="1D0F22F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- 1</w:t>
            </w:r>
          </w:p>
        </w:tc>
      </w:tr>
      <w:tr w:rsidR="001E2C69" w:rsidRPr="001E2C69" w14:paraId="4508F593" w14:textId="77777777" w:rsidTr="00CC5360">
        <w:trPr>
          <w:jc w:val="center"/>
        </w:trPr>
        <w:tc>
          <w:tcPr>
            <w:tcW w:w="4608" w:type="dxa"/>
          </w:tcPr>
          <w:p w14:paraId="1114338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Старших военпредов</w:t>
            </w:r>
          </w:p>
        </w:tc>
        <w:tc>
          <w:tcPr>
            <w:tcW w:w="2112" w:type="dxa"/>
          </w:tcPr>
          <w:p w14:paraId="4F09C64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- 1</w:t>
            </w:r>
          </w:p>
        </w:tc>
      </w:tr>
      <w:tr w:rsidR="001E2C69" w:rsidRPr="001E2C69" w14:paraId="49C0AB0F" w14:textId="77777777" w:rsidTr="00CC5360">
        <w:trPr>
          <w:jc w:val="center"/>
        </w:trPr>
        <w:tc>
          <w:tcPr>
            <w:tcW w:w="4608" w:type="dxa"/>
          </w:tcPr>
          <w:p w14:paraId="03C1E97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Военпредов по самолетам</w:t>
            </w:r>
          </w:p>
        </w:tc>
        <w:tc>
          <w:tcPr>
            <w:tcW w:w="2112" w:type="dxa"/>
          </w:tcPr>
          <w:p w14:paraId="412529C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- 2</w:t>
            </w:r>
          </w:p>
        </w:tc>
      </w:tr>
      <w:tr w:rsidR="001E2C69" w:rsidRPr="001E2C69" w14:paraId="647D077F" w14:textId="77777777" w:rsidTr="00CC5360">
        <w:trPr>
          <w:jc w:val="center"/>
        </w:trPr>
        <w:tc>
          <w:tcPr>
            <w:tcW w:w="4608" w:type="dxa"/>
          </w:tcPr>
          <w:p w14:paraId="7F6F2A4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Военпредов по моторам</w:t>
            </w:r>
          </w:p>
        </w:tc>
        <w:tc>
          <w:tcPr>
            <w:tcW w:w="2112" w:type="dxa"/>
          </w:tcPr>
          <w:p w14:paraId="66B5B8B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- 2</w:t>
            </w:r>
          </w:p>
        </w:tc>
      </w:tr>
      <w:tr w:rsidR="001E2C69" w:rsidRPr="001E2C69" w14:paraId="318EDA36" w14:textId="77777777" w:rsidTr="00CC5360">
        <w:trPr>
          <w:jc w:val="center"/>
        </w:trPr>
        <w:tc>
          <w:tcPr>
            <w:tcW w:w="4608" w:type="dxa"/>
          </w:tcPr>
          <w:p w14:paraId="2B956F0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Военпредов по электро</w:t>
            </w:r>
          </w:p>
        </w:tc>
        <w:tc>
          <w:tcPr>
            <w:tcW w:w="2112" w:type="dxa"/>
          </w:tcPr>
          <w:p w14:paraId="1ED0210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- 2</w:t>
            </w:r>
          </w:p>
        </w:tc>
      </w:tr>
      <w:tr w:rsidR="001E2C69" w:rsidRPr="001E2C69" w14:paraId="216E7EED" w14:textId="77777777" w:rsidTr="00CC5360">
        <w:trPr>
          <w:jc w:val="center"/>
        </w:trPr>
        <w:tc>
          <w:tcPr>
            <w:tcW w:w="4608" w:type="dxa"/>
          </w:tcPr>
          <w:p w14:paraId="505621F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Военпредов по радио</w:t>
            </w:r>
          </w:p>
        </w:tc>
        <w:tc>
          <w:tcPr>
            <w:tcW w:w="2112" w:type="dxa"/>
          </w:tcPr>
          <w:p w14:paraId="136193C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- 2</w:t>
            </w:r>
          </w:p>
        </w:tc>
      </w:tr>
      <w:tr w:rsidR="001E2C69" w:rsidRPr="001E2C69" w14:paraId="25AD7A32" w14:textId="77777777" w:rsidTr="00CC5360">
        <w:trPr>
          <w:jc w:val="center"/>
        </w:trPr>
        <w:tc>
          <w:tcPr>
            <w:tcW w:w="4608" w:type="dxa"/>
          </w:tcPr>
          <w:p w14:paraId="270810D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Военпредов по приборам</w:t>
            </w:r>
          </w:p>
        </w:tc>
        <w:tc>
          <w:tcPr>
            <w:tcW w:w="2112" w:type="dxa"/>
          </w:tcPr>
          <w:p w14:paraId="7B7A80D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- 2</w:t>
            </w:r>
          </w:p>
        </w:tc>
      </w:tr>
      <w:tr w:rsidR="001E2C69" w:rsidRPr="001E2C69" w14:paraId="1619A8D5" w14:textId="77777777" w:rsidTr="00CC5360">
        <w:trPr>
          <w:jc w:val="center"/>
        </w:trPr>
        <w:tc>
          <w:tcPr>
            <w:tcW w:w="4608" w:type="dxa"/>
          </w:tcPr>
          <w:p w14:paraId="0B358BB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Военпредов по вооружению</w:t>
            </w:r>
          </w:p>
        </w:tc>
        <w:tc>
          <w:tcPr>
            <w:tcW w:w="2112" w:type="dxa"/>
          </w:tcPr>
          <w:p w14:paraId="203E6E4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- 2</w:t>
            </w:r>
          </w:p>
        </w:tc>
      </w:tr>
      <w:tr w:rsidR="001E2C69" w:rsidRPr="001E2C69" w14:paraId="332F7DCE" w14:textId="77777777" w:rsidTr="00CC5360">
        <w:trPr>
          <w:jc w:val="center"/>
        </w:trPr>
        <w:tc>
          <w:tcPr>
            <w:tcW w:w="4608" w:type="dxa"/>
          </w:tcPr>
          <w:p w14:paraId="716EC3B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Переводчиков</w:t>
            </w:r>
          </w:p>
        </w:tc>
        <w:tc>
          <w:tcPr>
            <w:tcW w:w="2112" w:type="dxa"/>
          </w:tcPr>
          <w:p w14:paraId="41569F7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- 3</w:t>
            </w:r>
          </w:p>
        </w:tc>
      </w:tr>
      <w:tr w:rsidR="001E2C69" w:rsidRPr="001E2C69" w14:paraId="0C4630F0" w14:textId="77777777" w:rsidTr="00CC5360">
        <w:trPr>
          <w:jc w:val="center"/>
        </w:trPr>
        <w:tc>
          <w:tcPr>
            <w:tcW w:w="4608" w:type="dxa"/>
          </w:tcPr>
          <w:p w14:paraId="3FFA13D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Шифровальщиков</w:t>
            </w:r>
          </w:p>
        </w:tc>
        <w:tc>
          <w:tcPr>
            <w:tcW w:w="2112" w:type="dxa"/>
          </w:tcPr>
          <w:p w14:paraId="77D6F37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- 2</w:t>
            </w:r>
          </w:p>
        </w:tc>
      </w:tr>
      <w:tr w:rsidR="001E2C69" w:rsidRPr="001E2C69" w14:paraId="4757D49F" w14:textId="77777777" w:rsidTr="00CC5360">
        <w:trPr>
          <w:jc w:val="center"/>
        </w:trPr>
        <w:tc>
          <w:tcPr>
            <w:tcW w:w="4608" w:type="dxa"/>
          </w:tcPr>
          <w:p w14:paraId="7BD0167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Офицера связи</w:t>
            </w:r>
          </w:p>
        </w:tc>
        <w:tc>
          <w:tcPr>
            <w:tcW w:w="2112" w:type="dxa"/>
          </w:tcPr>
          <w:p w14:paraId="78FAC4A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- 1</w:t>
            </w:r>
          </w:p>
        </w:tc>
      </w:tr>
      <w:tr w:rsidR="001E2C69" w:rsidRPr="001E2C69" w14:paraId="38A5E3EC" w14:textId="77777777" w:rsidTr="00CC5360">
        <w:trPr>
          <w:jc w:val="center"/>
        </w:trPr>
        <w:tc>
          <w:tcPr>
            <w:tcW w:w="4608" w:type="dxa"/>
          </w:tcPr>
          <w:p w14:paraId="0F84C56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Младших специалистов</w:t>
            </w:r>
          </w:p>
        </w:tc>
        <w:tc>
          <w:tcPr>
            <w:tcW w:w="2112" w:type="dxa"/>
          </w:tcPr>
          <w:p w14:paraId="7395107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- 2</w:t>
            </w:r>
          </w:p>
        </w:tc>
      </w:tr>
      <w:tr w:rsidR="001E2C69" w:rsidRPr="001E2C69" w14:paraId="753F3CB5" w14:textId="77777777" w:rsidTr="00CC5360">
        <w:trPr>
          <w:jc w:val="center"/>
        </w:trPr>
        <w:tc>
          <w:tcPr>
            <w:tcW w:w="4608" w:type="dxa"/>
            <w:gridSpan w:val="2"/>
          </w:tcPr>
          <w:p w14:paraId="4F25B936"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786F4FF9" w14:textId="77777777" w:rsidTr="00CC5360">
        <w:trPr>
          <w:jc w:val="center"/>
        </w:trPr>
        <w:tc>
          <w:tcPr>
            <w:tcW w:w="4608" w:type="dxa"/>
            <w:tcBorders>
              <w:bottom w:val="single" w:sz="12" w:space="0" w:color="auto"/>
            </w:tcBorders>
          </w:tcPr>
          <w:p w14:paraId="1608E1C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ВСЕГО</w:t>
            </w:r>
          </w:p>
        </w:tc>
        <w:tc>
          <w:tcPr>
            <w:tcW w:w="2112" w:type="dxa"/>
            <w:tcBorders>
              <w:bottom w:val="single" w:sz="12" w:space="0" w:color="auto"/>
            </w:tcBorders>
          </w:tcPr>
          <w:p w14:paraId="6DC9F95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человека</w:t>
            </w:r>
          </w:p>
        </w:tc>
      </w:tr>
    </w:tbl>
    <w:p w14:paraId="615C0DD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Обязать Начальника ГАУ тов. ЯКОВЛЕВА обеспечить летно-технический состав перегоночных групп и аэропортов личным оружием и автоматами.</w:t>
      </w:r>
    </w:p>
    <w:p w14:paraId="238C2A8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Обязать ТОВ.ВИНОГРАДОВА (Управление Тыла НКО ) довольствовать личный состав перегоночных групп и аэропортов повышенным питанием.</w:t>
      </w:r>
    </w:p>
    <w:p w14:paraId="5349529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Начальника Красноярской воздушной трассы и приемочную группу в ФЕРБЕНКСЕ подчинить Начальнику ГУГВФ ( т. АСТАХОВУ).</w:t>
      </w:r>
    </w:p>
    <w:p w14:paraId="3EF15B5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14. Обязать тов. ГРОМАДИНА передать ВВС 9 самолетов «Аэрокобра» (без экипажей) для переучивания перегоночных экипажей с заменой этих самолетов из первых поступлений по импорту. </w:t>
      </w:r>
    </w:p>
    <w:p w14:paraId="4C4B050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ПРЕДСЕДАТЕЛЬ ГОСУДАРСТВЕННОГО КОМИТЕТА ОБОРОНЫ (11813).</w:t>
      </w:r>
    </w:p>
    <w:p w14:paraId="750DD71B"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F020BA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 1 августа 1942 года Паспорт завода № 27</w:t>
      </w:r>
    </w:p>
    <w:p w14:paraId="7C863F1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введен в эксплуатацию частично по авиационной продукции в 1923 году.</w:t>
      </w:r>
    </w:p>
    <w:p w14:paraId="45302AE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До 1923 года на заводе изготовлялась мебель.</w:t>
      </w:r>
    </w:p>
    <w:p w14:paraId="63E9D09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Годом полного ввода завода в эксплуатацию считается 1940 год.</w:t>
      </w:r>
    </w:p>
    <w:p w14:paraId="1BF3AB9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конце 1941 года завод № 28, ранее расположенный на этой территории был эвакуирован.</w:t>
      </w:r>
    </w:p>
    <w:p w14:paraId="6E0B647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 основании постановления ГКО за № 1052 от 23 декабря 1941 года и приказа НКАП за № 1186 от 25 декабря 1941 года на территории завода № 28 перебазирован завод № 489 под № 27 (9521).</w:t>
      </w:r>
    </w:p>
    <w:p w14:paraId="46197561" w14:textId="77777777" w:rsidR="00AE7191" w:rsidRPr="001E2C69" w:rsidRDefault="00AE7191" w:rsidP="00722885">
      <w:pPr>
        <w:pStyle w:val="Iauiue"/>
        <w:jc w:val="both"/>
        <w:rPr>
          <w:color w:val="000000" w:themeColor="text1"/>
          <w:sz w:val="16"/>
          <w:szCs w:val="16"/>
        </w:rPr>
      </w:pPr>
    </w:p>
    <w:p w14:paraId="59B8EFC4"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26D310C4" w14:textId="77777777" w:rsidR="00AE7191" w:rsidRPr="001E2C69" w:rsidRDefault="00AE7191" w:rsidP="00722885">
      <w:pPr>
        <w:pStyle w:val="Iauiue"/>
        <w:jc w:val="both"/>
        <w:rPr>
          <w:iCs/>
          <w:color w:val="000000" w:themeColor="text1"/>
          <w:sz w:val="16"/>
          <w:szCs w:val="16"/>
        </w:rPr>
      </w:pPr>
    </w:p>
    <w:p w14:paraId="0A36EB8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августа 1942 года директор СТЗ Задорожный и главный инженер завода Демьянович обратились к наркому танковой промышленности Зальцману и начальнику БТУ ГАБТУ КА Коробкову со следующей просьбой:</w:t>
      </w:r>
    </w:p>
    <w:p w14:paraId="77F62F9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«Сложившаяся обстановка в связи с приближением фронта к г. Сталинграду, затрудняет в настоящее время иметь нормальные взаимоотношения с ведущим заводом № 183, с ГАБТУ КА и Наркоматанкопромом в вопросах согласования различных изменений, постоянного или временного характера, в чертежах танка Т-34.</w:t>
      </w:r>
    </w:p>
    <w:p w14:paraId="3A8DCC9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Снабжение завода всеми необходимыми материалами, приборами и готовыми изделиями также затруднено, а поэтому в целях обеспечения нормального выпуска танков приходится часто прибегать к изысканию заменителей, которые в некоторых случаях требуют изменения конструкции машины.</w:t>
      </w:r>
    </w:p>
    <w:p w14:paraId="6CEE90F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оперативного решения вопросов о допустимости того или иного заменителя, а также допустимости изменения конструкции танка без нарушения взаимозаменяемости деталей, считаем необходимым присутствие на СТЗ ответственных представителей ГАБТУ КА и Наркомтанкопрома, полномочных решать вопросы временных изменений конструкции деталей или введения заменителей на период затруднений, испытываемых в настоящее время заводом.</w:t>
      </w:r>
    </w:p>
    <w:p w14:paraId="173D862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Указанное положение может быть обеспечено поручением полномочий старшему военпреду ГАБТУ КА на СТЗ и командируемому представителю от наркомата.</w:t>
      </w:r>
    </w:p>
    <w:p w14:paraId="2E50D91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Согласование временных изменений непосредственно на заводе позволит оперативно решать эти вопросы, а ответственность за соблюдение взаимозаменяемости деталей, качественной замены материалов, приборов и вводимых временных изменений Сталинградский тракторный завод принимает на себя».</w:t>
      </w:r>
    </w:p>
    <w:p w14:paraId="6EA52D6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Просьбу удовлетворили - от ГАБТУ КА полномочия получил старший военпред Левин, от наркомтанкопрома на СТЗ прибыл заместитель наркома А. Горегляд (12217).</w:t>
      </w:r>
    </w:p>
    <w:p w14:paraId="51CBD7C1"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420F36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состоянию на 1 августа 1942 в список предприятий Наркомата тяжелого машиностроения входили (8825)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402"/>
        <w:gridCol w:w="3402"/>
      </w:tblGrid>
      <w:tr w:rsidR="001E2C69" w:rsidRPr="001E2C69" w14:paraId="20BD16D3" w14:textId="77777777" w:rsidTr="00CC5360">
        <w:tc>
          <w:tcPr>
            <w:tcW w:w="3369" w:type="dxa"/>
          </w:tcPr>
          <w:p w14:paraId="4F25E27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Наименование предприятия</w:t>
            </w:r>
          </w:p>
        </w:tc>
        <w:tc>
          <w:tcPr>
            <w:tcW w:w="3402" w:type="dxa"/>
          </w:tcPr>
          <w:p w14:paraId="7B6F118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Местонахождение</w:t>
            </w:r>
          </w:p>
        </w:tc>
        <w:tc>
          <w:tcPr>
            <w:tcW w:w="3402" w:type="dxa"/>
          </w:tcPr>
          <w:p w14:paraId="6F01523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Директора</w:t>
            </w:r>
          </w:p>
        </w:tc>
      </w:tr>
    </w:tbl>
    <w:p w14:paraId="112171B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Непосредственно подчиненные Наркомату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402"/>
        <w:gridCol w:w="3402"/>
      </w:tblGrid>
      <w:tr w:rsidR="001E2C69" w:rsidRPr="001E2C69" w14:paraId="49DCE5F3" w14:textId="77777777" w:rsidTr="00CC5360">
        <w:tc>
          <w:tcPr>
            <w:tcW w:w="3369" w:type="dxa"/>
          </w:tcPr>
          <w:p w14:paraId="4B1399B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Машзавод им. Дзержинского</w:t>
            </w:r>
          </w:p>
        </w:tc>
        <w:tc>
          <w:tcPr>
            <w:tcW w:w="3402" w:type="dxa"/>
          </w:tcPr>
          <w:p w14:paraId="49FD22C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Балаково, Саратовской области, ул. Коммунистическая, 124</w:t>
            </w:r>
          </w:p>
        </w:tc>
        <w:tc>
          <w:tcPr>
            <w:tcW w:w="3402" w:type="dxa"/>
          </w:tcPr>
          <w:p w14:paraId="0F2CEF1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Иосифов</w:t>
            </w:r>
          </w:p>
        </w:tc>
      </w:tr>
      <w:tr w:rsidR="001E2C69" w:rsidRPr="001E2C69" w14:paraId="4CA5269B" w14:textId="77777777" w:rsidTr="00CC5360">
        <w:tc>
          <w:tcPr>
            <w:tcW w:w="3369" w:type="dxa"/>
          </w:tcPr>
          <w:p w14:paraId="3A6E75A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Строительство завода “Красный Профинтерн”</w:t>
            </w:r>
          </w:p>
        </w:tc>
        <w:tc>
          <w:tcPr>
            <w:tcW w:w="3402" w:type="dxa"/>
          </w:tcPr>
          <w:p w14:paraId="3AA3F0A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Красноярск, ст. Злобино</w:t>
            </w:r>
          </w:p>
        </w:tc>
        <w:tc>
          <w:tcPr>
            <w:tcW w:w="3402" w:type="dxa"/>
          </w:tcPr>
          <w:p w14:paraId="3E548CA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Чумичев</w:t>
            </w:r>
          </w:p>
        </w:tc>
      </w:tr>
      <w:tr w:rsidR="001E2C69" w:rsidRPr="001E2C69" w14:paraId="2594A533" w14:textId="77777777" w:rsidTr="00CC5360">
        <w:tc>
          <w:tcPr>
            <w:tcW w:w="3369" w:type="dxa"/>
          </w:tcPr>
          <w:p w14:paraId="76C6E1C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Машиностроительный завод “Коммунист”</w:t>
            </w:r>
          </w:p>
        </w:tc>
        <w:tc>
          <w:tcPr>
            <w:tcW w:w="3402" w:type="dxa"/>
          </w:tcPr>
          <w:p w14:paraId="46D03E2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Маркс Саратовской области, Фабричная, 18</w:t>
            </w:r>
          </w:p>
        </w:tc>
        <w:tc>
          <w:tcPr>
            <w:tcW w:w="3402" w:type="dxa"/>
          </w:tcPr>
          <w:p w14:paraId="3DEC195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Лисин</w:t>
            </w:r>
          </w:p>
        </w:tc>
      </w:tr>
      <w:tr w:rsidR="001E2C69" w:rsidRPr="001E2C69" w14:paraId="722256D0" w14:textId="77777777" w:rsidTr="00CC5360">
        <w:tc>
          <w:tcPr>
            <w:tcW w:w="3369" w:type="dxa"/>
          </w:tcPr>
          <w:p w14:paraId="52926EC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Нязе-Петровский механический завод им. Калинина</w:t>
            </w:r>
          </w:p>
        </w:tc>
        <w:tc>
          <w:tcPr>
            <w:tcW w:w="3402" w:type="dxa"/>
          </w:tcPr>
          <w:p w14:paraId="56B03BD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Нязе-Петровск Челябинской области</w:t>
            </w:r>
          </w:p>
        </w:tc>
        <w:tc>
          <w:tcPr>
            <w:tcW w:w="3402" w:type="dxa"/>
          </w:tcPr>
          <w:p w14:paraId="41F5148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Бутылев</w:t>
            </w:r>
          </w:p>
        </w:tc>
      </w:tr>
      <w:tr w:rsidR="001E2C69" w:rsidRPr="001E2C69" w14:paraId="231A54A0" w14:textId="77777777" w:rsidTr="00CC5360">
        <w:tc>
          <w:tcPr>
            <w:tcW w:w="3369" w:type="dxa"/>
          </w:tcPr>
          <w:p w14:paraId="2A69517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lastRenderedPageBreak/>
              <w:t>Ирбитский металло-прокатный завод</w:t>
            </w:r>
          </w:p>
        </w:tc>
        <w:tc>
          <w:tcPr>
            <w:tcW w:w="3402" w:type="dxa"/>
          </w:tcPr>
          <w:p w14:paraId="2567FFD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Ст. Талый ключ</w:t>
            </w:r>
          </w:p>
        </w:tc>
        <w:tc>
          <w:tcPr>
            <w:tcW w:w="3402" w:type="dxa"/>
          </w:tcPr>
          <w:p w14:paraId="21CF271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Торлин</w:t>
            </w:r>
          </w:p>
        </w:tc>
      </w:tr>
      <w:tr w:rsidR="001E2C69" w:rsidRPr="001E2C69" w14:paraId="1D773B8E" w14:textId="77777777" w:rsidTr="00CC5360">
        <w:tc>
          <w:tcPr>
            <w:tcW w:w="3369" w:type="dxa"/>
          </w:tcPr>
          <w:p w14:paraId="442D405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Иркутский механический завод</w:t>
            </w:r>
          </w:p>
        </w:tc>
        <w:tc>
          <w:tcPr>
            <w:tcW w:w="3402" w:type="dxa"/>
          </w:tcPr>
          <w:p w14:paraId="170AF92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Иркутск, ул. Октябрьской революции, 1</w:t>
            </w:r>
          </w:p>
        </w:tc>
        <w:tc>
          <w:tcPr>
            <w:tcW w:w="3402" w:type="dxa"/>
          </w:tcPr>
          <w:p w14:paraId="1B04AD4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Моисеев</w:t>
            </w:r>
          </w:p>
        </w:tc>
      </w:tr>
      <w:tr w:rsidR="001E2C69" w:rsidRPr="001E2C69" w14:paraId="1E03EDE5" w14:textId="77777777" w:rsidTr="00CC5360">
        <w:tc>
          <w:tcPr>
            <w:tcW w:w="3369" w:type="dxa"/>
          </w:tcPr>
          <w:p w14:paraId="02347F1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Сызранский машиностроительный завод</w:t>
            </w:r>
          </w:p>
        </w:tc>
        <w:tc>
          <w:tcPr>
            <w:tcW w:w="3402" w:type="dxa"/>
          </w:tcPr>
          <w:p w14:paraId="32FD752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Сызрань Куйбышевской области, ул. Советская, 20</w:t>
            </w:r>
          </w:p>
        </w:tc>
        <w:tc>
          <w:tcPr>
            <w:tcW w:w="3402" w:type="dxa"/>
          </w:tcPr>
          <w:p w14:paraId="4083DEB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Аброскин</w:t>
            </w:r>
          </w:p>
        </w:tc>
      </w:tr>
      <w:tr w:rsidR="001E2C69" w:rsidRPr="001E2C69" w14:paraId="240EE665" w14:textId="77777777" w:rsidTr="00CC5360">
        <w:tc>
          <w:tcPr>
            <w:tcW w:w="3369" w:type="dxa"/>
          </w:tcPr>
          <w:p w14:paraId="17CA34B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“Русский дизель”</w:t>
            </w:r>
          </w:p>
        </w:tc>
        <w:tc>
          <w:tcPr>
            <w:tcW w:w="3402" w:type="dxa"/>
          </w:tcPr>
          <w:p w14:paraId="435652F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Ленингград, РСП 272, набережная им. Фокина, 13/15</w:t>
            </w:r>
          </w:p>
        </w:tc>
        <w:tc>
          <w:tcPr>
            <w:tcW w:w="3402" w:type="dxa"/>
          </w:tcPr>
          <w:p w14:paraId="61B97D7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Пассинский</w:t>
            </w:r>
          </w:p>
        </w:tc>
      </w:tr>
      <w:tr w:rsidR="001E2C69" w:rsidRPr="001E2C69" w14:paraId="34086DC0" w14:textId="77777777" w:rsidTr="00CC5360">
        <w:tc>
          <w:tcPr>
            <w:tcW w:w="3369" w:type="dxa"/>
          </w:tcPr>
          <w:p w14:paraId="6AA971F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Ново-Краматорский машиностроительный завод им. Сталина</w:t>
            </w:r>
          </w:p>
        </w:tc>
        <w:tc>
          <w:tcPr>
            <w:tcW w:w="3402" w:type="dxa"/>
          </w:tcPr>
          <w:p w14:paraId="01857F8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Электросталь Московской области</w:t>
            </w:r>
          </w:p>
        </w:tc>
        <w:tc>
          <w:tcPr>
            <w:tcW w:w="3402" w:type="dxa"/>
          </w:tcPr>
          <w:p w14:paraId="79790D8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Яковлев</w:t>
            </w:r>
          </w:p>
        </w:tc>
      </w:tr>
      <w:tr w:rsidR="001E2C69" w:rsidRPr="001E2C69" w14:paraId="476B3303" w14:textId="77777777" w:rsidTr="00CC5360">
        <w:tc>
          <w:tcPr>
            <w:tcW w:w="3369" w:type="dxa"/>
          </w:tcPr>
          <w:p w14:paraId="42673A3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Коломенский машиностроительный завод им. В.В. Куйбышева</w:t>
            </w:r>
          </w:p>
        </w:tc>
        <w:tc>
          <w:tcPr>
            <w:tcW w:w="3402" w:type="dxa"/>
          </w:tcPr>
          <w:p w14:paraId="0D3207B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Голутвино</w:t>
            </w:r>
          </w:p>
        </w:tc>
        <w:tc>
          <w:tcPr>
            <w:tcW w:w="3402" w:type="dxa"/>
          </w:tcPr>
          <w:p w14:paraId="535D900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Гоциридзе</w:t>
            </w:r>
          </w:p>
        </w:tc>
      </w:tr>
      <w:tr w:rsidR="001E2C69" w:rsidRPr="001E2C69" w14:paraId="14B7471B" w14:textId="77777777" w:rsidTr="00CC5360">
        <w:tc>
          <w:tcPr>
            <w:tcW w:w="3369" w:type="dxa"/>
          </w:tcPr>
          <w:p w14:paraId="7690C51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ЦНИИТМАШ</w:t>
            </w:r>
          </w:p>
        </w:tc>
        <w:tc>
          <w:tcPr>
            <w:tcW w:w="3402" w:type="dxa"/>
          </w:tcPr>
          <w:p w14:paraId="2AE5FCB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Москва, Шарикоподшипниковская, 2</w:t>
            </w:r>
          </w:p>
        </w:tc>
        <w:tc>
          <w:tcPr>
            <w:tcW w:w="3402" w:type="dxa"/>
          </w:tcPr>
          <w:p w14:paraId="541DC264" w14:textId="77777777" w:rsidR="00AE7191" w:rsidRPr="001E2C69" w:rsidRDefault="00AE7191" w:rsidP="00722885">
            <w:pPr>
              <w:pStyle w:val="Iauiue"/>
              <w:jc w:val="both"/>
              <w:rPr>
                <w:color w:val="000000" w:themeColor="text1"/>
                <w:sz w:val="16"/>
                <w:szCs w:val="16"/>
              </w:rPr>
            </w:pPr>
          </w:p>
        </w:tc>
      </w:tr>
    </w:tbl>
    <w:p w14:paraId="562F82F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Заводы Главтурбопрома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402"/>
        <w:gridCol w:w="3402"/>
      </w:tblGrid>
      <w:tr w:rsidR="001E2C69" w:rsidRPr="001E2C69" w14:paraId="59D80114" w14:textId="77777777" w:rsidTr="00CC5360">
        <w:tc>
          <w:tcPr>
            <w:tcW w:w="3369" w:type="dxa"/>
          </w:tcPr>
          <w:p w14:paraId="77BF30D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Невский машиностроительный завод им. В.И. Ленина</w:t>
            </w:r>
          </w:p>
        </w:tc>
        <w:tc>
          <w:tcPr>
            <w:tcW w:w="3402" w:type="dxa"/>
          </w:tcPr>
          <w:p w14:paraId="7CC27BE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Ленинград, 29, пр. села Смоленского, 1/8</w:t>
            </w:r>
          </w:p>
        </w:tc>
        <w:tc>
          <w:tcPr>
            <w:tcW w:w="3402" w:type="dxa"/>
          </w:tcPr>
          <w:p w14:paraId="4C18433B" w14:textId="77777777" w:rsidR="00AE7191" w:rsidRPr="001E2C69" w:rsidRDefault="00AE7191" w:rsidP="00722885">
            <w:pPr>
              <w:pStyle w:val="Iauiue"/>
              <w:jc w:val="both"/>
              <w:rPr>
                <w:color w:val="000000" w:themeColor="text1"/>
                <w:sz w:val="16"/>
                <w:szCs w:val="16"/>
              </w:rPr>
            </w:pPr>
          </w:p>
        </w:tc>
      </w:tr>
      <w:tr w:rsidR="001E2C69" w:rsidRPr="001E2C69" w14:paraId="2476766D" w14:textId="77777777" w:rsidTr="00CC5360">
        <w:tc>
          <w:tcPr>
            <w:tcW w:w="3369" w:type="dxa"/>
          </w:tcPr>
          <w:p w14:paraId="4EAE438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“Экономайзер”</w:t>
            </w:r>
          </w:p>
        </w:tc>
        <w:tc>
          <w:tcPr>
            <w:tcW w:w="3402" w:type="dxa"/>
          </w:tcPr>
          <w:p w14:paraId="0E61045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Ленинград, 33, ул. Цимбалина, 3</w:t>
            </w:r>
          </w:p>
        </w:tc>
        <w:tc>
          <w:tcPr>
            <w:tcW w:w="3402" w:type="dxa"/>
          </w:tcPr>
          <w:p w14:paraId="3AF00181" w14:textId="77777777" w:rsidR="00AE7191" w:rsidRPr="001E2C69" w:rsidRDefault="00AE7191" w:rsidP="00722885">
            <w:pPr>
              <w:pStyle w:val="Iauiue"/>
              <w:jc w:val="both"/>
              <w:rPr>
                <w:color w:val="000000" w:themeColor="text1"/>
                <w:sz w:val="16"/>
                <w:szCs w:val="16"/>
              </w:rPr>
            </w:pPr>
          </w:p>
        </w:tc>
      </w:tr>
      <w:tr w:rsidR="001E2C69" w:rsidRPr="001E2C69" w14:paraId="6D65BBB9" w14:textId="77777777" w:rsidTr="00CC5360">
        <w:tc>
          <w:tcPr>
            <w:tcW w:w="3369" w:type="dxa"/>
          </w:tcPr>
          <w:p w14:paraId="6FA9EEC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“Комега”</w:t>
            </w:r>
          </w:p>
        </w:tc>
        <w:tc>
          <w:tcPr>
            <w:tcW w:w="3402" w:type="dxa"/>
          </w:tcPr>
          <w:p w14:paraId="653AA84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Москва, ул. Мироновская, 33</w:t>
            </w:r>
          </w:p>
        </w:tc>
        <w:tc>
          <w:tcPr>
            <w:tcW w:w="3402" w:type="dxa"/>
          </w:tcPr>
          <w:p w14:paraId="16559C9C" w14:textId="77777777" w:rsidR="00AE7191" w:rsidRPr="001E2C69" w:rsidRDefault="00AE7191" w:rsidP="00722885">
            <w:pPr>
              <w:pStyle w:val="Iauiue"/>
              <w:jc w:val="both"/>
              <w:rPr>
                <w:color w:val="000000" w:themeColor="text1"/>
                <w:sz w:val="16"/>
                <w:szCs w:val="16"/>
              </w:rPr>
            </w:pPr>
          </w:p>
        </w:tc>
      </w:tr>
      <w:tr w:rsidR="001E2C69" w:rsidRPr="001E2C69" w14:paraId="6FAD1EB6" w14:textId="77777777" w:rsidTr="00CC5360">
        <w:tc>
          <w:tcPr>
            <w:tcW w:w="3369" w:type="dxa"/>
          </w:tcPr>
          <w:p w14:paraId="72DFAB1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“Красный котельщик”</w:t>
            </w:r>
          </w:p>
        </w:tc>
        <w:tc>
          <w:tcPr>
            <w:tcW w:w="3402" w:type="dxa"/>
          </w:tcPr>
          <w:p w14:paraId="09B4113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Подольск</w:t>
            </w:r>
          </w:p>
        </w:tc>
        <w:tc>
          <w:tcPr>
            <w:tcW w:w="3402" w:type="dxa"/>
          </w:tcPr>
          <w:p w14:paraId="5C061053" w14:textId="77777777" w:rsidR="00AE7191" w:rsidRPr="001E2C69" w:rsidRDefault="00AE7191" w:rsidP="00722885">
            <w:pPr>
              <w:pStyle w:val="Iauiue"/>
              <w:jc w:val="both"/>
              <w:rPr>
                <w:color w:val="000000" w:themeColor="text1"/>
                <w:sz w:val="16"/>
                <w:szCs w:val="16"/>
              </w:rPr>
            </w:pPr>
          </w:p>
        </w:tc>
      </w:tr>
      <w:tr w:rsidR="001E2C69" w:rsidRPr="001E2C69" w14:paraId="10B72335" w14:textId="77777777" w:rsidTr="00CC5360">
        <w:tc>
          <w:tcPr>
            <w:tcW w:w="3369" w:type="dxa"/>
          </w:tcPr>
          <w:p w14:paraId="5F800EC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Турбинный завод</w:t>
            </w:r>
          </w:p>
        </w:tc>
        <w:tc>
          <w:tcPr>
            <w:tcW w:w="3402" w:type="dxa"/>
          </w:tcPr>
          <w:p w14:paraId="4EC48A7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Свердловск, шоссе УЗТМ</w:t>
            </w:r>
          </w:p>
        </w:tc>
        <w:tc>
          <w:tcPr>
            <w:tcW w:w="3402" w:type="dxa"/>
          </w:tcPr>
          <w:p w14:paraId="6501CA34" w14:textId="77777777" w:rsidR="00AE7191" w:rsidRPr="001E2C69" w:rsidRDefault="00AE7191" w:rsidP="00722885">
            <w:pPr>
              <w:pStyle w:val="Iauiue"/>
              <w:jc w:val="both"/>
              <w:rPr>
                <w:color w:val="000000" w:themeColor="text1"/>
                <w:sz w:val="16"/>
                <w:szCs w:val="16"/>
              </w:rPr>
            </w:pPr>
          </w:p>
        </w:tc>
      </w:tr>
      <w:tr w:rsidR="001E2C69" w:rsidRPr="001E2C69" w14:paraId="7D15BA95" w14:textId="77777777" w:rsidTr="00CC5360">
        <w:tc>
          <w:tcPr>
            <w:tcW w:w="3369" w:type="dxa"/>
          </w:tcPr>
          <w:p w14:paraId="5CCE547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Кусинский завод</w:t>
            </w:r>
          </w:p>
        </w:tc>
        <w:tc>
          <w:tcPr>
            <w:tcW w:w="3402" w:type="dxa"/>
          </w:tcPr>
          <w:p w14:paraId="728B132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Куса Челябинской области</w:t>
            </w:r>
          </w:p>
        </w:tc>
        <w:tc>
          <w:tcPr>
            <w:tcW w:w="3402" w:type="dxa"/>
          </w:tcPr>
          <w:p w14:paraId="5C6A824D" w14:textId="77777777" w:rsidR="00AE7191" w:rsidRPr="001E2C69" w:rsidRDefault="00AE7191" w:rsidP="00722885">
            <w:pPr>
              <w:pStyle w:val="Iauiue"/>
              <w:jc w:val="both"/>
              <w:rPr>
                <w:color w:val="000000" w:themeColor="text1"/>
                <w:sz w:val="16"/>
                <w:szCs w:val="16"/>
              </w:rPr>
            </w:pPr>
          </w:p>
        </w:tc>
      </w:tr>
      <w:tr w:rsidR="001E2C69" w:rsidRPr="001E2C69" w14:paraId="6148B6FC" w14:textId="77777777" w:rsidTr="00CC5360">
        <w:tc>
          <w:tcPr>
            <w:tcW w:w="3369" w:type="dxa"/>
          </w:tcPr>
          <w:p w14:paraId="45A3D49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Алма-Атинский завод</w:t>
            </w:r>
          </w:p>
        </w:tc>
        <w:tc>
          <w:tcPr>
            <w:tcW w:w="3402" w:type="dxa"/>
          </w:tcPr>
          <w:p w14:paraId="391EDB5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Алма-Ата, Тринадцатая линия</w:t>
            </w:r>
          </w:p>
        </w:tc>
        <w:tc>
          <w:tcPr>
            <w:tcW w:w="3402" w:type="dxa"/>
          </w:tcPr>
          <w:p w14:paraId="6FD1DE4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Макеев</w:t>
            </w:r>
          </w:p>
        </w:tc>
      </w:tr>
    </w:tbl>
    <w:p w14:paraId="3DA0CB1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Заводы ГУПТМАША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402"/>
        <w:gridCol w:w="3402"/>
      </w:tblGrid>
      <w:tr w:rsidR="001E2C69" w:rsidRPr="001E2C69" w14:paraId="71C2CB02" w14:textId="77777777" w:rsidTr="00CC5360">
        <w:tc>
          <w:tcPr>
            <w:tcW w:w="3369" w:type="dxa"/>
          </w:tcPr>
          <w:p w14:paraId="5C9D3B7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им. Кирова</w:t>
            </w:r>
          </w:p>
        </w:tc>
        <w:tc>
          <w:tcPr>
            <w:tcW w:w="3402" w:type="dxa"/>
          </w:tcPr>
          <w:p w14:paraId="16FFA1A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Ленинград, Обводной канал, 118</w:t>
            </w:r>
          </w:p>
        </w:tc>
        <w:tc>
          <w:tcPr>
            <w:tcW w:w="3402" w:type="dxa"/>
          </w:tcPr>
          <w:p w14:paraId="67E9071D" w14:textId="77777777" w:rsidR="00AE7191" w:rsidRPr="001E2C69" w:rsidRDefault="00AE7191" w:rsidP="00722885">
            <w:pPr>
              <w:pStyle w:val="Iauiue"/>
              <w:jc w:val="both"/>
              <w:rPr>
                <w:color w:val="000000" w:themeColor="text1"/>
                <w:sz w:val="16"/>
                <w:szCs w:val="16"/>
              </w:rPr>
            </w:pPr>
          </w:p>
        </w:tc>
      </w:tr>
      <w:tr w:rsidR="001E2C69" w:rsidRPr="001E2C69" w14:paraId="6CDBA761" w14:textId="77777777" w:rsidTr="00CC5360">
        <w:tc>
          <w:tcPr>
            <w:tcW w:w="3369" w:type="dxa"/>
          </w:tcPr>
          <w:p w14:paraId="58F3060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“Красный металлист”</w:t>
            </w:r>
          </w:p>
        </w:tc>
        <w:tc>
          <w:tcPr>
            <w:tcW w:w="3402" w:type="dxa"/>
          </w:tcPr>
          <w:p w14:paraId="7E3A655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Ленинград, Василевский остров, 17-я линия, 52/54</w:t>
            </w:r>
          </w:p>
        </w:tc>
        <w:tc>
          <w:tcPr>
            <w:tcW w:w="3402" w:type="dxa"/>
          </w:tcPr>
          <w:p w14:paraId="214EF361" w14:textId="77777777" w:rsidR="00AE7191" w:rsidRPr="001E2C69" w:rsidRDefault="00AE7191" w:rsidP="00722885">
            <w:pPr>
              <w:pStyle w:val="Iauiue"/>
              <w:jc w:val="both"/>
              <w:rPr>
                <w:color w:val="000000" w:themeColor="text1"/>
                <w:sz w:val="16"/>
                <w:szCs w:val="16"/>
              </w:rPr>
            </w:pPr>
          </w:p>
        </w:tc>
      </w:tr>
      <w:tr w:rsidR="001E2C69" w:rsidRPr="001E2C69" w14:paraId="7B86BF85" w14:textId="77777777" w:rsidTr="00CC5360">
        <w:tc>
          <w:tcPr>
            <w:tcW w:w="3369" w:type="dxa"/>
          </w:tcPr>
          <w:p w14:paraId="41B1179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“Красный блок”</w:t>
            </w:r>
          </w:p>
        </w:tc>
        <w:tc>
          <w:tcPr>
            <w:tcW w:w="3402" w:type="dxa"/>
          </w:tcPr>
          <w:p w14:paraId="41E2F6A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Москва, ул. Осипенко, 76</w:t>
            </w:r>
          </w:p>
        </w:tc>
        <w:tc>
          <w:tcPr>
            <w:tcW w:w="3402" w:type="dxa"/>
          </w:tcPr>
          <w:p w14:paraId="3B1DA66F" w14:textId="77777777" w:rsidR="00AE7191" w:rsidRPr="001E2C69" w:rsidRDefault="00AE7191" w:rsidP="00722885">
            <w:pPr>
              <w:pStyle w:val="Iauiue"/>
              <w:jc w:val="both"/>
              <w:rPr>
                <w:color w:val="000000" w:themeColor="text1"/>
                <w:sz w:val="16"/>
                <w:szCs w:val="16"/>
              </w:rPr>
            </w:pPr>
          </w:p>
        </w:tc>
      </w:tr>
      <w:tr w:rsidR="001E2C69" w:rsidRPr="001E2C69" w14:paraId="51C1AA76" w14:textId="77777777" w:rsidTr="00CC5360">
        <w:tc>
          <w:tcPr>
            <w:tcW w:w="3369" w:type="dxa"/>
          </w:tcPr>
          <w:p w14:paraId="7B6E514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“Красный металлист”</w:t>
            </w:r>
          </w:p>
        </w:tc>
        <w:tc>
          <w:tcPr>
            <w:tcW w:w="3402" w:type="dxa"/>
          </w:tcPr>
          <w:p w14:paraId="52318D6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Москва, Бахметьевский пер., 2</w:t>
            </w:r>
          </w:p>
        </w:tc>
        <w:tc>
          <w:tcPr>
            <w:tcW w:w="3402" w:type="dxa"/>
          </w:tcPr>
          <w:p w14:paraId="520981B4" w14:textId="77777777" w:rsidR="00AE7191" w:rsidRPr="001E2C69" w:rsidRDefault="00AE7191" w:rsidP="00722885">
            <w:pPr>
              <w:pStyle w:val="Iauiue"/>
              <w:jc w:val="both"/>
              <w:rPr>
                <w:color w:val="000000" w:themeColor="text1"/>
                <w:sz w:val="16"/>
                <w:szCs w:val="16"/>
              </w:rPr>
            </w:pPr>
          </w:p>
        </w:tc>
      </w:tr>
      <w:tr w:rsidR="001E2C69" w:rsidRPr="001E2C69" w14:paraId="7BDC2486" w14:textId="77777777" w:rsidTr="00CC5360">
        <w:tc>
          <w:tcPr>
            <w:tcW w:w="3369" w:type="dxa"/>
          </w:tcPr>
          <w:p w14:paraId="0DB5431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Кунгурский машзавод</w:t>
            </w:r>
          </w:p>
        </w:tc>
        <w:tc>
          <w:tcPr>
            <w:tcW w:w="3402" w:type="dxa"/>
          </w:tcPr>
          <w:p w14:paraId="7DDAA09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Кунгур, Молотовская область, ул. Просвещения, 9</w:t>
            </w:r>
          </w:p>
        </w:tc>
        <w:tc>
          <w:tcPr>
            <w:tcW w:w="3402" w:type="dxa"/>
          </w:tcPr>
          <w:p w14:paraId="4750A524" w14:textId="77777777" w:rsidR="00AE7191" w:rsidRPr="001E2C69" w:rsidRDefault="00AE7191" w:rsidP="00722885">
            <w:pPr>
              <w:pStyle w:val="Iauiue"/>
              <w:jc w:val="both"/>
              <w:rPr>
                <w:color w:val="000000" w:themeColor="text1"/>
                <w:sz w:val="16"/>
                <w:szCs w:val="16"/>
              </w:rPr>
            </w:pPr>
          </w:p>
        </w:tc>
      </w:tr>
      <w:tr w:rsidR="001E2C69" w:rsidRPr="001E2C69" w14:paraId="3E4BEE40" w14:textId="77777777" w:rsidTr="00CC5360">
        <w:tc>
          <w:tcPr>
            <w:tcW w:w="3369" w:type="dxa"/>
          </w:tcPr>
          <w:p w14:paraId="47722FB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“Серп и Молот”</w:t>
            </w:r>
          </w:p>
        </w:tc>
        <w:tc>
          <w:tcPr>
            <w:tcW w:w="3402" w:type="dxa"/>
          </w:tcPr>
          <w:p w14:paraId="029CCC2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Казань, Красноармейская слобода, ул. Клары Цеткин</w:t>
            </w:r>
          </w:p>
        </w:tc>
        <w:tc>
          <w:tcPr>
            <w:tcW w:w="3402" w:type="dxa"/>
          </w:tcPr>
          <w:p w14:paraId="5450E41C" w14:textId="77777777" w:rsidR="00AE7191" w:rsidRPr="001E2C69" w:rsidRDefault="00AE7191" w:rsidP="00722885">
            <w:pPr>
              <w:pStyle w:val="Iauiue"/>
              <w:jc w:val="both"/>
              <w:rPr>
                <w:color w:val="000000" w:themeColor="text1"/>
                <w:sz w:val="16"/>
                <w:szCs w:val="16"/>
              </w:rPr>
            </w:pPr>
          </w:p>
        </w:tc>
      </w:tr>
      <w:tr w:rsidR="001E2C69" w:rsidRPr="001E2C69" w14:paraId="2D2B8383" w14:textId="77777777" w:rsidTr="00CC5360">
        <w:tc>
          <w:tcPr>
            <w:tcW w:w="3369" w:type="dxa"/>
          </w:tcPr>
          <w:p w14:paraId="01FFE33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Белохолуницкий машзавод им. Ленина</w:t>
            </w:r>
          </w:p>
        </w:tc>
        <w:tc>
          <w:tcPr>
            <w:tcW w:w="3402" w:type="dxa"/>
          </w:tcPr>
          <w:p w14:paraId="50BBB5C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Поселок, Белая Холуница Кировской области</w:t>
            </w:r>
          </w:p>
        </w:tc>
        <w:tc>
          <w:tcPr>
            <w:tcW w:w="3402" w:type="dxa"/>
          </w:tcPr>
          <w:p w14:paraId="4C38769F" w14:textId="77777777" w:rsidR="00AE7191" w:rsidRPr="001E2C69" w:rsidRDefault="00AE7191" w:rsidP="00722885">
            <w:pPr>
              <w:pStyle w:val="Iauiue"/>
              <w:jc w:val="both"/>
              <w:rPr>
                <w:color w:val="000000" w:themeColor="text1"/>
                <w:sz w:val="16"/>
                <w:szCs w:val="16"/>
              </w:rPr>
            </w:pPr>
          </w:p>
        </w:tc>
      </w:tr>
      <w:tr w:rsidR="001E2C69" w:rsidRPr="001E2C69" w14:paraId="6A744171" w14:textId="77777777" w:rsidTr="00CC5360">
        <w:tc>
          <w:tcPr>
            <w:tcW w:w="3369" w:type="dxa"/>
          </w:tcPr>
          <w:p w14:paraId="7960F29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Ижевский машзавод им. Ленина</w:t>
            </w:r>
          </w:p>
        </w:tc>
        <w:tc>
          <w:tcPr>
            <w:tcW w:w="3402" w:type="dxa"/>
          </w:tcPr>
          <w:p w14:paraId="17472E9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Удмуртская АССР, завод ковкого чугуна</w:t>
            </w:r>
          </w:p>
        </w:tc>
        <w:tc>
          <w:tcPr>
            <w:tcW w:w="3402" w:type="dxa"/>
          </w:tcPr>
          <w:p w14:paraId="20D36FC9" w14:textId="77777777" w:rsidR="00AE7191" w:rsidRPr="001E2C69" w:rsidRDefault="00AE7191" w:rsidP="00722885">
            <w:pPr>
              <w:pStyle w:val="Iauiue"/>
              <w:jc w:val="both"/>
              <w:rPr>
                <w:color w:val="000000" w:themeColor="text1"/>
                <w:sz w:val="16"/>
                <w:szCs w:val="16"/>
              </w:rPr>
            </w:pPr>
          </w:p>
        </w:tc>
      </w:tr>
      <w:tr w:rsidR="001E2C69" w:rsidRPr="001E2C69" w14:paraId="43F6D104" w14:textId="77777777" w:rsidTr="00CC5360">
        <w:tc>
          <w:tcPr>
            <w:tcW w:w="3369" w:type="dxa"/>
          </w:tcPr>
          <w:p w14:paraId="08FF7A9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Бузулукский машзавод им. Куйбышева</w:t>
            </w:r>
          </w:p>
        </w:tc>
        <w:tc>
          <w:tcPr>
            <w:tcW w:w="3402" w:type="dxa"/>
          </w:tcPr>
          <w:p w14:paraId="4C0E09C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Бузулук Чкаловской области, ул. Рабочая, 68</w:t>
            </w:r>
          </w:p>
        </w:tc>
        <w:tc>
          <w:tcPr>
            <w:tcW w:w="3402" w:type="dxa"/>
          </w:tcPr>
          <w:p w14:paraId="519B0AB6" w14:textId="77777777" w:rsidR="00AE7191" w:rsidRPr="001E2C69" w:rsidRDefault="00AE7191" w:rsidP="00722885">
            <w:pPr>
              <w:pStyle w:val="Iauiue"/>
              <w:jc w:val="both"/>
              <w:rPr>
                <w:color w:val="000000" w:themeColor="text1"/>
                <w:sz w:val="16"/>
                <w:szCs w:val="16"/>
              </w:rPr>
            </w:pPr>
          </w:p>
        </w:tc>
      </w:tr>
      <w:tr w:rsidR="001E2C69" w:rsidRPr="001E2C69" w14:paraId="4A4113B4" w14:textId="77777777" w:rsidTr="00CC5360">
        <w:tc>
          <w:tcPr>
            <w:tcW w:w="3369" w:type="dxa"/>
          </w:tcPr>
          <w:p w14:paraId="6EBD6BA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Юго-Камский машзавод им. Лепсе</w:t>
            </w:r>
          </w:p>
        </w:tc>
        <w:tc>
          <w:tcPr>
            <w:tcW w:w="3402" w:type="dxa"/>
          </w:tcPr>
          <w:p w14:paraId="73D8DB4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Юго-Камск Молотовской области</w:t>
            </w:r>
          </w:p>
        </w:tc>
        <w:tc>
          <w:tcPr>
            <w:tcW w:w="3402" w:type="dxa"/>
          </w:tcPr>
          <w:p w14:paraId="6160664A" w14:textId="77777777" w:rsidR="00AE7191" w:rsidRPr="001E2C69" w:rsidRDefault="00AE7191" w:rsidP="00722885">
            <w:pPr>
              <w:pStyle w:val="Iauiue"/>
              <w:jc w:val="both"/>
              <w:rPr>
                <w:color w:val="000000" w:themeColor="text1"/>
                <w:sz w:val="16"/>
                <w:szCs w:val="16"/>
              </w:rPr>
            </w:pPr>
          </w:p>
        </w:tc>
      </w:tr>
      <w:tr w:rsidR="001E2C69" w:rsidRPr="001E2C69" w14:paraId="316C420E" w14:textId="77777777" w:rsidTr="00CC5360">
        <w:tc>
          <w:tcPr>
            <w:tcW w:w="3369" w:type="dxa"/>
          </w:tcPr>
          <w:p w14:paraId="3D9DACA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Ташкентский завод “Подъемник”</w:t>
            </w:r>
          </w:p>
        </w:tc>
        <w:tc>
          <w:tcPr>
            <w:tcW w:w="3402" w:type="dxa"/>
          </w:tcPr>
          <w:p w14:paraId="64F5F28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Ташкент, ул. Полторацкого, 12</w:t>
            </w:r>
          </w:p>
        </w:tc>
        <w:tc>
          <w:tcPr>
            <w:tcW w:w="3402" w:type="dxa"/>
          </w:tcPr>
          <w:p w14:paraId="4A6575FD" w14:textId="77777777" w:rsidR="00AE7191" w:rsidRPr="001E2C69" w:rsidRDefault="00AE7191" w:rsidP="00722885">
            <w:pPr>
              <w:pStyle w:val="Iauiue"/>
              <w:jc w:val="both"/>
              <w:rPr>
                <w:color w:val="000000" w:themeColor="text1"/>
                <w:sz w:val="16"/>
                <w:szCs w:val="16"/>
              </w:rPr>
            </w:pPr>
          </w:p>
        </w:tc>
      </w:tr>
      <w:tr w:rsidR="001E2C69" w:rsidRPr="001E2C69" w14:paraId="12C3662B" w14:textId="77777777" w:rsidTr="00CC5360">
        <w:tc>
          <w:tcPr>
            <w:tcW w:w="3369" w:type="dxa"/>
          </w:tcPr>
          <w:p w14:paraId="212ED01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Полевской завод</w:t>
            </w:r>
          </w:p>
        </w:tc>
        <w:tc>
          <w:tcPr>
            <w:tcW w:w="3402" w:type="dxa"/>
          </w:tcPr>
          <w:p w14:paraId="1BF1639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Полевское Свердловской области, завод “Красный металлист”</w:t>
            </w:r>
          </w:p>
        </w:tc>
        <w:tc>
          <w:tcPr>
            <w:tcW w:w="3402" w:type="dxa"/>
          </w:tcPr>
          <w:p w14:paraId="16854C0E" w14:textId="77777777" w:rsidR="00AE7191" w:rsidRPr="001E2C69" w:rsidRDefault="00AE7191" w:rsidP="00722885">
            <w:pPr>
              <w:pStyle w:val="Iauiue"/>
              <w:jc w:val="both"/>
              <w:rPr>
                <w:color w:val="000000" w:themeColor="text1"/>
                <w:sz w:val="16"/>
                <w:szCs w:val="16"/>
              </w:rPr>
            </w:pPr>
          </w:p>
        </w:tc>
      </w:tr>
      <w:tr w:rsidR="001E2C69" w:rsidRPr="001E2C69" w14:paraId="16D69053" w14:textId="77777777" w:rsidTr="00CC5360">
        <w:tc>
          <w:tcPr>
            <w:tcW w:w="3369" w:type="dxa"/>
          </w:tcPr>
          <w:p w14:paraId="6D33321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“Стальмост”</w:t>
            </w:r>
          </w:p>
        </w:tc>
        <w:tc>
          <w:tcPr>
            <w:tcW w:w="3402" w:type="dxa"/>
          </w:tcPr>
          <w:p w14:paraId="6016B96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Москва, 109, Карачарово поле</w:t>
            </w:r>
          </w:p>
        </w:tc>
        <w:tc>
          <w:tcPr>
            <w:tcW w:w="3402" w:type="dxa"/>
          </w:tcPr>
          <w:p w14:paraId="62D4BFFF" w14:textId="77777777" w:rsidR="00AE7191" w:rsidRPr="001E2C69" w:rsidRDefault="00AE7191" w:rsidP="00722885">
            <w:pPr>
              <w:pStyle w:val="Iauiue"/>
              <w:jc w:val="both"/>
              <w:rPr>
                <w:color w:val="000000" w:themeColor="text1"/>
                <w:sz w:val="16"/>
                <w:szCs w:val="16"/>
              </w:rPr>
            </w:pPr>
          </w:p>
        </w:tc>
      </w:tr>
    </w:tbl>
    <w:p w14:paraId="406B8F3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Заводы Глававтогена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402"/>
        <w:gridCol w:w="3402"/>
      </w:tblGrid>
      <w:tr w:rsidR="001E2C69" w:rsidRPr="001E2C69" w14:paraId="576BF3CD" w14:textId="77777777" w:rsidTr="00CC5360">
        <w:tc>
          <w:tcPr>
            <w:tcW w:w="3369" w:type="dxa"/>
          </w:tcPr>
          <w:p w14:paraId="7961899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Нижнетагильский автогенный завод</w:t>
            </w:r>
          </w:p>
        </w:tc>
        <w:tc>
          <w:tcPr>
            <w:tcW w:w="3402" w:type="dxa"/>
          </w:tcPr>
          <w:p w14:paraId="2DE76B0D" w14:textId="77777777" w:rsidR="00AE7191" w:rsidRPr="001E2C69" w:rsidRDefault="00AE7191" w:rsidP="00722885">
            <w:pPr>
              <w:pStyle w:val="Iauiue"/>
              <w:jc w:val="both"/>
              <w:rPr>
                <w:color w:val="000000" w:themeColor="text1"/>
                <w:sz w:val="16"/>
                <w:szCs w:val="16"/>
              </w:rPr>
            </w:pPr>
          </w:p>
        </w:tc>
        <w:tc>
          <w:tcPr>
            <w:tcW w:w="3402" w:type="dxa"/>
          </w:tcPr>
          <w:p w14:paraId="22029071" w14:textId="77777777" w:rsidR="00AE7191" w:rsidRPr="001E2C69" w:rsidRDefault="00AE7191" w:rsidP="00722885">
            <w:pPr>
              <w:pStyle w:val="Iauiue"/>
              <w:jc w:val="both"/>
              <w:rPr>
                <w:color w:val="000000" w:themeColor="text1"/>
                <w:sz w:val="16"/>
                <w:szCs w:val="16"/>
              </w:rPr>
            </w:pPr>
          </w:p>
        </w:tc>
      </w:tr>
      <w:tr w:rsidR="001E2C69" w:rsidRPr="001E2C69" w14:paraId="1B17ED30" w14:textId="77777777" w:rsidTr="00CC5360">
        <w:tc>
          <w:tcPr>
            <w:tcW w:w="3369" w:type="dxa"/>
          </w:tcPr>
          <w:p w14:paraId="6374D48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Омский автогенный завод</w:t>
            </w:r>
          </w:p>
        </w:tc>
        <w:tc>
          <w:tcPr>
            <w:tcW w:w="3402" w:type="dxa"/>
          </w:tcPr>
          <w:p w14:paraId="1409AC04" w14:textId="77777777" w:rsidR="00AE7191" w:rsidRPr="001E2C69" w:rsidRDefault="00AE7191" w:rsidP="00722885">
            <w:pPr>
              <w:pStyle w:val="Iauiue"/>
              <w:jc w:val="both"/>
              <w:rPr>
                <w:color w:val="000000" w:themeColor="text1"/>
                <w:sz w:val="16"/>
                <w:szCs w:val="16"/>
              </w:rPr>
            </w:pPr>
          </w:p>
        </w:tc>
        <w:tc>
          <w:tcPr>
            <w:tcW w:w="3402" w:type="dxa"/>
          </w:tcPr>
          <w:p w14:paraId="5218C3AF" w14:textId="77777777" w:rsidR="00AE7191" w:rsidRPr="001E2C69" w:rsidRDefault="00AE7191" w:rsidP="00722885">
            <w:pPr>
              <w:pStyle w:val="Iauiue"/>
              <w:jc w:val="both"/>
              <w:rPr>
                <w:color w:val="000000" w:themeColor="text1"/>
                <w:sz w:val="16"/>
                <w:szCs w:val="16"/>
              </w:rPr>
            </w:pPr>
          </w:p>
        </w:tc>
      </w:tr>
      <w:tr w:rsidR="001E2C69" w:rsidRPr="001E2C69" w14:paraId="45B035A2" w14:textId="77777777" w:rsidTr="00CC5360">
        <w:tc>
          <w:tcPr>
            <w:tcW w:w="3369" w:type="dxa"/>
          </w:tcPr>
          <w:p w14:paraId="7FF3116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1-й автогенный завод</w:t>
            </w:r>
          </w:p>
        </w:tc>
        <w:tc>
          <w:tcPr>
            <w:tcW w:w="3402" w:type="dxa"/>
          </w:tcPr>
          <w:p w14:paraId="2AEF2A0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Москва, ул. Тюфелева роща, 13</w:t>
            </w:r>
          </w:p>
        </w:tc>
        <w:tc>
          <w:tcPr>
            <w:tcW w:w="3402" w:type="dxa"/>
          </w:tcPr>
          <w:p w14:paraId="342D3753" w14:textId="77777777" w:rsidR="00AE7191" w:rsidRPr="001E2C69" w:rsidRDefault="00AE7191" w:rsidP="00722885">
            <w:pPr>
              <w:pStyle w:val="Iauiue"/>
              <w:jc w:val="both"/>
              <w:rPr>
                <w:color w:val="000000" w:themeColor="text1"/>
                <w:sz w:val="16"/>
                <w:szCs w:val="16"/>
              </w:rPr>
            </w:pPr>
          </w:p>
        </w:tc>
      </w:tr>
      <w:tr w:rsidR="001E2C69" w:rsidRPr="001E2C69" w14:paraId="10F25D6D" w14:textId="77777777" w:rsidTr="00CC5360">
        <w:tc>
          <w:tcPr>
            <w:tcW w:w="3369" w:type="dxa"/>
          </w:tcPr>
          <w:p w14:paraId="1406507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Чкаловский автогенный завод</w:t>
            </w:r>
          </w:p>
        </w:tc>
        <w:tc>
          <w:tcPr>
            <w:tcW w:w="3402" w:type="dxa"/>
          </w:tcPr>
          <w:p w14:paraId="514972B8" w14:textId="77777777" w:rsidR="00AE7191" w:rsidRPr="001E2C69" w:rsidRDefault="00AE7191" w:rsidP="00722885">
            <w:pPr>
              <w:pStyle w:val="Iauiue"/>
              <w:jc w:val="both"/>
              <w:rPr>
                <w:color w:val="000000" w:themeColor="text1"/>
                <w:sz w:val="16"/>
                <w:szCs w:val="16"/>
              </w:rPr>
            </w:pPr>
          </w:p>
        </w:tc>
        <w:tc>
          <w:tcPr>
            <w:tcW w:w="3402" w:type="dxa"/>
          </w:tcPr>
          <w:p w14:paraId="09C2CAFF" w14:textId="77777777" w:rsidR="00AE7191" w:rsidRPr="001E2C69" w:rsidRDefault="00AE7191" w:rsidP="00722885">
            <w:pPr>
              <w:pStyle w:val="Iauiue"/>
              <w:jc w:val="both"/>
              <w:rPr>
                <w:color w:val="000000" w:themeColor="text1"/>
                <w:sz w:val="16"/>
                <w:szCs w:val="16"/>
              </w:rPr>
            </w:pPr>
          </w:p>
        </w:tc>
      </w:tr>
      <w:tr w:rsidR="001E2C69" w:rsidRPr="001E2C69" w14:paraId="3806739D" w14:textId="77777777" w:rsidTr="00CC5360">
        <w:tc>
          <w:tcPr>
            <w:tcW w:w="3369" w:type="dxa"/>
          </w:tcPr>
          <w:p w14:paraId="3CF6C85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Свердловский ацителеносварочный завод</w:t>
            </w:r>
          </w:p>
        </w:tc>
        <w:tc>
          <w:tcPr>
            <w:tcW w:w="3402" w:type="dxa"/>
          </w:tcPr>
          <w:p w14:paraId="6270456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Свердловск, ул. Шмидта, 2 (Свердловский сварочный) </w:t>
            </w:r>
          </w:p>
        </w:tc>
        <w:tc>
          <w:tcPr>
            <w:tcW w:w="3402" w:type="dxa"/>
          </w:tcPr>
          <w:p w14:paraId="0822BF02" w14:textId="77777777" w:rsidR="00AE7191" w:rsidRPr="001E2C69" w:rsidRDefault="00AE7191" w:rsidP="00722885">
            <w:pPr>
              <w:pStyle w:val="Iauiue"/>
              <w:jc w:val="both"/>
              <w:rPr>
                <w:color w:val="000000" w:themeColor="text1"/>
                <w:sz w:val="16"/>
                <w:szCs w:val="16"/>
              </w:rPr>
            </w:pPr>
          </w:p>
        </w:tc>
      </w:tr>
      <w:tr w:rsidR="001E2C69" w:rsidRPr="001E2C69" w14:paraId="7B8D75F5" w14:textId="77777777" w:rsidTr="00CC5360">
        <w:tc>
          <w:tcPr>
            <w:tcW w:w="3369" w:type="dxa"/>
          </w:tcPr>
          <w:p w14:paraId="6A8E173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Свердловский кислородный завод</w:t>
            </w:r>
          </w:p>
        </w:tc>
        <w:tc>
          <w:tcPr>
            <w:tcW w:w="3402" w:type="dxa"/>
          </w:tcPr>
          <w:p w14:paraId="681E6AC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Свердловск, шоссе УЗТМ</w:t>
            </w:r>
          </w:p>
        </w:tc>
        <w:tc>
          <w:tcPr>
            <w:tcW w:w="3402" w:type="dxa"/>
          </w:tcPr>
          <w:p w14:paraId="71F26805" w14:textId="77777777" w:rsidR="00AE7191" w:rsidRPr="001E2C69" w:rsidRDefault="00AE7191" w:rsidP="00722885">
            <w:pPr>
              <w:pStyle w:val="Iauiue"/>
              <w:jc w:val="both"/>
              <w:rPr>
                <w:color w:val="000000" w:themeColor="text1"/>
                <w:sz w:val="16"/>
                <w:szCs w:val="16"/>
              </w:rPr>
            </w:pPr>
          </w:p>
        </w:tc>
      </w:tr>
      <w:tr w:rsidR="001E2C69" w:rsidRPr="001E2C69" w14:paraId="23318805" w14:textId="77777777" w:rsidTr="00CC5360">
        <w:tc>
          <w:tcPr>
            <w:tcW w:w="3369" w:type="dxa"/>
          </w:tcPr>
          <w:p w14:paraId="7CF338C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Свердловский автогенный завод № 3</w:t>
            </w:r>
          </w:p>
        </w:tc>
        <w:tc>
          <w:tcPr>
            <w:tcW w:w="3402" w:type="dxa"/>
          </w:tcPr>
          <w:p w14:paraId="19D719F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Свердловск, шоссе УЗТМ, 1-й км</w:t>
            </w:r>
          </w:p>
        </w:tc>
        <w:tc>
          <w:tcPr>
            <w:tcW w:w="3402" w:type="dxa"/>
          </w:tcPr>
          <w:p w14:paraId="6C0BFE8E" w14:textId="77777777" w:rsidR="00AE7191" w:rsidRPr="001E2C69" w:rsidRDefault="00AE7191" w:rsidP="00722885">
            <w:pPr>
              <w:pStyle w:val="Iauiue"/>
              <w:jc w:val="both"/>
              <w:rPr>
                <w:color w:val="000000" w:themeColor="text1"/>
                <w:sz w:val="16"/>
                <w:szCs w:val="16"/>
              </w:rPr>
            </w:pPr>
          </w:p>
        </w:tc>
      </w:tr>
      <w:tr w:rsidR="001E2C69" w:rsidRPr="001E2C69" w14:paraId="624D2F9A" w14:textId="77777777" w:rsidTr="00CC5360">
        <w:tc>
          <w:tcPr>
            <w:tcW w:w="3369" w:type="dxa"/>
          </w:tcPr>
          <w:p w14:paraId="3E3BFA2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Челябинский автогенный завод</w:t>
            </w:r>
          </w:p>
        </w:tc>
        <w:tc>
          <w:tcPr>
            <w:tcW w:w="3402" w:type="dxa"/>
          </w:tcPr>
          <w:p w14:paraId="1DF8E8A3" w14:textId="77777777" w:rsidR="00AE7191" w:rsidRPr="001E2C69" w:rsidRDefault="00AE7191" w:rsidP="00722885">
            <w:pPr>
              <w:pStyle w:val="Iauiue"/>
              <w:jc w:val="both"/>
              <w:rPr>
                <w:color w:val="000000" w:themeColor="text1"/>
                <w:sz w:val="16"/>
                <w:szCs w:val="16"/>
              </w:rPr>
            </w:pPr>
          </w:p>
        </w:tc>
        <w:tc>
          <w:tcPr>
            <w:tcW w:w="3402" w:type="dxa"/>
          </w:tcPr>
          <w:p w14:paraId="710184B6" w14:textId="77777777" w:rsidR="00AE7191" w:rsidRPr="001E2C69" w:rsidRDefault="00AE7191" w:rsidP="00722885">
            <w:pPr>
              <w:pStyle w:val="Iauiue"/>
              <w:jc w:val="both"/>
              <w:rPr>
                <w:color w:val="000000" w:themeColor="text1"/>
                <w:sz w:val="16"/>
                <w:szCs w:val="16"/>
              </w:rPr>
            </w:pPr>
          </w:p>
        </w:tc>
      </w:tr>
      <w:tr w:rsidR="001E2C69" w:rsidRPr="001E2C69" w14:paraId="633F9BE0" w14:textId="77777777" w:rsidTr="00CC5360">
        <w:tc>
          <w:tcPr>
            <w:tcW w:w="3369" w:type="dxa"/>
          </w:tcPr>
          <w:p w14:paraId="46281FF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Куйбышевский автогенный завод</w:t>
            </w:r>
          </w:p>
        </w:tc>
        <w:tc>
          <w:tcPr>
            <w:tcW w:w="3402" w:type="dxa"/>
          </w:tcPr>
          <w:p w14:paraId="0C5EBAE5" w14:textId="77777777" w:rsidR="00AE7191" w:rsidRPr="001E2C69" w:rsidRDefault="00AE7191" w:rsidP="00722885">
            <w:pPr>
              <w:pStyle w:val="Iauiue"/>
              <w:jc w:val="both"/>
              <w:rPr>
                <w:color w:val="000000" w:themeColor="text1"/>
                <w:sz w:val="16"/>
                <w:szCs w:val="16"/>
              </w:rPr>
            </w:pPr>
          </w:p>
        </w:tc>
        <w:tc>
          <w:tcPr>
            <w:tcW w:w="3402" w:type="dxa"/>
          </w:tcPr>
          <w:p w14:paraId="2934A235" w14:textId="77777777" w:rsidR="00AE7191" w:rsidRPr="001E2C69" w:rsidRDefault="00AE7191" w:rsidP="00722885">
            <w:pPr>
              <w:pStyle w:val="Iauiue"/>
              <w:jc w:val="both"/>
              <w:rPr>
                <w:color w:val="000000" w:themeColor="text1"/>
                <w:sz w:val="16"/>
                <w:szCs w:val="16"/>
              </w:rPr>
            </w:pPr>
          </w:p>
        </w:tc>
      </w:tr>
      <w:tr w:rsidR="001E2C69" w:rsidRPr="001E2C69" w14:paraId="026F44E9" w14:textId="77777777" w:rsidTr="00CC5360">
        <w:tc>
          <w:tcPr>
            <w:tcW w:w="3369" w:type="dxa"/>
          </w:tcPr>
          <w:p w14:paraId="1A4BCB4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Читинский автогенный завод</w:t>
            </w:r>
          </w:p>
        </w:tc>
        <w:tc>
          <w:tcPr>
            <w:tcW w:w="3402" w:type="dxa"/>
          </w:tcPr>
          <w:p w14:paraId="68C3042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Чита, п/я 69</w:t>
            </w:r>
          </w:p>
        </w:tc>
        <w:tc>
          <w:tcPr>
            <w:tcW w:w="3402" w:type="dxa"/>
          </w:tcPr>
          <w:p w14:paraId="1C83AC22" w14:textId="77777777" w:rsidR="00AE7191" w:rsidRPr="001E2C69" w:rsidRDefault="00AE7191" w:rsidP="00722885">
            <w:pPr>
              <w:pStyle w:val="Iauiue"/>
              <w:jc w:val="both"/>
              <w:rPr>
                <w:color w:val="000000" w:themeColor="text1"/>
                <w:sz w:val="16"/>
                <w:szCs w:val="16"/>
              </w:rPr>
            </w:pPr>
          </w:p>
        </w:tc>
      </w:tr>
      <w:tr w:rsidR="001E2C69" w:rsidRPr="001E2C69" w14:paraId="2885B9AE" w14:textId="77777777" w:rsidTr="00CC5360">
        <w:tc>
          <w:tcPr>
            <w:tcW w:w="3369" w:type="dxa"/>
          </w:tcPr>
          <w:p w14:paraId="01B346B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Новосибирский автогенный завод</w:t>
            </w:r>
          </w:p>
        </w:tc>
        <w:tc>
          <w:tcPr>
            <w:tcW w:w="3402" w:type="dxa"/>
          </w:tcPr>
          <w:p w14:paraId="55AD549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Новосибирск, ул. Волжская, 80</w:t>
            </w:r>
          </w:p>
        </w:tc>
        <w:tc>
          <w:tcPr>
            <w:tcW w:w="3402" w:type="dxa"/>
          </w:tcPr>
          <w:p w14:paraId="759321D4" w14:textId="77777777" w:rsidR="00AE7191" w:rsidRPr="001E2C69" w:rsidRDefault="00AE7191" w:rsidP="00722885">
            <w:pPr>
              <w:pStyle w:val="Iauiue"/>
              <w:jc w:val="both"/>
              <w:rPr>
                <w:color w:val="000000" w:themeColor="text1"/>
                <w:sz w:val="16"/>
                <w:szCs w:val="16"/>
              </w:rPr>
            </w:pPr>
          </w:p>
        </w:tc>
      </w:tr>
      <w:tr w:rsidR="001E2C69" w:rsidRPr="001E2C69" w14:paraId="3958CE8E" w14:textId="77777777" w:rsidTr="00CC5360">
        <w:tc>
          <w:tcPr>
            <w:tcW w:w="3369" w:type="dxa"/>
          </w:tcPr>
          <w:p w14:paraId="2D30FED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Красноярский автогенный завод</w:t>
            </w:r>
          </w:p>
        </w:tc>
        <w:tc>
          <w:tcPr>
            <w:tcW w:w="3402" w:type="dxa"/>
          </w:tcPr>
          <w:p w14:paraId="4BAD1B2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Красноярск, Алексеевский переезд</w:t>
            </w:r>
          </w:p>
        </w:tc>
        <w:tc>
          <w:tcPr>
            <w:tcW w:w="3402" w:type="dxa"/>
          </w:tcPr>
          <w:p w14:paraId="4AF87978" w14:textId="77777777" w:rsidR="00AE7191" w:rsidRPr="001E2C69" w:rsidRDefault="00AE7191" w:rsidP="00722885">
            <w:pPr>
              <w:pStyle w:val="Iauiue"/>
              <w:jc w:val="both"/>
              <w:rPr>
                <w:color w:val="000000" w:themeColor="text1"/>
                <w:sz w:val="16"/>
                <w:szCs w:val="16"/>
              </w:rPr>
            </w:pPr>
          </w:p>
        </w:tc>
      </w:tr>
      <w:tr w:rsidR="001E2C69" w:rsidRPr="001E2C69" w14:paraId="0532819E" w14:textId="77777777" w:rsidTr="00CC5360">
        <w:tc>
          <w:tcPr>
            <w:tcW w:w="3369" w:type="dxa"/>
          </w:tcPr>
          <w:p w14:paraId="1EF8EEE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Грозненский автогенный завод</w:t>
            </w:r>
          </w:p>
        </w:tc>
        <w:tc>
          <w:tcPr>
            <w:tcW w:w="3402" w:type="dxa"/>
          </w:tcPr>
          <w:p w14:paraId="4EF13103" w14:textId="77777777" w:rsidR="00AE7191" w:rsidRPr="001E2C69" w:rsidRDefault="00AE7191" w:rsidP="00722885">
            <w:pPr>
              <w:pStyle w:val="Iauiue"/>
              <w:jc w:val="both"/>
              <w:rPr>
                <w:color w:val="000000" w:themeColor="text1"/>
                <w:sz w:val="16"/>
                <w:szCs w:val="16"/>
              </w:rPr>
            </w:pPr>
          </w:p>
        </w:tc>
        <w:tc>
          <w:tcPr>
            <w:tcW w:w="3402" w:type="dxa"/>
          </w:tcPr>
          <w:p w14:paraId="15F222EC" w14:textId="77777777" w:rsidR="00AE7191" w:rsidRPr="001E2C69" w:rsidRDefault="00AE7191" w:rsidP="00722885">
            <w:pPr>
              <w:pStyle w:val="Iauiue"/>
              <w:jc w:val="both"/>
              <w:rPr>
                <w:color w:val="000000" w:themeColor="text1"/>
                <w:sz w:val="16"/>
                <w:szCs w:val="16"/>
              </w:rPr>
            </w:pPr>
          </w:p>
        </w:tc>
      </w:tr>
      <w:tr w:rsidR="001E2C69" w:rsidRPr="001E2C69" w14:paraId="773C1B2F" w14:textId="77777777" w:rsidTr="00CC5360">
        <w:tc>
          <w:tcPr>
            <w:tcW w:w="3369" w:type="dxa"/>
          </w:tcPr>
          <w:p w14:paraId="7DA3419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Ярославский автогенный завод</w:t>
            </w:r>
          </w:p>
        </w:tc>
        <w:tc>
          <w:tcPr>
            <w:tcW w:w="3402" w:type="dxa"/>
          </w:tcPr>
          <w:p w14:paraId="7B19459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Ярославль, Тутаевское шоссе</w:t>
            </w:r>
          </w:p>
        </w:tc>
        <w:tc>
          <w:tcPr>
            <w:tcW w:w="3402" w:type="dxa"/>
          </w:tcPr>
          <w:p w14:paraId="138F3049" w14:textId="77777777" w:rsidR="00AE7191" w:rsidRPr="001E2C69" w:rsidRDefault="00AE7191" w:rsidP="00722885">
            <w:pPr>
              <w:pStyle w:val="Iauiue"/>
              <w:jc w:val="both"/>
              <w:rPr>
                <w:color w:val="000000" w:themeColor="text1"/>
                <w:sz w:val="16"/>
                <w:szCs w:val="16"/>
              </w:rPr>
            </w:pPr>
          </w:p>
        </w:tc>
      </w:tr>
      <w:tr w:rsidR="001E2C69" w:rsidRPr="001E2C69" w14:paraId="64A9D216" w14:textId="77777777" w:rsidTr="00CC5360">
        <w:tc>
          <w:tcPr>
            <w:tcW w:w="3369" w:type="dxa"/>
          </w:tcPr>
          <w:p w14:paraId="57EBE2E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Саратовский автогенный завод</w:t>
            </w:r>
          </w:p>
        </w:tc>
        <w:tc>
          <w:tcPr>
            <w:tcW w:w="3402" w:type="dxa"/>
          </w:tcPr>
          <w:p w14:paraId="0F6C38B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Саратов, Угол ул. Крайней и Астраханского пер., 127</w:t>
            </w:r>
          </w:p>
        </w:tc>
        <w:tc>
          <w:tcPr>
            <w:tcW w:w="3402" w:type="dxa"/>
          </w:tcPr>
          <w:p w14:paraId="45C9AACA" w14:textId="77777777" w:rsidR="00AE7191" w:rsidRPr="001E2C69" w:rsidRDefault="00AE7191" w:rsidP="00722885">
            <w:pPr>
              <w:pStyle w:val="Iauiue"/>
              <w:jc w:val="both"/>
              <w:rPr>
                <w:color w:val="000000" w:themeColor="text1"/>
                <w:sz w:val="16"/>
                <w:szCs w:val="16"/>
              </w:rPr>
            </w:pPr>
          </w:p>
        </w:tc>
      </w:tr>
      <w:tr w:rsidR="001E2C69" w:rsidRPr="001E2C69" w14:paraId="09592CD9" w14:textId="77777777" w:rsidTr="00CC5360">
        <w:tc>
          <w:tcPr>
            <w:tcW w:w="3369" w:type="dxa"/>
          </w:tcPr>
          <w:p w14:paraId="61ED738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Молотовский автогенный завод</w:t>
            </w:r>
          </w:p>
        </w:tc>
        <w:tc>
          <w:tcPr>
            <w:tcW w:w="3402" w:type="dxa"/>
          </w:tcPr>
          <w:p w14:paraId="6D74E9B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Молотов, 10-е агентство</w:t>
            </w:r>
          </w:p>
        </w:tc>
        <w:tc>
          <w:tcPr>
            <w:tcW w:w="3402" w:type="dxa"/>
          </w:tcPr>
          <w:p w14:paraId="3936E0C1" w14:textId="77777777" w:rsidR="00AE7191" w:rsidRPr="001E2C69" w:rsidRDefault="00AE7191" w:rsidP="00722885">
            <w:pPr>
              <w:pStyle w:val="Iauiue"/>
              <w:jc w:val="both"/>
              <w:rPr>
                <w:color w:val="000000" w:themeColor="text1"/>
                <w:sz w:val="16"/>
                <w:szCs w:val="16"/>
              </w:rPr>
            </w:pPr>
          </w:p>
        </w:tc>
      </w:tr>
      <w:tr w:rsidR="001E2C69" w:rsidRPr="001E2C69" w14:paraId="1AAEDCDA" w14:textId="77777777" w:rsidTr="00CC5360">
        <w:tc>
          <w:tcPr>
            <w:tcW w:w="3369" w:type="dxa"/>
          </w:tcPr>
          <w:p w14:paraId="3D1A476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Ташкентский автогенный завод</w:t>
            </w:r>
          </w:p>
        </w:tc>
        <w:tc>
          <w:tcPr>
            <w:tcW w:w="3402" w:type="dxa"/>
          </w:tcPr>
          <w:p w14:paraId="34328B6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Ташкент, ул. Чернякова, 34</w:t>
            </w:r>
          </w:p>
        </w:tc>
        <w:tc>
          <w:tcPr>
            <w:tcW w:w="3402" w:type="dxa"/>
          </w:tcPr>
          <w:p w14:paraId="121A6C06" w14:textId="77777777" w:rsidR="00AE7191" w:rsidRPr="001E2C69" w:rsidRDefault="00AE7191" w:rsidP="00722885">
            <w:pPr>
              <w:pStyle w:val="Iauiue"/>
              <w:jc w:val="both"/>
              <w:rPr>
                <w:color w:val="000000" w:themeColor="text1"/>
                <w:sz w:val="16"/>
                <w:szCs w:val="16"/>
              </w:rPr>
            </w:pPr>
          </w:p>
        </w:tc>
      </w:tr>
      <w:tr w:rsidR="001E2C69" w:rsidRPr="001E2C69" w14:paraId="06581848" w14:textId="77777777" w:rsidTr="00CC5360">
        <w:tc>
          <w:tcPr>
            <w:tcW w:w="3369" w:type="dxa"/>
          </w:tcPr>
          <w:p w14:paraId="415B534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Чарджоусский автогенный завод</w:t>
            </w:r>
          </w:p>
        </w:tc>
        <w:tc>
          <w:tcPr>
            <w:tcW w:w="3402" w:type="dxa"/>
          </w:tcPr>
          <w:p w14:paraId="67970B4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Чарджоу, ул. Кладбищенская, 10</w:t>
            </w:r>
          </w:p>
        </w:tc>
        <w:tc>
          <w:tcPr>
            <w:tcW w:w="3402" w:type="dxa"/>
          </w:tcPr>
          <w:p w14:paraId="2898BB59" w14:textId="77777777" w:rsidR="00AE7191" w:rsidRPr="001E2C69" w:rsidRDefault="00AE7191" w:rsidP="00722885">
            <w:pPr>
              <w:pStyle w:val="Iauiue"/>
              <w:jc w:val="both"/>
              <w:rPr>
                <w:color w:val="000000" w:themeColor="text1"/>
                <w:sz w:val="16"/>
                <w:szCs w:val="16"/>
              </w:rPr>
            </w:pPr>
          </w:p>
        </w:tc>
      </w:tr>
    </w:tbl>
    <w:p w14:paraId="7CA8388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(8825)</w:t>
      </w:r>
    </w:p>
    <w:p w14:paraId="5C8E747A" w14:textId="77777777" w:rsidR="00AE7191" w:rsidRPr="001E2C69" w:rsidRDefault="00AE7191" w:rsidP="00722885">
      <w:pPr>
        <w:pStyle w:val="Iauiue"/>
        <w:jc w:val="both"/>
        <w:rPr>
          <w:iCs/>
          <w:color w:val="000000" w:themeColor="text1"/>
          <w:sz w:val="16"/>
          <w:szCs w:val="16"/>
        </w:rPr>
      </w:pPr>
    </w:p>
    <w:p w14:paraId="601764E1"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1 августа 1942 вышло Постановление ГКО № 2130 Об общем плане погрузки народнохозяйственных и воинских грузов на август 1942 г. (7047, 162).</w:t>
      </w:r>
    </w:p>
    <w:p w14:paraId="7C85EF8A" w14:textId="77777777" w:rsidR="00AE7191" w:rsidRPr="001E2C69" w:rsidRDefault="00AE7191" w:rsidP="00722885">
      <w:pPr>
        <w:pStyle w:val="Iauiue"/>
        <w:tabs>
          <w:tab w:val="left" w:pos="11199"/>
        </w:tabs>
        <w:jc w:val="both"/>
        <w:rPr>
          <w:color w:val="000000" w:themeColor="text1"/>
          <w:sz w:val="16"/>
          <w:szCs w:val="16"/>
        </w:rPr>
      </w:pPr>
    </w:p>
    <w:p w14:paraId="39437F3D"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1 августа 1942 вышло Постановление ГКО № 2131 О плане перевозок сухогрузов по Каспийскому морю на август 1942 г. и мерах по его выполнению. (7047, 163-165,166-167).</w:t>
      </w:r>
    </w:p>
    <w:p w14:paraId="6D75159C" w14:textId="77777777" w:rsidR="00AE7191" w:rsidRPr="001E2C69" w:rsidRDefault="00AE7191" w:rsidP="00722885">
      <w:pPr>
        <w:pStyle w:val="Iauiue"/>
        <w:tabs>
          <w:tab w:val="left" w:pos="11199"/>
        </w:tabs>
        <w:jc w:val="both"/>
        <w:rPr>
          <w:color w:val="000000" w:themeColor="text1"/>
          <w:sz w:val="16"/>
          <w:szCs w:val="16"/>
        </w:rPr>
      </w:pPr>
    </w:p>
    <w:p w14:paraId="3FCAE254"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655996A4" w14:textId="77777777" w:rsidR="00AE7191" w:rsidRPr="001E2C69" w:rsidRDefault="00AE7191" w:rsidP="00722885">
      <w:pPr>
        <w:pStyle w:val="Iauiue"/>
        <w:jc w:val="both"/>
        <w:rPr>
          <w:iCs/>
          <w:color w:val="000000" w:themeColor="text1"/>
          <w:sz w:val="16"/>
          <w:szCs w:val="16"/>
        </w:rPr>
      </w:pPr>
    </w:p>
    <w:p w14:paraId="38F50186"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августа в 1942 году утреннее сообщение Совинформбюро:</w:t>
      </w:r>
    </w:p>
    <w:p w14:paraId="2A483365"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1 августа наши войска вели бои с противником в районах Клетская, Цымлянская, южнее и юго-восточнее Батайска.</w:t>
      </w:r>
    </w:p>
    <w:p w14:paraId="2EE868A2"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2502D882"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продолжались ожесточённые бои. Н-ская танковая часть вела бой с пехотой и танками врага. Уничтожено два штаба войсковых частей противника,12 противотанковых орудий, 2 танка, 3 бронемашины и не менее 1.500 немецких солдат и офицеров. Нашими бойцами захвачено 100 подвод с военным и муществом ивооружением.</w:t>
      </w:r>
    </w:p>
    <w:p w14:paraId="7938BBE7"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Южнее и юго-восточнее Батайска наши войска вели тяжёлые бои с мотопехотой и танками противника. Немцы, стянув большое количество войск, стремятся развить успех. Сражения часто переходят в кровопролитные рукопашные схватки. Одна наша часть в течение суток сдерживала напор танков и пехоты немцев, поддержанных авиацией. Смелые бойцы сожгли 17 немецких танков и истребили свыше 1.100 гитлеровцев. Однако противнику удалось ворваться в расположение части. Завязался бой внутри оборонительного района. На другом участке советские части отошли на новые рубежи.</w:t>
      </w:r>
    </w:p>
    <w:p w14:paraId="108D9477"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На Брянском фронте продолжались бои местного значения. Танковое подразделение под командованием капитана Горлага за последние дни уничтожило 30 немецких танков и до 400 солдат и офицеров противника. Одна артиллерийская батарея за четыре дня вывела из строя 18 вражеских танков, шестиствольный миномёт, 3 </w:t>
      </w:r>
      <w:r w:rsidRPr="001E2C69">
        <w:rPr>
          <w:rFonts w:ascii="Times New Roman" w:hAnsi="Times New Roman"/>
          <w:color w:val="000000" w:themeColor="text1"/>
          <w:sz w:val="16"/>
          <w:szCs w:val="16"/>
        </w:rPr>
        <w:lastRenderedPageBreak/>
        <w:t>миномётные и одну зенитную батареи и истребила до 300 немецких солдат и офицеров. Бронебойщики сержант т. Луценко и красноармеец т. Дмитриев, отражая атаку противника, подбили 2 немецких танка.</w:t>
      </w:r>
    </w:p>
    <w:p w14:paraId="22856356"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тов. Н., действующий в одном из районов Белоруссии, втечение трёх дней уничтожил 226 гитлеровцев. В июле партизаны этого отряда пустили под откос два воинских эшелона противника. Группа партизан другого отряда, действующего в соседнем районе, подожгла склад с горючим. Огнём уничтожено 120 тонн бензина и 40 тонн смазочных масел.</w:t>
      </w:r>
    </w:p>
    <w:p w14:paraId="7240A65E"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обер-ефрейтор 3 батареи 1 дивизиона 138 немецкого полка Антон Тишлер рассказал: «В марте 1942 г. 138 зенитный полк был разбит и остался без материальной части. После этого он несколько раз получал людские пополнения и новые орудия. В начале июля первый дивизион снова потерял более половины всех орудий и личного состава. А когда дивизион в районе Воронежа переправился через реку, он был полностью разбит. Жалкие остатки его были взяты в плен».</w:t>
      </w:r>
    </w:p>
    <w:p w14:paraId="353B52F8"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мерзавцы истребляют население захваченных советских районов. На окраине города Курска гитлеровцы создали лагерь для гражданского населения. В этом лагере, огороженном колючей проволокой, находится свыше пятисот заключённых женщин и стариков, а также детей и подростков. Заключённых заставляют выполнять самые тяжёлые работы. В результате голода и зверских истязаний в лагере ежедневно умирает 5—10 человек.</w:t>
      </w:r>
    </w:p>
    <w:p w14:paraId="3FEAC072"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последнее время чрезвычайно обострилось продовольственное положение в городе Гамбурге (Германия). В течение недели жители не получают ни грамма хлеба. В городе вспыхнула эпидемия тифа. 26 июля в Гамбурге произошла голодная демонстрация. Толпа женщин разгромила несколько продовольственных складов и магазинов. Гестаповцы, пытаясь рассеять демонстрантов, пустили в ход оружие. Убито и ранено 45 человек. Полиция произвела массовые аресты.» (14970).</w:t>
      </w:r>
    </w:p>
    <w:p w14:paraId="2BE5B2C7" w14:textId="77777777" w:rsidR="00907F56" w:rsidRPr="001E2C69" w:rsidRDefault="00907F56" w:rsidP="00722885">
      <w:pPr>
        <w:spacing w:after="0" w:line="240" w:lineRule="auto"/>
        <w:jc w:val="both"/>
        <w:rPr>
          <w:rFonts w:ascii="Times New Roman" w:hAnsi="Times New Roman"/>
          <w:color w:val="000000" w:themeColor="text1"/>
          <w:sz w:val="16"/>
          <w:szCs w:val="16"/>
        </w:rPr>
      </w:pPr>
    </w:p>
    <w:p w14:paraId="26083C35"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августа в 1942 году вечернее сообщение Совинформбюро:</w:t>
      </w:r>
    </w:p>
    <w:p w14:paraId="24FA94C6"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1 августа наши войска вели ожесточённые бои в районах Клетская, Цымлянская, Кущевская, Сальск. На других участках фронта существенных изменений не произошло.</w:t>
      </w:r>
    </w:p>
    <w:p w14:paraId="3C2A2966"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31 июля частями нашей авиации на различных участках фронта уничтожено или повреждено до 50 немецких танков, 330 автомашин с войсками и грузами, 45 повозок с боеприпасами, подавлен огонь 20 батарей полевой и зенитной артиллерии, взорвано 2 склада боеприпасов и 2 склада горючего, разбит железнодорожный состав, рассеяно и частью уничтожено до трёх батальонов пехоты противника.</w:t>
      </w:r>
    </w:p>
    <w:p w14:paraId="3883141C"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и южнее этого пункта противник, вводя в бой новые резервы, усиливает нажим на наши оборонительные рубежи. Наши войска сдерживали натиск гитлеровцев, а на отдельных участках активными действиями наносили удары по танковым и пехотным частям противника. Н-ский стрелковый батальон в течение дня отбил семь атак противника. Вечером после ожесточённой бомбардировки наших рубежей немцы при поддержке танков восьмой раз пошли в атаку. На вражескую пехоту наши бойцы обрушили мощный миномётный и пулемётный огонь. Потеряв 6танков и свыше 500 человек убитыми и ранеными, гитлеровцы отступили. Успешно действует наша танковая часть. Танкисты смелым броском ворвались в расположение противника и разгромили крупную автоколонну с боеприпасами. Кроме того, во время этой операции уничтожено 12 орудий, 2 немецких танка и не менее 400 гитлеровцев.</w:t>
      </w:r>
    </w:p>
    <w:p w14:paraId="17A738C9"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Цымлянской, на южном берегу Дона, продолжались упорные бои с противником. На одном участке наши артиллеристы и миномётчики встретили вражескую колонну танков и мотопехоты сосредоточенным огнём на заранее пристрелянных рубежах. Противник потерял 10 танков, 6 бронемашин, 14 орудий и 17 пулемётов. На поле боя осталось до 800 убитых немецких солдат и офицеров.</w:t>
      </w:r>
    </w:p>
    <w:p w14:paraId="053A3CDB"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районах Кущевской и Сальска наши войска вели ожесточённые бои с численно превосходящими силами противника. Опорный бой с противником произошёл около одной водной переправы. Действующие на этом участке наши части истребили до1.500 гитлеровцев. На поле боя осталось несколько десятков подбитых немецких танков. Не менее ожесточённые бои шли в районе Сальска. Гитлеровцы предприняли несколько танковых атак и ценой больших потерь потеснили наши части.</w:t>
      </w:r>
    </w:p>
    <w:p w14:paraId="263D5C20"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советские войска закреплялись на достигнутых рубежах. Активно действовали разведывательные отряды. Южнее города противник пытался атаковать наши позиции, но был отброшен с большими для него потерями. Артиллеристы Н-ской части несколькими огневыми налётами уничтожили 70 пулемётных точек, миномётную батарею, блиндаж с боеприпасами и до роты пехоты противника. Действиями нашей авиации взорван железнодорожный эшелон с боеприпасами и большой артиллерийский склад противника.</w:t>
      </w:r>
    </w:p>
    <w:p w14:paraId="1B0404CE"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Белорусские партизаны непрерывно наносят удары по коммуникациям немецко-фашистских оккупантов. Недавно организовавшийся отряд «Котовский» взорвал мост через реку. Движение по шоссе в связи с этим было закрыто. Партизаны отряда под командованием тов. Р. организовали крушение железнодорожного эшелона противника. Разбито 18 платформ с танками, 10 платформ с орудиями и 4 вагона с солдатами. Через несколько дней советские патриоты пустили под откос состав с боеприпасами. Взрывы продолжались в течение 40 минут. Действия партизан вызывают у гитлеровцев большую тревогу. Перехвачена разосланная железнодорожным комендантом следующая телеграмма: «Железнодорожнаякомендатура «Центр» требует срочно усилить охрану путей. Партизаны наносят чувствительные удары главным образом в районе Витебска, Невеля, Полоцка, Лиды, Барановичей, Молодечно».</w:t>
      </w:r>
    </w:p>
    <w:p w14:paraId="043909C3"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Ниже публикуются выдержки из дневника убитого немецкого офицера Гильнера:</w:t>
      </w:r>
    </w:p>
    <w:p w14:paraId="1B3836CA"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июня. Отпуск кончился. Едем через Брест-Литовск — Барановичи — Минск. Цветущие фруктовые деревья и очень мало посевов. Кругом пустырь. Ночью не едем дальше. Здесь опасные места. Много партизан.</w:t>
      </w:r>
    </w:p>
    <w:p w14:paraId="569A98A8"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июня. Брянск. Ночью три воздушных налёта. Взрывы бомб и зенитный огонь. Всю ночь не спал. Вспомнились мысли, пришедшие в голову ещё дома: родина чрезвычайно перенапряжена. Все сколько-нибудь пригодные к военной службе призваны. Очень много иностранных рабочих. Их присутствие жизненно необходимо, но в то же время таит в себе опасность для Германии. Они сейчас притаились, но что будет, если нас постигнут военные неудачи? Больше всего занимает меня мысльо потерях германской армии. Есть все основания считать, что потери на русском фронте уже превзошли потери германской армии на всех фронтах за 4 года первой мировой войны.</w:t>
      </w:r>
    </w:p>
    <w:p w14:paraId="03DF447E"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июня. Явился к капитану Гуммель-Гиршбергу. Принял свою роту. Боевой состав роты: 3 офицера, 16 унтер-офицеров, 73 рядовых.</w:t>
      </w:r>
    </w:p>
    <w:p w14:paraId="275358FC"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июля. Русская артиллерия стреляет из всех орудий. Какие тяжёлые потери она нам наносит. Если так будет продолжаться, через неделю в роте никого не останется».</w:t>
      </w:r>
    </w:p>
    <w:p w14:paraId="438992C3"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Батайска немецко-фашистские мерзавцы загнали на минированное поле толпу местных жителей — женщин, детей и стариков. Свыше 150 человек подорвались на минах.</w:t>
      </w:r>
    </w:p>
    <w:p w14:paraId="0FD02D2B"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связи с огромными потерями немецкой армии на советско-германском фронте германское командование произвело призыв лиц рождения 1925 года. В армию также мобилизованы лица всех возрастов, освобождённые ранее от военной службы по состоянию здоровья.</w:t>
      </w:r>
    </w:p>
    <w:p w14:paraId="4061746E"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где директором тов. Волков, изготовляющий особо важные виды боеприпасов, получил на июль увеличенную программу. Коллектив завода успешно справился с выполнением этого задания. Завод выпустил боеприпасов в июле месяце на 73 процента больше, чем в июне.».</w:t>
      </w:r>
    </w:p>
    <w:p w14:paraId="75BC876F" w14:textId="77777777" w:rsidR="00907F56" w:rsidRPr="001E2C69" w:rsidRDefault="00907F56" w:rsidP="00722885">
      <w:pPr>
        <w:spacing w:after="0" w:line="240" w:lineRule="auto"/>
        <w:jc w:val="both"/>
        <w:rPr>
          <w:rFonts w:ascii="Times New Roman" w:hAnsi="Times New Roman"/>
          <w:color w:val="000000" w:themeColor="text1"/>
          <w:sz w:val="16"/>
          <w:szCs w:val="16"/>
        </w:rPr>
      </w:pPr>
    </w:p>
    <w:p w14:paraId="5CA4A79B" w14:textId="490775FA" w:rsidR="004C71FA" w:rsidRPr="001E2C69" w:rsidRDefault="004C71FA" w:rsidP="00722885">
      <w:pPr>
        <w:pStyle w:val="af"/>
        <w:spacing w:before="0" w:after="0"/>
        <w:jc w:val="both"/>
        <w:textAlignment w:val="baseline"/>
        <w:rPr>
          <w:color w:val="000000" w:themeColor="text1"/>
          <w:sz w:val="16"/>
          <w:szCs w:val="16"/>
        </w:rPr>
      </w:pPr>
      <w:r w:rsidRPr="001E2C69">
        <w:rPr>
          <w:color w:val="000000" w:themeColor="text1"/>
          <w:sz w:val="16"/>
          <w:szCs w:val="16"/>
        </w:rPr>
        <w:t>1 августа 1942 во время налета Ил-2 из 622-го шап на переправу через Дон в районе хутора Липологовского огнем зенитной артиллерии был подбит самолет лейтенанта Т.</w:t>
      </w:r>
      <w:r w:rsidR="001E2C69">
        <w:rPr>
          <w:color w:val="000000" w:themeColor="text1"/>
          <w:sz w:val="16"/>
          <w:szCs w:val="16"/>
        </w:rPr>
        <w:t xml:space="preserve">   </w:t>
      </w:r>
      <w:r w:rsidRPr="001E2C69">
        <w:rPr>
          <w:color w:val="000000" w:themeColor="text1"/>
          <w:sz w:val="16"/>
          <w:szCs w:val="16"/>
        </w:rPr>
        <w:t>Д.</w:t>
      </w:r>
      <w:r w:rsidR="001E2C69">
        <w:rPr>
          <w:color w:val="000000" w:themeColor="text1"/>
          <w:sz w:val="16"/>
          <w:szCs w:val="16"/>
        </w:rPr>
        <w:t xml:space="preserve">   </w:t>
      </w:r>
      <w:r w:rsidRPr="001E2C69">
        <w:rPr>
          <w:color w:val="000000" w:themeColor="text1"/>
          <w:sz w:val="16"/>
          <w:szCs w:val="16"/>
        </w:rPr>
        <w:t>Одинцова. По утверждению сослуживцев, он, покачав крыльями, пошел на таран немецких танков. Затем Одинцова посмертно наградили орденом Красного Знамени (19522).</w:t>
      </w:r>
    </w:p>
    <w:p w14:paraId="33BECFEF" w14:textId="77777777" w:rsidR="004C71FA" w:rsidRPr="001E2C69" w:rsidRDefault="004C71FA" w:rsidP="00722885">
      <w:pPr>
        <w:pStyle w:val="af"/>
        <w:spacing w:before="0" w:after="0"/>
        <w:jc w:val="both"/>
        <w:textAlignment w:val="baseline"/>
        <w:rPr>
          <w:color w:val="000000" w:themeColor="text1"/>
          <w:sz w:val="16"/>
          <w:szCs w:val="16"/>
        </w:rPr>
      </w:pPr>
    </w:p>
    <w:p w14:paraId="3A3BC982"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августа в 1942 году немецкие войска отрезают железную дорогу Краснодар-Сталинград (14970).</w:t>
      </w:r>
    </w:p>
    <w:p w14:paraId="22AE5738" w14:textId="77777777" w:rsidR="00907F56" w:rsidRPr="001E2C69" w:rsidRDefault="00907F56" w:rsidP="00722885">
      <w:pPr>
        <w:spacing w:after="0" w:line="240" w:lineRule="auto"/>
        <w:jc w:val="both"/>
        <w:rPr>
          <w:rFonts w:ascii="Times New Roman" w:hAnsi="Times New Roman"/>
          <w:color w:val="000000" w:themeColor="text1"/>
          <w:sz w:val="16"/>
          <w:szCs w:val="16"/>
        </w:rPr>
      </w:pPr>
    </w:p>
    <w:p w14:paraId="1554D4C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пе</w:t>
      </w:r>
      <w:r w:rsidRPr="001E2C69">
        <w:rPr>
          <w:color w:val="000000" w:themeColor="text1"/>
          <w:sz w:val="16"/>
          <w:szCs w:val="16"/>
        </w:rPr>
        <w:softHyphen/>
        <w:t>риод с 1 августа по 1 июля 1943 средний налет, приходящий</w:t>
      </w:r>
      <w:r w:rsidRPr="001E2C69">
        <w:rPr>
          <w:color w:val="000000" w:themeColor="text1"/>
          <w:sz w:val="16"/>
          <w:szCs w:val="16"/>
        </w:rPr>
        <w:softHyphen/>
        <w:t>ся на одну боевую потерю Ил-2 по всем фронтам по официальным данным ВВС, составил 26'самолето-вылетов, что вдвое больше, чем за период с 22 июня 1941 по 1 июля 1942 г. когда средний налет, приходящий</w:t>
      </w:r>
      <w:r w:rsidRPr="001E2C69">
        <w:rPr>
          <w:color w:val="000000" w:themeColor="text1"/>
          <w:sz w:val="16"/>
          <w:szCs w:val="16"/>
        </w:rPr>
        <w:softHyphen/>
        <w:t>ся на одну боевую потерю Ил-2 по всем фронтам по официальным данным ВВС, составил 13 самолето-вылетов (6467).</w:t>
      </w:r>
    </w:p>
    <w:p w14:paraId="72731960" w14:textId="77777777" w:rsidR="00AE7191" w:rsidRPr="001E2C69" w:rsidRDefault="00AE7191" w:rsidP="00722885">
      <w:pPr>
        <w:pStyle w:val="Iauiue"/>
        <w:jc w:val="both"/>
        <w:rPr>
          <w:color w:val="000000" w:themeColor="text1"/>
          <w:sz w:val="16"/>
          <w:szCs w:val="16"/>
        </w:rPr>
      </w:pPr>
    </w:p>
    <w:p w14:paraId="44A15E3A" w14:textId="77777777" w:rsidR="00AE7191" w:rsidRPr="001E2C69" w:rsidRDefault="00AE7191" w:rsidP="00722885">
      <w:pPr>
        <w:pStyle w:val="Iauiue"/>
        <w:tabs>
          <w:tab w:val="left" w:pos="11199"/>
        </w:tabs>
        <w:jc w:val="both"/>
        <w:rPr>
          <w:color w:val="000000" w:themeColor="text1"/>
          <w:sz w:val="16"/>
          <w:szCs w:val="16"/>
          <w:lang w:val="en-US"/>
        </w:rPr>
      </w:pPr>
      <w:r w:rsidRPr="001E2C69">
        <w:rPr>
          <w:color w:val="000000" w:themeColor="text1"/>
          <w:sz w:val="16"/>
          <w:szCs w:val="16"/>
        </w:rPr>
        <w:t xml:space="preserve">1 августа 1942 вышло Постановление ГКО № 2129 [О городском комитете обороны в Балашове Саратовской обл.] </w:t>
      </w:r>
      <w:r w:rsidRPr="001E2C69">
        <w:rPr>
          <w:color w:val="000000" w:themeColor="text1"/>
          <w:sz w:val="16"/>
          <w:szCs w:val="16"/>
          <w:lang w:val="en-US"/>
        </w:rPr>
        <w:t>(7047, 161).</w:t>
      </w:r>
    </w:p>
    <w:p w14:paraId="7DA8B5B4" w14:textId="77777777" w:rsidR="00AE7191" w:rsidRPr="001E2C69" w:rsidRDefault="00AE7191" w:rsidP="00722885">
      <w:pPr>
        <w:pStyle w:val="Iauiue"/>
        <w:tabs>
          <w:tab w:val="left" w:pos="11199"/>
        </w:tabs>
        <w:jc w:val="both"/>
        <w:rPr>
          <w:color w:val="000000" w:themeColor="text1"/>
          <w:sz w:val="16"/>
          <w:szCs w:val="16"/>
          <w:lang w:val="en-US"/>
        </w:rPr>
      </w:pPr>
    </w:p>
    <w:p w14:paraId="4C4FA40A" w14:textId="77777777" w:rsidR="00AE7191" w:rsidRPr="001E2C69" w:rsidRDefault="00AE7191" w:rsidP="00722885">
      <w:pPr>
        <w:pStyle w:val="Iauiue"/>
        <w:tabs>
          <w:tab w:val="left" w:pos="11199"/>
        </w:tabs>
        <w:jc w:val="both"/>
        <w:rPr>
          <w:color w:val="000000" w:themeColor="text1"/>
          <w:sz w:val="16"/>
          <w:szCs w:val="16"/>
          <w:lang w:val="en-US"/>
        </w:rPr>
      </w:pPr>
      <w:r w:rsidRPr="001E2C69">
        <w:rPr>
          <w:color w:val="000000" w:themeColor="text1"/>
          <w:sz w:val="16"/>
          <w:szCs w:val="16"/>
          <w:lang w:val="en-US"/>
        </w:rPr>
        <w:t xml:space="preserve">1 </w:t>
      </w:r>
      <w:r w:rsidRPr="001E2C69">
        <w:rPr>
          <w:color w:val="000000" w:themeColor="text1"/>
          <w:sz w:val="16"/>
          <w:szCs w:val="16"/>
        </w:rPr>
        <w:t>августа</w:t>
      </w:r>
      <w:r w:rsidRPr="001E2C69">
        <w:rPr>
          <w:color w:val="000000" w:themeColor="text1"/>
          <w:sz w:val="16"/>
          <w:szCs w:val="16"/>
          <w:lang w:val="en-US"/>
        </w:rPr>
        <w:t xml:space="preserve"> 1942 </w:t>
      </w:r>
      <w:r w:rsidRPr="001E2C69">
        <w:rPr>
          <w:color w:val="000000" w:themeColor="text1"/>
          <w:sz w:val="16"/>
          <w:szCs w:val="16"/>
        </w:rPr>
        <w:t>немецкие</w:t>
      </w:r>
      <w:r w:rsidRPr="001E2C69">
        <w:rPr>
          <w:color w:val="000000" w:themeColor="text1"/>
          <w:sz w:val="16"/>
          <w:szCs w:val="16"/>
          <w:lang w:val="en-US"/>
        </w:rPr>
        <w:t xml:space="preserve"> </w:t>
      </w:r>
      <w:r w:rsidRPr="001E2C69">
        <w:rPr>
          <w:color w:val="000000" w:themeColor="text1"/>
          <w:sz w:val="16"/>
          <w:szCs w:val="16"/>
        </w:rPr>
        <w:t>войска</w:t>
      </w:r>
      <w:r w:rsidRPr="001E2C69">
        <w:rPr>
          <w:color w:val="000000" w:themeColor="text1"/>
          <w:sz w:val="16"/>
          <w:szCs w:val="16"/>
          <w:lang w:val="en-US"/>
        </w:rPr>
        <w:t xml:space="preserve"> </w:t>
      </w:r>
      <w:r w:rsidRPr="001E2C69">
        <w:rPr>
          <w:color w:val="000000" w:themeColor="text1"/>
          <w:sz w:val="16"/>
          <w:szCs w:val="16"/>
        </w:rPr>
        <w:t>отрезали</w:t>
      </w:r>
      <w:r w:rsidRPr="001E2C69">
        <w:rPr>
          <w:color w:val="000000" w:themeColor="text1"/>
          <w:sz w:val="16"/>
          <w:szCs w:val="16"/>
          <w:lang w:val="en-US"/>
        </w:rPr>
        <w:t xml:space="preserve"> </w:t>
      </w:r>
      <w:r w:rsidRPr="001E2C69">
        <w:rPr>
          <w:color w:val="000000" w:themeColor="text1"/>
          <w:sz w:val="16"/>
          <w:szCs w:val="16"/>
        </w:rPr>
        <w:t>железную</w:t>
      </w:r>
      <w:r w:rsidRPr="001E2C69">
        <w:rPr>
          <w:color w:val="000000" w:themeColor="text1"/>
          <w:sz w:val="16"/>
          <w:szCs w:val="16"/>
          <w:lang w:val="en-US"/>
        </w:rPr>
        <w:t xml:space="preserve"> </w:t>
      </w:r>
      <w:r w:rsidRPr="001E2C69">
        <w:rPr>
          <w:color w:val="000000" w:themeColor="text1"/>
          <w:sz w:val="16"/>
          <w:szCs w:val="16"/>
        </w:rPr>
        <w:t>дорогу</w:t>
      </w:r>
      <w:r w:rsidRPr="001E2C69">
        <w:rPr>
          <w:color w:val="000000" w:themeColor="text1"/>
          <w:sz w:val="16"/>
          <w:szCs w:val="16"/>
          <w:lang w:val="en-US"/>
        </w:rPr>
        <w:t xml:space="preserve"> </w:t>
      </w:r>
      <w:r w:rsidRPr="001E2C69">
        <w:rPr>
          <w:color w:val="000000" w:themeColor="text1"/>
          <w:sz w:val="16"/>
          <w:szCs w:val="16"/>
        </w:rPr>
        <w:t>Краснодар</w:t>
      </w:r>
      <w:r w:rsidRPr="001E2C69">
        <w:rPr>
          <w:color w:val="000000" w:themeColor="text1"/>
          <w:sz w:val="16"/>
          <w:szCs w:val="16"/>
          <w:lang w:val="en-US"/>
        </w:rPr>
        <w:t>-</w:t>
      </w:r>
      <w:r w:rsidRPr="001E2C69">
        <w:rPr>
          <w:color w:val="000000" w:themeColor="text1"/>
          <w:sz w:val="16"/>
          <w:szCs w:val="16"/>
        </w:rPr>
        <w:t>Сталинград</w:t>
      </w:r>
      <w:r w:rsidRPr="001E2C69">
        <w:rPr>
          <w:color w:val="000000" w:themeColor="text1"/>
          <w:sz w:val="16"/>
          <w:szCs w:val="16"/>
          <w:lang w:val="en-US"/>
        </w:rPr>
        <w:t xml:space="preserve"> (4962).</w:t>
      </w:r>
    </w:p>
    <w:p w14:paraId="2654F1F8" w14:textId="77777777" w:rsidR="00AE7191" w:rsidRPr="001E2C69" w:rsidRDefault="00AE7191" w:rsidP="00722885">
      <w:pPr>
        <w:pStyle w:val="Iauiue"/>
        <w:tabs>
          <w:tab w:val="left" w:pos="11199"/>
        </w:tabs>
        <w:jc w:val="both"/>
        <w:rPr>
          <w:color w:val="000000" w:themeColor="text1"/>
          <w:sz w:val="16"/>
          <w:szCs w:val="16"/>
          <w:lang w:val="en-US"/>
        </w:rPr>
      </w:pPr>
    </w:p>
    <w:p w14:paraId="23D384DF"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lang w:val="en-US"/>
        </w:rPr>
        <w:t>August 1, 1942: Armeegruppe A in the south continues to fan out into the Caucasus region, while advance units reach the Kuban River. Armeegruppe B continues to fight to cut off the Soviet defenders near Kalach in the Don bend near Stalingrad (3819).</w:t>
      </w:r>
    </w:p>
    <w:p w14:paraId="049D2752" w14:textId="77777777" w:rsidR="00AE7191" w:rsidRPr="001E2C69" w:rsidRDefault="00AE7191" w:rsidP="00722885">
      <w:pPr>
        <w:pStyle w:val="Iauiue"/>
        <w:jc w:val="both"/>
        <w:rPr>
          <w:color w:val="000000" w:themeColor="text1"/>
          <w:sz w:val="16"/>
          <w:szCs w:val="16"/>
          <w:lang w:val="en-US"/>
        </w:rPr>
      </w:pPr>
    </w:p>
    <w:p w14:paraId="1BFA332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августа 1942 Группа А продолжила наступление на Кавказ и передовые части достигли Кубани. Группа Б продолжила бои с целью отрезать части КА у Калача от Сталинграда (3819).</w:t>
      </w:r>
    </w:p>
    <w:p w14:paraId="6888579F" w14:textId="77777777" w:rsidR="00AE7191" w:rsidRPr="001E2C69" w:rsidRDefault="00AE7191" w:rsidP="00722885">
      <w:pPr>
        <w:pStyle w:val="Iauiue"/>
        <w:jc w:val="both"/>
        <w:rPr>
          <w:color w:val="000000" w:themeColor="text1"/>
          <w:sz w:val="16"/>
          <w:szCs w:val="16"/>
        </w:rPr>
      </w:pPr>
    </w:p>
    <w:p w14:paraId="5196586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ночь на 1 августа 1942 г. в районе Старицкого Яра подорвался на мине и затонул пассажирский пароход «Петр Чайковский». Несмотря на принимаемые меры, обстановка на волжской магистрали продолжала ухудшаться. По ночам над рекой барражировали мелкие группы немецких самолетов, состоявшие из одного цельфиндера и двух-трех бомбардировщиков. Первый периодически сбрасывал на парашютах осветительные ракеты, остальные – охотились за кораблями. Кроме того, с высокого западного берега реки наблюдение за движением судов вели многочисленные шпионско-диверсионные группы, по ночам пускавшие ракеты, обозначая цели для бомбометания. Учитывая большие пространства и малую плотность населения региона, изловить их было очень трудно. В результате суда гибли </w:t>
      </w:r>
      <w:r w:rsidRPr="001E2C69">
        <w:rPr>
          <w:rFonts w:ascii="Times New Roman" w:hAnsi="Times New Roman"/>
          <w:color w:val="000000" w:themeColor="text1"/>
          <w:sz w:val="16"/>
          <w:szCs w:val="16"/>
        </w:rPr>
        <w:lastRenderedPageBreak/>
        <w:t>одно за другим. 1 августа экипаж He-Ill «1G+CR» из 7-й эскадрильи KG27 в ходе очередного боевого вылета над Волгой потопил сразу два крупных речных корабля, после чего благополучно вернулся на аэродром Курск. Таким образом, только в течение двух дней жертвами этого самолета стали четыре судна! 2 августа немецкими самолетами впервые был атакован корабль на Каспийском море. Три «Хейнкеля» сбросили бомбы на пароход «Красноармеец», перевозивший воинскую часть численностью 1200 человек. 1 августа Сталинградский комитет обороны поставил перед командующим корпусным районом ПВО полковником Райниным вопрос о необходимости значительно придвинуть наблюдательные посты к Волге  «в целях получения информации о деятельности вражеской авиации и организации необходимой охраны для продвигающихся караванов». Районные комитеты партии получили приказ принять меры к привлечению истребительных батальонов для розыска и поимки ракетчиков, засевших на берегах реки. Вскоре начались прочесывания местности, массовые проверки документов в пунктах отстоя флота, организация секретных постов наблюдения на возвышенностях, примыкающих к Волге. Так наступил тяжелый для нашей страны август 1942 г. Немецкая группа армий «А» форсировала Дон и стремительно продвигалась к Кавказу, 48-й танковый корпус совместно с румынскими частями повернул на восток к г. Котельниковский. Вокруг Саратова спешно восстанавливались оборонительные рубежи. Корабли, идущие по Волге, постоянно подвергались ударам авиации и подрывались на минах. В целях обеспечения безопасности судоходства на участке рейда Астрахани была создана особая военизированная флотилия. В ее состав вошли более 56 баркасов, моторных рыбниц и сейнеров. Для поддержания бесперебойной работы флота по выполнению военных и народнохозяйственных перевозок, сохранения грузов и плавучих средств от минной опасности Астраханский комитет обороны в своем постановлении № 187 от 3 августа просил ГКО СССР выделить дополнительные единицы вооружения и авиации, военных катеров и тральщиков. В результате принятых мер охрана Астрахани и рейда была значительно усилена. Охрану Волги обеспечивал отряд бронекатеров и тральщиков Астраханской военно-морской базы Каспийской военной флотилии. С воздуха город прикрывала истребительная авиация Астраханского дивизионного района ПВО. Одновременно в Южном Поволжье складывалась критическая ситуация с эвакуацией на левый берег Волги. У переправ скапливались большие массы скота, машин и тракторов. На 4 августа на западном берегу реки в районе Дубовки собрались 50 тыс. голов скота, 18 МТС с машинами и 500 тракторов, в районе Горного Балыклея – 25 тыс. голов скота, 10 МТС с сельхозмашинами и 350 тракторов, в районе Каменного Яра – 60 тыс. голов скота, 14 МТС с машинами и 400 тракторов, в районе Камышина на подходе были 60 тыс. голов скота, 11 МТС и 400 тракторов. Учитывая, что в ближайшие дни к переправе ожидались около 1400 тыс. голов скота и большое число тракторов, а также другой сельхозтехники, были необходимы неотложные меры по ее обеспечению. Секретарь Сталинградского обкома ВКП(б) А. С. Чуянов и заместитель заведующего сельхозотделом ЦК ВКП(б) А. И. Козлов 5 августа писали наркому речного флота Союза ССР 3. А. Шашкову:  «Во избежание массовой гибели скота и для быстрой переправы через Волгу скота и имущества колхозов и совхозов считаем необходимым, чтобы Вы дали указание о немедленной организации переправы с суточной пропускной способностью 90тыс. голов… Все эти переправы должны быть использованы только для переправы скота и имущества совхозов, МТС и колхозов и людей, переправляющих этот скот и имущество».  Речной транспорт, неся постоянные потери, не справлялся с перевозками, к которым добавился и нескончаемый поток раненых. Пассажирский пароход «Тургенев» еще в последние дни июля вышел из Астрахани, направляясь в Сталинград за ранеными. Путь до Енотаевки прошел без приключений, но вот, не доходя до Копановки, матросы увидели за кормой приближающийся самолет. Он шел низко над рекой с юго-востока. Вахтенные некоторое время гадали, чей он: наш или немецкий? Все сомнения развеяла бомба, отделившаяся от брюха бомбардировщика. Огромный столб воды поднялся по левому борту, осыпав палубу множеством осколков. Не успели матросы «Тургенева» опомниться, как самолет развернулся и, сделав второй заход, обстрелял корабль из пулеметов. Трассирующие пули пробили верхнюю палубу и вызвали пожар в салоне 2-го класса. На сей раз матрос Александр Раков отчетливо видел лица немецких летчиков, кресты и свастику на фюзеляже. Через две минуты «Хейнкель» пошел на третий заход и сбросил еще одну бомбу, которая взорвалась за кормой судна. В результате были сильно повреждены палубные надстройки. После того как бомбардировщик скрылся за горизонтом, капитан «Тургенева» связался по рации с пароходством. Был получен приказ возвращаться в Астрахань на ремонт. Таким образом, из-за налета рейс к Сталинграду был отложен на несколько дней. В начале августа пароход «Тургенев» вновь отправился в путь. На сей раз все матросы были настороже, с опаской поглядывая на солнечное июльское небо. Река представляла собой удручающее зрелище. Повсюду по поверхности плавали нефтяные пятна, перемежающиеся со скоплениями глушеной рыбы. Время от времени мимо бортов проплывали обломки кораблей, спасательные круги и изуродованные трупы людей. Кое-где виднелись торчащие из воды остовы затонувших судов. Путь до Каменного Яра прошел без происшествий, и до пункта назначения оставалось около 120 км. Но тут впереди показался стоящий на якоре пароход «Виктор Хользунов», вышедший из Астрахани на трое суток раньше. Его капитан Евгений Кистович сообщил, что Волга выше Каменного Яра заминирована и продолжать путь слишком опасно. «Тургенев» застопорил ход и остановился рядом с «Виктором Хользуновым». В реку с грохотом полетел якорь. Стоящие на якоре посередине реки суда представляли собой легкую мишень для бомбардировщиков. Но все было тихо, и мирный степной пейзаж не предвещал никаких приключений. Вскоре была спущена шлюпка, и капитан отправился на ней к своему коллеге. Вместе они связались по рации со Сталинградским портом, и им оттуда приказали, чтобы «Виктор Хользунов» срочно шел дальше, невзирая на минную опасность. На этом короткое свидание двух кораблей закончилось. «Хользунов» обошел с кормы «Тургенева» и направился по фарватеру. Из трубы повалил густой черный дым, и судно стало удаляться на северо-запад. Но тут произошло неожиданное. Через каких-то двести метров перед носом парохода поднялся огромнейший столб воды, и эхо мощного взрыва раскатами прокатилось по степи. Матросы на «Тургеневе» с ужасом увидели, как «Виктор Хользунов» начал быстро погружаться носом в воду, уцелевшие члены команды прыгали за борт. Прошло еще несколько секунд, и корпус тонущего судна с треском переломился, кормовая часть на короткое время встала на ровный киль, а затем стала неумолимо уходить вниз. Вскоре над водой остались лишь клубы дыма и пара, а также отчаянно барахтавшиеся матросы. Капитан «Тургенева» сразу же приказал спустить все шлюпки и приступить к спасению уцелевших. Через полчаса на реке все стихло и уже ничто не напоминало о катастрофе, кроме всплывшей на поверхность глушеной рыбы и растекшегося огромного пятна мазута… В эти же дни буксирный пароход «Волгонефть» с караваном из сорока понтонов, а также с деревянной и металлической баржами шел с верховьев Волги в Астрахань. В районе Солодниковского переката, в 70 км юго-восточнее Сталинграда, его атаковал одиночный Ju-88. Зайдя со стороны солнца, «Юнкере» неожиданно обстрелял капитанскую рубку буксира и прицепленные баржи. После этого самолет сделал еще три захода, и в конце концов железная баржа, в трюме которой оставался мазут, загорелась, и из нее повалил густой черный дым. Этого немецкому пилоту показалось достаточно, и он повернул на запад. Тогда капитан парохода Петр Бочкарев застопорил ход и приказал матросам отцепить горящую баржу. Через полчаса она уже дрейфовала по течению, а караван пошел дальше на юго-восток (11774).</w:t>
      </w:r>
    </w:p>
    <w:p w14:paraId="0FCA9255"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95C86B7"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1DA91165" w14:textId="77777777" w:rsidR="00AE7191" w:rsidRPr="001E2C69" w:rsidRDefault="00AE7191" w:rsidP="00722885">
      <w:pPr>
        <w:pStyle w:val="Iauiue"/>
        <w:jc w:val="both"/>
        <w:rPr>
          <w:iCs/>
          <w:color w:val="000000" w:themeColor="text1"/>
          <w:sz w:val="16"/>
          <w:szCs w:val="16"/>
        </w:rPr>
      </w:pPr>
    </w:p>
    <w:p w14:paraId="4BF70960"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августа 1942 года состоялся первый полет Junkers Ju 252 (20793).</w:t>
      </w:r>
    </w:p>
    <w:p w14:paraId="5F2F8EC0" w14:textId="77777777" w:rsidR="001E4C3E" w:rsidRPr="001E2C69" w:rsidRDefault="001E4C3E" w:rsidP="00722885">
      <w:pPr>
        <w:spacing w:after="0" w:line="240" w:lineRule="auto"/>
        <w:jc w:val="both"/>
        <w:rPr>
          <w:rFonts w:ascii="Times New Roman" w:hAnsi="Times New Roman"/>
          <w:color w:val="000000" w:themeColor="text1"/>
          <w:sz w:val="16"/>
          <w:szCs w:val="16"/>
        </w:rPr>
      </w:pPr>
    </w:p>
    <w:p w14:paraId="7A0D0D4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августа 1942 английская авиация совершила массированный налет на Дюсельдорф (3186).</w:t>
      </w:r>
    </w:p>
    <w:p w14:paraId="61C368D5" w14:textId="77777777" w:rsidR="00AE7191" w:rsidRPr="001E2C69" w:rsidRDefault="00AE7191" w:rsidP="00722885">
      <w:pPr>
        <w:pStyle w:val="Iauiue"/>
        <w:jc w:val="both"/>
        <w:rPr>
          <w:color w:val="000000" w:themeColor="text1"/>
          <w:sz w:val="16"/>
          <w:szCs w:val="16"/>
        </w:rPr>
      </w:pPr>
    </w:p>
    <w:p w14:paraId="20999FF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августа 1942 л Henry C.White на J4F Widgeon Береговой гвардии потопил первую немецкую подводную лодку U-166 в устье Миссисипи (2100).</w:t>
      </w:r>
    </w:p>
    <w:p w14:paraId="409A0EAF" w14:textId="77777777" w:rsidR="00AE7191" w:rsidRPr="001E2C69" w:rsidRDefault="00AE7191" w:rsidP="00722885">
      <w:pPr>
        <w:pStyle w:val="Iauiue"/>
        <w:jc w:val="both"/>
        <w:rPr>
          <w:color w:val="000000" w:themeColor="text1"/>
          <w:sz w:val="16"/>
          <w:szCs w:val="16"/>
        </w:rPr>
      </w:pPr>
    </w:p>
    <w:p w14:paraId="71322E81"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2D2F1063" w14:textId="77777777" w:rsidR="00AE7191" w:rsidRPr="001E2C69" w:rsidRDefault="00AE7191" w:rsidP="00722885">
      <w:pPr>
        <w:pStyle w:val="Iauiue"/>
        <w:jc w:val="both"/>
        <w:rPr>
          <w:iCs/>
          <w:color w:val="000000" w:themeColor="text1"/>
          <w:sz w:val="16"/>
          <w:szCs w:val="16"/>
        </w:rPr>
      </w:pPr>
    </w:p>
    <w:p w14:paraId="019473D2" w14:textId="77777777" w:rsidR="00BE0154" w:rsidRPr="001E2C69" w:rsidRDefault="00BE0154"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2 августа 1942, не дожидаясь итоговых результатов полигонных испытаний пуш</w:t>
      </w:r>
      <w:r w:rsidRPr="001E2C69">
        <w:rPr>
          <w:color w:val="000000" w:themeColor="text1"/>
          <w:sz w:val="16"/>
          <w:szCs w:val="16"/>
        </w:rPr>
        <w:softHyphen/>
        <w:t>ки 11П, начальник Управления опытного строитель</w:t>
      </w:r>
      <w:r w:rsidRPr="001E2C69">
        <w:rPr>
          <w:color w:val="000000" w:themeColor="text1"/>
          <w:sz w:val="16"/>
          <w:szCs w:val="16"/>
        </w:rPr>
        <w:softHyphen/>
        <w:t>ства ГУ ИАС бригинженер Лешуков официально до</w:t>
      </w:r>
      <w:r w:rsidRPr="001E2C69">
        <w:rPr>
          <w:color w:val="000000" w:themeColor="text1"/>
          <w:sz w:val="16"/>
          <w:szCs w:val="16"/>
        </w:rPr>
        <w:softHyphen/>
        <w:t>вел до сведения начальника Управления заказов вооружения и боеприпасов ВВС генерал-майора Солдатова, что завод № 74 изготовил и отправил на завод № 18 вместо 40 пушек «только 6 штук таких пушек», еще 25 пушек «находятся на заводе недо- укомплектоваными». «Такое положение приводит к тому, что 20 самолетов Ил-2, которые должны быть вооружены крыльевыми пушками, неизвест</w:t>
      </w:r>
      <w:r w:rsidRPr="001E2C69">
        <w:rPr>
          <w:color w:val="000000" w:themeColor="text1"/>
          <w:sz w:val="16"/>
          <w:szCs w:val="16"/>
        </w:rPr>
        <w:softHyphen/>
        <w:t>но когда будут готовы. По этой же причине нель</w:t>
      </w:r>
      <w:r w:rsidRPr="001E2C69">
        <w:rPr>
          <w:color w:val="000000" w:themeColor="text1"/>
          <w:sz w:val="16"/>
          <w:szCs w:val="16"/>
        </w:rPr>
        <w:softHyphen/>
        <w:t>зя предъявить никаких требований НКАП, так как пушки ему не поданы», — резюмировал Лешуков.</w:t>
      </w:r>
    </w:p>
    <w:p w14:paraId="372BE833" w14:textId="77777777" w:rsidR="00BE0154" w:rsidRPr="001E2C69" w:rsidRDefault="00BE0154"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Следует отметить, что Шпитальный уже инициировал «в инстанциях» оче</w:t>
      </w:r>
      <w:r w:rsidRPr="001E2C69">
        <w:rPr>
          <w:color w:val="000000" w:themeColor="text1"/>
          <w:sz w:val="16"/>
          <w:szCs w:val="16"/>
        </w:rPr>
        <w:softHyphen/>
        <w:t>редное «расследование» по по</w:t>
      </w:r>
      <w:r w:rsidRPr="001E2C69">
        <w:rPr>
          <w:color w:val="000000" w:themeColor="text1"/>
          <w:sz w:val="16"/>
          <w:szCs w:val="16"/>
        </w:rPr>
        <w:softHyphen/>
        <w:t>воду срыва сроков выполнения постановления ГКО от 26 ноября 1941 г. о постройке противотанко</w:t>
      </w:r>
      <w:r w:rsidRPr="001E2C69">
        <w:rPr>
          <w:color w:val="000000" w:themeColor="text1"/>
          <w:sz w:val="16"/>
          <w:szCs w:val="16"/>
        </w:rPr>
        <w:softHyphen/>
        <w:t>вой серии в количестве 20 штур</w:t>
      </w:r>
      <w:r w:rsidRPr="001E2C69">
        <w:rPr>
          <w:color w:val="000000" w:themeColor="text1"/>
          <w:sz w:val="16"/>
          <w:szCs w:val="16"/>
        </w:rPr>
        <w:softHyphen/>
        <w:t>мовиков Ил-2, вооруженных пушка</w:t>
      </w:r>
      <w:r w:rsidRPr="001E2C69">
        <w:rPr>
          <w:color w:val="000000" w:themeColor="text1"/>
          <w:sz w:val="16"/>
          <w:szCs w:val="16"/>
        </w:rPr>
        <w:softHyphen/>
        <w:t>ми Ш-37 (17500).</w:t>
      </w:r>
    </w:p>
    <w:p w14:paraId="2A77CD1D" w14:textId="77777777" w:rsidR="00BE0154" w:rsidRPr="001E2C69" w:rsidRDefault="00BE0154" w:rsidP="00722885">
      <w:pPr>
        <w:pStyle w:val="12a"/>
        <w:shd w:val="clear" w:color="auto" w:fill="auto"/>
        <w:spacing w:after="0" w:line="240" w:lineRule="auto"/>
        <w:jc w:val="both"/>
        <w:rPr>
          <w:color w:val="000000" w:themeColor="text1"/>
          <w:sz w:val="16"/>
          <w:szCs w:val="16"/>
        </w:rPr>
      </w:pPr>
    </w:p>
    <w:p w14:paraId="510495A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состоянию на 2 августа 1942 18-й авиазавод получил всего шесть комплектных пу</w:t>
      </w:r>
      <w:r w:rsidRPr="001E2C69">
        <w:rPr>
          <w:rFonts w:ascii="Times New Roman" w:hAnsi="Times New Roman"/>
          <w:color w:val="000000" w:themeColor="text1"/>
          <w:sz w:val="16"/>
          <w:szCs w:val="16"/>
        </w:rPr>
        <w:softHyphen/>
        <w:t>шек ШФК-37 вместо 40. В марте 1942 г. выпуск противотанковых Ил-2 АМ-38 пору</w:t>
      </w:r>
      <w:r w:rsidRPr="001E2C69">
        <w:rPr>
          <w:rFonts w:ascii="Times New Roman" w:hAnsi="Times New Roman"/>
          <w:color w:val="000000" w:themeColor="text1"/>
          <w:sz w:val="16"/>
          <w:szCs w:val="16"/>
        </w:rPr>
        <w:softHyphen/>
        <w:t>чили только что созданному московскому заводу № 30, но и он не смог выполнить задание. Разворачивание производства штурмовиков в отсутствие достаточного количества станков и квалифицированной рабочей силы шло очень медленными темпами. Тогда программу войсковой серии Ил-2 с 37-мм пушками вновь «перебросили» на завод № 18. К этому време</w:t>
      </w:r>
      <w:r w:rsidRPr="001E2C69">
        <w:rPr>
          <w:rFonts w:ascii="Times New Roman" w:hAnsi="Times New Roman"/>
          <w:color w:val="000000" w:themeColor="text1"/>
          <w:sz w:val="16"/>
          <w:szCs w:val="16"/>
        </w:rPr>
        <w:softHyphen/>
        <w:t>ни кризис производства на куйбышевских заводах в целом уже был преодолен, но сроки все равно были сорваны. Завод № 74 наркомата вооружения не поставил пушки.</w:t>
      </w:r>
    </w:p>
    <w:p w14:paraId="37EDB90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«Такое положение приводит к тому, что 20 самолетов Ил-2, которые должны быть вооружены крыльевыми пушками, не</w:t>
      </w:r>
      <w:r w:rsidRPr="001E2C69">
        <w:rPr>
          <w:rFonts w:ascii="Times New Roman" w:hAnsi="Times New Roman"/>
          <w:color w:val="000000" w:themeColor="text1"/>
          <w:sz w:val="16"/>
          <w:szCs w:val="16"/>
        </w:rPr>
        <w:softHyphen/>
        <w:t>известно когда будут готовы. По этой же причине нельзя предъявить никаких требований НКАП, так как пушки ему не поданы», — докладывал начальник Управления опытного строительства ГУ ИАС ВВС бригадный инженер Лешуков на</w:t>
      </w:r>
      <w:r w:rsidRPr="001E2C69">
        <w:rPr>
          <w:rFonts w:ascii="Times New Roman" w:hAnsi="Times New Roman"/>
          <w:color w:val="000000" w:themeColor="text1"/>
          <w:sz w:val="16"/>
          <w:szCs w:val="16"/>
        </w:rPr>
        <w:softHyphen/>
        <w:t>чальнику 12-го Управления заказов вооружения и боеприпасов ВВС генерал-майору Солдатову. Последний 7 августа обратил</w:t>
      </w:r>
      <w:r w:rsidRPr="001E2C69">
        <w:rPr>
          <w:rFonts w:ascii="Times New Roman" w:hAnsi="Times New Roman"/>
          <w:color w:val="000000" w:themeColor="text1"/>
          <w:sz w:val="16"/>
          <w:szCs w:val="16"/>
        </w:rPr>
        <w:softHyphen/>
        <w:t>ся к наркому вооружения Устинову с просьбой дать указания «директору завода № 74 т. Иванову срочно изготовить и подать заводу № 18 40 крыльевых пушек калибра 37 мм с магазином под боекомплект 40 патронов». После вмешательства Устинова дело сдвинулось с места (11474,321).</w:t>
      </w:r>
    </w:p>
    <w:p w14:paraId="35E106F5"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4D4B9A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августа 1942 вышло постановление ГОКО N 2145с, согласно которому заводу 153 надлежало выпустить самолетов Як-9 (1315,156).</w:t>
      </w:r>
    </w:p>
    <w:p w14:paraId="3FE3DF10" w14:textId="77777777" w:rsidR="00AE7191" w:rsidRPr="001E2C69" w:rsidRDefault="00AE7191" w:rsidP="00722885">
      <w:pPr>
        <w:pStyle w:val="Iauiue"/>
        <w:jc w:val="both"/>
        <w:rPr>
          <w:color w:val="000000" w:themeColor="text1"/>
          <w:sz w:val="16"/>
          <w:szCs w:val="16"/>
        </w:rPr>
      </w:pPr>
    </w:p>
    <w:p w14:paraId="47870EE0"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2 августа 1942 г.</w:t>
      </w:r>
    </w:p>
    <w:p w14:paraId="235276E0"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ИЗ СПРАВКИ СЕКРЕТАРЯ ОБКОМА ВКП(б) ПО АВИАПРОМЫШЛЕННОСТИ И.И. ХРОМОВА СЕКРЕТАРЮ НОВОСИБИРСКОГО ОБКОМА ВКП(б) М.В. КУЛАГИНУ О СОСТОЯНИИ ЗАВОДА № 153</w:t>
      </w:r>
    </w:p>
    <w:p w14:paraId="2DA73E80"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августа 1942 г.</w:t>
      </w:r>
    </w:p>
    <w:p w14:paraId="04158726"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Производственные мощности завода по состоянию на 1 августа 1942 года позволяют выпускать 12 самолетов ежедневно. Однако состояние снабжения завода готовыми агрегатами (моторы, винты, радиоаппараты и дюралевое место для капотов) до последнего времени сдерживало полное использование имеющихся мощностей. Например, в июне месяце на программу в 230 самолетов получено 174 мотора, в июле на программу в 215 самолетов моторы в основном получены к концу месяца.</w:t>
      </w:r>
    </w:p>
    <w:p w14:paraId="48EE7DB1"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По обеспеченности рабочей силой на программу текущего месяца завод укомплектован, но для полного развертывания производства к концу 1942 года, рассчитанного на выпуск 16 машин в день, и в связи с мобилизацией в армию 22[-го] и 23[-го] года в основных производственных цехах (№ 8 — капотно-баковый, № 25 - шасси, № 9 - сборочный, № 60 — предварительной сборки фюзеляжа и № 42 — крыльевой) недостает примерно 3 000 человек, на сегодня списочное количество рабочих, ИТР и служащих на заводе 23 000 человек.</w:t>
      </w:r>
    </w:p>
    <w:p w14:paraId="0058D4AF"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Выполнение программы заводом № 153 за 7 месяцев 1942 года:</w:t>
      </w:r>
    </w:p>
    <w:p w14:paraId="6AE3E7D5"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Выполнение в процентах:</w:t>
      </w:r>
      <w:r w:rsidRPr="001E2C69">
        <w:rPr>
          <w:rFonts w:ascii="Times New Roman" w:hAnsi="Times New Roman"/>
          <w:color w:val="000000" w:themeColor="text1"/>
          <w:sz w:val="16"/>
          <w:szCs w:val="16"/>
        </w:rPr>
        <w:tab/>
      </w:r>
      <w:r w:rsidRPr="001E2C69">
        <w:rPr>
          <w:rFonts w:ascii="Times New Roman" w:hAnsi="Times New Roman"/>
          <w:color w:val="000000" w:themeColor="text1"/>
          <w:sz w:val="16"/>
          <w:szCs w:val="16"/>
        </w:rPr>
        <w:tab/>
      </w:r>
      <w:r w:rsidRPr="001E2C69">
        <w:rPr>
          <w:rFonts w:ascii="Times New Roman" w:hAnsi="Times New Roman"/>
          <w:color w:val="000000" w:themeColor="text1"/>
          <w:sz w:val="16"/>
          <w:szCs w:val="16"/>
        </w:rPr>
        <w:tab/>
      </w:r>
      <w:r w:rsidRPr="001E2C69">
        <w:rPr>
          <w:rFonts w:ascii="Times New Roman" w:hAnsi="Times New Roman"/>
          <w:color w:val="000000" w:themeColor="text1"/>
          <w:sz w:val="16"/>
          <w:szCs w:val="16"/>
        </w:rPr>
        <w:tab/>
      </w:r>
      <w:r w:rsidRPr="001E2C69">
        <w:rPr>
          <w:rFonts w:ascii="Times New Roman" w:hAnsi="Times New Roman"/>
          <w:color w:val="000000" w:themeColor="text1"/>
          <w:sz w:val="16"/>
          <w:szCs w:val="16"/>
        </w:rPr>
        <w:tab/>
      </w:r>
      <w:r w:rsidRPr="001E2C69">
        <w:rPr>
          <w:rFonts w:ascii="Times New Roman" w:hAnsi="Times New Roman"/>
          <w:color w:val="000000" w:themeColor="text1"/>
          <w:sz w:val="16"/>
          <w:szCs w:val="16"/>
        </w:rPr>
        <w:tab/>
      </w:r>
    </w:p>
    <w:p w14:paraId="4441C14E"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Январь</w:t>
      </w:r>
      <w:r w:rsidRPr="001E2C69">
        <w:rPr>
          <w:rFonts w:ascii="Times New Roman" w:hAnsi="Times New Roman"/>
          <w:color w:val="000000" w:themeColor="text1"/>
          <w:sz w:val="16"/>
          <w:szCs w:val="16"/>
        </w:rPr>
        <w:tab/>
        <w:t>Февраль</w:t>
      </w:r>
      <w:r w:rsidRPr="001E2C69">
        <w:rPr>
          <w:rFonts w:ascii="Times New Roman" w:hAnsi="Times New Roman"/>
          <w:color w:val="000000" w:themeColor="text1"/>
          <w:sz w:val="16"/>
          <w:szCs w:val="16"/>
        </w:rPr>
        <w:tab/>
        <w:t>Март</w:t>
      </w:r>
      <w:r w:rsidRPr="001E2C69">
        <w:rPr>
          <w:rFonts w:ascii="Times New Roman" w:hAnsi="Times New Roman"/>
          <w:color w:val="000000" w:themeColor="text1"/>
          <w:sz w:val="16"/>
          <w:szCs w:val="16"/>
        </w:rPr>
        <w:tab/>
        <w:t>Апрель</w:t>
      </w:r>
      <w:r w:rsidRPr="001E2C69">
        <w:rPr>
          <w:rFonts w:ascii="Times New Roman" w:hAnsi="Times New Roman"/>
          <w:color w:val="000000" w:themeColor="text1"/>
          <w:sz w:val="16"/>
          <w:szCs w:val="16"/>
        </w:rPr>
        <w:tab/>
        <w:t>Май</w:t>
      </w:r>
      <w:r w:rsidRPr="001E2C69">
        <w:rPr>
          <w:rFonts w:ascii="Times New Roman" w:hAnsi="Times New Roman"/>
          <w:color w:val="000000" w:themeColor="text1"/>
          <w:sz w:val="16"/>
          <w:szCs w:val="16"/>
        </w:rPr>
        <w:tab/>
        <w:t>Июнь</w:t>
      </w:r>
      <w:r w:rsidRPr="001E2C69">
        <w:rPr>
          <w:rFonts w:ascii="Times New Roman" w:hAnsi="Times New Roman"/>
          <w:color w:val="000000" w:themeColor="text1"/>
          <w:sz w:val="16"/>
          <w:szCs w:val="16"/>
        </w:rPr>
        <w:tab/>
        <w:t>Июль</w:t>
      </w:r>
    </w:p>
    <w:p w14:paraId="29A196FE"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100</w:t>
      </w:r>
      <w:r w:rsidRPr="001E2C69">
        <w:rPr>
          <w:rFonts w:ascii="Times New Roman" w:hAnsi="Times New Roman"/>
          <w:color w:val="000000" w:themeColor="text1"/>
          <w:sz w:val="16"/>
          <w:szCs w:val="16"/>
        </w:rPr>
        <w:tab/>
        <w:t>100</w:t>
      </w:r>
      <w:r w:rsidRPr="001E2C69">
        <w:rPr>
          <w:rFonts w:ascii="Times New Roman" w:hAnsi="Times New Roman"/>
          <w:color w:val="000000" w:themeColor="text1"/>
          <w:sz w:val="16"/>
          <w:szCs w:val="16"/>
        </w:rPr>
        <w:tab/>
        <w:t>100</w:t>
      </w:r>
      <w:r w:rsidRPr="001E2C69">
        <w:rPr>
          <w:rFonts w:ascii="Times New Roman" w:hAnsi="Times New Roman"/>
          <w:color w:val="000000" w:themeColor="text1"/>
          <w:sz w:val="16"/>
          <w:szCs w:val="16"/>
        </w:rPr>
        <w:tab/>
        <w:t>62</w:t>
      </w:r>
      <w:r w:rsidRPr="001E2C69">
        <w:rPr>
          <w:rFonts w:ascii="Times New Roman" w:hAnsi="Times New Roman"/>
          <w:color w:val="000000" w:themeColor="text1"/>
          <w:sz w:val="16"/>
          <w:szCs w:val="16"/>
        </w:rPr>
        <w:tab/>
        <w:t>106</w:t>
      </w:r>
      <w:r w:rsidRPr="001E2C69">
        <w:rPr>
          <w:rFonts w:ascii="Times New Roman" w:hAnsi="Times New Roman"/>
          <w:color w:val="000000" w:themeColor="text1"/>
          <w:sz w:val="16"/>
          <w:szCs w:val="16"/>
        </w:rPr>
        <w:tab/>
        <w:t>76</w:t>
      </w:r>
      <w:r w:rsidRPr="001E2C69">
        <w:rPr>
          <w:rFonts w:ascii="Times New Roman" w:hAnsi="Times New Roman"/>
          <w:color w:val="000000" w:themeColor="text1"/>
          <w:sz w:val="16"/>
          <w:szCs w:val="16"/>
        </w:rPr>
        <w:tab/>
        <w:t>82,3</w:t>
      </w:r>
    </w:p>
    <w:p w14:paraId="372A56F4"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Секретарь обкома ВКП(б) по авиапромышленности Хромов</w:t>
      </w:r>
    </w:p>
    <w:p w14:paraId="6E56AFD2"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ГАНО. Ф. П—4. Оп. 6. Д. 510. Л. 326. Подлинник (20861).</w:t>
      </w:r>
    </w:p>
    <w:p w14:paraId="0EA3FBAF" w14:textId="77777777" w:rsidR="001E4C3E" w:rsidRPr="001E2C69" w:rsidRDefault="001E4C3E" w:rsidP="00722885">
      <w:pPr>
        <w:spacing w:after="0" w:line="240" w:lineRule="auto"/>
        <w:jc w:val="both"/>
        <w:rPr>
          <w:rFonts w:ascii="Times New Roman" w:hAnsi="Times New Roman"/>
          <w:color w:val="000000" w:themeColor="text1"/>
          <w:sz w:val="16"/>
          <w:szCs w:val="16"/>
        </w:rPr>
      </w:pPr>
    </w:p>
    <w:p w14:paraId="21B86639"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августа 1942 г. ИЗ СПРАВКИ СЕКРЕТАРЯ ОБКОМА ВКП(б) ПО АВИАПРОМЫШЛЕННОСТИ И.И. ХРОМОВА</w:t>
      </w:r>
    </w:p>
    <w:p w14:paraId="3A366882"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СЕКРЕТАРЮ НОВОСИБИРСКОГО ОБКОМА ВКП(б) М.В. КУЛАГИНУ О СОСТОЯНИИ ЗАВОДА № 153</w:t>
      </w:r>
    </w:p>
    <w:p w14:paraId="545407DC"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Производственные мощности завода по состоянию на 1 августа 1942 года позволяют выпускать 12 самолетов ежедневно. Однако состояние снабжения завода готовыми агрегатами (моторы, винты, радиоаппараты и дюралевое место для капотов) до последнего времени сдерживало полное использование имеющихся мощностей. Например, в июне месяце на программу в 230 самолетов получено 174 мотора, в июле на программу в 215 самолетов моторы в основном получены к концу месяца.</w:t>
      </w:r>
    </w:p>
    <w:p w14:paraId="36BE6B73"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По обеспеченности рабочей силой на программу текущего месяца завод укомплектован, но для полного развертывания производства к концу 1942 года, рассчитанного на выпуск 16 машин в день, и в связи с мобилизацией в армию 22[-го] и 23[-го] года в основных производственных цехах (№ 8 — капотно-баковый, № 25 - шасси, № 9 - сборочный, № 60 — предварительной сборки фюзеляжа и № 42 — крыльевой) недостает примерно 3 000 человек, на сегодня списочное количество рабочих, ИТР и служащих на заводе 23 000 человек.</w:t>
      </w:r>
    </w:p>
    <w:p w14:paraId="422CDD2A"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Выполнение программы заводом № 153 за 7 месяцев 1942 года:</w:t>
      </w:r>
    </w:p>
    <w:tbl>
      <w:tblPr>
        <w:tblStyle w:val="afffff5"/>
        <w:tblW w:w="0" w:type="auto"/>
        <w:tblLook w:val="04A0" w:firstRow="1" w:lastRow="0" w:firstColumn="1" w:lastColumn="0" w:noHBand="0" w:noVBand="1"/>
      </w:tblPr>
      <w:tblGrid>
        <w:gridCol w:w="1526"/>
        <w:gridCol w:w="1526"/>
        <w:gridCol w:w="1526"/>
        <w:gridCol w:w="1526"/>
        <w:gridCol w:w="1526"/>
        <w:gridCol w:w="1526"/>
        <w:gridCol w:w="1526"/>
      </w:tblGrid>
      <w:tr w:rsidR="00D80E25" w:rsidRPr="008A2E5A" w14:paraId="5E0F0092" w14:textId="77777777" w:rsidTr="004C5D62">
        <w:tc>
          <w:tcPr>
            <w:tcW w:w="1526" w:type="dxa"/>
          </w:tcPr>
          <w:p w14:paraId="4E2D6B8C" w14:textId="77777777" w:rsidR="00D80E25" w:rsidRPr="008A2E5A" w:rsidRDefault="00D80E25" w:rsidP="004C5D62">
            <w:pPr>
              <w:spacing w:after="0" w:line="240" w:lineRule="auto"/>
              <w:jc w:val="both"/>
              <w:rPr>
                <w:color w:val="0070C0"/>
                <w:sz w:val="16"/>
                <w:szCs w:val="16"/>
              </w:rPr>
            </w:pPr>
            <w:r w:rsidRPr="008A2E5A">
              <w:rPr>
                <w:color w:val="0070C0"/>
                <w:sz w:val="16"/>
                <w:szCs w:val="16"/>
              </w:rPr>
              <w:t>Выполнение в процентах:</w:t>
            </w:r>
          </w:p>
        </w:tc>
        <w:tc>
          <w:tcPr>
            <w:tcW w:w="1526" w:type="dxa"/>
          </w:tcPr>
          <w:p w14:paraId="3F83CB27" w14:textId="77777777" w:rsidR="00D80E25" w:rsidRPr="008A2E5A" w:rsidRDefault="00D80E25" w:rsidP="004C5D62">
            <w:pPr>
              <w:spacing w:after="0" w:line="240" w:lineRule="auto"/>
              <w:jc w:val="both"/>
              <w:rPr>
                <w:color w:val="0070C0"/>
                <w:sz w:val="16"/>
                <w:szCs w:val="16"/>
              </w:rPr>
            </w:pPr>
          </w:p>
        </w:tc>
        <w:tc>
          <w:tcPr>
            <w:tcW w:w="1526" w:type="dxa"/>
          </w:tcPr>
          <w:p w14:paraId="3E156338" w14:textId="77777777" w:rsidR="00D80E25" w:rsidRPr="008A2E5A" w:rsidRDefault="00D80E25" w:rsidP="004C5D62">
            <w:pPr>
              <w:spacing w:after="0" w:line="240" w:lineRule="auto"/>
              <w:jc w:val="both"/>
              <w:rPr>
                <w:color w:val="0070C0"/>
                <w:sz w:val="16"/>
                <w:szCs w:val="16"/>
              </w:rPr>
            </w:pPr>
          </w:p>
        </w:tc>
        <w:tc>
          <w:tcPr>
            <w:tcW w:w="1526" w:type="dxa"/>
          </w:tcPr>
          <w:p w14:paraId="558C4332" w14:textId="77777777" w:rsidR="00D80E25" w:rsidRPr="008A2E5A" w:rsidRDefault="00D80E25" w:rsidP="004C5D62">
            <w:pPr>
              <w:spacing w:after="0" w:line="240" w:lineRule="auto"/>
              <w:jc w:val="both"/>
              <w:rPr>
                <w:color w:val="0070C0"/>
                <w:sz w:val="16"/>
                <w:szCs w:val="16"/>
              </w:rPr>
            </w:pPr>
          </w:p>
        </w:tc>
        <w:tc>
          <w:tcPr>
            <w:tcW w:w="1526" w:type="dxa"/>
          </w:tcPr>
          <w:p w14:paraId="00FAA591" w14:textId="77777777" w:rsidR="00D80E25" w:rsidRPr="008A2E5A" w:rsidRDefault="00D80E25" w:rsidP="004C5D62">
            <w:pPr>
              <w:spacing w:after="0" w:line="240" w:lineRule="auto"/>
              <w:jc w:val="both"/>
              <w:rPr>
                <w:color w:val="0070C0"/>
                <w:sz w:val="16"/>
                <w:szCs w:val="16"/>
              </w:rPr>
            </w:pPr>
          </w:p>
        </w:tc>
        <w:tc>
          <w:tcPr>
            <w:tcW w:w="1526" w:type="dxa"/>
          </w:tcPr>
          <w:p w14:paraId="2AAE5B55" w14:textId="77777777" w:rsidR="00D80E25" w:rsidRPr="008A2E5A" w:rsidRDefault="00D80E25" w:rsidP="004C5D62">
            <w:pPr>
              <w:spacing w:after="0" w:line="240" w:lineRule="auto"/>
              <w:jc w:val="both"/>
              <w:rPr>
                <w:color w:val="0070C0"/>
                <w:sz w:val="16"/>
                <w:szCs w:val="16"/>
              </w:rPr>
            </w:pPr>
          </w:p>
        </w:tc>
        <w:tc>
          <w:tcPr>
            <w:tcW w:w="1526" w:type="dxa"/>
          </w:tcPr>
          <w:p w14:paraId="7DF2936F" w14:textId="77777777" w:rsidR="00D80E25" w:rsidRPr="008A2E5A" w:rsidRDefault="00D80E25" w:rsidP="004C5D62">
            <w:pPr>
              <w:spacing w:after="0" w:line="240" w:lineRule="auto"/>
              <w:jc w:val="both"/>
              <w:rPr>
                <w:color w:val="0070C0"/>
                <w:sz w:val="16"/>
                <w:szCs w:val="16"/>
              </w:rPr>
            </w:pPr>
          </w:p>
        </w:tc>
      </w:tr>
      <w:tr w:rsidR="00D80E25" w:rsidRPr="008A2E5A" w14:paraId="253D53C7" w14:textId="77777777" w:rsidTr="004C5D62">
        <w:tc>
          <w:tcPr>
            <w:tcW w:w="1526" w:type="dxa"/>
          </w:tcPr>
          <w:p w14:paraId="0095D136" w14:textId="77777777" w:rsidR="00D80E25" w:rsidRPr="008A2E5A" w:rsidRDefault="00D80E25" w:rsidP="004C5D62">
            <w:pPr>
              <w:spacing w:after="0" w:line="240" w:lineRule="auto"/>
              <w:jc w:val="both"/>
              <w:rPr>
                <w:color w:val="0070C0"/>
                <w:sz w:val="16"/>
                <w:szCs w:val="16"/>
              </w:rPr>
            </w:pPr>
            <w:r w:rsidRPr="008A2E5A">
              <w:rPr>
                <w:color w:val="0070C0"/>
                <w:sz w:val="16"/>
                <w:szCs w:val="16"/>
              </w:rPr>
              <w:t>Январь</w:t>
            </w:r>
          </w:p>
        </w:tc>
        <w:tc>
          <w:tcPr>
            <w:tcW w:w="1526" w:type="dxa"/>
          </w:tcPr>
          <w:p w14:paraId="0E87B4E0" w14:textId="77777777" w:rsidR="00D80E25" w:rsidRPr="008A2E5A" w:rsidRDefault="00D80E25" w:rsidP="004C5D62">
            <w:pPr>
              <w:spacing w:after="0" w:line="240" w:lineRule="auto"/>
              <w:jc w:val="both"/>
              <w:rPr>
                <w:color w:val="0070C0"/>
                <w:sz w:val="16"/>
                <w:szCs w:val="16"/>
              </w:rPr>
            </w:pPr>
            <w:r w:rsidRPr="008A2E5A">
              <w:rPr>
                <w:color w:val="0070C0"/>
                <w:sz w:val="16"/>
                <w:szCs w:val="16"/>
              </w:rPr>
              <w:t>Февраль</w:t>
            </w:r>
          </w:p>
        </w:tc>
        <w:tc>
          <w:tcPr>
            <w:tcW w:w="1526" w:type="dxa"/>
          </w:tcPr>
          <w:p w14:paraId="0732A7F5" w14:textId="77777777" w:rsidR="00D80E25" w:rsidRPr="008A2E5A" w:rsidRDefault="00D80E25" w:rsidP="004C5D62">
            <w:pPr>
              <w:spacing w:after="0" w:line="240" w:lineRule="auto"/>
              <w:jc w:val="both"/>
              <w:rPr>
                <w:color w:val="0070C0"/>
                <w:sz w:val="16"/>
                <w:szCs w:val="16"/>
              </w:rPr>
            </w:pPr>
            <w:r w:rsidRPr="008A2E5A">
              <w:rPr>
                <w:color w:val="0070C0"/>
                <w:sz w:val="16"/>
                <w:szCs w:val="16"/>
              </w:rPr>
              <w:t>Март</w:t>
            </w:r>
          </w:p>
        </w:tc>
        <w:tc>
          <w:tcPr>
            <w:tcW w:w="1526" w:type="dxa"/>
          </w:tcPr>
          <w:p w14:paraId="3D6211EC" w14:textId="77777777" w:rsidR="00D80E25" w:rsidRPr="008A2E5A" w:rsidRDefault="00D80E25" w:rsidP="004C5D62">
            <w:pPr>
              <w:spacing w:after="0" w:line="240" w:lineRule="auto"/>
              <w:jc w:val="both"/>
              <w:rPr>
                <w:color w:val="0070C0"/>
                <w:sz w:val="16"/>
                <w:szCs w:val="16"/>
              </w:rPr>
            </w:pPr>
            <w:r w:rsidRPr="008A2E5A">
              <w:rPr>
                <w:color w:val="0070C0"/>
                <w:sz w:val="16"/>
                <w:szCs w:val="16"/>
              </w:rPr>
              <w:t>Апрель</w:t>
            </w:r>
          </w:p>
        </w:tc>
        <w:tc>
          <w:tcPr>
            <w:tcW w:w="1526" w:type="dxa"/>
          </w:tcPr>
          <w:p w14:paraId="7656577F" w14:textId="77777777" w:rsidR="00D80E25" w:rsidRPr="008A2E5A" w:rsidRDefault="00D80E25" w:rsidP="004C5D62">
            <w:pPr>
              <w:spacing w:after="0" w:line="240" w:lineRule="auto"/>
              <w:jc w:val="both"/>
              <w:rPr>
                <w:color w:val="0070C0"/>
                <w:sz w:val="16"/>
                <w:szCs w:val="16"/>
              </w:rPr>
            </w:pPr>
            <w:r w:rsidRPr="008A2E5A">
              <w:rPr>
                <w:color w:val="0070C0"/>
                <w:sz w:val="16"/>
                <w:szCs w:val="16"/>
              </w:rPr>
              <w:t>Май</w:t>
            </w:r>
          </w:p>
        </w:tc>
        <w:tc>
          <w:tcPr>
            <w:tcW w:w="1526" w:type="dxa"/>
          </w:tcPr>
          <w:p w14:paraId="696793AD" w14:textId="77777777" w:rsidR="00D80E25" w:rsidRPr="008A2E5A" w:rsidRDefault="00D80E25" w:rsidP="004C5D62">
            <w:pPr>
              <w:spacing w:after="0" w:line="240" w:lineRule="auto"/>
              <w:jc w:val="both"/>
              <w:rPr>
                <w:color w:val="0070C0"/>
                <w:sz w:val="16"/>
                <w:szCs w:val="16"/>
              </w:rPr>
            </w:pPr>
            <w:r w:rsidRPr="008A2E5A">
              <w:rPr>
                <w:color w:val="0070C0"/>
                <w:sz w:val="16"/>
                <w:szCs w:val="16"/>
              </w:rPr>
              <w:t>Июнь</w:t>
            </w:r>
          </w:p>
        </w:tc>
        <w:tc>
          <w:tcPr>
            <w:tcW w:w="1526" w:type="dxa"/>
          </w:tcPr>
          <w:p w14:paraId="45994D75" w14:textId="77777777" w:rsidR="00D80E25" w:rsidRPr="008A2E5A" w:rsidRDefault="00D80E25" w:rsidP="004C5D62">
            <w:pPr>
              <w:spacing w:after="0" w:line="240" w:lineRule="auto"/>
              <w:jc w:val="both"/>
              <w:rPr>
                <w:color w:val="0070C0"/>
                <w:sz w:val="16"/>
                <w:szCs w:val="16"/>
              </w:rPr>
            </w:pPr>
            <w:r w:rsidRPr="008A2E5A">
              <w:rPr>
                <w:color w:val="0070C0"/>
                <w:sz w:val="16"/>
                <w:szCs w:val="16"/>
              </w:rPr>
              <w:t>Июль</w:t>
            </w:r>
          </w:p>
        </w:tc>
      </w:tr>
      <w:tr w:rsidR="00D80E25" w:rsidRPr="008A2E5A" w14:paraId="59EB3714" w14:textId="77777777" w:rsidTr="004C5D62">
        <w:tc>
          <w:tcPr>
            <w:tcW w:w="1526" w:type="dxa"/>
          </w:tcPr>
          <w:p w14:paraId="3CC3BDB4" w14:textId="77777777" w:rsidR="00D80E25" w:rsidRPr="008A2E5A" w:rsidRDefault="00D80E25" w:rsidP="004C5D62">
            <w:pPr>
              <w:spacing w:after="0" w:line="240" w:lineRule="auto"/>
              <w:jc w:val="both"/>
              <w:rPr>
                <w:color w:val="0070C0"/>
                <w:sz w:val="16"/>
                <w:szCs w:val="16"/>
              </w:rPr>
            </w:pPr>
            <w:r w:rsidRPr="008A2E5A">
              <w:rPr>
                <w:color w:val="0070C0"/>
                <w:sz w:val="16"/>
                <w:szCs w:val="16"/>
              </w:rPr>
              <w:t>100</w:t>
            </w:r>
          </w:p>
        </w:tc>
        <w:tc>
          <w:tcPr>
            <w:tcW w:w="1526" w:type="dxa"/>
          </w:tcPr>
          <w:p w14:paraId="3C517603" w14:textId="77777777" w:rsidR="00D80E25" w:rsidRPr="008A2E5A" w:rsidRDefault="00D80E25" w:rsidP="004C5D62">
            <w:pPr>
              <w:spacing w:after="0" w:line="240" w:lineRule="auto"/>
              <w:jc w:val="both"/>
              <w:rPr>
                <w:color w:val="0070C0"/>
                <w:sz w:val="16"/>
                <w:szCs w:val="16"/>
              </w:rPr>
            </w:pPr>
            <w:r w:rsidRPr="008A2E5A">
              <w:rPr>
                <w:color w:val="0070C0"/>
                <w:sz w:val="16"/>
                <w:szCs w:val="16"/>
              </w:rPr>
              <w:t>100</w:t>
            </w:r>
          </w:p>
        </w:tc>
        <w:tc>
          <w:tcPr>
            <w:tcW w:w="1526" w:type="dxa"/>
          </w:tcPr>
          <w:p w14:paraId="1C291FD8" w14:textId="77777777" w:rsidR="00D80E25" w:rsidRPr="008A2E5A" w:rsidRDefault="00D80E25" w:rsidP="004C5D62">
            <w:pPr>
              <w:spacing w:after="0" w:line="240" w:lineRule="auto"/>
              <w:jc w:val="both"/>
              <w:rPr>
                <w:color w:val="0070C0"/>
                <w:sz w:val="16"/>
                <w:szCs w:val="16"/>
              </w:rPr>
            </w:pPr>
            <w:r w:rsidRPr="008A2E5A">
              <w:rPr>
                <w:color w:val="0070C0"/>
                <w:sz w:val="16"/>
                <w:szCs w:val="16"/>
              </w:rPr>
              <w:t>100</w:t>
            </w:r>
          </w:p>
        </w:tc>
        <w:tc>
          <w:tcPr>
            <w:tcW w:w="1526" w:type="dxa"/>
          </w:tcPr>
          <w:p w14:paraId="70B75145" w14:textId="77777777" w:rsidR="00D80E25" w:rsidRPr="008A2E5A" w:rsidRDefault="00D80E25" w:rsidP="004C5D62">
            <w:pPr>
              <w:spacing w:after="0" w:line="240" w:lineRule="auto"/>
              <w:jc w:val="both"/>
              <w:rPr>
                <w:color w:val="0070C0"/>
                <w:sz w:val="16"/>
                <w:szCs w:val="16"/>
              </w:rPr>
            </w:pPr>
            <w:r w:rsidRPr="008A2E5A">
              <w:rPr>
                <w:color w:val="0070C0"/>
                <w:sz w:val="16"/>
                <w:szCs w:val="16"/>
              </w:rPr>
              <w:t>62</w:t>
            </w:r>
          </w:p>
        </w:tc>
        <w:tc>
          <w:tcPr>
            <w:tcW w:w="1526" w:type="dxa"/>
          </w:tcPr>
          <w:p w14:paraId="43B5BFEC" w14:textId="77777777" w:rsidR="00D80E25" w:rsidRPr="008A2E5A" w:rsidRDefault="00D80E25" w:rsidP="004C5D62">
            <w:pPr>
              <w:spacing w:after="0" w:line="240" w:lineRule="auto"/>
              <w:jc w:val="both"/>
              <w:rPr>
                <w:color w:val="0070C0"/>
                <w:sz w:val="16"/>
                <w:szCs w:val="16"/>
              </w:rPr>
            </w:pPr>
            <w:r w:rsidRPr="008A2E5A">
              <w:rPr>
                <w:color w:val="0070C0"/>
                <w:sz w:val="16"/>
                <w:szCs w:val="16"/>
              </w:rPr>
              <w:t>106</w:t>
            </w:r>
          </w:p>
        </w:tc>
        <w:tc>
          <w:tcPr>
            <w:tcW w:w="1526" w:type="dxa"/>
          </w:tcPr>
          <w:p w14:paraId="2E90A451" w14:textId="77777777" w:rsidR="00D80E25" w:rsidRPr="008A2E5A" w:rsidRDefault="00D80E25" w:rsidP="004C5D62">
            <w:pPr>
              <w:spacing w:after="0" w:line="240" w:lineRule="auto"/>
              <w:jc w:val="both"/>
              <w:rPr>
                <w:color w:val="0070C0"/>
                <w:sz w:val="16"/>
                <w:szCs w:val="16"/>
              </w:rPr>
            </w:pPr>
            <w:r w:rsidRPr="008A2E5A">
              <w:rPr>
                <w:color w:val="0070C0"/>
                <w:sz w:val="16"/>
                <w:szCs w:val="16"/>
              </w:rPr>
              <w:t>76</w:t>
            </w:r>
          </w:p>
        </w:tc>
        <w:tc>
          <w:tcPr>
            <w:tcW w:w="1526" w:type="dxa"/>
          </w:tcPr>
          <w:p w14:paraId="7DFC7A42" w14:textId="77777777" w:rsidR="00D80E25" w:rsidRPr="008A2E5A" w:rsidRDefault="00D80E25" w:rsidP="004C5D62">
            <w:pPr>
              <w:spacing w:after="0" w:line="240" w:lineRule="auto"/>
              <w:jc w:val="both"/>
              <w:rPr>
                <w:color w:val="0070C0"/>
                <w:sz w:val="16"/>
                <w:szCs w:val="16"/>
              </w:rPr>
            </w:pPr>
            <w:r w:rsidRPr="008A2E5A">
              <w:rPr>
                <w:color w:val="0070C0"/>
                <w:sz w:val="16"/>
                <w:szCs w:val="16"/>
              </w:rPr>
              <w:t>82,3</w:t>
            </w:r>
          </w:p>
        </w:tc>
      </w:tr>
    </w:tbl>
    <w:p w14:paraId="2FACD2E8"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Секретарь обкома ВКП(б) по авиапромышленности Хромов</w:t>
      </w:r>
    </w:p>
    <w:p w14:paraId="1423E38D"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ГАНО. Ф. П—4. Оп. 6. Д. 510. Л. 326. Подлинник (24035).</w:t>
      </w:r>
    </w:p>
    <w:p w14:paraId="3FDD66D3" w14:textId="77777777" w:rsidR="00D80E25" w:rsidRPr="008A2E5A" w:rsidRDefault="00D80E25" w:rsidP="00D80E25">
      <w:pPr>
        <w:spacing w:after="0" w:line="240" w:lineRule="auto"/>
        <w:jc w:val="both"/>
        <w:rPr>
          <w:rFonts w:ascii="Times New Roman" w:hAnsi="Times New Roman"/>
          <w:color w:val="0070C0"/>
          <w:sz w:val="16"/>
          <w:szCs w:val="16"/>
        </w:rPr>
      </w:pPr>
    </w:p>
    <w:p w14:paraId="23F1520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августа 1942 завод 293 выпустил второй БИ- БИ-2 с Д-1-А-1100, изготовленным в 1941 (2928,16).</w:t>
      </w:r>
    </w:p>
    <w:p w14:paraId="7BE417D3" w14:textId="77777777" w:rsidR="00AE7191" w:rsidRPr="001E2C69" w:rsidRDefault="00AE7191" w:rsidP="00722885">
      <w:pPr>
        <w:pStyle w:val="Iauiue"/>
        <w:jc w:val="both"/>
        <w:rPr>
          <w:color w:val="000000" w:themeColor="text1"/>
          <w:sz w:val="16"/>
          <w:szCs w:val="16"/>
        </w:rPr>
      </w:pPr>
    </w:p>
    <w:p w14:paraId="7872F89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августа 1942 на аэродроме НИИ ВВС Кольцово под Свердловском начались совместные гос. и заводские испытания БИ конструкции Болховитинова производства завода 293 с ЖРД Д-1-А-1100 конструкции НИИ-3. Это были испытания БИ-2 и БИ-3, которые летали 11 и 12 января и 11 и 14 марта (БИ-2) и 21 и 27 марта (БИ-3). 10/11 июня 1943 Зам. Командующего ВВС и НКАП утвердили акт N 837 и отчет (2928,16).</w:t>
      </w:r>
    </w:p>
    <w:p w14:paraId="6DB73A94" w14:textId="77777777" w:rsidR="00AE7191" w:rsidRPr="001E2C69" w:rsidRDefault="00AE7191" w:rsidP="00722885">
      <w:pPr>
        <w:pStyle w:val="Iauiue"/>
        <w:jc w:val="both"/>
        <w:rPr>
          <w:color w:val="000000" w:themeColor="text1"/>
          <w:sz w:val="16"/>
          <w:szCs w:val="16"/>
        </w:rPr>
      </w:pPr>
    </w:p>
    <w:p w14:paraId="294F2080" w14:textId="77777777" w:rsidR="00FA00A4"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5B9E9528" w14:textId="77777777" w:rsidR="00FA00A4" w:rsidRPr="001E2C69" w:rsidRDefault="00FA00A4" w:rsidP="00722885">
      <w:pPr>
        <w:pStyle w:val="Iauiue"/>
        <w:jc w:val="both"/>
        <w:rPr>
          <w:iCs/>
          <w:color w:val="000000" w:themeColor="text1"/>
          <w:sz w:val="16"/>
          <w:szCs w:val="16"/>
        </w:rPr>
      </w:pPr>
    </w:p>
    <w:p w14:paraId="6DCD0462" w14:textId="77777777" w:rsidR="00FA00A4" w:rsidRPr="001E2C69" w:rsidRDefault="00FA00A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августа в 1942 году утреннее сообщение Совинформбюро:</w:t>
      </w:r>
    </w:p>
    <w:p w14:paraId="6D2E102C" w14:textId="77777777" w:rsidR="00FA00A4" w:rsidRPr="001E2C69" w:rsidRDefault="00FA00A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2 августа наши войска вели бои с противником в районах Клетская, Цымлянская, Кущевская, Сальск.</w:t>
      </w:r>
    </w:p>
    <w:p w14:paraId="1B2F4978" w14:textId="77777777" w:rsidR="00FA00A4" w:rsidRPr="001E2C69" w:rsidRDefault="00FA00A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00224036" w14:textId="77777777" w:rsidR="00FA00A4" w:rsidRPr="001E2C69" w:rsidRDefault="00FA00A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и южнее этого пункта наши войска продолжали вести ожесточённые бои против немецко-фашистских войск. Одна наша рота была атакована 20 танками и усиленным батальоном немецкой пехоты. Наши бойцы пропустили танки, а затем открыли ураганный огонь по пехоте противника и истребили свыше 300 солдат и офицеров. Остальные гитлеровцы в беспорядке отступили. В это время находившиеся в засаде наши танкисты внезапно ударили по прорвавшимся вперёд немецким танкам. В результате боя уничтожено 11 танков противника.</w:t>
      </w:r>
    </w:p>
    <w:p w14:paraId="3D061343" w14:textId="77777777" w:rsidR="00FA00A4" w:rsidRPr="001E2C69" w:rsidRDefault="00FA00A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Цымлянской продолжались бои с переправившейся через Дон группировкой противника. Наше соединение за несколько дней уничтожило до 4.000 гитлеровцев, 10 орудий, 30 миномётов и другое вооружение. Советские воины самоотверженно борются с врагом. Взвод лейтенанта Трусова отбил 5 атак немцев и уничтожил до 200 солдат и офицеров противника. Миномётчик тов. Варюхин истребил 80 гитлеровцев и уничтожил 7 автомашин, 8 пулемётов и миномётную батарею.</w:t>
      </w:r>
    </w:p>
    <w:p w14:paraId="2D1DBB4C" w14:textId="77777777" w:rsidR="00FA00A4" w:rsidRPr="001E2C69" w:rsidRDefault="00FA00A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Противник всё чаще прибегает к коварным приёмам. На фланге подразделения тов. Марцевича появилась группа гитлеровцев, переодетых в красноармейскую форму. Они делали вид, что стреляют по наступающим немецким частям, и в то же время заходили в тыл нашим бойцам. Тов. Марцевич с группой бойцов открыл огонь по переодетым гитлеровцам и тем самым сорвал подлую попытку врага проникнуть в тыл нашей части.</w:t>
      </w:r>
    </w:p>
    <w:p w14:paraId="68A71F2F" w14:textId="77777777" w:rsidR="00FA00A4" w:rsidRPr="001E2C69" w:rsidRDefault="00FA00A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районах Кущевской и Сальска наши войска вели тяжёлые бои с наступающими войсками противника. В районе Кущевской одно наше соединение, организовав чёткое взаимодействие всех родов войск, нанесло немцам большой урон. Лишь одна часть этого соединения за три дня оборонительных боёв уничтожила 1.800 гитлеровцев, 5 танков, 18 орудий. 25 миномётов и много другого вооружения. В районе Сальска противник вклинился в глубину нашей обороны. Продолжаются упорные бои, часто переходящие в рукопашные схватки.</w:t>
      </w:r>
    </w:p>
    <w:p w14:paraId="6E644056" w14:textId="77777777" w:rsidR="00FA00A4" w:rsidRPr="001E2C69" w:rsidRDefault="00FA00A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Северо-Западном фронте происходили бои местного значения. На одном из участков противнику удалось проникнуть в лес, расположенный у важного укреплённого пункта. Бойцы под командованием тт. Яковлева и Ревенко в ночном бою очистили лес от немцев и продолжали теснить их на юго-запад. Расчёт зенитного орудия сержанта Мирончука в течение суток сбил 3 самолёта противника. Расчёты орудий старшего сержанта Романова и сержанта Васильева совместно сбили 3 немецких транспортных самолёта.</w:t>
      </w:r>
    </w:p>
    <w:p w14:paraId="17052386" w14:textId="77777777" w:rsidR="00FA00A4" w:rsidRPr="001E2C69" w:rsidRDefault="00FA00A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Карело-финский партизанский отряд «Боевой клич», действующий в тылу противника, за последние дни уничтожил 7 автомашин с разным грузом, автомашину с зенитной установкой и танкетку. Партизаны взорвали артиллерийский склад и в нескольких пунктах уничтожили телефонно-телеграфную связь.</w:t>
      </w:r>
    </w:p>
    <w:p w14:paraId="3B307DF5" w14:textId="77777777" w:rsidR="00FA00A4" w:rsidRPr="001E2C69" w:rsidRDefault="00FA00A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захватчики превращают население оккупированных ими советских районов в бесправных рабов. В селе Русановка, Житомирской области, гитлеровцы приказали крестьянам свезти половину снопов со своих участков новоявленному немецкому помещику Краузе. 12 крестьян, не выполнивших этого распоряжения, были расстреляны. Немецкие власти обязали население окрестных деревень 5 дней в неделю бесплатно работать на помещика. За малейшее неповиновение колхозники подвергаются жестокой порке. Недавно немецкие рабовладельцы согнали всех жителей села на площадь и заставили их присутствовать при порке 8 женщин и девушек. Палачи раздели беззащитных женщин и били их плётками до потери сознания. Колхозница Екатерина Кондиенко не выдержала пыток и умерла.</w:t>
      </w:r>
    </w:p>
    <w:p w14:paraId="4E5CF546" w14:textId="77777777" w:rsidR="00FA00A4" w:rsidRPr="001E2C69" w:rsidRDefault="00FA00A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Колхозы Туркмении приступили к сдаче зерна государству. Колхозники артелей «Комсомол», имени Жданова, «Социализм» и многие колхозы Каахкинского и Ашхабадского районов уже выполнили свои обязательства перед государством.» (14971).</w:t>
      </w:r>
    </w:p>
    <w:p w14:paraId="5F3A4D07" w14:textId="77777777" w:rsidR="00FA00A4" w:rsidRPr="001E2C69" w:rsidRDefault="00FA00A4" w:rsidP="00722885">
      <w:pPr>
        <w:spacing w:after="0" w:line="240" w:lineRule="auto"/>
        <w:jc w:val="both"/>
        <w:rPr>
          <w:rFonts w:ascii="Times New Roman" w:hAnsi="Times New Roman"/>
          <w:color w:val="000000" w:themeColor="text1"/>
          <w:sz w:val="16"/>
          <w:szCs w:val="16"/>
        </w:rPr>
      </w:pPr>
    </w:p>
    <w:p w14:paraId="5AA9F423" w14:textId="77777777" w:rsidR="00FA00A4" w:rsidRPr="001E2C69" w:rsidRDefault="00FA00A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августа в 1942 году вечернее сообщение Совинформбюро:</w:t>
      </w:r>
    </w:p>
    <w:p w14:paraId="4507C073" w14:textId="77777777" w:rsidR="00FA00A4" w:rsidRPr="001E2C69" w:rsidRDefault="00FA00A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2 августа наши войска вели ожесточённые бои в районах Клетская, Цымлянская, Кущевская, Сальск.</w:t>
      </w:r>
    </w:p>
    <w:p w14:paraId="556EDE88" w14:textId="77777777" w:rsidR="00FA00A4" w:rsidRPr="001E2C69" w:rsidRDefault="00FA00A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 За истекшую неделю, с 26 июля по 1 августа включительно, в воздушных боях, на аэродромах и огнём зенитной артиллерии уничтожено 286 немецких самолётов. Наши потери — 201 самолёт.</w:t>
      </w:r>
    </w:p>
    <w:p w14:paraId="195BF0AF" w14:textId="77777777" w:rsidR="00FA00A4" w:rsidRPr="001E2C69" w:rsidRDefault="00FA00A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1 августа частями нашей авиации на различных участках фронта уничтожено или повреждено 38 немецких танков, 300 автомашин с войсками и грузами, 40 повозок с боеприпасами, 3 автоцистерны с горючим, взорван склад боеприпасов, подавлен огонь 11 батарей полевой и зенитной артиллерии, разбито 2 железнодорожных состава, потоплен транспорт водоизмещением в 6.000 тонн, рассеяно и частью уничтожено до четырёх батальонов пехоты противника.</w:t>
      </w:r>
    </w:p>
    <w:p w14:paraId="772D24EA" w14:textId="77777777" w:rsidR="00FA00A4" w:rsidRPr="001E2C69" w:rsidRDefault="00FA00A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В районе Клетской наши войска отбивают атаки немцев и контрударами наносят им большой урон в людях и технике. Н-ская танковая часть отбросила продвинувшиеся вперёд танки и пехоту противника и уничтожила 7 немецких танков, 16 противотанковых орудий и не менее 400 гитлеровцев. Южнее Клетской немецким отрядам удалось просочиться на фланги одной нашей части. Однако бойцы не дрогнули и продолжали стойко отбивать атаки врага. Специально выделенные подразделения в это же время уничтожили прорвавшихся в глубину обороны гитлеровцев. Всего за день на этом участке немцы потеряли убитыми и ранеными свыше 900 солдат и офицеров. На поле боя осталось 8 подбитых и 11 сожжённых танков противника.</w:t>
      </w:r>
    </w:p>
    <w:p w14:paraId="19EE1FD1" w14:textId="77777777" w:rsidR="00FA00A4" w:rsidRPr="001E2C69" w:rsidRDefault="00FA00A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Цымлянской наши войска вели бои против группировки немецко-фашистских войск, переправившейся на южный берег Дона. На одном из участков пехота противника при поддержке танков атаковала наши позиции. Атака гитлеровцев была отбита. В результате боя немцы потеряли 6 танков и до 300 солдат и офицеров.</w:t>
      </w:r>
    </w:p>
    <w:p w14:paraId="5F4763AD" w14:textId="77777777" w:rsidR="00FA00A4" w:rsidRPr="001E2C69" w:rsidRDefault="00FA00A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Кущевской отбито несколько ожесточённых атак вражеских танков и пехоты. Немцы потеряли 8 танков, 11 орудий, 23 пулемёта, 17 автомашин и до 700 солдат и офицеров. Часть донских казаков совершила внезапный налёт на немецкую колонну и изрубила около 300 гитлеровцев. Наша авиация произвела ряд успешных налётов на боевые порядки и переправы противника. В районе Сальска артиллерийским и миномётным огнём уничтожено 12 немецких танков. Зенитной артиллерией сбито 3 пикирующих бомбардировщика противника.</w:t>
      </w:r>
    </w:p>
    <w:p w14:paraId="50C7BA04" w14:textId="77777777" w:rsidR="00FA00A4" w:rsidRPr="001E2C69" w:rsidRDefault="00FA00A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происходили отдельные столкновения с противником. Одна наша часть, действующая на западном берегу Дона, была атакована венгерской бригадой. Завязался ожесточённый бой. Противник трижды переходил в атаку, но, понеся большие потери, вынужден был отступить. На другом участке бойцы Н-ской части отразили две атаки противника и истребили свыше батальона гитлеровцев.</w:t>
      </w:r>
    </w:p>
    <w:p w14:paraId="193800F3" w14:textId="77777777" w:rsidR="00FA00A4" w:rsidRPr="001E2C69" w:rsidRDefault="00FA00A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Шесть ленинградских партизанских отрядов, ведущих совместную борьбу против немецко-фашистских захватчиков, за 25 дней июля истребили свыше 2 тысячгитлеровцев. Партизаны уничтожили 4 немецких танка, 24 подводы с грузами, взорвали 5 складов и пустили под откос 15 поездов. Разбито более 400 вагонов иплатформ с войсками и военными грузами.</w:t>
      </w:r>
    </w:p>
    <w:p w14:paraId="1489276C" w14:textId="77777777" w:rsidR="00FA00A4" w:rsidRPr="001E2C69" w:rsidRDefault="00FA00A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Сдавшийся добровольно в плен солдат 25 немецкой танковой дивизии Франц К. рассказал: «В январе 1942 года я был призван в армию и направлен в Париж, в строительный батальон. В мае нас выделили в особую команду № 39 и послали на секретное строительство. Первое время мы даже не знали, где работаем. В этом районе всё время курсировали десятки машин. Нас часто перебрасывали с места наместо. Создавалось впечатление, что идёт грандиозное строительство. На самом деле даже те объекты, которые были начаты строительством, не были закончены. Впоследнее время мы устанавливали макеты орудий и самолётов, строили ложные ДОТ'ы и другие сооружения. В середине июня нашу и многие другие строительные команды расформировали и отправили на Восточный фронт».</w:t>
      </w:r>
    </w:p>
    <w:p w14:paraId="6CBA161A" w14:textId="77777777" w:rsidR="00FA00A4" w:rsidRPr="001E2C69" w:rsidRDefault="00FA00A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Немецкие оккупационные власти согнали в Сен-Мало (Франция) более 500 жителей для отправки в Германию на принудительные работы. На вокзале французы потребовали распустить их по домам. Прибывший на место происшествия немецкийотряд ландвера (ополченцы в возрасте старше 45 лет) был встречен градом камней. 11 гитлеровцев были убиты и ранены. Французские рабочие разбежались.» (14971).</w:t>
      </w:r>
    </w:p>
    <w:p w14:paraId="39EEC24E" w14:textId="77777777" w:rsidR="00FA00A4" w:rsidRPr="001E2C69" w:rsidRDefault="00FA00A4" w:rsidP="00722885">
      <w:pPr>
        <w:spacing w:after="0" w:line="240" w:lineRule="auto"/>
        <w:jc w:val="both"/>
        <w:rPr>
          <w:rFonts w:ascii="Times New Roman" w:hAnsi="Times New Roman"/>
          <w:color w:val="000000" w:themeColor="text1"/>
          <w:sz w:val="16"/>
          <w:szCs w:val="16"/>
        </w:rPr>
      </w:pPr>
    </w:p>
    <w:p w14:paraId="17A102AE" w14:textId="77777777" w:rsidR="00FA00A4" w:rsidRPr="001E2C69" w:rsidRDefault="00FA00A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августа в 1942 году части 4-й немецкой танковой армии (31 июля переброшены с кавказского на сталинградское направление) вышли в район Котельниковский и оккупировали город. Началась эвакуация военно-морских баз Азовской военной флотилии и вывод судов через Керченский пролив в Черное море (14971).</w:t>
      </w:r>
    </w:p>
    <w:p w14:paraId="16F0869C" w14:textId="77777777" w:rsidR="00FA00A4" w:rsidRPr="001E2C69" w:rsidRDefault="00FA00A4" w:rsidP="00722885">
      <w:pPr>
        <w:spacing w:after="0" w:line="240" w:lineRule="auto"/>
        <w:jc w:val="both"/>
        <w:rPr>
          <w:rFonts w:ascii="Times New Roman" w:hAnsi="Times New Roman"/>
          <w:color w:val="000000" w:themeColor="text1"/>
          <w:sz w:val="16"/>
          <w:szCs w:val="16"/>
        </w:rPr>
      </w:pPr>
    </w:p>
    <w:p w14:paraId="2468C765" w14:textId="77777777" w:rsidR="00FA00A4"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62B6346C" w14:textId="77777777" w:rsidR="00FA00A4" w:rsidRPr="001E2C69" w:rsidRDefault="00FA00A4" w:rsidP="00722885">
      <w:pPr>
        <w:pStyle w:val="Iauiue"/>
        <w:jc w:val="both"/>
        <w:rPr>
          <w:iCs/>
          <w:color w:val="000000" w:themeColor="text1"/>
          <w:sz w:val="16"/>
          <w:szCs w:val="16"/>
        </w:rPr>
      </w:pPr>
    </w:p>
    <w:p w14:paraId="0305FF0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августа 1942 вышло Постановление ГКО № 2134 О мероприятиях по увеличению выпуска самолетов истребителей и штурмовиков заводами НКАП. РГАНИР, Фонд ГКО, д. 48, лл. 171-173 (11012).</w:t>
      </w:r>
    </w:p>
    <w:p w14:paraId="1816A48A"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7B2FD8E"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августа 1942 вышло Постановление ГКО № 2134 О мероприятиях по увеличению выпуска самолетов истребителей и штурмовиков заводами НКАП</w:t>
      </w:r>
    </w:p>
    <w:p w14:paraId="68B5FCA3"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целях увеличения выпуска самолетов истребителей и штурмовиков заводами НКАП, Государственный Комитет Обороны обязывает Наркомат Авиационной Промышленности провести сле</w:t>
      </w:r>
      <w:r w:rsidRPr="001E2C69">
        <w:rPr>
          <w:rFonts w:ascii="Times New Roman" w:hAnsi="Times New Roman"/>
          <w:color w:val="000000" w:themeColor="text1"/>
          <w:sz w:val="16"/>
          <w:szCs w:val="16"/>
        </w:rPr>
        <w:softHyphen/>
        <w:t>дующие мероприятия:</w:t>
      </w:r>
    </w:p>
    <w:p w14:paraId="28A9E111"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заводу № 26 (Уфа)</w:t>
      </w:r>
    </w:p>
    <w:p w14:paraId="182C1994" w14:textId="77777777" w:rsidR="0044627C" w:rsidRPr="001E2C69" w:rsidRDefault="0044627C" w:rsidP="00722885">
      <w:pPr>
        <w:tabs>
          <w:tab w:val="left" w:pos="1123"/>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 Освободить полностью, начиная с 5-го августа с.г., Уфимский гавод № 26 от производства моторов </w:t>
      </w:r>
      <w:r w:rsidRPr="001E2C69">
        <w:rPr>
          <w:rStyle w:val="0pt"/>
          <w:rFonts w:ascii="Times New Roman" w:hAnsi="Times New Roman" w:cs="Times New Roman"/>
          <w:color w:val="000000" w:themeColor="text1"/>
          <w:spacing w:val="0"/>
          <w:sz w:val="16"/>
          <w:szCs w:val="16"/>
        </w:rPr>
        <w:t>М-105Р</w:t>
      </w:r>
      <w:r w:rsidRPr="001E2C69">
        <w:rPr>
          <w:rFonts w:ascii="Times New Roman" w:hAnsi="Times New Roman"/>
          <w:color w:val="000000" w:themeColor="text1"/>
          <w:sz w:val="16"/>
          <w:szCs w:val="16"/>
        </w:rPr>
        <w:t xml:space="preserve"> к выпускать только пушечные моторы </w:t>
      </w:r>
      <w:r w:rsidRPr="001E2C69">
        <w:rPr>
          <w:rStyle w:val="0pt"/>
          <w:rFonts w:ascii="Times New Roman" w:hAnsi="Times New Roman" w:cs="Times New Roman"/>
          <w:color w:val="000000" w:themeColor="text1"/>
          <w:spacing w:val="0"/>
          <w:sz w:val="16"/>
          <w:szCs w:val="16"/>
        </w:rPr>
        <w:t>М-105</w:t>
      </w:r>
      <w:r w:rsidRPr="001E2C69">
        <w:rPr>
          <w:rStyle w:val="0pt"/>
          <w:rFonts w:ascii="Times New Roman" w:eastAsia="Calibri" w:hAnsi="Times New Roman" w:cs="Times New Roman"/>
          <w:color w:val="000000" w:themeColor="text1"/>
          <w:spacing w:val="0"/>
          <w:sz w:val="16"/>
          <w:szCs w:val="16"/>
        </w:rPr>
        <w:t>ПФ</w:t>
      </w:r>
      <w:r w:rsidRPr="001E2C69">
        <w:rPr>
          <w:rFonts w:ascii="Times New Roman" w:hAnsi="Times New Roman"/>
          <w:color w:val="000000" w:themeColor="text1"/>
          <w:sz w:val="16"/>
          <w:szCs w:val="16"/>
        </w:rPr>
        <w:t xml:space="preserve"> для истребителей.</w:t>
      </w:r>
    </w:p>
    <w:p w14:paraId="6EDDF26B" w14:textId="77777777" w:rsidR="0044627C" w:rsidRPr="001E2C69" w:rsidRDefault="0044627C" w:rsidP="00722885">
      <w:pPr>
        <w:tabs>
          <w:tab w:val="left" w:pos="1115"/>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Обяэать Заместителя Наркома и директора завода № 26 тов.Баландина:</w:t>
      </w:r>
    </w:p>
    <w:p w14:paraId="53A9E0CA" w14:textId="77777777" w:rsidR="0044627C" w:rsidRPr="001E2C69" w:rsidRDefault="0044627C" w:rsidP="00722885">
      <w:pPr>
        <w:tabs>
          <w:tab w:val="left" w:pos="1115"/>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а) обеспечить выпуск в августе месяце </w:t>
      </w:r>
      <w:r w:rsidRPr="001E2C69">
        <w:rPr>
          <w:rStyle w:val="0pt"/>
          <w:rFonts w:ascii="Times New Roman" w:hAnsi="Times New Roman" w:cs="Times New Roman"/>
          <w:color w:val="000000" w:themeColor="text1"/>
          <w:spacing w:val="0"/>
          <w:sz w:val="16"/>
          <w:szCs w:val="16"/>
        </w:rPr>
        <w:t>1942</w:t>
      </w:r>
      <w:r w:rsidRPr="001E2C69">
        <w:rPr>
          <w:rFonts w:ascii="Times New Roman" w:hAnsi="Times New Roman"/>
          <w:color w:val="000000" w:themeColor="text1"/>
          <w:sz w:val="16"/>
          <w:szCs w:val="16"/>
        </w:rPr>
        <w:t xml:space="preserve"> года 1130 мо</w:t>
      </w:r>
      <w:r w:rsidRPr="001E2C69">
        <w:rPr>
          <w:rFonts w:ascii="Times New Roman" w:hAnsi="Times New Roman"/>
          <w:color w:val="000000" w:themeColor="text1"/>
          <w:sz w:val="16"/>
          <w:szCs w:val="16"/>
        </w:rPr>
        <w:softHyphen/>
        <w:t xml:space="preserve">торов </w:t>
      </w:r>
      <w:r w:rsidRPr="001E2C69">
        <w:rPr>
          <w:rStyle w:val="0pt"/>
          <w:rFonts w:ascii="Times New Roman" w:hAnsi="Times New Roman" w:cs="Times New Roman"/>
          <w:color w:val="000000" w:themeColor="text1"/>
          <w:spacing w:val="0"/>
          <w:sz w:val="16"/>
          <w:szCs w:val="16"/>
        </w:rPr>
        <w:t>М-105</w:t>
      </w:r>
      <w:r w:rsidRPr="001E2C69">
        <w:rPr>
          <w:rStyle w:val="0pt"/>
          <w:rFonts w:ascii="Times New Roman" w:eastAsia="Calibri" w:hAnsi="Times New Roman" w:cs="Times New Roman"/>
          <w:color w:val="000000" w:themeColor="text1"/>
          <w:spacing w:val="0"/>
          <w:sz w:val="16"/>
          <w:szCs w:val="16"/>
        </w:rPr>
        <w:t>ПФ</w:t>
      </w:r>
      <w:r w:rsidRPr="001E2C69">
        <w:rPr>
          <w:rStyle w:val="0pt"/>
          <w:rFonts w:ascii="Times New Roman" w:hAnsi="Times New Roman" w:cs="Times New Roman"/>
          <w:color w:val="000000" w:themeColor="text1"/>
          <w:spacing w:val="0"/>
          <w:sz w:val="16"/>
          <w:szCs w:val="16"/>
        </w:rPr>
        <w:t>;</w:t>
      </w:r>
    </w:p>
    <w:p w14:paraId="37219135" w14:textId="77777777" w:rsidR="0044627C" w:rsidRPr="001E2C69" w:rsidRDefault="0044627C" w:rsidP="00722885">
      <w:pPr>
        <w:tabs>
          <w:tab w:val="left" w:pos="1115"/>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б) имеющиеся на заводе заделы по моторам </w:t>
      </w:r>
      <w:r w:rsidRPr="001E2C69">
        <w:rPr>
          <w:rStyle w:val="0pt"/>
          <w:rFonts w:ascii="Times New Roman" w:hAnsi="Times New Roman" w:cs="Times New Roman"/>
          <w:color w:val="000000" w:themeColor="text1"/>
          <w:spacing w:val="0"/>
          <w:sz w:val="16"/>
          <w:szCs w:val="16"/>
        </w:rPr>
        <w:t>М-105Р</w:t>
      </w:r>
      <w:r w:rsidRPr="001E2C69">
        <w:rPr>
          <w:rFonts w:ascii="Times New Roman" w:hAnsi="Times New Roman"/>
          <w:color w:val="000000" w:themeColor="text1"/>
          <w:sz w:val="16"/>
          <w:szCs w:val="16"/>
        </w:rPr>
        <w:t xml:space="preserve"> и спе</w:t>
      </w:r>
      <w:r w:rsidRPr="001E2C69">
        <w:rPr>
          <w:rFonts w:ascii="Times New Roman" w:hAnsi="Times New Roman"/>
          <w:color w:val="000000" w:themeColor="text1"/>
          <w:sz w:val="16"/>
          <w:szCs w:val="16"/>
        </w:rPr>
        <w:softHyphen/>
        <w:t>циальную оснастку к ним в десятидневный срок передать на за</w:t>
      </w:r>
      <w:r w:rsidRPr="001E2C69">
        <w:rPr>
          <w:rFonts w:ascii="Times New Roman" w:hAnsi="Times New Roman"/>
          <w:color w:val="000000" w:themeColor="text1"/>
          <w:sz w:val="16"/>
          <w:szCs w:val="16"/>
        </w:rPr>
        <w:softHyphen/>
        <w:t>вод № 16 (Казань;.</w:t>
      </w:r>
    </w:p>
    <w:p w14:paraId="1DCC6058"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заводу № 466 (Горький)</w:t>
      </w:r>
    </w:p>
    <w:p w14:paraId="4498CB63" w14:textId="77777777" w:rsidR="0044627C" w:rsidRPr="001E2C69" w:rsidRDefault="0044627C" w:rsidP="00722885">
      <w:pPr>
        <w:tabs>
          <w:tab w:val="left" w:pos="1115"/>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 Горьковский-авиамоторный завод № </w:t>
      </w:r>
      <w:r w:rsidRPr="001E2C69">
        <w:rPr>
          <w:rStyle w:val="0pt"/>
          <w:rFonts w:ascii="Times New Roman" w:hAnsi="Times New Roman" w:cs="Times New Roman"/>
          <w:color w:val="000000" w:themeColor="text1"/>
          <w:spacing w:val="0"/>
          <w:sz w:val="16"/>
          <w:szCs w:val="16"/>
        </w:rPr>
        <w:t>466,</w:t>
      </w:r>
      <w:r w:rsidRPr="001E2C69">
        <w:rPr>
          <w:rFonts w:ascii="Times New Roman" w:hAnsi="Times New Roman"/>
          <w:color w:val="000000" w:themeColor="text1"/>
          <w:sz w:val="16"/>
          <w:szCs w:val="16"/>
        </w:rPr>
        <w:t xml:space="preserve"> выпускающий в настоящее время моторы </w:t>
      </w:r>
      <w:r w:rsidRPr="001E2C69">
        <w:rPr>
          <w:rStyle w:val="0pt"/>
          <w:rFonts w:ascii="Times New Roman" w:hAnsi="Times New Roman" w:cs="Times New Roman"/>
          <w:color w:val="000000" w:themeColor="text1"/>
          <w:spacing w:val="0"/>
          <w:sz w:val="16"/>
          <w:szCs w:val="16"/>
        </w:rPr>
        <w:t>М-105Р,</w:t>
      </w:r>
      <w:r w:rsidRPr="001E2C69">
        <w:rPr>
          <w:rFonts w:ascii="Times New Roman" w:hAnsi="Times New Roman"/>
          <w:color w:val="000000" w:themeColor="text1"/>
          <w:sz w:val="16"/>
          <w:szCs w:val="16"/>
        </w:rPr>
        <w:t xml:space="preserve"> перевести на производство пу</w:t>
      </w:r>
      <w:r w:rsidRPr="001E2C69">
        <w:rPr>
          <w:rFonts w:ascii="Times New Roman" w:hAnsi="Times New Roman"/>
          <w:color w:val="000000" w:themeColor="text1"/>
          <w:sz w:val="16"/>
          <w:szCs w:val="16"/>
        </w:rPr>
        <w:softHyphen/>
        <w:t xml:space="preserve">шечных моторов </w:t>
      </w:r>
      <w:r w:rsidRPr="001E2C69">
        <w:rPr>
          <w:rStyle w:val="0pt"/>
          <w:rFonts w:ascii="Times New Roman" w:hAnsi="Times New Roman" w:cs="Times New Roman"/>
          <w:color w:val="000000" w:themeColor="text1"/>
          <w:spacing w:val="0"/>
          <w:sz w:val="16"/>
          <w:szCs w:val="16"/>
        </w:rPr>
        <w:t>М-105</w:t>
      </w:r>
      <w:r w:rsidRPr="001E2C69">
        <w:rPr>
          <w:rStyle w:val="0pt"/>
          <w:rFonts w:ascii="Times New Roman" w:eastAsia="Calibri" w:hAnsi="Times New Roman" w:cs="Times New Roman"/>
          <w:color w:val="000000" w:themeColor="text1"/>
          <w:spacing w:val="0"/>
          <w:sz w:val="16"/>
          <w:szCs w:val="16"/>
        </w:rPr>
        <w:t>ПФ</w:t>
      </w:r>
      <w:r w:rsidRPr="001E2C69">
        <w:rPr>
          <w:rFonts w:ascii="Times New Roman" w:hAnsi="Times New Roman"/>
          <w:color w:val="000000" w:themeColor="text1"/>
          <w:sz w:val="16"/>
          <w:szCs w:val="16"/>
        </w:rPr>
        <w:t xml:space="preserve"> для истребителей.</w:t>
      </w:r>
    </w:p>
    <w:p w14:paraId="34BF7061" w14:textId="77777777" w:rsidR="0044627C" w:rsidRPr="001E2C69" w:rsidRDefault="0044627C" w:rsidP="00722885">
      <w:pPr>
        <w:tabs>
          <w:tab w:val="left" w:pos="1115"/>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 Обязать директора завода № </w:t>
      </w:r>
      <w:r w:rsidRPr="001E2C69">
        <w:rPr>
          <w:rStyle w:val="0pt"/>
          <w:rFonts w:ascii="Times New Roman" w:hAnsi="Times New Roman" w:cs="Times New Roman"/>
          <w:color w:val="000000" w:themeColor="text1"/>
          <w:spacing w:val="0"/>
          <w:sz w:val="16"/>
          <w:szCs w:val="16"/>
        </w:rPr>
        <w:t>466</w:t>
      </w:r>
      <w:r w:rsidRPr="001E2C69">
        <w:rPr>
          <w:rFonts w:ascii="Times New Roman" w:hAnsi="Times New Roman"/>
          <w:color w:val="000000" w:themeColor="text1"/>
          <w:sz w:val="16"/>
          <w:szCs w:val="16"/>
        </w:rPr>
        <w:t xml:space="preserve"> тов.Лукина обеспечить выпуск моторов </w:t>
      </w:r>
      <w:r w:rsidRPr="001E2C69">
        <w:rPr>
          <w:rStyle w:val="0pt"/>
          <w:rFonts w:ascii="Times New Roman" w:hAnsi="Times New Roman" w:cs="Times New Roman"/>
          <w:color w:val="000000" w:themeColor="text1"/>
          <w:spacing w:val="0"/>
          <w:sz w:val="16"/>
          <w:szCs w:val="16"/>
        </w:rPr>
        <w:t>М-105ПФ</w:t>
      </w:r>
      <w:r w:rsidRPr="001E2C69">
        <w:rPr>
          <w:rFonts w:ascii="Times New Roman" w:hAnsi="Times New Roman"/>
          <w:color w:val="000000" w:themeColor="text1"/>
          <w:sz w:val="16"/>
          <w:szCs w:val="16"/>
        </w:rPr>
        <w:t xml:space="preserve"> с </w:t>
      </w:r>
      <w:r w:rsidRPr="001E2C69">
        <w:rPr>
          <w:rStyle w:val="0pt"/>
          <w:rFonts w:ascii="Times New Roman" w:hAnsi="Times New Roman" w:cs="Times New Roman"/>
          <w:color w:val="000000" w:themeColor="text1"/>
          <w:spacing w:val="0"/>
          <w:sz w:val="16"/>
          <w:szCs w:val="16"/>
        </w:rPr>
        <w:t>10</w:t>
      </w:r>
      <w:r w:rsidRPr="001E2C69">
        <w:rPr>
          <w:rFonts w:ascii="Times New Roman" w:hAnsi="Times New Roman"/>
          <w:color w:val="000000" w:themeColor="text1"/>
          <w:sz w:val="16"/>
          <w:szCs w:val="16"/>
        </w:rPr>
        <w:t xml:space="preserve"> сентября 1942г.прекратив полно</w:t>
      </w:r>
      <w:r w:rsidRPr="001E2C69">
        <w:rPr>
          <w:rFonts w:ascii="Times New Roman" w:hAnsi="Times New Roman"/>
          <w:color w:val="000000" w:themeColor="text1"/>
          <w:sz w:val="16"/>
          <w:szCs w:val="16"/>
        </w:rPr>
        <w:softHyphen/>
        <w:t xml:space="preserve">стью с этого срока выпуск моторов </w:t>
      </w:r>
      <w:r w:rsidRPr="001E2C69">
        <w:rPr>
          <w:rStyle w:val="0pt"/>
          <w:rFonts w:ascii="Times New Roman" w:hAnsi="Times New Roman" w:cs="Times New Roman"/>
          <w:color w:val="000000" w:themeColor="text1"/>
          <w:spacing w:val="0"/>
          <w:sz w:val="16"/>
          <w:szCs w:val="16"/>
        </w:rPr>
        <w:t>М-105Р,</w:t>
      </w:r>
      <w:r w:rsidRPr="001E2C69">
        <w:rPr>
          <w:rFonts w:ascii="Times New Roman" w:hAnsi="Times New Roman"/>
          <w:color w:val="000000" w:themeColor="text1"/>
          <w:sz w:val="16"/>
          <w:szCs w:val="16"/>
        </w:rPr>
        <w:t xml:space="preserve"> и довести выпуск мо</w:t>
      </w:r>
      <w:r w:rsidRPr="001E2C69">
        <w:rPr>
          <w:rFonts w:ascii="Times New Roman" w:hAnsi="Times New Roman"/>
          <w:color w:val="000000" w:themeColor="text1"/>
          <w:sz w:val="16"/>
          <w:szCs w:val="16"/>
        </w:rPr>
        <w:softHyphen/>
        <w:t xml:space="preserve">торов </w:t>
      </w:r>
      <w:r w:rsidRPr="001E2C69">
        <w:rPr>
          <w:rStyle w:val="0pt"/>
          <w:rFonts w:ascii="Times New Roman" w:hAnsi="Times New Roman" w:cs="Times New Roman"/>
          <w:color w:val="000000" w:themeColor="text1"/>
          <w:spacing w:val="0"/>
          <w:sz w:val="16"/>
          <w:szCs w:val="16"/>
        </w:rPr>
        <w:t>М-105ПФ</w:t>
      </w:r>
      <w:r w:rsidRPr="001E2C69">
        <w:rPr>
          <w:rFonts w:ascii="Times New Roman" w:hAnsi="Times New Roman"/>
          <w:color w:val="000000" w:themeColor="text1"/>
          <w:sz w:val="16"/>
          <w:szCs w:val="16"/>
        </w:rPr>
        <w:t xml:space="preserve"> в декабре месяце </w:t>
      </w:r>
      <w:r w:rsidRPr="001E2C69">
        <w:rPr>
          <w:rStyle w:val="0pt"/>
          <w:rFonts w:ascii="Times New Roman" w:hAnsi="Times New Roman" w:cs="Times New Roman"/>
          <w:color w:val="000000" w:themeColor="text1"/>
          <w:spacing w:val="0"/>
          <w:sz w:val="16"/>
          <w:szCs w:val="16"/>
        </w:rPr>
        <w:t>1942г.</w:t>
      </w:r>
      <w:r w:rsidRPr="001E2C69">
        <w:rPr>
          <w:rFonts w:ascii="Times New Roman" w:hAnsi="Times New Roman"/>
          <w:color w:val="000000" w:themeColor="text1"/>
          <w:sz w:val="16"/>
          <w:szCs w:val="16"/>
        </w:rPr>
        <w:t xml:space="preserve"> до </w:t>
      </w:r>
      <w:r w:rsidRPr="001E2C69">
        <w:rPr>
          <w:rStyle w:val="0pt"/>
          <w:rFonts w:ascii="Times New Roman" w:hAnsi="Times New Roman" w:cs="Times New Roman"/>
          <w:color w:val="000000" w:themeColor="text1"/>
          <w:spacing w:val="0"/>
          <w:sz w:val="16"/>
          <w:szCs w:val="16"/>
        </w:rPr>
        <w:t>15</w:t>
      </w:r>
      <w:r w:rsidRPr="001E2C69">
        <w:rPr>
          <w:rFonts w:ascii="Times New Roman" w:hAnsi="Times New Roman"/>
          <w:color w:val="000000" w:themeColor="text1"/>
          <w:sz w:val="16"/>
          <w:szCs w:val="16"/>
        </w:rPr>
        <w:t xml:space="preserve"> моторов в день. Запуск деталей в производство для моторов М</w:t>
      </w:r>
      <w:r w:rsidRPr="001E2C69">
        <w:rPr>
          <w:rStyle w:val="0pt"/>
          <w:rFonts w:ascii="Times New Roman" w:hAnsi="Times New Roman" w:cs="Times New Roman"/>
          <w:color w:val="000000" w:themeColor="text1"/>
          <w:spacing w:val="0"/>
          <w:sz w:val="16"/>
          <w:szCs w:val="16"/>
        </w:rPr>
        <w:t>-105ПФ</w:t>
      </w:r>
      <w:r w:rsidRPr="001E2C69">
        <w:rPr>
          <w:rFonts w:ascii="Times New Roman" w:hAnsi="Times New Roman"/>
          <w:color w:val="000000" w:themeColor="text1"/>
          <w:sz w:val="16"/>
          <w:szCs w:val="16"/>
        </w:rPr>
        <w:t xml:space="preserve"> качать не позднее 10 августа с.г.</w:t>
      </w:r>
    </w:p>
    <w:p w14:paraId="2F4703CB" w14:textId="77777777" w:rsidR="0044627C" w:rsidRPr="001E2C69" w:rsidRDefault="0044627C" w:rsidP="00722885">
      <w:pPr>
        <w:tabs>
          <w:tab w:val="left" w:pos="1138"/>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Обязать директора завода 26 тов.Баландина:</w:t>
      </w:r>
    </w:p>
    <w:p w14:paraId="52695252" w14:textId="77777777" w:rsidR="0044627C" w:rsidRPr="001E2C69" w:rsidRDefault="0044627C" w:rsidP="00722885">
      <w:pPr>
        <w:tabs>
          <w:tab w:val="left" w:pos="1115"/>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а) к 10 августа с.г. передать заводу № </w:t>
      </w:r>
      <w:r w:rsidRPr="001E2C69">
        <w:rPr>
          <w:rStyle w:val="0pt"/>
          <w:rFonts w:ascii="Times New Roman" w:hAnsi="Times New Roman" w:cs="Times New Roman"/>
          <w:color w:val="000000" w:themeColor="text1"/>
          <w:spacing w:val="0"/>
          <w:sz w:val="16"/>
          <w:szCs w:val="16"/>
        </w:rPr>
        <w:t>466</w:t>
      </w:r>
      <w:r w:rsidRPr="001E2C69">
        <w:rPr>
          <w:rFonts w:ascii="Times New Roman" w:hAnsi="Times New Roman"/>
          <w:color w:val="000000" w:themeColor="text1"/>
          <w:sz w:val="16"/>
          <w:szCs w:val="16"/>
        </w:rPr>
        <w:t xml:space="preserve"> чертежи, тех</w:t>
      </w:r>
      <w:r w:rsidRPr="001E2C69">
        <w:rPr>
          <w:rFonts w:ascii="Times New Roman" w:hAnsi="Times New Roman"/>
          <w:color w:val="000000" w:themeColor="text1"/>
          <w:sz w:val="16"/>
          <w:szCs w:val="16"/>
        </w:rPr>
        <w:softHyphen/>
        <w:t>нические условия, технологию производства на мотор*М-105ПФ;</w:t>
      </w:r>
    </w:p>
    <w:p w14:paraId="2D87E9E2" w14:textId="77777777" w:rsidR="0044627C" w:rsidRPr="001E2C69" w:rsidRDefault="0044627C" w:rsidP="00722885">
      <w:pPr>
        <w:tabs>
          <w:tab w:val="left" w:pos="1115"/>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б) передать заводу № </w:t>
      </w:r>
      <w:r w:rsidRPr="001E2C69">
        <w:rPr>
          <w:rStyle w:val="0pt"/>
          <w:rFonts w:ascii="Times New Roman" w:hAnsi="Times New Roman" w:cs="Times New Roman"/>
          <w:color w:val="000000" w:themeColor="text1"/>
          <w:spacing w:val="0"/>
          <w:sz w:val="16"/>
          <w:szCs w:val="16"/>
        </w:rPr>
        <w:t>466</w:t>
      </w:r>
      <w:r w:rsidRPr="001E2C69">
        <w:rPr>
          <w:rFonts w:ascii="Times New Roman" w:hAnsi="Times New Roman"/>
          <w:color w:val="000000" w:themeColor="text1"/>
          <w:sz w:val="16"/>
          <w:szCs w:val="16"/>
        </w:rPr>
        <w:t xml:space="preserve"> к </w:t>
      </w:r>
      <w:r w:rsidRPr="001E2C69">
        <w:rPr>
          <w:rStyle w:val="0pt"/>
          <w:rFonts w:ascii="Times New Roman" w:hAnsi="Times New Roman" w:cs="Times New Roman"/>
          <w:color w:val="000000" w:themeColor="text1"/>
          <w:spacing w:val="0"/>
          <w:sz w:val="16"/>
          <w:szCs w:val="16"/>
        </w:rPr>
        <w:t>15</w:t>
      </w:r>
      <w:r w:rsidRPr="001E2C69">
        <w:rPr>
          <w:rFonts w:ascii="Times New Roman" w:hAnsi="Times New Roman"/>
          <w:color w:val="000000" w:themeColor="text1"/>
          <w:sz w:val="16"/>
          <w:szCs w:val="16"/>
        </w:rPr>
        <w:t xml:space="preserve"> августа с.г. один полный комплект оснастки на детали мотора </w:t>
      </w:r>
      <w:r w:rsidRPr="001E2C69">
        <w:rPr>
          <w:rStyle w:val="0pt"/>
          <w:rFonts w:ascii="Times New Roman" w:hAnsi="Times New Roman" w:cs="Times New Roman"/>
          <w:color w:val="000000" w:themeColor="text1"/>
          <w:spacing w:val="0"/>
          <w:sz w:val="16"/>
          <w:szCs w:val="16"/>
        </w:rPr>
        <w:t>М-105ПФ,</w:t>
      </w:r>
      <w:r w:rsidRPr="001E2C69">
        <w:rPr>
          <w:rFonts w:ascii="Times New Roman" w:hAnsi="Times New Roman"/>
          <w:color w:val="000000" w:themeColor="text1"/>
          <w:sz w:val="16"/>
          <w:szCs w:val="16"/>
        </w:rPr>
        <w:t xml:space="preserve"> отличные от дета</w:t>
      </w:r>
      <w:r w:rsidRPr="001E2C69">
        <w:rPr>
          <w:rFonts w:ascii="Times New Roman" w:hAnsi="Times New Roman"/>
          <w:color w:val="000000" w:themeColor="text1"/>
          <w:sz w:val="16"/>
          <w:szCs w:val="16"/>
        </w:rPr>
        <w:softHyphen/>
        <w:t xml:space="preserve">лей мотора </w:t>
      </w:r>
      <w:r w:rsidRPr="001E2C69">
        <w:rPr>
          <w:rStyle w:val="0pt"/>
          <w:rFonts w:ascii="Times New Roman" w:hAnsi="Times New Roman" w:cs="Times New Roman"/>
          <w:color w:val="000000" w:themeColor="text1"/>
          <w:spacing w:val="0"/>
          <w:sz w:val="16"/>
          <w:szCs w:val="16"/>
        </w:rPr>
        <w:t>М-105Р.</w:t>
      </w:r>
    </w:p>
    <w:p w14:paraId="522451A0" w14:textId="77777777" w:rsidR="0044627C" w:rsidRPr="001E2C69" w:rsidRDefault="0044627C" w:rsidP="00722885">
      <w:pPr>
        <w:tabs>
          <w:tab w:val="left" w:pos="1138"/>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Командировать Зам.Наркома тов.Баландина на завод № 466 для оказания помощи в организации производства моторов М-105ПФ</w:t>
      </w:r>
    </w:p>
    <w:p w14:paraId="565C4EC0"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Наркомавиапрому т.Шахурину передать заводу № 466 1000 человек рабочих, выделенных для НКАП из Ленинграда, и из числа оборудования, поступающего из Ленинграда, 220 станков и 3 молота.</w:t>
      </w:r>
    </w:p>
    <w:p w14:paraId="2E45FD9C"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заводу № 24 (Куйбышев)</w:t>
      </w:r>
    </w:p>
    <w:p w14:paraId="4E1F05B0"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Освободить Куйбышевский завод № 24 от производства мото</w:t>
      </w:r>
      <w:r w:rsidRPr="001E2C69">
        <w:rPr>
          <w:rFonts w:ascii="Times New Roman" w:hAnsi="Times New Roman"/>
          <w:color w:val="000000" w:themeColor="text1"/>
          <w:sz w:val="16"/>
          <w:szCs w:val="16"/>
        </w:rPr>
        <w:softHyphen/>
        <w:t>ров АМ-35А и ГАМ-34 и выпускать только моторы АМ-38.</w:t>
      </w:r>
    </w:p>
    <w:p w14:paraId="172A1DBC"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заводу № 45 (Москва)</w:t>
      </w:r>
    </w:p>
    <w:p w14:paraId="45C3853F" w14:textId="77777777" w:rsidR="0044627C" w:rsidRPr="001E2C69" w:rsidRDefault="0044627C" w:rsidP="00722885">
      <w:pPr>
        <w:tabs>
          <w:tab w:val="left" w:pos="958"/>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Обязать Наркомавиапром т.Шахурина и т.Завитаева, ди</w:t>
      </w:r>
      <w:r w:rsidRPr="001E2C69">
        <w:rPr>
          <w:rFonts w:ascii="Times New Roman" w:hAnsi="Times New Roman"/>
          <w:color w:val="000000" w:themeColor="text1"/>
          <w:sz w:val="16"/>
          <w:szCs w:val="16"/>
        </w:rPr>
        <w:softHyphen/>
        <w:t>ректора завода № 45 т.Комарова оборудовать к 1 декабря с.г. завод № 45 на выпуск 15-ти моторов в день, обеспечив выпуск моторов АМ-38 в декабре месяце 10 моторов в день.</w:t>
      </w:r>
    </w:p>
    <w:p w14:paraId="78DB9474" w14:textId="77777777" w:rsidR="0044627C" w:rsidRPr="001E2C69" w:rsidRDefault="0044627C" w:rsidP="00722885">
      <w:pPr>
        <w:tabs>
          <w:tab w:val="left" w:pos="958"/>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Обязать Наркомвнешторг т.Микояна ускорить доставку для завода № 45 недополученные по импорту 550 станков.</w:t>
      </w:r>
    </w:p>
    <w:p w14:paraId="1ADB2CCA"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Обязать Наркомстанкостроения т.Ефремова поставить в Ш-м квартале с.г. заводу № 45 недопоставленные 220 станков.</w:t>
      </w:r>
    </w:p>
    <w:p w14:paraId="65520497"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Обязать Наркомавиапром т.Шахурина передать заводу № 45 - 200 станков ив числа оборудования, поступающего для НКАП из Ленинграда.</w:t>
      </w:r>
    </w:p>
    <w:p w14:paraId="16871270"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заводу 39 (Иркутск)</w:t>
      </w:r>
    </w:p>
    <w:p w14:paraId="56DB16A5" w14:textId="77777777" w:rsidR="0044627C" w:rsidRPr="001E2C69" w:rsidRDefault="0044627C" w:rsidP="00722885">
      <w:pPr>
        <w:tabs>
          <w:tab w:val="left" w:pos="943"/>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Прекратить производство самолетов Пе-2 и Пе-3 на за</w:t>
      </w:r>
      <w:r w:rsidRPr="001E2C69">
        <w:rPr>
          <w:rFonts w:ascii="Times New Roman" w:hAnsi="Times New Roman"/>
          <w:color w:val="000000" w:themeColor="text1"/>
          <w:sz w:val="16"/>
          <w:szCs w:val="16"/>
        </w:rPr>
        <w:softHyphen/>
        <w:t>воде № 39 и перейти на производство самолетов Кл-4 с мотора</w:t>
      </w:r>
      <w:r w:rsidRPr="001E2C69">
        <w:rPr>
          <w:rFonts w:ascii="Times New Roman" w:hAnsi="Times New Roman"/>
          <w:color w:val="000000" w:themeColor="text1"/>
          <w:sz w:val="16"/>
          <w:szCs w:val="16"/>
        </w:rPr>
        <w:softHyphen/>
        <w:t>ми М-88.</w:t>
      </w:r>
    </w:p>
    <w:p w14:paraId="2E00AE7B" w14:textId="77777777" w:rsidR="0044627C" w:rsidRPr="001E2C69" w:rsidRDefault="0044627C" w:rsidP="00722885">
      <w:pPr>
        <w:tabs>
          <w:tab w:val="left" w:pos="95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Установить программу заводу № 39 по выпуску самолетов Ил-4 до конца 1942 года в количестве 37 самолетов со следую</w:t>
      </w:r>
      <w:r w:rsidRPr="001E2C69">
        <w:rPr>
          <w:rFonts w:ascii="Times New Roman" w:hAnsi="Times New Roman"/>
          <w:color w:val="000000" w:themeColor="text1"/>
          <w:sz w:val="16"/>
          <w:szCs w:val="16"/>
        </w:rPr>
        <w:softHyphen/>
        <w:t>щей разбивкой по месяцам:</w:t>
      </w:r>
    </w:p>
    <w:p w14:paraId="6B3265CB" w14:textId="77777777" w:rsidR="0044627C" w:rsidRPr="001E2C69" w:rsidRDefault="0044627C" w:rsidP="00722885">
      <w:pPr>
        <w:tabs>
          <w:tab w:val="left" w:pos="234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октябре</w:t>
      </w:r>
      <w:r w:rsidRPr="001E2C69">
        <w:rPr>
          <w:rFonts w:ascii="Times New Roman" w:hAnsi="Times New Roman"/>
          <w:color w:val="000000" w:themeColor="text1"/>
          <w:sz w:val="16"/>
          <w:szCs w:val="16"/>
        </w:rPr>
        <w:tab/>
        <w:t>- 2 самолета</w:t>
      </w:r>
    </w:p>
    <w:p w14:paraId="07781708" w14:textId="77777777" w:rsidR="0044627C" w:rsidRPr="001E2C69" w:rsidRDefault="0044627C" w:rsidP="00722885">
      <w:pPr>
        <w:tabs>
          <w:tab w:val="left" w:pos="2340"/>
        </w:tabs>
        <w:spacing w:after="0" w:line="240" w:lineRule="auto"/>
        <w:jc w:val="both"/>
        <w:rPr>
          <w:rFonts w:ascii="Times New Roman" w:hAnsi="Times New Roman"/>
          <w:color w:val="000000" w:themeColor="text1"/>
          <w:sz w:val="16"/>
          <w:szCs w:val="16"/>
        </w:rPr>
      </w:pPr>
      <w:bookmarkStart w:id="89" w:name="bookmark0"/>
      <w:r w:rsidRPr="001E2C69">
        <w:rPr>
          <w:rFonts w:ascii="Times New Roman" w:hAnsi="Times New Roman"/>
          <w:color w:val="000000" w:themeColor="text1"/>
          <w:sz w:val="16"/>
          <w:szCs w:val="16"/>
        </w:rPr>
        <w:t>в ноябре</w:t>
      </w:r>
      <w:r w:rsidRPr="001E2C69">
        <w:rPr>
          <w:rFonts w:ascii="Times New Roman" w:hAnsi="Times New Roman"/>
          <w:color w:val="000000" w:themeColor="text1"/>
          <w:sz w:val="16"/>
          <w:szCs w:val="16"/>
        </w:rPr>
        <w:tab/>
        <w:t>- 10 самолетов</w:t>
      </w:r>
      <w:bookmarkEnd w:id="89"/>
    </w:p>
    <w:p w14:paraId="2518522B" w14:textId="77777777" w:rsidR="0044627C" w:rsidRPr="001E2C69" w:rsidRDefault="0044627C" w:rsidP="00722885">
      <w:pPr>
        <w:tabs>
          <w:tab w:val="left" w:pos="2333"/>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декабре</w:t>
      </w:r>
      <w:r w:rsidRPr="001E2C69">
        <w:rPr>
          <w:rFonts w:ascii="Times New Roman" w:hAnsi="Times New Roman"/>
          <w:color w:val="000000" w:themeColor="text1"/>
          <w:sz w:val="16"/>
          <w:szCs w:val="16"/>
        </w:rPr>
        <w:tab/>
        <w:t>- 25 самолетов</w:t>
      </w:r>
    </w:p>
    <w:p w14:paraId="3115014E"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заводу № 82 (Москва)</w:t>
      </w:r>
    </w:p>
    <w:p w14:paraId="0DDFE455"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Обязать Наркомавиапром т.Шахурина и т.Дементьева, дирек</w:t>
      </w:r>
      <w:r w:rsidRPr="001E2C69">
        <w:rPr>
          <w:rFonts w:ascii="Times New Roman" w:hAnsi="Times New Roman"/>
          <w:color w:val="000000" w:themeColor="text1"/>
          <w:sz w:val="16"/>
          <w:szCs w:val="16"/>
        </w:rPr>
        <w:softHyphen/>
        <w:t>тора завода № 82 т.Бугрова укомплектовать завод № 82 в тече</w:t>
      </w:r>
      <w:r w:rsidRPr="001E2C69">
        <w:rPr>
          <w:rFonts w:ascii="Times New Roman" w:hAnsi="Times New Roman"/>
          <w:color w:val="000000" w:themeColor="text1"/>
          <w:sz w:val="16"/>
          <w:szCs w:val="16"/>
        </w:rPr>
        <w:softHyphen/>
        <w:t>ние августа и сентября месяцев оборудованием за счет других заводов НКАП из расчета выпуска 6-ти самолетов Як-7 в день.</w:t>
      </w:r>
    </w:p>
    <w:p w14:paraId="61473FEF"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заводу № 31 (Тбилиси)</w:t>
      </w:r>
    </w:p>
    <w:p w14:paraId="056C905D"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Обязать Наркомавиапром т.Шахурина и директора завода № 31 т.Агаджанова прекратить производство самолетов Лагг-5, оставив на заводе № 31 только производство самолетов Лагг-3 с улучшен</w:t>
      </w:r>
      <w:r w:rsidRPr="001E2C69">
        <w:rPr>
          <w:rFonts w:ascii="Times New Roman" w:hAnsi="Times New Roman"/>
          <w:color w:val="000000" w:themeColor="text1"/>
          <w:sz w:val="16"/>
          <w:szCs w:val="16"/>
        </w:rPr>
        <w:softHyphen/>
        <w:t>ным управлением.</w:t>
      </w:r>
    </w:p>
    <w:p w14:paraId="30EAFFC6"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ааводу № 153 (Новосибирск)</w:t>
      </w:r>
    </w:p>
    <w:p w14:paraId="42632D6A"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Обязать Наркомавиапром т.Шахурина, директора завода № 153 т.Романова выпускать в августе месяце по 9 самолетов</w:t>
      </w:r>
    </w:p>
    <w:p w14:paraId="71D21738" w14:textId="77777777" w:rsidR="0044627C" w:rsidRPr="001E2C69" w:rsidRDefault="0044627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Обязать Наркоматы, поставляющие готовые иэделия, полу</w:t>
      </w:r>
      <w:r w:rsidRPr="001E2C69">
        <w:rPr>
          <w:rFonts w:ascii="Times New Roman" w:hAnsi="Times New Roman"/>
          <w:color w:val="000000" w:themeColor="text1"/>
          <w:sz w:val="16"/>
          <w:szCs w:val="16"/>
        </w:rPr>
        <w:softHyphen/>
        <w:t>фабрикаты и материалы для Наркомавиапрома, принять изменения по поставкам от Наркомавиапрома в соответствии с настоящим постановлением (19351).</w:t>
      </w:r>
    </w:p>
    <w:p w14:paraId="23D1A5C6" w14:textId="77777777" w:rsidR="0044627C" w:rsidRPr="001E2C69" w:rsidRDefault="0044627C" w:rsidP="00722885">
      <w:pPr>
        <w:spacing w:after="0" w:line="240" w:lineRule="auto"/>
        <w:jc w:val="both"/>
        <w:rPr>
          <w:rFonts w:ascii="Times New Roman" w:hAnsi="Times New Roman"/>
          <w:color w:val="000000" w:themeColor="text1"/>
          <w:sz w:val="16"/>
          <w:szCs w:val="16"/>
        </w:rPr>
      </w:pPr>
    </w:p>
    <w:p w14:paraId="3CD15C1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августа 1942 года вышло Постановление ГОКО № 2134 и 5 августа 1942 года вышел приказ НКАП № 589с, которыми завод № 39 получил задание осовить и запустить в серийное производство машину ИЛ-4.</w:t>
      </w:r>
    </w:p>
    <w:p w14:paraId="46C6E34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период изготовления ИЛ-4 заводом в 1943 году были изготовлены два опытных образца машины ИЛ-6. (Директор завода Абрамов В.И.). В сентябре 1943 года заводом было получено задание параллельно с изготовлением ИЛ-4 организовать производство машины ЕР-2.</w:t>
      </w:r>
    </w:p>
    <w:p w14:paraId="5709FD7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В этот же период наряду с изготовлением машины ЕР-2 на заводе в 1944-1945 гг. были изготовлены четыре образца пассажирского варианта ЕР-2 особого назначения </w:t>
      </w:r>
      <w:r w:rsidRPr="001E2C69">
        <w:rPr>
          <w:color w:val="000000" w:themeColor="text1"/>
          <w:sz w:val="16"/>
          <w:szCs w:val="16"/>
        </w:rPr>
        <w:lastRenderedPageBreak/>
        <w:t>(ЕР-20Н), а также несколько образцов модификаций машины ЕР-2-ЕР-2ММ.</w:t>
      </w:r>
    </w:p>
    <w:p w14:paraId="354DED4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Кроме самолетов в период 1942-1945 гг. завод согласно решения ГОКО № 1849сс от июня 1942 года для фронта изготавливал корпуса 82 мм мин (изделие М-82).</w:t>
      </w:r>
    </w:p>
    <w:p w14:paraId="0994092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Постановлением СНК от 26 февраля 1946 года № 473-192сс и приказом НКАП № 83 от 2 марта 1946 года заводу было дано задание освоить изготовление и запустить в производство машину ТУ-2. Директор – Петров.</w:t>
      </w:r>
    </w:p>
    <w:p w14:paraId="0F308AB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Головную машину ТУ-2 завод выпустил 30 июня 1947 года.</w:t>
      </w:r>
    </w:p>
    <w:p w14:paraId="54457A7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ТУ-2 завод выпускал в течение 1947-1949 гг.</w:t>
      </w:r>
    </w:p>
    <w:p w14:paraId="08793DF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Постановлением СМ № 1890-700сс от 14 мая 1949 года и приказом МАП № 374сс от 19 мая 1949 года заводу было дано новое задание по постановлке в серийное производство реактивного бомбардировщика ИЛ-28 с двумя двигателями ВК-1.</w:t>
      </w:r>
    </w:p>
    <w:p w14:paraId="2E4A1E4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начале сентября 1949 года все работы по запуску в производство ИЛ-28 были приостановлены в связи с изменением задания.</w:t>
      </w:r>
    </w:p>
    <w:p w14:paraId="6C78F19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76DA3A7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Постановлением СМ от 31 декабря 1952 года № 533-2090сс и приказом МАП от 3-го января 1953 года № 6сс заводу было дано новое задание о постановке в производство нового изделия самолета ИЛ-28Р. (Жиректор завода Иванченко С.К.)</w:t>
      </w:r>
    </w:p>
    <w:p w14:paraId="2D0137F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И.о. директора – Гордин</w:t>
      </w:r>
    </w:p>
    <w:p w14:paraId="22CC4DF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Адрес: Иркутская область, п/я 411</w:t>
      </w:r>
    </w:p>
    <w:p w14:paraId="12D759F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Производственный профиль – самолетостроение</w:t>
      </w:r>
    </w:p>
    <w:p w14:paraId="6AA327C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расположен в Иркутской области в поселке Ленина, находящемся от Иркутска на расстоянии 7 км по ж/д в западном направлении и по автомобильной дороге на расстоянии 11 км. С северной стороны завода протекает Ангара на расстоянии 2,5 км (9826).</w:t>
      </w:r>
    </w:p>
    <w:p w14:paraId="1039EF56" w14:textId="77777777" w:rsidR="00AE7191" w:rsidRPr="001E2C69" w:rsidRDefault="00AE7191" w:rsidP="00722885">
      <w:pPr>
        <w:pStyle w:val="Iauiue"/>
        <w:jc w:val="both"/>
        <w:rPr>
          <w:color w:val="000000" w:themeColor="text1"/>
          <w:sz w:val="16"/>
          <w:szCs w:val="16"/>
        </w:rPr>
      </w:pPr>
    </w:p>
    <w:p w14:paraId="199F7B4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августа 1942 вышел приказ N 8 по заводу 462 об аварии МиГ-3 N 4740, когда л Фокин убрал при взлете шасси раньше времени (2131).</w:t>
      </w:r>
    </w:p>
    <w:p w14:paraId="16482B42" w14:textId="77777777" w:rsidR="00AE7191" w:rsidRPr="001E2C69" w:rsidRDefault="00AE7191" w:rsidP="00722885">
      <w:pPr>
        <w:pStyle w:val="Iauiue"/>
        <w:jc w:val="both"/>
        <w:rPr>
          <w:color w:val="000000" w:themeColor="text1"/>
          <w:sz w:val="16"/>
          <w:szCs w:val="16"/>
        </w:rPr>
      </w:pPr>
    </w:p>
    <w:p w14:paraId="69B030C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августа 1942 Правительство поставило задачу довести в сентябре выпуск истребителей Як-7 на новосибирском заводе № 153 до девяти в день и на московском №82 - до семи в день. В течение всего сентября последний осуществлял сборку боевых самолетов, из задела, привезенного из Новосибирска. Всего военными представителями было принято 322 Як-7Б (против 261 в предыдущем месяце). К ним надо добавить 336 Як-1, которые построил в сентябре 1942 г. саратовский завод №292. При других обстоятельствах эти результаты вселяли бы оптимизм, но теперь обстановка на фронте была слишком серьезной (4537).</w:t>
      </w:r>
    </w:p>
    <w:p w14:paraId="274B5BA5" w14:textId="77777777" w:rsidR="00AE7191" w:rsidRPr="001E2C69" w:rsidRDefault="00AE7191" w:rsidP="00722885">
      <w:pPr>
        <w:pStyle w:val="Iauiue"/>
        <w:jc w:val="both"/>
        <w:rPr>
          <w:color w:val="000000" w:themeColor="text1"/>
          <w:sz w:val="16"/>
          <w:szCs w:val="16"/>
        </w:rPr>
      </w:pPr>
    </w:p>
    <w:p w14:paraId="11078244"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681D1C74" w14:textId="77777777" w:rsidR="00AE7191" w:rsidRPr="001E2C69" w:rsidRDefault="00AE7191" w:rsidP="00722885">
      <w:pPr>
        <w:pStyle w:val="Iauiue"/>
        <w:jc w:val="both"/>
        <w:rPr>
          <w:iCs/>
          <w:color w:val="000000" w:themeColor="text1"/>
          <w:sz w:val="16"/>
          <w:szCs w:val="16"/>
        </w:rPr>
      </w:pPr>
    </w:p>
    <w:p w14:paraId="3FD97F5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августа 1942г. - из докладной записки директора Ижевского металлургического завода И.А. Остроушко уполномоченному Комиссии партийного контроля при ЦК ВКП(б) по Удмуртской АССР В.Н. Миронову о работе предприятия в начальный период Великой Отечественной войны</w:t>
      </w:r>
    </w:p>
    <w:p w14:paraId="15F7B18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Секретно</w:t>
      </w:r>
    </w:p>
    <w:p w14:paraId="5A618DD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71 в системе Наркома[та] вооружения по производству металла и поковок занимает ведущее место, обеспечивая горячекатанным, холодно-катанным металлом, калиброванной сталью и поковками не только заводы Наркомата вооружения и авиации, но также и заводы других наркоматов.</w:t>
      </w:r>
    </w:p>
    <w:p w14:paraId="6B8B1AC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эвакуации южной металлургии значение и удельный вес завода № 71 как металлургической базы еще более возросли.</w:t>
      </w:r>
    </w:p>
    <w:p w14:paraId="528EAAB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период Отечественной войны среднемесячный выпуск валовой продукции завод увеличил в два раза. Среднемесячный выпуск поковок для заводов стрелкового вооружения и авиапоковок для моторных заводов Наркомата авиации увеличился по сравнению с прошлым периодом в 3,8 раз. Значительно также возросло производство литой стали, горячекатанного проката, калиброванной стали и холоднокатанной ленты. Производительность труда рабочих увеличилась в полтора раза.</w:t>
      </w:r>
    </w:p>
    <w:p w14:paraId="4639174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Коллектив завода за время Отечественной войны проделал большую работу по перестройке технологических процессов и освоению новых производств в разрезе задач, поставленных перед заводом.</w:t>
      </w:r>
    </w:p>
    <w:p w14:paraId="173E2FD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Заводы стрелкового вооружения и авиамоторные заводы потребляют в большом количестве поковки и прокат из легированной стали, изготовляемой нашим заводом. Постоянный недостаток ферросплавов лимитирует выпуск поковок и проката. Поэтому на вопросе замены легированных сталей другими сталями, не содержащими легирующих элементов, сосредоточена техническая мысль завода.</w:t>
      </w:r>
    </w:p>
    <w:p w14:paraId="47BD53E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первом квартале завод заменил легированную марку стали, содержащую никель, молибден и ванадий для ружей противотанковых стволов систем Дегтярева и Симонова,</w:t>
      </w:r>
      <w:r w:rsidRPr="001E2C69">
        <w:rPr>
          <w:rFonts w:ascii="Times New Roman" w:hAnsi="Times New Roman"/>
          <w:color w:val="000000" w:themeColor="text1"/>
          <w:sz w:val="16"/>
          <w:szCs w:val="16"/>
          <w:vertAlign w:val="superscript"/>
        </w:rPr>
        <w:t>6</w:t>
      </w:r>
      <w:r w:rsidRPr="001E2C69">
        <w:rPr>
          <w:rFonts w:ascii="Times New Roman" w:hAnsi="Times New Roman"/>
          <w:color w:val="000000" w:themeColor="text1"/>
          <w:sz w:val="16"/>
          <w:szCs w:val="16"/>
        </w:rPr>
        <w:t xml:space="preserve"> другой маркой стали, не содержащей легирующих элементов. Этим самым завод сэкономил на программу 1942г.* 141 тонну никеля, 54 тонны феррованадия и 39 тонн ферромолибдена на сумму свыше 6 миллионов рублей. Заводом изготовлены и отосланы заводам стрелкового вооружения поковки для стволов 20-мм пушки Шпитального,</w:t>
      </w:r>
      <w:r w:rsidRPr="001E2C69">
        <w:rPr>
          <w:rFonts w:ascii="Times New Roman" w:hAnsi="Times New Roman"/>
          <w:color w:val="000000" w:themeColor="text1"/>
          <w:sz w:val="16"/>
          <w:szCs w:val="16"/>
          <w:vertAlign w:val="superscript"/>
        </w:rPr>
        <w:t>7</w:t>
      </w:r>
      <w:r w:rsidRPr="001E2C69">
        <w:rPr>
          <w:rFonts w:ascii="Times New Roman" w:hAnsi="Times New Roman"/>
          <w:color w:val="000000" w:themeColor="text1"/>
          <w:sz w:val="16"/>
          <w:szCs w:val="16"/>
        </w:rPr>
        <w:t xml:space="preserve"> 23-мм пушки Волкова и Ярцева</w:t>
      </w:r>
      <w:r w:rsidRPr="001E2C69">
        <w:rPr>
          <w:rFonts w:ascii="Times New Roman" w:hAnsi="Times New Roman"/>
          <w:color w:val="000000" w:themeColor="text1"/>
          <w:sz w:val="16"/>
          <w:szCs w:val="16"/>
          <w:vertAlign w:val="superscript"/>
        </w:rPr>
        <w:t>8</w:t>
      </w:r>
      <w:r w:rsidRPr="001E2C69">
        <w:rPr>
          <w:rFonts w:ascii="Times New Roman" w:hAnsi="Times New Roman"/>
          <w:color w:val="000000" w:themeColor="text1"/>
          <w:sz w:val="16"/>
          <w:szCs w:val="16"/>
        </w:rPr>
        <w:t xml:space="preserve"> и универсального 12,7-мм крупно-калиберного пулемета Березина</w:t>
      </w:r>
      <w:r w:rsidRPr="001E2C69">
        <w:rPr>
          <w:rFonts w:ascii="Times New Roman" w:hAnsi="Times New Roman"/>
          <w:color w:val="000000" w:themeColor="text1"/>
          <w:sz w:val="16"/>
          <w:szCs w:val="16"/>
          <w:vertAlign w:val="superscript"/>
        </w:rPr>
        <w:t>9</w:t>
      </w:r>
      <w:r w:rsidRPr="001E2C69">
        <w:rPr>
          <w:rFonts w:ascii="Times New Roman" w:hAnsi="Times New Roman"/>
          <w:color w:val="000000" w:themeColor="text1"/>
          <w:sz w:val="16"/>
          <w:szCs w:val="16"/>
        </w:rPr>
        <w:t xml:space="preserve"> из стали, не содержащей легирующих элементов.</w:t>
      </w:r>
    </w:p>
    <w:p w14:paraId="4548526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Стволы названных систем находятся на испытании и внедрение заменителей даст заводу дополнительно экономии около 20 тонн никеля, 45 тонн феррованадия и 30 тонн ферромолибдена.</w:t>
      </w:r>
    </w:p>
    <w:p w14:paraId="028E2DE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настоящее время коллектив завода усиленно работает над внедрением заменителей для авиационных поковок, согласно постановлению правительства от 8 мая. Партия коленчатых валов уже изготовлена и отгружена авиамоторному заводу для испытаний.</w:t>
      </w:r>
    </w:p>
    <w:p w14:paraId="2384EE9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Все детали системы стрелкового вооружения изготовляются исключительно из основной мартеновской и электростали. Перед заводом была поставлена задача по освоению кислого мартеновского процесса для нужд артиллерии. Одна основная мартеновская печь переделана на кислую, которая снабжает заготовкой для моноблоков 45-мм противотанковой пушки 235[-й] завод.</w:t>
      </w:r>
      <w:r w:rsidRPr="001E2C69">
        <w:rPr>
          <w:rFonts w:ascii="Times New Roman" w:hAnsi="Times New Roman"/>
          <w:color w:val="000000" w:themeColor="text1"/>
          <w:sz w:val="16"/>
          <w:szCs w:val="16"/>
          <w:vertAlign w:val="superscript"/>
        </w:rPr>
        <w:t>10</w:t>
      </w:r>
    </w:p>
    <w:p w14:paraId="3DC2A6C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связи с эвакуацией ряда предприятий на нашем заводе по постановлению ГКО (Государственный Комитет Обороны СССР) организованы два неметаллургических производства: пружина для автомата Шпагина,</w:t>
      </w:r>
      <w:r w:rsidRPr="001E2C69">
        <w:rPr>
          <w:rFonts w:ascii="Times New Roman" w:hAnsi="Times New Roman"/>
          <w:color w:val="000000" w:themeColor="text1"/>
          <w:sz w:val="16"/>
          <w:szCs w:val="16"/>
          <w:vertAlign w:val="superscript"/>
        </w:rPr>
        <w:t>11</w:t>
      </w:r>
      <w:r w:rsidRPr="001E2C69">
        <w:rPr>
          <w:rFonts w:ascii="Times New Roman" w:hAnsi="Times New Roman"/>
          <w:color w:val="000000" w:themeColor="text1"/>
          <w:sz w:val="16"/>
          <w:szCs w:val="16"/>
        </w:rPr>
        <w:t xml:space="preserve"> звенья для 12,7-мм пулемета и 23-мм. пушки. Производство полностью освоено, программа по этим изделиям перевыполняется.</w:t>
      </w:r>
    </w:p>
    <w:p w14:paraId="6F84CB1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настоящее время осваивается новый вид звеньев для 37-мм пушки.</w:t>
      </w:r>
      <w:r w:rsidRPr="001E2C69">
        <w:rPr>
          <w:rFonts w:ascii="Times New Roman" w:hAnsi="Times New Roman"/>
          <w:color w:val="000000" w:themeColor="text1"/>
          <w:sz w:val="16"/>
          <w:szCs w:val="16"/>
          <w:vertAlign w:val="superscript"/>
        </w:rPr>
        <w:t>12</w:t>
      </w:r>
      <w:r w:rsidRPr="001E2C69">
        <w:rPr>
          <w:rFonts w:ascii="Times New Roman" w:hAnsi="Times New Roman"/>
          <w:color w:val="000000" w:themeColor="text1"/>
          <w:sz w:val="16"/>
          <w:szCs w:val="16"/>
        </w:rPr>
        <w:t xml:space="preserve"> Первая партия изготовлена и отослана потребителю для испытания. За этот период освоено 24 новые марки стали, в том числе жароупорная и нержавеющая для авиации, и больше 30 новых поковок для различных систем стрелкового вооружения и авиации.</w:t>
      </w:r>
    </w:p>
    <w:p w14:paraId="546F8D3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Литейные цеха завода имели большие трудности в снабжении их формовочными песками, т.к. последние привозились за 1000 километров из под Москвы.</w:t>
      </w:r>
    </w:p>
    <w:p w14:paraId="568A486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Перед заводом встала задача об изыскании местных песков, что было разрешено открытием Чуровского месторождения. Местные кварцевые пески внедрены в производство, что освободило транспорт от дальних перевозок и дало заводу экономии 128 тыс. руб.</w:t>
      </w:r>
    </w:p>
    <w:p w14:paraId="1207AEA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Дабы не останавливать мартеновские печи в случаях отсутствия передельного чугуна, завод разработал и освоил карбюраторный процесс, т.е. выплавку стали без передельного чугуна, заменив последний каменным углем.</w:t>
      </w:r>
      <w:r w:rsidRPr="001E2C69">
        <w:rPr>
          <w:rFonts w:ascii="Times New Roman" w:hAnsi="Times New Roman"/>
          <w:color w:val="000000" w:themeColor="text1"/>
          <w:sz w:val="16"/>
          <w:szCs w:val="16"/>
          <w:vertAlign w:val="superscript"/>
        </w:rPr>
        <w:t>13</w:t>
      </w:r>
    </w:p>
    <w:p w14:paraId="4BC4B28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точки зрения производительности мартеновских печей, карбюраторный процесс не выгоден, т.к. длительность плавки увеличивается на 1-2 часа и поэтому завод к нему прибегает только в случаях отсутствия чугуна.</w:t>
      </w:r>
    </w:p>
    <w:p w14:paraId="5400FDA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время войны завод трижды переходил на этот процесс и выплавил им около 8тыс. тонн стали. [ …]</w:t>
      </w:r>
    </w:p>
    <w:p w14:paraId="450F634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завода [№] 71 Остроушко</w:t>
      </w:r>
    </w:p>
    <w:p w14:paraId="7A61824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ЦДНИ УР. Ф.228. Оп. 1. Д.65. Л.159-161, 175. Подлинник. Машинопись (11635).</w:t>
      </w:r>
    </w:p>
    <w:p w14:paraId="09D08B15" w14:textId="77777777" w:rsidR="00907F56"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ЦДНИ УР. Ф.228. Оп. 1. Д.65. Л.159-161, 175. Подлинник. Машинопись.</w:t>
      </w:r>
    </w:p>
    <w:p w14:paraId="207466A5" w14:textId="77777777" w:rsidR="00907F56"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Примечания:</w:t>
      </w:r>
    </w:p>
    <w:p w14:paraId="2C927C65" w14:textId="77777777" w:rsidR="00907F56"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Так в документе.</w:t>
      </w:r>
    </w:p>
    <w:p w14:paraId="0ABAE7DE" w14:textId="77777777" w:rsidR="00907F56"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Остроушко И.А. - директор Ижевского металлургического завода в период с 8 августа 1940г. по 16 января 1943г. Отозван в распоряжение Наркомата вооружения СССР. Полярные оценки деятельности И.А. Остроушко на посту директора завода см.: Новиков В.Н. Накануне и в дни испытаний. М., 1988. С.158-159; От крицы до плазмы. Ижевск, 2000. С.84.</w:t>
      </w:r>
    </w:p>
    <w:p w14:paraId="3F5DD377" w14:textId="77777777" w:rsidR="00907F56"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Противотанковые ружья конструкторов В.А. Дегтярева (ПТРД) и С.Г. Симонова (ПТРС) приняты на вооружение Красной Армии в августе 1941г.</w:t>
      </w:r>
    </w:p>
    <w:p w14:paraId="0D864F54" w14:textId="77777777" w:rsidR="00907F56"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20-мм авиационная пушка Б.Г. Шпитального и С.В. Владимирова (ШВАК), созданная в 1936г., нашла широкое применение в годы Великой Отечественной войны.</w:t>
      </w:r>
    </w:p>
    <w:p w14:paraId="749E0DD9" w14:textId="77777777" w:rsidR="00907F56"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8. Авиационная пушка калибра 23мм конструкции А.А. Волкова и С.А. Ярцева (ВЯ) разработана в 1940г., принята на вооружение в мае 1941г. </w:t>
      </w:r>
    </w:p>
    <w:p w14:paraId="6E8630D8" w14:textId="77777777" w:rsidR="00907F56"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9. Универсальный 12,7-мм пулемет М.Е. Березина (УБ) - один из основных образцов авиационно-стрелкового оружия в годы войны. Принят на вооружение ВВС в 1941г. </w:t>
      </w:r>
    </w:p>
    <w:p w14:paraId="2D0CC7C7" w14:textId="77777777" w:rsidR="00907F56"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10. В начале войны Наркоматом вооружения СССР Воткинскому машиностроительному заводу (завод №235) было передано производство 45-мм противотанковой пушки 2243-А (19К). Серийное производство началось с октября 1941г. </w:t>
      </w:r>
    </w:p>
    <w:p w14:paraId="5E58FA21" w14:textId="77777777" w:rsidR="00907F56"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11. 7,62-мм пистолет-пулемет Г.С. Шпагина (ППШ) создан в 1940г. Массовый выпуск пружин для нового автомата и звеньев пулеметных лент освоен заводом в середине сентября 1941г. </w:t>
      </w:r>
    </w:p>
    <w:p w14:paraId="16809FDA" w14:textId="77777777" w:rsidR="00907F56"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 xml:space="preserve">12. Очевидно, речь идет об авиационной пушке конструкции А.Э. Нудельмана и А.С. Суранова (НС-37), разработанной в 1941г. Принята на вооружение 30 декабря 1942г. Заменила пушку конструкции Б.Г. Шпитального (Ш-37). До освоения производства новой пушки Ижевский машиностроительный завод (завод №74) выпускал параллельно две разные системы одного калибра (Оружие Победы. М., 1987. С.294-309). </w:t>
      </w:r>
    </w:p>
    <w:p w14:paraId="5F813C32" w14:textId="77777777" w:rsidR="00AE7191" w:rsidRPr="001E2C69" w:rsidRDefault="00AE7191" w:rsidP="00722885">
      <w:pPr>
        <w:spacing w:after="0" w:line="240" w:lineRule="auto"/>
        <w:jc w:val="both"/>
        <w:rPr>
          <w:rStyle w:val="mfont1"/>
          <w:rFonts w:ascii="Times New Roman" w:hAnsi="Times New Roman"/>
          <w:color w:val="000000" w:themeColor="text1"/>
          <w:sz w:val="16"/>
          <w:szCs w:val="16"/>
        </w:rPr>
      </w:pPr>
      <w:r w:rsidRPr="001E2C69">
        <w:rPr>
          <w:rFonts w:ascii="Times New Roman" w:hAnsi="Times New Roman"/>
          <w:color w:val="000000" w:themeColor="text1"/>
          <w:sz w:val="16"/>
          <w:szCs w:val="16"/>
        </w:rPr>
        <w:t>13. Карбюраторный (угольно-скрапный) процесс плавки внедрен под руководством молодого инженера А.М. Свистунова в июле 1941г. (ЦДНИ УР. Ф.273. Оп. 3. Д.28. Л.5, 29) (12685).</w:t>
      </w:r>
    </w:p>
    <w:p w14:paraId="7BEF275F" w14:textId="77777777" w:rsidR="00907F56" w:rsidRPr="001E2C69" w:rsidRDefault="00907F56" w:rsidP="00722885">
      <w:pPr>
        <w:pStyle w:val="Iauiue"/>
        <w:jc w:val="both"/>
        <w:rPr>
          <w:iCs/>
          <w:color w:val="000000" w:themeColor="text1"/>
          <w:sz w:val="16"/>
          <w:szCs w:val="16"/>
        </w:rPr>
      </w:pPr>
    </w:p>
    <w:p w14:paraId="20C66638"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764C2BD0" w14:textId="77777777" w:rsidR="00AE7191" w:rsidRPr="001E2C69" w:rsidRDefault="00AE7191" w:rsidP="00722885">
      <w:pPr>
        <w:pStyle w:val="Iauiue"/>
        <w:jc w:val="both"/>
        <w:rPr>
          <w:iCs/>
          <w:color w:val="000000" w:themeColor="text1"/>
          <w:sz w:val="16"/>
          <w:szCs w:val="16"/>
        </w:rPr>
      </w:pPr>
    </w:p>
    <w:p w14:paraId="6339B09D"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августа в 1942 году утреннее сообщение Совинформбюро:</w:t>
      </w:r>
    </w:p>
    <w:p w14:paraId="37396029"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3 августа наши войска вели бои с противником в районах Клетская, Цымлянская, Кущевская, Сальск.</w:t>
      </w:r>
    </w:p>
    <w:p w14:paraId="2F2AD8AA"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19C6CE72"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на ряде участков немцы предприняли атаки силами пехоты и танков. Атакующих поддерживала авиация, сбросившая много бомб в расположении советских войск. Наши части стойко выдержали натиск гитлеровцев и отбросили их на исходные рубежи. Одна наша часть в боях с противником в течение дня уничтожила 30 орудий, 3 миномётные батареи и до 2.000 немецких солдат и офицеров. Артиллеристы и бронебойщики Н-ского полка подбили 6 немецких танков. Пять наших истребителей под командованием старшего лейтенанта Шевалова вступилив бой с шестью истребителями противника и сбили два немецких самолёта.</w:t>
      </w:r>
    </w:p>
    <w:p w14:paraId="7AEAB956"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Цымлянской противник силой до двух батальонов пехоты атаковал одно наше подразделение. Советские бойцы отбили атаку немцев. На поле боя осталось 11 подбитых танков и свыше 200 трупов гитлеровцев. На другом участке подразделение морской пехоты в ожесточённом бою с противником вывело из строя 8 танков иуничтожило 700 немецких солдат и офицеров.</w:t>
      </w:r>
    </w:p>
    <w:p w14:paraId="19D514DA"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районах Кущевской и Сальска наши войска продолжали вести тяжёлые оборонительные бои с противником. Части донских и кубанских казаков несколькими успешными контратаками уничтожили свыше 1.500 гитлеровцев. Наши пикирующие и дальние бомбардировщики произвели ряд успешных налётов на танковые и моторизованные колонны подходивших резервов противника. В результате бомбёжки немецким частям нанесён большой урон.</w:t>
      </w:r>
    </w:p>
    <w:p w14:paraId="1E8DA55F"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Ленинградском фронте происходили действия разведчиков. Огнём нашей артиллерии уничтожено 6 станковых пулемётов, несколько орудий и разбито 18 дерево-земляных огневых точек и блиндажей противника. Немцы потеряли убитыми свыше 200 солдат и офицеров.</w:t>
      </w:r>
    </w:p>
    <w:p w14:paraId="3B0DED80"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126 снайперов части, которой командует тов. Рябинкин, за время войны уничтожили около 2.000 гитлеровцев. Лучшие снайперы этой части тт. Остудин, Вдовиченко, Салтыков, Ющенко, Чистяков, Говорухин, Кашицын истребили больше чемпо сотне немцев каждый. Снайпер тов. Николаев уничтожил 187 немецких солдат и офицеров.</w:t>
      </w:r>
    </w:p>
    <w:p w14:paraId="205D25FD"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действующий под командованием тов. В. в тылу врага на Северо-Западном фронте, за один месяц истребил свыше тысячи оккупантов, подбил и взорвал на минах 6 немецких танков, уничтожил 13 автомашин и пустил под откос 5 воинских эшелонов противника.</w:t>
      </w:r>
    </w:p>
    <w:p w14:paraId="30871043"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35 венгерского пехотного полка Миклош Б. рассказал: «В первом же бою с русскими наш батальон был разгромлен. За один час мы потеряли около 200 человек. Русские танки прорвали нашу оборону, раздавили противотанковые орудия иначали крушить всё на своём пути. Солдаты и офицеры разбежались. В этом бою убит командир батальона подполковник Шандор Минянски. Я с группой солдат сдался в плен».</w:t>
      </w:r>
    </w:p>
    <w:p w14:paraId="48879A67"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Голландские патриоты усиливают борьбу против немецко-фашистских оккупантов. За последние два месяца они уничтожили 40 товарных поездов и сожгли 5 немецких самолётов. Близ Гарлема взорван склад с торпедами и боеприпасами. На одной товарной станции сгорели немецкий продовольственный склад и три вагона с амуницией.» (14972).</w:t>
      </w:r>
    </w:p>
    <w:p w14:paraId="153B46E0" w14:textId="77777777" w:rsidR="00907F56" w:rsidRPr="001E2C69" w:rsidRDefault="00907F56" w:rsidP="00722885">
      <w:pPr>
        <w:spacing w:after="0" w:line="240" w:lineRule="auto"/>
        <w:jc w:val="both"/>
        <w:rPr>
          <w:rFonts w:ascii="Times New Roman" w:hAnsi="Times New Roman"/>
          <w:color w:val="000000" w:themeColor="text1"/>
          <w:sz w:val="16"/>
          <w:szCs w:val="16"/>
        </w:rPr>
      </w:pPr>
    </w:p>
    <w:p w14:paraId="1E1AB09B"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августа в 1942 году вечернее сообщение Совинформбюро:</w:t>
      </w:r>
    </w:p>
    <w:p w14:paraId="00F5EAC0"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3 августа наши войска вели ожесточённые бои в районах Клетская, Цымлянская, Сальсн, Кущевская.</w:t>
      </w:r>
    </w:p>
    <w:p w14:paraId="753B8351"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0729A3C8"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 корабли в Балтийском море потопили немецкий транспорт водоизмещением в 6.000 тонн.</w:t>
      </w:r>
    </w:p>
    <w:p w14:paraId="637CD724"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2 августа частями нашей авиации на различных участках фронта уничтожено или повреждено свыше 50 немецких танков, до 300 автомашин с войсками и грузами, 5 автоцистерн с горючим, взорвано 4 склада боеприпасов, подавлен огонь 10 батарей полевой и зенитной артиллерии, разбит железнодорожный состав, рассеяно и частью уничтожено до двух батальонов пехоты противника.</w:t>
      </w:r>
    </w:p>
    <w:p w14:paraId="475675B7"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наши войска отбивали атаки гитлеровцев и на ряде участков наносили контрудары по танкам и мотопехоте противника. Наша часть под командованием тов. Утвенко в течение дня уничтожила свыше 300 гитлеровцев и захватила 2 бронемашины, 5 станковых пулемётов, радиостанцию и другое военное имущество. Взяты пленные. Н-ская стрелковая часть, ведя активные боевые действия, истребила свыше 1.000 немецких солдат и офицеров. Бойцы этой части захватили у противника 30 миномётов, 4 орудия, 300 винтовок, 8.000 патронов и много гранат. Советские лётчики за сутки сбили в воздушных боях 18 самолётов противника.</w:t>
      </w:r>
    </w:p>
    <w:p w14:paraId="5AEECE10"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Цымлянской наши войска вели упорные бои против группировки противника, переправившейся через Дон. На одном из участков немцы сосредоточили несколько десятков танков и атаковали наши позиции. Огнём артиллерии, а затемк онтратакой наших танкистов было подбито 8 танков противника. Немцы потеряли в этом бою только убитыми свыше 250 солдат и офицеров.</w:t>
      </w:r>
    </w:p>
    <w:p w14:paraId="16641AD3"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Сальска наши войска вели тяжёлые оборонительные бои с танками и мотопехотой противника. На участке одного соединения уничтожено 5 немецких танков, 12 противотанковых орудий, 8 зенитно-пулемётных установок и 3 миномёта. На поле боя гитлеровцы оставили до 400 трупов. В районе Кущевской происходили особенно ожесточённые бои. Один крупный населённый пункт в течение дня три раза переходил из рук в руки. Противник понёс большие потери. Подбито 7 танков и уничтожено свыше 800 немецких солдат и офицеров.</w:t>
      </w:r>
    </w:p>
    <w:p w14:paraId="1965D06B"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Брянском фронте происходили бои местного значения. Танковая рота гвардии капитана тов. Морозова уничтожила 2 немецких танка, 2 орудия, 6 станковых пулемётов и до роты пехоты противника. Экипаж гвардии младшего лейтенанта Астахова истребил до взвода вражеской пехоты и разгромил командный пункт. Несколько немецких офицеров взято в плен. На других участках наши части вели бои с целью улучшения своих позиций.</w:t>
      </w:r>
    </w:p>
    <w:p w14:paraId="71F96273"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Карельском фронте наблюдались столкновения с небольшими группам ипротивника. Усиленная рота белофиннов предприняла разведку боем. Находившийся в боевом охранении взвод под командованием лейтенанта Акимкина подпустил противника на близкое расстояние и открыл миномётный и ружейно-пулемётный огонь.В завязавшемся бою уничтожено 50 вражеских солдат и офицеров.</w:t>
      </w:r>
    </w:p>
    <w:p w14:paraId="0742BDDB"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брянских партизан под командованием тов. В. пустил под откос железнодорожный эшелон противника с боеприпасами. В последних боях против захватчиков партизаны уничтожили 56 и ранили свыше 100 солдат и офицеров противника.</w:t>
      </w:r>
    </w:p>
    <w:p w14:paraId="267A3993"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Ниже публикуются выдержки из неотправленного письма, найденного у убитого немецкого обер-ефрейтора Штрикера:</w:t>
      </w:r>
    </w:p>
    <w:p w14:paraId="39FF8D07"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«Вчера, наконец, привезли почту. Какой сюрприз! Я получил письмо от Генриха Шпорна и Роберта Трайлиха, они опять в России, где-то на юге. Им и во сне не снилось, что их так скоро отправят из Франции. Генрих пишет, что в первом бою его часть понесла ужасные потери. Роберт — в бешенстве. Он ненавидит тыловых жеребцов, которые с помощью связей продвигаются по службе гораздо быстрее тех, кто находится на Восточном фронте и рискует головой... Каждый из нас одной ногой стоит в могиле. Раньше мы с нетерпением ждали смены и думали, что когда придут новые части, нас отведут в тыл. Теперь мы убедились, что смена прибывает только для тех, кто уже покончил все счёты с жизнью».</w:t>
      </w:r>
    </w:p>
    <w:p w14:paraId="1BD20A1B"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предприятиях Италии увеличилось число актов саботажа и диверсий. В Падуе неизвестные подожгли военный завод и склады военного имущества. В сборочном цехе торпедного завода в г. Пола близ Триеста произошёл взрыв большой силы. Цех разрушен.» (14972).</w:t>
      </w:r>
    </w:p>
    <w:p w14:paraId="63DA6900" w14:textId="77777777" w:rsidR="00907F56" w:rsidRPr="001E2C69" w:rsidRDefault="00907F56" w:rsidP="00722885">
      <w:pPr>
        <w:spacing w:after="0" w:line="240" w:lineRule="auto"/>
        <w:jc w:val="both"/>
        <w:rPr>
          <w:rFonts w:ascii="Times New Roman" w:hAnsi="Times New Roman"/>
          <w:color w:val="000000" w:themeColor="text1"/>
          <w:sz w:val="16"/>
          <w:szCs w:val="16"/>
        </w:rPr>
      </w:pPr>
    </w:p>
    <w:p w14:paraId="4CFB11DF"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августа в 1942 году немецкие танки форсируют Дон в районе Цымлянска (14972).</w:t>
      </w:r>
    </w:p>
    <w:p w14:paraId="56E96EED" w14:textId="77777777" w:rsidR="00907F56" w:rsidRPr="001E2C69" w:rsidRDefault="00907F56" w:rsidP="00722885">
      <w:pPr>
        <w:spacing w:after="0" w:line="240" w:lineRule="auto"/>
        <w:jc w:val="both"/>
        <w:rPr>
          <w:rFonts w:ascii="Times New Roman" w:hAnsi="Times New Roman"/>
          <w:color w:val="000000" w:themeColor="text1"/>
          <w:sz w:val="16"/>
          <w:szCs w:val="16"/>
        </w:rPr>
      </w:pPr>
    </w:p>
    <w:p w14:paraId="57CB38E3" w14:textId="77777777" w:rsidR="001E4C3E" w:rsidRPr="001E2C69" w:rsidRDefault="001E4C3E" w:rsidP="00722885">
      <w:pPr>
        <w:pStyle w:val="Iauiue"/>
        <w:tabs>
          <w:tab w:val="left" w:pos="11199"/>
        </w:tabs>
        <w:jc w:val="both"/>
        <w:rPr>
          <w:color w:val="000000" w:themeColor="text1"/>
          <w:sz w:val="16"/>
          <w:szCs w:val="16"/>
        </w:rPr>
      </w:pPr>
      <w:r w:rsidRPr="001E2C69">
        <w:rPr>
          <w:color w:val="000000" w:themeColor="text1"/>
          <w:sz w:val="16"/>
          <w:szCs w:val="16"/>
        </w:rPr>
        <w:t>3 августа 1942 немецкие танки форсировали Дон в районе Цымлянска (4962).</w:t>
      </w:r>
    </w:p>
    <w:p w14:paraId="2A523F39" w14:textId="77777777" w:rsidR="001E4C3E" w:rsidRPr="001E2C69" w:rsidRDefault="001E4C3E" w:rsidP="00722885">
      <w:pPr>
        <w:pStyle w:val="Iauiue"/>
        <w:tabs>
          <w:tab w:val="left" w:pos="11199"/>
        </w:tabs>
        <w:jc w:val="both"/>
        <w:rPr>
          <w:color w:val="000000" w:themeColor="text1"/>
          <w:sz w:val="16"/>
          <w:szCs w:val="16"/>
        </w:rPr>
      </w:pPr>
    </w:p>
    <w:p w14:paraId="54516EE9"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августа в 1942 году меморандум германскому верховному командованию, за подписями генерала А.А.Власова и полковника В.И.Боярского. В нем говорилось о том, что офицерский корпус РККА, и особенно попавшие в плен офицеры, стоят перед вопросом – каким путем может быть свергнуто правительство Сталина и создана новая Россия; к кому именно примкнуть – к Германии, Англии или США. "Главная задача – свержение правительства – говорит за то, что следует примкнуть к Германии... Однако вопрос будущности России неясен. Это может привести к союзу с Соединенными Штатами и Англией, в случае если Германия не внесет ясность в этот вопрос" (14972).</w:t>
      </w:r>
    </w:p>
    <w:p w14:paraId="5318C14D" w14:textId="77777777" w:rsidR="00907F56" w:rsidRPr="001E2C69" w:rsidRDefault="00907F56" w:rsidP="00722885">
      <w:pPr>
        <w:spacing w:after="0" w:line="240" w:lineRule="auto"/>
        <w:jc w:val="both"/>
        <w:rPr>
          <w:rFonts w:ascii="Times New Roman" w:hAnsi="Times New Roman"/>
          <w:color w:val="000000" w:themeColor="text1"/>
          <w:sz w:val="16"/>
          <w:szCs w:val="16"/>
        </w:rPr>
      </w:pPr>
    </w:p>
    <w:p w14:paraId="77BC8CF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августа 1942 л-ш А.Гарбуз при штурмовке в районе р Волхов был подбит и направил машину на танковую колонну, угодив в прицеп с боеприпасами. Оторвало бронекорпус и отбросило в сторону на деревья. выжил и вернулся (438,853).</w:t>
      </w:r>
    </w:p>
    <w:p w14:paraId="17782849" w14:textId="77777777" w:rsidR="00AE7191" w:rsidRPr="001E2C69" w:rsidRDefault="00AE7191" w:rsidP="00722885">
      <w:pPr>
        <w:pStyle w:val="Iauiue"/>
        <w:jc w:val="both"/>
        <w:rPr>
          <w:color w:val="000000" w:themeColor="text1"/>
          <w:sz w:val="16"/>
          <w:szCs w:val="16"/>
        </w:rPr>
      </w:pPr>
    </w:p>
    <w:p w14:paraId="1D0FDFB6"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В ночь 3 августа 1942 полком произведен боевой вылет на бомбардирование железнодорожно</w:t>
      </w:r>
      <w:r w:rsidRPr="001E2C69">
        <w:rPr>
          <w:rFonts w:ascii="Times New Roman" w:hAnsi="Times New Roman"/>
          <w:color w:val="000000" w:themeColor="text1"/>
          <w:sz w:val="16"/>
          <w:szCs w:val="16"/>
        </w:rPr>
        <w:softHyphen/>
        <w:t>го узла Ржев-южный и склада восточнее стан</w:t>
      </w:r>
      <w:r w:rsidRPr="001E2C69">
        <w:rPr>
          <w:rFonts w:ascii="Times New Roman" w:hAnsi="Times New Roman"/>
          <w:color w:val="000000" w:themeColor="text1"/>
          <w:sz w:val="16"/>
          <w:szCs w:val="16"/>
        </w:rPr>
        <w:softHyphen/>
        <w:t>ции. Командир корабля №42066 майор Пусэп, штурман майор Штепенко при подходе к цели наблюдали бомбометание других самолетов, в результате возникло два очага пожара в южной части города. С одного захода в 22.10 с высоты 2450 м на цель сброшено ФАБ-2000 и две ФАБ-1000. Наблюдали разрывы бомб на путях и прилегающих к ним постройкам и три больших очага пожара на путях станции, кото</w:t>
      </w:r>
      <w:r w:rsidRPr="001E2C69">
        <w:rPr>
          <w:rFonts w:ascii="Times New Roman" w:hAnsi="Times New Roman"/>
          <w:color w:val="000000" w:themeColor="text1"/>
          <w:sz w:val="16"/>
          <w:szCs w:val="16"/>
        </w:rPr>
        <w:softHyphen/>
        <w:t>рые все время разгорались (19936).</w:t>
      </w:r>
    </w:p>
    <w:p w14:paraId="0505FB66"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ночь с 4 на 5 августа 1942 г. полком было произведено три самолетовылета. Все само</w:t>
      </w:r>
      <w:r w:rsidRPr="001E2C69">
        <w:rPr>
          <w:rFonts w:ascii="Times New Roman" w:hAnsi="Times New Roman"/>
          <w:color w:val="000000" w:themeColor="text1"/>
          <w:sz w:val="16"/>
          <w:szCs w:val="16"/>
        </w:rPr>
        <w:softHyphen/>
        <w:t>леты к основной цели не пробились из-за грозовой облачности на маршруте и бомбар</w:t>
      </w:r>
      <w:r w:rsidRPr="001E2C69">
        <w:rPr>
          <w:rFonts w:ascii="Times New Roman" w:hAnsi="Times New Roman"/>
          <w:color w:val="000000" w:themeColor="text1"/>
          <w:sz w:val="16"/>
          <w:szCs w:val="16"/>
        </w:rPr>
        <w:softHyphen/>
        <w:t>дировали запасную цель - железнодорож</w:t>
      </w:r>
      <w:r w:rsidRPr="001E2C69">
        <w:rPr>
          <w:rFonts w:ascii="Times New Roman" w:hAnsi="Times New Roman"/>
          <w:color w:val="000000" w:themeColor="text1"/>
          <w:sz w:val="16"/>
          <w:szCs w:val="16"/>
        </w:rPr>
        <w:softHyphen/>
        <w:t>ный узел Вязьма. Отмечалась течь радиатора третьего мотора самолета №42107, необхо</w:t>
      </w:r>
      <w:r w:rsidRPr="001E2C69">
        <w:rPr>
          <w:rFonts w:ascii="Times New Roman" w:hAnsi="Times New Roman"/>
          <w:color w:val="000000" w:themeColor="text1"/>
          <w:sz w:val="16"/>
          <w:szCs w:val="16"/>
        </w:rPr>
        <w:softHyphen/>
        <w:t>димость осмотра планера и моторов ТБ-7 №42077 и исправность ТБ-7 №42066 (19936).</w:t>
      </w:r>
    </w:p>
    <w:p w14:paraId="518A26F6" w14:textId="77777777" w:rsidR="001E4C3E" w:rsidRPr="001E2C69" w:rsidRDefault="001E4C3E" w:rsidP="00722885">
      <w:pPr>
        <w:spacing w:after="0" w:line="240" w:lineRule="auto"/>
        <w:jc w:val="both"/>
        <w:rPr>
          <w:rFonts w:ascii="Times New Roman" w:hAnsi="Times New Roman"/>
          <w:color w:val="000000" w:themeColor="text1"/>
          <w:sz w:val="16"/>
          <w:szCs w:val="16"/>
        </w:rPr>
      </w:pPr>
    </w:p>
    <w:p w14:paraId="6CD5726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августа 1942 г. вышел ПРИКАЗ № 00162 О ФОРМИРОВАНИИ 1-й АВИАЦИОННОЙ БРИГАДЫ ПО ПЕРЕГОНКЕ САМОЛЕТОВ</w:t>
      </w:r>
    </w:p>
    <w:p w14:paraId="53940C3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Во исполнение постановления Государственного Комитета обороны № ГОКО-2132 от 1 августа 1942 г. приказываю:</w:t>
      </w:r>
    </w:p>
    <w:p w14:paraId="71A5E94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Сформировать Управление Красноярской воздушной трассы по штату № 015/268. Дислокация г. Якутск.</w:t>
      </w:r>
    </w:p>
    <w:p w14:paraId="04F4462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Сформировать 1-ю авиационную бригаду по перегонке самолетов</w:t>
      </w:r>
      <w:r w:rsidRPr="001E2C69">
        <w:rPr>
          <w:color w:val="000000" w:themeColor="text1"/>
          <w:sz w:val="16"/>
          <w:szCs w:val="16"/>
          <w:vertAlign w:val="superscript"/>
        </w:rPr>
        <w:t xml:space="preserve">46 </w:t>
      </w:r>
      <w:r w:rsidRPr="001E2C69">
        <w:rPr>
          <w:color w:val="000000" w:themeColor="text1"/>
          <w:sz w:val="16"/>
          <w:szCs w:val="16"/>
        </w:rPr>
        <w:t>по штату № 015/267. Дислокация г. Красноярск, в составе:</w:t>
      </w:r>
    </w:p>
    <w:p w14:paraId="2A351B7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 одной эскадрильи лидеров “Бостон-3”, состоящий из 6 групп по 2 экипажа в каждой;</w:t>
      </w:r>
    </w:p>
    <w:p w14:paraId="526B8C6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 одного смешанного авиаполка Б-25 и “Бостон-3” в составе одной эскадрильи Б-25 и 4 эскадрилий “Бостон-3”;</w:t>
      </w:r>
    </w:p>
    <w:p w14:paraId="02F5518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одного авиавполка “Бостон-3” в составе 6 эскадрилий;</w:t>
      </w:r>
    </w:p>
    <w:p w14:paraId="1844D42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 двух авиаполков “Аэрокобра” и Р-40Е в составе 8 эскадрилий каждый.</w:t>
      </w:r>
    </w:p>
    <w:p w14:paraId="238A98A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 формирование 1-й авиабригады обратить: 185, 416, 187, 41-й истребительные и 561-й и 794-й бомбардировочные авиаполки.</w:t>
      </w:r>
    </w:p>
    <w:p w14:paraId="17103FE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Сформировать Военное представительство ВВС Красной Армии в Фербенксе по штату № 029/223.</w:t>
      </w:r>
    </w:p>
    <w:p w14:paraId="656F471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Начальнику Главного управления обучения, формирования и боевой подготовки и начальнику управления кадров ВВС КА отобрать и подготовить для укомплектования 1-й авиабригады 284 экипажа, в том числе:</w:t>
      </w:r>
    </w:p>
    <w:p w14:paraId="790751E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 экипажей Б-25 112 экипажей “Бостон-3” 160 экипажей “Аэрокобра” и Р-40Е.</w:t>
      </w:r>
    </w:p>
    <w:p w14:paraId="28DF457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Подготовку экипажей провести в сроки: первую очередь — 50 % к 15.8.42 г. и 50 % к 15.9.42 г.</w:t>
      </w:r>
    </w:p>
    <w:p w14:paraId="1877F79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Военному совету Дальневосточного фронта отобрать и направить к 15.8.1942 г. в распоряжение командира 6-й запасной авиабригады в Иваново 30 экипажей для истребительных самолетов и 30 экипажей для бомбардировочных самолетов. Выделить экипажи, умеющие летать в сложных метеоусловиях и ночью.</w:t>
      </w:r>
    </w:p>
    <w:p w14:paraId="4D611E4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Начальнику управления кадров ВВС Красной Армии: а) к 3 августа 1942 г. принять 10 экипажей от командующего авиацией дальнего действия и 3 экипажа от Главсевморпути и направить их для использования в составе 1-й авиабригады по перегонке самолетов;</w:t>
      </w:r>
    </w:p>
    <w:p w14:paraId="21D3C19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 передать к 5.8.42 г. в состав 1-й авиабригады 7 экипажей Б-25 и 10 экипажей “Бостон-3” из состава перегоночных групп южной трассы.</w:t>
      </w:r>
    </w:p>
    <w:p w14:paraId="53B6AD5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 Лидирование перегоняемых самолетов проводить по участкам Фер-бенкс-Ном, Ном-Уэлькаль-Сеймчан, Сеймчан-Якутск, Якутск-Киренск, Ки-ренск-Красноярск.</w:t>
      </w:r>
    </w:p>
    <w:p w14:paraId="222513F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 Военным советам Волховского, Воронежского и Сталинградского фронтов и Архангельского военного округа выделяемые на формирование 1-й авиабригады авиаполки в полном составе направить в Иваново в распоряжение командира 6-й запасной авиабригады к 5.8.42 г.</w:t>
      </w:r>
    </w:p>
    <w:p w14:paraId="037B9C0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 Военным советам Сибирского военного округа и Забайкальского фронта обеспечить формирование Управления Красноярской воздушной трассы и 1-й авиабригады всеми видами довольствия и общевойсковым личным составом.</w:t>
      </w:r>
    </w:p>
    <w:p w14:paraId="381DCCA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 Начальнику Главного артиллерийского управления генерал-полковнику Яковлеву обеспечить летно-технический состав 1-й авиабригады и аэропортов ГВФ личным оружием и автоматами.</w:t>
      </w:r>
    </w:p>
    <w:p w14:paraId="6A41E6A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 Начальнику тыла Красной Армии установить повышенные нормы питания для личного состава 1-й авиабригады и аэропортов.</w:t>
      </w:r>
    </w:p>
    <w:p w14:paraId="7D3AA4C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 Начальникам главных управлений НКО обеспечить проводимые мероприятия всеми положенными видами довольствия.</w:t>
      </w:r>
    </w:p>
    <w:p w14:paraId="4DCF654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13. Назначить:</w:t>
      </w:r>
    </w:p>
    <w:p w14:paraId="286CC3F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Начальником Управления Красноярской воздушной трассы — полковника Мазурук И. П.</w:t>
      </w:r>
    </w:p>
    <w:p w14:paraId="6FA586A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Заместителем начальника Красноярской воздушной трассы — подполковника Фокина В. В.</w:t>
      </w:r>
    </w:p>
    <w:p w14:paraId="3C2CBFC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Командиром 1 -и авиационной бригады по перегонке самолетов — подполковника Романова Н. К.</w:t>
      </w:r>
    </w:p>
    <w:p w14:paraId="1BC5941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14. Формирование Управления Красноярской воздушной трассы и управления 1-й авиационной бригады закончить к 15 августа 1942 года.</w:t>
      </w:r>
    </w:p>
    <w:p w14:paraId="05CF7161" w14:textId="77777777" w:rsidR="00AE7191" w:rsidRPr="001E2C69" w:rsidRDefault="00AE7191" w:rsidP="00722885">
      <w:pPr>
        <w:pStyle w:val="Iauiue"/>
        <w:jc w:val="both"/>
        <w:rPr>
          <w:color w:val="000000" w:themeColor="text1"/>
          <w:sz w:val="16"/>
          <w:szCs w:val="16"/>
        </w:rPr>
      </w:pPr>
      <w:r w:rsidRPr="001E2C69">
        <w:rPr>
          <w:iCs/>
          <w:color w:val="000000" w:themeColor="text1"/>
          <w:sz w:val="16"/>
          <w:szCs w:val="16"/>
        </w:rPr>
        <w:t xml:space="preserve">Заместитель Народного комиссара обороны СССР армейский комиссар I ранга Е. ЩАДЕН КО </w:t>
      </w:r>
      <w:r w:rsidRPr="001E2C69">
        <w:rPr>
          <w:color w:val="000000" w:themeColor="text1"/>
          <w:sz w:val="16"/>
          <w:szCs w:val="16"/>
        </w:rPr>
        <w:t>(9844).</w:t>
      </w:r>
    </w:p>
    <w:p w14:paraId="023D581B" w14:textId="77777777" w:rsidR="00AE7191" w:rsidRPr="001E2C69" w:rsidRDefault="00AE7191" w:rsidP="00722885">
      <w:pPr>
        <w:pStyle w:val="Iauiue"/>
        <w:jc w:val="both"/>
        <w:rPr>
          <w:color w:val="000000" w:themeColor="text1"/>
          <w:sz w:val="16"/>
          <w:szCs w:val="16"/>
        </w:rPr>
      </w:pPr>
    </w:p>
    <w:p w14:paraId="0669AA5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августа 1942 части вермахта нанесли удар в другом направлении, и к утру следующего дня вышли к мосту у Аксай. Однако здесь их ждала выдвинутая в спешном порядке 6-я гвардейская танковая бригада - 44 тридцатьчетверки, занявшая оборону у станции Абганерово. В результате боя было уничтожено 10 немецких машин, свои потери составили один подбитый Т-34.</w:t>
      </w:r>
    </w:p>
    <w:p w14:paraId="1EB7F39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Вскоре в этот же район подтянули 13 (44 Т-34) и 254-ю танковые бригады. Правда в последней после 300-километрового марша осталось на ходу всего 14 тридцатьчетверок. Обе эти бригады 6 августа атаковали противника, занявшего разъезд «74-й километр», но неудачно - в первом же бою они потеряли 29 тридцатьчетверок. Бои на этом направлении продолжались до 17 августа, и наступление немцев здесь было задержано (12217).</w:t>
      </w:r>
    </w:p>
    <w:p w14:paraId="1207E21A"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379C14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августа 1942 г. пораженный ави</w:t>
      </w:r>
      <w:r w:rsidRPr="001E2C69">
        <w:rPr>
          <w:color w:val="000000" w:themeColor="text1"/>
          <w:sz w:val="16"/>
          <w:szCs w:val="16"/>
        </w:rPr>
        <w:softHyphen/>
        <w:t>ационной торпедой крейсер "Молотов" сохранили не</w:t>
      </w:r>
      <w:r w:rsidRPr="001E2C69">
        <w:rPr>
          <w:color w:val="000000" w:themeColor="text1"/>
          <w:sz w:val="16"/>
          <w:szCs w:val="16"/>
        </w:rPr>
        <w:softHyphen/>
        <w:t>потопляемость (с потери кормы до 262-го шпангоута) (3898).</w:t>
      </w:r>
    </w:p>
    <w:p w14:paraId="00F850A5" w14:textId="77777777" w:rsidR="00AE7191" w:rsidRPr="001E2C69" w:rsidRDefault="00AE7191" w:rsidP="00722885">
      <w:pPr>
        <w:pStyle w:val="Iauiue"/>
        <w:jc w:val="both"/>
        <w:rPr>
          <w:iCs/>
          <w:color w:val="000000" w:themeColor="text1"/>
          <w:sz w:val="16"/>
          <w:szCs w:val="16"/>
        </w:rPr>
      </w:pPr>
    </w:p>
    <w:p w14:paraId="513A7A3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августа 1942 катерникам ЧМФ пришлось охранять поврежденный корабль - торпедированный крейсер “Молотов” (6002).</w:t>
      </w:r>
    </w:p>
    <w:p w14:paraId="4B6EA91B" w14:textId="77777777" w:rsidR="00AE7191" w:rsidRPr="001E2C69" w:rsidRDefault="00AE7191" w:rsidP="00722885">
      <w:pPr>
        <w:pStyle w:val="Iauiue"/>
        <w:jc w:val="both"/>
        <w:rPr>
          <w:color w:val="000000" w:themeColor="text1"/>
          <w:sz w:val="16"/>
          <w:szCs w:val="16"/>
        </w:rPr>
      </w:pPr>
    </w:p>
    <w:p w14:paraId="6F5A470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августа 1942 вышло Постановление ГКО № 2133 Вопросы Центрального штаба партизанского движения. РГАНИР, Фонд ГКО, д. 48, лл. 170 (11012).</w:t>
      </w:r>
    </w:p>
    <w:p w14:paraId="75649A2E"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F7BDC9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августа 1942 года вышло Распоряжение Начальника ЦШПД начальникам партизанских штабов о борьбе с агентурой противника (8983).</w:t>
      </w:r>
    </w:p>
    <w:p w14:paraId="3DCB16ED" w14:textId="77777777" w:rsidR="00AE7191" w:rsidRPr="001E2C69" w:rsidRDefault="00AE7191" w:rsidP="00722885">
      <w:pPr>
        <w:pStyle w:val="Iauiue"/>
        <w:jc w:val="both"/>
        <w:rPr>
          <w:color w:val="000000" w:themeColor="text1"/>
          <w:sz w:val="16"/>
          <w:szCs w:val="16"/>
        </w:rPr>
      </w:pPr>
    </w:p>
    <w:p w14:paraId="333B5C2A"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074B777A" w14:textId="77777777" w:rsidR="00AE7191" w:rsidRPr="001E2C69" w:rsidRDefault="00AE7191" w:rsidP="00722885">
      <w:pPr>
        <w:pStyle w:val="Iauiue"/>
        <w:jc w:val="both"/>
        <w:rPr>
          <w:iCs/>
          <w:color w:val="000000" w:themeColor="text1"/>
          <w:sz w:val="16"/>
          <w:szCs w:val="16"/>
        </w:rPr>
      </w:pPr>
    </w:p>
    <w:p w14:paraId="753329FB"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3 августа в 1942 году пилот Эгон Фат впервые поднял летающую лодку </w:t>
      </w:r>
      <w:hyperlink r:id="rId182" w:tgtFrame="_blank" w:history="1">
        <w:r w:rsidRPr="001E2C69">
          <w:rPr>
            <w:rFonts w:ascii="Times New Roman" w:hAnsi="Times New Roman"/>
            <w:color w:val="000000" w:themeColor="text1"/>
            <w:sz w:val="16"/>
            <w:szCs w:val="16"/>
          </w:rPr>
          <w:t xml:space="preserve">«Do.212» </w:t>
        </w:r>
      </w:hyperlink>
      <w:r w:rsidRPr="001E2C69">
        <w:rPr>
          <w:rFonts w:ascii="Times New Roman" w:hAnsi="Times New Roman"/>
          <w:color w:val="000000" w:themeColor="text1"/>
          <w:sz w:val="16"/>
          <w:szCs w:val="16"/>
        </w:rPr>
        <w:t>в воздух. Летающая лодка «Do.212» была создана специалистами фирмы «ЭA.G. fur Dornierflugzeuge», которая являлась филиалом известной немецкой компании «Dornier». Этот небольшой самолёт предназначался для перевозки 4 пассажиров на короткие расстояния. Конструкция «Do.212» была цельнометаллической, на нем устанавливался 450-сильный двигатель «Hirth» «HM-512B-0» с толкающим воздушным винтом за пассажирским салоном. Для защиты от попадания брызг в мотор и пропеллер его приподнимали вверх на 12 град. Об испытаниях «Do.212V-1» («HB-GOG») известно немного, но уже в скором времени от продолжения работ по этому самолёту пришлось отказаться. В середине 1943 года тестовые полеты прекратили, а единственный прототип, по всей видимости, разобрали на металл (14972).</w:t>
      </w:r>
    </w:p>
    <w:p w14:paraId="46DE77E5" w14:textId="77777777" w:rsidR="00907F56" w:rsidRPr="001E2C69" w:rsidRDefault="00907F56" w:rsidP="00722885">
      <w:pPr>
        <w:spacing w:after="0" w:line="240" w:lineRule="auto"/>
        <w:jc w:val="both"/>
        <w:rPr>
          <w:rFonts w:ascii="Times New Roman" w:hAnsi="Times New Roman"/>
          <w:color w:val="000000" w:themeColor="text1"/>
          <w:sz w:val="16"/>
          <w:szCs w:val="16"/>
        </w:rPr>
      </w:pPr>
    </w:p>
    <w:p w14:paraId="5FAA73D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3-17 августа 1942 была операция британского флота по проводке на Мальту конвоя Пьедестал (3186).</w:t>
      </w:r>
    </w:p>
    <w:p w14:paraId="2929FAC9" w14:textId="77777777" w:rsidR="00AE7191" w:rsidRPr="001E2C69" w:rsidRDefault="00AE7191" w:rsidP="00722885">
      <w:pPr>
        <w:pStyle w:val="Iauiue"/>
        <w:jc w:val="both"/>
        <w:rPr>
          <w:color w:val="000000" w:themeColor="text1"/>
          <w:sz w:val="16"/>
          <w:szCs w:val="16"/>
        </w:rPr>
      </w:pPr>
    </w:p>
    <w:p w14:paraId="4A86AD09"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2BA91F11" w14:textId="77777777" w:rsidR="00AE7191" w:rsidRPr="001E2C69" w:rsidRDefault="00AE7191" w:rsidP="00722885">
      <w:pPr>
        <w:pStyle w:val="Iauiue"/>
        <w:jc w:val="both"/>
        <w:rPr>
          <w:iCs/>
          <w:color w:val="000000" w:themeColor="text1"/>
          <w:sz w:val="16"/>
          <w:szCs w:val="16"/>
        </w:rPr>
      </w:pPr>
    </w:p>
    <w:p w14:paraId="12199F2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августа 1942 Зам. наркома обороны Воронов утвердил Краткие ТТТ на артиллерийский самолет разведчик-корректировщик. Их подписали: Нач. упр. боевой подготовки ГУНАРТ КА Чистяков и нач. 2 отд. УБП ГУНАРТ КА Кирилов (1632,298).</w:t>
      </w:r>
    </w:p>
    <w:p w14:paraId="7BFA613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Назначение самолета</w:t>
      </w:r>
    </w:p>
    <w:p w14:paraId="4F6F9B7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Производить разведку поля боя, плановую аэрофотосъемку и корректировку артиллерийского огня над территорией противника и из своего расположения.</w:t>
      </w:r>
    </w:p>
    <w:p w14:paraId="07AB4DF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Основные ТТТ</w:t>
      </w:r>
    </w:p>
    <w:p w14:paraId="51DBBA2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Действия на различных высотах до практического потолка (наиболее характерные высоты работы корректировщика в диапазоне от 1200 м до 2500 м</w:t>
      </w:r>
    </w:p>
    <w:p w14:paraId="758047F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По технике пилотирования самолет должен быть прост и доступен к эксплуатации летчикам средней квалификации</w:t>
      </w:r>
    </w:p>
    <w:p w14:paraId="5555057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Самолет должен иметь мин. возможную посадочную скорость (в пределах от 100 до 130 км/час) и позволять работы с полевых посадочных площадок размерами 600х600 и 800х800 м</w:t>
      </w:r>
    </w:p>
    <w:p w14:paraId="39BEF46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Места л и лн должны позволять личное общение и удобство работы. Кабина летнаба должна позволять удобное размещение фотоаппаратуры и рации (желательно впереди летнаба).</w:t>
      </w:r>
    </w:p>
    <w:p w14:paraId="6DB2F54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ЛТХ</w:t>
      </w:r>
    </w:p>
    <w:p w14:paraId="057860D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При нормальном полетном весе, самолет должен обладать след. ЛТХ: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E2C69" w:rsidRPr="001E2C69" w14:paraId="599DFDF4" w14:textId="77777777" w:rsidTr="00CC5360">
        <w:tc>
          <w:tcPr>
            <w:tcW w:w="5636" w:type="dxa"/>
            <w:tcBorders>
              <w:top w:val="single" w:sz="12" w:space="0" w:color="auto"/>
            </w:tcBorders>
          </w:tcPr>
          <w:p w14:paraId="7626D21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макс. скорость</w:t>
            </w:r>
          </w:p>
        </w:tc>
        <w:tc>
          <w:tcPr>
            <w:tcW w:w="5636" w:type="dxa"/>
            <w:tcBorders>
              <w:top w:val="single" w:sz="12" w:space="0" w:color="auto"/>
            </w:tcBorders>
          </w:tcPr>
          <w:p w14:paraId="4A55D37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 - 400 км/час и выше</w:t>
            </w:r>
          </w:p>
        </w:tc>
      </w:tr>
      <w:tr w:rsidR="001E2C69" w:rsidRPr="001E2C69" w14:paraId="6BC88B7F" w14:textId="77777777" w:rsidTr="00CC5360">
        <w:tc>
          <w:tcPr>
            <w:tcW w:w="5636" w:type="dxa"/>
          </w:tcPr>
          <w:p w14:paraId="1D245A4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lastRenderedPageBreak/>
              <w:t>мин. эвулют. скорость</w:t>
            </w:r>
          </w:p>
        </w:tc>
        <w:tc>
          <w:tcPr>
            <w:tcW w:w="5636" w:type="dxa"/>
          </w:tcPr>
          <w:p w14:paraId="16A8FB9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 - 200-220 км/час</w:t>
            </w:r>
          </w:p>
        </w:tc>
      </w:tr>
      <w:tr w:rsidR="001E2C69" w:rsidRPr="001E2C69" w14:paraId="3A423A3C" w14:textId="77777777" w:rsidTr="00CC5360">
        <w:tc>
          <w:tcPr>
            <w:tcW w:w="5636" w:type="dxa"/>
          </w:tcPr>
          <w:p w14:paraId="079C777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крейсерская скорость</w:t>
            </w:r>
          </w:p>
        </w:tc>
        <w:tc>
          <w:tcPr>
            <w:tcW w:w="5636" w:type="dxa"/>
          </w:tcPr>
          <w:p w14:paraId="189F81C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 - 300 км/час</w:t>
            </w:r>
          </w:p>
        </w:tc>
      </w:tr>
      <w:tr w:rsidR="001E2C69" w:rsidRPr="001E2C69" w14:paraId="02BC93C1" w14:textId="77777777" w:rsidTr="00CC5360">
        <w:tc>
          <w:tcPr>
            <w:tcW w:w="5636" w:type="dxa"/>
          </w:tcPr>
          <w:p w14:paraId="19C0D73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посадочн. скорость</w:t>
            </w:r>
          </w:p>
        </w:tc>
        <w:tc>
          <w:tcPr>
            <w:tcW w:w="5636" w:type="dxa"/>
          </w:tcPr>
          <w:p w14:paraId="160CC3B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 - 100-130 км/час</w:t>
            </w:r>
          </w:p>
        </w:tc>
      </w:tr>
      <w:tr w:rsidR="001E2C69" w:rsidRPr="001E2C69" w14:paraId="7E0DC0EC" w14:textId="77777777" w:rsidTr="00CC5360">
        <w:tc>
          <w:tcPr>
            <w:tcW w:w="5636" w:type="dxa"/>
          </w:tcPr>
          <w:p w14:paraId="177D11E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практ. потолок </w:t>
            </w:r>
          </w:p>
        </w:tc>
        <w:tc>
          <w:tcPr>
            <w:tcW w:w="5636" w:type="dxa"/>
          </w:tcPr>
          <w:p w14:paraId="3424AD0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 - 2500-3000 м</w:t>
            </w:r>
          </w:p>
        </w:tc>
      </w:tr>
      <w:tr w:rsidR="001E2C69" w:rsidRPr="001E2C69" w14:paraId="676F57BC" w14:textId="77777777" w:rsidTr="00CC5360">
        <w:tc>
          <w:tcPr>
            <w:tcW w:w="5636" w:type="dxa"/>
          </w:tcPr>
          <w:p w14:paraId="70AF1B7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продолж. полета</w:t>
            </w:r>
          </w:p>
        </w:tc>
        <w:tc>
          <w:tcPr>
            <w:tcW w:w="5636" w:type="dxa"/>
          </w:tcPr>
          <w:p w14:paraId="08BD764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 - 2.5-3 час.</w:t>
            </w:r>
          </w:p>
        </w:tc>
      </w:tr>
      <w:tr w:rsidR="001E2C69" w:rsidRPr="001E2C69" w14:paraId="4DF64B38" w14:textId="77777777" w:rsidTr="00CC5360">
        <w:tc>
          <w:tcPr>
            <w:tcW w:w="5636" w:type="dxa"/>
            <w:tcBorders>
              <w:bottom w:val="single" w:sz="12" w:space="0" w:color="auto"/>
            </w:tcBorders>
          </w:tcPr>
          <w:p w14:paraId="3585AE4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экипаж</w:t>
            </w:r>
          </w:p>
        </w:tc>
        <w:tc>
          <w:tcPr>
            <w:tcW w:w="5636" w:type="dxa"/>
            <w:tcBorders>
              <w:bottom w:val="single" w:sz="12" w:space="0" w:color="auto"/>
            </w:tcBorders>
          </w:tcPr>
          <w:p w14:paraId="647A96C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 - 2 чел.</w:t>
            </w:r>
          </w:p>
        </w:tc>
      </w:tr>
    </w:tbl>
    <w:p w14:paraId="7CB08CC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Вооружение</w:t>
      </w:r>
    </w:p>
    <w:p w14:paraId="1C152AD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3-4 крупнокалиберных п и из них 2 ШВАК или БС впереди</w:t>
      </w:r>
    </w:p>
    <w:p w14:paraId="7319932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БС у летнаба на подвижной установке</w:t>
      </w:r>
    </w:p>
    <w:p w14:paraId="37304F7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4-6 балок, из них 2 назад</w:t>
      </w:r>
    </w:p>
    <w:p w14:paraId="53643BC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Средства связи</w:t>
      </w:r>
    </w:p>
    <w:p w14:paraId="47551A3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ПП станция РСИ-4</w:t>
      </w:r>
    </w:p>
    <w:p w14:paraId="26DB147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СПУ</w:t>
      </w:r>
    </w:p>
    <w:p w14:paraId="3DAD997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Ракетница</w:t>
      </w:r>
    </w:p>
    <w:p w14:paraId="47E60BF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Фотооборудование</w:t>
      </w:r>
    </w:p>
    <w:p w14:paraId="5F665F2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Люк в кабине летнаба для планового ф/а 50х50</w:t>
      </w:r>
    </w:p>
    <w:p w14:paraId="755DDD4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Аппарат и система питания д.б. рассчитаны на 24 в с общей мощностью 1-1.5 КВТ</w:t>
      </w:r>
    </w:p>
    <w:p w14:paraId="2CFF7CE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 Вспомогательное оборудование</w:t>
      </w:r>
    </w:p>
    <w:p w14:paraId="6068ABD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В кабине летнаба кроме других д.б. компас, пятка для ОПБ-1, наружн. термометр</w:t>
      </w:r>
    </w:p>
    <w:p w14:paraId="2A967C0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Самолет д. иметь:</w:t>
      </w:r>
    </w:p>
    <w:p w14:paraId="6A21EA1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 лыжи для эксплуатации в зимних условиях</w:t>
      </w:r>
    </w:p>
    <w:p w14:paraId="321E7FB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 необх. компл. запчастей и инструмент (1649,298).</w:t>
      </w:r>
    </w:p>
    <w:p w14:paraId="5716B05A" w14:textId="77777777" w:rsidR="00AE7191" w:rsidRPr="001E2C69" w:rsidRDefault="00AE7191" w:rsidP="00722885">
      <w:pPr>
        <w:pStyle w:val="Iauiue"/>
        <w:jc w:val="both"/>
        <w:rPr>
          <w:color w:val="000000" w:themeColor="text1"/>
          <w:sz w:val="16"/>
          <w:szCs w:val="16"/>
        </w:rPr>
      </w:pPr>
    </w:p>
    <w:p w14:paraId="1C7845D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и 8 августа 1942 заводом 22 совместно с ЛИИ НКАП, были сняты скорости по высотам с 2-х серийных самолетов, взятых прямо из производства. Самолеты были оборудованы тяжелой стрелковой установкой. Оба самолета с нефорсированными моторами дали максимум 517 км/час. Считая по данным ЛИИ НКАП, что стрелковая установка снимает 6-8 км/час скорости и недобор высотности моторов, что установлено и признано заводом 16, получаем макс. скорость 527 км/час... (1685,58).</w:t>
      </w:r>
    </w:p>
    <w:p w14:paraId="4D1CE89B" w14:textId="77777777" w:rsidR="00AE7191" w:rsidRPr="001E2C69" w:rsidRDefault="00AE7191" w:rsidP="00722885">
      <w:pPr>
        <w:pStyle w:val="Iauiue"/>
        <w:jc w:val="both"/>
        <w:rPr>
          <w:color w:val="000000" w:themeColor="text1"/>
          <w:sz w:val="16"/>
          <w:szCs w:val="16"/>
        </w:rPr>
      </w:pPr>
    </w:p>
    <w:p w14:paraId="69145A6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августа 1942 Зам. НКО г-л Новиков и НКАП А.И.Ш. был утвержден Отчет о совместных государственных и заводских испытаниях ДБ-3Ф 2М-82 и винтами АВ-5, производства завода 126 (испытания проводились на заводе 126) (2084).</w:t>
      </w:r>
    </w:p>
    <w:p w14:paraId="4CDDD273" w14:textId="77777777" w:rsidR="00AE7191" w:rsidRPr="001E2C69" w:rsidRDefault="00AE7191" w:rsidP="00722885">
      <w:pPr>
        <w:pStyle w:val="Iauiue"/>
        <w:jc w:val="both"/>
        <w:rPr>
          <w:color w:val="000000" w:themeColor="text1"/>
          <w:sz w:val="16"/>
          <w:szCs w:val="16"/>
        </w:rPr>
      </w:pPr>
    </w:p>
    <w:p w14:paraId="2DCF23F8"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4 августа 1942 г. Як-7ДИ Дублер полностью завершил цикл наземных испытаний, но в воздух его не поднимали по прямому указанию главного конструкто</w:t>
      </w:r>
      <w:r w:rsidRPr="008A2E5A">
        <w:rPr>
          <w:rFonts w:ascii="Times New Roman" w:hAnsi="Times New Roman"/>
          <w:color w:val="0070C0"/>
          <w:sz w:val="16"/>
          <w:szCs w:val="16"/>
        </w:rPr>
        <w:softHyphen/>
        <w:t>ра. Задержка, вероятно, была связана с проводимыми ОКБ срочными работами по восстановлению максималь</w:t>
      </w:r>
      <w:r w:rsidRPr="008A2E5A">
        <w:rPr>
          <w:rFonts w:ascii="Times New Roman" w:hAnsi="Times New Roman"/>
          <w:color w:val="0070C0"/>
          <w:sz w:val="16"/>
          <w:szCs w:val="16"/>
        </w:rPr>
        <w:softHyphen/>
        <w:t>ных скоростей серийных самолетов Як-7Б. Первый полет состоялся только 4 сентября. Основной задачей испыта</w:t>
      </w:r>
      <w:r w:rsidRPr="008A2E5A">
        <w:rPr>
          <w:rFonts w:ascii="Times New Roman" w:hAnsi="Times New Roman"/>
          <w:color w:val="0070C0"/>
          <w:sz w:val="16"/>
          <w:szCs w:val="16"/>
        </w:rPr>
        <w:softHyphen/>
        <w:t>ний Дублера была проверка летных характеристик в свя</w:t>
      </w:r>
      <w:r w:rsidRPr="008A2E5A">
        <w:rPr>
          <w:rFonts w:ascii="Times New Roman" w:hAnsi="Times New Roman"/>
          <w:color w:val="0070C0"/>
          <w:sz w:val="16"/>
          <w:szCs w:val="16"/>
        </w:rPr>
        <w:softHyphen/>
        <w:t>зи с произведенными конструкционными изменениями и улучшением аэродинамических свойств, прочностные испытания элементов конструкции, а также устранение эксплуатационных недостатков. За сентябрь в 13 полетах машина выполнила 1032 фигуры пилотажа и 501 взлет и посадку с налетом 27 часов 10 минут.</w:t>
      </w:r>
    </w:p>
    <w:p w14:paraId="7EA3B48F"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Заводские испытания машины провели в периоде 1 по 23 октября 1942 г. При этом на Дублере, в рамках испыта</w:t>
      </w:r>
      <w:r w:rsidRPr="008A2E5A">
        <w:rPr>
          <w:rFonts w:ascii="Times New Roman" w:hAnsi="Times New Roman"/>
          <w:color w:val="0070C0"/>
          <w:sz w:val="16"/>
          <w:szCs w:val="16"/>
        </w:rPr>
        <w:softHyphen/>
        <w:t>ний по восстановлению максимальных скоростей, заме</w:t>
      </w:r>
      <w:r w:rsidRPr="008A2E5A">
        <w:rPr>
          <w:rFonts w:ascii="Times New Roman" w:hAnsi="Times New Roman"/>
          <w:color w:val="0070C0"/>
          <w:sz w:val="16"/>
          <w:szCs w:val="16"/>
        </w:rPr>
        <w:softHyphen/>
        <w:t>нили двухсторонний всасывающий патрубок нагнетате</w:t>
      </w:r>
      <w:r w:rsidRPr="008A2E5A">
        <w:rPr>
          <w:rFonts w:ascii="Times New Roman" w:hAnsi="Times New Roman"/>
          <w:color w:val="0070C0"/>
          <w:sz w:val="16"/>
          <w:szCs w:val="16"/>
        </w:rPr>
        <w:softHyphen/>
        <w:t>ля односторонним, а после проведения этих испытаний на самолетах Як-7Б также провели контрольные полеты с разными вариантами водо- и маслогондол. При полет</w:t>
      </w:r>
      <w:r w:rsidRPr="008A2E5A">
        <w:rPr>
          <w:rFonts w:ascii="Times New Roman" w:hAnsi="Times New Roman"/>
          <w:color w:val="0070C0"/>
          <w:sz w:val="16"/>
          <w:szCs w:val="16"/>
        </w:rPr>
        <w:softHyphen/>
        <w:t>ном весе 2825 кг (на машине оставили только корневые бензобаки общей вместимостью 300 кг горючего) макси</w:t>
      </w:r>
      <w:r w:rsidRPr="008A2E5A">
        <w:rPr>
          <w:rFonts w:ascii="Times New Roman" w:hAnsi="Times New Roman"/>
          <w:color w:val="0070C0"/>
          <w:sz w:val="16"/>
          <w:szCs w:val="16"/>
        </w:rPr>
        <w:softHyphen/>
        <w:t>мальная скорость на высоте 3400 м составила 594 км/ч. На государственные испытания машина не предъявля</w:t>
      </w:r>
      <w:r w:rsidRPr="008A2E5A">
        <w:rPr>
          <w:rFonts w:ascii="Times New Roman" w:hAnsi="Times New Roman"/>
          <w:color w:val="0070C0"/>
          <w:sz w:val="16"/>
          <w:szCs w:val="16"/>
        </w:rPr>
        <w:softHyphen/>
        <w:t>лась, так как с односторонним всасывающим патрубком нагнетателя границы высотности оказались ниже, чем у серийной машины Як-9 №0107 с двухсторонним патруб</w:t>
      </w:r>
      <w:r w:rsidRPr="008A2E5A">
        <w:rPr>
          <w:rFonts w:ascii="Times New Roman" w:hAnsi="Times New Roman"/>
          <w:color w:val="0070C0"/>
          <w:sz w:val="16"/>
          <w:szCs w:val="16"/>
        </w:rPr>
        <w:softHyphen/>
        <w:t>ком. В декабре на Дублере для отработки ВМГ установи</w:t>
      </w:r>
      <w:r w:rsidRPr="008A2E5A">
        <w:rPr>
          <w:rFonts w:ascii="Times New Roman" w:hAnsi="Times New Roman"/>
          <w:color w:val="0070C0"/>
          <w:sz w:val="16"/>
          <w:szCs w:val="16"/>
        </w:rPr>
        <w:softHyphen/>
        <w:t>ли мотор М-106 (23381).</w:t>
      </w:r>
    </w:p>
    <w:p w14:paraId="6952DF7D" w14:textId="77777777" w:rsidR="00D80E25" w:rsidRPr="008A2E5A" w:rsidRDefault="00D80E25" w:rsidP="00D80E25">
      <w:pPr>
        <w:spacing w:after="0" w:line="240" w:lineRule="auto"/>
        <w:jc w:val="both"/>
        <w:rPr>
          <w:rFonts w:ascii="Times New Roman" w:hAnsi="Times New Roman"/>
          <w:color w:val="0070C0"/>
          <w:sz w:val="16"/>
          <w:szCs w:val="16"/>
        </w:rPr>
      </w:pPr>
    </w:p>
    <w:p w14:paraId="74DF713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августа 1942 л завода 21 А.А.Попов совершил аварию при испытаниях ЛаГГ-3, т.к. мотор отказал в воздухе и посадка была вынужденной (2108).</w:t>
      </w:r>
    </w:p>
    <w:p w14:paraId="3B0783AE" w14:textId="77777777" w:rsidR="00AE7191" w:rsidRPr="001E2C69" w:rsidRDefault="00AE7191" w:rsidP="00722885">
      <w:pPr>
        <w:pStyle w:val="Iauiue"/>
        <w:jc w:val="both"/>
        <w:rPr>
          <w:color w:val="000000" w:themeColor="text1"/>
          <w:sz w:val="16"/>
          <w:szCs w:val="16"/>
        </w:rPr>
      </w:pPr>
    </w:p>
    <w:p w14:paraId="2A537A5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летные испытания прошел ЛаГГ-3 N 3123173 с двумя ПВРД ВРД-1 конструкции НИИ ГВФ и ИХФ М.М.Бондарюка, который был нач. ОКБ-3 НИИ ГВФ (2448,8).</w:t>
      </w:r>
    </w:p>
    <w:p w14:paraId="5F880935" w14:textId="77777777" w:rsidR="00AE7191" w:rsidRPr="001E2C69" w:rsidRDefault="00AE7191" w:rsidP="00722885">
      <w:pPr>
        <w:pStyle w:val="Iauiue"/>
        <w:jc w:val="both"/>
        <w:rPr>
          <w:color w:val="000000" w:themeColor="text1"/>
          <w:sz w:val="16"/>
          <w:szCs w:val="16"/>
        </w:rPr>
      </w:pPr>
    </w:p>
    <w:p w14:paraId="00D60E4D" w14:textId="77777777" w:rsidR="00907F56"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августа 1942 вышло Постановление ГКО № 2135 О производстве снарядов М-20 и М-30 в августе и сентябре 1942 г. РГАНИР, Фонд ГКО, д. 49, лл. 1-3, 4-15 (11012).</w:t>
      </w:r>
    </w:p>
    <w:p w14:paraId="2EEF3D7F" w14:textId="77777777" w:rsidR="00907F56" w:rsidRPr="001E2C69" w:rsidRDefault="00907F56" w:rsidP="00722885">
      <w:pPr>
        <w:spacing w:after="0" w:line="240" w:lineRule="auto"/>
        <w:jc w:val="both"/>
        <w:rPr>
          <w:rFonts w:ascii="Times New Roman" w:hAnsi="Times New Roman"/>
          <w:color w:val="000000" w:themeColor="text1"/>
          <w:sz w:val="16"/>
          <w:szCs w:val="16"/>
        </w:rPr>
      </w:pPr>
    </w:p>
    <w:p w14:paraId="2B16FA5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августа 1942 г. ГОСУДАРСТВЕННЫЙ КОМИТЕТ ОБОРОНЫ ПОСТАНОВЛЕНИЕ № ГОКО-2135сс</w:t>
      </w:r>
    </w:p>
    <w:p w14:paraId="2B8ED2B5" w14:textId="77777777" w:rsidR="00907F56"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Москва, Кремль</w:t>
      </w:r>
    </w:p>
    <w:p w14:paraId="2136259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 производстве снарядов М-20 и М-30 в августе и сентябре 1942 г.</w:t>
      </w:r>
    </w:p>
    <w:p w14:paraId="354CB3B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Государственный Комитет Обороны постановляет: </w:t>
      </w:r>
    </w:p>
    <w:p w14:paraId="5A962E0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 Принять предложение Главного Управления Вооружения Гвардейских минометных частей (т. Кузнецова) и института реактивной техники при СНК СССР (т. Костикова) о принятии на вооружение реактивного снаряда М-20, удовлетворяющего следующим требованиям: </w:t>
      </w:r>
    </w:p>
    <w:p w14:paraId="4E6FD45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а) вес взрывчатого вещества 15 кг. </w:t>
      </w:r>
    </w:p>
    <w:p w14:paraId="3332B67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б) дальность действия с нитроглицеринованными порохами 5 км. </w:t>
      </w:r>
    </w:p>
    <w:p w14:paraId="3B8F0CC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стрельба производится с установок М-13 и пусковых рам М-30. </w:t>
      </w:r>
    </w:p>
    <w:p w14:paraId="79E94F48" w14:textId="1832B5E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Обязать НКО (т. Аборенкова) и институт реактивной техники при СНК СССР (т.</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Костикова) утвердить чертежи снаряда М-20 с реактивной частью снаряда М-13 и испытанной головкой сварной конструкции. </w:t>
      </w:r>
    </w:p>
    <w:p w14:paraId="0693711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3. Установить план производства комплектных выстрелов снарядов М-20 в количестве: </w:t>
      </w:r>
    </w:p>
    <w:p w14:paraId="6165996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на август - 20 тыс. штук </w:t>
      </w:r>
    </w:p>
    <w:p w14:paraId="11B9EFE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на сентябрь - 40 тыс. штук </w:t>
      </w:r>
    </w:p>
    <w:p w14:paraId="25359709" w14:textId="7E4D2122"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Обязать НКО (т. Аборенкова) и институт реактивной техники при СНК СССР (т.</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Костикова) закончить к 15.VIII.42 г. испытание, разработку чертежей и технических условий снаряда М-30 с новой реактивной частью, обеспечивающих дальность полета снаряда до 5 км. с весом взрывчатого вещества не менее 25 кг. </w:t>
      </w:r>
    </w:p>
    <w:p w14:paraId="13F0027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Всю техническую документацию сдать НКБ к 16.VIII.42 г., а согласованные с НКБ предложения о производстве снарядов М-30 с увеличенной дальностью их действия представить в ГОКО к 20.VIII.42 г. </w:t>
      </w:r>
    </w:p>
    <w:p w14:paraId="799C8DE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5. Увеличить против плана на август месяц с.г. производство деталей реактивной части снаряда М-13 на предприятиях, согласно приложению № 1: </w:t>
      </w:r>
    </w:p>
    <w:p w14:paraId="05FC2FCF" w14:textId="7F72875E" w:rsidR="00AE7191" w:rsidRPr="001E2C69" w:rsidRDefault="001E2C69" w:rsidP="00722885">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AE7191" w:rsidRPr="001E2C69">
        <w:rPr>
          <w:rFonts w:ascii="Times New Roman" w:hAnsi="Times New Roman"/>
          <w:color w:val="000000" w:themeColor="text1"/>
          <w:sz w:val="16"/>
          <w:szCs w:val="16"/>
        </w:rPr>
        <w:t xml:space="preserve">в августе м-це на - 5 тыс. комплектов и </w:t>
      </w:r>
    </w:p>
    <w:p w14:paraId="36C2D2DE" w14:textId="17EAEA8F" w:rsidR="00AE7191" w:rsidRPr="001E2C69" w:rsidRDefault="001E2C69" w:rsidP="00722885">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AE7191" w:rsidRPr="001E2C69">
        <w:rPr>
          <w:rFonts w:ascii="Times New Roman" w:hAnsi="Times New Roman"/>
          <w:color w:val="000000" w:themeColor="text1"/>
          <w:sz w:val="16"/>
          <w:szCs w:val="16"/>
        </w:rPr>
        <w:t xml:space="preserve">в сентябре </w:t>
      </w:r>
      <w:r>
        <w:rPr>
          <w:rFonts w:ascii="Times New Roman" w:hAnsi="Times New Roman"/>
          <w:color w:val="000000" w:themeColor="text1"/>
          <w:sz w:val="16"/>
          <w:szCs w:val="16"/>
        </w:rPr>
        <w:t xml:space="preserve">               </w:t>
      </w:r>
      <w:r w:rsidR="00AE7191" w:rsidRPr="001E2C69">
        <w:rPr>
          <w:rFonts w:ascii="Times New Roman" w:hAnsi="Times New Roman"/>
          <w:color w:val="000000" w:themeColor="text1"/>
          <w:sz w:val="16"/>
          <w:szCs w:val="16"/>
        </w:rPr>
        <w:t xml:space="preserve"> на - 25 -"-</w:t>
      </w:r>
      <w:r>
        <w:rPr>
          <w:rFonts w:ascii="Times New Roman" w:hAnsi="Times New Roman"/>
          <w:color w:val="000000" w:themeColor="text1"/>
          <w:sz w:val="16"/>
          <w:szCs w:val="16"/>
        </w:rPr>
        <w:t xml:space="preserve">                  </w:t>
      </w:r>
      <w:r w:rsidR="00AE7191" w:rsidRPr="001E2C69">
        <w:rPr>
          <w:rFonts w:ascii="Times New Roman" w:hAnsi="Times New Roman"/>
          <w:color w:val="000000" w:themeColor="text1"/>
          <w:sz w:val="16"/>
          <w:szCs w:val="16"/>
        </w:rPr>
        <w:t xml:space="preserve">-"- </w:t>
      </w:r>
    </w:p>
    <w:p w14:paraId="6B20711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6. Обязать т. Косыгина, т. Кузнецова (Ленинградский обком ВКП(б)), т. Кубаткина (УНКВД по Ленинградской области) и т. Володарского (Уполномоченного Госплана СССР по Ленинградской области) - отгрузить до 15 августа 1942 года с ленинградских предприятий 2.000 станков для производства реактивной части снарядов М-13 на заводы, согласно приложению № 2. </w:t>
      </w:r>
    </w:p>
    <w:p w14:paraId="569FE63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7. Увеличить в августе месяце задание по производству пороховых зарядов М-13 из нитроглицериновых порохов на заводах НКБоеприпасов до 165 тыс. штук комплектов и обязать НКБ (т. Ванникова) организовать производство пороховых зарядов М-13 для усиленной реактивной части с выпуском их (в счет общего плана) в августе месяце 10 тыс. комплектов. </w:t>
      </w:r>
    </w:p>
    <w:p w14:paraId="4F4F718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8. Продлить на август и сентябрь сего года предусмотренные льготы по производству снарядов М-30, распространив их на предприятия, производящие снаряды М-20. </w:t>
      </w:r>
    </w:p>
    <w:p w14:paraId="35C2D53B" w14:textId="07F0A880"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Обязать НКО (т. Аборенкова), институт реактивной техники при СНК СССР (т.</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Костикова) и НКБ (т. Ванникова) к 10.VIII.42 г. провести всесторонние испытания снарядов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М-20, составить таблицы стрельбы и подобрать взрыватель. </w:t>
      </w:r>
    </w:p>
    <w:p w14:paraId="0E7B111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10. Утвердить мероприятия по обеспечению производства снарядов М-20 и усиленной реактивной части снаряда М-30 в августе и сентябре 1942 г., согласно приложению № 3. </w:t>
      </w:r>
    </w:p>
    <w:p w14:paraId="224ADB2C" w14:textId="6F40437A"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Обязать секретарей обкомов ВКП(б): Московского - т. Черноусова, Горьковского - т.</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Родионова, Свердловского - т. Андрианова, - оказать помощь предприятиям в выполнении установленного настоящим постановлением задания по производству снарядов М-20 и М-30. </w:t>
      </w:r>
    </w:p>
    <w:p w14:paraId="2CC6F596" w14:textId="77777777" w:rsidR="00907F56" w:rsidRPr="001E2C69" w:rsidRDefault="00AE7191" w:rsidP="00722885">
      <w:pPr>
        <w:pStyle w:val="Iauiue"/>
        <w:jc w:val="both"/>
        <w:rPr>
          <w:color w:val="000000" w:themeColor="text1"/>
          <w:sz w:val="16"/>
          <w:szCs w:val="16"/>
        </w:rPr>
      </w:pPr>
      <w:r w:rsidRPr="001E2C69">
        <w:rPr>
          <w:color w:val="000000" w:themeColor="text1"/>
          <w:sz w:val="16"/>
          <w:szCs w:val="16"/>
        </w:rPr>
        <w:lastRenderedPageBreak/>
        <w:t>12. Ввиду особой важности установленного настоящим постановлением задания по производству снарядов М-20 и М-30, обязать народных комиссаров т.т.: Ванникова, Акопова, Тевосяна, Устинова, Зальцмана, Казакова, Носенко, Кабанова, Паршина, Ефремова, Гинзбурга, Смирнова и НКПС (т. Хрулева и т. Архангельского) взять под личный контроль выполнение настоящего постановления.</w:t>
      </w:r>
    </w:p>
    <w:p w14:paraId="67C843B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ПРЕДСЕДАТЕЛЬ ГОСУДАРСТВЕННОГО КОМИТЕТА ОБОРОНЫ И. СТАЛИН </w:t>
      </w:r>
    </w:p>
    <w:p w14:paraId="08DAEDF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Выписки посланы: </w:t>
      </w:r>
    </w:p>
    <w:p w14:paraId="51E7194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т.т. Берия, Маленкову, Вознесенскому, Ванникову, Аборенкову, Гайдукову, Василевскому, Сабурову, Чадаеву – все. </w:t>
      </w:r>
    </w:p>
    <w:p w14:paraId="29C2AE9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Наркомам и обкомам – соответственно (12665).</w:t>
      </w:r>
    </w:p>
    <w:p w14:paraId="2CB17861" w14:textId="77777777" w:rsidR="00AE7191" w:rsidRPr="001E2C69" w:rsidRDefault="00AE7191" w:rsidP="00722885">
      <w:pPr>
        <w:pStyle w:val="Iauiue"/>
        <w:jc w:val="both"/>
        <w:rPr>
          <w:color w:val="000000" w:themeColor="text1"/>
          <w:sz w:val="16"/>
          <w:szCs w:val="16"/>
        </w:rPr>
      </w:pPr>
    </w:p>
    <w:p w14:paraId="2F63F5AF"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28D50940" w14:textId="77777777" w:rsidR="00AE7191" w:rsidRPr="001E2C69" w:rsidRDefault="00AE7191" w:rsidP="00722885">
      <w:pPr>
        <w:pStyle w:val="Iauiue"/>
        <w:jc w:val="both"/>
        <w:rPr>
          <w:iCs/>
          <w:color w:val="000000" w:themeColor="text1"/>
          <w:sz w:val="16"/>
          <w:szCs w:val="16"/>
        </w:rPr>
      </w:pPr>
    </w:p>
    <w:p w14:paraId="0FD0AB74" w14:textId="77777777" w:rsidR="0036552A" w:rsidRPr="001E2C69" w:rsidRDefault="0036552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августа 1942 вышло Постановление ГКО № 2136 О плане производства и поставок пулеметов-пистолетов Шпагина в августе месяце 1942 г. РГАНИР, Фонд ГКО, д. 49, лл. 16-19, 20-24 (11012).</w:t>
      </w:r>
    </w:p>
    <w:p w14:paraId="534E3464" w14:textId="77777777" w:rsidR="0036552A" w:rsidRPr="001E2C69" w:rsidRDefault="0036552A" w:rsidP="00722885">
      <w:pPr>
        <w:spacing w:after="0" w:line="240" w:lineRule="auto"/>
        <w:jc w:val="both"/>
        <w:rPr>
          <w:rFonts w:ascii="Times New Roman" w:hAnsi="Times New Roman"/>
          <w:color w:val="000000" w:themeColor="text1"/>
          <w:sz w:val="16"/>
          <w:szCs w:val="16"/>
        </w:rPr>
      </w:pPr>
    </w:p>
    <w:p w14:paraId="7A3CC374" w14:textId="77777777" w:rsidR="0036552A" w:rsidRPr="001E2C69" w:rsidRDefault="0036552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августа 1942 вышло Постановление ГКО № 2137 О плане производства патронов и звеньев в августе 1942 г. РГАНИР, Фонд ГКО, д. 49, лл. 25-27, 28-30 (11012).</w:t>
      </w:r>
    </w:p>
    <w:p w14:paraId="08234543" w14:textId="77777777" w:rsidR="0036552A" w:rsidRPr="001E2C69" w:rsidRDefault="0036552A" w:rsidP="00722885">
      <w:pPr>
        <w:spacing w:after="0" w:line="240" w:lineRule="auto"/>
        <w:jc w:val="both"/>
        <w:rPr>
          <w:rFonts w:ascii="Times New Roman" w:hAnsi="Times New Roman"/>
          <w:color w:val="000000" w:themeColor="text1"/>
          <w:sz w:val="16"/>
          <w:szCs w:val="16"/>
        </w:rPr>
      </w:pPr>
    </w:p>
    <w:p w14:paraId="4C24C23A" w14:textId="77777777" w:rsidR="0036552A" w:rsidRPr="001E2C69" w:rsidRDefault="0036552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августа 1942 вышло Постановление ГКО № 2138 О плане производства боеприпасов на август и сентябрь месяцы 1942 г. РГАНИР, Фонд ГКО, д. 49, лл. 31-40, 41-171 (11012).</w:t>
      </w:r>
    </w:p>
    <w:p w14:paraId="393C0F53" w14:textId="77777777" w:rsidR="0036552A" w:rsidRPr="001E2C69" w:rsidRDefault="0036552A" w:rsidP="00722885">
      <w:pPr>
        <w:spacing w:after="0" w:line="240" w:lineRule="auto"/>
        <w:jc w:val="both"/>
        <w:rPr>
          <w:rFonts w:ascii="Times New Roman" w:hAnsi="Times New Roman"/>
          <w:color w:val="000000" w:themeColor="text1"/>
          <w:sz w:val="16"/>
          <w:szCs w:val="16"/>
        </w:rPr>
      </w:pPr>
    </w:p>
    <w:p w14:paraId="5024BE57" w14:textId="77777777" w:rsidR="0036552A" w:rsidRPr="001E2C69" w:rsidRDefault="0036552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августа 1942 вышло Постановление ГКО № 2139 О плане производства минометов на август 1942 года. РГАНИР, Фонд ГКО, д. 50, лл. 1-6, 7-13 (11012).</w:t>
      </w:r>
    </w:p>
    <w:p w14:paraId="2CA6EB9E" w14:textId="77777777" w:rsidR="0036552A" w:rsidRPr="001E2C69" w:rsidRDefault="0036552A" w:rsidP="00722885">
      <w:pPr>
        <w:spacing w:after="0" w:line="240" w:lineRule="auto"/>
        <w:jc w:val="both"/>
        <w:rPr>
          <w:rFonts w:ascii="Times New Roman" w:hAnsi="Times New Roman"/>
          <w:color w:val="000000" w:themeColor="text1"/>
          <w:sz w:val="16"/>
          <w:szCs w:val="16"/>
        </w:rPr>
      </w:pPr>
    </w:p>
    <w:p w14:paraId="1AA9E857" w14:textId="77777777" w:rsidR="0036552A" w:rsidRPr="001E2C69" w:rsidRDefault="0036552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августа 1942 вышло Постановление ГКО № 2140 О плане производства и поставок артиллерийского и стрелкового вооружения и военных приборов на август месяц 1942 года. РГАНИР, Фонд ГКО, д. 50, лл. 14-22, 23-28 (11012).</w:t>
      </w:r>
    </w:p>
    <w:p w14:paraId="03430037" w14:textId="77777777" w:rsidR="0036552A" w:rsidRPr="001E2C69" w:rsidRDefault="0036552A" w:rsidP="00722885">
      <w:pPr>
        <w:spacing w:after="0" w:line="240" w:lineRule="auto"/>
        <w:jc w:val="both"/>
        <w:rPr>
          <w:rFonts w:ascii="Times New Roman" w:hAnsi="Times New Roman"/>
          <w:color w:val="000000" w:themeColor="text1"/>
          <w:sz w:val="16"/>
          <w:szCs w:val="16"/>
        </w:rPr>
      </w:pPr>
    </w:p>
    <w:p w14:paraId="3C6BF0B5" w14:textId="77777777" w:rsidR="00907F56" w:rsidRPr="001E2C69" w:rsidRDefault="00907F56" w:rsidP="00722885">
      <w:pPr>
        <w:shd w:val="clear" w:color="auto" w:fill="FFFFFF"/>
        <w:spacing w:after="0" w:line="240" w:lineRule="auto"/>
        <w:jc w:val="both"/>
        <w:rPr>
          <w:rFonts w:ascii="Times New Roman" w:eastAsia="Times New Roman" w:hAnsi="Times New Roman"/>
          <w:color w:val="000000" w:themeColor="text1"/>
          <w:sz w:val="16"/>
          <w:szCs w:val="16"/>
        </w:rPr>
      </w:pPr>
      <w:r w:rsidRPr="001E2C69">
        <w:rPr>
          <w:rFonts w:ascii="Times New Roman" w:eastAsia="Times New Roman" w:hAnsi="Times New Roman"/>
          <w:color w:val="000000" w:themeColor="text1"/>
          <w:sz w:val="16"/>
          <w:szCs w:val="16"/>
        </w:rPr>
        <w:t>4 августа 1942 был готов эскизный проект УЗТМ установки 152-мм гаубицы в рубке КВ-7 – У-18, а представлен через месяц – 3 сентября 1942 года. Группа конструкторов УЗТМ во главе с Горлицким постаралась максимально вложиться в требования военных, а также свести к минимуму переделку корпуса КВ-7. Артиллерийская часть установки У-18 состояла всего из 13 узлов, при этом корпус и рубка КВ-7 переделкам не подвергались. Подобный подход к максимальному «невмешательству» в конструкцию КВ-7 легко объясним фразой из описания У-18:</w:t>
      </w:r>
    </w:p>
    <w:p w14:paraId="13FE2879" w14:textId="77777777" w:rsidR="00907F56" w:rsidRPr="001E2C69" w:rsidRDefault="00907F56" w:rsidP="00722885">
      <w:pPr>
        <w:shd w:val="clear" w:color="auto" w:fill="FFFFFF"/>
        <w:spacing w:after="0" w:line="240" w:lineRule="auto"/>
        <w:jc w:val="both"/>
        <w:rPr>
          <w:rFonts w:ascii="Times New Roman" w:eastAsia="Times New Roman" w:hAnsi="Times New Roman"/>
          <w:iCs/>
          <w:color w:val="000000" w:themeColor="text1"/>
          <w:sz w:val="16"/>
          <w:szCs w:val="16"/>
        </w:rPr>
      </w:pPr>
      <w:r w:rsidRPr="001E2C69">
        <w:rPr>
          <w:rFonts w:ascii="Times New Roman" w:eastAsia="Times New Roman" w:hAnsi="Times New Roman"/>
          <w:color w:val="000000" w:themeColor="text1"/>
          <w:sz w:val="16"/>
          <w:szCs w:val="16"/>
        </w:rPr>
        <w:t>«</w:t>
      </w:r>
      <w:r w:rsidRPr="001E2C69">
        <w:rPr>
          <w:rFonts w:ascii="Times New Roman" w:eastAsia="Times New Roman" w:hAnsi="Times New Roman"/>
          <w:iCs/>
          <w:color w:val="000000" w:themeColor="text1"/>
          <w:sz w:val="16"/>
          <w:szCs w:val="16"/>
        </w:rPr>
        <w:t>В качестве базы для этой самоходной установки лучше всего подходит танк КВ-7. Несколько десятков штук корпусов с башнями этого танка находятся на Кировском заводе в городе Челябинске, предназначавшиеся для строенных установок одного 76,2-мм и двух 45-мм танковых орудий» (15838).</w:t>
      </w:r>
    </w:p>
    <w:p w14:paraId="186376D6" w14:textId="77777777" w:rsidR="00907F56" w:rsidRPr="001E2C69" w:rsidRDefault="00907F56" w:rsidP="00722885">
      <w:pPr>
        <w:shd w:val="clear" w:color="auto" w:fill="FFFFFF"/>
        <w:spacing w:after="0" w:line="240" w:lineRule="auto"/>
        <w:jc w:val="both"/>
        <w:rPr>
          <w:rFonts w:ascii="Times New Roman" w:eastAsia="Times New Roman" w:hAnsi="Times New Roman"/>
          <w:color w:val="000000" w:themeColor="text1"/>
          <w:sz w:val="16"/>
          <w:szCs w:val="16"/>
        </w:rPr>
      </w:pPr>
    </w:p>
    <w:p w14:paraId="3AD2B128" w14:textId="77777777" w:rsidR="000C324B" w:rsidRPr="001E2C69" w:rsidRDefault="000C324B" w:rsidP="00722885">
      <w:pPr>
        <w:pStyle w:val="a4"/>
        <w:rPr>
          <w:color w:val="000000" w:themeColor="text1"/>
          <w:lang w:val="ru-RU"/>
        </w:rPr>
      </w:pPr>
      <w:r w:rsidRPr="001E2C69">
        <w:rPr>
          <w:color w:val="000000" w:themeColor="text1"/>
          <w:lang w:val="ru-RU"/>
        </w:rPr>
        <w:t>4 августа 1942 был готов Эскизный проект установки 152-мм гаубицы в руб</w:t>
      </w:r>
      <w:r w:rsidRPr="001E2C69">
        <w:rPr>
          <w:color w:val="000000" w:themeColor="text1"/>
          <w:lang w:val="ru-RU"/>
        </w:rPr>
        <w:softHyphen/>
        <w:t>ке КВ-7, а представлен через месяц — 3 сентября 1942 года. Группа конструкто</w:t>
      </w:r>
      <w:r w:rsidRPr="001E2C69">
        <w:rPr>
          <w:color w:val="000000" w:themeColor="text1"/>
          <w:lang w:val="ru-RU"/>
        </w:rPr>
        <w:softHyphen/>
        <w:t>ров УЗТМ во главе с Горлицким постаралась максимально вложиться в требования военных, а также свести к минимуму переделку корпусов КВ-7. Почему, понятно из описания У-18:</w:t>
      </w:r>
    </w:p>
    <w:p w14:paraId="3FE314F6" w14:textId="77777777" w:rsidR="000C324B" w:rsidRPr="001E2C69" w:rsidRDefault="000C324B" w:rsidP="00722885">
      <w:pPr>
        <w:pStyle w:val="Bodytext141"/>
        <w:shd w:val="clear" w:color="auto" w:fill="auto"/>
        <w:spacing w:line="240" w:lineRule="auto"/>
        <w:ind w:firstLine="0"/>
        <w:jc w:val="both"/>
        <w:rPr>
          <w:i w:val="0"/>
          <w:color w:val="000000" w:themeColor="text1"/>
          <w:sz w:val="16"/>
          <w:szCs w:val="16"/>
        </w:rPr>
      </w:pPr>
      <w:r w:rsidRPr="001E2C69">
        <w:rPr>
          <w:rStyle w:val="Bodytext145"/>
          <w:i w:val="0"/>
          <w:iCs w:val="0"/>
          <w:color w:val="000000" w:themeColor="text1"/>
          <w:sz w:val="16"/>
          <w:szCs w:val="16"/>
        </w:rPr>
        <w:t xml:space="preserve">«Самоходная артиллерийская установка 152-мм пушки </w:t>
      </w:r>
      <w:r w:rsidRPr="001E2C69">
        <w:rPr>
          <w:rStyle w:val="Bodytext145"/>
          <w:i w:val="0"/>
          <w:iCs w:val="0"/>
          <w:color w:val="000000" w:themeColor="text1"/>
          <w:sz w:val="16"/>
          <w:szCs w:val="16"/>
          <w:lang w:val="en-US"/>
        </w:rPr>
        <w:t>MJI</w:t>
      </w:r>
      <w:r w:rsidRPr="001E2C69">
        <w:rPr>
          <w:rStyle w:val="Bodytext145"/>
          <w:i w:val="0"/>
          <w:iCs w:val="0"/>
          <w:color w:val="000000" w:themeColor="text1"/>
          <w:sz w:val="16"/>
          <w:szCs w:val="16"/>
        </w:rPr>
        <w:t>-20 пред</w:t>
      </w:r>
      <w:r w:rsidRPr="001E2C69">
        <w:rPr>
          <w:rStyle w:val="Bodytext145"/>
          <w:i w:val="0"/>
          <w:iCs w:val="0"/>
          <w:color w:val="000000" w:themeColor="text1"/>
          <w:sz w:val="16"/>
          <w:szCs w:val="16"/>
        </w:rPr>
        <w:softHyphen/>
        <w:t>назначается для разрушения ДОТов и ДЗОТов противника.</w:t>
      </w:r>
    </w:p>
    <w:p w14:paraId="05A7FB83" w14:textId="77777777" w:rsidR="000C324B" w:rsidRPr="001E2C69" w:rsidRDefault="000C324B" w:rsidP="00722885">
      <w:pPr>
        <w:pStyle w:val="Bodytext141"/>
        <w:shd w:val="clear" w:color="auto" w:fill="auto"/>
        <w:spacing w:line="240" w:lineRule="auto"/>
        <w:ind w:firstLine="0"/>
        <w:jc w:val="both"/>
        <w:rPr>
          <w:i w:val="0"/>
          <w:color w:val="000000" w:themeColor="text1"/>
          <w:sz w:val="16"/>
          <w:szCs w:val="16"/>
        </w:rPr>
      </w:pPr>
      <w:r w:rsidRPr="001E2C69">
        <w:rPr>
          <w:rStyle w:val="Bodytext145"/>
          <w:i w:val="0"/>
          <w:iCs w:val="0"/>
          <w:color w:val="000000" w:themeColor="text1"/>
          <w:sz w:val="16"/>
          <w:szCs w:val="16"/>
        </w:rPr>
        <w:t>При проектировании этой самоходной установки была поставлена за</w:t>
      </w:r>
      <w:r w:rsidRPr="001E2C69">
        <w:rPr>
          <w:rStyle w:val="Bodytext145"/>
          <w:i w:val="0"/>
          <w:iCs w:val="0"/>
          <w:color w:val="000000" w:themeColor="text1"/>
          <w:sz w:val="16"/>
          <w:szCs w:val="16"/>
        </w:rPr>
        <w:softHyphen/>
        <w:t>дача — максимально использовать серийные агрегаты танка КБ и орудия МЛ-20.</w:t>
      </w:r>
    </w:p>
    <w:p w14:paraId="18687169" w14:textId="77777777" w:rsidR="000C324B" w:rsidRPr="001E2C69" w:rsidRDefault="000C324B" w:rsidP="00722885">
      <w:pPr>
        <w:pStyle w:val="Bodytext141"/>
        <w:shd w:val="clear" w:color="auto" w:fill="auto"/>
        <w:spacing w:line="240" w:lineRule="auto"/>
        <w:ind w:firstLine="0"/>
        <w:jc w:val="both"/>
        <w:rPr>
          <w:i w:val="0"/>
          <w:color w:val="000000" w:themeColor="text1"/>
          <w:sz w:val="16"/>
          <w:szCs w:val="16"/>
        </w:rPr>
      </w:pPr>
      <w:r w:rsidRPr="001E2C69">
        <w:rPr>
          <w:rStyle w:val="Bodytext145"/>
          <w:i w:val="0"/>
          <w:iCs w:val="0"/>
          <w:color w:val="000000" w:themeColor="text1"/>
          <w:sz w:val="16"/>
          <w:szCs w:val="16"/>
        </w:rPr>
        <w:t>В качестве базы для этой самоходной установки лучше всего под</w:t>
      </w:r>
      <w:r w:rsidRPr="001E2C69">
        <w:rPr>
          <w:rStyle w:val="Bodytext145"/>
          <w:i w:val="0"/>
          <w:iCs w:val="0"/>
          <w:color w:val="000000" w:themeColor="text1"/>
          <w:sz w:val="16"/>
          <w:szCs w:val="16"/>
        </w:rPr>
        <w:softHyphen/>
        <w:t>ходит танк КБ- 7. Несколько десятков штук корпусов с башнями этого танка находятся на Кировском заводе в городе Челябинске, предназна</w:t>
      </w:r>
      <w:r w:rsidRPr="001E2C69">
        <w:rPr>
          <w:rStyle w:val="Bodytext145"/>
          <w:i w:val="0"/>
          <w:iCs w:val="0"/>
          <w:color w:val="000000" w:themeColor="text1"/>
          <w:sz w:val="16"/>
          <w:szCs w:val="16"/>
        </w:rPr>
        <w:softHyphen/>
        <w:t>чавшиеся для строенных установок одного 76,2 мм и двух 45 мм танко</w:t>
      </w:r>
      <w:r w:rsidRPr="001E2C69">
        <w:rPr>
          <w:rStyle w:val="Bodytext145"/>
          <w:i w:val="0"/>
          <w:iCs w:val="0"/>
          <w:color w:val="000000" w:themeColor="text1"/>
          <w:sz w:val="16"/>
          <w:szCs w:val="16"/>
        </w:rPr>
        <w:softHyphen/>
        <w:t>вых орудий.</w:t>
      </w:r>
    </w:p>
    <w:p w14:paraId="79D3920C" w14:textId="77777777" w:rsidR="000C324B" w:rsidRPr="001E2C69" w:rsidRDefault="000C324B" w:rsidP="00722885">
      <w:pPr>
        <w:pStyle w:val="Bodytext141"/>
        <w:shd w:val="clear" w:color="auto" w:fill="auto"/>
        <w:spacing w:line="240" w:lineRule="auto"/>
        <w:ind w:firstLine="0"/>
        <w:jc w:val="both"/>
        <w:rPr>
          <w:i w:val="0"/>
          <w:color w:val="000000" w:themeColor="text1"/>
          <w:sz w:val="16"/>
          <w:szCs w:val="16"/>
        </w:rPr>
      </w:pPr>
      <w:r w:rsidRPr="001E2C69">
        <w:rPr>
          <w:rStyle w:val="Bodytext145"/>
          <w:i w:val="0"/>
          <w:iCs w:val="0"/>
          <w:color w:val="000000" w:themeColor="text1"/>
          <w:sz w:val="16"/>
          <w:szCs w:val="16"/>
        </w:rPr>
        <w:t>Штатная качающаяся часть пушки МЛ-20 не вмещалась в имеющую</w:t>
      </w:r>
      <w:r w:rsidRPr="001E2C69">
        <w:rPr>
          <w:rStyle w:val="Bodytext145"/>
          <w:i w:val="0"/>
          <w:iCs w:val="0"/>
          <w:color w:val="000000" w:themeColor="text1"/>
          <w:sz w:val="16"/>
          <w:szCs w:val="16"/>
        </w:rPr>
        <w:softHyphen/>
        <w:t>ся башню КВ-7. Поэтому от пушки МЛ-20 взять только ствол с затвором. Люлька и противооткатные устройства запроектированы вновь,специальными, с укороченной длиной отката, что и позволило по разме</w:t>
      </w:r>
      <w:r w:rsidRPr="001E2C69">
        <w:rPr>
          <w:rStyle w:val="Bodytext145"/>
          <w:i w:val="0"/>
          <w:iCs w:val="0"/>
          <w:color w:val="000000" w:themeColor="text1"/>
          <w:sz w:val="16"/>
          <w:szCs w:val="16"/>
        </w:rPr>
        <w:softHyphen/>
        <w:t xml:space="preserve">рам установить систему </w:t>
      </w:r>
      <w:r w:rsidRPr="001E2C69">
        <w:rPr>
          <w:rStyle w:val="Bodytext145"/>
          <w:i w:val="0"/>
          <w:iCs w:val="0"/>
          <w:color w:val="000000" w:themeColor="text1"/>
          <w:sz w:val="16"/>
          <w:szCs w:val="16"/>
          <w:lang w:val="en-US"/>
        </w:rPr>
        <w:t>MJ</w:t>
      </w:r>
      <w:r w:rsidRPr="001E2C69">
        <w:rPr>
          <w:rStyle w:val="Bodytext145"/>
          <w:i w:val="0"/>
          <w:iCs w:val="0"/>
          <w:color w:val="000000" w:themeColor="text1"/>
          <w:sz w:val="16"/>
          <w:szCs w:val="16"/>
        </w:rPr>
        <w:t xml:space="preserve">1-20 в существующей башне </w:t>
      </w:r>
      <w:r w:rsidRPr="001E2C69">
        <w:rPr>
          <w:rStyle w:val="Bodytext145"/>
          <w:i w:val="0"/>
          <w:iCs w:val="0"/>
          <w:color w:val="000000" w:themeColor="text1"/>
          <w:sz w:val="16"/>
          <w:szCs w:val="16"/>
          <w:lang w:val="en-US"/>
        </w:rPr>
        <w:t>KB</w:t>
      </w:r>
      <w:r w:rsidRPr="001E2C69">
        <w:rPr>
          <w:rStyle w:val="Bodytext145"/>
          <w:i w:val="0"/>
          <w:iCs w:val="0"/>
          <w:color w:val="000000" w:themeColor="text1"/>
          <w:sz w:val="16"/>
          <w:szCs w:val="16"/>
        </w:rPr>
        <w:t>-</w:t>
      </w:r>
      <w:r w:rsidRPr="001E2C69">
        <w:rPr>
          <w:rStyle w:val="Bodytext14NotItalic9"/>
          <w:i w:val="0"/>
          <w:iCs w:val="0"/>
          <w:color w:val="000000" w:themeColor="text1"/>
          <w:sz w:val="16"/>
          <w:szCs w:val="16"/>
        </w:rPr>
        <w:t xml:space="preserve"> 7.</w:t>
      </w:r>
    </w:p>
    <w:p w14:paraId="4496CC72" w14:textId="77777777" w:rsidR="000C324B" w:rsidRPr="001E2C69" w:rsidRDefault="000C324B" w:rsidP="00722885">
      <w:pPr>
        <w:pStyle w:val="Bodytext141"/>
        <w:shd w:val="clear" w:color="auto" w:fill="auto"/>
        <w:spacing w:line="240" w:lineRule="auto"/>
        <w:ind w:firstLine="0"/>
        <w:jc w:val="both"/>
        <w:rPr>
          <w:i w:val="0"/>
          <w:color w:val="000000" w:themeColor="text1"/>
          <w:sz w:val="16"/>
          <w:szCs w:val="16"/>
        </w:rPr>
      </w:pPr>
      <w:r w:rsidRPr="001E2C69">
        <w:rPr>
          <w:rStyle w:val="Bodytext145"/>
          <w:i w:val="0"/>
          <w:iCs w:val="0"/>
          <w:color w:val="000000" w:themeColor="text1"/>
          <w:sz w:val="16"/>
          <w:szCs w:val="16"/>
        </w:rPr>
        <w:t>Заново спроектированы также установочные части. Это решение яв</w:t>
      </w:r>
      <w:r w:rsidRPr="001E2C69">
        <w:rPr>
          <w:rStyle w:val="Bodytext145"/>
          <w:i w:val="0"/>
          <w:iCs w:val="0"/>
          <w:color w:val="000000" w:themeColor="text1"/>
          <w:sz w:val="16"/>
          <w:szCs w:val="16"/>
        </w:rPr>
        <w:softHyphen/>
        <w:t>ляется выгодным в отношении веса башни и особенно в отношении разме</w:t>
      </w:r>
      <w:r w:rsidRPr="001E2C69">
        <w:rPr>
          <w:rStyle w:val="Bodytext145"/>
          <w:i w:val="0"/>
          <w:iCs w:val="0"/>
          <w:color w:val="000000" w:themeColor="text1"/>
          <w:sz w:val="16"/>
          <w:szCs w:val="16"/>
        </w:rPr>
        <w:softHyphen/>
        <w:t>ра установки по высоте»'.</w:t>
      </w:r>
    </w:p>
    <w:p w14:paraId="682E1571" w14:textId="77777777" w:rsidR="000C324B" w:rsidRPr="001E2C69" w:rsidRDefault="000C324B" w:rsidP="00722885">
      <w:pPr>
        <w:pStyle w:val="a4"/>
        <w:rPr>
          <w:color w:val="000000" w:themeColor="text1"/>
          <w:lang w:val="ru-RU"/>
        </w:rPr>
      </w:pPr>
      <w:r w:rsidRPr="001E2C69">
        <w:rPr>
          <w:color w:val="000000" w:themeColor="text1"/>
          <w:lang w:val="ru-RU"/>
        </w:rPr>
        <w:t>Артиллерийская часть установки У-18 состояла всего из 13 узлов, при этом корпус и рубка КВ-7 переделкам не подвергались. Каза</w:t>
      </w:r>
      <w:r w:rsidRPr="001E2C69">
        <w:rPr>
          <w:color w:val="000000" w:themeColor="text1"/>
          <w:lang w:val="ru-RU"/>
        </w:rPr>
        <w:softHyphen/>
        <w:t>лось, что требования военных полностью выполнены и установка может быть принята на вооружение, тем более что имелся упомяну</w:t>
      </w:r>
      <w:r w:rsidRPr="001E2C69">
        <w:rPr>
          <w:color w:val="000000" w:themeColor="text1"/>
          <w:lang w:val="ru-RU"/>
        </w:rPr>
        <w:softHyphen/>
        <w:t>тый задел по корпусам. Но беда пришла оттуда, откуда ее совсем не ждали (17484).</w:t>
      </w:r>
    </w:p>
    <w:p w14:paraId="4AF97CB2" w14:textId="77777777" w:rsidR="000C324B" w:rsidRPr="001E2C69" w:rsidRDefault="000C324B" w:rsidP="00722885">
      <w:pPr>
        <w:spacing w:after="0" w:line="240" w:lineRule="auto"/>
        <w:jc w:val="both"/>
        <w:rPr>
          <w:rFonts w:ascii="Times New Roman" w:hAnsi="Times New Roman"/>
          <w:color w:val="000000" w:themeColor="text1"/>
          <w:sz w:val="16"/>
          <w:szCs w:val="16"/>
        </w:rPr>
      </w:pPr>
    </w:p>
    <w:p w14:paraId="6031A10A" w14:textId="77777777" w:rsidR="0036552A" w:rsidRPr="001E2C69" w:rsidRDefault="0036552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4 августа 1942 был готов Эскизный проект установки 152-мм гаубицы в рубке КВ-7, а представлен через месяц – 3 сентября 1942 года. Группа конструкторов УЗТМ во главе с Горлицким постаралась максимально вложиться в требования военных, а также свести к минимуму переделку корпуса КВ-7. Артиллерийская часть установки У-18 состояла всего из 13 узлов, при этом корпус и рубка КВ-7 переделкам не подвергались. Подобный подход к максимальному «невмешательству» в конструкцию КВ-7 легко объясним фразой из описания У-18:</w:t>
      </w:r>
    </w:p>
    <w:p w14:paraId="6AFBD772" w14:textId="77777777" w:rsidR="0036552A" w:rsidRPr="001E2C69" w:rsidRDefault="0036552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w:t>
      </w:r>
      <w:r w:rsidRPr="001E2C69">
        <w:rPr>
          <w:rFonts w:ascii="Times New Roman" w:eastAsia="Times New Roman" w:hAnsi="Times New Roman"/>
          <w:iCs/>
          <w:color w:val="000000" w:themeColor="text1"/>
          <w:sz w:val="16"/>
          <w:szCs w:val="16"/>
          <w:lang w:eastAsia="ru-RU"/>
        </w:rPr>
        <w:t>В качестве базы для этой самоходной установки лучше всего подходит танк КВ-7. Несколько десятков штук корпусов с башнями этого танка находятся на Кировском заводе в городе Челябинске, предназначавшиеся для строенных установок одного 76,2-мм и двух 45-мм танковых орудий» (17647).</w:t>
      </w:r>
    </w:p>
    <w:p w14:paraId="5A850FF2" w14:textId="77777777" w:rsidR="0036552A" w:rsidRPr="001E2C69" w:rsidRDefault="0036552A" w:rsidP="00722885">
      <w:pPr>
        <w:pStyle w:val="12a"/>
        <w:shd w:val="clear" w:color="auto" w:fill="auto"/>
        <w:spacing w:after="0" w:line="240" w:lineRule="auto"/>
        <w:jc w:val="both"/>
        <w:rPr>
          <w:color w:val="000000" w:themeColor="text1"/>
          <w:sz w:val="16"/>
          <w:szCs w:val="16"/>
        </w:rPr>
      </w:pPr>
    </w:p>
    <w:p w14:paraId="32998685" w14:textId="77777777" w:rsidR="006300F4" w:rsidRPr="008A2E5A" w:rsidRDefault="006300F4" w:rsidP="006300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августа 1942 года был готов эскизный проект У-18. Больше того, какими-то серьёзными проработками в Свердловске не занимались. Отчасти это объяснялось тем, что главной задачей было вписать МЛ-20 в уже готовую рубку КВ-7. Именно это и получилось. Артиллерийская часть установки У-18 состояла всего из 13 узлов, сама рубка переделывалась только спереди. Поскольку установка спаренных пушек явно была маловата, ее изготовили с нуля. Крепилась система на рамке, причем подвижная бронировка находилась внутри неподвижной. Не самая лучшая идея, поскольку впереди имелись щели, куда свободно залетали пули, осколки и снаряды. Другое дело, что деваться ОКБ-3 УЗТМ было некуда. Такая система появилась не от хорошей жизни, ее диктовала уже готовая рубка. Боекомплект составлял 60 выстрелов раздельного заряжания (23889).</w:t>
      </w:r>
    </w:p>
    <w:p w14:paraId="46CA6573" w14:textId="77777777" w:rsidR="006300F4" w:rsidRPr="008A2E5A" w:rsidRDefault="006300F4" w:rsidP="006300F4">
      <w:pPr>
        <w:spacing w:after="0" w:line="240" w:lineRule="auto"/>
        <w:jc w:val="both"/>
        <w:rPr>
          <w:rFonts w:ascii="Times New Roman" w:hAnsi="Times New Roman"/>
          <w:color w:val="0070C0"/>
          <w:sz w:val="16"/>
          <w:szCs w:val="16"/>
        </w:rPr>
      </w:pPr>
    </w:p>
    <w:p w14:paraId="765B6EAF"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августа 1942</w:t>
      </w:r>
    </w:p>
    <w:p w14:paraId="2CB23386"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1 Дело 12 лист 11</w:t>
      </w:r>
    </w:p>
    <w:p w14:paraId="4B6F7093"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служебного пользования.</w:t>
      </w:r>
    </w:p>
    <w:p w14:paraId="0D3E8987"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 НАРОДНОГО КОМИССАРА ТАНКОВОЙ ПРОМЫШЛЕННОСТИ СОЮЗА ССР № 307</w:t>
      </w:r>
    </w:p>
    <w:p w14:paraId="332EB684"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Москва</w:t>
      </w:r>
    </w:p>
    <w:p w14:paraId="221CC1D1"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августа 1942 г.</w:t>
      </w:r>
    </w:p>
    <w:p w14:paraId="44443CED"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связи с объединением завода № 37 с Уралмашзаводом ПРИКАЗЫВАЮ:</w:t>
      </w:r>
    </w:p>
    <w:p w14:paraId="08E22D50"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Бывший завод № 37 считать филиалом Уралмашзавода.</w:t>
      </w:r>
    </w:p>
    <w:p w14:paraId="67F1080A"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Назначить тов. Фрезерова Заместителем директора Уралмашзавода и Директором филиала Уралмашзавода (бывшего завода № 37).</w:t>
      </w:r>
    </w:p>
    <w:p w14:paraId="24CE4765"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Назначить тов. Мартиросова Заместителем главного инженера Уралмашзавода и Главным инженером филиала Уралмашзавода (бывшего завода № 37).</w:t>
      </w:r>
    </w:p>
    <w:p w14:paraId="1895A66A"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Назначить тов. Свердлова Заместителем директора филиала Уралмашзавода (бывшего завода № 37).</w:t>
      </w:r>
    </w:p>
    <w:p w14:paraId="401DF73E"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ТАНКОВОЙ ПРОМЫШЛЕННОСТИ Союза ССР</w:t>
      </w:r>
    </w:p>
    <w:p w14:paraId="58A2CAFB"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(И. ЗАЛЬЦМАН) (23286)</w:t>
      </w:r>
    </w:p>
    <w:p w14:paraId="7851E7A1" w14:textId="77777777" w:rsidR="00D80E25" w:rsidRPr="008A2E5A" w:rsidRDefault="00D80E25" w:rsidP="00D80E25">
      <w:pPr>
        <w:spacing w:after="0" w:line="240" w:lineRule="auto"/>
        <w:jc w:val="both"/>
        <w:rPr>
          <w:rFonts w:ascii="Times New Roman" w:hAnsi="Times New Roman"/>
          <w:color w:val="0070C0"/>
          <w:sz w:val="16"/>
          <w:szCs w:val="16"/>
        </w:rPr>
      </w:pPr>
    </w:p>
    <w:p w14:paraId="61DBC6DD"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августа 1942 РГАЭ Фонд 8752 Опись 4 Дело 93 лист 129 – 127</w:t>
      </w:r>
    </w:p>
    <w:p w14:paraId="4768F077"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1FDDD974"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w:t>
      </w:r>
    </w:p>
    <w:p w14:paraId="1CEBF0EA"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НАРОДНОГО КОМИССАРА ТАНКОВОЙ ПРОМЫШЛЕННОСТИ СОЮЗА ССР</w:t>
      </w:r>
    </w:p>
    <w:p w14:paraId="2285F636"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565с</w:t>
      </w:r>
    </w:p>
    <w:p w14:paraId="084327BF"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Москва</w:t>
      </w:r>
    </w:p>
    <w:p w14:paraId="135891B9"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августа 1942 г.</w:t>
      </w:r>
    </w:p>
    <w:p w14:paraId="47DB16AF"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 производстве бандажей и прессформ на заводах Наркомтанкопрома".</w:t>
      </w:r>
    </w:p>
    <w:p w14:paraId="3B02256B"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Неоднократные указания Наркомата о форсировании производства бандажей и отправки их для обрезинки на Ярославский Шинный завод заводами №№ 183, 174, 112 и СТЗ до сих пор не выполняются. В настоящее время на заводах создалась угроза по выполнению программы выпуска машин и остановлен цех по обрезинке бандажей на Ярославском Шинном заводе из-за отсутствия бандажей. Руководство завода № 183 (Максарев), несмотря на имеющиеся возможности и мощности по обработке бандажей, к работе до сих пор не приступило.</w:t>
      </w:r>
    </w:p>
    <w:p w14:paraId="5C625EA6"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Заводы Наркомата в июле месяце сорвали выполнение плана по изготовлению прессформ (заводами в июле месяце изготовлено прессформ 8 шт. вместо 30 шт. по плану). На шинных заводах Наркомрезинпрома создалось исключительно аварийное положение по обеспечению наших заводов обрезиненными бандажами из-за отсутствия прессформ.</w:t>
      </w:r>
    </w:p>
    <w:p w14:paraId="44D5EBE8"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основании вышеизложенного ПРИКАЗЫВАЮ:</w:t>
      </w:r>
    </w:p>
    <w:p w14:paraId="5DC808CF"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Директору завода № 183 (Максареву):</w:t>
      </w:r>
    </w:p>
    <w:p w14:paraId="5E06CBC2"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немедленно приступить к обработке бандажей и обеспечить отправку Ярославскому Шинному заводу согласно утвержденного мною графика:</w:t>
      </w:r>
    </w:p>
    <w:p w14:paraId="45C3B428"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мес. – 3500 шт.</w:t>
      </w:r>
    </w:p>
    <w:p w14:paraId="7FE344D5"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в сентябре мес. – 4400 шт.</w:t>
      </w:r>
    </w:p>
    <w:p w14:paraId="4CD4AB92"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изготовить прессформ:</w:t>
      </w:r>
    </w:p>
    <w:p w14:paraId="15C6D430"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мес. – 15 шт.</w:t>
      </w:r>
    </w:p>
    <w:p w14:paraId="07C6E83E"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в сентябре мес. – 15 шт.,</w:t>
      </w:r>
    </w:p>
    <w:p w14:paraId="74C84BD7"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них до 10 сентября 5 шт.</w:t>
      </w:r>
    </w:p>
    <w:p w14:paraId="43127596"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начать 15 сентября с.г. обрезинку бандажей в мастерских завода и обеспечить выпуск:</w:t>
      </w:r>
    </w:p>
    <w:p w14:paraId="3635C659"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15 сентября по 1 октября по 100 шт. в сутки</w:t>
      </w:r>
    </w:p>
    <w:p w14:paraId="4807096A"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с 1 октября полностью на всю программу выпуска машин.</w:t>
      </w:r>
    </w:p>
    <w:p w14:paraId="5101137B"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Директору завода № 112 (Рубинчику):</w:t>
      </w:r>
    </w:p>
    <w:p w14:paraId="315525B5"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обеспечить изготовление и отправку Ярославскому Шинному заводу бандажей:</w:t>
      </w:r>
    </w:p>
    <w:p w14:paraId="2A946A4B"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 4200 шт.</w:t>
      </w:r>
    </w:p>
    <w:p w14:paraId="1ABE9B69"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в сентябре – 7000 шт.</w:t>
      </w:r>
    </w:p>
    <w:p w14:paraId="1D5CCEA8"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Отправку произвести согласно прилагаемого графика.</w:t>
      </w:r>
    </w:p>
    <w:p w14:paraId="0C70CFC3"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изготовить и отправить Ярославскому Шинному заводу прессформ:</w:t>
      </w:r>
    </w:p>
    <w:p w14:paraId="5EDF1F50"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 15 шт.</w:t>
      </w:r>
    </w:p>
    <w:p w14:paraId="30C13819"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в сентябре – 5 шт.</w:t>
      </w:r>
    </w:p>
    <w:p w14:paraId="7F91F078"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Директору завода № 174 (Кацнельсон):</w:t>
      </w:r>
    </w:p>
    <w:p w14:paraId="1CC3202F"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обеспечить изготовление и отправку Омскому Шинному заводу бандажей в количестве:</w:t>
      </w:r>
    </w:p>
    <w:p w14:paraId="04B676D5"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 4000 шт.</w:t>
      </w:r>
    </w:p>
    <w:p w14:paraId="66F96EFE"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в сентябре – 6000 шт.</w:t>
      </w:r>
    </w:p>
    <w:p w14:paraId="0A23E729"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Отправку произвести согласно прилагаемого графика.</w:t>
      </w:r>
    </w:p>
    <w:p w14:paraId="1E67BE0E"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изготовить прессформ в количестве:</w:t>
      </w:r>
    </w:p>
    <w:p w14:paraId="0CF2CE5E"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 15 шт.</w:t>
      </w:r>
    </w:p>
    <w:p w14:paraId="59E3B73A"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до 15 сентября – 5 шт.</w:t>
      </w:r>
    </w:p>
    <w:p w14:paraId="0FF90610"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в течение пяти дней закончить испытание катков, сделанных по технологии Омского завода (раздельной вулканизации) и результаты испытания представить на утверждение в Наркомрезинпром.</w:t>
      </w:r>
    </w:p>
    <w:p w14:paraId="5F6A4D0E"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Директору завода № 176 (Федотову):</w:t>
      </w:r>
    </w:p>
    <w:p w14:paraId="0C1B099A"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изготовить и поставить Ярославскому Шинному заводу бандажей в количестве:</w:t>
      </w:r>
    </w:p>
    <w:p w14:paraId="044C018F"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 2300 шт.</w:t>
      </w:r>
    </w:p>
    <w:p w14:paraId="72E48FA8"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в сентябре – 3000 шт.</w:t>
      </w:r>
    </w:p>
    <w:p w14:paraId="45680F86"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Директору Кировского завода (Махонину):</w:t>
      </w:r>
    </w:p>
    <w:p w14:paraId="44286C4F"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немедленно приступить к изготовлению и поставке Омскому Шинному заводу бандажей в количестве:</w:t>
      </w:r>
    </w:p>
    <w:p w14:paraId="5DCFEA5D"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 1000 шт.</w:t>
      </w:r>
    </w:p>
    <w:p w14:paraId="0C5EDF8F"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в сентябре – 4000 шт.</w:t>
      </w:r>
    </w:p>
    <w:p w14:paraId="2EB32866"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Поставку произвести согласно прилагаемого графика.</w:t>
      </w:r>
    </w:p>
    <w:p w14:paraId="2A21946B"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обеспечить изготовление и отправку Омскому Шинному заводу прессформ в количестве:</w:t>
      </w:r>
    </w:p>
    <w:p w14:paraId="65478BA9"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 30 шт.</w:t>
      </w:r>
    </w:p>
    <w:p w14:paraId="04C5B47B"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в сентябре – 30 шт.</w:t>
      </w:r>
    </w:p>
    <w:p w14:paraId="2FA97D3F"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Директору Уралмашзавода (Музрукову):</w:t>
      </w:r>
    </w:p>
    <w:p w14:paraId="143693F6"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обеспечить изготовление бандажей в количестве:</w:t>
      </w:r>
    </w:p>
    <w:p w14:paraId="0CD6EF14"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сентябре – 2000 шт.</w:t>
      </w:r>
    </w:p>
    <w:p w14:paraId="2C9E9A46"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прессформ в количестве:</w:t>
      </w:r>
    </w:p>
    <w:p w14:paraId="5B913842"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 20 шт.</w:t>
      </w:r>
    </w:p>
    <w:p w14:paraId="6D282B18"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в сентябре – 30 шт.</w:t>
      </w:r>
    </w:p>
    <w:p w14:paraId="390A1FDF"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Директору СТЗ (Задорожному):</w:t>
      </w:r>
    </w:p>
    <w:p w14:paraId="54757412"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изготовить и поставить Ярославскому Шинному заводу бандажей в количестве:</w:t>
      </w:r>
    </w:p>
    <w:p w14:paraId="38F2AA03"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 4000 шт.</w:t>
      </w:r>
    </w:p>
    <w:p w14:paraId="5070F5E7"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в сентябре – 4500 шт.</w:t>
      </w:r>
    </w:p>
    <w:p w14:paraId="18967D55"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Начальнику Главснаба Наркомата (Розину):</w:t>
      </w:r>
    </w:p>
    <w:p w14:paraId="6052D442"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обеспечить все заводы Наркомата, изготовляющие бандажи металлом в количестве, обеспечивающем выполнение плана по выпуску бандажей, согласно прилагаемого графика;</w:t>
      </w:r>
    </w:p>
    <w:p w14:paraId="64A5D286"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добиться обеспечения заводами Наркомчермета прокатки профильной полосы для бандажей.</w:t>
      </w:r>
    </w:p>
    <w:p w14:paraId="488A43C2"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Обязываю всех директоров заводов, изготовляющих бандажи, ежедневно сообщать по "ВЧ" вместе со сводкой о выпуске машин – выполнение графика по изготовлению бандажей и прессформ.</w:t>
      </w:r>
    </w:p>
    <w:p w14:paraId="7B564496"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Главному технологу Наркомата тов. Гуревичу совместно с директорами заводов Кировского тов. Махониным, № 183 тов. Максаревым, УЗТМ тов. Музруковым проработать до 15 августа мероприятия, обеспечивающие производство на заводах бандажей, с учетом перехода с 1 октября на выпуск машин со всеми обрезиненными катками (20 шт. на 1 машину). Разработанные мероприятия представить мне на утверждение к 20 августа.</w:t>
      </w:r>
    </w:p>
    <w:p w14:paraId="379229E6"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Предупреждаю директоров заводов: Кировского (Махонина), № 183 (Максарева), №112 (Рубинчик), № 174 (Кацнельсон), №176 (Федотова), СТЗ (Задорожного) и Уралмашзавода (Музрукова) о том, что за срыв изготовления и поставки металлических бандажей и прессформ шинным заводам в установленные мною сроки, буду привлекать к строгой ответственности.</w:t>
      </w:r>
    </w:p>
    <w:p w14:paraId="7D5E3CAF"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Возлагаю контроль за выполнением настоящего приказа на ведущих инженеров вышеуказанных заводов и на начальника Сектора Кооперирования тов. МАТВЕЕВА.</w:t>
      </w:r>
    </w:p>
    <w:p w14:paraId="234B0781"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Настоящим приказом исчерпываются все ранее изданные приказы по Наркомату "О производстве бандажей и прессформ".</w:t>
      </w:r>
    </w:p>
    <w:p w14:paraId="106B9225"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ТАНКОВОЙ ПРОМЫШЛЕННОСТИ СОЮЗА ССР</w:t>
      </w:r>
    </w:p>
    <w:p w14:paraId="09D2445A"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ЗАЛЬЦМАН (23287).</w:t>
      </w:r>
    </w:p>
    <w:p w14:paraId="6294D8EE" w14:textId="77777777" w:rsidR="00D80E25" w:rsidRPr="008A2E5A" w:rsidRDefault="00D80E25" w:rsidP="00D80E25">
      <w:pPr>
        <w:spacing w:after="0" w:line="240" w:lineRule="auto"/>
        <w:jc w:val="both"/>
        <w:rPr>
          <w:rFonts w:ascii="Times New Roman" w:hAnsi="Times New Roman"/>
          <w:color w:val="0070C0"/>
          <w:sz w:val="16"/>
          <w:szCs w:val="16"/>
        </w:rPr>
      </w:pPr>
    </w:p>
    <w:p w14:paraId="0353110F"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августа 1942 РГАЭ Фонд 8752 Опись 4 Дело 93 лист 133 – 131</w:t>
      </w:r>
    </w:p>
    <w:p w14:paraId="24C223D3"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Сов.Секретно</w:t>
      </w:r>
    </w:p>
    <w:p w14:paraId="46E5120C"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w:t>
      </w:r>
    </w:p>
    <w:p w14:paraId="5CF23046"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НАРОДНОГО КОМИССАРА ТАНКОВОЙ ПРОМЫШЛЕННОСТИ СОЮЗА ССР</w:t>
      </w:r>
    </w:p>
    <w:p w14:paraId="5232C612"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566сс</w:t>
      </w:r>
    </w:p>
    <w:p w14:paraId="00E575D0"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Москва</w:t>
      </w:r>
    </w:p>
    <w:p w14:paraId="7DE554CC"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августа 1942 г.</w:t>
      </w:r>
    </w:p>
    <w:p w14:paraId="61F304B4"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производству основного танкового электрооборудования.</w:t>
      </w:r>
    </w:p>
    <w:p w14:paraId="430856AA"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 соответствии с установленной программой выпуска танков, дизелей, арт. тягачей и поставок ГАБТУ КА на август мес. 1942 г. утверждаю следующий план производства основного танкового электрооборудования на август 1942 г. на заводах НКТП № 255, № 254 и № 238.</w:t>
      </w:r>
    </w:p>
    <w:p w14:paraId="31F19977"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Директору завода № 255 т. Мороз обеспечить выполнение следующего графика выпуска электрооборудования в августе 1942 г.</w:t>
      </w:r>
    </w:p>
    <w:p w14:paraId="1C993EAD"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Директору завода № 254 т. КОЗЛОВУ обеспечить выполнение следующего графика выпуска электрооборудования в августе 1942 г.</w:t>
      </w:r>
    </w:p>
    <w:p w14:paraId="3E064186"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4. Директору завода № 238 т. Галунину закончить к 5.VIII-с.г. всю подготовку производства для выпуска генераторов и обеспечить сдачу генераторов по следующему графику:</w:t>
      </w:r>
    </w:p>
    <w:p w14:paraId="110C80E2"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Все электрооборудование, выполняемое заводами № 255, № 254 и № 238 для заводов НКТП передается по графикам, утвержденным приказом № 550с от 27 июля 1942 г. местным конторам Танкоснаба, которые в соответствии с теми же графиками производят отгрузку электрооборудования заводам НКТП.</w:t>
      </w:r>
    </w:p>
    <w:p w14:paraId="27B9115B"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Несмотря на выполнение июльских поставок электрооборудования для заводов НКТП заводами № 255 и № 254, директора заводов т. Мороз и т. Козлов не организовали выпуск электрооборудования равномерно в течение всего месяца.</w:t>
      </w:r>
    </w:p>
    <w:p w14:paraId="01DB8CD4"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Обязываю т. Мороз и т. Козлова в течение августа месяца провести необходимые организационные мероприятия для обеспечения ритмичной работы заводов № 255 и № 254 по выпуску электрооборудования в строгом соответствии с утвержденным мною графиком.</w:t>
      </w:r>
    </w:p>
    <w:p w14:paraId="5EB66067"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Директору Кировского завода т. Махонину и директору завода № 112 т. Рубинчику обеспечить поставку до 20 августа полуфабрикатов и деталей заводам № 255, № 254 и № 238 согласно приказа № 445с от 10.VI-42 г. с расчетом полного обеспечения потребности для выполнения программы августа заводами № 255, № 254 и № 238.</w:t>
      </w:r>
    </w:p>
    <w:p w14:paraId="159D42E3"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Директору завода № 255 т. Мороз обеспечить в августе месяце перевод в новый корпус инструментальный и заготовительный цеха, а также смонтировать станок для правки пруткового материала.</w:t>
      </w:r>
    </w:p>
    <w:p w14:paraId="4D1BC56C"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Контроль за выполнением настоящего приказа возлагаю на т.т. Зиновьева и Кляцкину.</w:t>
      </w:r>
    </w:p>
    <w:p w14:paraId="3D719A99"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ТАНКОВОЙ ПРОМЫШЛЕННОСТИ СОЮЗА ССР</w:t>
      </w:r>
    </w:p>
    <w:p w14:paraId="4A44BBAB" w14:textId="77777777" w:rsidR="00D80E25" w:rsidRPr="008A2E5A" w:rsidRDefault="00D80E25" w:rsidP="00D80E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ЗАЛЬЦМАН (23288).</w:t>
      </w:r>
    </w:p>
    <w:p w14:paraId="49E07207" w14:textId="77777777" w:rsidR="00D80E25" w:rsidRPr="008A2E5A" w:rsidRDefault="00D80E25" w:rsidP="00D80E25">
      <w:pPr>
        <w:spacing w:after="0" w:line="240" w:lineRule="auto"/>
        <w:jc w:val="both"/>
        <w:rPr>
          <w:rFonts w:ascii="Times New Roman" w:hAnsi="Times New Roman"/>
          <w:color w:val="0070C0"/>
          <w:sz w:val="16"/>
          <w:szCs w:val="16"/>
        </w:rPr>
      </w:pPr>
    </w:p>
    <w:p w14:paraId="3DC1A788"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4944E678" w14:textId="77777777" w:rsidR="00AE7191" w:rsidRPr="001E2C69" w:rsidRDefault="00AE7191" w:rsidP="00722885">
      <w:pPr>
        <w:pStyle w:val="Iauiue"/>
        <w:jc w:val="both"/>
        <w:rPr>
          <w:iCs/>
          <w:color w:val="000000" w:themeColor="text1"/>
          <w:sz w:val="16"/>
          <w:szCs w:val="16"/>
        </w:rPr>
      </w:pPr>
    </w:p>
    <w:p w14:paraId="734A702B"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августа в 1942 году утреннее сообщение Совинформбюро:</w:t>
      </w:r>
    </w:p>
    <w:p w14:paraId="09BE1504"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4 августа наши войска вели бои с противником в районах Клетская, Цымлянская, Сальск, Кущевская.</w:t>
      </w:r>
    </w:p>
    <w:p w14:paraId="5C38E370"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0D7A273E"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у одного населённого пункта завязался бой с итальянской дивизией, действующей при поддержке немецких танков. Наши части отбили несколько атак противника и уничтожили до 2.000 итальянских солдат и офицеров, несколько танков, 30 орудий, 200 автомашин и 4 радиостанции.</w:t>
      </w:r>
    </w:p>
    <w:p w14:paraId="22402A0D"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Советские бойцы упорно отстаивают каждый метр родной земли. Две артиллерийские батареи Н-ской части в последних боях уничтожили 18 немецких танков и 12 автомашин с немецкими автоматчиками. В батарее, где командиром тов. Петросьян, были выведены из строя все орудия. Бойцы вооружились гранатами и винтовками и, уничтожив до роты гитлеровцев, отбили атаку противника. На одном из участков был сбит самолёт противника. Лётчик Карл Дитрих May пытался скрыться, но был взят казачками в плен и доставлен в штаб советской части.</w:t>
      </w:r>
    </w:p>
    <w:p w14:paraId="1299F4DD"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Кущевской наши войска вели кровопролитные бои с противником. Немецкие войска несколько раз пытались форсировать водный рубеж, но были отброшены с большими для них потерями.</w:t>
      </w:r>
    </w:p>
    <w:p w14:paraId="37538858"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Только на участке Н-ской части уничтожено 7 танков, 14 орудий, 17 пулемётов и не менее 600 гитлеровцев. В районе Сальска советские войска отбивали ожесточённые атаки неприятеля. После упорных боёв наши части отошли на новые рубежи.</w:t>
      </w:r>
    </w:p>
    <w:p w14:paraId="1AA26B71"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Северо-Западном фронте происходили артиллерийская перестрелка и действия разведывательных групп. На одном из участков гвардейцы-артиллеристы подавили огонь 6 тяжёлых орудий, уничтожили 5 пулемётов и до 120 немецких солдат и офицеров. Артиллерийская батарея старшего лейтенанта Харитонова произвела огневой налёт на вражескую колонну. Метким огнём рассеяно и частью уничтожено до двух рот пехоты противника.</w:t>
      </w:r>
    </w:p>
    <w:p w14:paraId="64008EDD"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Брянского фронта немцы предприняли атаку, стремясь захватить выгодный рубеж. Создалась угроза штабу нашего подразделения. Старший лейтенант Сосновский, заместитель политрука Хасамединов, младший лейтенант Панфилов, сержант Новицкий и красноармеец Просолов, вооружённые трофейным немецким пулемётом, противотанковым ружьём, гранатами и автоматами, выдвинулись вперёд навстречу противнику. Отважные бойцы метким огнём сожгли 3 немецких танка и уничтожили несколько десятков гитлеровцев.</w:t>
      </w:r>
    </w:p>
    <w:p w14:paraId="047592B3"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Группа ленинградских партизан, которой руководит тов. И., пустила под откос эшелон противника в составе 37 вагонов. Группа партизан под командованием тов. А. организовала крушение эшелона оккупантов с живой силой и техникой. Разбиты паровоз и 20 вагонов.</w:t>
      </w:r>
    </w:p>
    <w:p w14:paraId="2D898B69"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Пробравшиеся через линию фронта жители гор. Полоцка, Витебской области, Прокофьев С.Ф. и Крупеня Я.Р. рассказали: «Недалеко от Полоцка немцы устроили пересыльный лагерь. В этом лагере находится более 400 женщин и девушек изокрестных сёл и деревень. Каждую неделю 20—30 пленниц увозят в Германию и отдают на принудительные работы немецким баронам. В середине июля в лагере 20 девушек заявили, что они никуда не поедут со своих родных мест. Гитлеровские мерзавцы долго измывались над советскими патриотками, зверски их избили, а потом расстреляли».</w:t>
      </w:r>
    </w:p>
    <w:p w14:paraId="10B5FF55"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Железнодорожники оккупированной немцами части Франции разрушают коммуникациии срывают военные перевозки гитлеровцев. На одной станции в департаменте Нижней Сены французские патриоты взорвали немецкий эшелон с боеприпасами. На перегоне Дуэ—Appac воинский эшелон оккупантов на полном ходу врезался в состав с горючим. Взрывами и пожаром уничтожено 44 вагона, 19 цистерн, 2 паровоза. Убито и ранено много немецких солдат и офицеров.</w:t>
      </w:r>
    </w:p>
    <w:p w14:paraId="31111E98"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Рабочие цветной металлургии дают стране и фронту цветной металл сверх плана. Уфалейский никелевый завод в июле выполнил производственную программу на 117 процентов. Коллектив Орского никелевого комбината успешно выполнил своё обязательство выпустить в июле сверх программы металл для 10 танков. Никель уже отправлен Н-скому танковому заводу.» (14973).</w:t>
      </w:r>
    </w:p>
    <w:p w14:paraId="78CF8854" w14:textId="77777777" w:rsidR="00907F56" w:rsidRPr="001E2C69" w:rsidRDefault="00907F56" w:rsidP="00722885">
      <w:pPr>
        <w:spacing w:after="0" w:line="240" w:lineRule="auto"/>
        <w:jc w:val="both"/>
        <w:rPr>
          <w:rFonts w:ascii="Times New Roman" w:hAnsi="Times New Roman"/>
          <w:color w:val="000000" w:themeColor="text1"/>
          <w:sz w:val="16"/>
          <w:szCs w:val="16"/>
        </w:rPr>
      </w:pPr>
    </w:p>
    <w:p w14:paraId="4CADF9EC"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августа в 1942 году вечернее сообщение Совинформбюро:</w:t>
      </w:r>
    </w:p>
    <w:p w14:paraId="4959B2DE"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4 августа наши войска вели ожесточённые бои в районах Клетская, Цымлянская, Белая Глина, Кущевская.</w:t>
      </w:r>
    </w:p>
    <w:p w14:paraId="112FCA37"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716D521B"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3 августа частями нашей авиации на различных участках фронта уничтожено или повреждено до 70 немецких танков, 275 автомашин с войсками и грузами, 3 автоцистерны с горючим, взорвано 4 склада с боеприпасами, подавлен огонь 12 батарей полевой и зенитной артиллерии, разбито два железнодорожных состава, рассеяно и частью уничтожено до полка пехоты противника.</w:t>
      </w:r>
    </w:p>
    <w:p w14:paraId="09F3C382"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и южнее этого пункта наши войска отбивали многочисленные атаки противника и наносили ему контрудары. Уже несколько дней продолжается бой в крупном населённом пункте. Немцы подбросили в этот район резервы и лишь ценой больших потерь несколько потеснили наши части. На другом участке танкисты отдельного подразделения, наступая на пехоту противника, подавили гусеницами 270 немецких солдат и офицеров. Активно действует советская авиация. За один день наши лётчики уничтожили до 30 немецких танков, 90 автомашин, 5 орудии и 13 миномётно-пулемётных точек.</w:t>
      </w:r>
    </w:p>
    <w:p w14:paraId="67A002B4"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Белой Глины наши войска вели тяжёлые оборонительные бои с превосходящими силами танков и мотопехоты противника. В этих боях немцы несут большие потери.</w:t>
      </w:r>
    </w:p>
    <w:p w14:paraId="0094A13D"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Только перед оборонительными рубежами одной нашей части на поле боя осталось 8 подбитых и сожжённых танков, 5 орудий, 36 пулемётов и до 500 убитых гитлеровцев.</w:t>
      </w:r>
    </w:p>
    <w:p w14:paraId="60FA5F93"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Кущевской немецко-фашистские войска непрерывно атакуют оборонительные рубежи советских войск. Большая часть атак гитлеровцев отбита. Лишь на одном участке противнику удалось продвинуться вперёд. Упорные бои с переменным успехом продолжались в районе одного населённого пункта.</w:t>
      </w:r>
    </w:p>
    <w:p w14:paraId="00317003"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Ленинградском фронте происходили бои местного значения. На одном из участков наши части с боями заняли населённый пункт. Противник потерял в этом бою только убитыми несколько сот солдат и офицеров. Захвачено 6 орудий, 6 миномётов, 11 пулемётов, 3.800 мин и снарядов, 23.500 патронов. Советские бойцы проявляют мужество и бесстрашие в борьбе с врагом. Красноармеец Шестов во время наступления под сильным огнём противника совершил семь рейсов на лодке через реку и перевёз 50 красноармейцев на берег, занятый гитлеровцами. Боец Михальченко был ранен, но не ушёл со своего поста. В ходе боя красноармеец Морозов заметил, что немецкий автоматчик целится в младшего лейтенанта Тамаркина. Морозов бросился вперёд и убил немецкого автоматчика. Смелый боец был ранен, но продолжал сражаться до конца боя. Наши лётчики в воздушных боях сбили 21 немецкий самолёт.</w:t>
      </w:r>
    </w:p>
    <w:p w14:paraId="03A2C75C"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Карельском фронте произошло два воздушных боя, во время которых лётчики авиачасти, где командиром тов. Аникеев, сбили 7 и повредили 2 немецких самолёта. Звено советских истребителей атаковало «Хеншель-126», шедший под прикрытием «Мессершмиттов». После первой атаки «Хеншель-126» был сбит. Тогда сержант Мясников пошёл в лобовую атаку на ведущего немецкого истребителя и правой плоскостью таранил врага. От «Мессершмитта-109» отвалилась плоскость, и он упал. Капитан Семёнов зашёл в хвост другому самолёту противника и длинной очередью сбил его. Лётчик Козловский напал на третий немецкий истребитель и с расстоянияв 100—150 метров открыл огонь. Немецкий самолёт врезался в землю. 14 немецких самолётов пытались бомбить передний край нашей обороны. Их встретили четыре наших истребителя. Бой произошёл над территорией противника. Наши самолёты атаковали и сбили 3 немецких бомбардировщика. Остальные самолёты противника беспорядочно сбросили бомбы и быстро скрылись.</w:t>
      </w:r>
    </w:p>
    <w:p w14:paraId="16C6C49B"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разгроме немецкого гарнизона в деревне К. найдена записная книжка неизвестного немецкого обер-ефрейтора. Ниже публикуются выдержки из неё: «Отъезд из Франции. Майор Гилль с нами. Проезжаем через Руан...</w:t>
      </w:r>
    </w:p>
    <w:p w14:paraId="6271284A"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Прибыли в Витебск. Город разрушен. Кто-то поджёг солдатскую казарму, которую только недавно построили...</w:t>
      </w:r>
    </w:p>
    <w:p w14:paraId="2A237876"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Нас обстреливали. Погиб лейтенант Куммер. 25 часов без передышки вели бой. Лейтенант Даус и унтер-офицер Шлиссер сошли с ума. Клаус подсчитал, что у нас 56 процентов потерь. Написал прощальное письмо...</w:t>
      </w:r>
    </w:p>
    <w:p w14:paraId="2DD1134C"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Противник опять ворвался в населённый пункт. На улицах лежат трупы убитых наших товарищей. У самого штаба русский снайпер убил обер-лейтенанта Трейера. Ганс Цабель погиб. Карл Бак — тоже...</w:t>
      </w:r>
    </w:p>
    <w:p w14:paraId="48DE0893"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Ночью слушали русскую радиопередачу. Выступал Вильгельм Штрайх, который несколько дней назад попал к русским в плен. Неужели он жив? Очень много разговоров об этом. В деревне мы сожгли 60 домов. Половины жителей нет, они ушли в партизаны. Удивляюсь я бесстрашию русских. Они никогда не сдадутся».</w:t>
      </w:r>
    </w:p>
    <w:p w14:paraId="08FBD190"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Патриоты Франции ведут упорную борьбу против немецко-фашистских захватчиков. На одном немецком аэродроме близ Делена взрывом разрушены ангар и склад авиационных материалов. Возникшим пожаром уничтожены несколько самолётов, автоцистерна с горючим и запасные части к самолётам. В Жанвилье на автомобильном заводе «Шенар и Валькер» в июле произошло четыре пожара.</w:t>
      </w:r>
    </w:p>
    <w:p w14:paraId="3FA332D7"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где директором тов. Задорожный, перевыполнил июльскую программу по всем видам продукции. Коллектив дал фронту сверх плана много танков и моторов. С первых дней августа завод набирает ещё более высокие темпы работы.» (14973).</w:t>
      </w:r>
    </w:p>
    <w:p w14:paraId="72E23E6A" w14:textId="77777777" w:rsidR="00907F56" w:rsidRPr="001E2C69" w:rsidRDefault="00907F56" w:rsidP="00722885">
      <w:pPr>
        <w:spacing w:after="0" w:line="240" w:lineRule="auto"/>
        <w:jc w:val="both"/>
        <w:rPr>
          <w:rFonts w:ascii="Times New Roman" w:hAnsi="Times New Roman"/>
          <w:color w:val="000000" w:themeColor="text1"/>
          <w:sz w:val="16"/>
          <w:szCs w:val="16"/>
        </w:rPr>
      </w:pPr>
    </w:p>
    <w:p w14:paraId="6C816051"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августа в 1942 году немецкие войска заняли Кропоткин (14973).</w:t>
      </w:r>
    </w:p>
    <w:p w14:paraId="3A58EE59" w14:textId="77777777" w:rsidR="00907F56" w:rsidRPr="001E2C69" w:rsidRDefault="00907F56" w:rsidP="00722885">
      <w:pPr>
        <w:spacing w:after="0" w:line="240" w:lineRule="auto"/>
        <w:jc w:val="both"/>
        <w:rPr>
          <w:rFonts w:ascii="Times New Roman" w:hAnsi="Times New Roman"/>
          <w:color w:val="000000" w:themeColor="text1"/>
          <w:sz w:val="16"/>
          <w:szCs w:val="16"/>
        </w:rPr>
      </w:pPr>
    </w:p>
    <w:p w14:paraId="00BCADF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4 августа 1942 пятерка Ил-2 504-го </w:t>
      </w:r>
      <w:r w:rsidRPr="001E2C69">
        <w:rPr>
          <w:iCs/>
          <w:color w:val="000000" w:themeColor="text1"/>
          <w:sz w:val="16"/>
          <w:szCs w:val="16"/>
        </w:rPr>
        <w:t xml:space="preserve">шап </w:t>
      </w:r>
      <w:r w:rsidRPr="001E2C69">
        <w:rPr>
          <w:color w:val="000000" w:themeColor="text1"/>
          <w:sz w:val="16"/>
          <w:szCs w:val="16"/>
        </w:rPr>
        <w:t xml:space="preserve">226-й </w:t>
      </w:r>
      <w:r w:rsidRPr="001E2C69">
        <w:rPr>
          <w:iCs/>
          <w:color w:val="000000" w:themeColor="text1"/>
          <w:sz w:val="16"/>
          <w:szCs w:val="16"/>
        </w:rPr>
        <w:t>шад</w:t>
      </w:r>
      <w:r w:rsidRPr="001E2C69">
        <w:rPr>
          <w:color w:val="000000" w:themeColor="text1"/>
          <w:sz w:val="16"/>
          <w:szCs w:val="16"/>
        </w:rPr>
        <w:t xml:space="preserve"> (ведущий ст. л-т И.И.Пстыго) под прикрытием 11 Як-1 148-го </w:t>
      </w:r>
      <w:r w:rsidRPr="001E2C69">
        <w:rPr>
          <w:iCs/>
          <w:color w:val="000000" w:themeColor="text1"/>
          <w:sz w:val="16"/>
          <w:szCs w:val="16"/>
        </w:rPr>
        <w:t xml:space="preserve">иап </w:t>
      </w:r>
      <w:r w:rsidRPr="001E2C69">
        <w:rPr>
          <w:color w:val="000000" w:themeColor="text1"/>
          <w:sz w:val="16"/>
          <w:szCs w:val="16"/>
        </w:rPr>
        <w:t xml:space="preserve">269-й </w:t>
      </w:r>
      <w:r w:rsidRPr="001E2C69">
        <w:rPr>
          <w:iCs/>
          <w:color w:val="000000" w:themeColor="text1"/>
          <w:sz w:val="16"/>
          <w:szCs w:val="16"/>
        </w:rPr>
        <w:t>иад</w:t>
      </w:r>
      <w:r w:rsidRPr="001E2C69">
        <w:rPr>
          <w:color w:val="000000" w:themeColor="text1"/>
          <w:sz w:val="16"/>
          <w:szCs w:val="16"/>
        </w:rPr>
        <w:t xml:space="preserve"> вылетела на разведку и штур</w:t>
      </w:r>
      <w:r w:rsidRPr="001E2C69">
        <w:rPr>
          <w:color w:val="000000" w:themeColor="text1"/>
          <w:sz w:val="16"/>
          <w:szCs w:val="16"/>
        </w:rPr>
        <w:softHyphen/>
        <w:t>мовку колонн 4-й танковой армии Гота в район юго-западнее Сталинграда. В районе разведки "Яки" прикрытия сце</w:t>
      </w:r>
      <w:r w:rsidRPr="001E2C69">
        <w:rPr>
          <w:color w:val="000000" w:themeColor="text1"/>
          <w:sz w:val="16"/>
          <w:szCs w:val="16"/>
        </w:rPr>
        <w:softHyphen/>
        <w:t>пились с 5 Bf109 и так "увлеклись" боем, что потеряли своих подопечных из виду. "Илы" остались одни. Группе Пстыго все же удалось прорваться к дороге Аксай-Абганерово, где они обнаружили боль</w:t>
      </w:r>
      <w:r w:rsidRPr="001E2C69">
        <w:rPr>
          <w:color w:val="000000" w:themeColor="text1"/>
          <w:sz w:val="16"/>
          <w:szCs w:val="16"/>
        </w:rPr>
        <w:softHyphen/>
        <w:t>шую колонну танков и живой силы про</w:t>
      </w:r>
      <w:r w:rsidRPr="001E2C69">
        <w:rPr>
          <w:color w:val="000000" w:themeColor="text1"/>
          <w:sz w:val="16"/>
          <w:szCs w:val="16"/>
        </w:rPr>
        <w:softHyphen/>
        <w:t>тивника. Успев произвести фотографи</w:t>
      </w:r>
      <w:r w:rsidRPr="001E2C69">
        <w:rPr>
          <w:color w:val="000000" w:themeColor="text1"/>
          <w:sz w:val="16"/>
          <w:szCs w:val="16"/>
        </w:rPr>
        <w:softHyphen/>
        <w:t>рование и штурмовку колонны в одном заходе, Ил-2 подверглись атаке двадцат</w:t>
      </w:r>
      <w:r w:rsidRPr="001E2C69">
        <w:rPr>
          <w:color w:val="000000" w:themeColor="text1"/>
          <w:sz w:val="16"/>
          <w:szCs w:val="16"/>
        </w:rPr>
        <w:softHyphen/>
        <w:t xml:space="preserve">ки Bf109. 20 (!) "мессершмиттов-109" Люфтваффе против пятерки "Илов" ВВС КА - силы далеко не равные. "Яки" 148-го </w:t>
      </w:r>
      <w:r w:rsidRPr="001E2C69">
        <w:rPr>
          <w:iCs/>
          <w:color w:val="000000" w:themeColor="text1"/>
          <w:sz w:val="16"/>
          <w:szCs w:val="16"/>
        </w:rPr>
        <w:t>иап</w:t>
      </w:r>
      <w:r w:rsidRPr="001E2C69">
        <w:rPr>
          <w:color w:val="000000" w:themeColor="text1"/>
          <w:sz w:val="16"/>
          <w:szCs w:val="16"/>
        </w:rPr>
        <w:t xml:space="preserve"> на помощь не пришли. В завязав</w:t>
      </w:r>
      <w:r w:rsidRPr="001E2C69">
        <w:rPr>
          <w:color w:val="000000" w:themeColor="text1"/>
          <w:sz w:val="16"/>
          <w:szCs w:val="16"/>
        </w:rPr>
        <w:softHyphen/>
        <w:t>шемся жестоком воздушном бою все Ил-2 были сбиты (3 из них совершили вы</w:t>
      </w:r>
      <w:r w:rsidRPr="001E2C69">
        <w:rPr>
          <w:color w:val="000000" w:themeColor="text1"/>
          <w:sz w:val="16"/>
          <w:szCs w:val="16"/>
        </w:rPr>
        <w:softHyphen/>
        <w:t>нужденные посадки), но и пара Bf109 "свечками" пошла к земле. Позже на</w:t>
      </w:r>
      <w:r w:rsidRPr="001E2C69">
        <w:rPr>
          <w:color w:val="000000" w:themeColor="text1"/>
          <w:sz w:val="16"/>
          <w:szCs w:val="16"/>
        </w:rPr>
        <w:softHyphen/>
        <w:t>земные части, в расположении которых упали "мессеры", прислали подтвержде</w:t>
      </w:r>
      <w:r w:rsidRPr="001E2C69">
        <w:rPr>
          <w:color w:val="000000" w:themeColor="text1"/>
          <w:sz w:val="16"/>
          <w:szCs w:val="16"/>
        </w:rPr>
        <w:softHyphen/>
        <w:t xml:space="preserve">ния победам штурмовиков. "Соколы" 148-го </w:t>
      </w:r>
      <w:r w:rsidRPr="001E2C69">
        <w:rPr>
          <w:iCs/>
          <w:color w:val="000000" w:themeColor="text1"/>
          <w:sz w:val="16"/>
          <w:szCs w:val="16"/>
        </w:rPr>
        <w:t>иап</w:t>
      </w:r>
      <w:r w:rsidRPr="001E2C69">
        <w:rPr>
          <w:color w:val="000000" w:themeColor="text1"/>
          <w:sz w:val="16"/>
          <w:szCs w:val="16"/>
        </w:rPr>
        <w:t xml:space="preserve"> вернулись на свой аэродром </w:t>
      </w:r>
      <w:r w:rsidRPr="001E2C69">
        <w:rPr>
          <w:iCs/>
          <w:color w:val="000000" w:themeColor="text1"/>
          <w:sz w:val="16"/>
          <w:szCs w:val="16"/>
        </w:rPr>
        <w:t xml:space="preserve">"в полном составе и без единой пробоины... " </w:t>
      </w:r>
      <w:r w:rsidRPr="001E2C69">
        <w:rPr>
          <w:color w:val="000000" w:themeColor="text1"/>
          <w:sz w:val="16"/>
          <w:szCs w:val="16"/>
        </w:rPr>
        <w:t>06 этом и ряде других нелицеприят</w:t>
      </w:r>
      <w:r w:rsidRPr="001E2C69">
        <w:rPr>
          <w:color w:val="000000" w:themeColor="text1"/>
          <w:sz w:val="16"/>
          <w:szCs w:val="16"/>
        </w:rPr>
        <w:softHyphen/>
        <w:t>ных фактах в действиях истребительной авиации на сталинградском направле</w:t>
      </w:r>
      <w:r w:rsidRPr="001E2C69">
        <w:rPr>
          <w:color w:val="000000" w:themeColor="text1"/>
          <w:sz w:val="16"/>
          <w:szCs w:val="16"/>
        </w:rPr>
        <w:softHyphen/>
        <w:t>нии отмечалось в указаниях командую</w:t>
      </w:r>
      <w:r w:rsidRPr="001E2C69">
        <w:rPr>
          <w:color w:val="000000" w:themeColor="text1"/>
          <w:sz w:val="16"/>
          <w:szCs w:val="16"/>
        </w:rPr>
        <w:softHyphen/>
        <w:t>щего 8-й ВА генерала Т.Т.Хрюкина от 18.08.42 г. (исх. № 00295) (6467).</w:t>
      </w:r>
    </w:p>
    <w:p w14:paraId="616AAA34" w14:textId="77777777" w:rsidR="00AE7191" w:rsidRPr="001E2C69" w:rsidRDefault="00AE7191" w:rsidP="00722885">
      <w:pPr>
        <w:pStyle w:val="Iauiue"/>
        <w:jc w:val="both"/>
        <w:rPr>
          <w:color w:val="000000" w:themeColor="text1"/>
          <w:sz w:val="16"/>
          <w:szCs w:val="16"/>
        </w:rPr>
      </w:pPr>
    </w:p>
    <w:p w14:paraId="5410860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августа 1942 5 Ил-2 от 504-го шап 226-й шад (ведущий ст. лейтенант Пстыго) под прикрытием 11 Як-1 от 148-го иап вылетела на разведку и штурмовку мотомехколонн в район юго-западнее Сталинграда. В районе разведки "Яки" прикрытия вступили в бой с 5 Bf 109 и потеряли штурмовиков из виду. Группе Пстыго удалось прорваться к дороге Аксай-Абганерово, где они обнаружили большую колонну танков и живой силы противника. Успев произвести фотографирование и штурмовку колонны в одном заходе, Ил-2 подверглись атаке 20 Bf 109. В завязавшемся жестоком воздушном бою все Ил-2 были сбиты (три из них совершили вынужденные посадки), но и советским летчикам удалось сбить 2 Bf 109. Позже наземные части, в расположении которых упали "мессеры", прислали подтверждения победам штурмовиков (12020).</w:t>
      </w:r>
    </w:p>
    <w:p w14:paraId="18F37B04"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FC2F735" w14:textId="77777777" w:rsidR="00AE7191" w:rsidRPr="001E2C69" w:rsidRDefault="00AE7191" w:rsidP="00722885">
      <w:pPr>
        <w:pStyle w:val="a4"/>
        <w:rPr>
          <w:color w:val="000000" w:themeColor="text1"/>
          <w:lang w:val="ru-RU"/>
        </w:rPr>
      </w:pPr>
      <w:r w:rsidRPr="001E2C69">
        <w:rPr>
          <w:color w:val="000000" w:themeColor="text1"/>
          <w:lang w:val="ru-RU"/>
        </w:rPr>
        <w:t>С 4 по 9 августа 1942 на Западном фронте, как было доложено Генералу армии Г.К. Жукову, мехгруппа генерал-майора Бычковского потеряла 106 танков от воз</w:t>
      </w:r>
      <w:r w:rsidRPr="001E2C69">
        <w:rPr>
          <w:color w:val="000000" w:themeColor="text1"/>
          <w:lang w:val="ru-RU"/>
        </w:rPr>
        <w:softHyphen/>
        <w:t>действия авиации противника: 8 тяжелых, 63 средних и 35 легких. На самом же деле, как показало расследование,</w:t>
      </w:r>
      <w:r w:rsidRPr="001E2C69">
        <w:rPr>
          <w:rStyle w:val="1a"/>
          <w:rFonts w:ascii="Times New Roman" w:eastAsia="Arial Narrow" w:hAnsi="Times New Roman" w:cs="Times New Roman"/>
          <w:i w:val="0"/>
          <w:color w:val="000000" w:themeColor="text1"/>
          <w:sz w:val="16"/>
          <w:szCs w:val="16"/>
          <w:lang w:val="ru-RU"/>
        </w:rPr>
        <w:t xml:space="preserve"> «...из 106 вы</w:t>
      </w:r>
      <w:r w:rsidRPr="001E2C69">
        <w:rPr>
          <w:rStyle w:val="1a"/>
          <w:rFonts w:ascii="Times New Roman" w:eastAsia="Arial Narrow" w:hAnsi="Times New Roman" w:cs="Times New Roman"/>
          <w:i w:val="0"/>
          <w:color w:val="000000" w:themeColor="text1"/>
          <w:sz w:val="16"/>
          <w:szCs w:val="16"/>
          <w:lang w:val="ru-RU"/>
        </w:rPr>
        <w:softHyphen/>
        <w:t>веденных из строя танков только два были поражены авиацией противника, и это несмотря на весьма ожесточенные бом</w:t>
      </w:r>
      <w:r w:rsidRPr="001E2C69">
        <w:rPr>
          <w:rStyle w:val="1a"/>
          <w:rFonts w:ascii="Times New Roman" w:eastAsia="Arial Narrow" w:hAnsi="Times New Roman" w:cs="Times New Roman"/>
          <w:i w:val="0"/>
          <w:color w:val="000000" w:themeColor="text1"/>
          <w:sz w:val="16"/>
          <w:szCs w:val="16"/>
          <w:lang w:val="ru-RU"/>
        </w:rPr>
        <w:softHyphen/>
        <w:t>бардировки, которые проводил противник с малых высот» (12733).</w:t>
      </w:r>
    </w:p>
    <w:p w14:paraId="05929349" w14:textId="77777777" w:rsidR="00AE7191" w:rsidRPr="001E2C69" w:rsidRDefault="00AE7191" w:rsidP="00722885">
      <w:pPr>
        <w:pStyle w:val="6b"/>
        <w:shd w:val="clear" w:color="auto" w:fill="auto"/>
        <w:spacing w:before="0" w:line="240" w:lineRule="auto"/>
        <w:rPr>
          <w:rStyle w:val="612"/>
          <w:rFonts w:ascii="Times New Roman" w:hAnsi="Times New Roman" w:cs="Times New Roman"/>
          <w:i w:val="0"/>
          <w:iCs w:val="0"/>
          <w:color w:val="000000" w:themeColor="text1"/>
          <w:sz w:val="16"/>
          <w:szCs w:val="16"/>
        </w:rPr>
      </w:pPr>
    </w:p>
    <w:p w14:paraId="632901A1" w14:textId="77777777" w:rsidR="000D1F16" w:rsidRPr="001E2C69" w:rsidRDefault="000D1F16"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С 4 по 9 ав</w:t>
      </w:r>
      <w:r w:rsidRPr="001E2C69">
        <w:rPr>
          <w:color w:val="000000" w:themeColor="text1"/>
          <w:sz w:val="16"/>
          <w:szCs w:val="16"/>
        </w:rPr>
        <w:softHyphen/>
        <w:t>густа 1942, согласно дуклада генералу армии Г. К. Жуко</w:t>
      </w:r>
      <w:r w:rsidRPr="001E2C69">
        <w:rPr>
          <w:color w:val="000000" w:themeColor="text1"/>
          <w:sz w:val="16"/>
          <w:szCs w:val="16"/>
        </w:rPr>
        <w:softHyphen/>
        <w:t>ву, механизированная группа генерал-майора Бычковского потеряла 106 танков от воздействия авиации противника — 8 тяжелых, 63 средних и 35 легких. На самом же деле, как показало расследование, «из 106 выведенных из строя танков только 2 бы</w:t>
      </w:r>
      <w:r w:rsidRPr="001E2C69">
        <w:rPr>
          <w:color w:val="000000" w:themeColor="text1"/>
          <w:sz w:val="16"/>
          <w:szCs w:val="16"/>
        </w:rPr>
        <w:softHyphen/>
        <w:t>ли поражены авиацией противника, и это несмотря на весьма ожесточенные бомбардировки, которые проводил противник с малых высот» (17500).</w:t>
      </w:r>
    </w:p>
    <w:p w14:paraId="37305A7A" w14:textId="77777777" w:rsidR="000D1F16" w:rsidRPr="001E2C69" w:rsidRDefault="000D1F16" w:rsidP="00722885">
      <w:pPr>
        <w:spacing w:after="0" w:line="240" w:lineRule="auto"/>
        <w:jc w:val="both"/>
        <w:rPr>
          <w:rFonts w:ascii="Times New Roman" w:eastAsia="Times New Roman" w:hAnsi="Times New Roman"/>
          <w:color w:val="000000" w:themeColor="text1"/>
          <w:sz w:val="16"/>
          <w:szCs w:val="16"/>
          <w:lang w:eastAsia="ru-RU"/>
        </w:rPr>
      </w:pPr>
    </w:p>
    <w:p w14:paraId="550BBDC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августа 1942 была отправлена телеграмма (приказ) Верховного Главнокомандующего о выяснении причин выхода из строя боевых самолетов:</w:t>
      </w:r>
    </w:p>
    <w:p w14:paraId="3E7B813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"Командующему Западным фронтом т. Жукову.</w:t>
      </w:r>
    </w:p>
    <w:p w14:paraId="2319B8C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Командующему Калининским фронтом т. Коневу.</w:t>
      </w:r>
    </w:p>
    <w:p w14:paraId="2CD1BBC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Командующему ВВС т. Новикову.</w:t>
      </w:r>
    </w:p>
    <w:p w14:paraId="051D77D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Всем Командующим фронтами и 7 отдельной армии, Командующим всех воздушных армий.</w:t>
      </w:r>
    </w:p>
    <w:p w14:paraId="568B55E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Тт. Маленкову, Берия, Голованову, Фалалееву.</w:t>
      </w:r>
    </w:p>
    <w:p w14:paraId="3A6CA21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августа 1942 г. 20 час. 30 мин.</w:t>
      </w:r>
    </w:p>
    <w:p w14:paraId="749243C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докладу командующего ВВС КА т. Новикова, из числа 400 истребителей выделенных для участия в операциях Калининского и Западного фронтов, за четыре-пять дней операции до 140 самолетов вышло из строя. По тому же докладу, при полном отсутствии авиации противника в первый день боя и при тройном превосходстве над противником в последующие дни наши боевые потери составили 51 истребитель, 89 истребителей считается вышедшими из строя по техническим неисправностям.</w:t>
      </w:r>
    </w:p>
    <w:p w14:paraId="2A3E64A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Считая невероятным такой недопустимо высокий процент самолетов, вышедших из строя в течении 4-5 дней по техническим причинам, Ставка усматривает здесь наличие явного саботажа, шкурничества со стороны некоторой части летного состава, которая изыскивая отдельные, мелкие неполадки в самолете, стремятся уклонится от боя. </w:t>
      </w:r>
    </w:p>
    <w:p w14:paraId="36A8728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Безобразно поставленный в авиачастях технический надзор и контроль за материальной частью, а также за выполнением боевых заданий летчиками - не только допускает, но и способствует этим преступным, нетерпимым в армии явлениям.</w:t>
      </w:r>
    </w:p>
    <w:p w14:paraId="773F45D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Ставка Верховного Главнокомандования приказывает:</w:t>
      </w:r>
    </w:p>
    <w:p w14:paraId="51663E6A" w14:textId="77777777" w:rsidR="00AE7191" w:rsidRPr="001E2C69" w:rsidRDefault="00AE7191" w:rsidP="00722885">
      <w:pPr>
        <w:tabs>
          <w:tab w:val="left" w:pos="72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Немедленно через ответственных и опытных лиц проверить каждый в отдельности вышедший из строя самолет, выяснить истинные причины неисправностей и непосредственных виновников их; </w:t>
      </w:r>
    </w:p>
    <w:p w14:paraId="5A753A1A" w14:textId="77777777" w:rsidR="00AE7191" w:rsidRPr="001E2C69" w:rsidRDefault="00AE7191" w:rsidP="00722885">
      <w:pPr>
        <w:tabs>
          <w:tab w:val="left" w:pos="72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Летный состав, уличенный в саботаже немедленно изъять из частей, свести в штрафные авиаэскадрилья и под личным наблюдением командиров авиадивизий использовать для выполнения ответственных заданий на самых опасных направлениях и тем самым предоставить им возможность искупить свою вину; </w:t>
      </w:r>
    </w:p>
    <w:p w14:paraId="5E42F03A" w14:textId="77777777" w:rsidR="00AE7191" w:rsidRPr="001E2C69" w:rsidRDefault="00AE7191" w:rsidP="00722885">
      <w:pPr>
        <w:tabs>
          <w:tab w:val="left" w:pos="72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Безнадежных, злостных шкурников немедленно изъять из авиа частей, лишить им присвоенного звания, и в качестве рядовых бойцов направить в штрафные пехотные роты для выполнения наиболее трудных задач в наземных частях; </w:t>
      </w:r>
    </w:p>
    <w:p w14:paraId="4906D9C8" w14:textId="77777777" w:rsidR="00AE7191" w:rsidRPr="001E2C69" w:rsidRDefault="00AE7191" w:rsidP="00722885">
      <w:pPr>
        <w:tabs>
          <w:tab w:val="left" w:pos="72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О получении, результатах проверки о принятых мерах по выполнении настоящего приказа, со списком летного состава направленного в штрафные эскадрильи и пехотные роты донести. </w:t>
      </w:r>
    </w:p>
    <w:p w14:paraId="26DD990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Ставка Верховного Главнокомандования </w:t>
      </w:r>
    </w:p>
    <w:p w14:paraId="1E44BDC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 Сталин</w:t>
      </w:r>
    </w:p>
    <w:p w14:paraId="4E30FDB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Василевский</w:t>
      </w:r>
    </w:p>
    <w:p w14:paraId="488141F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Доложено т. Сталину и утверждено по телефону 4.8.42г. 21.00.</w:t>
      </w:r>
    </w:p>
    <w:p w14:paraId="21CBC82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Василевский</w:t>
      </w:r>
    </w:p>
    <w:p w14:paraId="21CAD8A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ИСХ. № 17 05 49</w:t>
      </w:r>
    </w:p>
    <w:p w14:paraId="7DE5B5D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4.8.42г. 21.50 (11674).</w:t>
      </w:r>
    </w:p>
    <w:p w14:paraId="707DBDAA"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2E20464" w14:textId="77777777" w:rsidR="00AE7191" w:rsidRPr="001E2C69" w:rsidRDefault="00AE7191" w:rsidP="00722885">
      <w:pPr>
        <w:pStyle w:val="a4"/>
        <w:rPr>
          <w:color w:val="000000" w:themeColor="text1"/>
          <w:lang w:val="ru-RU"/>
        </w:rPr>
      </w:pPr>
      <w:r w:rsidRPr="001E2C69">
        <w:rPr>
          <w:color w:val="000000" w:themeColor="text1"/>
          <w:lang w:val="ru-RU"/>
        </w:rPr>
        <w:t>4 августа 1942 г. началась Ржевско-Сычевская операция - одна из последних, в которых участвовал МиГ-3. К тому времени советское командование сосредоточило авиацию под единым командованием — на этом участке дей</w:t>
      </w:r>
      <w:r w:rsidRPr="001E2C69">
        <w:rPr>
          <w:color w:val="000000" w:themeColor="text1"/>
          <w:lang w:val="ru-RU"/>
        </w:rPr>
        <w:softHyphen/>
        <w:t>ствовал 1-я и 3-я воздушные армии, которые включали более 60 авиаполков. Два из них были вооружены МиГ-3, и оба дейст</w:t>
      </w:r>
      <w:r w:rsidRPr="001E2C69">
        <w:rPr>
          <w:color w:val="000000" w:themeColor="text1"/>
          <w:lang w:val="ru-RU"/>
        </w:rPr>
        <w:softHyphen/>
        <w:t>вовали вполне успешно. Так, в первый день наступления 519-й ИАП получил задачу прикрытия войск. Его истребители не про</w:t>
      </w:r>
      <w:r w:rsidRPr="001E2C69">
        <w:rPr>
          <w:color w:val="000000" w:themeColor="text1"/>
          <w:lang w:val="ru-RU"/>
        </w:rPr>
        <w:softHyphen/>
        <w:t>пустили ни одного бомбардировщика, сбили 7 и повредили 5 самолетов.</w:t>
      </w:r>
    </w:p>
    <w:p w14:paraId="53CF3DE1" w14:textId="77777777" w:rsidR="00AE7191" w:rsidRPr="001E2C69" w:rsidRDefault="00AE7191" w:rsidP="00722885">
      <w:pPr>
        <w:pStyle w:val="a4"/>
        <w:rPr>
          <w:color w:val="000000" w:themeColor="text1"/>
          <w:lang w:val="ru-RU"/>
        </w:rPr>
      </w:pPr>
      <w:r w:rsidRPr="001E2C69">
        <w:rPr>
          <w:color w:val="000000" w:themeColor="text1"/>
          <w:lang w:val="ru-RU"/>
        </w:rPr>
        <w:t xml:space="preserve">Во второй половине следующего дня м-р Мурга повел 8 МиГ-3 на прикрытие войск. Над деревней Погорелое Городище были обнаружены до 30 </w:t>
      </w:r>
      <w:r w:rsidRPr="001E2C69">
        <w:rPr>
          <w:color w:val="000000" w:themeColor="text1"/>
        </w:rPr>
        <w:t>Ju</w:t>
      </w:r>
      <w:r w:rsidRPr="001E2C69">
        <w:rPr>
          <w:color w:val="000000" w:themeColor="text1"/>
          <w:lang w:val="ru-RU"/>
        </w:rPr>
        <w:t xml:space="preserve"> 88 под прикрытием четырех групп </w:t>
      </w:r>
      <w:r w:rsidRPr="001E2C69">
        <w:rPr>
          <w:color w:val="000000" w:themeColor="text1"/>
        </w:rPr>
        <w:t>Bf</w:t>
      </w:r>
      <w:r w:rsidRPr="001E2C69">
        <w:rPr>
          <w:color w:val="000000" w:themeColor="text1"/>
          <w:lang w:val="ru-RU"/>
        </w:rPr>
        <w:t xml:space="preserve"> 109. «МиГи» атаковали в лоб, разошлись на большой скоро</w:t>
      </w:r>
      <w:r w:rsidRPr="001E2C69">
        <w:rPr>
          <w:color w:val="000000" w:themeColor="text1"/>
          <w:lang w:val="ru-RU"/>
        </w:rPr>
        <w:softHyphen/>
        <w:t xml:space="preserve">сти с первой четверкой немецких истребителей и прорвались к бомбардировщикам. Пытаясь уклониться, один </w:t>
      </w:r>
      <w:r w:rsidRPr="001E2C69">
        <w:rPr>
          <w:color w:val="000000" w:themeColor="text1"/>
        </w:rPr>
        <w:t>Ju</w:t>
      </w:r>
      <w:r w:rsidRPr="001E2C69">
        <w:rPr>
          <w:color w:val="000000" w:themeColor="text1"/>
          <w:lang w:val="ru-RU"/>
        </w:rPr>
        <w:t xml:space="preserve"> 88 столкнул</w:t>
      </w:r>
      <w:r w:rsidRPr="001E2C69">
        <w:rPr>
          <w:color w:val="000000" w:themeColor="text1"/>
          <w:lang w:val="ru-RU"/>
        </w:rPr>
        <w:softHyphen/>
        <w:t>ся с соседним бомбардировщиком, и оба рухнули на землю. Строй ударной группы нарушился. Мурга дал команду разде</w:t>
      </w:r>
      <w:r w:rsidRPr="001E2C69">
        <w:rPr>
          <w:color w:val="000000" w:themeColor="text1"/>
          <w:lang w:val="ru-RU"/>
        </w:rPr>
        <w:softHyphen/>
        <w:t>литься. Одна часть его группы связала боем истребители, дру</w:t>
      </w:r>
      <w:r w:rsidRPr="001E2C69">
        <w:rPr>
          <w:color w:val="000000" w:themeColor="text1"/>
          <w:lang w:val="ru-RU"/>
        </w:rPr>
        <w:softHyphen/>
        <w:t>гая занялась «Юнкерсами». Сам Мурга не гонялся за добычей, а вел наблюдение за ходом боя и вовремя давал команды под</w:t>
      </w:r>
      <w:r w:rsidRPr="001E2C69">
        <w:rPr>
          <w:color w:val="000000" w:themeColor="text1"/>
          <w:lang w:val="ru-RU"/>
        </w:rPr>
        <w:softHyphen/>
        <w:t>чиненным, которые четко их выполняли. Огонь летчики стара</w:t>
      </w:r>
      <w:r w:rsidRPr="001E2C69">
        <w:rPr>
          <w:color w:val="000000" w:themeColor="text1"/>
          <w:lang w:val="ru-RU"/>
        </w:rPr>
        <w:softHyphen/>
        <w:t xml:space="preserve">лись вести короткими очередями с минимальных дистанций и в результате заявили о сбитии еще девяти </w:t>
      </w:r>
      <w:r w:rsidRPr="001E2C69">
        <w:rPr>
          <w:color w:val="000000" w:themeColor="text1"/>
        </w:rPr>
        <w:t>Ju</w:t>
      </w:r>
      <w:r w:rsidRPr="001E2C69">
        <w:rPr>
          <w:color w:val="000000" w:themeColor="text1"/>
          <w:lang w:val="ru-RU"/>
        </w:rPr>
        <w:t xml:space="preserve"> 88. Очевидно, в тот день им попались бомбардировщики эскадры </w:t>
      </w:r>
      <w:r w:rsidRPr="001E2C69">
        <w:rPr>
          <w:color w:val="000000" w:themeColor="text1"/>
        </w:rPr>
        <w:t>KG</w:t>
      </w:r>
      <w:r w:rsidRPr="001E2C69">
        <w:rPr>
          <w:color w:val="000000" w:themeColor="text1"/>
          <w:lang w:val="ru-RU"/>
        </w:rPr>
        <w:t xml:space="preserve"> 3. Ее доку</w:t>
      </w:r>
      <w:r w:rsidRPr="001E2C69">
        <w:rPr>
          <w:color w:val="000000" w:themeColor="text1"/>
          <w:lang w:val="ru-RU"/>
        </w:rPr>
        <w:softHyphen/>
        <w:t>менты не подтверждают потерю одиннадцати машин 4 августа, но Ржев дорого обошелся этому соединению. Из 79 «Юнкерсов» к концу месяца безвозвратные боевые потери составили 34 самолета, еще 19 потребовалось отправить в тыловые мастер</w:t>
      </w:r>
      <w:r w:rsidRPr="001E2C69">
        <w:rPr>
          <w:color w:val="000000" w:themeColor="text1"/>
          <w:lang w:val="ru-RU"/>
        </w:rPr>
        <w:softHyphen/>
        <w:t>ские, а 18 прошли ремонт в полевых условиях.</w:t>
      </w:r>
    </w:p>
    <w:p w14:paraId="5085BA80" w14:textId="77777777" w:rsidR="00AE7191" w:rsidRPr="001E2C69" w:rsidRDefault="00AE7191" w:rsidP="00722885">
      <w:pPr>
        <w:pStyle w:val="a4"/>
        <w:rPr>
          <w:color w:val="000000" w:themeColor="text1"/>
          <w:lang w:val="ru-RU"/>
        </w:rPr>
      </w:pPr>
      <w:r w:rsidRPr="001E2C69">
        <w:rPr>
          <w:color w:val="000000" w:themeColor="text1"/>
          <w:lang w:val="ru-RU"/>
        </w:rPr>
        <w:t>Правильная тактика позволяла даже на потрепанных МиГ-3, изношенные моторы которых часто недодавали мощности, ус</w:t>
      </w:r>
      <w:r w:rsidRPr="001E2C69">
        <w:rPr>
          <w:color w:val="000000" w:themeColor="text1"/>
          <w:lang w:val="ru-RU"/>
        </w:rPr>
        <w:softHyphen/>
        <w:t xml:space="preserve">пешно вести бои и с бомбардировщиками, </w:t>
      </w:r>
      <w:r w:rsidRPr="001E2C69">
        <w:rPr>
          <w:color w:val="000000" w:themeColor="text1"/>
          <w:lang w:val="ru-RU"/>
        </w:rPr>
        <w:lastRenderedPageBreak/>
        <w:t>и с истребителями противника. Имея запас высоты, можно было быстро разо</w:t>
      </w:r>
      <w:r w:rsidRPr="001E2C69">
        <w:rPr>
          <w:color w:val="000000" w:themeColor="text1"/>
          <w:lang w:val="ru-RU"/>
        </w:rPr>
        <w:softHyphen/>
        <w:t xml:space="preserve">гнаться, захватить инициативу на начальной стадии боя и не дать врагу использовать преимущества </w:t>
      </w:r>
      <w:r w:rsidRPr="001E2C69">
        <w:rPr>
          <w:color w:val="000000" w:themeColor="text1"/>
        </w:rPr>
        <w:t>Bf</w:t>
      </w:r>
      <w:r w:rsidRPr="001E2C69">
        <w:rPr>
          <w:color w:val="000000" w:themeColor="text1"/>
          <w:lang w:val="ru-RU"/>
        </w:rPr>
        <w:t xml:space="preserve"> 109</w:t>
      </w:r>
      <w:r w:rsidRPr="001E2C69">
        <w:rPr>
          <w:color w:val="000000" w:themeColor="text1"/>
        </w:rPr>
        <w:t>F</w:t>
      </w:r>
      <w:r w:rsidRPr="001E2C69">
        <w:rPr>
          <w:color w:val="000000" w:themeColor="text1"/>
          <w:lang w:val="ru-RU"/>
        </w:rPr>
        <w:t>/</w:t>
      </w:r>
      <w:r w:rsidRPr="001E2C69">
        <w:rPr>
          <w:color w:val="000000" w:themeColor="text1"/>
        </w:rPr>
        <w:t>G</w:t>
      </w:r>
      <w:r w:rsidRPr="001E2C69">
        <w:rPr>
          <w:color w:val="000000" w:themeColor="text1"/>
          <w:lang w:val="ru-RU"/>
        </w:rPr>
        <w:t xml:space="preserve"> в установив</w:t>
      </w:r>
      <w:r w:rsidRPr="001E2C69">
        <w:rPr>
          <w:color w:val="000000" w:themeColor="text1"/>
          <w:lang w:val="ru-RU"/>
        </w:rPr>
        <w:softHyphen/>
        <w:t xml:space="preserve">шихся маневрах и скорости. Так, у Ржева 22 августа четверка МиГ-3 к-на Винокурова из 122-го ИАП атаковала 18 </w:t>
      </w:r>
      <w:r w:rsidRPr="001E2C69">
        <w:rPr>
          <w:color w:val="000000" w:themeColor="text1"/>
        </w:rPr>
        <w:t>Ju</w:t>
      </w:r>
      <w:r w:rsidRPr="001E2C69">
        <w:rPr>
          <w:color w:val="000000" w:themeColor="text1"/>
          <w:lang w:val="ru-RU"/>
        </w:rPr>
        <w:t xml:space="preserve"> 88, кото</w:t>
      </w:r>
      <w:r w:rsidRPr="001E2C69">
        <w:rPr>
          <w:color w:val="000000" w:themeColor="text1"/>
          <w:lang w:val="ru-RU"/>
        </w:rPr>
        <w:softHyphen/>
        <w:t xml:space="preserve">рых сопровождали два десятка </w:t>
      </w:r>
      <w:r w:rsidRPr="001E2C69">
        <w:rPr>
          <w:color w:val="000000" w:themeColor="text1"/>
        </w:rPr>
        <w:t>Bf</w:t>
      </w:r>
      <w:r w:rsidRPr="001E2C69">
        <w:rPr>
          <w:color w:val="000000" w:themeColor="text1"/>
          <w:lang w:val="ru-RU"/>
        </w:rPr>
        <w:t xml:space="preserve"> 109. Атака с ходу на макси</w:t>
      </w:r>
      <w:r w:rsidRPr="001E2C69">
        <w:rPr>
          <w:color w:val="000000" w:themeColor="text1"/>
          <w:lang w:val="ru-RU"/>
        </w:rPr>
        <w:softHyphen/>
        <w:t>мальной скорости позволила прорваться к бомбардировщи</w:t>
      </w:r>
      <w:r w:rsidRPr="001E2C69">
        <w:rPr>
          <w:color w:val="000000" w:themeColor="text1"/>
          <w:lang w:val="ru-RU"/>
        </w:rPr>
        <w:softHyphen/>
        <w:t>кам, сорвать их выход на цель, сбить 4 «Юнкерса», а затем дать бой истребителям. Враг хоть и обладал значительным числен</w:t>
      </w:r>
      <w:r w:rsidRPr="001E2C69">
        <w:rPr>
          <w:color w:val="000000" w:themeColor="text1"/>
          <w:lang w:val="ru-RU"/>
        </w:rPr>
        <w:softHyphen/>
        <w:t xml:space="preserve">ным превосходством, но не смог правильно построить бой и потерял не менее двух «мессеров», еще один был поврежден. Убедившись, что </w:t>
      </w:r>
      <w:r w:rsidRPr="001E2C69">
        <w:rPr>
          <w:color w:val="000000" w:themeColor="text1"/>
        </w:rPr>
        <w:t>Ju</w:t>
      </w:r>
      <w:r w:rsidRPr="001E2C69">
        <w:rPr>
          <w:color w:val="000000" w:themeColor="text1"/>
          <w:lang w:val="ru-RU"/>
        </w:rPr>
        <w:t xml:space="preserve"> 88 повернули восвояси, «МиГи» использо</w:t>
      </w:r>
      <w:r w:rsidRPr="001E2C69">
        <w:rPr>
          <w:color w:val="000000" w:themeColor="text1"/>
          <w:lang w:val="ru-RU"/>
        </w:rPr>
        <w:softHyphen/>
        <w:t>вали свой излюбленный прием — вышли из боя со снижением, зная, что догнать их никто не сможет (11938).</w:t>
      </w:r>
    </w:p>
    <w:p w14:paraId="3550B19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Сравнение некоторых тактико-технических показателей МиГ-3 выпуска октября 1941 г. и аналогичных самолетов</w:t>
      </w:r>
    </w:p>
    <w:tbl>
      <w:tblPr>
        <w:tblW w:w="0" w:type="auto"/>
        <w:tblLayout w:type="fixed"/>
        <w:tblLook w:val="0000" w:firstRow="0" w:lastRow="0" w:firstColumn="0" w:lastColumn="0" w:noHBand="0" w:noVBand="0"/>
      </w:tblPr>
      <w:tblGrid>
        <w:gridCol w:w="1718"/>
        <w:gridCol w:w="1718"/>
        <w:gridCol w:w="1718"/>
        <w:gridCol w:w="1718"/>
        <w:gridCol w:w="1718"/>
        <w:gridCol w:w="1718"/>
      </w:tblGrid>
      <w:tr w:rsidR="001E2C69" w:rsidRPr="001E2C69" w14:paraId="1F49ED14" w14:textId="77777777" w:rsidTr="00CC5360">
        <w:tc>
          <w:tcPr>
            <w:tcW w:w="1718" w:type="dxa"/>
            <w:tcBorders>
              <w:top w:val="single" w:sz="12" w:space="0" w:color="auto"/>
              <w:left w:val="single" w:sz="12" w:space="0" w:color="auto"/>
              <w:bottom w:val="single" w:sz="6" w:space="0" w:color="auto"/>
              <w:right w:val="single" w:sz="6" w:space="0" w:color="auto"/>
            </w:tcBorders>
          </w:tcPr>
          <w:p w14:paraId="73B8E52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Показатель</w:t>
            </w:r>
          </w:p>
        </w:tc>
        <w:tc>
          <w:tcPr>
            <w:tcW w:w="1718" w:type="dxa"/>
            <w:tcBorders>
              <w:top w:val="single" w:sz="12" w:space="0" w:color="auto"/>
              <w:left w:val="single" w:sz="6" w:space="0" w:color="auto"/>
              <w:bottom w:val="single" w:sz="6" w:space="0" w:color="auto"/>
              <w:right w:val="single" w:sz="6" w:space="0" w:color="auto"/>
            </w:tcBorders>
          </w:tcPr>
          <w:p w14:paraId="173D304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Значение для МиГ-3</w:t>
            </w:r>
          </w:p>
        </w:tc>
        <w:tc>
          <w:tcPr>
            <w:tcW w:w="1718" w:type="dxa"/>
            <w:tcBorders>
              <w:top w:val="single" w:sz="12" w:space="0" w:color="auto"/>
              <w:left w:val="single" w:sz="6" w:space="0" w:color="auto"/>
              <w:bottom w:val="single" w:sz="6" w:space="0" w:color="auto"/>
              <w:right w:val="single" w:sz="6" w:space="0" w:color="auto"/>
            </w:tcBorders>
          </w:tcPr>
          <w:p w14:paraId="2172563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Показатель МиГ-3 по отношению к сравниваемым самолетам - Як-1</w:t>
            </w:r>
          </w:p>
        </w:tc>
        <w:tc>
          <w:tcPr>
            <w:tcW w:w="1718" w:type="dxa"/>
            <w:tcBorders>
              <w:top w:val="single" w:sz="12" w:space="0" w:color="auto"/>
              <w:left w:val="single" w:sz="6" w:space="0" w:color="auto"/>
              <w:bottom w:val="single" w:sz="6" w:space="0" w:color="auto"/>
              <w:right w:val="single" w:sz="6" w:space="0" w:color="auto"/>
            </w:tcBorders>
          </w:tcPr>
          <w:p w14:paraId="3A62FCF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ЛаГГ-3</w:t>
            </w:r>
          </w:p>
        </w:tc>
        <w:tc>
          <w:tcPr>
            <w:tcW w:w="1718" w:type="dxa"/>
            <w:tcBorders>
              <w:top w:val="single" w:sz="12" w:space="0" w:color="auto"/>
              <w:left w:val="single" w:sz="6" w:space="0" w:color="auto"/>
              <w:bottom w:val="single" w:sz="6" w:space="0" w:color="auto"/>
              <w:right w:val="single" w:sz="6" w:space="0" w:color="auto"/>
            </w:tcBorders>
          </w:tcPr>
          <w:p w14:paraId="02902A7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Bf 109E-3</w:t>
            </w:r>
          </w:p>
        </w:tc>
        <w:tc>
          <w:tcPr>
            <w:tcW w:w="1718" w:type="dxa"/>
            <w:tcBorders>
              <w:top w:val="single" w:sz="12" w:space="0" w:color="auto"/>
              <w:left w:val="single" w:sz="6" w:space="0" w:color="auto"/>
              <w:bottom w:val="single" w:sz="6" w:space="0" w:color="auto"/>
              <w:right w:val="single" w:sz="12" w:space="0" w:color="auto"/>
            </w:tcBorders>
          </w:tcPr>
          <w:p w14:paraId="6FB8CAD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Bf 109F-1</w:t>
            </w:r>
          </w:p>
        </w:tc>
      </w:tr>
      <w:tr w:rsidR="001E2C69" w:rsidRPr="001E2C69" w14:paraId="737DF016" w14:textId="77777777" w:rsidTr="00CC5360">
        <w:tc>
          <w:tcPr>
            <w:tcW w:w="1718" w:type="dxa"/>
            <w:tcBorders>
              <w:top w:val="single" w:sz="6" w:space="0" w:color="auto"/>
              <w:left w:val="single" w:sz="12" w:space="0" w:color="auto"/>
              <w:bottom w:val="single" w:sz="6" w:space="0" w:color="auto"/>
              <w:right w:val="single" w:sz="6" w:space="0" w:color="auto"/>
            </w:tcBorders>
          </w:tcPr>
          <w:p w14:paraId="7218DC5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Скорость горизонтального полета по высотам</w:t>
            </w:r>
          </w:p>
        </w:tc>
        <w:tc>
          <w:tcPr>
            <w:tcW w:w="1718" w:type="dxa"/>
            <w:tcBorders>
              <w:top w:val="single" w:sz="6" w:space="0" w:color="auto"/>
              <w:left w:val="single" w:sz="6" w:space="0" w:color="auto"/>
              <w:bottom w:val="single" w:sz="6" w:space="0" w:color="auto"/>
              <w:right w:val="single" w:sz="6" w:space="0" w:color="auto"/>
            </w:tcBorders>
          </w:tcPr>
          <w:p w14:paraId="3ECB2CFC"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13899EC9"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219D3354"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26C6DABC"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12" w:space="0" w:color="auto"/>
            </w:tcBorders>
          </w:tcPr>
          <w:p w14:paraId="35C22122"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371D8C51" w14:textId="77777777" w:rsidTr="00CC5360">
        <w:tc>
          <w:tcPr>
            <w:tcW w:w="1718" w:type="dxa"/>
            <w:tcBorders>
              <w:top w:val="single" w:sz="6" w:space="0" w:color="auto"/>
              <w:left w:val="single" w:sz="12" w:space="0" w:color="auto"/>
              <w:bottom w:val="single" w:sz="6" w:space="0" w:color="auto"/>
              <w:right w:val="single" w:sz="6" w:space="0" w:color="auto"/>
            </w:tcBorders>
          </w:tcPr>
          <w:p w14:paraId="41707AE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Скорость на 0 м, км/ч</w:t>
            </w:r>
          </w:p>
        </w:tc>
        <w:tc>
          <w:tcPr>
            <w:tcW w:w="1718" w:type="dxa"/>
            <w:tcBorders>
              <w:top w:val="single" w:sz="6" w:space="0" w:color="auto"/>
              <w:left w:val="single" w:sz="6" w:space="0" w:color="auto"/>
              <w:bottom w:val="single" w:sz="6" w:space="0" w:color="auto"/>
              <w:right w:val="single" w:sz="6" w:space="0" w:color="auto"/>
            </w:tcBorders>
          </w:tcPr>
          <w:p w14:paraId="13287E3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472</w:t>
            </w:r>
          </w:p>
        </w:tc>
        <w:tc>
          <w:tcPr>
            <w:tcW w:w="1718" w:type="dxa"/>
            <w:tcBorders>
              <w:top w:val="single" w:sz="6" w:space="0" w:color="auto"/>
              <w:left w:val="single" w:sz="6" w:space="0" w:color="auto"/>
              <w:bottom w:val="single" w:sz="6" w:space="0" w:color="auto"/>
              <w:right w:val="single" w:sz="6" w:space="0" w:color="auto"/>
            </w:tcBorders>
          </w:tcPr>
          <w:p w14:paraId="137DB1B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хуже на 17 км/ч</w:t>
            </w:r>
          </w:p>
        </w:tc>
        <w:tc>
          <w:tcPr>
            <w:tcW w:w="1718" w:type="dxa"/>
            <w:tcBorders>
              <w:top w:val="single" w:sz="6" w:space="0" w:color="auto"/>
              <w:left w:val="single" w:sz="6" w:space="0" w:color="auto"/>
              <w:bottom w:val="single" w:sz="6" w:space="0" w:color="auto"/>
              <w:right w:val="single" w:sz="6" w:space="0" w:color="auto"/>
            </w:tcBorders>
          </w:tcPr>
          <w:p w14:paraId="581838E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хуже на 3 км/ч</w:t>
            </w:r>
          </w:p>
        </w:tc>
        <w:tc>
          <w:tcPr>
            <w:tcW w:w="1718" w:type="dxa"/>
            <w:tcBorders>
              <w:top w:val="single" w:sz="6" w:space="0" w:color="auto"/>
              <w:left w:val="single" w:sz="6" w:space="0" w:color="auto"/>
              <w:bottom w:val="single" w:sz="6" w:space="0" w:color="auto"/>
              <w:right w:val="single" w:sz="6" w:space="0" w:color="auto"/>
            </w:tcBorders>
          </w:tcPr>
          <w:p w14:paraId="344C24A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лучше на 32 км/ч</w:t>
            </w:r>
          </w:p>
        </w:tc>
        <w:tc>
          <w:tcPr>
            <w:tcW w:w="1718" w:type="dxa"/>
            <w:tcBorders>
              <w:top w:val="single" w:sz="6" w:space="0" w:color="auto"/>
              <w:left w:val="single" w:sz="6" w:space="0" w:color="auto"/>
              <w:bottom w:val="single" w:sz="6" w:space="0" w:color="auto"/>
              <w:right w:val="single" w:sz="12" w:space="0" w:color="auto"/>
            </w:tcBorders>
          </w:tcPr>
          <w:p w14:paraId="6826E49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хуже на 36 км/ч</w:t>
            </w:r>
          </w:p>
        </w:tc>
      </w:tr>
      <w:tr w:rsidR="001E2C69" w:rsidRPr="001E2C69" w14:paraId="5F1BED0A" w14:textId="77777777" w:rsidTr="00CC5360">
        <w:tc>
          <w:tcPr>
            <w:tcW w:w="1718" w:type="dxa"/>
            <w:tcBorders>
              <w:top w:val="single" w:sz="6" w:space="0" w:color="auto"/>
              <w:left w:val="single" w:sz="12" w:space="0" w:color="auto"/>
              <w:bottom w:val="single" w:sz="6" w:space="0" w:color="auto"/>
              <w:right w:val="single" w:sz="6" w:space="0" w:color="auto"/>
            </w:tcBorders>
          </w:tcPr>
          <w:p w14:paraId="039CD02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Скорость на 2000 м, км/ч</w:t>
            </w:r>
          </w:p>
        </w:tc>
        <w:tc>
          <w:tcPr>
            <w:tcW w:w="1718" w:type="dxa"/>
            <w:tcBorders>
              <w:top w:val="single" w:sz="6" w:space="0" w:color="auto"/>
              <w:left w:val="single" w:sz="6" w:space="0" w:color="auto"/>
              <w:bottom w:val="single" w:sz="6" w:space="0" w:color="auto"/>
              <w:right w:val="single" w:sz="6" w:space="0" w:color="auto"/>
            </w:tcBorders>
          </w:tcPr>
          <w:p w14:paraId="31E9272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512</w:t>
            </w:r>
          </w:p>
        </w:tc>
        <w:tc>
          <w:tcPr>
            <w:tcW w:w="1718" w:type="dxa"/>
            <w:tcBorders>
              <w:top w:val="single" w:sz="6" w:space="0" w:color="auto"/>
              <w:left w:val="single" w:sz="6" w:space="0" w:color="auto"/>
              <w:bottom w:val="single" w:sz="6" w:space="0" w:color="auto"/>
              <w:right w:val="single" w:sz="6" w:space="0" w:color="auto"/>
            </w:tcBorders>
          </w:tcPr>
          <w:p w14:paraId="588FE09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хуже на 13 км/ч</w:t>
            </w:r>
          </w:p>
        </w:tc>
        <w:tc>
          <w:tcPr>
            <w:tcW w:w="1718" w:type="dxa"/>
            <w:tcBorders>
              <w:top w:val="single" w:sz="6" w:space="0" w:color="auto"/>
              <w:left w:val="single" w:sz="6" w:space="0" w:color="auto"/>
              <w:bottom w:val="single" w:sz="6" w:space="0" w:color="auto"/>
              <w:right w:val="single" w:sz="6" w:space="0" w:color="auto"/>
            </w:tcBorders>
          </w:tcPr>
          <w:p w14:paraId="22A8613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хуже на 6 км/ч</w:t>
            </w:r>
          </w:p>
        </w:tc>
        <w:tc>
          <w:tcPr>
            <w:tcW w:w="1718" w:type="dxa"/>
            <w:tcBorders>
              <w:top w:val="single" w:sz="6" w:space="0" w:color="auto"/>
              <w:left w:val="single" w:sz="6" w:space="0" w:color="auto"/>
              <w:bottom w:val="single" w:sz="6" w:space="0" w:color="auto"/>
              <w:right w:val="single" w:sz="6" w:space="0" w:color="auto"/>
            </w:tcBorders>
          </w:tcPr>
          <w:p w14:paraId="30A5683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лучше на 18 км/ч</w:t>
            </w:r>
          </w:p>
        </w:tc>
        <w:tc>
          <w:tcPr>
            <w:tcW w:w="1718" w:type="dxa"/>
            <w:tcBorders>
              <w:top w:val="single" w:sz="6" w:space="0" w:color="auto"/>
              <w:left w:val="single" w:sz="6" w:space="0" w:color="auto"/>
              <w:bottom w:val="single" w:sz="6" w:space="0" w:color="auto"/>
              <w:right w:val="single" w:sz="12" w:space="0" w:color="auto"/>
            </w:tcBorders>
          </w:tcPr>
          <w:p w14:paraId="549B265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хуже на 38 км/ч</w:t>
            </w:r>
          </w:p>
        </w:tc>
      </w:tr>
      <w:tr w:rsidR="001E2C69" w:rsidRPr="001E2C69" w14:paraId="5CCC09DE" w14:textId="77777777" w:rsidTr="00CC5360">
        <w:tc>
          <w:tcPr>
            <w:tcW w:w="1718" w:type="dxa"/>
            <w:tcBorders>
              <w:top w:val="single" w:sz="6" w:space="0" w:color="auto"/>
              <w:left w:val="single" w:sz="12" w:space="0" w:color="auto"/>
              <w:bottom w:val="single" w:sz="6" w:space="0" w:color="auto"/>
              <w:right w:val="single" w:sz="6" w:space="0" w:color="auto"/>
            </w:tcBorders>
          </w:tcPr>
          <w:p w14:paraId="4D61935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Скорость на 4000 м, км/ч</w:t>
            </w:r>
          </w:p>
        </w:tc>
        <w:tc>
          <w:tcPr>
            <w:tcW w:w="1718" w:type="dxa"/>
            <w:tcBorders>
              <w:top w:val="single" w:sz="6" w:space="0" w:color="auto"/>
              <w:left w:val="single" w:sz="6" w:space="0" w:color="auto"/>
              <w:bottom w:val="single" w:sz="6" w:space="0" w:color="auto"/>
              <w:right w:val="single" w:sz="6" w:space="0" w:color="auto"/>
            </w:tcBorders>
          </w:tcPr>
          <w:p w14:paraId="335F44DB"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68E158E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лучше на 5 км/ч</w:t>
            </w:r>
          </w:p>
        </w:tc>
        <w:tc>
          <w:tcPr>
            <w:tcW w:w="1718" w:type="dxa"/>
            <w:tcBorders>
              <w:top w:val="single" w:sz="6" w:space="0" w:color="auto"/>
              <w:left w:val="single" w:sz="6" w:space="0" w:color="auto"/>
              <w:bottom w:val="single" w:sz="6" w:space="0" w:color="auto"/>
              <w:right w:val="single" w:sz="6" w:space="0" w:color="auto"/>
            </w:tcBorders>
          </w:tcPr>
          <w:p w14:paraId="281B88F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лучше на 23 км/ч</w:t>
            </w:r>
          </w:p>
        </w:tc>
        <w:tc>
          <w:tcPr>
            <w:tcW w:w="1718" w:type="dxa"/>
            <w:tcBorders>
              <w:top w:val="single" w:sz="6" w:space="0" w:color="auto"/>
              <w:left w:val="single" w:sz="6" w:space="0" w:color="auto"/>
              <w:bottom w:val="single" w:sz="6" w:space="0" w:color="auto"/>
              <w:right w:val="single" w:sz="6" w:space="0" w:color="auto"/>
            </w:tcBorders>
          </w:tcPr>
          <w:p w14:paraId="4362C57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лучше на 8 км/ч</w:t>
            </w:r>
          </w:p>
        </w:tc>
        <w:tc>
          <w:tcPr>
            <w:tcW w:w="1718" w:type="dxa"/>
            <w:tcBorders>
              <w:top w:val="single" w:sz="6" w:space="0" w:color="auto"/>
              <w:left w:val="single" w:sz="6" w:space="0" w:color="auto"/>
              <w:bottom w:val="single" w:sz="6" w:space="0" w:color="auto"/>
              <w:right w:val="single" w:sz="12" w:space="0" w:color="auto"/>
            </w:tcBorders>
          </w:tcPr>
          <w:p w14:paraId="3F3E86F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хуже на 20 км/ч</w:t>
            </w:r>
          </w:p>
        </w:tc>
      </w:tr>
      <w:tr w:rsidR="001E2C69" w:rsidRPr="001E2C69" w14:paraId="35CB6C7E" w14:textId="77777777" w:rsidTr="00CC5360">
        <w:tc>
          <w:tcPr>
            <w:tcW w:w="1718" w:type="dxa"/>
            <w:tcBorders>
              <w:top w:val="single" w:sz="6" w:space="0" w:color="auto"/>
              <w:left w:val="single" w:sz="12" w:space="0" w:color="auto"/>
              <w:bottom w:val="single" w:sz="6" w:space="0" w:color="auto"/>
              <w:right w:val="single" w:sz="6" w:space="0" w:color="auto"/>
            </w:tcBorders>
          </w:tcPr>
          <w:p w14:paraId="1AA3719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Скорость на 7000 м, км/ч</w:t>
            </w:r>
          </w:p>
        </w:tc>
        <w:tc>
          <w:tcPr>
            <w:tcW w:w="1718" w:type="dxa"/>
            <w:tcBorders>
              <w:top w:val="single" w:sz="6" w:space="0" w:color="auto"/>
              <w:left w:val="single" w:sz="6" w:space="0" w:color="auto"/>
              <w:bottom w:val="single" w:sz="6" w:space="0" w:color="auto"/>
              <w:right w:val="single" w:sz="6" w:space="0" w:color="auto"/>
            </w:tcBorders>
          </w:tcPr>
          <w:p w14:paraId="0B48EBC6"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0789B67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лучше на 72 км/ч</w:t>
            </w:r>
          </w:p>
        </w:tc>
        <w:tc>
          <w:tcPr>
            <w:tcW w:w="1718" w:type="dxa"/>
            <w:tcBorders>
              <w:top w:val="single" w:sz="6" w:space="0" w:color="auto"/>
              <w:left w:val="single" w:sz="6" w:space="0" w:color="auto"/>
              <w:bottom w:val="single" w:sz="6" w:space="0" w:color="auto"/>
              <w:right w:val="single" w:sz="6" w:space="0" w:color="auto"/>
            </w:tcBorders>
          </w:tcPr>
          <w:p w14:paraId="4929BB2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лучше на 101 км/ч</w:t>
            </w:r>
          </w:p>
        </w:tc>
        <w:tc>
          <w:tcPr>
            <w:tcW w:w="1718" w:type="dxa"/>
            <w:tcBorders>
              <w:top w:val="single" w:sz="6" w:space="0" w:color="auto"/>
              <w:left w:val="single" w:sz="6" w:space="0" w:color="auto"/>
              <w:bottom w:val="single" w:sz="6" w:space="0" w:color="auto"/>
              <w:right w:val="single" w:sz="6" w:space="0" w:color="auto"/>
            </w:tcBorders>
          </w:tcPr>
          <w:p w14:paraId="60FDFC1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лучше на 85 км/ч</w:t>
            </w:r>
          </w:p>
        </w:tc>
        <w:tc>
          <w:tcPr>
            <w:tcW w:w="1718" w:type="dxa"/>
            <w:tcBorders>
              <w:top w:val="single" w:sz="6" w:space="0" w:color="auto"/>
              <w:left w:val="single" w:sz="6" w:space="0" w:color="auto"/>
              <w:bottom w:val="single" w:sz="6" w:space="0" w:color="auto"/>
              <w:right w:val="single" w:sz="12" w:space="0" w:color="auto"/>
            </w:tcBorders>
          </w:tcPr>
          <w:p w14:paraId="0ABDFE2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лучше на 20 км/ч</w:t>
            </w:r>
          </w:p>
        </w:tc>
      </w:tr>
      <w:tr w:rsidR="001E2C69" w:rsidRPr="001E2C69" w14:paraId="143064D4" w14:textId="77777777" w:rsidTr="00CC5360">
        <w:tc>
          <w:tcPr>
            <w:tcW w:w="1718" w:type="dxa"/>
            <w:tcBorders>
              <w:top w:val="single" w:sz="6" w:space="0" w:color="auto"/>
              <w:left w:val="single" w:sz="12" w:space="0" w:color="auto"/>
              <w:bottom w:val="single" w:sz="6" w:space="0" w:color="auto"/>
              <w:right w:val="single" w:sz="6" w:space="0" w:color="auto"/>
            </w:tcBorders>
          </w:tcPr>
          <w:p w14:paraId="580DE73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Скороподъемность по высотам</w:t>
            </w:r>
          </w:p>
        </w:tc>
        <w:tc>
          <w:tcPr>
            <w:tcW w:w="1718" w:type="dxa"/>
            <w:tcBorders>
              <w:top w:val="single" w:sz="6" w:space="0" w:color="auto"/>
              <w:left w:val="single" w:sz="6" w:space="0" w:color="auto"/>
              <w:bottom w:val="single" w:sz="6" w:space="0" w:color="auto"/>
              <w:right w:val="single" w:sz="6" w:space="0" w:color="auto"/>
            </w:tcBorders>
          </w:tcPr>
          <w:p w14:paraId="286B9008"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41814A17"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18041D43"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70E36310"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12" w:space="0" w:color="auto"/>
            </w:tcBorders>
          </w:tcPr>
          <w:p w14:paraId="5E5C40D7"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09A48CB3" w14:textId="77777777" w:rsidTr="00CC5360">
        <w:tc>
          <w:tcPr>
            <w:tcW w:w="1718" w:type="dxa"/>
            <w:tcBorders>
              <w:top w:val="single" w:sz="6" w:space="0" w:color="auto"/>
              <w:left w:val="single" w:sz="12" w:space="0" w:color="auto"/>
              <w:bottom w:val="single" w:sz="6" w:space="0" w:color="auto"/>
              <w:right w:val="single" w:sz="6" w:space="0" w:color="auto"/>
            </w:tcBorders>
          </w:tcPr>
          <w:p w14:paraId="1F98E20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Скороподъемность на 0 м</w:t>
            </w:r>
          </w:p>
        </w:tc>
        <w:tc>
          <w:tcPr>
            <w:tcW w:w="1718" w:type="dxa"/>
            <w:tcBorders>
              <w:top w:val="single" w:sz="6" w:space="0" w:color="auto"/>
              <w:left w:val="single" w:sz="6" w:space="0" w:color="auto"/>
              <w:bottom w:val="single" w:sz="6" w:space="0" w:color="auto"/>
              <w:right w:val="single" w:sz="6" w:space="0" w:color="auto"/>
            </w:tcBorders>
          </w:tcPr>
          <w:p w14:paraId="4722CA5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11,4</w:t>
            </w:r>
          </w:p>
        </w:tc>
        <w:tc>
          <w:tcPr>
            <w:tcW w:w="1718" w:type="dxa"/>
            <w:tcBorders>
              <w:top w:val="single" w:sz="6" w:space="0" w:color="auto"/>
              <w:left w:val="single" w:sz="6" w:space="0" w:color="auto"/>
              <w:bottom w:val="single" w:sz="6" w:space="0" w:color="auto"/>
              <w:right w:val="single" w:sz="6" w:space="0" w:color="auto"/>
            </w:tcBorders>
          </w:tcPr>
          <w:p w14:paraId="1CB8D86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хуже на 11,7 м/с</w:t>
            </w:r>
          </w:p>
        </w:tc>
        <w:tc>
          <w:tcPr>
            <w:tcW w:w="1718" w:type="dxa"/>
            <w:tcBorders>
              <w:top w:val="single" w:sz="6" w:space="0" w:color="auto"/>
              <w:left w:val="single" w:sz="6" w:space="0" w:color="auto"/>
              <w:bottom w:val="single" w:sz="6" w:space="0" w:color="auto"/>
              <w:right w:val="single" w:sz="6" w:space="0" w:color="auto"/>
            </w:tcBorders>
          </w:tcPr>
          <w:p w14:paraId="7A53944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лучше на 4,6 м/с</w:t>
            </w:r>
          </w:p>
        </w:tc>
        <w:tc>
          <w:tcPr>
            <w:tcW w:w="1718" w:type="dxa"/>
            <w:tcBorders>
              <w:top w:val="single" w:sz="6" w:space="0" w:color="auto"/>
              <w:left w:val="single" w:sz="6" w:space="0" w:color="auto"/>
              <w:bottom w:val="single" w:sz="6" w:space="0" w:color="auto"/>
              <w:right w:val="single" w:sz="6" w:space="0" w:color="auto"/>
            </w:tcBorders>
          </w:tcPr>
          <w:p w14:paraId="736B667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хуже на 3,8 м/с</w:t>
            </w:r>
          </w:p>
        </w:tc>
        <w:tc>
          <w:tcPr>
            <w:tcW w:w="1718" w:type="dxa"/>
            <w:tcBorders>
              <w:top w:val="single" w:sz="6" w:space="0" w:color="auto"/>
              <w:left w:val="single" w:sz="6" w:space="0" w:color="auto"/>
              <w:bottom w:val="single" w:sz="6" w:space="0" w:color="auto"/>
              <w:right w:val="single" w:sz="12" w:space="0" w:color="auto"/>
            </w:tcBorders>
          </w:tcPr>
          <w:p w14:paraId="7A46CFF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хуже на 5,9 м/с</w:t>
            </w:r>
          </w:p>
        </w:tc>
      </w:tr>
      <w:tr w:rsidR="001E2C69" w:rsidRPr="001E2C69" w14:paraId="2EE77EE0" w14:textId="77777777" w:rsidTr="00CC5360">
        <w:tc>
          <w:tcPr>
            <w:tcW w:w="1718" w:type="dxa"/>
            <w:tcBorders>
              <w:top w:val="single" w:sz="6" w:space="0" w:color="auto"/>
              <w:left w:val="single" w:sz="12" w:space="0" w:color="auto"/>
              <w:bottom w:val="single" w:sz="6" w:space="0" w:color="auto"/>
              <w:right w:val="single" w:sz="6" w:space="0" w:color="auto"/>
            </w:tcBorders>
          </w:tcPr>
          <w:p w14:paraId="08B6666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Скороподъемность на 3000 м</w:t>
            </w:r>
          </w:p>
        </w:tc>
        <w:tc>
          <w:tcPr>
            <w:tcW w:w="1718" w:type="dxa"/>
            <w:tcBorders>
              <w:top w:val="single" w:sz="6" w:space="0" w:color="auto"/>
              <w:left w:val="single" w:sz="6" w:space="0" w:color="auto"/>
              <w:bottom w:val="single" w:sz="6" w:space="0" w:color="auto"/>
              <w:right w:val="single" w:sz="6" w:space="0" w:color="auto"/>
            </w:tcBorders>
          </w:tcPr>
          <w:p w14:paraId="588339C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11,9</w:t>
            </w:r>
          </w:p>
        </w:tc>
        <w:tc>
          <w:tcPr>
            <w:tcW w:w="1718" w:type="dxa"/>
            <w:tcBorders>
              <w:top w:val="single" w:sz="6" w:space="0" w:color="auto"/>
              <w:left w:val="single" w:sz="6" w:space="0" w:color="auto"/>
              <w:bottom w:val="single" w:sz="6" w:space="0" w:color="auto"/>
              <w:right w:val="single" w:sz="6" w:space="0" w:color="auto"/>
            </w:tcBorders>
          </w:tcPr>
          <w:p w14:paraId="3D4DA37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равен</w:t>
            </w:r>
          </w:p>
        </w:tc>
        <w:tc>
          <w:tcPr>
            <w:tcW w:w="1718" w:type="dxa"/>
            <w:tcBorders>
              <w:top w:val="single" w:sz="6" w:space="0" w:color="auto"/>
              <w:left w:val="single" w:sz="6" w:space="0" w:color="auto"/>
              <w:bottom w:val="single" w:sz="6" w:space="0" w:color="auto"/>
              <w:right w:val="single" w:sz="6" w:space="0" w:color="auto"/>
            </w:tcBorders>
          </w:tcPr>
          <w:p w14:paraId="66853AA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лучше на 1,9 м/с</w:t>
            </w:r>
          </w:p>
        </w:tc>
        <w:tc>
          <w:tcPr>
            <w:tcW w:w="1718" w:type="dxa"/>
            <w:tcBorders>
              <w:top w:val="single" w:sz="6" w:space="0" w:color="auto"/>
              <w:left w:val="single" w:sz="6" w:space="0" w:color="auto"/>
              <w:bottom w:val="single" w:sz="6" w:space="0" w:color="auto"/>
              <w:right w:val="single" w:sz="6" w:space="0" w:color="auto"/>
            </w:tcBorders>
          </w:tcPr>
          <w:p w14:paraId="2028603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хуже на 3,5 м/с</w:t>
            </w:r>
          </w:p>
        </w:tc>
        <w:tc>
          <w:tcPr>
            <w:tcW w:w="1718" w:type="dxa"/>
            <w:tcBorders>
              <w:top w:val="single" w:sz="6" w:space="0" w:color="auto"/>
              <w:left w:val="single" w:sz="6" w:space="0" w:color="auto"/>
              <w:bottom w:val="single" w:sz="6" w:space="0" w:color="auto"/>
              <w:right w:val="single" w:sz="12" w:space="0" w:color="auto"/>
            </w:tcBorders>
          </w:tcPr>
          <w:p w14:paraId="47FF799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хуже на 4,1 м/с</w:t>
            </w:r>
          </w:p>
        </w:tc>
      </w:tr>
      <w:tr w:rsidR="001E2C69" w:rsidRPr="001E2C69" w14:paraId="5E307467" w14:textId="77777777" w:rsidTr="00CC5360">
        <w:tc>
          <w:tcPr>
            <w:tcW w:w="1718" w:type="dxa"/>
            <w:tcBorders>
              <w:top w:val="single" w:sz="6" w:space="0" w:color="auto"/>
              <w:left w:val="single" w:sz="12" w:space="0" w:color="auto"/>
              <w:bottom w:val="single" w:sz="6" w:space="0" w:color="auto"/>
              <w:right w:val="single" w:sz="6" w:space="0" w:color="auto"/>
            </w:tcBorders>
          </w:tcPr>
          <w:p w14:paraId="01FB30F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Скороподъемность на 6000 м</w:t>
            </w:r>
          </w:p>
        </w:tc>
        <w:tc>
          <w:tcPr>
            <w:tcW w:w="1718" w:type="dxa"/>
            <w:tcBorders>
              <w:top w:val="single" w:sz="6" w:space="0" w:color="auto"/>
              <w:left w:val="single" w:sz="6" w:space="0" w:color="auto"/>
              <w:bottom w:val="single" w:sz="6" w:space="0" w:color="auto"/>
              <w:right w:val="single" w:sz="6" w:space="0" w:color="auto"/>
            </w:tcBorders>
          </w:tcPr>
          <w:p w14:paraId="1C933D0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11,2</w:t>
            </w:r>
          </w:p>
        </w:tc>
        <w:tc>
          <w:tcPr>
            <w:tcW w:w="1718" w:type="dxa"/>
            <w:tcBorders>
              <w:top w:val="single" w:sz="6" w:space="0" w:color="auto"/>
              <w:left w:val="single" w:sz="6" w:space="0" w:color="auto"/>
              <w:bottom w:val="single" w:sz="6" w:space="0" w:color="auto"/>
              <w:right w:val="single" w:sz="6" w:space="0" w:color="auto"/>
            </w:tcBorders>
          </w:tcPr>
          <w:p w14:paraId="57998E6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лучше на 2,7 м/с</w:t>
            </w:r>
          </w:p>
        </w:tc>
        <w:tc>
          <w:tcPr>
            <w:tcW w:w="1718" w:type="dxa"/>
            <w:tcBorders>
              <w:top w:val="single" w:sz="6" w:space="0" w:color="auto"/>
              <w:left w:val="single" w:sz="6" w:space="0" w:color="auto"/>
              <w:bottom w:val="single" w:sz="6" w:space="0" w:color="auto"/>
              <w:right w:val="single" w:sz="6" w:space="0" w:color="auto"/>
            </w:tcBorders>
          </w:tcPr>
          <w:p w14:paraId="38F8501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лучше на 4,5 м/с</w:t>
            </w:r>
          </w:p>
        </w:tc>
        <w:tc>
          <w:tcPr>
            <w:tcW w:w="1718" w:type="dxa"/>
            <w:tcBorders>
              <w:top w:val="single" w:sz="6" w:space="0" w:color="auto"/>
              <w:left w:val="single" w:sz="6" w:space="0" w:color="auto"/>
              <w:bottom w:val="single" w:sz="6" w:space="0" w:color="auto"/>
              <w:right w:val="single" w:sz="6" w:space="0" w:color="auto"/>
            </w:tcBorders>
          </w:tcPr>
          <w:p w14:paraId="29248FC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лучше на 2,2 м/с</w:t>
            </w:r>
          </w:p>
        </w:tc>
        <w:tc>
          <w:tcPr>
            <w:tcW w:w="1718" w:type="dxa"/>
            <w:tcBorders>
              <w:top w:val="single" w:sz="6" w:space="0" w:color="auto"/>
              <w:left w:val="single" w:sz="6" w:space="0" w:color="auto"/>
              <w:bottom w:val="single" w:sz="6" w:space="0" w:color="auto"/>
              <w:right w:val="single" w:sz="12" w:space="0" w:color="auto"/>
            </w:tcBorders>
          </w:tcPr>
          <w:p w14:paraId="7AAD1CA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равен</w:t>
            </w:r>
          </w:p>
        </w:tc>
      </w:tr>
      <w:tr w:rsidR="001E2C69" w:rsidRPr="001E2C69" w14:paraId="11E62888" w14:textId="77777777" w:rsidTr="00CC5360">
        <w:tc>
          <w:tcPr>
            <w:tcW w:w="1718" w:type="dxa"/>
            <w:tcBorders>
              <w:top w:val="single" w:sz="6" w:space="0" w:color="auto"/>
              <w:left w:val="single" w:sz="12" w:space="0" w:color="auto"/>
              <w:bottom w:val="single" w:sz="6" w:space="0" w:color="auto"/>
              <w:right w:val="single" w:sz="6" w:space="0" w:color="auto"/>
            </w:tcBorders>
          </w:tcPr>
          <w:p w14:paraId="03EE6F8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Скороподъемность на 7000 м</w:t>
            </w:r>
          </w:p>
        </w:tc>
        <w:tc>
          <w:tcPr>
            <w:tcW w:w="1718" w:type="dxa"/>
            <w:tcBorders>
              <w:top w:val="single" w:sz="6" w:space="0" w:color="auto"/>
              <w:left w:val="single" w:sz="6" w:space="0" w:color="auto"/>
              <w:bottom w:val="single" w:sz="6" w:space="0" w:color="auto"/>
              <w:right w:val="single" w:sz="6" w:space="0" w:color="auto"/>
            </w:tcBorders>
          </w:tcPr>
          <w:p w14:paraId="6D388AC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9,7</w:t>
            </w:r>
          </w:p>
        </w:tc>
        <w:tc>
          <w:tcPr>
            <w:tcW w:w="1718" w:type="dxa"/>
            <w:tcBorders>
              <w:top w:val="single" w:sz="6" w:space="0" w:color="auto"/>
              <w:left w:val="single" w:sz="6" w:space="0" w:color="auto"/>
              <w:bottom w:val="single" w:sz="6" w:space="0" w:color="auto"/>
              <w:right w:val="single" w:sz="6" w:space="0" w:color="auto"/>
            </w:tcBorders>
          </w:tcPr>
          <w:p w14:paraId="2D30786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лучше на 3,0 м/с</w:t>
            </w:r>
          </w:p>
        </w:tc>
        <w:tc>
          <w:tcPr>
            <w:tcW w:w="1718" w:type="dxa"/>
            <w:tcBorders>
              <w:top w:val="single" w:sz="6" w:space="0" w:color="auto"/>
              <w:left w:val="single" w:sz="6" w:space="0" w:color="auto"/>
              <w:bottom w:val="single" w:sz="6" w:space="0" w:color="auto"/>
              <w:right w:val="single" w:sz="6" w:space="0" w:color="auto"/>
            </w:tcBorders>
          </w:tcPr>
          <w:p w14:paraId="3788540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лучше на 5,0 м/с</w:t>
            </w:r>
          </w:p>
        </w:tc>
        <w:tc>
          <w:tcPr>
            <w:tcW w:w="1718" w:type="dxa"/>
            <w:tcBorders>
              <w:top w:val="single" w:sz="6" w:space="0" w:color="auto"/>
              <w:left w:val="single" w:sz="6" w:space="0" w:color="auto"/>
              <w:bottom w:val="single" w:sz="6" w:space="0" w:color="auto"/>
              <w:right w:val="single" w:sz="6" w:space="0" w:color="auto"/>
            </w:tcBorders>
          </w:tcPr>
          <w:p w14:paraId="040D2C8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лучше на 2,8 м/с</w:t>
            </w:r>
          </w:p>
        </w:tc>
        <w:tc>
          <w:tcPr>
            <w:tcW w:w="1718" w:type="dxa"/>
            <w:tcBorders>
              <w:top w:val="single" w:sz="6" w:space="0" w:color="auto"/>
              <w:left w:val="single" w:sz="6" w:space="0" w:color="auto"/>
              <w:bottom w:val="single" w:sz="6" w:space="0" w:color="auto"/>
              <w:right w:val="single" w:sz="12" w:space="0" w:color="auto"/>
            </w:tcBorders>
          </w:tcPr>
          <w:p w14:paraId="0871D43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лучше на 0,3 м/с</w:t>
            </w:r>
          </w:p>
        </w:tc>
      </w:tr>
      <w:tr w:rsidR="001E2C69" w:rsidRPr="001E2C69" w14:paraId="22A8FA51" w14:textId="77777777" w:rsidTr="00CC5360">
        <w:tc>
          <w:tcPr>
            <w:tcW w:w="1718" w:type="dxa"/>
            <w:tcBorders>
              <w:top w:val="single" w:sz="6" w:space="0" w:color="auto"/>
              <w:left w:val="single" w:sz="12" w:space="0" w:color="auto"/>
              <w:bottom w:val="single" w:sz="6" w:space="0" w:color="auto"/>
              <w:right w:val="single" w:sz="6" w:space="0" w:color="auto"/>
            </w:tcBorders>
          </w:tcPr>
          <w:p w14:paraId="45AD9CE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Характеристики вооружения</w:t>
            </w:r>
          </w:p>
        </w:tc>
        <w:tc>
          <w:tcPr>
            <w:tcW w:w="1718" w:type="dxa"/>
            <w:tcBorders>
              <w:top w:val="single" w:sz="6" w:space="0" w:color="auto"/>
              <w:left w:val="single" w:sz="6" w:space="0" w:color="auto"/>
              <w:bottom w:val="single" w:sz="6" w:space="0" w:color="auto"/>
              <w:right w:val="single" w:sz="6" w:space="0" w:color="auto"/>
            </w:tcBorders>
          </w:tcPr>
          <w:p w14:paraId="30685BC6"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2E959452"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3B67DC04"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1A705135"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12" w:space="0" w:color="auto"/>
            </w:tcBorders>
          </w:tcPr>
          <w:p w14:paraId="61E82A3B"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41159316" w14:textId="77777777" w:rsidTr="00CC5360">
        <w:tc>
          <w:tcPr>
            <w:tcW w:w="1718" w:type="dxa"/>
            <w:tcBorders>
              <w:top w:val="single" w:sz="6" w:space="0" w:color="auto"/>
              <w:left w:val="single" w:sz="12" w:space="0" w:color="auto"/>
              <w:bottom w:val="single" w:sz="6" w:space="0" w:color="auto"/>
              <w:right w:val="single" w:sz="6" w:space="0" w:color="auto"/>
            </w:tcBorders>
          </w:tcPr>
          <w:p w14:paraId="4797C9F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Секунд, залп, кг/с (1хУБ и 2хШКАС синхронные)</w:t>
            </w:r>
          </w:p>
        </w:tc>
        <w:tc>
          <w:tcPr>
            <w:tcW w:w="1718" w:type="dxa"/>
            <w:tcBorders>
              <w:top w:val="single" w:sz="6" w:space="0" w:color="auto"/>
              <w:left w:val="single" w:sz="6" w:space="0" w:color="auto"/>
              <w:bottom w:val="single" w:sz="6" w:space="0" w:color="auto"/>
              <w:right w:val="single" w:sz="6" w:space="0" w:color="auto"/>
            </w:tcBorders>
          </w:tcPr>
          <w:p w14:paraId="252B1E8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0,881</w:t>
            </w:r>
          </w:p>
        </w:tc>
        <w:tc>
          <w:tcPr>
            <w:tcW w:w="1718" w:type="dxa"/>
            <w:tcBorders>
              <w:top w:val="single" w:sz="6" w:space="0" w:color="auto"/>
              <w:left w:val="single" w:sz="6" w:space="0" w:color="auto"/>
              <w:bottom w:val="single" w:sz="6" w:space="0" w:color="auto"/>
              <w:right w:val="single" w:sz="6" w:space="0" w:color="auto"/>
            </w:tcBorders>
          </w:tcPr>
          <w:p w14:paraId="02401F0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хуже на 0,719 кг/с</w:t>
            </w:r>
          </w:p>
        </w:tc>
        <w:tc>
          <w:tcPr>
            <w:tcW w:w="1718" w:type="dxa"/>
            <w:tcBorders>
              <w:top w:val="single" w:sz="6" w:space="0" w:color="auto"/>
              <w:left w:val="single" w:sz="6" w:space="0" w:color="auto"/>
              <w:bottom w:val="single" w:sz="6" w:space="0" w:color="auto"/>
              <w:right w:val="single" w:sz="6" w:space="0" w:color="auto"/>
            </w:tcBorders>
          </w:tcPr>
          <w:p w14:paraId="70F3298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хуже на 1,2 кг/с</w:t>
            </w:r>
          </w:p>
        </w:tc>
        <w:tc>
          <w:tcPr>
            <w:tcW w:w="1718" w:type="dxa"/>
            <w:tcBorders>
              <w:top w:val="single" w:sz="6" w:space="0" w:color="auto"/>
              <w:left w:val="single" w:sz="6" w:space="0" w:color="auto"/>
              <w:bottom w:val="single" w:sz="6" w:space="0" w:color="auto"/>
              <w:right w:val="single" w:sz="6" w:space="0" w:color="auto"/>
            </w:tcBorders>
          </w:tcPr>
          <w:p w14:paraId="3B8D260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хуже на 1,6 кг/с</w:t>
            </w:r>
          </w:p>
        </w:tc>
        <w:tc>
          <w:tcPr>
            <w:tcW w:w="1718" w:type="dxa"/>
            <w:tcBorders>
              <w:top w:val="single" w:sz="6" w:space="0" w:color="auto"/>
              <w:left w:val="single" w:sz="6" w:space="0" w:color="auto"/>
              <w:bottom w:val="single" w:sz="6" w:space="0" w:color="auto"/>
              <w:right w:val="single" w:sz="12" w:space="0" w:color="auto"/>
            </w:tcBorders>
          </w:tcPr>
          <w:p w14:paraId="30F84FA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хуже на 0,4 кг/с</w:t>
            </w:r>
          </w:p>
        </w:tc>
      </w:tr>
      <w:tr w:rsidR="001E2C69" w:rsidRPr="001E2C69" w14:paraId="3F0275C7" w14:textId="77777777" w:rsidTr="00CC5360">
        <w:tc>
          <w:tcPr>
            <w:tcW w:w="1718" w:type="dxa"/>
            <w:tcBorders>
              <w:top w:val="single" w:sz="6" w:space="0" w:color="auto"/>
              <w:left w:val="single" w:sz="12" w:space="0" w:color="auto"/>
              <w:bottom w:val="single" w:sz="6" w:space="0" w:color="auto"/>
              <w:right w:val="single" w:sz="6" w:space="0" w:color="auto"/>
            </w:tcBorders>
          </w:tcPr>
          <w:p w14:paraId="73B89AC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Дульная мощность сумм., л.с. (1хУБ и 2хШКАС синхронные)</w:t>
            </w:r>
          </w:p>
        </w:tc>
        <w:tc>
          <w:tcPr>
            <w:tcW w:w="1718" w:type="dxa"/>
            <w:tcBorders>
              <w:top w:val="single" w:sz="6" w:space="0" w:color="auto"/>
              <w:left w:val="single" w:sz="6" w:space="0" w:color="auto"/>
              <w:bottom w:val="single" w:sz="6" w:space="0" w:color="auto"/>
              <w:right w:val="single" w:sz="6" w:space="0" w:color="auto"/>
            </w:tcBorders>
          </w:tcPr>
          <w:p w14:paraId="0C16410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428</w:t>
            </w:r>
          </w:p>
        </w:tc>
        <w:tc>
          <w:tcPr>
            <w:tcW w:w="1718" w:type="dxa"/>
            <w:tcBorders>
              <w:top w:val="single" w:sz="6" w:space="0" w:color="auto"/>
              <w:left w:val="single" w:sz="6" w:space="0" w:color="auto"/>
              <w:bottom w:val="single" w:sz="6" w:space="0" w:color="auto"/>
              <w:right w:val="single" w:sz="6" w:space="0" w:color="auto"/>
            </w:tcBorders>
          </w:tcPr>
          <w:p w14:paraId="4CC850C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хуже на 226 л.с.</w:t>
            </w:r>
          </w:p>
        </w:tc>
        <w:tc>
          <w:tcPr>
            <w:tcW w:w="1718" w:type="dxa"/>
            <w:tcBorders>
              <w:top w:val="single" w:sz="6" w:space="0" w:color="auto"/>
              <w:left w:val="single" w:sz="6" w:space="0" w:color="auto"/>
              <w:bottom w:val="single" w:sz="6" w:space="0" w:color="auto"/>
              <w:right w:val="single" w:sz="6" w:space="0" w:color="auto"/>
            </w:tcBorders>
          </w:tcPr>
          <w:p w14:paraId="3BCFA97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хуже на 483 л.с.</w:t>
            </w:r>
          </w:p>
        </w:tc>
        <w:tc>
          <w:tcPr>
            <w:tcW w:w="1718" w:type="dxa"/>
            <w:tcBorders>
              <w:top w:val="single" w:sz="6" w:space="0" w:color="auto"/>
              <w:left w:val="single" w:sz="6" w:space="0" w:color="auto"/>
              <w:bottom w:val="single" w:sz="6" w:space="0" w:color="auto"/>
              <w:right w:val="single" w:sz="6" w:space="0" w:color="auto"/>
            </w:tcBorders>
          </w:tcPr>
          <w:p w14:paraId="28A5763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хуже на 225 л.с.</w:t>
            </w:r>
          </w:p>
        </w:tc>
        <w:tc>
          <w:tcPr>
            <w:tcW w:w="1718" w:type="dxa"/>
            <w:tcBorders>
              <w:top w:val="single" w:sz="6" w:space="0" w:color="auto"/>
              <w:left w:val="single" w:sz="6" w:space="0" w:color="auto"/>
              <w:bottom w:val="single" w:sz="6" w:space="0" w:color="auto"/>
              <w:right w:val="single" w:sz="12" w:space="0" w:color="auto"/>
            </w:tcBorders>
          </w:tcPr>
          <w:p w14:paraId="6EB55EC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лучше на 109 л.с.</w:t>
            </w:r>
          </w:p>
        </w:tc>
      </w:tr>
      <w:tr w:rsidR="001E2C69" w:rsidRPr="001E2C69" w14:paraId="70BEE868" w14:textId="77777777" w:rsidTr="00CC5360">
        <w:tc>
          <w:tcPr>
            <w:tcW w:w="1718" w:type="dxa"/>
            <w:tcBorders>
              <w:top w:val="single" w:sz="6" w:space="0" w:color="auto"/>
              <w:left w:val="single" w:sz="12" w:space="0" w:color="auto"/>
              <w:bottom w:val="single" w:sz="6" w:space="0" w:color="auto"/>
              <w:right w:val="single" w:sz="6" w:space="0" w:color="auto"/>
            </w:tcBorders>
          </w:tcPr>
          <w:p w14:paraId="5C6D19A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Секунд, залп, кг/с (1хУБ и 2хШКАС синхр.,</w:t>
            </w:r>
          </w:p>
        </w:tc>
        <w:tc>
          <w:tcPr>
            <w:tcW w:w="1718" w:type="dxa"/>
            <w:tcBorders>
              <w:top w:val="single" w:sz="6" w:space="0" w:color="auto"/>
              <w:left w:val="single" w:sz="6" w:space="0" w:color="auto"/>
              <w:bottom w:val="single" w:sz="6" w:space="0" w:color="auto"/>
              <w:right w:val="single" w:sz="6" w:space="0" w:color="auto"/>
            </w:tcBorders>
          </w:tcPr>
          <w:p w14:paraId="607DE4A5"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58B98AFF"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6116388B"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2C841985"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12" w:space="0" w:color="auto"/>
            </w:tcBorders>
          </w:tcPr>
          <w:p w14:paraId="62D3C1CE"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5656F65F" w14:textId="77777777" w:rsidTr="00CC5360">
        <w:tc>
          <w:tcPr>
            <w:tcW w:w="1718" w:type="dxa"/>
            <w:tcBorders>
              <w:top w:val="single" w:sz="6" w:space="0" w:color="auto"/>
              <w:left w:val="single" w:sz="12" w:space="0" w:color="auto"/>
              <w:bottom w:val="single" w:sz="6" w:space="0" w:color="auto"/>
              <w:right w:val="single" w:sz="6" w:space="0" w:color="auto"/>
            </w:tcBorders>
          </w:tcPr>
          <w:p w14:paraId="66E6BF3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2хБК крыльев.)</w:t>
            </w:r>
          </w:p>
        </w:tc>
        <w:tc>
          <w:tcPr>
            <w:tcW w:w="1718" w:type="dxa"/>
            <w:tcBorders>
              <w:top w:val="single" w:sz="6" w:space="0" w:color="auto"/>
              <w:left w:val="single" w:sz="6" w:space="0" w:color="auto"/>
              <w:bottom w:val="single" w:sz="6" w:space="0" w:color="auto"/>
              <w:right w:val="single" w:sz="6" w:space="0" w:color="auto"/>
            </w:tcBorders>
          </w:tcPr>
          <w:p w14:paraId="3D41735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2,48</w:t>
            </w:r>
          </w:p>
        </w:tc>
        <w:tc>
          <w:tcPr>
            <w:tcW w:w="1718" w:type="dxa"/>
            <w:tcBorders>
              <w:top w:val="single" w:sz="6" w:space="0" w:color="auto"/>
              <w:left w:val="single" w:sz="6" w:space="0" w:color="auto"/>
              <w:bottom w:val="single" w:sz="6" w:space="0" w:color="auto"/>
              <w:right w:val="single" w:sz="6" w:space="0" w:color="auto"/>
            </w:tcBorders>
          </w:tcPr>
          <w:p w14:paraId="12F3E2A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лучше на 0,88 кг/с</w:t>
            </w:r>
          </w:p>
        </w:tc>
        <w:tc>
          <w:tcPr>
            <w:tcW w:w="1718" w:type="dxa"/>
            <w:tcBorders>
              <w:top w:val="single" w:sz="6" w:space="0" w:color="auto"/>
              <w:left w:val="single" w:sz="6" w:space="0" w:color="auto"/>
              <w:bottom w:val="single" w:sz="6" w:space="0" w:color="auto"/>
              <w:right w:val="single" w:sz="6" w:space="0" w:color="auto"/>
            </w:tcBorders>
          </w:tcPr>
          <w:p w14:paraId="314BAE3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лучше на 0,4 кг/с</w:t>
            </w:r>
          </w:p>
        </w:tc>
        <w:tc>
          <w:tcPr>
            <w:tcW w:w="1718" w:type="dxa"/>
            <w:tcBorders>
              <w:top w:val="single" w:sz="6" w:space="0" w:color="auto"/>
              <w:left w:val="single" w:sz="6" w:space="0" w:color="auto"/>
              <w:bottom w:val="single" w:sz="6" w:space="0" w:color="auto"/>
              <w:right w:val="single" w:sz="6" w:space="0" w:color="auto"/>
            </w:tcBorders>
          </w:tcPr>
          <w:p w14:paraId="3F6628C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равен</w:t>
            </w:r>
          </w:p>
        </w:tc>
        <w:tc>
          <w:tcPr>
            <w:tcW w:w="1718" w:type="dxa"/>
            <w:tcBorders>
              <w:top w:val="single" w:sz="6" w:space="0" w:color="auto"/>
              <w:left w:val="single" w:sz="6" w:space="0" w:color="auto"/>
              <w:bottom w:val="single" w:sz="6" w:space="0" w:color="auto"/>
              <w:right w:val="single" w:sz="12" w:space="0" w:color="auto"/>
            </w:tcBorders>
          </w:tcPr>
          <w:p w14:paraId="4D371CC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лучше на 1,2 кг/с</w:t>
            </w:r>
          </w:p>
        </w:tc>
      </w:tr>
      <w:tr w:rsidR="001E2C69" w:rsidRPr="001E2C69" w14:paraId="1E592CE3" w14:textId="77777777" w:rsidTr="00CC5360">
        <w:tc>
          <w:tcPr>
            <w:tcW w:w="1718" w:type="dxa"/>
            <w:tcBorders>
              <w:top w:val="single" w:sz="6" w:space="0" w:color="auto"/>
              <w:left w:val="single" w:sz="12" w:space="0" w:color="auto"/>
              <w:bottom w:val="single" w:sz="12" w:space="0" w:color="auto"/>
              <w:right w:val="single" w:sz="6" w:space="0" w:color="auto"/>
            </w:tcBorders>
          </w:tcPr>
          <w:p w14:paraId="613687A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Дульная мощность сумм., л.с. (1хУБ и 2хШКАС синхронные, 2хБК крыльевые)</w:t>
            </w:r>
          </w:p>
        </w:tc>
        <w:tc>
          <w:tcPr>
            <w:tcW w:w="1718" w:type="dxa"/>
            <w:tcBorders>
              <w:top w:val="single" w:sz="6" w:space="0" w:color="auto"/>
              <w:left w:val="single" w:sz="6" w:space="0" w:color="auto"/>
              <w:bottom w:val="single" w:sz="12" w:space="0" w:color="auto"/>
              <w:right w:val="single" w:sz="6" w:space="0" w:color="auto"/>
            </w:tcBorders>
          </w:tcPr>
          <w:p w14:paraId="0400110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1232</w:t>
            </w:r>
          </w:p>
        </w:tc>
        <w:tc>
          <w:tcPr>
            <w:tcW w:w="1718" w:type="dxa"/>
            <w:tcBorders>
              <w:top w:val="single" w:sz="6" w:space="0" w:color="auto"/>
              <w:left w:val="single" w:sz="6" w:space="0" w:color="auto"/>
              <w:bottom w:val="single" w:sz="12" w:space="0" w:color="auto"/>
              <w:right w:val="single" w:sz="6" w:space="0" w:color="auto"/>
            </w:tcBorders>
          </w:tcPr>
          <w:p w14:paraId="1199115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лучше на 578 л.с.</w:t>
            </w:r>
          </w:p>
        </w:tc>
        <w:tc>
          <w:tcPr>
            <w:tcW w:w="1718" w:type="dxa"/>
            <w:tcBorders>
              <w:top w:val="single" w:sz="6" w:space="0" w:color="auto"/>
              <w:left w:val="single" w:sz="6" w:space="0" w:color="auto"/>
              <w:bottom w:val="single" w:sz="12" w:space="0" w:color="auto"/>
              <w:right w:val="single" w:sz="6" w:space="0" w:color="auto"/>
            </w:tcBorders>
          </w:tcPr>
          <w:p w14:paraId="383AA5A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лучше на 321 л.с.</w:t>
            </w:r>
          </w:p>
        </w:tc>
        <w:tc>
          <w:tcPr>
            <w:tcW w:w="1718" w:type="dxa"/>
            <w:tcBorders>
              <w:top w:val="single" w:sz="6" w:space="0" w:color="auto"/>
              <w:left w:val="single" w:sz="6" w:space="0" w:color="auto"/>
              <w:bottom w:val="single" w:sz="12" w:space="0" w:color="auto"/>
              <w:right w:val="single" w:sz="6" w:space="0" w:color="auto"/>
            </w:tcBorders>
          </w:tcPr>
          <w:p w14:paraId="3CF28F6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лучше на 579 л.с.</w:t>
            </w:r>
          </w:p>
        </w:tc>
        <w:tc>
          <w:tcPr>
            <w:tcW w:w="1718" w:type="dxa"/>
            <w:tcBorders>
              <w:top w:val="single" w:sz="6" w:space="0" w:color="auto"/>
              <w:left w:val="single" w:sz="6" w:space="0" w:color="auto"/>
              <w:bottom w:val="single" w:sz="12" w:space="0" w:color="auto"/>
              <w:right w:val="single" w:sz="12" w:space="0" w:color="auto"/>
            </w:tcBorders>
          </w:tcPr>
          <w:p w14:paraId="4073323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лучше на 914 л.с.</w:t>
            </w:r>
          </w:p>
        </w:tc>
      </w:tr>
    </w:tbl>
    <w:p w14:paraId="5E1BC4F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Примечание:</w:t>
      </w:r>
    </w:p>
    <w:p w14:paraId="6A5F78D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ТТХ самолета МиГ-Зданы в 3-точечном варианте вооружения.</w:t>
      </w:r>
    </w:p>
    <w:p w14:paraId="6BACA74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ТТХ самолета Bf 109Е-Зданы без вооружения, как самолет испытывался в НИИ ВВС.</w:t>
      </w:r>
    </w:p>
    <w:p w14:paraId="599A255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Вооружение самолета Bf 109Е-3 - 2 крыльевые пушки MG FF(20 мм) и 2 синхронных пулемета MG 17(7,92 мм).</w:t>
      </w:r>
    </w:p>
    <w:p w14:paraId="0997264B" w14:textId="77777777" w:rsidR="00AE7191" w:rsidRPr="001E2C69" w:rsidRDefault="00AE7191" w:rsidP="00722885">
      <w:pPr>
        <w:pStyle w:val="1f2"/>
        <w:shd w:val="clear" w:color="auto" w:fill="auto"/>
        <w:spacing w:line="240" w:lineRule="auto"/>
        <w:jc w:val="both"/>
        <w:rPr>
          <w:rFonts w:ascii="Times New Roman" w:hAnsi="Times New Roman" w:cs="Times New Roman"/>
          <w:i w:val="0"/>
          <w:iCs w:val="0"/>
          <w:color w:val="000000" w:themeColor="text1"/>
          <w:spacing w:val="0"/>
          <w:sz w:val="16"/>
          <w:szCs w:val="16"/>
        </w:rPr>
      </w:pPr>
      <w:r w:rsidRPr="001E2C69">
        <w:rPr>
          <w:rFonts w:ascii="Times New Roman" w:hAnsi="Times New Roman" w:cs="Times New Roman"/>
          <w:i w:val="0"/>
          <w:iCs w:val="0"/>
          <w:color w:val="000000" w:themeColor="text1"/>
          <w:spacing w:val="0"/>
          <w:sz w:val="16"/>
          <w:szCs w:val="16"/>
        </w:rPr>
        <w:t>Основные летно-технические характеристики истребителей МиГ-1 и МиГ-3</w:t>
      </w:r>
    </w:p>
    <w:tbl>
      <w:tblPr>
        <w:tblW w:w="0" w:type="auto"/>
        <w:tblInd w:w="8" w:type="dxa"/>
        <w:tblLayout w:type="fixed"/>
        <w:tblCellMar>
          <w:left w:w="0" w:type="dxa"/>
          <w:right w:w="0" w:type="dxa"/>
        </w:tblCellMar>
        <w:tblLook w:val="0000" w:firstRow="0" w:lastRow="0" w:firstColumn="0" w:lastColumn="0" w:noHBand="0" w:noVBand="0"/>
      </w:tblPr>
      <w:tblGrid>
        <w:gridCol w:w="2819"/>
        <w:gridCol w:w="1670"/>
        <w:gridCol w:w="979"/>
        <w:gridCol w:w="1991"/>
        <w:gridCol w:w="1966"/>
        <w:gridCol w:w="1098"/>
      </w:tblGrid>
      <w:tr w:rsidR="001E2C69" w:rsidRPr="001E2C69" w14:paraId="33B13021" w14:textId="77777777" w:rsidTr="00CC5360">
        <w:trPr>
          <w:trHeight w:val="432"/>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06A4BAC1"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789D37BB" w14:textId="77777777" w:rsidR="00AE7191" w:rsidRPr="001E2C69" w:rsidRDefault="00AE7191" w:rsidP="00722885">
            <w:pPr>
              <w:pStyle w:val="312"/>
              <w:shd w:val="clear" w:color="auto" w:fill="auto"/>
              <w:spacing w:line="240" w:lineRule="auto"/>
              <w:jc w:val="both"/>
              <w:rPr>
                <w:b w:val="0"/>
                <w:i w:val="0"/>
                <w:iCs w:val="0"/>
                <w:color w:val="000000" w:themeColor="text1"/>
                <w:sz w:val="16"/>
                <w:szCs w:val="16"/>
              </w:rPr>
            </w:pPr>
            <w:r w:rsidRPr="001E2C69">
              <w:rPr>
                <w:b w:val="0"/>
                <w:i w:val="0"/>
                <w:iCs w:val="0"/>
                <w:color w:val="000000" w:themeColor="text1"/>
                <w:sz w:val="16"/>
                <w:szCs w:val="16"/>
              </w:rPr>
              <w:t>И-200 1-й опытн.</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426FF4EC" w14:textId="77777777" w:rsidR="00AE7191" w:rsidRPr="001E2C69" w:rsidRDefault="00AE7191" w:rsidP="00722885">
            <w:pPr>
              <w:pStyle w:val="312"/>
              <w:shd w:val="clear" w:color="auto" w:fill="auto"/>
              <w:spacing w:line="240" w:lineRule="auto"/>
              <w:jc w:val="both"/>
              <w:rPr>
                <w:b w:val="0"/>
                <w:i w:val="0"/>
                <w:iCs w:val="0"/>
                <w:color w:val="000000" w:themeColor="text1"/>
                <w:sz w:val="16"/>
                <w:szCs w:val="16"/>
              </w:rPr>
            </w:pPr>
            <w:r w:rsidRPr="001E2C69">
              <w:rPr>
                <w:b w:val="0"/>
                <w:i w:val="0"/>
                <w:iCs w:val="0"/>
                <w:color w:val="000000" w:themeColor="text1"/>
                <w:sz w:val="16"/>
                <w:szCs w:val="16"/>
              </w:rPr>
              <w:t>МиГ-1</w:t>
            </w:r>
          </w:p>
        </w:tc>
        <w:tc>
          <w:tcPr>
            <w:tcW w:w="1991" w:type="dxa"/>
            <w:tcBorders>
              <w:top w:val="single" w:sz="6" w:space="0" w:color="auto"/>
              <w:left w:val="single" w:sz="6" w:space="0" w:color="auto"/>
              <w:bottom w:val="single" w:sz="6" w:space="0" w:color="auto"/>
              <w:right w:val="single" w:sz="6" w:space="0" w:color="auto"/>
            </w:tcBorders>
            <w:shd w:val="clear" w:color="auto" w:fill="FFFFFF"/>
          </w:tcPr>
          <w:p w14:paraId="5C13E277" w14:textId="77777777" w:rsidR="00AE7191" w:rsidRPr="001E2C69" w:rsidRDefault="00AE7191" w:rsidP="00722885">
            <w:pPr>
              <w:pStyle w:val="312"/>
              <w:shd w:val="clear" w:color="auto" w:fill="auto"/>
              <w:spacing w:line="240" w:lineRule="auto"/>
              <w:jc w:val="both"/>
              <w:rPr>
                <w:b w:val="0"/>
                <w:i w:val="0"/>
                <w:iCs w:val="0"/>
                <w:color w:val="000000" w:themeColor="text1"/>
                <w:sz w:val="16"/>
                <w:szCs w:val="16"/>
              </w:rPr>
            </w:pPr>
            <w:r w:rsidRPr="001E2C69">
              <w:rPr>
                <w:b w:val="0"/>
                <w:i w:val="0"/>
                <w:iCs w:val="0"/>
                <w:color w:val="000000" w:themeColor="text1"/>
                <w:sz w:val="16"/>
                <w:szCs w:val="16"/>
              </w:rPr>
              <w:t>МиГ-3 ранних серий</w:t>
            </w:r>
          </w:p>
        </w:tc>
        <w:tc>
          <w:tcPr>
            <w:tcW w:w="1966" w:type="dxa"/>
            <w:tcBorders>
              <w:top w:val="single" w:sz="6" w:space="0" w:color="auto"/>
              <w:left w:val="single" w:sz="6" w:space="0" w:color="auto"/>
              <w:bottom w:val="single" w:sz="6" w:space="0" w:color="auto"/>
              <w:right w:val="single" w:sz="6" w:space="0" w:color="auto"/>
            </w:tcBorders>
            <w:shd w:val="clear" w:color="auto" w:fill="FFFFFF"/>
          </w:tcPr>
          <w:p w14:paraId="01E3DC2E" w14:textId="77777777" w:rsidR="00AE7191" w:rsidRPr="001E2C69" w:rsidRDefault="00AE7191" w:rsidP="00722885">
            <w:pPr>
              <w:pStyle w:val="312"/>
              <w:shd w:val="clear" w:color="auto" w:fill="auto"/>
              <w:spacing w:line="240" w:lineRule="auto"/>
              <w:jc w:val="both"/>
              <w:rPr>
                <w:b w:val="0"/>
                <w:i w:val="0"/>
                <w:iCs w:val="0"/>
                <w:color w:val="000000" w:themeColor="text1"/>
                <w:sz w:val="16"/>
                <w:szCs w:val="16"/>
                <w:lang w:val="ru-RU"/>
              </w:rPr>
            </w:pPr>
            <w:r w:rsidRPr="001E2C69">
              <w:rPr>
                <w:b w:val="0"/>
                <w:i w:val="0"/>
                <w:iCs w:val="0"/>
                <w:color w:val="000000" w:themeColor="text1"/>
                <w:sz w:val="16"/>
                <w:szCs w:val="16"/>
                <w:lang w:val="ru-RU"/>
              </w:rPr>
              <w:t>МиГ-3 поздних серий (с предкрылками)</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1D82883C" w14:textId="77777777" w:rsidR="00AE7191" w:rsidRPr="001E2C69" w:rsidRDefault="00AE7191" w:rsidP="00722885">
            <w:pPr>
              <w:pStyle w:val="312"/>
              <w:shd w:val="clear" w:color="auto" w:fill="auto"/>
              <w:spacing w:line="240" w:lineRule="auto"/>
              <w:jc w:val="both"/>
              <w:rPr>
                <w:b w:val="0"/>
                <w:i w:val="0"/>
                <w:iCs w:val="0"/>
                <w:color w:val="000000" w:themeColor="text1"/>
                <w:sz w:val="16"/>
                <w:szCs w:val="16"/>
              </w:rPr>
            </w:pPr>
            <w:r w:rsidRPr="001E2C69">
              <w:rPr>
                <w:b w:val="0"/>
                <w:i w:val="0"/>
                <w:iCs w:val="0"/>
                <w:color w:val="000000" w:themeColor="text1"/>
                <w:sz w:val="16"/>
                <w:szCs w:val="16"/>
              </w:rPr>
              <w:t>МиГ-9</w:t>
            </w:r>
          </w:p>
        </w:tc>
      </w:tr>
      <w:tr w:rsidR="001E2C69" w:rsidRPr="001E2C69" w14:paraId="7D6FF43E" w14:textId="77777777" w:rsidTr="00CC5360">
        <w:trPr>
          <w:trHeight w:val="259"/>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2F9033A9" w14:textId="77777777" w:rsidR="00AE7191" w:rsidRPr="001E2C69" w:rsidRDefault="00AE7191" w:rsidP="00722885">
            <w:pPr>
              <w:pStyle w:val="a4"/>
              <w:rPr>
                <w:color w:val="000000" w:themeColor="text1"/>
              </w:rPr>
            </w:pPr>
            <w:r w:rsidRPr="001E2C69">
              <w:rPr>
                <w:color w:val="000000" w:themeColor="text1"/>
              </w:rPr>
              <w:t>Размах крыла, м</w:t>
            </w:r>
          </w:p>
        </w:tc>
        <w:tc>
          <w:tcPr>
            <w:tcW w:w="7704" w:type="dxa"/>
            <w:gridSpan w:val="5"/>
            <w:tcBorders>
              <w:top w:val="single" w:sz="6" w:space="0" w:color="auto"/>
              <w:left w:val="single" w:sz="6" w:space="0" w:color="auto"/>
              <w:bottom w:val="single" w:sz="6" w:space="0" w:color="auto"/>
              <w:right w:val="single" w:sz="6" w:space="0" w:color="auto"/>
            </w:tcBorders>
            <w:shd w:val="clear" w:color="auto" w:fill="FFFFFF"/>
          </w:tcPr>
          <w:p w14:paraId="4A1AB3C9" w14:textId="77777777" w:rsidR="00AE7191" w:rsidRPr="001E2C69" w:rsidRDefault="00AE7191" w:rsidP="00722885">
            <w:pPr>
              <w:pStyle w:val="a4"/>
              <w:rPr>
                <w:color w:val="000000" w:themeColor="text1"/>
              </w:rPr>
            </w:pPr>
            <w:r w:rsidRPr="001E2C69">
              <w:rPr>
                <w:color w:val="000000" w:themeColor="text1"/>
              </w:rPr>
              <w:t>10,2</w:t>
            </w:r>
          </w:p>
        </w:tc>
      </w:tr>
      <w:tr w:rsidR="001E2C69" w:rsidRPr="001E2C69" w14:paraId="2EE0F133" w14:textId="77777777" w:rsidTr="00CC5360">
        <w:trPr>
          <w:trHeight w:val="259"/>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4AF9E0A4" w14:textId="77777777" w:rsidR="00AE7191" w:rsidRPr="001E2C69" w:rsidRDefault="00AE7191" w:rsidP="00722885">
            <w:pPr>
              <w:pStyle w:val="a4"/>
              <w:rPr>
                <w:color w:val="000000" w:themeColor="text1"/>
                <w:lang w:val="ru-RU"/>
              </w:rPr>
            </w:pPr>
            <w:r w:rsidRPr="001E2C69">
              <w:rPr>
                <w:color w:val="000000" w:themeColor="text1"/>
                <w:lang w:val="ru-RU"/>
              </w:rPr>
              <w:t>Длина в линии полета, м</w:t>
            </w:r>
          </w:p>
        </w:tc>
        <w:tc>
          <w:tcPr>
            <w:tcW w:w="2649" w:type="dxa"/>
            <w:gridSpan w:val="2"/>
            <w:tcBorders>
              <w:top w:val="single" w:sz="6" w:space="0" w:color="auto"/>
              <w:left w:val="single" w:sz="6" w:space="0" w:color="auto"/>
              <w:bottom w:val="single" w:sz="6" w:space="0" w:color="auto"/>
              <w:right w:val="single" w:sz="6" w:space="0" w:color="auto"/>
            </w:tcBorders>
            <w:shd w:val="clear" w:color="auto" w:fill="FFFFFF"/>
          </w:tcPr>
          <w:p w14:paraId="6F2BBFA1" w14:textId="77777777" w:rsidR="00AE7191" w:rsidRPr="001E2C69" w:rsidRDefault="00AE7191" w:rsidP="00722885">
            <w:pPr>
              <w:pStyle w:val="a4"/>
              <w:rPr>
                <w:color w:val="000000" w:themeColor="text1"/>
              </w:rPr>
            </w:pPr>
            <w:r w:rsidRPr="001E2C69">
              <w:rPr>
                <w:color w:val="000000" w:themeColor="text1"/>
              </w:rPr>
              <w:t>8,15</w:t>
            </w:r>
          </w:p>
        </w:tc>
        <w:tc>
          <w:tcPr>
            <w:tcW w:w="3957" w:type="dxa"/>
            <w:gridSpan w:val="2"/>
            <w:tcBorders>
              <w:top w:val="single" w:sz="6" w:space="0" w:color="auto"/>
              <w:left w:val="single" w:sz="6" w:space="0" w:color="auto"/>
              <w:bottom w:val="single" w:sz="6" w:space="0" w:color="auto"/>
              <w:right w:val="single" w:sz="6" w:space="0" w:color="auto"/>
            </w:tcBorders>
            <w:shd w:val="clear" w:color="auto" w:fill="FFFFFF"/>
          </w:tcPr>
          <w:p w14:paraId="7C636B56" w14:textId="77777777" w:rsidR="00AE7191" w:rsidRPr="001E2C69" w:rsidRDefault="00AE7191" w:rsidP="00722885">
            <w:pPr>
              <w:pStyle w:val="a4"/>
              <w:rPr>
                <w:color w:val="000000" w:themeColor="text1"/>
              </w:rPr>
            </w:pPr>
            <w:r w:rsidRPr="001E2C69">
              <w:rPr>
                <w:color w:val="000000" w:themeColor="text1"/>
              </w:rPr>
              <w:t>8,25</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0D19B928" w14:textId="77777777" w:rsidR="00AE7191" w:rsidRPr="001E2C69" w:rsidRDefault="00AE7191" w:rsidP="00722885">
            <w:pPr>
              <w:pStyle w:val="a4"/>
              <w:rPr>
                <w:color w:val="000000" w:themeColor="text1"/>
              </w:rPr>
            </w:pPr>
            <w:r w:rsidRPr="001E2C69">
              <w:rPr>
                <w:color w:val="000000" w:themeColor="text1"/>
              </w:rPr>
              <w:t>8,078</w:t>
            </w:r>
          </w:p>
        </w:tc>
      </w:tr>
      <w:tr w:rsidR="001E2C69" w:rsidRPr="001E2C69" w14:paraId="343BEA37" w14:textId="77777777" w:rsidTr="00CC5360">
        <w:trPr>
          <w:trHeight w:val="263"/>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0691F7D0" w14:textId="77777777" w:rsidR="00AE7191" w:rsidRPr="001E2C69" w:rsidRDefault="00AE7191" w:rsidP="00722885">
            <w:pPr>
              <w:pStyle w:val="a4"/>
              <w:rPr>
                <w:color w:val="000000" w:themeColor="text1"/>
                <w:lang w:val="ru-RU"/>
              </w:rPr>
            </w:pPr>
            <w:r w:rsidRPr="001E2C69">
              <w:rPr>
                <w:color w:val="000000" w:themeColor="text1"/>
                <w:lang w:val="ru-RU"/>
              </w:rPr>
              <w:t>Высота на стоянке с учетом ВВ, м</w:t>
            </w:r>
          </w:p>
        </w:tc>
        <w:tc>
          <w:tcPr>
            <w:tcW w:w="7704" w:type="dxa"/>
            <w:gridSpan w:val="5"/>
            <w:tcBorders>
              <w:top w:val="single" w:sz="6" w:space="0" w:color="auto"/>
              <w:left w:val="single" w:sz="6" w:space="0" w:color="auto"/>
              <w:bottom w:val="single" w:sz="6" w:space="0" w:color="auto"/>
              <w:right w:val="single" w:sz="6" w:space="0" w:color="auto"/>
            </w:tcBorders>
            <w:shd w:val="clear" w:color="auto" w:fill="FFFFFF"/>
          </w:tcPr>
          <w:p w14:paraId="28DCA893" w14:textId="77777777" w:rsidR="00AE7191" w:rsidRPr="001E2C69" w:rsidRDefault="00AE7191" w:rsidP="00722885">
            <w:pPr>
              <w:pStyle w:val="a4"/>
              <w:rPr>
                <w:color w:val="000000" w:themeColor="text1"/>
              </w:rPr>
            </w:pPr>
            <w:r w:rsidRPr="001E2C69">
              <w:rPr>
                <w:color w:val="000000" w:themeColor="text1"/>
              </w:rPr>
              <w:t>3,71</w:t>
            </w:r>
          </w:p>
        </w:tc>
      </w:tr>
      <w:tr w:rsidR="001E2C69" w:rsidRPr="001E2C69" w14:paraId="7A8B4C98" w14:textId="77777777" w:rsidTr="00CC5360">
        <w:trPr>
          <w:trHeight w:val="259"/>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79951F83" w14:textId="77777777" w:rsidR="00AE7191" w:rsidRPr="001E2C69" w:rsidRDefault="00AE7191" w:rsidP="00722885">
            <w:pPr>
              <w:pStyle w:val="a4"/>
              <w:rPr>
                <w:color w:val="000000" w:themeColor="text1"/>
              </w:rPr>
            </w:pPr>
            <w:r w:rsidRPr="001E2C69">
              <w:rPr>
                <w:color w:val="000000" w:themeColor="text1"/>
              </w:rPr>
              <w:t>Площадь крыла, м''</w:t>
            </w:r>
          </w:p>
        </w:tc>
        <w:tc>
          <w:tcPr>
            <w:tcW w:w="7704" w:type="dxa"/>
            <w:gridSpan w:val="5"/>
            <w:tcBorders>
              <w:top w:val="single" w:sz="6" w:space="0" w:color="auto"/>
              <w:left w:val="single" w:sz="6" w:space="0" w:color="auto"/>
              <w:bottom w:val="single" w:sz="6" w:space="0" w:color="auto"/>
              <w:right w:val="single" w:sz="6" w:space="0" w:color="auto"/>
            </w:tcBorders>
            <w:shd w:val="clear" w:color="auto" w:fill="FFFFFF"/>
          </w:tcPr>
          <w:p w14:paraId="68E6D521" w14:textId="77777777" w:rsidR="00AE7191" w:rsidRPr="001E2C69" w:rsidRDefault="00AE7191" w:rsidP="00722885">
            <w:pPr>
              <w:pStyle w:val="a4"/>
              <w:rPr>
                <w:color w:val="000000" w:themeColor="text1"/>
              </w:rPr>
            </w:pPr>
            <w:r w:rsidRPr="001E2C69">
              <w:rPr>
                <w:color w:val="000000" w:themeColor="text1"/>
              </w:rPr>
              <w:t>17,44</w:t>
            </w:r>
          </w:p>
        </w:tc>
      </w:tr>
      <w:tr w:rsidR="001E2C69" w:rsidRPr="001E2C69" w14:paraId="666EBC02" w14:textId="77777777" w:rsidTr="00CC5360">
        <w:trPr>
          <w:trHeight w:val="418"/>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4D065BDA" w14:textId="77777777" w:rsidR="00AE7191" w:rsidRPr="001E2C69" w:rsidRDefault="00AE7191" w:rsidP="00722885">
            <w:pPr>
              <w:pStyle w:val="a4"/>
              <w:rPr>
                <w:color w:val="000000" w:themeColor="text1"/>
                <w:lang w:val="ru-RU"/>
              </w:rPr>
            </w:pPr>
            <w:r w:rsidRPr="001E2C69">
              <w:rPr>
                <w:color w:val="000000" w:themeColor="text1"/>
                <w:lang w:val="ru-RU"/>
              </w:rPr>
              <w:t>Двигатель: тип - взлетная мощность, л.с.</w:t>
            </w:r>
          </w:p>
        </w:tc>
        <w:tc>
          <w:tcPr>
            <w:tcW w:w="6606" w:type="dxa"/>
            <w:gridSpan w:val="4"/>
            <w:tcBorders>
              <w:top w:val="single" w:sz="6" w:space="0" w:color="auto"/>
              <w:left w:val="single" w:sz="6" w:space="0" w:color="auto"/>
              <w:bottom w:val="single" w:sz="6" w:space="0" w:color="auto"/>
              <w:right w:val="single" w:sz="6" w:space="0" w:color="auto"/>
            </w:tcBorders>
            <w:shd w:val="clear" w:color="auto" w:fill="FFFFFF"/>
          </w:tcPr>
          <w:p w14:paraId="07FEA51F" w14:textId="77777777" w:rsidR="00AE7191" w:rsidRPr="001E2C69" w:rsidRDefault="00AE7191" w:rsidP="00722885">
            <w:pPr>
              <w:pStyle w:val="a4"/>
              <w:rPr>
                <w:color w:val="000000" w:themeColor="text1"/>
              </w:rPr>
            </w:pPr>
            <w:r w:rsidRPr="001E2C69">
              <w:rPr>
                <w:color w:val="000000" w:themeColor="text1"/>
              </w:rPr>
              <w:t>АМ-35А 1350</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4F115174" w14:textId="77777777" w:rsidR="00AE7191" w:rsidRPr="001E2C69" w:rsidRDefault="00AE7191" w:rsidP="00722885">
            <w:pPr>
              <w:pStyle w:val="a4"/>
              <w:rPr>
                <w:color w:val="000000" w:themeColor="text1"/>
              </w:rPr>
            </w:pPr>
            <w:r w:rsidRPr="001E2C69">
              <w:rPr>
                <w:color w:val="000000" w:themeColor="text1"/>
              </w:rPr>
              <w:t>М-82А 1600</w:t>
            </w:r>
          </w:p>
        </w:tc>
      </w:tr>
      <w:tr w:rsidR="001E2C69" w:rsidRPr="001E2C69" w14:paraId="14D9A2A5" w14:textId="77777777" w:rsidTr="00CC5360">
        <w:trPr>
          <w:trHeight w:val="742"/>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412F9602" w14:textId="77777777" w:rsidR="00AE7191" w:rsidRPr="001E2C69" w:rsidRDefault="00AE7191" w:rsidP="00722885">
            <w:pPr>
              <w:pStyle w:val="a4"/>
              <w:rPr>
                <w:color w:val="000000" w:themeColor="text1"/>
                <w:lang w:val="ru-RU"/>
              </w:rPr>
            </w:pPr>
            <w:r w:rsidRPr="001E2C69">
              <w:rPr>
                <w:color w:val="000000" w:themeColor="text1"/>
                <w:lang w:val="ru-RU"/>
              </w:rPr>
              <w:t>Масса, кг:</w:t>
            </w:r>
          </w:p>
          <w:p w14:paraId="599A992D" w14:textId="77777777" w:rsidR="00AE7191" w:rsidRPr="001E2C69" w:rsidRDefault="00AE7191" w:rsidP="00722885">
            <w:pPr>
              <w:pStyle w:val="a4"/>
              <w:tabs>
                <w:tab w:val="left" w:pos="224"/>
              </w:tabs>
              <w:rPr>
                <w:color w:val="000000" w:themeColor="text1"/>
                <w:lang w:val="ru-RU"/>
              </w:rPr>
            </w:pPr>
            <w:r w:rsidRPr="001E2C69">
              <w:rPr>
                <w:color w:val="000000" w:themeColor="text1"/>
                <w:lang w:val="ru-RU"/>
              </w:rPr>
              <w:t>-</w:t>
            </w:r>
            <w:r w:rsidRPr="001E2C69">
              <w:rPr>
                <w:color w:val="000000" w:themeColor="text1"/>
                <w:lang w:val="ru-RU"/>
              </w:rPr>
              <w:tab/>
              <w:t>пустого</w:t>
            </w:r>
          </w:p>
          <w:p w14:paraId="1AF33402" w14:textId="77777777" w:rsidR="00AE7191" w:rsidRPr="001E2C69" w:rsidRDefault="00AE7191" w:rsidP="00722885">
            <w:pPr>
              <w:pStyle w:val="a4"/>
              <w:tabs>
                <w:tab w:val="left" w:pos="224"/>
              </w:tabs>
              <w:rPr>
                <w:color w:val="000000" w:themeColor="text1"/>
                <w:lang w:val="ru-RU"/>
              </w:rPr>
            </w:pPr>
            <w:r w:rsidRPr="001E2C69">
              <w:rPr>
                <w:color w:val="000000" w:themeColor="text1"/>
                <w:lang w:val="ru-RU"/>
              </w:rPr>
              <w:t>-</w:t>
            </w:r>
            <w:r w:rsidRPr="001E2C69">
              <w:rPr>
                <w:color w:val="000000" w:themeColor="text1"/>
                <w:lang w:val="ru-RU"/>
              </w:rPr>
              <w:tab/>
              <w:t>взлетная нормальная</w:t>
            </w:r>
          </w:p>
          <w:p w14:paraId="7F1EF056" w14:textId="77777777" w:rsidR="00AE7191" w:rsidRPr="001E2C69" w:rsidRDefault="00AE7191" w:rsidP="00722885">
            <w:pPr>
              <w:pStyle w:val="a4"/>
              <w:tabs>
                <w:tab w:val="left" w:pos="224"/>
              </w:tabs>
              <w:rPr>
                <w:color w:val="000000" w:themeColor="text1"/>
                <w:lang w:val="ru-RU"/>
              </w:rPr>
            </w:pPr>
            <w:r w:rsidRPr="001E2C69">
              <w:rPr>
                <w:color w:val="000000" w:themeColor="text1"/>
                <w:lang w:val="ru-RU"/>
              </w:rPr>
              <w:t>-</w:t>
            </w:r>
            <w:r w:rsidRPr="001E2C69">
              <w:rPr>
                <w:color w:val="000000" w:themeColor="text1"/>
                <w:lang w:val="ru-RU"/>
              </w:rPr>
              <w:tab/>
              <w:t>взлетная максимальная</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60F71B9C" w14:textId="77777777" w:rsidR="00AE7191" w:rsidRPr="001E2C69" w:rsidRDefault="00AE7191" w:rsidP="00722885">
            <w:pPr>
              <w:pStyle w:val="a4"/>
              <w:rPr>
                <w:color w:val="000000" w:themeColor="text1"/>
              </w:rPr>
            </w:pPr>
            <w:r w:rsidRPr="001E2C69">
              <w:rPr>
                <w:color w:val="000000" w:themeColor="text1"/>
              </w:rPr>
              <w:t>2475 2968 н.д.</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02EB1FFE" w14:textId="77777777" w:rsidR="00AE7191" w:rsidRPr="001E2C69" w:rsidRDefault="00AE7191" w:rsidP="00722885">
            <w:pPr>
              <w:pStyle w:val="a4"/>
              <w:rPr>
                <w:color w:val="000000" w:themeColor="text1"/>
              </w:rPr>
            </w:pPr>
            <w:r w:rsidRPr="001E2C69">
              <w:rPr>
                <w:color w:val="000000" w:themeColor="text1"/>
              </w:rPr>
              <w:t>2602 3099 н.д.</w:t>
            </w:r>
          </w:p>
        </w:tc>
        <w:tc>
          <w:tcPr>
            <w:tcW w:w="1991" w:type="dxa"/>
            <w:tcBorders>
              <w:top w:val="single" w:sz="6" w:space="0" w:color="auto"/>
              <w:left w:val="single" w:sz="6" w:space="0" w:color="auto"/>
              <w:bottom w:val="single" w:sz="6" w:space="0" w:color="auto"/>
              <w:right w:val="single" w:sz="6" w:space="0" w:color="auto"/>
            </w:tcBorders>
            <w:shd w:val="clear" w:color="auto" w:fill="FFFFFF"/>
          </w:tcPr>
          <w:p w14:paraId="11371178" w14:textId="77777777" w:rsidR="00AE7191" w:rsidRPr="001E2C69" w:rsidRDefault="00AE7191" w:rsidP="00722885">
            <w:pPr>
              <w:pStyle w:val="a4"/>
              <w:rPr>
                <w:color w:val="000000" w:themeColor="text1"/>
              </w:rPr>
            </w:pPr>
            <w:r w:rsidRPr="001E2C69">
              <w:rPr>
                <w:color w:val="000000" w:themeColor="text1"/>
              </w:rPr>
              <w:t>2699 3355 3555</w:t>
            </w:r>
          </w:p>
        </w:tc>
        <w:tc>
          <w:tcPr>
            <w:tcW w:w="1966" w:type="dxa"/>
            <w:tcBorders>
              <w:top w:val="single" w:sz="6" w:space="0" w:color="auto"/>
              <w:left w:val="single" w:sz="6" w:space="0" w:color="auto"/>
              <w:bottom w:val="single" w:sz="6" w:space="0" w:color="auto"/>
              <w:right w:val="single" w:sz="6" w:space="0" w:color="auto"/>
            </w:tcBorders>
            <w:shd w:val="clear" w:color="auto" w:fill="FFFFFF"/>
          </w:tcPr>
          <w:p w14:paraId="08A5D2EF" w14:textId="77777777" w:rsidR="00AE7191" w:rsidRPr="001E2C69" w:rsidRDefault="00AE7191" w:rsidP="00722885">
            <w:pPr>
              <w:pStyle w:val="a4"/>
              <w:rPr>
                <w:color w:val="000000" w:themeColor="text1"/>
              </w:rPr>
            </w:pPr>
            <w:r w:rsidRPr="001E2C69">
              <w:rPr>
                <w:color w:val="000000" w:themeColor="text1"/>
              </w:rPr>
              <w:t>Н.д. 3299 3499</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5C99D6FD" w14:textId="77777777" w:rsidR="00AE7191" w:rsidRPr="001E2C69" w:rsidRDefault="00AE7191" w:rsidP="00722885">
            <w:pPr>
              <w:pStyle w:val="a4"/>
              <w:rPr>
                <w:color w:val="000000" w:themeColor="text1"/>
              </w:rPr>
            </w:pPr>
            <w:r w:rsidRPr="001E2C69">
              <w:rPr>
                <w:color w:val="000000" w:themeColor="text1"/>
              </w:rPr>
              <w:t>2720 3382 н.д.</w:t>
            </w:r>
          </w:p>
        </w:tc>
      </w:tr>
      <w:tr w:rsidR="001E2C69" w:rsidRPr="001E2C69" w14:paraId="617174A3" w14:textId="77777777" w:rsidTr="00CC5360">
        <w:trPr>
          <w:trHeight w:val="576"/>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7C415BA5" w14:textId="77777777" w:rsidR="00AE7191" w:rsidRPr="001E2C69" w:rsidRDefault="00AE7191" w:rsidP="00722885">
            <w:pPr>
              <w:pStyle w:val="a4"/>
              <w:rPr>
                <w:color w:val="000000" w:themeColor="text1"/>
                <w:lang w:val="ru-RU"/>
              </w:rPr>
            </w:pPr>
            <w:r w:rsidRPr="001E2C69">
              <w:rPr>
                <w:color w:val="000000" w:themeColor="text1"/>
                <w:lang w:val="ru-RU"/>
              </w:rPr>
              <w:t>Макс, скорость, км/ч:</w:t>
            </w:r>
          </w:p>
          <w:p w14:paraId="7265C29F" w14:textId="77777777" w:rsidR="00AE7191" w:rsidRPr="001E2C69" w:rsidRDefault="00AE7191" w:rsidP="00722885">
            <w:pPr>
              <w:pStyle w:val="a4"/>
              <w:tabs>
                <w:tab w:val="left" w:pos="217"/>
              </w:tabs>
              <w:rPr>
                <w:color w:val="000000" w:themeColor="text1"/>
                <w:lang w:val="ru-RU"/>
              </w:rPr>
            </w:pPr>
            <w:r w:rsidRPr="001E2C69">
              <w:rPr>
                <w:color w:val="000000" w:themeColor="text1"/>
                <w:lang w:val="ru-RU"/>
              </w:rPr>
              <w:t>-</w:t>
            </w:r>
            <w:r w:rsidRPr="001E2C69">
              <w:rPr>
                <w:color w:val="000000" w:themeColor="text1"/>
                <w:lang w:val="ru-RU"/>
              </w:rPr>
              <w:tab/>
              <w:t>у земли</w:t>
            </w:r>
          </w:p>
          <w:p w14:paraId="44E84D5D" w14:textId="77777777" w:rsidR="00AE7191" w:rsidRPr="001E2C69" w:rsidRDefault="00AE7191" w:rsidP="00722885">
            <w:pPr>
              <w:pStyle w:val="a4"/>
              <w:tabs>
                <w:tab w:val="left" w:pos="224"/>
              </w:tabs>
              <w:rPr>
                <w:color w:val="000000" w:themeColor="text1"/>
              </w:rPr>
            </w:pPr>
            <w:r w:rsidRPr="001E2C69">
              <w:rPr>
                <w:color w:val="000000" w:themeColor="text1"/>
              </w:rPr>
              <w:t>-</w:t>
            </w:r>
            <w:r w:rsidRPr="001E2C69">
              <w:rPr>
                <w:color w:val="000000" w:themeColor="text1"/>
              </w:rPr>
              <w:tab/>
              <w:t>на высоте (м)</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1EECCF84" w14:textId="77777777" w:rsidR="00AE7191" w:rsidRPr="001E2C69" w:rsidRDefault="00AE7191" w:rsidP="00722885">
            <w:pPr>
              <w:pStyle w:val="a4"/>
              <w:rPr>
                <w:color w:val="000000" w:themeColor="text1"/>
              </w:rPr>
            </w:pPr>
            <w:r w:rsidRPr="001E2C69">
              <w:rPr>
                <w:color w:val="000000" w:themeColor="text1"/>
              </w:rPr>
              <w:t>508 648 (7000)</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7DE1AF8D" w14:textId="77777777" w:rsidR="00AE7191" w:rsidRPr="001E2C69" w:rsidRDefault="00AE7191" w:rsidP="00722885">
            <w:pPr>
              <w:pStyle w:val="a4"/>
              <w:rPr>
                <w:color w:val="000000" w:themeColor="text1"/>
              </w:rPr>
            </w:pPr>
            <w:r w:rsidRPr="001E2C69">
              <w:rPr>
                <w:color w:val="000000" w:themeColor="text1"/>
              </w:rPr>
              <w:t>521 626 (7000)</w:t>
            </w:r>
          </w:p>
        </w:tc>
        <w:tc>
          <w:tcPr>
            <w:tcW w:w="1991" w:type="dxa"/>
            <w:tcBorders>
              <w:top w:val="single" w:sz="6" w:space="0" w:color="auto"/>
              <w:left w:val="single" w:sz="6" w:space="0" w:color="auto"/>
              <w:bottom w:val="single" w:sz="6" w:space="0" w:color="auto"/>
              <w:right w:val="single" w:sz="6" w:space="0" w:color="auto"/>
            </w:tcBorders>
            <w:shd w:val="clear" w:color="auto" w:fill="FFFFFF"/>
          </w:tcPr>
          <w:p w14:paraId="5618A1B1" w14:textId="77777777" w:rsidR="00AE7191" w:rsidRPr="001E2C69" w:rsidRDefault="00AE7191" w:rsidP="00722885">
            <w:pPr>
              <w:pStyle w:val="a4"/>
              <w:rPr>
                <w:color w:val="000000" w:themeColor="text1"/>
              </w:rPr>
            </w:pPr>
            <w:r w:rsidRPr="001E2C69">
              <w:rPr>
                <w:color w:val="000000" w:themeColor="text1"/>
              </w:rPr>
              <w:t>495 640(7800)</w:t>
            </w:r>
          </w:p>
        </w:tc>
        <w:tc>
          <w:tcPr>
            <w:tcW w:w="1966" w:type="dxa"/>
            <w:tcBorders>
              <w:top w:val="single" w:sz="6" w:space="0" w:color="auto"/>
              <w:left w:val="single" w:sz="6" w:space="0" w:color="auto"/>
              <w:bottom w:val="single" w:sz="6" w:space="0" w:color="auto"/>
              <w:right w:val="single" w:sz="6" w:space="0" w:color="auto"/>
            </w:tcBorders>
            <w:shd w:val="clear" w:color="auto" w:fill="FFFFFF"/>
          </w:tcPr>
          <w:p w14:paraId="09FFEBAE" w14:textId="77777777" w:rsidR="00AE7191" w:rsidRPr="001E2C69" w:rsidRDefault="00AE7191" w:rsidP="00722885">
            <w:pPr>
              <w:pStyle w:val="a4"/>
              <w:rPr>
                <w:color w:val="000000" w:themeColor="text1"/>
              </w:rPr>
            </w:pPr>
            <w:r w:rsidRPr="001E2C69">
              <w:rPr>
                <w:color w:val="000000" w:themeColor="text1"/>
              </w:rPr>
              <w:t>466 615,5(7800)</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3A0126A9" w14:textId="77777777" w:rsidR="00AE7191" w:rsidRPr="001E2C69" w:rsidRDefault="00AE7191" w:rsidP="00722885">
            <w:pPr>
              <w:pStyle w:val="a4"/>
              <w:rPr>
                <w:color w:val="000000" w:themeColor="text1"/>
              </w:rPr>
            </w:pPr>
            <w:r w:rsidRPr="001E2C69">
              <w:rPr>
                <w:color w:val="000000" w:themeColor="text1"/>
              </w:rPr>
              <w:t>475</w:t>
            </w:r>
          </w:p>
          <w:p w14:paraId="593500ED" w14:textId="77777777" w:rsidR="00AE7191" w:rsidRPr="001E2C69" w:rsidRDefault="00AE7191" w:rsidP="00722885">
            <w:pPr>
              <w:pStyle w:val="a4"/>
              <w:rPr>
                <w:color w:val="000000" w:themeColor="text1"/>
              </w:rPr>
            </w:pPr>
            <w:r w:rsidRPr="001E2C69">
              <w:rPr>
                <w:color w:val="000000" w:themeColor="text1"/>
              </w:rPr>
              <w:t>565 (н.д.)</w:t>
            </w:r>
          </w:p>
        </w:tc>
      </w:tr>
      <w:tr w:rsidR="001E2C69" w:rsidRPr="001E2C69" w14:paraId="4E755CD8" w14:textId="77777777" w:rsidTr="00CC5360">
        <w:trPr>
          <w:trHeight w:val="259"/>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58948AAC" w14:textId="77777777" w:rsidR="00AE7191" w:rsidRPr="001E2C69" w:rsidRDefault="00AE7191" w:rsidP="00722885">
            <w:pPr>
              <w:pStyle w:val="a4"/>
              <w:rPr>
                <w:color w:val="000000" w:themeColor="text1"/>
              </w:rPr>
            </w:pPr>
            <w:r w:rsidRPr="001E2C69">
              <w:rPr>
                <w:color w:val="000000" w:themeColor="text1"/>
              </w:rPr>
              <w:t>Практический потолок, м</w:t>
            </w:r>
          </w:p>
        </w:tc>
        <w:tc>
          <w:tcPr>
            <w:tcW w:w="4640" w:type="dxa"/>
            <w:gridSpan w:val="3"/>
            <w:tcBorders>
              <w:top w:val="single" w:sz="6" w:space="0" w:color="auto"/>
              <w:left w:val="single" w:sz="6" w:space="0" w:color="auto"/>
              <w:bottom w:val="single" w:sz="6" w:space="0" w:color="auto"/>
              <w:right w:val="single" w:sz="6" w:space="0" w:color="auto"/>
            </w:tcBorders>
            <w:shd w:val="clear" w:color="auto" w:fill="FFFFFF"/>
          </w:tcPr>
          <w:p w14:paraId="5598D32E" w14:textId="77777777" w:rsidR="00AE7191" w:rsidRPr="001E2C69" w:rsidRDefault="00AE7191" w:rsidP="00722885">
            <w:pPr>
              <w:pStyle w:val="a4"/>
              <w:rPr>
                <w:color w:val="000000" w:themeColor="text1"/>
              </w:rPr>
            </w:pPr>
            <w:r w:rsidRPr="001E2C69">
              <w:rPr>
                <w:color w:val="000000" w:themeColor="text1"/>
              </w:rPr>
              <w:t>12000</w:t>
            </w:r>
          </w:p>
        </w:tc>
        <w:tc>
          <w:tcPr>
            <w:tcW w:w="1966" w:type="dxa"/>
            <w:tcBorders>
              <w:top w:val="single" w:sz="6" w:space="0" w:color="auto"/>
              <w:left w:val="single" w:sz="6" w:space="0" w:color="auto"/>
              <w:bottom w:val="single" w:sz="6" w:space="0" w:color="auto"/>
              <w:right w:val="single" w:sz="6" w:space="0" w:color="auto"/>
            </w:tcBorders>
            <w:shd w:val="clear" w:color="auto" w:fill="FFFFFF"/>
          </w:tcPr>
          <w:p w14:paraId="62EA7EB9" w14:textId="77777777" w:rsidR="00AE7191" w:rsidRPr="001E2C69" w:rsidRDefault="00AE7191" w:rsidP="00722885">
            <w:pPr>
              <w:pStyle w:val="a4"/>
              <w:rPr>
                <w:color w:val="000000" w:themeColor="text1"/>
              </w:rPr>
            </w:pPr>
            <w:r w:rsidRPr="001E2C69">
              <w:rPr>
                <w:color w:val="000000" w:themeColor="text1"/>
              </w:rPr>
              <w:t>11500</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590C7871" w14:textId="77777777" w:rsidR="00AE7191" w:rsidRPr="001E2C69" w:rsidRDefault="00AE7191" w:rsidP="00722885">
            <w:pPr>
              <w:pStyle w:val="a4"/>
              <w:rPr>
                <w:color w:val="000000" w:themeColor="text1"/>
              </w:rPr>
            </w:pPr>
            <w:r w:rsidRPr="001E2C69">
              <w:rPr>
                <w:color w:val="000000" w:themeColor="text1"/>
              </w:rPr>
              <w:t>8700</w:t>
            </w:r>
          </w:p>
        </w:tc>
      </w:tr>
      <w:tr w:rsidR="001E2C69" w:rsidRPr="001E2C69" w14:paraId="11724C07" w14:textId="77777777" w:rsidTr="00CC5360">
        <w:trPr>
          <w:trHeight w:val="263"/>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0777A37D" w14:textId="77777777" w:rsidR="00AE7191" w:rsidRPr="001E2C69" w:rsidRDefault="00AE7191" w:rsidP="00722885">
            <w:pPr>
              <w:pStyle w:val="a4"/>
              <w:rPr>
                <w:color w:val="000000" w:themeColor="text1"/>
              </w:rPr>
            </w:pPr>
            <w:r w:rsidRPr="001E2C69">
              <w:rPr>
                <w:color w:val="000000" w:themeColor="text1"/>
              </w:rPr>
              <w:t>Дальность (с ПТБ), км</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13C79DCC" w14:textId="77777777" w:rsidR="00AE7191" w:rsidRPr="001E2C69" w:rsidRDefault="00AE7191" w:rsidP="00722885">
            <w:pPr>
              <w:pStyle w:val="a4"/>
              <w:rPr>
                <w:color w:val="000000" w:themeColor="text1"/>
              </w:rPr>
            </w:pPr>
            <w:r w:rsidRPr="001E2C69">
              <w:rPr>
                <w:color w:val="000000" w:themeColor="text1"/>
              </w:rPr>
              <w:t>730</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6BFD551A" w14:textId="77777777" w:rsidR="00AE7191" w:rsidRPr="001E2C69" w:rsidRDefault="00AE7191" w:rsidP="00722885">
            <w:pPr>
              <w:pStyle w:val="a4"/>
              <w:rPr>
                <w:color w:val="000000" w:themeColor="text1"/>
              </w:rPr>
            </w:pPr>
            <w:r w:rsidRPr="001E2C69">
              <w:rPr>
                <w:color w:val="000000" w:themeColor="text1"/>
              </w:rPr>
              <w:t>576</w:t>
            </w:r>
          </w:p>
        </w:tc>
        <w:tc>
          <w:tcPr>
            <w:tcW w:w="1991" w:type="dxa"/>
            <w:tcBorders>
              <w:top w:val="single" w:sz="6" w:space="0" w:color="auto"/>
              <w:left w:val="single" w:sz="6" w:space="0" w:color="auto"/>
              <w:bottom w:val="single" w:sz="6" w:space="0" w:color="auto"/>
              <w:right w:val="single" w:sz="6" w:space="0" w:color="auto"/>
            </w:tcBorders>
            <w:shd w:val="clear" w:color="auto" w:fill="FFFFFF"/>
          </w:tcPr>
          <w:p w14:paraId="70B6B6E9" w14:textId="77777777" w:rsidR="00AE7191" w:rsidRPr="001E2C69" w:rsidRDefault="00AE7191" w:rsidP="00722885">
            <w:pPr>
              <w:pStyle w:val="a4"/>
              <w:rPr>
                <w:color w:val="000000" w:themeColor="text1"/>
              </w:rPr>
            </w:pPr>
            <w:r w:rsidRPr="001E2C69">
              <w:rPr>
                <w:color w:val="000000" w:themeColor="text1"/>
              </w:rPr>
              <w:t>820(1250)</w:t>
            </w:r>
          </w:p>
        </w:tc>
        <w:tc>
          <w:tcPr>
            <w:tcW w:w="1966" w:type="dxa"/>
            <w:tcBorders>
              <w:top w:val="single" w:sz="6" w:space="0" w:color="auto"/>
              <w:left w:val="single" w:sz="6" w:space="0" w:color="auto"/>
              <w:bottom w:val="single" w:sz="6" w:space="0" w:color="auto"/>
              <w:right w:val="single" w:sz="6" w:space="0" w:color="auto"/>
            </w:tcBorders>
            <w:shd w:val="clear" w:color="auto" w:fill="FFFFFF"/>
          </w:tcPr>
          <w:p w14:paraId="2C93FB36" w14:textId="77777777" w:rsidR="00AE7191" w:rsidRPr="001E2C69" w:rsidRDefault="00AE7191" w:rsidP="00722885">
            <w:pPr>
              <w:pStyle w:val="a4"/>
              <w:rPr>
                <w:color w:val="000000" w:themeColor="text1"/>
              </w:rPr>
            </w:pPr>
            <w:r w:rsidRPr="001E2C69">
              <w:rPr>
                <w:color w:val="000000" w:themeColor="text1"/>
              </w:rPr>
              <w:t>628</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4419161E" w14:textId="77777777" w:rsidR="00AE7191" w:rsidRPr="001E2C69" w:rsidRDefault="00AE7191" w:rsidP="00722885">
            <w:pPr>
              <w:pStyle w:val="a4"/>
              <w:rPr>
                <w:color w:val="000000" w:themeColor="text1"/>
              </w:rPr>
            </w:pPr>
            <w:r w:rsidRPr="001E2C69">
              <w:rPr>
                <w:color w:val="000000" w:themeColor="text1"/>
              </w:rPr>
              <w:t>1070</w:t>
            </w:r>
          </w:p>
        </w:tc>
      </w:tr>
      <w:tr w:rsidR="001E2C69" w:rsidRPr="001E2C69" w14:paraId="4A467E47" w14:textId="77777777" w:rsidTr="00CC5360">
        <w:trPr>
          <w:trHeight w:val="259"/>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68DB54D3" w14:textId="77777777" w:rsidR="00AE7191" w:rsidRPr="001E2C69" w:rsidRDefault="00AE7191" w:rsidP="00722885">
            <w:pPr>
              <w:pStyle w:val="a4"/>
              <w:rPr>
                <w:color w:val="000000" w:themeColor="text1"/>
                <w:lang w:val="ru-RU"/>
              </w:rPr>
            </w:pPr>
            <w:r w:rsidRPr="001E2C69">
              <w:rPr>
                <w:color w:val="000000" w:themeColor="text1"/>
                <w:lang w:val="ru-RU"/>
              </w:rPr>
              <w:t>Время набора высоты (м), мин</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415209E7" w14:textId="77777777" w:rsidR="00AE7191" w:rsidRPr="001E2C69" w:rsidRDefault="00AE7191" w:rsidP="00722885">
            <w:pPr>
              <w:pStyle w:val="a4"/>
              <w:rPr>
                <w:color w:val="000000" w:themeColor="text1"/>
              </w:rPr>
            </w:pPr>
            <w:r w:rsidRPr="001E2C69">
              <w:rPr>
                <w:color w:val="000000" w:themeColor="text1"/>
              </w:rPr>
              <w:t>5,3 (5000)</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0352C84D" w14:textId="77777777" w:rsidR="00AE7191" w:rsidRPr="001E2C69" w:rsidRDefault="00AE7191" w:rsidP="00722885">
            <w:pPr>
              <w:pStyle w:val="a4"/>
              <w:rPr>
                <w:color w:val="000000" w:themeColor="text1"/>
              </w:rPr>
            </w:pPr>
            <w:r w:rsidRPr="001E2C69">
              <w:rPr>
                <w:color w:val="000000" w:themeColor="text1"/>
              </w:rPr>
              <w:t>5,3 (5000)</w:t>
            </w:r>
          </w:p>
        </w:tc>
        <w:tc>
          <w:tcPr>
            <w:tcW w:w="1991" w:type="dxa"/>
            <w:tcBorders>
              <w:top w:val="single" w:sz="6" w:space="0" w:color="auto"/>
              <w:left w:val="single" w:sz="6" w:space="0" w:color="auto"/>
              <w:bottom w:val="single" w:sz="6" w:space="0" w:color="auto"/>
              <w:right w:val="single" w:sz="6" w:space="0" w:color="auto"/>
            </w:tcBorders>
            <w:shd w:val="clear" w:color="auto" w:fill="FFFFFF"/>
          </w:tcPr>
          <w:p w14:paraId="19DADC3C" w14:textId="77777777" w:rsidR="00AE7191" w:rsidRPr="001E2C69" w:rsidRDefault="00AE7191" w:rsidP="00722885">
            <w:pPr>
              <w:pStyle w:val="a4"/>
              <w:rPr>
                <w:color w:val="000000" w:themeColor="text1"/>
              </w:rPr>
            </w:pPr>
            <w:r w:rsidRPr="001E2C69">
              <w:rPr>
                <w:color w:val="000000" w:themeColor="text1"/>
              </w:rPr>
              <w:t>6,5(5000), 10,28(8000)</w:t>
            </w:r>
          </w:p>
        </w:tc>
        <w:tc>
          <w:tcPr>
            <w:tcW w:w="1966" w:type="dxa"/>
            <w:tcBorders>
              <w:top w:val="single" w:sz="6" w:space="0" w:color="auto"/>
              <w:left w:val="single" w:sz="6" w:space="0" w:color="auto"/>
              <w:bottom w:val="single" w:sz="6" w:space="0" w:color="auto"/>
              <w:right w:val="single" w:sz="6" w:space="0" w:color="auto"/>
            </w:tcBorders>
            <w:shd w:val="clear" w:color="auto" w:fill="FFFFFF"/>
          </w:tcPr>
          <w:p w14:paraId="7C3FAE5B" w14:textId="77777777" w:rsidR="00AE7191" w:rsidRPr="001E2C69" w:rsidRDefault="00AE7191" w:rsidP="00722885">
            <w:pPr>
              <w:pStyle w:val="a4"/>
              <w:rPr>
                <w:color w:val="000000" w:themeColor="text1"/>
              </w:rPr>
            </w:pPr>
            <w:r w:rsidRPr="001E2C69">
              <w:rPr>
                <w:color w:val="000000" w:themeColor="text1"/>
              </w:rPr>
              <w:t>12,4(8000)</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3210D19F" w14:textId="77777777" w:rsidR="00AE7191" w:rsidRPr="001E2C69" w:rsidRDefault="00AE7191" w:rsidP="00722885">
            <w:pPr>
              <w:pStyle w:val="a4"/>
              <w:rPr>
                <w:color w:val="000000" w:themeColor="text1"/>
              </w:rPr>
            </w:pPr>
            <w:r w:rsidRPr="001E2C69">
              <w:rPr>
                <w:color w:val="000000" w:themeColor="text1"/>
              </w:rPr>
              <w:t>6,7 (5000)</w:t>
            </w:r>
          </w:p>
        </w:tc>
      </w:tr>
      <w:tr w:rsidR="001E2C69" w:rsidRPr="001E2C69" w14:paraId="5D4B0D1B" w14:textId="77777777" w:rsidTr="00CC5360">
        <w:trPr>
          <w:trHeight w:val="259"/>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0D674881" w14:textId="77777777" w:rsidR="00AE7191" w:rsidRPr="001E2C69" w:rsidRDefault="00AE7191" w:rsidP="00722885">
            <w:pPr>
              <w:pStyle w:val="a4"/>
              <w:rPr>
                <w:color w:val="000000" w:themeColor="text1"/>
              </w:rPr>
            </w:pPr>
            <w:r w:rsidRPr="001E2C69">
              <w:rPr>
                <w:color w:val="000000" w:themeColor="text1"/>
              </w:rPr>
              <w:t>Время выполнения виража, с</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4E55471E" w14:textId="77777777" w:rsidR="00AE7191" w:rsidRPr="001E2C69" w:rsidRDefault="00AE7191" w:rsidP="00722885">
            <w:pPr>
              <w:pStyle w:val="a4"/>
              <w:rPr>
                <w:color w:val="000000" w:themeColor="text1"/>
              </w:rPr>
            </w:pPr>
            <w:r w:rsidRPr="001E2C69">
              <w:rPr>
                <w:color w:val="000000" w:themeColor="text1"/>
              </w:rPr>
              <w:t>26-27</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389623F7" w14:textId="77777777" w:rsidR="00AE7191" w:rsidRPr="001E2C69" w:rsidRDefault="00AE7191" w:rsidP="00722885">
            <w:pPr>
              <w:pStyle w:val="a4"/>
              <w:rPr>
                <w:color w:val="000000" w:themeColor="text1"/>
              </w:rPr>
            </w:pPr>
            <w:r w:rsidRPr="001E2C69">
              <w:rPr>
                <w:color w:val="000000" w:themeColor="text1"/>
              </w:rPr>
              <w:t>н.д.</w:t>
            </w:r>
          </w:p>
        </w:tc>
        <w:tc>
          <w:tcPr>
            <w:tcW w:w="1991" w:type="dxa"/>
            <w:tcBorders>
              <w:top w:val="single" w:sz="6" w:space="0" w:color="auto"/>
              <w:left w:val="single" w:sz="6" w:space="0" w:color="auto"/>
              <w:bottom w:val="single" w:sz="6" w:space="0" w:color="auto"/>
              <w:right w:val="single" w:sz="6" w:space="0" w:color="auto"/>
            </w:tcBorders>
            <w:shd w:val="clear" w:color="auto" w:fill="FFFFFF"/>
          </w:tcPr>
          <w:p w14:paraId="72EE7AF1" w14:textId="77777777" w:rsidR="00AE7191" w:rsidRPr="001E2C69" w:rsidRDefault="00AE7191" w:rsidP="00722885">
            <w:pPr>
              <w:pStyle w:val="a4"/>
              <w:rPr>
                <w:color w:val="000000" w:themeColor="text1"/>
              </w:rPr>
            </w:pPr>
            <w:r w:rsidRPr="001E2C69">
              <w:rPr>
                <w:color w:val="000000" w:themeColor="text1"/>
              </w:rPr>
              <w:t>25-26</w:t>
            </w:r>
          </w:p>
        </w:tc>
        <w:tc>
          <w:tcPr>
            <w:tcW w:w="1966" w:type="dxa"/>
            <w:tcBorders>
              <w:top w:val="single" w:sz="6" w:space="0" w:color="auto"/>
              <w:left w:val="single" w:sz="6" w:space="0" w:color="auto"/>
              <w:bottom w:val="single" w:sz="6" w:space="0" w:color="auto"/>
              <w:right w:val="single" w:sz="6" w:space="0" w:color="auto"/>
            </w:tcBorders>
            <w:shd w:val="clear" w:color="auto" w:fill="FFFFFF"/>
          </w:tcPr>
          <w:p w14:paraId="41EF62F1" w14:textId="77777777" w:rsidR="00AE7191" w:rsidRPr="001E2C69" w:rsidRDefault="00AE7191" w:rsidP="00722885">
            <w:pPr>
              <w:pStyle w:val="a4"/>
              <w:rPr>
                <w:color w:val="000000" w:themeColor="text1"/>
              </w:rPr>
            </w:pPr>
            <w:r w:rsidRPr="001E2C69">
              <w:rPr>
                <w:color w:val="000000" w:themeColor="text1"/>
              </w:rPr>
              <w:t>22</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17B386E7" w14:textId="77777777" w:rsidR="00AE7191" w:rsidRPr="001E2C69" w:rsidRDefault="00AE7191" w:rsidP="00722885">
            <w:pPr>
              <w:pStyle w:val="260"/>
              <w:shd w:val="clear" w:color="auto" w:fill="auto"/>
              <w:spacing w:line="240" w:lineRule="auto"/>
              <w:jc w:val="both"/>
              <w:rPr>
                <w:rFonts w:ascii="Times New Roman" w:hAnsi="Times New Roman" w:cs="Times New Roman"/>
                <w:b w:val="0"/>
                <w:color w:val="000000" w:themeColor="text1"/>
                <w:sz w:val="16"/>
                <w:szCs w:val="16"/>
              </w:rPr>
            </w:pPr>
            <w:r w:rsidRPr="001E2C69">
              <w:rPr>
                <w:rFonts w:ascii="Times New Roman" w:hAnsi="Times New Roman" w:cs="Times New Roman"/>
                <w:b w:val="0"/>
                <w:color w:val="000000" w:themeColor="text1"/>
                <w:sz w:val="16"/>
                <w:szCs w:val="16"/>
              </w:rPr>
              <w:t>н.Д.</w:t>
            </w:r>
          </w:p>
        </w:tc>
      </w:tr>
      <w:tr w:rsidR="001E2C69" w:rsidRPr="001E2C69" w14:paraId="2D9BE89F" w14:textId="77777777" w:rsidTr="00CC5360">
        <w:trPr>
          <w:trHeight w:val="274"/>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23429FB3" w14:textId="77777777" w:rsidR="00AE7191" w:rsidRPr="001E2C69" w:rsidRDefault="00AE7191" w:rsidP="00722885">
            <w:pPr>
              <w:pStyle w:val="a4"/>
              <w:rPr>
                <w:color w:val="000000" w:themeColor="text1"/>
              </w:rPr>
            </w:pPr>
            <w:r w:rsidRPr="001E2C69">
              <w:rPr>
                <w:color w:val="000000" w:themeColor="text1"/>
              </w:rPr>
              <w:t>Длина разбега/пробега, м</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4DF5562A" w14:textId="77777777" w:rsidR="00AE7191" w:rsidRPr="001E2C69" w:rsidRDefault="00AE7191" w:rsidP="00722885">
            <w:pPr>
              <w:pStyle w:val="a4"/>
              <w:rPr>
                <w:color w:val="000000" w:themeColor="text1"/>
              </w:rPr>
            </w:pPr>
            <w:r w:rsidRPr="001E2C69">
              <w:rPr>
                <w:color w:val="000000" w:themeColor="text1"/>
              </w:rPr>
              <w:t>190/350</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57F775AE" w14:textId="77777777" w:rsidR="00AE7191" w:rsidRPr="001E2C69" w:rsidRDefault="00AE7191" w:rsidP="00722885">
            <w:pPr>
              <w:pStyle w:val="a4"/>
              <w:rPr>
                <w:color w:val="000000" w:themeColor="text1"/>
              </w:rPr>
            </w:pPr>
            <w:r w:rsidRPr="001E2C69">
              <w:rPr>
                <w:color w:val="000000" w:themeColor="text1"/>
              </w:rPr>
              <w:t>н.д.</w:t>
            </w:r>
          </w:p>
        </w:tc>
        <w:tc>
          <w:tcPr>
            <w:tcW w:w="1991" w:type="dxa"/>
            <w:tcBorders>
              <w:top w:val="single" w:sz="6" w:space="0" w:color="auto"/>
              <w:left w:val="single" w:sz="6" w:space="0" w:color="auto"/>
              <w:bottom w:val="single" w:sz="6" w:space="0" w:color="auto"/>
              <w:right w:val="single" w:sz="6" w:space="0" w:color="auto"/>
            </w:tcBorders>
            <w:shd w:val="clear" w:color="auto" w:fill="FFFFFF"/>
          </w:tcPr>
          <w:p w14:paraId="4B6A67AE" w14:textId="77777777" w:rsidR="00AE7191" w:rsidRPr="001E2C69" w:rsidRDefault="00AE7191" w:rsidP="00722885">
            <w:pPr>
              <w:pStyle w:val="a4"/>
              <w:rPr>
                <w:color w:val="000000" w:themeColor="text1"/>
              </w:rPr>
            </w:pPr>
            <w:r w:rsidRPr="001E2C69">
              <w:rPr>
                <w:color w:val="000000" w:themeColor="text1"/>
              </w:rPr>
              <w:t>347/410</w:t>
            </w:r>
          </w:p>
        </w:tc>
        <w:tc>
          <w:tcPr>
            <w:tcW w:w="1966" w:type="dxa"/>
            <w:tcBorders>
              <w:top w:val="single" w:sz="6" w:space="0" w:color="auto"/>
              <w:left w:val="single" w:sz="6" w:space="0" w:color="auto"/>
              <w:bottom w:val="single" w:sz="6" w:space="0" w:color="auto"/>
              <w:right w:val="single" w:sz="6" w:space="0" w:color="auto"/>
            </w:tcBorders>
            <w:shd w:val="clear" w:color="auto" w:fill="FFFFFF"/>
          </w:tcPr>
          <w:p w14:paraId="4C186563" w14:textId="77777777" w:rsidR="00AE7191" w:rsidRPr="001E2C69" w:rsidRDefault="00AE7191" w:rsidP="00722885">
            <w:pPr>
              <w:pStyle w:val="a4"/>
              <w:rPr>
                <w:color w:val="000000" w:themeColor="text1"/>
              </w:rPr>
            </w:pPr>
            <w:r w:rsidRPr="001E2C69">
              <w:rPr>
                <w:color w:val="000000" w:themeColor="text1"/>
              </w:rPr>
              <w:t>398/455</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5EF6655F" w14:textId="77777777" w:rsidR="00AE7191" w:rsidRPr="001E2C69" w:rsidRDefault="00AE7191" w:rsidP="00722885">
            <w:pPr>
              <w:pStyle w:val="a4"/>
              <w:rPr>
                <w:color w:val="000000" w:themeColor="text1"/>
              </w:rPr>
            </w:pPr>
            <w:r w:rsidRPr="001E2C69">
              <w:rPr>
                <w:color w:val="000000" w:themeColor="text1"/>
              </w:rPr>
              <w:t>н.д.</w:t>
            </w:r>
          </w:p>
        </w:tc>
      </w:tr>
    </w:tbl>
    <w:p w14:paraId="5137DFF2" w14:textId="77777777" w:rsidR="00AE7191" w:rsidRPr="001E2C69" w:rsidRDefault="00AE7191" w:rsidP="00722885">
      <w:pPr>
        <w:pStyle w:val="a4"/>
        <w:rPr>
          <w:color w:val="000000" w:themeColor="text1"/>
          <w:lang w:val="ru-RU"/>
        </w:rPr>
      </w:pPr>
      <w:r w:rsidRPr="001E2C69">
        <w:rPr>
          <w:color w:val="000000" w:themeColor="text1"/>
          <w:lang w:val="ru-RU"/>
        </w:rPr>
        <w:t>(11938).</w:t>
      </w:r>
    </w:p>
    <w:p w14:paraId="67972BFE" w14:textId="77777777" w:rsidR="00AE7191" w:rsidRPr="001E2C69" w:rsidRDefault="00AE7191" w:rsidP="00722885">
      <w:pPr>
        <w:pStyle w:val="a4"/>
        <w:rPr>
          <w:color w:val="000000" w:themeColor="text1"/>
          <w:lang w:val="ru-RU"/>
        </w:rPr>
      </w:pPr>
    </w:p>
    <w:p w14:paraId="2D7F8A63"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lang w:val="en-US"/>
        </w:rPr>
        <w:t>August 4, 1942: Advance units of 4.Panzerarmee (von Hoth) cross the Aksai river in their drive toward Stalingrad (3819).</w:t>
      </w:r>
    </w:p>
    <w:p w14:paraId="10ECCD03" w14:textId="77777777" w:rsidR="00AE7191" w:rsidRPr="001E2C69" w:rsidRDefault="00AE7191" w:rsidP="00722885">
      <w:pPr>
        <w:pStyle w:val="Iauiue"/>
        <w:jc w:val="both"/>
        <w:rPr>
          <w:color w:val="000000" w:themeColor="text1"/>
          <w:sz w:val="16"/>
          <w:szCs w:val="16"/>
          <w:lang w:val="en-US"/>
        </w:rPr>
      </w:pPr>
    </w:p>
    <w:p w14:paraId="6781A5C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lastRenderedPageBreak/>
        <w:t>4 августа 1942 передовые части 4ТГ (Фон Гот) форсировала реку Аксай (3819).</w:t>
      </w:r>
    </w:p>
    <w:p w14:paraId="73C1E49C" w14:textId="77777777" w:rsidR="00AE7191" w:rsidRPr="001E2C69" w:rsidRDefault="00AE7191" w:rsidP="00722885">
      <w:pPr>
        <w:pStyle w:val="Iauiue"/>
        <w:jc w:val="both"/>
        <w:rPr>
          <w:color w:val="000000" w:themeColor="text1"/>
          <w:sz w:val="16"/>
          <w:szCs w:val="16"/>
        </w:rPr>
      </w:pPr>
    </w:p>
    <w:p w14:paraId="706C37A5"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029FA244" w14:textId="77777777" w:rsidR="00AE7191" w:rsidRPr="001E2C69" w:rsidRDefault="00AE7191" w:rsidP="00722885">
      <w:pPr>
        <w:pStyle w:val="Iauiue"/>
        <w:jc w:val="both"/>
        <w:rPr>
          <w:iCs/>
          <w:color w:val="000000" w:themeColor="text1"/>
          <w:sz w:val="16"/>
          <w:szCs w:val="16"/>
        </w:rPr>
      </w:pPr>
    </w:p>
    <w:p w14:paraId="153A2362"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августа 1942 истребитель Lockheed P-38 Lightning одерживает свои первые воздушные победы, когда два P-38 из 343-й истребительной группы, пилотируемые лейтенантами ВВС США К. Амброузом и С. А. Лонгом, сбивают две японские летающие лодки Kawanishi H6K4 недалеко от Алеутских островов (20793).</w:t>
      </w:r>
    </w:p>
    <w:p w14:paraId="726C1B93" w14:textId="77777777" w:rsidR="001E4C3E" w:rsidRPr="001E2C69" w:rsidRDefault="001E4C3E" w:rsidP="00722885">
      <w:pPr>
        <w:spacing w:after="0" w:line="240" w:lineRule="auto"/>
        <w:jc w:val="both"/>
        <w:rPr>
          <w:rFonts w:ascii="Times New Roman" w:hAnsi="Times New Roman"/>
          <w:color w:val="000000" w:themeColor="text1"/>
          <w:sz w:val="16"/>
          <w:szCs w:val="16"/>
        </w:rPr>
      </w:pPr>
    </w:p>
    <w:p w14:paraId="4120BEC7"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4 августа 1942 в Канаде введено ограничение на торговлю чаем и кофе (4962).</w:t>
      </w:r>
    </w:p>
    <w:p w14:paraId="2043BB5A" w14:textId="77777777" w:rsidR="00AE7191" w:rsidRPr="001E2C69" w:rsidRDefault="00AE7191" w:rsidP="00722885">
      <w:pPr>
        <w:pStyle w:val="Iauiue"/>
        <w:tabs>
          <w:tab w:val="left" w:pos="11199"/>
        </w:tabs>
        <w:jc w:val="both"/>
        <w:rPr>
          <w:color w:val="000000" w:themeColor="text1"/>
          <w:sz w:val="16"/>
          <w:szCs w:val="16"/>
        </w:rPr>
      </w:pPr>
    </w:p>
    <w:p w14:paraId="61773B1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августа 1942 Британия объявила М.Ганди и его партию Всеиндийский Конгресс в примиренчестве с Японией (2100).</w:t>
      </w:r>
    </w:p>
    <w:p w14:paraId="3623DC6B" w14:textId="77777777" w:rsidR="00AE7191" w:rsidRPr="001E2C69" w:rsidRDefault="00AE7191" w:rsidP="00722885">
      <w:pPr>
        <w:pStyle w:val="Iauiue"/>
        <w:jc w:val="both"/>
        <w:rPr>
          <w:color w:val="000000" w:themeColor="text1"/>
          <w:sz w:val="16"/>
          <w:szCs w:val="16"/>
        </w:rPr>
      </w:pPr>
    </w:p>
    <w:p w14:paraId="18CBCBA4"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5D501317" w14:textId="77777777" w:rsidR="00AE7191" w:rsidRPr="001E2C69" w:rsidRDefault="00AE7191" w:rsidP="00722885">
      <w:pPr>
        <w:pStyle w:val="Iauiue"/>
        <w:jc w:val="both"/>
        <w:rPr>
          <w:iCs/>
          <w:color w:val="000000" w:themeColor="text1"/>
          <w:sz w:val="16"/>
          <w:szCs w:val="16"/>
        </w:rPr>
      </w:pPr>
    </w:p>
    <w:p w14:paraId="63F9424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августа 1942 л завода 19 С.Ф.Сенкевич поломал при испытаниях Су-2 N 26096 (2131) из-за невыпуска левой ноги (2108).</w:t>
      </w:r>
    </w:p>
    <w:p w14:paraId="6C6F9CD7" w14:textId="77777777" w:rsidR="00AE7191" w:rsidRPr="001E2C69" w:rsidRDefault="00AE7191" w:rsidP="00722885">
      <w:pPr>
        <w:pStyle w:val="Iauiue"/>
        <w:jc w:val="both"/>
        <w:rPr>
          <w:color w:val="000000" w:themeColor="text1"/>
          <w:sz w:val="16"/>
          <w:szCs w:val="16"/>
        </w:rPr>
      </w:pPr>
    </w:p>
    <w:p w14:paraId="10E0CD28"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августа в 1942 году авария второго опытного самолета «Су-22 (№26096) с новыми моторами «М-82ФН» с непосредственным впрыском топлива в цилиндры. Павел Осипович добился продолжения испытаний. После доводки ВМГ, стало ясно, что новый двигатель сулит огромные перспективы (14974).</w:t>
      </w:r>
    </w:p>
    <w:p w14:paraId="1B2B447C" w14:textId="77777777" w:rsidR="00907F56" w:rsidRPr="001E2C69" w:rsidRDefault="00907F56" w:rsidP="00722885">
      <w:pPr>
        <w:spacing w:after="0" w:line="240" w:lineRule="auto"/>
        <w:jc w:val="both"/>
        <w:rPr>
          <w:rFonts w:ascii="Times New Roman" w:hAnsi="Times New Roman"/>
          <w:color w:val="000000" w:themeColor="text1"/>
          <w:sz w:val="16"/>
          <w:szCs w:val="16"/>
        </w:rPr>
      </w:pPr>
    </w:p>
    <w:p w14:paraId="65EF116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августа 1942 г. один из Су-2 с М-82ФН (№26096) потерпел аварию, но Павел Осипович добился продолжения испытаний. После доводки ВМГ, стало ясно, что новый двигатель сулит огромные перспективы. Работа оказалась весьма полезной для нашей авиации. Напомним, что только летом 1943 г. успех пришел к Ла-5ФН с таким же мотором (12028).</w:t>
      </w:r>
    </w:p>
    <w:p w14:paraId="1F7C6E46"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39F279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августа 1942 НКАП А.С.Я. направил Зам. Ком., ГИ ВВС А.К.Репину письмо N Н-36/3055:</w:t>
      </w:r>
    </w:p>
    <w:p w14:paraId="0BBE42C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Вашей просьбе направляю материалы к составлению плана-заказа ВВС по опытному самолетостроению. Аналогичные материалы были переданы УВВС 21 апреля и 13 июля с.г." (1633,211).</w:t>
      </w:r>
    </w:p>
    <w:p w14:paraId="1D151A0C" w14:textId="77777777" w:rsidR="00AE7191" w:rsidRPr="001E2C69" w:rsidRDefault="00AE7191" w:rsidP="00722885">
      <w:pPr>
        <w:pStyle w:val="Iauiue"/>
        <w:jc w:val="both"/>
        <w:rPr>
          <w:color w:val="000000" w:themeColor="text1"/>
          <w:sz w:val="16"/>
          <w:szCs w:val="16"/>
        </w:rPr>
      </w:pPr>
    </w:p>
    <w:p w14:paraId="4D950FF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августа 1942 года Яковлев писал письмо N Н-36/3055 зам. командующего ВВС ген.-лейтенанту инж.-авиационной службы Репину.</w:t>
      </w:r>
    </w:p>
    <w:p w14:paraId="6A91FC6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Вашей просьбе направляю материалы к составлению плана - заказа УВВС по опытному самолетостроению.</w:t>
      </w:r>
    </w:p>
    <w:p w14:paraId="7D8DB3F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Аналогичные материалы нами были переданы УВВС 21 апреля с.г. и 13 июля с.г.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723"/>
        <w:gridCol w:w="862"/>
        <w:gridCol w:w="865"/>
        <w:gridCol w:w="692"/>
        <w:gridCol w:w="1371"/>
        <w:gridCol w:w="818"/>
        <w:gridCol w:w="830"/>
        <w:gridCol w:w="829"/>
        <w:gridCol w:w="968"/>
        <w:gridCol w:w="837"/>
      </w:tblGrid>
      <w:tr w:rsidR="001E2C69" w:rsidRPr="001E2C69" w14:paraId="4319E97E" w14:textId="77777777" w:rsidTr="00CC5360">
        <w:tc>
          <w:tcPr>
            <w:tcW w:w="1809" w:type="dxa"/>
            <w:tcBorders>
              <w:top w:val="single" w:sz="12" w:space="0" w:color="auto"/>
            </w:tcBorders>
          </w:tcPr>
          <w:p w14:paraId="403D164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Наименование</w:t>
            </w:r>
          </w:p>
        </w:tc>
        <w:tc>
          <w:tcPr>
            <w:tcW w:w="723" w:type="dxa"/>
            <w:tcBorders>
              <w:top w:val="single" w:sz="12" w:space="0" w:color="auto"/>
            </w:tcBorders>
          </w:tcPr>
          <w:p w14:paraId="028D0AE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Скорость км/час</w:t>
            </w:r>
          </w:p>
        </w:tc>
        <w:tc>
          <w:tcPr>
            <w:tcW w:w="862" w:type="dxa"/>
            <w:tcBorders>
              <w:top w:val="single" w:sz="12" w:space="0" w:color="auto"/>
            </w:tcBorders>
          </w:tcPr>
          <w:p w14:paraId="77E7D040" w14:textId="77777777" w:rsidR="00AE7191" w:rsidRPr="001E2C69" w:rsidRDefault="00AE7191" w:rsidP="00722885">
            <w:pPr>
              <w:pStyle w:val="Iauiue"/>
              <w:jc w:val="both"/>
              <w:rPr>
                <w:color w:val="000000" w:themeColor="text1"/>
                <w:sz w:val="16"/>
                <w:szCs w:val="16"/>
              </w:rPr>
            </w:pPr>
          </w:p>
        </w:tc>
        <w:tc>
          <w:tcPr>
            <w:tcW w:w="865" w:type="dxa"/>
            <w:tcBorders>
              <w:top w:val="single" w:sz="12" w:space="0" w:color="auto"/>
            </w:tcBorders>
          </w:tcPr>
          <w:p w14:paraId="132D180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Дальность</w:t>
            </w:r>
          </w:p>
        </w:tc>
        <w:tc>
          <w:tcPr>
            <w:tcW w:w="692" w:type="dxa"/>
            <w:tcBorders>
              <w:top w:val="single" w:sz="12" w:space="0" w:color="auto"/>
            </w:tcBorders>
          </w:tcPr>
          <w:p w14:paraId="43FF507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Потолок</w:t>
            </w:r>
          </w:p>
        </w:tc>
        <w:tc>
          <w:tcPr>
            <w:tcW w:w="1371" w:type="dxa"/>
            <w:tcBorders>
              <w:top w:val="single" w:sz="12" w:space="0" w:color="auto"/>
            </w:tcBorders>
          </w:tcPr>
          <w:p w14:paraId="34BE6DC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Вооружение</w:t>
            </w:r>
          </w:p>
        </w:tc>
        <w:tc>
          <w:tcPr>
            <w:tcW w:w="818" w:type="dxa"/>
            <w:tcBorders>
              <w:top w:val="single" w:sz="12" w:space="0" w:color="auto"/>
            </w:tcBorders>
          </w:tcPr>
          <w:p w14:paraId="08861388" w14:textId="77777777" w:rsidR="00AE7191" w:rsidRPr="001E2C69" w:rsidRDefault="00AE7191" w:rsidP="00722885">
            <w:pPr>
              <w:pStyle w:val="Iauiue"/>
              <w:jc w:val="both"/>
              <w:rPr>
                <w:color w:val="000000" w:themeColor="text1"/>
                <w:sz w:val="16"/>
                <w:szCs w:val="16"/>
              </w:rPr>
            </w:pPr>
          </w:p>
        </w:tc>
        <w:tc>
          <w:tcPr>
            <w:tcW w:w="830" w:type="dxa"/>
            <w:tcBorders>
              <w:top w:val="single" w:sz="12" w:space="0" w:color="auto"/>
            </w:tcBorders>
          </w:tcPr>
          <w:p w14:paraId="1AA810A4" w14:textId="77777777" w:rsidR="00AE7191" w:rsidRPr="001E2C69" w:rsidRDefault="00AE7191" w:rsidP="00722885">
            <w:pPr>
              <w:pStyle w:val="Iauiue"/>
              <w:jc w:val="both"/>
              <w:rPr>
                <w:color w:val="000000" w:themeColor="text1"/>
                <w:sz w:val="16"/>
                <w:szCs w:val="16"/>
              </w:rPr>
            </w:pPr>
          </w:p>
        </w:tc>
        <w:tc>
          <w:tcPr>
            <w:tcW w:w="829" w:type="dxa"/>
            <w:tcBorders>
              <w:top w:val="single" w:sz="12" w:space="0" w:color="auto"/>
            </w:tcBorders>
          </w:tcPr>
          <w:p w14:paraId="3C931AF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Кол-во</w:t>
            </w:r>
          </w:p>
        </w:tc>
        <w:tc>
          <w:tcPr>
            <w:tcW w:w="968" w:type="dxa"/>
            <w:tcBorders>
              <w:top w:val="single" w:sz="12" w:space="0" w:color="auto"/>
            </w:tcBorders>
          </w:tcPr>
          <w:p w14:paraId="727DBF0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Срок</w:t>
            </w:r>
          </w:p>
        </w:tc>
        <w:tc>
          <w:tcPr>
            <w:tcW w:w="837" w:type="dxa"/>
            <w:tcBorders>
              <w:top w:val="single" w:sz="12" w:space="0" w:color="auto"/>
            </w:tcBorders>
          </w:tcPr>
          <w:p w14:paraId="5D167F2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Стоимость</w:t>
            </w:r>
          </w:p>
        </w:tc>
      </w:tr>
      <w:tr w:rsidR="001E2C69" w:rsidRPr="001E2C69" w14:paraId="5F7C8CB4" w14:textId="77777777" w:rsidTr="00CC5360">
        <w:tc>
          <w:tcPr>
            <w:tcW w:w="1809" w:type="dxa"/>
          </w:tcPr>
          <w:p w14:paraId="541F622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самолета</w:t>
            </w:r>
          </w:p>
        </w:tc>
        <w:tc>
          <w:tcPr>
            <w:tcW w:w="723" w:type="dxa"/>
          </w:tcPr>
          <w:p w14:paraId="530695F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у земли</w:t>
            </w:r>
          </w:p>
        </w:tc>
        <w:tc>
          <w:tcPr>
            <w:tcW w:w="862" w:type="dxa"/>
          </w:tcPr>
          <w:p w14:paraId="3EB500D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 расч.</w:t>
            </w:r>
          </w:p>
        </w:tc>
        <w:tc>
          <w:tcPr>
            <w:tcW w:w="865" w:type="dxa"/>
          </w:tcPr>
          <w:p w14:paraId="40EE5AE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км</w:t>
            </w:r>
          </w:p>
        </w:tc>
        <w:tc>
          <w:tcPr>
            <w:tcW w:w="692" w:type="dxa"/>
          </w:tcPr>
          <w:p w14:paraId="132304A0" w14:textId="77777777" w:rsidR="00AE7191" w:rsidRPr="001E2C69" w:rsidRDefault="00AE7191" w:rsidP="00722885">
            <w:pPr>
              <w:pStyle w:val="Iauiue"/>
              <w:jc w:val="both"/>
              <w:rPr>
                <w:color w:val="000000" w:themeColor="text1"/>
                <w:sz w:val="16"/>
                <w:szCs w:val="16"/>
              </w:rPr>
            </w:pPr>
          </w:p>
        </w:tc>
        <w:tc>
          <w:tcPr>
            <w:tcW w:w="1371" w:type="dxa"/>
          </w:tcPr>
          <w:p w14:paraId="41752F6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стрелк.</w:t>
            </w:r>
          </w:p>
        </w:tc>
        <w:tc>
          <w:tcPr>
            <w:tcW w:w="818" w:type="dxa"/>
          </w:tcPr>
          <w:p w14:paraId="47A7CAD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бомб.</w:t>
            </w:r>
          </w:p>
        </w:tc>
        <w:tc>
          <w:tcPr>
            <w:tcW w:w="830" w:type="dxa"/>
          </w:tcPr>
          <w:p w14:paraId="0B1CBCA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реактив.</w:t>
            </w:r>
          </w:p>
        </w:tc>
        <w:tc>
          <w:tcPr>
            <w:tcW w:w="829" w:type="dxa"/>
          </w:tcPr>
          <w:p w14:paraId="687ED8E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экз.</w:t>
            </w:r>
          </w:p>
        </w:tc>
        <w:tc>
          <w:tcPr>
            <w:tcW w:w="968" w:type="dxa"/>
          </w:tcPr>
          <w:p w14:paraId="65547F5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предъяв.</w:t>
            </w:r>
          </w:p>
        </w:tc>
        <w:tc>
          <w:tcPr>
            <w:tcW w:w="837" w:type="dxa"/>
          </w:tcPr>
          <w:p w14:paraId="75A53F5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т.р.</w:t>
            </w:r>
          </w:p>
        </w:tc>
      </w:tr>
      <w:tr w:rsidR="001E2C69" w:rsidRPr="001E2C69" w14:paraId="07AFE3E1" w14:textId="77777777" w:rsidTr="00CC5360">
        <w:tc>
          <w:tcPr>
            <w:tcW w:w="1809" w:type="dxa"/>
          </w:tcPr>
          <w:p w14:paraId="482EBEF7" w14:textId="77777777" w:rsidR="00AE7191" w:rsidRPr="001E2C69" w:rsidRDefault="00AE7191" w:rsidP="00722885">
            <w:pPr>
              <w:pStyle w:val="Iauiue"/>
              <w:jc w:val="both"/>
              <w:rPr>
                <w:color w:val="000000" w:themeColor="text1"/>
                <w:sz w:val="16"/>
                <w:szCs w:val="16"/>
              </w:rPr>
            </w:pPr>
          </w:p>
        </w:tc>
        <w:tc>
          <w:tcPr>
            <w:tcW w:w="723" w:type="dxa"/>
          </w:tcPr>
          <w:p w14:paraId="4460E0F2" w14:textId="77777777" w:rsidR="00AE7191" w:rsidRPr="001E2C69" w:rsidRDefault="00AE7191" w:rsidP="00722885">
            <w:pPr>
              <w:pStyle w:val="Iauiue"/>
              <w:jc w:val="both"/>
              <w:rPr>
                <w:color w:val="000000" w:themeColor="text1"/>
                <w:sz w:val="16"/>
                <w:szCs w:val="16"/>
              </w:rPr>
            </w:pPr>
          </w:p>
        </w:tc>
        <w:tc>
          <w:tcPr>
            <w:tcW w:w="862" w:type="dxa"/>
          </w:tcPr>
          <w:p w14:paraId="53A28E3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высоте</w:t>
            </w:r>
          </w:p>
        </w:tc>
        <w:tc>
          <w:tcPr>
            <w:tcW w:w="865" w:type="dxa"/>
          </w:tcPr>
          <w:p w14:paraId="1E378A5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норм./перегр.</w:t>
            </w:r>
          </w:p>
        </w:tc>
        <w:tc>
          <w:tcPr>
            <w:tcW w:w="692" w:type="dxa"/>
          </w:tcPr>
          <w:p w14:paraId="53C2C65B" w14:textId="77777777" w:rsidR="00AE7191" w:rsidRPr="001E2C69" w:rsidRDefault="00AE7191" w:rsidP="00722885">
            <w:pPr>
              <w:pStyle w:val="Iauiue"/>
              <w:jc w:val="both"/>
              <w:rPr>
                <w:color w:val="000000" w:themeColor="text1"/>
                <w:sz w:val="16"/>
                <w:szCs w:val="16"/>
              </w:rPr>
            </w:pPr>
          </w:p>
        </w:tc>
        <w:tc>
          <w:tcPr>
            <w:tcW w:w="1371" w:type="dxa"/>
          </w:tcPr>
          <w:p w14:paraId="724064FA" w14:textId="77777777" w:rsidR="00AE7191" w:rsidRPr="001E2C69" w:rsidRDefault="00AE7191" w:rsidP="00722885">
            <w:pPr>
              <w:pStyle w:val="Iauiue"/>
              <w:jc w:val="both"/>
              <w:rPr>
                <w:color w:val="000000" w:themeColor="text1"/>
                <w:sz w:val="16"/>
                <w:szCs w:val="16"/>
              </w:rPr>
            </w:pPr>
          </w:p>
        </w:tc>
        <w:tc>
          <w:tcPr>
            <w:tcW w:w="818" w:type="dxa"/>
          </w:tcPr>
          <w:p w14:paraId="2B6EB572" w14:textId="77777777" w:rsidR="00AE7191" w:rsidRPr="001E2C69" w:rsidRDefault="00AE7191" w:rsidP="00722885">
            <w:pPr>
              <w:pStyle w:val="Iauiue"/>
              <w:jc w:val="both"/>
              <w:rPr>
                <w:color w:val="000000" w:themeColor="text1"/>
                <w:sz w:val="16"/>
                <w:szCs w:val="16"/>
              </w:rPr>
            </w:pPr>
          </w:p>
        </w:tc>
        <w:tc>
          <w:tcPr>
            <w:tcW w:w="830" w:type="dxa"/>
          </w:tcPr>
          <w:p w14:paraId="51339C2C" w14:textId="77777777" w:rsidR="00AE7191" w:rsidRPr="001E2C69" w:rsidRDefault="00AE7191" w:rsidP="00722885">
            <w:pPr>
              <w:pStyle w:val="Iauiue"/>
              <w:jc w:val="both"/>
              <w:rPr>
                <w:color w:val="000000" w:themeColor="text1"/>
                <w:sz w:val="16"/>
                <w:szCs w:val="16"/>
              </w:rPr>
            </w:pPr>
          </w:p>
        </w:tc>
        <w:tc>
          <w:tcPr>
            <w:tcW w:w="829" w:type="dxa"/>
          </w:tcPr>
          <w:p w14:paraId="43FB21F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 гос.</w:t>
            </w:r>
          </w:p>
        </w:tc>
        <w:tc>
          <w:tcPr>
            <w:tcW w:w="968" w:type="dxa"/>
          </w:tcPr>
          <w:p w14:paraId="14521237" w14:textId="77777777" w:rsidR="00AE7191" w:rsidRPr="001E2C69" w:rsidRDefault="00AE7191" w:rsidP="00722885">
            <w:pPr>
              <w:pStyle w:val="Iauiue"/>
              <w:jc w:val="both"/>
              <w:rPr>
                <w:color w:val="000000" w:themeColor="text1"/>
                <w:sz w:val="16"/>
                <w:szCs w:val="16"/>
              </w:rPr>
            </w:pPr>
          </w:p>
        </w:tc>
        <w:tc>
          <w:tcPr>
            <w:tcW w:w="837" w:type="dxa"/>
          </w:tcPr>
          <w:p w14:paraId="2B917E88" w14:textId="77777777" w:rsidR="00AE7191" w:rsidRPr="001E2C69" w:rsidRDefault="00AE7191" w:rsidP="00722885">
            <w:pPr>
              <w:pStyle w:val="Iauiue"/>
              <w:jc w:val="both"/>
              <w:rPr>
                <w:color w:val="000000" w:themeColor="text1"/>
                <w:sz w:val="16"/>
                <w:szCs w:val="16"/>
              </w:rPr>
            </w:pPr>
          </w:p>
        </w:tc>
      </w:tr>
      <w:tr w:rsidR="001E2C69" w:rsidRPr="001E2C69" w14:paraId="3E6F7957" w14:textId="77777777" w:rsidTr="00CC5360">
        <w:tc>
          <w:tcPr>
            <w:tcW w:w="1809" w:type="dxa"/>
          </w:tcPr>
          <w:p w14:paraId="01C5D242" w14:textId="77777777" w:rsidR="00AE7191" w:rsidRPr="001E2C69" w:rsidRDefault="00AE7191" w:rsidP="00722885">
            <w:pPr>
              <w:pStyle w:val="Iauiue"/>
              <w:jc w:val="both"/>
              <w:rPr>
                <w:color w:val="000000" w:themeColor="text1"/>
                <w:sz w:val="16"/>
                <w:szCs w:val="16"/>
              </w:rPr>
            </w:pPr>
          </w:p>
        </w:tc>
        <w:tc>
          <w:tcPr>
            <w:tcW w:w="723" w:type="dxa"/>
          </w:tcPr>
          <w:p w14:paraId="1D1FE534" w14:textId="77777777" w:rsidR="00AE7191" w:rsidRPr="001E2C69" w:rsidRDefault="00AE7191" w:rsidP="00722885">
            <w:pPr>
              <w:pStyle w:val="Iauiue"/>
              <w:jc w:val="both"/>
              <w:rPr>
                <w:color w:val="000000" w:themeColor="text1"/>
                <w:sz w:val="16"/>
                <w:szCs w:val="16"/>
              </w:rPr>
            </w:pPr>
          </w:p>
        </w:tc>
        <w:tc>
          <w:tcPr>
            <w:tcW w:w="862" w:type="dxa"/>
          </w:tcPr>
          <w:p w14:paraId="6BA8AA59" w14:textId="77777777" w:rsidR="00AE7191" w:rsidRPr="001E2C69" w:rsidRDefault="00AE7191" w:rsidP="00722885">
            <w:pPr>
              <w:pStyle w:val="Iauiue"/>
              <w:jc w:val="both"/>
              <w:rPr>
                <w:color w:val="000000" w:themeColor="text1"/>
                <w:sz w:val="16"/>
                <w:szCs w:val="16"/>
              </w:rPr>
            </w:pPr>
          </w:p>
        </w:tc>
        <w:tc>
          <w:tcPr>
            <w:tcW w:w="865" w:type="dxa"/>
          </w:tcPr>
          <w:p w14:paraId="409BFA7D" w14:textId="77777777" w:rsidR="00AE7191" w:rsidRPr="001E2C69" w:rsidRDefault="00AE7191" w:rsidP="00722885">
            <w:pPr>
              <w:pStyle w:val="Iauiue"/>
              <w:jc w:val="both"/>
              <w:rPr>
                <w:color w:val="000000" w:themeColor="text1"/>
                <w:sz w:val="16"/>
                <w:szCs w:val="16"/>
              </w:rPr>
            </w:pPr>
          </w:p>
        </w:tc>
        <w:tc>
          <w:tcPr>
            <w:tcW w:w="692" w:type="dxa"/>
          </w:tcPr>
          <w:p w14:paraId="3AE56574" w14:textId="77777777" w:rsidR="00AE7191" w:rsidRPr="001E2C69" w:rsidRDefault="00AE7191" w:rsidP="00722885">
            <w:pPr>
              <w:pStyle w:val="Iauiue"/>
              <w:jc w:val="both"/>
              <w:rPr>
                <w:color w:val="000000" w:themeColor="text1"/>
                <w:sz w:val="16"/>
                <w:szCs w:val="16"/>
              </w:rPr>
            </w:pPr>
          </w:p>
        </w:tc>
        <w:tc>
          <w:tcPr>
            <w:tcW w:w="1371" w:type="dxa"/>
          </w:tcPr>
          <w:p w14:paraId="0D71D707" w14:textId="77777777" w:rsidR="00AE7191" w:rsidRPr="001E2C69" w:rsidRDefault="00AE7191" w:rsidP="00722885">
            <w:pPr>
              <w:pStyle w:val="Iauiue"/>
              <w:jc w:val="both"/>
              <w:rPr>
                <w:color w:val="000000" w:themeColor="text1"/>
                <w:sz w:val="16"/>
                <w:szCs w:val="16"/>
              </w:rPr>
            </w:pPr>
          </w:p>
        </w:tc>
        <w:tc>
          <w:tcPr>
            <w:tcW w:w="818" w:type="dxa"/>
          </w:tcPr>
          <w:p w14:paraId="6352F0BF" w14:textId="77777777" w:rsidR="00AE7191" w:rsidRPr="001E2C69" w:rsidRDefault="00AE7191" w:rsidP="00722885">
            <w:pPr>
              <w:pStyle w:val="Iauiue"/>
              <w:jc w:val="both"/>
              <w:rPr>
                <w:color w:val="000000" w:themeColor="text1"/>
                <w:sz w:val="16"/>
                <w:szCs w:val="16"/>
              </w:rPr>
            </w:pPr>
          </w:p>
        </w:tc>
        <w:tc>
          <w:tcPr>
            <w:tcW w:w="830" w:type="dxa"/>
          </w:tcPr>
          <w:p w14:paraId="7FEABAFB" w14:textId="77777777" w:rsidR="00AE7191" w:rsidRPr="001E2C69" w:rsidRDefault="00AE7191" w:rsidP="00722885">
            <w:pPr>
              <w:pStyle w:val="Iauiue"/>
              <w:jc w:val="both"/>
              <w:rPr>
                <w:color w:val="000000" w:themeColor="text1"/>
                <w:sz w:val="16"/>
                <w:szCs w:val="16"/>
              </w:rPr>
            </w:pPr>
          </w:p>
        </w:tc>
        <w:tc>
          <w:tcPr>
            <w:tcW w:w="829" w:type="dxa"/>
          </w:tcPr>
          <w:p w14:paraId="6B14291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испытан.</w:t>
            </w:r>
          </w:p>
        </w:tc>
        <w:tc>
          <w:tcPr>
            <w:tcW w:w="968" w:type="dxa"/>
          </w:tcPr>
          <w:p w14:paraId="7F794592" w14:textId="77777777" w:rsidR="00AE7191" w:rsidRPr="001E2C69" w:rsidRDefault="00AE7191" w:rsidP="00722885">
            <w:pPr>
              <w:pStyle w:val="Iauiue"/>
              <w:jc w:val="both"/>
              <w:rPr>
                <w:color w:val="000000" w:themeColor="text1"/>
                <w:sz w:val="16"/>
                <w:szCs w:val="16"/>
              </w:rPr>
            </w:pPr>
          </w:p>
        </w:tc>
        <w:tc>
          <w:tcPr>
            <w:tcW w:w="837" w:type="dxa"/>
          </w:tcPr>
          <w:p w14:paraId="6A6EF9BB" w14:textId="77777777" w:rsidR="00AE7191" w:rsidRPr="001E2C69" w:rsidRDefault="00AE7191" w:rsidP="00722885">
            <w:pPr>
              <w:pStyle w:val="Iauiue"/>
              <w:jc w:val="both"/>
              <w:rPr>
                <w:color w:val="000000" w:themeColor="text1"/>
                <w:sz w:val="16"/>
                <w:szCs w:val="16"/>
              </w:rPr>
            </w:pPr>
          </w:p>
        </w:tc>
      </w:tr>
      <w:tr w:rsidR="001E2C69" w:rsidRPr="001E2C69" w14:paraId="766B8C87" w14:textId="77777777" w:rsidTr="00CC5360">
        <w:tc>
          <w:tcPr>
            <w:tcW w:w="1809" w:type="dxa"/>
          </w:tcPr>
          <w:p w14:paraId="558EC27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I. Истребители.</w:t>
            </w:r>
          </w:p>
        </w:tc>
        <w:tc>
          <w:tcPr>
            <w:tcW w:w="723" w:type="dxa"/>
          </w:tcPr>
          <w:p w14:paraId="60C824FA" w14:textId="77777777" w:rsidR="00AE7191" w:rsidRPr="001E2C69" w:rsidRDefault="00AE7191" w:rsidP="00722885">
            <w:pPr>
              <w:pStyle w:val="Iauiue"/>
              <w:jc w:val="both"/>
              <w:rPr>
                <w:color w:val="000000" w:themeColor="text1"/>
                <w:sz w:val="16"/>
                <w:szCs w:val="16"/>
              </w:rPr>
            </w:pPr>
          </w:p>
        </w:tc>
        <w:tc>
          <w:tcPr>
            <w:tcW w:w="862" w:type="dxa"/>
          </w:tcPr>
          <w:p w14:paraId="793F766A" w14:textId="77777777" w:rsidR="00AE7191" w:rsidRPr="001E2C69" w:rsidRDefault="00AE7191" w:rsidP="00722885">
            <w:pPr>
              <w:pStyle w:val="Iauiue"/>
              <w:jc w:val="both"/>
              <w:rPr>
                <w:color w:val="000000" w:themeColor="text1"/>
                <w:sz w:val="16"/>
                <w:szCs w:val="16"/>
              </w:rPr>
            </w:pPr>
          </w:p>
        </w:tc>
        <w:tc>
          <w:tcPr>
            <w:tcW w:w="865" w:type="dxa"/>
          </w:tcPr>
          <w:p w14:paraId="12AEBA6B" w14:textId="77777777" w:rsidR="00AE7191" w:rsidRPr="001E2C69" w:rsidRDefault="00AE7191" w:rsidP="00722885">
            <w:pPr>
              <w:pStyle w:val="Iauiue"/>
              <w:jc w:val="both"/>
              <w:rPr>
                <w:color w:val="000000" w:themeColor="text1"/>
                <w:sz w:val="16"/>
                <w:szCs w:val="16"/>
              </w:rPr>
            </w:pPr>
          </w:p>
        </w:tc>
        <w:tc>
          <w:tcPr>
            <w:tcW w:w="692" w:type="dxa"/>
          </w:tcPr>
          <w:p w14:paraId="543262BA" w14:textId="77777777" w:rsidR="00AE7191" w:rsidRPr="001E2C69" w:rsidRDefault="00AE7191" w:rsidP="00722885">
            <w:pPr>
              <w:pStyle w:val="Iauiue"/>
              <w:jc w:val="both"/>
              <w:rPr>
                <w:color w:val="000000" w:themeColor="text1"/>
                <w:sz w:val="16"/>
                <w:szCs w:val="16"/>
              </w:rPr>
            </w:pPr>
          </w:p>
        </w:tc>
        <w:tc>
          <w:tcPr>
            <w:tcW w:w="1371" w:type="dxa"/>
          </w:tcPr>
          <w:p w14:paraId="2C025AD4" w14:textId="77777777" w:rsidR="00AE7191" w:rsidRPr="001E2C69" w:rsidRDefault="00AE7191" w:rsidP="00722885">
            <w:pPr>
              <w:pStyle w:val="Iauiue"/>
              <w:jc w:val="both"/>
              <w:rPr>
                <w:color w:val="000000" w:themeColor="text1"/>
                <w:sz w:val="16"/>
                <w:szCs w:val="16"/>
              </w:rPr>
            </w:pPr>
          </w:p>
        </w:tc>
        <w:tc>
          <w:tcPr>
            <w:tcW w:w="818" w:type="dxa"/>
          </w:tcPr>
          <w:p w14:paraId="71634803" w14:textId="77777777" w:rsidR="00AE7191" w:rsidRPr="001E2C69" w:rsidRDefault="00AE7191" w:rsidP="00722885">
            <w:pPr>
              <w:pStyle w:val="Iauiue"/>
              <w:jc w:val="both"/>
              <w:rPr>
                <w:color w:val="000000" w:themeColor="text1"/>
                <w:sz w:val="16"/>
                <w:szCs w:val="16"/>
              </w:rPr>
            </w:pPr>
          </w:p>
        </w:tc>
        <w:tc>
          <w:tcPr>
            <w:tcW w:w="830" w:type="dxa"/>
          </w:tcPr>
          <w:p w14:paraId="08CE827F" w14:textId="77777777" w:rsidR="00AE7191" w:rsidRPr="001E2C69" w:rsidRDefault="00AE7191" w:rsidP="00722885">
            <w:pPr>
              <w:pStyle w:val="Iauiue"/>
              <w:jc w:val="both"/>
              <w:rPr>
                <w:color w:val="000000" w:themeColor="text1"/>
                <w:sz w:val="16"/>
                <w:szCs w:val="16"/>
              </w:rPr>
            </w:pPr>
          </w:p>
        </w:tc>
        <w:tc>
          <w:tcPr>
            <w:tcW w:w="829" w:type="dxa"/>
          </w:tcPr>
          <w:p w14:paraId="7570E8B9" w14:textId="77777777" w:rsidR="00AE7191" w:rsidRPr="001E2C69" w:rsidRDefault="00AE7191" w:rsidP="00722885">
            <w:pPr>
              <w:pStyle w:val="Iauiue"/>
              <w:jc w:val="both"/>
              <w:rPr>
                <w:color w:val="000000" w:themeColor="text1"/>
                <w:sz w:val="16"/>
                <w:szCs w:val="16"/>
              </w:rPr>
            </w:pPr>
          </w:p>
        </w:tc>
        <w:tc>
          <w:tcPr>
            <w:tcW w:w="968" w:type="dxa"/>
          </w:tcPr>
          <w:p w14:paraId="079CEFF4" w14:textId="77777777" w:rsidR="00AE7191" w:rsidRPr="001E2C69" w:rsidRDefault="00AE7191" w:rsidP="00722885">
            <w:pPr>
              <w:pStyle w:val="Iauiue"/>
              <w:jc w:val="both"/>
              <w:rPr>
                <w:color w:val="000000" w:themeColor="text1"/>
                <w:sz w:val="16"/>
                <w:szCs w:val="16"/>
              </w:rPr>
            </w:pPr>
          </w:p>
        </w:tc>
        <w:tc>
          <w:tcPr>
            <w:tcW w:w="837" w:type="dxa"/>
          </w:tcPr>
          <w:p w14:paraId="2AAE291A" w14:textId="77777777" w:rsidR="00AE7191" w:rsidRPr="001E2C69" w:rsidRDefault="00AE7191" w:rsidP="00722885">
            <w:pPr>
              <w:pStyle w:val="Iauiue"/>
              <w:jc w:val="both"/>
              <w:rPr>
                <w:color w:val="000000" w:themeColor="text1"/>
                <w:sz w:val="16"/>
                <w:szCs w:val="16"/>
              </w:rPr>
            </w:pPr>
          </w:p>
        </w:tc>
      </w:tr>
      <w:tr w:rsidR="001E2C69" w:rsidRPr="001E2C69" w14:paraId="704C964F" w14:textId="77777777" w:rsidTr="00CC5360">
        <w:tc>
          <w:tcPr>
            <w:tcW w:w="1809" w:type="dxa"/>
          </w:tcPr>
          <w:p w14:paraId="16FB1F3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Одноместный</w:t>
            </w:r>
          </w:p>
        </w:tc>
        <w:tc>
          <w:tcPr>
            <w:tcW w:w="723" w:type="dxa"/>
          </w:tcPr>
          <w:p w14:paraId="3AE84FE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535</w:t>
            </w:r>
          </w:p>
        </w:tc>
        <w:tc>
          <w:tcPr>
            <w:tcW w:w="862" w:type="dxa"/>
          </w:tcPr>
          <w:p w14:paraId="7D4F089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680/7600</w:t>
            </w:r>
          </w:p>
        </w:tc>
        <w:tc>
          <w:tcPr>
            <w:tcW w:w="865" w:type="dxa"/>
          </w:tcPr>
          <w:p w14:paraId="5C0A873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700/850</w:t>
            </w:r>
          </w:p>
        </w:tc>
        <w:tc>
          <w:tcPr>
            <w:tcW w:w="692" w:type="dxa"/>
          </w:tcPr>
          <w:p w14:paraId="1AF21F8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11000</w:t>
            </w:r>
          </w:p>
        </w:tc>
        <w:tc>
          <w:tcPr>
            <w:tcW w:w="1371" w:type="dxa"/>
          </w:tcPr>
          <w:p w14:paraId="55B029A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пушки</w:t>
            </w:r>
          </w:p>
        </w:tc>
        <w:tc>
          <w:tcPr>
            <w:tcW w:w="818" w:type="dxa"/>
          </w:tcPr>
          <w:p w14:paraId="623ABA9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0/200</w:t>
            </w:r>
          </w:p>
        </w:tc>
        <w:tc>
          <w:tcPr>
            <w:tcW w:w="830" w:type="dxa"/>
          </w:tcPr>
          <w:p w14:paraId="021430C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6РО-82</w:t>
            </w:r>
          </w:p>
        </w:tc>
        <w:tc>
          <w:tcPr>
            <w:tcW w:w="829" w:type="dxa"/>
          </w:tcPr>
          <w:p w14:paraId="5BA035E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w:t>
            </w:r>
          </w:p>
        </w:tc>
        <w:tc>
          <w:tcPr>
            <w:tcW w:w="968" w:type="dxa"/>
          </w:tcPr>
          <w:p w14:paraId="2C40E98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1.XII.42</w:t>
            </w:r>
          </w:p>
        </w:tc>
        <w:tc>
          <w:tcPr>
            <w:tcW w:w="837" w:type="dxa"/>
          </w:tcPr>
          <w:p w14:paraId="514C1EF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6000</w:t>
            </w:r>
          </w:p>
        </w:tc>
      </w:tr>
      <w:tr w:rsidR="001E2C69" w:rsidRPr="001E2C69" w14:paraId="1416A347" w14:textId="77777777" w:rsidTr="00CC5360">
        <w:tc>
          <w:tcPr>
            <w:tcW w:w="1809" w:type="dxa"/>
          </w:tcPr>
          <w:p w14:paraId="452F57D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истребитель с</w:t>
            </w:r>
          </w:p>
        </w:tc>
        <w:tc>
          <w:tcPr>
            <w:tcW w:w="723" w:type="dxa"/>
          </w:tcPr>
          <w:p w14:paraId="44490EB2" w14:textId="77777777" w:rsidR="00AE7191" w:rsidRPr="001E2C69" w:rsidRDefault="00AE7191" w:rsidP="00722885">
            <w:pPr>
              <w:pStyle w:val="Iauiue"/>
              <w:jc w:val="both"/>
              <w:rPr>
                <w:color w:val="000000" w:themeColor="text1"/>
                <w:sz w:val="16"/>
                <w:szCs w:val="16"/>
              </w:rPr>
            </w:pPr>
          </w:p>
        </w:tc>
        <w:tc>
          <w:tcPr>
            <w:tcW w:w="862" w:type="dxa"/>
          </w:tcPr>
          <w:p w14:paraId="41C5A2B9" w14:textId="77777777" w:rsidR="00AE7191" w:rsidRPr="001E2C69" w:rsidRDefault="00AE7191" w:rsidP="00722885">
            <w:pPr>
              <w:pStyle w:val="Iauiue"/>
              <w:jc w:val="both"/>
              <w:rPr>
                <w:color w:val="000000" w:themeColor="text1"/>
                <w:sz w:val="16"/>
                <w:szCs w:val="16"/>
              </w:rPr>
            </w:pPr>
          </w:p>
        </w:tc>
        <w:tc>
          <w:tcPr>
            <w:tcW w:w="865" w:type="dxa"/>
          </w:tcPr>
          <w:p w14:paraId="560067CD" w14:textId="77777777" w:rsidR="00AE7191" w:rsidRPr="001E2C69" w:rsidRDefault="00AE7191" w:rsidP="00722885">
            <w:pPr>
              <w:pStyle w:val="Iauiue"/>
              <w:jc w:val="both"/>
              <w:rPr>
                <w:color w:val="000000" w:themeColor="text1"/>
                <w:sz w:val="16"/>
                <w:szCs w:val="16"/>
              </w:rPr>
            </w:pPr>
          </w:p>
        </w:tc>
        <w:tc>
          <w:tcPr>
            <w:tcW w:w="692" w:type="dxa"/>
          </w:tcPr>
          <w:p w14:paraId="689B0015" w14:textId="77777777" w:rsidR="00AE7191" w:rsidRPr="001E2C69" w:rsidRDefault="00AE7191" w:rsidP="00722885">
            <w:pPr>
              <w:pStyle w:val="Iauiue"/>
              <w:jc w:val="both"/>
              <w:rPr>
                <w:color w:val="000000" w:themeColor="text1"/>
                <w:sz w:val="16"/>
                <w:szCs w:val="16"/>
              </w:rPr>
            </w:pPr>
          </w:p>
        </w:tc>
        <w:tc>
          <w:tcPr>
            <w:tcW w:w="1371" w:type="dxa"/>
          </w:tcPr>
          <w:p w14:paraId="1D5F12F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 мм с</w:t>
            </w:r>
          </w:p>
        </w:tc>
        <w:tc>
          <w:tcPr>
            <w:tcW w:w="818" w:type="dxa"/>
          </w:tcPr>
          <w:p w14:paraId="6366CEA4" w14:textId="77777777" w:rsidR="00AE7191" w:rsidRPr="001E2C69" w:rsidRDefault="00AE7191" w:rsidP="00722885">
            <w:pPr>
              <w:pStyle w:val="Iauiue"/>
              <w:jc w:val="both"/>
              <w:rPr>
                <w:color w:val="000000" w:themeColor="text1"/>
                <w:sz w:val="16"/>
                <w:szCs w:val="16"/>
              </w:rPr>
            </w:pPr>
          </w:p>
        </w:tc>
        <w:tc>
          <w:tcPr>
            <w:tcW w:w="830" w:type="dxa"/>
          </w:tcPr>
          <w:p w14:paraId="7A1245A9" w14:textId="77777777" w:rsidR="00AE7191" w:rsidRPr="001E2C69" w:rsidRDefault="00AE7191" w:rsidP="00722885">
            <w:pPr>
              <w:pStyle w:val="Iauiue"/>
              <w:jc w:val="both"/>
              <w:rPr>
                <w:color w:val="000000" w:themeColor="text1"/>
                <w:sz w:val="16"/>
                <w:szCs w:val="16"/>
              </w:rPr>
            </w:pPr>
          </w:p>
        </w:tc>
        <w:tc>
          <w:tcPr>
            <w:tcW w:w="829" w:type="dxa"/>
          </w:tcPr>
          <w:p w14:paraId="2A076DAA" w14:textId="77777777" w:rsidR="00AE7191" w:rsidRPr="001E2C69" w:rsidRDefault="00AE7191" w:rsidP="00722885">
            <w:pPr>
              <w:pStyle w:val="Iauiue"/>
              <w:jc w:val="both"/>
              <w:rPr>
                <w:color w:val="000000" w:themeColor="text1"/>
                <w:sz w:val="16"/>
                <w:szCs w:val="16"/>
              </w:rPr>
            </w:pPr>
          </w:p>
        </w:tc>
        <w:tc>
          <w:tcPr>
            <w:tcW w:w="968" w:type="dxa"/>
          </w:tcPr>
          <w:p w14:paraId="7A06E39A" w14:textId="77777777" w:rsidR="00AE7191" w:rsidRPr="001E2C69" w:rsidRDefault="00AE7191" w:rsidP="00722885">
            <w:pPr>
              <w:pStyle w:val="Iauiue"/>
              <w:jc w:val="both"/>
              <w:rPr>
                <w:color w:val="000000" w:themeColor="text1"/>
                <w:sz w:val="16"/>
                <w:szCs w:val="16"/>
              </w:rPr>
            </w:pPr>
          </w:p>
        </w:tc>
        <w:tc>
          <w:tcPr>
            <w:tcW w:w="837" w:type="dxa"/>
          </w:tcPr>
          <w:p w14:paraId="75568AC5" w14:textId="77777777" w:rsidR="00AE7191" w:rsidRPr="001E2C69" w:rsidRDefault="00AE7191" w:rsidP="00722885">
            <w:pPr>
              <w:pStyle w:val="Iauiue"/>
              <w:jc w:val="both"/>
              <w:rPr>
                <w:color w:val="000000" w:themeColor="text1"/>
                <w:sz w:val="16"/>
                <w:szCs w:val="16"/>
              </w:rPr>
            </w:pPr>
          </w:p>
        </w:tc>
      </w:tr>
      <w:tr w:rsidR="001E2C69" w:rsidRPr="001E2C69" w14:paraId="5C7C53B8" w14:textId="77777777" w:rsidTr="00CC5360">
        <w:tc>
          <w:tcPr>
            <w:tcW w:w="1809" w:type="dxa"/>
          </w:tcPr>
          <w:p w14:paraId="43828A1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мот. АМ-39 конст.</w:t>
            </w:r>
          </w:p>
        </w:tc>
        <w:tc>
          <w:tcPr>
            <w:tcW w:w="723" w:type="dxa"/>
          </w:tcPr>
          <w:p w14:paraId="01F7C5FC" w14:textId="77777777" w:rsidR="00AE7191" w:rsidRPr="001E2C69" w:rsidRDefault="00AE7191" w:rsidP="00722885">
            <w:pPr>
              <w:pStyle w:val="Iauiue"/>
              <w:jc w:val="both"/>
              <w:rPr>
                <w:color w:val="000000" w:themeColor="text1"/>
                <w:sz w:val="16"/>
                <w:szCs w:val="16"/>
              </w:rPr>
            </w:pPr>
          </w:p>
        </w:tc>
        <w:tc>
          <w:tcPr>
            <w:tcW w:w="862" w:type="dxa"/>
          </w:tcPr>
          <w:p w14:paraId="1973082D" w14:textId="77777777" w:rsidR="00AE7191" w:rsidRPr="001E2C69" w:rsidRDefault="00AE7191" w:rsidP="00722885">
            <w:pPr>
              <w:pStyle w:val="Iauiue"/>
              <w:jc w:val="both"/>
              <w:rPr>
                <w:color w:val="000000" w:themeColor="text1"/>
                <w:sz w:val="16"/>
                <w:szCs w:val="16"/>
              </w:rPr>
            </w:pPr>
          </w:p>
        </w:tc>
        <w:tc>
          <w:tcPr>
            <w:tcW w:w="865" w:type="dxa"/>
          </w:tcPr>
          <w:p w14:paraId="6D0D5F98" w14:textId="77777777" w:rsidR="00AE7191" w:rsidRPr="001E2C69" w:rsidRDefault="00AE7191" w:rsidP="00722885">
            <w:pPr>
              <w:pStyle w:val="Iauiue"/>
              <w:jc w:val="both"/>
              <w:rPr>
                <w:color w:val="000000" w:themeColor="text1"/>
                <w:sz w:val="16"/>
                <w:szCs w:val="16"/>
              </w:rPr>
            </w:pPr>
          </w:p>
        </w:tc>
        <w:tc>
          <w:tcPr>
            <w:tcW w:w="692" w:type="dxa"/>
          </w:tcPr>
          <w:p w14:paraId="3519325F" w14:textId="77777777" w:rsidR="00AE7191" w:rsidRPr="001E2C69" w:rsidRDefault="00AE7191" w:rsidP="00722885">
            <w:pPr>
              <w:pStyle w:val="Iauiue"/>
              <w:jc w:val="both"/>
              <w:rPr>
                <w:color w:val="000000" w:themeColor="text1"/>
                <w:sz w:val="16"/>
                <w:szCs w:val="16"/>
              </w:rPr>
            </w:pPr>
          </w:p>
        </w:tc>
        <w:tc>
          <w:tcPr>
            <w:tcW w:w="1371" w:type="dxa"/>
          </w:tcPr>
          <w:p w14:paraId="22AE2C9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Боезапас.</w:t>
            </w:r>
          </w:p>
        </w:tc>
        <w:tc>
          <w:tcPr>
            <w:tcW w:w="818" w:type="dxa"/>
          </w:tcPr>
          <w:p w14:paraId="0EF0B083" w14:textId="77777777" w:rsidR="00AE7191" w:rsidRPr="001E2C69" w:rsidRDefault="00AE7191" w:rsidP="00722885">
            <w:pPr>
              <w:pStyle w:val="Iauiue"/>
              <w:jc w:val="both"/>
              <w:rPr>
                <w:color w:val="000000" w:themeColor="text1"/>
                <w:sz w:val="16"/>
                <w:szCs w:val="16"/>
              </w:rPr>
            </w:pPr>
          </w:p>
        </w:tc>
        <w:tc>
          <w:tcPr>
            <w:tcW w:w="830" w:type="dxa"/>
          </w:tcPr>
          <w:p w14:paraId="42B05267" w14:textId="77777777" w:rsidR="00AE7191" w:rsidRPr="001E2C69" w:rsidRDefault="00AE7191" w:rsidP="00722885">
            <w:pPr>
              <w:pStyle w:val="Iauiue"/>
              <w:jc w:val="both"/>
              <w:rPr>
                <w:color w:val="000000" w:themeColor="text1"/>
                <w:sz w:val="16"/>
                <w:szCs w:val="16"/>
              </w:rPr>
            </w:pPr>
          </w:p>
        </w:tc>
        <w:tc>
          <w:tcPr>
            <w:tcW w:w="829" w:type="dxa"/>
          </w:tcPr>
          <w:p w14:paraId="015617D5" w14:textId="77777777" w:rsidR="00AE7191" w:rsidRPr="001E2C69" w:rsidRDefault="00AE7191" w:rsidP="00722885">
            <w:pPr>
              <w:pStyle w:val="Iauiue"/>
              <w:jc w:val="both"/>
              <w:rPr>
                <w:color w:val="000000" w:themeColor="text1"/>
                <w:sz w:val="16"/>
                <w:szCs w:val="16"/>
              </w:rPr>
            </w:pPr>
          </w:p>
        </w:tc>
        <w:tc>
          <w:tcPr>
            <w:tcW w:w="968" w:type="dxa"/>
          </w:tcPr>
          <w:p w14:paraId="5EDCF4C2" w14:textId="77777777" w:rsidR="00AE7191" w:rsidRPr="001E2C69" w:rsidRDefault="00AE7191" w:rsidP="00722885">
            <w:pPr>
              <w:pStyle w:val="Iauiue"/>
              <w:jc w:val="both"/>
              <w:rPr>
                <w:color w:val="000000" w:themeColor="text1"/>
                <w:sz w:val="16"/>
                <w:szCs w:val="16"/>
              </w:rPr>
            </w:pPr>
          </w:p>
        </w:tc>
        <w:tc>
          <w:tcPr>
            <w:tcW w:w="837" w:type="dxa"/>
          </w:tcPr>
          <w:p w14:paraId="5DA6A106" w14:textId="77777777" w:rsidR="00AE7191" w:rsidRPr="001E2C69" w:rsidRDefault="00AE7191" w:rsidP="00722885">
            <w:pPr>
              <w:pStyle w:val="Iauiue"/>
              <w:jc w:val="both"/>
              <w:rPr>
                <w:color w:val="000000" w:themeColor="text1"/>
                <w:sz w:val="16"/>
                <w:szCs w:val="16"/>
              </w:rPr>
            </w:pPr>
          </w:p>
        </w:tc>
      </w:tr>
      <w:tr w:rsidR="001E2C69" w:rsidRPr="001E2C69" w14:paraId="43BB430F" w14:textId="77777777" w:rsidTr="00CC5360">
        <w:tc>
          <w:tcPr>
            <w:tcW w:w="1809" w:type="dxa"/>
          </w:tcPr>
          <w:p w14:paraId="28A4B34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Микояна и</w:t>
            </w:r>
          </w:p>
        </w:tc>
        <w:tc>
          <w:tcPr>
            <w:tcW w:w="723" w:type="dxa"/>
          </w:tcPr>
          <w:p w14:paraId="517F7BAB" w14:textId="77777777" w:rsidR="00AE7191" w:rsidRPr="001E2C69" w:rsidRDefault="00AE7191" w:rsidP="00722885">
            <w:pPr>
              <w:pStyle w:val="Iauiue"/>
              <w:jc w:val="both"/>
              <w:rPr>
                <w:color w:val="000000" w:themeColor="text1"/>
                <w:sz w:val="16"/>
                <w:szCs w:val="16"/>
              </w:rPr>
            </w:pPr>
          </w:p>
        </w:tc>
        <w:tc>
          <w:tcPr>
            <w:tcW w:w="862" w:type="dxa"/>
          </w:tcPr>
          <w:p w14:paraId="22B84223" w14:textId="77777777" w:rsidR="00AE7191" w:rsidRPr="001E2C69" w:rsidRDefault="00AE7191" w:rsidP="00722885">
            <w:pPr>
              <w:pStyle w:val="Iauiue"/>
              <w:jc w:val="both"/>
              <w:rPr>
                <w:color w:val="000000" w:themeColor="text1"/>
                <w:sz w:val="16"/>
                <w:szCs w:val="16"/>
              </w:rPr>
            </w:pPr>
          </w:p>
        </w:tc>
        <w:tc>
          <w:tcPr>
            <w:tcW w:w="865" w:type="dxa"/>
          </w:tcPr>
          <w:p w14:paraId="11CE0B97" w14:textId="77777777" w:rsidR="00AE7191" w:rsidRPr="001E2C69" w:rsidRDefault="00AE7191" w:rsidP="00722885">
            <w:pPr>
              <w:pStyle w:val="Iauiue"/>
              <w:jc w:val="both"/>
              <w:rPr>
                <w:color w:val="000000" w:themeColor="text1"/>
                <w:sz w:val="16"/>
                <w:szCs w:val="16"/>
              </w:rPr>
            </w:pPr>
          </w:p>
        </w:tc>
        <w:tc>
          <w:tcPr>
            <w:tcW w:w="692" w:type="dxa"/>
          </w:tcPr>
          <w:p w14:paraId="289F4F49" w14:textId="77777777" w:rsidR="00AE7191" w:rsidRPr="001E2C69" w:rsidRDefault="00AE7191" w:rsidP="00722885">
            <w:pPr>
              <w:pStyle w:val="Iauiue"/>
              <w:jc w:val="both"/>
              <w:rPr>
                <w:color w:val="000000" w:themeColor="text1"/>
                <w:sz w:val="16"/>
                <w:szCs w:val="16"/>
              </w:rPr>
            </w:pPr>
          </w:p>
        </w:tc>
        <w:tc>
          <w:tcPr>
            <w:tcW w:w="1371" w:type="dxa"/>
          </w:tcPr>
          <w:p w14:paraId="02B17C8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300 снар.</w:t>
            </w:r>
          </w:p>
        </w:tc>
        <w:tc>
          <w:tcPr>
            <w:tcW w:w="818" w:type="dxa"/>
          </w:tcPr>
          <w:p w14:paraId="6E036584" w14:textId="77777777" w:rsidR="00AE7191" w:rsidRPr="001E2C69" w:rsidRDefault="00AE7191" w:rsidP="00722885">
            <w:pPr>
              <w:pStyle w:val="Iauiue"/>
              <w:jc w:val="both"/>
              <w:rPr>
                <w:color w:val="000000" w:themeColor="text1"/>
                <w:sz w:val="16"/>
                <w:szCs w:val="16"/>
              </w:rPr>
            </w:pPr>
          </w:p>
        </w:tc>
        <w:tc>
          <w:tcPr>
            <w:tcW w:w="830" w:type="dxa"/>
          </w:tcPr>
          <w:p w14:paraId="135A5951" w14:textId="77777777" w:rsidR="00AE7191" w:rsidRPr="001E2C69" w:rsidRDefault="00AE7191" w:rsidP="00722885">
            <w:pPr>
              <w:pStyle w:val="Iauiue"/>
              <w:jc w:val="both"/>
              <w:rPr>
                <w:color w:val="000000" w:themeColor="text1"/>
                <w:sz w:val="16"/>
                <w:szCs w:val="16"/>
              </w:rPr>
            </w:pPr>
          </w:p>
        </w:tc>
        <w:tc>
          <w:tcPr>
            <w:tcW w:w="829" w:type="dxa"/>
          </w:tcPr>
          <w:p w14:paraId="0C21333F" w14:textId="77777777" w:rsidR="00AE7191" w:rsidRPr="001E2C69" w:rsidRDefault="00AE7191" w:rsidP="00722885">
            <w:pPr>
              <w:pStyle w:val="Iauiue"/>
              <w:jc w:val="both"/>
              <w:rPr>
                <w:color w:val="000000" w:themeColor="text1"/>
                <w:sz w:val="16"/>
                <w:szCs w:val="16"/>
              </w:rPr>
            </w:pPr>
          </w:p>
        </w:tc>
        <w:tc>
          <w:tcPr>
            <w:tcW w:w="968" w:type="dxa"/>
          </w:tcPr>
          <w:p w14:paraId="70B7C1EA" w14:textId="77777777" w:rsidR="00AE7191" w:rsidRPr="001E2C69" w:rsidRDefault="00AE7191" w:rsidP="00722885">
            <w:pPr>
              <w:pStyle w:val="Iauiue"/>
              <w:jc w:val="both"/>
              <w:rPr>
                <w:color w:val="000000" w:themeColor="text1"/>
                <w:sz w:val="16"/>
                <w:szCs w:val="16"/>
              </w:rPr>
            </w:pPr>
          </w:p>
        </w:tc>
        <w:tc>
          <w:tcPr>
            <w:tcW w:w="837" w:type="dxa"/>
          </w:tcPr>
          <w:p w14:paraId="54971987" w14:textId="77777777" w:rsidR="00AE7191" w:rsidRPr="001E2C69" w:rsidRDefault="00AE7191" w:rsidP="00722885">
            <w:pPr>
              <w:pStyle w:val="Iauiue"/>
              <w:jc w:val="both"/>
              <w:rPr>
                <w:color w:val="000000" w:themeColor="text1"/>
                <w:sz w:val="16"/>
                <w:szCs w:val="16"/>
              </w:rPr>
            </w:pPr>
          </w:p>
        </w:tc>
      </w:tr>
      <w:tr w:rsidR="001E2C69" w:rsidRPr="001E2C69" w14:paraId="75028CD7" w14:textId="77777777" w:rsidTr="00CC5360">
        <w:tc>
          <w:tcPr>
            <w:tcW w:w="1809" w:type="dxa"/>
          </w:tcPr>
          <w:p w14:paraId="0208695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Гуревича</w:t>
            </w:r>
          </w:p>
        </w:tc>
        <w:tc>
          <w:tcPr>
            <w:tcW w:w="723" w:type="dxa"/>
          </w:tcPr>
          <w:p w14:paraId="17BD4496" w14:textId="77777777" w:rsidR="00AE7191" w:rsidRPr="001E2C69" w:rsidRDefault="00AE7191" w:rsidP="00722885">
            <w:pPr>
              <w:pStyle w:val="Iauiue"/>
              <w:jc w:val="both"/>
              <w:rPr>
                <w:color w:val="000000" w:themeColor="text1"/>
                <w:sz w:val="16"/>
                <w:szCs w:val="16"/>
              </w:rPr>
            </w:pPr>
          </w:p>
        </w:tc>
        <w:tc>
          <w:tcPr>
            <w:tcW w:w="862" w:type="dxa"/>
          </w:tcPr>
          <w:p w14:paraId="52FCE125" w14:textId="77777777" w:rsidR="00AE7191" w:rsidRPr="001E2C69" w:rsidRDefault="00AE7191" w:rsidP="00722885">
            <w:pPr>
              <w:pStyle w:val="Iauiue"/>
              <w:jc w:val="both"/>
              <w:rPr>
                <w:color w:val="000000" w:themeColor="text1"/>
                <w:sz w:val="16"/>
                <w:szCs w:val="16"/>
              </w:rPr>
            </w:pPr>
          </w:p>
        </w:tc>
        <w:tc>
          <w:tcPr>
            <w:tcW w:w="865" w:type="dxa"/>
          </w:tcPr>
          <w:p w14:paraId="4A563131" w14:textId="77777777" w:rsidR="00AE7191" w:rsidRPr="001E2C69" w:rsidRDefault="00AE7191" w:rsidP="00722885">
            <w:pPr>
              <w:pStyle w:val="Iauiue"/>
              <w:jc w:val="both"/>
              <w:rPr>
                <w:color w:val="000000" w:themeColor="text1"/>
                <w:sz w:val="16"/>
                <w:szCs w:val="16"/>
              </w:rPr>
            </w:pPr>
          </w:p>
        </w:tc>
        <w:tc>
          <w:tcPr>
            <w:tcW w:w="692" w:type="dxa"/>
          </w:tcPr>
          <w:p w14:paraId="67A9FC17" w14:textId="77777777" w:rsidR="00AE7191" w:rsidRPr="001E2C69" w:rsidRDefault="00AE7191" w:rsidP="00722885">
            <w:pPr>
              <w:pStyle w:val="Iauiue"/>
              <w:jc w:val="both"/>
              <w:rPr>
                <w:color w:val="000000" w:themeColor="text1"/>
                <w:sz w:val="16"/>
                <w:szCs w:val="16"/>
              </w:rPr>
            </w:pPr>
          </w:p>
        </w:tc>
        <w:tc>
          <w:tcPr>
            <w:tcW w:w="1371" w:type="dxa"/>
          </w:tcPr>
          <w:p w14:paraId="7F38EFA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пулем.</w:t>
            </w:r>
          </w:p>
        </w:tc>
        <w:tc>
          <w:tcPr>
            <w:tcW w:w="818" w:type="dxa"/>
          </w:tcPr>
          <w:p w14:paraId="464E7F5B" w14:textId="77777777" w:rsidR="00AE7191" w:rsidRPr="001E2C69" w:rsidRDefault="00AE7191" w:rsidP="00722885">
            <w:pPr>
              <w:pStyle w:val="Iauiue"/>
              <w:jc w:val="both"/>
              <w:rPr>
                <w:color w:val="000000" w:themeColor="text1"/>
                <w:sz w:val="16"/>
                <w:szCs w:val="16"/>
              </w:rPr>
            </w:pPr>
          </w:p>
        </w:tc>
        <w:tc>
          <w:tcPr>
            <w:tcW w:w="830" w:type="dxa"/>
          </w:tcPr>
          <w:p w14:paraId="4C78ADFC" w14:textId="77777777" w:rsidR="00AE7191" w:rsidRPr="001E2C69" w:rsidRDefault="00AE7191" w:rsidP="00722885">
            <w:pPr>
              <w:pStyle w:val="Iauiue"/>
              <w:jc w:val="both"/>
              <w:rPr>
                <w:color w:val="000000" w:themeColor="text1"/>
                <w:sz w:val="16"/>
                <w:szCs w:val="16"/>
              </w:rPr>
            </w:pPr>
          </w:p>
        </w:tc>
        <w:tc>
          <w:tcPr>
            <w:tcW w:w="829" w:type="dxa"/>
          </w:tcPr>
          <w:p w14:paraId="4CB773EA" w14:textId="77777777" w:rsidR="00AE7191" w:rsidRPr="001E2C69" w:rsidRDefault="00AE7191" w:rsidP="00722885">
            <w:pPr>
              <w:pStyle w:val="Iauiue"/>
              <w:jc w:val="both"/>
              <w:rPr>
                <w:color w:val="000000" w:themeColor="text1"/>
                <w:sz w:val="16"/>
                <w:szCs w:val="16"/>
              </w:rPr>
            </w:pPr>
          </w:p>
        </w:tc>
        <w:tc>
          <w:tcPr>
            <w:tcW w:w="968" w:type="dxa"/>
          </w:tcPr>
          <w:p w14:paraId="34E6A9E8" w14:textId="77777777" w:rsidR="00AE7191" w:rsidRPr="001E2C69" w:rsidRDefault="00AE7191" w:rsidP="00722885">
            <w:pPr>
              <w:pStyle w:val="Iauiue"/>
              <w:jc w:val="both"/>
              <w:rPr>
                <w:color w:val="000000" w:themeColor="text1"/>
                <w:sz w:val="16"/>
                <w:szCs w:val="16"/>
              </w:rPr>
            </w:pPr>
          </w:p>
        </w:tc>
        <w:tc>
          <w:tcPr>
            <w:tcW w:w="837" w:type="dxa"/>
          </w:tcPr>
          <w:p w14:paraId="1010F137" w14:textId="77777777" w:rsidR="00AE7191" w:rsidRPr="001E2C69" w:rsidRDefault="00AE7191" w:rsidP="00722885">
            <w:pPr>
              <w:pStyle w:val="Iauiue"/>
              <w:jc w:val="both"/>
              <w:rPr>
                <w:color w:val="000000" w:themeColor="text1"/>
                <w:sz w:val="16"/>
                <w:szCs w:val="16"/>
              </w:rPr>
            </w:pPr>
          </w:p>
        </w:tc>
      </w:tr>
      <w:tr w:rsidR="001E2C69" w:rsidRPr="001E2C69" w14:paraId="6AF5D4CC" w14:textId="77777777" w:rsidTr="00CC5360">
        <w:tc>
          <w:tcPr>
            <w:tcW w:w="1809" w:type="dxa"/>
          </w:tcPr>
          <w:p w14:paraId="7DE20757" w14:textId="77777777" w:rsidR="00AE7191" w:rsidRPr="001E2C69" w:rsidRDefault="00AE7191" w:rsidP="00722885">
            <w:pPr>
              <w:pStyle w:val="Iauiue"/>
              <w:jc w:val="both"/>
              <w:rPr>
                <w:color w:val="000000" w:themeColor="text1"/>
                <w:sz w:val="16"/>
                <w:szCs w:val="16"/>
              </w:rPr>
            </w:pPr>
          </w:p>
        </w:tc>
        <w:tc>
          <w:tcPr>
            <w:tcW w:w="723" w:type="dxa"/>
          </w:tcPr>
          <w:p w14:paraId="6340A2E4" w14:textId="77777777" w:rsidR="00AE7191" w:rsidRPr="001E2C69" w:rsidRDefault="00AE7191" w:rsidP="00722885">
            <w:pPr>
              <w:pStyle w:val="Iauiue"/>
              <w:jc w:val="both"/>
              <w:rPr>
                <w:color w:val="000000" w:themeColor="text1"/>
                <w:sz w:val="16"/>
                <w:szCs w:val="16"/>
              </w:rPr>
            </w:pPr>
          </w:p>
        </w:tc>
        <w:tc>
          <w:tcPr>
            <w:tcW w:w="862" w:type="dxa"/>
          </w:tcPr>
          <w:p w14:paraId="41B602A2" w14:textId="77777777" w:rsidR="00AE7191" w:rsidRPr="001E2C69" w:rsidRDefault="00AE7191" w:rsidP="00722885">
            <w:pPr>
              <w:pStyle w:val="Iauiue"/>
              <w:jc w:val="both"/>
              <w:rPr>
                <w:color w:val="000000" w:themeColor="text1"/>
                <w:sz w:val="16"/>
                <w:szCs w:val="16"/>
              </w:rPr>
            </w:pPr>
          </w:p>
        </w:tc>
        <w:tc>
          <w:tcPr>
            <w:tcW w:w="865" w:type="dxa"/>
          </w:tcPr>
          <w:p w14:paraId="7E8FD9B7" w14:textId="77777777" w:rsidR="00AE7191" w:rsidRPr="001E2C69" w:rsidRDefault="00AE7191" w:rsidP="00722885">
            <w:pPr>
              <w:pStyle w:val="Iauiue"/>
              <w:jc w:val="both"/>
              <w:rPr>
                <w:color w:val="000000" w:themeColor="text1"/>
                <w:sz w:val="16"/>
                <w:szCs w:val="16"/>
              </w:rPr>
            </w:pPr>
          </w:p>
        </w:tc>
        <w:tc>
          <w:tcPr>
            <w:tcW w:w="692" w:type="dxa"/>
          </w:tcPr>
          <w:p w14:paraId="6FA02BA7" w14:textId="77777777" w:rsidR="00AE7191" w:rsidRPr="001E2C69" w:rsidRDefault="00AE7191" w:rsidP="00722885">
            <w:pPr>
              <w:pStyle w:val="Iauiue"/>
              <w:jc w:val="both"/>
              <w:rPr>
                <w:color w:val="000000" w:themeColor="text1"/>
                <w:sz w:val="16"/>
                <w:szCs w:val="16"/>
              </w:rPr>
            </w:pPr>
          </w:p>
        </w:tc>
        <w:tc>
          <w:tcPr>
            <w:tcW w:w="1371" w:type="dxa"/>
          </w:tcPr>
          <w:p w14:paraId="6EB78E5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12,7 мм с</w:t>
            </w:r>
          </w:p>
        </w:tc>
        <w:tc>
          <w:tcPr>
            <w:tcW w:w="818" w:type="dxa"/>
          </w:tcPr>
          <w:p w14:paraId="12DC965F" w14:textId="77777777" w:rsidR="00AE7191" w:rsidRPr="001E2C69" w:rsidRDefault="00AE7191" w:rsidP="00722885">
            <w:pPr>
              <w:pStyle w:val="Iauiue"/>
              <w:jc w:val="both"/>
              <w:rPr>
                <w:color w:val="000000" w:themeColor="text1"/>
                <w:sz w:val="16"/>
                <w:szCs w:val="16"/>
              </w:rPr>
            </w:pPr>
          </w:p>
        </w:tc>
        <w:tc>
          <w:tcPr>
            <w:tcW w:w="830" w:type="dxa"/>
          </w:tcPr>
          <w:p w14:paraId="33816A3E" w14:textId="77777777" w:rsidR="00AE7191" w:rsidRPr="001E2C69" w:rsidRDefault="00AE7191" w:rsidP="00722885">
            <w:pPr>
              <w:pStyle w:val="Iauiue"/>
              <w:jc w:val="both"/>
              <w:rPr>
                <w:color w:val="000000" w:themeColor="text1"/>
                <w:sz w:val="16"/>
                <w:szCs w:val="16"/>
              </w:rPr>
            </w:pPr>
          </w:p>
        </w:tc>
        <w:tc>
          <w:tcPr>
            <w:tcW w:w="829" w:type="dxa"/>
          </w:tcPr>
          <w:p w14:paraId="06D59B0D" w14:textId="77777777" w:rsidR="00AE7191" w:rsidRPr="001E2C69" w:rsidRDefault="00AE7191" w:rsidP="00722885">
            <w:pPr>
              <w:pStyle w:val="Iauiue"/>
              <w:jc w:val="both"/>
              <w:rPr>
                <w:color w:val="000000" w:themeColor="text1"/>
                <w:sz w:val="16"/>
                <w:szCs w:val="16"/>
              </w:rPr>
            </w:pPr>
          </w:p>
        </w:tc>
        <w:tc>
          <w:tcPr>
            <w:tcW w:w="968" w:type="dxa"/>
          </w:tcPr>
          <w:p w14:paraId="4BAA02FC" w14:textId="77777777" w:rsidR="00AE7191" w:rsidRPr="001E2C69" w:rsidRDefault="00AE7191" w:rsidP="00722885">
            <w:pPr>
              <w:pStyle w:val="Iauiue"/>
              <w:jc w:val="both"/>
              <w:rPr>
                <w:color w:val="000000" w:themeColor="text1"/>
                <w:sz w:val="16"/>
                <w:szCs w:val="16"/>
              </w:rPr>
            </w:pPr>
          </w:p>
        </w:tc>
        <w:tc>
          <w:tcPr>
            <w:tcW w:w="837" w:type="dxa"/>
          </w:tcPr>
          <w:p w14:paraId="54415F67" w14:textId="77777777" w:rsidR="00AE7191" w:rsidRPr="001E2C69" w:rsidRDefault="00AE7191" w:rsidP="00722885">
            <w:pPr>
              <w:pStyle w:val="Iauiue"/>
              <w:jc w:val="both"/>
              <w:rPr>
                <w:color w:val="000000" w:themeColor="text1"/>
                <w:sz w:val="16"/>
                <w:szCs w:val="16"/>
              </w:rPr>
            </w:pPr>
          </w:p>
        </w:tc>
      </w:tr>
      <w:tr w:rsidR="001E2C69" w:rsidRPr="001E2C69" w14:paraId="297A4438" w14:textId="77777777" w:rsidTr="00CC5360">
        <w:tc>
          <w:tcPr>
            <w:tcW w:w="1809" w:type="dxa"/>
          </w:tcPr>
          <w:p w14:paraId="73F182E7" w14:textId="77777777" w:rsidR="00AE7191" w:rsidRPr="001E2C69" w:rsidRDefault="00AE7191" w:rsidP="00722885">
            <w:pPr>
              <w:pStyle w:val="Iauiue"/>
              <w:jc w:val="both"/>
              <w:rPr>
                <w:color w:val="000000" w:themeColor="text1"/>
                <w:sz w:val="16"/>
                <w:szCs w:val="16"/>
              </w:rPr>
            </w:pPr>
          </w:p>
        </w:tc>
        <w:tc>
          <w:tcPr>
            <w:tcW w:w="723" w:type="dxa"/>
          </w:tcPr>
          <w:p w14:paraId="1337CE3C" w14:textId="77777777" w:rsidR="00AE7191" w:rsidRPr="001E2C69" w:rsidRDefault="00AE7191" w:rsidP="00722885">
            <w:pPr>
              <w:pStyle w:val="Iauiue"/>
              <w:jc w:val="both"/>
              <w:rPr>
                <w:color w:val="000000" w:themeColor="text1"/>
                <w:sz w:val="16"/>
                <w:szCs w:val="16"/>
              </w:rPr>
            </w:pPr>
          </w:p>
        </w:tc>
        <w:tc>
          <w:tcPr>
            <w:tcW w:w="862" w:type="dxa"/>
          </w:tcPr>
          <w:p w14:paraId="5EEF8014" w14:textId="77777777" w:rsidR="00AE7191" w:rsidRPr="001E2C69" w:rsidRDefault="00AE7191" w:rsidP="00722885">
            <w:pPr>
              <w:pStyle w:val="Iauiue"/>
              <w:jc w:val="both"/>
              <w:rPr>
                <w:color w:val="000000" w:themeColor="text1"/>
                <w:sz w:val="16"/>
                <w:szCs w:val="16"/>
              </w:rPr>
            </w:pPr>
          </w:p>
        </w:tc>
        <w:tc>
          <w:tcPr>
            <w:tcW w:w="865" w:type="dxa"/>
          </w:tcPr>
          <w:p w14:paraId="25116685" w14:textId="77777777" w:rsidR="00AE7191" w:rsidRPr="001E2C69" w:rsidRDefault="00AE7191" w:rsidP="00722885">
            <w:pPr>
              <w:pStyle w:val="Iauiue"/>
              <w:jc w:val="both"/>
              <w:rPr>
                <w:color w:val="000000" w:themeColor="text1"/>
                <w:sz w:val="16"/>
                <w:szCs w:val="16"/>
              </w:rPr>
            </w:pPr>
          </w:p>
        </w:tc>
        <w:tc>
          <w:tcPr>
            <w:tcW w:w="692" w:type="dxa"/>
          </w:tcPr>
          <w:p w14:paraId="2796BB55" w14:textId="77777777" w:rsidR="00AE7191" w:rsidRPr="001E2C69" w:rsidRDefault="00AE7191" w:rsidP="00722885">
            <w:pPr>
              <w:pStyle w:val="Iauiue"/>
              <w:jc w:val="both"/>
              <w:rPr>
                <w:color w:val="000000" w:themeColor="text1"/>
                <w:sz w:val="16"/>
                <w:szCs w:val="16"/>
              </w:rPr>
            </w:pPr>
          </w:p>
        </w:tc>
        <w:tc>
          <w:tcPr>
            <w:tcW w:w="1371" w:type="dxa"/>
          </w:tcPr>
          <w:p w14:paraId="5C9D7C8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боезапасом</w:t>
            </w:r>
          </w:p>
        </w:tc>
        <w:tc>
          <w:tcPr>
            <w:tcW w:w="818" w:type="dxa"/>
          </w:tcPr>
          <w:p w14:paraId="20BE256D" w14:textId="77777777" w:rsidR="00AE7191" w:rsidRPr="001E2C69" w:rsidRDefault="00AE7191" w:rsidP="00722885">
            <w:pPr>
              <w:pStyle w:val="Iauiue"/>
              <w:jc w:val="both"/>
              <w:rPr>
                <w:color w:val="000000" w:themeColor="text1"/>
                <w:sz w:val="16"/>
                <w:szCs w:val="16"/>
              </w:rPr>
            </w:pPr>
          </w:p>
        </w:tc>
        <w:tc>
          <w:tcPr>
            <w:tcW w:w="830" w:type="dxa"/>
          </w:tcPr>
          <w:p w14:paraId="39AE81CB" w14:textId="77777777" w:rsidR="00AE7191" w:rsidRPr="001E2C69" w:rsidRDefault="00AE7191" w:rsidP="00722885">
            <w:pPr>
              <w:pStyle w:val="Iauiue"/>
              <w:jc w:val="both"/>
              <w:rPr>
                <w:color w:val="000000" w:themeColor="text1"/>
                <w:sz w:val="16"/>
                <w:szCs w:val="16"/>
              </w:rPr>
            </w:pPr>
          </w:p>
        </w:tc>
        <w:tc>
          <w:tcPr>
            <w:tcW w:w="829" w:type="dxa"/>
          </w:tcPr>
          <w:p w14:paraId="76B60F40" w14:textId="77777777" w:rsidR="00AE7191" w:rsidRPr="001E2C69" w:rsidRDefault="00AE7191" w:rsidP="00722885">
            <w:pPr>
              <w:pStyle w:val="Iauiue"/>
              <w:jc w:val="both"/>
              <w:rPr>
                <w:color w:val="000000" w:themeColor="text1"/>
                <w:sz w:val="16"/>
                <w:szCs w:val="16"/>
              </w:rPr>
            </w:pPr>
          </w:p>
        </w:tc>
        <w:tc>
          <w:tcPr>
            <w:tcW w:w="968" w:type="dxa"/>
          </w:tcPr>
          <w:p w14:paraId="41740788" w14:textId="77777777" w:rsidR="00AE7191" w:rsidRPr="001E2C69" w:rsidRDefault="00AE7191" w:rsidP="00722885">
            <w:pPr>
              <w:pStyle w:val="Iauiue"/>
              <w:jc w:val="both"/>
              <w:rPr>
                <w:color w:val="000000" w:themeColor="text1"/>
                <w:sz w:val="16"/>
                <w:szCs w:val="16"/>
              </w:rPr>
            </w:pPr>
          </w:p>
        </w:tc>
        <w:tc>
          <w:tcPr>
            <w:tcW w:w="837" w:type="dxa"/>
          </w:tcPr>
          <w:p w14:paraId="1B51BADC" w14:textId="77777777" w:rsidR="00AE7191" w:rsidRPr="001E2C69" w:rsidRDefault="00AE7191" w:rsidP="00722885">
            <w:pPr>
              <w:pStyle w:val="Iauiue"/>
              <w:jc w:val="both"/>
              <w:rPr>
                <w:color w:val="000000" w:themeColor="text1"/>
                <w:sz w:val="16"/>
                <w:szCs w:val="16"/>
              </w:rPr>
            </w:pPr>
          </w:p>
        </w:tc>
      </w:tr>
      <w:tr w:rsidR="001E2C69" w:rsidRPr="001E2C69" w14:paraId="36AA4809" w14:textId="77777777" w:rsidTr="00CC5360">
        <w:tc>
          <w:tcPr>
            <w:tcW w:w="1809" w:type="dxa"/>
          </w:tcPr>
          <w:p w14:paraId="5297D7F5" w14:textId="77777777" w:rsidR="00AE7191" w:rsidRPr="001E2C69" w:rsidRDefault="00AE7191" w:rsidP="00722885">
            <w:pPr>
              <w:pStyle w:val="Iauiue"/>
              <w:jc w:val="both"/>
              <w:rPr>
                <w:color w:val="000000" w:themeColor="text1"/>
                <w:sz w:val="16"/>
                <w:szCs w:val="16"/>
              </w:rPr>
            </w:pPr>
          </w:p>
        </w:tc>
        <w:tc>
          <w:tcPr>
            <w:tcW w:w="723" w:type="dxa"/>
          </w:tcPr>
          <w:p w14:paraId="2644B403" w14:textId="77777777" w:rsidR="00AE7191" w:rsidRPr="001E2C69" w:rsidRDefault="00AE7191" w:rsidP="00722885">
            <w:pPr>
              <w:pStyle w:val="Iauiue"/>
              <w:jc w:val="both"/>
              <w:rPr>
                <w:color w:val="000000" w:themeColor="text1"/>
                <w:sz w:val="16"/>
                <w:szCs w:val="16"/>
              </w:rPr>
            </w:pPr>
          </w:p>
        </w:tc>
        <w:tc>
          <w:tcPr>
            <w:tcW w:w="862" w:type="dxa"/>
          </w:tcPr>
          <w:p w14:paraId="34BAA10C" w14:textId="77777777" w:rsidR="00AE7191" w:rsidRPr="001E2C69" w:rsidRDefault="00AE7191" w:rsidP="00722885">
            <w:pPr>
              <w:pStyle w:val="Iauiue"/>
              <w:jc w:val="both"/>
              <w:rPr>
                <w:color w:val="000000" w:themeColor="text1"/>
                <w:sz w:val="16"/>
                <w:szCs w:val="16"/>
              </w:rPr>
            </w:pPr>
          </w:p>
        </w:tc>
        <w:tc>
          <w:tcPr>
            <w:tcW w:w="865" w:type="dxa"/>
          </w:tcPr>
          <w:p w14:paraId="76C1078C" w14:textId="77777777" w:rsidR="00AE7191" w:rsidRPr="001E2C69" w:rsidRDefault="00AE7191" w:rsidP="00722885">
            <w:pPr>
              <w:pStyle w:val="Iauiue"/>
              <w:jc w:val="both"/>
              <w:rPr>
                <w:color w:val="000000" w:themeColor="text1"/>
                <w:sz w:val="16"/>
                <w:szCs w:val="16"/>
              </w:rPr>
            </w:pPr>
          </w:p>
        </w:tc>
        <w:tc>
          <w:tcPr>
            <w:tcW w:w="692" w:type="dxa"/>
          </w:tcPr>
          <w:p w14:paraId="664B7CEB" w14:textId="77777777" w:rsidR="00AE7191" w:rsidRPr="001E2C69" w:rsidRDefault="00AE7191" w:rsidP="00722885">
            <w:pPr>
              <w:pStyle w:val="Iauiue"/>
              <w:jc w:val="both"/>
              <w:rPr>
                <w:color w:val="000000" w:themeColor="text1"/>
                <w:sz w:val="16"/>
                <w:szCs w:val="16"/>
              </w:rPr>
            </w:pPr>
          </w:p>
        </w:tc>
        <w:tc>
          <w:tcPr>
            <w:tcW w:w="1371" w:type="dxa"/>
          </w:tcPr>
          <w:p w14:paraId="7904355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400 патрон.</w:t>
            </w:r>
          </w:p>
        </w:tc>
        <w:tc>
          <w:tcPr>
            <w:tcW w:w="818" w:type="dxa"/>
          </w:tcPr>
          <w:p w14:paraId="317F08A6" w14:textId="77777777" w:rsidR="00AE7191" w:rsidRPr="001E2C69" w:rsidRDefault="00AE7191" w:rsidP="00722885">
            <w:pPr>
              <w:pStyle w:val="Iauiue"/>
              <w:jc w:val="both"/>
              <w:rPr>
                <w:color w:val="000000" w:themeColor="text1"/>
                <w:sz w:val="16"/>
                <w:szCs w:val="16"/>
              </w:rPr>
            </w:pPr>
          </w:p>
        </w:tc>
        <w:tc>
          <w:tcPr>
            <w:tcW w:w="830" w:type="dxa"/>
          </w:tcPr>
          <w:p w14:paraId="717B8B10" w14:textId="77777777" w:rsidR="00AE7191" w:rsidRPr="001E2C69" w:rsidRDefault="00AE7191" w:rsidP="00722885">
            <w:pPr>
              <w:pStyle w:val="Iauiue"/>
              <w:jc w:val="both"/>
              <w:rPr>
                <w:color w:val="000000" w:themeColor="text1"/>
                <w:sz w:val="16"/>
                <w:szCs w:val="16"/>
              </w:rPr>
            </w:pPr>
          </w:p>
        </w:tc>
        <w:tc>
          <w:tcPr>
            <w:tcW w:w="829" w:type="dxa"/>
          </w:tcPr>
          <w:p w14:paraId="2B92DEF2" w14:textId="77777777" w:rsidR="00AE7191" w:rsidRPr="001E2C69" w:rsidRDefault="00AE7191" w:rsidP="00722885">
            <w:pPr>
              <w:pStyle w:val="Iauiue"/>
              <w:jc w:val="both"/>
              <w:rPr>
                <w:color w:val="000000" w:themeColor="text1"/>
                <w:sz w:val="16"/>
                <w:szCs w:val="16"/>
              </w:rPr>
            </w:pPr>
          </w:p>
        </w:tc>
        <w:tc>
          <w:tcPr>
            <w:tcW w:w="968" w:type="dxa"/>
          </w:tcPr>
          <w:p w14:paraId="3C7FC6C0" w14:textId="77777777" w:rsidR="00AE7191" w:rsidRPr="001E2C69" w:rsidRDefault="00AE7191" w:rsidP="00722885">
            <w:pPr>
              <w:pStyle w:val="Iauiue"/>
              <w:jc w:val="both"/>
              <w:rPr>
                <w:color w:val="000000" w:themeColor="text1"/>
                <w:sz w:val="16"/>
                <w:szCs w:val="16"/>
              </w:rPr>
            </w:pPr>
          </w:p>
        </w:tc>
        <w:tc>
          <w:tcPr>
            <w:tcW w:w="837" w:type="dxa"/>
          </w:tcPr>
          <w:p w14:paraId="0CF88F9E" w14:textId="77777777" w:rsidR="00AE7191" w:rsidRPr="001E2C69" w:rsidRDefault="00AE7191" w:rsidP="00722885">
            <w:pPr>
              <w:pStyle w:val="Iauiue"/>
              <w:jc w:val="both"/>
              <w:rPr>
                <w:color w:val="000000" w:themeColor="text1"/>
                <w:sz w:val="16"/>
                <w:szCs w:val="16"/>
              </w:rPr>
            </w:pPr>
          </w:p>
        </w:tc>
      </w:tr>
      <w:tr w:rsidR="001E2C69" w:rsidRPr="001E2C69" w14:paraId="7ECA0BEC" w14:textId="77777777" w:rsidTr="00CC5360">
        <w:tc>
          <w:tcPr>
            <w:tcW w:w="1809" w:type="dxa"/>
          </w:tcPr>
          <w:p w14:paraId="3D9A5E7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Одноместный</w:t>
            </w:r>
          </w:p>
        </w:tc>
        <w:tc>
          <w:tcPr>
            <w:tcW w:w="723" w:type="dxa"/>
          </w:tcPr>
          <w:p w14:paraId="66276D0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550</w:t>
            </w:r>
          </w:p>
        </w:tc>
        <w:tc>
          <w:tcPr>
            <w:tcW w:w="862" w:type="dxa"/>
          </w:tcPr>
          <w:p w14:paraId="118E5EF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680/6000</w:t>
            </w:r>
          </w:p>
        </w:tc>
        <w:tc>
          <w:tcPr>
            <w:tcW w:w="865" w:type="dxa"/>
          </w:tcPr>
          <w:p w14:paraId="1DDCFC4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800</w:t>
            </w:r>
          </w:p>
        </w:tc>
        <w:tc>
          <w:tcPr>
            <w:tcW w:w="692" w:type="dxa"/>
          </w:tcPr>
          <w:p w14:paraId="41C6D02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10000</w:t>
            </w:r>
          </w:p>
        </w:tc>
        <w:tc>
          <w:tcPr>
            <w:tcW w:w="1371" w:type="dxa"/>
          </w:tcPr>
          <w:p w14:paraId="032CA0B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пушки</w:t>
            </w:r>
          </w:p>
        </w:tc>
        <w:tc>
          <w:tcPr>
            <w:tcW w:w="818" w:type="dxa"/>
          </w:tcPr>
          <w:p w14:paraId="621E74E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0/200</w:t>
            </w:r>
          </w:p>
        </w:tc>
        <w:tc>
          <w:tcPr>
            <w:tcW w:w="830" w:type="dxa"/>
          </w:tcPr>
          <w:p w14:paraId="4578B03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6РО-82</w:t>
            </w:r>
          </w:p>
        </w:tc>
        <w:tc>
          <w:tcPr>
            <w:tcW w:w="829" w:type="dxa"/>
          </w:tcPr>
          <w:p w14:paraId="420E2CF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w:t>
            </w:r>
          </w:p>
        </w:tc>
        <w:tc>
          <w:tcPr>
            <w:tcW w:w="968" w:type="dxa"/>
          </w:tcPr>
          <w:p w14:paraId="34DEDB0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1.V.43</w:t>
            </w:r>
          </w:p>
        </w:tc>
        <w:tc>
          <w:tcPr>
            <w:tcW w:w="837" w:type="dxa"/>
          </w:tcPr>
          <w:p w14:paraId="6485DF0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7000</w:t>
            </w:r>
          </w:p>
        </w:tc>
      </w:tr>
      <w:tr w:rsidR="001E2C69" w:rsidRPr="001E2C69" w14:paraId="26AB968E" w14:textId="77777777" w:rsidTr="00CC5360">
        <w:tc>
          <w:tcPr>
            <w:tcW w:w="1809" w:type="dxa"/>
          </w:tcPr>
          <w:p w14:paraId="28384AA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истребитель с</w:t>
            </w:r>
          </w:p>
        </w:tc>
        <w:tc>
          <w:tcPr>
            <w:tcW w:w="723" w:type="dxa"/>
          </w:tcPr>
          <w:p w14:paraId="1294D47E" w14:textId="77777777" w:rsidR="00AE7191" w:rsidRPr="001E2C69" w:rsidRDefault="00AE7191" w:rsidP="00722885">
            <w:pPr>
              <w:pStyle w:val="Iauiue"/>
              <w:jc w:val="both"/>
              <w:rPr>
                <w:color w:val="000000" w:themeColor="text1"/>
                <w:sz w:val="16"/>
                <w:szCs w:val="16"/>
              </w:rPr>
            </w:pPr>
          </w:p>
        </w:tc>
        <w:tc>
          <w:tcPr>
            <w:tcW w:w="862" w:type="dxa"/>
          </w:tcPr>
          <w:p w14:paraId="72A8A7DC" w14:textId="77777777" w:rsidR="00AE7191" w:rsidRPr="001E2C69" w:rsidRDefault="00AE7191" w:rsidP="00722885">
            <w:pPr>
              <w:pStyle w:val="Iauiue"/>
              <w:jc w:val="both"/>
              <w:rPr>
                <w:color w:val="000000" w:themeColor="text1"/>
                <w:sz w:val="16"/>
                <w:szCs w:val="16"/>
              </w:rPr>
            </w:pPr>
          </w:p>
        </w:tc>
        <w:tc>
          <w:tcPr>
            <w:tcW w:w="865" w:type="dxa"/>
          </w:tcPr>
          <w:p w14:paraId="4B3C84B4" w14:textId="77777777" w:rsidR="00AE7191" w:rsidRPr="001E2C69" w:rsidRDefault="00AE7191" w:rsidP="00722885">
            <w:pPr>
              <w:pStyle w:val="Iauiue"/>
              <w:jc w:val="both"/>
              <w:rPr>
                <w:color w:val="000000" w:themeColor="text1"/>
                <w:sz w:val="16"/>
                <w:szCs w:val="16"/>
              </w:rPr>
            </w:pPr>
          </w:p>
        </w:tc>
        <w:tc>
          <w:tcPr>
            <w:tcW w:w="692" w:type="dxa"/>
          </w:tcPr>
          <w:p w14:paraId="6BBBC8E0" w14:textId="77777777" w:rsidR="00AE7191" w:rsidRPr="001E2C69" w:rsidRDefault="00AE7191" w:rsidP="00722885">
            <w:pPr>
              <w:pStyle w:val="Iauiue"/>
              <w:jc w:val="both"/>
              <w:rPr>
                <w:color w:val="000000" w:themeColor="text1"/>
                <w:sz w:val="16"/>
                <w:szCs w:val="16"/>
              </w:rPr>
            </w:pPr>
          </w:p>
        </w:tc>
        <w:tc>
          <w:tcPr>
            <w:tcW w:w="1371" w:type="dxa"/>
          </w:tcPr>
          <w:p w14:paraId="1E16314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 мм с</w:t>
            </w:r>
          </w:p>
        </w:tc>
        <w:tc>
          <w:tcPr>
            <w:tcW w:w="818" w:type="dxa"/>
          </w:tcPr>
          <w:p w14:paraId="546CA2CB" w14:textId="77777777" w:rsidR="00AE7191" w:rsidRPr="001E2C69" w:rsidRDefault="00AE7191" w:rsidP="00722885">
            <w:pPr>
              <w:pStyle w:val="Iauiue"/>
              <w:jc w:val="both"/>
              <w:rPr>
                <w:color w:val="000000" w:themeColor="text1"/>
                <w:sz w:val="16"/>
                <w:szCs w:val="16"/>
              </w:rPr>
            </w:pPr>
          </w:p>
        </w:tc>
        <w:tc>
          <w:tcPr>
            <w:tcW w:w="830" w:type="dxa"/>
          </w:tcPr>
          <w:p w14:paraId="66AE1C36" w14:textId="77777777" w:rsidR="00AE7191" w:rsidRPr="001E2C69" w:rsidRDefault="00AE7191" w:rsidP="00722885">
            <w:pPr>
              <w:pStyle w:val="Iauiue"/>
              <w:jc w:val="both"/>
              <w:rPr>
                <w:color w:val="000000" w:themeColor="text1"/>
                <w:sz w:val="16"/>
                <w:szCs w:val="16"/>
              </w:rPr>
            </w:pPr>
          </w:p>
        </w:tc>
        <w:tc>
          <w:tcPr>
            <w:tcW w:w="829" w:type="dxa"/>
          </w:tcPr>
          <w:p w14:paraId="407D34FC" w14:textId="77777777" w:rsidR="00AE7191" w:rsidRPr="001E2C69" w:rsidRDefault="00AE7191" w:rsidP="00722885">
            <w:pPr>
              <w:pStyle w:val="Iauiue"/>
              <w:jc w:val="both"/>
              <w:rPr>
                <w:color w:val="000000" w:themeColor="text1"/>
                <w:sz w:val="16"/>
                <w:szCs w:val="16"/>
              </w:rPr>
            </w:pPr>
          </w:p>
        </w:tc>
        <w:tc>
          <w:tcPr>
            <w:tcW w:w="968" w:type="dxa"/>
          </w:tcPr>
          <w:p w14:paraId="1E667A92" w14:textId="77777777" w:rsidR="00AE7191" w:rsidRPr="001E2C69" w:rsidRDefault="00AE7191" w:rsidP="00722885">
            <w:pPr>
              <w:pStyle w:val="Iauiue"/>
              <w:jc w:val="both"/>
              <w:rPr>
                <w:color w:val="000000" w:themeColor="text1"/>
                <w:sz w:val="16"/>
                <w:szCs w:val="16"/>
              </w:rPr>
            </w:pPr>
          </w:p>
        </w:tc>
        <w:tc>
          <w:tcPr>
            <w:tcW w:w="837" w:type="dxa"/>
          </w:tcPr>
          <w:p w14:paraId="5C78F067" w14:textId="77777777" w:rsidR="00AE7191" w:rsidRPr="001E2C69" w:rsidRDefault="00AE7191" w:rsidP="00722885">
            <w:pPr>
              <w:pStyle w:val="Iauiue"/>
              <w:jc w:val="both"/>
              <w:rPr>
                <w:color w:val="000000" w:themeColor="text1"/>
                <w:sz w:val="16"/>
                <w:szCs w:val="16"/>
              </w:rPr>
            </w:pPr>
          </w:p>
        </w:tc>
      </w:tr>
      <w:tr w:rsidR="001E2C69" w:rsidRPr="001E2C69" w14:paraId="1BCC69D0" w14:textId="77777777" w:rsidTr="00CC5360">
        <w:tc>
          <w:tcPr>
            <w:tcW w:w="1809" w:type="dxa"/>
          </w:tcPr>
          <w:p w14:paraId="1FBB981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мот. М-250</w:t>
            </w:r>
          </w:p>
        </w:tc>
        <w:tc>
          <w:tcPr>
            <w:tcW w:w="723" w:type="dxa"/>
          </w:tcPr>
          <w:p w14:paraId="7AC636F1" w14:textId="77777777" w:rsidR="00AE7191" w:rsidRPr="001E2C69" w:rsidRDefault="00AE7191" w:rsidP="00722885">
            <w:pPr>
              <w:pStyle w:val="Iauiue"/>
              <w:jc w:val="both"/>
              <w:rPr>
                <w:color w:val="000000" w:themeColor="text1"/>
                <w:sz w:val="16"/>
                <w:szCs w:val="16"/>
              </w:rPr>
            </w:pPr>
          </w:p>
        </w:tc>
        <w:tc>
          <w:tcPr>
            <w:tcW w:w="862" w:type="dxa"/>
          </w:tcPr>
          <w:p w14:paraId="2136A92C" w14:textId="77777777" w:rsidR="00AE7191" w:rsidRPr="001E2C69" w:rsidRDefault="00AE7191" w:rsidP="00722885">
            <w:pPr>
              <w:pStyle w:val="Iauiue"/>
              <w:jc w:val="both"/>
              <w:rPr>
                <w:color w:val="000000" w:themeColor="text1"/>
                <w:sz w:val="16"/>
                <w:szCs w:val="16"/>
              </w:rPr>
            </w:pPr>
          </w:p>
        </w:tc>
        <w:tc>
          <w:tcPr>
            <w:tcW w:w="865" w:type="dxa"/>
          </w:tcPr>
          <w:p w14:paraId="4904CCEF" w14:textId="77777777" w:rsidR="00AE7191" w:rsidRPr="001E2C69" w:rsidRDefault="00AE7191" w:rsidP="00722885">
            <w:pPr>
              <w:pStyle w:val="Iauiue"/>
              <w:jc w:val="both"/>
              <w:rPr>
                <w:color w:val="000000" w:themeColor="text1"/>
                <w:sz w:val="16"/>
                <w:szCs w:val="16"/>
              </w:rPr>
            </w:pPr>
          </w:p>
        </w:tc>
        <w:tc>
          <w:tcPr>
            <w:tcW w:w="692" w:type="dxa"/>
          </w:tcPr>
          <w:p w14:paraId="5836BF65" w14:textId="77777777" w:rsidR="00AE7191" w:rsidRPr="001E2C69" w:rsidRDefault="00AE7191" w:rsidP="00722885">
            <w:pPr>
              <w:pStyle w:val="Iauiue"/>
              <w:jc w:val="both"/>
              <w:rPr>
                <w:color w:val="000000" w:themeColor="text1"/>
                <w:sz w:val="16"/>
                <w:szCs w:val="16"/>
              </w:rPr>
            </w:pPr>
          </w:p>
        </w:tc>
        <w:tc>
          <w:tcPr>
            <w:tcW w:w="1371" w:type="dxa"/>
          </w:tcPr>
          <w:p w14:paraId="475965F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боезапасом</w:t>
            </w:r>
          </w:p>
        </w:tc>
        <w:tc>
          <w:tcPr>
            <w:tcW w:w="818" w:type="dxa"/>
          </w:tcPr>
          <w:p w14:paraId="4BA9EAF5" w14:textId="77777777" w:rsidR="00AE7191" w:rsidRPr="001E2C69" w:rsidRDefault="00AE7191" w:rsidP="00722885">
            <w:pPr>
              <w:pStyle w:val="Iauiue"/>
              <w:jc w:val="both"/>
              <w:rPr>
                <w:color w:val="000000" w:themeColor="text1"/>
                <w:sz w:val="16"/>
                <w:szCs w:val="16"/>
              </w:rPr>
            </w:pPr>
          </w:p>
        </w:tc>
        <w:tc>
          <w:tcPr>
            <w:tcW w:w="830" w:type="dxa"/>
          </w:tcPr>
          <w:p w14:paraId="50A78940" w14:textId="77777777" w:rsidR="00AE7191" w:rsidRPr="001E2C69" w:rsidRDefault="00AE7191" w:rsidP="00722885">
            <w:pPr>
              <w:pStyle w:val="Iauiue"/>
              <w:jc w:val="both"/>
              <w:rPr>
                <w:color w:val="000000" w:themeColor="text1"/>
                <w:sz w:val="16"/>
                <w:szCs w:val="16"/>
              </w:rPr>
            </w:pPr>
          </w:p>
        </w:tc>
        <w:tc>
          <w:tcPr>
            <w:tcW w:w="829" w:type="dxa"/>
          </w:tcPr>
          <w:p w14:paraId="46494AB2" w14:textId="77777777" w:rsidR="00AE7191" w:rsidRPr="001E2C69" w:rsidRDefault="00AE7191" w:rsidP="00722885">
            <w:pPr>
              <w:pStyle w:val="Iauiue"/>
              <w:jc w:val="both"/>
              <w:rPr>
                <w:color w:val="000000" w:themeColor="text1"/>
                <w:sz w:val="16"/>
                <w:szCs w:val="16"/>
              </w:rPr>
            </w:pPr>
          </w:p>
        </w:tc>
        <w:tc>
          <w:tcPr>
            <w:tcW w:w="968" w:type="dxa"/>
          </w:tcPr>
          <w:p w14:paraId="04C35E77" w14:textId="77777777" w:rsidR="00AE7191" w:rsidRPr="001E2C69" w:rsidRDefault="00AE7191" w:rsidP="00722885">
            <w:pPr>
              <w:pStyle w:val="Iauiue"/>
              <w:jc w:val="both"/>
              <w:rPr>
                <w:color w:val="000000" w:themeColor="text1"/>
                <w:sz w:val="16"/>
                <w:szCs w:val="16"/>
              </w:rPr>
            </w:pPr>
          </w:p>
        </w:tc>
        <w:tc>
          <w:tcPr>
            <w:tcW w:w="837" w:type="dxa"/>
          </w:tcPr>
          <w:p w14:paraId="560BBFDD" w14:textId="77777777" w:rsidR="00AE7191" w:rsidRPr="001E2C69" w:rsidRDefault="00AE7191" w:rsidP="00722885">
            <w:pPr>
              <w:pStyle w:val="Iauiue"/>
              <w:jc w:val="both"/>
              <w:rPr>
                <w:color w:val="000000" w:themeColor="text1"/>
                <w:sz w:val="16"/>
                <w:szCs w:val="16"/>
              </w:rPr>
            </w:pPr>
          </w:p>
        </w:tc>
      </w:tr>
      <w:tr w:rsidR="001E2C69" w:rsidRPr="001E2C69" w14:paraId="3C8A83BC" w14:textId="77777777" w:rsidTr="00CC5360">
        <w:tc>
          <w:tcPr>
            <w:tcW w:w="1809" w:type="dxa"/>
          </w:tcPr>
          <w:p w14:paraId="0C0412F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констр. Яковлева</w:t>
            </w:r>
          </w:p>
        </w:tc>
        <w:tc>
          <w:tcPr>
            <w:tcW w:w="723" w:type="dxa"/>
          </w:tcPr>
          <w:p w14:paraId="1357CB92" w14:textId="77777777" w:rsidR="00AE7191" w:rsidRPr="001E2C69" w:rsidRDefault="00AE7191" w:rsidP="00722885">
            <w:pPr>
              <w:pStyle w:val="Iauiue"/>
              <w:jc w:val="both"/>
              <w:rPr>
                <w:color w:val="000000" w:themeColor="text1"/>
                <w:sz w:val="16"/>
                <w:szCs w:val="16"/>
              </w:rPr>
            </w:pPr>
          </w:p>
        </w:tc>
        <w:tc>
          <w:tcPr>
            <w:tcW w:w="862" w:type="dxa"/>
          </w:tcPr>
          <w:p w14:paraId="2A296AF8" w14:textId="77777777" w:rsidR="00AE7191" w:rsidRPr="001E2C69" w:rsidRDefault="00AE7191" w:rsidP="00722885">
            <w:pPr>
              <w:pStyle w:val="Iauiue"/>
              <w:jc w:val="both"/>
              <w:rPr>
                <w:color w:val="000000" w:themeColor="text1"/>
                <w:sz w:val="16"/>
                <w:szCs w:val="16"/>
              </w:rPr>
            </w:pPr>
          </w:p>
        </w:tc>
        <w:tc>
          <w:tcPr>
            <w:tcW w:w="865" w:type="dxa"/>
          </w:tcPr>
          <w:p w14:paraId="11F97826" w14:textId="77777777" w:rsidR="00AE7191" w:rsidRPr="001E2C69" w:rsidRDefault="00AE7191" w:rsidP="00722885">
            <w:pPr>
              <w:pStyle w:val="Iauiue"/>
              <w:jc w:val="both"/>
              <w:rPr>
                <w:color w:val="000000" w:themeColor="text1"/>
                <w:sz w:val="16"/>
                <w:szCs w:val="16"/>
              </w:rPr>
            </w:pPr>
          </w:p>
        </w:tc>
        <w:tc>
          <w:tcPr>
            <w:tcW w:w="692" w:type="dxa"/>
          </w:tcPr>
          <w:p w14:paraId="2A830B4B" w14:textId="77777777" w:rsidR="00AE7191" w:rsidRPr="001E2C69" w:rsidRDefault="00AE7191" w:rsidP="00722885">
            <w:pPr>
              <w:pStyle w:val="Iauiue"/>
              <w:jc w:val="both"/>
              <w:rPr>
                <w:color w:val="000000" w:themeColor="text1"/>
                <w:sz w:val="16"/>
                <w:szCs w:val="16"/>
              </w:rPr>
            </w:pPr>
          </w:p>
        </w:tc>
        <w:tc>
          <w:tcPr>
            <w:tcW w:w="1371" w:type="dxa"/>
          </w:tcPr>
          <w:p w14:paraId="00550CA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300 снаряд.</w:t>
            </w:r>
          </w:p>
        </w:tc>
        <w:tc>
          <w:tcPr>
            <w:tcW w:w="818" w:type="dxa"/>
          </w:tcPr>
          <w:p w14:paraId="59D2EBF5" w14:textId="77777777" w:rsidR="00AE7191" w:rsidRPr="001E2C69" w:rsidRDefault="00AE7191" w:rsidP="00722885">
            <w:pPr>
              <w:pStyle w:val="Iauiue"/>
              <w:jc w:val="both"/>
              <w:rPr>
                <w:color w:val="000000" w:themeColor="text1"/>
                <w:sz w:val="16"/>
                <w:szCs w:val="16"/>
              </w:rPr>
            </w:pPr>
          </w:p>
        </w:tc>
        <w:tc>
          <w:tcPr>
            <w:tcW w:w="830" w:type="dxa"/>
          </w:tcPr>
          <w:p w14:paraId="0BB303EE" w14:textId="77777777" w:rsidR="00AE7191" w:rsidRPr="001E2C69" w:rsidRDefault="00AE7191" w:rsidP="00722885">
            <w:pPr>
              <w:pStyle w:val="Iauiue"/>
              <w:jc w:val="both"/>
              <w:rPr>
                <w:color w:val="000000" w:themeColor="text1"/>
                <w:sz w:val="16"/>
                <w:szCs w:val="16"/>
              </w:rPr>
            </w:pPr>
          </w:p>
        </w:tc>
        <w:tc>
          <w:tcPr>
            <w:tcW w:w="829" w:type="dxa"/>
          </w:tcPr>
          <w:p w14:paraId="6DAA6EDD" w14:textId="77777777" w:rsidR="00AE7191" w:rsidRPr="001E2C69" w:rsidRDefault="00AE7191" w:rsidP="00722885">
            <w:pPr>
              <w:pStyle w:val="Iauiue"/>
              <w:jc w:val="both"/>
              <w:rPr>
                <w:color w:val="000000" w:themeColor="text1"/>
                <w:sz w:val="16"/>
                <w:szCs w:val="16"/>
              </w:rPr>
            </w:pPr>
          </w:p>
        </w:tc>
        <w:tc>
          <w:tcPr>
            <w:tcW w:w="968" w:type="dxa"/>
          </w:tcPr>
          <w:p w14:paraId="3E6C1756" w14:textId="77777777" w:rsidR="00AE7191" w:rsidRPr="001E2C69" w:rsidRDefault="00AE7191" w:rsidP="00722885">
            <w:pPr>
              <w:pStyle w:val="Iauiue"/>
              <w:jc w:val="both"/>
              <w:rPr>
                <w:color w:val="000000" w:themeColor="text1"/>
                <w:sz w:val="16"/>
                <w:szCs w:val="16"/>
              </w:rPr>
            </w:pPr>
          </w:p>
        </w:tc>
        <w:tc>
          <w:tcPr>
            <w:tcW w:w="837" w:type="dxa"/>
          </w:tcPr>
          <w:p w14:paraId="53C80C3E" w14:textId="77777777" w:rsidR="00AE7191" w:rsidRPr="001E2C69" w:rsidRDefault="00AE7191" w:rsidP="00722885">
            <w:pPr>
              <w:pStyle w:val="Iauiue"/>
              <w:jc w:val="both"/>
              <w:rPr>
                <w:color w:val="000000" w:themeColor="text1"/>
                <w:sz w:val="16"/>
                <w:szCs w:val="16"/>
              </w:rPr>
            </w:pPr>
          </w:p>
        </w:tc>
      </w:tr>
      <w:tr w:rsidR="001E2C69" w:rsidRPr="001E2C69" w14:paraId="228B9811" w14:textId="77777777" w:rsidTr="00CC5360">
        <w:tc>
          <w:tcPr>
            <w:tcW w:w="1809" w:type="dxa"/>
          </w:tcPr>
          <w:p w14:paraId="28EC9BA4" w14:textId="77777777" w:rsidR="00AE7191" w:rsidRPr="001E2C69" w:rsidRDefault="00AE7191" w:rsidP="00722885">
            <w:pPr>
              <w:pStyle w:val="Iauiue"/>
              <w:jc w:val="both"/>
              <w:rPr>
                <w:color w:val="000000" w:themeColor="text1"/>
                <w:sz w:val="16"/>
                <w:szCs w:val="16"/>
              </w:rPr>
            </w:pPr>
          </w:p>
        </w:tc>
        <w:tc>
          <w:tcPr>
            <w:tcW w:w="723" w:type="dxa"/>
          </w:tcPr>
          <w:p w14:paraId="181B9BFA" w14:textId="77777777" w:rsidR="00AE7191" w:rsidRPr="001E2C69" w:rsidRDefault="00AE7191" w:rsidP="00722885">
            <w:pPr>
              <w:pStyle w:val="Iauiue"/>
              <w:jc w:val="both"/>
              <w:rPr>
                <w:color w:val="000000" w:themeColor="text1"/>
                <w:sz w:val="16"/>
                <w:szCs w:val="16"/>
              </w:rPr>
            </w:pPr>
          </w:p>
        </w:tc>
        <w:tc>
          <w:tcPr>
            <w:tcW w:w="862" w:type="dxa"/>
          </w:tcPr>
          <w:p w14:paraId="763B7E8A" w14:textId="77777777" w:rsidR="00AE7191" w:rsidRPr="001E2C69" w:rsidRDefault="00AE7191" w:rsidP="00722885">
            <w:pPr>
              <w:pStyle w:val="Iauiue"/>
              <w:jc w:val="both"/>
              <w:rPr>
                <w:color w:val="000000" w:themeColor="text1"/>
                <w:sz w:val="16"/>
                <w:szCs w:val="16"/>
              </w:rPr>
            </w:pPr>
          </w:p>
        </w:tc>
        <w:tc>
          <w:tcPr>
            <w:tcW w:w="865" w:type="dxa"/>
          </w:tcPr>
          <w:p w14:paraId="6372613A" w14:textId="77777777" w:rsidR="00AE7191" w:rsidRPr="001E2C69" w:rsidRDefault="00AE7191" w:rsidP="00722885">
            <w:pPr>
              <w:pStyle w:val="Iauiue"/>
              <w:jc w:val="both"/>
              <w:rPr>
                <w:color w:val="000000" w:themeColor="text1"/>
                <w:sz w:val="16"/>
                <w:szCs w:val="16"/>
              </w:rPr>
            </w:pPr>
          </w:p>
        </w:tc>
        <w:tc>
          <w:tcPr>
            <w:tcW w:w="692" w:type="dxa"/>
          </w:tcPr>
          <w:p w14:paraId="3608D9E5" w14:textId="77777777" w:rsidR="00AE7191" w:rsidRPr="001E2C69" w:rsidRDefault="00AE7191" w:rsidP="00722885">
            <w:pPr>
              <w:pStyle w:val="Iauiue"/>
              <w:jc w:val="both"/>
              <w:rPr>
                <w:color w:val="000000" w:themeColor="text1"/>
                <w:sz w:val="16"/>
                <w:szCs w:val="16"/>
              </w:rPr>
            </w:pPr>
          </w:p>
        </w:tc>
        <w:tc>
          <w:tcPr>
            <w:tcW w:w="1371" w:type="dxa"/>
          </w:tcPr>
          <w:p w14:paraId="0C9BE84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пулем.</w:t>
            </w:r>
          </w:p>
        </w:tc>
        <w:tc>
          <w:tcPr>
            <w:tcW w:w="818" w:type="dxa"/>
          </w:tcPr>
          <w:p w14:paraId="542ACD93" w14:textId="77777777" w:rsidR="00AE7191" w:rsidRPr="001E2C69" w:rsidRDefault="00AE7191" w:rsidP="00722885">
            <w:pPr>
              <w:pStyle w:val="Iauiue"/>
              <w:jc w:val="both"/>
              <w:rPr>
                <w:color w:val="000000" w:themeColor="text1"/>
                <w:sz w:val="16"/>
                <w:szCs w:val="16"/>
              </w:rPr>
            </w:pPr>
          </w:p>
        </w:tc>
        <w:tc>
          <w:tcPr>
            <w:tcW w:w="830" w:type="dxa"/>
          </w:tcPr>
          <w:p w14:paraId="091D5BD2" w14:textId="77777777" w:rsidR="00AE7191" w:rsidRPr="001E2C69" w:rsidRDefault="00AE7191" w:rsidP="00722885">
            <w:pPr>
              <w:pStyle w:val="Iauiue"/>
              <w:jc w:val="both"/>
              <w:rPr>
                <w:color w:val="000000" w:themeColor="text1"/>
                <w:sz w:val="16"/>
                <w:szCs w:val="16"/>
              </w:rPr>
            </w:pPr>
          </w:p>
        </w:tc>
        <w:tc>
          <w:tcPr>
            <w:tcW w:w="829" w:type="dxa"/>
          </w:tcPr>
          <w:p w14:paraId="46582B7B" w14:textId="77777777" w:rsidR="00AE7191" w:rsidRPr="001E2C69" w:rsidRDefault="00AE7191" w:rsidP="00722885">
            <w:pPr>
              <w:pStyle w:val="Iauiue"/>
              <w:jc w:val="both"/>
              <w:rPr>
                <w:color w:val="000000" w:themeColor="text1"/>
                <w:sz w:val="16"/>
                <w:szCs w:val="16"/>
              </w:rPr>
            </w:pPr>
          </w:p>
        </w:tc>
        <w:tc>
          <w:tcPr>
            <w:tcW w:w="968" w:type="dxa"/>
          </w:tcPr>
          <w:p w14:paraId="3F88DD42" w14:textId="77777777" w:rsidR="00AE7191" w:rsidRPr="001E2C69" w:rsidRDefault="00AE7191" w:rsidP="00722885">
            <w:pPr>
              <w:pStyle w:val="Iauiue"/>
              <w:jc w:val="both"/>
              <w:rPr>
                <w:color w:val="000000" w:themeColor="text1"/>
                <w:sz w:val="16"/>
                <w:szCs w:val="16"/>
              </w:rPr>
            </w:pPr>
          </w:p>
        </w:tc>
        <w:tc>
          <w:tcPr>
            <w:tcW w:w="837" w:type="dxa"/>
          </w:tcPr>
          <w:p w14:paraId="009D0313" w14:textId="77777777" w:rsidR="00AE7191" w:rsidRPr="001E2C69" w:rsidRDefault="00AE7191" w:rsidP="00722885">
            <w:pPr>
              <w:pStyle w:val="Iauiue"/>
              <w:jc w:val="both"/>
              <w:rPr>
                <w:color w:val="000000" w:themeColor="text1"/>
                <w:sz w:val="16"/>
                <w:szCs w:val="16"/>
              </w:rPr>
            </w:pPr>
          </w:p>
        </w:tc>
      </w:tr>
      <w:tr w:rsidR="001E2C69" w:rsidRPr="001E2C69" w14:paraId="0D2009E2" w14:textId="77777777" w:rsidTr="00CC5360">
        <w:tc>
          <w:tcPr>
            <w:tcW w:w="1809" w:type="dxa"/>
          </w:tcPr>
          <w:p w14:paraId="60558570" w14:textId="77777777" w:rsidR="00AE7191" w:rsidRPr="001E2C69" w:rsidRDefault="00AE7191" w:rsidP="00722885">
            <w:pPr>
              <w:pStyle w:val="Iauiue"/>
              <w:jc w:val="both"/>
              <w:rPr>
                <w:color w:val="000000" w:themeColor="text1"/>
                <w:sz w:val="16"/>
                <w:szCs w:val="16"/>
              </w:rPr>
            </w:pPr>
          </w:p>
        </w:tc>
        <w:tc>
          <w:tcPr>
            <w:tcW w:w="723" w:type="dxa"/>
          </w:tcPr>
          <w:p w14:paraId="4BED070C" w14:textId="77777777" w:rsidR="00AE7191" w:rsidRPr="001E2C69" w:rsidRDefault="00AE7191" w:rsidP="00722885">
            <w:pPr>
              <w:pStyle w:val="Iauiue"/>
              <w:jc w:val="both"/>
              <w:rPr>
                <w:color w:val="000000" w:themeColor="text1"/>
                <w:sz w:val="16"/>
                <w:szCs w:val="16"/>
              </w:rPr>
            </w:pPr>
          </w:p>
        </w:tc>
        <w:tc>
          <w:tcPr>
            <w:tcW w:w="862" w:type="dxa"/>
          </w:tcPr>
          <w:p w14:paraId="5F3421FD" w14:textId="77777777" w:rsidR="00AE7191" w:rsidRPr="001E2C69" w:rsidRDefault="00AE7191" w:rsidP="00722885">
            <w:pPr>
              <w:pStyle w:val="Iauiue"/>
              <w:jc w:val="both"/>
              <w:rPr>
                <w:color w:val="000000" w:themeColor="text1"/>
                <w:sz w:val="16"/>
                <w:szCs w:val="16"/>
              </w:rPr>
            </w:pPr>
          </w:p>
        </w:tc>
        <w:tc>
          <w:tcPr>
            <w:tcW w:w="865" w:type="dxa"/>
          </w:tcPr>
          <w:p w14:paraId="6E08BD73" w14:textId="77777777" w:rsidR="00AE7191" w:rsidRPr="001E2C69" w:rsidRDefault="00AE7191" w:rsidP="00722885">
            <w:pPr>
              <w:pStyle w:val="Iauiue"/>
              <w:jc w:val="both"/>
              <w:rPr>
                <w:color w:val="000000" w:themeColor="text1"/>
                <w:sz w:val="16"/>
                <w:szCs w:val="16"/>
              </w:rPr>
            </w:pPr>
          </w:p>
        </w:tc>
        <w:tc>
          <w:tcPr>
            <w:tcW w:w="692" w:type="dxa"/>
          </w:tcPr>
          <w:p w14:paraId="6058DD1C" w14:textId="77777777" w:rsidR="00AE7191" w:rsidRPr="001E2C69" w:rsidRDefault="00AE7191" w:rsidP="00722885">
            <w:pPr>
              <w:pStyle w:val="Iauiue"/>
              <w:jc w:val="both"/>
              <w:rPr>
                <w:color w:val="000000" w:themeColor="text1"/>
                <w:sz w:val="16"/>
                <w:szCs w:val="16"/>
              </w:rPr>
            </w:pPr>
          </w:p>
        </w:tc>
        <w:tc>
          <w:tcPr>
            <w:tcW w:w="1371" w:type="dxa"/>
          </w:tcPr>
          <w:p w14:paraId="4C27709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12,7 мм с</w:t>
            </w:r>
          </w:p>
        </w:tc>
        <w:tc>
          <w:tcPr>
            <w:tcW w:w="818" w:type="dxa"/>
          </w:tcPr>
          <w:p w14:paraId="2016F62C" w14:textId="77777777" w:rsidR="00AE7191" w:rsidRPr="001E2C69" w:rsidRDefault="00AE7191" w:rsidP="00722885">
            <w:pPr>
              <w:pStyle w:val="Iauiue"/>
              <w:jc w:val="both"/>
              <w:rPr>
                <w:color w:val="000000" w:themeColor="text1"/>
                <w:sz w:val="16"/>
                <w:szCs w:val="16"/>
              </w:rPr>
            </w:pPr>
          </w:p>
        </w:tc>
        <w:tc>
          <w:tcPr>
            <w:tcW w:w="830" w:type="dxa"/>
          </w:tcPr>
          <w:p w14:paraId="2BEEBAFF" w14:textId="77777777" w:rsidR="00AE7191" w:rsidRPr="001E2C69" w:rsidRDefault="00AE7191" w:rsidP="00722885">
            <w:pPr>
              <w:pStyle w:val="Iauiue"/>
              <w:jc w:val="both"/>
              <w:rPr>
                <w:color w:val="000000" w:themeColor="text1"/>
                <w:sz w:val="16"/>
                <w:szCs w:val="16"/>
              </w:rPr>
            </w:pPr>
          </w:p>
        </w:tc>
        <w:tc>
          <w:tcPr>
            <w:tcW w:w="829" w:type="dxa"/>
          </w:tcPr>
          <w:p w14:paraId="00888748" w14:textId="77777777" w:rsidR="00AE7191" w:rsidRPr="001E2C69" w:rsidRDefault="00AE7191" w:rsidP="00722885">
            <w:pPr>
              <w:pStyle w:val="Iauiue"/>
              <w:jc w:val="both"/>
              <w:rPr>
                <w:color w:val="000000" w:themeColor="text1"/>
                <w:sz w:val="16"/>
                <w:szCs w:val="16"/>
              </w:rPr>
            </w:pPr>
          </w:p>
        </w:tc>
        <w:tc>
          <w:tcPr>
            <w:tcW w:w="968" w:type="dxa"/>
          </w:tcPr>
          <w:p w14:paraId="10BA82F1" w14:textId="77777777" w:rsidR="00AE7191" w:rsidRPr="001E2C69" w:rsidRDefault="00AE7191" w:rsidP="00722885">
            <w:pPr>
              <w:pStyle w:val="Iauiue"/>
              <w:jc w:val="both"/>
              <w:rPr>
                <w:color w:val="000000" w:themeColor="text1"/>
                <w:sz w:val="16"/>
                <w:szCs w:val="16"/>
              </w:rPr>
            </w:pPr>
          </w:p>
        </w:tc>
        <w:tc>
          <w:tcPr>
            <w:tcW w:w="837" w:type="dxa"/>
          </w:tcPr>
          <w:p w14:paraId="5E3E0A5A" w14:textId="77777777" w:rsidR="00AE7191" w:rsidRPr="001E2C69" w:rsidRDefault="00AE7191" w:rsidP="00722885">
            <w:pPr>
              <w:pStyle w:val="Iauiue"/>
              <w:jc w:val="both"/>
              <w:rPr>
                <w:color w:val="000000" w:themeColor="text1"/>
                <w:sz w:val="16"/>
                <w:szCs w:val="16"/>
              </w:rPr>
            </w:pPr>
          </w:p>
        </w:tc>
      </w:tr>
      <w:tr w:rsidR="001E2C69" w:rsidRPr="001E2C69" w14:paraId="2E63C6A1" w14:textId="77777777" w:rsidTr="00CC5360">
        <w:tc>
          <w:tcPr>
            <w:tcW w:w="1809" w:type="dxa"/>
          </w:tcPr>
          <w:p w14:paraId="2127E38B" w14:textId="77777777" w:rsidR="00AE7191" w:rsidRPr="001E2C69" w:rsidRDefault="00AE7191" w:rsidP="00722885">
            <w:pPr>
              <w:pStyle w:val="Iauiue"/>
              <w:jc w:val="both"/>
              <w:rPr>
                <w:color w:val="000000" w:themeColor="text1"/>
                <w:sz w:val="16"/>
                <w:szCs w:val="16"/>
              </w:rPr>
            </w:pPr>
          </w:p>
        </w:tc>
        <w:tc>
          <w:tcPr>
            <w:tcW w:w="723" w:type="dxa"/>
          </w:tcPr>
          <w:p w14:paraId="12510711" w14:textId="77777777" w:rsidR="00AE7191" w:rsidRPr="001E2C69" w:rsidRDefault="00AE7191" w:rsidP="00722885">
            <w:pPr>
              <w:pStyle w:val="Iauiue"/>
              <w:jc w:val="both"/>
              <w:rPr>
                <w:color w:val="000000" w:themeColor="text1"/>
                <w:sz w:val="16"/>
                <w:szCs w:val="16"/>
              </w:rPr>
            </w:pPr>
          </w:p>
        </w:tc>
        <w:tc>
          <w:tcPr>
            <w:tcW w:w="862" w:type="dxa"/>
          </w:tcPr>
          <w:p w14:paraId="4988DA29" w14:textId="77777777" w:rsidR="00AE7191" w:rsidRPr="001E2C69" w:rsidRDefault="00AE7191" w:rsidP="00722885">
            <w:pPr>
              <w:pStyle w:val="Iauiue"/>
              <w:jc w:val="both"/>
              <w:rPr>
                <w:color w:val="000000" w:themeColor="text1"/>
                <w:sz w:val="16"/>
                <w:szCs w:val="16"/>
              </w:rPr>
            </w:pPr>
          </w:p>
        </w:tc>
        <w:tc>
          <w:tcPr>
            <w:tcW w:w="865" w:type="dxa"/>
          </w:tcPr>
          <w:p w14:paraId="22263F92" w14:textId="77777777" w:rsidR="00AE7191" w:rsidRPr="001E2C69" w:rsidRDefault="00AE7191" w:rsidP="00722885">
            <w:pPr>
              <w:pStyle w:val="Iauiue"/>
              <w:jc w:val="both"/>
              <w:rPr>
                <w:color w:val="000000" w:themeColor="text1"/>
                <w:sz w:val="16"/>
                <w:szCs w:val="16"/>
              </w:rPr>
            </w:pPr>
          </w:p>
        </w:tc>
        <w:tc>
          <w:tcPr>
            <w:tcW w:w="692" w:type="dxa"/>
          </w:tcPr>
          <w:p w14:paraId="3061945D" w14:textId="77777777" w:rsidR="00AE7191" w:rsidRPr="001E2C69" w:rsidRDefault="00AE7191" w:rsidP="00722885">
            <w:pPr>
              <w:pStyle w:val="Iauiue"/>
              <w:jc w:val="both"/>
              <w:rPr>
                <w:color w:val="000000" w:themeColor="text1"/>
                <w:sz w:val="16"/>
                <w:szCs w:val="16"/>
              </w:rPr>
            </w:pPr>
          </w:p>
        </w:tc>
        <w:tc>
          <w:tcPr>
            <w:tcW w:w="1371" w:type="dxa"/>
          </w:tcPr>
          <w:p w14:paraId="2A8582D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боезапасом</w:t>
            </w:r>
          </w:p>
        </w:tc>
        <w:tc>
          <w:tcPr>
            <w:tcW w:w="818" w:type="dxa"/>
          </w:tcPr>
          <w:p w14:paraId="5EF9176B" w14:textId="77777777" w:rsidR="00AE7191" w:rsidRPr="001E2C69" w:rsidRDefault="00AE7191" w:rsidP="00722885">
            <w:pPr>
              <w:pStyle w:val="Iauiue"/>
              <w:jc w:val="both"/>
              <w:rPr>
                <w:color w:val="000000" w:themeColor="text1"/>
                <w:sz w:val="16"/>
                <w:szCs w:val="16"/>
              </w:rPr>
            </w:pPr>
          </w:p>
        </w:tc>
        <w:tc>
          <w:tcPr>
            <w:tcW w:w="830" w:type="dxa"/>
          </w:tcPr>
          <w:p w14:paraId="15044F3F" w14:textId="77777777" w:rsidR="00AE7191" w:rsidRPr="001E2C69" w:rsidRDefault="00AE7191" w:rsidP="00722885">
            <w:pPr>
              <w:pStyle w:val="Iauiue"/>
              <w:jc w:val="both"/>
              <w:rPr>
                <w:color w:val="000000" w:themeColor="text1"/>
                <w:sz w:val="16"/>
                <w:szCs w:val="16"/>
              </w:rPr>
            </w:pPr>
          </w:p>
        </w:tc>
        <w:tc>
          <w:tcPr>
            <w:tcW w:w="829" w:type="dxa"/>
          </w:tcPr>
          <w:p w14:paraId="6160E286" w14:textId="77777777" w:rsidR="00AE7191" w:rsidRPr="001E2C69" w:rsidRDefault="00AE7191" w:rsidP="00722885">
            <w:pPr>
              <w:pStyle w:val="Iauiue"/>
              <w:jc w:val="both"/>
              <w:rPr>
                <w:color w:val="000000" w:themeColor="text1"/>
                <w:sz w:val="16"/>
                <w:szCs w:val="16"/>
              </w:rPr>
            </w:pPr>
          </w:p>
        </w:tc>
        <w:tc>
          <w:tcPr>
            <w:tcW w:w="968" w:type="dxa"/>
          </w:tcPr>
          <w:p w14:paraId="5CDF2930" w14:textId="77777777" w:rsidR="00AE7191" w:rsidRPr="001E2C69" w:rsidRDefault="00AE7191" w:rsidP="00722885">
            <w:pPr>
              <w:pStyle w:val="Iauiue"/>
              <w:jc w:val="both"/>
              <w:rPr>
                <w:color w:val="000000" w:themeColor="text1"/>
                <w:sz w:val="16"/>
                <w:szCs w:val="16"/>
              </w:rPr>
            </w:pPr>
          </w:p>
        </w:tc>
        <w:tc>
          <w:tcPr>
            <w:tcW w:w="837" w:type="dxa"/>
          </w:tcPr>
          <w:p w14:paraId="783BEF99" w14:textId="77777777" w:rsidR="00AE7191" w:rsidRPr="001E2C69" w:rsidRDefault="00AE7191" w:rsidP="00722885">
            <w:pPr>
              <w:pStyle w:val="Iauiue"/>
              <w:jc w:val="both"/>
              <w:rPr>
                <w:color w:val="000000" w:themeColor="text1"/>
                <w:sz w:val="16"/>
                <w:szCs w:val="16"/>
              </w:rPr>
            </w:pPr>
          </w:p>
        </w:tc>
      </w:tr>
      <w:tr w:rsidR="001E2C69" w:rsidRPr="001E2C69" w14:paraId="324D2E23" w14:textId="77777777" w:rsidTr="00CC5360">
        <w:tc>
          <w:tcPr>
            <w:tcW w:w="1809" w:type="dxa"/>
          </w:tcPr>
          <w:p w14:paraId="44C7E6AE" w14:textId="77777777" w:rsidR="00AE7191" w:rsidRPr="001E2C69" w:rsidRDefault="00AE7191" w:rsidP="00722885">
            <w:pPr>
              <w:pStyle w:val="Iauiue"/>
              <w:jc w:val="both"/>
              <w:rPr>
                <w:color w:val="000000" w:themeColor="text1"/>
                <w:sz w:val="16"/>
                <w:szCs w:val="16"/>
              </w:rPr>
            </w:pPr>
          </w:p>
        </w:tc>
        <w:tc>
          <w:tcPr>
            <w:tcW w:w="723" w:type="dxa"/>
          </w:tcPr>
          <w:p w14:paraId="43E97308" w14:textId="77777777" w:rsidR="00AE7191" w:rsidRPr="001E2C69" w:rsidRDefault="00AE7191" w:rsidP="00722885">
            <w:pPr>
              <w:pStyle w:val="Iauiue"/>
              <w:jc w:val="both"/>
              <w:rPr>
                <w:color w:val="000000" w:themeColor="text1"/>
                <w:sz w:val="16"/>
                <w:szCs w:val="16"/>
              </w:rPr>
            </w:pPr>
          </w:p>
        </w:tc>
        <w:tc>
          <w:tcPr>
            <w:tcW w:w="862" w:type="dxa"/>
          </w:tcPr>
          <w:p w14:paraId="6DEEE13B" w14:textId="77777777" w:rsidR="00AE7191" w:rsidRPr="001E2C69" w:rsidRDefault="00AE7191" w:rsidP="00722885">
            <w:pPr>
              <w:pStyle w:val="Iauiue"/>
              <w:jc w:val="both"/>
              <w:rPr>
                <w:color w:val="000000" w:themeColor="text1"/>
                <w:sz w:val="16"/>
                <w:szCs w:val="16"/>
              </w:rPr>
            </w:pPr>
          </w:p>
        </w:tc>
        <w:tc>
          <w:tcPr>
            <w:tcW w:w="865" w:type="dxa"/>
          </w:tcPr>
          <w:p w14:paraId="004380C9" w14:textId="77777777" w:rsidR="00AE7191" w:rsidRPr="001E2C69" w:rsidRDefault="00AE7191" w:rsidP="00722885">
            <w:pPr>
              <w:pStyle w:val="Iauiue"/>
              <w:jc w:val="both"/>
              <w:rPr>
                <w:color w:val="000000" w:themeColor="text1"/>
                <w:sz w:val="16"/>
                <w:szCs w:val="16"/>
              </w:rPr>
            </w:pPr>
          </w:p>
        </w:tc>
        <w:tc>
          <w:tcPr>
            <w:tcW w:w="692" w:type="dxa"/>
          </w:tcPr>
          <w:p w14:paraId="38B0454F" w14:textId="77777777" w:rsidR="00AE7191" w:rsidRPr="001E2C69" w:rsidRDefault="00AE7191" w:rsidP="00722885">
            <w:pPr>
              <w:pStyle w:val="Iauiue"/>
              <w:jc w:val="both"/>
              <w:rPr>
                <w:color w:val="000000" w:themeColor="text1"/>
                <w:sz w:val="16"/>
                <w:szCs w:val="16"/>
              </w:rPr>
            </w:pPr>
          </w:p>
        </w:tc>
        <w:tc>
          <w:tcPr>
            <w:tcW w:w="1371" w:type="dxa"/>
          </w:tcPr>
          <w:p w14:paraId="5D5FBA9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400 патрон.</w:t>
            </w:r>
          </w:p>
        </w:tc>
        <w:tc>
          <w:tcPr>
            <w:tcW w:w="818" w:type="dxa"/>
          </w:tcPr>
          <w:p w14:paraId="3C855738" w14:textId="77777777" w:rsidR="00AE7191" w:rsidRPr="001E2C69" w:rsidRDefault="00AE7191" w:rsidP="00722885">
            <w:pPr>
              <w:pStyle w:val="Iauiue"/>
              <w:jc w:val="both"/>
              <w:rPr>
                <w:color w:val="000000" w:themeColor="text1"/>
                <w:sz w:val="16"/>
                <w:szCs w:val="16"/>
              </w:rPr>
            </w:pPr>
          </w:p>
        </w:tc>
        <w:tc>
          <w:tcPr>
            <w:tcW w:w="830" w:type="dxa"/>
          </w:tcPr>
          <w:p w14:paraId="626FD390" w14:textId="77777777" w:rsidR="00AE7191" w:rsidRPr="001E2C69" w:rsidRDefault="00AE7191" w:rsidP="00722885">
            <w:pPr>
              <w:pStyle w:val="Iauiue"/>
              <w:jc w:val="both"/>
              <w:rPr>
                <w:color w:val="000000" w:themeColor="text1"/>
                <w:sz w:val="16"/>
                <w:szCs w:val="16"/>
              </w:rPr>
            </w:pPr>
          </w:p>
        </w:tc>
        <w:tc>
          <w:tcPr>
            <w:tcW w:w="829" w:type="dxa"/>
          </w:tcPr>
          <w:p w14:paraId="77141B71" w14:textId="77777777" w:rsidR="00AE7191" w:rsidRPr="001E2C69" w:rsidRDefault="00AE7191" w:rsidP="00722885">
            <w:pPr>
              <w:pStyle w:val="Iauiue"/>
              <w:jc w:val="both"/>
              <w:rPr>
                <w:color w:val="000000" w:themeColor="text1"/>
                <w:sz w:val="16"/>
                <w:szCs w:val="16"/>
              </w:rPr>
            </w:pPr>
          </w:p>
        </w:tc>
        <w:tc>
          <w:tcPr>
            <w:tcW w:w="968" w:type="dxa"/>
          </w:tcPr>
          <w:p w14:paraId="596DBFFA" w14:textId="77777777" w:rsidR="00AE7191" w:rsidRPr="001E2C69" w:rsidRDefault="00AE7191" w:rsidP="00722885">
            <w:pPr>
              <w:pStyle w:val="Iauiue"/>
              <w:jc w:val="both"/>
              <w:rPr>
                <w:color w:val="000000" w:themeColor="text1"/>
                <w:sz w:val="16"/>
                <w:szCs w:val="16"/>
              </w:rPr>
            </w:pPr>
          </w:p>
        </w:tc>
        <w:tc>
          <w:tcPr>
            <w:tcW w:w="837" w:type="dxa"/>
          </w:tcPr>
          <w:p w14:paraId="626AB275" w14:textId="77777777" w:rsidR="00AE7191" w:rsidRPr="001E2C69" w:rsidRDefault="00AE7191" w:rsidP="00722885">
            <w:pPr>
              <w:pStyle w:val="Iauiue"/>
              <w:jc w:val="both"/>
              <w:rPr>
                <w:color w:val="000000" w:themeColor="text1"/>
                <w:sz w:val="16"/>
                <w:szCs w:val="16"/>
              </w:rPr>
            </w:pPr>
          </w:p>
        </w:tc>
      </w:tr>
      <w:tr w:rsidR="001E2C69" w:rsidRPr="001E2C69" w14:paraId="71BE9C2C" w14:textId="77777777" w:rsidTr="00CC5360">
        <w:tc>
          <w:tcPr>
            <w:tcW w:w="1809" w:type="dxa"/>
          </w:tcPr>
          <w:p w14:paraId="55EFC35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II. Штурмовики.</w:t>
            </w:r>
          </w:p>
        </w:tc>
        <w:tc>
          <w:tcPr>
            <w:tcW w:w="723" w:type="dxa"/>
          </w:tcPr>
          <w:p w14:paraId="6A24C2A8" w14:textId="77777777" w:rsidR="00AE7191" w:rsidRPr="001E2C69" w:rsidRDefault="00AE7191" w:rsidP="00722885">
            <w:pPr>
              <w:pStyle w:val="Iauiue"/>
              <w:jc w:val="both"/>
              <w:rPr>
                <w:color w:val="000000" w:themeColor="text1"/>
                <w:sz w:val="16"/>
                <w:szCs w:val="16"/>
              </w:rPr>
            </w:pPr>
          </w:p>
        </w:tc>
        <w:tc>
          <w:tcPr>
            <w:tcW w:w="862" w:type="dxa"/>
          </w:tcPr>
          <w:p w14:paraId="1F4C84C5" w14:textId="77777777" w:rsidR="00AE7191" w:rsidRPr="001E2C69" w:rsidRDefault="00AE7191" w:rsidP="00722885">
            <w:pPr>
              <w:pStyle w:val="Iauiue"/>
              <w:jc w:val="both"/>
              <w:rPr>
                <w:color w:val="000000" w:themeColor="text1"/>
                <w:sz w:val="16"/>
                <w:szCs w:val="16"/>
              </w:rPr>
            </w:pPr>
          </w:p>
        </w:tc>
        <w:tc>
          <w:tcPr>
            <w:tcW w:w="865" w:type="dxa"/>
          </w:tcPr>
          <w:p w14:paraId="558E35F5" w14:textId="77777777" w:rsidR="00AE7191" w:rsidRPr="001E2C69" w:rsidRDefault="00AE7191" w:rsidP="00722885">
            <w:pPr>
              <w:pStyle w:val="Iauiue"/>
              <w:jc w:val="both"/>
              <w:rPr>
                <w:color w:val="000000" w:themeColor="text1"/>
                <w:sz w:val="16"/>
                <w:szCs w:val="16"/>
              </w:rPr>
            </w:pPr>
          </w:p>
        </w:tc>
        <w:tc>
          <w:tcPr>
            <w:tcW w:w="692" w:type="dxa"/>
          </w:tcPr>
          <w:p w14:paraId="4BB8E147" w14:textId="77777777" w:rsidR="00AE7191" w:rsidRPr="001E2C69" w:rsidRDefault="00AE7191" w:rsidP="00722885">
            <w:pPr>
              <w:pStyle w:val="Iauiue"/>
              <w:jc w:val="both"/>
              <w:rPr>
                <w:color w:val="000000" w:themeColor="text1"/>
                <w:sz w:val="16"/>
                <w:szCs w:val="16"/>
              </w:rPr>
            </w:pPr>
          </w:p>
        </w:tc>
        <w:tc>
          <w:tcPr>
            <w:tcW w:w="1371" w:type="dxa"/>
          </w:tcPr>
          <w:p w14:paraId="0EA74281" w14:textId="77777777" w:rsidR="00AE7191" w:rsidRPr="001E2C69" w:rsidRDefault="00AE7191" w:rsidP="00722885">
            <w:pPr>
              <w:pStyle w:val="Iauiue"/>
              <w:jc w:val="both"/>
              <w:rPr>
                <w:color w:val="000000" w:themeColor="text1"/>
                <w:sz w:val="16"/>
                <w:szCs w:val="16"/>
              </w:rPr>
            </w:pPr>
          </w:p>
        </w:tc>
        <w:tc>
          <w:tcPr>
            <w:tcW w:w="818" w:type="dxa"/>
          </w:tcPr>
          <w:p w14:paraId="41AEFCF2" w14:textId="77777777" w:rsidR="00AE7191" w:rsidRPr="001E2C69" w:rsidRDefault="00AE7191" w:rsidP="00722885">
            <w:pPr>
              <w:pStyle w:val="Iauiue"/>
              <w:jc w:val="both"/>
              <w:rPr>
                <w:color w:val="000000" w:themeColor="text1"/>
                <w:sz w:val="16"/>
                <w:szCs w:val="16"/>
              </w:rPr>
            </w:pPr>
          </w:p>
        </w:tc>
        <w:tc>
          <w:tcPr>
            <w:tcW w:w="830" w:type="dxa"/>
          </w:tcPr>
          <w:p w14:paraId="712A9E96" w14:textId="77777777" w:rsidR="00AE7191" w:rsidRPr="001E2C69" w:rsidRDefault="00AE7191" w:rsidP="00722885">
            <w:pPr>
              <w:pStyle w:val="Iauiue"/>
              <w:jc w:val="both"/>
              <w:rPr>
                <w:color w:val="000000" w:themeColor="text1"/>
                <w:sz w:val="16"/>
                <w:szCs w:val="16"/>
              </w:rPr>
            </w:pPr>
          </w:p>
        </w:tc>
        <w:tc>
          <w:tcPr>
            <w:tcW w:w="829" w:type="dxa"/>
          </w:tcPr>
          <w:p w14:paraId="0B12D60F" w14:textId="77777777" w:rsidR="00AE7191" w:rsidRPr="001E2C69" w:rsidRDefault="00AE7191" w:rsidP="00722885">
            <w:pPr>
              <w:pStyle w:val="Iauiue"/>
              <w:jc w:val="both"/>
              <w:rPr>
                <w:color w:val="000000" w:themeColor="text1"/>
                <w:sz w:val="16"/>
                <w:szCs w:val="16"/>
              </w:rPr>
            </w:pPr>
          </w:p>
        </w:tc>
        <w:tc>
          <w:tcPr>
            <w:tcW w:w="968" w:type="dxa"/>
          </w:tcPr>
          <w:p w14:paraId="6CAAB0C6" w14:textId="77777777" w:rsidR="00AE7191" w:rsidRPr="001E2C69" w:rsidRDefault="00AE7191" w:rsidP="00722885">
            <w:pPr>
              <w:pStyle w:val="Iauiue"/>
              <w:jc w:val="both"/>
              <w:rPr>
                <w:color w:val="000000" w:themeColor="text1"/>
                <w:sz w:val="16"/>
                <w:szCs w:val="16"/>
              </w:rPr>
            </w:pPr>
          </w:p>
        </w:tc>
        <w:tc>
          <w:tcPr>
            <w:tcW w:w="837" w:type="dxa"/>
          </w:tcPr>
          <w:p w14:paraId="6B4C8607" w14:textId="77777777" w:rsidR="00AE7191" w:rsidRPr="001E2C69" w:rsidRDefault="00AE7191" w:rsidP="00722885">
            <w:pPr>
              <w:pStyle w:val="Iauiue"/>
              <w:jc w:val="both"/>
              <w:rPr>
                <w:color w:val="000000" w:themeColor="text1"/>
                <w:sz w:val="16"/>
                <w:szCs w:val="16"/>
              </w:rPr>
            </w:pPr>
          </w:p>
        </w:tc>
      </w:tr>
      <w:tr w:rsidR="001E2C69" w:rsidRPr="001E2C69" w14:paraId="4A957F43" w14:textId="77777777" w:rsidTr="00CC5360">
        <w:tc>
          <w:tcPr>
            <w:tcW w:w="1809" w:type="dxa"/>
          </w:tcPr>
          <w:p w14:paraId="387A37E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Одноместный</w:t>
            </w:r>
          </w:p>
        </w:tc>
        <w:tc>
          <w:tcPr>
            <w:tcW w:w="723" w:type="dxa"/>
          </w:tcPr>
          <w:p w14:paraId="43BF4C6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400 с РС</w:t>
            </w:r>
          </w:p>
        </w:tc>
        <w:tc>
          <w:tcPr>
            <w:tcW w:w="862" w:type="dxa"/>
          </w:tcPr>
          <w:p w14:paraId="1CE2905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438/3000</w:t>
            </w:r>
          </w:p>
        </w:tc>
        <w:tc>
          <w:tcPr>
            <w:tcW w:w="865" w:type="dxa"/>
          </w:tcPr>
          <w:p w14:paraId="3AC9192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600 на</w:t>
            </w:r>
          </w:p>
        </w:tc>
        <w:tc>
          <w:tcPr>
            <w:tcW w:w="692" w:type="dxa"/>
          </w:tcPr>
          <w:p w14:paraId="4FD7A19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6800</w:t>
            </w:r>
          </w:p>
        </w:tc>
        <w:tc>
          <w:tcPr>
            <w:tcW w:w="1371" w:type="dxa"/>
          </w:tcPr>
          <w:p w14:paraId="1E5E502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пушка</w:t>
            </w:r>
          </w:p>
        </w:tc>
        <w:tc>
          <w:tcPr>
            <w:tcW w:w="818" w:type="dxa"/>
          </w:tcPr>
          <w:p w14:paraId="2335DA8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200 в</w:t>
            </w:r>
          </w:p>
        </w:tc>
        <w:tc>
          <w:tcPr>
            <w:tcW w:w="830" w:type="dxa"/>
          </w:tcPr>
          <w:p w14:paraId="640C8E1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перег.</w:t>
            </w:r>
          </w:p>
        </w:tc>
        <w:tc>
          <w:tcPr>
            <w:tcW w:w="829" w:type="dxa"/>
          </w:tcPr>
          <w:p w14:paraId="50B49CB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w:t>
            </w:r>
          </w:p>
        </w:tc>
        <w:tc>
          <w:tcPr>
            <w:tcW w:w="968" w:type="dxa"/>
          </w:tcPr>
          <w:p w14:paraId="3BEC07F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15.I.43</w:t>
            </w:r>
          </w:p>
        </w:tc>
        <w:tc>
          <w:tcPr>
            <w:tcW w:w="837" w:type="dxa"/>
          </w:tcPr>
          <w:p w14:paraId="68F999F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12000</w:t>
            </w:r>
          </w:p>
        </w:tc>
      </w:tr>
      <w:tr w:rsidR="001E2C69" w:rsidRPr="001E2C69" w14:paraId="7D721C6D" w14:textId="77777777" w:rsidTr="00CC5360">
        <w:tc>
          <w:tcPr>
            <w:tcW w:w="1809" w:type="dxa"/>
          </w:tcPr>
          <w:p w14:paraId="64400CF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бронированный</w:t>
            </w:r>
          </w:p>
        </w:tc>
        <w:tc>
          <w:tcPr>
            <w:tcW w:w="723" w:type="dxa"/>
          </w:tcPr>
          <w:p w14:paraId="083D976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432 без</w:t>
            </w:r>
          </w:p>
        </w:tc>
        <w:tc>
          <w:tcPr>
            <w:tcW w:w="862" w:type="dxa"/>
          </w:tcPr>
          <w:p w14:paraId="3DE6FF9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РС</w:t>
            </w:r>
          </w:p>
        </w:tc>
        <w:tc>
          <w:tcPr>
            <w:tcW w:w="865" w:type="dxa"/>
          </w:tcPr>
          <w:p w14:paraId="61E76F1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0,75</w:t>
            </w:r>
          </w:p>
        </w:tc>
        <w:tc>
          <w:tcPr>
            <w:tcW w:w="692" w:type="dxa"/>
          </w:tcPr>
          <w:p w14:paraId="069E74AB" w14:textId="77777777" w:rsidR="00AE7191" w:rsidRPr="001E2C69" w:rsidRDefault="00AE7191" w:rsidP="00722885">
            <w:pPr>
              <w:pStyle w:val="Iauiue"/>
              <w:jc w:val="both"/>
              <w:rPr>
                <w:color w:val="000000" w:themeColor="text1"/>
                <w:sz w:val="16"/>
                <w:szCs w:val="16"/>
              </w:rPr>
            </w:pPr>
          </w:p>
        </w:tc>
        <w:tc>
          <w:tcPr>
            <w:tcW w:w="1371" w:type="dxa"/>
          </w:tcPr>
          <w:p w14:paraId="07EE826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37 мм с</w:t>
            </w:r>
          </w:p>
        </w:tc>
        <w:tc>
          <w:tcPr>
            <w:tcW w:w="818" w:type="dxa"/>
          </w:tcPr>
          <w:p w14:paraId="640CE7A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перегр.</w:t>
            </w:r>
          </w:p>
        </w:tc>
        <w:tc>
          <w:tcPr>
            <w:tcW w:w="830" w:type="dxa"/>
          </w:tcPr>
          <w:p w14:paraId="5E1EF94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8РО-82</w:t>
            </w:r>
          </w:p>
        </w:tc>
        <w:tc>
          <w:tcPr>
            <w:tcW w:w="829" w:type="dxa"/>
          </w:tcPr>
          <w:p w14:paraId="654D36C9" w14:textId="77777777" w:rsidR="00AE7191" w:rsidRPr="001E2C69" w:rsidRDefault="00AE7191" w:rsidP="00722885">
            <w:pPr>
              <w:pStyle w:val="Iauiue"/>
              <w:jc w:val="both"/>
              <w:rPr>
                <w:color w:val="000000" w:themeColor="text1"/>
                <w:sz w:val="16"/>
                <w:szCs w:val="16"/>
              </w:rPr>
            </w:pPr>
          </w:p>
        </w:tc>
        <w:tc>
          <w:tcPr>
            <w:tcW w:w="968" w:type="dxa"/>
          </w:tcPr>
          <w:p w14:paraId="5E3BA6BE" w14:textId="77777777" w:rsidR="00AE7191" w:rsidRPr="001E2C69" w:rsidRDefault="00AE7191" w:rsidP="00722885">
            <w:pPr>
              <w:pStyle w:val="Iauiue"/>
              <w:jc w:val="both"/>
              <w:rPr>
                <w:color w:val="000000" w:themeColor="text1"/>
                <w:sz w:val="16"/>
                <w:szCs w:val="16"/>
              </w:rPr>
            </w:pPr>
          </w:p>
        </w:tc>
        <w:tc>
          <w:tcPr>
            <w:tcW w:w="837" w:type="dxa"/>
          </w:tcPr>
          <w:p w14:paraId="3178AC2E" w14:textId="77777777" w:rsidR="00AE7191" w:rsidRPr="001E2C69" w:rsidRDefault="00AE7191" w:rsidP="00722885">
            <w:pPr>
              <w:pStyle w:val="Iauiue"/>
              <w:jc w:val="both"/>
              <w:rPr>
                <w:color w:val="000000" w:themeColor="text1"/>
                <w:sz w:val="16"/>
                <w:szCs w:val="16"/>
              </w:rPr>
            </w:pPr>
          </w:p>
        </w:tc>
      </w:tr>
      <w:tr w:rsidR="001E2C69" w:rsidRPr="001E2C69" w14:paraId="48A20F9A" w14:textId="77777777" w:rsidTr="00CC5360">
        <w:tc>
          <w:tcPr>
            <w:tcW w:w="1809" w:type="dxa"/>
          </w:tcPr>
          <w:p w14:paraId="1DB978E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штурмовик с мот.</w:t>
            </w:r>
          </w:p>
        </w:tc>
        <w:tc>
          <w:tcPr>
            <w:tcW w:w="723" w:type="dxa"/>
          </w:tcPr>
          <w:p w14:paraId="6F5F568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РС</w:t>
            </w:r>
          </w:p>
        </w:tc>
        <w:tc>
          <w:tcPr>
            <w:tcW w:w="862" w:type="dxa"/>
          </w:tcPr>
          <w:p w14:paraId="378796D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460/2000</w:t>
            </w:r>
          </w:p>
        </w:tc>
        <w:tc>
          <w:tcPr>
            <w:tcW w:w="865" w:type="dxa"/>
          </w:tcPr>
          <w:p w14:paraId="67B2A49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макс.</w:t>
            </w:r>
          </w:p>
        </w:tc>
        <w:tc>
          <w:tcPr>
            <w:tcW w:w="692" w:type="dxa"/>
          </w:tcPr>
          <w:p w14:paraId="4B6264E4" w14:textId="77777777" w:rsidR="00AE7191" w:rsidRPr="001E2C69" w:rsidRDefault="00AE7191" w:rsidP="00722885">
            <w:pPr>
              <w:pStyle w:val="Iauiue"/>
              <w:jc w:val="both"/>
              <w:rPr>
                <w:color w:val="000000" w:themeColor="text1"/>
                <w:sz w:val="16"/>
                <w:szCs w:val="16"/>
              </w:rPr>
            </w:pPr>
          </w:p>
        </w:tc>
        <w:tc>
          <w:tcPr>
            <w:tcW w:w="1371" w:type="dxa"/>
          </w:tcPr>
          <w:p w14:paraId="18C565B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боезап.</w:t>
            </w:r>
          </w:p>
        </w:tc>
        <w:tc>
          <w:tcPr>
            <w:tcW w:w="818" w:type="dxa"/>
          </w:tcPr>
          <w:p w14:paraId="67DB934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400</w:t>
            </w:r>
          </w:p>
        </w:tc>
        <w:tc>
          <w:tcPr>
            <w:tcW w:w="830" w:type="dxa"/>
          </w:tcPr>
          <w:p w14:paraId="6DAE631C" w14:textId="77777777" w:rsidR="00AE7191" w:rsidRPr="001E2C69" w:rsidRDefault="00AE7191" w:rsidP="00722885">
            <w:pPr>
              <w:pStyle w:val="Iauiue"/>
              <w:jc w:val="both"/>
              <w:rPr>
                <w:color w:val="000000" w:themeColor="text1"/>
                <w:sz w:val="16"/>
                <w:szCs w:val="16"/>
              </w:rPr>
            </w:pPr>
          </w:p>
        </w:tc>
        <w:tc>
          <w:tcPr>
            <w:tcW w:w="829" w:type="dxa"/>
          </w:tcPr>
          <w:p w14:paraId="561D1238" w14:textId="77777777" w:rsidR="00AE7191" w:rsidRPr="001E2C69" w:rsidRDefault="00AE7191" w:rsidP="00722885">
            <w:pPr>
              <w:pStyle w:val="Iauiue"/>
              <w:jc w:val="both"/>
              <w:rPr>
                <w:color w:val="000000" w:themeColor="text1"/>
                <w:sz w:val="16"/>
                <w:szCs w:val="16"/>
              </w:rPr>
            </w:pPr>
          </w:p>
        </w:tc>
        <w:tc>
          <w:tcPr>
            <w:tcW w:w="968" w:type="dxa"/>
          </w:tcPr>
          <w:p w14:paraId="3450E1A9" w14:textId="77777777" w:rsidR="00AE7191" w:rsidRPr="001E2C69" w:rsidRDefault="00AE7191" w:rsidP="00722885">
            <w:pPr>
              <w:pStyle w:val="Iauiue"/>
              <w:jc w:val="both"/>
              <w:rPr>
                <w:color w:val="000000" w:themeColor="text1"/>
                <w:sz w:val="16"/>
                <w:szCs w:val="16"/>
              </w:rPr>
            </w:pPr>
          </w:p>
        </w:tc>
        <w:tc>
          <w:tcPr>
            <w:tcW w:w="837" w:type="dxa"/>
          </w:tcPr>
          <w:p w14:paraId="1DEDD8C7" w14:textId="77777777" w:rsidR="00AE7191" w:rsidRPr="001E2C69" w:rsidRDefault="00AE7191" w:rsidP="00722885">
            <w:pPr>
              <w:pStyle w:val="Iauiue"/>
              <w:jc w:val="both"/>
              <w:rPr>
                <w:color w:val="000000" w:themeColor="text1"/>
                <w:sz w:val="16"/>
                <w:szCs w:val="16"/>
              </w:rPr>
            </w:pPr>
          </w:p>
        </w:tc>
      </w:tr>
      <w:tr w:rsidR="001E2C69" w:rsidRPr="001E2C69" w14:paraId="22084742" w14:textId="77777777" w:rsidTr="00CC5360">
        <w:tc>
          <w:tcPr>
            <w:tcW w:w="1809" w:type="dxa"/>
          </w:tcPr>
          <w:p w14:paraId="0C3D617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АМ-38 констр.</w:t>
            </w:r>
          </w:p>
        </w:tc>
        <w:tc>
          <w:tcPr>
            <w:tcW w:w="723" w:type="dxa"/>
          </w:tcPr>
          <w:p w14:paraId="29D0AF87" w14:textId="77777777" w:rsidR="00AE7191" w:rsidRPr="001E2C69" w:rsidRDefault="00AE7191" w:rsidP="00722885">
            <w:pPr>
              <w:pStyle w:val="Iauiue"/>
              <w:jc w:val="both"/>
              <w:rPr>
                <w:color w:val="000000" w:themeColor="text1"/>
                <w:sz w:val="16"/>
                <w:szCs w:val="16"/>
              </w:rPr>
            </w:pPr>
          </w:p>
        </w:tc>
        <w:tc>
          <w:tcPr>
            <w:tcW w:w="862" w:type="dxa"/>
          </w:tcPr>
          <w:p w14:paraId="45EAA8B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без РС</w:t>
            </w:r>
          </w:p>
        </w:tc>
        <w:tc>
          <w:tcPr>
            <w:tcW w:w="865" w:type="dxa"/>
          </w:tcPr>
          <w:p w14:paraId="5656F95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скор.</w:t>
            </w:r>
          </w:p>
        </w:tc>
        <w:tc>
          <w:tcPr>
            <w:tcW w:w="692" w:type="dxa"/>
          </w:tcPr>
          <w:p w14:paraId="61A8C41D" w14:textId="77777777" w:rsidR="00AE7191" w:rsidRPr="001E2C69" w:rsidRDefault="00AE7191" w:rsidP="00722885">
            <w:pPr>
              <w:pStyle w:val="Iauiue"/>
              <w:jc w:val="both"/>
              <w:rPr>
                <w:color w:val="000000" w:themeColor="text1"/>
                <w:sz w:val="16"/>
                <w:szCs w:val="16"/>
              </w:rPr>
            </w:pPr>
          </w:p>
        </w:tc>
        <w:tc>
          <w:tcPr>
            <w:tcW w:w="1371" w:type="dxa"/>
          </w:tcPr>
          <w:p w14:paraId="2278853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400 снаряд.</w:t>
            </w:r>
          </w:p>
        </w:tc>
        <w:tc>
          <w:tcPr>
            <w:tcW w:w="818" w:type="dxa"/>
          </w:tcPr>
          <w:p w14:paraId="049C8D45" w14:textId="77777777" w:rsidR="00AE7191" w:rsidRPr="001E2C69" w:rsidRDefault="00AE7191" w:rsidP="00722885">
            <w:pPr>
              <w:pStyle w:val="Iauiue"/>
              <w:jc w:val="both"/>
              <w:rPr>
                <w:color w:val="000000" w:themeColor="text1"/>
                <w:sz w:val="16"/>
                <w:szCs w:val="16"/>
              </w:rPr>
            </w:pPr>
          </w:p>
        </w:tc>
        <w:tc>
          <w:tcPr>
            <w:tcW w:w="830" w:type="dxa"/>
          </w:tcPr>
          <w:p w14:paraId="04E43935" w14:textId="77777777" w:rsidR="00AE7191" w:rsidRPr="001E2C69" w:rsidRDefault="00AE7191" w:rsidP="00722885">
            <w:pPr>
              <w:pStyle w:val="Iauiue"/>
              <w:jc w:val="both"/>
              <w:rPr>
                <w:color w:val="000000" w:themeColor="text1"/>
                <w:sz w:val="16"/>
                <w:szCs w:val="16"/>
              </w:rPr>
            </w:pPr>
          </w:p>
        </w:tc>
        <w:tc>
          <w:tcPr>
            <w:tcW w:w="829" w:type="dxa"/>
          </w:tcPr>
          <w:p w14:paraId="42734F04" w14:textId="77777777" w:rsidR="00AE7191" w:rsidRPr="001E2C69" w:rsidRDefault="00AE7191" w:rsidP="00722885">
            <w:pPr>
              <w:pStyle w:val="Iauiue"/>
              <w:jc w:val="both"/>
              <w:rPr>
                <w:color w:val="000000" w:themeColor="text1"/>
                <w:sz w:val="16"/>
                <w:szCs w:val="16"/>
              </w:rPr>
            </w:pPr>
          </w:p>
        </w:tc>
        <w:tc>
          <w:tcPr>
            <w:tcW w:w="968" w:type="dxa"/>
          </w:tcPr>
          <w:p w14:paraId="5CAB1F19" w14:textId="77777777" w:rsidR="00AE7191" w:rsidRPr="001E2C69" w:rsidRDefault="00AE7191" w:rsidP="00722885">
            <w:pPr>
              <w:pStyle w:val="Iauiue"/>
              <w:jc w:val="both"/>
              <w:rPr>
                <w:color w:val="000000" w:themeColor="text1"/>
                <w:sz w:val="16"/>
                <w:szCs w:val="16"/>
              </w:rPr>
            </w:pPr>
          </w:p>
        </w:tc>
        <w:tc>
          <w:tcPr>
            <w:tcW w:w="837" w:type="dxa"/>
          </w:tcPr>
          <w:p w14:paraId="2BD4E956" w14:textId="77777777" w:rsidR="00AE7191" w:rsidRPr="001E2C69" w:rsidRDefault="00AE7191" w:rsidP="00722885">
            <w:pPr>
              <w:pStyle w:val="Iauiue"/>
              <w:jc w:val="both"/>
              <w:rPr>
                <w:color w:val="000000" w:themeColor="text1"/>
                <w:sz w:val="16"/>
                <w:szCs w:val="16"/>
              </w:rPr>
            </w:pPr>
          </w:p>
        </w:tc>
      </w:tr>
      <w:tr w:rsidR="001E2C69" w:rsidRPr="001E2C69" w14:paraId="01703A8A" w14:textId="77777777" w:rsidTr="00CC5360">
        <w:tc>
          <w:tcPr>
            <w:tcW w:w="1809" w:type="dxa"/>
          </w:tcPr>
          <w:p w14:paraId="32A27F9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Ильюшина</w:t>
            </w:r>
          </w:p>
        </w:tc>
        <w:tc>
          <w:tcPr>
            <w:tcW w:w="723" w:type="dxa"/>
          </w:tcPr>
          <w:p w14:paraId="1F05FB82" w14:textId="77777777" w:rsidR="00AE7191" w:rsidRPr="001E2C69" w:rsidRDefault="00AE7191" w:rsidP="00722885">
            <w:pPr>
              <w:pStyle w:val="Iauiue"/>
              <w:jc w:val="both"/>
              <w:rPr>
                <w:color w:val="000000" w:themeColor="text1"/>
                <w:sz w:val="16"/>
                <w:szCs w:val="16"/>
              </w:rPr>
            </w:pPr>
          </w:p>
        </w:tc>
        <w:tc>
          <w:tcPr>
            <w:tcW w:w="862" w:type="dxa"/>
          </w:tcPr>
          <w:p w14:paraId="438E656C" w14:textId="77777777" w:rsidR="00AE7191" w:rsidRPr="001E2C69" w:rsidRDefault="00AE7191" w:rsidP="00722885">
            <w:pPr>
              <w:pStyle w:val="Iauiue"/>
              <w:jc w:val="both"/>
              <w:rPr>
                <w:color w:val="000000" w:themeColor="text1"/>
                <w:sz w:val="16"/>
                <w:szCs w:val="16"/>
              </w:rPr>
            </w:pPr>
          </w:p>
        </w:tc>
        <w:tc>
          <w:tcPr>
            <w:tcW w:w="865" w:type="dxa"/>
          </w:tcPr>
          <w:p w14:paraId="48D5A6BE" w14:textId="77777777" w:rsidR="00AE7191" w:rsidRPr="001E2C69" w:rsidRDefault="00AE7191" w:rsidP="00722885">
            <w:pPr>
              <w:pStyle w:val="Iauiue"/>
              <w:jc w:val="both"/>
              <w:rPr>
                <w:color w:val="000000" w:themeColor="text1"/>
                <w:sz w:val="16"/>
                <w:szCs w:val="16"/>
              </w:rPr>
            </w:pPr>
          </w:p>
        </w:tc>
        <w:tc>
          <w:tcPr>
            <w:tcW w:w="692" w:type="dxa"/>
          </w:tcPr>
          <w:p w14:paraId="476A9DF1" w14:textId="77777777" w:rsidR="00AE7191" w:rsidRPr="001E2C69" w:rsidRDefault="00AE7191" w:rsidP="00722885">
            <w:pPr>
              <w:pStyle w:val="Iauiue"/>
              <w:jc w:val="both"/>
              <w:rPr>
                <w:color w:val="000000" w:themeColor="text1"/>
                <w:sz w:val="16"/>
                <w:szCs w:val="16"/>
              </w:rPr>
            </w:pPr>
          </w:p>
        </w:tc>
        <w:tc>
          <w:tcPr>
            <w:tcW w:w="1371" w:type="dxa"/>
          </w:tcPr>
          <w:p w14:paraId="6039F50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пушки</w:t>
            </w:r>
          </w:p>
        </w:tc>
        <w:tc>
          <w:tcPr>
            <w:tcW w:w="818" w:type="dxa"/>
          </w:tcPr>
          <w:p w14:paraId="2A78E1A9" w14:textId="77777777" w:rsidR="00AE7191" w:rsidRPr="001E2C69" w:rsidRDefault="00AE7191" w:rsidP="00722885">
            <w:pPr>
              <w:pStyle w:val="Iauiue"/>
              <w:jc w:val="both"/>
              <w:rPr>
                <w:color w:val="000000" w:themeColor="text1"/>
                <w:sz w:val="16"/>
                <w:szCs w:val="16"/>
              </w:rPr>
            </w:pPr>
          </w:p>
        </w:tc>
        <w:tc>
          <w:tcPr>
            <w:tcW w:w="830" w:type="dxa"/>
          </w:tcPr>
          <w:p w14:paraId="7A75D001" w14:textId="77777777" w:rsidR="00AE7191" w:rsidRPr="001E2C69" w:rsidRDefault="00AE7191" w:rsidP="00722885">
            <w:pPr>
              <w:pStyle w:val="Iauiue"/>
              <w:jc w:val="both"/>
              <w:rPr>
                <w:color w:val="000000" w:themeColor="text1"/>
                <w:sz w:val="16"/>
                <w:szCs w:val="16"/>
              </w:rPr>
            </w:pPr>
          </w:p>
        </w:tc>
        <w:tc>
          <w:tcPr>
            <w:tcW w:w="829" w:type="dxa"/>
          </w:tcPr>
          <w:p w14:paraId="14B9BEBC" w14:textId="77777777" w:rsidR="00AE7191" w:rsidRPr="001E2C69" w:rsidRDefault="00AE7191" w:rsidP="00722885">
            <w:pPr>
              <w:pStyle w:val="Iauiue"/>
              <w:jc w:val="both"/>
              <w:rPr>
                <w:color w:val="000000" w:themeColor="text1"/>
                <w:sz w:val="16"/>
                <w:szCs w:val="16"/>
              </w:rPr>
            </w:pPr>
          </w:p>
        </w:tc>
        <w:tc>
          <w:tcPr>
            <w:tcW w:w="968" w:type="dxa"/>
          </w:tcPr>
          <w:p w14:paraId="34D6FC41" w14:textId="77777777" w:rsidR="00AE7191" w:rsidRPr="001E2C69" w:rsidRDefault="00AE7191" w:rsidP="00722885">
            <w:pPr>
              <w:pStyle w:val="Iauiue"/>
              <w:jc w:val="both"/>
              <w:rPr>
                <w:color w:val="000000" w:themeColor="text1"/>
                <w:sz w:val="16"/>
                <w:szCs w:val="16"/>
              </w:rPr>
            </w:pPr>
          </w:p>
        </w:tc>
        <w:tc>
          <w:tcPr>
            <w:tcW w:w="837" w:type="dxa"/>
          </w:tcPr>
          <w:p w14:paraId="369807CE" w14:textId="77777777" w:rsidR="00AE7191" w:rsidRPr="001E2C69" w:rsidRDefault="00AE7191" w:rsidP="00722885">
            <w:pPr>
              <w:pStyle w:val="Iauiue"/>
              <w:jc w:val="both"/>
              <w:rPr>
                <w:color w:val="000000" w:themeColor="text1"/>
                <w:sz w:val="16"/>
                <w:szCs w:val="16"/>
              </w:rPr>
            </w:pPr>
          </w:p>
        </w:tc>
      </w:tr>
      <w:tr w:rsidR="001E2C69" w:rsidRPr="001E2C69" w14:paraId="56362609" w14:textId="77777777" w:rsidTr="00CC5360">
        <w:tc>
          <w:tcPr>
            <w:tcW w:w="1809" w:type="dxa"/>
          </w:tcPr>
          <w:p w14:paraId="4982654C" w14:textId="77777777" w:rsidR="00AE7191" w:rsidRPr="001E2C69" w:rsidRDefault="00AE7191" w:rsidP="00722885">
            <w:pPr>
              <w:pStyle w:val="Iauiue"/>
              <w:jc w:val="both"/>
              <w:rPr>
                <w:color w:val="000000" w:themeColor="text1"/>
                <w:sz w:val="16"/>
                <w:szCs w:val="16"/>
              </w:rPr>
            </w:pPr>
          </w:p>
        </w:tc>
        <w:tc>
          <w:tcPr>
            <w:tcW w:w="723" w:type="dxa"/>
          </w:tcPr>
          <w:p w14:paraId="2A74F20C" w14:textId="77777777" w:rsidR="00AE7191" w:rsidRPr="001E2C69" w:rsidRDefault="00AE7191" w:rsidP="00722885">
            <w:pPr>
              <w:pStyle w:val="Iauiue"/>
              <w:jc w:val="both"/>
              <w:rPr>
                <w:color w:val="000000" w:themeColor="text1"/>
                <w:sz w:val="16"/>
                <w:szCs w:val="16"/>
              </w:rPr>
            </w:pPr>
          </w:p>
        </w:tc>
        <w:tc>
          <w:tcPr>
            <w:tcW w:w="862" w:type="dxa"/>
          </w:tcPr>
          <w:p w14:paraId="637688B4" w14:textId="77777777" w:rsidR="00AE7191" w:rsidRPr="001E2C69" w:rsidRDefault="00AE7191" w:rsidP="00722885">
            <w:pPr>
              <w:pStyle w:val="Iauiue"/>
              <w:jc w:val="both"/>
              <w:rPr>
                <w:color w:val="000000" w:themeColor="text1"/>
                <w:sz w:val="16"/>
                <w:szCs w:val="16"/>
              </w:rPr>
            </w:pPr>
          </w:p>
        </w:tc>
        <w:tc>
          <w:tcPr>
            <w:tcW w:w="865" w:type="dxa"/>
          </w:tcPr>
          <w:p w14:paraId="55675321" w14:textId="77777777" w:rsidR="00AE7191" w:rsidRPr="001E2C69" w:rsidRDefault="00AE7191" w:rsidP="00722885">
            <w:pPr>
              <w:pStyle w:val="Iauiue"/>
              <w:jc w:val="both"/>
              <w:rPr>
                <w:color w:val="000000" w:themeColor="text1"/>
                <w:sz w:val="16"/>
                <w:szCs w:val="16"/>
              </w:rPr>
            </w:pPr>
          </w:p>
        </w:tc>
        <w:tc>
          <w:tcPr>
            <w:tcW w:w="692" w:type="dxa"/>
          </w:tcPr>
          <w:p w14:paraId="77ED0ED9" w14:textId="77777777" w:rsidR="00AE7191" w:rsidRPr="001E2C69" w:rsidRDefault="00AE7191" w:rsidP="00722885">
            <w:pPr>
              <w:pStyle w:val="Iauiue"/>
              <w:jc w:val="both"/>
              <w:rPr>
                <w:color w:val="000000" w:themeColor="text1"/>
                <w:sz w:val="16"/>
                <w:szCs w:val="16"/>
              </w:rPr>
            </w:pPr>
          </w:p>
        </w:tc>
        <w:tc>
          <w:tcPr>
            <w:tcW w:w="1371" w:type="dxa"/>
          </w:tcPr>
          <w:p w14:paraId="5C5F905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20 мм, 400 </w:t>
            </w:r>
          </w:p>
        </w:tc>
        <w:tc>
          <w:tcPr>
            <w:tcW w:w="818" w:type="dxa"/>
          </w:tcPr>
          <w:p w14:paraId="59306C6F" w14:textId="77777777" w:rsidR="00AE7191" w:rsidRPr="001E2C69" w:rsidRDefault="00AE7191" w:rsidP="00722885">
            <w:pPr>
              <w:pStyle w:val="Iauiue"/>
              <w:jc w:val="both"/>
              <w:rPr>
                <w:color w:val="000000" w:themeColor="text1"/>
                <w:sz w:val="16"/>
                <w:szCs w:val="16"/>
              </w:rPr>
            </w:pPr>
          </w:p>
        </w:tc>
        <w:tc>
          <w:tcPr>
            <w:tcW w:w="830" w:type="dxa"/>
          </w:tcPr>
          <w:p w14:paraId="31BCC594" w14:textId="77777777" w:rsidR="00AE7191" w:rsidRPr="001E2C69" w:rsidRDefault="00AE7191" w:rsidP="00722885">
            <w:pPr>
              <w:pStyle w:val="Iauiue"/>
              <w:jc w:val="both"/>
              <w:rPr>
                <w:color w:val="000000" w:themeColor="text1"/>
                <w:sz w:val="16"/>
                <w:szCs w:val="16"/>
              </w:rPr>
            </w:pPr>
          </w:p>
        </w:tc>
        <w:tc>
          <w:tcPr>
            <w:tcW w:w="829" w:type="dxa"/>
          </w:tcPr>
          <w:p w14:paraId="31F47DC8" w14:textId="77777777" w:rsidR="00AE7191" w:rsidRPr="001E2C69" w:rsidRDefault="00AE7191" w:rsidP="00722885">
            <w:pPr>
              <w:pStyle w:val="Iauiue"/>
              <w:jc w:val="both"/>
              <w:rPr>
                <w:color w:val="000000" w:themeColor="text1"/>
                <w:sz w:val="16"/>
                <w:szCs w:val="16"/>
              </w:rPr>
            </w:pPr>
          </w:p>
        </w:tc>
        <w:tc>
          <w:tcPr>
            <w:tcW w:w="968" w:type="dxa"/>
          </w:tcPr>
          <w:p w14:paraId="0B8A3248" w14:textId="77777777" w:rsidR="00AE7191" w:rsidRPr="001E2C69" w:rsidRDefault="00AE7191" w:rsidP="00722885">
            <w:pPr>
              <w:pStyle w:val="Iauiue"/>
              <w:jc w:val="both"/>
              <w:rPr>
                <w:color w:val="000000" w:themeColor="text1"/>
                <w:sz w:val="16"/>
                <w:szCs w:val="16"/>
              </w:rPr>
            </w:pPr>
          </w:p>
        </w:tc>
        <w:tc>
          <w:tcPr>
            <w:tcW w:w="837" w:type="dxa"/>
          </w:tcPr>
          <w:p w14:paraId="4FB7B8B7" w14:textId="77777777" w:rsidR="00AE7191" w:rsidRPr="001E2C69" w:rsidRDefault="00AE7191" w:rsidP="00722885">
            <w:pPr>
              <w:pStyle w:val="Iauiue"/>
              <w:jc w:val="both"/>
              <w:rPr>
                <w:color w:val="000000" w:themeColor="text1"/>
                <w:sz w:val="16"/>
                <w:szCs w:val="16"/>
              </w:rPr>
            </w:pPr>
          </w:p>
        </w:tc>
      </w:tr>
      <w:tr w:rsidR="001E2C69" w:rsidRPr="001E2C69" w14:paraId="73E6FF0C" w14:textId="77777777" w:rsidTr="00CC5360">
        <w:tc>
          <w:tcPr>
            <w:tcW w:w="1809" w:type="dxa"/>
          </w:tcPr>
          <w:p w14:paraId="765E1423" w14:textId="77777777" w:rsidR="00AE7191" w:rsidRPr="001E2C69" w:rsidRDefault="00AE7191" w:rsidP="00722885">
            <w:pPr>
              <w:pStyle w:val="Iauiue"/>
              <w:jc w:val="both"/>
              <w:rPr>
                <w:color w:val="000000" w:themeColor="text1"/>
                <w:sz w:val="16"/>
                <w:szCs w:val="16"/>
              </w:rPr>
            </w:pPr>
          </w:p>
        </w:tc>
        <w:tc>
          <w:tcPr>
            <w:tcW w:w="723" w:type="dxa"/>
          </w:tcPr>
          <w:p w14:paraId="12378000" w14:textId="77777777" w:rsidR="00AE7191" w:rsidRPr="001E2C69" w:rsidRDefault="00AE7191" w:rsidP="00722885">
            <w:pPr>
              <w:pStyle w:val="Iauiue"/>
              <w:jc w:val="both"/>
              <w:rPr>
                <w:color w:val="000000" w:themeColor="text1"/>
                <w:sz w:val="16"/>
                <w:szCs w:val="16"/>
              </w:rPr>
            </w:pPr>
          </w:p>
        </w:tc>
        <w:tc>
          <w:tcPr>
            <w:tcW w:w="862" w:type="dxa"/>
          </w:tcPr>
          <w:p w14:paraId="76362815" w14:textId="77777777" w:rsidR="00AE7191" w:rsidRPr="001E2C69" w:rsidRDefault="00AE7191" w:rsidP="00722885">
            <w:pPr>
              <w:pStyle w:val="Iauiue"/>
              <w:jc w:val="both"/>
              <w:rPr>
                <w:color w:val="000000" w:themeColor="text1"/>
                <w:sz w:val="16"/>
                <w:szCs w:val="16"/>
              </w:rPr>
            </w:pPr>
          </w:p>
        </w:tc>
        <w:tc>
          <w:tcPr>
            <w:tcW w:w="865" w:type="dxa"/>
          </w:tcPr>
          <w:p w14:paraId="16ACB4A7" w14:textId="77777777" w:rsidR="00AE7191" w:rsidRPr="001E2C69" w:rsidRDefault="00AE7191" w:rsidP="00722885">
            <w:pPr>
              <w:pStyle w:val="Iauiue"/>
              <w:jc w:val="both"/>
              <w:rPr>
                <w:color w:val="000000" w:themeColor="text1"/>
                <w:sz w:val="16"/>
                <w:szCs w:val="16"/>
              </w:rPr>
            </w:pPr>
          </w:p>
        </w:tc>
        <w:tc>
          <w:tcPr>
            <w:tcW w:w="692" w:type="dxa"/>
          </w:tcPr>
          <w:p w14:paraId="7A9B2A6E" w14:textId="77777777" w:rsidR="00AE7191" w:rsidRPr="001E2C69" w:rsidRDefault="00AE7191" w:rsidP="00722885">
            <w:pPr>
              <w:pStyle w:val="Iauiue"/>
              <w:jc w:val="both"/>
              <w:rPr>
                <w:color w:val="000000" w:themeColor="text1"/>
                <w:sz w:val="16"/>
                <w:szCs w:val="16"/>
              </w:rPr>
            </w:pPr>
          </w:p>
        </w:tc>
        <w:tc>
          <w:tcPr>
            <w:tcW w:w="1371" w:type="dxa"/>
          </w:tcPr>
          <w:p w14:paraId="2DB7ADE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снарядов в</w:t>
            </w:r>
          </w:p>
        </w:tc>
        <w:tc>
          <w:tcPr>
            <w:tcW w:w="818" w:type="dxa"/>
          </w:tcPr>
          <w:p w14:paraId="7A975F24" w14:textId="77777777" w:rsidR="00AE7191" w:rsidRPr="001E2C69" w:rsidRDefault="00AE7191" w:rsidP="00722885">
            <w:pPr>
              <w:pStyle w:val="Iauiue"/>
              <w:jc w:val="both"/>
              <w:rPr>
                <w:color w:val="000000" w:themeColor="text1"/>
                <w:sz w:val="16"/>
                <w:szCs w:val="16"/>
              </w:rPr>
            </w:pPr>
          </w:p>
        </w:tc>
        <w:tc>
          <w:tcPr>
            <w:tcW w:w="830" w:type="dxa"/>
          </w:tcPr>
          <w:p w14:paraId="1C29DB52" w14:textId="77777777" w:rsidR="00AE7191" w:rsidRPr="001E2C69" w:rsidRDefault="00AE7191" w:rsidP="00722885">
            <w:pPr>
              <w:pStyle w:val="Iauiue"/>
              <w:jc w:val="both"/>
              <w:rPr>
                <w:color w:val="000000" w:themeColor="text1"/>
                <w:sz w:val="16"/>
                <w:szCs w:val="16"/>
              </w:rPr>
            </w:pPr>
          </w:p>
        </w:tc>
        <w:tc>
          <w:tcPr>
            <w:tcW w:w="829" w:type="dxa"/>
          </w:tcPr>
          <w:p w14:paraId="0CCF9A5B" w14:textId="77777777" w:rsidR="00AE7191" w:rsidRPr="001E2C69" w:rsidRDefault="00AE7191" w:rsidP="00722885">
            <w:pPr>
              <w:pStyle w:val="Iauiue"/>
              <w:jc w:val="both"/>
              <w:rPr>
                <w:color w:val="000000" w:themeColor="text1"/>
                <w:sz w:val="16"/>
                <w:szCs w:val="16"/>
              </w:rPr>
            </w:pPr>
          </w:p>
        </w:tc>
        <w:tc>
          <w:tcPr>
            <w:tcW w:w="968" w:type="dxa"/>
          </w:tcPr>
          <w:p w14:paraId="13614611" w14:textId="77777777" w:rsidR="00AE7191" w:rsidRPr="001E2C69" w:rsidRDefault="00AE7191" w:rsidP="00722885">
            <w:pPr>
              <w:pStyle w:val="Iauiue"/>
              <w:jc w:val="both"/>
              <w:rPr>
                <w:color w:val="000000" w:themeColor="text1"/>
                <w:sz w:val="16"/>
                <w:szCs w:val="16"/>
              </w:rPr>
            </w:pPr>
          </w:p>
        </w:tc>
        <w:tc>
          <w:tcPr>
            <w:tcW w:w="837" w:type="dxa"/>
          </w:tcPr>
          <w:p w14:paraId="15C9A5B6" w14:textId="77777777" w:rsidR="00AE7191" w:rsidRPr="001E2C69" w:rsidRDefault="00AE7191" w:rsidP="00722885">
            <w:pPr>
              <w:pStyle w:val="Iauiue"/>
              <w:jc w:val="both"/>
              <w:rPr>
                <w:color w:val="000000" w:themeColor="text1"/>
                <w:sz w:val="16"/>
                <w:szCs w:val="16"/>
              </w:rPr>
            </w:pPr>
          </w:p>
        </w:tc>
      </w:tr>
      <w:tr w:rsidR="001E2C69" w:rsidRPr="001E2C69" w14:paraId="7AFCE62B" w14:textId="77777777" w:rsidTr="00CC5360">
        <w:tc>
          <w:tcPr>
            <w:tcW w:w="1809" w:type="dxa"/>
          </w:tcPr>
          <w:p w14:paraId="7FD35795" w14:textId="77777777" w:rsidR="00AE7191" w:rsidRPr="001E2C69" w:rsidRDefault="00AE7191" w:rsidP="00722885">
            <w:pPr>
              <w:pStyle w:val="Iauiue"/>
              <w:jc w:val="both"/>
              <w:rPr>
                <w:color w:val="000000" w:themeColor="text1"/>
                <w:sz w:val="16"/>
                <w:szCs w:val="16"/>
              </w:rPr>
            </w:pPr>
          </w:p>
        </w:tc>
        <w:tc>
          <w:tcPr>
            <w:tcW w:w="723" w:type="dxa"/>
          </w:tcPr>
          <w:p w14:paraId="69D3E271" w14:textId="77777777" w:rsidR="00AE7191" w:rsidRPr="001E2C69" w:rsidRDefault="00AE7191" w:rsidP="00722885">
            <w:pPr>
              <w:pStyle w:val="Iauiue"/>
              <w:jc w:val="both"/>
              <w:rPr>
                <w:color w:val="000000" w:themeColor="text1"/>
                <w:sz w:val="16"/>
                <w:szCs w:val="16"/>
              </w:rPr>
            </w:pPr>
          </w:p>
        </w:tc>
        <w:tc>
          <w:tcPr>
            <w:tcW w:w="862" w:type="dxa"/>
          </w:tcPr>
          <w:p w14:paraId="00A2F7E0" w14:textId="77777777" w:rsidR="00AE7191" w:rsidRPr="001E2C69" w:rsidRDefault="00AE7191" w:rsidP="00722885">
            <w:pPr>
              <w:pStyle w:val="Iauiue"/>
              <w:jc w:val="both"/>
              <w:rPr>
                <w:color w:val="000000" w:themeColor="text1"/>
                <w:sz w:val="16"/>
                <w:szCs w:val="16"/>
              </w:rPr>
            </w:pPr>
          </w:p>
        </w:tc>
        <w:tc>
          <w:tcPr>
            <w:tcW w:w="865" w:type="dxa"/>
          </w:tcPr>
          <w:p w14:paraId="070BF24B" w14:textId="77777777" w:rsidR="00AE7191" w:rsidRPr="001E2C69" w:rsidRDefault="00AE7191" w:rsidP="00722885">
            <w:pPr>
              <w:pStyle w:val="Iauiue"/>
              <w:jc w:val="both"/>
              <w:rPr>
                <w:color w:val="000000" w:themeColor="text1"/>
                <w:sz w:val="16"/>
                <w:szCs w:val="16"/>
              </w:rPr>
            </w:pPr>
          </w:p>
        </w:tc>
        <w:tc>
          <w:tcPr>
            <w:tcW w:w="692" w:type="dxa"/>
          </w:tcPr>
          <w:p w14:paraId="705AD746" w14:textId="77777777" w:rsidR="00AE7191" w:rsidRPr="001E2C69" w:rsidRDefault="00AE7191" w:rsidP="00722885">
            <w:pPr>
              <w:pStyle w:val="Iauiue"/>
              <w:jc w:val="both"/>
              <w:rPr>
                <w:color w:val="000000" w:themeColor="text1"/>
                <w:sz w:val="16"/>
                <w:szCs w:val="16"/>
              </w:rPr>
            </w:pPr>
          </w:p>
        </w:tc>
        <w:tc>
          <w:tcPr>
            <w:tcW w:w="1371" w:type="dxa"/>
          </w:tcPr>
          <w:p w14:paraId="68018E5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перегрузку</w:t>
            </w:r>
          </w:p>
        </w:tc>
        <w:tc>
          <w:tcPr>
            <w:tcW w:w="818" w:type="dxa"/>
          </w:tcPr>
          <w:p w14:paraId="1EBE1258" w14:textId="77777777" w:rsidR="00AE7191" w:rsidRPr="001E2C69" w:rsidRDefault="00AE7191" w:rsidP="00722885">
            <w:pPr>
              <w:pStyle w:val="Iauiue"/>
              <w:jc w:val="both"/>
              <w:rPr>
                <w:color w:val="000000" w:themeColor="text1"/>
                <w:sz w:val="16"/>
                <w:szCs w:val="16"/>
              </w:rPr>
            </w:pPr>
          </w:p>
        </w:tc>
        <w:tc>
          <w:tcPr>
            <w:tcW w:w="830" w:type="dxa"/>
          </w:tcPr>
          <w:p w14:paraId="7CD28E09" w14:textId="77777777" w:rsidR="00AE7191" w:rsidRPr="001E2C69" w:rsidRDefault="00AE7191" w:rsidP="00722885">
            <w:pPr>
              <w:pStyle w:val="Iauiue"/>
              <w:jc w:val="both"/>
              <w:rPr>
                <w:color w:val="000000" w:themeColor="text1"/>
                <w:sz w:val="16"/>
                <w:szCs w:val="16"/>
              </w:rPr>
            </w:pPr>
          </w:p>
        </w:tc>
        <w:tc>
          <w:tcPr>
            <w:tcW w:w="829" w:type="dxa"/>
          </w:tcPr>
          <w:p w14:paraId="349FE7D5" w14:textId="77777777" w:rsidR="00AE7191" w:rsidRPr="001E2C69" w:rsidRDefault="00AE7191" w:rsidP="00722885">
            <w:pPr>
              <w:pStyle w:val="Iauiue"/>
              <w:jc w:val="both"/>
              <w:rPr>
                <w:color w:val="000000" w:themeColor="text1"/>
                <w:sz w:val="16"/>
                <w:szCs w:val="16"/>
              </w:rPr>
            </w:pPr>
          </w:p>
        </w:tc>
        <w:tc>
          <w:tcPr>
            <w:tcW w:w="968" w:type="dxa"/>
          </w:tcPr>
          <w:p w14:paraId="758D93E4" w14:textId="77777777" w:rsidR="00AE7191" w:rsidRPr="001E2C69" w:rsidRDefault="00AE7191" w:rsidP="00722885">
            <w:pPr>
              <w:pStyle w:val="Iauiue"/>
              <w:jc w:val="both"/>
              <w:rPr>
                <w:color w:val="000000" w:themeColor="text1"/>
                <w:sz w:val="16"/>
                <w:szCs w:val="16"/>
              </w:rPr>
            </w:pPr>
          </w:p>
        </w:tc>
        <w:tc>
          <w:tcPr>
            <w:tcW w:w="837" w:type="dxa"/>
          </w:tcPr>
          <w:p w14:paraId="536F96E6" w14:textId="77777777" w:rsidR="00AE7191" w:rsidRPr="001E2C69" w:rsidRDefault="00AE7191" w:rsidP="00722885">
            <w:pPr>
              <w:pStyle w:val="Iauiue"/>
              <w:jc w:val="both"/>
              <w:rPr>
                <w:color w:val="000000" w:themeColor="text1"/>
                <w:sz w:val="16"/>
                <w:szCs w:val="16"/>
              </w:rPr>
            </w:pPr>
          </w:p>
        </w:tc>
      </w:tr>
      <w:tr w:rsidR="001E2C69" w:rsidRPr="001E2C69" w14:paraId="66E8EEB7" w14:textId="77777777" w:rsidTr="00CC5360">
        <w:tc>
          <w:tcPr>
            <w:tcW w:w="1809" w:type="dxa"/>
          </w:tcPr>
          <w:p w14:paraId="5317000C" w14:textId="77777777" w:rsidR="00AE7191" w:rsidRPr="001E2C69" w:rsidRDefault="00AE7191" w:rsidP="00722885">
            <w:pPr>
              <w:pStyle w:val="Iauiue"/>
              <w:jc w:val="both"/>
              <w:rPr>
                <w:color w:val="000000" w:themeColor="text1"/>
                <w:sz w:val="16"/>
                <w:szCs w:val="16"/>
              </w:rPr>
            </w:pPr>
          </w:p>
        </w:tc>
        <w:tc>
          <w:tcPr>
            <w:tcW w:w="723" w:type="dxa"/>
          </w:tcPr>
          <w:p w14:paraId="3469B316" w14:textId="77777777" w:rsidR="00AE7191" w:rsidRPr="001E2C69" w:rsidRDefault="00AE7191" w:rsidP="00722885">
            <w:pPr>
              <w:pStyle w:val="Iauiue"/>
              <w:jc w:val="both"/>
              <w:rPr>
                <w:color w:val="000000" w:themeColor="text1"/>
                <w:sz w:val="16"/>
                <w:szCs w:val="16"/>
              </w:rPr>
            </w:pPr>
          </w:p>
        </w:tc>
        <w:tc>
          <w:tcPr>
            <w:tcW w:w="862" w:type="dxa"/>
          </w:tcPr>
          <w:p w14:paraId="56082DF4" w14:textId="77777777" w:rsidR="00AE7191" w:rsidRPr="001E2C69" w:rsidRDefault="00AE7191" w:rsidP="00722885">
            <w:pPr>
              <w:pStyle w:val="Iauiue"/>
              <w:jc w:val="both"/>
              <w:rPr>
                <w:color w:val="000000" w:themeColor="text1"/>
                <w:sz w:val="16"/>
                <w:szCs w:val="16"/>
              </w:rPr>
            </w:pPr>
          </w:p>
        </w:tc>
        <w:tc>
          <w:tcPr>
            <w:tcW w:w="865" w:type="dxa"/>
          </w:tcPr>
          <w:p w14:paraId="12D7D71D" w14:textId="77777777" w:rsidR="00AE7191" w:rsidRPr="001E2C69" w:rsidRDefault="00AE7191" w:rsidP="00722885">
            <w:pPr>
              <w:pStyle w:val="Iauiue"/>
              <w:jc w:val="both"/>
              <w:rPr>
                <w:color w:val="000000" w:themeColor="text1"/>
                <w:sz w:val="16"/>
                <w:szCs w:val="16"/>
              </w:rPr>
            </w:pPr>
          </w:p>
        </w:tc>
        <w:tc>
          <w:tcPr>
            <w:tcW w:w="692" w:type="dxa"/>
          </w:tcPr>
          <w:p w14:paraId="7D643578" w14:textId="77777777" w:rsidR="00AE7191" w:rsidRPr="001E2C69" w:rsidRDefault="00AE7191" w:rsidP="00722885">
            <w:pPr>
              <w:pStyle w:val="Iauiue"/>
              <w:jc w:val="both"/>
              <w:rPr>
                <w:color w:val="000000" w:themeColor="text1"/>
                <w:sz w:val="16"/>
                <w:szCs w:val="16"/>
              </w:rPr>
            </w:pPr>
          </w:p>
        </w:tc>
        <w:tc>
          <w:tcPr>
            <w:tcW w:w="1371" w:type="dxa"/>
          </w:tcPr>
          <w:p w14:paraId="086436C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пулем.</w:t>
            </w:r>
          </w:p>
        </w:tc>
        <w:tc>
          <w:tcPr>
            <w:tcW w:w="818" w:type="dxa"/>
          </w:tcPr>
          <w:p w14:paraId="07973A35" w14:textId="77777777" w:rsidR="00AE7191" w:rsidRPr="001E2C69" w:rsidRDefault="00AE7191" w:rsidP="00722885">
            <w:pPr>
              <w:pStyle w:val="Iauiue"/>
              <w:jc w:val="both"/>
              <w:rPr>
                <w:color w:val="000000" w:themeColor="text1"/>
                <w:sz w:val="16"/>
                <w:szCs w:val="16"/>
              </w:rPr>
            </w:pPr>
          </w:p>
        </w:tc>
        <w:tc>
          <w:tcPr>
            <w:tcW w:w="830" w:type="dxa"/>
          </w:tcPr>
          <w:p w14:paraId="4FA0ADAA" w14:textId="77777777" w:rsidR="00AE7191" w:rsidRPr="001E2C69" w:rsidRDefault="00AE7191" w:rsidP="00722885">
            <w:pPr>
              <w:pStyle w:val="Iauiue"/>
              <w:jc w:val="both"/>
              <w:rPr>
                <w:color w:val="000000" w:themeColor="text1"/>
                <w:sz w:val="16"/>
                <w:szCs w:val="16"/>
              </w:rPr>
            </w:pPr>
          </w:p>
        </w:tc>
        <w:tc>
          <w:tcPr>
            <w:tcW w:w="829" w:type="dxa"/>
          </w:tcPr>
          <w:p w14:paraId="62332541" w14:textId="77777777" w:rsidR="00AE7191" w:rsidRPr="001E2C69" w:rsidRDefault="00AE7191" w:rsidP="00722885">
            <w:pPr>
              <w:pStyle w:val="Iauiue"/>
              <w:jc w:val="both"/>
              <w:rPr>
                <w:color w:val="000000" w:themeColor="text1"/>
                <w:sz w:val="16"/>
                <w:szCs w:val="16"/>
              </w:rPr>
            </w:pPr>
          </w:p>
        </w:tc>
        <w:tc>
          <w:tcPr>
            <w:tcW w:w="968" w:type="dxa"/>
          </w:tcPr>
          <w:p w14:paraId="5F2907ED" w14:textId="77777777" w:rsidR="00AE7191" w:rsidRPr="001E2C69" w:rsidRDefault="00AE7191" w:rsidP="00722885">
            <w:pPr>
              <w:pStyle w:val="Iauiue"/>
              <w:jc w:val="both"/>
              <w:rPr>
                <w:color w:val="000000" w:themeColor="text1"/>
                <w:sz w:val="16"/>
                <w:szCs w:val="16"/>
              </w:rPr>
            </w:pPr>
          </w:p>
        </w:tc>
        <w:tc>
          <w:tcPr>
            <w:tcW w:w="837" w:type="dxa"/>
          </w:tcPr>
          <w:p w14:paraId="4421FCB8" w14:textId="77777777" w:rsidR="00AE7191" w:rsidRPr="001E2C69" w:rsidRDefault="00AE7191" w:rsidP="00722885">
            <w:pPr>
              <w:pStyle w:val="Iauiue"/>
              <w:jc w:val="both"/>
              <w:rPr>
                <w:color w:val="000000" w:themeColor="text1"/>
                <w:sz w:val="16"/>
                <w:szCs w:val="16"/>
              </w:rPr>
            </w:pPr>
          </w:p>
        </w:tc>
      </w:tr>
      <w:tr w:rsidR="001E2C69" w:rsidRPr="001E2C69" w14:paraId="3441C95D" w14:textId="77777777" w:rsidTr="00CC5360">
        <w:tc>
          <w:tcPr>
            <w:tcW w:w="1809" w:type="dxa"/>
          </w:tcPr>
          <w:p w14:paraId="111AD473" w14:textId="77777777" w:rsidR="00AE7191" w:rsidRPr="001E2C69" w:rsidRDefault="00AE7191" w:rsidP="00722885">
            <w:pPr>
              <w:pStyle w:val="Iauiue"/>
              <w:jc w:val="both"/>
              <w:rPr>
                <w:color w:val="000000" w:themeColor="text1"/>
                <w:sz w:val="16"/>
                <w:szCs w:val="16"/>
              </w:rPr>
            </w:pPr>
          </w:p>
        </w:tc>
        <w:tc>
          <w:tcPr>
            <w:tcW w:w="723" w:type="dxa"/>
          </w:tcPr>
          <w:p w14:paraId="4D54FDD1" w14:textId="77777777" w:rsidR="00AE7191" w:rsidRPr="001E2C69" w:rsidRDefault="00AE7191" w:rsidP="00722885">
            <w:pPr>
              <w:pStyle w:val="Iauiue"/>
              <w:jc w:val="both"/>
              <w:rPr>
                <w:color w:val="000000" w:themeColor="text1"/>
                <w:sz w:val="16"/>
                <w:szCs w:val="16"/>
              </w:rPr>
            </w:pPr>
          </w:p>
        </w:tc>
        <w:tc>
          <w:tcPr>
            <w:tcW w:w="862" w:type="dxa"/>
          </w:tcPr>
          <w:p w14:paraId="509A240D" w14:textId="77777777" w:rsidR="00AE7191" w:rsidRPr="001E2C69" w:rsidRDefault="00AE7191" w:rsidP="00722885">
            <w:pPr>
              <w:pStyle w:val="Iauiue"/>
              <w:jc w:val="both"/>
              <w:rPr>
                <w:color w:val="000000" w:themeColor="text1"/>
                <w:sz w:val="16"/>
                <w:szCs w:val="16"/>
              </w:rPr>
            </w:pPr>
          </w:p>
        </w:tc>
        <w:tc>
          <w:tcPr>
            <w:tcW w:w="865" w:type="dxa"/>
          </w:tcPr>
          <w:p w14:paraId="4465DA7E" w14:textId="77777777" w:rsidR="00AE7191" w:rsidRPr="001E2C69" w:rsidRDefault="00AE7191" w:rsidP="00722885">
            <w:pPr>
              <w:pStyle w:val="Iauiue"/>
              <w:jc w:val="both"/>
              <w:rPr>
                <w:color w:val="000000" w:themeColor="text1"/>
                <w:sz w:val="16"/>
                <w:szCs w:val="16"/>
              </w:rPr>
            </w:pPr>
          </w:p>
        </w:tc>
        <w:tc>
          <w:tcPr>
            <w:tcW w:w="692" w:type="dxa"/>
          </w:tcPr>
          <w:p w14:paraId="127BF076" w14:textId="77777777" w:rsidR="00AE7191" w:rsidRPr="001E2C69" w:rsidRDefault="00AE7191" w:rsidP="00722885">
            <w:pPr>
              <w:pStyle w:val="Iauiue"/>
              <w:jc w:val="both"/>
              <w:rPr>
                <w:color w:val="000000" w:themeColor="text1"/>
                <w:sz w:val="16"/>
                <w:szCs w:val="16"/>
              </w:rPr>
            </w:pPr>
          </w:p>
        </w:tc>
        <w:tc>
          <w:tcPr>
            <w:tcW w:w="1371" w:type="dxa"/>
          </w:tcPr>
          <w:p w14:paraId="37C4ACC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7,62 мм с</w:t>
            </w:r>
          </w:p>
        </w:tc>
        <w:tc>
          <w:tcPr>
            <w:tcW w:w="818" w:type="dxa"/>
          </w:tcPr>
          <w:p w14:paraId="0F25BDFE" w14:textId="77777777" w:rsidR="00AE7191" w:rsidRPr="001E2C69" w:rsidRDefault="00AE7191" w:rsidP="00722885">
            <w:pPr>
              <w:pStyle w:val="Iauiue"/>
              <w:jc w:val="both"/>
              <w:rPr>
                <w:color w:val="000000" w:themeColor="text1"/>
                <w:sz w:val="16"/>
                <w:szCs w:val="16"/>
              </w:rPr>
            </w:pPr>
          </w:p>
        </w:tc>
        <w:tc>
          <w:tcPr>
            <w:tcW w:w="830" w:type="dxa"/>
          </w:tcPr>
          <w:p w14:paraId="35F66F5F" w14:textId="77777777" w:rsidR="00AE7191" w:rsidRPr="001E2C69" w:rsidRDefault="00AE7191" w:rsidP="00722885">
            <w:pPr>
              <w:pStyle w:val="Iauiue"/>
              <w:jc w:val="both"/>
              <w:rPr>
                <w:color w:val="000000" w:themeColor="text1"/>
                <w:sz w:val="16"/>
                <w:szCs w:val="16"/>
              </w:rPr>
            </w:pPr>
          </w:p>
        </w:tc>
        <w:tc>
          <w:tcPr>
            <w:tcW w:w="829" w:type="dxa"/>
          </w:tcPr>
          <w:p w14:paraId="4A1B6EE5" w14:textId="77777777" w:rsidR="00AE7191" w:rsidRPr="001E2C69" w:rsidRDefault="00AE7191" w:rsidP="00722885">
            <w:pPr>
              <w:pStyle w:val="Iauiue"/>
              <w:jc w:val="both"/>
              <w:rPr>
                <w:color w:val="000000" w:themeColor="text1"/>
                <w:sz w:val="16"/>
                <w:szCs w:val="16"/>
              </w:rPr>
            </w:pPr>
          </w:p>
        </w:tc>
        <w:tc>
          <w:tcPr>
            <w:tcW w:w="968" w:type="dxa"/>
          </w:tcPr>
          <w:p w14:paraId="197A29CD" w14:textId="77777777" w:rsidR="00AE7191" w:rsidRPr="001E2C69" w:rsidRDefault="00AE7191" w:rsidP="00722885">
            <w:pPr>
              <w:pStyle w:val="Iauiue"/>
              <w:jc w:val="both"/>
              <w:rPr>
                <w:color w:val="000000" w:themeColor="text1"/>
                <w:sz w:val="16"/>
                <w:szCs w:val="16"/>
              </w:rPr>
            </w:pPr>
          </w:p>
        </w:tc>
        <w:tc>
          <w:tcPr>
            <w:tcW w:w="837" w:type="dxa"/>
          </w:tcPr>
          <w:p w14:paraId="7EA25272" w14:textId="77777777" w:rsidR="00AE7191" w:rsidRPr="001E2C69" w:rsidRDefault="00AE7191" w:rsidP="00722885">
            <w:pPr>
              <w:pStyle w:val="Iauiue"/>
              <w:jc w:val="both"/>
              <w:rPr>
                <w:color w:val="000000" w:themeColor="text1"/>
                <w:sz w:val="16"/>
                <w:szCs w:val="16"/>
              </w:rPr>
            </w:pPr>
          </w:p>
        </w:tc>
      </w:tr>
      <w:tr w:rsidR="001E2C69" w:rsidRPr="001E2C69" w14:paraId="269E5D19" w14:textId="77777777" w:rsidTr="00CC5360">
        <w:tc>
          <w:tcPr>
            <w:tcW w:w="1809" w:type="dxa"/>
          </w:tcPr>
          <w:p w14:paraId="5AD6C8A1" w14:textId="77777777" w:rsidR="00AE7191" w:rsidRPr="001E2C69" w:rsidRDefault="00AE7191" w:rsidP="00722885">
            <w:pPr>
              <w:pStyle w:val="Iauiue"/>
              <w:jc w:val="both"/>
              <w:rPr>
                <w:color w:val="000000" w:themeColor="text1"/>
                <w:sz w:val="16"/>
                <w:szCs w:val="16"/>
              </w:rPr>
            </w:pPr>
          </w:p>
        </w:tc>
        <w:tc>
          <w:tcPr>
            <w:tcW w:w="723" w:type="dxa"/>
          </w:tcPr>
          <w:p w14:paraId="7CDBAC24" w14:textId="77777777" w:rsidR="00AE7191" w:rsidRPr="001E2C69" w:rsidRDefault="00AE7191" w:rsidP="00722885">
            <w:pPr>
              <w:pStyle w:val="Iauiue"/>
              <w:jc w:val="both"/>
              <w:rPr>
                <w:color w:val="000000" w:themeColor="text1"/>
                <w:sz w:val="16"/>
                <w:szCs w:val="16"/>
              </w:rPr>
            </w:pPr>
          </w:p>
        </w:tc>
        <w:tc>
          <w:tcPr>
            <w:tcW w:w="862" w:type="dxa"/>
          </w:tcPr>
          <w:p w14:paraId="1267D140" w14:textId="77777777" w:rsidR="00AE7191" w:rsidRPr="001E2C69" w:rsidRDefault="00AE7191" w:rsidP="00722885">
            <w:pPr>
              <w:pStyle w:val="Iauiue"/>
              <w:jc w:val="both"/>
              <w:rPr>
                <w:color w:val="000000" w:themeColor="text1"/>
                <w:sz w:val="16"/>
                <w:szCs w:val="16"/>
              </w:rPr>
            </w:pPr>
          </w:p>
        </w:tc>
        <w:tc>
          <w:tcPr>
            <w:tcW w:w="865" w:type="dxa"/>
          </w:tcPr>
          <w:p w14:paraId="33D33494" w14:textId="77777777" w:rsidR="00AE7191" w:rsidRPr="001E2C69" w:rsidRDefault="00AE7191" w:rsidP="00722885">
            <w:pPr>
              <w:pStyle w:val="Iauiue"/>
              <w:jc w:val="both"/>
              <w:rPr>
                <w:color w:val="000000" w:themeColor="text1"/>
                <w:sz w:val="16"/>
                <w:szCs w:val="16"/>
              </w:rPr>
            </w:pPr>
          </w:p>
        </w:tc>
        <w:tc>
          <w:tcPr>
            <w:tcW w:w="692" w:type="dxa"/>
          </w:tcPr>
          <w:p w14:paraId="4894F1AC" w14:textId="77777777" w:rsidR="00AE7191" w:rsidRPr="001E2C69" w:rsidRDefault="00AE7191" w:rsidP="00722885">
            <w:pPr>
              <w:pStyle w:val="Iauiue"/>
              <w:jc w:val="both"/>
              <w:rPr>
                <w:color w:val="000000" w:themeColor="text1"/>
                <w:sz w:val="16"/>
                <w:szCs w:val="16"/>
              </w:rPr>
            </w:pPr>
          </w:p>
        </w:tc>
        <w:tc>
          <w:tcPr>
            <w:tcW w:w="1371" w:type="dxa"/>
          </w:tcPr>
          <w:p w14:paraId="1508408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боезапасом</w:t>
            </w:r>
          </w:p>
        </w:tc>
        <w:tc>
          <w:tcPr>
            <w:tcW w:w="818" w:type="dxa"/>
          </w:tcPr>
          <w:p w14:paraId="789F79B7" w14:textId="77777777" w:rsidR="00AE7191" w:rsidRPr="001E2C69" w:rsidRDefault="00AE7191" w:rsidP="00722885">
            <w:pPr>
              <w:pStyle w:val="Iauiue"/>
              <w:jc w:val="both"/>
              <w:rPr>
                <w:color w:val="000000" w:themeColor="text1"/>
                <w:sz w:val="16"/>
                <w:szCs w:val="16"/>
              </w:rPr>
            </w:pPr>
          </w:p>
        </w:tc>
        <w:tc>
          <w:tcPr>
            <w:tcW w:w="830" w:type="dxa"/>
          </w:tcPr>
          <w:p w14:paraId="190D4E0E" w14:textId="77777777" w:rsidR="00AE7191" w:rsidRPr="001E2C69" w:rsidRDefault="00AE7191" w:rsidP="00722885">
            <w:pPr>
              <w:pStyle w:val="Iauiue"/>
              <w:jc w:val="both"/>
              <w:rPr>
                <w:color w:val="000000" w:themeColor="text1"/>
                <w:sz w:val="16"/>
                <w:szCs w:val="16"/>
              </w:rPr>
            </w:pPr>
          </w:p>
        </w:tc>
        <w:tc>
          <w:tcPr>
            <w:tcW w:w="829" w:type="dxa"/>
          </w:tcPr>
          <w:p w14:paraId="2E782A35" w14:textId="77777777" w:rsidR="00AE7191" w:rsidRPr="001E2C69" w:rsidRDefault="00AE7191" w:rsidP="00722885">
            <w:pPr>
              <w:pStyle w:val="Iauiue"/>
              <w:jc w:val="both"/>
              <w:rPr>
                <w:color w:val="000000" w:themeColor="text1"/>
                <w:sz w:val="16"/>
                <w:szCs w:val="16"/>
              </w:rPr>
            </w:pPr>
          </w:p>
        </w:tc>
        <w:tc>
          <w:tcPr>
            <w:tcW w:w="968" w:type="dxa"/>
          </w:tcPr>
          <w:p w14:paraId="52F7F2CB" w14:textId="77777777" w:rsidR="00AE7191" w:rsidRPr="001E2C69" w:rsidRDefault="00AE7191" w:rsidP="00722885">
            <w:pPr>
              <w:pStyle w:val="Iauiue"/>
              <w:jc w:val="both"/>
              <w:rPr>
                <w:color w:val="000000" w:themeColor="text1"/>
                <w:sz w:val="16"/>
                <w:szCs w:val="16"/>
              </w:rPr>
            </w:pPr>
          </w:p>
        </w:tc>
        <w:tc>
          <w:tcPr>
            <w:tcW w:w="837" w:type="dxa"/>
          </w:tcPr>
          <w:p w14:paraId="0D2A30CA" w14:textId="77777777" w:rsidR="00AE7191" w:rsidRPr="001E2C69" w:rsidRDefault="00AE7191" w:rsidP="00722885">
            <w:pPr>
              <w:pStyle w:val="Iauiue"/>
              <w:jc w:val="both"/>
              <w:rPr>
                <w:color w:val="000000" w:themeColor="text1"/>
                <w:sz w:val="16"/>
                <w:szCs w:val="16"/>
              </w:rPr>
            </w:pPr>
          </w:p>
        </w:tc>
      </w:tr>
      <w:tr w:rsidR="001E2C69" w:rsidRPr="001E2C69" w14:paraId="556D53B6" w14:textId="77777777" w:rsidTr="00CC5360">
        <w:tc>
          <w:tcPr>
            <w:tcW w:w="1809" w:type="dxa"/>
          </w:tcPr>
          <w:p w14:paraId="246645E6" w14:textId="77777777" w:rsidR="00AE7191" w:rsidRPr="001E2C69" w:rsidRDefault="00AE7191" w:rsidP="00722885">
            <w:pPr>
              <w:pStyle w:val="Iauiue"/>
              <w:jc w:val="both"/>
              <w:rPr>
                <w:color w:val="000000" w:themeColor="text1"/>
                <w:sz w:val="16"/>
                <w:szCs w:val="16"/>
              </w:rPr>
            </w:pPr>
          </w:p>
        </w:tc>
        <w:tc>
          <w:tcPr>
            <w:tcW w:w="723" w:type="dxa"/>
          </w:tcPr>
          <w:p w14:paraId="02945CC7" w14:textId="77777777" w:rsidR="00AE7191" w:rsidRPr="001E2C69" w:rsidRDefault="00AE7191" w:rsidP="00722885">
            <w:pPr>
              <w:pStyle w:val="Iauiue"/>
              <w:jc w:val="both"/>
              <w:rPr>
                <w:color w:val="000000" w:themeColor="text1"/>
                <w:sz w:val="16"/>
                <w:szCs w:val="16"/>
              </w:rPr>
            </w:pPr>
          </w:p>
        </w:tc>
        <w:tc>
          <w:tcPr>
            <w:tcW w:w="862" w:type="dxa"/>
          </w:tcPr>
          <w:p w14:paraId="10B7F811" w14:textId="77777777" w:rsidR="00AE7191" w:rsidRPr="001E2C69" w:rsidRDefault="00AE7191" w:rsidP="00722885">
            <w:pPr>
              <w:pStyle w:val="Iauiue"/>
              <w:jc w:val="both"/>
              <w:rPr>
                <w:color w:val="000000" w:themeColor="text1"/>
                <w:sz w:val="16"/>
                <w:szCs w:val="16"/>
              </w:rPr>
            </w:pPr>
          </w:p>
        </w:tc>
        <w:tc>
          <w:tcPr>
            <w:tcW w:w="865" w:type="dxa"/>
          </w:tcPr>
          <w:p w14:paraId="7CB45960" w14:textId="77777777" w:rsidR="00AE7191" w:rsidRPr="001E2C69" w:rsidRDefault="00AE7191" w:rsidP="00722885">
            <w:pPr>
              <w:pStyle w:val="Iauiue"/>
              <w:jc w:val="both"/>
              <w:rPr>
                <w:color w:val="000000" w:themeColor="text1"/>
                <w:sz w:val="16"/>
                <w:szCs w:val="16"/>
              </w:rPr>
            </w:pPr>
          </w:p>
        </w:tc>
        <w:tc>
          <w:tcPr>
            <w:tcW w:w="692" w:type="dxa"/>
          </w:tcPr>
          <w:p w14:paraId="2DD5A75F" w14:textId="77777777" w:rsidR="00AE7191" w:rsidRPr="001E2C69" w:rsidRDefault="00AE7191" w:rsidP="00722885">
            <w:pPr>
              <w:pStyle w:val="Iauiue"/>
              <w:jc w:val="both"/>
              <w:rPr>
                <w:color w:val="000000" w:themeColor="text1"/>
                <w:sz w:val="16"/>
                <w:szCs w:val="16"/>
              </w:rPr>
            </w:pPr>
          </w:p>
        </w:tc>
        <w:tc>
          <w:tcPr>
            <w:tcW w:w="1371" w:type="dxa"/>
          </w:tcPr>
          <w:p w14:paraId="7882A5C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1500 патронов</w:t>
            </w:r>
          </w:p>
        </w:tc>
        <w:tc>
          <w:tcPr>
            <w:tcW w:w="818" w:type="dxa"/>
          </w:tcPr>
          <w:p w14:paraId="471E9AF5" w14:textId="77777777" w:rsidR="00AE7191" w:rsidRPr="001E2C69" w:rsidRDefault="00AE7191" w:rsidP="00722885">
            <w:pPr>
              <w:pStyle w:val="Iauiue"/>
              <w:jc w:val="both"/>
              <w:rPr>
                <w:color w:val="000000" w:themeColor="text1"/>
                <w:sz w:val="16"/>
                <w:szCs w:val="16"/>
              </w:rPr>
            </w:pPr>
          </w:p>
        </w:tc>
        <w:tc>
          <w:tcPr>
            <w:tcW w:w="830" w:type="dxa"/>
          </w:tcPr>
          <w:p w14:paraId="7C2B96EC" w14:textId="77777777" w:rsidR="00AE7191" w:rsidRPr="001E2C69" w:rsidRDefault="00AE7191" w:rsidP="00722885">
            <w:pPr>
              <w:pStyle w:val="Iauiue"/>
              <w:jc w:val="both"/>
              <w:rPr>
                <w:color w:val="000000" w:themeColor="text1"/>
                <w:sz w:val="16"/>
                <w:szCs w:val="16"/>
              </w:rPr>
            </w:pPr>
          </w:p>
        </w:tc>
        <w:tc>
          <w:tcPr>
            <w:tcW w:w="829" w:type="dxa"/>
          </w:tcPr>
          <w:p w14:paraId="2F49C77C" w14:textId="77777777" w:rsidR="00AE7191" w:rsidRPr="001E2C69" w:rsidRDefault="00AE7191" w:rsidP="00722885">
            <w:pPr>
              <w:pStyle w:val="Iauiue"/>
              <w:jc w:val="both"/>
              <w:rPr>
                <w:color w:val="000000" w:themeColor="text1"/>
                <w:sz w:val="16"/>
                <w:szCs w:val="16"/>
              </w:rPr>
            </w:pPr>
          </w:p>
        </w:tc>
        <w:tc>
          <w:tcPr>
            <w:tcW w:w="968" w:type="dxa"/>
          </w:tcPr>
          <w:p w14:paraId="3C769B51" w14:textId="77777777" w:rsidR="00AE7191" w:rsidRPr="001E2C69" w:rsidRDefault="00AE7191" w:rsidP="00722885">
            <w:pPr>
              <w:pStyle w:val="Iauiue"/>
              <w:jc w:val="both"/>
              <w:rPr>
                <w:color w:val="000000" w:themeColor="text1"/>
                <w:sz w:val="16"/>
                <w:szCs w:val="16"/>
              </w:rPr>
            </w:pPr>
          </w:p>
        </w:tc>
        <w:tc>
          <w:tcPr>
            <w:tcW w:w="837" w:type="dxa"/>
          </w:tcPr>
          <w:p w14:paraId="2D313FE7" w14:textId="77777777" w:rsidR="00AE7191" w:rsidRPr="001E2C69" w:rsidRDefault="00AE7191" w:rsidP="00722885">
            <w:pPr>
              <w:pStyle w:val="Iauiue"/>
              <w:jc w:val="both"/>
              <w:rPr>
                <w:color w:val="000000" w:themeColor="text1"/>
                <w:sz w:val="16"/>
                <w:szCs w:val="16"/>
              </w:rPr>
            </w:pPr>
          </w:p>
        </w:tc>
      </w:tr>
      <w:tr w:rsidR="001E2C69" w:rsidRPr="001E2C69" w14:paraId="0FFD74C5" w14:textId="77777777" w:rsidTr="00CC5360">
        <w:tc>
          <w:tcPr>
            <w:tcW w:w="1809" w:type="dxa"/>
          </w:tcPr>
          <w:p w14:paraId="5E31624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Двухместный</w:t>
            </w:r>
          </w:p>
        </w:tc>
        <w:tc>
          <w:tcPr>
            <w:tcW w:w="723" w:type="dxa"/>
          </w:tcPr>
          <w:p w14:paraId="2795277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500</w:t>
            </w:r>
          </w:p>
        </w:tc>
        <w:tc>
          <w:tcPr>
            <w:tcW w:w="862" w:type="dxa"/>
          </w:tcPr>
          <w:p w14:paraId="20181E5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w:t>
            </w:r>
          </w:p>
        </w:tc>
        <w:tc>
          <w:tcPr>
            <w:tcW w:w="865" w:type="dxa"/>
          </w:tcPr>
          <w:p w14:paraId="5850606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700/1000</w:t>
            </w:r>
          </w:p>
        </w:tc>
        <w:tc>
          <w:tcPr>
            <w:tcW w:w="692" w:type="dxa"/>
          </w:tcPr>
          <w:p w14:paraId="1E8EE16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10000</w:t>
            </w:r>
          </w:p>
        </w:tc>
        <w:tc>
          <w:tcPr>
            <w:tcW w:w="1371" w:type="dxa"/>
          </w:tcPr>
          <w:p w14:paraId="6A69F6A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пушки</w:t>
            </w:r>
          </w:p>
        </w:tc>
        <w:tc>
          <w:tcPr>
            <w:tcW w:w="818" w:type="dxa"/>
          </w:tcPr>
          <w:p w14:paraId="7E28FE8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400 в</w:t>
            </w:r>
          </w:p>
        </w:tc>
        <w:tc>
          <w:tcPr>
            <w:tcW w:w="830" w:type="dxa"/>
          </w:tcPr>
          <w:p w14:paraId="05BA2771" w14:textId="77777777" w:rsidR="00AE7191" w:rsidRPr="001E2C69" w:rsidRDefault="00AE7191" w:rsidP="00722885">
            <w:pPr>
              <w:pStyle w:val="Iauiue"/>
              <w:jc w:val="both"/>
              <w:rPr>
                <w:color w:val="000000" w:themeColor="text1"/>
                <w:sz w:val="16"/>
                <w:szCs w:val="16"/>
              </w:rPr>
            </w:pPr>
          </w:p>
        </w:tc>
        <w:tc>
          <w:tcPr>
            <w:tcW w:w="829" w:type="dxa"/>
          </w:tcPr>
          <w:p w14:paraId="5187C0CA" w14:textId="77777777" w:rsidR="00AE7191" w:rsidRPr="001E2C69" w:rsidRDefault="00AE7191" w:rsidP="00722885">
            <w:pPr>
              <w:pStyle w:val="Iauiue"/>
              <w:jc w:val="both"/>
              <w:rPr>
                <w:color w:val="000000" w:themeColor="text1"/>
                <w:sz w:val="16"/>
                <w:szCs w:val="16"/>
              </w:rPr>
            </w:pPr>
          </w:p>
        </w:tc>
        <w:tc>
          <w:tcPr>
            <w:tcW w:w="968" w:type="dxa"/>
          </w:tcPr>
          <w:p w14:paraId="5FFBDBB3" w14:textId="77777777" w:rsidR="00AE7191" w:rsidRPr="001E2C69" w:rsidRDefault="00AE7191" w:rsidP="00722885">
            <w:pPr>
              <w:pStyle w:val="Iauiue"/>
              <w:jc w:val="both"/>
              <w:rPr>
                <w:color w:val="000000" w:themeColor="text1"/>
                <w:sz w:val="16"/>
                <w:szCs w:val="16"/>
              </w:rPr>
            </w:pPr>
          </w:p>
        </w:tc>
        <w:tc>
          <w:tcPr>
            <w:tcW w:w="837" w:type="dxa"/>
          </w:tcPr>
          <w:p w14:paraId="5C284575" w14:textId="77777777" w:rsidR="00AE7191" w:rsidRPr="001E2C69" w:rsidRDefault="00AE7191" w:rsidP="00722885">
            <w:pPr>
              <w:pStyle w:val="Iauiue"/>
              <w:jc w:val="both"/>
              <w:rPr>
                <w:color w:val="000000" w:themeColor="text1"/>
                <w:sz w:val="16"/>
                <w:szCs w:val="16"/>
              </w:rPr>
            </w:pPr>
          </w:p>
        </w:tc>
      </w:tr>
      <w:tr w:rsidR="001E2C69" w:rsidRPr="001E2C69" w14:paraId="214C1938" w14:textId="77777777" w:rsidTr="00CC5360">
        <w:tc>
          <w:tcPr>
            <w:tcW w:w="1809" w:type="dxa"/>
          </w:tcPr>
          <w:p w14:paraId="0975663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бронированный</w:t>
            </w:r>
          </w:p>
        </w:tc>
        <w:tc>
          <w:tcPr>
            <w:tcW w:w="723" w:type="dxa"/>
          </w:tcPr>
          <w:p w14:paraId="77DDF0E3" w14:textId="77777777" w:rsidR="00AE7191" w:rsidRPr="001E2C69" w:rsidRDefault="00AE7191" w:rsidP="00722885">
            <w:pPr>
              <w:pStyle w:val="Iauiue"/>
              <w:jc w:val="both"/>
              <w:rPr>
                <w:color w:val="000000" w:themeColor="text1"/>
                <w:sz w:val="16"/>
                <w:szCs w:val="16"/>
              </w:rPr>
            </w:pPr>
          </w:p>
        </w:tc>
        <w:tc>
          <w:tcPr>
            <w:tcW w:w="862" w:type="dxa"/>
          </w:tcPr>
          <w:p w14:paraId="186F302D" w14:textId="77777777" w:rsidR="00AE7191" w:rsidRPr="001E2C69" w:rsidRDefault="00AE7191" w:rsidP="00722885">
            <w:pPr>
              <w:pStyle w:val="Iauiue"/>
              <w:jc w:val="both"/>
              <w:rPr>
                <w:color w:val="000000" w:themeColor="text1"/>
                <w:sz w:val="16"/>
                <w:szCs w:val="16"/>
              </w:rPr>
            </w:pPr>
          </w:p>
        </w:tc>
        <w:tc>
          <w:tcPr>
            <w:tcW w:w="865" w:type="dxa"/>
          </w:tcPr>
          <w:p w14:paraId="7C97DDA0" w14:textId="77777777" w:rsidR="00AE7191" w:rsidRPr="001E2C69" w:rsidRDefault="00AE7191" w:rsidP="00722885">
            <w:pPr>
              <w:pStyle w:val="Iauiue"/>
              <w:jc w:val="both"/>
              <w:rPr>
                <w:color w:val="000000" w:themeColor="text1"/>
                <w:sz w:val="16"/>
                <w:szCs w:val="16"/>
              </w:rPr>
            </w:pPr>
          </w:p>
        </w:tc>
        <w:tc>
          <w:tcPr>
            <w:tcW w:w="692" w:type="dxa"/>
          </w:tcPr>
          <w:p w14:paraId="691E3490" w14:textId="77777777" w:rsidR="00AE7191" w:rsidRPr="001E2C69" w:rsidRDefault="00AE7191" w:rsidP="00722885">
            <w:pPr>
              <w:pStyle w:val="Iauiue"/>
              <w:jc w:val="both"/>
              <w:rPr>
                <w:color w:val="000000" w:themeColor="text1"/>
                <w:sz w:val="16"/>
                <w:szCs w:val="16"/>
              </w:rPr>
            </w:pPr>
          </w:p>
        </w:tc>
        <w:tc>
          <w:tcPr>
            <w:tcW w:w="1371" w:type="dxa"/>
          </w:tcPr>
          <w:p w14:paraId="46D378D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23 мм с</w:t>
            </w:r>
          </w:p>
        </w:tc>
        <w:tc>
          <w:tcPr>
            <w:tcW w:w="818" w:type="dxa"/>
          </w:tcPr>
          <w:p w14:paraId="39CEB11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перегр.</w:t>
            </w:r>
          </w:p>
        </w:tc>
        <w:tc>
          <w:tcPr>
            <w:tcW w:w="830" w:type="dxa"/>
          </w:tcPr>
          <w:p w14:paraId="496D481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10РО-132</w:t>
            </w:r>
          </w:p>
        </w:tc>
        <w:tc>
          <w:tcPr>
            <w:tcW w:w="829" w:type="dxa"/>
          </w:tcPr>
          <w:p w14:paraId="0072F6F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w:t>
            </w:r>
          </w:p>
        </w:tc>
        <w:tc>
          <w:tcPr>
            <w:tcW w:w="968" w:type="dxa"/>
          </w:tcPr>
          <w:p w14:paraId="557A2BF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15.I.43</w:t>
            </w:r>
          </w:p>
        </w:tc>
        <w:tc>
          <w:tcPr>
            <w:tcW w:w="837" w:type="dxa"/>
          </w:tcPr>
          <w:p w14:paraId="4AF482D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15000</w:t>
            </w:r>
          </w:p>
        </w:tc>
      </w:tr>
      <w:tr w:rsidR="001E2C69" w:rsidRPr="001E2C69" w14:paraId="33030A52" w14:textId="77777777" w:rsidTr="00CC5360">
        <w:tc>
          <w:tcPr>
            <w:tcW w:w="1809" w:type="dxa"/>
          </w:tcPr>
          <w:p w14:paraId="7F704C2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штурмовик с</w:t>
            </w:r>
          </w:p>
        </w:tc>
        <w:tc>
          <w:tcPr>
            <w:tcW w:w="723" w:type="dxa"/>
          </w:tcPr>
          <w:p w14:paraId="1225CFE8" w14:textId="77777777" w:rsidR="00AE7191" w:rsidRPr="001E2C69" w:rsidRDefault="00AE7191" w:rsidP="00722885">
            <w:pPr>
              <w:pStyle w:val="Iauiue"/>
              <w:jc w:val="both"/>
              <w:rPr>
                <w:color w:val="000000" w:themeColor="text1"/>
                <w:sz w:val="16"/>
                <w:szCs w:val="16"/>
              </w:rPr>
            </w:pPr>
          </w:p>
        </w:tc>
        <w:tc>
          <w:tcPr>
            <w:tcW w:w="862" w:type="dxa"/>
          </w:tcPr>
          <w:p w14:paraId="4FA5AE0E" w14:textId="77777777" w:rsidR="00AE7191" w:rsidRPr="001E2C69" w:rsidRDefault="00AE7191" w:rsidP="00722885">
            <w:pPr>
              <w:pStyle w:val="Iauiue"/>
              <w:jc w:val="both"/>
              <w:rPr>
                <w:color w:val="000000" w:themeColor="text1"/>
                <w:sz w:val="16"/>
                <w:szCs w:val="16"/>
              </w:rPr>
            </w:pPr>
          </w:p>
        </w:tc>
        <w:tc>
          <w:tcPr>
            <w:tcW w:w="865" w:type="dxa"/>
          </w:tcPr>
          <w:p w14:paraId="22132076" w14:textId="77777777" w:rsidR="00AE7191" w:rsidRPr="001E2C69" w:rsidRDefault="00AE7191" w:rsidP="00722885">
            <w:pPr>
              <w:pStyle w:val="Iauiue"/>
              <w:jc w:val="both"/>
              <w:rPr>
                <w:color w:val="000000" w:themeColor="text1"/>
                <w:sz w:val="16"/>
                <w:szCs w:val="16"/>
              </w:rPr>
            </w:pPr>
          </w:p>
        </w:tc>
        <w:tc>
          <w:tcPr>
            <w:tcW w:w="692" w:type="dxa"/>
          </w:tcPr>
          <w:p w14:paraId="52D10C62" w14:textId="77777777" w:rsidR="00AE7191" w:rsidRPr="001E2C69" w:rsidRDefault="00AE7191" w:rsidP="00722885">
            <w:pPr>
              <w:pStyle w:val="Iauiue"/>
              <w:jc w:val="both"/>
              <w:rPr>
                <w:color w:val="000000" w:themeColor="text1"/>
                <w:sz w:val="16"/>
                <w:szCs w:val="16"/>
              </w:rPr>
            </w:pPr>
          </w:p>
        </w:tc>
        <w:tc>
          <w:tcPr>
            <w:tcW w:w="1371" w:type="dxa"/>
          </w:tcPr>
          <w:p w14:paraId="38D4EA5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боезапасом</w:t>
            </w:r>
          </w:p>
        </w:tc>
        <w:tc>
          <w:tcPr>
            <w:tcW w:w="818" w:type="dxa"/>
          </w:tcPr>
          <w:p w14:paraId="5B2DC951" w14:textId="77777777" w:rsidR="00AE7191" w:rsidRPr="001E2C69" w:rsidRDefault="00AE7191" w:rsidP="00722885">
            <w:pPr>
              <w:pStyle w:val="Iauiue"/>
              <w:jc w:val="both"/>
              <w:rPr>
                <w:color w:val="000000" w:themeColor="text1"/>
                <w:sz w:val="16"/>
                <w:szCs w:val="16"/>
              </w:rPr>
            </w:pPr>
          </w:p>
        </w:tc>
        <w:tc>
          <w:tcPr>
            <w:tcW w:w="830" w:type="dxa"/>
          </w:tcPr>
          <w:p w14:paraId="0691027E" w14:textId="77777777" w:rsidR="00AE7191" w:rsidRPr="001E2C69" w:rsidRDefault="00AE7191" w:rsidP="00722885">
            <w:pPr>
              <w:pStyle w:val="Iauiue"/>
              <w:jc w:val="both"/>
              <w:rPr>
                <w:color w:val="000000" w:themeColor="text1"/>
                <w:sz w:val="16"/>
                <w:szCs w:val="16"/>
              </w:rPr>
            </w:pPr>
          </w:p>
        </w:tc>
        <w:tc>
          <w:tcPr>
            <w:tcW w:w="829" w:type="dxa"/>
          </w:tcPr>
          <w:p w14:paraId="04195BFE" w14:textId="77777777" w:rsidR="00AE7191" w:rsidRPr="001E2C69" w:rsidRDefault="00AE7191" w:rsidP="00722885">
            <w:pPr>
              <w:pStyle w:val="Iauiue"/>
              <w:jc w:val="both"/>
              <w:rPr>
                <w:color w:val="000000" w:themeColor="text1"/>
                <w:sz w:val="16"/>
                <w:szCs w:val="16"/>
              </w:rPr>
            </w:pPr>
          </w:p>
        </w:tc>
        <w:tc>
          <w:tcPr>
            <w:tcW w:w="968" w:type="dxa"/>
          </w:tcPr>
          <w:p w14:paraId="5BEAC5EF" w14:textId="77777777" w:rsidR="00AE7191" w:rsidRPr="001E2C69" w:rsidRDefault="00AE7191" w:rsidP="00722885">
            <w:pPr>
              <w:pStyle w:val="Iauiue"/>
              <w:jc w:val="both"/>
              <w:rPr>
                <w:color w:val="000000" w:themeColor="text1"/>
                <w:sz w:val="16"/>
                <w:szCs w:val="16"/>
              </w:rPr>
            </w:pPr>
          </w:p>
        </w:tc>
        <w:tc>
          <w:tcPr>
            <w:tcW w:w="837" w:type="dxa"/>
          </w:tcPr>
          <w:p w14:paraId="58B85789" w14:textId="77777777" w:rsidR="00AE7191" w:rsidRPr="001E2C69" w:rsidRDefault="00AE7191" w:rsidP="00722885">
            <w:pPr>
              <w:pStyle w:val="Iauiue"/>
              <w:jc w:val="both"/>
              <w:rPr>
                <w:color w:val="000000" w:themeColor="text1"/>
                <w:sz w:val="16"/>
                <w:szCs w:val="16"/>
              </w:rPr>
            </w:pPr>
          </w:p>
        </w:tc>
      </w:tr>
      <w:tr w:rsidR="001E2C69" w:rsidRPr="001E2C69" w14:paraId="12A01EDD" w14:textId="77777777" w:rsidTr="00CC5360">
        <w:tc>
          <w:tcPr>
            <w:tcW w:w="1809" w:type="dxa"/>
          </w:tcPr>
          <w:p w14:paraId="16AFC6A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двумя мот. М-71</w:t>
            </w:r>
          </w:p>
        </w:tc>
        <w:tc>
          <w:tcPr>
            <w:tcW w:w="723" w:type="dxa"/>
          </w:tcPr>
          <w:p w14:paraId="7065C159" w14:textId="77777777" w:rsidR="00AE7191" w:rsidRPr="001E2C69" w:rsidRDefault="00AE7191" w:rsidP="00722885">
            <w:pPr>
              <w:pStyle w:val="Iauiue"/>
              <w:jc w:val="both"/>
              <w:rPr>
                <w:color w:val="000000" w:themeColor="text1"/>
                <w:sz w:val="16"/>
                <w:szCs w:val="16"/>
              </w:rPr>
            </w:pPr>
          </w:p>
        </w:tc>
        <w:tc>
          <w:tcPr>
            <w:tcW w:w="862" w:type="dxa"/>
          </w:tcPr>
          <w:p w14:paraId="0AB75FC2" w14:textId="77777777" w:rsidR="00AE7191" w:rsidRPr="001E2C69" w:rsidRDefault="00AE7191" w:rsidP="00722885">
            <w:pPr>
              <w:pStyle w:val="Iauiue"/>
              <w:jc w:val="both"/>
              <w:rPr>
                <w:color w:val="000000" w:themeColor="text1"/>
                <w:sz w:val="16"/>
                <w:szCs w:val="16"/>
              </w:rPr>
            </w:pPr>
          </w:p>
        </w:tc>
        <w:tc>
          <w:tcPr>
            <w:tcW w:w="865" w:type="dxa"/>
          </w:tcPr>
          <w:p w14:paraId="37E142A9" w14:textId="77777777" w:rsidR="00AE7191" w:rsidRPr="001E2C69" w:rsidRDefault="00AE7191" w:rsidP="00722885">
            <w:pPr>
              <w:pStyle w:val="Iauiue"/>
              <w:jc w:val="both"/>
              <w:rPr>
                <w:color w:val="000000" w:themeColor="text1"/>
                <w:sz w:val="16"/>
                <w:szCs w:val="16"/>
              </w:rPr>
            </w:pPr>
          </w:p>
        </w:tc>
        <w:tc>
          <w:tcPr>
            <w:tcW w:w="692" w:type="dxa"/>
          </w:tcPr>
          <w:p w14:paraId="57C7152D" w14:textId="77777777" w:rsidR="00AE7191" w:rsidRPr="001E2C69" w:rsidRDefault="00AE7191" w:rsidP="00722885">
            <w:pPr>
              <w:pStyle w:val="Iauiue"/>
              <w:jc w:val="both"/>
              <w:rPr>
                <w:color w:val="000000" w:themeColor="text1"/>
                <w:sz w:val="16"/>
                <w:szCs w:val="16"/>
              </w:rPr>
            </w:pPr>
          </w:p>
        </w:tc>
        <w:tc>
          <w:tcPr>
            <w:tcW w:w="1371" w:type="dxa"/>
          </w:tcPr>
          <w:p w14:paraId="0B8439A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400 снаряд.</w:t>
            </w:r>
          </w:p>
        </w:tc>
        <w:tc>
          <w:tcPr>
            <w:tcW w:w="818" w:type="dxa"/>
          </w:tcPr>
          <w:p w14:paraId="6AA3F755" w14:textId="77777777" w:rsidR="00AE7191" w:rsidRPr="001E2C69" w:rsidRDefault="00AE7191" w:rsidP="00722885">
            <w:pPr>
              <w:pStyle w:val="Iauiue"/>
              <w:jc w:val="both"/>
              <w:rPr>
                <w:color w:val="000000" w:themeColor="text1"/>
                <w:sz w:val="16"/>
                <w:szCs w:val="16"/>
              </w:rPr>
            </w:pPr>
          </w:p>
        </w:tc>
        <w:tc>
          <w:tcPr>
            <w:tcW w:w="830" w:type="dxa"/>
          </w:tcPr>
          <w:p w14:paraId="2F545EE8" w14:textId="77777777" w:rsidR="00AE7191" w:rsidRPr="001E2C69" w:rsidRDefault="00AE7191" w:rsidP="00722885">
            <w:pPr>
              <w:pStyle w:val="Iauiue"/>
              <w:jc w:val="both"/>
              <w:rPr>
                <w:color w:val="000000" w:themeColor="text1"/>
                <w:sz w:val="16"/>
                <w:szCs w:val="16"/>
              </w:rPr>
            </w:pPr>
          </w:p>
        </w:tc>
        <w:tc>
          <w:tcPr>
            <w:tcW w:w="829" w:type="dxa"/>
          </w:tcPr>
          <w:p w14:paraId="52C9BAC1" w14:textId="77777777" w:rsidR="00AE7191" w:rsidRPr="001E2C69" w:rsidRDefault="00AE7191" w:rsidP="00722885">
            <w:pPr>
              <w:pStyle w:val="Iauiue"/>
              <w:jc w:val="both"/>
              <w:rPr>
                <w:color w:val="000000" w:themeColor="text1"/>
                <w:sz w:val="16"/>
                <w:szCs w:val="16"/>
              </w:rPr>
            </w:pPr>
          </w:p>
        </w:tc>
        <w:tc>
          <w:tcPr>
            <w:tcW w:w="968" w:type="dxa"/>
          </w:tcPr>
          <w:p w14:paraId="200E5B1A" w14:textId="77777777" w:rsidR="00AE7191" w:rsidRPr="001E2C69" w:rsidRDefault="00AE7191" w:rsidP="00722885">
            <w:pPr>
              <w:pStyle w:val="Iauiue"/>
              <w:jc w:val="both"/>
              <w:rPr>
                <w:color w:val="000000" w:themeColor="text1"/>
                <w:sz w:val="16"/>
                <w:szCs w:val="16"/>
              </w:rPr>
            </w:pPr>
          </w:p>
        </w:tc>
        <w:tc>
          <w:tcPr>
            <w:tcW w:w="837" w:type="dxa"/>
          </w:tcPr>
          <w:p w14:paraId="61C9B7E1" w14:textId="77777777" w:rsidR="00AE7191" w:rsidRPr="001E2C69" w:rsidRDefault="00AE7191" w:rsidP="00722885">
            <w:pPr>
              <w:pStyle w:val="Iauiue"/>
              <w:jc w:val="both"/>
              <w:rPr>
                <w:color w:val="000000" w:themeColor="text1"/>
                <w:sz w:val="16"/>
                <w:szCs w:val="16"/>
              </w:rPr>
            </w:pPr>
          </w:p>
        </w:tc>
      </w:tr>
      <w:tr w:rsidR="001E2C69" w:rsidRPr="001E2C69" w14:paraId="079B91A8" w14:textId="77777777" w:rsidTr="00CC5360">
        <w:tc>
          <w:tcPr>
            <w:tcW w:w="1809" w:type="dxa"/>
          </w:tcPr>
          <w:p w14:paraId="23CCBBE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Констр. Сухого</w:t>
            </w:r>
          </w:p>
        </w:tc>
        <w:tc>
          <w:tcPr>
            <w:tcW w:w="723" w:type="dxa"/>
          </w:tcPr>
          <w:p w14:paraId="00509E67" w14:textId="77777777" w:rsidR="00AE7191" w:rsidRPr="001E2C69" w:rsidRDefault="00AE7191" w:rsidP="00722885">
            <w:pPr>
              <w:pStyle w:val="Iauiue"/>
              <w:jc w:val="both"/>
              <w:rPr>
                <w:color w:val="000000" w:themeColor="text1"/>
                <w:sz w:val="16"/>
                <w:szCs w:val="16"/>
              </w:rPr>
            </w:pPr>
          </w:p>
        </w:tc>
        <w:tc>
          <w:tcPr>
            <w:tcW w:w="862" w:type="dxa"/>
          </w:tcPr>
          <w:p w14:paraId="2FD98BF8" w14:textId="77777777" w:rsidR="00AE7191" w:rsidRPr="001E2C69" w:rsidRDefault="00AE7191" w:rsidP="00722885">
            <w:pPr>
              <w:pStyle w:val="Iauiue"/>
              <w:jc w:val="both"/>
              <w:rPr>
                <w:color w:val="000000" w:themeColor="text1"/>
                <w:sz w:val="16"/>
                <w:szCs w:val="16"/>
              </w:rPr>
            </w:pPr>
          </w:p>
        </w:tc>
        <w:tc>
          <w:tcPr>
            <w:tcW w:w="865" w:type="dxa"/>
          </w:tcPr>
          <w:p w14:paraId="47DB6590" w14:textId="77777777" w:rsidR="00AE7191" w:rsidRPr="001E2C69" w:rsidRDefault="00AE7191" w:rsidP="00722885">
            <w:pPr>
              <w:pStyle w:val="Iauiue"/>
              <w:jc w:val="both"/>
              <w:rPr>
                <w:color w:val="000000" w:themeColor="text1"/>
                <w:sz w:val="16"/>
                <w:szCs w:val="16"/>
              </w:rPr>
            </w:pPr>
          </w:p>
        </w:tc>
        <w:tc>
          <w:tcPr>
            <w:tcW w:w="692" w:type="dxa"/>
          </w:tcPr>
          <w:p w14:paraId="46D41D94" w14:textId="77777777" w:rsidR="00AE7191" w:rsidRPr="001E2C69" w:rsidRDefault="00AE7191" w:rsidP="00722885">
            <w:pPr>
              <w:pStyle w:val="Iauiue"/>
              <w:jc w:val="both"/>
              <w:rPr>
                <w:color w:val="000000" w:themeColor="text1"/>
                <w:sz w:val="16"/>
                <w:szCs w:val="16"/>
              </w:rPr>
            </w:pPr>
          </w:p>
        </w:tc>
        <w:tc>
          <w:tcPr>
            <w:tcW w:w="1371" w:type="dxa"/>
          </w:tcPr>
          <w:p w14:paraId="527F8F8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пулем.</w:t>
            </w:r>
          </w:p>
        </w:tc>
        <w:tc>
          <w:tcPr>
            <w:tcW w:w="818" w:type="dxa"/>
          </w:tcPr>
          <w:p w14:paraId="02B31DCC" w14:textId="77777777" w:rsidR="00AE7191" w:rsidRPr="001E2C69" w:rsidRDefault="00AE7191" w:rsidP="00722885">
            <w:pPr>
              <w:pStyle w:val="Iauiue"/>
              <w:jc w:val="both"/>
              <w:rPr>
                <w:color w:val="000000" w:themeColor="text1"/>
                <w:sz w:val="16"/>
                <w:szCs w:val="16"/>
              </w:rPr>
            </w:pPr>
          </w:p>
        </w:tc>
        <w:tc>
          <w:tcPr>
            <w:tcW w:w="830" w:type="dxa"/>
          </w:tcPr>
          <w:p w14:paraId="2C8ABB1B" w14:textId="77777777" w:rsidR="00AE7191" w:rsidRPr="001E2C69" w:rsidRDefault="00AE7191" w:rsidP="00722885">
            <w:pPr>
              <w:pStyle w:val="Iauiue"/>
              <w:jc w:val="both"/>
              <w:rPr>
                <w:color w:val="000000" w:themeColor="text1"/>
                <w:sz w:val="16"/>
                <w:szCs w:val="16"/>
              </w:rPr>
            </w:pPr>
          </w:p>
        </w:tc>
        <w:tc>
          <w:tcPr>
            <w:tcW w:w="829" w:type="dxa"/>
          </w:tcPr>
          <w:p w14:paraId="6138C3CA" w14:textId="77777777" w:rsidR="00AE7191" w:rsidRPr="001E2C69" w:rsidRDefault="00AE7191" w:rsidP="00722885">
            <w:pPr>
              <w:pStyle w:val="Iauiue"/>
              <w:jc w:val="both"/>
              <w:rPr>
                <w:color w:val="000000" w:themeColor="text1"/>
                <w:sz w:val="16"/>
                <w:szCs w:val="16"/>
              </w:rPr>
            </w:pPr>
          </w:p>
        </w:tc>
        <w:tc>
          <w:tcPr>
            <w:tcW w:w="968" w:type="dxa"/>
          </w:tcPr>
          <w:p w14:paraId="59BC0A14" w14:textId="77777777" w:rsidR="00AE7191" w:rsidRPr="001E2C69" w:rsidRDefault="00AE7191" w:rsidP="00722885">
            <w:pPr>
              <w:pStyle w:val="Iauiue"/>
              <w:jc w:val="both"/>
              <w:rPr>
                <w:color w:val="000000" w:themeColor="text1"/>
                <w:sz w:val="16"/>
                <w:szCs w:val="16"/>
              </w:rPr>
            </w:pPr>
          </w:p>
        </w:tc>
        <w:tc>
          <w:tcPr>
            <w:tcW w:w="837" w:type="dxa"/>
          </w:tcPr>
          <w:p w14:paraId="1DDB781C" w14:textId="77777777" w:rsidR="00AE7191" w:rsidRPr="001E2C69" w:rsidRDefault="00AE7191" w:rsidP="00722885">
            <w:pPr>
              <w:pStyle w:val="Iauiue"/>
              <w:jc w:val="both"/>
              <w:rPr>
                <w:color w:val="000000" w:themeColor="text1"/>
                <w:sz w:val="16"/>
                <w:szCs w:val="16"/>
              </w:rPr>
            </w:pPr>
          </w:p>
        </w:tc>
      </w:tr>
      <w:tr w:rsidR="001E2C69" w:rsidRPr="001E2C69" w14:paraId="49C3AD76" w14:textId="77777777" w:rsidTr="00CC5360">
        <w:tc>
          <w:tcPr>
            <w:tcW w:w="1809" w:type="dxa"/>
          </w:tcPr>
          <w:p w14:paraId="762F9872" w14:textId="77777777" w:rsidR="00AE7191" w:rsidRPr="001E2C69" w:rsidRDefault="00AE7191" w:rsidP="00722885">
            <w:pPr>
              <w:pStyle w:val="Iauiue"/>
              <w:jc w:val="both"/>
              <w:rPr>
                <w:color w:val="000000" w:themeColor="text1"/>
                <w:sz w:val="16"/>
                <w:szCs w:val="16"/>
              </w:rPr>
            </w:pPr>
          </w:p>
        </w:tc>
        <w:tc>
          <w:tcPr>
            <w:tcW w:w="723" w:type="dxa"/>
          </w:tcPr>
          <w:p w14:paraId="1AF83305" w14:textId="77777777" w:rsidR="00AE7191" w:rsidRPr="001E2C69" w:rsidRDefault="00AE7191" w:rsidP="00722885">
            <w:pPr>
              <w:pStyle w:val="Iauiue"/>
              <w:jc w:val="both"/>
              <w:rPr>
                <w:color w:val="000000" w:themeColor="text1"/>
                <w:sz w:val="16"/>
                <w:szCs w:val="16"/>
              </w:rPr>
            </w:pPr>
          </w:p>
        </w:tc>
        <w:tc>
          <w:tcPr>
            <w:tcW w:w="862" w:type="dxa"/>
          </w:tcPr>
          <w:p w14:paraId="3ECA05FB" w14:textId="77777777" w:rsidR="00AE7191" w:rsidRPr="001E2C69" w:rsidRDefault="00AE7191" w:rsidP="00722885">
            <w:pPr>
              <w:pStyle w:val="Iauiue"/>
              <w:jc w:val="both"/>
              <w:rPr>
                <w:color w:val="000000" w:themeColor="text1"/>
                <w:sz w:val="16"/>
                <w:szCs w:val="16"/>
              </w:rPr>
            </w:pPr>
          </w:p>
        </w:tc>
        <w:tc>
          <w:tcPr>
            <w:tcW w:w="865" w:type="dxa"/>
          </w:tcPr>
          <w:p w14:paraId="67544CBE" w14:textId="77777777" w:rsidR="00AE7191" w:rsidRPr="001E2C69" w:rsidRDefault="00AE7191" w:rsidP="00722885">
            <w:pPr>
              <w:pStyle w:val="Iauiue"/>
              <w:jc w:val="both"/>
              <w:rPr>
                <w:color w:val="000000" w:themeColor="text1"/>
                <w:sz w:val="16"/>
                <w:szCs w:val="16"/>
              </w:rPr>
            </w:pPr>
          </w:p>
        </w:tc>
        <w:tc>
          <w:tcPr>
            <w:tcW w:w="692" w:type="dxa"/>
          </w:tcPr>
          <w:p w14:paraId="2810F7B5" w14:textId="77777777" w:rsidR="00AE7191" w:rsidRPr="001E2C69" w:rsidRDefault="00AE7191" w:rsidP="00722885">
            <w:pPr>
              <w:pStyle w:val="Iauiue"/>
              <w:jc w:val="both"/>
              <w:rPr>
                <w:color w:val="000000" w:themeColor="text1"/>
                <w:sz w:val="16"/>
                <w:szCs w:val="16"/>
              </w:rPr>
            </w:pPr>
          </w:p>
        </w:tc>
        <w:tc>
          <w:tcPr>
            <w:tcW w:w="1371" w:type="dxa"/>
          </w:tcPr>
          <w:p w14:paraId="2DFB96B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12,7 мм с</w:t>
            </w:r>
          </w:p>
        </w:tc>
        <w:tc>
          <w:tcPr>
            <w:tcW w:w="818" w:type="dxa"/>
          </w:tcPr>
          <w:p w14:paraId="27D1107E" w14:textId="77777777" w:rsidR="00AE7191" w:rsidRPr="001E2C69" w:rsidRDefault="00AE7191" w:rsidP="00722885">
            <w:pPr>
              <w:pStyle w:val="Iauiue"/>
              <w:jc w:val="both"/>
              <w:rPr>
                <w:color w:val="000000" w:themeColor="text1"/>
                <w:sz w:val="16"/>
                <w:szCs w:val="16"/>
              </w:rPr>
            </w:pPr>
          </w:p>
        </w:tc>
        <w:tc>
          <w:tcPr>
            <w:tcW w:w="830" w:type="dxa"/>
          </w:tcPr>
          <w:p w14:paraId="1A7285D8" w14:textId="77777777" w:rsidR="00AE7191" w:rsidRPr="001E2C69" w:rsidRDefault="00AE7191" w:rsidP="00722885">
            <w:pPr>
              <w:pStyle w:val="Iauiue"/>
              <w:jc w:val="both"/>
              <w:rPr>
                <w:color w:val="000000" w:themeColor="text1"/>
                <w:sz w:val="16"/>
                <w:szCs w:val="16"/>
              </w:rPr>
            </w:pPr>
          </w:p>
        </w:tc>
        <w:tc>
          <w:tcPr>
            <w:tcW w:w="829" w:type="dxa"/>
          </w:tcPr>
          <w:p w14:paraId="368581AA" w14:textId="77777777" w:rsidR="00AE7191" w:rsidRPr="001E2C69" w:rsidRDefault="00AE7191" w:rsidP="00722885">
            <w:pPr>
              <w:pStyle w:val="Iauiue"/>
              <w:jc w:val="both"/>
              <w:rPr>
                <w:color w:val="000000" w:themeColor="text1"/>
                <w:sz w:val="16"/>
                <w:szCs w:val="16"/>
              </w:rPr>
            </w:pPr>
          </w:p>
        </w:tc>
        <w:tc>
          <w:tcPr>
            <w:tcW w:w="968" w:type="dxa"/>
          </w:tcPr>
          <w:p w14:paraId="3ACC3A90" w14:textId="77777777" w:rsidR="00AE7191" w:rsidRPr="001E2C69" w:rsidRDefault="00AE7191" w:rsidP="00722885">
            <w:pPr>
              <w:pStyle w:val="Iauiue"/>
              <w:jc w:val="both"/>
              <w:rPr>
                <w:color w:val="000000" w:themeColor="text1"/>
                <w:sz w:val="16"/>
                <w:szCs w:val="16"/>
              </w:rPr>
            </w:pPr>
          </w:p>
        </w:tc>
        <w:tc>
          <w:tcPr>
            <w:tcW w:w="837" w:type="dxa"/>
          </w:tcPr>
          <w:p w14:paraId="47EF7E0E" w14:textId="77777777" w:rsidR="00AE7191" w:rsidRPr="001E2C69" w:rsidRDefault="00AE7191" w:rsidP="00722885">
            <w:pPr>
              <w:pStyle w:val="Iauiue"/>
              <w:jc w:val="both"/>
              <w:rPr>
                <w:color w:val="000000" w:themeColor="text1"/>
                <w:sz w:val="16"/>
                <w:szCs w:val="16"/>
              </w:rPr>
            </w:pPr>
          </w:p>
        </w:tc>
      </w:tr>
      <w:tr w:rsidR="001E2C69" w:rsidRPr="001E2C69" w14:paraId="6C6397E3" w14:textId="77777777" w:rsidTr="00CC5360">
        <w:tc>
          <w:tcPr>
            <w:tcW w:w="1809" w:type="dxa"/>
          </w:tcPr>
          <w:p w14:paraId="72E2618E" w14:textId="77777777" w:rsidR="00AE7191" w:rsidRPr="001E2C69" w:rsidRDefault="00AE7191" w:rsidP="00722885">
            <w:pPr>
              <w:pStyle w:val="Iauiue"/>
              <w:jc w:val="both"/>
              <w:rPr>
                <w:color w:val="000000" w:themeColor="text1"/>
                <w:sz w:val="16"/>
                <w:szCs w:val="16"/>
              </w:rPr>
            </w:pPr>
          </w:p>
        </w:tc>
        <w:tc>
          <w:tcPr>
            <w:tcW w:w="723" w:type="dxa"/>
          </w:tcPr>
          <w:p w14:paraId="71C56EAF" w14:textId="77777777" w:rsidR="00AE7191" w:rsidRPr="001E2C69" w:rsidRDefault="00AE7191" w:rsidP="00722885">
            <w:pPr>
              <w:pStyle w:val="Iauiue"/>
              <w:jc w:val="both"/>
              <w:rPr>
                <w:color w:val="000000" w:themeColor="text1"/>
                <w:sz w:val="16"/>
                <w:szCs w:val="16"/>
              </w:rPr>
            </w:pPr>
          </w:p>
        </w:tc>
        <w:tc>
          <w:tcPr>
            <w:tcW w:w="862" w:type="dxa"/>
          </w:tcPr>
          <w:p w14:paraId="3E341135" w14:textId="77777777" w:rsidR="00AE7191" w:rsidRPr="001E2C69" w:rsidRDefault="00AE7191" w:rsidP="00722885">
            <w:pPr>
              <w:pStyle w:val="Iauiue"/>
              <w:jc w:val="both"/>
              <w:rPr>
                <w:color w:val="000000" w:themeColor="text1"/>
                <w:sz w:val="16"/>
                <w:szCs w:val="16"/>
              </w:rPr>
            </w:pPr>
          </w:p>
        </w:tc>
        <w:tc>
          <w:tcPr>
            <w:tcW w:w="865" w:type="dxa"/>
          </w:tcPr>
          <w:p w14:paraId="6E84EBCD" w14:textId="77777777" w:rsidR="00AE7191" w:rsidRPr="001E2C69" w:rsidRDefault="00AE7191" w:rsidP="00722885">
            <w:pPr>
              <w:pStyle w:val="Iauiue"/>
              <w:jc w:val="both"/>
              <w:rPr>
                <w:color w:val="000000" w:themeColor="text1"/>
                <w:sz w:val="16"/>
                <w:szCs w:val="16"/>
              </w:rPr>
            </w:pPr>
          </w:p>
        </w:tc>
        <w:tc>
          <w:tcPr>
            <w:tcW w:w="692" w:type="dxa"/>
          </w:tcPr>
          <w:p w14:paraId="7C571799" w14:textId="77777777" w:rsidR="00AE7191" w:rsidRPr="001E2C69" w:rsidRDefault="00AE7191" w:rsidP="00722885">
            <w:pPr>
              <w:pStyle w:val="Iauiue"/>
              <w:jc w:val="both"/>
              <w:rPr>
                <w:color w:val="000000" w:themeColor="text1"/>
                <w:sz w:val="16"/>
                <w:szCs w:val="16"/>
              </w:rPr>
            </w:pPr>
          </w:p>
        </w:tc>
        <w:tc>
          <w:tcPr>
            <w:tcW w:w="1371" w:type="dxa"/>
          </w:tcPr>
          <w:p w14:paraId="343139C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боезапасом</w:t>
            </w:r>
          </w:p>
        </w:tc>
        <w:tc>
          <w:tcPr>
            <w:tcW w:w="818" w:type="dxa"/>
          </w:tcPr>
          <w:p w14:paraId="5F8332A1" w14:textId="77777777" w:rsidR="00AE7191" w:rsidRPr="001E2C69" w:rsidRDefault="00AE7191" w:rsidP="00722885">
            <w:pPr>
              <w:pStyle w:val="Iauiue"/>
              <w:jc w:val="both"/>
              <w:rPr>
                <w:color w:val="000000" w:themeColor="text1"/>
                <w:sz w:val="16"/>
                <w:szCs w:val="16"/>
              </w:rPr>
            </w:pPr>
          </w:p>
        </w:tc>
        <w:tc>
          <w:tcPr>
            <w:tcW w:w="830" w:type="dxa"/>
          </w:tcPr>
          <w:p w14:paraId="473A3D6E" w14:textId="77777777" w:rsidR="00AE7191" w:rsidRPr="001E2C69" w:rsidRDefault="00AE7191" w:rsidP="00722885">
            <w:pPr>
              <w:pStyle w:val="Iauiue"/>
              <w:jc w:val="both"/>
              <w:rPr>
                <w:color w:val="000000" w:themeColor="text1"/>
                <w:sz w:val="16"/>
                <w:szCs w:val="16"/>
              </w:rPr>
            </w:pPr>
          </w:p>
        </w:tc>
        <w:tc>
          <w:tcPr>
            <w:tcW w:w="829" w:type="dxa"/>
          </w:tcPr>
          <w:p w14:paraId="205370DE" w14:textId="77777777" w:rsidR="00AE7191" w:rsidRPr="001E2C69" w:rsidRDefault="00AE7191" w:rsidP="00722885">
            <w:pPr>
              <w:pStyle w:val="Iauiue"/>
              <w:jc w:val="both"/>
              <w:rPr>
                <w:color w:val="000000" w:themeColor="text1"/>
                <w:sz w:val="16"/>
                <w:szCs w:val="16"/>
              </w:rPr>
            </w:pPr>
          </w:p>
        </w:tc>
        <w:tc>
          <w:tcPr>
            <w:tcW w:w="968" w:type="dxa"/>
          </w:tcPr>
          <w:p w14:paraId="3C1DA833" w14:textId="77777777" w:rsidR="00AE7191" w:rsidRPr="001E2C69" w:rsidRDefault="00AE7191" w:rsidP="00722885">
            <w:pPr>
              <w:pStyle w:val="Iauiue"/>
              <w:jc w:val="both"/>
              <w:rPr>
                <w:color w:val="000000" w:themeColor="text1"/>
                <w:sz w:val="16"/>
                <w:szCs w:val="16"/>
              </w:rPr>
            </w:pPr>
          </w:p>
        </w:tc>
        <w:tc>
          <w:tcPr>
            <w:tcW w:w="837" w:type="dxa"/>
          </w:tcPr>
          <w:p w14:paraId="58CA852B" w14:textId="77777777" w:rsidR="00AE7191" w:rsidRPr="001E2C69" w:rsidRDefault="00AE7191" w:rsidP="00722885">
            <w:pPr>
              <w:pStyle w:val="Iauiue"/>
              <w:jc w:val="both"/>
              <w:rPr>
                <w:color w:val="000000" w:themeColor="text1"/>
                <w:sz w:val="16"/>
                <w:szCs w:val="16"/>
              </w:rPr>
            </w:pPr>
          </w:p>
        </w:tc>
      </w:tr>
      <w:tr w:rsidR="001E2C69" w:rsidRPr="001E2C69" w14:paraId="66932E9F" w14:textId="77777777" w:rsidTr="00CC5360">
        <w:tc>
          <w:tcPr>
            <w:tcW w:w="1809" w:type="dxa"/>
          </w:tcPr>
          <w:p w14:paraId="43C6D46E" w14:textId="77777777" w:rsidR="00AE7191" w:rsidRPr="001E2C69" w:rsidRDefault="00AE7191" w:rsidP="00722885">
            <w:pPr>
              <w:pStyle w:val="Iauiue"/>
              <w:jc w:val="both"/>
              <w:rPr>
                <w:color w:val="000000" w:themeColor="text1"/>
                <w:sz w:val="16"/>
                <w:szCs w:val="16"/>
              </w:rPr>
            </w:pPr>
          </w:p>
        </w:tc>
        <w:tc>
          <w:tcPr>
            <w:tcW w:w="723" w:type="dxa"/>
          </w:tcPr>
          <w:p w14:paraId="3DD04844" w14:textId="77777777" w:rsidR="00AE7191" w:rsidRPr="001E2C69" w:rsidRDefault="00AE7191" w:rsidP="00722885">
            <w:pPr>
              <w:pStyle w:val="Iauiue"/>
              <w:jc w:val="both"/>
              <w:rPr>
                <w:color w:val="000000" w:themeColor="text1"/>
                <w:sz w:val="16"/>
                <w:szCs w:val="16"/>
              </w:rPr>
            </w:pPr>
          </w:p>
        </w:tc>
        <w:tc>
          <w:tcPr>
            <w:tcW w:w="862" w:type="dxa"/>
          </w:tcPr>
          <w:p w14:paraId="7A713D67" w14:textId="77777777" w:rsidR="00AE7191" w:rsidRPr="001E2C69" w:rsidRDefault="00AE7191" w:rsidP="00722885">
            <w:pPr>
              <w:pStyle w:val="Iauiue"/>
              <w:jc w:val="both"/>
              <w:rPr>
                <w:color w:val="000000" w:themeColor="text1"/>
                <w:sz w:val="16"/>
                <w:szCs w:val="16"/>
              </w:rPr>
            </w:pPr>
          </w:p>
        </w:tc>
        <w:tc>
          <w:tcPr>
            <w:tcW w:w="865" w:type="dxa"/>
          </w:tcPr>
          <w:p w14:paraId="654D9D6A" w14:textId="77777777" w:rsidR="00AE7191" w:rsidRPr="001E2C69" w:rsidRDefault="00AE7191" w:rsidP="00722885">
            <w:pPr>
              <w:pStyle w:val="Iauiue"/>
              <w:jc w:val="both"/>
              <w:rPr>
                <w:color w:val="000000" w:themeColor="text1"/>
                <w:sz w:val="16"/>
                <w:szCs w:val="16"/>
              </w:rPr>
            </w:pPr>
          </w:p>
        </w:tc>
        <w:tc>
          <w:tcPr>
            <w:tcW w:w="692" w:type="dxa"/>
          </w:tcPr>
          <w:p w14:paraId="6D9CD53B" w14:textId="77777777" w:rsidR="00AE7191" w:rsidRPr="001E2C69" w:rsidRDefault="00AE7191" w:rsidP="00722885">
            <w:pPr>
              <w:pStyle w:val="Iauiue"/>
              <w:jc w:val="both"/>
              <w:rPr>
                <w:color w:val="000000" w:themeColor="text1"/>
                <w:sz w:val="16"/>
                <w:szCs w:val="16"/>
              </w:rPr>
            </w:pPr>
          </w:p>
        </w:tc>
        <w:tc>
          <w:tcPr>
            <w:tcW w:w="1371" w:type="dxa"/>
          </w:tcPr>
          <w:p w14:paraId="34AD1D9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400 патрон.</w:t>
            </w:r>
          </w:p>
        </w:tc>
        <w:tc>
          <w:tcPr>
            <w:tcW w:w="818" w:type="dxa"/>
          </w:tcPr>
          <w:p w14:paraId="7054E5B8" w14:textId="77777777" w:rsidR="00AE7191" w:rsidRPr="001E2C69" w:rsidRDefault="00AE7191" w:rsidP="00722885">
            <w:pPr>
              <w:pStyle w:val="Iauiue"/>
              <w:jc w:val="both"/>
              <w:rPr>
                <w:color w:val="000000" w:themeColor="text1"/>
                <w:sz w:val="16"/>
                <w:szCs w:val="16"/>
              </w:rPr>
            </w:pPr>
          </w:p>
        </w:tc>
        <w:tc>
          <w:tcPr>
            <w:tcW w:w="830" w:type="dxa"/>
          </w:tcPr>
          <w:p w14:paraId="03FDC912" w14:textId="77777777" w:rsidR="00AE7191" w:rsidRPr="001E2C69" w:rsidRDefault="00AE7191" w:rsidP="00722885">
            <w:pPr>
              <w:pStyle w:val="Iauiue"/>
              <w:jc w:val="both"/>
              <w:rPr>
                <w:color w:val="000000" w:themeColor="text1"/>
                <w:sz w:val="16"/>
                <w:szCs w:val="16"/>
              </w:rPr>
            </w:pPr>
          </w:p>
        </w:tc>
        <w:tc>
          <w:tcPr>
            <w:tcW w:w="829" w:type="dxa"/>
          </w:tcPr>
          <w:p w14:paraId="3A176984" w14:textId="77777777" w:rsidR="00AE7191" w:rsidRPr="001E2C69" w:rsidRDefault="00AE7191" w:rsidP="00722885">
            <w:pPr>
              <w:pStyle w:val="Iauiue"/>
              <w:jc w:val="both"/>
              <w:rPr>
                <w:color w:val="000000" w:themeColor="text1"/>
                <w:sz w:val="16"/>
                <w:szCs w:val="16"/>
              </w:rPr>
            </w:pPr>
          </w:p>
        </w:tc>
        <w:tc>
          <w:tcPr>
            <w:tcW w:w="968" w:type="dxa"/>
          </w:tcPr>
          <w:p w14:paraId="2F37CCB6" w14:textId="77777777" w:rsidR="00AE7191" w:rsidRPr="001E2C69" w:rsidRDefault="00AE7191" w:rsidP="00722885">
            <w:pPr>
              <w:pStyle w:val="Iauiue"/>
              <w:jc w:val="both"/>
              <w:rPr>
                <w:color w:val="000000" w:themeColor="text1"/>
                <w:sz w:val="16"/>
                <w:szCs w:val="16"/>
              </w:rPr>
            </w:pPr>
          </w:p>
        </w:tc>
        <w:tc>
          <w:tcPr>
            <w:tcW w:w="837" w:type="dxa"/>
          </w:tcPr>
          <w:p w14:paraId="0AB54134" w14:textId="77777777" w:rsidR="00AE7191" w:rsidRPr="001E2C69" w:rsidRDefault="00AE7191" w:rsidP="00722885">
            <w:pPr>
              <w:pStyle w:val="Iauiue"/>
              <w:jc w:val="both"/>
              <w:rPr>
                <w:color w:val="000000" w:themeColor="text1"/>
                <w:sz w:val="16"/>
                <w:szCs w:val="16"/>
              </w:rPr>
            </w:pPr>
          </w:p>
        </w:tc>
      </w:tr>
      <w:tr w:rsidR="001E2C69" w:rsidRPr="001E2C69" w14:paraId="7A35D8B8" w14:textId="77777777" w:rsidTr="00CC5360">
        <w:tc>
          <w:tcPr>
            <w:tcW w:w="1809" w:type="dxa"/>
          </w:tcPr>
          <w:p w14:paraId="37707596" w14:textId="77777777" w:rsidR="00AE7191" w:rsidRPr="001E2C69" w:rsidRDefault="00AE7191" w:rsidP="00722885">
            <w:pPr>
              <w:pStyle w:val="Iauiue"/>
              <w:jc w:val="both"/>
              <w:rPr>
                <w:color w:val="000000" w:themeColor="text1"/>
                <w:sz w:val="16"/>
                <w:szCs w:val="16"/>
              </w:rPr>
            </w:pPr>
          </w:p>
        </w:tc>
        <w:tc>
          <w:tcPr>
            <w:tcW w:w="723" w:type="dxa"/>
          </w:tcPr>
          <w:p w14:paraId="705BBD94" w14:textId="77777777" w:rsidR="00AE7191" w:rsidRPr="001E2C69" w:rsidRDefault="00AE7191" w:rsidP="00722885">
            <w:pPr>
              <w:pStyle w:val="Iauiue"/>
              <w:jc w:val="both"/>
              <w:rPr>
                <w:color w:val="000000" w:themeColor="text1"/>
                <w:sz w:val="16"/>
                <w:szCs w:val="16"/>
              </w:rPr>
            </w:pPr>
          </w:p>
        </w:tc>
        <w:tc>
          <w:tcPr>
            <w:tcW w:w="862" w:type="dxa"/>
          </w:tcPr>
          <w:p w14:paraId="0A84B88D" w14:textId="77777777" w:rsidR="00AE7191" w:rsidRPr="001E2C69" w:rsidRDefault="00AE7191" w:rsidP="00722885">
            <w:pPr>
              <w:pStyle w:val="Iauiue"/>
              <w:jc w:val="both"/>
              <w:rPr>
                <w:color w:val="000000" w:themeColor="text1"/>
                <w:sz w:val="16"/>
                <w:szCs w:val="16"/>
              </w:rPr>
            </w:pPr>
          </w:p>
        </w:tc>
        <w:tc>
          <w:tcPr>
            <w:tcW w:w="865" w:type="dxa"/>
          </w:tcPr>
          <w:p w14:paraId="20A8AE59" w14:textId="77777777" w:rsidR="00AE7191" w:rsidRPr="001E2C69" w:rsidRDefault="00AE7191" w:rsidP="00722885">
            <w:pPr>
              <w:pStyle w:val="Iauiue"/>
              <w:jc w:val="both"/>
              <w:rPr>
                <w:color w:val="000000" w:themeColor="text1"/>
                <w:sz w:val="16"/>
                <w:szCs w:val="16"/>
              </w:rPr>
            </w:pPr>
          </w:p>
        </w:tc>
        <w:tc>
          <w:tcPr>
            <w:tcW w:w="692" w:type="dxa"/>
          </w:tcPr>
          <w:p w14:paraId="02355DDC" w14:textId="77777777" w:rsidR="00AE7191" w:rsidRPr="001E2C69" w:rsidRDefault="00AE7191" w:rsidP="00722885">
            <w:pPr>
              <w:pStyle w:val="Iauiue"/>
              <w:jc w:val="both"/>
              <w:rPr>
                <w:color w:val="000000" w:themeColor="text1"/>
                <w:sz w:val="16"/>
                <w:szCs w:val="16"/>
              </w:rPr>
            </w:pPr>
          </w:p>
        </w:tc>
        <w:tc>
          <w:tcPr>
            <w:tcW w:w="1371" w:type="dxa"/>
          </w:tcPr>
          <w:p w14:paraId="545E660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 пулем.</w:t>
            </w:r>
          </w:p>
        </w:tc>
        <w:tc>
          <w:tcPr>
            <w:tcW w:w="818" w:type="dxa"/>
          </w:tcPr>
          <w:p w14:paraId="447C578F" w14:textId="77777777" w:rsidR="00AE7191" w:rsidRPr="001E2C69" w:rsidRDefault="00AE7191" w:rsidP="00722885">
            <w:pPr>
              <w:pStyle w:val="Iauiue"/>
              <w:jc w:val="both"/>
              <w:rPr>
                <w:color w:val="000000" w:themeColor="text1"/>
                <w:sz w:val="16"/>
                <w:szCs w:val="16"/>
              </w:rPr>
            </w:pPr>
          </w:p>
        </w:tc>
        <w:tc>
          <w:tcPr>
            <w:tcW w:w="830" w:type="dxa"/>
          </w:tcPr>
          <w:p w14:paraId="7137EAF4" w14:textId="77777777" w:rsidR="00AE7191" w:rsidRPr="001E2C69" w:rsidRDefault="00AE7191" w:rsidP="00722885">
            <w:pPr>
              <w:pStyle w:val="Iauiue"/>
              <w:jc w:val="both"/>
              <w:rPr>
                <w:color w:val="000000" w:themeColor="text1"/>
                <w:sz w:val="16"/>
                <w:szCs w:val="16"/>
              </w:rPr>
            </w:pPr>
          </w:p>
        </w:tc>
        <w:tc>
          <w:tcPr>
            <w:tcW w:w="829" w:type="dxa"/>
          </w:tcPr>
          <w:p w14:paraId="093D82F6" w14:textId="77777777" w:rsidR="00AE7191" w:rsidRPr="001E2C69" w:rsidRDefault="00AE7191" w:rsidP="00722885">
            <w:pPr>
              <w:pStyle w:val="Iauiue"/>
              <w:jc w:val="both"/>
              <w:rPr>
                <w:color w:val="000000" w:themeColor="text1"/>
                <w:sz w:val="16"/>
                <w:szCs w:val="16"/>
              </w:rPr>
            </w:pPr>
          </w:p>
        </w:tc>
        <w:tc>
          <w:tcPr>
            <w:tcW w:w="968" w:type="dxa"/>
          </w:tcPr>
          <w:p w14:paraId="17D5D5A3" w14:textId="77777777" w:rsidR="00AE7191" w:rsidRPr="001E2C69" w:rsidRDefault="00AE7191" w:rsidP="00722885">
            <w:pPr>
              <w:pStyle w:val="Iauiue"/>
              <w:jc w:val="both"/>
              <w:rPr>
                <w:color w:val="000000" w:themeColor="text1"/>
                <w:sz w:val="16"/>
                <w:szCs w:val="16"/>
              </w:rPr>
            </w:pPr>
          </w:p>
        </w:tc>
        <w:tc>
          <w:tcPr>
            <w:tcW w:w="837" w:type="dxa"/>
          </w:tcPr>
          <w:p w14:paraId="01717F86" w14:textId="77777777" w:rsidR="00AE7191" w:rsidRPr="001E2C69" w:rsidRDefault="00AE7191" w:rsidP="00722885">
            <w:pPr>
              <w:pStyle w:val="Iauiue"/>
              <w:jc w:val="both"/>
              <w:rPr>
                <w:color w:val="000000" w:themeColor="text1"/>
                <w:sz w:val="16"/>
                <w:szCs w:val="16"/>
              </w:rPr>
            </w:pPr>
          </w:p>
        </w:tc>
      </w:tr>
      <w:tr w:rsidR="001E2C69" w:rsidRPr="001E2C69" w14:paraId="2AE1238B" w14:textId="77777777" w:rsidTr="00CC5360">
        <w:tc>
          <w:tcPr>
            <w:tcW w:w="1809" w:type="dxa"/>
          </w:tcPr>
          <w:p w14:paraId="7EC80F04" w14:textId="77777777" w:rsidR="00AE7191" w:rsidRPr="001E2C69" w:rsidRDefault="00AE7191" w:rsidP="00722885">
            <w:pPr>
              <w:pStyle w:val="Iauiue"/>
              <w:jc w:val="both"/>
              <w:rPr>
                <w:color w:val="000000" w:themeColor="text1"/>
                <w:sz w:val="16"/>
                <w:szCs w:val="16"/>
              </w:rPr>
            </w:pPr>
          </w:p>
        </w:tc>
        <w:tc>
          <w:tcPr>
            <w:tcW w:w="723" w:type="dxa"/>
          </w:tcPr>
          <w:p w14:paraId="5BF501B7" w14:textId="77777777" w:rsidR="00AE7191" w:rsidRPr="001E2C69" w:rsidRDefault="00AE7191" w:rsidP="00722885">
            <w:pPr>
              <w:pStyle w:val="Iauiue"/>
              <w:jc w:val="both"/>
              <w:rPr>
                <w:color w:val="000000" w:themeColor="text1"/>
                <w:sz w:val="16"/>
                <w:szCs w:val="16"/>
              </w:rPr>
            </w:pPr>
          </w:p>
        </w:tc>
        <w:tc>
          <w:tcPr>
            <w:tcW w:w="862" w:type="dxa"/>
          </w:tcPr>
          <w:p w14:paraId="614FADA8" w14:textId="77777777" w:rsidR="00AE7191" w:rsidRPr="001E2C69" w:rsidRDefault="00AE7191" w:rsidP="00722885">
            <w:pPr>
              <w:pStyle w:val="Iauiue"/>
              <w:jc w:val="both"/>
              <w:rPr>
                <w:color w:val="000000" w:themeColor="text1"/>
                <w:sz w:val="16"/>
                <w:szCs w:val="16"/>
              </w:rPr>
            </w:pPr>
          </w:p>
        </w:tc>
        <w:tc>
          <w:tcPr>
            <w:tcW w:w="865" w:type="dxa"/>
          </w:tcPr>
          <w:p w14:paraId="48C6009D" w14:textId="77777777" w:rsidR="00AE7191" w:rsidRPr="001E2C69" w:rsidRDefault="00AE7191" w:rsidP="00722885">
            <w:pPr>
              <w:pStyle w:val="Iauiue"/>
              <w:jc w:val="both"/>
              <w:rPr>
                <w:color w:val="000000" w:themeColor="text1"/>
                <w:sz w:val="16"/>
                <w:szCs w:val="16"/>
              </w:rPr>
            </w:pPr>
          </w:p>
        </w:tc>
        <w:tc>
          <w:tcPr>
            <w:tcW w:w="692" w:type="dxa"/>
          </w:tcPr>
          <w:p w14:paraId="6F12672A" w14:textId="77777777" w:rsidR="00AE7191" w:rsidRPr="001E2C69" w:rsidRDefault="00AE7191" w:rsidP="00722885">
            <w:pPr>
              <w:pStyle w:val="Iauiue"/>
              <w:jc w:val="both"/>
              <w:rPr>
                <w:color w:val="000000" w:themeColor="text1"/>
                <w:sz w:val="16"/>
                <w:szCs w:val="16"/>
              </w:rPr>
            </w:pPr>
          </w:p>
        </w:tc>
        <w:tc>
          <w:tcPr>
            <w:tcW w:w="1371" w:type="dxa"/>
          </w:tcPr>
          <w:p w14:paraId="300CB82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7,62 мм с</w:t>
            </w:r>
          </w:p>
        </w:tc>
        <w:tc>
          <w:tcPr>
            <w:tcW w:w="818" w:type="dxa"/>
          </w:tcPr>
          <w:p w14:paraId="7302BBB6" w14:textId="77777777" w:rsidR="00AE7191" w:rsidRPr="001E2C69" w:rsidRDefault="00AE7191" w:rsidP="00722885">
            <w:pPr>
              <w:pStyle w:val="Iauiue"/>
              <w:jc w:val="both"/>
              <w:rPr>
                <w:color w:val="000000" w:themeColor="text1"/>
                <w:sz w:val="16"/>
                <w:szCs w:val="16"/>
              </w:rPr>
            </w:pPr>
          </w:p>
        </w:tc>
        <w:tc>
          <w:tcPr>
            <w:tcW w:w="830" w:type="dxa"/>
          </w:tcPr>
          <w:p w14:paraId="4AE830C0" w14:textId="77777777" w:rsidR="00AE7191" w:rsidRPr="001E2C69" w:rsidRDefault="00AE7191" w:rsidP="00722885">
            <w:pPr>
              <w:pStyle w:val="Iauiue"/>
              <w:jc w:val="both"/>
              <w:rPr>
                <w:color w:val="000000" w:themeColor="text1"/>
                <w:sz w:val="16"/>
                <w:szCs w:val="16"/>
              </w:rPr>
            </w:pPr>
          </w:p>
        </w:tc>
        <w:tc>
          <w:tcPr>
            <w:tcW w:w="829" w:type="dxa"/>
          </w:tcPr>
          <w:p w14:paraId="48A30480" w14:textId="77777777" w:rsidR="00AE7191" w:rsidRPr="001E2C69" w:rsidRDefault="00AE7191" w:rsidP="00722885">
            <w:pPr>
              <w:pStyle w:val="Iauiue"/>
              <w:jc w:val="both"/>
              <w:rPr>
                <w:color w:val="000000" w:themeColor="text1"/>
                <w:sz w:val="16"/>
                <w:szCs w:val="16"/>
              </w:rPr>
            </w:pPr>
          </w:p>
        </w:tc>
        <w:tc>
          <w:tcPr>
            <w:tcW w:w="968" w:type="dxa"/>
          </w:tcPr>
          <w:p w14:paraId="30F078AB" w14:textId="77777777" w:rsidR="00AE7191" w:rsidRPr="001E2C69" w:rsidRDefault="00AE7191" w:rsidP="00722885">
            <w:pPr>
              <w:pStyle w:val="Iauiue"/>
              <w:jc w:val="both"/>
              <w:rPr>
                <w:color w:val="000000" w:themeColor="text1"/>
                <w:sz w:val="16"/>
                <w:szCs w:val="16"/>
              </w:rPr>
            </w:pPr>
          </w:p>
        </w:tc>
        <w:tc>
          <w:tcPr>
            <w:tcW w:w="837" w:type="dxa"/>
          </w:tcPr>
          <w:p w14:paraId="14520D9E" w14:textId="77777777" w:rsidR="00AE7191" w:rsidRPr="001E2C69" w:rsidRDefault="00AE7191" w:rsidP="00722885">
            <w:pPr>
              <w:pStyle w:val="Iauiue"/>
              <w:jc w:val="both"/>
              <w:rPr>
                <w:color w:val="000000" w:themeColor="text1"/>
                <w:sz w:val="16"/>
                <w:szCs w:val="16"/>
              </w:rPr>
            </w:pPr>
          </w:p>
        </w:tc>
      </w:tr>
      <w:tr w:rsidR="001E2C69" w:rsidRPr="001E2C69" w14:paraId="592CA1DF" w14:textId="77777777" w:rsidTr="00CC5360">
        <w:tc>
          <w:tcPr>
            <w:tcW w:w="1809" w:type="dxa"/>
          </w:tcPr>
          <w:p w14:paraId="1A1D475E" w14:textId="77777777" w:rsidR="00AE7191" w:rsidRPr="001E2C69" w:rsidRDefault="00AE7191" w:rsidP="00722885">
            <w:pPr>
              <w:pStyle w:val="Iauiue"/>
              <w:jc w:val="both"/>
              <w:rPr>
                <w:color w:val="000000" w:themeColor="text1"/>
                <w:sz w:val="16"/>
                <w:szCs w:val="16"/>
              </w:rPr>
            </w:pPr>
          </w:p>
        </w:tc>
        <w:tc>
          <w:tcPr>
            <w:tcW w:w="723" w:type="dxa"/>
          </w:tcPr>
          <w:p w14:paraId="704799A4" w14:textId="77777777" w:rsidR="00AE7191" w:rsidRPr="001E2C69" w:rsidRDefault="00AE7191" w:rsidP="00722885">
            <w:pPr>
              <w:pStyle w:val="Iauiue"/>
              <w:jc w:val="both"/>
              <w:rPr>
                <w:color w:val="000000" w:themeColor="text1"/>
                <w:sz w:val="16"/>
                <w:szCs w:val="16"/>
              </w:rPr>
            </w:pPr>
          </w:p>
        </w:tc>
        <w:tc>
          <w:tcPr>
            <w:tcW w:w="862" w:type="dxa"/>
          </w:tcPr>
          <w:p w14:paraId="05DE2723" w14:textId="77777777" w:rsidR="00AE7191" w:rsidRPr="001E2C69" w:rsidRDefault="00AE7191" w:rsidP="00722885">
            <w:pPr>
              <w:pStyle w:val="Iauiue"/>
              <w:jc w:val="both"/>
              <w:rPr>
                <w:color w:val="000000" w:themeColor="text1"/>
                <w:sz w:val="16"/>
                <w:szCs w:val="16"/>
              </w:rPr>
            </w:pPr>
          </w:p>
        </w:tc>
        <w:tc>
          <w:tcPr>
            <w:tcW w:w="865" w:type="dxa"/>
          </w:tcPr>
          <w:p w14:paraId="36901540" w14:textId="77777777" w:rsidR="00AE7191" w:rsidRPr="001E2C69" w:rsidRDefault="00AE7191" w:rsidP="00722885">
            <w:pPr>
              <w:pStyle w:val="Iauiue"/>
              <w:jc w:val="both"/>
              <w:rPr>
                <w:color w:val="000000" w:themeColor="text1"/>
                <w:sz w:val="16"/>
                <w:szCs w:val="16"/>
              </w:rPr>
            </w:pPr>
          </w:p>
        </w:tc>
        <w:tc>
          <w:tcPr>
            <w:tcW w:w="692" w:type="dxa"/>
          </w:tcPr>
          <w:p w14:paraId="508C002E" w14:textId="77777777" w:rsidR="00AE7191" w:rsidRPr="001E2C69" w:rsidRDefault="00AE7191" w:rsidP="00722885">
            <w:pPr>
              <w:pStyle w:val="Iauiue"/>
              <w:jc w:val="both"/>
              <w:rPr>
                <w:color w:val="000000" w:themeColor="text1"/>
                <w:sz w:val="16"/>
                <w:szCs w:val="16"/>
              </w:rPr>
            </w:pPr>
          </w:p>
        </w:tc>
        <w:tc>
          <w:tcPr>
            <w:tcW w:w="1371" w:type="dxa"/>
          </w:tcPr>
          <w:p w14:paraId="25EFCCF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боезапасом</w:t>
            </w:r>
          </w:p>
        </w:tc>
        <w:tc>
          <w:tcPr>
            <w:tcW w:w="818" w:type="dxa"/>
          </w:tcPr>
          <w:p w14:paraId="7B95E010" w14:textId="77777777" w:rsidR="00AE7191" w:rsidRPr="001E2C69" w:rsidRDefault="00AE7191" w:rsidP="00722885">
            <w:pPr>
              <w:pStyle w:val="Iauiue"/>
              <w:jc w:val="both"/>
              <w:rPr>
                <w:color w:val="000000" w:themeColor="text1"/>
                <w:sz w:val="16"/>
                <w:szCs w:val="16"/>
              </w:rPr>
            </w:pPr>
          </w:p>
        </w:tc>
        <w:tc>
          <w:tcPr>
            <w:tcW w:w="830" w:type="dxa"/>
          </w:tcPr>
          <w:p w14:paraId="3FC1AD97" w14:textId="77777777" w:rsidR="00AE7191" w:rsidRPr="001E2C69" w:rsidRDefault="00AE7191" w:rsidP="00722885">
            <w:pPr>
              <w:pStyle w:val="Iauiue"/>
              <w:jc w:val="both"/>
              <w:rPr>
                <w:color w:val="000000" w:themeColor="text1"/>
                <w:sz w:val="16"/>
                <w:szCs w:val="16"/>
              </w:rPr>
            </w:pPr>
          </w:p>
        </w:tc>
        <w:tc>
          <w:tcPr>
            <w:tcW w:w="829" w:type="dxa"/>
          </w:tcPr>
          <w:p w14:paraId="042D435D" w14:textId="77777777" w:rsidR="00AE7191" w:rsidRPr="001E2C69" w:rsidRDefault="00AE7191" w:rsidP="00722885">
            <w:pPr>
              <w:pStyle w:val="Iauiue"/>
              <w:jc w:val="both"/>
              <w:rPr>
                <w:color w:val="000000" w:themeColor="text1"/>
                <w:sz w:val="16"/>
                <w:szCs w:val="16"/>
              </w:rPr>
            </w:pPr>
          </w:p>
        </w:tc>
        <w:tc>
          <w:tcPr>
            <w:tcW w:w="968" w:type="dxa"/>
          </w:tcPr>
          <w:p w14:paraId="577E0187" w14:textId="77777777" w:rsidR="00AE7191" w:rsidRPr="001E2C69" w:rsidRDefault="00AE7191" w:rsidP="00722885">
            <w:pPr>
              <w:pStyle w:val="Iauiue"/>
              <w:jc w:val="both"/>
              <w:rPr>
                <w:color w:val="000000" w:themeColor="text1"/>
                <w:sz w:val="16"/>
                <w:szCs w:val="16"/>
              </w:rPr>
            </w:pPr>
          </w:p>
        </w:tc>
        <w:tc>
          <w:tcPr>
            <w:tcW w:w="837" w:type="dxa"/>
          </w:tcPr>
          <w:p w14:paraId="180D8178" w14:textId="77777777" w:rsidR="00AE7191" w:rsidRPr="001E2C69" w:rsidRDefault="00AE7191" w:rsidP="00722885">
            <w:pPr>
              <w:pStyle w:val="Iauiue"/>
              <w:jc w:val="both"/>
              <w:rPr>
                <w:color w:val="000000" w:themeColor="text1"/>
                <w:sz w:val="16"/>
                <w:szCs w:val="16"/>
              </w:rPr>
            </w:pPr>
          </w:p>
        </w:tc>
      </w:tr>
      <w:tr w:rsidR="001E2C69" w:rsidRPr="001E2C69" w14:paraId="492C4B47" w14:textId="77777777" w:rsidTr="00CC5360">
        <w:tc>
          <w:tcPr>
            <w:tcW w:w="1809" w:type="dxa"/>
          </w:tcPr>
          <w:p w14:paraId="204ADA94" w14:textId="77777777" w:rsidR="00AE7191" w:rsidRPr="001E2C69" w:rsidRDefault="00AE7191" w:rsidP="00722885">
            <w:pPr>
              <w:pStyle w:val="Iauiue"/>
              <w:jc w:val="both"/>
              <w:rPr>
                <w:color w:val="000000" w:themeColor="text1"/>
                <w:sz w:val="16"/>
                <w:szCs w:val="16"/>
              </w:rPr>
            </w:pPr>
          </w:p>
        </w:tc>
        <w:tc>
          <w:tcPr>
            <w:tcW w:w="723" w:type="dxa"/>
          </w:tcPr>
          <w:p w14:paraId="72B02F30" w14:textId="77777777" w:rsidR="00AE7191" w:rsidRPr="001E2C69" w:rsidRDefault="00AE7191" w:rsidP="00722885">
            <w:pPr>
              <w:pStyle w:val="Iauiue"/>
              <w:jc w:val="both"/>
              <w:rPr>
                <w:color w:val="000000" w:themeColor="text1"/>
                <w:sz w:val="16"/>
                <w:szCs w:val="16"/>
              </w:rPr>
            </w:pPr>
          </w:p>
        </w:tc>
        <w:tc>
          <w:tcPr>
            <w:tcW w:w="862" w:type="dxa"/>
          </w:tcPr>
          <w:p w14:paraId="6C0F32F4" w14:textId="77777777" w:rsidR="00AE7191" w:rsidRPr="001E2C69" w:rsidRDefault="00AE7191" w:rsidP="00722885">
            <w:pPr>
              <w:pStyle w:val="Iauiue"/>
              <w:jc w:val="both"/>
              <w:rPr>
                <w:color w:val="000000" w:themeColor="text1"/>
                <w:sz w:val="16"/>
                <w:szCs w:val="16"/>
              </w:rPr>
            </w:pPr>
          </w:p>
        </w:tc>
        <w:tc>
          <w:tcPr>
            <w:tcW w:w="865" w:type="dxa"/>
          </w:tcPr>
          <w:p w14:paraId="1E22B7D9" w14:textId="77777777" w:rsidR="00AE7191" w:rsidRPr="001E2C69" w:rsidRDefault="00AE7191" w:rsidP="00722885">
            <w:pPr>
              <w:pStyle w:val="Iauiue"/>
              <w:jc w:val="both"/>
              <w:rPr>
                <w:color w:val="000000" w:themeColor="text1"/>
                <w:sz w:val="16"/>
                <w:szCs w:val="16"/>
              </w:rPr>
            </w:pPr>
          </w:p>
        </w:tc>
        <w:tc>
          <w:tcPr>
            <w:tcW w:w="692" w:type="dxa"/>
          </w:tcPr>
          <w:p w14:paraId="34F3C764" w14:textId="77777777" w:rsidR="00AE7191" w:rsidRPr="001E2C69" w:rsidRDefault="00AE7191" w:rsidP="00722885">
            <w:pPr>
              <w:pStyle w:val="Iauiue"/>
              <w:jc w:val="both"/>
              <w:rPr>
                <w:color w:val="000000" w:themeColor="text1"/>
                <w:sz w:val="16"/>
                <w:szCs w:val="16"/>
              </w:rPr>
            </w:pPr>
          </w:p>
        </w:tc>
        <w:tc>
          <w:tcPr>
            <w:tcW w:w="1371" w:type="dxa"/>
          </w:tcPr>
          <w:p w14:paraId="07350CB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5000 патрон.</w:t>
            </w:r>
          </w:p>
        </w:tc>
        <w:tc>
          <w:tcPr>
            <w:tcW w:w="818" w:type="dxa"/>
          </w:tcPr>
          <w:p w14:paraId="1935839A" w14:textId="77777777" w:rsidR="00AE7191" w:rsidRPr="001E2C69" w:rsidRDefault="00AE7191" w:rsidP="00722885">
            <w:pPr>
              <w:pStyle w:val="Iauiue"/>
              <w:jc w:val="both"/>
              <w:rPr>
                <w:color w:val="000000" w:themeColor="text1"/>
                <w:sz w:val="16"/>
                <w:szCs w:val="16"/>
              </w:rPr>
            </w:pPr>
          </w:p>
        </w:tc>
        <w:tc>
          <w:tcPr>
            <w:tcW w:w="830" w:type="dxa"/>
          </w:tcPr>
          <w:p w14:paraId="35066A7C" w14:textId="77777777" w:rsidR="00AE7191" w:rsidRPr="001E2C69" w:rsidRDefault="00AE7191" w:rsidP="00722885">
            <w:pPr>
              <w:pStyle w:val="Iauiue"/>
              <w:jc w:val="both"/>
              <w:rPr>
                <w:color w:val="000000" w:themeColor="text1"/>
                <w:sz w:val="16"/>
                <w:szCs w:val="16"/>
              </w:rPr>
            </w:pPr>
          </w:p>
        </w:tc>
        <w:tc>
          <w:tcPr>
            <w:tcW w:w="829" w:type="dxa"/>
          </w:tcPr>
          <w:p w14:paraId="522FF215" w14:textId="77777777" w:rsidR="00AE7191" w:rsidRPr="001E2C69" w:rsidRDefault="00AE7191" w:rsidP="00722885">
            <w:pPr>
              <w:pStyle w:val="Iauiue"/>
              <w:jc w:val="both"/>
              <w:rPr>
                <w:color w:val="000000" w:themeColor="text1"/>
                <w:sz w:val="16"/>
                <w:szCs w:val="16"/>
              </w:rPr>
            </w:pPr>
          </w:p>
        </w:tc>
        <w:tc>
          <w:tcPr>
            <w:tcW w:w="968" w:type="dxa"/>
          </w:tcPr>
          <w:p w14:paraId="14670412" w14:textId="77777777" w:rsidR="00AE7191" w:rsidRPr="001E2C69" w:rsidRDefault="00AE7191" w:rsidP="00722885">
            <w:pPr>
              <w:pStyle w:val="Iauiue"/>
              <w:jc w:val="both"/>
              <w:rPr>
                <w:color w:val="000000" w:themeColor="text1"/>
                <w:sz w:val="16"/>
                <w:szCs w:val="16"/>
              </w:rPr>
            </w:pPr>
          </w:p>
        </w:tc>
        <w:tc>
          <w:tcPr>
            <w:tcW w:w="837" w:type="dxa"/>
          </w:tcPr>
          <w:p w14:paraId="4F13E45B" w14:textId="77777777" w:rsidR="00AE7191" w:rsidRPr="001E2C69" w:rsidRDefault="00AE7191" w:rsidP="00722885">
            <w:pPr>
              <w:pStyle w:val="Iauiue"/>
              <w:jc w:val="both"/>
              <w:rPr>
                <w:color w:val="000000" w:themeColor="text1"/>
                <w:sz w:val="16"/>
                <w:szCs w:val="16"/>
              </w:rPr>
            </w:pPr>
          </w:p>
        </w:tc>
      </w:tr>
      <w:tr w:rsidR="001E2C69" w:rsidRPr="001E2C69" w14:paraId="59B3AB6A" w14:textId="77777777" w:rsidTr="00CC5360">
        <w:tc>
          <w:tcPr>
            <w:tcW w:w="1809" w:type="dxa"/>
          </w:tcPr>
          <w:p w14:paraId="4350C2E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Модификация</w:t>
            </w:r>
          </w:p>
        </w:tc>
        <w:tc>
          <w:tcPr>
            <w:tcW w:w="723" w:type="dxa"/>
          </w:tcPr>
          <w:p w14:paraId="0C52D9A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420 с</w:t>
            </w:r>
          </w:p>
        </w:tc>
        <w:tc>
          <w:tcPr>
            <w:tcW w:w="862" w:type="dxa"/>
          </w:tcPr>
          <w:p w14:paraId="617500E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w:t>
            </w:r>
          </w:p>
        </w:tc>
        <w:tc>
          <w:tcPr>
            <w:tcW w:w="865" w:type="dxa"/>
          </w:tcPr>
          <w:p w14:paraId="60AFCBC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500</w:t>
            </w:r>
          </w:p>
        </w:tc>
        <w:tc>
          <w:tcPr>
            <w:tcW w:w="692" w:type="dxa"/>
          </w:tcPr>
          <w:p w14:paraId="532A27F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6500</w:t>
            </w:r>
          </w:p>
        </w:tc>
        <w:tc>
          <w:tcPr>
            <w:tcW w:w="1371" w:type="dxa"/>
          </w:tcPr>
          <w:p w14:paraId="134B832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пушки 23мм</w:t>
            </w:r>
          </w:p>
        </w:tc>
        <w:tc>
          <w:tcPr>
            <w:tcW w:w="818" w:type="dxa"/>
          </w:tcPr>
          <w:p w14:paraId="52F2210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400/600</w:t>
            </w:r>
          </w:p>
        </w:tc>
        <w:tc>
          <w:tcPr>
            <w:tcW w:w="830" w:type="dxa"/>
          </w:tcPr>
          <w:p w14:paraId="2DEA623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8РО-132</w:t>
            </w:r>
          </w:p>
        </w:tc>
        <w:tc>
          <w:tcPr>
            <w:tcW w:w="829" w:type="dxa"/>
          </w:tcPr>
          <w:p w14:paraId="13C77D5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w:t>
            </w:r>
          </w:p>
        </w:tc>
        <w:tc>
          <w:tcPr>
            <w:tcW w:w="968" w:type="dxa"/>
          </w:tcPr>
          <w:p w14:paraId="671FB7B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15.XII.42</w:t>
            </w:r>
          </w:p>
        </w:tc>
        <w:tc>
          <w:tcPr>
            <w:tcW w:w="837" w:type="dxa"/>
          </w:tcPr>
          <w:p w14:paraId="46D7A3C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2500 для</w:t>
            </w:r>
          </w:p>
        </w:tc>
      </w:tr>
      <w:tr w:rsidR="001E2C69" w:rsidRPr="001E2C69" w14:paraId="2C3C933A" w14:textId="77777777" w:rsidTr="00CC5360">
        <w:tc>
          <w:tcPr>
            <w:tcW w:w="1809" w:type="dxa"/>
          </w:tcPr>
          <w:p w14:paraId="5CC3E75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одноместного</w:t>
            </w:r>
          </w:p>
        </w:tc>
        <w:tc>
          <w:tcPr>
            <w:tcW w:w="723" w:type="dxa"/>
          </w:tcPr>
          <w:p w14:paraId="628EA24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8РО-132</w:t>
            </w:r>
          </w:p>
        </w:tc>
        <w:tc>
          <w:tcPr>
            <w:tcW w:w="862" w:type="dxa"/>
          </w:tcPr>
          <w:p w14:paraId="14F5A943" w14:textId="77777777" w:rsidR="00AE7191" w:rsidRPr="001E2C69" w:rsidRDefault="00AE7191" w:rsidP="00722885">
            <w:pPr>
              <w:pStyle w:val="Iauiue"/>
              <w:jc w:val="both"/>
              <w:rPr>
                <w:color w:val="000000" w:themeColor="text1"/>
                <w:sz w:val="16"/>
                <w:szCs w:val="16"/>
              </w:rPr>
            </w:pPr>
          </w:p>
        </w:tc>
        <w:tc>
          <w:tcPr>
            <w:tcW w:w="865" w:type="dxa"/>
          </w:tcPr>
          <w:p w14:paraId="2F6B2CC8" w14:textId="77777777" w:rsidR="00AE7191" w:rsidRPr="001E2C69" w:rsidRDefault="00AE7191" w:rsidP="00722885">
            <w:pPr>
              <w:pStyle w:val="Iauiue"/>
              <w:jc w:val="both"/>
              <w:rPr>
                <w:color w:val="000000" w:themeColor="text1"/>
                <w:sz w:val="16"/>
                <w:szCs w:val="16"/>
              </w:rPr>
            </w:pPr>
          </w:p>
        </w:tc>
        <w:tc>
          <w:tcPr>
            <w:tcW w:w="692" w:type="dxa"/>
          </w:tcPr>
          <w:p w14:paraId="3DA1CC66" w14:textId="77777777" w:rsidR="00AE7191" w:rsidRPr="001E2C69" w:rsidRDefault="00AE7191" w:rsidP="00722885">
            <w:pPr>
              <w:pStyle w:val="Iauiue"/>
              <w:jc w:val="both"/>
              <w:rPr>
                <w:color w:val="000000" w:themeColor="text1"/>
                <w:sz w:val="16"/>
                <w:szCs w:val="16"/>
              </w:rPr>
            </w:pPr>
          </w:p>
        </w:tc>
        <w:tc>
          <w:tcPr>
            <w:tcW w:w="1371" w:type="dxa"/>
          </w:tcPr>
          <w:p w14:paraId="032B336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боезапасом</w:t>
            </w:r>
          </w:p>
        </w:tc>
        <w:tc>
          <w:tcPr>
            <w:tcW w:w="818" w:type="dxa"/>
          </w:tcPr>
          <w:p w14:paraId="2B60DCA7" w14:textId="77777777" w:rsidR="00AE7191" w:rsidRPr="001E2C69" w:rsidRDefault="00AE7191" w:rsidP="00722885">
            <w:pPr>
              <w:pStyle w:val="Iauiue"/>
              <w:jc w:val="both"/>
              <w:rPr>
                <w:color w:val="000000" w:themeColor="text1"/>
                <w:sz w:val="16"/>
                <w:szCs w:val="16"/>
              </w:rPr>
            </w:pPr>
          </w:p>
        </w:tc>
        <w:tc>
          <w:tcPr>
            <w:tcW w:w="830" w:type="dxa"/>
          </w:tcPr>
          <w:p w14:paraId="3DFDB668" w14:textId="77777777" w:rsidR="00AE7191" w:rsidRPr="001E2C69" w:rsidRDefault="00AE7191" w:rsidP="00722885">
            <w:pPr>
              <w:pStyle w:val="Iauiue"/>
              <w:jc w:val="both"/>
              <w:rPr>
                <w:color w:val="000000" w:themeColor="text1"/>
                <w:sz w:val="16"/>
                <w:szCs w:val="16"/>
              </w:rPr>
            </w:pPr>
          </w:p>
        </w:tc>
        <w:tc>
          <w:tcPr>
            <w:tcW w:w="829" w:type="dxa"/>
          </w:tcPr>
          <w:p w14:paraId="494B860D" w14:textId="77777777" w:rsidR="00AE7191" w:rsidRPr="001E2C69" w:rsidRDefault="00AE7191" w:rsidP="00722885">
            <w:pPr>
              <w:pStyle w:val="Iauiue"/>
              <w:jc w:val="both"/>
              <w:rPr>
                <w:color w:val="000000" w:themeColor="text1"/>
                <w:sz w:val="16"/>
                <w:szCs w:val="16"/>
              </w:rPr>
            </w:pPr>
          </w:p>
        </w:tc>
        <w:tc>
          <w:tcPr>
            <w:tcW w:w="968" w:type="dxa"/>
          </w:tcPr>
          <w:p w14:paraId="71628B7E" w14:textId="77777777" w:rsidR="00AE7191" w:rsidRPr="001E2C69" w:rsidRDefault="00AE7191" w:rsidP="00722885">
            <w:pPr>
              <w:pStyle w:val="Iauiue"/>
              <w:jc w:val="both"/>
              <w:rPr>
                <w:color w:val="000000" w:themeColor="text1"/>
                <w:sz w:val="16"/>
                <w:szCs w:val="16"/>
              </w:rPr>
            </w:pPr>
          </w:p>
        </w:tc>
        <w:tc>
          <w:tcPr>
            <w:tcW w:w="837" w:type="dxa"/>
          </w:tcPr>
          <w:p w14:paraId="6C8E5AC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отработки</w:t>
            </w:r>
          </w:p>
        </w:tc>
      </w:tr>
      <w:tr w:rsidR="001E2C69" w:rsidRPr="001E2C69" w14:paraId="7CB8AFD6" w14:textId="77777777" w:rsidTr="00CC5360">
        <w:tc>
          <w:tcPr>
            <w:tcW w:w="1809" w:type="dxa"/>
          </w:tcPr>
          <w:p w14:paraId="2AE8EE5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штурмовика Ил-2</w:t>
            </w:r>
          </w:p>
        </w:tc>
        <w:tc>
          <w:tcPr>
            <w:tcW w:w="723" w:type="dxa"/>
          </w:tcPr>
          <w:p w14:paraId="450B4F8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460 без</w:t>
            </w:r>
          </w:p>
        </w:tc>
        <w:tc>
          <w:tcPr>
            <w:tcW w:w="862" w:type="dxa"/>
          </w:tcPr>
          <w:p w14:paraId="5DF6A710" w14:textId="77777777" w:rsidR="00AE7191" w:rsidRPr="001E2C69" w:rsidRDefault="00AE7191" w:rsidP="00722885">
            <w:pPr>
              <w:pStyle w:val="Iauiue"/>
              <w:jc w:val="both"/>
              <w:rPr>
                <w:color w:val="000000" w:themeColor="text1"/>
                <w:sz w:val="16"/>
                <w:szCs w:val="16"/>
              </w:rPr>
            </w:pPr>
          </w:p>
        </w:tc>
        <w:tc>
          <w:tcPr>
            <w:tcW w:w="865" w:type="dxa"/>
          </w:tcPr>
          <w:p w14:paraId="5A73F36B" w14:textId="77777777" w:rsidR="00AE7191" w:rsidRPr="001E2C69" w:rsidRDefault="00AE7191" w:rsidP="00722885">
            <w:pPr>
              <w:pStyle w:val="Iauiue"/>
              <w:jc w:val="both"/>
              <w:rPr>
                <w:color w:val="000000" w:themeColor="text1"/>
                <w:sz w:val="16"/>
                <w:szCs w:val="16"/>
              </w:rPr>
            </w:pPr>
          </w:p>
        </w:tc>
        <w:tc>
          <w:tcPr>
            <w:tcW w:w="692" w:type="dxa"/>
          </w:tcPr>
          <w:p w14:paraId="2D4E2B36" w14:textId="77777777" w:rsidR="00AE7191" w:rsidRPr="001E2C69" w:rsidRDefault="00AE7191" w:rsidP="00722885">
            <w:pPr>
              <w:pStyle w:val="Iauiue"/>
              <w:jc w:val="both"/>
              <w:rPr>
                <w:color w:val="000000" w:themeColor="text1"/>
                <w:sz w:val="16"/>
                <w:szCs w:val="16"/>
              </w:rPr>
            </w:pPr>
          </w:p>
        </w:tc>
        <w:tc>
          <w:tcPr>
            <w:tcW w:w="1371" w:type="dxa"/>
          </w:tcPr>
          <w:p w14:paraId="2ADC7A3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300 снарядов</w:t>
            </w:r>
          </w:p>
        </w:tc>
        <w:tc>
          <w:tcPr>
            <w:tcW w:w="818" w:type="dxa"/>
          </w:tcPr>
          <w:p w14:paraId="6748F095" w14:textId="77777777" w:rsidR="00AE7191" w:rsidRPr="001E2C69" w:rsidRDefault="00AE7191" w:rsidP="00722885">
            <w:pPr>
              <w:pStyle w:val="Iauiue"/>
              <w:jc w:val="both"/>
              <w:rPr>
                <w:color w:val="000000" w:themeColor="text1"/>
                <w:sz w:val="16"/>
                <w:szCs w:val="16"/>
              </w:rPr>
            </w:pPr>
          </w:p>
        </w:tc>
        <w:tc>
          <w:tcPr>
            <w:tcW w:w="830" w:type="dxa"/>
          </w:tcPr>
          <w:p w14:paraId="74428035" w14:textId="77777777" w:rsidR="00AE7191" w:rsidRPr="001E2C69" w:rsidRDefault="00AE7191" w:rsidP="00722885">
            <w:pPr>
              <w:pStyle w:val="Iauiue"/>
              <w:jc w:val="both"/>
              <w:rPr>
                <w:color w:val="000000" w:themeColor="text1"/>
                <w:sz w:val="16"/>
                <w:szCs w:val="16"/>
              </w:rPr>
            </w:pPr>
          </w:p>
        </w:tc>
        <w:tc>
          <w:tcPr>
            <w:tcW w:w="829" w:type="dxa"/>
          </w:tcPr>
          <w:p w14:paraId="363D69AA" w14:textId="77777777" w:rsidR="00AE7191" w:rsidRPr="001E2C69" w:rsidRDefault="00AE7191" w:rsidP="00722885">
            <w:pPr>
              <w:pStyle w:val="Iauiue"/>
              <w:jc w:val="both"/>
              <w:rPr>
                <w:color w:val="000000" w:themeColor="text1"/>
                <w:sz w:val="16"/>
                <w:szCs w:val="16"/>
              </w:rPr>
            </w:pPr>
          </w:p>
        </w:tc>
        <w:tc>
          <w:tcPr>
            <w:tcW w:w="968" w:type="dxa"/>
          </w:tcPr>
          <w:p w14:paraId="6D0B74B3" w14:textId="77777777" w:rsidR="00AE7191" w:rsidRPr="001E2C69" w:rsidRDefault="00AE7191" w:rsidP="00722885">
            <w:pPr>
              <w:pStyle w:val="Iauiue"/>
              <w:jc w:val="both"/>
              <w:rPr>
                <w:color w:val="000000" w:themeColor="text1"/>
                <w:sz w:val="16"/>
                <w:szCs w:val="16"/>
              </w:rPr>
            </w:pPr>
          </w:p>
        </w:tc>
        <w:tc>
          <w:tcPr>
            <w:tcW w:w="837" w:type="dxa"/>
          </w:tcPr>
          <w:p w14:paraId="6B88DDF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мотора</w:t>
            </w:r>
          </w:p>
        </w:tc>
      </w:tr>
      <w:tr w:rsidR="001E2C69" w:rsidRPr="001E2C69" w14:paraId="7172A0AE" w14:textId="77777777" w:rsidTr="00CC5360">
        <w:tc>
          <w:tcPr>
            <w:tcW w:w="1809" w:type="dxa"/>
          </w:tcPr>
          <w:p w14:paraId="543E93D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под мотор М-250</w:t>
            </w:r>
          </w:p>
        </w:tc>
        <w:tc>
          <w:tcPr>
            <w:tcW w:w="723" w:type="dxa"/>
          </w:tcPr>
          <w:p w14:paraId="7FBB472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РО</w:t>
            </w:r>
          </w:p>
        </w:tc>
        <w:tc>
          <w:tcPr>
            <w:tcW w:w="862" w:type="dxa"/>
          </w:tcPr>
          <w:p w14:paraId="4EA549AE" w14:textId="77777777" w:rsidR="00AE7191" w:rsidRPr="001E2C69" w:rsidRDefault="00AE7191" w:rsidP="00722885">
            <w:pPr>
              <w:pStyle w:val="Iauiue"/>
              <w:jc w:val="both"/>
              <w:rPr>
                <w:color w:val="000000" w:themeColor="text1"/>
                <w:sz w:val="16"/>
                <w:szCs w:val="16"/>
              </w:rPr>
            </w:pPr>
          </w:p>
        </w:tc>
        <w:tc>
          <w:tcPr>
            <w:tcW w:w="865" w:type="dxa"/>
          </w:tcPr>
          <w:p w14:paraId="36088023" w14:textId="77777777" w:rsidR="00AE7191" w:rsidRPr="001E2C69" w:rsidRDefault="00AE7191" w:rsidP="00722885">
            <w:pPr>
              <w:pStyle w:val="Iauiue"/>
              <w:jc w:val="both"/>
              <w:rPr>
                <w:color w:val="000000" w:themeColor="text1"/>
                <w:sz w:val="16"/>
                <w:szCs w:val="16"/>
              </w:rPr>
            </w:pPr>
          </w:p>
        </w:tc>
        <w:tc>
          <w:tcPr>
            <w:tcW w:w="692" w:type="dxa"/>
          </w:tcPr>
          <w:p w14:paraId="7F289614" w14:textId="77777777" w:rsidR="00AE7191" w:rsidRPr="001E2C69" w:rsidRDefault="00AE7191" w:rsidP="00722885">
            <w:pPr>
              <w:pStyle w:val="Iauiue"/>
              <w:jc w:val="both"/>
              <w:rPr>
                <w:color w:val="000000" w:themeColor="text1"/>
                <w:sz w:val="16"/>
                <w:szCs w:val="16"/>
              </w:rPr>
            </w:pPr>
          </w:p>
        </w:tc>
        <w:tc>
          <w:tcPr>
            <w:tcW w:w="1371" w:type="dxa"/>
          </w:tcPr>
          <w:p w14:paraId="5312758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пулем. 7,62 мм</w:t>
            </w:r>
          </w:p>
        </w:tc>
        <w:tc>
          <w:tcPr>
            <w:tcW w:w="818" w:type="dxa"/>
          </w:tcPr>
          <w:p w14:paraId="0633840E" w14:textId="77777777" w:rsidR="00AE7191" w:rsidRPr="001E2C69" w:rsidRDefault="00AE7191" w:rsidP="00722885">
            <w:pPr>
              <w:pStyle w:val="Iauiue"/>
              <w:jc w:val="both"/>
              <w:rPr>
                <w:color w:val="000000" w:themeColor="text1"/>
                <w:sz w:val="16"/>
                <w:szCs w:val="16"/>
              </w:rPr>
            </w:pPr>
          </w:p>
        </w:tc>
        <w:tc>
          <w:tcPr>
            <w:tcW w:w="830" w:type="dxa"/>
          </w:tcPr>
          <w:p w14:paraId="015DAF8F" w14:textId="77777777" w:rsidR="00AE7191" w:rsidRPr="001E2C69" w:rsidRDefault="00AE7191" w:rsidP="00722885">
            <w:pPr>
              <w:pStyle w:val="Iauiue"/>
              <w:jc w:val="both"/>
              <w:rPr>
                <w:color w:val="000000" w:themeColor="text1"/>
                <w:sz w:val="16"/>
                <w:szCs w:val="16"/>
              </w:rPr>
            </w:pPr>
          </w:p>
        </w:tc>
        <w:tc>
          <w:tcPr>
            <w:tcW w:w="829" w:type="dxa"/>
          </w:tcPr>
          <w:p w14:paraId="0224A358" w14:textId="77777777" w:rsidR="00AE7191" w:rsidRPr="001E2C69" w:rsidRDefault="00AE7191" w:rsidP="00722885">
            <w:pPr>
              <w:pStyle w:val="Iauiue"/>
              <w:jc w:val="both"/>
              <w:rPr>
                <w:color w:val="000000" w:themeColor="text1"/>
                <w:sz w:val="16"/>
                <w:szCs w:val="16"/>
              </w:rPr>
            </w:pPr>
          </w:p>
        </w:tc>
        <w:tc>
          <w:tcPr>
            <w:tcW w:w="968" w:type="dxa"/>
          </w:tcPr>
          <w:p w14:paraId="529B28C2" w14:textId="77777777" w:rsidR="00AE7191" w:rsidRPr="001E2C69" w:rsidRDefault="00AE7191" w:rsidP="00722885">
            <w:pPr>
              <w:pStyle w:val="Iauiue"/>
              <w:jc w:val="both"/>
              <w:rPr>
                <w:color w:val="000000" w:themeColor="text1"/>
                <w:sz w:val="16"/>
                <w:szCs w:val="16"/>
              </w:rPr>
            </w:pPr>
          </w:p>
        </w:tc>
        <w:tc>
          <w:tcPr>
            <w:tcW w:w="837" w:type="dxa"/>
          </w:tcPr>
          <w:p w14:paraId="25776BE3" w14:textId="77777777" w:rsidR="00AE7191" w:rsidRPr="001E2C69" w:rsidRDefault="00AE7191" w:rsidP="00722885">
            <w:pPr>
              <w:pStyle w:val="Iauiue"/>
              <w:jc w:val="both"/>
              <w:rPr>
                <w:color w:val="000000" w:themeColor="text1"/>
                <w:sz w:val="16"/>
                <w:szCs w:val="16"/>
              </w:rPr>
            </w:pPr>
          </w:p>
        </w:tc>
      </w:tr>
      <w:tr w:rsidR="001E2C69" w:rsidRPr="001E2C69" w14:paraId="6AB4607D" w14:textId="77777777" w:rsidTr="00CC5360">
        <w:tc>
          <w:tcPr>
            <w:tcW w:w="1809" w:type="dxa"/>
          </w:tcPr>
          <w:p w14:paraId="558B1C6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констр. Ильюшина</w:t>
            </w:r>
          </w:p>
        </w:tc>
        <w:tc>
          <w:tcPr>
            <w:tcW w:w="723" w:type="dxa"/>
          </w:tcPr>
          <w:p w14:paraId="54CDC2E2" w14:textId="77777777" w:rsidR="00AE7191" w:rsidRPr="001E2C69" w:rsidRDefault="00AE7191" w:rsidP="00722885">
            <w:pPr>
              <w:pStyle w:val="Iauiue"/>
              <w:jc w:val="both"/>
              <w:rPr>
                <w:color w:val="000000" w:themeColor="text1"/>
                <w:sz w:val="16"/>
                <w:szCs w:val="16"/>
              </w:rPr>
            </w:pPr>
          </w:p>
        </w:tc>
        <w:tc>
          <w:tcPr>
            <w:tcW w:w="862" w:type="dxa"/>
          </w:tcPr>
          <w:p w14:paraId="74BA30AA" w14:textId="77777777" w:rsidR="00AE7191" w:rsidRPr="001E2C69" w:rsidRDefault="00AE7191" w:rsidP="00722885">
            <w:pPr>
              <w:pStyle w:val="Iauiue"/>
              <w:jc w:val="both"/>
              <w:rPr>
                <w:color w:val="000000" w:themeColor="text1"/>
                <w:sz w:val="16"/>
                <w:szCs w:val="16"/>
              </w:rPr>
            </w:pPr>
          </w:p>
        </w:tc>
        <w:tc>
          <w:tcPr>
            <w:tcW w:w="865" w:type="dxa"/>
          </w:tcPr>
          <w:p w14:paraId="25E9DE6C" w14:textId="77777777" w:rsidR="00AE7191" w:rsidRPr="001E2C69" w:rsidRDefault="00AE7191" w:rsidP="00722885">
            <w:pPr>
              <w:pStyle w:val="Iauiue"/>
              <w:jc w:val="both"/>
              <w:rPr>
                <w:color w:val="000000" w:themeColor="text1"/>
                <w:sz w:val="16"/>
                <w:szCs w:val="16"/>
              </w:rPr>
            </w:pPr>
          </w:p>
        </w:tc>
        <w:tc>
          <w:tcPr>
            <w:tcW w:w="692" w:type="dxa"/>
          </w:tcPr>
          <w:p w14:paraId="1806A808" w14:textId="77777777" w:rsidR="00AE7191" w:rsidRPr="001E2C69" w:rsidRDefault="00AE7191" w:rsidP="00722885">
            <w:pPr>
              <w:pStyle w:val="Iauiue"/>
              <w:jc w:val="both"/>
              <w:rPr>
                <w:color w:val="000000" w:themeColor="text1"/>
                <w:sz w:val="16"/>
                <w:szCs w:val="16"/>
              </w:rPr>
            </w:pPr>
          </w:p>
        </w:tc>
        <w:tc>
          <w:tcPr>
            <w:tcW w:w="1371" w:type="dxa"/>
          </w:tcPr>
          <w:p w14:paraId="526909B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боезапасом</w:t>
            </w:r>
          </w:p>
        </w:tc>
        <w:tc>
          <w:tcPr>
            <w:tcW w:w="818" w:type="dxa"/>
          </w:tcPr>
          <w:p w14:paraId="22A72812" w14:textId="77777777" w:rsidR="00AE7191" w:rsidRPr="001E2C69" w:rsidRDefault="00AE7191" w:rsidP="00722885">
            <w:pPr>
              <w:pStyle w:val="Iauiue"/>
              <w:jc w:val="both"/>
              <w:rPr>
                <w:color w:val="000000" w:themeColor="text1"/>
                <w:sz w:val="16"/>
                <w:szCs w:val="16"/>
              </w:rPr>
            </w:pPr>
          </w:p>
        </w:tc>
        <w:tc>
          <w:tcPr>
            <w:tcW w:w="830" w:type="dxa"/>
          </w:tcPr>
          <w:p w14:paraId="01B90BEA" w14:textId="77777777" w:rsidR="00AE7191" w:rsidRPr="001E2C69" w:rsidRDefault="00AE7191" w:rsidP="00722885">
            <w:pPr>
              <w:pStyle w:val="Iauiue"/>
              <w:jc w:val="both"/>
              <w:rPr>
                <w:color w:val="000000" w:themeColor="text1"/>
                <w:sz w:val="16"/>
                <w:szCs w:val="16"/>
              </w:rPr>
            </w:pPr>
          </w:p>
        </w:tc>
        <w:tc>
          <w:tcPr>
            <w:tcW w:w="829" w:type="dxa"/>
          </w:tcPr>
          <w:p w14:paraId="330ACD86" w14:textId="77777777" w:rsidR="00AE7191" w:rsidRPr="001E2C69" w:rsidRDefault="00AE7191" w:rsidP="00722885">
            <w:pPr>
              <w:pStyle w:val="Iauiue"/>
              <w:jc w:val="both"/>
              <w:rPr>
                <w:color w:val="000000" w:themeColor="text1"/>
                <w:sz w:val="16"/>
                <w:szCs w:val="16"/>
              </w:rPr>
            </w:pPr>
          </w:p>
        </w:tc>
        <w:tc>
          <w:tcPr>
            <w:tcW w:w="968" w:type="dxa"/>
          </w:tcPr>
          <w:p w14:paraId="407B6C64" w14:textId="77777777" w:rsidR="00AE7191" w:rsidRPr="001E2C69" w:rsidRDefault="00AE7191" w:rsidP="00722885">
            <w:pPr>
              <w:pStyle w:val="Iauiue"/>
              <w:jc w:val="both"/>
              <w:rPr>
                <w:color w:val="000000" w:themeColor="text1"/>
                <w:sz w:val="16"/>
                <w:szCs w:val="16"/>
              </w:rPr>
            </w:pPr>
          </w:p>
        </w:tc>
        <w:tc>
          <w:tcPr>
            <w:tcW w:w="837" w:type="dxa"/>
          </w:tcPr>
          <w:p w14:paraId="59FA1995" w14:textId="77777777" w:rsidR="00AE7191" w:rsidRPr="001E2C69" w:rsidRDefault="00AE7191" w:rsidP="00722885">
            <w:pPr>
              <w:pStyle w:val="Iauiue"/>
              <w:jc w:val="both"/>
              <w:rPr>
                <w:color w:val="000000" w:themeColor="text1"/>
                <w:sz w:val="16"/>
                <w:szCs w:val="16"/>
              </w:rPr>
            </w:pPr>
          </w:p>
        </w:tc>
      </w:tr>
      <w:tr w:rsidR="001E2C69" w:rsidRPr="001E2C69" w14:paraId="7496913A" w14:textId="77777777" w:rsidTr="00CC5360">
        <w:tc>
          <w:tcPr>
            <w:tcW w:w="1809" w:type="dxa"/>
          </w:tcPr>
          <w:p w14:paraId="24E682D0" w14:textId="77777777" w:rsidR="00AE7191" w:rsidRPr="001E2C69" w:rsidRDefault="00AE7191" w:rsidP="00722885">
            <w:pPr>
              <w:pStyle w:val="Iauiue"/>
              <w:jc w:val="both"/>
              <w:rPr>
                <w:color w:val="000000" w:themeColor="text1"/>
                <w:sz w:val="16"/>
                <w:szCs w:val="16"/>
              </w:rPr>
            </w:pPr>
          </w:p>
        </w:tc>
        <w:tc>
          <w:tcPr>
            <w:tcW w:w="723" w:type="dxa"/>
          </w:tcPr>
          <w:p w14:paraId="3A353284" w14:textId="77777777" w:rsidR="00AE7191" w:rsidRPr="001E2C69" w:rsidRDefault="00AE7191" w:rsidP="00722885">
            <w:pPr>
              <w:pStyle w:val="Iauiue"/>
              <w:jc w:val="both"/>
              <w:rPr>
                <w:color w:val="000000" w:themeColor="text1"/>
                <w:sz w:val="16"/>
                <w:szCs w:val="16"/>
              </w:rPr>
            </w:pPr>
          </w:p>
        </w:tc>
        <w:tc>
          <w:tcPr>
            <w:tcW w:w="862" w:type="dxa"/>
          </w:tcPr>
          <w:p w14:paraId="25DFBA56" w14:textId="77777777" w:rsidR="00AE7191" w:rsidRPr="001E2C69" w:rsidRDefault="00AE7191" w:rsidP="00722885">
            <w:pPr>
              <w:pStyle w:val="Iauiue"/>
              <w:jc w:val="both"/>
              <w:rPr>
                <w:color w:val="000000" w:themeColor="text1"/>
                <w:sz w:val="16"/>
                <w:szCs w:val="16"/>
              </w:rPr>
            </w:pPr>
          </w:p>
        </w:tc>
        <w:tc>
          <w:tcPr>
            <w:tcW w:w="865" w:type="dxa"/>
          </w:tcPr>
          <w:p w14:paraId="12FC3A8E" w14:textId="77777777" w:rsidR="00AE7191" w:rsidRPr="001E2C69" w:rsidRDefault="00AE7191" w:rsidP="00722885">
            <w:pPr>
              <w:pStyle w:val="Iauiue"/>
              <w:jc w:val="both"/>
              <w:rPr>
                <w:color w:val="000000" w:themeColor="text1"/>
                <w:sz w:val="16"/>
                <w:szCs w:val="16"/>
              </w:rPr>
            </w:pPr>
          </w:p>
        </w:tc>
        <w:tc>
          <w:tcPr>
            <w:tcW w:w="692" w:type="dxa"/>
          </w:tcPr>
          <w:p w14:paraId="715F0DBC" w14:textId="77777777" w:rsidR="00AE7191" w:rsidRPr="001E2C69" w:rsidRDefault="00AE7191" w:rsidP="00722885">
            <w:pPr>
              <w:pStyle w:val="Iauiue"/>
              <w:jc w:val="both"/>
              <w:rPr>
                <w:color w:val="000000" w:themeColor="text1"/>
                <w:sz w:val="16"/>
                <w:szCs w:val="16"/>
              </w:rPr>
            </w:pPr>
          </w:p>
        </w:tc>
        <w:tc>
          <w:tcPr>
            <w:tcW w:w="1371" w:type="dxa"/>
          </w:tcPr>
          <w:p w14:paraId="669ECF5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1500 патрон.</w:t>
            </w:r>
          </w:p>
        </w:tc>
        <w:tc>
          <w:tcPr>
            <w:tcW w:w="818" w:type="dxa"/>
          </w:tcPr>
          <w:p w14:paraId="75845786" w14:textId="77777777" w:rsidR="00AE7191" w:rsidRPr="001E2C69" w:rsidRDefault="00AE7191" w:rsidP="00722885">
            <w:pPr>
              <w:pStyle w:val="Iauiue"/>
              <w:jc w:val="both"/>
              <w:rPr>
                <w:color w:val="000000" w:themeColor="text1"/>
                <w:sz w:val="16"/>
                <w:szCs w:val="16"/>
              </w:rPr>
            </w:pPr>
          </w:p>
        </w:tc>
        <w:tc>
          <w:tcPr>
            <w:tcW w:w="830" w:type="dxa"/>
          </w:tcPr>
          <w:p w14:paraId="711EAE9B" w14:textId="77777777" w:rsidR="00AE7191" w:rsidRPr="001E2C69" w:rsidRDefault="00AE7191" w:rsidP="00722885">
            <w:pPr>
              <w:pStyle w:val="Iauiue"/>
              <w:jc w:val="both"/>
              <w:rPr>
                <w:color w:val="000000" w:themeColor="text1"/>
                <w:sz w:val="16"/>
                <w:szCs w:val="16"/>
              </w:rPr>
            </w:pPr>
          </w:p>
        </w:tc>
        <w:tc>
          <w:tcPr>
            <w:tcW w:w="829" w:type="dxa"/>
          </w:tcPr>
          <w:p w14:paraId="411D651F" w14:textId="77777777" w:rsidR="00AE7191" w:rsidRPr="001E2C69" w:rsidRDefault="00AE7191" w:rsidP="00722885">
            <w:pPr>
              <w:pStyle w:val="Iauiue"/>
              <w:jc w:val="both"/>
              <w:rPr>
                <w:color w:val="000000" w:themeColor="text1"/>
                <w:sz w:val="16"/>
                <w:szCs w:val="16"/>
              </w:rPr>
            </w:pPr>
          </w:p>
        </w:tc>
        <w:tc>
          <w:tcPr>
            <w:tcW w:w="968" w:type="dxa"/>
          </w:tcPr>
          <w:p w14:paraId="1FBD36FF" w14:textId="77777777" w:rsidR="00AE7191" w:rsidRPr="001E2C69" w:rsidRDefault="00AE7191" w:rsidP="00722885">
            <w:pPr>
              <w:pStyle w:val="Iauiue"/>
              <w:jc w:val="both"/>
              <w:rPr>
                <w:color w:val="000000" w:themeColor="text1"/>
                <w:sz w:val="16"/>
                <w:szCs w:val="16"/>
              </w:rPr>
            </w:pPr>
          </w:p>
        </w:tc>
        <w:tc>
          <w:tcPr>
            <w:tcW w:w="837" w:type="dxa"/>
          </w:tcPr>
          <w:p w14:paraId="38F39B38" w14:textId="77777777" w:rsidR="00AE7191" w:rsidRPr="001E2C69" w:rsidRDefault="00AE7191" w:rsidP="00722885">
            <w:pPr>
              <w:pStyle w:val="Iauiue"/>
              <w:jc w:val="both"/>
              <w:rPr>
                <w:color w:val="000000" w:themeColor="text1"/>
                <w:sz w:val="16"/>
                <w:szCs w:val="16"/>
              </w:rPr>
            </w:pPr>
          </w:p>
        </w:tc>
      </w:tr>
      <w:tr w:rsidR="001E2C69" w:rsidRPr="001E2C69" w14:paraId="009131E0" w14:textId="77777777" w:rsidTr="00CC5360">
        <w:tc>
          <w:tcPr>
            <w:tcW w:w="1809" w:type="dxa"/>
          </w:tcPr>
          <w:p w14:paraId="4F4E4EC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III. Бомбардировщики.</w:t>
            </w:r>
          </w:p>
        </w:tc>
        <w:tc>
          <w:tcPr>
            <w:tcW w:w="723" w:type="dxa"/>
          </w:tcPr>
          <w:p w14:paraId="0A306FE0" w14:textId="77777777" w:rsidR="00AE7191" w:rsidRPr="001E2C69" w:rsidRDefault="00AE7191" w:rsidP="00722885">
            <w:pPr>
              <w:pStyle w:val="Iauiue"/>
              <w:jc w:val="both"/>
              <w:rPr>
                <w:color w:val="000000" w:themeColor="text1"/>
                <w:sz w:val="16"/>
                <w:szCs w:val="16"/>
              </w:rPr>
            </w:pPr>
          </w:p>
        </w:tc>
        <w:tc>
          <w:tcPr>
            <w:tcW w:w="862" w:type="dxa"/>
          </w:tcPr>
          <w:p w14:paraId="7F40A077" w14:textId="77777777" w:rsidR="00AE7191" w:rsidRPr="001E2C69" w:rsidRDefault="00AE7191" w:rsidP="00722885">
            <w:pPr>
              <w:pStyle w:val="Iauiue"/>
              <w:jc w:val="both"/>
              <w:rPr>
                <w:color w:val="000000" w:themeColor="text1"/>
                <w:sz w:val="16"/>
                <w:szCs w:val="16"/>
              </w:rPr>
            </w:pPr>
          </w:p>
        </w:tc>
        <w:tc>
          <w:tcPr>
            <w:tcW w:w="865" w:type="dxa"/>
          </w:tcPr>
          <w:p w14:paraId="6D58E8FE" w14:textId="77777777" w:rsidR="00AE7191" w:rsidRPr="001E2C69" w:rsidRDefault="00AE7191" w:rsidP="00722885">
            <w:pPr>
              <w:pStyle w:val="Iauiue"/>
              <w:jc w:val="both"/>
              <w:rPr>
                <w:color w:val="000000" w:themeColor="text1"/>
                <w:sz w:val="16"/>
                <w:szCs w:val="16"/>
              </w:rPr>
            </w:pPr>
          </w:p>
        </w:tc>
        <w:tc>
          <w:tcPr>
            <w:tcW w:w="692" w:type="dxa"/>
          </w:tcPr>
          <w:p w14:paraId="06EF4A8B" w14:textId="77777777" w:rsidR="00AE7191" w:rsidRPr="001E2C69" w:rsidRDefault="00AE7191" w:rsidP="00722885">
            <w:pPr>
              <w:pStyle w:val="Iauiue"/>
              <w:jc w:val="both"/>
              <w:rPr>
                <w:color w:val="000000" w:themeColor="text1"/>
                <w:sz w:val="16"/>
                <w:szCs w:val="16"/>
              </w:rPr>
            </w:pPr>
          </w:p>
        </w:tc>
        <w:tc>
          <w:tcPr>
            <w:tcW w:w="1371" w:type="dxa"/>
          </w:tcPr>
          <w:p w14:paraId="250B6A20" w14:textId="77777777" w:rsidR="00AE7191" w:rsidRPr="001E2C69" w:rsidRDefault="00AE7191" w:rsidP="00722885">
            <w:pPr>
              <w:pStyle w:val="Iauiue"/>
              <w:jc w:val="both"/>
              <w:rPr>
                <w:color w:val="000000" w:themeColor="text1"/>
                <w:sz w:val="16"/>
                <w:szCs w:val="16"/>
              </w:rPr>
            </w:pPr>
          </w:p>
        </w:tc>
        <w:tc>
          <w:tcPr>
            <w:tcW w:w="818" w:type="dxa"/>
          </w:tcPr>
          <w:p w14:paraId="41F306DF" w14:textId="77777777" w:rsidR="00AE7191" w:rsidRPr="001E2C69" w:rsidRDefault="00AE7191" w:rsidP="00722885">
            <w:pPr>
              <w:pStyle w:val="Iauiue"/>
              <w:jc w:val="both"/>
              <w:rPr>
                <w:color w:val="000000" w:themeColor="text1"/>
                <w:sz w:val="16"/>
                <w:szCs w:val="16"/>
              </w:rPr>
            </w:pPr>
          </w:p>
        </w:tc>
        <w:tc>
          <w:tcPr>
            <w:tcW w:w="830" w:type="dxa"/>
          </w:tcPr>
          <w:p w14:paraId="235B6A29" w14:textId="77777777" w:rsidR="00AE7191" w:rsidRPr="001E2C69" w:rsidRDefault="00AE7191" w:rsidP="00722885">
            <w:pPr>
              <w:pStyle w:val="Iauiue"/>
              <w:jc w:val="both"/>
              <w:rPr>
                <w:color w:val="000000" w:themeColor="text1"/>
                <w:sz w:val="16"/>
                <w:szCs w:val="16"/>
              </w:rPr>
            </w:pPr>
          </w:p>
        </w:tc>
        <w:tc>
          <w:tcPr>
            <w:tcW w:w="829" w:type="dxa"/>
          </w:tcPr>
          <w:p w14:paraId="050475DF" w14:textId="77777777" w:rsidR="00AE7191" w:rsidRPr="001E2C69" w:rsidRDefault="00AE7191" w:rsidP="00722885">
            <w:pPr>
              <w:pStyle w:val="Iauiue"/>
              <w:jc w:val="both"/>
              <w:rPr>
                <w:color w:val="000000" w:themeColor="text1"/>
                <w:sz w:val="16"/>
                <w:szCs w:val="16"/>
              </w:rPr>
            </w:pPr>
          </w:p>
        </w:tc>
        <w:tc>
          <w:tcPr>
            <w:tcW w:w="968" w:type="dxa"/>
          </w:tcPr>
          <w:p w14:paraId="172AB0B9" w14:textId="77777777" w:rsidR="00AE7191" w:rsidRPr="001E2C69" w:rsidRDefault="00AE7191" w:rsidP="00722885">
            <w:pPr>
              <w:pStyle w:val="Iauiue"/>
              <w:jc w:val="both"/>
              <w:rPr>
                <w:color w:val="000000" w:themeColor="text1"/>
                <w:sz w:val="16"/>
                <w:szCs w:val="16"/>
              </w:rPr>
            </w:pPr>
          </w:p>
        </w:tc>
        <w:tc>
          <w:tcPr>
            <w:tcW w:w="837" w:type="dxa"/>
          </w:tcPr>
          <w:p w14:paraId="5BCA7256" w14:textId="77777777" w:rsidR="00AE7191" w:rsidRPr="001E2C69" w:rsidRDefault="00AE7191" w:rsidP="00722885">
            <w:pPr>
              <w:pStyle w:val="Iauiue"/>
              <w:jc w:val="both"/>
              <w:rPr>
                <w:color w:val="000000" w:themeColor="text1"/>
                <w:sz w:val="16"/>
                <w:szCs w:val="16"/>
              </w:rPr>
            </w:pPr>
          </w:p>
        </w:tc>
      </w:tr>
      <w:tr w:rsidR="001E2C69" w:rsidRPr="001E2C69" w14:paraId="32CBFAAE" w14:textId="77777777" w:rsidTr="00CC5360">
        <w:tc>
          <w:tcPr>
            <w:tcW w:w="1809" w:type="dxa"/>
          </w:tcPr>
          <w:p w14:paraId="5D330FA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Двухмоторный</w:t>
            </w:r>
          </w:p>
        </w:tc>
        <w:tc>
          <w:tcPr>
            <w:tcW w:w="723" w:type="dxa"/>
          </w:tcPr>
          <w:p w14:paraId="0AED4D9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420</w:t>
            </w:r>
          </w:p>
        </w:tc>
        <w:tc>
          <w:tcPr>
            <w:tcW w:w="862" w:type="dxa"/>
          </w:tcPr>
          <w:p w14:paraId="4CC78FA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500/6000</w:t>
            </w:r>
          </w:p>
        </w:tc>
        <w:tc>
          <w:tcPr>
            <w:tcW w:w="865" w:type="dxa"/>
          </w:tcPr>
          <w:p w14:paraId="1EDF9B3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4000/5000</w:t>
            </w:r>
          </w:p>
        </w:tc>
        <w:tc>
          <w:tcPr>
            <w:tcW w:w="692" w:type="dxa"/>
          </w:tcPr>
          <w:p w14:paraId="03517B4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8500</w:t>
            </w:r>
          </w:p>
        </w:tc>
        <w:tc>
          <w:tcPr>
            <w:tcW w:w="1371" w:type="dxa"/>
          </w:tcPr>
          <w:p w14:paraId="67F1EE8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Вперед: 2 пул.</w:t>
            </w:r>
          </w:p>
        </w:tc>
        <w:tc>
          <w:tcPr>
            <w:tcW w:w="818" w:type="dxa"/>
          </w:tcPr>
          <w:p w14:paraId="4759D98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3000/</w:t>
            </w:r>
          </w:p>
        </w:tc>
        <w:tc>
          <w:tcPr>
            <w:tcW w:w="830" w:type="dxa"/>
          </w:tcPr>
          <w:p w14:paraId="5CFA673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w:t>
            </w:r>
          </w:p>
        </w:tc>
        <w:tc>
          <w:tcPr>
            <w:tcW w:w="829" w:type="dxa"/>
          </w:tcPr>
          <w:p w14:paraId="0D56365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w:t>
            </w:r>
          </w:p>
        </w:tc>
        <w:tc>
          <w:tcPr>
            <w:tcW w:w="968" w:type="dxa"/>
          </w:tcPr>
          <w:p w14:paraId="3F6EA80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31.XII.42</w:t>
            </w:r>
          </w:p>
        </w:tc>
        <w:tc>
          <w:tcPr>
            <w:tcW w:w="837" w:type="dxa"/>
          </w:tcPr>
          <w:p w14:paraId="132FFB6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8000</w:t>
            </w:r>
          </w:p>
        </w:tc>
      </w:tr>
      <w:tr w:rsidR="001E2C69" w:rsidRPr="001E2C69" w14:paraId="3D69D5D9" w14:textId="77777777" w:rsidTr="00CC5360">
        <w:tc>
          <w:tcPr>
            <w:tcW w:w="1809" w:type="dxa"/>
          </w:tcPr>
          <w:p w14:paraId="565CA66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дальний бомбард.</w:t>
            </w:r>
          </w:p>
        </w:tc>
        <w:tc>
          <w:tcPr>
            <w:tcW w:w="723" w:type="dxa"/>
          </w:tcPr>
          <w:p w14:paraId="3B6871F1" w14:textId="77777777" w:rsidR="00AE7191" w:rsidRPr="001E2C69" w:rsidRDefault="00AE7191" w:rsidP="00722885">
            <w:pPr>
              <w:pStyle w:val="Iauiue"/>
              <w:jc w:val="both"/>
              <w:rPr>
                <w:color w:val="000000" w:themeColor="text1"/>
                <w:sz w:val="16"/>
                <w:szCs w:val="16"/>
              </w:rPr>
            </w:pPr>
          </w:p>
        </w:tc>
        <w:tc>
          <w:tcPr>
            <w:tcW w:w="862" w:type="dxa"/>
          </w:tcPr>
          <w:p w14:paraId="30E8110E" w14:textId="77777777" w:rsidR="00AE7191" w:rsidRPr="001E2C69" w:rsidRDefault="00AE7191" w:rsidP="00722885">
            <w:pPr>
              <w:pStyle w:val="Iauiue"/>
              <w:jc w:val="both"/>
              <w:rPr>
                <w:color w:val="000000" w:themeColor="text1"/>
                <w:sz w:val="16"/>
                <w:szCs w:val="16"/>
              </w:rPr>
            </w:pPr>
          </w:p>
        </w:tc>
        <w:tc>
          <w:tcPr>
            <w:tcW w:w="865" w:type="dxa"/>
          </w:tcPr>
          <w:p w14:paraId="51E30C25" w14:textId="77777777" w:rsidR="00AE7191" w:rsidRPr="001E2C69" w:rsidRDefault="00AE7191" w:rsidP="00722885">
            <w:pPr>
              <w:pStyle w:val="Iauiue"/>
              <w:jc w:val="both"/>
              <w:rPr>
                <w:color w:val="000000" w:themeColor="text1"/>
                <w:sz w:val="16"/>
                <w:szCs w:val="16"/>
              </w:rPr>
            </w:pPr>
          </w:p>
        </w:tc>
        <w:tc>
          <w:tcPr>
            <w:tcW w:w="692" w:type="dxa"/>
          </w:tcPr>
          <w:p w14:paraId="0E55BAEA" w14:textId="77777777" w:rsidR="00AE7191" w:rsidRPr="001E2C69" w:rsidRDefault="00AE7191" w:rsidP="00722885">
            <w:pPr>
              <w:pStyle w:val="Iauiue"/>
              <w:jc w:val="both"/>
              <w:rPr>
                <w:color w:val="000000" w:themeColor="text1"/>
                <w:sz w:val="16"/>
                <w:szCs w:val="16"/>
              </w:rPr>
            </w:pPr>
          </w:p>
        </w:tc>
        <w:tc>
          <w:tcPr>
            <w:tcW w:w="1371" w:type="dxa"/>
          </w:tcPr>
          <w:p w14:paraId="09F063D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12,7 мм с</w:t>
            </w:r>
          </w:p>
        </w:tc>
        <w:tc>
          <w:tcPr>
            <w:tcW w:w="818" w:type="dxa"/>
          </w:tcPr>
          <w:p w14:paraId="66324DB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2000</w:t>
            </w:r>
          </w:p>
        </w:tc>
        <w:tc>
          <w:tcPr>
            <w:tcW w:w="830" w:type="dxa"/>
          </w:tcPr>
          <w:p w14:paraId="32DBA0C6" w14:textId="77777777" w:rsidR="00AE7191" w:rsidRPr="001E2C69" w:rsidRDefault="00AE7191" w:rsidP="00722885">
            <w:pPr>
              <w:pStyle w:val="Iauiue"/>
              <w:jc w:val="both"/>
              <w:rPr>
                <w:color w:val="000000" w:themeColor="text1"/>
                <w:sz w:val="16"/>
                <w:szCs w:val="16"/>
              </w:rPr>
            </w:pPr>
          </w:p>
        </w:tc>
        <w:tc>
          <w:tcPr>
            <w:tcW w:w="829" w:type="dxa"/>
          </w:tcPr>
          <w:p w14:paraId="2EB3901E" w14:textId="77777777" w:rsidR="00AE7191" w:rsidRPr="001E2C69" w:rsidRDefault="00AE7191" w:rsidP="00722885">
            <w:pPr>
              <w:pStyle w:val="Iauiue"/>
              <w:jc w:val="both"/>
              <w:rPr>
                <w:color w:val="000000" w:themeColor="text1"/>
                <w:sz w:val="16"/>
                <w:szCs w:val="16"/>
              </w:rPr>
            </w:pPr>
          </w:p>
        </w:tc>
        <w:tc>
          <w:tcPr>
            <w:tcW w:w="968" w:type="dxa"/>
          </w:tcPr>
          <w:p w14:paraId="39AC8D9D" w14:textId="77777777" w:rsidR="00AE7191" w:rsidRPr="001E2C69" w:rsidRDefault="00AE7191" w:rsidP="00722885">
            <w:pPr>
              <w:pStyle w:val="Iauiue"/>
              <w:jc w:val="both"/>
              <w:rPr>
                <w:color w:val="000000" w:themeColor="text1"/>
                <w:sz w:val="16"/>
                <w:szCs w:val="16"/>
              </w:rPr>
            </w:pPr>
          </w:p>
        </w:tc>
        <w:tc>
          <w:tcPr>
            <w:tcW w:w="837" w:type="dxa"/>
          </w:tcPr>
          <w:p w14:paraId="2BC19B26" w14:textId="77777777" w:rsidR="00AE7191" w:rsidRPr="001E2C69" w:rsidRDefault="00AE7191" w:rsidP="00722885">
            <w:pPr>
              <w:pStyle w:val="Iauiue"/>
              <w:jc w:val="both"/>
              <w:rPr>
                <w:color w:val="000000" w:themeColor="text1"/>
                <w:sz w:val="16"/>
                <w:szCs w:val="16"/>
              </w:rPr>
            </w:pPr>
          </w:p>
        </w:tc>
      </w:tr>
      <w:tr w:rsidR="001E2C69" w:rsidRPr="001E2C69" w14:paraId="4B14A88B" w14:textId="77777777" w:rsidTr="00CC5360">
        <w:tc>
          <w:tcPr>
            <w:tcW w:w="1809" w:type="dxa"/>
          </w:tcPr>
          <w:p w14:paraId="203DC5E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смешанной констр.</w:t>
            </w:r>
          </w:p>
        </w:tc>
        <w:tc>
          <w:tcPr>
            <w:tcW w:w="723" w:type="dxa"/>
          </w:tcPr>
          <w:p w14:paraId="7CDD906B" w14:textId="77777777" w:rsidR="00AE7191" w:rsidRPr="001E2C69" w:rsidRDefault="00AE7191" w:rsidP="00722885">
            <w:pPr>
              <w:pStyle w:val="Iauiue"/>
              <w:jc w:val="both"/>
              <w:rPr>
                <w:color w:val="000000" w:themeColor="text1"/>
                <w:sz w:val="16"/>
                <w:szCs w:val="16"/>
              </w:rPr>
            </w:pPr>
          </w:p>
        </w:tc>
        <w:tc>
          <w:tcPr>
            <w:tcW w:w="862" w:type="dxa"/>
          </w:tcPr>
          <w:p w14:paraId="5AFA5BD8" w14:textId="77777777" w:rsidR="00AE7191" w:rsidRPr="001E2C69" w:rsidRDefault="00AE7191" w:rsidP="00722885">
            <w:pPr>
              <w:pStyle w:val="Iauiue"/>
              <w:jc w:val="both"/>
              <w:rPr>
                <w:color w:val="000000" w:themeColor="text1"/>
                <w:sz w:val="16"/>
                <w:szCs w:val="16"/>
              </w:rPr>
            </w:pPr>
          </w:p>
        </w:tc>
        <w:tc>
          <w:tcPr>
            <w:tcW w:w="865" w:type="dxa"/>
          </w:tcPr>
          <w:p w14:paraId="51A25ACA" w14:textId="77777777" w:rsidR="00AE7191" w:rsidRPr="001E2C69" w:rsidRDefault="00AE7191" w:rsidP="00722885">
            <w:pPr>
              <w:pStyle w:val="Iauiue"/>
              <w:jc w:val="both"/>
              <w:rPr>
                <w:color w:val="000000" w:themeColor="text1"/>
                <w:sz w:val="16"/>
                <w:szCs w:val="16"/>
              </w:rPr>
            </w:pPr>
          </w:p>
        </w:tc>
        <w:tc>
          <w:tcPr>
            <w:tcW w:w="692" w:type="dxa"/>
          </w:tcPr>
          <w:p w14:paraId="5C81D1BF" w14:textId="77777777" w:rsidR="00AE7191" w:rsidRPr="001E2C69" w:rsidRDefault="00AE7191" w:rsidP="00722885">
            <w:pPr>
              <w:pStyle w:val="Iauiue"/>
              <w:jc w:val="both"/>
              <w:rPr>
                <w:color w:val="000000" w:themeColor="text1"/>
                <w:sz w:val="16"/>
                <w:szCs w:val="16"/>
              </w:rPr>
            </w:pPr>
          </w:p>
        </w:tc>
        <w:tc>
          <w:tcPr>
            <w:tcW w:w="1371" w:type="dxa"/>
          </w:tcPr>
          <w:p w14:paraId="7B58687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боезапасом</w:t>
            </w:r>
          </w:p>
        </w:tc>
        <w:tc>
          <w:tcPr>
            <w:tcW w:w="818" w:type="dxa"/>
          </w:tcPr>
          <w:p w14:paraId="09ACCCDE" w14:textId="77777777" w:rsidR="00AE7191" w:rsidRPr="001E2C69" w:rsidRDefault="00AE7191" w:rsidP="00722885">
            <w:pPr>
              <w:pStyle w:val="Iauiue"/>
              <w:jc w:val="both"/>
              <w:rPr>
                <w:color w:val="000000" w:themeColor="text1"/>
                <w:sz w:val="16"/>
                <w:szCs w:val="16"/>
              </w:rPr>
            </w:pPr>
          </w:p>
        </w:tc>
        <w:tc>
          <w:tcPr>
            <w:tcW w:w="830" w:type="dxa"/>
          </w:tcPr>
          <w:p w14:paraId="453C0B22" w14:textId="77777777" w:rsidR="00AE7191" w:rsidRPr="001E2C69" w:rsidRDefault="00AE7191" w:rsidP="00722885">
            <w:pPr>
              <w:pStyle w:val="Iauiue"/>
              <w:jc w:val="both"/>
              <w:rPr>
                <w:color w:val="000000" w:themeColor="text1"/>
                <w:sz w:val="16"/>
                <w:szCs w:val="16"/>
              </w:rPr>
            </w:pPr>
          </w:p>
        </w:tc>
        <w:tc>
          <w:tcPr>
            <w:tcW w:w="829" w:type="dxa"/>
          </w:tcPr>
          <w:p w14:paraId="2B83F0D1" w14:textId="77777777" w:rsidR="00AE7191" w:rsidRPr="001E2C69" w:rsidRDefault="00AE7191" w:rsidP="00722885">
            <w:pPr>
              <w:pStyle w:val="Iauiue"/>
              <w:jc w:val="both"/>
              <w:rPr>
                <w:color w:val="000000" w:themeColor="text1"/>
                <w:sz w:val="16"/>
                <w:szCs w:val="16"/>
              </w:rPr>
            </w:pPr>
          </w:p>
        </w:tc>
        <w:tc>
          <w:tcPr>
            <w:tcW w:w="968" w:type="dxa"/>
          </w:tcPr>
          <w:p w14:paraId="7FBA571E" w14:textId="77777777" w:rsidR="00AE7191" w:rsidRPr="001E2C69" w:rsidRDefault="00AE7191" w:rsidP="00722885">
            <w:pPr>
              <w:pStyle w:val="Iauiue"/>
              <w:jc w:val="both"/>
              <w:rPr>
                <w:color w:val="000000" w:themeColor="text1"/>
                <w:sz w:val="16"/>
                <w:szCs w:val="16"/>
              </w:rPr>
            </w:pPr>
          </w:p>
        </w:tc>
        <w:tc>
          <w:tcPr>
            <w:tcW w:w="837" w:type="dxa"/>
          </w:tcPr>
          <w:p w14:paraId="2AAD07E5" w14:textId="77777777" w:rsidR="00AE7191" w:rsidRPr="001E2C69" w:rsidRDefault="00AE7191" w:rsidP="00722885">
            <w:pPr>
              <w:pStyle w:val="Iauiue"/>
              <w:jc w:val="both"/>
              <w:rPr>
                <w:color w:val="000000" w:themeColor="text1"/>
                <w:sz w:val="16"/>
                <w:szCs w:val="16"/>
              </w:rPr>
            </w:pPr>
          </w:p>
        </w:tc>
      </w:tr>
      <w:tr w:rsidR="001E2C69" w:rsidRPr="001E2C69" w14:paraId="6383BD36" w14:textId="77777777" w:rsidTr="00CC5360">
        <w:tc>
          <w:tcPr>
            <w:tcW w:w="1809" w:type="dxa"/>
          </w:tcPr>
          <w:p w14:paraId="7292B9D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мот. М-82 или</w:t>
            </w:r>
          </w:p>
        </w:tc>
        <w:tc>
          <w:tcPr>
            <w:tcW w:w="723" w:type="dxa"/>
          </w:tcPr>
          <w:p w14:paraId="01F0ECD7" w14:textId="77777777" w:rsidR="00AE7191" w:rsidRPr="001E2C69" w:rsidRDefault="00AE7191" w:rsidP="00722885">
            <w:pPr>
              <w:pStyle w:val="Iauiue"/>
              <w:jc w:val="both"/>
              <w:rPr>
                <w:color w:val="000000" w:themeColor="text1"/>
                <w:sz w:val="16"/>
                <w:szCs w:val="16"/>
              </w:rPr>
            </w:pPr>
          </w:p>
        </w:tc>
        <w:tc>
          <w:tcPr>
            <w:tcW w:w="862" w:type="dxa"/>
          </w:tcPr>
          <w:p w14:paraId="12BAA556" w14:textId="77777777" w:rsidR="00AE7191" w:rsidRPr="001E2C69" w:rsidRDefault="00AE7191" w:rsidP="00722885">
            <w:pPr>
              <w:pStyle w:val="Iauiue"/>
              <w:jc w:val="both"/>
              <w:rPr>
                <w:color w:val="000000" w:themeColor="text1"/>
                <w:sz w:val="16"/>
                <w:szCs w:val="16"/>
              </w:rPr>
            </w:pPr>
          </w:p>
        </w:tc>
        <w:tc>
          <w:tcPr>
            <w:tcW w:w="865" w:type="dxa"/>
          </w:tcPr>
          <w:p w14:paraId="1D6594AF" w14:textId="77777777" w:rsidR="00AE7191" w:rsidRPr="001E2C69" w:rsidRDefault="00AE7191" w:rsidP="00722885">
            <w:pPr>
              <w:pStyle w:val="Iauiue"/>
              <w:jc w:val="both"/>
              <w:rPr>
                <w:color w:val="000000" w:themeColor="text1"/>
                <w:sz w:val="16"/>
                <w:szCs w:val="16"/>
              </w:rPr>
            </w:pPr>
          </w:p>
        </w:tc>
        <w:tc>
          <w:tcPr>
            <w:tcW w:w="692" w:type="dxa"/>
          </w:tcPr>
          <w:p w14:paraId="5D05D025" w14:textId="77777777" w:rsidR="00AE7191" w:rsidRPr="001E2C69" w:rsidRDefault="00AE7191" w:rsidP="00722885">
            <w:pPr>
              <w:pStyle w:val="Iauiue"/>
              <w:jc w:val="both"/>
              <w:rPr>
                <w:color w:val="000000" w:themeColor="text1"/>
                <w:sz w:val="16"/>
                <w:szCs w:val="16"/>
              </w:rPr>
            </w:pPr>
          </w:p>
        </w:tc>
        <w:tc>
          <w:tcPr>
            <w:tcW w:w="1371" w:type="dxa"/>
          </w:tcPr>
          <w:p w14:paraId="430EFBB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250 патрон.</w:t>
            </w:r>
          </w:p>
        </w:tc>
        <w:tc>
          <w:tcPr>
            <w:tcW w:w="818" w:type="dxa"/>
          </w:tcPr>
          <w:p w14:paraId="30DBD1B5" w14:textId="77777777" w:rsidR="00AE7191" w:rsidRPr="001E2C69" w:rsidRDefault="00AE7191" w:rsidP="00722885">
            <w:pPr>
              <w:pStyle w:val="Iauiue"/>
              <w:jc w:val="both"/>
              <w:rPr>
                <w:color w:val="000000" w:themeColor="text1"/>
                <w:sz w:val="16"/>
                <w:szCs w:val="16"/>
              </w:rPr>
            </w:pPr>
          </w:p>
        </w:tc>
        <w:tc>
          <w:tcPr>
            <w:tcW w:w="830" w:type="dxa"/>
          </w:tcPr>
          <w:p w14:paraId="7C08DD00" w14:textId="77777777" w:rsidR="00AE7191" w:rsidRPr="001E2C69" w:rsidRDefault="00AE7191" w:rsidP="00722885">
            <w:pPr>
              <w:pStyle w:val="Iauiue"/>
              <w:jc w:val="both"/>
              <w:rPr>
                <w:color w:val="000000" w:themeColor="text1"/>
                <w:sz w:val="16"/>
                <w:szCs w:val="16"/>
              </w:rPr>
            </w:pPr>
          </w:p>
        </w:tc>
        <w:tc>
          <w:tcPr>
            <w:tcW w:w="829" w:type="dxa"/>
          </w:tcPr>
          <w:p w14:paraId="7B133771" w14:textId="77777777" w:rsidR="00AE7191" w:rsidRPr="001E2C69" w:rsidRDefault="00AE7191" w:rsidP="00722885">
            <w:pPr>
              <w:pStyle w:val="Iauiue"/>
              <w:jc w:val="both"/>
              <w:rPr>
                <w:color w:val="000000" w:themeColor="text1"/>
                <w:sz w:val="16"/>
                <w:szCs w:val="16"/>
              </w:rPr>
            </w:pPr>
          </w:p>
        </w:tc>
        <w:tc>
          <w:tcPr>
            <w:tcW w:w="968" w:type="dxa"/>
          </w:tcPr>
          <w:p w14:paraId="2B42E05D" w14:textId="77777777" w:rsidR="00AE7191" w:rsidRPr="001E2C69" w:rsidRDefault="00AE7191" w:rsidP="00722885">
            <w:pPr>
              <w:pStyle w:val="Iauiue"/>
              <w:jc w:val="both"/>
              <w:rPr>
                <w:color w:val="000000" w:themeColor="text1"/>
                <w:sz w:val="16"/>
                <w:szCs w:val="16"/>
              </w:rPr>
            </w:pPr>
          </w:p>
        </w:tc>
        <w:tc>
          <w:tcPr>
            <w:tcW w:w="837" w:type="dxa"/>
          </w:tcPr>
          <w:p w14:paraId="3FA6226E" w14:textId="77777777" w:rsidR="00AE7191" w:rsidRPr="001E2C69" w:rsidRDefault="00AE7191" w:rsidP="00722885">
            <w:pPr>
              <w:pStyle w:val="Iauiue"/>
              <w:jc w:val="both"/>
              <w:rPr>
                <w:color w:val="000000" w:themeColor="text1"/>
                <w:sz w:val="16"/>
                <w:szCs w:val="16"/>
              </w:rPr>
            </w:pPr>
          </w:p>
        </w:tc>
      </w:tr>
      <w:tr w:rsidR="001E2C69" w:rsidRPr="001E2C69" w14:paraId="4F2682D7" w14:textId="77777777" w:rsidTr="00CC5360">
        <w:tc>
          <w:tcPr>
            <w:tcW w:w="1809" w:type="dxa"/>
          </w:tcPr>
          <w:p w14:paraId="4FFEA5F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М-71 констр.</w:t>
            </w:r>
          </w:p>
        </w:tc>
        <w:tc>
          <w:tcPr>
            <w:tcW w:w="723" w:type="dxa"/>
          </w:tcPr>
          <w:p w14:paraId="7732F842" w14:textId="77777777" w:rsidR="00AE7191" w:rsidRPr="001E2C69" w:rsidRDefault="00AE7191" w:rsidP="00722885">
            <w:pPr>
              <w:pStyle w:val="Iauiue"/>
              <w:jc w:val="both"/>
              <w:rPr>
                <w:color w:val="000000" w:themeColor="text1"/>
                <w:sz w:val="16"/>
                <w:szCs w:val="16"/>
              </w:rPr>
            </w:pPr>
          </w:p>
        </w:tc>
        <w:tc>
          <w:tcPr>
            <w:tcW w:w="862" w:type="dxa"/>
          </w:tcPr>
          <w:p w14:paraId="796AE6E5" w14:textId="77777777" w:rsidR="00AE7191" w:rsidRPr="001E2C69" w:rsidRDefault="00AE7191" w:rsidP="00722885">
            <w:pPr>
              <w:pStyle w:val="Iauiue"/>
              <w:jc w:val="both"/>
              <w:rPr>
                <w:color w:val="000000" w:themeColor="text1"/>
                <w:sz w:val="16"/>
                <w:szCs w:val="16"/>
              </w:rPr>
            </w:pPr>
          </w:p>
        </w:tc>
        <w:tc>
          <w:tcPr>
            <w:tcW w:w="865" w:type="dxa"/>
          </w:tcPr>
          <w:p w14:paraId="1528E730" w14:textId="77777777" w:rsidR="00AE7191" w:rsidRPr="001E2C69" w:rsidRDefault="00AE7191" w:rsidP="00722885">
            <w:pPr>
              <w:pStyle w:val="Iauiue"/>
              <w:jc w:val="both"/>
              <w:rPr>
                <w:color w:val="000000" w:themeColor="text1"/>
                <w:sz w:val="16"/>
                <w:szCs w:val="16"/>
              </w:rPr>
            </w:pPr>
          </w:p>
        </w:tc>
        <w:tc>
          <w:tcPr>
            <w:tcW w:w="692" w:type="dxa"/>
          </w:tcPr>
          <w:p w14:paraId="5D39E9FD" w14:textId="77777777" w:rsidR="00AE7191" w:rsidRPr="001E2C69" w:rsidRDefault="00AE7191" w:rsidP="00722885">
            <w:pPr>
              <w:pStyle w:val="Iauiue"/>
              <w:jc w:val="both"/>
              <w:rPr>
                <w:color w:val="000000" w:themeColor="text1"/>
                <w:sz w:val="16"/>
                <w:szCs w:val="16"/>
              </w:rPr>
            </w:pPr>
          </w:p>
        </w:tc>
        <w:tc>
          <w:tcPr>
            <w:tcW w:w="1371" w:type="dxa"/>
          </w:tcPr>
          <w:p w14:paraId="11D268A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Назад-вверх:</w:t>
            </w:r>
          </w:p>
        </w:tc>
        <w:tc>
          <w:tcPr>
            <w:tcW w:w="818" w:type="dxa"/>
          </w:tcPr>
          <w:p w14:paraId="50067F8D" w14:textId="77777777" w:rsidR="00AE7191" w:rsidRPr="001E2C69" w:rsidRDefault="00AE7191" w:rsidP="00722885">
            <w:pPr>
              <w:pStyle w:val="Iauiue"/>
              <w:jc w:val="both"/>
              <w:rPr>
                <w:color w:val="000000" w:themeColor="text1"/>
                <w:sz w:val="16"/>
                <w:szCs w:val="16"/>
              </w:rPr>
            </w:pPr>
          </w:p>
        </w:tc>
        <w:tc>
          <w:tcPr>
            <w:tcW w:w="830" w:type="dxa"/>
          </w:tcPr>
          <w:p w14:paraId="245821BC" w14:textId="77777777" w:rsidR="00AE7191" w:rsidRPr="001E2C69" w:rsidRDefault="00AE7191" w:rsidP="00722885">
            <w:pPr>
              <w:pStyle w:val="Iauiue"/>
              <w:jc w:val="both"/>
              <w:rPr>
                <w:color w:val="000000" w:themeColor="text1"/>
                <w:sz w:val="16"/>
                <w:szCs w:val="16"/>
              </w:rPr>
            </w:pPr>
          </w:p>
        </w:tc>
        <w:tc>
          <w:tcPr>
            <w:tcW w:w="829" w:type="dxa"/>
          </w:tcPr>
          <w:p w14:paraId="6412F725" w14:textId="77777777" w:rsidR="00AE7191" w:rsidRPr="001E2C69" w:rsidRDefault="00AE7191" w:rsidP="00722885">
            <w:pPr>
              <w:pStyle w:val="Iauiue"/>
              <w:jc w:val="both"/>
              <w:rPr>
                <w:color w:val="000000" w:themeColor="text1"/>
                <w:sz w:val="16"/>
                <w:szCs w:val="16"/>
              </w:rPr>
            </w:pPr>
          </w:p>
        </w:tc>
        <w:tc>
          <w:tcPr>
            <w:tcW w:w="968" w:type="dxa"/>
          </w:tcPr>
          <w:p w14:paraId="46A03C14" w14:textId="77777777" w:rsidR="00AE7191" w:rsidRPr="001E2C69" w:rsidRDefault="00AE7191" w:rsidP="00722885">
            <w:pPr>
              <w:pStyle w:val="Iauiue"/>
              <w:jc w:val="both"/>
              <w:rPr>
                <w:color w:val="000000" w:themeColor="text1"/>
                <w:sz w:val="16"/>
                <w:szCs w:val="16"/>
              </w:rPr>
            </w:pPr>
          </w:p>
        </w:tc>
        <w:tc>
          <w:tcPr>
            <w:tcW w:w="837" w:type="dxa"/>
          </w:tcPr>
          <w:p w14:paraId="0C2DABDA" w14:textId="77777777" w:rsidR="00AE7191" w:rsidRPr="001E2C69" w:rsidRDefault="00AE7191" w:rsidP="00722885">
            <w:pPr>
              <w:pStyle w:val="Iauiue"/>
              <w:jc w:val="both"/>
              <w:rPr>
                <w:color w:val="000000" w:themeColor="text1"/>
                <w:sz w:val="16"/>
                <w:szCs w:val="16"/>
              </w:rPr>
            </w:pPr>
          </w:p>
        </w:tc>
      </w:tr>
      <w:tr w:rsidR="001E2C69" w:rsidRPr="001E2C69" w14:paraId="5D8F01A4" w14:textId="77777777" w:rsidTr="00CC5360">
        <w:tc>
          <w:tcPr>
            <w:tcW w:w="1809" w:type="dxa"/>
          </w:tcPr>
          <w:p w14:paraId="1376583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Поликарпова</w:t>
            </w:r>
          </w:p>
        </w:tc>
        <w:tc>
          <w:tcPr>
            <w:tcW w:w="723" w:type="dxa"/>
          </w:tcPr>
          <w:p w14:paraId="3E23BF60" w14:textId="77777777" w:rsidR="00AE7191" w:rsidRPr="001E2C69" w:rsidRDefault="00AE7191" w:rsidP="00722885">
            <w:pPr>
              <w:pStyle w:val="Iauiue"/>
              <w:jc w:val="both"/>
              <w:rPr>
                <w:color w:val="000000" w:themeColor="text1"/>
                <w:sz w:val="16"/>
                <w:szCs w:val="16"/>
              </w:rPr>
            </w:pPr>
          </w:p>
        </w:tc>
        <w:tc>
          <w:tcPr>
            <w:tcW w:w="862" w:type="dxa"/>
          </w:tcPr>
          <w:p w14:paraId="7C71ADF2" w14:textId="77777777" w:rsidR="00AE7191" w:rsidRPr="001E2C69" w:rsidRDefault="00AE7191" w:rsidP="00722885">
            <w:pPr>
              <w:pStyle w:val="Iauiue"/>
              <w:jc w:val="both"/>
              <w:rPr>
                <w:color w:val="000000" w:themeColor="text1"/>
                <w:sz w:val="16"/>
                <w:szCs w:val="16"/>
              </w:rPr>
            </w:pPr>
          </w:p>
        </w:tc>
        <w:tc>
          <w:tcPr>
            <w:tcW w:w="865" w:type="dxa"/>
          </w:tcPr>
          <w:p w14:paraId="302B2895" w14:textId="77777777" w:rsidR="00AE7191" w:rsidRPr="001E2C69" w:rsidRDefault="00AE7191" w:rsidP="00722885">
            <w:pPr>
              <w:pStyle w:val="Iauiue"/>
              <w:jc w:val="both"/>
              <w:rPr>
                <w:color w:val="000000" w:themeColor="text1"/>
                <w:sz w:val="16"/>
                <w:szCs w:val="16"/>
              </w:rPr>
            </w:pPr>
          </w:p>
        </w:tc>
        <w:tc>
          <w:tcPr>
            <w:tcW w:w="692" w:type="dxa"/>
          </w:tcPr>
          <w:p w14:paraId="02C0A5CA" w14:textId="77777777" w:rsidR="00AE7191" w:rsidRPr="001E2C69" w:rsidRDefault="00AE7191" w:rsidP="00722885">
            <w:pPr>
              <w:pStyle w:val="Iauiue"/>
              <w:jc w:val="both"/>
              <w:rPr>
                <w:color w:val="000000" w:themeColor="text1"/>
                <w:sz w:val="16"/>
                <w:szCs w:val="16"/>
              </w:rPr>
            </w:pPr>
          </w:p>
        </w:tc>
        <w:tc>
          <w:tcPr>
            <w:tcW w:w="1371" w:type="dxa"/>
          </w:tcPr>
          <w:p w14:paraId="33A4D8B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пулем. 12,7 мм</w:t>
            </w:r>
          </w:p>
        </w:tc>
        <w:tc>
          <w:tcPr>
            <w:tcW w:w="818" w:type="dxa"/>
          </w:tcPr>
          <w:p w14:paraId="561A2C36" w14:textId="77777777" w:rsidR="00AE7191" w:rsidRPr="001E2C69" w:rsidRDefault="00AE7191" w:rsidP="00722885">
            <w:pPr>
              <w:pStyle w:val="Iauiue"/>
              <w:jc w:val="both"/>
              <w:rPr>
                <w:color w:val="000000" w:themeColor="text1"/>
                <w:sz w:val="16"/>
                <w:szCs w:val="16"/>
              </w:rPr>
            </w:pPr>
          </w:p>
        </w:tc>
        <w:tc>
          <w:tcPr>
            <w:tcW w:w="830" w:type="dxa"/>
          </w:tcPr>
          <w:p w14:paraId="451EF4A6" w14:textId="77777777" w:rsidR="00AE7191" w:rsidRPr="001E2C69" w:rsidRDefault="00AE7191" w:rsidP="00722885">
            <w:pPr>
              <w:pStyle w:val="Iauiue"/>
              <w:jc w:val="both"/>
              <w:rPr>
                <w:color w:val="000000" w:themeColor="text1"/>
                <w:sz w:val="16"/>
                <w:szCs w:val="16"/>
              </w:rPr>
            </w:pPr>
          </w:p>
        </w:tc>
        <w:tc>
          <w:tcPr>
            <w:tcW w:w="829" w:type="dxa"/>
          </w:tcPr>
          <w:p w14:paraId="4F9C66C3" w14:textId="77777777" w:rsidR="00AE7191" w:rsidRPr="001E2C69" w:rsidRDefault="00AE7191" w:rsidP="00722885">
            <w:pPr>
              <w:pStyle w:val="Iauiue"/>
              <w:jc w:val="both"/>
              <w:rPr>
                <w:color w:val="000000" w:themeColor="text1"/>
                <w:sz w:val="16"/>
                <w:szCs w:val="16"/>
              </w:rPr>
            </w:pPr>
          </w:p>
        </w:tc>
        <w:tc>
          <w:tcPr>
            <w:tcW w:w="968" w:type="dxa"/>
          </w:tcPr>
          <w:p w14:paraId="3E1F143E" w14:textId="77777777" w:rsidR="00AE7191" w:rsidRPr="001E2C69" w:rsidRDefault="00AE7191" w:rsidP="00722885">
            <w:pPr>
              <w:pStyle w:val="Iauiue"/>
              <w:jc w:val="both"/>
              <w:rPr>
                <w:color w:val="000000" w:themeColor="text1"/>
                <w:sz w:val="16"/>
                <w:szCs w:val="16"/>
              </w:rPr>
            </w:pPr>
          </w:p>
        </w:tc>
        <w:tc>
          <w:tcPr>
            <w:tcW w:w="837" w:type="dxa"/>
          </w:tcPr>
          <w:p w14:paraId="49585A5A" w14:textId="77777777" w:rsidR="00AE7191" w:rsidRPr="001E2C69" w:rsidRDefault="00AE7191" w:rsidP="00722885">
            <w:pPr>
              <w:pStyle w:val="Iauiue"/>
              <w:jc w:val="both"/>
              <w:rPr>
                <w:color w:val="000000" w:themeColor="text1"/>
                <w:sz w:val="16"/>
                <w:szCs w:val="16"/>
              </w:rPr>
            </w:pPr>
          </w:p>
        </w:tc>
      </w:tr>
      <w:tr w:rsidR="001E2C69" w:rsidRPr="001E2C69" w14:paraId="25147931" w14:textId="77777777" w:rsidTr="00CC5360">
        <w:tc>
          <w:tcPr>
            <w:tcW w:w="1809" w:type="dxa"/>
          </w:tcPr>
          <w:p w14:paraId="523ECD57" w14:textId="77777777" w:rsidR="00AE7191" w:rsidRPr="001E2C69" w:rsidRDefault="00AE7191" w:rsidP="00722885">
            <w:pPr>
              <w:pStyle w:val="Iauiue"/>
              <w:jc w:val="both"/>
              <w:rPr>
                <w:color w:val="000000" w:themeColor="text1"/>
                <w:sz w:val="16"/>
                <w:szCs w:val="16"/>
              </w:rPr>
            </w:pPr>
          </w:p>
        </w:tc>
        <w:tc>
          <w:tcPr>
            <w:tcW w:w="723" w:type="dxa"/>
          </w:tcPr>
          <w:p w14:paraId="4E585780" w14:textId="77777777" w:rsidR="00AE7191" w:rsidRPr="001E2C69" w:rsidRDefault="00AE7191" w:rsidP="00722885">
            <w:pPr>
              <w:pStyle w:val="Iauiue"/>
              <w:jc w:val="both"/>
              <w:rPr>
                <w:color w:val="000000" w:themeColor="text1"/>
                <w:sz w:val="16"/>
                <w:szCs w:val="16"/>
              </w:rPr>
            </w:pPr>
          </w:p>
        </w:tc>
        <w:tc>
          <w:tcPr>
            <w:tcW w:w="862" w:type="dxa"/>
          </w:tcPr>
          <w:p w14:paraId="2E219B9F" w14:textId="77777777" w:rsidR="00AE7191" w:rsidRPr="001E2C69" w:rsidRDefault="00AE7191" w:rsidP="00722885">
            <w:pPr>
              <w:pStyle w:val="Iauiue"/>
              <w:jc w:val="both"/>
              <w:rPr>
                <w:color w:val="000000" w:themeColor="text1"/>
                <w:sz w:val="16"/>
                <w:szCs w:val="16"/>
              </w:rPr>
            </w:pPr>
          </w:p>
        </w:tc>
        <w:tc>
          <w:tcPr>
            <w:tcW w:w="865" w:type="dxa"/>
          </w:tcPr>
          <w:p w14:paraId="5A5BFF99" w14:textId="77777777" w:rsidR="00AE7191" w:rsidRPr="001E2C69" w:rsidRDefault="00AE7191" w:rsidP="00722885">
            <w:pPr>
              <w:pStyle w:val="Iauiue"/>
              <w:jc w:val="both"/>
              <w:rPr>
                <w:color w:val="000000" w:themeColor="text1"/>
                <w:sz w:val="16"/>
                <w:szCs w:val="16"/>
              </w:rPr>
            </w:pPr>
          </w:p>
        </w:tc>
        <w:tc>
          <w:tcPr>
            <w:tcW w:w="692" w:type="dxa"/>
          </w:tcPr>
          <w:p w14:paraId="16696C72" w14:textId="77777777" w:rsidR="00AE7191" w:rsidRPr="001E2C69" w:rsidRDefault="00AE7191" w:rsidP="00722885">
            <w:pPr>
              <w:pStyle w:val="Iauiue"/>
              <w:jc w:val="both"/>
              <w:rPr>
                <w:color w:val="000000" w:themeColor="text1"/>
                <w:sz w:val="16"/>
                <w:szCs w:val="16"/>
              </w:rPr>
            </w:pPr>
          </w:p>
        </w:tc>
        <w:tc>
          <w:tcPr>
            <w:tcW w:w="1371" w:type="dxa"/>
          </w:tcPr>
          <w:p w14:paraId="65721F6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боезапасом</w:t>
            </w:r>
          </w:p>
        </w:tc>
        <w:tc>
          <w:tcPr>
            <w:tcW w:w="818" w:type="dxa"/>
          </w:tcPr>
          <w:p w14:paraId="662C02B7" w14:textId="77777777" w:rsidR="00AE7191" w:rsidRPr="001E2C69" w:rsidRDefault="00AE7191" w:rsidP="00722885">
            <w:pPr>
              <w:pStyle w:val="Iauiue"/>
              <w:jc w:val="both"/>
              <w:rPr>
                <w:color w:val="000000" w:themeColor="text1"/>
                <w:sz w:val="16"/>
                <w:szCs w:val="16"/>
              </w:rPr>
            </w:pPr>
          </w:p>
        </w:tc>
        <w:tc>
          <w:tcPr>
            <w:tcW w:w="830" w:type="dxa"/>
          </w:tcPr>
          <w:p w14:paraId="4171252F" w14:textId="77777777" w:rsidR="00AE7191" w:rsidRPr="001E2C69" w:rsidRDefault="00AE7191" w:rsidP="00722885">
            <w:pPr>
              <w:pStyle w:val="Iauiue"/>
              <w:jc w:val="both"/>
              <w:rPr>
                <w:color w:val="000000" w:themeColor="text1"/>
                <w:sz w:val="16"/>
                <w:szCs w:val="16"/>
              </w:rPr>
            </w:pPr>
          </w:p>
        </w:tc>
        <w:tc>
          <w:tcPr>
            <w:tcW w:w="829" w:type="dxa"/>
          </w:tcPr>
          <w:p w14:paraId="2CAC5BD6" w14:textId="77777777" w:rsidR="00AE7191" w:rsidRPr="001E2C69" w:rsidRDefault="00AE7191" w:rsidP="00722885">
            <w:pPr>
              <w:pStyle w:val="Iauiue"/>
              <w:jc w:val="both"/>
              <w:rPr>
                <w:color w:val="000000" w:themeColor="text1"/>
                <w:sz w:val="16"/>
                <w:szCs w:val="16"/>
              </w:rPr>
            </w:pPr>
          </w:p>
        </w:tc>
        <w:tc>
          <w:tcPr>
            <w:tcW w:w="968" w:type="dxa"/>
          </w:tcPr>
          <w:p w14:paraId="6B4BD976" w14:textId="77777777" w:rsidR="00AE7191" w:rsidRPr="001E2C69" w:rsidRDefault="00AE7191" w:rsidP="00722885">
            <w:pPr>
              <w:pStyle w:val="Iauiue"/>
              <w:jc w:val="both"/>
              <w:rPr>
                <w:color w:val="000000" w:themeColor="text1"/>
                <w:sz w:val="16"/>
                <w:szCs w:val="16"/>
              </w:rPr>
            </w:pPr>
          </w:p>
        </w:tc>
        <w:tc>
          <w:tcPr>
            <w:tcW w:w="837" w:type="dxa"/>
          </w:tcPr>
          <w:p w14:paraId="57E270F6" w14:textId="77777777" w:rsidR="00AE7191" w:rsidRPr="001E2C69" w:rsidRDefault="00AE7191" w:rsidP="00722885">
            <w:pPr>
              <w:pStyle w:val="Iauiue"/>
              <w:jc w:val="both"/>
              <w:rPr>
                <w:color w:val="000000" w:themeColor="text1"/>
                <w:sz w:val="16"/>
                <w:szCs w:val="16"/>
              </w:rPr>
            </w:pPr>
          </w:p>
        </w:tc>
      </w:tr>
      <w:tr w:rsidR="001E2C69" w:rsidRPr="001E2C69" w14:paraId="6841637A" w14:textId="77777777" w:rsidTr="00CC5360">
        <w:tc>
          <w:tcPr>
            <w:tcW w:w="1809" w:type="dxa"/>
          </w:tcPr>
          <w:p w14:paraId="1D7A0EE4" w14:textId="77777777" w:rsidR="00AE7191" w:rsidRPr="001E2C69" w:rsidRDefault="00AE7191" w:rsidP="00722885">
            <w:pPr>
              <w:pStyle w:val="Iauiue"/>
              <w:jc w:val="both"/>
              <w:rPr>
                <w:color w:val="000000" w:themeColor="text1"/>
                <w:sz w:val="16"/>
                <w:szCs w:val="16"/>
              </w:rPr>
            </w:pPr>
          </w:p>
        </w:tc>
        <w:tc>
          <w:tcPr>
            <w:tcW w:w="723" w:type="dxa"/>
          </w:tcPr>
          <w:p w14:paraId="6E99FC3E" w14:textId="77777777" w:rsidR="00AE7191" w:rsidRPr="001E2C69" w:rsidRDefault="00AE7191" w:rsidP="00722885">
            <w:pPr>
              <w:pStyle w:val="Iauiue"/>
              <w:jc w:val="both"/>
              <w:rPr>
                <w:color w:val="000000" w:themeColor="text1"/>
                <w:sz w:val="16"/>
                <w:szCs w:val="16"/>
              </w:rPr>
            </w:pPr>
          </w:p>
        </w:tc>
        <w:tc>
          <w:tcPr>
            <w:tcW w:w="862" w:type="dxa"/>
          </w:tcPr>
          <w:p w14:paraId="246ED84D" w14:textId="77777777" w:rsidR="00AE7191" w:rsidRPr="001E2C69" w:rsidRDefault="00AE7191" w:rsidP="00722885">
            <w:pPr>
              <w:pStyle w:val="Iauiue"/>
              <w:jc w:val="both"/>
              <w:rPr>
                <w:color w:val="000000" w:themeColor="text1"/>
                <w:sz w:val="16"/>
                <w:szCs w:val="16"/>
              </w:rPr>
            </w:pPr>
          </w:p>
        </w:tc>
        <w:tc>
          <w:tcPr>
            <w:tcW w:w="865" w:type="dxa"/>
          </w:tcPr>
          <w:p w14:paraId="4B6CCC87" w14:textId="77777777" w:rsidR="00AE7191" w:rsidRPr="001E2C69" w:rsidRDefault="00AE7191" w:rsidP="00722885">
            <w:pPr>
              <w:pStyle w:val="Iauiue"/>
              <w:jc w:val="both"/>
              <w:rPr>
                <w:color w:val="000000" w:themeColor="text1"/>
                <w:sz w:val="16"/>
                <w:szCs w:val="16"/>
              </w:rPr>
            </w:pPr>
          </w:p>
        </w:tc>
        <w:tc>
          <w:tcPr>
            <w:tcW w:w="692" w:type="dxa"/>
          </w:tcPr>
          <w:p w14:paraId="27EF269E" w14:textId="77777777" w:rsidR="00AE7191" w:rsidRPr="001E2C69" w:rsidRDefault="00AE7191" w:rsidP="00722885">
            <w:pPr>
              <w:pStyle w:val="Iauiue"/>
              <w:jc w:val="both"/>
              <w:rPr>
                <w:color w:val="000000" w:themeColor="text1"/>
                <w:sz w:val="16"/>
                <w:szCs w:val="16"/>
              </w:rPr>
            </w:pPr>
          </w:p>
        </w:tc>
        <w:tc>
          <w:tcPr>
            <w:tcW w:w="1371" w:type="dxa"/>
          </w:tcPr>
          <w:p w14:paraId="1CA9517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200 патрон.</w:t>
            </w:r>
          </w:p>
        </w:tc>
        <w:tc>
          <w:tcPr>
            <w:tcW w:w="818" w:type="dxa"/>
          </w:tcPr>
          <w:p w14:paraId="26A81D4D" w14:textId="77777777" w:rsidR="00AE7191" w:rsidRPr="001E2C69" w:rsidRDefault="00AE7191" w:rsidP="00722885">
            <w:pPr>
              <w:pStyle w:val="Iauiue"/>
              <w:jc w:val="both"/>
              <w:rPr>
                <w:color w:val="000000" w:themeColor="text1"/>
                <w:sz w:val="16"/>
                <w:szCs w:val="16"/>
              </w:rPr>
            </w:pPr>
          </w:p>
        </w:tc>
        <w:tc>
          <w:tcPr>
            <w:tcW w:w="830" w:type="dxa"/>
          </w:tcPr>
          <w:p w14:paraId="1A78D43D" w14:textId="77777777" w:rsidR="00AE7191" w:rsidRPr="001E2C69" w:rsidRDefault="00AE7191" w:rsidP="00722885">
            <w:pPr>
              <w:pStyle w:val="Iauiue"/>
              <w:jc w:val="both"/>
              <w:rPr>
                <w:color w:val="000000" w:themeColor="text1"/>
                <w:sz w:val="16"/>
                <w:szCs w:val="16"/>
              </w:rPr>
            </w:pPr>
          </w:p>
        </w:tc>
        <w:tc>
          <w:tcPr>
            <w:tcW w:w="829" w:type="dxa"/>
          </w:tcPr>
          <w:p w14:paraId="2872E3A8" w14:textId="77777777" w:rsidR="00AE7191" w:rsidRPr="001E2C69" w:rsidRDefault="00AE7191" w:rsidP="00722885">
            <w:pPr>
              <w:pStyle w:val="Iauiue"/>
              <w:jc w:val="both"/>
              <w:rPr>
                <w:color w:val="000000" w:themeColor="text1"/>
                <w:sz w:val="16"/>
                <w:szCs w:val="16"/>
              </w:rPr>
            </w:pPr>
          </w:p>
        </w:tc>
        <w:tc>
          <w:tcPr>
            <w:tcW w:w="968" w:type="dxa"/>
          </w:tcPr>
          <w:p w14:paraId="5A94600C" w14:textId="77777777" w:rsidR="00AE7191" w:rsidRPr="001E2C69" w:rsidRDefault="00AE7191" w:rsidP="00722885">
            <w:pPr>
              <w:pStyle w:val="Iauiue"/>
              <w:jc w:val="both"/>
              <w:rPr>
                <w:color w:val="000000" w:themeColor="text1"/>
                <w:sz w:val="16"/>
                <w:szCs w:val="16"/>
              </w:rPr>
            </w:pPr>
          </w:p>
        </w:tc>
        <w:tc>
          <w:tcPr>
            <w:tcW w:w="837" w:type="dxa"/>
          </w:tcPr>
          <w:p w14:paraId="09359929" w14:textId="77777777" w:rsidR="00AE7191" w:rsidRPr="001E2C69" w:rsidRDefault="00AE7191" w:rsidP="00722885">
            <w:pPr>
              <w:pStyle w:val="Iauiue"/>
              <w:jc w:val="both"/>
              <w:rPr>
                <w:color w:val="000000" w:themeColor="text1"/>
                <w:sz w:val="16"/>
                <w:szCs w:val="16"/>
              </w:rPr>
            </w:pPr>
          </w:p>
        </w:tc>
      </w:tr>
      <w:tr w:rsidR="001E2C69" w:rsidRPr="001E2C69" w14:paraId="759483F1" w14:textId="77777777" w:rsidTr="00CC5360">
        <w:tc>
          <w:tcPr>
            <w:tcW w:w="1809" w:type="dxa"/>
          </w:tcPr>
          <w:p w14:paraId="2F923842" w14:textId="77777777" w:rsidR="00AE7191" w:rsidRPr="001E2C69" w:rsidRDefault="00AE7191" w:rsidP="00722885">
            <w:pPr>
              <w:pStyle w:val="Iauiue"/>
              <w:jc w:val="both"/>
              <w:rPr>
                <w:color w:val="000000" w:themeColor="text1"/>
                <w:sz w:val="16"/>
                <w:szCs w:val="16"/>
              </w:rPr>
            </w:pPr>
          </w:p>
        </w:tc>
        <w:tc>
          <w:tcPr>
            <w:tcW w:w="723" w:type="dxa"/>
          </w:tcPr>
          <w:p w14:paraId="1784F5E6" w14:textId="77777777" w:rsidR="00AE7191" w:rsidRPr="001E2C69" w:rsidRDefault="00AE7191" w:rsidP="00722885">
            <w:pPr>
              <w:pStyle w:val="Iauiue"/>
              <w:jc w:val="both"/>
              <w:rPr>
                <w:color w:val="000000" w:themeColor="text1"/>
                <w:sz w:val="16"/>
                <w:szCs w:val="16"/>
              </w:rPr>
            </w:pPr>
          </w:p>
        </w:tc>
        <w:tc>
          <w:tcPr>
            <w:tcW w:w="862" w:type="dxa"/>
          </w:tcPr>
          <w:p w14:paraId="62DA3BB0" w14:textId="77777777" w:rsidR="00AE7191" w:rsidRPr="001E2C69" w:rsidRDefault="00AE7191" w:rsidP="00722885">
            <w:pPr>
              <w:pStyle w:val="Iauiue"/>
              <w:jc w:val="both"/>
              <w:rPr>
                <w:color w:val="000000" w:themeColor="text1"/>
                <w:sz w:val="16"/>
                <w:szCs w:val="16"/>
              </w:rPr>
            </w:pPr>
          </w:p>
        </w:tc>
        <w:tc>
          <w:tcPr>
            <w:tcW w:w="865" w:type="dxa"/>
          </w:tcPr>
          <w:p w14:paraId="6930C58C" w14:textId="77777777" w:rsidR="00AE7191" w:rsidRPr="001E2C69" w:rsidRDefault="00AE7191" w:rsidP="00722885">
            <w:pPr>
              <w:pStyle w:val="Iauiue"/>
              <w:jc w:val="both"/>
              <w:rPr>
                <w:color w:val="000000" w:themeColor="text1"/>
                <w:sz w:val="16"/>
                <w:szCs w:val="16"/>
              </w:rPr>
            </w:pPr>
          </w:p>
        </w:tc>
        <w:tc>
          <w:tcPr>
            <w:tcW w:w="692" w:type="dxa"/>
          </w:tcPr>
          <w:p w14:paraId="0F177A4F" w14:textId="77777777" w:rsidR="00AE7191" w:rsidRPr="001E2C69" w:rsidRDefault="00AE7191" w:rsidP="00722885">
            <w:pPr>
              <w:pStyle w:val="Iauiue"/>
              <w:jc w:val="both"/>
              <w:rPr>
                <w:color w:val="000000" w:themeColor="text1"/>
                <w:sz w:val="16"/>
                <w:szCs w:val="16"/>
              </w:rPr>
            </w:pPr>
          </w:p>
        </w:tc>
        <w:tc>
          <w:tcPr>
            <w:tcW w:w="1371" w:type="dxa"/>
          </w:tcPr>
          <w:p w14:paraId="12BBD22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Люковая:</w:t>
            </w:r>
          </w:p>
        </w:tc>
        <w:tc>
          <w:tcPr>
            <w:tcW w:w="818" w:type="dxa"/>
          </w:tcPr>
          <w:p w14:paraId="4A794D59" w14:textId="77777777" w:rsidR="00AE7191" w:rsidRPr="001E2C69" w:rsidRDefault="00AE7191" w:rsidP="00722885">
            <w:pPr>
              <w:pStyle w:val="Iauiue"/>
              <w:jc w:val="both"/>
              <w:rPr>
                <w:color w:val="000000" w:themeColor="text1"/>
                <w:sz w:val="16"/>
                <w:szCs w:val="16"/>
              </w:rPr>
            </w:pPr>
          </w:p>
        </w:tc>
        <w:tc>
          <w:tcPr>
            <w:tcW w:w="830" w:type="dxa"/>
          </w:tcPr>
          <w:p w14:paraId="2A9937DC" w14:textId="77777777" w:rsidR="00AE7191" w:rsidRPr="001E2C69" w:rsidRDefault="00AE7191" w:rsidP="00722885">
            <w:pPr>
              <w:pStyle w:val="Iauiue"/>
              <w:jc w:val="both"/>
              <w:rPr>
                <w:color w:val="000000" w:themeColor="text1"/>
                <w:sz w:val="16"/>
                <w:szCs w:val="16"/>
              </w:rPr>
            </w:pPr>
          </w:p>
        </w:tc>
        <w:tc>
          <w:tcPr>
            <w:tcW w:w="829" w:type="dxa"/>
          </w:tcPr>
          <w:p w14:paraId="5300B54F" w14:textId="77777777" w:rsidR="00AE7191" w:rsidRPr="001E2C69" w:rsidRDefault="00AE7191" w:rsidP="00722885">
            <w:pPr>
              <w:pStyle w:val="Iauiue"/>
              <w:jc w:val="both"/>
              <w:rPr>
                <w:color w:val="000000" w:themeColor="text1"/>
                <w:sz w:val="16"/>
                <w:szCs w:val="16"/>
              </w:rPr>
            </w:pPr>
          </w:p>
        </w:tc>
        <w:tc>
          <w:tcPr>
            <w:tcW w:w="968" w:type="dxa"/>
          </w:tcPr>
          <w:p w14:paraId="5D386EFD" w14:textId="77777777" w:rsidR="00AE7191" w:rsidRPr="001E2C69" w:rsidRDefault="00AE7191" w:rsidP="00722885">
            <w:pPr>
              <w:pStyle w:val="Iauiue"/>
              <w:jc w:val="both"/>
              <w:rPr>
                <w:color w:val="000000" w:themeColor="text1"/>
                <w:sz w:val="16"/>
                <w:szCs w:val="16"/>
              </w:rPr>
            </w:pPr>
          </w:p>
        </w:tc>
        <w:tc>
          <w:tcPr>
            <w:tcW w:w="837" w:type="dxa"/>
          </w:tcPr>
          <w:p w14:paraId="5906D133" w14:textId="77777777" w:rsidR="00AE7191" w:rsidRPr="001E2C69" w:rsidRDefault="00AE7191" w:rsidP="00722885">
            <w:pPr>
              <w:pStyle w:val="Iauiue"/>
              <w:jc w:val="both"/>
              <w:rPr>
                <w:color w:val="000000" w:themeColor="text1"/>
                <w:sz w:val="16"/>
                <w:szCs w:val="16"/>
              </w:rPr>
            </w:pPr>
          </w:p>
        </w:tc>
      </w:tr>
      <w:tr w:rsidR="001E2C69" w:rsidRPr="001E2C69" w14:paraId="786A37BD" w14:textId="77777777" w:rsidTr="00CC5360">
        <w:tc>
          <w:tcPr>
            <w:tcW w:w="1809" w:type="dxa"/>
          </w:tcPr>
          <w:p w14:paraId="5D969C66" w14:textId="77777777" w:rsidR="00AE7191" w:rsidRPr="001E2C69" w:rsidRDefault="00AE7191" w:rsidP="00722885">
            <w:pPr>
              <w:pStyle w:val="Iauiue"/>
              <w:jc w:val="both"/>
              <w:rPr>
                <w:color w:val="000000" w:themeColor="text1"/>
                <w:sz w:val="16"/>
                <w:szCs w:val="16"/>
              </w:rPr>
            </w:pPr>
          </w:p>
        </w:tc>
        <w:tc>
          <w:tcPr>
            <w:tcW w:w="723" w:type="dxa"/>
          </w:tcPr>
          <w:p w14:paraId="75FAEBF7" w14:textId="77777777" w:rsidR="00AE7191" w:rsidRPr="001E2C69" w:rsidRDefault="00AE7191" w:rsidP="00722885">
            <w:pPr>
              <w:pStyle w:val="Iauiue"/>
              <w:jc w:val="both"/>
              <w:rPr>
                <w:color w:val="000000" w:themeColor="text1"/>
                <w:sz w:val="16"/>
                <w:szCs w:val="16"/>
              </w:rPr>
            </w:pPr>
          </w:p>
        </w:tc>
        <w:tc>
          <w:tcPr>
            <w:tcW w:w="862" w:type="dxa"/>
          </w:tcPr>
          <w:p w14:paraId="363B46B0" w14:textId="77777777" w:rsidR="00AE7191" w:rsidRPr="001E2C69" w:rsidRDefault="00AE7191" w:rsidP="00722885">
            <w:pPr>
              <w:pStyle w:val="Iauiue"/>
              <w:jc w:val="both"/>
              <w:rPr>
                <w:color w:val="000000" w:themeColor="text1"/>
                <w:sz w:val="16"/>
                <w:szCs w:val="16"/>
              </w:rPr>
            </w:pPr>
          </w:p>
        </w:tc>
        <w:tc>
          <w:tcPr>
            <w:tcW w:w="865" w:type="dxa"/>
          </w:tcPr>
          <w:p w14:paraId="1B138D68" w14:textId="77777777" w:rsidR="00AE7191" w:rsidRPr="001E2C69" w:rsidRDefault="00AE7191" w:rsidP="00722885">
            <w:pPr>
              <w:pStyle w:val="Iauiue"/>
              <w:jc w:val="both"/>
              <w:rPr>
                <w:color w:val="000000" w:themeColor="text1"/>
                <w:sz w:val="16"/>
                <w:szCs w:val="16"/>
              </w:rPr>
            </w:pPr>
          </w:p>
        </w:tc>
        <w:tc>
          <w:tcPr>
            <w:tcW w:w="692" w:type="dxa"/>
          </w:tcPr>
          <w:p w14:paraId="58247C7D" w14:textId="77777777" w:rsidR="00AE7191" w:rsidRPr="001E2C69" w:rsidRDefault="00AE7191" w:rsidP="00722885">
            <w:pPr>
              <w:pStyle w:val="Iauiue"/>
              <w:jc w:val="both"/>
              <w:rPr>
                <w:color w:val="000000" w:themeColor="text1"/>
                <w:sz w:val="16"/>
                <w:szCs w:val="16"/>
              </w:rPr>
            </w:pPr>
          </w:p>
        </w:tc>
        <w:tc>
          <w:tcPr>
            <w:tcW w:w="1371" w:type="dxa"/>
          </w:tcPr>
          <w:p w14:paraId="0AC8999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пулем. 12,7 мм</w:t>
            </w:r>
          </w:p>
        </w:tc>
        <w:tc>
          <w:tcPr>
            <w:tcW w:w="818" w:type="dxa"/>
          </w:tcPr>
          <w:p w14:paraId="4CB9B31D" w14:textId="77777777" w:rsidR="00AE7191" w:rsidRPr="001E2C69" w:rsidRDefault="00AE7191" w:rsidP="00722885">
            <w:pPr>
              <w:pStyle w:val="Iauiue"/>
              <w:jc w:val="both"/>
              <w:rPr>
                <w:color w:val="000000" w:themeColor="text1"/>
                <w:sz w:val="16"/>
                <w:szCs w:val="16"/>
              </w:rPr>
            </w:pPr>
          </w:p>
        </w:tc>
        <w:tc>
          <w:tcPr>
            <w:tcW w:w="830" w:type="dxa"/>
          </w:tcPr>
          <w:p w14:paraId="0B193748" w14:textId="77777777" w:rsidR="00AE7191" w:rsidRPr="001E2C69" w:rsidRDefault="00AE7191" w:rsidP="00722885">
            <w:pPr>
              <w:pStyle w:val="Iauiue"/>
              <w:jc w:val="both"/>
              <w:rPr>
                <w:color w:val="000000" w:themeColor="text1"/>
                <w:sz w:val="16"/>
                <w:szCs w:val="16"/>
              </w:rPr>
            </w:pPr>
          </w:p>
        </w:tc>
        <w:tc>
          <w:tcPr>
            <w:tcW w:w="829" w:type="dxa"/>
          </w:tcPr>
          <w:p w14:paraId="616A6D2B" w14:textId="77777777" w:rsidR="00AE7191" w:rsidRPr="001E2C69" w:rsidRDefault="00AE7191" w:rsidP="00722885">
            <w:pPr>
              <w:pStyle w:val="Iauiue"/>
              <w:jc w:val="both"/>
              <w:rPr>
                <w:color w:val="000000" w:themeColor="text1"/>
                <w:sz w:val="16"/>
                <w:szCs w:val="16"/>
              </w:rPr>
            </w:pPr>
          </w:p>
        </w:tc>
        <w:tc>
          <w:tcPr>
            <w:tcW w:w="968" w:type="dxa"/>
          </w:tcPr>
          <w:p w14:paraId="4AEAE44F" w14:textId="77777777" w:rsidR="00AE7191" w:rsidRPr="001E2C69" w:rsidRDefault="00AE7191" w:rsidP="00722885">
            <w:pPr>
              <w:pStyle w:val="Iauiue"/>
              <w:jc w:val="both"/>
              <w:rPr>
                <w:color w:val="000000" w:themeColor="text1"/>
                <w:sz w:val="16"/>
                <w:szCs w:val="16"/>
              </w:rPr>
            </w:pPr>
          </w:p>
        </w:tc>
        <w:tc>
          <w:tcPr>
            <w:tcW w:w="837" w:type="dxa"/>
          </w:tcPr>
          <w:p w14:paraId="304594CD" w14:textId="77777777" w:rsidR="00AE7191" w:rsidRPr="001E2C69" w:rsidRDefault="00AE7191" w:rsidP="00722885">
            <w:pPr>
              <w:pStyle w:val="Iauiue"/>
              <w:jc w:val="both"/>
              <w:rPr>
                <w:color w:val="000000" w:themeColor="text1"/>
                <w:sz w:val="16"/>
                <w:szCs w:val="16"/>
              </w:rPr>
            </w:pPr>
          </w:p>
        </w:tc>
      </w:tr>
      <w:tr w:rsidR="001E2C69" w:rsidRPr="001E2C69" w14:paraId="36AB0429" w14:textId="77777777" w:rsidTr="00CC5360">
        <w:tc>
          <w:tcPr>
            <w:tcW w:w="1809" w:type="dxa"/>
          </w:tcPr>
          <w:p w14:paraId="1DE94180" w14:textId="77777777" w:rsidR="00AE7191" w:rsidRPr="001E2C69" w:rsidRDefault="00AE7191" w:rsidP="00722885">
            <w:pPr>
              <w:pStyle w:val="Iauiue"/>
              <w:jc w:val="both"/>
              <w:rPr>
                <w:color w:val="000000" w:themeColor="text1"/>
                <w:sz w:val="16"/>
                <w:szCs w:val="16"/>
              </w:rPr>
            </w:pPr>
          </w:p>
        </w:tc>
        <w:tc>
          <w:tcPr>
            <w:tcW w:w="723" w:type="dxa"/>
          </w:tcPr>
          <w:p w14:paraId="18829E73" w14:textId="77777777" w:rsidR="00AE7191" w:rsidRPr="001E2C69" w:rsidRDefault="00AE7191" w:rsidP="00722885">
            <w:pPr>
              <w:pStyle w:val="Iauiue"/>
              <w:jc w:val="both"/>
              <w:rPr>
                <w:color w:val="000000" w:themeColor="text1"/>
                <w:sz w:val="16"/>
                <w:szCs w:val="16"/>
              </w:rPr>
            </w:pPr>
          </w:p>
        </w:tc>
        <w:tc>
          <w:tcPr>
            <w:tcW w:w="862" w:type="dxa"/>
          </w:tcPr>
          <w:p w14:paraId="6605582C" w14:textId="77777777" w:rsidR="00AE7191" w:rsidRPr="001E2C69" w:rsidRDefault="00AE7191" w:rsidP="00722885">
            <w:pPr>
              <w:pStyle w:val="Iauiue"/>
              <w:jc w:val="both"/>
              <w:rPr>
                <w:color w:val="000000" w:themeColor="text1"/>
                <w:sz w:val="16"/>
                <w:szCs w:val="16"/>
              </w:rPr>
            </w:pPr>
          </w:p>
        </w:tc>
        <w:tc>
          <w:tcPr>
            <w:tcW w:w="865" w:type="dxa"/>
          </w:tcPr>
          <w:p w14:paraId="76148B3D" w14:textId="77777777" w:rsidR="00AE7191" w:rsidRPr="001E2C69" w:rsidRDefault="00AE7191" w:rsidP="00722885">
            <w:pPr>
              <w:pStyle w:val="Iauiue"/>
              <w:jc w:val="both"/>
              <w:rPr>
                <w:color w:val="000000" w:themeColor="text1"/>
                <w:sz w:val="16"/>
                <w:szCs w:val="16"/>
              </w:rPr>
            </w:pPr>
          </w:p>
        </w:tc>
        <w:tc>
          <w:tcPr>
            <w:tcW w:w="692" w:type="dxa"/>
          </w:tcPr>
          <w:p w14:paraId="0D2E9BA6" w14:textId="77777777" w:rsidR="00AE7191" w:rsidRPr="001E2C69" w:rsidRDefault="00AE7191" w:rsidP="00722885">
            <w:pPr>
              <w:pStyle w:val="Iauiue"/>
              <w:jc w:val="both"/>
              <w:rPr>
                <w:color w:val="000000" w:themeColor="text1"/>
                <w:sz w:val="16"/>
                <w:szCs w:val="16"/>
              </w:rPr>
            </w:pPr>
          </w:p>
        </w:tc>
        <w:tc>
          <w:tcPr>
            <w:tcW w:w="1371" w:type="dxa"/>
          </w:tcPr>
          <w:p w14:paraId="5015E5C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боезапасом</w:t>
            </w:r>
          </w:p>
        </w:tc>
        <w:tc>
          <w:tcPr>
            <w:tcW w:w="818" w:type="dxa"/>
          </w:tcPr>
          <w:p w14:paraId="731CDF27" w14:textId="77777777" w:rsidR="00AE7191" w:rsidRPr="001E2C69" w:rsidRDefault="00AE7191" w:rsidP="00722885">
            <w:pPr>
              <w:pStyle w:val="Iauiue"/>
              <w:jc w:val="both"/>
              <w:rPr>
                <w:color w:val="000000" w:themeColor="text1"/>
                <w:sz w:val="16"/>
                <w:szCs w:val="16"/>
              </w:rPr>
            </w:pPr>
          </w:p>
        </w:tc>
        <w:tc>
          <w:tcPr>
            <w:tcW w:w="830" w:type="dxa"/>
          </w:tcPr>
          <w:p w14:paraId="35A9CF88" w14:textId="77777777" w:rsidR="00AE7191" w:rsidRPr="001E2C69" w:rsidRDefault="00AE7191" w:rsidP="00722885">
            <w:pPr>
              <w:pStyle w:val="Iauiue"/>
              <w:jc w:val="both"/>
              <w:rPr>
                <w:color w:val="000000" w:themeColor="text1"/>
                <w:sz w:val="16"/>
                <w:szCs w:val="16"/>
              </w:rPr>
            </w:pPr>
          </w:p>
        </w:tc>
        <w:tc>
          <w:tcPr>
            <w:tcW w:w="829" w:type="dxa"/>
          </w:tcPr>
          <w:p w14:paraId="4E8B71B1" w14:textId="77777777" w:rsidR="00AE7191" w:rsidRPr="001E2C69" w:rsidRDefault="00AE7191" w:rsidP="00722885">
            <w:pPr>
              <w:pStyle w:val="Iauiue"/>
              <w:jc w:val="both"/>
              <w:rPr>
                <w:color w:val="000000" w:themeColor="text1"/>
                <w:sz w:val="16"/>
                <w:szCs w:val="16"/>
              </w:rPr>
            </w:pPr>
          </w:p>
        </w:tc>
        <w:tc>
          <w:tcPr>
            <w:tcW w:w="968" w:type="dxa"/>
          </w:tcPr>
          <w:p w14:paraId="5695729C" w14:textId="77777777" w:rsidR="00AE7191" w:rsidRPr="001E2C69" w:rsidRDefault="00AE7191" w:rsidP="00722885">
            <w:pPr>
              <w:pStyle w:val="Iauiue"/>
              <w:jc w:val="both"/>
              <w:rPr>
                <w:color w:val="000000" w:themeColor="text1"/>
                <w:sz w:val="16"/>
                <w:szCs w:val="16"/>
              </w:rPr>
            </w:pPr>
          </w:p>
        </w:tc>
        <w:tc>
          <w:tcPr>
            <w:tcW w:w="837" w:type="dxa"/>
          </w:tcPr>
          <w:p w14:paraId="3E5AA64F" w14:textId="77777777" w:rsidR="00AE7191" w:rsidRPr="001E2C69" w:rsidRDefault="00AE7191" w:rsidP="00722885">
            <w:pPr>
              <w:pStyle w:val="Iauiue"/>
              <w:jc w:val="both"/>
              <w:rPr>
                <w:color w:val="000000" w:themeColor="text1"/>
                <w:sz w:val="16"/>
                <w:szCs w:val="16"/>
              </w:rPr>
            </w:pPr>
          </w:p>
        </w:tc>
      </w:tr>
      <w:tr w:rsidR="001E2C69" w:rsidRPr="001E2C69" w14:paraId="727318DF" w14:textId="77777777" w:rsidTr="00CC5360">
        <w:tc>
          <w:tcPr>
            <w:tcW w:w="1809" w:type="dxa"/>
          </w:tcPr>
          <w:p w14:paraId="59CB5C1B" w14:textId="77777777" w:rsidR="00AE7191" w:rsidRPr="001E2C69" w:rsidRDefault="00AE7191" w:rsidP="00722885">
            <w:pPr>
              <w:pStyle w:val="Iauiue"/>
              <w:jc w:val="both"/>
              <w:rPr>
                <w:color w:val="000000" w:themeColor="text1"/>
                <w:sz w:val="16"/>
                <w:szCs w:val="16"/>
              </w:rPr>
            </w:pPr>
          </w:p>
        </w:tc>
        <w:tc>
          <w:tcPr>
            <w:tcW w:w="723" w:type="dxa"/>
          </w:tcPr>
          <w:p w14:paraId="69994F06" w14:textId="77777777" w:rsidR="00AE7191" w:rsidRPr="001E2C69" w:rsidRDefault="00AE7191" w:rsidP="00722885">
            <w:pPr>
              <w:pStyle w:val="Iauiue"/>
              <w:jc w:val="both"/>
              <w:rPr>
                <w:color w:val="000000" w:themeColor="text1"/>
                <w:sz w:val="16"/>
                <w:szCs w:val="16"/>
              </w:rPr>
            </w:pPr>
          </w:p>
        </w:tc>
        <w:tc>
          <w:tcPr>
            <w:tcW w:w="862" w:type="dxa"/>
          </w:tcPr>
          <w:p w14:paraId="39798381" w14:textId="77777777" w:rsidR="00AE7191" w:rsidRPr="001E2C69" w:rsidRDefault="00AE7191" w:rsidP="00722885">
            <w:pPr>
              <w:pStyle w:val="Iauiue"/>
              <w:jc w:val="both"/>
              <w:rPr>
                <w:color w:val="000000" w:themeColor="text1"/>
                <w:sz w:val="16"/>
                <w:szCs w:val="16"/>
              </w:rPr>
            </w:pPr>
          </w:p>
        </w:tc>
        <w:tc>
          <w:tcPr>
            <w:tcW w:w="865" w:type="dxa"/>
          </w:tcPr>
          <w:p w14:paraId="05B6BC0A" w14:textId="77777777" w:rsidR="00AE7191" w:rsidRPr="001E2C69" w:rsidRDefault="00AE7191" w:rsidP="00722885">
            <w:pPr>
              <w:pStyle w:val="Iauiue"/>
              <w:jc w:val="both"/>
              <w:rPr>
                <w:color w:val="000000" w:themeColor="text1"/>
                <w:sz w:val="16"/>
                <w:szCs w:val="16"/>
              </w:rPr>
            </w:pPr>
          </w:p>
        </w:tc>
        <w:tc>
          <w:tcPr>
            <w:tcW w:w="692" w:type="dxa"/>
          </w:tcPr>
          <w:p w14:paraId="4E588CBF" w14:textId="77777777" w:rsidR="00AE7191" w:rsidRPr="001E2C69" w:rsidRDefault="00AE7191" w:rsidP="00722885">
            <w:pPr>
              <w:pStyle w:val="Iauiue"/>
              <w:jc w:val="both"/>
              <w:rPr>
                <w:color w:val="000000" w:themeColor="text1"/>
                <w:sz w:val="16"/>
                <w:szCs w:val="16"/>
              </w:rPr>
            </w:pPr>
          </w:p>
        </w:tc>
        <w:tc>
          <w:tcPr>
            <w:tcW w:w="1371" w:type="dxa"/>
          </w:tcPr>
          <w:p w14:paraId="361C4F4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200 патрон.</w:t>
            </w:r>
          </w:p>
        </w:tc>
        <w:tc>
          <w:tcPr>
            <w:tcW w:w="818" w:type="dxa"/>
          </w:tcPr>
          <w:p w14:paraId="771B4DF5" w14:textId="77777777" w:rsidR="00AE7191" w:rsidRPr="001E2C69" w:rsidRDefault="00AE7191" w:rsidP="00722885">
            <w:pPr>
              <w:pStyle w:val="Iauiue"/>
              <w:jc w:val="both"/>
              <w:rPr>
                <w:color w:val="000000" w:themeColor="text1"/>
                <w:sz w:val="16"/>
                <w:szCs w:val="16"/>
              </w:rPr>
            </w:pPr>
          </w:p>
        </w:tc>
        <w:tc>
          <w:tcPr>
            <w:tcW w:w="830" w:type="dxa"/>
          </w:tcPr>
          <w:p w14:paraId="6D8A9C0C" w14:textId="77777777" w:rsidR="00AE7191" w:rsidRPr="001E2C69" w:rsidRDefault="00AE7191" w:rsidP="00722885">
            <w:pPr>
              <w:pStyle w:val="Iauiue"/>
              <w:jc w:val="both"/>
              <w:rPr>
                <w:color w:val="000000" w:themeColor="text1"/>
                <w:sz w:val="16"/>
                <w:szCs w:val="16"/>
              </w:rPr>
            </w:pPr>
          </w:p>
        </w:tc>
        <w:tc>
          <w:tcPr>
            <w:tcW w:w="829" w:type="dxa"/>
          </w:tcPr>
          <w:p w14:paraId="799175DC" w14:textId="77777777" w:rsidR="00AE7191" w:rsidRPr="001E2C69" w:rsidRDefault="00AE7191" w:rsidP="00722885">
            <w:pPr>
              <w:pStyle w:val="Iauiue"/>
              <w:jc w:val="both"/>
              <w:rPr>
                <w:color w:val="000000" w:themeColor="text1"/>
                <w:sz w:val="16"/>
                <w:szCs w:val="16"/>
              </w:rPr>
            </w:pPr>
          </w:p>
        </w:tc>
        <w:tc>
          <w:tcPr>
            <w:tcW w:w="968" w:type="dxa"/>
          </w:tcPr>
          <w:p w14:paraId="5C6382B7" w14:textId="77777777" w:rsidR="00AE7191" w:rsidRPr="001E2C69" w:rsidRDefault="00AE7191" w:rsidP="00722885">
            <w:pPr>
              <w:pStyle w:val="Iauiue"/>
              <w:jc w:val="both"/>
              <w:rPr>
                <w:color w:val="000000" w:themeColor="text1"/>
                <w:sz w:val="16"/>
                <w:szCs w:val="16"/>
              </w:rPr>
            </w:pPr>
          </w:p>
        </w:tc>
        <w:tc>
          <w:tcPr>
            <w:tcW w:w="837" w:type="dxa"/>
          </w:tcPr>
          <w:p w14:paraId="709A81D1" w14:textId="77777777" w:rsidR="00AE7191" w:rsidRPr="001E2C69" w:rsidRDefault="00AE7191" w:rsidP="00722885">
            <w:pPr>
              <w:pStyle w:val="Iauiue"/>
              <w:jc w:val="both"/>
              <w:rPr>
                <w:color w:val="000000" w:themeColor="text1"/>
                <w:sz w:val="16"/>
                <w:szCs w:val="16"/>
              </w:rPr>
            </w:pPr>
          </w:p>
        </w:tc>
      </w:tr>
      <w:tr w:rsidR="001E2C69" w:rsidRPr="001E2C69" w14:paraId="65B32BD9" w14:textId="77777777" w:rsidTr="00CC5360">
        <w:tc>
          <w:tcPr>
            <w:tcW w:w="1809" w:type="dxa"/>
          </w:tcPr>
          <w:p w14:paraId="448E1D3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 Двухмоторный</w:t>
            </w:r>
          </w:p>
        </w:tc>
        <w:tc>
          <w:tcPr>
            <w:tcW w:w="723" w:type="dxa"/>
          </w:tcPr>
          <w:p w14:paraId="1B03D11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400</w:t>
            </w:r>
          </w:p>
        </w:tc>
        <w:tc>
          <w:tcPr>
            <w:tcW w:w="862" w:type="dxa"/>
          </w:tcPr>
          <w:p w14:paraId="7C7896A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510/7000</w:t>
            </w:r>
          </w:p>
        </w:tc>
        <w:tc>
          <w:tcPr>
            <w:tcW w:w="865" w:type="dxa"/>
          </w:tcPr>
          <w:p w14:paraId="39393D5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3000/4000</w:t>
            </w:r>
          </w:p>
        </w:tc>
        <w:tc>
          <w:tcPr>
            <w:tcW w:w="692" w:type="dxa"/>
          </w:tcPr>
          <w:p w14:paraId="63F3325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9500</w:t>
            </w:r>
          </w:p>
        </w:tc>
        <w:tc>
          <w:tcPr>
            <w:tcW w:w="1371" w:type="dxa"/>
          </w:tcPr>
          <w:p w14:paraId="03DFC1A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Вперед:</w:t>
            </w:r>
          </w:p>
        </w:tc>
        <w:tc>
          <w:tcPr>
            <w:tcW w:w="818" w:type="dxa"/>
          </w:tcPr>
          <w:p w14:paraId="3A14C90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3000/</w:t>
            </w:r>
          </w:p>
        </w:tc>
        <w:tc>
          <w:tcPr>
            <w:tcW w:w="830" w:type="dxa"/>
          </w:tcPr>
          <w:p w14:paraId="4A72106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w:t>
            </w:r>
          </w:p>
        </w:tc>
        <w:tc>
          <w:tcPr>
            <w:tcW w:w="829" w:type="dxa"/>
          </w:tcPr>
          <w:p w14:paraId="14ED067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w:t>
            </w:r>
          </w:p>
        </w:tc>
        <w:tc>
          <w:tcPr>
            <w:tcW w:w="968" w:type="dxa"/>
          </w:tcPr>
          <w:p w14:paraId="641E713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1.III.43</w:t>
            </w:r>
          </w:p>
        </w:tc>
        <w:tc>
          <w:tcPr>
            <w:tcW w:w="837" w:type="dxa"/>
          </w:tcPr>
          <w:p w14:paraId="7EE9AD8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10000</w:t>
            </w:r>
          </w:p>
        </w:tc>
      </w:tr>
      <w:tr w:rsidR="001E2C69" w:rsidRPr="001E2C69" w14:paraId="08583875" w14:textId="77777777" w:rsidTr="00CC5360">
        <w:tc>
          <w:tcPr>
            <w:tcW w:w="1809" w:type="dxa"/>
          </w:tcPr>
          <w:p w14:paraId="25A5FDF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дальний бомбард.</w:t>
            </w:r>
          </w:p>
        </w:tc>
        <w:tc>
          <w:tcPr>
            <w:tcW w:w="723" w:type="dxa"/>
          </w:tcPr>
          <w:p w14:paraId="6C0D00A3" w14:textId="77777777" w:rsidR="00AE7191" w:rsidRPr="001E2C69" w:rsidRDefault="00AE7191" w:rsidP="00722885">
            <w:pPr>
              <w:pStyle w:val="Iauiue"/>
              <w:jc w:val="both"/>
              <w:rPr>
                <w:color w:val="000000" w:themeColor="text1"/>
                <w:sz w:val="16"/>
                <w:szCs w:val="16"/>
              </w:rPr>
            </w:pPr>
          </w:p>
        </w:tc>
        <w:tc>
          <w:tcPr>
            <w:tcW w:w="862" w:type="dxa"/>
          </w:tcPr>
          <w:p w14:paraId="49DE5C7C" w14:textId="77777777" w:rsidR="00AE7191" w:rsidRPr="001E2C69" w:rsidRDefault="00AE7191" w:rsidP="00722885">
            <w:pPr>
              <w:pStyle w:val="Iauiue"/>
              <w:jc w:val="both"/>
              <w:rPr>
                <w:color w:val="000000" w:themeColor="text1"/>
                <w:sz w:val="16"/>
                <w:szCs w:val="16"/>
              </w:rPr>
            </w:pPr>
          </w:p>
        </w:tc>
        <w:tc>
          <w:tcPr>
            <w:tcW w:w="865" w:type="dxa"/>
          </w:tcPr>
          <w:p w14:paraId="728ED0D8" w14:textId="77777777" w:rsidR="00AE7191" w:rsidRPr="001E2C69" w:rsidRDefault="00AE7191" w:rsidP="00722885">
            <w:pPr>
              <w:pStyle w:val="Iauiue"/>
              <w:jc w:val="both"/>
              <w:rPr>
                <w:color w:val="000000" w:themeColor="text1"/>
                <w:sz w:val="16"/>
                <w:szCs w:val="16"/>
              </w:rPr>
            </w:pPr>
          </w:p>
        </w:tc>
        <w:tc>
          <w:tcPr>
            <w:tcW w:w="692" w:type="dxa"/>
          </w:tcPr>
          <w:p w14:paraId="6BEED977" w14:textId="77777777" w:rsidR="00AE7191" w:rsidRPr="001E2C69" w:rsidRDefault="00AE7191" w:rsidP="00722885">
            <w:pPr>
              <w:pStyle w:val="Iauiue"/>
              <w:jc w:val="both"/>
              <w:rPr>
                <w:color w:val="000000" w:themeColor="text1"/>
                <w:sz w:val="16"/>
                <w:szCs w:val="16"/>
              </w:rPr>
            </w:pPr>
          </w:p>
        </w:tc>
        <w:tc>
          <w:tcPr>
            <w:tcW w:w="1371" w:type="dxa"/>
          </w:tcPr>
          <w:p w14:paraId="451992C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пулем. 12,7 мм</w:t>
            </w:r>
          </w:p>
        </w:tc>
        <w:tc>
          <w:tcPr>
            <w:tcW w:w="818" w:type="dxa"/>
          </w:tcPr>
          <w:p w14:paraId="011FDEF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2000</w:t>
            </w:r>
          </w:p>
        </w:tc>
        <w:tc>
          <w:tcPr>
            <w:tcW w:w="830" w:type="dxa"/>
          </w:tcPr>
          <w:p w14:paraId="3EB87B73" w14:textId="77777777" w:rsidR="00AE7191" w:rsidRPr="001E2C69" w:rsidRDefault="00AE7191" w:rsidP="00722885">
            <w:pPr>
              <w:pStyle w:val="Iauiue"/>
              <w:jc w:val="both"/>
              <w:rPr>
                <w:color w:val="000000" w:themeColor="text1"/>
                <w:sz w:val="16"/>
                <w:szCs w:val="16"/>
              </w:rPr>
            </w:pPr>
          </w:p>
        </w:tc>
        <w:tc>
          <w:tcPr>
            <w:tcW w:w="829" w:type="dxa"/>
          </w:tcPr>
          <w:p w14:paraId="4664B196" w14:textId="77777777" w:rsidR="00AE7191" w:rsidRPr="001E2C69" w:rsidRDefault="00AE7191" w:rsidP="00722885">
            <w:pPr>
              <w:pStyle w:val="Iauiue"/>
              <w:jc w:val="both"/>
              <w:rPr>
                <w:color w:val="000000" w:themeColor="text1"/>
                <w:sz w:val="16"/>
                <w:szCs w:val="16"/>
              </w:rPr>
            </w:pPr>
          </w:p>
        </w:tc>
        <w:tc>
          <w:tcPr>
            <w:tcW w:w="968" w:type="dxa"/>
          </w:tcPr>
          <w:p w14:paraId="1FFD9F63" w14:textId="77777777" w:rsidR="00AE7191" w:rsidRPr="001E2C69" w:rsidRDefault="00AE7191" w:rsidP="00722885">
            <w:pPr>
              <w:pStyle w:val="Iauiue"/>
              <w:jc w:val="both"/>
              <w:rPr>
                <w:color w:val="000000" w:themeColor="text1"/>
                <w:sz w:val="16"/>
                <w:szCs w:val="16"/>
              </w:rPr>
            </w:pPr>
          </w:p>
        </w:tc>
        <w:tc>
          <w:tcPr>
            <w:tcW w:w="837" w:type="dxa"/>
          </w:tcPr>
          <w:p w14:paraId="5FD84EE9" w14:textId="77777777" w:rsidR="00AE7191" w:rsidRPr="001E2C69" w:rsidRDefault="00AE7191" w:rsidP="00722885">
            <w:pPr>
              <w:pStyle w:val="Iauiue"/>
              <w:jc w:val="both"/>
              <w:rPr>
                <w:color w:val="000000" w:themeColor="text1"/>
                <w:sz w:val="16"/>
                <w:szCs w:val="16"/>
              </w:rPr>
            </w:pPr>
          </w:p>
        </w:tc>
      </w:tr>
      <w:tr w:rsidR="001E2C69" w:rsidRPr="001E2C69" w14:paraId="4A5731B2" w14:textId="77777777" w:rsidTr="00CC5360">
        <w:tc>
          <w:tcPr>
            <w:tcW w:w="1809" w:type="dxa"/>
          </w:tcPr>
          <w:p w14:paraId="3B7AA4F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смешанной констр.</w:t>
            </w:r>
          </w:p>
        </w:tc>
        <w:tc>
          <w:tcPr>
            <w:tcW w:w="723" w:type="dxa"/>
          </w:tcPr>
          <w:p w14:paraId="6B18587F" w14:textId="77777777" w:rsidR="00AE7191" w:rsidRPr="001E2C69" w:rsidRDefault="00AE7191" w:rsidP="00722885">
            <w:pPr>
              <w:pStyle w:val="Iauiue"/>
              <w:jc w:val="both"/>
              <w:rPr>
                <w:color w:val="000000" w:themeColor="text1"/>
                <w:sz w:val="16"/>
                <w:szCs w:val="16"/>
              </w:rPr>
            </w:pPr>
          </w:p>
        </w:tc>
        <w:tc>
          <w:tcPr>
            <w:tcW w:w="862" w:type="dxa"/>
          </w:tcPr>
          <w:p w14:paraId="2007F121" w14:textId="77777777" w:rsidR="00AE7191" w:rsidRPr="001E2C69" w:rsidRDefault="00AE7191" w:rsidP="00722885">
            <w:pPr>
              <w:pStyle w:val="Iauiue"/>
              <w:jc w:val="both"/>
              <w:rPr>
                <w:color w:val="000000" w:themeColor="text1"/>
                <w:sz w:val="16"/>
                <w:szCs w:val="16"/>
              </w:rPr>
            </w:pPr>
          </w:p>
        </w:tc>
        <w:tc>
          <w:tcPr>
            <w:tcW w:w="865" w:type="dxa"/>
          </w:tcPr>
          <w:p w14:paraId="6BBA5587" w14:textId="77777777" w:rsidR="00AE7191" w:rsidRPr="001E2C69" w:rsidRDefault="00AE7191" w:rsidP="00722885">
            <w:pPr>
              <w:pStyle w:val="Iauiue"/>
              <w:jc w:val="both"/>
              <w:rPr>
                <w:color w:val="000000" w:themeColor="text1"/>
                <w:sz w:val="16"/>
                <w:szCs w:val="16"/>
              </w:rPr>
            </w:pPr>
          </w:p>
        </w:tc>
        <w:tc>
          <w:tcPr>
            <w:tcW w:w="692" w:type="dxa"/>
          </w:tcPr>
          <w:p w14:paraId="66701460" w14:textId="77777777" w:rsidR="00AE7191" w:rsidRPr="001E2C69" w:rsidRDefault="00AE7191" w:rsidP="00722885">
            <w:pPr>
              <w:pStyle w:val="Iauiue"/>
              <w:jc w:val="both"/>
              <w:rPr>
                <w:color w:val="000000" w:themeColor="text1"/>
                <w:sz w:val="16"/>
                <w:szCs w:val="16"/>
              </w:rPr>
            </w:pPr>
          </w:p>
        </w:tc>
        <w:tc>
          <w:tcPr>
            <w:tcW w:w="1371" w:type="dxa"/>
          </w:tcPr>
          <w:p w14:paraId="74CA9C4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боезапасом</w:t>
            </w:r>
          </w:p>
        </w:tc>
        <w:tc>
          <w:tcPr>
            <w:tcW w:w="818" w:type="dxa"/>
          </w:tcPr>
          <w:p w14:paraId="1BDA8E90" w14:textId="77777777" w:rsidR="00AE7191" w:rsidRPr="001E2C69" w:rsidRDefault="00AE7191" w:rsidP="00722885">
            <w:pPr>
              <w:pStyle w:val="Iauiue"/>
              <w:jc w:val="both"/>
              <w:rPr>
                <w:color w:val="000000" w:themeColor="text1"/>
                <w:sz w:val="16"/>
                <w:szCs w:val="16"/>
              </w:rPr>
            </w:pPr>
          </w:p>
        </w:tc>
        <w:tc>
          <w:tcPr>
            <w:tcW w:w="830" w:type="dxa"/>
          </w:tcPr>
          <w:p w14:paraId="2A9BEF79" w14:textId="77777777" w:rsidR="00AE7191" w:rsidRPr="001E2C69" w:rsidRDefault="00AE7191" w:rsidP="00722885">
            <w:pPr>
              <w:pStyle w:val="Iauiue"/>
              <w:jc w:val="both"/>
              <w:rPr>
                <w:color w:val="000000" w:themeColor="text1"/>
                <w:sz w:val="16"/>
                <w:szCs w:val="16"/>
              </w:rPr>
            </w:pPr>
          </w:p>
        </w:tc>
        <w:tc>
          <w:tcPr>
            <w:tcW w:w="829" w:type="dxa"/>
          </w:tcPr>
          <w:p w14:paraId="3B3EC189" w14:textId="77777777" w:rsidR="00AE7191" w:rsidRPr="001E2C69" w:rsidRDefault="00AE7191" w:rsidP="00722885">
            <w:pPr>
              <w:pStyle w:val="Iauiue"/>
              <w:jc w:val="both"/>
              <w:rPr>
                <w:color w:val="000000" w:themeColor="text1"/>
                <w:sz w:val="16"/>
                <w:szCs w:val="16"/>
              </w:rPr>
            </w:pPr>
          </w:p>
        </w:tc>
        <w:tc>
          <w:tcPr>
            <w:tcW w:w="968" w:type="dxa"/>
          </w:tcPr>
          <w:p w14:paraId="719370AB" w14:textId="77777777" w:rsidR="00AE7191" w:rsidRPr="001E2C69" w:rsidRDefault="00AE7191" w:rsidP="00722885">
            <w:pPr>
              <w:pStyle w:val="Iauiue"/>
              <w:jc w:val="both"/>
              <w:rPr>
                <w:color w:val="000000" w:themeColor="text1"/>
                <w:sz w:val="16"/>
                <w:szCs w:val="16"/>
              </w:rPr>
            </w:pPr>
          </w:p>
        </w:tc>
        <w:tc>
          <w:tcPr>
            <w:tcW w:w="837" w:type="dxa"/>
          </w:tcPr>
          <w:p w14:paraId="40565066" w14:textId="77777777" w:rsidR="00AE7191" w:rsidRPr="001E2C69" w:rsidRDefault="00AE7191" w:rsidP="00722885">
            <w:pPr>
              <w:pStyle w:val="Iauiue"/>
              <w:jc w:val="both"/>
              <w:rPr>
                <w:color w:val="000000" w:themeColor="text1"/>
                <w:sz w:val="16"/>
                <w:szCs w:val="16"/>
              </w:rPr>
            </w:pPr>
          </w:p>
        </w:tc>
      </w:tr>
      <w:tr w:rsidR="001E2C69" w:rsidRPr="001E2C69" w14:paraId="75900A8C" w14:textId="77777777" w:rsidTr="00CC5360">
        <w:tc>
          <w:tcPr>
            <w:tcW w:w="1809" w:type="dxa"/>
          </w:tcPr>
          <w:p w14:paraId="0E1A4EF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мот. АМ-39</w:t>
            </w:r>
          </w:p>
        </w:tc>
        <w:tc>
          <w:tcPr>
            <w:tcW w:w="723" w:type="dxa"/>
          </w:tcPr>
          <w:p w14:paraId="2252F56D" w14:textId="77777777" w:rsidR="00AE7191" w:rsidRPr="001E2C69" w:rsidRDefault="00AE7191" w:rsidP="00722885">
            <w:pPr>
              <w:pStyle w:val="Iauiue"/>
              <w:jc w:val="both"/>
              <w:rPr>
                <w:color w:val="000000" w:themeColor="text1"/>
                <w:sz w:val="16"/>
                <w:szCs w:val="16"/>
              </w:rPr>
            </w:pPr>
          </w:p>
        </w:tc>
        <w:tc>
          <w:tcPr>
            <w:tcW w:w="862" w:type="dxa"/>
          </w:tcPr>
          <w:p w14:paraId="639E1ED4" w14:textId="77777777" w:rsidR="00AE7191" w:rsidRPr="001E2C69" w:rsidRDefault="00AE7191" w:rsidP="00722885">
            <w:pPr>
              <w:pStyle w:val="Iauiue"/>
              <w:jc w:val="both"/>
              <w:rPr>
                <w:color w:val="000000" w:themeColor="text1"/>
                <w:sz w:val="16"/>
                <w:szCs w:val="16"/>
              </w:rPr>
            </w:pPr>
          </w:p>
        </w:tc>
        <w:tc>
          <w:tcPr>
            <w:tcW w:w="865" w:type="dxa"/>
          </w:tcPr>
          <w:p w14:paraId="441188C0" w14:textId="77777777" w:rsidR="00AE7191" w:rsidRPr="001E2C69" w:rsidRDefault="00AE7191" w:rsidP="00722885">
            <w:pPr>
              <w:pStyle w:val="Iauiue"/>
              <w:jc w:val="both"/>
              <w:rPr>
                <w:color w:val="000000" w:themeColor="text1"/>
                <w:sz w:val="16"/>
                <w:szCs w:val="16"/>
              </w:rPr>
            </w:pPr>
          </w:p>
        </w:tc>
        <w:tc>
          <w:tcPr>
            <w:tcW w:w="692" w:type="dxa"/>
          </w:tcPr>
          <w:p w14:paraId="6FB81081" w14:textId="77777777" w:rsidR="00AE7191" w:rsidRPr="001E2C69" w:rsidRDefault="00AE7191" w:rsidP="00722885">
            <w:pPr>
              <w:pStyle w:val="Iauiue"/>
              <w:jc w:val="both"/>
              <w:rPr>
                <w:color w:val="000000" w:themeColor="text1"/>
                <w:sz w:val="16"/>
                <w:szCs w:val="16"/>
              </w:rPr>
            </w:pPr>
          </w:p>
        </w:tc>
        <w:tc>
          <w:tcPr>
            <w:tcW w:w="1371" w:type="dxa"/>
          </w:tcPr>
          <w:p w14:paraId="035E0E2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225 патрон.</w:t>
            </w:r>
          </w:p>
        </w:tc>
        <w:tc>
          <w:tcPr>
            <w:tcW w:w="818" w:type="dxa"/>
          </w:tcPr>
          <w:p w14:paraId="4A51367F" w14:textId="77777777" w:rsidR="00AE7191" w:rsidRPr="001E2C69" w:rsidRDefault="00AE7191" w:rsidP="00722885">
            <w:pPr>
              <w:pStyle w:val="Iauiue"/>
              <w:jc w:val="both"/>
              <w:rPr>
                <w:color w:val="000000" w:themeColor="text1"/>
                <w:sz w:val="16"/>
                <w:szCs w:val="16"/>
              </w:rPr>
            </w:pPr>
          </w:p>
        </w:tc>
        <w:tc>
          <w:tcPr>
            <w:tcW w:w="830" w:type="dxa"/>
          </w:tcPr>
          <w:p w14:paraId="28A4818D" w14:textId="77777777" w:rsidR="00AE7191" w:rsidRPr="001E2C69" w:rsidRDefault="00AE7191" w:rsidP="00722885">
            <w:pPr>
              <w:pStyle w:val="Iauiue"/>
              <w:jc w:val="both"/>
              <w:rPr>
                <w:color w:val="000000" w:themeColor="text1"/>
                <w:sz w:val="16"/>
                <w:szCs w:val="16"/>
              </w:rPr>
            </w:pPr>
          </w:p>
        </w:tc>
        <w:tc>
          <w:tcPr>
            <w:tcW w:w="829" w:type="dxa"/>
          </w:tcPr>
          <w:p w14:paraId="4A0AC8C7" w14:textId="77777777" w:rsidR="00AE7191" w:rsidRPr="001E2C69" w:rsidRDefault="00AE7191" w:rsidP="00722885">
            <w:pPr>
              <w:pStyle w:val="Iauiue"/>
              <w:jc w:val="both"/>
              <w:rPr>
                <w:color w:val="000000" w:themeColor="text1"/>
                <w:sz w:val="16"/>
                <w:szCs w:val="16"/>
              </w:rPr>
            </w:pPr>
          </w:p>
        </w:tc>
        <w:tc>
          <w:tcPr>
            <w:tcW w:w="968" w:type="dxa"/>
          </w:tcPr>
          <w:p w14:paraId="1AC549DF" w14:textId="77777777" w:rsidR="00AE7191" w:rsidRPr="001E2C69" w:rsidRDefault="00AE7191" w:rsidP="00722885">
            <w:pPr>
              <w:pStyle w:val="Iauiue"/>
              <w:jc w:val="both"/>
              <w:rPr>
                <w:color w:val="000000" w:themeColor="text1"/>
                <w:sz w:val="16"/>
                <w:szCs w:val="16"/>
              </w:rPr>
            </w:pPr>
          </w:p>
        </w:tc>
        <w:tc>
          <w:tcPr>
            <w:tcW w:w="837" w:type="dxa"/>
          </w:tcPr>
          <w:p w14:paraId="1DAF9FBE" w14:textId="77777777" w:rsidR="00AE7191" w:rsidRPr="001E2C69" w:rsidRDefault="00AE7191" w:rsidP="00722885">
            <w:pPr>
              <w:pStyle w:val="Iauiue"/>
              <w:jc w:val="both"/>
              <w:rPr>
                <w:color w:val="000000" w:themeColor="text1"/>
                <w:sz w:val="16"/>
                <w:szCs w:val="16"/>
              </w:rPr>
            </w:pPr>
          </w:p>
        </w:tc>
      </w:tr>
      <w:tr w:rsidR="001E2C69" w:rsidRPr="001E2C69" w14:paraId="4CAEDF9B" w14:textId="77777777" w:rsidTr="00CC5360">
        <w:tc>
          <w:tcPr>
            <w:tcW w:w="1809" w:type="dxa"/>
          </w:tcPr>
          <w:p w14:paraId="31F1847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Констр. Ермолаева</w:t>
            </w:r>
          </w:p>
        </w:tc>
        <w:tc>
          <w:tcPr>
            <w:tcW w:w="723" w:type="dxa"/>
          </w:tcPr>
          <w:p w14:paraId="19746AFB" w14:textId="77777777" w:rsidR="00AE7191" w:rsidRPr="001E2C69" w:rsidRDefault="00AE7191" w:rsidP="00722885">
            <w:pPr>
              <w:pStyle w:val="Iauiue"/>
              <w:jc w:val="both"/>
              <w:rPr>
                <w:color w:val="000000" w:themeColor="text1"/>
                <w:sz w:val="16"/>
                <w:szCs w:val="16"/>
              </w:rPr>
            </w:pPr>
          </w:p>
        </w:tc>
        <w:tc>
          <w:tcPr>
            <w:tcW w:w="862" w:type="dxa"/>
          </w:tcPr>
          <w:p w14:paraId="2238E22C" w14:textId="77777777" w:rsidR="00AE7191" w:rsidRPr="001E2C69" w:rsidRDefault="00AE7191" w:rsidP="00722885">
            <w:pPr>
              <w:pStyle w:val="Iauiue"/>
              <w:jc w:val="both"/>
              <w:rPr>
                <w:color w:val="000000" w:themeColor="text1"/>
                <w:sz w:val="16"/>
                <w:szCs w:val="16"/>
              </w:rPr>
            </w:pPr>
          </w:p>
        </w:tc>
        <w:tc>
          <w:tcPr>
            <w:tcW w:w="865" w:type="dxa"/>
          </w:tcPr>
          <w:p w14:paraId="7B49744B" w14:textId="77777777" w:rsidR="00AE7191" w:rsidRPr="001E2C69" w:rsidRDefault="00AE7191" w:rsidP="00722885">
            <w:pPr>
              <w:pStyle w:val="Iauiue"/>
              <w:jc w:val="both"/>
              <w:rPr>
                <w:color w:val="000000" w:themeColor="text1"/>
                <w:sz w:val="16"/>
                <w:szCs w:val="16"/>
              </w:rPr>
            </w:pPr>
          </w:p>
        </w:tc>
        <w:tc>
          <w:tcPr>
            <w:tcW w:w="692" w:type="dxa"/>
          </w:tcPr>
          <w:p w14:paraId="4BFF57EF" w14:textId="77777777" w:rsidR="00AE7191" w:rsidRPr="001E2C69" w:rsidRDefault="00AE7191" w:rsidP="00722885">
            <w:pPr>
              <w:pStyle w:val="Iauiue"/>
              <w:jc w:val="both"/>
              <w:rPr>
                <w:color w:val="000000" w:themeColor="text1"/>
                <w:sz w:val="16"/>
                <w:szCs w:val="16"/>
              </w:rPr>
            </w:pPr>
          </w:p>
        </w:tc>
        <w:tc>
          <w:tcPr>
            <w:tcW w:w="1371" w:type="dxa"/>
          </w:tcPr>
          <w:p w14:paraId="1DDD3AE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Назад-вверх:</w:t>
            </w:r>
          </w:p>
        </w:tc>
        <w:tc>
          <w:tcPr>
            <w:tcW w:w="818" w:type="dxa"/>
          </w:tcPr>
          <w:p w14:paraId="4B286F0D" w14:textId="77777777" w:rsidR="00AE7191" w:rsidRPr="001E2C69" w:rsidRDefault="00AE7191" w:rsidP="00722885">
            <w:pPr>
              <w:pStyle w:val="Iauiue"/>
              <w:jc w:val="both"/>
              <w:rPr>
                <w:color w:val="000000" w:themeColor="text1"/>
                <w:sz w:val="16"/>
                <w:szCs w:val="16"/>
              </w:rPr>
            </w:pPr>
          </w:p>
        </w:tc>
        <w:tc>
          <w:tcPr>
            <w:tcW w:w="830" w:type="dxa"/>
          </w:tcPr>
          <w:p w14:paraId="69393118" w14:textId="77777777" w:rsidR="00AE7191" w:rsidRPr="001E2C69" w:rsidRDefault="00AE7191" w:rsidP="00722885">
            <w:pPr>
              <w:pStyle w:val="Iauiue"/>
              <w:jc w:val="both"/>
              <w:rPr>
                <w:color w:val="000000" w:themeColor="text1"/>
                <w:sz w:val="16"/>
                <w:szCs w:val="16"/>
              </w:rPr>
            </w:pPr>
          </w:p>
        </w:tc>
        <w:tc>
          <w:tcPr>
            <w:tcW w:w="829" w:type="dxa"/>
          </w:tcPr>
          <w:p w14:paraId="521D4AB9" w14:textId="77777777" w:rsidR="00AE7191" w:rsidRPr="001E2C69" w:rsidRDefault="00AE7191" w:rsidP="00722885">
            <w:pPr>
              <w:pStyle w:val="Iauiue"/>
              <w:jc w:val="both"/>
              <w:rPr>
                <w:color w:val="000000" w:themeColor="text1"/>
                <w:sz w:val="16"/>
                <w:szCs w:val="16"/>
              </w:rPr>
            </w:pPr>
          </w:p>
        </w:tc>
        <w:tc>
          <w:tcPr>
            <w:tcW w:w="968" w:type="dxa"/>
          </w:tcPr>
          <w:p w14:paraId="48C86F5A" w14:textId="77777777" w:rsidR="00AE7191" w:rsidRPr="001E2C69" w:rsidRDefault="00AE7191" w:rsidP="00722885">
            <w:pPr>
              <w:pStyle w:val="Iauiue"/>
              <w:jc w:val="both"/>
              <w:rPr>
                <w:color w:val="000000" w:themeColor="text1"/>
                <w:sz w:val="16"/>
                <w:szCs w:val="16"/>
              </w:rPr>
            </w:pPr>
          </w:p>
        </w:tc>
        <w:tc>
          <w:tcPr>
            <w:tcW w:w="837" w:type="dxa"/>
          </w:tcPr>
          <w:p w14:paraId="4C64A8DC" w14:textId="77777777" w:rsidR="00AE7191" w:rsidRPr="001E2C69" w:rsidRDefault="00AE7191" w:rsidP="00722885">
            <w:pPr>
              <w:pStyle w:val="Iauiue"/>
              <w:jc w:val="both"/>
              <w:rPr>
                <w:color w:val="000000" w:themeColor="text1"/>
                <w:sz w:val="16"/>
                <w:szCs w:val="16"/>
              </w:rPr>
            </w:pPr>
          </w:p>
        </w:tc>
      </w:tr>
      <w:tr w:rsidR="001E2C69" w:rsidRPr="001E2C69" w14:paraId="6E68BB69" w14:textId="77777777" w:rsidTr="00CC5360">
        <w:tc>
          <w:tcPr>
            <w:tcW w:w="1809" w:type="dxa"/>
          </w:tcPr>
          <w:p w14:paraId="6BC5156C" w14:textId="77777777" w:rsidR="00AE7191" w:rsidRPr="001E2C69" w:rsidRDefault="00AE7191" w:rsidP="00722885">
            <w:pPr>
              <w:pStyle w:val="Iauiue"/>
              <w:jc w:val="both"/>
              <w:rPr>
                <w:color w:val="000000" w:themeColor="text1"/>
                <w:sz w:val="16"/>
                <w:szCs w:val="16"/>
              </w:rPr>
            </w:pPr>
          </w:p>
        </w:tc>
        <w:tc>
          <w:tcPr>
            <w:tcW w:w="723" w:type="dxa"/>
          </w:tcPr>
          <w:p w14:paraId="02D3C175" w14:textId="77777777" w:rsidR="00AE7191" w:rsidRPr="001E2C69" w:rsidRDefault="00AE7191" w:rsidP="00722885">
            <w:pPr>
              <w:pStyle w:val="Iauiue"/>
              <w:jc w:val="both"/>
              <w:rPr>
                <w:color w:val="000000" w:themeColor="text1"/>
                <w:sz w:val="16"/>
                <w:szCs w:val="16"/>
              </w:rPr>
            </w:pPr>
          </w:p>
        </w:tc>
        <w:tc>
          <w:tcPr>
            <w:tcW w:w="862" w:type="dxa"/>
          </w:tcPr>
          <w:p w14:paraId="10B1444D" w14:textId="77777777" w:rsidR="00AE7191" w:rsidRPr="001E2C69" w:rsidRDefault="00AE7191" w:rsidP="00722885">
            <w:pPr>
              <w:pStyle w:val="Iauiue"/>
              <w:jc w:val="both"/>
              <w:rPr>
                <w:color w:val="000000" w:themeColor="text1"/>
                <w:sz w:val="16"/>
                <w:szCs w:val="16"/>
              </w:rPr>
            </w:pPr>
          </w:p>
        </w:tc>
        <w:tc>
          <w:tcPr>
            <w:tcW w:w="865" w:type="dxa"/>
          </w:tcPr>
          <w:p w14:paraId="7B960A8C" w14:textId="77777777" w:rsidR="00AE7191" w:rsidRPr="001E2C69" w:rsidRDefault="00AE7191" w:rsidP="00722885">
            <w:pPr>
              <w:pStyle w:val="Iauiue"/>
              <w:jc w:val="both"/>
              <w:rPr>
                <w:color w:val="000000" w:themeColor="text1"/>
                <w:sz w:val="16"/>
                <w:szCs w:val="16"/>
              </w:rPr>
            </w:pPr>
          </w:p>
        </w:tc>
        <w:tc>
          <w:tcPr>
            <w:tcW w:w="692" w:type="dxa"/>
          </w:tcPr>
          <w:p w14:paraId="461FA621" w14:textId="77777777" w:rsidR="00AE7191" w:rsidRPr="001E2C69" w:rsidRDefault="00AE7191" w:rsidP="00722885">
            <w:pPr>
              <w:pStyle w:val="Iauiue"/>
              <w:jc w:val="both"/>
              <w:rPr>
                <w:color w:val="000000" w:themeColor="text1"/>
                <w:sz w:val="16"/>
                <w:szCs w:val="16"/>
              </w:rPr>
            </w:pPr>
          </w:p>
        </w:tc>
        <w:tc>
          <w:tcPr>
            <w:tcW w:w="1371" w:type="dxa"/>
          </w:tcPr>
          <w:p w14:paraId="473510D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пулем. 12,7 мм</w:t>
            </w:r>
          </w:p>
        </w:tc>
        <w:tc>
          <w:tcPr>
            <w:tcW w:w="818" w:type="dxa"/>
          </w:tcPr>
          <w:p w14:paraId="59D3BB35" w14:textId="77777777" w:rsidR="00AE7191" w:rsidRPr="001E2C69" w:rsidRDefault="00AE7191" w:rsidP="00722885">
            <w:pPr>
              <w:pStyle w:val="Iauiue"/>
              <w:jc w:val="both"/>
              <w:rPr>
                <w:color w:val="000000" w:themeColor="text1"/>
                <w:sz w:val="16"/>
                <w:szCs w:val="16"/>
              </w:rPr>
            </w:pPr>
          </w:p>
        </w:tc>
        <w:tc>
          <w:tcPr>
            <w:tcW w:w="830" w:type="dxa"/>
          </w:tcPr>
          <w:p w14:paraId="2AC1B573" w14:textId="77777777" w:rsidR="00AE7191" w:rsidRPr="001E2C69" w:rsidRDefault="00AE7191" w:rsidP="00722885">
            <w:pPr>
              <w:pStyle w:val="Iauiue"/>
              <w:jc w:val="both"/>
              <w:rPr>
                <w:color w:val="000000" w:themeColor="text1"/>
                <w:sz w:val="16"/>
                <w:szCs w:val="16"/>
              </w:rPr>
            </w:pPr>
          </w:p>
        </w:tc>
        <w:tc>
          <w:tcPr>
            <w:tcW w:w="829" w:type="dxa"/>
          </w:tcPr>
          <w:p w14:paraId="645AC468" w14:textId="77777777" w:rsidR="00AE7191" w:rsidRPr="001E2C69" w:rsidRDefault="00AE7191" w:rsidP="00722885">
            <w:pPr>
              <w:pStyle w:val="Iauiue"/>
              <w:jc w:val="both"/>
              <w:rPr>
                <w:color w:val="000000" w:themeColor="text1"/>
                <w:sz w:val="16"/>
                <w:szCs w:val="16"/>
              </w:rPr>
            </w:pPr>
          </w:p>
        </w:tc>
        <w:tc>
          <w:tcPr>
            <w:tcW w:w="968" w:type="dxa"/>
          </w:tcPr>
          <w:p w14:paraId="092DBC80" w14:textId="77777777" w:rsidR="00AE7191" w:rsidRPr="001E2C69" w:rsidRDefault="00AE7191" w:rsidP="00722885">
            <w:pPr>
              <w:pStyle w:val="Iauiue"/>
              <w:jc w:val="both"/>
              <w:rPr>
                <w:color w:val="000000" w:themeColor="text1"/>
                <w:sz w:val="16"/>
                <w:szCs w:val="16"/>
              </w:rPr>
            </w:pPr>
          </w:p>
        </w:tc>
        <w:tc>
          <w:tcPr>
            <w:tcW w:w="837" w:type="dxa"/>
          </w:tcPr>
          <w:p w14:paraId="3AA5317F" w14:textId="77777777" w:rsidR="00AE7191" w:rsidRPr="001E2C69" w:rsidRDefault="00AE7191" w:rsidP="00722885">
            <w:pPr>
              <w:pStyle w:val="Iauiue"/>
              <w:jc w:val="both"/>
              <w:rPr>
                <w:color w:val="000000" w:themeColor="text1"/>
                <w:sz w:val="16"/>
                <w:szCs w:val="16"/>
              </w:rPr>
            </w:pPr>
          </w:p>
        </w:tc>
      </w:tr>
      <w:tr w:rsidR="001E2C69" w:rsidRPr="001E2C69" w14:paraId="53B6B81E" w14:textId="77777777" w:rsidTr="00CC5360">
        <w:tc>
          <w:tcPr>
            <w:tcW w:w="1809" w:type="dxa"/>
          </w:tcPr>
          <w:p w14:paraId="42EAA906" w14:textId="77777777" w:rsidR="00AE7191" w:rsidRPr="001E2C69" w:rsidRDefault="00AE7191" w:rsidP="00722885">
            <w:pPr>
              <w:pStyle w:val="Iauiue"/>
              <w:jc w:val="both"/>
              <w:rPr>
                <w:color w:val="000000" w:themeColor="text1"/>
                <w:sz w:val="16"/>
                <w:szCs w:val="16"/>
              </w:rPr>
            </w:pPr>
          </w:p>
        </w:tc>
        <w:tc>
          <w:tcPr>
            <w:tcW w:w="723" w:type="dxa"/>
          </w:tcPr>
          <w:p w14:paraId="3F632B03" w14:textId="77777777" w:rsidR="00AE7191" w:rsidRPr="001E2C69" w:rsidRDefault="00AE7191" w:rsidP="00722885">
            <w:pPr>
              <w:pStyle w:val="Iauiue"/>
              <w:jc w:val="both"/>
              <w:rPr>
                <w:color w:val="000000" w:themeColor="text1"/>
                <w:sz w:val="16"/>
                <w:szCs w:val="16"/>
              </w:rPr>
            </w:pPr>
          </w:p>
        </w:tc>
        <w:tc>
          <w:tcPr>
            <w:tcW w:w="862" w:type="dxa"/>
          </w:tcPr>
          <w:p w14:paraId="5A75F824" w14:textId="77777777" w:rsidR="00AE7191" w:rsidRPr="001E2C69" w:rsidRDefault="00AE7191" w:rsidP="00722885">
            <w:pPr>
              <w:pStyle w:val="Iauiue"/>
              <w:jc w:val="both"/>
              <w:rPr>
                <w:color w:val="000000" w:themeColor="text1"/>
                <w:sz w:val="16"/>
                <w:szCs w:val="16"/>
              </w:rPr>
            </w:pPr>
          </w:p>
        </w:tc>
        <w:tc>
          <w:tcPr>
            <w:tcW w:w="865" w:type="dxa"/>
          </w:tcPr>
          <w:p w14:paraId="7ABD660D" w14:textId="77777777" w:rsidR="00AE7191" w:rsidRPr="001E2C69" w:rsidRDefault="00AE7191" w:rsidP="00722885">
            <w:pPr>
              <w:pStyle w:val="Iauiue"/>
              <w:jc w:val="both"/>
              <w:rPr>
                <w:color w:val="000000" w:themeColor="text1"/>
                <w:sz w:val="16"/>
                <w:szCs w:val="16"/>
              </w:rPr>
            </w:pPr>
          </w:p>
        </w:tc>
        <w:tc>
          <w:tcPr>
            <w:tcW w:w="692" w:type="dxa"/>
          </w:tcPr>
          <w:p w14:paraId="4F00ECEB" w14:textId="77777777" w:rsidR="00AE7191" w:rsidRPr="001E2C69" w:rsidRDefault="00AE7191" w:rsidP="00722885">
            <w:pPr>
              <w:pStyle w:val="Iauiue"/>
              <w:jc w:val="both"/>
              <w:rPr>
                <w:color w:val="000000" w:themeColor="text1"/>
                <w:sz w:val="16"/>
                <w:szCs w:val="16"/>
              </w:rPr>
            </w:pPr>
          </w:p>
        </w:tc>
        <w:tc>
          <w:tcPr>
            <w:tcW w:w="1371" w:type="dxa"/>
          </w:tcPr>
          <w:p w14:paraId="718DD84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боезапасом</w:t>
            </w:r>
          </w:p>
        </w:tc>
        <w:tc>
          <w:tcPr>
            <w:tcW w:w="818" w:type="dxa"/>
          </w:tcPr>
          <w:p w14:paraId="69AFCF26" w14:textId="77777777" w:rsidR="00AE7191" w:rsidRPr="001E2C69" w:rsidRDefault="00AE7191" w:rsidP="00722885">
            <w:pPr>
              <w:pStyle w:val="Iauiue"/>
              <w:jc w:val="both"/>
              <w:rPr>
                <w:color w:val="000000" w:themeColor="text1"/>
                <w:sz w:val="16"/>
                <w:szCs w:val="16"/>
              </w:rPr>
            </w:pPr>
          </w:p>
        </w:tc>
        <w:tc>
          <w:tcPr>
            <w:tcW w:w="830" w:type="dxa"/>
          </w:tcPr>
          <w:p w14:paraId="18AAC23E" w14:textId="77777777" w:rsidR="00AE7191" w:rsidRPr="001E2C69" w:rsidRDefault="00AE7191" w:rsidP="00722885">
            <w:pPr>
              <w:pStyle w:val="Iauiue"/>
              <w:jc w:val="both"/>
              <w:rPr>
                <w:color w:val="000000" w:themeColor="text1"/>
                <w:sz w:val="16"/>
                <w:szCs w:val="16"/>
              </w:rPr>
            </w:pPr>
          </w:p>
        </w:tc>
        <w:tc>
          <w:tcPr>
            <w:tcW w:w="829" w:type="dxa"/>
          </w:tcPr>
          <w:p w14:paraId="69EA8B67" w14:textId="77777777" w:rsidR="00AE7191" w:rsidRPr="001E2C69" w:rsidRDefault="00AE7191" w:rsidP="00722885">
            <w:pPr>
              <w:pStyle w:val="Iauiue"/>
              <w:jc w:val="both"/>
              <w:rPr>
                <w:color w:val="000000" w:themeColor="text1"/>
                <w:sz w:val="16"/>
                <w:szCs w:val="16"/>
              </w:rPr>
            </w:pPr>
          </w:p>
        </w:tc>
        <w:tc>
          <w:tcPr>
            <w:tcW w:w="968" w:type="dxa"/>
          </w:tcPr>
          <w:p w14:paraId="65F2E82D" w14:textId="77777777" w:rsidR="00AE7191" w:rsidRPr="001E2C69" w:rsidRDefault="00AE7191" w:rsidP="00722885">
            <w:pPr>
              <w:pStyle w:val="Iauiue"/>
              <w:jc w:val="both"/>
              <w:rPr>
                <w:color w:val="000000" w:themeColor="text1"/>
                <w:sz w:val="16"/>
                <w:szCs w:val="16"/>
              </w:rPr>
            </w:pPr>
          </w:p>
        </w:tc>
        <w:tc>
          <w:tcPr>
            <w:tcW w:w="837" w:type="dxa"/>
          </w:tcPr>
          <w:p w14:paraId="32C1E68F" w14:textId="77777777" w:rsidR="00AE7191" w:rsidRPr="001E2C69" w:rsidRDefault="00AE7191" w:rsidP="00722885">
            <w:pPr>
              <w:pStyle w:val="Iauiue"/>
              <w:jc w:val="both"/>
              <w:rPr>
                <w:color w:val="000000" w:themeColor="text1"/>
                <w:sz w:val="16"/>
                <w:szCs w:val="16"/>
              </w:rPr>
            </w:pPr>
          </w:p>
        </w:tc>
      </w:tr>
      <w:tr w:rsidR="001E2C69" w:rsidRPr="001E2C69" w14:paraId="03E67971" w14:textId="77777777" w:rsidTr="00CC5360">
        <w:tc>
          <w:tcPr>
            <w:tcW w:w="1809" w:type="dxa"/>
          </w:tcPr>
          <w:p w14:paraId="23C22B45" w14:textId="77777777" w:rsidR="00AE7191" w:rsidRPr="001E2C69" w:rsidRDefault="00AE7191" w:rsidP="00722885">
            <w:pPr>
              <w:pStyle w:val="Iauiue"/>
              <w:jc w:val="both"/>
              <w:rPr>
                <w:color w:val="000000" w:themeColor="text1"/>
                <w:sz w:val="16"/>
                <w:szCs w:val="16"/>
              </w:rPr>
            </w:pPr>
          </w:p>
        </w:tc>
        <w:tc>
          <w:tcPr>
            <w:tcW w:w="723" w:type="dxa"/>
          </w:tcPr>
          <w:p w14:paraId="6B02BDC5" w14:textId="77777777" w:rsidR="00AE7191" w:rsidRPr="001E2C69" w:rsidRDefault="00AE7191" w:rsidP="00722885">
            <w:pPr>
              <w:pStyle w:val="Iauiue"/>
              <w:jc w:val="both"/>
              <w:rPr>
                <w:color w:val="000000" w:themeColor="text1"/>
                <w:sz w:val="16"/>
                <w:szCs w:val="16"/>
              </w:rPr>
            </w:pPr>
          </w:p>
        </w:tc>
        <w:tc>
          <w:tcPr>
            <w:tcW w:w="862" w:type="dxa"/>
          </w:tcPr>
          <w:p w14:paraId="63372840" w14:textId="77777777" w:rsidR="00AE7191" w:rsidRPr="001E2C69" w:rsidRDefault="00AE7191" w:rsidP="00722885">
            <w:pPr>
              <w:pStyle w:val="Iauiue"/>
              <w:jc w:val="both"/>
              <w:rPr>
                <w:color w:val="000000" w:themeColor="text1"/>
                <w:sz w:val="16"/>
                <w:szCs w:val="16"/>
              </w:rPr>
            </w:pPr>
          </w:p>
        </w:tc>
        <w:tc>
          <w:tcPr>
            <w:tcW w:w="865" w:type="dxa"/>
          </w:tcPr>
          <w:p w14:paraId="560FF87D" w14:textId="77777777" w:rsidR="00AE7191" w:rsidRPr="001E2C69" w:rsidRDefault="00AE7191" w:rsidP="00722885">
            <w:pPr>
              <w:pStyle w:val="Iauiue"/>
              <w:jc w:val="both"/>
              <w:rPr>
                <w:color w:val="000000" w:themeColor="text1"/>
                <w:sz w:val="16"/>
                <w:szCs w:val="16"/>
              </w:rPr>
            </w:pPr>
          </w:p>
        </w:tc>
        <w:tc>
          <w:tcPr>
            <w:tcW w:w="692" w:type="dxa"/>
          </w:tcPr>
          <w:p w14:paraId="3DBCBA10" w14:textId="77777777" w:rsidR="00AE7191" w:rsidRPr="001E2C69" w:rsidRDefault="00AE7191" w:rsidP="00722885">
            <w:pPr>
              <w:pStyle w:val="Iauiue"/>
              <w:jc w:val="both"/>
              <w:rPr>
                <w:color w:val="000000" w:themeColor="text1"/>
                <w:sz w:val="16"/>
                <w:szCs w:val="16"/>
              </w:rPr>
            </w:pPr>
          </w:p>
        </w:tc>
        <w:tc>
          <w:tcPr>
            <w:tcW w:w="1371" w:type="dxa"/>
          </w:tcPr>
          <w:p w14:paraId="0C3ACBD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600 патрон.</w:t>
            </w:r>
          </w:p>
        </w:tc>
        <w:tc>
          <w:tcPr>
            <w:tcW w:w="818" w:type="dxa"/>
          </w:tcPr>
          <w:p w14:paraId="46A98F6D" w14:textId="77777777" w:rsidR="00AE7191" w:rsidRPr="001E2C69" w:rsidRDefault="00AE7191" w:rsidP="00722885">
            <w:pPr>
              <w:pStyle w:val="Iauiue"/>
              <w:jc w:val="both"/>
              <w:rPr>
                <w:color w:val="000000" w:themeColor="text1"/>
                <w:sz w:val="16"/>
                <w:szCs w:val="16"/>
              </w:rPr>
            </w:pPr>
          </w:p>
        </w:tc>
        <w:tc>
          <w:tcPr>
            <w:tcW w:w="830" w:type="dxa"/>
          </w:tcPr>
          <w:p w14:paraId="71F03085" w14:textId="77777777" w:rsidR="00AE7191" w:rsidRPr="001E2C69" w:rsidRDefault="00AE7191" w:rsidP="00722885">
            <w:pPr>
              <w:pStyle w:val="Iauiue"/>
              <w:jc w:val="both"/>
              <w:rPr>
                <w:color w:val="000000" w:themeColor="text1"/>
                <w:sz w:val="16"/>
                <w:szCs w:val="16"/>
              </w:rPr>
            </w:pPr>
          </w:p>
        </w:tc>
        <w:tc>
          <w:tcPr>
            <w:tcW w:w="829" w:type="dxa"/>
          </w:tcPr>
          <w:p w14:paraId="26825C0C" w14:textId="77777777" w:rsidR="00AE7191" w:rsidRPr="001E2C69" w:rsidRDefault="00AE7191" w:rsidP="00722885">
            <w:pPr>
              <w:pStyle w:val="Iauiue"/>
              <w:jc w:val="both"/>
              <w:rPr>
                <w:color w:val="000000" w:themeColor="text1"/>
                <w:sz w:val="16"/>
                <w:szCs w:val="16"/>
              </w:rPr>
            </w:pPr>
          </w:p>
        </w:tc>
        <w:tc>
          <w:tcPr>
            <w:tcW w:w="968" w:type="dxa"/>
          </w:tcPr>
          <w:p w14:paraId="72120A67" w14:textId="77777777" w:rsidR="00AE7191" w:rsidRPr="001E2C69" w:rsidRDefault="00AE7191" w:rsidP="00722885">
            <w:pPr>
              <w:pStyle w:val="Iauiue"/>
              <w:jc w:val="both"/>
              <w:rPr>
                <w:color w:val="000000" w:themeColor="text1"/>
                <w:sz w:val="16"/>
                <w:szCs w:val="16"/>
              </w:rPr>
            </w:pPr>
          </w:p>
        </w:tc>
        <w:tc>
          <w:tcPr>
            <w:tcW w:w="837" w:type="dxa"/>
          </w:tcPr>
          <w:p w14:paraId="39260DA6" w14:textId="77777777" w:rsidR="00AE7191" w:rsidRPr="001E2C69" w:rsidRDefault="00AE7191" w:rsidP="00722885">
            <w:pPr>
              <w:pStyle w:val="Iauiue"/>
              <w:jc w:val="both"/>
              <w:rPr>
                <w:color w:val="000000" w:themeColor="text1"/>
                <w:sz w:val="16"/>
                <w:szCs w:val="16"/>
              </w:rPr>
            </w:pPr>
          </w:p>
        </w:tc>
      </w:tr>
      <w:tr w:rsidR="001E2C69" w:rsidRPr="001E2C69" w14:paraId="0ABE5D2A" w14:textId="77777777" w:rsidTr="00CC5360">
        <w:tc>
          <w:tcPr>
            <w:tcW w:w="1809" w:type="dxa"/>
          </w:tcPr>
          <w:p w14:paraId="3BCD9940" w14:textId="77777777" w:rsidR="00AE7191" w:rsidRPr="001E2C69" w:rsidRDefault="00AE7191" w:rsidP="00722885">
            <w:pPr>
              <w:pStyle w:val="Iauiue"/>
              <w:jc w:val="both"/>
              <w:rPr>
                <w:color w:val="000000" w:themeColor="text1"/>
                <w:sz w:val="16"/>
                <w:szCs w:val="16"/>
              </w:rPr>
            </w:pPr>
          </w:p>
        </w:tc>
        <w:tc>
          <w:tcPr>
            <w:tcW w:w="723" w:type="dxa"/>
          </w:tcPr>
          <w:p w14:paraId="597D04BD" w14:textId="77777777" w:rsidR="00AE7191" w:rsidRPr="001E2C69" w:rsidRDefault="00AE7191" w:rsidP="00722885">
            <w:pPr>
              <w:pStyle w:val="Iauiue"/>
              <w:jc w:val="both"/>
              <w:rPr>
                <w:color w:val="000000" w:themeColor="text1"/>
                <w:sz w:val="16"/>
                <w:szCs w:val="16"/>
              </w:rPr>
            </w:pPr>
          </w:p>
        </w:tc>
        <w:tc>
          <w:tcPr>
            <w:tcW w:w="862" w:type="dxa"/>
          </w:tcPr>
          <w:p w14:paraId="2C2BB45B" w14:textId="77777777" w:rsidR="00AE7191" w:rsidRPr="001E2C69" w:rsidRDefault="00AE7191" w:rsidP="00722885">
            <w:pPr>
              <w:pStyle w:val="Iauiue"/>
              <w:jc w:val="both"/>
              <w:rPr>
                <w:color w:val="000000" w:themeColor="text1"/>
                <w:sz w:val="16"/>
                <w:szCs w:val="16"/>
              </w:rPr>
            </w:pPr>
          </w:p>
        </w:tc>
        <w:tc>
          <w:tcPr>
            <w:tcW w:w="865" w:type="dxa"/>
          </w:tcPr>
          <w:p w14:paraId="23B2DDE7" w14:textId="77777777" w:rsidR="00AE7191" w:rsidRPr="001E2C69" w:rsidRDefault="00AE7191" w:rsidP="00722885">
            <w:pPr>
              <w:pStyle w:val="Iauiue"/>
              <w:jc w:val="both"/>
              <w:rPr>
                <w:color w:val="000000" w:themeColor="text1"/>
                <w:sz w:val="16"/>
                <w:szCs w:val="16"/>
              </w:rPr>
            </w:pPr>
          </w:p>
        </w:tc>
        <w:tc>
          <w:tcPr>
            <w:tcW w:w="692" w:type="dxa"/>
          </w:tcPr>
          <w:p w14:paraId="1FF7AE67" w14:textId="77777777" w:rsidR="00AE7191" w:rsidRPr="001E2C69" w:rsidRDefault="00AE7191" w:rsidP="00722885">
            <w:pPr>
              <w:pStyle w:val="Iauiue"/>
              <w:jc w:val="both"/>
              <w:rPr>
                <w:color w:val="000000" w:themeColor="text1"/>
                <w:sz w:val="16"/>
                <w:szCs w:val="16"/>
              </w:rPr>
            </w:pPr>
          </w:p>
        </w:tc>
        <w:tc>
          <w:tcPr>
            <w:tcW w:w="1371" w:type="dxa"/>
          </w:tcPr>
          <w:p w14:paraId="7BEA63D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Назад-вниз:</w:t>
            </w:r>
          </w:p>
        </w:tc>
        <w:tc>
          <w:tcPr>
            <w:tcW w:w="818" w:type="dxa"/>
          </w:tcPr>
          <w:p w14:paraId="6A04C7FB" w14:textId="77777777" w:rsidR="00AE7191" w:rsidRPr="001E2C69" w:rsidRDefault="00AE7191" w:rsidP="00722885">
            <w:pPr>
              <w:pStyle w:val="Iauiue"/>
              <w:jc w:val="both"/>
              <w:rPr>
                <w:color w:val="000000" w:themeColor="text1"/>
                <w:sz w:val="16"/>
                <w:szCs w:val="16"/>
              </w:rPr>
            </w:pPr>
          </w:p>
        </w:tc>
        <w:tc>
          <w:tcPr>
            <w:tcW w:w="830" w:type="dxa"/>
          </w:tcPr>
          <w:p w14:paraId="5478CDB6" w14:textId="77777777" w:rsidR="00AE7191" w:rsidRPr="001E2C69" w:rsidRDefault="00AE7191" w:rsidP="00722885">
            <w:pPr>
              <w:pStyle w:val="Iauiue"/>
              <w:jc w:val="both"/>
              <w:rPr>
                <w:color w:val="000000" w:themeColor="text1"/>
                <w:sz w:val="16"/>
                <w:szCs w:val="16"/>
              </w:rPr>
            </w:pPr>
          </w:p>
        </w:tc>
        <w:tc>
          <w:tcPr>
            <w:tcW w:w="829" w:type="dxa"/>
          </w:tcPr>
          <w:p w14:paraId="39789DAD" w14:textId="77777777" w:rsidR="00AE7191" w:rsidRPr="001E2C69" w:rsidRDefault="00AE7191" w:rsidP="00722885">
            <w:pPr>
              <w:pStyle w:val="Iauiue"/>
              <w:jc w:val="both"/>
              <w:rPr>
                <w:color w:val="000000" w:themeColor="text1"/>
                <w:sz w:val="16"/>
                <w:szCs w:val="16"/>
              </w:rPr>
            </w:pPr>
          </w:p>
        </w:tc>
        <w:tc>
          <w:tcPr>
            <w:tcW w:w="968" w:type="dxa"/>
          </w:tcPr>
          <w:p w14:paraId="6345D887" w14:textId="77777777" w:rsidR="00AE7191" w:rsidRPr="001E2C69" w:rsidRDefault="00AE7191" w:rsidP="00722885">
            <w:pPr>
              <w:pStyle w:val="Iauiue"/>
              <w:jc w:val="both"/>
              <w:rPr>
                <w:color w:val="000000" w:themeColor="text1"/>
                <w:sz w:val="16"/>
                <w:szCs w:val="16"/>
              </w:rPr>
            </w:pPr>
          </w:p>
        </w:tc>
        <w:tc>
          <w:tcPr>
            <w:tcW w:w="837" w:type="dxa"/>
          </w:tcPr>
          <w:p w14:paraId="0990955A" w14:textId="77777777" w:rsidR="00AE7191" w:rsidRPr="001E2C69" w:rsidRDefault="00AE7191" w:rsidP="00722885">
            <w:pPr>
              <w:pStyle w:val="Iauiue"/>
              <w:jc w:val="both"/>
              <w:rPr>
                <w:color w:val="000000" w:themeColor="text1"/>
                <w:sz w:val="16"/>
                <w:szCs w:val="16"/>
              </w:rPr>
            </w:pPr>
          </w:p>
        </w:tc>
      </w:tr>
      <w:tr w:rsidR="001E2C69" w:rsidRPr="001E2C69" w14:paraId="36F5E5C9" w14:textId="77777777" w:rsidTr="00CC5360">
        <w:tc>
          <w:tcPr>
            <w:tcW w:w="1809" w:type="dxa"/>
          </w:tcPr>
          <w:p w14:paraId="4408C1F7" w14:textId="77777777" w:rsidR="00AE7191" w:rsidRPr="001E2C69" w:rsidRDefault="00AE7191" w:rsidP="00722885">
            <w:pPr>
              <w:pStyle w:val="Iauiue"/>
              <w:jc w:val="both"/>
              <w:rPr>
                <w:color w:val="000000" w:themeColor="text1"/>
                <w:sz w:val="16"/>
                <w:szCs w:val="16"/>
              </w:rPr>
            </w:pPr>
          </w:p>
        </w:tc>
        <w:tc>
          <w:tcPr>
            <w:tcW w:w="723" w:type="dxa"/>
          </w:tcPr>
          <w:p w14:paraId="1F05F2EE" w14:textId="77777777" w:rsidR="00AE7191" w:rsidRPr="001E2C69" w:rsidRDefault="00AE7191" w:rsidP="00722885">
            <w:pPr>
              <w:pStyle w:val="Iauiue"/>
              <w:jc w:val="both"/>
              <w:rPr>
                <w:color w:val="000000" w:themeColor="text1"/>
                <w:sz w:val="16"/>
                <w:szCs w:val="16"/>
              </w:rPr>
            </w:pPr>
          </w:p>
        </w:tc>
        <w:tc>
          <w:tcPr>
            <w:tcW w:w="862" w:type="dxa"/>
          </w:tcPr>
          <w:p w14:paraId="424551E7" w14:textId="77777777" w:rsidR="00AE7191" w:rsidRPr="001E2C69" w:rsidRDefault="00AE7191" w:rsidP="00722885">
            <w:pPr>
              <w:pStyle w:val="Iauiue"/>
              <w:jc w:val="both"/>
              <w:rPr>
                <w:color w:val="000000" w:themeColor="text1"/>
                <w:sz w:val="16"/>
                <w:szCs w:val="16"/>
              </w:rPr>
            </w:pPr>
          </w:p>
        </w:tc>
        <w:tc>
          <w:tcPr>
            <w:tcW w:w="865" w:type="dxa"/>
          </w:tcPr>
          <w:p w14:paraId="7863E2A8" w14:textId="77777777" w:rsidR="00AE7191" w:rsidRPr="001E2C69" w:rsidRDefault="00AE7191" w:rsidP="00722885">
            <w:pPr>
              <w:pStyle w:val="Iauiue"/>
              <w:jc w:val="both"/>
              <w:rPr>
                <w:color w:val="000000" w:themeColor="text1"/>
                <w:sz w:val="16"/>
                <w:szCs w:val="16"/>
              </w:rPr>
            </w:pPr>
          </w:p>
        </w:tc>
        <w:tc>
          <w:tcPr>
            <w:tcW w:w="692" w:type="dxa"/>
          </w:tcPr>
          <w:p w14:paraId="2AFB3BC5" w14:textId="77777777" w:rsidR="00AE7191" w:rsidRPr="001E2C69" w:rsidRDefault="00AE7191" w:rsidP="00722885">
            <w:pPr>
              <w:pStyle w:val="Iauiue"/>
              <w:jc w:val="both"/>
              <w:rPr>
                <w:color w:val="000000" w:themeColor="text1"/>
                <w:sz w:val="16"/>
                <w:szCs w:val="16"/>
              </w:rPr>
            </w:pPr>
          </w:p>
        </w:tc>
        <w:tc>
          <w:tcPr>
            <w:tcW w:w="1371" w:type="dxa"/>
          </w:tcPr>
          <w:p w14:paraId="0330CE6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пулем. 12,7 мм</w:t>
            </w:r>
          </w:p>
        </w:tc>
        <w:tc>
          <w:tcPr>
            <w:tcW w:w="818" w:type="dxa"/>
          </w:tcPr>
          <w:p w14:paraId="026B3D75" w14:textId="77777777" w:rsidR="00AE7191" w:rsidRPr="001E2C69" w:rsidRDefault="00AE7191" w:rsidP="00722885">
            <w:pPr>
              <w:pStyle w:val="Iauiue"/>
              <w:jc w:val="both"/>
              <w:rPr>
                <w:color w:val="000000" w:themeColor="text1"/>
                <w:sz w:val="16"/>
                <w:szCs w:val="16"/>
              </w:rPr>
            </w:pPr>
          </w:p>
        </w:tc>
        <w:tc>
          <w:tcPr>
            <w:tcW w:w="830" w:type="dxa"/>
          </w:tcPr>
          <w:p w14:paraId="67216488" w14:textId="77777777" w:rsidR="00AE7191" w:rsidRPr="001E2C69" w:rsidRDefault="00AE7191" w:rsidP="00722885">
            <w:pPr>
              <w:pStyle w:val="Iauiue"/>
              <w:jc w:val="both"/>
              <w:rPr>
                <w:color w:val="000000" w:themeColor="text1"/>
                <w:sz w:val="16"/>
                <w:szCs w:val="16"/>
              </w:rPr>
            </w:pPr>
          </w:p>
        </w:tc>
        <w:tc>
          <w:tcPr>
            <w:tcW w:w="829" w:type="dxa"/>
          </w:tcPr>
          <w:p w14:paraId="071A9AA2" w14:textId="77777777" w:rsidR="00AE7191" w:rsidRPr="001E2C69" w:rsidRDefault="00AE7191" w:rsidP="00722885">
            <w:pPr>
              <w:pStyle w:val="Iauiue"/>
              <w:jc w:val="both"/>
              <w:rPr>
                <w:color w:val="000000" w:themeColor="text1"/>
                <w:sz w:val="16"/>
                <w:szCs w:val="16"/>
              </w:rPr>
            </w:pPr>
          </w:p>
        </w:tc>
        <w:tc>
          <w:tcPr>
            <w:tcW w:w="968" w:type="dxa"/>
          </w:tcPr>
          <w:p w14:paraId="22AAF3E6" w14:textId="77777777" w:rsidR="00AE7191" w:rsidRPr="001E2C69" w:rsidRDefault="00AE7191" w:rsidP="00722885">
            <w:pPr>
              <w:pStyle w:val="Iauiue"/>
              <w:jc w:val="both"/>
              <w:rPr>
                <w:color w:val="000000" w:themeColor="text1"/>
                <w:sz w:val="16"/>
                <w:szCs w:val="16"/>
              </w:rPr>
            </w:pPr>
          </w:p>
        </w:tc>
        <w:tc>
          <w:tcPr>
            <w:tcW w:w="837" w:type="dxa"/>
          </w:tcPr>
          <w:p w14:paraId="135B7721" w14:textId="77777777" w:rsidR="00AE7191" w:rsidRPr="001E2C69" w:rsidRDefault="00AE7191" w:rsidP="00722885">
            <w:pPr>
              <w:pStyle w:val="Iauiue"/>
              <w:jc w:val="both"/>
              <w:rPr>
                <w:color w:val="000000" w:themeColor="text1"/>
                <w:sz w:val="16"/>
                <w:szCs w:val="16"/>
              </w:rPr>
            </w:pPr>
          </w:p>
        </w:tc>
      </w:tr>
      <w:tr w:rsidR="001E2C69" w:rsidRPr="001E2C69" w14:paraId="72132224" w14:textId="77777777" w:rsidTr="00CC5360">
        <w:tc>
          <w:tcPr>
            <w:tcW w:w="1809" w:type="dxa"/>
          </w:tcPr>
          <w:p w14:paraId="127D1DB9" w14:textId="77777777" w:rsidR="00AE7191" w:rsidRPr="001E2C69" w:rsidRDefault="00AE7191" w:rsidP="00722885">
            <w:pPr>
              <w:pStyle w:val="Iauiue"/>
              <w:jc w:val="both"/>
              <w:rPr>
                <w:color w:val="000000" w:themeColor="text1"/>
                <w:sz w:val="16"/>
                <w:szCs w:val="16"/>
              </w:rPr>
            </w:pPr>
          </w:p>
        </w:tc>
        <w:tc>
          <w:tcPr>
            <w:tcW w:w="723" w:type="dxa"/>
          </w:tcPr>
          <w:p w14:paraId="64EA038B" w14:textId="77777777" w:rsidR="00AE7191" w:rsidRPr="001E2C69" w:rsidRDefault="00AE7191" w:rsidP="00722885">
            <w:pPr>
              <w:pStyle w:val="Iauiue"/>
              <w:jc w:val="both"/>
              <w:rPr>
                <w:color w:val="000000" w:themeColor="text1"/>
                <w:sz w:val="16"/>
                <w:szCs w:val="16"/>
              </w:rPr>
            </w:pPr>
          </w:p>
        </w:tc>
        <w:tc>
          <w:tcPr>
            <w:tcW w:w="862" w:type="dxa"/>
          </w:tcPr>
          <w:p w14:paraId="0096D453" w14:textId="77777777" w:rsidR="00AE7191" w:rsidRPr="001E2C69" w:rsidRDefault="00AE7191" w:rsidP="00722885">
            <w:pPr>
              <w:pStyle w:val="Iauiue"/>
              <w:jc w:val="both"/>
              <w:rPr>
                <w:color w:val="000000" w:themeColor="text1"/>
                <w:sz w:val="16"/>
                <w:szCs w:val="16"/>
              </w:rPr>
            </w:pPr>
          </w:p>
        </w:tc>
        <w:tc>
          <w:tcPr>
            <w:tcW w:w="865" w:type="dxa"/>
          </w:tcPr>
          <w:p w14:paraId="355C2C0D" w14:textId="77777777" w:rsidR="00AE7191" w:rsidRPr="001E2C69" w:rsidRDefault="00AE7191" w:rsidP="00722885">
            <w:pPr>
              <w:pStyle w:val="Iauiue"/>
              <w:jc w:val="both"/>
              <w:rPr>
                <w:color w:val="000000" w:themeColor="text1"/>
                <w:sz w:val="16"/>
                <w:szCs w:val="16"/>
              </w:rPr>
            </w:pPr>
          </w:p>
        </w:tc>
        <w:tc>
          <w:tcPr>
            <w:tcW w:w="692" w:type="dxa"/>
          </w:tcPr>
          <w:p w14:paraId="2C12B588" w14:textId="77777777" w:rsidR="00AE7191" w:rsidRPr="001E2C69" w:rsidRDefault="00AE7191" w:rsidP="00722885">
            <w:pPr>
              <w:pStyle w:val="Iauiue"/>
              <w:jc w:val="both"/>
              <w:rPr>
                <w:color w:val="000000" w:themeColor="text1"/>
                <w:sz w:val="16"/>
                <w:szCs w:val="16"/>
              </w:rPr>
            </w:pPr>
          </w:p>
        </w:tc>
        <w:tc>
          <w:tcPr>
            <w:tcW w:w="1371" w:type="dxa"/>
          </w:tcPr>
          <w:p w14:paraId="64CAFA5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боезапасом</w:t>
            </w:r>
          </w:p>
        </w:tc>
        <w:tc>
          <w:tcPr>
            <w:tcW w:w="818" w:type="dxa"/>
          </w:tcPr>
          <w:p w14:paraId="59F281DB" w14:textId="77777777" w:rsidR="00AE7191" w:rsidRPr="001E2C69" w:rsidRDefault="00AE7191" w:rsidP="00722885">
            <w:pPr>
              <w:pStyle w:val="Iauiue"/>
              <w:jc w:val="both"/>
              <w:rPr>
                <w:color w:val="000000" w:themeColor="text1"/>
                <w:sz w:val="16"/>
                <w:szCs w:val="16"/>
              </w:rPr>
            </w:pPr>
          </w:p>
        </w:tc>
        <w:tc>
          <w:tcPr>
            <w:tcW w:w="830" w:type="dxa"/>
          </w:tcPr>
          <w:p w14:paraId="476C912A" w14:textId="77777777" w:rsidR="00AE7191" w:rsidRPr="001E2C69" w:rsidRDefault="00AE7191" w:rsidP="00722885">
            <w:pPr>
              <w:pStyle w:val="Iauiue"/>
              <w:jc w:val="both"/>
              <w:rPr>
                <w:color w:val="000000" w:themeColor="text1"/>
                <w:sz w:val="16"/>
                <w:szCs w:val="16"/>
              </w:rPr>
            </w:pPr>
          </w:p>
        </w:tc>
        <w:tc>
          <w:tcPr>
            <w:tcW w:w="829" w:type="dxa"/>
          </w:tcPr>
          <w:p w14:paraId="2B09D399" w14:textId="77777777" w:rsidR="00AE7191" w:rsidRPr="001E2C69" w:rsidRDefault="00AE7191" w:rsidP="00722885">
            <w:pPr>
              <w:pStyle w:val="Iauiue"/>
              <w:jc w:val="both"/>
              <w:rPr>
                <w:color w:val="000000" w:themeColor="text1"/>
                <w:sz w:val="16"/>
                <w:szCs w:val="16"/>
              </w:rPr>
            </w:pPr>
          </w:p>
        </w:tc>
        <w:tc>
          <w:tcPr>
            <w:tcW w:w="968" w:type="dxa"/>
          </w:tcPr>
          <w:p w14:paraId="3307582B" w14:textId="77777777" w:rsidR="00AE7191" w:rsidRPr="001E2C69" w:rsidRDefault="00AE7191" w:rsidP="00722885">
            <w:pPr>
              <w:pStyle w:val="Iauiue"/>
              <w:jc w:val="both"/>
              <w:rPr>
                <w:color w:val="000000" w:themeColor="text1"/>
                <w:sz w:val="16"/>
                <w:szCs w:val="16"/>
              </w:rPr>
            </w:pPr>
          </w:p>
        </w:tc>
        <w:tc>
          <w:tcPr>
            <w:tcW w:w="837" w:type="dxa"/>
          </w:tcPr>
          <w:p w14:paraId="3BCE3D51" w14:textId="77777777" w:rsidR="00AE7191" w:rsidRPr="001E2C69" w:rsidRDefault="00AE7191" w:rsidP="00722885">
            <w:pPr>
              <w:pStyle w:val="Iauiue"/>
              <w:jc w:val="both"/>
              <w:rPr>
                <w:color w:val="000000" w:themeColor="text1"/>
                <w:sz w:val="16"/>
                <w:szCs w:val="16"/>
              </w:rPr>
            </w:pPr>
          </w:p>
        </w:tc>
      </w:tr>
      <w:tr w:rsidR="001E2C69" w:rsidRPr="001E2C69" w14:paraId="2389A0C5" w14:textId="77777777" w:rsidTr="00CC5360">
        <w:tc>
          <w:tcPr>
            <w:tcW w:w="1809" w:type="dxa"/>
          </w:tcPr>
          <w:p w14:paraId="6311B77C" w14:textId="77777777" w:rsidR="00AE7191" w:rsidRPr="001E2C69" w:rsidRDefault="00AE7191" w:rsidP="00722885">
            <w:pPr>
              <w:pStyle w:val="Iauiue"/>
              <w:jc w:val="both"/>
              <w:rPr>
                <w:color w:val="000000" w:themeColor="text1"/>
                <w:sz w:val="16"/>
                <w:szCs w:val="16"/>
              </w:rPr>
            </w:pPr>
          </w:p>
        </w:tc>
        <w:tc>
          <w:tcPr>
            <w:tcW w:w="723" w:type="dxa"/>
          </w:tcPr>
          <w:p w14:paraId="39B90C5B" w14:textId="77777777" w:rsidR="00AE7191" w:rsidRPr="001E2C69" w:rsidRDefault="00AE7191" w:rsidP="00722885">
            <w:pPr>
              <w:pStyle w:val="Iauiue"/>
              <w:jc w:val="both"/>
              <w:rPr>
                <w:color w:val="000000" w:themeColor="text1"/>
                <w:sz w:val="16"/>
                <w:szCs w:val="16"/>
              </w:rPr>
            </w:pPr>
          </w:p>
        </w:tc>
        <w:tc>
          <w:tcPr>
            <w:tcW w:w="862" w:type="dxa"/>
          </w:tcPr>
          <w:p w14:paraId="0B1BBFA6" w14:textId="77777777" w:rsidR="00AE7191" w:rsidRPr="001E2C69" w:rsidRDefault="00AE7191" w:rsidP="00722885">
            <w:pPr>
              <w:pStyle w:val="Iauiue"/>
              <w:jc w:val="both"/>
              <w:rPr>
                <w:color w:val="000000" w:themeColor="text1"/>
                <w:sz w:val="16"/>
                <w:szCs w:val="16"/>
              </w:rPr>
            </w:pPr>
          </w:p>
        </w:tc>
        <w:tc>
          <w:tcPr>
            <w:tcW w:w="865" w:type="dxa"/>
          </w:tcPr>
          <w:p w14:paraId="42940CCF" w14:textId="77777777" w:rsidR="00AE7191" w:rsidRPr="001E2C69" w:rsidRDefault="00AE7191" w:rsidP="00722885">
            <w:pPr>
              <w:pStyle w:val="Iauiue"/>
              <w:jc w:val="both"/>
              <w:rPr>
                <w:color w:val="000000" w:themeColor="text1"/>
                <w:sz w:val="16"/>
                <w:szCs w:val="16"/>
              </w:rPr>
            </w:pPr>
          </w:p>
        </w:tc>
        <w:tc>
          <w:tcPr>
            <w:tcW w:w="692" w:type="dxa"/>
          </w:tcPr>
          <w:p w14:paraId="44BC424E" w14:textId="77777777" w:rsidR="00AE7191" w:rsidRPr="001E2C69" w:rsidRDefault="00AE7191" w:rsidP="00722885">
            <w:pPr>
              <w:pStyle w:val="Iauiue"/>
              <w:jc w:val="both"/>
              <w:rPr>
                <w:color w:val="000000" w:themeColor="text1"/>
                <w:sz w:val="16"/>
                <w:szCs w:val="16"/>
              </w:rPr>
            </w:pPr>
          </w:p>
        </w:tc>
        <w:tc>
          <w:tcPr>
            <w:tcW w:w="1371" w:type="dxa"/>
          </w:tcPr>
          <w:p w14:paraId="054893C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400 патрон.</w:t>
            </w:r>
          </w:p>
        </w:tc>
        <w:tc>
          <w:tcPr>
            <w:tcW w:w="818" w:type="dxa"/>
          </w:tcPr>
          <w:p w14:paraId="4C59691F" w14:textId="77777777" w:rsidR="00AE7191" w:rsidRPr="001E2C69" w:rsidRDefault="00AE7191" w:rsidP="00722885">
            <w:pPr>
              <w:pStyle w:val="Iauiue"/>
              <w:jc w:val="both"/>
              <w:rPr>
                <w:color w:val="000000" w:themeColor="text1"/>
                <w:sz w:val="16"/>
                <w:szCs w:val="16"/>
              </w:rPr>
            </w:pPr>
          </w:p>
        </w:tc>
        <w:tc>
          <w:tcPr>
            <w:tcW w:w="830" w:type="dxa"/>
          </w:tcPr>
          <w:p w14:paraId="1D229677" w14:textId="77777777" w:rsidR="00AE7191" w:rsidRPr="001E2C69" w:rsidRDefault="00AE7191" w:rsidP="00722885">
            <w:pPr>
              <w:pStyle w:val="Iauiue"/>
              <w:jc w:val="both"/>
              <w:rPr>
                <w:color w:val="000000" w:themeColor="text1"/>
                <w:sz w:val="16"/>
                <w:szCs w:val="16"/>
              </w:rPr>
            </w:pPr>
          </w:p>
        </w:tc>
        <w:tc>
          <w:tcPr>
            <w:tcW w:w="829" w:type="dxa"/>
          </w:tcPr>
          <w:p w14:paraId="52F322A7" w14:textId="77777777" w:rsidR="00AE7191" w:rsidRPr="001E2C69" w:rsidRDefault="00AE7191" w:rsidP="00722885">
            <w:pPr>
              <w:pStyle w:val="Iauiue"/>
              <w:jc w:val="both"/>
              <w:rPr>
                <w:color w:val="000000" w:themeColor="text1"/>
                <w:sz w:val="16"/>
                <w:szCs w:val="16"/>
              </w:rPr>
            </w:pPr>
          </w:p>
        </w:tc>
        <w:tc>
          <w:tcPr>
            <w:tcW w:w="968" w:type="dxa"/>
          </w:tcPr>
          <w:p w14:paraId="54854F30" w14:textId="77777777" w:rsidR="00AE7191" w:rsidRPr="001E2C69" w:rsidRDefault="00AE7191" w:rsidP="00722885">
            <w:pPr>
              <w:pStyle w:val="Iauiue"/>
              <w:jc w:val="both"/>
              <w:rPr>
                <w:color w:val="000000" w:themeColor="text1"/>
                <w:sz w:val="16"/>
                <w:szCs w:val="16"/>
              </w:rPr>
            </w:pPr>
          </w:p>
        </w:tc>
        <w:tc>
          <w:tcPr>
            <w:tcW w:w="837" w:type="dxa"/>
          </w:tcPr>
          <w:p w14:paraId="193BBB35" w14:textId="77777777" w:rsidR="00AE7191" w:rsidRPr="001E2C69" w:rsidRDefault="00AE7191" w:rsidP="00722885">
            <w:pPr>
              <w:pStyle w:val="Iauiue"/>
              <w:jc w:val="both"/>
              <w:rPr>
                <w:color w:val="000000" w:themeColor="text1"/>
                <w:sz w:val="16"/>
                <w:szCs w:val="16"/>
              </w:rPr>
            </w:pPr>
          </w:p>
        </w:tc>
      </w:tr>
      <w:tr w:rsidR="001E2C69" w:rsidRPr="001E2C69" w14:paraId="0BB8B831" w14:textId="77777777" w:rsidTr="00CC5360">
        <w:tc>
          <w:tcPr>
            <w:tcW w:w="1809" w:type="dxa"/>
          </w:tcPr>
          <w:p w14:paraId="71E9681A" w14:textId="77777777" w:rsidR="00AE7191" w:rsidRPr="001E2C69" w:rsidRDefault="00AE7191" w:rsidP="00722885">
            <w:pPr>
              <w:pStyle w:val="Iauiue"/>
              <w:jc w:val="both"/>
              <w:rPr>
                <w:color w:val="000000" w:themeColor="text1"/>
                <w:sz w:val="16"/>
                <w:szCs w:val="16"/>
              </w:rPr>
            </w:pPr>
          </w:p>
        </w:tc>
        <w:tc>
          <w:tcPr>
            <w:tcW w:w="723" w:type="dxa"/>
          </w:tcPr>
          <w:p w14:paraId="224B92AD" w14:textId="77777777" w:rsidR="00AE7191" w:rsidRPr="001E2C69" w:rsidRDefault="00AE7191" w:rsidP="00722885">
            <w:pPr>
              <w:pStyle w:val="Iauiue"/>
              <w:jc w:val="both"/>
              <w:rPr>
                <w:color w:val="000000" w:themeColor="text1"/>
                <w:sz w:val="16"/>
                <w:szCs w:val="16"/>
              </w:rPr>
            </w:pPr>
          </w:p>
        </w:tc>
        <w:tc>
          <w:tcPr>
            <w:tcW w:w="862" w:type="dxa"/>
          </w:tcPr>
          <w:p w14:paraId="4846B99C" w14:textId="77777777" w:rsidR="00AE7191" w:rsidRPr="001E2C69" w:rsidRDefault="00AE7191" w:rsidP="00722885">
            <w:pPr>
              <w:pStyle w:val="Iauiue"/>
              <w:jc w:val="both"/>
              <w:rPr>
                <w:color w:val="000000" w:themeColor="text1"/>
                <w:sz w:val="16"/>
                <w:szCs w:val="16"/>
              </w:rPr>
            </w:pPr>
          </w:p>
        </w:tc>
        <w:tc>
          <w:tcPr>
            <w:tcW w:w="865" w:type="dxa"/>
          </w:tcPr>
          <w:p w14:paraId="5C4B6971" w14:textId="77777777" w:rsidR="00AE7191" w:rsidRPr="001E2C69" w:rsidRDefault="00AE7191" w:rsidP="00722885">
            <w:pPr>
              <w:pStyle w:val="Iauiue"/>
              <w:jc w:val="both"/>
              <w:rPr>
                <w:color w:val="000000" w:themeColor="text1"/>
                <w:sz w:val="16"/>
                <w:szCs w:val="16"/>
              </w:rPr>
            </w:pPr>
          </w:p>
        </w:tc>
        <w:tc>
          <w:tcPr>
            <w:tcW w:w="692" w:type="dxa"/>
          </w:tcPr>
          <w:p w14:paraId="5418F0BC" w14:textId="77777777" w:rsidR="00AE7191" w:rsidRPr="001E2C69" w:rsidRDefault="00AE7191" w:rsidP="00722885">
            <w:pPr>
              <w:pStyle w:val="Iauiue"/>
              <w:jc w:val="both"/>
              <w:rPr>
                <w:color w:val="000000" w:themeColor="text1"/>
                <w:sz w:val="16"/>
                <w:szCs w:val="16"/>
              </w:rPr>
            </w:pPr>
          </w:p>
        </w:tc>
        <w:tc>
          <w:tcPr>
            <w:tcW w:w="1371" w:type="dxa"/>
          </w:tcPr>
          <w:p w14:paraId="5BD8509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Назад:</w:t>
            </w:r>
          </w:p>
        </w:tc>
        <w:tc>
          <w:tcPr>
            <w:tcW w:w="818" w:type="dxa"/>
          </w:tcPr>
          <w:p w14:paraId="149860BD" w14:textId="77777777" w:rsidR="00AE7191" w:rsidRPr="001E2C69" w:rsidRDefault="00AE7191" w:rsidP="00722885">
            <w:pPr>
              <w:pStyle w:val="Iauiue"/>
              <w:jc w:val="both"/>
              <w:rPr>
                <w:color w:val="000000" w:themeColor="text1"/>
                <w:sz w:val="16"/>
                <w:szCs w:val="16"/>
              </w:rPr>
            </w:pPr>
          </w:p>
        </w:tc>
        <w:tc>
          <w:tcPr>
            <w:tcW w:w="830" w:type="dxa"/>
          </w:tcPr>
          <w:p w14:paraId="34C3E8C2" w14:textId="77777777" w:rsidR="00AE7191" w:rsidRPr="001E2C69" w:rsidRDefault="00AE7191" w:rsidP="00722885">
            <w:pPr>
              <w:pStyle w:val="Iauiue"/>
              <w:jc w:val="both"/>
              <w:rPr>
                <w:color w:val="000000" w:themeColor="text1"/>
                <w:sz w:val="16"/>
                <w:szCs w:val="16"/>
              </w:rPr>
            </w:pPr>
          </w:p>
        </w:tc>
        <w:tc>
          <w:tcPr>
            <w:tcW w:w="829" w:type="dxa"/>
          </w:tcPr>
          <w:p w14:paraId="5AC539DC" w14:textId="77777777" w:rsidR="00AE7191" w:rsidRPr="001E2C69" w:rsidRDefault="00AE7191" w:rsidP="00722885">
            <w:pPr>
              <w:pStyle w:val="Iauiue"/>
              <w:jc w:val="both"/>
              <w:rPr>
                <w:color w:val="000000" w:themeColor="text1"/>
                <w:sz w:val="16"/>
                <w:szCs w:val="16"/>
              </w:rPr>
            </w:pPr>
          </w:p>
        </w:tc>
        <w:tc>
          <w:tcPr>
            <w:tcW w:w="968" w:type="dxa"/>
          </w:tcPr>
          <w:p w14:paraId="5B498F87" w14:textId="77777777" w:rsidR="00AE7191" w:rsidRPr="001E2C69" w:rsidRDefault="00AE7191" w:rsidP="00722885">
            <w:pPr>
              <w:pStyle w:val="Iauiue"/>
              <w:jc w:val="both"/>
              <w:rPr>
                <w:color w:val="000000" w:themeColor="text1"/>
                <w:sz w:val="16"/>
                <w:szCs w:val="16"/>
              </w:rPr>
            </w:pPr>
          </w:p>
        </w:tc>
        <w:tc>
          <w:tcPr>
            <w:tcW w:w="837" w:type="dxa"/>
          </w:tcPr>
          <w:p w14:paraId="30140962" w14:textId="77777777" w:rsidR="00AE7191" w:rsidRPr="001E2C69" w:rsidRDefault="00AE7191" w:rsidP="00722885">
            <w:pPr>
              <w:pStyle w:val="Iauiue"/>
              <w:jc w:val="both"/>
              <w:rPr>
                <w:color w:val="000000" w:themeColor="text1"/>
                <w:sz w:val="16"/>
                <w:szCs w:val="16"/>
              </w:rPr>
            </w:pPr>
          </w:p>
        </w:tc>
      </w:tr>
      <w:tr w:rsidR="001E2C69" w:rsidRPr="001E2C69" w14:paraId="52FCD02D" w14:textId="77777777" w:rsidTr="00CC5360">
        <w:tc>
          <w:tcPr>
            <w:tcW w:w="1809" w:type="dxa"/>
          </w:tcPr>
          <w:p w14:paraId="487EDD22" w14:textId="77777777" w:rsidR="00AE7191" w:rsidRPr="001E2C69" w:rsidRDefault="00AE7191" w:rsidP="00722885">
            <w:pPr>
              <w:pStyle w:val="Iauiue"/>
              <w:jc w:val="both"/>
              <w:rPr>
                <w:color w:val="000000" w:themeColor="text1"/>
                <w:sz w:val="16"/>
                <w:szCs w:val="16"/>
              </w:rPr>
            </w:pPr>
          </w:p>
        </w:tc>
        <w:tc>
          <w:tcPr>
            <w:tcW w:w="723" w:type="dxa"/>
          </w:tcPr>
          <w:p w14:paraId="45F63712" w14:textId="77777777" w:rsidR="00AE7191" w:rsidRPr="001E2C69" w:rsidRDefault="00AE7191" w:rsidP="00722885">
            <w:pPr>
              <w:pStyle w:val="Iauiue"/>
              <w:jc w:val="both"/>
              <w:rPr>
                <w:color w:val="000000" w:themeColor="text1"/>
                <w:sz w:val="16"/>
                <w:szCs w:val="16"/>
              </w:rPr>
            </w:pPr>
          </w:p>
        </w:tc>
        <w:tc>
          <w:tcPr>
            <w:tcW w:w="862" w:type="dxa"/>
          </w:tcPr>
          <w:p w14:paraId="11AB7F97" w14:textId="77777777" w:rsidR="00AE7191" w:rsidRPr="001E2C69" w:rsidRDefault="00AE7191" w:rsidP="00722885">
            <w:pPr>
              <w:pStyle w:val="Iauiue"/>
              <w:jc w:val="both"/>
              <w:rPr>
                <w:color w:val="000000" w:themeColor="text1"/>
                <w:sz w:val="16"/>
                <w:szCs w:val="16"/>
              </w:rPr>
            </w:pPr>
          </w:p>
        </w:tc>
        <w:tc>
          <w:tcPr>
            <w:tcW w:w="865" w:type="dxa"/>
          </w:tcPr>
          <w:p w14:paraId="7B4A735B" w14:textId="77777777" w:rsidR="00AE7191" w:rsidRPr="001E2C69" w:rsidRDefault="00AE7191" w:rsidP="00722885">
            <w:pPr>
              <w:pStyle w:val="Iauiue"/>
              <w:jc w:val="both"/>
              <w:rPr>
                <w:color w:val="000000" w:themeColor="text1"/>
                <w:sz w:val="16"/>
                <w:szCs w:val="16"/>
              </w:rPr>
            </w:pPr>
          </w:p>
        </w:tc>
        <w:tc>
          <w:tcPr>
            <w:tcW w:w="692" w:type="dxa"/>
          </w:tcPr>
          <w:p w14:paraId="72387067" w14:textId="77777777" w:rsidR="00AE7191" w:rsidRPr="001E2C69" w:rsidRDefault="00AE7191" w:rsidP="00722885">
            <w:pPr>
              <w:pStyle w:val="Iauiue"/>
              <w:jc w:val="both"/>
              <w:rPr>
                <w:color w:val="000000" w:themeColor="text1"/>
                <w:sz w:val="16"/>
                <w:szCs w:val="16"/>
              </w:rPr>
            </w:pPr>
          </w:p>
        </w:tc>
        <w:tc>
          <w:tcPr>
            <w:tcW w:w="1371" w:type="dxa"/>
          </w:tcPr>
          <w:p w14:paraId="7A3D137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пулем. 12,7 мм</w:t>
            </w:r>
          </w:p>
        </w:tc>
        <w:tc>
          <w:tcPr>
            <w:tcW w:w="818" w:type="dxa"/>
          </w:tcPr>
          <w:p w14:paraId="14213D76" w14:textId="77777777" w:rsidR="00AE7191" w:rsidRPr="001E2C69" w:rsidRDefault="00AE7191" w:rsidP="00722885">
            <w:pPr>
              <w:pStyle w:val="Iauiue"/>
              <w:jc w:val="both"/>
              <w:rPr>
                <w:color w:val="000000" w:themeColor="text1"/>
                <w:sz w:val="16"/>
                <w:szCs w:val="16"/>
              </w:rPr>
            </w:pPr>
          </w:p>
        </w:tc>
        <w:tc>
          <w:tcPr>
            <w:tcW w:w="830" w:type="dxa"/>
          </w:tcPr>
          <w:p w14:paraId="5A3FA15F" w14:textId="77777777" w:rsidR="00AE7191" w:rsidRPr="001E2C69" w:rsidRDefault="00AE7191" w:rsidP="00722885">
            <w:pPr>
              <w:pStyle w:val="Iauiue"/>
              <w:jc w:val="both"/>
              <w:rPr>
                <w:color w:val="000000" w:themeColor="text1"/>
                <w:sz w:val="16"/>
                <w:szCs w:val="16"/>
              </w:rPr>
            </w:pPr>
          </w:p>
        </w:tc>
        <w:tc>
          <w:tcPr>
            <w:tcW w:w="829" w:type="dxa"/>
          </w:tcPr>
          <w:p w14:paraId="561E9A9E" w14:textId="77777777" w:rsidR="00AE7191" w:rsidRPr="001E2C69" w:rsidRDefault="00AE7191" w:rsidP="00722885">
            <w:pPr>
              <w:pStyle w:val="Iauiue"/>
              <w:jc w:val="both"/>
              <w:rPr>
                <w:color w:val="000000" w:themeColor="text1"/>
                <w:sz w:val="16"/>
                <w:szCs w:val="16"/>
              </w:rPr>
            </w:pPr>
          </w:p>
        </w:tc>
        <w:tc>
          <w:tcPr>
            <w:tcW w:w="968" w:type="dxa"/>
          </w:tcPr>
          <w:p w14:paraId="6F1E88D2" w14:textId="77777777" w:rsidR="00AE7191" w:rsidRPr="001E2C69" w:rsidRDefault="00AE7191" w:rsidP="00722885">
            <w:pPr>
              <w:pStyle w:val="Iauiue"/>
              <w:jc w:val="both"/>
              <w:rPr>
                <w:color w:val="000000" w:themeColor="text1"/>
                <w:sz w:val="16"/>
                <w:szCs w:val="16"/>
              </w:rPr>
            </w:pPr>
          </w:p>
        </w:tc>
        <w:tc>
          <w:tcPr>
            <w:tcW w:w="837" w:type="dxa"/>
          </w:tcPr>
          <w:p w14:paraId="0173CFF0" w14:textId="77777777" w:rsidR="00AE7191" w:rsidRPr="001E2C69" w:rsidRDefault="00AE7191" w:rsidP="00722885">
            <w:pPr>
              <w:pStyle w:val="Iauiue"/>
              <w:jc w:val="both"/>
              <w:rPr>
                <w:color w:val="000000" w:themeColor="text1"/>
                <w:sz w:val="16"/>
                <w:szCs w:val="16"/>
              </w:rPr>
            </w:pPr>
          </w:p>
        </w:tc>
      </w:tr>
      <w:tr w:rsidR="001E2C69" w:rsidRPr="001E2C69" w14:paraId="4D0E1224" w14:textId="77777777" w:rsidTr="00CC5360">
        <w:tc>
          <w:tcPr>
            <w:tcW w:w="1809" w:type="dxa"/>
          </w:tcPr>
          <w:p w14:paraId="47CB2BB6" w14:textId="77777777" w:rsidR="00AE7191" w:rsidRPr="001E2C69" w:rsidRDefault="00AE7191" w:rsidP="00722885">
            <w:pPr>
              <w:pStyle w:val="Iauiue"/>
              <w:jc w:val="both"/>
              <w:rPr>
                <w:color w:val="000000" w:themeColor="text1"/>
                <w:sz w:val="16"/>
                <w:szCs w:val="16"/>
              </w:rPr>
            </w:pPr>
          </w:p>
        </w:tc>
        <w:tc>
          <w:tcPr>
            <w:tcW w:w="723" w:type="dxa"/>
          </w:tcPr>
          <w:p w14:paraId="5858B07E" w14:textId="77777777" w:rsidR="00AE7191" w:rsidRPr="001E2C69" w:rsidRDefault="00AE7191" w:rsidP="00722885">
            <w:pPr>
              <w:pStyle w:val="Iauiue"/>
              <w:jc w:val="both"/>
              <w:rPr>
                <w:color w:val="000000" w:themeColor="text1"/>
                <w:sz w:val="16"/>
                <w:szCs w:val="16"/>
              </w:rPr>
            </w:pPr>
          </w:p>
        </w:tc>
        <w:tc>
          <w:tcPr>
            <w:tcW w:w="862" w:type="dxa"/>
          </w:tcPr>
          <w:p w14:paraId="5D77C7A2" w14:textId="77777777" w:rsidR="00AE7191" w:rsidRPr="001E2C69" w:rsidRDefault="00AE7191" w:rsidP="00722885">
            <w:pPr>
              <w:pStyle w:val="Iauiue"/>
              <w:jc w:val="both"/>
              <w:rPr>
                <w:color w:val="000000" w:themeColor="text1"/>
                <w:sz w:val="16"/>
                <w:szCs w:val="16"/>
              </w:rPr>
            </w:pPr>
          </w:p>
        </w:tc>
        <w:tc>
          <w:tcPr>
            <w:tcW w:w="865" w:type="dxa"/>
          </w:tcPr>
          <w:p w14:paraId="57328757" w14:textId="77777777" w:rsidR="00AE7191" w:rsidRPr="001E2C69" w:rsidRDefault="00AE7191" w:rsidP="00722885">
            <w:pPr>
              <w:pStyle w:val="Iauiue"/>
              <w:jc w:val="both"/>
              <w:rPr>
                <w:color w:val="000000" w:themeColor="text1"/>
                <w:sz w:val="16"/>
                <w:szCs w:val="16"/>
              </w:rPr>
            </w:pPr>
          </w:p>
        </w:tc>
        <w:tc>
          <w:tcPr>
            <w:tcW w:w="692" w:type="dxa"/>
          </w:tcPr>
          <w:p w14:paraId="487EE740" w14:textId="77777777" w:rsidR="00AE7191" w:rsidRPr="001E2C69" w:rsidRDefault="00AE7191" w:rsidP="00722885">
            <w:pPr>
              <w:pStyle w:val="Iauiue"/>
              <w:jc w:val="both"/>
              <w:rPr>
                <w:color w:val="000000" w:themeColor="text1"/>
                <w:sz w:val="16"/>
                <w:szCs w:val="16"/>
              </w:rPr>
            </w:pPr>
          </w:p>
        </w:tc>
        <w:tc>
          <w:tcPr>
            <w:tcW w:w="1371" w:type="dxa"/>
          </w:tcPr>
          <w:p w14:paraId="477A698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боезапасом</w:t>
            </w:r>
          </w:p>
        </w:tc>
        <w:tc>
          <w:tcPr>
            <w:tcW w:w="818" w:type="dxa"/>
          </w:tcPr>
          <w:p w14:paraId="3E2E38E1" w14:textId="77777777" w:rsidR="00AE7191" w:rsidRPr="001E2C69" w:rsidRDefault="00AE7191" w:rsidP="00722885">
            <w:pPr>
              <w:pStyle w:val="Iauiue"/>
              <w:jc w:val="both"/>
              <w:rPr>
                <w:color w:val="000000" w:themeColor="text1"/>
                <w:sz w:val="16"/>
                <w:szCs w:val="16"/>
              </w:rPr>
            </w:pPr>
          </w:p>
        </w:tc>
        <w:tc>
          <w:tcPr>
            <w:tcW w:w="830" w:type="dxa"/>
          </w:tcPr>
          <w:p w14:paraId="0E48E05D" w14:textId="77777777" w:rsidR="00AE7191" w:rsidRPr="001E2C69" w:rsidRDefault="00AE7191" w:rsidP="00722885">
            <w:pPr>
              <w:pStyle w:val="Iauiue"/>
              <w:jc w:val="both"/>
              <w:rPr>
                <w:color w:val="000000" w:themeColor="text1"/>
                <w:sz w:val="16"/>
                <w:szCs w:val="16"/>
              </w:rPr>
            </w:pPr>
          </w:p>
        </w:tc>
        <w:tc>
          <w:tcPr>
            <w:tcW w:w="829" w:type="dxa"/>
          </w:tcPr>
          <w:p w14:paraId="1CD41459" w14:textId="77777777" w:rsidR="00AE7191" w:rsidRPr="001E2C69" w:rsidRDefault="00AE7191" w:rsidP="00722885">
            <w:pPr>
              <w:pStyle w:val="Iauiue"/>
              <w:jc w:val="both"/>
              <w:rPr>
                <w:color w:val="000000" w:themeColor="text1"/>
                <w:sz w:val="16"/>
                <w:szCs w:val="16"/>
              </w:rPr>
            </w:pPr>
          </w:p>
        </w:tc>
        <w:tc>
          <w:tcPr>
            <w:tcW w:w="968" w:type="dxa"/>
          </w:tcPr>
          <w:p w14:paraId="0F1D5587" w14:textId="77777777" w:rsidR="00AE7191" w:rsidRPr="001E2C69" w:rsidRDefault="00AE7191" w:rsidP="00722885">
            <w:pPr>
              <w:pStyle w:val="Iauiue"/>
              <w:jc w:val="both"/>
              <w:rPr>
                <w:color w:val="000000" w:themeColor="text1"/>
                <w:sz w:val="16"/>
                <w:szCs w:val="16"/>
              </w:rPr>
            </w:pPr>
          </w:p>
        </w:tc>
        <w:tc>
          <w:tcPr>
            <w:tcW w:w="837" w:type="dxa"/>
          </w:tcPr>
          <w:p w14:paraId="7366E28C" w14:textId="77777777" w:rsidR="00AE7191" w:rsidRPr="001E2C69" w:rsidRDefault="00AE7191" w:rsidP="00722885">
            <w:pPr>
              <w:pStyle w:val="Iauiue"/>
              <w:jc w:val="both"/>
              <w:rPr>
                <w:color w:val="000000" w:themeColor="text1"/>
                <w:sz w:val="16"/>
                <w:szCs w:val="16"/>
              </w:rPr>
            </w:pPr>
          </w:p>
        </w:tc>
      </w:tr>
      <w:tr w:rsidR="001E2C69" w:rsidRPr="001E2C69" w14:paraId="043D1711" w14:textId="77777777" w:rsidTr="00CC5360">
        <w:tc>
          <w:tcPr>
            <w:tcW w:w="1809" w:type="dxa"/>
          </w:tcPr>
          <w:p w14:paraId="2FDABD88" w14:textId="77777777" w:rsidR="00AE7191" w:rsidRPr="001E2C69" w:rsidRDefault="00AE7191" w:rsidP="00722885">
            <w:pPr>
              <w:pStyle w:val="Iauiue"/>
              <w:jc w:val="both"/>
              <w:rPr>
                <w:color w:val="000000" w:themeColor="text1"/>
                <w:sz w:val="16"/>
                <w:szCs w:val="16"/>
              </w:rPr>
            </w:pPr>
          </w:p>
        </w:tc>
        <w:tc>
          <w:tcPr>
            <w:tcW w:w="723" w:type="dxa"/>
          </w:tcPr>
          <w:p w14:paraId="75A5C4B3" w14:textId="77777777" w:rsidR="00AE7191" w:rsidRPr="001E2C69" w:rsidRDefault="00AE7191" w:rsidP="00722885">
            <w:pPr>
              <w:pStyle w:val="Iauiue"/>
              <w:jc w:val="both"/>
              <w:rPr>
                <w:color w:val="000000" w:themeColor="text1"/>
                <w:sz w:val="16"/>
                <w:szCs w:val="16"/>
              </w:rPr>
            </w:pPr>
          </w:p>
        </w:tc>
        <w:tc>
          <w:tcPr>
            <w:tcW w:w="862" w:type="dxa"/>
          </w:tcPr>
          <w:p w14:paraId="7377ED00" w14:textId="77777777" w:rsidR="00AE7191" w:rsidRPr="001E2C69" w:rsidRDefault="00AE7191" w:rsidP="00722885">
            <w:pPr>
              <w:pStyle w:val="Iauiue"/>
              <w:jc w:val="both"/>
              <w:rPr>
                <w:color w:val="000000" w:themeColor="text1"/>
                <w:sz w:val="16"/>
                <w:szCs w:val="16"/>
              </w:rPr>
            </w:pPr>
          </w:p>
        </w:tc>
        <w:tc>
          <w:tcPr>
            <w:tcW w:w="865" w:type="dxa"/>
          </w:tcPr>
          <w:p w14:paraId="5ACC2171" w14:textId="77777777" w:rsidR="00AE7191" w:rsidRPr="001E2C69" w:rsidRDefault="00AE7191" w:rsidP="00722885">
            <w:pPr>
              <w:pStyle w:val="Iauiue"/>
              <w:jc w:val="both"/>
              <w:rPr>
                <w:color w:val="000000" w:themeColor="text1"/>
                <w:sz w:val="16"/>
                <w:szCs w:val="16"/>
              </w:rPr>
            </w:pPr>
          </w:p>
        </w:tc>
        <w:tc>
          <w:tcPr>
            <w:tcW w:w="692" w:type="dxa"/>
          </w:tcPr>
          <w:p w14:paraId="642BE369" w14:textId="77777777" w:rsidR="00AE7191" w:rsidRPr="001E2C69" w:rsidRDefault="00AE7191" w:rsidP="00722885">
            <w:pPr>
              <w:pStyle w:val="Iauiue"/>
              <w:jc w:val="both"/>
              <w:rPr>
                <w:color w:val="000000" w:themeColor="text1"/>
                <w:sz w:val="16"/>
                <w:szCs w:val="16"/>
              </w:rPr>
            </w:pPr>
          </w:p>
        </w:tc>
        <w:tc>
          <w:tcPr>
            <w:tcW w:w="1371" w:type="dxa"/>
          </w:tcPr>
          <w:p w14:paraId="02C01A8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200 патронов</w:t>
            </w:r>
          </w:p>
        </w:tc>
        <w:tc>
          <w:tcPr>
            <w:tcW w:w="818" w:type="dxa"/>
          </w:tcPr>
          <w:p w14:paraId="1EC739D0" w14:textId="77777777" w:rsidR="00AE7191" w:rsidRPr="001E2C69" w:rsidRDefault="00AE7191" w:rsidP="00722885">
            <w:pPr>
              <w:pStyle w:val="Iauiue"/>
              <w:jc w:val="both"/>
              <w:rPr>
                <w:color w:val="000000" w:themeColor="text1"/>
                <w:sz w:val="16"/>
                <w:szCs w:val="16"/>
              </w:rPr>
            </w:pPr>
          </w:p>
        </w:tc>
        <w:tc>
          <w:tcPr>
            <w:tcW w:w="830" w:type="dxa"/>
          </w:tcPr>
          <w:p w14:paraId="5C01A8F2" w14:textId="77777777" w:rsidR="00AE7191" w:rsidRPr="001E2C69" w:rsidRDefault="00AE7191" w:rsidP="00722885">
            <w:pPr>
              <w:pStyle w:val="Iauiue"/>
              <w:jc w:val="both"/>
              <w:rPr>
                <w:color w:val="000000" w:themeColor="text1"/>
                <w:sz w:val="16"/>
                <w:szCs w:val="16"/>
              </w:rPr>
            </w:pPr>
          </w:p>
        </w:tc>
        <w:tc>
          <w:tcPr>
            <w:tcW w:w="829" w:type="dxa"/>
          </w:tcPr>
          <w:p w14:paraId="46BB283A" w14:textId="77777777" w:rsidR="00AE7191" w:rsidRPr="001E2C69" w:rsidRDefault="00AE7191" w:rsidP="00722885">
            <w:pPr>
              <w:pStyle w:val="Iauiue"/>
              <w:jc w:val="both"/>
              <w:rPr>
                <w:color w:val="000000" w:themeColor="text1"/>
                <w:sz w:val="16"/>
                <w:szCs w:val="16"/>
              </w:rPr>
            </w:pPr>
          </w:p>
        </w:tc>
        <w:tc>
          <w:tcPr>
            <w:tcW w:w="968" w:type="dxa"/>
          </w:tcPr>
          <w:p w14:paraId="15030A85" w14:textId="77777777" w:rsidR="00AE7191" w:rsidRPr="001E2C69" w:rsidRDefault="00AE7191" w:rsidP="00722885">
            <w:pPr>
              <w:pStyle w:val="Iauiue"/>
              <w:jc w:val="both"/>
              <w:rPr>
                <w:color w:val="000000" w:themeColor="text1"/>
                <w:sz w:val="16"/>
                <w:szCs w:val="16"/>
              </w:rPr>
            </w:pPr>
          </w:p>
        </w:tc>
        <w:tc>
          <w:tcPr>
            <w:tcW w:w="837" w:type="dxa"/>
          </w:tcPr>
          <w:p w14:paraId="30B754CD" w14:textId="77777777" w:rsidR="00AE7191" w:rsidRPr="001E2C69" w:rsidRDefault="00AE7191" w:rsidP="00722885">
            <w:pPr>
              <w:pStyle w:val="Iauiue"/>
              <w:jc w:val="both"/>
              <w:rPr>
                <w:color w:val="000000" w:themeColor="text1"/>
                <w:sz w:val="16"/>
                <w:szCs w:val="16"/>
              </w:rPr>
            </w:pPr>
          </w:p>
        </w:tc>
      </w:tr>
      <w:tr w:rsidR="001E2C69" w:rsidRPr="001E2C69" w14:paraId="235DCA65" w14:textId="77777777" w:rsidTr="00CC5360">
        <w:tc>
          <w:tcPr>
            <w:tcW w:w="1809" w:type="dxa"/>
          </w:tcPr>
          <w:p w14:paraId="36AA8B7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 Модификация</w:t>
            </w:r>
          </w:p>
        </w:tc>
        <w:tc>
          <w:tcPr>
            <w:tcW w:w="723" w:type="dxa"/>
          </w:tcPr>
          <w:p w14:paraId="47B4449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w:t>
            </w:r>
          </w:p>
        </w:tc>
        <w:tc>
          <w:tcPr>
            <w:tcW w:w="862" w:type="dxa"/>
          </w:tcPr>
          <w:p w14:paraId="69B84D3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575/6500</w:t>
            </w:r>
          </w:p>
        </w:tc>
        <w:tc>
          <w:tcPr>
            <w:tcW w:w="865" w:type="dxa"/>
          </w:tcPr>
          <w:p w14:paraId="5E761FB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1000/3000</w:t>
            </w:r>
          </w:p>
        </w:tc>
        <w:tc>
          <w:tcPr>
            <w:tcW w:w="692" w:type="dxa"/>
          </w:tcPr>
          <w:p w14:paraId="74AAFA2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w:t>
            </w:r>
          </w:p>
        </w:tc>
        <w:tc>
          <w:tcPr>
            <w:tcW w:w="1371" w:type="dxa"/>
          </w:tcPr>
          <w:p w14:paraId="5E4AB79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Вперед:</w:t>
            </w:r>
          </w:p>
        </w:tc>
        <w:tc>
          <w:tcPr>
            <w:tcW w:w="818" w:type="dxa"/>
          </w:tcPr>
          <w:p w14:paraId="7372734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1000/</w:t>
            </w:r>
          </w:p>
        </w:tc>
        <w:tc>
          <w:tcPr>
            <w:tcW w:w="830" w:type="dxa"/>
          </w:tcPr>
          <w:p w14:paraId="08BD269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10РО-82</w:t>
            </w:r>
          </w:p>
        </w:tc>
        <w:tc>
          <w:tcPr>
            <w:tcW w:w="829" w:type="dxa"/>
          </w:tcPr>
          <w:p w14:paraId="5B7E208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w:t>
            </w:r>
          </w:p>
        </w:tc>
        <w:tc>
          <w:tcPr>
            <w:tcW w:w="968" w:type="dxa"/>
          </w:tcPr>
          <w:p w14:paraId="10B2EBA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15.Х.42</w:t>
            </w:r>
          </w:p>
        </w:tc>
        <w:tc>
          <w:tcPr>
            <w:tcW w:w="837" w:type="dxa"/>
          </w:tcPr>
          <w:p w14:paraId="3B07553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5000</w:t>
            </w:r>
          </w:p>
        </w:tc>
      </w:tr>
      <w:tr w:rsidR="001E2C69" w:rsidRPr="001E2C69" w14:paraId="56982619" w14:textId="77777777" w:rsidTr="00CC5360">
        <w:tc>
          <w:tcPr>
            <w:tcW w:w="1809" w:type="dxa"/>
          </w:tcPr>
          <w:p w14:paraId="602A583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бомбардировщика</w:t>
            </w:r>
          </w:p>
        </w:tc>
        <w:tc>
          <w:tcPr>
            <w:tcW w:w="723" w:type="dxa"/>
          </w:tcPr>
          <w:p w14:paraId="5387E3F1" w14:textId="77777777" w:rsidR="00AE7191" w:rsidRPr="001E2C69" w:rsidRDefault="00AE7191" w:rsidP="00722885">
            <w:pPr>
              <w:pStyle w:val="Iauiue"/>
              <w:jc w:val="both"/>
              <w:rPr>
                <w:color w:val="000000" w:themeColor="text1"/>
                <w:sz w:val="16"/>
                <w:szCs w:val="16"/>
              </w:rPr>
            </w:pPr>
          </w:p>
        </w:tc>
        <w:tc>
          <w:tcPr>
            <w:tcW w:w="862" w:type="dxa"/>
          </w:tcPr>
          <w:p w14:paraId="1F406ED7" w14:textId="77777777" w:rsidR="00AE7191" w:rsidRPr="001E2C69" w:rsidRDefault="00AE7191" w:rsidP="00722885">
            <w:pPr>
              <w:pStyle w:val="Iauiue"/>
              <w:jc w:val="both"/>
              <w:rPr>
                <w:color w:val="000000" w:themeColor="text1"/>
                <w:sz w:val="16"/>
                <w:szCs w:val="16"/>
              </w:rPr>
            </w:pPr>
          </w:p>
        </w:tc>
        <w:tc>
          <w:tcPr>
            <w:tcW w:w="865" w:type="dxa"/>
          </w:tcPr>
          <w:p w14:paraId="05E9033A" w14:textId="77777777" w:rsidR="00AE7191" w:rsidRPr="001E2C69" w:rsidRDefault="00AE7191" w:rsidP="00722885">
            <w:pPr>
              <w:pStyle w:val="Iauiue"/>
              <w:jc w:val="both"/>
              <w:rPr>
                <w:color w:val="000000" w:themeColor="text1"/>
                <w:sz w:val="16"/>
                <w:szCs w:val="16"/>
              </w:rPr>
            </w:pPr>
          </w:p>
        </w:tc>
        <w:tc>
          <w:tcPr>
            <w:tcW w:w="692" w:type="dxa"/>
          </w:tcPr>
          <w:p w14:paraId="572D88BB" w14:textId="77777777" w:rsidR="00AE7191" w:rsidRPr="001E2C69" w:rsidRDefault="00AE7191" w:rsidP="00722885">
            <w:pPr>
              <w:pStyle w:val="Iauiue"/>
              <w:jc w:val="both"/>
              <w:rPr>
                <w:color w:val="000000" w:themeColor="text1"/>
                <w:sz w:val="16"/>
                <w:szCs w:val="16"/>
              </w:rPr>
            </w:pPr>
          </w:p>
        </w:tc>
        <w:tc>
          <w:tcPr>
            <w:tcW w:w="1371" w:type="dxa"/>
          </w:tcPr>
          <w:p w14:paraId="08E364C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пушки 20 мм</w:t>
            </w:r>
          </w:p>
        </w:tc>
        <w:tc>
          <w:tcPr>
            <w:tcW w:w="818" w:type="dxa"/>
          </w:tcPr>
          <w:p w14:paraId="169DB68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3000</w:t>
            </w:r>
          </w:p>
        </w:tc>
        <w:tc>
          <w:tcPr>
            <w:tcW w:w="830" w:type="dxa"/>
          </w:tcPr>
          <w:p w14:paraId="3B712906" w14:textId="77777777" w:rsidR="00AE7191" w:rsidRPr="001E2C69" w:rsidRDefault="00AE7191" w:rsidP="00722885">
            <w:pPr>
              <w:pStyle w:val="Iauiue"/>
              <w:jc w:val="both"/>
              <w:rPr>
                <w:color w:val="000000" w:themeColor="text1"/>
                <w:sz w:val="16"/>
                <w:szCs w:val="16"/>
              </w:rPr>
            </w:pPr>
          </w:p>
        </w:tc>
        <w:tc>
          <w:tcPr>
            <w:tcW w:w="829" w:type="dxa"/>
          </w:tcPr>
          <w:p w14:paraId="7F3F90EF" w14:textId="77777777" w:rsidR="00AE7191" w:rsidRPr="001E2C69" w:rsidRDefault="00AE7191" w:rsidP="00722885">
            <w:pPr>
              <w:pStyle w:val="Iauiue"/>
              <w:jc w:val="both"/>
              <w:rPr>
                <w:color w:val="000000" w:themeColor="text1"/>
                <w:sz w:val="16"/>
                <w:szCs w:val="16"/>
              </w:rPr>
            </w:pPr>
          </w:p>
        </w:tc>
        <w:tc>
          <w:tcPr>
            <w:tcW w:w="968" w:type="dxa"/>
          </w:tcPr>
          <w:p w14:paraId="44A82526" w14:textId="77777777" w:rsidR="00AE7191" w:rsidRPr="001E2C69" w:rsidRDefault="00AE7191" w:rsidP="00722885">
            <w:pPr>
              <w:pStyle w:val="Iauiue"/>
              <w:jc w:val="both"/>
              <w:rPr>
                <w:color w:val="000000" w:themeColor="text1"/>
                <w:sz w:val="16"/>
                <w:szCs w:val="16"/>
              </w:rPr>
            </w:pPr>
          </w:p>
        </w:tc>
        <w:tc>
          <w:tcPr>
            <w:tcW w:w="837" w:type="dxa"/>
          </w:tcPr>
          <w:p w14:paraId="01A5F442" w14:textId="77777777" w:rsidR="00AE7191" w:rsidRPr="001E2C69" w:rsidRDefault="00AE7191" w:rsidP="00722885">
            <w:pPr>
              <w:pStyle w:val="Iauiue"/>
              <w:jc w:val="both"/>
              <w:rPr>
                <w:color w:val="000000" w:themeColor="text1"/>
                <w:sz w:val="16"/>
                <w:szCs w:val="16"/>
              </w:rPr>
            </w:pPr>
          </w:p>
        </w:tc>
      </w:tr>
      <w:tr w:rsidR="001E2C69" w:rsidRPr="001E2C69" w14:paraId="03E310AB" w14:textId="77777777" w:rsidTr="00CC5360">
        <w:tc>
          <w:tcPr>
            <w:tcW w:w="1809" w:type="dxa"/>
          </w:tcPr>
          <w:p w14:paraId="25FA67A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Ту-2 с двумя мот.</w:t>
            </w:r>
          </w:p>
        </w:tc>
        <w:tc>
          <w:tcPr>
            <w:tcW w:w="723" w:type="dxa"/>
          </w:tcPr>
          <w:p w14:paraId="12680795" w14:textId="77777777" w:rsidR="00AE7191" w:rsidRPr="001E2C69" w:rsidRDefault="00AE7191" w:rsidP="00722885">
            <w:pPr>
              <w:pStyle w:val="Iauiue"/>
              <w:jc w:val="both"/>
              <w:rPr>
                <w:color w:val="000000" w:themeColor="text1"/>
                <w:sz w:val="16"/>
                <w:szCs w:val="16"/>
              </w:rPr>
            </w:pPr>
          </w:p>
        </w:tc>
        <w:tc>
          <w:tcPr>
            <w:tcW w:w="862" w:type="dxa"/>
          </w:tcPr>
          <w:p w14:paraId="3BF7874B" w14:textId="77777777" w:rsidR="00AE7191" w:rsidRPr="001E2C69" w:rsidRDefault="00AE7191" w:rsidP="00722885">
            <w:pPr>
              <w:pStyle w:val="Iauiue"/>
              <w:jc w:val="both"/>
              <w:rPr>
                <w:color w:val="000000" w:themeColor="text1"/>
                <w:sz w:val="16"/>
                <w:szCs w:val="16"/>
              </w:rPr>
            </w:pPr>
          </w:p>
        </w:tc>
        <w:tc>
          <w:tcPr>
            <w:tcW w:w="865" w:type="dxa"/>
          </w:tcPr>
          <w:p w14:paraId="220E0983" w14:textId="77777777" w:rsidR="00AE7191" w:rsidRPr="001E2C69" w:rsidRDefault="00AE7191" w:rsidP="00722885">
            <w:pPr>
              <w:pStyle w:val="Iauiue"/>
              <w:jc w:val="both"/>
              <w:rPr>
                <w:color w:val="000000" w:themeColor="text1"/>
                <w:sz w:val="16"/>
                <w:szCs w:val="16"/>
              </w:rPr>
            </w:pPr>
          </w:p>
        </w:tc>
        <w:tc>
          <w:tcPr>
            <w:tcW w:w="692" w:type="dxa"/>
          </w:tcPr>
          <w:p w14:paraId="0F8FA216" w14:textId="77777777" w:rsidR="00AE7191" w:rsidRPr="001E2C69" w:rsidRDefault="00AE7191" w:rsidP="00722885">
            <w:pPr>
              <w:pStyle w:val="Iauiue"/>
              <w:jc w:val="both"/>
              <w:rPr>
                <w:color w:val="000000" w:themeColor="text1"/>
                <w:sz w:val="16"/>
                <w:szCs w:val="16"/>
              </w:rPr>
            </w:pPr>
          </w:p>
        </w:tc>
        <w:tc>
          <w:tcPr>
            <w:tcW w:w="1371" w:type="dxa"/>
          </w:tcPr>
          <w:p w14:paraId="1449E20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пулем.7,62 мм</w:t>
            </w:r>
          </w:p>
        </w:tc>
        <w:tc>
          <w:tcPr>
            <w:tcW w:w="818" w:type="dxa"/>
          </w:tcPr>
          <w:p w14:paraId="71705385" w14:textId="77777777" w:rsidR="00AE7191" w:rsidRPr="001E2C69" w:rsidRDefault="00AE7191" w:rsidP="00722885">
            <w:pPr>
              <w:pStyle w:val="Iauiue"/>
              <w:jc w:val="both"/>
              <w:rPr>
                <w:color w:val="000000" w:themeColor="text1"/>
                <w:sz w:val="16"/>
                <w:szCs w:val="16"/>
              </w:rPr>
            </w:pPr>
          </w:p>
        </w:tc>
        <w:tc>
          <w:tcPr>
            <w:tcW w:w="830" w:type="dxa"/>
          </w:tcPr>
          <w:p w14:paraId="7D410BA0" w14:textId="77777777" w:rsidR="00AE7191" w:rsidRPr="001E2C69" w:rsidRDefault="00AE7191" w:rsidP="00722885">
            <w:pPr>
              <w:pStyle w:val="Iauiue"/>
              <w:jc w:val="both"/>
              <w:rPr>
                <w:color w:val="000000" w:themeColor="text1"/>
                <w:sz w:val="16"/>
                <w:szCs w:val="16"/>
              </w:rPr>
            </w:pPr>
          </w:p>
        </w:tc>
        <w:tc>
          <w:tcPr>
            <w:tcW w:w="829" w:type="dxa"/>
          </w:tcPr>
          <w:p w14:paraId="4367F222" w14:textId="77777777" w:rsidR="00AE7191" w:rsidRPr="001E2C69" w:rsidRDefault="00AE7191" w:rsidP="00722885">
            <w:pPr>
              <w:pStyle w:val="Iauiue"/>
              <w:jc w:val="both"/>
              <w:rPr>
                <w:color w:val="000000" w:themeColor="text1"/>
                <w:sz w:val="16"/>
                <w:szCs w:val="16"/>
              </w:rPr>
            </w:pPr>
          </w:p>
        </w:tc>
        <w:tc>
          <w:tcPr>
            <w:tcW w:w="968" w:type="dxa"/>
          </w:tcPr>
          <w:p w14:paraId="05C0E9AE" w14:textId="77777777" w:rsidR="00AE7191" w:rsidRPr="001E2C69" w:rsidRDefault="00AE7191" w:rsidP="00722885">
            <w:pPr>
              <w:pStyle w:val="Iauiue"/>
              <w:jc w:val="both"/>
              <w:rPr>
                <w:color w:val="000000" w:themeColor="text1"/>
                <w:sz w:val="16"/>
                <w:szCs w:val="16"/>
              </w:rPr>
            </w:pPr>
          </w:p>
        </w:tc>
        <w:tc>
          <w:tcPr>
            <w:tcW w:w="837" w:type="dxa"/>
          </w:tcPr>
          <w:p w14:paraId="54D17E31" w14:textId="77777777" w:rsidR="00AE7191" w:rsidRPr="001E2C69" w:rsidRDefault="00AE7191" w:rsidP="00722885">
            <w:pPr>
              <w:pStyle w:val="Iauiue"/>
              <w:jc w:val="both"/>
              <w:rPr>
                <w:color w:val="000000" w:themeColor="text1"/>
                <w:sz w:val="16"/>
                <w:szCs w:val="16"/>
              </w:rPr>
            </w:pPr>
          </w:p>
        </w:tc>
      </w:tr>
      <w:tr w:rsidR="001E2C69" w:rsidRPr="001E2C69" w14:paraId="02651D65" w14:textId="77777777" w:rsidTr="00CC5360">
        <w:tc>
          <w:tcPr>
            <w:tcW w:w="1809" w:type="dxa"/>
          </w:tcPr>
          <w:p w14:paraId="3903350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М-82 под</w:t>
            </w:r>
          </w:p>
        </w:tc>
        <w:tc>
          <w:tcPr>
            <w:tcW w:w="723" w:type="dxa"/>
          </w:tcPr>
          <w:p w14:paraId="4B17381F" w14:textId="77777777" w:rsidR="00AE7191" w:rsidRPr="001E2C69" w:rsidRDefault="00AE7191" w:rsidP="00722885">
            <w:pPr>
              <w:pStyle w:val="Iauiue"/>
              <w:jc w:val="both"/>
              <w:rPr>
                <w:color w:val="000000" w:themeColor="text1"/>
                <w:sz w:val="16"/>
                <w:szCs w:val="16"/>
              </w:rPr>
            </w:pPr>
          </w:p>
        </w:tc>
        <w:tc>
          <w:tcPr>
            <w:tcW w:w="862" w:type="dxa"/>
          </w:tcPr>
          <w:p w14:paraId="54D0D587" w14:textId="77777777" w:rsidR="00AE7191" w:rsidRPr="001E2C69" w:rsidRDefault="00AE7191" w:rsidP="00722885">
            <w:pPr>
              <w:pStyle w:val="Iauiue"/>
              <w:jc w:val="both"/>
              <w:rPr>
                <w:color w:val="000000" w:themeColor="text1"/>
                <w:sz w:val="16"/>
                <w:szCs w:val="16"/>
              </w:rPr>
            </w:pPr>
          </w:p>
        </w:tc>
        <w:tc>
          <w:tcPr>
            <w:tcW w:w="865" w:type="dxa"/>
          </w:tcPr>
          <w:p w14:paraId="6A9C74D5" w14:textId="77777777" w:rsidR="00AE7191" w:rsidRPr="001E2C69" w:rsidRDefault="00AE7191" w:rsidP="00722885">
            <w:pPr>
              <w:pStyle w:val="Iauiue"/>
              <w:jc w:val="both"/>
              <w:rPr>
                <w:color w:val="000000" w:themeColor="text1"/>
                <w:sz w:val="16"/>
                <w:szCs w:val="16"/>
              </w:rPr>
            </w:pPr>
          </w:p>
        </w:tc>
        <w:tc>
          <w:tcPr>
            <w:tcW w:w="692" w:type="dxa"/>
          </w:tcPr>
          <w:p w14:paraId="0F3AF296" w14:textId="77777777" w:rsidR="00AE7191" w:rsidRPr="001E2C69" w:rsidRDefault="00AE7191" w:rsidP="00722885">
            <w:pPr>
              <w:pStyle w:val="Iauiue"/>
              <w:jc w:val="both"/>
              <w:rPr>
                <w:color w:val="000000" w:themeColor="text1"/>
                <w:sz w:val="16"/>
                <w:szCs w:val="16"/>
              </w:rPr>
            </w:pPr>
          </w:p>
        </w:tc>
        <w:tc>
          <w:tcPr>
            <w:tcW w:w="1371" w:type="dxa"/>
          </w:tcPr>
          <w:p w14:paraId="63792AD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Назад:</w:t>
            </w:r>
          </w:p>
        </w:tc>
        <w:tc>
          <w:tcPr>
            <w:tcW w:w="818" w:type="dxa"/>
          </w:tcPr>
          <w:p w14:paraId="3A6DB62D" w14:textId="77777777" w:rsidR="00AE7191" w:rsidRPr="001E2C69" w:rsidRDefault="00AE7191" w:rsidP="00722885">
            <w:pPr>
              <w:pStyle w:val="Iauiue"/>
              <w:jc w:val="both"/>
              <w:rPr>
                <w:color w:val="000000" w:themeColor="text1"/>
                <w:sz w:val="16"/>
                <w:szCs w:val="16"/>
              </w:rPr>
            </w:pPr>
          </w:p>
        </w:tc>
        <w:tc>
          <w:tcPr>
            <w:tcW w:w="830" w:type="dxa"/>
          </w:tcPr>
          <w:p w14:paraId="1DF2B30B" w14:textId="77777777" w:rsidR="00AE7191" w:rsidRPr="001E2C69" w:rsidRDefault="00AE7191" w:rsidP="00722885">
            <w:pPr>
              <w:pStyle w:val="Iauiue"/>
              <w:jc w:val="both"/>
              <w:rPr>
                <w:color w:val="000000" w:themeColor="text1"/>
                <w:sz w:val="16"/>
                <w:szCs w:val="16"/>
              </w:rPr>
            </w:pPr>
          </w:p>
        </w:tc>
        <w:tc>
          <w:tcPr>
            <w:tcW w:w="829" w:type="dxa"/>
          </w:tcPr>
          <w:p w14:paraId="02CB668C" w14:textId="77777777" w:rsidR="00AE7191" w:rsidRPr="001E2C69" w:rsidRDefault="00AE7191" w:rsidP="00722885">
            <w:pPr>
              <w:pStyle w:val="Iauiue"/>
              <w:jc w:val="both"/>
              <w:rPr>
                <w:color w:val="000000" w:themeColor="text1"/>
                <w:sz w:val="16"/>
                <w:szCs w:val="16"/>
              </w:rPr>
            </w:pPr>
          </w:p>
        </w:tc>
        <w:tc>
          <w:tcPr>
            <w:tcW w:w="968" w:type="dxa"/>
          </w:tcPr>
          <w:p w14:paraId="5029A927" w14:textId="77777777" w:rsidR="00AE7191" w:rsidRPr="001E2C69" w:rsidRDefault="00AE7191" w:rsidP="00722885">
            <w:pPr>
              <w:pStyle w:val="Iauiue"/>
              <w:jc w:val="both"/>
              <w:rPr>
                <w:color w:val="000000" w:themeColor="text1"/>
                <w:sz w:val="16"/>
                <w:szCs w:val="16"/>
              </w:rPr>
            </w:pPr>
          </w:p>
        </w:tc>
        <w:tc>
          <w:tcPr>
            <w:tcW w:w="837" w:type="dxa"/>
          </w:tcPr>
          <w:p w14:paraId="694B2206" w14:textId="77777777" w:rsidR="00AE7191" w:rsidRPr="001E2C69" w:rsidRDefault="00AE7191" w:rsidP="00722885">
            <w:pPr>
              <w:pStyle w:val="Iauiue"/>
              <w:jc w:val="both"/>
              <w:rPr>
                <w:color w:val="000000" w:themeColor="text1"/>
                <w:sz w:val="16"/>
                <w:szCs w:val="16"/>
              </w:rPr>
            </w:pPr>
          </w:p>
        </w:tc>
      </w:tr>
      <w:tr w:rsidR="001E2C69" w:rsidRPr="001E2C69" w14:paraId="1207D4A5" w14:textId="77777777" w:rsidTr="00CC5360">
        <w:tc>
          <w:tcPr>
            <w:tcW w:w="1809" w:type="dxa"/>
          </w:tcPr>
          <w:p w14:paraId="7C255DA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фоторазведчик</w:t>
            </w:r>
          </w:p>
        </w:tc>
        <w:tc>
          <w:tcPr>
            <w:tcW w:w="723" w:type="dxa"/>
          </w:tcPr>
          <w:p w14:paraId="408748E2" w14:textId="77777777" w:rsidR="00AE7191" w:rsidRPr="001E2C69" w:rsidRDefault="00AE7191" w:rsidP="00722885">
            <w:pPr>
              <w:pStyle w:val="Iauiue"/>
              <w:jc w:val="both"/>
              <w:rPr>
                <w:color w:val="000000" w:themeColor="text1"/>
                <w:sz w:val="16"/>
                <w:szCs w:val="16"/>
              </w:rPr>
            </w:pPr>
          </w:p>
        </w:tc>
        <w:tc>
          <w:tcPr>
            <w:tcW w:w="862" w:type="dxa"/>
          </w:tcPr>
          <w:p w14:paraId="2103D5E7" w14:textId="77777777" w:rsidR="00AE7191" w:rsidRPr="001E2C69" w:rsidRDefault="00AE7191" w:rsidP="00722885">
            <w:pPr>
              <w:pStyle w:val="Iauiue"/>
              <w:jc w:val="both"/>
              <w:rPr>
                <w:color w:val="000000" w:themeColor="text1"/>
                <w:sz w:val="16"/>
                <w:szCs w:val="16"/>
              </w:rPr>
            </w:pPr>
          </w:p>
        </w:tc>
        <w:tc>
          <w:tcPr>
            <w:tcW w:w="865" w:type="dxa"/>
          </w:tcPr>
          <w:p w14:paraId="2B31C38E" w14:textId="77777777" w:rsidR="00AE7191" w:rsidRPr="001E2C69" w:rsidRDefault="00AE7191" w:rsidP="00722885">
            <w:pPr>
              <w:pStyle w:val="Iauiue"/>
              <w:jc w:val="both"/>
              <w:rPr>
                <w:color w:val="000000" w:themeColor="text1"/>
                <w:sz w:val="16"/>
                <w:szCs w:val="16"/>
              </w:rPr>
            </w:pPr>
          </w:p>
        </w:tc>
        <w:tc>
          <w:tcPr>
            <w:tcW w:w="692" w:type="dxa"/>
          </w:tcPr>
          <w:p w14:paraId="2F27E0C0" w14:textId="77777777" w:rsidR="00AE7191" w:rsidRPr="001E2C69" w:rsidRDefault="00AE7191" w:rsidP="00722885">
            <w:pPr>
              <w:pStyle w:val="Iauiue"/>
              <w:jc w:val="both"/>
              <w:rPr>
                <w:color w:val="000000" w:themeColor="text1"/>
                <w:sz w:val="16"/>
                <w:szCs w:val="16"/>
              </w:rPr>
            </w:pPr>
          </w:p>
        </w:tc>
        <w:tc>
          <w:tcPr>
            <w:tcW w:w="1371" w:type="dxa"/>
          </w:tcPr>
          <w:p w14:paraId="27E5E82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пулем. 12,7 мм</w:t>
            </w:r>
          </w:p>
        </w:tc>
        <w:tc>
          <w:tcPr>
            <w:tcW w:w="818" w:type="dxa"/>
          </w:tcPr>
          <w:p w14:paraId="3A075E02" w14:textId="77777777" w:rsidR="00AE7191" w:rsidRPr="001E2C69" w:rsidRDefault="00AE7191" w:rsidP="00722885">
            <w:pPr>
              <w:pStyle w:val="Iauiue"/>
              <w:jc w:val="both"/>
              <w:rPr>
                <w:color w:val="000000" w:themeColor="text1"/>
                <w:sz w:val="16"/>
                <w:szCs w:val="16"/>
              </w:rPr>
            </w:pPr>
          </w:p>
        </w:tc>
        <w:tc>
          <w:tcPr>
            <w:tcW w:w="830" w:type="dxa"/>
          </w:tcPr>
          <w:p w14:paraId="47AE3DA8" w14:textId="77777777" w:rsidR="00AE7191" w:rsidRPr="001E2C69" w:rsidRDefault="00AE7191" w:rsidP="00722885">
            <w:pPr>
              <w:pStyle w:val="Iauiue"/>
              <w:jc w:val="both"/>
              <w:rPr>
                <w:color w:val="000000" w:themeColor="text1"/>
                <w:sz w:val="16"/>
                <w:szCs w:val="16"/>
              </w:rPr>
            </w:pPr>
          </w:p>
        </w:tc>
        <w:tc>
          <w:tcPr>
            <w:tcW w:w="829" w:type="dxa"/>
          </w:tcPr>
          <w:p w14:paraId="02802216" w14:textId="77777777" w:rsidR="00AE7191" w:rsidRPr="001E2C69" w:rsidRDefault="00AE7191" w:rsidP="00722885">
            <w:pPr>
              <w:pStyle w:val="Iauiue"/>
              <w:jc w:val="both"/>
              <w:rPr>
                <w:color w:val="000000" w:themeColor="text1"/>
                <w:sz w:val="16"/>
                <w:szCs w:val="16"/>
              </w:rPr>
            </w:pPr>
          </w:p>
        </w:tc>
        <w:tc>
          <w:tcPr>
            <w:tcW w:w="968" w:type="dxa"/>
          </w:tcPr>
          <w:p w14:paraId="08A8677C" w14:textId="77777777" w:rsidR="00AE7191" w:rsidRPr="001E2C69" w:rsidRDefault="00AE7191" w:rsidP="00722885">
            <w:pPr>
              <w:pStyle w:val="Iauiue"/>
              <w:jc w:val="both"/>
              <w:rPr>
                <w:color w:val="000000" w:themeColor="text1"/>
                <w:sz w:val="16"/>
                <w:szCs w:val="16"/>
              </w:rPr>
            </w:pPr>
          </w:p>
        </w:tc>
        <w:tc>
          <w:tcPr>
            <w:tcW w:w="837" w:type="dxa"/>
          </w:tcPr>
          <w:p w14:paraId="3F96AA16" w14:textId="77777777" w:rsidR="00AE7191" w:rsidRPr="001E2C69" w:rsidRDefault="00AE7191" w:rsidP="00722885">
            <w:pPr>
              <w:pStyle w:val="Iauiue"/>
              <w:jc w:val="both"/>
              <w:rPr>
                <w:color w:val="000000" w:themeColor="text1"/>
                <w:sz w:val="16"/>
                <w:szCs w:val="16"/>
              </w:rPr>
            </w:pPr>
          </w:p>
        </w:tc>
      </w:tr>
      <w:tr w:rsidR="001E2C69" w:rsidRPr="001E2C69" w14:paraId="6D029E0A" w14:textId="77777777" w:rsidTr="00CC5360">
        <w:tc>
          <w:tcPr>
            <w:tcW w:w="1809" w:type="dxa"/>
          </w:tcPr>
          <w:p w14:paraId="51756D2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констр. Туполева</w:t>
            </w:r>
          </w:p>
        </w:tc>
        <w:tc>
          <w:tcPr>
            <w:tcW w:w="723" w:type="dxa"/>
          </w:tcPr>
          <w:p w14:paraId="20E90EEB" w14:textId="77777777" w:rsidR="00AE7191" w:rsidRPr="001E2C69" w:rsidRDefault="00AE7191" w:rsidP="00722885">
            <w:pPr>
              <w:pStyle w:val="Iauiue"/>
              <w:jc w:val="both"/>
              <w:rPr>
                <w:color w:val="000000" w:themeColor="text1"/>
                <w:sz w:val="16"/>
                <w:szCs w:val="16"/>
              </w:rPr>
            </w:pPr>
          </w:p>
        </w:tc>
        <w:tc>
          <w:tcPr>
            <w:tcW w:w="862" w:type="dxa"/>
          </w:tcPr>
          <w:p w14:paraId="27EE051F" w14:textId="77777777" w:rsidR="00AE7191" w:rsidRPr="001E2C69" w:rsidRDefault="00AE7191" w:rsidP="00722885">
            <w:pPr>
              <w:pStyle w:val="Iauiue"/>
              <w:jc w:val="both"/>
              <w:rPr>
                <w:color w:val="000000" w:themeColor="text1"/>
                <w:sz w:val="16"/>
                <w:szCs w:val="16"/>
              </w:rPr>
            </w:pPr>
          </w:p>
        </w:tc>
        <w:tc>
          <w:tcPr>
            <w:tcW w:w="865" w:type="dxa"/>
          </w:tcPr>
          <w:p w14:paraId="71472F21" w14:textId="77777777" w:rsidR="00AE7191" w:rsidRPr="001E2C69" w:rsidRDefault="00AE7191" w:rsidP="00722885">
            <w:pPr>
              <w:pStyle w:val="Iauiue"/>
              <w:jc w:val="both"/>
              <w:rPr>
                <w:color w:val="000000" w:themeColor="text1"/>
                <w:sz w:val="16"/>
                <w:szCs w:val="16"/>
              </w:rPr>
            </w:pPr>
          </w:p>
        </w:tc>
        <w:tc>
          <w:tcPr>
            <w:tcW w:w="692" w:type="dxa"/>
          </w:tcPr>
          <w:p w14:paraId="52E80005" w14:textId="77777777" w:rsidR="00AE7191" w:rsidRPr="001E2C69" w:rsidRDefault="00AE7191" w:rsidP="00722885">
            <w:pPr>
              <w:pStyle w:val="Iauiue"/>
              <w:jc w:val="both"/>
              <w:rPr>
                <w:color w:val="000000" w:themeColor="text1"/>
                <w:sz w:val="16"/>
                <w:szCs w:val="16"/>
              </w:rPr>
            </w:pPr>
          </w:p>
        </w:tc>
        <w:tc>
          <w:tcPr>
            <w:tcW w:w="1371" w:type="dxa"/>
          </w:tcPr>
          <w:p w14:paraId="2955A38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пулем. 7,62 мм</w:t>
            </w:r>
          </w:p>
        </w:tc>
        <w:tc>
          <w:tcPr>
            <w:tcW w:w="818" w:type="dxa"/>
          </w:tcPr>
          <w:p w14:paraId="557002A2" w14:textId="77777777" w:rsidR="00AE7191" w:rsidRPr="001E2C69" w:rsidRDefault="00AE7191" w:rsidP="00722885">
            <w:pPr>
              <w:pStyle w:val="Iauiue"/>
              <w:jc w:val="both"/>
              <w:rPr>
                <w:color w:val="000000" w:themeColor="text1"/>
                <w:sz w:val="16"/>
                <w:szCs w:val="16"/>
              </w:rPr>
            </w:pPr>
          </w:p>
        </w:tc>
        <w:tc>
          <w:tcPr>
            <w:tcW w:w="830" w:type="dxa"/>
          </w:tcPr>
          <w:p w14:paraId="4521D359" w14:textId="77777777" w:rsidR="00AE7191" w:rsidRPr="001E2C69" w:rsidRDefault="00AE7191" w:rsidP="00722885">
            <w:pPr>
              <w:pStyle w:val="Iauiue"/>
              <w:jc w:val="both"/>
              <w:rPr>
                <w:color w:val="000000" w:themeColor="text1"/>
                <w:sz w:val="16"/>
                <w:szCs w:val="16"/>
              </w:rPr>
            </w:pPr>
          </w:p>
        </w:tc>
        <w:tc>
          <w:tcPr>
            <w:tcW w:w="829" w:type="dxa"/>
          </w:tcPr>
          <w:p w14:paraId="3DB5D6A6" w14:textId="77777777" w:rsidR="00AE7191" w:rsidRPr="001E2C69" w:rsidRDefault="00AE7191" w:rsidP="00722885">
            <w:pPr>
              <w:pStyle w:val="Iauiue"/>
              <w:jc w:val="both"/>
              <w:rPr>
                <w:color w:val="000000" w:themeColor="text1"/>
                <w:sz w:val="16"/>
                <w:szCs w:val="16"/>
              </w:rPr>
            </w:pPr>
          </w:p>
        </w:tc>
        <w:tc>
          <w:tcPr>
            <w:tcW w:w="968" w:type="dxa"/>
          </w:tcPr>
          <w:p w14:paraId="03F86591" w14:textId="77777777" w:rsidR="00AE7191" w:rsidRPr="001E2C69" w:rsidRDefault="00AE7191" w:rsidP="00722885">
            <w:pPr>
              <w:pStyle w:val="Iauiue"/>
              <w:jc w:val="both"/>
              <w:rPr>
                <w:color w:val="000000" w:themeColor="text1"/>
                <w:sz w:val="16"/>
                <w:szCs w:val="16"/>
              </w:rPr>
            </w:pPr>
          </w:p>
        </w:tc>
        <w:tc>
          <w:tcPr>
            <w:tcW w:w="837" w:type="dxa"/>
          </w:tcPr>
          <w:p w14:paraId="6B5D152F" w14:textId="77777777" w:rsidR="00AE7191" w:rsidRPr="001E2C69" w:rsidRDefault="00AE7191" w:rsidP="00722885">
            <w:pPr>
              <w:pStyle w:val="Iauiue"/>
              <w:jc w:val="both"/>
              <w:rPr>
                <w:color w:val="000000" w:themeColor="text1"/>
                <w:sz w:val="16"/>
                <w:szCs w:val="16"/>
              </w:rPr>
            </w:pPr>
          </w:p>
        </w:tc>
      </w:tr>
      <w:tr w:rsidR="001E2C69" w:rsidRPr="001E2C69" w14:paraId="4886B2AE" w14:textId="77777777" w:rsidTr="00CC5360">
        <w:tc>
          <w:tcPr>
            <w:tcW w:w="1809" w:type="dxa"/>
          </w:tcPr>
          <w:p w14:paraId="1875CA1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 Модификация</w:t>
            </w:r>
          </w:p>
        </w:tc>
        <w:tc>
          <w:tcPr>
            <w:tcW w:w="723" w:type="dxa"/>
          </w:tcPr>
          <w:p w14:paraId="79D7845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520</w:t>
            </w:r>
          </w:p>
        </w:tc>
        <w:tc>
          <w:tcPr>
            <w:tcW w:w="862" w:type="dxa"/>
          </w:tcPr>
          <w:p w14:paraId="5BFCD43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585/5000</w:t>
            </w:r>
          </w:p>
        </w:tc>
        <w:tc>
          <w:tcPr>
            <w:tcW w:w="865" w:type="dxa"/>
          </w:tcPr>
          <w:p w14:paraId="0D6667A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1300</w:t>
            </w:r>
          </w:p>
        </w:tc>
        <w:tc>
          <w:tcPr>
            <w:tcW w:w="692" w:type="dxa"/>
          </w:tcPr>
          <w:p w14:paraId="2CA3161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10000</w:t>
            </w:r>
          </w:p>
        </w:tc>
        <w:tc>
          <w:tcPr>
            <w:tcW w:w="1371" w:type="dxa"/>
          </w:tcPr>
          <w:p w14:paraId="0793081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пушка 20 мм</w:t>
            </w:r>
          </w:p>
        </w:tc>
        <w:tc>
          <w:tcPr>
            <w:tcW w:w="818" w:type="dxa"/>
          </w:tcPr>
          <w:p w14:paraId="2EAAE3E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w:t>
            </w:r>
          </w:p>
        </w:tc>
        <w:tc>
          <w:tcPr>
            <w:tcW w:w="830" w:type="dxa"/>
          </w:tcPr>
          <w:p w14:paraId="6CF5E49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w:t>
            </w:r>
          </w:p>
        </w:tc>
        <w:tc>
          <w:tcPr>
            <w:tcW w:w="829" w:type="dxa"/>
          </w:tcPr>
          <w:p w14:paraId="304E6BB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w:t>
            </w:r>
          </w:p>
        </w:tc>
        <w:tc>
          <w:tcPr>
            <w:tcW w:w="968" w:type="dxa"/>
          </w:tcPr>
          <w:p w14:paraId="4B87FC3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15.VIII.</w:t>
            </w:r>
          </w:p>
        </w:tc>
        <w:tc>
          <w:tcPr>
            <w:tcW w:w="837" w:type="dxa"/>
          </w:tcPr>
          <w:p w14:paraId="3AE3998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2500</w:t>
            </w:r>
          </w:p>
        </w:tc>
      </w:tr>
      <w:tr w:rsidR="001E2C69" w:rsidRPr="001E2C69" w14:paraId="35029B1C" w14:textId="77777777" w:rsidTr="00CC5360">
        <w:tc>
          <w:tcPr>
            <w:tcW w:w="1809" w:type="dxa"/>
          </w:tcPr>
          <w:p w14:paraId="72818BB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одноместного</w:t>
            </w:r>
          </w:p>
        </w:tc>
        <w:tc>
          <w:tcPr>
            <w:tcW w:w="723" w:type="dxa"/>
          </w:tcPr>
          <w:p w14:paraId="6EDA92EC" w14:textId="77777777" w:rsidR="00AE7191" w:rsidRPr="001E2C69" w:rsidRDefault="00AE7191" w:rsidP="00722885">
            <w:pPr>
              <w:pStyle w:val="Iauiue"/>
              <w:jc w:val="both"/>
              <w:rPr>
                <w:color w:val="000000" w:themeColor="text1"/>
                <w:sz w:val="16"/>
                <w:szCs w:val="16"/>
              </w:rPr>
            </w:pPr>
          </w:p>
        </w:tc>
        <w:tc>
          <w:tcPr>
            <w:tcW w:w="862" w:type="dxa"/>
          </w:tcPr>
          <w:p w14:paraId="524349AA" w14:textId="77777777" w:rsidR="00AE7191" w:rsidRPr="001E2C69" w:rsidRDefault="00AE7191" w:rsidP="00722885">
            <w:pPr>
              <w:pStyle w:val="Iauiue"/>
              <w:jc w:val="both"/>
              <w:rPr>
                <w:color w:val="000000" w:themeColor="text1"/>
                <w:sz w:val="16"/>
                <w:szCs w:val="16"/>
              </w:rPr>
            </w:pPr>
          </w:p>
        </w:tc>
        <w:tc>
          <w:tcPr>
            <w:tcW w:w="865" w:type="dxa"/>
          </w:tcPr>
          <w:p w14:paraId="7A6DE82E" w14:textId="77777777" w:rsidR="00AE7191" w:rsidRPr="001E2C69" w:rsidRDefault="00AE7191" w:rsidP="00722885">
            <w:pPr>
              <w:pStyle w:val="Iauiue"/>
              <w:jc w:val="both"/>
              <w:rPr>
                <w:color w:val="000000" w:themeColor="text1"/>
                <w:sz w:val="16"/>
                <w:szCs w:val="16"/>
              </w:rPr>
            </w:pPr>
          </w:p>
        </w:tc>
        <w:tc>
          <w:tcPr>
            <w:tcW w:w="692" w:type="dxa"/>
          </w:tcPr>
          <w:p w14:paraId="65711C5A" w14:textId="77777777" w:rsidR="00AE7191" w:rsidRPr="001E2C69" w:rsidRDefault="00AE7191" w:rsidP="00722885">
            <w:pPr>
              <w:pStyle w:val="Iauiue"/>
              <w:jc w:val="both"/>
              <w:rPr>
                <w:color w:val="000000" w:themeColor="text1"/>
                <w:sz w:val="16"/>
                <w:szCs w:val="16"/>
              </w:rPr>
            </w:pPr>
          </w:p>
        </w:tc>
        <w:tc>
          <w:tcPr>
            <w:tcW w:w="1371" w:type="dxa"/>
          </w:tcPr>
          <w:p w14:paraId="3F599B6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боезапасом</w:t>
            </w:r>
          </w:p>
        </w:tc>
        <w:tc>
          <w:tcPr>
            <w:tcW w:w="818" w:type="dxa"/>
          </w:tcPr>
          <w:p w14:paraId="6BABE881" w14:textId="77777777" w:rsidR="00AE7191" w:rsidRPr="001E2C69" w:rsidRDefault="00AE7191" w:rsidP="00722885">
            <w:pPr>
              <w:pStyle w:val="Iauiue"/>
              <w:jc w:val="both"/>
              <w:rPr>
                <w:color w:val="000000" w:themeColor="text1"/>
                <w:sz w:val="16"/>
                <w:szCs w:val="16"/>
              </w:rPr>
            </w:pPr>
          </w:p>
        </w:tc>
        <w:tc>
          <w:tcPr>
            <w:tcW w:w="830" w:type="dxa"/>
          </w:tcPr>
          <w:p w14:paraId="3D038324" w14:textId="77777777" w:rsidR="00AE7191" w:rsidRPr="001E2C69" w:rsidRDefault="00AE7191" w:rsidP="00722885">
            <w:pPr>
              <w:pStyle w:val="Iauiue"/>
              <w:jc w:val="both"/>
              <w:rPr>
                <w:color w:val="000000" w:themeColor="text1"/>
                <w:sz w:val="16"/>
                <w:szCs w:val="16"/>
              </w:rPr>
            </w:pPr>
          </w:p>
        </w:tc>
        <w:tc>
          <w:tcPr>
            <w:tcW w:w="829" w:type="dxa"/>
          </w:tcPr>
          <w:p w14:paraId="4ACAD3AB" w14:textId="77777777" w:rsidR="00AE7191" w:rsidRPr="001E2C69" w:rsidRDefault="00AE7191" w:rsidP="00722885">
            <w:pPr>
              <w:pStyle w:val="Iauiue"/>
              <w:jc w:val="both"/>
              <w:rPr>
                <w:color w:val="000000" w:themeColor="text1"/>
                <w:sz w:val="16"/>
                <w:szCs w:val="16"/>
              </w:rPr>
            </w:pPr>
          </w:p>
        </w:tc>
        <w:tc>
          <w:tcPr>
            <w:tcW w:w="968" w:type="dxa"/>
          </w:tcPr>
          <w:p w14:paraId="62272DE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42</w:t>
            </w:r>
          </w:p>
        </w:tc>
        <w:tc>
          <w:tcPr>
            <w:tcW w:w="837" w:type="dxa"/>
          </w:tcPr>
          <w:p w14:paraId="141998AB" w14:textId="77777777" w:rsidR="00AE7191" w:rsidRPr="001E2C69" w:rsidRDefault="00AE7191" w:rsidP="00722885">
            <w:pPr>
              <w:pStyle w:val="Iauiue"/>
              <w:jc w:val="both"/>
              <w:rPr>
                <w:color w:val="000000" w:themeColor="text1"/>
                <w:sz w:val="16"/>
                <w:szCs w:val="16"/>
              </w:rPr>
            </w:pPr>
          </w:p>
        </w:tc>
      </w:tr>
      <w:tr w:rsidR="001E2C69" w:rsidRPr="001E2C69" w14:paraId="693C66A4" w14:textId="77777777" w:rsidTr="00CC5360">
        <w:tc>
          <w:tcPr>
            <w:tcW w:w="1809" w:type="dxa"/>
          </w:tcPr>
          <w:p w14:paraId="4005437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истребителя Як-7,</w:t>
            </w:r>
          </w:p>
        </w:tc>
        <w:tc>
          <w:tcPr>
            <w:tcW w:w="723" w:type="dxa"/>
          </w:tcPr>
          <w:p w14:paraId="24FABC5F" w14:textId="77777777" w:rsidR="00AE7191" w:rsidRPr="001E2C69" w:rsidRDefault="00AE7191" w:rsidP="00722885">
            <w:pPr>
              <w:pStyle w:val="Iauiue"/>
              <w:jc w:val="both"/>
              <w:rPr>
                <w:color w:val="000000" w:themeColor="text1"/>
                <w:sz w:val="16"/>
                <w:szCs w:val="16"/>
              </w:rPr>
            </w:pPr>
          </w:p>
        </w:tc>
        <w:tc>
          <w:tcPr>
            <w:tcW w:w="862" w:type="dxa"/>
          </w:tcPr>
          <w:p w14:paraId="42195790" w14:textId="77777777" w:rsidR="00AE7191" w:rsidRPr="001E2C69" w:rsidRDefault="00AE7191" w:rsidP="00722885">
            <w:pPr>
              <w:pStyle w:val="Iauiue"/>
              <w:jc w:val="both"/>
              <w:rPr>
                <w:color w:val="000000" w:themeColor="text1"/>
                <w:sz w:val="16"/>
                <w:szCs w:val="16"/>
              </w:rPr>
            </w:pPr>
          </w:p>
        </w:tc>
        <w:tc>
          <w:tcPr>
            <w:tcW w:w="865" w:type="dxa"/>
          </w:tcPr>
          <w:p w14:paraId="6140FAFD" w14:textId="77777777" w:rsidR="00AE7191" w:rsidRPr="001E2C69" w:rsidRDefault="00AE7191" w:rsidP="00722885">
            <w:pPr>
              <w:pStyle w:val="Iauiue"/>
              <w:jc w:val="both"/>
              <w:rPr>
                <w:color w:val="000000" w:themeColor="text1"/>
                <w:sz w:val="16"/>
                <w:szCs w:val="16"/>
              </w:rPr>
            </w:pPr>
          </w:p>
        </w:tc>
        <w:tc>
          <w:tcPr>
            <w:tcW w:w="692" w:type="dxa"/>
          </w:tcPr>
          <w:p w14:paraId="14E9A749" w14:textId="77777777" w:rsidR="00AE7191" w:rsidRPr="001E2C69" w:rsidRDefault="00AE7191" w:rsidP="00722885">
            <w:pPr>
              <w:pStyle w:val="Iauiue"/>
              <w:jc w:val="both"/>
              <w:rPr>
                <w:color w:val="000000" w:themeColor="text1"/>
                <w:sz w:val="16"/>
                <w:szCs w:val="16"/>
              </w:rPr>
            </w:pPr>
          </w:p>
        </w:tc>
        <w:tc>
          <w:tcPr>
            <w:tcW w:w="1371" w:type="dxa"/>
          </w:tcPr>
          <w:p w14:paraId="62C35A2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120 снарядов</w:t>
            </w:r>
          </w:p>
        </w:tc>
        <w:tc>
          <w:tcPr>
            <w:tcW w:w="818" w:type="dxa"/>
          </w:tcPr>
          <w:p w14:paraId="7B66AB09" w14:textId="77777777" w:rsidR="00AE7191" w:rsidRPr="001E2C69" w:rsidRDefault="00AE7191" w:rsidP="00722885">
            <w:pPr>
              <w:pStyle w:val="Iauiue"/>
              <w:jc w:val="both"/>
              <w:rPr>
                <w:color w:val="000000" w:themeColor="text1"/>
                <w:sz w:val="16"/>
                <w:szCs w:val="16"/>
              </w:rPr>
            </w:pPr>
          </w:p>
        </w:tc>
        <w:tc>
          <w:tcPr>
            <w:tcW w:w="830" w:type="dxa"/>
          </w:tcPr>
          <w:p w14:paraId="2CBC77CD" w14:textId="77777777" w:rsidR="00AE7191" w:rsidRPr="001E2C69" w:rsidRDefault="00AE7191" w:rsidP="00722885">
            <w:pPr>
              <w:pStyle w:val="Iauiue"/>
              <w:jc w:val="both"/>
              <w:rPr>
                <w:color w:val="000000" w:themeColor="text1"/>
                <w:sz w:val="16"/>
                <w:szCs w:val="16"/>
              </w:rPr>
            </w:pPr>
          </w:p>
        </w:tc>
        <w:tc>
          <w:tcPr>
            <w:tcW w:w="829" w:type="dxa"/>
          </w:tcPr>
          <w:p w14:paraId="554CACF1" w14:textId="77777777" w:rsidR="00AE7191" w:rsidRPr="001E2C69" w:rsidRDefault="00AE7191" w:rsidP="00722885">
            <w:pPr>
              <w:pStyle w:val="Iauiue"/>
              <w:jc w:val="both"/>
              <w:rPr>
                <w:color w:val="000000" w:themeColor="text1"/>
                <w:sz w:val="16"/>
                <w:szCs w:val="16"/>
              </w:rPr>
            </w:pPr>
          </w:p>
        </w:tc>
        <w:tc>
          <w:tcPr>
            <w:tcW w:w="968" w:type="dxa"/>
          </w:tcPr>
          <w:p w14:paraId="79937F9A" w14:textId="77777777" w:rsidR="00AE7191" w:rsidRPr="001E2C69" w:rsidRDefault="00AE7191" w:rsidP="00722885">
            <w:pPr>
              <w:pStyle w:val="Iauiue"/>
              <w:jc w:val="both"/>
              <w:rPr>
                <w:color w:val="000000" w:themeColor="text1"/>
                <w:sz w:val="16"/>
                <w:szCs w:val="16"/>
              </w:rPr>
            </w:pPr>
          </w:p>
        </w:tc>
        <w:tc>
          <w:tcPr>
            <w:tcW w:w="837" w:type="dxa"/>
          </w:tcPr>
          <w:p w14:paraId="2A931FEC" w14:textId="77777777" w:rsidR="00AE7191" w:rsidRPr="001E2C69" w:rsidRDefault="00AE7191" w:rsidP="00722885">
            <w:pPr>
              <w:pStyle w:val="Iauiue"/>
              <w:jc w:val="both"/>
              <w:rPr>
                <w:color w:val="000000" w:themeColor="text1"/>
                <w:sz w:val="16"/>
                <w:szCs w:val="16"/>
              </w:rPr>
            </w:pPr>
          </w:p>
        </w:tc>
      </w:tr>
      <w:tr w:rsidR="001E2C69" w:rsidRPr="001E2C69" w14:paraId="3AA9087B" w14:textId="77777777" w:rsidTr="00CC5360">
        <w:tc>
          <w:tcPr>
            <w:tcW w:w="1809" w:type="dxa"/>
          </w:tcPr>
          <w:p w14:paraId="4D3A8D7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в варианте </w:t>
            </w:r>
          </w:p>
        </w:tc>
        <w:tc>
          <w:tcPr>
            <w:tcW w:w="723" w:type="dxa"/>
          </w:tcPr>
          <w:p w14:paraId="5A524A60" w14:textId="77777777" w:rsidR="00AE7191" w:rsidRPr="001E2C69" w:rsidRDefault="00AE7191" w:rsidP="00722885">
            <w:pPr>
              <w:pStyle w:val="Iauiue"/>
              <w:jc w:val="both"/>
              <w:rPr>
                <w:color w:val="000000" w:themeColor="text1"/>
                <w:sz w:val="16"/>
                <w:szCs w:val="16"/>
              </w:rPr>
            </w:pPr>
          </w:p>
        </w:tc>
        <w:tc>
          <w:tcPr>
            <w:tcW w:w="862" w:type="dxa"/>
          </w:tcPr>
          <w:p w14:paraId="21FC228A" w14:textId="77777777" w:rsidR="00AE7191" w:rsidRPr="001E2C69" w:rsidRDefault="00AE7191" w:rsidP="00722885">
            <w:pPr>
              <w:pStyle w:val="Iauiue"/>
              <w:jc w:val="both"/>
              <w:rPr>
                <w:color w:val="000000" w:themeColor="text1"/>
                <w:sz w:val="16"/>
                <w:szCs w:val="16"/>
              </w:rPr>
            </w:pPr>
          </w:p>
        </w:tc>
        <w:tc>
          <w:tcPr>
            <w:tcW w:w="865" w:type="dxa"/>
          </w:tcPr>
          <w:p w14:paraId="60C5BD8E" w14:textId="77777777" w:rsidR="00AE7191" w:rsidRPr="001E2C69" w:rsidRDefault="00AE7191" w:rsidP="00722885">
            <w:pPr>
              <w:pStyle w:val="Iauiue"/>
              <w:jc w:val="both"/>
              <w:rPr>
                <w:color w:val="000000" w:themeColor="text1"/>
                <w:sz w:val="16"/>
                <w:szCs w:val="16"/>
              </w:rPr>
            </w:pPr>
          </w:p>
        </w:tc>
        <w:tc>
          <w:tcPr>
            <w:tcW w:w="692" w:type="dxa"/>
          </w:tcPr>
          <w:p w14:paraId="1D05DDFC" w14:textId="77777777" w:rsidR="00AE7191" w:rsidRPr="001E2C69" w:rsidRDefault="00AE7191" w:rsidP="00722885">
            <w:pPr>
              <w:pStyle w:val="Iauiue"/>
              <w:jc w:val="both"/>
              <w:rPr>
                <w:color w:val="000000" w:themeColor="text1"/>
                <w:sz w:val="16"/>
                <w:szCs w:val="16"/>
              </w:rPr>
            </w:pPr>
          </w:p>
        </w:tc>
        <w:tc>
          <w:tcPr>
            <w:tcW w:w="1371" w:type="dxa"/>
          </w:tcPr>
          <w:p w14:paraId="0521C78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пулем.УБС</w:t>
            </w:r>
          </w:p>
        </w:tc>
        <w:tc>
          <w:tcPr>
            <w:tcW w:w="818" w:type="dxa"/>
          </w:tcPr>
          <w:p w14:paraId="7BEFEAEA" w14:textId="77777777" w:rsidR="00AE7191" w:rsidRPr="001E2C69" w:rsidRDefault="00AE7191" w:rsidP="00722885">
            <w:pPr>
              <w:pStyle w:val="Iauiue"/>
              <w:jc w:val="both"/>
              <w:rPr>
                <w:color w:val="000000" w:themeColor="text1"/>
                <w:sz w:val="16"/>
                <w:szCs w:val="16"/>
              </w:rPr>
            </w:pPr>
          </w:p>
        </w:tc>
        <w:tc>
          <w:tcPr>
            <w:tcW w:w="830" w:type="dxa"/>
          </w:tcPr>
          <w:p w14:paraId="3E141CA7" w14:textId="77777777" w:rsidR="00AE7191" w:rsidRPr="001E2C69" w:rsidRDefault="00AE7191" w:rsidP="00722885">
            <w:pPr>
              <w:pStyle w:val="Iauiue"/>
              <w:jc w:val="both"/>
              <w:rPr>
                <w:color w:val="000000" w:themeColor="text1"/>
                <w:sz w:val="16"/>
                <w:szCs w:val="16"/>
              </w:rPr>
            </w:pPr>
          </w:p>
        </w:tc>
        <w:tc>
          <w:tcPr>
            <w:tcW w:w="829" w:type="dxa"/>
          </w:tcPr>
          <w:p w14:paraId="249C0012" w14:textId="77777777" w:rsidR="00AE7191" w:rsidRPr="001E2C69" w:rsidRDefault="00AE7191" w:rsidP="00722885">
            <w:pPr>
              <w:pStyle w:val="Iauiue"/>
              <w:jc w:val="both"/>
              <w:rPr>
                <w:color w:val="000000" w:themeColor="text1"/>
                <w:sz w:val="16"/>
                <w:szCs w:val="16"/>
              </w:rPr>
            </w:pPr>
          </w:p>
        </w:tc>
        <w:tc>
          <w:tcPr>
            <w:tcW w:w="968" w:type="dxa"/>
          </w:tcPr>
          <w:p w14:paraId="0FBB7E5F" w14:textId="77777777" w:rsidR="00AE7191" w:rsidRPr="001E2C69" w:rsidRDefault="00AE7191" w:rsidP="00722885">
            <w:pPr>
              <w:pStyle w:val="Iauiue"/>
              <w:jc w:val="both"/>
              <w:rPr>
                <w:color w:val="000000" w:themeColor="text1"/>
                <w:sz w:val="16"/>
                <w:szCs w:val="16"/>
              </w:rPr>
            </w:pPr>
          </w:p>
        </w:tc>
        <w:tc>
          <w:tcPr>
            <w:tcW w:w="837" w:type="dxa"/>
          </w:tcPr>
          <w:p w14:paraId="26EBAF19" w14:textId="77777777" w:rsidR="00AE7191" w:rsidRPr="001E2C69" w:rsidRDefault="00AE7191" w:rsidP="00722885">
            <w:pPr>
              <w:pStyle w:val="Iauiue"/>
              <w:jc w:val="both"/>
              <w:rPr>
                <w:color w:val="000000" w:themeColor="text1"/>
                <w:sz w:val="16"/>
                <w:szCs w:val="16"/>
              </w:rPr>
            </w:pPr>
          </w:p>
        </w:tc>
      </w:tr>
      <w:tr w:rsidR="001E2C69" w:rsidRPr="001E2C69" w14:paraId="1460C8B2" w14:textId="77777777" w:rsidTr="00CC5360">
        <w:tc>
          <w:tcPr>
            <w:tcW w:w="1809" w:type="dxa"/>
          </w:tcPr>
          <w:p w14:paraId="01B72B9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разведчика констр.</w:t>
            </w:r>
          </w:p>
        </w:tc>
        <w:tc>
          <w:tcPr>
            <w:tcW w:w="723" w:type="dxa"/>
          </w:tcPr>
          <w:p w14:paraId="6B0F9EE2" w14:textId="77777777" w:rsidR="00AE7191" w:rsidRPr="001E2C69" w:rsidRDefault="00AE7191" w:rsidP="00722885">
            <w:pPr>
              <w:pStyle w:val="Iauiue"/>
              <w:jc w:val="both"/>
              <w:rPr>
                <w:color w:val="000000" w:themeColor="text1"/>
                <w:sz w:val="16"/>
                <w:szCs w:val="16"/>
              </w:rPr>
            </w:pPr>
          </w:p>
        </w:tc>
        <w:tc>
          <w:tcPr>
            <w:tcW w:w="862" w:type="dxa"/>
          </w:tcPr>
          <w:p w14:paraId="514F474D" w14:textId="77777777" w:rsidR="00AE7191" w:rsidRPr="001E2C69" w:rsidRDefault="00AE7191" w:rsidP="00722885">
            <w:pPr>
              <w:pStyle w:val="Iauiue"/>
              <w:jc w:val="both"/>
              <w:rPr>
                <w:color w:val="000000" w:themeColor="text1"/>
                <w:sz w:val="16"/>
                <w:szCs w:val="16"/>
              </w:rPr>
            </w:pPr>
          </w:p>
        </w:tc>
        <w:tc>
          <w:tcPr>
            <w:tcW w:w="865" w:type="dxa"/>
          </w:tcPr>
          <w:p w14:paraId="696F47D6" w14:textId="77777777" w:rsidR="00AE7191" w:rsidRPr="001E2C69" w:rsidRDefault="00AE7191" w:rsidP="00722885">
            <w:pPr>
              <w:pStyle w:val="Iauiue"/>
              <w:jc w:val="both"/>
              <w:rPr>
                <w:color w:val="000000" w:themeColor="text1"/>
                <w:sz w:val="16"/>
                <w:szCs w:val="16"/>
              </w:rPr>
            </w:pPr>
          </w:p>
        </w:tc>
        <w:tc>
          <w:tcPr>
            <w:tcW w:w="692" w:type="dxa"/>
          </w:tcPr>
          <w:p w14:paraId="6D23C809" w14:textId="77777777" w:rsidR="00AE7191" w:rsidRPr="001E2C69" w:rsidRDefault="00AE7191" w:rsidP="00722885">
            <w:pPr>
              <w:pStyle w:val="Iauiue"/>
              <w:jc w:val="both"/>
              <w:rPr>
                <w:color w:val="000000" w:themeColor="text1"/>
                <w:sz w:val="16"/>
                <w:szCs w:val="16"/>
              </w:rPr>
            </w:pPr>
          </w:p>
        </w:tc>
        <w:tc>
          <w:tcPr>
            <w:tcW w:w="1371" w:type="dxa"/>
          </w:tcPr>
          <w:p w14:paraId="10BE05A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боезапасом</w:t>
            </w:r>
          </w:p>
        </w:tc>
        <w:tc>
          <w:tcPr>
            <w:tcW w:w="818" w:type="dxa"/>
          </w:tcPr>
          <w:p w14:paraId="64EC4976" w14:textId="77777777" w:rsidR="00AE7191" w:rsidRPr="001E2C69" w:rsidRDefault="00AE7191" w:rsidP="00722885">
            <w:pPr>
              <w:pStyle w:val="Iauiue"/>
              <w:jc w:val="both"/>
              <w:rPr>
                <w:color w:val="000000" w:themeColor="text1"/>
                <w:sz w:val="16"/>
                <w:szCs w:val="16"/>
              </w:rPr>
            </w:pPr>
          </w:p>
        </w:tc>
        <w:tc>
          <w:tcPr>
            <w:tcW w:w="830" w:type="dxa"/>
          </w:tcPr>
          <w:p w14:paraId="57CB13A0" w14:textId="77777777" w:rsidR="00AE7191" w:rsidRPr="001E2C69" w:rsidRDefault="00AE7191" w:rsidP="00722885">
            <w:pPr>
              <w:pStyle w:val="Iauiue"/>
              <w:jc w:val="both"/>
              <w:rPr>
                <w:color w:val="000000" w:themeColor="text1"/>
                <w:sz w:val="16"/>
                <w:szCs w:val="16"/>
              </w:rPr>
            </w:pPr>
          </w:p>
        </w:tc>
        <w:tc>
          <w:tcPr>
            <w:tcW w:w="829" w:type="dxa"/>
          </w:tcPr>
          <w:p w14:paraId="24BCC036" w14:textId="77777777" w:rsidR="00AE7191" w:rsidRPr="001E2C69" w:rsidRDefault="00AE7191" w:rsidP="00722885">
            <w:pPr>
              <w:pStyle w:val="Iauiue"/>
              <w:jc w:val="both"/>
              <w:rPr>
                <w:color w:val="000000" w:themeColor="text1"/>
                <w:sz w:val="16"/>
                <w:szCs w:val="16"/>
              </w:rPr>
            </w:pPr>
          </w:p>
        </w:tc>
        <w:tc>
          <w:tcPr>
            <w:tcW w:w="968" w:type="dxa"/>
          </w:tcPr>
          <w:p w14:paraId="78269E59" w14:textId="77777777" w:rsidR="00AE7191" w:rsidRPr="001E2C69" w:rsidRDefault="00AE7191" w:rsidP="00722885">
            <w:pPr>
              <w:pStyle w:val="Iauiue"/>
              <w:jc w:val="both"/>
              <w:rPr>
                <w:color w:val="000000" w:themeColor="text1"/>
                <w:sz w:val="16"/>
                <w:szCs w:val="16"/>
              </w:rPr>
            </w:pPr>
          </w:p>
        </w:tc>
        <w:tc>
          <w:tcPr>
            <w:tcW w:w="837" w:type="dxa"/>
          </w:tcPr>
          <w:p w14:paraId="7C95A827" w14:textId="77777777" w:rsidR="00AE7191" w:rsidRPr="001E2C69" w:rsidRDefault="00AE7191" w:rsidP="00722885">
            <w:pPr>
              <w:pStyle w:val="Iauiue"/>
              <w:jc w:val="both"/>
              <w:rPr>
                <w:color w:val="000000" w:themeColor="text1"/>
                <w:sz w:val="16"/>
                <w:szCs w:val="16"/>
              </w:rPr>
            </w:pPr>
          </w:p>
        </w:tc>
      </w:tr>
      <w:tr w:rsidR="001E2C69" w:rsidRPr="001E2C69" w14:paraId="1354888C" w14:textId="77777777" w:rsidTr="00CC5360">
        <w:tc>
          <w:tcPr>
            <w:tcW w:w="1809" w:type="dxa"/>
            <w:tcBorders>
              <w:bottom w:val="single" w:sz="12" w:space="0" w:color="auto"/>
            </w:tcBorders>
          </w:tcPr>
          <w:p w14:paraId="6000172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Яковлева</w:t>
            </w:r>
          </w:p>
        </w:tc>
        <w:tc>
          <w:tcPr>
            <w:tcW w:w="723" w:type="dxa"/>
            <w:tcBorders>
              <w:bottom w:val="single" w:sz="12" w:space="0" w:color="auto"/>
            </w:tcBorders>
          </w:tcPr>
          <w:p w14:paraId="7E8404E2" w14:textId="77777777" w:rsidR="00AE7191" w:rsidRPr="001E2C69" w:rsidRDefault="00AE7191" w:rsidP="00722885">
            <w:pPr>
              <w:pStyle w:val="Iauiue"/>
              <w:jc w:val="both"/>
              <w:rPr>
                <w:color w:val="000000" w:themeColor="text1"/>
                <w:sz w:val="16"/>
                <w:szCs w:val="16"/>
              </w:rPr>
            </w:pPr>
          </w:p>
        </w:tc>
        <w:tc>
          <w:tcPr>
            <w:tcW w:w="862" w:type="dxa"/>
            <w:tcBorders>
              <w:bottom w:val="single" w:sz="12" w:space="0" w:color="auto"/>
            </w:tcBorders>
          </w:tcPr>
          <w:p w14:paraId="29BC3F46" w14:textId="77777777" w:rsidR="00AE7191" w:rsidRPr="001E2C69" w:rsidRDefault="00AE7191" w:rsidP="00722885">
            <w:pPr>
              <w:pStyle w:val="Iauiue"/>
              <w:jc w:val="both"/>
              <w:rPr>
                <w:color w:val="000000" w:themeColor="text1"/>
                <w:sz w:val="16"/>
                <w:szCs w:val="16"/>
              </w:rPr>
            </w:pPr>
          </w:p>
        </w:tc>
        <w:tc>
          <w:tcPr>
            <w:tcW w:w="865" w:type="dxa"/>
            <w:tcBorders>
              <w:bottom w:val="single" w:sz="12" w:space="0" w:color="auto"/>
            </w:tcBorders>
          </w:tcPr>
          <w:p w14:paraId="35D42CEF" w14:textId="77777777" w:rsidR="00AE7191" w:rsidRPr="001E2C69" w:rsidRDefault="00AE7191" w:rsidP="00722885">
            <w:pPr>
              <w:pStyle w:val="Iauiue"/>
              <w:jc w:val="both"/>
              <w:rPr>
                <w:color w:val="000000" w:themeColor="text1"/>
                <w:sz w:val="16"/>
                <w:szCs w:val="16"/>
              </w:rPr>
            </w:pPr>
          </w:p>
        </w:tc>
        <w:tc>
          <w:tcPr>
            <w:tcW w:w="692" w:type="dxa"/>
            <w:tcBorders>
              <w:bottom w:val="single" w:sz="12" w:space="0" w:color="auto"/>
            </w:tcBorders>
          </w:tcPr>
          <w:p w14:paraId="27CC91C3" w14:textId="77777777" w:rsidR="00AE7191" w:rsidRPr="001E2C69" w:rsidRDefault="00AE7191" w:rsidP="00722885">
            <w:pPr>
              <w:pStyle w:val="Iauiue"/>
              <w:jc w:val="both"/>
              <w:rPr>
                <w:color w:val="000000" w:themeColor="text1"/>
                <w:sz w:val="16"/>
                <w:szCs w:val="16"/>
              </w:rPr>
            </w:pPr>
          </w:p>
        </w:tc>
        <w:tc>
          <w:tcPr>
            <w:tcW w:w="1371" w:type="dxa"/>
            <w:tcBorders>
              <w:bottom w:val="single" w:sz="12" w:space="0" w:color="auto"/>
            </w:tcBorders>
          </w:tcPr>
          <w:p w14:paraId="6E009D8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200 патрон (1633,212).</w:t>
            </w:r>
          </w:p>
        </w:tc>
        <w:tc>
          <w:tcPr>
            <w:tcW w:w="818" w:type="dxa"/>
            <w:tcBorders>
              <w:bottom w:val="single" w:sz="12" w:space="0" w:color="auto"/>
            </w:tcBorders>
          </w:tcPr>
          <w:p w14:paraId="28A782DB" w14:textId="77777777" w:rsidR="00AE7191" w:rsidRPr="001E2C69" w:rsidRDefault="00AE7191" w:rsidP="00722885">
            <w:pPr>
              <w:pStyle w:val="Iauiue"/>
              <w:jc w:val="both"/>
              <w:rPr>
                <w:color w:val="000000" w:themeColor="text1"/>
                <w:sz w:val="16"/>
                <w:szCs w:val="16"/>
              </w:rPr>
            </w:pPr>
          </w:p>
        </w:tc>
        <w:tc>
          <w:tcPr>
            <w:tcW w:w="830" w:type="dxa"/>
            <w:tcBorders>
              <w:bottom w:val="single" w:sz="12" w:space="0" w:color="auto"/>
            </w:tcBorders>
          </w:tcPr>
          <w:p w14:paraId="3D53E480" w14:textId="77777777" w:rsidR="00AE7191" w:rsidRPr="001E2C69" w:rsidRDefault="00AE7191" w:rsidP="00722885">
            <w:pPr>
              <w:pStyle w:val="Iauiue"/>
              <w:jc w:val="both"/>
              <w:rPr>
                <w:color w:val="000000" w:themeColor="text1"/>
                <w:sz w:val="16"/>
                <w:szCs w:val="16"/>
              </w:rPr>
            </w:pPr>
          </w:p>
        </w:tc>
        <w:tc>
          <w:tcPr>
            <w:tcW w:w="829" w:type="dxa"/>
            <w:tcBorders>
              <w:bottom w:val="single" w:sz="12" w:space="0" w:color="auto"/>
            </w:tcBorders>
          </w:tcPr>
          <w:p w14:paraId="5671CD47" w14:textId="77777777" w:rsidR="00AE7191" w:rsidRPr="001E2C69" w:rsidRDefault="00AE7191" w:rsidP="00722885">
            <w:pPr>
              <w:pStyle w:val="Iauiue"/>
              <w:jc w:val="both"/>
              <w:rPr>
                <w:color w:val="000000" w:themeColor="text1"/>
                <w:sz w:val="16"/>
                <w:szCs w:val="16"/>
              </w:rPr>
            </w:pPr>
          </w:p>
        </w:tc>
        <w:tc>
          <w:tcPr>
            <w:tcW w:w="968" w:type="dxa"/>
            <w:tcBorders>
              <w:bottom w:val="single" w:sz="12" w:space="0" w:color="auto"/>
            </w:tcBorders>
          </w:tcPr>
          <w:p w14:paraId="66DD0145" w14:textId="77777777" w:rsidR="00AE7191" w:rsidRPr="001E2C69" w:rsidRDefault="00AE7191" w:rsidP="00722885">
            <w:pPr>
              <w:pStyle w:val="Iauiue"/>
              <w:jc w:val="both"/>
              <w:rPr>
                <w:color w:val="000000" w:themeColor="text1"/>
                <w:sz w:val="16"/>
                <w:szCs w:val="16"/>
              </w:rPr>
            </w:pPr>
          </w:p>
        </w:tc>
        <w:tc>
          <w:tcPr>
            <w:tcW w:w="837" w:type="dxa"/>
            <w:tcBorders>
              <w:bottom w:val="single" w:sz="12" w:space="0" w:color="auto"/>
            </w:tcBorders>
          </w:tcPr>
          <w:p w14:paraId="4786A429" w14:textId="77777777" w:rsidR="00AE7191" w:rsidRPr="001E2C69" w:rsidRDefault="00AE7191" w:rsidP="00722885">
            <w:pPr>
              <w:pStyle w:val="Iauiue"/>
              <w:jc w:val="both"/>
              <w:rPr>
                <w:color w:val="000000" w:themeColor="text1"/>
                <w:sz w:val="16"/>
                <w:szCs w:val="16"/>
              </w:rPr>
            </w:pPr>
          </w:p>
        </w:tc>
      </w:tr>
    </w:tbl>
    <w:p w14:paraId="2D07198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Перечень опытных самолетов и модификаций, переходящих с плана 1941 года на 1942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418"/>
        <w:gridCol w:w="919"/>
        <w:gridCol w:w="1207"/>
        <w:gridCol w:w="866"/>
        <w:gridCol w:w="3811"/>
      </w:tblGrid>
      <w:tr w:rsidR="001E2C69" w:rsidRPr="001E2C69" w14:paraId="480B9827" w14:textId="77777777" w:rsidTr="00CC5360">
        <w:tc>
          <w:tcPr>
            <w:tcW w:w="2376" w:type="dxa"/>
            <w:tcBorders>
              <w:top w:val="single" w:sz="12" w:space="0" w:color="auto"/>
            </w:tcBorders>
          </w:tcPr>
          <w:p w14:paraId="046C4D5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Наименование самолета</w:t>
            </w:r>
          </w:p>
        </w:tc>
        <w:tc>
          <w:tcPr>
            <w:tcW w:w="1418" w:type="dxa"/>
            <w:tcBorders>
              <w:top w:val="single" w:sz="12" w:space="0" w:color="auto"/>
            </w:tcBorders>
          </w:tcPr>
          <w:p w14:paraId="49E05DB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Конструктор</w:t>
            </w:r>
          </w:p>
        </w:tc>
        <w:tc>
          <w:tcPr>
            <w:tcW w:w="919" w:type="dxa"/>
            <w:tcBorders>
              <w:top w:val="single" w:sz="12" w:space="0" w:color="auto"/>
            </w:tcBorders>
          </w:tcPr>
          <w:p w14:paraId="3F77540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Колич.</w:t>
            </w:r>
          </w:p>
        </w:tc>
        <w:tc>
          <w:tcPr>
            <w:tcW w:w="1207" w:type="dxa"/>
            <w:tcBorders>
              <w:top w:val="single" w:sz="12" w:space="0" w:color="auto"/>
            </w:tcBorders>
          </w:tcPr>
          <w:p w14:paraId="5FDE51C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Срок</w:t>
            </w:r>
          </w:p>
        </w:tc>
        <w:tc>
          <w:tcPr>
            <w:tcW w:w="866" w:type="dxa"/>
            <w:tcBorders>
              <w:top w:val="single" w:sz="12" w:space="0" w:color="auto"/>
            </w:tcBorders>
          </w:tcPr>
          <w:p w14:paraId="6EF4079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Затраты</w:t>
            </w:r>
          </w:p>
        </w:tc>
        <w:tc>
          <w:tcPr>
            <w:tcW w:w="3811" w:type="dxa"/>
            <w:tcBorders>
              <w:top w:val="single" w:sz="12" w:space="0" w:color="auto"/>
            </w:tcBorders>
          </w:tcPr>
          <w:p w14:paraId="22D45D4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Примечание</w:t>
            </w:r>
          </w:p>
        </w:tc>
      </w:tr>
      <w:tr w:rsidR="001E2C69" w:rsidRPr="001E2C69" w14:paraId="09EB9A46" w14:textId="77777777" w:rsidTr="00CC5360">
        <w:tc>
          <w:tcPr>
            <w:tcW w:w="2376" w:type="dxa"/>
          </w:tcPr>
          <w:p w14:paraId="7FD8F9D0" w14:textId="77777777" w:rsidR="00AE7191" w:rsidRPr="001E2C69" w:rsidRDefault="00AE7191" w:rsidP="00722885">
            <w:pPr>
              <w:pStyle w:val="Iauiue"/>
              <w:jc w:val="both"/>
              <w:rPr>
                <w:color w:val="000000" w:themeColor="text1"/>
                <w:sz w:val="16"/>
                <w:szCs w:val="16"/>
              </w:rPr>
            </w:pPr>
          </w:p>
        </w:tc>
        <w:tc>
          <w:tcPr>
            <w:tcW w:w="1418" w:type="dxa"/>
          </w:tcPr>
          <w:p w14:paraId="41F4A51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завода</w:t>
            </w:r>
          </w:p>
        </w:tc>
        <w:tc>
          <w:tcPr>
            <w:tcW w:w="919" w:type="dxa"/>
          </w:tcPr>
          <w:p w14:paraId="616F097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экз.</w:t>
            </w:r>
          </w:p>
        </w:tc>
        <w:tc>
          <w:tcPr>
            <w:tcW w:w="1207" w:type="dxa"/>
          </w:tcPr>
          <w:p w14:paraId="7BCA584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предъявлен.</w:t>
            </w:r>
          </w:p>
        </w:tc>
        <w:tc>
          <w:tcPr>
            <w:tcW w:w="866" w:type="dxa"/>
          </w:tcPr>
          <w:p w14:paraId="1CAA151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1942 г.</w:t>
            </w:r>
          </w:p>
        </w:tc>
        <w:tc>
          <w:tcPr>
            <w:tcW w:w="3811" w:type="dxa"/>
          </w:tcPr>
          <w:p w14:paraId="43F78665" w14:textId="77777777" w:rsidR="00AE7191" w:rsidRPr="001E2C69" w:rsidRDefault="00AE7191" w:rsidP="00722885">
            <w:pPr>
              <w:pStyle w:val="Iauiue"/>
              <w:jc w:val="both"/>
              <w:rPr>
                <w:color w:val="000000" w:themeColor="text1"/>
                <w:sz w:val="16"/>
                <w:szCs w:val="16"/>
              </w:rPr>
            </w:pPr>
          </w:p>
        </w:tc>
      </w:tr>
      <w:tr w:rsidR="001E2C69" w:rsidRPr="001E2C69" w14:paraId="4F9B8E3F" w14:textId="77777777" w:rsidTr="00CC5360">
        <w:tc>
          <w:tcPr>
            <w:tcW w:w="2376" w:type="dxa"/>
          </w:tcPr>
          <w:p w14:paraId="2E8A3125" w14:textId="77777777" w:rsidR="00AE7191" w:rsidRPr="001E2C69" w:rsidRDefault="00AE7191" w:rsidP="00722885">
            <w:pPr>
              <w:pStyle w:val="Iauiue"/>
              <w:jc w:val="both"/>
              <w:rPr>
                <w:color w:val="000000" w:themeColor="text1"/>
                <w:sz w:val="16"/>
                <w:szCs w:val="16"/>
              </w:rPr>
            </w:pPr>
          </w:p>
        </w:tc>
        <w:tc>
          <w:tcPr>
            <w:tcW w:w="1418" w:type="dxa"/>
          </w:tcPr>
          <w:p w14:paraId="068C1763" w14:textId="77777777" w:rsidR="00AE7191" w:rsidRPr="001E2C69" w:rsidRDefault="00AE7191" w:rsidP="00722885">
            <w:pPr>
              <w:pStyle w:val="Iauiue"/>
              <w:jc w:val="both"/>
              <w:rPr>
                <w:color w:val="000000" w:themeColor="text1"/>
                <w:sz w:val="16"/>
                <w:szCs w:val="16"/>
              </w:rPr>
            </w:pPr>
          </w:p>
        </w:tc>
        <w:tc>
          <w:tcPr>
            <w:tcW w:w="919" w:type="dxa"/>
          </w:tcPr>
          <w:p w14:paraId="4769D442" w14:textId="77777777" w:rsidR="00AE7191" w:rsidRPr="001E2C69" w:rsidRDefault="00AE7191" w:rsidP="00722885">
            <w:pPr>
              <w:pStyle w:val="Iauiue"/>
              <w:jc w:val="both"/>
              <w:rPr>
                <w:color w:val="000000" w:themeColor="text1"/>
                <w:sz w:val="16"/>
                <w:szCs w:val="16"/>
              </w:rPr>
            </w:pPr>
          </w:p>
        </w:tc>
        <w:tc>
          <w:tcPr>
            <w:tcW w:w="1207" w:type="dxa"/>
          </w:tcPr>
          <w:p w14:paraId="4200B0A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 госиспыт.</w:t>
            </w:r>
          </w:p>
        </w:tc>
        <w:tc>
          <w:tcPr>
            <w:tcW w:w="866" w:type="dxa"/>
          </w:tcPr>
          <w:p w14:paraId="2F85FE3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тыс. руб.</w:t>
            </w:r>
          </w:p>
        </w:tc>
        <w:tc>
          <w:tcPr>
            <w:tcW w:w="3811" w:type="dxa"/>
          </w:tcPr>
          <w:p w14:paraId="42764E03" w14:textId="77777777" w:rsidR="00AE7191" w:rsidRPr="001E2C69" w:rsidRDefault="00AE7191" w:rsidP="00722885">
            <w:pPr>
              <w:pStyle w:val="Iauiue"/>
              <w:jc w:val="both"/>
              <w:rPr>
                <w:color w:val="000000" w:themeColor="text1"/>
                <w:sz w:val="16"/>
                <w:szCs w:val="16"/>
              </w:rPr>
            </w:pPr>
          </w:p>
        </w:tc>
      </w:tr>
      <w:tr w:rsidR="001E2C69" w:rsidRPr="001E2C69" w14:paraId="11158E3B" w14:textId="77777777" w:rsidTr="00CC5360">
        <w:tc>
          <w:tcPr>
            <w:tcW w:w="2376" w:type="dxa"/>
          </w:tcPr>
          <w:p w14:paraId="1DACF9D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Истребители.</w:t>
            </w:r>
          </w:p>
        </w:tc>
        <w:tc>
          <w:tcPr>
            <w:tcW w:w="1418" w:type="dxa"/>
          </w:tcPr>
          <w:p w14:paraId="0FF905EC" w14:textId="77777777" w:rsidR="00AE7191" w:rsidRPr="001E2C69" w:rsidRDefault="00AE7191" w:rsidP="00722885">
            <w:pPr>
              <w:pStyle w:val="Iauiue"/>
              <w:jc w:val="both"/>
              <w:rPr>
                <w:color w:val="000000" w:themeColor="text1"/>
                <w:sz w:val="16"/>
                <w:szCs w:val="16"/>
              </w:rPr>
            </w:pPr>
          </w:p>
        </w:tc>
        <w:tc>
          <w:tcPr>
            <w:tcW w:w="919" w:type="dxa"/>
          </w:tcPr>
          <w:p w14:paraId="5F64E249" w14:textId="77777777" w:rsidR="00AE7191" w:rsidRPr="001E2C69" w:rsidRDefault="00AE7191" w:rsidP="00722885">
            <w:pPr>
              <w:pStyle w:val="Iauiue"/>
              <w:jc w:val="both"/>
              <w:rPr>
                <w:color w:val="000000" w:themeColor="text1"/>
                <w:sz w:val="16"/>
                <w:szCs w:val="16"/>
              </w:rPr>
            </w:pPr>
          </w:p>
        </w:tc>
        <w:tc>
          <w:tcPr>
            <w:tcW w:w="1207" w:type="dxa"/>
          </w:tcPr>
          <w:p w14:paraId="3C49E329" w14:textId="77777777" w:rsidR="00AE7191" w:rsidRPr="001E2C69" w:rsidRDefault="00AE7191" w:rsidP="00722885">
            <w:pPr>
              <w:pStyle w:val="Iauiue"/>
              <w:jc w:val="both"/>
              <w:rPr>
                <w:color w:val="000000" w:themeColor="text1"/>
                <w:sz w:val="16"/>
                <w:szCs w:val="16"/>
              </w:rPr>
            </w:pPr>
          </w:p>
        </w:tc>
        <w:tc>
          <w:tcPr>
            <w:tcW w:w="866" w:type="dxa"/>
          </w:tcPr>
          <w:p w14:paraId="799C7129" w14:textId="77777777" w:rsidR="00AE7191" w:rsidRPr="001E2C69" w:rsidRDefault="00AE7191" w:rsidP="00722885">
            <w:pPr>
              <w:pStyle w:val="Iauiue"/>
              <w:jc w:val="both"/>
              <w:rPr>
                <w:color w:val="000000" w:themeColor="text1"/>
                <w:sz w:val="16"/>
                <w:szCs w:val="16"/>
              </w:rPr>
            </w:pPr>
          </w:p>
        </w:tc>
        <w:tc>
          <w:tcPr>
            <w:tcW w:w="3811" w:type="dxa"/>
          </w:tcPr>
          <w:p w14:paraId="01AE26DD" w14:textId="77777777" w:rsidR="00AE7191" w:rsidRPr="001E2C69" w:rsidRDefault="00AE7191" w:rsidP="00722885">
            <w:pPr>
              <w:pStyle w:val="Iauiue"/>
              <w:jc w:val="both"/>
              <w:rPr>
                <w:color w:val="000000" w:themeColor="text1"/>
                <w:sz w:val="16"/>
                <w:szCs w:val="16"/>
              </w:rPr>
            </w:pPr>
          </w:p>
        </w:tc>
      </w:tr>
      <w:tr w:rsidR="001E2C69" w:rsidRPr="001E2C69" w14:paraId="3455D000" w14:textId="77777777" w:rsidTr="00CC5360">
        <w:tc>
          <w:tcPr>
            <w:tcW w:w="2376" w:type="dxa"/>
          </w:tcPr>
          <w:p w14:paraId="02FE2BC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Модификация истребителя</w:t>
            </w:r>
          </w:p>
        </w:tc>
        <w:tc>
          <w:tcPr>
            <w:tcW w:w="1418" w:type="dxa"/>
          </w:tcPr>
          <w:p w14:paraId="6BE2409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Лавочкин</w:t>
            </w:r>
          </w:p>
        </w:tc>
        <w:tc>
          <w:tcPr>
            <w:tcW w:w="919" w:type="dxa"/>
          </w:tcPr>
          <w:p w14:paraId="61D3DB4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w:t>
            </w:r>
          </w:p>
        </w:tc>
        <w:tc>
          <w:tcPr>
            <w:tcW w:w="1207" w:type="dxa"/>
          </w:tcPr>
          <w:p w14:paraId="178F68F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1.Х.42</w:t>
            </w:r>
          </w:p>
        </w:tc>
        <w:tc>
          <w:tcPr>
            <w:tcW w:w="866" w:type="dxa"/>
          </w:tcPr>
          <w:p w14:paraId="73BB8EF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2500</w:t>
            </w:r>
          </w:p>
        </w:tc>
        <w:tc>
          <w:tcPr>
            <w:tcW w:w="3811" w:type="dxa"/>
          </w:tcPr>
          <w:p w14:paraId="7D68B0DB" w14:textId="77777777" w:rsidR="00AE7191" w:rsidRPr="001E2C69" w:rsidRDefault="00AE7191" w:rsidP="00722885">
            <w:pPr>
              <w:pStyle w:val="Iauiue"/>
              <w:jc w:val="both"/>
              <w:rPr>
                <w:color w:val="000000" w:themeColor="text1"/>
                <w:sz w:val="16"/>
                <w:szCs w:val="16"/>
              </w:rPr>
            </w:pPr>
          </w:p>
        </w:tc>
      </w:tr>
      <w:tr w:rsidR="001E2C69" w:rsidRPr="001E2C69" w14:paraId="6C47A725" w14:textId="77777777" w:rsidTr="00CC5360">
        <w:tc>
          <w:tcPr>
            <w:tcW w:w="2376" w:type="dxa"/>
          </w:tcPr>
          <w:p w14:paraId="5B194F0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Лагг-3 под мотор М-107</w:t>
            </w:r>
          </w:p>
        </w:tc>
        <w:tc>
          <w:tcPr>
            <w:tcW w:w="1418" w:type="dxa"/>
          </w:tcPr>
          <w:p w14:paraId="74F91D1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з-д 21</w:t>
            </w:r>
          </w:p>
        </w:tc>
        <w:tc>
          <w:tcPr>
            <w:tcW w:w="919" w:type="dxa"/>
          </w:tcPr>
          <w:p w14:paraId="13DD4CD4" w14:textId="77777777" w:rsidR="00AE7191" w:rsidRPr="001E2C69" w:rsidRDefault="00AE7191" w:rsidP="00722885">
            <w:pPr>
              <w:pStyle w:val="Iauiue"/>
              <w:jc w:val="both"/>
              <w:rPr>
                <w:color w:val="000000" w:themeColor="text1"/>
                <w:sz w:val="16"/>
                <w:szCs w:val="16"/>
              </w:rPr>
            </w:pPr>
          </w:p>
        </w:tc>
        <w:tc>
          <w:tcPr>
            <w:tcW w:w="1207" w:type="dxa"/>
          </w:tcPr>
          <w:p w14:paraId="2BD91C4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15.VII.42</w:t>
            </w:r>
          </w:p>
        </w:tc>
        <w:tc>
          <w:tcPr>
            <w:tcW w:w="866" w:type="dxa"/>
          </w:tcPr>
          <w:p w14:paraId="431EE9FF" w14:textId="77777777" w:rsidR="00AE7191" w:rsidRPr="001E2C69" w:rsidRDefault="00AE7191" w:rsidP="00722885">
            <w:pPr>
              <w:pStyle w:val="Iauiue"/>
              <w:jc w:val="both"/>
              <w:rPr>
                <w:color w:val="000000" w:themeColor="text1"/>
                <w:sz w:val="16"/>
                <w:szCs w:val="16"/>
              </w:rPr>
            </w:pPr>
          </w:p>
        </w:tc>
        <w:tc>
          <w:tcPr>
            <w:tcW w:w="3811" w:type="dxa"/>
          </w:tcPr>
          <w:p w14:paraId="1403AE6F" w14:textId="77777777" w:rsidR="00AE7191" w:rsidRPr="001E2C69" w:rsidRDefault="00AE7191" w:rsidP="00722885">
            <w:pPr>
              <w:pStyle w:val="Iauiue"/>
              <w:jc w:val="both"/>
              <w:rPr>
                <w:color w:val="000000" w:themeColor="text1"/>
                <w:sz w:val="16"/>
                <w:szCs w:val="16"/>
              </w:rPr>
            </w:pPr>
          </w:p>
        </w:tc>
      </w:tr>
      <w:tr w:rsidR="001E2C69" w:rsidRPr="001E2C69" w14:paraId="5932B823" w14:textId="77777777" w:rsidTr="00CC5360">
        <w:tc>
          <w:tcPr>
            <w:tcW w:w="2376" w:type="dxa"/>
          </w:tcPr>
          <w:p w14:paraId="13E439F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Модификация истребителя</w:t>
            </w:r>
          </w:p>
        </w:tc>
        <w:tc>
          <w:tcPr>
            <w:tcW w:w="1418" w:type="dxa"/>
          </w:tcPr>
          <w:p w14:paraId="358FA40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Лавочкин</w:t>
            </w:r>
          </w:p>
        </w:tc>
        <w:tc>
          <w:tcPr>
            <w:tcW w:w="919" w:type="dxa"/>
          </w:tcPr>
          <w:p w14:paraId="6293587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w:t>
            </w:r>
          </w:p>
        </w:tc>
        <w:tc>
          <w:tcPr>
            <w:tcW w:w="1207" w:type="dxa"/>
          </w:tcPr>
          <w:p w14:paraId="49B667A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1.ХП.42</w:t>
            </w:r>
          </w:p>
        </w:tc>
        <w:tc>
          <w:tcPr>
            <w:tcW w:w="866" w:type="dxa"/>
          </w:tcPr>
          <w:p w14:paraId="75B2A2D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900</w:t>
            </w:r>
          </w:p>
        </w:tc>
        <w:tc>
          <w:tcPr>
            <w:tcW w:w="3811" w:type="dxa"/>
          </w:tcPr>
          <w:p w14:paraId="611E0F02" w14:textId="77777777" w:rsidR="00AE7191" w:rsidRPr="001E2C69" w:rsidRDefault="00AE7191" w:rsidP="00722885">
            <w:pPr>
              <w:pStyle w:val="Iauiue"/>
              <w:jc w:val="both"/>
              <w:rPr>
                <w:color w:val="000000" w:themeColor="text1"/>
                <w:sz w:val="16"/>
                <w:szCs w:val="16"/>
              </w:rPr>
            </w:pPr>
          </w:p>
        </w:tc>
      </w:tr>
      <w:tr w:rsidR="001E2C69" w:rsidRPr="001E2C69" w14:paraId="6AFBDDAA" w14:textId="77777777" w:rsidTr="00CC5360">
        <w:tc>
          <w:tcPr>
            <w:tcW w:w="2376" w:type="dxa"/>
          </w:tcPr>
          <w:p w14:paraId="09CEEC9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Лагг-3 под мотор М-82Ф</w:t>
            </w:r>
          </w:p>
        </w:tc>
        <w:tc>
          <w:tcPr>
            <w:tcW w:w="1418" w:type="dxa"/>
          </w:tcPr>
          <w:p w14:paraId="6256F01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з-д 21</w:t>
            </w:r>
          </w:p>
        </w:tc>
        <w:tc>
          <w:tcPr>
            <w:tcW w:w="919" w:type="dxa"/>
          </w:tcPr>
          <w:p w14:paraId="3C465629" w14:textId="77777777" w:rsidR="00AE7191" w:rsidRPr="001E2C69" w:rsidRDefault="00AE7191" w:rsidP="00722885">
            <w:pPr>
              <w:pStyle w:val="Iauiue"/>
              <w:jc w:val="both"/>
              <w:rPr>
                <w:color w:val="000000" w:themeColor="text1"/>
                <w:sz w:val="16"/>
                <w:szCs w:val="16"/>
              </w:rPr>
            </w:pPr>
          </w:p>
        </w:tc>
        <w:tc>
          <w:tcPr>
            <w:tcW w:w="1207" w:type="dxa"/>
          </w:tcPr>
          <w:p w14:paraId="716443A0" w14:textId="77777777" w:rsidR="00AE7191" w:rsidRPr="001E2C69" w:rsidRDefault="00AE7191" w:rsidP="00722885">
            <w:pPr>
              <w:pStyle w:val="Iauiue"/>
              <w:jc w:val="both"/>
              <w:rPr>
                <w:color w:val="000000" w:themeColor="text1"/>
                <w:sz w:val="16"/>
                <w:szCs w:val="16"/>
              </w:rPr>
            </w:pPr>
          </w:p>
        </w:tc>
        <w:tc>
          <w:tcPr>
            <w:tcW w:w="866" w:type="dxa"/>
          </w:tcPr>
          <w:p w14:paraId="2E833E12" w14:textId="77777777" w:rsidR="00AE7191" w:rsidRPr="001E2C69" w:rsidRDefault="00AE7191" w:rsidP="00722885">
            <w:pPr>
              <w:pStyle w:val="Iauiue"/>
              <w:jc w:val="both"/>
              <w:rPr>
                <w:color w:val="000000" w:themeColor="text1"/>
                <w:sz w:val="16"/>
                <w:szCs w:val="16"/>
              </w:rPr>
            </w:pPr>
          </w:p>
        </w:tc>
        <w:tc>
          <w:tcPr>
            <w:tcW w:w="3811" w:type="dxa"/>
          </w:tcPr>
          <w:p w14:paraId="7BF11692" w14:textId="77777777" w:rsidR="00AE7191" w:rsidRPr="001E2C69" w:rsidRDefault="00AE7191" w:rsidP="00722885">
            <w:pPr>
              <w:pStyle w:val="Iauiue"/>
              <w:jc w:val="both"/>
              <w:rPr>
                <w:color w:val="000000" w:themeColor="text1"/>
                <w:sz w:val="16"/>
                <w:szCs w:val="16"/>
              </w:rPr>
            </w:pPr>
          </w:p>
        </w:tc>
      </w:tr>
      <w:tr w:rsidR="001E2C69" w:rsidRPr="001E2C69" w14:paraId="3C352FE8" w14:textId="77777777" w:rsidTr="00CC5360">
        <w:tc>
          <w:tcPr>
            <w:tcW w:w="2376" w:type="dxa"/>
          </w:tcPr>
          <w:p w14:paraId="5B73C20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Модификация истребителя</w:t>
            </w:r>
          </w:p>
        </w:tc>
        <w:tc>
          <w:tcPr>
            <w:tcW w:w="1418" w:type="dxa"/>
          </w:tcPr>
          <w:p w14:paraId="02E8AAA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Лавочкин</w:t>
            </w:r>
          </w:p>
        </w:tc>
        <w:tc>
          <w:tcPr>
            <w:tcW w:w="919" w:type="dxa"/>
          </w:tcPr>
          <w:p w14:paraId="32E8273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w:t>
            </w:r>
          </w:p>
        </w:tc>
        <w:tc>
          <w:tcPr>
            <w:tcW w:w="1207" w:type="dxa"/>
          </w:tcPr>
          <w:p w14:paraId="0F34E1D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15.ХП.42</w:t>
            </w:r>
          </w:p>
        </w:tc>
        <w:tc>
          <w:tcPr>
            <w:tcW w:w="866" w:type="dxa"/>
          </w:tcPr>
          <w:p w14:paraId="7AC9C24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900</w:t>
            </w:r>
          </w:p>
        </w:tc>
        <w:tc>
          <w:tcPr>
            <w:tcW w:w="3811" w:type="dxa"/>
          </w:tcPr>
          <w:p w14:paraId="2930478A" w14:textId="77777777" w:rsidR="00AE7191" w:rsidRPr="001E2C69" w:rsidRDefault="00AE7191" w:rsidP="00722885">
            <w:pPr>
              <w:pStyle w:val="Iauiue"/>
              <w:jc w:val="both"/>
              <w:rPr>
                <w:color w:val="000000" w:themeColor="text1"/>
                <w:sz w:val="16"/>
                <w:szCs w:val="16"/>
              </w:rPr>
            </w:pPr>
          </w:p>
        </w:tc>
      </w:tr>
      <w:tr w:rsidR="001E2C69" w:rsidRPr="001E2C69" w14:paraId="63C2B2D1" w14:textId="77777777" w:rsidTr="00CC5360">
        <w:tc>
          <w:tcPr>
            <w:tcW w:w="2376" w:type="dxa"/>
          </w:tcPr>
          <w:p w14:paraId="5F7BA8A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Лагг-3 под мотор М-105П</w:t>
            </w:r>
          </w:p>
        </w:tc>
        <w:tc>
          <w:tcPr>
            <w:tcW w:w="1418" w:type="dxa"/>
          </w:tcPr>
          <w:p w14:paraId="2601F28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з-д 21</w:t>
            </w:r>
          </w:p>
        </w:tc>
        <w:tc>
          <w:tcPr>
            <w:tcW w:w="919" w:type="dxa"/>
          </w:tcPr>
          <w:p w14:paraId="33C2C392" w14:textId="77777777" w:rsidR="00AE7191" w:rsidRPr="001E2C69" w:rsidRDefault="00AE7191" w:rsidP="00722885">
            <w:pPr>
              <w:pStyle w:val="Iauiue"/>
              <w:jc w:val="both"/>
              <w:rPr>
                <w:color w:val="000000" w:themeColor="text1"/>
                <w:sz w:val="16"/>
                <w:szCs w:val="16"/>
              </w:rPr>
            </w:pPr>
          </w:p>
        </w:tc>
        <w:tc>
          <w:tcPr>
            <w:tcW w:w="1207" w:type="dxa"/>
          </w:tcPr>
          <w:p w14:paraId="51D5824B" w14:textId="77777777" w:rsidR="00AE7191" w:rsidRPr="001E2C69" w:rsidRDefault="00AE7191" w:rsidP="00722885">
            <w:pPr>
              <w:pStyle w:val="Iauiue"/>
              <w:jc w:val="both"/>
              <w:rPr>
                <w:color w:val="000000" w:themeColor="text1"/>
                <w:sz w:val="16"/>
                <w:szCs w:val="16"/>
              </w:rPr>
            </w:pPr>
          </w:p>
        </w:tc>
        <w:tc>
          <w:tcPr>
            <w:tcW w:w="866" w:type="dxa"/>
          </w:tcPr>
          <w:p w14:paraId="06F45150" w14:textId="77777777" w:rsidR="00AE7191" w:rsidRPr="001E2C69" w:rsidRDefault="00AE7191" w:rsidP="00722885">
            <w:pPr>
              <w:pStyle w:val="Iauiue"/>
              <w:jc w:val="both"/>
              <w:rPr>
                <w:color w:val="000000" w:themeColor="text1"/>
                <w:sz w:val="16"/>
                <w:szCs w:val="16"/>
              </w:rPr>
            </w:pPr>
          </w:p>
        </w:tc>
        <w:tc>
          <w:tcPr>
            <w:tcW w:w="3811" w:type="dxa"/>
          </w:tcPr>
          <w:p w14:paraId="65E02A46" w14:textId="77777777" w:rsidR="00AE7191" w:rsidRPr="001E2C69" w:rsidRDefault="00AE7191" w:rsidP="00722885">
            <w:pPr>
              <w:pStyle w:val="Iauiue"/>
              <w:jc w:val="both"/>
              <w:rPr>
                <w:color w:val="000000" w:themeColor="text1"/>
                <w:sz w:val="16"/>
                <w:szCs w:val="16"/>
              </w:rPr>
            </w:pPr>
          </w:p>
        </w:tc>
      </w:tr>
      <w:tr w:rsidR="001E2C69" w:rsidRPr="001E2C69" w14:paraId="44E0B20C" w14:textId="77777777" w:rsidTr="00CC5360">
        <w:tc>
          <w:tcPr>
            <w:tcW w:w="2376" w:type="dxa"/>
          </w:tcPr>
          <w:p w14:paraId="3F52F1A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нагнетателем Трескина</w:t>
            </w:r>
          </w:p>
        </w:tc>
        <w:tc>
          <w:tcPr>
            <w:tcW w:w="1418" w:type="dxa"/>
          </w:tcPr>
          <w:p w14:paraId="6C0CE1C3" w14:textId="77777777" w:rsidR="00AE7191" w:rsidRPr="001E2C69" w:rsidRDefault="00AE7191" w:rsidP="00722885">
            <w:pPr>
              <w:pStyle w:val="Iauiue"/>
              <w:jc w:val="both"/>
              <w:rPr>
                <w:color w:val="000000" w:themeColor="text1"/>
                <w:sz w:val="16"/>
                <w:szCs w:val="16"/>
              </w:rPr>
            </w:pPr>
          </w:p>
        </w:tc>
        <w:tc>
          <w:tcPr>
            <w:tcW w:w="919" w:type="dxa"/>
          </w:tcPr>
          <w:p w14:paraId="453DF717" w14:textId="77777777" w:rsidR="00AE7191" w:rsidRPr="001E2C69" w:rsidRDefault="00AE7191" w:rsidP="00722885">
            <w:pPr>
              <w:pStyle w:val="Iauiue"/>
              <w:jc w:val="both"/>
              <w:rPr>
                <w:color w:val="000000" w:themeColor="text1"/>
                <w:sz w:val="16"/>
                <w:szCs w:val="16"/>
              </w:rPr>
            </w:pPr>
          </w:p>
        </w:tc>
        <w:tc>
          <w:tcPr>
            <w:tcW w:w="1207" w:type="dxa"/>
          </w:tcPr>
          <w:p w14:paraId="753D13EE" w14:textId="77777777" w:rsidR="00AE7191" w:rsidRPr="001E2C69" w:rsidRDefault="00AE7191" w:rsidP="00722885">
            <w:pPr>
              <w:pStyle w:val="Iauiue"/>
              <w:jc w:val="both"/>
              <w:rPr>
                <w:color w:val="000000" w:themeColor="text1"/>
                <w:sz w:val="16"/>
                <w:szCs w:val="16"/>
              </w:rPr>
            </w:pPr>
          </w:p>
        </w:tc>
        <w:tc>
          <w:tcPr>
            <w:tcW w:w="866" w:type="dxa"/>
          </w:tcPr>
          <w:p w14:paraId="433284DA" w14:textId="77777777" w:rsidR="00AE7191" w:rsidRPr="001E2C69" w:rsidRDefault="00AE7191" w:rsidP="00722885">
            <w:pPr>
              <w:pStyle w:val="Iauiue"/>
              <w:jc w:val="both"/>
              <w:rPr>
                <w:color w:val="000000" w:themeColor="text1"/>
                <w:sz w:val="16"/>
                <w:szCs w:val="16"/>
              </w:rPr>
            </w:pPr>
          </w:p>
        </w:tc>
        <w:tc>
          <w:tcPr>
            <w:tcW w:w="3811" w:type="dxa"/>
          </w:tcPr>
          <w:p w14:paraId="041F6E8C" w14:textId="77777777" w:rsidR="00AE7191" w:rsidRPr="001E2C69" w:rsidRDefault="00AE7191" w:rsidP="00722885">
            <w:pPr>
              <w:pStyle w:val="Iauiue"/>
              <w:jc w:val="both"/>
              <w:rPr>
                <w:color w:val="000000" w:themeColor="text1"/>
                <w:sz w:val="16"/>
                <w:szCs w:val="16"/>
              </w:rPr>
            </w:pPr>
          </w:p>
        </w:tc>
      </w:tr>
      <w:tr w:rsidR="001E2C69" w:rsidRPr="001E2C69" w14:paraId="4048F383" w14:textId="77777777" w:rsidTr="00CC5360">
        <w:tc>
          <w:tcPr>
            <w:tcW w:w="2376" w:type="dxa"/>
          </w:tcPr>
          <w:p w14:paraId="7B1B513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Модификация истребителя сопровождения ДИС-200 под мотор М-82</w:t>
            </w:r>
          </w:p>
        </w:tc>
        <w:tc>
          <w:tcPr>
            <w:tcW w:w="1418" w:type="dxa"/>
          </w:tcPr>
          <w:p w14:paraId="6208C46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Микоян</w:t>
            </w:r>
          </w:p>
          <w:p w14:paraId="0562F66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з-д 155</w:t>
            </w:r>
          </w:p>
        </w:tc>
        <w:tc>
          <w:tcPr>
            <w:tcW w:w="919" w:type="dxa"/>
          </w:tcPr>
          <w:p w14:paraId="4093076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w:t>
            </w:r>
          </w:p>
        </w:tc>
        <w:tc>
          <w:tcPr>
            <w:tcW w:w="1207" w:type="dxa"/>
          </w:tcPr>
          <w:p w14:paraId="6391148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15.Х1.42</w:t>
            </w:r>
          </w:p>
        </w:tc>
        <w:tc>
          <w:tcPr>
            <w:tcW w:w="866" w:type="dxa"/>
          </w:tcPr>
          <w:p w14:paraId="4FCC50E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1200</w:t>
            </w:r>
          </w:p>
        </w:tc>
        <w:tc>
          <w:tcPr>
            <w:tcW w:w="3811" w:type="dxa"/>
          </w:tcPr>
          <w:p w14:paraId="6C48CF63" w14:textId="77777777" w:rsidR="00AE7191" w:rsidRPr="001E2C69" w:rsidRDefault="00AE7191" w:rsidP="00722885">
            <w:pPr>
              <w:pStyle w:val="Iauiue"/>
              <w:jc w:val="both"/>
              <w:rPr>
                <w:color w:val="000000" w:themeColor="text1"/>
                <w:sz w:val="16"/>
                <w:szCs w:val="16"/>
              </w:rPr>
            </w:pPr>
          </w:p>
        </w:tc>
      </w:tr>
      <w:tr w:rsidR="001E2C69" w:rsidRPr="001E2C69" w14:paraId="7C8C75FA" w14:textId="77777777" w:rsidTr="00CC5360">
        <w:tc>
          <w:tcPr>
            <w:tcW w:w="2376" w:type="dxa"/>
          </w:tcPr>
          <w:p w14:paraId="49B2CDD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Модификация истребителя МиГ-3 под мотор М-82</w:t>
            </w:r>
          </w:p>
        </w:tc>
        <w:tc>
          <w:tcPr>
            <w:tcW w:w="1418" w:type="dxa"/>
          </w:tcPr>
          <w:p w14:paraId="6B8EB3F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Микоян</w:t>
            </w:r>
          </w:p>
          <w:p w14:paraId="5C9B4A9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з-д 155</w:t>
            </w:r>
          </w:p>
        </w:tc>
        <w:tc>
          <w:tcPr>
            <w:tcW w:w="919" w:type="dxa"/>
          </w:tcPr>
          <w:p w14:paraId="4C8A96A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w:t>
            </w:r>
          </w:p>
        </w:tc>
        <w:tc>
          <w:tcPr>
            <w:tcW w:w="1207" w:type="dxa"/>
          </w:tcPr>
          <w:p w14:paraId="7BC20C7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15.УШ.42</w:t>
            </w:r>
          </w:p>
        </w:tc>
        <w:tc>
          <w:tcPr>
            <w:tcW w:w="866" w:type="dxa"/>
          </w:tcPr>
          <w:p w14:paraId="5E64E08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200</w:t>
            </w:r>
          </w:p>
        </w:tc>
        <w:tc>
          <w:tcPr>
            <w:tcW w:w="3811" w:type="dxa"/>
          </w:tcPr>
          <w:p w14:paraId="5F05CCBE" w14:textId="77777777" w:rsidR="00AE7191" w:rsidRPr="001E2C69" w:rsidRDefault="00AE7191" w:rsidP="00722885">
            <w:pPr>
              <w:pStyle w:val="Iauiue"/>
              <w:jc w:val="both"/>
              <w:rPr>
                <w:color w:val="000000" w:themeColor="text1"/>
                <w:sz w:val="16"/>
                <w:szCs w:val="16"/>
              </w:rPr>
            </w:pPr>
          </w:p>
        </w:tc>
      </w:tr>
      <w:tr w:rsidR="001E2C69" w:rsidRPr="001E2C69" w14:paraId="4CA95107" w14:textId="77777777" w:rsidTr="00CC5360">
        <w:tc>
          <w:tcPr>
            <w:tcW w:w="2376" w:type="dxa"/>
          </w:tcPr>
          <w:p w14:paraId="3396F9A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Модификация истребителя</w:t>
            </w:r>
          </w:p>
        </w:tc>
        <w:tc>
          <w:tcPr>
            <w:tcW w:w="1418" w:type="dxa"/>
          </w:tcPr>
          <w:p w14:paraId="41F50D1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Яковлев</w:t>
            </w:r>
          </w:p>
        </w:tc>
        <w:tc>
          <w:tcPr>
            <w:tcW w:w="919" w:type="dxa"/>
          </w:tcPr>
          <w:p w14:paraId="7103B10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w:t>
            </w:r>
          </w:p>
        </w:tc>
        <w:tc>
          <w:tcPr>
            <w:tcW w:w="1207" w:type="dxa"/>
          </w:tcPr>
          <w:p w14:paraId="35AC121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15.VШ.42</w:t>
            </w:r>
          </w:p>
        </w:tc>
        <w:tc>
          <w:tcPr>
            <w:tcW w:w="866" w:type="dxa"/>
          </w:tcPr>
          <w:p w14:paraId="253E07F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1800</w:t>
            </w:r>
          </w:p>
        </w:tc>
        <w:tc>
          <w:tcPr>
            <w:tcW w:w="3811" w:type="dxa"/>
          </w:tcPr>
          <w:p w14:paraId="57C571BD" w14:textId="77777777" w:rsidR="00AE7191" w:rsidRPr="001E2C69" w:rsidRDefault="00AE7191" w:rsidP="00722885">
            <w:pPr>
              <w:pStyle w:val="Iauiue"/>
              <w:jc w:val="both"/>
              <w:rPr>
                <w:color w:val="000000" w:themeColor="text1"/>
                <w:sz w:val="16"/>
                <w:szCs w:val="16"/>
              </w:rPr>
            </w:pPr>
          </w:p>
        </w:tc>
      </w:tr>
      <w:tr w:rsidR="001E2C69" w:rsidRPr="001E2C69" w14:paraId="1C10E8A7" w14:textId="77777777" w:rsidTr="00CC5360">
        <w:tc>
          <w:tcPr>
            <w:tcW w:w="2376" w:type="dxa"/>
          </w:tcPr>
          <w:p w14:paraId="16964C9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Як-7 под мотор М-105П с</w:t>
            </w:r>
          </w:p>
        </w:tc>
        <w:tc>
          <w:tcPr>
            <w:tcW w:w="1418" w:type="dxa"/>
          </w:tcPr>
          <w:p w14:paraId="1F04140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з-д 115</w:t>
            </w:r>
          </w:p>
        </w:tc>
        <w:tc>
          <w:tcPr>
            <w:tcW w:w="919" w:type="dxa"/>
          </w:tcPr>
          <w:p w14:paraId="7A81BAC4" w14:textId="77777777" w:rsidR="00AE7191" w:rsidRPr="001E2C69" w:rsidRDefault="00AE7191" w:rsidP="00722885">
            <w:pPr>
              <w:pStyle w:val="Iauiue"/>
              <w:jc w:val="both"/>
              <w:rPr>
                <w:color w:val="000000" w:themeColor="text1"/>
                <w:sz w:val="16"/>
                <w:szCs w:val="16"/>
              </w:rPr>
            </w:pPr>
          </w:p>
        </w:tc>
        <w:tc>
          <w:tcPr>
            <w:tcW w:w="1207" w:type="dxa"/>
          </w:tcPr>
          <w:p w14:paraId="5DE6EA1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1.Х.42</w:t>
            </w:r>
          </w:p>
        </w:tc>
        <w:tc>
          <w:tcPr>
            <w:tcW w:w="866" w:type="dxa"/>
          </w:tcPr>
          <w:p w14:paraId="7EAE4133" w14:textId="77777777" w:rsidR="00AE7191" w:rsidRPr="001E2C69" w:rsidRDefault="00AE7191" w:rsidP="00722885">
            <w:pPr>
              <w:pStyle w:val="Iauiue"/>
              <w:jc w:val="both"/>
              <w:rPr>
                <w:color w:val="000000" w:themeColor="text1"/>
                <w:sz w:val="16"/>
                <w:szCs w:val="16"/>
              </w:rPr>
            </w:pPr>
          </w:p>
        </w:tc>
        <w:tc>
          <w:tcPr>
            <w:tcW w:w="3811" w:type="dxa"/>
          </w:tcPr>
          <w:p w14:paraId="7E08361D" w14:textId="77777777" w:rsidR="00AE7191" w:rsidRPr="001E2C69" w:rsidRDefault="00AE7191" w:rsidP="00722885">
            <w:pPr>
              <w:pStyle w:val="Iauiue"/>
              <w:jc w:val="both"/>
              <w:rPr>
                <w:color w:val="000000" w:themeColor="text1"/>
                <w:sz w:val="16"/>
                <w:szCs w:val="16"/>
              </w:rPr>
            </w:pPr>
          </w:p>
        </w:tc>
      </w:tr>
      <w:tr w:rsidR="001E2C69" w:rsidRPr="001E2C69" w14:paraId="628D6064" w14:textId="77777777" w:rsidTr="00CC5360">
        <w:tc>
          <w:tcPr>
            <w:tcW w:w="2376" w:type="dxa"/>
          </w:tcPr>
          <w:p w14:paraId="4FBA1AB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нагнетателем конструкции</w:t>
            </w:r>
          </w:p>
        </w:tc>
        <w:tc>
          <w:tcPr>
            <w:tcW w:w="1418" w:type="dxa"/>
          </w:tcPr>
          <w:p w14:paraId="319FECB2" w14:textId="77777777" w:rsidR="00AE7191" w:rsidRPr="001E2C69" w:rsidRDefault="00AE7191" w:rsidP="00722885">
            <w:pPr>
              <w:pStyle w:val="Iauiue"/>
              <w:jc w:val="both"/>
              <w:rPr>
                <w:color w:val="000000" w:themeColor="text1"/>
                <w:sz w:val="16"/>
                <w:szCs w:val="16"/>
              </w:rPr>
            </w:pPr>
          </w:p>
        </w:tc>
        <w:tc>
          <w:tcPr>
            <w:tcW w:w="919" w:type="dxa"/>
          </w:tcPr>
          <w:p w14:paraId="5F48390F" w14:textId="77777777" w:rsidR="00AE7191" w:rsidRPr="001E2C69" w:rsidRDefault="00AE7191" w:rsidP="00722885">
            <w:pPr>
              <w:pStyle w:val="Iauiue"/>
              <w:jc w:val="both"/>
              <w:rPr>
                <w:color w:val="000000" w:themeColor="text1"/>
                <w:sz w:val="16"/>
                <w:szCs w:val="16"/>
              </w:rPr>
            </w:pPr>
          </w:p>
        </w:tc>
        <w:tc>
          <w:tcPr>
            <w:tcW w:w="1207" w:type="dxa"/>
          </w:tcPr>
          <w:p w14:paraId="70C1F0D4" w14:textId="77777777" w:rsidR="00AE7191" w:rsidRPr="001E2C69" w:rsidRDefault="00AE7191" w:rsidP="00722885">
            <w:pPr>
              <w:pStyle w:val="Iauiue"/>
              <w:jc w:val="both"/>
              <w:rPr>
                <w:color w:val="000000" w:themeColor="text1"/>
                <w:sz w:val="16"/>
                <w:szCs w:val="16"/>
              </w:rPr>
            </w:pPr>
          </w:p>
        </w:tc>
        <w:tc>
          <w:tcPr>
            <w:tcW w:w="866" w:type="dxa"/>
          </w:tcPr>
          <w:p w14:paraId="5B40E2EF" w14:textId="77777777" w:rsidR="00AE7191" w:rsidRPr="001E2C69" w:rsidRDefault="00AE7191" w:rsidP="00722885">
            <w:pPr>
              <w:pStyle w:val="Iauiue"/>
              <w:jc w:val="both"/>
              <w:rPr>
                <w:color w:val="000000" w:themeColor="text1"/>
                <w:sz w:val="16"/>
                <w:szCs w:val="16"/>
              </w:rPr>
            </w:pPr>
          </w:p>
        </w:tc>
        <w:tc>
          <w:tcPr>
            <w:tcW w:w="3811" w:type="dxa"/>
          </w:tcPr>
          <w:p w14:paraId="634ED6A5" w14:textId="77777777" w:rsidR="00AE7191" w:rsidRPr="001E2C69" w:rsidRDefault="00AE7191" w:rsidP="00722885">
            <w:pPr>
              <w:pStyle w:val="Iauiue"/>
              <w:jc w:val="both"/>
              <w:rPr>
                <w:color w:val="000000" w:themeColor="text1"/>
                <w:sz w:val="16"/>
                <w:szCs w:val="16"/>
              </w:rPr>
            </w:pPr>
          </w:p>
        </w:tc>
      </w:tr>
      <w:tr w:rsidR="001E2C69" w:rsidRPr="001E2C69" w14:paraId="16480CEA" w14:textId="77777777" w:rsidTr="00CC5360">
        <w:tc>
          <w:tcPr>
            <w:tcW w:w="2376" w:type="dxa"/>
          </w:tcPr>
          <w:p w14:paraId="64B7BE1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Доллежаля и под мотор</w:t>
            </w:r>
          </w:p>
        </w:tc>
        <w:tc>
          <w:tcPr>
            <w:tcW w:w="1418" w:type="dxa"/>
          </w:tcPr>
          <w:p w14:paraId="78051395" w14:textId="77777777" w:rsidR="00AE7191" w:rsidRPr="001E2C69" w:rsidRDefault="00AE7191" w:rsidP="00722885">
            <w:pPr>
              <w:pStyle w:val="Iauiue"/>
              <w:jc w:val="both"/>
              <w:rPr>
                <w:color w:val="000000" w:themeColor="text1"/>
                <w:sz w:val="16"/>
                <w:szCs w:val="16"/>
              </w:rPr>
            </w:pPr>
          </w:p>
        </w:tc>
        <w:tc>
          <w:tcPr>
            <w:tcW w:w="919" w:type="dxa"/>
          </w:tcPr>
          <w:p w14:paraId="75CD2C0B" w14:textId="77777777" w:rsidR="00AE7191" w:rsidRPr="001E2C69" w:rsidRDefault="00AE7191" w:rsidP="00722885">
            <w:pPr>
              <w:pStyle w:val="Iauiue"/>
              <w:jc w:val="both"/>
              <w:rPr>
                <w:color w:val="000000" w:themeColor="text1"/>
                <w:sz w:val="16"/>
                <w:szCs w:val="16"/>
              </w:rPr>
            </w:pPr>
          </w:p>
        </w:tc>
        <w:tc>
          <w:tcPr>
            <w:tcW w:w="1207" w:type="dxa"/>
          </w:tcPr>
          <w:p w14:paraId="5B1F9802" w14:textId="77777777" w:rsidR="00AE7191" w:rsidRPr="001E2C69" w:rsidRDefault="00AE7191" w:rsidP="00722885">
            <w:pPr>
              <w:pStyle w:val="Iauiue"/>
              <w:jc w:val="both"/>
              <w:rPr>
                <w:color w:val="000000" w:themeColor="text1"/>
                <w:sz w:val="16"/>
                <w:szCs w:val="16"/>
              </w:rPr>
            </w:pPr>
          </w:p>
        </w:tc>
        <w:tc>
          <w:tcPr>
            <w:tcW w:w="866" w:type="dxa"/>
          </w:tcPr>
          <w:p w14:paraId="661761DC" w14:textId="77777777" w:rsidR="00AE7191" w:rsidRPr="001E2C69" w:rsidRDefault="00AE7191" w:rsidP="00722885">
            <w:pPr>
              <w:pStyle w:val="Iauiue"/>
              <w:jc w:val="both"/>
              <w:rPr>
                <w:color w:val="000000" w:themeColor="text1"/>
                <w:sz w:val="16"/>
                <w:szCs w:val="16"/>
              </w:rPr>
            </w:pPr>
          </w:p>
        </w:tc>
        <w:tc>
          <w:tcPr>
            <w:tcW w:w="3811" w:type="dxa"/>
          </w:tcPr>
          <w:p w14:paraId="2A122CA9" w14:textId="77777777" w:rsidR="00AE7191" w:rsidRPr="001E2C69" w:rsidRDefault="00AE7191" w:rsidP="00722885">
            <w:pPr>
              <w:pStyle w:val="Iauiue"/>
              <w:jc w:val="both"/>
              <w:rPr>
                <w:color w:val="000000" w:themeColor="text1"/>
                <w:sz w:val="16"/>
                <w:szCs w:val="16"/>
              </w:rPr>
            </w:pPr>
          </w:p>
        </w:tc>
      </w:tr>
      <w:tr w:rsidR="001E2C69" w:rsidRPr="001E2C69" w14:paraId="576FBE65" w14:textId="77777777" w:rsidTr="00CC5360">
        <w:tc>
          <w:tcPr>
            <w:tcW w:w="2376" w:type="dxa"/>
          </w:tcPr>
          <w:p w14:paraId="6524255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М-107Ф</w:t>
            </w:r>
          </w:p>
        </w:tc>
        <w:tc>
          <w:tcPr>
            <w:tcW w:w="1418" w:type="dxa"/>
          </w:tcPr>
          <w:p w14:paraId="36B9DE50" w14:textId="77777777" w:rsidR="00AE7191" w:rsidRPr="001E2C69" w:rsidRDefault="00AE7191" w:rsidP="00722885">
            <w:pPr>
              <w:pStyle w:val="Iauiue"/>
              <w:jc w:val="both"/>
              <w:rPr>
                <w:color w:val="000000" w:themeColor="text1"/>
                <w:sz w:val="16"/>
                <w:szCs w:val="16"/>
              </w:rPr>
            </w:pPr>
          </w:p>
        </w:tc>
        <w:tc>
          <w:tcPr>
            <w:tcW w:w="919" w:type="dxa"/>
          </w:tcPr>
          <w:p w14:paraId="13927D21" w14:textId="77777777" w:rsidR="00AE7191" w:rsidRPr="001E2C69" w:rsidRDefault="00AE7191" w:rsidP="00722885">
            <w:pPr>
              <w:pStyle w:val="Iauiue"/>
              <w:jc w:val="both"/>
              <w:rPr>
                <w:color w:val="000000" w:themeColor="text1"/>
                <w:sz w:val="16"/>
                <w:szCs w:val="16"/>
              </w:rPr>
            </w:pPr>
          </w:p>
        </w:tc>
        <w:tc>
          <w:tcPr>
            <w:tcW w:w="1207" w:type="dxa"/>
          </w:tcPr>
          <w:p w14:paraId="75D71B33" w14:textId="77777777" w:rsidR="00AE7191" w:rsidRPr="001E2C69" w:rsidRDefault="00AE7191" w:rsidP="00722885">
            <w:pPr>
              <w:pStyle w:val="Iauiue"/>
              <w:jc w:val="both"/>
              <w:rPr>
                <w:color w:val="000000" w:themeColor="text1"/>
                <w:sz w:val="16"/>
                <w:szCs w:val="16"/>
              </w:rPr>
            </w:pPr>
          </w:p>
        </w:tc>
        <w:tc>
          <w:tcPr>
            <w:tcW w:w="866" w:type="dxa"/>
          </w:tcPr>
          <w:p w14:paraId="583B66EA" w14:textId="77777777" w:rsidR="00AE7191" w:rsidRPr="001E2C69" w:rsidRDefault="00AE7191" w:rsidP="00722885">
            <w:pPr>
              <w:pStyle w:val="Iauiue"/>
              <w:jc w:val="both"/>
              <w:rPr>
                <w:color w:val="000000" w:themeColor="text1"/>
                <w:sz w:val="16"/>
                <w:szCs w:val="16"/>
              </w:rPr>
            </w:pPr>
          </w:p>
        </w:tc>
        <w:tc>
          <w:tcPr>
            <w:tcW w:w="3811" w:type="dxa"/>
          </w:tcPr>
          <w:p w14:paraId="79E814B8" w14:textId="77777777" w:rsidR="00AE7191" w:rsidRPr="001E2C69" w:rsidRDefault="00AE7191" w:rsidP="00722885">
            <w:pPr>
              <w:pStyle w:val="Iauiue"/>
              <w:jc w:val="both"/>
              <w:rPr>
                <w:color w:val="000000" w:themeColor="text1"/>
                <w:sz w:val="16"/>
                <w:szCs w:val="16"/>
              </w:rPr>
            </w:pPr>
          </w:p>
        </w:tc>
      </w:tr>
      <w:tr w:rsidR="001E2C69" w:rsidRPr="001E2C69" w14:paraId="07BF78BD" w14:textId="77777777" w:rsidTr="00CC5360">
        <w:tc>
          <w:tcPr>
            <w:tcW w:w="2376" w:type="dxa"/>
          </w:tcPr>
          <w:p w14:paraId="74E803B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Модификация истребителя</w:t>
            </w:r>
          </w:p>
        </w:tc>
        <w:tc>
          <w:tcPr>
            <w:tcW w:w="1418" w:type="dxa"/>
          </w:tcPr>
          <w:p w14:paraId="03E3EB0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Яковлев</w:t>
            </w:r>
          </w:p>
        </w:tc>
        <w:tc>
          <w:tcPr>
            <w:tcW w:w="919" w:type="dxa"/>
          </w:tcPr>
          <w:p w14:paraId="59BB900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w:t>
            </w:r>
          </w:p>
        </w:tc>
        <w:tc>
          <w:tcPr>
            <w:tcW w:w="1207" w:type="dxa"/>
          </w:tcPr>
          <w:p w14:paraId="0B924B3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15.1Х.42</w:t>
            </w:r>
          </w:p>
        </w:tc>
        <w:tc>
          <w:tcPr>
            <w:tcW w:w="866" w:type="dxa"/>
          </w:tcPr>
          <w:p w14:paraId="065D616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1000</w:t>
            </w:r>
          </w:p>
        </w:tc>
        <w:tc>
          <w:tcPr>
            <w:tcW w:w="3811" w:type="dxa"/>
          </w:tcPr>
          <w:p w14:paraId="476EFBD2" w14:textId="77777777" w:rsidR="00AE7191" w:rsidRPr="001E2C69" w:rsidRDefault="00AE7191" w:rsidP="00722885">
            <w:pPr>
              <w:pStyle w:val="Iauiue"/>
              <w:jc w:val="both"/>
              <w:rPr>
                <w:color w:val="000000" w:themeColor="text1"/>
                <w:sz w:val="16"/>
                <w:szCs w:val="16"/>
              </w:rPr>
            </w:pPr>
          </w:p>
        </w:tc>
      </w:tr>
      <w:tr w:rsidR="001E2C69" w:rsidRPr="001E2C69" w14:paraId="18234CBA" w14:textId="77777777" w:rsidTr="00CC5360">
        <w:tc>
          <w:tcPr>
            <w:tcW w:w="2376" w:type="dxa"/>
          </w:tcPr>
          <w:p w14:paraId="5787AF2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Як-7 под мотор М-82</w:t>
            </w:r>
          </w:p>
        </w:tc>
        <w:tc>
          <w:tcPr>
            <w:tcW w:w="1418" w:type="dxa"/>
          </w:tcPr>
          <w:p w14:paraId="0B56F90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з-д 153</w:t>
            </w:r>
          </w:p>
        </w:tc>
        <w:tc>
          <w:tcPr>
            <w:tcW w:w="919" w:type="dxa"/>
          </w:tcPr>
          <w:p w14:paraId="229C7289" w14:textId="77777777" w:rsidR="00AE7191" w:rsidRPr="001E2C69" w:rsidRDefault="00AE7191" w:rsidP="00722885">
            <w:pPr>
              <w:pStyle w:val="Iauiue"/>
              <w:jc w:val="both"/>
              <w:rPr>
                <w:color w:val="000000" w:themeColor="text1"/>
                <w:sz w:val="16"/>
                <w:szCs w:val="16"/>
              </w:rPr>
            </w:pPr>
          </w:p>
        </w:tc>
        <w:tc>
          <w:tcPr>
            <w:tcW w:w="1207" w:type="dxa"/>
          </w:tcPr>
          <w:p w14:paraId="66E2C84F" w14:textId="77777777" w:rsidR="00AE7191" w:rsidRPr="001E2C69" w:rsidRDefault="00AE7191" w:rsidP="00722885">
            <w:pPr>
              <w:pStyle w:val="Iauiue"/>
              <w:jc w:val="both"/>
              <w:rPr>
                <w:color w:val="000000" w:themeColor="text1"/>
                <w:sz w:val="16"/>
                <w:szCs w:val="16"/>
              </w:rPr>
            </w:pPr>
          </w:p>
        </w:tc>
        <w:tc>
          <w:tcPr>
            <w:tcW w:w="866" w:type="dxa"/>
          </w:tcPr>
          <w:p w14:paraId="252B7709" w14:textId="77777777" w:rsidR="00AE7191" w:rsidRPr="001E2C69" w:rsidRDefault="00AE7191" w:rsidP="00722885">
            <w:pPr>
              <w:pStyle w:val="Iauiue"/>
              <w:jc w:val="both"/>
              <w:rPr>
                <w:color w:val="000000" w:themeColor="text1"/>
                <w:sz w:val="16"/>
                <w:szCs w:val="16"/>
              </w:rPr>
            </w:pPr>
          </w:p>
        </w:tc>
        <w:tc>
          <w:tcPr>
            <w:tcW w:w="3811" w:type="dxa"/>
          </w:tcPr>
          <w:p w14:paraId="0F82632C" w14:textId="77777777" w:rsidR="00AE7191" w:rsidRPr="001E2C69" w:rsidRDefault="00AE7191" w:rsidP="00722885">
            <w:pPr>
              <w:pStyle w:val="Iauiue"/>
              <w:jc w:val="both"/>
              <w:rPr>
                <w:color w:val="000000" w:themeColor="text1"/>
                <w:sz w:val="16"/>
                <w:szCs w:val="16"/>
              </w:rPr>
            </w:pPr>
          </w:p>
        </w:tc>
      </w:tr>
      <w:tr w:rsidR="001E2C69" w:rsidRPr="001E2C69" w14:paraId="02BA95B4" w14:textId="77777777" w:rsidTr="00CC5360">
        <w:tc>
          <w:tcPr>
            <w:tcW w:w="2376" w:type="dxa"/>
          </w:tcPr>
          <w:p w14:paraId="1D4348D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Одноместный истребитель</w:t>
            </w:r>
          </w:p>
        </w:tc>
        <w:tc>
          <w:tcPr>
            <w:tcW w:w="1418" w:type="dxa"/>
          </w:tcPr>
          <w:p w14:paraId="394D848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Поликарпов</w:t>
            </w:r>
          </w:p>
        </w:tc>
        <w:tc>
          <w:tcPr>
            <w:tcW w:w="919" w:type="dxa"/>
          </w:tcPr>
          <w:p w14:paraId="6DE2A3A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w:t>
            </w:r>
          </w:p>
        </w:tc>
        <w:tc>
          <w:tcPr>
            <w:tcW w:w="1207" w:type="dxa"/>
          </w:tcPr>
          <w:p w14:paraId="2AAE4C9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w:t>
            </w:r>
          </w:p>
        </w:tc>
        <w:tc>
          <w:tcPr>
            <w:tcW w:w="866" w:type="dxa"/>
          </w:tcPr>
          <w:p w14:paraId="7BBCF26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3500</w:t>
            </w:r>
          </w:p>
        </w:tc>
        <w:tc>
          <w:tcPr>
            <w:tcW w:w="3811" w:type="dxa"/>
          </w:tcPr>
          <w:p w14:paraId="1AAD3AE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Летные испытания и доводки.</w:t>
            </w:r>
          </w:p>
        </w:tc>
      </w:tr>
      <w:tr w:rsidR="001E2C69" w:rsidRPr="001E2C69" w14:paraId="40D173D2" w14:textId="77777777" w:rsidTr="00CC5360">
        <w:tc>
          <w:tcPr>
            <w:tcW w:w="2376" w:type="dxa"/>
          </w:tcPr>
          <w:p w14:paraId="4B0DDAA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И-185 под моторы М-71,</w:t>
            </w:r>
          </w:p>
        </w:tc>
        <w:tc>
          <w:tcPr>
            <w:tcW w:w="1418" w:type="dxa"/>
          </w:tcPr>
          <w:p w14:paraId="6D8B193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з-д 51</w:t>
            </w:r>
          </w:p>
        </w:tc>
        <w:tc>
          <w:tcPr>
            <w:tcW w:w="919" w:type="dxa"/>
          </w:tcPr>
          <w:p w14:paraId="0C52E87D" w14:textId="77777777" w:rsidR="00AE7191" w:rsidRPr="001E2C69" w:rsidRDefault="00AE7191" w:rsidP="00722885">
            <w:pPr>
              <w:pStyle w:val="Iauiue"/>
              <w:jc w:val="both"/>
              <w:rPr>
                <w:color w:val="000000" w:themeColor="text1"/>
                <w:sz w:val="16"/>
                <w:szCs w:val="16"/>
              </w:rPr>
            </w:pPr>
          </w:p>
        </w:tc>
        <w:tc>
          <w:tcPr>
            <w:tcW w:w="1207" w:type="dxa"/>
          </w:tcPr>
          <w:p w14:paraId="63ADBBFB" w14:textId="77777777" w:rsidR="00AE7191" w:rsidRPr="001E2C69" w:rsidRDefault="00AE7191" w:rsidP="00722885">
            <w:pPr>
              <w:pStyle w:val="Iauiue"/>
              <w:jc w:val="both"/>
              <w:rPr>
                <w:color w:val="000000" w:themeColor="text1"/>
                <w:sz w:val="16"/>
                <w:szCs w:val="16"/>
              </w:rPr>
            </w:pPr>
          </w:p>
        </w:tc>
        <w:tc>
          <w:tcPr>
            <w:tcW w:w="866" w:type="dxa"/>
          </w:tcPr>
          <w:p w14:paraId="1B116B58" w14:textId="77777777" w:rsidR="00AE7191" w:rsidRPr="001E2C69" w:rsidRDefault="00AE7191" w:rsidP="00722885">
            <w:pPr>
              <w:pStyle w:val="Iauiue"/>
              <w:jc w:val="both"/>
              <w:rPr>
                <w:color w:val="000000" w:themeColor="text1"/>
                <w:sz w:val="16"/>
                <w:szCs w:val="16"/>
              </w:rPr>
            </w:pPr>
          </w:p>
        </w:tc>
        <w:tc>
          <w:tcPr>
            <w:tcW w:w="3811" w:type="dxa"/>
          </w:tcPr>
          <w:p w14:paraId="064FDCAC" w14:textId="77777777" w:rsidR="00AE7191" w:rsidRPr="001E2C69" w:rsidRDefault="00AE7191" w:rsidP="00722885">
            <w:pPr>
              <w:pStyle w:val="Iauiue"/>
              <w:jc w:val="both"/>
              <w:rPr>
                <w:color w:val="000000" w:themeColor="text1"/>
                <w:sz w:val="16"/>
                <w:szCs w:val="16"/>
              </w:rPr>
            </w:pPr>
          </w:p>
        </w:tc>
      </w:tr>
      <w:tr w:rsidR="001E2C69" w:rsidRPr="001E2C69" w14:paraId="68E86B5C" w14:textId="77777777" w:rsidTr="00CC5360">
        <w:tc>
          <w:tcPr>
            <w:tcW w:w="2376" w:type="dxa"/>
          </w:tcPr>
          <w:p w14:paraId="3E55281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lastRenderedPageBreak/>
              <w:t>М-82 и М-90</w:t>
            </w:r>
          </w:p>
        </w:tc>
        <w:tc>
          <w:tcPr>
            <w:tcW w:w="1418" w:type="dxa"/>
          </w:tcPr>
          <w:p w14:paraId="63F0BECB" w14:textId="77777777" w:rsidR="00AE7191" w:rsidRPr="001E2C69" w:rsidRDefault="00AE7191" w:rsidP="00722885">
            <w:pPr>
              <w:pStyle w:val="Iauiue"/>
              <w:jc w:val="both"/>
              <w:rPr>
                <w:color w:val="000000" w:themeColor="text1"/>
                <w:sz w:val="16"/>
                <w:szCs w:val="16"/>
              </w:rPr>
            </w:pPr>
          </w:p>
        </w:tc>
        <w:tc>
          <w:tcPr>
            <w:tcW w:w="919" w:type="dxa"/>
          </w:tcPr>
          <w:p w14:paraId="25D45EEB" w14:textId="77777777" w:rsidR="00AE7191" w:rsidRPr="001E2C69" w:rsidRDefault="00AE7191" w:rsidP="00722885">
            <w:pPr>
              <w:pStyle w:val="Iauiue"/>
              <w:jc w:val="both"/>
              <w:rPr>
                <w:color w:val="000000" w:themeColor="text1"/>
                <w:sz w:val="16"/>
                <w:szCs w:val="16"/>
              </w:rPr>
            </w:pPr>
          </w:p>
        </w:tc>
        <w:tc>
          <w:tcPr>
            <w:tcW w:w="1207" w:type="dxa"/>
          </w:tcPr>
          <w:p w14:paraId="5F4A29CC" w14:textId="77777777" w:rsidR="00AE7191" w:rsidRPr="001E2C69" w:rsidRDefault="00AE7191" w:rsidP="00722885">
            <w:pPr>
              <w:pStyle w:val="Iauiue"/>
              <w:jc w:val="both"/>
              <w:rPr>
                <w:color w:val="000000" w:themeColor="text1"/>
                <w:sz w:val="16"/>
                <w:szCs w:val="16"/>
              </w:rPr>
            </w:pPr>
          </w:p>
        </w:tc>
        <w:tc>
          <w:tcPr>
            <w:tcW w:w="866" w:type="dxa"/>
          </w:tcPr>
          <w:p w14:paraId="3B325B70" w14:textId="77777777" w:rsidR="00AE7191" w:rsidRPr="001E2C69" w:rsidRDefault="00AE7191" w:rsidP="00722885">
            <w:pPr>
              <w:pStyle w:val="Iauiue"/>
              <w:jc w:val="both"/>
              <w:rPr>
                <w:color w:val="000000" w:themeColor="text1"/>
                <w:sz w:val="16"/>
                <w:szCs w:val="16"/>
              </w:rPr>
            </w:pPr>
          </w:p>
        </w:tc>
        <w:tc>
          <w:tcPr>
            <w:tcW w:w="3811" w:type="dxa"/>
          </w:tcPr>
          <w:p w14:paraId="15EAB9D9" w14:textId="77777777" w:rsidR="00AE7191" w:rsidRPr="001E2C69" w:rsidRDefault="00AE7191" w:rsidP="00722885">
            <w:pPr>
              <w:pStyle w:val="Iauiue"/>
              <w:jc w:val="both"/>
              <w:rPr>
                <w:color w:val="000000" w:themeColor="text1"/>
                <w:sz w:val="16"/>
                <w:szCs w:val="16"/>
              </w:rPr>
            </w:pPr>
          </w:p>
        </w:tc>
      </w:tr>
      <w:tr w:rsidR="001E2C69" w:rsidRPr="001E2C69" w14:paraId="4BEB5FC7" w14:textId="77777777" w:rsidTr="00CC5360">
        <w:tc>
          <w:tcPr>
            <w:tcW w:w="2376" w:type="dxa"/>
          </w:tcPr>
          <w:p w14:paraId="376B84B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Одноместный тяжелый</w:t>
            </w:r>
          </w:p>
        </w:tc>
        <w:tc>
          <w:tcPr>
            <w:tcW w:w="1418" w:type="dxa"/>
          </w:tcPr>
          <w:p w14:paraId="32CFF1B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Поликарпов</w:t>
            </w:r>
          </w:p>
        </w:tc>
        <w:tc>
          <w:tcPr>
            <w:tcW w:w="919" w:type="dxa"/>
          </w:tcPr>
          <w:p w14:paraId="6E79F0D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w:t>
            </w:r>
          </w:p>
        </w:tc>
        <w:tc>
          <w:tcPr>
            <w:tcW w:w="1207" w:type="dxa"/>
          </w:tcPr>
          <w:p w14:paraId="571A759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15.1Х.42</w:t>
            </w:r>
          </w:p>
        </w:tc>
        <w:tc>
          <w:tcPr>
            <w:tcW w:w="866" w:type="dxa"/>
          </w:tcPr>
          <w:p w14:paraId="2D1E5FA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2500</w:t>
            </w:r>
          </w:p>
        </w:tc>
        <w:tc>
          <w:tcPr>
            <w:tcW w:w="3811" w:type="dxa"/>
          </w:tcPr>
          <w:p w14:paraId="014840D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Самолет проходит испытания.</w:t>
            </w:r>
          </w:p>
        </w:tc>
      </w:tr>
      <w:tr w:rsidR="001E2C69" w:rsidRPr="001E2C69" w14:paraId="5BD36979" w14:textId="77777777" w:rsidTr="00CC5360">
        <w:tc>
          <w:tcPr>
            <w:tcW w:w="2376" w:type="dxa"/>
          </w:tcPr>
          <w:p w14:paraId="1FC6249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истребитель "ИТП" с </w:t>
            </w:r>
          </w:p>
        </w:tc>
        <w:tc>
          <w:tcPr>
            <w:tcW w:w="1418" w:type="dxa"/>
          </w:tcPr>
          <w:p w14:paraId="0F75BAB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з-д 51</w:t>
            </w:r>
          </w:p>
        </w:tc>
        <w:tc>
          <w:tcPr>
            <w:tcW w:w="919" w:type="dxa"/>
          </w:tcPr>
          <w:p w14:paraId="32892233" w14:textId="77777777" w:rsidR="00AE7191" w:rsidRPr="001E2C69" w:rsidRDefault="00AE7191" w:rsidP="00722885">
            <w:pPr>
              <w:pStyle w:val="Iauiue"/>
              <w:jc w:val="both"/>
              <w:rPr>
                <w:color w:val="000000" w:themeColor="text1"/>
                <w:sz w:val="16"/>
                <w:szCs w:val="16"/>
              </w:rPr>
            </w:pPr>
          </w:p>
        </w:tc>
        <w:tc>
          <w:tcPr>
            <w:tcW w:w="1207" w:type="dxa"/>
          </w:tcPr>
          <w:p w14:paraId="51F1D3F2" w14:textId="77777777" w:rsidR="00AE7191" w:rsidRPr="001E2C69" w:rsidRDefault="00AE7191" w:rsidP="00722885">
            <w:pPr>
              <w:pStyle w:val="Iauiue"/>
              <w:jc w:val="both"/>
              <w:rPr>
                <w:color w:val="000000" w:themeColor="text1"/>
                <w:sz w:val="16"/>
                <w:szCs w:val="16"/>
              </w:rPr>
            </w:pPr>
          </w:p>
        </w:tc>
        <w:tc>
          <w:tcPr>
            <w:tcW w:w="866" w:type="dxa"/>
          </w:tcPr>
          <w:p w14:paraId="455CC773" w14:textId="77777777" w:rsidR="00AE7191" w:rsidRPr="001E2C69" w:rsidRDefault="00AE7191" w:rsidP="00722885">
            <w:pPr>
              <w:pStyle w:val="Iauiue"/>
              <w:jc w:val="both"/>
              <w:rPr>
                <w:color w:val="000000" w:themeColor="text1"/>
                <w:sz w:val="16"/>
                <w:szCs w:val="16"/>
              </w:rPr>
            </w:pPr>
          </w:p>
        </w:tc>
        <w:tc>
          <w:tcPr>
            <w:tcW w:w="3811" w:type="dxa"/>
          </w:tcPr>
          <w:p w14:paraId="135C6D22" w14:textId="77777777" w:rsidR="00AE7191" w:rsidRPr="001E2C69" w:rsidRDefault="00AE7191" w:rsidP="00722885">
            <w:pPr>
              <w:pStyle w:val="Iauiue"/>
              <w:jc w:val="both"/>
              <w:rPr>
                <w:color w:val="000000" w:themeColor="text1"/>
                <w:sz w:val="16"/>
                <w:szCs w:val="16"/>
              </w:rPr>
            </w:pPr>
          </w:p>
        </w:tc>
      </w:tr>
      <w:tr w:rsidR="001E2C69" w:rsidRPr="001E2C69" w14:paraId="2A30C008" w14:textId="77777777" w:rsidTr="00CC5360">
        <w:tc>
          <w:tcPr>
            <w:tcW w:w="2376" w:type="dxa"/>
          </w:tcPr>
          <w:p w14:paraId="588222A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мотором М-107 и АМ-39</w:t>
            </w:r>
          </w:p>
        </w:tc>
        <w:tc>
          <w:tcPr>
            <w:tcW w:w="1418" w:type="dxa"/>
          </w:tcPr>
          <w:p w14:paraId="1378E08D" w14:textId="77777777" w:rsidR="00AE7191" w:rsidRPr="001E2C69" w:rsidRDefault="00AE7191" w:rsidP="00722885">
            <w:pPr>
              <w:pStyle w:val="Iauiue"/>
              <w:jc w:val="both"/>
              <w:rPr>
                <w:color w:val="000000" w:themeColor="text1"/>
                <w:sz w:val="16"/>
                <w:szCs w:val="16"/>
              </w:rPr>
            </w:pPr>
          </w:p>
        </w:tc>
        <w:tc>
          <w:tcPr>
            <w:tcW w:w="919" w:type="dxa"/>
          </w:tcPr>
          <w:p w14:paraId="1F4B4051" w14:textId="77777777" w:rsidR="00AE7191" w:rsidRPr="001E2C69" w:rsidRDefault="00AE7191" w:rsidP="00722885">
            <w:pPr>
              <w:pStyle w:val="Iauiue"/>
              <w:jc w:val="both"/>
              <w:rPr>
                <w:color w:val="000000" w:themeColor="text1"/>
                <w:sz w:val="16"/>
                <w:szCs w:val="16"/>
              </w:rPr>
            </w:pPr>
          </w:p>
        </w:tc>
        <w:tc>
          <w:tcPr>
            <w:tcW w:w="1207" w:type="dxa"/>
          </w:tcPr>
          <w:p w14:paraId="24EF14A8" w14:textId="77777777" w:rsidR="00AE7191" w:rsidRPr="001E2C69" w:rsidRDefault="00AE7191" w:rsidP="00722885">
            <w:pPr>
              <w:pStyle w:val="Iauiue"/>
              <w:jc w:val="both"/>
              <w:rPr>
                <w:color w:val="000000" w:themeColor="text1"/>
                <w:sz w:val="16"/>
                <w:szCs w:val="16"/>
              </w:rPr>
            </w:pPr>
          </w:p>
        </w:tc>
        <w:tc>
          <w:tcPr>
            <w:tcW w:w="866" w:type="dxa"/>
          </w:tcPr>
          <w:p w14:paraId="02F83179" w14:textId="77777777" w:rsidR="00AE7191" w:rsidRPr="001E2C69" w:rsidRDefault="00AE7191" w:rsidP="00722885">
            <w:pPr>
              <w:pStyle w:val="Iauiue"/>
              <w:jc w:val="both"/>
              <w:rPr>
                <w:color w:val="000000" w:themeColor="text1"/>
                <w:sz w:val="16"/>
                <w:szCs w:val="16"/>
              </w:rPr>
            </w:pPr>
          </w:p>
        </w:tc>
        <w:tc>
          <w:tcPr>
            <w:tcW w:w="3811" w:type="dxa"/>
          </w:tcPr>
          <w:p w14:paraId="068EAA87" w14:textId="77777777" w:rsidR="00AE7191" w:rsidRPr="001E2C69" w:rsidRDefault="00AE7191" w:rsidP="00722885">
            <w:pPr>
              <w:pStyle w:val="Iauiue"/>
              <w:jc w:val="both"/>
              <w:rPr>
                <w:color w:val="000000" w:themeColor="text1"/>
                <w:sz w:val="16"/>
                <w:szCs w:val="16"/>
              </w:rPr>
            </w:pPr>
          </w:p>
        </w:tc>
      </w:tr>
      <w:tr w:rsidR="001E2C69" w:rsidRPr="001E2C69" w14:paraId="4CC76544" w14:textId="77777777" w:rsidTr="00CC5360">
        <w:tc>
          <w:tcPr>
            <w:tcW w:w="2376" w:type="dxa"/>
          </w:tcPr>
          <w:p w14:paraId="2B43CC3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Тяжелый двухместный</w:t>
            </w:r>
          </w:p>
        </w:tc>
        <w:tc>
          <w:tcPr>
            <w:tcW w:w="1418" w:type="dxa"/>
          </w:tcPr>
          <w:p w14:paraId="62FE11F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w:t>
            </w:r>
          </w:p>
        </w:tc>
        <w:tc>
          <w:tcPr>
            <w:tcW w:w="919" w:type="dxa"/>
          </w:tcPr>
          <w:p w14:paraId="4804FB5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w:t>
            </w:r>
          </w:p>
        </w:tc>
        <w:tc>
          <w:tcPr>
            <w:tcW w:w="1207" w:type="dxa"/>
          </w:tcPr>
          <w:p w14:paraId="022B852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15.IХ.42</w:t>
            </w:r>
          </w:p>
        </w:tc>
        <w:tc>
          <w:tcPr>
            <w:tcW w:w="866" w:type="dxa"/>
          </w:tcPr>
          <w:p w14:paraId="5AA04B1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500</w:t>
            </w:r>
          </w:p>
        </w:tc>
        <w:tc>
          <w:tcPr>
            <w:tcW w:w="3811" w:type="dxa"/>
          </w:tcPr>
          <w:p w14:paraId="526D78F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Летные испытания и доводки.</w:t>
            </w:r>
          </w:p>
        </w:tc>
      </w:tr>
      <w:tr w:rsidR="001E2C69" w:rsidRPr="001E2C69" w14:paraId="0861BD65" w14:textId="77777777" w:rsidTr="00CC5360">
        <w:tc>
          <w:tcPr>
            <w:tcW w:w="2376" w:type="dxa"/>
          </w:tcPr>
          <w:p w14:paraId="1884B60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истребитель "ТИС" с двумя</w:t>
            </w:r>
          </w:p>
        </w:tc>
        <w:tc>
          <w:tcPr>
            <w:tcW w:w="1418" w:type="dxa"/>
          </w:tcPr>
          <w:p w14:paraId="3646DEBD" w14:textId="77777777" w:rsidR="00AE7191" w:rsidRPr="001E2C69" w:rsidRDefault="00AE7191" w:rsidP="00722885">
            <w:pPr>
              <w:pStyle w:val="Iauiue"/>
              <w:jc w:val="both"/>
              <w:rPr>
                <w:color w:val="000000" w:themeColor="text1"/>
                <w:sz w:val="16"/>
                <w:szCs w:val="16"/>
              </w:rPr>
            </w:pPr>
          </w:p>
        </w:tc>
        <w:tc>
          <w:tcPr>
            <w:tcW w:w="919" w:type="dxa"/>
          </w:tcPr>
          <w:p w14:paraId="57DBD01A" w14:textId="77777777" w:rsidR="00AE7191" w:rsidRPr="001E2C69" w:rsidRDefault="00AE7191" w:rsidP="00722885">
            <w:pPr>
              <w:pStyle w:val="Iauiue"/>
              <w:jc w:val="both"/>
              <w:rPr>
                <w:color w:val="000000" w:themeColor="text1"/>
                <w:sz w:val="16"/>
                <w:szCs w:val="16"/>
              </w:rPr>
            </w:pPr>
          </w:p>
        </w:tc>
        <w:tc>
          <w:tcPr>
            <w:tcW w:w="1207" w:type="dxa"/>
          </w:tcPr>
          <w:p w14:paraId="26CB4E50" w14:textId="77777777" w:rsidR="00AE7191" w:rsidRPr="001E2C69" w:rsidRDefault="00AE7191" w:rsidP="00722885">
            <w:pPr>
              <w:pStyle w:val="Iauiue"/>
              <w:jc w:val="both"/>
              <w:rPr>
                <w:color w:val="000000" w:themeColor="text1"/>
                <w:sz w:val="16"/>
                <w:szCs w:val="16"/>
              </w:rPr>
            </w:pPr>
          </w:p>
        </w:tc>
        <w:tc>
          <w:tcPr>
            <w:tcW w:w="866" w:type="dxa"/>
          </w:tcPr>
          <w:p w14:paraId="608816DF" w14:textId="77777777" w:rsidR="00AE7191" w:rsidRPr="001E2C69" w:rsidRDefault="00AE7191" w:rsidP="00722885">
            <w:pPr>
              <w:pStyle w:val="Iauiue"/>
              <w:jc w:val="both"/>
              <w:rPr>
                <w:color w:val="000000" w:themeColor="text1"/>
                <w:sz w:val="16"/>
                <w:szCs w:val="16"/>
              </w:rPr>
            </w:pPr>
          </w:p>
        </w:tc>
        <w:tc>
          <w:tcPr>
            <w:tcW w:w="3811" w:type="dxa"/>
          </w:tcPr>
          <w:p w14:paraId="5FE2519C" w14:textId="77777777" w:rsidR="00AE7191" w:rsidRPr="001E2C69" w:rsidRDefault="00AE7191" w:rsidP="00722885">
            <w:pPr>
              <w:pStyle w:val="Iauiue"/>
              <w:jc w:val="both"/>
              <w:rPr>
                <w:color w:val="000000" w:themeColor="text1"/>
                <w:sz w:val="16"/>
                <w:szCs w:val="16"/>
              </w:rPr>
            </w:pPr>
          </w:p>
        </w:tc>
      </w:tr>
      <w:tr w:rsidR="001E2C69" w:rsidRPr="001E2C69" w14:paraId="070595B4" w14:textId="77777777" w:rsidTr="00CC5360">
        <w:tc>
          <w:tcPr>
            <w:tcW w:w="2376" w:type="dxa"/>
          </w:tcPr>
          <w:p w14:paraId="28AB788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моторами АМ-37</w:t>
            </w:r>
          </w:p>
        </w:tc>
        <w:tc>
          <w:tcPr>
            <w:tcW w:w="1418" w:type="dxa"/>
          </w:tcPr>
          <w:p w14:paraId="553A91CD" w14:textId="77777777" w:rsidR="00AE7191" w:rsidRPr="001E2C69" w:rsidRDefault="00AE7191" w:rsidP="00722885">
            <w:pPr>
              <w:pStyle w:val="Iauiue"/>
              <w:jc w:val="both"/>
              <w:rPr>
                <w:color w:val="000000" w:themeColor="text1"/>
                <w:sz w:val="16"/>
                <w:szCs w:val="16"/>
              </w:rPr>
            </w:pPr>
          </w:p>
        </w:tc>
        <w:tc>
          <w:tcPr>
            <w:tcW w:w="919" w:type="dxa"/>
          </w:tcPr>
          <w:p w14:paraId="42F8545E" w14:textId="77777777" w:rsidR="00AE7191" w:rsidRPr="001E2C69" w:rsidRDefault="00AE7191" w:rsidP="00722885">
            <w:pPr>
              <w:pStyle w:val="Iauiue"/>
              <w:jc w:val="both"/>
              <w:rPr>
                <w:color w:val="000000" w:themeColor="text1"/>
                <w:sz w:val="16"/>
                <w:szCs w:val="16"/>
              </w:rPr>
            </w:pPr>
          </w:p>
        </w:tc>
        <w:tc>
          <w:tcPr>
            <w:tcW w:w="1207" w:type="dxa"/>
          </w:tcPr>
          <w:p w14:paraId="4BC96D65" w14:textId="77777777" w:rsidR="00AE7191" w:rsidRPr="001E2C69" w:rsidRDefault="00AE7191" w:rsidP="00722885">
            <w:pPr>
              <w:pStyle w:val="Iauiue"/>
              <w:jc w:val="both"/>
              <w:rPr>
                <w:color w:val="000000" w:themeColor="text1"/>
                <w:sz w:val="16"/>
                <w:szCs w:val="16"/>
              </w:rPr>
            </w:pPr>
          </w:p>
        </w:tc>
        <w:tc>
          <w:tcPr>
            <w:tcW w:w="866" w:type="dxa"/>
          </w:tcPr>
          <w:p w14:paraId="09768DF7" w14:textId="77777777" w:rsidR="00AE7191" w:rsidRPr="001E2C69" w:rsidRDefault="00AE7191" w:rsidP="00722885">
            <w:pPr>
              <w:pStyle w:val="Iauiue"/>
              <w:jc w:val="both"/>
              <w:rPr>
                <w:color w:val="000000" w:themeColor="text1"/>
                <w:sz w:val="16"/>
                <w:szCs w:val="16"/>
              </w:rPr>
            </w:pPr>
          </w:p>
        </w:tc>
        <w:tc>
          <w:tcPr>
            <w:tcW w:w="3811" w:type="dxa"/>
          </w:tcPr>
          <w:p w14:paraId="24310124" w14:textId="77777777" w:rsidR="00AE7191" w:rsidRPr="001E2C69" w:rsidRDefault="00AE7191" w:rsidP="00722885">
            <w:pPr>
              <w:pStyle w:val="Iauiue"/>
              <w:jc w:val="both"/>
              <w:rPr>
                <w:color w:val="000000" w:themeColor="text1"/>
                <w:sz w:val="16"/>
                <w:szCs w:val="16"/>
              </w:rPr>
            </w:pPr>
          </w:p>
        </w:tc>
      </w:tr>
      <w:tr w:rsidR="001E2C69" w:rsidRPr="001E2C69" w14:paraId="56C789B3" w14:textId="77777777" w:rsidTr="00CC5360">
        <w:tc>
          <w:tcPr>
            <w:tcW w:w="2376" w:type="dxa"/>
          </w:tcPr>
          <w:p w14:paraId="7C4CC2C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Одноместный истребитель “110” с мотором М-107</w:t>
            </w:r>
          </w:p>
        </w:tc>
        <w:tc>
          <w:tcPr>
            <w:tcW w:w="1418" w:type="dxa"/>
          </w:tcPr>
          <w:p w14:paraId="27D9227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Томашевич</w:t>
            </w:r>
          </w:p>
          <w:p w14:paraId="500BDE8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288</w:t>
            </w:r>
          </w:p>
        </w:tc>
        <w:tc>
          <w:tcPr>
            <w:tcW w:w="919" w:type="dxa"/>
          </w:tcPr>
          <w:p w14:paraId="726412A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w:t>
            </w:r>
          </w:p>
        </w:tc>
        <w:tc>
          <w:tcPr>
            <w:tcW w:w="1207" w:type="dxa"/>
          </w:tcPr>
          <w:p w14:paraId="042D041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1.1Х.42</w:t>
            </w:r>
          </w:p>
        </w:tc>
        <w:tc>
          <w:tcPr>
            <w:tcW w:w="866" w:type="dxa"/>
          </w:tcPr>
          <w:p w14:paraId="4E0385D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3200</w:t>
            </w:r>
          </w:p>
        </w:tc>
        <w:tc>
          <w:tcPr>
            <w:tcW w:w="3811" w:type="dxa"/>
          </w:tcPr>
          <w:p w14:paraId="7832FAAC" w14:textId="77777777" w:rsidR="00AE7191" w:rsidRPr="001E2C69" w:rsidRDefault="00AE7191" w:rsidP="00722885">
            <w:pPr>
              <w:pStyle w:val="Iauiue"/>
              <w:jc w:val="both"/>
              <w:rPr>
                <w:color w:val="000000" w:themeColor="text1"/>
                <w:sz w:val="16"/>
                <w:szCs w:val="16"/>
              </w:rPr>
            </w:pPr>
          </w:p>
        </w:tc>
      </w:tr>
      <w:tr w:rsidR="001E2C69" w:rsidRPr="001E2C69" w14:paraId="12127079" w14:textId="77777777" w:rsidTr="00CC5360">
        <w:tc>
          <w:tcPr>
            <w:tcW w:w="2376" w:type="dxa"/>
          </w:tcPr>
          <w:p w14:paraId="3FFA838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Одноместный бронированный штурмовик с мотором М-71</w:t>
            </w:r>
          </w:p>
        </w:tc>
        <w:tc>
          <w:tcPr>
            <w:tcW w:w="1418" w:type="dxa"/>
          </w:tcPr>
          <w:p w14:paraId="089584C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Сухой</w:t>
            </w:r>
          </w:p>
          <w:p w14:paraId="6B14785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289</w:t>
            </w:r>
          </w:p>
        </w:tc>
        <w:tc>
          <w:tcPr>
            <w:tcW w:w="919" w:type="dxa"/>
          </w:tcPr>
          <w:p w14:paraId="0B5AD4C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w:t>
            </w:r>
          </w:p>
        </w:tc>
        <w:tc>
          <w:tcPr>
            <w:tcW w:w="1207" w:type="dxa"/>
          </w:tcPr>
          <w:p w14:paraId="36A2220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w:t>
            </w:r>
          </w:p>
        </w:tc>
        <w:tc>
          <w:tcPr>
            <w:tcW w:w="866" w:type="dxa"/>
          </w:tcPr>
          <w:p w14:paraId="0500157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800</w:t>
            </w:r>
          </w:p>
        </w:tc>
        <w:tc>
          <w:tcPr>
            <w:tcW w:w="3811" w:type="dxa"/>
          </w:tcPr>
          <w:p w14:paraId="6F43AB6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Летные испытания и доводки.</w:t>
            </w:r>
          </w:p>
        </w:tc>
      </w:tr>
      <w:tr w:rsidR="001E2C69" w:rsidRPr="001E2C69" w14:paraId="6235481E" w14:textId="77777777" w:rsidTr="00CC5360">
        <w:tc>
          <w:tcPr>
            <w:tcW w:w="2376" w:type="dxa"/>
          </w:tcPr>
          <w:p w14:paraId="6871895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II. Бомбардировщики.</w:t>
            </w:r>
          </w:p>
        </w:tc>
        <w:tc>
          <w:tcPr>
            <w:tcW w:w="1418" w:type="dxa"/>
          </w:tcPr>
          <w:p w14:paraId="66AE3E45" w14:textId="77777777" w:rsidR="00AE7191" w:rsidRPr="001E2C69" w:rsidRDefault="00AE7191" w:rsidP="00722885">
            <w:pPr>
              <w:pStyle w:val="Iauiue"/>
              <w:jc w:val="both"/>
              <w:rPr>
                <w:color w:val="000000" w:themeColor="text1"/>
                <w:sz w:val="16"/>
                <w:szCs w:val="16"/>
              </w:rPr>
            </w:pPr>
          </w:p>
        </w:tc>
        <w:tc>
          <w:tcPr>
            <w:tcW w:w="919" w:type="dxa"/>
          </w:tcPr>
          <w:p w14:paraId="4597C657" w14:textId="77777777" w:rsidR="00AE7191" w:rsidRPr="001E2C69" w:rsidRDefault="00AE7191" w:rsidP="00722885">
            <w:pPr>
              <w:pStyle w:val="Iauiue"/>
              <w:jc w:val="both"/>
              <w:rPr>
                <w:color w:val="000000" w:themeColor="text1"/>
                <w:sz w:val="16"/>
                <w:szCs w:val="16"/>
              </w:rPr>
            </w:pPr>
          </w:p>
        </w:tc>
        <w:tc>
          <w:tcPr>
            <w:tcW w:w="1207" w:type="dxa"/>
          </w:tcPr>
          <w:p w14:paraId="6AA0D94F" w14:textId="77777777" w:rsidR="00AE7191" w:rsidRPr="001E2C69" w:rsidRDefault="00AE7191" w:rsidP="00722885">
            <w:pPr>
              <w:pStyle w:val="Iauiue"/>
              <w:jc w:val="both"/>
              <w:rPr>
                <w:color w:val="000000" w:themeColor="text1"/>
                <w:sz w:val="16"/>
                <w:szCs w:val="16"/>
              </w:rPr>
            </w:pPr>
          </w:p>
        </w:tc>
        <w:tc>
          <w:tcPr>
            <w:tcW w:w="866" w:type="dxa"/>
          </w:tcPr>
          <w:p w14:paraId="37BDA682" w14:textId="77777777" w:rsidR="00AE7191" w:rsidRPr="001E2C69" w:rsidRDefault="00AE7191" w:rsidP="00722885">
            <w:pPr>
              <w:pStyle w:val="Iauiue"/>
              <w:jc w:val="both"/>
              <w:rPr>
                <w:color w:val="000000" w:themeColor="text1"/>
                <w:sz w:val="16"/>
                <w:szCs w:val="16"/>
              </w:rPr>
            </w:pPr>
          </w:p>
        </w:tc>
        <w:tc>
          <w:tcPr>
            <w:tcW w:w="3811" w:type="dxa"/>
          </w:tcPr>
          <w:p w14:paraId="01A997E8" w14:textId="77777777" w:rsidR="00AE7191" w:rsidRPr="001E2C69" w:rsidRDefault="00AE7191" w:rsidP="00722885">
            <w:pPr>
              <w:pStyle w:val="Iauiue"/>
              <w:jc w:val="both"/>
              <w:rPr>
                <w:color w:val="000000" w:themeColor="text1"/>
                <w:sz w:val="16"/>
                <w:szCs w:val="16"/>
              </w:rPr>
            </w:pPr>
          </w:p>
        </w:tc>
      </w:tr>
      <w:tr w:rsidR="001E2C69" w:rsidRPr="001E2C69" w14:paraId="7245E6EC" w14:textId="77777777" w:rsidTr="00CC5360">
        <w:tc>
          <w:tcPr>
            <w:tcW w:w="2376" w:type="dxa"/>
          </w:tcPr>
          <w:p w14:paraId="311C808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Модификация бомбардиров.</w:t>
            </w:r>
          </w:p>
        </w:tc>
        <w:tc>
          <w:tcPr>
            <w:tcW w:w="1418" w:type="dxa"/>
          </w:tcPr>
          <w:p w14:paraId="2D7B102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Путилов</w:t>
            </w:r>
          </w:p>
        </w:tc>
        <w:tc>
          <w:tcPr>
            <w:tcW w:w="919" w:type="dxa"/>
          </w:tcPr>
          <w:p w14:paraId="6528B8C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w:t>
            </w:r>
          </w:p>
        </w:tc>
        <w:tc>
          <w:tcPr>
            <w:tcW w:w="1207" w:type="dxa"/>
          </w:tcPr>
          <w:p w14:paraId="6646BFF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1.1Х.42</w:t>
            </w:r>
          </w:p>
        </w:tc>
        <w:tc>
          <w:tcPr>
            <w:tcW w:w="866" w:type="dxa"/>
          </w:tcPr>
          <w:p w14:paraId="433EDCE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3000</w:t>
            </w:r>
          </w:p>
        </w:tc>
        <w:tc>
          <w:tcPr>
            <w:tcW w:w="3811" w:type="dxa"/>
          </w:tcPr>
          <w:p w14:paraId="5DADDEB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Моторы М-107 устанавлив. Вместо</w:t>
            </w:r>
          </w:p>
        </w:tc>
      </w:tr>
      <w:tr w:rsidR="001E2C69" w:rsidRPr="001E2C69" w14:paraId="13A178B9" w14:textId="77777777" w:rsidTr="00CC5360">
        <w:tc>
          <w:tcPr>
            <w:tcW w:w="2376" w:type="dxa"/>
          </w:tcPr>
          <w:p w14:paraId="7EB8E0C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Пе-2 под моторы М-107</w:t>
            </w:r>
          </w:p>
        </w:tc>
        <w:tc>
          <w:tcPr>
            <w:tcW w:w="1418" w:type="dxa"/>
          </w:tcPr>
          <w:p w14:paraId="1593DB4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з-д 22</w:t>
            </w:r>
          </w:p>
        </w:tc>
        <w:tc>
          <w:tcPr>
            <w:tcW w:w="919" w:type="dxa"/>
          </w:tcPr>
          <w:p w14:paraId="64501A6B" w14:textId="77777777" w:rsidR="00AE7191" w:rsidRPr="001E2C69" w:rsidRDefault="00AE7191" w:rsidP="00722885">
            <w:pPr>
              <w:pStyle w:val="Iauiue"/>
              <w:jc w:val="both"/>
              <w:rPr>
                <w:color w:val="000000" w:themeColor="text1"/>
                <w:sz w:val="16"/>
                <w:szCs w:val="16"/>
              </w:rPr>
            </w:pPr>
          </w:p>
        </w:tc>
        <w:tc>
          <w:tcPr>
            <w:tcW w:w="1207" w:type="dxa"/>
          </w:tcPr>
          <w:p w14:paraId="70125CBA" w14:textId="77777777" w:rsidR="00AE7191" w:rsidRPr="001E2C69" w:rsidRDefault="00AE7191" w:rsidP="00722885">
            <w:pPr>
              <w:pStyle w:val="Iauiue"/>
              <w:jc w:val="both"/>
              <w:rPr>
                <w:color w:val="000000" w:themeColor="text1"/>
                <w:sz w:val="16"/>
                <w:szCs w:val="16"/>
              </w:rPr>
            </w:pPr>
          </w:p>
        </w:tc>
        <w:tc>
          <w:tcPr>
            <w:tcW w:w="866" w:type="dxa"/>
          </w:tcPr>
          <w:p w14:paraId="0B7C2DF4" w14:textId="77777777" w:rsidR="00AE7191" w:rsidRPr="001E2C69" w:rsidRDefault="00AE7191" w:rsidP="00722885">
            <w:pPr>
              <w:pStyle w:val="Iauiue"/>
              <w:jc w:val="both"/>
              <w:rPr>
                <w:color w:val="000000" w:themeColor="text1"/>
                <w:sz w:val="16"/>
                <w:szCs w:val="16"/>
              </w:rPr>
            </w:pPr>
          </w:p>
        </w:tc>
        <w:tc>
          <w:tcPr>
            <w:tcW w:w="3811" w:type="dxa"/>
          </w:tcPr>
          <w:p w14:paraId="35FBB02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моторов М-105Ф.</w:t>
            </w:r>
          </w:p>
        </w:tc>
      </w:tr>
      <w:tr w:rsidR="001E2C69" w:rsidRPr="001E2C69" w14:paraId="1B73E4F1" w14:textId="77777777" w:rsidTr="00CC5360">
        <w:tc>
          <w:tcPr>
            <w:tcW w:w="2376" w:type="dxa"/>
          </w:tcPr>
          <w:p w14:paraId="34A11FA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Модификация бомбардиров.</w:t>
            </w:r>
          </w:p>
        </w:tc>
        <w:tc>
          <w:tcPr>
            <w:tcW w:w="1418" w:type="dxa"/>
          </w:tcPr>
          <w:p w14:paraId="244850B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Путилов</w:t>
            </w:r>
          </w:p>
        </w:tc>
        <w:tc>
          <w:tcPr>
            <w:tcW w:w="919" w:type="dxa"/>
          </w:tcPr>
          <w:p w14:paraId="054C55E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w:t>
            </w:r>
          </w:p>
        </w:tc>
        <w:tc>
          <w:tcPr>
            <w:tcW w:w="1207" w:type="dxa"/>
          </w:tcPr>
          <w:p w14:paraId="5C88D40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1.VII.42</w:t>
            </w:r>
          </w:p>
        </w:tc>
        <w:tc>
          <w:tcPr>
            <w:tcW w:w="866" w:type="dxa"/>
          </w:tcPr>
          <w:p w14:paraId="083A676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2800</w:t>
            </w:r>
          </w:p>
        </w:tc>
        <w:tc>
          <w:tcPr>
            <w:tcW w:w="3811" w:type="dxa"/>
          </w:tcPr>
          <w:p w14:paraId="439DE556" w14:textId="77777777" w:rsidR="00AE7191" w:rsidRPr="001E2C69" w:rsidRDefault="00AE7191" w:rsidP="00722885">
            <w:pPr>
              <w:pStyle w:val="Iauiue"/>
              <w:jc w:val="both"/>
              <w:rPr>
                <w:color w:val="000000" w:themeColor="text1"/>
                <w:sz w:val="16"/>
                <w:szCs w:val="16"/>
              </w:rPr>
            </w:pPr>
          </w:p>
        </w:tc>
      </w:tr>
      <w:tr w:rsidR="001E2C69" w:rsidRPr="001E2C69" w14:paraId="098B67EB" w14:textId="77777777" w:rsidTr="00CC5360">
        <w:tc>
          <w:tcPr>
            <w:tcW w:w="2376" w:type="dxa"/>
          </w:tcPr>
          <w:p w14:paraId="4822BD1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Пе-2 под моторы М-82</w:t>
            </w:r>
          </w:p>
        </w:tc>
        <w:tc>
          <w:tcPr>
            <w:tcW w:w="1418" w:type="dxa"/>
          </w:tcPr>
          <w:p w14:paraId="77BC85B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з-д 22</w:t>
            </w:r>
          </w:p>
        </w:tc>
        <w:tc>
          <w:tcPr>
            <w:tcW w:w="919" w:type="dxa"/>
          </w:tcPr>
          <w:p w14:paraId="16621147" w14:textId="77777777" w:rsidR="00AE7191" w:rsidRPr="001E2C69" w:rsidRDefault="00AE7191" w:rsidP="00722885">
            <w:pPr>
              <w:pStyle w:val="Iauiue"/>
              <w:jc w:val="both"/>
              <w:rPr>
                <w:color w:val="000000" w:themeColor="text1"/>
                <w:sz w:val="16"/>
                <w:szCs w:val="16"/>
              </w:rPr>
            </w:pPr>
          </w:p>
        </w:tc>
        <w:tc>
          <w:tcPr>
            <w:tcW w:w="1207" w:type="dxa"/>
          </w:tcPr>
          <w:p w14:paraId="4B3D7DF9" w14:textId="77777777" w:rsidR="00AE7191" w:rsidRPr="001E2C69" w:rsidRDefault="00AE7191" w:rsidP="00722885">
            <w:pPr>
              <w:pStyle w:val="Iauiue"/>
              <w:jc w:val="both"/>
              <w:rPr>
                <w:color w:val="000000" w:themeColor="text1"/>
                <w:sz w:val="16"/>
                <w:szCs w:val="16"/>
              </w:rPr>
            </w:pPr>
          </w:p>
        </w:tc>
        <w:tc>
          <w:tcPr>
            <w:tcW w:w="866" w:type="dxa"/>
          </w:tcPr>
          <w:p w14:paraId="1116A79B" w14:textId="77777777" w:rsidR="00AE7191" w:rsidRPr="001E2C69" w:rsidRDefault="00AE7191" w:rsidP="00722885">
            <w:pPr>
              <w:pStyle w:val="Iauiue"/>
              <w:jc w:val="both"/>
              <w:rPr>
                <w:color w:val="000000" w:themeColor="text1"/>
                <w:sz w:val="16"/>
                <w:szCs w:val="16"/>
              </w:rPr>
            </w:pPr>
          </w:p>
        </w:tc>
        <w:tc>
          <w:tcPr>
            <w:tcW w:w="3811" w:type="dxa"/>
          </w:tcPr>
          <w:p w14:paraId="2D28993C" w14:textId="77777777" w:rsidR="00AE7191" w:rsidRPr="001E2C69" w:rsidRDefault="00AE7191" w:rsidP="00722885">
            <w:pPr>
              <w:pStyle w:val="Iauiue"/>
              <w:jc w:val="both"/>
              <w:rPr>
                <w:color w:val="000000" w:themeColor="text1"/>
                <w:sz w:val="16"/>
                <w:szCs w:val="16"/>
              </w:rPr>
            </w:pPr>
          </w:p>
        </w:tc>
      </w:tr>
      <w:tr w:rsidR="001E2C69" w:rsidRPr="001E2C69" w14:paraId="1C8AD5C6" w14:textId="77777777" w:rsidTr="00CC5360">
        <w:tc>
          <w:tcPr>
            <w:tcW w:w="2376" w:type="dxa"/>
          </w:tcPr>
          <w:p w14:paraId="441E630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Модификация бомбардиров.</w:t>
            </w:r>
          </w:p>
        </w:tc>
        <w:tc>
          <w:tcPr>
            <w:tcW w:w="1418" w:type="dxa"/>
          </w:tcPr>
          <w:p w14:paraId="5CCA20B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w:t>
            </w:r>
          </w:p>
        </w:tc>
        <w:tc>
          <w:tcPr>
            <w:tcW w:w="919" w:type="dxa"/>
          </w:tcPr>
          <w:p w14:paraId="5156F60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w:t>
            </w:r>
          </w:p>
        </w:tc>
        <w:tc>
          <w:tcPr>
            <w:tcW w:w="1207" w:type="dxa"/>
          </w:tcPr>
          <w:p w14:paraId="1028948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1.Х.42</w:t>
            </w:r>
          </w:p>
        </w:tc>
        <w:tc>
          <w:tcPr>
            <w:tcW w:w="866" w:type="dxa"/>
          </w:tcPr>
          <w:p w14:paraId="7FD6C4C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1100</w:t>
            </w:r>
          </w:p>
        </w:tc>
        <w:tc>
          <w:tcPr>
            <w:tcW w:w="3811" w:type="dxa"/>
          </w:tcPr>
          <w:p w14:paraId="6D48CA6E" w14:textId="77777777" w:rsidR="00AE7191" w:rsidRPr="001E2C69" w:rsidRDefault="00AE7191" w:rsidP="00722885">
            <w:pPr>
              <w:pStyle w:val="Iauiue"/>
              <w:jc w:val="both"/>
              <w:rPr>
                <w:color w:val="000000" w:themeColor="text1"/>
                <w:sz w:val="16"/>
                <w:szCs w:val="16"/>
              </w:rPr>
            </w:pPr>
          </w:p>
        </w:tc>
      </w:tr>
      <w:tr w:rsidR="001E2C69" w:rsidRPr="001E2C69" w14:paraId="7F1C759D" w14:textId="77777777" w:rsidTr="00CC5360">
        <w:tc>
          <w:tcPr>
            <w:tcW w:w="2376" w:type="dxa"/>
          </w:tcPr>
          <w:p w14:paraId="1537D17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Пе-2 с М-105 с деревян.</w:t>
            </w:r>
          </w:p>
        </w:tc>
        <w:tc>
          <w:tcPr>
            <w:tcW w:w="1418" w:type="dxa"/>
          </w:tcPr>
          <w:p w14:paraId="196C89F8" w14:textId="77777777" w:rsidR="00AE7191" w:rsidRPr="001E2C69" w:rsidRDefault="00AE7191" w:rsidP="00722885">
            <w:pPr>
              <w:pStyle w:val="Iauiue"/>
              <w:jc w:val="both"/>
              <w:rPr>
                <w:color w:val="000000" w:themeColor="text1"/>
                <w:sz w:val="16"/>
                <w:szCs w:val="16"/>
              </w:rPr>
            </w:pPr>
          </w:p>
        </w:tc>
        <w:tc>
          <w:tcPr>
            <w:tcW w:w="919" w:type="dxa"/>
          </w:tcPr>
          <w:p w14:paraId="73F5B599" w14:textId="77777777" w:rsidR="00AE7191" w:rsidRPr="001E2C69" w:rsidRDefault="00AE7191" w:rsidP="00722885">
            <w:pPr>
              <w:pStyle w:val="Iauiue"/>
              <w:jc w:val="both"/>
              <w:rPr>
                <w:color w:val="000000" w:themeColor="text1"/>
                <w:sz w:val="16"/>
                <w:szCs w:val="16"/>
              </w:rPr>
            </w:pPr>
          </w:p>
        </w:tc>
        <w:tc>
          <w:tcPr>
            <w:tcW w:w="1207" w:type="dxa"/>
          </w:tcPr>
          <w:p w14:paraId="3444ABDD" w14:textId="77777777" w:rsidR="00AE7191" w:rsidRPr="001E2C69" w:rsidRDefault="00AE7191" w:rsidP="00722885">
            <w:pPr>
              <w:pStyle w:val="Iauiue"/>
              <w:jc w:val="both"/>
              <w:rPr>
                <w:color w:val="000000" w:themeColor="text1"/>
                <w:sz w:val="16"/>
                <w:szCs w:val="16"/>
              </w:rPr>
            </w:pPr>
          </w:p>
        </w:tc>
        <w:tc>
          <w:tcPr>
            <w:tcW w:w="866" w:type="dxa"/>
          </w:tcPr>
          <w:p w14:paraId="49820BBC" w14:textId="77777777" w:rsidR="00AE7191" w:rsidRPr="001E2C69" w:rsidRDefault="00AE7191" w:rsidP="00722885">
            <w:pPr>
              <w:pStyle w:val="Iauiue"/>
              <w:jc w:val="both"/>
              <w:rPr>
                <w:color w:val="000000" w:themeColor="text1"/>
                <w:sz w:val="16"/>
                <w:szCs w:val="16"/>
              </w:rPr>
            </w:pPr>
          </w:p>
        </w:tc>
        <w:tc>
          <w:tcPr>
            <w:tcW w:w="3811" w:type="dxa"/>
          </w:tcPr>
          <w:p w14:paraId="1D090BF5" w14:textId="77777777" w:rsidR="00AE7191" w:rsidRPr="001E2C69" w:rsidRDefault="00AE7191" w:rsidP="00722885">
            <w:pPr>
              <w:pStyle w:val="Iauiue"/>
              <w:jc w:val="both"/>
              <w:rPr>
                <w:color w:val="000000" w:themeColor="text1"/>
                <w:sz w:val="16"/>
                <w:szCs w:val="16"/>
              </w:rPr>
            </w:pPr>
          </w:p>
        </w:tc>
      </w:tr>
      <w:tr w:rsidR="001E2C69" w:rsidRPr="001E2C69" w14:paraId="740DB57D" w14:textId="77777777" w:rsidTr="00CC5360">
        <w:tc>
          <w:tcPr>
            <w:tcW w:w="2376" w:type="dxa"/>
          </w:tcPr>
          <w:p w14:paraId="01D9106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консолями крыльев</w:t>
            </w:r>
          </w:p>
        </w:tc>
        <w:tc>
          <w:tcPr>
            <w:tcW w:w="1418" w:type="dxa"/>
          </w:tcPr>
          <w:p w14:paraId="7F572FBB" w14:textId="77777777" w:rsidR="00AE7191" w:rsidRPr="001E2C69" w:rsidRDefault="00AE7191" w:rsidP="00722885">
            <w:pPr>
              <w:pStyle w:val="Iauiue"/>
              <w:jc w:val="both"/>
              <w:rPr>
                <w:color w:val="000000" w:themeColor="text1"/>
                <w:sz w:val="16"/>
                <w:szCs w:val="16"/>
              </w:rPr>
            </w:pPr>
          </w:p>
        </w:tc>
        <w:tc>
          <w:tcPr>
            <w:tcW w:w="919" w:type="dxa"/>
          </w:tcPr>
          <w:p w14:paraId="4ECF23DA" w14:textId="77777777" w:rsidR="00AE7191" w:rsidRPr="001E2C69" w:rsidRDefault="00AE7191" w:rsidP="00722885">
            <w:pPr>
              <w:pStyle w:val="Iauiue"/>
              <w:jc w:val="both"/>
              <w:rPr>
                <w:color w:val="000000" w:themeColor="text1"/>
                <w:sz w:val="16"/>
                <w:szCs w:val="16"/>
              </w:rPr>
            </w:pPr>
          </w:p>
        </w:tc>
        <w:tc>
          <w:tcPr>
            <w:tcW w:w="1207" w:type="dxa"/>
          </w:tcPr>
          <w:p w14:paraId="7B9F49F8" w14:textId="77777777" w:rsidR="00AE7191" w:rsidRPr="001E2C69" w:rsidRDefault="00AE7191" w:rsidP="00722885">
            <w:pPr>
              <w:pStyle w:val="Iauiue"/>
              <w:jc w:val="both"/>
              <w:rPr>
                <w:color w:val="000000" w:themeColor="text1"/>
                <w:sz w:val="16"/>
                <w:szCs w:val="16"/>
              </w:rPr>
            </w:pPr>
          </w:p>
        </w:tc>
        <w:tc>
          <w:tcPr>
            <w:tcW w:w="866" w:type="dxa"/>
          </w:tcPr>
          <w:p w14:paraId="28E59EE3" w14:textId="77777777" w:rsidR="00AE7191" w:rsidRPr="001E2C69" w:rsidRDefault="00AE7191" w:rsidP="00722885">
            <w:pPr>
              <w:pStyle w:val="Iauiue"/>
              <w:jc w:val="both"/>
              <w:rPr>
                <w:color w:val="000000" w:themeColor="text1"/>
                <w:sz w:val="16"/>
                <w:szCs w:val="16"/>
              </w:rPr>
            </w:pPr>
          </w:p>
        </w:tc>
        <w:tc>
          <w:tcPr>
            <w:tcW w:w="3811" w:type="dxa"/>
          </w:tcPr>
          <w:p w14:paraId="0C0D449B" w14:textId="77777777" w:rsidR="00AE7191" w:rsidRPr="001E2C69" w:rsidRDefault="00AE7191" w:rsidP="00722885">
            <w:pPr>
              <w:pStyle w:val="Iauiue"/>
              <w:jc w:val="both"/>
              <w:rPr>
                <w:color w:val="000000" w:themeColor="text1"/>
                <w:sz w:val="16"/>
                <w:szCs w:val="16"/>
              </w:rPr>
            </w:pPr>
          </w:p>
        </w:tc>
      </w:tr>
      <w:tr w:rsidR="001E2C69" w:rsidRPr="001E2C69" w14:paraId="0EFC6394" w14:textId="77777777" w:rsidTr="00CC5360">
        <w:tc>
          <w:tcPr>
            <w:tcW w:w="2376" w:type="dxa"/>
          </w:tcPr>
          <w:p w14:paraId="4CF86BA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улучшенного профиля</w:t>
            </w:r>
          </w:p>
        </w:tc>
        <w:tc>
          <w:tcPr>
            <w:tcW w:w="1418" w:type="dxa"/>
          </w:tcPr>
          <w:p w14:paraId="7147C202" w14:textId="77777777" w:rsidR="00AE7191" w:rsidRPr="001E2C69" w:rsidRDefault="00AE7191" w:rsidP="00722885">
            <w:pPr>
              <w:pStyle w:val="Iauiue"/>
              <w:jc w:val="both"/>
              <w:rPr>
                <w:color w:val="000000" w:themeColor="text1"/>
                <w:sz w:val="16"/>
                <w:szCs w:val="16"/>
              </w:rPr>
            </w:pPr>
          </w:p>
        </w:tc>
        <w:tc>
          <w:tcPr>
            <w:tcW w:w="919" w:type="dxa"/>
          </w:tcPr>
          <w:p w14:paraId="68EAB1B9" w14:textId="77777777" w:rsidR="00AE7191" w:rsidRPr="001E2C69" w:rsidRDefault="00AE7191" w:rsidP="00722885">
            <w:pPr>
              <w:pStyle w:val="Iauiue"/>
              <w:jc w:val="both"/>
              <w:rPr>
                <w:color w:val="000000" w:themeColor="text1"/>
                <w:sz w:val="16"/>
                <w:szCs w:val="16"/>
              </w:rPr>
            </w:pPr>
          </w:p>
        </w:tc>
        <w:tc>
          <w:tcPr>
            <w:tcW w:w="1207" w:type="dxa"/>
          </w:tcPr>
          <w:p w14:paraId="0EB0EEBC" w14:textId="77777777" w:rsidR="00AE7191" w:rsidRPr="001E2C69" w:rsidRDefault="00AE7191" w:rsidP="00722885">
            <w:pPr>
              <w:pStyle w:val="Iauiue"/>
              <w:jc w:val="both"/>
              <w:rPr>
                <w:color w:val="000000" w:themeColor="text1"/>
                <w:sz w:val="16"/>
                <w:szCs w:val="16"/>
              </w:rPr>
            </w:pPr>
          </w:p>
        </w:tc>
        <w:tc>
          <w:tcPr>
            <w:tcW w:w="866" w:type="dxa"/>
          </w:tcPr>
          <w:p w14:paraId="34C364AF" w14:textId="77777777" w:rsidR="00AE7191" w:rsidRPr="001E2C69" w:rsidRDefault="00AE7191" w:rsidP="00722885">
            <w:pPr>
              <w:pStyle w:val="Iauiue"/>
              <w:jc w:val="both"/>
              <w:rPr>
                <w:color w:val="000000" w:themeColor="text1"/>
                <w:sz w:val="16"/>
                <w:szCs w:val="16"/>
              </w:rPr>
            </w:pPr>
          </w:p>
        </w:tc>
        <w:tc>
          <w:tcPr>
            <w:tcW w:w="3811" w:type="dxa"/>
          </w:tcPr>
          <w:p w14:paraId="46FA64DE" w14:textId="77777777" w:rsidR="00AE7191" w:rsidRPr="001E2C69" w:rsidRDefault="00AE7191" w:rsidP="00722885">
            <w:pPr>
              <w:pStyle w:val="Iauiue"/>
              <w:jc w:val="both"/>
              <w:rPr>
                <w:color w:val="000000" w:themeColor="text1"/>
                <w:sz w:val="16"/>
                <w:szCs w:val="16"/>
              </w:rPr>
            </w:pPr>
          </w:p>
        </w:tc>
      </w:tr>
      <w:tr w:rsidR="001E2C69" w:rsidRPr="001E2C69" w14:paraId="69BD3142" w14:textId="77777777" w:rsidTr="00CC5360">
        <w:tc>
          <w:tcPr>
            <w:tcW w:w="2376" w:type="dxa"/>
          </w:tcPr>
          <w:p w14:paraId="0384F0D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Модификация бомбардиров.</w:t>
            </w:r>
          </w:p>
        </w:tc>
        <w:tc>
          <w:tcPr>
            <w:tcW w:w="1418" w:type="dxa"/>
          </w:tcPr>
          <w:p w14:paraId="1E1769C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Ильюшин</w:t>
            </w:r>
          </w:p>
        </w:tc>
        <w:tc>
          <w:tcPr>
            <w:tcW w:w="919" w:type="dxa"/>
          </w:tcPr>
          <w:p w14:paraId="0341C7B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w:t>
            </w:r>
          </w:p>
        </w:tc>
        <w:tc>
          <w:tcPr>
            <w:tcW w:w="1207" w:type="dxa"/>
          </w:tcPr>
          <w:p w14:paraId="0D96A75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15.1Х.42</w:t>
            </w:r>
          </w:p>
        </w:tc>
        <w:tc>
          <w:tcPr>
            <w:tcW w:w="866" w:type="dxa"/>
          </w:tcPr>
          <w:p w14:paraId="679DBC5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800</w:t>
            </w:r>
          </w:p>
        </w:tc>
        <w:tc>
          <w:tcPr>
            <w:tcW w:w="3811" w:type="dxa"/>
          </w:tcPr>
          <w:p w14:paraId="294F7EB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затраты включена стоимость работ</w:t>
            </w:r>
          </w:p>
        </w:tc>
      </w:tr>
      <w:tr w:rsidR="001E2C69" w:rsidRPr="001E2C69" w14:paraId="356F8139" w14:textId="77777777" w:rsidTr="00CC5360">
        <w:tc>
          <w:tcPr>
            <w:tcW w:w="2376" w:type="dxa"/>
          </w:tcPr>
          <w:p w14:paraId="1A1797B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Ил-4 с моторами М-82, с</w:t>
            </w:r>
          </w:p>
        </w:tc>
        <w:tc>
          <w:tcPr>
            <w:tcW w:w="1418" w:type="dxa"/>
          </w:tcPr>
          <w:p w14:paraId="1623AF5B" w14:textId="77777777" w:rsidR="00AE7191" w:rsidRPr="001E2C69" w:rsidRDefault="00AE7191" w:rsidP="00722885">
            <w:pPr>
              <w:pStyle w:val="Iauiue"/>
              <w:jc w:val="both"/>
              <w:rPr>
                <w:color w:val="000000" w:themeColor="text1"/>
                <w:sz w:val="16"/>
                <w:szCs w:val="16"/>
              </w:rPr>
            </w:pPr>
          </w:p>
        </w:tc>
        <w:tc>
          <w:tcPr>
            <w:tcW w:w="919" w:type="dxa"/>
          </w:tcPr>
          <w:p w14:paraId="720AFD2A" w14:textId="77777777" w:rsidR="00AE7191" w:rsidRPr="001E2C69" w:rsidRDefault="00AE7191" w:rsidP="00722885">
            <w:pPr>
              <w:pStyle w:val="Iauiue"/>
              <w:jc w:val="both"/>
              <w:rPr>
                <w:color w:val="000000" w:themeColor="text1"/>
                <w:sz w:val="16"/>
                <w:szCs w:val="16"/>
              </w:rPr>
            </w:pPr>
          </w:p>
        </w:tc>
        <w:tc>
          <w:tcPr>
            <w:tcW w:w="1207" w:type="dxa"/>
          </w:tcPr>
          <w:p w14:paraId="2A9F1C8F" w14:textId="77777777" w:rsidR="00AE7191" w:rsidRPr="001E2C69" w:rsidRDefault="00AE7191" w:rsidP="00722885">
            <w:pPr>
              <w:pStyle w:val="Iauiue"/>
              <w:jc w:val="both"/>
              <w:rPr>
                <w:color w:val="000000" w:themeColor="text1"/>
                <w:sz w:val="16"/>
                <w:szCs w:val="16"/>
              </w:rPr>
            </w:pPr>
          </w:p>
        </w:tc>
        <w:tc>
          <w:tcPr>
            <w:tcW w:w="866" w:type="dxa"/>
          </w:tcPr>
          <w:p w14:paraId="35176DCC" w14:textId="77777777" w:rsidR="00AE7191" w:rsidRPr="001E2C69" w:rsidRDefault="00AE7191" w:rsidP="00722885">
            <w:pPr>
              <w:pStyle w:val="Iauiue"/>
              <w:jc w:val="both"/>
              <w:rPr>
                <w:color w:val="000000" w:themeColor="text1"/>
                <w:sz w:val="16"/>
                <w:szCs w:val="16"/>
              </w:rPr>
            </w:pPr>
          </w:p>
        </w:tc>
        <w:tc>
          <w:tcPr>
            <w:tcW w:w="3811" w:type="dxa"/>
          </w:tcPr>
          <w:p w14:paraId="5EDBE86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ОКБ по проектиров. и испытаниям.</w:t>
            </w:r>
          </w:p>
        </w:tc>
      </w:tr>
      <w:tr w:rsidR="001E2C69" w:rsidRPr="001E2C69" w14:paraId="1DCFE847" w14:textId="77777777" w:rsidTr="00CC5360">
        <w:tc>
          <w:tcPr>
            <w:tcW w:w="2376" w:type="dxa"/>
          </w:tcPr>
          <w:p w14:paraId="11BD3E5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деревянным фюзеляжем и</w:t>
            </w:r>
          </w:p>
        </w:tc>
        <w:tc>
          <w:tcPr>
            <w:tcW w:w="1418" w:type="dxa"/>
          </w:tcPr>
          <w:p w14:paraId="240CCF18" w14:textId="77777777" w:rsidR="00AE7191" w:rsidRPr="001E2C69" w:rsidRDefault="00AE7191" w:rsidP="00722885">
            <w:pPr>
              <w:pStyle w:val="Iauiue"/>
              <w:jc w:val="both"/>
              <w:rPr>
                <w:color w:val="000000" w:themeColor="text1"/>
                <w:sz w:val="16"/>
                <w:szCs w:val="16"/>
              </w:rPr>
            </w:pPr>
          </w:p>
        </w:tc>
        <w:tc>
          <w:tcPr>
            <w:tcW w:w="919" w:type="dxa"/>
          </w:tcPr>
          <w:p w14:paraId="1A719680" w14:textId="77777777" w:rsidR="00AE7191" w:rsidRPr="001E2C69" w:rsidRDefault="00AE7191" w:rsidP="00722885">
            <w:pPr>
              <w:pStyle w:val="Iauiue"/>
              <w:jc w:val="both"/>
              <w:rPr>
                <w:color w:val="000000" w:themeColor="text1"/>
                <w:sz w:val="16"/>
                <w:szCs w:val="16"/>
              </w:rPr>
            </w:pPr>
          </w:p>
        </w:tc>
        <w:tc>
          <w:tcPr>
            <w:tcW w:w="1207" w:type="dxa"/>
          </w:tcPr>
          <w:p w14:paraId="12A76A9E" w14:textId="77777777" w:rsidR="00AE7191" w:rsidRPr="001E2C69" w:rsidRDefault="00AE7191" w:rsidP="00722885">
            <w:pPr>
              <w:pStyle w:val="Iauiue"/>
              <w:jc w:val="both"/>
              <w:rPr>
                <w:color w:val="000000" w:themeColor="text1"/>
                <w:sz w:val="16"/>
                <w:szCs w:val="16"/>
              </w:rPr>
            </w:pPr>
          </w:p>
        </w:tc>
        <w:tc>
          <w:tcPr>
            <w:tcW w:w="866" w:type="dxa"/>
          </w:tcPr>
          <w:p w14:paraId="3BB1F921" w14:textId="77777777" w:rsidR="00AE7191" w:rsidRPr="001E2C69" w:rsidRDefault="00AE7191" w:rsidP="00722885">
            <w:pPr>
              <w:pStyle w:val="Iauiue"/>
              <w:jc w:val="both"/>
              <w:rPr>
                <w:color w:val="000000" w:themeColor="text1"/>
                <w:sz w:val="16"/>
                <w:szCs w:val="16"/>
              </w:rPr>
            </w:pPr>
          </w:p>
        </w:tc>
        <w:tc>
          <w:tcPr>
            <w:tcW w:w="3811" w:type="dxa"/>
          </w:tcPr>
          <w:p w14:paraId="35AF36A3" w14:textId="77777777" w:rsidR="00AE7191" w:rsidRPr="001E2C69" w:rsidRDefault="00AE7191" w:rsidP="00722885">
            <w:pPr>
              <w:pStyle w:val="Iauiue"/>
              <w:jc w:val="both"/>
              <w:rPr>
                <w:color w:val="000000" w:themeColor="text1"/>
                <w:sz w:val="16"/>
                <w:szCs w:val="16"/>
              </w:rPr>
            </w:pPr>
          </w:p>
        </w:tc>
      </w:tr>
      <w:tr w:rsidR="001E2C69" w:rsidRPr="001E2C69" w14:paraId="579BA573" w14:textId="77777777" w:rsidTr="00CC5360">
        <w:tc>
          <w:tcPr>
            <w:tcW w:w="2376" w:type="dxa"/>
          </w:tcPr>
          <w:p w14:paraId="4C0EB63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крыльями, с дальностью</w:t>
            </w:r>
          </w:p>
        </w:tc>
        <w:tc>
          <w:tcPr>
            <w:tcW w:w="1418" w:type="dxa"/>
          </w:tcPr>
          <w:p w14:paraId="6B70842A" w14:textId="77777777" w:rsidR="00AE7191" w:rsidRPr="001E2C69" w:rsidRDefault="00AE7191" w:rsidP="00722885">
            <w:pPr>
              <w:pStyle w:val="Iauiue"/>
              <w:jc w:val="both"/>
              <w:rPr>
                <w:color w:val="000000" w:themeColor="text1"/>
                <w:sz w:val="16"/>
                <w:szCs w:val="16"/>
              </w:rPr>
            </w:pPr>
          </w:p>
        </w:tc>
        <w:tc>
          <w:tcPr>
            <w:tcW w:w="919" w:type="dxa"/>
          </w:tcPr>
          <w:p w14:paraId="568B1D97" w14:textId="77777777" w:rsidR="00AE7191" w:rsidRPr="001E2C69" w:rsidRDefault="00AE7191" w:rsidP="00722885">
            <w:pPr>
              <w:pStyle w:val="Iauiue"/>
              <w:jc w:val="both"/>
              <w:rPr>
                <w:color w:val="000000" w:themeColor="text1"/>
                <w:sz w:val="16"/>
                <w:szCs w:val="16"/>
              </w:rPr>
            </w:pPr>
          </w:p>
        </w:tc>
        <w:tc>
          <w:tcPr>
            <w:tcW w:w="1207" w:type="dxa"/>
          </w:tcPr>
          <w:p w14:paraId="31FB1E12" w14:textId="77777777" w:rsidR="00AE7191" w:rsidRPr="001E2C69" w:rsidRDefault="00AE7191" w:rsidP="00722885">
            <w:pPr>
              <w:pStyle w:val="Iauiue"/>
              <w:jc w:val="both"/>
              <w:rPr>
                <w:color w:val="000000" w:themeColor="text1"/>
                <w:sz w:val="16"/>
                <w:szCs w:val="16"/>
              </w:rPr>
            </w:pPr>
          </w:p>
        </w:tc>
        <w:tc>
          <w:tcPr>
            <w:tcW w:w="866" w:type="dxa"/>
          </w:tcPr>
          <w:p w14:paraId="09BD67D1" w14:textId="77777777" w:rsidR="00AE7191" w:rsidRPr="001E2C69" w:rsidRDefault="00AE7191" w:rsidP="00722885">
            <w:pPr>
              <w:pStyle w:val="Iauiue"/>
              <w:jc w:val="both"/>
              <w:rPr>
                <w:color w:val="000000" w:themeColor="text1"/>
                <w:sz w:val="16"/>
                <w:szCs w:val="16"/>
              </w:rPr>
            </w:pPr>
          </w:p>
        </w:tc>
        <w:tc>
          <w:tcPr>
            <w:tcW w:w="3811" w:type="dxa"/>
          </w:tcPr>
          <w:p w14:paraId="42447725" w14:textId="77777777" w:rsidR="00AE7191" w:rsidRPr="001E2C69" w:rsidRDefault="00AE7191" w:rsidP="00722885">
            <w:pPr>
              <w:pStyle w:val="Iauiue"/>
              <w:jc w:val="both"/>
              <w:rPr>
                <w:color w:val="000000" w:themeColor="text1"/>
                <w:sz w:val="16"/>
                <w:szCs w:val="16"/>
              </w:rPr>
            </w:pPr>
          </w:p>
        </w:tc>
      </w:tr>
      <w:tr w:rsidR="001E2C69" w:rsidRPr="001E2C69" w14:paraId="798EEE1E" w14:textId="77777777" w:rsidTr="00CC5360">
        <w:tc>
          <w:tcPr>
            <w:tcW w:w="2376" w:type="dxa"/>
          </w:tcPr>
          <w:p w14:paraId="092712E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увеличенной на 800 км</w:t>
            </w:r>
          </w:p>
        </w:tc>
        <w:tc>
          <w:tcPr>
            <w:tcW w:w="1418" w:type="dxa"/>
          </w:tcPr>
          <w:p w14:paraId="3B0D17DD" w14:textId="77777777" w:rsidR="00AE7191" w:rsidRPr="001E2C69" w:rsidRDefault="00AE7191" w:rsidP="00722885">
            <w:pPr>
              <w:pStyle w:val="Iauiue"/>
              <w:jc w:val="both"/>
              <w:rPr>
                <w:color w:val="000000" w:themeColor="text1"/>
                <w:sz w:val="16"/>
                <w:szCs w:val="16"/>
              </w:rPr>
            </w:pPr>
          </w:p>
        </w:tc>
        <w:tc>
          <w:tcPr>
            <w:tcW w:w="919" w:type="dxa"/>
          </w:tcPr>
          <w:p w14:paraId="00593B00" w14:textId="77777777" w:rsidR="00AE7191" w:rsidRPr="001E2C69" w:rsidRDefault="00AE7191" w:rsidP="00722885">
            <w:pPr>
              <w:pStyle w:val="Iauiue"/>
              <w:jc w:val="both"/>
              <w:rPr>
                <w:color w:val="000000" w:themeColor="text1"/>
                <w:sz w:val="16"/>
                <w:szCs w:val="16"/>
              </w:rPr>
            </w:pPr>
          </w:p>
        </w:tc>
        <w:tc>
          <w:tcPr>
            <w:tcW w:w="1207" w:type="dxa"/>
          </w:tcPr>
          <w:p w14:paraId="7A392DF0" w14:textId="77777777" w:rsidR="00AE7191" w:rsidRPr="001E2C69" w:rsidRDefault="00AE7191" w:rsidP="00722885">
            <w:pPr>
              <w:pStyle w:val="Iauiue"/>
              <w:jc w:val="both"/>
              <w:rPr>
                <w:color w:val="000000" w:themeColor="text1"/>
                <w:sz w:val="16"/>
                <w:szCs w:val="16"/>
              </w:rPr>
            </w:pPr>
          </w:p>
        </w:tc>
        <w:tc>
          <w:tcPr>
            <w:tcW w:w="866" w:type="dxa"/>
          </w:tcPr>
          <w:p w14:paraId="7EA44034" w14:textId="77777777" w:rsidR="00AE7191" w:rsidRPr="001E2C69" w:rsidRDefault="00AE7191" w:rsidP="00722885">
            <w:pPr>
              <w:pStyle w:val="Iauiue"/>
              <w:jc w:val="both"/>
              <w:rPr>
                <w:color w:val="000000" w:themeColor="text1"/>
                <w:sz w:val="16"/>
                <w:szCs w:val="16"/>
              </w:rPr>
            </w:pPr>
          </w:p>
        </w:tc>
        <w:tc>
          <w:tcPr>
            <w:tcW w:w="3811" w:type="dxa"/>
          </w:tcPr>
          <w:p w14:paraId="7E400864" w14:textId="77777777" w:rsidR="00AE7191" w:rsidRPr="001E2C69" w:rsidRDefault="00AE7191" w:rsidP="00722885">
            <w:pPr>
              <w:pStyle w:val="Iauiue"/>
              <w:jc w:val="both"/>
              <w:rPr>
                <w:color w:val="000000" w:themeColor="text1"/>
                <w:sz w:val="16"/>
                <w:szCs w:val="16"/>
              </w:rPr>
            </w:pPr>
          </w:p>
        </w:tc>
      </w:tr>
      <w:tr w:rsidR="001E2C69" w:rsidRPr="001E2C69" w14:paraId="49213526" w14:textId="77777777" w:rsidTr="00CC5360">
        <w:tc>
          <w:tcPr>
            <w:tcW w:w="2376" w:type="dxa"/>
          </w:tcPr>
          <w:p w14:paraId="7B51F69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Модификация пикирующего</w:t>
            </w:r>
          </w:p>
        </w:tc>
        <w:tc>
          <w:tcPr>
            <w:tcW w:w="1418" w:type="dxa"/>
          </w:tcPr>
          <w:p w14:paraId="126E359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Туполев</w:t>
            </w:r>
          </w:p>
        </w:tc>
        <w:tc>
          <w:tcPr>
            <w:tcW w:w="919" w:type="dxa"/>
          </w:tcPr>
          <w:p w14:paraId="290B560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w:t>
            </w:r>
          </w:p>
        </w:tc>
        <w:tc>
          <w:tcPr>
            <w:tcW w:w="1207" w:type="dxa"/>
          </w:tcPr>
          <w:p w14:paraId="32F0E2E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w:t>
            </w:r>
          </w:p>
        </w:tc>
        <w:tc>
          <w:tcPr>
            <w:tcW w:w="866" w:type="dxa"/>
          </w:tcPr>
          <w:p w14:paraId="5E3E6C6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800</w:t>
            </w:r>
          </w:p>
        </w:tc>
        <w:tc>
          <w:tcPr>
            <w:tcW w:w="3811" w:type="dxa"/>
          </w:tcPr>
          <w:p w14:paraId="1BD157C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Самолет проходит испытания.</w:t>
            </w:r>
          </w:p>
        </w:tc>
      </w:tr>
      <w:tr w:rsidR="001E2C69" w:rsidRPr="001E2C69" w14:paraId="42EC63A6" w14:textId="77777777" w:rsidTr="00CC5360">
        <w:tc>
          <w:tcPr>
            <w:tcW w:w="2376" w:type="dxa"/>
          </w:tcPr>
          <w:p w14:paraId="1A00D41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бомбардировщика Ту-2</w:t>
            </w:r>
          </w:p>
        </w:tc>
        <w:tc>
          <w:tcPr>
            <w:tcW w:w="1418" w:type="dxa"/>
          </w:tcPr>
          <w:p w14:paraId="2CD43AD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з-д 166</w:t>
            </w:r>
          </w:p>
        </w:tc>
        <w:tc>
          <w:tcPr>
            <w:tcW w:w="919" w:type="dxa"/>
          </w:tcPr>
          <w:p w14:paraId="64E0FE99" w14:textId="77777777" w:rsidR="00AE7191" w:rsidRPr="001E2C69" w:rsidRDefault="00AE7191" w:rsidP="00722885">
            <w:pPr>
              <w:pStyle w:val="Iauiue"/>
              <w:jc w:val="both"/>
              <w:rPr>
                <w:color w:val="000000" w:themeColor="text1"/>
                <w:sz w:val="16"/>
                <w:szCs w:val="16"/>
              </w:rPr>
            </w:pPr>
          </w:p>
        </w:tc>
        <w:tc>
          <w:tcPr>
            <w:tcW w:w="1207" w:type="dxa"/>
          </w:tcPr>
          <w:p w14:paraId="269426E6" w14:textId="77777777" w:rsidR="00AE7191" w:rsidRPr="001E2C69" w:rsidRDefault="00AE7191" w:rsidP="00722885">
            <w:pPr>
              <w:pStyle w:val="Iauiue"/>
              <w:jc w:val="both"/>
              <w:rPr>
                <w:color w:val="000000" w:themeColor="text1"/>
                <w:sz w:val="16"/>
                <w:szCs w:val="16"/>
              </w:rPr>
            </w:pPr>
          </w:p>
        </w:tc>
        <w:tc>
          <w:tcPr>
            <w:tcW w:w="866" w:type="dxa"/>
          </w:tcPr>
          <w:p w14:paraId="1CA50DF0" w14:textId="77777777" w:rsidR="00AE7191" w:rsidRPr="001E2C69" w:rsidRDefault="00AE7191" w:rsidP="00722885">
            <w:pPr>
              <w:pStyle w:val="Iauiue"/>
              <w:jc w:val="both"/>
              <w:rPr>
                <w:color w:val="000000" w:themeColor="text1"/>
                <w:sz w:val="16"/>
                <w:szCs w:val="16"/>
              </w:rPr>
            </w:pPr>
          </w:p>
        </w:tc>
        <w:tc>
          <w:tcPr>
            <w:tcW w:w="3811" w:type="dxa"/>
          </w:tcPr>
          <w:p w14:paraId="03147580" w14:textId="77777777" w:rsidR="00AE7191" w:rsidRPr="001E2C69" w:rsidRDefault="00AE7191" w:rsidP="00722885">
            <w:pPr>
              <w:pStyle w:val="Iauiue"/>
              <w:jc w:val="both"/>
              <w:rPr>
                <w:color w:val="000000" w:themeColor="text1"/>
                <w:sz w:val="16"/>
                <w:szCs w:val="16"/>
              </w:rPr>
            </w:pPr>
          </w:p>
        </w:tc>
      </w:tr>
      <w:tr w:rsidR="001E2C69" w:rsidRPr="001E2C69" w14:paraId="569BAE9C" w14:textId="77777777" w:rsidTr="00CC5360">
        <w:tc>
          <w:tcPr>
            <w:tcW w:w="2376" w:type="dxa"/>
          </w:tcPr>
          <w:p w14:paraId="01B7C15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под моторы М-82</w:t>
            </w:r>
          </w:p>
        </w:tc>
        <w:tc>
          <w:tcPr>
            <w:tcW w:w="1418" w:type="dxa"/>
          </w:tcPr>
          <w:p w14:paraId="0180A530" w14:textId="77777777" w:rsidR="00AE7191" w:rsidRPr="001E2C69" w:rsidRDefault="00AE7191" w:rsidP="00722885">
            <w:pPr>
              <w:pStyle w:val="Iauiue"/>
              <w:jc w:val="both"/>
              <w:rPr>
                <w:color w:val="000000" w:themeColor="text1"/>
                <w:sz w:val="16"/>
                <w:szCs w:val="16"/>
              </w:rPr>
            </w:pPr>
          </w:p>
        </w:tc>
        <w:tc>
          <w:tcPr>
            <w:tcW w:w="919" w:type="dxa"/>
          </w:tcPr>
          <w:p w14:paraId="3F4DC49C" w14:textId="77777777" w:rsidR="00AE7191" w:rsidRPr="001E2C69" w:rsidRDefault="00AE7191" w:rsidP="00722885">
            <w:pPr>
              <w:pStyle w:val="Iauiue"/>
              <w:jc w:val="both"/>
              <w:rPr>
                <w:color w:val="000000" w:themeColor="text1"/>
                <w:sz w:val="16"/>
                <w:szCs w:val="16"/>
              </w:rPr>
            </w:pPr>
          </w:p>
        </w:tc>
        <w:tc>
          <w:tcPr>
            <w:tcW w:w="1207" w:type="dxa"/>
          </w:tcPr>
          <w:p w14:paraId="257C588E" w14:textId="77777777" w:rsidR="00AE7191" w:rsidRPr="001E2C69" w:rsidRDefault="00AE7191" w:rsidP="00722885">
            <w:pPr>
              <w:pStyle w:val="Iauiue"/>
              <w:jc w:val="both"/>
              <w:rPr>
                <w:color w:val="000000" w:themeColor="text1"/>
                <w:sz w:val="16"/>
                <w:szCs w:val="16"/>
              </w:rPr>
            </w:pPr>
          </w:p>
        </w:tc>
        <w:tc>
          <w:tcPr>
            <w:tcW w:w="866" w:type="dxa"/>
          </w:tcPr>
          <w:p w14:paraId="2E5DF5B0" w14:textId="77777777" w:rsidR="00AE7191" w:rsidRPr="001E2C69" w:rsidRDefault="00AE7191" w:rsidP="00722885">
            <w:pPr>
              <w:pStyle w:val="Iauiue"/>
              <w:jc w:val="both"/>
              <w:rPr>
                <w:color w:val="000000" w:themeColor="text1"/>
                <w:sz w:val="16"/>
                <w:szCs w:val="16"/>
              </w:rPr>
            </w:pPr>
          </w:p>
        </w:tc>
        <w:tc>
          <w:tcPr>
            <w:tcW w:w="3811" w:type="dxa"/>
          </w:tcPr>
          <w:p w14:paraId="65A719F5" w14:textId="77777777" w:rsidR="00AE7191" w:rsidRPr="001E2C69" w:rsidRDefault="00AE7191" w:rsidP="00722885">
            <w:pPr>
              <w:pStyle w:val="Iauiue"/>
              <w:jc w:val="both"/>
              <w:rPr>
                <w:color w:val="000000" w:themeColor="text1"/>
                <w:sz w:val="16"/>
                <w:szCs w:val="16"/>
              </w:rPr>
            </w:pPr>
          </w:p>
        </w:tc>
      </w:tr>
      <w:tr w:rsidR="001E2C69" w:rsidRPr="001E2C69" w14:paraId="4F0C7821" w14:textId="77777777" w:rsidTr="00CC5360">
        <w:tc>
          <w:tcPr>
            <w:tcW w:w="2376" w:type="dxa"/>
          </w:tcPr>
          <w:p w14:paraId="2D86720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Модификация тяжелого</w:t>
            </w:r>
          </w:p>
        </w:tc>
        <w:tc>
          <w:tcPr>
            <w:tcW w:w="1418" w:type="dxa"/>
          </w:tcPr>
          <w:p w14:paraId="19D0A0A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Незваль</w:t>
            </w:r>
          </w:p>
        </w:tc>
        <w:tc>
          <w:tcPr>
            <w:tcW w:w="919" w:type="dxa"/>
          </w:tcPr>
          <w:p w14:paraId="73B0E08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w:t>
            </w:r>
          </w:p>
        </w:tc>
        <w:tc>
          <w:tcPr>
            <w:tcW w:w="1207" w:type="dxa"/>
          </w:tcPr>
          <w:p w14:paraId="63A30A3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w:t>
            </w:r>
          </w:p>
        </w:tc>
        <w:tc>
          <w:tcPr>
            <w:tcW w:w="866" w:type="dxa"/>
          </w:tcPr>
          <w:p w14:paraId="00CBB20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w:t>
            </w:r>
          </w:p>
        </w:tc>
        <w:tc>
          <w:tcPr>
            <w:tcW w:w="3811" w:type="dxa"/>
          </w:tcPr>
          <w:p w14:paraId="21798C6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Самолет проходит совместные испытания.</w:t>
            </w:r>
          </w:p>
        </w:tc>
      </w:tr>
      <w:tr w:rsidR="001E2C69" w:rsidRPr="001E2C69" w14:paraId="3AE5C507" w14:textId="77777777" w:rsidTr="00CC5360">
        <w:tc>
          <w:tcPr>
            <w:tcW w:w="2376" w:type="dxa"/>
          </w:tcPr>
          <w:p w14:paraId="2C69631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бомбардировщика ТБ-7</w:t>
            </w:r>
          </w:p>
        </w:tc>
        <w:tc>
          <w:tcPr>
            <w:tcW w:w="1418" w:type="dxa"/>
          </w:tcPr>
          <w:p w14:paraId="620C3EE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з-д 22</w:t>
            </w:r>
          </w:p>
        </w:tc>
        <w:tc>
          <w:tcPr>
            <w:tcW w:w="919" w:type="dxa"/>
          </w:tcPr>
          <w:p w14:paraId="0AD5146F" w14:textId="77777777" w:rsidR="00AE7191" w:rsidRPr="001E2C69" w:rsidRDefault="00AE7191" w:rsidP="00722885">
            <w:pPr>
              <w:pStyle w:val="Iauiue"/>
              <w:jc w:val="both"/>
              <w:rPr>
                <w:color w:val="000000" w:themeColor="text1"/>
                <w:sz w:val="16"/>
                <w:szCs w:val="16"/>
              </w:rPr>
            </w:pPr>
          </w:p>
        </w:tc>
        <w:tc>
          <w:tcPr>
            <w:tcW w:w="1207" w:type="dxa"/>
          </w:tcPr>
          <w:p w14:paraId="2B7D9FDF" w14:textId="77777777" w:rsidR="00AE7191" w:rsidRPr="001E2C69" w:rsidRDefault="00AE7191" w:rsidP="00722885">
            <w:pPr>
              <w:pStyle w:val="Iauiue"/>
              <w:jc w:val="both"/>
              <w:rPr>
                <w:color w:val="000000" w:themeColor="text1"/>
                <w:sz w:val="16"/>
                <w:szCs w:val="16"/>
              </w:rPr>
            </w:pPr>
          </w:p>
        </w:tc>
        <w:tc>
          <w:tcPr>
            <w:tcW w:w="866" w:type="dxa"/>
          </w:tcPr>
          <w:p w14:paraId="0D6AF4AC" w14:textId="77777777" w:rsidR="00AE7191" w:rsidRPr="001E2C69" w:rsidRDefault="00AE7191" w:rsidP="00722885">
            <w:pPr>
              <w:pStyle w:val="Iauiue"/>
              <w:jc w:val="both"/>
              <w:rPr>
                <w:color w:val="000000" w:themeColor="text1"/>
                <w:sz w:val="16"/>
                <w:szCs w:val="16"/>
              </w:rPr>
            </w:pPr>
          </w:p>
        </w:tc>
        <w:tc>
          <w:tcPr>
            <w:tcW w:w="3811" w:type="dxa"/>
          </w:tcPr>
          <w:p w14:paraId="5B3928F9" w14:textId="77777777" w:rsidR="00AE7191" w:rsidRPr="001E2C69" w:rsidRDefault="00AE7191" w:rsidP="00722885">
            <w:pPr>
              <w:pStyle w:val="Iauiue"/>
              <w:jc w:val="both"/>
              <w:rPr>
                <w:color w:val="000000" w:themeColor="text1"/>
                <w:sz w:val="16"/>
                <w:szCs w:val="16"/>
              </w:rPr>
            </w:pPr>
          </w:p>
        </w:tc>
      </w:tr>
      <w:tr w:rsidR="001E2C69" w:rsidRPr="001E2C69" w14:paraId="301C206B" w14:textId="77777777" w:rsidTr="00CC5360">
        <w:tc>
          <w:tcPr>
            <w:tcW w:w="2376" w:type="dxa"/>
          </w:tcPr>
          <w:p w14:paraId="1BC47EF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под моторы М-82</w:t>
            </w:r>
          </w:p>
        </w:tc>
        <w:tc>
          <w:tcPr>
            <w:tcW w:w="1418" w:type="dxa"/>
          </w:tcPr>
          <w:p w14:paraId="5C470F36" w14:textId="77777777" w:rsidR="00AE7191" w:rsidRPr="001E2C69" w:rsidRDefault="00AE7191" w:rsidP="00722885">
            <w:pPr>
              <w:pStyle w:val="Iauiue"/>
              <w:jc w:val="both"/>
              <w:rPr>
                <w:color w:val="000000" w:themeColor="text1"/>
                <w:sz w:val="16"/>
                <w:szCs w:val="16"/>
              </w:rPr>
            </w:pPr>
          </w:p>
        </w:tc>
        <w:tc>
          <w:tcPr>
            <w:tcW w:w="919" w:type="dxa"/>
          </w:tcPr>
          <w:p w14:paraId="2D1F69C7" w14:textId="77777777" w:rsidR="00AE7191" w:rsidRPr="001E2C69" w:rsidRDefault="00AE7191" w:rsidP="00722885">
            <w:pPr>
              <w:pStyle w:val="Iauiue"/>
              <w:jc w:val="both"/>
              <w:rPr>
                <w:color w:val="000000" w:themeColor="text1"/>
                <w:sz w:val="16"/>
                <w:szCs w:val="16"/>
              </w:rPr>
            </w:pPr>
          </w:p>
        </w:tc>
        <w:tc>
          <w:tcPr>
            <w:tcW w:w="1207" w:type="dxa"/>
          </w:tcPr>
          <w:p w14:paraId="2929C4FF" w14:textId="77777777" w:rsidR="00AE7191" w:rsidRPr="001E2C69" w:rsidRDefault="00AE7191" w:rsidP="00722885">
            <w:pPr>
              <w:pStyle w:val="Iauiue"/>
              <w:jc w:val="both"/>
              <w:rPr>
                <w:color w:val="000000" w:themeColor="text1"/>
                <w:sz w:val="16"/>
                <w:szCs w:val="16"/>
              </w:rPr>
            </w:pPr>
          </w:p>
        </w:tc>
        <w:tc>
          <w:tcPr>
            <w:tcW w:w="866" w:type="dxa"/>
          </w:tcPr>
          <w:p w14:paraId="42772BF9" w14:textId="77777777" w:rsidR="00AE7191" w:rsidRPr="001E2C69" w:rsidRDefault="00AE7191" w:rsidP="00722885">
            <w:pPr>
              <w:pStyle w:val="Iauiue"/>
              <w:jc w:val="both"/>
              <w:rPr>
                <w:color w:val="000000" w:themeColor="text1"/>
                <w:sz w:val="16"/>
                <w:szCs w:val="16"/>
              </w:rPr>
            </w:pPr>
          </w:p>
        </w:tc>
        <w:tc>
          <w:tcPr>
            <w:tcW w:w="3811" w:type="dxa"/>
          </w:tcPr>
          <w:p w14:paraId="70DED847" w14:textId="77777777" w:rsidR="00AE7191" w:rsidRPr="001E2C69" w:rsidRDefault="00AE7191" w:rsidP="00722885">
            <w:pPr>
              <w:pStyle w:val="Iauiue"/>
              <w:jc w:val="both"/>
              <w:rPr>
                <w:color w:val="000000" w:themeColor="text1"/>
                <w:sz w:val="16"/>
                <w:szCs w:val="16"/>
              </w:rPr>
            </w:pPr>
          </w:p>
        </w:tc>
      </w:tr>
      <w:tr w:rsidR="001E2C69" w:rsidRPr="001E2C69" w14:paraId="12288519" w14:textId="77777777" w:rsidTr="00CC5360">
        <w:tc>
          <w:tcPr>
            <w:tcW w:w="2376" w:type="dxa"/>
          </w:tcPr>
          <w:p w14:paraId="42146FD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Дальний бомбардировщик</w:t>
            </w:r>
          </w:p>
        </w:tc>
        <w:tc>
          <w:tcPr>
            <w:tcW w:w="1418" w:type="dxa"/>
          </w:tcPr>
          <w:p w14:paraId="2512F26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Мясищев</w:t>
            </w:r>
          </w:p>
        </w:tc>
        <w:tc>
          <w:tcPr>
            <w:tcW w:w="919" w:type="dxa"/>
          </w:tcPr>
          <w:p w14:paraId="62E94F5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w:t>
            </w:r>
          </w:p>
        </w:tc>
        <w:tc>
          <w:tcPr>
            <w:tcW w:w="1207" w:type="dxa"/>
          </w:tcPr>
          <w:p w14:paraId="2B95060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15.1Х.42</w:t>
            </w:r>
          </w:p>
        </w:tc>
        <w:tc>
          <w:tcPr>
            <w:tcW w:w="866" w:type="dxa"/>
          </w:tcPr>
          <w:p w14:paraId="0F163E4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10500</w:t>
            </w:r>
          </w:p>
        </w:tc>
        <w:tc>
          <w:tcPr>
            <w:tcW w:w="3811" w:type="dxa"/>
          </w:tcPr>
          <w:p w14:paraId="6360C31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Проводятся летные испытания</w:t>
            </w:r>
          </w:p>
        </w:tc>
      </w:tr>
      <w:tr w:rsidR="001E2C69" w:rsidRPr="001E2C69" w14:paraId="673FA4A6" w14:textId="77777777" w:rsidTr="00CC5360">
        <w:tc>
          <w:tcPr>
            <w:tcW w:w="2376" w:type="dxa"/>
          </w:tcPr>
          <w:p w14:paraId="3786D7B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"102" с двумя моторами</w:t>
            </w:r>
          </w:p>
        </w:tc>
        <w:tc>
          <w:tcPr>
            <w:tcW w:w="1418" w:type="dxa"/>
          </w:tcPr>
          <w:p w14:paraId="4B0E53D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з-д 288</w:t>
            </w:r>
          </w:p>
        </w:tc>
        <w:tc>
          <w:tcPr>
            <w:tcW w:w="919" w:type="dxa"/>
          </w:tcPr>
          <w:p w14:paraId="7FB2EFBC" w14:textId="77777777" w:rsidR="00AE7191" w:rsidRPr="001E2C69" w:rsidRDefault="00AE7191" w:rsidP="00722885">
            <w:pPr>
              <w:pStyle w:val="Iauiue"/>
              <w:jc w:val="both"/>
              <w:rPr>
                <w:color w:val="000000" w:themeColor="text1"/>
                <w:sz w:val="16"/>
                <w:szCs w:val="16"/>
              </w:rPr>
            </w:pPr>
          </w:p>
        </w:tc>
        <w:tc>
          <w:tcPr>
            <w:tcW w:w="1207" w:type="dxa"/>
          </w:tcPr>
          <w:p w14:paraId="0EA40BF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1.Ш.43</w:t>
            </w:r>
          </w:p>
        </w:tc>
        <w:tc>
          <w:tcPr>
            <w:tcW w:w="866" w:type="dxa"/>
          </w:tcPr>
          <w:p w14:paraId="466ACDC7" w14:textId="77777777" w:rsidR="00AE7191" w:rsidRPr="001E2C69" w:rsidRDefault="00AE7191" w:rsidP="00722885">
            <w:pPr>
              <w:pStyle w:val="Iauiue"/>
              <w:jc w:val="both"/>
              <w:rPr>
                <w:color w:val="000000" w:themeColor="text1"/>
                <w:sz w:val="16"/>
                <w:szCs w:val="16"/>
              </w:rPr>
            </w:pPr>
          </w:p>
        </w:tc>
        <w:tc>
          <w:tcPr>
            <w:tcW w:w="3811" w:type="dxa"/>
          </w:tcPr>
          <w:p w14:paraId="0A65321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винтомоторной группы 1-го эзз.</w:t>
            </w:r>
          </w:p>
        </w:tc>
      </w:tr>
      <w:tr w:rsidR="001E2C69" w:rsidRPr="001E2C69" w14:paraId="4C9519E8" w14:textId="77777777" w:rsidTr="00CC5360">
        <w:tc>
          <w:tcPr>
            <w:tcW w:w="2376" w:type="dxa"/>
          </w:tcPr>
          <w:p w14:paraId="0F9C5DA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М-120, М-71 и МБ-100</w:t>
            </w:r>
          </w:p>
        </w:tc>
        <w:tc>
          <w:tcPr>
            <w:tcW w:w="1418" w:type="dxa"/>
          </w:tcPr>
          <w:p w14:paraId="7CC1B857" w14:textId="77777777" w:rsidR="00AE7191" w:rsidRPr="001E2C69" w:rsidRDefault="00AE7191" w:rsidP="00722885">
            <w:pPr>
              <w:pStyle w:val="Iauiue"/>
              <w:jc w:val="both"/>
              <w:rPr>
                <w:color w:val="000000" w:themeColor="text1"/>
                <w:sz w:val="16"/>
                <w:szCs w:val="16"/>
              </w:rPr>
            </w:pPr>
          </w:p>
        </w:tc>
        <w:tc>
          <w:tcPr>
            <w:tcW w:w="919" w:type="dxa"/>
          </w:tcPr>
          <w:p w14:paraId="2EC9D84B" w14:textId="77777777" w:rsidR="00AE7191" w:rsidRPr="001E2C69" w:rsidRDefault="00AE7191" w:rsidP="00722885">
            <w:pPr>
              <w:pStyle w:val="Iauiue"/>
              <w:jc w:val="both"/>
              <w:rPr>
                <w:color w:val="000000" w:themeColor="text1"/>
                <w:sz w:val="16"/>
                <w:szCs w:val="16"/>
              </w:rPr>
            </w:pPr>
          </w:p>
        </w:tc>
        <w:tc>
          <w:tcPr>
            <w:tcW w:w="1207" w:type="dxa"/>
          </w:tcPr>
          <w:p w14:paraId="107B844C" w14:textId="77777777" w:rsidR="00AE7191" w:rsidRPr="001E2C69" w:rsidRDefault="00AE7191" w:rsidP="00722885">
            <w:pPr>
              <w:pStyle w:val="Iauiue"/>
              <w:jc w:val="both"/>
              <w:rPr>
                <w:color w:val="000000" w:themeColor="text1"/>
                <w:sz w:val="16"/>
                <w:szCs w:val="16"/>
              </w:rPr>
            </w:pPr>
          </w:p>
        </w:tc>
        <w:tc>
          <w:tcPr>
            <w:tcW w:w="866" w:type="dxa"/>
          </w:tcPr>
          <w:p w14:paraId="6D8F2349" w14:textId="77777777" w:rsidR="00AE7191" w:rsidRPr="001E2C69" w:rsidRDefault="00AE7191" w:rsidP="00722885">
            <w:pPr>
              <w:pStyle w:val="Iauiue"/>
              <w:jc w:val="both"/>
              <w:rPr>
                <w:color w:val="000000" w:themeColor="text1"/>
                <w:sz w:val="16"/>
                <w:szCs w:val="16"/>
              </w:rPr>
            </w:pPr>
          </w:p>
        </w:tc>
        <w:tc>
          <w:tcPr>
            <w:tcW w:w="3811" w:type="dxa"/>
          </w:tcPr>
          <w:p w14:paraId="274992E5" w14:textId="77777777" w:rsidR="00AE7191" w:rsidRPr="001E2C69" w:rsidRDefault="00AE7191" w:rsidP="00722885">
            <w:pPr>
              <w:pStyle w:val="Iauiue"/>
              <w:jc w:val="both"/>
              <w:rPr>
                <w:color w:val="000000" w:themeColor="text1"/>
                <w:sz w:val="16"/>
                <w:szCs w:val="16"/>
              </w:rPr>
            </w:pPr>
          </w:p>
        </w:tc>
      </w:tr>
      <w:tr w:rsidR="001E2C69" w:rsidRPr="001E2C69" w14:paraId="556078E6" w14:textId="77777777" w:rsidTr="00CC5360">
        <w:tc>
          <w:tcPr>
            <w:tcW w:w="2376" w:type="dxa"/>
          </w:tcPr>
          <w:p w14:paraId="0F0FB46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Модификация дальнего</w:t>
            </w:r>
          </w:p>
        </w:tc>
        <w:tc>
          <w:tcPr>
            <w:tcW w:w="1418" w:type="dxa"/>
          </w:tcPr>
          <w:p w14:paraId="68885BB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Ермолаев</w:t>
            </w:r>
          </w:p>
        </w:tc>
        <w:tc>
          <w:tcPr>
            <w:tcW w:w="919" w:type="dxa"/>
          </w:tcPr>
          <w:p w14:paraId="52341B5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w:t>
            </w:r>
          </w:p>
        </w:tc>
        <w:tc>
          <w:tcPr>
            <w:tcW w:w="1207" w:type="dxa"/>
          </w:tcPr>
          <w:p w14:paraId="340A46A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15.VШ.42</w:t>
            </w:r>
          </w:p>
        </w:tc>
        <w:tc>
          <w:tcPr>
            <w:tcW w:w="866" w:type="dxa"/>
          </w:tcPr>
          <w:p w14:paraId="0945514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3500</w:t>
            </w:r>
          </w:p>
        </w:tc>
        <w:tc>
          <w:tcPr>
            <w:tcW w:w="3811" w:type="dxa"/>
          </w:tcPr>
          <w:p w14:paraId="434BFE1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Самолет выпускается для отработки в</w:t>
            </w:r>
          </w:p>
        </w:tc>
      </w:tr>
      <w:tr w:rsidR="001E2C69" w:rsidRPr="001E2C69" w14:paraId="3D6D67BE" w14:textId="77777777" w:rsidTr="00CC5360">
        <w:tc>
          <w:tcPr>
            <w:tcW w:w="2376" w:type="dxa"/>
          </w:tcPr>
          <w:p w14:paraId="710AEBA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бомбардировщика Ер-2</w:t>
            </w:r>
          </w:p>
        </w:tc>
        <w:tc>
          <w:tcPr>
            <w:tcW w:w="1418" w:type="dxa"/>
          </w:tcPr>
          <w:p w14:paraId="4AFED57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з-д 240</w:t>
            </w:r>
          </w:p>
        </w:tc>
        <w:tc>
          <w:tcPr>
            <w:tcW w:w="919" w:type="dxa"/>
          </w:tcPr>
          <w:p w14:paraId="2D50C6E5" w14:textId="77777777" w:rsidR="00AE7191" w:rsidRPr="001E2C69" w:rsidRDefault="00AE7191" w:rsidP="00722885">
            <w:pPr>
              <w:pStyle w:val="Iauiue"/>
              <w:jc w:val="both"/>
              <w:rPr>
                <w:color w:val="000000" w:themeColor="text1"/>
                <w:sz w:val="16"/>
                <w:szCs w:val="16"/>
              </w:rPr>
            </w:pPr>
          </w:p>
        </w:tc>
        <w:tc>
          <w:tcPr>
            <w:tcW w:w="1207" w:type="dxa"/>
          </w:tcPr>
          <w:p w14:paraId="0EEB18A9" w14:textId="77777777" w:rsidR="00AE7191" w:rsidRPr="001E2C69" w:rsidRDefault="00AE7191" w:rsidP="00722885">
            <w:pPr>
              <w:pStyle w:val="Iauiue"/>
              <w:jc w:val="both"/>
              <w:rPr>
                <w:color w:val="000000" w:themeColor="text1"/>
                <w:sz w:val="16"/>
                <w:szCs w:val="16"/>
              </w:rPr>
            </w:pPr>
          </w:p>
        </w:tc>
        <w:tc>
          <w:tcPr>
            <w:tcW w:w="866" w:type="dxa"/>
          </w:tcPr>
          <w:p w14:paraId="6C1DBA39" w14:textId="77777777" w:rsidR="00AE7191" w:rsidRPr="001E2C69" w:rsidRDefault="00AE7191" w:rsidP="00722885">
            <w:pPr>
              <w:pStyle w:val="Iauiue"/>
              <w:jc w:val="both"/>
              <w:rPr>
                <w:color w:val="000000" w:themeColor="text1"/>
                <w:sz w:val="16"/>
                <w:szCs w:val="16"/>
              </w:rPr>
            </w:pPr>
          </w:p>
        </w:tc>
        <w:tc>
          <w:tcPr>
            <w:tcW w:w="3811" w:type="dxa"/>
          </w:tcPr>
          <w:p w14:paraId="4B7E0AB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полете дизель моторов.</w:t>
            </w:r>
          </w:p>
        </w:tc>
      </w:tr>
      <w:tr w:rsidR="001E2C69" w:rsidRPr="001E2C69" w14:paraId="749829D3" w14:textId="77777777" w:rsidTr="00CC5360">
        <w:tc>
          <w:tcPr>
            <w:tcW w:w="2376" w:type="dxa"/>
          </w:tcPr>
          <w:p w14:paraId="2931C16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дизель-моторы М-30</w:t>
            </w:r>
          </w:p>
        </w:tc>
        <w:tc>
          <w:tcPr>
            <w:tcW w:w="1418" w:type="dxa"/>
          </w:tcPr>
          <w:p w14:paraId="74D4B2E0" w14:textId="77777777" w:rsidR="00AE7191" w:rsidRPr="001E2C69" w:rsidRDefault="00AE7191" w:rsidP="00722885">
            <w:pPr>
              <w:pStyle w:val="Iauiue"/>
              <w:jc w:val="both"/>
              <w:rPr>
                <w:color w:val="000000" w:themeColor="text1"/>
                <w:sz w:val="16"/>
                <w:szCs w:val="16"/>
              </w:rPr>
            </w:pPr>
          </w:p>
        </w:tc>
        <w:tc>
          <w:tcPr>
            <w:tcW w:w="919" w:type="dxa"/>
          </w:tcPr>
          <w:p w14:paraId="1EDF3942" w14:textId="77777777" w:rsidR="00AE7191" w:rsidRPr="001E2C69" w:rsidRDefault="00AE7191" w:rsidP="00722885">
            <w:pPr>
              <w:pStyle w:val="Iauiue"/>
              <w:jc w:val="both"/>
              <w:rPr>
                <w:color w:val="000000" w:themeColor="text1"/>
                <w:sz w:val="16"/>
                <w:szCs w:val="16"/>
              </w:rPr>
            </w:pPr>
          </w:p>
        </w:tc>
        <w:tc>
          <w:tcPr>
            <w:tcW w:w="1207" w:type="dxa"/>
          </w:tcPr>
          <w:p w14:paraId="74A45272" w14:textId="77777777" w:rsidR="00AE7191" w:rsidRPr="001E2C69" w:rsidRDefault="00AE7191" w:rsidP="00722885">
            <w:pPr>
              <w:pStyle w:val="Iauiue"/>
              <w:jc w:val="both"/>
              <w:rPr>
                <w:color w:val="000000" w:themeColor="text1"/>
                <w:sz w:val="16"/>
                <w:szCs w:val="16"/>
              </w:rPr>
            </w:pPr>
          </w:p>
        </w:tc>
        <w:tc>
          <w:tcPr>
            <w:tcW w:w="866" w:type="dxa"/>
          </w:tcPr>
          <w:p w14:paraId="5EFBC577" w14:textId="77777777" w:rsidR="00AE7191" w:rsidRPr="001E2C69" w:rsidRDefault="00AE7191" w:rsidP="00722885">
            <w:pPr>
              <w:pStyle w:val="Iauiue"/>
              <w:jc w:val="both"/>
              <w:rPr>
                <w:color w:val="000000" w:themeColor="text1"/>
                <w:sz w:val="16"/>
                <w:szCs w:val="16"/>
              </w:rPr>
            </w:pPr>
          </w:p>
        </w:tc>
        <w:tc>
          <w:tcPr>
            <w:tcW w:w="3811" w:type="dxa"/>
          </w:tcPr>
          <w:p w14:paraId="7BD34F5A" w14:textId="77777777" w:rsidR="00AE7191" w:rsidRPr="001E2C69" w:rsidRDefault="00AE7191" w:rsidP="00722885">
            <w:pPr>
              <w:pStyle w:val="Iauiue"/>
              <w:jc w:val="both"/>
              <w:rPr>
                <w:color w:val="000000" w:themeColor="text1"/>
                <w:sz w:val="16"/>
                <w:szCs w:val="16"/>
              </w:rPr>
            </w:pPr>
          </w:p>
        </w:tc>
      </w:tr>
      <w:tr w:rsidR="001E2C69" w:rsidRPr="001E2C69" w14:paraId="28CE21B8" w14:textId="77777777" w:rsidTr="00CC5360">
        <w:tc>
          <w:tcPr>
            <w:tcW w:w="2376" w:type="dxa"/>
          </w:tcPr>
          <w:p w14:paraId="0C8986D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Модификация бомбардиров.</w:t>
            </w:r>
          </w:p>
        </w:tc>
        <w:tc>
          <w:tcPr>
            <w:tcW w:w="1418" w:type="dxa"/>
          </w:tcPr>
          <w:p w14:paraId="1307352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Сухой</w:t>
            </w:r>
          </w:p>
        </w:tc>
        <w:tc>
          <w:tcPr>
            <w:tcW w:w="919" w:type="dxa"/>
          </w:tcPr>
          <w:p w14:paraId="168E2E5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w:t>
            </w:r>
          </w:p>
        </w:tc>
        <w:tc>
          <w:tcPr>
            <w:tcW w:w="1207" w:type="dxa"/>
          </w:tcPr>
          <w:p w14:paraId="6793D8E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15.V.42</w:t>
            </w:r>
          </w:p>
        </w:tc>
        <w:tc>
          <w:tcPr>
            <w:tcW w:w="866" w:type="dxa"/>
          </w:tcPr>
          <w:p w14:paraId="2DF4087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300</w:t>
            </w:r>
          </w:p>
        </w:tc>
        <w:tc>
          <w:tcPr>
            <w:tcW w:w="3811" w:type="dxa"/>
          </w:tcPr>
          <w:p w14:paraId="05F5266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Самолет выпускается для отработки мотора</w:t>
            </w:r>
          </w:p>
        </w:tc>
      </w:tr>
      <w:tr w:rsidR="001E2C69" w:rsidRPr="001E2C69" w14:paraId="52FEBA97" w14:textId="77777777" w:rsidTr="00CC5360">
        <w:tc>
          <w:tcPr>
            <w:tcW w:w="2376" w:type="dxa"/>
          </w:tcPr>
          <w:p w14:paraId="06F0587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Су-2 под мотор М-90</w:t>
            </w:r>
          </w:p>
        </w:tc>
        <w:tc>
          <w:tcPr>
            <w:tcW w:w="1418" w:type="dxa"/>
          </w:tcPr>
          <w:p w14:paraId="4D7E0DF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з-д 289</w:t>
            </w:r>
          </w:p>
        </w:tc>
        <w:tc>
          <w:tcPr>
            <w:tcW w:w="919" w:type="dxa"/>
          </w:tcPr>
          <w:p w14:paraId="77EB976C" w14:textId="77777777" w:rsidR="00AE7191" w:rsidRPr="001E2C69" w:rsidRDefault="00AE7191" w:rsidP="00722885">
            <w:pPr>
              <w:pStyle w:val="Iauiue"/>
              <w:jc w:val="both"/>
              <w:rPr>
                <w:color w:val="000000" w:themeColor="text1"/>
                <w:sz w:val="16"/>
                <w:szCs w:val="16"/>
              </w:rPr>
            </w:pPr>
          </w:p>
        </w:tc>
        <w:tc>
          <w:tcPr>
            <w:tcW w:w="1207" w:type="dxa"/>
          </w:tcPr>
          <w:p w14:paraId="241CF562" w14:textId="77777777" w:rsidR="00AE7191" w:rsidRPr="001E2C69" w:rsidRDefault="00AE7191" w:rsidP="00722885">
            <w:pPr>
              <w:pStyle w:val="Iauiue"/>
              <w:jc w:val="both"/>
              <w:rPr>
                <w:color w:val="000000" w:themeColor="text1"/>
                <w:sz w:val="16"/>
                <w:szCs w:val="16"/>
              </w:rPr>
            </w:pPr>
          </w:p>
        </w:tc>
        <w:tc>
          <w:tcPr>
            <w:tcW w:w="866" w:type="dxa"/>
          </w:tcPr>
          <w:p w14:paraId="05FE80DB" w14:textId="77777777" w:rsidR="00AE7191" w:rsidRPr="001E2C69" w:rsidRDefault="00AE7191" w:rsidP="00722885">
            <w:pPr>
              <w:pStyle w:val="Iauiue"/>
              <w:jc w:val="both"/>
              <w:rPr>
                <w:color w:val="000000" w:themeColor="text1"/>
                <w:sz w:val="16"/>
                <w:szCs w:val="16"/>
              </w:rPr>
            </w:pPr>
          </w:p>
        </w:tc>
        <w:tc>
          <w:tcPr>
            <w:tcW w:w="3811" w:type="dxa"/>
          </w:tcPr>
          <w:p w14:paraId="0FA1F34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М-90 в полете.</w:t>
            </w:r>
          </w:p>
        </w:tc>
      </w:tr>
      <w:tr w:rsidR="001E2C69" w:rsidRPr="001E2C69" w14:paraId="2E963E65" w14:textId="77777777" w:rsidTr="00CC5360">
        <w:tc>
          <w:tcPr>
            <w:tcW w:w="2376" w:type="dxa"/>
          </w:tcPr>
          <w:p w14:paraId="11491DD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Морской дальний</w:t>
            </w:r>
          </w:p>
        </w:tc>
        <w:tc>
          <w:tcPr>
            <w:tcW w:w="1418" w:type="dxa"/>
          </w:tcPr>
          <w:p w14:paraId="3D0B1CB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И.В.Четвериков</w:t>
            </w:r>
          </w:p>
        </w:tc>
        <w:tc>
          <w:tcPr>
            <w:tcW w:w="919" w:type="dxa"/>
          </w:tcPr>
          <w:p w14:paraId="6E59A79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w:t>
            </w:r>
          </w:p>
        </w:tc>
        <w:tc>
          <w:tcPr>
            <w:tcW w:w="1207" w:type="dxa"/>
          </w:tcPr>
          <w:p w14:paraId="007F498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15.V.42</w:t>
            </w:r>
          </w:p>
        </w:tc>
        <w:tc>
          <w:tcPr>
            <w:tcW w:w="866" w:type="dxa"/>
          </w:tcPr>
          <w:p w14:paraId="2E33F19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3800</w:t>
            </w:r>
          </w:p>
        </w:tc>
        <w:tc>
          <w:tcPr>
            <w:tcW w:w="3811" w:type="dxa"/>
          </w:tcPr>
          <w:p w14:paraId="19C8273E" w14:textId="77777777" w:rsidR="00AE7191" w:rsidRPr="001E2C69" w:rsidRDefault="00AE7191" w:rsidP="00722885">
            <w:pPr>
              <w:pStyle w:val="Iauiue"/>
              <w:jc w:val="both"/>
              <w:rPr>
                <w:color w:val="000000" w:themeColor="text1"/>
                <w:sz w:val="16"/>
                <w:szCs w:val="16"/>
              </w:rPr>
            </w:pPr>
          </w:p>
        </w:tc>
      </w:tr>
      <w:tr w:rsidR="001E2C69" w:rsidRPr="001E2C69" w14:paraId="7C344FA2" w14:textId="77777777" w:rsidTr="00CC5360">
        <w:tc>
          <w:tcPr>
            <w:tcW w:w="2376" w:type="dxa"/>
          </w:tcPr>
          <w:p w14:paraId="54E461C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разведчик с двумя</w:t>
            </w:r>
          </w:p>
        </w:tc>
        <w:tc>
          <w:tcPr>
            <w:tcW w:w="1418" w:type="dxa"/>
          </w:tcPr>
          <w:p w14:paraId="5886D5A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 458</w:t>
            </w:r>
          </w:p>
        </w:tc>
        <w:tc>
          <w:tcPr>
            <w:tcW w:w="919" w:type="dxa"/>
          </w:tcPr>
          <w:p w14:paraId="47BF7A87" w14:textId="77777777" w:rsidR="00AE7191" w:rsidRPr="001E2C69" w:rsidRDefault="00AE7191" w:rsidP="00722885">
            <w:pPr>
              <w:pStyle w:val="Iauiue"/>
              <w:jc w:val="both"/>
              <w:rPr>
                <w:color w:val="000000" w:themeColor="text1"/>
                <w:sz w:val="16"/>
                <w:szCs w:val="16"/>
              </w:rPr>
            </w:pPr>
          </w:p>
        </w:tc>
        <w:tc>
          <w:tcPr>
            <w:tcW w:w="1207" w:type="dxa"/>
          </w:tcPr>
          <w:p w14:paraId="17CC677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1.1У.43</w:t>
            </w:r>
          </w:p>
        </w:tc>
        <w:tc>
          <w:tcPr>
            <w:tcW w:w="866" w:type="dxa"/>
          </w:tcPr>
          <w:p w14:paraId="17AABCBE" w14:textId="77777777" w:rsidR="00AE7191" w:rsidRPr="001E2C69" w:rsidRDefault="00AE7191" w:rsidP="00722885">
            <w:pPr>
              <w:pStyle w:val="Iauiue"/>
              <w:jc w:val="both"/>
              <w:rPr>
                <w:color w:val="000000" w:themeColor="text1"/>
                <w:sz w:val="16"/>
                <w:szCs w:val="16"/>
              </w:rPr>
            </w:pPr>
          </w:p>
        </w:tc>
        <w:tc>
          <w:tcPr>
            <w:tcW w:w="3811" w:type="dxa"/>
          </w:tcPr>
          <w:p w14:paraId="0C177D73" w14:textId="77777777" w:rsidR="00AE7191" w:rsidRPr="001E2C69" w:rsidRDefault="00AE7191" w:rsidP="00722885">
            <w:pPr>
              <w:pStyle w:val="Iauiue"/>
              <w:jc w:val="both"/>
              <w:rPr>
                <w:color w:val="000000" w:themeColor="text1"/>
                <w:sz w:val="16"/>
                <w:szCs w:val="16"/>
              </w:rPr>
            </w:pPr>
          </w:p>
        </w:tc>
      </w:tr>
      <w:tr w:rsidR="001E2C69" w:rsidRPr="001E2C69" w14:paraId="2E80B9A4" w14:textId="77777777" w:rsidTr="00CC5360">
        <w:tc>
          <w:tcPr>
            <w:tcW w:w="2376" w:type="dxa"/>
          </w:tcPr>
          <w:p w14:paraId="7DDFF62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моторами М-105 и 107</w:t>
            </w:r>
          </w:p>
        </w:tc>
        <w:tc>
          <w:tcPr>
            <w:tcW w:w="1418" w:type="dxa"/>
          </w:tcPr>
          <w:p w14:paraId="13F34390" w14:textId="77777777" w:rsidR="00AE7191" w:rsidRPr="001E2C69" w:rsidRDefault="00AE7191" w:rsidP="00722885">
            <w:pPr>
              <w:pStyle w:val="Iauiue"/>
              <w:jc w:val="both"/>
              <w:rPr>
                <w:color w:val="000000" w:themeColor="text1"/>
                <w:sz w:val="16"/>
                <w:szCs w:val="16"/>
              </w:rPr>
            </w:pPr>
          </w:p>
        </w:tc>
        <w:tc>
          <w:tcPr>
            <w:tcW w:w="919" w:type="dxa"/>
          </w:tcPr>
          <w:p w14:paraId="7673957E" w14:textId="77777777" w:rsidR="00AE7191" w:rsidRPr="001E2C69" w:rsidRDefault="00AE7191" w:rsidP="00722885">
            <w:pPr>
              <w:pStyle w:val="Iauiue"/>
              <w:jc w:val="both"/>
              <w:rPr>
                <w:color w:val="000000" w:themeColor="text1"/>
                <w:sz w:val="16"/>
                <w:szCs w:val="16"/>
              </w:rPr>
            </w:pPr>
          </w:p>
        </w:tc>
        <w:tc>
          <w:tcPr>
            <w:tcW w:w="1207" w:type="dxa"/>
          </w:tcPr>
          <w:p w14:paraId="4B3B0D17" w14:textId="77777777" w:rsidR="00AE7191" w:rsidRPr="001E2C69" w:rsidRDefault="00AE7191" w:rsidP="00722885">
            <w:pPr>
              <w:pStyle w:val="Iauiue"/>
              <w:jc w:val="both"/>
              <w:rPr>
                <w:color w:val="000000" w:themeColor="text1"/>
                <w:sz w:val="16"/>
                <w:szCs w:val="16"/>
              </w:rPr>
            </w:pPr>
          </w:p>
        </w:tc>
        <w:tc>
          <w:tcPr>
            <w:tcW w:w="866" w:type="dxa"/>
          </w:tcPr>
          <w:p w14:paraId="3372112F" w14:textId="77777777" w:rsidR="00AE7191" w:rsidRPr="001E2C69" w:rsidRDefault="00AE7191" w:rsidP="00722885">
            <w:pPr>
              <w:pStyle w:val="Iauiue"/>
              <w:jc w:val="both"/>
              <w:rPr>
                <w:color w:val="000000" w:themeColor="text1"/>
                <w:sz w:val="16"/>
                <w:szCs w:val="16"/>
              </w:rPr>
            </w:pPr>
          </w:p>
        </w:tc>
        <w:tc>
          <w:tcPr>
            <w:tcW w:w="3811" w:type="dxa"/>
          </w:tcPr>
          <w:p w14:paraId="3A0A0C25" w14:textId="77777777" w:rsidR="00AE7191" w:rsidRPr="001E2C69" w:rsidRDefault="00AE7191" w:rsidP="00722885">
            <w:pPr>
              <w:pStyle w:val="Iauiue"/>
              <w:jc w:val="both"/>
              <w:rPr>
                <w:color w:val="000000" w:themeColor="text1"/>
                <w:sz w:val="16"/>
                <w:szCs w:val="16"/>
              </w:rPr>
            </w:pPr>
          </w:p>
        </w:tc>
      </w:tr>
      <w:tr w:rsidR="001E2C69" w:rsidRPr="001E2C69" w14:paraId="29E65A28" w14:textId="77777777" w:rsidTr="00CC5360">
        <w:tc>
          <w:tcPr>
            <w:tcW w:w="2376" w:type="dxa"/>
          </w:tcPr>
          <w:p w14:paraId="1B5E860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III. Экспериментальные.</w:t>
            </w:r>
          </w:p>
        </w:tc>
        <w:tc>
          <w:tcPr>
            <w:tcW w:w="1418" w:type="dxa"/>
          </w:tcPr>
          <w:p w14:paraId="1448458F" w14:textId="77777777" w:rsidR="00AE7191" w:rsidRPr="001E2C69" w:rsidRDefault="00AE7191" w:rsidP="00722885">
            <w:pPr>
              <w:pStyle w:val="Iauiue"/>
              <w:jc w:val="both"/>
              <w:rPr>
                <w:color w:val="000000" w:themeColor="text1"/>
                <w:sz w:val="16"/>
                <w:szCs w:val="16"/>
              </w:rPr>
            </w:pPr>
          </w:p>
        </w:tc>
        <w:tc>
          <w:tcPr>
            <w:tcW w:w="919" w:type="dxa"/>
          </w:tcPr>
          <w:p w14:paraId="33A14D53" w14:textId="77777777" w:rsidR="00AE7191" w:rsidRPr="001E2C69" w:rsidRDefault="00AE7191" w:rsidP="00722885">
            <w:pPr>
              <w:pStyle w:val="Iauiue"/>
              <w:jc w:val="both"/>
              <w:rPr>
                <w:color w:val="000000" w:themeColor="text1"/>
                <w:sz w:val="16"/>
                <w:szCs w:val="16"/>
              </w:rPr>
            </w:pPr>
          </w:p>
        </w:tc>
        <w:tc>
          <w:tcPr>
            <w:tcW w:w="1207" w:type="dxa"/>
          </w:tcPr>
          <w:p w14:paraId="4E2042D7" w14:textId="77777777" w:rsidR="00AE7191" w:rsidRPr="001E2C69" w:rsidRDefault="00AE7191" w:rsidP="00722885">
            <w:pPr>
              <w:pStyle w:val="Iauiue"/>
              <w:jc w:val="both"/>
              <w:rPr>
                <w:color w:val="000000" w:themeColor="text1"/>
                <w:sz w:val="16"/>
                <w:szCs w:val="16"/>
              </w:rPr>
            </w:pPr>
          </w:p>
        </w:tc>
        <w:tc>
          <w:tcPr>
            <w:tcW w:w="866" w:type="dxa"/>
          </w:tcPr>
          <w:p w14:paraId="46B11C34" w14:textId="77777777" w:rsidR="00AE7191" w:rsidRPr="001E2C69" w:rsidRDefault="00AE7191" w:rsidP="00722885">
            <w:pPr>
              <w:pStyle w:val="Iauiue"/>
              <w:jc w:val="both"/>
              <w:rPr>
                <w:color w:val="000000" w:themeColor="text1"/>
                <w:sz w:val="16"/>
                <w:szCs w:val="16"/>
              </w:rPr>
            </w:pPr>
          </w:p>
        </w:tc>
        <w:tc>
          <w:tcPr>
            <w:tcW w:w="3811" w:type="dxa"/>
          </w:tcPr>
          <w:p w14:paraId="1393D886" w14:textId="77777777" w:rsidR="00AE7191" w:rsidRPr="001E2C69" w:rsidRDefault="00AE7191" w:rsidP="00722885">
            <w:pPr>
              <w:pStyle w:val="Iauiue"/>
              <w:jc w:val="both"/>
              <w:rPr>
                <w:color w:val="000000" w:themeColor="text1"/>
                <w:sz w:val="16"/>
                <w:szCs w:val="16"/>
              </w:rPr>
            </w:pPr>
          </w:p>
        </w:tc>
      </w:tr>
      <w:tr w:rsidR="001E2C69" w:rsidRPr="001E2C69" w14:paraId="11DF2D02" w14:textId="77777777" w:rsidTr="00CC5360">
        <w:tc>
          <w:tcPr>
            <w:tcW w:w="2376" w:type="dxa"/>
          </w:tcPr>
          <w:p w14:paraId="051D835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Одноместный истребитель</w:t>
            </w:r>
          </w:p>
        </w:tc>
        <w:tc>
          <w:tcPr>
            <w:tcW w:w="1418" w:type="dxa"/>
          </w:tcPr>
          <w:p w14:paraId="5843FC5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Гудков</w:t>
            </w:r>
          </w:p>
        </w:tc>
        <w:tc>
          <w:tcPr>
            <w:tcW w:w="919" w:type="dxa"/>
          </w:tcPr>
          <w:p w14:paraId="433472B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w:t>
            </w:r>
          </w:p>
        </w:tc>
        <w:tc>
          <w:tcPr>
            <w:tcW w:w="1207" w:type="dxa"/>
          </w:tcPr>
          <w:p w14:paraId="4E22B46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1.Х.42</w:t>
            </w:r>
          </w:p>
        </w:tc>
        <w:tc>
          <w:tcPr>
            <w:tcW w:w="866" w:type="dxa"/>
          </w:tcPr>
          <w:p w14:paraId="246F6A9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3000</w:t>
            </w:r>
          </w:p>
        </w:tc>
        <w:tc>
          <w:tcPr>
            <w:tcW w:w="3811" w:type="dxa"/>
          </w:tcPr>
          <w:p w14:paraId="615841BF" w14:textId="77777777" w:rsidR="00AE7191" w:rsidRPr="001E2C69" w:rsidRDefault="00AE7191" w:rsidP="00722885">
            <w:pPr>
              <w:pStyle w:val="Iauiue"/>
              <w:jc w:val="both"/>
              <w:rPr>
                <w:color w:val="000000" w:themeColor="text1"/>
                <w:sz w:val="16"/>
                <w:szCs w:val="16"/>
              </w:rPr>
            </w:pPr>
          </w:p>
        </w:tc>
      </w:tr>
      <w:tr w:rsidR="001E2C69" w:rsidRPr="001E2C69" w14:paraId="20FCA8AE" w14:textId="77777777" w:rsidTr="00CC5360">
        <w:tc>
          <w:tcPr>
            <w:tcW w:w="2376" w:type="dxa"/>
          </w:tcPr>
          <w:p w14:paraId="39CE596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мотором АМ-37 типа</w:t>
            </w:r>
          </w:p>
        </w:tc>
        <w:tc>
          <w:tcPr>
            <w:tcW w:w="1418" w:type="dxa"/>
          </w:tcPr>
          <w:p w14:paraId="3C49912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з-д 301</w:t>
            </w:r>
          </w:p>
        </w:tc>
        <w:tc>
          <w:tcPr>
            <w:tcW w:w="919" w:type="dxa"/>
          </w:tcPr>
          <w:p w14:paraId="6D53385F" w14:textId="77777777" w:rsidR="00AE7191" w:rsidRPr="001E2C69" w:rsidRDefault="00AE7191" w:rsidP="00722885">
            <w:pPr>
              <w:pStyle w:val="Iauiue"/>
              <w:jc w:val="both"/>
              <w:rPr>
                <w:color w:val="000000" w:themeColor="text1"/>
                <w:sz w:val="16"/>
                <w:szCs w:val="16"/>
              </w:rPr>
            </w:pPr>
          </w:p>
        </w:tc>
        <w:tc>
          <w:tcPr>
            <w:tcW w:w="1207" w:type="dxa"/>
          </w:tcPr>
          <w:p w14:paraId="2CA68A3A" w14:textId="77777777" w:rsidR="00AE7191" w:rsidRPr="001E2C69" w:rsidRDefault="00AE7191" w:rsidP="00722885">
            <w:pPr>
              <w:pStyle w:val="Iauiue"/>
              <w:jc w:val="both"/>
              <w:rPr>
                <w:color w:val="000000" w:themeColor="text1"/>
                <w:sz w:val="16"/>
                <w:szCs w:val="16"/>
              </w:rPr>
            </w:pPr>
          </w:p>
        </w:tc>
        <w:tc>
          <w:tcPr>
            <w:tcW w:w="866" w:type="dxa"/>
          </w:tcPr>
          <w:p w14:paraId="0C119456" w14:textId="77777777" w:rsidR="00AE7191" w:rsidRPr="001E2C69" w:rsidRDefault="00AE7191" w:rsidP="00722885">
            <w:pPr>
              <w:pStyle w:val="Iauiue"/>
              <w:jc w:val="both"/>
              <w:rPr>
                <w:color w:val="000000" w:themeColor="text1"/>
                <w:sz w:val="16"/>
                <w:szCs w:val="16"/>
              </w:rPr>
            </w:pPr>
          </w:p>
        </w:tc>
        <w:tc>
          <w:tcPr>
            <w:tcW w:w="3811" w:type="dxa"/>
          </w:tcPr>
          <w:p w14:paraId="197462BD" w14:textId="77777777" w:rsidR="00AE7191" w:rsidRPr="001E2C69" w:rsidRDefault="00AE7191" w:rsidP="00722885">
            <w:pPr>
              <w:pStyle w:val="Iauiue"/>
              <w:jc w:val="both"/>
              <w:rPr>
                <w:color w:val="000000" w:themeColor="text1"/>
                <w:sz w:val="16"/>
                <w:szCs w:val="16"/>
              </w:rPr>
            </w:pPr>
          </w:p>
        </w:tc>
      </w:tr>
      <w:tr w:rsidR="001E2C69" w:rsidRPr="001E2C69" w14:paraId="5C001AF1" w14:textId="77777777" w:rsidTr="00CC5360">
        <w:tc>
          <w:tcPr>
            <w:tcW w:w="2376" w:type="dxa"/>
          </w:tcPr>
          <w:p w14:paraId="17DFE1A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"Аэрокобра"</w:t>
            </w:r>
          </w:p>
        </w:tc>
        <w:tc>
          <w:tcPr>
            <w:tcW w:w="1418" w:type="dxa"/>
          </w:tcPr>
          <w:p w14:paraId="02E046E5" w14:textId="77777777" w:rsidR="00AE7191" w:rsidRPr="001E2C69" w:rsidRDefault="00AE7191" w:rsidP="00722885">
            <w:pPr>
              <w:pStyle w:val="Iauiue"/>
              <w:jc w:val="both"/>
              <w:rPr>
                <w:color w:val="000000" w:themeColor="text1"/>
                <w:sz w:val="16"/>
                <w:szCs w:val="16"/>
              </w:rPr>
            </w:pPr>
          </w:p>
        </w:tc>
        <w:tc>
          <w:tcPr>
            <w:tcW w:w="919" w:type="dxa"/>
          </w:tcPr>
          <w:p w14:paraId="710C6B65" w14:textId="77777777" w:rsidR="00AE7191" w:rsidRPr="001E2C69" w:rsidRDefault="00AE7191" w:rsidP="00722885">
            <w:pPr>
              <w:pStyle w:val="Iauiue"/>
              <w:jc w:val="both"/>
              <w:rPr>
                <w:color w:val="000000" w:themeColor="text1"/>
                <w:sz w:val="16"/>
                <w:szCs w:val="16"/>
              </w:rPr>
            </w:pPr>
          </w:p>
        </w:tc>
        <w:tc>
          <w:tcPr>
            <w:tcW w:w="1207" w:type="dxa"/>
          </w:tcPr>
          <w:p w14:paraId="04810858" w14:textId="77777777" w:rsidR="00AE7191" w:rsidRPr="001E2C69" w:rsidRDefault="00AE7191" w:rsidP="00722885">
            <w:pPr>
              <w:pStyle w:val="Iauiue"/>
              <w:jc w:val="both"/>
              <w:rPr>
                <w:color w:val="000000" w:themeColor="text1"/>
                <w:sz w:val="16"/>
                <w:szCs w:val="16"/>
              </w:rPr>
            </w:pPr>
          </w:p>
        </w:tc>
        <w:tc>
          <w:tcPr>
            <w:tcW w:w="866" w:type="dxa"/>
          </w:tcPr>
          <w:p w14:paraId="6529CBBE" w14:textId="77777777" w:rsidR="00AE7191" w:rsidRPr="001E2C69" w:rsidRDefault="00AE7191" w:rsidP="00722885">
            <w:pPr>
              <w:pStyle w:val="Iauiue"/>
              <w:jc w:val="both"/>
              <w:rPr>
                <w:color w:val="000000" w:themeColor="text1"/>
                <w:sz w:val="16"/>
                <w:szCs w:val="16"/>
              </w:rPr>
            </w:pPr>
          </w:p>
        </w:tc>
        <w:tc>
          <w:tcPr>
            <w:tcW w:w="3811" w:type="dxa"/>
          </w:tcPr>
          <w:p w14:paraId="0F7A2592" w14:textId="77777777" w:rsidR="00AE7191" w:rsidRPr="001E2C69" w:rsidRDefault="00AE7191" w:rsidP="00722885">
            <w:pPr>
              <w:pStyle w:val="Iauiue"/>
              <w:jc w:val="both"/>
              <w:rPr>
                <w:color w:val="000000" w:themeColor="text1"/>
                <w:sz w:val="16"/>
                <w:szCs w:val="16"/>
              </w:rPr>
            </w:pPr>
          </w:p>
        </w:tc>
      </w:tr>
      <w:tr w:rsidR="001E2C69" w:rsidRPr="001E2C69" w14:paraId="2FC5ED64" w14:textId="77777777" w:rsidTr="00CC5360">
        <w:tc>
          <w:tcPr>
            <w:tcW w:w="2376" w:type="dxa"/>
          </w:tcPr>
          <w:p w14:paraId="0B1685A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Одноместный истребитель</w:t>
            </w:r>
          </w:p>
        </w:tc>
        <w:tc>
          <w:tcPr>
            <w:tcW w:w="1418" w:type="dxa"/>
          </w:tcPr>
          <w:p w14:paraId="7A11A23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Болховитинов</w:t>
            </w:r>
          </w:p>
        </w:tc>
        <w:tc>
          <w:tcPr>
            <w:tcW w:w="919" w:type="dxa"/>
          </w:tcPr>
          <w:p w14:paraId="118A112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w:t>
            </w:r>
          </w:p>
        </w:tc>
        <w:tc>
          <w:tcPr>
            <w:tcW w:w="1207" w:type="dxa"/>
          </w:tcPr>
          <w:p w14:paraId="78C1872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25.IV.42</w:t>
            </w:r>
          </w:p>
        </w:tc>
        <w:tc>
          <w:tcPr>
            <w:tcW w:w="866" w:type="dxa"/>
          </w:tcPr>
          <w:p w14:paraId="336A7F3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2500</w:t>
            </w:r>
          </w:p>
        </w:tc>
        <w:tc>
          <w:tcPr>
            <w:tcW w:w="3811" w:type="dxa"/>
          </w:tcPr>
          <w:p w14:paraId="179E523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Летные испытания и доводки</w:t>
            </w:r>
          </w:p>
        </w:tc>
      </w:tr>
      <w:tr w:rsidR="001E2C69" w:rsidRPr="001E2C69" w14:paraId="1D6FA609" w14:textId="77777777" w:rsidTr="00CC5360">
        <w:tc>
          <w:tcPr>
            <w:tcW w:w="2376" w:type="dxa"/>
          </w:tcPr>
          <w:p w14:paraId="5730D92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перехватчик с реактивным</w:t>
            </w:r>
          </w:p>
        </w:tc>
        <w:tc>
          <w:tcPr>
            <w:tcW w:w="1418" w:type="dxa"/>
          </w:tcPr>
          <w:p w14:paraId="0806FC5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з-д 293</w:t>
            </w:r>
          </w:p>
        </w:tc>
        <w:tc>
          <w:tcPr>
            <w:tcW w:w="919" w:type="dxa"/>
          </w:tcPr>
          <w:p w14:paraId="0F0A78C9" w14:textId="77777777" w:rsidR="00AE7191" w:rsidRPr="001E2C69" w:rsidRDefault="00AE7191" w:rsidP="00722885">
            <w:pPr>
              <w:pStyle w:val="Iauiue"/>
              <w:jc w:val="both"/>
              <w:rPr>
                <w:color w:val="000000" w:themeColor="text1"/>
                <w:sz w:val="16"/>
                <w:szCs w:val="16"/>
              </w:rPr>
            </w:pPr>
          </w:p>
        </w:tc>
        <w:tc>
          <w:tcPr>
            <w:tcW w:w="1207" w:type="dxa"/>
          </w:tcPr>
          <w:p w14:paraId="1FC863D4" w14:textId="77777777" w:rsidR="00AE7191" w:rsidRPr="001E2C69" w:rsidRDefault="00AE7191" w:rsidP="00722885">
            <w:pPr>
              <w:pStyle w:val="Iauiue"/>
              <w:jc w:val="both"/>
              <w:rPr>
                <w:color w:val="000000" w:themeColor="text1"/>
                <w:sz w:val="16"/>
                <w:szCs w:val="16"/>
              </w:rPr>
            </w:pPr>
          </w:p>
        </w:tc>
        <w:tc>
          <w:tcPr>
            <w:tcW w:w="866" w:type="dxa"/>
          </w:tcPr>
          <w:p w14:paraId="65AA8751" w14:textId="77777777" w:rsidR="00AE7191" w:rsidRPr="001E2C69" w:rsidRDefault="00AE7191" w:rsidP="00722885">
            <w:pPr>
              <w:pStyle w:val="Iauiue"/>
              <w:jc w:val="both"/>
              <w:rPr>
                <w:color w:val="000000" w:themeColor="text1"/>
                <w:sz w:val="16"/>
                <w:szCs w:val="16"/>
              </w:rPr>
            </w:pPr>
          </w:p>
        </w:tc>
        <w:tc>
          <w:tcPr>
            <w:tcW w:w="3811" w:type="dxa"/>
          </w:tcPr>
          <w:p w14:paraId="5A161D52" w14:textId="77777777" w:rsidR="00AE7191" w:rsidRPr="001E2C69" w:rsidRDefault="00AE7191" w:rsidP="00722885">
            <w:pPr>
              <w:pStyle w:val="Iauiue"/>
              <w:jc w:val="both"/>
              <w:rPr>
                <w:color w:val="000000" w:themeColor="text1"/>
                <w:sz w:val="16"/>
                <w:szCs w:val="16"/>
              </w:rPr>
            </w:pPr>
          </w:p>
        </w:tc>
      </w:tr>
      <w:tr w:rsidR="001E2C69" w:rsidRPr="001E2C69" w14:paraId="067B9475" w14:textId="77777777" w:rsidTr="00CC5360">
        <w:tc>
          <w:tcPr>
            <w:tcW w:w="2376" w:type="dxa"/>
          </w:tcPr>
          <w:p w14:paraId="5F41798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двигателем</w:t>
            </w:r>
          </w:p>
        </w:tc>
        <w:tc>
          <w:tcPr>
            <w:tcW w:w="1418" w:type="dxa"/>
          </w:tcPr>
          <w:p w14:paraId="6DE08DE7" w14:textId="77777777" w:rsidR="00AE7191" w:rsidRPr="001E2C69" w:rsidRDefault="00AE7191" w:rsidP="00722885">
            <w:pPr>
              <w:pStyle w:val="Iauiue"/>
              <w:jc w:val="both"/>
              <w:rPr>
                <w:color w:val="000000" w:themeColor="text1"/>
                <w:sz w:val="16"/>
                <w:szCs w:val="16"/>
              </w:rPr>
            </w:pPr>
          </w:p>
        </w:tc>
        <w:tc>
          <w:tcPr>
            <w:tcW w:w="919" w:type="dxa"/>
          </w:tcPr>
          <w:p w14:paraId="5AB0D0E6" w14:textId="77777777" w:rsidR="00AE7191" w:rsidRPr="001E2C69" w:rsidRDefault="00AE7191" w:rsidP="00722885">
            <w:pPr>
              <w:pStyle w:val="Iauiue"/>
              <w:jc w:val="both"/>
              <w:rPr>
                <w:color w:val="000000" w:themeColor="text1"/>
                <w:sz w:val="16"/>
                <w:szCs w:val="16"/>
              </w:rPr>
            </w:pPr>
          </w:p>
        </w:tc>
        <w:tc>
          <w:tcPr>
            <w:tcW w:w="1207" w:type="dxa"/>
          </w:tcPr>
          <w:p w14:paraId="4C4AFCAB" w14:textId="77777777" w:rsidR="00AE7191" w:rsidRPr="001E2C69" w:rsidRDefault="00AE7191" w:rsidP="00722885">
            <w:pPr>
              <w:pStyle w:val="Iauiue"/>
              <w:jc w:val="both"/>
              <w:rPr>
                <w:color w:val="000000" w:themeColor="text1"/>
                <w:sz w:val="16"/>
                <w:szCs w:val="16"/>
              </w:rPr>
            </w:pPr>
          </w:p>
        </w:tc>
        <w:tc>
          <w:tcPr>
            <w:tcW w:w="866" w:type="dxa"/>
          </w:tcPr>
          <w:p w14:paraId="73CC0249" w14:textId="77777777" w:rsidR="00AE7191" w:rsidRPr="001E2C69" w:rsidRDefault="00AE7191" w:rsidP="00722885">
            <w:pPr>
              <w:pStyle w:val="Iauiue"/>
              <w:jc w:val="both"/>
              <w:rPr>
                <w:color w:val="000000" w:themeColor="text1"/>
                <w:sz w:val="16"/>
                <w:szCs w:val="16"/>
              </w:rPr>
            </w:pPr>
          </w:p>
        </w:tc>
        <w:tc>
          <w:tcPr>
            <w:tcW w:w="3811" w:type="dxa"/>
          </w:tcPr>
          <w:p w14:paraId="7480A660" w14:textId="77777777" w:rsidR="00AE7191" w:rsidRPr="001E2C69" w:rsidRDefault="00AE7191" w:rsidP="00722885">
            <w:pPr>
              <w:pStyle w:val="Iauiue"/>
              <w:jc w:val="both"/>
              <w:rPr>
                <w:color w:val="000000" w:themeColor="text1"/>
                <w:sz w:val="16"/>
                <w:szCs w:val="16"/>
              </w:rPr>
            </w:pPr>
          </w:p>
        </w:tc>
      </w:tr>
      <w:tr w:rsidR="001E2C69" w:rsidRPr="001E2C69" w14:paraId="21F86B5C" w14:textId="77777777" w:rsidTr="00CC5360">
        <w:tc>
          <w:tcPr>
            <w:tcW w:w="2376" w:type="dxa"/>
          </w:tcPr>
          <w:p w14:paraId="4DFB0F6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Самолет Пе-2 со</w:t>
            </w:r>
          </w:p>
        </w:tc>
        <w:tc>
          <w:tcPr>
            <w:tcW w:w="1418" w:type="dxa"/>
          </w:tcPr>
          <w:p w14:paraId="338B373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Надирадзе</w:t>
            </w:r>
          </w:p>
        </w:tc>
        <w:tc>
          <w:tcPr>
            <w:tcW w:w="919" w:type="dxa"/>
          </w:tcPr>
          <w:p w14:paraId="7ED20D6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w:t>
            </w:r>
          </w:p>
        </w:tc>
        <w:tc>
          <w:tcPr>
            <w:tcW w:w="1207" w:type="dxa"/>
          </w:tcPr>
          <w:p w14:paraId="5B59DD4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1.VII.42</w:t>
            </w:r>
          </w:p>
        </w:tc>
        <w:tc>
          <w:tcPr>
            <w:tcW w:w="866" w:type="dxa"/>
          </w:tcPr>
          <w:p w14:paraId="218A95C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700</w:t>
            </w:r>
          </w:p>
        </w:tc>
        <w:tc>
          <w:tcPr>
            <w:tcW w:w="3811" w:type="dxa"/>
          </w:tcPr>
          <w:p w14:paraId="5CA0DAD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Летные испытания и доводки</w:t>
            </w:r>
          </w:p>
        </w:tc>
      </w:tr>
      <w:tr w:rsidR="001E2C69" w:rsidRPr="001E2C69" w14:paraId="357ABBD0" w14:textId="77777777" w:rsidTr="00CC5360">
        <w:tc>
          <w:tcPr>
            <w:tcW w:w="2376" w:type="dxa"/>
          </w:tcPr>
          <w:p w14:paraId="523B688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специальными</w:t>
            </w:r>
          </w:p>
        </w:tc>
        <w:tc>
          <w:tcPr>
            <w:tcW w:w="1418" w:type="dxa"/>
          </w:tcPr>
          <w:p w14:paraId="4C27225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Ефремов</w:t>
            </w:r>
          </w:p>
        </w:tc>
        <w:tc>
          <w:tcPr>
            <w:tcW w:w="919" w:type="dxa"/>
          </w:tcPr>
          <w:p w14:paraId="145E69FC" w14:textId="77777777" w:rsidR="00AE7191" w:rsidRPr="001E2C69" w:rsidRDefault="00AE7191" w:rsidP="00722885">
            <w:pPr>
              <w:pStyle w:val="Iauiue"/>
              <w:jc w:val="both"/>
              <w:rPr>
                <w:color w:val="000000" w:themeColor="text1"/>
                <w:sz w:val="16"/>
                <w:szCs w:val="16"/>
              </w:rPr>
            </w:pPr>
          </w:p>
        </w:tc>
        <w:tc>
          <w:tcPr>
            <w:tcW w:w="1207" w:type="dxa"/>
          </w:tcPr>
          <w:p w14:paraId="0514A95D" w14:textId="77777777" w:rsidR="00AE7191" w:rsidRPr="001E2C69" w:rsidRDefault="00AE7191" w:rsidP="00722885">
            <w:pPr>
              <w:pStyle w:val="Iauiue"/>
              <w:jc w:val="both"/>
              <w:rPr>
                <w:color w:val="000000" w:themeColor="text1"/>
                <w:sz w:val="16"/>
                <w:szCs w:val="16"/>
              </w:rPr>
            </w:pPr>
          </w:p>
        </w:tc>
        <w:tc>
          <w:tcPr>
            <w:tcW w:w="866" w:type="dxa"/>
          </w:tcPr>
          <w:p w14:paraId="04B20CD6" w14:textId="77777777" w:rsidR="00AE7191" w:rsidRPr="001E2C69" w:rsidRDefault="00AE7191" w:rsidP="00722885">
            <w:pPr>
              <w:pStyle w:val="Iauiue"/>
              <w:jc w:val="both"/>
              <w:rPr>
                <w:color w:val="000000" w:themeColor="text1"/>
                <w:sz w:val="16"/>
                <w:szCs w:val="16"/>
              </w:rPr>
            </w:pPr>
          </w:p>
        </w:tc>
        <w:tc>
          <w:tcPr>
            <w:tcW w:w="3811" w:type="dxa"/>
          </w:tcPr>
          <w:p w14:paraId="3DA31C20" w14:textId="77777777" w:rsidR="00AE7191" w:rsidRPr="001E2C69" w:rsidRDefault="00AE7191" w:rsidP="00722885">
            <w:pPr>
              <w:pStyle w:val="Iauiue"/>
              <w:jc w:val="both"/>
              <w:rPr>
                <w:color w:val="000000" w:themeColor="text1"/>
                <w:sz w:val="16"/>
                <w:szCs w:val="16"/>
              </w:rPr>
            </w:pPr>
          </w:p>
        </w:tc>
      </w:tr>
      <w:tr w:rsidR="001E2C69" w:rsidRPr="001E2C69" w14:paraId="3174DE64" w14:textId="77777777" w:rsidTr="00CC5360">
        <w:tc>
          <w:tcPr>
            <w:tcW w:w="2376" w:type="dxa"/>
          </w:tcPr>
          <w:p w14:paraId="4083D94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взлетно-посадочными</w:t>
            </w:r>
          </w:p>
        </w:tc>
        <w:tc>
          <w:tcPr>
            <w:tcW w:w="1418" w:type="dxa"/>
          </w:tcPr>
          <w:p w14:paraId="1D3353E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з-д 22</w:t>
            </w:r>
          </w:p>
        </w:tc>
        <w:tc>
          <w:tcPr>
            <w:tcW w:w="919" w:type="dxa"/>
          </w:tcPr>
          <w:p w14:paraId="5526C053" w14:textId="77777777" w:rsidR="00AE7191" w:rsidRPr="001E2C69" w:rsidRDefault="00AE7191" w:rsidP="00722885">
            <w:pPr>
              <w:pStyle w:val="Iauiue"/>
              <w:jc w:val="both"/>
              <w:rPr>
                <w:color w:val="000000" w:themeColor="text1"/>
                <w:sz w:val="16"/>
                <w:szCs w:val="16"/>
              </w:rPr>
            </w:pPr>
          </w:p>
        </w:tc>
        <w:tc>
          <w:tcPr>
            <w:tcW w:w="1207" w:type="dxa"/>
          </w:tcPr>
          <w:p w14:paraId="4AAD1036" w14:textId="77777777" w:rsidR="00AE7191" w:rsidRPr="001E2C69" w:rsidRDefault="00AE7191" w:rsidP="00722885">
            <w:pPr>
              <w:pStyle w:val="Iauiue"/>
              <w:jc w:val="both"/>
              <w:rPr>
                <w:color w:val="000000" w:themeColor="text1"/>
                <w:sz w:val="16"/>
                <w:szCs w:val="16"/>
              </w:rPr>
            </w:pPr>
          </w:p>
        </w:tc>
        <w:tc>
          <w:tcPr>
            <w:tcW w:w="866" w:type="dxa"/>
          </w:tcPr>
          <w:p w14:paraId="6C53BC35" w14:textId="77777777" w:rsidR="00AE7191" w:rsidRPr="001E2C69" w:rsidRDefault="00AE7191" w:rsidP="00722885">
            <w:pPr>
              <w:pStyle w:val="Iauiue"/>
              <w:jc w:val="both"/>
              <w:rPr>
                <w:color w:val="000000" w:themeColor="text1"/>
                <w:sz w:val="16"/>
                <w:szCs w:val="16"/>
              </w:rPr>
            </w:pPr>
          </w:p>
        </w:tc>
        <w:tc>
          <w:tcPr>
            <w:tcW w:w="3811" w:type="dxa"/>
          </w:tcPr>
          <w:p w14:paraId="6368403A" w14:textId="77777777" w:rsidR="00AE7191" w:rsidRPr="001E2C69" w:rsidRDefault="00AE7191" w:rsidP="00722885">
            <w:pPr>
              <w:pStyle w:val="Iauiue"/>
              <w:jc w:val="both"/>
              <w:rPr>
                <w:color w:val="000000" w:themeColor="text1"/>
                <w:sz w:val="16"/>
                <w:szCs w:val="16"/>
              </w:rPr>
            </w:pPr>
          </w:p>
        </w:tc>
      </w:tr>
      <w:tr w:rsidR="001E2C69" w:rsidRPr="001E2C69" w14:paraId="7B2F310B" w14:textId="77777777" w:rsidTr="00CC5360">
        <w:tc>
          <w:tcPr>
            <w:tcW w:w="2376" w:type="dxa"/>
          </w:tcPr>
          <w:p w14:paraId="6B847CB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приспособлениями</w:t>
            </w:r>
          </w:p>
        </w:tc>
        <w:tc>
          <w:tcPr>
            <w:tcW w:w="1418" w:type="dxa"/>
          </w:tcPr>
          <w:p w14:paraId="54B06E63" w14:textId="77777777" w:rsidR="00AE7191" w:rsidRPr="001E2C69" w:rsidRDefault="00AE7191" w:rsidP="00722885">
            <w:pPr>
              <w:pStyle w:val="Iauiue"/>
              <w:jc w:val="both"/>
              <w:rPr>
                <w:color w:val="000000" w:themeColor="text1"/>
                <w:sz w:val="16"/>
                <w:szCs w:val="16"/>
              </w:rPr>
            </w:pPr>
          </w:p>
        </w:tc>
        <w:tc>
          <w:tcPr>
            <w:tcW w:w="919" w:type="dxa"/>
          </w:tcPr>
          <w:p w14:paraId="0F87AEF3" w14:textId="77777777" w:rsidR="00AE7191" w:rsidRPr="001E2C69" w:rsidRDefault="00AE7191" w:rsidP="00722885">
            <w:pPr>
              <w:pStyle w:val="Iauiue"/>
              <w:jc w:val="both"/>
              <w:rPr>
                <w:color w:val="000000" w:themeColor="text1"/>
                <w:sz w:val="16"/>
                <w:szCs w:val="16"/>
              </w:rPr>
            </w:pPr>
          </w:p>
        </w:tc>
        <w:tc>
          <w:tcPr>
            <w:tcW w:w="1207" w:type="dxa"/>
          </w:tcPr>
          <w:p w14:paraId="634F51BA" w14:textId="77777777" w:rsidR="00AE7191" w:rsidRPr="001E2C69" w:rsidRDefault="00AE7191" w:rsidP="00722885">
            <w:pPr>
              <w:pStyle w:val="Iauiue"/>
              <w:jc w:val="both"/>
              <w:rPr>
                <w:color w:val="000000" w:themeColor="text1"/>
                <w:sz w:val="16"/>
                <w:szCs w:val="16"/>
              </w:rPr>
            </w:pPr>
          </w:p>
        </w:tc>
        <w:tc>
          <w:tcPr>
            <w:tcW w:w="866" w:type="dxa"/>
          </w:tcPr>
          <w:p w14:paraId="74FF4846" w14:textId="77777777" w:rsidR="00AE7191" w:rsidRPr="001E2C69" w:rsidRDefault="00AE7191" w:rsidP="00722885">
            <w:pPr>
              <w:pStyle w:val="Iauiue"/>
              <w:jc w:val="both"/>
              <w:rPr>
                <w:color w:val="000000" w:themeColor="text1"/>
                <w:sz w:val="16"/>
                <w:szCs w:val="16"/>
              </w:rPr>
            </w:pPr>
          </w:p>
        </w:tc>
        <w:tc>
          <w:tcPr>
            <w:tcW w:w="3811" w:type="dxa"/>
          </w:tcPr>
          <w:p w14:paraId="0084A15E" w14:textId="77777777" w:rsidR="00AE7191" w:rsidRPr="001E2C69" w:rsidRDefault="00AE7191" w:rsidP="00722885">
            <w:pPr>
              <w:pStyle w:val="Iauiue"/>
              <w:jc w:val="both"/>
              <w:rPr>
                <w:color w:val="000000" w:themeColor="text1"/>
                <w:sz w:val="16"/>
                <w:szCs w:val="16"/>
              </w:rPr>
            </w:pPr>
          </w:p>
        </w:tc>
      </w:tr>
      <w:tr w:rsidR="001E2C69" w:rsidRPr="001E2C69" w14:paraId="177E0E46" w14:textId="77777777" w:rsidTr="00CC5360">
        <w:tc>
          <w:tcPr>
            <w:tcW w:w="2376" w:type="dxa"/>
          </w:tcPr>
          <w:p w14:paraId="5C795F0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Геликоптер с двумя</w:t>
            </w:r>
          </w:p>
        </w:tc>
        <w:tc>
          <w:tcPr>
            <w:tcW w:w="1418" w:type="dxa"/>
          </w:tcPr>
          <w:p w14:paraId="37400B8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Братухин</w:t>
            </w:r>
          </w:p>
        </w:tc>
        <w:tc>
          <w:tcPr>
            <w:tcW w:w="919" w:type="dxa"/>
          </w:tcPr>
          <w:p w14:paraId="2F070E6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w:t>
            </w:r>
          </w:p>
        </w:tc>
        <w:tc>
          <w:tcPr>
            <w:tcW w:w="1207" w:type="dxa"/>
          </w:tcPr>
          <w:p w14:paraId="3CC0C03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1.УШ.42 на летные испытания</w:t>
            </w:r>
          </w:p>
        </w:tc>
        <w:tc>
          <w:tcPr>
            <w:tcW w:w="866" w:type="dxa"/>
          </w:tcPr>
          <w:p w14:paraId="499AD14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700</w:t>
            </w:r>
          </w:p>
        </w:tc>
        <w:tc>
          <w:tcPr>
            <w:tcW w:w="3811" w:type="dxa"/>
          </w:tcPr>
          <w:p w14:paraId="535C5036" w14:textId="77777777" w:rsidR="00AE7191" w:rsidRPr="001E2C69" w:rsidRDefault="00AE7191" w:rsidP="00722885">
            <w:pPr>
              <w:pStyle w:val="Iauiue"/>
              <w:jc w:val="both"/>
              <w:rPr>
                <w:color w:val="000000" w:themeColor="text1"/>
                <w:sz w:val="16"/>
                <w:szCs w:val="16"/>
              </w:rPr>
            </w:pPr>
          </w:p>
        </w:tc>
      </w:tr>
      <w:tr w:rsidR="001E2C69" w:rsidRPr="001E2C69" w14:paraId="44B1E8DB" w14:textId="77777777" w:rsidTr="00CC5360">
        <w:tc>
          <w:tcPr>
            <w:tcW w:w="2376" w:type="dxa"/>
          </w:tcPr>
          <w:p w14:paraId="59F6410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моторами МВ-6</w:t>
            </w:r>
          </w:p>
        </w:tc>
        <w:tc>
          <w:tcPr>
            <w:tcW w:w="1418" w:type="dxa"/>
          </w:tcPr>
          <w:p w14:paraId="572ACE0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МАИ</w:t>
            </w:r>
          </w:p>
        </w:tc>
        <w:tc>
          <w:tcPr>
            <w:tcW w:w="919" w:type="dxa"/>
          </w:tcPr>
          <w:p w14:paraId="202F3D90" w14:textId="77777777" w:rsidR="00AE7191" w:rsidRPr="001E2C69" w:rsidRDefault="00AE7191" w:rsidP="00722885">
            <w:pPr>
              <w:pStyle w:val="Iauiue"/>
              <w:jc w:val="both"/>
              <w:rPr>
                <w:color w:val="000000" w:themeColor="text1"/>
                <w:sz w:val="16"/>
                <w:szCs w:val="16"/>
              </w:rPr>
            </w:pPr>
          </w:p>
        </w:tc>
        <w:tc>
          <w:tcPr>
            <w:tcW w:w="1207" w:type="dxa"/>
          </w:tcPr>
          <w:p w14:paraId="4F596E51" w14:textId="77777777" w:rsidR="00AE7191" w:rsidRPr="001E2C69" w:rsidRDefault="00AE7191" w:rsidP="00722885">
            <w:pPr>
              <w:pStyle w:val="Iauiue"/>
              <w:jc w:val="both"/>
              <w:rPr>
                <w:color w:val="000000" w:themeColor="text1"/>
                <w:sz w:val="16"/>
                <w:szCs w:val="16"/>
              </w:rPr>
            </w:pPr>
          </w:p>
        </w:tc>
        <w:tc>
          <w:tcPr>
            <w:tcW w:w="866" w:type="dxa"/>
          </w:tcPr>
          <w:p w14:paraId="34E9EB53" w14:textId="77777777" w:rsidR="00AE7191" w:rsidRPr="001E2C69" w:rsidRDefault="00AE7191" w:rsidP="00722885">
            <w:pPr>
              <w:pStyle w:val="Iauiue"/>
              <w:jc w:val="both"/>
              <w:rPr>
                <w:color w:val="000000" w:themeColor="text1"/>
                <w:sz w:val="16"/>
                <w:szCs w:val="16"/>
              </w:rPr>
            </w:pPr>
          </w:p>
        </w:tc>
        <w:tc>
          <w:tcPr>
            <w:tcW w:w="3811" w:type="dxa"/>
          </w:tcPr>
          <w:p w14:paraId="0CF59716" w14:textId="77777777" w:rsidR="00AE7191" w:rsidRPr="001E2C69" w:rsidRDefault="00AE7191" w:rsidP="00722885">
            <w:pPr>
              <w:pStyle w:val="Iauiue"/>
              <w:jc w:val="both"/>
              <w:rPr>
                <w:color w:val="000000" w:themeColor="text1"/>
                <w:sz w:val="16"/>
                <w:szCs w:val="16"/>
              </w:rPr>
            </w:pPr>
          </w:p>
        </w:tc>
      </w:tr>
      <w:tr w:rsidR="001E2C69" w:rsidRPr="001E2C69" w14:paraId="3C0505FC" w14:textId="77777777" w:rsidTr="00CC5360">
        <w:tc>
          <w:tcPr>
            <w:tcW w:w="2376" w:type="dxa"/>
          </w:tcPr>
          <w:p w14:paraId="783EE66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Автожир АК, взлетающий без разбега</w:t>
            </w:r>
          </w:p>
        </w:tc>
        <w:tc>
          <w:tcPr>
            <w:tcW w:w="1418" w:type="dxa"/>
          </w:tcPr>
          <w:p w14:paraId="201B181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Камов</w:t>
            </w:r>
          </w:p>
          <w:p w14:paraId="4A7866F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290</w:t>
            </w:r>
          </w:p>
        </w:tc>
        <w:tc>
          <w:tcPr>
            <w:tcW w:w="919" w:type="dxa"/>
          </w:tcPr>
          <w:p w14:paraId="0812596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w:t>
            </w:r>
          </w:p>
        </w:tc>
        <w:tc>
          <w:tcPr>
            <w:tcW w:w="1207" w:type="dxa"/>
          </w:tcPr>
          <w:p w14:paraId="42FBEE0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15Х1ю42</w:t>
            </w:r>
          </w:p>
        </w:tc>
        <w:tc>
          <w:tcPr>
            <w:tcW w:w="866" w:type="dxa"/>
          </w:tcPr>
          <w:p w14:paraId="55E74BD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1000</w:t>
            </w:r>
          </w:p>
        </w:tc>
        <w:tc>
          <w:tcPr>
            <w:tcW w:w="3811" w:type="dxa"/>
          </w:tcPr>
          <w:p w14:paraId="2554A9DB" w14:textId="77777777" w:rsidR="00AE7191" w:rsidRPr="001E2C69" w:rsidRDefault="00AE7191" w:rsidP="00722885">
            <w:pPr>
              <w:pStyle w:val="Iauiue"/>
              <w:jc w:val="both"/>
              <w:rPr>
                <w:color w:val="000000" w:themeColor="text1"/>
                <w:sz w:val="16"/>
                <w:szCs w:val="16"/>
              </w:rPr>
            </w:pPr>
          </w:p>
        </w:tc>
      </w:tr>
      <w:tr w:rsidR="001E2C69" w:rsidRPr="001E2C69" w14:paraId="1DE71B77" w14:textId="77777777" w:rsidTr="00CC5360">
        <w:tc>
          <w:tcPr>
            <w:tcW w:w="2376" w:type="dxa"/>
            <w:tcBorders>
              <w:bottom w:val="single" w:sz="12" w:space="0" w:color="auto"/>
            </w:tcBorders>
          </w:tcPr>
          <w:p w14:paraId="27C35CB4" w14:textId="77777777" w:rsidR="00AE7191" w:rsidRPr="001E2C69" w:rsidRDefault="00AE7191" w:rsidP="00722885">
            <w:pPr>
              <w:pStyle w:val="Iauiue"/>
              <w:jc w:val="both"/>
              <w:rPr>
                <w:color w:val="000000" w:themeColor="text1"/>
                <w:sz w:val="16"/>
                <w:szCs w:val="16"/>
              </w:rPr>
            </w:pPr>
          </w:p>
        </w:tc>
        <w:tc>
          <w:tcPr>
            <w:tcW w:w="1418" w:type="dxa"/>
            <w:tcBorders>
              <w:bottom w:val="single" w:sz="12" w:space="0" w:color="auto"/>
            </w:tcBorders>
          </w:tcPr>
          <w:p w14:paraId="0CC83C29" w14:textId="77777777" w:rsidR="00AE7191" w:rsidRPr="001E2C69" w:rsidRDefault="00AE7191" w:rsidP="00722885">
            <w:pPr>
              <w:pStyle w:val="Iauiue"/>
              <w:jc w:val="both"/>
              <w:rPr>
                <w:color w:val="000000" w:themeColor="text1"/>
                <w:sz w:val="16"/>
                <w:szCs w:val="16"/>
              </w:rPr>
            </w:pPr>
          </w:p>
        </w:tc>
        <w:tc>
          <w:tcPr>
            <w:tcW w:w="919" w:type="dxa"/>
            <w:tcBorders>
              <w:bottom w:val="single" w:sz="12" w:space="0" w:color="auto"/>
            </w:tcBorders>
          </w:tcPr>
          <w:p w14:paraId="78B8B168" w14:textId="77777777" w:rsidR="00AE7191" w:rsidRPr="001E2C69" w:rsidRDefault="00AE7191" w:rsidP="00722885">
            <w:pPr>
              <w:pStyle w:val="Iauiue"/>
              <w:jc w:val="both"/>
              <w:rPr>
                <w:color w:val="000000" w:themeColor="text1"/>
                <w:sz w:val="16"/>
                <w:szCs w:val="16"/>
              </w:rPr>
            </w:pPr>
          </w:p>
        </w:tc>
        <w:tc>
          <w:tcPr>
            <w:tcW w:w="1207" w:type="dxa"/>
            <w:tcBorders>
              <w:bottom w:val="single" w:sz="12" w:space="0" w:color="auto"/>
            </w:tcBorders>
          </w:tcPr>
          <w:p w14:paraId="607ACBAE" w14:textId="77777777" w:rsidR="00AE7191" w:rsidRPr="001E2C69" w:rsidRDefault="00AE7191" w:rsidP="00722885">
            <w:pPr>
              <w:pStyle w:val="Iauiue"/>
              <w:jc w:val="both"/>
              <w:rPr>
                <w:color w:val="000000" w:themeColor="text1"/>
                <w:sz w:val="16"/>
                <w:szCs w:val="16"/>
              </w:rPr>
            </w:pPr>
          </w:p>
        </w:tc>
        <w:tc>
          <w:tcPr>
            <w:tcW w:w="866" w:type="dxa"/>
            <w:tcBorders>
              <w:bottom w:val="single" w:sz="12" w:space="0" w:color="auto"/>
            </w:tcBorders>
          </w:tcPr>
          <w:p w14:paraId="61E4B770" w14:textId="77777777" w:rsidR="00AE7191" w:rsidRPr="001E2C69" w:rsidRDefault="00AE7191" w:rsidP="00722885">
            <w:pPr>
              <w:pStyle w:val="Iauiue"/>
              <w:jc w:val="both"/>
              <w:rPr>
                <w:color w:val="000000" w:themeColor="text1"/>
                <w:sz w:val="16"/>
                <w:szCs w:val="16"/>
              </w:rPr>
            </w:pPr>
          </w:p>
        </w:tc>
        <w:tc>
          <w:tcPr>
            <w:tcW w:w="3811" w:type="dxa"/>
            <w:tcBorders>
              <w:bottom w:val="single" w:sz="12" w:space="0" w:color="auto"/>
            </w:tcBorders>
          </w:tcPr>
          <w:p w14:paraId="1E5E2CBD" w14:textId="77777777" w:rsidR="00AE7191" w:rsidRPr="001E2C69" w:rsidRDefault="00AE7191" w:rsidP="00722885">
            <w:pPr>
              <w:pStyle w:val="Iauiue"/>
              <w:jc w:val="both"/>
              <w:rPr>
                <w:color w:val="000000" w:themeColor="text1"/>
                <w:sz w:val="16"/>
                <w:szCs w:val="16"/>
              </w:rPr>
            </w:pPr>
          </w:p>
        </w:tc>
      </w:tr>
    </w:tbl>
    <w:p w14:paraId="46155EA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Перечень</w:t>
      </w:r>
    </w:p>
    <w:p w14:paraId="3CDDE06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опытных самолетов и модификаций, прекращаемых</w:t>
      </w:r>
    </w:p>
    <w:p w14:paraId="26F682D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строительством в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5601"/>
        <w:gridCol w:w="2977"/>
      </w:tblGrid>
      <w:tr w:rsidR="001E2C69" w:rsidRPr="001E2C69" w14:paraId="5EBE7749" w14:textId="77777777" w:rsidTr="00CC5360">
        <w:tc>
          <w:tcPr>
            <w:tcW w:w="1878" w:type="dxa"/>
            <w:tcBorders>
              <w:top w:val="single" w:sz="12" w:space="0" w:color="auto"/>
            </w:tcBorders>
          </w:tcPr>
          <w:p w14:paraId="5A057CF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Конструктор</w:t>
            </w:r>
          </w:p>
        </w:tc>
        <w:tc>
          <w:tcPr>
            <w:tcW w:w="5601" w:type="dxa"/>
            <w:tcBorders>
              <w:top w:val="single" w:sz="12" w:space="0" w:color="auto"/>
            </w:tcBorders>
          </w:tcPr>
          <w:p w14:paraId="1F98F9C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Наименование самолета</w:t>
            </w:r>
          </w:p>
        </w:tc>
        <w:tc>
          <w:tcPr>
            <w:tcW w:w="2977" w:type="dxa"/>
            <w:tcBorders>
              <w:top w:val="single" w:sz="12" w:space="0" w:color="auto"/>
            </w:tcBorders>
          </w:tcPr>
          <w:p w14:paraId="4AB361D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Постановление</w:t>
            </w:r>
          </w:p>
        </w:tc>
      </w:tr>
      <w:tr w:rsidR="001E2C69" w:rsidRPr="001E2C69" w14:paraId="11C468A6" w14:textId="77777777" w:rsidTr="00CC5360">
        <w:tc>
          <w:tcPr>
            <w:tcW w:w="1878" w:type="dxa"/>
          </w:tcPr>
          <w:p w14:paraId="4BF30C1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Сухой П.О.</w:t>
            </w:r>
          </w:p>
        </w:tc>
        <w:tc>
          <w:tcPr>
            <w:tcW w:w="5601" w:type="dxa"/>
          </w:tcPr>
          <w:p w14:paraId="4624207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Модификация одномоторного</w:t>
            </w:r>
          </w:p>
        </w:tc>
        <w:tc>
          <w:tcPr>
            <w:tcW w:w="2977" w:type="dxa"/>
          </w:tcPr>
          <w:p w14:paraId="72FDE84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От 20.1-41 и</w:t>
            </w:r>
          </w:p>
        </w:tc>
      </w:tr>
      <w:tr w:rsidR="001E2C69" w:rsidRPr="001E2C69" w14:paraId="67A26D6F" w14:textId="77777777" w:rsidTr="00CC5360">
        <w:tc>
          <w:tcPr>
            <w:tcW w:w="1878" w:type="dxa"/>
          </w:tcPr>
          <w:p w14:paraId="36EF6A2B" w14:textId="77777777" w:rsidR="00AE7191" w:rsidRPr="001E2C69" w:rsidRDefault="00AE7191" w:rsidP="00722885">
            <w:pPr>
              <w:pStyle w:val="Iauiue"/>
              <w:jc w:val="both"/>
              <w:rPr>
                <w:color w:val="000000" w:themeColor="text1"/>
                <w:sz w:val="16"/>
                <w:szCs w:val="16"/>
              </w:rPr>
            </w:pPr>
          </w:p>
        </w:tc>
        <w:tc>
          <w:tcPr>
            <w:tcW w:w="5601" w:type="dxa"/>
          </w:tcPr>
          <w:p w14:paraId="19C8C08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бомбардировщика Су-2 с мотором</w:t>
            </w:r>
          </w:p>
        </w:tc>
        <w:tc>
          <w:tcPr>
            <w:tcW w:w="2977" w:type="dxa"/>
          </w:tcPr>
          <w:p w14:paraId="458DAFE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от 15.V-41 за</w:t>
            </w:r>
          </w:p>
        </w:tc>
      </w:tr>
      <w:tr w:rsidR="001E2C69" w:rsidRPr="001E2C69" w14:paraId="70A71E1F" w14:textId="77777777" w:rsidTr="00CC5360">
        <w:tc>
          <w:tcPr>
            <w:tcW w:w="1878" w:type="dxa"/>
          </w:tcPr>
          <w:p w14:paraId="5D4D3BD3" w14:textId="77777777" w:rsidR="00AE7191" w:rsidRPr="001E2C69" w:rsidRDefault="00AE7191" w:rsidP="00722885">
            <w:pPr>
              <w:pStyle w:val="Iauiue"/>
              <w:jc w:val="both"/>
              <w:rPr>
                <w:color w:val="000000" w:themeColor="text1"/>
                <w:sz w:val="16"/>
                <w:szCs w:val="16"/>
              </w:rPr>
            </w:pPr>
          </w:p>
        </w:tc>
        <w:tc>
          <w:tcPr>
            <w:tcW w:w="5601" w:type="dxa"/>
          </w:tcPr>
          <w:p w14:paraId="76FCFB3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М-89 с непосредственным</w:t>
            </w:r>
          </w:p>
        </w:tc>
        <w:tc>
          <w:tcPr>
            <w:tcW w:w="2977" w:type="dxa"/>
          </w:tcPr>
          <w:p w14:paraId="623D9C6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N 1334-547</w:t>
            </w:r>
          </w:p>
        </w:tc>
      </w:tr>
      <w:tr w:rsidR="001E2C69" w:rsidRPr="001E2C69" w14:paraId="6C04438A" w14:textId="77777777" w:rsidTr="00CC5360">
        <w:tc>
          <w:tcPr>
            <w:tcW w:w="1878" w:type="dxa"/>
          </w:tcPr>
          <w:p w14:paraId="563B7642" w14:textId="77777777" w:rsidR="00AE7191" w:rsidRPr="001E2C69" w:rsidRDefault="00AE7191" w:rsidP="00722885">
            <w:pPr>
              <w:pStyle w:val="Iauiue"/>
              <w:jc w:val="both"/>
              <w:rPr>
                <w:color w:val="000000" w:themeColor="text1"/>
                <w:sz w:val="16"/>
                <w:szCs w:val="16"/>
              </w:rPr>
            </w:pPr>
          </w:p>
        </w:tc>
        <w:tc>
          <w:tcPr>
            <w:tcW w:w="5601" w:type="dxa"/>
          </w:tcPr>
          <w:p w14:paraId="4234AA8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впрыском.</w:t>
            </w:r>
          </w:p>
        </w:tc>
        <w:tc>
          <w:tcPr>
            <w:tcW w:w="2977" w:type="dxa"/>
          </w:tcPr>
          <w:p w14:paraId="797DD93F" w14:textId="77777777" w:rsidR="00AE7191" w:rsidRPr="001E2C69" w:rsidRDefault="00AE7191" w:rsidP="00722885">
            <w:pPr>
              <w:pStyle w:val="Iauiue"/>
              <w:jc w:val="both"/>
              <w:rPr>
                <w:color w:val="000000" w:themeColor="text1"/>
                <w:sz w:val="16"/>
                <w:szCs w:val="16"/>
              </w:rPr>
            </w:pPr>
          </w:p>
        </w:tc>
      </w:tr>
      <w:tr w:rsidR="001E2C69" w:rsidRPr="001E2C69" w14:paraId="0E9DC7E6" w14:textId="77777777" w:rsidTr="00CC5360">
        <w:tc>
          <w:tcPr>
            <w:tcW w:w="1878" w:type="dxa"/>
          </w:tcPr>
          <w:p w14:paraId="7A9FF67F" w14:textId="77777777" w:rsidR="00AE7191" w:rsidRPr="001E2C69" w:rsidRDefault="00AE7191" w:rsidP="00722885">
            <w:pPr>
              <w:pStyle w:val="Iauiue"/>
              <w:jc w:val="both"/>
              <w:rPr>
                <w:color w:val="000000" w:themeColor="text1"/>
                <w:sz w:val="16"/>
                <w:szCs w:val="16"/>
              </w:rPr>
            </w:pPr>
          </w:p>
        </w:tc>
        <w:tc>
          <w:tcPr>
            <w:tcW w:w="5601" w:type="dxa"/>
          </w:tcPr>
          <w:p w14:paraId="65C05F9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Модификация одномоторного</w:t>
            </w:r>
          </w:p>
        </w:tc>
        <w:tc>
          <w:tcPr>
            <w:tcW w:w="2977" w:type="dxa"/>
          </w:tcPr>
          <w:p w14:paraId="202034F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От 9-10.V.41</w:t>
            </w:r>
          </w:p>
        </w:tc>
      </w:tr>
      <w:tr w:rsidR="001E2C69" w:rsidRPr="001E2C69" w14:paraId="71116BBF" w14:textId="77777777" w:rsidTr="00CC5360">
        <w:tc>
          <w:tcPr>
            <w:tcW w:w="1878" w:type="dxa"/>
          </w:tcPr>
          <w:p w14:paraId="560A6AF1" w14:textId="77777777" w:rsidR="00AE7191" w:rsidRPr="001E2C69" w:rsidRDefault="00AE7191" w:rsidP="00722885">
            <w:pPr>
              <w:pStyle w:val="Iauiue"/>
              <w:jc w:val="both"/>
              <w:rPr>
                <w:color w:val="000000" w:themeColor="text1"/>
                <w:sz w:val="16"/>
                <w:szCs w:val="16"/>
              </w:rPr>
            </w:pPr>
          </w:p>
        </w:tc>
        <w:tc>
          <w:tcPr>
            <w:tcW w:w="5601" w:type="dxa"/>
          </w:tcPr>
          <w:p w14:paraId="68B575B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бомбардировщика Су-2 с мотором</w:t>
            </w:r>
          </w:p>
        </w:tc>
        <w:tc>
          <w:tcPr>
            <w:tcW w:w="2977" w:type="dxa"/>
          </w:tcPr>
          <w:p w14:paraId="1471E957" w14:textId="77777777" w:rsidR="00AE7191" w:rsidRPr="001E2C69" w:rsidRDefault="00AE7191" w:rsidP="00722885">
            <w:pPr>
              <w:pStyle w:val="Iauiue"/>
              <w:jc w:val="both"/>
              <w:rPr>
                <w:color w:val="000000" w:themeColor="text1"/>
                <w:sz w:val="16"/>
                <w:szCs w:val="16"/>
              </w:rPr>
            </w:pPr>
          </w:p>
        </w:tc>
      </w:tr>
      <w:tr w:rsidR="001E2C69" w:rsidRPr="001E2C69" w14:paraId="786EC555" w14:textId="77777777" w:rsidTr="00CC5360">
        <w:tc>
          <w:tcPr>
            <w:tcW w:w="1878" w:type="dxa"/>
          </w:tcPr>
          <w:p w14:paraId="445F609E" w14:textId="77777777" w:rsidR="00AE7191" w:rsidRPr="001E2C69" w:rsidRDefault="00AE7191" w:rsidP="00722885">
            <w:pPr>
              <w:pStyle w:val="Iauiue"/>
              <w:jc w:val="both"/>
              <w:rPr>
                <w:color w:val="000000" w:themeColor="text1"/>
                <w:sz w:val="16"/>
                <w:szCs w:val="16"/>
              </w:rPr>
            </w:pPr>
          </w:p>
        </w:tc>
        <w:tc>
          <w:tcPr>
            <w:tcW w:w="5601" w:type="dxa"/>
          </w:tcPr>
          <w:p w14:paraId="1A0A6C5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М-82</w:t>
            </w:r>
          </w:p>
        </w:tc>
        <w:tc>
          <w:tcPr>
            <w:tcW w:w="2977" w:type="dxa"/>
          </w:tcPr>
          <w:p w14:paraId="1CEAD80A" w14:textId="77777777" w:rsidR="00AE7191" w:rsidRPr="001E2C69" w:rsidRDefault="00AE7191" w:rsidP="00722885">
            <w:pPr>
              <w:pStyle w:val="Iauiue"/>
              <w:jc w:val="both"/>
              <w:rPr>
                <w:color w:val="000000" w:themeColor="text1"/>
                <w:sz w:val="16"/>
                <w:szCs w:val="16"/>
              </w:rPr>
            </w:pPr>
          </w:p>
        </w:tc>
      </w:tr>
      <w:tr w:rsidR="001E2C69" w:rsidRPr="001E2C69" w14:paraId="1AECB7B5" w14:textId="77777777" w:rsidTr="00CC5360">
        <w:tc>
          <w:tcPr>
            <w:tcW w:w="1878" w:type="dxa"/>
          </w:tcPr>
          <w:p w14:paraId="4C953594" w14:textId="77777777" w:rsidR="00AE7191" w:rsidRPr="001E2C69" w:rsidRDefault="00AE7191" w:rsidP="00722885">
            <w:pPr>
              <w:pStyle w:val="Iauiue"/>
              <w:jc w:val="both"/>
              <w:rPr>
                <w:color w:val="000000" w:themeColor="text1"/>
                <w:sz w:val="16"/>
                <w:szCs w:val="16"/>
              </w:rPr>
            </w:pPr>
          </w:p>
        </w:tc>
        <w:tc>
          <w:tcPr>
            <w:tcW w:w="5601" w:type="dxa"/>
          </w:tcPr>
          <w:p w14:paraId="1335579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Модификация того же самолета</w:t>
            </w:r>
          </w:p>
        </w:tc>
        <w:tc>
          <w:tcPr>
            <w:tcW w:w="2977" w:type="dxa"/>
          </w:tcPr>
          <w:p w14:paraId="006E1A1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От 25.1-1941</w:t>
            </w:r>
          </w:p>
        </w:tc>
      </w:tr>
      <w:tr w:rsidR="001E2C69" w:rsidRPr="001E2C69" w14:paraId="5AFAAC74" w14:textId="77777777" w:rsidTr="00CC5360">
        <w:tc>
          <w:tcPr>
            <w:tcW w:w="1878" w:type="dxa"/>
          </w:tcPr>
          <w:p w14:paraId="06506730" w14:textId="77777777" w:rsidR="00AE7191" w:rsidRPr="001E2C69" w:rsidRDefault="00AE7191" w:rsidP="00722885">
            <w:pPr>
              <w:pStyle w:val="Iauiue"/>
              <w:jc w:val="both"/>
              <w:rPr>
                <w:color w:val="000000" w:themeColor="text1"/>
                <w:sz w:val="16"/>
                <w:szCs w:val="16"/>
              </w:rPr>
            </w:pPr>
          </w:p>
        </w:tc>
        <w:tc>
          <w:tcPr>
            <w:tcW w:w="5601" w:type="dxa"/>
          </w:tcPr>
          <w:p w14:paraId="55933F8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под мотор АМ-37</w:t>
            </w:r>
          </w:p>
        </w:tc>
        <w:tc>
          <w:tcPr>
            <w:tcW w:w="2977" w:type="dxa"/>
          </w:tcPr>
          <w:p w14:paraId="0CF981F1" w14:textId="77777777" w:rsidR="00AE7191" w:rsidRPr="001E2C69" w:rsidRDefault="00AE7191" w:rsidP="00722885">
            <w:pPr>
              <w:pStyle w:val="Iauiue"/>
              <w:jc w:val="both"/>
              <w:rPr>
                <w:color w:val="000000" w:themeColor="text1"/>
                <w:sz w:val="16"/>
                <w:szCs w:val="16"/>
              </w:rPr>
            </w:pPr>
          </w:p>
        </w:tc>
      </w:tr>
      <w:tr w:rsidR="001E2C69" w:rsidRPr="001E2C69" w14:paraId="242F88AA" w14:textId="77777777" w:rsidTr="00CC5360">
        <w:tc>
          <w:tcPr>
            <w:tcW w:w="1878" w:type="dxa"/>
          </w:tcPr>
          <w:p w14:paraId="5DB6B6E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Поликарпов Н.Н.</w:t>
            </w:r>
          </w:p>
        </w:tc>
        <w:tc>
          <w:tcPr>
            <w:tcW w:w="5601" w:type="dxa"/>
          </w:tcPr>
          <w:p w14:paraId="4594ABA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Тяжелый двухместный истреб.</w:t>
            </w:r>
          </w:p>
        </w:tc>
        <w:tc>
          <w:tcPr>
            <w:tcW w:w="2977" w:type="dxa"/>
          </w:tcPr>
          <w:p w14:paraId="738A857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N 431 от 25.XI-1940</w:t>
            </w:r>
          </w:p>
        </w:tc>
      </w:tr>
      <w:tr w:rsidR="001E2C69" w:rsidRPr="001E2C69" w14:paraId="08F0E57B" w14:textId="77777777" w:rsidTr="00CC5360">
        <w:tc>
          <w:tcPr>
            <w:tcW w:w="1878" w:type="dxa"/>
          </w:tcPr>
          <w:p w14:paraId="4E9AB899" w14:textId="77777777" w:rsidR="00AE7191" w:rsidRPr="001E2C69" w:rsidRDefault="00AE7191" w:rsidP="00722885">
            <w:pPr>
              <w:pStyle w:val="Iauiue"/>
              <w:jc w:val="both"/>
              <w:rPr>
                <w:color w:val="000000" w:themeColor="text1"/>
                <w:sz w:val="16"/>
                <w:szCs w:val="16"/>
              </w:rPr>
            </w:pPr>
          </w:p>
        </w:tc>
        <w:tc>
          <w:tcPr>
            <w:tcW w:w="5601" w:type="dxa"/>
          </w:tcPr>
          <w:p w14:paraId="20A8B36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сопровождения "ТИС" с двумя</w:t>
            </w:r>
          </w:p>
        </w:tc>
        <w:tc>
          <w:tcPr>
            <w:tcW w:w="2977" w:type="dxa"/>
          </w:tcPr>
          <w:p w14:paraId="02F84161" w14:textId="77777777" w:rsidR="00AE7191" w:rsidRPr="001E2C69" w:rsidRDefault="00AE7191" w:rsidP="00722885">
            <w:pPr>
              <w:pStyle w:val="Iauiue"/>
              <w:jc w:val="both"/>
              <w:rPr>
                <w:color w:val="000000" w:themeColor="text1"/>
                <w:sz w:val="16"/>
                <w:szCs w:val="16"/>
              </w:rPr>
            </w:pPr>
          </w:p>
        </w:tc>
      </w:tr>
      <w:tr w:rsidR="001E2C69" w:rsidRPr="001E2C69" w14:paraId="503B4E40" w14:textId="77777777" w:rsidTr="00CC5360">
        <w:tc>
          <w:tcPr>
            <w:tcW w:w="1878" w:type="dxa"/>
          </w:tcPr>
          <w:p w14:paraId="1CA05EDA" w14:textId="77777777" w:rsidR="00AE7191" w:rsidRPr="001E2C69" w:rsidRDefault="00AE7191" w:rsidP="00722885">
            <w:pPr>
              <w:pStyle w:val="Iauiue"/>
              <w:jc w:val="both"/>
              <w:rPr>
                <w:color w:val="000000" w:themeColor="text1"/>
                <w:sz w:val="16"/>
                <w:szCs w:val="16"/>
              </w:rPr>
            </w:pPr>
          </w:p>
        </w:tc>
        <w:tc>
          <w:tcPr>
            <w:tcW w:w="5601" w:type="dxa"/>
          </w:tcPr>
          <w:p w14:paraId="4F63A06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моторами АМ-37, 2-й и 3-й экз.</w:t>
            </w:r>
          </w:p>
        </w:tc>
        <w:tc>
          <w:tcPr>
            <w:tcW w:w="2977" w:type="dxa"/>
          </w:tcPr>
          <w:p w14:paraId="3C0CC055" w14:textId="77777777" w:rsidR="00AE7191" w:rsidRPr="001E2C69" w:rsidRDefault="00AE7191" w:rsidP="00722885">
            <w:pPr>
              <w:pStyle w:val="Iauiue"/>
              <w:jc w:val="both"/>
              <w:rPr>
                <w:color w:val="000000" w:themeColor="text1"/>
                <w:sz w:val="16"/>
                <w:szCs w:val="16"/>
              </w:rPr>
            </w:pPr>
          </w:p>
        </w:tc>
      </w:tr>
      <w:tr w:rsidR="001E2C69" w:rsidRPr="001E2C69" w14:paraId="06AB1239" w14:textId="77777777" w:rsidTr="00CC5360">
        <w:tc>
          <w:tcPr>
            <w:tcW w:w="1878" w:type="dxa"/>
          </w:tcPr>
          <w:p w14:paraId="0E35D12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Микоян А.И.</w:t>
            </w:r>
          </w:p>
        </w:tc>
        <w:tc>
          <w:tcPr>
            <w:tcW w:w="5601" w:type="dxa"/>
          </w:tcPr>
          <w:p w14:paraId="41A4BDB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Одноместный истребитель</w:t>
            </w:r>
          </w:p>
        </w:tc>
        <w:tc>
          <w:tcPr>
            <w:tcW w:w="2977" w:type="dxa"/>
          </w:tcPr>
          <w:p w14:paraId="680E464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N 430сс от 25.XI.1940</w:t>
            </w:r>
          </w:p>
        </w:tc>
      </w:tr>
      <w:tr w:rsidR="001E2C69" w:rsidRPr="001E2C69" w14:paraId="217E1EFE" w14:textId="77777777" w:rsidTr="00CC5360">
        <w:tc>
          <w:tcPr>
            <w:tcW w:w="1878" w:type="dxa"/>
          </w:tcPr>
          <w:p w14:paraId="6BE6D4EB" w14:textId="77777777" w:rsidR="00AE7191" w:rsidRPr="001E2C69" w:rsidRDefault="00AE7191" w:rsidP="00722885">
            <w:pPr>
              <w:pStyle w:val="Iauiue"/>
              <w:jc w:val="both"/>
              <w:rPr>
                <w:color w:val="000000" w:themeColor="text1"/>
                <w:sz w:val="16"/>
                <w:szCs w:val="16"/>
              </w:rPr>
            </w:pPr>
          </w:p>
        </w:tc>
        <w:tc>
          <w:tcPr>
            <w:tcW w:w="5601" w:type="dxa"/>
          </w:tcPr>
          <w:p w14:paraId="11832EC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сопровождения ДИС-200 с двумя</w:t>
            </w:r>
          </w:p>
        </w:tc>
        <w:tc>
          <w:tcPr>
            <w:tcW w:w="2977" w:type="dxa"/>
          </w:tcPr>
          <w:p w14:paraId="70A5BE30" w14:textId="77777777" w:rsidR="00AE7191" w:rsidRPr="001E2C69" w:rsidRDefault="00AE7191" w:rsidP="00722885">
            <w:pPr>
              <w:pStyle w:val="Iauiue"/>
              <w:jc w:val="both"/>
              <w:rPr>
                <w:color w:val="000000" w:themeColor="text1"/>
                <w:sz w:val="16"/>
                <w:szCs w:val="16"/>
              </w:rPr>
            </w:pPr>
          </w:p>
        </w:tc>
      </w:tr>
      <w:tr w:rsidR="001E2C69" w:rsidRPr="001E2C69" w14:paraId="692C4F55" w14:textId="77777777" w:rsidTr="00CC5360">
        <w:tc>
          <w:tcPr>
            <w:tcW w:w="1878" w:type="dxa"/>
          </w:tcPr>
          <w:p w14:paraId="7E77AAF2" w14:textId="77777777" w:rsidR="00AE7191" w:rsidRPr="001E2C69" w:rsidRDefault="00AE7191" w:rsidP="00722885">
            <w:pPr>
              <w:pStyle w:val="Iauiue"/>
              <w:jc w:val="both"/>
              <w:rPr>
                <w:color w:val="000000" w:themeColor="text1"/>
                <w:sz w:val="16"/>
                <w:szCs w:val="16"/>
              </w:rPr>
            </w:pPr>
          </w:p>
        </w:tc>
        <w:tc>
          <w:tcPr>
            <w:tcW w:w="5601" w:type="dxa"/>
          </w:tcPr>
          <w:p w14:paraId="4FE5FA5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моторами АМ-37 - 3 экз.</w:t>
            </w:r>
          </w:p>
        </w:tc>
        <w:tc>
          <w:tcPr>
            <w:tcW w:w="2977" w:type="dxa"/>
          </w:tcPr>
          <w:p w14:paraId="44C23306" w14:textId="77777777" w:rsidR="00AE7191" w:rsidRPr="001E2C69" w:rsidRDefault="00AE7191" w:rsidP="00722885">
            <w:pPr>
              <w:pStyle w:val="Iauiue"/>
              <w:jc w:val="both"/>
              <w:rPr>
                <w:color w:val="000000" w:themeColor="text1"/>
                <w:sz w:val="16"/>
                <w:szCs w:val="16"/>
              </w:rPr>
            </w:pPr>
          </w:p>
        </w:tc>
      </w:tr>
      <w:tr w:rsidR="001E2C69" w:rsidRPr="001E2C69" w14:paraId="08EAAEBE" w14:textId="77777777" w:rsidTr="00CC5360">
        <w:tc>
          <w:tcPr>
            <w:tcW w:w="1878" w:type="dxa"/>
          </w:tcPr>
          <w:p w14:paraId="63EC6E2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lastRenderedPageBreak/>
              <w:t>Гудков М.И.</w:t>
            </w:r>
          </w:p>
        </w:tc>
        <w:tc>
          <w:tcPr>
            <w:tcW w:w="5601" w:type="dxa"/>
          </w:tcPr>
          <w:p w14:paraId="0049EAA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Модификация истребителя ЛаГГ-3 под пушку ОКБ-16 калибра 37мм - 3 экз.</w:t>
            </w:r>
          </w:p>
        </w:tc>
        <w:tc>
          <w:tcPr>
            <w:tcW w:w="2977" w:type="dxa"/>
          </w:tcPr>
          <w:p w14:paraId="2EBC4D3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430сс от 25.Х1.40</w:t>
            </w:r>
          </w:p>
        </w:tc>
      </w:tr>
      <w:tr w:rsidR="001E2C69" w:rsidRPr="001E2C69" w14:paraId="4410710F" w14:textId="77777777" w:rsidTr="00CC5360">
        <w:tc>
          <w:tcPr>
            <w:tcW w:w="1878" w:type="dxa"/>
          </w:tcPr>
          <w:p w14:paraId="2E3E71A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Грушин П.Д.</w:t>
            </w:r>
          </w:p>
        </w:tc>
        <w:tc>
          <w:tcPr>
            <w:tcW w:w="5601" w:type="dxa"/>
          </w:tcPr>
          <w:p w14:paraId="2C9A400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 Двухмоторный одноместный истребитель сопровождения с моторами АМ-37 - 2 экз.</w:t>
            </w:r>
          </w:p>
        </w:tc>
        <w:tc>
          <w:tcPr>
            <w:tcW w:w="2977" w:type="dxa"/>
          </w:tcPr>
          <w:p w14:paraId="3497F14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От 16.1У.41 за № 1021 - 416сс</w:t>
            </w:r>
          </w:p>
        </w:tc>
      </w:tr>
      <w:tr w:rsidR="001E2C69" w:rsidRPr="001E2C69" w14:paraId="5FD2345F" w14:textId="77777777" w:rsidTr="00CC5360">
        <w:tc>
          <w:tcPr>
            <w:tcW w:w="1878" w:type="dxa"/>
          </w:tcPr>
          <w:p w14:paraId="45CE29B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Лавочкин С.А.</w:t>
            </w:r>
          </w:p>
        </w:tc>
        <w:tc>
          <w:tcPr>
            <w:tcW w:w="5601" w:type="dxa"/>
          </w:tcPr>
          <w:p w14:paraId="1123F09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 Модификация истребителя</w:t>
            </w:r>
          </w:p>
        </w:tc>
        <w:tc>
          <w:tcPr>
            <w:tcW w:w="2977" w:type="dxa"/>
          </w:tcPr>
          <w:p w14:paraId="2AD245F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От 16.IV.1941</w:t>
            </w:r>
          </w:p>
        </w:tc>
      </w:tr>
      <w:tr w:rsidR="001E2C69" w:rsidRPr="001E2C69" w14:paraId="2D7B39F1" w14:textId="77777777" w:rsidTr="00CC5360">
        <w:tc>
          <w:tcPr>
            <w:tcW w:w="1878" w:type="dxa"/>
          </w:tcPr>
          <w:p w14:paraId="1E300A17" w14:textId="77777777" w:rsidR="00AE7191" w:rsidRPr="001E2C69" w:rsidRDefault="00AE7191" w:rsidP="00722885">
            <w:pPr>
              <w:pStyle w:val="Iauiue"/>
              <w:jc w:val="both"/>
              <w:rPr>
                <w:color w:val="000000" w:themeColor="text1"/>
                <w:sz w:val="16"/>
                <w:szCs w:val="16"/>
              </w:rPr>
            </w:pPr>
          </w:p>
        </w:tc>
        <w:tc>
          <w:tcPr>
            <w:tcW w:w="5601" w:type="dxa"/>
          </w:tcPr>
          <w:p w14:paraId="33FFC53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Лагг-3 под мотор М-105П с</w:t>
            </w:r>
          </w:p>
        </w:tc>
        <w:tc>
          <w:tcPr>
            <w:tcW w:w="2977" w:type="dxa"/>
          </w:tcPr>
          <w:p w14:paraId="763D6C9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 N 1017-412сс</w:t>
            </w:r>
          </w:p>
        </w:tc>
      </w:tr>
      <w:tr w:rsidR="001E2C69" w:rsidRPr="001E2C69" w14:paraId="529BB6DD" w14:textId="77777777" w:rsidTr="00CC5360">
        <w:tc>
          <w:tcPr>
            <w:tcW w:w="1878" w:type="dxa"/>
          </w:tcPr>
          <w:p w14:paraId="6B6A93D0" w14:textId="77777777" w:rsidR="00AE7191" w:rsidRPr="001E2C69" w:rsidRDefault="00AE7191" w:rsidP="00722885">
            <w:pPr>
              <w:pStyle w:val="Iauiue"/>
              <w:jc w:val="both"/>
              <w:rPr>
                <w:color w:val="000000" w:themeColor="text1"/>
                <w:sz w:val="16"/>
                <w:szCs w:val="16"/>
              </w:rPr>
            </w:pPr>
          </w:p>
        </w:tc>
        <w:tc>
          <w:tcPr>
            <w:tcW w:w="5601" w:type="dxa"/>
          </w:tcPr>
          <w:p w14:paraId="72B5746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нагнетателем Трескина - 1 экз.</w:t>
            </w:r>
          </w:p>
        </w:tc>
        <w:tc>
          <w:tcPr>
            <w:tcW w:w="2977" w:type="dxa"/>
          </w:tcPr>
          <w:p w14:paraId="36400F67" w14:textId="77777777" w:rsidR="00AE7191" w:rsidRPr="001E2C69" w:rsidRDefault="00AE7191" w:rsidP="00722885">
            <w:pPr>
              <w:pStyle w:val="Iauiue"/>
              <w:jc w:val="both"/>
              <w:rPr>
                <w:color w:val="000000" w:themeColor="text1"/>
                <w:sz w:val="16"/>
                <w:szCs w:val="16"/>
              </w:rPr>
            </w:pPr>
          </w:p>
        </w:tc>
      </w:tr>
      <w:tr w:rsidR="001E2C69" w:rsidRPr="001E2C69" w14:paraId="363AFC04" w14:textId="77777777" w:rsidTr="00CC5360">
        <w:tc>
          <w:tcPr>
            <w:tcW w:w="1878" w:type="dxa"/>
          </w:tcPr>
          <w:p w14:paraId="3AC30AF6" w14:textId="77777777" w:rsidR="00AE7191" w:rsidRPr="001E2C69" w:rsidRDefault="00AE7191" w:rsidP="00722885">
            <w:pPr>
              <w:pStyle w:val="Iauiue"/>
              <w:jc w:val="both"/>
              <w:rPr>
                <w:color w:val="000000" w:themeColor="text1"/>
                <w:sz w:val="16"/>
                <w:szCs w:val="16"/>
              </w:rPr>
            </w:pPr>
          </w:p>
        </w:tc>
        <w:tc>
          <w:tcPr>
            <w:tcW w:w="5601" w:type="dxa"/>
          </w:tcPr>
          <w:p w14:paraId="67884E9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 герметической кабиной - 1-й экз.</w:t>
            </w:r>
          </w:p>
        </w:tc>
        <w:tc>
          <w:tcPr>
            <w:tcW w:w="2977" w:type="dxa"/>
          </w:tcPr>
          <w:p w14:paraId="733AEA4A" w14:textId="77777777" w:rsidR="00AE7191" w:rsidRPr="001E2C69" w:rsidRDefault="00AE7191" w:rsidP="00722885">
            <w:pPr>
              <w:pStyle w:val="Iauiue"/>
              <w:jc w:val="both"/>
              <w:rPr>
                <w:color w:val="000000" w:themeColor="text1"/>
                <w:sz w:val="16"/>
                <w:szCs w:val="16"/>
              </w:rPr>
            </w:pPr>
          </w:p>
        </w:tc>
      </w:tr>
      <w:tr w:rsidR="001E2C69" w:rsidRPr="001E2C69" w14:paraId="62F188B0" w14:textId="77777777" w:rsidTr="00CC5360">
        <w:tc>
          <w:tcPr>
            <w:tcW w:w="1878" w:type="dxa"/>
          </w:tcPr>
          <w:p w14:paraId="0FE2E4E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Ермолаев В.Г.</w:t>
            </w:r>
          </w:p>
        </w:tc>
        <w:tc>
          <w:tcPr>
            <w:tcW w:w="5601" w:type="dxa"/>
          </w:tcPr>
          <w:p w14:paraId="0E74DF7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 Модификация дальнего</w:t>
            </w:r>
          </w:p>
        </w:tc>
        <w:tc>
          <w:tcPr>
            <w:tcW w:w="2977" w:type="dxa"/>
          </w:tcPr>
          <w:p w14:paraId="34ACC440" w14:textId="77777777" w:rsidR="00AE7191" w:rsidRPr="001E2C69" w:rsidRDefault="00AE7191" w:rsidP="00722885">
            <w:pPr>
              <w:pStyle w:val="Iauiue"/>
              <w:jc w:val="both"/>
              <w:rPr>
                <w:color w:val="000000" w:themeColor="text1"/>
                <w:sz w:val="16"/>
                <w:szCs w:val="16"/>
              </w:rPr>
            </w:pPr>
          </w:p>
        </w:tc>
      </w:tr>
      <w:tr w:rsidR="001E2C69" w:rsidRPr="001E2C69" w14:paraId="27497EA1" w14:textId="77777777" w:rsidTr="00CC5360">
        <w:tc>
          <w:tcPr>
            <w:tcW w:w="1878" w:type="dxa"/>
          </w:tcPr>
          <w:p w14:paraId="6715C60A" w14:textId="77777777" w:rsidR="00AE7191" w:rsidRPr="001E2C69" w:rsidRDefault="00AE7191" w:rsidP="00722885">
            <w:pPr>
              <w:pStyle w:val="Iauiue"/>
              <w:jc w:val="both"/>
              <w:rPr>
                <w:color w:val="000000" w:themeColor="text1"/>
                <w:sz w:val="16"/>
                <w:szCs w:val="16"/>
              </w:rPr>
            </w:pPr>
          </w:p>
        </w:tc>
        <w:tc>
          <w:tcPr>
            <w:tcW w:w="5601" w:type="dxa"/>
          </w:tcPr>
          <w:p w14:paraId="495B625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бомбардировщика Ер-2 с двумя</w:t>
            </w:r>
          </w:p>
        </w:tc>
        <w:tc>
          <w:tcPr>
            <w:tcW w:w="2977" w:type="dxa"/>
          </w:tcPr>
          <w:p w14:paraId="51D9B033" w14:textId="77777777" w:rsidR="00AE7191" w:rsidRPr="001E2C69" w:rsidRDefault="00AE7191" w:rsidP="00722885">
            <w:pPr>
              <w:pStyle w:val="Iauiue"/>
              <w:jc w:val="both"/>
              <w:rPr>
                <w:color w:val="000000" w:themeColor="text1"/>
                <w:sz w:val="16"/>
                <w:szCs w:val="16"/>
              </w:rPr>
            </w:pPr>
          </w:p>
        </w:tc>
      </w:tr>
      <w:tr w:rsidR="001E2C69" w:rsidRPr="001E2C69" w14:paraId="27C5CA84" w14:textId="77777777" w:rsidTr="00CC5360">
        <w:tc>
          <w:tcPr>
            <w:tcW w:w="1878" w:type="dxa"/>
          </w:tcPr>
          <w:p w14:paraId="498BA1C2" w14:textId="77777777" w:rsidR="00AE7191" w:rsidRPr="001E2C69" w:rsidRDefault="00AE7191" w:rsidP="00722885">
            <w:pPr>
              <w:pStyle w:val="Iauiue"/>
              <w:jc w:val="both"/>
              <w:rPr>
                <w:color w:val="000000" w:themeColor="text1"/>
                <w:sz w:val="16"/>
                <w:szCs w:val="16"/>
              </w:rPr>
            </w:pPr>
          </w:p>
        </w:tc>
        <w:tc>
          <w:tcPr>
            <w:tcW w:w="5601" w:type="dxa"/>
          </w:tcPr>
          <w:p w14:paraId="0CC95CF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моторами Ам-37 1 экз.</w:t>
            </w:r>
          </w:p>
        </w:tc>
        <w:tc>
          <w:tcPr>
            <w:tcW w:w="2977" w:type="dxa"/>
          </w:tcPr>
          <w:p w14:paraId="23FFCF70" w14:textId="77777777" w:rsidR="00AE7191" w:rsidRPr="001E2C69" w:rsidRDefault="00AE7191" w:rsidP="00722885">
            <w:pPr>
              <w:pStyle w:val="Iauiue"/>
              <w:jc w:val="both"/>
              <w:rPr>
                <w:color w:val="000000" w:themeColor="text1"/>
                <w:sz w:val="16"/>
                <w:szCs w:val="16"/>
              </w:rPr>
            </w:pPr>
          </w:p>
        </w:tc>
      </w:tr>
      <w:tr w:rsidR="001E2C69" w:rsidRPr="001E2C69" w14:paraId="7FC547AB" w14:textId="77777777" w:rsidTr="00CC5360">
        <w:tc>
          <w:tcPr>
            <w:tcW w:w="1878" w:type="dxa"/>
          </w:tcPr>
          <w:p w14:paraId="69F6E0B9" w14:textId="77777777" w:rsidR="00AE7191" w:rsidRPr="001E2C69" w:rsidRDefault="00AE7191" w:rsidP="00722885">
            <w:pPr>
              <w:pStyle w:val="Iauiue"/>
              <w:jc w:val="both"/>
              <w:rPr>
                <w:color w:val="000000" w:themeColor="text1"/>
                <w:sz w:val="16"/>
                <w:szCs w:val="16"/>
              </w:rPr>
            </w:pPr>
          </w:p>
        </w:tc>
        <w:tc>
          <w:tcPr>
            <w:tcW w:w="5601" w:type="dxa"/>
          </w:tcPr>
          <w:p w14:paraId="3F1810F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 Модификация дальнего</w:t>
            </w:r>
          </w:p>
        </w:tc>
        <w:tc>
          <w:tcPr>
            <w:tcW w:w="2977" w:type="dxa"/>
          </w:tcPr>
          <w:p w14:paraId="194ED16F" w14:textId="77777777" w:rsidR="00AE7191" w:rsidRPr="001E2C69" w:rsidRDefault="00AE7191" w:rsidP="00722885">
            <w:pPr>
              <w:pStyle w:val="Iauiue"/>
              <w:jc w:val="both"/>
              <w:rPr>
                <w:color w:val="000000" w:themeColor="text1"/>
                <w:sz w:val="16"/>
                <w:szCs w:val="16"/>
              </w:rPr>
            </w:pPr>
          </w:p>
        </w:tc>
      </w:tr>
      <w:tr w:rsidR="001E2C69" w:rsidRPr="001E2C69" w14:paraId="637D6BEF" w14:textId="77777777" w:rsidTr="00CC5360">
        <w:tc>
          <w:tcPr>
            <w:tcW w:w="1878" w:type="dxa"/>
          </w:tcPr>
          <w:p w14:paraId="4E5B5BBD" w14:textId="77777777" w:rsidR="00AE7191" w:rsidRPr="001E2C69" w:rsidRDefault="00AE7191" w:rsidP="00722885">
            <w:pPr>
              <w:pStyle w:val="Iauiue"/>
              <w:jc w:val="both"/>
              <w:rPr>
                <w:color w:val="000000" w:themeColor="text1"/>
                <w:sz w:val="16"/>
                <w:szCs w:val="16"/>
              </w:rPr>
            </w:pPr>
          </w:p>
        </w:tc>
        <w:tc>
          <w:tcPr>
            <w:tcW w:w="5601" w:type="dxa"/>
          </w:tcPr>
          <w:p w14:paraId="21DB3BC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бомбардировщика Ер-2 с</w:t>
            </w:r>
          </w:p>
        </w:tc>
        <w:tc>
          <w:tcPr>
            <w:tcW w:w="2977" w:type="dxa"/>
          </w:tcPr>
          <w:p w14:paraId="7291EEA7" w14:textId="77777777" w:rsidR="00AE7191" w:rsidRPr="001E2C69" w:rsidRDefault="00AE7191" w:rsidP="00722885">
            <w:pPr>
              <w:pStyle w:val="Iauiue"/>
              <w:jc w:val="both"/>
              <w:rPr>
                <w:color w:val="000000" w:themeColor="text1"/>
                <w:sz w:val="16"/>
                <w:szCs w:val="16"/>
              </w:rPr>
            </w:pPr>
          </w:p>
        </w:tc>
      </w:tr>
      <w:tr w:rsidR="001E2C69" w:rsidRPr="001E2C69" w14:paraId="73B32890" w14:textId="77777777" w:rsidTr="00CC5360">
        <w:tc>
          <w:tcPr>
            <w:tcW w:w="1878" w:type="dxa"/>
          </w:tcPr>
          <w:p w14:paraId="5DA2A5FC" w14:textId="77777777" w:rsidR="00AE7191" w:rsidRPr="001E2C69" w:rsidRDefault="00AE7191" w:rsidP="00722885">
            <w:pPr>
              <w:pStyle w:val="Iauiue"/>
              <w:jc w:val="both"/>
              <w:rPr>
                <w:color w:val="000000" w:themeColor="text1"/>
                <w:sz w:val="16"/>
                <w:szCs w:val="16"/>
              </w:rPr>
            </w:pPr>
          </w:p>
        </w:tc>
        <w:tc>
          <w:tcPr>
            <w:tcW w:w="5601" w:type="dxa"/>
          </w:tcPr>
          <w:p w14:paraId="43C69F8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дизельмоторами М-40ф - 1 экз.</w:t>
            </w:r>
          </w:p>
        </w:tc>
        <w:tc>
          <w:tcPr>
            <w:tcW w:w="2977" w:type="dxa"/>
          </w:tcPr>
          <w:p w14:paraId="35E38006" w14:textId="77777777" w:rsidR="00AE7191" w:rsidRPr="001E2C69" w:rsidRDefault="00AE7191" w:rsidP="00722885">
            <w:pPr>
              <w:pStyle w:val="Iauiue"/>
              <w:jc w:val="both"/>
              <w:rPr>
                <w:color w:val="000000" w:themeColor="text1"/>
                <w:sz w:val="16"/>
                <w:szCs w:val="16"/>
              </w:rPr>
            </w:pPr>
          </w:p>
        </w:tc>
      </w:tr>
      <w:tr w:rsidR="001E2C69" w:rsidRPr="001E2C69" w14:paraId="032CAD2E" w14:textId="77777777" w:rsidTr="00CC5360">
        <w:tc>
          <w:tcPr>
            <w:tcW w:w="1878" w:type="dxa"/>
          </w:tcPr>
          <w:p w14:paraId="3B2819F8" w14:textId="77777777" w:rsidR="00AE7191" w:rsidRPr="001E2C69" w:rsidRDefault="00AE7191" w:rsidP="00722885">
            <w:pPr>
              <w:pStyle w:val="Iauiue"/>
              <w:jc w:val="both"/>
              <w:rPr>
                <w:color w:val="000000" w:themeColor="text1"/>
                <w:sz w:val="16"/>
                <w:szCs w:val="16"/>
              </w:rPr>
            </w:pPr>
          </w:p>
        </w:tc>
        <w:tc>
          <w:tcPr>
            <w:tcW w:w="5601" w:type="dxa"/>
          </w:tcPr>
          <w:p w14:paraId="0C790A1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 Тот же самолет с двумя</w:t>
            </w:r>
          </w:p>
        </w:tc>
        <w:tc>
          <w:tcPr>
            <w:tcW w:w="2977" w:type="dxa"/>
          </w:tcPr>
          <w:p w14:paraId="1A85341B" w14:textId="77777777" w:rsidR="00AE7191" w:rsidRPr="001E2C69" w:rsidRDefault="00AE7191" w:rsidP="00722885">
            <w:pPr>
              <w:pStyle w:val="Iauiue"/>
              <w:jc w:val="both"/>
              <w:rPr>
                <w:color w:val="000000" w:themeColor="text1"/>
                <w:sz w:val="16"/>
                <w:szCs w:val="16"/>
              </w:rPr>
            </w:pPr>
          </w:p>
        </w:tc>
      </w:tr>
      <w:tr w:rsidR="001E2C69" w:rsidRPr="001E2C69" w14:paraId="0179814E" w14:textId="77777777" w:rsidTr="00CC5360">
        <w:tc>
          <w:tcPr>
            <w:tcW w:w="1878" w:type="dxa"/>
          </w:tcPr>
          <w:p w14:paraId="63FC681E" w14:textId="77777777" w:rsidR="00AE7191" w:rsidRPr="001E2C69" w:rsidRDefault="00AE7191" w:rsidP="00722885">
            <w:pPr>
              <w:pStyle w:val="Iauiue"/>
              <w:jc w:val="both"/>
              <w:rPr>
                <w:color w:val="000000" w:themeColor="text1"/>
                <w:sz w:val="16"/>
                <w:szCs w:val="16"/>
              </w:rPr>
            </w:pPr>
          </w:p>
        </w:tc>
        <w:tc>
          <w:tcPr>
            <w:tcW w:w="5601" w:type="dxa"/>
          </w:tcPr>
          <w:p w14:paraId="65333FC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дизельмоторами М-40ф или М-30</w:t>
            </w:r>
          </w:p>
        </w:tc>
        <w:tc>
          <w:tcPr>
            <w:tcW w:w="2977" w:type="dxa"/>
          </w:tcPr>
          <w:p w14:paraId="7A21E5CA" w14:textId="77777777" w:rsidR="00AE7191" w:rsidRPr="001E2C69" w:rsidRDefault="00AE7191" w:rsidP="00722885">
            <w:pPr>
              <w:pStyle w:val="Iauiue"/>
              <w:jc w:val="both"/>
              <w:rPr>
                <w:color w:val="000000" w:themeColor="text1"/>
                <w:sz w:val="16"/>
                <w:szCs w:val="16"/>
              </w:rPr>
            </w:pPr>
          </w:p>
        </w:tc>
      </w:tr>
      <w:tr w:rsidR="001E2C69" w:rsidRPr="001E2C69" w14:paraId="1D1EA37B" w14:textId="77777777" w:rsidTr="00CC5360">
        <w:tc>
          <w:tcPr>
            <w:tcW w:w="1878" w:type="dxa"/>
          </w:tcPr>
          <w:p w14:paraId="2D6237D2" w14:textId="77777777" w:rsidR="00AE7191" w:rsidRPr="001E2C69" w:rsidRDefault="00AE7191" w:rsidP="00722885">
            <w:pPr>
              <w:pStyle w:val="Iauiue"/>
              <w:jc w:val="both"/>
              <w:rPr>
                <w:color w:val="000000" w:themeColor="text1"/>
                <w:sz w:val="16"/>
                <w:szCs w:val="16"/>
              </w:rPr>
            </w:pPr>
          </w:p>
        </w:tc>
        <w:tc>
          <w:tcPr>
            <w:tcW w:w="5601" w:type="dxa"/>
          </w:tcPr>
          <w:p w14:paraId="2C044CC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экз. (5-й экземпляр)</w:t>
            </w:r>
          </w:p>
        </w:tc>
        <w:tc>
          <w:tcPr>
            <w:tcW w:w="2977" w:type="dxa"/>
          </w:tcPr>
          <w:p w14:paraId="3C0168CF" w14:textId="77777777" w:rsidR="00AE7191" w:rsidRPr="001E2C69" w:rsidRDefault="00AE7191" w:rsidP="00722885">
            <w:pPr>
              <w:pStyle w:val="Iauiue"/>
              <w:jc w:val="both"/>
              <w:rPr>
                <w:color w:val="000000" w:themeColor="text1"/>
                <w:sz w:val="16"/>
                <w:szCs w:val="16"/>
              </w:rPr>
            </w:pPr>
          </w:p>
        </w:tc>
      </w:tr>
      <w:tr w:rsidR="001E2C69" w:rsidRPr="001E2C69" w14:paraId="155195BC" w14:textId="77777777" w:rsidTr="00CC5360">
        <w:tc>
          <w:tcPr>
            <w:tcW w:w="1878" w:type="dxa"/>
          </w:tcPr>
          <w:p w14:paraId="3B72726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Путилов А.И.</w:t>
            </w:r>
          </w:p>
        </w:tc>
        <w:tc>
          <w:tcPr>
            <w:tcW w:w="5601" w:type="dxa"/>
          </w:tcPr>
          <w:p w14:paraId="309BFFF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 Высотный бомбардировщик</w:t>
            </w:r>
          </w:p>
        </w:tc>
        <w:tc>
          <w:tcPr>
            <w:tcW w:w="2977" w:type="dxa"/>
          </w:tcPr>
          <w:p w14:paraId="6BB8383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От 5.VI-41</w:t>
            </w:r>
          </w:p>
        </w:tc>
      </w:tr>
      <w:tr w:rsidR="001E2C69" w:rsidRPr="001E2C69" w14:paraId="7C44180E" w14:textId="77777777" w:rsidTr="00CC5360">
        <w:tc>
          <w:tcPr>
            <w:tcW w:w="1878" w:type="dxa"/>
          </w:tcPr>
          <w:p w14:paraId="75EA1B98" w14:textId="77777777" w:rsidR="00AE7191" w:rsidRPr="001E2C69" w:rsidRDefault="00AE7191" w:rsidP="00722885">
            <w:pPr>
              <w:pStyle w:val="Iauiue"/>
              <w:jc w:val="both"/>
              <w:rPr>
                <w:color w:val="000000" w:themeColor="text1"/>
                <w:sz w:val="16"/>
                <w:szCs w:val="16"/>
              </w:rPr>
            </w:pPr>
          </w:p>
        </w:tc>
        <w:tc>
          <w:tcPr>
            <w:tcW w:w="5601" w:type="dxa"/>
          </w:tcPr>
          <w:p w14:paraId="31318F4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ВБ-100 с двумя моторами М-105ф</w:t>
            </w:r>
          </w:p>
        </w:tc>
        <w:tc>
          <w:tcPr>
            <w:tcW w:w="2977" w:type="dxa"/>
          </w:tcPr>
          <w:p w14:paraId="55536B31" w14:textId="77777777" w:rsidR="00AE7191" w:rsidRPr="001E2C69" w:rsidRDefault="00AE7191" w:rsidP="00722885">
            <w:pPr>
              <w:pStyle w:val="Iauiue"/>
              <w:jc w:val="both"/>
              <w:rPr>
                <w:color w:val="000000" w:themeColor="text1"/>
                <w:sz w:val="16"/>
                <w:szCs w:val="16"/>
              </w:rPr>
            </w:pPr>
          </w:p>
        </w:tc>
      </w:tr>
      <w:tr w:rsidR="001E2C69" w:rsidRPr="001E2C69" w14:paraId="3B919403" w14:textId="77777777" w:rsidTr="00CC5360">
        <w:tc>
          <w:tcPr>
            <w:tcW w:w="1878" w:type="dxa"/>
          </w:tcPr>
          <w:p w14:paraId="5B5BC872" w14:textId="77777777" w:rsidR="00AE7191" w:rsidRPr="001E2C69" w:rsidRDefault="00AE7191" w:rsidP="00722885">
            <w:pPr>
              <w:pStyle w:val="Iauiue"/>
              <w:jc w:val="both"/>
              <w:rPr>
                <w:color w:val="000000" w:themeColor="text1"/>
                <w:sz w:val="16"/>
                <w:szCs w:val="16"/>
              </w:rPr>
            </w:pPr>
          </w:p>
        </w:tc>
        <w:tc>
          <w:tcPr>
            <w:tcW w:w="5601" w:type="dxa"/>
          </w:tcPr>
          <w:p w14:paraId="6B25A4E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герметической кабиной,</w:t>
            </w:r>
          </w:p>
        </w:tc>
        <w:tc>
          <w:tcPr>
            <w:tcW w:w="2977" w:type="dxa"/>
          </w:tcPr>
          <w:p w14:paraId="1E3392C0" w14:textId="77777777" w:rsidR="00AE7191" w:rsidRPr="001E2C69" w:rsidRDefault="00AE7191" w:rsidP="00722885">
            <w:pPr>
              <w:pStyle w:val="Iauiue"/>
              <w:jc w:val="both"/>
              <w:rPr>
                <w:color w:val="000000" w:themeColor="text1"/>
                <w:sz w:val="16"/>
                <w:szCs w:val="16"/>
              </w:rPr>
            </w:pPr>
          </w:p>
        </w:tc>
      </w:tr>
      <w:tr w:rsidR="001E2C69" w:rsidRPr="001E2C69" w14:paraId="0EE939B5" w14:textId="77777777" w:rsidTr="00CC5360">
        <w:tc>
          <w:tcPr>
            <w:tcW w:w="1878" w:type="dxa"/>
          </w:tcPr>
          <w:p w14:paraId="5AE7FCC6" w14:textId="77777777" w:rsidR="00AE7191" w:rsidRPr="001E2C69" w:rsidRDefault="00AE7191" w:rsidP="00722885">
            <w:pPr>
              <w:pStyle w:val="Iauiue"/>
              <w:jc w:val="both"/>
              <w:rPr>
                <w:color w:val="000000" w:themeColor="text1"/>
                <w:sz w:val="16"/>
                <w:szCs w:val="16"/>
              </w:rPr>
            </w:pPr>
          </w:p>
        </w:tc>
        <w:tc>
          <w:tcPr>
            <w:tcW w:w="5601" w:type="dxa"/>
          </w:tcPr>
          <w:p w14:paraId="10D90EE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модификация самолета Пе-2</w:t>
            </w:r>
          </w:p>
        </w:tc>
        <w:tc>
          <w:tcPr>
            <w:tcW w:w="2977" w:type="dxa"/>
          </w:tcPr>
          <w:p w14:paraId="721E4926" w14:textId="77777777" w:rsidR="00AE7191" w:rsidRPr="001E2C69" w:rsidRDefault="00AE7191" w:rsidP="00722885">
            <w:pPr>
              <w:pStyle w:val="Iauiue"/>
              <w:jc w:val="both"/>
              <w:rPr>
                <w:color w:val="000000" w:themeColor="text1"/>
                <w:sz w:val="16"/>
                <w:szCs w:val="16"/>
              </w:rPr>
            </w:pPr>
          </w:p>
        </w:tc>
      </w:tr>
      <w:tr w:rsidR="001E2C69" w:rsidRPr="001E2C69" w14:paraId="25069ED2" w14:textId="77777777" w:rsidTr="00CC5360">
        <w:tc>
          <w:tcPr>
            <w:tcW w:w="1878" w:type="dxa"/>
          </w:tcPr>
          <w:p w14:paraId="245794D2" w14:textId="77777777" w:rsidR="00AE7191" w:rsidRPr="001E2C69" w:rsidRDefault="00AE7191" w:rsidP="00722885">
            <w:pPr>
              <w:pStyle w:val="Iauiue"/>
              <w:jc w:val="both"/>
              <w:rPr>
                <w:color w:val="000000" w:themeColor="text1"/>
                <w:sz w:val="16"/>
                <w:szCs w:val="16"/>
              </w:rPr>
            </w:pPr>
          </w:p>
        </w:tc>
        <w:tc>
          <w:tcPr>
            <w:tcW w:w="5601" w:type="dxa"/>
          </w:tcPr>
          <w:p w14:paraId="4EF4FB6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экз.</w:t>
            </w:r>
          </w:p>
        </w:tc>
        <w:tc>
          <w:tcPr>
            <w:tcW w:w="2977" w:type="dxa"/>
          </w:tcPr>
          <w:p w14:paraId="275C8FD5" w14:textId="77777777" w:rsidR="00AE7191" w:rsidRPr="001E2C69" w:rsidRDefault="00AE7191" w:rsidP="00722885">
            <w:pPr>
              <w:pStyle w:val="Iauiue"/>
              <w:jc w:val="both"/>
              <w:rPr>
                <w:color w:val="000000" w:themeColor="text1"/>
                <w:sz w:val="16"/>
                <w:szCs w:val="16"/>
              </w:rPr>
            </w:pPr>
          </w:p>
        </w:tc>
      </w:tr>
      <w:tr w:rsidR="001E2C69" w:rsidRPr="001E2C69" w14:paraId="2AF20A54" w14:textId="77777777" w:rsidTr="00CC5360">
        <w:tc>
          <w:tcPr>
            <w:tcW w:w="1878" w:type="dxa"/>
          </w:tcPr>
          <w:p w14:paraId="0A0799DC" w14:textId="77777777" w:rsidR="00AE7191" w:rsidRPr="001E2C69" w:rsidRDefault="00AE7191" w:rsidP="00722885">
            <w:pPr>
              <w:pStyle w:val="Iauiue"/>
              <w:jc w:val="both"/>
              <w:rPr>
                <w:color w:val="000000" w:themeColor="text1"/>
                <w:sz w:val="16"/>
                <w:szCs w:val="16"/>
              </w:rPr>
            </w:pPr>
          </w:p>
        </w:tc>
        <w:tc>
          <w:tcPr>
            <w:tcW w:w="5601" w:type="dxa"/>
          </w:tcPr>
          <w:p w14:paraId="60A64FE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13. Высотный истребитель</w:t>
            </w:r>
          </w:p>
        </w:tc>
        <w:tc>
          <w:tcPr>
            <w:tcW w:w="2977" w:type="dxa"/>
          </w:tcPr>
          <w:p w14:paraId="67545FF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w:t>
            </w:r>
          </w:p>
        </w:tc>
      </w:tr>
      <w:tr w:rsidR="001E2C69" w:rsidRPr="001E2C69" w14:paraId="7327922D" w14:textId="77777777" w:rsidTr="00CC5360">
        <w:tc>
          <w:tcPr>
            <w:tcW w:w="1878" w:type="dxa"/>
          </w:tcPr>
          <w:p w14:paraId="22830791" w14:textId="77777777" w:rsidR="00AE7191" w:rsidRPr="001E2C69" w:rsidRDefault="00AE7191" w:rsidP="00722885">
            <w:pPr>
              <w:pStyle w:val="Iauiue"/>
              <w:jc w:val="both"/>
              <w:rPr>
                <w:color w:val="000000" w:themeColor="text1"/>
                <w:sz w:val="16"/>
                <w:szCs w:val="16"/>
              </w:rPr>
            </w:pPr>
          </w:p>
        </w:tc>
        <w:tc>
          <w:tcPr>
            <w:tcW w:w="5601" w:type="dxa"/>
          </w:tcPr>
          <w:p w14:paraId="17C6115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ВИ-100 с двумя моторами М-105ф</w:t>
            </w:r>
          </w:p>
        </w:tc>
        <w:tc>
          <w:tcPr>
            <w:tcW w:w="2977" w:type="dxa"/>
          </w:tcPr>
          <w:p w14:paraId="24949512" w14:textId="77777777" w:rsidR="00AE7191" w:rsidRPr="001E2C69" w:rsidRDefault="00AE7191" w:rsidP="00722885">
            <w:pPr>
              <w:pStyle w:val="Iauiue"/>
              <w:jc w:val="both"/>
              <w:rPr>
                <w:color w:val="000000" w:themeColor="text1"/>
                <w:sz w:val="16"/>
                <w:szCs w:val="16"/>
              </w:rPr>
            </w:pPr>
          </w:p>
        </w:tc>
      </w:tr>
      <w:tr w:rsidR="001E2C69" w:rsidRPr="001E2C69" w14:paraId="174FE8FD" w14:textId="77777777" w:rsidTr="00CC5360">
        <w:tc>
          <w:tcPr>
            <w:tcW w:w="1878" w:type="dxa"/>
          </w:tcPr>
          <w:p w14:paraId="501FC2DB" w14:textId="77777777" w:rsidR="00AE7191" w:rsidRPr="001E2C69" w:rsidRDefault="00AE7191" w:rsidP="00722885">
            <w:pPr>
              <w:pStyle w:val="Iauiue"/>
              <w:jc w:val="both"/>
              <w:rPr>
                <w:color w:val="000000" w:themeColor="text1"/>
                <w:sz w:val="16"/>
                <w:szCs w:val="16"/>
              </w:rPr>
            </w:pPr>
          </w:p>
        </w:tc>
        <w:tc>
          <w:tcPr>
            <w:tcW w:w="5601" w:type="dxa"/>
          </w:tcPr>
          <w:p w14:paraId="6D8324C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герметическими кабинами,</w:t>
            </w:r>
          </w:p>
        </w:tc>
        <w:tc>
          <w:tcPr>
            <w:tcW w:w="2977" w:type="dxa"/>
          </w:tcPr>
          <w:p w14:paraId="5B278CC3" w14:textId="77777777" w:rsidR="00AE7191" w:rsidRPr="001E2C69" w:rsidRDefault="00AE7191" w:rsidP="00722885">
            <w:pPr>
              <w:pStyle w:val="Iauiue"/>
              <w:jc w:val="both"/>
              <w:rPr>
                <w:color w:val="000000" w:themeColor="text1"/>
                <w:sz w:val="16"/>
                <w:szCs w:val="16"/>
              </w:rPr>
            </w:pPr>
          </w:p>
        </w:tc>
      </w:tr>
      <w:tr w:rsidR="001E2C69" w:rsidRPr="001E2C69" w14:paraId="56A11C94" w14:textId="77777777" w:rsidTr="00CC5360">
        <w:tc>
          <w:tcPr>
            <w:tcW w:w="1878" w:type="dxa"/>
          </w:tcPr>
          <w:p w14:paraId="6FA9E4B5" w14:textId="77777777" w:rsidR="00AE7191" w:rsidRPr="001E2C69" w:rsidRDefault="00AE7191" w:rsidP="00722885">
            <w:pPr>
              <w:pStyle w:val="Iauiue"/>
              <w:jc w:val="both"/>
              <w:rPr>
                <w:color w:val="000000" w:themeColor="text1"/>
                <w:sz w:val="16"/>
                <w:szCs w:val="16"/>
              </w:rPr>
            </w:pPr>
          </w:p>
        </w:tc>
        <w:tc>
          <w:tcPr>
            <w:tcW w:w="5601" w:type="dxa"/>
          </w:tcPr>
          <w:p w14:paraId="63B7F9C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модификация самолета Пе-2</w:t>
            </w:r>
          </w:p>
        </w:tc>
        <w:tc>
          <w:tcPr>
            <w:tcW w:w="2977" w:type="dxa"/>
          </w:tcPr>
          <w:p w14:paraId="23F705AA" w14:textId="77777777" w:rsidR="00AE7191" w:rsidRPr="001E2C69" w:rsidRDefault="00AE7191" w:rsidP="00722885">
            <w:pPr>
              <w:pStyle w:val="Iauiue"/>
              <w:jc w:val="both"/>
              <w:rPr>
                <w:color w:val="000000" w:themeColor="text1"/>
                <w:sz w:val="16"/>
                <w:szCs w:val="16"/>
              </w:rPr>
            </w:pPr>
          </w:p>
        </w:tc>
      </w:tr>
      <w:tr w:rsidR="001E2C69" w:rsidRPr="001E2C69" w14:paraId="220879DE" w14:textId="77777777" w:rsidTr="00CC5360">
        <w:tc>
          <w:tcPr>
            <w:tcW w:w="1878" w:type="dxa"/>
          </w:tcPr>
          <w:p w14:paraId="7DD24117" w14:textId="77777777" w:rsidR="00AE7191" w:rsidRPr="001E2C69" w:rsidRDefault="00AE7191" w:rsidP="00722885">
            <w:pPr>
              <w:pStyle w:val="Iauiue"/>
              <w:jc w:val="both"/>
              <w:rPr>
                <w:color w:val="000000" w:themeColor="text1"/>
                <w:sz w:val="16"/>
                <w:szCs w:val="16"/>
              </w:rPr>
            </w:pPr>
          </w:p>
        </w:tc>
        <w:tc>
          <w:tcPr>
            <w:tcW w:w="5601" w:type="dxa"/>
          </w:tcPr>
          <w:p w14:paraId="0617FBB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экземпляров</w:t>
            </w:r>
          </w:p>
        </w:tc>
        <w:tc>
          <w:tcPr>
            <w:tcW w:w="2977" w:type="dxa"/>
          </w:tcPr>
          <w:p w14:paraId="611FF50A" w14:textId="77777777" w:rsidR="00AE7191" w:rsidRPr="001E2C69" w:rsidRDefault="00AE7191" w:rsidP="00722885">
            <w:pPr>
              <w:pStyle w:val="Iauiue"/>
              <w:jc w:val="both"/>
              <w:rPr>
                <w:color w:val="000000" w:themeColor="text1"/>
                <w:sz w:val="16"/>
                <w:szCs w:val="16"/>
              </w:rPr>
            </w:pPr>
          </w:p>
        </w:tc>
      </w:tr>
      <w:tr w:rsidR="001E2C69" w:rsidRPr="001E2C69" w14:paraId="026D5A19" w14:textId="77777777" w:rsidTr="00CC5360">
        <w:tc>
          <w:tcPr>
            <w:tcW w:w="1878" w:type="dxa"/>
          </w:tcPr>
          <w:p w14:paraId="3A380F7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Ильюшин С.В.</w:t>
            </w:r>
          </w:p>
        </w:tc>
        <w:tc>
          <w:tcPr>
            <w:tcW w:w="5601" w:type="dxa"/>
          </w:tcPr>
          <w:p w14:paraId="13B53B1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14. Дальний бомбардировщик</w:t>
            </w:r>
          </w:p>
        </w:tc>
        <w:tc>
          <w:tcPr>
            <w:tcW w:w="2977" w:type="dxa"/>
          </w:tcPr>
          <w:p w14:paraId="2AA7CCE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От 7.VШ-40</w:t>
            </w:r>
          </w:p>
        </w:tc>
      </w:tr>
      <w:tr w:rsidR="001E2C69" w:rsidRPr="001E2C69" w14:paraId="6031581C" w14:textId="77777777" w:rsidTr="00CC5360">
        <w:tc>
          <w:tcPr>
            <w:tcW w:w="1878" w:type="dxa"/>
          </w:tcPr>
          <w:p w14:paraId="382614D3" w14:textId="77777777" w:rsidR="00AE7191" w:rsidRPr="001E2C69" w:rsidRDefault="00AE7191" w:rsidP="00722885">
            <w:pPr>
              <w:pStyle w:val="Iauiue"/>
              <w:jc w:val="both"/>
              <w:rPr>
                <w:color w:val="000000" w:themeColor="text1"/>
                <w:sz w:val="16"/>
                <w:szCs w:val="16"/>
              </w:rPr>
            </w:pPr>
          </w:p>
        </w:tc>
        <w:tc>
          <w:tcPr>
            <w:tcW w:w="5601" w:type="dxa"/>
          </w:tcPr>
          <w:p w14:paraId="27F9AEC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ДБ-4 с двумя моторами АМ-37</w:t>
            </w:r>
          </w:p>
        </w:tc>
        <w:tc>
          <w:tcPr>
            <w:tcW w:w="2977" w:type="dxa"/>
          </w:tcPr>
          <w:p w14:paraId="30B30E1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 N 226сс</w:t>
            </w:r>
          </w:p>
        </w:tc>
      </w:tr>
      <w:tr w:rsidR="001E2C69" w:rsidRPr="001E2C69" w14:paraId="289FB090" w14:textId="77777777" w:rsidTr="00CC5360">
        <w:tc>
          <w:tcPr>
            <w:tcW w:w="1878" w:type="dxa"/>
          </w:tcPr>
          <w:p w14:paraId="600E0163" w14:textId="77777777" w:rsidR="00AE7191" w:rsidRPr="001E2C69" w:rsidRDefault="00AE7191" w:rsidP="00722885">
            <w:pPr>
              <w:pStyle w:val="Iauiue"/>
              <w:jc w:val="both"/>
              <w:rPr>
                <w:color w:val="000000" w:themeColor="text1"/>
                <w:sz w:val="16"/>
                <w:szCs w:val="16"/>
              </w:rPr>
            </w:pPr>
          </w:p>
        </w:tc>
        <w:tc>
          <w:tcPr>
            <w:tcW w:w="5601" w:type="dxa"/>
          </w:tcPr>
          <w:p w14:paraId="14581D4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экз.</w:t>
            </w:r>
          </w:p>
        </w:tc>
        <w:tc>
          <w:tcPr>
            <w:tcW w:w="2977" w:type="dxa"/>
          </w:tcPr>
          <w:p w14:paraId="1368700F" w14:textId="77777777" w:rsidR="00AE7191" w:rsidRPr="001E2C69" w:rsidRDefault="00AE7191" w:rsidP="00722885">
            <w:pPr>
              <w:pStyle w:val="Iauiue"/>
              <w:jc w:val="both"/>
              <w:rPr>
                <w:color w:val="000000" w:themeColor="text1"/>
                <w:sz w:val="16"/>
                <w:szCs w:val="16"/>
              </w:rPr>
            </w:pPr>
          </w:p>
        </w:tc>
      </w:tr>
      <w:tr w:rsidR="001E2C69" w:rsidRPr="001E2C69" w14:paraId="47AECA58" w14:textId="77777777" w:rsidTr="00CC5360">
        <w:tc>
          <w:tcPr>
            <w:tcW w:w="1878" w:type="dxa"/>
          </w:tcPr>
          <w:p w14:paraId="1145583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Кочеригин С.А.</w:t>
            </w:r>
          </w:p>
        </w:tc>
        <w:tc>
          <w:tcPr>
            <w:tcW w:w="5601" w:type="dxa"/>
          </w:tcPr>
          <w:p w14:paraId="2C56BA0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 Одноместный пикирующий</w:t>
            </w:r>
          </w:p>
        </w:tc>
        <w:tc>
          <w:tcPr>
            <w:tcW w:w="2977" w:type="dxa"/>
          </w:tcPr>
          <w:p w14:paraId="162C972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От 4.VIII.40</w:t>
            </w:r>
          </w:p>
        </w:tc>
      </w:tr>
      <w:tr w:rsidR="001E2C69" w:rsidRPr="001E2C69" w14:paraId="555892AE" w14:textId="77777777" w:rsidTr="00CC5360">
        <w:tc>
          <w:tcPr>
            <w:tcW w:w="1878" w:type="dxa"/>
          </w:tcPr>
          <w:p w14:paraId="17956764" w14:textId="77777777" w:rsidR="00AE7191" w:rsidRPr="001E2C69" w:rsidRDefault="00AE7191" w:rsidP="00722885">
            <w:pPr>
              <w:pStyle w:val="Iauiue"/>
              <w:jc w:val="both"/>
              <w:rPr>
                <w:color w:val="000000" w:themeColor="text1"/>
                <w:sz w:val="16"/>
                <w:szCs w:val="16"/>
              </w:rPr>
            </w:pPr>
          </w:p>
        </w:tc>
        <w:tc>
          <w:tcPr>
            <w:tcW w:w="5601" w:type="dxa"/>
          </w:tcPr>
          <w:p w14:paraId="59AC1D8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бомбардировщик с мотором М-90</w:t>
            </w:r>
          </w:p>
        </w:tc>
        <w:tc>
          <w:tcPr>
            <w:tcW w:w="2977" w:type="dxa"/>
          </w:tcPr>
          <w:p w14:paraId="3AF49DD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 N 342сс</w:t>
            </w:r>
          </w:p>
        </w:tc>
      </w:tr>
      <w:tr w:rsidR="001E2C69" w:rsidRPr="001E2C69" w14:paraId="275A0BED" w14:textId="77777777" w:rsidTr="00CC5360">
        <w:tc>
          <w:tcPr>
            <w:tcW w:w="1878" w:type="dxa"/>
          </w:tcPr>
          <w:p w14:paraId="41FFF8EC" w14:textId="77777777" w:rsidR="00AE7191" w:rsidRPr="001E2C69" w:rsidRDefault="00AE7191" w:rsidP="00722885">
            <w:pPr>
              <w:pStyle w:val="Iauiue"/>
              <w:jc w:val="both"/>
              <w:rPr>
                <w:color w:val="000000" w:themeColor="text1"/>
                <w:sz w:val="16"/>
                <w:szCs w:val="16"/>
              </w:rPr>
            </w:pPr>
          </w:p>
        </w:tc>
        <w:tc>
          <w:tcPr>
            <w:tcW w:w="5601" w:type="dxa"/>
          </w:tcPr>
          <w:p w14:paraId="13FD5C2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экз.</w:t>
            </w:r>
          </w:p>
        </w:tc>
        <w:tc>
          <w:tcPr>
            <w:tcW w:w="2977" w:type="dxa"/>
          </w:tcPr>
          <w:p w14:paraId="79C57658" w14:textId="77777777" w:rsidR="00AE7191" w:rsidRPr="001E2C69" w:rsidRDefault="00AE7191" w:rsidP="00722885">
            <w:pPr>
              <w:pStyle w:val="Iauiue"/>
              <w:jc w:val="both"/>
              <w:rPr>
                <w:color w:val="000000" w:themeColor="text1"/>
                <w:sz w:val="16"/>
                <w:szCs w:val="16"/>
              </w:rPr>
            </w:pPr>
          </w:p>
        </w:tc>
      </w:tr>
      <w:tr w:rsidR="001E2C69" w:rsidRPr="001E2C69" w14:paraId="3480A7C1" w14:textId="77777777" w:rsidTr="00CC5360">
        <w:tc>
          <w:tcPr>
            <w:tcW w:w="1878" w:type="dxa"/>
          </w:tcPr>
          <w:p w14:paraId="4488439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Архангельский</w:t>
            </w:r>
          </w:p>
        </w:tc>
        <w:tc>
          <w:tcPr>
            <w:tcW w:w="5601" w:type="dxa"/>
          </w:tcPr>
          <w:p w14:paraId="3A96A09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16. Двухмоторный бомбардировщик</w:t>
            </w:r>
          </w:p>
        </w:tc>
        <w:tc>
          <w:tcPr>
            <w:tcW w:w="2977" w:type="dxa"/>
          </w:tcPr>
          <w:p w14:paraId="3F9AE64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N 108 сс от 4.III.40</w:t>
            </w:r>
          </w:p>
        </w:tc>
      </w:tr>
      <w:tr w:rsidR="001E2C69" w:rsidRPr="001E2C69" w14:paraId="5B1B8D28" w14:textId="77777777" w:rsidTr="00CC5360">
        <w:tc>
          <w:tcPr>
            <w:tcW w:w="1878" w:type="dxa"/>
          </w:tcPr>
          <w:p w14:paraId="46B063EA" w14:textId="77777777" w:rsidR="00AE7191" w:rsidRPr="001E2C69" w:rsidRDefault="00AE7191" w:rsidP="00722885">
            <w:pPr>
              <w:pStyle w:val="Iauiue"/>
              <w:jc w:val="both"/>
              <w:rPr>
                <w:color w:val="000000" w:themeColor="text1"/>
                <w:sz w:val="16"/>
                <w:szCs w:val="16"/>
              </w:rPr>
            </w:pPr>
          </w:p>
        </w:tc>
        <w:tc>
          <w:tcPr>
            <w:tcW w:w="5601" w:type="dxa"/>
          </w:tcPr>
          <w:p w14:paraId="77F5E8D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СБ "Б" с моторами М-105 ТК 1 экз.</w:t>
            </w:r>
          </w:p>
        </w:tc>
        <w:tc>
          <w:tcPr>
            <w:tcW w:w="2977" w:type="dxa"/>
          </w:tcPr>
          <w:p w14:paraId="2FF1677A" w14:textId="77777777" w:rsidR="00AE7191" w:rsidRPr="001E2C69" w:rsidRDefault="00AE7191" w:rsidP="00722885">
            <w:pPr>
              <w:pStyle w:val="Iauiue"/>
              <w:jc w:val="both"/>
              <w:rPr>
                <w:color w:val="000000" w:themeColor="text1"/>
                <w:sz w:val="16"/>
                <w:szCs w:val="16"/>
              </w:rPr>
            </w:pPr>
          </w:p>
        </w:tc>
      </w:tr>
      <w:tr w:rsidR="001E2C69" w:rsidRPr="001E2C69" w14:paraId="293E0C2C" w14:textId="77777777" w:rsidTr="00CC5360">
        <w:tc>
          <w:tcPr>
            <w:tcW w:w="1878" w:type="dxa"/>
          </w:tcPr>
          <w:p w14:paraId="4B032F9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Мосолов И.П.</w:t>
            </w:r>
          </w:p>
        </w:tc>
        <w:tc>
          <w:tcPr>
            <w:tcW w:w="5601" w:type="dxa"/>
          </w:tcPr>
          <w:p w14:paraId="5444A71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17. Модификация самолета ПС-84</w:t>
            </w:r>
          </w:p>
        </w:tc>
        <w:tc>
          <w:tcPr>
            <w:tcW w:w="2977" w:type="dxa"/>
          </w:tcPr>
          <w:p w14:paraId="68CA056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от 18.III.41</w:t>
            </w:r>
          </w:p>
        </w:tc>
      </w:tr>
      <w:tr w:rsidR="001E2C69" w:rsidRPr="001E2C69" w14:paraId="03BA2337" w14:textId="77777777" w:rsidTr="00CC5360">
        <w:tc>
          <w:tcPr>
            <w:tcW w:w="1878" w:type="dxa"/>
          </w:tcPr>
          <w:p w14:paraId="4C65BFF6" w14:textId="77777777" w:rsidR="00AE7191" w:rsidRPr="001E2C69" w:rsidRDefault="00AE7191" w:rsidP="00722885">
            <w:pPr>
              <w:pStyle w:val="Iauiue"/>
              <w:jc w:val="both"/>
              <w:rPr>
                <w:color w:val="000000" w:themeColor="text1"/>
                <w:sz w:val="16"/>
                <w:szCs w:val="16"/>
              </w:rPr>
            </w:pPr>
          </w:p>
        </w:tc>
        <w:tc>
          <w:tcPr>
            <w:tcW w:w="5601" w:type="dxa"/>
          </w:tcPr>
          <w:p w14:paraId="7682213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дизель моторами М-30 в варианте</w:t>
            </w:r>
          </w:p>
        </w:tc>
        <w:tc>
          <w:tcPr>
            <w:tcW w:w="2977" w:type="dxa"/>
          </w:tcPr>
          <w:p w14:paraId="794268C4" w14:textId="77777777" w:rsidR="00AE7191" w:rsidRPr="001E2C69" w:rsidRDefault="00AE7191" w:rsidP="00722885">
            <w:pPr>
              <w:pStyle w:val="Iauiue"/>
              <w:jc w:val="both"/>
              <w:rPr>
                <w:color w:val="000000" w:themeColor="text1"/>
                <w:sz w:val="16"/>
                <w:szCs w:val="16"/>
              </w:rPr>
            </w:pPr>
          </w:p>
        </w:tc>
      </w:tr>
      <w:tr w:rsidR="001E2C69" w:rsidRPr="001E2C69" w14:paraId="02468626" w14:textId="77777777" w:rsidTr="00CC5360">
        <w:tc>
          <w:tcPr>
            <w:tcW w:w="1878" w:type="dxa"/>
          </w:tcPr>
          <w:p w14:paraId="16E599C6" w14:textId="77777777" w:rsidR="00AE7191" w:rsidRPr="001E2C69" w:rsidRDefault="00AE7191" w:rsidP="00722885">
            <w:pPr>
              <w:pStyle w:val="Iauiue"/>
              <w:jc w:val="both"/>
              <w:rPr>
                <w:color w:val="000000" w:themeColor="text1"/>
                <w:sz w:val="16"/>
                <w:szCs w:val="16"/>
              </w:rPr>
            </w:pPr>
          </w:p>
        </w:tc>
        <w:tc>
          <w:tcPr>
            <w:tcW w:w="5601" w:type="dxa"/>
          </w:tcPr>
          <w:p w14:paraId="0148FB8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бомбардировщика - 2 экз. (2178,181)</w:t>
            </w:r>
          </w:p>
        </w:tc>
        <w:tc>
          <w:tcPr>
            <w:tcW w:w="2977" w:type="dxa"/>
          </w:tcPr>
          <w:p w14:paraId="67E61F2A" w14:textId="77777777" w:rsidR="00AE7191" w:rsidRPr="001E2C69" w:rsidRDefault="00AE7191" w:rsidP="00722885">
            <w:pPr>
              <w:pStyle w:val="Iauiue"/>
              <w:jc w:val="both"/>
              <w:rPr>
                <w:color w:val="000000" w:themeColor="text1"/>
                <w:sz w:val="16"/>
                <w:szCs w:val="16"/>
              </w:rPr>
            </w:pPr>
          </w:p>
        </w:tc>
      </w:tr>
      <w:tr w:rsidR="009B487A" w:rsidRPr="001E2C69" w14:paraId="15511C79" w14:textId="77777777" w:rsidTr="00CC5360">
        <w:tc>
          <w:tcPr>
            <w:tcW w:w="1878" w:type="dxa"/>
            <w:tcBorders>
              <w:bottom w:val="single" w:sz="12" w:space="0" w:color="auto"/>
            </w:tcBorders>
          </w:tcPr>
          <w:p w14:paraId="6695105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Яковлев А.С.</w:t>
            </w:r>
          </w:p>
        </w:tc>
        <w:tc>
          <w:tcPr>
            <w:tcW w:w="5601" w:type="dxa"/>
            <w:tcBorders>
              <w:bottom w:val="single" w:sz="12" w:space="0" w:color="auto"/>
            </w:tcBorders>
          </w:tcPr>
          <w:p w14:paraId="7FA167D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18. Одноместный тяжелый истребитель с мотором МБ-100 - 2 экз.</w:t>
            </w:r>
          </w:p>
        </w:tc>
        <w:tc>
          <w:tcPr>
            <w:tcW w:w="2977" w:type="dxa"/>
            <w:tcBorders>
              <w:bottom w:val="single" w:sz="12" w:space="0" w:color="auto"/>
            </w:tcBorders>
          </w:tcPr>
          <w:p w14:paraId="6E1ACDA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от 16.1У.41 за № 1022-417сс (1633,216).</w:t>
            </w:r>
          </w:p>
        </w:tc>
      </w:tr>
    </w:tbl>
    <w:p w14:paraId="63BE1177" w14:textId="77777777" w:rsidR="00AE7191" w:rsidRPr="001E2C69" w:rsidRDefault="00AE7191" w:rsidP="00722885">
      <w:pPr>
        <w:pStyle w:val="Iauiue"/>
        <w:jc w:val="both"/>
        <w:rPr>
          <w:color w:val="000000" w:themeColor="text1"/>
          <w:sz w:val="16"/>
          <w:szCs w:val="16"/>
        </w:rPr>
      </w:pPr>
    </w:p>
    <w:p w14:paraId="0DB0F55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августа 1942 года вышел приказ НКАП № 589с во исполнение Постановления ГОКО № 2134 от 3 августа 1942 года, которыми завод № 39 получил задание осовить и запустить в серийное производство машину ИЛ-4.</w:t>
      </w:r>
    </w:p>
    <w:p w14:paraId="58C024A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период изготовления ИЛ-4 заводом в 1943 году были изготовлены два опытных образца машины ИЛ-6. (Директор завода Абрамов В.И.). В сентябре 1943 года заводом было получено задание параллельно с изготовлением ИЛ-4 организовать производство машины ЕР-2.</w:t>
      </w:r>
    </w:p>
    <w:p w14:paraId="5E4A062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этот же период наряду с изготовлением машины ЕР-2 на заводе в 1944-1945 гг. были изготовлены четыре образца пассажирского варианта ЕР-2 особого назначения (ЕР-20Н), а также несколько образцов модификаций машины ЕР-2-ЕР-2ММ.</w:t>
      </w:r>
    </w:p>
    <w:p w14:paraId="58DB2C4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Кроме самолетов в период 1942-1945 гг. завод согласно решения ГОКО № 1849сс от июня 1942 года для фронта изготавливал корпуса 82 мм мин (изделие М-82).</w:t>
      </w:r>
    </w:p>
    <w:p w14:paraId="6B3EBAB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Постановлением СНК от 26 февраля 1946 года № 473-192сс и приказом НКАП № 83 от 2 марта 1946 года заводу было дано задание освоить изготовление и запустить в производство машину ТУ-2. Директор – Петров.</w:t>
      </w:r>
    </w:p>
    <w:p w14:paraId="608EFD2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Головную машину ТУ-2 завод выпустил 30 июня 1947 года.</w:t>
      </w:r>
    </w:p>
    <w:p w14:paraId="68921A2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ТУ-2 завод выпускал в течение 1947-1949 гг.</w:t>
      </w:r>
    </w:p>
    <w:p w14:paraId="48014BD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Постановлением СМ № 1890-700сс от 14 мая 1949 года и приказом МАП № 374сс от 19 мая 1949 года заводу было дано новое задание по постановлке в серийное производство реактивного бомбардировщика ИЛ-28 с двумя двигателями ВК-1.</w:t>
      </w:r>
    </w:p>
    <w:p w14:paraId="74C7478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начале сентября 1949 года все работы по запуску в производство ИЛ-28 были приостановлены в связи с изменением задания.</w:t>
      </w:r>
    </w:p>
    <w:p w14:paraId="1C0EF5E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04FBA6A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Постановлением СМ от 31 декабря 1952 года № 533-2090сс и приказом МАП от 3-го января 1953 года № 6сс заводу было дано новое задание о постановке в производство нового изделия самолета ИЛ-28Р. (Жиректор завода Иванченко С.К.)</w:t>
      </w:r>
    </w:p>
    <w:p w14:paraId="453566C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И.о. директора – Гордин</w:t>
      </w:r>
    </w:p>
    <w:p w14:paraId="2CB4C1C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Адрес: Иркутская область, п/я 411</w:t>
      </w:r>
    </w:p>
    <w:p w14:paraId="2D7AAED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Производственный профиль – самолетостроение</w:t>
      </w:r>
    </w:p>
    <w:p w14:paraId="5691FC6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расположен в Иркутской области в поселке Ленина, находящемся от Иркутска на расстоянии 7 км по ж/д в западном направлении и по автомобильной дороге на расстоянии 11 км. С северной стороны завода протекает Ангара на расстоянии 2,5 км (9826).</w:t>
      </w:r>
    </w:p>
    <w:p w14:paraId="398D62F2" w14:textId="77777777" w:rsidR="00AE7191" w:rsidRPr="001E2C69" w:rsidRDefault="00AE7191" w:rsidP="00722885">
      <w:pPr>
        <w:pStyle w:val="Iauiue"/>
        <w:jc w:val="both"/>
        <w:rPr>
          <w:color w:val="000000" w:themeColor="text1"/>
          <w:sz w:val="16"/>
          <w:szCs w:val="16"/>
        </w:rPr>
      </w:pPr>
    </w:p>
    <w:p w14:paraId="0019C21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августа 1942 г. по приказу НКАП № 589с от завода № 39 (Краснознаменный завод № 39 им. В.Р. Менжинского НКВМ, ВСНХ, НКТП, НКОП, НКАП, «Ремвоздухзавод № 1» УВВС, Завод «Авиаработник», Иркутский машиностроительный завод, Иркутский авиационный завод (ИАЗ) им. 60-летия СССР, А-3621, Иркутское авиационное производственное объединение (ИАПО), ОАО «ИАПО», ОАО «ИАЗ» / г. Москва Беговой пр. п/я 2400 «Колесо» (1938 г.);  г. Иркутск/ /664020  г. Иркутск ул. Новаторов, 3 ИАПО: тел. 42-11-68, -58; «Иркут»: 32-29-09/ /Московское представительство: ул. Б. Молчановка, 30/7 стр. 2 тел. 290-34-04; 121019 Б. Афанасьевский пер., 15 тел. 291-41-66/) производство Пе-2 требовалось прекратить, сосредоточившись на выпуске Ил-4. Последний Пе-2 был выпущен 22.08.1942 г. С 10.1942 г. начался выпуск Ил-4. Последние выпущены в 07.1944 г. (11982).</w:t>
      </w:r>
    </w:p>
    <w:p w14:paraId="7737E6EF"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6A3655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августа 1942 состоялся первый полет ЛаГГ-3 N 3123173 с двумя ПВРД ВРД-1 конструкции НИИ ГВФ и ИХФ М.М.Бондарюка. Потом в 6 полетах отработали подачу горючего, регулировку состава смеси и системы зажигания, проверку пуска и работы на различных высотах и скоростях. В 7 полетах испытали пусковые качества и эффективность ПВРД и до 16 августа к Мищенко выполнил 14 полетов (2448,8).</w:t>
      </w:r>
    </w:p>
    <w:p w14:paraId="3572E410" w14:textId="77777777" w:rsidR="00AE7191" w:rsidRPr="001E2C69" w:rsidRDefault="00AE7191" w:rsidP="00722885">
      <w:pPr>
        <w:pStyle w:val="Iauiue"/>
        <w:jc w:val="both"/>
        <w:rPr>
          <w:color w:val="000000" w:themeColor="text1"/>
          <w:sz w:val="16"/>
          <w:szCs w:val="16"/>
        </w:rPr>
      </w:pPr>
    </w:p>
    <w:p w14:paraId="13A41B86"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5 августа в 1942 году первый полет </w:t>
      </w:r>
      <w:hyperlink r:id="rId183" w:tgtFrame="_blank" w:history="1">
        <w:r w:rsidRPr="001E2C69">
          <w:rPr>
            <w:rFonts w:ascii="Times New Roman" w:hAnsi="Times New Roman"/>
            <w:color w:val="000000" w:themeColor="text1"/>
            <w:sz w:val="16"/>
            <w:szCs w:val="16"/>
          </w:rPr>
          <w:t xml:space="preserve">«ЛаГГ-3» </w:t>
        </w:r>
      </w:hyperlink>
      <w:r w:rsidRPr="001E2C69">
        <w:rPr>
          <w:rFonts w:ascii="Times New Roman" w:hAnsi="Times New Roman"/>
          <w:color w:val="000000" w:themeColor="text1"/>
          <w:sz w:val="16"/>
          <w:szCs w:val="16"/>
        </w:rPr>
        <w:t xml:space="preserve">с ПВРД «ВРД-1». Первый полет предназначался для проверки крепления ПВРД. Затем в шести последующих провели отработку подачи горючего, регулировку состава смеси и системы зажигания, проверку запуска и работы «ВРД-1» на различных высотах и скоростях В семи полетах исследовались пусковые качества и эффективность двигателей, а также была определена потеря максимальной скорости при наличии и отсутствии обтекателей узлов подвески. Всего до 16 августа на «ЛаГГ-3» с «ВРД-1» летчик-испытатель капитан Мишенко совершил 14 полетов. Полученный абсолютный прирост максимальной скорости (по отношению к скорости полета с выключенными ПВРД) на высоте 1500 м составил 12-15 км/ч Сами двигатели вместе с обтекателями узлов подвески имели большое аэродинамическое сопротивление и снижали максимальную скорость на 35-40 км/ч Хотя процесс горения в «ВРД-1» не отрегулировали, полученный прирост скорости от расчетной величины отличался незначительно Согласно проведенным расчетам при полете «ЛаГГ-3» № 31213173 с мотором «М-105ПФ» увеличение максимальной скорости от включения ускорителей должно было составить 23 км/ч на высоте 4000 метров и 17 км/ч на высоте 1500 м для нормального </w:t>
      </w:r>
      <w:r w:rsidRPr="001E2C69">
        <w:rPr>
          <w:rFonts w:ascii="Times New Roman" w:hAnsi="Times New Roman"/>
          <w:color w:val="000000" w:themeColor="text1"/>
          <w:sz w:val="16"/>
          <w:szCs w:val="16"/>
        </w:rPr>
        <w:lastRenderedPageBreak/>
        <w:t>варианта и, соответственно, 49 и 40 км/ч -для форсированного Правда, последний вариант из-за недостаточной производительности насоса «ВНК-10» не испытывался (14974).</w:t>
      </w:r>
    </w:p>
    <w:p w14:paraId="19C091C3" w14:textId="77777777" w:rsidR="00907F56" w:rsidRPr="001E2C69" w:rsidRDefault="00907F56" w:rsidP="00722885">
      <w:pPr>
        <w:spacing w:after="0" w:line="240" w:lineRule="auto"/>
        <w:jc w:val="both"/>
        <w:rPr>
          <w:rFonts w:ascii="Times New Roman" w:hAnsi="Times New Roman"/>
          <w:color w:val="000000" w:themeColor="text1"/>
          <w:sz w:val="16"/>
          <w:szCs w:val="16"/>
        </w:rPr>
      </w:pPr>
    </w:p>
    <w:p w14:paraId="0BA4B485" w14:textId="77777777" w:rsidR="004C71FA" w:rsidRPr="001E2C69" w:rsidRDefault="004C71FA" w:rsidP="00722885">
      <w:pPr>
        <w:pStyle w:val="af"/>
        <w:shd w:val="clear" w:color="auto" w:fill="FFFFFF"/>
        <w:spacing w:before="0" w:after="0"/>
        <w:jc w:val="both"/>
        <w:rPr>
          <w:color w:val="000000" w:themeColor="text1"/>
          <w:sz w:val="16"/>
          <w:szCs w:val="16"/>
        </w:rPr>
      </w:pPr>
      <w:r w:rsidRPr="001E2C69">
        <w:rPr>
          <w:color w:val="000000" w:themeColor="text1"/>
          <w:sz w:val="16"/>
          <w:szCs w:val="16"/>
        </w:rPr>
        <w:t>5 августа 1942 года состоялся первый полет с целью проверить крепление ВРД-1 к крыльям. Далее было проведе но шесть полетов для отработки системы подачи топлива, ре гулировки состава смеси и системы зажигания, проверки за ЕВТНФЬЕВ пуска и работы ВРД-1 на различных высотах и скоростях. В се ми полетах исследовали пусковые качества и эффективность двигателей, определили потерю максимальной скорости при наличии и отсутствии обтекателей узлов подвески. До 16 ав густа 1942 г. на ЛаГГ-3 с ВРД-1 летал летчик-испытатель ка питан Мищенко, который совершил всего 14 полетов.</w:t>
      </w:r>
    </w:p>
    <w:p w14:paraId="48ADFB27" w14:textId="77777777" w:rsidR="004C71FA" w:rsidRPr="001E2C69" w:rsidRDefault="004C71FA" w:rsidP="00722885">
      <w:pPr>
        <w:pStyle w:val="af"/>
        <w:shd w:val="clear" w:color="auto" w:fill="FFFFFF"/>
        <w:spacing w:before="0" w:after="0"/>
        <w:jc w:val="both"/>
        <w:rPr>
          <w:color w:val="000000" w:themeColor="text1"/>
          <w:sz w:val="16"/>
          <w:szCs w:val="16"/>
        </w:rPr>
      </w:pPr>
      <w:r w:rsidRPr="001E2C69">
        <w:rPr>
          <w:color w:val="000000" w:themeColor="text1"/>
          <w:sz w:val="16"/>
          <w:szCs w:val="16"/>
        </w:rPr>
        <w:t>Прирост скорости по отношению к скорости полета с вык люченными ВРД-1 на высоте 1500 м составил 12...15 км/ч.</w:t>
      </w:r>
    </w:p>
    <w:p w14:paraId="5588E0C8" w14:textId="77777777" w:rsidR="004C71FA" w:rsidRPr="001E2C69" w:rsidRDefault="004C71FA" w:rsidP="00722885">
      <w:pPr>
        <w:pStyle w:val="af"/>
        <w:shd w:val="clear" w:color="auto" w:fill="FFFFFF"/>
        <w:spacing w:before="0" w:after="0"/>
        <w:jc w:val="both"/>
        <w:rPr>
          <w:color w:val="000000" w:themeColor="text1"/>
          <w:sz w:val="16"/>
          <w:szCs w:val="16"/>
        </w:rPr>
      </w:pPr>
      <w:r w:rsidRPr="001E2C69">
        <w:rPr>
          <w:color w:val="000000" w:themeColor="text1"/>
          <w:sz w:val="16"/>
          <w:szCs w:val="16"/>
        </w:rPr>
        <w:t>Аэродинамическое сопротивление ВРД-1 с узлами подвески снижало скорость на 35...40 км/ч. Процесс горения в ВРД- стабилизировать не удалось. Расчетным путем было установ лено, что при полете ЛаГГ-3 № 31213173 с ПД М-105ПФ уве личение максимальной скорости от включенных ВРД-1 долж но было составить 23 км/ч на высоте 4000 м и 17 км/ч на вы соте 1500 м для нормального варианта. Для форсированного варианта 49 и 40 км/ч соответственно. Так как производитель ность бензонасоса БНК-10 была недостаточна, форсированный I вариант не стали проверять. По результатам летных испыта ний было сделано заключение, что необходимо форсировать работы по улучшению режима горения, запуску на большой высоте, автоматическому регулированию состава смеси и кон струированию рациональных форм подвески и ВРД, обеспечи вающих более органичную связь с самолетом (19686).</w:t>
      </w:r>
    </w:p>
    <w:p w14:paraId="7F243BC8" w14:textId="77777777" w:rsidR="004C71FA" w:rsidRPr="001E2C69" w:rsidRDefault="004C71FA" w:rsidP="00722885">
      <w:pPr>
        <w:pStyle w:val="af"/>
        <w:shd w:val="clear" w:color="auto" w:fill="FFFFFF"/>
        <w:spacing w:before="0" w:after="0"/>
        <w:jc w:val="both"/>
        <w:rPr>
          <w:color w:val="000000" w:themeColor="text1"/>
          <w:sz w:val="16"/>
          <w:szCs w:val="16"/>
        </w:rPr>
      </w:pPr>
      <w:r w:rsidRPr="001E2C69">
        <w:rPr>
          <w:color w:val="000000" w:themeColor="text1"/>
          <w:sz w:val="16"/>
          <w:szCs w:val="16"/>
        </w:rPr>
        <w:t>Основные тактико-технические характеристики самолета ЛаГГ-3 с ПВРД ВРД-1 представлены в табл. 11 прил. 1.</w:t>
      </w:r>
    </w:p>
    <w:p w14:paraId="2C1673C6" w14:textId="77777777" w:rsidR="004C71FA" w:rsidRPr="001E2C69" w:rsidRDefault="004C71FA" w:rsidP="00722885">
      <w:pPr>
        <w:pStyle w:val="af"/>
        <w:shd w:val="clear" w:color="auto" w:fill="FFFFFF"/>
        <w:spacing w:before="0" w:after="0"/>
        <w:jc w:val="both"/>
        <w:rPr>
          <w:color w:val="000000" w:themeColor="text1"/>
          <w:sz w:val="16"/>
          <w:szCs w:val="16"/>
        </w:rPr>
      </w:pPr>
    </w:p>
    <w:p w14:paraId="7464402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августа 1942 закончились гос. испытания Як-7ДИ с М-105ПФ, которые велись с 18 июля 1942. Летал К.А.Груздев, ви был Г.А.Седов по самолету, и по вооружению А.Г.Аронов, и по ВМГ А.И.Хвостовский, и по спецоборудованию А.И.Красовский, т В.Ф.Сбитнев. Оценка - испытания прошел удовлетворительно и он то и стал Як-9 (65,107).</w:t>
      </w:r>
    </w:p>
    <w:p w14:paraId="44FF08F7" w14:textId="77777777" w:rsidR="00AE7191" w:rsidRPr="001E2C69" w:rsidRDefault="00AE7191" w:rsidP="00722885">
      <w:pPr>
        <w:pStyle w:val="Iauiue"/>
        <w:jc w:val="both"/>
        <w:rPr>
          <w:color w:val="000000" w:themeColor="text1"/>
          <w:sz w:val="16"/>
          <w:szCs w:val="16"/>
        </w:rPr>
      </w:pPr>
    </w:p>
    <w:p w14:paraId="300CC37C"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августа 1942 г. закончили госиспытания Як-7ДИ, которые шли с 18 июня. Кроме того, после окончания государственных ис</w:t>
      </w:r>
      <w:r w:rsidRPr="008A2E5A">
        <w:rPr>
          <w:rFonts w:ascii="Times New Roman" w:hAnsi="Times New Roman"/>
          <w:color w:val="0070C0"/>
          <w:sz w:val="16"/>
          <w:szCs w:val="16"/>
        </w:rPr>
        <w:softHyphen/>
        <w:t>пытаний НИИ ВВС КА провел на Як-7ДИ с 12 по 14 августа испытания системы нейтрального газа. Систему, установ</w:t>
      </w:r>
      <w:r w:rsidRPr="008A2E5A">
        <w:rPr>
          <w:rFonts w:ascii="Times New Roman" w:hAnsi="Times New Roman"/>
          <w:color w:val="0070C0"/>
          <w:sz w:val="16"/>
          <w:szCs w:val="16"/>
        </w:rPr>
        <w:softHyphen/>
        <w:t>ленную на Як-7ДИ, признали соответствующей ТТТ ВВС КА в целом, но требующей доработки по отдельным эле</w:t>
      </w:r>
      <w:r w:rsidRPr="008A2E5A">
        <w:rPr>
          <w:rFonts w:ascii="Times New Roman" w:hAnsi="Times New Roman"/>
          <w:color w:val="0070C0"/>
          <w:sz w:val="16"/>
          <w:szCs w:val="16"/>
        </w:rPr>
        <w:softHyphen/>
        <w:t>ментам конструкции перед внедрением в серию (233.</w:t>
      </w:r>
    </w:p>
    <w:p w14:paraId="74B426A3" w14:textId="77777777" w:rsidR="00DE102D" w:rsidRPr="008A2E5A" w:rsidRDefault="00DE102D" w:rsidP="00DE102D">
      <w:pPr>
        <w:spacing w:after="0" w:line="240" w:lineRule="auto"/>
        <w:jc w:val="both"/>
        <w:rPr>
          <w:rFonts w:ascii="Times New Roman" w:hAnsi="Times New Roman"/>
          <w:color w:val="0070C0"/>
          <w:sz w:val="16"/>
          <w:szCs w:val="16"/>
        </w:rPr>
      </w:pPr>
    </w:p>
    <w:p w14:paraId="0707C712"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5 августа в 1942 году завершились (с 18 июля) государственные испытания </w:t>
      </w:r>
      <w:hyperlink r:id="rId184" w:tgtFrame="_blank" w:history="1">
        <w:r w:rsidRPr="001E2C69">
          <w:rPr>
            <w:rFonts w:ascii="Times New Roman" w:hAnsi="Times New Roman"/>
            <w:color w:val="000000" w:themeColor="text1"/>
            <w:sz w:val="16"/>
            <w:szCs w:val="16"/>
          </w:rPr>
          <w:t xml:space="preserve">«Як-7ДИ» </w:t>
        </w:r>
      </w:hyperlink>
      <w:r w:rsidRPr="001E2C69">
        <w:rPr>
          <w:rFonts w:ascii="Times New Roman" w:hAnsi="Times New Roman"/>
          <w:color w:val="000000" w:themeColor="text1"/>
          <w:sz w:val="16"/>
          <w:szCs w:val="16"/>
        </w:rPr>
        <w:t>(60 полетов, 40 ч 15 мин). Он проходил заводские испытания с 26 июня по 16 июля 1942 года (13 полетов общей продолжительностью 10 ч 20 мин) (14974).</w:t>
      </w:r>
    </w:p>
    <w:p w14:paraId="506CC120" w14:textId="77777777" w:rsidR="00907F56" w:rsidRPr="001E2C69" w:rsidRDefault="00907F56" w:rsidP="00722885">
      <w:pPr>
        <w:spacing w:after="0" w:line="240" w:lineRule="auto"/>
        <w:jc w:val="both"/>
        <w:rPr>
          <w:rFonts w:ascii="Times New Roman" w:hAnsi="Times New Roman"/>
          <w:color w:val="000000" w:themeColor="text1"/>
          <w:sz w:val="16"/>
          <w:szCs w:val="16"/>
        </w:rPr>
      </w:pPr>
    </w:p>
    <w:p w14:paraId="7739BC5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августа 1942 произошла катастрофа Як-7 N 2315348 с М-105-3-302 л П.Г.Пищенко из-за разрушения крыла в воздухе (2130).</w:t>
      </w:r>
    </w:p>
    <w:p w14:paraId="7CFA6B81" w14:textId="77777777" w:rsidR="00AE7191" w:rsidRPr="001E2C69" w:rsidRDefault="00AE7191" w:rsidP="00722885">
      <w:pPr>
        <w:pStyle w:val="Iauiue"/>
        <w:jc w:val="both"/>
        <w:rPr>
          <w:color w:val="000000" w:themeColor="text1"/>
          <w:sz w:val="16"/>
          <w:szCs w:val="16"/>
        </w:rPr>
      </w:pPr>
    </w:p>
    <w:p w14:paraId="2DFB2C46" w14:textId="77777777" w:rsidR="00AE7191" w:rsidRPr="001E2C69" w:rsidRDefault="00AE7191" w:rsidP="00722885">
      <w:pPr>
        <w:shd w:val="clear" w:color="auto" w:fill="FFFFFF"/>
        <w:spacing w:after="0" w:line="240" w:lineRule="auto"/>
        <w:jc w:val="both"/>
        <w:rPr>
          <w:rFonts w:ascii="Times New Roman" w:hAnsi="Times New Roman"/>
          <w:iCs/>
          <w:color w:val="000000" w:themeColor="text1"/>
          <w:sz w:val="16"/>
          <w:szCs w:val="16"/>
        </w:rPr>
      </w:pPr>
      <w:r w:rsidRPr="001E2C69">
        <w:rPr>
          <w:rFonts w:ascii="Times New Roman" w:hAnsi="Times New Roman"/>
          <w:color w:val="000000" w:themeColor="text1"/>
          <w:sz w:val="16"/>
          <w:szCs w:val="16"/>
        </w:rPr>
        <w:t>5 авгус</w:t>
      </w:r>
      <w:r w:rsidRPr="001E2C69">
        <w:rPr>
          <w:rFonts w:ascii="Times New Roman" w:hAnsi="Times New Roman"/>
          <w:color w:val="000000" w:themeColor="text1"/>
          <w:sz w:val="16"/>
          <w:szCs w:val="16"/>
        </w:rPr>
        <w:softHyphen/>
        <w:t>та 1942 г. закончились государственные испыта</w:t>
      </w:r>
      <w:r w:rsidRPr="001E2C69">
        <w:rPr>
          <w:rFonts w:ascii="Times New Roman" w:hAnsi="Times New Roman"/>
          <w:color w:val="000000" w:themeColor="text1"/>
          <w:sz w:val="16"/>
          <w:szCs w:val="16"/>
        </w:rPr>
        <w:softHyphen/>
        <w:t>ния Як-7ДИ, которые были проведены всего за 18 календарных дней Они прошли без ка</w:t>
      </w:r>
      <w:r w:rsidRPr="001E2C69">
        <w:rPr>
          <w:rFonts w:ascii="Times New Roman" w:hAnsi="Times New Roman"/>
          <w:color w:val="000000" w:themeColor="text1"/>
          <w:sz w:val="16"/>
          <w:szCs w:val="16"/>
        </w:rPr>
        <w:softHyphen/>
        <w:t>ких-либо осложнений и се</w:t>
      </w:r>
      <w:r w:rsidRPr="001E2C69">
        <w:rPr>
          <w:rFonts w:ascii="Times New Roman" w:hAnsi="Times New Roman"/>
          <w:color w:val="000000" w:themeColor="text1"/>
          <w:sz w:val="16"/>
          <w:szCs w:val="16"/>
        </w:rPr>
        <w:softHyphen/>
        <w:t>рьезных замечаний со сторо</w:t>
      </w:r>
      <w:r w:rsidRPr="001E2C69">
        <w:rPr>
          <w:rFonts w:ascii="Times New Roman" w:hAnsi="Times New Roman"/>
          <w:color w:val="000000" w:themeColor="text1"/>
          <w:sz w:val="16"/>
          <w:szCs w:val="16"/>
        </w:rPr>
        <w:softHyphen/>
        <w:t xml:space="preserve">ны военных, которые отметили, что </w:t>
      </w:r>
      <w:r w:rsidRPr="001E2C69">
        <w:rPr>
          <w:rFonts w:ascii="Times New Roman" w:hAnsi="Times New Roman"/>
          <w:iCs/>
          <w:color w:val="000000" w:themeColor="text1"/>
          <w:sz w:val="16"/>
          <w:szCs w:val="16"/>
        </w:rPr>
        <w:t>«возможность использования Як-7ДИ в том или ином варианте и наличие превосходных летных данных выдвигают его на первое место среди отечественных серийных самолетов ... Не</w:t>
      </w:r>
      <w:r w:rsidRPr="001E2C69">
        <w:rPr>
          <w:rFonts w:ascii="Times New Roman" w:hAnsi="Times New Roman"/>
          <w:iCs/>
          <w:color w:val="000000" w:themeColor="text1"/>
          <w:sz w:val="16"/>
          <w:szCs w:val="16"/>
        </w:rPr>
        <w:softHyphen/>
        <w:t>обходимо рекомендовать его к немедленному запуску в серийное производство» (10712).</w:t>
      </w:r>
    </w:p>
    <w:p w14:paraId="17DE4F6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4697D67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августа 1942 вышел приказ НКАП N 590с о производстве ремонта деревянных агрегатов боевых самолетов и изготовлении запчастей из древесины на заводе 490 в Сталинграде и производстве там БДП Н.Н.П. (2503,16).</w:t>
      </w:r>
    </w:p>
    <w:p w14:paraId="4A0B5CBC" w14:textId="77777777" w:rsidR="00AE7191" w:rsidRPr="001E2C69" w:rsidRDefault="00AE7191" w:rsidP="00722885">
      <w:pPr>
        <w:pStyle w:val="Iauiue"/>
        <w:jc w:val="both"/>
        <w:rPr>
          <w:color w:val="000000" w:themeColor="text1"/>
          <w:sz w:val="16"/>
          <w:szCs w:val="16"/>
        </w:rPr>
      </w:pPr>
    </w:p>
    <w:p w14:paraId="30F1796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августа 1942 года.приказом по НКАП № 307 был утвержден утвержден Устав завода № 124 в Москве (9434).</w:t>
      </w:r>
    </w:p>
    <w:p w14:paraId="3ACB4DD8" w14:textId="77777777" w:rsidR="00AE7191" w:rsidRPr="001E2C69" w:rsidRDefault="00AE7191" w:rsidP="00722885">
      <w:pPr>
        <w:pStyle w:val="Iauiue"/>
        <w:jc w:val="both"/>
        <w:rPr>
          <w:color w:val="000000" w:themeColor="text1"/>
          <w:sz w:val="16"/>
          <w:szCs w:val="16"/>
        </w:rPr>
      </w:pPr>
    </w:p>
    <w:p w14:paraId="247620C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августа 1942 г. в соответствии с решением № ГОКО-1543сс и приказом № 269сс от 10.04.1942 г. создан новый приборный завод № 122 5ГУ НКАП. Сначала осуществлял ремонт приборов и работы по авиаоборудованию.</w:t>
      </w:r>
    </w:p>
    <w:p w14:paraId="62D331F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На площадке завода (корпус «В») в 1944 г. образован ЦКБ-17 НКАП. </w:t>
      </w:r>
    </w:p>
    <w:p w14:paraId="5B302D1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21с от 28.01.1946 г. в течение нескольких месяцев на завод переведены с завода № 213 700 человек рабочих и ИТР с частью гироскопического производства.</w:t>
      </w:r>
    </w:p>
    <w:p w14:paraId="623DAD5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ВОВ деятельность завода значительно расширена: разрабатывались автопилоты, датчики первичной информации (датчики воздушных скоростей), авиагоризонты, гировертикали, далее ИНС, ПНК, датчики угловых и линейных ускорений, терморегуляторы.</w:t>
      </w:r>
    </w:p>
    <w:p w14:paraId="732F6CA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1991 г. вошел в ЗАО «Авиаприбор». По решению правительства № 22-р от 9.01.2004 г. ОАО вошло в перечень стратегических предприятий.</w:t>
      </w:r>
    </w:p>
    <w:p w14:paraId="7D67DCD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(-1951 г.-)- М.И. Комиссаров, (-1959-66 г.-)- А.И. Солдатов.</w:t>
      </w:r>
    </w:p>
    <w:p w14:paraId="148F26E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Гл. конструктор (1940-е- 50-е г.)- Е.Ф. Антипов. </w:t>
      </w:r>
    </w:p>
    <w:p w14:paraId="52D431D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Работали: Ольман, (1940-е г.)- Р.Г. Чачикян (системы управления, затем- в НИИ-1 МАП).</w:t>
      </w:r>
    </w:p>
    <w:p w14:paraId="3188578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терморегуляторы 842МСБ-5; рулевые машинки для РС-2-УС; автопилоты: АП-73 для Ла-17М, АП-5 для Ту-4, АП-15.</w:t>
      </w:r>
    </w:p>
    <w:p w14:paraId="5693854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122 им. В.А. Казакова НКАП, МАП, Первый Московский Приборостроительный завод (1-й МПЗ) им. В.А. Казакова, АООТ, ОАО «1-й МПЗ им. В.А. Казакова»</w:t>
      </w:r>
    </w:p>
    <w:p w14:paraId="746CD27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Москва, Кутузовский пр., 10 (1947 г.)</w:t>
      </w:r>
    </w:p>
    <w:p w14:paraId="0DD287E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121170 г. Москва, Кутузовский пр., 36 тел. 249-68-10</w:t>
      </w:r>
    </w:p>
    <w:p w14:paraId="60B57C9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ОКБ-122 НКАП, МАП, ОКБ-7 завода № 122 МАП </w:t>
      </w:r>
    </w:p>
    <w:p w14:paraId="2D78AEF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Москва</w:t>
      </w:r>
    </w:p>
    <w:p w14:paraId="09DD80A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Действовало при заводе в 5ГУ НКАП. Разработка пилотажных и гироскопических приборов.</w:t>
      </w:r>
    </w:p>
    <w:p w14:paraId="119DDD6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НКАП № 643с от 25.12.43 г. в состав ОКБ-122 влито ОКБ-214 НКАП (г. Свердловск)</w:t>
      </w:r>
    </w:p>
    <w:p w14:paraId="7043F54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НКАП № 641с от 5.11.44 г. в ОКБ-122 влито ОКБ-213 НКАП (г. Энгельс).</w:t>
      </w:r>
    </w:p>
    <w:p w14:paraId="7A26D4A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соответствии с постановлением СМ СССР от 9.06.1955 г. образован филиал ОКБ-122 для разработки астронавигационных систем управления (далее- МОКБ «Марс»).</w:t>
      </w:r>
    </w:p>
    <w:p w14:paraId="3EB9F02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 (1940-е-55 г.-)- Е.Ф. Антипов.</w:t>
      </w:r>
    </w:p>
    <w:p w14:paraId="7E3ED30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Создано: электрогирополукомпас ЭГПК для Ту-14 (1949); гировертикаль высокой точности «Ось» (1955).</w:t>
      </w:r>
    </w:p>
    <w:p w14:paraId="4B32524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ОКБ-1 при заводе № 122 НКАП </w:t>
      </w:r>
    </w:p>
    <w:p w14:paraId="648AC07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Москва, Кутузовский пр.</w:t>
      </w:r>
    </w:p>
    <w:p w14:paraId="3A064CD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соответствии с постановлением ГКО № 4290с от 8.10.1943 г. и по приказу НКАП № 643с от 28.10.43 г. ОКБ-214 5ГУ НКАП гл. конструктора В.Э. Соркина реэвакуировано в Москву из Свердловска на территорию завода № 122 НКАП с присвоением наименования ОКБ-1 9ГУ НКАП. </w:t>
      </w:r>
    </w:p>
    <w:p w14:paraId="1EBE325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1943-45 г. коллективом ОКБ создано 10 образцов автопилотов. Начаты работы по электрическому АП-5 для Ту-4 (копия американского С-1).</w:t>
      </w:r>
    </w:p>
    <w:p w14:paraId="019D03F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11.1945 г. для продолжения работ по приборам автоматического самолетовождения ОКБ-1 НКАП гл. конструктора В.Э. Соркина перебазировано с завода № 122 на территорию опытного завода № 118 НКАП в полном составе, где в 02.1946 г. на базе завода № 118 и ОКБ-1 был образован ГС опытный завод № 118 НКАП по разработке и изготовлению систем и приборов автоматического управления и гироскопических приборов.</w:t>
      </w:r>
    </w:p>
    <w:p w14:paraId="7FAE4A4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Создано: автопилоты: АП-1У и АП-4 для "10Х". </w:t>
      </w:r>
    </w:p>
    <w:p w14:paraId="5C64C2C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Филиал ОКБ-122 МАП, Московское ОКБ «Марс», ФГУП «МОКБ «Марс» ФКА</w:t>
      </w:r>
    </w:p>
    <w:p w14:paraId="20909BF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103030 г. Москва 1-й Щемиловский пер., 16 тел. 288-64-44</w:t>
      </w:r>
    </w:p>
    <w:p w14:paraId="66BC268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соответствии с постановлением СМ СССР от 9.06.1955 г. образован филиал ОКБ-122 на площадях МАТИ (ранее- это территория «б» завода № 119 НКАП) для разработки астронавигационных систем управления (САН). С 1964 г. ОКБ стало филиалом МИЭА (или ОКБ-923).</w:t>
      </w:r>
    </w:p>
    <w:p w14:paraId="5B1DD92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Разработка системы управления на высотах менее 20 км для ОК «Буран» (1970-80-е г.). Принимало участие в работах по комплексу «Бурлак» (1990-е г.). </w:t>
      </w:r>
    </w:p>
    <w:p w14:paraId="2321D45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1990-е г.: разработка: систем управления и навигации для пилотируемых и беспилотных ЛА и КР; систем имитационного моделирования для отработки программных средств СУ и навигации; стендов для отработки авиационных, космических систем и подготовки экипажей; вычислительных комплексов для медицины.</w:t>
      </w:r>
    </w:p>
    <w:p w14:paraId="63DCCA0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ОКБ имеется опытное производство.</w:t>
      </w:r>
    </w:p>
    <w:p w14:paraId="283F4B0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2000 г.: ОКР «ВЭУ» по созданию безредукторной ветроэнергетической установки «Радуга-016»; ОКР «РЕМАТЕРП-1» по разработке и изготовлению модернизированного аппарата структурно-резонансной электромагнитной терапии «РЕМАТЕРП-1».</w:t>
      </w:r>
    </w:p>
    <w:p w14:paraId="1F2D44C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26B335F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(2005 г.)- А.С. Сыров.</w:t>
      </w:r>
    </w:p>
    <w:p w14:paraId="442B2C9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Гл. конструктор (-1999-2005 г.-)- А.С. Сыров.</w:t>
      </w:r>
    </w:p>
    <w:p w14:paraId="475B469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гл. конструктора (1996 г.)- В.И. Шувалов.</w:t>
      </w:r>
    </w:p>
    <w:p w14:paraId="13B1157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Создано: САН: для КР «Буря» (1959), для КА Е-6, «Луна»; СУ для разгонного блока «Бриз-М» (10776).</w:t>
      </w:r>
    </w:p>
    <w:p w14:paraId="0B90FF3A"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49BFFC1"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7FAF64FA" w14:textId="77777777" w:rsidR="00AE7191" w:rsidRPr="001E2C69" w:rsidRDefault="00AE7191" w:rsidP="00722885">
      <w:pPr>
        <w:pStyle w:val="Iauiue"/>
        <w:jc w:val="both"/>
        <w:rPr>
          <w:iCs/>
          <w:color w:val="000000" w:themeColor="text1"/>
          <w:sz w:val="16"/>
          <w:szCs w:val="16"/>
        </w:rPr>
      </w:pPr>
    </w:p>
    <w:p w14:paraId="06C1D12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августа 1942 года технологическая подготовка производства новой коробки передач на заводе № 183 была завершена, а 19 августа её чертежи были разосланы по всем остальным заводам. 5 августа ГКО принял решение о производстве новой коробки передач на Кировском заводе, который в июле 1943 года стал считаться головным по этому агрегату.</w:t>
      </w:r>
    </w:p>
    <w:p w14:paraId="54822C5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Приказы наркома танковой промышленности и решения конференции по качеству танка Т-34 указали основные направления по улучшению надежности танка: более строгий контроль за соблюдением техпроцессов, усовершенствования технологии и совершенствование конструкции. Основным центром совершенствования танка Т-34 стал завод № 183, наиболее крупный их производитель, чья технология считалась образцом для остальных. Немало пришлось поработать над улучшением своего танка главному конструктору завода А. А. Морозову и всему конструкторскому отделу. В 1942 году они разработали новый воздухоочиститель, обеспечивавший более высокую степень очистки воздуха. Летом 1942 года были завершены разработка и испытания новой 5- скоростной коробки передач с улучшенными динамическими характеристиками (РГАЭ. Ф. 8798. Оп. 4. Д. 15. Л. 143). Важной особенностью её конструкции было применение зубчатых муфт, благодаря которым стало значительно легче переключать передачи и уменьшился износ зубьев (12290).</w:t>
      </w:r>
    </w:p>
    <w:p w14:paraId="20EB2D7E"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FDC0085"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августа 1942</w:t>
      </w:r>
    </w:p>
    <w:p w14:paraId="260CC9A8"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93 лист 213 – 211</w:t>
      </w:r>
    </w:p>
    <w:p w14:paraId="53A0F59E"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60FB8217"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w:t>
      </w:r>
    </w:p>
    <w:p w14:paraId="2BBAA870"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НАРОДНОГО КОМИССАРА ТАНКОВОЙ ПРОМЫШЛЕННОСТИ СОЮЗА ССР</w:t>
      </w:r>
    </w:p>
    <w:p w14:paraId="32DCA2BC"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584с</w:t>
      </w:r>
    </w:p>
    <w:p w14:paraId="555BDC2A"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Москва</w:t>
      </w:r>
    </w:p>
    <w:p w14:paraId="401A173E"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августа 1942 года.</w:t>
      </w:r>
    </w:p>
    <w:p w14:paraId="43FA7326"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 работе завода № 174 и мероприятиях по обеспечению программы августа.</w:t>
      </w:r>
    </w:p>
    <w:p w14:paraId="7A205989"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Программу июля месяца по выпуску танков и танковых запасных частей завод № 174 не выполнил. В результате исключительно плохого руководства производственной работой цехов и безответственности начальников цехов и отделов, завод приступил к выполнению августовского плана с абсолютно недостаточным переходящим заделом на сборке наиболее трудоемких узлов и агрегатов машины, а именно:</w:t>
      </w:r>
    </w:p>
    <w:p w14:paraId="4617C9B7"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Главный фрикцион – всего 3 комплекта</w:t>
      </w:r>
    </w:p>
    <w:p w14:paraId="19A24F85"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Бортовая передача – всего 3 комплекта</w:t>
      </w:r>
    </w:p>
    <w:p w14:paraId="02D15339"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Ведущие колеса – всего 3 комплекта</w:t>
      </w:r>
    </w:p>
    <w:p w14:paraId="33726423"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Вентиляторы – всего 6 комплектов</w:t>
      </w:r>
    </w:p>
    <w:p w14:paraId="46784F8F"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Кривошипы ленивца – всего 7 комплектов</w:t>
      </w:r>
    </w:p>
    <w:p w14:paraId="1090FE50"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Коробки перемены передач – всего 8 комплектов</w:t>
      </w:r>
    </w:p>
    <w:p w14:paraId="257902FA"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Корпуса – всего 15 комплектов.</w:t>
      </w:r>
    </w:p>
    <w:p w14:paraId="2E740857"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Будучи на заводе 28.VII-42 г. – лично убедился, что на имеющемся оборудовании и наличии рабочей силы, завод имеет все возможности чтобы удвоить заданный ему в августе выпуск танков. Для обеспечения удвоенного выпуска танков на заводе № 174 в августе с.г. – ПРИКАЗЫВАЮ:</w:t>
      </w:r>
    </w:p>
    <w:p w14:paraId="3470AB14"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Директору завода № 174 – тов. КАЦНЕЛЬСОН:</w:t>
      </w:r>
    </w:p>
    <w:p w14:paraId="615FDDF4"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Начиная с 10 августа 1942 г. обеспечить выпуск радиаторов в соответствии с установленным мною графиком производства машин.</w:t>
      </w:r>
    </w:p>
    <w:p w14:paraId="35D2C29E"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Обеспечить к 15/VIII-42 г. установку и наладку полученного с завода № 29 одного станка "Глиссон" для нарезки конических шестерен, обеспечив выпуск у себя до конца месяца не менее 75 комплектов конических шестерен.</w:t>
      </w:r>
    </w:p>
    <w:p w14:paraId="7180ED3B"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Закончить к 10.VIII-42 г. установку и пустить в эксплоатацию в цехе № 12 – 1500-тонный парогидравлический пресс и нагревательную печь к нему.</w:t>
      </w:r>
    </w:p>
    <w:p w14:paraId="7A19D55C"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Изготовить штампы и перевести на штамповку диски колес и другие детали машины из стального литья в следующие сроки:</w:t>
      </w:r>
    </w:p>
    <w:p w14:paraId="4C1B1E09"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диски поддерживающих колес – с 15.VIII.42 г.</w:t>
      </w:r>
    </w:p>
    <w:p w14:paraId="475C2399"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диски ведущих колес – с 20.VIII.42 г.</w:t>
      </w:r>
    </w:p>
    <w:p w14:paraId="34CE86BD"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детали 29-021, 29-022 и 29-023 – с 25.VIII-42 г.</w:t>
      </w:r>
    </w:p>
    <w:p w14:paraId="7213D88C"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Одновременно указываю главному инженеру т. ШОР и главному технологу т. РАТИНОВУ на недопустимую медлительность, проявленную ими в вопросе перевода вышеуказанных деталей на штамповку по приказу НКТП № 136м от 14.IV-42 г. Предупреждаю, что, если и на этот раз не будут выдержаны сроки, мною будут наложены за невыполнение строгие взыскания.</w:t>
      </w:r>
    </w:p>
    <w:p w14:paraId="7E677588"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 По получении с Кировского завода 400-тонного кривошипного пресса – в декадный срок освоить штамповку дисков трения бортовых и главного фрикционов.</w:t>
      </w:r>
    </w:p>
    <w:p w14:paraId="6214DA37"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 Обратить особое внимание на абсолютно недопустимое выполнение в июле программы по запасным частям Т-34 и Т-26 (17 % месячного плана), ниже которого на сработал ни один завод Наркомата.</w:t>
      </w:r>
    </w:p>
    <w:p w14:paraId="55045AE7"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Предупредить директора завода, начальника производства и начальников цехов завода, что если и в августе месяце не будет выполнено задание по запасным частям, к виновным будут приняты самые суровые меры взыскания, вплоть до отдачи под суд.</w:t>
      </w:r>
    </w:p>
    <w:p w14:paraId="2320317A"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Директору завода № 183 – тов. МАКСАРЕВУ:</w:t>
      </w:r>
    </w:p>
    <w:p w14:paraId="2516DBD4"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Обеспечить поставку заводу № 174:</w:t>
      </w:r>
    </w:p>
    <w:p w14:paraId="78FC2AEE"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60 комплектов обработанных конических шестерен коробки перемены передач в нижеследующие сроки:</w:t>
      </w:r>
    </w:p>
    <w:p w14:paraId="7D07E145"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10 августа – 20 комплектов,</w:t>
      </w:r>
    </w:p>
    <w:p w14:paraId="325A1B2A"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20 августа – 20 комплектов,</w:t>
      </w:r>
    </w:p>
    <w:p w14:paraId="45D0E0EA"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27 августа – 20 комплектов;</w:t>
      </w:r>
    </w:p>
    <w:p w14:paraId="795155DC"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стального литья и поковок согласно приложению № 1.</w:t>
      </w:r>
    </w:p>
    <w:p w14:paraId="4057C57E"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Директору Сталинградского Тракторного завода – тов. ЗАДОРОЖНОМУ:</w:t>
      </w:r>
    </w:p>
    <w:p w14:paraId="02405442"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Обеспечить поставку заводу № 174 50 комплектов обработанных конических шестерен коробки перемены передач в нижеследующие сроки:</w:t>
      </w:r>
    </w:p>
    <w:p w14:paraId="78ED2783"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15 августа – 20 комплектов,</w:t>
      </w:r>
    </w:p>
    <w:p w14:paraId="3D11CDFE"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20 августа – 30 комплектов.</w:t>
      </w:r>
    </w:p>
    <w:p w14:paraId="6F186E59"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Директору Уралмашзавода – тов. МУЗРУКОВУ:</w:t>
      </w:r>
    </w:p>
    <w:p w14:paraId="174E4DD0"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Обеспечить поставку заводу № 174 стального литья в количествах и сроки согласно приложению № 2.</w:t>
      </w:r>
    </w:p>
    <w:p w14:paraId="320BD33E"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Директору Кировского завода – тов. МАХОНИНУ:</w:t>
      </w:r>
    </w:p>
    <w:p w14:paraId="0AB3D196"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Обеспечить поставку заводу № 174 заготовок шестерен 16-006 и стального литья колес 12-129 в количествах и сроки согласно приложению № 3.</w:t>
      </w:r>
    </w:p>
    <w:p w14:paraId="2F7C15B9"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Директору завода № 200 – тов. СОЧИВКО и начальнику III Главного Управления НКТП – тов. ХАБАХПАШЕВУ:</w:t>
      </w:r>
    </w:p>
    <w:p w14:paraId="465A36D1"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Обеспечить безусловную поставку заводу № 174 14 наименований стального литья в количествах и сроки согласно приложению № 4.</w:t>
      </w:r>
    </w:p>
    <w:p w14:paraId="0DF5DD40"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Директору завода № 112 – тов. РУБИНЧИК:</w:t>
      </w:r>
    </w:p>
    <w:p w14:paraId="2C359440"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Обеспечить поставку заводу № 174 заготовок и стального литья в количествах и сроки согласно приложению № 5.</w:t>
      </w:r>
    </w:p>
    <w:p w14:paraId="1E853757"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ТАНКОВОЙ ПРОМЫШЛЕННОСТИ СОЮЗА ССР</w:t>
      </w:r>
    </w:p>
    <w:p w14:paraId="77A8C125"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И. ЗАЛЬЦМАН</w:t>
      </w:r>
    </w:p>
    <w:p w14:paraId="20069FA8"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93 лист 210 – 209</w:t>
      </w:r>
    </w:p>
    <w:p w14:paraId="3927A335"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Приложение № 1</w:t>
      </w:r>
    </w:p>
    <w:p w14:paraId="40AD046A"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приказу НКТП № 584с от 5/VIII-42 г.</w:t>
      </w:r>
    </w:p>
    <w:p w14:paraId="488F4062"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ВЕДОМОСТЬ</w:t>
      </w:r>
    </w:p>
    <w:p w14:paraId="3AA5BC54"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поставок в августе 1942 г. заготовок и деталей танка Т-34 с завода № 183.</w:t>
      </w:r>
    </w:p>
    <w:p w14:paraId="0336BC5C"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93 лист 208</w:t>
      </w:r>
    </w:p>
    <w:p w14:paraId="65E4C0BA"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Приложение № 2</w:t>
      </w:r>
    </w:p>
    <w:p w14:paraId="13C29F54"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приказу НКТП № 584с от 5/VIII-42 г.</w:t>
      </w:r>
    </w:p>
    <w:p w14:paraId="2C671862"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ВЕДОМОСТЬ</w:t>
      </w:r>
    </w:p>
    <w:p w14:paraId="0A1F2A4B"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поставок в августе 1942 г. заготовок и деталей танка Т-34 с УЗТМ</w:t>
      </w:r>
    </w:p>
    <w:p w14:paraId="68A625AF"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93 лист 207</w:t>
      </w:r>
    </w:p>
    <w:p w14:paraId="49008B62"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Приложение № 3</w:t>
      </w:r>
    </w:p>
    <w:p w14:paraId="34EFFC27"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приказу НКТП № 584с от 5/VIII-42 г.</w:t>
      </w:r>
    </w:p>
    <w:p w14:paraId="75A93DEE"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ВЕДОМОСТЬ</w:t>
      </w:r>
    </w:p>
    <w:p w14:paraId="78B9C486"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поставок в августе 1942 г. заготовок танка Т-34 с Кировского завода</w:t>
      </w:r>
    </w:p>
    <w:p w14:paraId="09B54CA2"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93 лист 206</w:t>
      </w:r>
    </w:p>
    <w:p w14:paraId="0B499163"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Приложение № 4</w:t>
      </w:r>
    </w:p>
    <w:p w14:paraId="205B2EBA"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приказу НКТП № 584с от 5/VIII-42 г.</w:t>
      </w:r>
    </w:p>
    <w:p w14:paraId="651C4C0B"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ВЕДОМОСТЬ</w:t>
      </w:r>
    </w:p>
    <w:p w14:paraId="099E1DDD"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поставок в августе 1942 г. стального литья с завода № 200</w:t>
      </w:r>
    </w:p>
    <w:p w14:paraId="11EC4EED"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93 лист 205</w:t>
      </w:r>
    </w:p>
    <w:p w14:paraId="319C90F2"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Приложение № 5</w:t>
      </w:r>
    </w:p>
    <w:p w14:paraId="5E716C41"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приказу НКТП № 584с от 5/VIII-42 г.</w:t>
      </w:r>
    </w:p>
    <w:p w14:paraId="4052D95F"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ВЕДОМОСТЬ</w:t>
      </w:r>
    </w:p>
    <w:p w14:paraId="4569F099"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поставок в августе 1942 г. заготовок танка Т-34 с завода № 112 (23489).</w:t>
      </w:r>
    </w:p>
    <w:p w14:paraId="0C3FE451" w14:textId="77777777" w:rsidR="00DE102D" w:rsidRPr="008A2E5A" w:rsidRDefault="00DE102D" w:rsidP="00DE102D">
      <w:pPr>
        <w:spacing w:after="0" w:line="240" w:lineRule="auto"/>
        <w:jc w:val="both"/>
        <w:rPr>
          <w:rFonts w:ascii="Times New Roman" w:hAnsi="Times New Roman"/>
          <w:color w:val="0070C0"/>
          <w:sz w:val="16"/>
          <w:szCs w:val="16"/>
        </w:rPr>
      </w:pPr>
    </w:p>
    <w:p w14:paraId="793CFD3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августа 1942 г. было подготовлено СОПРОВОДИТЕЛЬНОЕ ПИСЬМО В ГАБТУ И ПРОГРАММА ИСПЫТАНИЙ АВТОМАШИНЫ «ШЕВРОЛЕ» СО СМОНТИРОВАННОЙ УСТАНОВКОЙ М-13</w:t>
      </w:r>
    </w:p>
    <w:p w14:paraId="33CBC50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Препровождаю программу испытаний автомашины «Шевроле» со смонтированной на ней уста</w:t>
      </w:r>
      <w:r w:rsidRPr="001E2C69">
        <w:rPr>
          <w:rFonts w:ascii="Times New Roman" w:hAnsi="Times New Roman"/>
          <w:color w:val="000000" w:themeColor="text1"/>
          <w:sz w:val="16"/>
          <w:szCs w:val="16"/>
        </w:rPr>
        <w:softHyphen/>
        <w:t>новкой М-13. Программа утверждена командованием АТУ ГАБТУ КА и ГУВГМЧ СВГК КА.</w:t>
      </w:r>
    </w:p>
    <w:p w14:paraId="2B53976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Прошу Ваших указаний начальнику НИ полигона ГАБТУ о производстве испытаний в период 6-10 августа, кроме того, для работы в комиссии прошу выслать 7.8.1942 г. начальника 1 отделения 3 от</w:t>
      </w:r>
      <w:r w:rsidRPr="001E2C69">
        <w:rPr>
          <w:rFonts w:ascii="Times New Roman" w:hAnsi="Times New Roman"/>
          <w:color w:val="000000" w:themeColor="text1"/>
          <w:sz w:val="16"/>
          <w:szCs w:val="16"/>
        </w:rPr>
        <w:softHyphen/>
        <w:t>дела ГУВГМЧ т. Копылова, военинженера 3 ранга т. Хальфан, представителя НИ полигона ГАБТУ ин</w:t>
      </w:r>
      <w:r w:rsidRPr="001E2C69">
        <w:rPr>
          <w:rFonts w:ascii="Times New Roman" w:hAnsi="Times New Roman"/>
          <w:color w:val="000000" w:themeColor="text1"/>
          <w:sz w:val="16"/>
          <w:szCs w:val="16"/>
        </w:rPr>
        <w:softHyphen/>
        <w:t>женер-майора т. Казанского.</w:t>
      </w:r>
    </w:p>
    <w:p w14:paraId="40E44B2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Приложение: упомянутое на 3 листах.</w:t>
      </w:r>
    </w:p>
    <w:p w14:paraId="1123A68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ГУВГМЧ СВГК КА инженер-полковник Кузнецов</w:t>
      </w:r>
    </w:p>
    <w:p w14:paraId="1FB86BF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3 отдела ГУВГМЧ СВГК военинженер 1 ранга Виноградов</w:t>
      </w:r>
    </w:p>
    <w:p w14:paraId="01121A2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Приложение</w:t>
      </w:r>
    </w:p>
    <w:p w14:paraId="2E81171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ПРОГРАММА</w:t>
      </w:r>
    </w:p>
    <w:p w14:paraId="295FA28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испытаний установок М-13, смонтированных на шасси автомобилей:</w:t>
      </w:r>
    </w:p>
    <w:p w14:paraId="54EBCE5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«Шевроле» (рама и рессоры фирменные) — 3 автомашины.</w:t>
      </w:r>
    </w:p>
    <w:p w14:paraId="7558540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«Шевроле» (рама и рессоры усиленные) — 3 автомашины.</w:t>
      </w:r>
    </w:p>
    <w:p w14:paraId="589DA14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Задачи испытаний</w:t>
      </w:r>
    </w:p>
    <w:p w14:paraId="32404AB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Проверить возможность нормальной эксплуатации в полевых условиях автомашин под на</w:t>
      </w:r>
      <w:r w:rsidRPr="001E2C69">
        <w:rPr>
          <w:rFonts w:ascii="Times New Roman" w:hAnsi="Times New Roman"/>
          <w:color w:val="000000" w:themeColor="text1"/>
          <w:sz w:val="16"/>
          <w:szCs w:val="16"/>
        </w:rPr>
        <w:softHyphen/>
        <w:t>грузкой от установки, боекомплекта и орудийного расчета.</w:t>
      </w:r>
    </w:p>
    <w:p w14:paraId="677E9A2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Установить допустимость монтирования установок на шасси вышеуказанных автомобилей.</w:t>
      </w:r>
    </w:p>
    <w:p w14:paraId="7EEDB8C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Определить величину нагрузки и соответствие ее расчетным данным, распределение по осям автомашины и влияние на работу двигателя, ходовую часть и другие агрегаты машины. Желательно для испытания представить машины, бывшие в эксплуатации.</w:t>
      </w:r>
    </w:p>
    <w:p w14:paraId="00D714A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Перечень работ по испытанию</w:t>
      </w:r>
    </w:p>
    <w:p w14:paraId="5640C48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Подготовить технические характеристики автомашин по прейскурантам данным НАТИ и ГАБТУ КА.</w:t>
      </w:r>
    </w:p>
    <w:p w14:paraId="0DC14CA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Произвести взвешивание машин:</w:t>
      </w:r>
    </w:p>
    <w:p w14:paraId="4BA6C2D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с кузовом;</w:t>
      </w:r>
    </w:p>
    <w:p w14:paraId="578E7F7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без кузова</w:t>
      </w:r>
    </w:p>
    <w:p w14:paraId="10BCB04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 определить распределение веса на заднюю и переднюю оси машины.</w:t>
      </w:r>
    </w:p>
    <w:p w14:paraId="31C3688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Произвести взвешивание установок и распределение веса по осям:</w:t>
      </w:r>
    </w:p>
    <w:p w14:paraId="308E3A5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с боекомплектом и арт. расчетом;</w:t>
      </w:r>
    </w:p>
    <w:p w14:paraId="5B601A8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с боекомплектом без расчета;</w:t>
      </w:r>
    </w:p>
    <w:p w14:paraId="10E5A1F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без боекомплекта и расчета.</w:t>
      </w:r>
    </w:p>
    <w:p w14:paraId="5483C8D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Перед испытанием произвести технический осмотр машин (особое внимание обратить на со</w:t>
      </w:r>
      <w:r w:rsidRPr="001E2C69">
        <w:rPr>
          <w:rFonts w:ascii="Times New Roman" w:hAnsi="Times New Roman"/>
          <w:color w:val="000000" w:themeColor="text1"/>
          <w:sz w:val="16"/>
          <w:szCs w:val="16"/>
        </w:rPr>
        <w:softHyphen/>
        <w:t>стояние ходовой части). Произвести замер стрелы прогиба передних, задних и дополнительных рес</w:t>
      </w:r>
      <w:r w:rsidRPr="001E2C69">
        <w:rPr>
          <w:rFonts w:ascii="Times New Roman" w:hAnsi="Times New Roman"/>
          <w:color w:val="000000" w:themeColor="text1"/>
          <w:sz w:val="16"/>
          <w:szCs w:val="16"/>
        </w:rPr>
        <w:softHyphen/>
        <w:t>сор, лонжеронов шасси:</w:t>
      </w:r>
    </w:p>
    <w:p w14:paraId="5EBDA657" w14:textId="77777777" w:rsidR="00AE7191" w:rsidRPr="001E2C69" w:rsidRDefault="00AE7191" w:rsidP="00722885">
      <w:pPr>
        <w:pStyle w:val="afff5"/>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а) при незагруженной машине (установки и кузова);</w:t>
      </w:r>
    </w:p>
    <w:p w14:paraId="2CA3529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на боевой машине с б/комплектом и орудийным расчетом;</w:t>
      </w:r>
    </w:p>
    <w:p w14:paraId="10A33AE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 боевой машине без б/комплекта и орудийного расчета;</w:t>
      </w:r>
    </w:p>
    <w:p w14:paraId="61185D0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на боевой машине с б/комплектом, но без орудийного расчета.</w:t>
      </w:r>
    </w:p>
    <w:p w14:paraId="7EB6BC7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Произвести пробег по проселочным дорогам и бездорожью общим протяжением 1200 км всех 6 боевых машин, нагруженных согласно пунктов «б», «в» и «г» кадографа 4.</w:t>
      </w:r>
    </w:p>
    <w:p w14:paraId="436863D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Определить способность машин преодолевать дорожные препятствия, подъемы, спуски, за</w:t>
      </w:r>
      <w:r w:rsidRPr="001E2C69">
        <w:rPr>
          <w:rFonts w:ascii="Times New Roman" w:hAnsi="Times New Roman"/>
          <w:color w:val="000000" w:themeColor="text1"/>
          <w:sz w:val="16"/>
          <w:szCs w:val="16"/>
        </w:rPr>
        <w:softHyphen/>
        <w:t>грязненные (заболоченные) участки дороги.</w:t>
      </w:r>
    </w:p>
    <w:p w14:paraId="16CBF84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Движение производить с предельными скоростями соответственно качеству дороги.</w:t>
      </w:r>
    </w:p>
    <w:p w14:paraId="2A00208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В течение всего пробега наблюдать за режимом работы двигателя и ходовой части (особенно рессор и рамы шасси). Фиксировать все случаи вынужденного включения демультипликатора. Фиксировать все случаи неисправностей и поломок с выявлением причин их вызывающих.</w:t>
      </w:r>
    </w:p>
    <w:p w14:paraId="61EC63A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После пробега произвести тщательный технический осмотр автомашин с целью выявления поломок, остаточных деформаций и нарушения регулировки механизмов. Замерить стрелы прогиба рессор и лонжеронов шасси.</w:t>
      </w:r>
    </w:p>
    <w:p w14:paraId="44B81FF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Определить средний расход ГСМ.</w:t>
      </w:r>
    </w:p>
    <w:p w14:paraId="66AF0AD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Дать заключение о пригодности испытываемых машин для монтирования на них установок М-13.</w:t>
      </w:r>
    </w:p>
    <w:p w14:paraId="643FB83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Организация и порядок проведения испытаний</w:t>
      </w:r>
    </w:p>
    <w:p w14:paraId="7B8AF53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Организация и проведение испытаний возлагается на 3 отдел ГУВГМЧ.</w:t>
      </w:r>
    </w:p>
    <w:p w14:paraId="1CEE13A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Для испытания берутся установки на автомашинах, имеющих максимальный срок эксплуатации.</w:t>
      </w:r>
    </w:p>
    <w:p w14:paraId="7474AB0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Для проведения испытания назначается комиссия в составе:</w:t>
      </w:r>
    </w:p>
    <w:p w14:paraId="3AD2490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председателя: начальника отделения ГУВГМЧ СВГК КА военинженера 2 ранга т. Копылова.</w:t>
      </w:r>
    </w:p>
    <w:p w14:paraId="3048FDA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членов: представителя ГУВГМЧ СВГК КА майора т. Евгеньева,</w:t>
      </w:r>
    </w:p>
    <w:p w14:paraId="7B3763D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представителя АТУ ГАБТУ КА военинженера 3 ранга т. Хальфан,</w:t>
      </w:r>
    </w:p>
    <w:p w14:paraId="16FDA16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представителя НИ полигона ГАБТУ инженер-майора т. Казанского,</w:t>
      </w:r>
    </w:p>
    <w:p w14:paraId="1B25706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представителя завода «Компрессор» т. Васильева В.М.</w:t>
      </w:r>
    </w:p>
    <w:p w14:paraId="065577D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Испытания производить на НИ полигоне ГАБТУ КА (ст. Кубинка) с выездом на трассы, с уча</w:t>
      </w:r>
      <w:r w:rsidRPr="001E2C69">
        <w:rPr>
          <w:rFonts w:ascii="Times New Roman" w:hAnsi="Times New Roman"/>
          <w:color w:val="000000" w:themeColor="text1"/>
          <w:sz w:val="16"/>
          <w:szCs w:val="16"/>
        </w:rPr>
        <w:softHyphen/>
        <w:t>стием работников полигона и под их руководством.</w:t>
      </w:r>
    </w:p>
    <w:p w14:paraId="17E3E9F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Обеспечение материальной частью, ГСМ, инструментом и водительским составом возлагает</w:t>
      </w:r>
      <w:r w:rsidRPr="001E2C69">
        <w:rPr>
          <w:rFonts w:ascii="Times New Roman" w:hAnsi="Times New Roman"/>
          <w:color w:val="000000" w:themeColor="text1"/>
          <w:sz w:val="16"/>
          <w:szCs w:val="16"/>
        </w:rPr>
        <w:softHyphen/>
        <w:t>ся на начальника техотдела ГУВГМЧ военинженера 2 ранга т. Белопольского.</w:t>
      </w:r>
    </w:p>
    <w:p w14:paraId="1D94A28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Каждая машина укомплектовывается 2 водителями средней квалификации.</w:t>
      </w:r>
    </w:p>
    <w:p w14:paraId="6A2B9BB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3 отдела ГУВГМЧ военинженер 2 ранга Мрыкин</w:t>
      </w:r>
    </w:p>
    <w:p w14:paraId="26017554" w14:textId="77777777" w:rsidR="00AE7191" w:rsidRPr="001E2C69" w:rsidRDefault="00AE7191" w:rsidP="00722885">
      <w:pPr>
        <w:pStyle w:val="afff5"/>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Начальник 5 отдела АТУ ГАБТУ инженер-полковник Лебедев</w:t>
      </w:r>
    </w:p>
    <w:p w14:paraId="20FED3A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1 отделения 3 отдела ГУВГМЧ военинженер 2 ранга Копылов</w:t>
      </w:r>
    </w:p>
    <w:p w14:paraId="6B0BB4F1" w14:textId="77777777" w:rsidR="00AE7191" w:rsidRPr="001E2C69" w:rsidRDefault="00AE7191" w:rsidP="00722885">
      <w:pPr>
        <w:pStyle w:val="afff5"/>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ЦАМО. Ф. 38. Оп. 11386. Д. 138. Л. 184-187. Подлинник (11211).</w:t>
      </w:r>
    </w:p>
    <w:p w14:paraId="3B296F9F" w14:textId="77777777" w:rsidR="00AE7191" w:rsidRPr="001E2C69" w:rsidRDefault="00AE7191" w:rsidP="00722885">
      <w:pPr>
        <w:pStyle w:val="afff5"/>
        <w:jc w:val="both"/>
        <w:rPr>
          <w:i w:val="0"/>
          <w:iCs w:val="0"/>
          <w:color w:val="000000" w:themeColor="text1"/>
          <w:spacing w:val="0"/>
          <w:kern w:val="0"/>
          <w:position w:val="0"/>
          <w:sz w:val="16"/>
          <w:szCs w:val="16"/>
        </w:rPr>
      </w:pPr>
    </w:p>
    <w:p w14:paraId="3FABFA2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августа 1942 года была подготовлена справка:</w:t>
      </w:r>
    </w:p>
    <w:p w14:paraId="43A8B0B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8ф НКВ – Подлипки Мытищинского района (9265).</w:t>
      </w:r>
    </w:p>
    <w:p w14:paraId="39912531" w14:textId="77777777" w:rsidR="00AE7191" w:rsidRPr="001E2C69" w:rsidRDefault="00AE7191" w:rsidP="00722885">
      <w:pPr>
        <w:pStyle w:val="Iauiue"/>
        <w:jc w:val="both"/>
        <w:rPr>
          <w:color w:val="000000" w:themeColor="text1"/>
          <w:sz w:val="16"/>
          <w:szCs w:val="16"/>
        </w:rPr>
      </w:pPr>
    </w:p>
    <w:p w14:paraId="104C9D2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августа 1942 катеростроители передали флоту 7 катеров типа КМ-5 (10671).</w:t>
      </w:r>
    </w:p>
    <w:p w14:paraId="663668B0"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05B219F"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lastRenderedPageBreak/>
        <w:t>Армия:</w:t>
      </w:r>
    </w:p>
    <w:p w14:paraId="5325AA00" w14:textId="77777777" w:rsidR="00AE7191" w:rsidRPr="001E2C69" w:rsidRDefault="00AE7191" w:rsidP="00722885">
      <w:pPr>
        <w:pStyle w:val="Iauiue"/>
        <w:jc w:val="both"/>
        <w:rPr>
          <w:iCs/>
          <w:color w:val="000000" w:themeColor="text1"/>
          <w:sz w:val="16"/>
          <w:szCs w:val="16"/>
        </w:rPr>
      </w:pPr>
    </w:p>
    <w:p w14:paraId="66F7A8A6"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августа в 1942 году утреннее сообщение Совинформбюро:</w:t>
      </w:r>
    </w:p>
    <w:p w14:paraId="460DE2AA"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5 августа наши войска вели бои с противником в районах Клетская, Цымлянская, Белая Глина, Кущевская.</w:t>
      </w:r>
    </w:p>
    <w:p w14:paraId="1DBD5EFD"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04F1D17A"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наши войска вели упорные бои против немецко-фашистских войск. Н-ская часть отразила четыре атаки противника и уничтожила 6 немецких танков и 450 гитлеровцев. Наши танкисты совместно с пехотой в результате ожесточённого боя нанесли большие потери живой силе и технике противника. Подтянув резервы, немцы предприняли несколько контратак, которые также были отбиты нашими частями.</w:t>
      </w:r>
    </w:p>
    <w:p w14:paraId="4BFDE653"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Цымлянской наши войска вели оборонительные бои с танками и мотопехотой противника. После упорных боёв наши части на одном участке отошли на новые позиции. Активно действует наша авиация. Советские истребители и штурмовики днём и ночью наносят непрерывные удары по войскам противника.</w:t>
      </w:r>
    </w:p>
    <w:p w14:paraId="6679D00C"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Белой Глины наши войска вели тяжёлые бои с прорвавшимися танками и моторизованными частями противника. По приказу командования наши части отошли на новые оборонительные позиции.</w:t>
      </w:r>
    </w:p>
    <w:p w14:paraId="6A2F4AA7"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Кущевской наши войска отбивают атаки превосходящих сил противника и наносят ему тяжёлые потери. Только одно наше пехотное соединение уничтожило 6 немецких танков, 14 орудий, 22 пулемёта, 17 миномётов и до 550 вражеских солдат и офицеров. На другом участке наши кавалеристы внезапно атаковали противника. По предварительным и неполным данным, в этих боях уничтожено до 3.000 солдат и офицеров противника.</w:t>
      </w:r>
    </w:p>
    <w:p w14:paraId="334FD0E5"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Воронежском фронте велась редкая артиллерийская и ружейно-пулемётнаяперестрелка. Наша разведывательная группа, переправившись на западный берег реки Дон, вступила в бой с противником и уничтожила 60 немецких солдат, 3 офицеров и захватила пленных. Действиями нашей авиации уничтожено 24 немецких автомашины, 4 зенитных орудия, 2 речных переправы и истреблено до взвода немецкой пехоты.</w:t>
      </w:r>
    </w:p>
    <w:p w14:paraId="180DAE12"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Волховском фронте огнём нашей артиллерии, миномётов и снайперов уничтожено свыше 300 гитлеровцев. Противник отвечал беспорядочным ружейно-пулемётным и миномётным огнём.</w:t>
      </w:r>
    </w:p>
    <w:p w14:paraId="5FDBA9F3"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тов. С, действующий в одном из районов Сумской области, напал на роту гестаповцев. Партизаны истребили 98 солдат и 5 офицеров противника, уничтожили 3 автомашины с военным имуществом, склад с боеприпасами и захватили трофеи.</w:t>
      </w:r>
    </w:p>
    <w:p w14:paraId="0913BF13"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городе Новограде-Волынском партизаны сожгли недавно восстановленный немцами завод.</w:t>
      </w:r>
    </w:p>
    <w:p w14:paraId="5595EFAD"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Пробравшийся из немецкого тыла в расположение наших войск советский гражданин Бобцов Г. Я. рассказал: «В гор. Слуцке, Ленинградской области, осталось очень мало населения. Немцы замучили и расстреляли большинство жителей, а многих угнали в глубокий тыл. Фашистские бандиты разрушили и полностью разграбили Павловский дворец. Ценности, картины, вазы и статуи грабители вывезли в Германию. Деревья великолепного парка вырублены. В городе свирепствует голод. На улицах можно видеть трупы людей, умерших от истощения. В Слуцком концентрационном лагере томятся сотни мирных жителей, обречённых на смерть. Им изредка приносят отбросы из солдатских кухонь. Ежедневно из лагеря выносят несколько трупов умерших от голода».</w:t>
      </w:r>
    </w:p>
    <w:p w14:paraId="7418AD64"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гавани Остенде (Бельгия) произошли взрывы на двух немецких сторожевых судах. Одно судно вскоре затонуло. Там же взорван немецкий военный склад. Немецкие оккупационные власти произвели аресты среди бельгийских грузчиков.</w:t>
      </w:r>
    </w:p>
    <w:p w14:paraId="71C0C498"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одной текстильной фабрике в Пабьяницах (Польша) эсэсовцы повесили в цехе 8 поляков за протест против произвола и бесчинств немецкой администрации. Три дня висели трупы повешенных. Возмущённые этим неслыханным издевательством польские рабочие поломали оборудование, разгромили контору и бросили работу.» (14974).</w:t>
      </w:r>
    </w:p>
    <w:p w14:paraId="0B42F162" w14:textId="77777777" w:rsidR="00907F56" w:rsidRPr="001E2C69" w:rsidRDefault="00907F56" w:rsidP="00722885">
      <w:pPr>
        <w:spacing w:after="0" w:line="240" w:lineRule="auto"/>
        <w:jc w:val="both"/>
        <w:rPr>
          <w:rFonts w:ascii="Times New Roman" w:hAnsi="Times New Roman"/>
          <w:color w:val="000000" w:themeColor="text1"/>
          <w:sz w:val="16"/>
          <w:szCs w:val="16"/>
        </w:rPr>
      </w:pPr>
    </w:p>
    <w:p w14:paraId="22330150"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августа в 1942 году вечернее сообщение Совинформбюро:</w:t>
      </w:r>
    </w:p>
    <w:p w14:paraId="19C62332"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5 августа наши войска вели ожесточённые бои в районах Клетская, Котельниково, южнее Белая Глина и южнее Кущевская.</w:t>
      </w:r>
    </w:p>
    <w:p w14:paraId="6140F36E"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13C79AA1"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4 августа частями нашей авиации на различных участках фронта уничтожено или повреждено до 40 немецких танков, более 200 автомашин с войсками и грузами, до 100 повозок с боеприпасами, 4 автоцистерны с горючим, взорвано 4 склада боеприпасов и склад горючего, подавлен огонь 20 батарей полевой и зенитной артиллерии, рассеяно и частью уничтожено до четырёх рот пехоты противника.</w:t>
      </w:r>
    </w:p>
    <w:p w14:paraId="6B83D9E5"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наши войска вели бои с противником. Немецкая пехота при поддержке танков и бронемашин несколько раз атаковала наши позиции. Наши бойцы стойко выдержали удары немцев и отбили их атаки. Противник потерял в этих боях 8 танков и до 1.200 солдат и офицеров. Южнее Клетской произошёл танковый бой, в ходе которого советские танкисты сожгли и подбили 13 немецких танков.</w:t>
      </w:r>
    </w:p>
    <w:p w14:paraId="3C4B0401"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Ожесточённые бои происходили в районе Котельникова. Сосредоточив крупные силы, противник непрерывно атакует наши позиции. Ценой больших потерь ему удалось несколько продвинуться вперёд. У одного населённого пункта завязался упорный бой. Пункт несколько раз переходил из рук в руки. По неполным данным, на этом участке уничтожено 12 танков, 28 автомашин и свыше 400 гитлеровцев.</w:t>
      </w:r>
    </w:p>
    <w:p w14:paraId="24E55DBA"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Южнее Белой Глины наши войска вели напряжённые оборонительные бои с танками и мотопехотой противника. На одном из участков после упорного боя наши части отошли на новые рубежи. На другом участке крупный отряд автоматчиков противника прорвался в тыл нашей части. Быстро принятыми мерами немецкие автоматчики были окружены и полностью уничтожены. В районе южнее Кущевской наши войска отбивали многочисленные атаки противника. Только на участке Н-ской части уничтожено 6 немецких танков, 4 орудия и 26 пулемётов. На поле боя осталось свыше 600 трупов солдат и офицеров противника.</w:t>
      </w:r>
    </w:p>
    <w:p w14:paraId="0E49675D"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Северо-Западном фронте происходили действия авиации и редкая артиллерийская перестрелка. Семь скоростных советских бомбардировщиков под руководством тов. Перлика разрушили переправу противника через реку. Группа лётчиков во главе с тов. Артёмовым совершила налёт на вражеский аэродром. В результате налёта взорван склад с боеприпасами и возникло 18 очагов пожаров. В воздушных боях сбито 2 немецких самолёта.</w:t>
      </w:r>
    </w:p>
    <w:p w14:paraId="310F1681"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Карельском фронте группа лётчиков части, где командиром тов. Белоусов, произвела внезапный налёт на аэродром противника. Уничтожено 14 немецких самолётов. Несколько позднее лётчики этой же части совместно с лётчиками командира тов. Фомина совершили ещё один налёт на аэродром противника, на котором находилось 12 «Мессершмиттов-109». Два немецких самолёта, пытавшиеся подняться, были сбиты пилотами тт. Чебичковым и Бакулиным. Всего во время этого налёта было уничтожено 7 немецких истребителей.</w:t>
      </w:r>
    </w:p>
    <w:p w14:paraId="2ADF23CA"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Группа партизан из отряда тов. Т., действующего в Ленинградской области, пустила под откос немецкий воинский эшелон. Полностью разбито 14 пассажирских и 10 товарных вагонов. На протяжении 150 метров повреждён железнодорожный путь. Убито и ранено свыше 300 немецко-фашистских оккупантов.</w:t>
      </w:r>
    </w:p>
    <w:p w14:paraId="4D6CB674"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лётчик 4 немецкой истребительной эскадры унтер-офицер Вилли Треттер рассказал: «Я только на днях прибыл на фронт. Русские лётчики сбили меня в первом же воздушном бою. Наши старые лётчики говорят, что сражаться с русскими лётчиками становится всё труднее. Нам всё время говорили, что авиация русских уничтожена. Сообщения о налётах советских самолётов на Кёнигсберг произвели поэтому очень сильное впечатление. Говорят, что русские бомбардировщики причинили большие разрушения военным объектам».</w:t>
      </w:r>
    </w:p>
    <w:p w14:paraId="5EA05136"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Немецкому солдату Вальтеру Шерпену пишет Курт Геренленг из Саарской области: «Война высасывает из нас все соки. Работать приходится до тех пор, пока не сломится хребет, а жрать нечего. Всё, что у крестьян есть, у них отняли, но жаловаться нельзя. Горе тому, кто сболтнёт что-нибудь лишнее. Его назовут критиканом, и тогда он пропал».</w:t>
      </w:r>
    </w:p>
    <w:p w14:paraId="475872FD"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Французские патриоты вывели из строя большой прокатный стан и три мартеновские печи на сталелитейном заводе в окрестностях города Ирсон. На суконной фабрике в Камбрэ неизвестными был подожжён склад готовой продукции. Огнём уничтожено 30 тысяч метров ткани, подготовленной к отправке в Германию.» (14974).</w:t>
      </w:r>
    </w:p>
    <w:p w14:paraId="27401CBE" w14:textId="77777777" w:rsidR="00907F56" w:rsidRPr="001E2C69" w:rsidRDefault="00907F56" w:rsidP="00722885">
      <w:pPr>
        <w:spacing w:after="0" w:line="240" w:lineRule="auto"/>
        <w:jc w:val="both"/>
        <w:rPr>
          <w:rFonts w:ascii="Times New Roman" w:hAnsi="Times New Roman"/>
          <w:color w:val="000000" w:themeColor="text1"/>
          <w:sz w:val="16"/>
          <w:szCs w:val="16"/>
        </w:rPr>
      </w:pPr>
    </w:p>
    <w:p w14:paraId="619B6DC7" w14:textId="77777777" w:rsidR="00907F56" w:rsidRPr="001E2C69" w:rsidRDefault="00907F5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августа в 1942 году Ставка ВГК разделила Сталинградский фронт на Сталинградский и Юго-Восточный фронты (28 сентября они соответственно переименованы в Донской и Сталинградский фронты). 9 августа Ставка ВГК подчинила командующему Юго-Восточным фронтом Сталинградский фронт, передала в его оперативное подчинение Волжскую военную флотилию, а 15-16 августа - также Сталинградский ВО и Сталинградский корпусной район ПВО. Командующий - генерал-полковник А.И.Еременко, члены Военного совета - бригадный комиссар В.М.Лайок (август 1942), Н.С.Хрущев (август - сентябрь 1942), начальник штаба - генерал-майор Г.Ф.Захаров. Советские войска оставили город Ставрополь.Из района Котельниковский советские войска отошли на северный берег реки Аксай. Перейдя в наступление (4 августа), войска Западного фронта к исходу дня расширили прорыв главной полосы обороны противника до 30 км по фронту и 25 км в глубину (14974).</w:t>
      </w:r>
    </w:p>
    <w:p w14:paraId="22CF5372" w14:textId="77777777" w:rsidR="00907F56" w:rsidRPr="001E2C69" w:rsidRDefault="00907F56" w:rsidP="00722885">
      <w:pPr>
        <w:spacing w:after="0" w:line="240" w:lineRule="auto"/>
        <w:jc w:val="both"/>
        <w:rPr>
          <w:rFonts w:ascii="Times New Roman" w:hAnsi="Times New Roman"/>
          <w:color w:val="000000" w:themeColor="text1"/>
          <w:sz w:val="16"/>
          <w:szCs w:val="16"/>
        </w:rPr>
      </w:pPr>
    </w:p>
    <w:p w14:paraId="06C1025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августа 1940 Верховное главнокомандование разделило СталинградскийФ на два: СФ и Ю-ВФ. 8ВА вошла в состав Ю-ВФ, а для СФ решили сформировать 16ВА (сначала командовал П.С.Степанов, а с 28 сентября - С.И.Руденко) (340,93).</w:t>
      </w:r>
    </w:p>
    <w:p w14:paraId="3582EFB0" w14:textId="77777777" w:rsidR="00AE7191" w:rsidRPr="001E2C69" w:rsidRDefault="00AE7191" w:rsidP="00722885">
      <w:pPr>
        <w:pStyle w:val="Iauiue"/>
        <w:jc w:val="both"/>
        <w:rPr>
          <w:color w:val="000000" w:themeColor="text1"/>
          <w:sz w:val="16"/>
          <w:szCs w:val="16"/>
        </w:rPr>
      </w:pPr>
    </w:p>
    <w:p w14:paraId="7B31FBFD"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5 августа 1942 немцы взяли Ворошиловск (Ставрополь) (4962).</w:t>
      </w:r>
    </w:p>
    <w:p w14:paraId="479D1CEF" w14:textId="77777777" w:rsidR="00AE7191" w:rsidRPr="001E2C69" w:rsidRDefault="00AE7191" w:rsidP="00722885">
      <w:pPr>
        <w:pStyle w:val="Iauiue"/>
        <w:tabs>
          <w:tab w:val="left" w:pos="11199"/>
        </w:tabs>
        <w:jc w:val="both"/>
        <w:rPr>
          <w:color w:val="000000" w:themeColor="text1"/>
          <w:sz w:val="16"/>
          <w:szCs w:val="16"/>
        </w:rPr>
      </w:pPr>
    </w:p>
    <w:p w14:paraId="1B17744F"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августа 1942 г.</w:t>
      </w:r>
    </w:p>
    <w:p w14:paraId="6DD5C3C0"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 КОМАНДУЮЩЕГО ВОЕННО-ВОЗДУШНЫМИ СИЛАМИ КРАСНОЙ АРМИИ № 0148 ОТ 5 АВГУСТА 1942 г. О ПОДГОТОВКЕ ВОЕННО-ВОЗДУШНЫХ СИЛ КРАСНОЙ АРМИИ К ЗИМЕ</w:t>
      </w:r>
    </w:p>
    <w:p w14:paraId="3CC3A0C6"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Секретно</w:t>
      </w:r>
    </w:p>
    <w:p w14:paraId="37FBA7DE"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 ВОЕННО-ВОЗДУШНЫМ СИЛАМ КРАСНОЙ АРМИИ № 0148</w:t>
      </w:r>
    </w:p>
    <w:p w14:paraId="4C63C49E"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августа 1942 г.</w:t>
      </w:r>
      <w:r w:rsidRPr="001E2C69">
        <w:rPr>
          <w:rFonts w:ascii="Times New Roman" w:hAnsi="Times New Roman"/>
          <w:color w:val="000000" w:themeColor="text1"/>
          <w:sz w:val="16"/>
          <w:szCs w:val="16"/>
        </w:rPr>
        <w:tab/>
        <w:t>г. М о с к в а</w:t>
      </w:r>
    </w:p>
    <w:p w14:paraId="2A7ABA7D"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Содержание. О "подготовке Военно-воздушных сил Красной Армии для работы в зимних условиях.</w:t>
      </w:r>
    </w:p>
    <w:p w14:paraId="41512620"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обеспечения работы частей Военно-воздушных сил Красной Армии в зимних условиях ПРИКАЗЫВАЮ:</w:t>
      </w:r>
    </w:p>
    <w:p w14:paraId="613075DC"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Командующим воздушными армиями, военно-воздушными силами фронтов, округов и [командирам] отдельных авиационных дивизий Главного Командования по получении настоящего приказа немедленно приступить к подготовке частей военно-воздушных сил к зимней эксплуатации, для чего:</w:t>
      </w:r>
    </w:p>
    <w:p w14:paraId="1B2669C4"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Проверить обеспеченность частей зимним летным и техническим обмундированием, готовность его к носке, как требовала директива Начальника тыла Военно-воздушных сил Красной Армии № 423415с от 11 марта 1942 г.</w:t>
      </w:r>
    </w:p>
    <w:p w14:paraId="2BB44CCF"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Ремонт полностью закончить к 1 сентября 1942 г.</w:t>
      </w:r>
    </w:p>
    <w:p w14:paraId="3EF37B6A"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На аэродромах базирования и запасных аэродромах подготовить отапливаемые землянки для жилья и обогрева летного и технического состава, для мелких ремонтных работ, материальной части, подготовки оружия и боеприпасов к бою, для хранения технического имущества, портящегося при низких температурах.</w:t>
      </w:r>
    </w:p>
    <w:p w14:paraId="1DD25FA9"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Особое внимание обратить на подготовку летных полей к осенне-зимней эксплуатации в соответствии с указаниями начальника Управления аэродромного строительства Военно-воздушных сил Красной Армии № 3327 от 30 июня 1942 г.</w:t>
      </w:r>
    </w:p>
    <w:p w14:paraId="2AAC9B2E"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Привести в полную исправность средства механизации по подготовке аэродромов к эксплуатации самолетов на колесах в зимнее время;</w:t>
      </w:r>
    </w:p>
    <w:p w14:paraId="3ACA03CF"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недостающие катки, гладилки и другие механизмы изготовить своими средствами. Отремонтировать весь наличный тракторный парк.</w:t>
      </w:r>
    </w:p>
    <w:p w14:paraId="7300FCB4"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Подготовить к осенней распутице подъездные пути к аэродромам, бензохранилищам и складам, а также подготовить средства для очистки э4их путей от снега в зимнее время. Срок [исполнения] 1 сентября 1942 г.</w:t>
      </w:r>
    </w:p>
    <w:p w14:paraId="07EB83CC"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Привести в полный порядок и подготовить к эксплуатации стационарные водомаслогрейки.</w:t>
      </w:r>
    </w:p>
    <w:p w14:paraId="712BED11"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Проверить обеспеченность частей водомаслозаправщиками, маслозаправщиками, бензозаправщиками и бензоцистернами, гончарками, автостартерами, зарядно-аккумуляторными станциями, средствами подогрева моторов на самолетах. Подобрать и укомплектовать [лампами] АПЛ-1, трубами подачи теплого воздуха по типам самолетов и проверить подгонку этих труб к самолетам. Прекратить эксплуатацию водомаслозаправщиков и маслозаправщиков до наступления холодов. Неисправные средства заправки, запуска и подогрева отремонтировать, испытать и распределить по [авиационным] полкам. Гончарки 1 установить на лыжи.</w:t>
      </w:r>
    </w:p>
    <w:p w14:paraId="3D329BB6"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Особое внимание обращаю на тщательную подготовку средств подогрева моторов к импортным самолетам.</w:t>
      </w:r>
    </w:p>
    <w:p w14:paraId="598C7CBE"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 наличии и состоянии указанного выше имущества донести через Начальника тыла Военно-воздушных сил Красной Армии к 10 сентября 1942 г. по состоянию на 1 сентября 1942 г.</w:t>
      </w:r>
    </w:p>
    <w:p w14:paraId="7D9A66E0"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Выделить в каждом [авиационном] полку и [в каждом] батальоне аэродромного обслуживания из наличного состава специальных людей для содержания и подготовки средств к действию, а также ухода за ними, обучив и натренировав личный состав в подготовке к действию и управлению этими средствами.</w:t>
      </w:r>
    </w:p>
    <w:p w14:paraId="2769A81F"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батальонах аэродромного обслуживания подготовить водительский состав к зимней эксплуатации спецмашин, обратив особое внимание на тренировку личного состава по безаварийному обслуживанию материальной части.</w:t>
      </w:r>
    </w:p>
    <w:p w14:paraId="1B6373C6"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Проверить наличие зимних чехлов для моторов, аккумуляторов и аэрофотоаппаратов. Неисправные чехлы отремонтировать и доукомплектовать до полного удовлетворения потребности частей.</w:t>
      </w:r>
    </w:p>
    <w:p w14:paraId="515D237C"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Подготовить самолеты, моторы, вооружение и специальное оборудование к зимней эксплуатации в соответствии с указаниями Управления технической эксплуатации Военно-воздушных сил Красной Армии по каждому типу самолетов.</w:t>
      </w:r>
    </w:p>
    <w:p w14:paraId="7D271A7E"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Начальнику Управления технической эксплуатации Военно-воздушных сил Красной Армии разработать указания об эксплуатации материальной части в зимних условиях и разослать в части к 1 сентября 1942 г.</w:t>
      </w:r>
    </w:p>
    <w:p w14:paraId="60305ACB"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Проверить состояние лыж, неисправные отремонтировать и доукомплектовать недостающими деталями.</w:t>
      </w:r>
    </w:p>
    <w:p w14:paraId="3A1803E0"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В донесениях о лыжах (по состоянию на 1 сентября 1942 г.), представляемых по моему приказу № 086, указать, сколько комплектов лыж полностью укомплектовано, сколько не укомплектовано и чего недостает для их укомплектования. Указать обеспеченность лыжами и зимними чехлами по отношению к самолетному парку по типам самолетов.</w:t>
      </w:r>
    </w:p>
    <w:p w14:paraId="465971F4"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Для обеспечения ремонта материальной части в полевых условиях придать каждому ПАРМ-1 по одной отепленной палатке.</w:t>
      </w:r>
    </w:p>
    <w:p w14:paraId="707585B7"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Заготовить потребное количество пускового топлива, антифриза, зимних масел и низкозастывающих смесей для амортизационных стоек гидросистем.</w:t>
      </w:r>
    </w:p>
    <w:p w14:paraId="6797A2C8"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Подготовить средства зимней маскировки самолетов. Маскировку производить в зависимости от выпадения снега согласно инструкции Военно-воздушных сил Красной Армии но маскировке самолетов в зимнее время.</w:t>
      </w:r>
    </w:p>
    <w:p w14:paraId="3F4CC2AD"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Срок подготовки к эксплуатации материальной части самолетов в зимних условиях для северных и западных фронтов и округов и для 1-й воздушной армии, а также для Дальневосточного и Забайкальского фронта и Сибирского военного округа — 1 октября 1942 г., для остальных фронтов и округов — 10 октября 1942 г.</w:t>
      </w:r>
    </w:p>
    <w:p w14:paraId="7ED52F86"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Произвести ремонт и тщательную подготовку овощехранилищ для закладки овощей, а также подготовить жилые и служебные здания</w:t>
      </w:r>
    </w:p>
    <w:p w14:paraId="538D2F39"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зимы. Срок [исполнения] 1 сентября 1942 г.</w:t>
      </w:r>
    </w:p>
    <w:p w14:paraId="6A598E2C"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Закончить заготовку топлива на зимний период к 10 октября 1942 г.</w:t>
      </w:r>
    </w:p>
    <w:p w14:paraId="08B0207A"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Начальнику тыла Военно-воздушных сил Красной Армии, Главному инженеру ц начальнику Главного Управления заказов и технического снабжения принять все необходимые меры к обеспечению боевых действий авиации в зимних условиях.</w:t>
      </w:r>
    </w:p>
    <w:p w14:paraId="67DAB0C6"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 ходе выполнения настоящего приказа докладывать мне ежемесячно 30 числа.</w:t>
      </w:r>
    </w:p>
    <w:p w14:paraId="4BBC8E92"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Временно исполняющий должность Командующего Военно-воздушными силами Красной Армии генерал-лейтенант авиации</w:t>
      </w:r>
    </w:p>
    <w:p w14:paraId="1BB64D6F"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ФАЛАЛЕЕВ</w:t>
      </w:r>
    </w:p>
    <w:p w14:paraId="3BC55F5C"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Член Военного Совета Военно-воздушных сил Красной Армии дивизионный комиссар</w:t>
      </w:r>
    </w:p>
    <w:p w14:paraId="1DE82391"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РУДЕНКО</w:t>
      </w:r>
    </w:p>
    <w:p w14:paraId="6DA92EAA"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Временно исполняющий должность Начальника штаба Военно-воздушных сил Красной Армии генерал-майор авиации</w:t>
      </w:r>
    </w:p>
    <w:p w14:paraId="0E702A6B"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Короленко</w:t>
      </w:r>
    </w:p>
    <w:p w14:paraId="00180BB0" w14:textId="77777777" w:rsidR="001E4C3E" w:rsidRPr="001E2C69" w:rsidRDefault="001E4C3E"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Архив МО. Ф. 35, оп. 30807сс, д. 22, лл. 95—96 (20614).</w:t>
      </w:r>
    </w:p>
    <w:p w14:paraId="358516FC" w14:textId="77777777" w:rsidR="001E4C3E" w:rsidRPr="001E2C69" w:rsidRDefault="001E4C3E" w:rsidP="00722885">
      <w:pPr>
        <w:spacing w:after="0" w:line="240" w:lineRule="auto"/>
        <w:jc w:val="both"/>
        <w:rPr>
          <w:rFonts w:ascii="Times New Roman" w:hAnsi="Times New Roman"/>
          <w:color w:val="000000" w:themeColor="text1"/>
          <w:sz w:val="16"/>
          <w:szCs w:val="16"/>
        </w:rPr>
      </w:pPr>
    </w:p>
    <w:p w14:paraId="716BD8C2"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516785CF" w14:textId="77777777" w:rsidR="00AE7191" w:rsidRPr="001E2C69" w:rsidRDefault="00AE7191" w:rsidP="00722885">
      <w:pPr>
        <w:pStyle w:val="Iauiue"/>
        <w:jc w:val="both"/>
        <w:rPr>
          <w:iCs/>
          <w:color w:val="000000" w:themeColor="text1"/>
          <w:sz w:val="16"/>
          <w:szCs w:val="16"/>
        </w:rPr>
      </w:pPr>
    </w:p>
    <w:p w14:paraId="0B852F7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августа 1942 Англия отменила мюнхенское соглашение (3481).</w:t>
      </w:r>
    </w:p>
    <w:p w14:paraId="0F79C258" w14:textId="77777777" w:rsidR="00AE7191" w:rsidRPr="001E2C69" w:rsidRDefault="00AE7191" w:rsidP="00722885">
      <w:pPr>
        <w:pStyle w:val="Iauiue"/>
        <w:jc w:val="both"/>
        <w:rPr>
          <w:color w:val="000000" w:themeColor="text1"/>
          <w:sz w:val="16"/>
          <w:szCs w:val="16"/>
        </w:rPr>
      </w:pPr>
    </w:p>
    <w:p w14:paraId="4D215799"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132A7A2D" w14:textId="77777777" w:rsidR="00AE7191" w:rsidRPr="001E2C69" w:rsidRDefault="00AE7191" w:rsidP="00722885">
      <w:pPr>
        <w:pStyle w:val="Iauiue"/>
        <w:jc w:val="both"/>
        <w:rPr>
          <w:iCs/>
          <w:color w:val="000000" w:themeColor="text1"/>
          <w:sz w:val="16"/>
          <w:szCs w:val="16"/>
        </w:rPr>
      </w:pPr>
    </w:p>
    <w:p w14:paraId="5F9DD1E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августа 1942 года было подготовлено письмо:</w:t>
      </w:r>
    </w:p>
    <w:p w14:paraId="448AAF0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КОМАНДУЮЩЕМУ ВВС КРАСНОЙ АРМИИ Генерал-лейтенанту т» НОВИКОВУ</w:t>
      </w:r>
    </w:p>
    <w:p w14:paraId="1768D7F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 время бесед с летчиками и командирами авиа</w:t>
      </w:r>
      <w:r w:rsidRPr="001E2C69">
        <w:rPr>
          <w:rFonts w:ascii="Times New Roman" w:hAnsi="Times New Roman"/>
          <w:color w:val="000000" w:themeColor="text1"/>
          <w:sz w:val="16"/>
          <w:szCs w:val="16"/>
        </w:rPr>
        <w:softHyphen/>
        <w:t>частей, а также при посещениях аэродромов - было выявлено, что в самолетах Як-1 и Ил-2 имеется ряд заводских недочетов, устранение которых возможно и необходимо для повышения летно-тактических качеств этих самолетов.</w:t>
      </w:r>
    </w:p>
    <w:p w14:paraId="2C32CCD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Направляю Вам вжсказанные летчиками пожелания об устранении наиболее заметных заводских недочетов</w:t>
      </w:r>
    </w:p>
    <w:p w14:paraId="33E93C5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п/п.</w:t>
      </w:r>
    </w:p>
    <w:p w14:paraId="15BC55C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(БУЛГАНИН)</w:t>
      </w:r>
    </w:p>
    <w:p w14:paraId="7532B4E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КОПИЯ ВЕРНА:</w:t>
      </w:r>
    </w:p>
    <w:p w14:paraId="35525842" w14:textId="77777777" w:rsidR="00AE7191" w:rsidRPr="001E2C69" w:rsidRDefault="00AE7191" w:rsidP="00722885">
      <w:pPr>
        <w:shd w:val="clear" w:color="auto" w:fill="FFFFFF"/>
        <w:spacing w:after="0" w:line="240" w:lineRule="auto"/>
        <w:jc w:val="both"/>
        <w:rPr>
          <w:rFonts w:ascii="Times New Roman" w:hAnsi="Times New Roman"/>
          <w:smallCaps/>
          <w:color w:val="000000" w:themeColor="text1"/>
          <w:sz w:val="16"/>
          <w:szCs w:val="16"/>
        </w:rPr>
      </w:pPr>
      <w:r w:rsidRPr="001E2C69">
        <w:rPr>
          <w:rFonts w:ascii="Times New Roman" w:hAnsi="Times New Roman"/>
          <w:color w:val="000000" w:themeColor="text1"/>
          <w:sz w:val="16"/>
          <w:szCs w:val="16"/>
        </w:rPr>
        <w:t>Инженер- 1-го Отдела Управления Технич.3ксплоат. ВВС КА (Черемных) (1633,227)</w:t>
      </w:r>
    </w:p>
    <w:p w14:paraId="3310B61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августа 1942 года была подготовлена справка:</w:t>
      </w:r>
    </w:p>
    <w:p w14:paraId="2327641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Заводские дефекты по штурмовикам и истребителям</w:t>
      </w:r>
    </w:p>
    <w:p w14:paraId="3937428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Из опроса летчиков и командиров частей</w:t>
      </w:r>
    </w:p>
    <w:p w14:paraId="1800517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выявлен ряд недочетов в самолетах</w:t>
      </w:r>
    </w:p>
    <w:p w14:paraId="5F4332C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самолету Як-1</w:t>
      </w:r>
    </w:p>
    <w:p w14:paraId="3000CF1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У самолета Як-1 желательно иметь разъемные плоскости, сделав это по типу И-16 или МИГ-3, усилить боковые капоты, изменить защелки на капотах, так как бывают случаи, когда во время пикирования слетают капоты.</w:t>
      </w:r>
    </w:p>
    <w:p w14:paraId="2A169A4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Усилить фонарь, так как во время скорости 500 км в 1 час фонарь иногда срывается, самолет желательно обеспечить связью.</w:t>
      </w:r>
    </w:p>
    <w:p w14:paraId="40294A3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У Як-1 плохо просматривается задняя полусфера, надо правее прицела поставить опускающееся и поднимающееся зеркало, чтобы можно было видеть хвост самолета.</w:t>
      </w:r>
    </w:p>
    <w:p w14:paraId="0B120C1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lastRenderedPageBreak/>
        <w:t>4. У Як-1 плохая воздушная система, целесообразно взять типовой образец с ЛАГГ и перенести на Як-1.</w:t>
      </w:r>
    </w:p>
    <w:p w14:paraId="4E6565A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Поднять качество монтажа самолета, желательно взять систему ЛАГГ. Монтаж Саратовского завода плохой.</w:t>
      </w:r>
    </w:p>
    <w:p w14:paraId="22F8A49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Летный состав ставит вопрос о снятии с самолетов Як-7 кислородных баллонов, так как полеты ведутся не выше 3-4 тысяч метров, а баллоны увеличивают вес самолета и опасны вследствие возможности взрыва их в боевой обстановке.</w:t>
      </w:r>
    </w:p>
    <w:p w14:paraId="37CED2D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 На машинах Як-7 установлены зимние радиаторы, имеющие толстые стенки и крупные соты, в результате чего греются моторы часто до 100 градусов.</w:t>
      </w:r>
    </w:p>
    <w:p w14:paraId="147ADBA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 Неудобный подвод питания к правому пулемету ШКАС, от чего происходят задержки, набегание, заклинивание ленты.</w:t>
      </w:r>
    </w:p>
    <w:p w14:paraId="484A01F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 Пневмоперезарядка пушки ШВАК (перекрывной клапан) отказывает, летят прокладки и т.д.</w:t>
      </w:r>
    </w:p>
    <w:p w14:paraId="5A3B431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 Пневмоперезарядка пулеметов ШКАС неудовлетворительна. Не обеспечивает перезарядку при заряженных пулеметах. Трубочки подвода воздуха к пулемету лучше сделать эластичными.</w:t>
      </w:r>
    </w:p>
    <w:p w14:paraId="2E88BC3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 Недоработана конструкция включения и выключения синхронизатора, тросовая проводка в бауденах болтается, ролики и рычаги создают свободные хода. Желательна электромагнитная система включения и выключения синхронизатора.</w:t>
      </w:r>
    </w:p>
    <w:p w14:paraId="4EA8758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 Очень часто отказывает механизм пневмопуска, нет регулятора давления воздуха.</w:t>
      </w:r>
    </w:p>
    <w:p w14:paraId="2FB25C3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самолету Ил-2.</w:t>
      </w:r>
    </w:p>
    <w:p w14:paraId="68889A7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Немедленно устранить недостатки в замке Дер-31, которые при подвеске на них ФАБ-100 от электропуска срабатывают на все (электромагниты замка не притягивают к себе якорь, который в свою очередь не освобождает поддерживающий бомбу рычаг. Бомба с самолета не сбрасывается).</w:t>
      </w:r>
    </w:p>
    <w:p w14:paraId="5B99F9E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Замок бомбодержателя Дер-21 во время пикирования работает только в момент окончательного выхода самолета из пике, а надо, чтобы он срабатывал в момент пике под углом 30-35 градусов. В 606 ШАП"е его переделали и перестановкой винта, ограничивающего вращение несущего рычага, достигли положения, что бомба отрывается от машины в момент, когда это требуется.</w:t>
      </w:r>
    </w:p>
    <w:p w14:paraId="3D1501B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Сверку центроплана над пиропистолетом бомбодержателя ДЕР-31, необходимо сделать люк для удобства съемки пиропистолета и завертывания гайки затвора.</w:t>
      </w:r>
    </w:p>
    <w:p w14:paraId="69F07BE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Установить специальный прицел, так как имеющийся, во время пикирования, цели не показывает, она закрывается мотором.</w:t>
      </w:r>
    </w:p>
    <w:p w14:paraId="49CF7C9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Определить точнее угол пикирования Ил-2 для внутренних и внешних подвесок отдельно.</w:t>
      </w:r>
    </w:p>
    <w:p w14:paraId="37EB242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Изменить предохранительную стенку люка, так как о стенку во время сбрасывания 100 кг бомбы, может удариться и смяться ветряк, отчего не произойдет взрыва.</w:t>
      </w:r>
    </w:p>
    <w:p w14:paraId="52D7366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 Сделать Ил-2 двухместным самолетом, бак с бензином, который занимает второе место, переконструировать в центроплан.</w:t>
      </w:r>
    </w:p>
    <w:p w14:paraId="254ECA6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 Слабое место Ил-2 - хвост. Нельзя ли поставить 1-2 пулемета, чтобы можно было стрелять через хвост.</w:t>
      </w:r>
    </w:p>
    <w:p w14:paraId="5AB7F27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 Продумать вопрос о броне самолета, т.к. сегодняшнюю бронь пробивает пуля.</w:t>
      </w:r>
    </w:p>
    <w:p w14:paraId="5DDC99C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 Вместо броневого железа кабины ставить небьющееся стекло, что увеличит обзор как воздушного, так и наземного противника.</w:t>
      </w:r>
    </w:p>
    <w:p w14:paraId="7304B1D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 На Ил-2 установлены зимние жиклеры. Это дает увеличение расхода горючего на 30-40 кг в час на 1 мотор, чем сокращается время пребывания самолета в воздухе и радиус его действия. Запасные жиклеры также зимние.</w:t>
      </w:r>
    </w:p>
    <w:p w14:paraId="1626C48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 Установить на самолетах приспособление, изобретенное инженером Кривицким для самоперезарядки пушки Волкова-Ярцева при задержках - неотдача без участия летчика.</w:t>
      </w:r>
    </w:p>
    <w:p w14:paraId="684DE64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13. На затыльнике пушки Волкова-Ярцева раззенковку для штифта затыльника делать с обеих сторон, что даст возможность снимать затыльник без снятия пушки с установки.</w:t>
      </w:r>
    </w:p>
    <w:p w14:paraId="0F8801F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моторам.</w:t>
      </w:r>
    </w:p>
    <w:p w14:paraId="6FC0483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Моторы на Ил-2 и Як-7 по единодушному отзыву летного и технического состава - низкого качества и часто выходят из строя.</w:t>
      </w:r>
    </w:p>
    <w:p w14:paraId="3E9EED2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Основные дефекты: плохое качество металла блоков, быстрое изнашивание бронзовых шестерен распределительных валиков, выхлопных и всасывающих клапанов, завальцовка цилиндров (1633,228).</w:t>
      </w:r>
    </w:p>
    <w:p w14:paraId="71FD9B9B" w14:textId="77777777" w:rsidR="00AE7191" w:rsidRPr="001E2C69" w:rsidRDefault="00AE7191" w:rsidP="00722885">
      <w:pPr>
        <w:pStyle w:val="Iauiue"/>
        <w:jc w:val="both"/>
        <w:rPr>
          <w:color w:val="000000" w:themeColor="text1"/>
          <w:sz w:val="16"/>
          <w:szCs w:val="16"/>
        </w:rPr>
      </w:pPr>
    </w:p>
    <w:p w14:paraId="2947755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августа 1942 вышел приказ НКАП N 593сс во исполнение постановления ГКО N 2092 от 25 июля 1942:</w:t>
      </w:r>
    </w:p>
    <w:p w14:paraId="356DFB3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Директору завода 23 Кузину и ГИ С.В.И.:</w:t>
      </w:r>
    </w:p>
    <w:p w14:paraId="574AB6E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 закончить немедленно 2-ве деревянных консоли к самолету ДБ-3Ф с М-88, установить на самолет и закончить летные испытания к 20 августа 1942</w:t>
      </w:r>
    </w:p>
    <w:p w14:paraId="6856D06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ГК С.В.И. установить деревянные консоли на самолет ДБ-3Ф с М-82 к 10 августа и закончить заводские испытания к 1 сентября 1942" (1581,56).</w:t>
      </w:r>
    </w:p>
    <w:p w14:paraId="658599CA" w14:textId="77777777" w:rsidR="00AE7191" w:rsidRPr="001E2C69" w:rsidRDefault="00AE7191" w:rsidP="00722885">
      <w:pPr>
        <w:pStyle w:val="Iauiue"/>
        <w:jc w:val="both"/>
        <w:rPr>
          <w:color w:val="000000" w:themeColor="text1"/>
          <w:sz w:val="16"/>
          <w:szCs w:val="16"/>
        </w:rPr>
      </w:pPr>
    </w:p>
    <w:p w14:paraId="5169D83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августа 1942 вышло постановление ГКО N 2144сс "О средствах обеспечения самолетовождения" (1580,10).</w:t>
      </w:r>
    </w:p>
    <w:p w14:paraId="6497824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Там было и о выпуске Пе-2 оборудованному АК-1 (1778,229).</w:t>
      </w:r>
    </w:p>
    <w:p w14:paraId="236EAE26" w14:textId="77777777" w:rsidR="00AE7191" w:rsidRPr="001E2C69" w:rsidRDefault="00AE7191" w:rsidP="00722885">
      <w:pPr>
        <w:pStyle w:val="Iauiue"/>
        <w:jc w:val="both"/>
        <w:rPr>
          <w:color w:val="000000" w:themeColor="text1"/>
          <w:sz w:val="16"/>
          <w:szCs w:val="16"/>
        </w:rPr>
      </w:pPr>
    </w:p>
    <w:p w14:paraId="5DE19484"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августа 1942 г. вышло Постановление ГКО № 2144сс и приказ по НКАП № 605сс, которыми:</w:t>
      </w:r>
    </w:p>
    <w:p w14:paraId="320B6B0A"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с 15 августа 1942 г. было положено ставить РПК-10 на каждый второй Пе-2, в связи с этим для обеспечения установки антенны РПК уменьшена площадь задней прозрачной панели нижнего остекления НЧФ – она приобрела трапециевидную форму и располагалась только справа от ПСС (слева было место для антенны РПК)</w:t>
      </w:r>
    </w:p>
    <w:p w14:paraId="7B16255D"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с 20 августа 1942 г. на каждый Пе-2 разведчик согласно Постановления ГКО № 2144сс от 6 августа 1942 и приказа по НКАП № 605сс было положено ставить автомат курса АК-1 (23565);</w:t>
      </w:r>
    </w:p>
    <w:p w14:paraId="1BA44C9C" w14:textId="77777777" w:rsidR="00DE102D" w:rsidRPr="008A2E5A" w:rsidRDefault="00DE102D" w:rsidP="00DE102D">
      <w:pPr>
        <w:spacing w:after="0" w:line="240" w:lineRule="auto"/>
        <w:jc w:val="both"/>
        <w:rPr>
          <w:rFonts w:ascii="Times New Roman" w:hAnsi="Times New Roman"/>
          <w:color w:val="0070C0"/>
          <w:sz w:val="16"/>
          <w:szCs w:val="16"/>
        </w:rPr>
      </w:pPr>
    </w:p>
    <w:p w14:paraId="681BAA0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августа 1942 вышло постановление ГКО N 2145сс, которым был принят на вооружение ВВС прошедший гос. испытания самолет Як-7 с М-105ПФ. Самолету Як-7 увеличенной дальности присвоили наименование Як-9 (1580,10).</w:t>
      </w:r>
    </w:p>
    <w:p w14:paraId="0857315B" w14:textId="77777777" w:rsidR="00AE7191" w:rsidRPr="001E2C69" w:rsidRDefault="00AE7191" w:rsidP="00722885">
      <w:pPr>
        <w:pStyle w:val="Iauiue"/>
        <w:jc w:val="both"/>
        <w:rPr>
          <w:color w:val="000000" w:themeColor="text1"/>
          <w:sz w:val="16"/>
          <w:szCs w:val="16"/>
        </w:rPr>
      </w:pPr>
    </w:p>
    <w:p w14:paraId="140D1CD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августа 1942 года зам. нач. секретариата наркома Фирсаев писал письмо N К-7/742 начальнику 7-го гл. управления Шишкину.</w:t>
      </w:r>
    </w:p>
    <w:p w14:paraId="56193BF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Направляю Вам заявление Якушкина в котором он просит сообщить, что сделано с его предложением - о новой системе вооружения боевых самолетов.</w:t>
      </w:r>
    </w:p>
    <w:p w14:paraId="211DC82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Прошу сообщить в секретариат Ваше мнение о предложении Якушкина (1684,150).</w:t>
      </w:r>
    </w:p>
    <w:p w14:paraId="0E95133C" w14:textId="77777777" w:rsidR="00AE7191" w:rsidRPr="001E2C69" w:rsidRDefault="00AE7191" w:rsidP="00722885">
      <w:pPr>
        <w:pStyle w:val="Iauiue"/>
        <w:jc w:val="both"/>
        <w:rPr>
          <w:color w:val="000000" w:themeColor="text1"/>
          <w:sz w:val="16"/>
          <w:szCs w:val="16"/>
        </w:rPr>
      </w:pPr>
    </w:p>
    <w:p w14:paraId="080F90B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августа 1942 Нач. 11 ГУ И.Куликов писал А.И.Ш. письмо N 478:</w:t>
      </w:r>
    </w:p>
    <w:p w14:paraId="582F342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"Командование Ю-ЗФ считает целесообразным организовать на заводе 490 в Сталинграде производство ремонта деревянных агрегатов боевых самолетов и изготовление запчастей из древесины...</w:t>
      </w:r>
    </w:p>
    <w:p w14:paraId="25F102E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связи с этим прошу Вашего решения:</w:t>
      </w:r>
    </w:p>
    <w:p w14:paraId="2A08407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В связи с организацией ремонта деревянных агрегатов самолетов прекратить на заводе 490 с августа производство планеров БДП-2...</w:t>
      </w:r>
    </w:p>
    <w:p w14:paraId="199ED19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Разрешить произвести переброску с завода 490 на завод 51 техдокументации, задела по дереву и металла, приспособлений, плазов, шаблонов, эталонов и пр. изделий по БДП-2..." (2503,16).</w:t>
      </w:r>
    </w:p>
    <w:p w14:paraId="7CDAF041" w14:textId="77777777" w:rsidR="00AE7191" w:rsidRPr="001E2C69" w:rsidRDefault="00AE7191" w:rsidP="00722885">
      <w:pPr>
        <w:pStyle w:val="Iauiue"/>
        <w:jc w:val="both"/>
        <w:rPr>
          <w:color w:val="000000" w:themeColor="text1"/>
          <w:sz w:val="16"/>
          <w:szCs w:val="16"/>
        </w:rPr>
      </w:pPr>
    </w:p>
    <w:p w14:paraId="763FF77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августа 1942 была подготовлена копия письма, которое Булганин писал письмо Ком. ВВС Новикову:</w:t>
      </w:r>
    </w:p>
    <w:p w14:paraId="0F060BE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6 августа по 6 октября 1942 в рамках совместных гос. и заводских испытаний БИ конструкции Болховитинова производства завода 293 с ЖРД Д-1-А-1100 конструкции НИИ-3, которые начались 2 августа 1942 на аэродроме НИИ ВВС Кольцово под Свердловском, по настоянию завода 293 проводились огневые испытания двигателя Д-1-А-1100. Это были испытания БИ-2 и БИ-3, которые летали 11 и 12 января и 11 и 14 марта (БИ-2) и 21 и 27 марта (БИ-3). 10/11 июня 1943 Зам. Командующего ВВС и НКАП утвердили акт N 837 и отчет (2928,16).</w:t>
      </w:r>
    </w:p>
    <w:p w14:paraId="7603EEF0" w14:textId="77777777" w:rsidR="00AE7191" w:rsidRPr="001E2C69" w:rsidRDefault="00AE7191" w:rsidP="00722885">
      <w:pPr>
        <w:pStyle w:val="Iauiue"/>
        <w:jc w:val="both"/>
        <w:rPr>
          <w:color w:val="000000" w:themeColor="text1"/>
          <w:sz w:val="16"/>
          <w:szCs w:val="16"/>
        </w:rPr>
      </w:pPr>
    </w:p>
    <w:p w14:paraId="0FF272B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августа 1942 вышло Постановление ГКО № 2141 О мероприятиях по обеспечению нормальной работы Уральского алюминиевого завода в августе 1942 года и доведению производства алюминия в сентябре на полную мощность завода. РГАНИР, Фонд ГКО, д. 50, лл. 29-31, 32-50 (11012).</w:t>
      </w:r>
    </w:p>
    <w:p w14:paraId="63277DF7"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D18625D"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6 августа 1942 вышло Постановление ГКО № 2142 [О передаче самолетов, получаемых с завода № 31, в Распоряжение ГКО командованию ЗФ.] (7048, 51).</w:t>
      </w:r>
    </w:p>
    <w:p w14:paraId="2B8290BC" w14:textId="77777777" w:rsidR="00AE7191" w:rsidRPr="001E2C69" w:rsidRDefault="00AE7191" w:rsidP="00722885">
      <w:pPr>
        <w:pStyle w:val="Iauiue"/>
        <w:tabs>
          <w:tab w:val="left" w:pos="11199"/>
        </w:tabs>
        <w:jc w:val="both"/>
        <w:rPr>
          <w:color w:val="000000" w:themeColor="text1"/>
          <w:sz w:val="16"/>
          <w:szCs w:val="16"/>
        </w:rPr>
      </w:pPr>
    </w:p>
    <w:p w14:paraId="4AF7350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августа 1942 вышло Постановление ГКО № 2143 О графике выпуска самолетов и моторов заводами Наркомавиапрома в августе 1942 г. РГАНИР, Фонд ГКО, д. 50, лл. 52, 53-57 (11012).</w:t>
      </w:r>
    </w:p>
    <w:p w14:paraId="08B9C78D"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A2931A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августа 1942 вышло Постановление ГКО № 2144 О средствах обеспечения самолетовождения. РГАНИР, Фонд ГКО, д. 50, лл. 58-60 (11012).</w:t>
      </w:r>
    </w:p>
    <w:p w14:paraId="7963C8A8"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415DD2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августа 1942 вышло Постановление ГКО № 2145 О самолете Як-7 с увеличенной дальностью. РГАНИР, Фонд ГКО, д. 50, лл. 61 (11012).</w:t>
      </w:r>
    </w:p>
    <w:p w14:paraId="55D2E2D6"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654FD44" w14:textId="77777777" w:rsidR="00B52727" w:rsidRPr="001E2C69" w:rsidRDefault="00B5272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августа 1942 вышло Постановление ГКО № 2145 О самолете Як-7 с увеличенной дальностью</w:t>
      </w:r>
    </w:p>
    <w:p w14:paraId="5584E528" w14:textId="77777777" w:rsidR="00B52727" w:rsidRPr="001E2C69" w:rsidRDefault="00B52727" w:rsidP="00722885">
      <w:pPr>
        <w:tabs>
          <w:tab w:val="left" w:pos="79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1. Принять на вооружение ВВС Красной Армии прошедвиЛ государственные испытания самолет Як-7 с мотором М105ЙФ со следующими данными:</w:t>
      </w:r>
    </w:p>
    <w:p w14:paraId="665805FF" w14:textId="77777777" w:rsidR="00B52727" w:rsidRPr="001E2C69" w:rsidRDefault="00B52727" w:rsidP="00722885">
      <w:pPr>
        <w:tabs>
          <w:tab w:val="left" w:pos="798"/>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полетныл вес самолета с полным запасом горючего 3035 кгр. (серийный Як-7 - ЗОЮ кгр.);</w:t>
      </w:r>
    </w:p>
    <w:p w14:paraId="59EAF901" w14:textId="77777777" w:rsidR="00B52727" w:rsidRPr="001E2C69" w:rsidRDefault="00B52727" w:rsidP="00722885">
      <w:pPr>
        <w:tabs>
          <w:tab w:val="left" w:pos="81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запас горючего - 500 кгр.(серийный - 305 кгр.);</w:t>
      </w:r>
    </w:p>
    <w:p w14:paraId="265F6E63" w14:textId="77777777" w:rsidR="00B52727" w:rsidRPr="001E2C69" w:rsidRDefault="00B52727" w:rsidP="00722885">
      <w:pPr>
        <w:tabs>
          <w:tab w:val="left" w:pos="81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дальность полета на высоте 1000 м. при скорости 340 км. час, на оборотах мотора 2250 об/мин, при полном вы</w:t>
      </w:r>
      <w:r w:rsidRPr="001E2C69">
        <w:rPr>
          <w:rFonts w:ascii="Times New Roman" w:hAnsi="Times New Roman"/>
          <w:color w:val="000000" w:themeColor="text1"/>
          <w:sz w:val="16"/>
          <w:szCs w:val="16"/>
        </w:rPr>
        <w:softHyphen/>
        <w:t xml:space="preserve">горании горючего - </w:t>
      </w:r>
      <w:r w:rsidRPr="001E2C69">
        <w:rPr>
          <w:rStyle w:val="-1pt"/>
          <w:rFonts w:ascii="Times New Roman" w:hAnsi="Times New Roman" w:cs="Times New Roman"/>
          <w:color w:val="000000" w:themeColor="text1"/>
          <w:spacing w:val="0"/>
          <w:sz w:val="16"/>
          <w:szCs w:val="16"/>
        </w:rPr>
        <w:t xml:space="preserve">1310 </w:t>
      </w:r>
      <w:r w:rsidRPr="001E2C69">
        <w:rPr>
          <w:rStyle w:val="1pt"/>
          <w:rFonts w:ascii="Times New Roman" w:hAnsi="Times New Roman" w:cs="Times New Roman"/>
          <w:color w:val="000000" w:themeColor="text1"/>
          <w:spacing w:val="0"/>
          <w:sz w:val="16"/>
          <w:szCs w:val="16"/>
        </w:rPr>
        <w:t>км.,</w:t>
      </w:r>
      <w:r w:rsidRPr="001E2C69">
        <w:rPr>
          <w:rFonts w:ascii="Times New Roman" w:hAnsi="Times New Roman"/>
          <w:color w:val="000000" w:themeColor="text1"/>
          <w:sz w:val="16"/>
          <w:szCs w:val="16"/>
        </w:rPr>
        <w:t xml:space="preserve"> а при </w:t>
      </w:r>
      <w:r w:rsidRPr="001E2C69">
        <w:rPr>
          <w:rStyle w:val="-1pt"/>
          <w:rFonts w:ascii="Times New Roman" w:hAnsi="Times New Roman" w:cs="Times New Roman"/>
          <w:color w:val="000000" w:themeColor="text1"/>
          <w:spacing w:val="0"/>
          <w:sz w:val="16"/>
          <w:szCs w:val="16"/>
        </w:rPr>
        <w:t>10%'</w:t>
      </w:r>
      <w:r w:rsidRPr="001E2C69">
        <w:rPr>
          <w:rFonts w:ascii="Times New Roman" w:hAnsi="Times New Roman"/>
          <w:color w:val="000000" w:themeColor="text1"/>
          <w:sz w:val="16"/>
          <w:szCs w:val="16"/>
        </w:rPr>
        <w:t xml:space="preserve"> запасе горючего- </w:t>
      </w:r>
      <w:r w:rsidRPr="001E2C69">
        <w:rPr>
          <w:rStyle w:val="-1pt"/>
          <w:rFonts w:ascii="Times New Roman" w:hAnsi="Times New Roman" w:cs="Times New Roman"/>
          <w:color w:val="000000" w:themeColor="text1"/>
          <w:spacing w:val="0"/>
          <w:sz w:val="16"/>
          <w:szCs w:val="16"/>
        </w:rPr>
        <w:t>1180</w:t>
      </w:r>
      <w:r w:rsidRPr="001E2C69">
        <w:rPr>
          <w:rFonts w:ascii="Times New Roman" w:hAnsi="Times New Roman"/>
          <w:color w:val="000000" w:themeColor="text1"/>
          <w:sz w:val="16"/>
          <w:szCs w:val="16"/>
        </w:rPr>
        <w:t xml:space="preserve"> км. (Серийный самолет Як-7 соответственно имеет даль</w:t>
      </w:r>
      <w:r w:rsidRPr="001E2C69">
        <w:rPr>
          <w:rFonts w:ascii="Times New Roman" w:hAnsi="Times New Roman"/>
          <w:color w:val="000000" w:themeColor="text1"/>
          <w:sz w:val="16"/>
          <w:szCs w:val="16"/>
        </w:rPr>
        <w:softHyphen/>
        <w:t xml:space="preserve">ность - 750 км. и с </w:t>
      </w:r>
      <w:r w:rsidRPr="001E2C69">
        <w:rPr>
          <w:rStyle w:val="-1pt"/>
          <w:rFonts w:ascii="Times New Roman" w:hAnsi="Times New Roman" w:cs="Times New Roman"/>
          <w:color w:val="000000" w:themeColor="text1"/>
          <w:spacing w:val="0"/>
          <w:sz w:val="16"/>
          <w:szCs w:val="16"/>
        </w:rPr>
        <w:t>10%</w:t>
      </w:r>
      <w:r w:rsidRPr="001E2C69">
        <w:rPr>
          <w:rFonts w:ascii="Times New Roman" w:hAnsi="Times New Roman"/>
          <w:color w:val="000000" w:themeColor="text1"/>
          <w:sz w:val="16"/>
          <w:szCs w:val="16"/>
        </w:rPr>
        <w:t xml:space="preserve"> запасом горючего 675 </w:t>
      </w:r>
      <w:r w:rsidRPr="001E2C69">
        <w:rPr>
          <w:rStyle w:val="1pt"/>
          <w:rFonts w:ascii="Times New Roman" w:hAnsi="Times New Roman" w:cs="Times New Roman"/>
          <w:color w:val="000000" w:themeColor="text1"/>
          <w:spacing w:val="0"/>
          <w:sz w:val="16"/>
          <w:szCs w:val="16"/>
        </w:rPr>
        <w:t>ш.);</w:t>
      </w:r>
    </w:p>
    <w:p w14:paraId="361A8955" w14:textId="77777777" w:rsidR="00B52727" w:rsidRPr="001E2C69" w:rsidRDefault="00B52727" w:rsidP="00722885">
      <w:pPr>
        <w:tabs>
          <w:tab w:val="left" w:pos="805"/>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скорость и потолок самолета аналогичны давнш серий</w:t>
      </w:r>
      <w:r w:rsidRPr="001E2C69">
        <w:rPr>
          <w:rFonts w:ascii="Times New Roman" w:hAnsi="Times New Roman"/>
          <w:color w:val="000000" w:themeColor="text1"/>
          <w:sz w:val="16"/>
          <w:szCs w:val="16"/>
        </w:rPr>
        <w:softHyphen/>
        <w:t>ного самолета Як-7;</w:t>
      </w:r>
    </w:p>
    <w:p w14:paraId="331352A7" w14:textId="77777777" w:rsidR="00B52727" w:rsidRPr="001E2C69" w:rsidRDefault="00B52727" w:rsidP="00722885">
      <w:pPr>
        <w:tabs>
          <w:tab w:val="left" w:pos="81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 вооружение и оборудование:</w:t>
      </w:r>
    </w:p>
    <w:p w14:paraId="0756A32B" w14:textId="77777777" w:rsidR="00B52727" w:rsidRPr="001E2C69" w:rsidRDefault="00B5272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 пушка 20 мм. с боезапасом </w:t>
      </w:r>
      <w:r w:rsidRPr="001E2C69">
        <w:rPr>
          <w:rStyle w:val="-1pt"/>
          <w:rFonts w:ascii="Times New Roman" w:hAnsi="Times New Roman" w:cs="Times New Roman"/>
          <w:color w:val="000000" w:themeColor="text1"/>
          <w:spacing w:val="0"/>
          <w:sz w:val="16"/>
          <w:szCs w:val="16"/>
        </w:rPr>
        <w:t>120</w:t>
      </w:r>
      <w:r w:rsidRPr="001E2C69">
        <w:rPr>
          <w:rFonts w:ascii="Times New Roman" w:hAnsi="Times New Roman"/>
          <w:color w:val="000000" w:themeColor="text1"/>
          <w:sz w:val="16"/>
          <w:szCs w:val="16"/>
        </w:rPr>
        <w:t xml:space="preserve"> снарядов, 1 пулемет 12,7 мм. с боезапасом 200 патронов, радиостанция РСИ-4;</w:t>
      </w:r>
    </w:p>
    <w:p w14:paraId="21BE5B93" w14:textId="77777777" w:rsidR="00B52727" w:rsidRPr="001E2C69" w:rsidRDefault="00B52727" w:rsidP="00722885">
      <w:pPr>
        <w:tabs>
          <w:tab w:val="left" w:pos="813"/>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 облегчение самолета достигнуто за счет перехода от цельнодеревянного крыла к крылу смешанной конструкции (лон</w:t>
      </w:r>
      <w:r w:rsidRPr="001E2C69">
        <w:rPr>
          <w:rFonts w:ascii="Times New Roman" w:hAnsi="Times New Roman"/>
          <w:color w:val="000000" w:themeColor="text1"/>
          <w:sz w:val="16"/>
          <w:szCs w:val="16"/>
        </w:rPr>
        <w:softHyphen/>
        <w:t>жероны дюралевые, нервюры и обшивка - деревянные) и снятия одного пулемета УБ с боезапасом 200 шт. патронов.</w:t>
      </w:r>
    </w:p>
    <w:p w14:paraId="1ECBDDA9" w14:textId="77777777" w:rsidR="00B52727" w:rsidRPr="001E2C69" w:rsidRDefault="00B52727" w:rsidP="00722885">
      <w:pPr>
        <w:tabs>
          <w:tab w:val="left" w:pos="79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Присвоить самолету Як-7 с увеличенной дальностью наименование Як-9.</w:t>
      </w:r>
    </w:p>
    <w:p w14:paraId="0E036C45" w14:textId="77777777" w:rsidR="00B52727" w:rsidRPr="001E2C69" w:rsidRDefault="00B52727" w:rsidP="00722885">
      <w:pPr>
        <w:tabs>
          <w:tab w:val="left" w:pos="798"/>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Обязать народного комиссара авиационной промышленно</w:t>
      </w:r>
      <w:r w:rsidRPr="001E2C69">
        <w:rPr>
          <w:rFonts w:ascii="Times New Roman" w:hAnsi="Times New Roman"/>
          <w:color w:val="000000" w:themeColor="text1"/>
          <w:sz w:val="16"/>
          <w:szCs w:val="16"/>
        </w:rPr>
        <w:softHyphen/>
        <w:t xml:space="preserve">сти т.Шахурина и директора завода № </w:t>
      </w:r>
      <w:r w:rsidRPr="001E2C69">
        <w:rPr>
          <w:rStyle w:val="-1pt"/>
          <w:rFonts w:ascii="Times New Roman" w:hAnsi="Times New Roman" w:cs="Times New Roman"/>
          <w:color w:val="000000" w:themeColor="text1"/>
          <w:spacing w:val="0"/>
          <w:sz w:val="16"/>
          <w:szCs w:val="16"/>
        </w:rPr>
        <w:t>153</w:t>
      </w:r>
      <w:r w:rsidRPr="001E2C69">
        <w:rPr>
          <w:rFonts w:ascii="Times New Roman" w:hAnsi="Times New Roman"/>
          <w:color w:val="000000" w:themeColor="text1"/>
          <w:sz w:val="16"/>
          <w:szCs w:val="16"/>
        </w:rPr>
        <w:t xml:space="preserve"> т.Романова поставить производство самолетов Як-9 по образцу, прошедшему государ</w:t>
      </w:r>
      <w:r w:rsidRPr="001E2C69">
        <w:rPr>
          <w:rFonts w:ascii="Times New Roman" w:hAnsi="Times New Roman"/>
          <w:color w:val="000000" w:themeColor="text1"/>
          <w:sz w:val="16"/>
          <w:szCs w:val="16"/>
        </w:rPr>
        <w:softHyphen/>
        <w:t xml:space="preserve">ственные испытания в НИИ ВВС с тем, чтобы в августе таких самолетов выпустить 3 </w:t>
      </w:r>
      <w:r w:rsidRPr="001E2C69">
        <w:rPr>
          <w:rStyle w:val="1pt"/>
          <w:rFonts w:ascii="Times New Roman" w:hAnsi="Times New Roman" w:cs="Times New Roman"/>
          <w:color w:val="000000" w:themeColor="text1"/>
          <w:spacing w:val="0"/>
          <w:sz w:val="16"/>
          <w:szCs w:val="16"/>
        </w:rPr>
        <w:t>шт.,</w:t>
      </w:r>
      <w:r w:rsidRPr="001E2C69">
        <w:rPr>
          <w:rFonts w:ascii="Times New Roman" w:hAnsi="Times New Roman"/>
          <w:color w:val="000000" w:themeColor="text1"/>
          <w:sz w:val="16"/>
          <w:szCs w:val="16"/>
        </w:rPr>
        <w:t xml:space="preserve"> в сентябре - 20 штук и в октябре - 60 штук.</w:t>
      </w:r>
    </w:p>
    <w:p w14:paraId="345D5EAC" w14:textId="77777777" w:rsidR="00B52727" w:rsidRPr="001E2C69" w:rsidRDefault="00B5272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Программу дальнейшего выпуска самолетов Як-9 на заводе </w:t>
      </w:r>
      <w:r w:rsidRPr="001E2C69">
        <w:rPr>
          <w:rStyle w:val="-1pt"/>
          <w:rFonts w:ascii="Times New Roman" w:hAnsi="Times New Roman" w:cs="Times New Roman"/>
          <w:color w:val="000000" w:themeColor="text1"/>
          <w:spacing w:val="0"/>
          <w:sz w:val="16"/>
          <w:szCs w:val="16"/>
        </w:rPr>
        <w:t>% 153</w:t>
      </w:r>
      <w:r w:rsidRPr="001E2C69">
        <w:rPr>
          <w:rFonts w:ascii="Times New Roman" w:hAnsi="Times New Roman"/>
          <w:color w:val="000000" w:themeColor="text1"/>
          <w:sz w:val="16"/>
          <w:szCs w:val="16"/>
        </w:rPr>
        <w:t xml:space="preserve"> наркому авиационной промышленности т.Щахуряну включить квартала я представить для утверждения ГОКО (19353).</w:t>
      </w:r>
    </w:p>
    <w:p w14:paraId="7D05AA86" w14:textId="77777777" w:rsidR="00B52727" w:rsidRPr="001E2C69" w:rsidRDefault="00B52727" w:rsidP="00722885">
      <w:pPr>
        <w:spacing w:after="0" w:line="240" w:lineRule="auto"/>
        <w:jc w:val="both"/>
        <w:rPr>
          <w:rFonts w:ascii="Times New Roman" w:hAnsi="Times New Roman"/>
          <w:color w:val="000000" w:themeColor="text1"/>
          <w:sz w:val="16"/>
          <w:szCs w:val="16"/>
        </w:rPr>
      </w:pPr>
    </w:p>
    <w:p w14:paraId="79F71588"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августа 1942 г. Постановлением ГКО №2145сс ис</w:t>
      </w:r>
      <w:r w:rsidRPr="008A2E5A">
        <w:rPr>
          <w:rFonts w:ascii="Times New Roman" w:hAnsi="Times New Roman"/>
          <w:color w:val="0070C0"/>
          <w:sz w:val="16"/>
          <w:szCs w:val="16"/>
        </w:rPr>
        <w:softHyphen/>
        <w:t>требитель Як-7 с увеличенной дальностью приняли на вооружение ВВС КА под наименованием Як-9 и поста</w:t>
      </w:r>
      <w:r w:rsidRPr="008A2E5A">
        <w:rPr>
          <w:rFonts w:ascii="Times New Roman" w:hAnsi="Times New Roman"/>
          <w:color w:val="0070C0"/>
          <w:sz w:val="16"/>
          <w:szCs w:val="16"/>
        </w:rPr>
        <w:softHyphen/>
        <w:t>вили задачу авиапромышленности начать его серийное производство. В этот же день указами Президиума Вер</w:t>
      </w:r>
      <w:r w:rsidRPr="008A2E5A">
        <w:rPr>
          <w:rFonts w:ascii="Times New Roman" w:hAnsi="Times New Roman"/>
          <w:color w:val="0070C0"/>
          <w:sz w:val="16"/>
          <w:szCs w:val="16"/>
        </w:rPr>
        <w:softHyphen/>
        <w:t>ховного Совета СССР за выдающиеся успехи в области создания новых типов боевых самолетов и заслуги в деле организации опытного самолетостроения в авиационной промышленности главному конструктору присвоили зва</w:t>
      </w:r>
      <w:r w:rsidRPr="008A2E5A">
        <w:rPr>
          <w:rFonts w:ascii="Times New Roman" w:hAnsi="Times New Roman"/>
          <w:color w:val="0070C0"/>
          <w:sz w:val="16"/>
          <w:szCs w:val="16"/>
        </w:rPr>
        <w:softHyphen/>
        <w:t>ние Героя Социалистического Труда, за создание высо</w:t>
      </w:r>
      <w:r w:rsidRPr="008A2E5A">
        <w:rPr>
          <w:rFonts w:ascii="Times New Roman" w:hAnsi="Times New Roman"/>
          <w:color w:val="0070C0"/>
          <w:sz w:val="16"/>
          <w:szCs w:val="16"/>
        </w:rPr>
        <w:softHyphen/>
        <w:t>кокачественных новых типов боевых и учебно-трениро</w:t>
      </w:r>
      <w:r w:rsidRPr="008A2E5A">
        <w:rPr>
          <w:rFonts w:ascii="Times New Roman" w:hAnsi="Times New Roman"/>
          <w:color w:val="0070C0"/>
          <w:sz w:val="16"/>
          <w:szCs w:val="16"/>
        </w:rPr>
        <w:softHyphen/>
        <w:t>вочных самолетов для ВВС КА орденом Ленина награ</w:t>
      </w:r>
      <w:r w:rsidRPr="008A2E5A">
        <w:rPr>
          <w:rFonts w:ascii="Times New Roman" w:hAnsi="Times New Roman"/>
          <w:color w:val="0070C0"/>
          <w:sz w:val="16"/>
          <w:szCs w:val="16"/>
        </w:rPr>
        <w:softHyphen/>
        <w:t>ждено само ОКБ и за выдающиеся успехи по созданию самолетов, принятых на вооружение ВВС КА орденом Ленина награжден шеф-пилот ОКБ П.Я. Федрови, орде</w:t>
      </w:r>
      <w:r w:rsidRPr="008A2E5A">
        <w:rPr>
          <w:rFonts w:ascii="Times New Roman" w:hAnsi="Times New Roman"/>
          <w:color w:val="0070C0"/>
          <w:sz w:val="16"/>
          <w:szCs w:val="16"/>
        </w:rPr>
        <w:softHyphen/>
        <w:t>ном Трудового Красного Знамени - три, орденами Крас</w:t>
      </w:r>
      <w:r w:rsidRPr="008A2E5A">
        <w:rPr>
          <w:rFonts w:ascii="Times New Roman" w:hAnsi="Times New Roman"/>
          <w:color w:val="0070C0"/>
          <w:sz w:val="16"/>
          <w:szCs w:val="16"/>
        </w:rPr>
        <w:softHyphen/>
        <w:t>ной Звезды - пять, орденом «Знак Почета» - семь и ме</w:t>
      </w:r>
      <w:r w:rsidRPr="008A2E5A">
        <w:rPr>
          <w:rFonts w:ascii="Times New Roman" w:hAnsi="Times New Roman"/>
          <w:color w:val="0070C0"/>
          <w:sz w:val="16"/>
          <w:szCs w:val="16"/>
        </w:rPr>
        <w:softHyphen/>
        <w:t>далью «За трудовую доблесть» - семь сотрудников кон</w:t>
      </w:r>
      <w:r w:rsidRPr="008A2E5A">
        <w:rPr>
          <w:rFonts w:ascii="Times New Roman" w:hAnsi="Times New Roman"/>
          <w:color w:val="0070C0"/>
          <w:sz w:val="16"/>
          <w:szCs w:val="16"/>
        </w:rPr>
        <w:softHyphen/>
        <w:t>структорского бюро (23381).</w:t>
      </w:r>
    </w:p>
    <w:p w14:paraId="1701FAE5" w14:textId="77777777" w:rsidR="00DE102D" w:rsidRPr="008A2E5A" w:rsidRDefault="00DE102D" w:rsidP="00DE102D">
      <w:pPr>
        <w:spacing w:after="0" w:line="240" w:lineRule="auto"/>
        <w:jc w:val="both"/>
        <w:rPr>
          <w:rFonts w:ascii="Times New Roman" w:hAnsi="Times New Roman"/>
          <w:color w:val="0070C0"/>
          <w:sz w:val="16"/>
          <w:szCs w:val="16"/>
        </w:rPr>
      </w:pPr>
    </w:p>
    <w:p w14:paraId="6C0A3028"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6 августа 1942 г. удалось в це</w:t>
      </w:r>
      <w:r w:rsidRPr="008A2E5A">
        <w:rPr>
          <w:rFonts w:ascii="Times New Roman" w:hAnsi="Times New Roman"/>
          <w:color w:val="0070C0"/>
          <w:sz w:val="16"/>
          <w:szCs w:val="16"/>
        </w:rPr>
        <w:softHyphen/>
        <w:t>лом успешно завершить внутризавод</w:t>
      </w:r>
      <w:r w:rsidRPr="008A2E5A">
        <w:rPr>
          <w:rFonts w:ascii="Times New Roman" w:hAnsi="Times New Roman"/>
          <w:color w:val="0070C0"/>
          <w:sz w:val="16"/>
          <w:szCs w:val="16"/>
        </w:rPr>
        <w:softHyphen/>
        <w:t>ские испытания мотора АМ-39, на кото</w:t>
      </w:r>
      <w:r w:rsidRPr="008A2E5A">
        <w:rPr>
          <w:rFonts w:ascii="Times New Roman" w:hAnsi="Times New Roman"/>
          <w:color w:val="0070C0"/>
          <w:sz w:val="16"/>
          <w:szCs w:val="16"/>
        </w:rPr>
        <w:softHyphen/>
        <w:t>рых была зафиксирована взлетная мощ</w:t>
      </w:r>
      <w:r w:rsidRPr="008A2E5A">
        <w:rPr>
          <w:rFonts w:ascii="Times New Roman" w:hAnsi="Times New Roman"/>
          <w:color w:val="0070C0"/>
          <w:sz w:val="16"/>
          <w:szCs w:val="16"/>
        </w:rPr>
        <w:softHyphen/>
        <w:t>ность 1750 л.с., номинальная мощность 1550 л.с. на высоте 1800 м, и 1400 л.с. - на высоте 6500 м.</w:t>
      </w:r>
    </w:p>
    <w:p w14:paraId="5DE66B36"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Главный конструктор мотора А.А. Микулин и директор завода №300 Тихомирнов доложили наркому авиапромыш</w:t>
      </w:r>
      <w:r w:rsidRPr="008A2E5A">
        <w:rPr>
          <w:rFonts w:ascii="Times New Roman" w:hAnsi="Times New Roman"/>
          <w:color w:val="0070C0"/>
          <w:sz w:val="16"/>
          <w:szCs w:val="16"/>
        </w:rPr>
        <w:softHyphen/>
        <w:t>ленности Шахурину, что использование турбокомпрессоров «позволит достичь 14 000 м» и «никаких затруднений в се</w:t>
      </w:r>
      <w:r w:rsidRPr="008A2E5A">
        <w:rPr>
          <w:rFonts w:ascii="Times New Roman" w:hAnsi="Times New Roman"/>
          <w:color w:val="0070C0"/>
          <w:sz w:val="16"/>
          <w:szCs w:val="16"/>
        </w:rPr>
        <w:softHyphen/>
        <w:t>рии не предвидится». Однако погорячи</w:t>
      </w:r>
      <w:r w:rsidRPr="008A2E5A">
        <w:rPr>
          <w:rFonts w:ascii="Times New Roman" w:hAnsi="Times New Roman"/>
          <w:color w:val="0070C0"/>
          <w:sz w:val="16"/>
          <w:szCs w:val="16"/>
        </w:rPr>
        <w:softHyphen/>
        <w:t>лись. Мотор все еще страдал «детскими болезнями» и требовал длительной кро</w:t>
      </w:r>
      <w:r w:rsidRPr="008A2E5A">
        <w:rPr>
          <w:rFonts w:ascii="Times New Roman" w:hAnsi="Times New Roman"/>
          <w:color w:val="0070C0"/>
          <w:sz w:val="16"/>
          <w:szCs w:val="16"/>
        </w:rPr>
        <w:softHyphen/>
        <w:t>потливой доводки. Эта работа заверши</w:t>
      </w:r>
      <w:r w:rsidRPr="008A2E5A">
        <w:rPr>
          <w:rFonts w:ascii="Times New Roman" w:hAnsi="Times New Roman"/>
          <w:color w:val="0070C0"/>
          <w:sz w:val="16"/>
          <w:szCs w:val="16"/>
        </w:rPr>
        <w:softHyphen/>
        <w:t>лась лишь через 8 месяцев - в апреле 1944 г., когда очередной опытный обра</w:t>
      </w:r>
      <w:r w:rsidRPr="008A2E5A">
        <w:rPr>
          <w:rFonts w:ascii="Times New Roman" w:hAnsi="Times New Roman"/>
          <w:color w:val="0070C0"/>
          <w:sz w:val="16"/>
          <w:szCs w:val="16"/>
        </w:rPr>
        <w:softHyphen/>
        <w:t>зец мотора АМ-39А удовлетворительно отработал всю программу государствен</w:t>
      </w:r>
      <w:r w:rsidRPr="008A2E5A">
        <w:rPr>
          <w:rFonts w:ascii="Times New Roman" w:hAnsi="Times New Roman"/>
          <w:color w:val="0070C0"/>
          <w:sz w:val="16"/>
          <w:szCs w:val="16"/>
        </w:rPr>
        <w:softHyphen/>
        <w:t>ных испытаний. Но серийным мотор так и не стал. Решения о его запуске в массо</w:t>
      </w:r>
      <w:r w:rsidRPr="008A2E5A">
        <w:rPr>
          <w:rFonts w:ascii="Times New Roman" w:hAnsi="Times New Roman"/>
          <w:color w:val="0070C0"/>
          <w:sz w:val="16"/>
          <w:szCs w:val="16"/>
        </w:rPr>
        <w:softHyphen/>
        <w:t>вое производство не последовало. Вместо этого развернулись работы по увеличе</w:t>
      </w:r>
      <w:r w:rsidRPr="008A2E5A">
        <w:rPr>
          <w:rFonts w:ascii="Times New Roman" w:hAnsi="Times New Roman"/>
          <w:color w:val="0070C0"/>
          <w:sz w:val="16"/>
          <w:szCs w:val="16"/>
        </w:rPr>
        <w:softHyphen/>
        <w:t>нию его мощности и высотности (24308).</w:t>
      </w:r>
    </w:p>
    <w:p w14:paraId="6BABDA0B" w14:textId="77777777" w:rsidR="00DE102D" w:rsidRPr="008A2E5A" w:rsidRDefault="00DE102D" w:rsidP="00DE102D">
      <w:pPr>
        <w:spacing w:after="0" w:line="240" w:lineRule="auto"/>
        <w:jc w:val="both"/>
        <w:rPr>
          <w:rFonts w:ascii="Times New Roman" w:hAnsi="Times New Roman"/>
          <w:color w:val="0070C0"/>
          <w:sz w:val="16"/>
          <w:szCs w:val="16"/>
        </w:rPr>
      </w:pPr>
    </w:p>
    <w:p w14:paraId="5D6BBFCD"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6 августа 1942 вышло Постановление ГКО № 2146 Об организации производства авиационных моноблоков и деталей для магнето на заводе № 705 Наркомрезинпрома в г. Свердловске. (7048, 62-64,65-70).</w:t>
      </w:r>
    </w:p>
    <w:p w14:paraId="09AA15AF" w14:textId="77777777" w:rsidR="00AE7191" w:rsidRPr="001E2C69" w:rsidRDefault="00AE7191" w:rsidP="00722885">
      <w:pPr>
        <w:pStyle w:val="Iauiue"/>
        <w:tabs>
          <w:tab w:val="left" w:pos="11199"/>
        </w:tabs>
        <w:jc w:val="both"/>
        <w:rPr>
          <w:color w:val="000000" w:themeColor="text1"/>
          <w:sz w:val="16"/>
          <w:szCs w:val="16"/>
        </w:rPr>
      </w:pPr>
    </w:p>
    <w:p w14:paraId="5D0E97D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августа 1942 г. в соответствии с пост. ГКО № 2146 на заводе № 705 Наркомрезинпрома организовано производство авиационных моноблоков и деталей для магнето. 11.03.1944 г. вышло распоряжение ГКО № 5353 о мерах по обеспечению своевременного окончания строительства и ввода в строй цеха по производству эбонитовых баков для аккумуляторов. 14.07.1944 г. вышло постановление ГКО № 6195 о мерах неотложной помощи по восстановлению завода (11982).</w:t>
      </w:r>
    </w:p>
    <w:p w14:paraId="13E4E975" w14:textId="77777777" w:rsidR="00014545" w:rsidRPr="001E2C69" w:rsidRDefault="00014545" w:rsidP="00722885">
      <w:pPr>
        <w:pStyle w:val="27"/>
        <w:shd w:val="clear" w:color="auto" w:fill="auto"/>
        <w:spacing w:after="0" w:line="240" w:lineRule="auto"/>
        <w:ind w:firstLine="0"/>
        <w:rPr>
          <w:rFonts w:ascii="Times New Roman" w:cs="Times New Roman"/>
          <w:color w:val="000000" w:themeColor="text1"/>
          <w:spacing w:val="0"/>
        </w:rPr>
      </w:pPr>
    </w:p>
    <w:p w14:paraId="4FDCDDC2" w14:textId="77777777" w:rsidR="00AE7191" w:rsidRPr="001E2C69" w:rsidRDefault="00AE7191"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К 6 августа 1942 г. в целом успешно завершились полигонные испытания про</w:t>
      </w:r>
      <w:r w:rsidRPr="001E2C69">
        <w:rPr>
          <w:rFonts w:ascii="Times New Roman" w:cs="Times New Roman"/>
          <w:color w:val="000000" w:themeColor="text1"/>
          <w:spacing w:val="0"/>
        </w:rPr>
        <w:softHyphen/>
        <w:t>тотипа куммулятивной бомбы. Основные результаты первых экспери</w:t>
      </w:r>
      <w:r w:rsidRPr="001E2C69">
        <w:rPr>
          <w:rFonts w:ascii="Times New Roman" w:cs="Times New Roman"/>
          <w:color w:val="000000" w:themeColor="text1"/>
          <w:spacing w:val="0"/>
        </w:rPr>
        <w:softHyphen/>
        <w:t>ментов с кумулятивными бомбами своди</w:t>
      </w:r>
      <w:r w:rsidRPr="001E2C69">
        <w:rPr>
          <w:rFonts w:ascii="Times New Roman" w:cs="Times New Roman"/>
          <w:color w:val="000000" w:themeColor="text1"/>
          <w:spacing w:val="0"/>
        </w:rPr>
        <w:softHyphen/>
        <w:t>лись к следующему. Отмечалось, что при весе взрывчатого вещества массой всего 100 г, боеприпасы пробивали в цементи</w:t>
      </w:r>
      <w:r w:rsidRPr="001E2C69">
        <w:rPr>
          <w:rFonts w:ascii="Times New Roman" w:cs="Times New Roman"/>
          <w:color w:val="000000" w:themeColor="text1"/>
          <w:spacing w:val="0"/>
        </w:rPr>
        <w:softHyphen/>
        <w:t>рованной броне толщиной 30 мм сквозное отверстие диаметром около 50 мм. При увеличении заряда в два раза толщина пробиваемой брони возрастала до 40 мм. Основная проблема заключалась в созда</w:t>
      </w:r>
      <w:r w:rsidRPr="001E2C69">
        <w:rPr>
          <w:rFonts w:ascii="Times New Roman" w:cs="Times New Roman"/>
          <w:color w:val="000000" w:themeColor="text1"/>
          <w:spacing w:val="0"/>
        </w:rPr>
        <w:softHyphen/>
        <w:t>нии для бомбы донного взрывателя мгно</w:t>
      </w:r>
      <w:r w:rsidRPr="001E2C69">
        <w:rPr>
          <w:rFonts w:ascii="Times New Roman" w:cs="Times New Roman"/>
          <w:color w:val="000000" w:themeColor="text1"/>
          <w:spacing w:val="0"/>
        </w:rPr>
        <w:softHyphen/>
        <w:t>венного действия с высокой чувствительно</w:t>
      </w:r>
      <w:r w:rsidRPr="001E2C69">
        <w:rPr>
          <w:rFonts w:ascii="Times New Roman" w:cs="Times New Roman"/>
          <w:color w:val="000000" w:themeColor="text1"/>
          <w:spacing w:val="0"/>
        </w:rPr>
        <w:softHyphen/>
        <w:t>стью ударного механизма. Дело в том, что взэыватель должен был обеспечивать своевременное срабатывание при соударении головной части бомбы с броневым покрыти</w:t>
      </w:r>
      <w:r w:rsidRPr="001E2C69">
        <w:rPr>
          <w:rFonts w:ascii="Times New Roman" w:cs="Times New Roman"/>
          <w:color w:val="000000" w:themeColor="text1"/>
          <w:spacing w:val="0"/>
        </w:rPr>
        <w:softHyphen/>
        <w:t>ем а значит, формирование кумулятивной струи на оптимальном расстоянии от брони. При этом взрыватель должен был обеспе</w:t>
      </w:r>
      <w:r w:rsidRPr="001E2C69">
        <w:rPr>
          <w:rFonts w:ascii="Times New Roman" w:cs="Times New Roman"/>
          <w:color w:val="000000" w:themeColor="text1"/>
          <w:spacing w:val="0"/>
        </w:rPr>
        <w:softHyphen/>
        <w:t>чить безопасность бомб при обслуживании (снаряжение, транспортировка, загрузка в самолет) и боевом применении (растряска в полете, безопасный сброс).</w:t>
      </w:r>
    </w:p>
    <w:p w14:paraId="6734346A" w14:textId="77777777" w:rsidR="00AE7191" w:rsidRPr="001E2C69" w:rsidRDefault="00AE7191"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Отметим, что к этому времени на НИП АВ ВВС в целом успешно прошел испыта</w:t>
      </w:r>
      <w:r w:rsidRPr="001E2C69">
        <w:rPr>
          <w:rFonts w:ascii="Times New Roman" w:cs="Times New Roman"/>
          <w:color w:val="000000" w:themeColor="text1"/>
          <w:spacing w:val="0"/>
        </w:rPr>
        <w:softHyphen/>
        <w:t>ния (25 и 26 июля) ракетный бронебойный снаряд с кумулятивной боевой частью ка</w:t>
      </w:r>
      <w:r w:rsidRPr="001E2C69">
        <w:rPr>
          <w:rFonts w:ascii="Times New Roman" w:cs="Times New Roman"/>
          <w:color w:val="000000" w:themeColor="text1"/>
          <w:spacing w:val="0"/>
        </w:rPr>
        <w:softHyphen/>
        <w:t>либра 82 мм - РБСК-82. Снаряд был раз</w:t>
      </w:r>
      <w:r w:rsidRPr="001E2C69">
        <w:rPr>
          <w:rFonts w:ascii="Times New Roman" w:cs="Times New Roman"/>
          <w:color w:val="000000" w:themeColor="text1"/>
          <w:spacing w:val="0"/>
        </w:rPr>
        <w:softHyphen/>
        <w:t>работан совместными усилиями НИИ-3 и НИИ-6. Немецкую танковую броню толщи</w:t>
      </w:r>
      <w:r w:rsidRPr="001E2C69">
        <w:rPr>
          <w:rFonts w:ascii="Times New Roman" w:cs="Times New Roman"/>
          <w:color w:val="000000" w:themeColor="text1"/>
          <w:spacing w:val="0"/>
        </w:rPr>
        <w:softHyphen/>
        <w:t>ной 30 мм боеприпас разрушал при любых углах встречи, а 50-мм броню - при нор</w:t>
      </w:r>
      <w:r w:rsidRPr="001E2C69">
        <w:rPr>
          <w:rFonts w:ascii="Times New Roman" w:cs="Times New Roman"/>
          <w:color w:val="000000" w:themeColor="text1"/>
          <w:spacing w:val="0"/>
        </w:rPr>
        <w:softHyphen/>
        <w:t>мальном попадании. Делался вывод, что «РБСК-82 - более эффективен по танкам, чем штатный РС-82». Рассеивание куму</w:t>
      </w:r>
      <w:r w:rsidRPr="001E2C69">
        <w:rPr>
          <w:rFonts w:ascii="Times New Roman" w:cs="Times New Roman"/>
          <w:color w:val="000000" w:themeColor="text1"/>
          <w:spacing w:val="0"/>
        </w:rPr>
        <w:softHyphen/>
        <w:t>лятивного снаряда не отличалось от та</w:t>
      </w:r>
      <w:r w:rsidRPr="001E2C69">
        <w:rPr>
          <w:rFonts w:ascii="Times New Roman" w:cs="Times New Roman"/>
          <w:color w:val="000000" w:themeColor="text1"/>
          <w:spacing w:val="0"/>
        </w:rPr>
        <w:softHyphen/>
        <w:t>кового для РС-82. Основным недостатком считалась малая вероятность попадания в танк и ограниченное их количество - всего 8 снарядов, на самолете Ил-2.</w:t>
      </w:r>
    </w:p>
    <w:p w14:paraId="58CBB7A6" w14:textId="77777777" w:rsidR="00AE7191" w:rsidRPr="001E2C69" w:rsidRDefault="00AE7191"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 период с 15 октября по 24 ноября 1942 г. РБСК-82 прошел на НИП АВ по</w:t>
      </w:r>
      <w:r w:rsidRPr="001E2C69">
        <w:rPr>
          <w:rFonts w:ascii="Times New Roman" w:cs="Times New Roman"/>
          <w:color w:val="000000" w:themeColor="text1"/>
          <w:spacing w:val="0"/>
        </w:rPr>
        <w:softHyphen/>
        <w:t>вторные полигонные испытания. По ре</w:t>
      </w:r>
      <w:r w:rsidRPr="001E2C69">
        <w:rPr>
          <w:rFonts w:ascii="Times New Roman" w:cs="Times New Roman"/>
          <w:color w:val="000000" w:themeColor="text1"/>
          <w:spacing w:val="0"/>
        </w:rPr>
        <w:softHyphen/>
        <w:t>зультатам стрельб специалисты полиго</w:t>
      </w:r>
      <w:r w:rsidRPr="001E2C69">
        <w:rPr>
          <w:rFonts w:ascii="Times New Roman" w:cs="Times New Roman"/>
          <w:color w:val="000000" w:themeColor="text1"/>
          <w:spacing w:val="0"/>
        </w:rPr>
        <w:softHyphen/>
        <w:t>на рекомендовали принять боеприпас на вооружение ВВС КА как универсальный осколочно-фугасно-бронебойный снаряд. Но решения по нему так и не последовало. Ставка была сделана на мелкокалиберные противотанковые бомбы кумулятивного -елствия, которые показали весьма обнадеживающие результаты (12739).</w:t>
      </w:r>
    </w:p>
    <w:p w14:paraId="1A513FC9" w14:textId="77777777" w:rsidR="00AE7191" w:rsidRPr="001E2C69" w:rsidRDefault="00AE7191" w:rsidP="00722885">
      <w:pPr>
        <w:pStyle w:val="27"/>
        <w:shd w:val="clear" w:color="auto" w:fill="auto"/>
        <w:spacing w:after="0" w:line="240" w:lineRule="auto"/>
        <w:ind w:firstLine="0"/>
        <w:rPr>
          <w:rFonts w:ascii="Times New Roman" w:cs="Times New Roman"/>
          <w:color w:val="000000" w:themeColor="text1"/>
          <w:spacing w:val="0"/>
        </w:rPr>
      </w:pPr>
    </w:p>
    <w:p w14:paraId="3A08CBC0" w14:textId="77777777" w:rsidR="000D1F16" w:rsidRPr="001E2C69" w:rsidRDefault="000D1F16"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К 6 августа 1942 г. в целом успешно завершились заводские испытания прототипа противотанковой ку</w:t>
      </w:r>
      <w:r w:rsidRPr="001E2C69">
        <w:rPr>
          <w:color w:val="000000" w:themeColor="text1"/>
          <w:sz w:val="16"/>
          <w:szCs w:val="16"/>
        </w:rPr>
        <w:softHyphen/>
        <w:t>мулятивной авиабомбы, которую предложил И. А. Ларионов..</w:t>
      </w:r>
    </w:p>
    <w:p w14:paraId="7E7D5465" w14:textId="77777777" w:rsidR="000D1F16" w:rsidRPr="001E2C69" w:rsidRDefault="000D1F16"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Основные результаты первых экспериментов с кумулятивными бомбами сводились к следующе</w:t>
      </w:r>
      <w:r w:rsidRPr="001E2C69">
        <w:rPr>
          <w:color w:val="000000" w:themeColor="text1"/>
          <w:sz w:val="16"/>
          <w:szCs w:val="16"/>
        </w:rPr>
        <w:softHyphen/>
        <w:t>му. Получалось, что при весе взрывчатого вещества 0,1 кг боеприпасы пробивали в цементированной броне толщиной 30 мм сквозное отверстие диа</w:t>
      </w:r>
      <w:r w:rsidRPr="001E2C69">
        <w:rPr>
          <w:color w:val="000000" w:themeColor="text1"/>
          <w:sz w:val="16"/>
          <w:szCs w:val="16"/>
        </w:rPr>
        <w:softHyphen/>
        <w:t>метром около 50 мм. При увеличении заряда в два раза толщина пробиваемой брони возрастала до 40 мм. Основная проблема заключалась в созда</w:t>
      </w:r>
      <w:r w:rsidRPr="001E2C69">
        <w:rPr>
          <w:color w:val="000000" w:themeColor="text1"/>
          <w:sz w:val="16"/>
          <w:szCs w:val="16"/>
        </w:rPr>
        <w:softHyphen/>
        <w:t>нии для бомбы донного взрывателя мгновенного действия с высокой чувствительностью ударного механизма. Дело в том, что взрыватель должен был обеспечивать своевременное срабатывание при соударении головной части бомбы с броневым по</w:t>
      </w:r>
      <w:r w:rsidRPr="001E2C69">
        <w:rPr>
          <w:color w:val="000000" w:themeColor="text1"/>
          <w:sz w:val="16"/>
          <w:szCs w:val="16"/>
        </w:rPr>
        <w:softHyphen/>
        <w:t>крытием, а значит, формирование кумулятивной струи на оптимальном расстоянии от брони и од</w:t>
      </w:r>
      <w:r w:rsidRPr="001E2C69">
        <w:rPr>
          <w:color w:val="000000" w:themeColor="text1"/>
          <w:sz w:val="16"/>
          <w:szCs w:val="16"/>
        </w:rPr>
        <w:softHyphen/>
        <w:t>новременно безопасность бомб при обслуживании(снаряжение, транспортировка, загрузка в самолет) и боевом применении (растряска в полете, безо</w:t>
      </w:r>
      <w:r w:rsidRPr="001E2C69">
        <w:rPr>
          <w:color w:val="000000" w:themeColor="text1"/>
          <w:sz w:val="16"/>
          <w:szCs w:val="16"/>
        </w:rPr>
        <w:softHyphen/>
        <w:t>пасный сброс) (17500).</w:t>
      </w:r>
    </w:p>
    <w:p w14:paraId="291BAA1E" w14:textId="77777777" w:rsidR="000D1F16" w:rsidRPr="001E2C69" w:rsidRDefault="000D1F16" w:rsidP="00722885">
      <w:pPr>
        <w:spacing w:after="0" w:line="240" w:lineRule="auto"/>
        <w:jc w:val="both"/>
        <w:rPr>
          <w:rFonts w:ascii="Times New Roman" w:eastAsia="Times New Roman" w:hAnsi="Times New Roman"/>
          <w:color w:val="000000" w:themeColor="text1"/>
          <w:sz w:val="16"/>
          <w:szCs w:val="16"/>
          <w:lang w:eastAsia="ru-RU"/>
        </w:rPr>
      </w:pPr>
    </w:p>
    <w:p w14:paraId="0F2E11D0"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авгу</w:t>
      </w:r>
      <w:r w:rsidRPr="008A2E5A">
        <w:rPr>
          <w:rFonts w:ascii="Times New Roman" w:hAnsi="Times New Roman"/>
          <w:color w:val="0070C0"/>
          <w:sz w:val="16"/>
          <w:szCs w:val="16"/>
        </w:rPr>
        <w:softHyphen/>
        <w:t>ста 1941 была принята на вооружение пусковая установка БМ-8-36 завода «Компрессор». В конструкторской документации она получила индекс КС-71, в документации заказчика — 52-ТР-391.</w:t>
      </w:r>
    </w:p>
    <w:p w14:paraId="756E1387"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Перегруженный заказами «Компрессор» принять к серий</w:t>
      </w:r>
      <w:r w:rsidRPr="008A2E5A">
        <w:rPr>
          <w:rFonts w:ascii="Times New Roman" w:hAnsi="Times New Roman"/>
          <w:color w:val="0070C0"/>
          <w:sz w:val="16"/>
          <w:szCs w:val="16"/>
        </w:rPr>
        <w:softHyphen/>
        <w:t>ному производству еще одну боевую машину не мог. Поиски нового завода продолжались несколько недель и были прерва</w:t>
      </w:r>
      <w:r w:rsidRPr="008A2E5A">
        <w:rPr>
          <w:rFonts w:ascii="Times New Roman" w:hAnsi="Times New Roman"/>
          <w:color w:val="0070C0"/>
          <w:sz w:val="16"/>
          <w:szCs w:val="16"/>
        </w:rPr>
        <w:softHyphen/>
        <w:t>ны начавшейся эвакуацией Московских предприятий. Вопрос удалось решить только после остановки эвакуации. 11 нояб</w:t>
      </w:r>
      <w:r w:rsidRPr="008A2E5A">
        <w:rPr>
          <w:rFonts w:ascii="Times New Roman" w:hAnsi="Times New Roman"/>
          <w:color w:val="0070C0"/>
          <w:sz w:val="16"/>
          <w:szCs w:val="16"/>
        </w:rPr>
        <w:softHyphen/>
        <w:t>ря 1941 года приказом Паршина головным по выпуску БМ-8 был назначен Московский завод «Красная Пресня». Выпустив несколько боевых машин, «Компрессор» передал «Красной Пресне» всю конструкторскую документацию. К серийному производству также подключились Пензенский машинострои</w:t>
      </w:r>
      <w:r w:rsidRPr="008A2E5A">
        <w:rPr>
          <w:rFonts w:ascii="Times New Roman" w:hAnsi="Times New Roman"/>
          <w:color w:val="0070C0"/>
          <w:sz w:val="16"/>
          <w:szCs w:val="16"/>
        </w:rPr>
        <w:softHyphen/>
        <w:t>тельный завод и Харьковский завод имени Шевченко.</w:t>
      </w:r>
    </w:p>
    <w:p w14:paraId="1AF02060"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«Красная Пресня» перед во</w:t>
      </w:r>
      <w:r w:rsidRPr="008A2E5A">
        <w:rPr>
          <w:rFonts w:ascii="Times New Roman" w:hAnsi="Times New Roman"/>
          <w:color w:val="0070C0"/>
          <w:sz w:val="16"/>
          <w:szCs w:val="16"/>
        </w:rPr>
        <w:softHyphen/>
        <w:t>йной выпускал ли</w:t>
      </w:r>
      <w:r w:rsidRPr="008A2E5A">
        <w:rPr>
          <w:rFonts w:ascii="Times New Roman" w:hAnsi="Times New Roman"/>
          <w:color w:val="0070C0"/>
          <w:sz w:val="16"/>
          <w:szCs w:val="16"/>
        </w:rPr>
        <w:softHyphen/>
        <w:t>тейные машины, был небольшим предпри</w:t>
      </w:r>
      <w:r w:rsidRPr="008A2E5A">
        <w:rPr>
          <w:rFonts w:ascii="Times New Roman" w:hAnsi="Times New Roman"/>
          <w:color w:val="0070C0"/>
          <w:sz w:val="16"/>
          <w:szCs w:val="16"/>
        </w:rPr>
        <w:softHyphen/>
        <w:t>ятием с незначитель</w:t>
      </w:r>
      <w:r w:rsidRPr="008A2E5A">
        <w:rPr>
          <w:rFonts w:ascii="Times New Roman" w:hAnsi="Times New Roman"/>
          <w:color w:val="0070C0"/>
          <w:sz w:val="16"/>
          <w:szCs w:val="16"/>
        </w:rPr>
        <w:softHyphen/>
        <w:t>ным парком станоч</w:t>
      </w:r>
      <w:r w:rsidRPr="008A2E5A">
        <w:rPr>
          <w:rFonts w:ascii="Times New Roman" w:hAnsi="Times New Roman"/>
          <w:color w:val="0070C0"/>
          <w:sz w:val="16"/>
          <w:szCs w:val="16"/>
        </w:rPr>
        <w:softHyphen/>
        <w:t>ного оборудования, но славился коллективом  специалистов очень высокой ква</w:t>
      </w:r>
      <w:r w:rsidRPr="008A2E5A">
        <w:rPr>
          <w:rFonts w:ascii="Times New Roman" w:hAnsi="Times New Roman"/>
          <w:color w:val="0070C0"/>
          <w:sz w:val="16"/>
          <w:szCs w:val="16"/>
        </w:rPr>
        <w:softHyphen/>
        <w:t>лификации. Его производственные площади еще уменьшились после попадания на территорию трех фугасных немецких авиа</w:t>
      </w:r>
      <w:r w:rsidRPr="008A2E5A">
        <w:rPr>
          <w:rFonts w:ascii="Times New Roman" w:hAnsi="Times New Roman"/>
          <w:color w:val="0070C0"/>
          <w:sz w:val="16"/>
          <w:szCs w:val="16"/>
        </w:rPr>
        <w:softHyphen/>
        <w:t>бомб. Руководил предприятием Алексей Федорович Горин. Ему и пришлось решать все вопросы освоения и серийного выпуска боевых машин.</w:t>
      </w:r>
    </w:p>
    <w:p w14:paraId="0916BFF2"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Через день после выхода приказа наркома с Московского автозавода прибыли первые шасси ЗиС-6. После монтажа пу</w:t>
      </w:r>
      <w:r w:rsidRPr="008A2E5A">
        <w:rPr>
          <w:rFonts w:ascii="Times New Roman" w:hAnsi="Times New Roman"/>
          <w:color w:val="0070C0"/>
          <w:sz w:val="16"/>
          <w:szCs w:val="16"/>
        </w:rPr>
        <w:softHyphen/>
        <w:t>сковых установок и военной приемки боевые машины отпра</w:t>
      </w:r>
      <w:r w:rsidRPr="008A2E5A">
        <w:rPr>
          <w:rFonts w:ascii="Times New Roman" w:hAnsi="Times New Roman"/>
          <w:color w:val="0070C0"/>
          <w:sz w:val="16"/>
          <w:szCs w:val="16"/>
        </w:rPr>
        <w:softHyphen/>
        <w:t>вились на фронт и участвовали в битве под Москвой. Вскоре производство остановилось, так как все шасси ЗиС-6 направи</w:t>
      </w:r>
      <w:r w:rsidRPr="008A2E5A">
        <w:rPr>
          <w:rFonts w:ascii="Times New Roman" w:hAnsi="Times New Roman"/>
          <w:color w:val="0070C0"/>
          <w:sz w:val="16"/>
          <w:szCs w:val="16"/>
        </w:rPr>
        <w:softHyphen/>
        <w:t>ли для монтажа БМ-13, что и следовало ожидать.</w:t>
      </w:r>
    </w:p>
    <w:p w14:paraId="48CE5BD0"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Автозавод предложил Бармину двухосные ЗиС-5. Шасси было слабеньким, но условия военного времени не оставляли выбора. Бармин и Горин согласились. Вскоре «Красная Пресня» выпустила небольшую партию этих машин, но заказчик от них отказался, вновь сославшись на низкую проходимость. В поис</w:t>
      </w:r>
      <w:r w:rsidRPr="008A2E5A">
        <w:rPr>
          <w:rFonts w:ascii="Times New Roman" w:hAnsi="Times New Roman"/>
          <w:color w:val="0070C0"/>
          <w:sz w:val="16"/>
          <w:szCs w:val="16"/>
        </w:rPr>
        <w:softHyphen/>
        <w:t>ках выхода из создавшегося положения Бармин принял реше</w:t>
      </w:r>
      <w:r w:rsidRPr="008A2E5A">
        <w:rPr>
          <w:rFonts w:ascii="Times New Roman" w:hAnsi="Times New Roman"/>
          <w:color w:val="0070C0"/>
          <w:sz w:val="16"/>
          <w:szCs w:val="16"/>
        </w:rPr>
        <w:softHyphen/>
        <w:t>ние монтировать установки на танках.</w:t>
      </w:r>
    </w:p>
    <w:p w14:paraId="2FA51D8B"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Снарядные корпуса М-8 выпускал завод имени Владими</w:t>
      </w:r>
      <w:r w:rsidRPr="008A2E5A">
        <w:rPr>
          <w:rFonts w:ascii="Times New Roman" w:hAnsi="Times New Roman"/>
          <w:color w:val="0070C0"/>
          <w:sz w:val="16"/>
          <w:szCs w:val="16"/>
        </w:rPr>
        <w:softHyphen/>
        <w:t>ра Ильича, снаряжением и окончательной сборкой занимался завод № 12 в Электростали. Первые собранные машины были укомплектованы снарядами РС-82, большую партию (23510).</w:t>
      </w:r>
    </w:p>
    <w:p w14:paraId="6C6B354F" w14:textId="77777777" w:rsidR="00DE102D" w:rsidRPr="008A2E5A" w:rsidRDefault="00DE102D" w:rsidP="00DE102D">
      <w:pPr>
        <w:spacing w:after="0" w:line="240" w:lineRule="auto"/>
        <w:jc w:val="both"/>
        <w:rPr>
          <w:rFonts w:ascii="Times New Roman" w:hAnsi="Times New Roman"/>
          <w:color w:val="0070C0"/>
          <w:sz w:val="16"/>
          <w:szCs w:val="16"/>
        </w:rPr>
      </w:pPr>
    </w:p>
    <w:p w14:paraId="255A0B74"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0A7630B8" w14:textId="77777777" w:rsidR="00AE7191" w:rsidRPr="001E2C69" w:rsidRDefault="00AE7191" w:rsidP="00722885">
      <w:pPr>
        <w:pStyle w:val="Iauiue"/>
        <w:jc w:val="both"/>
        <w:rPr>
          <w:iCs/>
          <w:color w:val="000000" w:themeColor="text1"/>
          <w:sz w:val="16"/>
          <w:szCs w:val="16"/>
        </w:rPr>
      </w:pPr>
    </w:p>
    <w:p w14:paraId="7337B292" w14:textId="77777777" w:rsidR="00EC7BF5" w:rsidRPr="001E2C69" w:rsidRDefault="00EC7BF5" w:rsidP="00722885">
      <w:pPr>
        <w:pStyle w:val="af"/>
        <w:spacing w:before="0" w:after="0"/>
        <w:jc w:val="both"/>
        <w:textAlignment w:val="baseline"/>
        <w:rPr>
          <w:color w:val="000000" w:themeColor="text1"/>
          <w:sz w:val="16"/>
          <w:szCs w:val="16"/>
        </w:rPr>
      </w:pPr>
      <w:r w:rsidRPr="001E2C69">
        <w:rPr>
          <w:color w:val="000000" w:themeColor="text1"/>
          <w:sz w:val="16"/>
          <w:szCs w:val="16"/>
        </w:rPr>
        <w:t>6 августа 1942 года была утверждена программа работ основного разработчика ручных гранат КБ-30:</w:t>
      </w:r>
    </w:p>
    <w:p w14:paraId="3ACA7FEE" w14:textId="77777777" w:rsidR="00EC7BF5" w:rsidRPr="001E2C69" w:rsidRDefault="00EC7BF5" w:rsidP="00722885">
      <w:pPr>
        <w:pStyle w:val="af"/>
        <w:spacing w:before="0" w:after="0"/>
        <w:jc w:val="both"/>
        <w:textAlignment w:val="baseline"/>
        <w:rPr>
          <w:iCs/>
          <w:color w:val="000000" w:themeColor="text1"/>
          <w:sz w:val="16"/>
          <w:szCs w:val="16"/>
          <w:bdr w:val="none" w:sz="0" w:space="0" w:color="auto" w:frame="1"/>
        </w:rPr>
      </w:pPr>
      <w:r w:rsidRPr="001E2C69">
        <w:rPr>
          <w:iCs/>
          <w:color w:val="000000" w:themeColor="text1"/>
          <w:sz w:val="16"/>
          <w:szCs w:val="16"/>
          <w:bdr w:val="none" w:sz="0" w:space="0" w:color="auto" w:frame="1"/>
        </w:rPr>
        <w:lastRenderedPageBreak/>
        <w:t>«Для повышения бронепробивающей способности ручных противотанковых гранат, повышение эффекта за счёт увеличения количества и качества ВВ, является экономически невыгодным решением, а также этому ставит предел и ручное метание. Повышение эффекта может быть достигнуто за счёт применения кумулятивных свойств, являющихся следствием геометрической формы заряда ВВ, его расположения относительно плоскости брони, формы, размеров и расположения детонатора и других причин» (18876).</w:t>
      </w:r>
    </w:p>
    <w:p w14:paraId="059A8EBA" w14:textId="77777777" w:rsidR="00EC7BF5" w:rsidRPr="001E2C69" w:rsidRDefault="00EC7BF5" w:rsidP="00722885">
      <w:pPr>
        <w:pStyle w:val="af"/>
        <w:spacing w:before="0" w:after="0"/>
        <w:jc w:val="both"/>
        <w:textAlignment w:val="baseline"/>
        <w:rPr>
          <w:iCs/>
          <w:color w:val="000000" w:themeColor="text1"/>
          <w:sz w:val="16"/>
          <w:szCs w:val="16"/>
        </w:rPr>
      </w:pPr>
    </w:p>
    <w:p w14:paraId="715E42FB"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августа 1942</w:t>
      </w:r>
    </w:p>
    <w:p w14:paraId="483C8A6D"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93 лист 148 – 147</w:t>
      </w:r>
    </w:p>
    <w:p w14:paraId="55975016"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28E849B0"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w:t>
      </w:r>
    </w:p>
    <w:p w14:paraId="725FBBC7"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Народному Комиссариату Танковой промышленности СССР</w:t>
      </w:r>
    </w:p>
    <w:p w14:paraId="5DB3AF23"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568с</w:t>
      </w:r>
    </w:p>
    <w:p w14:paraId="5152B6A4"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гор. Москва</w:t>
      </w:r>
    </w:p>
    <w:p w14:paraId="6D35A51D"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августа 1942 года</w:t>
      </w:r>
    </w:p>
    <w:p w14:paraId="3E0C4D2F"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 материально-техническом обеспечении программы Сталинградского тракторного завода</w:t>
      </w:r>
    </w:p>
    <w:p w14:paraId="78F9E374"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месяце 1942 года.</w:t>
      </w:r>
    </w:p>
    <w:p w14:paraId="2597E21D"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развитие приказа № 550с от 27/VII-с.г. в связи с особыми условиями работы Сталинградского тракторного завода в августе м-це, – ПРИКАЗЫВАЮ:</w:t>
      </w:r>
    </w:p>
    <w:p w14:paraId="4ECA2782"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Начальнику Главснаба тов. Розину:</w:t>
      </w:r>
    </w:p>
    <w:p w14:paraId="3C5A902D"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обеспечивать программу производства СТЗ в первую очередь и преимущественно перед всеми остальными заводами Наркомата;</w:t>
      </w:r>
    </w:p>
    <w:p w14:paraId="7959E20A"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обеспечить поставку всех необходимых материалов и изделий на программу августа м-ца, в соответствии с приложениями к настоящему приказу, закончив ее к 20.VIII с.г.</w:t>
      </w:r>
    </w:p>
    <w:p w14:paraId="084195B8"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выделить ответственных лиц за обеспечение поставки по каждой группе материалов и изделий.</w:t>
      </w:r>
    </w:p>
    <w:p w14:paraId="57195F87"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Управляющим конторами Главснаба: Свердловской – тов. Нагорному, Челябинской – тов. Магарилло, Московской – тов. Бейзер, Саратовской – тов. Дронову, Куйбышевской – тов. Дедову, Новосибирской – тов. Вяземскому и Горьковской – тов. Лисунову, под их личную ответственность, полностью и в срок обеспечить поставку СТЗ материалов от поставщиков района их деятельности, в соответствии с прилагаемым планом поставки, и создать резервы при своих складах материалов, предназначенных для СТЗ, исходя из разницы между количествами занаряженными к поставке и подлежащими завозу СТЗ по прилагаемым ведомостям отгрузки.</w:t>
      </w:r>
    </w:p>
    <w:p w14:paraId="037293EA"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И.о. начальника Отдела перевозок Главснаба тов. Кондакову:</w:t>
      </w:r>
    </w:p>
    <w:p w14:paraId="5DA131A0"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обеспечить нормальное продвижение грузов, предназначенных для СТЗ, исходя из смешанных перевозок с пунктами перевалки в Куйбышеве, Горьком и Саратове, а по грузам, подлежащим отправке только железнодорожным путем (кокс и т.д.) направлять их через Ахтубу;</w:t>
      </w:r>
    </w:p>
    <w:p w14:paraId="0BF9BB1E"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грузы, предназначенные для СТЗ, находящиеся в пути следования, обеспечить розыском и доставкой в кратчайший срок, а в первую очередь, вагоны со швеллерами, трубами легированными, трубами тонкостенными и клапанной сталью.</w:t>
      </w:r>
    </w:p>
    <w:p w14:paraId="068C2845"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Директору Кулебакского завода тов. Скиба:</w:t>
      </w:r>
    </w:p>
    <w:p w14:paraId="49F1A5A6"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к 15/VIII с.г. прокатать и отгрузить швеллер № 18 в количестве 240 тн, направив его в адрес СТЗ с перевалкой в Горьком;</w:t>
      </w:r>
    </w:p>
    <w:p w14:paraId="566CAF30"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обеспечит изготовление и совместную со швеллером отгрузку погон в количестве 500 комплектов в августе и сентябре м-цах.</w:t>
      </w:r>
    </w:p>
    <w:p w14:paraId="2289B522"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Предупредить Начальника Главснаба тов. Розина и Управляющих Контор Главснаба об особой ответственности за полное и своевременное обеспечение материалами СТЗ в количествах, указанных в приложениях.</w:t>
      </w:r>
    </w:p>
    <w:p w14:paraId="17F69406"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Право распоряжения резервами СТЗ, находящимися на хранении в конторах Главснаба, оставляю лично за Начальником Главснаба тов. Розиным.</w:t>
      </w:r>
    </w:p>
    <w:p w14:paraId="69996645"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Директору СТЗ тов. Задорожному к 20.VIII представить Начальнику Главснаба тов. Розину уточнение по материалам и изделиям, необходимым для обеспечения сентябрьской программы СТЗ.</w:t>
      </w:r>
    </w:p>
    <w:p w14:paraId="3CF558D5"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Заместитель Народного Комиссара Танковой промышленности СССР</w:t>
      </w:r>
    </w:p>
    <w:p w14:paraId="2B5DAF35"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Н. Жерехов</w:t>
      </w:r>
    </w:p>
    <w:p w14:paraId="44175733"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93 лист 146</w:t>
      </w:r>
    </w:p>
    <w:p w14:paraId="4E791C4A"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Приложение № 1 к приказу НКТП</w:t>
      </w:r>
    </w:p>
    <w:p w14:paraId="173F17C8"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568с от 6/VII-42 года (23390).</w:t>
      </w:r>
    </w:p>
    <w:p w14:paraId="6A7FFF6A" w14:textId="77777777" w:rsidR="00DE102D" w:rsidRPr="008A2E5A" w:rsidRDefault="00DE102D" w:rsidP="00DE102D">
      <w:pPr>
        <w:spacing w:after="0" w:line="240" w:lineRule="auto"/>
        <w:jc w:val="both"/>
        <w:rPr>
          <w:rFonts w:ascii="Times New Roman" w:hAnsi="Times New Roman"/>
          <w:color w:val="0070C0"/>
          <w:sz w:val="16"/>
          <w:szCs w:val="16"/>
        </w:rPr>
      </w:pPr>
    </w:p>
    <w:p w14:paraId="4B766258"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августа 1942</w:t>
      </w:r>
    </w:p>
    <w:p w14:paraId="17A7A5D5"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93 лист 163 – 159</w:t>
      </w:r>
    </w:p>
    <w:p w14:paraId="1591AA62"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10422874"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w:t>
      </w:r>
    </w:p>
    <w:p w14:paraId="55169C1E"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НАРОДНОГО КОМИССАРА ТАНКОВОЙ ПРОМЫШЛЕННОСТИ СОЮЗА ССР</w:t>
      </w:r>
    </w:p>
    <w:p w14:paraId="5F700AA8"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572с</w:t>
      </w:r>
    </w:p>
    <w:p w14:paraId="6855AE1D"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Москва</w:t>
      </w:r>
    </w:p>
    <w:p w14:paraId="3A057BA2"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августа 1942 г.</w:t>
      </w:r>
    </w:p>
    <w:p w14:paraId="7F64BB4E"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ряд приказов Наркомата Танковой Промышленности об организации производства траков на каждом заводе, выпускающем танки, это производство на заводах № 112, № 174, № 38 и № 37 до сих пор не налажено. До сего времени не проведена унификация трака для танка Т-34. Руководители указанных заводов все еще питают надежду на получение траков со стороны и не поняли сложившейся обстановки по кооперации со Сталинградским тракторным заводом. Безответственное отношение директоров к такому важному вопросу, как собственное производство траков, привело к тому, что укомплектование танков гусеницами задерживается.</w:t>
      </w:r>
    </w:p>
    <w:p w14:paraId="5672AE26"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обеспечения выпуска танков по графику в августе месяце – полностью укомплектованных гусеницами – ПРИКАЗЫВАЮ:</w:t>
      </w:r>
    </w:p>
    <w:p w14:paraId="088FC9BD"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Утвердить единый унифицированный для танка Т-34 трак типа СТЗ по чертежу 34.44.СБТ. В штампованном варианте безгребневого трака обеспечить взаимозаменяемость его с литыми траками СТЗ по чертежу 34.44.СБТ. С 15-го сентября на заводах № 174, № 112, Кировском и УЗТМ перейти на отливку только унифицированных траков, а по заводу № 183 с 1-го октября с.г.</w:t>
      </w:r>
    </w:p>
    <w:p w14:paraId="0F3B1AA6"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Директорам заводов немедленно приступить к изготовлению необходимого количества моделей, установив жесткий план-график сдачи готовых моделей. За досрочное выполнение плана по модельному производству разрешаю оплату рабочим производить в двойном размере.</w:t>
      </w:r>
    </w:p>
    <w:p w14:paraId="697A149D"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Директору завода № 112 т. РУБИНЧИК:</w:t>
      </w:r>
    </w:p>
    <w:p w14:paraId="0B75C1BA"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установить выпуск траков в августе месяце с.г. на менее 250 комплектов по следующему графику:</w:t>
      </w:r>
    </w:p>
    <w:p w14:paraId="3F95A542"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1-я декада по 5 комплектов в сутки</w:t>
      </w:r>
    </w:p>
    <w:p w14:paraId="6AF1A0A7"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2-я декада по 8 комплектов в сутки</w:t>
      </w:r>
    </w:p>
    <w:p w14:paraId="52AD120A"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3-я декада по 12 комплектов в сутки</w:t>
      </w:r>
    </w:p>
    <w:p w14:paraId="5499EEB6"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организовать производство штамповки плоского трака на имеющихся молотах и прессах;</w:t>
      </w:r>
    </w:p>
    <w:p w14:paraId="3067973B"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проведением организационно-технических мероприятий резко уменьшить процент брака по тракам до 8 %, полностью закрепив в производстве технологию отливки траков Сталинградского тракторного завода. По штамповке принять технологию Кировского завода;</w:t>
      </w:r>
    </w:p>
    <w:p w14:paraId="1121877B"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подготовить мощности литейного цеха для производства с 1-го сентября 1942 г. по 15 комплектов в сутки.</w:t>
      </w:r>
    </w:p>
    <w:p w14:paraId="4E573361"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Директору завода № 174 т. КАЦНЕЛЬСОНУ:</w:t>
      </w:r>
    </w:p>
    <w:p w14:paraId="025AE4D6"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установить выпуск траков в августе месяце не менее 75 комплектов по следующему графику:</w:t>
      </w:r>
    </w:p>
    <w:p w14:paraId="74099BFD"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1-я декада по 2 комплекта в сутки</w:t>
      </w:r>
    </w:p>
    <w:p w14:paraId="2FB2263C"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2-я декада по 2,5 комплектов в сутки</w:t>
      </w:r>
    </w:p>
    <w:p w14:paraId="607196CC"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3-я декада по 3 комплекта в сутки</w:t>
      </w:r>
    </w:p>
    <w:p w14:paraId="00B3097F"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параллельно с литыми траками организовать штамповку траков из специального профиля;</w:t>
      </w:r>
    </w:p>
    <w:p w14:paraId="6F800A80"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обратить внимание директора завода № 174 т. КАЦНЕЛЬСОНА и главного металлурга завода т. ШАШИНА на недопустимые потери стали Гадфильда, даже в условиях освоения. Обязать – немедленно внедрить в производство технологию изготовления траков Сталинградского тракторного завода и снизить процент брака по тракам до 8 %.</w:t>
      </w:r>
    </w:p>
    <w:p w14:paraId="1E1FC7A4"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Директору завода № 38 т. Яковлеву:</w:t>
      </w:r>
    </w:p>
    <w:p w14:paraId="443A9640"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обеспечить в августе месяце выпуск 150 комплектов траков по следующему графику:</w:t>
      </w:r>
    </w:p>
    <w:p w14:paraId="16A2ED85"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1-я декада по 3 комплекта в сутки</w:t>
      </w:r>
    </w:p>
    <w:p w14:paraId="037EB9BF"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2-я декада по 5 комплектов в сутки</w:t>
      </w:r>
    </w:p>
    <w:p w14:paraId="2FA8913B"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3-я декада по 7 комплектов в сутки</w:t>
      </w:r>
    </w:p>
    <w:p w14:paraId="70D84ACA"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б) полностью внедрить в производство технологию отливки траков Сталинградского тракторного завода, изготовив нужное количество моделей и резко уменьшить брак до 10 %.</w:t>
      </w:r>
    </w:p>
    <w:p w14:paraId="34BA16BA"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Директору завода № 183 т. МАКСАРЕВУ:</w:t>
      </w:r>
    </w:p>
    <w:p w14:paraId="6206B469"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установить выпуск траков в августе месяце с.г. в количестве 800 комплектов по следующему графику:</w:t>
      </w:r>
    </w:p>
    <w:p w14:paraId="36440DFE"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1-я декада по 24 комплекта в сутки</w:t>
      </w:r>
    </w:p>
    <w:p w14:paraId="6BD987B0"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2-я декада по 26 комплектов в сутки</w:t>
      </w:r>
    </w:p>
    <w:p w14:paraId="1337508B"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3-я декада по 30 комплектов в сутки</w:t>
      </w:r>
    </w:p>
    <w:p w14:paraId="4C19A3A9"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немедленно отгрузить на Уралмашзавод две пары формовочных машин для производства траков Т-34;</w:t>
      </w:r>
    </w:p>
    <w:p w14:paraId="0EA868F5"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проведением технических мероприятий и внедрением опыта Сталинградского тракторного завода по литью траков снизить процент брака по литым тракам до 8 % и повысить стойкость траков в эксплоатации.</w:t>
      </w:r>
    </w:p>
    <w:p w14:paraId="6DCF3B52"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Директору Кировского завода т. МАХОНИНУ:</w:t>
      </w:r>
    </w:p>
    <w:p w14:paraId="42239B18"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организовать производство литых и штампованных траков с таким расчетом, чтобы обеспечить выпуск траков в августе месяце с.г. не менее 350 комплектов по следующему графику:</w:t>
      </w:r>
    </w:p>
    <w:p w14:paraId="6B01CD8B"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1-я декада по 5 комплектов в сутки</w:t>
      </w:r>
    </w:p>
    <w:p w14:paraId="3F3747EE"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2-я декада по 10 комплектов в сутки</w:t>
      </w:r>
    </w:p>
    <w:p w14:paraId="46CF47CF"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3-я декада по 20 комплектов в сутки</w:t>
      </w:r>
    </w:p>
    <w:p w14:paraId="19029B94"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150 комплектов траков срочно отгрузить заводу № 183;</w:t>
      </w:r>
    </w:p>
    <w:p w14:paraId="14174C44"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директору Кировского завода т. МАХОНИНУ до 10.VIII отлить 3 комплекта траков типа Сталинградского тракторного завода из углеродистой стали марки 30-СГ и передать их заводу № 100;</w:t>
      </w:r>
    </w:p>
    <w:p w14:paraId="5CD59BD3"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директору завода № 100 т. Ворошилову до 15 августа произвести контрольное испытание этих траков пробегом 500 клм. по булыжной мостовой и результаты телеграфировать НКТП.</w:t>
      </w:r>
    </w:p>
    <w:p w14:paraId="09C7E6AA"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Директору Уралмашзавода т. МУЗРУКОВУ:</w:t>
      </w:r>
    </w:p>
    <w:p w14:paraId="54E8C8A5"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организовать производство траков для танка Т-34 и начиная с 10 августа до конца месяца изготовить 70 комплектов траков по следующему графику:</w:t>
      </w:r>
    </w:p>
    <w:p w14:paraId="01664753"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2-я декада по 2 комплекта в сутки</w:t>
      </w:r>
    </w:p>
    <w:p w14:paraId="4BCAE569"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3-я декада по 5 комплектов в сутки</w:t>
      </w:r>
    </w:p>
    <w:p w14:paraId="41CFD812"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укомплектовать все машины Т-60, которые не имеют гусениц, траками собственного производства, обеспечив выпуск их на заводе № 37 по следующему графику:</w:t>
      </w:r>
    </w:p>
    <w:p w14:paraId="5DA0F132"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танков Т-60:</w:t>
      </w:r>
    </w:p>
    <w:p w14:paraId="0251F006"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1-я декада по 5 комплектов в сутки</w:t>
      </w:r>
    </w:p>
    <w:p w14:paraId="1C71B607"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2-я декада по 6 комплектов в сутки</w:t>
      </w:r>
    </w:p>
    <w:p w14:paraId="5160E597"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3-я декада по 7 комплектов в сутки</w:t>
      </w:r>
    </w:p>
    <w:p w14:paraId="0D54A16F"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командировать на Сталинградский тракторный завод группу специалистов для изучения технологии отливки траков на СТЗ и внедрить ее на своем заводе;</w:t>
      </w:r>
    </w:p>
    <w:p w14:paraId="02C1CF0F"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наряду с производством литых траков, организовать по чертежам Кировского завода штамповку плоского трака из специального профиля на имеющемся 6,5 тонном штамповочном молоте, загрузив 50 % мощности этого молота только штамповкой траков.</w:t>
      </w:r>
    </w:p>
    <w:p w14:paraId="60311A9C"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Директору Сталинградского тракторного завода тов. ЗАДОРОЖНОМУ:</w:t>
      </w:r>
    </w:p>
    <w:p w14:paraId="56D6BA4D"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изготовить в течение августа месяца равномерно по суточному графику 800 комплектов траков к танку Т-34 и 300 комплектов к танку Т-60;</w:t>
      </w:r>
    </w:p>
    <w:p w14:paraId="06B5EE79"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немедленно отгрузить заводу № 38 2 комплекта моделей со стержневыми ящиками для траков Т-60;</w:t>
      </w:r>
    </w:p>
    <w:p w14:paraId="0C8A4AE9"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для оказания технической помощи по отливке траков Т-60 немедленно откомандировать на завод № 38 в г. Киров двух рабочих сталефасонного цеха – т.т. Навроцкого и Цекатунова.</w:t>
      </w:r>
    </w:p>
    <w:p w14:paraId="306893E7"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Директорам заводов:</w:t>
      </w:r>
    </w:p>
    <w:p w14:paraId="36FED4CB"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за выполнение установленного мною количества комплектов траков в августе месяце премировать начальников цехов в сумме 5 тысяч рублей каждого, мастеров 2-месячным окладом каждого и выдать в распоряжение начальников цехов за выполнение плана на премирование рабочих и ИТР по 50 – 200 тысяч рублей, а также выдать в первых числах сентября месяца т.г. (с зачетом промтоварных карточек):</w:t>
      </w:r>
    </w:p>
    <w:p w14:paraId="69363B59"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обуви – по 1 паре</w:t>
      </w:r>
    </w:p>
    <w:p w14:paraId="608FA9BC"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шелка или шерсти – по 3,5 метра</w:t>
      </w:r>
    </w:p>
    <w:p w14:paraId="026F7A6D"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трикотажных изделий – на 100 рублей – каждому</w:t>
      </w:r>
    </w:p>
    <w:p w14:paraId="09B85502"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следующему количеству рабочих по заводам:</w:t>
      </w:r>
    </w:p>
    <w:p w14:paraId="7FA1E40C"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учесть, что при оценке работы завода Наркомат будет исходить главным образом из того, как выполнено задание по производству траков.</w:t>
      </w:r>
    </w:p>
    <w:p w14:paraId="00B6ABA5"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премиальные положения, присуждение знамен, оценка деятельности директора завода, главного инженера, главного металлурга будет определяться только условиями своевременного по графику обеспечения траками своего производства танков и точного выполнения графика по кооперации;</w:t>
      </w:r>
    </w:p>
    <w:p w14:paraId="7AE396E7"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в 5-дневный срок представить обоснованные заявки на потребное количество металла на штампованные траки, в соответствии с утвержденным мною графика выпуска траков;</w:t>
      </w:r>
    </w:p>
    <w:p w14:paraId="08212471"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под личную ответственность ежедневого сообщать в Наркомат наравне с выпуском танков, корпусов и дизелей отчетность по тракам как для собственного производства, так и по выполнению установленной кооперации. Помимо сообщений, данных по "ВЧ", сведения по тракам подтверждать телеграфно за подписью директора завода;</w:t>
      </w:r>
    </w:p>
    <w:p w14:paraId="7A7FC01D"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 проработать мероприятия по увеличению выпуска траков для полного обеспечения своего производства в сентябре месяце и до конца года. Эти мероприятия представить моему заместителю т. ПОПОВУ в декадный срок.</w:t>
      </w:r>
    </w:p>
    <w:p w14:paraId="11FA1A2A"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Начальнику Главнаба т. РОЗИНУ обеспечить снабжение специальным профилем металла для производства штампованных траков по заявкам заводов.</w:t>
      </w:r>
    </w:p>
    <w:p w14:paraId="42CA7A06"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Ответственными уполномоченными по производству и обеспечению траками заводов по Наркомату назначаю работников Металлургического отдела:</w:t>
      </w:r>
    </w:p>
    <w:p w14:paraId="6CB81DEE"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Уралмашзаводу – т. Корюкалова</w:t>
      </w:r>
    </w:p>
    <w:p w14:paraId="6E6126EC"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заводу № 183 – т . Тантлевского М.Г.</w:t>
      </w:r>
    </w:p>
    <w:p w14:paraId="201F287E"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заводу № 112 – т. Белоненко</w:t>
      </w:r>
    </w:p>
    <w:p w14:paraId="66612DE2"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Кировскому заводу – т. Фертман</w:t>
      </w:r>
    </w:p>
    <w:p w14:paraId="392A1536"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заводу № 174 – т. Курилова</w:t>
      </w:r>
    </w:p>
    <w:p w14:paraId="1E7C97DA"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заводу № 38 – т. Шегурова</w:t>
      </w:r>
    </w:p>
    <w:p w14:paraId="2CDA5ADE"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СТЗ – т. Мицельского (1 отдел)</w:t>
      </w:r>
    </w:p>
    <w:p w14:paraId="4FDCB3DD"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Все запросы и указания по производству траков и их распределению по заводам даются только моим заместителем т. ПОПОВЫМ или Главным металлургом т. ЧЕРНУШЕВИЧ.</w:t>
      </w:r>
    </w:p>
    <w:p w14:paraId="60ED0E7C"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Ответственность за организацию производства траков на заводах возлагаю на моего заместителя т. ПОПОВА. Контроль за исполнением приказа возложить на заместителя начальника Металлургического отдела тов. СЕРЕДИНА. Контроль выполнения пунктов "в" и "г" параграфа 6 возлагаю на заместителя начальника технического отдела т. ГИНЗБУРГ.</w:t>
      </w:r>
    </w:p>
    <w:p w14:paraId="015185CA"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ТАНКОВОЙ ПРОМЫШЛЕННОСТИ СОЮЗА ССР</w:t>
      </w:r>
    </w:p>
    <w:p w14:paraId="2F864896"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И. ЗАЛЬЦМАН (23491).</w:t>
      </w:r>
    </w:p>
    <w:p w14:paraId="4D9B70CB" w14:textId="77777777" w:rsidR="00DE102D" w:rsidRPr="008A2E5A" w:rsidRDefault="00DE102D" w:rsidP="00DE102D">
      <w:pPr>
        <w:spacing w:after="0" w:line="240" w:lineRule="auto"/>
        <w:jc w:val="both"/>
        <w:rPr>
          <w:rFonts w:ascii="Times New Roman" w:hAnsi="Times New Roman"/>
          <w:color w:val="0070C0"/>
          <w:sz w:val="16"/>
          <w:szCs w:val="16"/>
        </w:rPr>
      </w:pPr>
    </w:p>
    <w:p w14:paraId="5F42F9F8"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августа 1942</w:t>
      </w:r>
    </w:p>
    <w:p w14:paraId="277C7590"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93 лист 167 – 165</w:t>
      </w:r>
    </w:p>
    <w:p w14:paraId="6CB6E050"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3EC85672"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w:t>
      </w:r>
    </w:p>
    <w:p w14:paraId="26A93725"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НАРОДНОГО КОМИССАРА ТАНКОВОЙ ПРОМЫШЛЕННОСТИ СОЮЗА ССР</w:t>
      </w:r>
    </w:p>
    <w:p w14:paraId="44B55737"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573с</w:t>
      </w:r>
    </w:p>
    <w:p w14:paraId="7BDFAB79"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Москва</w:t>
      </w:r>
    </w:p>
    <w:p w14:paraId="4EC240A2"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августа 1942 г.</w:t>
      </w:r>
    </w:p>
    <w:p w14:paraId="0D36747A"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Рост выпуска бронекорпусов на заводах Наркомтанкопрома отстает от роста выпуска танков. Это в особенности имеет место на заводах № 264, № 174, № 183. Директора и главные инженеры не уделяют должного внимания развитию бронекорпусного производства, не следят за выполнением графика сдачи корпусов, за реализацией фондов на спецлист. Необходимо понять, что развертывание бронекорпусного производства и выпуск бронекорпусов должно опережать выпуск танков. Дальнейшее отставание бронекорпусного производства, тормозящее выпуск танков, не может быть терпимо.</w:t>
      </w:r>
    </w:p>
    <w:p w14:paraId="7D1F15D4"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целях обеспечения выпуска танков, создания нормальных заделов в бронекорпусных и танковых цехах, а также подготовки базы для дальнейшего развертывания и роста бронекорпусного производства, ПРИКАЗЫВАЮ:</w:t>
      </w:r>
    </w:p>
    <w:p w14:paraId="2C9557FC"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Директорам заводов: Уралмашзавода т. Музрукову, № 183 т. Максареву, № 264 т. Суворову, № 200 т. Сочивко, № 174 т. Кацнельсону, № 38 т. Яковлеву, № 176 т. Федотову, № 177 т. Волкову – обеспечить в августе выпуск бронекорпусов в количествах по следующему графику:</w:t>
      </w:r>
    </w:p>
    <w:p w14:paraId="785D1CA9"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Установить должность Главных инженеров по бронекорпусному производству на Уралмашзаводе, № 183, № 174 и № 112. Директорам указанных заводов к 10.VIII представить мне на утверждение кандидатуры на должности главных инженеров бронекорпусного производства.</w:t>
      </w:r>
    </w:p>
    <w:p w14:paraId="27216F7D"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И.о. Директора завода № 180 т. Орлову отгрузить заводу № 176 до 18.VIII 100 комплектов деталей с полной мехобработкой (без деталей, обрабатываемых на карусельных станках).</w:t>
      </w:r>
    </w:p>
    <w:p w14:paraId="48BEDE0F"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Директору Уралмашзавода т. Музрукову обеспечить отгрузку в августе Кировскому заводу обработанных погон КВ для корпусов завода № 200 по следующему графику:</w:t>
      </w:r>
    </w:p>
    <w:p w14:paraId="5D59C282"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I декаде – 25 комплектов</w:t>
      </w:r>
    </w:p>
    <w:p w14:paraId="5787E5FE"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II декаде – 25 комплектов</w:t>
      </w:r>
    </w:p>
    <w:p w14:paraId="138F2947"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III декаде – 30 комплектов</w:t>
      </w:r>
    </w:p>
    <w:p w14:paraId="762F40C3"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Итого: 80 комплектов.</w:t>
      </w:r>
    </w:p>
    <w:p w14:paraId="0DD46CFB"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Директору завода № 112 т. Рубинчику немедленно отгрузить в Сталинград для СТЗ 50 корпусов и башен Т-34.</w:t>
      </w:r>
    </w:p>
    <w:p w14:paraId="2965A1A4"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Директору Уралмашзавода т. Музрукову немедленно начать отгрузку с завода № 37 заделов по Т-70 и всего наличия спецлиста на завод № 38 г. Киров. Отгрузку закончить к 20.VIII. Спецлист находящийся в пути переадресовать в адрес завода № 38.</w:t>
      </w:r>
    </w:p>
    <w:p w14:paraId="3AF6DCDB"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И.о Начальника 3 Гл. Управления т. Хабахпашеву:</w:t>
      </w:r>
    </w:p>
    <w:p w14:paraId="2B8393F4"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обеспечить поставку в августе спецлиста для заводов Наркомтанкопрома в соответствии с утвержденным графиком выпуска бронекорпусов с учетом заделов;</w:t>
      </w:r>
    </w:p>
    <w:p w14:paraId="71CFBBAC"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поставку в августе заготовок погон с Кулебакского завода (директор т. Скиба) для заводов Наркомтанкопрома в соответствии с утвержденным графиком выпуска бронекорпусов и с учетом заделов.</w:t>
      </w:r>
    </w:p>
    <w:p w14:paraId="495FB2FD"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Обязать директоров заводов усилить работу отделов снабжения по реализации фондов на бронелист.</w:t>
      </w:r>
    </w:p>
    <w:p w14:paraId="77627756"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Начальнику Главснаба т. Розину принять реальные меры для контроля над реализацией выделенных фондов на бронелист через конторы Главснаба и уполномоченных на металлургических заводах, а также проработать маршрут доставки бронелиста заводу № 264 с восточных заводов с учетом перевалок на воду.</w:t>
      </w:r>
    </w:p>
    <w:p w14:paraId="17891FDF"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Обязать директоров заводов, изготовляющих бронекорпуса, представлять ежедневно сведения по "ВЧ" и телеграфно о выпуске бронекорпусов наравне с выпуском танков и дизелей. Директору завода № 183 т. Максареву проверить неправильность в отчетности сдачи корпусов в июле мес. и на виновных наложить взыскания, вплоть до предания суду.</w:t>
      </w:r>
    </w:p>
    <w:p w14:paraId="02986AC8"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Установить, что переходящее красное знамя ВЦСПС и Наркомтанкопрома присуждается наравне с бронекорпусными заводами также и бронекорпусным цехам танковых заводов.</w:t>
      </w:r>
    </w:p>
    <w:p w14:paraId="2C453A0C"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Выражаю твердую уверенность, что коллективы бронекорпусных заводов и цехов Наркомтанкопрома обеспечат скорейшее проведение в жизнь всех мероприятий по развертыванию бронекорпусного производства, дадут в августе столько корпусов, сколько необходимо танковым заводам для выпуска танков.</w:t>
      </w:r>
    </w:p>
    <w:p w14:paraId="76D0AB76"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ТАНКОВОЙ ПРОМЫШЛЕННОСТИ СОЮЗА ССР</w:t>
      </w:r>
    </w:p>
    <w:p w14:paraId="3E4EBB30" w14:textId="77777777" w:rsidR="00DE102D" w:rsidRPr="008A2E5A" w:rsidRDefault="00DE102D" w:rsidP="00DE10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ЗАЛЬЦМАН (23492).</w:t>
      </w:r>
    </w:p>
    <w:p w14:paraId="6D6FFAE0" w14:textId="77777777" w:rsidR="00DE102D" w:rsidRPr="008A2E5A" w:rsidRDefault="00DE102D" w:rsidP="00DE102D">
      <w:pPr>
        <w:spacing w:after="0" w:line="240" w:lineRule="auto"/>
        <w:jc w:val="both"/>
        <w:rPr>
          <w:rFonts w:ascii="Times New Roman" w:hAnsi="Times New Roman"/>
          <w:color w:val="0070C0"/>
          <w:sz w:val="16"/>
          <w:szCs w:val="16"/>
        </w:rPr>
      </w:pPr>
    </w:p>
    <w:p w14:paraId="1562311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6 августа 1942 г. Приказом Наркомата цветной металлургии СССР Научно-исследовательский институт по золоту и спутникам "Гинзолото", созданный 27 апреля 1932 г. постановлением Наркомата тяжелой промышленности СССР в результате преобразования Сибирского отделения Центрального государственного научно-исследовательского института цветных металлов, золота и платины, был преобразован в Завод N 172, который приказом Министерства цветной металлургии СССР от 31 мая 1946 г. был преобразован в Иркутский государственный научно-исследовательский институт редких и цветных металлов "Иргиредмет" (12102). </w:t>
      </w:r>
    </w:p>
    <w:p w14:paraId="73011531" w14:textId="77777777" w:rsidR="00014545" w:rsidRPr="001E2C69" w:rsidRDefault="00014545" w:rsidP="00722885">
      <w:pPr>
        <w:spacing w:after="0" w:line="240" w:lineRule="auto"/>
        <w:jc w:val="both"/>
        <w:rPr>
          <w:rFonts w:ascii="Times New Roman" w:hAnsi="Times New Roman"/>
          <w:color w:val="000000" w:themeColor="text1"/>
          <w:sz w:val="16"/>
          <w:szCs w:val="16"/>
        </w:rPr>
      </w:pPr>
    </w:p>
    <w:p w14:paraId="0B96E59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августа 1942 вышло Постановление ГКО № 2147 Об отпуске продовольственных пайков для Красной Армии, Военно-Морского Флота и войск НКВД СССР в августе 1942 г. РГАНИР, Фонд ГКО, д. 50, лл. 71-74, 75-776 (11012).</w:t>
      </w:r>
    </w:p>
    <w:p w14:paraId="36F2EE88"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0B5A9F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августа 1942 вышло Постановление ГКО № 2148 О производстве минных танковых тралов. РГАНИР, Фонд ГКО, д. 50, лл. 77 (11012).</w:t>
      </w:r>
    </w:p>
    <w:p w14:paraId="7446BC1A"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8AB1AF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августа 1942 вышло Распоряжение ГКО № 2149 Об организации дублированного производства гироскопических компасов на заводе N252 в Сталинске. РГАНИР, Фонд ГКО, д. 50, лл. 78 (11012).</w:t>
      </w:r>
    </w:p>
    <w:p w14:paraId="3735862A"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B68C157"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6 августа 1942 вышло Постановление ГКО № 2150 О поставке Наркомвоенморфлоту электромагнитных тралов. (7048, 79-80,81-82).</w:t>
      </w:r>
    </w:p>
    <w:p w14:paraId="1CCDF668" w14:textId="77777777" w:rsidR="00AE7191" w:rsidRPr="001E2C69" w:rsidRDefault="00AE7191" w:rsidP="00722885">
      <w:pPr>
        <w:pStyle w:val="Iauiue"/>
        <w:tabs>
          <w:tab w:val="left" w:pos="11199"/>
        </w:tabs>
        <w:jc w:val="both"/>
        <w:rPr>
          <w:color w:val="000000" w:themeColor="text1"/>
          <w:sz w:val="16"/>
          <w:szCs w:val="16"/>
        </w:rPr>
      </w:pPr>
    </w:p>
    <w:p w14:paraId="2472B86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августа 1942 вышло Постановление ГКО № 2151 О строительстве Челябинской ТЭЦ. РГАНИР, Фонд ГКО, д. 50, лл. 83-85, 86-91 (11012).</w:t>
      </w:r>
    </w:p>
    <w:p w14:paraId="6019A308"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29052A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августа 1942 вышло Постановление ГКО № 2152 О плане производства металла на август 1942 г. РГАНИР, Фонд ГКО, д. 50, лл. 92-105 (11012).</w:t>
      </w:r>
    </w:p>
    <w:p w14:paraId="05BFCE54"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A5B111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августа 1942 вышло Постановление ГКО № 2153 О мероприятиях по обеспечению добычи нефти и выработке нефтепродуктов на август 1942 г. РГАНИР, Фонд ГКО, д. 50, лл. 106-113, 114-116 (11012).</w:t>
      </w:r>
    </w:p>
    <w:p w14:paraId="02AB1EAF"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9C4E10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августа 1942 вышло Постановление ГКО № 2154 Об ускорении строительства и ввода в действие нефтеперерабатывающих заводов в Молотове, Сызрани, Бугуруслане, Орске, Ишимбаеве, Красноводске и Комсомольске. РГАНИР, Фонд ГКО, д. 50, лл. 117-123, 124-126 (11012).</w:t>
      </w:r>
    </w:p>
    <w:p w14:paraId="10FAF337"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6514BA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августа 1942 вышло Постановление ГКО № 2155 О создании запасов сырья и топлива на заводах Hаркомчермета на зиму 1942-43 гг. РГАНИР, Фонд ГКО, д. 50, лл. 127-131, 132-162 (11012).</w:t>
      </w:r>
    </w:p>
    <w:p w14:paraId="77CF9111"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0FD25BF"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3A9DF1DE" w14:textId="77777777" w:rsidR="00AE7191" w:rsidRPr="001E2C69" w:rsidRDefault="00AE7191" w:rsidP="00722885">
      <w:pPr>
        <w:pStyle w:val="Iauiue"/>
        <w:jc w:val="both"/>
        <w:rPr>
          <w:iCs/>
          <w:color w:val="000000" w:themeColor="text1"/>
          <w:sz w:val="16"/>
          <w:szCs w:val="16"/>
        </w:rPr>
      </w:pPr>
    </w:p>
    <w:p w14:paraId="5854B7A0"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августа в 1942 году утреннее сообщение Совинформбюро:</w:t>
      </w:r>
    </w:p>
    <w:p w14:paraId="45155722"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6 августа наши войска вели бои с противником в районах Клетская, Котельниково, южнее Белая Глина и южнее Кущевская.</w:t>
      </w:r>
    </w:p>
    <w:p w14:paraId="5EBC7D4E"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001FFDE5"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наши войска отбили ряд атак противника и прочно удерживали занятые рубежи. В бою за населённый пункт Н-ская часть уничтожила немецкий танк, 3 орудия и до 300 гитлеровцев. Наши танкисты на одном из участков совершили рейд по тылам врага и разгромили автоколонну с войсками и боеприпасами противника. Уничтожено 38 автомашин и не менее 250 немецких солдат и офицеров.</w:t>
      </w:r>
    </w:p>
    <w:p w14:paraId="665BE486"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Белой Глины шли непрерывные ожесточённые бои с наступающими танковыми и мотопехотными частями противника. Ваши войска с боями отошли на новые рубежи. Южнее Кущевской наша противотанковая артиллерия и бронебойщики уничтожили 8 немецких танков, 4 бронемашины и 21 автомашину. На другом участке кубанские казаки совершили ночной налёт на населённый пункт, только что захваченный гитлеровцами. Смелые конники порубили свыше 600 солдат и офицеров противника.</w:t>
      </w:r>
    </w:p>
    <w:p w14:paraId="6E5ADA92"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Брянском фронте происходили столкновения с мелкими группами противника. Бойцы одной нашей части атаковали неприятеля и ворвались в занятый им населённыйпункт. В уличном бою уничтожено свыше 100 солдат и офицеров противника. Ночью разведчики под руководством тов. Холодного пробрались к немецкому укреплённому узлу. Разведчики взорвали гранатами 2 ДЗОТа, 4 блиндажа и уничтожили 40 гитлеровцев.</w:t>
      </w:r>
    </w:p>
    <w:p w14:paraId="2E7FFEDD"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Совинформбюро 20 июля сообщало о героическом подвиге экипажа самолёта под командованием тов. Дивиченко. Лётчики, участвовавшие в операции, видели, как горящий самолёт тов. Дивиченко направился на колонну немецких автоцистерн с горючим, и считали, что экипаж погиб. Сегодня получены новые сведения о судьбе экипажа самолёта: после обстрела и поджога вражеских автоцистерн объятыйпламенем самолёт тов. Дивиченко пролетел ещё два километра и совершил посадку на территории, занятой противником. Самолёт сгорел, лётчики получили сильные ожоги. Стрелок-радист тов. Ешов погиб. Тов. Дивиченко, штурман Журавлёв, стрелок-радист Мысиков в конце концов добрались до расположения наших войск. В настоящее время они находятся в госпитале. Советские патриоты заявили: «Мы были в лапах смерти, но остались живы. Мы снова будем сражаться с ненавистным врагом. Будем драться с гитлеровцами до тех пор, пока в наших жилах течёт кровь. Наша жизнь принадлежит родине!»</w:t>
      </w:r>
    </w:p>
    <w:p w14:paraId="7F612671"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Партизанский отряд, действующий в одном из оккупированных немцами районов Белоруссии, совершил налёт на крупную железнодорожную станцию. В бою, продолжавшемся около часа, партизаны уничтожили 40 оккупантов и несколько десятков полицейских. Советские патриоты сожгли вокзал, здание комендатуры, 4 салон-вагона, в которых жили немецкие офицеры, 42 товарных вагона с грузом и взорвали железнодорожные стрелки.</w:t>
      </w:r>
    </w:p>
    <w:p w14:paraId="4D0CCC2A"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Сдавшийся в плен солдат 111 полка 35 немецкой пехотной дивизии Вильгельм Б. рассказал: «Официальные данные немецкого командования о потерях германских войск на Восточном фронте раздражают население. Никто не верит этим цифрам. Оснований для такого недоверия очень много. Все госпитали Германии и оккупированных ею стран переполнены ранеными. Ежедневно десятки семейств любого небольшого посёлка получают извещения о гибели их близких и родных. Я из Филлингена. Население этого городка составляло 8 тысяч человек. Из жителей этого города 350 человек убиты в России. Многие ранены, некоторые вернулись калеками. А сколько пропало без вести. Война кое-кому открыла глаза и показала, что гитлеровский режим несет германскому народу. Но пока еще многие боятся сказать что-либо открыто. Опору Гитлера составляют эсэсовцы и штурмовики. Это хладнокровные убийцы, которые сегодня убивают русских, поляков, чехов и готовы весь мир залить кровью. Их надо уничтожить потому, что это не люди, а палачи».</w:t>
      </w:r>
    </w:p>
    <w:p w14:paraId="7F013EB2"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Югославские партизаны ведут успешные бои против итальянских и немецких захватчиков. После кровопролитного сражения патриоты заняли в Хорватии город Ключ и несколько окрестных деревень. Уничтожено 70 и ранено свыше 100 итальянских солдат. Захвачено 100 винтовок, 3 миномёта, 300 мин, 5.000 патронов и другое вооружение. В бою у горы Грмич партизаны отбили атаку оккупантов и нанесли им большие потери. На стороне партизан действовали 2 бомбардировщика «Юнкерс-88», которые были захвачены ими при разгроме немецкого аэродрома.» (14975).</w:t>
      </w:r>
    </w:p>
    <w:p w14:paraId="6DCF31E4" w14:textId="77777777" w:rsidR="00014545" w:rsidRPr="001E2C69" w:rsidRDefault="00014545" w:rsidP="00722885">
      <w:pPr>
        <w:spacing w:after="0" w:line="240" w:lineRule="auto"/>
        <w:jc w:val="both"/>
        <w:rPr>
          <w:rFonts w:ascii="Times New Roman" w:hAnsi="Times New Roman"/>
          <w:color w:val="000000" w:themeColor="text1"/>
          <w:sz w:val="16"/>
          <w:szCs w:val="16"/>
        </w:rPr>
      </w:pPr>
    </w:p>
    <w:p w14:paraId="40B9E227"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августа в 1942 году вечернее сообщение Совинформбюро:</w:t>
      </w:r>
    </w:p>
    <w:p w14:paraId="3625C26B"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6 августа наши войска вели ожесточённые бои в районах Клетская, Котельниково, южнее Белая Глина и южнее Кущевская.</w:t>
      </w:r>
    </w:p>
    <w:p w14:paraId="61A04AF3"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5D684270"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5 августа частями нашей авиации на различных участках фронта уничтожено или повреждено до 50 немецких танков, 5 бронемашин, до 400 автомашин с войсками и грузами, 50 повозок с боеприпасами, взорвано 4 склада боеприпасов, подавлен огонь 10 батарей полевой и зенитной артиллерии, разбит железнодорожный состав, рассеяно и частью уничтожено до трёх батальонов пехоты противника.</w:t>
      </w:r>
    </w:p>
    <w:p w14:paraId="03C9ADB0"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и южнее этого пункта продолжались упорные бои. На отдельных участках наши войска наносили контрудары по войскам противника. Полк немецкой пехоты при поддержке 30 танков атаковал одну нашу часть. Пулемётным огнём с флангов советские бойцы отсекли вражескую пехоту от танков. Огнём артиллерии было уничтожено 9 немецких танков. В это время наши бойцы перешли в контратаку, в результате которой гитлеровцы отступили. На поле боя осталось 550 солдат и офицеров противника. Южнее Клетской Н-ская часть, взаимодействуя с танковым подразделением, потеснила противника и заняла более выгодные рубежи. Захвачены пленные.</w:t>
      </w:r>
    </w:p>
    <w:p w14:paraId="6B18FB19"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Котельникова на одном узком участке гитлеровцы предприняли несколько ожесточённых танковых атак. Противнику удалось вклиниться в нашу оборону. Наши части после ожесточённого боя отошли на новый оборонительный рубеж. В этом бою уничтожено 10 немецких танков и до 400 солдат и офицеров противника.</w:t>
      </w:r>
    </w:p>
    <w:p w14:paraId="3865D6D5"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Белой Глины наши войска вели напряжённые оборонительные бои с наступающими танками и мотопехотой противника. На ряде участков наши части с боями отошли на новые рубежи. Немцы пытались выбросить воздушный десант в тылу наших войск. В одном из пунктов приземлилось 9 транспортных самолётов «Юнкерс-52» с автоматчиками противника. Советские лётчики немедленно атаковали посадочную площадку, сожгли 6 и повредили 3 немецких самолёта. Остатки десанта уничтожены или захвачены наземными войсками. В районе южнее Кущевской наши войска отбивали атаки неприятеля. Донские и кубанские казаки несколько раз врубались в боевые порядки немецко-фашистских войск и нанесли им большие потери.</w:t>
      </w:r>
    </w:p>
    <w:p w14:paraId="35EF80D2"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Снайперы Н-ской части, действующей на Ленинградском фронте, за один день истребили 79 гитлеровцев.</w:t>
      </w:r>
    </w:p>
    <w:p w14:paraId="402DD128"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Орловские партизаны за последние дни организовали несколько крушений железнодорожных эшелонов немецко-фашистских оккупантов. Около одной станции они пустили под откос 40 вагонов и платформ с танками, автомашинами и тракторами. Все немецкие солдаты, сопровождавшие этот эшелон, были уничтожены. В другом месте партизаны подорвали воинский поезд. В результате крушения убито и ранено большое число гитлеровцев.</w:t>
      </w:r>
    </w:p>
    <w:p w14:paraId="38BDAF58"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мерзавцы устанавливают в захваченных советских районах крепостное право. В селе Александровка, Полтавской области, немецкий комендант обязал всех колхозников по три дня в неделю работать в хозяйстве немецкого помещика Шварца. Этот новоявленный барон держит отряд полицейских; которые насильно сгоняют крестьян на работу. Женщин впрягают в повозки и заставляют возить снопы с поля на гумно.</w:t>
      </w:r>
    </w:p>
    <w:p w14:paraId="5FFC8534"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авиационном заводе в предместье Парижа вспыхнула забастовка. Французские рабочие потребовали убрать с завода всех мастеров-немцев. Администрация отказалась вступить в переговоры с бастующими. Эсэсовцы арестовали и увезли в концлагерь 400 французов. Несмотря на жестокие преследования, гитлеровцам не удалось сломить волю рабочих. Забастовка продолжается.» (14975).</w:t>
      </w:r>
    </w:p>
    <w:p w14:paraId="758F0B9B" w14:textId="77777777" w:rsidR="00014545" w:rsidRPr="001E2C69" w:rsidRDefault="00014545" w:rsidP="00722885">
      <w:pPr>
        <w:spacing w:after="0" w:line="240" w:lineRule="auto"/>
        <w:jc w:val="both"/>
        <w:rPr>
          <w:rFonts w:ascii="Times New Roman" w:hAnsi="Times New Roman"/>
          <w:color w:val="000000" w:themeColor="text1"/>
          <w:sz w:val="16"/>
          <w:szCs w:val="16"/>
        </w:rPr>
      </w:pPr>
    </w:p>
    <w:p w14:paraId="0BBD32D9"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августа в 1942 году главные силы 4-й немецкой танковой армии вышли в район Абганерово. Войска Северо-Кавказского фронта фронта (Маршал Советского Союза С.М.Будённый) вели бои с главными силами 1-й немецкой танковой армии (наносила удар на Майкоп, форсировала р. Кубань в районе Армавира) и 17-й армии (наступала на Краснодар). Началась Армавиро-Майкопская обронительная операция войск Северо-Кавказского фронта (12, 18, 56-я армии, 1-й отдельный стрелковый корпус, 17-й кавалерийский корпус, 5-я воздушная армия), продолжавшаяся до 17 августа (14975).</w:t>
      </w:r>
    </w:p>
    <w:p w14:paraId="745453EB" w14:textId="77777777" w:rsidR="00014545" w:rsidRPr="001E2C69" w:rsidRDefault="00014545" w:rsidP="00722885">
      <w:pPr>
        <w:spacing w:after="0" w:line="240" w:lineRule="auto"/>
        <w:jc w:val="both"/>
        <w:rPr>
          <w:rFonts w:ascii="Times New Roman" w:hAnsi="Times New Roman"/>
          <w:color w:val="000000" w:themeColor="text1"/>
          <w:sz w:val="16"/>
          <w:szCs w:val="16"/>
        </w:rPr>
      </w:pPr>
    </w:p>
    <w:p w14:paraId="62245B33"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августа в 1942 году под угрозой потери ржевского выступа командование группы армий "Центр" предприняло контрудар из районов Сычевки и Карманово в общем направлении на Погорелое Городище (14975).</w:t>
      </w:r>
    </w:p>
    <w:p w14:paraId="27CBA50C" w14:textId="77777777" w:rsidR="00014545" w:rsidRPr="001E2C69" w:rsidRDefault="00014545" w:rsidP="00722885">
      <w:pPr>
        <w:spacing w:after="0" w:line="240" w:lineRule="auto"/>
        <w:jc w:val="both"/>
        <w:rPr>
          <w:rFonts w:ascii="Times New Roman" w:hAnsi="Times New Roman"/>
          <w:color w:val="000000" w:themeColor="text1"/>
          <w:sz w:val="16"/>
          <w:szCs w:val="16"/>
        </w:rPr>
      </w:pPr>
    </w:p>
    <w:p w14:paraId="4A8777F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августа 1942 л 183 иап к М.Д.Баранов на подступах к Сталинграду в одном бою сбил 4 самолета, причем последний - таранил. Спустился на парашюте. Это была 24 и вскоре стал ГСС (438,854).</w:t>
      </w:r>
    </w:p>
    <w:p w14:paraId="4A11A721" w14:textId="77777777" w:rsidR="00AE7191" w:rsidRPr="001E2C69" w:rsidRDefault="00AE7191" w:rsidP="00722885">
      <w:pPr>
        <w:pStyle w:val="Iauiue"/>
        <w:jc w:val="both"/>
        <w:rPr>
          <w:color w:val="000000" w:themeColor="text1"/>
          <w:sz w:val="16"/>
          <w:szCs w:val="16"/>
        </w:rPr>
      </w:pPr>
    </w:p>
    <w:p w14:paraId="22456E8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августа 1942 в воздушном бою под Котельниковом звено Як-1 под командованием командира звена 183-го иап старшего лейтенанта М.Д. Баранова сражалось с 25 Bf. 109, прикрывавшими Юнкерсы Ju-87. Тогда он лично сбил три Bf. 109 (один из них тараном) и один Ju-87 (плюс в предыдущем вылете один Bf. 109 и два Bf. 109 днем раньше). За эти бои он был удостоен звания Героя Советского Союза. Менее чем за год летчиком было уничтожено 24 вражеских самолета (12048).</w:t>
      </w:r>
    </w:p>
    <w:p w14:paraId="5CAD630B"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2BD7378"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lang w:val="en-US"/>
        </w:rPr>
        <w:t>August 6, 1942: Units of 1.Panzerarmee (von Kleist) cross the Kuban river at Armavir. General Dwight D. Eisenhower is appointed commander-in-chief of Allied forces preparing to invade North Africa (3819).</w:t>
      </w:r>
    </w:p>
    <w:p w14:paraId="3903673C" w14:textId="77777777" w:rsidR="00AE7191" w:rsidRPr="001E2C69" w:rsidRDefault="00AE7191" w:rsidP="00722885">
      <w:pPr>
        <w:pStyle w:val="Iauiue"/>
        <w:jc w:val="both"/>
        <w:rPr>
          <w:color w:val="000000" w:themeColor="text1"/>
          <w:sz w:val="16"/>
          <w:szCs w:val="16"/>
          <w:lang w:val="en-US"/>
        </w:rPr>
      </w:pPr>
    </w:p>
    <w:p w14:paraId="529C3BD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августа 1942 части 1ТГ (фон Клейст) форсировали Кубань у Армавира (3819).</w:t>
      </w:r>
    </w:p>
    <w:p w14:paraId="4EAFBBA8" w14:textId="77777777" w:rsidR="00AE7191" w:rsidRPr="001E2C69" w:rsidRDefault="00AE7191" w:rsidP="00722885">
      <w:pPr>
        <w:pStyle w:val="Iauiue"/>
        <w:jc w:val="both"/>
        <w:rPr>
          <w:color w:val="000000" w:themeColor="text1"/>
          <w:sz w:val="16"/>
          <w:szCs w:val="16"/>
        </w:rPr>
      </w:pPr>
    </w:p>
    <w:p w14:paraId="46BF0A1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августа 1942 немцы захватили Воронеж (2100).</w:t>
      </w:r>
    </w:p>
    <w:p w14:paraId="29F35AC4" w14:textId="77777777" w:rsidR="00AE7191" w:rsidRPr="001E2C69" w:rsidRDefault="00AE7191" w:rsidP="00722885">
      <w:pPr>
        <w:pStyle w:val="Iauiue"/>
        <w:jc w:val="both"/>
        <w:rPr>
          <w:color w:val="000000" w:themeColor="text1"/>
          <w:sz w:val="16"/>
          <w:szCs w:val="16"/>
        </w:rPr>
      </w:pPr>
    </w:p>
    <w:p w14:paraId="77EDEA7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6 - 17 августа 1942 прошла Армавиро-Майкопская операция по обороне и прикрытию района Майкопа и дороги Майкоп-Туапсе в ходе битвы за Кавказ. Сковали силы немцев и это позволило своевременно занять оборону по Тереку, Баксану и на перевалах, прикрывая Грозный, Тбилиси, Баку и Орджоникидзе (2438,62).</w:t>
      </w:r>
    </w:p>
    <w:p w14:paraId="7D47D7B3" w14:textId="77777777" w:rsidR="00AE7191" w:rsidRPr="001E2C69" w:rsidRDefault="00AE7191" w:rsidP="00722885">
      <w:pPr>
        <w:pStyle w:val="Iauiue"/>
        <w:jc w:val="both"/>
        <w:rPr>
          <w:color w:val="000000" w:themeColor="text1"/>
          <w:sz w:val="16"/>
          <w:szCs w:val="16"/>
        </w:rPr>
      </w:pPr>
    </w:p>
    <w:p w14:paraId="482AE889"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6 августа 1942 немецкие войска форсировали Кубань (4962).</w:t>
      </w:r>
    </w:p>
    <w:p w14:paraId="3127A903" w14:textId="77777777" w:rsidR="00AE7191" w:rsidRPr="001E2C69" w:rsidRDefault="00AE7191" w:rsidP="00722885">
      <w:pPr>
        <w:pStyle w:val="Iauiue"/>
        <w:tabs>
          <w:tab w:val="left" w:pos="11199"/>
        </w:tabs>
        <w:jc w:val="both"/>
        <w:rPr>
          <w:color w:val="000000" w:themeColor="text1"/>
          <w:sz w:val="16"/>
          <w:szCs w:val="16"/>
        </w:rPr>
      </w:pPr>
    </w:p>
    <w:p w14:paraId="598B986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6 августа 1942 Военный совет Сталинградского фронта принял постановление «О мероприятиях по противовоздушному обеспечению судоходства на Волге от Астрахани до Саратова». Согласно ему из Сталинградского корпусного района ПВО для вооружения речных судов выделили девять 37-мм орудий, 58 пулеметов и 311 винтовок. Для прикрытия судов были назначены 16 истребителей, базировавшихся во Владимировке и Дубовке. Постановление обязывало на эти же цели выделить не позже 9 августа еще  66 орудий, 170 пулеметов и 30 истребителей. Однако всего этого было недостаточно для ПВО такого большого района. Тем временем бомбардировщики атаковали волжские пристани и корабли, двигавшиеся по реке. Николай Ермаков – в 1942 г. штурман парохода – вспоминал:  «Когда мы пришли в Сталинград, нас хотели поставить под элеватор для загрузки зерном. По потом пришел приказ: перевезти, то есть эвакуировать аэродром. Пас стояло три парохода: „Тургенев“, „Лядов“ и наш. Погрузились мы, и надо было отплывать, но двигатели на нашем пароходе заглохли, и, как мы ни бились, завести не могли. „Тургенев“ и „Лядов“ ушли без нас, а мы заночевали. Утром капитан пришел из радиорубки. Мы смотрим – он белый, как полотно. Спрашиваем его: </w:t>
      </w:r>
    </w:p>
    <w:p w14:paraId="5B61953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  Что с тобой? </w:t>
      </w:r>
    </w:p>
    <w:p w14:paraId="49A6EA0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  Взорвался «Лядов»… </w:t>
      </w:r>
    </w:p>
    <w:p w14:paraId="236CD01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Но вот двигатели нашего парохода заработали, и мы пошли. Стали подходить к месту взрыва парохода «Лядов». Капитан сбавил ход… Все были очень взволнованы и напряжены. Свободные от вахты вышли на палубу. Пароход наш идет очень медленно, мы смотрим по сторонам. Каждую минуту ожидаем взрыва, беспокойство растет. По все же проскочили благополучно. Доплыли до Владимировки – места назначения груза – и тут же занялись разгрузкой. Работали без отдыха: целыми днями разгружали, а ночью скрывались». </w:t>
      </w:r>
    </w:p>
    <w:p w14:paraId="2078732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В небе часто доносился гул моторов и гремели взрывы. После разгрузки пароход, на котором плавал Ермаков, вернулся в Сталинград и пришвартовался у Речного вокзала. Когда погрузка пшеницы была в самом разгаре, начался налет немецкой авиации на город. Одна фугасная бомба взорвалась в 50 м от порта. Далее Ермаков вспоминал:  «Когда кончилась погрузка, директор зернохранилища сказал нам: "Не знаю, какая ваша судьба. Пять пароходов погрузили, и от мин и вражеских бомб все пошли на дно с пшеницей и людьми "». Естественно, подобная информация не улучшила настроения речникам, но вечером судно вновь отправилось вверх по Волге. Корабль дважды подвергался налетам, но все же добрался до места назначения.</w:t>
      </w:r>
    </w:p>
    <w:p w14:paraId="47E7573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Другим судам повезло меньше. В эти дни подорвался на мине и затонул пассажирский пароход «Коммунистка» с четырьмя сотнями пассажиров на борту. Корабль ушел под воду столь стремительно, что большинство людей не успели даже покинуть каюты. В итоге спастись и добраться до берега удалось лишь каждому пятому. Также погибли теплоход «Ильич», грузовой теплоход «Татария» и др. Всего с 25 июля по 10 августа по заминированному участку Волги прошли 302 судна речного флота, из которых 69 подорвались на минах либо были потоплены самолетами, в т.ч. 12 больших пароходов и 19 нефтеналивных судов. Таким образом, затонул каждый четвертый корабль. При этом погибли сотни людей, ушло под воду значительное количество грузов, по реке разлились 115 тыс. т нефтепродуктов! Это был очевидный успех бомбардировочной авиации Люфтваффе (11774).</w:t>
      </w:r>
    </w:p>
    <w:p w14:paraId="110AD3D2"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76CE12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августа 1942 в 02.35 немецкие бомбардировщики совершили налет на железнодорожный узел Балашов. На станцию и прилегающие объекты были сброшены 100 фугасных и осколочных, а также около 200 зажигательных бомб всех калибров. В результате были разрушены вокзал, больница и несколько жилых домов, повреждены железнодорожные пути. Были убиты и ранены 32 человека.</w:t>
      </w:r>
    </w:p>
    <w:p w14:paraId="5706620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Регулярно наносились удары по железнодорожным линиям в Кистендейском, Аркадакском и Салтыковском районах, расположенных в треугольнике Балашов – Ртищево – Аткарск. Руководство Юго-Восточной железной дороги и органы военных сообщений Сталинградского фронта оказались в кризисном положении. Магистрали, и без того имевшие небольшую пропускную способность, были всюду забиты пробками из сотен вагонов и цистерн. Грузооборот увеличивался с каждым днем, и некоторые эшелоны передвигались в среднем по 15—20 км в сутки!</w:t>
      </w:r>
    </w:p>
    <w:p w14:paraId="2AEC27C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Лишь благодаря тому, что как раз в это время железнодорожные войска и спецформирования Наркомата путей сообщения героическими усилиями достроили 150-километровую ветку Петров Вал – Иловля, протянувшуюся вдоль правого берега Волги, обстановка несколько разрядилась. Это позволило организовать круговое одностороннее движение эшелонов по маршруту Балашов – Поворино – Иловля – Петров Вал – Балашов. Теперь, несмотря на регулярные налеты, по этой линии могли проходить по 30—40 поездов в сутки.</w:t>
      </w:r>
    </w:p>
    <w:p w14:paraId="40BEA05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Самолеты-разведчики Люфтваффе быстро зафиксировали это изменение. Сразу же изменилась и тактика бомбардировщиков. Немецкие самолеты стали наносить удары не только по узловым станциям, но и по всему участку дороги от Арчеды до Качалино протяженностью 100 км. Налеты производились с одинаковыми интервалами через каждые 36—48 часов. Восстановление поврежденных сразу во многих местах путей занимало, несмотря на привлечение большого количества людей и техники, не менее 10—12 часов. В результате все это время эшелоны простаивали и вновь создавались большие пробки.</w:t>
      </w:r>
    </w:p>
    <w:p w14:paraId="6C1AC38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Железнодорожники были вынуждены строить вдоль всего полотна укрытия, окопы и землянки для ремонтных бригад, сваливать запасы рельсов, шпал, скреплений. На расстоянии 100 м от дороги в зарослях укрывали строительную технику: трактора, тягачи, автокраны. Кроме постоянных налетов, на работе транспорта сказывались и технические трудности. 273-километровая линия Балашов – Камышин была однопутной и находилась в запущенном состоянии. Старые рельсы, ветхие гнилые шпалы позволяли поездам двигаться со скоростью не более 15—20 км/ч. Постоянно происходили аварии, вагоны то и дело сходили с рельсов. Кроме того, местность вокруг дороги была малонаселенной, на редких станциях отсутствовали тупиковые пути и погрузочные платформы. Поэтому сошедшие с путей вагоны и вышедшие из строя паровозы приходилось просто сталкивать в кювет. Зато машинисты, проезжая по этому участку, могли перевести дух, т.к. немецкие самолеты пока появлялись здесь достаточно редко.</w:t>
      </w:r>
    </w:p>
    <w:p w14:paraId="59CD327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Северо-восточнее, по западному берегу Волги, спешно строились еще две железнодорожных ветки: Сызрань – Саратов и далее от Саратова до Петрова Вала. Одновременно с этим на юге была спешно введена в строй еще одна, почти 350-километровая, железнодорожная ветка Кизляр – Астрахань. Однопутную линию проложили по берегу Каспийского моря с целью ускорить вывоз грозненской нефти в центральные районы СССР. Поскольку мост через Волгу в Астрахани построить не успели, пришлось организовать здесь паромную переправу, а затем и наплавной железнодорожный мост.</w:t>
      </w:r>
    </w:p>
    <w:p w14:paraId="3016FB3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Тем временем удары авиации следовали каждый день. 15 августа около 07.00 по берлинскому времени «Хейнкели» из II./KG27 совершили налет на железнодорожную линию Поворино – Иловля. При этом 6-я эскадрилья атаковала станцию Фролово, а 5-я эскадрилья – станцию Раковка. «Хейнкели» были атакованы «восьмеркой» И-16, и в результате два Не-111H-6 – «1G+FP»h «1G+JN» – получили попадания, два члена их экипажей – обер-ефрейтор Курт Лауэр и унтер-офицер Вилли Хей – были ранены. Тем не менее в 10.25 все самолеты благополучно приземлились в Кутейниково. Согласно немецким данным, огнем бортстрелков были сбиты два истребителя. На следующий день группа совершила налет на ж/д станцию Михайловка. Бомбардировщики снова встретились с советскими истребителями, и на Не-111H-6 «1G+KM» из 4-й эскадрильи был ранен бортмеханик обер-фельдфебель Ханс Хаас.</w:t>
      </w:r>
    </w:p>
    <w:p w14:paraId="7CAF647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20 августа «Хейнкели» из II./KG27, взлетев с аэродрома в Кутейниково и преодолев расстояние в 450 км, атаковали железнодорожную линию Иловля – Камышин. При этом Не-11 Ш-6 «1G+HP» из 6-й эскадрильи был сбит огнем зенитной артиллерии и упал в шести километрах северо-восточнее Иловли. О дальнейшей судьбе пяти членов его экипажа во главе с фельдфебелем Фритцем Гарбенсом ничего не известно, и они считаются пропавшими без вести.</w:t>
      </w:r>
    </w:p>
    <w:p w14:paraId="6FADDEA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На следующий день налет повторился. На сей раз «Хейнкели» были атакованы группой из восьми – десяти истребителей МиГ-3, которым удалось обстрелять бомбардировщик лейтенанта Эдуарда Скрципека из 5./KG27. В результате пилот и штурман унтер-офицер Эрнст Гольдхаммер получили ранения, однако им все же удалось оторваться от преследователей и вернуться на аэродром.</w:t>
      </w:r>
    </w:p>
    <w:p w14:paraId="7C439A2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августа бомбардировке подверглась железнодорожная линия Балашов – Камышин. В результате были частично разрушены станции Елань и Самойловка. «Хейнкели» из III./KG27 сбрасывали бомбы с малой высоты, и в результате один самолет был сильно поврежден зенитным огнем, но все же смог дотянуть до аэродрома в Курске и благополучно приземлиться (11774).</w:t>
      </w:r>
    </w:p>
    <w:p w14:paraId="487D1917"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238623F"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481DCB06" w14:textId="77777777" w:rsidR="00AE7191" w:rsidRPr="001E2C69" w:rsidRDefault="00AE7191" w:rsidP="00722885">
      <w:pPr>
        <w:pStyle w:val="Iauiue"/>
        <w:jc w:val="both"/>
        <w:rPr>
          <w:iCs/>
          <w:color w:val="000000" w:themeColor="text1"/>
          <w:sz w:val="16"/>
          <w:szCs w:val="16"/>
        </w:rPr>
      </w:pPr>
    </w:p>
    <w:p w14:paraId="3A02919B"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6 августа 1942 Англия официально разорвала Мюнхенские соглашения (4962).</w:t>
      </w:r>
    </w:p>
    <w:p w14:paraId="0F98AB6C" w14:textId="77777777" w:rsidR="00AE7191" w:rsidRPr="001E2C69" w:rsidRDefault="00AE7191" w:rsidP="00722885">
      <w:pPr>
        <w:pStyle w:val="Iauiue"/>
        <w:tabs>
          <w:tab w:val="left" w:pos="11199"/>
        </w:tabs>
        <w:jc w:val="both"/>
        <w:rPr>
          <w:color w:val="000000" w:themeColor="text1"/>
          <w:sz w:val="16"/>
          <w:szCs w:val="16"/>
        </w:rPr>
      </w:pPr>
    </w:p>
    <w:p w14:paraId="6EF505F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августа 1942 г Эйзенхауэр был назначен главнокомандующим союзными силами в операции Торч (3186).</w:t>
      </w:r>
    </w:p>
    <w:p w14:paraId="48F34D6B" w14:textId="77777777" w:rsidR="00AE7191" w:rsidRPr="001E2C69" w:rsidRDefault="00AE7191" w:rsidP="00722885">
      <w:pPr>
        <w:pStyle w:val="Iauiue"/>
        <w:jc w:val="both"/>
        <w:rPr>
          <w:color w:val="000000" w:themeColor="text1"/>
          <w:sz w:val="16"/>
          <w:szCs w:val="16"/>
        </w:rPr>
      </w:pPr>
    </w:p>
    <w:p w14:paraId="38EDD69E"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174F2F96" w14:textId="77777777" w:rsidR="00AE7191" w:rsidRPr="001E2C69" w:rsidRDefault="00AE7191" w:rsidP="00722885">
      <w:pPr>
        <w:pStyle w:val="Iauiue"/>
        <w:jc w:val="both"/>
        <w:rPr>
          <w:iCs/>
          <w:color w:val="000000" w:themeColor="text1"/>
          <w:sz w:val="16"/>
          <w:szCs w:val="16"/>
        </w:rPr>
      </w:pPr>
    </w:p>
    <w:p w14:paraId="53E14C3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начале августа 1942 бригинженер П.Я. Федрови по поручению на</w:t>
      </w:r>
      <w:r w:rsidRPr="001E2C69">
        <w:rPr>
          <w:rFonts w:ascii="Times New Roman" w:hAnsi="Times New Roman"/>
          <w:color w:val="000000" w:themeColor="text1"/>
          <w:sz w:val="16"/>
          <w:szCs w:val="16"/>
        </w:rPr>
        <w:softHyphen/>
        <w:t>чальник Инспекции ВВС КА полков</w:t>
      </w:r>
      <w:r w:rsidRPr="001E2C69">
        <w:rPr>
          <w:rFonts w:ascii="Times New Roman" w:hAnsi="Times New Roman"/>
          <w:color w:val="000000" w:themeColor="text1"/>
          <w:sz w:val="16"/>
          <w:szCs w:val="16"/>
        </w:rPr>
        <w:softHyphen/>
        <w:t>ника В.И. Сталин докладывал:</w:t>
      </w:r>
    </w:p>
    <w:p w14:paraId="0535685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«Облетанный мною в 434 полку на Люберецком аэродроме серийный самолет ЛАГ-5 М-82 является более устойчивым и улучшенным по техни</w:t>
      </w:r>
      <w:r w:rsidRPr="001E2C69">
        <w:rPr>
          <w:rFonts w:ascii="Times New Roman" w:hAnsi="Times New Roman"/>
          <w:color w:val="000000" w:themeColor="text1"/>
          <w:sz w:val="16"/>
          <w:szCs w:val="16"/>
        </w:rPr>
        <w:softHyphen/>
        <w:t>ке пилотирования в сравнении с само</w:t>
      </w:r>
      <w:r w:rsidRPr="001E2C69">
        <w:rPr>
          <w:rFonts w:ascii="Times New Roman" w:hAnsi="Times New Roman"/>
          <w:color w:val="000000" w:themeColor="text1"/>
          <w:sz w:val="16"/>
          <w:szCs w:val="16"/>
        </w:rPr>
        <w:softHyphen/>
        <w:t>летом ЛАГГ-3 М-105 и имеет более высокие скорости.</w:t>
      </w:r>
    </w:p>
    <w:p w14:paraId="6CF1B33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Осмотром и облетом самолета ЛАГ-5 установлено, что наряду с улуч</w:t>
      </w:r>
      <w:r w:rsidRPr="001E2C69">
        <w:rPr>
          <w:rFonts w:ascii="Times New Roman" w:hAnsi="Times New Roman"/>
          <w:color w:val="000000" w:themeColor="text1"/>
          <w:sz w:val="16"/>
          <w:szCs w:val="16"/>
        </w:rPr>
        <w:softHyphen/>
        <w:t>шением самолет имеет крупные кон</w:t>
      </w:r>
      <w:r w:rsidRPr="001E2C69">
        <w:rPr>
          <w:rFonts w:ascii="Times New Roman" w:hAnsi="Times New Roman"/>
          <w:color w:val="000000" w:themeColor="text1"/>
          <w:sz w:val="16"/>
          <w:szCs w:val="16"/>
        </w:rPr>
        <w:softHyphen/>
        <w:t>структивные и производственные де</w:t>
      </w:r>
      <w:r w:rsidRPr="001E2C69">
        <w:rPr>
          <w:rFonts w:ascii="Times New Roman" w:hAnsi="Times New Roman"/>
          <w:color w:val="000000" w:themeColor="text1"/>
          <w:sz w:val="16"/>
          <w:szCs w:val="16"/>
        </w:rPr>
        <w:softHyphen/>
        <w:t>фекты, которые характеризуют само</w:t>
      </w:r>
      <w:r w:rsidRPr="001E2C69">
        <w:rPr>
          <w:rFonts w:ascii="Times New Roman" w:hAnsi="Times New Roman"/>
          <w:color w:val="000000" w:themeColor="text1"/>
          <w:sz w:val="16"/>
          <w:szCs w:val="16"/>
        </w:rPr>
        <w:softHyphen/>
        <w:t>лет ЛАГ-5 М-82, как недоведенный до степени нормальной эксплоатации.</w:t>
      </w:r>
    </w:p>
    <w:p w14:paraId="0F743ED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Качество производственного выпол</w:t>
      </w:r>
      <w:r w:rsidRPr="001E2C69">
        <w:rPr>
          <w:rFonts w:ascii="Times New Roman" w:hAnsi="Times New Roman"/>
          <w:color w:val="000000" w:themeColor="text1"/>
          <w:sz w:val="16"/>
          <w:szCs w:val="16"/>
        </w:rPr>
        <w:softHyphen/>
        <w:t>нения самолета, подгонка и отладка отдельных агрегатов стоят не на дол</w:t>
      </w:r>
      <w:r w:rsidRPr="001E2C69">
        <w:rPr>
          <w:rFonts w:ascii="Times New Roman" w:hAnsi="Times New Roman"/>
          <w:color w:val="000000" w:themeColor="text1"/>
          <w:sz w:val="16"/>
          <w:szCs w:val="16"/>
        </w:rPr>
        <w:softHyphen/>
        <w:t>жной высоте и затрудняют эксплоа-тацию самолета, тем самым понижая его боеспособность.</w:t>
      </w:r>
    </w:p>
    <w:p w14:paraId="799C52A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Совершенно неудовлетворительный монтаж рычагов управления мотором, шасси, закрылков, юбками капота мо</w:t>
      </w:r>
      <w:r w:rsidRPr="001E2C69">
        <w:rPr>
          <w:rFonts w:ascii="Times New Roman" w:hAnsi="Times New Roman"/>
          <w:color w:val="000000" w:themeColor="text1"/>
          <w:sz w:val="16"/>
          <w:szCs w:val="16"/>
        </w:rPr>
        <w:softHyphen/>
        <w:t>тора, триммером руля высоты, надвиж</w:t>
      </w:r>
      <w:r w:rsidRPr="001E2C69">
        <w:rPr>
          <w:rFonts w:ascii="Times New Roman" w:hAnsi="Times New Roman"/>
          <w:color w:val="000000" w:themeColor="text1"/>
          <w:sz w:val="16"/>
          <w:szCs w:val="16"/>
        </w:rPr>
        <w:softHyphen/>
        <w:t>ного фонаря, которые обременяют летчика, требуют от него повышенно</w:t>
      </w:r>
      <w:r w:rsidRPr="001E2C69">
        <w:rPr>
          <w:rFonts w:ascii="Times New Roman" w:hAnsi="Times New Roman"/>
          <w:color w:val="000000" w:themeColor="text1"/>
          <w:sz w:val="16"/>
          <w:szCs w:val="16"/>
        </w:rPr>
        <w:softHyphen/>
        <w:t>го внимания, а кнопки механизма вы</w:t>
      </w:r>
      <w:r w:rsidRPr="001E2C69">
        <w:rPr>
          <w:rFonts w:ascii="Times New Roman" w:hAnsi="Times New Roman"/>
          <w:color w:val="000000" w:themeColor="text1"/>
          <w:sz w:val="16"/>
          <w:szCs w:val="16"/>
        </w:rPr>
        <w:softHyphen/>
        <w:t>пуска шасси и закрылков принужда</w:t>
      </w:r>
      <w:r w:rsidRPr="001E2C69">
        <w:rPr>
          <w:rFonts w:ascii="Times New Roman" w:hAnsi="Times New Roman"/>
          <w:color w:val="000000" w:themeColor="text1"/>
          <w:sz w:val="16"/>
          <w:szCs w:val="16"/>
        </w:rPr>
        <w:softHyphen/>
        <w:t>ют летчика брать с собой в полет инструмент (плоскогубцы или рекомен</w:t>
      </w:r>
      <w:r w:rsidRPr="001E2C69">
        <w:rPr>
          <w:rFonts w:ascii="Times New Roman" w:hAnsi="Times New Roman"/>
          <w:color w:val="000000" w:themeColor="text1"/>
          <w:sz w:val="16"/>
          <w:szCs w:val="16"/>
        </w:rPr>
        <w:softHyphen/>
        <w:t>дованную заводом отмычку} для уст</w:t>
      </w:r>
      <w:r w:rsidRPr="001E2C69">
        <w:rPr>
          <w:rFonts w:ascii="Times New Roman" w:hAnsi="Times New Roman"/>
          <w:color w:val="000000" w:themeColor="text1"/>
          <w:sz w:val="16"/>
          <w:szCs w:val="16"/>
        </w:rPr>
        <w:softHyphen/>
        <w:t>ранения заедания в гнездах кнопок управления этими агрегатами в воз</w:t>
      </w:r>
      <w:r w:rsidRPr="001E2C69">
        <w:rPr>
          <w:rFonts w:ascii="Times New Roman" w:hAnsi="Times New Roman"/>
          <w:color w:val="000000" w:themeColor="text1"/>
          <w:sz w:val="16"/>
          <w:szCs w:val="16"/>
        </w:rPr>
        <w:softHyphen/>
        <w:t>духе.</w:t>
      </w:r>
    </w:p>
    <w:p w14:paraId="7D1C2E4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Сектора управления мотором на взлете и при скорости выше сред</w:t>
      </w:r>
      <w:r w:rsidRPr="001E2C69">
        <w:rPr>
          <w:rFonts w:ascii="Times New Roman" w:hAnsi="Times New Roman"/>
          <w:color w:val="000000" w:themeColor="text1"/>
          <w:sz w:val="16"/>
          <w:szCs w:val="16"/>
        </w:rPr>
        <w:softHyphen/>
        <w:t>ней произвольно отходят назад, а зас</w:t>
      </w:r>
      <w:r w:rsidRPr="001E2C69">
        <w:rPr>
          <w:rFonts w:ascii="Times New Roman" w:hAnsi="Times New Roman"/>
          <w:color w:val="000000" w:themeColor="text1"/>
          <w:sz w:val="16"/>
          <w:szCs w:val="16"/>
        </w:rPr>
        <w:softHyphen/>
        <w:t>лонка карбюратора прикрывается независимо от желания летчика.</w:t>
      </w:r>
    </w:p>
    <w:p w14:paraId="3D294B9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Закрылки работают ненадежно, а посадка без закрылков является бо</w:t>
      </w:r>
      <w:r w:rsidRPr="001E2C69">
        <w:rPr>
          <w:rFonts w:ascii="Times New Roman" w:hAnsi="Times New Roman"/>
          <w:color w:val="000000" w:themeColor="text1"/>
          <w:sz w:val="16"/>
          <w:szCs w:val="16"/>
        </w:rPr>
        <w:softHyphen/>
        <w:t>лее тяжелой и нежелательной для самолета.</w:t>
      </w:r>
    </w:p>
    <w:p w14:paraId="7444BC6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Мотор на малом газе, во время планирования, работает неустойчиво, на посадке и пробеге, независимо от летчика, мотор имеет повышенные обороты.</w:t>
      </w:r>
    </w:p>
    <w:p w14:paraId="0BFDE87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Низкое качество производственного выполнения самолета подтверждает</w:t>
      </w:r>
      <w:r w:rsidRPr="001E2C69">
        <w:rPr>
          <w:rFonts w:ascii="Times New Roman" w:hAnsi="Times New Roman"/>
          <w:color w:val="000000" w:themeColor="text1"/>
          <w:sz w:val="16"/>
          <w:szCs w:val="16"/>
        </w:rPr>
        <w:softHyphen/>
        <w:t>ся тем, что за короткий (2-3 дня) пери</w:t>
      </w:r>
      <w:r w:rsidRPr="001E2C69">
        <w:rPr>
          <w:rFonts w:ascii="Times New Roman" w:hAnsi="Times New Roman"/>
          <w:color w:val="000000" w:themeColor="text1"/>
          <w:sz w:val="16"/>
          <w:szCs w:val="16"/>
        </w:rPr>
        <w:softHyphen/>
        <w:t>од эксплоатации у самолета разбол</w:t>
      </w:r>
      <w:r w:rsidRPr="001E2C69">
        <w:rPr>
          <w:rFonts w:ascii="Times New Roman" w:hAnsi="Times New Roman"/>
          <w:color w:val="000000" w:themeColor="text1"/>
          <w:sz w:val="16"/>
          <w:szCs w:val="16"/>
        </w:rPr>
        <w:softHyphen/>
        <w:t>тался фонарь, остекление и потрес</w:t>
      </w:r>
      <w:r w:rsidRPr="001E2C69">
        <w:rPr>
          <w:rFonts w:ascii="Times New Roman" w:hAnsi="Times New Roman"/>
          <w:color w:val="000000" w:themeColor="text1"/>
          <w:sz w:val="16"/>
          <w:szCs w:val="16"/>
        </w:rPr>
        <w:softHyphen/>
        <w:t>кались капоты, хотя полетов на боль</w:t>
      </w:r>
      <w:r w:rsidRPr="001E2C69">
        <w:rPr>
          <w:rFonts w:ascii="Times New Roman" w:hAnsi="Times New Roman"/>
          <w:color w:val="000000" w:themeColor="text1"/>
          <w:sz w:val="16"/>
          <w:szCs w:val="16"/>
        </w:rPr>
        <w:softHyphen/>
        <w:t>ших скоростях еще не было, а также появляется ряд мелких дефектов, из-за которых прекращаются полеты.</w:t>
      </w:r>
    </w:p>
    <w:p w14:paraId="26CBAD5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летном отношении самолет ЛАГ-5, хотя и имеет по сравнению с ЛАГГ-3 улучшения, но боевые свойства его, маневренность и управляемость на</w:t>
      </w:r>
      <w:r w:rsidRPr="001E2C69">
        <w:rPr>
          <w:rFonts w:ascii="Times New Roman" w:hAnsi="Times New Roman"/>
          <w:color w:val="000000" w:themeColor="text1"/>
          <w:sz w:val="16"/>
          <w:szCs w:val="16"/>
        </w:rPr>
        <w:softHyphen/>
        <w:t>ходятся не выше уровня, чем у само</w:t>
      </w:r>
      <w:r w:rsidRPr="001E2C69">
        <w:rPr>
          <w:rFonts w:ascii="Times New Roman" w:hAnsi="Times New Roman"/>
          <w:color w:val="000000" w:themeColor="text1"/>
          <w:sz w:val="16"/>
          <w:szCs w:val="16"/>
        </w:rPr>
        <w:softHyphen/>
        <w:t>лета МИГ.</w:t>
      </w:r>
    </w:p>
    <w:p w14:paraId="6EC5BE7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скоростям и скороподъемности ЛАГ-5 М-82 имеет небольшое пре</w:t>
      </w:r>
      <w:r w:rsidRPr="001E2C69">
        <w:rPr>
          <w:rFonts w:ascii="Times New Roman" w:hAnsi="Times New Roman"/>
          <w:color w:val="000000" w:themeColor="text1"/>
          <w:sz w:val="16"/>
          <w:szCs w:val="16"/>
        </w:rPr>
        <w:softHyphen/>
        <w:t>имущество перед ЯК-7 М-105Ф, но горизонтальная и вертикальная ма</w:t>
      </w:r>
      <w:r w:rsidRPr="001E2C69">
        <w:rPr>
          <w:rFonts w:ascii="Times New Roman" w:hAnsi="Times New Roman"/>
          <w:color w:val="000000" w:themeColor="text1"/>
          <w:sz w:val="16"/>
          <w:szCs w:val="16"/>
        </w:rPr>
        <w:softHyphen/>
        <w:t>невренность значительно ниже пос</w:t>
      </w:r>
      <w:r w:rsidRPr="001E2C69">
        <w:rPr>
          <w:rFonts w:ascii="Times New Roman" w:hAnsi="Times New Roman"/>
          <w:color w:val="000000" w:themeColor="text1"/>
          <w:sz w:val="16"/>
          <w:szCs w:val="16"/>
        </w:rPr>
        <w:softHyphen/>
        <w:t>леднего. Следует отметить, что снять максимальную скорость в маневрен</w:t>
      </w:r>
      <w:r w:rsidRPr="001E2C69">
        <w:rPr>
          <w:rFonts w:ascii="Times New Roman" w:hAnsi="Times New Roman"/>
          <w:color w:val="000000" w:themeColor="text1"/>
          <w:sz w:val="16"/>
          <w:szCs w:val="16"/>
        </w:rPr>
        <w:softHyphen/>
        <w:t>ном полете весьма затруднительно, так как для этого следует прикрыть юбки капота мотора, управление которыми очень тяжелое.</w:t>
      </w:r>
    </w:p>
    <w:p w14:paraId="3328CF9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Во время полета с полностью зак</w:t>
      </w:r>
      <w:r w:rsidRPr="001E2C69">
        <w:rPr>
          <w:rFonts w:ascii="Times New Roman" w:hAnsi="Times New Roman"/>
          <w:color w:val="000000" w:themeColor="text1"/>
          <w:sz w:val="16"/>
          <w:szCs w:val="16"/>
        </w:rPr>
        <w:softHyphen/>
        <w:t>рытой юбкой капота мотора и зас</w:t>
      </w:r>
      <w:r w:rsidRPr="001E2C69">
        <w:rPr>
          <w:rFonts w:ascii="Times New Roman" w:hAnsi="Times New Roman"/>
          <w:color w:val="000000" w:themeColor="text1"/>
          <w:sz w:val="16"/>
          <w:szCs w:val="16"/>
        </w:rPr>
        <w:softHyphen/>
        <w:t>лонкой маслорадиатора, горизонталь</w:t>
      </w:r>
      <w:r w:rsidRPr="001E2C69">
        <w:rPr>
          <w:rFonts w:ascii="Times New Roman" w:hAnsi="Times New Roman"/>
          <w:color w:val="000000" w:themeColor="text1"/>
          <w:sz w:val="16"/>
          <w:szCs w:val="16"/>
        </w:rPr>
        <w:softHyphen/>
        <w:t>ная скорость у земли по прибору не превышает 460-465 км/ч. Набор вы</w:t>
      </w:r>
      <w:r w:rsidRPr="001E2C69">
        <w:rPr>
          <w:rFonts w:ascii="Times New Roman" w:hAnsi="Times New Roman"/>
          <w:color w:val="000000" w:themeColor="text1"/>
          <w:sz w:val="16"/>
          <w:szCs w:val="16"/>
        </w:rPr>
        <w:softHyphen/>
        <w:t>соты на боевом развороте с макси</w:t>
      </w:r>
      <w:r w:rsidRPr="001E2C69">
        <w:rPr>
          <w:rFonts w:ascii="Times New Roman" w:hAnsi="Times New Roman"/>
          <w:color w:val="000000" w:themeColor="text1"/>
          <w:sz w:val="16"/>
          <w:szCs w:val="16"/>
        </w:rPr>
        <w:softHyphen/>
        <w:t>мально-горизонтальной до эволютив-ной (250 км/ч) скоростей достигает 800 метров. Время виража - 23-24 сек, а восьмерки 52-54 сек.</w:t>
      </w:r>
    </w:p>
    <w:p w14:paraId="3FB0D78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Предкрылки работают удовлетво</w:t>
      </w:r>
      <w:r w:rsidRPr="001E2C69">
        <w:rPr>
          <w:rFonts w:ascii="Times New Roman" w:hAnsi="Times New Roman"/>
          <w:color w:val="000000" w:themeColor="text1"/>
          <w:sz w:val="16"/>
          <w:szCs w:val="16"/>
        </w:rPr>
        <w:softHyphen/>
        <w:t>рительно, хотя на парашютировании и открываются не одновременно: правый на скорости 220 км/ч, а ле</w:t>
      </w:r>
      <w:r w:rsidRPr="001E2C69">
        <w:rPr>
          <w:rFonts w:ascii="Times New Roman" w:hAnsi="Times New Roman"/>
          <w:color w:val="000000" w:themeColor="text1"/>
          <w:sz w:val="16"/>
          <w:szCs w:val="16"/>
        </w:rPr>
        <w:softHyphen/>
        <w:t>вый на 200 км/ч.</w:t>
      </w:r>
    </w:p>
    <w:p w14:paraId="7E484F2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Скорость на парашютировании с прикрытым мотором доводилась до 170 км/ч, и при этом срыва в штопор или сваливания на крыло не наблю</w:t>
      </w:r>
      <w:r w:rsidRPr="001E2C69">
        <w:rPr>
          <w:rFonts w:ascii="Times New Roman" w:hAnsi="Times New Roman"/>
          <w:color w:val="000000" w:themeColor="text1"/>
          <w:sz w:val="16"/>
          <w:szCs w:val="16"/>
        </w:rPr>
        <w:softHyphen/>
        <w:t>далась (тряска мотора на малом газе не позволяла уменьшить скорость парашютирования до срыва).</w:t>
      </w:r>
    </w:p>
    <w:p w14:paraId="3712269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Самолет на планировании при от</w:t>
      </w:r>
      <w:r w:rsidRPr="001E2C69">
        <w:rPr>
          <w:rFonts w:ascii="Times New Roman" w:hAnsi="Times New Roman"/>
          <w:color w:val="000000" w:themeColor="text1"/>
          <w:sz w:val="16"/>
          <w:szCs w:val="16"/>
        </w:rPr>
        <w:softHyphen/>
        <w:t>крытых закрылках и при закрытых ве</w:t>
      </w:r>
      <w:r w:rsidRPr="001E2C69">
        <w:rPr>
          <w:rFonts w:ascii="Times New Roman" w:hAnsi="Times New Roman"/>
          <w:color w:val="000000" w:themeColor="text1"/>
          <w:sz w:val="16"/>
          <w:szCs w:val="16"/>
        </w:rPr>
        <w:softHyphen/>
        <w:t>дет себя нормально. Открытие зак</w:t>
      </w:r>
      <w:r w:rsidRPr="001E2C69">
        <w:rPr>
          <w:rFonts w:ascii="Times New Roman" w:hAnsi="Times New Roman"/>
          <w:color w:val="000000" w:themeColor="text1"/>
          <w:sz w:val="16"/>
          <w:szCs w:val="16"/>
        </w:rPr>
        <w:softHyphen/>
        <w:t>рылков вызывает пикирующий момент (самолет опускает нос и висит на ручке).</w:t>
      </w:r>
    </w:p>
    <w:p w14:paraId="4E60814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Приземление и посадка самолета не сложны, особенностей не имеют, а пробег при торможении колес отно</w:t>
      </w:r>
      <w:r w:rsidRPr="001E2C69">
        <w:rPr>
          <w:rFonts w:ascii="Times New Roman" w:hAnsi="Times New Roman"/>
          <w:color w:val="000000" w:themeColor="text1"/>
          <w:sz w:val="16"/>
          <w:szCs w:val="16"/>
        </w:rPr>
        <w:softHyphen/>
        <w:t>сительно небольшой.</w:t>
      </w:r>
    </w:p>
    <w:p w14:paraId="674D0AC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Заключение:</w:t>
      </w:r>
    </w:p>
    <w:p w14:paraId="11A3BA7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Самолет ЛАГ-5 М-82 по сравне</w:t>
      </w:r>
      <w:r w:rsidRPr="001E2C69">
        <w:rPr>
          <w:rFonts w:ascii="Times New Roman" w:hAnsi="Times New Roman"/>
          <w:color w:val="000000" w:themeColor="text1"/>
          <w:sz w:val="16"/>
          <w:szCs w:val="16"/>
        </w:rPr>
        <w:softHyphen/>
        <w:t>нию с самолетом ЛАГГ-3 М-105 име</w:t>
      </w:r>
      <w:r w:rsidRPr="001E2C69">
        <w:rPr>
          <w:rFonts w:ascii="Times New Roman" w:hAnsi="Times New Roman"/>
          <w:color w:val="000000" w:themeColor="text1"/>
          <w:sz w:val="16"/>
          <w:szCs w:val="16"/>
        </w:rPr>
        <w:softHyphen/>
        <w:t>ет более лучшие летно-тактические данные.</w:t>
      </w:r>
    </w:p>
    <w:p w14:paraId="5135C50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Винтомоторная группа, механизмы управления шасси и закрылками до условий нормальной эксплоатации не доведены. Самолет имеет много про</w:t>
      </w:r>
      <w:r w:rsidRPr="001E2C69">
        <w:rPr>
          <w:rFonts w:ascii="Times New Roman" w:hAnsi="Times New Roman"/>
          <w:color w:val="000000" w:themeColor="text1"/>
          <w:sz w:val="16"/>
          <w:szCs w:val="16"/>
        </w:rPr>
        <w:softHyphen/>
        <w:t>изводственных и конструктивных де</w:t>
      </w:r>
      <w:r w:rsidRPr="001E2C69">
        <w:rPr>
          <w:rFonts w:ascii="Times New Roman" w:hAnsi="Times New Roman"/>
          <w:color w:val="000000" w:themeColor="text1"/>
          <w:sz w:val="16"/>
          <w:szCs w:val="16"/>
        </w:rPr>
        <w:softHyphen/>
        <w:t>фектов, требующих немедленного ус</w:t>
      </w:r>
      <w:r w:rsidRPr="001E2C69">
        <w:rPr>
          <w:rFonts w:ascii="Times New Roman" w:hAnsi="Times New Roman"/>
          <w:color w:val="000000" w:themeColor="text1"/>
          <w:sz w:val="16"/>
          <w:szCs w:val="16"/>
        </w:rPr>
        <w:softHyphen/>
        <w:t>транения.</w:t>
      </w:r>
    </w:p>
    <w:p w14:paraId="16D41D7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Самолет ЛАГ-5 М-82 в сравнении с самолетом ЯК-7 М-105Ф имеет по</w:t>
      </w:r>
      <w:r w:rsidRPr="001E2C69">
        <w:rPr>
          <w:rFonts w:ascii="Times New Roman" w:hAnsi="Times New Roman"/>
          <w:color w:val="000000" w:themeColor="text1"/>
          <w:sz w:val="16"/>
          <w:szCs w:val="16"/>
        </w:rPr>
        <w:softHyphen/>
        <w:t>чти одинаковые скорости, но значи</w:t>
      </w:r>
      <w:r w:rsidRPr="001E2C69">
        <w:rPr>
          <w:rFonts w:ascii="Times New Roman" w:hAnsi="Times New Roman"/>
          <w:color w:val="000000" w:themeColor="text1"/>
          <w:sz w:val="16"/>
          <w:szCs w:val="16"/>
        </w:rPr>
        <w:softHyphen/>
        <w:t>тельно уступает последнему в верти</w:t>
      </w:r>
      <w:r w:rsidRPr="001E2C69">
        <w:rPr>
          <w:rFonts w:ascii="Times New Roman" w:hAnsi="Times New Roman"/>
          <w:color w:val="000000" w:themeColor="text1"/>
          <w:sz w:val="16"/>
          <w:szCs w:val="16"/>
        </w:rPr>
        <w:softHyphen/>
        <w:t>кальной и горизонтальной маневрен</w:t>
      </w:r>
      <w:r w:rsidRPr="001E2C69">
        <w:rPr>
          <w:rFonts w:ascii="Times New Roman" w:hAnsi="Times New Roman"/>
          <w:color w:val="000000" w:themeColor="text1"/>
          <w:sz w:val="16"/>
          <w:szCs w:val="16"/>
        </w:rPr>
        <w:softHyphen/>
        <w:t>ности. Управляемость самолета ЯК-7 М-105Ф значительно лучше.</w:t>
      </w:r>
    </w:p>
    <w:p w14:paraId="627B577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Самолет ЛАГ-5 для освоения лет</w:t>
      </w:r>
      <w:r w:rsidRPr="001E2C69">
        <w:rPr>
          <w:rFonts w:ascii="Times New Roman" w:hAnsi="Times New Roman"/>
          <w:color w:val="000000" w:themeColor="text1"/>
          <w:sz w:val="16"/>
          <w:szCs w:val="16"/>
        </w:rPr>
        <w:softHyphen/>
        <w:t>ным составом требует значительной тренировки.</w:t>
      </w:r>
    </w:p>
    <w:p w14:paraId="30D7460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Летчики, летавшие на самолетах ЛАГГ-3, должны быстрее освоить са</w:t>
      </w:r>
      <w:r w:rsidRPr="001E2C69">
        <w:rPr>
          <w:rFonts w:ascii="Times New Roman" w:hAnsi="Times New Roman"/>
          <w:color w:val="000000" w:themeColor="text1"/>
          <w:sz w:val="16"/>
          <w:szCs w:val="16"/>
        </w:rPr>
        <w:softHyphen/>
        <w:t>молет ЛАГ-5 М-82 и дать ему луч</w:t>
      </w:r>
      <w:r w:rsidRPr="001E2C69">
        <w:rPr>
          <w:rFonts w:ascii="Times New Roman" w:hAnsi="Times New Roman"/>
          <w:color w:val="000000" w:themeColor="text1"/>
          <w:sz w:val="16"/>
          <w:szCs w:val="16"/>
        </w:rPr>
        <w:softHyphen/>
        <w:t>шую оценку, чем летчики, летающие на других истребителях, которые от</w:t>
      </w:r>
      <w:r w:rsidRPr="001E2C69">
        <w:rPr>
          <w:rFonts w:ascii="Times New Roman" w:hAnsi="Times New Roman"/>
          <w:color w:val="000000" w:themeColor="text1"/>
          <w:sz w:val="16"/>
          <w:szCs w:val="16"/>
        </w:rPr>
        <w:softHyphen/>
        <w:t>рицательно отзовутся об этом само</w:t>
      </w:r>
      <w:r w:rsidRPr="001E2C69">
        <w:rPr>
          <w:rFonts w:ascii="Times New Roman" w:hAnsi="Times New Roman"/>
          <w:color w:val="000000" w:themeColor="text1"/>
          <w:sz w:val="16"/>
          <w:szCs w:val="16"/>
        </w:rPr>
        <w:softHyphen/>
        <w:t>лете».</w:t>
      </w:r>
    </w:p>
    <w:p w14:paraId="4DA62D3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Такая «рекомендация» сделала свое дело, и элитный 434-й ИАП пе</w:t>
      </w:r>
      <w:r w:rsidRPr="001E2C69">
        <w:rPr>
          <w:rFonts w:ascii="Times New Roman" w:hAnsi="Times New Roman"/>
          <w:color w:val="000000" w:themeColor="text1"/>
          <w:sz w:val="16"/>
          <w:szCs w:val="16"/>
        </w:rPr>
        <w:softHyphen/>
        <w:t>ред отправкой под Сталинград был вооружен самолетами Як. Вместо него ЛаГГ-5 2-й и 3-й се</w:t>
      </w:r>
      <w:r w:rsidRPr="001E2C69">
        <w:rPr>
          <w:rFonts w:ascii="Times New Roman" w:hAnsi="Times New Roman"/>
          <w:color w:val="000000" w:themeColor="text1"/>
          <w:sz w:val="16"/>
          <w:szCs w:val="16"/>
        </w:rPr>
        <w:softHyphen/>
        <w:t>рий с моторами М-82 2-й серии по</w:t>
      </w:r>
      <w:r w:rsidRPr="001E2C69">
        <w:rPr>
          <w:rFonts w:ascii="Times New Roman" w:hAnsi="Times New Roman"/>
          <w:color w:val="000000" w:themeColor="text1"/>
          <w:sz w:val="16"/>
          <w:szCs w:val="16"/>
        </w:rPr>
        <w:softHyphen/>
        <w:t>лучили 297, 27, 240, 437, 15-й истреби</w:t>
      </w:r>
      <w:r w:rsidRPr="001E2C69">
        <w:rPr>
          <w:rFonts w:ascii="Times New Roman" w:hAnsi="Times New Roman"/>
          <w:color w:val="000000" w:themeColor="text1"/>
          <w:sz w:val="16"/>
          <w:szCs w:val="16"/>
        </w:rPr>
        <w:softHyphen/>
        <w:t>тельные полки, вошедшие в состав 287-й ИАД 8ВА Сталинградского фронта (10699).</w:t>
      </w:r>
    </w:p>
    <w:p w14:paraId="7B20A8E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2EFCD301" w14:textId="77777777" w:rsidR="005D2990" w:rsidRPr="001E2C69" w:rsidRDefault="005D29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 начале августа 1942 бригинженер П.Я. Федрови докладывал начальнику Инспекции ВВС КА полковнику В.И. Сталин по использованию ЛаГГ-5 в 434 иап майора И.И. Клещева:</w:t>
      </w:r>
    </w:p>
    <w:p w14:paraId="3437979E" w14:textId="77777777" w:rsidR="005D2990" w:rsidRPr="001E2C69" w:rsidRDefault="005D29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«Облётанный мною в 434 полку на Люберецком аэродроме серийный самолет ЛАГ-5 М-82 является более устойчивым и улучшенным по технике пилотирования в сравнении с самолётом ЛАГГ-3 М-105 и имеет более высокие скорости.</w:t>
      </w:r>
    </w:p>
    <w:p w14:paraId="53C06276" w14:textId="77777777" w:rsidR="005D2990" w:rsidRPr="001E2C69" w:rsidRDefault="005D29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Осмотром и облетом самолёта ЛАГ-5 установлено, что наряду с улучшением само</w:t>
      </w:r>
      <w:r w:rsidRPr="001E2C69">
        <w:rPr>
          <w:rFonts w:ascii="Times New Roman" w:cs="Times New Roman"/>
          <w:color w:val="000000" w:themeColor="text1"/>
          <w:spacing w:val="0"/>
        </w:rPr>
        <w:softHyphen/>
        <w:t>лёт имеет крупные конструктивные и производственные дефекты, которые характери</w:t>
      </w:r>
      <w:r w:rsidRPr="001E2C69">
        <w:rPr>
          <w:rFonts w:ascii="Times New Roman" w:cs="Times New Roman"/>
          <w:color w:val="000000" w:themeColor="text1"/>
          <w:spacing w:val="0"/>
        </w:rPr>
        <w:softHyphen/>
        <w:t>зуют самолёт ЛАГ-5 М-82, как недоведенный до степени нормальной эксплуатации.</w:t>
      </w:r>
    </w:p>
    <w:p w14:paraId="168E2F72" w14:textId="77777777" w:rsidR="005D2990" w:rsidRPr="001E2C69" w:rsidRDefault="005D29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Качество производственного выполнения самолёта, подгонка и отладка отдельных аг</w:t>
      </w:r>
      <w:r w:rsidRPr="001E2C69">
        <w:rPr>
          <w:rFonts w:ascii="Times New Roman" w:cs="Times New Roman"/>
          <w:color w:val="000000" w:themeColor="text1"/>
          <w:spacing w:val="0"/>
        </w:rPr>
        <w:softHyphen/>
        <w:t>регатов стоят не на должной высоте и затрудняют эксплуатацию самолёта, тем самым понижая его боеспособность. Совершенно неудовлетворительный монтаж рычагов уп</w:t>
      </w:r>
      <w:r w:rsidRPr="001E2C69">
        <w:rPr>
          <w:rFonts w:ascii="Times New Roman" w:cs="Times New Roman"/>
          <w:color w:val="000000" w:themeColor="text1"/>
          <w:spacing w:val="0"/>
        </w:rPr>
        <w:softHyphen/>
        <w:t>равления мотором, шасси, закрылков, юбками капота мотора, триммером руля высо</w:t>
      </w:r>
      <w:r w:rsidRPr="001E2C69">
        <w:rPr>
          <w:rFonts w:ascii="Times New Roman" w:cs="Times New Roman"/>
          <w:color w:val="000000" w:themeColor="text1"/>
          <w:spacing w:val="0"/>
        </w:rPr>
        <w:softHyphen/>
        <w:t>ты, надвижного фонаря, которые обременяют лётчика, требуют от него повышенного внимания, а кнопки механизма выпуска шасси и закрылков принуждают лётчика брать с собой в полёт инструмент (плоскогубцы или рекомендованную заводом отмычку) для устранения заедания в гнездах кнопок управления этими агрегатами в воздухе.</w:t>
      </w:r>
    </w:p>
    <w:p w14:paraId="67BEF570" w14:textId="77777777" w:rsidR="005D2990" w:rsidRPr="001E2C69" w:rsidRDefault="005D29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Сектора управления мотором на взлёте и при скорости выше средней произвольно от</w:t>
      </w:r>
      <w:r w:rsidRPr="001E2C69">
        <w:rPr>
          <w:rFonts w:ascii="Times New Roman" w:cs="Times New Roman"/>
          <w:color w:val="000000" w:themeColor="text1"/>
          <w:spacing w:val="0"/>
        </w:rPr>
        <w:softHyphen/>
        <w:t>ходят назад, а заслонка карбюратора прикрывается независимо от желания лётчика.</w:t>
      </w:r>
    </w:p>
    <w:p w14:paraId="23DABF67" w14:textId="77777777" w:rsidR="005D2990" w:rsidRPr="001E2C69" w:rsidRDefault="005D29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Закрылки работают ненадежно, а посадка без закрылков является более тяжёлой и нежелательной для самолёта.</w:t>
      </w:r>
    </w:p>
    <w:p w14:paraId="19ED939C" w14:textId="77777777" w:rsidR="005D2990" w:rsidRPr="001E2C69" w:rsidRDefault="005D29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Мотор на малом газе, во время планирования, работает неустойчиво, на посадке и пробеге, независимо от лётчика, мотор имеет повышенные обороты.</w:t>
      </w:r>
    </w:p>
    <w:p w14:paraId="4A447C32" w14:textId="77777777" w:rsidR="005D2990" w:rsidRPr="001E2C69" w:rsidRDefault="005D29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Низкое качество производственного выполнения самолёта подтверждается тем, что за короткий (2-3 дня) период,эксплуатации у самолёта разболтался фонарь, остекление и потрескались капоты, хотя полётов на больших скоростях ещё не было, а также появля</w:t>
      </w:r>
      <w:r w:rsidRPr="001E2C69">
        <w:rPr>
          <w:rFonts w:ascii="Times New Roman" w:cs="Times New Roman"/>
          <w:color w:val="000000" w:themeColor="text1"/>
          <w:spacing w:val="0"/>
        </w:rPr>
        <w:softHyphen/>
        <w:t>ется ряд мелких дефектов, из-за которых прекращаются полёты.</w:t>
      </w:r>
    </w:p>
    <w:p w14:paraId="405D70AB" w14:textId="77777777" w:rsidR="005D2990" w:rsidRPr="001E2C69" w:rsidRDefault="005D29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 лётном отношении самолёт ЛАГ-5, хотя и имеет по сравнению с ЛАГГ-3 улучшения, но боевые свойства его, маневренность и управляемость находятся не выше уровня, чем у самолёта МИГ.</w:t>
      </w:r>
    </w:p>
    <w:p w14:paraId="5BB8162D" w14:textId="77777777" w:rsidR="005D2990" w:rsidRPr="001E2C69" w:rsidRDefault="005D29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По скоростям и скороподъёмности ЛАГ-5 М-82 имеет небольшое преимущество пе</w:t>
      </w:r>
      <w:r w:rsidRPr="001E2C69">
        <w:rPr>
          <w:rFonts w:ascii="Times New Roman" w:cs="Times New Roman"/>
          <w:color w:val="000000" w:themeColor="text1"/>
          <w:spacing w:val="0"/>
        </w:rPr>
        <w:softHyphen/>
        <w:t>ред ЯК-7 М-105Ф, но горизонтальная и вертикальная маневренность значительно ниже последнего. Следует отметить, что снять максимальную скорость в маневренном полёте весьма затруднительно, так как для этого следует прикрыть юбки капота мотора, управ</w:t>
      </w:r>
      <w:r w:rsidRPr="001E2C69">
        <w:rPr>
          <w:rFonts w:ascii="Times New Roman" w:cs="Times New Roman"/>
          <w:color w:val="000000" w:themeColor="text1"/>
          <w:spacing w:val="0"/>
        </w:rPr>
        <w:softHyphen/>
        <w:t>ление которыми очень тяжёлое.</w:t>
      </w:r>
    </w:p>
    <w:p w14:paraId="4037B62E" w14:textId="77777777" w:rsidR="005D2990" w:rsidRPr="001E2C69" w:rsidRDefault="005D29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Во время полёта с полностью закрытой юбкой капота мотора и заслонкой маслорадиатора, горизонтальная скорость у земли по прибору не превышает 460-465 км/ч. Набор высоты на боевом развороте с максимально-горизонтальной до эволютивной (250 км/ч) скоростей достигает 800 метров. Время виража — 23-24 сек, а восьмёрки 52-54 сек.</w:t>
      </w:r>
    </w:p>
    <w:p w14:paraId="3454E9E3" w14:textId="77777777" w:rsidR="005D2990" w:rsidRPr="001E2C69" w:rsidRDefault="005D29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Предкрылки работают удовлетворительно, хотя на парашютировании и открываются не одновременно: правый на скорости 220 км/ч, а левый на 200 км/ч.</w:t>
      </w:r>
    </w:p>
    <w:p w14:paraId="389D87E0" w14:textId="77777777" w:rsidR="005D2990" w:rsidRPr="001E2C69" w:rsidRDefault="005D29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Скорость на парашютировании с прикрытым мотором доводилась до 170 км/ч, и при этом срыва в штопор или сваливания на крыло не наблюдалась (тряска мотора на ма</w:t>
      </w:r>
      <w:r w:rsidRPr="001E2C69">
        <w:rPr>
          <w:rFonts w:ascii="Times New Roman" w:cs="Times New Roman"/>
          <w:color w:val="000000" w:themeColor="text1"/>
          <w:spacing w:val="0"/>
        </w:rPr>
        <w:softHyphen/>
        <w:t>лом газе не позволяла уменьшить скорость парашютирования до срыва).</w:t>
      </w:r>
    </w:p>
    <w:p w14:paraId="0E72711F" w14:textId="77777777" w:rsidR="005D2990" w:rsidRPr="001E2C69" w:rsidRDefault="005D29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Самолёт на планировании при открытых закрылках и при закрытых ведет себя нор</w:t>
      </w:r>
      <w:r w:rsidRPr="001E2C69">
        <w:rPr>
          <w:rFonts w:ascii="Times New Roman" w:cs="Times New Roman"/>
          <w:color w:val="000000" w:themeColor="text1"/>
          <w:spacing w:val="0"/>
        </w:rPr>
        <w:softHyphen/>
        <w:t>мально. Открытие закрылков вызывает пикирующий момент (самолёт опускает нос и висит на ручке). Приземление и посадка самолёта не сложны, особенностей не име</w:t>
      </w:r>
      <w:r w:rsidRPr="001E2C69">
        <w:rPr>
          <w:rFonts w:ascii="Times New Roman" w:cs="Times New Roman"/>
          <w:color w:val="000000" w:themeColor="text1"/>
          <w:spacing w:val="0"/>
        </w:rPr>
        <w:softHyphen/>
        <w:t>ют, а пробег при торможении колес относительно небольшой.</w:t>
      </w:r>
    </w:p>
    <w:p w14:paraId="576A7672" w14:textId="77777777" w:rsidR="005D2990" w:rsidRPr="001E2C69" w:rsidRDefault="005D29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Заключение: Самолёт ЛАГ-5 М-82 по сравнению с самолётом ЛАГГ-3 М-105 имеет более лучшие лётно-тактические данные.</w:t>
      </w:r>
    </w:p>
    <w:p w14:paraId="2A4ED87E" w14:textId="77777777" w:rsidR="005D2990" w:rsidRPr="001E2C69" w:rsidRDefault="005D29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Винтомоторная группа, механизмы управления шасси и закрылками до условий нор</w:t>
      </w:r>
      <w:r w:rsidRPr="001E2C69">
        <w:rPr>
          <w:rFonts w:ascii="Times New Roman" w:cs="Times New Roman"/>
          <w:color w:val="000000" w:themeColor="text1"/>
          <w:spacing w:val="0"/>
        </w:rPr>
        <w:softHyphen/>
        <w:t>мальной эксплуатации не доведены. Самолёт имеет много производственных и конст</w:t>
      </w:r>
      <w:r w:rsidRPr="001E2C69">
        <w:rPr>
          <w:rFonts w:ascii="Times New Roman" w:cs="Times New Roman"/>
          <w:color w:val="000000" w:themeColor="text1"/>
          <w:spacing w:val="0"/>
        </w:rPr>
        <w:softHyphen/>
        <w:t>руктивных дефектов, требующих немедленного устранения.</w:t>
      </w:r>
    </w:p>
    <w:p w14:paraId="2DD434E3" w14:textId="77777777" w:rsidR="005D2990" w:rsidRPr="001E2C69" w:rsidRDefault="005D29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Самолёт ЛАГ-5 М-82 в сравнении с самолётом ЯК-7 М-105Ф имеет почти одинако</w:t>
      </w:r>
      <w:r w:rsidRPr="001E2C69">
        <w:rPr>
          <w:rFonts w:ascii="Times New Roman" w:cs="Times New Roman"/>
          <w:color w:val="000000" w:themeColor="text1"/>
          <w:spacing w:val="0"/>
        </w:rPr>
        <w:softHyphen/>
        <w:t>вые скорости, но значительно уступает последнему в вертикальной и горизонтальной маневренности. Управляемость самолёта ЯК-7 М-105Ф значительно лучше.</w:t>
      </w:r>
    </w:p>
    <w:p w14:paraId="40FDBD82" w14:textId="77777777" w:rsidR="005D2990" w:rsidRPr="001E2C69" w:rsidRDefault="005D29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Самолёт ЛАГ-5 для освоения лётным составом требует значительной тренировки.</w:t>
      </w:r>
    </w:p>
    <w:p w14:paraId="615C0448" w14:textId="77777777" w:rsidR="005D2990" w:rsidRPr="001E2C69" w:rsidRDefault="005D29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Лётчики, летавшие на самолётах ЛАГГ-3, должны быстрее освоить самолёт ЛАГ-5 М-82 и дать ему лучшую оценку, чем лётчики, летающие на других истребителях, ко</w:t>
      </w:r>
      <w:r w:rsidRPr="001E2C69">
        <w:rPr>
          <w:rFonts w:ascii="Times New Roman" w:cs="Times New Roman"/>
          <w:color w:val="000000" w:themeColor="text1"/>
          <w:spacing w:val="0"/>
        </w:rPr>
        <w:softHyphen/>
        <w:t>торые отрицательно отзовутся об этом самолёте».</w:t>
      </w:r>
    </w:p>
    <w:p w14:paraId="221D391E" w14:textId="77777777" w:rsidR="005D2990" w:rsidRPr="001E2C69" w:rsidRDefault="005D29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Такая «рекомендация» сделала свое дело, и элитный 434-й иап перед отправкой под Сталинград вооружили самолётами «Як» (15813).</w:t>
      </w:r>
    </w:p>
    <w:p w14:paraId="5624EA25" w14:textId="77777777" w:rsidR="005D2990" w:rsidRPr="001E2C69" w:rsidRDefault="005D2990" w:rsidP="00722885">
      <w:pPr>
        <w:pStyle w:val="27"/>
        <w:shd w:val="clear" w:color="auto" w:fill="auto"/>
        <w:spacing w:after="0" w:line="240" w:lineRule="auto"/>
        <w:ind w:firstLine="0"/>
        <w:rPr>
          <w:rFonts w:ascii="Times New Roman" w:cs="Times New Roman"/>
          <w:color w:val="000000" w:themeColor="text1"/>
          <w:spacing w:val="0"/>
        </w:rPr>
      </w:pPr>
    </w:p>
    <w:p w14:paraId="61377AC3" w14:textId="77777777" w:rsidR="005D2990" w:rsidRPr="001E2C69" w:rsidRDefault="005D29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 начале и середине августа 1942 ЛаГГ-5 2-й и 3-й серий с моторами М-82 2-й серии получили 297-й, 27-й, 240-й, 437-й и 15-й истребительные полки, вошедшие в состав 287-й иад 8-й ВА Сталинградского фронта и немедленно отправленные под Сталинград. 20 августа 1942 первые из них уже вступили в бой. К этому времени гос</w:t>
      </w:r>
      <w:r w:rsidRPr="001E2C69">
        <w:rPr>
          <w:rFonts w:ascii="Times New Roman" w:cs="Times New Roman"/>
          <w:color w:val="000000" w:themeColor="text1"/>
          <w:spacing w:val="0"/>
        </w:rPr>
        <w:softHyphen/>
        <w:t>подство в воздухе полностью было на стороне люфтваффе. Нашу авиацию прижали к своим аэродромам, все они находились под контролем немецких истребителей, и ни один вылет не проходил не замеченным противником. При взлёте наших истребите</w:t>
      </w:r>
      <w:r w:rsidRPr="001E2C69">
        <w:rPr>
          <w:rFonts w:ascii="Times New Roman" w:cs="Times New Roman"/>
          <w:color w:val="000000" w:themeColor="text1"/>
          <w:spacing w:val="0"/>
        </w:rPr>
        <w:softHyphen/>
        <w:t xml:space="preserve">лей над аэродромом появлялись 4—6—12 </w:t>
      </w:r>
      <w:r w:rsidRPr="001E2C69">
        <w:rPr>
          <w:rFonts w:ascii="Times New Roman" w:cs="Times New Roman"/>
          <w:color w:val="000000" w:themeColor="text1"/>
          <w:spacing w:val="0"/>
          <w:lang w:val="en-US"/>
        </w:rPr>
        <w:t>Bf</w:t>
      </w:r>
      <w:r w:rsidRPr="001E2C69">
        <w:rPr>
          <w:rFonts w:ascii="Times New Roman" w:cs="Times New Roman"/>
          <w:color w:val="000000" w:themeColor="text1"/>
          <w:spacing w:val="0"/>
        </w:rPr>
        <w:t xml:space="preserve"> 109</w:t>
      </w:r>
      <w:r w:rsidRPr="001E2C69">
        <w:rPr>
          <w:rFonts w:ascii="Times New Roman" w:cs="Times New Roman"/>
          <w:color w:val="000000" w:themeColor="text1"/>
          <w:spacing w:val="0"/>
          <w:lang w:val="en-US"/>
        </w:rPr>
        <w:t>F</w:t>
      </w:r>
      <w:r w:rsidRPr="001E2C69">
        <w:rPr>
          <w:rFonts w:ascii="Times New Roman" w:cs="Times New Roman"/>
          <w:color w:val="000000" w:themeColor="text1"/>
          <w:spacing w:val="0"/>
        </w:rPr>
        <w:t xml:space="preserve"> и связывали их воздушным боем.</w:t>
      </w:r>
    </w:p>
    <w:p w14:paraId="286D6535" w14:textId="77777777" w:rsidR="005D2990" w:rsidRPr="001E2C69" w:rsidRDefault="005D29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 таких тяжелейших условиях наспех подготовленные полки несли большие потери. Так, 297 иап с 20 по 25 августа сбил 6 самолётов противника, потеряв 4 своих. 437 иап с 22 по 26 августа сбил 3 и потерял 5, 27 иап с 20 по 26 августа сбил 12 и потерял 7, 240 иап с 20 по 27 августа сбил 10 и потерял 7 самолётов. 2 сентября 1942 г. началь</w:t>
      </w:r>
      <w:r w:rsidRPr="001E2C69">
        <w:rPr>
          <w:rFonts w:ascii="Times New Roman" w:cs="Times New Roman"/>
          <w:color w:val="000000" w:themeColor="text1"/>
          <w:spacing w:val="0"/>
        </w:rPr>
        <w:softHyphen/>
        <w:t>ник воздушно-стрелковой службы ВВС КА генерал-майор Рафалович докладывал за</w:t>
      </w:r>
      <w:r w:rsidRPr="001E2C69">
        <w:rPr>
          <w:rFonts w:ascii="Times New Roman" w:cs="Times New Roman"/>
          <w:color w:val="000000" w:themeColor="text1"/>
          <w:spacing w:val="0"/>
        </w:rPr>
        <w:softHyphen/>
        <w:t>местителю командующего ВВС КА генерал-лейтенанту Г.А. Ворожейкину:</w:t>
      </w:r>
    </w:p>
    <w:p w14:paraId="07D057FB" w14:textId="77777777" w:rsidR="005D2990" w:rsidRPr="001E2C69" w:rsidRDefault="005D29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«Несмотря на большие зарегистрированные победы лётчиков 287 авиадивизии, их мож</w:t>
      </w:r>
      <w:r w:rsidRPr="001E2C69">
        <w:rPr>
          <w:rFonts w:ascii="Times New Roman" w:cs="Times New Roman"/>
          <w:color w:val="000000" w:themeColor="text1"/>
          <w:spacing w:val="0"/>
        </w:rPr>
        <w:softHyphen/>
        <w:t>но было бы иметь больше и меньше нести своих потерь, при условии лучшего освоения лётным составом боевого применения самолёта ЛАГ-5, организованно вступать и вы</w:t>
      </w:r>
      <w:r w:rsidRPr="001E2C69">
        <w:rPr>
          <w:rFonts w:ascii="Times New Roman" w:cs="Times New Roman"/>
          <w:color w:val="000000" w:themeColor="text1"/>
          <w:spacing w:val="0"/>
        </w:rPr>
        <w:softHyphen/>
        <w:t>ходить из воздушного боя, поддерживать товарищей, не выходить из боя одиночным порядком и наладить лучше радиосвязь между самолётами и самолётов с землей» (15813).</w:t>
      </w:r>
    </w:p>
    <w:p w14:paraId="5ECBF4B9" w14:textId="77777777" w:rsidR="005D2990" w:rsidRPr="001E2C69" w:rsidRDefault="005D2990" w:rsidP="00722885">
      <w:pPr>
        <w:pStyle w:val="27"/>
        <w:shd w:val="clear" w:color="auto" w:fill="auto"/>
        <w:spacing w:after="0" w:line="240" w:lineRule="auto"/>
        <w:ind w:firstLine="0"/>
        <w:rPr>
          <w:rFonts w:ascii="Times New Roman" w:cs="Times New Roman"/>
          <w:color w:val="000000" w:themeColor="text1"/>
          <w:spacing w:val="0"/>
        </w:rPr>
      </w:pPr>
    </w:p>
    <w:p w14:paraId="5178546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нача</w:t>
      </w:r>
      <w:r w:rsidRPr="001E2C69">
        <w:rPr>
          <w:rFonts w:ascii="Times New Roman" w:hAnsi="Times New Roman"/>
          <w:color w:val="000000" w:themeColor="text1"/>
          <w:sz w:val="16"/>
          <w:szCs w:val="16"/>
        </w:rPr>
        <w:softHyphen/>
        <w:t>ле и середине августа 1942 297, 27, 240, 437, 15-й истреби</w:t>
      </w:r>
      <w:r w:rsidRPr="001E2C69">
        <w:rPr>
          <w:rFonts w:ascii="Times New Roman" w:hAnsi="Times New Roman"/>
          <w:color w:val="000000" w:themeColor="text1"/>
          <w:sz w:val="16"/>
          <w:szCs w:val="16"/>
        </w:rPr>
        <w:softHyphen/>
        <w:t>тельные полки получали самолеты Ла-5 и немедленно отправлялись под Сталинград. 20 ав</w:t>
      </w:r>
      <w:r w:rsidRPr="001E2C69">
        <w:rPr>
          <w:rFonts w:ascii="Times New Roman" w:hAnsi="Times New Roman"/>
          <w:color w:val="000000" w:themeColor="text1"/>
          <w:sz w:val="16"/>
          <w:szCs w:val="16"/>
        </w:rPr>
        <w:softHyphen/>
        <w:t>густа первые из них уже вступили в бой. К этому времени господство в воздухе полностью было на стороне люфтваффе. Наша авиация была при</w:t>
      </w:r>
      <w:r w:rsidRPr="001E2C69">
        <w:rPr>
          <w:rFonts w:ascii="Times New Roman" w:hAnsi="Times New Roman"/>
          <w:color w:val="000000" w:themeColor="text1"/>
          <w:sz w:val="16"/>
          <w:szCs w:val="16"/>
        </w:rPr>
        <w:softHyphen/>
        <w:t>жата к своим аэродромам, все они находились под контролем немецких истребителей, и ни один вылет не проходил не замеченным противни</w:t>
      </w:r>
      <w:r w:rsidRPr="001E2C69">
        <w:rPr>
          <w:rFonts w:ascii="Times New Roman" w:hAnsi="Times New Roman"/>
          <w:color w:val="000000" w:themeColor="text1"/>
          <w:sz w:val="16"/>
          <w:szCs w:val="16"/>
        </w:rPr>
        <w:softHyphen/>
        <w:t>ком. При взлете наших истребите</w:t>
      </w:r>
      <w:r w:rsidRPr="001E2C69">
        <w:rPr>
          <w:rFonts w:ascii="Times New Roman" w:hAnsi="Times New Roman"/>
          <w:color w:val="000000" w:themeColor="text1"/>
          <w:sz w:val="16"/>
          <w:szCs w:val="16"/>
        </w:rPr>
        <w:softHyphen/>
        <w:t>лей над аэродромом появлялись 4-6-12 109Ф и связывали их воздуш</w:t>
      </w:r>
      <w:r w:rsidRPr="001E2C69">
        <w:rPr>
          <w:rFonts w:ascii="Times New Roman" w:hAnsi="Times New Roman"/>
          <w:color w:val="000000" w:themeColor="text1"/>
          <w:sz w:val="16"/>
          <w:szCs w:val="16"/>
        </w:rPr>
        <w:softHyphen/>
        <w:t>ным боем. В таких тяжелейших условиях на</w:t>
      </w:r>
      <w:r w:rsidRPr="001E2C69">
        <w:rPr>
          <w:rFonts w:ascii="Times New Roman" w:hAnsi="Times New Roman"/>
          <w:color w:val="000000" w:themeColor="text1"/>
          <w:sz w:val="16"/>
          <w:szCs w:val="16"/>
        </w:rPr>
        <w:softHyphen/>
        <w:t>спех подготовленные полки несли большие потери. Так, 297 ИАП с 20 по 25 августа сбил 6 самолетов про</w:t>
      </w:r>
      <w:r w:rsidRPr="001E2C69">
        <w:rPr>
          <w:rFonts w:ascii="Times New Roman" w:hAnsi="Times New Roman"/>
          <w:color w:val="000000" w:themeColor="text1"/>
          <w:sz w:val="16"/>
          <w:szCs w:val="16"/>
        </w:rPr>
        <w:softHyphen/>
        <w:t>тивника, потеряв 4 своих. 437 ИАП с 22 по 26 августа сбил 3 и потерял 5, 27 ИАП с 20 по 26 августа сбил 12 и потерял 7, 240 ИАП с 20 по 27 авгус</w:t>
      </w:r>
      <w:r w:rsidRPr="001E2C69">
        <w:rPr>
          <w:rFonts w:ascii="Times New Roman" w:hAnsi="Times New Roman"/>
          <w:color w:val="000000" w:themeColor="text1"/>
          <w:sz w:val="16"/>
          <w:szCs w:val="16"/>
        </w:rPr>
        <w:softHyphen/>
        <w:t>та сбил 10 и потерял 7 самолетов (10699).</w:t>
      </w:r>
    </w:p>
    <w:p w14:paraId="104B665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37A1C670" w14:textId="77777777" w:rsidR="000C324B"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54467E51" w14:textId="77777777" w:rsidR="000C324B" w:rsidRPr="001E2C69" w:rsidRDefault="000C324B" w:rsidP="00722885">
      <w:pPr>
        <w:pStyle w:val="Iauiue"/>
        <w:jc w:val="both"/>
        <w:rPr>
          <w:iCs/>
          <w:color w:val="000000" w:themeColor="text1"/>
          <w:sz w:val="16"/>
          <w:szCs w:val="16"/>
        </w:rPr>
      </w:pPr>
    </w:p>
    <w:p w14:paraId="2F68DC24" w14:textId="77777777" w:rsidR="000C324B" w:rsidRPr="001E2C69" w:rsidRDefault="000C324B" w:rsidP="00722885">
      <w:pPr>
        <w:pStyle w:val="162"/>
        <w:shd w:val="clear" w:color="auto" w:fill="auto"/>
        <w:spacing w:line="240" w:lineRule="auto"/>
        <w:jc w:val="both"/>
        <w:rPr>
          <w:color w:val="000000" w:themeColor="text1"/>
          <w:sz w:val="16"/>
          <w:szCs w:val="16"/>
        </w:rPr>
      </w:pPr>
      <w:r w:rsidRPr="001E2C69">
        <w:rPr>
          <w:rFonts w:eastAsia="Calibri"/>
          <w:color w:val="000000" w:themeColor="text1"/>
          <w:sz w:val="16"/>
          <w:szCs w:val="16"/>
        </w:rPr>
        <w:lastRenderedPageBreak/>
        <w:t>В начале августа 1942 года КБ завода № 8 представило проект установ</w:t>
      </w:r>
      <w:r w:rsidRPr="001E2C69">
        <w:rPr>
          <w:rFonts w:eastAsia="Calibri"/>
          <w:color w:val="000000" w:themeColor="text1"/>
          <w:sz w:val="16"/>
          <w:szCs w:val="16"/>
        </w:rPr>
        <w:softHyphen/>
        <w:t>ки 25-мм ЗСУ на шасси СУ-31, получивший индекс ЗИК-5. Тогда же был представлен и проект САУ на базе СУ-32, получивший индекс ЗИК-7-</w:t>
      </w:r>
      <w:r w:rsidRPr="001E2C69">
        <w:rPr>
          <w:rFonts w:eastAsia="Calibri"/>
          <w:color w:val="000000" w:themeColor="text1"/>
          <w:sz w:val="16"/>
          <w:szCs w:val="16"/>
          <w:lang w:val="en-US"/>
        </w:rPr>
        <w:t>II</w:t>
      </w:r>
      <w:r w:rsidRPr="001E2C69">
        <w:rPr>
          <w:rFonts w:eastAsia="Calibri"/>
          <w:color w:val="000000" w:themeColor="text1"/>
          <w:sz w:val="16"/>
          <w:szCs w:val="16"/>
        </w:rPr>
        <w:t>, отличавшийся лишь рубкой и установкой 76-мм пушки ЗИС-5 (как на БГС-5). Оба проекта так и остались нереализованными (17485).</w:t>
      </w:r>
    </w:p>
    <w:p w14:paraId="64D22E70" w14:textId="77777777" w:rsidR="000C324B" w:rsidRPr="001E2C69" w:rsidRDefault="000C324B" w:rsidP="00722885">
      <w:pPr>
        <w:spacing w:after="0" w:line="240" w:lineRule="auto"/>
        <w:jc w:val="both"/>
        <w:rPr>
          <w:rFonts w:ascii="Times New Roman" w:hAnsi="Times New Roman"/>
          <w:color w:val="000000" w:themeColor="text1"/>
          <w:sz w:val="16"/>
          <w:szCs w:val="16"/>
        </w:rPr>
      </w:pPr>
    </w:p>
    <w:p w14:paraId="6E4C64F6" w14:textId="77777777" w:rsidR="000C324B" w:rsidRPr="001E2C69" w:rsidRDefault="000C324B" w:rsidP="00722885">
      <w:pPr>
        <w:pStyle w:val="162"/>
        <w:shd w:val="clear" w:color="auto" w:fill="auto"/>
        <w:spacing w:line="240" w:lineRule="auto"/>
        <w:jc w:val="both"/>
        <w:rPr>
          <w:color w:val="000000" w:themeColor="text1"/>
          <w:sz w:val="16"/>
          <w:szCs w:val="16"/>
        </w:rPr>
      </w:pPr>
      <w:r w:rsidRPr="001E2C69">
        <w:rPr>
          <w:rFonts w:eastAsia="Calibri"/>
          <w:color w:val="000000" w:themeColor="text1"/>
          <w:sz w:val="16"/>
          <w:szCs w:val="16"/>
        </w:rPr>
        <w:t>В начале августа 1942 года работы по теме самоходных зенитных установок возобновились. Связано это было с тем, что существовав</w:t>
      </w:r>
      <w:r w:rsidRPr="001E2C69">
        <w:rPr>
          <w:rFonts w:eastAsia="Calibri"/>
          <w:color w:val="000000" w:themeColor="text1"/>
          <w:sz w:val="16"/>
          <w:szCs w:val="16"/>
        </w:rPr>
        <w:softHyphen/>
        <w:t>шие на тот момент зенитные установки, придаваемые танковым бри</w:t>
      </w:r>
      <w:r w:rsidRPr="001E2C69">
        <w:rPr>
          <w:rFonts w:eastAsia="Calibri"/>
          <w:color w:val="000000" w:themeColor="text1"/>
          <w:sz w:val="16"/>
          <w:szCs w:val="16"/>
        </w:rPr>
        <w:softHyphen/>
        <w:t>гадам, имели ограниченную подвижность и не могли обеспечить защи</w:t>
      </w:r>
      <w:r w:rsidRPr="001E2C69">
        <w:rPr>
          <w:rFonts w:eastAsia="Calibri"/>
          <w:color w:val="000000" w:themeColor="text1"/>
          <w:sz w:val="16"/>
          <w:szCs w:val="16"/>
        </w:rPr>
        <w:softHyphen/>
        <w:t xml:space="preserve">ту танков на пересеченной местности. Кроме того, 26 июня 1942 года на Юго-Западном фронте был сбит немецкий военно-транспортный самолет </w:t>
      </w:r>
      <w:r w:rsidRPr="001E2C69">
        <w:rPr>
          <w:rFonts w:eastAsia="Calibri"/>
          <w:color w:val="000000" w:themeColor="text1"/>
          <w:sz w:val="16"/>
          <w:szCs w:val="16"/>
          <w:lang w:val="en-US"/>
        </w:rPr>
        <w:t>Ju</w:t>
      </w:r>
      <w:r w:rsidRPr="001E2C69">
        <w:rPr>
          <w:rFonts w:eastAsia="Calibri"/>
          <w:color w:val="000000" w:themeColor="text1"/>
          <w:sz w:val="16"/>
          <w:szCs w:val="16"/>
        </w:rPr>
        <w:t>-52. В сбитом самолете были обнаружены различные доку</w:t>
      </w:r>
      <w:r w:rsidRPr="001E2C69">
        <w:rPr>
          <w:rFonts w:eastAsia="Calibri"/>
          <w:color w:val="000000" w:themeColor="text1"/>
          <w:sz w:val="16"/>
          <w:szCs w:val="16"/>
        </w:rPr>
        <w:softHyphen/>
        <w:t xml:space="preserve">менты, включая отчет о боевом применении новейшего штурмовика </w:t>
      </w:r>
      <w:r w:rsidRPr="001E2C69">
        <w:rPr>
          <w:rFonts w:eastAsia="Calibri"/>
          <w:color w:val="000000" w:themeColor="text1"/>
          <w:sz w:val="16"/>
          <w:szCs w:val="16"/>
          <w:lang w:val="en-US"/>
        </w:rPr>
        <w:t>HenschelHs</w:t>
      </w:r>
      <w:r w:rsidRPr="001E2C69">
        <w:rPr>
          <w:rFonts w:eastAsia="Calibri"/>
          <w:color w:val="000000" w:themeColor="text1"/>
          <w:sz w:val="16"/>
          <w:szCs w:val="16"/>
        </w:rPr>
        <w:t>.129, оснащенного 30-мм автоматической пушкой ВК-101. Самолет испытали стрельбой по тяжелому танку КВ-1, из 12 попада</w:t>
      </w:r>
      <w:r w:rsidRPr="001E2C69">
        <w:rPr>
          <w:rFonts w:eastAsia="Calibri"/>
          <w:color w:val="000000" w:themeColor="text1"/>
          <w:sz w:val="16"/>
          <w:szCs w:val="16"/>
        </w:rPr>
        <w:softHyphen/>
        <w:t>ний 3 оказались с пробитием брони. Согласно переписке главного инженера завода № 37 Н. Н. Козырева с Афониным,</w:t>
      </w:r>
      <w:r w:rsidRPr="001E2C69">
        <w:rPr>
          <w:rStyle w:val="BodytextItalic"/>
          <w:i w:val="0"/>
          <w:color w:val="000000" w:themeColor="text1"/>
          <w:sz w:val="16"/>
          <w:szCs w:val="16"/>
        </w:rPr>
        <w:t xml:space="preserve"> «заместителем народного комиссара танковой промышленности тов. Котиным Ж. Я. поручено в весьма короткий срок провести опытные работы по зенит</w:t>
      </w:r>
      <w:r w:rsidRPr="001E2C69">
        <w:rPr>
          <w:rStyle w:val="BodytextItalic"/>
          <w:i w:val="0"/>
          <w:color w:val="000000" w:themeColor="text1"/>
          <w:sz w:val="16"/>
          <w:szCs w:val="16"/>
        </w:rPr>
        <w:softHyphen/>
        <w:t>ной установке пулеметов ДШК в башнях машин Т-60 и Т-70». К 16 ав</w:t>
      </w:r>
      <w:r w:rsidRPr="001E2C69">
        <w:rPr>
          <w:rStyle w:val="BodytextItalic"/>
          <w:i w:val="0"/>
          <w:color w:val="000000" w:themeColor="text1"/>
          <w:sz w:val="16"/>
          <w:szCs w:val="16"/>
        </w:rPr>
        <w:softHyphen/>
        <w:t>густа 1942 года были составлены тактико-технические требования на разработку спаренной установки 12,7-мм пулеметов ДШК на танки Т-60 и Т-70:</w:t>
      </w:r>
    </w:p>
    <w:p w14:paraId="03CA2F40" w14:textId="77777777" w:rsidR="000C324B" w:rsidRPr="001E2C69" w:rsidRDefault="000C324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«Целевая установка.</w:t>
      </w:r>
    </w:p>
    <w:p w14:paraId="7E8363B7" w14:textId="77777777" w:rsidR="000C324B" w:rsidRPr="001E2C69" w:rsidRDefault="000C324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Создать зенитную спаренную установку под 12,7-мм пулеметы ДШК для обороны мотомеханизированных колонн при воздушном нападении про</w:t>
      </w:r>
      <w:r w:rsidRPr="001E2C69">
        <w:rPr>
          <w:rFonts w:ascii="Times New Roman" w:hAnsi="Times New Roman"/>
          <w:color w:val="000000" w:themeColor="text1"/>
          <w:sz w:val="16"/>
          <w:szCs w:val="16"/>
        </w:rPr>
        <w:softHyphen/>
        <w:t>тивника.</w:t>
      </w:r>
    </w:p>
    <w:p w14:paraId="11956FE6" w14:textId="77777777" w:rsidR="000C324B" w:rsidRPr="001E2C69" w:rsidRDefault="000C324B" w:rsidP="00722885">
      <w:pPr>
        <w:pStyle w:val="Bodytext590"/>
        <w:shd w:val="clear" w:color="auto" w:fill="auto"/>
        <w:spacing w:before="0" w:after="0" w:line="240" w:lineRule="auto"/>
        <w:ind w:firstLine="0"/>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&lt;...&gt;</w:t>
      </w:r>
    </w:p>
    <w:p w14:paraId="2CF28D51" w14:textId="77777777" w:rsidR="000C324B" w:rsidRPr="001E2C69" w:rsidRDefault="000C324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Требования к установке танка Т-60</w:t>
      </w:r>
    </w:p>
    <w:p w14:paraId="70243031" w14:textId="77777777" w:rsidR="000C324B" w:rsidRPr="001E2C69" w:rsidRDefault="000C324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Установка монтируется с использованием штатной башни Т-60. До</w:t>
      </w:r>
      <w:r w:rsidRPr="001E2C69">
        <w:rPr>
          <w:rFonts w:ascii="Times New Roman" w:hAnsi="Times New Roman"/>
          <w:color w:val="000000" w:themeColor="text1"/>
          <w:sz w:val="16"/>
          <w:szCs w:val="16"/>
        </w:rPr>
        <w:softHyphen/>
        <w:t>пускаются следующие изменения в башне.</w:t>
      </w:r>
    </w:p>
    <w:p w14:paraId="3759CADA" w14:textId="77777777" w:rsidR="000C324B" w:rsidRPr="001E2C69" w:rsidRDefault="000C324B" w:rsidP="00722885">
      <w:pPr>
        <w:tabs>
          <w:tab w:val="left" w:pos="524"/>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Лобовой лист башни заменить на лист простейшей формы с амбра</w:t>
      </w:r>
      <w:r w:rsidRPr="001E2C69">
        <w:rPr>
          <w:rFonts w:ascii="Times New Roman" w:hAnsi="Times New Roman"/>
          <w:color w:val="000000" w:themeColor="text1"/>
          <w:sz w:val="16"/>
          <w:szCs w:val="16"/>
        </w:rPr>
        <w:softHyphen/>
        <w:t>зурами, позволяющими придавать углы склонения установке.</w:t>
      </w:r>
    </w:p>
    <w:p w14:paraId="0AC7DB33" w14:textId="77777777" w:rsidR="000C324B" w:rsidRPr="001E2C69" w:rsidRDefault="000C324B" w:rsidP="00722885">
      <w:pPr>
        <w:tabs>
          <w:tab w:val="left" w:pos="546"/>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Установка должна быть открытой без крыши.</w:t>
      </w:r>
    </w:p>
    <w:p w14:paraId="3030EA60" w14:textId="77777777" w:rsidR="000C324B" w:rsidRPr="001E2C69" w:rsidRDefault="000C324B" w:rsidP="00722885">
      <w:pPr>
        <w:tabs>
          <w:tab w:val="left" w:pos="562"/>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Питание пулеметов магазинное, емкость 42 патрона каждый ма</w:t>
      </w:r>
      <w:r w:rsidRPr="001E2C69">
        <w:rPr>
          <w:rFonts w:ascii="Times New Roman" w:hAnsi="Times New Roman"/>
          <w:color w:val="000000" w:themeColor="text1"/>
          <w:sz w:val="16"/>
          <w:szCs w:val="16"/>
        </w:rPr>
        <w:softHyphen/>
        <w:t>газин» '.</w:t>
      </w:r>
    </w:p>
    <w:p w14:paraId="5F9C3D37" w14:textId="77777777" w:rsidR="000C324B" w:rsidRPr="001E2C69" w:rsidRDefault="000C324B" w:rsidP="00722885">
      <w:pPr>
        <w:pStyle w:val="162"/>
        <w:shd w:val="clear" w:color="auto" w:fill="auto"/>
        <w:spacing w:line="240" w:lineRule="auto"/>
        <w:jc w:val="both"/>
        <w:rPr>
          <w:color w:val="000000" w:themeColor="text1"/>
          <w:sz w:val="16"/>
          <w:szCs w:val="16"/>
        </w:rPr>
      </w:pPr>
      <w:r w:rsidRPr="001E2C69">
        <w:rPr>
          <w:rFonts w:eastAsia="Calibri"/>
          <w:color w:val="000000" w:themeColor="text1"/>
          <w:sz w:val="16"/>
          <w:szCs w:val="16"/>
        </w:rPr>
        <w:t>На заводе № 37 работы по созданию зенитных Т-60 и Т-70 куриро</w:t>
      </w:r>
      <w:r w:rsidRPr="001E2C69">
        <w:rPr>
          <w:rFonts w:eastAsia="Calibri"/>
          <w:color w:val="000000" w:themeColor="text1"/>
          <w:sz w:val="16"/>
          <w:szCs w:val="16"/>
        </w:rPr>
        <w:softHyphen/>
        <w:t>вал Савин, который к тому моменту стал руководителем группы само</w:t>
      </w:r>
      <w:r w:rsidRPr="001E2C69">
        <w:rPr>
          <w:rFonts w:eastAsia="Calibri"/>
          <w:color w:val="000000" w:themeColor="text1"/>
          <w:sz w:val="16"/>
          <w:szCs w:val="16"/>
        </w:rPr>
        <w:softHyphen/>
        <w:t>ходных зенитных машин ОГК НКТП. Примерно в то же время с ини</w:t>
      </w:r>
      <w:r w:rsidRPr="001E2C69">
        <w:rPr>
          <w:rFonts w:eastAsia="Calibri"/>
          <w:color w:val="000000" w:themeColor="text1"/>
          <w:sz w:val="16"/>
          <w:szCs w:val="16"/>
        </w:rPr>
        <w:softHyphen/>
        <w:t>циативой разработки зенитного танка на базе Т-70 обратился ГАЗ. Уже к началу сентября, согласно переписке, опытный образец установки был изготовлен на ГАЗ (17485).</w:t>
      </w:r>
    </w:p>
    <w:p w14:paraId="07E546BE" w14:textId="77777777" w:rsidR="000C324B" w:rsidRPr="001E2C69" w:rsidRDefault="000C324B" w:rsidP="00722885">
      <w:pPr>
        <w:spacing w:after="0" w:line="240" w:lineRule="auto"/>
        <w:jc w:val="both"/>
        <w:rPr>
          <w:rFonts w:ascii="Times New Roman" w:hAnsi="Times New Roman"/>
          <w:color w:val="000000" w:themeColor="text1"/>
          <w:sz w:val="16"/>
          <w:szCs w:val="16"/>
        </w:rPr>
      </w:pPr>
    </w:p>
    <w:p w14:paraId="01D79FC0"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4818291E" w14:textId="77777777" w:rsidR="00AE7191" w:rsidRPr="001E2C69" w:rsidRDefault="00AE7191" w:rsidP="00722885">
      <w:pPr>
        <w:pStyle w:val="Iauiue"/>
        <w:jc w:val="both"/>
        <w:rPr>
          <w:iCs/>
          <w:color w:val="000000" w:themeColor="text1"/>
          <w:sz w:val="16"/>
          <w:szCs w:val="16"/>
        </w:rPr>
      </w:pPr>
    </w:p>
    <w:p w14:paraId="61EE4FB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начале августа 1942 движение группы армий А замедлилось, что создавало угрозу правому флангу группы армий Б, шедшей на Сталинград. Поэтому в Берлине на Кавказ перенацелили 40-й танковый корпус группы “Б”, которому следовало ворваться в Сталинград с юга. Он повернул на Кубань, совершил рейд по Сельским степям (в обход зоны действия ПМГ) и оказался на подступах к Армавиру и Ставрополю. Это вынудило командование Северо-Кавказского фронта разделить ПМГ: одну часть ее бросили на армавиро-ставропольское направление, другая прикрывала Краснодар и Майкоп. За бои под Майкопом (но не за победы в степях) Москвина наградили орденом Ленина. Год спустя он будет смертельно ранен под станицей Крымской...(9632).</w:t>
      </w:r>
    </w:p>
    <w:p w14:paraId="0E75454D" w14:textId="77777777" w:rsidR="00AE7191" w:rsidRPr="001E2C69" w:rsidRDefault="00AE7191" w:rsidP="00722885">
      <w:pPr>
        <w:pStyle w:val="Iauiue"/>
        <w:jc w:val="both"/>
        <w:rPr>
          <w:color w:val="000000" w:themeColor="text1"/>
          <w:sz w:val="16"/>
          <w:szCs w:val="16"/>
        </w:rPr>
      </w:pPr>
    </w:p>
    <w:p w14:paraId="54CE4137" w14:textId="77777777" w:rsidR="00B40455" w:rsidRPr="001E2C69" w:rsidRDefault="00B4045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начале августа 1942 силами Управления аэродромного строительства НКВД на восточном берегу Волги были спешно подготовлены девятнадцать полевых аэродромов, на которые и перебазировалось большинство авиаполков 8</w:t>
      </w:r>
      <w:r w:rsidRPr="001E2C69">
        <w:rPr>
          <w:rFonts w:ascii="Times New Roman" w:hAnsi="Times New Roman"/>
          <w:color w:val="000000" w:themeColor="text1"/>
          <w:sz w:val="16"/>
          <w:szCs w:val="16"/>
        </w:rPr>
        <w:noBreakHyphen/>
        <w:t>й воздушной армии. С этого момента Волга стала зримым рубежом борьбы воздушных противников. Перетянул обратно за реку, значит, точно на своей территории.</w:t>
      </w:r>
    </w:p>
    <w:p w14:paraId="07A8D019" w14:textId="77777777" w:rsidR="00B40455" w:rsidRPr="001E2C69" w:rsidRDefault="00B4045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Тем временем люфтваффе, напротив, переносили свои места базирования все ближе к Сталинграду. Так, 10 августа на аэродром Тусов, расположенный северо</w:t>
      </w:r>
      <w:r w:rsidRPr="001E2C69">
        <w:rPr>
          <w:rFonts w:ascii="Times New Roman" w:hAnsi="Times New Roman"/>
          <w:color w:val="000000" w:themeColor="text1"/>
          <w:sz w:val="16"/>
          <w:szCs w:val="16"/>
        </w:rPr>
        <w:noBreakHyphen/>
        <w:t>западнее города Калач</w:t>
      </w:r>
      <w:r w:rsidRPr="001E2C69">
        <w:rPr>
          <w:rFonts w:ascii="Times New Roman" w:hAnsi="Times New Roman"/>
          <w:color w:val="000000" w:themeColor="text1"/>
          <w:sz w:val="16"/>
          <w:szCs w:val="16"/>
        </w:rPr>
        <w:noBreakHyphen/>
        <w:t>на</w:t>
      </w:r>
      <w:r w:rsidRPr="001E2C69">
        <w:rPr>
          <w:rFonts w:ascii="Times New Roman" w:hAnsi="Times New Roman"/>
          <w:color w:val="000000" w:themeColor="text1"/>
          <w:sz w:val="16"/>
          <w:szCs w:val="16"/>
        </w:rPr>
        <w:noBreakHyphen/>
        <w:t>Дону, перебазировались Bf</w:t>
      </w:r>
      <w:r w:rsidRPr="001E2C69">
        <w:rPr>
          <w:rFonts w:ascii="Times New Roman" w:hAnsi="Times New Roman"/>
          <w:color w:val="000000" w:themeColor="text1"/>
          <w:sz w:val="16"/>
          <w:szCs w:val="16"/>
        </w:rPr>
        <w:noBreakHyphen/>
        <w:t>109F из I./JG53 «Пик Ас» и JG3 «Удет». Оборудование взлетных полос и стоянок в этом степном районе не представляло особых сложностей, нужно было просто найти ровное место и разметить его.</w:t>
      </w:r>
    </w:p>
    <w:p w14:paraId="7243FEE2" w14:textId="77777777" w:rsidR="00B40455" w:rsidRPr="001E2C69" w:rsidRDefault="00B4045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Неподалеку на такие же площадки в степи перебазировались и другие авиагруппы, в том числе штурмовики и ближние разведчики. Все это не осталось незамеченным для русской воздушной разведки. Только на аэродроме около железнодорожной станции Обливская, согласно данным аэрофотосъемки, базировалось «более 100 самолетов Ю</w:t>
      </w:r>
      <w:r w:rsidRPr="001E2C69">
        <w:rPr>
          <w:rFonts w:ascii="Times New Roman" w:hAnsi="Times New Roman"/>
          <w:color w:val="000000" w:themeColor="text1"/>
          <w:sz w:val="16"/>
          <w:szCs w:val="16"/>
        </w:rPr>
        <w:noBreakHyphen/>
        <w:t>88 и Me</w:t>
      </w:r>
      <w:r w:rsidRPr="001E2C69">
        <w:rPr>
          <w:rFonts w:ascii="Times New Roman" w:hAnsi="Times New Roman"/>
          <w:color w:val="000000" w:themeColor="text1"/>
          <w:sz w:val="16"/>
          <w:szCs w:val="16"/>
        </w:rPr>
        <w:noBreakHyphen/>
        <w:t>109» (23199).</w:t>
      </w:r>
    </w:p>
    <w:p w14:paraId="35961FF6" w14:textId="77777777" w:rsidR="00B40455" w:rsidRPr="001E2C69" w:rsidRDefault="00B40455" w:rsidP="00722885">
      <w:pPr>
        <w:spacing w:after="0" w:line="240" w:lineRule="auto"/>
        <w:jc w:val="both"/>
        <w:rPr>
          <w:rFonts w:ascii="Times New Roman" w:hAnsi="Times New Roman"/>
          <w:color w:val="000000" w:themeColor="text1"/>
          <w:sz w:val="16"/>
          <w:szCs w:val="16"/>
        </w:rPr>
      </w:pPr>
    </w:p>
    <w:p w14:paraId="43F04D5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начале августа 1942 года, по опыту боев в ходе операции «Блау», командованием 23-й танковой дивизии вермахта составило доклад о тактическом применении немецких и советских танковых частей:</w:t>
      </w:r>
    </w:p>
    <w:p w14:paraId="74D3456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I. Опыт применения германских танковых частей.</w:t>
      </w:r>
    </w:p>
    <w:p w14:paraId="6819D7C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Тактика.</w:t>
      </w:r>
    </w:p>
    <w:p w14:paraId="4278E8F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В бою «танк против танка» нужно всегда стараться нанести удар противнику во фланг. Этому помогает и хороший обзор изнутри наших танков (отличная оптика, командирские башенки). В бою «лоб в лоб» противник всегда будет иметь превосходство, потому что русские танки имеют вооружение и бронирование лучшие, чем у немецких танков.</w:t>
      </w:r>
    </w:p>
    <w:p w14:paraId="338DC0C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Если противник атакует: Отступите навстречу друг другу, образуя «клеши», и, когда противник окажется между вами, поражайте его в бортовые проекции...</w:t>
      </w:r>
    </w:p>
    <w:p w14:paraId="6029F1A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Применение боеприпасов и бро- непробиваемость снарядов.</w:t>
      </w:r>
    </w:p>
    <w:p w14:paraId="44287F9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...Бронепробиваемость снарядов длинноствольного танкового орудия 5-см К^КЬ/бС. ,</w:t>
      </w:r>
    </w:p>
    <w:p w14:paraId="60B2A6B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Рапгегдгапа1е 38 (бронебойный снаряд обр.38 года) против Т-34:</w:t>
      </w:r>
    </w:p>
    <w:p w14:paraId="40B3319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Борт башни и подбашенная коробка - поражается на дистанциях до 400 м</w:t>
      </w:r>
    </w:p>
    <w:p w14:paraId="3582700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Лоб башни - поражается на дистанциях до 400 м</w:t>
      </w:r>
    </w:p>
    <w:p w14:paraId="680FC3C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Лоб корпуса - неэффективен, в некоторых случаях может пробить люк механика-водителя.</w:t>
      </w:r>
    </w:p>
    <w:p w14:paraId="3FD5CAC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Рапгег§гапа!е 40:</w:t>
      </w:r>
    </w:p>
    <w:p w14:paraId="07D23F2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Рап2ег§гапа!ра1гопе 40 (унитарный патрон с бронебойным снарядом обр. 40 года) не должен более использоваться, так как его гильза может разорваться в стволе орудия или застрять в нем, и тогда ее придется извлекать банником. Разрывы гильзы в стволе бывают и при Рапге§гапа!е 38</w:t>
      </w:r>
    </w:p>
    <w:p w14:paraId="27CE118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Бронепробиваемость снаряда Рапгег§гапа!е 39 длинноствольного 7,5 см орудия ЕдаК.40 Ь/43 против Т-34.</w:t>
      </w:r>
    </w:p>
    <w:p w14:paraId="2783A87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Т-34 поражается под любым углом в любую проекцию, если огонь ведется с дистанции не более 1,2 км. В бою бывали проблемы, когда гильза снаряда не экстрактируется, а остается в стволе орудия. В таких случаях ее можно выбить лишь банником, прочищая спереди ствол орудия. Это обстоятельство очень сильно ограничивает огневую мощь.</w:t>
      </w:r>
    </w:p>
    <w:p w14:paraId="00E27BB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II. Использование русскими танковых частей.</w:t>
      </w:r>
    </w:p>
    <w:p w14:paraId="0BB165A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прошлом году русские понесли огромные потери в танках, так как применяли их немассированно, в этом году противник вводит в бой массы танков.</w:t>
      </w:r>
    </w:p>
    <w:p w14:paraId="2F94FA9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Русские танки сосредотачиваются часто на открытой, плоской местности. Атакуя, русские танки упорно двигаются вперед. Часто желание атаковать у русских исчезает, если немцы сумеют подбить головные русские танки.</w:t>
      </w:r>
    </w:p>
    <w:p w14:paraId="015EC9D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Русские танки часами остаются на одном месте.</w:t>
      </w:r>
    </w:p>
    <w:p w14:paraId="2C72F24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Случается, что русские танки сильным ударом вклиниваются в позиции нашей пехоты, нанося ей потери, но дальнейший успех они развить, как правило, не могут.</w:t>
      </w:r>
    </w:p>
    <w:p w14:paraId="50C628F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При атаке или выдвижении немецких танков русские ставят свои танки в естественных или рукотворных укрытиях так, что наружу торчат только башни, подпускают немецкие танки поближе и поражают их с коротких дистанций. Огонь русских танков наносит значительные потери и с больших дистанций.</w:t>
      </w:r>
    </w:p>
    <w:p w14:paraId="5D1F314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Т-34: этот танк превосходил все немецкие танки до появления весной 1942 года немецких длинноствольных танковых орудий 5 см КлК Ь/60 и 7.5 см КгеК Ь/43, теперь уступая им.</w:t>
      </w:r>
    </w:p>
    <w:p w14:paraId="10B3241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Русские Т-34 в нескольких танковых сражениях, атаковав немецкие танки и понеся тяжелые потери, напоровшись на огонь новых орудий, теперь предпочитают при возможности отойти, не вступая в бой.</w:t>
      </w:r>
    </w:p>
    <w:p w14:paraId="437BC33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Фантастический боевой дух русских танкистов: некоторые танки теряют ход, получают 5-6 прямых попаданий, но их экипажи не сдаются и продолжают вести огонь. Для уничтожения таких машин приходится посылать специальные группы саперов-подрывников. Русские сражаются до последнего снаряда и патрона.</w:t>
      </w:r>
    </w:p>
    <w:p w14:paraId="7DFD1EC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Огонь немецкой артиллерии или атаки пикирующих бомбардировщиков редко вынуждают русских оставить позиции, хотя они и несут незначительные потери. Массированный удар «Лювтваффе» может уничтожить место, где группируются мощные танковые части русских, и сорвать их запланированную атаку на открытый фланг немецких частей.</w:t>
      </w:r>
    </w:p>
    <w:p w14:paraId="72926D3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Достоинства тяжелых русских танков: мощное основное орудие, мощная броня, хорошая проходимость по пересеченной местности, большой радиус действий.</w:t>
      </w:r>
    </w:p>
    <w:p w14:paraId="7673D3E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Достоинства немецких танков: хороший обзор изнутри, отличная оптика и радиооборудование, что ведет к контролю тактической ситуации» (12217).</w:t>
      </w:r>
    </w:p>
    <w:p w14:paraId="5496374A"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3E07F51"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августа 1942 г. командир 2-й авиагруппы Северного флота, опытный полярный летчик И.П. Мазурук, получив</w:t>
      </w:r>
      <w:r w:rsidRPr="008A2E5A">
        <w:rPr>
          <w:rFonts w:ascii="Times New Roman" w:hAnsi="Times New Roman"/>
          <w:color w:val="0070C0"/>
          <w:sz w:val="16"/>
          <w:szCs w:val="16"/>
        </w:rPr>
        <w:softHyphen/>
        <w:t>ший на войне звание полковника, полу</w:t>
      </w:r>
      <w:r w:rsidRPr="008A2E5A">
        <w:rPr>
          <w:rFonts w:ascii="Times New Roman" w:hAnsi="Times New Roman"/>
          <w:color w:val="0070C0"/>
          <w:sz w:val="16"/>
          <w:szCs w:val="16"/>
        </w:rPr>
        <w:softHyphen/>
        <w:t>чил приказ сдать командование группой и срочно вылететь в Москву. Он сел на разоруженный бомбардировщик СБ, рек</w:t>
      </w:r>
      <w:r w:rsidRPr="008A2E5A">
        <w:rPr>
          <w:rFonts w:ascii="Times New Roman" w:hAnsi="Times New Roman"/>
          <w:color w:val="0070C0"/>
          <w:sz w:val="16"/>
          <w:szCs w:val="16"/>
        </w:rPr>
        <w:softHyphen/>
        <w:t xml:space="preserve">визированный в начале войны у Полярной </w:t>
      </w:r>
      <w:r w:rsidRPr="008A2E5A">
        <w:rPr>
          <w:rFonts w:ascii="Times New Roman" w:hAnsi="Times New Roman"/>
          <w:color w:val="0070C0"/>
          <w:sz w:val="16"/>
          <w:szCs w:val="16"/>
        </w:rPr>
        <w:lastRenderedPageBreak/>
        <w:t>авиации, и полетел. В Москве Мазурук попал на совещание в Кремле, посвящен</w:t>
      </w:r>
      <w:r w:rsidRPr="008A2E5A">
        <w:rPr>
          <w:rFonts w:ascii="Times New Roman" w:hAnsi="Times New Roman"/>
          <w:color w:val="0070C0"/>
          <w:sz w:val="16"/>
          <w:szCs w:val="16"/>
        </w:rPr>
        <w:softHyphen/>
        <w:t>ное подготовке трассы Аляска — Сибирь, и имел беседу со Сталиным. С совещания он вышел уже начальником трассы.</w:t>
      </w:r>
    </w:p>
    <w:p w14:paraId="46811EB1"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Мазурук посетил Иваново, где завер</w:t>
      </w:r>
      <w:r w:rsidRPr="008A2E5A">
        <w:rPr>
          <w:rFonts w:ascii="Times New Roman" w:hAnsi="Times New Roman"/>
          <w:color w:val="0070C0"/>
          <w:sz w:val="16"/>
          <w:szCs w:val="16"/>
        </w:rPr>
        <w:softHyphen/>
        <w:t>шалась подготовка летного состава. 6-й и 7-й пап решили не формировать, огра</w:t>
      </w:r>
      <w:r w:rsidRPr="008A2E5A">
        <w:rPr>
          <w:rFonts w:ascii="Times New Roman" w:hAnsi="Times New Roman"/>
          <w:color w:val="0070C0"/>
          <w:sz w:val="16"/>
          <w:szCs w:val="16"/>
        </w:rPr>
        <w:softHyphen/>
        <w:t>ничившись пятью. Каждый имел две ис</w:t>
      </w:r>
      <w:r w:rsidRPr="008A2E5A">
        <w:rPr>
          <w:rFonts w:ascii="Times New Roman" w:hAnsi="Times New Roman"/>
          <w:color w:val="0070C0"/>
          <w:sz w:val="16"/>
          <w:szCs w:val="16"/>
        </w:rPr>
        <w:softHyphen/>
        <w:t>требительные и две бомбардировочные эскадрильи, специализировавшиеся на перегонке определенных типов самолетов. Тем не менее транспортный полк остался 8-м. Все они вошли в состав 1-й перего</w:t>
      </w:r>
      <w:r w:rsidRPr="008A2E5A">
        <w:rPr>
          <w:rFonts w:ascii="Times New Roman" w:hAnsi="Times New Roman"/>
          <w:color w:val="0070C0"/>
          <w:sz w:val="16"/>
          <w:szCs w:val="16"/>
        </w:rPr>
        <w:softHyphen/>
        <w:t>ночной авиадивизии, командиром кото</w:t>
      </w:r>
      <w:r w:rsidRPr="008A2E5A">
        <w:rPr>
          <w:rFonts w:ascii="Times New Roman" w:hAnsi="Times New Roman"/>
          <w:color w:val="0070C0"/>
          <w:sz w:val="16"/>
          <w:szCs w:val="16"/>
        </w:rPr>
        <w:softHyphen/>
        <w:t>рой считался тот же Мазурук.</w:t>
      </w:r>
    </w:p>
    <w:p w14:paraId="62834517"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Перегонка по территории СССР ор</w:t>
      </w:r>
      <w:r w:rsidRPr="008A2E5A">
        <w:rPr>
          <w:rFonts w:ascii="Times New Roman" w:hAnsi="Times New Roman"/>
          <w:color w:val="0070C0"/>
          <w:sz w:val="16"/>
          <w:szCs w:val="16"/>
        </w:rPr>
        <w:softHyphen/>
        <w:t>ганизовывалась по принципу эстафеты. 1-й пап, которым командовал подполков</w:t>
      </w:r>
      <w:r w:rsidRPr="008A2E5A">
        <w:rPr>
          <w:rFonts w:ascii="Times New Roman" w:hAnsi="Times New Roman"/>
          <w:color w:val="0070C0"/>
          <w:sz w:val="16"/>
          <w:szCs w:val="16"/>
        </w:rPr>
        <w:softHyphen/>
        <w:t>ник П.В. Недосекин, а позднее подполков</w:t>
      </w:r>
      <w:r w:rsidRPr="008A2E5A">
        <w:rPr>
          <w:rFonts w:ascii="Times New Roman" w:hAnsi="Times New Roman"/>
          <w:color w:val="0070C0"/>
          <w:sz w:val="16"/>
          <w:szCs w:val="16"/>
        </w:rPr>
        <w:softHyphen/>
        <w:t>ник Н.С. Васин, базировался на Аляске на базе Лэдд-филд и доставлял самолеты в Уэлькаль на Чукотке. Делали это в два приема. Сначала летели вдоль реки Юкон, затем делали промежуточную посадку в Номе, на берегу Берингова пролива. На аэродроме Маркс-филд в Номе разме</w:t>
      </w:r>
      <w:r w:rsidRPr="008A2E5A">
        <w:rPr>
          <w:rFonts w:ascii="Times New Roman" w:hAnsi="Times New Roman"/>
          <w:color w:val="0070C0"/>
          <w:sz w:val="16"/>
          <w:szCs w:val="16"/>
        </w:rPr>
        <w:softHyphen/>
        <w:t>щался небольшой контингент советских механиков и инженеров. На полпути меж</w:t>
      </w:r>
      <w:r w:rsidRPr="008A2E5A">
        <w:rPr>
          <w:rFonts w:ascii="Times New Roman" w:hAnsi="Times New Roman"/>
          <w:color w:val="0070C0"/>
          <w:sz w:val="16"/>
          <w:szCs w:val="16"/>
        </w:rPr>
        <w:softHyphen/>
        <w:t>ду Фэрбенком и Номом имелся запасной аэродром Галена, которым можно было воспользоваться при плохой погоде. По</w:t>
      </w:r>
      <w:r w:rsidRPr="008A2E5A">
        <w:rPr>
          <w:rFonts w:ascii="Times New Roman" w:hAnsi="Times New Roman"/>
          <w:color w:val="0070C0"/>
          <w:sz w:val="16"/>
          <w:szCs w:val="16"/>
        </w:rPr>
        <w:softHyphen/>
        <w:t>сле дозаправки самолеты пролетали над проливом и восточной частью Чукотки, приземляясь в Уэлькале или на запасных площадках Анадырь и Марково. Там эста</w:t>
      </w:r>
      <w:r w:rsidRPr="008A2E5A">
        <w:rPr>
          <w:rFonts w:ascii="Times New Roman" w:hAnsi="Times New Roman"/>
          <w:color w:val="0070C0"/>
          <w:sz w:val="16"/>
          <w:szCs w:val="16"/>
        </w:rPr>
        <w:softHyphen/>
        <w:t>фету принимал 2-й полк, а пилоты, при</w:t>
      </w:r>
      <w:r w:rsidRPr="008A2E5A">
        <w:rPr>
          <w:rFonts w:ascii="Times New Roman" w:hAnsi="Times New Roman"/>
          <w:color w:val="0070C0"/>
          <w:sz w:val="16"/>
          <w:szCs w:val="16"/>
        </w:rPr>
        <w:softHyphen/>
        <w:t>бывшие с Аляски, возвращались назад транспортными Ли-2.</w:t>
      </w:r>
    </w:p>
    <w:p w14:paraId="60FE668F"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2-м пап, базировавшимся в Уэлькале, командовал подполковник А.Н. Мельни</w:t>
      </w:r>
      <w:r w:rsidRPr="008A2E5A">
        <w:rPr>
          <w:rFonts w:ascii="Times New Roman" w:hAnsi="Times New Roman"/>
          <w:color w:val="0070C0"/>
          <w:sz w:val="16"/>
          <w:szCs w:val="16"/>
        </w:rPr>
        <w:softHyphen/>
        <w:t>ков, а с июня 1944 г. майор М. Павленков. Ему достался сложный маршрут через центральную часть Чукотки и Колымский хребет до Сеймчана. Далее самолеты вели летчики 3-го пап подполковника Н. Твер- дохлебова (затем майора Б. Фролова). Это была самая опасная часть трассы. 1180 км отделяли Сеймчан от Якутска. Маршрут пролегал над высокогорной территорией Черского и Верхоянского хребтов, через «полюс холода» в Оймяконе. Приходилось лететь на большой высоте в кислород</w:t>
      </w:r>
      <w:r w:rsidRPr="008A2E5A">
        <w:rPr>
          <w:rFonts w:ascii="Times New Roman" w:hAnsi="Times New Roman"/>
          <w:color w:val="0070C0"/>
          <w:sz w:val="16"/>
          <w:szCs w:val="16"/>
        </w:rPr>
        <w:softHyphen/>
        <w:t>ных масках. В Сеймчане зимой термометр опускался до -60°, в Оймяконе — до -70°. Из-за сильных холодов зимой потом пери</w:t>
      </w:r>
      <w:r w:rsidRPr="008A2E5A">
        <w:rPr>
          <w:rFonts w:ascii="Times New Roman" w:hAnsi="Times New Roman"/>
          <w:color w:val="0070C0"/>
          <w:sz w:val="16"/>
          <w:szCs w:val="16"/>
        </w:rPr>
        <w:softHyphen/>
        <w:t>одически самолеты делали крюк, обходя Оймякон. Промежуточную посадку дела</w:t>
      </w:r>
      <w:r w:rsidRPr="008A2E5A">
        <w:rPr>
          <w:rFonts w:ascii="Times New Roman" w:hAnsi="Times New Roman"/>
          <w:color w:val="0070C0"/>
          <w:sz w:val="16"/>
          <w:szCs w:val="16"/>
        </w:rPr>
        <w:softHyphen/>
        <w:t>ли в Магадане или Зырянке.</w:t>
      </w:r>
    </w:p>
    <w:p w14:paraId="1AB168AC"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Якутске стоял 4-й пап под командо</w:t>
      </w:r>
      <w:r w:rsidRPr="008A2E5A">
        <w:rPr>
          <w:rFonts w:ascii="Times New Roman" w:hAnsi="Times New Roman"/>
          <w:color w:val="0070C0"/>
          <w:sz w:val="16"/>
          <w:szCs w:val="16"/>
        </w:rPr>
        <w:softHyphen/>
        <w:t>ванием майора П.Е. Смолякова (позже его сменили майор И.О. Дмитриев, а затем майор С. Власов). На этом же аэродроме базировался 8-й транспортный полк под</w:t>
      </w:r>
      <w:r w:rsidRPr="008A2E5A">
        <w:rPr>
          <w:rFonts w:ascii="Times New Roman" w:hAnsi="Times New Roman"/>
          <w:color w:val="0070C0"/>
          <w:sz w:val="16"/>
          <w:szCs w:val="16"/>
        </w:rPr>
        <w:softHyphen/>
        <w:t>полковника В.А. Пущинского. 4-й полк обслуживал участок от Якутска до Кирен- ска. На этом отрезке маршрута самолеты летели вдоль реки Лены и частично над тайгой. Последний участок от Киренска до Красноярска достался 5-му пап (командир подполковник М. Матюшин, позднее май</w:t>
      </w:r>
      <w:r w:rsidRPr="008A2E5A">
        <w:rPr>
          <w:rFonts w:ascii="Times New Roman" w:hAnsi="Times New Roman"/>
          <w:color w:val="0070C0"/>
          <w:sz w:val="16"/>
          <w:szCs w:val="16"/>
        </w:rPr>
        <w:softHyphen/>
        <w:t>ор И. Пронюшкин). При переброске лю</w:t>
      </w:r>
      <w:r w:rsidRPr="008A2E5A">
        <w:rPr>
          <w:rFonts w:ascii="Times New Roman" w:hAnsi="Times New Roman"/>
          <w:color w:val="0070C0"/>
          <w:sz w:val="16"/>
          <w:szCs w:val="16"/>
        </w:rPr>
        <w:softHyphen/>
        <w:t>дей в начале ноября 1942 г. в Киренск про</w:t>
      </w:r>
      <w:r w:rsidRPr="008A2E5A">
        <w:rPr>
          <w:rFonts w:ascii="Times New Roman" w:hAnsi="Times New Roman"/>
          <w:color w:val="0070C0"/>
          <w:sz w:val="16"/>
          <w:szCs w:val="16"/>
        </w:rPr>
        <w:softHyphen/>
        <w:t>изошла катастрофа. Вскоре после взлета из Красноярска врезался в землю Ли-2, на борту которого находились две эскадри</w:t>
      </w:r>
      <w:r w:rsidRPr="008A2E5A">
        <w:rPr>
          <w:rFonts w:ascii="Times New Roman" w:hAnsi="Times New Roman"/>
          <w:color w:val="0070C0"/>
          <w:sz w:val="16"/>
          <w:szCs w:val="16"/>
        </w:rPr>
        <w:softHyphen/>
        <w:t>льи летчиков-истребителей. Все погибли.</w:t>
      </w:r>
    </w:p>
    <w:p w14:paraId="23095777"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Свой штаб И.О. Мазурук организовал в Якутске. Там находились все основные службы, мастерские и учебно-трениро</w:t>
      </w:r>
      <w:r w:rsidRPr="008A2E5A">
        <w:rPr>
          <w:rFonts w:ascii="Times New Roman" w:hAnsi="Times New Roman"/>
          <w:color w:val="0070C0"/>
          <w:sz w:val="16"/>
          <w:szCs w:val="16"/>
        </w:rPr>
        <w:softHyphen/>
        <w:t>вочное подразделение для подготовки по</w:t>
      </w:r>
      <w:r w:rsidRPr="008A2E5A">
        <w:rPr>
          <w:rFonts w:ascii="Times New Roman" w:hAnsi="Times New Roman"/>
          <w:color w:val="0070C0"/>
          <w:sz w:val="16"/>
          <w:szCs w:val="16"/>
        </w:rPr>
        <w:softHyphen/>
        <w:t>полнения.</w:t>
      </w:r>
    </w:p>
    <w:p w14:paraId="386D46EC"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Снабжение трассы горючим и маслом для самолетов организовывалось морем из США, а остальное (продовольствие, топливо для автомобилей и электрогене</w:t>
      </w:r>
      <w:r w:rsidRPr="008A2E5A">
        <w:rPr>
          <w:rFonts w:ascii="Times New Roman" w:hAnsi="Times New Roman"/>
          <w:color w:val="0070C0"/>
          <w:sz w:val="16"/>
          <w:szCs w:val="16"/>
        </w:rPr>
        <w:softHyphen/>
        <w:t>раторов, строительные материалы и про</w:t>
      </w:r>
      <w:r w:rsidRPr="008A2E5A">
        <w:rPr>
          <w:rFonts w:ascii="Times New Roman" w:hAnsi="Times New Roman"/>
          <w:color w:val="0070C0"/>
          <w:sz w:val="16"/>
          <w:szCs w:val="16"/>
        </w:rPr>
        <w:softHyphen/>
        <w:t>чее) завозилось с юга, морем или по рекам (23513).</w:t>
      </w:r>
    </w:p>
    <w:p w14:paraId="5346ABA4" w14:textId="77777777" w:rsidR="00164795" w:rsidRPr="008A2E5A" w:rsidRDefault="00164795" w:rsidP="00164795">
      <w:pPr>
        <w:spacing w:after="0" w:line="240" w:lineRule="auto"/>
        <w:jc w:val="both"/>
        <w:rPr>
          <w:rFonts w:ascii="Times New Roman" w:hAnsi="Times New Roman"/>
          <w:color w:val="0070C0"/>
          <w:sz w:val="16"/>
          <w:szCs w:val="16"/>
        </w:rPr>
      </w:pPr>
    </w:p>
    <w:p w14:paraId="21D3E608"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592C73B5" w14:textId="77777777" w:rsidR="00AE7191" w:rsidRPr="001E2C69" w:rsidRDefault="00AE7191" w:rsidP="00722885">
      <w:pPr>
        <w:pStyle w:val="Iauiue"/>
        <w:jc w:val="both"/>
        <w:rPr>
          <w:iCs/>
          <w:color w:val="000000" w:themeColor="text1"/>
          <w:sz w:val="16"/>
          <w:szCs w:val="16"/>
        </w:rPr>
      </w:pPr>
    </w:p>
    <w:p w14:paraId="195FC671" w14:textId="77777777" w:rsidR="000D1F16" w:rsidRPr="001E2C69" w:rsidRDefault="000D1F16"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7 августа 1942 генерал-майор Солдатов также официально обратился по вопросу поставки Ш-37 непосред</w:t>
      </w:r>
      <w:r w:rsidRPr="001E2C69">
        <w:rPr>
          <w:color w:val="000000" w:themeColor="text1"/>
          <w:sz w:val="16"/>
          <w:szCs w:val="16"/>
        </w:rPr>
        <w:softHyphen/>
        <w:t>ственно к наркому вооружения Устинову и в письме отмечал: «Завод № 18 НКАП должен срочно изготовить 20 самолетов Ил-2, вооружен</w:t>
      </w:r>
      <w:r w:rsidRPr="001E2C69">
        <w:rPr>
          <w:color w:val="000000" w:themeColor="text1"/>
          <w:sz w:val="16"/>
          <w:szCs w:val="16"/>
        </w:rPr>
        <w:softHyphen/>
        <w:t>ных крыльевыми пушками калибра 37 мм системы Шпитального, для фронта. /.../ Прошу Ваших ука</w:t>
      </w:r>
      <w:r w:rsidRPr="001E2C69">
        <w:rPr>
          <w:color w:val="000000" w:themeColor="text1"/>
          <w:sz w:val="16"/>
          <w:szCs w:val="16"/>
        </w:rPr>
        <w:softHyphen/>
        <w:t>заний директору завода № 74 т. Иванову срочно изготовить и подать заводу № 18 40 крыльевых пу</w:t>
      </w:r>
      <w:r w:rsidRPr="001E2C69">
        <w:rPr>
          <w:color w:val="000000" w:themeColor="text1"/>
          <w:sz w:val="16"/>
          <w:szCs w:val="16"/>
        </w:rPr>
        <w:softHyphen/>
        <w:t>шек калибра 37 мм с магазинным боекомплектом 40 патронов»».</w:t>
      </w:r>
    </w:p>
    <w:p w14:paraId="0A4C8ECF" w14:textId="77777777" w:rsidR="000D1F16" w:rsidRPr="001E2C69" w:rsidRDefault="000D1F16"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Судя по всему, ответа на это письмо не последо</w:t>
      </w:r>
      <w:r w:rsidRPr="001E2C69">
        <w:rPr>
          <w:color w:val="000000" w:themeColor="text1"/>
          <w:sz w:val="16"/>
          <w:szCs w:val="16"/>
        </w:rPr>
        <w:softHyphen/>
        <w:t>вало, поскольку 12 августа генерал-майор Солдатов вторично обращается к Устинову за содействием, но при этом уже ссылается на постановление ГКО № 967сс от 26 ноября 1941 г. Только после этого Устинов также решил «обозначить тему» и слегка «подтолкнул» завод № 74. Вскоре на самолетный завод № 18 НКАП поступило еще 14 комплектных пушек Ш-37. Но на этом все и закончилось. Для проведения войсковых испытаний и фор</w:t>
      </w:r>
      <w:r w:rsidRPr="001E2C69">
        <w:rPr>
          <w:color w:val="000000" w:themeColor="text1"/>
          <w:sz w:val="16"/>
          <w:szCs w:val="16"/>
        </w:rPr>
        <w:softHyphen/>
        <w:t>мального выполнения постановления ГКО от 26 ноября 1941 г. ВВС сочли вполне достаточным 10 противотанковых Ил-2. Тем более что по результатам полигон</w:t>
      </w:r>
      <w:r w:rsidRPr="001E2C69">
        <w:rPr>
          <w:color w:val="000000" w:themeColor="text1"/>
          <w:sz w:val="16"/>
          <w:szCs w:val="16"/>
        </w:rPr>
        <w:softHyphen/>
        <w:t>ных испытаний готовилось решение о вы</w:t>
      </w:r>
      <w:r w:rsidRPr="001E2C69">
        <w:rPr>
          <w:color w:val="000000" w:themeColor="text1"/>
          <w:sz w:val="16"/>
          <w:szCs w:val="16"/>
        </w:rPr>
        <w:softHyphen/>
        <w:t>пуске войсковой серии Ил-2 с пушками 11П ОКБ-16 (17500).</w:t>
      </w:r>
    </w:p>
    <w:p w14:paraId="360F3FB1" w14:textId="77777777" w:rsidR="000D1F16" w:rsidRPr="001E2C69" w:rsidRDefault="000D1F16" w:rsidP="00722885">
      <w:pPr>
        <w:spacing w:after="0" w:line="240" w:lineRule="auto"/>
        <w:jc w:val="both"/>
        <w:rPr>
          <w:rFonts w:ascii="Times New Roman" w:eastAsia="Times New Roman" w:hAnsi="Times New Roman"/>
          <w:color w:val="000000" w:themeColor="text1"/>
          <w:sz w:val="16"/>
          <w:szCs w:val="16"/>
          <w:lang w:eastAsia="ru-RU"/>
        </w:rPr>
      </w:pPr>
    </w:p>
    <w:p w14:paraId="020B2E6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 августа 1942 вышел приказ НКАП N 398а/с</w:t>
      </w:r>
    </w:p>
    <w:p w14:paraId="01FF519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Представленные на утверждение чертежи фильтра ЦАГИ для установки на самолет Ил-2, отработанные заводом 18 утверждаю</w:t>
      </w:r>
    </w:p>
    <w:p w14:paraId="3AE9446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Представленные на утверждение ГК С.В.И. чертежи усиленной деревянной части фюзеляжа Ил-2 утверждаю</w:t>
      </w:r>
    </w:p>
    <w:p w14:paraId="21F2FA2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Директорам заводов 18, 1, 30 запустить в серийное производство удлиненную деревянную хвостовую часть по утвержденным чертежам по 40 машин.</w:t>
      </w:r>
    </w:p>
    <w:p w14:paraId="0172DC2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Представленные на утверждение чертежи механизма установки щитков на взлетный угол, отработанные заводом 18, в соответствии с приказом НЕАП N 307а/с от 21 апреля 1942 - утверждаю</w:t>
      </w:r>
    </w:p>
    <w:p w14:paraId="2E75341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Директору завода 18 Белянскому А.А. до 1 сентября 1942 оборудовать одну машину механизмом установки щитков на взлетный угол и предъявить ее на гос. испытания в НИИ ВВС</w:t>
      </w:r>
    </w:p>
    <w:p w14:paraId="615C215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Представленные на утверждение чертежи установки обратного клапана в систему охлаждения мотора на самолете Ил-2 - утверждаю</w:t>
      </w:r>
    </w:p>
    <w:p w14:paraId="2678A4F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Директорам заводов 18, 1, 30 и 381 с 20 августа 1942 выпускать машины, оборудованные обратным клапаном в системе охлаждения мотора (1581,180).</w:t>
      </w:r>
    </w:p>
    <w:p w14:paraId="7D5CA3E3" w14:textId="77777777" w:rsidR="00AE7191" w:rsidRPr="001E2C69" w:rsidRDefault="00AE7191" w:rsidP="00722885">
      <w:pPr>
        <w:pStyle w:val="Iauiue"/>
        <w:jc w:val="both"/>
        <w:rPr>
          <w:color w:val="000000" w:themeColor="text1"/>
          <w:sz w:val="16"/>
          <w:szCs w:val="16"/>
        </w:rPr>
      </w:pPr>
    </w:p>
    <w:p w14:paraId="660842B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 августа 1942 ВРИО Нач. ГУЭ ВВС Курин писал письмо N 416703с НКАП А.И.Ш. (копия: Зам. НКАП А.С.Я., Нач. ГУЗ и ТС Селезневу и Зам. Нач. НИИ ВВС Федорову):</w:t>
      </w:r>
    </w:p>
    <w:p w14:paraId="65F414B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"При сем представляю Вам копии пожеланий летчиков об устранении наиболее заметных недочетов по Як-1 и Ил-2, присланных т Булганиным на имя Ком. ВВС КА." (1633,226).</w:t>
      </w:r>
    </w:p>
    <w:p w14:paraId="5FCB66B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августа 1942 года было подготовлено письмо:</w:t>
      </w:r>
    </w:p>
    <w:p w14:paraId="1930DAE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КОМАНДУЮЩЕМУ ВВС КРАСНОЙ АРМИИ Генерал-лейтенанту т» НОВИКОВУ</w:t>
      </w:r>
    </w:p>
    <w:p w14:paraId="024A373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 время бесед с летчиками и командирами авиа</w:t>
      </w:r>
      <w:r w:rsidRPr="001E2C69">
        <w:rPr>
          <w:rFonts w:ascii="Times New Roman" w:hAnsi="Times New Roman"/>
          <w:color w:val="000000" w:themeColor="text1"/>
          <w:sz w:val="16"/>
          <w:szCs w:val="16"/>
        </w:rPr>
        <w:softHyphen/>
        <w:t>частей, а также при посещениях аэродромов - было выявлено, что в самолетах Як-1 и Ил-2 имеется ряд заводских недочетов, устранение которых возможно и необходимо для повышения летно-тактических качеств этих самолетов.</w:t>
      </w:r>
    </w:p>
    <w:p w14:paraId="74342EE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Направляю Вам вжсказанные летчиками пожелания об устранении наиболее заметных заводских недочетов</w:t>
      </w:r>
    </w:p>
    <w:p w14:paraId="10F79D6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п/п.</w:t>
      </w:r>
    </w:p>
    <w:p w14:paraId="065D2D7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(БУЛГАНИН)</w:t>
      </w:r>
    </w:p>
    <w:p w14:paraId="3FA4F90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КОПИЯ ВЕРНА:</w:t>
      </w:r>
    </w:p>
    <w:p w14:paraId="36F35FFC" w14:textId="77777777" w:rsidR="00AE7191" w:rsidRPr="001E2C69" w:rsidRDefault="00AE7191" w:rsidP="00722885">
      <w:pPr>
        <w:shd w:val="clear" w:color="auto" w:fill="FFFFFF"/>
        <w:spacing w:after="0" w:line="240" w:lineRule="auto"/>
        <w:jc w:val="both"/>
        <w:rPr>
          <w:rFonts w:ascii="Times New Roman" w:hAnsi="Times New Roman"/>
          <w:smallCaps/>
          <w:color w:val="000000" w:themeColor="text1"/>
          <w:sz w:val="16"/>
          <w:szCs w:val="16"/>
        </w:rPr>
      </w:pPr>
      <w:r w:rsidRPr="001E2C69">
        <w:rPr>
          <w:rFonts w:ascii="Times New Roman" w:hAnsi="Times New Roman"/>
          <w:color w:val="000000" w:themeColor="text1"/>
          <w:sz w:val="16"/>
          <w:szCs w:val="16"/>
        </w:rPr>
        <w:t>Инженер- 1-го Отдела Управления Технич.3ксплоат. ВВС КА (Черемных) (1633,227)</w:t>
      </w:r>
    </w:p>
    <w:p w14:paraId="31B60E7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августа 1942 года была подготовлена справка:</w:t>
      </w:r>
    </w:p>
    <w:p w14:paraId="3056468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Заводские дефекты по штурмовикам и истребителям</w:t>
      </w:r>
    </w:p>
    <w:p w14:paraId="78DD35B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Из опроса летчиков и командиров частей</w:t>
      </w:r>
    </w:p>
    <w:p w14:paraId="5963551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выявлен ряд недочетов в самолетах</w:t>
      </w:r>
    </w:p>
    <w:p w14:paraId="52C3836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самолету Як-1</w:t>
      </w:r>
    </w:p>
    <w:p w14:paraId="31950DE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У самолета Як-1 желательно иметь разъемные плоскости, сделав это по типу И-16 или МИГ-3, усилить боковые капоты, изменить защелки на капотах, так как бывают случаи, когда во время пикирования слетают капоты.</w:t>
      </w:r>
    </w:p>
    <w:p w14:paraId="3E42A6E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Усилить фонарь, так как во время скорости 500 км в 1 час фонарь иногда срывается, самолет желательно обеспечить связью.</w:t>
      </w:r>
    </w:p>
    <w:p w14:paraId="1E09421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У Як-1 плохо просматривается задняя полусфера, надо правее прицела поставить опускающееся и поднимающееся зеркало, чтобы можно было видеть хвост самолета.</w:t>
      </w:r>
    </w:p>
    <w:p w14:paraId="6439F85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У Як-1 плохая воздушная система, целесообразно взять типовой образец с ЛАГГ и перенести на Як-1.</w:t>
      </w:r>
    </w:p>
    <w:p w14:paraId="1EFA4A4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Поднять качество монтажа самолета, желательно взять систему ЛАГГ. Монтаж Саратовского завода плохой.</w:t>
      </w:r>
    </w:p>
    <w:p w14:paraId="0301342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Летный состав ставит вопрос о снятии с самолетов Як-7 кислородных баллонов, так как полеты ведутся не выше 3-4 тысяч метров, а баллоны увеличивают вес самолета и опасны вследствие возможности взрыва их в боевой обстановке.</w:t>
      </w:r>
    </w:p>
    <w:p w14:paraId="6039ACC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 На машинах Як-7 установлены зимние радиаторы, имеющие толстые стенки и крупные соты, в результате чего греются моторы часто до 100 градусов.</w:t>
      </w:r>
    </w:p>
    <w:p w14:paraId="1FA54EF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 Неудобный подвод питания к правому пулемету ШКАС, от чего происходят задержки, набегание, заклинивание ленты.</w:t>
      </w:r>
    </w:p>
    <w:p w14:paraId="23D43FD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 Пневмоперезарядка пушки ШВАК (перекрывной клапан) отказывает, летят прокладки и т.д.</w:t>
      </w:r>
    </w:p>
    <w:p w14:paraId="20A0EAB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 Пневмоперезарядка пулеметов ШКАС неудовлетворительна. Не обеспечивает перезарядку при заряженных пулеметах. Трубочки подвода воздуха к пулемету лучше сделать эластичными.</w:t>
      </w:r>
    </w:p>
    <w:p w14:paraId="5859A51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 Недоработана конструкция включения и выключения синхронизатора, тросовая проводка в бауденах болтается, ролики и рычаги создают свободные хода. Желательна электромагнитная система включения и выключения синхронизатора.</w:t>
      </w:r>
    </w:p>
    <w:p w14:paraId="021EE35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 Очень часто отказывает механизм пневмопуска, нет регулятора давления воздуха.</w:t>
      </w:r>
    </w:p>
    <w:p w14:paraId="7604F3E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самолету Ил-2.</w:t>
      </w:r>
    </w:p>
    <w:p w14:paraId="370D903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lastRenderedPageBreak/>
        <w:t>1. Немедленно устранить недостатки в замке Дер-31, которые при подвеске на них ФАБ-100 от электропуска срабатывают на все (электромагниты замка не притягивают к себе якорь, который в свою очередь не освобождает поддерживающий бомбу рычаг. Бомба с самолета не сбрасывается).</w:t>
      </w:r>
    </w:p>
    <w:p w14:paraId="1E62F18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Замок бомбодержателя Дер-21 во время пикирования работает только в момент окончательного выхода самолета из пике, а надо, чтобы он срабатывал в момент пике под углом 30-35 градусов. В 606 ШАП"е его переделали и перестановкой винта, ограничивающего вращение несущего рычага, достигли положения, что бомба отрывается от машины в момент, когда это требуется.</w:t>
      </w:r>
    </w:p>
    <w:p w14:paraId="54D9074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Сверку центроплана над пиропистолетом бомбодержателя ДЕР-31, необходимо сделать люк для удобства съемки пиропистолета и завертывания гайки затвора.</w:t>
      </w:r>
    </w:p>
    <w:p w14:paraId="24F85DC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Установить специальный прицел, так как имеющийся, во время пикирования, цели не показывает, она закрывается мотором.</w:t>
      </w:r>
    </w:p>
    <w:p w14:paraId="6733276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Определить точнее угол пикирования Ил-2 для внутренних и внешних подвесок отдельно.</w:t>
      </w:r>
    </w:p>
    <w:p w14:paraId="307AD75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Изменить предохранительную стенку люка, так как о стенку во время сбрасывания 100 кг бомбы, может удариться и смяться ветряк, отчего не произойдет взрыва.</w:t>
      </w:r>
    </w:p>
    <w:p w14:paraId="73A4A87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 Сделать Ил-2 двухместным самолетом, бак с бензином, который занимает второе место, переконструировать в центроплан.</w:t>
      </w:r>
    </w:p>
    <w:p w14:paraId="0EDF67A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 Слабое место Ил-2 - хвост. Нельзя ли поставить 1-2 пулемета, чтобы можно было стрелять через хвост.</w:t>
      </w:r>
    </w:p>
    <w:p w14:paraId="2B98085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 Продумать вопрос о броне самолета, т.к. сегодняшнюю бронь пробивает пуля.</w:t>
      </w:r>
    </w:p>
    <w:p w14:paraId="0285FFC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 Вместо броневого железа кабины ставить небьющееся стекло, что увеличит обзор как воздушного, так и наземного противника.</w:t>
      </w:r>
    </w:p>
    <w:p w14:paraId="69B231E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 На Ил-2 установлены зимние жиклеры. Это дает увеличение расхода горючего на 30-40 кг в час на 1 мотор, чем сокращается время пребывания самолета в воздухе и радиус его действия. Запасные жиклеры также зимние.</w:t>
      </w:r>
    </w:p>
    <w:p w14:paraId="74318F7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 Установить на самолетах приспособление, изобретенное инженером Кривицким для самоперезарядки пушки Волкова-Ярцева при задержках - неотдача без участия летчика.</w:t>
      </w:r>
    </w:p>
    <w:p w14:paraId="2C598E3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13. На затыльнике пушки Волкова-Ярцева раззенковку для штифта затыльника делать с обеих сторон, что даст возможность снимать затыльник без снятия пушки с установки.</w:t>
      </w:r>
    </w:p>
    <w:p w14:paraId="02B1A0A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моторам.</w:t>
      </w:r>
    </w:p>
    <w:p w14:paraId="736C39B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Моторы на Ил-2 и Як-7 по единодушному отзыву летного и технического состава - низкого качества и часто выходят из строя.</w:t>
      </w:r>
    </w:p>
    <w:p w14:paraId="19EF440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Основные дефекты: плохое качество металла блоков, быстрое изнашивание бронзовых шестерен распределительных валиков, выхлопных и всасывающих клапанов, завальцовка цилиндров (1633,228).</w:t>
      </w:r>
    </w:p>
    <w:p w14:paraId="0B10A405" w14:textId="77777777" w:rsidR="00AE7191" w:rsidRPr="001E2C69" w:rsidRDefault="00AE7191" w:rsidP="00722885">
      <w:pPr>
        <w:pStyle w:val="Iauiue"/>
        <w:jc w:val="both"/>
        <w:rPr>
          <w:color w:val="000000" w:themeColor="text1"/>
          <w:sz w:val="16"/>
          <w:szCs w:val="16"/>
        </w:rPr>
      </w:pPr>
    </w:p>
    <w:p w14:paraId="18711C8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августа 1942 на</w:t>
      </w:r>
      <w:r w:rsidRPr="001E2C69">
        <w:rPr>
          <w:rFonts w:ascii="Times New Roman" w:hAnsi="Times New Roman"/>
          <w:color w:val="000000" w:themeColor="text1"/>
          <w:sz w:val="16"/>
          <w:szCs w:val="16"/>
        </w:rPr>
        <w:softHyphen/>
        <w:t>чальник 12-го Управления заказов вооружения и боеприпасов ВВС генерал-майору Солдатову обратил</w:t>
      </w:r>
      <w:r w:rsidRPr="001E2C69">
        <w:rPr>
          <w:rFonts w:ascii="Times New Roman" w:hAnsi="Times New Roman"/>
          <w:color w:val="000000" w:themeColor="text1"/>
          <w:sz w:val="16"/>
          <w:szCs w:val="16"/>
        </w:rPr>
        <w:softHyphen/>
        <w:t>ся к наркому вооружения Устинову с просьбой дать указания «директору завода № 74 т. Иванову срочно изготовить и подать заводу № 18 40 крыльевых пушек калибра 37 мм с магазином под боекомплект 40 патронов». После вмешательства Устинова дело сдвинулось с места. Еше в марте 1942 г. выпуск противотанковых Ил-2 АМ-38 пору</w:t>
      </w:r>
      <w:r w:rsidRPr="001E2C69">
        <w:rPr>
          <w:rFonts w:ascii="Times New Roman" w:hAnsi="Times New Roman"/>
          <w:color w:val="000000" w:themeColor="text1"/>
          <w:sz w:val="16"/>
          <w:szCs w:val="16"/>
        </w:rPr>
        <w:softHyphen/>
        <w:t>чили только что созданному московскому заводу № 30, но и он не смог выполнить задание. Разворачивание производства штурмовиков в отсутствие достаточного количества станков и квалифицированной рабочей силы шло очень медленными темпами. Тогда программу войсковой серии Ил-2 с 37-мм пушками вновь «перебросили» на завод № 18. К этому време</w:t>
      </w:r>
      <w:r w:rsidRPr="001E2C69">
        <w:rPr>
          <w:rFonts w:ascii="Times New Roman" w:hAnsi="Times New Roman"/>
          <w:color w:val="000000" w:themeColor="text1"/>
          <w:sz w:val="16"/>
          <w:szCs w:val="16"/>
        </w:rPr>
        <w:softHyphen/>
        <w:t>ни кризис производства на куйбышевских заводах в целом уже был преодолен, но сроки все равно были сорваны. Завод № 74 наркомата вооружения не поставил пушки. По состоянию на 2 августа 18-й авиазавод получил всего шесть комплектных пу</w:t>
      </w:r>
      <w:r w:rsidRPr="001E2C69">
        <w:rPr>
          <w:rFonts w:ascii="Times New Roman" w:hAnsi="Times New Roman"/>
          <w:color w:val="000000" w:themeColor="text1"/>
          <w:sz w:val="16"/>
          <w:szCs w:val="16"/>
        </w:rPr>
        <w:softHyphen/>
        <w:t>шек ШФК-37 вместо 40. «Такое положение приводит к тому, что 20 самолетов Ил-2, которые должны быть вооружены крыльевыми пушками, не</w:t>
      </w:r>
      <w:r w:rsidRPr="001E2C69">
        <w:rPr>
          <w:rFonts w:ascii="Times New Roman" w:hAnsi="Times New Roman"/>
          <w:color w:val="000000" w:themeColor="text1"/>
          <w:sz w:val="16"/>
          <w:szCs w:val="16"/>
        </w:rPr>
        <w:softHyphen/>
        <w:t>известно когда будут готовы. По этой же причине нельзя предъявить никаких требований НКАП, так как пушки ему не поданы», — докладывал начальник Управления опытного строительства ГУ ИАС ВВС бригадный инженер Лешуков на</w:t>
      </w:r>
      <w:r w:rsidRPr="001E2C69">
        <w:rPr>
          <w:rFonts w:ascii="Times New Roman" w:hAnsi="Times New Roman"/>
          <w:color w:val="000000" w:themeColor="text1"/>
          <w:sz w:val="16"/>
          <w:szCs w:val="16"/>
        </w:rPr>
        <w:softHyphen/>
        <w:t>чальнику 12-го Управления заказов вооружения и боеприпасов ВВС генерал-майору Солдатову (11474,321).</w:t>
      </w:r>
    </w:p>
    <w:p w14:paraId="465F1552"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8C1B4D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 августа 1942 вышел приказ НКАП N 599с "О внедрении в серийное производство ультрафиолетового облучения приборных досок вместо существующего подсвета" (1581,186).</w:t>
      </w:r>
    </w:p>
    <w:p w14:paraId="4A42A173" w14:textId="77777777" w:rsidR="00AE7191" w:rsidRPr="001E2C69" w:rsidRDefault="00AE7191" w:rsidP="00722885">
      <w:pPr>
        <w:pStyle w:val="Iauiue"/>
        <w:jc w:val="both"/>
        <w:rPr>
          <w:color w:val="000000" w:themeColor="text1"/>
          <w:sz w:val="16"/>
          <w:szCs w:val="16"/>
        </w:rPr>
      </w:pPr>
    </w:p>
    <w:p w14:paraId="7938855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7 августа по 2 сентября 1942 под Москвой состоялись летные испытания КТ (А-40) О.К.Антонова для Т-60. Несколько подлетов и один полет за ТБ-3 (АНТ-6) с АМ-34РН. Вода закипела, хотя танк был без башни и 100 л горючего. Посадили на Быковском аэродроме - все разбежались (112,175).</w:t>
      </w:r>
    </w:p>
    <w:p w14:paraId="0860BFF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Летал С.Н.Анохин. Полетная масса - 6710 кг, т.е. на 1094 меньше расчетного. Танк мог возить планер со скоростью до 15 км/час, а на большей - перегревался. Сначала сделали несколько пробежек на скоростях 10, 65, 85 и 100 км/час, в т.ч. четыре по грунту и три по бетону. Определили, что эффективность рулей достаточна, но управления тяжеловато. Гусеницы работали нормально, амортизации хватало. Мощности АМ-34ФР оказалось недостаточно. С.Н.Анохину приказали отцепиться. Он сел и не отцепляя крыльев поехал к КП. Чуть-чуть не расстреляли из зениток (94,91).</w:t>
      </w:r>
    </w:p>
    <w:p w14:paraId="02B11A5C" w14:textId="77777777" w:rsidR="00AE7191" w:rsidRPr="001E2C69" w:rsidRDefault="00AE7191" w:rsidP="00722885">
      <w:pPr>
        <w:pStyle w:val="Iauiue"/>
        <w:jc w:val="both"/>
        <w:rPr>
          <w:color w:val="000000" w:themeColor="text1"/>
          <w:sz w:val="16"/>
          <w:szCs w:val="16"/>
        </w:rPr>
      </w:pPr>
    </w:p>
    <w:p w14:paraId="5F4CF4A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период с 7 августа по 2 сентября 1942 г. под Мо</w:t>
      </w:r>
      <w:r w:rsidRPr="001E2C69">
        <w:rPr>
          <w:rFonts w:ascii="Times New Roman" w:hAnsi="Times New Roman"/>
          <w:color w:val="000000" w:themeColor="text1"/>
          <w:sz w:val="16"/>
          <w:szCs w:val="16"/>
        </w:rPr>
        <w:softHyphen/>
        <w:t>сквой проходили летные испытания ЛТ. Летал известный летчик-планерист Сергей Анохин, который в своих воспоминаниях упоминал и «Летающий танк». Для общей проверки планера «танк» решили облег</w:t>
      </w:r>
      <w:r w:rsidRPr="001E2C69">
        <w:rPr>
          <w:rFonts w:ascii="Times New Roman" w:hAnsi="Times New Roman"/>
          <w:color w:val="000000" w:themeColor="text1"/>
          <w:sz w:val="16"/>
          <w:szCs w:val="16"/>
        </w:rPr>
        <w:softHyphen/>
        <w:t>чить — с него сняли башню, убра</w:t>
      </w:r>
      <w:r w:rsidRPr="001E2C69">
        <w:rPr>
          <w:rFonts w:ascii="Times New Roman" w:hAnsi="Times New Roman"/>
          <w:color w:val="000000" w:themeColor="text1"/>
          <w:sz w:val="16"/>
          <w:szCs w:val="16"/>
        </w:rPr>
        <w:softHyphen/>
        <w:t>ли все лишнее и сделали неполную заправку горючим. В результате взлетный вес удалось снизить до 6,7 т. В качестве буксировщика использовали бомбардировщик ТБ-3 с форсированными моторами АМ-34РН. Сначала были сделаны скоростные пробежки, потом вы</w:t>
      </w:r>
      <w:r w:rsidRPr="001E2C69">
        <w:rPr>
          <w:rFonts w:ascii="Times New Roman" w:hAnsi="Times New Roman"/>
          <w:color w:val="000000" w:themeColor="text1"/>
          <w:sz w:val="16"/>
          <w:szCs w:val="16"/>
        </w:rPr>
        <w:softHyphen/>
        <w:t>полнили три подлета на высоту до 4 м. Планер вел себя устойчиво и нормально слушался рулей. Пер</w:t>
      </w:r>
      <w:r w:rsidRPr="001E2C69">
        <w:rPr>
          <w:rFonts w:ascii="Times New Roman" w:hAnsi="Times New Roman"/>
          <w:color w:val="000000" w:themeColor="text1"/>
          <w:sz w:val="16"/>
          <w:szCs w:val="16"/>
        </w:rPr>
        <w:softHyphen/>
        <w:t>вый и единственный полет выпол</w:t>
      </w:r>
      <w:r w:rsidRPr="001E2C69">
        <w:rPr>
          <w:rFonts w:ascii="Times New Roman" w:hAnsi="Times New Roman"/>
          <w:color w:val="000000" w:themeColor="text1"/>
          <w:sz w:val="16"/>
          <w:szCs w:val="16"/>
        </w:rPr>
        <w:softHyphen/>
        <w:t>нили 2 сентября 1942 г. Взлет про</w:t>
      </w:r>
      <w:r w:rsidRPr="001E2C69">
        <w:rPr>
          <w:rFonts w:ascii="Times New Roman" w:hAnsi="Times New Roman"/>
          <w:color w:val="000000" w:themeColor="text1"/>
          <w:sz w:val="16"/>
          <w:szCs w:val="16"/>
        </w:rPr>
        <w:softHyphen/>
        <w:t>шел нормально, но вскоре моторы ТБ-3 стали перегреваться — мощно</w:t>
      </w:r>
      <w:r w:rsidRPr="001E2C69">
        <w:rPr>
          <w:rFonts w:ascii="Times New Roman" w:hAnsi="Times New Roman"/>
          <w:color w:val="000000" w:themeColor="text1"/>
          <w:sz w:val="16"/>
          <w:szCs w:val="16"/>
        </w:rPr>
        <w:softHyphen/>
        <w:t>сти для буксировки явно не хватало. По команде старшего лейтенанта Павла Еремеева, пилота ТБ, Анохин отцепился и пошел на вынужденную посадку на ближайший аэродром в Быково. Вскоре работы по А-40 прекратили, в основном из-за отсутствия подходящего буксировщика, да и ВДВ не проявили должного инте</w:t>
      </w:r>
      <w:r w:rsidRPr="001E2C69">
        <w:rPr>
          <w:rFonts w:ascii="Times New Roman" w:hAnsi="Times New Roman"/>
          <w:color w:val="000000" w:themeColor="text1"/>
          <w:sz w:val="16"/>
          <w:szCs w:val="16"/>
        </w:rPr>
        <w:softHyphen/>
        <w:t>реса к данному проекту. А в довершение всего в кон</w:t>
      </w:r>
      <w:r w:rsidRPr="001E2C69">
        <w:rPr>
          <w:rFonts w:ascii="Times New Roman" w:hAnsi="Times New Roman"/>
          <w:color w:val="000000" w:themeColor="text1"/>
          <w:sz w:val="16"/>
          <w:szCs w:val="16"/>
        </w:rPr>
        <w:softHyphen/>
        <w:t>це года сняли с производства танк Т-60 (12300).</w:t>
      </w:r>
    </w:p>
    <w:p w14:paraId="26531546"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C63DE0B"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7 августа в 1942 году с пробежек облегченного танка по грунтовой взлетно-посадочной полосе и бетонке начались под Москвой в Летно-исследовательском институте (ЛИИ) испытания планера </w:t>
      </w:r>
      <w:hyperlink r:id="rId185" w:tgtFrame="_blank" w:history="1">
        <w:r w:rsidRPr="001E2C69">
          <w:rPr>
            <w:rFonts w:ascii="Times New Roman" w:hAnsi="Times New Roman"/>
            <w:color w:val="000000" w:themeColor="text1"/>
            <w:sz w:val="16"/>
            <w:szCs w:val="16"/>
          </w:rPr>
          <w:t xml:space="preserve">А-40». </w:t>
        </w:r>
      </w:hyperlink>
      <w:r w:rsidRPr="001E2C69">
        <w:rPr>
          <w:rFonts w:ascii="Times New Roman" w:hAnsi="Times New Roman"/>
          <w:color w:val="000000" w:themeColor="text1"/>
          <w:sz w:val="16"/>
          <w:szCs w:val="16"/>
        </w:rPr>
        <w:t>При этом целью ставилось узнать, выдержит ли ходовая часть машины скорость 110-115 км/ч (скорость «Т-60» составляла 45 км/ч). Затем были выполнены три подлета "КТ" на высоте 4 м, в которых опробовали систему управления. Планер изготовили в апреле 1942 года в Тюмени, куда было эвакуировано КБ Антонова. В конце 1941 года Олег Константинович Антонов задумал создать некий гибрид танка и десантного планера, отказавшись от единой силовой установки. Работы над планером, получившим индекс «А-40» (или «КТ» - крылья танка), начались в самый трудный период начала войны - в декабре 1941 г. Для испытаний был предоставлен серийный легкий танк «Т-60» (14976).</w:t>
      </w:r>
    </w:p>
    <w:p w14:paraId="7E4A2E00" w14:textId="77777777" w:rsidR="00014545" w:rsidRPr="001E2C69" w:rsidRDefault="00014545" w:rsidP="00722885">
      <w:pPr>
        <w:spacing w:after="0" w:line="240" w:lineRule="auto"/>
        <w:jc w:val="both"/>
        <w:rPr>
          <w:rFonts w:ascii="Times New Roman" w:hAnsi="Times New Roman"/>
          <w:color w:val="000000" w:themeColor="text1"/>
          <w:sz w:val="16"/>
          <w:szCs w:val="16"/>
        </w:rPr>
      </w:pPr>
    </w:p>
    <w:p w14:paraId="7ED3A650"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18A0560F" w14:textId="77777777" w:rsidR="00AE7191" w:rsidRPr="001E2C69" w:rsidRDefault="00AE7191" w:rsidP="00722885">
      <w:pPr>
        <w:pStyle w:val="Iauiue"/>
        <w:jc w:val="both"/>
        <w:rPr>
          <w:iCs/>
          <w:color w:val="000000" w:themeColor="text1"/>
          <w:sz w:val="16"/>
          <w:szCs w:val="16"/>
        </w:rPr>
      </w:pPr>
    </w:p>
    <w:p w14:paraId="58F92B62" w14:textId="77777777" w:rsidR="00BE1824" w:rsidRPr="001E2C69" w:rsidRDefault="00BE182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С 7 августа по 17 сентября 1942 года орудие ЧК испытывалось на Гороховецком АНИОП, за это время было выполнено 590 выстрелов. Результаты испытаний оказались более успешными, хотя было выявлено около 20 дефектов, часть из которых было однозначно производственными. Максимальная скорострельность достигла 20-25 выстрелов в минуту, а практическая - 9-12. В целом орудие признали перспективным, хотя испытания оно не выдержало (20126).</w:t>
      </w:r>
    </w:p>
    <w:p w14:paraId="6A0226DD" w14:textId="77777777" w:rsidR="00BE1824" w:rsidRPr="001E2C69" w:rsidRDefault="00BE1824"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A122ED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7 по 31 августа 1942 г. опытный образец танка КВ-1К с установкой КАРСТ-1 прошел испытания на Чебаркульском научно-исследовательском полигоне стрелкового вооружения РККА. По результатам было сделано заключение о возможности установки КАРСТ-1 на любом типе танка (тяжелом, среднем, легком) в качестве мощного дополнительного ору</w:t>
      </w:r>
      <w:r w:rsidRPr="001E2C69">
        <w:rPr>
          <w:rFonts w:ascii="Times New Roman" w:hAnsi="Times New Roman"/>
          <w:color w:val="000000" w:themeColor="text1"/>
          <w:sz w:val="16"/>
          <w:szCs w:val="16"/>
        </w:rPr>
        <w:softHyphen/>
        <w:t>жия. Сама ракетная система с учетом изменений была рекомендована для серийного производства и установки на танк КВ-1 С. Несмотря на то, что в декабре 1942 г. даже был разработан проект инструкции по эксплу</w:t>
      </w:r>
      <w:r w:rsidRPr="001E2C69">
        <w:rPr>
          <w:rFonts w:ascii="Times New Roman" w:hAnsi="Times New Roman"/>
          <w:color w:val="000000" w:themeColor="text1"/>
          <w:sz w:val="16"/>
          <w:szCs w:val="16"/>
        </w:rPr>
        <w:softHyphen/>
        <w:t>атации КАРСТ-1, дальнейшие работы по монтажу на танк реактивных установок в качестве дополнительного оружия развития не получили. КАРСТ-1 была установлена на серийный танк КВ-1 обр. 1941 г. про</w:t>
      </w:r>
      <w:r w:rsidRPr="001E2C69">
        <w:rPr>
          <w:rFonts w:ascii="Times New Roman" w:hAnsi="Times New Roman"/>
          <w:color w:val="000000" w:themeColor="text1"/>
          <w:sz w:val="16"/>
          <w:szCs w:val="16"/>
        </w:rPr>
        <w:softHyphen/>
        <w:t>изводства ЧКЗ и представляла собой четыре орудия, которые монтиро</w:t>
      </w:r>
      <w:r w:rsidRPr="001E2C69">
        <w:rPr>
          <w:rFonts w:ascii="Times New Roman" w:hAnsi="Times New Roman"/>
          <w:color w:val="000000" w:themeColor="text1"/>
          <w:sz w:val="16"/>
          <w:szCs w:val="16"/>
        </w:rPr>
        <w:softHyphen/>
        <w:t>вались на надгусеничных полках - по два орудия со стороны каждого борта танка. Основное оружие танка и его боекомплект по сравнению с базовой машиной остались без изменений. Экипаж танка состоял из пя</w:t>
      </w:r>
      <w:r w:rsidRPr="001E2C69">
        <w:rPr>
          <w:rFonts w:ascii="Times New Roman" w:hAnsi="Times New Roman"/>
          <w:color w:val="000000" w:themeColor="text1"/>
          <w:sz w:val="16"/>
          <w:szCs w:val="16"/>
        </w:rPr>
        <w:softHyphen/>
        <w:t>ти человек. Корпус каждого орудия, сваренный из 10- и 30-мм броневых листов, имел прямоугольную форму в поперечном сечении и трапецевидную -в продольном. В корпусе орудия были установлены направляющие для двух 132-мм реактивных осколочно-фугасных снарядов М-13, исполь</w:t>
      </w:r>
      <w:r w:rsidRPr="001E2C69">
        <w:rPr>
          <w:rFonts w:ascii="Times New Roman" w:hAnsi="Times New Roman"/>
          <w:color w:val="000000" w:themeColor="text1"/>
          <w:sz w:val="16"/>
          <w:szCs w:val="16"/>
        </w:rPr>
        <w:softHyphen/>
        <w:t>зуемых из боевого комплекта боевой машины БМ-13 ("Катюша"). Пе</w:t>
      </w:r>
      <w:r w:rsidRPr="001E2C69">
        <w:rPr>
          <w:rFonts w:ascii="Times New Roman" w:hAnsi="Times New Roman"/>
          <w:color w:val="000000" w:themeColor="text1"/>
          <w:sz w:val="16"/>
          <w:szCs w:val="16"/>
        </w:rPr>
        <w:softHyphen/>
        <w:t>редние орудия имели угол возвышения +3°, а кормовые - +4°. Выстрел производился с помощью электрозапала. Из кормовых орудий стрельбу можно было вести только при положении башни с пушкой, располагав</w:t>
      </w:r>
      <w:r w:rsidRPr="001E2C69">
        <w:rPr>
          <w:rFonts w:ascii="Times New Roman" w:hAnsi="Times New Roman"/>
          <w:color w:val="000000" w:themeColor="text1"/>
          <w:sz w:val="16"/>
          <w:szCs w:val="16"/>
        </w:rPr>
        <w:softHyphen/>
        <w:t>шейся вдоль продольной оси танка (10703).</w:t>
      </w:r>
    </w:p>
    <w:p w14:paraId="069B496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0E5B5B0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августа 1942 вышло Постановление ГКО № 2157 Об оставлении завода № 592. в системе НКВ. РГАНИР, Фонд ГКО, д. 50, лл. 164 (11012).</w:t>
      </w:r>
    </w:p>
    <w:p w14:paraId="61BF928D"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D660CD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августа 1942 вышло Постановление № 2158 ГКО О постройке деревянного корпуса механического цеха на заводе № 8. НКВ..РГАНИР, Фонд ГКО, д. 50, лл. 165 (11012).</w:t>
      </w:r>
    </w:p>
    <w:p w14:paraId="1F07FB09"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0365B12"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7 августа 1942 вышло Постановление ГКО № 2159 О назначении т. Белахова л. Ю. уполномоченным ГКО по морским перевозкам в Астрахани и Гурьеве. (7048, 166).</w:t>
      </w:r>
    </w:p>
    <w:p w14:paraId="10506A01" w14:textId="77777777" w:rsidR="00AE7191" w:rsidRPr="001E2C69" w:rsidRDefault="00AE7191" w:rsidP="00722885">
      <w:pPr>
        <w:pStyle w:val="Iauiue"/>
        <w:tabs>
          <w:tab w:val="left" w:pos="11199"/>
        </w:tabs>
        <w:jc w:val="both"/>
        <w:rPr>
          <w:color w:val="000000" w:themeColor="text1"/>
          <w:sz w:val="16"/>
          <w:szCs w:val="16"/>
        </w:rPr>
      </w:pPr>
    </w:p>
    <w:p w14:paraId="77FF5F22" w14:textId="77777777" w:rsidR="00AE7191" w:rsidRPr="001E2C69" w:rsidRDefault="00AE7191" w:rsidP="00722885">
      <w:pPr>
        <w:pStyle w:val="afff5"/>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С 7 августа 1942 года во всех официальных документах вместо Бакальского завода появляется Челябинский металлургический завод и, соответственно, Челябметаллургстрой. Строительство с начала 1942 годом также велось Востокметаллургстроем и Востокметаллургмонтажем. Основной рабочей силой ударной стройки, которую планировали завершить в рекордно короткие сроки, были - помимо мобилизованных рабочих и эвакуированных специалистов - "трудармейцы" и заключенные Бакаллага (действовал с января 1942 года, в августе 1942 года был переименован в Челяблаг при Бакалстрое Челябметаллургстроя НКВД СССР). Всего на конец 1942 года в этом лагере числилось 4600 зэков. К 1 января 1944 года их число выросло до 11,5 тыс. человек. Лагерь входил в систему Главпромстроя НКВД СССР, в 40-е годы у него было 8 основных объектов на Урале. На конец 1942 года в Главпромстрое НКВД на Урале числилось до 80 тыс. зэков (более 52% от их общей численности по стране в этом управлении). На 1 мая на Урале зэков Главпромстроя числилось около 55 тыс. человек. "Трудармейцами" в большинстве своем были репрессированные большевиками советские немцы и их статус, а также существование ничем не отличались от того, что было у "подопечных" системы ГУЛАГа (тем более, что трудармейцы располагались в лагпунктах ГУЛАГа и также охранялись) (11572).</w:t>
      </w:r>
    </w:p>
    <w:p w14:paraId="1AF19317" w14:textId="77777777" w:rsidR="00AE7191" w:rsidRPr="001E2C69" w:rsidRDefault="00AE7191" w:rsidP="00722885">
      <w:pPr>
        <w:pStyle w:val="afff5"/>
        <w:jc w:val="both"/>
        <w:rPr>
          <w:i w:val="0"/>
          <w:iCs w:val="0"/>
          <w:color w:val="000000" w:themeColor="text1"/>
          <w:spacing w:val="0"/>
          <w:kern w:val="0"/>
          <w:position w:val="0"/>
          <w:sz w:val="16"/>
          <w:szCs w:val="16"/>
        </w:rPr>
      </w:pPr>
    </w:p>
    <w:p w14:paraId="40A49706"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05428777" w14:textId="77777777" w:rsidR="00AE7191" w:rsidRPr="001E2C69" w:rsidRDefault="00AE7191" w:rsidP="00722885">
      <w:pPr>
        <w:pStyle w:val="Iauiue"/>
        <w:jc w:val="both"/>
        <w:rPr>
          <w:iCs/>
          <w:color w:val="000000" w:themeColor="text1"/>
          <w:sz w:val="16"/>
          <w:szCs w:val="16"/>
        </w:rPr>
      </w:pPr>
    </w:p>
    <w:p w14:paraId="6453A23E"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августа в 1942 году утреннее сообщение Совинформбюро:</w:t>
      </w:r>
    </w:p>
    <w:p w14:paraId="7783FF55"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7 августа наши войска вели бои с противником в районах Клетская, Котельниково, южнее Белая Глина и южнее Кущевская.</w:t>
      </w:r>
    </w:p>
    <w:p w14:paraId="1DE765C7"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51384D8C"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колонна немецких танков пыталась прорвать линию нашейобороны. Не доходя до наших позиций, три танка противника подорвались на минном поле. Огнём с коротких дистанций наши артиллеристы и бронебойщики подбили и сожгли 5 вражеских машин. Затем в бой вступило подразделение советских тяжёлых танков. Огнём и тараном отважные танкисты уничтожили ещё 14 немецких танков. Остальные танки противника вышли из боя и быстро скрылись. Южнее Клетской наши войска предприняли несколько контратак и потеснили противника. В ходе боёв уничтожено 9 немецких танков и до 800 гитлеровцев.</w:t>
      </w:r>
    </w:p>
    <w:p w14:paraId="7803CDEC"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Котельникова гитлеровцы с целью сломить нашу оборону бросают в бой значительное число танков. Наши части отбили эти атаки противника. Лишь на одном участке 10 немецких танков и значительная группа автоматчиков вклинились в расположение советских частей. В завязавшемся бою уничтожено 4 танка и свыше 200 немецких автоматчиков. Активно действует советская авиация. В течение суток нашилётчики несколько раз бомбили танковые части противника и нанесли им серьёзные потери. В воздушных боях сбито 18 и повреждено 13 немецких самолётов.</w:t>
      </w:r>
    </w:p>
    <w:p w14:paraId="44FFBD50"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Белой Глины наши войска вели тяжёлые оборонительные бои станками и мотопехотой противника. На одном из участков после упорных боёв противнику удалось несколько продвинуться вперёд. В районе южнее Кущевскойнемецко-фашистские войска вели неоднократные атаки наших позиций. Атаки гитлеровцев отбиты с большими для них потерями. Бойцы Н-ского соединения сожгли 9 немецких танков, 60 автомашин и истребили до 700 солдат и офицеров противника.</w:t>
      </w:r>
    </w:p>
    <w:p w14:paraId="220E732A"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Волховском фронте происходили столкновения с небольшими группами противника и редкая артиллерийская и ружейная перестрелка. Наш отряд внезапным ударом ворвался в небольшой населённый пункт и выбил из него немцев. Захвачено орудие и два пулемёта.</w:t>
      </w:r>
    </w:p>
    <w:p w14:paraId="1F64E894"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Брянском фронте происходили действия разведывательных групп. Разведчики во главе с лейтенантами Вахрушевым, Юсуповым и старшим политруком Александровым совершили смелый налёт на укрепления противника. Внезапно ворвавшись в ходы сообщения и ДЗОТы, они уничтожили свыше 40 гитлеровцев, захватили станковый пулемёт и взяли в плен немецкого обер-ефрейтора.</w:t>
      </w:r>
    </w:p>
    <w:p w14:paraId="7D3B32D4"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Партизаны Ленинградской области, действующие на коммуникациях противника, за истекшие две недели пустили под откос 12 немецких железнодорожных эшелонов с живой силой и военными грузами. Советские патриоты сожгли транспортный самолёт «Юнкерс-52», сделавший вынужденную посадку, и огнём пехотного оружия сбили немецкий бомбардировщик.</w:t>
      </w:r>
    </w:p>
    <w:p w14:paraId="6319F0A4"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Ниже публикуются выдержки из записной книжки солдата 9 роты 44 венгерского полка Иштвана Киша: «Проехали много сёл и городов... От города Белая Церковь осталась груда развалин. Здесь видна немецкая работа. Целые улицы сравнены с землёй. В деревнях такая же картина. Везде разрушенные дома...</w:t>
      </w:r>
    </w:p>
    <w:p w14:paraId="7531A6B5"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Целый день готовились к бою с партизанами. В Носовке обшарили все дома, но ни одного партизана не нашли. При обысках отнимаем всё, что нам нужно. Поймали старого учителя. Немедленно допросили и тут же вздёрнули его на виселицу. Командир отделения отрубил ему уши. Это нужно для устрашения...</w:t>
      </w:r>
    </w:p>
    <w:p w14:paraId="0CD55383"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Трудный ночной марш. Недалеко от села Уланова мы неожиданно очутились под градом пуль. Партизаны стреляли из пулемётов, автоматических пистолетов и автоматических винтовок. Батальон потерял больше половины людей... Нас подло обманули. Говорили, что с партизанами будет очень легко разделаться, а на самом деле они не уступают регулярным войскам. Они действуют из засад и всегда неожиданно. Боишься на каждом шагу, так как в любом месте могут всадить пулю».</w:t>
      </w:r>
    </w:p>
    <w:p w14:paraId="6EF16F7A"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Вооружённая группа молодых бельгийцев совершила нападение на штаб эсэсовских войск в Брюсселе. Ручными гранатами уничтожено больше 30 гитлеровцев. Отважные патриоты проникли в тюрьму, освободили несколько десятков бельгийских заложников и скрылись.» (14976).</w:t>
      </w:r>
    </w:p>
    <w:p w14:paraId="3F4E7F93" w14:textId="77777777" w:rsidR="00014545" w:rsidRPr="001E2C69" w:rsidRDefault="00014545" w:rsidP="00722885">
      <w:pPr>
        <w:spacing w:after="0" w:line="240" w:lineRule="auto"/>
        <w:jc w:val="both"/>
        <w:rPr>
          <w:rFonts w:ascii="Times New Roman" w:hAnsi="Times New Roman"/>
          <w:color w:val="000000" w:themeColor="text1"/>
          <w:sz w:val="16"/>
          <w:szCs w:val="16"/>
        </w:rPr>
      </w:pPr>
    </w:p>
    <w:p w14:paraId="418105BD"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августа в 1942 году вечернее сообщение Совинформбюро:</w:t>
      </w:r>
    </w:p>
    <w:p w14:paraId="0DC60D9D"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7 августа наши войска вели ожесточённые бои в районах Клетская, севернее Котельниково, Армавир и южнее Кущевская.</w:t>
      </w:r>
    </w:p>
    <w:p w14:paraId="0204ED5F"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121304DF"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 корабль в Балтийском море потопил транспорт противника водоизмещением в 10.000 тонн.</w:t>
      </w:r>
    </w:p>
    <w:p w14:paraId="7EAE8AB2"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6 августа частями нашей авиации на различных участках фронта уничтожено или повреждено до 50 немецких танков и бронемашин, до 200 автомашин с войсками и грузами, 50 повозок с боеприпасами, 6 автоцистерн с горючим, подавлен огонь 10 батарей полевой и зенитной артиллерии, взорвано 5 складов боеприпасов, разбит железнодорожный состав, рассеяно и частью уничтожено до двух батальонов пехоты противника.</w:t>
      </w:r>
    </w:p>
    <w:p w14:paraId="090BBB8A"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наши войска отбили несколько атак немцев. Только перед оборонительными рубежами Н-ской части гитлеровцы потеряли 8 танков и 350 солдат и офицеров. Упорные бои развернулись южнее Клетской на участке Н-ского гвардейского соединения. В течение последних дней гвардейцы отразили 17 танковых атак противника и уничтожили более 100 немецких танков. Лишь за один день огнём артиллерии и стрелковых подразделений истреблено 500 гитлеровцев.</w:t>
      </w:r>
    </w:p>
    <w:p w14:paraId="22264DC3"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севернее Котельникова продолжались ожесточённые бои с танкам и автоматчиками противника, вклинившимися в нашу оборону. В бою за один населённый пункт подбито 8 танков и истреблено свыше 300 немецких автоматчиков. Подтянув резервы, немцы предприняли на этом участке вторую танковую атаку. К этому времени подошли советские танки и сразу же нанесли контрудар. Гитлеровцы понесли большие потери.</w:t>
      </w:r>
    </w:p>
    <w:p w14:paraId="32820742"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Белой Глины наши войска в течение нескольких дней вели тяжёлые оборонительные бои против наступающих немецко-фашистских войск. На участке Н-ского соединения вражеские колонны танков и мотопехоты были встречены артиллерийским и миномётным огнём. Неприятель потерял до 40 танков и более 1.000 солдат и офицеров. Подтянув новые силы, немцы снова атаковали наши позиции. После кровопролитных боёв с численно превосходящими силами противника наши части отошли на новый оборонительный рубеж в направлении Армавира.</w:t>
      </w:r>
    </w:p>
    <w:p w14:paraId="415D4B83"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Южнее Воронежа наши части форсировали реку Дон. Советские бойцы заняли два крупных населённых пункта. Бои идут на улицах нескольких других населённых пунктов. Разгромлен полк седьмой венгерской дивизии. Захвачены 12 орудий и другие трофеи.</w:t>
      </w:r>
    </w:p>
    <w:p w14:paraId="3326C6F1"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Карельском фронте происходили столкновения с разведывательными группами противника. В районе части, где командиром тов. Гришин, около роты вражеских солдат подошло к нашему боевому охранению. Бойцы подпустили немцев на близкое расстояние и открыли ружейно-пулемётный огонь. Потеряв несколько десятков убитыми, гитлеровцы отступили.</w:t>
      </w:r>
    </w:p>
    <w:p w14:paraId="71AAEA08"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Группа наших лётчиков во главе с командиром подразделения тов. Книжником атаковала вражеский аэродром. Уничтожено 6 немецких самолётов, взорван склад с боеприпасами. Наши самолёты без потерь вернулись на свой аэродром.</w:t>
      </w:r>
    </w:p>
    <w:p w14:paraId="44E136FB"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тов. С. действующий в одном из районов Сумской области, организовал крушение воинского эшелона противника. Разбито 50 вагонов. Убито и ранено свыше тысячи немецко-фашистских оккупантов.</w:t>
      </w:r>
    </w:p>
    <w:p w14:paraId="0F07219D"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августа на сторону Красной Армии перелетели три немецких лётчика на самолётах «Мессершмитт-109». Сдавшиеся в плен лейтенант Бодо Хельме, унтер-офицер Курт Филипп и рядовой Вернер Шумхер совершили посадку на одной из площадок в районе нашей линии обороны. Пленные заявили, что еще в пути на фронт они сговорились между собой о переходе на сторону русских. Бодо Хельме, Курт Филипп и Вернер Шумхер обратились к немецким солдатам с призывом сдаваться в плен и тем самым сохранить себе жизнь в этой преступной войне, затеянной Гитлером и его кликой.</w:t>
      </w:r>
    </w:p>
    <w:p w14:paraId="1FA14321"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захватчики обрекают население Советской Эстонии на голодную смерть. Всё продовольствие гитлеровцы вывозят в Германию. Жители эстонских городов получают по 170 граммов суррогатного хлеба. Подавляющее большинство фабрик бездействует.</w:t>
      </w:r>
    </w:p>
    <w:p w14:paraId="0898FA38"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Грызня между румынскими и венгерскими подручными Гитлера нередко переходит в открытую драку. В июле на участке венгерско-румынской границы между Клужем и Тыргу-Мурешем произошли кровавые столкновения. У пункта Салонта недавно рота румынских солдат перешла границу и напала на венгерскую пограничную стражу.» (14976).</w:t>
      </w:r>
    </w:p>
    <w:p w14:paraId="6FC3F6C8" w14:textId="77777777" w:rsidR="00014545" w:rsidRPr="001E2C69" w:rsidRDefault="00014545" w:rsidP="00722885">
      <w:pPr>
        <w:spacing w:after="0" w:line="240" w:lineRule="auto"/>
        <w:jc w:val="both"/>
        <w:rPr>
          <w:rFonts w:ascii="Times New Roman" w:hAnsi="Times New Roman"/>
          <w:color w:val="000000" w:themeColor="text1"/>
          <w:sz w:val="16"/>
          <w:szCs w:val="16"/>
        </w:rPr>
      </w:pPr>
    </w:p>
    <w:p w14:paraId="4BDF3896" w14:textId="5DC9DB16" w:rsidR="00EC7BF5" w:rsidRPr="001E2C69" w:rsidRDefault="00EC7BF5" w:rsidP="00722885">
      <w:pPr>
        <w:pStyle w:val="af"/>
        <w:spacing w:before="0" w:after="0"/>
        <w:jc w:val="both"/>
        <w:textAlignment w:val="baseline"/>
        <w:rPr>
          <w:color w:val="000000" w:themeColor="text1"/>
          <w:sz w:val="16"/>
          <w:szCs w:val="16"/>
        </w:rPr>
      </w:pPr>
      <w:r w:rsidRPr="001E2C69">
        <w:rPr>
          <w:color w:val="000000" w:themeColor="text1"/>
          <w:sz w:val="16"/>
          <w:szCs w:val="16"/>
        </w:rPr>
        <w:t>7 августа 1942 группа Илов во главе с командиром 622-го шап майором Владимиром Землянским атаковала танковую колонну, обнаруженную в районе разъезда №</w:t>
      </w:r>
      <w:r w:rsidR="001E2C69">
        <w:rPr>
          <w:color w:val="000000" w:themeColor="text1"/>
          <w:sz w:val="16"/>
          <w:szCs w:val="16"/>
        </w:rPr>
        <w:t xml:space="preserve">   </w:t>
      </w:r>
      <w:r w:rsidRPr="001E2C69">
        <w:rPr>
          <w:color w:val="000000" w:themeColor="text1"/>
          <w:sz w:val="16"/>
          <w:szCs w:val="16"/>
        </w:rPr>
        <w:t xml:space="preserve">74 Светлоярского района Сталинградской области. В ходе одного из заходов штурмовик ведущего был подбит огнем зениток. 35-летний пилот приказал по радио принять командование группой своему заместителю, а сам спикировал на немецкие танки. На сей раз командованию показалось мало «Знамени», и Землянского </w:t>
      </w:r>
      <w:r w:rsidRPr="001E2C69">
        <w:rPr>
          <w:color w:val="000000" w:themeColor="text1"/>
          <w:sz w:val="16"/>
          <w:szCs w:val="16"/>
        </w:rPr>
        <w:lastRenderedPageBreak/>
        <w:t>представили к званию Героя Советского Союза, которое и было ему присвоено 5 ноября того же года (19522).</w:t>
      </w:r>
    </w:p>
    <w:p w14:paraId="4D8ABBEA" w14:textId="77777777" w:rsidR="00EC7BF5" w:rsidRPr="001E2C69" w:rsidRDefault="00EC7BF5" w:rsidP="00722885">
      <w:pPr>
        <w:pStyle w:val="af"/>
        <w:spacing w:before="0" w:after="0"/>
        <w:jc w:val="both"/>
        <w:textAlignment w:val="baseline"/>
        <w:rPr>
          <w:color w:val="000000" w:themeColor="text1"/>
          <w:sz w:val="16"/>
          <w:szCs w:val="16"/>
        </w:rPr>
      </w:pPr>
    </w:p>
    <w:p w14:paraId="5E57EFA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7 августа 1942 погиб командир 622-го </w:t>
      </w:r>
      <w:r w:rsidRPr="001E2C69">
        <w:rPr>
          <w:iCs/>
          <w:color w:val="000000" w:themeColor="text1"/>
          <w:sz w:val="16"/>
          <w:szCs w:val="16"/>
        </w:rPr>
        <w:t xml:space="preserve">шап </w:t>
      </w:r>
      <w:r w:rsidRPr="001E2C69">
        <w:rPr>
          <w:color w:val="000000" w:themeColor="text1"/>
          <w:sz w:val="16"/>
          <w:szCs w:val="16"/>
        </w:rPr>
        <w:t>м-р В.В.Землянский. Во время бомбоштурмового удара по немецкой бронетехнике на южном фасе внешнего оборо</w:t>
      </w:r>
      <w:r w:rsidRPr="001E2C69">
        <w:rPr>
          <w:color w:val="000000" w:themeColor="text1"/>
          <w:sz w:val="16"/>
          <w:szCs w:val="16"/>
        </w:rPr>
        <w:softHyphen/>
        <w:t>нительного обвода Сталинграда Землянский, выводя летчиков полка в атаку, по</w:t>
      </w:r>
      <w:r w:rsidRPr="001E2C69">
        <w:rPr>
          <w:color w:val="000000" w:themeColor="text1"/>
          <w:sz w:val="16"/>
          <w:szCs w:val="16"/>
        </w:rPr>
        <w:softHyphen/>
        <w:t>пал под сосредоточенный огонь немец</w:t>
      </w:r>
      <w:r w:rsidRPr="001E2C69">
        <w:rPr>
          <w:color w:val="000000" w:themeColor="text1"/>
          <w:sz w:val="16"/>
          <w:szCs w:val="16"/>
        </w:rPr>
        <w:softHyphen/>
        <w:t>кой батареи МЗА. В результате его Ил-2 превратился в рванину и загорелся. Передав управление своему заместите</w:t>
      </w:r>
      <w:r w:rsidRPr="001E2C69">
        <w:rPr>
          <w:color w:val="000000" w:themeColor="text1"/>
          <w:sz w:val="16"/>
          <w:szCs w:val="16"/>
        </w:rPr>
        <w:softHyphen/>
        <w:t>лю, В.В.Землянский направил горящую машину на скопление танков и броне</w:t>
      </w:r>
      <w:r w:rsidRPr="001E2C69">
        <w:rPr>
          <w:color w:val="000000" w:themeColor="text1"/>
          <w:sz w:val="16"/>
          <w:szCs w:val="16"/>
        </w:rPr>
        <w:softHyphen/>
        <w:t>машин... Посмертно В.В.Землянскому Указом Президиума Верховного Совета СССР от 5 ноября 1942 г. было присво</w:t>
      </w:r>
      <w:r w:rsidRPr="001E2C69">
        <w:rPr>
          <w:color w:val="000000" w:themeColor="text1"/>
          <w:sz w:val="16"/>
          <w:szCs w:val="16"/>
        </w:rPr>
        <w:softHyphen/>
        <w:t>ено звание Героя Советского Союза (6467).</w:t>
      </w:r>
    </w:p>
    <w:p w14:paraId="6E91A5DE" w14:textId="77777777" w:rsidR="00AE7191" w:rsidRPr="001E2C69" w:rsidRDefault="00AE7191" w:rsidP="00722885">
      <w:pPr>
        <w:pStyle w:val="Iauiue"/>
        <w:jc w:val="both"/>
        <w:rPr>
          <w:color w:val="000000" w:themeColor="text1"/>
          <w:sz w:val="16"/>
          <w:szCs w:val="16"/>
        </w:rPr>
      </w:pPr>
    </w:p>
    <w:p w14:paraId="64952B6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августа 1942 погиб командир 622-го шап майор Землянский. Во время бомбоштурмового удара по немецкой бронетехнике на южном фасе внешнего оборонительного обвода Сталинграда Землянский, выводя летчиков полка в атаку, попал под сосредоточенный огонь батареи зенитных автоматов. В результате его Ил-2 загорелся. Передав управление группой своему заместителю, Землянский направил горящую машину на скопление танков и бронемашин... Посмертно В. В. Землянскому Указом Президиума Верховного Совета СССР от 5 ноября 1942 г. было присвоено звание Героя Советского Союза.</w:t>
      </w:r>
    </w:p>
    <w:p w14:paraId="49B02FD8" w14:textId="77777777" w:rsidR="00AE7191" w:rsidRPr="001E2C69" w:rsidRDefault="00AE7191" w:rsidP="00722885">
      <w:pPr>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rPr>
        <w:t xml:space="preserve">Через три дня подвиг Землянского повторил молодой летчик 673-го шап ст. сержант Рогальский, который в своем первом боевом вылете был подбит зенитным огнем над целью в районе р. Малая-Тин гута. Штурмовик загорелся. В результате падения Ил-2 Рогальского на скопление автомашин с грузами наблюдались сильные взрывы... </w:t>
      </w:r>
      <w:r w:rsidRPr="001E2C69">
        <w:rPr>
          <w:rFonts w:ascii="Times New Roman" w:hAnsi="Times New Roman"/>
          <w:color w:val="000000" w:themeColor="text1"/>
          <w:sz w:val="16"/>
          <w:szCs w:val="16"/>
          <w:lang w:val="en-US"/>
        </w:rPr>
        <w:t>(12020).</w:t>
      </w:r>
    </w:p>
    <w:p w14:paraId="0728483D" w14:textId="77777777" w:rsidR="00AE7191" w:rsidRPr="001E2C69" w:rsidRDefault="00AE7191" w:rsidP="00722885">
      <w:pPr>
        <w:spacing w:after="0" w:line="240" w:lineRule="auto"/>
        <w:jc w:val="both"/>
        <w:rPr>
          <w:rFonts w:ascii="Times New Roman" w:hAnsi="Times New Roman"/>
          <w:color w:val="000000" w:themeColor="text1"/>
          <w:sz w:val="16"/>
          <w:szCs w:val="16"/>
          <w:lang w:val="en-US"/>
        </w:rPr>
      </w:pPr>
    </w:p>
    <w:p w14:paraId="2F680CAD"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lang w:val="en-US"/>
        </w:rPr>
        <w:t>August 7, 1942: Units of the 6.Armee (von Paulus) cross the Don river at Kalach in their advance toward Stalingrad (3819).</w:t>
      </w:r>
    </w:p>
    <w:p w14:paraId="45BB0B62" w14:textId="77777777" w:rsidR="00AE7191" w:rsidRPr="001E2C69" w:rsidRDefault="00AE7191" w:rsidP="00722885">
      <w:pPr>
        <w:pStyle w:val="Iauiue"/>
        <w:jc w:val="both"/>
        <w:rPr>
          <w:color w:val="000000" w:themeColor="text1"/>
          <w:sz w:val="16"/>
          <w:szCs w:val="16"/>
          <w:lang w:val="en-US"/>
        </w:rPr>
      </w:pPr>
    </w:p>
    <w:p w14:paraId="33B093D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 августа 1942 части 6А (фон Паулюс) форсировали Дон у Калача (3819).</w:t>
      </w:r>
    </w:p>
    <w:p w14:paraId="18241511" w14:textId="77777777" w:rsidR="00AE7191" w:rsidRPr="001E2C69" w:rsidRDefault="00AE7191" w:rsidP="00722885">
      <w:pPr>
        <w:pStyle w:val="Iauiue"/>
        <w:jc w:val="both"/>
        <w:rPr>
          <w:color w:val="000000" w:themeColor="text1"/>
          <w:sz w:val="16"/>
          <w:szCs w:val="16"/>
        </w:rPr>
      </w:pPr>
    </w:p>
    <w:p w14:paraId="3B48F9FA"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7 августа 1942 вышло Постановление ГКО № 2156 [О пополнении Волховского фронта.] (7048, 163).</w:t>
      </w:r>
    </w:p>
    <w:p w14:paraId="79AACCA0" w14:textId="77777777" w:rsidR="00AE7191" w:rsidRPr="001E2C69" w:rsidRDefault="00AE7191" w:rsidP="00722885">
      <w:pPr>
        <w:pStyle w:val="Iauiue"/>
        <w:tabs>
          <w:tab w:val="left" w:pos="11199"/>
        </w:tabs>
        <w:jc w:val="both"/>
        <w:rPr>
          <w:color w:val="000000" w:themeColor="text1"/>
          <w:sz w:val="16"/>
          <w:szCs w:val="16"/>
        </w:rPr>
      </w:pPr>
    </w:p>
    <w:p w14:paraId="28790A0A"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4682FB79" w14:textId="77777777" w:rsidR="00AE7191" w:rsidRPr="001E2C69" w:rsidRDefault="00AE7191" w:rsidP="00722885">
      <w:pPr>
        <w:pStyle w:val="Iauiue"/>
        <w:jc w:val="both"/>
        <w:rPr>
          <w:iCs/>
          <w:color w:val="000000" w:themeColor="text1"/>
          <w:sz w:val="16"/>
          <w:szCs w:val="16"/>
        </w:rPr>
      </w:pPr>
    </w:p>
    <w:p w14:paraId="29F622A1"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7 августа 1942 у Каира немцами подбит самолет, на котором летел генерал Уильям Готт, за сутки до этого назначенный командующим 8-й английской армией в Северной Африке (4962).</w:t>
      </w:r>
    </w:p>
    <w:p w14:paraId="629B53E0" w14:textId="77777777" w:rsidR="00AE7191" w:rsidRPr="001E2C69" w:rsidRDefault="00AE7191" w:rsidP="00722885">
      <w:pPr>
        <w:pStyle w:val="Iauiue"/>
        <w:tabs>
          <w:tab w:val="left" w:pos="11199"/>
        </w:tabs>
        <w:jc w:val="both"/>
        <w:rPr>
          <w:color w:val="000000" w:themeColor="text1"/>
          <w:sz w:val="16"/>
          <w:szCs w:val="16"/>
        </w:rPr>
      </w:pPr>
    </w:p>
    <w:p w14:paraId="7BEDACF6"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августа в 1942 году у Каира немцы подбивают самолет, на котором летит генерал Уильям Готт, за сутки до этого назначенный командующим 8-й английской армией в Северной Африке (14976).</w:t>
      </w:r>
    </w:p>
    <w:p w14:paraId="68114B7B" w14:textId="77777777" w:rsidR="00014545" w:rsidRPr="001E2C69" w:rsidRDefault="00014545" w:rsidP="00722885">
      <w:pPr>
        <w:spacing w:after="0" w:line="240" w:lineRule="auto"/>
        <w:jc w:val="both"/>
        <w:rPr>
          <w:rFonts w:ascii="Times New Roman" w:hAnsi="Times New Roman"/>
          <w:color w:val="000000" w:themeColor="text1"/>
          <w:sz w:val="16"/>
          <w:szCs w:val="16"/>
        </w:rPr>
      </w:pPr>
    </w:p>
    <w:p w14:paraId="7A89A019" w14:textId="77777777" w:rsidR="00014545" w:rsidRPr="001E2C69" w:rsidRDefault="00014545" w:rsidP="00722885">
      <w:pPr>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rPr>
        <w:t>7 августа в 1942 году военный кабинет Великобритании утвердил изменения в структуре командования войсками на Среднем Востоке. ГлавнокомандующимназначенгенералГ</w:t>
      </w:r>
      <w:r w:rsidRPr="001E2C69">
        <w:rPr>
          <w:rFonts w:ascii="Times New Roman" w:hAnsi="Times New Roman"/>
          <w:color w:val="000000" w:themeColor="text1"/>
          <w:sz w:val="16"/>
          <w:szCs w:val="16"/>
          <w:lang w:val="en-US"/>
        </w:rPr>
        <w:t>.</w:t>
      </w:r>
      <w:r w:rsidRPr="001E2C69">
        <w:rPr>
          <w:rFonts w:ascii="Times New Roman" w:hAnsi="Times New Roman"/>
          <w:color w:val="000000" w:themeColor="text1"/>
          <w:sz w:val="16"/>
          <w:szCs w:val="16"/>
        </w:rPr>
        <w:t>Александер</w:t>
      </w:r>
      <w:r w:rsidRPr="001E2C69">
        <w:rPr>
          <w:rFonts w:ascii="Times New Roman" w:hAnsi="Times New Roman"/>
          <w:color w:val="000000" w:themeColor="text1"/>
          <w:sz w:val="16"/>
          <w:szCs w:val="16"/>
          <w:lang w:val="en-US"/>
        </w:rPr>
        <w:t xml:space="preserve"> (14976).</w:t>
      </w:r>
    </w:p>
    <w:p w14:paraId="0CCFC6F0" w14:textId="77777777" w:rsidR="00014545" w:rsidRPr="001E2C69" w:rsidRDefault="00014545" w:rsidP="00722885">
      <w:pPr>
        <w:spacing w:after="0" w:line="240" w:lineRule="auto"/>
        <w:jc w:val="both"/>
        <w:rPr>
          <w:rFonts w:ascii="Times New Roman" w:hAnsi="Times New Roman"/>
          <w:color w:val="000000" w:themeColor="text1"/>
          <w:sz w:val="16"/>
          <w:szCs w:val="16"/>
          <w:lang w:val="en-US"/>
        </w:rPr>
      </w:pPr>
    </w:p>
    <w:p w14:paraId="1A0F8F60"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lang w:val="en-US"/>
        </w:rPr>
        <w:t>August 7 1942 British General Bernard Montgomery takes command of Eighth Army in North Africa (1050).</w:t>
      </w:r>
    </w:p>
    <w:p w14:paraId="61FC1377" w14:textId="77777777" w:rsidR="00AE7191" w:rsidRPr="001E2C69" w:rsidRDefault="00AE7191" w:rsidP="00722885">
      <w:pPr>
        <w:pStyle w:val="Iauiue"/>
        <w:jc w:val="both"/>
        <w:rPr>
          <w:color w:val="000000" w:themeColor="text1"/>
          <w:sz w:val="16"/>
          <w:szCs w:val="16"/>
          <w:lang w:val="en-US"/>
        </w:rPr>
      </w:pPr>
    </w:p>
    <w:p w14:paraId="1E83A1E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 августа 1942 английский г Монтгомери принял командование 8 армией в Северной Африке (1050).</w:t>
      </w:r>
    </w:p>
    <w:p w14:paraId="3AE72DC7" w14:textId="77777777" w:rsidR="00AE7191" w:rsidRPr="001E2C69" w:rsidRDefault="00AE7191" w:rsidP="00722885">
      <w:pPr>
        <w:pStyle w:val="Iauiue"/>
        <w:jc w:val="both"/>
        <w:rPr>
          <w:color w:val="000000" w:themeColor="text1"/>
          <w:sz w:val="16"/>
          <w:szCs w:val="16"/>
        </w:rPr>
      </w:pPr>
    </w:p>
    <w:p w14:paraId="51D405BB"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7 августа 1942 на Ближнем Востоке англичанами создан Палестинский полк с отдельными еврейскими и арабскими батальонами (4962).</w:t>
      </w:r>
    </w:p>
    <w:p w14:paraId="4DECB9FD" w14:textId="77777777" w:rsidR="00AE7191" w:rsidRPr="001E2C69" w:rsidRDefault="00AE7191" w:rsidP="00722885">
      <w:pPr>
        <w:pStyle w:val="Iauiue"/>
        <w:tabs>
          <w:tab w:val="left" w:pos="11199"/>
        </w:tabs>
        <w:jc w:val="both"/>
        <w:rPr>
          <w:color w:val="000000" w:themeColor="text1"/>
          <w:sz w:val="16"/>
          <w:szCs w:val="16"/>
        </w:rPr>
      </w:pPr>
    </w:p>
    <w:p w14:paraId="0DA7FDB3"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7 августа 1942 началась битва американцев с японцами за Гвадалканал (Соломоновы острова) (4962).</w:t>
      </w:r>
    </w:p>
    <w:p w14:paraId="00BC66E4" w14:textId="77777777" w:rsidR="00AE7191" w:rsidRPr="001E2C69" w:rsidRDefault="00AE7191" w:rsidP="00722885">
      <w:pPr>
        <w:pStyle w:val="Iauiue"/>
        <w:tabs>
          <w:tab w:val="left" w:pos="11199"/>
        </w:tabs>
        <w:jc w:val="both"/>
        <w:rPr>
          <w:color w:val="000000" w:themeColor="text1"/>
          <w:sz w:val="16"/>
          <w:szCs w:val="16"/>
        </w:rPr>
      </w:pPr>
    </w:p>
    <w:p w14:paraId="56C3E868"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lang w:val="en-US"/>
        </w:rPr>
        <w:t>August 7 1942 - February 1943 1942 Capture of Guadalcanal 1942 Air support for the U.S Marines' first amphibious landing of World War II was provided by three carriers of Air Support Force (Rear Admiral L. Noyes), and by Navy, Marine, and Army units of Aircraft, South Pacific (Rear Admiral J. S. McCain) operating from bases on New Caledonia and in the New Hebrides. Carrier forces withdrew from direct support (9 Aug) but remained in the area to give overall support to the campaign during which they participated in several of the naval engagements fought over the island. Saratoga sank the Japanese light carrier Ryujo in the Battle of the Eastern Solomons (23-25 Aug); Enterprise was hit by carrier-based bombers (24 Aug) and forced to retire; Saratoga was damaged by a submarine torpedo (31 Aug) and forced to retire; and Wasp was sunk by a submarine (15 Sep) while escorting a troop convoy to Guadalcanal. Hornet, in Task Group 17 (Rear Admiral G. D. Murray), hit targets in the Buin-Tonolei-Faisi area (5 Oct); attacked beached Japanese transports and supply dumps on Guadalcanal; destroyed a concentration of seaplanes at Rekata Bay (16 Oct); and, with the Enterprise, fought in the Battle of Santa Cruz (26-27 Oct) in which she was sunk by air attack. In final carrier actions of the campaign, the Enterprise took part in the last stages of the Naval Battle for Guadalcanal (12-15 Nov), assisting in sinking 89,000 tons of war and cargo ships, and in the Battle of Rennel Island (29-30 Jan) in which two escort carriers also participated. Ashore, air forces in great variety provided direct support. Navy patrol squadrons flew search, rescue, and offensive missions from sheltered coves and harbors. Marine Fighter Squadron 223 and Scout Bombing Squadron 232, delivered by the escort carrier Long Island, initiated operations from Henderson Field on Guadalcanal (20 Aug) and were joined within a week by AAF fighter elements and dive bombers from the Enterprise, and by other elements as the campaign progressed. Until the island was secure (9 Feb), these forces flew interceptor patrols, offensive missions against shipping, and close air support for the Marines and for Army troops relieving them (13 Oct). Marine air units carrying the major air support burden accounted for 427 enemy aircraft during the campaign (1090).</w:t>
      </w:r>
    </w:p>
    <w:p w14:paraId="34B7C4BC" w14:textId="77777777" w:rsidR="00AE7191" w:rsidRPr="001E2C69" w:rsidRDefault="00AE7191" w:rsidP="00722885">
      <w:pPr>
        <w:pStyle w:val="Iauiue"/>
        <w:jc w:val="both"/>
        <w:rPr>
          <w:color w:val="000000" w:themeColor="text1"/>
          <w:sz w:val="16"/>
          <w:szCs w:val="16"/>
          <w:lang w:val="en-US"/>
        </w:rPr>
      </w:pPr>
    </w:p>
    <w:p w14:paraId="73B0B98C" w14:textId="547BC487" w:rsidR="00BE1824" w:rsidRPr="001E2C69" w:rsidRDefault="00BE182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августа 1942 начинается операция «Сторожевая башня» - вторжение США на Гуадалканал, Тулаги, Гавуту и Танамбого. Авианосцы USS Enterprise (CV-6) и USS Saratoga (CV-3) прикрывают высадку авиаударами, а самолеты армии США Boeing B-17 Flying Fortress бомбят японские аэродромы в Рабауле. Базирующиеся в Рабауле японские самолеты атакуют американские транспорты и их эскорт у Гуадалканала, после чего происходят воздушные бои с самолетами из Энтерпрайза и Саратоги (20793).</w:t>
      </w:r>
    </w:p>
    <w:p w14:paraId="5DCB1F47" w14:textId="77777777" w:rsidR="00BE1824" w:rsidRPr="001E2C69" w:rsidRDefault="00BE1824" w:rsidP="00722885">
      <w:pPr>
        <w:spacing w:after="0" w:line="240" w:lineRule="auto"/>
        <w:jc w:val="both"/>
        <w:rPr>
          <w:rFonts w:ascii="Times New Roman" w:hAnsi="Times New Roman"/>
          <w:color w:val="000000" w:themeColor="text1"/>
          <w:sz w:val="16"/>
          <w:szCs w:val="16"/>
        </w:rPr>
      </w:pPr>
    </w:p>
    <w:p w14:paraId="0903354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 августа 1942 американцы высадились на Гвадалканале (2245,7) и бои шли до 7 февраля 1943 (3907,236).</w:t>
      </w:r>
    </w:p>
    <w:p w14:paraId="5B1F4ACB" w14:textId="77777777" w:rsidR="00AE7191" w:rsidRPr="001E2C69" w:rsidRDefault="00AE7191" w:rsidP="00722885">
      <w:pPr>
        <w:pStyle w:val="Iauiue"/>
        <w:jc w:val="both"/>
        <w:rPr>
          <w:color w:val="000000" w:themeColor="text1"/>
          <w:sz w:val="16"/>
          <w:szCs w:val="16"/>
        </w:rPr>
      </w:pPr>
    </w:p>
    <w:p w14:paraId="5A852676"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августа в 1942 году американские войска начали операцию "Watchtower"(сторожевая башня) - высадку на остров Гуадаканал. В этот день на остров высадились 11 000 человек из 1-й дивизии морской пехоты. Части американской армии захватывают аэродром на острове Гуадалканал (известный как аэродром Гендерсона) и удерживают его, отбив несколько японских контратак (бои будут продолжаться до 7 февраля 1943).</w:t>
      </w:r>
    </w:p>
    <w:p w14:paraId="4121591B"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Утром 7 августа американские корабли, незаметно приблизившиеся к месту проведения операции под прикрытием палубной авиации, начали высадку на Гуадалканале и в Тулаги. На Гуадалканале части морской пехоты США, не встретив значительного сопротивления, уже 8 августа захватили аэродором со всеми постройками и значительным количеством припасов и амуниции. На северном участке операция протекала не столь успешно. Здесь союзникам пришлось столкнуться с ожесточенным сопротивлением японского гарнизона, умело использующего рельеф местности, однако к 9 августа база в Тулаги была также захвачена.</w:t>
      </w:r>
    </w:p>
    <w:p w14:paraId="37642B4A"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Японское командование отреагировало оперативно и уже начиная с 13:00 7 августа американские соединения подверглись первому авиационному налету. В ходе последующих атак 7 и 8 августа японским летчикам удалось уничтожить один транспорт и повредить торпедой эсминец «Джарвис», который на следующий день был потоплен при переходе на ремонт в Сидней. В то же время японское командование направило к Гуадалканалу отряд крейсеров под командованием адмирала Микавы. Вслед за ними была отправлена группа десантных судов, имевших задачу осуществить высадку на острове. Эта группа была атакована американской подводной лодкой, и потеряв один транспорт была вынуждена вернуться в Рабаул. Ночью, 8 августа Микаве буквально чудом удалось провести свои корабли незамеченными между эсминцами радиолокационного обнаружения и совершить неожиданную ночную атаку на корабли союзников, прикрывающие высадку. В результате происшедшего избиения союзники потеряли крейсера «Куинси», «Винсеннес», «Астория» и «Канберра». Несмотря на достигнутый успех Микава не выполнил своей задачи — уничтожения транспортных кораблей союзников. Потери японцев в этом бою были незначительными, но уходящие с места боя корабли подверглись атаке американской подводной лодки «S-44», в результате которой был потоплен крейсер «Како». 18 августа японцам удалось высадить немногочисленный десант на Гуадалканал, где они столкнулись с подавляющим превосходством противника и понесли большие потери. Японской ставкой было принято решение высадить на острове более крупные силы, для чего началось стягивание в район боевых действий значительных сил флота и десантных соединений. Подготовка противника к высадке на остров была замечена американским командованием. Для противодействия японским силам в район боевых действий были стянуты 4 авианосца, 2 линкора и большое количество меньших кораблей. Морские силы японцев были представлены двумя тяжелыми и легким авианосцем, двумя линкорами, множеством крейсеров, эсминцев и подводных лодок. 24 августа началось сражение у восточных Соломоновых островов. В ходе сражения ударами палубной и базовой авиации был потоплен легкий авианосец, а также эсминец и транспорт из отряда десантных сил. Ввиду таких потерь было принято решение отменить высадку. Ответными атаками японских самолетов был серьёзно поврежден авианосец «Энтерпрайз», понеся значительные потери.</w:t>
      </w:r>
    </w:p>
    <w:p w14:paraId="18DD7E7E" w14:textId="77777777" w:rsidR="00014545" w:rsidRPr="001E2C69" w:rsidRDefault="0001454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Конец августа был отмечен борьбой за господство в воздухе, где японцы несли гораздо большие потери, в том числе в палубной авиации. В автобиографии Сабуро Сакаи (Сакаи Сабуро Самурай Легендарный летчик Императорского военно-морского флота Японии 1938-1945 Москва "Центрполиграф" 2005г.) - одного из самых известных, а главное, выживших японских асов говориться что потери самолетов японскими войсками сильно преувеличены американскими историками. Находясь в части дислоцированной в Лаэ он ежедневно встречался в воздухе на своем устаревшем "Зеро" с американскими летчиками, наращивавшими свой потенциал. Он писал о том как тяжело(практически невозможно) было сбивать "летающие крепости" «В-17», как сравнительно легко было воевать против «Р-39» и «Р-40» и каким крахом для японской авиации оказался выпуск более совершенных американских истребителей, штурмовиков и бомбардировщиков. Но это было позже. Кстати, он приводит интересные данные о том что в сражении у Гуадалканала погибла вся флотилия летающих японских лодок. Битва за Гуадалканал часто называется переломным событием в боевых действиях на Тихом океане, поскольку она ознаменовала окончательную утрату Японией стратегической инициативы и переход союзников от обороны к наступлению (14976).</w:t>
      </w:r>
    </w:p>
    <w:p w14:paraId="044A5BA1" w14:textId="77777777" w:rsidR="00014545" w:rsidRPr="001E2C69" w:rsidRDefault="00014545" w:rsidP="00722885">
      <w:pPr>
        <w:spacing w:after="0" w:line="240" w:lineRule="auto"/>
        <w:jc w:val="both"/>
        <w:rPr>
          <w:rFonts w:ascii="Times New Roman" w:hAnsi="Times New Roman"/>
          <w:color w:val="000000" w:themeColor="text1"/>
          <w:sz w:val="16"/>
          <w:szCs w:val="16"/>
        </w:rPr>
      </w:pPr>
    </w:p>
    <w:p w14:paraId="33A9D747"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15B48394" w14:textId="77777777" w:rsidR="00AE7191" w:rsidRPr="001E2C69" w:rsidRDefault="00AE7191" w:rsidP="00722885">
      <w:pPr>
        <w:pStyle w:val="Iauiue"/>
        <w:jc w:val="both"/>
        <w:rPr>
          <w:iCs/>
          <w:color w:val="000000" w:themeColor="text1"/>
          <w:sz w:val="16"/>
          <w:szCs w:val="16"/>
        </w:rPr>
      </w:pPr>
    </w:p>
    <w:p w14:paraId="492894DD" w14:textId="77777777" w:rsidR="00EC7BF5" w:rsidRPr="001E2C69" w:rsidRDefault="00EC7BF5"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8 августа 1942 г. командующий ВВС КА генерал-лейтенант Новиков и член Военного Совета ВВС дивизионный комиссар Руденко обратились к наркому авиапромышленности Шахуринус просьбой «дать указание Главному Конструктору тов. Ильюшину срочно разработать и изготовить опытные образцы двухместного самолета Ил-2 в вариантах штурмовика, разведчика и корректировщика артогня».</w:t>
      </w:r>
    </w:p>
    <w:p w14:paraId="34E3C2CB" w14:textId="77777777" w:rsidR="00EC7BF5" w:rsidRPr="001E2C69" w:rsidRDefault="00EC7BF5"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Отмечалось, что: «Опыт боевой работы штурмовой авиации доказывает необходимость защиты задней полусферы самолета Ил-2 размещением стрелка и установки пулемета Березина во 2-й кабине. Фронт требует также разведыва</w:t>
      </w:r>
      <w:r w:rsidRPr="001E2C69">
        <w:rPr>
          <w:rFonts w:ascii="Times New Roman" w:hAnsi="Times New Roman" w:cs="Times New Roman"/>
          <w:color w:val="000000" w:themeColor="text1"/>
          <w:sz w:val="16"/>
          <w:szCs w:val="16"/>
        </w:rPr>
        <w:softHyphen/>
        <w:t>тельных самолетов и самолетов коррек</w:t>
      </w:r>
      <w:r w:rsidRPr="001E2C69">
        <w:rPr>
          <w:rFonts w:ascii="Times New Roman" w:hAnsi="Times New Roman" w:cs="Times New Roman"/>
          <w:color w:val="000000" w:themeColor="text1"/>
          <w:sz w:val="16"/>
          <w:szCs w:val="16"/>
        </w:rPr>
        <w:softHyphen/>
        <w:t>тировщиков артогня. Оборудованный для этих целей двухместный самолет Ил-2 удовлетворит и это требование фронта».</w:t>
      </w:r>
    </w:p>
    <w:p w14:paraId="20B4BDCA" w14:textId="77777777" w:rsidR="00EC7BF5" w:rsidRPr="001E2C69" w:rsidRDefault="00EC7BF5"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Письмо Новикова с резолюцией Шахурина было переправлено Ильюшину, который сообщил, что если создание двухместного штурмового варианта Ил-2 АМ-38 вполне реально, то вариант разведчика и корректировщика артил</w:t>
      </w:r>
      <w:r w:rsidRPr="001E2C69">
        <w:rPr>
          <w:rFonts w:ascii="Times New Roman" w:hAnsi="Times New Roman" w:cs="Times New Roman"/>
          <w:color w:val="000000" w:themeColor="text1"/>
          <w:sz w:val="16"/>
          <w:szCs w:val="16"/>
        </w:rPr>
        <w:softHyphen/>
        <w:t>лерийского огня можно реализовать лишь на базе двухместного Ил-2 М-82. Приспособить для целей разведки и корректировки двухместный самолет Ил-2 АМ-38, по его мнению, возможным не представлялось. Дело в том, что согласно ТТТ к «следопыту» кабина штурмана-наблюдателя должна быть полностью бронированной, оснащаться подвижной установкой под пулемет УБТ, мощной радиостанцией, средствами навигации и самолетовождения, а также универсальной установкой под аэро</w:t>
      </w:r>
      <w:r w:rsidRPr="001E2C69">
        <w:rPr>
          <w:rFonts w:ascii="Times New Roman" w:hAnsi="Times New Roman" w:cs="Times New Roman"/>
          <w:color w:val="000000" w:themeColor="text1"/>
          <w:sz w:val="16"/>
          <w:szCs w:val="16"/>
        </w:rPr>
        <w:softHyphen/>
        <w:t>фотоаппараты различного типа. Все это утяжеляло самолет. Но главное, центровка самолета смещалась назад настолько, что полеты становились опасными. В этой связи Ильюшин предлагал запустить в серийное производство прошедший государственные испытания двухместный Ил-2 М-82 в вариантах штурмовика и «следопыта».</w:t>
      </w:r>
    </w:p>
    <w:p w14:paraId="50E1B244" w14:textId="77777777" w:rsidR="00EC7BF5" w:rsidRPr="001E2C69" w:rsidRDefault="00EC7BF5"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Однако Сталин потребовал от на</w:t>
      </w:r>
      <w:r w:rsidRPr="001E2C69">
        <w:rPr>
          <w:rFonts w:ascii="Times New Roman" w:hAnsi="Times New Roman" w:cs="Times New Roman"/>
          <w:color w:val="000000" w:themeColor="text1"/>
          <w:sz w:val="16"/>
          <w:szCs w:val="16"/>
        </w:rPr>
        <w:softHyphen/>
        <w:t>ркома Шахурина и Ильюшина разрабо</w:t>
      </w:r>
      <w:r w:rsidRPr="001E2C69">
        <w:rPr>
          <w:rFonts w:ascii="Times New Roman" w:hAnsi="Times New Roman" w:cs="Times New Roman"/>
          <w:color w:val="000000" w:themeColor="text1"/>
          <w:sz w:val="16"/>
          <w:szCs w:val="16"/>
        </w:rPr>
        <w:softHyphen/>
        <w:t>тать такое решение, которое обеспечит переход в массовом производстве к двухместному варианту без сокращения ежемесячного выпуска самолетов Ил-2. При этом первоочередной задачей счи</w:t>
      </w:r>
      <w:r w:rsidRPr="001E2C69">
        <w:rPr>
          <w:rFonts w:ascii="Times New Roman" w:hAnsi="Times New Roman" w:cs="Times New Roman"/>
          <w:color w:val="000000" w:themeColor="text1"/>
          <w:sz w:val="16"/>
          <w:szCs w:val="16"/>
        </w:rPr>
        <w:softHyphen/>
        <w:t>тался штурмовой вариант с воздушным стрелком. А уже потом на его основе предполагалось отработать разведчик- корректировщик.</w:t>
      </w:r>
    </w:p>
    <w:p w14:paraId="7D80CA45" w14:textId="77777777" w:rsidR="00EC7BF5" w:rsidRPr="001E2C69" w:rsidRDefault="00EC7BF5"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Как следует из документов, Ильюшин и директор завода № 30 Шапиро полу</w:t>
      </w:r>
      <w:r w:rsidRPr="001E2C69">
        <w:rPr>
          <w:rFonts w:ascii="Times New Roman" w:hAnsi="Times New Roman" w:cs="Times New Roman"/>
          <w:color w:val="000000" w:themeColor="text1"/>
          <w:sz w:val="16"/>
          <w:szCs w:val="16"/>
        </w:rPr>
        <w:softHyphen/>
        <w:t>чили задание к концу сентября 1942 г. построить 20 двухместных самолетов Ил-2 в штурмовом варианте с оборо</w:t>
      </w:r>
      <w:r w:rsidRPr="001E2C69">
        <w:rPr>
          <w:rFonts w:ascii="Times New Roman" w:hAnsi="Times New Roman" w:cs="Times New Roman"/>
          <w:color w:val="000000" w:themeColor="text1"/>
          <w:sz w:val="16"/>
          <w:szCs w:val="16"/>
        </w:rPr>
        <w:softHyphen/>
        <w:t>нительным пулеметом УБТ. По расчетам полетный вес двухместного варианта Ил-2 «будет на 200-225 кгр.тяжелее серийного». При этом центровка самолета смещалась назад примерно на 3% САХ (до 31% САХ), что вполне обеспечивало безопасность полетов. Первый экземпляр такого самолета планировалось поднять в воздух не позже 19 сентября.</w:t>
      </w:r>
    </w:p>
    <w:p w14:paraId="50DCA4AA" w14:textId="77777777" w:rsidR="00EC7BF5" w:rsidRPr="001E2C69" w:rsidRDefault="00EC7BF5"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Одновременно по инициативе Илью</w:t>
      </w:r>
      <w:r w:rsidRPr="001E2C69">
        <w:rPr>
          <w:rFonts w:ascii="Times New Roman" w:hAnsi="Times New Roman" w:cs="Times New Roman"/>
          <w:color w:val="000000" w:themeColor="text1"/>
          <w:sz w:val="16"/>
          <w:szCs w:val="16"/>
        </w:rPr>
        <w:softHyphen/>
        <w:t>шина завод начал строить два самолета Ил-2 с оборонительным пулеметом ШКАС. Летные данные и пилотажные качества штурмовиков ожидались выше, чем у двухместного Ил-2 с УБТ. Лучше должны были быть углы обстрела и маневрен</w:t>
      </w:r>
      <w:r w:rsidRPr="001E2C69">
        <w:rPr>
          <w:rFonts w:ascii="Times New Roman" w:hAnsi="Times New Roman" w:cs="Times New Roman"/>
          <w:color w:val="000000" w:themeColor="text1"/>
          <w:sz w:val="16"/>
          <w:szCs w:val="16"/>
        </w:rPr>
        <w:softHyphen/>
        <w:t>ность установки.</w:t>
      </w:r>
    </w:p>
    <w:p w14:paraId="3BA5E14E" w14:textId="77777777" w:rsidR="00EC7BF5" w:rsidRPr="001E2C69" w:rsidRDefault="00EC7BF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Один Ил-2 с пулеметом ШКАС рассма</w:t>
      </w:r>
      <w:r w:rsidRPr="001E2C69">
        <w:rPr>
          <w:rFonts w:ascii="Times New Roman" w:hAnsi="Times New Roman"/>
          <w:color w:val="000000" w:themeColor="text1"/>
          <w:sz w:val="16"/>
          <w:szCs w:val="16"/>
        </w:rPr>
        <w:softHyphen/>
        <w:t>тривался как эталон для возможной серии и строился в счет заказанных 20 машин, а второй - как «фронтовой вариант» (или «ремонтный вариант») для оборудования серийных одноместных Ил-2 кабиной воздушного стрелка непосредственно на фронте силами технического состава строевых частей и ПАРМ.</w:t>
      </w:r>
    </w:p>
    <w:p w14:paraId="65C1351E" w14:textId="77777777" w:rsidR="00EC7BF5" w:rsidRPr="001E2C69" w:rsidRDefault="00EC7BF5"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Серьезным недостатком этих машин являлась откровенно слабая бронезащита воздушного стрелка, которая заключалась лишь в бронещитке толщиной 6 мм, прикрывавшим его от огня лишь со стороны хвоста. С боков и снизу стрелок был «голым». Но усилить защиту стрелка возможности не представлялось,так как центровка самолета «уходила» назад. К тому же военные настаивали на организации войсковой серии самолета Су-6 М-71 с лучшими летными данными и возможностями для развития. С учетом этого Шахурин и Ильюшин сочли нелиш</w:t>
      </w:r>
      <w:r w:rsidRPr="001E2C69">
        <w:rPr>
          <w:rFonts w:ascii="Times New Roman" w:hAnsi="Times New Roman" w:cs="Times New Roman"/>
          <w:color w:val="000000" w:themeColor="text1"/>
          <w:sz w:val="16"/>
          <w:szCs w:val="16"/>
        </w:rPr>
        <w:softHyphen/>
        <w:t>ним подстраховаться (19111).</w:t>
      </w:r>
    </w:p>
    <w:p w14:paraId="401F9A30" w14:textId="77777777" w:rsidR="00EC7BF5" w:rsidRPr="001E2C69" w:rsidRDefault="00EC7BF5" w:rsidP="00722885">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708B7F27" w14:textId="77777777" w:rsidR="00BE1824" w:rsidRPr="001E2C69" w:rsidRDefault="00BE1824" w:rsidP="00722885">
      <w:pPr>
        <w:pStyle w:val="Default"/>
        <w:jc w:val="both"/>
        <w:rPr>
          <w:color w:val="000000" w:themeColor="text1"/>
          <w:sz w:val="16"/>
          <w:szCs w:val="16"/>
        </w:rPr>
      </w:pPr>
      <w:r w:rsidRPr="001E2C69">
        <w:rPr>
          <w:rStyle w:val="375"/>
          <w:rFonts w:ascii="Times New Roman" w:hAnsi="Times New Roman" w:cs="Times New Roman"/>
          <w:i w:val="0"/>
          <w:iCs w:val="0"/>
          <w:color w:val="000000" w:themeColor="text1"/>
          <w:w w:val="100"/>
          <w:sz w:val="16"/>
          <w:szCs w:val="16"/>
        </w:rPr>
        <w:t>8 августа 1942 г. командующий ВВС КА генерал-лейтенант Новиков и член Военного совета ВВС дивизионный комиссар Руденко обратились к наркому авиапромышленности Шахурину с просьбой</w:t>
      </w:r>
      <w:r w:rsidRPr="001E2C69">
        <w:rPr>
          <w:color w:val="000000" w:themeColor="text1"/>
          <w:sz w:val="16"/>
          <w:szCs w:val="16"/>
        </w:rPr>
        <w:t xml:space="preserve"> «дать указание Глав</w:t>
      </w:r>
      <w:r w:rsidRPr="001E2C69">
        <w:rPr>
          <w:color w:val="000000" w:themeColor="text1"/>
          <w:sz w:val="16"/>
          <w:szCs w:val="16"/>
        </w:rPr>
        <w:softHyphen/>
        <w:t>ному Конструктору тов. Ильюшину срочно разработать и изготовить опытные образцы двухместного самолета Ил-2 в вариантах штурмовика, разведчика и корректировщика артогня». Отмечалось, что «опыт боевой ра</w:t>
      </w:r>
      <w:r w:rsidRPr="001E2C69">
        <w:rPr>
          <w:color w:val="000000" w:themeColor="text1"/>
          <w:sz w:val="16"/>
          <w:szCs w:val="16"/>
        </w:rPr>
        <w:softHyphen/>
        <w:t>боты штурмовой авиации доказывает необхо</w:t>
      </w:r>
      <w:r w:rsidRPr="001E2C69">
        <w:rPr>
          <w:color w:val="000000" w:themeColor="text1"/>
          <w:sz w:val="16"/>
          <w:szCs w:val="16"/>
        </w:rPr>
        <w:softHyphen/>
        <w:t>димость защиты задней полусферы самолета Ил-2 размещением стрелка и установки пуле</w:t>
      </w:r>
      <w:r w:rsidRPr="001E2C69">
        <w:rPr>
          <w:color w:val="000000" w:themeColor="text1"/>
          <w:sz w:val="16"/>
          <w:szCs w:val="16"/>
        </w:rPr>
        <w:softHyphen/>
        <w:t>мета Березина во 2-й кабине».</w:t>
      </w:r>
    </w:p>
    <w:p w14:paraId="3299DEF9" w14:textId="77777777" w:rsidR="00BE1824" w:rsidRPr="001E2C69" w:rsidRDefault="00BE1824" w:rsidP="00722885">
      <w:pPr>
        <w:pStyle w:val="5f"/>
        <w:shd w:val="clear" w:color="auto" w:fill="auto"/>
        <w:spacing w:line="240" w:lineRule="auto"/>
        <w:jc w:val="both"/>
        <w:rPr>
          <w:rFonts w:ascii="Times New Roman" w:hAnsi="Times New Roman" w:cs="Times New Roman"/>
          <w:color w:val="000000" w:themeColor="text1"/>
          <w:sz w:val="16"/>
          <w:szCs w:val="16"/>
          <w:lang w:val="ru-RU"/>
        </w:rPr>
      </w:pPr>
      <w:r w:rsidRPr="001E2C69">
        <w:rPr>
          <w:rFonts w:ascii="Times New Roman" w:hAnsi="Times New Roman" w:cs="Times New Roman"/>
          <w:color w:val="000000" w:themeColor="text1"/>
          <w:sz w:val="16"/>
          <w:szCs w:val="16"/>
          <w:lang w:val="ru-RU"/>
        </w:rPr>
        <w:t>Данное письмо с резолюцией Шахурина переправили С.В. Ильюшину, который сообщил, что если создание двухместного штурмового варианта Ил-2 АМ-38 вполне реально, то ва</w:t>
      </w:r>
      <w:r w:rsidRPr="001E2C69">
        <w:rPr>
          <w:rFonts w:ascii="Times New Roman" w:hAnsi="Times New Roman" w:cs="Times New Roman"/>
          <w:color w:val="000000" w:themeColor="text1"/>
          <w:sz w:val="16"/>
          <w:szCs w:val="16"/>
          <w:lang w:val="ru-RU"/>
        </w:rPr>
        <w:softHyphen/>
        <w:t>риант разведчика и корректировщика артил</w:t>
      </w:r>
      <w:r w:rsidRPr="001E2C69">
        <w:rPr>
          <w:rFonts w:ascii="Times New Roman" w:hAnsi="Times New Roman" w:cs="Times New Roman"/>
          <w:color w:val="000000" w:themeColor="text1"/>
          <w:sz w:val="16"/>
          <w:szCs w:val="16"/>
          <w:lang w:val="ru-RU"/>
        </w:rPr>
        <w:softHyphen/>
        <w:t>лерийского огня можно реализовать лишь на базе двухместного Ил-2 с мотором М-82. По его мнению, приспособить для целей разведки и корректировки двухместный Ил-2 АМ-38 не представлялось возможным. Согласно ТТТ к «следопыту», кабина штурмана-наблюдателя должна была быть полностью бронирован</w:t>
      </w:r>
      <w:r w:rsidRPr="001E2C69">
        <w:rPr>
          <w:rFonts w:ascii="Times New Roman" w:hAnsi="Times New Roman" w:cs="Times New Roman"/>
          <w:color w:val="000000" w:themeColor="text1"/>
          <w:sz w:val="16"/>
          <w:szCs w:val="16"/>
          <w:lang w:val="ru-RU"/>
        </w:rPr>
        <w:softHyphen/>
        <w:t>ной, оснащаться подвижной установкой под пулемет УБТ, мощной радиостанцией, средст</w:t>
      </w:r>
      <w:r w:rsidRPr="001E2C69">
        <w:rPr>
          <w:rFonts w:ascii="Times New Roman" w:hAnsi="Times New Roman" w:cs="Times New Roman"/>
          <w:color w:val="000000" w:themeColor="text1"/>
          <w:sz w:val="16"/>
          <w:szCs w:val="16"/>
          <w:lang w:val="ru-RU"/>
        </w:rPr>
        <w:softHyphen/>
        <w:t>вами навигации и самолетовождения, а также универсальной установкой под аэрофотоап</w:t>
      </w:r>
      <w:r w:rsidRPr="001E2C69">
        <w:rPr>
          <w:rFonts w:ascii="Times New Roman" w:hAnsi="Times New Roman" w:cs="Times New Roman"/>
          <w:color w:val="000000" w:themeColor="text1"/>
          <w:sz w:val="16"/>
          <w:szCs w:val="16"/>
          <w:lang w:val="ru-RU"/>
        </w:rPr>
        <w:softHyphen/>
        <w:t>параты различного типа. Все это утяжеляло самолет. Но главное, его центровка смещалась назад настолько, что полеты становились про</w:t>
      </w:r>
      <w:r w:rsidRPr="001E2C69">
        <w:rPr>
          <w:rFonts w:ascii="Times New Roman" w:hAnsi="Times New Roman" w:cs="Times New Roman"/>
          <w:color w:val="000000" w:themeColor="text1"/>
          <w:sz w:val="16"/>
          <w:szCs w:val="16"/>
          <w:lang w:val="ru-RU"/>
        </w:rPr>
        <w:softHyphen/>
        <w:t>сто опасными. Требовалось перекомпоновать Ил-2 и разработать новое крыло. В этой связи Ильюшин предлагал запустить в серийное производство прошедший государственные испытания двухместный Ил-2 с М-82 в вари</w:t>
      </w:r>
      <w:r w:rsidRPr="001E2C69">
        <w:rPr>
          <w:rFonts w:ascii="Times New Roman" w:hAnsi="Times New Roman" w:cs="Times New Roman"/>
          <w:color w:val="000000" w:themeColor="text1"/>
          <w:sz w:val="16"/>
          <w:szCs w:val="16"/>
          <w:lang w:val="ru-RU"/>
        </w:rPr>
        <w:softHyphen/>
        <w:t>антах штурмовика и разведчика.</w:t>
      </w:r>
    </w:p>
    <w:p w14:paraId="540BCE32" w14:textId="77777777" w:rsidR="00BE1824" w:rsidRPr="001E2C69" w:rsidRDefault="00BE1824" w:rsidP="00722885">
      <w:pPr>
        <w:pStyle w:val="5f"/>
        <w:shd w:val="clear" w:color="auto" w:fill="auto"/>
        <w:spacing w:line="240" w:lineRule="auto"/>
        <w:jc w:val="both"/>
        <w:rPr>
          <w:rFonts w:ascii="Times New Roman" w:hAnsi="Times New Roman" w:cs="Times New Roman"/>
          <w:color w:val="000000" w:themeColor="text1"/>
          <w:sz w:val="16"/>
          <w:szCs w:val="16"/>
          <w:lang w:val="ru-RU"/>
        </w:rPr>
      </w:pPr>
      <w:r w:rsidRPr="001E2C69">
        <w:rPr>
          <w:rFonts w:ascii="Times New Roman" w:hAnsi="Times New Roman" w:cs="Times New Roman"/>
          <w:color w:val="000000" w:themeColor="text1"/>
          <w:sz w:val="16"/>
          <w:szCs w:val="16"/>
          <w:lang w:val="ru-RU"/>
        </w:rPr>
        <w:t>Однако И.В. Сталин потребовал от Шахурина и Ильюшина подготовить такое реше</w:t>
      </w:r>
      <w:r w:rsidRPr="001E2C69">
        <w:rPr>
          <w:rFonts w:ascii="Times New Roman" w:hAnsi="Times New Roman" w:cs="Times New Roman"/>
          <w:color w:val="000000" w:themeColor="text1"/>
          <w:sz w:val="16"/>
          <w:szCs w:val="16"/>
          <w:lang w:val="ru-RU"/>
        </w:rPr>
        <w:softHyphen/>
        <w:t>ние, которое обеспечит переход в массовом производстве к двухместному варианту без сокращения ежемесячного выпуска Ил-2. При этом первоочередной задачей считался выпуск штурмового варианта с воздушным стрелком. Затем на его основе предполагалось отработать разведчик-корректировщик.</w:t>
      </w:r>
    </w:p>
    <w:p w14:paraId="63F248E7" w14:textId="77777777" w:rsidR="00BE1824" w:rsidRPr="001E2C69" w:rsidRDefault="00BE1824" w:rsidP="00722885">
      <w:pPr>
        <w:pStyle w:val="5f"/>
        <w:shd w:val="clear" w:color="auto" w:fill="auto"/>
        <w:spacing w:line="240" w:lineRule="auto"/>
        <w:jc w:val="both"/>
        <w:rPr>
          <w:rFonts w:ascii="Times New Roman" w:hAnsi="Times New Roman" w:cs="Times New Roman"/>
          <w:color w:val="000000" w:themeColor="text1"/>
          <w:sz w:val="16"/>
          <w:szCs w:val="16"/>
          <w:lang w:val="ru-RU"/>
        </w:rPr>
      </w:pPr>
      <w:r w:rsidRPr="001E2C69">
        <w:rPr>
          <w:rFonts w:ascii="Times New Roman" w:hAnsi="Times New Roman" w:cs="Times New Roman"/>
          <w:color w:val="000000" w:themeColor="text1"/>
          <w:sz w:val="16"/>
          <w:szCs w:val="16"/>
          <w:lang w:val="ru-RU"/>
        </w:rPr>
        <w:t>Ильюшин и директор завода №30 Н.А. Шапиро получили задание к концу сентя</w:t>
      </w:r>
      <w:r w:rsidRPr="001E2C69">
        <w:rPr>
          <w:rFonts w:ascii="Times New Roman" w:hAnsi="Times New Roman" w:cs="Times New Roman"/>
          <w:color w:val="000000" w:themeColor="text1"/>
          <w:sz w:val="16"/>
          <w:szCs w:val="16"/>
          <w:lang w:val="ru-RU"/>
        </w:rPr>
        <w:softHyphen/>
        <w:t>бря 1942 г. построить 20 двухместных Ил-2 в штурмовом варианте с оборонительным пу</w:t>
      </w:r>
      <w:r w:rsidRPr="001E2C69">
        <w:rPr>
          <w:rFonts w:ascii="Times New Roman" w:hAnsi="Times New Roman" w:cs="Times New Roman"/>
          <w:color w:val="000000" w:themeColor="text1"/>
          <w:sz w:val="16"/>
          <w:szCs w:val="16"/>
          <w:lang w:val="ru-RU"/>
        </w:rPr>
        <w:softHyphen/>
        <w:t>леметом УБТ калибра 12,7 мм на подвижной установке. По расчетам, полетный вес такого Ил-2 «будет на 200-225 кгр.</w:t>
      </w:r>
      <w:r w:rsidRPr="001E2C69">
        <w:rPr>
          <w:rStyle w:val="5800"/>
          <w:rFonts w:ascii="Times New Roman" w:hAnsi="Times New Roman" w:cs="Times New Roman"/>
          <w:color w:val="000000" w:themeColor="text1"/>
          <w:w w:val="100"/>
          <w:sz w:val="16"/>
          <w:szCs w:val="16"/>
          <w:lang w:val="ru-RU"/>
        </w:rPr>
        <w:t xml:space="preserve"> тяжелее серий</w:t>
      </w:r>
      <w:r w:rsidRPr="001E2C69">
        <w:rPr>
          <w:rStyle w:val="5800"/>
          <w:rFonts w:ascii="Times New Roman" w:hAnsi="Times New Roman" w:cs="Times New Roman"/>
          <w:color w:val="000000" w:themeColor="text1"/>
          <w:w w:val="100"/>
          <w:sz w:val="16"/>
          <w:szCs w:val="16"/>
          <w:lang w:val="ru-RU"/>
        </w:rPr>
        <w:softHyphen/>
        <w:t>ного».</w:t>
      </w:r>
      <w:r w:rsidRPr="001E2C69">
        <w:rPr>
          <w:rFonts w:ascii="Times New Roman" w:hAnsi="Times New Roman" w:cs="Times New Roman"/>
          <w:color w:val="000000" w:themeColor="text1"/>
          <w:sz w:val="16"/>
          <w:szCs w:val="16"/>
          <w:lang w:val="ru-RU"/>
        </w:rPr>
        <w:t xml:space="preserve"> При этом его центровка смещалась назад примерно на 3% САХ (до 31% САХ), что вполне гарантировало безопасность полетов. Первый экземпляр самолета планировалось сдать на летно-испытательную станцию за</w:t>
      </w:r>
      <w:r w:rsidRPr="001E2C69">
        <w:rPr>
          <w:rFonts w:ascii="Times New Roman" w:hAnsi="Times New Roman" w:cs="Times New Roman"/>
          <w:color w:val="000000" w:themeColor="text1"/>
          <w:sz w:val="16"/>
          <w:szCs w:val="16"/>
          <w:lang w:val="ru-RU"/>
        </w:rPr>
        <w:softHyphen/>
        <w:t>вода не позже 19 сентября.</w:t>
      </w:r>
    </w:p>
    <w:p w14:paraId="60E39F9B" w14:textId="77777777" w:rsidR="00BE1824" w:rsidRPr="001E2C69" w:rsidRDefault="00BE1824"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Одновременно по инициативе Ильюшина завод начал строить два самолета с пулеметом ШКАС на подвижной оборонительной установке. Летные данные и пилотажные ка</w:t>
      </w:r>
      <w:r w:rsidRPr="001E2C69">
        <w:rPr>
          <w:rFonts w:ascii="Times New Roman" w:hAnsi="Times New Roman"/>
          <w:color w:val="000000" w:themeColor="text1"/>
          <w:sz w:val="16"/>
          <w:szCs w:val="16"/>
        </w:rPr>
        <w:softHyphen/>
        <w:t>чества штурмовиков ожидались выше, чем у двухместного Ил-2 с УБТ. Лучше должны были стать углы обстрела и маневренность уста</w:t>
      </w:r>
      <w:r w:rsidRPr="001E2C69">
        <w:rPr>
          <w:rFonts w:ascii="Times New Roman" w:hAnsi="Times New Roman"/>
          <w:color w:val="000000" w:themeColor="text1"/>
          <w:sz w:val="16"/>
          <w:szCs w:val="16"/>
        </w:rPr>
        <w:softHyphen/>
        <w:t>новки.</w:t>
      </w:r>
    </w:p>
    <w:p w14:paraId="176EE769" w14:textId="77777777" w:rsidR="00BE1824" w:rsidRPr="001E2C69" w:rsidRDefault="00BE1824" w:rsidP="00722885">
      <w:pPr>
        <w:pStyle w:val="95"/>
        <w:shd w:val="clear" w:color="auto" w:fill="auto"/>
        <w:spacing w:after="0" w:line="240" w:lineRule="auto"/>
        <w:ind w:firstLine="0"/>
        <w:jc w:val="both"/>
        <w:rPr>
          <w:color w:val="000000" w:themeColor="text1"/>
          <w:sz w:val="16"/>
          <w:szCs w:val="16"/>
        </w:rPr>
      </w:pPr>
      <w:r w:rsidRPr="001E2C69">
        <w:rPr>
          <w:color w:val="000000" w:themeColor="text1"/>
          <w:sz w:val="16"/>
          <w:szCs w:val="16"/>
        </w:rPr>
        <w:t>Один Ил-2 с пулеметом ШКАС рассматри</w:t>
      </w:r>
      <w:r w:rsidRPr="001E2C69">
        <w:rPr>
          <w:color w:val="000000" w:themeColor="text1"/>
          <w:sz w:val="16"/>
          <w:szCs w:val="16"/>
        </w:rPr>
        <w:softHyphen/>
        <w:t>вался как эталон для возможной серии и стро</w:t>
      </w:r>
      <w:r w:rsidRPr="001E2C69">
        <w:rPr>
          <w:color w:val="000000" w:themeColor="text1"/>
          <w:sz w:val="16"/>
          <w:szCs w:val="16"/>
        </w:rPr>
        <w:softHyphen/>
        <w:t>ился в счет заказанных 20 машин, а второй - как «фронтовой вариант» (или «ремонтный вариант») для оборудования серийных одно</w:t>
      </w:r>
      <w:r w:rsidRPr="001E2C69">
        <w:rPr>
          <w:color w:val="000000" w:themeColor="text1"/>
          <w:sz w:val="16"/>
          <w:szCs w:val="16"/>
        </w:rPr>
        <w:softHyphen/>
        <w:t>местных Ил-2 кабиной воздушного стрелка непосредственно на фронте силами техниче</w:t>
      </w:r>
      <w:r w:rsidRPr="001E2C69">
        <w:rPr>
          <w:color w:val="000000" w:themeColor="text1"/>
          <w:sz w:val="16"/>
          <w:szCs w:val="16"/>
        </w:rPr>
        <w:softHyphen/>
        <w:t>ского состава строевых частей и ПАРМ.</w:t>
      </w:r>
    </w:p>
    <w:p w14:paraId="14B0626A" w14:textId="77777777" w:rsidR="00BE1824" w:rsidRPr="001E2C69" w:rsidRDefault="00BE1824" w:rsidP="00722885">
      <w:pPr>
        <w:pStyle w:val="95"/>
        <w:shd w:val="clear" w:color="auto" w:fill="auto"/>
        <w:spacing w:after="0" w:line="240" w:lineRule="auto"/>
        <w:ind w:firstLine="0"/>
        <w:jc w:val="both"/>
        <w:rPr>
          <w:color w:val="000000" w:themeColor="text1"/>
          <w:sz w:val="16"/>
          <w:szCs w:val="16"/>
        </w:rPr>
      </w:pPr>
      <w:r w:rsidRPr="001E2C69">
        <w:rPr>
          <w:color w:val="000000" w:themeColor="text1"/>
          <w:sz w:val="16"/>
          <w:szCs w:val="16"/>
        </w:rPr>
        <w:t>Серьезным недостатком этих машин явля</w:t>
      </w:r>
      <w:r w:rsidRPr="001E2C69">
        <w:rPr>
          <w:color w:val="000000" w:themeColor="text1"/>
          <w:sz w:val="16"/>
          <w:szCs w:val="16"/>
        </w:rPr>
        <w:softHyphen/>
        <w:t>лась откровенно слабая защита стрелка, кото</w:t>
      </w:r>
      <w:r w:rsidRPr="001E2C69">
        <w:rPr>
          <w:color w:val="000000" w:themeColor="text1"/>
          <w:sz w:val="16"/>
          <w:szCs w:val="16"/>
        </w:rPr>
        <w:softHyphen/>
        <w:t>рая состояла лишь из бронещитка толщиной 6 мм, прикрывавшего от огня почти строго со стороны хвоста, т.е. с боков и снизу он оказы</w:t>
      </w:r>
      <w:r w:rsidRPr="001E2C69">
        <w:rPr>
          <w:color w:val="000000" w:themeColor="text1"/>
          <w:sz w:val="16"/>
          <w:szCs w:val="16"/>
        </w:rPr>
        <w:softHyphen/>
        <w:t>вался «голым». Но усилить защиту возмож</w:t>
      </w:r>
      <w:r w:rsidRPr="001E2C69">
        <w:rPr>
          <w:color w:val="000000" w:themeColor="text1"/>
          <w:sz w:val="16"/>
          <w:szCs w:val="16"/>
        </w:rPr>
        <w:softHyphen/>
        <w:t>ности не представлялось, так как центровка самолета «уходила» назад. К тому же военные настаивали на организации войсковой серии самолета Су-6 М-71 с лучшими летными дан</w:t>
      </w:r>
      <w:r w:rsidRPr="001E2C69">
        <w:rPr>
          <w:color w:val="000000" w:themeColor="text1"/>
          <w:sz w:val="16"/>
          <w:szCs w:val="16"/>
        </w:rPr>
        <w:softHyphen/>
        <w:t>ными и с перспективой его развития. С учетом этого Шахурин и Ильюшин сочли нелишним подстраховаться.</w:t>
      </w:r>
    </w:p>
    <w:p w14:paraId="4DBC49FC" w14:textId="77777777" w:rsidR="00BE1824" w:rsidRPr="001E2C69" w:rsidRDefault="00BE1824" w:rsidP="00722885">
      <w:pPr>
        <w:pStyle w:val="95"/>
        <w:shd w:val="clear" w:color="auto" w:fill="auto"/>
        <w:spacing w:after="0" w:line="240" w:lineRule="auto"/>
        <w:ind w:firstLine="0"/>
        <w:jc w:val="both"/>
        <w:rPr>
          <w:color w:val="000000" w:themeColor="text1"/>
          <w:sz w:val="16"/>
          <w:szCs w:val="16"/>
        </w:rPr>
      </w:pPr>
      <w:r w:rsidRPr="001E2C69">
        <w:rPr>
          <w:color w:val="000000" w:themeColor="text1"/>
          <w:sz w:val="16"/>
          <w:szCs w:val="16"/>
        </w:rPr>
        <w:t>3 сентября 1942 вышел приказ НКАП №674с, обязывающий Ильюшина</w:t>
      </w:r>
      <w:r w:rsidRPr="001E2C69">
        <w:rPr>
          <w:rStyle w:val="aff8"/>
          <w:rFonts w:ascii="Times New Roman" w:hAnsi="Times New Roman" w:cs="Times New Roman"/>
          <w:color w:val="000000" w:themeColor="text1"/>
        </w:rPr>
        <w:t xml:space="preserve"> </w:t>
      </w:r>
      <w:r w:rsidRPr="001E2C69">
        <w:rPr>
          <w:rStyle w:val="aff8"/>
          <w:rFonts w:ascii="Times New Roman" w:hAnsi="Times New Roman" w:cs="Times New Roman"/>
          <w:i w:val="0"/>
          <w:iCs w:val="0"/>
          <w:color w:val="000000" w:themeColor="text1"/>
        </w:rPr>
        <w:t>«произвести ра</w:t>
      </w:r>
      <w:r w:rsidRPr="001E2C69">
        <w:rPr>
          <w:rStyle w:val="aff8"/>
          <w:rFonts w:ascii="Times New Roman" w:hAnsi="Times New Roman" w:cs="Times New Roman"/>
          <w:i w:val="0"/>
          <w:iCs w:val="0"/>
          <w:color w:val="000000" w:themeColor="text1"/>
        </w:rPr>
        <w:softHyphen/>
        <w:t>боты по бронированию мотора на двухмест</w:t>
      </w:r>
      <w:r w:rsidRPr="001E2C69">
        <w:rPr>
          <w:rStyle w:val="aff8"/>
          <w:rFonts w:ascii="Times New Roman" w:hAnsi="Times New Roman" w:cs="Times New Roman"/>
          <w:i w:val="0"/>
          <w:iCs w:val="0"/>
          <w:color w:val="000000" w:themeColor="text1"/>
        </w:rPr>
        <w:softHyphen/>
        <w:t>ном штурмовике Ил-2 с мотором М-82 и вы</w:t>
      </w:r>
      <w:r w:rsidRPr="001E2C69">
        <w:rPr>
          <w:rStyle w:val="aff8"/>
          <w:rFonts w:ascii="Times New Roman" w:hAnsi="Times New Roman" w:cs="Times New Roman"/>
          <w:i w:val="0"/>
          <w:iCs w:val="0"/>
          <w:color w:val="000000" w:themeColor="text1"/>
        </w:rPr>
        <w:softHyphen/>
        <w:t>пустить его в полет 10.10.42 г.»</w:t>
      </w:r>
      <w:r w:rsidRPr="001E2C69">
        <w:rPr>
          <w:color w:val="000000" w:themeColor="text1"/>
          <w:sz w:val="16"/>
          <w:szCs w:val="16"/>
        </w:rPr>
        <w:t xml:space="preserve"> К этому же сроку требовалось разработать чертежи</w:t>
      </w:r>
      <w:r w:rsidRPr="001E2C69">
        <w:rPr>
          <w:rStyle w:val="aff8"/>
          <w:rFonts w:ascii="Times New Roman" w:hAnsi="Times New Roman" w:cs="Times New Roman"/>
          <w:color w:val="000000" w:themeColor="text1"/>
        </w:rPr>
        <w:t xml:space="preserve"> «для спуска в серийное производство».</w:t>
      </w:r>
      <w:r w:rsidRPr="001E2C69">
        <w:rPr>
          <w:color w:val="000000" w:themeColor="text1"/>
          <w:sz w:val="16"/>
          <w:szCs w:val="16"/>
        </w:rPr>
        <w:t xml:space="preserve"> В то же время каких-либо документов, подтвержда</w:t>
      </w:r>
      <w:r w:rsidRPr="001E2C69">
        <w:rPr>
          <w:color w:val="000000" w:themeColor="text1"/>
          <w:sz w:val="16"/>
          <w:szCs w:val="16"/>
        </w:rPr>
        <w:softHyphen/>
        <w:t>ющих установку бронированного капота на Ил-2 зав. №1864714 с мотором М-82, пока найти не удалось.</w:t>
      </w:r>
    </w:p>
    <w:p w14:paraId="4B6F1B58" w14:textId="77777777" w:rsidR="00BE1824" w:rsidRPr="001E2C69" w:rsidRDefault="00BE1824" w:rsidP="00722885">
      <w:pPr>
        <w:pStyle w:val="95"/>
        <w:shd w:val="clear" w:color="auto" w:fill="auto"/>
        <w:spacing w:after="0" w:line="240" w:lineRule="auto"/>
        <w:ind w:firstLine="0"/>
        <w:jc w:val="both"/>
        <w:rPr>
          <w:color w:val="000000" w:themeColor="text1"/>
          <w:sz w:val="16"/>
          <w:szCs w:val="16"/>
        </w:rPr>
      </w:pPr>
      <w:r w:rsidRPr="001E2C69">
        <w:rPr>
          <w:color w:val="000000" w:themeColor="text1"/>
          <w:sz w:val="16"/>
          <w:szCs w:val="16"/>
        </w:rPr>
        <w:t>Самолеты Ил-2 АМ-38 с кабиной воздуш</w:t>
      </w:r>
      <w:r w:rsidRPr="001E2C69">
        <w:rPr>
          <w:color w:val="000000" w:themeColor="text1"/>
          <w:sz w:val="16"/>
          <w:szCs w:val="16"/>
        </w:rPr>
        <w:softHyphen/>
        <w:t>ного стрелка планировалось после сокращен</w:t>
      </w:r>
      <w:r w:rsidRPr="001E2C69">
        <w:rPr>
          <w:color w:val="000000" w:themeColor="text1"/>
          <w:sz w:val="16"/>
          <w:szCs w:val="16"/>
        </w:rPr>
        <w:softHyphen/>
        <w:t>ных заводских испытаний сразу поставить на поток и направить в строевые части для проведения войсковых испытаний. И только по инициативе помощника начальника 1-го отдела Управления опытного строительства ГУ ИАС ВВС инженер-капитана Бобровского 18 сентября последовал доклад начальника управления бригинженера Лешукова по этому вопросу на имя главного инженера ВВС КА генерал-лейтенанта Репина. Спустя сутки в адрес начальника НИИ ВВС генерал-майора Лосюкова ушло распоряжение Репина</w:t>
      </w:r>
      <w:r w:rsidRPr="001E2C69">
        <w:rPr>
          <w:rStyle w:val="aff8"/>
          <w:rFonts w:ascii="Times New Roman" w:hAnsi="Times New Roman" w:cs="Times New Roman"/>
          <w:color w:val="000000" w:themeColor="text1"/>
        </w:rPr>
        <w:t xml:space="preserve"> </w:t>
      </w:r>
      <w:r w:rsidRPr="001E2C69">
        <w:rPr>
          <w:rStyle w:val="aff8"/>
          <w:rFonts w:ascii="Times New Roman" w:hAnsi="Times New Roman" w:cs="Times New Roman"/>
          <w:i w:val="0"/>
          <w:iCs w:val="0"/>
          <w:color w:val="000000" w:themeColor="text1"/>
        </w:rPr>
        <w:t>«при</w:t>
      </w:r>
      <w:r w:rsidRPr="001E2C69">
        <w:rPr>
          <w:rStyle w:val="aff8"/>
          <w:rFonts w:ascii="Times New Roman" w:hAnsi="Times New Roman" w:cs="Times New Roman"/>
          <w:i w:val="0"/>
          <w:iCs w:val="0"/>
          <w:color w:val="000000" w:themeColor="text1"/>
        </w:rPr>
        <w:softHyphen/>
        <w:t>нять на испытания с завода №30 самолеты Ил-2 с АМ-38 в двухместном варианте и про</w:t>
      </w:r>
      <w:r w:rsidRPr="001E2C69">
        <w:rPr>
          <w:rStyle w:val="aff8"/>
          <w:rFonts w:ascii="Times New Roman" w:hAnsi="Times New Roman" w:cs="Times New Roman"/>
          <w:i w:val="0"/>
          <w:iCs w:val="0"/>
          <w:color w:val="000000" w:themeColor="text1"/>
        </w:rPr>
        <w:softHyphen/>
        <w:t>вести их в кратчайший срок с целью внесения возможных изменений в изготовлявшуюся вой</w:t>
      </w:r>
      <w:r w:rsidRPr="001E2C69">
        <w:rPr>
          <w:rStyle w:val="aff8"/>
          <w:rFonts w:ascii="Times New Roman" w:hAnsi="Times New Roman" w:cs="Times New Roman"/>
          <w:i w:val="0"/>
          <w:iCs w:val="0"/>
          <w:color w:val="000000" w:themeColor="text1"/>
        </w:rPr>
        <w:softHyphen/>
        <w:t>сковую серию этих самолетов»</w:t>
      </w:r>
      <w:r w:rsidRPr="001E2C69">
        <w:rPr>
          <w:color w:val="000000" w:themeColor="text1"/>
          <w:sz w:val="16"/>
          <w:szCs w:val="16"/>
        </w:rPr>
        <w:t xml:space="preserve"> (19877).</w:t>
      </w:r>
    </w:p>
    <w:p w14:paraId="0078CDCC" w14:textId="77777777" w:rsidR="00BE1824" w:rsidRPr="001E2C69" w:rsidRDefault="00BE1824" w:rsidP="00722885">
      <w:pPr>
        <w:pStyle w:val="95"/>
        <w:shd w:val="clear" w:color="auto" w:fill="auto"/>
        <w:spacing w:after="0" w:line="240" w:lineRule="auto"/>
        <w:ind w:firstLine="0"/>
        <w:jc w:val="both"/>
        <w:rPr>
          <w:color w:val="000000" w:themeColor="text1"/>
          <w:sz w:val="16"/>
          <w:szCs w:val="16"/>
        </w:rPr>
      </w:pPr>
    </w:p>
    <w:p w14:paraId="176AF88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и 8 августа 1942 заводом 22 совместно с ЛИИ НКАП, были сняты скорости по высотам с 2-х серийных самолетов, взятых прямо из производства. Самолеты были оборудованы тяжелой стрелковой установкой. Оба самолета с нефорсированными моторами дали максимум 517 км/час. Считая по данным ЛИИ НКАП, что стрелковая установка снимает 6-8 км/час скорости и недобор высотности моторов, что установлено и признано заводом 16, получили макс. скорость 527 км/час... (1685,58).</w:t>
      </w:r>
    </w:p>
    <w:p w14:paraId="7DCE469C" w14:textId="77777777" w:rsidR="00AE7191" w:rsidRPr="001E2C69" w:rsidRDefault="00AE7191" w:rsidP="00722885">
      <w:pPr>
        <w:pStyle w:val="Iauiue"/>
        <w:jc w:val="both"/>
        <w:rPr>
          <w:color w:val="000000" w:themeColor="text1"/>
          <w:sz w:val="16"/>
          <w:szCs w:val="16"/>
        </w:rPr>
      </w:pPr>
    </w:p>
    <w:p w14:paraId="6D77C58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 августа 1942 Нач. 3 отделения Опытного отдела НИП АВ ВВС Галкин писал Нач. ГУЗ и ТС письмо:</w:t>
      </w:r>
    </w:p>
    <w:p w14:paraId="26E0E95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"Предъявленный на испытание самолет Ил-2 N 30000 с модернизированным бомбардировочно-химическим вооружением показал возможность использования </w:t>
      </w:r>
      <w:r w:rsidRPr="001E2C69">
        <w:rPr>
          <w:color w:val="000000" w:themeColor="text1"/>
          <w:sz w:val="16"/>
          <w:szCs w:val="16"/>
        </w:rPr>
        <w:lastRenderedPageBreak/>
        <w:t>бомбоотсеков для загрузки и сбрасывания мелких бомб и ампул без применения КМБ-Ил-2.</w:t>
      </w:r>
    </w:p>
    <w:p w14:paraId="1D65663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Замена наружных бомбодержателей замками ДЗ-40 значительно улучшает эксплуатацию наружной подвески бомб и химприборов, значительно упрощает производство бомбардировочно-химического вооружения за счет изъятия кассет КМБ-Ил-2, поясной наружной подвески и спецбалок." (1632,10).</w:t>
      </w:r>
    </w:p>
    <w:p w14:paraId="560FD048" w14:textId="77777777" w:rsidR="00AE7191" w:rsidRPr="001E2C69" w:rsidRDefault="00AE7191" w:rsidP="00722885">
      <w:pPr>
        <w:pStyle w:val="Iauiue"/>
        <w:jc w:val="both"/>
        <w:rPr>
          <w:color w:val="000000" w:themeColor="text1"/>
          <w:sz w:val="16"/>
          <w:szCs w:val="16"/>
        </w:rPr>
      </w:pPr>
    </w:p>
    <w:p w14:paraId="37B634B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 августа 1942 вышел приказ НКАП N 605сс "О средствах обеспечения самолетовождения" в исполнение постановления ГКО N 2144сс от 6 августа 1942:</w:t>
      </w:r>
    </w:p>
    <w:p w14:paraId="64124E0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"Нач. ПГУ Шиц, 10 ГУ Тарасевич, директорам заводов 1 Третьякову, 18 Белянскому, 21 Гостинцеву, 22 Окулову, 31 Агаджанову, 30 Шапиро, 39 Иосиловичу, 84 Ярунину, 82 Бугрову, 153 Романову, 292 Левину, 126 Тимофееву и 381 Журавлеву обеспечить выпуск серийных самолетов со следующими изменениями в дополнительном оборудовании средствами самолетовождения:</w:t>
      </w:r>
    </w:p>
    <w:p w14:paraId="2D47C5F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 по самолету Як-1</w:t>
      </w:r>
    </w:p>
    <w:p w14:paraId="3583999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С 20 августа 1942 на все устанавливать радиоприемники РСИ-4</w:t>
      </w:r>
    </w:p>
    <w:p w14:paraId="14A8C49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С 20 августа на каждый 5-й, а с 1 октября на каждый 3-й - приемопередающую станцию РСИ-4, а остальные оборудовать для возможной установки этих станций</w:t>
      </w:r>
    </w:p>
    <w:p w14:paraId="2989F92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С 1 октября на каждый 3 ставить РПК-10</w:t>
      </w:r>
    </w:p>
    <w:p w14:paraId="2D27CDB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 по самолету Як-7</w:t>
      </w:r>
    </w:p>
    <w:p w14:paraId="6B0AE38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С 15 сентября 1942 на каждый 3-1 устанавливать приемо-передающую станцию РСИ-4</w:t>
      </w:r>
    </w:p>
    <w:p w14:paraId="1BC899C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С 15 августа на каждый 5-й, а с 15 сентября на каждый 3-й - ставить РПК-10</w:t>
      </w:r>
    </w:p>
    <w:p w14:paraId="79C01D0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по самолету ЛаГГ-3</w:t>
      </w:r>
    </w:p>
    <w:p w14:paraId="5A26055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С 10 августа 1942 на все устанавливать радиоприемники РСИ-4</w:t>
      </w:r>
    </w:p>
    <w:p w14:paraId="7FA86B4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С 1 октября на каждый 3-й - приемопередающую станцию РСИ-4</w:t>
      </w:r>
    </w:p>
    <w:p w14:paraId="7B280F8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С 20 августа на заводе 21 и с 20 сентября 1942 на 31 на каждый 5 ставить РПК-10 и оснащать остальные под возможность установки</w:t>
      </w:r>
    </w:p>
    <w:p w14:paraId="4AE8A9C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с 1 октября на 21 и 31 - все с РПК-10</w:t>
      </w:r>
    </w:p>
    <w:p w14:paraId="5AC5006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 по самолету ЛаГГ-5</w:t>
      </w:r>
    </w:p>
    <w:p w14:paraId="52ACEDC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С 10 августа 1942 на все устанавливать радиоприемники РСИ-4</w:t>
      </w:r>
    </w:p>
    <w:p w14:paraId="4F2A788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С 10 августа на каждый 3-й - приемопередающую станцию РСИ-4</w:t>
      </w:r>
    </w:p>
    <w:p w14:paraId="2B5FBF3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С 10 августа каждый 3 ставить РПК-10 и оснащать остальные под возможность установки</w:t>
      </w:r>
    </w:p>
    <w:p w14:paraId="1336B25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 по самолету Ил-2</w:t>
      </w:r>
    </w:p>
    <w:p w14:paraId="3463760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С 1 октября на каждый 3-й - приемопередающую станцию РСИ-4</w:t>
      </w:r>
    </w:p>
    <w:p w14:paraId="66B4225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С 15 августа каждый 5-й, а с 1 октября на каждый 3-й ставить РПК-10 и оснащать остальные под возможность установки</w:t>
      </w:r>
    </w:p>
    <w:p w14:paraId="2796531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е) по самолету Ил-4</w:t>
      </w:r>
    </w:p>
    <w:p w14:paraId="4CFECAB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60 самолетов выпуска 1942 оборудовать автопилотами 3-х стабилизаций</w:t>
      </w:r>
    </w:p>
    <w:p w14:paraId="65B37FC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На 100 самолетах выпуска 1942 установить аппаратуру слепой посадки Ночь-1</w:t>
      </w:r>
    </w:p>
    <w:p w14:paraId="323A096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С 15 августа в кабине радиста устанавливать авиачасы АЧО</w:t>
      </w:r>
    </w:p>
    <w:p w14:paraId="7788786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К 1 сентября 1942 изготовить эталон самолета с термическим антиобледенителем для плоскостей и хвостового оперения и после испытаний внедрить их в 4 кв. 1942 в серийное производство</w:t>
      </w:r>
    </w:p>
    <w:p w14:paraId="4980178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ж) по самолету Пе-2</w:t>
      </w:r>
    </w:p>
    <w:p w14:paraId="5212951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С 15 августа на каждый 2-й ставить РПК-10, а с 1 октября - на все</w:t>
      </w:r>
    </w:p>
    <w:p w14:paraId="2DEE7C6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С 20 августа на все самолеты в разведывательном варианте ставить автомат курса АК-1</w:t>
      </w:r>
    </w:p>
    <w:p w14:paraId="31276E9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С 15 августа в кабине радиста ставить АЧО</w:t>
      </w:r>
    </w:p>
    <w:p w14:paraId="50CA2AF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 по самолету Пе-3</w:t>
      </w:r>
    </w:p>
    <w:p w14:paraId="76DE06B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С 1 сентября на все ставить радиостанцию бомбардировочного тиап РСБ-3бис вместо РСИ-4</w:t>
      </w:r>
    </w:p>
    <w:p w14:paraId="3EB55A6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С 15 августа в кабине радиста ставить АЧО</w:t>
      </w:r>
    </w:p>
    <w:p w14:paraId="4E5AD27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С 1 сентября 1942 на все разведчики ставить АК-1</w:t>
      </w:r>
    </w:p>
    <w:p w14:paraId="0D48713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С 15 августа 1942 антиобледенители кроме винтов ставить на смотровые стекла кабин (1580,55).</w:t>
      </w:r>
    </w:p>
    <w:p w14:paraId="2F2C83A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 по самолету ПС-84</w:t>
      </w:r>
    </w:p>
    <w:p w14:paraId="59C47A3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С 1 декабря перейти на приемопередатчик РСР-1</w:t>
      </w:r>
    </w:p>
    <w:p w14:paraId="6192295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С 15 августа на каждом 2-м ставить автопилот 3-х стабилизаций, а с 1 октября - на все</w:t>
      </w:r>
    </w:p>
    <w:p w14:paraId="3F48A46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На 100 выпуска 1942 установить оборудование слепой посадки Ночь-1</w:t>
      </w:r>
    </w:p>
    <w:p w14:paraId="60D7ED4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К 1 сентября изготовить эталон самолета с термическими антиобледенителями для плоскостей и хвостового оперения, внедрив после испытаний в 4 кв.. в серию</w:t>
      </w:r>
    </w:p>
    <w:p w14:paraId="56B722F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 по самолету ТБ-7</w:t>
      </w:r>
    </w:p>
    <w:p w14:paraId="4AC5844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К 1 сентября изготовить эталон самолета с термическими антиобледенителями для плоскостей и хвостового оперения, внедрив после испытаний в 4 кв.. в серию</w:t>
      </w:r>
    </w:p>
    <w:p w14:paraId="1671294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К 15 ноября 1942 выпустить 5 автоштурманов АШ-1 и установить на ТБ-7 в частях ВВС (1580,55).</w:t>
      </w:r>
    </w:p>
    <w:p w14:paraId="0E49888D" w14:textId="77777777" w:rsidR="00AE7191" w:rsidRPr="001E2C69" w:rsidRDefault="00AE7191" w:rsidP="00722885">
      <w:pPr>
        <w:pStyle w:val="Iauiue"/>
        <w:jc w:val="both"/>
        <w:rPr>
          <w:color w:val="000000" w:themeColor="text1"/>
          <w:sz w:val="16"/>
          <w:szCs w:val="16"/>
        </w:rPr>
      </w:pPr>
    </w:p>
    <w:p w14:paraId="56F903EE"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августа 1942 года, вышел приказ НКАП № 605сс «О средствах обес</w:t>
      </w:r>
      <w:r w:rsidRPr="008A2E5A">
        <w:rPr>
          <w:rFonts w:ascii="Times New Roman" w:hAnsi="Times New Roman"/>
          <w:color w:val="0070C0"/>
          <w:sz w:val="16"/>
          <w:szCs w:val="16"/>
        </w:rPr>
        <w:softHyphen/>
        <w:t>печения самолетовождения» во исполнение постановления ГКО № 2144сс от 6 августа 1942года. С 10 августа 1942 на все ЛаГГ-5 (так самолет называли в бумагах ГКО) требо</w:t>
      </w:r>
      <w:r w:rsidRPr="008A2E5A">
        <w:rPr>
          <w:rFonts w:ascii="Times New Roman" w:hAnsi="Times New Roman"/>
          <w:color w:val="0070C0"/>
          <w:sz w:val="16"/>
          <w:szCs w:val="16"/>
        </w:rPr>
        <w:softHyphen/>
        <w:t>валось устанавливать радиоприемники РСИ- 4, на каждый третий самолет - приемопередающую станцию РСИ-4 еще и РПК-10, а остальные оснащать под возможность уста</w:t>
      </w:r>
      <w:r w:rsidRPr="008A2E5A">
        <w:rPr>
          <w:rFonts w:ascii="Times New Roman" w:hAnsi="Times New Roman"/>
          <w:color w:val="0070C0"/>
          <w:sz w:val="16"/>
          <w:szCs w:val="16"/>
        </w:rPr>
        <w:softHyphen/>
        <w:t>новки (23587).</w:t>
      </w:r>
    </w:p>
    <w:p w14:paraId="2A1895FB" w14:textId="77777777" w:rsidR="00164795" w:rsidRPr="008A2E5A" w:rsidRDefault="00164795" w:rsidP="00164795">
      <w:pPr>
        <w:spacing w:after="0" w:line="240" w:lineRule="auto"/>
        <w:jc w:val="both"/>
        <w:rPr>
          <w:rFonts w:ascii="Times New Roman" w:hAnsi="Times New Roman"/>
          <w:color w:val="0070C0"/>
          <w:sz w:val="16"/>
          <w:szCs w:val="16"/>
        </w:rPr>
      </w:pPr>
    </w:p>
    <w:p w14:paraId="3608311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 августа 1942 вышел приказ НКАП N 602сс:</w:t>
      </w:r>
    </w:p>
    <w:p w14:paraId="734FE4B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"Постановлением ГКО N 2145сс от 6 августа 1942 принят на вооружение ВВС прошедший гос. испытания самолет Як-7 с М-105ПФ. Самолету Як-7 увеличенной дальности присвоить наименование Як-9. В исполнение постановления:</w:t>
      </w:r>
    </w:p>
    <w:p w14:paraId="5B073F5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Директору завода 153 Романову поставить производство самолетов Як-9 по образцу, прошедшему гос. испытания в НИИ ВВС с тем, чтобы в августе таких самолетов выпустить 3 шт., в сентябре 20, в октябре - 60 (1580,10).</w:t>
      </w:r>
    </w:p>
    <w:p w14:paraId="4016B3D1" w14:textId="77777777" w:rsidR="00AE7191" w:rsidRPr="001E2C69" w:rsidRDefault="00AE7191" w:rsidP="00722885">
      <w:pPr>
        <w:pStyle w:val="Iauiue"/>
        <w:jc w:val="both"/>
        <w:rPr>
          <w:color w:val="000000" w:themeColor="text1"/>
          <w:sz w:val="16"/>
          <w:szCs w:val="16"/>
        </w:rPr>
      </w:pPr>
    </w:p>
    <w:p w14:paraId="41FD3B6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 августа 1942 л завода 301 Н.А.Балашев совершил аварию при испытаниях ЛаГГ-3, т.к. при посадке выскочил с полосы и налетел на Як-7 (2108).</w:t>
      </w:r>
    </w:p>
    <w:p w14:paraId="2ADBEC01" w14:textId="77777777" w:rsidR="00AE7191" w:rsidRPr="001E2C69" w:rsidRDefault="00AE7191" w:rsidP="00722885">
      <w:pPr>
        <w:pStyle w:val="Iauiue"/>
        <w:jc w:val="both"/>
        <w:rPr>
          <w:color w:val="000000" w:themeColor="text1"/>
          <w:sz w:val="16"/>
          <w:szCs w:val="16"/>
        </w:rPr>
      </w:pPr>
    </w:p>
    <w:p w14:paraId="51F9AE3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августа 1942 приказом НКАП летчиком-испытателем ЛаГГ-3 с М-107П назначили Г.А. Мищенко. До конца года успели определить летные характеристики до высоты 4500 м. С оснащением ЛаГГ-3 мотором М-107 явно поторопились, поскольку двигатель работал в очень напряженном тепловом режиме, а для его охлаждения не хватало площади ни водяных, ни масляных радиаторов. Более того, обнаружился задир поршней и ряд других дефектов самого мотора. К лету 1942 г. стало ясно, что двигатель еще нужно доводить, и все работы по установке М-107 на самолеты отложили до лучших времен (11983).</w:t>
      </w:r>
    </w:p>
    <w:p w14:paraId="729C60BE"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4385C2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августа 1942 г. Отчет по испытаниям с-та Ту-2 № 100308.</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3398"/>
        <w:gridCol w:w="1697"/>
        <w:gridCol w:w="1785"/>
        <w:gridCol w:w="3995"/>
      </w:tblGrid>
      <w:tr w:rsidR="001E2C69" w:rsidRPr="001E2C69" w14:paraId="30F84EF7" w14:textId="77777777" w:rsidTr="00CC5360">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3133F2D9" w14:textId="0F54F859"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 xml:space="preserve">Винт АВ-5-167. </w:t>
            </w:r>
            <w:r w:rsidR="001E2C69">
              <w:rPr>
                <w:rFonts w:ascii="Times New Roman" w:hAnsi="Times New Roman"/>
                <w:bCs/>
                <w:color w:val="000000" w:themeColor="text1"/>
                <w:sz w:val="16"/>
                <w:szCs w:val="16"/>
              </w:rPr>
              <w:t xml:space="preserve">      </w:t>
            </w:r>
            <w:r w:rsidRPr="001E2C69">
              <w:rPr>
                <w:rFonts w:ascii="Times New Roman" w:hAnsi="Times New Roman"/>
                <w:bCs/>
                <w:color w:val="000000" w:themeColor="text1"/>
                <w:sz w:val="16"/>
                <w:szCs w:val="16"/>
              </w:rPr>
              <w:t xml:space="preserve"> Производство завода № 35. </w:t>
            </w:r>
            <w:r w:rsidR="001E2C69">
              <w:rPr>
                <w:rFonts w:ascii="Times New Roman" w:hAnsi="Times New Roman"/>
                <w:bCs/>
                <w:color w:val="000000" w:themeColor="text1"/>
                <w:sz w:val="16"/>
                <w:szCs w:val="16"/>
              </w:rPr>
              <w:t xml:space="preserve">      </w:t>
            </w:r>
            <w:r w:rsidRPr="001E2C69">
              <w:rPr>
                <w:rFonts w:ascii="Times New Roman" w:hAnsi="Times New Roman"/>
                <w:bCs/>
                <w:color w:val="000000" w:themeColor="text1"/>
                <w:sz w:val="16"/>
                <w:szCs w:val="16"/>
              </w:rPr>
              <w:t xml:space="preserve"> Конструктор Жданов.</w:t>
            </w:r>
          </w:p>
        </w:tc>
      </w:tr>
      <w:tr w:rsidR="001E2C69" w:rsidRPr="001E2C69" w14:paraId="6348EE04"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0FA354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59DB56B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4E9B57F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Предназначен для</w:t>
            </w:r>
          </w:p>
          <w:p w14:paraId="388B821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5B0B806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Ту-2 с 2М-82</w:t>
            </w:r>
          </w:p>
        </w:tc>
      </w:tr>
      <w:tr w:rsidR="001E2C69" w:rsidRPr="001E2C69" w14:paraId="72C970C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FDFF50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4DC8FF9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прямая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30308AC"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67071C6"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62D4730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4F75BF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108F703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69CFC564"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5F63C21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B4CD9D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1E4EA75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дюраль</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A77577A"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68F4C286"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11A570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3A89A3D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D5FA2C8"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159391D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0D76FC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33E85B7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289</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408EDB1"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3899A11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94FC12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Относительная толщина лопасти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63B19DE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6,9</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004861C"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1A543A46"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8C4A1D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2A8112A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Clark-Y</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4B4E223"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12DF5DA3"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C4C55F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0789AF1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80F6D42"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294898FB"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E17F5D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Минимальный установочный угол</w:t>
            </w:r>
          </w:p>
          <w:p w14:paraId="183EA80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36C0B82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A64D4E8"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20947FF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121A0B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621F438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34</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46F6577"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2F073E88"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BFEED1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7DDB7A6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7F4A267"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0A49DFE6"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3F6BD9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6BD385E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2400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CC485B3"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6B505F57"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F1F330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7AF651E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0,687</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6B14FD4"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423D1B13"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56678F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73AF54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правое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3BE1111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Состояние</w:t>
            </w:r>
          </w:p>
          <w:p w14:paraId="445A81B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5F2E3C5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Винт испытания прошел удовлетворительно</w:t>
            </w:r>
          </w:p>
          <w:p w14:paraId="0BCCC12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1942 году совместо с самолетом Ту-2 с 2М-82.</w:t>
            </w:r>
          </w:p>
          <w:p w14:paraId="491B955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Находится в эксплоатации и в серийном производстве.</w:t>
            </w:r>
          </w:p>
        </w:tc>
      </w:tr>
      <w:tr w:rsidR="001E2C69" w:rsidRPr="001E2C69" w14:paraId="5F3BB84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D44740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06241F5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2D3FF10"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9ECDF35"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53255373"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119C60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24CEB78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963D711"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63E67E9"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362B184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9FF3BB7"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2FA2CCA0"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1390D43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Источник сведений: Отчет по испытаниям с-та Ту-2 № 100308 от 8.12.42 г.</w:t>
            </w:r>
          </w:p>
        </w:tc>
      </w:tr>
    </w:tbl>
    <w:p w14:paraId="2E4E454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(12227).</w:t>
      </w:r>
    </w:p>
    <w:p w14:paraId="0BC3F867"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81D51D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августа 1942 приказом по НКАП № 605с уже с 10 августа на каж</w:t>
      </w:r>
      <w:r w:rsidRPr="001E2C69">
        <w:rPr>
          <w:rFonts w:ascii="Times New Roman" w:hAnsi="Times New Roman"/>
          <w:color w:val="000000" w:themeColor="text1"/>
          <w:sz w:val="16"/>
          <w:szCs w:val="16"/>
        </w:rPr>
        <w:softHyphen/>
        <w:t>дый Ла-5 требовалось установить радиоприемник РСИ-4, а на каж</w:t>
      </w:r>
      <w:r w:rsidRPr="001E2C69">
        <w:rPr>
          <w:rFonts w:ascii="Times New Roman" w:hAnsi="Times New Roman"/>
          <w:color w:val="000000" w:themeColor="text1"/>
          <w:sz w:val="16"/>
          <w:szCs w:val="16"/>
        </w:rPr>
        <w:softHyphen/>
        <w:t>дый третий — и передатчик, а также радиополукомпас РПК-10. Хо</w:t>
      </w:r>
      <w:r w:rsidRPr="001E2C69">
        <w:rPr>
          <w:rFonts w:ascii="Times New Roman" w:hAnsi="Times New Roman"/>
          <w:color w:val="000000" w:themeColor="text1"/>
          <w:sz w:val="16"/>
          <w:szCs w:val="16"/>
        </w:rPr>
        <w:softHyphen/>
        <w:t>тя в установленные сроки (за 2 дня!) уложиться не удалось, все же дело сдвинулось, и советские истребители стали получать средст</w:t>
      </w:r>
      <w:r w:rsidRPr="001E2C69">
        <w:rPr>
          <w:rFonts w:ascii="Times New Roman" w:hAnsi="Times New Roman"/>
          <w:color w:val="000000" w:themeColor="text1"/>
          <w:sz w:val="16"/>
          <w:szCs w:val="16"/>
        </w:rPr>
        <w:softHyphen/>
        <w:t>ва радионавигации и связи (11123).</w:t>
      </w:r>
    </w:p>
    <w:p w14:paraId="17D8CD4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3F0136F2" w14:textId="77777777" w:rsidR="00380836" w:rsidRPr="008A2E5A" w:rsidRDefault="00380836" w:rsidP="003808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августа 1942 года вышел приказ НКАП № 605сс, требовавший, чтобы с 10 августа 1942 года на каждый выпущенный ЛаГГ-5 ставился приемник РСИ-4, при этом каждая третья машина должна быть оборудована полным комплектом (передатчик и приемник). В то время основной тактической единицей было звено из трех самолетов, т. е. командир звена получал возможность отдавать приказы своим ведомым, которые могли только принимать их. Кроме того, каждая третья машина должна была оснащаться радиополукомпасом РПК-10. На остальных самолетах должна была иметься возможность для установки полного комплекта радиооборудования позже. С 13 августа начались войсковые испытания первых ЛаГГ-5 в 49 КИАП (Краснознаменный Истребительный Авиаполк) 1-ой Воздушной Армии Западного фронта, а с 20 августа — в 287 ИАД (Истребительной Авиадивизии) под командованием полковника Фролова — сначала в 249-м, а позднее в 75-м, 27-м, 297-м и 437-м ИАП (Истребительных полках) 8-ой Воздушной Армии на Сталинградском фронте. Для этого использовались самолеты 1-й, 2-й и 3-й производственных серий. Результаты боевых действий будут описаны далее, а здесь разговор пойдет о выявленных недостатках (23547).</w:t>
      </w:r>
    </w:p>
    <w:p w14:paraId="2CA5A8B9" w14:textId="77777777" w:rsidR="00380836" w:rsidRPr="008A2E5A" w:rsidRDefault="00380836" w:rsidP="00380836">
      <w:pPr>
        <w:spacing w:after="0" w:line="240" w:lineRule="auto"/>
        <w:jc w:val="both"/>
        <w:rPr>
          <w:rFonts w:ascii="Times New Roman" w:hAnsi="Times New Roman"/>
          <w:color w:val="0070C0"/>
          <w:sz w:val="16"/>
          <w:szCs w:val="16"/>
        </w:rPr>
      </w:pPr>
    </w:p>
    <w:p w14:paraId="73486E3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 августа 1942 г. заместитель начальника 7-го Главного Управления НКАП Алексеев направил в секретариат наркома записку следующего содержания:</w:t>
      </w:r>
    </w:p>
    <w:p w14:paraId="3CB9281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"Группа тов. Люлька в составе 15 человек с 1 июля 1942 г. переведена на постоянную работу в конструкторское бюро тов. Болховитинова, где используется по специальности". Заметим, что Люлька представлял список на 23 человека (9016).</w:t>
      </w:r>
    </w:p>
    <w:p w14:paraId="2644F5B8" w14:textId="77777777" w:rsidR="00AE7191" w:rsidRPr="001E2C69" w:rsidRDefault="00AE7191" w:rsidP="00722885">
      <w:pPr>
        <w:pStyle w:val="Iauiue"/>
        <w:jc w:val="both"/>
        <w:rPr>
          <w:color w:val="000000" w:themeColor="text1"/>
          <w:sz w:val="16"/>
          <w:szCs w:val="16"/>
        </w:rPr>
      </w:pPr>
    </w:p>
    <w:p w14:paraId="3E93601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августа 1942 г., заместитель на</w:t>
      </w:r>
      <w:r w:rsidRPr="001E2C69">
        <w:rPr>
          <w:rFonts w:ascii="Times New Roman" w:hAnsi="Times New Roman"/>
          <w:color w:val="000000" w:themeColor="text1"/>
          <w:sz w:val="16"/>
          <w:szCs w:val="16"/>
        </w:rPr>
        <w:softHyphen/>
        <w:t>чальника 7-го Главного Управления НКАП Алексеев направил в секретариат нар</w:t>
      </w:r>
      <w:r w:rsidRPr="001E2C69">
        <w:rPr>
          <w:rFonts w:ascii="Times New Roman" w:hAnsi="Times New Roman"/>
          <w:color w:val="000000" w:themeColor="text1"/>
          <w:sz w:val="16"/>
          <w:szCs w:val="16"/>
        </w:rPr>
        <w:softHyphen/>
        <w:t>кома записку следующего содержания:</w:t>
      </w:r>
    </w:p>
    <w:p w14:paraId="36DB5BA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«Группа тов.Люльки в составе 15 человек с 1 июля 1942 г. переведена на постоянную работу в конструктор</w:t>
      </w:r>
      <w:r w:rsidRPr="001E2C69">
        <w:rPr>
          <w:rFonts w:ascii="Times New Roman" w:hAnsi="Times New Roman"/>
          <w:color w:val="000000" w:themeColor="text1"/>
          <w:sz w:val="16"/>
          <w:szCs w:val="16"/>
        </w:rPr>
        <w:softHyphen/>
        <w:t>ское бюро тов.Болховитинова, где ис</w:t>
      </w:r>
      <w:r w:rsidRPr="001E2C69">
        <w:rPr>
          <w:rFonts w:ascii="Times New Roman" w:hAnsi="Times New Roman"/>
          <w:color w:val="000000" w:themeColor="text1"/>
          <w:sz w:val="16"/>
          <w:szCs w:val="16"/>
        </w:rPr>
        <w:softHyphen/>
        <w:t>пользуется по специальности».</w:t>
      </w:r>
    </w:p>
    <w:p w14:paraId="1858001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Заметим, что Люлька представлял список на 23 человека.</w:t>
      </w:r>
    </w:p>
    <w:p w14:paraId="0307635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Болховитинов был талантливым конструктором и очень доброжелатель</w:t>
      </w:r>
      <w:r w:rsidRPr="001E2C69">
        <w:rPr>
          <w:rFonts w:ascii="Times New Roman" w:hAnsi="Times New Roman"/>
          <w:color w:val="000000" w:themeColor="text1"/>
          <w:sz w:val="16"/>
          <w:szCs w:val="16"/>
        </w:rPr>
        <w:softHyphen/>
        <w:t>ным человеком, но производственная база его ОКБ, ориентированная на со</w:t>
      </w:r>
      <w:r w:rsidRPr="001E2C69">
        <w:rPr>
          <w:rFonts w:ascii="Times New Roman" w:hAnsi="Times New Roman"/>
          <w:color w:val="000000" w:themeColor="text1"/>
          <w:sz w:val="16"/>
          <w:szCs w:val="16"/>
        </w:rPr>
        <w:softHyphen/>
        <w:t>здание опытных самолетов, не могла обеспечить изготовление ряда агрега</w:t>
      </w:r>
      <w:r w:rsidRPr="001E2C69">
        <w:rPr>
          <w:rFonts w:ascii="Times New Roman" w:hAnsi="Times New Roman"/>
          <w:color w:val="000000" w:themeColor="text1"/>
          <w:sz w:val="16"/>
          <w:szCs w:val="16"/>
        </w:rPr>
        <w:softHyphen/>
        <w:t>тов и узлов столь необычного для того времени «изделия», каким являлся ТРД. Лопатки для компрессоров и турбин, основные детали газогенератора дви</w:t>
      </w:r>
      <w:r w:rsidRPr="001E2C69">
        <w:rPr>
          <w:rFonts w:ascii="Times New Roman" w:hAnsi="Times New Roman"/>
          <w:color w:val="000000" w:themeColor="text1"/>
          <w:sz w:val="16"/>
          <w:szCs w:val="16"/>
        </w:rPr>
        <w:softHyphen/>
        <w:t>гателя требовали применения специ</w:t>
      </w:r>
      <w:r w:rsidRPr="001E2C69">
        <w:rPr>
          <w:rFonts w:ascii="Times New Roman" w:hAnsi="Times New Roman"/>
          <w:color w:val="000000" w:themeColor="text1"/>
          <w:sz w:val="16"/>
          <w:szCs w:val="16"/>
        </w:rPr>
        <w:softHyphen/>
        <w:t>ального технологического оборудова</w:t>
      </w:r>
      <w:r w:rsidRPr="001E2C69">
        <w:rPr>
          <w:rFonts w:ascii="Times New Roman" w:hAnsi="Times New Roman"/>
          <w:color w:val="000000" w:themeColor="text1"/>
          <w:sz w:val="16"/>
          <w:szCs w:val="16"/>
        </w:rPr>
        <w:softHyphen/>
        <w:t>ния. Нужно было не просто собрать конструкторов под одной крышей, но в первую очередь создать для группы Люльки хотя бы элементарную, но спе</w:t>
      </w:r>
      <w:r w:rsidRPr="001E2C69">
        <w:rPr>
          <w:rFonts w:ascii="Times New Roman" w:hAnsi="Times New Roman"/>
          <w:color w:val="000000" w:themeColor="text1"/>
          <w:sz w:val="16"/>
          <w:szCs w:val="16"/>
        </w:rPr>
        <w:softHyphen/>
        <w:t>циализированную производственную базу. Однако в этом направлении со стороны наркомата авиапромышленно</w:t>
      </w:r>
      <w:r w:rsidRPr="001E2C69">
        <w:rPr>
          <w:rFonts w:ascii="Times New Roman" w:hAnsi="Times New Roman"/>
          <w:color w:val="000000" w:themeColor="text1"/>
          <w:sz w:val="16"/>
          <w:szCs w:val="16"/>
        </w:rPr>
        <w:softHyphen/>
        <w:t>сти практически ничего не делалось (11158).</w:t>
      </w:r>
    </w:p>
    <w:p w14:paraId="4D79FDC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5C09B5F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августа 1942г. по приказу НКАП № 608сс на базе института (НИИ-12 НКОП, НКАП, Научно-технический институт, Научный институт автоматики и гидравлики (НИАГ) НКТП, Институт авиационного приборостроения, НИИ самолетного оборудования (НИСО, НИИСО) НКАП, МАП /г. Москва Б. Кисельный пер., 4 (1940 г.); г. Ульяновск; г. Москва/), передаваемого из 5ГУ в 7ГУ, началось формирование специализированного НИИ по разработке и изготовлению опытных образцов и малых серий оборудования для самолетов с реактивными двигателями. Директором нового НИИ назначен Н.И. Петров. Однако, вскоре приказом № 888с от 15.12.1942г. предыдущий приказ был отменен и была предусмотрена организация нового НИИ самолетного оборудования (НИСО) широкого профиля, директором которого остался Н.И. Петров.</w:t>
      </w:r>
    </w:p>
    <w:p w14:paraId="7B96296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91с от 12.02.1943г. в НИСО была передана со всем личным составом и оборудованием лаборатория № 5 ЛИИ по испытательному оборудованию, возглавляемая С.И. Поповым.</w:t>
      </w:r>
    </w:p>
    <w:p w14:paraId="4ABE62F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Приказом № 277с от 7.05.1943г. для размещения НИСО были выделены помещения филиала завода № 482 НКАП, а старые помещения отданы в жилфонд НКАП.</w:t>
      </w:r>
    </w:p>
    <w:p w14:paraId="04E7EAA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Приказом № 377с от 25.06.1943г. в НИСО в полном составе влито ОКБ завода № 456 НКАП гл. конструктора М.Ф. Поликарпова по антиобледенителям и аппаратуре обогрева и жизнеобеспечения кабин.</w:t>
      </w:r>
    </w:p>
    <w:p w14:paraId="5022271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579с от 1.10.1943г. при институте образована летная лаборатория с базированием на аэродроме завода № 482 НКАП на Ходынке. Далее в распоряжение НИСО была передана часть помещений завода № 81</w:t>
      </w:r>
    </w:p>
    <w:p w14:paraId="4941909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НКАП (два ангара на Ходынке), куда была переведена ЛИС НИСО (приказ № 494с от 21.12.1945г.). В 08.1946г. один ангар передан обратно вновь образованному заводу № 81 МАП.</w:t>
      </w:r>
    </w:p>
    <w:p w14:paraId="7353D8E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1944г. создан универсальный регулятор температуры авиамоторов УРТ-НИСО.</w:t>
      </w:r>
    </w:p>
    <w:p w14:paraId="72B4E1A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Приказом № 179сс от 28.02.1946г. на НИСО возложены работы по широкому кругу оборудования: авиационным радио- и </w:t>
      </w:r>
      <w:r w:rsidRPr="001E2C69">
        <w:rPr>
          <w:rFonts w:ascii="Times New Roman" w:hAnsi="Times New Roman"/>
          <w:color w:val="000000" w:themeColor="text1"/>
          <w:sz w:val="16"/>
          <w:szCs w:val="16"/>
          <w:lang w:val="en-US"/>
        </w:rPr>
        <w:t>PJI</w:t>
      </w:r>
      <w:r w:rsidRPr="001E2C69">
        <w:rPr>
          <w:rFonts w:ascii="Times New Roman" w:hAnsi="Times New Roman"/>
          <w:color w:val="000000" w:themeColor="text1"/>
          <w:sz w:val="16"/>
          <w:szCs w:val="16"/>
        </w:rPr>
        <w:t>-приборам, телемеханике, высотному оборудованию, автоматике управления самолетом и оружием. Проводились работы по оборудованию Як-9 системой телеуправления (1948-49г.), испытания Ту-2 с аппаратурой наведения. Заключения по радиотехническим объектам и антеннам.</w:t>
      </w:r>
    </w:p>
    <w:p w14:paraId="20424F8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1952г. в составе института действовала лаборатория навигационных приборов. Велась разработка автоматического секстанта («астроориентатора») для дальней авиации.</w:t>
      </w:r>
    </w:p>
    <w:p w14:paraId="2AF222B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1955г. НИСО передан из 7ГУ в 11ГУ МАП.</w:t>
      </w:r>
    </w:p>
    <w:p w14:paraId="2629DE0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Воссоздан в 1982г. как НИИАО (авиационного оборудования) из филиала ЛИИ.</w:t>
      </w:r>
    </w:p>
    <w:p w14:paraId="2F37AAC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Работы по электрооборудованию для РКТ.</w:t>
      </w:r>
    </w:p>
    <w:p w14:paraId="05A068C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(1930-е)- Л.Ф. Иванов, (-23.01.1937г.)- Н.Г. Кильянов, (23.01-28.06.1937г.)- Г.В. Коренев, (7.07.1937г.)- Измаилов, (8.07.1937-2.02.1938г.)- И.А. Ткачев, (2.02-10.1938г.-)- Г.С. Игошин, М.О. Березин, (1941)- Фрадкин, (1942г.-)- г Н.И. Петров. Начальник (1943; -1945-46г.-)- Н.И. Петров, А.Ф. Фаломеев, (до 1944г.)- Г.А. Левин. И.О. начальника (07.1944г.)- Н.Д. Рязанцев.</w:t>
      </w:r>
    </w:p>
    <w:p w14:paraId="75E00F6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начальника (1955г.)- Н.Д. Рязанцев.</w:t>
      </w:r>
    </w:p>
    <w:p w14:paraId="2FBCBBD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(1930-е)- Г.А. Левин, (1947г.-)- Н.Д. Рязанцев.</w:t>
      </w:r>
    </w:p>
    <w:p w14:paraId="767EE8A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Руководитель ОКБ - А.С. Абрамов.</w:t>
      </w:r>
    </w:p>
    <w:p w14:paraId="7DB0BF7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сектора (-1937г.)- Л.М. Кофман (11982).</w:t>
      </w:r>
    </w:p>
    <w:p w14:paraId="00AEF076"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24B8E7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августа 1942 г. по приказу № 606с планировалось передать завод № 296 (ГС Завод № 296 им. Дзержинского НКАП, Бердский радиозавод</w:t>
      </w:r>
      <w:r w:rsidRPr="001E2C69">
        <w:rPr>
          <w:rFonts w:ascii="Times New Roman" w:hAnsi="Times New Roman"/>
          <w:smallCaps/>
          <w:color w:val="000000" w:themeColor="text1"/>
          <w:sz w:val="16"/>
          <w:szCs w:val="16"/>
        </w:rPr>
        <w:t xml:space="preserve"> (брз) мрп, </w:t>
      </w:r>
      <w:r w:rsidRPr="001E2C69">
        <w:rPr>
          <w:rFonts w:ascii="Times New Roman" w:hAnsi="Times New Roman"/>
          <w:color w:val="000000" w:themeColor="text1"/>
          <w:sz w:val="16"/>
          <w:szCs w:val="16"/>
        </w:rPr>
        <w:t>А-1764, ПО «Вега», ООО «Бердский радиозавод» /г. Харьков, 54;  г. Бердск-2 Новосибирской обл. а/я 1 «Магнит»/ /633011  г. Бердск Новосибирской обл. ул. Линейная (Ленина), 5/7/) в систему НКВ. Однако, в соответствии с пост. ГКО № 2445сс от 23.10.1942 г. и приказом № 806/546с от 28.10.1942 г. в НКВ передано лишь выделенное из состава завода № 296 оптико-механическое производство.</w:t>
      </w:r>
    </w:p>
    <w:p w14:paraId="37A4925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11.1942 г. в Бердске началась организация производства агрегатов НВ.</w:t>
      </w:r>
    </w:p>
    <w:p w14:paraId="3F8FF51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1942 г. часть завода № 296 НКАП (оборудование, кадры) по электродрелям переведена на завод № 500 в Тушино.</w:t>
      </w:r>
    </w:p>
    <w:p w14:paraId="10BB58F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оказания помощи моторным заводам приказом № 491с от 17.08.1943 г. образован заводской Базовый эксплуатационный ремонтный отдел на территории завода № 315 НКАП. Начальник отдела- А.Я. Асеев, кадры сформированы переводом специалистов с заводов № 315, № 132, № 33 и ОКБ-132.</w:t>
      </w:r>
    </w:p>
    <w:p w14:paraId="7E51BA9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673с от 10.11.1943 г. заводу переданы все сооружения расформированного завода № 9 ОАП НКАП.</w:t>
      </w:r>
    </w:p>
    <w:p w14:paraId="2071685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По приказу № 679с от 15.11.1943 г. на площадке эвакуированного завода в Харькове организованы мастерские по ремонту моторных агрегатов.</w:t>
      </w:r>
    </w:p>
    <w:p w14:paraId="39BD825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612с от 9.09.1946 г. завод реэвакуирован на старую площадку в Харьков (где, вероятно, образован новый завод № 897 МАП). Часть специалистов завода остались в Бердске и составили основу коллектива нового завода. На базе оставшегося в Бердске завода решением правительства от 10.10.1946 г. организован Бердский радиозавод. Официальной датой рождения завода считается 14.10.1946 г. В 09.1947 г. выпущена первая партия радиоприемников.</w:t>
      </w:r>
      <w:r w:rsidRPr="001E2C69">
        <w:rPr>
          <w:rFonts w:ascii="Times New Roman" w:hAnsi="Times New Roman"/>
          <w:color w:val="000000" w:themeColor="text1"/>
          <w:sz w:val="16"/>
          <w:szCs w:val="16"/>
          <w:vertAlign w:val="superscript"/>
        </w:rPr>
        <w:t>108</w:t>
      </w:r>
    </w:p>
    <w:p w14:paraId="363E132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smallCaps/>
          <w:color w:val="000000" w:themeColor="text1"/>
          <w:sz w:val="16"/>
          <w:szCs w:val="16"/>
        </w:rPr>
        <w:t>в</w:t>
      </w:r>
      <w:r w:rsidRPr="001E2C69">
        <w:rPr>
          <w:rFonts w:ascii="Times New Roman" w:hAnsi="Times New Roman"/>
          <w:color w:val="000000" w:themeColor="text1"/>
          <w:sz w:val="16"/>
          <w:szCs w:val="16"/>
        </w:rPr>
        <w:t xml:space="preserve"> 1960-е  г. - в ведении Управления радиотехнической и электронной промышленности Западно-Сибирского совнархоза.</w:t>
      </w:r>
      <w:r w:rsidRPr="001E2C69">
        <w:rPr>
          <w:rFonts w:ascii="Times New Roman" w:hAnsi="Times New Roman"/>
          <w:color w:val="000000" w:themeColor="text1"/>
          <w:sz w:val="16"/>
          <w:szCs w:val="16"/>
          <w:vertAlign w:val="superscript"/>
        </w:rPr>
        <w:t>80</w:t>
      </w:r>
      <w:r w:rsidRPr="001E2C69">
        <w:rPr>
          <w:rFonts w:ascii="Times New Roman" w:hAnsi="Times New Roman"/>
          <w:color w:val="000000" w:themeColor="text1"/>
          <w:sz w:val="16"/>
          <w:szCs w:val="16"/>
        </w:rPr>
        <w:t xml:space="preserve"> В 1973 г. - в ведении 5ГУ МРП. Далее - ПО «Вега».</w:t>
      </w:r>
    </w:p>
    <w:p w14:paraId="0672A1C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имел (1973 г.) 3 промплощадки: № 1 - новую, № 2 - старую, № 3 - цеха № 7. В составе завода цехи: окончательной сборки, сборки «Веги», пластмассовый, штамповочный, автоматно-механический, сборки футляров, гальванический, сборки трансформаторов, сборки динамиков, литейный; СКБ.</w:t>
      </w:r>
    </w:p>
    <w:p w14:paraId="76B62A5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оборудования (1973 г.)- 1935 ед. (в т.ч. металлорежущего- 622 ед.).</w:t>
      </w:r>
    </w:p>
    <w:p w14:paraId="4583F30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территории: общая (1973 г.)- 56,68 га; площадки № 1 (1973 г.)- 10,5га; № 2 (1973 г.)- 14,2 га; № 3 (1973 г.)- 5,2 га; застройки (1973 г.)- 260700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720FF54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(1972 г.)- 7806 чел., (1973 г.)- 8208 чел.</w:t>
      </w:r>
    </w:p>
    <w:p w14:paraId="6942013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Директор (-01.1941-50 г.)- </w:t>
      </w:r>
      <w:r w:rsidRPr="001E2C69">
        <w:rPr>
          <w:rFonts w:ascii="Times New Roman" w:hAnsi="Times New Roman"/>
          <w:color w:val="000000" w:themeColor="text1"/>
          <w:sz w:val="16"/>
          <w:szCs w:val="16"/>
          <w:lang w:val="en-US"/>
        </w:rPr>
        <w:t>B</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C</w:t>
      </w:r>
      <w:r w:rsidRPr="001E2C69">
        <w:rPr>
          <w:rFonts w:ascii="Times New Roman" w:hAnsi="Times New Roman"/>
          <w:color w:val="000000" w:themeColor="text1"/>
          <w:sz w:val="16"/>
          <w:szCs w:val="16"/>
        </w:rPr>
        <w:t>. Берман, (1973 г.)- А. Сарычев.</w:t>
      </w:r>
    </w:p>
    <w:p w14:paraId="24361D4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экономист (1973 г.)- Высоцкий.</w:t>
      </w:r>
    </w:p>
    <w:p w14:paraId="4B0D4B3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отделов: ОКС (1973 г.)- А. Валяев.</w:t>
      </w:r>
    </w:p>
    <w:p w14:paraId="580C29F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(ВОВ) агрегаты НВ: НБ-ЗУ для </w:t>
      </w:r>
      <w:r w:rsidRPr="001E2C69">
        <w:rPr>
          <w:rFonts w:ascii="Times New Roman" w:hAnsi="Times New Roman"/>
          <w:color w:val="000000" w:themeColor="text1"/>
          <w:sz w:val="16"/>
          <w:szCs w:val="16"/>
          <w:lang w:val="en-US"/>
        </w:rPr>
        <w:t>JIa</w:t>
      </w:r>
      <w:r w:rsidRPr="001E2C69">
        <w:rPr>
          <w:rFonts w:ascii="Times New Roman" w:hAnsi="Times New Roman"/>
          <w:color w:val="000000" w:themeColor="text1"/>
          <w:sz w:val="16"/>
          <w:szCs w:val="16"/>
        </w:rPr>
        <w:t xml:space="preserve">-5, </w:t>
      </w:r>
      <w:r w:rsidRPr="001E2C69">
        <w:rPr>
          <w:rFonts w:ascii="Times New Roman" w:hAnsi="Times New Roman"/>
          <w:color w:val="000000" w:themeColor="text1"/>
          <w:sz w:val="16"/>
          <w:szCs w:val="16"/>
          <w:lang w:val="en-US"/>
        </w:rPr>
        <w:t>Jla</w:t>
      </w:r>
      <w:r w:rsidRPr="001E2C69">
        <w:rPr>
          <w:rFonts w:ascii="Times New Roman" w:hAnsi="Times New Roman"/>
          <w:color w:val="000000" w:themeColor="text1"/>
          <w:sz w:val="16"/>
          <w:szCs w:val="16"/>
        </w:rPr>
        <w:t>-7; артпанорамы «ПГ», перископ «ТР», винтовочные оптические прицелы «ПУ» (1941-42)- 22.786;</w:t>
      </w:r>
      <w:r w:rsidRPr="001E2C69">
        <w:rPr>
          <w:rFonts w:ascii="Times New Roman" w:hAnsi="Times New Roman"/>
          <w:color w:val="000000" w:themeColor="text1"/>
          <w:sz w:val="16"/>
          <w:szCs w:val="16"/>
          <w:vertAlign w:val="superscript"/>
        </w:rPr>
        <w:t>4</w:t>
      </w:r>
      <w:r w:rsidRPr="001E2C69">
        <w:rPr>
          <w:rFonts w:ascii="Times New Roman" w:hAnsi="Times New Roman"/>
          <w:color w:val="000000" w:themeColor="text1"/>
          <w:sz w:val="16"/>
          <w:szCs w:val="16"/>
        </w:rPr>
        <w:t xml:space="preserve"> селектор гармоник возбудителя «Бот»;</w:t>
      </w:r>
      <w:r w:rsidRPr="001E2C69">
        <w:rPr>
          <w:rFonts w:ascii="Times New Roman" w:hAnsi="Times New Roman"/>
          <w:iCs/>
          <w:color w:val="000000" w:themeColor="text1"/>
          <w:sz w:val="16"/>
          <w:szCs w:val="16"/>
        </w:rPr>
        <w:t xml:space="preserve"> радиоприемники:</w:t>
      </w:r>
      <w:r w:rsidRPr="001E2C69">
        <w:rPr>
          <w:rFonts w:ascii="Times New Roman" w:hAnsi="Times New Roman"/>
          <w:color w:val="000000" w:themeColor="text1"/>
          <w:sz w:val="16"/>
          <w:szCs w:val="16"/>
        </w:rPr>
        <w:t xml:space="preserve"> «Рекорд- 46 (1947-), -47, -52, -53», «Донец» (1954-), «Байкал» (1956-), «Вега» (1968-), «Вега-402 (1972-73-), -404 (1978-), - 407, -340, РП-341, -342, РП-240, РП-241 (1990-), РП-242, РП-243, РП-245 (1993-), РП-246, РП-247», «Радиоколокол» (1979-);</w:t>
      </w:r>
      <w:r w:rsidRPr="001E2C69">
        <w:rPr>
          <w:rFonts w:ascii="Times New Roman" w:hAnsi="Times New Roman"/>
          <w:iCs/>
          <w:color w:val="000000" w:themeColor="text1"/>
          <w:sz w:val="16"/>
          <w:szCs w:val="16"/>
        </w:rPr>
        <w:t xml:space="preserve"> радиолы:</w:t>
      </w:r>
      <w:r w:rsidRPr="001E2C69">
        <w:rPr>
          <w:rFonts w:ascii="Times New Roman" w:hAnsi="Times New Roman"/>
          <w:color w:val="000000" w:themeColor="text1"/>
          <w:sz w:val="16"/>
          <w:szCs w:val="16"/>
        </w:rPr>
        <w:t xml:space="preserve"> «Рекорд-50 (1950-), -51, -53, -60, -61, -65, -66, -68, -69, -310, -311 (1973), -314», «Байкал» (1957-), «Сибирь», «Фиалка», «Фиалка-2», «Вега-001, -002, -003, -300, -ЗОЮ, -312С (1974-), -313, -315, - 319С (1974-), -321С, -323С (1979-)»;</w:t>
      </w:r>
      <w:r w:rsidRPr="001E2C69">
        <w:rPr>
          <w:rFonts w:ascii="Times New Roman" w:hAnsi="Times New Roman"/>
          <w:iCs/>
          <w:color w:val="000000" w:themeColor="text1"/>
          <w:sz w:val="16"/>
          <w:szCs w:val="16"/>
        </w:rPr>
        <w:t xml:space="preserve"> магнитолы:</w:t>
      </w:r>
      <w:r w:rsidRPr="001E2C69">
        <w:rPr>
          <w:rFonts w:ascii="Times New Roman" w:hAnsi="Times New Roman"/>
          <w:color w:val="000000" w:themeColor="text1"/>
          <w:sz w:val="16"/>
          <w:szCs w:val="16"/>
        </w:rPr>
        <w:t xml:space="preserve"> «Фиалка» (1968-), «Фиалка-2» (1969-), «Рекорд-64 (1965-), -301 (1973)», «Вега-114С, -115С (1978-), -117С (1979-), -118С, -119С. -125С, -320, -324, -325С, -326 (1977-), -328С, -331, -332С, -335С, РМ-338С, РМ-235С, РМ-238, РМ-250С, РМ-251С, РМ-252С (1993-), РМ-255С»; магнитоэлектрофон «Вега-121С»;</w:t>
      </w:r>
      <w:r w:rsidRPr="001E2C69">
        <w:rPr>
          <w:rFonts w:ascii="Times New Roman" w:hAnsi="Times New Roman"/>
          <w:iCs/>
          <w:color w:val="000000" w:themeColor="text1"/>
          <w:sz w:val="16"/>
          <w:szCs w:val="16"/>
        </w:rPr>
        <w:t xml:space="preserve"> электрофоны:</w:t>
      </w:r>
      <w:r w:rsidRPr="001E2C69">
        <w:rPr>
          <w:rFonts w:ascii="Times New Roman" w:hAnsi="Times New Roman"/>
          <w:color w:val="000000" w:themeColor="text1"/>
          <w:sz w:val="16"/>
          <w:szCs w:val="16"/>
        </w:rPr>
        <w:t xml:space="preserve"> «Арктур-ООЗС, -004С», «Вега-101С (1972-73-), -103С, -104С, -109С»; </w:t>
      </w:r>
      <w:r w:rsidRPr="001E2C69">
        <w:rPr>
          <w:rFonts w:ascii="Times New Roman" w:hAnsi="Times New Roman"/>
          <w:iCs/>
          <w:color w:val="000000" w:themeColor="text1"/>
          <w:sz w:val="16"/>
          <w:szCs w:val="16"/>
        </w:rPr>
        <w:t>проигрыватели:</w:t>
      </w:r>
      <w:r w:rsidRPr="001E2C69">
        <w:rPr>
          <w:rFonts w:ascii="Times New Roman" w:hAnsi="Times New Roman"/>
          <w:color w:val="000000" w:themeColor="text1"/>
          <w:sz w:val="16"/>
          <w:szCs w:val="16"/>
        </w:rPr>
        <w:t xml:space="preserve"> «Вега-106С (1976-), -108С, -110С, ЭП-110С, ЭП-120С, ЭП-122С, -206С», «Арктур-ООбС (1983-)»; </w:t>
      </w:r>
      <w:r w:rsidRPr="001E2C69">
        <w:rPr>
          <w:rFonts w:ascii="Times New Roman" w:hAnsi="Times New Roman"/>
          <w:iCs/>
          <w:color w:val="000000" w:themeColor="text1"/>
          <w:sz w:val="16"/>
          <w:szCs w:val="16"/>
        </w:rPr>
        <w:t>тюнеры:</w:t>
      </w:r>
      <w:r w:rsidRPr="001E2C69">
        <w:rPr>
          <w:rFonts w:ascii="Times New Roman" w:hAnsi="Times New Roman"/>
          <w:color w:val="000000" w:themeColor="text1"/>
          <w:sz w:val="16"/>
          <w:szCs w:val="16"/>
        </w:rPr>
        <w:t xml:space="preserve"> «Вега Т-124С, -004С»;</w:t>
      </w:r>
      <w:r w:rsidRPr="001E2C69">
        <w:rPr>
          <w:rFonts w:ascii="Times New Roman" w:hAnsi="Times New Roman"/>
          <w:iCs/>
          <w:color w:val="000000" w:themeColor="text1"/>
          <w:sz w:val="16"/>
          <w:szCs w:val="16"/>
        </w:rPr>
        <w:t xml:space="preserve"> усилители:</w:t>
      </w:r>
      <w:r w:rsidRPr="001E2C69">
        <w:rPr>
          <w:rFonts w:ascii="Times New Roman" w:hAnsi="Times New Roman"/>
          <w:color w:val="000000" w:themeColor="text1"/>
          <w:sz w:val="16"/>
          <w:szCs w:val="16"/>
        </w:rPr>
        <w:t xml:space="preserve"> «Вега» 10У-120С, 25УС-122, 50У-122С, 50У-124С, «Арктур-</w:t>
      </w:r>
      <w:r w:rsidRPr="001E2C69">
        <w:rPr>
          <w:rFonts w:ascii="Times New Roman" w:hAnsi="Times New Roman"/>
          <w:color w:val="000000" w:themeColor="text1"/>
          <w:sz w:val="16"/>
          <w:szCs w:val="16"/>
          <w:lang w:val="en-US"/>
        </w:rPr>
        <w:t>OOlC</w:t>
      </w:r>
      <w:r w:rsidRPr="001E2C69">
        <w:rPr>
          <w:rFonts w:ascii="Times New Roman" w:hAnsi="Times New Roman"/>
          <w:color w:val="000000" w:themeColor="text1"/>
          <w:sz w:val="16"/>
          <w:szCs w:val="16"/>
        </w:rPr>
        <w:t>, -- 002С, -101С»; магнитофон «Вега» М-420 (1992-); музыкальный центр «Арктур-005С»; проигрыватели компакт- дисков: «Вега» ПКД-122С, ПКД-124С, ЛП-007; акустические системы 15КЗ-1 (1973), 10МАС-10 (1973), 10МАС- 1М (1974-); динамические головки: 1ГД-40, ЗГД-31, 4ГД-53А, 4ГДШ-3, 5ГДШ-2, 6ГД-6, 10ГД-30;-</w:t>
      </w:r>
      <w:r w:rsidRPr="001E2C69">
        <w:rPr>
          <w:rFonts w:ascii="Times New Roman" w:hAnsi="Times New Roman"/>
          <w:color w:val="000000" w:themeColor="text1"/>
          <w:sz w:val="16"/>
          <w:szCs w:val="16"/>
          <w:vertAlign w:val="superscript"/>
        </w:rPr>
        <w:t>108</w:t>
      </w:r>
      <w:r w:rsidRPr="001E2C69">
        <w:rPr>
          <w:rFonts w:ascii="Times New Roman" w:hAnsi="Times New Roman"/>
          <w:color w:val="000000" w:themeColor="text1"/>
          <w:sz w:val="16"/>
          <w:szCs w:val="16"/>
        </w:rPr>
        <w:t xml:space="preserve"> возбудитель БОТ (1973).</w:t>
      </w:r>
      <w:r w:rsidRPr="001E2C69">
        <w:rPr>
          <w:rFonts w:ascii="Times New Roman" w:hAnsi="Times New Roman"/>
          <w:color w:val="000000" w:themeColor="text1"/>
          <w:sz w:val="16"/>
          <w:szCs w:val="16"/>
          <w:vertAlign w:val="superscript"/>
        </w:rPr>
        <w:t>135</w:t>
      </w:r>
    </w:p>
    <w:p w14:paraId="65B2DB8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ОКО, ОКБ завода № 296 НКАП, ОКБ-296 НКАП /г. Харьков;  г. Бердск Новосибирской обл./</w:t>
      </w:r>
    </w:p>
    <w:p w14:paraId="199C61A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Разработка насосов «НВ» для авиамоторов.</w:t>
      </w:r>
    </w:p>
    <w:p w14:paraId="1F5AD91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1941 г. ОКБ эвакуировано на самостоятельную площадку в  г. Бердск. По приказу № 1066с от 13.10.1941 г. для организации опытной базы по агрегатам непосредственного впрыска авиамоторов вновь сформирован ОКО (далее- ОКБ) на базе эвакуированного завода № 296 НКАП и КБ-2 ОКО завода № 33 (Д.Н. Рудин, Ф.П. Пашков, Н.П. Голин и др.) под руководством С.А. Косберга. Переведены также работники ЦИАМ (В.А. Бородин и др.).</w:t>
      </w:r>
    </w:p>
    <w:p w14:paraId="7B476BF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Работы по агрегатам топливопитания и регулирования авиационных поршневых моторов (НБ-ЗУ для АШ- 82ФН).</w:t>
      </w:r>
    </w:p>
    <w:p w14:paraId="7E060BC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начале 1946 г. ОКБ-296 ( г. Бердск) объединено с заводом</w:t>
      </w:r>
      <w:r w:rsidRPr="001E2C69">
        <w:rPr>
          <w:rFonts w:ascii="Times New Roman" w:hAnsi="Times New Roman"/>
          <w:iCs/>
          <w:color w:val="000000" w:themeColor="text1"/>
          <w:sz w:val="16"/>
          <w:szCs w:val="16"/>
        </w:rPr>
        <w:t xml:space="preserve"> № 296.</w:t>
      </w:r>
      <w:r w:rsidRPr="001E2C69">
        <w:rPr>
          <w:rFonts w:ascii="Times New Roman" w:hAnsi="Times New Roman"/>
          <w:color w:val="000000" w:themeColor="text1"/>
          <w:sz w:val="16"/>
          <w:szCs w:val="16"/>
        </w:rPr>
        <w:t xml:space="preserve"> Далее, в 04.1946 г. ОКБ-296 переведено в Воронеж и получило название ОКБ-154 МАП. В 1947 г. при заводе № 154 действовало единое ОКБ-154-296.</w:t>
      </w:r>
    </w:p>
    <w:p w14:paraId="48FE560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 (10.1941 -04.1946 г.)- С.А. Косбер г.</w:t>
      </w:r>
    </w:p>
    <w:p w14:paraId="60369C0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гл. конструктора (1941 г.-)- Д.Н. Рудин.</w:t>
      </w:r>
    </w:p>
    <w:p w14:paraId="2A0C00A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СКБ Бердского радиозавода, В-2197 / г. Бердск-2 Новосибирской обл./</w:t>
      </w:r>
    </w:p>
    <w:p w14:paraId="2981A6D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СКБ - в ведении 5ГУ МРП, имело наименование «п/я В-2197» (1973 г.).</w:t>
      </w:r>
    </w:p>
    <w:p w14:paraId="6DE9507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(1973 г.)- 264 чел.</w:t>
      </w:r>
    </w:p>
    <w:p w14:paraId="2AC14D2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(1973 г.)- В. Цариков.</w:t>
      </w:r>
    </w:p>
    <w:p w14:paraId="54B8F21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экспериментального цеха (1973 г.)- А.А. Друйкин.</w:t>
      </w:r>
    </w:p>
    <w:p w14:paraId="562BFC9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бюро МТС (1973 г.)- В.В. Торопчин (11982).</w:t>
      </w:r>
    </w:p>
    <w:p w14:paraId="70857149"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A57EE36"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2A5A6EA7" w14:textId="77777777" w:rsidR="00AE7191" w:rsidRPr="001E2C69" w:rsidRDefault="00AE7191" w:rsidP="00722885">
      <w:pPr>
        <w:pStyle w:val="Iauiue"/>
        <w:jc w:val="both"/>
        <w:rPr>
          <w:iCs/>
          <w:color w:val="000000" w:themeColor="text1"/>
          <w:sz w:val="16"/>
          <w:szCs w:val="16"/>
        </w:rPr>
      </w:pPr>
    </w:p>
    <w:p w14:paraId="6A53B8C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августа 1942 г. пущен в эксплуатацию третий корпус завода (Завод № 313 НКВ, Завод «Амурлитмаш» Минстанкопрома, ОАО «Амурлитмаш» /681008  г. Комсомольск-на-Амуре Хабаровского кр. ул. Культурная, 1/) с механосборочным производством и кузницей, этот день стал днем рождения ремонтно-механического завода № 313 НКВ. Завод начал строиться военными строителями в 1940 г. 25.07.1942 г. вышло постановление ГКО № 2094 об окончании строительства завода и организации производства 82-мм минометов. Первой продукцией завода были минометы, мины, винтовки, ракетницы. Завод обслуживал строительство железной дороги Совгавань - Комсомольск-на-Амуре: ремонтировал станки и строительные механизмы, производил запчасти и инструменты. Основу коллектива завода до 1955 г. составляли заключенные, кроме того, работали демобилизованные красноармейцы и молодежь из школ ФЗО.</w:t>
      </w:r>
    </w:p>
    <w:p w14:paraId="28E3DE3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1955 г. завод передан в ведение Минстанкопрома, получил наименование завод «Амурлитмаш» и перешел на производство формовочного, смесеприготовительного и очистного литейного оборудования. В 1976 г. завод стал специализированным предприятием (единственным в стране) по разработке и производству очистного и выбивного оборудования (для выбивки и очистки штамповок, поковок, металлоконструкций, наружной поверхности труб).</w:t>
      </w:r>
    </w:p>
    <w:p w14:paraId="48D1BC5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1993 г. завод «Амурлитмаш» преобразован в АООТ, затем- ОАО «Амурлитмаш». 14.12.2005 г. предприятие признано банкротом, в 2009 г. являлось банкротом.</w:t>
      </w:r>
    </w:p>
    <w:p w14:paraId="31339BA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предприятия (2009 г.): кузнечный цех.</w:t>
      </w:r>
    </w:p>
    <w:p w14:paraId="23E6BF5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- 800 чел.</w:t>
      </w:r>
    </w:p>
    <w:p w14:paraId="6647417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Гендиректор (1993-2002 г.)- В.Н. Жук, (2007 г.)- В. Г. Матюшенко.</w:t>
      </w:r>
    </w:p>
    <w:p w14:paraId="56A89D9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гендиректора (2002 г.)- В. Г. Матюшенко.</w:t>
      </w:r>
    </w:p>
    <w:p w14:paraId="1DB3B99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начальника цеха: (-1965 г.)- А.И. Сухой (11982).</w:t>
      </w:r>
    </w:p>
    <w:p w14:paraId="12E3FE72"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4FA5296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августа 1942 г. завод (Завод № 577 НКБ, п/я 5, ФГУП «Соликамский завод «Урал» Росбоеприпаса /г. Соликамск п/я 5 «Искра» (1943 г.)/ /618554  г. Соликамск-14 Пермской обл. тел. 30-007/) пущен в эксплуатацию, этот день стал днем рождения. К этому времени были построены здания нитрации, стабилизации, хранилище кислот, нитроузел, производства пороховой массы и трубчатых порохов. 6.12.1942 г. вышло постановление ГКО № 2583 об увеличении мощности завода по производству нитроглицериновых порохов. В начале 1943 г. сдан комплекс мастерских по производству коллоксилина. Проектная мощность на 1.01.1943 г.- 650 т пороха в месяц. 21.04.1943 г. вышло постановление ГКО № 3216 о мероприятиях по обеспечению строительства 2-й очереди завода. Приказом НКБ № 1054с от 15.11.1943 г. заводу предписано ввести в строй коллоксилиновое производство с выпуском в 11.1943 г. 200 т коллоксилина, для этого с других заводов НКБ на завод переведено 4 специалиста. К началу 1944 г. завод вышел на проектную мощность в 1100 т в месяц. За годы войны выпущено зарядов: 2655, 6 тыс. для М-13 «Катюша», 192,6 тыс. к 100-мм пушке, 11.871,5 тыс. к 82-мм миномету, 1592,4 тыс. для 120-мм миномета.</w:t>
      </w:r>
    </w:p>
    <w:p w14:paraId="0E32A4B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12.1942-11.1943 г. -в ведении ЗГУ НКБ. Имел обозначение «п/я 5» (1943 г.).</w:t>
      </w:r>
    </w:p>
    <w:p w14:paraId="47E5FF2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составе завода цехи (1943 г.): основные: № 1 кислотный, № 2 минометных порохов, № 3 коллоксилиновый, № 4 пороховой, № 5 зарядный; вспомогательные: полигон, ЦЗЛ, ремонтно-механический № 7, электроцех, паросиловой, тарная мастерская.</w:t>
      </w:r>
    </w:p>
    <w:p w14:paraId="5D7B8DD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войны завод наращивал производственные мощности, освоено производство новых видов порохов и зарядов- к пушке 2А28, минометам 82БМ, 120ПМ, 160-мм и 240-мм минометам. В 1960-е-70-е  г. значительно увеличена номенклатура выпускаемых изделий, освоена более безопасная технология производства порохов; построены новые производства: зарядов для РСЗО «Град», крупнейшее в стране производство сферических порохов для стрелкового оружия; зарядов для катапультных кресел. В конце 1980-х  г. освоен выпуск зарядов для САУ «Мета». К 1992 г. завод стал одним из крупнейших в СССР: выпускал около 40% порохов и зарядов. В 1990- е  г. получило развитие производство гражданской продукции - резинотехнических изделий и лакокрасочной продукции.</w:t>
      </w:r>
    </w:p>
    <w:p w14:paraId="67FD037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707AB2F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(1943 г.): производственная- 35645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вспомогательная- 11058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w:t>
      </w:r>
    </w:p>
    <w:p w14:paraId="2E30733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(1.01.1945 г.)- 2978 чел.</w:t>
      </w:r>
    </w:p>
    <w:p w14:paraId="13BFE0F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(09.1941-42 г.)- В.В. Мейпариани, (11.1942-04.1943 г.-)- С.С. Качалов. Начальник (-10.1943-44 г.-&gt; С.С. Качалов. Директор (1946-48 г.)- В.Я. Кайда, (1948-59 г.)- Н.Н. Григорьев, (1959-60 г.)- А.Н. Соколов, (1960- 63 г.)- С.И. Гришин, (1963-68 Г.)- Л.Л. Гиндин, (1968-88 г.)-  Г.М. Даниличев, (1988-2005 г.-&gt; А.И. Пашков.</w:t>
      </w:r>
      <w:r w:rsidRPr="001E2C69">
        <w:rPr>
          <w:rFonts w:ascii="Times New Roman" w:hAnsi="Times New Roman"/>
          <w:color w:val="000000" w:themeColor="text1"/>
          <w:sz w:val="16"/>
          <w:szCs w:val="16"/>
          <w:vertAlign w:val="superscript"/>
        </w:rPr>
        <w:t>101</w:t>
      </w:r>
    </w:p>
    <w:p w14:paraId="4326261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(09.1941 г.-)- Н.П. Потапов, (04.1943 г.)- И.Д. Козловский, (10.1943 г.)- Артюшенко.</w:t>
      </w:r>
    </w:p>
    <w:p w14:paraId="2991243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технологи: (1941 г.-)- И.А. Батайский, (1941 г.-)- Н.И. Икоников.</w:t>
      </w:r>
    </w:p>
    <w:p w14:paraId="402636B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производства: № 3 (ВОВ)- Н.В. Россомагин; № 4 (ВОВ)- И.И. Шатохин, (ВОВ)- Ф.Я. Грищенко; № 5 (ВОВ)- О.П. Алещенко; нитроузла (ВОВ)- Н.А. Кравченко.</w:t>
      </w:r>
    </w:p>
    <w:p w14:paraId="150E6FF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Начальники лабораторий: ЦЗЛ (ВОВ)- М. Г. Шарабрина.</w:t>
      </w:r>
      <w:r w:rsidRPr="001E2C69">
        <w:rPr>
          <w:rFonts w:ascii="Times New Roman" w:hAnsi="Times New Roman"/>
          <w:color w:val="000000" w:themeColor="text1"/>
          <w:sz w:val="16"/>
          <w:szCs w:val="16"/>
          <w:vertAlign w:val="superscript"/>
        </w:rPr>
        <w:t>55</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vertAlign w:val="superscript"/>
        </w:rPr>
        <w:t>56</w:t>
      </w:r>
    </w:p>
    <w:p w14:paraId="65EAFE6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заряды для М-13, минометов 82-мм, 120-мм; порох ленточка, коллксилин (1943) (11982).</w:t>
      </w:r>
    </w:p>
    <w:p w14:paraId="032E5F75"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510BB2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августа 1942 г. было подготовлено ЗАКЛЮЧЕНИЕ ПО ОТЧЕТУ НИ ПОЛИГОНА ГАБТУ КА ОБ ИСПЫТАНИИ ИМПОРТНЫХ АВТОМОБИЛЕЙ: «ФОРД: WOT8», «ДОДЖ» И «ШЕВРОЛЕ» БУКСИРОВКОЙ АРТСИСТЕМ</w:t>
      </w:r>
    </w:p>
    <w:p w14:paraId="0DE8DB7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утвержденной программе для данных испытаний в § 1 «Цель испытаний» указано, что в ре</w:t>
      </w:r>
      <w:r w:rsidRPr="001E2C69">
        <w:rPr>
          <w:rFonts w:ascii="Times New Roman" w:hAnsi="Times New Roman"/>
          <w:color w:val="000000" w:themeColor="text1"/>
          <w:sz w:val="16"/>
          <w:szCs w:val="16"/>
        </w:rPr>
        <w:softHyphen/>
        <w:t>зультате испытаний должна быть составлена подробная техническая характеристика автомобилей и должна быть определена надежность работы агрегатов, механизмов и прицепных устройств.</w:t>
      </w:r>
    </w:p>
    <w:p w14:paraId="3937CD8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Первая из поставленных задач не выполнена, так как приведенная в отчете характеристика да</w:t>
      </w:r>
      <w:r w:rsidRPr="001E2C69">
        <w:rPr>
          <w:rFonts w:ascii="Times New Roman" w:hAnsi="Times New Roman"/>
          <w:color w:val="000000" w:themeColor="text1"/>
          <w:sz w:val="16"/>
          <w:szCs w:val="16"/>
        </w:rPr>
        <w:softHyphen/>
        <w:t>леко не полна и, кроме того, имеет ряд неточностей.</w:t>
      </w:r>
    </w:p>
    <w:p w14:paraId="2CD48C7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Например, вместо обозначения модели автомобиля проставлена марка, обозначения 2x2 даны неправильно — следует обозначать 4x4, модель армейского грузовика «Шевроле: С-7107», а не ТМ-10-1127 как указано в характеристике (это обозначение каталога запчастей и инструкции). Мощность двигателя Форд-8 не 90 л.с., а95л.с. Мощность двигателя Додж Т-203-В не 100 л.с., а 85 л.с. Ряд данных, приведенных в характеристике, не совпадает с таковыми, помещенными в памятках по этим машинам, разработанным НИ полигоном.</w:t>
      </w:r>
    </w:p>
    <w:p w14:paraId="711D4B3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Вторая задача, то есть определение надежности агрегатов и механизмов, можно считать, также не решена, ибо вместо намеченного километража пробеговых испытаний в 1500 км в программе бы</w:t>
      </w:r>
      <w:r w:rsidRPr="001E2C69">
        <w:rPr>
          <w:rFonts w:ascii="Times New Roman" w:hAnsi="Times New Roman"/>
          <w:color w:val="000000" w:themeColor="text1"/>
          <w:sz w:val="16"/>
          <w:szCs w:val="16"/>
        </w:rPr>
        <w:softHyphen/>
        <w:t>ло утверждено 250 км, а в действительности пройдено 350 км (100 км по шоссе и 250 км по грунту).</w:t>
      </w:r>
    </w:p>
    <w:p w14:paraId="0BDBF16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Естественно, что такой общий километраж совершенно недостаточен, чтобы сделать сколько-нибудь надежные выводы в отношении поставленной задачи.</w:t>
      </w:r>
    </w:p>
    <w:p w14:paraId="0FC89D5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Тот факт, что у автомобиля «Форд WOT88» из-за перекосов кабины и ненадежности ее креп</w:t>
      </w:r>
      <w:r w:rsidRPr="001E2C69">
        <w:rPr>
          <w:rFonts w:ascii="Times New Roman" w:hAnsi="Times New Roman"/>
          <w:color w:val="000000" w:themeColor="text1"/>
          <w:sz w:val="16"/>
          <w:szCs w:val="16"/>
        </w:rPr>
        <w:softHyphen/>
        <w:t>ления к раме вырвало шпильку крепления радиатора к кабине, что повлекло за собой некоторые повреждения в системе охлаждения, позволяет сделать вывод, что для данной машины и 350 км пробега в тяжелых дорожных условиях достаточны для того, чтобы выявить ее некоторые сла</w:t>
      </w:r>
      <w:r w:rsidRPr="001E2C69">
        <w:rPr>
          <w:rFonts w:ascii="Times New Roman" w:hAnsi="Times New Roman"/>
          <w:color w:val="000000" w:themeColor="text1"/>
          <w:sz w:val="16"/>
          <w:szCs w:val="16"/>
        </w:rPr>
        <w:softHyphen/>
        <w:t>бые стороны.</w:t>
      </w:r>
    </w:p>
    <w:p w14:paraId="1E47D5F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других испытанных машин этот километраж, по-видимому, слишком недостаточен.</w:t>
      </w:r>
    </w:p>
    <w:p w14:paraId="44E723C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 следует также забывать, что, например, для автомобиля «Шевроле» - мод. С-7107 (4x4) макси</w:t>
      </w:r>
      <w:r w:rsidRPr="001E2C69">
        <w:rPr>
          <w:rFonts w:ascii="Times New Roman" w:hAnsi="Times New Roman"/>
          <w:color w:val="000000" w:themeColor="text1"/>
          <w:sz w:val="16"/>
          <w:szCs w:val="16"/>
        </w:rPr>
        <w:softHyphen/>
        <w:t>мальный вес буксируемого груза, по данным фирменной инструкции, составляет 1816 кг (4000 фн.). Примерно такого порядка будут величины максимально буксируемого груза для других машин.</w:t>
      </w:r>
    </w:p>
    <w:p w14:paraId="7254E0C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Таким образом, можно предполагать, что длительная эксплуатация рассматриваемых машин с буксировкой артсистем около 3 тонн может вызвать некоторые ненормальности (в части усиленных износов, а возможно, и поломок в наиболее слабых местах) в работе данных машин.</w:t>
      </w:r>
    </w:p>
    <w:p w14:paraId="3D40682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ВЫВОДЫ:</w:t>
      </w:r>
    </w:p>
    <w:p w14:paraId="6AE8274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В пределах установленного километража пробеговых испытаний работа НИ полигона прове</w:t>
      </w:r>
      <w:r w:rsidRPr="001E2C69">
        <w:rPr>
          <w:rFonts w:ascii="Times New Roman" w:hAnsi="Times New Roman"/>
          <w:color w:val="000000" w:themeColor="text1"/>
          <w:sz w:val="16"/>
          <w:szCs w:val="16"/>
        </w:rPr>
        <w:softHyphen/>
        <w:t>дена вполне удовлетворительно.</w:t>
      </w:r>
    </w:p>
    <w:p w14:paraId="6737FF2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Получены ответы на ряд важных и конкретных вопросов, характеризующих тяговые возмож</w:t>
      </w:r>
      <w:r w:rsidRPr="001E2C69">
        <w:rPr>
          <w:rFonts w:ascii="Times New Roman" w:hAnsi="Times New Roman"/>
          <w:color w:val="000000" w:themeColor="text1"/>
          <w:sz w:val="16"/>
          <w:szCs w:val="16"/>
        </w:rPr>
        <w:softHyphen/>
        <w:t>ности, проходимость и технико-экономические показатели испытанных машин.</w:t>
      </w:r>
    </w:p>
    <w:p w14:paraId="6A452B4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Ряд полученных данных может быть использован как инструктивный материал для войсковых частей, использующих данные автомобили (например, указания, на каких передачах в главной и раз</w:t>
      </w:r>
      <w:r w:rsidRPr="001E2C69">
        <w:rPr>
          <w:rFonts w:ascii="Times New Roman" w:hAnsi="Times New Roman"/>
          <w:color w:val="000000" w:themeColor="text1"/>
          <w:sz w:val="16"/>
          <w:szCs w:val="16"/>
        </w:rPr>
        <w:softHyphen/>
        <w:t>даточной коробках преодолевались те или иные участки дорог, использование стального троса для извлечения буксируемых систем при их застревании на слабых грунтах и т. д.).</w:t>
      </w:r>
    </w:p>
    <w:p w14:paraId="7A9B0D8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Полученные в результате проведенных кратковременных испытаний данные следует рассма</w:t>
      </w:r>
      <w:r w:rsidRPr="001E2C69">
        <w:rPr>
          <w:rFonts w:ascii="Times New Roman" w:hAnsi="Times New Roman"/>
          <w:color w:val="000000" w:themeColor="text1"/>
          <w:sz w:val="16"/>
          <w:szCs w:val="16"/>
        </w:rPr>
        <w:softHyphen/>
        <w:t>тривать как предельные возможности испытанных машин, подлежащие уточнению в дальнейшей войсковой эксплуатации.</w:t>
      </w:r>
    </w:p>
    <w:p w14:paraId="2962C4BE" w14:textId="77777777" w:rsidR="00AE7191" w:rsidRPr="001E2C69" w:rsidRDefault="00AE7191" w:rsidP="00722885">
      <w:pPr>
        <w:pStyle w:val="afff5"/>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5. Отмечается некоторая небрежность в исполнении части работы, относящейся к составлению технических характеристик машин.</w:t>
      </w:r>
    </w:p>
    <w:p w14:paraId="4D2278A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Необходимо проведение дополнительных испытаний по специальной программе для выявле</w:t>
      </w:r>
      <w:r w:rsidRPr="001E2C69">
        <w:rPr>
          <w:rFonts w:ascii="Times New Roman" w:hAnsi="Times New Roman"/>
          <w:color w:val="000000" w:themeColor="text1"/>
          <w:sz w:val="16"/>
          <w:szCs w:val="16"/>
        </w:rPr>
        <w:softHyphen/>
        <w:t>ния надежности работы агрегатов машин при буксировании ими систем весом до 3 тонн.</w:t>
      </w:r>
    </w:p>
    <w:p w14:paraId="3E7A768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Ст. инженер 5 отдела АТУ ГАБТУ КА военинженер 3 ранга Хальфан</w:t>
      </w:r>
    </w:p>
    <w:p w14:paraId="7B22022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5 отдела АТУ ГАБТУ КА инженер-подполковник Лебедев</w:t>
      </w:r>
    </w:p>
    <w:p w14:paraId="62B9FF6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ЦАМО. Ф. 38. Оп. 11386. Д. 138. Л. 117-119. Подлинник (11211).</w:t>
      </w:r>
    </w:p>
    <w:p w14:paraId="14877C2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31B8802B" w14:textId="77777777" w:rsidR="00C5464C" w:rsidRPr="001E2C69" w:rsidRDefault="00C5464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8 августа 1942 года были запущены работы по созданию "зенитной спаренной установки под 12,7-мм пулеметы ДШК, смонтированные в танках Т-60 и Т-70". Согласно тактико-техническим требованиям, появившимся чуть позже, предполагалось создать ЗСУ на базе Т-60, которая использовала бы конструкцию штатной башни данного танка. Именно такой путь выбрал конструктор И.В. Савин, который возглавил создание Т-60-З и Т-70-З на заводе №37. ЗСУ на базе Т-70 он также создавал с использованием штатной башни танка, переделав ее под установку спарки пулеметов ДШКТ. Как показали испытания, прошедшие в первой половине декабря 1942 года, идея оказалась неправильной. Обе ЗСУ получились слишком тесными. Более удачной получилась конструкция Т-90, зенитной самоходной установки, созданной на ГАЗ им. Молотова. В.С. Соловьёв, ведущий инженер машины, выбрал путь создания новой башни и рационального использования ее внутреннего пространства. В результате именно Т-90 явно выбилась в фавориты. Казалось бы, самое время запускать Т-90 в серию, но в ГАБТУ КА посчитали иначе (21261).</w:t>
      </w:r>
    </w:p>
    <w:p w14:paraId="0E19BF2D" w14:textId="77777777" w:rsidR="00C5464C" w:rsidRPr="001E2C69" w:rsidRDefault="00C5464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A99FB63"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августа 1942</w:t>
      </w:r>
    </w:p>
    <w:p w14:paraId="504DB691"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1 Дело 12 лист 39</w:t>
      </w:r>
    </w:p>
    <w:p w14:paraId="5061BBF5"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служебного пользования.</w:t>
      </w:r>
    </w:p>
    <w:p w14:paraId="50747354"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w:t>
      </w:r>
    </w:p>
    <w:p w14:paraId="1E7948BE"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Народного Комиссариата Танковой Промышленности Союза ССР и Народного Комиссариата Электропромышленности Союза ССР</w:t>
      </w:r>
    </w:p>
    <w:p w14:paraId="2DE851BA"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315/93</w:t>
      </w:r>
    </w:p>
    <w:p w14:paraId="449428F5"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Москва</w:t>
      </w:r>
    </w:p>
    <w:p w14:paraId="02F4176C"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августа 1942 г.</w:t>
      </w:r>
    </w:p>
    <w:p w14:paraId="69334A98"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проверки работы ТПУ-3Ф в действительных условиях, как в линейных, так и радийных машинах, проверки размещения в машине, установления длин кабелей и уточнения технических условий ПРИКАЗЫВАЕМ:</w:t>
      </w:r>
    </w:p>
    <w:p w14:paraId="6FC1AA8B"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Выделить Комиссию в составе представителей:</w:t>
      </w:r>
    </w:p>
    <w:p w14:paraId="73B89AF7"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от БТУ ГАБТУ КА – председатель</w:t>
      </w:r>
    </w:p>
    <w:p w14:paraId="0C1DFB55"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от ГУС КА</w:t>
      </w:r>
    </w:p>
    <w:p w14:paraId="753F9A42"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от Наркомтанкопрома</w:t>
      </w:r>
    </w:p>
    <w:p w14:paraId="240DC087"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от Наркомэлектропрома</w:t>
      </w:r>
    </w:p>
    <w:p w14:paraId="3E9FB9E9"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от завода № 112</w:t>
      </w:r>
    </w:p>
    <w:p w14:paraId="10ABE255"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от завода № 197</w:t>
      </w:r>
    </w:p>
    <w:p w14:paraId="2D16A3AF"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Комиссии произвести всю работу в период с 9 по 13 августа с/г и материал по результатам испытаний представить на утверждение НКЭП, НКТП, ГАБТУ КА и НУС КА.</w:t>
      </w:r>
    </w:p>
    <w:p w14:paraId="58922B04"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Директору завода № 197 тов. БЕЛЯЕВУ подготовить 4 комплекта ТПУ-3Ф и обеспечить проведение лабораторных испытаний.</w:t>
      </w:r>
    </w:p>
    <w:p w14:paraId="7A892C5D"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Директору завода № 112 тов. РУБИНЧИК выделить два экспериментальных танка Т-34 и обеспечить установку на них переговорного устройства ТПУ-3Ф и проведение пробеговых испытаний.</w:t>
      </w:r>
    </w:p>
    <w:p w14:paraId="7B77EBE9"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 Народного Комиссара Танковой Промышленности СССР</w:t>
      </w:r>
    </w:p>
    <w:p w14:paraId="42A23ADD"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Ж.Я. Котина</w:t>
      </w:r>
    </w:p>
    <w:p w14:paraId="64B8F571"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 Народного Комиссара Электропромышленности СССР</w:t>
      </w:r>
    </w:p>
    <w:p w14:paraId="26ACE2FE"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w:t>
      </w:r>
    </w:p>
    <w:p w14:paraId="518CF62D"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Согласен: Начальник БТУ ГАБТУ КА</w:t>
      </w:r>
    </w:p>
    <w:p w14:paraId="27CCF643"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Инженер-полковник подпись 5/VIII-42 (Афонин) (23493).</w:t>
      </w:r>
    </w:p>
    <w:p w14:paraId="7D1040FA" w14:textId="77777777" w:rsidR="00164795" w:rsidRPr="008A2E5A" w:rsidRDefault="00164795" w:rsidP="00164795">
      <w:pPr>
        <w:spacing w:after="0" w:line="240" w:lineRule="auto"/>
        <w:jc w:val="both"/>
        <w:rPr>
          <w:rFonts w:ascii="Times New Roman" w:hAnsi="Times New Roman"/>
          <w:color w:val="0070C0"/>
          <w:sz w:val="16"/>
          <w:szCs w:val="16"/>
        </w:rPr>
      </w:pPr>
    </w:p>
    <w:p w14:paraId="7399B273"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августа 1942 г. Постановление ГКО СССР № 2161сс «О восстановлении и развитии заводов электровакуумной промышленности Наркомата электропромышленности»</w:t>
      </w:r>
    </w:p>
    <w:p w14:paraId="6A5FDAE3"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7A5D3311"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обороны отмечает, что состояние электровакуумной промышленности Наркомэлектропрома и выпуск радиоламп не обеспечивает возросших потребностей Красной армии, тормозит дальнейшее увеличение выпуска радиоаппаратуры для самолетов и танков и ставит под угрозу остановки работу широковещательных радиостанций Союза.</w:t>
      </w:r>
    </w:p>
    <w:p w14:paraId="647D1600"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обороны считает недопустимым дальнейшее отставание электровакуумной промышленности и устанавливает, что важнейшей задачей Наркомэлектропрома и директоров заводов № 191, 191-а, 617, 643 и Московского электролампового является расширение производства радиоламп и доведение в кратчайший срок выпуска их до полного удовлетворения потребности.</w:t>
      </w:r>
    </w:p>
    <w:p w14:paraId="2DC1DD89"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Государственный комитет обороны постановляет:</w:t>
      </w:r>
    </w:p>
    <w:p w14:paraId="015C9AF4"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p w14:paraId="58B12F5F"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Обязать Наркомэлектропром (т. Кабанова) и директоров заводов: № 191 (т. Сергеева), № 191-а (т. Каминского), № 617 (т. Жука), № 643 (т. Васильева), Московского электролампового (т. Цветкова) и Томского электролампового (т. Иванова):</w:t>
      </w:r>
    </w:p>
    <w:p w14:paraId="20733A37"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выпустить до конца 1942 г.: металлических приемно-усилительных радиоламп — 500 тыс. шт., стеклянных приемно-усилительных радиоламп — 1600 тыс. шт., генераторных радиоламп малой мощности — 100 тыс. шт., генераторных радиоламп средней мощности — 51,5 тыс. шт., мощных генераторных радиоламп — 750 шт., газовых приборов — 7800 шт., рентгеновских трубок — 3 тыс. шт., нормальных осветительных ламп — 19 500 тыс. шт., специальных осветительных ламп — 6800 тыс. шт. и миниатюрных осветительных ламп — 7200 тыс. шт., с распределением указанного выпуска по заводам согласно приложению № I;</w:t>
      </w:r>
    </w:p>
    <w:p w14:paraId="7F8D01BB"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довести к концу 1942 г. годовые мощности электровакуумных заводов Наркомэлектропрома по выпуску: металлических приемно-усилительных радиоламп — до 3600 тыс. шт., стеклянных приемно-усилительных радиоламп — до 5100 тыс. шт., генераторных радиоламп малой мощности — до 280 тыс. шт., генераторных радиоламп средней мощности — до 145 тыс. шт., мощных генераторных радиоламп — до 3,5</w:t>
      </w:r>
      <w:r w:rsidRPr="008A2E5A">
        <w:rPr>
          <w:rFonts w:ascii="Times New Roman" w:hAnsi="Times New Roman"/>
          <w:color w:val="0070C0"/>
          <w:sz w:val="16"/>
          <w:szCs w:val="16"/>
        </w:rPr>
        <w:tab/>
        <w:t>тыс. шт., газовых приборов — до 28 200 шт., рентгеновских трубок — до 20 тыс. шт., нормальных осветительных ламп — до 87 000 тыс. шт„ специальных осветительных ламп — до 28 000 тыс. шт., миниатюрных осветительных ламп — до 22 000 тыс. шт., с разбивкой по заводам и по срокам согласно приложению № 2.</w:t>
      </w:r>
    </w:p>
    <w:p w14:paraId="5F885426"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w:t>
      </w:r>
    </w:p>
    <w:p w14:paraId="0C112155"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обеспечения выполнения задания, указанного в разделе I настоящего постановления, провести нижеследующие мероприятия:</w:t>
      </w:r>
    </w:p>
    <w:p w14:paraId="08386019"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По заводу № 191</w:t>
      </w:r>
    </w:p>
    <w:p w14:paraId="75CB449E"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Обязать Наркомэлектропром и директора завода № 191 (т. Сергеева) подготовить в течение III и IV кварталов 1942 г. производство генераторных радиоламп малой и средней мощности 20-вольтовой серии, 100-киловаттных радиоламп и газовых приборов, обеспечив серийный выпуск этих изделий с 1 января 1943 г.</w:t>
      </w:r>
    </w:p>
    <w:p w14:paraId="121461AE"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Обязать Совнарком Узбекской ССР выделить заводу № 191 местные строительные материалы для окончания строительства указанного завода в количествах и сроки по согласованию с Наркомэлектропромом.</w:t>
      </w:r>
    </w:p>
    <w:p w14:paraId="32F4027D"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Поручить Совнаркому Узбекской ССР и Наркомэлектропрому обеспечить максимальное применение местных материалов в производстве стекла и керамических изделий для радио- и осветительных ламп.</w:t>
      </w:r>
    </w:p>
    <w:p w14:paraId="56104AAD"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Возложить на Главвоенпромстрой строительство завода № 191 Наркомэлектропрома в г. Ташкенте общей стоимостью 4 млн руб. (включая выполненные работы).</w:t>
      </w:r>
    </w:p>
    <w:p w14:paraId="4A0DC3CF"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Обязать Главвоенпромстрой (т. Шапиро), Наркомэлектропром (т. Кабанова) и директора завода № 191 т. Сергеева закончить строительство указанного завода к 15 ноября 1942 г., обеспечив ввод в эксплуатацию основных объектов строительства в сроки согласно приложению № 3.</w:t>
      </w:r>
    </w:p>
    <w:p w14:paraId="0D1DCACC"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По заводу № 191-а</w:t>
      </w:r>
    </w:p>
    <w:p w14:paraId="4AF9AB7B"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Обязать директора завода № 191-а т. Каминского закончить монтаж оборудования по производству усилительных и генераторных ламп и ввести его в эксплуатацию не позднее 1 сентября 1942 г.</w:t>
      </w:r>
    </w:p>
    <w:p w14:paraId="67347070"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r w:rsidRPr="008A2E5A">
        <w:rPr>
          <w:rFonts w:ascii="Times New Roman" w:hAnsi="Times New Roman"/>
          <w:color w:val="0070C0"/>
          <w:sz w:val="16"/>
          <w:szCs w:val="16"/>
        </w:rPr>
        <w:tab/>
        <w:t>Обязать Наркомлегпром РСФСР передать заводу № 191-а Наркомэлектропрома с Зудовского завода (Ивановская обл.) в августе 1942 г. одну глиномялку системы Фора и бегуны системы Рейслинг.</w:t>
      </w:r>
    </w:p>
    <w:p w14:paraId="61CA61F6"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B. По заводу № 617</w:t>
      </w:r>
    </w:p>
    <w:p w14:paraId="2C1CFC13"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Обязать Наркомэлектропром и директора завода № 617 т. Жука: а) разработать в течение III квартала 1942 г. и организовать к началу IV квартала 1942 г. серийный выпуск новых типов приемно-усилительных радиоламп, обеспечивающих работу радиоаппаратуры от бортовой сети самолетов (без умформеров); б) восстановить в III квартале 1942 г. при заводе № 617 электровакуумную лабораторию и обеспечить разрешение в ней следующих первоочередных задач: широкое внедрение заменителей импортных и дефицитных отечественных материалов (алунд, никель, шеллак), резкое повышение выхода годных радиоламп (снижение брака), разработка новых типов ламп для сантиметровых и дециметровых волн.</w:t>
      </w:r>
    </w:p>
    <w:p w14:paraId="6EFF3958"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Обязать Наркомбоеприпасов (начальника строительства комбината № 179), Наркомэлектропром (т. Кабанова) и директора завода № 617 (т. Жука) закончить строительство и ввести в эксплуатацию основные объекты завода № 617 в сроки согласно приложению № 4.</w:t>
      </w:r>
    </w:p>
    <w:p w14:paraId="5047DA02"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Наркомздрав СССР (т. Митерева) передать заводу № 617 Наркомэлектропрома две машины системы Королева для производства стеклянного дрота, эвакуированные с Клинского завода Наркомздрава СССР.</w:t>
      </w:r>
    </w:p>
    <w:p w14:paraId="6F834E13"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Обязать НКПС (т. Хрулева): а) обеспечить бесперебойную перевозку в течение августа-октября 1942 г. местных строительных материалов на площадку завода № 617 в г. Новосибирске по 15 вагонов ежесуточно; б) построить к 25 августа 1942 г. на территории завода № 617 один километр внутризаводских железнодорожных путей с пятью нормальными стрелочными переводами. Наркомэлектропрому облегчить строительство железнодорожных путей необходимым количеством рабочих.</w:t>
      </w:r>
    </w:p>
    <w:p w14:paraId="1B571675"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Обязать Новосибирский облисполком (т. Гришина): а) мобилизовать до 26 августа 1942 г. в пределах области и передать заводу № 617 Наркомэлектропрома 40 лошадей с комплектом упряжи. Наркомзагу (т. Субботину) выделить для завода № 617 соответствующее количество фуража; б) мобилизовать в пределах Новосибирской области для работы на заводе № 617 Наркомэлектропрома 1300 чел. рабочих из числа трудоспособного населения, из них: 600 чел. — до 1 сентября и остальные 700 чел. — до 15 октября 1942 г., обеспечив указанное количество рабочих жилплощадью; в) для возможности использования женского труда на заводе № 617 передать указанному заводу для дет[ских] учреждений школу № 44 в г. Новосибирске; г) предоставить заводу № 617 в г. Новосибирске за счет уплотнения населения 100 комнат для расселения инженерно-технических работников завода.</w:t>
      </w:r>
    </w:p>
    <w:p w14:paraId="77053B2D"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Поручить Новосибирскому обкому ВКП(б) (т. Кулагину), Новосибирскому облисполкому (т. Гришину) и директору завода № 617 т. Жуку: а) отобрать для завода № 617 на предприятиях Новосибирской области 15 рабочих-инструменталыциков 4-6-го разрядов; б) обеспечить максимальное применение местных материалов в производстве стекла и керамических изделий для электровакуумных изделий.</w:t>
      </w:r>
    </w:p>
    <w:p w14:paraId="1EBC21CA"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По заводу № 643</w:t>
      </w:r>
    </w:p>
    <w:p w14:paraId="3269005A"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Возложить на Главвоенпромстрой строительство дополнительных и вспомогательных помещений, а также жилых зданий на заводе № 643 в г. Уфе общей стоимостью 3 млн руб. Обязать Главвоенпромстрой (т. Шапиро), Наркомэлектропром (т. Кабанова) и директора завода № 643 т! Васильева закончить строительство и ввести в эксплуатацию указанные объекты в сроки согласно приложению № 5.</w:t>
      </w:r>
    </w:p>
    <w:p w14:paraId="013F387E"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Обязать Наркомнефть (т. Седина) в 10-дневный срок передать заводу № 643 Наркомэлектропрома помещения больницы и бани Уфимского нефтеперегонного завода, находящиеся на территории завода № 643, а также законсервированное строительство четырехэтажного жилого дома в соцгороде крекинг-завода в г. Уфе.</w:t>
      </w:r>
    </w:p>
    <w:p w14:paraId="7166EB4C"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 По Московскому электроламповому заводу (МЭЛЗ)</w:t>
      </w:r>
    </w:p>
    <w:p w14:paraId="145DC54A"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Обязать Наркомэлектропром и директора МЭЛЗ т. Цветкова организовать на Московском электроламповом заводе в течение августа-сентября 1942 г. производство электронно-лучевых трубок, тиратронов и генераторных ламп средней мощности, для чего обязать Наркомсредмаш передать Московскому электроламповому заводу свободные производственные площади эвакуированного завода АТЗ-1 в размере 6 тыс. кв. м, расположенные на первом этаже здания Московского электролампового завода.</w:t>
      </w:r>
    </w:p>
    <w:p w14:paraId="6C665E81"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Обязать Наркомсредмаш (завод АТЭ-1) передать Наркомэлектропрому энергетическое хозяйство (котельное, электроподстанции) быв. электрозавода со всеми подсобными службами, мастерскими, автогаражом и штатом обслуживающего персонала по состоянию на 1 августа 1942 г., а также выделенными фондами на топливо.</w:t>
      </w:r>
    </w:p>
    <w:p w14:paraId="2E4464AA"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Наркомэлектропром (т. Кабанова) обеспечивать в дальнейшем заводы АТЭ-1 Наркомсредмаша и № 254 Наркомтанкопрома, а также комбинат твердых сплавов Наркомцветмета, расположенные на территории быв. электрозавода, электроэнергией, водой, производственным и отопительным паром. Госплану СССР выделять Наркомэлектропрому фонды на топливо из расчета обслуживания вышеуказанных</w:t>
      </w:r>
    </w:p>
    <w:p w14:paraId="10D69385"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предприятий НКСМ, НКТП и НКЦМ.</w:t>
      </w:r>
    </w:p>
    <w:p w14:paraId="12E60CEB"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Обязать Мосгорисполком (т. Пронина) выделить Московскому электроламповому заводу в г. Москве 100 комнат для ИТР и квалифицированных рабочих, переводимых для работы на Московский электроламповый завод.</w:t>
      </w:r>
    </w:p>
    <w:p w14:paraId="1E8A3E4F"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 По Томскому электроламповому заводу (ТЭЛЗ)</w:t>
      </w:r>
    </w:p>
    <w:p w14:paraId="3885133F"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Возложить на Главвоенпромстрой окончание строительства Томского электролампового завода в объеме 1 млн руб. Обязать Главвоенпромстрой (т. Шапиро), Наркомэлектропром (т. Кабанова) и директора Томского электролампового завода т. Иванова закончить все строительные работы по заводу ТЭЛЗ к 1 ноября 1942 г. и обеспечить ввод в эксплуатацию основных объектов завода в сроки согласно приложению № 6.</w:t>
      </w:r>
    </w:p>
    <w:p w14:paraId="64403AB7"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Обязать Главлесосбыт при СНК СССР поставить в октябре 1942 г. Томскому электроламповому заводу 10 восьмиквартирных стандартных домов.</w:t>
      </w:r>
    </w:p>
    <w:p w14:paraId="0F196EBA"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Ж. По производству осветительных приборов</w:t>
      </w:r>
    </w:p>
    <w:p w14:paraId="5DB98CCA"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Разрешить Наркомэлектропрому перебросить из г. Томска оборудование для производства осветительных электроламп из числа ранее эвакуированного оборудования на Томский электроламповый завод: а) в г. Уфу на завод № 643 — 9 линеек, б)</w:t>
      </w:r>
      <w:r w:rsidRPr="008A2E5A">
        <w:rPr>
          <w:rFonts w:ascii="Times New Roman" w:hAnsi="Times New Roman"/>
          <w:color w:val="0070C0"/>
          <w:sz w:val="16"/>
          <w:szCs w:val="16"/>
        </w:rPr>
        <w:tab/>
        <w:t>в г. Москву на Московский электроламповый завод — 12 линеек.</w:t>
      </w:r>
    </w:p>
    <w:p w14:paraId="325B1C91"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Обязать Наркомэлектропром и директоров заводов: № 191 — т. Сергеева, № 643 — т. Васильева и Московского электролампового — т. Цветкова установить и ввести в эксплуатацию оборудование для производства осветительных электроламп, перебрасываемое из г. Томска: на завод № 191 —4 линейки в течение августа и сентября 1942 г., на завод № 643 — 9 линеек к 1 декабря 1942 г., на Московский электроламповый завод — 6 линеек к 1 октября и еще 6 линеек — к 1 декабря 1942 г.</w:t>
      </w:r>
    </w:p>
    <w:p w14:paraId="6C63B1D4"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3. Обязать Совнарком Узбекской ССР в 10-дневный срок передать заводу № 191 Наркомэлектропрома помещение быв. топографического техникума в г. Ташкенте (угол Узбекистанской и Пролетарской улиц) для организации производства осветительных приборов.</w:t>
      </w:r>
    </w:p>
    <w:p w14:paraId="47A9F2F9"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По стекольным заводам</w:t>
      </w:r>
    </w:p>
    <w:p w14:paraId="5DDB1618"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Разрешить Наркомэлектропрому специализировать стекольный завод в г. Томске исключительно под производство стекла для осветительных и радиоламп, освободив его от изготовления стекла для Наркомздрава СССР, взамен чего организовать производство стекла для Наркомздрава СССР на других стеклозаводах.</w:t>
      </w:r>
    </w:p>
    <w:p w14:paraId="38EB762E"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Обязать Наркомвооружения (т. Устинова) поставлять Наркомэлектропрому для стекольных заводов с карьера завода № 4 (ст. Разгон Красноярской ж. д.) ежемесячно 500 т песка дополнительно к количеству, предусмотренному постановлением ГОКО от 13 июня 1942 г. № 1907СС.</w:t>
      </w:r>
    </w:p>
    <w:p w14:paraId="3C2185EC"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Наркомминвооружения (т. Паршина) поставить московской группе стекольных заводов Наркомэлектропрома в 1942 г. ежемесячно по 1 тыс. т песка с Люберецких карьеров.</w:t>
      </w:r>
    </w:p>
    <w:p w14:paraId="6D1B85F3"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Обязать Наркомчермет (т. Тевосяна) поставить стеклозаводам Наркомэлектронрома во втором полугодии 1942 г. 600 т шамотного припаса по чертежам Наркомэлектропрома в счет общего количества огнеупорного кирпича, предусмотренного к поставке Наркомапектропрому постановлением ГКО от 13 июня 1942 г. № 1907сс.</w:t>
      </w:r>
    </w:p>
    <w:p w14:paraId="53EEA59A"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Обязать Гдавлесосбыт при СНК СССР (т. Лопухова) поставить стекольным заводам Наркчшэлектропрома в 111 квартале 1942 г., по техническим условиям Наркомэлектропрома. 4 тыс. тарных комплектов с равномерной отгрузкой по месяцам, из них; 1 тыс. комплектов — за счет фондов Наркомалектропрома на III квартал 1942 г. и 3 тыс. комплектов — за счет резерва Совнаркома СССР.</w:t>
      </w:r>
    </w:p>
    <w:p w14:paraId="0553D533"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Обязать Наркомвооруження (т. Устинова) и Нлркоммн«вооружения (т. Паршина) в ежемесячных планах перевозок предусматривать выделение вагонов, а НКПС (т. Хрулева) обеспечить ежемесячно перевозку песка в адреса стекольных заводов Наркомалектропрома в следующих количествах: со ст. Разгон в г. Томск — 10 вагонов, со гг. Люберцы (Казанской ж. д.) в г. Москву — 19 вагонов, со ст. Люберцы на ст. Вербилкн (Октябрьской ж. д.) — 19 вагонов, со ст. Люберцы на ст. Болшево-Ивантеевка (Ярославской ж. д.) — 7 вагонов, со ст. Люберцы на ст. Калашникове (Октябрьской ж. д.) — 17 вагонов и со ст. Люберцы (Казанской ж. д.) в г. Уфу — 7 вагонов.</w:t>
      </w:r>
    </w:p>
    <w:p w14:paraId="7C26A73E"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Обязать Управление канала Москва-Волга при СНК СССР (т. Агафонова) обеспечить бесперебойное снабжение электроэнергией Запрудненского стеклозавода Наркомалектропрома, установив этому заводу лимит отпускаемой мощности в 180 кВт.</w:t>
      </w:r>
    </w:p>
    <w:p w14:paraId="71EAEBAF"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 Общие мероприятия</w:t>
      </w:r>
    </w:p>
    <w:p w14:paraId="5C6083A5"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 Для финансирования строительства заводов электровакуумной промышленности, предусмотренного настоящим постановлением, выделить Наркомзлектропрому на 111 квартал 1942 г. дополнительно 11 млн руб. из резервного фонда Совнаркома СССР, в том числе 9,7 млн руб. на восстановление эвакуированных заводов </w:t>
      </w:r>
    </w:p>
    <w:p w14:paraId="7DA74082"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Разрешить Промбанк)' финансирование работ по строительству и восстановлению заводов электровакуумной промышленности (.V 617, &gt;6 191.</w:t>
      </w:r>
      <w:r w:rsidRPr="008A2E5A">
        <w:rPr>
          <w:rFonts w:ascii="Times New Roman" w:hAnsi="Times New Roman"/>
          <w:color w:val="0070C0"/>
          <w:sz w:val="16"/>
          <w:szCs w:val="16"/>
        </w:rPr>
        <w:tab/>
        <w:t>191-а. .V 643, ТЭЛЗ) до конца 1942 г. производить без утвержденных проектов и смет по сметно-финансовым соображениям.</w:t>
      </w:r>
    </w:p>
    <w:p w14:paraId="1462A6D4"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Выделить Наркомзлектропрому для строительства электровакуумных заводов на 1Н квартал 1942 г., дополнительно к выделенным фондам, строительные материалы согласно приложению  7. Госплану СССР предусмотреть в планах перевозок цемента и лесоматериалов на сентябрь 1942 г. выделение вагонов целевым назначением для электровакуумных заводов Наркомалектропрома в количестве, обеспечивающем поставку указанным заводам 3 тыс. куб. м круглого леса. 1 тыс. куб. м пиленого леса и 300 т цемента</w:t>
      </w:r>
    </w:p>
    <w:p w14:paraId="27A6C033"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Выделить Наркомзлектропрому на III квартал 1942 г. дополнительно фондируемые производственные материалы для электровакуумных и стекольных заводов согласно приложению № 8.</w:t>
      </w:r>
    </w:p>
    <w:p w14:paraId="43282C4F"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Обязать Наркомхнмпром. Наркомцветмет, Наркомбоеприпасов. Наркомстанкостроения. Нарком пищепром СССР. Наркомместпром РСФСР и Главнефтесбыт при СНК СССР дополнительно выделить и поставить Наркомэлектроорому для электровакуумных и стекольных заводов в III квартале 1942 г. планируемые материалы согласно приложению № 9.</w:t>
      </w:r>
    </w:p>
    <w:p w14:paraId="7738ACFC"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w:t>
      </w:r>
      <w:r w:rsidRPr="008A2E5A">
        <w:rPr>
          <w:rFonts w:ascii="Times New Roman" w:hAnsi="Times New Roman"/>
          <w:color w:val="0070C0"/>
          <w:sz w:val="16"/>
          <w:szCs w:val="16"/>
        </w:rPr>
        <w:tab/>
        <w:t xml:space="preserve">Обязать наркоматы-поставщики обеспечить при всех условиях полную поставку </w:t>
      </w:r>
    </w:p>
    <w:p w14:paraId="54513B07"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электровакуумным и стекольным заводам Наркомэлектропрома материалов,</w:t>
      </w:r>
    </w:p>
    <w:p w14:paraId="4B526292"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сырья, топлива, электроэнергии и комплектующих изделий, как по основным фондам</w:t>
      </w:r>
    </w:p>
    <w:p w14:paraId="329C4B83"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III квартала 1942 г., так и по дополнительным, выделяемым согласно настоящему постановлению. </w:t>
      </w:r>
    </w:p>
    <w:p w14:paraId="3109BD94"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Поставки материалов и изделий для электровакуумных и стекольных</w:t>
      </w:r>
    </w:p>
    <w:p w14:paraId="5DBA9A33"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заводов Наркомэлектропрома рассматривать как поставки особой важности, непосредственно </w:t>
      </w:r>
    </w:p>
    <w:p w14:paraId="5ABA82A6"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обеспечивающие выпуск танков и самолетов.</w:t>
      </w:r>
    </w:p>
    <w:p w14:paraId="4032F844"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Установить, что строительство заводов № 191, № 191-а, № 617, № 643 и ТЭЛЗ являются важнейшими государственными стройками, подлежащими обеспечению всеми видами снабжения и обслуживания наравне с особыми оборонными строительствами.</w:t>
      </w:r>
    </w:p>
    <w:p w14:paraId="7E6B19FF"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Разрешить Наркомэлектропрому отобрать на заводе № 211 в г. Ленинграде и перебросить в г. Новосибирск и Щелково все технологическое оборудование и инструмент для производства генераторных ламп средней мощности, газовых приборов и ламп с водяным охлаждением. Обязать Косыгина А. Н., Военный совет Ленинградского фронта (т. Кузнецова) и НКПС (т. Хрулева) обеспечить отгрузку и перевозку отобранного оборудования в месячный срок.</w:t>
      </w:r>
    </w:p>
    <w:p w14:paraId="6DD14EE9"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Обязать Наркомцветмет (т. Ломако) в месячный срок восстановить на заводах Наркомцветмета изготовление цельнотянутых красномедных труб диаметром от 60 до 125 мм и поставить их в III квартале 1942 г. заводам Наркомэлектропрома по их техническим условиям и спецификациям в количестве 15 т.</w:t>
      </w:r>
    </w:p>
    <w:p w14:paraId="11CD237A"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Обязать Наркомчермет (т. Тевосяна): а) поставить электровакуумным заводам Наркомэлектропрома в III и IV кварталах 1942 г. 300 баллонов высокого давления для кислорода, водорода и других газов, употребляемых в электровакуумном производстве; б) поставить до 25 августа 1942 г. заводам № 617 и Московскому электроламповому Наркомэлектропрома 500 кг быстрорежущей стали для изготовления рабочего инструмента к вольфрамоковочным машинам за счет уменьшения поставки УГМР в III квартале 1942 г.</w:t>
      </w:r>
    </w:p>
    <w:p w14:paraId="05D6C947"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Обязать Наркомстанкостроения (т. Ефремова) поставить до 1 сентября 1942 г. электровакуумным заводам Наркомэлектропрома нормальный режущий и мерительный инструмент на сумму 100 тыс. руб., в том числе: на 60 тыс. руб. — за счет фондов Наркомэлектропрома и на 40 тыс. руб. — за счет резерва Совнаркома СССР, из них: сверла — 15 тыс. руб., плашки — 10 тыс. руб., калибры — 5 тыс. руб. и штанген-циркули — 10 тыс. руб.</w:t>
      </w:r>
    </w:p>
    <w:p w14:paraId="1BF466FC"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Обязать Наркомрезинпром (т. Митрохина): а) изготовить по чертежам и техническим условиям Наркомэлектропрома специальную вакуумную резину в количестве 2 тыс. кг, в том числе: 1 тыс. кг — до 25 августа 1942 г. и еще 1 тыс. кг — до 15 сентября 1942 г.; б) отгрузить к 25 августа 1942 г. заводам Наркомэлектропрома 9 резиновых газгольдеров емкостью 100-150 куб. м каждый.</w:t>
      </w:r>
    </w:p>
    <w:p w14:paraId="0A1FA240"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Обязать Наркомместпром РСФСР изготовить в III квартале 1942 г. для электровакуумных заводов Наркомэлектропрома химическую посуду на 100 тыс. руб. по спецификации Наркомэлектропрома.</w:t>
      </w:r>
    </w:p>
    <w:p w14:paraId="7AA01669"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Обязать Наркомтяжмаш (т. Казакова) поставить во втором полугодии 1942 г. Томскому электроламповому заводу и заводу № 643 Наркомэлектропрома аргон в баллонах в количестве 1 тыс. куб. м равномерными количествами, начиная с августа 1942 г.</w:t>
      </w:r>
    </w:p>
    <w:p w14:paraId="6A88BDF1"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Обязать Главнефтесбыт при СНК СССР поставить электровакуумным заводам Наркомэлектропрома в августе 1942 г., дополнительно к фондам III квартала, за счет уменьшения поставок УГМР 70 т автобензина, из них: заводу № 191 — 15 т, заводу № 617 — 20 т, Московскому электроламповому заводу —15 т, Томскому электроламповому заводу — 12 т, заводу № 191-а — 8 т.</w:t>
      </w:r>
    </w:p>
    <w:p w14:paraId="1AEBB3E0"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Обязать Наркомавтотранспорта РСФСР (т. Куршева) поставить в III квартале 1942 г. Наркоэлектропрому для электровакуумных и стекольных заводов 10 грузовых автомашин (из них 2 газогенераторных). Запретить кому бы то ни было производить мобилизацию с заводов электровакуумной промышленности Наркомэлектропрома автотранспорта, в том числе выделяемого согласно настоящему постановлению, без разрешения Государственного комитета обороны.</w:t>
      </w:r>
    </w:p>
    <w:p w14:paraId="5F604C60"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Обязать Главное управление трудовых резервов при СНК СССР (т. Москатова) организовать в III квартале 1942 г. ФЗО при Запрудненском стекольном заводе Наркомэлектропрома по подготовке квалифицированных выдувальщиков и дротовщиков с годовым выпуском в 250 чел. и при заводах № 191 и 617 — с годовым выпуском в 550 чел., в том числе по специальностям: монтажниц — 450 чел. и стеклодувов — 100 чел. Наркомэлектропрому предоставить Главному управлению трудовых резервов для организации ФЗО необходимые помещения.</w:t>
      </w:r>
    </w:p>
    <w:p w14:paraId="0C5EDAF7"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Освободить от всяких мобилизаций и призывов на военную службу работающих на заводах Наркомэлектропрома № 191 -а, 396,643, Московском электроламповом, Томском электроламповом, Московском стекольном и Запрудненском стекольном, начиная с 3-го разряда и выше, а также всех выдувальщиков и стеклодувов, независимо от квалификации.</w:t>
      </w:r>
    </w:p>
    <w:p w14:paraId="2E02F246"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Запретить кому бы то ни было загружать заводы Наркомэлектропрома № 191, 191-а, 617,643 и МЭЛЗ изготовлением изделий, в том числе боеприпасов, не имеющих прямого отношения к специальности этих заводов, без разрешения Государственного комитета обороны.</w:t>
      </w:r>
    </w:p>
    <w:p w14:paraId="42153847"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Обязать Наркомторг (т. Любимова) обеспечить с 15 августа 1942 г. продовольственное снабжение Запрудненского стекольного завода, а также заводов № 396 и № 191-а наравне с предприятиями особого списка в соответствии с постановлением Совнаркома СССР № 2148 от 19 октября 1941 г.</w:t>
      </w:r>
    </w:p>
    <w:p w14:paraId="431CD542"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Разрешить Наркомэлектропрому установить на заводах № 396, Московском электроламповом, «Электролампа», Московском и Запрудненском стеклозаводах тарифные основания для оплаты труда рабочих, действующих на остальных заводах 2-го Главного управления Наркомэлектропрома.</w:t>
      </w:r>
    </w:p>
    <w:p w14:paraId="442E1A2C"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22. Разрешить наркому электропромышленности т. Кабанову премировать директоров, главных инженеров и административно-технический персонал заводов, строительств и 2-го Главного управления НКЭП, отличившихся в работе по выполнению установленного плана производства электровакуумных изделий, а также восстановлению и строительству заводов, предусмотренных настоящим постановлением, выделив для этой цели на второе полугодие 1942 г. 1 млн руб.</w:t>
      </w:r>
    </w:p>
    <w:p w14:paraId="37AED19E"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Обязать ГУГВФ (т. Астахова) выделить в распоряжение Наркомэлектропрома для постоянного пользования один самолет ПС-84, обеспечив снабжение этого самолета горючим и смазочными материалами, а также питание летного персонала на всех летных базах ГУГВФ.</w:t>
      </w:r>
    </w:p>
    <w:p w14:paraId="48AC66C0"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Обязать секретаря ЦК КП(б) Узбекистана т. Юсупова, секретаря Башкирского обкома ВКП(б) т. Задионченко и секретаря Новосибирского обкома ВКП(б) т. Кулагина взять под личное наблюдение и оказывать максимальную помощь восстановлению и выполнению плана на заводах № 191,617 и 643 Наркомэлектропрома. Поручить т. Юсупову, Задионченко и Кулагину ежемесячно представлять в ГОКО отчет о проделанной работе по выполнению настоящего постановления.</w:t>
      </w:r>
    </w:p>
    <w:p w14:paraId="18EEB11D"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Государственного комитета обороны И. Сталин</w:t>
      </w:r>
    </w:p>
    <w:p w14:paraId="180D6574" w14:textId="77777777" w:rsidR="00164795" w:rsidRPr="008A2E5A" w:rsidRDefault="00164795" w:rsidP="001647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1. Д. 51. Л. 3-15. Подлинник (24084).</w:t>
      </w:r>
    </w:p>
    <w:p w14:paraId="54F9C44B" w14:textId="77777777" w:rsidR="00164795" w:rsidRPr="008A2E5A" w:rsidRDefault="00164795" w:rsidP="00164795">
      <w:pPr>
        <w:spacing w:after="0" w:line="240" w:lineRule="auto"/>
        <w:jc w:val="both"/>
        <w:rPr>
          <w:rFonts w:ascii="Times New Roman" w:hAnsi="Times New Roman"/>
          <w:color w:val="0070C0"/>
          <w:sz w:val="16"/>
          <w:szCs w:val="16"/>
        </w:rPr>
      </w:pPr>
    </w:p>
    <w:p w14:paraId="2CB3331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августа 1942 вышло Постановление ГКО № 2160 Об изготовлении опытной партии броненагрудников. РГАНИР, Фонд ГКО, д. 51, лл. 1 (11012).</w:t>
      </w:r>
    </w:p>
    <w:p w14:paraId="71BCFA42"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9D9B98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августа 1942 вышло Постановление ГКО № 2161 О восстановлении и развитии заводов электровакуумной промышленности Наркомэлектропрома. РГАНИР, Фонд ГКО, д. 51, лл. 3-15, 16-25 (11012).</w:t>
      </w:r>
    </w:p>
    <w:p w14:paraId="30B02E90"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1F72A25"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8 августа 1942 вышло Постановление ГКО № 2162 Об обеспечении производства войсковых радиостанций. (7049, 26-34,35-41).</w:t>
      </w:r>
    </w:p>
    <w:p w14:paraId="3218B37F" w14:textId="77777777" w:rsidR="00AE7191" w:rsidRPr="001E2C69" w:rsidRDefault="00AE7191" w:rsidP="00722885">
      <w:pPr>
        <w:pStyle w:val="Iauiue"/>
        <w:tabs>
          <w:tab w:val="left" w:pos="11199"/>
        </w:tabs>
        <w:jc w:val="both"/>
        <w:rPr>
          <w:color w:val="000000" w:themeColor="text1"/>
          <w:sz w:val="16"/>
          <w:szCs w:val="16"/>
        </w:rPr>
      </w:pPr>
    </w:p>
    <w:p w14:paraId="78AAD1E5"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8 августа 1942 вышло Постановление ГКО № 2163 О вводе в действие дополнительных мощностей по производству алюминия в 1942 г. (7049, 42-46,47-132).</w:t>
      </w:r>
    </w:p>
    <w:p w14:paraId="4C433853" w14:textId="77777777" w:rsidR="00AE7191" w:rsidRPr="001E2C69" w:rsidRDefault="00AE7191" w:rsidP="00722885">
      <w:pPr>
        <w:pStyle w:val="Iauiue"/>
        <w:tabs>
          <w:tab w:val="left" w:pos="11199"/>
        </w:tabs>
        <w:jc w:val="both"/>
        <w:rPr>
          <w:color w:val="000000" w:themeColor="text1"/>
          <w:sz w:val="16"/>
          <w:szCs w:val="16"/>
        </w:rPr>
      </w:pPr>
    </w:p>
    <w:p w14:paraId="49D4A4FD"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7DCA59C5" w14:textId="77777777" w:rsidR="00AE7191" w:rsidRPr="001E2C69" w:rsidRDefault="00AE7191" w:rsidP="00722885">
      <w:pPr>
        <w:pStyle w:val="Iauiue"/>
        <w:jc w:val="both"/>
        <w:rPr>
          <w:iCs/>
          <w:color w:val="000000" w:themeColor="text1"/>
          <w:sz w:val="16"/>
          <w:szCs w:val="16"/>
        </w:rPr>
      </w:pPr>
    </w:p>
    <w:p w14:paraId="56E2CEEE"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августа в 1942 году утреннее сообщение Совинформбюро:</w:t>
      </w:r>
    </w:p>
    <w:p w14:paraId="56295DBF"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8 августа наши войска вели бои с противником в районах Клетская, севернее Котельниково, Армавир и южнее Кущевская.</w:t>
      </w:r>
    </w:p>
    <w:p w14:paraId="0BFE47B3"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3511534D"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в районе Клетской бойцы нашей части, перейдя в контратаку, заняли населённый пункт. Уничтожено 280 немецких солдат и офицеров. Сожжено 4 немецких танка и захвачены трофеи. На другом участке произошёл танковый бой. Советские танкисты уничтожили 11 танков противника. Н-ское соединение в ожесточенных боях с противником в течение трёх дней уничтожило свыше 1.500 гитлеровцев. Нашими бойцами огнём из пехотного оружия сбит немецкий самолёт «Юнкерс-88».</w:t>
      </w:r>
    </w:p>
    <w:p w14:paraId="74B5906E"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Армавира наши войска вели напряжённые оборонительные бои с танками и мотопехотой противника. В ходе боя с прорвавшейся группировкой противника уничтожено 17 немецких танков и 48 автомашин. Южнее Кущевской советские танкисты и кавалеристы разгромили два батальона немецкой пехоты.</w:t>
      </w:r>
    </w:p>
    <w:p w14:paraId="7472B588"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Южнее Воронежа наши части, переправившиеся через Дон, заняли ещё несколько населённых пунктов. В одном из населённых пунктов была окружена и уничтожена венгерская пехотная часть. Захвачены трофеи и пленные. На соседнем участке наши бойцы истребили батальон гитлеровцев.</w:t>
      </w:r>
    </w:p>
    <w:p w14:paraId="6FAB200F"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Брянском фронте происходили столкновения с небольшими отрядами противника.На одном из участков немцы атаковали наше боевое охранение, возглавляемое лейтенантом Шевалдиным. Атака противника была отбита. На поле боя гитлеровцы оставили 130 трупов солдат и офицеров. В числе убитых оказались два обер-лейтенанта и 6 фельдфебелей. Захвачены два миномёта, 2 пулемёта, автоматы и винтовки. Шесть советских лётчиков под руководством лейтенанта Симонова уничтожили 10 немецких танков и 25 автомашин с пехотой и боеприпасами.</w:t>
      </w:r>
    </w:p>
    <w:p w14:paraId="12F9D0D2"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Северо-Западном фронте происходили бои местного значения. Подразделение части, где командиром тов. Яковлев, окружило просочившуюся в расположение наших войск группу противника численностью около 150 человек. Огнём из пулемётов гитлеровцы были рассеяны и за исключением нескольких человек, сдавшихся в плен, уничтожены.</w:t>
      </w:r>
    </w:p>
    <w:p w14:paraId="14CCB506"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могилёвских партизан под командованием тов. К. за полтора месяца боевых действий истребил свыше тысячи немецко-фашистских оккупантов. За это же время партизаны пустили под откос 7 воинских эшелонов противника, взорвали танк и 5 автомашин с грузом.</w:t>
      </w:r>
    </w:p>
    <w:p w14:paraId="0C496B85"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Сдавшийся в плен солдат 268 полка 113 немецкой пехотной дивизии Карл Т. рассказал: «За первые две недели боёв наш полк понёс тяжёлые потери в людях иматериальной части. Он лишился всей артиллерии». Далее пленный заявил: «По дороге на фронт я видел, как бесчинствуют немецкие военные власти, как они притесняют население оккупированных районов, издеваются над жителями. В селе Сосновка солдаты 42 немецкого запасного батальона отобрали у крестьян весь скот. Крестьяне, особенно женщины, потребовали вернуть им скот. Тогда по приказу начальника гарнизона солдаты схватили 60 человек крестьян, жестоко избили их и каждого третьего расстреляли. Мы проезжали много сёл. Везде я видел незасеянные поля. Лишь изредка попадались небольшие клочки засеянной земли. Лошадей в деревнях почти нет, а машин тем более. Эти жалкие полоски крестьяне обрабатывали с помощью лопат».</w:t>
      </w:r>
    </w:p>
    <w:p w14:paraId="77AE739A"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Немецкому солдату Вернеру пишет некая Эдит из Берлина: «Все больницы переполнены больными скарлатиной и дифтеритом. Ожидая врача, в приёмной видишьтак много несчастных людей, что просто страшно делается. Даже если есть угроза для жизни больного, его всё равно не принимают в больницу, потому что нет мест. Уже несколько дней в больницах идёт чистка. Больных безжалостно выгоняют. Родным заявили, что нужно разместить раненых солдат, прибывающих из России».</w:t>
      </w:r>
    </w:p>
    <w:p w14:paraId="7A95D42D"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Патриоты Чехословакии ни на один день не прекращают самоотверженной борьбы против гитлеровских захватчиков. Недавно был убит начальник гестапо Моравского округа. В цехах сталелитейного завода в Кладно только в июле произошло 6 аварий. В результате саботажа выпуск продукции на заводе снизился на 40 процентов.» (14977).</w:t>
      </w:r>
    </w:p>
    <w:p w14:paraId="60F9BEA7"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6813F3B1"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августа в 1942 году вечернее сообщение Совинформбюро:</w:t>
      </w:r>
    </w:p>
    <w:p w14:paraId="6078C423"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8 августа наши войска вели ожесточённые бои в районах Клетская, северо-восточнее Котельниково, а также в районах Армавир и Кропоткин.</w:t>
      </w:r>
    </w:p>
    <w:p w14:paraId="14094FB4"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44436FD3"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7 августа частями нашей авиации на различных участках фронта уничтожено или повреждено до 30 немецких танков, 150 автомашин с войсками и грузами, свыше 80 повозок с боеприпасами, подавлен огонь 10 батарей полевой и зенитной артиллерии, взорвано 5 складов боеприпасов, разбит железнодорожный состав, рассеяно и частью уничтожено до трёх батальонов пехоты и эскадрон конницы противника.</w:t>
      </w:r>
    </w:p>
    <w:p w14:paraId="6A25DDC6"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наши войска вели упорную борьбу против немецко-фашистских войск. Противник, стремясь вернуть занятый нашей частью населённый пункт, предпринял несколько контратак. Потеряв 7 танков и свыше 600 солдат и офицеров, гитлеровцы отступили на исходные позиции. Ожесточённые бои продолжались южнее Клетской. На одном узком участке гитлеровцы сосредоточили и бросили в атаку свыше сотни танков. В течение дня наши пехотинцы и артиллеристы отражали танковую атаку и нанесли неприятелю большие потери. Лишь около населённого пункта О. после упорного боя наша часть отошла на новые позиции.</w:t>
      </w:r>
    </w:p>
    <w:p w14:paraId="49B9D2E4"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продолжались бои с танками и автоматчиками противника, вклинившимися в нашу оборону. Бои происходили спеременным успехом.</w:t>
      </w:r>
    </w:p>
    <w:p w14:paraId="78DC461F"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Армавира наши войска вели напряжённые оборонительные бои с танками и мотопехотой противника. На отдельных участках наши части предприняли ряд контратак, истребив несколько сот немцев. На участке Н-ского соединения после ожесточённого боя, в ходе которого уничтожено 14 танков и до 500 солдат и офицеров противника, наши части отошли на новые оборонительные рубежи. Отбивая атаки гитлеровцев, донские и кубанские казаки наносят противнику большой урон. Только одна казачья часть за сутки порубила свыше 400 гитлеровцев.</w:t>
      </w:r>
    </w:p>
    <w:p w14:paraId="357B1689"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Южнее Воронежа гитлеровцы, подтянув резервы, безуспешно пытались вернуть ряд населённых пунктов, на днях занятых нашими частями. В ходе этих боёв противник понёс новые большие потери в живой силе. Кроме того, нашими бойцами захвачено до 50 полевых орудий.</w:t>
      </w:r>
    </w:p>
    <w:p w14:paraId="4E1C6899"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Волховском фронте происходили бои местного значения. Наша часть заняла один завод, который гитлеровцы превратили в укреплённый пункт. В этом бою уничтожено до 300 немецких солдат и офицеров. На другом участке советские танки внезапно атаковали батальон противника и нанесли ему серьёзные потери. Взяты пленные.</w:t>
      </w:r>
    </w:p>
    <w:p w14:paraId="32E5A5D3"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Как уже сообщалось ранее, части Ленинградского фронта за последние дни выбили противника из двух укреплённых населённых пунктов. В этих боях немцы потеряли только убитыми свыше 900 солдат и офицеров. Наши части захватили 14 орудий разных калибров, 34 пулемёта, 13 миномётов, 28 автоматов, свыше 5.000 мин, до 100.000 патронов, радиостанцию и другое военное имущество.</w:t>
      </w:r>
    </w:p>
    <w:p w14:paraId="2F176D3D"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Партизанские отряды, действующие в оккупированных районах Ленинградской области, за последние три дня пустили под откос 5 железнодорожных эшелонов неприятеля. Разбито около 60 вагонов с боеприпасами и техникой. Много вагонов повреждено и выведено из строя.»</w:t>
      </w:r>
    </w:p>
    <w:p w14:paraId="30C691FB"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Ниже публикуются выдержки из акта о чудовищных зверствах немецко-фашистскихзахватчиков над пленными красноармейцами:</w:t>
      </w:r>
    </w:p>
    <w:p w14:paraId="4CDB1556"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«При занятии нашими войсками деревни Ивановка, Курской области, были обнаружены 30 трупов красноармейцев, замученных гитлеровцами. Личности погибших установить не удалось. Трупы носят следы самых зверских пыток. Многим пленным красноармейцам немцы вывернули и обрубили руки. После всего этого </w:t>
      </w:r>
      <w:r w:rsidRPr="001E2C69">
        <w:rPr>
          <w:rFonts w:ascii="Times New Roman" w:hAnsi="Times New Roman"/>
          <w:color w:val="000000" w:themeColor="text1"/>
          <w:sz w:val="16"/>
          <w:szCs w:val="16"/>
        </w:rPr>
        <w:lastRenderedPageBreak/>
        <w:t>фашистские мерзавцы облили свои жертвы горючей жидкостью и заживо сожгли». Акт подписали: лейтенант Шеховцев, старший политрук Соколкин, военврач 3 ранга Циммер, политрук Курочкин.»</w:t>
      </w:r>
    </w:p>
    <w:p w14:paraId="0BCE6534"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«Станкоконструкция», завоевавший в июле переходящее Красное Знамя Государственного Комитета Обороны, выпустил агрегатные станки. Каждый такой станок заменяет четыре больших токарных станка. Конструирование станков было проведено под руководством лауреата Сталинской премии В.И.Дикушина. Коллектив завода за два с половиной месяца провёл работу, на которую обычно затрачивалось не менее 8—10 месяцев.» (14977).</w:t>
      </w:r>
    </w:p>
    <w:p w14:paraId="080D3105"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7D1E37F9"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августа в 1942 году была сформирована 16-я воздушная армия, начавшая свой боевой путь в сентябре на сталинградском направлении. В 1943 г. Принимала участие в Курской битве, в 1944 г. была задействована в освобождении Белоруссии и восточных районов Польши, принимала участие в битве за Берлин. Летчики армии совершили около 280 тысяч самолето-вылетов, 30 соединений и частей стали гвардейскими; более 200 человек удостоены звания Героя Советского Союза, летчики В.М.Голубев, А.Е.Боровых, Е.Я.Савицкий удостоены этого звания дважды, а И.Н.Кожедуб - трижды. В июне 1998 г. была расформирована и преобразована в 16-й смешанный авиакорпус. Возрождена указом Президента Российской Федерации от 2 февраля 2002 г. В настоящее время входит в состав Московского округа ВВС и ПВО</w:t>
      </w:r>
    </w:p>
    <w:p w14:paraId="0B563D47"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06797CF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один из дней 8-11 августа 1942 8 Ил-2 228 шад при ударе по аэродрому Обливская вывели из строя 40 самолетов из 90, находившихся там (341,101).</w:t>
      </w:r>
    </w:p>
    <w:p w14:paraId="7DBC2E6D" w14:textId="77777777" w:rsidR="00AE7191" w:rsidRPr="001E2C69" w:rsidRDefault="00AE7191" w:rsidP="00722885">
      <w:pPr>
        <w:pStyle w:val="Iauiue"/>
        <w:jc w:val="both"/>
        <w:rPr>
          <w:color w:val="000000" w:themeColor="text1"/>
          <w:sz w:val="16"/>
          <w:szCs w:val="16"/>
        </w:rPr>
      </w:pPr>
    </w:p>
    <w:p w14:paraId="3B591C97" w14:textId="77777777" w:rsidR="00C5464C" w:rsidRPr="001E2C69" w:rsidRDefault="00C5464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ночь с 7 на 8 августа 1942 полк бомбил аэро</w:t>
      </w:r>
      <w:r w:rsidRPr="001E2C69">
        <w:rPr>
          <w:rFonts w:ascii="Times New Roman" w:hAnsi="Times New Roman"/>
          <w:color w:val="000000" w:themeColor="text1"/>
          <w:sz w:val="16"/>
          <w:szCs w:val="16"/>
        </w:rPr>
        <w:softHyphen/>
        <w:t>дром Смоленск, железнодорожный узел Вязьма и г. Гжатск. Самолет №42066, коман</w:t>
      </w:r>
      <w:r w:rsidRPr="001E2C69">
        <w:rPr>
          <w:rFonts w:ascii="Times New Roman" w:hAnsi="Times New Roman"/>
          <w:color w:val="000000" w:themeColor="text1"/>
          <w:sz w:val="16"/>
          <w:szCs w:val="16"/>
        </w:rPr>
        <w:softHyphen/>
        <w:t>дир корабля Пусэп, получил две пробоины: одну в капот мотора, вторую в носовой фонарь. Следующей ночью с 8 на 9 полк бом</w:t>
      </w:r>
      <w:r w:rsidRPr="001E2C69">
        <w:rPr>
          <w:rFonts w:ascii="Times New Roman" w:hAnsi="Times New Roman"/>
          <w:color w:val="000000" w:themeColor="text1"/>
          <w:sz w:val="16"/>
          <w:szCs w:val="16"/>
        </w:rPr>
        <w:softHyphen/>
        <w:t>бардировал основную цель аэродром Смо</w:t>
      </w:r>
      <w:r w:rsidRPr="001E2C69">
        <w:rPr>
          <w:rFonts w:ascii="Times New Roman" w:hAnsi="Times New Roman"/>
          <w:color w:val="000000" w:themeColor="text1"/>
          <w:sz w:val="16"/>
          <w:szCs w:val="16"/>
        </w:rPr>
        <w:softHyphen/>
        <w:t>ленск и железнодорожный узел Смоленск. ТБ-7 №42066 получил три пробоины, отказал автопилот (19936).</w:t>
      </w:r>
    </w:p>
    <w:p w14:paraId="64AAAD96" w14:textId="77777777" w:rsidR="00C5464C" w:rsidRPr="001E2C69" w:rsidRDefault="00C5464C" w:rsidP="00722885">
      <w:pPr>
        <w:spacing w:after="0" w:line="240" w:lineRule="auto"/>
        <w:jc w:val="both"/>
        <w:rPr>
          <w:rFonts w:ascii="Times New Roman" w:hAnsi="Times New Roman"/>
          <w:color w:val="000000" w:themeColor="text1"/>
          <w:sz w:val="16"/>
          <w:szCs w:val="16"/>
        </w:rPr>
      </w:pPr>
    </w:p>
    <w:p w14:paraId="02D24071" w14:textId="77777777" w:rsidR="00C5464C" w:rsidRPr="001E2C69" w:rsidRDefault="00C5464C" w:rsidP="00722885">
      <w:pPr>
        <w:pStyle w:val="7f"/>
        <w:shd w:val="clear" w:color="auto" w:fill="auto"/>
        <w:spacing w:after="0" w:line="240" w:lineRule="auto"/>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8 августа 1942 г. из-за ошибки лет</w:t>
      </w:r>
      <w:r w:rsidRPr="001E2C69">
        <w:rPr>
          <w:rFonts w:ascii="Times New Roman" w:hAnsi="Times New Roman" w:cs="Times New Roman"/>
          <w:color w:val="000000" w:themeColor="text1"/>
          <w:spacing w:val="0"/>
          <w:sz w:val="16"/>
          <w:szCs w:val="16"/>
        </w:rPr>
        <w:softHyphen/>
        <w:t>чика при взлете в Геленджикской бухте летающая лодка МТБ-2 не смогла набрать вы</w:t>
      </w:r>
      <w:r w:rsidRPr="001E2C69">
        <w:rPr>
          <w:rFonts w:ascii="Times New Roman" w:hAnsi="Times New Roman" w:cs="Times New Roman"/>
          <w:color w:val="000000" w:themeColor="text1"/>
          <w:spacing w:val="0"/>
          <w:sz w:val="16"/>
          <w:szCs w:val="16"/>
        </w:rPr>
        <w:softHyphen/>
        <w:t>соту и разбилась. В катастрофе уце</w:t>
      </w:r>
      <w:r w:rsidRPr="001E2C69">
        <w:rPr>
          <w:rFonts w:ascii="Times New Roman" w:hAnsi="Times New Roman" w:cs="Times New Roman"/>
          <w:color w:val="000000" w:themeColor="text1"/>
          <w:spacing w:val="0"/>
          <w:sz w:val="16"/>
          <w:szCs w:val="16"/>
        </w:rPr>
        <w:softHyphen/>
        <w:t>лел только пилот капитан Н.А.Наумов. Остальные члены экипажа: штурман звена капитан Иван Павлович Грязных, второй пилот старший лейтенант Ми</w:t>
      </w:r>
      <w:r w:rsidRPr="001E2C69">
        <w:rPr>
          <w:rFonts w:ascii="Times New Roman" w:hAnsi="Times New Roman" w:cs="Times New Roman"/>
          <w:color w:val="000000" w:themeColor="text1"/>
          <w:spacing w:val="0"/>
          <w:sz w:val="16"/>
          <w:szCs w:val="16"/>
        </w:rPr>
        <w:softHyphen/>
        <w:t>хаил Андреевич Чибряков, бортмеханик старший техник-лейтенант Александр Андреевич Чайка, воздушный стрелок- радист младший командир запаса Афа</w:t>
      </w:r>
      <w:r w:rsidRPr="001E2C69">
        <w:rPr>
          <w:rFonts w:ascii="Times New Roman" w:hAnsi="Times New Roman" w:cs="Times New Roman"/>
          <w:color w:val="000000" w:themeColor="text1"/>
          <w:spacing w:val="0"/>
          <w:sz w:val="16"/>
          <w:szCs w:val="16"/>
        </w:rPr>
        <w:softHyphen/>
        <w:t>насий Ульянович Кашпор, воздушный стрелок-бомбардир старший сержант Михаил Михайлович Дубинка и меха</w:t>
      </w:r>
      <w:r w:rsidRPr="001E2C69">
        <w:rPr>
          <w:rFonts w:ascii="Times New Roman" w:hAnsi="Times New Roman" w:cs="Times New Roman"/>
          <w:color w:val="000000" w:themeColor="text1"/>
          <w:spacing w:val="0"/>
          <w:sz w:val="16"/>
          <w:szCs w:val="16"/>
        </w:rPr>
        <w:softHyphen/>
        <w:t>ник по радиосвязи техник-лейтенант Ни</w:t>
      </w:r>
      <w:r w:rsidRPr="001E2C69">
        <w:rPr>
          <w:rFonts w:ascii="Times New Roman" w:hAnsi="Times New Roman" w:cs="Times New Roman"/>
          <w:color w:val="000000" w:themeColor="text1"/>
          <w:spacing w:val="0"/>
          <w:sz w:val="16"/>
          <w:szCs w:val="16"/>
        </w:rPr>
        <w:softHyphen/>
        <w:t>колай Константинович Назаров - погибли. Имеющая хождение в отечествен</w:t>
      </w:r>
      <w:r w:rsidRPr="001E2C69">
        <w:rPr>
          <w:rFonts w:ascii="Times New Roman" w:hAnsi="Times New Roman" w:cs="Times New Roman"/>
          <w:color w:val="000000" w:themeColor="text1"/>
          <w:spacing w:val="0"/>
          <w:sz w:val="16"/>
          <w:szCs w:val="16"/>
        </w:rPr>
        <w:softHyphen/>
        <w:t>ной литературе версия атаки немецкого истребителя не имеет под собой ника</w:t>
      </w:r>
      <w:r w:rsidRPr="001E2C69">
        <w:rPr>
          <w:rFonts w:ascii="Times New Roman" w:hAnsi="Times New Roman" w:cs="Times New Roman"/>
          <w:color w:val="000000" w:themeColor="text1"/>
          <w:spacing w:val="0"/>
          <w:sz w:val="16"/>
          <w:szCs w:val="16"/>
        </w:rPr>
        <w:softHyphen/>
        <w:t>ких оснований (19852).</w:t>
      </w:r>
    </w:p>
    <w:p w14:paraId="56FEE692" w14:textId="77777777" w:rsidR="00C5464C" w:rsidRPr="001E2C69" w:rsidRDefault="00C5464C" w:rsidP="00722885">
      <w:pPr>
        <w:pStyle w:val="7f"/>
        <w:shd w:val="clear" w:color="auto" w:fill="auto"/>
        <w:spacing w:after="0" w:line="240" w:lineRule="auto"/>
        <w:rPr>
          <w:rFonts w:ascii="Times New Roman" w:hAnsi="Times New Roman" w:cs="Times New Roman"/>
          <w:color w:val="000000" w:themeColor="text1"/>
          <w:spacing w:val="0"/>
          <w:sz w:val="16"/>
          <w:szCs w:val="16"/>
        </w:rPr>
      </w:pPr>
    </w:p>
    <w:p w14:paraId="374E00DC"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8 августа 1942 за № 0217 утверждены:</w:t>
      </w:r>
    </w:p>
    <w:p w14:paraId="4683DC1A"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КОМАНДУЮЩИМ ВОЕННО-ВОЗДУШНЫМИ СИЛАМИ АРМИЙ, КОМАНДИРАМ 47-й, 46-й, 43-й, 23-й и 31-й АВИАЦИОННЫХ ДИВИЗИЙ, КОМАНДИРАМ 1-го ТЯЖЕЛОГО АВИАЦИОННОГО ПОЛКА, 314-го ОТДЕЛЬНОГО РАЗВЕДЫВАТЕЛЬНОГО АВИАЦИОННОГО ПОЛКА, 39-й РАЗВЕДЫВАТЕЛЬНОЙ АВИАЦИОННОЙ ЭСКАДРИЛЬИ</w:t>
      </w:r>
    </w:p>
    <w:p w14:paraId="4B9FA5AA"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УКАЗАНИЯ</w:t>
      </w:r>
    </w:p>
    <w:p w14:paraId="46A34AE4"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ПО ИСПОЛЬЗОВАНИЮ ВОЕННО-ВОЗДУШНЫХ СИЛ ВО ВЗАИМОДЕЙСТВИИ С НАЗЕМНЫМИ ВОЙСКАМИ В ОБЩЕВОЙСКОВОМ БОЮ</w:t>
      </w:r>
    </w:p>
    <w:p w14:paraId="017CE865"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Итоги боевых действий военно-воздушных сил Западного фронта за период с 26.7 по 31.7 показали, что части не сумели достигнуть должного взаимодействия с войсками в общевойсковом бою и тем самым не смогли своими усилиями эффективно влиять на его исход и в достаточной степени облегчить положение наземных войск. Как правило, организация боевых действий авиации не обеспечивает полностью взаимодействия с наземными войсками. Наша авиация до сего времени действует без полного учета конкретных запросов войск, будучи слабо с ними связана. несмотря на то, что авиационные дивизии и авиационные группы приданы для обеспечения действий определенных армий и армейских групп.</w:t>
      </w:r>
    </w:p>
    <w:p w14:paraId="2FEC1CD2"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Основными недостатками в работе частей военно-воздушных сил Западного фронта, отрицательно влияющими на тесное и эффективное взаимодействие в общевойсковом бою, считаю:</w:t>
      </w:r>
    </w:p>
    <w:p w14:paraId="101A6BA0"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1. Части военно-воздушных сил действуют с основных базовых аэродромов, удаленных на 80 - 100 км от линии фронта, что сильно удлиняет время с момента постановки задачи до удара по цели; уменьшает радиус действий авиации, особенно истребителей, у которых часто время нахождения и боевых действий в районе цели сокращается до 15 - 20 минут. Такой малый отрезок времени не может обеспечить должного прикрытия истребителями ни войск, ни наших бомбардировщиков, ни разведчиков поля боя. При всей ненормальности такого положения командиры авиационных соединений и частей неохотно идут на приближение своих авиационных частей к линии фронта, мотивируя это трудностями организации связи, управления, материального обеспечения и прямо боязнью быть уничтоженными авиацией противника на земле.</w:t>
      </w:r>
    </w:p>
    <w:p w14:paraId="609F951A"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С 28.7.41 г. согласно моему приказу группы 47-й смешанной авиационной дивизии, 43-й истребительной авиационной дивизии и Зотова взаимодействующие с войсками, были переброшены для ведения боевых действий на передовые площадки: Мартынишино, Кулешовка, Богдановщина, отстоящие от линии фронта на 30 - 40км (что также очень далеко). Эти группы обеспечили хорошее взаимодействие с наземными войсками.</w:t>
      </w:r>
    </w:p>
    <w:p w14:paraId="652802F0"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Следует учитывать, что противник, взаимодействуя с войсками, как правило, производит полеты исключительно с аэродромов, расположенных в непосредственной близости от линии фронта.</w:t>
      </w:r>
    </w:p>
    <w:p w14:paraId="4B059657"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 Вторым крупным нашим недочетом является то, что командиры авиационных соединений не имеют и не стремятся иметь постоянный личный контакт с командирами общевойсковых соединений. Командиры авиационных дивизий или их заместители не бывают и не считают нужным бывать на командных пунктах общевойсковых командиров в периоды тесного тактического взаимодействия авиации с наземными войсками.</w:t>
      </w:r>
    </w:p>
    <w:p w14:paraId="306569B0"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Поэтому командиры авиационных соединений, как правило,ставязадачу на вылет подразделения, сами детально не знают обстановки на фронте. Не располагают точными данными, где и к какому часу проходила линия фронта, о положении и задачах своих войск и положении противника. Отсюда постановка задач бывает общей (“действовать по району”), что дает очень слабый боевой эффект.</w:t>
      </w:r>
    </w:p>
    <w:p w14:paraId="3D9455DC"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Следует помнить, что хороший авиационный удар по противнику в интересах наземных войск будет достигнут лишь в том случае, если он будет четко согласован по месту и времени. Между тем из-за того, что на командных пунктах общевойсковых командиров нет представителей от авиации, происходит исключительно нетерпимая задержка передачи боевых распоряжений, исходящих от командования наземных войск для авиации, выражающаяся временем от трех часов до суток и даже более, Такое положение явно исключает всякую возможность согласованных действий авиации и наземных войск.</w:t>
      </w:r>
    </w:p>
    <w:p w14:paraId="7EAEB95A"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Опыт показывает, что наличие авторитетных представителей от авиации (командира или его заместителя) на командном пункте общевойскового командира дает весьма положительный результат. Так, например, с 28.7 моим приказом командиры авиационных дивизий с начальниками связи и рациями были высланы на командные пункты групп Рокоссовского и Калинина, а авиация перебазирована на передовые площадки: Мартынишино, Кулешовка, Богдановщина. Удалось полностью и быстро ликвидировать наметившийся прорыв танков противника 30.7.41 г. на участке: Ветлицы, Устье. Удар авиации наносился точно по указанной цели. Время от момента постановки задач общевойсковым командиром до удара авиации занимало не более 30 минут (что в современных условиях надо считать слишком большим и его можно значительно сократить).</w:t>
      </w:r>
    </w:p>
    <w:p w14:paraId="1009A922"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3. Следующим крупным недочетом в действиях военно-воздушных сил необходимо считать исключительно слабое использование радиосвязи. Авиационные штабы не занимаются совместно с общевойсковыми штабами вопросами выработки общих кодовых таблиц, общей кодировки карт, отработкой коротких командных радиосигналов и сигналов целеуказаний. Слабой же работой штабов и отсутствием личного контакта между командирами взаимодействующих авиационных и общевойсковых соединений объясняется плохое знание войсками типов наших самолетов, опознавательных сигналов авиации и неприменение войсками своих опознавательных сигналов.</w:t>
      </w:r>
    </w:p>
    <w:p w14:paraId="5DAA4582"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4. В тактике действий авиационных частей отмечаются крупные недостатки. Наиболее яркие из них следующие: выбор бомб для поражения цели производится без достаточного учета объекта удара и цели действий, что в значительной степени снижает эффективность удара, а иногда и просто не дает никакого результата. На аэродромах не имеется комбинированных боевых комплектов бомб, что часто задерживает вылеты. (Например, в 47-й смешанной авиационной дивизии по этой причине был задержан вылет бомбардировочной группы на 3 часа.) Выход на цель часто производится прямо без маневра; бомбы подчас сбрасываются по площади и не отыскиваются важные цели. После сбрасывания бомб экипажи стараются скорее уйти, плохо наблюдая результаты бомбометания.</w:t>
      </w:r>
    </w:p>
    <w:p w14:paraId="683962FE"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При заходе на цель слабо используется обстановка для маскировки и для маневра. В частности мало практикуется как маневр для маскировки заход на цель со стороны солнца. Неумело используется для маскировки облачность.</w:t>
      </w:r>
    </w:p>
    <w:p w14:paraId="7C979126"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Особенно неумело применяются штурмовики (Ил-2), которые, боясь поражения, неразумно подчас используют бреющий полет на всем маршруте, в результате чего бывают потери ориентировки и невыполнение задания. Во многих соединениях при атаке противника часто повторяются одни и те же приемы, что облегчает противодействие с его стороны. Необходимо способы атаки противника разнообразить, не повторяя их. Необходимо изменять маршруты следования к цели и обратно и менять высоты.</w:t>
      </w:r>
    </w:p>
    <w:p w14:paraId="5DA847B4"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5. Мало четкости в работе и слаба требовательность командиров авиационных соединений и частей, следствием чего бывают частые случаи потери ориентировки, вынужденные посадки, поломки и катастрофы, невозвращение на свои аэродромы.</w:t>
      </w:r>
    </w:p>
    <w:p w14:paraId="1BD3A99F"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 xml:space="preserve">Молодой летный состав, слабо ознакомленный с районом действий, выпускается в полет без достаточной подготовки к нему. Часто не указывается командиру вылетающей группы маршрут полета. Маршрут полета летным составом полностью не отрабатывается, характерные ориентиры для восстановления ориентировки не </w:t>
      </w:r>
      <w:r w:rsidRPr="001E2C69">
        <w:rPr>
          <w:color w:val="000000" w:themeColor="text1"/>
          <w:sz w:val="16"/>
          <w:szCs w:val="16"/>
        </w:rPr>
        <w:lastRenderedPageBreak/>
        <w:t>указываются и не изучаются. Неумело втягивается в боевые действия молодой летный состав. Им не передается в достаточной мере опыт летчиков, имеющих большое количество боевых вылетов.</w:t>
      </w:r>
    </w:p>
    <w:p w14:paraId="221EFB73"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В целях улучшения взаимодействия авиации с войсками для повышения боевой эффективности действий нашей авиации и уменьшения потерь как боевых, так и не боевых, командующим военно-воздушными силами армий, командирам авиационных дивизий и авиационных полков немедленно устранить отмеченные недостатки и принять к руководству следующие мероприятия:</w:t>
      </w:r>
    </w:p>
    <w:p w14:paraId="19A13795"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1. Для сокращения времени от постановки задач до удара по цели в дальнейшем боевые действия авиации при взаимодействии с войсками проводить с передовых площадок. На площадки следует выделять небольшие группы бомбардировщиков и штурмовиков с одним - двумя звеньями истребителей для прикрытия площадок и действий бомбардировщиков и штурмовиков. Площадки должны быть в удалении 15 - 20 км от линии фронта. Командиры авиационных соединений и командующие военно-воздушными силами армий должны подготовить в районе действий своих частей запасные площадки дли маневра. На площадках самолеты должны быть тщательно замаскированы, рассредоточены и расставлены так, чтобы можно было всегда немедленно взлететь с места по боевой тревоге. На площадках должно быть организовано постоянное наблюдениезавоздухом средствами самих частей. Площадки должны иметь связь с основным аэродромом и с командными пунктами общевойсковых соединений. Основной вид связи — радио.</w:t>
      </w:r>
    </w:p>
    <w:p w14:paraId="58DE0992"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На основных аэродромах необходимо бомбардировщики базировать совместно с истребителями. Аэродромы истребительных частей должны располагаться впереди аэродромов штурмовиков и бомбардировщиков.</w:t>
      </w:r>
    </w:p>
    <w:p w14:paraId="592219F4"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 На командные пункты командиров общевойсковых соединений необходимо выезжать самим командирам соединений или их заместителям с начальниками связи, с одним из оперативных работников и с рацией. Организуя взаимодействие, штабы авиационных дивизий совместносо штабами обслуживаемых общевойсковых соединений должны каждый раз для данной операции отрабатывать и устанавливать общую кодированную карту, кодовую таблицу, командные сигналы и сигналы целеуказаний.</w:t>
      </w:r>
    </w:p>
    <w:p w14:paraId="0C4A7F68"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Особое внимание должно быть уделено вопросу обозначения положения своих передовых частей наземных войск. Для быстрого вызова авиации на поле боя необходимо разработать командные радиосигналы. Кроме того, для уточнения задачи целесообразно организовать вблизи командного пункта контрольно-пропускной пункт с постом воздушной связи (ПВС), на котором при помощи полотнища “попхема” или сигнальных полотнищ можно было бы уточнить положение цели к моменту удара бомбардировщиков.</w:t>
      </w:r>
    </w:p>
    <w:p w14:paraId="2106837D"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3. Бомбардировочные группы, вылетающие на задание, должны короткой кодовой фразой по радио сообщить на командный пункт время своего взлета. По получении этого сообщения с командного пункта общевойскового командира должно быть немедленно передано на командные пункты передовых батальонов распоряжение — обозначить себя при появлении наших самолетов.</w:t>
      </w:r>
    </w:p>
    <w:p w14:paraId="11EF098F"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4. Повысить требовательность и четкость в организации как всей боевой деятельности, так и отдельных боевых вылетов. Боевые вылеты бомбардировщиков и штурмовиков необходимо прикрывать истребителями. КАТЕГОРИЧЕСКИ ЗАПРЕТИТЬ повторение полетов по одному и тому же маршруту. Возвращение от цели и каждый следующий полет должны быть по новому маршруту. Необходимо тщательно продумывать организацию взаимодействия бомбардировщиков и штурмовиков с истребителями. Как правило, встреча бомбардировщиков и штурмовиков с истребителями должна проводиться по зрячему над аэродромом истребителей, на точно указанной высоте и в точно указанное время. При организации встречи в районе цели истребителям необходимо указывать точное место, время и высоту появления бомбардировщиков над целью. Причем бомбардировщики должны фактическое время и количество взлетевших бомбардировщиков немедленно сообщать радиосигналом на аэродром истребителей. Необходимо потребовать от всего летного состава тщательного изучения района своих действий. Запретить вылеты экипажей, не изучивших район действий, рассматривая такие вылеты, как невыполнение боевой задачи. Штурманам частей и соединений установить тщательный контроль за изучением летным составом района действий и за соблюдением правил навигационно-штурманской службы.</w:t>
      </w:r>
    </w:p>
    <w:p w14:paraId="1A4E80CD"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Командиры авиационных полков должны указывать командирам групп, вылетающих на боевое задание, ось маршрута полета с указанием ориентиров для быстрого восстановления ориентировки. Летный состав должен изучить маршрут в такой степени, чтобы на память знать ориентиры по маршруту и у цели, знать курсы и расстояние от них до цели и до своего аэродрома.</w:t>
      </w:r>
    </w:p>
    <w:p w14:paraId="50B007BF"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5. Особенно тщательное изучение района действий должно быть организовано в частях штурмовой авиации. При выборе маршрута для штурмовиков необходимо указывать надежные линейные ориентиры справа и слева полосы полета, должны указываться надежные опорные ориентиры, с какой высоты и как выглядят они, курсовые углы и расстояния от них до цели, до своего и ближайшего аэродрома. Штурмовикам обязательно указывать, кроме оси маршрута, и профиль полета. Молодой летный состав штурмовых частей, не изучивший твердорайона боевых действий, ни в коем случае не допускать к бреющим начетам, а давать высоту полета по маршруту 400 - 500 м, сопровождаяих лидером и истребителями.</w:t>
      </w:r>
    </w:p>
    <w:p w14:paraId="0C260AF9"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6. Для уменьшения небоевых потерь на земле повысить ответственность командиров всех степеней за ввод в строй молодого летного состава. В этих целях необходимо в первые боевые вылеты молодой летный состав назначать так, чтобы в составе группы было большинство летчиков, имеющих боевой опыт. В тех же частях, где мало старого летного состава, молодых летчиков нужно допускать к боевым действиям под руководством наиболее опытных командиров звеньев и эскадрилий ().</w:t>
      </w:r>
    </w:p>
    <w:p w14:paraId="2A7FAB1B" w14:textId="77777777" w:rsidR="00AE7191" w:rsidRPr="001E2C69" w:rsidRDefault="00AE7191" w:rsidP="00722885">
      <w:pPr>
        <w:pStyle w:val="Iauiue"/>
        <w:tabs>
          <w:tab w:val="left" w:pos="11199"/>
        </w:tabs>
        <w:jc w:val="both"/>
        <w:rPr>
          <w:rStyle w:val="a8"/>
          <w:b w:val="0"/>
          <w:bCs w:val="0"/>
          <w:color w:val="000000" w:themeColor="text1"/>
          <w:sz w:val="16"/>
          <w:szCs w:val="16"/>
        </w:rPr>
      </w:pPr>
      <w:r w:rsidRPr="001E2C69">
        <w:rPr>
          <w:rStyle w:val="a8"/>
          <w:b w:val="0"/>
          <w:bCs w:val="0"/>
          <w:color w:val="000000" w:themeColor="text1"/>
          <w:sz w:val="16"/>
          <w:szCs w:val="16"/>
        </w:rPr>
        <w:t>Командующий военно-воздушными силами Западного фронта полковник НАУМЕНКО</w:t>
      </w:r>
    </w:p>
    <w:p w14:paraId="7ED3EA92" w14:textId="77777777" w:rsidR="00AE7191" w:rsidRPr="001E2C69" w:rsidRDefault="00AE7191" w:rsidP="00722885">
      <w:pPr>
        <w:pStyle w:val="Iauiue"/>
        <w:tabs>
          <w:tab w:val="left" w:pos="11199"/>
        </w:tabs>
        <w:jc w:val="both"/>
        <w:rPr>
          <w:rStyle w:val="a8"/>
          <w:b w:val="0"/>
          <w:bCs w:val="0"/>
          <w:color w:val="000000" w:themeColor="text1"/>
          <w:sz w:val="16"/>
          <w:szCs w:val="16"/>
        </w:rPr>
      </w:pPr>
      <w:r w:rsidRPr="001E2C69">
        <w:rPr>
          <w:rStyle w:val="a8"/>
          <w:b w:val="0"/>
          <w:bCs w:val="0"/>
          <w:color w:val="000000" w:themeColor="text1"/>
          <w:sz w:val="16"/>
          <w:szCs w:val="16"/>
        </w:rPr>
        <w:t>Военный комиссар военно-воздушных сил Западного фронта бригадный комиссар КЛОКОВ</w:t>
      </w:r>
    </w:p>
    <w:p w14:paraId="22DAD2FC" w14:textId="77777777" w:rsidR="00AE7191" w:rsidRPr="001E2C69" w:rsidRDefault="00AE7191" w:rsidP="00722885">
      <w:pPr>
        <w:pStyle w:val="Iauiue"/>
        <w:tabs>
          <w:tab w:val="left" w:pos="11199"/>
        </w:tabs>
        <w:jc w:val="both"/>
        <w:rPr>
          <w:rStyle w:val="a8"/>
          <w:b w:val="0"/>
          <w:bCs w:val="0"/>
          <w:color w:val="000000" w:themeColor="text1"/>
          <w:sz w:val="16"/>
          <w:szCs w:val="16"/>
        </w:rPr>
      </w:pPr>
      <w:r w:rsidRPr="001E2C69">
        <w:rPr>
          <w:rStyle w:val="a8"/>
          <w:b w:val="0"/>
          <w:bCs w:val="0"/>
          <w:color w:val="000000" w:themeColor="text1"/>
          <w:sz w:val="16"/>
          <w:szCs w:val="16"/>
        </w:rPr>
        <w:t>Начальник штаба военно-воздушных сил Западного фронта полковник ХУДЯКОВ (4964).</w:t>
      </w:r>
    </w:p>
    <w:p w14:paraId="3FDCCF69" w14:textId="77777777" w:rsidR="00AE7191" w:rsidRPr="001E2C69" w:rsidRDefault="00AE7191" w:rsidP="00722885">
      <w:pPr>
        <w:pStyle w:val="Iauiue"/>
        <w:tabs>
          <w:tab w:val="left" w:pos="11199"/>
        </w:tabs>
        <w:jc w:val="both"/>
        <w:rPr>
          <w:rStyle w:val="a8"/>
          <w:b w:val="0"/>
          <w:bCs w:val="0"/>
          <w:color w:val="000000" w:themeColor="text1"/>
          <w:sz w:val="16"/>
          <w:szCs w:val="16"/>
        </w:rPr>
      </w:pPr>
    </w:p>
    <w:p w14:paraId="150DBC06"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4AF2F397" w14:textId="77777777" w:rsidR="00AE7191" w:rsidRPr="001E2C69" w:rsidRDefault="00AE7191" w:rsidP="00722885">
      <w:pPr>
        <w:pStyle w:val="Iauiue"/>
        <w:jc w:val="both"/>
        <w:rPr>
          <w:iCs/>
          <w:color w:val="000000" w:themeColor="text1"/>
          <w:sz w:val="16"/>
          <w:szCs w:val="16"/>
        </w:rPr>
      </w:pPr>
    </w:p>
    <w:p w14:paraId="6577D7A6"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августа в 1942 году фирма «Republic» в результате несчастного случая в Лонг Айленде разбила опытный «XP-47B» (14977).</w:t>
      </w:r>
    </w:p>
    <w:p w14:paraId="4198D572"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1F413D99"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августа в 1942 году первая атака японских камикадзе на Гуадалканале, 2 пикировщика «Aichi» «D3A1»» type 99» «Model 11» «Val» вывели из строя американский десантный корабль;</w:t>
      </w:r>
    </w:p>
    <w:p w14:paraId="24E4DF7D"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745D634D" w14:textId="77777777" w:rsidR="00C5464C" w:rsidRPr="001E2C69" w:rsidRDefault="00C5464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августа 1942 морские пехотинцы США захватывают частично завершенную японскую взлетно-посадочную полосу на Гуадалканале. Они переименуют его в Хендерсон-Филд, и он станет центром шестимесячной кампании на Гуадалканале. В открытом море японские самолеты, базирующиеся в Рабауле, повредили транспорт США, что вскоре стало полной его потерей (20793).</w:t>
      </w:r>
    </w:p>
    <w:p w14:paraId="3DB76A2C" w14:textId="77777777" w:rsidR="00C5464C" w:rsidRPr="001E2C69" w:rsidRDefault="00C5464C" w:rsidP="00722885">
      <w:pPr>
        <w:spacing w:after="0" w:line="240" w:lineRule="auto"/>
        <w:jc w:val="both"/>
        <w:rPr>
          <w:rFonts w:ascii="Times New Roman" w:hAnsi="Times New Roman"/>
          <w:color w:val="000000" w:themeColor="text1"/>
          <w:sz w:val="16"/>
          <w:szCs w:val="16"/>
        </w:rPr>
      </w:pPr>
    </w:p>
    <w:p w14:paraId="7B5E8E2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 августа 1942 был бой между флотами Японии и США у о Саво (3186).</w:t>
      </w:r>
    </w:p>
    <w:p w14:paraId="757F9261" w14:textId="77777777" w:rsidR="00AE7191" w:rsidRPr="001E2C69" w:rsidRDefault="00AE7191" w:rsidP="00722885">
      <w:pPr>
        <w:pStyle w:val="Iauiue"/>
        <w:jc w:val="both"/>
        <w:rPr>
          <w:color w:val="000000" w:themeColor="text1"/>
          <w:sz w:val="16"/>
          <w:szCs w:val="16"/>
        </w:rPr>
      </w:pPr>
    </w:p>
    <w:p w14:paraId="3A1F7FF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 августа 1942 в Бомбее на сессии Индийского национального конгресса Махатма Ганди и Д. Неру потребовали от английского правительства создания национального правительства и в противном случае обещали компанию неповиновения. Англичане сразу же арестовали 60000 чел. (3481). По другим сведениям потребовали немедленного ухода Великобритании из Индии (3907,237).</w:t>
      </w:r>
    </w:p>
    <w:p w14:paraId="657CC96C" w14:textId="77777777" w:rsidR="00AE7191" w:rsidRPr="001E2C69" w:rsidRDefault="00AE7191" w:rsidP="00722885">
      <w:pPr>
        <w:pStyle w:val="Iauiue"/>
        <w:jc w:val="both"/>
        <w:rPr>
          <w:color w:val="000000" w:themeColor="text1"/>
          <w:sz w:val="16"/>
          <w:szCs w:val="16"/>
        </w:rPr>
      </w:pPr>
    </w:p>
    <w:p w14:paraId="7F4811E4"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августа в 1942 году в Бомбее на сессии исполкома Индийского национального конгресса лидеры партии Махатма Ганди и Джавахарлал Неру требуют от английского правительства немедленного создания национального правительства, обещая в противном случае начать кампанию гражданского неповиновения. Сразу же после этой декларации британские власти арестуют весь исполком партии, свыше 60 тысяч участников начавшихся антиаглийских выступлений будут брошены в тюрьмы, а несколько сот человек будут убиты и ранены (14977).</w:t>
      </w:r>
    </w:p>
    <w:p w14:paraId="0AE359FB"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4EFFB94A"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4374342F" w14:textId="77777777" w:rsidR="00AE7191" w:rsidRPr="001E2C69" w:rsidRDefault="00AE7191" w:rsidP="00722885">
      <w:pPr>
        <w:pStyle w:val="Iauiue"/>
        <w:jc w:val="both"/>
        <w:rPr>
          <w:iCs/>
          <w:color w:val="000000" w:themeColor="text1"/>
          <w:sz w:val="16"/>
          <w:szCs w:val="16"/>
        </w:rPr>
      </w:pPr>
    </w:p>
    <w:p w14:paraId="39C663A7"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августа 1942 г. состоялся митинг по случаю передачи ЛаГ-5, украшенных надписями «Бауманцы - герою Лукьянову». Событие имело опреде</w:t>
      </w:r>
      <w:r w:rsidRPr="008A2E5A">
        <w:rPr>
          <w:rFonts w:ascii="Times New Roman" w:hAnsi="Times New Roman"/>
          <w:color w:val="0070C0"/>
          <w:sz w:val="16"/>
          <w:szCs w:val="16"/>
        </w:rPr>
        <w:softHyphen/>
        <w:t>ленный резонанс, так что сюжет попал в «Союзкиножурнал» № 62 1942 года.</w:t>
      </w:r>
    </w:p>
    <w:p w14:paraId="0AE9DCC1"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июня 1942 года в саду имени Бау</w:t>
      </w:r>
      <w:r w:rsidRPr="008A2E5A">
        <w:rPr>
          <w:rFonts w:ascii="Times New Roman" w:hAnsi="Times New Roman"/>
          <w:color w:val="0070C0"/>
          <w:sz w:val="16"/>
          <w:szCs w:val="16"/>
        </w:rPr>
        <w:softHyphen/>
        <w:t>мана в Москве состоялось многолюдное со</w:t>
      </w:r>
      <w:r w:rsidRPr="008A2E5A">
        <w:rPr>
          <w:rFonts w:ascii="Times New Roman" w:hAnsi="Times New Roman"/>
          <w:color w:val="0070C0"/>
          <w:sz w:val="16"/>
          <w:szCs w:val="16"/>
        </w:rPr>
        <w:softHyphen/>
        <w:t>брание актива Бауманского района, на кото</w:t>
      </w:r>
      <w:r w:rsidRPr="008A2E5A">
        <w:rPr>
          <w:rFonts w:ascii="Times New Roman" w:hAnsi="Times New Roman"/>
          <w:color w:val="0070C0"/>
          <w:sz w:val="16"/>
          <w:szCs w:val="16"/>
        </w:rPr>
        <w:softHyphen/>
        <w:t>ром выступила Мария Ивановна - матеть летчика 159 ИАП Героя Советского Союза Александра Михайловича Лукьянова, погиб</w:t>
      </w:r>
      <w:r w:rsidRPr="008A2E5A">
        <w:rPr>
          <w:rFonts w:ascii="Times New Roman" w:hAnsi="Times New Roman"/>
          <w:color w:val="0070C0"/>
          <w:sz w:val="16"/>
          <w:szCs w:val="16"/>
        </w:rPr>
        <w:softHyphen/>
        <w:t>шего в январе 1942 года на Волховском фронте. Она обрати</w:t>
      </w:r>
      <w:r w:rsidRPr="008A2E5A">
        <w:rPr>
          <w:rFonts w:ascii="Times New Roman" w:hAnsi="Times New Roman"/>
          <w:color w:val="0070C0"/>
          <w:sz w:val="16"/>
          <w:szCs w:val="16"/>
        </w:rPr>
        <w:softHyphen/>
        <w:t>лась с призывом начать сбор средств на по</w:t>
      </w:r>
      <w:r w:rsidRPr="008A2E5A">
        <w:rPr>
          <w:rFonts w:ascii="Times New Roman" w:hAnsi="Times New Roman"/>
          <w:color w:val="0070C0"/>
          <w:sz w:val="16"/>
          <w:szCs w:val="16"/>
        </w:rPr>
        <w:softHyphen/>
        <w:t>стройку истребителя в память о своем сыне.</w:t>
      </w:r>
    </w:p>
    <w:p w14:paraId="48C69ED8"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Вскоре сумма взносов бауманцев достигла полумиллиона рублей, на которые были за</w:t>
      </w:r>
      <w:r w:rsidRPr="008A2E5A">
        <w:rPr>
          <w:rFonts w:ascii="Times New Roman" w:hAnsi="Times New Roman"/>
          <w:color w:val="0070C0"/>
          <w:sz w:val="16"/>
          <w:szCs w:val="16"/>
        </w:rPr>
        <w:softHyphen/>
        <w:t>куплены три истребителя горьковского авиа</w:t>
      </w:r>
      <w:r w:rsidRPr="008A2E5A">
        <w:rPr>
          <w:rFonts w:ascii="Times New Roman" w:hAnsi="Times New Roman"/>
          <w:color w:val="0070C0"/>
          <w:sz w:val="16"/>
          <w:szCs w:val="16"/>
        </w:rPr>
        <w:softHyphen/>
        <w:t xml:space="preserve">завода. Ими стали ЛаГ-5 с заводскими №№ 372102-22, 372102-23 и 372102-24. </w:t>
      </w:r>
    </w:p>
    <w:p w14:paraId="06C8B04B"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Самолеты были вручены летчикам 240-го ИАП, входившего тогда в состав сформиро</w:t>
      </w:r>
      <w:r w:rsidRPr="008A2E5A">
        <w:rPr>
          <w:rFonts w:ascii="Times New Roman" w:hAnsi="Times New Roman"/>
          <w:color w:val="0070C0"/>
          <w:sz w:val="16"/>
          <w:szCs w:val="16"/>
        </w:rPr>
        <w:softHyphen/>
        <w:t>ванной в июле 1942 года 287 истребительной авиадивизии, которой командовал ГСС пол</w:t>
      </w:r>
      <w:r w:rsidRPr="008A2E5A">
        <w:rPr>
          <w:rFonts w:ascii="Times New Roman" w:hAnsi="Times New Roman"/>
          <w:color w:val="0070C0"/>
          <w:sz w:val="16"/>
          <w:szCs w:val="16"/>
        </w:rPr>
        <w:softHyphen/>
        <w:t>ковник Степан Павлович Данилов. Машину № 23 принял командир авиационного звена младший лейтенант Петр Патока. Самолет № 22 был закреплен за старшим сержантом Василием Комовым. Самолет № 24 передали сержанту Владимиру Ерохину.</w:t>
      </w:r>
    </w:p>
    <w:p w14:paraId="5C1FEF55"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Три полка 287 авиадивизии - 27, 240 и 297 ИАПы - в августе переучивали на новые Ла</w:t>
      </w:r>
      <w:r w:rsidRPr="008A2E5A">
        <w:rPr>
          <w:rFonts w:ascii="Times New Roman" w:hAnsi="Times New Roman"/>
          <w:color w:val="0070C0"/>
          <w:sz w:val="16"/>
          <w:szCs w:val="16"/>
        </w:rPr>
        <w:softHyphen/>
        <w:t>вочкины во 2 ЗАПе на станции Сейма Горь</w:t>
      </w:r>
      <w:r w:rsidRPr="008A2E5A">
        <w:rPr>
          <w:rFonts w:ascii="Times New Roman" w:hAnsi="Times New Roman"/>
          <w:color w:val="0070C0"/>
          <w:sz w:val="16"/>
          <w:szCs w:val="16"/>
        </w:rPr>
        <w:softHyphen/>
        <w:t>ковской области. Еще один полк - 437 ИАП проходил переподготовку в 1 ЗАПе в Арзама</w:t>
      </w:r>
      <w:r w:rsidRPr="008A2E5A">
        <w:rPr>
          <w:rFonts w:ascii="Times New Roman" w:hAnsi="Times New Roman"/>
          <w:color w:val="0070C0"/>
          <w:sz w:val="16"/>
          <w:szCs w:val="16"/>
        </w:rPr>
        <w:softHyphen/>
        <w:t>се. В начале второй половины августа учебу пришлось прервать. Из-за серьезного ухуд</w:t>
      </w:r>
      <w:r w:rsidRPr="008A2E5A">
        <w:rPr>
          <w:rFonts w:ascii="Times New Roman" w:hAnsi="Times New Roman"/>
          <w:color w:val="0070C0"/>
          <w:sz w:val="16"/>
          <w:szCs w:val="16"/>
        </w:rPr>
        <w:softHyphen/>
        <w:t>шения положения в районе Сталинграда ди</w:t>
      </w:r>
      <w:r w:rsidRPr="008A2E5A">
        <w:rPr>
          <w:rFonts w:ascii="Times New Roman" w:hAnsi="Times New Roman"/>
          <w:color w:val="0070C0"/>
          <w:sz w:val="16"/>
          <w:szCs w:val="16"/>
        </w:rPr>
        <w:softHyphen/>
        <w:t>визию вместе с несколькими другими авиа</w:t>
      </w:r>
      <w:r w:rsidRPr="008A2E5A">
        <w:rPr>
          <w:rFonts w:ascii="Times New Roman" w:hAnsi="Times New Roman"/>
          <w:color w:val="0070C0"/>
          <w:sz w:val="16"/>
          <w:szCs w:val="16"/>
        </w:rPr>
        <w:softHyphen/>
        <w:t>соединениями перебросили на Волгу.</w:t>
      </w:r>
    </w:p>
    <w:p w14:paraId="502D71A9"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Резкое увеличение числа истребителей не принесло желаемого результата. Штаты, установленные в сентябре 1941 года, оказа</w:t>
      </w:r>
      <w:r w:rsidRPr="008A2E5A">
        <w:rPr>
          <w:rFonts w:ascii="Times New Roman" w:hAnsi="Times New Roman"/>
          <w:color w:val="0070C0"/>
          <w:sz w:val="16"/>
          <w:szCs w:val="16"/>
        </w:rPr>
        <w:softHyphen/>
        <w:t>лись не оптимальными для организации бое</w:t>
      </w:r>
      <w:r w:rsidRPr="008A2E5A">
        <w:rPr>
          <w:rFonts w:ascii="Times New Roman" w:hAnsi="Times New Roman"/>
          <w:color w:val="0070C0"/>
          <w:sz w:val="16"/>
          <w:szCs w:val="16"/>
        </w:rPr>
        <w:softHyphen/>
        <w:t>вого управления вновь организованных ди</w:t>
      </w:r>
      <w:r w:rsidRPr="008A2E5A">
        <w:rPr>
          <w:rFonts w:ascii="Times New Roman" w:hAnsi="Times New Roman"/>
          <w:color w:val="0070C0"/>
          <w:sz w:val="16"/>
          <w:szCs w:val="16"/>
        </w:rPr>
        <w:softHyphen/>
        <w:t>визий в составе четырех авиаполков. Ощуща</w:t>
      </w:r>
      <w:r w:rsidRPr="008A2E5A">
        <w:rPr>
          <w:rFonts w:ascii="Times New Roman" w:hAnsi="Times New Roman"/>
          <w:color w:val="0070C0"/>
          <w:sz w:val="16"/>
          <w:szCs w:val="16"/>
        </w:rPr>
        <w:softHyphen/>
        <w:t>лась явная нехватка средств связи. Тактиче</w:t>
      </w:r>
      <w:r w:rsidRPr="008A2E5A">
        <w:rPr>
          <w:rFonts w:ascii="Times New Roman" w:hAnsi="Times New Roman"/>
          <w:color w:val="0070C0"/>
          <w:sz w:val="16"/>
          <w:szCs w:val="16"/>
        </w:rPr>
        <w:softHyphen/>
        <w:t>ская, летная и техническая подготовка летно</w:t>
      </w:r>
      <w:r w:rsidRPr="008A2E5A">
        <w:rPr>
          <w:rFonts w:ascii="Times New Roman" w:hAnsi="Times New Roman"/>
          <w:color w:val="0070C0"/>
          <w:sz w:val="16"/>
          <w:szCs w:val="16"/>
        </w:rPr>
        <w:softHyphen/>
        <w:t>го состава на новой технике оставляли же</w:t>
      </w:r>
      <w:r w:rsidRPr="008A2E5A">
        <w:rPr>
          <w:rFonts w:ascii="Times New Roman" w:hAnsi="Times New Roman"/>
          <w:color w:val="0070C0"/>
          <w:sz w:val="16"/>
          <w:szCs w:val="16"/>
        </w:rPr>
        <w:softHyphen/>
        <w:t>лать лучшего, наземный персонал тоже нахо</w:t>
      </w:r>
      <w:r w:rsidRPr="008A2E5A">
        <w:rPr>
          <w:rFonts w:ascii="Times New Roman" w:hAnsi="Times New Roman"/>
          <w:color w:val="0070C0"/>
          <w:sz w:val="16"/>
          <w:szCs w:val="16"/>
        </w:rPr>
        <w:softHyphen/>
        <w:t>дился в «стадии освоения». Командование еще не состоянии было эффективно решать организационные вопросы, не говоря уже о задачах материально-технического обес</w:t>
      </w:r>
      <w:r w:rsidRPr="008A2E5A">
        <w:rPr>
          <w:rFonts w:ascii="Times New Roman" w:hAnsi="Times New Roman"/>
          <w:color w:val="0070C0"/>
          <w:sz w:val="16"/>
          <w:szCs w:val="16"/>
        </w:rPr>
        <w:softHyphen/>
        <w:t>печения. Перелет 287 авиадивизии на фронт был организован так, что из 77 машин спи</w:t>
      </w:r>
      <w:r w:rsidRPr="008A2E5A">
        <w:rPr>
          <w:rFonts w:ascii="Times New Roman" w:hAnsi="Times New Roman"/>
          <w:color w:val="0070C0"/>
          <w:sz w:val="16"/>
          <w:szCs w:val="16"/>
        </w:rPr>
        <w:softHyphen/>
        <w:t>сочного состава под Сталинград к 23 августа добралось только 54 самолета. Остальные за</w:t>
      </w:r>
      <w:r w:rsidRPr="008A2E5A">
        <w:rPr>
          <w:rFonts w:ascii="Times New Roman" w:hAnsi="Times New Roman"/>
          <w:color w:val="0070C0"/>
          <w:sz w:val="16"/>
          <w:szCs w:val="16"/>
        </w:rPr>
        <w:softHyphen/>
        <w:t>стряли в пути из-за дефектов или отсутствия топлива. Три самолета 437 ИАП, выпущенные в сумерках с Моршанского аэродрома, совер</w:t>
      </w:r>
      <w:r w:rsidRPr="008A2E5A">
        <w:rPr>
          <w:rFonts w:ascii="Times New Roman" w:hAnsi="Times New Roman"/>
          <w:color w:val="0070C0"/>
          <w:sz w:val="16"/>
          <w:szCs w:val="16"/>
        </w:rPr>
        <w:softHyphen/>
        <w:t>шили вынужденные посадки из-за потери ориентировки. Два из них были списаны, как не боевые потери при перелете.</w:t>
      </w:r>
    </w:p>
    <w:p w14:paraId="7A6E3BCE"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Вероятнее всего, никаких снимков ЛаГ-5 первой серии не сохранилось, точнее, их ви</w:t>
      </w:r>
      <w:r w:rsidRPr="008A2E5A">
        <w:rPr>
          <w:rFonts w:ascii="Times New Roman" w:hAnsi="Times New Roman"/>
          <w:color w:val="0070C0"/>
          <w:sz w:val="16"/>
          <w:szCs w:val="16"/>
        </w:rPr>
        <w:softHyphen/>
        <w:t>димо просто никто и не делал. Самолетам вто</w:t>
      </w:r>
      <w:r w:rsidRPr="008A2E5A">
        <w:rPr>
          <w:rFonts w:ascii="Times New Roman" w:hAnsi="Times New Roman"/>
          <w:color w:val="0070C0"/>
          <w:sz w:val="16"/>
          <w:szCs w:val="16"/>
        </w:rPr>
        <w:softHyphen/>
        <w:t>рой серии повезло больше (23587).</w:t>
      </w:r>
    </w:p>
    <w:p w14:paraId="71F93EC0" w14:textId="77777777" w:rsidR="000339AC" w:rsidRPr="008A2E5A" w:rsidRDefault="000339AC" w:rsidP="000339AC">
      <w:pPr>
        <w:spacing w:after="0" w:line="240" w:lineRule="auto"/>
        <w:jc w:val="both"/>
        <w:rPr>
          <w:rFonts w:ascii="Times New Roman" w:hAnsi="Times New Roman"/>
          <w:color w:val="0070C0"/>
          <w:sz w:val="16"/>
          <w:szCs w:val="16"/>
        </w:rPr>
      </w:pPr>
    </w:p>
    <w:p w14:paraId="5C02C2E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 августа 1942 М-82Ф форсированный был поставлен на длительные заводские испытания (1684,191).</w:t>
      </w:r>
    </w:p>
    <w:p w14:paraId="70FC9506" w14:textId="77777777" w:rsidR="00AE7191" w:rsidRPr="001E2C69" w:rsidRDefault="00AE7191" w:rsidP="00722885">
      <w:pPr>
        <w:pStyle w:val="Iauiue"/>
        <w:jc w:val="both"/>
        <w:rPr>
          <w:color w:val="000000" w:themeColor="text1"/>
          <w:sz w:val="16"/>
          <w:szCs w:val="16"/>
        </w:rPr>
      </w:pPr>
    </w:p>
    <w:p w14:paraId="0ED0248F"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9 августа 1942 года начались ресурсные испытания М-82Ф, а два мотора подготовили для отправки на завод № 21. Но 1 сентября было приказано провести государственные 100-часовые испытания, причем на это отводилось всего 10 дней. И лишь 16 сентября 1942 года вышел приказ НКАП № 778 о запуске М-82Ф в серийное производство на пермском заводе № 19. До конца года требовалось выпустить 215 моторов (23547).</w:t>
      </w:r>
    </w:p>
    <w:p w14:paraId="62172DEE" w14:textId="77777777" w:rsidR="000339AC" w:rsidRPr="008A2E5A" w:rsidRDefault="000339AC" w:rsidP="000339AC">
      <w:pPr>
        <w:spacing w:after="0" w:line="240" w:lineRule="auto"/>
        <w:jc w:val="both"/>
        <w:rPr>
          <w:rFonts w:ascii="Times New Roman" w:hAnsi="Times New Roman"/>
          <w:color w:val="0070C0"/>
          <w:sz w:val="16"/>
          <w:szCs w:val="16"/>
        </w:rPr>
      </w:pPr>
    </w:p>
    <w:p w14:paraId="2E49F534"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августа 1942 г. опытный мотор М-82Ф с устраненными дефектами был поставлен на повторные длительные заводские испытания. Ему были установлены те же характеристики мощности, что и по первоначальному заданию. Предъявить этот мотор на Совместные государственные 50-часовые испытания намечено требовалось 25-30 августа 1942 г.</w:t>
      </w:r>
    </w:p>
    <w:p w14:paraId="66509B63"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тому времени два мотора М-82Ф (но не известно, летных ли) было отгружено заводу №21 для установки на модифицируемый самолет Ла-5 (23571).</w:t>
      </w:r>
    </w:p>
    <w:p w14:paraId="3D661A74" w14:textId="77777777" w:rsidR="000339AC" w:rsidRPr="008A2E5A" w:rsidRDefault="000339AC" w:rsidP="000339AC">
      <w:pPr>
        <w:spacing w:after="0" w:line="240" w:lineRule="auto"/>
        <w:jc w:val="both"/>
        <w:rPr>
          <w:rFonts w:ascii="Times New Roman" w:hAnsi="Times New Roman"/>
          <w:color w:val="0070C0"/>
          <w:sz w:val="16"/>
          <w:szCs w:val="16"/>
        </w:rPr>
      </w:pPr>
    </w:p>
    <w:p w14:paraId="24EDF759"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5836E806" w14:textId="77777777" w:rsidR="00AE7191" w:rsidRPr="001E2C69" w:rsidRDefault="00AE7191" w:rsidP="00722885">
      <w:pPr>
        <w:pStyle w:val="Iauiue"/>
        <w:jc w:val="both"/>
        <w:rPr>
          <w:iCs/>
          <w:color w:val="000000" w:themeColor="text1"/>
          <w:sz w:val="16"/>
          <w:szCs w:val="16"/>
        </w:rPr>
      </w:pPr>
    </w:p>
    <w:p w14:paraId="4D700E1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 августа 1942 года в 10 часов в районе церкви Старо Паново было первое боевое применение МТВ-280. Стрельба велась батареей отдельного минометного дивизиона 21 СД, в залпе было 64 мины. Снаряды легли в районе цели, результаты стрельбы на момент применения PC не были известны. При стрельбе не сошло с рам две мины, у одной вырвало сопло, причины отказа другой на месте не были выяснены, ее отправили для изучения на АНИОП (6403, 42).</w:t>
      </w:r>
    </w:p>
    <w:p w14:paraId="5ED94F03" w14:textId="77777777" w:rsidR="00AE7191" w:rsidRPr="001E2C69" w:rsidRDefault="00AE7191" w:rsidP="00722885">
      <w:pPr>
        <w:pStyle w:val="Iauiue"/>
        <w:jc w:val="both"/>
        <w:rPr>
          <w:color w:val="000000" w:themeColor="text1"/>
          <w:sz w:val="16"/>
          <w:szCs w:val="16"/>
        </w:rPr>
      </w:pPr>
    </w:p>
    <w:p w14:paraId="51B90AF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9 по 16 августа 1942 г. Т-34 с командирской башенкой прошел испы</w:t>
      </w:r>
      <w:r w:rsidRPr="001E2C69">
        <w:rPr>
          <w:rFonts w:ascii="Times New Roman" w:hAnsi="Times New Roman"/>
          <w:color w:val="000000" w:themeColor="text1"/>
          <w:sz w:val="16"/>
          <w:szCs w:val="16"/>
        </w:rPr>
        <w:softHyphen/>
        <w:t>тания на артиллерийском полигоне в Нижней Тагиле. На вооружение танк не принимался и в серийном производстве не состоял (10703).</w:t>
      </w:r>
    </w:p>
    <w:p w14:paraId="42E5AC1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000902AC"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9 августа 1942 вышло Постановление ГКО № 2164 Об организации прямой телефонной связи Москвы с Красноводском. (7049, 133-134,135).</w:t>
      </w:r>
    </w:p>
    <w:p w14:paraId="74B8390D" w14:textId="77777777" w:rsidR="00AE7191" w:rsidRPr="001E2C69" w:rsidRDefault="00AE7191" w:rsidP="00722885">
      <w:pPr>
        <w:pStyle w:val="Iauiue"/>
        <w:tabs>
          <w:tab w:val="left" w:pos="11199"/>
        </w:tabs>
        <w:jc w:val="both"/>
        <w:rPr>
          <w:color w:val="000000" w:themeColor="text1"/>
          <w:sz w:val="16"/>
          <w:szCs w:val="16"/>
        </w:rPr>
      </w:pPr>
    </w:p>
    <w:p w14:paraId="4A512AAA"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августа 1941 г. Постановление ГКО СССР № 445сс «Об обеспечении Красной армии средствами связно</w:t>
      </w:r>
    </w:p>
    <w:p w14:paraId="26DE9872"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448B1B57"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целях обеспечения действующей Красной армии средствами связи Государственный комитет обороны постановляет:</w:t>
      </w:r>
    </w:p>
    <w:p w14:paraId="27A4AEDA"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Обязать Наркомэлектропром, Наркомсудпром и НКПС поставить Наркомату обороны в августе и сентябре 1941 г. аппаратуру связи и кабельные изделия согласно приложению № 1.</w:t>
      </w:r>
    </w:p>
    <w:p w14:paraId="73D4974A"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Обязать Наркомэлектропром (т. Богатырева) обеспечить серийное производство военной аппаратуры связи на воронежском заводе «Электросигнал», начиная с сентября 1941 г.</w:t>
      </w:r>
    </w:p>
    <w:p w14:paraId="3DBCF7A1"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Наркомцветмет, Наркомчермет, Наркомхимпром, НКВТ53, Наркомрезинпром, Наркомпищепром СССР, Наркомнефть, Наркомавиапром, Наркомсредмаш, Наркомобщмаш, Наркомсудпром, НКФин и Наркомэлектропром поставить радио- и телефонно-телеграфным заводам, а также кабельным заводам Наркомэлектропрома в августе и сентябре 1941 г. материалы, комплектующее оборудование и изделия согласно приложениям № 2 и З1 . Поставку производить равномерными партиями подекадно, в порядке мобилизационного задания.</w:t>
      </w:r>
    </w:p>
    <w:p w14:paraId="1574BE2C"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Обязать Госплан СССР (т. Борисова) и Наркомэлектропром (т. Богатырева) в двухнедельный срок представить в Государственный комитет обороны проект мероприятий по расширению базы по производству аппаратуры связи и кабельных изделий для Красной армии.</w:t>
      </w:r>
    </w:p>
    <w:p w14:paraId="3AB059ED"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Обязать НКПС обеспечить первоочередную перевозку материалов и полуфабрикатов для заводов, поставляющих аппаратуру связи и кабельные изделия для Красной армии.</w:t>
      </w:r>
    </w:p>
    <w:p w14:paraId="1A76BEEE"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Государственного комитета обороны И. Сталин</w:t>
      </w:r>
    </w:p>
    <w:p w14:paraId="58875E2B"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Приложение № 1</w:t>
      </w:r>
    </w:p>
    <w:p w14:paraId="5C3469D1"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61CC5ABB"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План производства средств связи для Наркомата обороны на август и сентябрь 1941 г.</w:t>
      </w:r>
    </w:p>
    <w:p w14:paraId="77C18FAC"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Наименование изделий и наркомат-изготовитель</w:t>
      </w:r>
      <w:r w:rsidRPr="008A2E5A">
        <w:rPr>
          <w:rFonts w:ascii="Times New Roman" w:hAnsi="Times New Roman"/>
          <w:color w:val="0070C0"/>
          <w:sz w:val="16"/>
          <w:szCs w:val="16"/>
        </w:rPr>
        <w:tab/>
        <w:t>Единица  измерения</w:t>
      </w:r>
      <w:r w:rsidRPr="008A2E5A">
        <w:rPr>
          <w:rFonts w:ascii="Times New Roman" w:hAnsi="Times New Roman"/>
          <w:color w:val="0070C0"/>
          <w:sz w:val="16"/>
          <w:szCs w:val="16"/>
        </w:rPr>
        <w:tab/>
        <w:t>Подлежит поставке в:</w:t>
      </w:r>
      <w:r w:rsidRPr="008A2E5A">
        <w:rPr>
          <w:rFonts w:ascii="Times New Roman" w:hAnsi="Times New Roman"/>
          <w:color w:val="0070C0"/>
          <w:sz w:val="16"/>
          <w:szCs w:val="16"/>
        </w:rPr>
        <w:tab/>
      </w:r>
    </w:p>
    <w:p w14:paraId="57B1AE39"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r w:rsidRPr="008A2E5A">
        <w:rPr>
          <w:rFonts w:ascii="Times New Roman" w:hAnsi="Times New Roman"/>
          <w:color w:val="0070C0"/>
          <w:sz w:val="16"/>
          <w:szCs w:val="16"/>
        </w:rPr>
        <w:tab/>
        <w:t>августе | сентябре</w:t>
      </w:r>
      <w:r w:rsidRPr="008A2E5A">
        <w:rPr>
          <w:rFonts w:ascii="Times New Roman" w:hAnsi="Times New Roman"/>
          <w:color w:val="0070C0"/>
          <w:sz w:val="16"/>
          <w:szCs w:val="16"/>
        </w:rPr>
        <w:tab/>
      </w:r>
    </w:p>
    <w:p w14:paraId="56759A8C"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Наркомэлектропром</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78B6BE87"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Радиостанция РАТ</w:t>
      </w:r>
      <w:r w:rsidRPr="008A2E5A">
        <w:rPr>
          <w:rFonts w:ascii="Times New Roman" w:hAnsi="Times New Roman"/>
          <w:color w:val="0070C0"/>
          <w:sz w:val="16"/>
          <w:szCs w:val="16"/>
        </w:rPr>
        <w:tab/>
        <w:t>шт.</w:t>
      </w:r>
      <w:r w:rsidRPr="008A2E5A">
        <w:rPr>
          <w:rFonts w:ascii="Times New Roman" w:hAnsi="Times New Roman"/>
          <w:color w:val="0070C0"/>
          <w:sz w:val="16"/>
          <w:szCs w:val="16"/>
        </w:rPr>
        <w:tab/>
        <w:t>6</w:t>
      </w:r>
      <w:r w:rsidRPr="008A2E5A">
        <w:rPr>
          <w:rFonts w:ascii="Times New Roman" w:hAnsi="Times New Roman"/>
          <w:color w:val="0070C0"/>
          <w:sz w:val="16"/>
          <w:szCs w:val="16"/>
        </w:rPr>
        <w:tab/>
        <w:t>8</w:t>
      </w:r>
    </w:p>
    <w:p w14:paraId="15B840CC"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Радиостанция РАФ</w:t>
      </w:r>
      <w:r w:rsidRPr="008A2E5A">
        <w:rPr>
          <w:rFonts w:ascii="Times New Roman" w:hAnsi="Times New Roman"/>
          <w:color w:val="0070C0"/>
          <w:sz w:val="16"/>
          <w:szCs w:val="16"/>
        </w:rPr>
        <w:tab/>
        <w:t>шт.</w:t>
      </w:r>
      <w:r w:rsidRPr="008A2E5A">
        <w:rPr>
          <w:rFonts w:ascii="Times New Roman" w:hAnsi="Times New Roman"/>
          <w:color w:val="0070C0"/>
          <w:sz w:val="16"/>
          <w:szCs w:val="16"/>
        </w:rPr>
        <w:tab/>
        <w:t>90</w:t>
      </w:r>
      <w:r w:rsidRPr="008A2E5A">
        <w:rPr>
          <w:rFonts w:ascii="Times New Roman" w:hAnsi="Times New Roman"/>
          <w:color w:val="0070C0"/>
          <w:sz w:val="16"/>
          <w:szCs w:val="16"/>
        </w:rPr>
        <w:tab/>
        <w:t>120</w:t>
      </w:r>
    </w:p>
    <w:p w14:paraId="589AA069"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Радиостанция РСБ</w:t>
      </w:r>
      <w:r w:rsidRPr="008A2E5A">
        <w:rPr>
          <w:rFonts w:ascii="Times New Roman" w:hAnsi="Times New Roman"/>
          <w:color w:val="0070C0"/>
          <w:sz w:val="16"/>
          <w:szCs w:val="16"/>
        </w:rPr>
        <w:tab/>
        <w:t>шт.</w:t>
      </w:r>
      <w:r w:rsidRPr="008A2E5A">
        <w:rPr>
          <w:rFonts w:ascii="Times New Roman" w:hAnsi="Times New Roman"/>
          <w:color w:val="0070C0"/>
          <w:sz w:val="16"/>
          <w:szCs w:val="16"/>
        </w:rPr>
        <w:tab/>
        <w:t>220</w:t>
      </w:r>
      <w:r w:rsidRPr="008A2E5A">
        <w:rPr>
          <w:rFonts w:ascii="Times New Roman" w:hAnsi="Times New Roman"/>
          <w:color w:val="0070C0"/>
          <w:sz w:val="16"/>
          <w:szCs w:val="16"/>
        </w:rPr>
        <w:tab/>
        <w:t>250</w:t>
      </w:r>
    </w:p>
    <w:p w14:paraId="3F08AEDE"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Радиостанция РБ</w:t>
      </w:r>
      <w:r w:rsidRPr="008A2E5A">
        <w:rPr>
          <w:rFonts w:ascii="Times New Roman" w:hAnsi="Times New Roman"/>
          <w:color w:val="0070C0"/>
          <w:sz w:val="16"/>
          <w:szCs w:val="16"/>
        </w:rPr>
        <w:tab/>
        <w:t>шт.</w:t>
      </w:r>
      <w:r w:rsidRPr="008A2E5A">
        <w:rPr>
          <w:rFonts w:ascii="Times New Roman" w:hAnsi="Times New Roman"/>
          <w:color w:val="0070C0"/>
          <w:sz w:val="16"/>
          <w:szCs w:val="16"/>
        </w:rPr>
        <w:tab/>
        <w:t>1500</w:t>
      </w:r>
      <w:r w:rsidRPr="008A2E5A">
        <w:rPr>
          <w:rFonts w:ascii="Times New Roman" w:hAnsi="Times New Roman"/>
          <w:color w:val="0070C0"/>
          <w:sz w:val="16"/>
          <w:szCs w:val="16"/>
        </w:rPr>
        <w:tab/>
        <w:t>1800</w:t>
      </w:r>
    </w:p>
    <w:p w14:paraId="4B294281"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Телеграфные аппараты Бодо</w:t>
      </w:r>
      <w:r w:rsidRPr="008A2E5A">
        <w:rPr>
          <w:rFonts w:ascii="Times New Roman" w:hAnsi="Times New Roman"/>
          <w:color w:val="0070C0"/>
          <w:sz w:val="16"/>
          <w:szCs w:val="16"/>
        </w:rPr>
        <w:tab/>
        <w:t>шт.</w:t>
      </w:r>
      <w:r w:rsidRPr="008A2E5A">
        <w:rPr>
          <w:rFonts w:ascii="Times New Roman" w:hAnsi="Times New Roman"/>
          <w:color w:val="0070C0"/>
          <w:sz w:val="16"/>
          <w:szCs w:val="16"/>
        </w:rPr>
        <w:tab/>
        <w:t>20</w:t>
      </w:r>
      <w:r w:rsidRPr="008A2E5A">
        <w:rPr>
          <w:rFonts w:ascii="Times New Roman" w:hAnsi="Times New Roman"/>
          <w:color w:val="0070C0"/>
          <w:sz w:val="16"/>
          <w:szCs w:val="16"/>
        </w:rPr>
        <w:tab/>
        <w:t>30</w:t>
      </w:r>
    </w:p>
    <w:p w14:paraId="08E93020"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Телеграфные аппараты СТ-35</w:t>
      </w:r>
      <w:r w:rsidRPr="008A2E5A">
        <w:rPr>
          <w:rFonts w:ascii="Times New Roman" w:hAnsi="Times New Roman"/>
          <w:color w:val="0070C0"/>
          <w:sz w:val="16"/>
          <w:szCs w:val="16"/>
        </w:rPr>
        <w:tab/>
        <w:t>шт.</w:t>
      </w:r>
      <w:r w:rsidRPr="008A2E5A">
        <w:rPr>
          <w:rFonts w:ascii="Times New Roman" w:hAnsi="Times New Roman"/>
          <w:color w:val="0070C0"/>
          <w:sz w:val="16"/>
          <w:szCs w:val="16"/>
        </w:rPr>
        <w:tab/>
        <w:t>130</w:t>
      </w:r>
      <w:r w:rsidRPr="008A2E5A">
        <w:rPr>
          <w:rFonts w:ascii="Times New Roman" w:hAnsi="Times New Roman"/>
          <w:color w:val="0070C0"/>
          <w:sz w:val="16"/>
          <w:szCs w:val="16"/>
        </w:rPr>
        <w:tab/>
        <w:t>175</w:t>
      </w:r>
    </w:p>
    <w:p w14:paraId="74E7E642"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Телеграфные аппараты Морзе</w:t>
      </w:r>
      <w:r w:rsidRPr="008A2E5A">
        <w:rPr>
          <w:rFonts w:ascii="Times New Roman" w:hAnsi="Times New Roman"/>
          <w:color w:val="0070C0"/>
          <w:sz w:val="16"/>
          <w:szCs w:val="16"/>
        </w:rPr>
        <w:tab/>
        <w:t>шт.</w:t>
      </w:r>
      <w:r w:rsidRPr="008A2E5A">
        <w:rPr>
          <w:rFonts w:ascii="Times New Roman" w:hAnsi="Times New Roman"/>
          <w:color w:val="0070C0"/>
          <w:sz w:val="16"/>
          <w:szCs w:val="16"/>
        </w:rPr>
        <w:tab/>
        <w:t>175</w:t>
      </w:r>
      <w:r w:rsidRPr="008A2E5A">
        <w:rPr>
          <w:rFonts w:ascii="Times New Roman" w:hAnsi="Times New Roman"/>
          <w:color w:val="0070C0"/>
          <w:sz w:val="16"/>
          <w:szCs w:val="16"/>
        </w:rPr>
        <w:tab/>
        <w:t>200</w:t>
      </w:r>
    </w:p>
    <w:p w14:paraId="7F795960"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Телефонные коммутаторы КОФ</w:t>
      </w:r>
      <w:r w:rsidRPr="008A2E5A">
        <w:rPr>
          <w:rFonts w:ascii="Times New Roman" w:hAnsi="Times New Roman"/>
          <w:color w:val="0070C0"/>
          <w:sz w:val="16"/>
          <w:szCs w:val="16"/>
        </w:rPr>
        <w:tab/>
        <w:t>шт.</w:t>
      </w:r>
      <w:r w:rsidRPr="008A2E5A">
        <w:rPr>
          <w:rFonts w:ascii="Times New Roman" w:hAnsi="Times New Roman"/>
          <w:color w:val="0070C0"/>
          <w:sz w:val="16"/>
          <w:szCs w:val="16"/>
        </w:rPr>
        <w:tab/>
        <w:t>1200</w:t>
      </w:r>
      <w:r w:rsidRPr="008A2E5A">
        <w:rPr>
          <w:rFonts w:ascii="Times New Roman" w:hAnsi="Times New Roman"/>
          <w:color w:val="0070C0"/>
          <w:sz w:val="16"/>
          <w:szCs w:val="16"/>
        </w:rPr>
        <w:tab/>
        <w:t>1500</w:t>
      </w:r>
    </w:p>
    <w:p w14:paraId="6D66AB30"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Телефонные аппараты УНА-И</w:t>
      </w:r>
      <w:r w:rsidRPr="008A2E5A">
        <w:rPr>
          <w:rFonts w:ascii="Times New Roman" w:hAnsi="Times New Roman"/>
          <w:color w:val="0070C0"/>
          <w:sz w:val="16"/>
          <w:szCs w:val="16"/>
        </w:rPr>
        <w:tab/>
        <w:t>шт.</w:t>
      </w:r>
      <w:r w:rsidRPr="008A2E5A">
        <w:rPr>
          <w:rFonts w:ascii="Times New Roman" w:hAnsi="Times New Roman"/>
          <w:color w:val="0070C0"/>
          <w:sz w:val="16"/>
          <w:szCs w:val="16"/>
        </w:rPr>
        <w:tab/>
        <w:t>12 000</w:t>
      </w:r>
      <w:r w:rsidRPr="008A2E5A">
        <w:rPr>
          <w:rFonts w:ascii="Times New Roman" w:hAnsi="Times New Roman"/>
          <w:color w:val="0070C0"/>
          <w:sz w:val="16"/>
          <w:szCs w:val="16"/>
        </w:rPr>
        <w:tab/>
        <w:t>16 000</w:t>
      </w:r>
    </w:p>
    <w:p w14:paraId="16C23F42"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Телефонные аппараты УНА-Ф</w:t>
      </w:r>
      <w:r w:rsidRPr="008A2E5A">
        <w:rPr>
          <w:rFonts w:ascii="Times New Roman" w:hAnsi="Times New Roman"/>
          <w:color w:val="0070C0"/>
          <w:sz w:val="16"/>
          <w:szCs w:val="16"/>
        </w:rPr>
        <w:tab/>
        <w:t>шт.</w:t>
      </w:r>
      <w:r w:rsidRPr="008A2E5A">
        <w:rPr>
          <w:rFonts w:ascii="Times New Roman" w:hAnsi="Times New Roman"/>
          <w:color w:val="0070C0"/>
          <w:sz w:val="16"/>
          <w:szCs w:val="16"/>
        </w:rPr>
        <w:tab/>
        <w:t>26 400</w:t>
      </w:r>
      <w:r w:rsidRPr="008A2E5A">
        <w:rPr>
          <w:rFonts w:ascii="Times New Roman" w:hAnsi="Times New Roman"/>
          <w:color w:val="0070C0"/>
          <w:sz w:val="16"/>
          <w:szCs w:val="16"/>
        </w:rPr>
        <w:tab/>
        <w:t>33 000</w:t>
      </w:r>
    </w:p>
    <w:p w14:paraId="35019354"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Телефонные аппараты УНА-ФИ</w:t>
      </w:r>
      <w:r w:rsidRPr="008A2E5A">
        <w:rPr>
          <w:rFonts w:ascii="Times New Roman" w:hAnsi="Times New Roman"/>
          <w:color w:val="0070C0"/>
          <w:sz w:val="16"/>
          <w:szCs w:val="16"/>
        </w:rPr>
        <w:tab/>
        <w:t>шт.</w:t>
      </w:r>
      <w:r w:rsidRPr="008A2E5A">
        <w:rPr>
          <w:rFonts w:ascii="Times New Roman" w:hAnsi="Times New Roman"/>
          <w:color w:val="0070C0"/>
          <w:sz w:val="16"/>
          <w:szCs w:val="16"/>
        </w:rPr>
        <w:tab/>
        <w:t>1900</w:t>
      </w:r>
      <w:r w:rsidRPr="008A2E5A">
        <w:rPr>
          <w:rFonts w:ascii="Times New Roman" w:hAnsi="Times New Roman"/>
          <w:color w:val="0070C0"/>
          <w:sz w:val="16"/>
          <w:szCs w:val="16"/>
        </w:rPr>
        <w:tab/>
        <w:t>2340</w:t>
      </w:r>
    </w:p>
    <w:p w14:paraId="187DDAE1"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Телефонные аппараты «Табип»</w:t>
      </w:r>
      <w:r w:rsidRPr="008A2E5A">
        <w:rPr>
          <w:rFonts w:ascii="Times New Roman" w:hAnsi="Times New Roman"/>
          <w:color w:val="0070C0"/>
          <w:sz w:val="16"/>
          <w:szCs w:val="16"/>
        </w:rPr>
        <w:tab/>
        <w:t>шт.</w:t>
      </w:r>
      <w:r w:rsidRPr="008A2E5A">
        <w:rPr>
          <w:rFonts w:ascii="Times New Roman" w:hAnsi="Times New Roman"/>
          <w:color w:val="0070C0"/>
          <w:sz w:val="16"/>
          <w:szCs w:val="16"/>
        </w:rPr>
        <w:tab/>
        <w:t>5400</w:t>
      </w:r>
      <w:r w:rsidRPr="008A2E5A">
        <w:rPr>
          <w:rFonts w:ascii="Times New Roman" w:hAnsi="Times New Roman"/>
          <w:color w:val="0070C0"/>
          <w:sz w:val="16"/>
          <w:szCs w:val="16"/>
        </w:rPr>
        <w:tab/>
        <w:t>6700</w:t>
      </w:r>
    </w:p>
    <w:p w14:paraId="2F42A9A7"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Телефонные аппараты «Трубка»</w:t>
      </w:r>
      <w:r w:rsidRPr="008A2E5A">
        <w:rPr>
          <w:rFonts w:ascii="Times New Roman" w:hAnsi="Times New Roman"/>
          <w:color w:val="0070C0"/>
          <w:sz w:val="16"/>
          <w:szCs w:val="16"/>
        </w:rPr>
        <w:tab/>
        <w:t>шт.</w:t>
      </w:r>
      <w:r w:rsidRPr="008A2E5A">
        <w:rPr>
          <w:rFonts w:ascii="Times New Roman" w:hAnsi="Times New Roman"/>
          <w:color w:val="0070C0"/>
          <w:sz w:val="16"/>
          <w:szCs w:val="16"/>
        </w:rPr>
        <w:tab/>
        <w:t>3100</w:t>
      </w:r>
      <w:r w:rsidRPr="008A2E5A">
        <w:rPr>
          <w:rFonts w:ascii="Times New Roman" w:hAnsi="Times New Roman"/>
          <w:color w:val="0070C0"/>
          <w:sz w:val="16"/>
          <w:szCs w:val="16"/>
        </w:rPr>
        <w:tab/>
        <w:t>4000</w:t>
      </w:r>
    </w:p>
    <w:p w14:paraId="2B734330"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Телефонный кабель ЛПТК и кабель с хлор- виниловой оболочкой</w:t>
      </w:r>
      <w:r w:rsidRPr="008A2E5A">
        <w:rPr>
          <w:rFonts w:ascii="Times New Roman" w:hAnsi="Times New Roman"/>
          <w:color w:val="0070C0"/>
          <w:sz w:val="16"/>
          <w:szCs w:val="16"/>
        </w:rPr>
        <w:tab/>
        <w:t>км</w:t>
      </w:r>
      <w:r w:rsidRPr="008A2E5A">
        <w:rPr>
          <w:rFonts w:ascii="Times New Roman" w:hAnsi="Times New Roman"/>
          <w:color w:val="0070C0"/>
          <w:sz w:val="16"/>
          <w:szCs w:val="16"/>
        </w:rPr>
        <w:tab/>
        <w:t>15 600</w:t>
      </w:r>
      <w:r w:rsidRPr="008A2E5A">
        <w:rPr>
          <w:rFonts w:ascii="Times New Roman" w:hAnsi="Times New Roman"/>
          <w:color w:val="0070C0"/>
          <w:sz w:val="16"/>
          <w:szCs w:val="16"/>
        </w:rPr>
        <w:tab/>
        <w:t>18 000</w:t>
      </w:r>
    </w:p>
    <w:p w14:paraId="7FE541E7"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Телефонный кабель ПТФ</w:t>
      </w:r>
      <w:r w:rsidRPr="008A2E5A">
        <w:rPr>
          <w:rFonts w:ascii="Times New Roman" w:hAnsi="Times New Roman"/>
          <w:color w:val="0070C0"/>
          <w:sz w:val="16"/>
          <w:szCs w:val="16"/>
        </w:rPr>
        <w:tab/>
        <w:t>км</w:t>
      </w:r>
      <w:r w:rsidRPr="008A2E5A">
        <w:rPr>
          <w:rFonts w:ascii="Times New Roman" w:hAnsi="Times New Roman"/>
          <w:color w:val="0070C0"/>
          <w:sz w:val="16"/>
          <w:szCs w:val="16"/>
        </w:rPr>
        <w:tab/>
        <w:t>45 000</w:t>
      </w:r>
      <w:r w:rsidRPr="008A2E5A">
        <w:rPr>
          <w:rFonts w:ascii="Times New Roman" w:hAnsi="Times New Roman"/>
          <w:color w:val="0070C0"/>
          <w:sz w:val="16"/>
          <w:szCs w:val="16"/>
        </w:rPr>
        <w:tab/>
        <w:t>50 000</w:t>
      </w:r>
    </w:p>
    <w:p w14:paraId="191E4756"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том числе одножильный по техническим условиям, согласованным НКО и НКЭП</w:t>
      </w:r>
      <w:r w:rsidRPr="008A2E5A">
        <w:rPr>
          <w:rFonts w:ascii="Times New Roman" w:hAnsi="Times New Roman"/>
          <w:color w:val="0070C0"/>
          <w:sz w:val="16"/>
          <w:szCs w:val="16"/>
        </w:rPr>
        <w:tab/>
        <w:t>км</w:t>
      </w:r>
      <w:r w:rsidRPr="008A2E5A">
        <w:rPr>
          <w:rFonts w:ascii="Times New Roman" w:hAnsi="Times New Roman"/>
          <w:color w:val="0070C0"/>
          <w:sz w:val="16"/>
          <w:szCs w:val="16"/>
        </w:rPr>
        <w:tab/>
        <w:t>9000</w:t>
      </w:r>
      <w:r w:rsidRPr="008A2E5A">
        <w:rPr>
          <w:rFonts w:ascii="Times New Roman" w:hAnsi="Times New Roman"/>
          <w:color w:val="0070C0"/>
          <w:sz w:val="16"/>
          <w:szCs w:val="16"/>
        </w:rPr>
        <w:tab/>
        <w:t>9000</w:t>
      </w:r>
    </w:p>
    <w:p w14:paraId="39A37101"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Телеграфный кабель ПТГ</w:t>
      </w:r>
      <w:r w:rsidRPr="008A2E5A">
        <w:rPr>
          <w:rFonts w:ascii="Times New Roman" w:hAnsi="Times New Roman"/>
          <w:color w:val="0070C0"/>
          <w:sz w:val="16"/>
          <w:szCs w:val="16"/>
        </w:rPr>
        <w:tab/>
        <w:t>км</w:t>
      </w:r>
      <w:r w:rsidRPr="008A2E5A">
        <w:rPr>
          <w:rFonts w:ascii="Times New Roman" w:hAnsi="Times New Roman"/>
          <w:color w:val="0070C0"/>
          <w:sz w:val="16"/>
          <w:szCs w:val="16"/>
        </w:rPr>
        <w:tab/>
        <w:t>10 000</w:t>
      </w:r>
      <w:r w:rsidRPr="008A2E5A">
        <w:rPr>
          <w:rFonts w:ascii="Times New Roman" w:hAnsi="Times New Roman"/>
          <w:color w:val="0070C0"/>
          <w:sz w:val="16"/>
          <w:szCs w:val="16"/>
        </w:rPr>
        <w:tab/>
        <w:t>13 000</w:t>
      </w:r>
    </w:p>
    <w:p w14:paraId="4E330722"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Наркомсудпром</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16A5800A"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Телеграфные аппараты Бодо</w:t>
      </w:r>
      <w:r w:rsidRPr="008A2E5A">
        <w:rPr>
          <w:rFonts w:ascii="Times New Roman" w:hAnsi="Times New Roman"/>
          <w:color w:val="0070C0"/>
          <w:sz w:val="16"/>
          <w:szCs w:val="16"/>
        </w:rPr>
        <w:tab/>
        <w:t>шт.</w:t>
      </w:r>
      <w:r w:rsidRPr="008A2E5A">
        <w:rPr>
          <w:rFonts w:ascii="Times New Roman" w:hAnsi="Times New Roman"/>
          <w:color w:val="0070C0"/>
          <w:sz w:val="16"/>
          <w:szCs w:val="16"/>
        </w:rPr>
        <w:tab/>
        <w:t>20</w:t>
      </w:r>
      <w:r w:rsidRPr="008A2E5A">
        <w:rPr>
          <w:rFonts w:ascii="Times New Roman" w:hAnsi="Times New Roman"/>
          <w:color w:val="0070C0"/>
          <w:sz w:val="16"/>
          <w:szCs w:val="16"/>
        </w:rPr>
        <w:tab/>
        <w:t>20</w:t>
      </w:r>
    </w:p>
    <w:p w14:paraId="662DCD8E"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Телеграфные аппараты СТ-35</w:t>
      </w:r>
      <w:r w:rsidRPr="008A2E5A">
        <w:rPr>
          <w:rFonts w:ascii="Times New Roman" w:hAnsi="Times New Roman"/>
          <w:color w:val="0070C0"/>
          <w:sz w:val="16"/>
          <w:szCs w:val="16"/>
        </w:rPr>
        <w:tab/>
        <w:t>шт.</w:t>
      </w:r>
      <w:r w:rsidRPr="008A2E5A">
        <w:rPr>
          <w:rFonts w:ascii="Times New Roman" w:hAnsi="Times New Roman"/>
          <w:color w:val="0070C0"/>
          <w:sz w:val="16"/>
          <w:szCs w:val="16"/>
        </w:rPr>
        <w:tab/>
        <w:t>400</w:t>
      </w:r>
      <w:r w:rsidRPr="008A2E5A">
        <w:rPr>
          <w:rFonts w:ascii="Times New Roman" w:hAnsi="Times New Roman"/>
          <w:color w:val="0070C0"/>
          <w:sz w:val="16"/>
          <w:szCs w:val="16"/>
        </w:rPr>
        <w:tab/>
        <w:t>450</w:t>
      </w:r>
    </w:p>
    <w:p w14:paraId="0633BD32"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нкпс</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09EDDD44"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Телеграфные аппараты Морзе</w:t>
      </w:r>
      <w:r w:rsidRPr="008A2E5A">
        <w:rPr>
          <w:rFonts w:ascii="Times New Roman" w:hAnsi="Times New Roman"/>
          <w:color w:val="0070C0"/>
          <w:sz w:val="16"/>
          <w:szCs w:val="16"/>
        </w:rPr>
        <w:tab/>
        <w:t>шт.</w:t>
      </w:r>
      <w:r w:rsidRPr="008A2E5A">
        <w:rPr>
          <w:rFonts w:ascii="Times New Roman" w:hAnsi="Times New Roman"/>
          <w:color w:val="0070C0"/>
          <w:sz w:val="16"/>
          <w:szCs w:val="16"/>
        </w:rPr>
        <w:tab/>
        <w:t>200</w:t>
      </w:r>
      <w:r w:rsidRPr="008A2E5A">
        <w:rPr>
          <w:rFonts w:ascii="Times New Roman" w:hAnsi="Times New Roman"/>
          <w:color w:val="0070C0"/>
          <w:sz w:val="16"/>
          <w:szCs w:val="16"/>
        </w:rPr>
        <w:tab/>
        <w:t>250</w:t>
      </w:r>
    </w:p>
    <w:p w14:paraId="054E32BA"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1. Д. 6. Л. 66-67. Подлинник. Приложение — заверенная копия (24086).</w:t>
      </w:r>
    </w:p>
    <w:p w14:paraId="23FCC5D1" w14:textId="77777777" w:rsidR="000339AC" w:rsidRPr="008A2E5A" w:rsidRDefault="000339AC" w:rsidP="000339AC">
      <w:pPr>
        <w:spacing w:after="0" w:line="240" w:lineRule="auto"/>
        <w:jc w:val="both"/>
        <w:rPr>
          <w:rFonts w:ascii="Times New Roman" w:hAnsi="Times New Roman"/>
          <w:color w:val="0070C0"/>
          <w:sz w:val="16"/>
          <w:szCs w:val="16"/>
        </w:rPr>
      </w:pPr>
    </w:p>
    <w:p w14:paraId="5A71AD3F"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56102560" w14:textId="77777777" w:rsidR="00AE7191" w:rsidRPr="001E2C69" w:rsidRDefault="00AE7191" w:rsidP="00722885">
      <w:pPr>
        <w:pStyle w:val="Iauiue"/>
        <w:jc w:val="both"/>
        <w:rPr>
          <w:iCs/>
          <w:color w:val="000000" w:themeColor="text1"/>
          <w:sz w:val="16"/>
          <w:szCs w:val="16"/>
        </w:rPr>
      </w:pPr>
    </w:p>
    <w:p w14:paraId="4476A566"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августа в 1942 году утреннее сообщение Совинформбюро:</w:t>
      </w:r>
    </w:p>
    <w:p w14:paraId="16B40583"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9 августа наша войска вели бои с противником в районах Клетская, северо-восточнее Котельниково, а также в районах Армавир и Кропоткин.</w:t>
      </w:r>
    </w:p>
    <w:p w14:paraId="134422B2"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37F3D1AB"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В районе Клетской наши части отбили несколько атак противника. Немцы потеряли 3 танка и 200 человек убитыми и ранеными. Южнее Клетской гитлеровцы пытались прорвать нашу оборону. Бойцы части, где командиром тов. Трунин, отражая одну атаку за другой, уничтожили до 500 солдат и офицеров противника.</w:t>
      </w:r>
    </w:p>
    <w:p w14:paraId="1FBF6025"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Армавира продолжались ожесточённые бои с танками и мотопехотой противника. На одном из участков немецкие танки были встречены огнём нашей артиллерии и бронебойщиков. Противник потерял в этом бою 12 танков и 3 бронемашины. В районе Кропоткина наше соединение, отбивая атаки противника, уничтожило 9 немецких танков, 29 автомашин, 17 миномётов и до 700 гитлеровцев.</w:t>
      </w:r>
    </w:p>
    <w:p w14:paraId="0BD828D0"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Северо-Западном фронте происходили бои местного значения. Миномётная батарея, где командиром старший лейтенант тов. Куликов, истребила более 100 немецких солдат и офицеров, пытавшихся навести переправу через реку. Группа разведчиков из подразделения, где командиром тов. Беловашев, из засады уничтожила 30 немцев. Разведчики захватили пленных.</w:t>
      </w:r>
    </w:p>
    <w:p w14:paraId="7EA25DF8"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полесских партизан под командованием тов. К. организовал крушение трёх железнодорожных составов с войсками и техникой противника. Партизаны этого же отряда пустили под откос немецкий бронепоезд.</w:t>
      </w:r>
    </w:p>
    <w:p w14:paraId="35FBEBF4"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Второго августа на Ленинградском фронте был убит капитан немецких войск «СС» Гофман. У убитого найден объёмистый дневник. Этот отъявленный бандит позволял себе записывать в дневник то, о чём гитлеровцы вслух не говорят. Гофман пишет: «Германец—извечный враг славянина. Нам необходимо до конца освободиться от всего того, что называют человечностью, гуманизмом. Разговоры о «новом порядке» в Европе— это сказки для доверчивых людей, еще не порвавших окончательно с прошлым. Главное же заключается в том, что Германия должна стать господином Европы, а потом и всего мира».</w:t>
      </w:r>
    </w:p>
    <w:p w14:paraId="1C97C908"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Весной Гофман попал на советско-германский фронт. Ниже публикуются выдержкииз его дневника:</w:t>
      </w:r>
    </w:p>
    <w:p w14:paraId="06080623"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апреля. Сегодня наш батальон впервые участвует в бою. Правда, мы сражались только с партизанами, но бой был не из лёгких. Партизаны чертовски активны в нашем тылу. Полковник Штольце убит. Много раненых.</w:t>
      </w:r>
    </w:p>
    <w:p w14:paraId="7CE0121A"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мая. Русские подкрадываются вплотную к нашим пулемётным позициям и открывают огонь. Надо признать храбрость русских.</w:t>
      </w:r>
    </w:p>
    <w:p w14:paraId="3B2361C9"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июня. Русские противотанковые орудия стреляют удивительно точно. Эти русские — замечательные стрелки. Их бесстрашие достойно удивления.</w:t>
      </w:r>
    </w:p>
    <w:p w14:paraId="576B3D0D"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июня. Бой в болотистом лесу. 84 батальон больше не существует. Мы получаем форму «СС».</w:t>
      </w:r>
    </w:p>
    <w:p w14:paraId="4811FE2E"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июля. Лейтенанту Лютгарду пуля попала в голову. Опять потери. Русские снайперы не дают и шагу сделать. Мы цепляемся за землю. Неужели придётся всё это отдать...»</w:t>
      </w:r>
    </w:p>
    <w:p w14:paraId="7550F81C"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французских автомобильных заводах брак достигает огромных размеров.Французские патриоты всячески саботируют и срывают немецкие заказы. В июле месяце немецкая комиссия, принимая 1.500 грузовиков, установила, что более 1.200 машин имеют серьёзные дефекты и не могут быть отправлены на фронт.»</w:t>
      </w:r>
    </w:p>
    <w:p w14:paraId="3E4B3C5D"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67578EBB"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августа в 1942 году утреннее сообщение Совинформбюро:</w:t>
      </w:r>
    </w:p>
    <w:p w14:paraId="250B78B2"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9 августа наши войска вели ожесточённые бои в районах Клетская, северо-восточнее Котельниково, а также в районах Армавир и Кропоткин.</w:t>
      </w:r>
    </w:p>
    <w:p w14:paraId="4422198F"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6B3B5511"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истекшую неделю, с 2 по 8 августа включительно, в воздушных боях, на аэродромах и огнём зенитной артиллерии уничтожено до 400 немецких самолётов. Наши потери — 205 самолётов.</w:t>
      </w:r>
    </w:p>
    <w:p w14:paraId="5E3B7060"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8 августа частями нашей авиации на различных участках фронта уничтожено или повреждено до 30 немецких танков, 200 автомашин с войсками и грузами, более 60 повозок с боеприпасами, подавлен огонь 8 батарей полевой и зенитной артиллерии, взорвано 2 склада боеприпасов и 2 склада горючего, потоплен сторожевой корабль, рассеяно и частью уничтожено до трёх батальонов пехоты противника.</w:t>
      </w:r>
    </w:p>
    <w:p w14:paraId="2952EED0"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гитлеровцы предприняли атаки против наших частей. Противнику удалось вклиниться в передний край обороны. Наши бойцы перешли в контратаку и ударами с флангов уничтожили 6 танков и 450 солдат и офицеров противника. Упорные бои продолжались в районе южнее Клетской. Наши бойцы самоотверженно отстаивают каждый метр родной земли. Командир пулемётной роты лейтенант Тропин уничтожил два взвода немцев. Группа автоматчиков во главе со старшиной Потаповым сдерживала наступление батальона гитлеровцев. Бойцы не отступили ни на шаг и метким огнём отбили атаку противника. Красноармеец Мифтахов Заким, выполняя один обязанности наводчика, заряжающего и замкового, истребил не менее сотни гитлеровцев.</w:t>
      </w:r>
    </w:p>
    <w:p w14:paraId="6DA07687"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наши войска вели упорные бои с танками и автоматчиками противника, вклинившимися в нашу оборону. Советские танкисты нанесли гитлеровцам несколько контрударов. Уничтожено 12 танков и до 200 немецких автоматчиков.</w:t>
      </w:r>
    </w:p>
    <w:p w14:paraId="3FF0187F"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Армавира наши войска вели тяжёлые оборонительные бои с немецко-фашистскими войсками. Части Н-ского соединения, отбивая атаки гитлеровцев, уничтожили 7 немецких танков, более 300 солдат и офицеров противника. На другом участке наши бойцы вели ожесточённые бои с прорвавшимися танками и мотопехотой противника. В районе Кропоткина гитлеровцы ввели в бой танковые и пехотные резервы и потеснили наши части.</w:t>
      </w:r>
    </w:p>
    <w:p w14:paraId="78E898EC"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Ленинградском фронте происходили артиллерийская перестрелка и поиски разведывательных групп. Активными действиями наших разведчиков истреблено до 200 гитлеровцев, уничтожено 3 противотанковых орудия, несколько пулемётов и автомашин с боеприпасами. В бою на одном из участков уничтожено 50 солдат так называемого «Добровольческого голландского легиона».</w:t>
      </w:r>
    </w:p>
    <w:p w14:paraId="0E3F9F4E"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«Красный онежец», действующий в тылу белофинских войск, за последнее время уничтожил 80 солдат и офицеров неприятеля. Кроме того, партизаны сожгли 2 воинских склада, уничтожили несколько автомашин, 2 трактора и во многих местах нарушили телефонно-телеграфную связь.</w:t>
      </w:r>
    </w:p>
    <w:p w14:paraId="39CF39B2"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Получены сообщения о кровавых злодеяниях, совершённых немецко-фашистскими мерзавцами в городе Минске. В ночь на 5 мая гитлеровцы организовали на улицах города массовую резню мирных жителей. На Советской и Ленинской улицах, на площади Свободы и у вокзала были повешены 50 мирных жителей. Немцы учинили чудовищную расправу над заключёнными в минском лагере военнопленными и советскими гражданами, в большинстве своём женщинами. Фашистские бандиты расстреляли в этом лагере несколько тысяч советских граждан.» (14978).</w:t>
      </w:r>
    </w:p>
    <w:p w14:paraId="5DE52AA5"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3BA1D2A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 августа 1942 г. первыми успеха в торпедометании с самолетов добились морские летчики Заполярья. Экипажи пары Ил-4 из 2-го смешанного Гв.КАП после возвращения из крейсерского полета к берегам противника доложили о потоплении неприятельского транспорта водоизмещением в 6000 т. Атака была произведена в точке с координатами 70°58'сш. 26°30'вд. По документам противника, противолодочный отряд в составе трех сторожевых кораблей вечером этого дня в р-не Сверхольдта был внезапно атакован со стороны берега на небольшой высоте двумя самолетами-торпедоносцами, которые были определены как "Бристоль" (?). Сторожевик У6113 "Гот" в 17.16 получил попадание торпеды в центральную часть и потерял ход. Вторая торпеда прошла мимо. Другому сторожевику из этого отряда -У5905 - удалось отбуксировать аварийный корабль с затопленным машинным отделением в порт Хоннингс-вааг, но в строй его так и не ввели (2570,39).</w:t>
      </w:r>
    </w:p>
    <w:p w14:paraId="4A1A70C2" w14:textId="77777777" w:rsidR="00AE7191" w:rsidRPr="001E2C69" w:rsidRDefault="00AE7191" w:rsidP="00722885">
      <w:pPr>
        <w:pStyle w:val="Iauiue"/>
        <w:jc w:val="both"/>
        <w:rPr>
          <w:color w:val="000000" w:themeColor="text1"/>
          <w:sz w:val="16"/>
          <w:szCs w:val="16"/>
        </w:rPr>
      </w:pPr>
    </w:p>
    <w:p w14:paraId="7364AF7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 августа 1942 л ВВС ЧМФ мл.л. М.Борисов в бою под Новороссийском был подбит и направил горящую машину на Не-111 и сбил, потом при падении - ударил по другому, сбил, но погиб (438,854).</w:t>
      </w:r>
    </w:p>
    <w:p w14:paraId="78AD7FFD" w14:textId="77777777" w:rsidR="00AE7191" w:rsidRPr="001E2C69" w:rsidRDefault="00AE7191" w:rsidP="00722885">
      <w:pPr>
        <w:pStyle w:val="Iauiue"/>
        <w:jc w:val="both"/>
        <w:rPr>
          <w:color w:val="000000" w:themeColor="text1"/>
          <w:sz w:val="16"/>
          <w:szCs w:val="16"/>
        </w:rPr>
      </w:pPr>
    </w:p>
    <w:p w14:paraId="3313F9A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 августа 1942 г. над озером Ильмень старший лейтенант Аркадий Суков на ЛаГГ-3 из 41-го ИАП сбил Bf 109 обер-лейтенанта Макса -Хельмута Остерманна (102 победы), Остерманн погиб (4707).</w:t>
      </w:r>
    </w:p>
    <w:p w14:paraId="205C84E9" w14:textId="77777777" w:rsidR="00AE7191" w:rsidRPr="001E2C69" w:rsidRDefault="00AE7191" w:rsidP="00722885">
      <w:pPr>
        <w:pStyle w:val="Iauiue"/>
        <w:jc w:val="both"/>
        <w:rPr>
          <w:color w:val="000000" w:themeColor="text1"/>
          <w:sz w:val="16"/>
          <w:szCs w:val="16"/>
        </w:rPr>
      </w:pPr>
    </w:p>
    <w:p w14:paraId="186395F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27 августа и 20 сентября 1942 состоялись вылеты 1-го ГМТАП на свободную охоту. Видимый успех был достигнут только 27 августа, когда пара Ил-4 в сопровождении 10 «Харрикейнов» атаковала «три транспорта» в Нарвском заливе и наблюдала потопление одного (реально не подтверждается). Регулярными полеты на «свободную охоту» стали только с 8 октября уже при новом командире полка Герое Советского Союза майоре Н.В.Челнокове (сменил Е.Н.Преображенского 9 августа). Почти каждый день на поиск вылетала пара торпедоносцев, зачастую возвращавшаяся из-за плохой погоды или неисправностей материальной части (9965).</w:t>
      </w:r>
    </w:p>
    <w:p w14:paraId="3F7C1A57"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70B42A4"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августа в 1942 году Ставка ВГК подчинила командующему Юго-Восточным фронтом Сталинградский фронт. Войска 62-й армии оставили район большой излучины Дона и переправились на восточный берег реки (отдельные части и подразделения продолжали борьбу в тылу противника). Войска Юго-Восточного фронта нанесли контрудар в районе Абганерово и вынудили 4-ю танковую армию противника перейти к обороне (14978).</w:t>
      </w:r>
    </w:p>
    <w:p w14:paraId="2608488C"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26D3FAD4"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lang w:val="en-US"/>
        </w:rPr>
        <w:t>August 9, 1942: Units of German 1.Panzerarmee (von Kleist) capture Maikop (3819).</w:t>
      </w:r>
    </w:p>
    <w:p w14:paraId="2D4A53EF" w14:textId="77777777" w:rsidR="00AE7191" w:rsidRPr="001E2C69" w:rsidRDefault="00AE7191" w:rsidP="00722885">
      <w:pPr>
        <w:pStyle w:val="Iauiue"/>
        <w:jc w:val="both"/>
        <w:rPr>
          <w:color w:val="000000" w:themeColor="text1"/>
          <w:sz w:val="16"/>
          <w:szCs w:val="16"/>
          <w:lang w:val="en-US"/>
        </w:rPr>
      </w:pPr>
    </w:p>
    <w:p w14:paraId="1782C52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 августа 1942 части 1ТГ (фон Клейст) захватили Майкоп (3819).</w:t>
      </w:r>
    </w:p>
    <w:p w14:paraId="0ED22E08" w14:textId="77777777" w:rsidR="00AE7191" w:rsidRPr="001E2C69" w:rsidRDefault="00AE7191" w:rsidP="00722885">
      <w:pPr>
        <w:pStyle w:val="Iauiue"/>
        <w:jc w:val="both"/>
        <w:rPr>
          <w:color w:val="000000" w:themeColor="text1"/>
          <w:sz w:val="16"/>
          <w:szCs w:val="16"/>
        </w:rPr>
      </w:pPr>
    </w:p>
    <w:p w14:paraId="303C999C"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lang w:val="en-US"/>
        </w:rPr>
        <w:t>August 9 1942 Germans penetrate northern foothills of the Caucasus (1037).</w:t>
      </w:r>
    </w:p>
    <w:p w14:paraId="1FDDD210" w14:textId="77777777" w:rsidR="00AE7191" w:rsidRPr="001E2C69" w:rsidRDefault="00AE7191" w:rsidP="00722885">
      <w:pPr>
        <w:pStyle w:val="Iauiue"/>
        <w:jc w:val="both"/>
        <w:rPr>
          <w:color w:val="000000" w:themeColor="text1"/>
          <w:sz w:val="16"/>
          <w:szCs w:val="16"/>
          <w:lang w:val="en-US"/>
        </w:rPr>
      </w:pPr>
    </w:p>
    <w:p w14:paraId="1BD061D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 августа 1942 немцы подошли к подножью Кавказа (1037).</w:t>
      </w:r>
    </w:p>
    <w:p w14:paraId="24474204" w14:textId="77777777" w:rsidR="00AE7191" w:rsidRPr="001E2C69" w:rsidRDefault="00AE7191" w:rsidP="00722885">
      <w:pPr>
        <w:pStyle w:val="Iauiue"/>
        <w:jc w:val="both"/>
        <w:rPr>
          <w:color w:val="000000" w:themeColor="text1"/>
          <w:sz w:val="16"/>
          <w:szCs w:val="16"/>
        </w:rPr>
      </w:pPr>
    </w:p>
    <w:p w14:paraId="5CBC480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 августа 1942 немцы достигли нефтепромыслов в Майкопе (1037) и захватили Краснодар и Майкоп (2261).</w:t>
      </w:r>
    </w:p>
    <w:p w14:paraId="3E250831" w14:textId="77777777" w:rsidR="00AE7191" w:rsidRPr="001E2C69" w:rsidRDefault="00AE7191" w:rsidP="00722885">
      <w:pPr>
        <w:pStyle w:val="Iauiue"/>
        <w:jc w:val="both"/>
        <w:rPr>
          <w:color w:val="000000" w:themeColor="text1"/>
          <w:sz w:val="16"/>
          <w:szCs w:val="16"/>
        </w:rPr>
      </w:pPr>
    </w:p>
    <w:p w14:paraId="2DB8281A"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lastRenderedPageBreak/>
        <w:t>9 августа 1942 немцами взяты Краснодар и Майкоп (4962).</w:t>
      </w:r>
    </w:p>
    <w:p w14:paraId="0CE7414B" w14:textId="77777777" w:rsidR="00AE7191" w:rsidRPr="001E2C69" w:rsidRDefault="00AE7191" w:rsidP="00722885">
      <w:pPr>
        <w:pStyle w:val="Iauiue"/>
        <w:tabs>
          <w:tab w:val="left" w:pos="11199"/>
        </w:tabs>
        <w:jc w:val="both"/>
        <w:rPr>
          <w:color w:val="000000" w:themeColor="text1"/>
          <w:sz w:val="16"/>
          <w:szCs w:val="16"/>
        </w:rPr>
      </w:pPr>
    </w:p>
    <w:p w14:paraId="1EC0978A"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августа в 1942 году немцы захватывают Краснодар, Майкоп, Ейск и Пятигорск (14978).</w:t>
      </w:r>
    </w:p>
    <w:p w14:paraId="5D8252F0"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6BB497C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августа 1942 был совершен беспокоящий налет на Астрахань. В это же время немецкие самолеты-разведчики впервые появились над западными районами Казахстана и в районе Аральского моря. Проводились аэрофотосъемка железной дороги Саратов – Уральск – Актюбинск – Кзыл-Орда, а также заброска диверсантов в среднеазиатские районы СССР. Однако центр тяжести действий бомбардировочной авиации все больше смещался к Сталинграду. К августу в составе Сталинградского корпусного района ПВО под командованием полковника Е. А. Райнина насчитывались 566 зенитных орудий, 470 зенитных пулеметов, 81 аэростат заграждения. 102-я ИАД ПВО полковника Красноюрченко располагала 60 истребителями. Ни один другой город Поволжья не мог и мечтать о таком количестве оружия. Кроме того, вокруг Сталинграда располагались пять радиолокационных станций, обеспечивавших сплошное поле наблюдения. Зенитная оборона делилась на семь секторов, каждый из которых прикрывался одним полком. В то же время условия противовоздушной обороны значительно ухудшились. Глубина системы ВНОС на подступах к городу сократилась с 250 до 50 км. Чтобы увеличить возможности системы наблюдения за небом, посты наблюдателей были размещены на крышах наиболее высоких зданий и на господствующих высотах. Кроме того, в городе действовали около 500 групп самозащиты, в подвалах каменных зданий были оборудованы более 300 бомбоубежищ, а также сотни щелей. В них в общей сложности могли укрыться 180 тыс. человек, однако это удовлетворяло потребности только наполовину. Траншеи были вырыты повсюду: во дворах, в парках и скверах, у трамвайных остановок, на рынках, между заводских цехов. В распоряжении начальника МПВО Сталинграда Пигалева находились 30 военизированных пожарных команд общим числом в две тысячи бойцов. Из техники имелись несколько десятков автонасосов ЗиС, два пожарных поезда и два парохода. Тем временем командующий 4-м воздушным флотом Вольфрам фон Рихтхофен все более усиливал 8-й авиакорпус, нацеленный на Сталинград. В начале месяца на аэродром Россошь перебазировались штаб и I./KG27. Затем 9—10 августа на недавно освоенный аэродром Тацинская в полном составе перелетела 76-я бомбардировочная эскадра под командованием оберста Эрнста Борманна.  Остальные эскадры пока продолжали действовать с дальних баз в Донбассе. Аэродромы истребителей Люфтваффе также все ближе придвигались к Волге. С этого дня налеты на Сталинград и прилегающие объекты стали практически непрерывными и усиливались с каждым днем.</w:t>
      </w:r>
    </w:p>
    <w:p w14:paraId="0A3092C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Утром 9 августа группа из двенадцати Не-111 совершила налет на поселок Красноармейск, сбросив бомбы на пристани и железнодорожную станцию Сарепта. Цель для атаки была выбрана на редкость удачно, т.к. на путях в тот момент находились около 500 вагонов со снарядами, два эшелона с танками и 280 вагонов с орудиями! Несколько составов мгновенно взлетели на воздух, одновременно с этим в затоне взорвались баржи с боеприпасами. Сила взрыва была такой, что грохот докатился до тракторного завода, находившегося в 30 км от эпицентра. Затем люди со сталинградских улиц увидели, как над Красноармейском взметнулся огромнейший столб дыма, огня и пыли. Все поняли, что в поселке произошло нечто ужасное… И действительно, пожары, вызванные бомбежками и взрывами, быстро достигли огромных масштабов. Пламя перекинулось на жилые дома и хозяйственные постройки, во все стороны разлетались и взрывались артиллерийские снаряды и ракеты для «Катюш». Перепуганные и контуженные жители метались из стороны в сторону, пытаясь спастись от огня и осколков. Первый секретарь обкома Чуянов в это время находился в управлении НКВД у Воронина. Услышав взрывы, он сразу позвонил в Кировский райком партии. Узнав страшные подробности катастрофы, Чуянов немедленно отдал приказ направить в Красноармейск городские пожарные автонасосы и суда. Через полчаса, рассекая форштевнем нефтяные пятна, к месту, напоминавшему ад, уже подходили пароходы «Самара» и «Гаситель». Капитан последнего П. В. Воробьев позднее вспоминал:  «Когда мы пришли в затон, кругом все пылало, и сильные взрывы чуть было не сбросили меня с капитанского мостика. На „Гасителе“ полопались все стекла. Часы и барометр сорвало. Мы подошли к берегу, протянули три линии рукавов, начали тушить баржи и вагоны с боеприпасами. Взрывавшиеся снаряды летели через нас».  Пока прибывшие пожарные команды пытались бороться с огнем, уцелевшие машинисты, сцепщики, составители и стрелочники спасали сохранившиеся грузы и сумели вывезти из зоны поражения 13 паровозов с вагонами. Пламя полыхало весь день и вечер и лишь поздней ночью очаги огня удалось локализовать. Последствия налета оказались поистине ужасающими. Были разбиты все причалы и дебаркадеры, сгорели сотни вагонов и различная техника. В результате Сталинградский фронт в критический момент лишился большей части запаса артбоекомплектов. Поселок выгорел на 80%, при этом погибли и получили ранения сотни жителей. Станция Сарепта была практически стерта с лица земли (11774).</w:t>
      </w:r>
    </w:p>
    <w:p w14:paraId="047BA726"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6C821E4"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Жизнь и внутренняя политика:</w:t>
      </w:r>
    </w:p>
    <w:p w14:paraId="16C8ED70" w14:textId="77777777" w:rsidR="00AE7191" w:rsidRPr="001E2C69" w:rsidRDefault="00AE7191" w:rsidP="00722885">
      <w:pPr>
        <w:pStyle w:val="Iauiue"/>
        <w:jc w:val="both"/>
        <w:rPr>
          <w:iCs/>
          <w:color w:val="000000" w:themeColor="text1"/>
          <w:sz w:val="16"/>
          <w:szCs w:val="16"/>
        </w:rPr>
      </w:pPr>
    </w:p>
    <w:p w14:paraId="3549B1B6" w14:textId="77777777" w:rsidR="00151541" w:rsidRPr="001E2C69" w:rsidRDefault="001515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августа 1942. Из справки Управления коменданта г. Москвы: "С 20 октября прошлого рода по 1 июля с. г. задержано 830 060 человек. На месте расстреляно за антисоветскую агитацию 13 человек. Так, например, комендантом военной прокуратуры Пролетарского района был расстрелян Власов Е. В. за распространение контрреволюционных слухов на Крестьянской заставе. В Бауманском районе на площади Разгуляй красноармейцем Малаховым за антисоветскую агитацию был расстрелян на месте неизвестный. Шпионов и диверсантов разоблачено 84. За распространение контрреволюционных слухов задержано 906 [человек]. За грабежи, убийства и расхищение социалистической собственности задержано 13 022 человека. Дезертиров разоблачено - 10 610 человек. Выявлено уклоняющихся от несения воинской службы - 24 651. Привлечено к административной ответственности 233 279 человек. Отобраны подписки о выезде из Москвы у 123 025 человек. Направлены в маршевые роты через московский военно-пересылочный пункт 125 579 человек. Приговорены к высшей меРе наказания - расстрелу - 887. Осуждены к тюремному заключению на разные сро-Ки Военными трибуналами - 44 168... Нарушение режима осадного положения выразилось.главным образом, в хождении граждан и военнослужащих по улицам города после 24.00. Таких нарушителей было задержано 116 520 человек" (18696).</w:t>
      </w:r>
    </w:p>
    <w:p w14:paraId="67336CA8" w14:textId="77777777" w:rsidR="00151541" w:rsidRPr="001E2C69" w:rsidRDefault="00151541" w:rsidP="00722885">
      <w:pPr>
        <w:spacing w:after="0" w:line="240" w:lineRule="auto"/>
        <w:jc w:val="both"/>
        <w:rPr>
          <w:rFonts w:ascii="Times New Roman" w:hAnsi="Times New Roman"/>
          <w:color w:val="000000" w:themeColor="text1"/>
          <w:sz w:val="16"/>
          <w:szCs w:val="16"/>
        </w:rPr>
      </w:pPr>
    </w:p>
    <w:p w14:paraId="3ADC4532"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9 августа в 1942 году в оккупированном гитлеровцами Киеве состоялся знаменитый футбольный </w:t>
      </w:r>
      <w:hyperlink r:id="rId186" w:tgtFrame="_blank" w:history="1">
        <w:r w:rsidRPr="001E2C69">
          <w:rPr>
            <w:rFonts w:ascii="Times New Roman" w:hAnsi="Times New Roman"/>
            <w:color w:val="000000" w:themeColor="text1"/>
            <w:sz w:val="16"/>
            <w:szCs w:val="16"/>
          </w:rPr>
          <w:t xml:space="preserve">«матч смерти». </w:t>
        </w:r>
      </w:hyperlink>
      <w:r w:rsidRPr="001E2C69">
        <w:rPr>
          <w:rFonts w:ascii="Times New Roman" w:hAnsi="Times New Roman"/>
          <w:color w:val="000000" w:themeColor="text1"/>
          <w:sz w:val="16"/>
          <w:szCs w:val="16"/>
        </w:rPr>
        <w:t>О нем еще в 1943 г. писал Лев Кассиль, и с его легкой руки киевские динамовцы, победившие немецкую команду «Флакелф» и позже расстрелянные за это, казалось, навсегда вошли в историю как яркий пример стойкости и самоотверженности. Об этом «матче смерти» был снят фильм, написано несколько книг. Но после перестройки вдруг оказалось, что героев в нашей стране практически нет. Спустя 60 лет из «Комсомолки» страна узнала, что футбол к гибели спортсменов в Киеве не имел никакого отношения (14978).</w:t>
      </w:r>
    </w:p>
    <w:p w14:paraId="2F5752AD"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440B8393"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августа в 1942 году знаменитое исполнение Седьмой («Ленинградской») симфонии Дмитрия Шостаковича в осажденном Ленинграде. За дирижерским пультом в Большом зале филармонии стоял главный дирижер оркестра Ленинградского радио Карл Ильич Элиасберг. Он был болен дистрофией, и любое движение отнимало частицу его жизни. Музыкантов вызывали с фронта, чтобы сформировать оркестр. Все уличные репродукторы были включены. Ленинград слушал симфонию, созданную композитором в родном городе. Во время исполнения симфонии на город не упал ни один вражеский снаряд, ни одна фашистская бомба. По приказу командующего Ленинградским фронтом маршала Говорова все вражеские точки были заблаговременно подавлены. Пушки молчали, пока звучала музыка Шостаковича (14978).</w:t>
      </w:r>
    </w:p>
    <w:p w14:paraId="08C3783F"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4DE8B432" w14:textId="77777777" w:rsidR="00B779AB" w:rsidRPr="001E2C69" w:rsidRDefault="00267F26" w:rsidP="00722885">
      <w:pPr>
        <w:pStyle w:val="Iauiue"/>
        <w:jc w:val="both"/>
        <w:rPr>
          <w:iCs/>
          <w:color w:val="000000" w:themeColor="text1"/>
          <w:sz w:val="16"/>
          <w:szCs w:val="16"/>
        </w:rPr>
      </w:pPr>
      <w:r w:rsidRPr="001E2C69">
        <w:rPr>
          <w:i/>
          <w:iCs/>
          <w:color w:val="000000" w:themeColor="text1"/>
          <w:sz w:val="16"/>
          <w:szCs w:val="16"/>
        </w:rPr>
        <w:t>Внешняя политика:</w:t>
      </w:r>
    </w:p>
    <w:p w14:paraId="7355BB8D" w14:textId="77777777" w:rsidR="00B779AB" w:rsidRPr="001E2C69" w:rsidRDefault="00B779AB" w:rsidP="00722885">
      <w:pPr>
        <w:pStyle w:val="Iauiue"/>
        <w:jc w:val="both"/>
        <w:rPr>
          <w:iCs/>
          <w:color w:val="000000" w:themeColor="text1"/>
          <w:sz w:val="16"/>
          <w:szCs w:val="16"/>
        </w:rPr>
      </w:pPr>
    </w:p>
    <w:p w14:paraId="3B0904D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 августа 1942 года</w:t>
      </w:r>
    </w:p>
    <w:p w14:paraId="640A6B5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Ф. РУЗВЕЛЬТ И. В. СТАЛИНУ *</w:t>
      </w:r>
    </w:p>
    <w:p w14:paraId="7EC3CE6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Был бы весьма признателен за Ваше искреннее мнение по поводу следующего плана, который, как мне кажется, может быть полезным.</w:t>
      </w:r>
    </w:p>
    <w:p w14:paraId="38D2264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Главным образом с целью объяснения Правительствам Ирана, Ирака, Турции, Сирии, Саудовской Аравии и Египта опасности, которой они подвергнутся в случае победы Германии, а также того, что их величайшие надежды на будущее заключаются в сокрушении нацистского господства над районами Ближнего и Среднего Востока, я командирую г-на Уэнделла Уилки для посещения правительств этих стран.</w:t>
      </w:r>
    </w:p>
    <w:p w14:paraId="71142C9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совершенно другой целью г-н Уилки очень хотел бы посетить Советский Союз. Помимо того, что он сам увидит бессмертное единодушие в отражении захватчика и великие жертвы, которые Вы все приносите, он хочет побольше узнать об удивительном прогрессе, достигнутом русским народом.</w:t>
      </w:r>
    </w:p>
    <w:p w14:paraId="2DFE934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Как Вам известно, г-н Уилки был моим соперником на выборах 1940 года и в настоящее время он возглавляет партию меньшинства. Он полностью согласен с линией внешней политики моего Правительства, заключающейся в сопротивлении нацизму и в действительной дружбе с Вашим Правительством, и оказывает мне большую помощь в работе, связанной с войной. В интересах настоящего и будущего я лично полагаю, что визит г-на Уилки в Советский Союз был бы хорошим делом. Г-н Уилки отправился бы в Советский Союз самолетом в первой половине сентября.</w:t>
      </w:r>
    </w:p>
    <w:p w14:paraId="1A6544D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Я был бы благодарен, если бы Вы конфиденциально и искренне сообщили бы мне, будете ли Вы приветствовать его очень краткий визит (7430).</w:t>
      </w:r>
    </w:p>
    <w:p w14:paraId="3A0EC678" w14:textId="77777777" w:rsidR="00AE7191" w:rsidRPr="001E2C69" w:rsidRDefault="00AE7191" w:rsidP="00722885">
      <w:pPr>
        <w:pStyle w:val="Iauiue"/>
        <w:jc w:val="both"/>
        <w:rPr>
          <w:color w:val="000000" w:themeColor="text1"/>
          <w:sz w:val="16"/>
          <w:szCs w:val="16"/>
        </w:rPr>
      </w:pPr>
    </w:p>
    <w:p w14:paraId="63E0C5AE"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410C871E" w14:textId="77777777" w:rsidR="00AE7191" w:rsidRPr="001E2C69" w:rsidRDefault="00AE7191" w:rsidP="00722885">
      <w:pPr>
        <w:pStyle w:val="Iauiue"/>
        <w:jc w:val="both"/>
        <w:rPr>
          <w:iCs/>
          <w:color w:val="000000" w:themeColor="text1"/>
          <w:sz w:val="16"/>
          <w:szCs w:val="16"/>
        </w:rPr>
      </w:pPr>
    </w:p>
    <w:p w14:paraId="18A85AC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 августа 1942 японские крейсера уничтожили 4 крейсера союзников у острова Салва (1037).</w:t>
      </w:r>
    </w:p>
    <w:p w14:paraId="0DAE2ADB" w14:textId="77777777" w:rsidR="00AE7191" w:rsidRPr="001E2C69" w:rsidRDefault="00AE7191" w:rsidP="00722885">
      <w:pPr>
        <w:pStyle w:val="Iauiue"/>
        <w:jc w:val="both"/>
        <w:rPr>
          <w:color w:val="000000" w:themeColor="text1"/>
          <w:sz w:val="16"/>
          <w:szCs w:val="16"/>
        </w:rPr>
      </w:pPr>
    </w:p>
    <w:p w14:paraId="6DAEC263"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августа в 1942 году английские власти отказались предоставить Индии независимость и произвели аресты руководителей Индийского национального конгресса (14978).</w:t>
      </w:r>
    </w:p>
    <w:p w14:paraId="64643DF5"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74A9D2B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9 августа 1942 Ганди и его последователи по комитету </w:t>
      </w:r>
      <w:r w:rsidR="00B779AB" w:rsidRPr="001E2C69">
        <w:rPr>
          <w:color w:val="000000" w:themeColor="text1"/>
          <w:sz w:val="16"/>
          <w:szCs w:val="16"/>
        </w:rPr>
        <w:t>«</w:t>
      </w:r>
      <w:r w:rsidRPr="001E2C69">
        <w:rPr>
          <w:color w:val="000000" w:themeColor="text1"/>
          <w:sz w:val="16"/>
          <w:szCs w:val="16"/>
        </w:rPr>
        <w:t>Покиньте Индию</w:t>
      </w:r>
      <w:r w:rsidR="00B779AB" w:rsidRPr="001E2C69">
        <w:rPr>
          <w:color w:val="000000" w:themeColor="text1"/>
          <w:sz w:val="16"/>
          <w:szCs w:val="16"/>
        </w:rPr>
        <w:t>»</w:t>
      </w:r>
      <w:r w:rsidRPr="001E2C69">
        <w:rPr>
          <w:color w:val="000000" w:themeColor="text1"/>
          <w:sz w:val="16"/>
          <w:szCs w:val="16"/>
        </w:rPr>
        <w:t xml:space="preserve"> были посажены в тюрьму (2245,8).</w:t>
      </w:r>
    </w:p>
    <w:p w14:paraId="3205BA35" w14:textId="77777777" w:rsidR="00AE7191" w:rsidRPr="001E2C69" w:rsidRDefault="00AE7191" w:rsidP="00722885">
      <w:pPr>
        <w:pStyle w:val="Iauiue"/>
        <w:jc w:val="both"/>
        <w:rPr>
          <w:color w:val="000000" w:themeColor="text1"/>
          <w:sz w:val="16"/>
          <w:szCs w:val="16"/>
        </w:rPr>
      </w:pPr>
    </w:p>
    <w:p w14:paraId="20C54352"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9 августа 1942 англичанами арестован лидер индусов Махатма Ганди (выпущен лишь в 1944 г.) (4962).</w:t>
      </w:r>
    </w:p>
    <w:p w14:paraId="4AB45FE1" w14:textId="77777777" w:rsidR="00AE7191" w:rsidRPr="001E2C69" w:rsidRDefault="00AE7191" w:rsidP="00722885">
      <w:pPr>
        <w:pStyle w:val="Iauiue"/>
        <w:tabs>
          <w:tab w:val="left" w:pos="11199"/>
        </w:tabs>
        <w:jc w:val="both"/>
        <w:rPr>
          <w:color w:val="000000" w:themeColor="text1"/>
          <w:sz w:val="16"/>
          <w:szCs w:val="16"/>
        </w:rPr>
      </w:pPr>
    </w:p>
    <w:p w14:paraId="04CF1255"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16FF0752" w14:textId="77777777" w:rsidR="00AE7191" w:rsidRPr="001E2C69" w:rsidRDefault="00AE7191" w:rsidP="00722885">
      <w:pPr>
        <w:pStyle w:val="Iauiue"/>
        <w:jc w:val="both"/>
        <w:rPr>
          <w:iCs/>
          <w:color w:val="000000" w:themeColor="text1"/>
          <w:sz w:val="16"/>
          <w:szCs w:val="16"/>
        </w:rPr>
      </w:pPr>
    </w:p>
    <w:p w14:paraId="50C8905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1942 ЦАГИ провел исследования причин снижения скорости и других летных качеств Ил-2 (182,241). Судя по фото Ил-2 одноместного в натурной трубе это было 10 августа 1942. На машине заделали все отверстия (включая оба воздухозаборника и входные и выходные жабры и отверстия для патрубков), а щели - замазали. На кабине не было брони сверху, но над баком, похоже, была. был антенный ввод, но не было стойки.</w:t>
      </w:r>
    </w:p>
    <w:p w14:paraId="3956DC6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 13 и 17 августа 1942 состоялось заседание комиссии для рассмотрения бронирования серийных самолетов, созданной согласно приказу НКАП и ВВС N 559а/с/032 от 24 июля 1942 (1587,12).</w:t>
      </w:r>
    </w:p>
    <w:p w14:paraId="54526A75" w14:textId="77777777" w:rsidR="00AE7191" w:rsidRPr="001E2C69" w:rsidRDefault="00AE7191" w:rsidP="00722885">
      <w:pPr>
        <w:pStyle w:val="Iauiue"/>
        <w:jc w:val="both"/>
        <w:rPr>
          <w:color w:val="000000" w:themeColor="text1"/>
          <w:sz w:val="16"/>
          <w:szCs w:val="16"/>
        </w:rPr>
      </w:pPr>
    </w:p>
    <w:p w14:paraId="78CADAD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 августа 1942 Су-2 с установленным на нем М-82НВ, который удовлетворительно прошел 100 часовые официальные испытания на станке 28 июня 1942, совершил 2 полета до высоты 5400 м. Отметили рост скорости по сравнению с М-82 (1684,192).</w:t>
      </w:r>
    </w:p>
    <w:p w14:paraId="1939C611" w14:textId="77777777" w:rsidR="00AE7191" w:rsidRPr="001E2C69" w:rsidRDefault="00AE7191" w:rsidP="00722885">
      <w:pPr>
        <w:pStyle w:val="Iauiue"/>
        <w:jc w:val="both"/>
        <w:rPr>
          <w:color w:val="000000" w:themeColor="text1"/>
          <w:sz w:val="16"/>
          <w:szCs w:val="16"/>
        </w:rPr>
      </w:pPr>
    </w:p>
    <w:p w14:paraId="587045E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 августа 1942 года Яковлев писал письмо Шахурину.</w:t>
      </w:r>
    </w:p>
    <w:p w14:paraId="6637877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Как Вам известно в этом году проведен ряд работ по улучшению самолетов Як-1 и Як-7:</w:t>
      </w:r>
    </w:p>
    <w:p w14:paraId="7B53B49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Повышение скорости обоих истребителей на 25 км в час у земли за счет форсирования мотора 105П.</w:t>
      </w:r>
    </w:p>
    <w:p w14:paraId="5543198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Замена пулеметов ШКАС на пулеметы БС у самолета Як-7.</w:t>
      </w:r>
    </w:p>
    <w:p w14:paraId="0A38589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Обеспечение кругового обзора обоих самолетов.</w:t>
      </w:r>
    </w:p>
    <w:p w14:paraId="2EAB8A4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Увеличение дальности полета самолета Як-7 почти вдвое.</w:t>
      </w:r>
    </w:p>
    <w:p w14:paraId="05E55F9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Установка пушки 37 мм на самолете Як-7.</w:t>
      </w:r>
    </w:p>
    <w:p w14:paraId="4B91503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Все перечисленные улучшения получили положительную оценку ВВС, утверждены правительством и, в настоящий момент, первые два уже осуществлены в серии, а остальные внедряются.</w:t>
      </w:r>
    </w:p>
    <w:p w14:paraId="20BE38F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Кроме того в Чкалове заканчиваются постройкой первые три экземпляра двухмоторного, маломощного, бомбардировочно-учебного самолета Як-6.</w:t>
      </w:r>
    </w:p>
    <w:p w14:paraId="3C9B914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Для ускорения внедряющихся в Новосибирске на заводе 153 улучшений самолета Як-7, дальнейшего повышения его боеспособности и для руководства испытаниями Як-6, прошу Вашего разрешения вылететь в г.г. Чкалов и Новосибирск.</w:t>
      </w:r>
    </w:p>
    <w:p w14:paraId="37202F5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Постараюсь использовать свое пребывание в Новосибирске помимо решения чисто конструкторских задач, также и для увеличения выпуска самолетов Як-7 на заводе N 153 (2761,177).</w:t>
      </w:r>
    </w:p>
    <w:p w14:paraId="68C44C48" w14:textId="77777777" w:rsidR="00AE7191" w:rsidRPr="001E2C69" w:rsidRDefault="00AE7191" w:rsidP="00722885">
      <w:pPr>
        <w:pStyle w:val="Iauiue"/>
        <w:jc w:val="both"/>
        <w:rPr>
          <w:color w:val="000000" w:themeColor="text1"/>
          <w:sz w:val="16"/>
          <w:szCs w:val="16"/>
        </w:rPr>
      </w:pPr>
    </w:p>
    <w:p w14:paraId="4DAF4AC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10 августа 1942 г. на возобновившихся заводских испытаниях И-185 «эталона для серии» удалось достичь высоких по тому времени характеристик: максимальной ско</w:t>
      </w:r>
      <w:r w:rsidRPr="001E2C69">
        <w:rPr>
          <w:rFonts w:ascii="Times New Roman" w:hAnsi="Times New Roman"/>
          <w:color w:val="000000" w:themeColor="text1"/>
          <w:sz w:val="16"/>
          <w:szCs w:val="16"/>
        </w:rPr>
        <w:softHyphen/>
        <w:t>рости у земли 537 км/ч и 577 км/ч на форсаже, на высоте 6100 м - 667 км/ч. Высоту 5000 м истребитель набирал за 4,7 мин, время виража на высоте 1000 м составляло 21-22 с. Полетный вес достигал 3650 кг. В перегрузку под крылом самолет мог нести две бомбы весом по 250 кг. Такая бомбовая нагрузка была вполне сопоставима с на</w:t>
      </w:r>
      <w:r w:rsidRPr="001E2C69">
        <w:rPr>
          <w:rFonts w:ascii="Times New Roman" w:hAnsi="Times New Roman"/>
          <w:color w:val="000000" w:themeColor="text1"/>
          <w:sz w:val="16"/>
          <w:szCs w:val="16"/>
        </w:rPr>
        <w:softHyphen/>
        <w:t>грузкой некоторых наших бомбардировщиков, напри</w:t>
      </w:r>
      <w:r w:rsidRPr="001E2C69">
        <w:rPr>
          <w:rFonts w:ascii="Times New Roman" w:hAnsi="Times New Roman"/>
          <w:color w:val="000000" w:themeColor="text1"/>
          <w:sz w:val="16"/>
          <w:szCs w:val="16"/>
        </w:rPr>
        <w:softHyphen/>
        <w:t>мер Пе-2, и значительно превышала нагрузку отечест</w:t>
      </w:r>
      <w:r w:rsidRPr="001E2C69">
        <w:rPr>
          <w:rFonts w:ascii="Times New Roman" w:hAnsi="Times New Roman"/>
          <w:color w:val="000000" w:themeColor="text1"/>
          <w:sz w:val="16"/>
          <w:szCs w:val="16"/>
        </w:rPr>
        <w:softHyphen/>
        <w:t>венных одноместных истребителей той поры. В отчете по заводским испытаниям записано, что И-185 «по своим летным данным стоит выше серийных отечественных и иностранных самолетов, по технике пилотирования прост и доступен летчикам средней ква</w:t>
      </w:r>
      <w:r w:rsidRPr="001E2C69">
        <w:rPr>
          <w:rFonts w:ascii="Times New Roman" w:hAnsi="Times New Roman"/>
          <w:color w:val="000000" w:themeColor="text1"/>
          <w:sz w:val="16"/>
          <w:szCs w:val="16"/>
        </w:rPr>
        <w:softHyphen/>
        <w:t>лификации», что эксплуатация его возможна на полевых аэродромах, что пилотажные свойства, маневренность и управляемость хорошие, на всех режимах самолет легко балансируется управляемыми триммерами» (10667).</w:t>
      </w:r>
    </w:p>
    <w:p w14:paraId="58D4D8A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09BAB7AE"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позже 10 авгу</w:t>
      </w:r>
      <w:r w:rsidRPr="008A2E5A">
        <w:rPr>
          <w:rFonts w:ascii="Times New Roman" w:hAnsi="Times New Roman"/>
          <w:color w:val="0070C0"/>
          <w:sz w:val="16"/>
          <w:szCs w:val="16"/>
        </w:rPr>
        <w:softHyphen/>
        <w:t>ста 1942 г. как минимум один мотор АМ-39 на первый И-220 был отгружен заводом №300 заводу №155, о чем свидетельствует справ</w:t>
      </w:r>
      <w:r w:rsidRPr="008A2E5A">
        <w:rPr>
          <w:rFonts w:ascii="Times New Roman" w:hAnsi="Times New Roman"/>
          <w:color w:val="0070C0"/>
          <w:sz w:val="16"/>
          <w:szCs w:val="16"/>
        </w:rPr>
        <w:softHyphen/>
        <w:t>ка начальника 8-го Главного управления НКАП Поликовского, направленная На</w:t>
      </w:r>
      <w:r w:rsidRPr="008A2E5A">
        <w:rPr>
          <w:rFonts w:ascii="Times New Roman" w:hAnsi="Times New Roman"/>
          <w:color w:val="0070C0"/>
          <w:sz w:val="16"/>
          <w:szCs w:val="16"/>
        </w:rPr>
        <w:softHyphen/>
        <w:t>ркому авиапромышленности А.И. Шахурину 14 августа. Но в начале сентября 1942 г. на 25-часовых стендовых испыта</w:t>
      </w:r>
      <w:r w:rsidRPr="008A2E5A">
        <w:rPr>
          <w:rFonts w:ascii="Times New Roman" w:hAnsi="Times New Roman"/>
          <w:color w:val="0070C0"/>
          <w:sz w:val="16"/>
          <w:szCs w:val="16"/>
        </w:rPr>
        <w:softHyphen/>
        <w:t>ниях ПЦН с переключениями скоростей на номинальных оборотах сломалась рес</w:t>
      </w:r>
      <w:r w:rsidRPr="008A2E5A">
        <w:rPr>
          <w:rFonts w:ascii="Times New Roman" w:hAnsi="Times New Roman"/>
          <w:color w:val="0070C0"/>
          <w:sz w:val="16"/>
          <w:szCs w:val="16"/>
        </w:rPr>
        <w:softHyphen/>
        <w:t>сора его нагнетателя. Дальнейшие работы по этому варианту двухскоростной пере</w:t>
      </w:r>
      <w:r w:rsidRPr="008A2E5A">
        <w:rPr>
          <w:rFonts w:ascii="Times New Roman" w:hAnsi="Times New Roman"/>
          <w:color w:val="0070C0"/>
          <w:sz w:val="16"/>
          <w:szCs w:val="16"/>
        </w:rPr>
        <w:softHyphen/>
        <w:t>дачи были прекращены, в производство пошла новая коробка скоростей нагнета</w:t>
      </w:r>
      <w:r w:rsidRPr="008A2E5A">
        <w:rPr>
          <w:rFonts w:ascii="Times New Roman" w:hAnsi="Times New Roman"/>
          <w:color w:val="0070C0"/>
          <w:sz w:val="16"/>
          <w:szCs w:val="16"/>
        </w:rPr>
        <w:softHyphen/>
        <w:t>теля с тормозной лентой, но ее надо было еще сделать и испытать. А на это надо было дополнительное время (23401).</w:t>
      </w:r>
    </w:p>
    <w:p w14:paraId="5B25522B" w14:textId="77777777" w:rsidR="000339AC" w:rsidRPr="008A2E5A" w:rsidRDefault="000339AC" w:rsidP="000339AC">
      <w:pPr>
        <w:spacing w:after="0" w:line="240" w:lineRule="auto"/>
        <w:jc w:val="both"/>
        <w:rPr>
          <w:rFonts w:ascii="Times New Roman" w:hAnsi="Times New Roman"/>
          <w:color w:val="0070C0"/>
          <w:sz w:val="16"/>
          <w:szCs w:val="16"/>
        </w:rPr>
      </w:pPr>
    </w:p>
    <w:p w14:paraId="78899F5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 августа 1942 года зам. начальника 7-го гл. управления НКАП Алексеев писал письмо N 26/631 начальнику секретариата НКАП Фирсаеву.</w:t>
      </w:r>
    </w:p>
    <w:p w14:paraId="52B2D0C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письму наркома ВМФ адмирала Кузнецова, на имя секретаря ЦК ВКП(б) Маленкова сообщаю следующее:</w:t>
      </w:r>
    </w:p>
    <w:p w14:paraId="31004C0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В проекте плана 1942 г. И.В.Четверикову предусмотрена модификация опытного морского дальнего разведчика МДР6Б-2М105 под моторы М-107 по тактико-техническим требованиям УА ВМФ.</w:t>
      </w:r>
    </w:p>
    <w:p w14:paraId="73711A9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От УА ВМФ получены тактико-технические требования на проектирование тяжелого двухмоторного дальнего разведчика.</w:t>
      </w:r>
    </w:p>
    <w:p w14:paraId="55168E6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целях выяснения производственных возможностей для выполнения указанного задания, запрошен директор завода N 288 Кутепов.</w:t>
      </w:r>
    </w:p>
    <w:p w14:paraId="5D61635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Приложение: на 2-х листах вх. 1534 (2728,24).</w:t>
      </w:r>
    </w:p>
    <w:p w14:paraId="7C2C4E8D" w14:textId="77777777" w:rsidR="00AE7191" w:rsidRPr="001E2C69" w:rsidRDefault="00AE7191" w:rsidP="00722885">
      <w:pPr>
        <w:pStyle w:val="Iauiue"/>
        <w:jc w:val="both"/>
        <w:rPr>
          <w:color w:val="000000" w:themeColor="text1"/>
          <w:sz w:val="16"/>
          <w:szCs w:val="16"/>
        </w:rPr>
      </w:pPr>
    </w:p>
    <w:p w14:paraId="4ACE6A8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 августа 1942 года зам. начальника 7-го гл. управления Алексеев писал письмо в секретариат НКАП Фирсаеву.</w:t>
      </w:r>
    </w:p>
    <w:p w14:paraId="6BD9F89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 вх. N 6938 от 3.VI.42 г.</w:t>
      </w:r>
    </w:p>
    <w:p w14:paraId="2422852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Группа Люлька в составе 15 человек с 1 июля 1942 г. переведена на постоянную работу в конструкторское бюро Болховитинова, где используется по специальности (2728,18).</w:t>
      </w:r>
    </w:p>
    <w:p w14:paraId="5B5A3FE4" w14:textId="77777777" w:rsidR="00AE7191" w:rsidRPr="001E2C69" w:rsidRDefault="00AE7191" w:rsidP="00722885">
      <w:pPr>
        <w:pStyle w:val="Iauiue"/>
        <w:jc w:val="both"/>
        <w:rPr>
          <w:color w:val="000000" w:themeColor="text1"/>
          <w:sz w:val="16"/>
          <w:szCs w:val="16"/>
        </w:rPr>
      </w:pPr>
    </w:p>
    <w:p w14:paraId="3052062A"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55C34828" w14:textId="77777777" w:rsidR="00AE7191" w:rsidRPr="001E2C69" w:rsidRDefault="00AE7191" w:rsidP="00722885">
      <w:pPr>
        <w:pStyle w:val="Iauiue"/>
        <w:jc w:val="both"/>
        <w:rPr>
          <w:iCs/>
          <w:color w:val="000000" w:themeColor="text1"/>
          <w:sz w:val="16"/>
          <w:szCs w:val="16"/>
        </w:rPr>
      </w:pPr>
    </w:p>
    <w:p w14:paraId="3FB40AA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августа 1942 г. была подготовлена ДОКЛАДНАЯ ЗАПИСКА НАЧАЛЬНИКА ГАБТУ КА ЗАМПРЕДУ ГКО СССР ОБ УСТАНОВКЕ ДЫМОВЫХ ШАШЕК НА ТАНКАХ</w:t>
      </w:r>
    </w:p>
    <w:p w14:paraId="7908DC7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1941 году НАТИ был изготовлен и испытан прибор для использования 40-килограммовых мор</w:t>
      </w:r>
      <w:r w:rsidRPr="001E2C69">
        <w:rPr>
          <w:rFonts w:ascii="Times New Roman" w:hAnsi="Times New Roman"/>
          <w:color w:val="000000" w:themeColor="text1"/>
          <w:sz w:val="16"/>
          <w:szCs w:val="16"/>
        </w:rPr>
        <w:softHyphen/>
        <w:t>ских дымовых шашек (МДШ) на танках Т-34 и КВ.</w:t>
      </w:r>
    </w:p>
    <w:p w14:paraId="63FEA57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Конструкция прибора простая, дешевая в изготовлении и позволяет производить дымопуск из шашек при движении танка (подвижные дымовые завесы), а также сбрасывание дымовых шашек на ходу (неподвижные дымовые завесы).</w:t>
      </w:r>
    </w:p>
    <w:p w14:paraId="3B1F616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каждом танке может быть установлено по две дымовых шашки.</w:t>
      </w:r>
    </w:p>
    <w:p w14:paraId="3DE7D68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одновременном горении обоих дымовых шашек время дымопуска 9-10 минут. Длина не просматриваемой дымовой волны 300-400 метров.</w:t>
      </w:r>
    </w:p>
    <w:p w14:paraId="021EB2E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Считаю целесообразным устанавливать по две дымовых шашки на каждый танк Т-34 и КВ и ис</w:t>
      </w:r>
      <w:r w:rsidRPr="001E2C69">
        <w:rPr>
          <w:rFonts w:ascii="Times New Roman" w:hAnsi="Times New Roman"/>
          <w:color w:val="000000" w:themeColor="text1"/>
          <w:sz w:val="16"/>
          <w:szCs w:val="16"/>
        </w:rPr>
        <w:softHyphen/>
        <w:t>пользовать их как для постановки нейтральных, так и ядовитых дымовых завес.</w:t>
      </w:r>
    </w:p>
    <w:p w14:paraId="6EC2B71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Прилагая проект постановления ГОКО, прошу его утвердить.</w:t>
      </w:r>
    </w:p>
    <w:p w14:paraId="3EF6BF6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Приложение: проект постановления ГОКО СССР на « » листах.</w:t>
      </w:r>
    </w:p>
    <w:p w14:paraId="1B19BF4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ГАБТУ КА генерал-лейтенант танковых войск Федоренко</w:t>
      </w:r>
    </w:p>
    <w:p w14:paraId="45CC50C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Военный комиссар ГАБТУ КА армейский комиссар 2 ранга Бирюков</w:t>
      </w:r>
    </w:p>
    <w:p w14:paraId="4A4496EC" w14:textId="77777777" w:rsidR="00AE7191" w:rsidRPr="001E2C69" w:rsidRDefault="00AE7191" w:rsidP="00722885">
      <w:pPr>
        <w:pStyle w:val="afff5"/>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ЦАМО. Ф. 38. Оп. 11355. Д. 676. Л. 32-34. Копия (11211).</w:t>
      </w:r>
    </w:p>
    <w:p w14:paraId="445EBC64" w14:textId="77777777" w:rsidR="00AE7191" w:rsidRPr="001E2C69" w:rsidRDefault="00AE7191" w:rsidP="00722885">
      <w:pPr>
        <w:pStyle w:val="afff5"/>
        <w:jc w:val="both"/>
        <w:rPr>
          <w:i w:val="0"/>
          <w:iCs w:val="0"/>
          <w:color w:val="000000" w:themeColor="text1"/>
          <w:spacing w:val="0"/>
          <w:kern w:val="0"/>
          <w:position w:val="0"/>
          <w:sz w:val="16"/>
          <w:szCs w:val="16"/>
        </w:rPr>
      </w:pPr>
    </w:p>
    <w:p w14:paraId="38A1E3F2"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августа 1942</w:t>
      </w:r>
    </w:p>
    <w:p w14:paraId="35B298A6"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1 Дело 12 лист 49 – 51</w:t>
      </w:r>
    </w:p>
    <w:p w14:paraId="1F96FB10"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служебного пользования.</w:t>
      </w:r>
    </w:p>
    <w:p w14:paraId="7E2A57B8"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w:t>
      </w:r>
    </w:p>
    <w:p w14:paraId="397435EA"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НАРОДНОГО КОМИССАРА ТАНКОВОЙ ПРОМЫШЛЕННОСТИ СОЮЗА ССР</w:t>
      </w:r>
    </w:p>
    <w:p w14:paraId="3A452674"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318</w:t>
      </w:r>
    </w:p>
    <w:p w14:paraId="09E0FED2"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Москва</w:t>
      </w:r>
    </w:p>
    <w:p w14:paraId="179C6721"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августа 1942 г.</w:t>
      </w:r>
    </w:p>
    <w:p w14:paraId="662D103D"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с.г. Наркомат танковой промышленности выполнил установленный государственный план по выпуску танков, танковых дизелей и бронекорпусов.</w:t>
      </w:r>
    </w:p>
    <w:p w14:paraId="69D4D74A"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Из выполнивших программу первые места в социалистическом соревновании среди танковых заводов заняли: Сталинградский тракторный завод (директор завода т. ЗАДОРОЖНЫЙ, гл. инженер т. ДЕМЬЯНОВИЧ).</w:t>
      </w:r>
    </w:p>
    <w:p w14:paraId="255417A3"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моторному производству коллектив Кировского завода (директор завода т. МАХОНИН, гл. инженер моторного производства т. НЕВЯЖСКИЙ).</w:t>
      </w:r>
    </w:p>
    <w:p w14:paraId="261B9551"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Среди бронекорпусных заводов – Уралмашзавод (директор завода т. МУЗРУКОВ, гл. инженер т. УМНЯГИН).</w:t>
      </w:r>
    </w:p>
    <w:p w14:paraId="0B3C1ABF"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112 – директор завода тов. РУБИНЧИК, и.о. главного инженера тов. РОЗЕНФЕЛЬД, после долгого отставания выполнили июльский план по танкам и запасным частям.</w:t>
      </w:r>
    </w:p>
    <w:p w14:paraId="1BDACE75"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Хорошо работали в июле месяце: завод № 38 – директор завода тов. ЯКОВЛЕВ, главный инженер тов. ТЕРЕНЬТЬЕВ, завод № 76 – директор завода тов. КОЧЕТКОВ, главный инженер тов. ДИСФОНТЕЙНЕС, завод № 255 – директор завода т. МОРОЗ, главный инженер тов. ЯКОВЕНКО, московский филиал завода № 76 КИМ – директор тов. ТУМАНЯН, завод № 254 – директор тов. КОЗЛОВ, главный инженер тов. ПАСТУХОВ. Также перевыполнил июльскую программу завод № 176 (директор завода тов. ФЕДОТОВ, главный инженер тов. БЕХТИН).</w:t>
      </w:r>
    </w:p>
    <w:p w14:paraId="342F1368"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достигнутые успехи по выполнению и перевыполнению правительственных заданий по выпуску танков, дизелей и корпусов – ПРИКАЗЫВАЮ:</w:t>
      </w:r>
    </w:p>
    <w:p w14:paraId="0D083967"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Премировать директоров и главных инженеров заводов – победителей в социалистическом соревновании, получивших переходящие красные знамена Государственного Комитета Обороны, ВЦСПС и Наркомтанкопрома двухмесячными окладами:</w:t>
      </w:r>
    </w:p>
    <w:p w14:paraId="0F8ED5E0"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СТЗ – директора завода т. ЗАДОРОЖНОГО, гл. инженера т. ДЕМЬЯНОВИЧА</w:t>
      </w:r>
    </w:p>
    <w:p w14:paraId="75AFA15A"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Кировский завод – директора завода т. МАХОНИНА, гл. инженера т. КИЗЕЛЬШТЕЙНА, гл. инженера по моторостроению т. НЕВЯЖСКОГО</w:t>
      </w:r>
    </w:p>
    <w:p w14:paraId="6DCDF5A0"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Уралмашзавод – директора завода т. МУЗРУКОВА гл. инженера т. УМНЯГИНА</w:t>
      </w:r>
    </w:p>
    <w:p w14:paraId="1154E5C0"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За хорошую работу заводов в выполнении правительственных заданий премирую директоров заводов и главных инженеров полуторамесячными окладами:</w:t>
      </w:r>
    </w:p>
    <w:p w14:paraId="00FEBC83"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112 – директор завода т. РУБИНЧИКА, и.о. главного инженера т. РОЗЕНФЕЛЬДА</w:t>
      </w:r>
    </w:p>
    <w:p w14:paraId="4792A530"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76 – директора завода т. КОЧЕТКОВА, гл. инженера т. ДИСФОНТЕЙНИСА</w:t>
      </w:r>
    </w:p>
    <w:p w14:paraId="5FD7F3BC"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38 – директора завода т. ЯКОВЛЕВА, гл. инженера т. ТЕРЕНТЬЕВА</w:t>
      </w:r>
    </w:p>
    <w:p w14:paraId="7AAE5BAB"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176 – директора завода т. ФЕДОТОВА, гл. инженера т. БЕХТИНА</w:t>
      </w:r>
    </w:p>
    <w:p w14:paraId="0DFFB04D"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177 – директора завода т. ВОЛКОВА, гл. инженера т. ГОРЯЧЕВА</w:t>
      </w:r>
    </w:p>
    <w:p w14:paraId="251B3325"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255 – директора завода т. МОРОЗ, гл. инженера т. ЯКОВЕНКО</w:t>
      </w:r>
    </w:p>
    <w:p w14:paraId="1F85DC9F"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им. КИМ – директора завода т. ТУМАНЯНА</w:t>
      </w:r>
    </w:p>
    <w:p w14:paraId="6D6D92DB"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254 – директора завода т. КОЗЛОВА, гл. инженера т. ПАСТУХОВА.</w:t>
      </w:r>
    </w:p>
    <w:p w14:paraId="1FA7C642"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Премировать в размере месячного оклада следующих заместителей директоров:</w:t>
      </w:r>
    </w:p>
    <w:p w14:paraId="026D9EA2"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СТЗ – т. ТКАЧЕВА</w:t>
      </w:r>
    </w:p>
    <w:p w14:paraId="426B595C"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Уралмашзавод – т. ЖИХАРЕВА</w:t>
      </w:r>
    </w:p>
    <w:p w14:paraId="2B4FF438"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Кировский завод – т. АЙЗЕНБЕРГА</w:t>
      </w:r>
    </w:p>
    <w:p w14:paraId="3558D200"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112 – т. КАРПОВА</w:t>
      </w:r>
    </w:p>
    <w:p w14:paraId="2B7D12AF"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76 – т. КРЮЧКОВА</w:t>
      </w:r>
    </w:p>
    <w:p w14:paraId="78427E64"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176 – т. НАЗАРОВА</w:t>
      </w:r>
    </w:p>
    <w:p w14:paraId="29F7B2B9"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Разрешить директорам указанных выше заводов по их усмотрению премировать месячным окладом заместителей директоров по рабочему снабжению, помощников директоров по кадрам за работу в июле месяце.</w:t>
      </w:r>
    </w:p>
    <w:p w14:paraId="1E90285E"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За оказанную помощь заводам при выполнении ими производственной программы объявить благодарность и премировать месячными окладами следующих работников аппарата Наркомтанкопрома:</w:t>
      </w:r>
    </w:p>
    <w:p w14:paraId="1B696ABA"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МАГИДСОНА – И.О. заместителя начальника отдела</w:t>
      </w:r>
    </w:p>
    <w:p w14:paraId="36302D79"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ВОРОБЕЙЧИКА – Начальника диспетчерской службы</w:t>
      </w:r>
    </w:p>
    <w:p w14:paraId="714D54DE"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МАТВЕЕВА – Старшего ведущего инженера</w:t>
      </w:r>
    </w:p>
    <w:p w14:paraId="3EBDC7A7"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МИЦЕЛЬСКОГО – Старшего ведущего инженера</w:t>
      </w:r>
    </w:p>
    <w:p w14:paraId="11A12704"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АНТЮХИНА – Старшего ведущего инженера</w:t>
      </w:r>
    </w:p>
    <w:p w14:paraId="6E6273A8"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ИНДЖИКЯНА – Старшего ведущего инженера</w:t>
      </w:r>
    </w:p>
    <w:p w14:paraId="51FBDE81"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ГЕРАСИМОВА – Диспетчера</w:t>
      </w:r>
    </w:p>
    <w:p w14:paraId="4693D90C"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БЫСТРИЦКОГО – Ведущего Инженера</w:t>
      </w:r>
    </w:p>
    <w:p w14:paraId="30FA8790"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ТЮРИКОВА – Руководителя группы нормирования</w:t>
      </w:r>
    </w:p>
    <w:p w14:paraId="162F6FDD"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ЛОГИНОВА – Начальника отдела кадров</w:t>
      </w:r>
    </w:p>
    <w:p w14:paraId="34E32EE1"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БАННИКОВА – Заместителя начальника сектора</w:t>
      </w:r>
    </w:p>
    <w:p w14:paraId="0A8A2D0E"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ШАТРОВА – Старшего ведущего инженера</w:t>
      </w:r>
    </w:p>
    <w:p w14:paraId="71EF3837"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ЛЕБЕДЕВА – Инженера группы поковок</w:t>
      </w:r>
    </w:p>
    <w:p w14:paraId="014C96C9"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АБРАМЗОНА – Руководителя группы мощностей</w:t>
      </w:r>
    </w:p>
    <w:p w14:paraId="724159C9"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КИСЕЛЕВА – Ведущего технолога</w:t>
      </w:r>
    </w:p>
    <w:p w14:paraId="501E59C6"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УСАЧЕВА – Ведущего конструктора</w:t>
      </w:r>
    </w:p>
    <w:p w14:paraId="3766D992"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ЛЮБИМОВА – Ведущего технолога</w:t>
      </w:r>
    </w:p>
    <w:p w14:paraId="7FB58B4E"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КОМОВА – Ведущего конструктора</w:t>
      </w:r>
    </w:p>
    <w:p w14:paraId="72AE244C"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ПЕТРОВСКОГО – Старшего экономиста финансового отдела</w:t>
      </w:r>
    </w:p>
    <w:p w14:paraId="1DB36648"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КУЗЬМИНА – Старшего инженера</w:t>
      </w:r>
    </w:p>
    <w:p w14:paraId="06679693"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БЕЛИКА – Главного механика и энергетика</w:t>
      </w:r>
    </w:p>
    <w:p w14:paraId="4F0844A4"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ЩУКИНУ – Старшего экономиста</w:t>
      </w:r>
    </w:p>
    <w:p w14:paraId="0B3E2D1C"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ВЕРЕСОВА – Заместителя начальника планового отдела</w:t>
      </w:r>
    </w:p>
    <w:p w14:paraId="6B55435E"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ПАНОВУ – Экономиста транспортного отдела</w:t>
      </w:r>
    </w:p>
    <w:p w14:paraId="41064FD4"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Выражаю твердую уверенность, что коллективы заводов Народного Комиссариата танковой промышленности, на основе широко развернутого социалистического соревнования заводов, цехов и всех работающих, в августе месяце дадут Красной Армии значительно больше машин, чем в июле и безусловно обеспечат выполнение и перевыполнение государственного плана III-го квартала каждым заводом в отдельности.</w:t>
      </w:r>
    </w:p>
    <w:p w14:paraId="2A315A66"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ТАНКОВОЙ ПРОМЫШЛЕННОСТИ СССР</w:t>
      </w:r>
    </w:p>
    <w:p w14:paraId="4265C17D"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И. ЗАЛЬЦМАН (23494).</w:t>
      </w:r>
    </w:p>
    <w:p w14:paraId="54BCA85C" w14:textId="77777777" w:rsidR="000339AC" w:rsidRPr="008A2E5A" w:rsidRDefault="000339AC" w:rsidP="000339AC">
      <w:pPr>
        <w:spacing w:after="0" w:line="240" w:lineRule="auto"/>
        <w:jc w:val="both"/>
        <w:rPr>
          <w:rFonts w:ascii="Times New Roman" w:hAnsi="Times New Roman"/>
          <w:color w:val="0070C0"/>
          <w:sz w:val="16"/>
          <w:szCs w:val="16"/>
        </w:rPr>
      </w:pPr>
    </w:p>
    <w:p w14:paraId="6493A3FE"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августа 1942</w:t>
      </w:r>
    </w:p>
    <w:p w14:paraId="0F07278F"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93 лист 199</w:t>
      </w:r>
    </w:p>
    <w:p w14:paraId="20855C16"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372A883E"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w:t>
      </w:r>
    </w:p>
    <w:p w14:paraId="75B97A9A"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НАРОДНОГО КОМИССАРА ТАНКОВОЙ ПРОМЫШЛЕННОСТИ СОЮЗА ССР</w:t>
      </w:r>
    </w:p>
    <w:p w14:paraId="67A15C1B"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582с</w:t>
      </w:r>
    </w:p>
    <w:p w14:paraId="345762E2"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Москва</w:t>
      </w:r>
    </w:p>
    <w:p w14:paraId="1779413C"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августа 1942 г.</w:t>
      </w:r>
    </w:p>
    <w:p w14:paraId="21C85911"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Учитывая предварительное заключение комиссии по испытаниям танков Т-34, проводимым согласно постановлению ГОКО № 1879 от 5.VII-42 г., – ПРИКАЗЫВАЮ:</w:t>
      </w:r>
    </w:p>
    <w:p w14:paraId="1E0D927B"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Разрешить директору Кировского завода тов. МАХОНИНУ выпускать танки Т-34 с 5-скоростной коробкой передач. В течение августа месяца на выпускаемые танки устанавливать ленивцы старой конструкции (чертеж № 34.15сб-2 завода № 183) и башни без командирской башенки.</w:t>
      </w:r>
    </w:p>
    <w:p w14:paraId="09B94018"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Директору УЗТМ т. МУЗРУКОВУ поставку корпусов Кировскому заводу на программу августа м-ца производить с учетом данного приказа.</w:t>
      </w:r>
    </w:p>
    <w:p w14:paraId="22DC902B"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ТАНКОВОЙ ПРОМЫШЛЕННОСТИ СОЮЗА ССР</w:t>
      </w:r>
    </w:p>
    <w:p w14:paraId="029384FC"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(И. ЗАЛЬЦМАН) (23495).</w:t>
      </w:r>
    </w:p>
    <w:p w14:paraId="70617656" w14:textId="77777777" w:rsidR="000339AC" w:rsidRPr="008A2E5A" w:rsidRDefault="000339AC" w:rsidP="000339AC">
      <w:pPr>
        <w:spacing w:after="0" w:line="240" w:lineRule="auto"/>
        <w:jc w:val="both"/>
        <w:rPr>
          <w:rFonts w:ascii="Times New Roman" w:hAnsi="Times New Roman"/>
          <w:color w:val="0070C0"/>
          <w:sz w:val="16"/>
          <w:szCs w:val="16"/>
        </w:rPr>
      </w:pPr>
    </w:p>
    <w:p w14:paraId="6605A353"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августа 1942</w:t>
      </w:r>
    </w:p>
    <w:p w14:paraId="01578F15"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93 лист 203 – 201</w:t>
      </w:r>
    </w:p>
    <w:p w14:paraId="1718C9A3"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2CFC1DC0"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w:t>
      </w:r>
    </w:p>
    <w:p w14:paraId="5F0E222E"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НАРОДНОГО КОМИССАРА ТАНКОВОЙ ПРОМЫШЛЕННОСТИ СОЮЗА ССР</w:t>
      </w:r>
    </w:p>
    <w:p w14:paraId="3C423596"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583с</w:t>
      </w:r>
    </w:p>
    <w:p w14:paraId="530E88D1"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гор. Москва</w:t>
      </w:r>
    </w:p>
    <w:p w14:paraId="6FA3A525"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августа 1942 г.</w:t>
      </w:r>
    </w:p>
    <w:p w14:paraId="740379DE"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июль месяц 1942 г. Главной инспекцией НКТП по эксплоатации получено из армии 89 рекламаций на 139 танков Т-34 (в это число не входят рекламации по трещинам брони), из них:</w:t>
      </w:r>
    </w:p>
    <w:p w14:paraId="44673C8C"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заводу № 183 на 72 танка</w:t>
      </w:r>
    </w:p>
    <w:p w14:paraId="478AAD49"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заводу № 112 на 40 танков</w:t>
      </w:r>
    </w:p>
    <w:p w14:paraId="2E26AEF9"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заводу СТЗ на 27 танков.</w:t>
      </w:r>
    </w:p>
    <w:p w14:paraId="1D135E0D"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Рассмотрение полученных рекламаций показывает, что значительная часть дефектов, обнаруживаемых в рекламируемых танках, происходит вследствие отступлений в изготовлении отдельных деталей, сборке, регулировке и комплектования танков на заводах Наркомата. Другая часть дефектов является результатом конструктивных недостатков и неправильной технологии изготовления деталей. Так, например:</w:t>
      </w:r>
    </w:p>
    <w:p w14:paraId="0B0BD92A"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танке № 23-901 (завод № 183) в бортовом редукторе обнаружено вместо смазки 5 кг смеси белил с олифой;</w:t>
      </w:r>
    </w:p>
    <w:p w14:paraId="6096DBD3"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16 танках №№ 153-54, 176-30, 216-89, 187-92, 235-87, 16-85, 176-65, 255-75, 136-80, 25-137, 146-95, 10-798, 137-107, 107-95, 212-55, 187-100 (зав. № 183) обнаружено полное отсутствие смазки в стаканах подвески опорных катков;</w:t>
      </w:r>
    </w:p>
    <w:p w14:paraId="167C1701"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танке № 43-22 (зав. № 112) труба от насоса к баку оказалась заплавленной медью, вследствие этого произошла авария мотора, потребовавшая замены его.</w:t>
      </w:r>
    </w:p>
    <w:p w14:paraId="318B43AD"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партии танков, отправленных заводом № 112 в 158 тбр. При разгрузке с железнодорожных платформ обнаружены следующие мелкие дефекты:</w:t>
      </w:r>
    </w:p>
    <w:p w14:paraId="46B0142C"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танке № 045-39 отсутствует масленка для заправки маслом бортовых фрикционов;</w:t>
      </w:r>
    </w:p>
    <w:p w14:paraId="6C02AB08"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танке № 045-10 лопнул трос тахометра;</w:t>
      </w:r>
    </w:p>
    <w:p w14:paraId="3D6843F3"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танке № 4395 разорван шланг для заправки главного и бортового фрикциона;</w:t>
      </w:r>
    </w:p>
    <w:p w14:paraId="6403866F"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танке № 4508 течь масла в трансмиссионном отделении;</w:t>
      </w:r>
    </w:p>
    <w:p w14:paraId="76494343"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танке 865-5 разрушена обойма наружного подшипника ленивца</w:t>
      </w:r>
    </w:p>
    <w:p w14:paraId="73A6539A"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целый ряд аналогичных дефектов на других танках этой же партии.</w:t>
      </w:r>
    </w:p>
    <w:p w14:paraId="4EE23B4C"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ротных комплектах запчастей партии танков, отправленных 20/VI-42 г. с завода № 183 уложены пальцы траков, не соответствующие тракам гусениц, установленных на этих машинах.</w:t>
      </w:r>
    </w:p>
    <w:p w14:paraId="5809B24B"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Примером дефекта, вызванного изменением технологии, является изгиб кривошипа ленивца. Из 25 рекламаций, полученных в июле месяце по этой причине, 24 относятся к сварной конструкции кривошипа выпуска завода № 183.</w:t>
      </w:r>
    </w:p>
    <w:p w14:paraId="0709BF5E"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Особо серьезным дефектом, выводящим танки Т-34 из строя на продолжительное время, является разрушение бортовой передачи. Из 37 аварий по этой причине – 20 произошло танках завода № 183 (из них три с усиленной струной), 12 на танках СТЗ и 5 на танках завода № 112. Особенно безобразным считаю тот факт, что в 6 случаях разрушенные бортовые передачи были обнаружены на машинах завода № 183 в момент их разгрузки с железнодорожных платформ, что свидетельствует об отправке аварийных танков с завода.</w:t>
      </w:r>
    </w:p>
    <w:p w14:paraId="1BFF1DA4"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ПРИКАЗЫВАЮ:</w:t>
      </w:r>
    </w:p>
    <w:p w14:paraId="2520E1AA"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Всем директорам заводов, выпускающих танки Т-34:</w:t>
      </w:r>
    </w:p>
    <w:p w14:paraId="797DFC5D"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усилить технический контроль за качеством изготовления деталей и узлов, а также за монтажом и правильным укомплектованием танков перед отправкой с завода;</w:t>
      </w:r>
    </w:p>
    <w:p w14:paraId="7147722B"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каждый случай недоброкачественной и небрежной работы сборщиков и сдатчиков отмечать приказом по заводу, налагая на виновных строгие взыскания;</w:t>
      </w:r>
    </w:p>
    <w:p w14:paraId="5CF3DB86"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предупредить начальников ОТК заводов, что в случае обнаружения в воинских частях танков с дефектами, пропущенными по небрежности работников технического контроля, они будут привлекаться к ответственности.</w:t>
      </w:r>
    </w:p>
    <w:p w14:paraId="12397FEB"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Директору завода № 183 т. Максареву:</w:t>
      </w:r>
    </w:p>
    <w:p w14:paraId="42ED24DA"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детали бортовой передачи изготовлять с точным соблюдением элементов, обеспечивающих соосность посадки конических подшипников и стабильность регулировки;</w:t>
      </w:r>
    </w:p>
    <w:p w14:paraId="1EAB87CE"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провести в течение августа с.г. тщательные исследования по бортовой передаче и наметить мероприятия, исключающие повторения имевшихся дефектов. План и программу этой работы представить на утверждение Главному конструктору НКТП т. Котину в пятидневный срок;</w:t>
      </w:r>
    </w:p>
    <w:p w14:paraId="35859DB0"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принять немедленные меры к увеличению прочности кривошипа ленивца и тщательной проверке при монтаже поверхности прилегания между зубцами кронштейна и кривошипа.</w:t>
      </w:r>
    </w:p>
    <w:p w14:paraId="61FF3716"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Танковой Промышленности СССР</w:t>
      </w:r>
    </w:p>
    <w:p w14:paraId="16F13224" w14:textId="77777777" w:rsidR="000339AC" w:rsidRPr="008A2E5A" w:rsidRDefault="000339AC" w:rsidP="000339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(ЗАЛЬЦМАН) (23496).</w:t>
      </w:r>
    </w:p>
    <w:p w14:paraId="3E1D5F2D" w14:textId="77777777" w:rsidR="000339AC" w:rsidRPr="008A2E5A" w:rsidRDefault="000339AC" w:rsidP="000339AC">
      <w:pPr>
        <w:spacing w:after="0" w:line="240" w:lineRule="auto"/>
        <w:jc w:val="both"/>
        <w:rPr>
          <w:rFonts w:ascii="Times New Roman" w:hAnsi="Times New Roman"/>
          <w:color w:val="0070C0"/>
          <w:sz w:val="16"/>
          <w:szCs w:val="16"/>
        </w:rPr>
      </w:pPr>
    </w:p>
    <w:p w14:paraId="016E2E4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августа 1942 вышло Постановление ГКО № 2165 О демонтаже резервных агрегатов на Сталинградской ГРЭС. РГАНИР, Фонд ГКО, д. 51, лл. 136 (11012).</w:t>
      </w:r>
    </w:p>
    <w:p w14:paraId="7AF34857"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22B21EC"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2BC14AE7" w14:textId="77777777" w:rsidR="00AE7191" w:rsidRPr="001E2C69" w:rsidRDefault="00AE7191" w:rsidP="00722885">
      <w:pPr>
        <w:pStyle w:val="Iauiue"/>
        <w:jc w:val="both"/>
        <w:rPr>
          <w:iCs/>
          <w:color w:val="000000" w:themeColor="text1"/>
          <w:sz w:val="16"/>
          <w:szCs w:val="16"/>
        </w:rPr>
      </w:pPr>
    </w:p>
    <w:p w14:paraId="31635689"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августа в 1942 году утреннее сообщение Совинформбюро:</w:t>
      </w:r>
    </w:p>
    <w:p w14:paraId="4AFB9EB6"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10 августа наши войска вели бои с противником в районах Клетская, северо-восточнее Котельниково, а также в районах Армавир и Кропоткин.</w:t>
      </w:r>
    </w:p>
    <w:p w14:paraId="320476E6"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705213AB"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наши части отбили несколько атак противника. На поле боя немцы оставили свыше 250 трупов. Бронебойщики одной части уничтожили 6 немецких танков. Южнее Клетской продолжались ожесточённые бои против танков и мотопехоты противника. В течение суток уничтожено 15 немецких танков и свыше 400 солдат и офицеров противника.</w:t>
      </w:r>
    </w:p>
    <w:p w14:paraId="17C97737"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продолжались упорные бои. На одном изучастков наши части разгромили 2 батальона немецкой пехоты и уничтожили 20 танков. На другом участке наши войска атаковали противника и в результате боя захватили 11 орудий, несколько пулемётов и миномётов. Н-ская кавалерийская часть совершила рейд по вражеским тылам. Кавалеристы уничтожили 3 склада, разгромили штаб немецкого полка и уничтожили свыше 350 гитлеровцев.</w:t>
      </w:r>
    </w:p>
    <w:p w14:paraId="26EF48A2"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Армавира противник стремится пробиться вперёд. После кровопролитного боя, во время которого уничтожено 5 немецких танков, наши части отошли на новый оборонительный рубеж. На соседнем участке продолжались ожесточённые бои с прорвавшейся группировкой противника. В районе Кропоткина наши войска вели напряжённые бои с танками и пехотой противника. Танковый экипаж лейтенанта Алексея Шельгаса за один день уничтожил 8 немецких танков, 4 противотанковых орудия и до 300 солдат и офицеров противника.</w:t>
      </w:r>
    </w:p>
    <w:p w14:paraId="44C2258D"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Воронежском фронте наши войска заняли несколько населённых пунктов, уничтожив при этом свыше 1.000 немецких солдат и офицеров. Наши части, переправившиеся на западный берег Дона, отбили несколько атак противника и уничтожили 12 немецких танков.</w:t>
      </w:r>
    </w:p>
    <w:p w14:paraId="67275CA0"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имени Ворошилова, действующий в одном из районов Орловскойобласти, в течение нескольких дней вёл бой с крупным отрядом оккупантов, действовавших при поддержке танков. В этом бою партизаны истребили до 200 гитлеровцев и уничтожили два немецких танка.</w:t>
      </w:r>
    </w:p>
    <w:p w14:paraId="6C194E20"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транспортной колонны 218 немецкой пехотной дивизии Эрнст Риман рассказал: «Наша транспортная колонна везла на фронт артиллерийские боеприпасы. По пути к нам примкнули солдаты и повозки из других частей. В лесу головные повозки наскочили на мины и подорвались. В это время партизаны из леса открыли сильный пулемётный огонь. В нас полетели ручные гранаты. Весь обоз был полностью уничтожен. Убито около 100 человек. В живых остались только я и ещё два солдата, сдавшихся в плен».</w:t>
      </w:r>
    </w:p>
    <w:p w14:paraId="21D6FFF6"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мерзавцы истребили население деревни Лютино, Кличевского района, Белорусской ССР. Недавно гитлеровцы загнали всех жителей деревни в помещение школы. Немецкий офицер потребовал указать местонахождение партизан, но ничего не добился. По его приказу солдаты жестоко избили арестованных, но они продолжали молчать. Палачи долго пытали несчастных, глумились над ними, а затем сожгли школу вместе с заключёнными в ней людьми. Сгорело 74 человека.</w:t>
      </w:r>
    </w:p>
    <w:p w14:paraId="50264E38"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Париже состоялась демонстрация женщин. Демонстранты несли плакаты с лозунгами: «Долой Гитлера! Долой предателя Лаваля! Верните наших братьев и мужей из плена!»</w:t>
      </w:r>
    </w:p>
    <w:p w14:paraId="6893899E"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Партизаны Югославии на днях отбили у оккупантов ещё один город. В боях за этот город партизаны истребили несколько сот оккупантов и их пособников. Захвачены трофеи: один броневик, 12 пулемётов, 2 миномёта, много взрывчатки и 70.000 патронов. Из городской тюрьмы освобождено 50 югославских патриотов, которые были приговорены к расстрелу. Население с радостью встретило партизан и оказывает им помощь в преследовании оккупантов.» (14979).</w:t>
      </w:r>
    </w:p>
    <w:p w14:paraId="7F1352FA"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23634632"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августа в 1942 году вечернее сообщение Совинформбюро:</w:t>
      </w:r>
    </w:p>
    <w:p w14:paraId="3288ABEE"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10 августа наши войска вели ожесточённые бои в районах Клетская, северо-восточнее Котельниково, а также в районах Армавир, Краснодар, Майкоп.</w:t>
      </w:r>
    </w:p>
    <w:p w14:paraId="4038930A"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556DCEB5"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Нашими кораблями в Баренцевом и Чёрном морях потоплено два транспорта противника водоизмещением в 12.000 тонн.</w:t>
      </w:r>
    </w:p>
    <w:p w14:paraId="709FDB0E"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За 9 августа частями нашей авиации на различных участках фронта уничтожено или повреждено до 60 немецких танков, около 400 автомашин с войсками и грузами, 20 автоцистерн с горючим, взорвано 2 склада боеприпасов и 2 склада горючего, подавлен огонь 14 батарей полевой и зенитной артиллерии, рассеяно и частью уничтожено до трёх полков пехоты и эскадрон конницы противника.</w:t>
      </w:r>
    </w:p>
    <w:p w14:paraId="3FA3981B"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наши войска вели бои с немецко-фашистскими войсками. В районе действий Н-ской части уничтожено 3 немецких танка и 280 гитлеровцев. Южнее Клетской наши танкисты истребили до 500 солдат и офицеров противника. Бомбардировочная и штурмовая авиация продолжала активные операции против танков и мотомехвойск противника. За день наши лётчики уничтожили 27 немецких танков, до 60 автомашин с пехотой и грузами, 2 зенитные батареи, 4 автоцистерны с горючим. В воздушных боях сбито до 30 немецких самолётов.</w:t>
      </w:r>
    </w:p>
    <w:p w14:paraId="020F0C91"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наши войска вели ожесточённые бои с противником. Сражение носит чрезвычайно упорный характер. Одна железнодорожная станция в течение дня несколько раз переходила из рук в руки и к вечеру была занята нашими частями. Н-ская часть, отбивая атаки противника, уничтожила свыше 900 гитлеровцев. Ликвидирована также группа немецких автоматчиков, проникшая в тыл наших частей.</w:t>
      </w:r>
    </w:p>
    <w:p w14:paraId="1661D877"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Краснодара шли тяжёлые бои с наступающими танками и мотопехотой противника. На одном из участков советские конники во взаимодействии с авиацией и танками нанесли большой урон колонне войск противника. Подбито 11 танков, уничтожено 8 орудий, 4 бронемашины и около 30 автомашин. Разгромлены 2 эскадронарумынской кавалерии и батальон немецкой мотопехоты. На другом участке после упорного боя с превосходящими силами противника наши части отошли на новые рубежи. В районе Армавира противник предпринял ряд атак и несколько продвинулся вперёд. В ходе боёв сожжено 8 немецких танков и истреблено свыше 600 гитлеровцев.</w:t>
      </w:r>
    </w:p>
    <w:p w14:paraId="42BA1324"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противник после артиллерийской и миномётной подготовки атаковал наши позиции. К исходу дня атака немцев была отбита и неприятель отброшен с большими для него потерями.</w:t>
      </w:r>
    </w:p>
    <w:p w14:paraId="777D289D"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Ленинградском фронте происходила активная деятельность разведывательных отрядов. Двадцать девять бойцов во главе с младшим лейтенантом Силиным, преодолев проволочные заграждения, пробрались к укреплениям противника. Разведчики забросали гранатами огневые точки немцев, а затем стремительным броском ворвались в их траншеи. В завязавшейся схватке наши бойцы уничтожили 40 гитлеровцев, взорвали 3 землянки, одну противотанковую пушку, захватили пленного и трофеи.</w:t>
      </w:r>
    </w:p>
    <w:p w14:paraId="178BF564"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Снайпер тов. Николаев из части, где командиром тов. Кутятин, истребил 211 немцев. Снайпер этой же части тов. Добрик истребил 216 гитлеровцев.</w:t>
      </w:r>
    </w:p>
    <w:p w14:paraId="6F51B599"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Три партизанских отряда, действующие в одном из районов Минской области, в течение месяца истребили 270 немецких солдат и 5 офицеров. Партизаны уничтожили 15 автомашин и взорвали 38 мостов. Отряд под командованием тов. К. пустил под откос 3 железнодорожных эшелона и уничтожил легковую машину с находившимися в ней немецким генералом и офицером.»</w:t>
      </w:r>
    </w:p>
    <w:p w14:paraId="2CB0983C"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Ниже приводим выдержку из акта о чудовищных зверствах немецко-фашистскихзахватчиков над пленными красноармейцами и командирами:</w:t>
      </w:r>
    </w:p>
    <w:p w14:paraId="0DCCEDC6"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Брянского фронта в немецком окопе обнаружены трупы наших бойцов, зверски замученных гитлеровскими мерзавцами. Младшему политруку А.И.Козлову немецкие изверги отрезали нос и губы, выкололи глаза и вспороли живот. Красноармейца Баймугамбетова гитлеровские людоеды искололи штыками, перебили ноги и руки и вырвали лёгкие и сердце. Лейтенанта К.Николаенко, младшего командира Логинова и красноармейца Асадова немцы облили бензином и заживо сожгли». Акт подписали: лейтенант Ковалёв, воентехник Дерега, старший политрук Швейкин, младший политрук Миментов, военфельдшер Юхнов, красноармейцы Мамедов и Волошин.</w:t>
      </w:r>
    </w:p>
    <w:p w14:paraId="09CA6C58"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угольных шахтах в районе Монса (Бельгия) в связи с актами саботажа резкосократилась добыча угля. Некоторые шахты серьёзно повреждены и совсем прекратили работу.» (14979).</w:t>
      </w:r>
    </w:p>
    <w:p w14:paraId="35AB3447"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04014623" w14:textId="7C208058" w:rsidR="00151541" w:rsidRPr="001E2C69" w:rsidRDefault="00151541" w:rsidP="00722885">
      <w:pPr>
        <w:pStyle w:val="af"/>
        <w:spacing w:before="0" w:after="0"/>
        <w:jc w:val="both"/>
        <w:textAlignment w:val="baseline"/>
        <w:rPr>
          <w:color w:val="000000" w:themeColor="text1"/>
          <w:sz w:val="16"/>
          <w:szCs w:val="16"/>
        </w:rPr>
      </w:pPr>
      <w:r w:rsidRPr="001E2C69">
        <w:rPr>
          <w:color w:val="000000" w:themeColor="text1"/>
          <w:sz w:val="16"/>
          <w:szCs w:val="16"/>
        </w:rPr>
        <w:t>10 августа 1942 «горбатые» из 673-го шап выполняли задание в районе реки Малая Тингута. Среди пилотов был старший сержант В.</w:t>
      </w:r>
      <w:r w:rsidR="001E2C69">
        <w:rPr>
          <w:color w:val="000000" w:themeColor="text1"/>
          <w:sz w:val="16"/>
          <w:szCs w:val="16"/>
        </w:rPr>
        <w:t xml:space="preserve">   </w:t>
      </w:r>
      <w:r w:rsidRPr="001E2C69">
        <w:rPr>
          <w:color w:val="000000" w:themeColor="text1"/>
          <w:sz w:val="16"/>
          <w:szCs w:val="16"/>
        </w:rPr>
        <w:t>А.</w:t>
      </w:r>
      <w:r w:rsidR="001E2C69">
        <w:rPr>
          <w:color w:val="000000" w:themeColor="text1"/>
          <w:sz w:val="16"/>
          <w:szCs w:val="16"/>
        </w:rPr>
        <w:t xml:space="preserve">   </w:t>
      </w:r>
      <w:r w:rsidRPr="001E2C69">
        <w:rPr>
          <w:color w:val="000000" w:themeColor="text1"/>
          <w:sz w:val="16"/>
          <w:szCs w:val="16"/>
        </w:rPr>
        <w:t>Рогальский, для которого это был первый боевой вылет. Когда в его Ил-2 попал зенитный снаряд, то молодой пилот, соответствующе обработанный пропагандой, сразу же решил совершить огненный таран. Вместо того чтобы попытаться дотянуть до своего аэродрома или же в крайнем случае совершить вынужденную посадку и вернуться в полк уже по земле, Рогальский некоторое время спокойно летел, видимо высматривая подходящую цель. В конце концов его штурмовик пошел вниз. По возвращении оставшиеся летчики доложили, что на месте падения самолета они наблюдали «несколько горящих немецких танков» (19522).</w:t>
      </w:r>
    </w:p>
    <w:p w14:paraId="3FEC64FC" w14:textId="77777777" w:rsidR="00151541" w:rsidRPr="001E2C69" w:rsidRDefault="00151541" w:rsidP="00722885">
      <w:pPr>
        <w:pStyle w:val="af"/>
        <w:spacing w:before="0" w:after="0"/>
        <w:jc w:val="both"/>
        <w:textAlignment w:val="baseline"/>
        <w:rPr>
          <w:color w:val="000000" w:themeColor="text1"/>
          <w:sz w:val="16"/>
          <w:szCs w:val="16"/>
        </w:rPr>
      </w:pPr>
    </w:p>
    <w:p w14:paraId="2A31C639" w14:textId="77777777" w:rsidR="00C5464C" w:rsidRPr="001E2C69" w:rsidRDefault="00C5464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10 августа 1942 в полку, помимо боевых доне</w:t>
      </w:r>
      <w:r w:rsidRPr="001E2C69">
        <w:rPr>
          <w:rFonts w:ascii="Times New Roman" w:hAnsi="Times New Roman"/>
          <w:color w:val="000000" w:themeColor="text1"/>
          <w:sz w:val="16"/>
          <w:szCs w:val="16"/>
        </w:rPr>
        <w:softHyphen/>
        <w:t>сений, начали подробно записывать отчеты о боевых вылетах в журнале боевых действий, что позволяет точно установить боевую работу ТБ-7 под командованием майора Э.К. Пусэпа и разных штурманов. В ночь с 10 на 11 августа полк в течение ночи два раза бомбил аэродром совхоза Дугино, ТБ-7 №42066 также совершил два боевых вылета в течение этой ночи, сбросив 8 ФАБ-250,16 ЗАБ-ЮОцк, 2 САБ-25. Время взлета 20.09, время бомбо</w:t>
      </w:r>
      <w:r w:rsidRPr="001E2C69">
        <w:rPr>
          <w:rFonts w:ascii="Times New Roman" w:hAnsi="Times New Roman"/>
          <w:color w:val="000000" w:themeColor="text1"/>
          <w:sz w:val="16"/>
          <w:szCs w:val="16"/>
        </w:rPr>
        <w:softHyphen/>
        <w:t>метания 21.40-21.54, время посадки 23.34. С высоты 3500-3800 м наблюдали.разрывы бомб в юго-восточной, юго-западной и цент</w:t>
      </w:r>
      <w:r w:rsidRPr="001E2C69">
        <w:rPr>
          <w:rFonts w:ascii="Times New Roman" w:hAnsi="Times New Roman"/>
          <w:color w:val="000000" w:themeColor="text1"/>
          <w:sz w:val="16"/>
          <w:szCs w:val="16"/>
        </w:rPr>
        <w:softHyphen/>
        <w:t>ральной части аэродрома. Возникло 8 очагов пожаров. Следующей ночью 11.08.42 г. ТБ-7 №42066 опять участвовал в налете на аэро</w:t>
      </w:r>
      <w:r w:rsidRPr="001E2C69">
        <w:rPr>
          <w:rFonts w:ascii="Times New Roman" w:hAnsi="Times New Roman"/>
          <w:color w:val="000000" w:themeColor="text1"/>
          <w:sz w:val="16"/>
          <w:szCs w:val="16"/>
        </w:rPr>
        <w:softHyphen/>
        <w:t>дром совхоза Дугино, сбросив 24 ФАБ-100, 2 РРАБ-2 (А0-25=36, ЗАБ-2,5=80) с высоты 3000 м. Время взлета 2.00, время бомбомета</w:t>
      </w:r>
      <w:r w:rsidRPr="001E2C69">
        <w:rPr>
          <w:rFonts w:ascii="Times New Roman" w:hAnsi="Times New Roman"/>
          <w:color w:val="000000" w:themeColor="text1"/>
          <w:sz w:val="16"/>
          <w:szCs w:val="16"/>
        </w:rPr>
        <w:softHyphen/>
        <w:t>ния 3.25-3.36, время посадки 4.56. Разрывы бомб наблюдали в юго-восточной, юго- западной и северо-западной части аэродро</w:t>
      </w:r>
      <w:r w:rsidRPr="001E2C69">
        <w:rPr>
          <w:rFonts w:ascii="Times New Roman" w:hAnsi="Times New Roman"/>
          <w:color w:val="000000" w:themeColor="text1"/>
          <w:sz w:val="16"/>
          <w:szCs w:val="16"/>
        </w:rPr>
        <w:softHyphen/>
        <w:t>ма. В северо-западной части на опушке леса возник пожар.</w:t>
      </w:r>
    </w:p>
    <w:p w14:paraId="528E49B4" w14:textId="77777777" w:rsidR="00C5464C" w:rsidRPr="001E2C69" w:rsidRDefault="00C5464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12.08.42. Экипаж Пусэп, Легкоступ. Цель - бомбардирование аэродрома города Смо</w:t>
      </w:r>
      <w:r w:rsidRPr="001E2C69">
        <w:rPr>
          <w:rFonts w:ascii="Times New Roman" w:hAnsi="Times New Roman"/>
          <w:color w:val="000000" w:themeColor="text1"/>
          <w:sz w:val="16"/>
          <w:szCs w:val="16"/>
        </w:rPr>
        <w:softHyphen/>
        <w:t xml:space="preserve">ленск. Сброшено 8 ФАБ-250, 2 РРАБ-2 (А0- 15 </w:t>
      </w:r>
      <w:r w:rsidRPr="001E2C69">
        <w:rPr>
          <w:rStyle w:val="423"/>
          <w:rFonts w:ascii="Times New Roman" w:hAnsi="Times New Roman" w:cs="Times New Roman"/>
          <w:color w:val="000000" w:themeColor="text1"/>
          <w:sz w:val="16"/>
          <w:szCs w:val="16"/>
        </w:rPr>
        <w:t xml:space="preserve">- </w:t>
      </w:r>
      <w:r w:rsidRPr="001E2C69">
        <w:rPr>
          <w:rFonts w:ascii="Times New Roman" w:hAnsi="Times New Roman"/>
          <w:color w:val="000000" w:themeColor="text1"/>
          <w:sz w:val="16"/>
          <w:szCs w:val="16"/>
        </w:rPr>
        <w:t>80) с высоты 6000 м. Время взлета 20.17, время бомбометания 22.21, время посадки 00.10. Отмечено попадание бомб в юго-вос</w:t>
      </w:r>
      <w:r w:rsidRPr="001E2C69">
        <w:rPr>
          <w:rFonts w:ascii="Times New Roman" w:hAnsi="Times New Roman"/>
          <w:color w:val="000000" w:themeColor="text1"/>
          <w:sz w:val="16"/>
          <w:szCs w:val="16"/>
        </w:rPr>
        <w:softHyphen/>
        <w:t>точную часть аэродрома. В результате воз</w:t>
      </w:r>
      <w:r w:rsidRPr="001E2C69">
        <w:rPr>
          <w:rFonts w:ascii="Times New Roman" w:hAnsi="Times New Roman"/>
          <w:color w:val="000000" w:themeColor="text1"/>
          <w:sz w:val="16"/>
          <w:szCs w:val="16"/>
        </w:rPr>
        <w:softHyphen/>
        <w:t>никло два пожара и был уничтожен один про</w:t>
      </w:r>
      <w:r w:rsidRPr="001E2C69">
        <w:rPr>
          <w:rFonts w:ascii="Times New Roman" w:hAnsi="Times New Roman"/>
          <w:color w:val="000000" w:themeColor="text1"/>
          <w:sz w:val="16"/>
          <w:szCs w:val="16"/>
        </w:rPr>
        <w:softHyphen/>
        <w:t>жектор.</w:t>
      </w:r>
    </w:p>
    <w:p w14:paraId="37AE65CB" w14:textId="77777777" w:rsidR="00C5464C" w:rsidRPr="001E2C69" w:rsidRDefault="00C5464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13.08.42. Экипаж Пусэп, Легкоступ. Цель - бомбардирование аэродрома Сеща. Сбро</w:t>
      </w:r>
      <w:r w:rsidRPr="001E2C69">
        <w:rPr>
          <w:rFonts w:ascii="Times New Roman" w:hAnsi="Times New Roman"/>
          <w:color w:val="000000" w:themeColor="text1"/>
          <w:sz w:val="16"/>
          <w:szCs w:val="16"/>
        </w:rPr>
        <w:softHyphen/>
        <w:t xml:space="preserve">шено 4 ФАБ 500,2 РРАБ-2 (А0-15 </w:t>
      </w:r>
      <w:r w:rsidRPr="001E2C69">
        <w:rPr>
          <w:rStyle w:val="434"/>
          <w:rFonts w:ascii="Times New Roman" w:hAnsi="Times New Roman" w:cs="Times New Roman"/>
          <w:color w:val="000000" w:themeColor="text1"/>
          <w:sz w:val="16"/>
          <w:szCs w:val="16"/>
        </w:rPr>
        <w:t xml:space="preserve">- </w:t>
      </w:r>
      <w:r w:rsidRPr="001E2C69">
        <w:rPr>
          <w:rFonts w:ascii="Times New Roman" w:hAnsi="Times New Roman"/>
          <w:color w:val="000000" w:themeColor="text1"/>
          <w:sz w:val="16"/>
          <w:szCs w:val="16"/>
        </w:rPr>
        <w:t>80) с 4200 м. Время взлета 20.18, время бомбометания 21.43, время посадки 23.38. Разрывы бомб в юго-западной и центральной части аэродро</w:t>
      </w:r>
      <w:r w:rsidRPr="001E2C69">
        <w:rPr>
          <w:rFonts w:ascii="Times New Roman" w:hAnsi="Times New Roman"/>
          <w:color w:val="000000" w:themeColor="text1"/>
          <w:sz w:val="16"/>
          <w:szCs w:val="16"/>
        </w:rPr>
        <w:softHyphen/>
        <w:t>ма, возникло два пожара.</w:t>
      </w:r>
    </w:p>
    <w:p w14:paraId="3883E9B3" w14:textId="77777777" w:rsidR="00C5464C" w:rsidRPr="001E2C69" w:rsidRDefault="00C5464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14.08.42. Экипаж Пусэп, Легкоступ. Цель - бомбардирование аэродрома Шаталово. Сброшено 8 ФАБ 250, 2 РРАБ-2 (А0-10 </w:t>
      </w:r>
      <w:r w:rsidRPr="001E2C69">
        <w:rPr>
          <w:rStyle w:val="434"/>
          <w:rFonts w:ascii="Times New Roman" w:hAnsi="Times New Roman" w:cs="Times New Roman"/>
          <w:color w:val="000000" w:themeColor="text1"/>
          <w:sz w:val="16"/>
          <w:szCs w:val="16"/>
        </w:rPr>
        <w:t xml:space="preserve">- </w:t>
      </w:r>
      <w:r w:rsidRPr="001E2C69">
        <w:rPr>
          <w:rFonts w:ascii="Times New Roman" w:hAnsi="Times New Roman"/>
          <w:color w:val="000000" w:themeColor="text1"/>
          <w:sz w:val="16"/>
          <w:szCs w:val="16"/>
        </w:rPr>
        <w:t xml:space="preserve">105, ЗАБ-2,5 </w:t>
      </w:r>
      <w:r w:rsidRPr="001E2C69">
        <w:rPr>
          <w:rStyle w:val="423"/>
          <w:rFonts w:ascii="Times New Roman" w:hAnsi="Times New Roman" w:cs="Times New Roman"/>
          <w:color w:val="000000" w:themeColor="text1"/>
          <w:sz w:val="16"/>
          <w:szCs w:val="16"/>
        </w:rPr>
        <w:t xml:space="preserve">- </w:t>
      </w:r>
      <w:r w:rsidRPr="001E2C69">
        <w:rPr>
          <w:rFonts w:ascii="Times New Roman" w:hAnsi="Times New Roman"/>
          <w:color w:val="000000" w:themeColor="text1"/>
          <w:sz w:val="16"/>
          <w:szCs w:val="16"/>
        </w:rPr>
        <w:t>40), 2 САБ-25 с высоты 3000 м. Время взлета 20.10, время бомбометания 22.08, время посадки 00.10. Наблюдали раз</w:t>
      </w:r>
      <w:r w:rsidRPr="001E2C69">
        <w:rPr>
          <w:rFonts w:ascii="Times New Roman" w:hAnsi="Times New Roman"/>
          <w:color w:val="000000" w:themeColor="text1"/>
          <w:sz w:val="16"/>
          <w:szCs w:val="16"/>
        </w:rPr>
        <w:softHyphen/>
        <w:t>рывы бомб в юго-западной части аэродрома и перекрыта РРАБами южная часть аэродро</w:t>
      </w:r>
      <w:r w:rsidRPr="001E2C69">
        <w:rPr>
          <w:rFonts w:ascii="Times New Roman" w:hAnsi="Times New Roman"/>
          <w:color w:val="000000" w:themeColor="text1"/>
          <w:sz w:val="16"/>
          <w:szCs w:val="16"/>
        </w:rPr>
        <w:softHyphen/>
        <w:t>ма. В результате бомбометания возникло три пожара, два из них крупных (19936).</w:t>
      </w:r>
    </w:p>
    <w:p w14:paraId="37A94069" w14:textId="77777777" w:rsidR="00C5464C" w:rsidRPr="001E2C69" w:rsidRDefault="00C5464C" w:rsidP="00722885">
      <w:pPr>
        <w:spacing w:after="0" w:line="240" w:lineRule="auto"/>
        <w:jc w:val="both"/>
        <w:rPr>
          <w:rFonts w:ascii="Times New Roman" w:hAnsi="Times New Roman"/>
          <w:color w:val="000000" w:themeColor="text1"/>
          <w:sz w:val="16"/>
          <w:szCs w:val="16"/>
        </w:rPr>
      </w:pPr>
    </w:p>
    <w:p w14:paraId="6AEB0132"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августа в 1942 году в СССР немецкая армия захватывает Майкоп и начинает наступление на Грозный и Баку (14979).</w:t>
      </w:r>
    </w:p>
    <w:p w14:paraId="5499B959"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2868719C"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августа в 1942 году немецкие войска заняли Кисловодск (14979).</w:t>
      </w:r>
    </w:p>
    <w:p w14:paraId="49DB4530"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7BFA2244"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августа в 1942 году разгром войск 62-й общевойсковой и 1-й танковой армий, прикрывавших Сталинград в Большой излучине Дона. Разбито девять стрелковых дивизий и семь танковых бригад, пленены 57 тысяч красноармейцев, потеряна тысяча танков. Советские войска отошли на правый берег Дона и заняли оборону (14979).</w:t>
      </w:r>
    </w:p>
    <w:p w14:paraId="4601971E"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460F4306"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августа в 1942 году войска Юго-Восточного фронта нанесли контрудар в районе Абганерово и вынудили 4-ю танковую армию противника перейти к обороне (14979).</w:t>
      </w:r>
    </w:p>
    <w:p w14:paraId="528B10F3"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3C1616F7"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августа в 1942 году войска противника захватили Майкоп, Белореченскую (в ее районе плацдарм на левом берегу реки Белой) и вышли к реке Кубань (14979).</w:t>
      </w:r>
    </w:p>
    <w:p w14:paraId="367BCFA8"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46DA364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 августа 1942 звено и ВВС ЧМФ л Д.В.Зюзина, патрулируя над Туапсе, встретила 30 б и атаковала. Зюзин сбил ведущего, потом еще один Не-111 и стал ГСС (438,855).</w:t>
      </w:r>
    </w:p>
    <w:p w14:paraId="3C60F7E4" w14:textId="77777777" w:rsidR="00AE7191" w:rsidRPr="001E2C69" w:rsidRDefault="00AE7191" w:rsidP="00722885">
      <w:pPr>
        <w:pStyle w:val="Iauiue"/>
        <w:jc w:val="both"/>
        <w:rPr>
          <w:color w:val="000000" w:themeColor="text1"/>
          <w:sz w:val="16"/>
          <w:szCs w:val="16"/>
        </w:rPr>
      </w:pPr>
    </w:p>
    <w:p w14:paraId="6F12C53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 августа 1942 на взлете в Геленджике была подбита и погибла АНТ-44 (1794,20).</w:t>
      </w:r>
    </w:p>
    <w:p w14:paraId="3E248B39" w14:textId="77777777" w:rsidR="00AE7191" w:rsidRPr="001E2C69" w:rsidRDefault="00AE7191" w:rsidP="00722885">
      <w:pPr>
        <w:pStyle w:val="Iauiue"/>
        <w:jc w:val="both"/>
        <w:rPr>
          <w:color w:val="000000" w:themeColor="text1"/>
          <w:sz w:val="16"/>
          <w:szCs w:val="16"/>
        </w:rPr>
      </w:pPr>
    </w:p>
    <w:p w14:paraId="1AFDE50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августа 1942 г. МТБ подготовили к вылету - подвесили 12 ФАБ-250. Стоял штиль, поэтому с первого, и даже со второго раза, тяжело нагруженный самолет оторваться от воды не смог. В третьей попытке, в момент отрыва от поверхности бухты, взлетающий МТБ-2 атаковали два истребителя Ме-110 (или Ме-109) и он врезался в воду. В живых остался только командир корабля капитан Наумов - его выбросило из кабины и, по его личному свидетельству, он даже не успел ничего понять. Погибли штурман капитан И.П.Грязных, второй пилот ст. лейтенант А.А.Чайка, радиотехник лейтенант Н.К.Назаров, стрелок ст. сержант М.М.Дубина, стрелок-радист младший сержант А.У.Кошнар.</w:t>
      </w:r>
    </w:p>
    <w:p w14:paraId="1948C0F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Расследование инцидента было коротким: виновником гибели экипажа и самолета объявили капитана Наумова: якобы он рано начал разворот на взлете и задел крылом воду, далее последовала катастрофа. Позднее Наумова перевели для продолжения службы на Северный флот.</w:t>
      </w:r>
    </w:p>
    <w:p w14:paraId="171ED79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Останки МТБ-2 более сорока лет пролежали в море, на глубине 10-12 метров на выходе из Ге- ленджикской бухты у Толстого мыса. В 1988- 1989 гг. место падения самолета обследовали водолазы самодеятельной группы "Поиск" на предмет возможности подъема его на поверхность. Однако осмотр показал, что обломки машины перемешаны с неразорвавшимися бомбами (теми самыми, с которыми МТБ уходил в боевой полет). Операция по подъему была отложена, а затем вызванные из Севастополя саперы подорвали опасную находку прямо на дне. </w:t>
      </w:r>
    </w:p>
    <w:p w14:paraId="1542516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 xml:space="preserve">Основные технические характеристики и летные данные АНТ-44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437"/>
        <w:gridCol w:w="3437"/>
        <w:gridCol w:w="3437"/>
      </w:tblGrid>
      <w:tr w:rsidR="001E2C69" w:rsidRPr="001E2C69" w14:paraId="79358E59" w14:textId="77777777" w:rsidTr="00CC5360">
        <w:tc>
          <w:tcPr>
            <w:tcW w:w="3437" w:type="dxa"/>
            <w:tcBorders>
              <w:top w:val="single" w:sz="12" w:space="0" w:color="auto"/>
            </w:tcBorders>
          </w:tcPr>
          <w:p w14:paraId="2C393B60"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3437" w:type="dxa"/>
            <w:tcBorders>
              <w:top w:val="single" w:sz="12" w:space="0" w:color="auto"/>
            </w:tcBorders>
          </w:tcPr>
          <w:p w14:paraId="2AA7A7B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АНТ-44</w:t>
            </w:r>
          </w:p>
        </w:tc>
        <w:tc>
          <w:tcPr>
            <w:tcW w:w="3437" w:type="dxa"/>
            <w:tcBorders>
              <w:top w:val="single" w:sz="12" w:space="0" w:color="auto"/>
            </w:tcBorders>
          </w:tcPr>
          <w:p w14:paraId="7CDB040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АНТ-44Д</w:t>
            </w:r>
          </w:p>
        </w:tc>
      </w:tr>
      <w:tr w:rsidR="001E2C69" w:rsidRPr="001E2C69" w14:paraId="0EC51ED3" w14:textId="77777777" w:rsidTr="00CC5360">
        <w:tc>
          <w:tcPr>
            <w:tcW w:w="3437" w:type="dxa"/>
          </w:tcPr>
          <w:p w14:paraId="16A2F36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Двигатели</w:t>
            </w:r>
          </w:p>
        </w:tc>
        <w:tc>
          <w:tcPr>
            <w:tcW w:w="3437" w:type="dxa"/>
          </w:tcPr>
          <w:p w14:paraId="0461899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М-85</w:t>
            </w:r>
          </w:p>
        </w:tc>
        <w:tc>
          <w:tcPr>
            <w:tcW w:w="3437" w:type="dxa"/>
          </w:tcPr>
          <w:p w14:paraId="2CE9574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М-87</w:t>
            </w:r>
          </w:p>
        </w:tc>
      </w:tr>
      <w:tr w:rsidR="001E2C69" w:rsidRPr="001E2C69" w14:paraId="2682C0BA" w14:textId="77777777" w:rsidTr="00CC5360">
        <w:tc>
          <w:tcPr>
            <w:tcW w:w="3437" w:type="dxa"/>
          </w:tcPr>
          <w:p w14:paraId="3B3C3FB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Длина в линии полета (м)</w:t>
            </w:r>
          </w:p>
        </w:tc>
        <w:tc>
          <w:tcPr>
            <w:tcW w:w="3437" w:type="dxa"/>
          </w:tcPr>
          <w:p w14:paraId="11646E9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21,15</w:t>
            </w:r>
          </w:p>
        </w:tc>
        <w:tc>
          <w:tcPr>
            <w:tcW w:w="3437" w:type="dxa"/>
          </w:tcPr>
          <w:p w14:paraId="54F3C2B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21,94</w:t>
            </w:r>
          </w:p>
        </w:tc>
      </w:tr>
      <w:tr w:rsidR="001E2C69" w:rsidRPr="001E2C69" w14:paraId="41E23BD8" w14:textId="77777777" w:rsidTr="00CC5360">
        <w:tc>
          <w:tcPr>
            <w:tcW w:w="3437" w:type="dxa"/>
          </w:tcPr>
          <w:p w14:paraId="012860E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Высота в линии полета (м)</w:t>
            </w:r>
          </w:p>
        </w:tc>
        <w:tc>
          <w:tcPr>
            <w:tcW w:w="3437" w:type="dxa"/>
          </w:tcPr>
          <w:p w14:paraId="051A8D1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7,875</w:t>
            </w:r>
          </w:p>
        </w:tc>
        <w:tc>
          <w:tcPr>
            <w:tcW w:w="3437" w:type="dxa"/>
          </w:tcPr>
          <w:p w14:paraId="66A4231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8,300</w:t>
            </w:r>
          </w:p>
        </w:tc>
      </w:tr>
      <w:tr w:rsidR="001E2C69" w:rsidRPr="001E2C69" w14:paraId="664296E8" w14:textId="77777777" w:rsidTr="00CC5360">
        <w:tc>
          <w:tcPr>
            <w:tcW w:w="3437" w:type="dxa"/>
          </w:tcPr>
          <w:p w14:paraId="1F1EA0F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Размах крыла (м)</w:t>
            </w:r>
          </w:p>
        </w:tc>
        <w:tc>
          <w:tcPr>
            <w:tcW w:w="3437" w:type="dxa"/>
          </w:tcPr>
          <w:p w14:paraId="7510FE5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35,450</w:t>
            </w:r>
          </w:p>
        </w:tc>
        <w:tc>
          <w:tcPr>
            <w:tcW w:w="3437" w:type="dxa"/>
          </w:tcPr>
          <w:p w14:paraId="27FB143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36,450</w:t>
            </w:r>
          </w:p>
        </w:tc>
      </w:tr>
      <w:tr w:rsidR="001E2C69" w:rsidRPr="001E2C69" w14:paraId="3F60DD6C" w14:textId="77777777" w:rsidTr="00CC5360">
        <w:tc>
          <w:tcPr>
            <w:tcW w:w="3437" w:type="dxa"/>
          </w:tcPr>
          <w:p w14:paraId="23A42CD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крыла (мг)</w:t>
            </w:r>
          </w:p>
        </w:tc>
        <w:tc>
          <w:tcPr>
            <w:tcW w:w="3437" w:type="dxa"/>
          </w:tcPr>
          <w:p w14:paraId="6C58A61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143,5</w:t>
            </w:r>
          </w:p>
        </w:tc>
        <w:tc>
          <w:tcPr>
            <w:tcW w:w="3437" w:type="dxa"/>
          </w:tcPr>
          <w:p w14:paraId="1FE8C1D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146,7</w:t>
            </w:r>
          </w:p>
        </w:tc>
      </w:tr>
      <w:tr w:rsidR="001E2C69" w:rsidRPr="001E2C69" w14:paraId="543BC5E1" w14:textId="77777777" w:rsidTr="00CC5360">
        <w:tc>
          <w:tcPr>
            <w:tcW w:w="3437" w:type="dxa"/>
          </w:tcPr>
          <w:p w14:paraId="021B584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Вес пустого (кг)</w:t>
            </w:r>
          </w:p>
        </w:tc>
        <w:tc>
          <w:tcPr>
            <w:tcW w:w="3437" w:type="dxa"/>
          </w:tcPr>
          <w:p w14:paraId="6E1709D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11528</w:t>
            </w:r>
          </w:p>
        </w:tc>
        <w:tc>
          <w:tcPr>
            <w:tcW w:w="3437" w:type="dxa"/>
          </w:tcPr>
          <w:p w14:paraId="04E159B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11249</w:t>
            </w:r>
          </w:p>
        </w:tc>
      </w:tr>
      <w:tr w:rsidR="001E2C69" w:rsidRPr="001E2C69" w14:paraId="5899F43B" w14:textId="77777777" w:rsidTr="00CC5360">
        <w:tc>
          <w:tcPr>
            <w:tcW w:w="3437" w:type="dxa"/>
          </w:tcPr>
          <w:p w14:paraId="1423210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Полетный вес (кг)</w:t>
            </w:r>
          </w:p>
        </w:tc>
        <w:tc>
          <w:tcPr>
            <w:tcW w:w="3437" w:type="dxa"/>
          </w:tcPr>
          <w:p w14:paraId="22B5FC2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17540*</w:t>
            </w:r>
          </w:p>
        </w:tc>
        <w:tc>
          <w:tcPr>
            <w:tcW w:w="3437" w:type="dxa"/>
          </w:tcPr>
          <w:p w14:paraId="3A97476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18500</w:t>
            </w:r>
          </w:p>
        </w:tc>
      </w:tr>
      <w:tr w:rsidR="001E2C69" w:rsidRPr="001E2C69" w14:paraId="2E34802A" w14:textId="77777777" w:rsidTr="00CC5360">
        <w:tc>
          <w:tcPr>
            <w:tcW w:w="3437" w:type="dxa"/>
          </w:tcPr>
          <w:p w14:paraId="253B6AC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Максимальный полетный вес(кг)</w:t>
            </w:r>
          </w:p>
        </w:tc>
        <w:tc>
          <w:tcPr>
            <w:tcW w:w="3437" w:type="dxa"/>
          </w:tcPr>
          <w:p w14:paraId="737C2AF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21000</w:t>
            </w:r>
          </w:p>
        </w:tc>
        <w:tc>
          <w:tcPr>
            <w:tcW w:w="3437" w:type="dxa"/>
          </w:tcPr>
          <w:p w14:paraId="7D89E57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22000</w:t>
            </w:r>
          </w:p>
        </w:tc>
      </w:tr>
      <w:tr w:rsidR="001E2C69" w:rsidRPr="001E2C69" w14:paraId="39FDF348" w14:textId="77777777" w:rsidTr="00CC5360">
        <w:tc>
          <w:tcPr>
            <w:tcW w:w="3437" w:type="dxa"/>
          </w:tcPr>
          <w:p w14:paraId="2F2589D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Нагрузка на крыло (кг/мг)</w:t>
            </w:r>
          </w:p>
        </w:tc>
        <w:tc>
          <w:tcPr>
            <w:tcW w:w="3437" w:type="dxa"/>
          </w:tcPr>
          <w:p w14:paraId="4E2530D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122-146</w:t>
            </w:r>
          </w:p>
        </w:tc>
        <w:tc>
          <w:tcPr>
            <w:tcW w:w="3437" w:type="dxa"/>
          </w:tcPr>
          <w:p w14:paraId="03CF124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126-150</w:t>
            </w:r>
          </w:p>
        </w:tc>
      </w:tr>
      <w:tr w:rsidR="001E2C69" w:rsidRPr="001E2C69" w14:paraId="292F8F73" w14:textId="77777777" w:rsidTr="00CC5360">
        <w:tc>
          <w:tcPr>
            <w:tcW w:w="3437" w:type="dxa"/>
          </w:tcPr>
          <w:p w14:paraId="5E6AECC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Скорость макс, у земли (км/ч)</w:t>
            </w:r>
          </w:p>
        </w:tc>
        <w:tc>
          <w:tcPr>
            <w:tcW w:w="3437" w:type="dxa"/>
          </w:tcPr>
          <w:p w14:paraId="470B073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285</w:t>
            </w:r>
          </w:p>
        </w:tc>
        <w:tc>
          <w:tcPr>
            <w:tcW w:w="3437" w:type="dxa"/>
          </w:tcPr>
          <w:p w14:paraId="0D203F7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295</w:t>
            </w:r>
          </w:p>
        </w:tc>
      </w:tr>
      <w:tr w:rsidR="001E2C69" w:rsidRPr="001E2C69" w14:paraId="77325B7A" w14:textId="77777777" w:rsidTr="00CC5360">
        <w:tc>
          <w:tcPr>
            <w:tcW w:w="3437" w:type="dxa"/>
          </w:tcPr>
          <w:p w14:paraId="209EF2B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Скорость макс, на высоте 3000 м (км/ч)</w:t>
            </w:r>
          </w:p>
        </w:tc>
        <w:tc>
          <w:tcPr>
            <w:tcW w:w="3437" w:type="dxa"/>
          </w:tcPr>
          <w:p w14:paraId="0CD30CD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326**</w:t>
            </w:r>
          </w:p>
        </w:tc>
        <w:tc>
          <w:tcPr>
            <w:tcW w:w="3437" w:type="dxa"/>
          </w:tcPr>
          <w:p w14:paraId="17A02ED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355</w:t>
            </w:r>
          </w:p>
        </w:tc>
      </w:tr>
      <w:tr w:rsidR="001E2C69" w:rsidRPr="001E2C69" w14:paraId="0809D0B7" w14:textId="77777777" w:rsidTr="00CC5360">
        <w:tc>
          <w:tcPr>
            <w:tcW w:w="3437" w:type="dxa"/>
          </w:tcPr>
          <w:p w14:paraId="61EC41F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Скорость посадочная (км/ч)</w:t>
            </w:r>
          </w:p>
        </w:tc>
        <w:tc>
          <w:tcPr>
            <w:tcW w:w="3437" w:type="dxa"/>
          </w:tcPr>
          <w:p w14:paraId="3FAAA6A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125</w:t>
            </w:r>
          </w:p>
        </w:tc>
        <w:tc>
          <w:tcPr>
            <w:tcW w:w="3437" w:type="dxa"/>
          </w:tcPr>
          <w:p w14:paraId="10C8F27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125</w:t>
            </w:r>
          </w:p>
        </w:tc>
      </w:tr>
      <w:tr w:rsidR="001E2C69" w:rsidRPr="001E2C69" w14:paraId="13CACB93" w14:textId="77777777" w:rsidTr="00CC5360">
        <w:tc>
          <w:tcPr>
            <w:tcW w:w="3437" w:type="dxa"/>
          </w:tcPr>
          <w:p w14:paraId="7B98B30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Время набора высоты 5000 м (мин)</w:t>
            </w:r>
          </w:p>
        </w:tc>
        <w:tc>
          <w:tcPr>
            <w:tcW w:w="3437" w:type="dxa"/>
          </w:tcPr>
          <w:p w14:paraId="2C18F66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28,3</w:t>
            </w:r>
          </w:p>
        </w:tc>
        <w:tc>
          <w:tcPr>
            <w:tcW w:w="3437" w:type="dxa"/>
          </w:tcPr>
          <w:p w14:paraId="54B08AD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25,5</w:t>
            </w:r>
          </w:p>
        </w:tc>
      </w:tr>
      <w:tr w:rsidR="001E2C69" w:rsidRPr="001E2C69" w14:paraId="212C2C42" w14:textId="77777777" w:rsidTr="00CC5360">
        <w:tc>
          <w:tcPr>
            <w:tcW w:w="3437" w:type="dxa"/>
          </w:tcPr>
          <w:p w14:paraId="65F070B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Потолок практический (м)</w:t>
            </w:r>
          </w:p>
        </w:tc>
        <w:tc>
          <w:tcPr>
            <w:tcW w:w="3437" w:type="dxa"/>
          </w:tcPr>
          <w:p w14:paraId="5421CE3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6600</w:t>
            </w:r>
          </w:p>
        </w:tc>
        <w:tc>
          <w:tcPr>
            <w:tcW w:w="3437" w:type="dxa"/>
          </w:tcPr>
          <w:p w14:paraId="2FEFE4E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7500</w:t>
            </w:r>
          </w:p>
        </w:tc>
      </w:tr>
      <w:tr w:rsidR="001E2C69" w:rsidRPr="001E2C69" w14:paraId="204E333F" w14:textId="77777777" w:rsidTr="00CC5360">
        <w:tc>
          <w:tcPr>
            <w:tcW w:w="3437" w:type="dxa"/>
          </w:tcPr>
          <w:p w14:paraId="36AAB35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Длина разбега с весом 18000 кг (м)</w:t>
            </w:r>
          </w:p>
        </w:tc>
        <w:tc>
          <w:tcPr>
            <w:tcW w:w="3437" w:type="dxa"/>
          </w:tcPr>
          <w:p w14:paraId="4DB023B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800-900</w:t>
            </w:r>
          </w:p>
        </w:tc>
        <w:tc>
          <w:tcPr>
            <w:tcW w:w="3437" w:type="dxa"/>
          </w:tcPr>
          <w:p w14:paraId="79572C5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r>
      <w:tr w:rsidR="001E2C69" w:rsidRPr="001E2C69" w14:paraId="36233350" w14:textId="77777777" w:rsidTr="00CC5360">
        <w:tc>
          <w:tcPr>
            <w:tcW w:w="3437" w:type="dxa"/>
          </w:tcPr>
          <w:p w14:paraId="7310BFB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Дальность полета нормальная (км)</w:t>
            </w:r>
          </w:p>
        </w:tc>
        <w:tc>
          <w:tcPr>
            <w:tcW w:w="3437" w:type="dxa"/>
          </w:tcPr>
          <w:p w14:paraId="6498BD4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2080</w:t>
            </w:r>
          </w:p>
        </w:tc>
        <w:tc>
          <w:tcPr>
            <w:tcW w:w="3437" w:type="dxa"/>
          </w:tcPr>
          <w:p w14:paraId="52A2444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3000</w:t>
            </w:r>
          </w:p>
        </w:tc>
      </w:tr>
      <w:tr w:rsidR="001E2C69" w:rsidRPr="001E2C69" w14:paraId="54242FEE" w14:textId="77777777" w:rsidTr="00CC5360">
        <w:tc>
          <w:tcPr>
            <w:tcW w:w="3437" w:type="dxa"/>
            <w:tcBorders>
              <w:bottom w:val="single" w:sz="12" w:space="0" w:color="auto"/>
            </w:tcBorders>
          </w:tcPr>
          <w:p w14:paraId="7F7448C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Дальность полета максимальная (км)</w:t>
            </w:r>
          </w:p>
        </w:tc>
        <w:tc>
          <w:tcPr>
            <w:tcW w:w="3437" w:type="dxa"/>
            <w:tcBorders>
              <w:bottom w:val="single" w:sz="12" w:space="0" w:color="auto"/>
            </w:tcBorders>
          </w:tcPr>
          <w:p w14:paraId="2B189D1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4390</w:t>
            </w:r>
          </w:p>
        </w:tc>
        <w:tc>
          <w:tcPr>
            <w:tcW w:w="3437" w:type="dxa"/>
            <w:tcBorders>
              <w:bottom w:val="single" w:sz="12" w:space="0" w:color="auto"/>
            </w:tcBorders>
          </w:tcPr>
          <w:p w14:paraId="6A4E2D1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4400</w:t>
            </w:r>
          </w:p>
        </w:tc>
      </w:tr>
    </w:tbl>
    <w:p w14:paraId="0B4FAB3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С бомбами 2000 кг и запасом горючего 1800 кг. Максимальный взлетный вес 21000 кг, без бомб, с запасом горючего 6800 кг.</w:t>
      </w:r>
    </w:p>
    <w:p w14:paraId="0A68D43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С двигателями М-87 максимальная скорость 355 км/ч на высоте 3750 м, с М-87А 364 км/ч на высоте 5000 м (11962).</w:t>
      </w:r>
    </w:p>
    <w:p w14:paraId="72A3383F"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AB1AE0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августа 1942 г. вышло РАСПОРЯЖЕНИЕ ЗАМЕСТИТЕЛЯ НАРКОМА ОБОРОНЫ СССР В ВОЕННЫЙ СОВЕТ 22-й АРМИИ В СВЯЗИ С БОЛЬШИМИ ПОТЕРЯМИ ТАНКОВ</w:t>
      </w:r>
    </w:p>
    <w:p w14:paraId="0D6E97D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Танковые соединения Калининского фронта за период с 2 по 13.07.1942 г. понесли большие по</w:t>
      </w:r>
      <w:r w:rsidRPr="001E2C69">
        <w:rPr>
          <w:rFonts w:ascii="Times New Roman" w:hAnsi="Times New Roman"/>
          <w:color w:val="000000" w:themeColor="text1"/>
          <w:sz w:val="16"/>
          <w:szCs w:val="16"/>
        </w:rPr>
        <w:softHyphen/>
        <w:t>тери. Причинами потерь служит грубое, преступное нарушение приказов Ставки № 057, 0455.</w:t>
      </w:r>
    </w:p>
    <w:p w14:paraId="66C4D83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Практическое взаимодействие танков с другими родами войск на поле боя было организовано плохо. Разведка огневых средств и сил противника, особенно его противотанковой обороны прово</w:t>
      </w:r>
      <w:r w:rsidRPr="001E2C69">
        <w:rPr>
          <w:rFonts w:ascii="Times New Roman" w:hAnsi="Times New Roman"/>
          <w:color w:val="000000" w:themeColor="text1"/>
          <w:sz w:val="16"/>
          <w:szCs w:val="16"/>
        </w:rPr>
        <w:softHyphen/>
        <w:t>дилась слабо, местность не разведывалась. Танковые части в обороне и наступлении распылялись.</w:t>
      </w:r>
    </w:p>
    <w:p w14:paraId="28A7BB8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5.07 81 тбр была брошена в ночной бой после 160 км марша. Бригада была не готова для боя, вопро</w:t>
      </w:r>
      <w:r w:rsidRPr="001E2C69">
        <w:rPr>
          <w:rFonts w:ascii="Times New Roman" w:hAnsi="Times New Roman"/>
          <w:color w:val="000000" w:themeColor="text1"/>
          <w:sz w:val="16"/>
          <w:szCs w:val="16"/>
        </w:rPr>
        <w:softHyphen/>
        <w:t>сы разведки и взаимодействия не были отработаны. Танки ночью самостоятельно вести бой не могут.</w:t>
      </w:r>
    </w:p>
    <w:p w14:paraId="45D1119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результате такого преступного использования танков бригада потеряла 23 танка.</w:t>
      </w:r>
    </w:p>
    <w:p w14:paraId="009BA90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Действия 104, 148 тбр с 5 по 9.07.1942г. совершенно не были поддержаны частями 179 сд, НЗсбр. Пехота за танками не шла, несмотря на успех боя, больше того, части 179 сд ушли с поля боя, не пре</w:t>
      </w:r>
      <w:r w:rsidRPr="001E2C69">
        <w:rPr>
          <w:rFonts w:ascii="Times New Roman" w:hAnsi="Times New Roman"/>
          <w:color w:val="000000" w:themeColor="text1"/>
          <w:sz w:val="16"/>
          <w:szCs w:val="16"/>
        </w:rPr>
        <w:softHyphen/>
        <w:t>дупредив танки, пути отхода бригады заминировали, а в районе дер. Прилушки сделали лесные зава</w:t>
      </w:r>
      <w:r w:rsidRPr="001E2C69">
        <w:rPr>
          <w:rFonts w:ascii="Times New Roman" w:hAnsi="Times New Roman"/>
          <w:color w:val="000000" w:themeColor="text1"/>
          <w:sz w:val="16"/>
          <w:szCs w:val="16"/>
        </w:rPr>
        <w:softHyphen/>
        <w:t>лы, вследствии чего бригада потеряла на минах 13 танков.</w:t>
      </w:r>
    </w:p>
    <w:p w14:paraId="6EAFC0E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Донести мне конкретных виновников подобного преступного использования танков и какие приняты меры к ним.</w:t>
      </w:r>
    </w:p>
    <w:p w14:paraId="6788AF4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Заместитель народного комиссара обороны Союза ССР генерал-лейтенант танковых войск Федоренко</w:t>
      </w:r>
    </w:p>
    <w:p w14:paraId="01B8BC6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ЦАМО. Ф. 38. Оп. 11353. Д. 14. Л. 95-96. Подлинник (11211).</w:t>
      </w:r>
    </w:p>
    <w:p w14:paraId="2720F9E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371F48F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 августа 1942 закончилась оборона Сталинграда на дальних подступах (340,92).</w:t>
      </w:r>
    </w:p>
    <w:p w14:paraId="463F11DC" w14:textId="77777777" w:rsidR="00AE7191" w:rsidRPr="001E2C69" w:rsidRDefault="00AE7191" w:rsidP="00722885">
      <w:pPr>
        <w:pStyle w:val="Iauiue"/>
        <w:jc w:val="both"/>
        <w:rPr>
          <w:color w:val="000000" w:themeColor="text1"/>
          <w:sz w:val="16"/>
          <w:szCs w:val="16"/>
        </w:rPr>
      </w:pPr>
    </w:p>
    <w:p w14:paraId="7C9CEE8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 августа 1942 года, когда бои уже перекинулись в район предгорий Кавказа, жаркие воздушные бои разгорались над Новороссийском. Немцы бросили на город 59 бомбардировщиков и 20 истребителей, в то время как советская сторона отправила на перехват машины 7-го и 62-го ИАП. Оба полка заявили 6 Не-111 и 3 Вf109, потеряв 2 ЛаГГ-3. Неожиданно разворачивался бой с участием младшего лейтенанта М. Борисова из 62-го ИАП. Он сбил один Не-111, но и его ЛаГГ получил попадание. Падающий истребитель врезался в шедший рядом немецкий бомбардировщик, а разлетевшиеся обломки накрыли еще один немецкий бомбовоз. 23 года спустя Борисова посмертно представили к Золотой Звезде Героя (2691).</w:t>
      </w:r>
    </w:p>
    <w:p w14:paraId="2B768C94" w14:textId="77777777" w:rsidR="00AE7191" w:rsidRPr="001E2C69" w:rsidRDefault="00AE7191" w:rsidP="00722885">
      <w:pPr>
        <w:pStyle w:val="Iauiue"/>
        <w:jc w:val="both"/>
        <w:rPr>
          <w:color w:val="000000" w:themeColor="text1"/>
          <w:sz w:val="16"/>
          <w:szCs w:val="16"/>
        </w:rPr>
      </w:pPr>
    </w:p>
    <w:p w14:paraId="7DFBC8C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августа 1942 в 08.00 девять «Хейнкелей» на высоте 40—50 м снова незамеченными подошли к Сталинграду и группами по три самолета атаковали аэродромы Воропоново и Центральный, сбросив на них осколочные бомбы. В результате были уничтожены множество советских истребителей и других самолетов. Были убиты генерал-лейтенант артиллерии Мешков, два полковника и еще несколько офицеров, оказавшихся в момент налета на взлетной полосе. А уже в 08.15 Ju-88 из KG76 с пикирования атаковали станцию Воропоново. Вследствие прямых попаданий взорвался эшелон с боеприпасами, и над поселком взметнулся огромный столб пламени. Грохот взрыва снова пронесся по улицам Сталинграда, повергнув жителей в панику. Во второй половине дня 10 августа налеты германской авиации возобновились. На этот раз «Юнкерсы» бомбили позиции зенитных батарей в южной части Сталинграда и на подступах к нему. Бомбардировщики, невзирая на отчаянный зенитный огонь, действовали на малых высотах, в результате чего, по воспоминаниям зенитчицы Матвеевой, один Ju-88 был подбит 8-й батареей 748-го ЗенАП, задымил и стал снижаться. При этом пилот, видимо, пытался развернуть машину на запад. Пролетев над городом, оставляя толстый дымный след, «Юнкере» ушел за Волгу и там рухнул на землю. Одновременно с этим над Сталинградом происходили и многочисленные воздушные бои с участием истребителей. 11 августа группа МиГ-3 из 439-го ИАП ПВО патрулировала на небольшой высоте в районе Сталинграда, когда их внезапно со стороны солнца атаковала пара «Мессершмиттов». Самолет старшего лейтенанта Погребяка вспыхнул и начал падать. Пилот, получив ранения в ноги и руки, все же смог покинуть горящий «МиГ» и опустился на парашюте. Что удивительно: остальные советские пилоты даже не заметили атаку противника и падающий самолет своего товарища, продолжив патрулирование, не меняя ни скорости, ни высоты! Впрочем, «сталинских соколов» частично оправдывает полное отсутствие у них радиосвязи (11774).</w:t>
      </w:r>
    </w:p>
    <w:p w14:paraId="3F527148"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8D09BB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10 августа 1942 через три дня подвиг Землянского повторил молодой летчик-штурмовик 673-го </w:t>
      </w:r>
      <w:r w:rsidRPr="001E2C69">
        <w:rPr>
          <w:iCs/>
          <w:color w:val="000000" w:themeColor="text1"/>
          <w:sz w:val="16"/>
          <w:szCs w:val="16"/>
        </w:rPr>
        <w:t>шап</w:t>
      </w:r>
      <w:r w:rsidRPr="001E2C69">
        <w:rPr>
          <w:color w:val="000000" w:themeColor="text1"/>
          <w:sz w:val="16"/>
          <w:szCs w:val="16"/>
        </w:rPr>
        <w:t xml:space="preserve"> ст. с-т В.А.Рогальский, кото</w:t>
      </w:r>
      <w:r w:rsidRPr="001E2C69">
        <w:rPr>
          <w:color w:val="000000" w:themeColor="text1"/>
          <w:sz w:val="16"/>
          <w:szCs w:val="16"/>
        </w:rPr>
        <w:softHyphen/>
        <w:t>рый в своем первом боевом вылете был подбит огнем зенитной артиллерии над целью в районе р. Малая-Тингута. Штур</w:t>
      </w:r>
      <w:r w:rsidRPr="001E2C69">
        <w:rPr>
          <w:color w:val="000000" w:themeColor="text1"/>
          <w:sz w:val="16"/>
          <w:szCs w:val="16"/>
        </w:rPr>
        <w:softHyphen/>
        <w:t>мовик загорелся. В результате падения Ил-2 Рогальского на скопление автома</w:t>
      </w:r>
      <w:r w:rsidRPr="001E2C69">
        <w:rPr>
          <w:color w:val="000000" w:themeColor="text1"/>
          <w:sz w:val="16"/>
          <w:szCs w:val="16"/>
        </w:rPr>
        <w:softHyphen/>
        <w:t>шин с грузами наблюдались сильные взрывы...(6467).</w:t>
      </w:r>
    </w:p>
    <w:p w14:paraId="55F29D09" w14:textId="77777777" w:rsidR="00AE7191" w:rsidRPr="001E2C69" w:rsidRDefault="00AE7191" w:rsidP="00722885">
      <w:pPr>
        <w:pStyle w:val="Iauiue"/>
        <w:jc w:val="both"/>
        <w:rPr>
          <w:color w:val="000000" w:themeColor="text1"/>
          <w:sz w:val="16"/>
          <w:szCs w:val="16"/>
        </w:rPr>
      </w:pPr>
    </w:p>
    <w:p w14:paraId="577F4F24"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Жизнь и внутренняя политика:</w:t>
      </w:r>
    </w:p>
    <w:p w14:paraId="4A0BEEFF" w14:textId="77777777" w:rsidR="00AE7191" w:rsidRPr="001E2C69" w:rsidRDefault="00AE7191" w:rsidP="00722885">
      <w:pPr>
        <w:pStyle w:val="Iauiue"/>
        <w:jc w:val="both"/>
        <w:rPr>
          <w:iCs/>
          <w:color w:val="000000" w:themeColor="text1"/>
          <w:sz w:val="16"/>
          <w:szCs w:val="16"/>
        </w:rPr>
      </w:pPr>
    </w:p>
    <w:p w14:paraId="46DC7B16"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августа в 1942 году СНК СССР принял постановление "О порядке привлечения граждан к трудовой повинности в военное время". Трудовая повинность вводилась каждый раз по постановлению СНК СССР, а в объявленных на военном положении местностях — также военными властями; объявлялась для выполнения оборонных работ и других военных надобностей, заготовок топлива, спец. строит, работ, охраны путей сообщения, сооружений, средств связи, электростанций, электросетей, для борьбы с пожарами, эпидемиями и стих, бедствиями и др.; граждане привлекались к трудовой повинности на срок до 2 месяцев (14979).</w:t>
      </w:r>
    </w:p>
    <w:p w14:paraId="136ADBA7"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0579554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 августа 1942 г. вышло ПОСТАНОВЛЕНИЕ СОВЕТА НАРОДНЫХ КОМИССАРОВ СССР О ПОРЯДКЕ ПРИВЛЕЧЕНИЯ ГРАЖДАН К ТРУДОВОЙ ПОВИННОСТИ В ВОЕННОЕ ВРЕМЯ</w:t>
      </w:r>
    </w:p>
    <w:p w14:paraId="1AC98D2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Совет Народных Комиссаров Союза ССР постановляет: Установить следующий порядок привлечения граждан к трудовой повинности в военное время:</w:t>
      </w:r>
    </w:p>
    <w:p w14:paraId="41394E3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Трудовая повинность граждан вводится каждый раз по постановлению Совета Народных Комиссаров Союза ССР, а в местностях, объявленных на военном положении, также военными властями в соответствии со статьей 3 Указа Президиума Верховного Совета СССР от 22 июня 1941 г. “О военном положении”.</w:t>
      </w:r>
    </w:p>
    <w:p w14:paraId="4E7A522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Трудовая повинность может объявляться:</w:t>
      </w:r>
    </w:p>
    <w:p w14:paraId="45AF32A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 для выполнения оборонных работ и других военных надобностей;</w:t>
      </w:r>
    </w:p>
    <w:p w14:paraId="6D382F1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 для заготовок топлива;</w:t>
      </w:r>
    </w:p>
    <w:p w14:paraId="1F73D5E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для выполнения специальных строительных работ и других важнейших государственных заданий;</w:t>
      </w:r>
    </w:p>
    <w:p w14:paraId="39E1060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 для охраны путей сообщений, сооружений, средств связи, электростанций, электросетей и других важнейших объектов;</w:t>
      </w:r>
    </w:p>
    <w:p w14:paraId="08B247D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 для борьбы с пожарами, эпидемиями и стихийными бедствиями.</w:t>
      </w:r>
    </w:p>
    <w:p w14:paraId="3A79D2A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Примечание. Привлечение граждан к трудовой повинности для борьбы со стихийными бедствиями (наводнения, снежные заносы, пожары и т. д.) допускается также </w:t>
      </w:r>
      <w:r w:rsidRPr="001E2C69">
        <w:rPr>
          <w:color w:val="000000" w:themeColor="text1"/>
          <w:sz w:val="16"/>
          <w:szCs w:val="16"/>
        </w:rPr>
        <w:lastRenderedPageBreak/>
        <w:t>в порядке, установленном Постановлением ВЦИК и СНК РСФСР от 18 июля 1927 г. и законодательством других союзных республик.</w:t>
      </w:r>
    </w:p>
    <w:p w14:paraId="6E930D3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Установить, что привлечение граждан к трудовой повинности в военное время допускается на срок до 2 месяцев с продолжительностью рабочего времени в размере 8 часов в день и 3 часов обязательных сверхурочных.</w:t>
      </w:r>
    </w:p>
    <w:p w14:paraId="1A6EA17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К трудовой повинности не привлекаются:</w:t>
      </w:r>
    </w:p>
    <w:p w14:paraId="21352BC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 лица, не достигшие 16-летнего возраста, а также мужчины старше 55 лет и женщины старше 45 лет;</w:t>
      </w:r>
    </w:p>
    <w:p w14:paraId="0FDD00B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 беременные женщины, начиная с 5 месяцев беременности;</w:t>
      </w:r>
    </w:p>
    <w:p w14:paraId="2C71C97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женщины, имеющие грудных детей, а также женщины, имеющие детей в возрасте до 8 лет, в случае отсутствия других членов семьи, обеспечивающих уход за ними;</w:t>
      </w:r>
    </w:p>
    <w:p w14:paraId="2449E72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 лица, временно утратившие трудоспособность, на срок до ее восстановления и инвалиды первой и второй групп.</w:t>
      </w:r>
    </w:p>
    <w:p w14:paraId="423529E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постановлению органов власти (ст. 1) от привлечения к трудовой повинности могут быть освобождены и другие категории граждан в зависимости от местных условий.</w:t>
      </w:r>
    </w:p>
    <w:p w14:paraId="0C95EE0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Оплата труда граждан, выполняющих в порядке трудовой повинности оборонные и другие работы, производится учреждениями и организациями, для которых выполняются работы, по действующим нормам оплаты труда, установленным для данных работ.</w:t>
      </w:r>
    </w:p>
    <w:p w14:paraId="6ED9F56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 рабочими и служащими государственных предприятий, учреждений и общественных организаций, а также за членами промысловых артелей, привлекаемыми на работы в порядке трудовой повинности, может быть сохранена в каждом отдельном случае по решению Совнаркома СССР оплата по месту их постоянной работы, но не свыше 50 % ставки заработной платы, получаемой'ими в предприятиях или учреждениях.</w:t>
      </w:r>
    </w:p>
    <w:p w14:paraId="3AA7A53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Примечание. При мобилизации на оборонительные работы</w:t>
      </w:r>
    </w:p>
    <w:p w14:paraId="4C79148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зарплата по месту постоянной работы не сохраняется.</w:t>
      </w:r>
    </w:p>
    <w:p w14:paraId="5C16579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Колхозникам, привлеченным к трудовой повинности, начисляется за счет колхоза 25 % среднего количества трудодней, выработанных за данный период другими колхозниками той же квалификации и специальности.</w:t>
      </w:r>
    </w:p>
    <w:p w14:paraId="602A103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Лица, привлекаемые к трудовой повинности, могут быть использованы на работе как в месте их постоянного жительства, так и вне его.</w:t>
      </w:r>
    </w:p>
    <w:p w14:paraId="48BC22A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 рабочими и служащими, привлеченными к трудовой повинности, сохраняется место их постоянной работы, занимаемая должность, а также их жилая площадь.</w:t>
      </w:r>
    </w:p>
    <w:p w14:paraId="748B693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 При направлении в другую местность лиц, привлеченных к трудовой повинности, средства передвижения предоставляются бесплатно той организацией, в распоряжение которой эти лица направлены.</w:t>
      </w:r>
    </w:p>
    <w:p w14:paraId="2350546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 Если привлечение к трудовой повинности связано с временной переменой местожительства и переездом на расстояние свыше 25 километров, то организации, для которых производятся работы, обязаны выплачивать привлекаемым к трудовой повинности следующие компенсации:</w:t>
      </w:r>
    </w:p>
    <w:p w14:paraId="5BC38D5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 лицам, работающим в предприятиях и учреждениях, выплачивается за время нахождения в пути заработная плата из расчета тарифной ставки (должностного оклада) по месту основной работы, но не ниже 5 рублей в сутки;</w:t>
      </w:r>
    </w:p>
    <w:p w14:paraId="7813630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 лицам, не работающим в предприятиях и учреждениях, выплачиваются за время нахождения в пути суточные в размере 5 рублей.</w:t>
      </w:r>
    </w:p>
    <w:p w14:paraId="1ACBFF5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Колхозникам за время нахождения в пути начисляется за счет колхоза среднее количество трудодней, которое за это время начисляется другим колхозникам той же квалификации и специальности.</w:t>
      </w:r>
    </w:p>
    <w:p w14:paraId="1F1015D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Все указанные выше компенсации выплачиваются за время нахождения в пути в оба конца, т. е. к месту работы и обратно.</w:t>
      </w:r>
    </w:p>
    <w:p w14:paraId="47235D8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 Организации, в распоряжение которых направляются лица, привлеченные к трудовой повинности, обязаны обеспечить их питанием за плату как на месте работы, так и в пути, а также предоставить бесплатно на месте работы жилье.</w:t>
      </w:r>
    </w:p>
    <w:p w14:paraId="32C8F91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 Лица, выполняющие работы в порядке трудовой повинности, социальному страхованию на этих работах не подлежат.</w:t>
      </w:r>
    </w:p>
    <w:p w14:paraId="63098FE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случае инвалидности или смерти от увечья, полученного при выполнении работы в порядке трудовой повинности, эти лица или их семьи обеспечиваются пенсиями в порядке социального обеспечения согласно действующим законам и правилам.</w:t>
      </w:r>
    </w:p>
    <w:p w14:paraId="00E3280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 В случае временной нетрудоспособности лиц, выполняющих работы в порядке трудовой повинности, за ними сохраняются две трети среднего заработка по месту выполнения работы, но не свыше срока окончания трудовой повинности.</w:t>
      </w:r>
    </w:p>
    <w:p w14:paraId="25835F7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истечение этого срока лица, которые до привлечения к трудовой повинности работали в качестве рабочих и служащих, обеспечиваются пособием по временной нетрудоспособности в соответствии с Постановлением Совнаркома СССР, ЦК ВКП(б) и ВЦСПС от 28 декабря 1938 г. (СП СССР 1939 г.; № 1, ст. 1).</w:t>
      </w:r>
    </w:p>
    <w:p w14:paraId="3BF2710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 Лица, привлекаемые к трудовой повинности, не освобождаются от призыва в Красную Армию.</w:t>
      </w:r>
    </w:p>
    <w:p w14:paraId="5EE64D1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13. Виновные в отказе или уклонении от трудовой повинности, а также в задержке лиц, работающих в предприятиях и учреждениях и привлекаемых к трудовой повинности, подлежат уголовной ответственности по законам военного времени.</w:t>
      </w:r>
    </w:p>
    <w:p w14:paraId="4427D746" w14:textId="77777777" w:rsidR="00AE7191" w:rsidRPr="001E2C69" w:rsidRDefault="00AE7191" w:rsidP="00722885">
      <w:pPr>
        <w:pStyle w:val="Iauiue"/>
        <w:jc w:val="both"/>
        <w:rPr>
          <w:iCs/>
          <w:color w:val="000000" w:themeColor="text1"/>
          <w:sz w:val="16"/>
          <w:szCs w:val="16"/>
        </w:rPr>
      </w:pPr>
      <w:r w:rsidRPr="001E2C69">
        <w:rPr>
          <w:iCs/>
          <w:color w:val="000000" w:themeColor="text1"/>
          <w:sz w:val="16"/>
          <w:szCs w:val="16"/>
        </w:rPr>
        <w:t>Председатель Совета Народных Комиссаров СССР И. СТАЛИН</w:t>
      </w:r>
    </w:p>
    <w:p w14:paraId="477A7E8F" w14:textId="77777777" w:rsidR="00AE7191" w:rsidRPr="001E2C69" w:rsidRDefault="00AE7191" w:rsidP="00722885">
      <w:pPr>
        <w:pStyle w:val="Iauiue"/>
        <w:jc w:val="both"/>
        <w:rPr>
          <w:color w:val="000000" w:themeColor="text1"/>
          <w:sz w:val="16"/>
          <w:szCs w:val="16"/>
        </w:rPr>
      </w:pPr>
      <w:r w:rsidRPr="001E2C69">
        <w:rPr>
          <w:iCs/>
          <w:color w:val="000000" w:themeColor="text1"/>
          <w:sz w:val="16"/>
          <w:szCs w:val="16"/>
        </w:rPr>
        <w:t xml:space="preserve">Управляющий делами Совета Народных Комиссаров СССР Я. ЧАДАЕВ </w:t>
      </w:r>
      <w:r w:rsidRPr="001E2C69">
        <w:rPr>
          <w:color w:val="000000" w:themeColor="text1"/>
          <w:sz w:val="16"/>
          <w:szCs w:val="16"/>
        </w:rPr>
        <w:t>(9844).</w:t>
      </w:r>
    </w:p>
    <w:p w14:paraId="4155FD87" w14:textId="77777777" w:rsidR="00AE7191" w:rsidRPr="001E2C69" w:rsidRDefault="00AE7191" w:rsidP="00722885">
      <w:pPr>
        <w:pStyle w:val="Iauiue"/>
        <w:jc w:val="both"/>
        <w:rPr>
          <w:color w:val="000000" w:themeColor="text1"/>
          <w:sz w:val="16"/>
          <w:szCs w:val="16"/>
        </w:rPr>
      </w:pPr>
    </w:p>
    <w:p w14:paraId="1AEC0C1F"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6C99C033" w14:textId="77777777" w:rsidR="00AE7191" w:rsidRPr="001E2C69" w:rsidRDefault="00AE7191" w:rsidP="00722885">
      <w:pPr>
        <w:pStyle w:val="Iauiue"/>
        <w:jc w:val="both"/>
        <w:rPr>
          <w:iCs/>
          <w:color w:val="000000" w:themeColor="text1"/>
          <w:sz w:val="16"/>
          <w:szCs w:val="16"/>
        </w:rPr>
      </w:pPr>
    </w:p>
    <w:p w14:paraId="616F548B"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августа в 1942 году массированный авианалет британских ВВС на Дюссельдорф (14979).</w:t>
      </w:r>
    </w:p>
    <w:p w14:paraId="070B479E"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56C73A2F"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rPr>
        <w:t>C 10 по 13 августа 1942 проходила английская операция Pedestal по снабжению Мальтыпоморю</w:t>
      </w:r>
      <w:r w:rsidRPr="001E2C69">
        <w:rPr>
          <w:color w:val="000000" w:themeColor="text1"/>
          <w:sz w:val="16"/>
          <w:szCs w:val="16"/>
          <w:lang w:val="en-US"/>
        </w:rPr>
        <w:t xml:space="preserve"> (2245,8).</w:t>
      </w:r>
    </w:p>
    <w:p w14:paraId="34100959" w14:textId="77777777" w:rsidR="00AE7191" w:rsidRPr="001E2C69" w:rsidRDefault="00AE7191" w:rsidP="00722885">
      <w:pPr>
        <w:pStyle w:val="Iauiue"/>
        <w:jc w:val="both"/>
        <w:rPr>
          <w:color w:val="000000" w:themeColor="text1"/>
          <w:sz w:val="16"/>
          <w:szCs w:val="16"/>
          <w:lang w:val="en-US"/>
        </w:rPr>
      </w:pPr>
    </w:p>
    <w:p w14:paraId="664360DD"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lang w:val="en-US"/>
        </w:rPr>
        <w:t>August 10, 1942: German and Italian U-boats savage a British convoy to Malta in the Mediterranean (3819).</w:t>
      </w:r>
    </w:p>
    <w:p w14:paraId="41E7EDB4" w14:textId="77777777" w:rsidR="00AE7191" w:rsidRPr="001E2C69" w:rsidRDefault="00AE7191" w:rsidP="00722885">
      <w:pPr>
        <w:pStyle w:val="Iauiue"/>
        <w:jc w:val="both"/>
        <w:rPr>
          <w:color w:val="000000" w:themeColor="text1"/>
          <w:sz w:val="16"/>
          <w:szCs w:val="16"/>
          <w:lang w:val="en-US"/>
        </w:rPr>
      </w:pPr>
    </w:p>
    <w:p w14:paraId="7996F00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 августа 1942 германские и итальянские подлодки уничтожили британский конвой, направлявшийся к Мальте (3819).</w:t>
      </w:r>
    </w:p>
    <w:p w14:paraId="2E83FE83" w14:textId="77777777" w:rsidR="00AE7191" w:rsidRPr="001E2C69" w:rsidRDefault="00AE7191" w:rsidP="00722885">
      <w:pPr>
        <w:pStyle w:val="Iauiue"/>
        <w:jc w:val="both"/>
        <w:rPr>
          <w:color w:val="000000" w:themeColor="text1"/>
          <w:sz w:val="16"/>
          <w:szCs w:val="16"/>
        </w:rPr>
      </w:pPr>
    </w:p>
    <w:p w14:paraId="18C7AEB3"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10 августа 1942 у Соломоновых островов американской подлодкой потоплен японский тяжелый крейсер “Како” (4962).</w:t>
      </w:r>
    </w:p>
    <w:p w14:paraId="3F85CAF7" w14:textId="77777777" w:rsidR="00AE7191" w:rsidRPr="001E2C69" w:rsidRDefault="00AE7191" w:rsidP="00722885">
      <w:pPr>
        <w:pStyle w:val="Iauiue"/>
        <w:tabs>
          <w:tab w:val="left" w:pos="11199"/>
        </w:tabs>
        <w:jc w:val="both"/>
        <w:rPr>
          <w:color w:val="000000" w:themeColor="text1"/>
          <w:sz w:val="16"/>
          <w:szCs w:val="16"/>
        </w:rPr>
      </w:pPr>
    </w:p>
    <w:p w14:paraId="0AC83994"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августа в 1942 году японский флот потопил 4 крейсера США и Великобритании близ Гуадалканала. Однако японский флот отступил (14979).</w:t>
      </w:r>
    </w:p>
    <w:p w14:paraId="3E55A00F"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75EA2940"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333D793B" w14:textId="77777777" w:rsidR="00AE7191" w:rsidRPr="001E2C69" w:rsidRDefault="00AE7191" w:rsidP="00722885">
      <w:pPr>
        <w:pStyle w:val="Iauiue"/>
        <w:jc w:val="both"/>
        <w:rPr>
          <w:iCs/>
          <w:color w:val="000000" w:themeColor="text1"/>
          <w:sz w:val="16"/>
          <w:szCs w:val="16"/>
        </w:rPr>
      </w:pPr>
    </w:p>
    <w:p w14:paraId="5860A55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 августа 1942 года директор завода N 39 В.И. Абрамов, зам. гл. инженера по экспериментальным работам К.А. Петров писали письмо N 2899/53 Маленкову и Шахурину.</w:t>
      </w:r>
    </w:p>
    <w:p w14:paraId="0EB51EA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N 39 обязан начать выпуск самолетов ДБ-3ф и полностью прекратить постройку самолетов Пе-2 и Пе-3бис.</w:t>
      </w:r>
    </w:p>
    <w:p w14:paraId="5565D12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Учитывая настоятельные требования представителей войсковых частей фронта, коллектив завода N 39, по особому заказу старшего военпреда ВВС завода, дооборудовал самолет Пе-3бис специальной установкой под спаренные фотоаппараты АФА-1 и, вместо радиостанции "Орел-Мамотка" с малым радиусом действия, установил на самолет радиостанцию "РСБ" (Двина); в результате чего получился сильно вооруженный в части самозащиты с большим радиусом действия и связи самолет разведчик.</w:t>
      </w:r>
    </w:p>
    <w:p w14:paraId="3E15688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Командиры отдельных авиаполков, прибывавшие с фронта за получением по данным им нарядам самолетов Пе-2, настоятельно требовали выдачи им самолетов Пе-3бис.</w:t>
      </w:r>
    </w:p>
    <w:p w14:paraId="56581F6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Объективно сравнивая по летно-боевым качествам самолет Пе-3бис в варианте ли разведчика или самолета сопровождения с аналогичными отечественными самолетами, имеющимися у нас на вооружении, приходишь к заключению, что самолет Пе-3бис является единственным разведчиком, вполне современным, отвечающим на сегодня всем требованиям предъявленным ему строевыми частями.</w:t>
      </w:r>
    </w:p>
    <w:p w14:paraId="0DBA28E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Учитывая, что с переходом на постройку машины ДБ-3ф, завод N 39 снимает все стапели и оборудование чем полностью будут сняты с производства самолеты Пе-3бис на заводе N 39 и тем самым совершенно прекратиться снабжение армии самолетами этого типа.</w:t>
      </w:r>
    </w:p>
    <w:p w14:paraId="39C1233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Со совей стороны полагаем, что производство этой необходимой, по нашему мнению, для фронта машины должно быть сохранено на заводе N 39 и в случае затруднений со снабжением моторами, хотя бы даже за счет завода 22 где будут продолжать строить самолеты Пе-2.</w:t>
      </w:r>
    </w:p>
    <w:p w14:paraId="4171501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Коллектив конструкторов завода 39, который в свое время по заданию ГКО в весьма короткий срок дал самолет Пе-3, непрерывно продолжает следить за качеством и дальнейшим усовершенствованием этой машины, постоянно увязывает свою работу с производством, тем самым обеспечивает бесперебойный выпуск этой машины.</w:t>
      </w:r>
    </w:p>
    <w:p w14:paraId="3319A0E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данное время на заводе N 39 ведутся большие работы по постройке деревянных агрегатов этой машины как хвостовая часть фюзеляжа Ф-3 и хвостовое оперение - опытные экземпляры которых будут готовы в ближайшее время.</w:t>
      </w:r>
    </w:p>
    <w:p w14:paraId="793D7F2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 этому необходимо добавить, что конструкторский коллектив завода 39 по вашему приказу сможет выполнить в ближайшее же время ряд работ в части дальнейшего повышения летно-боевых качеств самолета Пе-3бис как-то:</w:t>
      </w:r>
    </w:p>
    <w:p w14:paraId="4743C37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lastRenderedPageBreak/>
        <w:t>1. Облегчение веса его за счет пересмотра отдельных агрегатов или снятия их как оставшихся от самолета Пе-2.</w:t>
      </w:r>
    </w:p>
    <w:p w14:paraId="0DAEDDB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Замену моторов М 105-РА на М-82 или какой другой по вашему указанию.</w:t>
      </w:r>
    </w:p>
    <w:p w14:paraId="087D5AE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По изысканию увеличения скорости самолета за счет внешнего облагораживания машины (1778,45).</w:t>
      </w:r>
    </w:p>
    <w:p w14:paraId="4C150F15" w14:textId="77777777" w:rsidR="00AE7191" w:rsidRPr="001E2C69" w:rsidRDefault="00AE7191" w:rsidP="00722885">
      <w:pPr>
        <w:pStyle w:val="Iauiue"/>
        <w:jc w:val="both"/>
        <w:rPr>
          <w:color w:val="000000" w:themeColor="text1"/>
          <w:sz w:val="16"/>
          <w:szCs w:val="16"/>
        </w:rPr>
      </w:pPr>
    </w:p>
    <w:p w14:paraId="5EF0773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августа 1942 вышло Постановление ГКО № 2169 Об увеличении выпуска самолетов Як-7 на заводе № 82 (г. Москва). РГАНИР, Фонд ГКО, д. 52, лл. 6 (11012).</w:t>
      </w:r>
    </w:p>
    <w:p w14:paraId="4A194F1E"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7FD1434" w14:textId="77777777" w:rsidR="003F1491" w:rsidRPr="001E2C69" w:rsidRDefault="003F14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августа 1942 вышло Постановление ГКО № 2169 Об увеличении выпуска самолетов Як-7 на заводе № 82 (г. Москва)</w:t>
      </w:r>
    </w:p>
    <w:p w14:paraId="52FCF4B8" w14:textId="77777777" w:rsidR="003F1491" w:rsidRPr="001E2C69" w:rsidRDefault="003F14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Государственный Комитет Обороны постановляет:</w:t>
      </w:r>
    </w:p>
    <w:p w14:paraId="4D450AEA" w14:textId="77777777" w:rsidR="003F1491" w:rsidRPr="001E2C69" w:rsidRDefault="003F1491" w:rsidP="00722885">
      <w:pPr>
        <w:tabs>
          <w:tab w:val="left" w:pos="5918"/>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Обязать Наркомавиапром - т.Шахурина и директора за</w:t>
      </w:r>
      <w:r w:rsidRPr="001E2C69">
        <w:rPr>
          <w:rFonts w:ascii="Times New Roman" w:hAnsi="Times New Roman"/>
          <w:color w:val="000000" w:themeColor="text1"/>
          <w:sz w:val="16"/>
          <w:szCs w:val="16"/>
        </w:rPr>
        <w:softHyphen/>
        <w:t>вода 82 т.Бугрова обеспечить выпуск на заводе № 82 из агре</w:t>
      </w:r>
      <w:r w:rsidRPr="001E2C69">
        <w:rPr>
          <w:rFonts w:ascii="Times New Roman" w:hAnsi="Times New Roman"/>
          <w:color w:val="000000" w:themeColor="text1"/>
          <w:sz w:val="16"/>
          <w:szCs w:val="16"/>
        </w:rPr>
        <w:softHyphen/>
        <w:t xml:space="preserve">гатов завода № </w:t>
      </w:r>
      <w:r w:rsidRPr="001E2C69">
        <w:rPr>
          <w:rStyle w:val="0pt"/>
          <w:rFonts w:ascii="Times New Roman" w:hAnsi="Times New Roman" w:cs="Times New Roman"/>
          <w:color w:val="000000" w:themeColor="text1"/>
          <w:spacing w:val="0"/>
          <w:sz w:val="16"/>
          <w:szCs w:val="16"/>
        </w:rPr>
        <w:t>153</w:t>
      </w:r>
      <w:r w:rsidRPr="001E2C69">
        <w:rPr>
          <w:rFonts w:ascii="Times New Roman" w:hAnsi="Times New Roman"/>
          <w:color w:val="000000" w:themeColor="text1"/>
          <w:sz w:val="16"/>
          <w:szCs w:val="16"/>
        </w:rPr>
        <w:t xml:space="preserve"> и собственного производства следующего количества самолетов, начиная с 25 августа - по 3 самолета в день, с 5 сентября - по 4 самолета е день, с 15 сентября - по 5 самолетов в день, с 30 сентября </w:t>
      </w:r>
      <w:r w:rsidRPr="001E2C69">
        <w:rPr>
          <w:rStyle w:val="0pt"/>
          <w:rFonts w:ascii="Times New Roman" w:hAnsi="Times New Roman" w:cs="Times New Roman"/>
          <w:color w:val="000000" w:themeColor="text1"/>
          <w:spacing w:val="0"/>
          <w:sz w:val="16"/>
          <w:szCs w:val="16"/>
        </w:rPr>
        <w:t>1942</w:t>
      </w:r>
      <w:r w:rsidRPr="001E2C69">
        <w:rPr>
          <w:rFonts w:ascii="Times New Roman" w:hAnsi="Times New Roman"/>
          <w:color w:val="000000" w:themeColor="text1"/>
          <w:sz w:val="16"/>
          <w:szCs w:val="16"/>
        </w:rPr>
        <w:t xml:space="preserve"> года - по б само</w:t>
      </w:r>
      <w:r w:rsidRPr="001E2C69">
        <w:rPr>
          <w:rFonts w:ascii="Times New Roman" w:hAnsi="Times New Roman"/>
          <w:color w:val="000000" w:themeColor="text1"/>
          <w:sz w:val="16"/>
          <w:szCs w:val="16"/>
        </w:rPr>
        <w:softHyphen/>
        <w:t>летов в день.</w:t>
      </w:r>
    </w:p>
    <w:p w14:paraId="6CC08534" w14:textId="77777777" w:rsidR="003F1491" w:rsidRPr="001E2C69" w:rsidRDefault="003F14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Обязать Наркомавиапром - т.Шахурина, директора заво</w:t>
      </w:r>
      <w:r w:rsidRPr="001E2C69">
        <w:rPr>
          <w:rStyle w:val="0pt"/>
          <w:rFonts w:ascii="Times New Roman" w:hAnsi="Times New Roman" w:cs="Times New Roman"/>
          <w:color w:val="000000" w:themeColor="text1"/>
          <w:spacing w:val="0"/>
          <w:sz w:val="16"/>
          <w:szCs w:val="16"/>
        </w:rPr>
        <w:t xml:space="preserve">да </w:t>
      </w:r>
      <w:r w:rsidRPr="001E2C69">
        <w:rPr>
          <w:rStyle w:val="0pt"/>
          <w:rFonts w:ascii="Times New Roman" w:eastAsia="Calibri" w:hAnsi="Times New Roman" w:cs="Times New Roman"/>
          <w:color w:val="000000" w:themeColor="text1"/>
          <w:spacing w:val="0"/>
          <w:sz w:val="16"/>
          <w:szCs w:val="16"/>
        </w:rPr>
        <w:t>№</w:t>
      </w:r>
      <w:r w:rsidRPr="001E2C69">
        <w:rPr>
          <w:rStyle w:val="0pt"/>
          <w:rFonts w:ascii="Times New Roman" w:hAnsi="Times New Roman" w:cs="Times New Roman"/>
          <w:color w:val="000000" w:themeColor="text1"/>
          <w:spacing w:val="0"/>
          <w:sz w:val="16"/>
          <w:szCs w:val="16"/>
        </w:rPr>
        <w:t xml:space="preserve"> 153</w:t>
      </w:r>
      <w:r w:rsidRPr="001E2C69">
        <w:rPr>
          <w:rFonts w:ascii="Times New Roman" w:hAnsi="Times New Roman"/>
          <w:color w:val="000000" w:themeColor="text1"/>
          <w:sz w:val="16"/>
          <w:szCs w:val="16"/>
        </w:rPr>
        <w:t xml:space="preserve"> т.Романова и главного инженера - т.Тер-Маркаряна обеспечить отправку в августе 90 самолетов Як-7 (в агрегатах комплектно) для сборки на эаводе 82 (Москва) в следующие сроки: 30 самолетов - 15 августа, 30 самолетов - 22 августа и 30 самолетов - 30 августа </w:t>
      </w:r>
      <w:r w:rsidRPr="001E2C69">
        <w:rPr>
          <w:rStyle w:val="0pt"/>
          <w:rFonts w:ascii="Times New Roman" w:hAnsi="Times New Roman" w:cs="Times New Roman"/>
          <w:color w:val="000000" w:themeColor="text1"/>
          <w:spacing w:val="0"/>
          <w:sz w:val="16"/>
          <w:szCs w:val="16"/>
        </w:rPr>
        <w:t>1942</w:t>
      </w:r>
      <w:r w:rsidRPr="001E2C69">
        <w:rPr>
          <w:rFonts w:ascii="Times New Roman" w:hAnsi="Times New Roman"/>
          <w:color w:val="000000" w:themeColor="text1"/>
          <w:sz w:val="16"/>
          <w:szCs w:val="16"/>
        </w:rPr>
        <w:t xml:space="preserve"> года.</w:t>
      </w:r>
    </w:p>
    <w:p w14:paraId="30C2FFB2" w14:textId="77777777" w:rsidR="003F1491" w:rsidRPr="001E2C69" w:rsidRDefault="003F14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3. Засчитать указанное количество самолетов в программу завода № </w:t>
      </w:r>
      <w:r w:rsidRPr="001E2C69">
        <w:rPr>
          <w:rStyle w:val="0pt"/>
          <w:rFonts w:ascii="Times New Roman" w:hAnsi="Times New Roman" w:cs="Times New Roman"/>
          <w:color w:val="000000" w:themeColor="text1"/>
          <w:spacing w:val="0"/>
          <w:sz w:val="16"/>
          <w:szCs w:val="16"/>
        </w:rPr>
        <w:t>153,</w:t>
      </w:r>
      <w:r w:rsidRPr="001E2C69">
        <w:rPr>
          <w:rFonts w:ascii="Times New Roman" w:hAnsi="Times New Roman"/>
          <w:color w:val="000000" w:themeColor="text1"/>
          <w:sz w:val="16"/>
          <w:szCs w:val="16"/>
        </w:rPr>
        <w:t xml:space="preserve"> в связи с чем на август месяц утвердить для завода № </w:t>
      </w:r>
      <w:r w:rsidRPr="001E2C69">
        <w:rPr>
          <w:rStyle w:val="0pt"/>
          <w:rFonts w:ascii="Times New Roman" w:hAnsi="Times New Roman" w:cs="Times New Roman"/>
          <w:color w:val="000000" w:themeColor="text1"/>
          <w:spacing w:val="0"/>
          <w:sz w:val="16"/>
          <w:szCs w:val="16"/>
        </w:rPr>
        <w:t>153</w:t>
      </w:r>
      <w:r w:rsidRPr="001E2C69">
        <w:rPr>
          <w:rFonts w:ascii="Times New Roman" w:hAnsi="Times New Roman"/>
          <w:color w:val="000000" w:themeColor="text1"/>
          <w:sz w:val="16"/>
          <w:szCs w:val="16"/>
        </w:rPr>
        <w:t xml:space="preserve"> следующую программу: </w:t>
      </w:r>
      <w:r w:rsidRPr="001E2C69">
        <w:rPr>
          <w:rStyle w:val="0pt"/>
          <w:rFonts w:ascii="Times New Roman" w:hAnsi="Times New Roman" w:cs="Times New Roman"/>
          <w:color w:val="000000" w:themeColor="text1"/>
          <w:spacing w:val="0"/>
          <w:sz w:val="16"/>
          <w:szCs w:val="16"/>
        </w:rPr>
        <w:t>210</w:t>
      </w:r>
      <w:r w:rsidRPr="001E2C69">
        <w:rPr>
          <w:rFonts w:ascii="Times New Roman" w:hAnsi="Times New Roman"/>
          <w:color w:val="000000" w:themeColor="text1"/>
          <w:sz w:val="16"/>
          <w:szCs w:val="16"/>
        </w:rPr>
        <w:t xml:space="preserve"> самолетов со сборкой и сдачей готовыми к бою на заводе № </w:t>
      </w:r>
      <w:r w:rsidRPr="001E2C69">
        <w:rPr>
          <w:rStyle w:val="0pt"/>
          <w:rFonts w:ascii="Times New Roman" w:hAnsi="Times New Roman" w:cs="Times New Roman"/>
          <w:color w:val="000000" w:themeColor="text1"/>
          <w:spacing w:val="0"/>
          <w:sz w:val="16"/>
          <w:szCs w:val="16"/>
        </w:rPr>
        <w:t>153</w:t>
      </w:r>
      <w:r w:rsidRPr="001E2C69">
        <w:rPr>
          <w:rFonts w:ascii="Times New Roman" w:hAnsi="Times New Roman"/>
          <w:color w:val="000000" w:themeColor="text1"/>
          <w:sz w:val="16"/>
          <w:szCs w:val="16"/>
        </w:rPr>
        <w:t xml:space="preserve"> и </w:t>
      </w:r>
      <w:r w:rsidRPr="001E2C69">
        <w:rPr>
          <w:rStyle w:val="0pt"/>
          <w:rFonts w:ascii="Times New Roman" w:hAnsi="Times New Roman" w:cs="Times New Roman"/>
          <w:color w:val="000000" w:themeColor="text1"/>
          <w:spacing w:val="0"/>
          <w:sz w:val="16"/>
          <w:szCs w:val="16"/>
        </w:rPr>
        <w:t>90</w:t>
      </w:r>
      <w:r w:rsidRPr="001E2C69">
        <w:rPr>
          <w:rFonts w:ascii="Times New Roman" w:hAnsi="Times New Roman"/>
          <w:color w:val="000000" w:themeColor="text1"/>
          <w:sz w:val="16"/>
          <w:szCs w:val="16"/>
        </w:rPr>
        <w:t xml:space="preserve"> самолетов для сборки на заводе № </w:t>
      </w:r>
      <w:r w:rsidRPr="001E2C69">
        <w:rPr>
          <w:rStyle w:val="0pt"/>
          <w:rFonts w:ascii="Times New Roman" w:hAnsi="Times New Roman" w:cs="Times New Roman"/>
          <w:color w:val="000000" w:themeColor="text1"/>
          <w:spacing w:val="0"/>
          <w:sz w:val="16"/>
          <w:szCs w:val="16"/>
        </w:rPr>
        <w:t>82.</w:t>
      </w:r>
      <w:r w:rsidRPr="001E2C69">
        <w:rPr>
          <w:rFonts w:ascii="Times New Roman" w:hAnsi="Times New Roman"/>
          <w:color w:val="000000" w:themeColor="text1"/>
          <w:sz w:val="16"/>
          <w:szCs w:val="16"/>
        </w:rPr>
        <w:t xml:space="preserve"> Всего </w:t>
      </w:r>
      <w:r w:rsidRPr="001E2C69">
        <w:rPr>
          <w:rStyle w:val="0pt"/>
          <w:rFonts w:ascii="Times New Roman" w:hAnsi="Times New Roman" w:cs="Times New Roman"/>
          <w:color w:val="000000" w:themeColor="text1"/>
          <w:spacing w:val="0"/>
          <w:sz w:val="16"/>
          <w:szCs w:val="16"/>
        </w:rPr>
        <w:t>300</w:t>
      </w:r>
      <w:r w:rsidRPr="001E2C69">
        <w:rPr>
          <w:rFonts w:ascii="Times New Roman" w:hAnsi="Times New Roman"/>
          <w:color w:val="000000" w:themeColor="text1"/>
          <w:sz w:val="16"/>
          <w:szCs w:val="16"/>
        </w:rPr>
        <w:t xml:space="preserve"> самолетов в месяц.</w:t>
      </w:r>
    </w:p>
    <w:p w14:paraId="43D82768" w14:textId="77777777" w:rsidR="003F1491" w:rsidRPr="001E2C69" w:rsidRDefault="003F14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4. Установить следующую программы по выпуску самолетов Як-7 для завода № 153 на сентябрь месяц 1942 года: </w:t>
      </w:r>
      <w:r w:rsidRPr="001E2C69">
        <w:rPr>
          <w:rStyle w:val="0pt"/>
          <w:rFonts w:ascii="Times New Roman" w:eastAsia="Calibri" w:hAnsi="Times New Roman" w:cs="Times New Roman"/>
          <w:color w:val="000000" w:themeColor="text1"/>
          <w:spacing w:val="0"/>
          <w:sz w:val="16"/>
          <w:szCs w:val="16"/>
        </w:rPr>
        <w:t>180</w:t>
      </w:r>
      <w:r w:rsidRPr="001E2C69">
        <w:rPr>
          <w:rFonts w:ascii="Times New Roman" w:hAnsi="Times New Roman"/>
          <w:color w:val="000000" w:themeColor="text1"/>
          <w:sz w:val="16"/>
          <w:szCs w:val="16"/>
        </w:rPr>
        <w:t xml:space="preserve"> самолетов со сборкой и сдачей готовыми к бою на заводе № </w:t>
      </w:r>
      <w:r w:rsidRPr="001E2C69">
        <w:rPr>
          <w:rStyle w:val="0pt"/>
          <w:rFonts w:ascii="Times New Roman" w:hAnsi="Times New Roman" w:cs="Times New Roman"/>
          <w:color w:val="000000" w:themeColor="text1"/>
          <w:spacing w:val="0"/>
          <w:sz w:val="16"/>
          <w:szCs w:val="16"/>
        </w:rPr>
        <w:t>153</w:t>
      </w:r>
      <w:r w:rsidRPr="001E2C69">
        <w:rPr>
          <w:rFonts w:ascii="Times New Roman" w:hAnsi="Times New Roman"/>
          <w:color w:val="000000" w:themeColor="text1"/>
          <w:sz w:val="16"/>
          <w:szCs w:val="16"/>
        </w:rPr>
        <w:t xml:space="preserve"> и 140 самолетов для отправки равными партиями в течение месяца для сборки на заводе № </w:t>
      </w:r>
      <w:r w:rsidRPr="001E2C69">
        <w:rPr>
          <w:rStyle w:val="0pt3"/>
          <w:rFonts w:ascii="Times New Roman" w:hAnsi="Times New Roman" w:cs="Times New Roman"/>
          <w:color w:val="000000" w:themeColor="text1"/>
          <w:spacing w:val="0"/>
          <w:sz w:val="16"/>
          <w:szCs w:val="16"/>
        </w:rPr>
        <w:t>82.</w:t>
      </w:r>
      <w:r w:rsidRPr="001E2C69">
        <w:rPr>
          <w:rFonts w:ascii="Times New Roman" w:hAnsi="Times New Roman"/>
          <w:color w:val="000000" w:themeColor="text1"/>
          <w:sz w:val="16"/>
          <w:szCs w:val="16"/>
        </w:rPr>
        <w:t xml:space="preserve"> Всего </w:t>
      </w:r>
      <w:r w:rsidRPr="001E2C69">
        <w:rPr>
          <w:rStyle w:val="0pt3"/>
          <w:rFonts w:ascii="Times New Roman" w:hAnsi="Times New Roman" w:cs="Times New Roman"/>
          <w:color w:val="000000" w:themeColor="text1"/>
          <w:spacing w:val="0"/>
          <w:sz w:val="16"/>
          <w:szCs w:val="16"/>
        </w:rPr>
        <w:t>320</w:t>
      </w:r>
      <w:r w:rsidRPr="001E2C69">
        <w:rPr>
          <w:rFonts w:ascii="Times New Roman" w:hAnsi="Times New Roman"/>
          <w:color w:val="000000" w:themeColor="text1"/>
          <w:sz w:val="16"/>
          <w:szCs w:val="16"/>
        </w:rPr>
        <w:t xml:space="preserve"> самолетов.</w:t>
      </w:r>
    </w:p>
    <w:p w14:paraId="566C8F28" w14:textId="77777777" w:rsidR="003F1491" w:rsidRPr="001E2C69" w:rsidRDefault="003F14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5. Обязать Наркомавиапром - т.Шахурина предусмотреть в заданиях заводу № </w:t>
      </w:r>
      <w:r w:rsidRPr="001E2C69">
        <w:rPr>
          <w:rStyle w:val="0pt"/>
          <w:rFonts w:ascii="Times New Roman" w:hAnsi="Times New Roman" w:cs="Times New Roman"/>
          <w:color w:val="000000" w:themeColor="text1"/>
          <w:spacing w:val="0"/>
          <w:sz w:val="16"/>
          <w:szCs w:val="16"/>
        </w:rPr>
        <w:t>153</w:t>
      </w:r>
      <w:r w:rsidRPr="001E2C69">
        <w:rPr>
          <w:rFonts w:ascii="Times New Roman" w:hAnsi="Times New Roman"/>
          <w:color w:val="000000" w:themeColor="text1"/>
          <w:sz w:val="16"/>
          <w:szCs w:val="16"/>
        </w:rPr>
        <w:t xml:space="preserve"> на октябрь и последующие месяцы обеспечение выпуска заводом № 82 6 самолетов Як-7 в день з</w:t>
      </w:r>
      <w:r w:rsidRPr="001E2C69">
        <w:rPr>
          <w:rFonts w:ascii="Times New Roman" w:hAnsi="Times New Roman"/>
          <w:color w:val="000000" w:themeColor="text1"/>
          <w:sz w:val="16"/>
          <w:szCs w:val="16"/>
          <w:lang w:val="en-US"/>
        </w:rPr>
        <w:t>a</w:t>
      </w:r>
      <w:r w:rsidRPr="001E2C69">
        <w:rPr>
          <w:rFonts w:ascii="Times New Roman" w:hAnsi="Times New Roman"/>
          <w:color w:val="000000" w:themeColor="text1"/>
          <w:sz w:val="16"/>
          <w:szCs w:val="16"/>
        </w:rPr>
        <w:t xml:space="preserve"> счет сборки самолетов из агрегатов эавода № </w:t>
      </w:r>
      <w:r w:rsidRPr="001E2C69">
        <w:rPr>
          <w:rStyle w:val="0pt"/>
          <w:rFonts w:ascii="Times New Roman" w:hAnsi="Times New Roman" w:cs="Times New Roman"/>
          <w:color w:val="000000" w:themeColor="text1"/>
          <w:spacing w:val="0"/>
          <w:sz w:val="16"/>
          <w:szCs w:val="16"/>
        </w:rPr>
        <w:t>153</w:t>
      </w:r>
      <w:r w:rsidRPr="001E2C69">
        <w:rPr>
          <w:rFonts w:ascii="Times New Roman" w:hAnsi="Times New Roman"/>
          <w:color w:val="000000" w:themeColor="text1"/>
          <w:sz w:val="16"/>
          <w:szCs w:val="16"/>
        </w:rPr>
        <w:t xml:space="preserve"> и за счет производства завода </w:t>
      </w:r>
      <w:r w:rsidRPr="001E2C69">
        <w:rPr>
          <w:rStyle w:val="0pt"/>
          <w:rFonts w:ascii="Times New Roman" w:hAnsi="Times New Roman" w:cs="Times New Roman"/>
          <w:color w:val="000000" w:themeColor="text1"/>
          <w:spacing w:val="0"/>
          <w:sz w:val="16"/>
          <w:szCs w:val="16"/>
        </w:rPr>
        <w:t>82.</w:t>
      </w:r>
    </w:p>
    <w:p w14:paraId="1DBCCB39" w14:textId="77777777" w:rsidR="003F1491" w:rsidRPr="001E2C69" w:rsidRDefault="003F14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Обязать НКПС - т.Хрулева обеспечить подачу к указан</w:t>
      </w:r>
      <w:r w:rsidRPr="001E2C69">
        <w:rPr>
          <w:rFonts w:ascii="Times New Roman" w:hAnsi="Times New Roman"/>
          <w:color w:val="000000" w:themeColor="text1"/>
          <w:sz w:val="16"/>
          <w:szCs w:val="16"/>
        </w:rPr>
        <w:softHyphen/>
        <w:t>ным в п.1 срокам эшелоны под самолеты для завода № 82 и продвиэения эшелонов из Новосибирска в Москву в тече</w:t>
      </w:r>
      <w:r w:rsidRPr="001E2C69">
        <w:rPr>
          <w:rFonts w:ascii="Times New Roman" w:hAnsi="Times New Roman"/>
          <w:color w:val="000000" w:themeColor="text1"/>
          <w:sz w:val="16"/>
          <w:szCs w:val="16"/>
        </w:rPr>
        <w:softHyphen/>
        <w:t>ние пяти дней (19354).</w:t>
      </w:r>
    </w:p>
    <w:p w14:paraId="6ECD0D71" w14:textId="77777777" w:rsidR="003F1491" w:rsidRPr="001E2C69" w:rsidRDefault="003F1491" w:rsidP="00722885">
      <w:pPr>
        <w:spacing w:after="0" w:line="240" w:lineRule="auto"/>
        <w:jc w:val="both"/>
        <w:rPr>
          <w:rFonts w:ascii="Times New Roman" w:hAnsi="Times New Roman"/>
          <w:color w:val="000000" w:themeColor="text1"/>
          <w:sz w:val="16"/>
          <w:szCs w:val="16"/>
        </w:rPr>
      </w:pPr>
    </w:p>
    <w:p w14:paraId="4B8989A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августа 1942 вышло Постановление ГКО № 2170 О серийном производстве улучшенных самолетов Як-1. РГАНИР, Фонд ГКО, д. 52, лл. 7-8 (11012).</w:t>
      </w:r>
    </w:p>
    <w:p w14:paraId="7673CC1F"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36AC163" w14:textId="77777777" w:rsidR="008B38FB" w:rsidRPr="001E2C69" w:rsidRDefault="008B38F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августа 1942 вышло Постановление ГКО № 2170 О серийном производстве улучшенных самолетов Як-1</w:t>
      </w:r>
    </w:p>
    <w:p w14:paraId="4189E42F" w14:textId="77777777" w:rsidR="008B38FB" w:rsidRPr="001E2C69" w:rsidRDefault="008B38FB" w:rsidP="00722885">
      <w:pPr>
        <w:pStyle w:val="7f"/>
        <w:shd w:val="clear" w:color="auto" w:fill="auto"/>
        <w:spacing w:after="0" w:line="240" w:lineRule="auto"/>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Государственный Комитет Обороны постановляет:</w:t>
      </w:r>
    </w:p>
    <w:p w14:paraId="6203A428" w14:textId="77777777" w:rsidR="008B38FB" w:rsidRPr="001E2C69" w:rsidRDefault="008B38FB" w:rsidP="00722885">
      <w:pPr>
        <w:pStyle w:val="7f"/>
        <w:shd w:val="clear" w:color="auto" w:fill="auto"/>
        <w:tabs>
          <w:tab w:val="left" w:pos="1243"/>
        </w:tabs>
        <w:spacing w:after="0" w:line="240" w:lineRule="auto"/>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 xml:space="preserve">1. Обязать Наркомавкапром т.Шахурина и директора завода </w:t>
      </w:r>
      <w:r w:rsidRPr="001E2C69">
        <w:rPr>
          <w:rStyle w:val="TrebuchetMS0pt"/>
          <w:rFonts w:ascii="Times New Roman" w:hAnsi="Times New Roman" w:cs="Times New Roman"/>
          <w:color w:val="000000" w:themeColor="text1"/>
          <w:sz w:val="16"/>
          <w:szCs w:val="16"/>
        </w:rPr>
        <w:t>№ 292</w:t>
      </w:r>
      <w:r w:rsidRPr="001E2C69">
        <w:rPr>
          <w:rFonts w:ascii="Times New Roman" w:hAnsi="Times New Roman" w:cs="Times New Roman"/>
          <w:color w:val="000000" w:themeColor="text1"/>
          <w:spacing w:val="0"/>
          <w:sz w:val="16"/>
          <w:szCs w:val="16"/>
        </w:rPr>
        <w:t xml:space="preserve"> т.Левина внедрить в серийное производство на заводе </w:t>
      </w:r>
      <w:r w:rsidRPr="001E2C69">
        <w:rPr>
          <w:rStyle w:val="0pt"/>
          <w:rFonts w:ascii="Times New Roman" w:hAnsi="Times New Roman" w:cs="Times New Roman"/>
          <w:color w:val="000000" w:themeColor="text1"/>
          <w:spacing w:val="0"/>
          <w:sz w:val="16"/>
          <w:szCs w:val="16"/>
        </w:rPr>
        <w:t>292</w:t>
      </w:r>
      <w:r w:rsidRPr="001E2C69">
        <w:rPr>
          <w:rFonts w:ascii="Times New Roman" w:hAnsi="Times New Roman" w:cs="Times New Roman"/>
          <w:color w:val="000000" w:themeColor="text1"/>
          <w:spacing w:val="0"/>
          <w:sz w:val="16"/>
          <w:szCs w:val="16"/>
        </w:rPr>
        <w:t xml:space="preserve"> самолет Як-1 со следующими изменениями:</w:t>
      </w:r>
    </w:p>
    <w:p w14:paraId="40BD7E81" w14:textId="77777777" w:rsidR="008B38FB" w:rsidRPr="001E2C69" w:rsidRDefault="008B38FB" w:rsidP="00722885">
      <w:pPr>
        <w:pStyle w:val="7f"/>
        <w:shd w:val="clear" w:color="auto" w:fill="auto"/>
        <w:tabs>
          <w:tab w:val="left" w:pos="1243"/>
        </w:tabs>
        <w:spacing w:after="0" w:line="240" w:lineRule="auto"/>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а) изменить конструкцию фонаря пилота, верхнего гаргрота и установить зеркало-обэора задней полусферы;</w:t>
      </w:r>
    </w:p>
    <w:p w14:paraId="40AAEAE3" w14:textId="77777777" w:rsidR="008B38FB" w:rsidRPr="001E2C69" w:rsidRDefault="008B38FB" w:rsidP="00722885">
      <w:pPr>
        <w:pStyle w:val="7f"/>
        <w:shd w:val="clear" w:color="auto" w:fill="auto"/>
        <w:tabs>
          <w:tab w:val="left" w:pos="1258"/>
        </w:tabs>
        <w:spacing w:after="0" w:line="240" w:lineRule="auto"/>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 xml:space="preserve">б) установить один пулемет Березина </w:t>
      </w:r>
      <w:r w:rsidRPr="001E2C69">
        <w:rPr>
          <w:rStyle w:val="0pt"/>
          <w:rFonts w:ascii="Times New Roman" w:hAnsi="Times New Roman" w:cs="Times New Roman"/>
          <w:color w:val="000000" w:themeColor="text1"/>
          <w:spacing w:val="0"/>
          <w:sz w:val="16"/>
          <w:szCs w:val="16"/>
        </w:rPr>
        <w:t>12,7</w:t>
      </w:r>
      <w:r w:rsidRPr="001E2C69">
        <w:rPr>
          <w:rFonts w:ascii="Times New Roman" w:hAnsi="Times New Roman" w:cs="Times New Roman"/>
          <w:color w:val="000000" w:themeColor="text1"/>
          <w:spacing w:val="0"/>
          <w:sz w:val="16"/>
          <w:szCs w:val="16"/>
        </w:rPr>
        <w:t xml:space="preserve"> мм с боекомплек</w:t>
      </w:r>
      <w:r w:rsidRPr="001E2C69">
        <w:rPr>
          <w:rFonts w:ascii="Times New Roman" w:hAnsi="Times New Roman" w:cs="Times New Roman"/>
          <w:color w:val="000000" w:themeColor="text1"/>
          <w:spacing w:val="0"/>
          <w:sz w:val="16"/>
          <w:szCs w:val="16"/>
        </w:rPr>
        <w:softHyphen/>
        <w:t xml:space="preserve">том </w:t>
      </w:r>
      <w:r w:rsidRPr="001E2C69">
        <w:rPr>
          <w:rStyle w:val="0pt"/>
          <w:rFonts w:ascii="Times New Roman" w:hAnsi="Times New Roman" w:cs="Times New Roman"/>
          <w:color w:val="000000" w:themeColor="text1"/>
          <w:spacing w:val="0"/>
          <w:sz w:val="16"/>
          <w:szCs w:val="16"/>
        </w:rPr>
        <w:t xml:space="preserve">в </w:t>
      </w:r>
      <w:r w:rsidRPr="001E2C69">
        <w:rPr>
          <w:rStyle w:val="0pt"/>
          <w:rFonts w:ascii="Times New Roman" w:eastAsia="MS Mincho" w:hAnsi="Times New Roman" w:cs="Times New Roman"/>
          <w:color w:val="000000" w:themeColor="text1"/>
          <w:spacing w:val="0"/>
          <w:sz w:val="16"/>
          <w:szCs w:val="16"/>
        </w:rPr>
        <w:t>2</w:t>
      </w:r>
      <w:r w:rsidRPr="001E2C69">
        <w:rPr>
          <w:rStyle w:val="0pt"/>
          <w:rFonts w:ascii="Times New Roman" w:hAnsi="Times New Roman" w:cs="Times New Roman"/>
          <w:color w:val="000000" w:themeColor="text1"/>
          <w:spacing w:val="0"/>
          <w:sz w:val="16"/>
          <w:szCs w:val="16"/>
        </w:rPr>
        <w:t>00</w:t>
      </w:r>
      <w:r w:rsidRPr="001E2C69">
        <w:rPr>
          <w:rFonts w:ascii="Times New Roman" w:hAnsi="Times New Roman" w:cs="Times New Roman"/>
          <w:color w:val="000000" w:themeColor="text1"/>
          <w:spacing w:val="0"/>
          <w:sz w:val="16"/>
          <w:szCs w:val="16"/>
        </w:rPr>
        <w:t xml:space="preserve"> патрон вместо </w:t>
      </w:r>
      <w:r w:rsidRPr="001E2C69">
        <w:rPr>
          <w:rStyle w:val="0pt"/>
          <w:rFonts w:ascii="Times New Roman" w:hAnsi="Times New Roman" w:cs="Times New Roman"/>
          <w:color w:val="000000" w:themeColor="text1"/>
          <w:spacing w:val="0"/>
          <w:sz w:val="16"/>
          <w:szCs w:val="16"/>
        </w:rPr>
        <w:t>2-х</w:t>
      </w:r>
      <w:r w:rsidRPr="001E2C69">
        <w:rPr>
          <w:rFonts w:ascii="Times New Roman" w:hAnsi="Times New Roman" w:cs="Times New Roman"/>
          <w:color w:val="000000" w:themeColor="text1"/>
          <w:spacing w:val="0"/>
          <w:sz w:val="16"/>
          <w:szCs w:val="16"/>
        </w:rPr>
        <w:t xml:space="preserve"> пулеметов Шкас и одну пушку Швак 20 мм с боекомплектом в </w:t>
      </w:r>
      <w:r w:rsidRPr="001E2C69">
        <w:rPr>
          <w:rStyle w:val="0pt"/>
          <w:rFonts w:ascii="Times New Roman" w:hAnsi="Times New Roman" w:cs="Times New Roman"/>
          <w:color w:val="000000" w:themeColor="text1"/>
          <w:spacing w:val="0"/>
          <w:sz w:val="16"/>
          <w:szCs w:val="16"/>
        </w:rPr>
        <w:t>120</w:t>
      </w:r>
      <w:r w:rsidRPr="001E2C69">
        <w:rPr>
          <w:rFonts w:ascii="Times New Roman" w:hAnsi="Times New Roman" w:cs="Times New Roman"/>
          <w:color w:val="000000" w:themeColor="text1"/>
          <w:spacing w:val="0"/>
          <w:sz w:val="16"/>
          <w:szCs w:val="16"/>
        </w:rPr>
        <w:t xml:space="preserve"> патрон, сняв пневмопереварядку пушки;</w:t>
      </w:r>
    </w:p>
    <w:p w14:paraId="7801E000" w14:textId="77777777" w:rsidR="008B38FB" w:rsidRPr="001E2C69" w:rsidRDefault="008B38FB" w:rsidP="00722885">
      <w:pPr>
        <w:pStyle w:val="7f"/>
        <w:shd w:val="clear" w:color="auto" w:fill="auto"/>
        <w:tabs>
          <w:tab w:val="left" w:pos="1250"/>
        </w:tabs>
        <w:spacing w:after="0" w:line="240" w:lineRule="auto"/>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в) изменить бронеспинку, срезав верхнюю часть, поставить переднее и заднее бронестекла и броню для левой руки пилота;</w:t>
      </w:r>
    </w:p>
    <w:p w14:paraId="7AFB6286" w14:textId="77777777" w:rsidR="008B38FB" w:rsidRPr="001E2C69" w:rsidRDefault="008B38FB" w:rsidP="00722885">
      <w:pPr>
        <w:pStyle w:val="7f"/>
        <w:shd w:val="clear" w:color="auto" w:fill="auto"/>
        <w:tabs>
          <w:tab w:val="left" w:pos="1238"/>
        </w:tabs>
        <w:spacing w:after="0" w:line="240" w:lineRule="auto"/>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г) установить маслорадиатор типа самолета Як-7;</w:t>
      </w:r>
    </w:p>
    <w:p w14:paraId="18FF98B5" w14:textId="77777777" w:rsidR="008B38FB" w:rsidRPr="001E2C69" w:rsidRDefault="008B38FB" w:rsidP="00722885">
      <w:pPr>
        <w:pStyle w:val="7f"/>
        <w:shd w:val="clear" w:color="auto" w:fill="auto"/>
        <w:tabs>
          <w:tab w:val="left" w:pos="1238"/>
        </w:tabs>
        <w:spacing w:after="0" w:line="240" w:lineRule="auto"/>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 xml:space="preserve">д) установить винт </w:t>
      </w:r>
      <w:r w:rsidRPr="001E2C69">
        <w:rPr>
          <w:rStyle w:val="0pt"/>
          <w:rFonts w:ascii="Times New Roman" w:hAnsi="Times New Roman" w:cs="Times New Roman"/>
          <w:color w:val="000000" w:themeColor="text1"/>
          <w:spacing w:val="0"/>
          <w:sz w:val="16"/>
          <w:szCs w:val="16"/>
        </w:rPr>
        <w:t>ВИШ-105;</w:t>
      </w:r>
    </w:p>
    <w:p w14:paraId="20920C22" w14:textId="77777777" w:rsidR="008B38FB" w:rsidRPr="001E2C69" w:rsidRDefault="008B38FB" w:rsidP="00722885">
      <w:pPr>
        <w:pStyle w:val="7f"/>
        <w:shd w:val="clear" w:color="auto" w:fill="auto"/>
        <w:tabs>
          <w:tab w:val="left" w:pos="1235"/>
        </w:tabs>
        <w:spacing w:after="0" w:line="240" w:lineRule="auto"/>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е) установить всасывающий патрубок с фильтром конструк</w:t>
      </w:r>
      <w:r w:rsidRPr="001E2C69">
        <w:rPr>
          <w:rFonts w:ascii="Times New Roman" w:hAnsi="Times New Roman" w:cs="Times New Roman"/>
          <w:color w:val="000000" w:themeColor="text1"/>
          <w:spacing w:val="0"/>
          <w:sz w:val="16"/>
          <w:szCs w:val="16"/>
        </w:rPr>
        <w:softHyphen/>
        <w:t>ции ЦАГИ;</w:t>
      </w:r>
    </w:p>
    <w:p w14:paraId="1DE8268E" w14:textId="77777777" w:rsidR="008B38FB" w:rsidRPr="001E2C69" w:rsidRDefault="008B38FB" w:rsidP="00722885">
      <w:pPr>
        <w:pStyle w:val="7f"/>
        <w:shd w:val="clear" w:color="auto" w:fill="auto"/>
        <w:tabs>
          <w:tab w:val="left" w:pos="1238"/>
        </w:tabs>
        <w:spacing w:after="0" w:line="240" w:lineRule="auto"/>
        <w:rPr>
          <w:rFonts w:ascii="Times New Roman" w:hAnsi="Times New Roman" w:cs="Times New Roman"/>
          <w:color w:val="000000" w:themeColor="text1"/>
          <w:spacing w:val="0"/>
          <w:sz w:val="16"/>
          <w:szCs w:val="16"/>
        </w:rPr>
      </w:pPr>
      <w:r w:rsidRPr="001E2C69">
        <w:rPr>
          <w:rStyle w:val="0pt66"/>
          <w:rFonts w:ascii="Times New Roman" w:hAnsi="Times New Roman" w:cs="Times New Roman"/>
          <w:b w:val="0"/>
          <w:color w:val="000000" w:themeColor="text1"/>
          <w:w w:val="100"/>
          <w:sz w:val="16"/>
          <w:szCs w:val="16"/>
        </w:rPr>
        <w:t xml:space="preserve">ж) </w:t>
      </w:r>
      <w:r w:rsidRPr="001E2C69">
        <w:rPr>
          <w:rFonts w:ascii="Times New Roman" w:hAnsi="Times New Roman" w:cs="Times New Roman"/>
          <w:color w:val="000000" w:themeColor="text1"/>
          <w:spacing w:val="0"/>
          <w:sz w:val="16"/>
          <w:szCs w:val="16"/>
        </w:rPr>
        <w:t>установить убирающийся в полете костыль.</w:t>
      </w:r>
    </w:p>
    <w:p w14:paraId="6E1BE3E2" w14:textId="77777777" w:rsidR="008B38FB" w:rsidRPr="001E2C69" w:rsidRDefault="008B38FB" w:rsidP="00722885">
      <w:pPr>
        <w:pStyle w:val="7f"/>
        <w:shd w:val="clear" w:color="auto" w:fill="auto"/>
        <w:tabs>
          <w:tab w:val="left" w:pos="1235"/>
        </w:tabs>
        <w:spacing w:after="0" w:line="240" w:lineRule="auto"/>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2. Установить следующие сроки внедрения и выпуска улуч</w:t>
      </w:r>
      <w:r w:rsidRPr="001E2C69">
        <w:rPr>
          <w:rFonts w:ascii="Times New Roman" w:hAnsi="Times New Roman" w:cs="Times New Roman"/>
          <w:color w:val="000000" w:themeColor="text1"/>
          <w:spacing w:val="0"/>
          <w:sz w:val="16"/>
          <w:szCs w:val="16"/>
        </w:rPr>
        <w:softHyphen/>
        <w:t>шенного самолета Як-1:</w:t>
      </w:r>
    </w:p>
    <w:p w14:paraId="3F024E30" w14:textId="77777777" w:rsidR="008B38FB" w:rsidRPr="001E2C69" w:rsidRDefault="008B38FB" w:rsidP="00722885">
      <w:pPr>
        <w:pStyle w:val="7f"/>
        <w:shd w:val="clear" w:color="auto" w:fill="auto"/>
        <w:spacing w:after="0" w:line="240" w:lineRule="auto"/>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в сентябре - 10 самолетов</w:t>
      </w:r>
    </w:p>
    <w:p w14:paraId="567E4F4B" w14:textId="77777777" w:rsidR="008B38FB" w:rsidRPr="001E2C69" w:rsidRDefault="008B38FB" w:rsidP="00722885">
      <w:pPr>
        <w:pStyle w:val="7f"/>
        <w:shd w:val="clear" w:color="auto" w:fill="auto"/>
        <w:tabs>
          <w:tab w:val="left" w:pos="4963"/>
        </w:tabs>
        <w:spacing w:after="0" w:line="240" w:lineRule="auto"/>
        <w:rPr>
          <w:rStyle w:val="0pt"/>
          <w:rFonts w:ascii="Times New Roman" w:eastAsia="MS Mincho"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 xml:space="preserve">в октябре - </w:t>
      </w:r>
      <w:r w:rsidRPr="001E2C69">
        <w:rPr>
          <w:rStyle w:val="0pt"/>
          <w:rFonts w:ascii="Times New Roman" w:hAnsi="Times New Roman" w:cs="Times New Roman"/>
          <w:color w:val="000000" w:themeColor="text1"/>
          <w:spacing w:val="0"/>
          <w:sz w:val="16"/>
          <w:szCs w:val="16"/>
        </w:rPr>
        <w:t>100</w:t>
      </w:r>
    </w:p>
    <w:p w14:paraId="46B4D181" w14:textId="77777777" w:rsidR="008B38FB" w:rsidRPr="001E2C69" w:rsidRDefault="008B38FB" w:rsidP="00722885">
      <w:pPr>
        <w:pStyle w:val="7f"/>
        <w:shd w:val="clear" w:color="auto" w:fill="auto"/>
        <w:tabs>
          <w:tab w:val="left" w:pos="4963"/>
        </w:tabs>
        <w:spacing w:after="0" w:line="240" w:lineRule="auto"/>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и начиная с 1-го нояб</w:t>
      </w:r>
      <w:r w:rsidRPr="001E2C69">
        <w:rPr>
          <w:rFonts w:ascii="Times New Roman" w:hAnsi="Times New Roman" w:cs="Times New Roman"/>
          <w:color w:val="000000" w:themeColor="text1"/>
          <w:spacing w:val="0"/>
          <w:sz w:val="16"/>
          <w:szCs w:val="16"/>
        </w:rPr>
        <w:softHyphen/>
      </w:r>
      <w:r w:rsidRPr="001E2C69">
        <w:rPr>
          <w:rStyle w:val="0pt"/>
          <w:rFonts w:ascii="Times New Roman" w:hAnsi="Times New Roman" w:cs="Times New Roman"/>
          <w:color w:val="000000" w:themeColor="text1"/>
          <w:spacing w:val="0"/>
          <w:sz w:val="16"/>
          <w:szCs w:val="16"/>
        </w:rPr>
        <w:t>ря 1942</w:t>
      </w:r>
      <w:r w:rsidRPr="001E2C69">
        <w:rPr>
          <w:rFonts w:ascii="Times New Roman" w:hAnsi="Times New Roman" w:cs="Times New Roman"/>
          <w:color w:val="000000" w:themeColor="text1"/>
          <w:spacing w:val="0"/>
          <w:sz w:val="16"/>
          <w:szCs w:val="16"/>
        </w:rPr>
        <w:t xml:space="preserve"> года все выпускаемые заводом самолеты.</w:t>
      </w:r>
    </w:p>
    <w:p w14:paraId="21D612DD" w14:textId="77777777" w:rsidR="008B38FB" w:rsidRPr="001E2C69" w:rsidRDefault="008B38FB" w:rsidP="00722885">
      <w:pPr>
        <w:pStyle w:val="7f"/>
        <w:shd w:val="clear" w:color="auto" w:fill="auto"/>
        <w:tabs>
          <w:tab w:val="left" w:pos="1253"/>
        </w:tabs>
        <w:spacing w:after="0" w:line="240" w:lineRule="auto"/>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3. Обяэать Главного Конструктора т.Яковлева:</w:t>
      </w:r>
    </w:p>
    <w:p w14:paraId="2C9E6953" w14:textId="77777777" w:rsidR="008B38FB" w:rsidRPr="001E2C69" w:rsidRDefault="008B38FB" w:rsidP="00722885">
      <w:pPr>
        <w:pStyle w:val="7f"/>
        <w:shd w:val="clear" w:color="auto" w:fill="auto"/>
        <w:tabs>
          <w:tab w:val="left" w:pos="1243"/>
        </w:tabs>
        <w:spacing w:after="0" w:line="240" w:lineRule="auto"/>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 xml:space="preserve">а) передать заводу № </w:t>
      </w:r>
      <w:r w:rsidRPr="001E2C69">
        <w:rPr>
          <w:rStyle w:val="0pt"/>
          <w:rFonts w:ascii="Times New Roman" w:hAnsi="Times New Roman" w:cs="Times New Roman"/>
          <w:color w:val="000000" w:themeColor="text1"/>
          <w:spacing w:val="0"/>
          <w:sz w:val="16"/>
          <w:szCs w:val="16"/>
        </w:rPr>
        <w:t>292</w:t>
      </w:r>
      <w:r w:rsidRPr="001E2C69">
        <w:rPr>
          <w:rFonts w:ascii="Times New Roman" w:hAnsi="Times New Roman" w:cs="Times New Roman"/>
          <w:color w:val="000000" w:themeColor="text1"/>
          <w:spacing w:val="0"/>
          <w:sz w:val="16"/>
          <w:szCs w:val="16"/>
        </w:rPr>
        <w:t xml:space="preserve"> чертежи на утвержденные настоя</w:t>
      </w:r>
      <w:r w:rsidRPr="001E2C69">
        <w:rPr>
          <w:rFonts w:ascii="Times New Roman" w:hAnsi="Times New Roman" w:cs="Times New Roman"/>
          <w:color w:val="000000" w:themeColor="text1"/>
          <w:spacing w:val="0"/>
          <w:sz w:val="16"/>
          <w:szCs w:val="16"/>
        </w:rPr>
        <w:softHyphen/>
        <w:t>щим постановлением изменения конструкции не поэднее 12 авгу</w:t>
      </w:r>
      <w:r w:rsidRPr="001E2C69">
        <w:rPr>
          <w:rFonts w:ascii="Times New Roman" w:hAnsi="Times New Roman" w:cs="Times New Roman"/>
          <w:color w:val="000000" w:themeColor="text1"/>
          <w:spacing w:val="0"/>
          <w:sz w:val="16"/>
          <w:szCs w:val="16"/>
        </w:rPr>
        <w:softHyphen/>
        <w:t xml:space="preserve">ста </w:t>
      </w:r>
      <w:r w:rsidRPr="001E2C69">
        <w:rPr>
          <w:rStyle w:val="0pt"/>
          <w:rFonts w:ascii="Times New Roman" w:hAnsi="Times New Roman" w:cs="Times New Roman"/>
          <w:color w:val="000000" w:themeColor="text1"/>
          <w:spacing w:val="0"/>
          <w:sz w:val="16"/>
          <w:szCs w:val="16"/>
        </w:rPr>
        <w:t>1942</w:t>
      </w:r>
      <w:r w:rsidRPr="001E2C69">
        <w:rPr>
          <w:rFonts w:ascii="Times New Roman" w:hAnsi="Times New Roman" w:cs="Times New Roman"/>
          <w:color w:val="000000" w:themeColor="text1"/>
          <w:spacing w:val="0"/>
          <w:sz w:val="16"/>
          <w:szCs w:val="16"/>
        </w:rPr>
        <w:t xml:space="preserve"> года;</w:t>
      </w:r>
    </w:p>
    <w:p w14:paraId="543B621A" w14:textId="77777777" w:rsidR="008B38FB" w:rsidRPr="001E2C69" w:rsidRDefault="008B38FB" w:rsidP="00722885">
      <w:pPr>
        <w:pStyle w:val="7f"/>
        <w:shd w:val="clear" w:color="auto" w:fill="auto"/>
        <w:tabs>
          <w:tab w:val="left" w:pos="1273"/>
        </w:tabs>
        <w:spacing w:after="0" w:line="240" w:lineRule="auto"/>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 xml:space="preserve">б) передать заводу № </w:t>
      </w:r>
      <w:r w:rsidRPr="001E2C69">
        <w:rPr>
          <w:rStyle w:val="0pt"/>
          <w:rFonts w:ascii="Times New Roman" w:hAnsi="Times New Roman" w:cs="Times New Roman"/>
          <w:color w:val="000000" w:themeColor="text1"/>
          <w:spacing w:val="0"/>
          <w:sz w:val="16"/>
          <w:szCs w:val="16"/>
        </w:rPr>
        <w:t>292</w:t>
      </w:r>
      <w:r w:rsidRPr="001E2C69">
        <w:rPr>
          <w:rFonts w:ascii="Times New Roman" w:hAnsi="Times New Roman" w:cs="Times New Roman"/>
          <w:color w:val="000000" w:themeColor="text1"/>
          <w:spacing w:val="0"/>
          <w:sz w:val="16"/>
          <w:szCs w:val="16"/>
        </w:rPr>
        <w:t xml:space="preserve"> образец улучшенного самолета Як-1 к 20 августа </w:t>
      </w:r>
      <w:r w:rsidRPr="001E2C69">
        <w:rPr>
          <w:rStyle w:val="0pt"/>
          <w:rFonts w:ascii="Times New Roman" w:hAnsi="Times New Roman" w:cs="Times New Roman"/>
          <w:color w:val="000000" w:themeColor="text1"/>
          <w:spacing w:val="0"/>
          <w:sz w:val="16"/>
          <w:szCs w:val="16"/>
        </w:rPr>
        <w:t>1942</w:t>
      </w:r>
      <w:r w:rsidRPr="001E2C69">
        <w:rPr>
          <w:rFonts w:ascii="Times New Roman" w:hAnsi="Times New Roman" w:cs="Times New Roman"/>
          <w:color w:val="000000" w:themeColor="text1"/>
          <w:spacing w:val="0"/>
          <w:sz w:val="16"/>
          <w:szCs w:val="16"/>
        </w:rPr>
        <w:t xml:space="preserve"> года;</w:t>
      </w:r>
    </w:p>
    <w:p w14:paraId="052F6E31" w14:textId="77777777" w:rsidR="008B38FB" w:rsidRPr="001E2C69" w:rsidRDefault="008B38FB" w:rsidP="00722885">
      <w:pPr>
        <w:pStyle w:val="7f"/>
        <w:shd w:val="clear" w:color="auto" w:fill="auto"/>
        <w:tabs>
          <w:tab w:val="left" w:pos="1243"/>
        </w:tabs>
        <w:spacing w:after="0" w:line="240" w:lineRule="auto"/>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в) разработать конструкцию нового деревянного хвостово</w:t>
      </w:r>
      <w:r w:rsidRPr="001E2C69">
        <w:rPr>
          <w:rFonts w:ascii="Times New Roman" w:hAnsi="Times New Roman" w:cs="Times New Roman"/>
          <w:color w:val="000000" w:themeColor="text1"/>
          <w:spacing w:val="0"/>
          <w:sz w:val="16"/>
          <w:szCs w:val="16"/>
        </w:rPr>
        <w:softHyphen/>
        <w:t>го оперения для улучшенного самолета Як-1 и, после проведения испытаний, передать заводу №</w:t>
      </w:r>
      <w:r w:rsidRPr="001E2C69">
        <w:rPr>
          <w:rStyle w:val="TrebuchetMS0pt"/>
          <w:rFonts w:ascii="Times New Roman" w:hAnsi="Times New Roman" w:cs="Times New Roman"/>
          <w:color w:val="000000" w:themeColor="text1"/>
          <w:sz w:val="16"/>
          <w:szCs w:val="16"/>
        </w:rPr>
        <w:t xml:space="preserve"> 292</w:t>
      </w:r>
      <w:r w:rsidRPr="001E2C69">
        <w:rPr>
          <w:rFonts w:ascii="Times New Roman" w:hAnsi="Times New Roman" w:cs="Times New Roman"/>
          <w:color w:val="000000" w:themeColor="text1"/>
          <w:spacing w:val="0"/>
          <w:sz w:val="16"/>
          <w:szCs w:val="16"/>
        </w:rPr>
        <w:t xml:space="preserve"> для внедрения в серию.</w:t>
      </w:r>
    </w:p>
    <w:p w14:paraId="07A3131D" w14:textId="77777777" w:rsidR="008B38FB" w:rsidRPr="001E2C69" w:rsidRDefault="008B38FB" w:rsidP="00722885">
      <w:pPr>
        <w:pStyle w:val="7f"/>
        <w:shd w:val="clear" w:color="auto" w:fill="auto"/>
        <w:tabs>
          <w:tab w:val="left" w:pos="1243"/>
        </w:tabs>
        <w:spacing w:after="0" w:line="240" w:lineRule="auto"/>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 xml:space="preserve">4. Наркомхимпром т.Первухину и Наркомстройматериалов - т.Соснину обеспечить поставку эаводу </w:t>
      </w:r>
      <w:r w:rsidRPr="001E2C69">
        <w:rPr>
          <w:rFonts w:ascii="Times New Roman" w:hAnsi="Times New Roman" w:cs="Times New Roman"/>
          <w:color w:val="000000" w:themeColor="text1"/>
          <w:spacing w:val="0"/>
          <w:sz w:val="16"/>
          <w:szCs w:val="16"/>
          <w:lang w:val="en-US"/>
        </w:rPr>
        <w:t>JP</w:t>
      </w:r>
      <w:r w:rsidRPr="001E2C69">
        <w:rPr>
          <w:rFonts w:ascii="Times New Roman" w:hAnsi="Times New Roman" w:cs="Times New Roman"/>
          <w:color w:val="000000" w:themeColor="text1"/>
          <w:spacing w:val="0"/>
          <w:sz w:val="16"/>
          <w:szCs w:val="16"/>
        </w:rPr>
        <w:t xml:space="preserve"> </w:t>
      </w:r>
      <w:r w:rsidRPr="001E2C69">
        <w:rPr>
          <w:rStyle w:val="0pt"/>
          <w:rFonts w:ascii="Times New Roman" w:hAnsi="Times New Roman" w:cs="Times New Roman"/>
          <w:color w:val="000000" w:themeColor="text1"/>
          <w:spacing w:val="0"/>
          <w:sz w:val="16"/>
          <w:szCs w:val="16"/>
        </w:rPr>
        <w:t>292</w:t>
      </w:r>
      <w:r w:rsidRPr="001E2C69">
        <w:rPr>
          <w:rFonts w:ascii="Times New Roman" w:hAnsi="Times New Roman" w:cs="Times New Roman"/>
          <w:color w:val="000000" w:themeColor="text1"/>
          <w:spacing w:val="0"/>
          <w:sz w:val="16"/>
          <w:szCs w:val="16"/>
        </w:rPr>
        <w:t xml:space="preserve"> по его чертежам бронестекол:</w:t>
      </w:r>
    </w:p>
    <w:p w14:paraId="1620F3B0" w14:textId="77777777" w:rsidR="008B38FB" w:rsidRPr="001E2C69" w:rsidRDefault="008B38FB" w:rsidP="00722885">
      <w:pPr>
        <w:pStyle w:val="7f"/>
        <w:shd w:val="clear" w:color="auto" w:fill="auto"/>
        <w:spacing w:after="0" w:line="240" w:lineRule="auto"/>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 xml:space="preserve">в сентябре - </w:t>
      </w:r>
      <w:r w:rsidRPr="001E2C69">
        <w:rPr>
          <w:rStyle w:val="0pt"/>
          <w:rFonts w:ascii="Times New Roman" w:hAnsi="Times New Roman" w:cs="Times New Roman"/>
          <w:color w:val="000000" w:themeColor="text1"/>
          <w:spacing w:val="0"/>
          <w:sz w:val="16"/>
          <w:szCs w:val="16"/>
        </w:rPr>
        <w:t>100</w:t>
      </w:r>
      <w:r w:rsidRPr="001E2C69">
        <w:rPr>
          <w:rFonts w:ascii="Times New Roman" w:hAnsi="Times New Roman" w:cs="Times New Roman"/>
          <w:color w:val="000000" w:themeColor="text1"/>
          <w:spacing w:val="0"/>
          <w:sz w:val="16"/>
          <w:szCs w:val="16"/>
        </w:rPr>
        <w:t xml:space="preserve"> комплектов</w:t>
      </w:r>
    </w:p>
    <w:p w14:paraId="09316A9A" w14:textId="77777777" w:rsidR="008B38FB" w:rsidRPr="001E2C69" w:rsidRDefault="008B38F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октябре - </w:t>
      </w:r>
      <w:r w:rsidRPr="001E2C69">
        <w:rPr>
          <w:rStyle w:val="0pt"/>
          <w:rFonts w:ascii="Times New Roman" w:hAnsi="Times New Roman" w:cs="Times New Roman"/>
          <w:color w:val="000000" w:themeColor="text1"/>
          <w:spacing w:val="0"/>
          <w:sz w:val="16"/>
          <w:szCs w:val="16"/>
        </w:rPr>
        <w:t>300</w:t>
      </w:r>
      <w:r w:rsidRPr="001E2C69">
        <w:rPr>
          <w:rFonts w:ascii="Times New Roman" w:hAnsi="Times New Roman"/>
          <w:color w:val="000000" w:themeColor="text1"/>
          <w:sz w:val="16"/>
          <w:szCs w:val="16"/>
        </w:rPr>
        <w:t xml:space="preserve"> комплектов и, начиная с ноября месяца </w:t>
      </w:r>
      <w:r w:rsidRPr="001E2C69">
        <w:rPr>
          <w:rStyle w:val="0pt"/>
          <w:rFonts w:ascii="Times New Roman" w:hAnsi="Times New Roman" w:cs="Times New Roman"/>
          <w:color w:val="000000" w:themeColor="text1"/>
          <w:spacing w:val="0"/>
          <w:sz w:val="16"/>
          <w:szCs w:val="16"/>
        </w:rPr>
        <w:t>1942</w:t>
      </w:r>
      <w:r w:rsidRPr="001E2C69">
        <w:rPr>
          <w:rFonts w:ascii="Times New Roman" w:hAnsi="Times New Roman"/>
          <w:color w:val="000000" w:themeColor="text1"/>
          <w:sz w:val="16"/>
          <w:szCs w:val="16"/>
        </w:rPr>
        <w:t xml:space="preserve"> года, по </w:t>
      </w:r>
      <w:r w:rsidRPr="001E2C69">
        <w:rPr>
          <w:rStyle w:val="0pt"/>
          <w:rFonts w:ascii="Times New Roman" w:hAnsi="Times New Roman" w:cs="Times New Roman"/>
          <w:color w:val="000000" w:themeColor="text1"/>
          <w:spacing w:val="0"/>
          <w:sz w:val="16"/>
          <w:szCs w:val="16"/>
        </w:rPr>
        <w:t>350</w:t>
      </w:r>
      <w:r w:rsidRPr="001E2C69">
        <w:rPr>
          <w:rFonts w:ascii="Times New Roman" w:hAnsi="Times New Roman"/>
          <w:color w:val="000000" w:themeColor="text1"/>
          <w:sz w:val="16"/>
          <w:szCs w:val="16"/>
        </w:rPr>
        <w:t xml:space="preserve"> комплектов</w:t>
      </w:r>
    </w:p>
    <w:p w14:paraId="47D34A3F" w14:textId="77777777" w:rsidR="008B38FB" w:rsidRPr="001E2C69" w:rsidRDefault="008B38F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Наркомхимпрому (т.Первухину) и Наркомнефти (т.Седину) в 10-дневный срок внести на рассмотрение ГОКО предложения об организации производства изопропилового спирта на Уфимском крекинг-заводе и переработки спирта в ацетон на заводе № 34 Наркомхимпрома в г.Челябинске.</w:t>
      </w:r>
    </w:p>
    <w:p w14:paraId="0FD4247D" w14:textId="77777777" w:rsidR="008B38FB" w:rsidRPr="001E2C69" w:rsidRDefault="008B38F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Наркомвооружения т.Устинову обеспечить поставку заводу № 292:</w:t>
      </w:r>
    </w:p>
    <w:p w14:paraId="58887B78" w14:textId="77777777" w:rsidR="008B38FB" w:rsidRPr="001E2C69" w:rsidRDefault="008B38F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деталей горячей штамповки с эавода № 614 по 100 тонн ежеквартально, начиная с Ш-го квартала текущего года;</w:t>
      </w:r>
    </w:p>
    <w:p w14:paraId="06F57CF2" w14:textId="77777777" w:rsidR="008B38FB" w:rsidRPr="001E2C69" w:rsidRDefault="008B38F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пулеметов системы Беревина (УБС) калибра 12,7 мм эа счет сокращения поставок синхронных пулеметов Шкас.</w:t>
      </w:r>
    </w:p>
    <w:p w14:paraId="12C6F4EF" w14:textId="77777777" w:rsidR="008B38FB" w:rsidRPr="001E2C69" w:rsidRDefault="008B38FB" w:rsidP="00722885">
      <w:pPr>
        <w:tabs>
          <w:tab w:val="left" w:pos="1078"/>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Наркомхимпром - т.Первухину обеспечить освоение и по</w:t>
      </w:r>
      <w:r w:rsidRPr="001E2C69">
        <w:rPr>
          <w:rFonts w:ascii="Times New Roman" w:hAnsi="Times New Roman"/>
          <w:color w:val="000000" w:themeColor="text1"/>
          <w:sz w:val="16"/>
          <w:szCs w:val="16"/>
        </w:rPr>
        <w:softHyphen/>
        <w:t xml:space="preserve">ставку заводу № </w:t>
      </w:r>
      <w:r w:rsidRPr="001E2C69">
        <w:rPr>
          <w:rStyle w:val="0pt"/>
          <w:rFonts w:ascii="Times New Roman" w:hAnsi="Times New Roman" w:cs="Times New Roman"/>
          <w:color w:val="000000" w:themeColor="text1"/>
          <w:spacing w:val="0"/>
          <w:sz w:val="16"/>
          <w:szCs w:val="16"/>
        </w:rPr>
        <w:t>292</w:t>
      </w:r>
      <w:r w:rsidRPr="001E2C69">
        <w:rPr>
          <w:rFonts w:ascii="Times New Roman" w:hAnsi="Times New Roman"/>
          <w:color w:val="000000" w:themeColor="text1"/>
          <w:sz w:val="16"/>
          <w:szCs w:val="16"/>
        </w:rPr>
        <w:t xml:space="preserve"> в счет фондов Наркомавиапрома листовой плексиглас толщиной </w:t>
      </w:r>
      <w:r w:rsidRPr="001E2C69">
        <w:rPr>
          <w:rStyle w:val="0pt"/>
          <w:rFonts w:ascii="Times New Roman" w:hAnsi="Times New Roman" w:cs="Times New Roman"/>
          <w:color w:val="000000" w:themeColor="text1"/>
          <w:spacing w:val="0"/>
          <w:sz w:val="16"/>
          <w:szCs w:val="16"/>
        </w:rPr>
        <w:t>4-5</w:t>
      </w:r>
      <w:r w:rsidRPr="001E2C69">
        <w:rPr>
          <w:rFonts w:ascii="Times New Roman" w:hAnsi="Times New Roman"/>
          <w:color w:val="000000" w:themeColor="text1"/>
          <w:sz w:val="16"/>
          <w:szCs w:val="16"/>
        </w:rPr>
        <w:t xml:space="preserve"> мм в габаритах по чертежам завода № </w:t>
      </w:r>
      <w:r w:rsidRPr="001E2C69">
        <w:rPr>
          <w:rStyle w:val="0pt"/>
          <w:rFonts w:ascii="Times New Roman" w:hAnsi="Times New Roman" w:cs="Times New Roman"/>
          <w:color w:val="000000" w:themeColor="text1"/>
          <w:spacing w:val="0"/>
          <w:sz w:val="16"/>
          <w:szCs w:val="16"/>
        </w:rPr>
        <w:t>292:</w:t>
      </w:r>
    </w:p>
    <w:p w14:paraId="75AF1DF5" w14:textId="77777777" w:rsidR="008B38FB" w:rsidRPr="001E2C69" w:rsidRDefault="008B38F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сентябре - </w:t>
      </w:r>
      <w:r w:rsidRPr="001E2C69">
        <w:rPr>
          <w:rStyle w:val="0pt"/>
          <w:rFonts w:ascii="Times New Roman" w:hAnsi="Times New Roman" w:cs="Times New Roman"/>
          <w:color w:val="000000" w:themeColor="text1"/>
          <w:spacing w:val="0"/>
          <w:sz w:val="16"/>
          <w:szCs w:val="16"/>
        </w:rPr>
        <w:t>120</w:t>
      </w:r>
      <w:r w:rsidRPr="001E2C69">
        <w:rPr>
          <w:rFonts w:ascii="Times New Roman" w:hAnsi="Times New Roman"/>
          <w:color w:val="000000" w:themeColor="text1"/>
          <w:sz w:val="16"/>
          <w:szCs w:val="16"/>
        </w:rPr>
        <w:t xml:space="preserve"> листов</w:t>
      </w:r>
    </w:p>
    <w:p w14:paraId="5A1D357D" w14:textId="77777777" w:rsidR="008B38FB" w:rsidRPr="001E2C69" w:rsidRDefault="008B38F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октябре - </w:t>
      </w:r>
      <w:r w:rsidRPr="001E2C69">
        <w:rPr>
          <w:rStyle w:val="0pt"/>
          <w:rFonts w:ascii="Times New Roman" w:hAnsi="Times New Roman" w:cs="Times New Roman"/>
          <w:color w:val="000000" w:themeColor="text1"/>
          <w:spacing w:val="0"/>
          <w:sz w:val="16"/>
          <w:szCs w:val="16"/>
        </w:rPr>
        <w:t>350</w:t>
      </w:r>
      <w:r w:rsidRPr="001E2C69">
        <w:rPr>
          <w:rFonts w:ascii="Times New Roman" w:hAnsi="Times New Roman"/>
          <w:color w:val="000000" w:themeColor="text1"/>
          <w:sz w:val="16"/>
          <w:szCs w:val="16"/>
        </w:rPr>
        <w:t xml:space="preserve"> листов и, начиная с ноября, по </w:t>
      </w:r>
      <w:r w:rsidRPr="001E2C69">
        <w:rPr>
          <w:rStyle w:val="0pt"/>
          <w:rFonts w:ascii="Times New Roman" w:hAnsi="Times New Roman" w:cs="Times New Roman"/>
          <w:color w:val="000000" w:themeColor="text1"/>
          <w:spacing w:val="0"/>
          <w:sz w:val="16"/>
          <w:szCs w:val="16"/>
        </w:rPr>
        <w:t>400</w:t>
      </w:r>
      <w:r w:rsidRPr="001E2C69">
        <w:rPr>
          <w:rFonts w:ascii="Times New Roman" w:hAnsi="Times New Roman"/>
          <w:color w:val="000000" w:themeColor="text1"/>
          <w:sz w:val="16"/>
          <w:szCs w:val="16"/>
        </w:rPr>
        <w:t xml:space="preserve"> листов ежемесячно</w:t>
      </w:r>
    </w:p>
    <w:p w14:paraId="2D99F56C" w14:textId="77777777" w:rsidR="008B38FB" w:rsidRPr="001E2C69" w:rsidRDefault="008B38FB" w:rsidP="00722885">
      <w:pPr>
        <w:tabs>
          <w:tab w:val="left" w:pos="1045"/>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8. Наркомстройматериалов - т.Соснину обеспечить освоение и поставку заводу № </w:t>
      </w:r>
      <w:r w:rsidRPr="001E2C69">
        <w:rPr>
          <w:rStyle w:val="0pt"/>
          <w:rFonts w:ascii="Times New Roman" w:hAnsi="Times New Roman" w:cs="Times New Roman"/>
          <w:color w:val="000000" w:themeColor="text1"/>
          <w:spacing w:val="0"/>
          <w:sz w:val="16"/>
          <w:szCs w:val="16"/>
        </w:rPr>
        <w:t>292</w:t>
      </w:r>
      <w:r w:rsidRPr="001E2C69">
        <w:rPr>
          <w:rFonts w:ascii="Times New Roman" w:hAnsi="Times New Roman"/>
          <w:color w:val="000000" w:themeColor="text1"/>
          <w:sz w:val="16"/>
          <w:szCs w:val="16"/>
        </w:rPr>
        <w:t xml:space="preserve"> зеркал обзора по чертежам эавода № </w:t>
      </w:r>
      <w:r w:rsidRPr="001E2C69">
        <w:rPr>
          <w:rStyle w:val="0pt"/>
          <w:rFonts w:ascii="Times New Roman" w:hAnsi="Times New Roman" w:cs="Times New Roman"/>
          <w:color w:val="000000" w:themeColor="text1"/>
          <w:spacing w:val="0"/>
          <w:sz w:val="16"/>
          <w:szCs w:val="16"/>
        </w:rPr>
        <w:t>115:</w:t>
      </w:r>
    </w:p>
    <w:p w14:paraId="0668F120" w14:textId="77777777" w:rsidR="008B38FB" w:rsidRPr="001E2C69" w:rsidRDefault="008B38F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сентябре - </w:t>
      </w:r>
      <w:r w:rsidRPr="001E2C69">
        <w:rPr>
          <w:rStyle w:val="0pt"/>
          <w:rFonts w:ascii="Times New Roman" w:hAnsi="Times New Roman" w:cs="Times New Roman"/>
          <w:color w:val="000000" w:themeColor="text1"/>
          <w:spacing w:val="0"/>
          <w:sz w:val="16"/>
          <w:szCs w:val="16"/>
        </w:rPr>
        <w:t>120</w:t>
      </w:r>
      <w:r w:rsidRPr="001E2C69">
        <w:rPr>
          <w:rFonts w:ascii="Times New Roman" w:hAnsi="Times New Roman"/>
          <w:color w:val="000000" w:themeColor="text1"/>
          <w:sz w:val="16"/>
          <w:szCs w:val="16"/>
        </w:rPr>
        <w:t xml:space="preserve"> штук</w:t>
      </w:r>
    </w:p>
    <w:p w14:paraId="02F717A5" w14:textId="77777777" w:rsidR="008B38FB" w:rsidRPr="001E2C69" w:rsidRDefault="008B38F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октябре - </w:t>
      </w:r>
      <w:r w:rsidRPr="001E2C69">
        <w:rPr>
          <w:rStyle w:val="0pt"/>
          <w:rFonts w:ascii="Times New Roman" w:hAnsi="Times New Roman" w:cs="Times New Roman"/>
          <w:color w:val="000000" w:themeColor="text1"/>
          <w:spacing w:val="0"/>
          <w:sz w:val="16"/>
          <w:szCs w:val="16"/>
        </w:rPr>
        <w:t>350</w:t>
      </w:r>
      <w:r w:rsidRPr="001E2C69">
        <w:rPr>
          <w:rFonts w:ascii="Times New Roman" w:hAnsi="Times New Roman"/>
          <w:color w:val="000000" w:themeColor="text1"/>
          <w:sz w:val="16"/>
          <w:szCs w:val="16"/>
        </w:rPr>
        <w:t xml:space="preserve"> штук и, начиная с ноября месяца, </w:t>
      </w:r>
      <w:r w:rsidRPr="001E2C69">
        <w:rPr>
          <w:rStyle w:val="0pt"/>
          <w:rFonts w:ascii="Times New Roman" w:hAnsi="Times New Roman" w:cs="Times New Roman"/>
          <w:color w:val="000000" w:themeColor="text1"/>
          <w:spacing w:val="0"/>
          <w:sz w:val="16"/>
          <w:szCs w:val="16"/>
        </w:rPr>
        <w:t>по 400</w:t>
      </w:r>
      <w:r w:rsidRPr="001E2C69">
        <w:rPr>
          <w:rFonts w:ascii="Times New Roman" w:hAnsi="Times New Roman"/>
          <w:color w:val="000000" w:themeColor="text1"/>
          <w:sz w:val="16"/>
          <w:szCs w:val="16"/>
        </w:rPr>
        <w:t xml:space="preserve"> штук ежемесячно,</w:t>
      </w:r>
    </w:p>
    <w:p w14:paraId="5C52BF33" w14:textId="77777777" w:rsidR="008B38FB" w:rsidRPr="001E2C69" w:rsidRDefault="008B38FB" w:rsidP="00722885">
      <w:pPr>
        <w:tabs>
          <w:tab w:val="left" w:pos="1085"/>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9. Обяэать Наркомтанкопром т.Зальцмана на эаводах № </w:t>
      </w:r>
      <w:r w:rsidRPr="001E2C69">
        <w:rPr>
          <w:rStyle w:val="0pt"/>
          <w:rFonts w:ascii="Times New Roman" w:hAnsi="Times New Roman" w:cs="Times New Roman"/>
          <w:color w:val="000000" w:themeColor="text1"/>
          <w:spacing w:val="0"/>
          <w:sz w:val="16"/>
          <w:szCs w:val="16"/>
        </w:rPr>
        <w:t>264 и 183</w:t>
      </w:r>
      <w:r w:rsidRPr="001E2C69">
        <w:rPr>
          <w:rFonts w:ascii="Times New Roman" w:hAnsi="Times New Roman"/>
          <w:color w:val="000000" w:themeColor="text1"/>
          <w:sz w:val="16"/>
          <w:szCs w:val="16"/>
        </w:rPr>
        <w:t xml:space="preserve"> Наркомтанкопрома обеспечить освоение и поставку заводу №</w:t>
      </w:r>
      <w:r w:rsidRPr="001E2C69">
        <w:rPr>
          <w:rStyle w:val="0pt"/>
          <w:rFonts w:ascii="Times New Roman" w:hAnsi="Times New Roman" w:cs="Times New Roman"/>
          <w:color w:val="000000" w:themeColor="text1"/>
          <w:spacing w:val="0"/>
          <w:sz w:val="16"/>
          <w:szCs w:val="16"/>
        </w:rPr>
        <w:t xml:space="preserve"> 292</w:t>
      </w:r>
      <w:r w:rsidRPr="001E2C69">
        <w:rPr>
          <w:rFonts w:ascii="Times New Roman" w:hAnsi="Times New Roman"/>
          <w:color w:val="000000" w:themeColor="text1"/>
          <w:sz w:val="16"/>
          <w:szCs w:val="16"/>
        </w:rPr>
        <w:t xml:space="preserve"> измененной бронеспинки и брони для защиты левой руки пилота по чертежам завода № </w:t>
      </w:r>
      <w:r w:rsidRPr="001E2C69">
        <w:rPr>
          <w:rStyle w:val="0pt"/>
          <w:rFonts w:ascii="Times New Roman" w:hAnsi="Times New Roman" w:cs="Times New Roman"/>
          <w:color w:val="000000" w:themeColor="text1"/>
          <w:spacing w:val="0"/>
          <w:sz w:val="16"/>
          <w:szCs w:val="16"/>
        </w:rPr>
        <w:t>292:</w:t>
      </w:r>
    </w:p>
    <w:p w14:paraId="6D7DF273" w14:textId="77777777" w:rsidR="008B38FB" w:rsidRPr="001E2C69" w:rsidRDefault="008B38F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сентябре - </w:t>
      </w:r>
      <w:r w:rsidRPr="001E2C69">
        <w:rPr>
          <w:rStyle w:val="0pt"/>
          <w:rFonts w:ascii="Times New Roman" w:hAnsi="Times New Roman" w:cs="Times New Roman"/>
          <w:color w:val="000000" w:themeColor="text1"/>
          <w:spacing w:val="0"/>
          <w:sz w:val="16"/>
          <w:szCs w:val="16"/>
        </w:rPr>
        <w:t>100</w:t>
      </w:r>
      <w:r w:rsidRPr="001E2C69">
        <w:rPr>
          <w:rFonts w:ascii="Times New Roman" w:hAnsi="Times New Roman"/>
          <w:color w:val="000000" w:themeColor="text1"/>
          <w:sz w:val="16"/>
          <w:szCs w:val="16"/>
        </w:rPr>
        <w:t xml:space="preserve"> комплектов в октябре - </w:t>
      </w:r>
      <w:r w:rsidRPr="001E2C69">
        <w:rPr>
          <w:rStyle w:val="0pt"/>
          <w:rFonts w:ascii="Times New Roman" w:hAnsi="Times New Roman" w:cs="Times New Roman"/>
          <w:color w:val="000000" w:themeColor="text1"/>
          <w:spacing w:val="0"/>
          <w:sz w:val="16"/>
          <w:szCs w:val="16"/>
        </w:rPr>
        <w:t>300</w:t>
      </w:r>
      <w:r w:rsidRPr="001E2C69">
        <w:rPr>
          <w:rFonts w:ascii="Times New Roman" w:hAnsi="Times New Roman"/>
          <w:color w:val="000000" w:themeColor="text1"/>
          <w:sz w:val="16"/>
          <w:szCs w:val="16"/>
        </w:rPr>
        <w:t xml:space="preserve"> комплектов и,начиная с 1-го ноября, по </w:t>
      </w:r>
      <w:r w:rsidRPr="001E2C69">
        <w:rPr>
          <w:rStyle w:val="0pt"/>
          <w:rFonts w:ascii="Times New Roman" w:hAnsi="Times New Roman" w:cs="Times New Roman"/>
          <w:color w:val="000000" w:themeColor="text1"/>
          <w:spacing w:val="0"/>
          <w:sz w:val="16"/>
          <w:szCs w:val="16"/>
        </w:rPr>
        <w:t>350</w:t>
      </w:r>
      <w:r w:rsidRPr="001E2C69">
        <w:rPr>
          <w:rFonts w:ascii="Times New Roman" w:hAnsi="Times New Roman"/>
          <w:color w:val="000000" w:themeColor="text1"/>
          <w:sz w:val="16"/>
          <w:szCs w:val="16"/>
        </w:rPr>
        <w:t xml:space="preserve"> комплектов ежемесячно (19355).</w:t>
      </w:r>
    </w:p>
    <w:p w14:paraId="13CB1E57" w14:textId="77777777" w:rsidR="008C1CA6" w:rsidRPr="001E2C69" w:rsidRDefault="008C1CA6" w:rsidP="00722885">
      <w:pPr>
        <w:spacing w:after="0" w:line="240" w:lineRule="auto"/>
        <w:jc w:val="both"/>
        <w:rPr>
          <w:rFonts w:ascii="Times New Roman" w:hAnsi="Times New Roman"/>
          <w:color w:val="000000" w:themeColor="text1"/>
          <w:sz w:val="16"/>
          <w:szCs w:val="16"/>
        </w:rPr>
      </w:pPr>
    </w:p>
    <w:p w14:paraId="7257AD1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 августа 1942 постановление ГКО поручило 292 заводу внедрить Як-1б с ноября 1942 полностью (198,50). На самом деле начали на 292 заводе с сентября (10 машин), а с октября 1942 перешли полностью (65,66).</w:t>
      </w:r>
    </w:p>
    <w:p w14:paraId="28995CF9" w14:textId="77777777" w:rsidR="00AE7191" w:rsidRPr="001E2C69" w:rsidRDefault="00AE7191" w:rsidP="00722885">
      <w:pPr>
        <w:pStyle w:val="Iauiue"/>
        <w:jc w:val="both"/>
        <w:rPr>
          <w:color w:val="000000" w:themeColor="text1"/>
          <w:sz w:val="16"/>
          <w:szCs w:val="16"/>
        </w:rPr>
      </w:pPr>
    </w:p>
    <w:p w14:paraId="1E9086B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 августа 1942 вышло постановление ГКО N 2169сс "О серийном производстве улучшенных самолетов Як-1" (1578,3).</w:t>
      </w:r>
    </w:p>
    <w:p w14:paraId="298CCE2F" w14:textId="77777777" w:rsidR="00AE7191" w:rsidRPr="001E2C69" w:rsidRDefault="00AE7191" w:rsidP="00722885">
      <w:pPr>
        <w:pStyle w:val="Iauiue"/>
        <w:jc w:val="both"/>
        <w:rPr>
          <w:color w:val="000000" w:themeColor="text1"/>
          <w:sz w:val="16"/>
          <w:szCs w:val="16"/>
        </w:rPr>
      </w:pPr>
    </w:p>
    <w:p w14:paraId="19CEA14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 августа 1942 вышло постановление ГКО N 2170сс "Об увеличении выпуска самолетов Як-7 на заводе 82" (1578,3).</w:t>
      </w:r>
    </w:p>
    <w:p w14:paraId="270E60E9" w14:textId="77777777" w:rsidR="00AE7191" w:rsidRPr="001E2C69" w:rsidRDefault="00AE7191" w:rsidP="00722885">
      <w:pPr>
        <w:pStyle w:val="Iauiue"/>
        <w:jc w:val="both"/>
        <w:rPr>
          <w:color w:val="000000" w:themeColor="text1"/>
          <w:sz w:val="16"/>
          <w:szCs w:val="16"/>
        </w:rPr>
      </w:pPr>
    </w:p>
    <w:p w14:paraId="6DA899FE" w14:textId="77777777" w:rsidR="00B779AB" w:rsidRPr="001E2C69" w:rsidRDefault="00B779AB"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11 августа 1942 г. 49-й киап в 2-х эскадрильном составе убыл на фронт и вошел в состав 234-й иад Западного фрон</w:t>
      </w:r>
      <w:r w:rsidRPr="001E2C69">
        <w:rPr>
          <w:rFonts w:ascii="Times New Roman" w:cs="Times New Roman"/>
          <w:color w:val="000000" w:themeColor="text1"/>
          <w:spacing w:val="0"/>
        </w:rPr>
        <w:softHyphen/>
        <w:t>та, который в тяжёлых боях совместно с Калининским фронтом пытался «срезать» Ржев</w:t>
      </w:r>
      <w:r w:rsidRPr="001E2C69">
        <w:rPr>
          <w:rFonts w:ascii="Times New Roman" w:cs="Times New Roman"/>
          <w:color w:val="000000" w:themeColor="text1"/>
          <w:spacing w:val="0"/>
        </w:rPr>
        <w:softHyphen/>
        <w:t>ский выступ. Для помощи в эксплуатации матчасти и проведения войсковых испытаний к полку прикомандировали механика 19-го завода Чистякова и бригаду 21-го завода, а также группу от НИИ ВВС во главе с помощником ведущего инженера 4-го отдела ин- женер-капитаном А.Г. Терентьевым и старшим инженером 5-го отдела военинженером 3 ранга Ф.Ф. Бабаниным.</w:t>
      </w:r>
    </w:p>
    <w:p w14:paraId="78288CD2" w14:textId="77777777" w:rsidR="00B779AB" w:rsidRPr="001E2C69" w:rsidRDefault="00B779AB"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Полк вёл боевую работу с 14 августа по 15 сентября 1942 г., выполняя задания по со</w:t>
      </w:r>
      <w:r w:rsidRPr="001E2C69">
        <w:rPr>
          <w:rFonts w:ascii="Times New Roman" w:cs="Times New Roman"/>
          <w:color w:val="000000" w:themeColor="text1"/>
          <w:spacing w:val="0"/>
        </w:rPr>
        <w:softHyphen/>
        <w:t>провождению бомбардировщиков, прикрытию наземных войск и уничтожению авиации противника. За этот период сделано 369 боевых вылетов, с общей наработкой моторов 335 час 22 мин. В зачёт войсковых испытаний самолёта Ла-5 приняли боевую работу с 28 августа по 15 сентября. Всего полком с начала эксплуатации на Ла-5 с М-82 сдела</w:t>
      </w:r>
      <w:r w:rsidRPr="001E2C69">
        <w:rPr>
          <w:rFonts w:ascii="Times New Roman" w:cs="Times New Roman"/>
          <w:color w:val="000000" w:themeColor="text1"/>
          <w:spacing w:val="0"/>
        </w:rPr>
        <w:softHyphen/>
        <w:t>но 1093 полёта с общей наработкой моторов 762 час 55 мин, из них 593 час 49 мин в воздухе и 169 час 06 мин на земле.</w:t>
      </w:r>
    </w:p>
    <w:p w14:paraId="46AF55B1" w14:textId="77777777" w:rsidR="00B779AB" w:rsidRPr="001E2C69" w:rsidRDefault="00B779AB"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Войсковые испытания проходили самолёты Ла-5 1-й серии (имелись также 3 машины 2-й серии) с моторами М-82 1-й и 2-й серий и винтами ВИШ-105. Моторы снабжались карбюраторами серии А-2 и воздушным самопуском.</w:t>
      </w:r>
    </w:p>
    <w:p w14:paraId="4F773573" w14:textId="77777777" w:rsidR="00B779AB" w:rsidRPr="001E2C69" w:rsidRDefault="00B779AB"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 процессе боевой работы использовалось топливо с октановым числом 94-95 — 4Б-78, 3.2Б-78 с импортной присадкой Р-9 и импортное 1Б-95, а также масло МК и МС. По характеру боевой работы моторы большую часть времени полёта работали на номи</w:t>
      </w:r>
      <w:r w:rsidRPr="001E2C69">
        <w:rPr>
          <w:rFonts w:ascii="Times New Roman" w:cs="Times New Roman"/>
          <w:color w:val="000000" w:themeColor="text1"/>
          <w:spacing w:val="0"/>
        </w:rPr>
        <w:softHyphen/>
        <w:t xml:space="preserve">нальном режиме. Во время воздушного боя в некоторых случаях включался </w:t>
      </w:r>
      <w:r w:rsidRPr="001E2C69">
        <w:rPr>
          <w:rFonts w:ascii="Times New Roman" w:cs="Times New Roman"/>
          <w:color w:val="000000" w:themeColor="text1"/>
          <w:spacing w:val="0"/>
        </w:rPr>
        <w:lastRenderedPageBreak/>
        <w:t>форсаж пе</w:t>
      </w:r>
      <w:r w:rsidRPr="001E2C69">
        <w:rPr>
          <w:rFonts w:ascii="Times New Roman" w:cs="Times New Roman"/>
          <w:color w:val="000000" w:themeColor="text1"/>
          <w:spacing w:val="0"/>
        </w:rPr>
        <w:softHyphen/>
        <w:t>риодами по 3-5 минут. Максимальная отмеченная продолжительность работы на номи</w:t>
      </w:r>
      <w:r w:rsidRPr="001E2C69">
        <w:rPr>
          <w:rFonts w:ascii="Times New Roman" w:cs="Times New Roman"/>
          <w:color w:val="000000" w:themeColor="text1"/>
          <w:spacing w:val="0"/>
        </w:rPr>
        <w:softHyphen/>
        <w:t>нальном режиме — 50 мин и на форсаже — 13 мин (капитан Коломинов П.И.).</w:t>
      </w:r>
    </w:p>
    <w:p w14:paraId="2B4A67ED" w14:textId="77777777" w:rsidR="00B779AB" w:rsidRPr="001E2C69" w:rsidRDefault="00B779AB"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На большинстве моторов после наработки 18-20 часов появлялась тряска при рабо</w:t>
      </w:r>
      <w:r w:rsidRPr="001E2C69">
        <w:rPr>
          <w:rFonts w:ascii="Times New Roman" w:cs="Times New Roman"/>
          <w:color w:val="000000" w:themeColor="text1"/>
          <w:spacing w:val="0"/>
        </w:rPr>
        <w:softHyphen/>
        <w:t>те на Р</w:t>
      </w:r>
      <w:r w:rsidRPr="001E2C69">
        <w:rPr>
          <w:rFonts w:ascii="Times New Roman" w:cs="Times New Roman"/>
          <w:color w:val="000000" w:themeColor="text1"/>
          <w:spacing w:val="0"/>
          <w:vertAlign w:val="subscript"/>
        </w:rPr>
        <w:t>к</w:t>
      </w:r>
      <w:r w:rsidRPr="001E2C69">
        <w:rPr>
          <w:rFonts w:ascii="Times New Roman" w:cs="Times New Roman"/>
          <w:color w:val="000000" w:themeColor="text1"/>
          <w:spacing w:val="0"/>
        </w:rPr>
        <w:t>=800-950 мм рт.ст. из-за отказа свечей. После замены их тряска устранялась.</w:t>
      </w:r>
    </w:p>
    <w:p w14:paraId="6081BF32" w14:textId="77777777" w:rsidR="00B779AB" w:rsidRPr="001E2C69" w:rsidRDefault="00B779AB"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 В период испытаний работу моторов проверили на всех режимах, включая и форсаж, до высоты 6000 м — выше боевые действия практически не велись. Моторы на всех ре</w:t>
      </w:r>
      <w:r w:rsidRPr="001E2C69">
        <w:rPr>
          <w:rFonts w:ascii="Times New Roman" w:cs="Times New Roman"/>
          <w:color w:val="000000" w:themeColor="text1"/>
          <w:spacing w:val="0"/>
        </w:rPr>
        <w:softHyphen/>
        <w:t>жимах работали нормально...</w:t>
      </w:r>
    </w:p>
    <w:p w14:paraId="6C90C1AB" w14:textId="77777777" w:rsidR="00B779AB" w:rsidRPr="001E2C69" w:rsidRDefault="00B779AB"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М-82 в боевой эксплуатации показал живучесть и надежность. Во время воздушных боев имелось несколько случаев попадания пуль и снарядов в мотор. Во всех случаях моторы не требовали съёмки с самолёта и после небольшого ремонта продолжали работать.</w:t>
      </w:r>
    </w:p>
    <w:p w14:paraId="0862BB87" w14:textId="77777777" w:rsidR="00B779AB" w:rsidRPr="001E2C69" w:rsidRDefault="00B779AB"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Примеры: 18 августа во время воздушного боя на самолёте № 37210201, мотор № 6501150 (ст. политрук Гайдамак В.П.) пуля пробила всасывающий и выхлопной пат</w:t>
      </w:r>
      <w:r w:rsidRPr="001E2C69">
        <w:rPr>
          <w:rFonts w:ascii="Times New Roman" w:cs="Times New Roman"/>
          <w:color w:val="000000" w:themeColor="text1"/>
          <w:spacing w:val="0"/>
        </w:rPr>
        <w:softHyphen/>
        <w:t>рубки цилиндра № 5, имелся удар в гильзу цилиндра № 12. Мотор работал нормально и лётчик, имея ранения, вернулся на свой аэродром на расстоянии 40 км от места боя.</w:t>
      </w:r>
    </w:p>
    <w:p w14:paraId="4EC0EE01" w14:textId="77777777" w:rsidR="00B779AB" w:rsidRPr="001E2C69" w:rsidRDefault="00B779AB"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23 августа во время воздушного боя над линией фронта на самолёте № 37210107, мотор № 6502263 (ст. л-т Клименко А.Ф.) были пробиты: всасывающее сопло карбю</w:t>
      </w:r>
      <w:r w:rsidRPr="001E2C69">
        <w:rPr>
          <w:rFonts w:ascii="Times New Roman" w:cs="Times New Roman"/>
          <w:color w:val="000000" w:themeColor="text1"/>
          <w:spacing w:val="0"/>
        </w:rPr>
        <w:softHyphen/>
        <w:t>ратора, крышка клапанной коробки цилиндра № 1, выхлопной и всасывающий патруб</w:t>
      </w:r>
      <w:r w:rsidRPr="001E2C69">
        <w:rPr>
          <w:rFonts w:ascii="Times New Roman" w:cs="Times New Roman"/>
          <w:color w:val="000000" w:themeColor="text1"/>
          <w:spacing w:val="0"/>
        </w:rPr>
        <w:softHyphen/>
        <w:t>ки цилиндра № 2, от осколков снаряда имелись вмятины картера редуктора и пере</w:t>
      </w:r>
      <w:r w:rsidRPr="001E2C69">
        <w:rPr>
          <w:rFonts w:ascii="Times New Roman" w:cs="Times New Roman"/>
          <w:color w:val="000000" w:themeColor="text1"/>
          <w:spacing w:val="0"/>
        </w:rPr>
        <w:softHyphen/>
        <w:t>биты тросы управления Р-7. Мотор продолжал работать нормально, и лётчик вернул</w:t>
      </w:r>
      <w:r w:rsidRPr="001E2C69">
        <w:rPr>
          <w:rFonts w:ascii="Times New Roman" w:cs="Times New Roman"/>
          <w:color w:val="000000" w:themeColor="text1"/>
          <w:spacing w:val="0"/>
        </w:rPr>
        <w:softHyphen/>
        <w:t>ся на свой аэродром. Эксплуатация мотора в дальнейшем, после соответствующего ремонта, продолжалась нормально.</w:t>
      </w:r>
    </w:p>
    <w:p w14:paraId="5A776C89" w14:textId="77777777" w:rsidR="00B779AB" w:rsidRPr="001E2C69" w:rsidRDefault="00B779AB"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3 сентября на самолёте № 37210110, мотор № 6502273 (л-т Ходун И.А.) один снаряд пробил всасывающее сопло и разорвался над дроссельными секторами карбюратора (имелось значительное количество ударов в дроссельные сектора и форсунку). В ре</w:t>
      </w:r>
      <w:r w:rsidRPr="001E2C69">
        <w:rPr>
          <w:rFonts w:ascii="Times New Roman" w:cs="Times New Roman"/>
          <w:color w:val="000000" w:themeColor="text1"/>
          <w:spacing w:val="0"/>
        </w:rPr>
        <w:softHyphen/>
        <w:t>зультате ударов сектора заклинились. Наддув при этом был 800 мм. Другой снаряд про</w:t>
      </w:r>
      <w:r w:rsidRPr="001E2C69">
        <w:rPr>
          <w:rFonts w:ascii="Times New Roman" w:cs="Times New Roman"/>
          <w:color w:val="000000" w:themeColor="text1"/>
          <w:spacing w:val="0"/>
        </w:rPr>
        <w:softHyphen/>
        <w:t>бил крышку клапанной коробки цилиндра № 13, разорвался и осколками пробил всасы</w:t>
      </w:r>
      <w:r w:rsidRPr="001E2C69">
        <w:rPr>
          <w:rFonts w:ascii="Times New Roman" w:cs="Times New Roman"/>
          <w:color w:val="000000" w:themeColor="text1"/>
          <w:spacing w:val="0"/>
        </w:rPr>
        <w:softHyphen/>
        <w:t>вающий и выхлопной патрубки цилиндров №№ 11, 12, 13, 14. Третий снаряд пробил па</w:t>
      </w:r>
      <w:r w:rsidRPr="001E2C69">
        <w:rPr>
          <w:rFonts w:ascii="Times New Roman" w:cs="Times New Roman"/>
          <w:color w:val="000000" w:themeColor="text1"/>
          <w:spacing w:val="0"/>
        </w:rPr>
        <w:softHyphen/>
        <w:t>тронный ящик, всасывающий патрубок цилиндра № 10 и, ударившись о ребра цилинд</w:t>
      </w:r>
      <w:r w:rsidRPr="001E2C69">
        <w:rPr>
          <w:rFonts w:ascii="Times New Roman" w:cs="Times New Roman"/>
          <w:color w:val="000000" w:themeColor="text1"/>
          <w:spacing w:val="0"/>
        </w:rPr>
        <w:softHyphen/>
        <w:t>ра № 11, потерял пробивную способность. Мотор работал нормально, и лётчик прилетел на свой аэродром на расстояние 80 км от места боя.</w:t>
      </w:r>
    </w:p>
    <w:p w14:paraId="328BAB3F" w14:textId="77777777" w:rsidR="00B779AB" w:rsidRPr="001E2C69" w:rsidRDefault="00B779AB"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Всего за время испытаний произошло 4 случая попадания пушечных снарядов в мотор, и во всех этих случаях моторы работали безотказно. При выполнении боевых заданий лётный состав всегда был уверен в надёжной работе мотора. Если бы на месте М-82 был жидкостный мотор, лётчикам пришлось бы немедленно производить вынужденную посад</w:t>
      </w:r>
      <w:r w:rsidRPr="001E2C69">
        <w:rPr>
          <w:rFonts w:ascii="Times New Roman" w:cs="Times New Roman"/>
          <w:color w:val="000000" w:themeColor="text1"/>
          <w:spacing w:val="0"/>
        </w:rPr>
        <w:softHyphen/>
        <w:t>ку или даже покидать самолёт с парашютом.</w:t>
      </w:r>
    </w:p>
    <w:p w14:paraId="333563CF" w14:textId="77777777" w:rsidR="00B779AB" w:rsidRPr="001E2C69" w:rsidRDefault="00B779AB"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Карбюраторы АК-82БП серии А-2 всё время находились под неусыпным вниманием и периодически подрегулировывались. С 1 по 15 сентября на шести оставшихся в полку са</w:t>
      </w:r>
      <w:r w:rsidRPr="001E2C69">
        <w:rPr>
          <w:rFonts w:ascii="Times New Roman" w:cs="Times New Roman"/>
          <w:color w:val="000000" w:themeColor="text1"/>
          <w:spacing w:val="0"/>
        </w:rPr>
        <w:softHyphen/>
        <w:t>молётах карбюраторы работали без регулировки удовлетворительно, за исключением одного случая обогащения смеси на самолёте № 37210102. Вместе с тем отмечалось, что техсостав полка эксплуатацию карбюратора не освоил из-за его сложности и трудности регулировки, а также незначительного (2-3 месяца) срока эксплуатации.</w:t>
      </w:r>
    </w:p>
    <w:p w14:paraId="2242C076" w14:textId="77777777" w:rsidR="00B779AB" w:rsidRPr="001E2C69" w:rsidRDefault="00B779AB"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Альфометры на истребители не устанавливались, и регулировать качество смеси мо</w:t>
      </w:r>
      <w:r w:rsidRPr="001E2C69">
        <w:rPr>
          <w:rFonts w:ascii="Times New Roman" w:cs="Times New Roman"/>
          <w:color w:val="000000" w:themeColor="text1"/>
          <w:spacing w:val="0"/>
        </w:rPr>
        <w:softHyphen/>
        <w:t>жно было только «на глаз», «на слух» и «на ощупь» — т.е. по характеру работы мотора, по выхлопу и по температуре головок цилиндров. Это могли делать только опытные мо</w:t>
      </w:r>
      <w:r w:rsidRPr="001E2C69">
        <w:rPr>
          <w:rFonts w:ascii="Times New Roman" w:cs="Times New Roman"/>
          <w:color w:val="000000" w:themeColor="text1"/>
          <w:spacing w:val="0"/>
        </w:rPr>
        <w:softHyphen/>
        <w:t>тористы, которые всегда были в дефиците в строевых частях. ...</w:t>
      </w:r>
    </w:p>
    <w:p w14:paraId="75DE348C" w14:textId="77777777" w:rsidR="00B779AB" w:rsidRPr="001E2C69" w:rsidRDefault="00B779AB"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 целом самолёт Ла-5, несмотря на наличие различных дефектов, свойственных пер</w:t>
      </w:r>
      <w:r w:rsidRPr="001E2C69">
        <w:rPr>
          <w:rFonts w:ascii="Times New Roman" w:cs="Times New Roman"/>
          <w:color w:val="000000" w:themeColor="text1"/>
          <w:spacing w:val="0"/>
        </w:rPr>
        <w:softHyphen/>
        <w:t>вой серии, по результатам боевой работы в 49 киап был оценён достаточно высоко:</w:t>
      </w:r>
    </w:p>
    <w:p w14:paraId="6892DC36" w14:textId="77777777" w:rsidR="00B779AB" w:rsidRPr="001E2C69" w:rsidRDefault="00B779AB"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«1. В боях с истребителями противника самолёт Ла-5 показал, что при работе мо</w:t>
      </w:r>
      <w:r w:rsidRPr="001E2C69">
        <w:rPr>
          <w:rFonts w:ascii="Times New Roman" w:cs="Times New Roman"/>
          <w:color w:val="000000" w:themeColor="text1"/>
          <w:spacing w:val="0"/>
        </w:rPr>
        <w:softHyphen/>
        <w:t>тора на номинальном режиме на высотах от 3500 м и выше он по горизонтальной ско</w:t>
      </w:r>
      <w:r w:rsidRPr="001E2C69">
        <w:rPr>
          <w:rFonts w:ascii="Times New Roman" w:cs="Times New Roman"/>
          <w:color w:val="000000" w:themeColor="text1"/>
          <w:spacing w:val="0"/>
        </w:rPr>
        <w:softHyphen/>
        <w:t>рости не уступает самолёту Ме-109Ф, а на высотах ниже 3500 м горизонтальные скорости Ла-5 и Ме-109Ф равны при пользовании форсажем.</w:t>
      </w:r>
    </w:p>
    <w:p w14:paraId="6516FF79" w14:textId="77777777" w:rsidR="00B779AB" w:rsidRPr="001E2C69" w:rsidRDefault="00B779AB" w:rsidP="00722885">
      <w:pPr>
        <w:pStyle w:val="27"/>
        <w:shd w:val="clear" w:color="auto" w:fill="auto"/>
        <w:tabs>
          <w:tab w:val="left" w:pos="438"/>
        </w:tabs>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2. На виражах на самолёте Ла-5 вести воздушный бой с Ме-109Ф можно хорошо, но, как правило, самолёт Ме-109Ф от боя на виражах уклоняется.</w:t>
      </w:r>
    </w:p>
    <w:p w14:paraId="3E53A876" w14:textId="77777777" w:rsidR="00B779AB" w:rsidRPr="001E2C69" w:rsidRDefault="00B779AB" w:rsidP="00722885">
      <w:pPr>
        <w:pStyle w:val="27"/>
        <w:shd w:val="clear" w:color="auto" w:fill="auto"/>
        <w:tabs>
          <w:tab w:val="left" w:pos="423"/>
        </w:tabs>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3. При переходе на вертикаль из любого равного с Ме-109Ф положения (и скоростям) самолёт Ла-5 отстает от Ме-109Ф. Для получения максимальной вертикальной скоро</w:t>
      </w:r>
      <w:r w:rsidRPr="001E2C69">
        <w:rPr>
          <w:rFonts w:ascii="Times New Roman" w:cs="Times New Roman"/>
          <w:color w:val="000000" w:themeColor="text1"/>
          <w:spacing w:val="0"/>
        </w:rPr>
        <w:softHyphen/>
        <w:t>сти самолёт Ла-5 в силу своей инертности (из-за большого веса) требует большего времени для разгона, особенно это сказывается при выходе на вертикаль из виража.</w:t>
      </w:r>
    </w:p>
    <w:p w14:paraId="2A72991A" w14:textId="77777777" w:rsidR="00B779AB" w:rsidRPr="001E2C69" w:rsidRDefault="00B779AB" w:rsidP="00722885">
      <w:pPr>
        <w:pStyle w:val="27"/>
        <w:shd w:val="clear" w:color="auto" w:fill="auto"/>
        <w:tabs>
          <w:tab w:val="left" w:pos="445"/>
        </w:tabs>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4. При пикировании скорости самолётов Ла-5 и Ме-109Ф равны.</w:t>
      </w:r>
    </w:p>
    <w:p w14:paraId="096832F2" w14:textId="77777777" w:rsidR="00B779AB" w:rsidRPr="001E2C69" w:rsidRDefault="00B779AB" w:rsidP="00722885">
      <w:pPr>
        <w:pStyle w:val="27"/>
        <w:shd w:val="clear" w:color="auto" w:fill="auto"/>
        <w:tabs>
          <w:tab w:val="left" w:pos="418"/>
        </w:tabs>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5. Все боевые полёты производились с открытым колпаком, вследствие того, что от</w:t>
      </w:r>
      <w:r w:rsidRPr="001E2C69">
        <w:rPr>
          <w:rFonts w:ascii="Times New Roman" w:cs="Times New Roman"/>
          <w:color w:val="000000" w:themeColor="text1"/>
          <w:spacing w:val="0"/>
        </w:rPr>
        <w:softHyphen/>
        <w:t>крытие колпака в полёте невозможно.</w:t>
      </w:r>
    </w:p>
    <w:p w14:paraId="7D771FBD" w14:textId="77777777" w:rsidR="00B779AB" w:rsidRPr="001E2C69" w:rsidRDefault="00B779AB" w:rsidP="00722885">
      <w:pPr>
        <w:pStyle w:val="27"/>
        <w:shd w:val="clear" w:color="auto" w:fill="auto"/>
        <w:tabs>
          <w:tab w:val="left" w:pos="418"/>
        </w:tabs>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6. Управление самолётом: поперечное (элеронами) — нормальное, продольное (руля</w:t>
      </w:r>
      <w:r w:rsidRPr="001E2C69">
        <w:rPr>
          <w:rFonts w:ascii="Times New Roman" w:cs="Times New Roman"/>
          <w:color w:val="000000" w:themeColor="text1"/>
          <w:spacing w:val="0"/>
        </w:rPr>
        <w:softHyphen/>
        <w:t>ми глубины) от скоростей 400 км/ч и выше, при вводе (свыше 40 кг) и выводе из пики</w:t>
      </w:r>
      <w:r w:rsidRPr="001E2C69">
        <w:rPr>
          <w:rFonts w:ascii="Times New Roman" w:cs="Times New Roman"/>
          <w:color w:val="000000" w:themeColor="text1"/>
          <w:spacing w:val="0"/>
        </w:rPr>
        <w:softHyphen/>
        <w:t>рования — тяжёлое, требует обязательного пользования триммером руля высоты. Ножное управление — нормальное.</w:t>
      </w:r>
    </w:p>
    <w:p w14:paraId="5E098DD8" w14:textId="77777777" w:rsidR="00B779AB" w:rsidRPr="001E2C69" w:rsidRDefault="00B779AB" w:rsidP="00722885">
      <w:pPr>
        <w:pStyle w:val="27"/>
        <w:shd w:val="clear" w:color="auto" w:fill="auto"/>
        <w:tabs>
          <w:tab w:val="left" w:pos="423"/>
        </w:tabs>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7. Самолет устойчив, прост при выполнении техники пилотирования, при резких выво</w:t>
      </w:r>
      <w:r w:rsidRPr="001E2C69">
        <w:rPr>
          <w:rFonts w:ascii="Times New Roman" w:cs="Times New Roman"/>
          <w:color w:val="000000" w:themeColor="text1"/>
          <w:spacing w:val="0"/>
        </w:rPr>
        <w:softHyphen/>
        <w:t>дах из фигур особой тенденции к сваливанию в штопор не имеет, при посадке допуска</w:t>
      </w:r>
      <w:r w:rsidRPr="001E2C69">
        <w:rPr>
          <w:rFonts w:ascii="Times New Roman" w:cs="Times New Roman"/>
          <w:color w:val="000000" w:themeColor="text1"/>
          <w:spacing w:val="0"/>
        </w:rPr>
        <w:softHyphen/>
        <w:t>ет грубые ошибки. Доступен для лётчиков-истребителей, выпущенных из лётных школ.</w:t>
      </w:r>
    </w:p>
    <w:p w14:paraId="2F937ECC" w14:textId="77777777" w:rsidR="00B779AB" w:rsidRPr="001E2C69" w:rsidRDefault="00B779AB" w:rsidP="00722885">
      <w:pPr>
        <w:pStyle w:val="27"/>
        <w:shd w:val="clear" w:color="auto" w:fill="auto"/>
        <w:tabs>
          <w:tab w:val="left" w:pos="418"/>
        </w:tabs>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8. Самолёт Ла-5 показал в боевых условиях живучесть, надежность и хорошую огне</w:t>
      </w:r>
      <w:r w:rsidRPr="001E2C69">
        <w:rPr>
          <w:rFonts w:ascii="Times New Roman" w:cs="Times New Roman"/>
          <w:color w:val="000000" w:themeColor="text1"/>
          <w:spacing w:val="0"/>
        </w:rPr>
        <w:softHyphen/>
        <w:t>стойкость...</w:t>
      </w:r>
    </w:p>
    <w:p w14:paraId="48741E18" w14:textId="77777777" w:rsidR="00B779AB" w:rsidRPr="001E2C69" w:rsidRDefault="00B779AB"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25. Самолёт Ла-5 с мотором М-82 является хорошим современным отечественным скоростным истребителем и при устранении вышеуказанных недостатков по боевым качествам будет превосходить истребители противника»  (15813).</w:t>
      </w:r>
    </w:p>
    <w:p w14:paraId="29B34B39" w14:textId="77777777" w:rsidR="00B779AB" w:rsidRPr="001E2C69" w:rsidRDefault="00B779AB" w:rsidP="00722885">
      <w:pPr>
        <w:pStyle w:val="27"/>
        <w:shd w:val="clear" w:color="auto" w:fill="auto"/>
        <w:spacing w:after="0" w:line="240" w:lineRule="auto"/>
        <w:ind w:firstLine="0"/>
        <w:rPr>
          <w:rFonts w:ascii="Times New Roman" w:cs="Times New Roman"/>
          <w:color w:val="000000" w:themeColor="text1"/>
          <w:spacing w:val="0"/>
        </w:rPr>
      </w:pPr>
    </w:p>
    <w:p w14:paraId="1C6C0084" w14:textId="77777777" w:rsidR="0075625C" w:rsidRPr="008A2E5A" w:rsidRDefault="0075625C" w:rsidP="0075625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августа 1942 г. пилот Летно-ис</w:t>
      </w:r>
      <w:r w:rsidRPr="008A2E5A">
        <w:rPr>
          <w:rFonts w:ascii="Times New Roman" w:hAnsi="Times New Roman"/>
          <w:color w:val="0070C0"/>
          <w:sz w:val="16"/>
          <w:szCs w:val="16"/>
        </w:rPr>
        <w:softHyphen/>
        <w:t>пытательного института Наркомата авиа</w:t>
      </w:r>
      <w:r w:rsidRPr="008A2E5A">
        <w:rPr>
          <w:rFonts w:ascii="Times New Roman" w:hAnsi="Times New Roman"/>
          <w:color w:val="0070C0"/>
          <w:sz w:val="16"/>
          <w:szCs w:val="16"/>
        </w:rPr>
        <w:softHyphen/>
        <w:t>промышленности И.И. Калинин впервые поднял И-230 в небо с Центрального аэ</w:t>
      </w:r>
      <w:r w:rsidRPr="008A2E5A">
        <w:rPr>
          <w:rFonts w:ascii="Times New Roman" w:hAnsi="Times New Roman"/>
          <w:color w:val="0070C0"/>
          <w:sz w:val="16"/>
          <w:szCs w:val="16"/>
        </w:rPr>
        <w:softHyphen/>
        <w:t>родрома им. Фрунзе на Ходынском поле в Москве.</w:t>
      </w:r>
    </w:p>
    <w:p w14:paraId="765C8744" w14:textId="77777777" w:rsidR="0075625C" w:rsidRPr="008A2E5A" w:rsidRDefault="0075625C" w:rsidP="0075625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Новая система охлаждения воды и масла поначалу работала не совсем над</w:t>
      </w:r>
      <w:r w:rsidRPr="008A2E5A">
        <w:rPr>
          <w:rFonts w:ascii="Times New Roman" w:hAnsi="Times New Roman"/>
          <w:color w:val="0070C0"/>
          <w:sz w:val="16"/>
          <w:szCs w:val="16"/>
        </w:rPr>
        <w:softHyphen/>
        <w:t>ежно, и ее доводке пришлось посвятить большую часть заводских испытаний са</w:t>
      </w:r>
      <w:r w:rsidRPr="008A2E5A">
        <w:rPr>
          <w:rFonts w:ascii="Times New Roman" w:hAnsi="Times New Roman"/>
          <w:color w:val="0070C0"/>
          <w:sz w:val="16"/>
          <w:szCs w:val="16"/>
        </w:rPr>
        <w:softHyphen/>
        <w:t>молета «Д» №1. В их ходе конструкция блока радиаторов и сеть трубопрово</w:t>
      </w:r>
      <w:r w:rsidRPr="008A2E5A">
        <w:rPr>
          <w:rFonts w:ascii="Times New Roman" w:hAnsi="Times New Roman"/>
          <w:color w:val="0070C0"/>
          <w:sz w:val="16"/>
          <w:szCs w:val="16"/>
        </w:rPr>
        <w:softHyphen/>
        <w:t>дов к ним претерпели некоторые измене</w:t>
      </w:r>
      <w:r w:rsidRPr="008A2E5A">
        <w:rPr>
          <w:rFonts w:ascii="Times New Roman" w:hAnsi="Times New Roman"/>
          <w:color w:val="0070C0"/>
          <w:sz w:val="16"/>
          <w:szCs w:val="16"/>
        </w:rPr>
        <w:softHyphen/>
        <w:t>ния, но большие переделки вроде пред</w:t>
      </w:r>
      <w:r w:rsidRPr="008A2E5A">
        <w:rPr>
          <w:rFonts w:ascii="Times New Roman" w:hAnsi="Times New Roman"/>
          <w:color w:val="0070C0"/>
          <w:sz w:val="16"/>
          <w:szCs w:val="16"/>
        </w:rPr>
        <w:softHyphen/>
        <w:t>ложения полностью убрать радиаторы в крыло, вообще отказавшись от выступа</w:t>
      </w:r>
      <w:r w:rsidRPr="008A2E5A">
        <w:rPr>
          <w:rFonts w:ascii="Times New Roman" w:hAnsi="Times New Roman"/>
          <w:color w:val="0070C0"/>
          <w:sz w:val="16"/>
          <w:szCs w:val="16"/>
        </w:rPr>
        <w:softHyphen/>
        <w:t>ющей в поток «ванны» под фюзеляжем, пока отложили.</w:t>
      </w:r>
    </w:p>
    <w:p w14:paraId="56BE2833" w14:textId="77777777" w:rsidR="0075625C" w:rsidRPr="008A2E5A" w:rsidRDefault="0075625C" w:rsidP="0075625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Калинин оценил машину положи</w:t>
      </w:r>
      <w:r w:rsidRPr="008A2E5A">
        <w:rPr>
          <w:rFonts w:ascii="Times New Roman" w:hAnsi="Times New Roman"/>
          <w:color w:val="0070C0"/>
          <w:sz w:val="16"/>
          <w:szCs w:val="16"/>
        </w:rPr>
        <w:softHyphen/>
        <w:t>тельно. Пилотажные свойства ее оказа</w:t>
      </w:r>
      <w:r w:rsidRPr="008A2E5A">
        <w:rPr>
          <w:rFonts w:ascii="Times New Roman" w:hAnsi="Times New Roman"/>
          <w:color w:val="0070C0"/>
          <w:sz w:val="16"/>
          <w:szCs w:val="16"/>
        </w:rPr>
        <w:softHyphen/>
        <w:t>лись сходны с обычным МиГ-3 с крылом с предкрылками, а по простоте управле</w:t>
      </w:r>
      <w:r w:rsidRPr="008A2E5A">
        <w:rPr>
          <w:rFonts w:ascii="Times New Roman" w:hAnsi="Times New Roman"/>
          <w:color w:val="0070C0"/>
          <w:sz w:val="16"/>
          <w:szCs w:val="16"/>
        </w:rPr>
        <w:softHyphen/>
        <w:t>ния новый истребитель был даже луч</w:t>
      </w:r>
      <w:r w:rsidRPr="008A2E5A">
        <w:rPr>
          <w:rFonts w:ascii="Times New Roman" w:hAnsi="Times New Roman"/>
          <w:color w:val="0070C0"/>
          <w:sz w:val="16"/>
          <w:szCs w:val="16"/>
        </w:rPr>
        <w:softHyphen/>
        <w:t>ше. На разбеге самолет слегка тянуло в сторону, но меньше чем МиГ-3 благо</w:t>
      </w:r>
      <w:r w:rsidRPr="008A2E5A">
        <w:rPr>
          <w:rFonts w:ascii="Times New Roman" w:hAnsi="Times New Roman"/>
          <w:color w:val="0070C0"/>
          <w:sz w:val="16"/>
          <w:szCs w:val="16"/>
        </w:rPr>
        <w:softHyphen/>
        <w:t>даря несколько увеличенной базе шас</w:t>
      </w:r>
      <w:r w:rsidRPr="008A2E5A">
        <w:rPr>
          <w:rFonts w:ascii="Times New Roman" w:hAnsi="Times New Roman"/>
          <w:color w:val="0070C0"/>
          <w:sz w:val="16"/>
          <w:szCs w:val="16"/>
        </w:rPr>
        <w:softHyphen/>
        <w:t>си. Он не проявлял опасного стремле</w:t>
      </w:r>
      <w:r w:rsidRPr="008A2E5A">
        <w:rPr>
          <w:rFonts w:ascii="Times New Roman" w:hAnsi="Times New Roman"/>
          <w:color w:val="0070C0"/>
          <w:sz w:val="16"/>
          <w:szCs w:val="16"/>
        </w:rPr>
        <w:softHyphen/>
        <w:t>ния к срыву в штопор на вираже и в рез</w:t>
      </w:r>
      <w:r w:rsidRPr="008A2E5A">
        <w:rPr>
          <w:rFonts w:ascii="Times New Roman" w:hAnsi="Times New Roman"/>
          <w:color w:val="0070C0"/>
          <w:sz w:val="16"/>
          <w:szCs w:val="16"/>
        </w:rPr>
        <w:softHyphen/>
        <w:t>ком наборе высоты, переход от одной фигуры пилотажа к другой не сопрово</w:t>
      </w:r>
      <w:r w:rsidRPr="008A2E5A">
        <w:rPr>
          <w:rFonts w:ascii="Times New Roman" w:hAnsi="Times New Roman"/>
          <w:color w:val="0070C0"/>
          <w:sz w:val="16"/>
          <w:szCs w:val="16"/>
        </w:rPr>
        <w:softHyphen/>
        <w:t>ждался слишком долго не затухающи</w:t>
      </w:r>
      <w:r w:rsidRPr="008A2E5A">
        <w:rPr>
          <w:rFonts w:ascii="Times New Roman" w:hAnsi="Times New Roman"/>
          <w:color w:val="0070C0"/>
          <w:sz w:val="16"/>
          <w:szCs w:val="16"/>
        </w:rPr>
        <w:softHyphen/>
        <w:t>ми колебательными движениями ма</w:t>
      </w:r>
      <w:r w:rsidRPr="008A2E5A">
        <w:rPr>
          <w:rFonts w:ascii="Times New Roman" w:hAnsi="Times New Roman"/>
          <w:color w:val="0070C0"/>
          <w:sz w:val="16"/>
          <w:szCs w:val="16"/>
        </w:rPr>
        <w:softHyphen/>
        <w:t>шины, как на некоторых серийных са</w:t>
      </w:r>
      <w:r w:rsidRPr="008A2E5A">
        <w:rPr>
          <w:rFonts w:ascii="Times New Roman" w:hAnsi="Times New Roman"/>
          <w:color w:val="0070C0"/>
          <w:sz w:val="16"/>
          <w:szCs w:val="16"/>
        </w:rPr>
        <w:softHyphen/>
        <w:t>молетах. Рули и элероны сохраняли эф</w:t>
      </w:r>
      <w:r w:rsidRPr="008A2E5A">
        <w:rPr>
          <w:rFonts w:ascii="Times New Roman" w:hAnsi="Times New Roman"/>
          <w:color w:val="0070C0"/>
          <w:sz w:val="16"/>
          <w:szCs w:val="16"/>
        </w:rPr>
        <w:softHyphen/>
        <w:t>фективность на всех режимах полета, а триммеров хватало для балансиров</w:t>
      </w:r>
      <w:r w:rsidRPr="008A2E5A">
        <w:rPr>
          <w:rFonts w:ascii="Times New Roman" w:hAnsi="Times New Roman"/>
          <w:color w:val="0070C0"/>
          <w:sz w:val="16"/>
          <w:szCs w:val="16"/>
        </w:rPr>
        <w:softHyphen/>
        <w:t>ки в обычных условиях. Тормоза работа</w:t>
      </w:r>
      <w:r w:rsidRPr="008A2E5A">
        <w:rPr>
          <w:rFonts w:ascii="Times New Roman" w:hAnsi="Times New Roman"/>
          <w:color w:val="0070C0"/>
          <w:sz w:val="16"/>
          <w:szCs w:val="16"/>
        </w:rPr>
        <w:softHyphen/>
        <w:t>ли нормально, стремления скапотировать при правильных действиях пилота само</w:t>
      </w:r>
      <w:r w:rsidRPr="008A2E5A">
        <w:rPr>
          <w:rFonts w:ascii="Times New Roman" w:hAnsi="Times New Roman"/>
          <w:color w:val="0070C0"/>
          <w:sz w:val="16"/>
          <w:szCs w:val="16"/>
        </w:rPr>
        <w:softHyphen/>
        <w:t>лет не проявлял. Обзор из кабины был хо</w:t>
      </w:r>
      <w:r w:rsidRPr="008A2E5A">
        <w:rPr>
          <w:rFonts w:ascii="Times New Roman" w:hAnsi="Times New Roman"/>
          <w:color w:val="0070C0"/>
          <w:sz w:val="16"/>
          <w:szCs w:val="16"/>
        </w:rPr>
        <w:softHyphen/>
        <w:t>рошим, а расположение приборов и орга</w:t>
      </w:r>
      <w:r w:rsidRPr="008A2E5A">
        <w:rPr>
          <w:rFonts w:ascii="Times New Roman" w:hAnsi="Times New Roman"/>
          <w:color w:val="0070C0"/>
          <w:sz w:val="16"/>
          <w:szCs w:val="16"/>
        </w:rPr>
        <w:softHyphen/>
        <w:t>нов управления - удобным.</w:t>
      </w:r>
    </w:p>
    <w:p w14:paraId="581906F7" w14:textId="77777777" w:rsidR="0075625C" w:rsidRPr="008A2E5A" w:rsidRDefault="0075625C" w:rsidP="0075625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неприятных особенностей прояви</w:t>
      </w:r>
      <w:r w:rsidRPr="008A2E5A">
        <w:rPr>
          <w:rFonts w:ascii="Times New Roman" w:hAnsi="Times New Roman"/>
          <w:color w:val="0070C0"/>
          <w:sz w:val="16"/>
          <w:szCs w:val="16"/>
        </w:rPr>
        <w:softHyphen/>
        <w:t>лись вибрации горизонтального оперения, чего не наблюдалось на МиГ-3, и не была понятна причина этого явления. Исхо</w:t>
      </w:r>
      <w:r w:rsidRPr="008A2E5A">
        <w:rPr>
          <w:rFonts w:ascii="Times New Roman" w:hAnsi="Times New Roman"/>
          <w:color w:val="0070C0"/>
          <w:sz w:val="16"/>
          <w:szCs w:val="16"/>
        </w:rPr>
        <w:softHyphen/>
        <w:t>дя из аэродинамических особенностей машины, теоретически такого было быть не должно. На ручке управления самоле</w:t>
      </w:r>
      <w:r w:rsidRPr="008A2E5A">
        <w:rPr>
          <w:rFonts w:ascii="Times New Roman" w:hAnsi="Times New Roman"/>
          <w:color w:val="0070C0"/>
          <w:sz w:val="16"/>
          <w:szCs w:val="16"/>
        </w:rPr>
        <w:softHyphen/>
        <w:t>том ощущалась небольшая тряска по тан</w:t>
      </w:r>
      <w:r w:rsidRPr="008A2E5A">
        <w:rPr>
          <w:rFonts w:ascii="Times New Roman" w:hAnsi="Times New Roman"/>
          <w:color w:val="0070C0"/>
          <w:sz w:val="16"/>
          <w:szCs w:val="16"/>
        </w:rPr>
        <w:softHyphen/>
        <w:t>гажу, которая была заметна и на малых углах атаки, то есть это явно не было свя</w:t>
      </w:r>
      <w:r w:rsidRPr="008A2E5A">
        <w:rPr>
          <w:rFonts w:ascii="Times New Roman" w:hAnsi="Times New Roman"/>
          <w:color w:val="0070C0"/>
          <w:sz w:val="16"/>
          <w:szCs w:val="16"/>
        </w:rPr>
        <w:softHyphen/>
        <w:t>зано со срывом потока на крыле. Для кон</w:t>
      </w:r>
      <w:r w:rsidRPr="008A2E5A">
        <w:rPr>
          <w:rFonts w:ascii="Times New Roman" w:hAnsi="Times New Roman"/>
          <w:color w:val="0070C0"/>
          <w:sz w:val="16"/>
          <w:szCs w:val="16"/>
        </w:rPr>
        <w:softHyphen/>
        <w:t>структоров это стало сюрпризом - они- то думали, что перенесли стабилиза</w:t>
      </w:r>
      <w:r w:rsidRPr="008A2E5A">
        <w:rPr>
          <w:rFonts w:ascii="Times New Roman" w:hAnsi="Times New Roman"/>
          <w:color w:val="0070C0"/>
          <w:sz w:val="16"/>
          <w:szCs w:val="16"/>
        </w:rPr>
        <w:softHyphen/>
        <w:t>тор как раз в более «спокойное» место, но не имели возможности тщательно про</w:t>
      </w:r>
      <w:r w:rsidRPr="008A2E5A">
        <w:rPr>
          <w:rFonts w:ascii="Times New Roman" w:hAnsi="Times New Roman"/>
          <w:color w:val="0070C0"/>
          <w:sz w:val="16"/>
          <w:szCs w:val="16"/>
        </w:rPr>
        <w:softHyphen/>
        <w:t>дуть И-230 в натурной аэродинамической трубе с работающей силовой установкой.</w:t>
      </w:r>
    </w:p>
    <w:p w14:paraId="532D14C9" w14:textId="77777777" w:rsidR="0075625C" w:rsidRPr="008A2E5A" w:rsidRDefault="0075625C" w:rsidP="0075625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Даже без штатного двигателя АМ-37 летные данные И-230 оказались доста</w:t>
      </w:r>
      <w:r w:rsidRPr="008A2E5A">
        <w:rPr>
          <w:rFonts w:ascii="Times New Roman" w:hAnsi="Times New Roman"/>
          <w:color w:val="0070C0"/>
          <w:sz w:val="16"/>
          <w:szCs w:val="16"/>
        </w:rPr>
        <w:softHyphen/>
        <w:t>точно высоки (23496).</w:t>
      </w:r>
    </w:p>
    <w:p w14:paraId="038341CF" w14:textId="77777777" w:rsidR="0075625C" w:rsidRPr="008A2E5A" w:rsidRDefault="0075625C" w:rsidP="0075625C">
      <w:pPr>
        <w:spacing w:after="0" w:line="240" w:lineRule="auto"/>
        <w:jc w:val="both"/>
        <w:rPr>
          <w:rFonts w:ascii="Times New Roman" w:hAnsi="Times New Roman"/>
          <w:color w:val="0070C0"/>
          <w:sz w:val="16"/>
          <w:szCs w:val="16"/>
        </w:rPr>
      </w:pPr>
    </w:p>
    <w:p w14:paraId="5E598EA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 августа 1942 заводом N 81 были отправлены на полигон для проведения испытаний 2 самолета Бостон, переоборудованных под отечественное оружие. Оба самолета перевооружены под отечественное оружие. Оба самолета перевооружены по следующей схеме:</w:t>
      </w:r>
    </w:p>
    <w:p w14:paraId="2CC2079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 по бокам фюзеляжа для стрельбы вперед по одному пулемету УБК-12,7 вместо 2-х пулеметов 7,62;</w:t>
      </w:r>
    </w:p>
    <w:p w14:paraId="2AAAEA4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 турель УТК-1 с пулеметом УБТ-12,7 вместо пулемета 7,2;</w:t>
      </w:r>
    </w:p>
    <w:p w14:paraId="79EB64C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люковая установка с пулеметом УБТ-12,7 вместо пулемета 7,62.</w:t>
      </w:r>
    </w:p>
    <w:p w14:paraId="5685700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носовой и люковой установке предъявлены 2 варианта: один конструкции ОКБ завода N 43, а другой конструкции завода N 81.</w:t>
      </w:r>
    </w:p>
    <w:p w14:paraId="582842B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Одновременно на этих самолетах ОКБ N 43 предъявляет упрощенный вариант переделки бомбардировочного вооружения, при котором используются балки и замки, имеющиеся на самолетах, а также не требуется изменение схемы подъема бомб и перестановка баллонов (1684,129).</w:t>
      </w:r>
    </w:p>
    <w:p w14:paraId="1B9455D4" w14:textId="77777777" w:rsidR="00AE7191" w:rsidRPr="001E2C69" w:rsidRDefault="00AE7191" w:rsidP="00722885">
      <w:pPr>
        <w:pStyle w:val="Iauiue"/>
        <w:jc w:val="both"/>
        <w:rPr>
          <w:color w:val="000000" w:themeColor="text1"/>
          <w:sz w:val="16"/>
          <w:szCs w:val="16"/>
        </w:rPr>
      </w:pPr>
    </w:p>
    <w:p w14:paraId="24AD565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августа 1942 года в письме Морозову Камов объясня</w:t>
      </w:r>
      <w:r w:rsidRPr="001E2C69">
        <w:rPr>
          <w:rFonts w:ascii="Times New Roman" w:hAnsi="Times New Roman"/>
          <w:color w:val="000000" w:themeColor="text1"/>
          <w:sz w:val="16"/>
          <w:szCs w:val="16"/>
        </w:rPr>
        <w:softHyphen/>
        <w:t>ет причины аварий А-7 тем, что неопытные летчики при взлете «передирают» машину, отчего она не получает достаточной скорости и «проваливается»:</w:t>
      </w:r>
    </w:p>
    <w:p w14:paraId="28D64DE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нас совершенно ясно, что все неприятности произошли из-за того, что: а) машина не получает достаточной скорости при отрыве и идет в воз</w:t>
      </w:r>
      <w:r w:rsidRPr="001E2C69">
        <w:rPr>
          <w:rFonts w:ascii="Times New Roman" w:hAnsi="Times New Roman"/>
          <w:color w:val="000000" w:themeColor="text1"/>
          <w:sz w:val="16"/>
          <w:szCs w:val="16"/>
        </w:rPr>
        <w:softHyphen/>
        <w:t>дух со скоростью ниже 70 км/час, что считаю недопустимым, б) при недо</w:t>
      </w:r>
      <w:r w:rsidRPr="001E2C69">
        <w:rPr>
          <w:rFonts w:ascii="Times New Roman" w:hAnsi="Times New Roman"/>
          <w:color w:val="000000" w:themeColor="text1"/>
          <w:sz w:val="16"/>
          <w:szCs w:val="16"/>
        </w:rPr>
        <w:softHyphen/>
        <w:t>статочной скорости при отрыве пилот дает машине такой угол, при кото</w:t>
      </w:r>
      <w:r w:rsidRPr="001E2C69">
        <w:rPr>
          <w:rFonts w:ascii="Times New Roman" w:hAnsi="Times New Roman"/>
          <w:color w:val="000000" w:themeColor="text1"/>
          <w:sz w:val="16"/>
          <w:szCs w:val="16"/>
        </w:rPr>
        <w:softHyphen/>
        <w:t>ром парализуется возможность машины набрать скорость для совершения набора высоты и даже для возможности совершить горизонтальный полет. В случае, если машина пошла горизонтально, то ее настолько передирают (желая набрать высоту), что она снова начинает проваливаться...».</w:t>
      </w:r>
    </w:p>
    <w:p w14:paraId="4076776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«Мы здесь все убеждены, что мнение некоторых военных, что машины стали хуже, — наглая брехня из-за желания под благовидным предлогом от</w:t>
      </w:r>
      <w:r w:rsidRPr="001E2C69">
        <w:rPr>
          <w:rFonts w:ascii="Times New Roman" w:hAnsi="Times New Roman"/>
          <w:color w:val="000000" w:themeColor="text1"/>
          <w:sz w:val="16"/>
          <w:szCs w:val="16"/>
        </w:rPr>
        <w:softHyphen/>
        <w:t>делаться от выполнения воинского долга после года околачивания по тылам...» (10224,56).</w:t>
      </w:r>
    </w:p>
    <w:p w14:paraId="1BCF428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7938BB1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августа 1942 вышло Постановление ГКО № 2171 Об обеспечении ВВС КА и ВВС НКВМФ в августе-сентябре 1942 г. заправочным и пусковым оборудованием. РГАНИР, Фонд ГКО, д. 52, лл. 9, 10-16 (11012).</w:t>
      </w:r>
    </w:p>
    <w:p w14:paraId="106D5C96"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E859F10"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773407F8" w14:textId="77777777" w:rsidR="00AE7191" w:rsidRPr="001E2C69" w:rsidRDefault="00AE7191" w:rsidP="00722885">
      <w:pPr>
        <w:pStyle w:val="Iauiue"/>
        <w:jc w:val="both"/>
        <w:rPr>
          <w:iCs/>
          <w:color w:val="000000" w:themeColor="text1"/>
          <w:sz w:val="16"/>
          <w:szCs w:val="16"/>
        </w:rPr>
      </w:pPr>
    </w:p>
    <w:p w14:paraId="2222A92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августа 1942 года на полигоне в районе Нижнего Тагила завершились Государственные испытания нововведений на трех танках Т-34, которые шли с 22 июля.</w:t>
      </w:r>
    </w:p>
    <w:p w14:paraId="26C04B4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испытания новой коробки передач и башни с башенкой была создана специальная государственная комиссия. Завод № 183 представил на испытания два танка Т-34 с обычными башнями, 5-скоростной коробкой перемены передач и натяжными механизмами двух вариантов - с треугольной и трапециодальной резьбой (в документах эти машины иногда именуются Т-34С - «скоростной») и один танк с новой башней, оснащенной командирской башенкой, но с 4-скоростной коробкой.</w:t>
      </w:r>
    </w:p>
    <w:p w14:paraId="3A15DF2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Всего за семь ходовых дней машины прошли более 1500 километров.</w:t>
      </w:r>
    </w:p>
    <w:p w14:paraId="741DCF2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Первый танк Т-34 с 5-скоростной коробкой поступил на испытания 22 июля 1942 года, до этого прошел 430 километров. Второй Т-34 был представлен госкомиссии 31 июля, к этому моменту пробег машины составлял 2500 километров.</w:t>
      </w:r>
    </w:p>
    <w:p w14:paraId="369FEC2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Серийная машина Т-34 с новой башней поступила 9 августа 1942 года. Новая башня представляла собой литую конструкцию, выполненную за одно целое с командирской башенкой и с серийным погоном 1420 мм. Ее масса составляла 4300 килограмм, что на 100 килограмм было больше, чем серийная башня тридцатьчетверки. В командирской башенке, расположенной по центру в задней части крыши, имелось 5 прорезей, в которые вставлялись призматические смотровые приборы. Каждая кассета с призмой при помощи специального рычага могла опускаться. Углы обзора из командирской башенки составляли вниз 20 градусов и вверх 9 градусов, по горизонту обеспечивался круговой обзор, мертвое пространство составляло 7 метров. Командир, наблюдающий из башенки, размещался на сиденье в нише башни. Ноги он ставил на специальные подножки, закрепленные на кронштейнах сидений наводчика и заряжающего, а для защиты от возможного удара гильзами при их экстракции во время стрельбы перед командиром имелся откидной металлический щиток.</w:t>
      </w:r>
    </w:p>
    <w:p w14:paraId="30341D0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ходе испытаний 5-скоростные коробки перемены передач показали свои преимущества перед 4-скоростной и доказали свою полную надежность:</w:t>
      </w:r>
    </w:p>
    <w:p w14:paraId="5A4AE64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«Новая 5-скоростная коробка являясь полностью взаимозаменаямой со старой 4-скоростной коробкой, обеспечила лучшую динамическую характеристику танка Т-34 и в то же время, благодаря отсутствию скосов на торцах шестерен и большей длине зуба, напряженность шестерен уменьшилась, что обеспечило более продолжительную их работу на танке. Одновременно с этим управление 5-скоростной коробкой благодаря наличию специальных зубчатых муфт значительно упростилось и стало доступно даже мало подготовленному механику-водителю. Как показала практика эксплуатации танка Т-34, при наличии 5-скоростной коробки перемены передач средние скорости движения танка заметно возросли при одновременном снижении количества горючего».</w:t>
      </w:r>
    </w:p>
    <w:p w14:paraId="0671A70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командирской башенке отмечался ряд недостатков, но и она, и новые коробки передач были рекомендованы государственной комиссией для серийного производства.</w:t>
      </w:r>
    </w:p>
    <w:p w14:paraId="5121CB4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Пятискоростные коробки перемены передач первым стал осваивать Уральский завод тяжелого машиностроения (УЗТМ) в Свердловске - летом 1942 года, в связи с угрозой немцев Сталинграду и СТЗ, постановлением ГКО к производству танков Т-34 подключали УЗТМ и Челябинский Кировский завод (ЧКЗ). Большая часть тридцатьчетверок, выпушенная на УЗТМ до конца 1942 года, получила новые коробки перемены передач. В конце года к производству новых коробок подключился и ЧКЗ, а затем заводы № 112 и № 174. Причем последний с 1943 года становится головным по выпуску 5-скоростных коробок передач.</w:t>
      </w:r>
    </w:p>
    <w:p w14:paraId="18812A4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Что касается завода № 183, то он так и не освоил выпуск своего детища. Не помогли ни различные письма, ни приказы. Дело в том, что в Нижнем Тагиле имелся большой дефицит зуборезных станков, а бывшие в наличии с трудом обеспечивали текущее производства танков, причем работали они чуть ли не круглосуточно. А в новой коробке передач было пусть на немного (примерно на 8%), но больше шестерен, что при масштабах производства танков на заводе № 183 привело бы к нехватке КПП. Тем не менее, Нижний Тагил все же ставил 5-скоростные коробки на Т-34, получая их с других заводов, например, с ЧКЗ. Кстати, конструкторы новой КПП Я. Баран и А. Шпайхлер за ее создание получили Сталинскую премию (12217).</w:t>
      </w:r>
    </w:p>
    <w:p w14:paraId="2E40CA4E"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69DCF42"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11 августа 1942 вышло Постановление ГКО № 2166 [Об освобождении от призыва в КА ИТР 1924 г. рождения, работающих на предприятиях HКЧМ.] (7050, 1).</w:t>
      </w:r>
    </w:p>
    <w:p w14:paraId="6F24BDF0" w14:textId="77777777" w:rsidR="00AE7191" w:rsidRPr="001E2C69" w:rsidRDefault="00AE7191" w:rsidP="00722885">
      <w:pPr>
        <w:pStyle w:val="Iauiue"/>
        <w:tabs>
          <w:tab w:val="left" w:pos="11199"/>
        </w:tabs>
        <w:jc w:val="both"/>
        <w:rPr>
          <w:color w:val="000000" w:themeColor="text1"/>
          <w:sz w:val="16"/>
          <w:szCs w:val="16"/>
        </w:rPr>
      </w:pPr>
    </w:p>
    <w:p w14:paraId="6F978B6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августа 1942 вышло Постановление ГКО № 2167 О вывозе ценного оборудования и материалов, а также неполностью загруженных установок Грознефтекомбината. РГАНИР, Фонд ГКО, д. 52, лл. 2-4 (11012).</w:t>
      </w:r>
    </w:p>
    <w:p w14:paraId="23CC124A"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6E65DF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августа 1942 вышло Постановление ГКО № 2168 Об эвакуации цинково-электролитного производства завода "Электроцинк" Наркомцветмета из г. Орджоникидзе. РГАНИР, Фонд ГКО, д. 52, лл. 5 (11012).</w:t>
      </w:r>
    </w:p>
    <w:p w14:paraId="2EAF0E8B"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CCDA71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 августа 1942 года была подготовлена справка:</w:t>
      </w:r>
    </w:p>
    <w:p w14:paraId="4890DB5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69 - директор Котляр</w:t>
      </w:r>
    </w:p>
    <w:p w14:paraId="783BE10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92 – директор Герой Социалистического Труда Елян</w:t>
      </w:r>
    </w:p>
    <w:p w14:paraId="2C35123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Артиллерийские и стрелковые предприятия</w:t>
      </w:r>
    </w:p>
    <w:p w14:paraId="0B08192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172 – директор Герой Социалистического Труда Быховский</w:t>
      </w:r>
    </w:p>
    <w:p w14:paraId="50B9B2D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221 – директор Гонор</w:t>
      </w:r>
    </w:p>
    <w:p w14:paraId="7F0F2C2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8 – директор Фраткин</w:t>
      </w:r>
    </w:p>
    <w:p w14:paraId="041F02D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614 – директор Чарский</w:t>
      </w:r>
    </w:p>
    <w:p w14:paraId="34BD681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535 – директор Карпов</w:t>
      </w:r>
    </w:p>
    <w:p w14:paraId="614F471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Патронные и оптические заводы</w:t>
      </w:r>
    </w:p>
    <w:p w14:paraId="39665C0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3 – директор Бутузов</w:t>
      </w:r>
    </w:p>
    <w:p w14:paraId="26E52DE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237 – директор Соловьев</w:t>
      </w:r>
    </w:p>
    <w:p w14:paraId="411E6A4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188 – директор Штанин</w:t>
      </w:r>
    </w:p>
    <w:p w14:paraId="46DF251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38 – директор Азаров</w:t>
      </w:r>
    </w:p>
    <w:p w14:paraId="799DD4C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357 – директор Манин (9268)</w:t>
      </w:r>
    </w:p>
    <w:p w14:paraId="36F84A0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Директор завода № 526 освобожден, назначен Дубасов</w:t>
      </w:r>
    </w:p>
    <w:p w14:paraId="6E3BEA4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621 – директор Макарущенко</w:t>
      </w:r>
    </w:p>
    <w:p w14:paraId="0B98289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385 – директор Щекин</w:t>
      </w:r>
    </w:p>
    <w:p w14:paraId="675A380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536 – директор Агафонов</w:t>
      </w:r>
    </w:p>
    <w:p w14:paraId="0B24DC4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314 – директор Кузьмичев</w:t>
      </w:r>
    </w:p>
    <w:p w14:paraId="202296C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235 – директор Золотарев</w:t>
      </w:r>
    </w:p>
    <w:p w14:paraId="69FF697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4 – директор Шифрин</w:t>
      </w:r>
    </w:p>
    <w:p w14:paraId="067D1EB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106 – директор Чеботарев</w:t>
      </w:r>
    </w:p>
    <w:p w14:paraId="0911412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367 – директор Исаков</w:t>
      </w:r>
    </w:p>
    <w:p w14:paraId="75FE599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524 – директор Дубовой</w:t>
      </w:r>
    </w:p>
    <w:p w14:paraId="39C0454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66 – директор Томилин</w:t>
      </w:r>
    </w:p>
    <w:p w14:paraId="202DC66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541 – директор Алешин</w:t>
      </w:r>
    </w:p>
    <w:p w14:paraId="1722081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539 – директор Шевченко</w:t>
      </w:r>
    </w:p>
    <w:p w14:paraId="0F9CE83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537 – директор Стрекопытов</w:t>
      </w:r>
    </w:p>
    <w:p w14:paraId="118576F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46 – директор Володин</w:t>
      </w:r>
    </w:p>
    <w:p w14:paraId="4832050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540 – директор Дольнов</w:t>
      </w:r>
    </w:p>
    <w:p w14:paraId="41F6A2F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543 – директор Игнатович</w:t>
      </w:r>
    </w:p>
    <w:p w14:paraId="2DD6F95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529 – директор Аристов</w:t>
      </w:r>
    </w:p>
    <w:p w14:paraId="2B28FC2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44 – директор Токарев</w:t>
      </w:r>
    </w:p>
    <w:p w14:paraId="5E5EA48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545 – директор Фролов</w:t>
      </w:r>
    </w:p>
    <w:p w14:paraId="6FD9F37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71 – директор Остроушко</w:t>
      </w:r>
    </w:p>
    <w:p w14:paraId="175E90E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54 – директор Малолеткин</w:t>
      </w:r>
    </w:p>
    <w:p w14:paraId="21E8971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217 – директор Сафонов</w:t>
      </w:r>
    </w:p>
    <w:p w14:paraId="72F97CF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297 – директор Баранов</w:t>
      </w:r>
    </w:p>
    <w:p w14:paraId="683CC6C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393 – директор Колычев</w:t>
      </w:r>
    </w:p>
    <w:p w14:paraId="7EA1DA0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350 – директор Ступельман</w:t>
      </w:r>
    </w:p>
    <w:p w14:paraId="2235A79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355 – директор Песков</w:t>
      </w:r>
    </w:p>
    <w:p w14:paraId="7F6C1C0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74 – директор Иванов</w:t>
      </w:r>
    </w:p>
    <w:p w14:paraId="717D461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13 – директор Куранов</w:t>
      </w:r>
    </w:p>
    <w:p w14:paraId="6DF7984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lastRenderedPageBreak/>
        <w:t>Завод № 17 – директор Соломко</w:t>
      </w:r>
    </w:p>
    <w:p w14:paraId="4E99E29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60 – директор Тарасенко (9268).</w:t>
      </w:r>
    </w:p>
    <w:p w14:paraId="00968C02" w14:textId="77777777" w:rsidR="00AE7191" w:rsidRPr="001E2C69" w:rsidRDefault="00AE7191" w:rsidP="00722885">
      <w:pPr>
        <w:pStyle w:val="Iauiue"/>
        <w:jc w:val="both"/>
        <w:rPr>
          <w:color w:val="000000" w:themeColor="text1"/>
          <w:sz w:val="16"/>
          <w:szCs w:val="16"/>
        </w:rPr>
      </w:pPr>
    </w:p>
    <w:p w14:paraId="2A85D157"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6ABCBB50" w14:textId="77777777" w:rsidR="00AE7191" w:rsidRPr="001E2C69" w:rsidRDefault="00AE7191" w:rsidP="00722885">
      <w:pPr>
        <w:pStyle w:val="Iauiue"/>
        <w:jc w:val="both"/>
        <w:rPr>
          <w:iCs/>
          <w:color w:val="000000" w:themeColor="text1"/>
          <w:sz w:val="16"/>
          <w:szCs w:val="16"/>
        </w:rPr>
      </w:pPr>
    </w:p>
    <w:p w14:paraId="656AE70E"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августа в 1942 году утреннее сообщение Совинформбюро:</w:t>
      </w:r>
    </w:p>
    <w:p w14:paraId="512EF753"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11 августа наши войска вели бои с противником в районах Клетская, северо-восточнее Котельниково, а также в районах Армавир, Краснодар, Майкоп.</w:t>
      </w:r>
    </w:p>
    <w:p w14:paraId="11D312EE"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6989FDE3"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наши войска отбили несколько атак гитлеровцев. Южнее Клетской Н-ская часть вела бои с прорвавшимися танками и пехотой противника и истребила до 300 гитлеровцев. На другом участке бойцы роты под командованием старшего лейтенанта тов. Попова вели бой с превосходящими силами противника, отбили несколько атак и уничтожили не менее 125 гитлеровцев. Частями нашей авиации в воздушных боях сбито 15 немецких самолётов.</w:t>
      </w:r>
    </w:p>
    <w:p w14:paraId="6DDDEDF7"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Н-ская танковая часть нанесла противнику внезапный удар. В ожесточённом бою наши танкисты уничтожили 17 немецких танков, 9 противотанковых и 3 самоходных орудия, 15 автомашин и не менее 350 солдат и офицеров противника. Немцы были вынуждены перейти к обороне.</w:t>
      </w:r>
    </w:p>
    <w:p w14:paraId="75FF0A46"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Краснодара продолжаются ожесточённые бои. Бойцы одной нашей части отбили пять атак немцев, сожгли 7 танков и истребили до 500 гитлеровцев. На другом участке советские артиллеристы и бронебойщики уничтожили 9 танков и 14 немецких автомашин. В районе Армавира наши части после упорных боёв отошли на новые позиции.</w:t>
      </w:r>
    </w:p>
    <w:p w14:paraId="543A0ED9"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гитлеровцы атаковали рубеж обороны одной нашей части. Отбив атаку, наши бойцы на плечах отступающего противника ворвались в населённый пункт и ведут в нём уличные бой. Южнее Воронежа на западном берегу Дона неприятель непрерывно атакует наши части, стремясь занять ряд населённых пунктов. Все атаки гитлеровцев отбиты с большими для них потерями. В этих боях уничтожено 14 танков и бронемашин и до 1.000 солдат и офицеров противника.</w:t>
      </w:r>
    </w:p>
    <w:p w14:paraId="52587891"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Северо-Западном фронте происходили активные действия разведывательных отрядов. Группа разведчиков совершила внезапный налёт на расположение противника и уничтожила 80 немецких солдат и офицеров. Снайперы Н-ской части за два дня истребили 60 гитлеровцев.</w:t>
      </w:r>
    </w:p>
    <w:p w14:paraId="2716356F"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тов. И., действующий в одном из районов Сумской области, за время своей боевой деятельности истребил свыше тысячи немецких солдат и офицеров, взорвал 10 складов, 5 мостов, уничтожил 21 автомашину и 77 подвод с боеприпасами. Партизаны захватили 7 миномётов, 24 пулемёта, 190 винтовок, 260 тысяч патронов и другие трофеи.</w:t>
      </w:r>
    </w:p>
    <w:p w14:paraId="1A0CA63D"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Перешедший на сторону Красной Армии солдат 577 полка 305 немецкой пехотной дивизии Антон Ш. рассказал: «Несколько дней назад русские лётчики подвергли наши подразделения ожесточённой бомбардировке. Воспользовавшись суматохой, я ушёл из расположения части и, проделав путь в 30 километров, сдался в плен. 305 дивизия выехала из Франции на Восточный фронт в мае месяце. За это время дивизия потеряла уже около половины личного состава. Некоторые подразделения окончательно разбиты. Так, в 10 роте было 230 человек, а теперь осталось не больше полусотни. Солдаты говорят между собой: «Мы наверное все погибнем в России».</w:t>
      </w:r>
    </w:p>
    <w:p w14:paraId="72522D80"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июле месяце немецко-фашистские мерзавцы замучили и расстреляли 800 мирных жителей города Борисова, Белорусской ССР.</w:t>
      </w:r>
    </w:p>
    <w:p w14:paraId="55A8824E"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лагерях в провинции Гессен (Германия) томятся десятки тысяч французских военнопленных. Пленных заставляют работать по 14—16 часов в сутки. Они питаются похлёбкой из гнилой крупы и очень часто не получают ни куска хлеба. Среди пленных много больных, которым не оказывают никакой медицинской помощи. В лагере близ города Шлиц ежедневно умирает 10—15 военнопленных французов.» (14981).</w:t>
      </w:r>
    </w:p>
    <w:p w14:paraId="3C9BDF73" w14:textId="77777777" w:rsidR="00031901" w:rsidRPr="001E2C69" w:rsidRDefault="00031901" w:rsidP="00722885">
      <w:pPr>
        <w:spacing w:after="0" w:line="240" w:lineRule="auto"/>
        <w:jc w:val="both"/>
        <w:rPr>
          <w:rFonts w:ascii="Times New Roman" w:hAnsi="Times New Roman"/>
          <w:color w:val="000000" w:themeColor="text1"/>
          <w:sz w:val="16"/>
          <w:szCs w:val="16"/>
        </w:rPr>
      </w:pPr>
    </w:p>
    <w:p w14:paraId="42D814F2"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августа в 1942 году вечернее сообщение Совинформбюро:</w:t>
      </w:r>
    </w:p>
    <w:p w14:paraId="76A85D67"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11 августа наши войска вели ожесточённые бои в районах Клетская, северо-восточнее Котельниково, а также в районах Черкесск, Майкоп и Краснодар.</w:t>
      </w:r>
    </w:p>
    <w:p w14:paraId="34144249"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083FCCC1"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10 августа частями нашей авиации на различных участках фронта уничтожено или повреждено до 40 немецких танков, 200 автомашин с войсками и грузами, 30 повозок с боеприпасами, 7 автоцистерн с горючим, взорвано 3 склада боеприпасов, подавлен огонь 12 батарей полевой и зенитной артиллерии, рассеяно и частью уничтожено до четырёх батальонов пехоты и эскадрон конницы противника.</w:t>
      </w:r>
    </w:p>
    <w:p w14:paraId="129EC09D"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Клетской наши войска вели упорные бои с танками и мотопехотой противника. Немцы несут огромные потери, но, подтягивая резервы, пытаются прорваться к Дону. Гвардейцы-миномётчики совершили интенсивный огневой налёт на скопление немецких танков и автомашин с пехотой, сосредоточенных для атаки. Группировка гитлеровцев была рассеяна.</w:t>
      </w:r>
    </w:p>
    <w:p w14:paraId="6F4FF8DC"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продолжались бои, в которых с обеих сторон участвуют силы всех родов войск. Крупный танковый бой разгорелся в районе железнодорожной станции, занятой накануне советскими войсками. Наши танкисты при поддержке авиации и артиллерии в течение дня несколько раз атаковали противника, перешедшего на этом участке к обороне. Уничтожены 21 немецкий танк, 7 самоходныхи 12 противотанковых орудий, 47 автомашин. Подавлен огонь 3 артиллерийских и 4миномётных батарей, истреблено свыше 800 гитлеровцев.</w:t>
      </w:r>
    </w:p>
    <w:p w14:paraId="6A0B081B"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Краснодара происходили напряжённые бои с прорвавшимися танками и мотопехотой противника. Н-ское соединение заняло новые рубежи обороны и встретило врага прицельным огнём. Группе немецких танков удалось прорваться в глубину нашей обороны. Наши танкисты и казачьи части контратакой с флангов отрезали прорвавшуюся группу гитлеровцев. В этом бою выведено из строя 19 немецких танков, уничтожено 37 автомашин, 40 мотоциклов. На поле боя осталось свыше 700 трупов солдат и офицеров противника.</w:t>
      </w:r>
    </w:p>
    <w:p w14:paraId="4442DB23"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Черкесска и Майкопа наши войска вели тяжёлые оборонительные бои с наступающими войсками противника.</w:t>
      </w:r>
    </w:p>
    <w:p w14:paraId="53DD93B2"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Южнее Воронежа советские войска удерживают занятые на днях населённые пункты на западном берегу Дона. Наши бойцы в течение дня отразили несколько атак вражеской пехоты, действовавшей при поддержке сотни танков. Гитлеровцы потеряли только убитыми 450 человек. Подбито 9 немецких танков. Взяты пленные, оказавшиеся солдатами 14 венгерской пехотной дивизии, только что прибывшей на фронт. Эта дивизия прибыла на смену разгромленной 7 венгерской пехотной дивизии. По показаниям военнопленных, остатки 7 венгерской дивизии бежали с поля боя и были расстреляны немцами.</w:t>
      </w:r>
    </w:p>
    <w:p w14:paraId="76780687"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Ленинградском фронте происходили активные действия разведчиков и столкновения с небольшими отрядами противника. На одном из участков немцы атаковали рубеж, оборонявшийся подразделением старшего лейтенанта Цюпко. Ружейно-пулемётным огнём наших бойцов атака неприятеля была отбита. На другом участке огнём нашей артиллерии уничтожено до 200 гитлеровцев, 3 противотанковых орудия, 4 миномёта и разрушено 13 немецких ДЗОТов и блиндажей.</w:t>
      </w:r>
    </w:p>
    <w:p w14:paraId="759F5456"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Белорусские патриоты срывают мероприятия немецко-фашистских захватчиков и их ставленников. Партизаны перехватили донесение начальника Березинского района начальнику полевой комендатуры в город Могилёв. Перетрусивший гитлеровец в этом донесении умоляет прислать в район карательную экспедицию против партизан. В донесении говорится: «В связи с заражением района партизанами нормальная работа прекратилась. Приказы не выполняются. Налоги от населения не поступают, и таким образом управа не имеет никаких средств. До ликвидации партизанских отрядов взыскание налогов с населения не представляется возможным... Мы живём, как на вулкане, и ежедневно подвергаемся смертельной опасности...»</w:t>
      </w:r>
    </w:p>
    <w:p w14:paraId="7C736BA3"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3 артполка 3 немецкой мотодивизии О.Кацевский рассказал: «Когда мы занимаем населённый пункт, солдатам и офицерам предоставляется полное право брать у жителей всё, что угодно, начиная от кур, свиней и кончая ценностями. Никаких запретов не было и нет. Через занятый город или село обычно проходит много войск: танкисты, артиллеристы, мотоциклисты, пехота. Каждый раз, когда вступает та или иная часть, начинается новый грабёж. Кто не хочет добровольно расстаться со своим имуществом или выказывает непочтительное отношение к немецким солдатам, тот расплачивается за это своей жизнью.</w:t>
      </w:r>
    </w:p>
    <w:p w14:paraId="72F54AEA"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Офицеры поощряют такой грабёж, считая, что солдаты будут стремиться идти вперёд, чтобы приобрести ценные вещи. Они и сами прибирают к рукам ценности».</w:t>
      </w:r>
    </w:p>
    <w:p w14:paraId="4747F934"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Польские патриоты в районе Сандомир—Кельце в течение месяца истребили 140 оккупантов. За это же время партизаны пустили под откос 3 эшелона с военными грузами, следовавшими на советско-германский фронт, и потопили на реке Висле две баржи с хлебом. В начале августа партизаны напали на отряд эсэсовцев, который приехал конфисковать хлеб нового урожая. Убито 10 гитлеровцев. Партизаны захватили пулемёт и 8 автоматов.» (14981).</w:t>
      </w:r>
    </w:p>
    <w:p w14:paraId="2F302605" w14:textId="77777777" w:rsidR="00031901" w:rsidRPr="001E2C69" w:rsidRDefault="00031901" w:rsidP="00722885">
      <w:pPr>
        <w:spacing w:after="0" w:line="240" w:lineRule="auto"/>
        <w:jc w:val="both"/>
        <w:rPr>
          <w:rFonts w:ascii="Times New Roman" w:hAnsi="Times New Roman"/>
          <w:color w:val="000000" w:themeColor="text1"/>
          <w:sz w:val="16"/>
          <w:szCs w:val="16"/>
        </w:rPr>
      </w:pPr>
    </w:p>
    <w:p w14:paraId="652F576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период с 11 августа по 16 сентября 1942 эскадрилья в составе восьми Нз 129В-1/Й2 на центральном участке советско-герман</w:t>
      </w:r>
      <w:r w:rsidRPr="001E2C69">
        <w:rPr>
          <w:rFonts w:ascii="Times New Roman" w:hAnsi="Times New Roman"/>
          <w:color w:val="000000" w:themeColor="text1"/>
          <w:sz w:val="16"/>
          <w:szCs w:val="16"/>
        </w:rPr>
        <w:softHyphen/>
        <w:t>ского фронта в районе Ржева выполнила 73 боевых вылетов, в которых по докладам пилотов было уничтожено 29 советских танков.</w:t>
      </w:r>
    </w:p>
    <w:p w14:paraId="6438A5C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 по всей видимости, реальные ре</w:t>
      </w:r>
      <w:r w:rsidRPr="001E2C69">
        <w:rPr>
          <w:rFonts w:ascii="Times New Roman" w:hAnsi="Times New Roman"/>
          <w:color w:val="000000" w:themeColor="text1"/>
          <w:sz w:val="16"/>
          <w:szCs w:val="16"/>
        </w:rPr>
        <w:softHyphen/>
        <w:t>зультаты боевого применения Нз129В-1 /Я2 из и&lt;351 были все же далеки от заявленных пилотами побед и явно не устраивали не</w:t>
      </w:r>
      <w:r w:rsidRPr="001E2C69">
        <w:rPr>
          <w:rFonts w:ascii="Times New Roman" w:hAnsi="Times New Roman"/>
          <w:color w:val="000000" w:themeColor="text1"/>
          <w:sz w:val="16"/>
          <w:szCs w:val="16"/>
        </w:rPr>
        <w:softHyphen/>
        <w:t>мецкое командование, потому как уже в конце сентября пилоты «хеншелей» были выведены из боя и под руководством спе</w:t>
      </w:r>
      <w:r w:rsidRPr="001E2C69">
        <w:rPr>
          <w:rFonts w:ascii="Times New Roman" w:hAnsi="Times New Roman"/>
          <w:color w:val="000000" w:themeColor="text1"/>
          <w:sz w:val="16"/>
          <w:szCs w:val="16"/>
        </w:rPr>
        <w:softHyphen/>
        <w:t>циалистов инспекций генерального штаба люфтваффе приступили к усиленным тре</w:t>
      </w:r>
      <w:r w:rsidRPr="001E2C69">
        <w:rPr>
          <w:rFonts w:ascii="Times New Roman" w:hAnsi="Times New Roman"/>
          <w:color w:val="000000" w:themeColor="text1"/>
          <w:sz w:val="16"/>
          <w:szCs w:val="16"/>
        </w:rPr>
        <w:softHyphen/>
        <w:t>нировкам на полигоне стрельбой по маке</w:t>
      </w:r>
      <w:r w:rsidRPr="001E2C69">
        <w:rPr>
          <w:rFonts w:ascii="Times New Roman" w:hAnsi="Times New Roman"/>
          <w:color w:val="000000" w:themeColor="text1"/>
          <w:sz w:val="16"/>
          <w:szCs w:val="16"/>
        </w:rPr>
        <w:softHyphen/>
        <w:t>там советских танков. Лишь после того, как точность стрельбы достигла приемлемого уровня, эскадрилья в конце ноября 1942 г. вновь вернулась к боевым действиям.</w:t>
      </w:r>
    </w:p>
    <w:p w14:paraId="6C3C358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Тем временем в связи с успешным контрнаступлением Красной Армии под Сталинградом для немецких войск созда</w:t>
      </w:r>
      <w:r w:rsidRPr="001E2C69">
        <w:rPr>
          <w:rFonts w:ascii="Times New Roman" w:hAnsi="Times New Roman"/>
          <w:color w:val="000000" w:themeColor="text1"/>
          <w:sz w:val="16"/>
          <w:szCs w:val="16"/>
        </w:rPr>
        <w:softHyphen/>
        <w:t>лось угрожающее положение и эскадрилья ЗсИ.С.1 в конце ноября 1942 г. была спеш</w:t>
      </w:r>
      <w:r w:rsidRPr="001E2C69">
        <w:rPr>
          <w:rFonts w:ascii="Times New Roman" w:hAnsi="Times New Roman"/>
          <w:color w:val="000000" w:themeColor="text1"/>
          <w:sz w:val="16"/>
          <w:szCs w:val="16"/>
        </w:rPr>
        <w:softHyphen/>
        <w:t>но переброшена на средний Дон.</w:t>
      </w:r>
    </w:p>
    <w:p w14:paraId="5CDD85E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этому времени в ее составе в общей сложности имелось два десятка Нз 129В-1/В2 и по десятку ВТ 109Е-4/В и Нз 123 (12728).</w:t>
      </w:r>
    </w:p>
    <w:p w14:paraId="3965F7DC"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7E274B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11 августа 1942 г. летчики 3-го Гиап авиации Балтийского флота Каберов и Костылев несли воздушное дежурство на истребителях “Харрикейн”. На подходе к своему аэродрому они заметили И-153, идущий со стороны Финского залива, приняли его за вражеский и атаковали. Как выяснилось впоследствии, командир эскадрильи 71 </w:t>
      </w:r>
      <w:r w:rsidRPr="001E2C69">
        <w:rPr>
          <w:color w:val="000000" w:themeColor="text1"/>
          <w:sz w:val="16"/>
          <w:szCs w:val="16"/>
        </w:rPr>
        <w:lastRenderedPageBreak/>
        <w:t>иап майор Бискуп облетывал свою “Чайку” после ремонта и совершенно не ожидал нападения. Хотя в этом случае обошлось без жертв отважный майор Бискуп летать на “Чайках” после этого не любил (6592).</w:t>
      </w:r>
    </w:p>
    <w:p w14:paraId="65A43006" w14:textId="77777777" w:rsidR="00AE7191" w:rsidRPr="001E2C69" w:rsidRDefault="00AE7191" w:rsidP="00722885">
      <w:pPr>
        <w:pStyle w:val="Iauiue"/>
        <w:jc w:val="both"/>
        <w:rPr>
          <w:color w:val="000000" w:themeColor="text1"/>
          <w:sz w:val="16"/>
          <w:szCs w:val="16"/>
        </w:rPr>
      </w:pPr>
    </w:p>
    <w:p w14:paraId="66D3421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августа 1942 года 49-й КИАП в 2-х эскадрильном составе убыл на фронт и вошел в состав 234 ИАД Западного фронта, который совместно с Калининским фронтом в тяжелых боях пытался «сре</w:t>
      </w:r>
      <w:r w:rsidRPr="001E2C69">
        <w:rPr>
          <w:rFonts w:ascii="Times New Roman" w:hAnsi="Times New Roman"/>
          <w:color w:val="000000" w:themeColor="text1"/>
          <w:sz w:val="16"/>
          <w:szCs w:val="16"/>
        </w:rPr>
        <w:softHyphen/>
        <w:t>зать» Ржевский выступ. Для помощи в эксплуатации матчасти и проведе</w:t>
      </w:r>
      <w:r w:rsidRPr="001E2C69">
        <w:rPr>
          <w:rFonts w:ascii="Times New Roman" w:hAnsi="Times New Roman"/>
          <w:color w:val="000000" w:themeColor="text1"/>
          <w:sz w:val="16"/>
          <w:szCs w:val="16"/>
        </w:rPr>
        <w:softHyphen/>
        <w:t>ния войсковых испытаний к полку были прикомандированы механик 19-го завода Чистяков и бригада 21-го завода, а также группа от НИИ ВВС во главе с помощником ведущего ин</w:t>
      </w:r>
      <w:r w:rsidRPr="001E2C69">
        <w:rPr>
          <w:rFonts w:ascii="Times New Roman" w:hAnsi="Times New Roman"/>
          <w:color w:val="000000" w:themeColor="text1"/>
          <w:sz w:val="16"/>
          <w:szCs w:val="16"/>
        </w:rPr>
        <w:softHyphen/>
        <w:t>женера 4 отдела инженер-капитаном А.Г. Терентьевым и старшим инжене</w:t>
      </w:r>
      <w:r w:rsidRPr="001E2C69">
        <w:rPr>
          <w:rFonts w:ascii="Times New Roman" w:hAnsi="Times New Roman"/>
          <w:color w:val="000000" w:themeColor="text1"/>
          <w:sz w:val="16"/>
          <w:szCs w:val="16"/>
        </w:rPr>
        <w:softHyphen/>
        <w:t>ром 5 отдела военинженером 3 ран</w:t>
      </w:r>
      <w:r w:rsidRPr="001E2C69">
        <w:rPr>
          <w:rFonts w:ascii="Times New Roman" w:hAnsi="Times New Roman"/>
          <w:color w:val="000000" w:themeColor="text1"/>
          <w:sz w:val="16"/>
          <w:szCs w:val="16"/>
        </w:rPr>
        <w:softHyphen/>
        <w:t>га Ф.Ф. Бабаниным (10699).</w:t>
      </w:r>
    </w:p>
    <w:p w14:paraId="519AC25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391DA173"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11 августа в 1942 году подводная лодка Северного флота "Щ-403" потопила в Варангер-фьорде транспорт противника "Георг Л.М.Русе" (14981). </w:t>
      </w:r>
    </w:p>
    <w:p w14:paraId="40C79491" w14:textId="77777777" w:rsidR="00031901" w:rsidRPr="001E2C69" w:rsidRDefault="00031901" w:rsidP="00722885">
      <w:pPr>
        <w:spacing w:after="0" w:line="240" w:lineRule="auto"/>
        <w:jc w:val="both"/>
        <w:rPr>
          <w:rFonts w:ascii="Times New Roman" w:hAnsi="Times New Roman"/>
          <w:color w:val="000000" w:themeColor="text1"/>
          <w:sz w:val="16"/>
          <w:szCs w:val="16"/>
        </w:rPr>
      </w:pPr>
    </w:p>
    <w:p w14:paraId="439B45B5"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августа в 1942 году 2-я танковая армия (в резерве 9-я и 17-я танковые дивизии, 73-й мп и 19-й иптд 19-й танковой дивизии) Группы Армий "Центр" начала наступление против частей 16-й и 61-й армий Западного Фронта - операция "Wirbelwind". Противник частями 53-го армейского корпуса (11-я и 20-я танковые дивизии, 35-й танковый полк 4-й танковой дивизии, 119-й мп 25-й мд, 26, 56, 134-я и 296-я пехотные дивизии) к концу дня прорвал на всю глубину оборону 346-й стрелковой дивизии 61-й армии, передовая немецкая 11-я танковая дивизия с 119-м мп 25-й мд вышла в тыл правому крылу 61-й армии (387, 350 и 346-я стрелковые дивизии), заняв Старица. Части 41-го танкового корпуса (19-я танковая дивизия (без 73-го мп и 19-го иптд) с 52-й и 211-й пехотной дивизии) к концу дня были отброшены контратакой 1-го гвардейского кавалерийского корпуса с 2-м танковым батальоном 6-й гвардейской танковой бригады и 322-й стрелковой дивизии за реку Рессета, на исходные позиции.</w:t>
      </w:r>
    </w:p>
    <w:p w14:paraId="36CE1216"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Противник, углубившись в оборону советских войск на 30 км, был вынужден прекратить операцию 22 августа 1942 в связи с контрударом 16, 61-й армии и 3-й танковой армии.</w:t>
      </w:r>
    </w:p>
    <w:p w14:paraId="1A98ADF6"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Операция, начавшаяся 11 августа под Сухиничами, «стала для Клюге маленьким Верденом, и ее провал, несмотря на то, что было введено 400 танков, эхом отозвался на всем германском фронте». В декабре 1942 г. Гитлер признал, что наступление на Сухиничи было «главной ошибкой этого года» (14981).</w:t>
      </w:r>
    </w:p>
    <w:p w14:paraId="6E567348" w14:textId="77777777" w:rsidR="00031901" w:rsidRPr="001E2C69" w:rsidRDefault="00031901" w:rsidP="00722885">
      <w:pPr>
        <w:pStyle w:val="Iauiue"/>
        <w:jc w:val="both"/>
        <w:rPr>
          <w:iCs/>
          <w:color w:val="000000" w:themeColor="text1"/>
          <w:sz w:val="16"/>
          <w:szCs w:val="16"/>
        </w:rPr>
      </w:pPr>
    </w:p>
    <w:p w14:paraId="059184D9"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3AA23DB1" w14:textId="77777777" w:rsidR="00AE7191" w:rsidRPr="001E2C69" w:rsidRDefault="00AE7191" w:rsidP="00722885">
      <w:pPr>
        <w:pStyle w:val="Iauiue"/>
        <w:jc w:val="both"/>
        <w:rPr>
          <w:iCs/>
          <w:color w:val="000000" w:themeColor="text1"/>
          <w:sz w:val="16"/>
          <w:szCs w:val="16"/>
        </w:rPr>
      </w:pPr>
    </w:p>
    <w:p w14:paraId="7D25865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 августа 1942 немецкая подводная лодка U-73 атаковала британский конвой, снабжающий Мальту, и потопила Игл - один из первых в мире авианосцев (2100).</w:t>
      </w:r>
    </w:p>
    <w:p w14:paraId="23A0A089" w14:textId="77777777" w:rsidR="00AE7191" w:rsidRPr="001E2C69" w:rsidRDefault="00AE7191" w:rsidP="00722885">
      <w:pPr>
        <w:pStyle w:val="Iauiue"/>
        <w:jc w:val="both"/>
        <w:rPr>
          <w:color w:val="000000" w:themeColor="text1"/>
          <w:sz w:val="16"/>
          <w:szCs w:val="16"/>
        </w:rPr>
      </w:pPr>
    </w:p>
    <w:p w14:paraId="643B804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 августа 1942 был внезапный налет на конвой, следовавший на Мальту и потопили Eagle (2261).</w:t>
      </w:r>
    </w:p>
    <w:p w14:paraId="59B451AC" w14:textId="77777777" w:rsidR="00AE7191" w:rsidRPr="001E2C69" w:rsidRDefault="00AE7191" w:rsidP="00722885">
      <w:pPr>
        <w:pStyle w:val="Iauiue"/>
        <w:jc w:val="both"/>
        <w:rPr>
          <w:color w:val="000000" w:themeColor="text1"/>
          <w:sz w:val="16"/>
          <w:szCs w:val="16"/>
        </w:rPr>
      </w:pPr>
    </w:p>
    <w:p w14:paraId="08140ACE" w14:textId="77777777" w:rsidR="00C5464C" w:rsidRPr="001E2C69" w:rsidRDefault="00C5464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августа 1942 было противостояние в ходе операции «Пьедестал» - конвоя союзников с доставкой на Мальту в сопровождении британских авианосцев HMS Victorious , HMS Indomitable и HMS Eagle, против которых было задействовано 1000 самолетов Оси, собранных на Сицилии и Сардинии. Началось с поражения немецкой подводной лодкой авианосуа Игл четырьмя торпедами в Средиземном море примерно в 80 морских милях (141 км) к северу от Алжира. Eagle тонет за восемь минут, при этом погиб 131 член экипажа и 16 истребителей Sea Hurricane. Немецкие самолеты-торпедоносцы наносят неэффективные удары по конвоям, а удар Королевских ВВС Bristol Beaufighter уничтожает пять и повреждает 14 немецких самолетов на земле после их возвращения на базу (20793).</w:t>
      </w:r>
    </w:p>
    <w:p w14:paraId="03EF44F3" w14:textId="77777777" w:rsidR="00C5464C" w:rsidRPr="001E2C69" w:rsidRDefault="00C5464C" w:rsidP="00722885">
      <w:pPr>
        <w:spacing w:after="0" w:line="240" w:lineRule="auto"/>
        <w:jc w:val="both"/>
        <w:rPr>
          <w:rFonts w:ascii="Times New Roman" w:hAnsi="Times New Roman"/>
          <w:color w:val="000000" w:themeColor="text1"/>
          <w:sz w:val="16"/>
          <w:szCs w:val="16"/>
        </w:rPr>
      </w:pPr>
    </w:p>
    <w:p w14:paraId="75AE0A5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 августа 1942 был торпедирован и потоплен английский авианосец Игл (3481).</w:t>
      </w:r>
    </w:p>
    <w:p w14:paraId="30CF0000" w14:textId="77777777" w:rsidR="00AE7191" w:rsidRPr="001E2C69" w:rsidRDefault="00AE7191" w:rsidP="00722885">
      <w:pPr>
        <w:pStyle w:val="Iauiue"/>
        <w:jc w:val="both"/>
        <w:rPr>
          <w:color w:val="000000" w:themeColor="text1"/>
          <w:sz w:val="16"/>
          <w:szCs w:val="16"/>
        </w:rPr>
      </w:pPr>
    </w:p>
    <w:p w14:paraId="103FBE92"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11 августа 1942 Германия освободила первых французских военнопленных (4962).</w:t>
      </w:r>
    </w:p>
    <w:p w14:paraId="787E8DD9" w14:textId="77777777" w:rsidR="00AE7191" w:rsidRPr="001E2C69" w:rsidRDefault="00AE7191" w:rsidP="00722885">
      <w:pPr>
        <w:pStyle w:val="Iauiue"/>
        <w:tabs>
          <w:tab w:val="left" w:pos="11199"/>
        </w:tabs>
        <w:jc w:val="both"/>
        <w:rPr>
          <w:color w:val="000000" w:themeColor="text1"/>
          <w:sz w:val="16"/>
          <w:szCs w:val="16"/>
        </w:rPr>
      </w:pPr>
    </w:p>
    <w:p w14:paraId="2A14C17C"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794F6B10" w14:textId="77777777" w:rsidR="00AE7191" w:rsidRPr="001E2C69" w:rsidRDefault="00AE7191" w:rsidP="00722885">
      <w:pPr>
        <w:pStyle w:val="Iauiue"/>
        <w:jc w:val="both"/>
        <w:rPr>
          <w:iCs/>
          <w:color w:val="000000" w:themeColor="text1"/>
          <w:sz w:val="16"/>
          <w:szCs w:val="16"/>
        </w:rPr>
      </w:pPr>
    </w:p>
    <w:p w14:paraId="76CB4DC7" w14:textId="77777777" w:rsidR="007F2741" w:rsidRPr="001E2C69" w:rsidRDefault="007F2741"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12 августа 1942 генерал-майор Солдатов вторично обращается к Устинову за содействием, но при этом уже ссылается на постановление ГКО № 967сс от 26 ноября 1941 г. Только после этого Устинов также решил «обозначить тему» и слегка «подтолкнул» завод № 74. Вскоре на самолетный завод № 18 НКАП поступило еще 14 комплектных пушек Ш-37. Но на этом все и закончилось. Для проведения войсковых испытаний и фор</w:t>
      </w:r>
      <w:r w:rsidRPr="001E2C69">
        <w:rPr>
          <w:color w:val="000000" w:themeColor="text1"/>
          <w:sz w:val="16"/>
          <w:szCs w:val="16"/>
        </w:rPr>
        <w:softHyphen/>
        <w:t>мального выполнения постановления ГКО от 26 ноября 1941 г. ВВС сочли вполне достаточным 10 противотанковых Ил-2. Тем более что по результатам полигон</w:t>
      </w:r>
      <w:r w:rsidRPr="001E2C69">
        <w:rPr>
          <w:color w:val="000000" w:themeColor="text1"/>
          <w:sz w:val="16"/>
          <w:szCs w:val="16"/>
        </w:rPr>
        <w:softHyphen/>
        <w:t>ных испытаний готовилось решение о вы</w:t>
      </w:r>
      <w:r w:rsidRPr="001E2C69">
        <w:rPr>
          <w:color w:val="000000" w:themeColor="text1"/>
          <w:sz w:val="16"/>
          <w:szCs w:val="16"/>
        </w:rPr>
        <w:softHyphen/>
        <w:t>пуске войсковой серии Ил-2 с пушками 11П ОКБ-16 (17500).</w:t>
      </w:r>
    </w:p>
    <w:p w14:paraId="7073CCFE" w14:textId="77777777" w:rsidR="007F2741" w:rsidRPr="001E2C69" w:rsidRDefault="007F2741" w:rsidP="00722885">
      <w:pPr>
        <w:spacing w:after="0" w:line="240" w:lineRule="auto"/>
        <w:jc w:val="both"/>
        <w:rPr>
          <w:rFonts w:ascii="Times New Roman" w:eastAsia="Times New Roman" w:hAnsi="Times New Roman"/>
          <w:color w:val="000000" w:themeColor="text1"/>
          <w:sz w:val="16"/>
          <w:szCs w:val="16"/>
          <w:lang w:eastAsia="ru-RU"/>
        </w:rPr>
      </w:pPr>
    </w:p>
    <w:p w14:paraId="258C164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 августа 1942 вышел приказ НКАП N 621сс "О серийном производстве улучшенных самолетов Як-1" в исполнение постановления ГКО от 11 августа 1942 N 2170сс:</w:t>
      </w:r>
    </w:p>
    <w:p w14:paraId="0A403C5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И.о. нач. ПГУ Шиц и директору завода 292 Левину внедрить в серийное производство на заводе 292 самолет Як-1 с изменениями.</w:t>
      </w:r>
    </w:p>
    <w:p w14:paraId="5D57FAE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Установить следующие сроки внедрения и выпуска: в сентябре 10, в октябре 100 и начиная с 1 ноября 1942 - все (1578,3).</w:t>
      </w:r>
    </w:p>
    <w:p w14:paraId="134117DC" w14:textId="77777777" w:rsidR="00AE7191" w:rsidRPr="001E2C69" w:rsidRDefault="00AE7191" w:rsidP="00722885">
      <w:pPr>
        <w:pStyle w:val="Iauiue"/>
        <w:jc w:val="both"/>
        <w:rPr>
          <w:color w:val="000000" w:themeColor="text1"/>
          <w:sz w:val="16"/>
          <w:szCs w:val="16"/>
        </w:rPr>
      </w:pPr>
    </w:p>
    <w:p w14:paraId="433CFF4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 августа 1942 вышел приказ НКАП N 622сс "Об увеличении выпуска самолетов Як-7 на заводе 22 (Москва) в исполнение постановления ГКО от 11 августа 1942 N 2169сс:</w:t>
      </w:r>
    </w:p>
    <w:p w14:paraId="161A350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И.о. нач. ПГУ Шиц и директору завода 82 Бугрову обеспечить выпуск на заводе 82 из агрегатов завода 153 и собственного производства следующих количестве самолета: начиная с 29 августа - по 3 в день, с 25 сентября - 6</w:t>
      </w:r>
    </w:p>
    <w:p w14:paraId="0670955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И.о. нач. ПГУ Шиц, директору завода 153 Романову и ГИ Тер-Маркоряну обеспечить отправку в августе 90 самолетов Як-7 (в агрегатах комплектно) для сборки на заводе 82 выпуск.</w:t>
      </w:r>
    </w:p>
    <w:p w14:paraId="281E485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Установить след. программу по выпуску Як-7 на заводе 153 на сентябрь - 180 для сборки на заводе и 140 для отправки на 82, всего 320 (1578,15).</w:t>
      </w:r>
    </w:p>
    <w:p w14:paraId="2CC9A5EB" w14:textId="77777777" w:rsidR="00AE7191" w:rsidRPr="001E2C69" w:rsidRDefault="00AE7191" w:rsidP="00722885">
      <w:pPr>
        <w:pStyle w:val="Iauiue"/>
        <w:jc w:val="both"/>
        <w:rPr>
          <w:color w:val="000000" w:themeColor="text1"/>
          <w:sz w:val="16"/>
          <w:szCs w:val="16"/>
        </w:rPr>
      </w:pPr>
    </w:p>
    <w:p w14:paraId="2BCD9B5E" w14:textId="77777777" w:rsidR="003E47A4" w:rsidRPr="008A2E5A" w:rsidRDefault="003E47A4" w:rsidP="003E47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12 по 14 августа 1942 г., после окончания государственных ис</w:t>
      </w:r>
      <w:r w:rsidRPr="008A2E5A">
        <w:rPr>
          <w:rFonts w:ascii="Times New Roman" w:hAnsi="Times New Roman"/>
          <w:color w:val="0070C0"/>
          <w:sz w:val="16"/>
          <w:szCs w:val="16"/>
        </w:rPr>
        <w:softHyphen/>
        <w:t>пытаний, на Як-7ДИ НИИ ВВС КА провел испытания системы нейтрального газа. Систему, установ</w:t>
      </w:r>
      <w:r w:rsidRPr="008A2E5A">
        <w:rPr>
          <w:rFonts w:ascii="Times New Roman" w:hAnsi="Times New Roman"/>
          <w:color w:val="0070C0"/>
          <w:sz w:val="16"/>
          <w:szCs w:val="16"/>
        </w:rPr>
        <w:softHyphen/>
        <w:t>ленную на Як-7ДИ, признали соответствующей ТТТ ВВС КА в целом, но требующей доработки по отдельным эле</w:t>
      </w:r>
      <w:r w:rsidRPr="008A2E5A">
        <w:rPr>
          <w:rFonts w:ascii="Times New Roman" w:hAnsi="Times New Roman"/>
          <w:color w:val="0070C0"/>
          <w:sz w:val="16"/>
          <w:szCs w:val="16"/>
        </w:rPr>
        <w:softHyphen/>
        <w:t>ментам конструкции перед внедрением в серию (23381).</w:t>
      </w:r>
    </w:p>
    <w:p w14:paraId="09CE266A" w14:textId="77777777" w:rsidR="003E47A4" w:rsidRPr="008A2E5A" w:rsidRDefault="003E47A4" w:rsidP="003E47A4">
      <w:pPr>
        <w:spacing w:after="0" w:line="240" w:lineRule="auto"/>
        <w:jc w:val="both"/>
        <w:rPr>
          <w:rFonts w:ascii="Times New Roman" w:hAnsi="Times New Roman"/>
          <w:color w:val="0070C0"/>
          <w:sz w:val="16"/>
          <w:szCs w:val="16"/>
        </w:rPr>
      </w:pPr>
    </w:p>
    <w:p w14:paraId="4EEEF55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 августа 1942 была подготовлена Справка об уменьшении максимальных скоростей Пе-2 (1678,28).</w:t>
      </w:r>
    </w:p>
    <w:p w14:paraId="40463989" w14:textId="77777777" w:rsidR="00AE7191" w:rsidRPr="001E2C69" w:rsidRDefault="00AE7191" w:rsidP="00722885">
      <w:pPr>
        <w:pStyle w:val="Iauiue"/>
        <w:jc w:val="both"/>
        <w:rPr>
          <w:color w:val="000000" w:themeColor="text1"/>
          <w:sz w:val="16"/>
          <w:szCs w:val="16"/>
        </w:rPr>
      </w:pPr>
    </w:p>
    <w:p w14:paraId="611A021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 августа 1942 года была подготовлена справка Об уменьшении максимальных скоростей самолета Пе-2.</w:t>
      </w:r>
    </w:p>
    <w:p w14:paraId="3DCE93C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марте 1941 года в НИИ ВВС прошел гос. испытания опытный экземпляр самолета Пе-2 с винтами ВИШ-61Б. На этих испытаниях была получена максимальная скорость на Н=5000 м Vmax=540 км/час.</w:t>
      </w:r>
    </w:p>
    <w:p w14:paraId="3908235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Вооружение самолета состояло из 4-х пулеметов Шкас. Замки и упоры наружной подвески были сняты. При обработке этих испытаний не учитывалась поправка на сжимаемость воздуха. Во всех последующих испытаниях серийных самолетов эта поправка, равная примерно 5 км/час на расчетной высоте вводилась; поэтому для первого опытного экземпляра следует считать Vmax=535 км/час на Н=5000 м.</w:t>
      </w:r>
    </w:p>
    <w:p w14:paraId="083FB51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Испытания серийных самолетов показали снижение максимальных скоростей. Снижение скоростей объясняется как конструктивными изменениями, внесенными в самолет, так и ухудшением качества внешней отделки.</w:t>
      </w:r>
    </w:p>
    <w:p w14:paraId="0F1304F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Снижение скоростей за счет конструктивных изменений.</w:t>
      </w:r>
    </w:p>
    <w:p w14:paraId="67B1D70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первых серий сам. ПЕ-2, выпускаемых заводом N 22, правой носовой и нижней люковой Шкас"ы заменены на пулеметы Березина. При этом значительно ухудшилась форма нижнего люка. При испытании первых серийных самолетов в НИИ ВВС (август 1941 г. сам. N 10(35) и в ЛИИ НКАП (октябрь 1941 г. сам. N 15(37) показали максимальную скорость макс. =530-531 км/час на Н=5000 м. Следовательно, для дальнейшего сравнения следует считать максимальную скорость серийного самолета Vmax=530 км/час на Н=5000 м с винтами АВ5-ЛВ.</w:t>
      </w:r>
    </w:p>
    <w:p w14:paraId="2C94532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дальнейшем на самолете Пе-2 была введена новая стрелковая точка Шкас в боковом окне стрелка радиста, потеря скорости 2 км/час.</w:t>
      </w:r>
    </w:p>
    <w:p w14:paraId="5147174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последующих сериях штурманский Шкас заменен на Березина (установка ФТ), потеря скорости 7-8 км/час.</w:t>
      </w:r>
    </w:p>
    <w:p w14:paraId="2F54A7E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Увеличение веса серийного самолета по сравнению с опытным на 200-250 кг дает, согласно подсчета, потерю скорости 1 км/час. Снижение высотности самолета с 5000 м до 4700 м дает примерно 4-5 км/час.</w:t>
      </w:r>
    </w:p>
    <w:p w14:paraId="5DBB249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Перечисленными выше потерями исчерпываются все потери от конструктивных изменений.</w:t>
      </w:r>
    </w:p>
    <w:p w14:paraId="6F77612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Следовательно для серийных самолетов Пе-2, выпускаемых в настоящее время, максимальная скорость должна быть порядка Vmax=515-517 км/час с винтами АВ5-ЛВ.</w:t>
      </w:r>
    </w:p>
    <w:p w14:paraId="51D662F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Снижение скорости за счет ухудшения качества отделки.</w:t>
      </w:r>
    </w:p>
    <w:p w14:paraId="289F834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lastRenderedPageBreak/>
        <w:t>Самолеты последних серий выпускаются с заметным улучшением качества внешней отделки по сравнению с самолетами июньских серий.</w:t>
      </w:r>
    </w:p>
    <w:p w14:paraId="0A7B598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Однако, следует отметить, что по сравнению с самолетами первых серий, выпускаемых заводом N 22 в Москве, качество внешней отделки и окраска настоящих самолетов ниже. В результате чего на самолетах июльских серий за счет некачественной отделки и окраски имели потерю максимальных скоростей порядка 10-12 км/час.</w:t>
      </w:r>
    </w:p>
    <w:p w14:paraId="3926BF7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При испытании самолета N 18/106 (из последних серий) получено: максимальная скорость Vmax=504 км/час с винтами АВ5-ЛВ, с установкой "ФТ".</w:t>
      </w:r>
    </w:p>
    <w:p w14:paraId="1E8B811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Заключение</w:t>
      </w:r>
    </w:p>
    <w:p w14:paraId="68E3E87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Сравнение результатов летных испытаний июльских серий, сам. N 18/106 показывает, что завод N 22 добился улучшения качества отделки, в результате чего получен прирост скорости.</w:t>
      </w:r>
    </w:p>
    <w:p w14:paraId="0A59A49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Однако этого недостаточно. Необходимо усиление борьбы за качество, чтобы увеличить прирост еще на 10-12 км/час, т.е. получить скорость порядка 515-517 км/час скорости, которые должны иметь самолеты ПЕ-2 с качественной отделкой не хуже самолетов первых московских серий с учетом введенным конструктивных изменений (1778,229).</w:t>
      </w:r>
    </w:p>
    <w:p w14:paraId="2C0B6D9A" w14:textId="77777777" w:rsidR="00AE7191" w:rsidRPr="001E2C69" w:rsidRDefault="00AE7191" w:rsidP="00722885">
      <w:pPr>
        <w:pStyle w:val="Iauiue"/>
        <w:jc w:val="both"/>
        <w:rPr>
          <w:color w:val="000000" w:themeColor="text1"/>
          <w:sz w:val="16"/>
          <w:szCs w:val="16"/>
        </w:rPr>
      </w:pPr>
    </w:p>
    <w:p w14:paraId="4D786A63"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августа 1942 г. Письмо старшего инженера 150-го бомбардировочного авиационного полка инженер-капитана Авсеева директору завода № 22 В. А. Окулову о результатах боевой эксплуатации самолетов Пе-2</w:t>
      </w:r>
    </w:p>
    <w:p w14:paraId="1F962FB5"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Ваш запрос об эксплуатации в боевых условиях материальной части самолетов Пе-2 сообщаю:</w:t>
      </w:r>
    </w:p>
    <w:p w14:paraId="5FB10121"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На самолетах завода № 22, выпущенных в июне месяце 1942 г., т. е. 83-84 серии, было произведено переобучение летного состава в дневных и ночных условиях.</w:t>
      </w:r>
    </w:p>
    <w:p w14:paraId="248528AE"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В действующей армии произведено 240 боевых самолето-вылетов днем и ночью, которые показали, что самолеты полностью отвечают своему назначению, как пикирующие бомбардировщики, на которых можно успешно выполнять боевые задания в условиях дня и ночи.</w:t>
      </w:r>
    </w:p>
    <w:p w14:paraId="23765EF3"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За период июня-июля месяцев материальная часть самолетов работала безотказно, и по вине завода № 22 не было случаев срыва боевых заданий.</w:t>
      </w:r>
    </w:p>
    <w:p w14:paraId="0F254B8D"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В процессе работы материальной части 150-му АП со стороны завода № 22 была оказана большая помощь по восстановлению поврежденных самолетов после боевых заданий и поломок по вине эксплуатации.</w:t>
      </w:r>
    </w:p>
    <w:p w14:paraId="24D00756"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Основным недостатком в эксплуатации самолетов следует считать качество моторов, т. к. за период работы 2-х месяцев заменено 14 моторов.</w:t>
      </w:r>
    </w:p>
    <w:p w14:paraId="5BB64109"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Старший инженер 150-го БАП инженер-капитан Авсеев (15494).</w:t>
      </w:r>
    </w:p>
    <w:p w14:paraId="79E9EB74"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732F4E24"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августа 1942 г. Письмо старшего инженера 150-го бомбардировочного авиационного полка инженер-капитана Авсеева директору завода № 22 В. А. Окулову о результатах боевой эксплуатации самолетов Пе-2</w:t>
      </w:r>
    </w:p>
    <w:p w14:paraId="78D59D62"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Ваш запрос об эксплуатации в боевых условиях материальной части самолетов Пе-2 сообщаю:</w:t>
      </w:r>
    </w:p>
    <w:p w14:paraId="36039E6E"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На самолетах завода № 22, выпущенных в июне месяце 1942 г., т. е. 83-84 серии, было произведено переобучение летного состава в дневных и ночных условиях.</w:t>
      </w:r>
    </w:p>
    <w:p w14:paraId="43E1B61B"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В действующей армии произведено 240 боевых самолетовылетов днем и ночью, которые показали, что самолеты полностью отвечают своему назначению, как пикирующие бомбардировщики, на которых можно успешно выполнять боевые задания в условиях дня и ночи.</w:t>
      </w:r>
    </w:p>
    <w:p w14:paraId="451402F9"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За период июня-июля месяцев материальная часть самолетов работала безотказно, и по вине завода № 22 не было случаев срыва боевых заданий.</w:t>
      </w:r>
    </w:p>
    <w:p w14:paraId="2BC2EA24"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В процессе работы материальной части 150-му АП со стороны завода № 22 была оказана большая помощь по восстановлению поврежденных самолетов после боевых заданий и поломок по вине эксплуатации.</w:t>
      </w:r>
    </w:p>
    <w:p w14:paraId="6F9D3F31"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Основным недостатком в эксплуатации самолетов следует считать качество моторов, т. к. за период работы 2-х месяцев заменено 14 моторов.</w:t>
      </w:r>
    </w:p>
    <w:p w14:paraId="7E8E2C04"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Старший инженер 150-го БАП инженер-капитан Авсеев</w:t>
      </w:r>
    </w:p>
    <w:p w14:paraId="2F3B80FA"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Р-2845. Оп. 3. Д. 163 Л. 71. Подлинник (23705).</w:t>
      </w:r>
    </w:p>
    <w:p w14:paraId="18CFC37A" w14:textId="77777777" w:rsidR="0005446B" w:rsidRPr="008A2E5A" w:rsidRDefault="0005446B" w:rsidP="0005446B">
      <w:pPr>
        <w:spacing w:after="0" w:line="240" w:lineRule="auto"/>
        <w:jc w:val="both"/>
        <w:rPr>
          <w:rFonts w:ascii="Times New Roman" w:hAnsi="Times New Roman"/>
          <w:color w:val="0070C0"/>
          <w:sz w:val="16"/>
          <w:szCs w:val="16"/>
        </w:rPr>
      </w:pPr>
    </w:p>
    <w:p w14:paraId="1DFAC4A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 августа 1942 вышел приказ НКАП N 616сс в исполнение постановления ГКО от 26 июня 1942 N 2105сс о постройке реактивного истребителя-перехватчика конструкции Костикова:</w:t>
      </w:r>
    </w:p>
    <w:p w14:paraId="3856990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Организовать на базе бывшего Всесоюзного института с/х машиностроения опытный самолетный завод и именовать его N 55</w:t>
      </w:r>
    </w:p>
    <w:p w14:paraId="6D39660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55 подчинить 7 ГУ</w:t>
      </w:r>
    </w:p>
    <w:p w14:paraId="4E0BF52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Назначить:</w:t>
      </w:r>
    </w:p>
    <w:p w14:paraId="3BC7E40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 ГК завода 55 А.Г.Костикова</w:t>
      </w:r>
    </w:p>
    <w:p w14:paraId="7E84CA9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 Зам. ГК М.Р.Бисноват</w:t>
      </w:r>
    </w:p>
    <w:p w14:paraId="475D1D6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Обязать Костикова и Бисноват спроектировать и построить реактивный самолет-перехватчик в 5 экз. со след. ЛТД: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1417"/>
      </w:tblGrid>
      <w:tr w:rsidR="001E2C69" w:rsidRPr="001E2C69" w14:paraId="15F3B429" w14:textId="77777777" w:rsidTr="00CC5360">
        <w:tc>
          <w:tcPr>
            <w:tcW w:w="4219" w:type="dxa"/>
            <w:tcBorders>
              <w:top w:val="single" w:sz="12" w:space="0" w:color="auto"/>
            </w:tcBorders>
          </w:tcPr>
          <w:p w14:paraId="5A3EFAA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Макс. скорость у земли и на высоте 8000 м </w:t>
            </w:r>
          </w:p>
        </w:tc>
        <w:tc>
          <w:tcPr>
            <w:tcW w:w="1417" w:type="dxa"/>
            <w:tcBorders>
              <w:top w:val="single" w:sz="12" w:space="0" w:color="auto"/>
            </w:tcBorders>
          </w:tcPr>
          <w:p w14:paraId="3D23800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- 720 км/час</w:t>
            </w:r>
          </w:p>
        </w:tc>
      </w:tr>
      <w:tr w:rsidR="001E2C69" w:rsidRPr="001E2C69" w14:paraId="461DFDFC" w14:textId="77777777" w:rsidTr="00CC5360">
        <w:tc>
          <w:tcPr>
            <w:tcW w:w="4219" w:type="dxa"/>
          </w:tcPr>
          <w:p w14:paraId="4153490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форсажем</w:t>
            </w:r>
          </w:p>
        </w:tc>
        <w:tc>
          <w:tcPr>
            <w:tcW w:w="1417" w:type="dxa"/>
          </w:tcPr>
          <w:p w14:paraId="3325A45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- 820 км/час</w:t>
            </w:r>
          </w:p>
        </w:tc>
      </w:tr>
      <w:tr w:rsidR="001E2C69" w:rsidRPr="001E2C69" w14:paraId="6AD4C824" w14:textId="77777777" w:rsidTr="00CC5360">
        <w:tc>
          <w:tcPr>
            <w:tcW w:w="4219" w:type="dxa"/>
          </w:tcPr>
          <w:p w14:paraId="07A593B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Время набора высоты 5000 м</w:t>
            </w:r>
          </w:p>
        </w:tc>
        <w:tc>
          <w:tcPr>
            <w:tcW w:w="1417" w:type="dxa"/>
          </w:tcPr>
          <w:p w14:paraId="7620FE9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- 1.9 мин.</w:t>
            </w:r>
          </w:p>
        </w:tc>
      </w:tr>
      <w:tr w:rsidR="001E2C69" w:rsidRPr="001E2C69" w14:paraId="3FF7E1C4" w14:textId="77777777" w:rsidTr="00CC5360">
        <w:tc>
          <w:tcPr>
            <w:tcW w:w="4219" w:type="dxa"/>
          </w:tcPr>
          <w:p w14:paraId="000EF7B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Продолжительность полета на скорости</w:t>
            </w:r>
          </w:p>
        </w:tc>
        <w:tc>
          <w:tcPr>
            <w:tcW w:w="1417" w:type="dxa"/>
          </w:tcPr>
          <w:p w14:paraId="59417A26" w14:textId="77777777" w:rsidR="00AE7191" w:rsidRPr="001E2C69" w:rsidRDefault="00AE7191" w:rsidP="00722885">
            <w:pPr>
              <w:pStyle w:val="Iauiue"/>
              <w:jc w:val="both"/>
              <w:rPr>
                <w:color w:val="000000" w:themeColor="text1"/>
                <w:sz w:val="16"/>
                <w:szCs w:val="16"/>
              </w:rPr>
            </w:pPr>
          </w:p>
        </w:tc>
      </w:tr>
      <w:tr w:rsidR="001E2C69" w:rsidRPr="001E2C69" w14:paraId="41A0FB13" w14:textId="77777777" w:rsidTr="00CC5360">
        <w:tc>
          <w:tcPr>
            <w:tcW w:w="4219" w:type="dxa"/>
          </w:tcPr>
          <w:p w14:paraId="239CFB2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800 км/час на 8000 м</w:t>
            </w:r>
          </w:p>
        </w:tc>
        <w:tc>
          <w:tcPr>
            <w:tcW w:w="1417" w:type="dxa"/>
          </w:tcPr>
          <w:p w14:paraId="585B4CD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- 20 мин.</w:t>
            </w:r>
          </w:p>
        </w:tc>
      </w:tr>
      <w:tr w:rsidR="001E2C69" w:rsidRPr="001E2C69" w14:paraId="5BFF96D3" w14:textId="77777777" w:rsidTr="00CC5360">
        <w:tc>
          <w:tcPr>
            <w:tcW w:w="4219" w:type="dxa"/>
          </w:tcPr>
          <w:p w14:paraId="57CCEF9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Потолок практический</w:t>
            </w:r>
          </w:p>
        </w:tc>
        <w:tc>
          <w:tcPr>
            <w:tcW w:w="1417" w:type="dxa"/>
          </w:tcPr>
          <w:p w14:paraId="6C10CFC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- 10000 м</w:t>
            </w:r>
          </w:p>
        </w:tc>
      </w:tr>
      <w:tr w:rsidR="001E2C69" w:rsidRPr="001E2C69" w14:paraId="7767A786" w14:textId="77777777" w:rsidTr="00CC5360">
        <w:tc>
          <w:tcPr>
            <w:tcW w:w="4219" w:type="dxa"/>
            <w:tcBorders>
              <w:bottom w:val="single" w:sz="12" w:space="0" w:color="auto"/>
            </w:tcBorders>
          </w:tcPr>
          <w:p w14:paraId="774A09F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Посадочная скорость</w:t>
            </w:r>
          </w:p>
        </w:tc>
        <w:tc>
          <w:tcPr>
            <w:tcW w:w="1417" w:type="dxa"/>
            <w:tcBorders>
              <w:bottom w:val="single" w:sz="12" w:space="0" w:color="auto"/>
            </w:tcBorders>
          </w:tcPr>
          <w:p w14:paraId="6E6D6FD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- 130 км/час</w:t>
            </w:r>
          </w:p>
        </w:tc>
      </w:tr>
    </w:tbl>
    <w:p w14:paraId="5E92B09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Вооружение</w:t>
      </w:r>
    </w:p>
    <w:p w14:paraId="3C8DAD3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неподвижные пушки 20 мм с боезапасом 340 снарядов</w:t>
      </w:r>
    </w:p>
    <w:p w14:paraId="223B8D7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Самолет построить с 2 вариантами ВРД по 2 экз. каждого и 1 для стат. испытаний.</w:t>
      </w:r>
    </w:p>
    <w:p w14:paraId="61B00B8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Срок предъявления на совм. испытания: 1-го - 15 марта 1943, 2-го - 15 мая 1943 (1579,48).</w:t>
      </w:r>
    </w:p>
    <w:p w14:paraId="39B79522" w14:textId="77777777" w:rsidR="00AE7191" w:rsidRPr="001E2C69" w:rsidRDefault="00AE7191" w:rsidP="00722885">
      <w:pPr>
        <w:pStyle w:val="Iauiue"/>
        <w:jc w:val="both"/>
        <w:rPr>
          <w:color w:val="000000" w:themeColor="text1"/>
          <w:sz w:val="16"/>
          <w:szCs w:val="16"/>
        </w:rPr>
      </w:pPr>
    </w:p>
    <w:p w14:paraId="52E117A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августа 1942 г. по приказу НКАП № 616сс в соответствии с пост. ГКО № 2105сс от 26.07.1942 г. на базе частично выделенных для НИИ-3 НКАП (расположенного рядом) производственных мастерских ВИСХОМ юыл образован опытный завод № 55 в 7ГУ специально для постройки самолета «302». Оборудование для нового завода было передано из НИИ-3 и бывшего ОКБ-28 НКАП ( г. Красногорск), кадры- с заводов № 153 НКАП, № 490 НКАП и др. Работы по самолету «302» начались в 09.1942 г. Самолет строился в кооперации: крыло, центроплан и оперение- на заводе № 464 НКАП; стойки шасси- на заводе № 119 НКАП; лыжи- на заводе № 164 НКАП; агрегаты- на заводе № 462 НКАП.</w:t>
      </w:r>
    </w:p>
    <w:p w14:paraId="205688B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ОКБ-55 (или отдел № 4, т.е. КБ завода) образовано одновременно с заводом (теми же приказами). Создан самолет «302».</w:t>
      </w:r>
    </w:p>
    <w:p w14:paraId="32C79CC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 (1942-44 г.)- А. Г. Костиков, (1944-46 г.)- М.Р. Бисноват (затем- гл. конструктор ОКБ-293). (есть информация, что в 1944-45 г. Бисноват был начальником КО завода № 125 в Подольске)</w:t>
      </w:r>
    </w:p>
    <w:p w14:paraId="2ED6AFB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гл. конструктора (1942-44 г.)- М.Р. Бисноват.</w:t>
      </w:r>
    </w:p>
    <w:p w14:paraId="7D202AD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(1942 г.)- М.Р. Бисноват, (1942 г.)- А.А. Андреев.</w:t>
      </w:r>
    </w:p>
    <w:p w14:paraId="561863C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начальника (1942 г.)- А.А. Андреев (11982).</w:t>
      </w:r>
    </w:p>
    <w:p w14:paraId="00B7C174" w14:textId="77777777" w:rsidR="00AE7191" w:rsidRPr="001E2C69" w:rsidRDefault="00AE7191" w:rsidP="00722885">
      <w:pPr>
        <w:pStyle w:val="Iauiue"/>
        <w:jc w:val="both"/>
        <w:rPr>
          <w:color w:val="000000" w:themeColor="text1"/>
          <w:sz w:val="16"/>
          <w:szCs w:val="16"/>
        </w:rPr>
      </w:pPr>
    </w:p>
    <w:p w14:paraId="2485268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 августа 1942 вышел приказ НКАП N 618сс "О выделении ведущего завода 11 ГУ по планерам О.К.А.:</w:t>
      </w:r>
    </w:p>
    <w:p w14:paraId="2324DDE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целью упорядочения и сосредоточения всей работы по улучшению серийных планеров А-7 и А-2, разработке новых видов их применения и доводке опытных объектов конструкции О.К.А.:</w:t>
      </w:r>
    </w:p>
    <w:p w14:paraId="5861640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Возложить на завод 464 функции ведущего ао А-7 и А-2, а также разработке новых видов применения этих планеров</w:t>
      </w:r>
    </w:p>
    <w:p w14:paraId="2B47743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Перевести с завода 241 на 464 в Тушино ОКБ О.К.А. (1579,68).</w:t>
      </w:r>
    </w:p>
    <w:p w14:paraId="6F413F89" w14:textId="77777777" w:rsidR="00AE7191" w:rsidRPr="001E2C69" w:rsidRDefault="00AE7191" w:rsidP="00722885">
      <w:pPr>
        <w:pStyle w:val="Iauiue"/>
        <w:jc w:val="both"/>
        <w:rPr>
          <w:color w:val="000000" w:themeColor="text1"/>
          <w:sz w:val="16"/>
          <w:szCs w:val="16"/>
        </w:rPr>
      </w:pPr>
    </w:p>
    <w:p w14:paraId="352F4C6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августа 1942 г. Приказом НКАП №618 завод №464 был определен ведущим по производству планеров типа А-7 и А-2 и по их дальнейшей модификации, для этого ОКБ О.К.Антонова было переведено с завода №241 НКАП (10777).</w:t>
      </w:r>
    </w:p>
    <w:p w14:paraId="7292D8F7"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69A7BD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августа 1942 г. по приказу № 618с завод № 464 (Завод № 464 НКАП, МОП, МАП, Долгопрудненский машиностроительный завод (ДМЗ), ДМПО, Долгопрудненское научно-производственное предприятие (ДНПП), ОАО «ДНПП» /г. Тушино Московской обл.;  г. Тюмень;  г. Долгопрудный Московской обл./ /141700  г. Долгопрудный Московской обл. пл. Собина, 1 тел. 408-34-22/) был определен ведущим по производству А-7 и А-2 и по их модификации. Для этого ОКБ Антонова переведено с завода № 241 в Тушино для продолжения работ по планерам.</w:t>
      </w:r>
    </w:p>
    <w:p w14:paraId="6F8E71C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707с от 16.09.1942 г. в состав завода № 464 влиты заводы № 388 и № 457 НКАП. Профиль завода изменен: вместо А-7 началось производство самолета Як-6.</w:t>
      </w:r>
    </w:p>
    <w:p w14:paraId="46AFA46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По приказу № 789с от 19.10.1942 г. при заводе № 464 образована группа ПМ (пластмасс), в ее состав переведен коллектив ОКБ завода № 294 НКАП гл. конструктора Д.А. Михайлова.</w:t>
      </w:r>
    </w:p>
    <w:p w14:paraId="5B41E2F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174с от 27.03.1943 г. заводу № 464 переданы часть личного состава, оборудования и материалы завода № 445 НКАП.</w:t>
      </w:r>
    </w:p>
    <w:p w14:paraId="09AE2E9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416с от 14.07.1943 г. завод № 464 для улучшения условий для ремонта самолета Ли-2 перебазирован на ст. Долгопрудная Московской обл. на площадку завода № 462 НКАП и объединен с ним под названием Завод № 464 НКАП в системе Г1ГУ. Одновременно тем же приказом в Тушино на освободившуюся площадку завода № 464 переведен Завод № 289 НКАП из Молотова и завод № 380 из Калининграда. С 07.1943 г. заводу задан ремонт Як-6.</w:t>
      </w:r>
    </w:p>
    <w:p w14:paraId="7A3E74E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имел два филиала. Московский филиал завода- Красносельская мебельная фабрика Горместпрома. По приказу № 487с от 10.08.1943 г. она передана в качестве филиала № 1 заводу № 381 НКАП. Другой филиал (возможно, это Мебельная фабрика Управления делами СНК СССР) по приказу № 743с от 11.12.1943 г. также передан заводу № 3 81 НКАП в качестве филиала № 2.</w:t>
      </w:r>
    </w:p>
    <w:p w14:paraId="4916B8A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1944 г. выпущена экспериментальная партия высокоточных планирующих бомб.</w:t>
      </w:r>
      <w:r w:rsidRPr="001E2C69">
        <w:rPr>
          <w:rFonts w:ascii="Times New Roman" w:hAnsi="Times New Roman"/>
          <w:color w:val="000000" w:themeColor="text1"/>
          <w:sz w:val="16"/>
          <w:szCs w:val="16"/>
          <w:vertAlign w:val="superscript"/>
        </w:rPr>
        <w:t>104</w:t>
      </w:r>
    </w:p>
    <w:p w14:paraId="07B69B2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404с от20.10.1945гзаводс 1.10.1945 г. передан из 11ГУв 17ГУ для работ по радиоаппаратуре и электротехническим изделиям. Передан из 17ГУ в 11ГУ с 1.01.1946 г. Передан как опытный завод из 11ГУ в 7ГУ с 1.06.1946 г. Передан из 7ГУ в ИГУ с 1.07.1948 г. как серийный завод. Передан из 11ГУ в 1ГУ с 1.03.1951 г. Передан из 1ГУ в 6ГУ с 1.10.1951 г. С 07.1953 г. переведен в 9ГУ МОП. С 08.1953 г. - в 6ГУ МАП. По приказу № 268с от 19.04.1955 г. передан из 6ГУ МАП в МОП с 1.04.1955 г. В соответствии с пост. СМ СССР № 713-342 от 26.06.1957 г. передан в ведение СНХ РСФСР.</w:t>
      </w:r>
    </w:p>
    <w:p w14:paraId="036A579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419с от 2.07.1946 г. завод определен в качестве производственной базы А.С. Яковлева. Началось освоение производства планера Як-14.</w:t>
      </w:r>
    </w:p>
    <w:p w14:paraId="21AF3FC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06.1951 г. началось освоение ЗУР В-300 для системы С-25 ПВО Москвы, с 1957 г.- освоение В-750. С 1958 г.- подготовка к производству противоракеты В-1000. По решению ВПК от 4.04.1963 г. заводу поручен выпуск противоракет А-350 системы А-35 (но изготовлено лишь несколько опытных).</w:t>
      </w:r>
    </w:p>
    <w:p w14:paraId="5B2F96A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03.1958 г. при заводе создано ОКБ.</w:t>
      </w:r>
    </w:p>
    <w:p w14:paraId="4BB3762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01.1964 г. началось освоение производства Ан-2М.</w:t>
      </w:r>
    </w:p>
    <w:p w14:paraId="3EC9CA0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1953  г. назывался Долгопруденский машиностроительный завод. В 1991 г. переименован в ДНПП. В 2002 г.- ОАО «ДНПП». В его состав входят (2002 г.): Долгопруденский машиностроительный завод, Воскресенский агрегатный завод, Кимовский завод металлоизделий. По решению правительства № 22-р от 9.01.2004 г. вошло в перечень стратегических предприятий.</w:t>
      </w:r>
    </w:p>
    <w:p w14:paraId="5E58706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(-02-07.1943 г.-)- П.П. Перовский, (12.1943 г.)- М.И. Шелухин, (-02-11.1944 г.-)- А.В. Агурьев, (-02- 05.1945 г.-)- И.М. Шпаков, (-03.1946-49 г.-)- Борисов, (1959 г.)- И.В. Дорошенко. Гендиректор (1990-е)-  Г.М. Мордвинов, (1999 г.)- В.П. Эктов,</w:t>
      </w:r>
      <w:r w:rsidRPr="001E2C69">
        <w:rPr>
          <w:rFonts w:ascii="Times New Roman" w:hAnsi="Times New Roman"/>
          <w:color w:val="000000" w:themeColor="text1"/>
          <w:sz w:val="16"/>
          <w:szCs w:val="16"/>
          <w:vertAlign w:val="superscript"/>
        </w:rPr>
        <w:t>58</w:t>
      </w:r>
      <w:r w:rsidRPr="001E2C69">
        <w:rPr>
          <w:rFonts w:ascii="Times New Roman" w:hAnsi="Times New Roman"/>
          <w:color w:val="000000" w:themeColor="text1"/>
          <w:sz w:val="16"/>
          <w:szCs w:val="16"/>
        </w:rPr>
        <w:t xml:space="preserve"> (1999-2006 г.-)-  Г.П. Ежов.</w:t>
      </w:r>
    </w:p>
    <w:p w14:paraId="01DCA43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гендиректора: (2004 г.)- В.Г1. Эктов, (2009 г.)- В. Аверчук; по финансово-экономическим вопросам (- 1999 г.)-  Г.П. Ежов; по режиму и охране-  Г.П. Ежов.</w:t>
      </w:r>
    </w:p>
    <w:p w14:paraId="08949D7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Гл. конструктор (07.1941 г.-)- </w:t>
      </w:r>
      <w:r w:rsidRPr="001E2C69">
        <w:rPr>
          <w:rFonts w:ascii="Times New Roman" w:hAnsi="Times New Roman"/>
          <w:color w:val="000000" w:themeColor="text1"/>
          <w:sz w:val="16"/>
          <w:szCs w:val="16"/>
          <w:lang w:val="en-US"/>
        </w:rPr>
        <w:t>O</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K</w:t>
      </w:r>
      <w:r w:rsidRPr="001E2C69">
        <w:rPr>
          <w:rFonts w:ascii="Times New Roman" w:hAnsi="Times New Roman"/>
          <w:color w:val="000000" w:themeColor="text1"/>
          <w:sz w:val="16"/>
          <w:szCs w:val="16"/>
        </w:rPr>
        <w:t>. Антонов, (07.1946-47 г.)- А.С. Яковлев. Ген. конструктор (-1999-2004 г.-)- В.П. Эктов.</w:t>
      </w:r>
      <w:r w:rsidRPr="001E2C69">
        <w:rPr>
          <w:rFonts w:ascii="Times New Roman" w:hAnsi="Times New Roman"/>
          <w:color w:val="000000" w:themeColor="text1"/>
          <w:sz w:val="16"/>
          <w:szCs w:val="16"/>
          <w:vertAlign w:val="superscript"/>
        </w:rPr>
        <w:t>69</w:t>
      </w:r>
    </w:p>
    <w:p w14:paraId="486881C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(2004 г.)- А.П. Коробов.</w:t>
      </w:r>
    </w:p>
    <w:p w14:paraId="6C482AB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цехов: (2004 г.)- В.В. Кононов.</w:t>
      </w:r>
    </w:p>
    <w:p w14:paraId="279C9C0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Ведущие конструкторы: (2004 г.)- А.П. Булашевич, (2004 г.)- В.В. Соков.</w:t>
      </w:r>
    </w:p>
    <w:p w14:paraId="3E1BA79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 xml:space="preserve"> планер А-7 (1941-42);</w:t>
      </w:r>
      <w:r w:rsidRPr="001E2C69">
        <w:rPr>
          <w:rFonts w:ascii="Times New Roman" w:hAnsi="Times New Roman"/>
          <w:iCs/>
          <w:color w:val="000000" w:themeColor="text1"/>
          <w:sz w:val="16"/>
          <w:szCs w:val="16"/>
        </w:rPr>
        <w:t xml:space="preserve"> самолеты:</w:t>
      </w:r>
      <w:r w:rsidRPr="001E2C69">
        <w:rPr>
          <w:rFonts w:ascii="Times New Roman" w:hAnsi="Times New Roman"/>
          <w:color w:val="000000" w:themeColor="text1"/>
          <w:sz w:val="16"/>
          <w:szCs w:val="16"/>
        </w:rPr>
        <w:t xml:space="preserve"> Як-6 (1942-43)- 50, У-2 (1943-45)- 1364, Як-14, Як-10 (1946)- 2, Як-12 (1948-51), Як-15УТ, Як-16, Ан-2М (1966-71)- 506;</w:t>
      </w:r>
      <w:r w:rsidRPr="001E2C69">
        <w:rPr>
          <w:rFonts w:ascii="Times New Roman" w:hAnsi="Times New Roman"/>
          <w:iCs/>
          <w:color w:val="000000" w:themeColor="text1"/>
          <w:sz w:val="16"/>
          <w:szCs w:val="16"/>
        </w:rPr>
        <w:t xml:space="preserve"> ЗУР:</w:t>
      </w:r>
      <w:r w:rsidRPr="001E2C69">
        <w:rPr>
          <w:rFonts w:ascii="Times New Roman" w:hAnsi="Times New Roman"/>
          <w:color w:val="000000" w:themeColor="text1"/>
          <w:sz w:val="16"/>
          <w:szCs w:val="16"/>
        </w:rPr>
        <w:t xml:space="preserve"> В-300 («205», 1952-54), «207А» (1954-57), В-750 (1957-58), В-750В (1959-60), В-755 (1961-), 13Д (1960), ЗМ9 для ЗРК «Куб» (1967-), ЗМ9М1 для «Куб-М1» (1972- ), ЗМ9МЗ для «Куб-МЗ» (1975-), 9М38 для ЗРК «Бук» (1977-), 9М38М1 для «Бук-М1» и «Штиль» (1982-2003-), 9М317 для ЗРК «Бук-М1-2» (1994-2003-);</w:t>
      </w:r>
      <w:r w:rsidRPr="001E2C69">
        <w:rPr>
          <w:rFonts w:ascii="Times New Roman" w:hAnsi="Times New Roman"/>
          <w:iCs/>
          <w:color w:val="000000" w:themeColor="text1"/>
          <w:sz w:val="16"/>
          <w:szCs w:val="16"/>
        </w:rPr>
        <w:t xml:space="preserve"> УР:</w:t>
      </w:r>
      <w:r w:rsidRPr="001E2C69">
        <w:rPr>
          <w:rFonts w:ascii="Times New Roman" w:hAnsi="Times New Roman"/>
          <w:color w:val="000000" w:themeColor="text1"/>
          <w:sz w:val="16"/>
          <w:szCs w:val="16"/>
        </w:rPr>
        <w:t xml:space="preserve"> Р-33 (1981-);</w:t>
      </w:r>
      <w:r w:rsidRPr="001E2C69">
        <w:rPr>
          <w:rFonts w:ascii="Times New Roman" w:hAnsi="Times New Roman"/>
          <w:iCs/>
          <w:color w:val="000000" w:themeColor="text1"/>
          <w:sz w:val="16"/>
          <w:szCs w:val="16"/>
        </w:rPr>
        <w:t xml:space="preserve"> противоракеты:</w:t>
      </w:r>
      <w:r w:rsidRPr="001E2C69">
        <w:rPr>
          <w:rFonts w:ascii="Times New Roman" w:hAnsi="Times New Roman"/>
          <w:color w:val="000000" w:themeColor="text1"/>
          <w:sz w:val="16"/>
          <w:szCs w:val="16"/>
        </w:rPr>
        <w:t xml:space="preserve"> В-1000 (1959-62) -100, А-350Ж (1963), В-825 (5Я27, 1969-73)- 20; стрелковые установки ГП-9, СППУ-22, УПК-23 (1980-е); пусковая установка АПУ-60-</w:t>
      </w:r>
      <w:r w:rsidRPr="001E2C69">
        <w:rPr>
          <w:rFonts w:ascii="Times New Roman" w:hAnsi="Times New Roman"/>
          <w:color w:val="000000" w:themeColor="text1"/>
          <w:sz w:val="16"/>
          <w:szCs w:val="16"/>
          <w:lang w:val="en-US"/>
        </w:rPr>
        <w:t>II</w:t>
      </w:r>
      <w:r w:rsidRPr="001E2C69">
        <w:rPr>
          <w:rFonts w:ascii="Times New Roman" w:hAnsi="Times New Roman"/>
          <w:color w:val="000000" w:themeColor="text1"/>
          <w:sz w:val="16"/>
          <w:szCs w:val="16"/>
        </w:rPr>
        <w:t xml:space="preserve"> для Р-60; пороховые двигатели: ПРД-18М и ПРД-58 для В-750, ПРД-290 для В-755, ПРД-45 для В-625; корпуса РДТТ 5С47 для А-350 (1960-е); корректируемая авиабомба КАБ-500 (2003); программные блоки ракет- мишеней ЗМ20МЗ, запчасти для ракет ЗМ9МЗ и торпед (2003); передвижная контрольно-испытательная станция (КИПС) 5К45; система стартовой автоматики и обмена информацией стартовых комплексов; радиоприемники «Маршалл» (1945-);</w:t>
      </w:r>
      <w:r w:rsidRPr="001E2C69">
        <w:rPr>
          <w:rFonts w:ascii="Times New Roman" w:hAnsi="Times New Roman"/>
          <w:color w:val="000000" w:themeColor="text1"/>
          <w:sz w:val="16"/>
          <w:szCs w:val="16"/>
          <w:vertAlign w:val="superscript"/>
        </w:rPr>
        <w:t>101</w:t>
      </w:r>
      <w:r w:rsidRPr="001E2C69">
        <w:rPr>
          <w:rFonts w:ascii="Times New Roman" w:hAnsi="Times New Roman"/>
          <w:color w:val="000000" w:themeColor="text1"/>
          <w:sz w:val="16"/>
          <w:szCs w:val="16"/>
        </w:rPr>
        <w:t xml:space="preserve"> пассажирские кресла для ж/д вагонов (2009).</w:t>
      </w:r>
    </w:p>
    <w:p w14:paraId="45FA2CC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Ремонт:</w:t>
      </w:r>
      <w:r w:rsidRPr="001E2C69">
        <w:rPr>
          <w:rFonts w:ascii="Times New Roman" w:hAnsi="Times New Roman"/>
          <w:color w:val="000000" w:themeColor="text1"/>
          <w:sz w:val="16"/>
          <w:szCs w:val="16"/>
        </w:rPr>
        <w:t xml:space="preserve"> Як-6 (1943-).</w:t>
      </w:r>
    </w:p>
    <w:p w14:paraId="2994494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Заводской №:</w:t>
      </w:r>
      <w:r w:rsidRPr="001E2C69">
        <w:rPr>
          <w:rFonts w:ascii="Times New Roman" w:hAnsi="Times New Roman"/>
          <w:color w:val="000000" w:themeColor="text1"/>
          <w:sz w:val="16"/>
          <w:szCs w:val="16"/>
        </w:rPr>
        <w:t xml:space="preserve"> Ан-2М</w:t>
      </w:r>
      <w:r w:rsidRPr="001E2C69">
        <w:rPr>
          <w:rFonts w:ascii="Times New Roman" w:hAnsi="Times New Roman"/>
          <w:iCs/>
          <w:color w:val="000000" w:themeColor="text1"/>
          <w:sz w:val="16"/>
          <w:szCs w:val="16"/>
        </w:rPr>
        <w:t xml:space="preserve"> № 600810:</w:t>
      </w:r>
      <w:r w:rsidRPr="001E2C69">
        <w:rPr>
          <w:rFonts w:ascii="Times New Roman" w:hAnsi="Times New Roman"/>
          <w:color w:val="000000" w:themeColor="text1"/>
          <w:sz w:val="16"/>
          <w:szCs w:val="16"/>
        </w:rPr>
        <w:t xml:space="preserve"> 6- год выпуска, 008- серия, 10- № самолета в серии.</w:t>
      </w:r>
    </w:p>
    <w:p w14:paraId="38CBD5C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ОКБ завода № 464 гл. конструктора </w:t>
      </w:r>
      <w:r w:rsidRPr="001E2C69">
        <w:rPr>
          <w:rFonts w:ascii="Times New Roman" w:hAnsi="Times New Roman"/>
          <w:color w:val="000000" w:themeColor="text1"/>
          <w:sz w:val="16"/>
          <w:szCs w:val="16"/>
          <w:lang w:val="en-US"/>
        </w:rPr>
        <w:t>O</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K</w:t>
      </w:r>
      <w:r w:rsidRPr="001E2C69">
        <w:rPr>
          <w:rFonts w:ascii="Times New Roman" w:hAnsi="Times New Roman"/>
          <w:color w:val="000000" w:themeColor="text1"/>
          <w:sz w:val="16"/>
          <w:szCs w:val="16"/>
        </w:rPr>
        <w:t>. Антонова</w:t>
      </w:r>
    </w:p>
    <w:p w14:paraId="7ED3FFF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618с от 12.08.1942 г. ОКБ Антонова переведено с завода № 241 в Тушино на завод № 464 для продолжения работ по планерам А-7 (РФ-8) и А-2 (УС-6). Велись также работы по планерам А-Т, А-ИП (ВП) и А- БП (ВПБ). ОКБ привлекалось к работам по тематике группы Д.А. Михайлова.</w:t>
      </w:r>
    </w:p>
    <w:p w14:paraId="2610739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09.1942 г. работы по планерам приостановлены. Антонов в 1943-46 г. работал в ОКБ Яковлева.</w:t>
      </w:r>
    </w:p>
    <w:p w14:paraId="602E2F7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Группа «ПМ» при заводе № 464 НКАП</w:t>
      </w:r>
    </w:p>
    <w:p w14:paraId="66DF74A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Образована по приказу № 789с от 19.10.1942 г. для проектирования самолетных и планерных агрегатов и деталей из пластмасс. Тем же приказом в состав группы переведен коллектив ОКБ ПМ гл. конструктора Д.А. Михайлова со всем оборудованием и заделами с завода № 294 НКАП (филиал завода № 22 НКАП).</w:t>
      </w:r>
    </w:p>
    <w:p w14:paraId="258BA3C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w:t>
      </w:r>
    </w:p>
    <w:p w14:paraId="7917EDF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ОКБ завода № 464</w:t>
      </w:r>
    </w:p>
    <w:p w14:paraId="2610747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Создано 10.03.1958 г. для разработки и внедрения в серию ЗУР для систем ПВО и ПРО.</w:t>
      </w:r>
    </w:p>
    <w:p w14:paraId="6051F14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Спроектирован и испытан ряд экспериментальных ракет для проведения НИР по заказу ЦАГИ, ЛИИ, ЦИАМ. С 09.1959 г.- разработка 2Я2ТА, по решению ВПК от 21.12.1959 г. создавалась С1А, по решению ВПК от 23.05.1961 г.-Я2ТА, в 1963 г. создана 1Я2ТА.</w:t>
      </w:r>
    </w:p>
    <w:p w14:paraId="42A2BD3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1958-60 г.- разработка ракеты для системы ПРО «Сатурн». В 1960 г. по инициативе П.Д. Грушина и директора завода И.В. Дорошенко работы были прекращены.</w:t>
      </w:r>
    </w:p>
    <w:p w14:paraId="7840A65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1970 г. принимало участие в разработке ЗУР и стартовой автоматики для ЗРК «Бук». В 1994-97 г. совместно с НИИП им. Тихомирова и Ульяновским механическим заводом разработан ЗРК «Бук-М1-2» и ракета 9МЗ17.</w:t>
      </w:r>
    </w:p>
    <w:p w14:paraId="633A318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Работы (2005 г.): разработка ракет 9МЗ17М, 9МЗ17А, 9МЗ17МА.</w:t>
      </w:r>
    </w:p>
    <w:p w14:paraId="4A8A93F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(1958-61 г.)- Л. Г. Головин (снят).</w:t>
      </w:r>
    </w:p>
    <w:p w14:paraId="415AF34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 (-1961 г.)- Л. Г. Головин, (1961 г.-)- М.А. Любомудров.</w:t>
      </w:r>
    </w:p>
    <w:p w14:paraId="5933930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конструкторы: В.П. Эктов (9М317).</w:t>
      </w:r>
    </w:p>
    <w:p w14:paraId="2A9C622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Создано: ЗУР:</w:t>
      </w:r>
      <w:r w:rsidRPr="001E2C69">
        <w:rPr>
          <w:rFonts w:ascii="Times New Roman" w:hAnsi="Times New Roman"/>
          <w:color w:val="000000" w:themeColor="text1"/>
          <w:sz w:val="16"/>
          <w:szCs w:val="16"/>
        </w:rPr>
        <w:t xml:space="preserve"> 9М38М1, 9М317; исследовательские ракеты Я2ТА, 1Я2ТА, 2Я2ТА, С1А на базе В-1000; передвижная контрольно-испытательная станция (КИПС) 5К45 для войск ПВО; система стартовой автоматики и обмена информацией стартовых комплексов сухопутных и морских ракет.</w:t>
      </w:r>
    </w:p>
    <w:p w14:paraId="4C6DB67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ФГУП «Воскресенский государственный казенный агрегатный завод» /ст. Фаустово Московской обл. тел. 556-07-47/</w:t>
      </w:r>
    </w:p>
    <w:p w14:paraId="27FD3C8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Входил в ОАО «ДНПП» (2002 г.). По Указу Президента РФ № 1009 от 4.08.2004 г. вошло в перечень стратегических оборонных предприятий.</w:t>
      </w:r>
    </w:p>
    <w:p w14:paraId="390816A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Кнмовский завод металлоизделий /г. Кимовск Тульской обл./</w:t>
      </w:r>
    </w:p>
    <w:p w14:paraId="065AF2E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Входил в ОАО «ДНПП» (2002 г.) (11982).</w:t>
      </w:r>
    </w:p>
    <w:p w14:paraId="6A25F5D0"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4D54219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августа 1942 г. по приказу № 618с ОКБ Антонова переведено с завода № 241 в Тушино на завод № 464 НКАП для продолжения работ по планерам (11982).</w:t>
      </w:r>
    </w:p>
    <w:p w14:paraId="2F99E025"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D38C50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августа 1942 г. по приказу № 618с ОКБ Антонова переведено с завода № 241 в Тушино на завод № 464 для продолжения работ по планерам А-7 (РФ-8) и А-2 (УС-6). Велись также работы по планерам А-Т, А-ИП (ВП) и А- БП (ВПБ). ОКБ привлекалось к работам по тематике группы Д.А. Михайлова.</w:t>
      </w:r>
    </w:p>
    <w:p w14:paraId="45EC8D3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09.1942 г. работы по планерам приостановлены. Антонов в 1943-46 г. работал в ОКБ Яковлева (11982).</w:t>
      </w:r>
    </w:p>
    <w:p w14:paraId="1EF25CBC"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2DC656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 августа 1942 вышел приказ НКАП № 613с О ликвидации деятельности бывшего з-да 458 (Баку).</w:t>
      </w:r>
    </w:p>
    <w:p w14:paraId="6C2AD05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Шахурин (1579, 26).</w:t>
      </w:r>
    </w:p>
    <w:p w14:paraId="4188AFF1" w14:textId="77777777" w:rsidR="00AE7191" w:rsidRPr="001E2C69" w:rsidRDefault="00AE7191" w:rsidP="00722885">
      <w:pPr>
        <w:pStyle w:val="Iauiue"/>
        <w:jc w:val="both"/>
        <w:rPr>
          <w:color w:val="000000" w:themeColor="text1"/>
          <w:sz w:val="16"/>
          <w:szCs w:val="16"/>
        </w:rPr>
      </w:pPr>
    </w:p>
    <w:p w14:paraId="33D28BE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августа 1943 директор завода № 600 В.С.Еськов писал:</w:t>
      </w:r>
    </w:p>
    <w:p w14:paraId="2F4D6D6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СЕКРЕТНО</w:t>
      </w:r>
    </w:p>
    <w:p w14:paraId="486B4F3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НАРОДНОМУ КОМИССАРУ АВИАЦИОННОЙ ПРОМЫШЛЕН</w:t>
      </w:r>
      <w:r w:rsidRPr="001E2C69">
        <w:rPr>
          <w:rFonts w:ascii="Times New Roman" w:hAnsi="Times New Roman"/>
          <w:color w:val="000000" w:themeColor="text1"/>
          <w:sz w:val="16"/>
          <w:szCs w:val="16"/>
        </w:rPr>
        <w:softHyphen/>
        <w:t>НОСТИ СОЮЗА ССР тов. ШАХУРИНУА. И.</w:t>
      </w:r>
    </w:p>
    <w:p w14:paraId="57CA539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ДОКЛАДНАЯ ЗАПИСКА о ходе эвакуации завода № 600</w:t>
      </w:r>
    </w:p>
    <w:p w14:paraId="07F659B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На основании Вашего телеграфного распоряжения от 7-го мая 1943 года, завод немедленно приступил к демонтажу и упаковке оборудования в последовательности, указанной Вами. До 1 -го июня с.г. полностью был произведён демонтаж оборудования основного производства и подготовлен инструмент для отправки в Советский Союз. В течение июня м-ца произведён демонтаж и упаковка общезаводского оборудования, а также одновременно производилась погрузка и отправка имущества завода в Советский Союз. В мае и начале июня м-цев с завода была направлена группа работников завода, имеющих заграничные паспорта в гор. Алма-Ата и ст. Сары-Озек. Остальные работники в течение мая и июня месяцев были заняты на демонтаже оборудования и упаковке заводского имущества. После Вашего указания об эвакуации завода заводской транспорт немедленно приступил к перевозкам оборудования и работников в Сов. Союз. С 25-го мая с.г. приступила к вывозке </w:t>
      </w:r>
      <w:r w:rsidRPr="001E2C69">
        <w:rPr>
          <w:rFonts w:ascii="Times New Roman" w:hAnsi="Times New Roman"/>
          <w:color w:val="000000" w:themeColor="text1"/>
          <w:sz w:val="16"/>
          <w:szCs w:val="16"/>
        </w:rPr>
        <w:lastRenderedPageBreak/>
        <w:t>оборудования воинская часть 8285, которая до 12 июля подала под заводской груз 1108 трёхтонных и пятитонных автомашин. К 12 июля, в основном, было вывезено всё заводское имущество, исключая тяжеловесы и длинномеры, которые до сего времени не вывозит воинская часть № 8285.</w:t>
      </w:r>
    </w:p>
    <w:p w14:paraId="10DCBDB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моменту ликвидации завода на последнем находилось около 1000 командированных работников с членами семей, в том числе 350 «упрощенцев», не имеющих загранпаспортов, а также около 800 местных жителей, подлежащих, согласно указанию товарища Молотова, вывозу в Союз. Командированные начали выезжать в Союз в конце мая, т.е. после получения Вашего указания об этом. До второй половины июля «упрощенны» не могли выезжать в Союз, т.к. местные власти не давали им выездные визы.</w:t>
      </w:r>
    </w:p>
    <w:p w14:paraId="7F66CF1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середине июля нам удалось неле</w:t>
      </w:r>
      <w:r w:rsidRPr="001E2C69">
        <w:rPr>
          <w:rFonts w:ascii="Times New Roman" w:hAnsi="Times New Roman"/>
          <w:color w:val="000000" w:themeColor="text1"/>
          <w:sz w:val="16"/>
          <w:szCs w:val="16"/>
        </w:rPr>
        <w:softHyphen/>
        <w:t>гально от местных властей вывезти со спецкараваном 42 «упрощенца» - одиноч</w:t>
      </w:r>
      <w:r w:rsidRPr="001E2C69">
        <w:rPr>
          <w:rFonts w:ascii="Times New Roman" w:hAnsi="Times New Roman"/>
          <w:color w:val="000000" w:themeColor="text1"/>
          <w:sz w:val="16"/>
          <w:szCs w:val="16"/>
        </w:rPr>
        <w:softHyphen/>
        <w:t>ки. Остальная часть «упрощенцев» нача</w:t>
      </w:r>
      <w:r w:rsidRPr="001E2C69">
        <w:rPr>
          <w:rFonts w:ascii="Times New Roman" w:hAnsi="Times New Roman"/>
          <w:color w:val="000000" w:themeColor="text1"/>
          <w:sz w:val="16"/>
          <w:szCs w:val="16"/>
        </w:rPr>
        <w:softHyphen/>
        <w:t>ла выезжать в Союз во второй половине июля. Сейчас «упрощенцев» на заводе всего лишь несколько человек.</w:t>
      </w:r>
    </w:p>
    <w:p w14:paraId="2623E61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Первый самолёт с местными рабочими завода вылетел в Союз только 25.УП.1943 г. С 1.УШ. с.г. местные рабо</w:t>
      </w:r>
      <w:r w:rsidRPr="001E2C69">
        <w:rPr>
          <w:rFonts w:ascii="Times New Roman" w:hAnsi="Times New Roman"/>
          <w:color w:val="000000" w:themeColor="text1"/>
          <w:sz w:val="16"/>
          <w:szCs w:val="16"/>
        </w:rPr>
        <w:softHyphen/>
        <w:t>чие вывозятся только одним самолётом ТБ-3. По состоянию на 13.УШ. с.г вывезено всего лишь 321 человек местных жителей.</w:t>
      </w:r>
    </w:p>
    <w:p w14:paraId="4A3E214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основании вышеуказанного, про</w:t>
      </w:r>
      <w:r w:rsidRPr="001E2C69">
        <w:rPr>
          <w:rFonts w:ascii="Times New Roman" w:hAnsi="Times New Roman"/>
          <w:color w:val="000000" w:themeColor="text1"/>
          <w:sz w:val="16"/>
          <w:szCs w:val="16"/>
        </w:rPr>
        <w:softHyphen/>
        <w:t>шу Вашего указания о немедленном вы</w:t>
      </w:r>
      <w:r w:rsidRPr="001E2C69">
        <w:rPr>
          <w:rFonts w:ascii="Times New Roman" w:hAnsi="Times New Roman"/>
          <w:color w:val="000000" w:themeColor="text1"/>
          <w:sz w:val="16"/>
          <w:szCs w:val="16"/>
        </w:rPr>
        <w:softHyphen/>
        <w:t>делении дополнительно двух самолётов для переброски местных жителей, а так</w:t>
      </w:r>
      <w:r w:rsidRPr="001E2C69">
        <w:rPr>
          <w:rFonts w:ascii="Times New Roman" w:hAnsi="Times New Roman"/>
          <w:color w:val="000000" w:themeColor="text1"/>
          <w:sz w:val="16"/>
          <w:szCs w:val="16"/>
        </w:rPr>
        <w:softHyphen/>
        <w:t>же ускорить решение о немедленном вывозе длинномеров и тяжеловесов</w:t>
      </w:r>
    </w:p>
    <w:p w14:paraId="4C8F410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ЗАВОДА (В.ЕСЬКОВ) 12 августа 1943 г. (</w:t>
      </w:r>
      <w:r w:rsidRPr="001E2C69">
        <w:rPr>
          <w:rFonts w:ascii="Times New Roman" w:hAnsi="Times New Roman"/>
          <w:iCs/>
          <w:color w:val="000000" w:themeColor="text1"/>
          <w:sz w:val="16"/>
          <w:szCs w:val="16"/>
        </w:rPr>
        <w:t>Публикация документов Юлии БЕЛЬЧИЧ</w:t>
      </w:r>
      <w:r w:rsidRPr="001E2C69">
        <w:rPr>
          <w:rFonts w:ascii="Times New Roman" w:hAnsi="Times New Roman"/>
          <w:color w:val="000000" w:themeColor="text1"/>
          <w:sz w:val="16"/>
          <w:szCs w:val="16"/>
        </w:rPr>
        <w:t xml:space="preserve"> // Техника-Молодежи, 2009, № 8. с. 51).</w:t>
      </w:r>
    </w:p>
    <w:p w14:paraId="2EBDEDF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475F5A26" w14:textId="77777777" w:rsidR="00B779AB" w:rsidRPr="001E2C69" w:rsidRDefault="00B779AB"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августа 1942</w:t>
      </w:r>
    </w:p>
    <w:p w14:paraId="301244D7" w14:textId="77777777" w:rsidR="00B779AB" w:rsidRPr="001E2C69" w:rsidRDefault="00B779AB"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Секретарь Ленинградского горкома ВКП(б) Капустин</w:t>
      </w:r>
    </w:p>
    <w:p w14:paraId="47E7A833" w14:textId="77777777" w:rsidR="00B779AB" w:rsidRPr="001E2C69" w:rsidRDefault="00B779AB"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Секретарь ГК ВКП(б) по оборонной промышленности Басов.</w:t>
      </w:r>
    </w:p>
    <w:p w14:paraId="1D2C79EE" w14:textId="77777777" w:rsidR="00B779AB" w:rsidRPr="001E2C69" w:rsidRDefault="00B779AB"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Секретарям Ленинградского Горкома ВКП(б)</w:t>
      </w:r>
    </w:p>
    <w:p w14:paraId="4E4E6B4A" w14:textId="77777777" w:rsidR="00B779AB" w:rsidRPr="001E2C69" w:rsidRDefault="00B779AB"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Тов. Жданову А. А.</w:t>
      </w:r>
    </w:p>
    <w:p w14:paraId="3176C8D4" w14:textId="77777777" w:rsidR="00B779AB" w:rsidRPr="001E2C69" w:rsidRDefault="00B779AB"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Тов. Кузнецову А. А.</w:t>
      </w:r>
    </w:p>
    <w:p w14:paraId="350349C7" w14:textId="77777777" w:rsidR="00B779AB" w:rsidRPr="001E2C69" w:rsidRDefault="00B779AB"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Тов. Капустину Я. Ф.</w:t>
      </w:r>
    </w:p>
    <w:p w14:paraId="5A322C2F" w14:textId="77777777" w:rsidR="00B779AB" w:rsidRPr="001E2C69" w:rsidRDefault="00B779AB" w:rsidP="00722885">
      <w:pPr>
        <w:shd w:val="clear" w:color="auto" w:fill="FFFFFF"/>
        <w:spacing w:after="0" w:line="240" w:lineRule="auto"/>
        <w:jc w:val="both"/>
        <w:rPr>
          <w:rFonts w:ascii="Times New Roman" w:hAnsi="Times New Roman"/>
          <w:bCs/>
          <w:color w:val="000000" w:themeColor="text1"/>
          <w:sz w:val="16"/>
          <w:szCs w:val="16"/>
        </w:rPr>
      </w:pPr>
      <w:r w:rsidRPr="001E2C69">
        <w:rPr>
          <w:rFonts w:ascii="Times New Roman" w:hAnsi="Times New Roman"/>
          <w:bCs/>
          <w:color w:val="000000" w:themeColor="text1"/>
          <w:sz w:val="16"/>
          <w:szCs w:val="16"/>
        </w:rPr>
        <w:t>Справка о результатах испытания МТВ-280 и МТВ-320 на АНИОПе</w:t>
      </w:r>
    </w:p>
    <w:p w14:paraId="51D5FF8F" w14:textId="77777777" w:rsidR="00B779AB" w:rsidRPr="001E2C69" w:rsidRDefault="00B779AB"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Сегодня 12 августа на АНИОПе был проведены очередные испытания МТВ-280 и МТВ-320 в количестве 8 штук, снаряженные заводом №522 следующими составами:</w:t>
      </w:r>
    </w:p>
    <w:p w14:paraId="19B9EDCA" w14:textId="77777777" w:rsidR="00B779AB" w:rsidRPr="001E2C69" w:rsidRDefault="00B779AB"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шт. МТВ-320 жидкостным зажигательным составом;</w:t>
      </w:r>
    </w:p>
    <w:p w14:paraId="0CE413E3" w14:textId="77777777" w:rsidR="00B779AB" w:rsidRPr="001E2C69" w:rsidRDefault="00B779AB"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шт. МТВ-320 и 1 шт МТВ-280 термитными сегментами;</w:t>
      </w:r>
    </w:p>
    <w:p w14:paraId="24DB931B" w14:textId="77777777" w:rsidR="00B779AB" w:rsidRPr="001E2C69" w:rsidRDefault="00B779AB"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шт. МТВ-280 (фугасные) тротилом.</w:t>
      </w:r>
    </w:p>
    <w:p w14:paraId="16A729A9" w14:textId="77777777" w:rsidR="00B779AB" w:rsidRPr="001E2C69" w:rsidRDefault="00B779AB"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Испытания показали, что:</w:t>
      </w:r>
    </w:p>
    <w:p w14:paraId="25F5EA60" w14:textId="77777777" w:rsidR="00B779AB" w:rsidRPr="001E2C69" w:rsidRDefault="00B779AB"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Выпущенные 3 мины МТВ-320, снаряженные жидкостным зажигательным составом (смесь нитроклетчатки с бензином, соляровым маслом и бертолетовой солью), показали хороший результат воспламенения жидкости с большим поражением площади горящей смесью. Огнём была охвачена площадь, насчитывающая до 50 и больше очагов зажигания. Все три мины сработали хорошо и показали удовлетворительные результаты.</w:t>
      </w:r>
    </w:p>
    <w:p w14:paraId="662D1E45" w14:textId="77777777" w:rsidR="00B779AB" w:rsidRPr="001E2C69" w:rsidRDefault="00B779AB"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Мины МТВ, снаряженные термитными сегментами, являются комбинированными минами фугасно-зажигательного действия. Выпущенные 2 шт. МТВ-320 и 1 шт. МТВ-280 сработали хорошо и дали большой разброс горящих термитных сегментов, образовав большое количество пожаров на местности. Отдельные сегменты разбрасывались от места взрыва до 300 метров. При разрыве мины образовалась воронка до 1 метра глубиной и 2 метров в диаметре.</w:t>
      </w:r>
    </w:p>
    <w:p w14:paraId="6BEF1C26" w14:textId="77777777" w:rsidR="00B779AB" w:rsidRPr="001E2C69" w:rsidRDefault="00B779AB"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С целью получения повышенной дальности мин МТВ-280 заводом №522 был изменён метод снаряжения, заливка мины тротилом заменена засыпкой, что облегчило её вес до 17 кг.</w:t>
      </w:r>
    </w:p>
    <w:p w14:paraId="4F17CAE6" w14:textId="77777777" w:rsidR="00B779AB" w:rsidRPr="001E2C69" w:rsidRDefault="00B779AB"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Результаты стрельбы показали: дальность полёта 1 мины – 3100 метров и 2 мины – 3400 метров. По величине образовавшихся воронок можно судить, что сила взрыва немногим уступает минам, снаряженным путём заливки. Таким образом, испытание показало возможность резкого увеличения дальности полёта мин МТВ-280, не вводя никаких конструктивных изменений.</w:t>
      </w:r>
    </w:p>
    <w:p w14:paraId="5ECFC560" w14:textId="77777777" w:rsidR="00B779AB" w:rsidRPr="001E2C69" w:rsidRDefault="00B779AB"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Заводу и полигону дано указание немедленно приступить к окончательной отработке технологии снаряжения и составления таблицы стрельбы на дальние дистанции.</w:t>
      </w:r>
    </w:p>
    <w:p w14:paraId="63D3DC53" w14:textId="77777777" w:rsidR="00B779AB" w:rsidRPr="001E2C69" w:rsidRDefault="00B779AB"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Подробные результаты испытаний будут представлены АНИОПом особо.</w:t>
      </w:r>
    </w:p>
    <w:p w14:paraId="51B83DEF" w14:textId="77777777" w:rsidR="00B779AB" w:rsidRPr="001E2C69" w:rsidRDefault="00B779AB"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Секретарь ГК ВКП(б) по оборонной промышленности Басов (подпись)</w:t>
      </w:r>
    </w:p>
    <w:p w14:paraId="242CD53D" w14:textId="77777777" w:rsidR="00B779AB" w:rsidRPr="001E2C69" w:rsidRDefault="00B779AB"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 Отделом оборонной промышленности ГК ВКП(б) Корочин.</w:t>
      </w:r>
    </w:p>
    <w:p w14:paraId="66FD4FB6" w14:textId="77777777" w:rsidR="00B779AB" w:rsidRPr="001E2C69" w:rsidRDefault="00B779AB"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Боевое применение</w:t>
      </w:r>
    </w:p>
    <w:p w14:paraId="1EE7EF0F" w14:textId="77777777" w:rsidR="00B779AB" w:rsidRPr="001E2C69" w:rsidRDefault="00B779AB" w:rsidP="00722885">
      <w:pPr>
        <w:pStyle w:val="af"/>
        <w:shd w:val="clear" w:color="auto" w:fill="FFFFFF"/>
        <w:spacing w:before="0" w:after="0"/>
        <w:jc w:val="both"/>
        <w:rPr>
          <w:color w:val="000000" w:themeColor="text1"/>
          <w:sz w:val="16"/>
          <w:szCs w:val="16"/>
        </w:rPr>
      </w:pPr>
      <w:r w:rsidRPr="001E2C69">
        <w:rPr>
          <w:color w:val="000000" w:themeColor="text1"/>
          <w:sz w:val="16"/>
          <w:szCs w:val="16"/>
        </w:rPr>
        <w:t>Всего в блокированном Ленинграде за период с мая по ноябрь 1942 г. было произведено 9380 реактивных снарядов нового образца, из них снарядить успели 5078 штук. Параллельно, в 1942 г., всё же началось и постепенное развёртывание производства снаряда М-30. Но в течение всего 1942 г. основным тяжёлым реактивным снарядом, выпускавшимся в Ленинграде, оставался М-28 (17107).</w:t>
      </w:r>
    </w:p>
    <w:p w14:paraId="42CAC22E" w14:textId="77777777" w:rsidR="00B779AB" w:rsidRPr="001E2C69" w:rsidRDefault="00B779AB" w:rsidP="00722885">
      <w:pPr>
        <w:shd w:val="clear" w:color="auto" w:fill="FFFFFF"/>
        <w:spacing w:after="0" w:line="240" w:lineRule="auto"/>
        <w:jc w:val="both"/>
        <w:rPr>
          <w:rFonts w:ascii="Times New Roman" w:hAnsi="Times New Roman"/>
          <w:color w:val="000000" w:themeColor="text1"/>
          <w:sz w:val="16"/>
          <w:szCs w:val="16"/>
        </w:rPr>
      </w:pPr>
    </w:p>
    <w:p w14:paraId="68C4AE89" w14:textId="77777777" w:rsidR="003E47A4" w:rsidRPr="008A2E5A" w:rsidRDefault="003E47A4" w:rsidP="003E47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авгу</w:t>
      </w:r>
      <w:r w:rsidRPr="008A2E5A">
        <w:rPr>
          <w:rFonts w:ascii="Times New Roman" w:hAnsi="Times New Roman"/>
          <w:color w:val="0070C0"/>
          <w:sz w:val="16"/>
          <w:szCs w:val="16"/>
        </w:rPr>
        <w:softHyphen/>
        <w:t>ста 1942 для сборки опытных образцов перехватчика ГИРТу передан Московский авиазавод № 55. Менее чем за год предстояло соз</w:t>
      </w:r>
      <w:r w:rsidRPr="008A2E5A">
        <w:rPr>
          <w:rFonts w:ascii="Times New Roman" w:hAnsi="Times New Roman"/>
          <w:color w:val="0070C0"/>
          <w:sz w:val="16"/>
          <w:szCs w:val="16"/>
        </w:rPr>
        <w:softHyphen/>
        <w:t>дать реактивный самолет принципиально новой конструкции, оснащенный жидкостным двигателем с турбонасосной подачей топлива и прямоточными воздушно-реактивными двигателями.</w:t>
      </w:r>
    </w:p>
    <w:p w14:paraId="5C68B3EE" w14:textId="77777777" w:rsidR="003E47A4" w:rsidRPr="008A2E5A" w:rsidRDefault="003E47A4" w:rsidP="003E47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предписанный срок вывести машину на испытания не удалось. Планер Поликарпова получился. Жидкостный двига</w:t>
      </w:r>
      <w:r w:rsidRPr="008A2E5A">
        <w:rPr>
          <w:rFonts w:ascii="Times New Roman" w:hAnsi="Times New Roman"/>
          <w:color w:val="0070C0"/>
          <w:sz w:val="16"/>
          <w:szCs w:val="16"/>
        </w:rPr>
        <w:softHyphen/>
        <w:t>тель Душкина был близок к завершению. Но с прямоточным двигателем Зуева возникла масса проблем. Спасая свое детище, Костиков обратился к Маленкову, отвечавшему в ЦК за авиаци</w:t>
      </w:r>
      <w:r w:rsidRPr="008A2E5A">
        <w:rPr>
          <w:rFonts w:ascii="Times New Roman" w:hAnsi="Times New Roman"/>
          <w:color w:val="0070C0"/>
          <w:sz w:val="16"/>
          <w:szCs w:val="16"/>
        </w:rPr>
        <w:softHyphen/>
        <w:t>онную промышленность, с просьбой разрешить сделать первые два летных экземпляра самолета без ПВРД и перенести срок ис</w:t>
      </w:r>
      <w:r w:rsidRPr="008A2E5A">
        <w:rPr>
          <w:rFonts w:ascii="Times New Roman" w:hAnsi="Times New Roman"/>
          <w:color w:val="0070C0"/>
          <w:sz w:val="16"/>
          <w:szCs w:val="16"/>
        </w:rPr>
        <w:softHyphen/>
        <w:t>пытаний. Неудача Костикова следовала за неудачей Болховитинова. Маленков решил не гневить Сталина и не докладывать ему.</w:t>
      </w:r>
    </w:p>
    <w:p w14:paraId="37CB9C76" w14:textId="77777777" w:rsidR="003E47A4" w:rsidRPr="008A2E5A" w:rsidRDefault="003E47A4" w:rsidP="003E47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Устным указанием он разрешил Костикову продлить срок работы до конца года, наде</w:t>
      </w:r>
      <w:r w:rsidRPr="008A2E5A">
        <w:rPr>
          <w:rFonts w:ascii="Times New Roman" w:hAnsi="Times New Roman"/>
          <w:color w:val="0070C0"/>
          <w:sz w:val="16"/>
          <w:szCs w:val="16"/>
        </w:rPr>
        <w:softHyphen/>
        <w:t>ясь, что настойчивый и целеустремленный конструктор своего добьется, а успех все спишет. Самолету без ПВРД присвоили ин</w:t>
      </w:r>
      <w:r w:rsidRPr="008A2E5A">
        <w:rPr>
          <w:rFonts w:ascii="Times New Roman" w:hAnsi="Times New Roman"/>
          <w:color w:val="0070C0"/>
          <w:sz w:val="16"/>
          <w:szCs w:val="16"/>
        </w:rPr>
        <w:softHyphen/>
        <w:t>декс 302П (23510).</w:t>
      </w:r>
    </w:p>
    <w:p w14:paraId="193E1D08" w14:textId="77777777" w:rsidR="003E47A4" w:rsidRPr="008A2E5A" w:rsidRDefault="003E47A4" w:rsidP="003E47A4">
      <w:pPr>
        <w:spacing w:after="0" w:line="240" w:lineRule="auto"/>
        <w:jc w:val="both"/>
        <w:rPr>
          <w:rFonts w:ascii="Times New Roman" w:hAnsi="Times New Roman"/>
          <w:color w:val="0070C0"/>
          <w:sz w:val="16"/>
          <w:szCs w:val="16"/>
        </w:rPr>
      </w:pPr>
    </w:p>
    <w:p w14:paraId="77882D3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 августа 1942 года на АПИОПе были произведены испытания реактивных мин с позиции 7,4 км при угле возвышения пусковой рамы в 42 градуса. Все три мины вышли из упаковочных ящиков без замечаний, их полет прошел хорошо. Результаты испытаний показали, что действие 280-мм мины более эффективное, чем 320-мм мин. 320-мм мины показали неудовлетворительный результат. Начальник полигона военинженер 1 ранга Оглоблин рекомендовал заводу №522 изготовить партию снарядов 280-мм калибра и представить их на испытания на АНИОП для уточнения результатов. Кроме завода №522 снаряжением мин зажигательным составом занимался ГИПХ (6403, 42).</w:t>
      </w:r>
    </w:p>
    <w:p w14:paraId="3E3C3E6C" w14:textId="77777777" w:rsidR="00AE7191" w:rsidRPr="001E2C69" w:rsidRDefault="00AE7191" w:rsidP="00722885">
      <w:pPr>
        <w:pStyle w:val="Iauiue"/>
        <w:jc w:val="both"/>
        <w:rPr>
          <w:color w:val="000000" w:themeColor="text1"/>
          <w:sz w:val="16"/>
          <w:szCs w:val="16"/>
        </w:rPr>
      </w:pPr>
    </w:p>
    <w:p w14:paraId="6C4A5695" w14:textId="77777777" w:rsidR="00C5464C" w:rsidRPr="001E2C69" w:rsidRDefault="00C5464C"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7AE88B23" w14:textId="77777777" w:rsidR="00C5464C" w:rsidRPr="001E2C69" w:rsidRDefault="00C5464C" w:rsidP="00722885">
      <w:pPr>
        <w:pStyle w:val="Iauiue"/>
        <w:jc w:val="both"/>
        <w:rPr>
          <w:iCs/>
          <w:color w:val="000000" w:themeColor="text1"/>
          <w:sz w:val="16"/>
          <w:szCs w:val="16"/>
        </w:rPr>
      </w:pPr>
    </w:p>
    <w:p w14:paraId="04D54E2E" w14:textId="77777777" w:rsidR="00C5464C" w:rsidRPr="001E2C69" w:rsidRDefault="00C5464C" w:rsidP="00722885">
      <w:pPr>
        <w:pStyle w:val="article-renderblock"/>
        <w:shd w:val="clear" w:color="auto" w:fill="FFFFFF"/>
        <w:spacing w:before="0" w:beforeAutospacing="0" w:after="0" w:afterAutospacing="0"/>
        <w:jc w:val="both"/>
        <w:rPr>
          <w:color w:val="000000" w:themeColor="text1"/>
          <w:sz w:val="16"/>
          <w:szCs w:val="16"/>
        </w:rPr>
      </w:pPr>
      <w:r w:rsidRPr="001E2C69">
        <w:rPr>
          <w:color w:val="000000" w:themeColor="text1"/>
          <w:sz w:val="16"/>
          <w:szCs w:val="16"/>
        </w:rPr>
        <w:t>12 августа 1942 года пришел ответ на запрос "Танкистов" в ГУ ВВС, откуда сообщили, что Ш-37 на вооружение не принята, хотя испытания пушка выдержала (20346).</w:t>
      </w:r>
    </w:p>
    <w:p w14:paraId="0624F7EE" w14:textId="77777777" w:rsidR="00C5464C" w:rsidRPr="001E2C69" w:rsidRDefault="00C5464C" w:rsidP="00722885">
      <w:pPr>
        <w:pStyle w:val="article-renderblock"/>
        <w:shd w:val="clear" w:color="auto" w:fill="FFFFFF"/>
        <w:spacing w:before="0" w:beforeAutospacing="0" w:after="0" w:afterAutospacing="0"/>
        <w:jc w:val="both"/>
        <w:rPr>
          <w:color w:val="000000" w:themeColor="text1"/>
          <w:sz w:val="16"/>
          <w:szCs w:val="16"/>
        </w:rPr>
      </w:pPr>
    </w:p>
    <w:p w14:paraId="2833972B"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5E3B0F9B" w14:textId="77777777" w:rsidR="00AE7191" w:rsidRPr="001E2C69" w:rsidRDefault="00AE7191" w:rsidP="00722885">
      <w:pPr>
        <w:pStyle w:val="Iauiue"/>
        <w:jc w:val="both"/>
        <w:rPr>
          <w:iCs/>
          <w:color w:val="000000" w:themeColor="text1"/>
          <w:sz w:val="16"/>
          <w:szCs w:val="16"/>
        </w:rPr>
      </w:pPr>
    </w:p>
    <w:p w14:paraId="1AD295FC"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августа в 1942 году утреннее сообщение Совинформбюро:</w:t>
      </w:r>
    </w:p>
    <w:p w14:paraId="1BD0B4DF"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12 августа наши войска вели бои с противником в районах Клетская, северо-восточнее Котельниково, а также в районах Черкесск, Майкоп и Краснодар.</w:t>
      </w:r>
    </w:p>
    <w:p w14:paraId="30B79E10"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0F37977E"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наши войска вели упорные бои с противником. Гвардейцы миномётной части за 9 дней истребили до 2.000 гитлеровцев, уничтожили 7 немецких танков, 130 автомашин и взорвали 4 склада с боеприпасами. Южнее Клетской наши подразделения уничтожили 4 немецких танка, миномётную батарею и 250 солдат и офицеров противника.</w:t>
      </w:r>
    </w:p>
    <w:p w14:paraId="62BB81C8"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Н-ская мотострелковая часть при поддержке танков и артиллерии с марша атаковала колонну мотопехоты противника. Навязав немцам встречный бой, наши бойцы не выпускали инициативы из своих рук и нанесли гитлеровцам большие потери. На поле боя немцы оставили свыше 400 трупов. Уничтожено 15 автомашин и 7 немецких танков.</w:t>
      </w:r>
    </w:p>
    <w:p w14:paraId="4E6EBAA9"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Краснодара наши войска вели оборонительные бои с численно превосходящими силами противника. Особенно ожесточённый бой происходит у переправ через один водный рубеж. Немцы пытаются любой ценой проникнуть на южный берег реки. Наши части при поддержке авиации уничтожили на переправах 12 танков, 36 автомашин и свыше 1.000 гитлеровцев. Противник вводит в бой новые резервы и, несмотря на огромные потери, ведёт одну атаку за другой.</w:t>
      </w:r>
    </w:p>
    <w:p w14:paraId="08FBB98B"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Черкесска и Майкопа наши части вели напряжённые бои с танками и мотопехотой противника.</w:t>
      </w:r>
    </w:p>
    <w:p w14:paraId="3C09BC4C"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Южнее Воронежа наши части выбили немцев из двух населённых пунктов. Гитлеровцы предприняли несколько контратак, которые были отбиты нашими бойцами. Потеряв только убитыми свыше 200 солдат и офицеров, немцы отступили на исходные позиции. Наша авиация бомбила скопления танков и мотопехоты противника. Уничтожено 14 немецких танков, 40 автомашин, 12 повозок, и взорван склад с боеприпасами.</w:t>
      </w:r>
    </w:p>
    <w:p w14:paraId="5C898F4B"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На Волховском фронте происходили бои местного значения. На одном участке гитлеровцы пытались вернуть оборонительный рубеж, занятый накануне нашими бойцами. После интенсивной огневой подготовки неприятель бросил в контратаку до трёх батальонов пехоты. Контратака противника была отбита. Немцы потеряли в этом бою 200 солдат и офицеров. В воздушных боях лётчики частей, где командирами майор Ячменев и майор Боровой, сбили 6 немецких самолётов.</w:t>
      </w:r>
    </w:p>
    <w:p w14:paraId="244B085D"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Объединённые партизанские отряды под командованием тт. В. и О., действующие в оккупированных немцами районах Ленинградской области, совершили налёт на три гарнизона оккупантов. Народные мстители истребили 150 немецких солдат и офицеров, захватили 6 пулемётов, винтовки и боеприпасы. Партизаны пустили под откос два немецких воинских эшелона. Разбито 32 товарных и классных вагона с войсками и боевой техникой.</w:t>
      </w:r>
    </w:p>
    <w:p w14:paraId="6D8CA2A3"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Перешедший на сторону Красной Армии солдат 687 полка 336 немецкой пехотной дивизии Альберт П. рассказал: «Наша дивизия всё время находилась во Франции. Когда стало известно, что нас отправляют в Россию, несколько солдат покончили самоубийством. В 6 роте покончил с собой обер-ефрейтор Майер, в 9 роте застрелился солдат Миллер. Русские сильно потрепали нашу дивизию. Она потеряла уже до половины личного состава. Каждый день офицеры запугивают нас ужасами предстоящей зимы. Они говорят: «Мы должны во что бы то ни стало окончить поход до осени, иначе нам будет плохо». Офицеры заставляют солдат, несмотря ни на какие потери, очертя голову лезть вперёд».</w:t>
      </w:r>
    </w:p>
    <w:p w14:paraId="474832A9"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последний месяц гитлеровцы и их лакеи из правительства Виши закрыли в Парижском районе свыше 60 предприятий. Рабочих выбросили на улицу и лишили продовольственных карточек. Им предложили пройти регистрацию на вербовочном пункте и отправиться на работу в Германию. Несмотря на безработицу, французские рабочие отказываются поехать на каторжные работы в Германию.» (14981).</w:t>
      </w:r>
    </w:p>
    <w:p w14:paraId="37CC6984"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37F8CAEA"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августа в 1942 году вечернее сообщение Совинформбюро:</w:t>
      </w:r>
    </w:p>
    <w:p w14:paraId="5E8D444E"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12 августа наши войска вели бои в районах Клетская, северо-восточнее Котельниково, а также в районах Черкесск, Майкоп и Краснодар.</w:t>
      </w:r>
    </w:p>
    <w:p w14:paraId="6C82413F"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5C0DF0B7"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11 августа частями нашей авиации на различных участках фронта уничтожено или повреждено 20 немецких танков, до 100 автомашин с войсками и грузами, 5 автоцистерн с горючим, взорваны 4 склада боеприпасов и склад горючего, подавлен огонь 7 артиллерийских батарей, разбит железнодорожный эшелон, рассеяно и частью уничтожено до батальона пехоты противника.</w:t>
      </w:r>
    </w:p>
    <w:p w14:paraId="1DD88CCD"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Клетской наши части отбивали атаки немецко-фашистских войск. На одном участке Н-ская часть перешла в контратаку. В бою за населённый пункт истреблено свыше 200 гитлеровцев. На другом участке наши бойцы в течение, дня уничтожили 250 немецких солдат и офицеров, 3 танка, 2 орудия и 7 пулемётов.</w:t>
      </w:r>
    </w:p>
    <w:p w14:paraId="179E52AA"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Котельниково происходили упорные бои. На некоторых участках противник перешёл к обороне. Наши части предприняли ряд успешных атаки, изматывая врага, не давали ему возможности закрепляться. Советские танкисты при поддержке авиации и артиллерии атаковали колонну гитлеровцев и нанесли противнику большой урон в живой силе и технике. Истреблено свыше 700 гитлеровцев. Уничтожено 16 танков, 3 бронемашины, 14 орудий и 17 пулемётных точек.</w:t>
      </w:r>
    </w:p>
    <w:p w14:paraId="2FD61475"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Краснодара наши части вели напряжённые оборонительные бои с численно превосходящими силами противника. На одном водном рубеже днём и ночью продолжались бои за переправы. Штурмовыми налётами нашей авиации, огнём артиллерии и минометов уничтожены три переправы, наведённые немцами. За день подбито и сожжено 10 танков, 20 автомашин и уничтожено до трёх рот немецкой пехоты. Артиллерия дальнего действия и бомбардировщики нанесли большие потери подходящим резервам противника.</w:t>
      </w:r>
    </w:p>
    <w:p w14:paraId="42DB9808"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Черкесска наши части отошли на новые позиции.</w:t>
      </w:r>
    </w:p>
    <w:p w14:paraId="7D644857"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Южнее Воронежа, на западном берегу Дона, советские бойцы за два дня уничтожили до 500 немецких солдат и офицеров. Захвачено несколько орудий, много винтовок и автоматов. Взяты пленные. На соседнем участке происходили уличные бои в населённом пункте. Поддерживая действия наземных войск, наши лётчики уничтожили несколько немецких танков, 37 автомашин, 2 бензоцистерны и подавили огонь 2 артиллерийских батарей. В воздушных боях сбито 2 самолёта противника.</w:t>
      </w:r>
    </w:p>
    <w:p w14:paraId="0B381EDB"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Карельском фронте лётчики частей, где командирами тт. Гальченко, Белоусов, Краснолуцкий и Фомин, совершили успешный налёт на финский аэродром. Преодолев заградительный огонь зенитной артиллерии, наши самолёты вышли на цель и сбросили на аэродром большое количество бомб. Аэрофотосъёмкой установлено, что на земле уничтожены 10 вражеских бомбардировщиков и истребителей, а также ремонтно-механические мастерские аэродрома.</w:t>
      </w:r>
    </w:p>
    <w:p w14:paraId="030464BF"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под командованием тов. Ж., действующий в оккупированных немцами районах Орловской области, пустил под откос 4 железнодорожных эшелона с живой силой, техникой и боеприпасами противника. Всполошившиеся гитлеровцы арестовали 15 офицеров железнодорожной охраны, а солдат отправили на фронт.</w:t>
      </w:r>
    </w:p>
    <w:p w14:paraId="5A9994CE"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начальника немецкого тылового района усилена охрана железной дороги. Специальные команды вырубают лес на 500 метров по обе стороны железнодорожного пути. Но число аварий и катастроф не уменьшается. Поезда по-прежнему летят под откос.</w:t>
      </w:r>
    </w:p>
    <w:p w14:paraId="50EE7D20"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Ниже публикуются выдержки из письма немецкого солдата Герберта родителям: «Мы с ужасом думаем о том, что нам придётся здесь воевать вторую зиму. Командование двинуло нас в тыл для очистки и завоевания лесов. Партизаны действуют в союзе с населением и всегда выскальзывают из кольца, которое мы пытаемся образовать вокруг них. В тылу имеются не только деревни, которые заняты партизанами, но даже несколько городов. При нашем приближении жители скрываются и уходят в леса... Днём и ночью горят поджигаемые нами деревни. Всё съедобное здесь давно уничтожено».</w:t>
      </w:r>
    </w:p>
    <w:p w14:paraId="684320BF" w14:textId="77777777" w:rsidR="00B779AB" w:rsidRPr="001E2C69" w:rsidRDefault="00B779A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финской армии участились случаи открытого отказа солдат выполнять распоряжения офицеров. За последнюю неделю через станцию Пори направлено в военные тюрьмы Финляндии свыше 600 солдат, категорически отказавшихся идти в бой.» (14981).</w:t>
      </w:r>
    </w:p>
    <w:p w14:paraId="724C1D58" w14:textId="77777777" w:rsidR="00B779AB" w:rsidRPr="001E2C69" w:rsidRDefault="00B779AB" w:rsidP="00722885">
      <w:pPr>
        <w:spacing w:after="0" w:line="240" w:lineRule="auto"/>
        <w:jc w:val="both"/>
        <w:rPr>
          <w:rFonts w:ascii="Times New Roman" w:hAnsi="Times New Roman"/>
          <w:color w:val="000000" w:themeColor="text1"/>
          <w:sz w:val="16"/>
          <w:szCs w:val="16"/>
        </w:rPr>
      </w:pPr>
    </w:p>
    <w:p w14:paraId="6D0EB0A0" w14:textId="77777777" w:rsidR="00151541" w:rsidRPr="001E2C69" w:rsidRDefault="00151541" w:rsidP="00722885">
      <w:pPr>
        <w:pStyle w:val="af"/>
        <w:spacing w:before="0" w:after="0"/>
        <w:jc w:val="both"/>
        <w:textAlignment w:val="baseline"/>
        <w:rPr>
          <w:color w:val="000000" w:themeColor="text1"/>
          <w:sz w:val="16"/>
          <w:szCs w:val="16"/>
        </w:rPr>
      </w:pPr>
      <w:r w:rsidRPr="001E2C69">
        <w:rPr>
          <w:color w:val="000000" w:themeColor="text1"/>
          <w:sz w:val="16"/>
          <w:szCs w:val="16"/>
        </w:rPr>
        <w:t>12 августа 1942 в 4.30 штурмовики из 206-й, 226-й и 228-й шад 8 ВА генерал-майора Тимофея Хрюкина попытались нанести удары одновременно по трем немецким аэродромам. Первая атакующая группа насчитывала восемь Ил-2, которых прикрывали семнадцать Як-1 и ЛаГГ-3, вторая — тринадцать штурмовиков и двадцать пять истребителей сопровождения. Однако, несмотря на раннее время, достичь внезапности не удалось.</w:t>
      </w:r>
    </w:p>
    <w:p w14:paraId="679AED79" w14:textId="77777777" w:rsidR="00151541" w:rsidRPr="001E2C69" w:rsidRDefault="00151541" w:rsidP="00722885">
      <w:pPr>
        <w:pStyle w:val="af"/>
        <w:spacing w:before="0" w:after="0"/>
        <w:jc w:val="both"/>
        <w:textAlignment w:val="baseline"/>
        <w:rPr>
          <w:color w:val="000000" w:themeColor="text1"/>
          <w:sz w:val="16"/>
          <w:szCs w:val="16"/>
        </w:rPr>
      </w:pPr>
      <w:r w:rsidRPr="001E2C69">
        <w:rPr>
          <w:color w:val="000000" w:themeColor="text1"/>
          <w:sz w:val="16"/>
          <w:szCs w:val="16"/>
        </w:rPr>
        <w:t>Часть «Мессершмиттов» уже находилась в воздухе, и, увидев приближающиеся самолеты, пилоты люфтваффе немедленно атаковали их. Тем временем начали взлетать и другие истребители. В результате русским удалось атаковать только аэродром Обливская. На подступах же к Тусову «горбатые» нарушили боевой порядок, стали разворачиваться и уходить, лишь несколько бомб упало рядом с аэродромом.</w:t>
      </w:r>
    </w:p>
    <w:p w14:paraId="3D9524D5" w14:textId="77777777" w:rsidR="00151541" w:rsidRPr="001E2C69" w:rsidRDefault="00151541" w:rsidP="00722885">
      <w:pPr>
        <w:pStyle w:val="af"/>
        <w:spacing w:before="0" w:after="0"/>
        <w:jc w:val="both"/>
        <w:textAlignment w:val="baseline"/>
        <w:rPr>
          <w:color w:val="000000" w:themeColor="text1"/>
          <w:sz w:val="16"/>
          <w:szCs w:val="16"/>
        </w:rPr>
      </w:pPr>
      <w:r w:rsidRPr="001E2C69">
        <w:rPr>
          <w:color w:val="000000" w:themeColor="text1"/>
          <w:sz w:val="16"/>
          <w:szCs w:val="16"/>
        </w:rPr>
        <w:t>Вскоре начался большой воздушный бой, растянувшийся на десятки километров над степью. В свете восходящего солнца то и дело пролетали горящие обломки самолетов, срывались в штопор сбитые машины, то тут, то там раскрывались белые купола парашютов. Затем пилотам «Мессершмиттов» засчитали 28 воздушных побед, из них большинство — летчикам I./JG53. По три самолета сбили командир 1-й эскадрильи обер-лейтенант Фридрих-Карл Мюллер и фельдфебель Вильгельм Криниус из той же эскадрильи.</w:t>
      </w:r>
    </w:p>
    <w:p w14:paraId="1DB2CC1C" w14:textId="5973E78F" w:rsidR="00151541" w:rsidRPr="001E2C69" w:rsidRDefault="00151541" w:rsidP="00722885">
      <w:pPr>
        <w:pStyle w:val="af"/>
        <w:spacing w:before="0" w:after="0"/>
        <w:jc w:val="both"/>
        <w:textAlignment w:val="baseline"/>
        <w:rPr>
          <w:color w:val="000000" w:themeColor="text1"/>
          <w:sz w:val="16"/>
          <w:szCs w:val="16"/>
        </w:rPr>
      </w:pPr>
      <w:r w:rsidRPr="001E2C69">
        <w:rPr>
          <w:color w:val="000000" w:themeColor="text1"/>
          <w:sz w:val="16"/>
          <w:szCs w:val="16"/>
        </w:rPr>
        <w:t>Советские потери действительно были тяжелыми. Так, только 686-й шап и приданные ему истребители прикрытия потеряли пятнадцать самолетов, причем среди них был и Ил-2 командира полка майора П.</w:t>
      </w:r>
      <w:r w:rsidR="001E2C69">
        <w:rPr>
          <w:color w:val="000000" w:themeColor="text1"/>
          <w:sz w:val="16"/>
          <w:szCs w:val="16"/>
        </w:rPr>
        <w:t xml:space="preserve">   </w:t>
      </w:r>
      <w:r w:rsidRPr="001E2C69">
        <w:rPr>
          <w:color w:val="000000" w:themeColor="text1"/>
          <w:sz w:val="16"/>
          <w:szCs w:val="16"/>
        </w:rPr>
        <w:t>И.</w:t>
      </w:r>
      <w:r w:rsidR="001E2C69">
        <w:rPr>
          <w:color w:val="000000" w:themeColor="text1"/>
          <w:sz w:val="16"/>
          <w:szCs w:val="16"/>
        </w:rPr>
        <w:t xml:space="preserve">   </w:t>
      </w:r>
      <w:r w:rsidRPr="001E2C69">
        <w:rPr>
          <w:color w:val="000000" w:themeColor="text1"/>
          <w:sz w:val="16"/>
          <w:szCs w:val="16"/>
        </w:rPr>
        <w:t>Зотова. Получив сильные ожоги лица, летчик все же сумел выпрыгнуть на парашюте и через пять суток вернулся в полк. Потери же люфтваффе составили один Bf-109G-2 из JG3 «Удет».</w:t>
      </w:r>
    </w:p>
    <w:p w14:paraId="6F4D01A5" w14:textId="77777777" w:rsidR="00151541" w:rsidRPr="001E2C69" w:rsidRDefault="00151541" w:rsidP="00722885">
      <w:pPr>
        <w:pStyle w:val="af"/>
        <w:spacing w:before="0" w:after="0"/>
        <w:jc w:val="both"/>
        <w:textAlignment w:val="baseline"/>
        <w:rPr>
          <w:color w:val="000000" w:themeColor="text1"/>
          <w:sz w:val="16"/>
          <w:szCs w:val="16"/>
        </w:rPr>
      </w:pPr>
      <w:r w:rsidRPr="001E2C69">
        <w:rPr>
          <w:color w:val="000000" w:themeColor="text1"/>
          <w:sz w:val="16"/>
          <w:szCs w:val="16"/>
        </w:rPr>
        <w:t>Несмотря на явный провал ударов по аэродромам, вернувшиеся летчики-штурмовики отчитались о 89 якобы уничтоженных их пушечным огнем самолетах. Все это являлось «большим преувеличением», если не сказать пожестче.</w:t>
      </w:r>
    </w:p>
    <w:p w14:paraId="78450EF9" w14:textId="7498637A" w:rsidR="00151541" w:rsidRPr="001E2C69" w:rsidRDefault="00151541" w:rsidP="00722885">
      <w:pPr>
        <w:pStyle w:val="af"/>
        <w:spacing w:before="0" w:after="0"/>
        <w:jc w:val="both"/>
        <w:textAlignment w:val="baseline"/>
        <w:rPr>
          <w:color w:val="000000" w:themeColor="text1"/>
          <w:sz w:val="16"/>
          <w:szCs w:val="16"/>
        </w:rPr>
      </w:pPr>
      <w:r w:rsidRPr="001E2C69">
        <w:rPr>
          <w:color w:val="000000" w:themeColor="text1"/>
          <w:sz w:val="16"/>
          <w:szCs w:val="16"/>
        </w:rPr>
        <w:t>Надо отметить, что 8-я воздушная армия вообще отличалась склонностью к фантазированию по части своих боевых достижений. И чтобы не быть тут же обвиненными очередными рьяными горе-патриотами в очернительстве «непобедимой и легендарной», сошлемся на секретный приказ №</w:t>
      </w:r>
      <w:r w:rsidR="001E2C69">
        <w:rPr>
          <w:color w:val="000000" w:themeColor="text1"/>
          <w:sz w:val="16"/>
          <w:szCs w:val="16"/>
        </w:rPr>
        <w:t xml:space="preserve">   </w:t>
      </w:r>
      <w:r w:rsidRPr="001E2C69">
        <w:rPr>
          <w:color w:val="000000" w:themeColor="text1"/>
          <w:sz w:val="16"/>
          <w:szCs w:val="16"/>
        </w:rPr>
        <w:t>332309с от 20 июня 1942</w:t>
      </w:r>
      <w:r w:rsidR="001E2C69">
        <w:rPr>
          <w:color w:val="000000" w:themeColor="text1"/>
          <w:sz w:val="16"/>
          <w:szCs w:val="16"/>
        </w:rPr>
        <w:t xml:space="preserve">   </w:t>
      </w:r>
      <w:r w:rsidRPr="001E2C69">
        <w:rPr>
          <w:color w:val="000000" w:themeColor="text1"/>
          <w:sz w:val="16"/>
          <w:szCs w:val="16"/>
        </w:rPr>
        <w:t>г., который подписали заместитель начальника штаба ВВС Красной армии генерал-майор Кроленко, военный комиссар того же штаба бригадный комиссар Никулин и начальник оперативного управления штаба ВВС генерал-майор Журавлев.</w:t>
      </w:r>
    </w:p>
    <w:p w14:paraId="0C5C665D" w14:textId="77777777" w:rsidR="00151541" w:rsidRPr="001E2C69" w:rsidRDefault="00151541" w:rsidP="00722885">
      <w:pPr>
        <w:pStyle w:val="af"/>
        <w:spacing w:before="0" w:after="0"/>
        <w:jc w:val="both"/>
        <w:textAlignment w:val="baseline"/>
        <w:rPr>
          <w:color w:val="000000" w:themeColor="text1"/>
          <w:sz w:val="16"/>
          <w:szCs w:val="16"/>
        </w:rPr>
      </w:pPr>
      <w:r w:rsidRPr="001E2C69">
        <w:rPr>
          <w:color w:val="000000" w:themeColor="text1"/>
          <w:sz w:val="16"/>
          <w:szCs w:val="16"/>
        </w:rPr>
        <w:t>Вот что в нем говорилось:</w:t>
      </w:r>
    </w:p>
    <w:p w14:paraId="4FCFB3A8" w14:textId="698A349A" w:rsidR="00151541" w:rsidRPr="001E2C69" w:rsidRDefault="00151541" w:rsidP="00722885">
      <w:pPr>
        <w:pStyle w:val="af"/>
        <w:spacing w:before="0" w:after="0"/>
        <w:jc w:val="both"/>
        <w:textAlignment w:val="baseline"/>
        <w:rPr>
          <w:iCs/>
          <w:color w:val="000000" w:themeColor="text1"/>
          <w:sz w:val="16"/>
          <w:szCs w:val="16"/>
          <w:bdr w:val="none" w:sz="0" w:space="0" w:color="auto" w:frame="1"/>
        </w:rPr>
      </w:pPr>
      <w:r w:rsidRPr="001E2C69">
        <w:rPr>
          <w:iCs/>
          <w:color w:val="000000" w:themeColor="text1"/>
          <w:sz w:val="16"/>
          <w:szCs w:val="16"/>
          <w:bdr w:val="none" w:sz="0" w:space="0" w:color="auto" w:frame="1"/>
        </w:rPr>
        <w:t>«Неправдивость донесений — крупнейший недочет в работе штабов. Неправдивость же столь велика, что порой граничит с неправдоподобностью. Примером таких неправдоподобных донесений может служить такой факт. По донесениям штаба 8-й воздушной армии (Юго-Западный фронт) получилось, что частями этой армии за период с 10 по 14.06.1942</w:t>
      </w:r>
      <w:r w:rsidR="001E2C69">
        <w:rPr>
          <w:iCs/>
          <w:color w:val="000000" w:themeColor="text1"/>
          <w:sz w:val="16"/>
          <w:szCs w:val="16"/>
          <w:bdr w:val="none" w:sz="0" w:space="0" w:color="auto" w:frame="1"/>
        </w:rPr>
        <w:t xml:space="preserve">   </w:t>
      </w:r>
      <w:r w:rsidRPr="001E2C69">
        <w:rPr>
          <w:iCs/>
          <w:color w:val="000000" w:themeColor="text1"/>
          <w:sz w:val="16"/>
          <w:szCs w:val="16"/>
          <w:bdr w:val="none" w:sz="0" w:space="0" w:color="auto" w:frame="1"/>
        </w:rPr>
        <w:t>г. было повреждено и уничтожено 202 танка наступавшего противника, что составляло до 40</w:t>
      </w:r>
      <w:r w:rsidR="001E2C69">
        <w:rPr>
          <w:iCs/>
          <w:color w:val="000000" w:themeColor="text1"/>
          <w:sz w:val="16"/>
          <w:szCs w:val="16"/>
          <w:bdr w:val="none" w:sz="0" w:space="0" w:color="auto" w:frame="1"/>
        </w:rPr>
        <w:t xml:space="preserve">   </w:t>
      </w:r>
      <w:r w:rsidRPr="001E2C69">
        <w:rPr>
          <w:iCs/>
          <w:color w:val="000000" w:themeColor="text1"/>
          <w:sz w:val="16"/>
          <w:szCs w:val="16"/>
          <w:bdr w:val="none" w:sz="0" w:space="0" w:color="auto" w:frame="1"/>
        </w:rPr>
        <w:t>% от численности всех танков противника, действовавших на Харьковском направлении. Если учесть, что и наземные наши войска в это же время также уничтожали танки противника, и притом не меньше, а больше, чем уничтожала их наша авиация, то, казалось бы, что из-за больших потерь в танках, близких к 90–100</w:t>
      </w:r>
      <w:r w:rsidR="001E2C69">
        <w:rPr>
          <w:iCs/>
          <w:color w:val="000000" w:themeColor="text1"/>
          <w:sz w:val="16"/>
          <w:szCs w:val="16"/>
          <w:bdr w:val="none" w:sz="0" w:space="0" w:color="auto" w:frame="1"/>
        </w:rPr>
        <w:t xml:space="preserve">   </w:t>
      </w:r>
      <w:r w:rsidRPr="001E2C69">
        <w:rPr>
          <w:iCs/>
          <w:color w:val="000000" w:themeColor="text1"/>
          <w:sz w:val="16"/>
          <w:szCs w:val="16"/>
          <w:bdr w:val="none" w:sz="0" w:space="0" w:color="auto" w:frame="1"/>
        </w:rPr>
        <w:t>%, наступление противника должно было бы остановиться. Между тем танковое наступление противника на этом направлении 14.06 продолжалось, из чего наглядно видна неправдоподобность донесений штаба 8-й воздушной армии»[43].</w:t>
      </w:r>
    </w:p>
    <w:p w14:paraId="6E2C24DF" w14:textId="77777777" w:rsidR="00151541" w:rsidRPr="001E2C69" w:rsidRDefault="00151541" w:rsidP="00722885">
      <w:pPr>
        <w:pStyle w:val="af"/>
        <w:spacing w:before="0" w:after="0"/>
        <w:jc w:val="both"/>
        <w:textAlignment w:val="baseline"/>
        <w:rPr>
          <w:color w:val="000000" w:themeColor="text1"/>
          <w:sz w:val="16"/>
          <w:szCs w:val="16"/>
        </w:rPr>
      </w:pPr>
      <w:r w:rsidRPr="001E2C69">
        <w:rPr>
          <w:color w:val="000000" w:themeColor="text1"/>
          <w:sz w:val="16"/>
          <w:szCs w:val="16"/>
        </w:rPr>
        <w:t>Далее в том же приказе начальникам штабов всех степеней предписывалось «организовать поступление информации точно в установленные сроки, добиваясь при этом полноты и правдивости сведений. Все случаи неправдивой информации тщательно расследовать и виновных привлекать к строгой ответственности».</w:t>
      </w:r>
    </w:p>
    <w:p w14:paraId="2E8F6DFB" w14:textId="017A5919" w:rsidR="00151541" w:rsidRPr="001E2C69" w:rsidRDefault="00151541" w:rsidP="00722885">
      <w:pPr>
        <w:pStyle w:val="af"/>
        <w:spacing w:before="0" w:after="0"/>
        <w:jc w:val="both"/>
        <w:textAlignment w:val="baseline"/>
        <w:rPr>
          <w:color w:val="000000" w:themeColor="text1"/>
          <w:sz w:val="16"/>
          <w:szCs w:val="16"/>
        </w:rPr>
      </w:pPr>
      <w:r w:rsidRPr="001E2C69">
        <w:rPr>
          <w:color w:val="000000" w:themeColor="text1"/>
          <w:sz w:val="16"/>
          <w:szCs w:val="16"/>
        </w:rPr>
        <w:t>Однако в штабе Хрюкина в приказ №</w:t>
      </w:r>
      <w:r w:rsidR="001E2C69">
        <w:rPr>
          <w:color w:val="000000" w:themeColor="text1"/>
          <w:sz w:val="16"/>
          <w:szCs w:val="16"/>
        </w:rPr>
        <w:t xml:space="preserve">   </w:t>
      </w:r>
      <w:r w:rsidRPr="001E2C69">
        <w:rPr>
          <w:color w:val="000000" w:themeColor="text1"/>
          <w:sz w:val="16"/>
          <w:szCs w:val="16"/>
        </w:rPr>
        <w:t>332309с, видимо, не особо вчитывались. Во всяком случае, уверовав в успех своих штурмовых ударов по вражеским аэродромам, командование 8-й воздушной армии решило повторить их на следующий день, задействовав еще большие силы. Так сказать, для закрепления достигнутых результатов (19522).</w:t>
      </w:r>
    </w:p>
    <w:p w14:paraId="4F7B1079" w14:textId="77777777" w:rsidR="00151541" w:rsidRPr="001E2C69" w:rsidRDefault="00151541" w:rsidP="00722885">
      <w:pPr>
        <w:pStyle w:val="af"/>
        <w:spacing w:before="0" w:after="0"/>
        <w:jc w:val="both"/>
        <w:textAlignment w:val="baseline"/>
        <w:rPr>
          <w:color w:val="000000" w:themeColor="text1"/>
          <w:sz w:val="16"/>
          <w:szCs w:val="16"/>
        </w:rPr>
      </w:pPr>
    </w:p>
    <w:p w14:paraId="3F33C71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 августа 1942 с целью снижения актив</w:t>
      </w:r>
      <w:r w:rsidRPr="001E2C69">
        <w:rPr>
          <w:color w:val="000000" w:themeColor="text1"/>
          <w:sz w:val="16"/>
          <w:szCs w:val="16"/>
        </w:rPr>
        <w:softHyphen/>
        <w:t>ности Люфтваффе "ильюшины" 8-й ВА нанесли сосредоточенные бомбоштурмовые удары по трем основным аэро</w:t>
      </w:r>
      <w:r w:rsidRPr="001E2C69">
        <w:rPr>
          <w:color w:val="000000" w:themeColor="text1"/>
          <w:sz w:val="16"/>
          <w:szCs w:val="16"/>
        </w:rPr>
        <w:softHyphen/>
        <w:t>дромам противника - Ольховское, Подольховское и Обливское, на которых базировалось до 180 немецких самолетов. Первый удар был нанесен на рассве</w:t>
      </w:r>
      <w:r w:rsidRPr="001E2C69">
        <w:rPr>
          <w:color w:val="000000" w:themeColor="text1"/>
          <w:sz w:val="16"/>
          <w:szCs w:val="16"/>
        </w:rPr>
        <w:softHyphen/>
        <w:t xml:space="preserve">те силами 13 Ил-2 </w:t>
      </w:r>
      <w:r w:rsidRPr="001E2C69">
        <w:rPr>
          <w:color w:val="000000" w:themeColor="text1"/>
          <w:sz w:val="16"/>
          <w:szCs w:val="16"/>
        </w:rPr>
        <w:lastRenderedPageBreak/>
        <w:t xml:space="preserve">226-й и 228-й </w:t>
      </w:r>
      <w:r w:rsidRPr="001E2C69">
        <w:rPr>
          <w:iCs/>
          <w:color w:val="000000" w:themeColor="text1"/>
          <w:sz w:val="16"/>
          <w:szCs w:val="16"/>
        </w:rPr>
        <w:t xml:space="preserve">шад </w:t>
      </w:r>
      <w:r w:rsidRPr="001E2C69">
        <w:rPr>
          <w:color w:val="000000" w:themeColor="text1"/>
          <w:sz w:val="16"/>
          <w:szCs w:val="16"/>
        </w:rPr>
        <w:t>под прикрытием истребителей по аэро</w:t>
      </w:r>
      <w:r w:rsidRPr="001E2C69">
        <w:rPr>
          <w:color w:val="000000" w:themeColor="text1"/>
          <w:sz w:val="16"/>
          <w:szCs w:val="16"/>
        </w:rPr>
        <w:softHyphen/>
        <w:t>дрому Обливское, на котором немцы сосредоточили до 100 Ju88 и Bf109. К аэродрому "ильюшины" вышли на самой малой высоте и с "горки" атако</w:t>
      </w:r>
      <w:r w:rsidRPr="001E2C69">
        <w:rPr>
          <w:color w:val="000000" w:themeColor="text1"/>
          <w:sz w:val="16"/>
          <w:szCs w:val="16"/>
        </w:rPr>
        <w:softHyphen/>
        <w:t>вали самолеты противника на стоянках, построенных, как на параде, в одну ли</w:t>
      </w:r>
      <w:r w:rsidRPr="001E2C69">
        <w:rPr>
          <w:color w:val="000000" w:themeColor="text1"/>
          <w:sz w:val="16"/>
          <w:szCs w:val="16"/>
        </w:rPr>
        <w:softHyphen/>
        <w:t>нию - промахнуться было сложно. Удар был настолько неожиданным, что немец</w:t>
      </w:r>
      <w:r w:rsidRPr="001E2C69">
        <w:rPr>
          <w:color w:val="000000" w:themeColor="text1"/>
          <w:sz w:val="16"/>
          <w:szCs w:val="16"/>
        </w:rPr>
        <w:softHyphen/>
        <w:t>кие зенитчики открыли огонь только пос</w:t>
      </w:r>
      <w:r w:rsidRPr="001E2C69">
        <w:rPr>
          <w:color w:val="000000" w:themeColor="text1"/>
          <w:sz w:val="16"/>
          <w:szCs w:val="16"/>
        </w:rPr>
        <w:softHyphen/>
        <w:t>ле первого захода "Илов", а истребите</w:t>
      </w:r>
      <w:r w:rsidRPr="001E2C69">
        <w:rPr>
          <w:color w:val="000000" w:themeColor="text1"/>
          <w:sz w:val="16"/>
          <w:szCs w:val="16"/>
        </w:rPr>
        <w:softHyphen/>
        <w:t>ли так и не смогли взлететь для отра</w:t>
      </w:r>
      <w:r w:rsidRPr="001E2C69">
        <w:rPr>
          <w:color w:val="000000" w:themeColor="text1"/>
          <w:sz w:val="16"/>
          <w:szCs w:val="16"/>
        </w:rPr>
        <w:softHyphen/>
        <w:t>жения атаки. Расстреляв боезапас, Ил-2 без потерь вернулись на свой аэродром.</w:t>
      </w:r>
    </w:p>
    <w:p w14:paraId="40690AE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Несколько позже 8 Ил-2 686-го </w:t>
      </w:r>
      <w:r w:rsidRPr="001E2C69">
        <w:rPr>
          <w:iCs/>
          <w:color w:val="000000" w:themeColor="text1"/>
          <w:sz w:val="16"/>
          <w:szCs w:val="16"/>
        </w:rPr>
        <w:t xml:space="preserve">шап </w:t>
      </w:r>
      <w:r w:rsidRPr="001E2C69">
        <w:rPr>
          <w:color w:val="000000" w:themeColor="text1"/>
          <w:sz w:val="16"/>
          <w:szCs w:val="16"/>
        </w:rPr>
        <w:t xml:space="preserve">206-й </w:t>
      </w:r>
      <w:r w:rsidRPr="001E2C69">
        <w:rPr>
          <w:iCs/>
          <w:color w:val="000000" w:themeColor="text1"/>
          <w:sz w:val="16"/>
          <w:szCs w:val="16"/>
        </w:rPr>
        <w:t>шад</w:t>
      </w:r>
      <w:r w:rsidRPr="001E2C69">
        <w:rPr>
          <w:color w:val="000000" w:themeColor="text1"/>
          <w:sz w:val="16"/>
          <w:szCs w:val="16"/>
        </w:rPr>
        <w:t xml:space="preserve"> под прикрытием 12 Як-1 из 269-й </w:t>
      </w:r>
      <w:r w:rsidRPr="001E2C69">
        <w:rPr>
          <w:iCs/>
          <w:color w:val="000000" w:themeColor="text1"/>
          <w:sz w:val="16"/>
          <w:szCs w:val="16"/>
        </w:rPr>
        <w:t>иад</w:t>
      </w:r>
      <w:r w:rsidRPr="001E2C69">
        <w:rPr>
          <w:color w:val="000000" w:themeColor="text1"/>
          <w:sz w:val="16"/>
          <w:szCs w:val="16"/>
        </w:rPr>
        <w:t xml:space="preserve"> и 5 ЛаГГ-3 из 235-й </w:t>
      </w:r>
      <w:r w:rsidRPr="001E2C69">
        <w:rPr>
          <w:iCs/>
          <w:color w:val="000000" w:themeColor="text1"/>
          <w:sz w:val="16"/>
          <w:szCs w:val="16"/>
        </w:rPr>
        <w:t>иад</w:t>
      </w:r>
      <w:r w:rsidRPr="001E2C69">
        <w:rPr>
          <w:color w:val="000000" w:themeColor="text1"/>
          <w:sz w:val="16"/>
          <w:szCs w:val="16"/>
        </w:rPr>
        <w:t xml:space="preserve"> на</w:t>
      </w:r>
      <w:r w:rsidRPr="001E2C69">
        <w:rPr>
          <w:color w:val="000000" w:themeColor="text1"/>
          <w:sz w:val="16"/>
          <w:szCs w:val="16"/>
        </w:rPr>
        <w:softHyphen/>
        <w:t>несли бомбоштурмовые удары по аэро</w:t>
      </w:r>
      <w:r w:rsidRPr="001E2C69">
        <w:rPr>
          <w:color w:val="000000" w:themeColor="text1"/>
          <w:sz w:val="16"/>
          <w:szCs w:val="16"/>
        </w:rPr>
        <w:softHyphen/>
        <w:t>дромам Ольховский и Подольховский. Этот удар закончился для советских летчиков трагически. Противник был начеку - Ил-2 были встречены плотным зенитным огнем. Пробившись через сте</w:t>
      </w:r>
      <w:r w:rsidRPr="001E2C69">
        <w:rPr>
          <w:color w:val="000000" w:themeColor="text1"/>
          <w:sz w:val="16"/>
          <w:szCs w:val="16"/>
        </w:rPr>
        <w:softHyphen/>
        <w:t>ну огня, "ильюшины" ударили по стоян</w:t>
      </w:r>
      <w:r w:rsidRPr="001E2C69">
        <w:rPr>
          <w:color w:val="000000" w:themeColor="text1"/>
          <w:sz w:val="16"/>
          <w:szCs w:val="16"/>
        </w:rPr>
        <w:softHyphen/>
        <w:t>кам немецких самолетов. На втором за</w:t>
      </w:r>
      <w:r w:rsidRPr="001E2C69">
        <w:rPr>
          <w:color w:val="000000" w:themeColor="text1"/>
          <w:sz w:val="16"/>
          <w:szCs w:val="16"/>
        </w:rPr>
        <w:softHyphen/>
        <w:t>ходе "Илы" были атакованы 30 (!) Вт109, однако последних связали боем истре</w:t>
      </w:r>
      <w:r w:rsidRPr="001E2C69">
        <w:rPr>
          <w:color w:val="000000" w:themeColor="text1"/>
          <w:sz w:val="16"/>
          <w:szCs w:val="16"/>
        </w:rPr>
        <w:softHyphen/>
        <w:t>бители прикрытия, что дало возможность штурмовикам спокойно отработать над целью.</w:t>
      </w:r>
    </w:p>
    <w:p w14:paraId="18D51CF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При отходе от цели "мессершмиттам" все же удалось прорваться к Ил-2. В первой же атаке был сбит ведущий груп</w:t>
      </w:r>
      <w:r w:rsidRPr="001E2C69">
        <w:rPr>
          <w:color w:val="000000" w:themeColor="text1"/>
          <w:sz w:val="16"/>
          <w:szCs w:val="16"/>
        </w:rPr>
        <w:softHyphen/>
        <w:t>пы командир полка м-р П.И.Зотов (че</w:t>
      </w:r>
      <w:r w:rsidRPr="001E2C69">
        <w:rPr>
          <w:color w:val="000000" w:themeColor="text1"/>
          <w:sz w:val="16"/>
          <w:szCs w:val="16"/>
        </w:rPr>
        <w:softHyphen/>
        <w:t>рез 5 суток с обожженным лицом ком</w:t>
      </w:r>
      <w:r w:rsidRPr="001E2C69">
        <w:rPr>
          <w:color w:val="000000" w:themeColor="text1"/>
          <w:sz w:val="16"/>
          <w:szCs w:val="16"/>
        </w:rPr>
        <w:softHyphen/>
        <w:t>полка вернулся в родной полк). В завя</w:t>
      </w:r>
      <w:r w:rsidRPr="001E2C69">
        <w:rPr>
          <w:color w:val="000000" w:themeColor="text1"/>
          <w:sz w:val="16"/>
          <w:szCs w:val="16"/>
        </w:rPr>
        <w:softHyphen/>
        <w:t>завшемся воздушном бою мл.л-т И. И. Кисельков, применяя маневр "нож</w:t>
      </w:r>
      <w:r w:rsidRPr="001E2C69">
        <w:rPr>
          <w:color w:val="000000" w:themeColor="text1"/>
          <w:sz w:val="16"/>
          <w:szCs w:val="16"/>
        </w:rPr>
        <w:softHyphen/>
        <w:t>ницы", сбил 2 Bf109, однако от пулеметно-пушечной очереди в упор его Ил-2 получил повреждения. Кисельков был ранен в голову, но все-таки сумел дотя</w:t>
      </w:r>
      <w:r w:rsidRPr="001E2C69">
        <w:rPr>
          <w:color w:val="000000" w:themeColor="text1"/>
          <w:sz w:val="16"/>
          <w:szCs w:val="16"/>
        </w:rPr>
        <w:softHyphen/>
        <w:t>нуть до своей территории и посадить самолет на фюзеляж в районе сх. Буденный. После пяти попаданий снаря</w:t>
      </w:r>
      <w:r w:rsidRPr="001E2C69">
        <w:rPr>
          <w:color w:val="000000" w:themeColor="text1"/>
          <w:sz w:val="16"/>
          <w:szCs w:val="16"/>
        </w:rPr>
        <w:softHyphen/>
        <w:t>дов потерял управление Ил-2 команди</w:t>
      </w:r>
      <w:r w:rsidRPr="001E2C69">
        <w:rPr>
          <w:color w:val="000000" w:themeColor="text1"/>
          <w:sz w:val="16"/>
          <w:szCs w:val="16"/>
        </w:rPr>
        <w:softHyphen/>
        <w:t>ра звена л-та М.С.Небольсина, который совершил вынужденную посадку на сво</w:t>
      </w:r>
      <w:r w:rsidRPr="001E2C69">
        <w:rPr>
          <w:color w:val="000000" w:themeColor="text1"/>
          <w:sz w:val="16"/>
          <w:szCs w:val="16"/>
        </w:rPr>
        <w:softHyphen/>
        <w:t>ей территории в районе н.п. Подстепное (прибыл в полк на третьи сутки). Был подбит и сел на вынужденную замести</w:t>
      </w:r>
      <w:r w:rsidRPr="001E2C69">
        <w:rPr>
          <w:color w:val="000000" w:themeColor="text1"/>
          <w:sz w:val="16"/>
          <w:szCs w:val="16"/>
        </w:rPr>
        <w:softHyphen/>
        <w:t>тель командира эскадрильи ст.л-т Я.Н. Топорков (вернулся в полк на вторые сутки). В неравном воздушном бою с истребителями Люфтваффе геройски погибли командир эскадрильи к-н П.Е. Батрак, с-т В.А.Мухин, с-т С.К.Смоляков.</w:t>
      </w:r>
    </w:p>
    <w:p w14:paraId="42C3D9C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Таким образом, 686-му полку удалось выполнить поставленную боевую зада</w:t>
      </w:r>
      <w:r w:rsidRPr="001E2C69">
        <w:rPr>
          <w:color w:val="000000" w:themeColor="text1"/>
          <w:sz w:val="16"/>
          <w:szCs w:val="16"/>
        </w:rPr>
        <w:softHyphen/>
        <w:t>чу ценой потери 8 Ил-2 и трех летчи</w:t>
      </w:r>
      <w:r w:rsidRPr="001E2C69">
        <w:rPr>
          <w:color w:val="000000" w:themeColor="text1"/>
          <w:sz w:val="16"/>
          <w:szCs w:val="16"/>
        </w:rPr>
        <w:softHyphen/>
        <w:t>ков. Воздушный бой истребителей при</w:t>
      </w:r>
      <w:r w:rsidRPr="001E2C69">
        <w:rPr>
          <w:color w:val="000000" w:themeColor="text1"/>
          <w:sz w:val="16"/>
          <w:szCs w:val="16"/>
        </w:rPr>
        <w:softHyphen/>
        <w:t>крытия с "мессерами" закончился в пользу пилотов Люфтваффе - 7:3. На счет штурмовиков были записаны 2 Bf109, сбитых мл.лейтенантом Кисельновым.</w:t>
      </w:r>
    </w:p>
    <w:p w14:paraId="6E87C3F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данным агентурной разведки и докладам экипажей в результате бомбоштурмовых ударов Ил-2 8-й ВА по аэродромам противника было уничтоже</w:t>
      </w:r>
      <w:r w:rsidRPr="001E2C69">
        <w:rPr>
          <w:color w:val="000000" w:themeColor="text1"/>
          <w:sz w:val="16"/>
          <w:szCs w:val="16"/>
        </w:rPr>
        <w:softHyphen/>
        <w:t>но и выведено из строя 89 самолетов Люфтваффе.</w:t>
      </w:r>
    </w:p>
    <w:p w14:paraId="6976F9C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 самом деле, как показывают оцен</w:t>
      </w:r>
      <w:r w:rsidRPr="001E2C69">
        <w:rPr>
          <w:color w:val="000000" w:themeColor="text1"/>
          <w:sz w:val="16"/>
          <w:szCs w:val="16"/>
        </w:rPr>
        <w:softHyphen/>
        <w:t>ки, основанные на результатах полигон</w:t>
      </w:r>
      <w:r w:rsidRPr="001E2C69">
        <w:rPr>
          <w:color w:val="000000" w:themeColor="text1"/>
          <w:sz w:val="16"/>
          <w:szCs w:val="16"/>
        </w:rPr>
        <w:softHyphen/>
        <w:t>ных испытаний и анализа опыта боево</w:t>
      </w:r>
      <w:r w:rsidRPr="001E2C69">
        <w:rPr>
          <w:color w:val="000000" w:themeColor="text1"/>
          <w:sz w:val="16"/>
          <w:szCs w:val="16"/>
        </w:rPr>
        <w:softHyphen/>
        <w:t xml:space="preserve">го применения Ил-2, экипажи 226-й и 228-й </w:t>
      </w:r>
      <w:r w:rsidRPr="001E2C69">
        <w:rPr>
          <w:iCs/>
          <w:color w:val="000000" w:themeColor="text1"/>
          <w:sz w:val="16"/>
          <w:szCs w:val="16"/>
        </w:rPr>
        <w:t>шад</w:t>
      </w:r>
      <w:r w:rsidRPr="001E2C69">
        <w:rPr>
          <w:color w:val="000000" w:themeColor="text1"/>
          <w:sz w:val="16"/>
          <w:szCs w:val="16"/>
        </w:rPr>
        <w:t xml:space="preserve"> могли уничтожить и повре</w:t>
      </w:r>
      <w:r w:rsidRPr="001E2C69">
        <w:rPr>
          <w:color w:val="000000" w:themeColor="text1"/>
          <w:sz w:val="16"/>
          <w:szCs w:val="16"/>
        </w:rPr>
        <w:softHyphen/>
        <w:t>дить на всех трех аэродромах не более 20 самолетов противника (6467).</w:t>
      </w:r>
    </w:p>
    <w:p w14:paraId="14586584" w14:textId="77777777" w:rsidR="00AE7191" w:rsidRPr="001E2C69" w:rsidRDefault="00AE7191" w:rsidP="00722885">
      <w:pPr>
        <w:pStyle w:val="Iauiue"/>
        <w:jc w:val="both"/>
        <w:rPr>
          <w:color w:val="000000" w:themeColor="text1"/>
          <w:sz w:val="16"/>
          <w:szCs w:val="16"/>
        </w:rPr>
      </w:pPr>
    </w:p>
    <w:p w14:paraId="2948B3D3" w14:textId="77777777" w:rsidR="00AE3C43" w:rsidRPr="001E2C69" w:rsidRDefault="00AE3C43"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августа 1942 в 4.30 штурмовики из 206</w:t>
      </w:r>
      <w:r w:rsidRPr="001E2C69">
        <w:rPr>
          <w:rFonts w:ascii="Times New Roman" w:hAnsi="Times New Roman"/>
          <w:color w:val="000000" w:themeColor="text1"/>
          <w:sz w:val="16"/>
          <w:szCs w:val="16"/>
        </w:rPr>
        <w:noBreakHyphen/>
        <w:t>й, 226</w:t>
      </w:r>
      <w:r w:rsidRPr="001E2C69">
        <w:rPr>
          <w:rFonts w:ascii="Times New Roman" w:hAnsi="Times New Roman"/>
          <w:color w:val="000000" w:themeColor="text1"/>
          <w:sz w:val="16"/>
          <w:szCs w:val="16"/>
        </w:rPr>
        <w:noBreakHyphen/>
        <w:t>й и 228</w:t>
      </w:r>
      <w:r w:rsidRPr="001E2C69">
        <w:rPr>
          <w:rFonts w:ascii="Times New Roman" w:hAnsi="Times New Roman"/>
          <w:color w:val="000000" w:themeColor="text1"/>
          <w:sz w:val="16"/>
          <w:szCs w:val="16"/>
        </w:rPr>
        <w:noBreakHyphen/>
        <w:t>й шад попытались нанести удары одновременно по трем немецким аэродромам. Первая атакующая группа насчитывала восемь Ил</w:t>
      </w:r>
      <w:r w:rsidRPr="001E2C69">
        <w:rPr>
          <w:rFonts w:ascii="Times New Roman" w:hAnsi="Times New Roman"/>
          <w:color w:val="000000" w:themeColor="text1"/>
          <w:sz w:val="16"/>
          <w:szCs w:val="16"/>
        </w:rPr>
        <w:noBreakHyphen/>
        <w:t>2, которых прикрывали семнадцать Як</w:t>
      </w:r>
      <w:r w:rsidRPr="001E2C69">
        <w:rPr>
          <w:rFonts w:ascii="Times New Roman" w:hAnsi="Times New Roman"/>
          <w:color w:val="000000" w:themeColor="text1"/>
          <w:sz w:val="16"/>
          <w:szCs w:val="16"/>
        </w:rPr>
        <w:noBreakHyphen/>
        <w:t>1 и ЛаГГ</w:t>
      </w:r>
      <w:r w:rsidRPr="001E2C69">
        <w:rPr>
          <w:rFonts w:ascii="Times New Roman" w:hAnsi="Times New Roman"/>
          <w:color w:val="000000" w:themeColor="text1"/>
          <w:sz w:val="16"/>
          <w:szCs w:val="16"/>
        </w:rPr>
        <w:noBreakHyphen/>
        <w:t>3, вторая – тринадцать штурмовиков и двадцать пять истребителей сопровождения. Однако, несмотря на раннее время, достичь внезапности не удалось.</w:t>
      </w:r>
    </w:p>
    <w:p w14:paraId="65275F1F" w14:textId="77777777" w:rsidR="00AE3C43" w:rsidRPr="001E2C69" w:rsidRDefault="00AE3C43"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Часть «Мессершмиттов» уже находилась в воздухе, и, увидев приближающиеся самолеты, пилоты люфтваффе немедленно атаковали их. Тем временем начали взлетать и другие истребители. В результате русским удалось атаковать только аэродром Обливская. На подступах же к Тусову «горбатые» нарушили боевой порядок, стали разворачиваться и уходить, лишь несколько бомб упало рядом с аэродромом.</w:t>
      </w:r>
    </w:p>
    <w:p w14:paraId="32790E51" w14:textId="77777777" w:rsidR="00AE3C43" w:rsidRPr="001E2C69" w:rsidRDefault="00AE3C43"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Вскоре начался большой воздушный бой, растянувшийся на десятки километров над степью. В свете восходящего солнца то и дело пролетали горящие обломки самолетов, срывались в штопор сбитые машины, то тут, то там раскрывались белые купола парашютов. Затем пилотам «Мессершмиттов» засчитали 28 воздушных побед, из них большинство – летчикам I./JG53. По три самолета сбили командир 1</w:t>
      </w:r>
      <w:r w:rsidRPr="001E2C69">
        <w:rPr>
          <w:rFonts w:ascii="Times New Roman" w:hAnsi="Times New Roman"/>
          <w:color w:val="000000" w:themeColor="text1"/>
          <w:sz w:val="16"/>
          <w:szCs w:val="16"/>
        </w:rPr>
        <w:noBreakHyphen/>
        <w:t>й эскадрильи обер</w:t>
      </w:r>
      <w:r w:rsidRPr="001E2C69">
        <w:rPr>
          <w:rFonts w:ascii="Times New Roman" w:hAnsi="Times New Roman"/>
          <w:color w:val="000000" w:themeColor="text1"/>
          <w:sz w:val="16"/>
          <w:szCs w:val="16"/>
        </w:rPr>
        <w:noBreakHyphen/>
        <w:t>лейтенант Фридрих</w:t>
      </w:r>
      <w:r w:rsidRPr="001E2C69">
        <w:rPr>
          <w:rFonts w:ascii="Times New Roman" w:hAnsi="Times New Roman"/>
          <w:color w:val="000000" w:themeColor="text1"/>
          <w:sz w:val="16"/>
          <w:szCs w:val="16"/>
        </w:rPr>
        <w:noBreakHyphen/>
        <w:t>Карл Мюллер и фельдфебель Вильгельм Криниус из той же эскадрильи.</w:t>
      </w:r>
    </w:p>
    <w:p w14:paraId="6926FC09" w14:textId="77777777" w:rsidR="00AE3C43" w:rsidRPr="001E2C69" w:rsidRDefault="00AE3C43"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Советские потери действительно были тяжелыми. Так, только 686</w:t>
      </w:r>
      <w:r w:rsidRPr="001E2C69">
        <w:rPr>
          <w:rFonts w:ascii="Times New Roman" w:hAnsi="Times New Roman"/>
          <w:color w:val="000000" w:themeColor="text1"/>
          <w:sz w:val="16"/>
          <w:szCs w:val="16"/>
        </w:rPr>
        <w:noBreakHyphen/>
        <w:t>й шап и приданные ему истребители прикрытия потеряли пятнадцать самолетов, причем среди них был и Ил</w:t>
      </w:r>
      <w:r w:rsidRPr="001E2C69">
        <w:rPr>
          <w:rFonts w:ascii="Times New Roman" w:hAnsi="Times New Roman"/>
          <w:color w:val="000000" w:themeColor="text1"/>
          <w:sz w:val="16"/>
          <w:szCs w:val="16"/>
        </w:rPr>
        <w:noBreakHyphen/>
        <w:t>2 командира полка майора П.И. Зотова. Получив сильные ожоги лица, летчик все же сумел выпрыгнуть на парашюте и через пять суток вернулся в полк. Потери же люфтваффе составили один Bf</w:t>
      </w:r>
      <w:r w:rsidRPr="001E2C69">
        <w:rPr>
          <w:rFonts w:ascii="Times New Roman" w:hAnsi="Times New Roman"/>
          <w:color w:val="000000" w:themeColor="text1"/>
          <w:sz w:val="16"/>
          <w:szCs w:val="16"/>
        </w:rPr>
        <w:noBreakHyphen/>
        <w:t>109G</w:t>
      </w:r>
      <w:r w:rsidRPr="001E2C69">
        <w:rPr>
          <w:rFonts w:ascii="Times New Roman" w:hAnsi="Times New Roman"/>
          <w:color w:val="000000" w:themeColor="text1"/>
          <w:sz w:val="16"/>
          <w:szCs w:val="16"/>
        </w:rPr>
        <w:noBreakHyphen/>
        <w:t>2 из JG3 «Удет».</w:t>
      </w:r>
    </w:p>
    <w:p w14:paraId="179FD178" w14:textId="77777777" w:rsidR="00AE3C43" w:rsidRPr="001E2C69" w:rsidRDefault="00AE3C43"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Несмотря на явный провал ударов по аэродромам, вернувшиеся летчики</w:t>
      </w:r>
      <w:r w:rsidRPr="001E2C69">
        <w:rPr>
          <w:rFonts w:ascii="Times New Roman" w:hAnsi="Times New Roman"/>
          <w:color w:val="000000" w:themeColor="text1"/>
          <w:sz w:val="16"/>
          <w:szCs w:val="16"/>
        </w:rPr>
        <w:noBreakHyphen/>
        <w:t>штурмовики отчитались о 89 якобы уничтоженных их пушечным огнем самолетах. Все это являлось «большим преувеличением», если не сказать пожестче (23199).</w:t>
      </w:r>
    </w:p>
    <w:p w14:paraId="6933A728" w14:textId="77777777" w:rsidR="00AE3C43" w:rsidRPr="001E2C69" w:rsidRDefault="00AE3C43" w:rsidP="00722885">
      <w:pPr>
        <w:spacing w:after="0" w:line="240" w:lineRule="auto"/>
        <w:jc w:val="both"/>
        <w:rPr>
          <w:rFonts w:ascii="Times New Roman" w:hAnsi="Times New Roman"/>
          <w:color w:val="000000" w:themeColor="text1"/>
          <w:sz w:val="16"/>
          <w:szCs w:val="16"/>
        </w:rPr>
      </w:pPr>
    </w:p>
    <w:p w14:paraId="1E3B2AD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августа Ил-2 8-й ВА штурмовали аэродромы противника - в районах Ольховское, Подольховское и Обливское.</w:t>
      </w:r>
    </w:p>
    <w:p w14:paraId="5EE7EC5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Первый удар был нанесен на рассвете в 4.00 силами 13 Ил-2 от 226-й и 228-й шад под прикрытием 2 Як-1 от 220-й иад по аэродрому Обливское, на котором немцы сосредоточили 126 боевых самолетов.</w:t>
      </w:r>
    </w:p>
    <w:p w14:paraId="0262F58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Штурмовики вышли к аэродрому на самой малой высоте и с горки атаковали самолеты на стоянках. Немецкие зенитчики открыли огонь только после первого захода Ил-2, а истребители так и не смогли взлететь для отражения атаки. Расстреляв боезапас, Ил-2 без потерь вернулись на свой аэродром.</w:t>
      </w:r>
    </w:p>
    <w:p w14:paraId="2972757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Несколько позже 8 Ил-2 от 686-го шап 206-й шад под прикрытием 12 Як-1 от 269-й иад и 5 ЛаГГ-3 от 235-й иад нанесли удары по аэродромам Ольховский и Подоль- ховский.</w:t>
      </w:r>
    </w:p>
    <w:p w14:paraId="27122BC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Этот боевой вылет закончился для советских летчиков трагически. Противник был начеку - Ил-2 были встречены плотным зенитным огнем. Пробившись сквозь стену огня, штурмовики ударили по стоянкам самолетов. На втором заходе, Ил-2 были атакованы 30 (!) Bf 109, однако их связали боем истребители прикрытия, что дало возможность штурмовикам спокойно отработать над целью.</w:t>
      </w:r>
    </w:p>
    <w:p w14:paraId="7F2578C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отходе от аэродрома "мессерам" все же удалось прорваться к Ил-2. В первой же атаке был сбит ведущий группы командир полка майор Зотов (через 5 суток с обожженным лицом комполка вернулся в полк). В завязавшемся воздушном бою мл. лейтенант Кисельков, применяя маневр ножницы, сбил 2 Bf 109, однако от пулеметно-пушеч- ной очереди в упор его Ил-2 получил повреждения. Несмотря на серьезное ранение в голову, Кисельков все-таки сумел дотянуть до своей территории и посадить самолет на фюзеляж в районе свх. Буденный. После пяти попаданий снарядов потерял управление Ил-2 командира звена лейтенанта Небольсина, который совершил вынужденную посадку на своей территории в районе Подстепное. Был подбит и сел на вынужденную посадку заместитель командира эскадрильи ст. лейтенант Топорков. В неравном воздушном бою с истребителями Люфтваффе геройски погибли командир эскадрильи капитан Батрак и сержанты Мухин и Смоляков.</w:t>
      </w:r>
    </w:p>
    <w:p w14:paraId="5B98740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Воздушный бой истребителей прикрытия с "мессерами" закончился в пользу пилотов Люфтваффе - 7:3.</w:t>
      </w:r>
    </w:p>
    <w:p w14:paraId="02A8918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Опираясь на данные агентурной разведки и доклады экипажей, штаб 8-й ВА доложил, что в результате налетов на аэродромы противника было уничтожено и выведено из строя 89 самолетов Люфтваффе.</w:t>
      </w:r>
    </w:p>
    <w:p w14:paraId="17E4B9F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самом деле, как показывают оценки, основанные на результатах полигонных испытаний и анализа опыта боевого применения Ил-2 на фронте, экипажи штурмовиков могли уничтожить и повредить на всех трех аэродромах не более 20-25 самолетов.</w:t>
      </w:r>
    </w:p>
    <w:p w14:paraId="3CBF4094" w14:textId="77777777" w:rsidR="00AE7191" w:rsidRPr="001E2C69" w:rsidRDefault="00AE7191" w:rsidP="00722885">
      <w:pPr>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rPr>
        <w:t xml:space="preserve">Попавший в плен 14 августа унтер-офицер Р.Хольцер из 16-й разведгруппы 3-го разведотряда, находившийся на аэродроме около Обливское в момент удара советских штурмовиков 12 августа, на допросе показал: "Налет был настолько внезапен, что ни один из наших истребителей не успел подняться в воздух, а зенитчики опоздали с открытием огня. В результате корпус понес значительные потери. Только в нашей группе из 27 самолетов 16 было уничтожено. Точные цифры о потерях других групп мне неизвестны, но они несколько меньше наших, так как основной удар пришелся по нашему участку. Немедленно по окончанию атаки был отдан приказ подготовиться к вылету. Начальники всех групп были вызваны к командованию, и через некоторое время все самолеты, кроме оставшихся у нас 11 машин, улетели... Настроение летного состава нашего подразделения, бодрое в первые дни после нашего прибытия на фронт, резко снизилось после 12 августа - дня налета русских самолетов. Во-первых, большинство экипажей остались без машин... Во-вторых, всем стало ясно, что война в России - это отнюдь не прогулка, и потери несут не только наземные части, но и воздушные..." </w:t>
      </w:r>
      <w:r w:rsidRPr="001E2C69">
        <w:rPr>
          <w:rFonts w:ascii="Times New Roman" w:hAnsi="Times New Roman"/>
          <w:color w:val="000000" w:themeColor="text1"/>
          <w:sz w:val="16"/>
          <w:szCs w:val="16"/>
          <w:lang w:val="en-US"/>
        </w:rPr>
        <w:t>(12020).</w:t>
      </w:r>
    </w:p>
    <w:p w14:paraId="101D4450" w14:textId="77777777" w:rsidR="00AE7191" w:rsidRPr="001E2C69" w:rsidRDefault="00AE7191" w:rsidP="00722885">
      <w:pPr>
        <w:spacing w:after="0" w:line="240" w:lineRule="auto"/>
        <w:jc w:val="both"/>
        <w:rPr>
          <w:rFonts w:ascii="Times New Roman" w:hAnsi="Times New Roman"/>
          <w:color w:val="000000" w:themeColor="text1"/>
          <w:sz w:val="16"/>
          <w:szCs w:val="16"/>
          <w:lang w:val="en-US"/>
        </w:rPr>
      </w:pPr>
    </w:p>
    <w:p w14:paraId="4DD25CAC"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lang w:val="en-US"/>
        </w:rPr>
        <w:t>August 12, 1942: In their advance south toward the Grozny oilfields, units of Heeresgruppe A (List) capture Elista near the Caspian Sea (3819).</w:t>
      </w:r>
    </w:p>
    <w:p w14:paraId="1A3A0163" w14:textId="77777777" w:rsidR="00AE7191" w:rsidRPr="001E2C69" w:rsidRDefault="00AE7191" w:rsidP="00722885">
      <w:pPr>
        <w:pStyle w:val="Iauiue"/>
        <w:jc w:val="both"/>
        <w:rPr>
          <w:color w:val="000000" w:themeColor="text1"/>
          <w:sz w:val="16"/>
          <w:szCs w:val="16"/>
          <w:lang w:val="en-US"/>
        </w:rPr>
      </w:pPr>
    </w:p>
    <w:p w14:paraId="3E53F0B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 августа 1942 в ходе наступления на нефтепромыслы Грозного Группа А захватила Элисту (3819).</w:t>
      </w:r>
    </w:p>
    <w:p w14:paraId="35461D02" w14:textId="77777777" w:rsidR="00AE7191" w:rsidRPr="001E2C69" w:rsidRDefault="00AE7191" w:rsidP="00722885">
      <w:pPr>
        <w:pStyle w:val="Iauiue"/>
        <w:jc w:val="both"/>
        <w:rPr>
          <w:color w:val="000000" w:themeColor="text1"/>
          <w:sz w:val="16"/>
          <w:szCs w:val="16"/>
        </w:rPr>
      </w:pPr>
    </w:p>
    <w:p w14:paraId="5DD3939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 августа 1942 в Сталинград прибыл Г.М.М. от ЦК и А.М.Василевский от Ставки. От авиации был сам А.А.Новиков (340,93).</w:t>
      </w:r>
    </w:p>
    <w:p w14:paraId="18D2EF97" w14:textId="77777777" w:rsidR="00AE7191" w:rsidRPr="001E2C69" w:rsidRDefault="00AE7191" w:rsidP="00722885">
      <w:pPr>
        <w:pStyle w:val="Iauiue"/>
        <w:jc w:val="both"/>
        <w:rPr>
          <w:color w:val="000000" w:themeColor="text1"/>
          <w:sz w:val="16"/>
          <w:szCs w:val="16"/>
        </w:rPr>
      </w:pPr>
    </w:p>
    <w:p w14:paraId="6F3E298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12 августа 1942 мотопехота при поддержке легких танков захватила г. Элисту и продолжила продвижение на восток к Улан-Эрге. До Астрахани оставалось 280 км. Над самым южным поволжским городом нависала серьезная угроза. На подступах к Астрахани началось лихорадочное возведение оборонительных сооружений. На западном берегу Волги широкой полосой создавались, вернее, воссоздавались, два обвода: внешний и внутренний. Правый фланг оборонительного обвода севернее Астрахани пересекал с запада на восток Волгу и упирался в железную дорогу южнее села Сеитовка; левый фланг юго-западнее Астрахани упирался в правый берег Волги ниже населенного пункта Оранжерейный. Они должно были прикрыть город и дельту Волги от прорыва бронемашин и пехоты противника, как со стороны Сталинграда по дороге Красноармейск – Черный Яр – Енотаевск – Кануково, так и со стороны Элисты по дороге Улан-Эрге – Яшкуль – Хулхута – Красный Худуки – Николаевка. В эти дни севернее в Сталинграде нарастал кризис. Никто не знал, где именно находится фронт, но все понимали – немцы подходят к городу. Налеты авиации происходили уже каждый день и каждую ночь. Среди кварталов и промышленных зон появлялись все новые разрушенные здания, на улицах зияли воронки, россыпью лежало битое стекло. Усиливалась паника. Все чаще стал выходить из строя водопровод, целые кварталы и районы сутками оставались без воды. Система распределения продуктов практически перестала нормально функционировать. Очереди в магазинах все чаще перерастали в драки и побоища с убитыми и ранеными, </w:t>
      </w:r>
      <w:r w:rsidRPr="001E2C69">
        <w:rPr>
          <w:rFonts w:ascii="Times New Roman" w:hAnsi="Times New Roman"/>
          <w:color w:val="000000" w:themeColor="text1"/>
          <w:sz w:val="16"/>
          <w:szCs w:val="16"/>
        </w:rPr>
        <w:lastRenderedPageBreak/>
        <w:t>работа городских рынков также стала невозможной. Тысячи сталинградцев бросали работу и отсиживались дома, охраняя свое имущество. Другие пытались разными способами переправиться на восточный берег Волги или бежать на север к Камышину (11774).</w:t>
      </w:r>
    </w:p>
    <w:p w14:paraId="3ECB15CD"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0102E8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 августа 1942 г. вышел ПРИКАЗ НКО № 244 О ВЫДАЧЕ НЕКУРЯЩИМ ЖЕНЩИНАМ ШОКОЛАДА ИЛИ КОНФЕТ ВЗАМЕН ТАБАЧНОГО ДОВОЛЬСТВИЯ</w:t>
      </w:r>
    </w:p>
    <w:p w14:paraId="57D55E0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соответствии с Постановлением Государственного Комитета Обороны от 6 августа 1942 г. установить с 16 августа 1942 г. выдачу некурящим женщинам, призванным в действующую армию и получающим продовольственные пайки по нормам № 1 и 2 приказа НКО 1941 г. № 312*, взамен табачного довольствия по 200 граммов шоколада или 300 граммов конфет в месяц.</w:t>
      </w:r>
    </w:p>
    <w:p w14:paraId="2F846DAF" w14:textId="77777777" w:rsidR="00AE7191" w:rsidRPr="001E2C69" w:rsidRDefault="00AE7191" w:rsidP="00722885">
      <w:pPr>
        <w:pStyle w:val="Iauiue"/>
        <w:jc w:val="both"/>
        <w:rPr>
          <w:color w:val="000000" w:themeColor="text1"/>
          <w:sz w:val="16"/>
          <w:szCs w:val="16"/>
        </w:rPr>
      </w:pPr>
      <w:r w:rsidRPr="001E2C69">
        <w:rPr>
          <w:iCs/>
          <w:color w:val="000000" w:themeColor="text1"/>
          <w:sz w:val="16"/>
          <w:szCs w:val="16"/>
        </w:rPr>
        <w:t xml:space="preserve">Заместитель Народного комиссара обороны СССР генерал-лейтенант интендантской службы А. ХРУЛЕВ </w:t>
      </w:r>
      <w:r w:rsidRPr="001E2C69">
        <w:rPr>
          <w:color w:val="000000" w:themeColor="text1"/>
          <w:sz w:val="16"/>
          <w:szCs w:val="16"/>
        </w:rPr>
        <w:t>(9844).</w:t>
      </w:r>
    </w:p>
    <w:p w14:paraId="0670AF30" w14:textId="77777777" w:rsidR="00AE7191" w:rsidRPr="001E2C69" w:rsidRDefault="00AE7191" w:rsidP="00722885">
      <w:pPr>
        <w:pStyle w:val="Iauiue"/>
        <w:jc w:val="both"/>
        <w:rPr>
          <w:color w:val="000000" w:themeColor="text1"/>
          <w:sz w:val="16"/>
          <w:szCs w:val="16"/>
        </w:rPr>
      </w:pPr>
    </w:p>
    <w:p w14:paraId="2BFD8B65"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Внешняя политика:</w:t>
      </w:r>
    </w:p>
    <w:p w14:paraId="38D97C0E" w14:textId="77777777" w:rsidR="00AE7191" w:rsidRPr="001E2C69" w:rsidRDefault="00AE7191" w:rsidP="00722885">
      <w:pPr>
        <w:pStyle w:val="Iauiue"/>
        <w:jc w:val="both"/>
        <w:rPr>
          <w:iCs/>
          <w:color w:val="000000" w:themeColor="text1"/>
          <w:sz w:val="16"/>
          <w:szCs w:val="16"/>
        </w:rPr>
      </w:pPr>
    </w:p>
    <w:p w14:paraId="0A79012D" w14:textId="77777777" w:rsidR="00031901" w:rsidRPr="001E2C69" w:rsidRDefault="0003190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августа в 1942 году в Москве проходит конференция с участием Гарримана (США), Черчилля (Великобритания) и Сталина (до 15 августа). Западные союзники заявили, что второй фронт не будет открыт в 1942 (14981).</w:t>
      </w:r>
    </w:p>
    <w:p w14:paraId="5F2ED7E3" w14:textId="77777777" w:rsidR="00031901" w:rsidRPr="001E2C69" w:rsidRDefault="00031901" w:rsidP="00722885">
      <w:pPr>
        <w:spacing w:after="0" w:line="240" w:lineRule="auto"/>
        <w:jc w:val="both"/>
        <w:rPr>
          <w:rFonts w:ascii="Times New Roman" w:hAnsi="Times New Roman"/>
          <w:color w:val="000000" w:themeColor="text1"/>
          <w:sz w:val="16"/>
          <w:szCs w:val="16"/>
        </w:rPr>
      </w:pPr>
    </w:p>
    <w:p w14:paraId="231D16AE"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12 августа 1942 в Москве состоялась встреча И. Сталина и У. Черчилля (4962).</w:t>
      </w:r>
    </w:p>
    <w:p w14:paraId="2DFBC450" w14:textId="77777777" w:rsidR="00AE7191" w:rsidRPr="001E2C69" w:rsidRDefault="00AE7191" w:rsidP="00722885">
      <w:pPr>
        <w:pStyle w:val="Iauiue"/>
        <w:tabs>
          <w:tab w:val="left" w:pos="11199"/>
        </w:tabs>
        <w:jc w:val="both"/>
        <w:rPr>
          <w:color w:val="000000" w:themeColor="text1"/>
          <w:sz w:val="16"/>
          <w:szCs w:val="16"/>
        </w:rPr>
      </w:pPr>
    </w:p>
    <w:p w14:paraId="2EA7064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12-16 августа 1942 Черчилль провел со Сталиным. Переговоры не сняли принципиальных требований Сталина, но, как и надеялся Черчилль, установили личный контакт и ослабили взаимную подозрительность. Вместе с тем Сталин укрепился в мысли, что союзники ждут, пока Германия будет измотана в борьбе с Советским Союзом, чтобы затем вступить в войну на европейском континенте на последнем этапе.</w:t>
      </w:r>
    </w:p>
    <w:p w14:paraId="58A7D99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Черчилль пообещал второй фронт в 1943 г. и разрушительные бомбардировки Германии уже в 1942 г. Сталин оживился и, как доносил Рузвельту присутствовавший на встрече Гарриман, "скоро они вдвоем уничтожили почти все крупные промышленные центры Германии". Черчилль перешел к планируемой экспедиции в Северной Африке, которая, по его словам, должна была представлять серьезную угрозу Германии. Вся Северная Африка должна была оказаться под британско-американским контролем к концу 1942 г., что в сочетании с высадкой во Франции в 1943 г. обещало нанести тяжелый удар по рейху. Британский премьер назвал Северную Африку мягким подбрюшьем гитлеровской Европы. Черчилль заявил, что Великобритания, самостоятельно или вместе с США, может послать военно-воздушные силы на южную оконечность советско-германского фронта. Сталин принял разъяснения Черчилля с воодушевлением.</w:t>
      </w:r>
    </w:p>
    <w:p w14:paraId="3A54020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Однако на другой день Сталин, следуя своей излюбленной тактике контрастных переговоров, когда он сбивал с толку партнеров, переходя от любезностей к оскорблениям, резко атаковал союзников за отказ открыть второй фронт немедленно. Сталин отказался рассматривать высадку в Северной Африке как открытие второго фронта. Сталин не замедлил также посетовать на то, что поставки из США и Великобритании зачастую бывали сорваны, и СССР так и не получил того, в чем так нуждался и что ему было обещано. Черчилль отвечал, что никто не гарантировал Сталину доставку грузов, гарантировалось лишь их поступление в британские порты. Северные конвои, циркулировавшие между Великобританией и СССР, подвергались жестоким атакам германских подлодок и авиации; из последнего, 17-го, конвоя, напомнил Черчилль, только треть кораблей дошла до советских берегов. Сталин этого объяснения не принял и намекнул, что союзники, вероятно, недостаточно ценят значимость советских военных усилий и слишком боятся потерь.</w:t>
      </w:r>
    </w:p>
    <w:p w14:paraId="43DE7D8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Тем не менее встреча закончилась на дружественной ноте. Разговор зашел о необходимости встречи Рузвельта и Сталина или всей Большой Тройки. Однако ни к какому окончательному решению Сталин и Черчилль не пришли.</w:t>
      </w:r>
    </w:p>
    <w:p w14:paraId="4982FD69" w14:textId="77777777" w:rsidR="00AE7191" w:rsidRPr="001E2C69" w:rsidRDefault="00AE7191" w:rsidP="00722885">
      <w:pPr>
        <w:pStyle w:val="Iauiue"/>
        <w:jc w:val="both"/>
        <w:rPr>
          <w:color w:val="000000" w:themeColor="text1"/>
          <w:sz w:val="16"/>
          <w:szCs w:val="16"/>
        </w:rPr>
      </w:pPr>
    </w:p>
    <w:p w14:paraId="41407CA9"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lang w:val="en-US"/>
        </w:rPr>
        <w:t>12 August 1942 First Moscow conference - Churchill and Stalin meet (270).</w:t>
      </w:r>
    </w:p>
    <w:p w14:paraId="61FB3F3A" w14:textId="77777777" w:rsidR="00AE7191" w:rsidRPr="001E2C69" w:rsidRDefault="00AE7191" w:rsidP="00722885">
      <w:pPr>
        <w:pStyle w:val="Iauiue"/>
        <w:jc w:val="both"/>
        <w:rPr>
          <w:color w:val="000000" w:themeColor="text1"/>
          <w:sz w:val="16"/>
          <w:szCs w:val="16"/>
          <w:lang w:val="en-US"/>
        </w:rPr>
      </w:pPr>
    </w:p>
    <w:p w14:paraId="7EB57A1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 августа 1942 состоялась первая Московская конференция (2261).</w:t>
      </w:r>
    </w:p>
    <w:p w14:paraId="131AE03D" w14:textId="77777777" w:rsidR="00AE7191" w:rsidRPr="001E2C69" w:rsidRDefault="00AE7191" w:rsidP="00722885">
      <w:pPr>
        <w:pStyle w:val="Iauiue"/>
        <w:jc w:val="both"/>
        <w:rPr>
          <w:color w:val="000000" w:themeColor="text1"/>
          <w:sz w:val="16"/>
          <w:szCs w:val="16"/>
        </w:rPr>
      </w:pPr>
    </w:p>
    <w:p w14:paraId="09194A12" w14:textId="77777777" w:rsidR="002C7978" w:rsidRPr="001E2C69" w:rsidRDefault="002C797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12-15 августа 1942. Московское совещание глав правительств СССР и Великобритании и представителя президента США по военным и политическим вопросам-*</w:t>
      </w:r>
    </w:p>
    <w:p w14:paraId="2A3B5A13" w14:textId="77777777" w:rsidR="002C7978" w:rsidRPr="001E2C69" w:rsidRDefault="002C797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Переводчик В. М. Бережков вспоминал: "Во второй половине дня 12 августа 1942 года в Центральном аэропорту на Ленинградском проспекте собралась, как обычно в таких случаях, группа советских руководителей во главе с Молотовым. Среди встречавших находился также начальник Генерального штаба Красной Армии маршал Шапошников. Было жарко и безветренно. Все расположились под навесом небольшого здания аэровокзала. В воздухе ощущался аромат разогретой полыни, слышалось жужжание пчел, щебетание птиц. Но эта казавшаяся безмятежной картина не настраивала присутствовавших на беззаботный лад. Шел второй год жестокой войны, которую советский народ вел фактически один против сильного и беспощадного врага... В небе появилась черная точка. Очерчивая большой полукруг, она быстро увеличивалась и вскоре приняла очертание самолета. Проскользнув под крышами домов, он коснулся бетонной дорожки и, притормозив, съехал на траву. Плавно покачиваясь, пересек зеленое поле и остановился неподалеку от нас. Самолет казался необычно грузным, фюзеляж чуть ли не касался земли. Я ожидал, что в борту откроется дверца. Но вместо этого из люка в брюхе самолета спустили на траву металлическую лесенку, и по ней сразу же стали спускаться ноги в тяжелых ботинках и изрядно помятых брюках. Ноги как бы присели, дав возможность объемистому туловищу выбраться из кабины. Вот и голова Черчилля. Придерживая рукой шляпу, он настороженно огляделся вокруг, как бы оценивая ситуацию. Нешуточное дело! Он впервые оказался в стране большевиков, которую после Октябрьской революции пытался "задушить в колыбели* против которой организовал интервенцию держав Антанты... К тому времени, как Черчилль выбрался из-под фюзеляжа, перед ним уже стоял Молотов. Они поздоровались как старые знакомые. Нарком представил премьеру маршала Шапошникова. Черчилль тут же пояснил, что не может сейчас познакомить маршала со своими военными экспертами, так как самолет, на котором они вылетели из Тегерана, вынужден был из-за неисправности вернуться обратно. И они, так же как и находившийся в этом самолете постоянный заместитель министра иностранных дел Кадоган, прибудут только завтра. Вместе с Черчиллем находился Гарриман в качестве личного представителя президента Рузвельта... Оркестр исполнил гимн Великобритании и советский гимн "Интернационал". Черчилль и Молотов обошли строй почетного караула. Солдаты в стальных шлемах и полной выкладке стояли не шелохнувшись, лишь поворачивая головы вслед за премьером, который пристально всматривался в их лица, словно хотел удостовериться в их стойкости.</w:t>
      </w:r>
    </w:p>
    <w:p w14:paraId="41FB53F5" w14:textId="77777777" w:rsidR="002C7978" w:rsidRPr="001E2C69" w:rsidRDefault="002C797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аэродрома Черчилля доставили в отведенную ему резиденцию в Кунцеве. Гарриману был предоставлен особняк на улице Островского. Остальные члены делегации разместились в гостинице "Националь" Черчилля поразили удобства этой виллы, чего он никак не ожидал в осажденной Москве...</w:t>
      </w:r>
    </w:p>
    <w:p w14:paraId="61D0BBAA" w14:textId="77777777" w:rsidR="002C7978" w:rsidRPr="001E2C69" w:rsidRDefault="002C797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Вскоре после семи часов машина Черчилля, миновав Красную площадь, въехала через Спасские ворота в Кремль..." В прошедшей беседе Черчилль и Гарриман на вопросы Сталина, будет ли открыт в 1942 году второй фронт в Северной Франции, ответили отрицательно".</w:t>
      </w:r>
    </w:p>
    <w:p w14:paraId="1FBC448C" w14:textId="77777777" w:rsidR="002C7978" w:rsidRPr="001E2C69" w:rsidRDefault="002C797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Уинстон Черчилль писал в книге своих мемуаров: "Примерно в пять часов показались шпили и купола Москвы. Мы кружились вокруг города по тщательно указанным маршрутам, вдоль которых все батареи были предупреждены, и приземлились на аэродроме, на котором мне предстояло побывать еще раз во время войны. Здесь находился Молотов во главе группы русских генералов и весь дипломатический корпус, а также, как и всегда в подобных случаях, много фотографов и репортеров. Был произведен смотр большого почетного караула, безупречного в отношении одежды и выправки. Он прошел перед нами после того, как оркестр исполнил национальные гимны трех великих держав, единство которых решило судьбу Гитлера, Меня подвели к микрофону, и я произнес короткую речь. Аверелл Гарриман говорил от имени Соединенных Штатов. Он должен был остановиться в американском посольстве. Молотов доставил меня в своей машине в предназначенную для меня резиденцию, находящуюся в восьми ми лях от Москвы, - в государственную дачу - 7. Когда мы проезжали по улицам Москвы, которые казались очень пустынными, я опустил стекло, чтобы дать доступ воздуху, и, к моему удивлению, обнаружил, что стекла толщиной более двух дюймов1. Эта превосходило- все известные мне рекорды. "Министр говорит, что это более надежно" "сказал переводчик Павлов. Через полчаса с небольшим мы прибыли на дачу...'</w:t>
      </w:r>
    </w:p>
    <w:p w14:paraId="149E75E5" w14:textId="77777777" w:rsidR="002C7978" w:rsidRPr="001E2C69" w:rsidRDefault="002C797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всех необходимых погружений и омовений нас угощали в столовой всевозможными отборными блюдами и напитками, в том числе, конечно, икрой и водкой Но, кроме того, было много других блюд к вин из Франции и Германии, гораздо больше, чем мы могли или хотели съесть. К тому же у нас оставалось мало времени до отъезда в Москву. Я сказал Молотову, что я буду готов встретиться со Сталиным этим вечером, и он предложил, чтобы встреча произошла! семь часов.</w:t>
      </w:r>
    </w:p>
    <w:p w14:paraId="1E1D8D2A" w14:textId="77777777" w:rsidR="002C7978" w:rsidRPr="001E2C69" w:rsidRDefault="002C797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Я прибыл в Кремль и впервые встретился с великим революционным вождем и мудрым русским государственным деятелем и воином, с которым в течение следующих трех лет мне предстояло поддерживать близкие, суровые, но всегда волнующие, а иногда даже сердечные отношении Наше совещание продолжалось около четырех часов. Поскольку наш второй самолет, в котором находились Брук, Уэйвелл и Кадоган, не прибыл, присутствовали только Сталин, Молотов, Ворошилову, Гарриман.! также наш посол и переводчики... Первые два часа были унылыми и мрачными. Я о* зу же начал с вопроса о втором фронте, зивив, что хочу говорить откровенно, и хотел бы, чтобы Сталин тоже проявил полную откровенность... Сталин, мрачное настроение которого к этому времени значительно усилилось, сказал, что, Насколько он понимает, мы не можем создать второго фронта со сколько-нибудь сильными силами, и не хотим* даже высадить шесть дивизий. Я сказал, что дело обстоит так... В конце концов Сталин сказал, что если мы не можем произвести высадку во Франции в этом году, он не вправе требовать этого или настаивать на этом, но он должен сказать, что он не согласен с моими доводами".</w:t>
      </w:r>
    </w:p>
    <w:p w14:paraId="6EBD35DC" w14:textId="77777777" w:rsidR="002C7978" w:rsidRPr="001E2C69" w:rsidRDefault="002C797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14 августа. Уинстон Черчилль писал в книге своих мемуаров: "Этим вечером мы были на официальном обеде в Кремле, на котором присутствовало около сорока человек, в том числе некоторые высокопоставленные военные, члены Политбюро и другие высшие официальные лица. Сталин и Молотов радушно принимали гостей. Такие обеды продолжаются долго, и с самого начала было произнесено в форме очень коротких речей много тостов и ответов на них. Распространялись глупые </w:t>
      </w:r>
      <w:r w:rsidRPr="001E2C69">
        <w:rPr>
          <w:rFonts w:ascii="Times New Roman" w:hAnsi="Times New Roman"/>
          <w:color w:val="000000" w:themeColor="text1"/>
          <w:sz w:val="16"/>
          <w:szCs w:val="16"/>
        </w:rPr>
        <w:lastRenderedPageBreak/>
        <w:t>истории о том, что эти советские обеды превращаются в попойки. В этом нет ни доли правды. Маршал и его коллеги неизменно пили после тостов из крошечных рюмок, делая в каждом случае лишь маленький глоток" (18696).</w:t>
      </w:r>
    </w:p>
    <w:p w14:paraId="6BC81C33" w14:textId="77777777" w:rsidR="002C7978" w:rsidRPr="001E2C69" w:rsidRDefault="002C7978" w:rsidP="00722885">
      <w:pPr>
        <w:spacing w:after="0" w:line="240" w:lineRule="auto"/>
        <w:jc w:val="both"/>
        <w:rPr>
          <w:rFonts w:ascii="Times New Roman" w:hAnsi="Times New Roman"/>
          <w:color w:val="000000" w:themeColor="text1"/>
          <w:sz w:val="16"/>
          <w:szCs w:val="16"/>
        </w:rPr>
      </w:pPr>
    </w:p>
    <w:p w14:paraId="76EEC44A"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40ED3D26" w14:textId="77777777" w:rsidR="00AE7191" w:rsidRPr="001E2C69" w:rsidRDefault="00AE7191" w:rsidP="00722885">
      <w:pPr>
        <w:pStyle w:val="Iauiue"/>
        <w:jc w:val="both"/>
        <w:rPr>
          <w:iCs/>
          <w:color w:val="000000" w:themeColor="text1"/>
          <w:sz w:val="16"/>
          <w:szCs w:val="16"/>
        </w:rPr>
      </w:pPr>
    </w:p>
    <w:p w14:paraId="684FB4C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 августа 1942 состоялась неудачная высадка английского десанта в районе Дьепа с целью разведки береговой обороны, уничтожения батарей и аэрподрома, РЛС и портовых сооружений. 6 тыс. чел., 237 корабле1, 55 танков и 780 самолетов. Задачу выполнили (2438,223).</w:t>
      </w:r>
    </w:p>
    <w:p w14:paraId="54D7AF5B" w14:textId="77777777" w:rsidR="00AE7191" w:rsidRPr="001E2C69" w:rsidRDefault="00AE7191" w:rsidP="00722885">
      <w:pPr>
        <w:pStyle w:val="Iauiue"/>
        <w:jc w:val="both"/>
        <w:rPr>
          <w:color w:val="000000" w:themeColor="text1"/>
          <w:sz w:val="16"/>
          <w:szCs w:val="16"/>
        </w:rPr>
      </w:pPr>
    </w:p>
    <w:p w14:paraId="0D24EDB5"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12 августа 1942 первый американский самолет-амфибия PBY-5A Catalina ВМС США приземляется на аэродроме Гуадалканала Хендерсон – Филд. Базирующиеся там самолеты станут называться « Воздушные силы Кактус» (20793). </w:t>
      </w:r>
    </w:p>
    <w:p w14:paraId="5CBFF90A" w14:textId="77777777" w:rsidR="00F51760" w:rsidRPr="001E2C69" w:rsidRDefault="00F51760" w:rsidP="00722885">
      <w:pPr>
        <w:spacing w:after="0" w:line="240" w:lineRule="auto"/>
        <w:jc w:val="both"/>
        <w:rPr>
          <w:rFonts w:ascii="Times New Roman" w:hAnsi="Times New Roman"/>
          <w:color w:val="000000" w:themeColor="text1"/>
          <w:sz w:val="16"/>
          <w:szCs w:val="16"/>
        </w:rPr>
      </w:pPr>
    </w:p>
    <w:p w14:paraId="4BC1EEFE"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августа 1942 немецкие и итальянские самолеты атакуют конвой Pedestal в Средиземном море, повредив HMS Indomitable , потопив эсминец и торговый грузовой корабль и, возможно, нанеся смертельный удар двум другим грузовым кораблям. Итальянские самолеты впервые используют три новых вида оружия: мотобомбы, новую бомбу, сбрасываемую истребителями Re.2001 и предназначенную для нанесения максимального ущерба полетным палубам авианосца, и беспилотный бомбардировщик Savoia-Marchetti SM.79 с взрывчаткой, управляемый как управляемая ракета с гидросамолета CANT гидросамолета. В motobomba не попадает, летно-палубные бомбы не упала на палубу HMS Победоносца, а разрушились и не взорвались, а беспилотная SM.79 теряет управление и летит внутрь страны и взрывается в Алжире (20793).</w:t>
      </w:r>
    </w:p>
    <w:p w14:paraId="69FA5180" w14:textId="77777777" w:rsidR="00F51760" w:rsidRPr="001E2C69" w:rsidRDefault="00F51760" w:rsidP="00722885">
      <w:pPr>
        <w:spacing w:after="0" w:line="240" w:lineRule="auto"/>
        <w:jc w:val="both"/>
        <w:rPr>
          <w:rFonts w:ascii="Times New Roman" w:hAnsi="Times New Roman"/>
          <w:color w:val="000000" w:themeColor="text1"/>
          <w:sz w:val="16"/>
          <w:szCs w:val="16"/>
        </w:rPr>
      </w:pPr>
    </w:p>
    <w:p w14:paraId="716F0734"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4B744B3A" w14:textId="77777777" w:rsidR="00AE7191" w:rsidRPr="001E2C69" w:rsidRDefault="00AE7191" w:rsidP="00722885">
      <w:pPr>
        <w:pStyle w:val="Iauiue"/>
        <w:jc w:val="both"/>
        <w:rPr>
          <w:iCs/>
          <w:color w:val="000000" w:themeColor="text1"/>
          <w:sz w:val="16"/>
          <w:szCs w:val="16"/>
        </w:rPr>
      </w:pPr>
    </w:p>
    <w:p w14:paraId="4776DB4B" w14:textId="77777777" w:rsidR="00DF0DDA" w:rsidRPr="001E2C69" w:rsidRDefault="00DF0DDA" w:rsidP="00722885">
      <w:pPr>
        <w:pStyle w:val="27"/>
        <w:shd w:val="clear" w:color="auto" w:fill="auto"/>
        <w:spacing w:after="0" w:line="240" w:lineRule="auto"/>
        <w:ind w:firstLine="0"/>
        <w:rPr>
          <w:rStyle w:val="aff8"/>
          <w:rFonts w:ascii="Times New Roman" w:eastAsia="Arial Narrow" w:hAnsi="Times New Roman" w:cs="Times New Roman"/>
          <w:i w:val="0"/>
          <w:color w:val="000000" w:themeColor="text1"/>
          <w:spacing w:val="0"/>
        </w:rPr>
      </w:pPr>
      <w:r w:rsidRPr="001E2C69">
        <w:rPr>
          <w:rFonts w:ascii="Times New Roman" w:cs="Times New Roman"/>
          <w:color w:val="000000" w:themeColor="text1"/>
          <w:spacing w:val="0"/>
        </w:rPr>
        <w:t>13 августа «1942 г. командую</w:t>
      </w:r>
      <w:r w:rsidRPr="001E2C69">
        <w:rPr>
          <w:rFonts w:ascii="Times New Roman" w:cs="Times New Roman"/>
          <w:color w:val="000000" w:themeColor="text1"/>
          <w:spacing w:val="0"/>
        </w:rPr>
        <w:softHyphen/>
        <w:t>щий ВВС КАА.А. Новиков в связи с по</w:t>
      </w:r>
      <w:r w:rsidRPr="001E2C69">
        <w:rPr>
          <w:rFonts w:ascii="Times New Roman" w:cs="Times New Roman"/>
          <w:color w:val="000000" w:themeColor="text1"/>
          <w:spacing w:val="0"/>
        </w:rPr>
        <w:softHyphen/>
        <w:t>ложительным опытом применения в июне-июле 1942 г. самолетов Ил-2У (с мотором АМ-38) для корректиров</w:t>
      </w:r>
      <w:r w:rsidRPr="001E2C69">
        <w:rPr>
          <w:rFonts w:ascii="Times New Roman" w:cs="Times New Roman"/>
          <w:color w:val="000000" w:themeColor="text1"/>
          <w:spacing w:val="0"/>
        </w:rPr>
        <w:softHyphen/>
        <w:t>ки артиллерийского огня, обратил</w:t>
      </w:r>
      <w:r w:rsidRPr="001E2C69">
        <w:rPr>
          <w:rFonts w:ascii="Times New Roman" w:cs="Times New Roman"/>
          <w:color w:val="000000" w:themeColor="text1"/>
          <w:spacing w:val="0"/>
        </w:rPr>
        <w:softHyphen/>
        <w:t>ся к наркому авиапромышленности А.И. Шахурину с просьбой создать на базе штурмовика Ил-2 разведчик-кор</w:t>
      </w:r>
      <w:r w:rsidRPr="001E2C69">
        <w:rPr>
          <w:rFonts w:ascii="Times New Roman" w:cs="Times New Roman"/>
          <w:color w:val="000000" w:themeColor="text1"/>
          <w:spacing w:val="0"/>
        </w:rPr>
        <w:softHyphen/>
        <w:t>ректировщик артиллерийского огня: «Фронт</w:t>
      </w:r>
      <w:r w:rsidRPr="001E2C69">
        <w:rPr>
          <w:rStyle w:val="aff8"/>
          <w:rFonts w:ascii="Times New Roman" w:eastAsia="Arial Narrow" w:hAnsi="Times New Roman" w:cs="Times New Roman"/>
          <w:i w:val="0"/>
          <w:color w:val="000000" w:themeColor="text1"/>
          <w:spacing w:val="0"/>
        </w:rPr>
        <w:t xml:space="preserve"> требует также разведыватель</w:t>
      </w:r>
      <w:r w:rsidRPr="001E2C69">
        <w:rPr>
          <w:rStyle w:val="aff8"/>
          <w:rFonts w:ascii="Times New Roman" w:eastAsia="Arial Narrow" w:hAnsi="Times New Roman" w:cs="Times New Roman"/>
          <w:i w:val="0"/>
          <w:color w:val="000000" w:themeColor="text1"/>
          <w:spacing w:val="0"/>
        </w:rPr>
        <w:softHyphen/>
        <w:t>ных самолетов и самолетов-корректи- ровщиков артогня. Оборудованный для этих целей двухместный самолет Ил-2 удовлетворит и это требование фронта. Прошу Вашего указания Гпавному кон</w:t>
      </w:r>
      <w:r w:rsidRPr="001E2C69">
        <w:rPr>
          <w:rStyle w:val="aff8"/>
          <w:rFonts w:ascii="Times New Roman" w:eastAsia="Arial Narrow" w:hAnsi="Times New Roman" w:cs="Times New Roman"/>
          <w:i w:val="0"/>
          <w:color w:val="000000" w:themeColor="text1"/>
          <w:spacing w:val="0"/>
        </w:rPr>
        <w:softHyphen/>
        <w:t>структору тов. Ильюшину срочно разра</w:t>
      </w:r>
      <w:r w:rsidRPr="001E2C69">
        <w:rPr>
          <w:rStyle w:val="aff8"/>
          <w:rFonts w:ascii="Times New Roman" w:eastAsia="Arial Narrow" w:hAnsi="Times New Roman" w:cs="Times New Roman"/>
          <w:i w:val="0"/>
          <w:color w:val="000000" w:themeColor="text1"/>
          <w:spacing w:val="0"/>
        </w:rPr>
        <w:softHyphen/>
        <w:t>ботать и изготовить опытные образцы двухместного самолета Ил-2 в вариан</w:t>
      </w:r>
      <w:r w:rsidRPr="001E2C69">
        <w:rPr>
          <w:rStyle w:val="aff8"/>
          <w:rFonts w:ascii="Times New Roman" w:eastAsia="Arial Narrow" w:hAnsi="Times New Roman" w:cs="Times New Roman"/>
          <w:i w:val="0"/>
          <w:color w:val="000000" w:themeColor="text1"/>
          <w:spacing w:val="0"/>
        </w:rPr>
        <w:softHyphen/>
        <w:t>тах штурмовика, разведчика и корректи</w:t>
      </w:r>
      <w:r w:rsidRPr="001E2C69">
        <w:rPr>
          <w:rStyle w:val="aff8"/>
          <w:rFonts w:ascii="Times New Roman" w:eastAsia="Arial Narrow" w:hAnsi="Times New Roman" w:cs="Times New Roman"/>
          <w:i w:val="0"/>
          <w:color w:val="000000" w:themeColor="text1"/>
          <w:spacing w:val="0"/>
        </w:rPr>
        <w:softHyphen/>
        <w:t>ровщика артогня» (15762).</w:t>
      </w:r>
    </w:p>
    <w:p w14:paraId="35C7A350" w14:textId="77777777" w:rsidR="00DF0DDA" w:rsidRPr="001E2C69" w:rsidRDefault="00DF0DDA" w:rsidP="00722885">
      <w:pPr>
        <w:pStyle w:val="27"/>
        <w:shd w:val="clear" w:color="auto" w:fill="auto"/>
        <w:spacing w:after="0" w:line="240" w:lineRule="auto"/>
        <w:ind w:firstLine="0"/>
        <w:rPr>
          <w:rFonts w:ascii="Times New Roman" w:cs="Times New Roman"/>
          <w:color w:val="000000" w:themeColor="text1"/>
          <w:spacing w:val="0"/>
        </w:rPr>
      </w:pPr>
    </w:p>
    <w:p w14:paraId="46D11073"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13 августа в 1942 году командующий ВВС КА А.А.Новиков, в связи с положительным опытом применения в июне-июле 42-го </w:t>
      </w:r>
      <w:hyperlink r:id="rId187" w:tgtFrame="_blank" w:history="1">
        <w:r w:rsidRPr="001E2C69">
          <w:rPr>
            <w:rFonts w:ascii="Times New Roman" w:hAnsi="Times New Roman"/>
            <w:color w:val="000000" w:themeColor="text1"/>
            <w:sz w:val="16"/>
            <w:szCs w:val="16"/>
          </w:rPr>
          <w:t xml:space="preserve">«Ил-2У» </w:t>
        </w:r>
      </w:hyperlink>
      <w:r w:rsidRPr="001E2C69">
        <w:rPr>
          <w:rFonts w:ascii="Times New Roman" w:hAnsi="Times New Roman"/>
          <w:color w:val="000000" w:themeColor="text1"/>
          <w:sz w:val="16"/>
          <w:szCs w:val="16"/>
        </w:rPr>
        <w:t>«АМ-38» для целей корректировки артиллерийского огня, обратился к Наркому авиапромышленности А.И.Шахурину (письмо № 376269) с просьбой создать на базе штурмовика «Ил-2» разведчик-корректировщик артиллерийского огня: "... Фронт требует также разведывательных самолетов и самолетов-корректировщиков артогня. Оборудованный для этих целей двухместный самолет «Ил-2» удовлетворит и это требование фронта. Прошу Вашего указания Главному конструктору тов. Ильюшину срочно разработать и изготовить опытные образцы двухместного самолета «Ил-2» в вариантах штурмовика, разведчика и корректировщика артогня". Письмо А.А.Новикова с необходимой резолюцией А.И.Шахурина было переправлено С.В.Ильюшину, который в своем ответе на него сообщил, что создание такого самолета возможно лишь на базе двухместного «Ил-2» с «М-82», приспособить же для этой цели двухместный "Ил" с «АМ-38», по его мнению, возможным не представлялось. Утверждение С.В.Ильюшина было признано не убедительным. К тому же 8 января 1943 г. вышло "Положение о корректировочной авиации". Поэтому 7 февраля 1943 г. ГКО своим Постановлением № 2841 обязал Ильюшина "...до окончательной отработки самолета-корректировщика приспособить существующий двухместный самолет «Ил-2» с «АМ-38ф», установив радиостанцию РСБ и фотоустановку". На снимке устранение дефектов мотора самолета «Ил-2КР» после боевого вылета. На бронекапоте мотора видны визирные штыри, предназначенные для бомбометания (14982).</w:t>
      </w:r>
    </w:p>
    <w:p w14:paraId="5D70E431" w14:textId="77777777" w:rsidR="00DF0DDA" w:rsidRPr="001E2C69" w:rsidRDefault="00DF0DDA" w:rsidP="00722885">
      <w:pPr>
        <w:spacing w:after="0" w:line="240" w:lineRule="auto"/>
        <w:jc w:val="both"/>
        <w:rPr>
          <w:rFonts w:ascii="Times New Roman" w:hAnsi="Times New Roman"/>
          <w:color w:val="000000" w:themeColor="text1"/>
          <w:sz w:val="16"/>
          <w:szCs w:val="16"/>
        </w:rPr>
      </w:pPr>
    </w:p>
    <w:p w14:paraId="638D4518" w14:textId="77777777" w:rsidR="00F51760" w:rsidRPr="001E2C69" w:rsidRDefault="00F51760"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13 августа 1942 г. командующий ВВС А.А. Новиков в обращении к наркому А.И. Шахурину писал:</w:t>
      </w:r>
    </w:p>
    <w:p w14:paraId="3DA09CF5" w14:textId="77777777" w:rsidR="00F51760" w:rsidRPr="001E2C69" w:rsidRDefault="00F51760" w:rsidP="00722885">
      <w:pPr>
        <w:pStyle w:val="36"/>
        <w:shd w:val="clear" w:color="auto" w:fill="auto"/>
        <w:spacing w:after="0" w:line="240" w:lineRule="auto"/>
        <w:jc w:val="both"/>
        <w:rPr>
          <w:rStyle w:val="1pt1"/>
          <w:rFonts w:ascii="Times New Roman" w:hAnsi="Times New Roman" w:cs="Times New Roman"/>
          <w:i w:val="0"/>
          <w:iCs w:val="0"/>
          <w:color w:val="000000" w:themeColor="text1"/>
          <w:spacing w:val="0"/>
          <w:sz w:val="16"/>
          <w:szCs w:val="16"/>
        </w:rPr>
      </w:pPr>
      <w:r w:rsidRPr="001E2C69">
        <w:rPr>
          <w:rStyle w:val="1pt1"/>
          <w:rFonts w:ascii="Times New Roman" w:hAnsi="Times New Roman" w:cs="Times New Roman"/>
          <w:i w:val="0"/>
          <w:iCs w:val="0"/>
          <w:color w:val="000000" w:themeColor="text1"/>
          <w:spacing w:val="0"/>
          <w:sz w:val="16"/>
          <w:szCs w:val="16"/>
        </w:rPr>
        <w:t>«Прошу Вашего указания Главному кон</w:t>
      </w:r>
      <w:r w:rsidRPr="001E2C69">
        <w:rPr>
          <w:rStyle w:val="1pt1"/>
          <w:rFonts w:ascii="Times New Roman" w:hAnsi="Times New Roman" w:cs="Times New Roman"/>
          <w:i w:val="0"/>
          <w:iCs w:val="0"/>
          <w:color w:val="000000" w:themeColor="text1"/>
          <w:spacing w:val="0"/>
          <w:sz w:val="16"/>
          <w:szCs w:val="16"/>
        </w:rPr>
        <w:softHyphen/>
        <w:t>структору тов. Ильюшину срочно разработать и изготовить опытные образцы двухместного самолета Ил-2 в вариантах штурмовика, разведчика и корректировщика артогня».</w:t>
      </w:r>
    </w:p>
    <w:p w14:paraId="55B24AC7" w14:textId="77777777" w:rsidR="00F51760" w:rsidRPr="001E2C69" w:rsidRDefault="00F51760"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Хотя тот и дал соответствующее рас</w:t>
      </w:r>
      <w:r w:rsidRPr="001E2C69">
        <w:rPr>
          <w:rFonts w:ascii="Times New Roman" w:cs="Times New Roman"/>
          <w:color w:val="000000" w:themeColor="text1"/>
          <w:spacing w:val="0"/>
          <w:sz w:val="16"/>
          <w:szCs w:val="16"/>
        </w:rPr>
        <w:softHyphen/>
        <w:t>поряжение, однако полгода дело пробуксовывало. Наконец-то 7 февраля 1943 г. ГКО обязал Ильюшина</w:t>
      </w:r>
      <w:r w:rsidRPr="001E2C69">
        <w:rPr>
          <w:rStyle w:val="1pt1"/>
          <w:rFonts w:ascii="Times New Roman" w:hAnsi="Times New Roman" w:cs="Times New Roman"/>
          <w:i w:val="0"/>
          <w:iCs w:val="0"/>
          <w:color w:val="000000" w:themeColor="text1"/>
          <w:spacing w:val="0"/>
          <w:sz w:val="16"/>
          <w:szCs w:val="16"/>
        </w:rPr>
        <w:t xml:space="preserve"> «приспособить суще</w:t>
      </w:r>
      <w:r w:rsidRPr="001E2C69">
        <w:rPr>
          <w:rStyle w:val="1pt1"/>
          <w:rFonts w:ascii="Times New Roman" w:hAnsi="Times New Roman" w:cs="Times New Roman"/>
          <w:i w:val="0"/>
          <w:iCs w:val="0"/>
          <w:color w:val="000000" w:themeColor="text1"/>
          <w:spacing w:val="0"/>
          <w:sz w:val="16"/>
          <w:szCs w:val="16"/>
        </w:rPr>
        <w:softHyphen/>
        <w:t>ствующий двухместный самолет Ил-2 с АМ-38ф»</w:t>
      </w:r>
      <w:r w:rsidRPr="001E2C69">
        <w:rPr>
          <w:rFonts w:ascii="Times New Roman" w:cs="Times New Roman"/>
          <w:color w:val="000000" w:themeColor="text1"/>
          <w:spacing w:val="0"/>
          <w:sz w:val="16"/>
          <w:szCs w:val="16"/>
        </w:rPr>
        <w:t xml:space="preserve"> для ведения разведки и корректировки артогня (19854).</w:t>
      </w:r>
    </w:p>
    <w:p w14:paraId="33EBA416" w14:textId="77777777" w:rsidR="00F51760" w:rsidRPr="001E2C69" w:rsidRDefault="00F51760" w:rsidP="00722885">
      <w:pPr>
        <w:pStyle w:val="36"/>
        <w:shd w:val="clear" w:color="auto" w:fill="auto"/>
        <w:spacing w:after="0" w:line="240" w:lineRule="auto"/>
        <w:jc w:val="both"/>
        <w:rPr>
          <w:rFonts w:ascii="Times New Roman" w:cs="Times New Roman"/>
          <w:color w:val="000000" w:themeColor="text1"/>
          <w:spacing w:val="0"/>
          <w:sz w:val="16"/>
          <w:szCs w:val="16"/>
        </w:rPr>
      </w:pPr>
    </w:p>
    <w:p w14:paraId="4EEF128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 13 и 17 августа 1942 состоялось заседание комиссии для рассмотрения бронирования серийных самолетов, созданной согласно приказу НКАП и ВВС N 559а/с/032 от 24 июля 1942 (1587,12):</w:t>
      </w:r>
    </w:p>
    <w:p w14:paraId="44A6A00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Комиссия рассмотрела следующие вопросы:</w:t>
      </w:r>
    </w:p>
    <w:p w14:paraId="475533D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О санитарных потерях на современных боевых самолетах</w:t>
      </w:r>
    </w:p>
    <w:p w14:paraId="2AB25AA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Отчет НИИ ВВС по подбору типа и толщины брони для защиты от немецкого авиационного оружия калибра 15 и 20 мм</w:t>
      </w:r>
    </w:p>
    <w:p w14:paraId="174D990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Проект усиления бронирования серийных самолетов ВВС, представленный НИИ ВВС</w:t>
      </w:r>
    </w:p>
    <w:p w14:paraId="16F591B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Доклад Флагманского врача ВВС Ротгауза:</w:t>
      </w:r>
    </w:p>
    <w:p w14:paraId="65E4EFD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Анализ потерь летного состава на самолетах, состоящих на вооружении ВВС, показывает, что основная масса ранений падает на верхние и нижние конечности (55.7%) и на голову (31.3%).</w:t>
      </w:r>
    </w:p>
    <w:p w14:paraId="1AD16EA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Распределение ранений неодинаково у различных категорий летного состава: у л-и и у стрелков-радистов на бомбардировщиках поражаются гл. образом, нижние конечности (42%), у штурмовиков - голова (51.4%).</w:t>
      </w:r>
    </w:p>
    <w:p w14:paraId="6F8E15C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Наибольшее количество ранений - в левую половину тела (66.7%), меньше в правую (25%) и еще меньше сзади (4.15%) и снизу (4.15%). Ранений спереди не зарегистрировано.</w:t>
      </w:r>
    </w:p>
    <w:p w14:paraId="38E6D78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Летчики, летающие на самолетах разных марок, имеют различное распределение ранений. Так у л на самолетах Як-1 очень велик процент ранений ног (50.7%), на МиГ-3 чаще ранения головы (44.2%).</w:t>
      </w:r>
    </w:p>
    <w:p w14:paraId="0AE7145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 можно констатировать, что броневая защита боевых самолетов ВВС недостаточная по площади и углам и на некоторых самолетах оставляет особо уязвимые места (левая рука, голова, нижние конечности).</w:t>
      </w:r>
    </w:p>
    <w:p w14:paraId="5E02F25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Рассмотрение отчетов НИИ ВВС по подбору типа и толщины брони для защиты от оружия 15 и 20 мм</w:t>
      </w:r>
    </w:p>
    <w:p w14:paraId="3218C78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Из отчета НИИ ВВС по обстрелу брони из немецкого пулемета-пушки МГ-151 калибра 15 и 20 мм следует, что для защиты от немецких бронебойных пуль калибра 15 мм, в случае самых жестких условий обстрела - по нормали (поперечная броня) требуется с дистанций: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3475"/>
        <w:gridCol w:w="2693"/>
      </w:tblGrid>
      <w:tr w:rsidR="001E2C69" w:rsidRPr="001E2C69" w14:paraId="1DE6FC59" w14:textId="77777777" w:rsidTr="00CC5360">
        <w:tc>
          <w:tcPr>
            <w:tcW w:w="1878" w:type="dxa"/>
            <w:tcBorders>
              <w:top w:val="single" w:sz="12" w:space="0" w:color="auto"/>
            </w:tcBorders>
          </w:tcPr>
          <w:p w14:paraId="7BAC706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50-100 м</w:t>
            </w:r>
          </w:p>
        </w:tc>
        <w:tc>
          <w:tcPr>
            <w:tcW w:w="3475" w:type="dxa"/>
            <w:tcBorders>
              <w:top w:val="single" w:sz="12" w:space="0" w:color="auto"/>
            </w:tcBorders>
          </w:tcPr>
          <w:p w14:paraId="2160BC6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гомогенная броня толщиной</w:t>
            </w:r>
          </w:p>
        </w:tc>
        <w:tc>
          <w:tcPr>
            <w:tcW w:w="2693" w:type="dxa"/>
            <w:tcBorders>
              <w:top w:val="single" w:sz="12" w:space="0" w:color="auto"/>
            </w:tcBorders>
          </w:tcPr>
          <w:p w14:paraId="172913B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 мм</w:t>
            </w:r>
          </w:p>
        </w:tc>
      </w:tr>
      <w:tr w:rsidR="001E2C69" w:rsidRPr="001E2C69" w14:paraId="32AFC52E" w14:textId="77777777" w:rsidTr="00CC5360">
        <w:tc>
          <w:tcPr>
            <w:tcW w:w="1878" w:type="dxa"/>
          </w:tcPr>
          <w:p w14:paraId="416BAF2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200-250 м</w:t>
            </w:r>
          </w:p>
        </w:tc>
        <w:tc>
          <w:tcPr>
            <w:tcW w:w="3475" w:type="dxa"/>
          </w:tcPr>
          <w:p w14:paraId="5B2A8C2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 </w:t>
            </w:r>
          </w:p>
        </w:tc>
        <w:tc>
          <w:tcPr>
            <w:tcW w:w="2693" w:type="dxa"/>
          </w:tcPr>
          <w:p w14:paraId="0A4FCE7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 20 мм</w:t>
            </w:r>
          </w:p>
        </w:tc>
      </w:tr>
      <w:tr w:rsidR="001E2C69" w:rsidRPr="001E2C69" w14:paraId="1430A866" w14:textId="77777777" w:rsidTr="00CC5360">
        <w:tc>
          <w:tcPr>
            <w:tcW w:w="1878" w:type="dxa"/>
            <w:tcBorders>
              <w:bottom w:val="single" w:sz="12" w:space="0" w:color="auto"/>
            </w:tcBorders>
          </w:tcPr>
          <w:p w14:paraId="1C2C406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350-400 м</w:t>
            </w:r>
          </w:p>
        </w:tc>
        <w:tc>
          <w:tcPr>
            <w:tcW w:w="3475" w:type="dxa"/>
            <w:tcBorders>
              <w:bottom w:val="single" w:sz="12" w:space="0" w:color="auto"/>
            </w:tcBorders>
          </w:tcPr>
          <w:p w14:paraId="68B0000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w:t>
            </w:r>
          </w:p>
        </w:tc>
        <w:tc>
          <w:tcPr>
            <w:tcW w:w="2693" w:type="dxa"/>
            <w:tcBorders>
              <w:bottom w:val="single" w:sz="12" w:space="0" w:color="auto"/>
            </w:tcBorders>
          </w:tcPr>
          <w:p w14:paraId="42FD8DA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 16 мм</w:t>
            </w:r>
          </w:p>
        </w:tc>
      </w:tr>
    </w:tbl>
    <w:p w14:paraId="29B90B4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Для деталей, расположенных параллельно горизонтальной оси самолета (продольная броня) при углах обстрела от 70 гр. и выше с дистанции 100 м достаточная гомогенная броня пониженной твердости - 8-10 мм</w:t>
      </w:r>
    </w:p>
    <w:p w14:paraId="3AF25B7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Вывод:</w:t>
      </w:r>
    </w:p>
    <w:p w14:paraId="7EAABDD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Существующая на отечественных серийных самолетах броня не обеспечивает надежной защиты летного состава от поражений существующим у противника оружием калибра 15-20 мм</w:t>
      </w:r>
    </w:p>
    <w:p w14:paraId="7740C48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Комиссия рассмотрела проект усиления бронирования серийных самолетов ВВС, представленный НИИ ВВС в виде схем и внесла следующие изменения:</w:t>
      </w:r>
    </w:p>
    <w:p w14:paraId="0ABF711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По самолету Пе-2 - верхнюю броню стрелка-радиста разместить с таким расчетом, чтобы она не закрывала бортовых окон радиста</w:t>
      </w:r>
    </w:p>
    <w:p w14:paraId="6D624C4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По самолету Ил-4 - в случае использования этого самолета в качестве ночного бомбардировщика оставить существующую схему броневой защиты. Для дневного варианта бомбардировщика необходимо увеличение толщины брони, согласно новой схемы.</w:t>
      </w:r>
    </w:p>
    <w:p w14:paraId="6F163B1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том и другом случае установить дополнительный подлокотник слева от пилота.</w:t>
      </w:r>
    </w:p>
    <w:p w14:paraId="42E55A1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По самолету Ту-2 в связи с уменьшением ширины бронеспинки пилота, дополнительно установить сзади штурмана справа поперечную плиту толщиной 15 мм из расчета обеспечения угловой защиты л справа-сзади до 25 гр." (1587,12).</w:t>
      </w:r>
    </w:p>
    <w:p w14:paraId="73BDE684" w14:textId="77777777" w:rsidR="00AE7191" w:rsidRPr="001E2C69" w:rsidRDefault="00AE7191" w:rsidP="00722885">
      <w:pPr>
        <w:pStyle w:val="Iauiue"/>
        <w:jc w:val="both"/>
        <w:rPr>
          <w:color w:val="000000" w:themeColor="text1"/>
          <w:sz w:val="16"/>
          <w:szCs w:val="16"/>
        </w:rPr>
      </w:pPr>
    </w:p>
    <w:p w14:paraId="57413EB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13 августа 1942 Нач. 8 ГУ Поликовский писал НКАП А.И.Ш. письмо N 126/688 о том, что свечи на Ам-38 и М-82 быстро выходят из строя не из-за снижения качества, а из-за освинцевания от свинца в горючем при снижении содержания бромистого эфира 9выносителя свинца) в топливе (1684,265).</w:t>
      </w:r>
    </w:p>
    <w:p w14:paraId="7D0F56D4" w14:textId="77777777" w:rsidR="00AE7191" w:rsidRPr="001E2C69" w:rsidRDefault="00AE7191" w:rsidP="00722885">
      <w:pPr>
        <w:pStyle w:val="Iauiue"/>
        <w:jc w:val="both"/>
        <w:rPr>
          <w:color w:val="000000" w:themeColor="text1"/>
          <w:sz w:val="16"/>
          <w:szCs w:val="16"/>
        </w:rPr>
      </w:pPr>
    </w:p>
    <w:p w14:paraId="5083023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13 августа 1942 г. командующий ВВС КА генерал-полков</w:t>
      </w:r>
      <w:r w:rsidRPr="001E2C69">
        <w:rPr>
          <w:rFonts w:ascii="Times New Roman" w:hAnsi="Times New Roman"/>
          <w:color w:val="000000" w:themeColor="text1"/>
          <w:sz w:val="16"/>
          <w:szCs w:val="16"/>
        </w:rPr>
        <w:softHyphen/>
        <w:t>ник А.А. Новиков в связи с положительным опытом примене</w:t>
      </w:r>
      <w:r w:rsidRPr="001E2C69">
        <w:rPr>
          <w:rFonts w:ascii="Times New Roman" w:hAnsi="Times New Roman"/>
          <w:color w:val="000000" w:themeColor="text1"/>
          <w:sz w:val="16"/>
          <w:szCs w:val="16"/>
        </w:rPr>
        <w:softHyphen/>
        <w:t>ния УИл-2 с АМ-38 для целей корректировки артогня, обра</w:t>
      </w:r>
      <w:r w:rsidRPr="001E2C69">
        <w:rPr>
          <w:rFonts w:ascii="Times New Roman" w:hAnsi="Times New Roman"/>
          <w:color w:val="000000" w:themeColor="text1"/>
          <w:sz w:val="16"/>
          <w:szCs w:val="16"/>
        </w:rPr>
        <w:softHyphen/>
        <w:t>тился к наркому авиапромышленности А.И. Шахурину с просьбой создать на базе штурмовика Ил-2 разведчик-коррек</w:t>
      </w:r>
      <w:r w:rsidRPr="001E2C69">
        <w:rPr>
          <w:rFonts w:ascii="Times New Roman" w:hAnsi="Times New Roman"/>
          <w:color w:val="000000" w:themeColor="text1"/>
          <w:sz w:val="16"/>
          <w:szCs w:val="16"/>
        </w:rPr>
        <w:softHyphen/>
        <w:t>тировщик артиллерийского огня: «...Фронт требует также раз</w:t>
      </w:r>
      <w:r w:rsidRPr="001E2C69">
        <w:rPr>
          <w:rFonts w:ascii="Times New Roman" w:hAnsi="Times New Roman"/>
          <w:color w:val="000000" w:themeColor="text1"/>
          <w:sz w:val="16"/>
          <w:szCs w:val="16"/>
        </w:rPr>
        <w:softHyphen/>
        <w:t>ведывательных самолетов и самолетов-корректировщиков арт</w:t>
      </w:r>
      <w:r w:rsidRPr="001E2C69">
        <w:rPr>
          <w:rFonts w:ascii="Times New Roman" w:hAnsi="Times New Roman"/>
          <w:color w:val="000000" w:themeColor="text1"/>
          <w:sz w:val="16"/>
          <w:szCs w:val="16"/>
        </w:rPr>
        <w:softHyphen/>
        <w:t>огня. Оборудованный для этих целей двухместный самолет Ил-2 удовлетворит и это требование фронта. Прошу Вашего указания Главному конструктору тов. Ильюшину срочно раз</w:t>
      </w:r>
      <w:r w:rsidRPr="001E2C69">
        <w:rPr>
          <w:rFonts w:ascii="Times New Roman" w:hAnsi="Times New Roman"/>
          <w:color w:val="000000" w:themeColor="text1"/>
          <w:sz w:val="16"/>
          <w:szCs w:val="16"/>
        </w:rPr>
        <w:softHyphen/>
        <w:t>работать и изготовить опытные образцы двухместного самоле</w:t>
      </w:r>
      <w:r w:rsidRPr="001E2C69">
        <w:rPr>
          <w:rFonts w:ascii="Times New Roman" w:hAnsi="Times New Roman"/>
          <w:color w:val="000000" w:themeColor="text1"/>
          <w:sz w:val="16"/>
          <w:szCs w:val="16"/>
        </w:rPr>
        <w:softHyphen/>
        <w:t>та Ил-2 в вариантах штурмовика, разведчика и корректиров</w:t>
      </w:r>
      <w:r w:rsidRPr="001E2C69">
        <w:rPr>
          <w:rFonts w:ascii="Times New Roman" w:hAnsi="Times New Roman"/>
          <w:color w:val="000000" w:themeColor="text1"/>
          <w:sz w:val="16"/>
          <w:szCs w:val="16"/>
        </w:rPr>
        <w:softHyphen/>
        <w:t>щика артогня».</w:t>
      </w:r>
    </w:p>
    <w:p w14:paraId="4CF9EED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Письмо Новикова с необходимой резолюцией Шахурина бы</w:t>
      </w:r>
      <w:r w:rsidRPr="001E2C69">
        <w:rPr>
          <w:rFonts w:ascii="Times New Roman" w:hAnsi="Times New Roman"/>
          <w:color w:val="000000" w:themeColor="text1"/>
          <w:sz w:val="16"/>
          <w:szCs w:val="16"/>
        </w:rPr>
        <w:softHyphen/>
        <w:t>ло переправлено Ильюшину, который в своем ответе сообщил, что создание разведчика-корректировщика артиллерийского ог</w:t>
      </w:r>
      <w:r w:rsidRPr="001E2C69">
        <w:rPr>
          <w:rFonts w:ascii="Times New Roman" w:hAnsi="Times New Roman"/>
          <w:color w:val="000000" w:themeColor="text1"/>
          <w:sz w:val="16"/>
          <w:szCs w:val="16"/>
        </w:rPr>
        <w:softHyphen/>
        <w:t>ня возможно лишь на базе двухместного Ил-2 с мотором М-82, приспособить же для этой цели двухместный Ил-2 с мотором АМ-38, по его мнению, возможным не представлялось.</w:t>
      </w:r>
    </w:p>
    <w:p w14:paraId="2B4CCB0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Доводы С.В. Ильюшина сочли неубедительными. Государ</w:t>
      </w:r>
      <w:r w:rsidRPr="001E2C69">
        <w:rPr>
          <w:rFonts w:ascii="Times New Roman" w:hAnsi="Times New Roman"/>
          <w:color w:val="000000" w:themeColor="text1"/>
          <w:sz w:val="16"/>
          <w:szCs w:val="16"/>
        </w:rPr>
        <w:softHyphen/>
        <w:t>ственный Комитет обороны 7 февраля 1943 г. своим Постанов</w:t>
      </w:r>
      <w:r w:rsidRPr="001E2C69">
        <w:rPr>
          <w:rFonts w:ascii="Times New Roman" w:hAnsi="Times New Roman"/>
          <w:color w:val="000000" w:themeColor="text1"/>
          <w:sz w:val="16"/>
          <w:szCs w:val="16"/>
        </w:rPr>
        <w:softHyphen/>
        <w:t>лением обязал завод № 240 и «...Главного конструктора Илью</w:t>
      </w:r>
      <w:r w:rsidRPr="001E2C69">
        <w:rPr>
          <w:rFonts w:ascii="Times New Roman" w:hAnsi="Times New Roman"/>
          <w:color w:val="000000" w:themeColor="text1"/>
          <w:sz w:val="16"/>
          <w:szCs w:val="16"/>
        </w:rPr>
        <w:softHyphen/>
        <w:t>шина до окончательной отработки самолета-корректировщика (имелся в виду самолет Ил-2 в варианте разведчика и коррек</w:t>
      </w:r>
      <w:r w:rsidRPr="001E2C69">
        <w:rPr>
          <w:rFonts w:ascii="Times New Roman" w:hAnsi="Times New Roman"/>
          <w:color w:val="000000" w:themeColor="text1"/>
          <w:sz w:val="16"/>
          <w:szCs w:val="16"/>
        </w:rPr>
        <w:softHyphen/>
        <w:t xml:space="preserve">тировщика с более мощным мотором АМ-42. — </w:t>
      </w:r>
      <w:r w:rsidRPr="001E2C69">
        <w:rPr>
          <w:rFonts w:ascii="Times New Roman" w:hAnsi="Times New Roman"/>
          <w:iCs/>
          <w:color w:val="000000" w:themeColor="text1"/>
          <w:sz w:val="16"/>
          <w:szCs w:val="16"/>
        </w:rPr>
        <w:t xml:space="preserve">Авт.) </w:t>
      </w:r>
      <w:r w:rsidRPr="001E2C69">
        <w:rPr>
          <w:rFonts w:ascii="Times New Roman" w:hAnsi="Times New Roman"/>
          <w:color w:val="000000" w:themeColor="text1"/>
          <w:sz w:val="16"/>
          <w:szCs w:val="16"/>
        </w:rPr>
        <w:t>приспо</w:t>
      </w:r>
      <w:r w:rsidRPr="001E2C69">
        <w:rPr>
          <w:rFonts w:ascii="Times New Roman" w:hAnsi="Times New Roman"/>
          <w:color w:val="000000" w:themeColor="text1"/>
          <w:sz w:val="16"/>
          <w:szCs w:val="16"/>
        </w:rPr>
        <w:softHyphen/>
        <w:t>собить существующий двухместный самолет Ил-2 с АМ-38ф». На самолете требовалось предусмотреть установку рации РСБ и СПУ, аэрофотоаппарата АФА-1, а также навигационных приборов. Опытный самолет-корректировщик необходимо было выпустить на испытания к 15 марта 1943 г. (11474,387).</w:t>
      </w:r>
    </w:p>
    <w:p w14:paraId="3C14CCD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0503280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13 августа 1942 Нач. 10 ГУ Тарасевич писал письмо N п/816 НКАП А.И.Ш.:</w:t>
      </w:r>
    </w:p>
    <w:p w14:paraId="652358C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"Согласно Вашего указания по телеграмме Шихарева и Тимофеева направляю проект Постановления ГКО по вопросу замены моторов М-87 на М-88Б на 175 самолетах ДБ-3, находящихся в частях ВВС ДВФ и ЗАБВО.</w:t>
      </w:r>
    </w:p>
    <w:p w14:paraId="18129C8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Работа по замене моторов будет проведена заводом 126 после окончания работ по замене моторов на самолетах ВВС ВМФ, т.е. в октябре-декабре 1942.</w:t>
      </w:r>
    </w:p>
    <w:p w14:paraId="1D0B715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Для выполнения этой работы заводу 126 необходимо будет поставить 350 моторов М-88Б, 350 винтов ВИШ-23 и 350 радиаторов ВМС-8..." Прилагался проект постановления КО (1685,97).</w:t>
      </w:r>
    </w:p>
    <w:p w14:paraId="5B06B91E" w14:textId="77777777" w:rsidR="00AE7191" w:rsidRPr="001E2C69" w:rsidRDefault="00AE7191" w:rsidP="00722885">
      <w:pPr>
        <w:pStyle w:val="Iauiue"/>
        <w:jc w:val="both"/>
        <w:rPr>
          <w:color w:val="000000" w:themeColor="text1"/>
          <w:sz w:val="16"/>
          <w:szCs w:val="16"/>
        </w:rPr>
      </w:pPr>
    </w:p>
    <w:p w14:paraId="2BF8907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13 по 29 августа 1942 проходили войсковые испытания в боевых условиях М-82 на Ла-5 (1315,65).</w:t>
      </w:r>
    </w:p>
    <w:p w14:paraId="79C9D8AC" w14:textId="77777777" w:rsidR="00AE7191" w:rsidRPr="001E2C69" w:rsidRDefault="00AE7191" w:rsidP="00722885">
      <w:pPr>
        <w:pStyle w:val="Iauiue"/>
        <w:jc w:val="both"/>
        <w:rPr>
          <w:color w:val="000000" w:themeColor="text1"/>
          <w:sz w:val="16"/>
          <w:szCs w:val="16"/>
        </w:rPr>
      </w:pPr>
    </w:p>
    <w:p w14:paraId="4F8A435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13 августа 1942 г. по приказу № 627с деревообрабатывающие цеха завода № 169 </w:t>
      </w:r>
      <w:r w:rsidRPr="001E2C69">
        <w:rPr>
          <w:rFonts w:ascii="Times New Roman" w:hAnsi="Times New Roman"/>
          <w:color w:val="000000" w:themeColor="text1"/>
          <w:sz w:val="16"/>
          <w:szCs w:val="16"/>
          <w:lang w:val="en-US"/>
        </w:rPr>
        <w:t>HKAII</w:t>
      </w:r>
      <w:r w:rsidRPr="001E2C69">
        <w:rPr>
          <w:rFonts w:ascii="Times New Roman" w:hAnsi="Times New Roman"/>
          <w:color w:val="000000" w:themeColor="text1"/>
          <w:sz w:val="16"/>
          <w:szCs w:val="16"/>
        </w:rPr>
        <w:t xml:space="preserve"> (бывшая мебельная фабрика № 3 НКлеса) переданы в качестве филиала № 2 заводу № 30 (Завод № 30 НКАП, МАП, п/я 2402, ММЗ «Знамя Труда», Московское авиационное ПО (МАПО)лм. П.В. Дементьева, А-1122, МАПО «МиГ», Производственный центр им. П.А. Воронина ВПК «МАПО», РСК МиГ /125190  г. Москва 1-й Боткинский пр., 7 тел. 252-81-41,207-04-76/) для изготовления деревянных частей самолетов и переведены из 6ГУ в ЮГУ. В соответствии с пост. СМ СССР № 1612с от 5.07.1945 г. и приказом № 306с/203пс от 24.07.1945 г. Филиал № 2 передан обратно со всем оборудованием и личным составом в НК леса (11982).</w:t>
      </w:r>
    </w:p>
    <w:p w14:paraId="0645EFAB"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4083A2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августа 1942 г. по приказу № 627с завод № 169 НКАП был разделен: деревообрабатывающие цеха (бывшая мебельная фабрика) переданы в качестве филиала заводу № 30 для изготовления деревянных частей самолетов и переведены из 6ГУ в 10ГУ; механические цеха оставлены в 6ГУ (планировалось передать их заводу № 482 НКАП).</w:t>
      </w:r>
    </w:p>
    <w:p w14:paraId="0AABCB8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(12.1941 г.-)- А.А. Ткаченко (11982).</w:t>
      </w:r>
    </w:p>
    <w:p w14:paraId="7BAAC576"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1664982"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2C1EF3FE" w14:textId="77777777" w:rsidR="00AE7191" w:rsidRPr="001E2C69" w:rsidRDefault="00AE7191" w:rsidP="00722885">
      <w:pPr>
        <w:pStyle w:val="Iauiue"/>
        <w:jc w:val="both"/>
        <w:rPr>
          <w:iCs/>
          <w:color w:val="000000" w:themeColor="text1"/>
          <w:sz w:val="16"/>
          <w:szCs w:val="16"/>
        </w:rPr>
      </w:pPr>
    </w:p>
    <w:p w14:paraId="3A83231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августа 1942 г. вышел ПРИКАЗ ПО АТУ ГАБТУ КА И ГЛАВТРАНСМАШУ НКСМ О НАЗНАЧЕНИИ КОМИССИИ ПО ИСПЫТАНИЯМ № 78/9</w:t>
      </w:r>
    </w:p>
    <w:p w14:paraId="53E66F6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 исполнение распоряжения Совета народных комиссаров СССР от 6.08.1942 года № 14662-р в периоде 16.08.1942 г. по 1.09.1942 г. провести испытания опытных образцов автоприцепов с деревян</w:t>
      </w:r>
      <w:r w:rsidRPr="001E2C69">
        <w:rPr>
          <w:rFonts w:ascii="Times New Roman" w:hAnsi="Times New Roman"/>
          <w:color w:val="000000" w:themeColor="text1"/>
          <w:sz w:val="16"/>
          <w:szCs w:val="16"/>
        </w:rPr>
        <w:softHyphen/>
        <w:t>ной рамой на Ирбитском заводе автоприцепов № 1 Главтрансмаша НКСМ СССР.</w:t>
      </w:r>
    </w:p>
    <w:p w14:paraId="4A4C2C1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проведения испытаний назначить комиссию в составе:</w:t>
      </w:r>
    </w:p>
    <w:p w14:paraId="6744433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председатель комиссии — ст. инженер НИБ Главтрансмаша СССР т. Баритко.</w:t>
      </w:r>
    </w:p>
    <w:p w14:paraId="40D4C05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члены комиссии:</w:t>
      </w:r>
    </w:p>
    <w:p w14:paraId="3CE4D95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 АТУ ГАБТУ КА — военпред ГАБТУ КА на Ирбитском заводе автоприцепов т. Беляев;</w:t>
      </w:r>
    </w:p>
    <w:p w14:paraId="3273073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 ГУ ВВС КА — по назначению ГУ ВВС Красной Армии;</w:t>
      </w:r>
    </w:p>
    <w:p w14:paraId="01E7D72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 УСГ КА — по назначению УСГ Красной Армии;</w:t>
      </w:r>
    </w:p>
    <w:p w14:paraId="3636437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 завода автоприцепов № 1 — главный инженер завода т. Герцев,</w:t>
      </w:r>
    </w:p>
    <w:p w14:paraId="5AC72AE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главный конструктор т. Воробьев.</w:t>
      </w:r>
    </w:p>
    <w:p w14:paraId="25C7099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Материальное обеспечение испытаний возложить на автоприцепный завод № 1.</w:t>
      </w:r>
    </w:p>
    <w:p w14:paraId="5FC7958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Испытания прицепов провести по прилагаемой программе.</w:t>
      </w:r>
    </w:p>
    <w:p w14:paraId="06BF8A2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Приложение: программа испытаний.</w:t>
      </w:r>
    </w:p>
    <w:p w14:paraId="7D23992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АТУ ГАБТУ КА генерал-майор технических войск Тягунов</w:t>
      </w:r>
    </w:p>
    <w:p w14:paraId="59B8A7E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Военный комиссар АТУ ГАБТУ КА полковой комиссар Лозовский</w:t>
      </w:r>
    </w:p>
    <w:p w14:paraId="1C0EC85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И.о. начальника Главтрансмаша НКСМ СССР Драйчик</w:t>
      </w:r>
    </w:p>
    <w:p w14:paraId="7E28E05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Приложение</w:t>
      </w:r>
    </w:p>
    <w:p w14:paraId="0133339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УТВЕРЖДАЮ</w:t>
      </w:r>
    </w:p>
    <w:p w14:paraId="244DD99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АТУ ГАБТУ КА</w:t>
      </w:r>
    </w:p>
    <w:p w14:paraId="59A0DA6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генерал-майор технических войск полковой комиссар Тягунов</w:t>
      </w:r>
    </w:p>
    <w:p w14:paraId="0AE8A73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августа 1942 г.</w:t>
      </w:r>
    </w:p>
    <w:p w14:paraId="1A646EE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УТВЕРЖДАЮ Военком АТУ ГАБТУ КА Митькин</w:t>
      </w:r>
    </w:p>
    <w:p w14:paraId="1A007AE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августа 1942 г.</w:t>
      </w:r>
    </w:p>
    <w:p w14:paraId="1F77AC9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УТВЕРЖДАЮ Зам. народного комиссара среднего машиностроения СССР Митькин Лозовский </w:t>
      </w:r>
    </w:p>
    <w:p w14:paraId="4D25BB7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августа 1942 г.</w:t>
      </w:r>
    </w:p>
    <w:p w14:paraId="3B9548B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ПРОГРАММА</w:t>
      </w:r>
    </w:p>
    <w:p w14:paraId="6913DD8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испытаний автотракторных прицепов на деревянной раме 1. Объект испытания</w:t>
      </w:r>
    </w:p>
    <w:p w14:paraId="3A25D18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Испытанию подвергаются опытные образцы двухосных, трехтонных автотракторных прицепов, изготовленные Ирбитским автоприцепным заводом № 1 в соответствии с распоряжением СНК СССР № 14662-р по эскизному проекту, утвержденному АТУ ГАБТУ КА и Главтрансмашем.</w:t>
      </w:r>
    </w:p>
    <w:p w14:paraId="57E48B0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Цель испытания</w:t>
      </w:r>
    </w:p>
    <w:p w14:paraId="75B5601B" w14:textId="77777777" w:rsidR="00AE7191" w:rsidRPr="001E2C69" w:rsidRDefault="00AE7191" w:rsidP="00722885">
      <w:pPr>
        <w:pStyle w:val="afff5"/>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1. Проверить прочность и надежность отдельных узлов и всего прицепа в целом в условиях его эксплуатации при статической нагрузке с перегрузом 50% (4500 кг) и при динамической нагрузке с перегрузом 25% (3750 кг).</w:t>
      </w:r>
    </w:p>
    <w:p w14:paraId="4A34D53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Определить возможность:</w:t>
      </w:r>
    </w:p>
    <w:p w14:paraId="67E5282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использования данного типа прицепа в эксплуатации за автомобилем и трактором в условиях войсковых частей Красной Армии при перевозке грузов общевойскового и специального назначения;</w:t>
      </w:r>
    </w:p>
    <w:p w14:paraId="5D42335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монтажа на шасси прицепа бензоцистерн и других спецустановок.</w:t>
      </w:r>
    </w:p>
    <w:p w14:paraId="4FB85BE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Порядок и объем испытаний 1. Полный километраж пробеговых испытаний — 1000 км за автомашиной и трактором, из них:</w:t>
      </w:r>
    </w:p>
    <w:p w14:paraId="6EAAC22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600 км по шоссейным, грунтовым и булыжным дорогам за автомашиной под нагрузкой;</w:t>
      </w:r>
    </w:p>
    <w:p w14:paraId="27E80B9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100 км за автомашиной на предельной скорости, без нагрузки;</w:t>
      </w:r>
    </w:p>
    <w:p w14:paraId="0C11989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300 км по пересеченной местности с преодолением препятствий (рвы, канавы, ухабы и т.п.) за трактором, под нагрузкой, в сцепе не менее 2 прицепов.</w:t>
      </w:r>
    </w:p>
    <w:p w14:paraId="1A16BE0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Испытания пробегом производить на максимальных скоростях, допускаемых дорожными условиями и мощностью тягачей.</w:t>
      </w:r>
    </w:p>
    <w:p w14:paraId="7585EE9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В процессе испытания выяснить:</w:t>
      </w:r>
    </w:p>
    <w:p w14:paraId="2E1EBF9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прочность и надежность отдельных узлов рамы, подвесок с рессорой, переднего и заднего сцепных устройств и других узлов, мягкость и прочность подвески, периодичность подтяжки крепления;</w:t>
      </w:r>
    </w:p>
    <w:p w14:paraId="6CA9E30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влияние прицепки на буксирующую машину (динамическое и по экономическим показателям);</w:t>
      </w:r>
    </w:p>
    <w:p w14:paraId="4C78043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устойчивость прицепа на наклонных дорогах и поворотах под различной нагрузкой; определить допустимые и предельные углы наклона; дать соображения о высоте рамы для монтажа спецустановок;</w:t>
      </w:r>
    </w:p>
    <w:p w14:paraId="3347CA6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минимальные радиусы поворота автомобиля и трактора с прицепом;</w:t>
      </w:r>
    </w:p>
    <w:p w14:paraId="642D231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д) удобство сцепки и расцепки прицепа с буксирующими автомашиной и трактором одним че</w:t>
      </w:r>
      <w:r w:rsidRPr="001E2C69">
        <w:rPr>
          <w:rFonts w:ascii="Times New Roman" w:hAnsi="Times New Roman"/>
          <w:color w:val="000000" w:themeColor="text1"/>
          <w:sz w:val="16"/>
          <w:szCs w:val="16"/>
        </w:rPr>
        <w:softHyphen/>
        <w:t>ловеком; удобство развертывания поезда на шоссейных дорогах, гибкость поезда;</w:t>
      </w:r>
    </w:p>
    <w:p w14:paraId="32A725D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 удобство обслуживания, загрузки и выгрузки прицепа;</w:t>
      </w:r>
    </w:p>
    <w:p w14:paraId="516424D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ж) поведение прицепа в продольной качке (галопирование);</w:t>
      </w:r>
    </w:p>
    <w:p w14:paraId="09E7181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 предельные и допустимые углы подъема при движении за автомашиной и трактором.</w:t>
      </w:r>
    </w:p>
    <w:p w14:paraId="0194E49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Произвести взвешивание порожнего прицепа и замеры (дать техническую характеристику), а именно:</w:t>
      </w:r>
    </w:p>
    <w:p w14:paraId="4812E08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размеры между лонжеронами;</w:t>
      </w:r>
    </w:p>
    <w:p w14:paraId="173B98A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расстояние между колесами (колея, продольная и поперечная база);</w:t>
      </w:r>
    </w:p>
    <w:p w14:paraId="645CBB5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погрузочная высота;</w:t>
      </w:r>
    </w:p>
    <w:p w14:paraId="548B4BD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обмер сечений лонжеронов, брусьев рамы и консолей;</w:t>
      </w:r>
    </w:p>
    <w:p w14:paraId="7EEA995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 размер стрелы прогиба рессор под грузом 3000 кг, 3750 кг и 4500 кг. 5. Проверить правильность сборки и крепления узлов.</w:t>
      </w:r>
    </w:p>
    <w:p w14:paraId="090A0EC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Выводы</w:t>
      </w:r>
    </w:p>
    <w:p w14:paraId="61E4BBB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На основании проведенных испытаний составить отчет по всем вопросам программы испыта</w:t>
      </w:r>
      <w:r w:rsidRPr="001E2C69">
        <w:rPr>
          <w:rFonts w:ascii="Times New Roman" w:hAnsi="Times New Roman"/>
          <w:color w:val="000000" w:themeColor="text1"/>
          <w:sz w:val="16"/>
          <w:szCs w:val="16"/>
        </w:rPr>
        <w:softHyphen/>
        <w:t>ния, отметить отступления от чертежей и дефекты сборки, влияющие на прочность прицепа, зафиксировать результаты осмотра во время пробега и после него.</w:t>
      </w:r>
    </w:p>
    <w:p w14:paraId="1F02E8E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Отчет по испытаниям представить в Главтрансмаш и АТУ ГАБТУ КА.</w:t>
      </w:r>
    </w:p>
    <w:p w14:paraId="4DAE867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3 отдела АТУ ГАБТУ КА инженер-полковник Дацюк</w:t>
      </w:r>
    </w:p>
    <w:p w14:paraId="3B69702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И.о. начальника Главтрансмаша НКСМ СССР Драйчик</w:t>
      </w:r>
    </w:p>
    <w:p w14:paraId="57014C3B" w14:textId="77777777" w:rsidR="00AE7191" w:rsidRPr="001E2C69" w:rsidRDefault="00AE7191" w:rsidP="00722885">
      <w:pPr>
        <w:pStyle w:val="afff5"/>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ЦАМО. Ф. 38. Оп. 11386. Д. 140. Л. 151-154. Подлинник (11211).</w:t>
      </w:r>
    </w:p>
    <w:p w14:paraId="67D66420" w14:textId="77777777" w:rsidR="00AE7191" w:rsidRPr="001E2C69" w:rsidRDefault="00AE7191" w:rsidP="00722885">
      <w:pPr>
        <w:pStyle w:val="afff5"/>
        <w:jc w:val="both"/>
        <w:rPr>
          <w:i w:val="0"/>
          <w:iCs w:val="0"/>
          <w:color w:val="000000" w:themeColor="text1"/>
          <w:spacing w:val="0"/>
          <w:kern w:val="0"/>
          <w:position w:val="0"/>
          <w:sz w:val="16"/>
          <w:szCs w:val="16"/>
        </w:rPr>
      </w:pPr>
    </w:p>
    <w:p w14:paraId="26CC00A9"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7B420F7C" w14:textId="77777777" w:rsidR="00AE7191" w:rsidRPr="001E2C69" w:rsidRDefault="00AE7191" w:rsidP="00722885">
      <w:pPr>
        <w:pStyle w:val="Iauiue"/>
        <w:jc w:val="both"/>
        <w:rPr>
          <w:iCs/>
          <w:color w:val="000000" w:themeColor="text1"/>
          <w:sz w:val="16"/>
          <w:szCs w:val="16"/>
        </w:rPr>
      </w:pPr>
    </w:p>
    <w:p w14:paraId="3058FBD0"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августа в 1942 году утреннее сообщение Совинформбюро:</w:t>
      </w:r>
    </w:p>
    <w:p w14:paraId="60C12677"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13 августа наши войска вели бои с противником в районах Клетская, северо-восточнее Котельниково, а также в районах Черкесск, Майкоп и Краснодар.</w:t>
      </w:r>
    </w:p>
    <w:p w14:paraId="6CED7D24"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6DE6CD14"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Клетской продолжались упорные бои. На смену обескровленным частям противник бросает в бой свежие резервы. Н-ская стрелковая часть отбила шесть атак и нанесла противнику большой урон. В этом бою уничтожено 18 немецких танков, 3 бронемашины, 23 автомашины, 15 орудий и свыше 900 гитлеровцев. На другом участке противнику удалось несколько продвинуться вперёд.</w:t>
      </w:r>
    </w:p>
    <w:p w14:paraId="4A5673F9"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наши части атаковали противника и улучшили свои позиции. У одного населённого пункта завязался упорный бой. Этот пункт несколько раз переходил из рук в руки. По неполным данным, наши части в течение суток уничтожили 11 танков и до 500 солдат и офицеров противника.</w:t>
      </w:r>
    </w:p>
    <w:p w14:paraId="71ABED19"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Краснодара наши войска вели тяжёлые оборонительные бои против наступающих войск противника. Перед фронтом обороны одной нашей части уничтожены 5 танков, 21 автомашина и истреблено свыше 400 гитлеровцев. Действиями артиллерии и бомбардировочной авиации разрушены две переправы, наведённые немцами через один водный рубеж. Противник понёс большие потери.</w:t>
      </w:r>
    </w:p>
    <w:p w14:paraId="6BB3C985"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районах Майкопа и Черкесска наши части вели напряжённые бои с танками и мотопехотой противника.</w:t>
      </w:r>
    </w:p>
    <w:p w14:paraId="6B46F3D1"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Южнее Воронежа наши войска, преодолевая сопротивление противника, продолжают теснить вражеские войска. Населённый пункт К. очищен от немецких войск. Гитлеровцы, засевшие в каменных домах, полностью уничтожены. На другом участке отбиты ожесточённые контратаки противника. Уничтожено 400 гитлеровцев. Захваченов плен 170 немецких солдат и офицеров.</w:t>
      </w:r>
    </w:p>
    <w:p w14:paraId="1C04868C"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Северо-Западном фронте велись активные боевые действия. На одном из участков наши части заняли населённый пункт. Немцы пытались снова завладеть этим пунктом и в течение суток предприняли 15 контратак. Все атаки противника отбиты с большими для него потерями. Наши бойцы прочно удерживают захваченные позиции. По неполным данным, немцы потеряли только убитыми около 300 солдат и офицеров. На другом участке бойцы части, где командиром тов. Свиридов, в двухдневных боях истребили 560 гитлеровцев. Захвачены трофеи: 21 пулемёт, 4 орудия, 9 миномётов, 1.000 снарядов, 3.000 мин, 6 противотанковых ружей и большое количество винтовок.</w:t>
      </w:r>
    </w:p>
    <w:p w14:paraId="74AA78CE"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Карело-финский партизанский отряд под командованием тов. Г. совершил ночной налёт на гарнизон противника. Застигнув неприятеля врасплох, партизаны истребили 150 гитлеровцев и захватили 45 винтовок, 6 автоматов и радиостанцию.</w:t>
      </w:r>
    </w:p>
    <w:p w14:paraId="4AE96FC5"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под командованием тов. Г., действующий в одном из районов Калининской области, пустил под откос эшелон противника с продовольствием. Партизаны этого же отряда подорвали бронепоезд оккупантов. Уничтожены паровоз и две бронеплощадки.</w:t>
      </w:r>
    </w:p>
    <w:p w14:paraId="7871B8FF"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 немецкого солдата Иозефа найдено неотправленное письмо к сестре Сабине. В письме говорится: «Сегодня мы организовали себе 20 кур и 10 коров. Мы уводим из деревень всё население — взрослых и детей. Не помогают никакие мольбы. Мы умеем быть безжалостными. Если кто-нибудь не хочет идти, его приканчивают. Недавно в одной деревне группа жителей заупрямилась и ни за что не хотела уходить. Мы пришли в бешенство и тут же перестреляли их. А дальше произошло что-то страшное. Несколько русских женщин закололи вилами двух немецких солдат... Нас здесь ненавидят. Никто на родине не может себе представить, какая ярость у русских против нас».</w:t>
      </w:r>
    </w:p>
    <w:p w14:paraId="3DD30613"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людоеды сожгли дотла деревни Костричи, Козуличи, Кострицкую Слободку, Ореховку, Осиновку, Подстружье и Борки, Кировского района, Белорусской ССР. В этих деревнях гитлеровские палачи замучили и расстреляли свыше 600 советских жителей.</w:t>
      </w:r>
    </w:p>
    <w:p w14:paraId="639CCF0E"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крупной электростанции Тюссефальден (Норвегия) норвежские патриоты вывели из строя мощную турбину. На алюминиевом заводе «Норск Алюминиум» в районе Хардангер-фиорда пожаром уничтожено два цеха.» (14982).</w:t>
      </w:r>
    </w:p>
    <w:p w14:paraId="11C04938" w14:textId="77777777" w:rsidR="00DF0DDA" w:rsidRPr="001E2C69" w:rsidRDefault="00DF0DDA" w:rsidP="00722885">
      <w:pPr>
        <w:spacing w:after="0" w:line="240" w:lineRule="auto"/>
        <w:jc w:val="both"/>
        <w:rPr>
          <w:rFonts w:ascii="Times New Roman" w:hAnsi="Times New Roman"/>
          <w:color w:val="000000" w:themeColor="text1"/>
          <w:sz w:val="16"/>
          <w:szCs w:val="16"/>
        </w:rPr>
      </w:pPr>
    </w:p>
    <w:p w14:paraId="18C5A9DC"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августа в 1942 году вечернее сообщение Совинформбюро:</w:t>
      </w:r>
    </w:p>
    <w:p w14:paraId="72121F75"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13 августа наши войска вели бои в районах Клетская, северо-восточнее Котельниково, а также в районах Минеральные Воды, Черкесск, Майкоп и Краснодар.</w:t>
      </w:r>
    </w:p>
    <w:p w14:paraId="3C4DB0BC"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0B81DF10"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Нашими кораблями в Финском заливе потоплена подводная лодка противника. В Баренцевом море потоплено три транспорта противника общим водоизмещением в 28.000 тонн.</w:t>
      </w:r>
    </w:p>
    <w:p w14:paraId="10571639"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12 августа частями нашей авиации на различных участках фронта уничтожено или повреждено до 60 немецких танков, более 200 автомашин с войсками и грузами, 45 повозок, 5 автоцистерн с горючим, взорвано 8 складов боеприпасов и 3 склада горючего, подавлен огонь 11 батарей полевой и зенитной артиллерии, рассеяно и частью уничтожено до 3 батальонов пехоты противника.</w:t>
      </w:r>
    </w:p>
    <w:p w14:paraId="77FC3F07"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Клетской происходили бои с численно превосходящими силами противника. Советские бойцы под командованием старшего лейтенанта Милюкова атаковали и опрокинули батальон вражеской пехоты. Уничтожено l50 немецких солдат и офицеров. Захвачены трофеи. На одном из участков самоотверженно сражался пулемётчик тов. Деркач. Он был ранен осколками мины в обе ноги, но продолжалвести огонь до последнего патрона. В этом бою тов. Деркач уничтожил 45 немцев. В течение дня советские лётчики в воздушных боях сбили 7 и уничтожили на аэродромах 13 немецких самолётов.</w:t>
      </w:r>
    </w:p>
    <w:p w14:paraId="230AE3D5"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наши войска вели упорные бои с противником. В боях за населённый пункт М. сводный отряд под командованием тов. Макарчука отбил атаку противника силою до батальона, а затем, перейдя в контратаку, обратил гитлеровцев в бегство. На поле боя осталось больше сотни вражеских трупов. Танкисты Н-ской части за пять дней боевых действий уничтожили 47 немецких танков, 14 автомашин с пехотой, 10 мотоциклов и до 300 гитлеровцев.</w:t>
      </w:r>
    </w:p>
    <w:p w14:paraId="73D3389E"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Краснодара наши войска отбивали ожесточённые атаки противника. Огневыми налётами нашей артиллерии уничтожено до 70 вражеских танков, 75 автомашин и до 2.000 немецких солдат и офицеров, На участке Н-ской части за день уничтожено свыше 400 гитлеровцев, 5 орудий, 11 миномётов и 9 автомашин. Миномётным огнём разрушены две переправы неприятеля через реку. Большой урон нанесён скоплению автомашин и пехоты немцев, сосредоточенных для форсирования водного рубежа.</w:t>
      </w:r>
    </w:p>
    <w:p w14:paraId="0930083A"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Минеральных Вод и Черкесска наши части вели напряжённые оборонительные бои с численно превосходящими силами противника.</w:t>
      </w:r>
    </w:p>
    <w:p w14:paraId="12B8523E"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наши войска овладели одним населённым пунктом и разгромили 222 пехотный полк 75 немецкой пехотной дивизии. Советские лётчики в течение дня уничтожили до батальона пехоты, 8 танков, 36 автомашин, взорвали склад с боеприпасами и подавили огонь 5 артиллерийских и 4 миномётных батарей противника.</w:t>
      </w:r>
    </w:p>
    <w:p w14:paraId="4437DEB4"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Брянского фронта наши части во взаимодействии с танками после авиационной и артиллерийской подготовки атаковали врага. Сломив сопротивление немцев, наши подразделения форсировали реку и заняли несколько населённых пунктов. Продвигаясь вперёд, наши танкисты уничтожили 56 ДЗОТов и захватили 6 исправных немецких танков вместе с их экипажами.</w:t>
      </w:r>
    </w:p>
    <w:p w14:paraId="2E67727D"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Партизаны Ленинградской области ведут ожесточённые бои с немецкимиоккупантами. Немецкое командование бросило против партизан крупные силы мотопехоты, танки и бронемашины. Объединённые партизанские отряды под командованием тов. В. за два дня боёв истребили до 500 гитлеровцев, подбили и сожгли 8 немецких танков и бронемашин.</w:t>
      </w:r>
    </w:p>
    <w:p w14:paraId="519FE9BE"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обер-ефрейтор 695 полка 340 немецкой пехотной дивизии Вальтер Гудер рассказал: «340 дивизия прибыла на советско-германский фронт в июле 1942 года. Деревня, которую занял наш полк, накануне была оставлена Красной Армией. Когда мы входили в деревню, на улице еще догорали десять немецких танков. Нам приказано было занять оборону и любой ценой не пропустить русских. Однако русские танки прорвались совсем с другой стороны. Солдаты в панике побежали назад. Командир роты удрал раньше всех. Обер-фельдфебель Штейдель из автомата расстреливал убегавших солдат, пытаясь их остановить. Когда я сбежал с возвышенности, там уже были русские, и я сдался без сопротивления. В этом бою мы понесли очень большие потери, так как весь полк был окружён русской пехотой и танками».</w:t>
      </w:r>
    </w:p>
    <w:p w14:paraId="7ED71109"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захватчики превращают жителей оккупированных советских районов в бесправных рабов. Совхоз «Искра», Ленинградской области, гитлеровцы объявили немецким «образцовым хозяйством» и передали барону Шауэру. Оккупанты заставляют крестьян окрестных деревень работать на барона по 15—16 часов в сутки. Никакого вознаграждения за каторжный труд крестьяне не получают. На день им выдают лишь 300 граммов овсяной муки. Недавно гитлеровские изверги согнали всех крестьян в совхоз и на центральной усадьбе публично выпороли 11 женщин и девушек. 55-летнюю колхозницу Кузьмину Елену Федоровну палачи запороли до смерти.</w:t>
      </w:r>
    </w:p>
    <w:p w14:paraId="1BB57F82"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норвежских партизан, действующий в районе Нарвика, за последние дни совершил несколько смелых налётов на немецкие патрули. Партизаны истребили 30 гитлеровцев, захватили 18 автоматов и много патронов. На дороге между Нарвиком и Эльвенесом на минах подорвано 3 немецких грузовика с боеприпасами.</w:t>
      </w:r>
    </w:p>
    <w:p w14:paraId="1CE94DCF"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Трудящиеся Таджикской ССР собрали и отправили защитникам Ленинграда большое количество подарков. На фронт бойцам, командирам и политработникам было доставлено 50 вагонов муки, риса, мяса, сушёных фруктов, мясных и овощных консервов.» (14982).</w:t>
      </w:r>
    </w:p>
    <w:p w14:paraId="3D5ABECA" w14:textId="77777777" w:rsidR="00DF0DDA" w:rsidRPr="001E2C69" w:rsidRDefault="00DF0DDA" w:rsidP="00722885">
      <w:pPr>
        <w:spacing w:after="0" w:line="240" w:lineRule="auto"/>
        <w:jc w:val="both"/>
        <w:rPr>
          <w:rFonts w:ascii="Times New Roman" w:hAnsi="Times New Roman"/>
          <w:color w:val="000000" w:themeColor="text1"/>
          <w:sz w:val="16"/>
          <w:szCs w:val="16"/>
        </w:rPr>
      </w:pPr>
    </w:p>
    <w:p w14:paraId="5D5614E3" w14:textId="77777777" w:rsidR="002C7978" w:rsidRPr="001E2C69" w:rsidRDefault="002C7978" w:rsidP="00722885">
      <w:pPr>
        <w:pStyle w:val="af"/>
        <w:spacing w:before="0" w:after="0"/>
        <w:jc w:val="both"/>
        <w:textAlignment w:val="baseline"/>
        <w:rPr>
          <w:color w:val="000000" w:themeColor="text1"/>
          <w:sz w:val="16"/>
          <w:szCs w:val="16"/>
        </w:rPr>
      </w:pPr>
      <w:r w:rsidRPr="001E2C69">
        <w:rPr>
          <w:color w:val="000000" w:themeColor="text1"/>
          <w:sz w:val="16"/>
          <w:szCs w:val="16"/>
        </w:rPr>
        <w:t>13 августа 1942 на аэродроме Тусов в 17.40 по берлинскому времени объявили тревогу. По докладам постов наблюдения, к нему с востока приближалось около тридцати «цементбомберов», которых сопровождали примерно шестьдесят истребителей. Сразу же по взлетной полосе один за другим, поднимая большие клубы пыли, помчались «Мессершмитты».</w:t>
      </w:r>
    </w:p>
    <w:p w14:paraId="4A6C2992" w14:textId="77777777" w:rsidR="002C7978" w:rsidRPr="001E2C69" w:rsidRDefault="002C7978" w:rsidP="00722885">
      <w:pPr>
        <w:pStyle w:val="af"/>
        <w:spacing w:before="0" w:after="0"/>
        <w:jc w:val="both"/>
        <w:textAlignment w:val="baseline"/>
        <w:rPr>
          <w:color w:val="000000" w:themeColor="text1"/>
          <w:sz w:val="16"/>
          <w:szCs w:val="16"/>
        </w:rPr>
      </w:pPr>
      <w:r w:rsidRPr="001E2C69">
        <w:rPr>
          <w:color w:val="000000" w:themeColor="text1"/>
          <w:sz w:val="16"/>
          <w:szCs w:val="16"/>
        </w:rPr>
        <w:t>Надо сказать, что противовоздушная оборона аэродромов люфтваффе была продумана очень тщательно. На наиболее вероятных направлениях полета штурмовиков Ил-2 немцы создавали многослойный барьер заградительного зенитного огня. Как правило, непосредственно аэродром прикрывали шесть-семь батарей. Каждая из них имела либо четыре 88-мм пушки и два 20-мм автомата, либо девять — двенадцать 20-мм или 37-мм автоматических пушек, а также четыре пулеметные точки, три звукоулавливателя и два прожектора. При этом все они располагались так, чтобы защитить стоянки самолетов и в то же время вести огонь в любом направлении. Посты наблюдения и оповещения имели отличную организацию и связь, вследствие чего работали чрезвычайно эффективно. Они эшелонировались в глубину своей территории, и расстояние между ними не превышало десяти километров. В силу всего этого «горбатым» нанести внезапный удар по аэродрому, как правило, не удавалось.</w:t>
      </w:r>
    </w:p>
    <w:p w14:paraId="3283AF77" w14:textId="4270E5C8" w:rsidR="002C7978" w:rsidRPr="001E2C69" w:rsidRDefault="002C7978" w:rsidP="00722885">
      <w:pPr>
        <w:pStyle w:val="af"/>
        <w:spacing w:before="0" w:after="0"/>
        <w:jc w:val="both"/>
        <w:textAlignment w:val="baseline"/>
        <w:rPr>
          <w:color w:val="000000" w:themeColor="text1"/>
          <w:sz w:val="16"/>
          <w:szCs w:val="16"/>
        </w:rPr>
      </w:pPr>
      <w:r w:rsidRPr="001E2C69">
        <w:rPr>
          <w:color w:val="000000" w:themeColor="text1"/>
          <w:sz w:val="16"/>
          <w:szCs w:val="16"/>
        </w:rPr>
        <w:t>Единственное, что могли этому противопоставить командиры штурмовых полков и дивизий,</w:t>
      </w:r>
      <w:r w:rsidR="001E2C69">
        <w:rPr>
          <w:color w:val="000000" w:themeColor="text1"/>
          <w:sz w:val="16"/>
          <w:szCs w:val="16"/>
        </w:rPr>
        <w:t xml:space="preserve">   </w:t>
      </w:r>
      <w:r w:rsidRPr="001E2C69">
        <w:rPr>
          <w:color w:val="000000" w:themeColor="text1"/>
          <w:sz w:val="16"/>
          <w:szCs w:val="16"/>
        </w:rPr>
        <w:t>— это ставшие традиционными удары с бреющего полета. Полет на малой высоте и сброс бомб с высоты 20–30 метров позволяли в некоторых случаях достичь тактической внезапности. Однако, по признанию самих летчиков-штурмовиков, подобная тактика имела и множество недостатков. Александр Николаевич Ефимов, ставший в годы войны дважды Героем Советского Союза, вспоминал:</w:t>
      </w:r>
    </w:p>
    <w:p w14:paraId="00EF3184" w14:textId="77777777" w:rsidR="002C7978" w:rsidRPr="001E2C69" w:rsidRDefault="002C7978" w:rsidP="00722885">
      <w:pPr>
        <w:pStyle w:val="af"/>
        <w:spacing w:before="0" w:after="0"/>
        <w:jc w:val="both"/>
        <w:textAlignment w:val="baseline"/>
        <w:rPr>
          <w:iCs/>
          <w:color w:val="000000" w:themeColor="text1"/>
          <w:sz w:val="16"/>
          <w:szCs w:val="16"/>
          <w:bdr w:val="none" w:sz="0" w:space="0" w:color="auto" w:frame="1"/>
        </w:rPr>
      </w:pPr>
      <w:r w:rsidRPr="001E2C69">
        <w:rPr>
          <w:iCs/>
          <w:color w:val="000000" w:themeColor="text1"/>
          <w:sz w:val="16"/>
          <w:szCs w:val="16"/>
          <w:bdr w:val="none" w:sz="0" w:space="0" w:color="auto" w:frame="1"/>
        </w:rPr>
        <w:t>«Удар с малых высот не позволял летчикам полностью использовать боевые возможности штурмовика. Бомбы при этом приходилось сбрасывать с замедленным взрывом, чтобы не поразить осколками свой самолет. Существенно снижалась точность бомбометания и от рикошетирования бомб. Стрельба из пушек и пулеметов тоже была затруднена, и это эффективное оружие зачастую не использовалось … Резко ухудшались в бреющем полете условия ведения ориентировки и поиска цели. Штурмовики вынуждены были летать вдоль какого-то линейного ориентира или привязываться к хорошо заметным площадным, чтобы точно выйти в район расположения цели».</w:t>
      </w:r>
    </w:p>
    <w:p w14:paraId="734B3ACA" w14:textId="32ABDB07" w:rsidR="002C7978" w:rsidRPr="001E2C69" w:rsidRDefault="002C7978" w:rsidP="00722885">
      <w:pPr>
        <w:pStyle w:val="af"/>
        <w:spacing w:before="0" w:after="0"/>
        <w:jc w:val="both"/>
        <w:textAlignment w:val="baseline"/>
        <w:rPr>
          <w:color w:val="000000" w:themeColor="text1"/>
          <w:sz w:val="16"/>
          <w:szCs w:val="16"/>
        </w:rPr>
      </w:pPr>
      <w:r w:rsidRPr="001E2C69">
        <w:rPr>
          <w:color w:val="000000" w:themeColor="text1"/>
          <w:sz w:val="16"/>
          <w:szCs w:val="16"/>
        </w:rPr>
        <w:t>Вот и 13 августа, получив вовремя предупреждение, немецкие истребители успели взлететь до начала атаки хорошо знакомых им «цементбомберов». На подходе к аэродрому завязался большой воздушный бой. Согласно данным люфтваффе, пилоты JG3 сбили 11 самолетов, а летчики I./JG53</w:t>
      </w:r>
      <w:r w:rsidR="001E2C69">
        <w:rPr>
          <w:color w:val="000000" w:themeColor="text1"/>
          <w:sz w:val="16"/>
          <w:szCs w:val="16"/>
        </w:rPr>
        <w:t xml:space="preserve">   </w:t>
      </w:r>
      <w:r w:rsidRPr="001E2C69">
        <w:rPr>
          <w:color w:val="000000" w:themeColor="text1"/>
          <w:sz w:val="16"/>
          <w:szCs w:val="16"/>
        </w:rPr>
        <w:t>— 22. Отличился командир 2-й эскадрильи JG53 лейтенант Вальтер Целлот, одержавший сразу три победы. Общие потери советской авиации составили 50 самолетов, и по степи вокруг аэродрома и дальше к линии фронта были разбросаны дымящиеся останки десятков Ил-2, ЛаГГ-3 и МиГ-1.</w:t>
      </w:r>
    </w:p>
    <w:p w14:paraId="281B4D2C" w14:textId="0AE4D374" w:rsidR="002C7978" w:rsidRPr="001E2C69" w:rsidRDefault="002C7978" w:rsidP="00722885">
      <w:pPr>
        <w:pStyle w:val="af"/>
        <w:spacing w:before="0" w:after="0"/>
        <w:jc w:val="both"/>
        <w:textAlignment w:val="baseline"/>
        <w:rPr>
          <w:color w:val="000000" w:themeColor="text1"/>
          <w:sz w:val="16"/>
          <w:szCs w:val="16"/>
        </w:rPr>
      </w:pPr>
      <w:r w:rsidRPr="001E2C69">
        <w:rPr>
          <w:color w:val="000000" w:themeColor="text1"/>
          <w:sz w:val="16"/>
          <w:szCs w:val="16"/>
        </w:rPr>
        <w:t>Разгром над Тусовом заставил советское командование на время отказаться от штурмовых ударов по немецким аэродромам. События 12–13 августа 1942</w:t>
      </w:r>
      <w:r w:rsidR="001E2C69">
        <w:rPr>
          <w:color w:val="000000" w:themeColor="text1"/>
          <w:sz w:val="16"/>
          <w:szCs w:val="16"/>
        </w:rPr>
        <w:t xml:space="preserve">   </w:t>
      </w:r>
      <w:r w:rsidRPr="001E2C69">
        <w:rPr>
          <w:color w:val="000000" w:themeColor="text1"/>
          <w:sz w:val="16"/>
          <w:szCs w:val="16"/>
        </w:rPr>
        <w:t>г. наглядно продемонстрировали слабое планирование воздушных операций, шаблонность тактики штурмовых атак и недостаточную обученность летчиков.</w:t>
      </w:r>
    </w:p>
    <w:p w14:paraId="3A6C64AE" w14:textId="553F3AFA" w:rsidR="002C7978" w:rsidRPr="001E2C69" w:rsidRDefault="002C7978" w:rsidP="00722885">
      <w:pPr>
        <w:pStyle w:val="af"/>
        <w:spacing w:before="0" w:after="0"/>
        <w:jc w:val="both"/>
        <w:textAlignment w:val="baseline"/>
        <w:rPr>
          <w:color w:val="000000" w:themeColor="text1"/>
          <w:sz w:val="16"/>
          <w:szCs w:val="16"/>
        </w:rPr>
      </w:pPr>
      <w:r w:rsidRPr="001E2C69">
        <w:rPr>
          <w:color w:val="000000" w:themeColor="text1"/>
          <w:sz w:val="16"/>
          <w:szCs w:val="16"/>
        </w:rPr>
        <w:t>Не случайно уже через десять дней — 22 августа — начальник штаба ВВС Красной армии генерал-лейтенант Фалалеев подписал секретный приказ №</w:t>
      </w:r>
      <w:r w:rsidR="001E2C69">
        <w:rPr>
          <w:color w:val="000000" w:themeColor="text1"/>
          <w:sz w:val="16"/>
          <w:szCs w:val="16"/>
        </w:rPr>
        <w:t xml:space="preserve">   </w:t>
      </w:r>
      <w:r w:rsidRPr="001E2C69">
        <w:rPr>
          <w:color w:val="000000" w:themeColor="text1"/>
          <w:sz w:val="16"/>
          <w:szCs w:val="16"/>
        </w:rPr>
        <w:t>332597с, адресованный командующим воздушными армиями и касающийся штурмовой авиации. В нем, в частности, констатировалось:</w:t>
      </w:r>
    </w:p>
    <w:p w14:paraId="6B5F3CED" w14:textId="77777777" w:rsidR="002C7978" w:rsidRPr="001E2C69" w:rsidRDefault="002C7978" w:rsidP="00722885">
      <w:pPr>
        <w:pStyle w:val="af"/>
        <w:spacing w:before="0" w:after="0"/>
        <w:jc w:val="both"/>
        <w:textAlignment w:val="baseline"/>
        <w:rPr>
          <w:iCs/>
          <w:color w:val="000000" w:themeColor="text1"/>
          <w:sz w:val="16"/>
          <w:szCs w:val="16"/>
          <w:bdr w:val="none" w:sz="0" w:space="0" w:color="auto" w:frame="1"/>
        </w:rPr>
      </w:pPr>
      <w:r w:rsidRPr="001E2C69">
        <w:rPr>
          <w:iCs/>
          <w:color w:val="000000" w:themeColor="text1"/>
          <w:sz w:val="16"/>
          <w:szCs w:val="16"/>
          <w:bdr w:val="none" w:sz="0" w:space="0" w:color="auto" w:frame="1"/>
        </w:rPr>
        <w:t>«Повседневное применение в течение всей войны одних и тех же способов действий нашими штурмовиками привело к тому, что противник хорошо изучил тактику их действий и организует эффективное противодействие с земли нашим ударам с бреющего полета…</w:t>
      </w:r>
    </w:p>
    <w:p w14:paraId="3FB14882" w14:textId="77777777" w:rsidR="002C7978" w:rsidRPr="001E2C69" w:rsidRDefault="002C7978" w:rsidP="00722885">
      <w:pPr>
        <w:pStyle w:val="af"/>
        <w:spacing w:before="0" w:after="0"/>
        <w:jc w:val="both"/>
        <w:textAlignment w:val="baseline"/>
        <w:rPr>
          <w:iCs/>
          <w:color w:val="000000" w:themeColor="text1"/>
          <w:sz w:val="16"/>
          <w:szCs w:val="16"/>
          <w:bdr w:val="none" w:sz="0" w:space="0" w:color="auto" w:frame="1"/>
        </w:rPr>
      </w:pPr>
      <w:r w:rsidRPr="001E2C69">
        <w:rPr>
          <w:iCs/>
          <w:color w:val="000000" w:themeColor="text1"/>
          <w:sz w:val="16"/>
          <w:szCs w:val="16"/>
          <w:bdr w:val="none" w:sz="0" w:space="0" w:color="auto" w:frame="1"/>
        </w:rPr>
        <w:t>Отсутствие должной организации сбора после атаки приводит к тому, что возвращение сплошь и рядом совершается отдельными самолетами. Специально выделенные для борьбы с нашими штурмовиками группы истребителей противника, пользуясь расчленением наших штурмовиков, летящих на бреющем полете, пристраиваются к ним и расстреливают их в упор. Отмечен ряд случаев, когда Me-109 подлетали вплотную к Ил-2, выпускали шасси, становились в хвост и прицельным огнем из пулеметов и пушек били по самым уязвимым местам нашего штурмовика: в щель между фонарем и фюзеляжем, в боковые окна фонаря, по шасси, по хвосту и управлению.</w:t>
      </w:r>
    </w:p>
    <w:p w14:paraId="0F37792C" w14:textId="77777777" w:rsidR="002C7978" w:rsidRPr="001E2C69" w:rsidRDefault="002C7978" w:rsidP="00722885">
      <w:pPr>
        <w:pStyle w:val="af"/>
        <w:spacing w:before="0" w:after="0"/>
        <w:jc w:val="both"/>
        <w:textAlignment w:val="baseline"/>
        <w:rPr>
          <w:iCs/>
          <w:color w:val="000000" w:themeColor="text1"/>
          <w:sz w:val="16"/>
          <w:szCs w:val="16"/>
          <w:bdr w:val="none" w:sz="0" w:space="0" w:color="auto" w:frame="1"/>
        </w:rPr>
      </w:pPr>
      <w:r w:rsidRPr="001E2C69">
        <w:rPr>
          <w:iCs/>
          <w:color w:val="000000" w:themeColor="text1"/>
          <w:sz w:val="16"/>
          <w:szCs w:val="16"/>
          <w:bdr w:val="none" w:sz="0" w:space="0" w:color="auto" w:frame="1"/>
        </w:rPr>
        <w:t>Тактика пассивной обороны Ил-2, построенная в расчете на броню и всесилие бреющего полета, не оправдывает себя; если уход от противника и удается, то после посадки, как правило, Ил-2 нуждается в большом ремонте…</w:t>
      </w:r>
    </w:p>
    <w:p w14:paraId="5E304D92" w14:textId="77777777" w:rsidR="002C7978" w:rsidRPr="001E2C69" w:rsidRDefault="002C7978" w:rsidP="00722885">
      <w:pPr>
        <w:pStyle w:val="af"/>
        <w:spacing w:before="0" w:after="0"/>
        <w:jc w:val="both"/>
        <w:textAlignment w:val="baseline"/>
        <w:rPr>
          <w:iCs/>
          <w:color w:val="000000" w:themeColor="text1"/>
          <w:sz w:val="16"/>
          <w:szCs w:val="16"/>
          <w:bdr w:val="none" w:sz="0" w:space="0" w:color="auto" w:frame="1"/>
        </w:rPr>
      </w:pPr>
      <w:r w:rsidRPr="001E2C69">
        <w:rPr>
          <w:iCs/>
          <w:color w:val="000000" w:themeColor="text1"/>
          <w:sz w:val="16"/>
          <w:szCs w:val="16"/>
          <w:bdr w:val="none" w:sz="0" w:space="0" w:color="auto" w:frame="1"/>
        </w:rPr>
        <w:t>…бреющий полет усложняет ориентировку, летный состав, особенно молодой, часто теряет ее и нередко делает вынужденные посадки вне аэродрома, надолго выводя при этом самолеты из строя» (19522).</w:t>
      </w:r>
    </w:p>
    <w:p w14:paraId="7E1CC9E7" w14:textId="77777777" w:rsidR="002C7978" w:rsidRPr="001E2C69" w:rsidRDefault="002C7978" w:rsidP="00722885">
      <w:pPr>
        <w:pStyle w:val="af"/>
        <w:spacing w:before="0" w:after="0"/>
        <w:jc w:val="both"/>
        <w:textAlignment w:val="baseline"/>
        <w:rPr>
          <w:iCs/>
          <w:color w:val="000000" w:themeColor="text1"/>
          <w:sz w:val="16"/>
          <w:szCs w:val="16"/>
          <w:bdr w:val="none" w:sz="0" w:space="0" w:color="auto" w:frame="1"/>
        </w:rPr>
      </w:pPr>
    </w:p>
    <w:p w14:paraId="3F0658DF" w14:textId="77777777" w:rsidR="00AE3C43" w:rsidRPr="001E2C69" w:rsidRDefault="00AE3C43"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августа 1942 на аэродроме Тусов в 17.40 по берлинскому времени объявили тревогу. По докладам постов наблюдения, к нему с востока приближалось около тридцати «цементбомберов», которых сопровождали примерно шестьдесят истребителей. Сразу же по взлетной полосе один за другим, поднимая большие клубы пыли, помчались «Мессершмитты».</w:t>
      </w:r>
    </w:p>
    <w:p w14:paraId="718C38CD" w14:textId="77777777" w:rsidR="00AE3C43" w:rsidRPr="001E2C69" w:rsidRDefault="00AE3C43"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Противовоздушная оборона аэродромов люфтваффе была продумана очень тщательно. На наиболее вероятных направлениях полета штурмовиков Ил</w:t>
      </w:r>
      <w:r w:rsidRPr="001E2C69">
        <w:rPr>
          <w:rFonts w:ascii="Times New Roman" w:hAnsi="Times New Roman"/>
          <w:color w:val="000000" w:themeColor="text1"/>
          <w:sz w:val="16"/>
          <w:szCs w:val="16"/>
        </w:rPr>
        <w:noBreakHyphen/>
        <w:t>2 немцы создавали многослойный барьер заградительного зенитного огня. Как правило, непосредственно аэродром прикрывали шесть</w:t>
      </w:r>
      <w:r w:rsidRPr="001E2C69">
        <w:rPr>
          <w:rFonts w:ascii="Times New Roman" w:hAnsi="Times New Roman"/>
          <w:color w:val="000000" w:themeColor="text1"/>
          <w:sz w:val="16"/>
          <w:szCs w:val="16"/>
        </w:rPr>
        <w:noBreakHyphen/>
        <w:t>семь батарей. Каждая из них имела либо четыре 88</w:t>
      </w:r>
      <w:r w:rsidRPr="001E2C69">
        <w:rPr>
          <w:rFonts w:ascii="Times New Roman" w:hAnsi="Times New Roman"/>
          <w:color w:val="000000" w:themeColor="text1"/>
          <w:sz w:val="16"/>
          <w:szCs w:val="16"/>
        </w:rPr>
        <w:noBreakHyphen/>
        <w:t>мм пушки и два 20</w:t>
      </w:r>
      <w:r w:rsidRPr="001E2C69">
        <w:rPr>
          <w:rFonts w:ascii="Times New Roman" w:hAnsi="Times New Roman"/>
          <w:color w:val="000000" w:themeColor="text1"/>
          <w:sz w:val="16"/>
          <w:szCs w:val="16"/>
        </w:rPr>
        <w:noBreakHyphen/>
        <w:t>мм автомата, либо девять – двенадцать 20</w:t>
      </w:r>
      <w:r w:rsidRPr="001E2C69">
        <w:rPr>
          <w:rFonts w:ascii="Times New Roman" w:hAnsi="Times New Roman"/>
          <w:color w:val="000000" w:themeColor="text1"/>
          <w:sz w:val="16"/>
          <w:szCs w:val="16"/>
        </w:rPr>
        <w:noBreakHyphen/>
        <w:t>мм или 37</w:t>
      </w:r>
      <w:r w:rsidRPr="001E2C69">
        <w:rPr>
          <w:rFonts w:ascii="Times New Roman" w:hAnsi="Times New Roman"/>
          <w:color w:val="000000" w:themeColor="text1"/>
          <w:sz w:val="16"/>
          <w:szCs w:val="16"/>
        </w:rPr>
        <w:noBreakHyphen/>
        <w:t>мм автоматических пушек, а также четыре пулеметные точки, три звукоулавливателя и два прожектора. При этом все они располагались так, чтобы защитить стоянки самолетов и в то же время вести огонь в любом направлении. Посты наблюдения и оповещения имели отличную организацию и связь, вследствие чего работали чрезвычайно эффективно. Они эшелонировались в глубину своей территории, и расстояние между ними не превышало десяти километров. В силу всего этого «горбатым» нанести внезапный удар по аэродрому, как правило, не удавалось.</w:t>
      </w:r>
    </w:p>
    <w:p w14:paraId="2B6C0FDA" w14:textId="57EBD1BF" w:rsidR="00AE3C43" w:rsidRPr="001E2C69" w:rsidRDefault="00AE3C43"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Единственное, что могли этому противопоставить командиры штурмовых полков и дивизий,</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это ставшие традиционными удары с бреющего полета. Полет на малой высоте и сброс бомб с высоты 20–30 метров позволяли в некоторых случаях достичь тактической внезапности. Однако, по признанию самих летчиков</w:t>
      </w:r>
      <w:r w:rsidRPr="001E2C69">
        <w:rPr>
          <w:rFonts w:ascii="Times New Roman" w:hAnsi="Times New Roman"/>
          <w:color w:val="000000" w:themeColor="text1"/>
          <w:sz w:val="16"/>
          <w:szCs w:val="16"/>
        </w:rPr>
        <w:noBreakHyphen/>
        <w:t>штурмовиков, подобная тактика имела и множество недостатков. Александр Николаевич Ефимов, ставший в годы войны дважды Героем Советского Союза, вспоминал: «Удар с малых высот не позволял летчикам полностью использовать боевые возможности штурмовика. Бомбы при этом приходилось сбрасывать с замедленным взрывом, чтобы не поразить осколками свой самолет. Существенно снижалась точность бомбометания и от рикошетирования бомб. Стрельба из пушек и пулеметов тоже была затруднена, и это эффективное оружие зачастую не использовалось … Резко ухудшались в бреющем полете условия ведения ориентировки и поиска цели. Штурмовики вынуждены были летать вдоль какого</w:t>
      </w:r>
      <w:r w:rsidRPr="001E2C69">
        <w:rPr>
          <w:rFonts w:ascii="Times New Roman" w:hAnsi="Times New Roman"/>
          <w:color w:val="000000" w:themeColor="text1"/>
          <w:sz w:val="16"/>
          <w:szCs w:val="16"/>
        </w:rPr>
        <w:noBreakHyphen/>
        <w:t>то линейного ориентира или привязываться к хорошо заметным площадным, чтобы точно выйти в район расположения цели» [44] .</w:t>
      </w:r>
    </w:p>
    <w:p w14:paraId="6BA8EFF1" w14:textId="77777777" w:rsidR="00AE3C43" w:rsidRPr="001E2C69" w:rsidRDefault="00AE3C43"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Вот и 13 августа, получив вовремя предупреждение, немецкие истребители успели взлететь до начала атаки хорошо знакомых им «цементбомберов». На подходе к аэродрому завязался большой воздушный бой. Согласно данным люфтваффе, пилоты JG3 сбили 11 самолетов, а летчики I./JG53 – 22. Отличился командир 2</w:t>
      </w:r>
      <w:r w:rsidRPr="001E2C69">
        <w:rPr>
          <w:rFonts w:ascii="Times New Roman" w:hAnsi="Times New Roman"/>
          <w:color w:val="000000" w:themeColor="text1"/>
          <w:sz w:val="16"/>
          <w:szCs w:val="16"/>
        </w:rPr>
        <w:noBreakHyphen/>
        <w:t>й эскадрильи JG53 лейтенант Вальтер Целлот, одержавший сразу три победы. Общие потери советской авиации составили 50 самолетов, и по степи вокруг аэродрома и дальше к линии фронта были разбросаны дымящиеся останки десятков Ил</w:t>
      </w:r>
      <w:r w:rsidRPr="001E2C69">
        <w:rPr>
          <w:rFonts w:ascii="Times New Roman" w:hAnsi="Times New Roman"/>
          <w:color w:val="000000" w:themeColor="text1"/>
          <w:sz w:val="16"/>
          <w:szCs w:val="16"/>
        </w:rPr>
        <w:noBreakHyphen/>
        <w:t>2, ЛаГГ</w:t>
      </w:r>
      <w:r w:rsidRPr="001E2C69">
        <w:rPr>
          <w:rFonts w:ascii="Times New Roman" w:hAnsi="Times New Roman"/>
          <w:color w:val="000000" w:themeColor="text1"/>
          <w:sz w:val="16"/>
          <w:szCs w:val="16"/>
        </w:rPr>
        <w:noBreakHyphen/>
        <w:t>3 и МиГ</w:t>
      </w:r>
      <w:r w:rsidRPr="001E2C69">
        <w:rPr>
          <w:rFonts w:ascii="Times New Roman" w:hAnsi="Times New Roman"/>
          <w:color w:val="000000" w:themeColor="text1"/>
          <w:sz w:val="16"/>
          <w:szCs w:val="16"/>
        </w:rPr>
        <w:noBreakHyphen/>
        <w:t>1.</w:t>
      </w:r>
    </w:p>
    <w:p w14:paraId="4B09D0E9" w14:textId="312355A8" w:rsidR="00AE3C43" w:rsidRPr="001E2C69" w:rsidRDefault="00AE3C43"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Разгром над Тусовом заставил советское командование на время отказаться от штурмовых ударов по немецким аэродромам. События 12–13 августа 1942</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г. наглядно продемонстрировали слабое планирование воздушных операций, шаблонность тактики штурмовых атак и недостаточную обученность летчиков (23199).</w:t>
      </w:r>
    </w:p>
    <w:p w14:paraId="52A044E6" w14:textId="77777777" w:rsidR="00AE3C43" w:rsidRPr="001E2C69" w:rsidRDefault="00AE3C43" w:rsidP="00722885">
      <w:pPr>
        <w:spacing w:after="0" w:line="240" w:lineRule="auto"/>
        <w:jc w:val="both"/>
        <w:rPr>
          <w:rFonts w:ascii="Times New Roman" w:hAnsi="Times New Roman"/>
          <w:color w:val="000000" w:themeColor="text1"/>
          <w:sz w:val="16"/>
          <w:szCs w:val="16"/>
        </w:rPr>
      </w:pPr>
    </w:p>
    <w:p w14:paraId="317AAA6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августа 1942 г. в 49-й Краснознаменный ИАП прибыли первые Ла-5 М-82А — полку поставили задачу провести войсковые испыта</w:t>
      </w:r>
      <w:r w:rsidRPr="001E2C69">
        <w:rPr>
          <w:rFonts w:ascii="Times New Roman" w:hAnsi="Times New Roman"/>
          <w:color w:val="000000" w:themeColor="text1"/>
          <w:sz w:val="16"/>
          <w:szCs w:val="16"/>
        </w:rPr>
        <w:softHyphen/>
        <w:t>ния (ВИ) нового истребителя. Самолет вызвал настороженное отно</w:t>
      </w:r>
      <w:r w:rsidRPr="001E2C69">
        <w:rPr>
          <w:rFonts w:ascii="Times New Roman" w:hAnsi="Times New Roman"/>
          <w:color w:val="000000" w:themeColor="text1"/>
          <w:sz w:val="16"/>
          <w:szCs w:val="16"/>
        </w:rPr>
        <w:softHyphen/>
        <w:t>шение: фамильное сходство с ЛаГГ-3 было не лучшей рекоменда</w:t>
      </w:r>
      <w:r w:rsidRPr="001E2C69">
        <w:rPr>
          <w:rFonts w:ascii="Times New Roman" w:hAnsi="Times New Roman"/>
          <w:color w:val="000000" w:themeColor="text1"/>
          <w:sz w:val="16"/>
          <w:szCs w:val="16"/>
        </w:rPr>
        <w:softHyphen/>
        <w:t xml:space="preserve">цией, мощный мотор — это хорошо, но как он покажет себя в </w:t>
      </w:r>
      <w:r w:rsidRPr="001E2C69">
        <w:rPr>
          <w:rFonts w:ascii="Times New Roman" w:hAnsi="Times New Roman"/>
          <w:color w:val="000000" w:themeColor="text1"/>
          <w:sz w:val="16"/>
          <w:szCs w:val="16"/>
        </w:rPr>
        <w:lastRenderedPageBreak/>
        <w:t>бою? Вопрос был далеко не праздный. Уже было известно, что командо</w:t>
      </w:r>
      <w:r w:rsidRPr="001E2C69">
        <w:rPr>
          <w:rFonts w:ascii="Times New Roman" w:hAnsi="Times New Roman"/>
          <w:color w:val="000000" w:themeColor="text1"/>
          <w:sz w:val="16"/>
          <w:szCs w:val="16"/>
        </w:rPr>
        <w:softHyphen/>
        <w:t>вание ВВС планировало среди прочих перевооружить на Ла-5 один из лучших авиаполков — 434-й ИАП, но несколько летчиков поле</w:t>
      </w:r>
      <w:r w:rsidRPr="001E2C69">
        <w:rPr>
          <w:rFonts w:ascii="Times New Roman" w:hAnsi="Times New Roman"/>
          <w:color w:val="000000" w:themeColor="text1"/>
          <w:sz w:val="16"/>
          <w:szCs w:val="16"/>
        </w:rPr>
        <w:softHyphen/>
        <w:t>тали на новом самолете, дали отрицательный отзыв, и комполка В.И. Сталин добился, чтобы его часть перевооружили на Як-9 (11123).</w:t>
      </w:r>
    </w:p>
    <w:p w14:paraId="49E7816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515BA29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13 августа 1942 немцы наступали на Кавказ (2261).</w:t>
      </w:r>
    </w:p>
    <w:p w14:paraId="437A06E0" w14:textId="77777777" w:rsidR="00AE7191" w:rsidRPr="001E2C69" w:rsidRDefault="00AE7191" w:rsidP="00722885">
      <w:pPr>
        <w:pStyle w:val="Iauiue"/>
        <w:jc w:val="both"/>
        <w:rPr>
          <w:color w:val="000000" w:themeColor="text1"/>
          <w:sz w:val="16"/>
          <w:szCs w:val="16"/>
        </w:rPr>
      </w:pPr>
    </w:p>
    <w:p w14:paraId="3B668ECD"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Внешняя политика:</w:t>
      </w:r>
    </w:p>
    <w:p w14:paraId="688116A0" w14:textId="77777777" w:rsidR="00AE7191" w:rsidRPr="001E2C69" w:rsidRDefault="00AE7191" w:rsidP="00722885">
      <w:pPr>
        <w:pStyle w:val="Iauiue"/>
        <w:jc w:val="both"/>
        <w:rPr>
          <w:iCs/>
          <w:color w:val="000000" w:themeColor="text1"/>
          <w:sz w:val="16"/>
          <w:szCs w:val="16"/>
        </w:rPr>
      </w:pPr>
    </w:p>
    <w:p w14:paraId="3B4DF54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13 августа 1942 года</w:t>
      </w:r>
    </w:p>
    <w:p w14:paraId="38C6A57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ДЛЯ ПРЕМЬЕРА СТАЛИНА</w:t>
      </w:r>
    </w:p>
    <w:p w14:paraId="37C7955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ИНФОРМАЦИОННОЕ СООБЩЕНИЕ Конвой на Мальту</w:t>
      </w:r>
    </w:p>
    <w:p w14:paraId="7EB7DCE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Самые последние сообщения говорят о том, что мы понесли следующие потери:</w:t>
      </w:r>
    </w:p>
    <w:p w14:paraId="6EA3592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a) потоплены: авианосец “Игл”, 5 транспортов;</w:t>
      </w:r>
    </w:p>
    <w:p w14:paraId="0B9FD3C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b) наскочили на мину или торпедированы, но состояние неизвестно: 3 крейсера — “Нигерия”, “Кения”, “Каир”;</w:t>
      </w:r>
    </w:p>
    <w:p w14:paraId="0D8B81F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c) повреждены: авианосец “Индомитэбл” — в результате воздушного нападения, эсминец “Форсайт” — в результате торпедирования.</w:t>
      </w:r>
    </w:p>
    <w:p w14:paraId="3C047A1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Потери противника, согласно полученным сообщениям, следующие: две подводные лодки протаранены и потоплены, и одна подводная лодка почти наверняка потоплена в результате воздушного нападения (еще одна подводная лодка потоплена в Атлантическом океане 3 августа и одна — 10 августа в Средиземном море).</w:t>
      </w:r>
    </w:p>
    <w:p w14:paraId="12CD0DD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Противник сконцентрировал большое количество авиации, и считают, что наши истребители, действуя с авианосцев, работали очень хорошо и одержали крупную победу.</w:t>
      </w:r>
    </w:p>
    <w:p w14:paraId="5F98B52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Сегодня утром (в четверг) может произойти сражение с крейсерами противника. Противник располагает также линейным кораблем в открытом море.</w:t>
      </w:r>
    </w:p>
    <w:p w14:paraId="0069FD3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Как мы предполагали, этот конвой, направлявшийся к указанному важному форпосту в Средиземном море, должен был проложить себе путь с боями, преодолевая весьма сильное сопротивление, и какая его часть достигнет места назначения, пока неизвестно.</w:t>
      </w:r>
    </w:p>
    <w:p w14:paraId="7D2430B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Налеты авиации</w:t>
      </w:r>
    </w:p>
    <w:p w14:paraId="706D175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ночь с 11 на 12 августа мы выслали в общей сложности 427 бомбардировщиков; 220 бомбардировщиков направились на Майнц, где были отмечены очень большие пожары, а 154 — на Гавр. Остальные самолеты минировали море и т. д.</w:t>
      </w:r>
    </w:p>
    <w:p w14:paraId="24249A5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Потери составили 16 бомбардировщиков, и 3 бомбардировщика разбились на обратном пути.</w:t>
      </w:r>
    </w:p>
    <w:p w14:paraId="2B42486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У. Ч. (7430).</w:t>
      </w:r>
    </w:p>
    <w:p w14:paraId="28DFC1B4" w14:textId="77777777" w:rsidR="00AE7191" w:rsidRPr="001E2C69" w:rsidRDefault="00AE7191" w:rsidP="00722885">
      <w:pPr>
        <w:pStyle w:val="Iauiue"/>
        <w:jc w:val="both"/>
        <w:rPr>
          <w:color w:val="000000" w:themeColor="text1"/>
          <w:sz w:val="16"/>
          <w:szCs w:val="16"/>
        </w:rPr>
      </w:pPr>
    </w:p>
    <w:p w14:paraId="2B16D1A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13 августа 1942 года</w:t>
      </w:r>
    </w:p>
    <w:p w14:paraId="25760DD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 В. СТАЛИН У. ЧЕРЧИЛЛЮ *</w:t>
      </w:r>
    </w:p>
    <w:p w14:paraId="3CFEF6C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МЕМОРАНДУМ</w:t>
      </w:r>
    </w:p>
    <w:p w14:paraId="1C4F320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результате обмена мнений в Москве, имевшего место 12 августа с. г., я установил, что Премьер-Министр Великобритании г. Черчилль считает невозможной организацию второго фронта в Европе в 1942 году.</w:t>
      </w:r>
    </w:p>
    <w:p w14:paraId="253EED5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Как известно, организация второго фронта в Европе в 1942 году была предрешена во время посещения Молотовым Лондона и она была отражена в согласованном англо-советском коммюнике, опубликованном 12 июня с. г.</w:t>
      </w:r>
    </w:p>
    <w:p w14:paraId="7A230DC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Известно также, что организация второго фронта в Европе имела своей целью отвлечение немецких сил с восточного фронта на Запад, создание на Западе серьезной базы сопротивления немецко-фашистским силам и облегчение таким образом положения советских войск на советско-германском фронте в 1942 году.</w:t>
      </w:r>
    </w:p>
    <w:p w14:paraId="2DD52EF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Вполне понятно, что Советское Командование строило план своих летних и осенних операций в расчете на создание второго фронта в Европе в 1942 году.</w:t>
      </w:r>
    </w:p>
    <w:p w14:paraId="66787EB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Легко понять, что отказ Правительства Великобритании от создания второго фронта в 1942 году в Европе наносит моральный удар всей советской общественности, рассчитывающей на создание второго фронта, осложняет положение Красной Армии на фронте и наносит ущерб планам Советского Командования.</w:t>
      </w:r>
    </w:p>
    <w:p w14:paraId="37A143E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Я уже не говорю о том, что затруднения для Красной Армии, создающиеся в результате отказа от создания второго фронта в 1942 году, несомненно, должны будут ухудшить военное положение Англии и всех остальных союзников.</w:t>
      </w:r>
    </w:p>
    <w:p w14:paraId="40B6316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Мне и моим коллегам кажется, что 1942 год представляет наиболее благоприятные условия для создания второго фронта в Европе, так как почти все силы немецких войск, и притом лучшие силы, отвлечены на восточный фронт, а в Европе оставлено незначительное количество сил, и притом худших сил. Неизвестно, будет ли представлять 1943 год такие же благоприятные условия для создания второго фронта, как 1942 год. Мы считаем поэтому, что именно в 1942 году возможно и следует создать второй фронт в Европе. Но мне, к сожалению, не удалось убедить в этом господина Премьер-Министра Великобритании, а г. Гарриман, представитель Президента США при переговорах в Москве, целиком поддержал господина Премьер-Министра.</w:t>
      </w:r>
    </w:p>
    <w:p w14:paraId="289249B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 СТАЛИН (7430).</w:t>
      </w:r>
    </w:p>
    <w:p w14:paraId="0F237ACE" w14:textId="77777777" w:rsidR="00AE7191" w:rsidRPr="001E2C69" w:rsidRDefault="00AE7191" w:rsidP="00722885">
      <w:pPr>
        <w:pStyle w:val="Iauiue"/>
        <w:jc w:val="both"/>
        <w:rPr>
          <w:color w:val="000000" w:themeColor="text1"/>
          <w:sz w:val="16"/>
          <w:szCs w:val="16"/>
        </w:rPr>
      </w:pPr>
    </w:p>
    <w:p w14:paraId="5F2AEB94" w14:textId="77777777" w:rsidR="00DF0DDA"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0C9C7631" w14:textId="77777777" w:rsidR="00DF0DDA" w:rsidRPr="001E2C69" w:rsidRDefault="00DF0DDA" w:rsidP="00722885">
      <w:pPr>
        <w:pStyle w:val="Iauiue"/>
        <w:jc w:val="both"/>
        <w:rPr>
          <w:iCs/>
          <w:color w:val="000000" w:themeColor="text1"/>
          <w:sz w:val="16"/>
          <w:szCs w:val="16"/>
        </w:rPr>
      </w:pPr>
    </w:p>
    <w:p w14:paraId="696EFF14"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13 августа в 1942 году во время операции </w:t>
      </w:r>
      <w:hyperlink r:id="rId188" w:tgtFrame="_blank" w:history="1">
        <w:r w:rsidRPr="001E2C69">
          <w:rPr>
            <w:rFonts w:ascii="Times New Roman" w:hAnsi="Times New Roman"/>
            <w:color w:val="000000" w:themeColor="text1"/>
            <w:sz w:val="16"/>
            <w:szCs w:val="16"/>
          </w:rPr>
          <w:t xml:space="preserve">«Пьедестал» </w:t>
        </w:r>
      </w:hyperlink>
      <w:r w:rsidRPr="001E2C69">
        <w:rPr>
          <w:rFonts w:ascii="Times New Roman" w:hAnsi="Times New Roman"/>
          <w:color w:val="000000" w:themeColor="text1"/>
          <w:sz w:val="16"/>
          <w:szCs w:val="16"/>
        </w:rPr>
        <w:t xml:space="preserve">потоплен крейсер потоплен крейсер </w:t>
      </w:r>
      <w:hyperlink r:id="rId189" w:anchor="102505" w:tgtFrame="_blank" w:history="1">
        <w:r w:rsidRPr="001E2C69">
          <w:rPr>
            <w:rFonts w:ascii="Times New Roman" w:hAnsi="Times New Roman"/>
            <w:color w:val="000000" w:themeColor="text1"/>
            <w:sz w:val="16"/>
            <w:szCs w:val="16"/>
          </w:rPr>
          <w:t>«Манчестер» («Manchester»).</w:t>
        </w:r>
      </w:hyperlink>
    </w:p>
    <w:p w14:paraId="623C94D4" w14:textId="77777777" w:rsidR="00DF0DDA" w:rsidRPr="001E2C69" w:rsidRDefault="00DF0DDA" w:rsidP="00722885">
      <w:pPr>
        <w:spacing w:after="0" w:line="240" w:lineRule="auto"/>
        <w:jc w:val="both"/>
        <w:rPr>
          <w:rFonts w:ascii="Times New Roman" w:hAnsi="Times New Roman"/>
          <w:color w:val="000000" w:themeColor="text1"/>
          <w:sz w:val="16"/>
          <w:szCs w:val="16"/>
        </w:rPr>
      </w:pPr>
    </w:p>
    <w:p w14:paraId="4E29A48B"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августа 1942, атакуя конвой «Пьедестал», самолеты Оси потопили еще два грузовых корабля и нанесли дополнительный урон танкеру (20793).</w:t>
      </w:r>
    </w:p>
    <w:p w14:paraId="2E9A4290" w14:textId="77777777" w:rsidR="00F51760" w:rsidRPr="001E2C69" w:rsidRDefault="00F51760" w:rsidP="00722885">
      <w:pPr>
        <w:spacing w:after="0" w:line="240" w:lineRule="auto"/>
        <w:jc w:val="both"/>
        <w:rPr>
          <w:rFonts w:ascii="Times New Roman" w:hAnsi="Times New Roman"/>
          <w:color w:val="000000" w:themeColor="text1"/>
          <w:sz w:val="16"/>
          <w:szCs w:val="16"/>
        </w:rPr>
      </w:pPr>
    </w:p>
    <w:p w14:paraId="49267ECD"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 августа в 1942 году в США официально утвержден проект работ по созданию атомной бомбы - знаменитый Манхеттенсткий проект. Все работы были переданы в ведение специально созданного подразделения округа инженерных войск. Все необходимые для работы кадры ученых, помещения, лаборатории промышленные установки и органы по обеспечению охраны и безопсности были подчинены руководителю проекта - бригадному генералу инженерных войск Л.Гровсу (14982).</w:t>
      </w:r>
    </w:p>
    <w:p w14:paraId="64DB6CFD" w14:textId="77777777" w:rsidR="00DF0DDA" w:rsidRPr="001E2C69" w:rsidRDefault="00DF0DDA" w:rsidP="00722885">
      <w:pPr>
        <w:spacing w:after="0" w:line="240" w:lineRule="auto"/>
        <w:jc w:val="both"/>
        <w:rPr>
          <w:rFonts w:ascii="Times New Roman" w:hAnsi="Times New Roman"/>
          <w:color w:val="000000" w:themeColor="text1"/>
          <w:sz w:val="16"/>
          <w:szCs w:val="16"/>
        </w:rPr>
      </w:pPr>
    </w:p>
    <w:p w14:paraId="50F1230A"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4DDA1D82" w14:textId="77777777" w:rsidR="00AE7191" w:rsidRPr="001E2C69" w:rsidRDefault="00AE7191" w:rsidP="00722885">
      <w:pPr>
        <w:pStyle w:val="Iauiue"/>
        <w:jc w:val="both"/>
        <w:rPr>
          <w:iCs/>
          <w:color w:val="000000" w:themeColor="text1"/>
          <w:sz w:val="16"/>
          <w:szCs w:val="16"/>
        </w:rPr>
      </w:pPr>
    </w:p>
    <w:p w14:paraId="43AAED2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14 августа 1942 года зам. наркома НКАП Воронин писал письмо N Н 36/3203 командующему АДД генерал-лейтенанту авиации Голованову, нач-ку заказов и ТС ВВС генерал-майору инж. авиац. службы Селезневу.</w:t>
      </w:r>
    </w:p>
    <w:p w14:paraId="0F57C9D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вопросу: о замене авиагоризонта АГП-1 на самолетах ИЛ-4.</w:t>
      </w:r>
    </w:p>
    <w:p w14:paraId="35E7993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вопросу о работе авиагоризонтов АГП-1 установленных на самолетах ИЛ-4 и о замене их на авиагоризонты другого типа сообщаю:</w:t>
      </w:r>
    </w:p>
    <w:p w14:paraId="10EED2B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Замена авиагоризонта АГП-1 на авиагоризонт другого типа не дает эффекта, так как авиагоризонты всех типов выпуска 42 года по своим качествам одинаковы.</w:t>
      </w:r>
    </w:p>
    <w:p w14:paraId="35158AB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Необходимые меры к улучшению качества авиагоризонтов АГП-1 Наркоматом приняты, путем повышения требования и технологии изготовления и сборки прибора.</w:t>
      </w:r>
    </w:p>
    <w:p w14:paraId="16788EF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Для окончательного решения по данному вопросу прошу ускорить представление в НКАП подробных материалов характеризующих работу приборов в боевых условиях (1633,253).</w:t>
      </w:r>
    </w:p>
    <w:p w14:paraId="2A1066F4" w14:textId="77777777" w:rsidR="00AE7191" w:rsidRPr="001E2C69" w:rsidRDefault="00AE7191" w:rsidP="00722885">
      <w:pPr>
        <w:pStyle w:val="Iauiue"/>
        <w:jc w:val="both"/>
        <w:rPr>
          <w:color w:val="000000" w:themeColor="text1"/>
          <w:sz w:val="16"/>
          <w:szCs w:val="16"/>
        </w:rPr>
      </w:pPr>
    </w:p>
    <w:p w14:paraId="524A695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14 августа 1942 Воронин писал командующему АДД Голованову письмо N 729:</w:t>
      </w:r>
    </w:p>
    <w:p w14:paraId="0BB8327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вопросу о работе авиагоризонтов АГП-1, установленных на самолете Ил-4 и о замене их на АГ др. типа сообщаю:</w:t>
      </w:r>
    </w:p>
    <w:p w14:paraId="3475668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Замена АГП-1 на АГ других типов не дает эффекта, т.к. АГ всех типов выпуска 1942 по свои качествам одинаковы (1633,253).</w:t>
      </w:r>
    </w:p>
    <w:p w14:paraId="16EB650C" w14:textId="77777777" w:rsidR="00AE7191" w:rsidRPr="001E2C69" w:rsidRDefault="00AE7191" w:rsidP="00722885">
      <w:pPr>
        <w:pStyle w:val="Iauiue"/>
        <w:jc w:val="both"/>
        <w:rPr>
          <w:color w:val="000000" w:themeColor="text1"/>
          <w:sz w:val="16"/>
          <w:szCs w:val="16"/>
        </w:rPr>
      </w:pPr>
    </w:p>
    <w:p w14:paraId="5F90379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14 августа 1942 Нач. ГУЗ и ТС ВВС и-м иас Селезнев и военком ГУЗ и ТС Шаповалов писали Дементьеву письмо N 376244:</w:t>
      </w:r>
    </w:p>
    <w:p w14:paraId="3AB107C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"Сообщаю Вам, что до настоящего времени самолет Ту-2 с М-82 не доведен." (1315,2).</w:t>
      </w:r>
    </w:p>
    <w:p w14:paraId="34841D0F" w14:textId="77777777" w:rsidR="00AE7191" w:rsidRPr="001E2C69" w:rsidRDefault="00AE7191" w:rsidP="00722885">
      <w:pPr>
        <w:pStyle w:val="Iauiue"/>
        <w:jc w:val="both"/>
        <w:rPr>
          <w:color w:val="000000" w:themeColor="text1"/>
          <w:sz w:val="16"/>
          <w:szCs w:val="16"/>
        </w:rPr>
      </w:pPr>
    </w:p>
    <w:p w14:paraId="4B5B920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14 августа 1942 Нач. 8 ГУ НКАП В.Поликовский подготовил для А.И.Ш. Справку О состоянии опытных работ на 10 августа 1942 по моторостроительным заводам N 19, 29, 26, 24, 16, 500 и ОКБ-250. АМ-38Ф в рамках отчета 24 завода - упоминался кратко - что никаких существенных изменений не произошло, но говорилось о том, что один из АМ-39 направлен С.В.И., а один - А.И.М. (1684,191).</w:t>
      </w:r>
    </w:p>
    <w:p w14:paraId="12FDFE9F" w14:textId="77777777" w:rsidR="00AE7191" w:rsidRPr="001E2C69" w:rsidRDefault="00AE7191" w:rsidP="00722885">
      <w:pPr>
        <w:pStyle w:val="Iauiue"/>
        <w:jc w:val="both"/>
        <w:rPr>
          <w:color w:val="000000" w:themeColor="text1"/>
          <w:sz w:val="16"/>
          <w:szCs w:val="16"/>
        </w:rPr>
      </w:pPr>
    </w:p>
    <w:p w14:paraId="351DD8B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августа 1942 А.И.Микоян предложил руководству НИИ ВВС испытать один из самолетов для условий работы на больших высотах. МиГ—3 зав. № 4486 ока</w:t>
      </w:r>
      <w:r w:rsidRPr="001E2C69">
        <w:rPr>
          <w:rFonts w:ascii="Times New Roman" w:hAnsi="Times New Roman"/>
          <w:color w:val="000000" w:themeColor="text1"/>
          <w:sz w:val="16"/>
          <w:szCs w:val="16"/>
        </w:rPr>
        <w:softHyphen/>
        <w:t>зался несколько тяжелее «облегченного», поскольку на нем сохранили исходное вооружение из двух БС с суммарным боезапасом в 500 патронов. С полетной массой 3252 кг самолет достиг практического потол</w:t>
      </w:r>
      <w:r w:rsidRPr="001E2C69">
        <w:rPr>
          <w:rFonts w:ascii="Times New Roman" w:hAnsi="Times New Roman"/>
          <w:color w:val="000000" w:themeColor="text1"/>
          <w:sz w:val="16"/>
          <w:szCs w:val="16"/>
        </w:rPr>
        <w:softHyphen/>
        <w:t xml:space="preserve">ка 11000 м за 34,3 мин; на набор 5000 м уходило 8,1 мин. В заключении по испытаниям заместитель начальника НИИ ВВС </w:t>
      </w:r>
      <w:r w:rsidRPr="001E2C69">
        <w:rPr>
          <w:rFonts w:ascii="Times New Roman" w:hAnsi="Times New Roman"/>
          <w:color w:val="000000" w:themeColor="text1"/>
          <w:sz w:val="16"/>
          <w:szCs w:val="16"/>
        </w:rPr>
        <w:lastRenderedPageBreak/>
        <w:t>генерал П.И. Федоров указал, что годом ранее практический потолок МиГ—3 зав. № 3809, равный 11500 м, получен «экстраполяцией» графика вертикальной скорости; в действительности истребитель тогда не поднялся выше 8000 м. Результаты не могли удовлетворить командова</w:t>
      </w:r>
      <w:r w:rsidRPr="001E2C69">
        <w:rPr>
          <w:rFonts w:ascii="Times New Roman" w:hAnsi="Times New Roman"/>
          <w:color w:val="000000" w:themeColor="text1"/>
          <w:sz w:val="16"/>
          <w:szCs w:val="16"/>
        </w:rPr>
        <w:softHyphen/>
        <w:t>ние — высотные разведчики противника действова</w:t>
      </w:r>
      <w:r w:rsidRPr="001E2C69">
        <w:rPr>
          <w:rFonts w:ascii="Times New Roman" w:hAnsi="Times New Roman"/>
          <w:color w:val="000000" w:themeColor="text1"/>
          <w:sz w:val="16"/>
          <w:szCs w:val="16"/>
        </w:rPr>
        <w:softHyphen/>
        <w:t>ли заметно выше практического потолка нашего ис</w:t>
      </w:r>
      <w:r w:rsidRPr="001E2C69">
        <w:rPr>
          <w:rFonts w:ascii="Times New Roman" w:hAnsi="Times New Roman"/>
          <w:color w:val="000000" w:themeColor="text1"/>
          <w:sz w:val="16"/>
          <w:szCs w:val="16"/>
        </w:rPr>
        <w:softHyphen/>
        <w:t>требителя. Тем не менее, МиГ—3 продолжали рассматривать как весьма перспективный истреби</w:t>
      </w:r>
      <w:r w:rsidRPr="001E2C69">
        <w:rPr>
          <w:rFonts w:ascii="Times New Roman" w:hAnsi="Times New Roman"/>
          <w:color w:val="000000" w:themeColor="text1"/>
          <w:sz w:val="16"/>
          <w:szCs w:val="16"/>
        </w:rPr>
        <w:softHyphen/>
        <w:t>тель для ведения борьбы с неприятельскими маши</w:t>
      </w:r>
      <w:r w:rsidRPr="001E2C69">
        <w:rPr>
          <w:rFonts w:ascii="Times New Roman" w:hAnsi="Times New Roman"/>
          <w:color w:val="000000" w:themeColor="text1"/>
          <w:sz w:val="16"/>
          <w:szCs w:val="16"/>
        </w:rPr>
        <w:softHyphen/>
        <w:t>нами на больших высотах (9984).</w:t>
      </w:r>
    </w:p>
    <w:p w14:paraId="550F3B0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4459040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14 ав</w:t>
      </w:r>
      <w:r w:rsidRPr="001E2C69">
        <w:rPr>
          <w:rFonts w:ascii="Times New Roman" w:hAnsi="Times New Roman"/>
          <w:color w:val="000000" w:themeColor="text1"/>
          <w:sz w:val="16"/>
          <w:szCs w:val="16"/>
        </w:rPr>
        <w:softHyphen/>
        <w:t>густа по 15 сентября 1942 года 49-й Краснознаменный ИАП (коман</w:t>
      </w:r>
      <w:r w:rsidRPr="001E2C69">
        <w:rPr>
          <w:rFonts w:ascii="Times New Roman" w:hAnsi="Times New Roman"/>
          <w:color w:val="000000" w:themeColor="text1"/>
          <w:sz w:val="16"/>
          <w:szCs w:val="16"/>
        </w:rPr>
        <w:softHyphen/>
        <w:t>дир майор Л.И. Сорокин, военком батальонный комиссар В.Е. Лукьянов) вел боевую работу первым на ЛА-5, вы</w:t>
      </w:r>
      <w:r w:rsidRPr="001E2C69">
        <w:rPr>
          <w:rFonts w:ascii="Times New Roman" w:hAnsi="Times New Roman"/>
          <w:color w:val="000000" w:themeColor="text1"/>
          <w:sz w:val="16"/>
          <w:szCs w:val="16"/>
        </w:rPr>
        <w:softHyphen/>
        <w:t>полняя задания по сопровождению бомбардировщиков, прикрытию на</w:t>
      </w:r>
      <w:r w:rsidRPr="001E2C69">
        <w:rPr>
          <w:rFonts w:ascii="Times New Roman" w:hAnsi="Times New Roman"/>
          <w:color w:val="000000" w:themeColor="text1"/>
          <w:sz w:val="16"/>
          <w:szCs w:val="16"/>
        </w:rPr>
        <w:softHyphen/>
        <w:t>земных войск и уничтожению авиа</w:t>
      </w:r>
      <w:r w:rsidRPr="001E2C69">
        <w:rPr>
          <w:rFonts w:ascii="Times New Roman" w:hAnsi="Times New Roman"/>
          <w:color w:val="000000" w:themeColor="text1"/>
          <w:sz w:val="16"/>
          <w:szCs w:val="16"/>
        </w:rPr>
        <w:softHyphen/>
        <w:t>ции противника. За этот период им было сделано 369 боевых вылетов, с общей нара</w:t>
      </w:r>
      <w:r w:rsidRPr="001E2C69">
        <w:rPr>
          <w:rFonts w:ascii="Times New Roman" w:hAnsi="Times New Roman"/>
          <w:color w:val="000000" w:themeColor="text1"/>
          <w:sz w:val="16"/>
          <w:szCs w:val="16"/>
        </w:rPr>
        <w:softHyphen/>
        <w:t>боткой моторов 335 ч 22 мин. В за</w:t>
      </w:r>
      <w:r w:rsidRPr="001E2C69">
        <w:rPr>
          <w:rFonts w:ascii="Times New Roman" w:hAnsi="Times New Roman"/>
          <w:color w:val="000000" w:themeColor="text1"/>
          <w:sz w:val="16"/>
          <w:szCs w:val="16"/>
        </w:rPr>
        <w:softHyphen/>
        <w:t>чет войсковых испытаний самолета Ла-5 была принята боевая работа с 28 августа по 15 сентября (10699). Всего полком с начала эксплуата</w:t>
      </w:r>
      <w:r w:rsidRPr="001E2C69">
        <w:rPr>
          <w:rFonts w:ascii="Times New Roman" w:hAnsi="Times New Roman"/>
          <w:color w:val="000000" w:themeColor="text1"/>
          <w:sz w:val="16"/>
          <w:szCs w:val="16"/>
        </w:rPr>
        <w:softHyphen/>
        <w:t>ции на Ла-5 с М-82 было сделано 1093 полета с общей наработкой моторов 762 ч 55 мин, из них 593 ч 49 мин в воздухе и 169 ч 06 мин на земле. Войсковые испытания проходили самолеты Ла-5 1-й серии (было так</w:t>
      </w:r>
      <w:r w:rsidRPr="001E2C69">
        <w:rPr>
          <w:rFonts w:ascii="Times New Roman" w:hAnsi="Times New Roman"/>
          <w:color w:val="000000" w:themeColor="text1"/>
          <w:sz w:val="16"/>
          <w:szCs w:val="16"/>
        </w:rPr>
        <w:softHyphen/>
        <w:t>же 3 машины 2-й серии) с моторами М-82 1-й и 2-й серии и винтами ВИШ-105. Моторы были снабжены карбю</w:t>
      </w:r>
      <w:r w:rsidRPr="001E2C69">
        <w:rPr>
          <w:rFonts w:ascii="Times New Roman" w:hAnsi="Times New Roman"/>
          <w:color w:val="000000" w:themeColor="text1"/>
          <w:sz w:val="16"/>
          <w:szCs w:val="16"/>
        </w:rPr>
        <w:softHyphen/>
        <w:t>раторами серии А-2 и воздушным самопуском. В процессе боевой работы исполь</w:t>
      </w:r>
      <w:r w:rsidRPr="001E2C69">
        <w:rPr>
          <w:rFonts w:ascii="Times New Roman" w:hAnsi="Times New Roman"/>
          <w:color w:val="000000" w:themeColor="text1"/>
          <w:sz w:val="16"/>
          <w:szCs w:val="16"/>
        </w:rPr>
        <w:softHyphen/>
        <w:t>зовалось топливо с октановым чис</w:t>
      </w:r>
      <w:r w:rsidRPr="001E2C69">
        <w:rPr>
          <w:rFonts w:ascii="Times New Roman" w:hAnsi="Times New Roman"/>
          <w:color w:val="000000" w:themeColor="text1"/>
          <w:sz w:val="16"/>
          <w:szCs w:val="16"/>
        </w:rPr>
        <w:softHyphen/>
        <w:t>лом 94-95 - 4Б-78, 3,2Б-78 с импорт</w:t>
      </w:r>
      <w:r w:rsidRPr="001E2C69">
        <w:rPr>
          <w:rFonts w:ascii="Times New Roman" w:hAnsi="Times New Roman"/>
          <w:color w:val="000000" w:themeColor="text1"/>
          <w:sz w:val="16"/>
          <w:szCs w:val="16"/>
        </w:rPr>
        <w:softHyphen/>
        <w:t>ной присадкой Р-9 и импортное 1Б-95, и масло МК и МС. По характеру боевой работы моторы большую часть времени полета работали на номи</w:t>
      </w:r>
      <w:r w:rsidRPr="001E2C69">
        <w:rPr>
          <w:rFonts w:ascii="Times New Roman" w:hAnsi="Times New Roman"/>
          <w:color w:val="000000" w:themeColor="text1"/>
          <w:sz w:val="16"/>
          <w:szCs w:val="16"/>
        </w:rPr>
        <w:softHyphen/>
        <w:t>нальном режиме. Во время воздуш</w:t>
      </w:r>
      <w:r w:rsidRPr="001E2C69">
        <w:rPr>
          <w:rFonts w:ascii="Times New Roman" w:hAnsi="Times New Roman"/>
          <w:color w:val="000000" w:themeColor="text1"/>
          <w:sz w:val="16"/>
          <w:szCs w:val="16"/>
        </w:rPr>
        <w:softHyphen/>
        <w:t>ного боя в некоторых случаях вклю</w:t>
      </w:r>
      <w:r w:rsidRPr="001E2C69">
        <w:rPr>
          <w:rFonts w:ascii="Times New Roman" w:hAnsi="Times New Roman"/>
          <w:color w:val="000000" w:themeColor="text1"/>
          <w:sz w:val="16"/>
          <w:szCs w:val="16"/>
        </w:rPr>
        <w:softHyphen/>
        <w:t>чался форсаж периодами по 3-5 ми</w:t>
      </w:r>
      <w:r w:rsidRPr="001E2C69">
        <w:rPr>
          <w:rFonts w:ascii="Times New Roman" w:hAnsi="Times New Roman"/>
          <w:color w:val="000000" w:themeColor="text1"/>
          <w:sz w:val="16"/>
          <w:szCs w:val="16"/>
        </w:rPr>
        <w:softHyphen/>
        <w:t>нут. Максимальная отмеченная про</w:t>
      </w:r>
      <w:r w:rsidRPr="001E2C69">
        <w:rPr>
          <w:rFonts w:ascii="Times New Roman" w:hAnsi="Times New Roman"/>
          <w:color w:val="000000" w:themeColor="text1"/>
          <w:sz w:val="16"/>
          <w:szCs w:val="16"/>
        </w:rPr>
        <w:softHyphen/>
        <w:t>должительность работы на номиналь</w:t>
      </w:r>
      <w:r w:rsidRPr="001E2C69">
        <w:rPr>
          <w:rFonts w:ascii="Times New Roman" w:hAnsi="Times New Roman"/>
          <w:color w:val="000000" w:themeColor="text1"/>
          <w:sz w:val="16"/>
          <w:szCs w:val="16"/>
        </w:rPr>
        <w:softHyphen/>
        <w:t>ном режиме — 50 мин и на форсаже - 13 мин (капитан Коломинов П.И.). На большинстве моторов после наработки 18-20 часов появлялась тряска при работе на Рк=800-950 мм рт. ст. из-за отказа свечей. После замены их тряска устранялась. Имелись 2 случая разрушения втулки главного шатуна вследствие масляного голодания мотора из-за недоработки маслосистемы самоле</w:t>
      </w:r>
      <w:r w:rsidRPr="001E2C69">
        <w:rPr>
          <w:rFonts w:ascii="Times New Roman" w:hAnsi="Times New Roman"/>
          <w:color w:val="000000" w:themeColor="text1"/>
          <w:sz w:val="16"/>
          <w:szCs w:val="16"/>
        </w:rPr>
        <w:softHyphen/>
        <w:t>та (выбивание масла и недостаточ</w:t>
      </w:r>
      <w:r w:rsidRPr="001E2C69">
        <w:rPr>
          <w:rFonts w:ascii="Times New Roman" w:hAnsi="Times New Roman"/>
          <w:color w:val="000000" w:themeColor="text1"/>
          <w:sz w:val="16"/>
          <w:szCs w:val="16"/>
        </w:rPr>
        <w:softHyphen/>
        <w:t>ный запас его - 18-19 л при наличии большого невырабатываемого остат</w:t>
      </w:r>
      <w:r w:rsidRPr="001E2C69">
        <w:rPr>
          <w:rFonts w:ascii="Times New Roman" w:hAnsi="Times New Roman"/>
          <w:color w:val="000000" w:themeColor="text1"/>
          <w:sz w:val="16"/>
          <w:szCs w:val="16"/>
        </w:rPr>
        <w:softHyphen/>
        <w:t>ка в маслобаке). На 7 самолетах имело место пере</w:t>
      </w:r>
      <w:r w:rsidRPr="001E2C69">
        <w:rPr>
          <w:rFonts w:ascii="Times New Roman" w:hAnsi="Times New Roman"/>
          <w:color w:val="000000" w:themeColor="text1"/>
          <w:sz w:val="16"/>
          <w:szCs w:val="16"/>
        </w:rPr>
        <w:softHyphen/>
        <w:t>полнение картера мотора маслом при работе на малых оборотах (800-1000 об/мин). Этот дефект имел место только на земле, в момент запуска и в момент руления после посадки. Дефект объяснялся неудовлетвори</w:t>
      </w:r>
      <w:r w:rsidRPr="001E2C69">
        <w:rPr>
          <w:rFonts w:ascii="Times New Roman" w:hAnsi="Times New Roman"/>
          <w:color w:val="000000" w:themeColor="text1"/>
          <w:sz w:val="16"/>
          <w:szCs w:val="16"/>
        </w:rPr>
        <w:softHyphen/>
        <w:t>тельной откачкой помпой МШ-5 при работе на малых оборотах при отно</w:t>
      </w:r>
      <w:r w:rsidRPr="001E2C69">
        <w:rPr>
          <w:rFonts w:ascii="Times New Roman" w:hAnsi="Times New Roman"/>
          <w:color w:val="000000" w:themeColor="text1"/>
          <w:sz w:val="16"/>
          <w:szCs w:val="16"/>
        </w:rPr>
        <w:softHyphen/>
        <w:t>сительно большом сопротивлении (при этих оборотах) фетрового фильтра, а также недостаточным рабочим запа</w:t>
      </w:r>
      <w:r w:rsidRPr="001E2C69">
        <w:rPr>
          <w:rFonts w:ascii="Times New Roman" w:hAnsi="Times New Roman"/>
          <w:color w:val="000000" w:themeColor="text1"/>
          <w:sz w:val="16"/>
          <w:szCs w:val="16"/>
        </w:rPr>
        <w:softHyphen/>
        <w:t>сом масла в баке (18-19 л). Запуск мотора производился кар</w:t>
      </w:r>
      <w:r w:rsidRPr="001E2C69">
        <w:rPr>
          <w:rFonts w:ascii="Times New Roman" w:hAnsi="Times New Roman"/>
          <w:color w:val="000000" w:themeColor="text1"/>
          <w:sz w:val="16"/>
          <w:szCs w:val="16"/>
        </w:rPr>
        <w:softHyphen/>
        <w:t>бюрированной смесью при помощи насоса ПН-1 и воздухораспредели</w:t>
      </w:r>
      <w:r w:rsidRPr="001E2C69">
        <w:rPr>
          <w:rFonts w:ascii="Times New Roman" w:hAnsi="Times New Roman"/>
          <w:color w:val="000000" w:themeColor="text1"/>
          <w:sz w:val="16"/>
          <w:szCs w:val="16"/>
        </w:rPr>
        <w:softHyphen/>
        <w:t>теля. Запуск автостартером был в редких случаях. Моторы в летних ус</w:t>
      </w:r>
      <w:r w:rsidRPr="001E2C69">
        <w:rPr>
          <w:rFonts w:ascii="Times New Roman" w:hAnsi="Times New Roman"/>
          <w:color w:val="000000" w:themeColor="text1"/>
          <w:sz w:val="16"/>
          <w:szCs w:val="16"/>
        </w:rPr>
        <w:softHyphen/>
        <w:t>ловиях при помощи воздуха и кар</w:t>
      </w:r>
      <w:r w:rsidRPr="001E2C69">
        <w:rPr>
          <w:rFonts w:ascii="Times New Roman" w:hAnsi="Times New Roman"/>
          <w:color w:val="000000" w:themeColor="text1"/>
          <w:sz w:val="16"/>
          <w:szCs w:val="16"/>
        </w:rPr>
        <w:softHyphen/>
        <w:t>бюрированной смеси запускались хорошо - как правило, с 1-й попытки. Запуск мотора при температуре +5...0 °С был затруднен и требовал 2-3 по</w:t>
      </w:r>
      <w:r w:rsidRPr="001E2C69">
        <w:rPr>
          <w:rFonts w:ascii="Times New Roman" w:hAnsi="Times New Roman"/>
          <w:color w:val="000000" w:themeColor="text1"/>
          <w:sz w:val="16"/>
          <w:szCs w:val="16"/>
        </w:rPr>
        <w:softHyphen/>
        <w:t>пыток или запуска автостартером. Перезаливка мотора ухудшала запуск. В период испытаний работа мото</w:t>
      </w:r>
      <w:r w:rsidRPr="001E2C69">
        <w:rPr>
          <w:rFonts w:ascii="Times New Roman" w:hAnsi="Times New Roman"/>
          <w:color w:val="000000" w:themeColor="text1"/>
          <w:sz w:val="16"/>
          <w:szCs w:val="16"/>
        </w:rPr>
        <w:softHyphen/>
        <w:t>ров была проверена на всех режи</w:t>
      </w:r>
      <w:r w:rsidRPr="001E2C69">
        <w:rPr>
          <w:rFonts w:ascii="Times New Roman" w:hAnsi="Times New Roman"/>
          <w:color w:val="000000" w:themeColor="text1"/>
          <w:sz w:val="16"/>
          <w:szCs w:val="16"/>
        </w:rPr>
        <w:softHyphen/>
        <w:t>мах, включая и форсаж, до высоты 6000 м — выше боевые действия практи</w:t>
      </w:r>
      <w:r w:rsidRPr="001E2C69">
        <w:rPr>
          <w:rFonts w:ascii="Times New Roman" w:hAnsi="Times New Roman"/>
          <w:color w:val="000000" w:themeColor="text1"/>
          <w:sz w:val="16"/>
          <w:szCs w:val="16"/>
        </w:rPr>
        <w:softHyphen/>
        <w:t>чески не велись. Моторы на всех режимах работали нормально. На 2-й скорости нагнетателя с Н=3600-3800 м мотор работал удовлетворительно, без пользования ручным высотным корректором. Тряски и дымления при этом не наблюдалось. Ручным высот</w:t>
      </w:r>
      <w:r w:rsidRPr="001E2C69">
        <w:rPr>
          <w:rFonts w:ascii="Times New Roman" w:hAnsi="Times New Roman"/>
          <w:color w:val="000000" w:themeColor="text1"/>
          <w:sz w:val="16"/>
          <w:szCs w:val="16"/>
        </w:rPr>
        <w:softHyphen/>
        <w:t>ным корректором пользовались в бо</w:t>
      </w:r>
      <w:r w:rsidRPr="001E2C69">
        <w:rPr>
          <w:rFonts w:ascii="Times New Roman" w:hAnsi="Times New Roman"/>
          <w:color w:val="000000" w:themeColor="text1"/>
          <w:sz w:val="16"/>
          <w:szCs w:val="16"/>
        </w:rPr>
        <w:softHyphen/>
        <w:t>евых полетах в исключительно редких случаях и только наиболее опытные летчики для уменьшения расхода го</w:t>
      </w:r>
      <w:r w:rsidRPr="001E2C69">
        <w:rPr>
          <w:rFonts w:ascii="Times New Roman" w:hAnsi="Times New Roman"/>
          <w:color w:val="000000" w:themeColor="text1"/>
          <w:sz w:val="16"/>
          <w:szCs w:val="16"/>
        </w:rPr>
        <w:softHyphen/>
        <w:t>рючего. Температурный режим головок ци</w:t>
      </w:r>
      <w:r w:rsidRPr="001E2C69">
        <w:rPr>
          <w:rFonts w:ascii="Times New Roman" w:hAnsi="Times New Roman"/>
          <w:color w:val="000000" w:themeColor="text1"/>
          <w:sz w:val="16"/>
          <w:szCs w:val="16"/>
        </w:rPr>
        <w:softHyphen/>
        <w:t>линдров при работе мотора на зем</w:t>
      </w:r>
      <w:r w:rsidRPr="001E2C69">
        <w:rPr>
          <w:rFonts w:ascii="Times New Roman" w:hAnsi="Times New Roman"/>
          <w:color w:val="000000" w:themeColor="text1"/>
          <w:sz w:val="16"/>
          <w:szCs w:val="16"/>
        </w:rPr>
        <w:softHyphen/>
        <w:t>ле и в горизонтальном полете нахо</w:t>
      </w:r>
      <w:r w:rsidRPr="001E2C69">
        <w:rPr>
          <w:rFonts w:ascii="Times New Roman" w:hAnsi="Times New Roman"/>
          <w:color w:val="000000" w:themeColor="text1"/>
          <w:sz w:val="16"/>
          <w:szCs w:val="16"/>
        </w:rPr>
        <w:softHyphen/>
        <w:t>дился в пределах 160-230 °С. При работе на форсаже в течение более 5 мин и при непрерывном наборе высоты до 5000 м (при температуре головок цилиндров перед взлетом 200-210 °С), а также в воздушном бою температура головок цилиндров до</w:t>
      </w:r>
      <w:r w:rsidRPr="001E2C69">
        <w:rPr>
          <w:rFonts w:ascii="Times New Roman" w:hAnsi="Times New Roman"/>
          <w:color w:val="000000" w:themeColor="text1"/>
          <w:sz w:val="16"/>
          <w:szCs w:val="16"/>
        </w:rPr>
        <w:softHyphen/>
        <w:t>ходила до верхнего предела, т.е. до 250 °С, при полностью открытых створ</w:t>
      </w:r>
      <w:r w:rsidRPr="001E2C69">
        <w:rPr>
          <w:rFonts w:ascii="Times New Roman" w:hAnsi="Times New Roman"/>
          <w:color w:val="000000" w:themeColor="text1"/>
          <w:sz w:val="16"/>
          <w:szCs w:val="16"/>
        </w:rPr>
        <w:softHyphen/>
        <w:t>ках капота. Взлет производился через 1,5-2 мин после запуска, вследствие чего моторы достаточно не прогревались. Перед взлетом температура масла была 40-60 °С и температура голо</w:t>
      </w:r>
      <w:r w:rsidRPr="001E2C69">
        <w:rPr>
          <w:rFonts w:ascii="Times New Roman" w:hAnsi="Times New Roman"/>
          <w:color w:val="000000" w:themeColor="text1"/>
          <w:sz w:val="16"/>
          <w:szCs w:val="16"/>
        </w:rPr>
        <w:softHyphen/>
        <w:t>вок цилиндров - 120-150 °С. Пере</w:t>
      </w:r>
      <w:r w:rsidRPr="001E2C69">
        <w:rPr>
          <w:rFonts w:ascii="Times New Roman" w:hAnsi="Times New Roman"/>
          <w:color w:val="000000" w:themeColor="text1"/>
          <w:sz w:val="16"/>
          <w:szCs w:val="16"/>
        </w:rPr>
        <w:softHyphen/>
        <w:t>боев при этом в работе мотора не было. М-82 в боевой эксплуатации пока</w:t>
      </w:r>
      <w:r w:rsidRPr="001E2C69">
        <w:rPr>
          <w:rFonts w:ascii="Times New Roman" w:hAnsi="Times New Roman"/>
          <w:color w:val="000000" w:themeColor="text1"/>
          <w:sz w:val="16"/>
          <w:szCs w:val="16"/>
        </w:rPr>
        <w:softHyphen/>
        <w:t>зал живучесть и надежность. Во вре</w:t>
      </w:r>
      <w:r w:rsidRPr="001E2C69">
        <w:rPr>
          <w:rFonts w:ascii="Times New Roman" w:hAnsi="Times New Roman"/>
          <w:color w:val="000000" w:themeColor="text1"/>
          <w:sz w:val="16"/>
          <w:szCs w:val="16"/>
        </w:rPr>
        <w:softHyphen/>
        <w:t>мя воздушных боев имелось несколь</w:t>
      </w:r>
      <w:r w:rsidRPr="001E2C69">
        <w:rPr>
          <w:rFonts w:ascii="Times New Roman" w:hAnsi="Times New Roman"/>
          <w:color w:val="000000" w:themeColor="text1"/>
          <w:sz w:val="16"/>
          <w:szCs w:val="16"/>
        </w:rPr>
        <w:softHyphen/>
        <w:t>ко случаев попадания пуль и снаря</w:t>
      </w:r>
      <w:r w:rsidRPr="001E2C69">
        <w:rPr>
          <w:rFonts w:ascii="Times New Roman" w:hAnsi="Times New Roman"/>
          <w:color w:val="000000" w:themeColor="text1"/>
          <w:sz w:val="16"/>
          <w:szCs w:val="16"/>
        </w:rPr>
        <w:softHyphen/>
        <w:t>дов в мотор. Во всех случаях моторы не требовали съемки с самолета и после небольшого ремонта продол</w:t>
      </w:r>
      <w:r w:rsidRPr="001E2C69">
        <w:rPr>
          <w:rFonts w:ascii="Times New Roman" w:hAnsi="Times New Roman"/>
          <w:color w:val="000000" w:themeColor="text1"/>
          <w:sz w:val="16"/>
          <w:szCs w:val="16"/>
        </w:rPr>
        <w:softHyphen/>
        <w:t>жали работать. Примеры: 18 августа во время воз</w:t>
      </w:r>
      <w:r w:rsidRPr="001E2C69">
        <w:rPr>
          <w:rFonts w:ascii="Times New Roman" w:hAnsi="Times New Roman"/>
          <w:color w:val="000000" w:themeColor="text1"/>
          <w:sz w:val="16"/>
          <w:szCs w:val="16"/>
        </w:rPr>
        <w:softHyphen/>
        <w:t>душного боя на самолете №37210201, мотор №6501150 (ст. политрук Гай</w:t>
      </w:r>
      <w:r w:rsidRPr="001E2C69">
        <w:rPr>
          <w:rFonts w:ascii="Times New Roman" w:hAnsi="Times New Roman"/>
          <w:color w:val="000000" w:themeColor="text1"/>
          <w:sz w:val="16"/>
          <w:szCs w:val="16"/>
        </w:rPr>
        <w:softHyphen/>
        <w:t>дамак В.П.) пулей были пробиты вса</w:t>
      </w:r>
      <w:r w:rsidRPr="001E2C69">
        <w:rPr>
          <w:rFonts w:ascii="Times New Roman" w:hAnsi="Times New Roman"/>
          <w:color w:val="000000" w:themeColor="text1"/>
          <w:sz w:val="16"/>
          <w:szCs w:val="16"/>
        </w:rPr>
        <w:softHyphen/>
        <w:t>сывающий и выхлопной патрубки ци</w:t>
      </w:r>
      <w:r w:rsidRPr="001E2C69">
        <w:rPr>
          <w:rFonts w:ascii="Times New Roman" w:hAnsi="Times New Roman"/>
          <w:color w:val="000000" w:themeColor="text1"/>
          <w:sz w:val="16"/>
          <w:szCs w:val="16"/>
        </w:rPr>
        <w:softHyphen/>
        <w:t>линдра №5, имелся удар в гильзу ци</w:t>
      </w:r>
      <w:r w:rsidRPr="001E2C69">
        <w:rPr>
          <w:rFonts w:ascii="Times New Roman" w:hAnsi="Times New Roman"/>
          <w:color w:val="000000" w:themeColor="text1"/>
          <w:sz w:val="16"/>
          <w:szCs w:val="16"/>
        </w:rPr>
        <w:softHyphen/>
        <w:t>линдра №12. Мотор работал нор</w:t>
      </w:r>
      <w:r w:rsidRPr="001E2C69">
        <w:rPr>
          <w:rFonts w:ascii="Times New Roman" w:hAnsi="Times New Roman"/>
          <w:color w:val="000000" w:themeColor="text1"/>
          <w:sz w:val="16"/>
          <w:szCs w:val="16"/>
        </w:rPr>
        <w:softHyphen/>
        <w:t>мально и летчик, имея ранения, вер нулся на свой аэродром на расстоя</w:t>
      </w:r>
      <w:r w:rsidRPr="001E2C69">
        <w:rPr>
          <w:rFonts w:ascii="Times New Roman" w:hAnsi="Times New Roman"/>
          <w:color w:val="000000" w:themeColor="text1"/>
          <w:sz w:val="16"/>
          <w:szCs w:val="16"/>
        </w:rPr>
        <w:softHyphen/>
        <w:t>ние 40 км от места боя. 23 августа во время воздушного боя над линией фронта на самолете №37210107, мотор №6502263 (ст. л-т Клименко А.Ф.) были пробиты: вса</w:t>
      </w:r>
      <w:r w:rsidRPr="001E2C69">
        <w:rPr>
          <w:rFonts w:ascii="Times New Roman" w:hAnsi="Times New Roman"/>
          <w:color w:val="000000" w:themeColor="text1"/>
          <w:sz w:val="16"/>
          <w:szCs w:val="16"/>
        </w:rPr>
        <w:softHyphen/>
        <w:t>сывающее сопло карбюратора, крышка клапанной коробки цилиндра №1, выхлопной и всасывающий патрубки цилиндра №2, от осколков снаряда имелись вмятины картера редуктора и перебиты тросы управления Р-7. Мотор продолжал работать нормаль</w:t>
      </w:r>
      <w:r w:rsidRPr="001E2C69">
        <w:rPr>
          <w:rFonts w:ascii="Times New Roman" w:hAnsi="Times New Roman"/>
          <w:color w:val="000000" w:themeColor="text1"/>
          <w:sz w:val="16"/>
          <w:szCs w:val="16"/>
        </w:rPr>
        <w:softHyphen/>
        <w:t>но, и летчик вернулся на свой аэро</w:t>
      </w:r>
      <w:r w:rsidRPr="001E2C69">
        <w:rPr>
          <w:rFonts w:ascii="Times New Roman" w:hAnsi="Times New Roman"/>
          <w:color w:val="000000" w:themeColor="text1"/>
          <w:sz w:val="16"/>
          <w:szCs w:val="16"/>
        </w:rPr>
        <w:softHyphen/>
        <w:t>дром. Эксплуатация мотора в даль</w:t>
      </w:r>
      <w:r w:rsidRPr="001E2C69">
        <w:rPr>
          <w:rFonts w:ascii="Times New Roman" w:hAnsi="Times New Roman"/>
          <w:color w:val="000000" w:themeColor="text1"/>
          <w:sz w:val="16"/>
          <w:szCs w:val="16"/>
        </w:rPr>
        <w:softHyphen/>
        <w:t>нейшем, после соответствующего ре</w:t>
      </w:r>
      <w:r w:rsidRPr="001E2C69">
        <w:rPr>
          <w:rFonts w:ascii="Times New Roman" w:hAnsi="Times New Roman"/>
          <w:color w:val="000000" w:themeColor="text1"/>
          <w:sz w:val="16"/>
          <w:szCs w:val="16"/>
        </w:rPr>
        <w:softHyphen/>
        <w:t>монта, продолжалась нормально. 3 сентября на самолете №37210110, мотор №6502273 (л-т Ходун И.А.) один снаряд пробил всасывающее сопло и разорвался над дроссельными секто</w:t>
      </w:r>
      <w:r w:rsidRPr="001E2C69">
        <w:rPr>
          <w:rFonts w:ascii="Times New Roman" w:hAnsi="Times New Roman"/>
          <w:color w:val="000000" w:themeColor="text1"/>
          <w:sz w:val="16"/>
          <w:szCs w:val="16"/>
        </w:rPr>
        <w:softHyphen/>
        <w:t>рами карбюратора (имелось значи</w:t>
      </w:r>
      <w:r w:rsidRPr="001E2C69">
        <w:rPr>
          <w:rFonts w:ascii="Times New Roman" w:hAnsi="Times New Roman"/>
          <w:color w:val="000000" w:themeColor="text1"/>
          <w:sz w:val="16"/>
          <w:szCs w:val="16"/>
        </w:rPr>
        <w:softHyphen/>
        <w:t>тельное количество ударов в дрос</w:t>
      </w:r>
      <w:r w:rsidRPr="001E2C69">
        <w:rPr>
          <w:rFonts w:ascii="Times New Roman" w:hAnsi="Times New Roman"/>
          <w:color w:val="000000" w:themeColor="text1"/>
          <w:sz w:val="16"/>
          <w:szCs w:val="16"/>
        </w:rPr>
        <w:softHyphen/>
        <w:t>сельные сектора и форсунку). В ре</w:t>
      </w:r>
      <w:r w:rsidRPr="001E2C69">
        <w:rPr>
          <w:rFonts w:ascii="Times New Roman" w:hAnsi="Times New Roman"/>
          <w:color w:val="000000" w:themeColor="text1"/>
          <w:sz w:val="16"/>
          <w:szCs w:val="16"/>
        </w:rPr>
        <w:softHyphen/>
        <w:t>зультате ударов сектора заклинились. Наддув при этом был 800 мм. Другой снаряд пробил крышку клапанной коробки цилиндра №13, разорвался и осколками пробил всасывающий и выхлопной патрубки цилиндров №11, 12, 13, 14. Третий снаряд пробил пат</w:t>
      </w:r>
      <w:r w:rsidRPr="001E2C69">
        <w:rPr>
          <w:rFonts w:ascii="Times New Roman" w:hAnsi="Times New Roman"/>
          <w:color w:val="000000" w:themeColor="text1"/>
          <w:sz w:val="16"/>
          <w:szCs w:val="16"/>
        </w:rPr>
        <w:softHyphen/>
        <w:t>ронный ящик, всасывающий патрубок цилиндра №10 и, ударившись о реб</w:t>
      </w:r>
      <w:r w:rsidRPr="001E2C69">
        <w:rPr>
          <w:rFonts w:ascii="Times New Roman" w:hAnsi="Times New Roman"/>
          <w:color w:val="000000" w:themeColor="text1"/>
          <w:sz w:val="16"/>
          <w:szCs w:val="16"/>
        </w:rPr>
        <w:softHyphen/>
        <w:t>ра цилиндра №11, потерял пробив</w:t>
      </w:r>
      <w:r w:rsidRPr="001E2C69">
        <w:rPr>
          <w:rFonts w:ascii="Times New Roman" w:hAnsi="Times New Roman"/>
          <w:color w:val="000000" w:themeColor="text1"/>
          <w:sz w:val="16"/>
          <w:szCs w:val="16"/>
        </w:rPr>
        <w:softHyphen/>
        <w:t>ную способность. Мотор работал нормально, и летчик прилетел на свой аэродром на расстояние 80 км от места боя. Всего за время испытаний было 4 случая попадания пушечных снарядов в мотор, и во всех этих случаях мото</w:t>
      </w:r>
      <w:r w:rsidRPr="001E2C69">
        <w:rPr>
          <w:rFonts w:ascii="Times New Roman" w:hAnsi="Times New Roman"/>
          <w:color w:val="000000" w:themeColor="text1"/>
          <w:sz w:val="16"/>
          <w:szCs w:val="16"/>
        </w:rPr>
        <w:softHyphen/>
        <w:t>ры работали безотказно. При выпол</w:t>
      </w:r>
      <w:r w:rsidRPr="001E2C69">
        <w:rPr>
          <w:rFonts w:ascii="Times New Roman" w:hAnsi="Times New Roman"/>
          <w:color w:val="000000" w:themeColor="text1"/>
          <w:sz w:val="16"/>
          <w:szCs w:val="16"/>
        </w:rPr>
        <w:softHyphen/>
        <w:t>нении боевых заданий летный состав всегда был уверен в надежной рабо</w:t>
      </w:r>
      <w:r w:rsidRPr="001E2C69">
        <w:rPr>
          <w:rFonts w:ascii="Times New Roman" w:hAnsi="Times New Roman"/>
          <w:color w:val="000000" w:themeColor="text1"/>
          <w:sz w:val="16"/>
          <w:szCs w:val="16"/>
        </w:rPr>
        <w:softHyphen/>
        <w:t>те мотора. Если бы на месте М-82 был жидкостный мотор, летчикам при</w:t>
      </w:r>
      <w:r w:rsidRPr="001E2C69">
        <w:rPr>
          <w:rFonts w:ascii="Times New Roman" w:hAnsi="Times New Roman"/>
          <w:color w:val="000000" w:themeColor="text1"/>
          <w:sz w:val="16"/>
          <w:szCs w:val="16"/>
        </w:rPr>
        <w:softHyphen/>
        <w:t>шлось бы немедленно производить вынужденную посадку или даже по</w:t>
      </w:r>
      <w:r w:rsidRPr="001E2C69">
        <w:rPr>
          <w:rFonts w:ascii="Times New Roman" w:hAnsi="Times New Roman"/>
          <w:color w:val="000000" w:themeColor="text1"/>
          <w:sz w:val="16"/>
          <w:szCs w:val="16"/>
        </w:rPr>
        <w:softHyphen/>
        <w:t>кидать самолет с парашютом. Карбюраторы АК-82БП серии А-2 всё время находились под неусыпным вниманием и периодически подрегулировывались. С 1 по 15 сентября на 6-ти оставшихся в полку самолетах карбюраторы работали без регули</w:t>
      </w:r>
      <w:r w:rsidRPr="001E2C69">
        <w:rPr>
          <w:rFonts w:ascii="Times New Roman" w:hAnsi="Times New Roman"/>
          <w:color w:val="000000" w:themeColor="text1"/>
          <w:sz w:val="16"/>
          <w:szCs w:val="16"/>
        </w:rPr>
        <w:softHyphen/>
        <w:t>ровки удовлетворительно, за исклю</w:t>
      </w:r>
      <w:r w:rsidRPr="001E2C69">
        <w:rPr>
          <w:rFonts w:ascii="Times New Roman" w:hAnsi="Times New Roman"/>
          <w:color w:val="000000" w:themeColor="text1"/>
          <w:sz w:val="16"/>
          <w:szCs w:val="16"/>
        </w:rPr>
        <w:softHyphen/>
        <w:t>чением одного случая обогащения смеси на самолете №37210102. Вме</w:t>
      </w:r>
      <w:r w:rsidRPr="001E2C69">
        <w:rPr>
          <w:rFonts w:ascii="Times New Roman" w:hAnsi="Times New Roman"/>
          <w:color w:val="000000" w:themeColor="text1"/>
          <w:sz w:val="16"/>
          <w:szCs w:val="16"/>
        </w:rPr>
        <w:softHyphen/>
        <w:t>сте с тем отмечалось, что техсоста-вом полка эксплуатация карбюрато</w:t>
      </w:r>
      <w:r w:rsidRPr="001E2C69">
        <w:rPr>
          <w:rFonts w:ascii="Times New Roman" w:hAnsi="Times New Roman"/>
          <w:color w:val="000000" w:themeColor="text1"/>
          <w:sz w:val="16"/>
          <w:szCs w:val="16"/>
        </w:rPr>
        <w:softHyphen/>
        <w:t>ра не освоена из-за его сложности и трудности регулировки, а также не</w:t>
      </w:r>
      <w:r w:rsidRPr="001E2C69">
        <w:rPr>
          <w:rFonts w:ascii="Times New Roman" w:hAnsi="Times New Roman"/>
          <w:color w:val="000000" w:themeColor="text1"/>
          <w:sz w:val="16"/>
          <w:szCs w:val="16"/>
        </w:rPr>
        <w:softHyphen/>
        <w:t>значительного (2-3 месяца) срока экс</w:t>
      </w:r>
      <w:r w:rsidRPr="001E2C69">
        <w:rPr>
          <w:rFonts w:ascii="Times New Roman" w:hAnsi="Times New Roman"/>
          <w:color w:val="000000" w:themeColor="text1"/>
          <w:sz w:val="16"/>
          <w:szCs w:val="16"/>
        </w:rPr>
        <w:softHyphen/>
        <w:t>плуатации. Альфометры на истребители не устанавливались, и регулировать ка</w:t>
      </w:r>
      <w:r w:rsidRPr="001E2C69">
        <w:rPr>
          <w:rFonts w:ascii="Times New Roman" w:hAnsi="Times New Roman"/>
          <w:color w:val="000000" w:themeColor="text1"/>
          <w:sz w:val="16"/>
          <w:szCs w:val="16"/>
        </w:rPr>
        <w:softHyphen/>
        <w:t>чество смеси можно было только «на глаз», «на слух» и «на ощупь» - т.е. по характеру работы мотора, по выхлопу и по температуре головок цилиндров. Это могли делать только опытные мо</w:t>
      </w:r>
      <w:r w:rsidRPr="001E2C69">
        <w:rPr>
          <w:rFonts w:ascii="Times New Roman" w:hAnsi="Times New Roman"/>
          <w:color w:val="000000" w:themeColor="text1"/>
          <w:sz w:val="16"/>
          <w:szCs w:val="16"/>
        </w:rPr>
        <w:softHyphen/>
        <w:t>тористы, которые всегда были в дефи</w:t>
      </w:r>
      <w:r w:rsidRPr="001E2C69">
        <w:rPr>
          <w:rFonts w:ascii="Times New Roman" w:hAnsi="Times New Roman"/>
          <w:color w:val="000000" w:themeColor="text1"/>
          <w:sz w:val="16"/>
          <w:szCs w:val="16"/>
        </w:rPr>
        <w:softHyphen/>
        <w:t>ците в строевых частях. Так, повышение температуры головок цилиндров свидетельствовало о работе на обедненной смеси (недо</w:t>
      </w:r>
      <w:r w:rsidRPr="001E2C69">
        <w:rPr>
          <w:rFonts w:ascii="Times New Roman" w:hAnsi="Times New Roman"/>
          <w:color w:val="000000" w:themeColor="text1"/>
          <w:sz w:val="16"/>
          <w:szCs w:val="16"/>
        </w:rPr>
        <w:softHyphen/>
        <w:t>статочное охлаждение топливо-воз</w:t>
      </w:r>
      <w:r w:rsidRPr="001E2C69">
        <w:rPr>
          <w:rFonts w:ascii="Times New Roman" w:hAnsi="Times New Roman"/>
          <w:color w:val="000000" w:themeColor="text1"/>
          <w:sz w:val="16"/>
          <w:szCs w:val="16"/>
        </w:rPr>
        <w:softHyphen/>
        <w:t>душной смеси из-за малого количе</w:t>
      </w:r>
      <w:r w:rsidRPr="001E2C69">
        <w:rPr>
          <w:rFonts w:ascii="Times New Roman" w:hAnsi="Times New Roman"/>
          <w:color w:val="000000" w:themeColor="text1"/>
          <w:sz w:val="16"/>
          <w:szCs w:val="16"/>
        </w:rPr>
        <w:softHyphen/>
        <w:t>ства испаряющегося бензина), при этом повышался износ цилиндропор-шневой группы, и мотор не додавал мощности. При обогащении смеси температура головок понижалась (хо</w:t>
      </w:r>
      <w:r w:rsidRPr="001E2C69">
        <w:rPr>
          <w:rFonts w:ascii="Times New Roman" w:hAnsi="Times New Roman"/>
          <w:color w:val="000000" w:themeColor="text1"/>
          <w:sz w:val="16"/>
          <w:szCs w:val="16"/>
        </w:rPr>
        <w:softHyphen/>
        <w:t>рошее охлаждение испарением из</w:t>
      </w:r>
      <w:r w:rsidRPr="001E2C69">
        <w:rPr>
          <w:rFonts w:ascii="Times New Roman" w:hAnsi="Times New Roman"/>
          <w:color w:val="000000" w:themeColor="text1"/>
          <w:sz w:val="16"/>
          <w:szCs w:val="16"/>
        </w:rPr>
        <w:softHyphen/>
        <w:t>бытка горючего), но появлялось дым-ление на выхлопе, нагар в цилиндрах, что снижало ресурс, повышался рас</w:t>
      </w:r>
      <w:r w:rsidRPr="001E2C69">
        <w:rPr>
          <w:rFonts w:ascii="Times New Roman" w:hAnsi="Times New Roman"/>
          <w:color w:val="000000" w:themeColor="text1"/>
          <w:sz w:val="16"/>
          <w:szCs w:val="16"/>
        </w:rPr>
        <w:softHyphen/>
        <w:t>ход горючего, а мощность при этом также снижалась. Но этим приемом часто пользовались на самолетных заводах при сдаче самолетов военп</w:t>
      </w:r>
      <w:r w:rsidRPr="001E2C69">
        <w:rPr>
          <w:rFonts w:ascii="Times New Roman" w:hAnsi="Times New Roman"/>
          <w:color w:val="000000" w:themeColor="text1"/>
          <w:sz w:val="16"/>
          <w:szCs w:val="16"/>
        </w:rPr>
        <w:softHyphen/>
        <w:t>редам, если те отмечали повышенный температурный режим ВМГ.</w:t>
      </w:r>
    </w:p>
    <w:p w14:paraId="25FCD4D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Отмечались также массовые слу</w:t>
      </w:r>
      <w:r w:rsidRPr="001E2C69">
        <w:rPr>
          <w:rFonts w:ascii="Times New Roman" w:hAnsi="Times New Roman"/>
          <w:color w:val="000000" w:themeColor="text1"/>
          <w:sz w:val="16"/>
          <w:szCs w:val="16"/>
        </w:rPr>
        <w:softHyphen/>
        <w:t>чаи прогара медноасбестовых прокла</w:t>
      </w:r>
      <w:r w:rsidRPr="001E2C69">
        <w:rPr>
          <w:rFonts w:ascii="Times New Roman" w:hAnsi="Times New Roman"/>
          <w:color w:val="000000" w:themeColor="text1"/>
          <w:sz w:val="16"/>
          <w:szCs w:val="16"/>
        </w:rPr>
        <w:softHyphen/>
        <w:t>док и выхлопных патрубков по отбор-товке. Трудность устранения этого дефекта заключалась в том, что под</w:t>
      </w:r>
      <w:r w:rsidRPr="001E2C69">
        <w:rPr>
          <w:rFonts w:ascii="Times New Roman" w:hAnsi="Times New Roman"/>
          <w:color w:val="000000" w:themeColor="text1"/>
          <w:sz w:val="16"/>
          <w:szCs w:val="16"/>
        </w:rPr>
        <w:softHyphen/>
        <w:t>ходы для постановки коллекторов были неудобны, а запасные коллекторы, как правило, не стандартны и требовали индивидуальной подгонки их, занима</w:t>
      </w:r>
      <w:r w:rsidRPr="001E2C69">
        <w:rPr>
          <w:rFonts w:ascii="Times New Roman" w:hAnsi="Times New Roman"/>
          <w:color w:val="000000" w:themeColor="text1"/>
          <w:sz w:val="16"/>
          <w:szCs w:val="16"/>
        </w:rPr>
        <w:softHyphen/>
        <w:t>ющей много времени. В целом самолет Ла-5, несмотря на наличие различных дефектов, свой</w:t>
      </w:r>
      <w:r w:rsidRPr="001E2C69">
        <w:rPr>
          <w:rFonts w:ascii="Times New Roman" w:hAnsi="Times New Roman"/>
          <w:color w:val="000000" w:themeColor="text1"/>
          <w:sz w:val="16"/>
          <w:szCs w:val="16"/>
        </w:rPr>
        <w:softHyphen/>
        <w:t>ственных первой серии, по результа</w:t>
      </w:r>
      <w:r w:rsidRPr="001E2C69">
        <w:rPr>
          <w:rFonts w:ascii="Times New Roman" w:hAnsi="Times New Roman"/>
          <w:color w:val="000000" w:themeColor="text1"/>
          <w:sz w:val="16"/>
          <w:szCs w:val="16"/>
        </w:rPr>
        <w:softHyphen/>
        <w:t>там боевой работы 49 КИАП был оце</w:t>
      </w:r>
      <w:r w:rsidRPr="001E2C69">
        <w:rPr>
          <w:rFonts w:ascii="Times New Roman" w:hAnsi="Times New Roman"/>
          <w:color w:val="000000" w:themeColor="text1"/>
          <w:sz w:val="16"/>
          <w:szCs w:val="16"/>
        </w:rPr>
        <w:softHyphen/>
        <w:t>нен достаточно высоко:</w:t>
      </w:r>
    </w:p>
    <w:p w14:paraId="6F7D1FF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В боях с истребителями про</w:t>
      </w:r>
      <w:r w:rsidRPr="001E2C69">
        <w:rPr>
          <w:rFonts w:ascii="Times New Roman" w:hAnsi="Times New Roman"/>
          <w:color w:val="000000" w:themeColor="text1"/>
          <w:sz w:val="16"/>
          <w:szCs w:val="16"/>
        </w:rPr>
        <w:softHyphen/>
        <w:t>тивника самолет Ла-5 показал, что при работе мотора на номинальном ре</w:t>
      </w:r>
      <w:r w:rsidRPr="001E2C69">
        <w:rPr>
          <w:rFonts w:ascii="Times New Roman" w:hAnsi="Times New Roman"/>
          <w:color w:val="000000" w:themeColor="text1"/>
          <w:sz w:val="16"/>
          <w:szCs w:val="16"/>
        </w:rPr>
        <w:softHyphen/>
        <w:t>жиме на высотах от 3500 м и выше он по горизонтальной скорости не уступает самолету Ме-109Ф, а на высотах ниже 3500 м горизонталь</w:t>
      </w:r>
      <w:r w:rsidRPr="001E2C69">
        <w:rPr>
          <w:rFonts w:ascii="Times New Roman" w:hAnsi="Times New Roman"/>
          <w:color w:val="000000" w:themeColor="text1"/>
          <w:sz w:val="16"/>
          <w:szCs w:val="16"/>
        </w:rPr>
        <w:softHyphen/>
        <w:t>ные скорости Ла-5 и Ме-109Ф равны при пользовании форсажем.</w:t>
      </w:r>
    </w:p>
    <w:p w14:paraId="2E3FBF2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На виражах на самолете Ла-5 вести воздушный бой с Ме-109Ф можно хорошо, но, как правило, само</w:t>
      </w:r>
      <w:r w:rsidRPr="001E2C69">
        <w:rPr>
          <w:rFonts w:ascii="Times New Roman" w:hAnsi="Times New Roman"/>
          <w:color w:val="000000" w:themeColor="text1"/>
          <w:sz w:val="16"/>
          <w:szCs w:val="16"/>
        </w:rPr>
        <w:softHyphen/>
        <w:t>лет Ме-109Ф от боя на виражах ук</w:t>
      </w:r>
      <w:r w:rsidRPr="001E2C69">
        <w:rPr>
          <w:rFonts w:ascii="Times New Roman" w:hAnsi="Times New Roman"/>
          <w:color w:val="000000" w:themeColor="text1"/>
          <w:sz w:val="16"/>
          <w:szCs w:val="16"/>
        </w:rPr>
        <w:softHyphen/>
        <w:t>лоняется.</w:t>
      </w:r>
    </w:p>
    <w:p w14:paraId="5E957AE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При переходе на вертикаль из любого равного с Ме-109Ф положе</w:t>
      </w:r>
      <w:r w:rsidRPr="001E2C69">
        <w:rPr>
          <w:rFonts w:ascii="Times New Roman" w:hAnsi="Times New Roman"/>
          <w:color w:val="000000" w:themeColor="text1"/>
          <w:sz w:val="16"/>
          <w:szCs w:val="16"/>
        </w:rPr>
        <w:softHyphen/>
        <w:t>ния (и скоростям) самолет Ла-5 от</w:t>
      </w:r>
      <w:r w:rsidRPr="001E2C69">
        <w:rPr>
          <w:rFonts w:ascii="Times New Roman" w:hAnsi="Times New Roman"/>
          <w:color w:val="000000" w:themeColor="text1"/>
          <w:sz w:val="16"/>
          <w:szCs w:val="16"/>
        </w:rPr>
        <w:softHyphen/>
        <w:t>стает от Ме-109Ф. Для получения максимальной вертикальной скорос</w:t>
      </w:r>
      <w:r w:rsidRPr="001E2C69">
        <w:rPr>
          <w:rFonts w:ascii="Times New Roman" w:hAnsi="Times New Roman"/>
          <w:color w:val="000000" w:themeColor="text1"/>
          <w:sz w:val="16"/>
          <w:szCs w:val="16"/>
        </w:rPr>
        <w:softHyphen/>
        <w:t>ти самолет Ла-5 в силу своей инерт</w:t>
      </w:r>
      <w:r w:rsidRPr="001E2C69">
        <w:rPr>
          <w:rFonts w:ascii="Times New Roman" w:hAnsi="Times New Roman"/>
          <w:color w:val="000000" w:themeColor="text1"/>
          <w:sz w:val="16"/>
          <w:szCs w:val="16"/>
        </w:rPr>
        <w:softHyphen/>
        <w:t>ности (из-за большого веса) требует большего времени для разгона, осо</w:t>
      </w:r>
      <w:r w:rsidRPr="001E2C69">
        <w:rPr>
          <w:rFonts w:ascii="Times New Roman" w:hAnsi="Times New Roman"/>
          <w:color w:val="000000" w:themeColor="text1"/>
          <w:sz w:val="16"/>
          <w:szCs w:val="16"/>
        </w:rPr>
        <w:softHyphen/>
        <w:t>бенно это сказывается при выходе на вертикаль из виража.</w:t>
      </w:r>
    </w:p>
    <w:p w14:paraId="27990F8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При пикировании скорости са</w:t>
      </w:r>
      <w:r w:rsidRPr="001E2C69">
        <w:rPr>
          <w:rFonts w:ascii="Times New Roman" w:hAnsi="Times New Roman"/>
          <w:color w:val="000000" w:themeColor="text1"/>
          <w:sz w:val="16"/>
          <w:szCs w:val="16"/>
        </w:rPr>
        <w:softHyphen/>
        <w:t>молетов Ла-5 и Ме-109Ф равны.</w:t>
      </w:r>
    </w:p>
    <w:p w14:paraId="35F510B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Все боевые полеты производи</w:t>
      </w:r>
      <w:r w:rsidRPr="001E2C69">
        <w:rPr>
          <w:rFonts w:ascii="Times New Roman" w:hAnsi="Times New Roman"/>
          <w:color w:val="000000" w:themeColor="text1"/>
          <w:sz w:val="16"/>
          <w:szCs w:val="16"/>
        </w:rPr>
        <w:softHyphen/>
        <w:t>лись с открытым колпаком, вследствие того, что открытие колпака в полете невозможно.</w:t>
      </w:r>
    </w:p>
    <w:p w14:paraId="1590486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Управление самолетом: попереч</w:t>
      </w:r>
      <w:r w:rsidRPr="001E2C69">
        <w:rPr>
          <w:rFonts w:ascii="Times New Roman" w:hAnsi="Times New Roman"/>
          <w:color w:val="000000" w:themeColor="text1"/>
          <w:sz w:val="16"/>
          <w:szCs w:val="16"/>
        </w:rPr>
        <w:softHyphen/>
        <w:t>ное (элеронами) - нормальное, продоль</w:t>
      </w:r>
      <w:r w:rsidRPr="001E2C69">
        <w:rPr>
          <w:rFonts w:ascii="Times New Roman" w:hAnsi="Times New Roman"/>
          <w:color w:val="000000" w:themeColor="text1"/>
          <w:sz w:val="16"/>
          <w:szCs w:val="16"/>
        </w:rPr>
        <w:softHyphen/>
        <w:t>ное (рулями глубины) от скоростей 400 км/ч и выше, при вводе (свыше 40 кг) и выводе из пикирования - тяжелое, требует обязательного пользования триммером руля высоты. Ножное уп</w:t>
      </w:r>
      <w:r w:rsidRPr="001E2C69">
        <w:rPr>
          <w:rFonts w:ascii="Times New Roman" w:hAnsi="Times New Roman"/>
          <w:color w:val="000000" w:themeColor="text1"/>
          <w:sz w:val="16"/>
          <w:szCs w:val="16"/>
        </w:rPr>
        <w:softHyphen/>
        <w:t>равление - нормальное.</w:t>
      </w:r>
    </w:p>
    <w:p w14:paraId="5B36692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Самолет устойчив, прост при выполнении техники пилотирования, при резких выводах из фигур особой тенденции к сваливанию в штопор не имеет, при посадке допускает гру</w:t>
      </w:r>
      <w:r w:rsidRPr="001E2C69">
        <w:rPr>
          <w:rFonts w:ascii="Times New Roman" w:hAnsi="Times New Roman"/>
          <w:color w:val="000000" w:themeColor="text1"/>
          <w:sz w:val="16"/>
          <w:szCs w:val="16"/>
        </w:rPr>
        <w:softHyphen/>
        <w:t>бые ошибки. Доступен для летчиков истребителей, выпущенных из летных школ.</w:t>
      </w:r>
    </w:p>
    <w:p w14:paraId="516D509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Самолет Ла-5 показал в боевых условиях живучесть, надежность и хо</w:t>
      </w:r>
      <w:r w:rsidRPr="001E2C69">
        <w:rPr>
          <w:rFonts w:ascii="Times New Roman" w:hAnsi="Times New Roman"/>
          <w:color w:val="000000" w:themeColor="text1"/>
          <w:sz w:val="16"/>
          <w:szCs w:val="16"/>
        </w:rPr>
        <w:softHyphen/>
        <w:t>рошую огнестойкость...</w:t>
      </w:r>
    </w:p>
    <w:p w14:paraId="69BA878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Самолет Ла-5 с мотором М-82 является хорошим современным оте</w:t>
      </w:r>
      <w:r w:rsidRPr="001E2C69">
        <w:rPr>
          <w:rFonts w:ascii="Times New Roman" w:hAnsi="Times New Roman"/>
          <w:color w:val="000000" w:themeColor="text1"/>
          <w:sz w:val="16"/>
          <w:szCs w:val="16"/>
        </w:rPr>
        <w:softHyphen/>
        <w:t>чественным скоростным истребителем и при устранении вышеуказанных недостатков по боевым качествам будет превосходить истребители про</w:t>
      </w:r>
      <w:r w:rsidRPr="001E2C69">
        <w:rPr>
          <w:rFonts w:ascii="Times New Roman" w:hAnsi="Times New Roman"/>
          <w:color w:val="000000" w:themeColor="text1"/>
          <w:sz w:val="16"/>
          <w:szCs w:val="16"/>
        </w:rPr>
        <w:softHyphen/>
        <w:t>тивника».</w:t>
      </w:r>
    </w:p>
    <w:p w14:paraId="33ED2BF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Несмотря на эту, в целом положи</w:t>
      </w:r>
      <w:r w:rsidRPr="001E2C69">
        <w:rPr>
          <w:rFonts w:ascii="Times New Roman" w:hAnsi="Times New Roman"/>
          <w:color w:val="000000" w:themeColor="text1"/>
          <w:sz w:val="16"/>
          <w:szCs w:val="16"/>
        </w:rPr>
        <w:softHyphen/>
        <w:t>тельную, оценку самолета Ла-5, рабо</w:t>
      </w:r>
      <w:r w:rsidRPr="001E2C69">
        <w:rPr>
          <w:rFonts w:ascii="Times New Roman" w:hAnsi="Times New Roman"/>
          <w:color w:val="000000" w:themeColor="text1"/>
          <w:sz w:val="16"/>
          <w:szCs w:val="16"/>
        </w:rPr>
        <w:softHyphen/>
        <w:t>та истребительной авиации ВВС КА летом и осенью 1942 года подверга</w:t>
      </w:r>
      <w:r w:rsidRPr="001E2C69">
        <w:rPr>
          <w:rFonts w:ascii="Times New Roman" w:hAnsi="Times New Roman"/>
          <w:color w:val="000000" w:themeColor="text1"/>
          <w:sz w:val="16"/>
          <w:szCs w:val="16"/>
        </w:rPr>
        <w:softHyphen/>
        <w:t>лась резкой критике. Как только где-то начинались решительные бои, асы немецких люфтваффе легко перехва</w:t>
      </w:r>
      <w:r w:rsidRPr="001E2C69">
        <w:rPr>
          <w:rFonts w:ascii="Times New Roman" w:hAnsi="Times New Roman"/>
          <w:color w:val="000000" w:themeColor="text1"/>
          <w:sz w:val="16"/>
          <w:szCs w:val="16"/>
        </w:rPr>
        <w:softHyphen/>
        <w:t>тывали инициативу, а наши летчики могли только обороняться. Наземные войска высказывали серьезное недо</w:t>
      </w:r>
      <w:r w:rsidRPr="001E2C69">
        <w:rPr>
          <w:rFonts w:ascii="Times New Roman" w:hAnsi="Times New Roman"/>
          <w:color w:val="000000" w:themeColor="text1"/>
          <w:sz w:val="16"/>
          <w:szCs w:val="16"/>
        </w:rPr>
        <w:softHyphen/>
        <w:t>вольство действиями истребителей. Не стал исключением и 49-й КИАП, понесший большие потери и вскоре потерявший боеспособность (10699).</w:t>
      </w:r>
    </w:p>
    <w:p w14:paraId="2CBD77B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7BA70D3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14 по 24 августа 1942 19 Ла-5 49-го Краснознаменного иап 234-й иад 1-й воздушной армии, в которой проходили войсковые испытания, совершили 180 боевых вылетов с налетом 130 часов. В 27 воздушных боях летчики полка сбили 16 самолетов противника, при этом свои потери составили десять машин и пять пилотов. Если быть точным, то полк потерял сбитыми пять истребителей, два не вернулись (самолеты № 37310104 и № 37210208), четыре потерпели аварию, будучи подбиты в воздушных боях, один потерпел аварию из-за разрушения втулки главного шатуна двигателя и один из летчиков (фамилия не установлена) 22 августа 1942 года таранил немецкий Ju 88, но при этом разбил и свой самолет.</w:t>
      </w:r>
    </w:p>
    <w:p w14:paraId="52B2A70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По отзывам летчиков 49-го Краснознаменного иап ЛаГГ-5 в боевых условиях показал хорошие результаты, а высокие потери связаны с недостаточным освоением материальной части и неполным использованием боевых качеств машины. Например, вторая скорость приводного центробежного нагнетателя мотора включалась на </w:t>
      </w:r>
      <w:r w:rsidRPr="001E2C69">
        <w:rPr>
          <w:rFonts w:ascii="Times New Roman" w:hAnsi="Times New Roman"/>
          <w:color w:val="000000" w:themeColor="text1"/>
          <w:sz w:val="16"/>
          <w:szCs w:val="16"/>
        </w:rPr>
        <w:lastRenderedPageBreak/>
        <w:t>высоте 3800 м, а воевать приходилось преимущественно на высоте 2000-3000 м. Прикрытие бомбардировочной и штурмовой авиации, а также наземных войск осуществлялось одной группой и, по выражению командования полка, было безграмотным.</w:t>
      </w:r>
    </w:p>
    <w:p w14:paraId="2ABDE23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воздушных боях при наборе высоты на больших скоростях Bfl09F от ЛаГГ-5 не отрывался, а на малых скоростях из-за большего веса ЛаГТ-5 в первый момент отставал, а затем сравнивался с ним по скороподъемности. На виражах наш истребитель заходил в хвост Bf 109F, так как радиус виража последнего был больше. Горизонтальная скорость нашего и немецкого самолетов были одинаковы, но на пикировании ЛаГГ-5 летел быстрее. Вооружение, как выяснилось, вполне устраивало воздушных бойцов.</w:t>
      </w:r>
    </w:p>
    <w:p w14:paraId="519B9CA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Кроме усложнившейся техники пилотирования истребителя из-за большого веса (3300 кг) и недостаточных компенсаторов рулей по сравнению с ЛаГГ-3 и Як-1, выявились и конструктивные недостатки. Например, отмечены два случая срыва моторных и боковых капотов, не полностью выпускалось костыльное колесо, случались течи бензиновых и масляных баков по сварным швам, после 20-ти часов работы прогорали выхлопные коллекторы. Существенным преимуществом ЛаГГ-5 перед ЛаГГ-3 и Як-1 была защита передней полусферы звездообразным мотором воздушного охлаждения. Живучесть самолета увеличилась.</w:t>
      </w:r>
    </w:p>
    <w:p w14:paraId="59D4F87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Отмечались три случая, когда в воздушном бою пушечным огнем противника были пробиты всасывающий и выхлопнои патрубки одного цилиндра и крышки клапанных коробок, воздушный винт и погнуты ребра цилиндров. Самолет в таком виде благополучно произвел посадку на своем аэродроме, а мотор вскоре восстановили.</w:t>
      </w:r>
    </w:p>
    <w:p w14:paraId="5A4C287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При выполнении боевых заданий моторы в основном работали на номинальном и форсированном режиме, причем на последнем, порой, до 10-13 минут, в то время, как инструкцией допускалось не более 5 минут. Но практически все двигатели работали нормально. В выводах доклада руководства НИИ ВВС главному инженеру ВВС А. К. Репину отмечалось: </w:t>
      </w:r>
    </w:p>
    <w:p w14:paraId="36B880F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"Первый опыт эксплуатации моторов М-82 в боевых условиях на самолетах- истребителях показывает удовлетворительные результаты. Летный и технический состав дают положительную оценку самолету ЛаГ-5 с мотором М-82 как по надежности работы мотора, так и по уходу и эксплуатации мотора на земле..." (12032).</w:t>
      </w:r>
    </w:p>
    <w:p w14:paraId="5F397979"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AF5F1B2"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0846123C" w14:textId="77777777" w:rsidR="00AE7191" w:rsidRPr="001E2C69" w:rsidRDefault="00AE7191" w:rsidP="00722885">
      <w:pPr>
        <w:pStyle w:val="Iauiue"/>
        <w:jc w:val="both"/>
        <w:rPr>
          <w:iCs/>
          <w:color w:val="000000" w:themeColor="text1"/>
          <w:sz w:val="16"/>
          <w:szCs w:val="16"/>
        </w:rPr>
      </w:pPr>
    </w:p>
    <w:p w14:paraId="03362FBD" w14:textId="77777777" w:rsidR="009F0796" w:rsidRPr="001E2C69" w:rsidRDefault="009F07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августа 1942 г. советник посольства СССР в США А. Громыко в своем письме в НКИД СССР отмечал следующее: «Тринитротолуола производится (в США) в 5 раз больше... по сравнению с ноябрем 1941 г.» (19151).</w:t>
      </w:r>
    </w:p>
    <w:p w14:paraId="50D21204" w14:textId="77777777" w:rsidR="009F0796" w:rsidRPr="001E2C69" w:rsidRDefault="009F0796" w:rsidP="00722885">
      <w:pPr>
        <w:spacing w:after="0" w:line="240" w:lineRule="auto"/>
        <w:jc w:val="both"/>
        <w:rPr>
          <w:rFonts w:ascii="Times New Roman" w:hAnsi="Times New Roman"/>
          <w:color w:val="000000" w:themeColor="text1"/>
          <w:sz w:val="16"/>
          <w:szCs w:val="16"/>
        </w:rPr>
      </w:pPr>
    </w:p>
    <w:p w14:paraId="260A11AD" w14:textId="77777777" w:rsidR="000C324B" w:rsidRPr="001E2C69" w:rsidRDefault="000C324B" w:rsidP="00722885">
      <w:pPr>
        <w:pStyle w:val="a4"/>
        <w:rPr>
          <w:color w:val="000000" w:themeColor="text1"/>
          <w:lang w:val="ru-RU"/>
        </w:rPr>
      </w:pPr>
      <w:r w:rsidRPr="001E2C69">
        <w:rPr>
          <w:color w:val="000000" w:themeColor="text1"/>
          <w:lang w:val="ru-RU"/>
        </w:rPr>
        <w:t>14 августа 1942 года в адрес Яковлева было направлено письмо от Хохлова:</w:t>
      </w:r>
    </w:p>
    <w:p w14:paraId="6B54EBBE" w14:textId="77777777" w:rsidR="000C324B" w:rsidRPr="001E2C69" w:rsidRDefault="000C324B" w:rsidP="00722885">
      <w:pPr>
        <w:pStyle w:val="Bodytext141"/>
        <w:shd w:val="clear" w:color="auto" w:fill="auto"/>
        <w:spacing w:line="240" w:lineRule="auto"/>
        <w:ind w:firstLine="0"/>
        <w:jc w:val="both"/>
        <w:rPr>
          <w:i w:val="0"/>
          <w:color w:val="000000" w:themeColor="text1"/>
          <w:sz w:val="16"/>
          <w:szCs w:val="16"/>
        </w:rPr>
      </w:pPr>
      <w:r w:rsidRPr="001E2C69">
        <w:rPr>
          <w:rStyle w:val="Bodytext145"/>
          <w:i w:val="0"/>
          <w:iCs w:val="0"/>
          <w:color w:val="000000" w:themeColor="text1"/>
          <w:sz w:val="16"/>
          <w:szCs w:val="16"/>
        </w:rPr>
        <w:t xml:space="preserve">«По плану опытных работ Артиллерийского комитета ГАУ КА в 1942 году надлежит отработать установку 152 мм гаубицы пушки обр. 1937года на самоходе из агрегатов танка </w:t>
      </w:r>
      <w:r w:rsidRPr="001E2C69">
        <w:rPr>
          <w:rStyle w:val="Bodytext145"/>
          <w:i w:val="0"/>
          <w:iCs w:val="0"/>
          <w:color w:val="000000" w:themeColor="text1"/>
          <w:sz w:val="16"/>
          <w:szCs w:val="16"/>
          <w:lang w:val="en-US"/>
        </w:rPr>
        <w:t>KB</w:t>
      </w:r>
      <w:r w:rsidRPr="001E2C69">
        <w:rPr>
          <w:rStyle w:val="Bodytext145"/>
          <w:i w:val="0"/>
          <w:iCs w:val="0"/>
          <w:color w:val="000000" w:themeColor="text1"/>
          <w:sz w:val="16"/>
          <w:szCs w:val="16"/>
        </w:rPr>
        <w:t>- 7.</w:t>
      </w:r>
    </w:p>
    <w:p w14:paraId="33E4C652" w14:textId="77777777" w:rsidR="000C324B" w:rsidRPr="001E2C69" w:rsidRDefault="000C324B" w:rsidP="00722885">
      <w:pPr>
        <w:pStyle w:val="Bodytext141"/>
        <w:shd w:val="clear" w:color="auto" w:fill="auto"/>
        <w:spacing w:line="240" w:lineRule="auto"/>
        <w:ind w:firstLine="0"/>
        <w:jc w:val="both"/>
        <w:rPr>
          <w:i w:val="0"/>
          <w:color w:val="000000" w:themeColor="text1"/>
          <w:sz w:val="16"/>
          <w:szCs w:val="16"/>
        </w:rPr>
      </w:pPr>
      <w:r w:rsidRPr="001E2C69">
        <w:rPr>
          <w:rStyle w:val="Bodytext145"/>
          <w:i w:val="0"/>
          <w:iCs w:val="0"/>
          <w:color w:val="000000" w:themeColor="text1"/>
          <w:sz w:val="16"/>
          <w:szCs w:val="16"/>
        </w:rPr>
        <w:t>Наркомат Вооружения и Наркомтанкопром эти работы приняты к исполнению и выданы задания заводы №8 (г. Свердловск) и Кировскому заводу (г. Челябинск).</w:t>
      </w:r>
    </w:p>
    <w:p w14:paraId="6A98F9A6" w14:textId="77777777" w:rsidR="000C324B" w:rsidRPr="001E2C69" w:rsidRDefault="000C324B" w:rsidP="00722885">
      <w:pPr>
        <w:pStyle w:val="Bodytext141"/>
        <w:shd w:val="clear" w:color="auto" w:fill="auto"/>
        <w:spacing w:line="240" w:lineRule="auto"/>
        <w:ind w:firstLine="0"/>
        <w:jc w:val="both"/>
        <w:rPr>
          <w:i w:val="0"/>
          <w:color w:val="000000" w:themeColor="text1"/>
          <w:sz w:val="16"/>
          <w:szCs w:val="16"/>
        </w:rPr>
      </w:pPr>
      <w:r w:rsidRPr="001E2C69">
        <w:rPr>
          <w:rStyle w:val="Bodytext145"/>
          <w:i w:val="0"/>
          <w:iCs w:val="0"/>
          <w:color w:val="000000" w:themeColor="text1"/>
          <w:sz w:val="16"/>
          <w:szCs w:val="16"/>
        </w:rPr>
        <w:t>Работы по проектированию в настоящее время заканчиваются.</w:t>
      </w:r>
    </w:p>
    <w:p w14:paraId="09AE488C" w14:textId="77777777" w:rsidR="000C324B" w:rsidRPr="001E2C69" w:rsidRDefault="000C324B" w:rsidP="00722885">
      <w:pPr>
        <w:pStyle w:val="Bodytext141"/>
        <w:shd w:val="clear" w:color="auto" w:fill="auto"/>
        <w:spacing w:line="240" w:lineRule="auto"/>
        <w:ind w:firstLine="0"/>
        <w:jc w:val="both"/>
        <w:rPr>
          <w:i w:val="0"/>
          <w:color w:val="000000" w:themeColor="text1"/>
          <w:sz w:val="16"/>
          <w:szCs w:val="16"/>
        </w:rPr>
      </w:pPr>
      <w:r w:rsidRPr="001E2C69">
        <w:rPr>
          <w:rStyle w:val="Bodytext145"/>
          <w:i w:val="0"/>
          <w:iCs w:val="0"/>
          <w:color w:val="000000" w:themeColor="text1"/>
          <w:sz w:val="16"/>
          <w:szCs w:val="16"/>
        </w:rPr>
        <w:t>Для изготовления опытного образца 152мм самоходной гаубицы прошу Вашего распоряжения Начальнику УСАВ ГАУ КА Генерал-майору артил</w:t>
      </w:r>
      <w:r w:rsidRPr="001E2C69">
        <w:rPr>
          <w:rStyle w:val="Bodytext145"/>
          <w:i w:val="0"/>
          <w:iCs w:val="0"/>
          <w:color w:val="000000" w:themeColor="text1"/>
          <w:sz w:val="16"/>
          <w:szCs w:val="16"/>
        </w:rPr>
        <w:softHyphen/>
        <w:t>лерии тов. Соколову об отправке к 1 сентября сего года в адрес завода №100(г. Челябинск) одной 152мм гаубицы-пушки обр. 1937года без перед</w:t>
      </w:r>
      <w:r w:rsidRPr="001E2C69">
        <w:rPr>
          <w:rStyle w:val="Bodytext145"/>
          <w:i w:val="0"/>
          <w:iCs w:val="0"/>
          <w:color w:val="000000" w:themeColor="text1"/>
          <w:sz w:val="16"/>
          <w:szCs w:val="16"/>
        </w:rPr>
        <w:softHyphen/>
        <w:t>ка, с орудийным и батарейным ЗИП-ом».</w:t>
      </w:r>
    </w:p>
    <w:p w14:paraId="7E21E445" w14:textId="77777777" w:rsidR="000C324B" w:rsidRPr="001E2C69" w:rsidRDefault="000C324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Подобные распоряжения, впрочем, были явно преждевременны</w:t>
      </w:r>
      <w:r w:rsidRPr="001E2C69">
        <w:rPr>
          <w:rFonts w:ascii="Times New Roman" w:hAnsi="Times New Roman"/>
          <w:color w:val="000000" w:themeColor="text1"/>
          <w:sz w:val="16"/>
          <w:szCs w:val="16"/>
        </w:rPr>
        <w:softHyphen/>
        <w:t>ми. Во-первых, первые чертежи ЗИК-20 были готовы лишь в начале сентября и ждали рассмотрения Арткома ГАУ КА. Во-вторых, выри</w:t>
      </w:r>
      <w:r w:rsidRPr="001E2C69">
        <w:rPr>
          <w:rFonts w:ascii="Times New Roman" w:hAnsi="Times New Roman"/>
          <w:color w:val="000000" w:themeColor="text1"/>
          <w:sz w:val="16"/>
          <w:szCs w:val="16"/>
        </w:rPr>
        <w:softHyphen/>
        <w:t>совывающийся истребитель ДОТов значительно отличался от У-18 как конструкцией боевого отделения, так и установленным орудием (17484).</w:t>
      </w:r>
    </w:p>
    <w:p w14:paraId="753F1ADB" w14:textId="77777777" w:rsidR="000C324B" w:rsidRPr="001E2C69" w:rsidRDefault="000C324B" w:rsidP="00722885">
      <w:pPr>
        <w:spacing w:after="0" w:line="240" w:lineRule="auto"/>
        <w:jc w:val="both"/>
        <w:rPr>
          <w:rFonts w:ascii="Times New Roman" w:hAnsi="Times New Roman"/>
          <w:color w:val="000000" w:themeColor="text1"/>
          <w:sz w:val="16"/>
          <w:szCs w:val="16"/>
        </w:rPr>
      </w:pPr>
    </w:p>
    <w:p w14:paraId="1F8F58A0"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августа 1942</w:t>
      </w:r>
    </w:p>
    <w:p w14:paraId="5947C4FF"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93 лист 242 – 241</w:t>
      </w:r>
    </w:p>
    <w:p w14:paraId="315D406E"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617D94F9"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w:t>
      </w:r>
    </w:p>
    <w:p w14:paraId="29C90C92"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Народного Комиссара Танковой Промышленности Союза ССР</w:t>
      </w:r>
    </w:p>
    <w:p w14:paraId="20F3F709"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595с</w:t>
      </w:r>
    </w:p>
    <w:p w14:paraId="4A58DE60"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Сталинград</w:t>
      </w:r>
    </w:p>
    <w:p w14:paraId="4E57D500"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августа 1942 г.</w:t>
      </w:r>
    </w:p>
    <w:p w14:paraId="1A934FD2"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обеспечения выполнения Правительственного задания по организации производства и выпуска танков Т-34 на УРАЛМАШЗАВОДЕ – ПРИКАЗЫВАЮ:</w:t>
      </w:r>
    </w:p>
    <w:p w14:paraId="2069F791"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Директору завода № 264 т. СУВОРОВУ откомандировать в 6-ти дневный срок на УРАЛМАШЗАВОД в распоряжение директора завода т. МУЗРУКОВА коллектив рабочих, инженерно-технических работников и служащих Управления Капитального Строительства (часть бывш. строительной организации МАРИУПОЛЬСТРОЙ) в составе 900 чел. вместе со строй-механизмами, наличным автогужевым транспортом и оборудованием мастерских.</w:t>
      </w:r>
    </w:p>
    <w:p w14:paraId="1C4B4C12"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Директору завода № 264 т. СУВОРОВУ организовать на базе имеющегося на заводе ремонтно-строительного цеха строительную организацию для обслуживания нужд завода. Перевести в штат завода рабочих в количестве 150 – 200 чел. Управления Капитального Строительства для нужд строительства и 200 чел. для использования на производстве.</w:t>
      </w:r>
    </w:p>
    <w:p w14:paraId="0FB21294"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Директору завода № 264 т. СУВОРОВУ все имеющиеся на балансе материальные ценности УКСа (оборудование и материалы) отправить на УРАЛМАШЗАВОД, оставив на заводе № 264 только часть материалов и оборудования, потребных для текущего производства.</w:t>
      </w:r>
    </w:p>
    <w:p w14:paraId="3D7F688B"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Директору УРАЛМАШЗАВОДА т. МУЗРУКОВУ организовать приемку и размещение откомандированных с завода № 264 работников вместе с их семьями и обеспечить надлежащую приемку оборудования и материальных ценностей.</w:t>
      </w:r>
    </w:p>
    <w:p w14:paraId="5BDA7FDA"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Директору завода № 264 т. СУВОРОВУ обеспечить питанием на время следования в пути от г. Сталинграда до г. Свердловска работников УКСа и членов их семей, командируемых на УРАЛМАШЗАВОД.</w:t>
      </w:r>
    </w:p>
    <w:p w14:paraId="6867A27D"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Начальнику Транспортного отдела Наркомата т. КОСОЛАПОВУ обеспечить в 3-х дневный срок подачу 140 вагонов заводу № 264 для перевозки людского состава, оборудования и материальных ценностей на УРАЛМАШЗАВОД.</w:t>
      </w:r>
    </w:p>
    <w:p w14:paraId="6AD17C82"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Начальнику отдела Капитального строительства Наркомата т. КОРНЕВУ обеспечить в 3-х дневный срок через Сталинградское отделение ПРОМБАНКА отпуск необходимых средств для выплаты зарплаты, подъемных и других расходов, связанных с отправкой оборудования, материальных ценностей и людского состава.</w:t>
      </w:r>
    </w:p>
    <w:p w14:paraId="01A28509"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Ответственность за своевременную и полную отправку людского состава, оборудования и материальных ценностей возлагаю на директора завода № 264 т. СУВОРОВА и зам. директора по капстроительству т. БАЛБЕКОВА.</w:t>
      </w:r>
    </w:p>
    <w:p w14:paraId="52D65CD8"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Директору завода № 264 т. СУВОРОВУ откомандировать на УРАЛМАШЗАВОД зам. директора по капстроительству т. БАЛБЕКОВА.</w:t>
      </w:r>
    </w:p>
    <w:p w14:paraId="04B4BB9E"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Танковой Промышленности Союза ССР</w:t>
      </w:r>
    </w:p>
    <w:p w14:paraId="248E3F9E" w14:textId="77777777" w:rsidR="0005446B" w:rsidRPr="008A2E5A" w:rsidRDefault="0005446B" w:rsidP="0005446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(И. ЗАЛЬЦМАН) (23497).</w:t>
      </w:r>
    </w:p>
    <w:p w14:paraId="002B521D" w14:textId="77777777" w:rsidR="0005446B" w:rsidRPr="008A2E5A" w:rsidRDefault="0005446B" w:rsidP="0005446B">
      <w:pPr>
        <w:spacing w:after="0" w:line="240" w:lineRule="auto"/>
        <w:jc w:val="both"/>
        <w:rPr>
          <w:rFonts w:ascii="Times New Roman" w:hAnsi="Times New Roman"/>
          <w:color w:val="0070C0"/>
          <w:sz w:val="16"/>
          <w:szCs w:val="16"/>
        </w:rPr>
      </w:pPr>
    </w:p>
    <w:p w14:paraId="10F64410"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14 августа 1942 вышло Постановление ГКО № 2172 Об усилении погрузки угля железным дорогам в августе месяце 1942 г. (7050, 17-18,19).</w:t>
      </w:r>
    </w:p>
    <w:p w14:paraId="529DE112" w14:textId="77777777" w:rsidR="00AE7191" w:rsidRPr="001E2C69" w:rsidRDefault="00AE7191" w:rsidP="00722885">
      <w:pPr>
        <w:pStyle w:val="Iauiue"/>
        <w:tabs>
          <w:tab w:val="left" w:pos="11199"/>
        </w:tabs>
        <w:jc w:val="both"/>
        <w:rPr>
          <w:color w:val="000000" w:themeColor="text1"/>
          <w:sz w:val="16"/>
          <w:szCs w:val="16"/>
        </w:rPr>
      </w:pPr>
    </w:p>
    <w:p w14:paraId="0DD03F6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августа 1942 вышло Постановление ГКО № 2173 О специальных подготовительных мероприятиях. по Бакинской нефтяной промышленности. РГАНИР, Фонд ГКО, д. 52, лл. 20 (11012).</w:t>
      </w:r>
    </w:p>
    <w:p w14:paraId="091D911D"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E54C39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августа 1942 вышло Постановление ГКО № 2174 Об интенсификации Кировоградского сернокислотного завода Наркомхимпрома. РГАНИР, Фонд ГКО, д. 52, лл. 21, 22-25 (11012).</w:t>
      </w:r>
    </w:p>
    <w:p w14:paraId="24DFC787"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7F659D0"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00E05D41" w14:textId="77777777" w:rsidR="00AE7191" w:rsidRPr="001E2C69" w:rsidRDefault="00AE7191" w:rsidP="00722885">
      <w:pPr>
        <w:pStyle w:val="Iauiue"/>
        <w:jc w:val="both"/>
        <w:rPr>
          <w:iCs/>
          <w:color w:val="000000" w:themeColor="text1"/>
          <w:sz w:val="16"/>
          <w:szCs w:val="16"/>
        </w:rPr>
      </w:pPr>
    </w:p>
    <w:p w14:paraId="3A662E2D"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августа в 1942 году утреннее сообщение Совинформбюро:</w:t>
      </w:r>
    </w:p>
    <w:p w14:paraId="7D064A96"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14 августа наши войска вели бои с противником в районах Клетская, северо-восточнее Котельниково, а также в районах Минеральные Воды, Черкесск, Майкоп и Краснодар.</w:t>
      </w:r>
    </w:p>
    <w:p w14:paraId="75686AC7"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41D55219"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Клетской наши войска вели оборонительные бои. Закрепившись на промежуточном рубеже, наша стрелковая часть при поддержке артиллерии и танков отбила несколько атак противника и уничтожила до двух рот немцев, 7 танков, 11 орудий и 17 автомашин.</w:t>
      </w:r>
    </w:p>
    <w:p w14:paraId="2FBB6206"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районе северо-восточнее Котельникова продолжались упорные бои. Огневыми налётами нашей артиллерии на одном из участков уничтожено до 100 немецких танков, 35 бронемашин, 350 автомашин и до 600 солдат и офицеров противника. У населённого пункта Б. советские танкисты и пехота атаковали гитлеровцев. Экипаж тяжёлого танка сержанта Куликова подбил 2 вражеские танкетки, раздавил противотанковое орудие и разрушил 4 землянки. Командир тяжёлого танка лейтенант </w:t>
      </w:r>
      <w:r w:rsidRPr="001E2C69">
        <w:rPr>
          <w:rFonts w:ascii="Times New Roman" w:hAnsi="Times New Roman"/>
          <w:color w:val="000000" w:themeColor="text1"/>
          <w:sz w:val="16"/>
          <w:szCs w:val="16"/>
        </w:rPr>
        <w:lastRenderedPageBreak/>
        <w:t>Гудков уничтожил тяжёлый и средний немецкие танки, одну танкетку и 40 гитлеровцев. Наводчик станкового пулемёта тов. Бойченко метким огнём истребил до 200 немецких солдат и офицеров.</w:t>
      </w:r>
    </w:p>
    <w:p w14:paraId="42AC4AF5"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Краснодара наши войска вели напряжённые оборонительные бои. На одном из участков крупные силы танков и пехоты неприятеля, прорвав первую линию нашей обороны, пытались вклиниться вглубь и развить успех. После упорных боёв гитлеровцы были остановлены и отброшены на исходные позиции. На поле боя осталось свыше 300 вражеских трупов. На другом участке наши части под давлением превосходящих сил противника отошли на новый рубеж обороны.</w:t>
      </w:r>
    </w:p>
    <w:p w14:paraId="66C47D7B"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бойцы части, где командиром тов. Зыков, истребили 650 немецких солдат и офицеров. Огнём артиллерии и миномётов уничтожено до 3 рот пехоты противника. Южнее Воронежа, на западном берегу Дона, наши части отбили несколько атак гитлеровцев и прочно удерживали захваченные рубежи.</w:t>
      </w:r>
    </w:p>
    <w:p w14:paraId="1B0EC7C7"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Северо-Западном фронте наши части в течение двух дней боевых действий уничтожили более 3.000 солдат и офицеров противника. Лётчики подразделения, где командиром Александр Носов, атаковали 20 немецких транспортных самолётов, летевших под прикрытием 4-х «Мессершмиттов-109». Наши лётчики врезались в строй гитлеровцев и в воздушном бою сбили 6 немецких самолётов. Орудийные расчёты зенитной артиллерии, где командирами тт. Булавин и Пшеничный, сбили 9 транспортных самолётов «Юнкерс-52».</w:t>
      </w:r>
    </w:p>
    <w:p w14:paraId="2112ECF2"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под командованием тов. С., действующий в Смоленской области, за три недели боёв истребил 230 оккупантов, уничтожил 18 грузовых и 5 легковых автомашин. В одном из населённых пунктов партизаны захватили 2 пулемёта, патроны и продовольственный склад гитлеровцев.</w:t>
      </w:r>
    </w:p>
    <w:p w14:paraId="6E18B69C"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Ниже публикуются выдержки из записной книжки солдата 2 роты 45 венгерского пехотного полка Франца Больдижара: «У Дубовичей партизаны обстреляли нашу колонну. Это было первое крупное нападение партизан. В первой роте — 9 убитых, 22 раненых, во второй роте — 11 убитых и 29 раненых, в третьей роте — 13 убитых и 28 раненых... Мы вынуждены были отступить. По дороге сожгли село. Партизаны, засевшие в местечке, стреляли из пулемётов и миномётов. После продолжительного боя мы всё же заняли местечко. Нам опять разрешили беспрепятственно грабить и поджигать. Бери, что хочешь. Первые три дома я сам поджёг. Мужчин, женщин идетей — убили, а местечко сожгли и пошли дальше».</w:t>
      </w:r>
    </w:p>
    <w:p w14:paraId="45226F70"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Немецкому солдату Карлу Бишофу пишет его сестра из Крумбаха (Баден): «Уже десять дней, как у нас находятся 30 русских в возрасте от 15 до 47 дет. Они носят рваную одежду и деревянные башмаки. Каждому из них на спину пришили особые знаки. Эти парни худы и изнурены, от них остались только кости да кожа. Они так ослабли, что не могут работать сколько-нибудь продолжительное время. Один часовой мне рассказывал, что в лагере этих пленных кормили негодным клевером».</w:t>
      </w:r>
    </w:p>
    <w:p w14:paraId="551A03C3"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металлургическом заводе в городе Серен (Бельгия) неизвестными выведены из строя две мартеновские печи и компрессор. Гестаповцы произвели на заводе массовые обыски и арестовали 40 рабочих. В окрестностях Льежа бельгийские патриоты совершили нападение на военный аэродром, истребили 16 гитлеровцев и подожгли 4 немецких самолёта.» (14983).</w:t>
      </w:r>
    </w:p>
    <w:p w14:paraId="620F3524" w14:textId="77777777" w:rsidR="00DF0DDA" w:rsidRPr="001E2C69" w:rsidRDefault="00DF0DDA" w:rsidP="00722885">
      <w:pPr>
        <w:spacing w:after="0" w:line="240" w:lineRule="auto"/>
        <w:jc w:val="both"/>
        <w:rPr>
          <w:rFonts w:ascii="Times New Roman" w:hAnsi="Times New Roman"/>
          <w:color w:val="000000" w:themeColor="text1"/>
          <w:sz w:val="16"/>
          <w:szCs w:val="16"/>
        </w:rPr>
      </w:pPr>
    </w:p>
    <w:p w14:paraId="7C769618"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августа в 1942 году вечернее сообщение Совинформбюро:</w:t>
      </w:r>
    </w:p>
    <w:p w14:paraId="6C6905C3"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14 августа наши войска вели бои в районах Клетская, северо-восточнее Котельниково, а также в районах Минеральные Воды, Черкесск, Майкоп и Краснодар.</w:t>
      </w:r>
    </w:p>
    <w:p w14:paraId="140EEB2D"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1B60CF07"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13 августа частями нашей авиации на различных участках фронта уничтожено или повреждено 50 немецких танков, 260 автомашин с войсками и грузами, 150 повозок с боеприпасами, 7 автоцистерн с горючим, взорваны 6 складов боеприпасов и склад горючего, подавлен огонь 8 батарей полевой и зенитной артиллерии, разбит железнодорожный состав, рассеяно и частью уничтожено до двух батальонов пехоты противника.</w:t>
      </w:r>
    </w:p>
    <w:p w14:paraId="6BF3036D"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на участке Н-ской части противник бросил в атаку значительные силы танков и мотопехоты. Артиллеристы и бронебойщики расстроили боевые порядки гитлеровцев и уничтожили 11 немецких танков. Затем в бой вступили советские танкисты и пехотинцы. Немцы потеряли в этом бою свыше 800 человек убитыми, и отошли на исходные рубежи. Южнее Клетской наши части вели ожесточённые бои против прорвавшейся к реке группировки противника. На одном участке окружено и истреблено до 700 гитлеровцев. Наши лётчики совершили налёты на два вражеских аэродрома. На одном аэродроме разрушено и сожжено до 40 бомбардировщиков и истребителей противника. Кроме того, в воздушных боях сбито11 немецких самолётов.</w:t>
      </w:r>
    </w:p>
    <w:p w14:paraId="64D75C2A"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происходили упорные бои. Наши войска на ряде участков атаковали перешедшего к обороне противника. Подразделения одной нашей части в течение дня уничтожили 5 немецких танков и свыше 350 солдат и офицеров противника. На соседнем участке огнём артиллерии рассеяно скопление танков и мотопехоты противника.</w:t>
      </w:r>
    </w:p>
    <w:p w14:paraId="34F7A2EE"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Краснодара наши войска вели напряжённые оборонительные бои с численно превосходящими силами противника. На одном участке танкам и мотопехоте неприятеля ценой больших потерь удалось вклиниться в глубину нашей обороны. В течение дня в результате ожесточённых боёв Н-ская стрелковая часть уничтожила 2 роты немецкой пехоты, эскадрон румынской кавалерии и вывела из строя 9 танков и 2 бронемашины противника. Кроме того, огнём нашей артиллерии уничтожено 3 немецких танка, 5 орудий, 13 автомашин с боеприпасами и рассеяно до батальона вражеской пехоты.</w:t>
      </w:r>
    </w:p>
    <w:p w14:paraId="1B325EFA"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Минеральных Вод продолжались тяжёлые бои с танками и мотопехотой противника. Н-ское соединение отбило несколько атак немцев и уничтожило 15 танков и до 700 гитлеровцев.</w:t>
      </w:r>
    </w:p>
    <w:p w14:paraId="7672607A"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Ленинградском фронте происходила артиллерийская и ружейная перестрелка.Активными действиями снайперов и разведчиков отдельных подразделений уничтоженодо 400 вражеских солдат и офицеров. Только снайперами подразделений тов.Черепанова за один день истреблено 168 гитлеровцев.</w:t>
      </w:r>
    </w:p>
    <w:p w14:paraId="1CEC2959"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августа на одном из участков фронта между нашей и вражеской линиями обороны совершил вынужденную посадку немецкий самолёт. Самолёт отбуксирован на нашу территорию.</w:t>
      </w:r>
    </w:p>
    <w:p w14:paraId="2AFB0D15"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действующий в одном из районов Белоруссии, в боях с крупным немецким гарнизоном уничтожил до 300 гитлеровцев. Группа партизан этого отряда взорвала железнодорожный мост через реку.</w:t>
      </w:r>
    </w:p>
    <w:p w14:paraId="7C31989F"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 убитого немецкого солдата Руди найдено неотправленное письмо, в котором говорится: «...Я отчаиваюсь, силы покидают меня. Часть солдат уже разочаровалась и утратила веру в счастливый исход войны. Еще недавно многие из нас надеялись увидеть родину и своих близких, однако их надежды не сбылись. Сегодня они лежат похороненными в лесу, одинокие и покинутые. Да, жизнь немецкого солдата похожа здесь на горящую свечу, которую в любой момент могут потушить».</w:t>
      </w:r>
    </w:p>
    <w:p w14:paraId="15B8FC3B"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Чудовищные преступления творят немецко-фашистские захватчики в оккупированных районах Ленинградской области. В Гдовском районе гитлеровцы отняли у колхозников всё продовольствие, скот, птицу и обрекли их на голодную смерть. В деревне Дубок гитлеровские мерзавцы заперли в хлев жену красноармейца Евстафьеву и трёхмалолетних детей и сожгли их живьём. Около деревни Залесье была повреждена линия полевой связи. Немецкие палачи согнали население деревни и на глазах у всех повесили 16 стариков и подростков.» (14983).</w:t>
      </w:r>
    </w:p>
    <w:p w14:paraId="74B12FA2" w14:textId="77777777" w:rsidR="00DF0DDA" w:rsidRPr="001E2C69" w:rsidRDefault="00DF0DDA" w:rsidP="00722885">
      <w:pPr>
        <w:spacing w:after="0" w:line="240" w:lineRule="auto"/>
        <w:jc w:val="both"/>
        <w:rPr>
          <w:rFonts w:ascii="Times New Roman" w:hAnsi="Times New Roman"/>
          <w:color w:val="000000" w:themeColor="text1"/>
          <w:sz w:val="16"/>
          <w:szCs w:val="16"/>
        </w:rPr>
      </w:pPr>
    </w:p>
    <w:p w14:paraId="4C7D4FA3"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14 августа в 1942 году в районе Урдозера был сбит самолет, тип которого едва ли мог быть известен советским летчикам. Сначала в донесениях его называли "Гамбург-140", затем – «Не-113». Советские солдаты, вытащившие его на отмель, после обследования установили, что этот самолет имел тактический номер NH + AM, указывавший на его принадлежность к 10 поисково-спасательному отряду. Лишь после войны стало ясно, что был редкий образец </w:t>
      </w:r>
      <w:hyperlink r:id="rId190" w:tgtFrame="_blank" w:history="1">
        <w:r w:rsidRPr="001E2C69">
          <w:rPr>
            <w:rFonts w:ascii="Times New Roman" w:hAnsi="Times New Roman"/>
            <w:color w:val="000000" w:themeColor="text1"/>
            <w:sz w:val="16"/>
            <w:szCs w:val="16"/>
          </w:rPr>
          <w:t xml:space="preserve">«Ar 199V-2». </w:t>
        </w:r>
      </w:hyperlink>
      <w:r w:rsidRPr="001E2C69">
        <w:rPr>
          <w:rFonts w:ascii="Times New Roman" w:hAnsi="Times New Roman"/>
          <w:color w:val="000000" w:themeColor="text1"/>
          <w:sz w:val="16"/>
          <w:szCs w:val="16"/>
        </w:rPr>
        <w:t>Таких машин было построено всего три, две из которых участвовали в боевых действиях на советском Севере. «Ar.199» проектировался как учебно-тренировочный гидросамолет. Согласно проекту это должен был быть цельнометаллический двухпоплавковый низкоплан. Кабина рассчитывалась на трех человек: рядом друг с другом сидели инструктор и курсант, сзади размещалось сиденье штурмана или радиооператора. Характерным было сложное рамное крепление поплавков к фюзеляжу. Машина оснащалась 12-цилиндровым двигателем «Аргус» «As 410C» воздушного охлаждени мощностью 450 л. с. Первый прототип совершил полет в 1939 году. В серию самолет не пошел и были изготовлены только опытные экземпляры, «Ar 199V-1» и «V-2». О судьбе одной машины, «Аr 199V-2» (серийный номер 3673), уже было рассказано; вторая также находилась в составе поисково-спасательной службы 5 Воздушного флота и, вероятно, была эвакуирована из Норвегии с немецкими частями в 1944 году (14983).</w:t>
      </w:r>
    </w:p>
    <w:p w14:paraId="7E650EBB" w14:textId="77777777" w:rsidR="00DF0DDA" w:rsidRPr="001E2C69" w:rsidRDefault="00DF0DDA" w:rsidP="00722885">
      <w:pPr>
        <w:spacing w:after="0" w:line="240" w:lineRule="auto"/>
        <w:jc w:val="both"/>
        <w:rPr>
          <w:rFonts w:ascii="Times New Roman" w:hAnsi="Times New Roman"/>
          <w:color w:val="000000" w:themeColor="text1"/>
          <w:sz w:val="16"/>
          <w:szCs w:val="16"/>
        </w:rPr>
      </w:pPr>
    </w:p>
    <w:p w14:paraId="05F31911"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lang w:val="en-US"/>
        </w:rPr>
        <w:t>August 14, 1942: German forces cross the upper Kuban river at Krasnodar in the Caucasus (3819).</w:t>
      </w:r>
    </w:p>
    <w:p w14:paraId="5A1561D6" w14:textId="77777777" w:rsidR="00AE7191" w:rsidRPr="001E2C69" w:rsidRDefault="00AE7191" w:rsidP="00722885">
      <w:pPr>
        <w:pStyle w:val="Iauiue"/>
        <w:jc w:val="both"/>
        <w:rPr>
          <w:color w:val="000000" w:themeColor="text1"/>
          <w:sz w:val="16"/>
          <w:szCs w:val="16"/>
          <w:lang w:val="en-US"/>
        </w:rPr>
      </w:pPr>
    </w:p>
    <w:p w14:paraId="0157459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14 августа 1942 немецкие части форсировали Кубань у Краснодара (3819).</w:t>
      </w:r>
    </w:p>
    <w:p w14:paraId="0C151BC1" w14:textId="77777777" w:rsidR="00AE7191" w:rsidRPr="001E2C69" w:rsidRDefault="00AE7191" w:rsidP="00722885">
      <w:pPr>
        <w:pStyle w:val="Iauiue"/>
        <w:jc w:val="both"/>
        <w:rPr>
          <w:color w:val="000000" w:themeColor="text1"/>
          <w:sz w:val="16"/>
          <w:szCs w:val="16"/>
        </w:rPr>
      </w:pPr>
    </w:p>
    <w:p w14:paraId="20D67E8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ночь с 14 на 15 августа 1942 в Азовском море произошел бой четырех торпедных катеров (№94, 124, 134, и 154), которые у мыса Казантип атаковали три немецких БДБ. По оценке самих катерников, их действия оказались безрезультатными, поскольку одна торпеда затонула, а вторая прошла мимо цели. Тогда в дело пустили установку PC, но все 10 выпущенных снарядов легли с перелетом. Но сами немцы (справочник Гренера) подтверждают гибель в это время и в этом месте БДБ “F-138”, приписывая ее потопление действиям советской авиации. Отечественные же источники утверждают, что наши самолеты ни 14, ни 15 августа никаких атак в указанном районе не предпринимали! Остается предположить, что десантное баржа или получила попадание невзорвавшейся торпедой, или реактивные снаряды все же нашли цель. В последнем случае ее потопление оказывается особенно примечательным. Спустя некоторое время немцы подняли “F-138”, но при буксировке на ремонт в оккупированный Севастополь она подорвалась на немецкой мине и была окончательно списана (6002).</w:t>
      </w:r>
    </w:p>
    <w:p w14:paraId="5FC1B87B" w14:textId="77777777" w:rsidR="00AE7191" w:rsidRPr="001E2C69" w:rsidRDefault="00AE7191" w:rsidP="00722885">
      <w:pPr>
        <w:pStyle w:val="Iauiue"/>
        <w:jc w:val="both"/>
        <w:rPr>
          <w:color w:val="000000" w:themeColor="text1"/>
          <w:sz w:val="16"/>
          <w:szCs w:val="16"/>
        </w:rPr>
      </w:pPr>
    </w:p>
    <w:p w14:paraId="25CF334B"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Внешняя политика:</w:t>
      </w:r>
    </w:p>
    <w:p w14:paraId="18EF95EC" w14:textId="77777777" w:rsidR="00AE7191" w:rsidRPr="001E2C69" w:rsidRDefault="00AE7191" w:rsidP="00722885">
      <w:pPr>
        <w:pStyle w:val="Iauiue"/>
        <w:jc w:val="both"/>
        <w:rPr>
          <w:iCs/>
          <w:color w:val="000000" w:themeColor="text1"/>
          <w:sz w:val="16"/>
          <w:szCs w:val="16"/>
        </w:rPr>
      </w:pPr>
    </w:p>
    <w:p w14:paraId="3A5731C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lastRenderedPageBreak/>
        <w:t>14 августа 1942 года</w:t>
      </w:r>
    </w:p>
    <w:p w14:paraId="3E1CD41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У. ЧЕРЧИЛЛЬ И. В. СТАЛИНУ *</w:t>
      </w:r>
    </w:p>
    <w:p w14:paraId="73005BE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СТРОГО СЕКРЕТНО ПАМЯТНАЯ ЗАПИСКА</w:t>
      </w:r>
    </w:p>
    <w:p w14:paraId="6FD3857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ответ на меморандум Премьера Сталина от 13 августа Премьер-Министр Великобритании заявляет:</w:t>
      </w:r>
    </w:p>
    <w:p w14:paraId="20B2FAB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1. Самым лучшим видом второго фронта в 1942 году, единственно возможной значительной по масштабу операцией со стороны Атлантического океана является “Факел” </w:t>
      </w:r>
      <w:r w:rsidRPr="001E2C69">
        <w:rPr>
          <w:color w:val="000000" w:themeColor="text1"/>
          <w:sz w:val="16"/>
          <w:szCs w:val="16"/>
          <w:vertAlign w:val="superscript"/>
        </w:rPr>
        <w:t>24</w:t>
      </w:r>
      <w:r w:rsidRPr="001E2C69">
        <w:rPr>
          <w:color w:val="000000" w:themeColor="text1"/>
          <w:sz w:val="16"/>
          <w:szCs w:val="16"/>
        </w:rPr>
        <w:t>. Если эта операция сможет быть осуществлена в октябре, она окажет больше помощи России, чем всякий иной план. Эта операция подготовляет также путь на 1943 год и обладает четырьмя преимуществами, о которых упоминал Премьер Сталин в беседе 12 августа. Британское Правительство и Правительство Соединенных Штатов приняли решение об этом, и все приготовления идут самым ускоренным темпом.</w:t>
      </w:r>
    </w:p>
    <w:p w14:paraId="0D49476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По сравнению с “Факелом” нападение шести или восьми англо-американских дивизий на полуостров Шербур и на острова Канала</w:t>
      </w:r>
      <w:r w:rsidRPr="001E2C69">
        <w:rPr>
          <w:color w:val="000000" w:themeColor="text1"/>
          <w:sz w:val="16"/>
          <w:szCs w:val="16"/>
          <w:vertAlign w:val="superscript"/>
        </w:rPr>
        <w:t>25</w:t>
      </w:r>
      <w:r w:rsidRPr="001E2C69">
        <w:rPr>
          <w:color w:val="000000" w:themeColor="text1"/>
          <w:sz w:val="16"/>
          <w:szCs w:val="16"/>
        </w:rPr>
        <w:t xml:space="preserve"> было бы рискованной и бесплодной операцией. Немцы располагают на Западе достаточным количеством войск, чтобы блокировать нас на этом узком полуострове при помощи укрепленных линий, и они сконцентрировали бы в этом месте все свои военно-воздушные силы, имеющиеся у них на Западе. По мнению всех британских военно-морских, военных и воздушных органов, операция могла бы окончиться лишь катастрофой. Если бы даже удалось создать предмостное укрепление, то это не отвлекло бы ни одной дивизии из России. Это было бы также гораздо более кровоточащей раной для нас, чем для противника, и на это были бы расточительно и бесцельно израсходованы опытные кадры и десантные средства, необходимые для настоящих операций в 1943 году. Такова наша окончательная точка зрения. Начальник Имперского генерального штаба обсудит детали с русскими командующими в любой степени, которая может быть желательной.</w:t>
      </w:r>
    </w:p>
    <w:p w14:paraId="4F44023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3. Ни Великобритания, ни Соединенные Штаты не нарушили никакого обещания. Я обращаю внимание на пункт 5 моего меморандума, врученного г-ну Молотову 10 июня 1942 года </w:t>
      </w:r>
      <w:r w:rsidRPr="001E2C69">
        <w:rPr>
          <w:color w:val="000000" w:themeColor="text1"/>
          <w:sz w:val="16"/>
          <w:szCs w:val="16"/>
          <w:vertAlign w:val="superscript"/>
        </w:rPr>
        <w:t>26</w:t>
      </w:r>
      <w:r w:rsidRPr="001E2C69">
        <w:rPr>
          <w:color w:val="000000" w:themeColor="text1"/>
          <w:sz w:val="16"/>
          <w:szCs w:val="16"/>
        </w:rPr>
        <w:t>, в котором отчетливо сказано: “Поэтому мы не можем дать никакого обещания”. Этот меморандум явился результатом длительных переговоров, в которых было исчерпывающим образом разъяснено, что существуют весьма малые шансы на принятие подобного плана. Некоторые из бесед, в которых были даны эти разъяснения, записаны.</w:t>
      </w:r>
    </w:p>
    <w:p w14:paraId="7F16F29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4. Однако все разговоры относительно англо-американского вторжения во Францию в этом году ввели противника в заблуждение и сковали его значительные военно-воздушные и сухопутные силы на французском побережье Канала. Общим интересам, в особенности русским интересам, был бы нанесен ущерб, если бы возникли какие-либо публичные споры, при которых Британское Правительство было бы вынуждено раскрыть народу убийственный аргумент, которым, по его мнению, оно располагает против операции “Кузнечный молот” </w:t>
      </w:r>
      <w:r w:rsidRPr="001E2C69">
        <w:rPr>
          <w:color w:val="000000" w:themeColor="text1"/>
          <w:sz w:val="16"/>
          <w:szCs w:val="16"/>
          <w:vertAlign w:val="superscript"/>
        </w:rPr>
        <w:t>27</w:t>
      </w:r>
      <w:r w:rsidRPr="001E2C69">
        <w:rPr>
          <w:color w:val="000000" w:themeColor="text1"/>
          <w:sz w:val="16"/>
          <w:szCs w:val="16"/>
        </w:rPr>
        <w:t>. Были бы значительно обескуражены русские армии, которые были обнадежены по этому поводу, и противник смог бы свободно оттянуть дальнейшие силы с Запада. Самым разумным методом было бы использовать “Кузнечный молот” в качестве прикрытия для “Факела” и провозгласить “Факел”, когда он начнется, как второй фронт. Это то, что мы намереваемся сделать.</w:t>
      </w:r>
    </w:p>
    <w:p w14:paraId="2E65848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Мы не можем согласиться с тем, что переговоры с г-ном Молотовым о втором фронте, поскольку они были ограничены как устными, так и письменными оговорками, дали бы какое-либо основание для изменения стратегических планов русского верховного командования.</w:t>
      </w:r>
    </w:p>
    <w:p w14:paraId="079A7B6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Мы вновь подтверждаем нашу решимость оказывать нашим русским союзникам помощь всеми возможными средствами.</w:t>
      </w:r>
    </w:p>
    <w:p w14:paraId="4C7BD22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У. Ч. (7430).</w:t>
      </w:r>
    </w:p>
    <w:p w14:paraId="453A6941" w14:textId="77777777" w:rsidR="00AE7191" w:rsidRPr="001E2C69" w:rsidRDefault="00AE7191" w:rsidP="00722885">
      <w:pPr>
        <w:pStyle w:val="Iauiue"/>
        <w:jc w:val="both"/>
        <w:rPr>
          <w:color w:val="000000" w:themeColor="text1"/>
          <w:sz w:val="16"/>
          <w:szCs w:val="16"/>
        </w:rPr>
      </w:pPr>
    </w:p>
    <w:p w14:paraId="6CE4ADD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14 августа 1942 года</w:t>
      </w:r>
    </w:p>
    <w:p w14:paraId="1BEDF90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У. ЧЕРЧИЛЛЬ И. В. СТАЛИНУ *</w:t>
      </w:r>
    </w:p>
    <w:p w14:paraId="13777F5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Уважаемый Премьер Сталин,</w:t>
      </w:r>
    </w:p>
    <w:p w14:paraId="6A5D523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1. Ниже следует сообщение о результате битвы за конвой на Мальту. Только три торговых парохода из четырнадцати достигли Мальты. Еще два буксируются и, возможно, достигнут места назначения. Три, находящиеся там, доставили снабжение на период от двух до трех месяцев. Таким образом, крепость, которая имеет большое значение для положения на всем Средиземном море, может держаться до тех пор, пока не произойдут неизбежное сражение в Западной пустыне Египта и “Факел” </w:t>
      </w:r>
      <w:r w:rsidRPr="001E2C69">
        <w:rPr>
          <w:color w:val="000000" w:themeColor="text1"/>
          <w:sz w:val="16"/>
          <w:szCs w:val="16"/>
          <w:vertAlign w:val="superscript"/>
        </w:rPr>
        <w:t>24</w:t>
      </w:r>
      <w:r w:rsidRPr="001E2C69">
        <w:rPr>
          <w:color w:val="000000" w:themeColor="text1"/>
          <w:sz w:val="16"/>
          <w:szCs w:val="16"/>
        </w:rPr>
        <w:t>.</w:t>
      </w:r>
    </w:p>
    <w:p w14:paraId="1927325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За это мы дорого заплатили. Авианосец “Игл” потоплен, а авианосец “Индомитэбл” серьезно поврежден тремя бомбами и тремя близкими разрывами; два хороших крейсера потоплены, один поврежден, а участь другого неизвестна; один эсминец потоплен вместе с девятью или, возможно, одиннадцатью быстроходными пароходами, и, таким образом, уцелели немногие. “Родней” также был слегка поврежден близким разрывом бомбы.</w:t>
      </w:r>
    </w:p>
    <w:p w14:paraId="0FC2F5D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Я придерживаюсь той точки зрения, что эту цену стоило уплатить. Другой стороной было то печальное обстоятельство, что военные корабли действовали среди всех этих самолетов противника, базирующихся на суше. Мы потопили три подводные лодки и, очевидно, нанесли серьезный ущерб нападающим воздушным силам. Итальянский крейсер и линкор не рискнули совершить нападение на остатки конвоя, когда он попал под зонтик воздушной обороны Мальты. Противник, без сомнения, распишет это как большую победу на море, и это так и было бы, если бы не стратегическое значение Мальты в разрезе будущих планов.</w:t>
      </w:r>
    </w:p>
    <w:p w14:paraId="455E28D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Искренне Ваш</w:t>
      </w:r>
    </w:p>
    <w:p w14:paraId="4850F9D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Уинстон ЧЕРЧИЛЛЬ Москва (7430).</w:t>
      </w:r>
    </w:p>
    <w:p w14:paraId="658CDEF4" w14:textId="77777777" w:rsidR="00AE7191" w:rsidRPr="001E2C69" w:rsidRDefault="00AE7191" w:rsidP="00722885">
      <w:pPr>
        <w:pStyle w:val="Iauiue"/>
        <w:jc w:val="both"/>
        <w:rPr>
          <w:color w:val="000000" w:themeColor="text1"/>
          <w:sz w:val="16"/>
          <w:szCs w:val="16"/>
        </w:rPr>
      </w:pPr>
    </w:p>
    <w:p w14:paraId="68522588" w14:textId="77777777" w:rsidR="00DF0DDA"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3276CC04" w14:textId="77777777" w:rsidR="00DF0DDA" w:rsidRPr="001E2C69" w:rsidRDefault="00DF0DDA" w:rsidP="00722885">
      <w:pPr>
        <w:pStyle w:val="Iauiue"/>
        <w:jc w:val="both"/>
        <w:rPr>
          <w:iCs/>
          <w:color w:val="000000" w:themeColor="text1"/>
          <w:sz w:val="16"/>
          <w:szCs w:val="16"/>
        </w:rPr>
      </w:pPr>
    </w:p>
    <w:p w14:paraId="127D87BA"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14 августа в 1942 году второй лейтенант Э.Шахан из 27 FS (Fighter Squadron - истребительная эскадрилья) одержал первую победу в воздухе на </w:t>
      </w:r>
      <w:hyperlink r:id="rId191" w:tgtFrame="_blank" w:history="1">
        <w:r w:rsidRPr="001E2C69">
          <w:rPr>
            <w:rFonts w:ascii="Times New Roman" w:hAnsi="Times New Roman"/>
            <w:color w:val="000000" w:themeColor="text1"/>
            <w:sz w:val="16"/>
            <w:szCs w:val="16"/>
          </w:rPr>
          <w:t xml:space="preserve">«P-38D» </w:t>
        </w:r>
      </w:hyperlink>
      <w:r w:rsidRPr="001E2C69">
        <w:rPr>
          <w:rFonts w:ascii="Times New Roman" w:hAnsi="Times New Roman"/>
          <w:color w:val="000000" w:themeColor="text1"/>
          <w:sz w:val="16"/>
          <w:szCs w:val="16"/>
        </w:rPr>
        <w:t>на Европейском театре военных действий. Он отправил на дно Северного моря поврежденный пилотом «Р-39» немецкий четырехмоторный самолет-разведчик «FW200» "Кондор" (14983).</w:t>
      </w:r>
    </w:p>
    <w:p w14:paraId="74CCAEFA" w14:textId="77777777" w:rsidR="00DF0DDA" w:rsidRPr="001E2C69" w:rsidRDefault="00DF0DDA" w:rsidP="00722885">
      <w:pPr>
        <w:spacing w:after="0" w:line="240" w:lineRule="auto"/>
        <w:jc w:val="both"/>
        <w:rPr>
          <w:rFonts w:ascii="Times New Roman" w:hAnsi="Times New Roman"/>
          <w:color w:val="000000" w:themeColor="text1"/>
          <w:sz w:val="16"/>
          <w:szCs w:val="16"/>
        </w:rPr>
      </w:pPr>
    </w:p>
    <w:p w14:paraId="01CAA7E4"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 августа 1942, управляя истребителем Lockheed P-38 Lightning из 27-й истребительной эскадрильи, лейтенант Эльза Шахам становится первым пилотом ВВС США, который одержал воздушную победу в Европе во время Второй мировой войны, сбив немецкий Focke-Wulf Fw 200 С-3 Кондор (20793).</w:t>
      </w:r>
    </w:p>
    <w:p w14:paraId="56979704" w14:textId="77777777" w:rsidR="00F51760" w:rsidRPr="001E2C69" w:rsidRDefault="00F51760" w:rsidP="00722885">
      <w:pPr>
        <w:spacing w:after="0" w:line="240" w:lineRule="auto"/>
        <w:jc w:val="both"/>
        <w:rPr>
          <w:rFonts w:ascii="Times New Roman" w:hAnsi="Times New Roman"/>
          <w:color w:val="000000" w:themeColor="text1"/>
          <w:sz w:val="16"/>
          <w:szCs w:val="16"/>
        </w:rPr>
      </w:pPr>
    </w:p>
    <w:p w14:paraId="6B61A6CD"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1C48FB97" w14:textId="77777777" w:rsidR="00AE7191" w:rsidRPr="001E2C69" w:rsidRDefault="00AE7191" w:rsidP="00722885">
      <w:pPr>
        <w:pStyle w:val="Iauiue"/>
        <w:jc w:val="both"/>
        <w:rPr>
          <w:iCs/>
          <w:color w:val="000000" w:themeColor="text1"/>
          <w:sz w:val="16"/>
          <w:szCs w:val="16"/>
        </w:rPr>
      </w:pPr>
    </w:p>
    <w:p w14:paraId="36E87FB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 августа 1942 Зам. начальника 7 гл. управления Залесский писал нач-ку отдела изобретения Управления опытного строительства Гу ВВС инженер-майору Савуся.</w:t>
      </w:r>
    </w:p>
    <w:p w14:paraId="10792BC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предложению о дополнительном вооружении истребителей и штурмовиков огневыми средствами для стрельбы назад сообщаю:</w:t>
      </w:r>
    </w:p>
    <w:p w14:paraId="139090D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Идея этого предложения не нова. В 1939 г. на НИПАВ"е был испытан истребитель со стрелковой установкой аналогичного назначения. Позднее данный принцип проверялся на штурмовиках. Однако, в обоих случаях указанные установки не дали ожидаемых результатов и не нашли дальнейшего применения.</w:t>
      </w:r>
    </w:p>
    <w:p w14:paraId="2C122A8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Утяжеление серийных самолетов, изменение центровки и ухудшение обзора вперед, как у истребителя, так и у штурмовика недопустимо.</w:t>
      </w:r>
    </w:p>
    <w:p w14:paraId="4FF6586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Основное назначение истребителя - наступательный бой. Именно поэтому огневая мощь вооружения рассчитана на сочетание огня и маневра. Дополнительное оборонительное вооружение отвлекло бы летчика от выполнения основной задачи - непрерывное изыскание возможностей нападения на противника. Надежда на оборонительное вооружение привела бы к пассивному маневру, что дало бы возможность противнику чаще занимать выгодные положения и пользоваться преимуществом переднего огня (пушечный огонь эффективнее огня пулеметов нормального калибра).</w:t>
      </w:r>
    </w:p>
    <w:p w14:paraId="38A96B3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Для улучшения обзора назад автор предлагает разработать перископический прибор обладающий рядом принципиальных недостатков, отмеченных спецалистами-прицельщиками Наркомата вооружения, в их заключении, выписку из которого при сем прилагаю.</w:t>
      </w:r>
    </w:p>
    <w:p w14:paraId="5681E42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Предложение Якушкина неприемлемо и Наркоматом Авиапрома не может быть использовано.</w:t>
      </w:r>
    </w:p>
    <w:p w14:paraId="5019C21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Материал направляется отделу изобретений ГУ ВВС для сведения.</w:t>
      </w:r>
    </w:p>
    <w:p w14:paraId="0736FE9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Приложение: а) выписка из заключения НКВ от 4.6.42 г. на 1 листе мк N 1165.</w:t>
      </w:r>
    </w:p>
    <w:p w14:paraId="63D1965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 конспект доклада на 21 лист. только отделу изобретений ГУ ВВС вх. N 248.</w:t>
      </w:r>
    </w:p>
    <w:p w14:paraId="7A82276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Заключение</w:t>
      </w:r>
    </w:p>
    <w:p w14:paraId="6E2E8E6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прицельной части предложения Якушкина</w:t>
      </w:r>
    </w:p>
    <w:p w14:paraId="0B1A0C8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Автор в своем описании по существу лишь ставит задачу разработки прицела для заднего неподвижного вооружения одноместных самолетов, а не дает технического решения ее.</w:t>
      </w:r>
    </w:p>
    <w:p w14:paraId="015EEA9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Поэтому судить приходится о возможностях создания такого прицела и его размещения на машинах и предполагаемых тактико-технических свойствах его.</w:t>
      </w:r>
    </w:p>
    <w:p w14:paraId="315B478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Автор имеет ввиду, по-видимому, двойной перископический прицел, представляющий собой две телескопические системы с независимым наблюдением двумя глазами через два окуляра.</w:t>
      </w:r>
    </w:p>
    <w:p w14:paraId="15D3CC4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Такой прибор будет обладать всеми недостатками телескопических прицелов, а именно: ограниченное небольшое поле зрения, необходимость попадать глазом в выходной зрачок прибора, громоздкость и сложность прибора, значительные потери света. По изложенным причинам на всех наших и иностранных машинах применяются сейчас коллиматорные прицелы.</w:t>
      </w:r>
    </w:p>
    <w:p w14:paraId="794FA02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Кроме того, будучи расположенным перед глазами летчика прицел этот своими окулярами, налобником и двумя трубами будет сильно ограничивать и без того небольшой обзор передней полусферы.</w:t>
      </w:r>
    </w:p>
    <w:p w14:paraId="7EC00C1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lastRenderedPageBreak/>
        <w:t>Большой трудностью для пилота (учитывая координату времени) будет являться необходимость при переходе от наблюдения вперед к наблюдению назад, наклониться к окулярам и попасть глазами в выходные зрачки прибора.</w:t>
      </w:r>
    </w:p>
    <w:p w14:paraId="289D943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Во время работы с задним прицелом пилот вовсе лишен возможности наблюдения вперед и нападению отсюда для него становится неожиданным.</w:t>
      </w:r>
    </w:p>
    <w:p w14:paraId="404C008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Выступающие из фонаря части труб (объективы) будут неизбежно ухудшать обтекаемость кабины пилота. (зам. начальника 2-го гл. управления Фрейберг, гл. технолог 2-го гл. управления Михайлов) (1684,148).</w:t>
      </w:r>
    </w:p>
    <w:p w14:paraId="3EBD5997" w14:textId="77777777" w:rsidR="00AE7191" w:rsidRPr="001E2C69" w:rsidRDefault="00AE7191" w:rsidP="00722885">
      <w:pPr>
        <w:pStyle w:val="Iauiue"/>
        <w:jc w:val="both"/>
        <w:rPr>
          <w:color w:val="000000" w:themeColor="text1"/>
          <w:sz w:val="16"/>
          <w:szCs w:val="16"/>
        </w:rPr>
      </w:pPr>
    </w:p>
    <w:p w14:paraId="0122DD3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 августа 1942 С.В.И. писал А.С.Я. письмо N 399с:</w:t>
      </w:r>
    </w:p>
    <w:p w14:paraId="318C1A0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текущем году как в предыдущие годы мы производим работы по окончанию тех. помощи заводам, внедряющим в серию самолеты Ил-2 и Ил-4 непосредственно на заводах 1, 18, 23, 30 и 126, где работает до 60 чел. наших конструкторов и руководителей групп, что дает возможность на месте быстро решать все неувязки, возникающие в серийном производстве и способствует быстрейшему выпуску освоенной продукции и без задержки для нужд фронта.</w:t>
      </w:r>
    </w:p>
    <w:p w14:paraId="66D07DF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Кроме того, осуществляются работы по самолетам Ил-2 и Ил-4 на нашем заводе (240) по запросам фронта и замене материалов в соответствии с приказом НКАП N 893 от 11 декабря 1941</w:t>
      </w:r>
    </w:p>
    <w:p w14:paraId="677CCA1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Вышеуказанные работы в план финансирования по госбюджету на 1942 не включены и на основании письма зам. нач. 7 ГУ Доминского N 66/656 от 12 августа 1942 должны быть немедленно прекращены или на них должны быть заключены договора с серийными заводами и УВВС.</w:t>
      </w:r>
    </w:p>
    <w:p w14:paraId="3961278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Считаю заключение договоров с серийными заводами и УВВС на производство работ, возникающих в связи с запросами и предложениями фронта, консультации и контроль за изменениями и заменой материалов на серийных заводах совершенно невозможным требованием и прошу утвердить за счет госбюджета израсходованные на выше указанные работы в 1 полугодии 234 тыс. руб. и выделить на 3 и 4 кв. 550 тыс. руб. (1680,157).</w:t>
      </w:r>
    </w:p>
    <w:p w14:paraId="5F370E3C" w14:textId="77777777" w:rsidR="00AE7191" w:rsidRPr="001E2C69" w:rsidRDefault="00AE7191" w:rsidP="00722885">
      <w:pPr>
        <w:pStyle w:val="Iauiue"/>
        <w:jc w:val="both"/>
        <w:rPr>
          <w:color w:val="000000" w:themeColor="text1"/>
          <w:sz w:val="16"/>
          <w:szCs w:val="16"/>
        </w:rPr>
      </w:pPr>
    </w:p>
    <w:p w14:paraId="32673093" w14:textId="77777777" w:rsidR="00721A7E" w:rsidRPr="008A2E5A" w:rsidRDefault="00721A7E" w:rsidP="00721A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15 августа по 1 сентября 1942 проходили заводские испытания опытного МиГ-9 № 02 с винтом АВ-5-127А. Перед возобновлением испыта</w:t>
      </w:r>
      <w:r w:rsidRPr="008A2E5A">
        <w:rPr>
          <w:rFonts w:ascii="Times New Roman" w:hAnsi="Times New Roman"/>
          <w:color w:val="0070C0"/>
          <w:sz w:val="16"/>
          <w:szCs w:val="16"/>
        </w:rPr>
        <w:softHyphen/>
        <w:t>ний в ОКБ-155 было решено улучшить герметизацию капота, а также уменьшить массу машины на 103 кг. С самолёта сняли пулемёт ШКАС с боезапасом, храпо</w:t>
      </w:r>
      <w:r w:rsidRPr="008A2E5A">
        <w:rPr>
          <w:rFonts w:ascii="Times New Roman" w:hAnsi="Times New Roman"/>
          <w:color w:val="0070C0"/>
          <w:sz w:val="16"/>
          <w:szCs w:val="16"/>
        </w:rPr>
        <w:softHyphen/>
        <w:t>вик и дополнительный воздушный баллон, установи</w:t>
      </w:r>
      <w:r w:rsidRPr="008A2E5A">
        <w:rPr>
          <w:rFonts w:ascii="Times New Roman" w:hAnsi="Times New Roman"/>
          <w:color w:val="0070C0"/>
          <w:sz w:val="16"/>
          <w:szCs w:val="16"/>
        </w:rPr>
        <w:softHyphen/>
        <w:t>ли на него более лёгкий аккумулятор и мотор М-82А с воздушным самопуском. Истребитель показал максимальную скорость 595 км/ч на высоте 6040 м.</w:t>
      </w:r>
    </w:p>
    <w:p w14:paraId="3BBF43AE" w14:textId="77777777" w:rsidR="00721A7E" w:rsidRPr="008A2E5A" w:rsidRDefault="00721A7E" w:rsidP="00721A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устранения выявленных недостатков 7 сен</w:t>
      </w:r>
      <w:r w:rsidRPr="008A2E5A">
        <w:rPr>
          <w:rFonts w:ascii="Times New Roman" w:hAnsi="Times New Roman"/>
          <w:color w:val="0070C0"/>
          <w:sz w:val="16"/>
          <w:szCs w:val="16"/>
        </w:rPr>
        <w:softHyphen/>
        <w:t>тября опытный МиГ-9 № 02 поступил в НИИ ВВС КА на государственные испытания. Ответ</w:t>
      </w:r>
      <w:r w:rsidRPr="008A2E5A">
        <w:rPr>
          <w:rFonts w:ascii="Times New Roman" w:hAnsi="Times New Roman"/>
          <w:color w:val="0070C0"/>
          <w:sz w:val="16"/>
          <w:szCs w:val="16"/>
        </w:rPr>
        <w:softHyphen/>
        <w:t>ственными за их проведение назначили ведущего инженера И.Г Лазарева и лёт</w:t>
      </w:r>
      <w:r w:rsidRPr="008A2E5A">
        <w:rPr>
          <w:rFonts w:ascii="Times New Roman" w:hAnsi="Times New Roman"/>
          <w:color w:val="0070C0"/>
          <w:sz w:val="16"/>
          <w:szCs w:val="16"/>
        </w:rPr>
        <w:softHyphen/>
        <w:t>чика-испытателя В.Е. Голофастова. К со</w:t>
      </w:r>
      <w:r w:rsidRPr="008A2E5A">
        <w:rPr>
          <w:rFonts w:ascii="Times New Roman" w:hAnsi="Times New Roman"/>
          <w:color w:val="0070C0"/>
          <w:sz w:val="16"/>
          <w:szCs w:val="16"/>
        </w:rPr>
        <w:softHyphen/>
        <w:t>жалению, машину неоднократно при</w:t>
      </w:r>
      <w:r w:rsidRPr="008A2E5A">
        <w:rPr>
          <w:rFonts w:ascii="Times New Roman" w:hAnsi="Times New Roman"/>
          <w:color w:val="0070C0"/>
          <w:sz w:val="16"/>
          <w:szCs w:val="16"/>
        </w:rPr>
        <w:softHyphen/>
        <w:t>ходилось возвращать её создателям для доводки винтомоторной группы, поэтому испытания растянулись на два месяца. По их результатам МиГ-9 получил неудо</w:t>
      </w:r>
      <w:r w:rsidRPr="008A2E5A">
        <w:rPr>
          <w:rFonts w:ascii="Times New Roman" w:hAnsi="Times New Roman"/>
          <w:color w:val="0070C0"/>
          <w:sz w:val="16"/>
          <w:szCs w:val="16"/>
        </w:rPr>
        <w:softHyphen/>
        <w:t>влетворительную оценку, так как его ос</w:t>
      </w:r>
      <w:r w:rsidRPr="008A2E5A">
        <w:rPr>
          <w:rFonts w:ascii="Times New Roman" w:hAnsi="Times New Roman"/>
          <w:color w:val="0070C0"/>
          <w:sz w:val="16"/>
          <w:szCs w:val="16"/>
        </w:rPr>
        <w:softHyphen/>
        <w:t>новные лётные характеристики оказались ниже, чем у серийных истребителей Ла-5 и Як-7. На госиспытаниях его максималь</w:t>
      </w:r>
      <w:r w:rsidRPr="008A2E5A">
        <w:rPr>
          <w:rFonts w:ascii="Times New Roman" w:hAnsi="Times New Roman"/>
          <w:color w:val="0070C0"/>
          <w:sz w:val="16"/>
          <w:szCs w:val="16"/>
        </w:rPr>
        <w:softHyphen/>
        <w:t>ная скорость с полётной массой 3382 кг составила всего 565 км/ч на высоте 6150 м. Кроме то</w:t>
      </w:r>
      <w:r w:rsidRPr="008A2E5A">
        <w:rPr>
          <w:rFonts w:ascii="Times New Roman" w:hAnsi="Times New Roman"/>
          <w:color w:val="0070C0"/>
          <w:sz w:val="16"/>
          <w:szCs w:val="16"/>
        </w:rPr>
        <w:softHyphen/>
        <w:t>го, у военных были большие претензии к работе ВМГ и условиям её эксплуатации (23370).</w:t>
      </w:r>
    </w:p>
    <w:p w14:paraId="3394409B" w14:textId="77777777" w:rsidR="00721A7E" w:rsidRPr="008A2E5A" w:rsidRDefault="00721A7E" w:rsidP="00721A7E">
      <w:pPr>
        <w:spacing w:after="0" w:line="240" w:lineRule="auto"/>
        <w:jc w:val="both"/>
        <w:rPr>
          <w:rFonts w:ascii="Times New Roman" w:hAnsi="Times New Roman"/>
          <w:color w:val="0070C0"/>
          <w:sz w:val="16"/>
          <w:szCs w:val="16"/>
        </w:rPr>
      </w:pPr>
    </w:p>
    <w:p w14:paraId="6674BA7C"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15 августа 1942 г. из-за нехватки радиополукомпасов их стали ставить только на каждый второй Пе-2, а затем и на каждый третий, но другое оборудование улучшалось.</w:t>
      </w:r>
    </w:p>
    <w:p w14:paraId="27231C16"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 175-й серии начали ставить рацию РСБ-3бис вместо РСБ-бис с новой антенной, значительно увеличив дальность связи, но, по-видимому, это полезное усовершенствование в своем окончательном виде утвердилось на Пе-2 только в следующем 1943 г. с серии 265. Положительно были оценены более мощная система пневмозапуска моторов и кран разжижения масла бензином, позволявший отказаться от его долива вручную (22928).</w:t>
      </w:r>
    </w:p>
    <w:p w14:paraId="08F94732" w14:textId="77777777" w:rsidR="00F51760" w:rsidRPr="001E2C69" w:rsidRDefault="00F51760" w:rsidP="00722885">
      <w:pPr>
        <w:spacing w:after="0" w:line="240" w:lineRule="auto"/>
        <w:jc w:val="both"/>
        <w:rPr>
          <w:rFonts w:ascii="Times New Roman" w:hAnsi="Times New Roman"/>
          <w:color w:val="000000" w:themeColor="text1"/>
          <w:sz w:val="16"/>
          <w:szCs w:val="16"/>
        </w:rPr>
      </w:pPr>
    </w:p>
    <w:p w14:paraId="5E29EE9C" w14:textId="77777777" w:rsidR="00DF0DDA" w:rsidRPr="001E2C69" w:rsidRDefault="00DF0DDA" w:rsidP="00722885">
      <w:pPr>
        <w:pStyle w:val="36"/>
        <w:shd w:val="clear" w:color="auto" w:fill="auto"/>
        <w:tabs>
          <w:tab w:val="left" w:pos="285"/>
        </w:tabs>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15 августа 1942 после того, как решением комиссии проект НИИ ВВС по усилению бронирования серийных самолетов был утвержден, это решение было утверждено заместителем наркома авиапромышленности А.С. Яковлевым, а 20 августа - заместителем коман</w:t>
      </w:r>
      <w:r w:rsidRPr="001E2C69">
        <w:rPr>
          <w:rFonts w:ascii="Times New Roman" w:cs="Times New Roman"/>
          <w:color w:val="000000" w:themeColor="text1"/>
          <w:spacing w:val="0"/>
          <w:sz w:val="16"/>
          <w:szCs w:val="16"/>
        </w:rPr>
        <w:softHyphen/>
        <w:t>дующего ВВС КА генералом А.К. Ре</w:t>
      </w:r>
      <w:r w:rsidRPr="001E2C69">
        <w:rPr>
          <w:rFonts w:ascii="Times New Roman" w:cs="Times New Roman"/>
          <w:color w:val="000000" w:themeColor="text1"/>
          <w:spacing w:val="0"/>
          <w:sz w:val="16"/>
          <w:szCs w:val="16"/>
        </w:rPr>
        <w:softHyphen/>
        <w:t>пиным. Совместный приказ по ВВС и НКАП по усилению бронирования серийных самолетов за №662с/035, закрепляющий основные положения решения комиссии, вышел 26 августа (16776).</w:t>
      </w:r>
    </w:p>
    <w:p w14:paraId="09B3B636" w14:textId="77777777" w:rsidR="00DF0DDA" w:rsidRPr="001E2C69" w:rsidRDefault="00DF0DDA" w:rsidP="00722885">
      <w:pPr>
        <w:spacing w:after="0" w:line="240" w:lineRule="auto"/>
        <w:jc w:val="both"/>
        <w:rPr>
          <w:rFonts w:ascii="Times New Roman" w:hAnsi="Times New Roman"/>
          <w:color w:val="000000" w:themeColor="text1"/>
          <w:sz w:val="16"/>
          <w:szCs w:val="16"/>
        </w:rPr>
      </w:pPr>
    </w:p>
    <w:p w14:paraId="4E61D96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 августа 1942 лауреат Сталинской премии, ГИ НАТИ Слонимский написал письмо N 9486 в тех. с-т ОБ ЦК ВКП(б) в адрес пред. ГКО И.В.С. о создании летающего танка-автожира. 7 ГУ дало отрицательное заключение (1684,188).</w:t>
      </w:r>
    </w:p>
    <w:p w14:paraId="1ADF4A6C" w14:textId="77777777" w:rsidR="00AE7191" w:rsidRPr="001E2C69" w:rsidRDefault="00AE7191" w:rsidP="00722885">
      <w:pPr>
        <w:pStyle w:val="Iauiue"/>
        <w:jc w:val="both"/>
        <w:rPr>
          <w:color w:val="000000" w:themeColor="text1"/>
          <w:sz w:val="16"/>
          <w:szCs w:val="16"/>
        </w:rPr>
      </w:pPr>
    </w:p>
    <w:p w14:paraId="0336D593"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69AC0EB0" w14:textId="77777777" w:rsidR="00AE7191" w:rsidRPr="001E2C69" w:rsidRDefault="00AE7191" w:rsidP="00722885">
      <w:pPr>
        <w:pStyle w:val="Iauiue"/>
        <w:jc w:val="both"/>
        <w:rPr>
          <w:iCs/>
          <w:color w:val="000000" w:themeColor="text1"/>
          <w:sz w:val="16"/>
          <w:szCs w:val="16"/>
        </w:rPr>
      </w:pPr>
    </w:p>
    <w:p w14:paraId="08BC6F2D"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15 августа 1942 г. (с момента зарождения идеи) до 20 октября 1942 г. М.Л. Миль и СВ. Пасхин разработали, создали и провели огневые испытания трех различных вариантов своего СРГ. «Эти испытания показали необходимость доводки образцов, которая сейчас производится», - говорилось в документе, датированном 28 ноября 1942 г. Там же упоминается, что 15 августа полное описание изобретения уже было послано в отдел военных изобретений ГКО, т.е. «идея созрела» намного раньше.</w:t>
      </w:r>
    </w:p>
    <w:p w14:paraId="4001D7C8"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Первый вариант установки Миля-Пасхина, названный МП82-1-1, был выполнен на легком с</w:t>
      </w:r>
      <w:hyperlink r:id="rId192"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е в виде треноги. Общая масса СРГ — 14,4 кг, прицел — простейший кольцевой, с шариковой мушкой (аналогичной авиационной флюгер-мушке) на конце силовой балки орудия - не учитывал изменений в дистанции стрельбы. То есть, он был рассчитан на стрельбу с расстояния 150-200 м. Прицеливание осуществлялось через оргстекло окна в защитном щитке. Заряжание СРГ было организовано с дульной части, для чего на боевой позиции второму номеру расчета с боекомплектом следовало располагаться спереди-сбоку «в отдельно отрытом окопчике» или просто лежать на земле. После выстрела стрелок должен был опустить и отвести ствол ракетного орудия в сторону лежащего рядом второго номера расчета. Пока тот заряжал снаряд в направляющую, стрелок перезаряжал пиропистолет.</w:t>
      </w:r>
    </w:p>
    <w:p w14:paraId="21BFE39B"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Второй вариант этой установки назывался МП82-2-1. Он был выполнен на колесном с</w:t>
      </w:r>
      <w:hyperlink r:id="rId193"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е, который при необходимости можно было поставить на лыжи, и весил 20,4 кг. Прицел — с металлическим ограждением мушки, в большей степени отвечал специфике эксплуатации оружия в пехотных частях. Этим же требованиям отвечали и колеса большого диаметра у с</w:t>
      </w:r>
      <w:hyperlink r:id="rId194"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а, обладавшие лучшей «проходимостью» при его перевозке по полю боя в распутицу. Щиток был доработан и частично прикрывал голову стрелка. Для лучшего удержания при выстреле орудие было дополнено одной вертикальной рукояткой, как у с</w:t>
      </w:r>
      <w:hyperlink r:id="rId195"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овых пулеметов. Теперь стрелок правой рукой обхватывал шейку приклада, а левой держался за рукоятку. Длина СРГ - 2050 мм, наибольшая ширина (по сошнику) - 1000 мм, высота по щитку - 590 мм, линия огня проходила в 250 мм параллельно земле.</w:t>
      </w:r>
    </w:p>
    <w:p w14:paraId="598B83E1"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сожалению, особенности конструкции не позволяли выполнить сошник с</w:t>
      </w:r>
      <w:hyperlink r:id="rId196"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а складным, и легкий СРГ из-за этого производил впечатление чересчур громоздкого. Кроме того, в общей массе гранатомета не учитывался аккумулятор для питания цепи воспламенения пиропатрона (малогабаритных источников питания напряжением минимум 6 В, необходимых для срабатывания пиропатрона, тогда еще делать не умели), а он добавил бы еще 5-7 кг. Исправить это положение могла бы замена щелочного аккумулятора вдвое более легкой подрывной машинкой, но о ней у конструкторов речи не шло...</w:t>
      </w:r>
    </w:p>
    <w:p w14:paraId="584F2F05"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Более поздний вариант этой установки, чертежи которого датированы 20 октября 1942 г., был доработан в отношении снижения массы конструкции и повышения ее компактности. Так, сошник с</w:t>
      </w:r>
      <w:hyperlink r:id="rId197"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а был спроектирован складным, в рукоятку вмонтировали механизм вертикальной наводки ракетного орудия, соединения основных узлов СРГ пришлось упрочнить (очевидно, по результатам первых пробных стрельб). Все это, вне сомнения, утяжелило конструкцию. Чтобы остаться в прежних весовых пределах, Миль и Пасхин уменьшили диаметр колес с</w:t>
      </w:r>
      <w:hyperlink r:id="rId198"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а и габариты щитка, за счет чего общая высота установки уменьшилась до 500 мм. Ширина лобовой части щитка существенно уменьшилась, и застекленное смотровое окно в нем превратилось в узкую вертикальную щель.</w:t>
      </w:r>
    </w:p>
    <w:p w14:paraId="70CBBC50"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Третий вариант СРГ МП82-2-46 с перезарядкой с казенной части и барабаном револьверного типа на пиропистолете с «ударными пиропатронами», судя по маркировке, также относился ко второму варианту установки. Однако недоработанные чертежи и отсутствие упоминаний об этом варианте СРГ в отчетах по стрельбе наводят на мысль, что данная установка не была реализована в металле и считалась лишь концепт-проектом. В ее конструкции были полностью исключены тяжелый и громоздкий аккумулятор и электроцепи запуска реактивного снаряда. Ствол пиропистолета был соединен с барабаном револьвера, который заряжали холостыми патронами, что позволяло полностью отказаться от электрической части СРГ.</w:t>
      </w:r>
    </w:p>
    <w:p w14:paraId="53043FAC"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Этот вариант гранатомета был в максимальной степени ориентирован на сокращение численности обслуживающего персонала. То есть, по мнению разработчиков, второй номер расчета теперь не требовался. Для перезаряжания ракетного орудия с казенной части Миль и Пасхин предложили выполнить нижнюю часть защитного щитка, а также пиропистолет откидными, с приводом от рукоятки вертикальной наводки ружья. На их чертеже это отражено лишь декларативно, и более подробные проработки на уровне сборочного чертежа отсутствуют. Очень похоже, что МП82-2-46 и был третьим вариантом СРГ, поскольку его чертежей и описаний не сохранилось, не упоминается о нем и в переписке.</w:t>
      </w:r>
    </w:p>
    <w:p w14:paraId="650B9800"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Между тем «милевский» концепт-проект МП82-2-46 был технически очень сложным: откидная часть защитного щитка мешала зарядке пиропистолета.</w:t>
      </w:r>
    </w:p>
    <w:p w14:paraId="08D33522"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Возможно, выходом из положения они видели вариант СРГ с повернутыми вверх полозками ракетного орудия. Чертежей такой установки нет, но о ней упоминается в письме М.Л. Миля, датированном 28 ноября 1942 г. и адресованном Военному Совету Уральского военного округа, «...балка может быть расположена полозками вниз или вверх или вращающаяся на продольной оси с целью удобства заряжания ружья с казенной части».</w:t>
      </w:r>
    </w:p>
    <w:p w14:paraId="29AA19DE"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Четвертый вариант СРГ под названием МП82-4-1 был выполнен с оптическим прицелом, на лыжном с</w:t>
      </w:r>
      <w:hyperlink r:id="rId199"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 xml:space="preserve">е и с винтовочным затвором для применения холостых винтовочных патронов (или авиационных капсюльных ПП-1) для запуска реактивных снарядов. Именно эту установку использовали с целью демонстрации возможностей однозарядного СРГ Миля-Пасхина на сравнительных испытаниях 14-18 декабря 1942 г. Высота линии огня от земли — 250 мм, высота всей установки </w:t>
      </w:r>
      <w:r w:rsidRPr="001E2C69">
        <w:rPr>
          <w:rFonts w:ascii="Times New Roman" w:hAnsi="Times New Roman"/>
          <w:color w:val="000000" w:themeColor="text1"/>
          <w:sz w:val="16"/>
          <w:szCs w:val="16"/>
        </w:rPr>
        <w:lastRenderedPageBreak/>
        <w:t>- 540 мм, длина гранатомета - 2,0 м, масса ружья со щитком - 11 кг, общая масса установки - 21 кг. В этом варианте установки для транспортировки ружье со щитком легко снимались со с</w:t>
      </w:r>
      <w:hyperlink r:id="rId200"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а.</w:t>
      </w:r>
    </w:p>
    <w:p w14:paraId="7DAF1C2E"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Правда, в отличие от проекта, на испытаниях она была оснащена аккумулятором и электрической частью с боевой кнопкой. При стрельбе из этой, а также других установок были отмечены случаи разрывов пиропатронов внутри пиропистолета, случай обрыва электропроводки при выстреле, а также один случай разрыва пиропистолета. Поэтому размещение пиропистолета в непосредственной близости от лица стреляющего конструкторы в дальнейшем посчитали недопустимым.</w:t>
      </w:r>
    </w:p>
    <w:p w14:paraId="41D91C4D"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Обрывы проводов при выстреле здесь выглядят довольно странными. При эксплуатации аналогичных ракетных орудий под крылом самолетов ВВС Красной Армии обрыв проводов также не являлся редкостью, но там электропроводка не закрывалась щитком. А разрывов пиропатронов в стволе пиропистолета или разрывов самого пиропистолета, выполненного на ранних моделях орудия из литого силумина, а на поздних — из жаропрочной стали, в ВВС не было отмечено ни разу.</w:t>
      </w:r>
    </w:p>
    <w:p w14:paraId="411F9F19" w14:textId="32C8A30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Испытания этой установки на прицельность проходили в виде стрельбы по щиту размером 6×</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4,5 м. В его центре было нарисовано яблоко диаметром 250 мм. Стреляли в середине декабря с дистанции 100 м на полигоне в Билимбае после тщательной холодной пристрелки. Оружие было снабжено прицелом выпуска 1941 г. для снайперской винтовки.</w:t>
      </w:r>
    </w:p>
    <w:p w14:paraId="752755D9"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трехзарядный вариант гранатомета МП82 рабочих чертежей не сохранилось, не упоминается и его полное наименование, но имеются эскизы и наброски, а также описание установки. Судя по всему, это и был пятый вариант СРГ. Фотографии установки и отчет по стрельбе свидетельствуют, что этот гранатомет также был реализован в металле.</w:t>
      </w:r>
    </w:p>
    <w:p w14:paraId="011568E3"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На стволе этого СРГ был на подшипниках закреплен барабан с тремя однозарядными пусковыми РО-82. Стрельбу из них вели последовательно, что, по утверждению создателей, «обеспечивало большую скорострельность и тем увеличивало вероятность поражения </w:t>
      </w:r>
      <w:hyperlink r:id="rId201"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а». Ствольная часть была легкосъемной и вместо приклада оснащена ручками, как у с</w:t>
      </w:r>
      <w:hyperlink r:id="rId202"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овых пулеметов (на эскизах он прорабатывался с прикладом). Стрельбой управляли от кнопки, инициируя срабатывание пиропатрона от аккумулятора. Поскольку мушку на такой конструкции установить было проблематично, на испытаниях приспособили коллиматорный авиационный прицел. Высота линии огня - 250 мм, высота общая СРГ - 590 мм, длина всей установки -2,4 м, ширина - 700 мм, масса ствольной части — 18 кг, с</w:t>
      </w:r>
      <w:hyperlink r:id="rId203"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а — 30 кг, общая масса - 48 кг.</w:t>
      </w:r>
    </w:p>
    <w:p w14:paraId="2D65741A"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отличие от однозарядного варианта, щиток был неподвижен и выполнял роль несущей конструкции рамного типа, обшитой стальными листами. К сожалению, вид сверху отсутствует, и можно только предполагать, что правое и левое крылья щитка были симметричными, поскольку на реализованном образце СРГ клинья сошника располагались внутри щитка. Защитное стекло щитка на проекте располагалось под углом к потоку продуктов горения ракетных зарядов боеприпасов, но на реальном образце его установили под прямым углом. Это было сделано с целью избежать появления бликов при оснащении СРГ коллиматорным прицелом. То есть, здесь пригодился «авиационный опыт».</w:t>
      </w:r>
    </w:p>
    <w:p w14:paraId="2823E6A9"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Из трехзарядной установки на сравнительных испытаниях 14-18 декабря 1942 г. было выполнено четыре выстрела реактивными снарядами РОС-82 (один выстрел — с дистанционным управлением и три - стрелком). Данная установка продемонстрировала удовлетворительную устойчивость и безопасность. «Прицельность установки» не отрабатывали из-за ограниченного количества боеприпасов (15595).</w:t>
      </w:r>
    </w:p>
    <w:p w14:paraId="04549EE1" w14:textId="77777777" w:rsidR="00DF0DDA" w:rsidRPr="001E2C69" w:rsidRDefault="00DF0DDA" w:rsidP="00722885">
      <w:pPr>
        <w:spacing w:after="0" w:line="240" w:lineRule="auto"/>
        <w:jc w:val="both"/>
        <w:rPr>
          <w:rFonts w:ascii="Times New Roman" w:hAnsi="Times New Roman"/>
          <w:color w:val="000000" w:themeColor="text1"/>
          <w:sz w:val="16"/>
          <w:szCs w:val="16"/>
        </w:rPr>
      </w:pPr>
    </w:p>
    <w:p w14:paraId="3D5FBF6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августа 1942 г. были подготовлены ПРЕДЛОЖЕНИЕ КОНСТРУКТОРА АНИКИНА М.Г. ПРЕДСЕДАТЕЛЮ ГКО О СОЗДАНИИ ТАНКА-ИСТРЕБИТЕЛЯ С БОЛЬШОЙ СКОРОСТЬЮ ПЕРЕДВИЖЕНИЯ</w:t>
      </w:r>
    </w:p>
    <w:p w14:paraId="1D3F4B5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Вторично вынужден к Вам обратиться за помощью, так как первое письмо, видимо, к Вам не по</w:t>
      </w:r>
      <w:r w:rsidRPr="001E2C69">
        <w:rPr>
          <w:rFonts w:ascii="Times New Roman" w:hAnsi="Times New Roman"/>
          <w:color w:val="000000" w:themeColor="text1"/>
          <w:sz w:val="16"/>
          <w:szCs w:val="16"/>
        </w:rPr>
        <w:softHyphen/>
        <w:t>пало, (правда, я в том письме ничего описательного не писал из-за осторожности и это, возможно, послужило к тому, чтобы не придать должного внимания моей просьбе со стороны аппарата).</w:t>
      </w:r>
    </w:p>
    <w:p w14:paraId="203B2F1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Личная просьба обоснована следующая:</w:t>
      </w:r>
    </w:p>
    <w:p w14:paraId="1989517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Мною запроектирован (вчерне) танк-истребитель с большой скоростью передвижения.</w:t>
      </w:r>
    </w:p>
    <w:p w14:paraId="4406A46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Мой танк-истребитель управляется одним человеком, который находится в танке в лежачем по</w:t>
      </w:r>
      <w:r w:rsidRPr="001E2C69">
        <w:rPr>
          <w:rFonts w:ascii="Times New Roman" w:hAnsi="Times New Roman"/>
          <w:color w:val="000000" w:themeColor="text1"/>
          <w:sz w:val="16"/>
          <w:szCs w:val="16"/>
        </w:rPr>
        <w:softHyphen/>
        <w:t>ложении, ногами он ведет управление движения танка, а руками ведет управление огнем и управле</w:t>
      </w:r>
      <w:r w:rsidRPr="001E2C69">
        <w:rPr>
          <w:rFonts w:ascii="Times New Roman" w:hAnsi="Times New Roman"/>
          <w:color w:val="000000" w:themeColor="text1"/>
          <w:sz w:val="16"/>
          <w:szCs w:val="16"/>
        </w:rPr>
        <w:softHyphen/>
        <w:t>ние скоростью движения (в основу управления танка положено управление самолетом).</w:t>
      </w:r>
    </w:p>
    <w:p w14:paraId="4DDE1EB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Высота танка — не превышает 500 мм, это и большая скорость дает танку моей конструкции по</w:t>
      </w:r>
      <w:r w:rsidRPr="001E2C69">
        <w:rPr>
          <w:rFonts w:ascii="Times New Roman" w:hAnsi="Times New Roman"/>
          <w:color w:val="000000" w:themeColor="text1"/>
          <w:sz w:val="16"/>
          <w:szCs w:val="16"/>
        </w:rPr>
        <w:softHyphen/>
        <w:t>являться не замечено к танкам противника, а особенно в траве и ночью. Кроме этого, он имеет ма</w:t>
      </w:r>
      <w:r w:rsidRPr="001E2C69">
        <w:rPr>
          <w:rFonts w:ascii="Times New Roman" w:hAnsi="Times New Roman"/>
          <w:color w:val="000000" w:themeColor="text1"/>
          <w:sz w:val="16"/>
          <w:szCs w:val="16"/>
        </w:rPr>
        <w:softHyphen/>
        <w:t>лую степень уязвимости как по форме расположения брони, так и по двум первым причинам.</w:t>
      </w:r>
    </w:p>
    <w:p w14:paraId="5D4E4D9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Вооружение танка — 2 пулемета типа Шкас (авиационного) и торпеда большой мощности раз</w:t>
      </w:r>
      <w:r w:rsidRPr="001E2C69">
        <w:rPr>
          <w:rFonts w:ascii="Times New Roman" w:hAnsi="Times New Roman"/>
          <w:color w:val="000000" w:themeColor="text1"/>
          <w:sz w:val="16"/>
          <w:szCs w:val="16"/>
        </w:rPr>
        <w:softHyphen/>
        <w:t>рушения, которая выпускается вражескому танку на встречу без выстрела.</w:t>
      </w:r>
    </w:p>
    <w:p w14:paraId="2004842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Я, как конструктор, глубоко убежден, что мой танк-истребитель в ходе нашей войны против фа</w:t>
      </w:r>
      <w:r w:rsidRPr="001E2C69">
        <w:rPr>
          <w:rFonts w:ascii="Times New Roman" w:hAnsi="Times New Roman"/>
          <w:color w:val="000000" w:themeColor="text1"/>
          <w:sz w:val="16"/>
          <w:szCs w:val="16"/>
        </w:rPr>
        <w:softHyphen/>
        <w:t>шизма займет почетное место и окажет не малую помощь нашим бесстрашным бойцам в части унич</w:t>
      </w:r>
      <w:r w:rsidRPr="001E2C69">
        <w:rPr>
          <w:rFonts w:ascii="Times New Roman" w:hAnsi="Times New Roman"/>
          <w:color w:val="000000" w:themeColor="text1"/>
          <w:sz w:val="16"/>
          <w:szCs w:val="16"/>
        </w:rPr>
        <w:softHyphen/>
        <w:t>тожения бронетанковых сил врага, а также и живой силы.</w:t>
      </w:r>
    </w:p>
    <w:p w14:paraId="684DEF1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Прошу Ваших решений и дальнейшего указания в части осуществления.</w:t>
      </w:r>
    </w:p>
    <w:p w14:paraId="10DAC81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настоящее время для осуществления технического проекта мне необходима следующая помощь:</w:t>
      </w:r>
    </w:p>
    <w:p w14:paraId="343AAF5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Рабочие чертежи на автомотор малолитражки КИМ и авто М-1 и их агрегаты как-то: магнето, радиатор, вентилятор и т.д.</w:t>
      </w:r>
    </w:p>
    <w:p w14:paraId="4A654AB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2.5-6 человек конструкторов и одного конструктора на прочность, так как сам лично очень занят на заводе, да и, кроме того, одному мне придется затратить очень много времени, чего делать нельзя по сложности войны.</w:t>
      </w:r>
    </w:p>
    <w:p w14:paraId="2AEF109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После утверждения технического проекта Вами и специальной комиссией прошу дать право на изготовление первых несколько штук для опробования в условиях полигона и учебы.</w:t>
      </w:r>
    </w:p>
    <w:p w14:paraId="305D263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цеха № 12 Госавиазавода № 27 конструктор Аникин М.Г.</w:t>
      </w:r>
    </w:p>
    <w:p w14:paraId="0090A56A" w14:textId="77777777" w:rsidR="00AE7191" w:rsidRPr="001E2C69" w:rsidRDefault="00AE7191" w:rsidP="00722885">
      <w:pPr>
        <w:pStyle w:val="afff5"/>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ЦАМО. Ф. 38. Оп. 11355. Д. 936. Л. 272. Подлинник (11211).</w:t>
      </w:r>
    </w:p>
    <w:p w14:paraId="48269046" w14:textId="77777777" w:rsidR="00AE7191" w:rsidRPr="001E2C69" w:rsidRDefault="00AE7191" w:rsidP="00722885">
      <w:pPr>
        <w:pStyle w:val="afff5"/>
        <w:jc w:val="both"/>
        <w:rPr>
          <w:i w:val="0"/>
          <w:iCs w:val="0"/>
          <w:color w:val="000000" w:themeColor="text1"/>
          <w:spacing w:val="0"/>
          <w:kern w:val="0"/>
          <w:position w:val="0"/>
          <w:sz w:val="16"/>
          <w:szCs w:val="16"/>
        </w:rPr>
      </w:pPr>
    </w:p>
    <w:p w14:paraId="0A79B33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состоянию на 15 августа 1942 из запланированных 225 не было сдано ни одной ТО-34, что вызывало недовольство у руководства ГАБТУ КА:</w:t>
      </w:r>
    </w:p>
    <w:p w14:paraId="79DBEAA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«Танковые заводы при наличии у них достаточного количества огнеметов АТО-41 не выполняют программу выпуска огнеметных танков и из месяца в месяц срывают план формирования огнеметных танковых частей.</w:t>
      </w:r>
    </w:p>
    <w:p w14:paraId="04C563E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Невыполнение заводами Нар комтанкопрома программы выпуска огнеметных танков не дает возможности проверить эффективность действия огнеметных батальонов, так, как формирование их из-за отсутствия танков задерживается».</w:t>
      </w:r>
    </w:p>
    <w:p w14:paraId="2395818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Как видно из документа, огнеметные танки поступали на вооружение отдельных огнеметных танковых батальонов, имевших 500-е номере. По штату, каждый такой батальон насчитывал 21 танк - 10 огнеметных КВ-8, 9 ТО-34 и 3 линейны» Т-34 (12217).</w:t>
      </w:r>
    </w:p>
    <w:p w14:paraId="39973398"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8A32B5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августа 1942 по донесению дирекции СТЗ в Наркомтанкопром, "заводом проделана большая работа по улучшению конструкции АТО-41» и в конструкцию огнемета внесены изменения, улучшающие его качества (12217).</w:t>
      </w:r>
    </w:p>
    <w:p w14:paraId="26C3136F"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4CD46F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августа 1942 г. вышел приказ № 47 Главмотовелопрома НКСМ, который устанавливался следующий порядок поставок мотоциклов с колясками. На ГМЗ и других мотозаводах следо</w:t>
      </w:r>
      <w:r w:rsidRPr="001E2C69">
        <w:rPr>
          <w:rFonts w:ascii="Times New Roman" w:hAnsi="Times New Roman"/>
          <w:color w:val="000000" w:themeColor="text1"/>
          <w:sz w:val="16"/>
          <w:szCs w:val="16"/>
        </w:rPr>
        <w:softHyphen/>
        <w:t>вало хранить ограниченное количество колясок к мотоциклам М-72. Каждый М-72 с коляской в полной комплектации предъ</w:t>
      </w:r>
      <w:r w:rsidRPr="001E2C69">
        <w:rPr>
          <w:rFonts w:ascii="Times New Roman" w:hAnsi="Times New Roman"/>
          <w:color w:val="000000" w:themeColor="text1"/>
          <w:sz w:val="16"/>
          <w:szCs w:val="16"/>
        </w:rPr>
        <w:softHyphen/>
        <w:t>являли представителю Заказчика (офицеру ГБТУ, в просторе</w:t>
      </w:r>
      <w:r w:rsidRPr="001E2C69">
        <w:rPr>
          <w:rFonts w:ascii="Times New Roman" w:hAnsi="Times New Roman"/>
          <w:color w:val="000000" w:themeColor="text1"/>
          <w:sz w:val="16"/>
          <w:szCs w:val="16"/>
        </w:rPr>
        <w:softHyphen/>
        <w:t>чии - военпреду). Затем коляску сдавали на хранение в складе завода-изготовителя, а мотоцикл в полной комплектности, но без коляски, отправляли на ММЗ. Туда же с ГАЗа доставляли мотоциклетные коляски. На ММЗ к мотоциклам, поступав</w:t>
      </w:r>
      <w:r w:rsidRPr="001E2C69">
        <w:rPr>
          <w:rFonts w:ascii="Times New Roman" w:hAnsi="Times New Roman"/>
          <w:color w:val="000000" w:themeColor="text1"/>
          <w:sz w:val="16"/>
          <w:szCs w:val="16"/>
        </w:rPr>
        <w:softHyphen/>
        <w:t>шим с мотозаводов, если требовалось, крепили коляски, и предъявляли военпреду, а затем передавали в распоряжение ГБТУ [5.29]. Введенный порядок упростил поставки мотоцик</w:t>
      </w:r>
      <w:r w:rsidRPr="001E2C69">
        <w:rPr>
          <w:rFonts w:ascii="Times New Roman" w:hAnsi="Times New Roman"/>
          <w:color w:val="000000" w:themeColor="text1"/>
          <w:sz w:val="16"/>
          <w:szCs w:val="16"/>
        </w:rPr>
        <w:softHyphen/>
        <w:t>лов с колясками, ограниченное количество которых хранили на мотозаводах. ГАЗ, в основном, отправлял коляски только на ММЗ. Для ведения широкомасштабных боевых действий в 1942 г. Красной Армии требовалось гораздо большее количество мотоциклов, в сравнении с изготавливаемыми на ГМЗ. Поэтому НКСМ и Главмотовелопром стремились быстрее ввести в экс</w:t>
      </w:r>
      <w:r w:rsidRPr="001E2C69">
        <w:rPr>
          <w:rFonts w:ascii="Times New Roman" w:hAnsi="Times New Roman"/>
          <w:color w:val="000000" w:themeColor="text1"/>
          <w:sz w:val="16"/>
          <w:szCs w:val="16"/>
        </w:rPr>
        <w:softHyphen/>
        <w:t>плуатацию мотозаводы в Ирбите и Тюмени (11429).</w:t>
      </w:r>
    </w:p>
    <w:p w14:paraId="7229448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3437E3F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августа 1942 г. по приказу НКЭП № МК-325 завод «Сибкабель» переименован в ГС завод № 631 (ГС завод № 631 НКЭП, ГС кабельный завод «Сибкабель» НКЭП, Томский кабельный завод («Томкабель») МЭТП /634059  г. Томск ул. Смирнова, 3/). 12.06.1954 г. завод № 631 переименован в Томский кабельный завод «Томкабель» МЭТП.</w:t>
      </w:r>
    </w:p>
    <w:p w14:paraId="5F312F4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04.1952 г. на базе завода создан НИИ кабельной промышленности.</w:t>
      </w:r>
    </w:p>
    <w:p w14:paraId="7CEEB71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1955 г. в состав завода влит завод № 673. С 07.1957 г. «Томкабель»- в ведении Томского СНХ, с 03.1963 г. - в ведении Управления электротехнической промышленности Западно-Сибирского совнархоза.</w:t>
      </w:r>
      <w:r w:rsidRPr="001E2C69">
        <w:rPr>
          <w:rFonts w:ascii="Times New Roman" w:hAnsi="Times New Roman"/>
          <w:color w:val="000000" w:themeColor="text1"/>
          <w:sz w:val="16"/>
          <w:szCs w:val="16"/>
          <w:vertAlign w:val="superscript"/>
        </w:rPr>
        <w:t>80</w:t>
      </w:r>
      <w:r w:rsidRPr="001E2C69">
        <w:rPr>
          <w:rFonts w:ascii="Times New Roman" w:hAnsi="Times New Roman"/>
          <w:color w:val="000000" w:themeColor="text1"/>
          <w:sz w:val="16"/>
          <w:szCs w:val="16"/>
        </w:rPr>
        <w:t xml:space="preserve"> С 1966 г.- вновь в ведении МЭТП.</w:t>
      </w:r>
    </w:p>
    <w:p w14:paraId="6CF3BFF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1971 г. на базе заводов «Томкабель», «Эмальпровод», «Металлист» ( г. Колпашево Томской обл.) и НИИ кабельной промышленности с опытным производством создано ПО «Сибкабель» МЭТП.</w:t>
      </w:r>
    </w:p>
    <w:p w14:paraId="5E17ED8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кабели: силовые, шахтные, морские; электропровод.</w:t>
      </w:r>
    </w:p>
    <w:p w14:paraId="5701021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НИИ Кабельной промышленности МЭТП</w:t>
      </w:r>
    </w:p>
    <w:p w14:paraId="5CB99A8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Создан в 04.1952 г. на базе завода «Томкабель». В 1971 г. НИИ с опытным производством вошел в состав ПО «Сибкабель». Был в 2002 г.</w:t>
      </w:r>
    </w:p>
    <w:p w14:paraId="5769D7A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«Сибкабель» МЭТП, НПО, АППО, АОЗТ, ЗАО «Сибкабель» /643003  г. Томск ул. Пушкина, 46/ /Московское представительство:  г. Москва ш. Энтузиастов, 5/</w:t>
      </w:r>
    </w:p>
    <w:p w14:paraId="1283EF4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ПО «Сибкабель» МЭТП создано в 1971 г. на базе заводов «Томкабель», «Эмальпровод», «Металлист» ( г. Колпашево Томской обл.) и НИИ кабельной промышленности с опытным производством. В 1992 г. предприятие преобразовано в АОЗТ «Сибкабель» (11982).</w:t>
      </w:r>
    </w:p>
    <w:p w14:paraId="6A7E3733"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7188E46"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5416D8BD" w14:textId="77777777" w:rsidR="00AE7191" w:rsidRPr="001E2C69" w:rsidRDefault="00AE7191" w:rsidP="00722885">
      <w:pPr>
        <w:pStyle w:val="Iauiue"/>
        <w:jc w:val="both"/>
        <w:rPr>
          <w:iCs/>
          <w:color w:val="000000" w:themeColor="text1"/>
          <w:sz w:val="16"/>
          <w:szCs w:val="16"/>
        </w:rPr>
      </w:pPr>
    </w:p>
    <w:p w14:paraId="0B85A52D"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августа в 1942 году утреннее сообщение Совинформбюро:</w:t>
      </w:r>
    </w:p>
    <w:p w14:paraId="211E7303"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15 августа наши войска вели бои с противником в районах Клетская, северо-восточнее Котельниково, а также в районах Минеральные Воды, Черкесск, Майкоп и Краснодар.</w:t>
      </w:r>
    </w:p>
    <w:p w14:paraId="282EEE64"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2B7C43ED"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наши войска отбили несколько атак противника. Перед передним краем обороны Н-ской части немцы оставили 2 подбитых танка и свыше 200 трупов. Южнее Клетской продолжались ожесточённые бои против прорвавшейся в глубину нашей обороны вражеской группировки. В ходе боёв немцы несут большие потери.</w:t>
      </w:r>
    </w:p>
    <w:p w14:paraId="5946AD84"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противнику удалось прорваться на окраину одного села. Наши бойцы смелым контрударом отбросили гитлеровцев. В тотже день немцы предприняли вторую атаку, бросив в наступление пехоту при поддержке 15 танков. Артиллеристы Н-ской части встретили неприятеля огнем с открытых позиций и подбили 6 немецких танков. Воспользовавшись замешательством гитлеровцев, наши бойцы бросились в контратаку и разгромили немецкий батальон. Южнее Котельникова на одном участке наши части под давлением превосходящих сил противника несколько отошли и закрепились на выгодных рубежах.</w:t>
      </w:r>
    </w:p>
    <w:p w14:paraId="077B99AB"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Краснодара происходили ожесточённые бои. Под прикрытием артиллерийского огня и авиации гитлеровцы пытались перебросить на южный берег Кубани крупную группировку танков и мотопехоты. Наша штурмовая и истребительная авиация разрушила наведённую переправу и нанесла удар по скоплению вражеских войск. Уничтожено 16 танков. 20 автомашин, 17 орудий, рассеяно до 3 батальонов немецкой пехоты и эскадрон кавалерии. На другом участке ночью автоматчикам противника удалось небольшими силами форсировать реку. Идут бои по уничтожению переправившихся на южный берег немецких автоматчиков.</w:t>
      </w:r>
    </w:p>
    <w:p w14:paraId="2BC2DA23"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Брянском фронте одна наша часть успешно атаковала противника и заняла выгодную высоту. Гитлеровцы предприняли контратаку. Наши бойцы во главе с политруком Купаевым, несмотря на превосходство сил противника, отбили атаку гитлеровцев. Потеряв до 100 солдат убитыми, немцы отступили. Наши лётчики в воздушных боях сбили 10 немецких самолётов.</w:t>
      </w:r>
    </w:p>
    <w:p w14:paraId="6D374036"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под командованием тов. Б., действующий в одном из районов Украины, за несколько месяцев истребил 600 немецких солдат и 62 офицера. Советские патриоты разгромили два штаба немецких частей, пустили под откос 5 железнодорожных эшелонов, взорвали 13 мостов, уничтожили 17 автомашин и сожгли самолёт противника.</w:t>
      </w:r>
    </w:p>
    <w:p w14:paraId="7BA74D1A"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Немецкий обер-ефрейтор Иозеф Кельшель писал 3 августа жене Анне Кельшель в Карлсруэ: «Обратно в Россию мы ехали очень долго. Между Смоленском и Вязьмой поезд сошёл с рельс. Три вагона, переполненных солдатами, сгорели.</w:t>
      </w:r>
    </w:p>
    <w:p w14:paraId="5C45D774"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Много было убитых и ещё больше раненых... За последние два дня мне пришлось пережить то, чего я не переживал еще за всё время войны. Четыре товарища, которые вместе со мной недавно вернулись из командировки, уже погибли в бою... Наверное, скоро придёт и моя очередь. Живым из России не выберешься».</w:t>
      </w:r>
    </w:p>
    <w:p w14:paraId="7E676477"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Жители села Ильинское, Калининской области, составили акт о зверствах немецко-фашистских захватчиков. В акте говорится: «Немецкие бандиты ворвались в село в конце прошлого года. Они дочиста ограбили население, забрали всё продовольствие, запретили выходить за околицу села. Крестьяне были обречены на голодную смерть. Немцы хозяйничали в Ильинском 7 месяцев. За это время в селе от голода умерло 265 человек. Многих жителей гитлеровские мерзавцы расстреляли. Фашисты запрещали хоронить расстрелянных и умерших, сваливали все трупы в колхозную силосную яму». Акт подписали: жители села Ильинское Червяков С.Г.,Сизикова Е.Н., Сизикова Н.В., Широкова М.И. и другие.</w:t>
      </w:r>
    </w:p>
    <w:p w14:paraId="5F861593"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лагере французских военнопленных близ Штеттина (Германия) более шестисот человек отказались выйти на работу и потребовали отправить их на родину Эсэсовцы ворвались в лагерь и устроили кровавую резню. Гитлеровские палачи огнём из автоматов и пулемётов расстреляли 96 военнопленных, 112 человек тяжело ранено.» (14984).</w:t>
      </w:r>
    </w:p>
    <w:p w14:paraId="35F69B6B" w14:textId="77777777" w:rsidR="00DF0DDA" w:rsidRPr="001E2C69" w:rsidRDefault="00DF0DDA" w:rsidP="00722885">
      <w:pPr>
        <w:spacing w:after="0" w:line="240" w:lineRule="auto"/>
        <w:jc w:val="both"/>
        <w:rPr>
          <w:rFonts w:ascii="Times New Roman" w:hAnsi="Times New Roman"/>
          <w:color w:val="000000" w:themeColor="text1"/>
          <w:sz w:val="16"/>
          <w:szCs w:val="16"/>
        </w:rPr>
      </w:pPr>
    </w:p>
    <w:p w14:paraId="50B52ABE"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августа в 1942 году вечернее сообщение Совинформбюро:</w:t>
      </w:r>
    </w:p>
    <w:p w14:paraId="513590D1"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15 августа наши войска вели бои в районах юго-восточнее Клетская, северо-восточнее Котельниково, а также в районах Минеральные Воды, Черкесск, Майкоп и Краснодар.</w:t>
      </w:r>
    </w:p>
    <w:p w14:paraId="0F017AF2"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46D6414C"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14 августа частями нашей авиации на различных участках фронта уничтожено или повреждено до 20 немецких танков и бронемашин, до 200 автомашин с войсками и грузами, 70 повозок, взорваны 4 склада боеприпасов и склад горючего, подавлен огонь 12 батарей полевой и зенитной артиллерии, разбит железнодорожный состав, рассеяно и частью уничтожено до полка пехоты противника.</w:t>
      </w:r>
    </w:p>
    <w:p w14:paraId="2493E0F8"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юго-восточнее Клетской немцы предприняли несколько ожесточённых атак. Атаки противника отбивались с большими для него потерями. Только на участке Н-ской части уничтожено 4 танка и 370 гитлеровцев. Советские бойцы самоотверженно борются против немецко-фашистских захватчиков. Разведчики части, где командиром тов. Серебрянников, младшие сержанты Котолидзе и Ханыков, а также радисты Рыбин и Артемьев пробрались в тыл противника и по радио корректировали огонь своей артиллерийской батареи. С помощью смельчаков наши артиллеристы уничтожили миномётную батарею, несколько орудий и до роты пехоты противника.</w:t>
      </w:r>
    </w:p>
    <w:p w14:paraId="582A5432"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Н-ская часть вела упорный бой за овладение двумя выгодными высотами. Понеся большие потери, противник был вынужден отступить. Стремясь вернуть потерянные позиции, немцы бросили в атаку до 30 танков. Наши бойцы огнём из орудий и противотанковых ружей подбили пять танков и закрепились на захваченных высотах.</w:t>
      </w:r>
    </w:p>
    <w:p w14:paraId="6AECF4A7"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Краснодара продолжались упорные бои. Наши части отбили несколько атак немецко-фашистских войск. Уничтожено 8 танков и свыше 400 солдат и офицеров противника. Отражались попытки гитлеровцев переправиться через реку. Мощным артиллерийским огнём и бомбёжкой с воздуха разрушено 3 переправы, уничтожено или повреждено 17 немецких танков, 37 автомашин, 11 орудий и до 500 гитлеровцев.</w:t>
      </w:r>
    </w:p>
    <w:p w14:paraId="1F72997D"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Минеральных Вод продолжались напряжённые оборонительные бои с танками и мотопехотой противника.</w:t>
      </w:r>
    </w:p>
    <w:p w14:paraId="0A771CC4"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противник после сильной артиллерийской и миномётной подготовки атаковал и несколько потеснил наши части. Контрударом советские бойцыотбросили немцев и принудили их к отступлению. Часть, которой командует тов. Черняховский, уничтожила свыше 300 немецких солдат и офицеров. Подбито два самоходных орудия. На западном берегу Дона бойцы части, которой командует тов. Попов, уничтожили свыше 600 венгерских солдат и офицеров. Группа солдат 14 венгерского пехотного полка перешла на сторону Красной Армии.</w:t>
      </w:r>
    </w:p>
    <w:p w14:paraId="16974234"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Ленинградском фронте бойцы Н-ской части за последние дни уничтожили 280 белофиннов, 2 противотанковых орудия, разрушили несколько дзотов и землянок противника. Казах Отомрат Очелеп истребил 21 белофинна. Ефрейтор Тенишев из противотанкового ружья сбил немецкий самолёт.</w:t>
      </w:r>
    </w:p>
    <w:p w14:paraId="43D384CE"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орловских партизан под командованием тов. О. за месяц боевых действий уничтожил 185 немецко-фашистских оккупантов, 8 автомашин и разрушил железнодорожную станцию. Партизаны пустили под откос 2 воинских эшелона противника.</w:t>
      </w:r>
    </w:p>
    <w:p w14:paraId="249AAA5B"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Добровольно сдавшийся в плен санитар 280 полка 95 немецкой пехотной дивизии Рудольф К. рассказал: «В сентябре прошлого года я подобрал на поле боя тяжело раненного красноармейца, сделал ему перевязку и доставил его на медпункт. В тот же День меня арестовали, отправили в тыл и бросили в тюрьму. Меня обвинили в том, что я нарушил приказ Гитлера, запрещающий оказывать какую бы то ни былопомощь попавшим в плен раненым русским солдатам. На допросах меня ругали и всячески поносили за то, что я проявил мягкотелость к врагу. На одном из допросов мне заявили, что мой отец заключён в концлагерь за то, что одобрительно отозвался о моём поведении. Я просидел в Гаузенской тюрьме до 17 апреля 1942 года. В этой тюрьме находилось до двух тысяч солдат, осуждённых за дезертирство, членовредительство и за невыполнение приказов. Весной меня послали на Восточный фронт. За последние месяцы наша дивизия потеряла 70—80 процентов личного состава. Я добровольно сдался в плен вовсе не потому, что боюсь смерти. Нет! Я ушёл из немецкой армии потому, что она ведёт преступную войну. Я убеждён, что, несмотря на временные успехи немецкой армии, она неизбежно катится к своей гибели».</w:t>
      </w:r>
    </w:p>
    <w:p w14:paraId="5C861E87"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мерзавцы истребляют мирное население оккупированныхрайонов Орловской области. В селе Невдольск гитлеровцы загнали в болото72-летнего старика Ксенкова Н., 63-летнего Бибикова Т., 67-летнего Данфошенкова и шестилетнего Митю Свиридова и всех их утопили. Гитлеровские палачи расстреляли колхозниц Ловриневскую А., Коренкову А., Бычкову Н. и её трёхлетнюю дочь и насильно угнали на запад 120 мирных жителей деревни.</w:t>
      </w:r>
    </w:p>
    <w:p w14:paraId="204E0719"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городе Клер (Франция) неизвестные убили 7 немецких солдат и одного офицера. На перегоне Ла-Като—Гюиз потерпел крушение немецкий воинский поезд. Разбиты 28 вагонов и паровоз.</w:t>
      </w:r>
    </w:p>
    <w:p w14:paraId="6C730CB1"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где директором тов. Левин, добился новых успехов. За первую декаду августа завод дал фронту несколько боевых машин сверх плана.» (14984).</w:t>
      </w:r>
    </w:p>
    <w:p w14:paraId="14BACE80" w14:textId="77777777" w:rsidR="00DF0DDA" w:rsidRPr="001E2C69" w:rsidRDefault="00DF0DDA" w:rsidP="00722885">
      <w:pPr>
        <w:spacing w:after="0" w:line="240" w:lineRule="auto"/>
        <w:jc w:val="both"/>
        <w:rPr>
          <w:rFonts w:ascii="Times New Roman" w:hAnsi="Times New Roman"/>
          <w:color w:val="000000" w:themeColor="text1"/>
          <w:sz w:val="16"/>
          <w:szCs w:val="16"/>
        </w:rPr>
      </w:pPr>
    </w:p>
    <w:p w14:paraId="26B34977" w14:textId="1CDD4242" w:rsidR="00812207" w:rsidRPr="001E2C69" w:rsidRDefault="00812207" w:rsidP="00722885">
      <w:pPr>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rPr>
        <w:t>15 августа 1942</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г. три Ил</w:t>
      </w:r>
      <w:r w:rsidRPr="001E2C69">
        <w:rPr>
          <w:rFonts w:ascii="Times New Roman" w:hAnsi="Times New Roman"/>
          <w:color w:val="000000" w:themeColor="text1"/>
          <w:sz w:val="16"/>
          <w:szCs w:val="16"/>
        </w:rPr>
        <w:noBreakHyphen/>
        <w:t>2 из 57</w:t>
      </w:r>
      <w:r w:rsidRPr="001E2C69">
        <w:rPr>
          <w:rFonts w:ascii="Times New Roman" w:hAnsi="Times New Roman"/>
          <w:color w:val="000000" w:themeColor="text1"/>
          <w:sz w:val="16"/>
          <w:szCs w:val="16"/>
        </w:rPr>
        <w:noBreakHyphen/>
        <w:t>го пшап вылетели на свободную охоту в район островов Гогланд, Большой Тютерс и Лавансаари, где, по данным авиаразведки, находились вражеские суда. Осматривая море, экипажи обнаружили три транспорта, которые шли курсом на порт Усть</w:t>
      </w:r>
      <w:r w:rsidRPr="001E2C69">
        <w:rPr>
          <w:rFonts w:ascii="Times New Roman" w:hAnsi="Times New Roman"/>
          <w:color w:val="000000" w:themeColor="text1"/>
          <w:sz w:val="16"/>
          <w:szCs w:val="16"/>
        </w:rPr>
        <w:noBreakHyphen/>
        <w:t>Луга в Лужской губе. Ведущий штурмовиков командир звена капитан Нельсон Степанян отдал приказ атаковать среднее судно и сам с высоты 700 метров перешел в пологое пикирование. За ним последовали и ведомые. Согласно донесению летчиков, в корабль попали четыре сброшенные ими бомбы, и тот затонул. Но</w:t>
      </w:r>
      <w:r w:rsidRPr="001E2C69">
        <w:rPr>
          <w:rFonts w:ascii="Times New Roman" w:hAnsi="Times New Roman"/>
          <w:color w:val="000000" w:themeColor="text1"/>
          <w:sz w:val="16"/>
          <w:szCs w:val="16"/>
          <w:lang w:val="en-US"/>
        </w:rPr>
        <w:t xml:space="preserve"> </w:t>
      </w:r>
      <w:r w:rsidRPr="001E2C69">
        <w:rPr>
          <w:rFonts w:ascii="Times New Roman" w:hAnsi="Times New Roman"/>
          <w:color w:val="000000" w:themeColor="text1"/>
          <w:sz w:val="16"/>
          <w:szCs w:val="16"/>
        </w:rPr>
        <w:t>затем</w:t>
      </w:r>
      <w:r w:rsidRPr="001E2C69">
        <w:rPr>
          <w:rFonts w:ascii="Times New Roman" w:hAnsi="Times New Roman"/>
          <w:color w:val="000000" w:themeColor="text1"/>
          <w:sz w:val="16"/>
          <w:szCs w:val="16"/>
          <w:lang w:val="en-US"/>
        </w:rPr>
        <w:t xml:space="preserve"> </w:t>
      </w:r>
      <w:r w:rsidRPr="001E2C69">
        <w:rPr>
          <w:rFonts w:ascii="Times New Roman" w:hAnsi="Times New Roman"/>
          <w:color w:val="000000" w:themeColor="text1"/>
          <w:sz w:val="16"/>
          <w:szCs w:val="16"/>
        </w:rPr>
        <w:t>и</w:t>
      </w:r>
      <w:r w:rsidRPr="001E2C69">
        <w:rPr>
          <w:rFonts w:ascii="Times New Roman" w:hAnsi="Times New Roman"/>
          <w:color w:val="000000" w:themeColor="text1"/>
          <w:sz w:val="16"/>
          <w:szCs w:val="16"/>
          <w:lang w:val="en-US"/>
        </w:rPr>
        <w:t xml:space="preserve"> </w:t>
      </w:r>
      <w:r w:rsidRPr="001E2C69">
        <w:rPr>
          <w:rFonts w:ascii="Times New Roman" w:hAnsi="Times New Roman"/>
          <w:color w:val="000000" w:themeColor="text1"/>
          <w:sz w:val="16"/>
          <w:szCs w:val="16"/>
        </w:rPr>
        <w:t>эти</w:t>
      </w:r>
      <w:r w:rsidRPr="001E2C69">
        <w:rPr>
          <w:rFonts w:ascii="Times New Roman" w:hAnsi="Times New Roman"/>
          <w:color w:val="000000" w:themeColor="text1"/>
          <w:sz w:val="16"/>
          <w:szCs w:val="16"/>
          <w:lang w:val="en-US"/>
        </w:rPr>
        <w:t xml:space="preserve"> </w:t>
      </w:r>
      <w:r w:rsidRPr="001E2C69">
        <w:rPr>
          <w:rFonts w:ascii="Times New Roman" w:hAnsi="Times New Roman"/>
          <w:color w:val="000000" w:themeColor="text1"/>
          <w:sz w:val="16"/>
          <w:szCs w:val="16"/>
        </w:rPr>
        <w:t>данные</w:t>
      </w:r>
      <w:r w:rsidRPr="001E2C69">
        <w:rPr>
          <w:rFonts w:ascii="Times New Roman" w:hAnsi="Times New Roman"/>
          <w:color w:val="000000" w:themeColor="text1"/>
          <w:sz w:val="16"/>
          <w:szCs w:val="16"/>
          <w:lang w:val="en-US"/>
        </w:rPr>
        <w:t xml:space="preserve"> </w:t>
      </w:r>
      <w:r w:rsidRPr="001E2C69">
        <w:rPr>
          <w:rFonts w:ascii="Times New Roman" w:hAnsi="Times New Roman"/>
          <w:color w:val="000000" w:themeColor="text1"/>
          <w:sz w:val="16"/>
          <w:szCs w:val="16"/>
        </w:rPr>
        <w:t>не</w:t>
      </w:r>
      <w:r w:rsidRPr="001E2C69">
        <w:rPr>
          <w:rFonts w:ascii="Times New Roman" w:hAnsi="Times New Roman"/>
          <w:color w:val="000000" w:themeColor="text1"/>
          <w:sz w:val="16"/>
          <w:szCs w:val="16"/>
          <w:lang w:val="en-US"/>
        </w:rPr>
        <w:t xml:space="preserve"> </w:t>
      </w:r>
      <w:r w:rsidRPr="001E2C69">
        <w:rPr>
          <w:rFonts w:ascii="Times New Roman" w:hAnsi="Times New Roman"/>
          <w:color w:val="000000" w:themeColor="text1"/>
          <w:sz w:val="16"/>
          <w:szCs w:val="16"/>
        </w:rPr>
        <w:t>подтвердились</w:t>
      </w:r>
      <w:r w:rsidRPr="001E2C69">
        <w:rPr>
          <w:rFonts w:ascii="Times New Roman" w:hAnsi="Times New Roman"/>
          <w:color w:val="000000" w:themeColor="text1"/>
          <w:sz w:val="16"/>
          <w:szCs w:val="16"/>
          <w:lang w:val="en-US"/>
        </w:rPr>
        <w:t xml:space="preserve"> (23199).</w:t>
      </w:r>
    </w:p>
    <w:p w14:paraId="471620AA" w14:textId="77777777" w:rsidR="00812207" w:rsidRPr="001E2C69" w:rsidRDefault="00812207" w:rsidP="00722885">
      <w:pPr>
        <w:spacing w:after="0" w:line="240" w:lineRule="auto"/>
        <w:jc w:val="both"/>
        <w:rPr>
          <w:rFonts w:ascii="Times New Roman" w:hAnsi="Times New Roman"/>
          <w:color w:val="000000" w:themeColor="text1"/>
          <w:sz w:val="16"/>
          <w:szCs w:val="16"/>
          <w:lang w:val="en-US"/>
        </w:rPr>
      </w:pPr>
    </w:p>
    <w:p w14:paraId="5D90C310"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lang w:val="en-US"/>
        </w:rPr>
        <w:t>August 15, 1942: Start of the final drive of 6.Armee (von Paulus) from its Don bridgeheads toward Stalingrad (3819).</w:t>
      </w:r>
    </w:p>
    <w:p w14:paraId="1598305B" w14:textId="77777777" w:rsidR="00AE7191" w:rsidRPr="001E2C69" w:rsidRDefault="00AE7191" w:rsidP="00722885">
      <w:pPr>
        <w:pStyle w:val="Iauiue"/>
        <w:jc w:val="both"/>
        <w:rPr>
          <w:color w:val="000000" w:themeColor="text1"/>
          <w:sz w:val="16"/>
          <w:szCs w:val="16"/>
          <w:lang w:val="en-US"/>
        </w:rPr>
      </w:pPr>
    </w:p>
    <w:p w14:paraId="0A83C9F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 августа 1942 6А начала наступление с Дона на Сталинград (3819).</w:t>
      </w:r>
    </w:p>
    <w:p w14:paraId="7CE8817D" w14:textId="77777777" w:rsidR="00AE7191" w:rsidRPr="001E2C69" w:rsidRDefault="00AE7191" w:rsidP="00722885">
      <w:pPr>
        <w:pStyle w:val="Iauiue"/>
        <w:jc w:val="both"/>
        <w:rPr>
          <w:color w:val="000000" w:themeColor="text1"/>
          <w:sz w:val="16"/>
          <w:szCs w:val="16"/>
        </w:rPr>
      </w:pPr>
    </w:p>
    <w:p w14:paraId="7EBC9A6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августа 1942 бюро Сталинградского обкома ВКП(б) совместно с исполкомом областного Совета депутатов трудящихся наконец приняли постановление «О частичной разгрузке г. Сталинграда». Согласно ему намечалось вывезти из города в Куйбышевскую область 15 тыс. неработающих женщин с детьми и 8—10 тыс. разместить в заволжских районах. На следующий день вышло постановление «Об эвакуации гражданского населения из районов боевых действий Красной Армии». В пункте № 1 этого документа говорилось:  «На основании постановления Военного совета 62-й армии до 22 августа с. г. эвакуировать все гражданское население из населенных пунктов районов боевых действий в полосе от станицы Паншино, Дмитриевки, Мариновки, Ср.-Царицынского, Н.-Царицынского и левого берега Дона».  18 августа бюро обкома принимает решение о срочной эвакуации за пределы Сталинградской области детских домов. Но некоторые чиновники, видимо, все же верили, что война не дойдет до города, либо писали постановления, не вдумываясь в их содержание. Так, в тот же день, 18 августа, вышло постановление обкома о работе средних школ в 1942/43 учебном году в городах Сталинград и Астрахань (11774).</w:t>
      </w:r>
    </w:p>
    <w:p w14:paraId="247C8DAE"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9541677"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августа в 1942 году немецкие войска захватили некоторые перевалы в центральной части Главного Кавказского хребта (14984).</w:t>
      </w:r>
    </w:p>
    <w:p w14:paraId="09EEAD4C" w14:textId="77777777" w:rsidR="00DF0DDA" w:rsidRPr="001E2C69" w:rsidRDefault="00DF0DDA" w:rsidP="00722885">
      <w:pPr>
        <w:spacing w:after="0" w:line="240" w:lineRule="auto"/>
        <w:jc w:val="both"/>
        <w:rPr>
          <w:rFonts w:ascii="Times New Roman" w:hAnsi="Times New Roman"/>
          <w:color w:val="000000" w:themeColor="text1"/>
          <w:sz w:val="16"/>
          <w:szCs w:val="16"/>
        </w:rPr>
      </w:pPr>
    </w:p>
    <w:p w14:paraId="247AFCD3"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августа в 1942 году создан Волжско-уральский легион в составе вермахта (также именовавшийся «Идель-Урал»), в состав которого вошли представители не только татар, но и башкир, марийцев, мордвы, чувашей и удмуртов (14984).</w:t>
      </w:r>
    </w:p>
    <w:p w14:paraId="1D41F7AE" w14:textId="77777777" w:rsidR="00DF0DDA" w:rsidRPr="001E2C69" w:rsidRDefault="00DF0DDA" w:rsidP="00722885">
      <w:pPr>
        <w:spacing w:after="0" w:line="240" w:lineRule="auto"/>
        <w:jc w:val="both"/>
        <w:rPr>
          <w:rFonts w:ascii="Times New Roman" w:hAnsi="Times New Roman"/>
          <w:color w:val="000000" w:themeColor="text1"/>
          <w:sz w:val="16"/>
          <w:szCs w:val="16"/>
        </w:rPr>
      </w:pPr>
    </w:p>
    <w:p w14:paraId="06C79D90" w14:textId="77777777" w:rsidR="00DF0DDA" w:rsidRPr="001E2C69" w:rsidRDefault="00267F26" w:rsidP="00722885">
      <w:pPr>
        <w:pStyle w:val="Iauiue"/>
        <w:jc w:val="both"/>
        <w:rPr>
          <w:iCs/>
          <w:color w:val="000000" w:themeColor="text1"/>
          <w:sz w:val="16"/>
          <w:szCs w:val="16"/>
        </w:rPr>
      </w:pPr>
      <w:r w:rsidRPr="001E2C69">
        <w:rPr>
          <w:i/>
          <w:iCs/>
          <w:color w:val="000000" w:themeColor="text1"/>
          <w:sz w:val="16"/>
          <w:szCs w:val="16"/>
        </w:rPr>
        <w:t>Внешняя политика:</w:t>
      </w:r>
    </w:p>
    <w:p w14:paraId="32F45E80" w14:textId="77777777" w:rsidR="00DF0DDA" w:rsidRPr="001E2C69" w:rsidRDefault="00DF0DDA" w:rsidP="00722885">
      <w:pPr>
        <w:pStyle w:val="Iauiue"/>
        <w:jc w:val="both"/>
        <w:rPr>
          <w:iCs/>
          <w:color w:val="000000" w:themeColor="text1"/>
          <w:sz w:val="16"/>
          <w:szCs w:val="16"/>
        </w:rPr>
      </w:pPr>
    </w:p>
    <w:p w14:paraId="63DA2F63"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августа в 1942 году заканчивается Московское совещание глав правительств СССР, Великобритании и представителя президента США (14984).</w:t>
      </w:r>
    </w:p>
    <w:p w14:paraId="4458CF78" w14:textId="77777777" w:rsidR="00DF0DDA" w:rsidRPr="001E2C69" w:rsidRDefault="00DF0DDA" w:rsidP="00722885">
      <w:pPr>
        <w:spacing w:after="0" w:line="240" w:lineRule="auto"/>
        <w:jc w:val="both"/>
        <w:rPr>
          <w:rFonts w:ascii="Times New Roman" w:hAnsi="Times New Roman"/>
          <w:color w:val="000000" w:themeColor="text1"/>
          <w:sz w:val="16"/>
          <w:szCs w:val="16"/>
        </w:rPr>
      </w:pPr>
    </w:p>
    <w:p w14:paraId="1E1BF4A7" w14:textId="77777777" w:rsidR="009F0796" w:rsidRPr="001E2C69" w:rsidRDefault="009F07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августа 1942. Последняя встреча Сталина с Черчиллем перед отлетом английского премьера из Москвы. Черчилль пообещал высадить войска в Северной Африке.</w:t>
      </w:r>
    </w:p>
    <w:p w14:paraId="31857E24" w14:textId="77777777" w:rsidR="009F0796" w:rsidRPr="001E2C69" w:rsidRDefault="009F07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О6 этой встрече на следующий день Уинстон Черчилль отправил отчет военному кабинету своей страны и президенту Рузвельту: "Я отправился попрощаться с г-ном Сталиным вчера в семь часов вечера, и мы имели приятную беседу, в ходе которой он дал мне полный отчет о положении русских, которое казалось весьма отрадным. Он, безусловно, весьма уверенно говорит о том, что удержится до зимы. В 8 ч. 30 мин. вечера, ко-ВДа я собирался уходить, он спросил, когда он увидит меня в следующий раз. Я ответил, что уезжаю на рассвете. Тогда он сказал: "Почему бы вам не зайти ко мне на квартиру в Кремле и не выпить немного" Я отправился к нему и остался на-обед, на который был приглашен также г-н Молотов. Г-н Сталин представил меня своей дочери, славной девушке, которая робко поцеловала его, но которой не было разрешено остаться на обед. Обед и редактирование коммюнике продолжалось до трех часов утра. У меня был очень хороший переводчик, и я имел возможность говорить более свободно. Преобладала атмосфера особенной доброжелательности, и мы впервые установили непринужденные и дружелюбные отношения" (18696).</w:t>
      </w:r>
    </w:p>
    <w:p w14:paraId="6944EBE4" w14:textId="77777777" w:rsidR="009F0796" w:rsidRPr="001E2C69" w:rsidRDefault="009F0796" w:rsidP="00722885">
      <w:pPr>
        <w:spacing w:after="0" w:line="240" w:lineRule="auto"/>
        <w:jc w:val="both"/>
        <w:rPr>
          <w:rFonts w:ascii="Times New Roman" w:hAnsi="Times New Roman"/>
          <w:color w:val="000000" w:themeColor="text1"/>
          <w:sz w:val="16"/>
          <w:szCs w:val="16"/>
        </w:rPr>
      </w:pPr>
    </w:p>
    <w:p w14:paraId="141A683E" w14:textId="77777777" w:rsidR="00DF0DDA"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541DC0E7" w14:textId="77777777" w:rsidR="00DF0DDA" w:rsidRPr="001E2C69" w:rsidRDefault="00DF0DDA" w:rsidP="00722885">
      <w:pPr>
        <w:pStyle w:val="Iauiue"/>
        <w:jc w:val="both"/>
        <w:rPr>
          <w:iCs/>
          <w:color w:val="000000" w:themeColor="text1"/>
          <w:sz w:val="16"/>
          <w:szCs w:val="16"/>
        </w:rPr>
      </w:pPr>
    </w:p>
    <w:p w14:paraId="147E4878"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августа в 1942 году польское эмигрантское правительство издало приказ о включении всех подпольных военных организаций Польши в состав Армии Крайовой. Однако из-за разногласий между руководителями этих отрядов приказ не был выполнен (14984).</w:t>
      </w:r>
    </w:p>
    <w:p w14:paraId="4BAEE24F" w14:textId="77777777" w:rsidR="00DF0DDA" w:rsidRPr="001E2C69" w:rsidRDefault="00DF0DDA" w:rsidP="00722885">
      <w:pPr>
        <w:spacing w:after="0" w:line="240" w:lineRule="auto"/>
        <w:jc w:val="both"/>
        <w:rPr>
          <w:rFonts w:ascii="Times New Roman" w:hAnsi="Times New Roman"/>
          <w:color w:val="000000" w:themeColor="text1"/>
          <w:sz w:val="16"/>
          <w:szCs w:val="16"/>
        </w:rPr>
      </w:pPr>
    </w:p>
    <w:p w14:paraId="0F2CCBD1"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4493BF9B" w14:textId="77777777" w:rsidR="00AE7191" w:rsidRPr="001E2C69" w:rsidRDefault="00AE7191" w:rsidP="00722885">
      <w:pPr>
        <w:pStyle w:val="Iauiue"/>
        <w:jc w:val="both"/>
        <w:rPr>
          <w:iCs/>
          <w:color w:val="000000" w:themeColor="text1"/>
          <w:sz w:val="16"/>
          <w:szCs w:val="16"/>
        </w:rPr>
      </w:pPr>
    </w:p>
    <w:p w14:paraId="732A7D5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 середине августа 1942 г. одноместный Ил-2 М-82ИР ус</w:t>
      </w:r>
      <w:r w:rsidRPr="001E2C69">
        <w:rPr>
          <w:color w:val="000000" w:themeColor="text1"/>
          <w:sz w:val="16"/>
          <w:szCs w:val="16"/>
        </w:rPr>
        <w:softHyphen/>
        <w:t>пешно прошел заводские ис</w:t>
      </w:r>
      <w:r w:rsidRPr="001E2C69">
        <w:rPr>
          <w:color w:val="000000" w:themeColor="text1"/>
          <w:sz w:val="16"/>
          <w:szCs w:val="16"/>
        </w:rPr>
        <w:softHyphen/>
        <w:t>пытания (отчет по испытаниям утвержден 18.08.42 г.), однако на государственные испытания штурмовик не передавался и в дальнейшем все работы по нему были прекращены (6467).</w:t>
      </w:r>
    </w:p>
    <w:p w14:paraId="401853BE" w14:textId="77777777" w:rsidR="00AE7191" w:rsidRPr="001E2C69" w:rsidRDefault="00AE7191" w:rsidP="00722885">
      <w:pPr>
        <w:pStyle w:val="Iauiue"/>
        <w:jc w:val="both"/>
        <w:rPr>
          <w:color w:val="000000" w:themeColor="text1"/>
          <w:sz w:val="16"/>
          <w:szCs w:val="16"/>
        </w:rPr>
      </w:pPr>
    </w:p>
    <w:p w14:paraId="33B55A59" w14:textId="77777777" w:rsidR="00F51760" w:rsidRPr="001E2C69" w:rsidRDefault="00F51760" w:rsidP="00722885">
      <w:pPr>
        <w:pStyle w:val="11b"/>
        <w:shd w:val="clear" w:color="auto" w:fill="auto"/>
        <w:spacing w:before="0" w:line="240" w:lineRule="auto"/>
        <w:rPr>
          <w:rFonts w:ascii="Times New Roman" w:hAnsi="Times New Roman" w:cs="Times New Roman"/>
          <w:color w:val="000000" w:themeColor="text1"/>
          <w:w w:val="100"/>
          <w:sz w:val="16"/>
          <w:szCs w:val="16"/>
        </w:rPr>
      </w:pPr>
      <w:r w:rsidRPr="001E2C69">
        <w:rPr>
          <w:rFonts w:ascii="Times New Roman" w:hAnsi="Times New Roman" w:cs="Times New Roman"/>
          <w:color w:val="000000" w:themeColor="text1"/>
          <w:w w:val="100"/>
          <w:sz w:val="16"/>
          <w:szCs w:val="16"/>
        </w:rPr>
        <w:t xml:space="preserve">К середине августа </w:t>
      </w:r>
      <w:r w:rsidRPr="001E2C69">
        <w:rPr>
          <w:rFonts w:ascii="Times New Roman" w:hAnsi="Times New Roman" w:cs="Times New Roman"/>
          <w:color w:val="000000" w:themeColor="text1"/>
          <w:w w:val="100"/>
          <w:sz w:val="16"/>
          <w:szCs w:val="16"/>
          <w:lang w:val="ru-RU"/>
        </w:rPr>
        <w:t xml:space="preserve">1942 </w:t>
      </w:r>
      <w:r w:rsidRPr="001E2C69">
        <w:rPr>
          <w:rFonts w:ascii="Times New Roman" w:hAnsi="Times New Roman" w:cs="Times New Roman"/>
          <w:color w:val="000000" w:themeColor="text1"/>
          <w:w w:val="100"/>
          <w:sz w:val="16"/>
          <w:szCs w:val="16"/>
        </w:rPr>
        <w:t>в 243-й шад 6-й ВА оборонительной огневой точкой под пуле</w:t>
      </w:r>
      <w:r w:rsidRPr="001E2C69">
        <w:rPr>
          <w:rFonts w:ascii="Times New Roman" w:hAnsi="Times New Roman" w:cs="Times New Roman"/>
          <w:color w:val="000000" w:themeColor="text1"/>
          <w:w w:val="100"/>
          <w:sz w:val="16"/>
          <w:szCs w:val="16"/>
        </w:rPr>
        <w:softHyphen/>
        <w:t>мет ШКАС оснастили 19 Ил-2. Одновременно один штурмовик вооружили пулеметом УБТ, но установка</w:t>
      </w:r>
      <w:r w:rsidRPr="001E2C69">
        <w:rPr>
          <w:rStyle w:val="800"/>
          <w:rFonts w:ascii="Times New Roman" w:hAnsi="Times New Roman" w:cs="Times New Roman"/>
          <w:i w:val="0"/>
          <w:iCs w:val="0"/>
          <w:color w:val="000000" w:themeColor="text1"/>
          <w:w w:val="100"/>
          <w:sz w:val="16"/>
          <w:szCs w:val="16"/>
        </w:rPr>
        <w:t xml:space="preserve"> «была забракована ввиду ее гро</w:t>
      </w:r>
      <w:r w:rsidRPr="001E2C69">
        <w:rPr>
          <w:rStyle w:val="800"/>
          <w:rFonts w:ascii="Times New Roman" w:hAnsi="Times New Roman" w:cs="Times New Roman"/>
          <w:i w:val="0"/>
          <w:iCs w:val="0"/>
          <w:color w:val="000000" w:themeColor="text1"/>
          <w:w w:val="100"/>
          <w:sz w:val="16"/>
          <w:szCs w:val="16"/>
        </w:rPr>
        <w:softHyphen/>
        <w:t>моздкости и не удобством управления воздуш</w:t>
      </w:r>
      <w:r w:rsidRPr="001E2C69">
        <w:rPr>
          <w:rStyle w:val="800"/>
          <w:rFonts w:ascii="Times New Roman" w:hAnsi="Times New Roman" w:cs="Times New Roman"/>
          <w:i w:val="0"/>
          <w:iCs w:val="0"/>
          <w:color w:val="000000" w:themeColor="text1"/>
          <w:w w:val="100"/>
          <w:sz w:val="16"/>
          <w:szCs w:val="16"/>
        </w:rPr>
        <w:softHyphen/>
        <w:t>ным стрелком».</w:t>
      </w:r>
      <w:r w:rsidRPr="001E2C69">
        <w:rPr>
          <w:rFonts w:ascii="Times New Roman" w:hAnsi="Times New Roman" w:cs="Times New Roman"/>
          <w:color w:val="000000" w:themeColor="text1"/>
          <w:w w:val="100"/>
          <w:sz w:val="16"/>
          <w:szCs w:val="16"/>
        </w:rPr>
        <w:t xml:space="preserve"> Для связи воздушного стрелка и летчика самолеты оборудовались перего</w:t>
      </w:r>
      <w:r w:rsidRPr="001E2C69">
        <w:rPr>
          <w:rFonts w:ascii="Times New Roman" w:hAnsi="Times New Roman" w:cs="Times New Roman"/>
          <w:color w:val="000000" w:themeColor="text1"/>
          <w:w w:val="100"/>
          <w:sz w:val="16"/>
          <w:szCs w:val="16"/>
        </w:rPr>
        <w:softHyphen/>
        <w:t>ворным устройством СПУ-2 и трехцветной световой сигнализацией.</w:t>
      </w:r>
    </w:p>
    <w:p w14:paraId="4F57C639" w14:textId="77777777" w:rsidR="00F51760" w:rsidRPr="001E2C69" w:rsidRDefault="00F51760"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отзывам воздушных стрелков, управ</w:t>
      </w:r>
      <w:r w:rsidRPr="001E2C69">
        <w:rPr>
          <w:rFonts w:ascii="Times New Roman" w:hAnsi="Times New Roman"/>
          <w:color w:val="000000" w:themeColor="text1"/>
          <w:sz w:val="16"/>
          <w:szCs w:val="16"/>
        </w:rPr>
        <w:softHyphen/>
        <w:t>ление установкой и ведение огня из пулемета ШКАС в воздухе вполне отвечали требова</w:t>
      </w:r>
      <w:r w:rsidRPr="001E2C69">
        <w:rPr>
          <w:rFonts w:ascii="Times New Roman" w:hAnsi="Times New Roman"/>
          <w:color w:val="000000" w:themeColor="text1"/>
          <w:sz w:val="16"/>
          <w:szCs w:val="16"/>
        </w:rPr>
        <w:softHyphen/>
        <w:t>ниям боя. В свою очередь, летчики указывали, что оборонительная установка заметного вли</w:t>
      </w:r>
      <w:r w:rsidRPr="001E2C69">
        <w:rPr>
          <w:rFonts w:ascii="Times New Roman" w:hAnsi="Times New Roman"/>
          <w:color w:val="000000" w:themeColor="text1"/>
          <w:sz w:val="16"/>
          <w:szCs w:val="16"/>
        </w:rPr>
        <w:softHyphen/>
        <w:t>яния на управление самолетом и скорость полета не оказывала. Установка с пулеметом ШКАС обеспечивала значительные углы об</w:t>
      </w:r>
      <w:r w:rsidRPr="001E2C69">
        <w:rPr>
          <w:rFonts w:ascii="Times New Roman" w:hAnsi="Times New Roman"/>
          <w:color w:val="000000" w:themeColor="text1"/>
          <w:sz w:val="16"/>
          <w:szCs w:val="16"/>
        </w:rPr>
        <w:softHyphen/>
        <w:t>стрела: по горизонту - влево и вправо по 60°, вверх - до 75° и вниз - по 30° по борту слева и справа.</w:t>
      </w:r>
    </w:p>
    <w:p w14:paraId="755C53E4" w14:textId="77777777" w:rsidR="00F51760" w:rsidRPr="001E2C69" w:rsidRDefault="00F51760" w:rsidP="00722885">
      <w:pPr>
        <w:shd w:val="clear" w:color="auto" w:fill="FFFFFF"/>
        <w:spacing w:after="0" w:line="240" w:lineRule="auto"/>
        <w:jc w:val="both"/>
        <w:rPr>
          <w:rFonts w:ascii="Times New Roman" w:hAnsi="Times New Roman"/>
          <w:color w:val="000000" w:themeColor="text1"/>
          <w:sz w:val="16"/>
          <w:szCs w:val="16"/>
        </w:rPr>
      </w:pPr>
    </w:p>
    <w:p w14:paraId="015F4411"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середине августа 1942 в 243-й шад 6 ВА оборонительной огневой точкой под пулемет ШKAC были оснащены 19 Ил-2. Одновременно один Ил-2 был оборудован пулеметом УБТ, но установка «была забракована ввиду ее громоздкости и неудобством управления воздушным стрелком». Доработки выполнялись по приказу командира 243 шад подполковника Дельнова (21180).</w:t>
      </w:r>
    </w:p>
    <w:p w14:paraId="3EC2FB72" w14:textId="77777777" w:rsidR="00F51760" w:rsidRPr="001E2C69" w:rsidRDefault="00F51760" w:rsidP="00722885">
      <w:pPr>
        <w:spacing w:after="0" w:line="240" w:lineRule="auto"/>
        <w:jc w:val="both"/>
        <w:rPr>
          <w:rFonts w:ascii="Times New Roman" w:hAnsi="Times New Roman"/>
          <w:color w:val="000000" w:themeColor="text1"/>
          <w:sz w:val="16"/>
          <w:szCs w:val="16"/>
        </w:rPr>
      </w:pPr>
    </w:p>
    <w:p w14:paraId="00517CB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середине августа 1942 года Командование фрон</w:t>
      </w:r>
      <w:r w:rsidRPr="001E2C69">
        <w:rPr>
          <w:rFonts w:ascii="Times New Roman" w:hAnsi="Times New Roman"/>
          <w:color w:val="000000" w:themeColor="text1"/>
          <w:sz w:val="16"/>
          <w:szCs w:val="16"/>
        </w:rPr>
        <w:softHyphen/>
        <w:t>та на Сталинградском направлении просило укрепить авиацию наибо</w:t>
      </w:r>
      <w:r w:rsidRPr="001E2C69">
        <w:rPr>
          <w:rFonts w:ascii="Times New Roman" w:hAnsi="Times New Roman"/>
          <w:color w:val="000000" w:themeColor="text1"/>
          <w:sz w:val="16"/>
          <w:szCs w:val="16"/>
        </w:rPr>
        <w:softHyphen/>
        <w:t>лее подготовленными полками на луч</w:t>
      </w:r>
      <w:r w:rsidRPr="001E2C69">
        <w:rPr>
          <w:rFonts w:ascii="Times New Roman" w:hAnsi="Times New Roman"/>
          <w:color w:val="000000" w:themeColor="text1"/>
          <w:sz w:val="16"/>
          <w:szCs w:val="16"/>
        </w:rPr>
        <w:softHyphen/>
        <w:t>шей матчасги. Штаб ВВС КА срочно готовил к переброске под Сталинг</w:t>
      </w:r>
      <w:r w:rsidRPr="001E2C69">
        <w:rPr>
          <w:rFonts w:ascii="Times New Roman" w:hAnsi="Times New Roman"/>
          <w:color w:val="000000" w:themeColor="text1"/>
          <w:sz w:val="16"/>
          <w:szCs w:val="16"/>
        </w:rPr>
        <w:softHyphen/>
        <w:t>рад всех, кого имел в резерве. Одним из таких полков являлся 434 ИАП майора И.И. Клещева, комплек</w:t>
      </w:r>
      <w:r w:rsidRPr="001E2C69">
        <w:rPr>
          <w:rFonts w:ascii="Times New Roman" w:hAnsi="Times New Roman"/>
          <w:color w:val="000000" w:themeColor="text1"/>
          <w:sz w:val="16"/>
          <w:szCs w:val="16"/>
        </w:rPr>
        <w:softHyphen/>
        <w:t>товал и оснащал который лично на</w:t>
      </w:r>
      <w:r w:rsidRPr="001E2C69">
        <w:rPr>
          <w:rFonts w:ascii="Times New Roman" w:hAnsi="Times New Roman"/>
          <w:color w:val="000000" w:themeColor="text1"/>
          <w:sz w:val="16"/>
          <w:szCs w:val="16"/>
        </w:rPr>
        <w:softHyphen/>
        <w:t>чальник Инспекции ВВС КА полков</w:t>
      </w:r>
      <w:r w:rsidRPr="001E2C69">
        <w:rPr>
          <w:rFonts w:ascii="Times New Roman" w:hAnsi="Times New Roman"/>
          <w:color w:val="000000" w:themeColor="text1"/>
          <w:sz w:val="16"/>
          <w:szCs w:val="16"/>
        </w:rPr>
        <w:softHyphen/>
        <w:t>ник В.И. Сталин. По его поручению бригинженер П.Я. Федрови в начале августа докладывал:</w:t>
      </w:r>
    </w:p>
    <w:p w14:paraId="512A200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«Облетанный мною в 434 полку на Люберецком аэродроме серийный самолет ЛАГ-5 М-82 является более устойчивым и улучшенным по техни</w:t>
      </w:r>
      <w:r w:rsidRPr="001E2C69">
        <w:rPr>
          <w:rFonts w:ascii="Times New Roman" w:hAnsi="Times New Roman"/>
          <w:color w:val="000000" w:themeColor="text1"/>
          <w:sz w:val="16"/>
          <w:szCs w:val="16"/>
        </w:rPr>
        <w:softHyphen/>
        <w:t>ке пилотирования в сравнении с само</w:t>
      </w:r>
      <w:r w:rsidRPr="001E2C69">
        <w:rPr>
          <w:rFonts w:ascii="Times New Roman" w:hAnsi="Times New Roman"/>
          <w:color w:val="000000" w:themeColor="text1"/>
          <w:sz w:val="16"/>
          <w:szCs w:val="16"/>
        </w:rPr>
        <w:softHyphen/>
        <w:t>летом ЛАГГ-3 М-105 и имеет более высокие скорости.</w:t>
      </w:r>
    </w:p>
    <w:p w14:paraId="581C1C3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Осмотром и облетом самолета ЛАГ-5 установлено, что наряду с улуч</w:t>
      </w:r>
      <w:r w:rsidRPr="001E2C69">
        <w:rPr>
          <w:rFonts w:ascii="Times New Roman" w:hAnsi="Times New Roman"/>
          <w:color w:val="000000" w:themeColor="text1"/>
          <w:sz w:val="16"/>
          <w:szCs w:val="16"/>
        </w:rPr>
        <w:softHyphen/>
        <w:t>шением самолет имеет крупные кон</w:t>
      </w:r>
      <w:r w:rsidRPr="001E2C69">
        <w:rPr>
          <w:rFonts w:ascii="Times New Roman" w:hAnsi="Times New Roman"/>
          <w:color w:val="000000" w:themeColor="text1"/>
          <w:sz w:val="16"/>
          <w:szCs w:val="16"/>
        </w:rPr>
        <w:softHyphen/>
        <w:t>структивные и производственные де</w:t>
      </w:r>
      <w:r w:rsidRPr="001E2C69">
        <w:rPr>
          <w:rFonts w:ascii="Times New Roman" w:hAnsi="Times New Roman"/>
          <w:color w:val="000000" w:themeColor="text1"/>
          <w:sz w:val="16"/>
          <w:szCs w:val="16"/>
        </w:rPr>
        <w:softHyphen/>
        <w:t>фекты, которые характеризуют само</w:t>
      </w:r>
      <w:r w:rsidRPr="001E2C69">
        <w:rPr>
          <w:rFonts w:ascii="Times New Roman" w:hAnsi="Times New Roman"/>
          <w:color w:val="000000" w:themeColor="text1"/>
          <w:sz w:val="16"/>
          <w:szCs w:val="16"/>
        </w:rPr>
        <w:softHyphen/>
        <w:t>лет ЛАГ-5 М-82, как недоведенный до степени нормальной эксплоатации.</w:t>
      </w:r>
    </w:p>
    <w:p w14:paraId="49743B0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Качество производственного выпол</w:t>
      </w:r>
      <w:r w:rsidRPr="001E2C69">
        <w:rPr>
          <w:rFonts w:ascii="Times New Roman" w:hAnsi="Times New Roman"/>
          <w:color w:val="000000" w:themeColor="text1"/>
          <w:sz w:val="16"/>
          <w:szCs w:val="16"/>
        </w:rPr>
        <w:softHyphen/>
        <w:t>нения самолета, подгонка и отладка отдельных агрегатов стоят не на дол</w:t>
      </w:r>
      <w:r w:rsidRPr="001E2C69">
        <w:rPr>
          <w:rFonts w:ascii="Times New Roman" w:hAnsi="Times New Roman"/>
          <w:color w:val="000000" w:themeColor="text1"/>
          <w:sz w:val="16"/>
          <w:szCs w:val="16"/>
        </w:rPr>
        <w:softHyphen/>
        <w:t>жной высоте и затрудняют эксплоа-тацию самолета, тем самым понижая его боеспособность.</w:t>
      </w:r>
    </w:p>
    <w:p w14:paraId="0B08965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Совершенно неудовлетворительный монтаж рычагов управления мотором, шасси, закрылков, юбками капота мо</w:t>
      </w:r>
      <w:r w:rsidRPr="001E2C69">
        <w:rPr>
          <w:rFonts w:ascii="Times New Roman" w:hAnsi="Times New Roman"/>
          <w:color w:val="000000" w:themeColor="text1"/>
          <w:sz w:val="16"/>
          <w:szCs w:val="16"/>
        </w:rPr>
        <w:softHyphen/>
        <w:t>тора, триммером руля высоты, надвиж</w:t>
      </w:r>
      <w:r w:rsidRPr="001E2C69">
        <w:rPr>
          <w:rFonts w:ascii="Times New Roman" w:hAnsi="Times New Roman"/>
          <w:color w:val="000000" w:themeColor="text1"/>
          <w:sz w:val="16"/>
          <w:szCs w:val="16"/>
        </w:rPr>
        <w:softHyphen/>
        <w:t>ного фонаря, которые обременяют летчика, требуют от него повышенно</w:t>
      </w:r>
      <w:r w:rsidRPr="001E2C69">
        <w:rPr>
          <w:rFonts w:ascii="Times New Roman" w:hAnsi="Times New Roman"/>
          <w:color w:val="000000" w:themeColor="text1"/>
          <w:sz w:val="16"/>
          <w:szCs w:val="16"/>
        </w:rPr>
        <w:softHyphen/>
        <w:t>го внимания, а кнопки механизма вы</w:t>
      </w:r>
      <w:r w:rsidRPr="001E2C69">
        <w:rPr>
          <w:rFonts w:ascii="Times New Roman" w:hAnsi="Times New Roman"/>
          <w:color w:val="000000" w:themeColor="text1"/>
          <w:sz w:val="16"/>
          <w:szCs w:val="16"/>
        </w:rPr>
        <w:softHyphen/>
        <w:t>пуска шасси и закрылков принужда</w:t>
      </w:r>
      <w:r w:rsidRPr="001E2C69">
        <w:rPr>
          <w:rFonts w:ascii="Times New Roman" w:hAnsi="Times New Roman"/>
          <w:color w:val="000000" w:themeColor="text1"/>
          <w:sz w:val="16"/>
          <w:szCs w:val="16"/>
        </w:rPr>
        <w:softHyphen/>
        <w:t>ют летчика брать с собой в полет инструмент (плоскогубцы или рекомен</w:t>
      </w:r>
      <w:r w:rsidRPr="001E2C69">
        <w:rPr>
          <w:rFonts w:ascii="Times New Roman" w:hAnsi="Times New Roman"/>
          <w:color w:val="000000" w:themeColor="text1"/>
          <w:sz w:val="16"/>
          <w:szCs w:val="16"/>
        </w:rPr>
        <w:softHyphen/>
        <w:t>дованную заводом отмычку} для уст</w:t>
      </w:r>
      <w:r w:rsidRPr="001E2C69">
        <w:rPr>
          <w:rFonts w:ascii="Times New Roman" w:hAnsi="Times New Roman"/>
          <w:color w:val="000000" w:themeColor="text1"/>
          <w:sz w:val="16"/>
          <w:szCs w:val="16"/>
        </w:rPr>
        <w:softHyphen/>
        <w:t>ранения заедания в гнездах кнопок управления этими агрегатами в воз</w:t>
      </w:r>
      <w:r w:rsidRPr="001E2C69">
        <w:rPr>
          <w:rFonts w:ascii="Times New Roman" w:hAnsi="Times New Roman"/>
          <w:color w:val="000000" w:themeColor="text1"/>
          <w:sz w:val="16"/>
          <w:szCs w:val="16"/>
        </w:rPr>
        <w:softHyphen/>
        <w:t>духе.</w:t>
      </w:r>
    </w:p>
    <w:p w14:paraId="637B6C0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Сектора управления мотором на взлете и при скорости выше сред</w:t>
      </w:r>
      <w:r w:rsidRPr="001E2C69">
        <w:rPr>
          <w:rFonts w:ascii="Times New Roman" w:hAnsi="Times New Roman"/>
          <w:color w:val="000000" w:themeColor="text1"/>
          <w:sz w:val="16"/>
          <w:szCs w:val="16"/>
        </w:rPr>
        <w:softHyphen/>
        <w:t>ней произвольно отходят назад, а зас</w:t>
      </w:r>
      <w:r w:rsidRPr="001E2C69">
        <w:rPr>
          <w:rFonts w:ascii="Times New Roman" w:hAnsi="Times New Roman"/>
          <w:color w:val="000000" w:themeColor="text1"/>
          <w:sz w:val="16"/>
          <w:szCs w:val="16"/>
        </w:rPr>
        <w:softHyphen/>
        <w:t>лонка карбюратора прикрывается независимо от желания летчика.</w:t>
      </w:r>
    </w:p>
    <w:p w14:paraId="10ED2BA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Закрылки работают ненадежно, а посадка без закрылков является бо</w:t>
      </w:r>
      <w:r w:rsidRPr="001E2C69">
        <w:rPr>
          <w:rFonts w:ascii="Times New Roman" w:hAnsi="Times New Roman"/>
          <w:color w:val="000000" w:themeColor="text1"/>
          <w:sz w:val="16"/>
          <w:szCs w:val="16"/>
        </w:rPr>
        <w:softHyphen/>
        <w:t>лее тяжелой и нежелательной для самолета.</w:t>
      </w:r>
    </w:p>
    <w:p w14:paraId="75AF917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Мотор на малом газе, во время планирования, работает неустойчиво, на посадке и пробеге, независимо от летчика, мотор имеет повышенные обороты.</w:t>
      </w:r>
    </w:p>
    <w:p w14:paraId="6B6C2AC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Низкое качество производственного выполнения самолета подтверждает</w:t>
      </w:r>
      <w:r w:rsidRPr="001E2C69">
        <w:rPr>
          <w:rFonts w:ascii="Times New Roman" w:hAnsi="Times New Roman"/>
          <w:color w:val="000000" w:themeColor="text1"/>
          <w:sz w:val="16"/>
          <w:szCs w:val="16"/>
        </w:rPr>
        <w:softHyphen/>
        <w:t>ся тем, что за короткий (2-3 дня) пери</w:t>
      </w:r>
      <w:r w:rsidRPr="001E2C69">
        <w:rPr>
          <w:rFonts w:ascii="Times New Roman" w:hAnsi="Times New Roman"/>
          <w:color w:val="000000" w:themeColor="text1"/>
          <w:sz w:val="16"/>
          <w:szCs w:val="16"/>
        </w:rPr>
        <w:softHyphen/>
        <w:t>од эксплоатации у самолета разбол</w:t>
      </w:r>
      <w:r w:rsidRPr="001E2C69">
        <w:rPr>
          <w:rFonts w:ascii="Times New Roman" w:hAnsi="Times New Roman"/>
          <w:color w:val="000000" w:themeColor="text1"/>
          <w:sz w:val="16"/>
          <w:szCs w:val="16"/>
        </w:rPr>
        <w:softHyphen/>
        <w:t>тался фонарь, остекление и потрес</w:t>
      </w:r>
      <w:r w:rsidRPr="001E2C69">
        <w:rPr>
          <w:rFonts w:ascii="Times New Roman" w:hAnsi="Times New Roman"/>
          <w:color w:val="000000" w:themeColor="text1"/>
          <w:sz w:val="16"/>
          <w:szCs w:val="16"/>
        </w:rPr>
        <w:softHyphen/>
        <w:t>кались капоты, хотя полетов на боль</w:t>
      </w:r>
      <w:r w:rsidRPr="001E2C69">
        <w:rPr>
          <w:rFonts w:ascii="Times New Roman" w:hAnsi="Times New Roman"/>
          <w:color w:val="000000" w:themeColor="text1"/>
          <w:sz w:val="16"/>
          <w:szCs w:val="16"/>
        </w:rPr>
        <w:softHyphen/>
        <w:t>ших скоростях еще не было, а также появляется ряд мелких дефектов, из-за которых прекращаются полеты.</w:t>
      </w:r>
    </w:p>
    <w:p w14:paraId="2FB1856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летном отношении самолет ЛАГ-5, хотя и имеет по сравнению с ЛАГГ-3 улучшения, но боевые свойства его, маневренность и управляемость на</w:t>
      </w:r>
      <w:r w:rsidRPr="001E2C69">
        <w:rPr>
          <w:rFonts w:ascii="Times New Roman" w:hAnsi="Times New Roman"/>
          <w:color w:val="000000" w:themeColor="text1"/>
          <w:sz w:val="16"/>
          <w:szCs w:val="16"/>
        </w:rPr>
        <w:softHyphen/>
        <w:t>ходятся не выше уровня, чем у само</w:t>
      </w:r>
      <w:r w:rsidRPr="001E2C69">
        <w:rPr>
          <w:rFonts w:ascii="Times New Roman" w:hAnsi="Times New Roman"/>
          <w:color w:val="000000" w:themeColor="text1"/>
          <w:sz w:val="16"/>
          <w:szCs w:val="16"/>
        </w:rPr>
        <w:softHyphen/>
        <w:t>лета МИГ.</w:t>
      </w:r>
    </w:p>
    <w:p w14:paraId="4856D4E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скоростям и скороподъемности ЛАГ-5 М-82 имеет небольшое пре</w:t>
      </w:r>
      <w:r w:rsidRPr="001E2C69">
        <w:rPr>
          <w:rFonts w:ascii="Times New Roman" w:hAnsi="Times New Roman"/>
          <w:color w:val="000000" w:themeColor="text1"/>
          <w:sz w:val="16"/>
          <w:szCs w:val="16"/>
        </w:rPr>
        <w:softHyphen/>
        <w:t>имущество перед ЯК-7 М-105Ф, но горизонтальная и вертикальная ма</w:t>
      </w:r>
      <w:r w:rsidRPr="001E2C69">
        <w:rPr>
          <w:rFonts w:ascii="Times New Roman" w:hAnsi="Times New Roman"/>
          <w:color w:val="000000" w:themeColor="text1"/>
          <w:sz w:val="16"/>
          <w:szCs w:val="16"/>
        </w:rPr>
        <w:softHyphen/>
        <w:t>невренность значительно ниже пос</w:t>
      </w:r>
      <w:r w:rsidRPr="001E2C69">
        <w:rPr>
          <w:rFonts w:ascii="Times New Roman" w:hAnsi="Times New Roman"/>
          <w:color w:val="000000" w:themeColor="text1"/>
          <w:sz w:val="16"/>
          <w:szCs w:val="16"/>
        </w:rPr>
        <w:softHyphen/>
        <w:t>леднего. Следует отметить, что снять максимальную скорость в маневрен</w:t>
      </w:r>
      <w:r w:rsidRPr="001E2C69">
        <w:rPr>
          <w:rFonts w:ascii="Times New Roman" w:hAnsi="Times New Roman"/>
          <w:color w:val="000000" w:themeColor="text1"/>
          <w:sz w:val="16"/>
          <w:szCs w:val="16"/>
        </w:rPr>
        <w:softHyphen/>
        <w:t>ном полете весьма затруднительно, так как для этого следует прикрыть юбки капота мотора, управление которыми очень тяжелое.</w:t>
      </w:r>
    </w:p>
    <w:p w14:paraId="46323C4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 время полета с полностью зак</w:t>
      </w:r>
      <w:r w:rsidRPr="001E2C69">
        <w:rPr>
          <w:rFonts w:ascii="Times New Roman" w:hAnsi="Times New Roman"/>
          <w:color w:val="000000" w:themeColor="text1"/>
          <w:sz w:val="16"/>
          <w:szCs w:val="16"/>
        </w:rPr>
        <w:softHyphen/>
        <w:t>рытой юбкой капота мотора и зас</w:t>
      </w:r>
      <w:r w:rsidRPr="001E2C69">
        <w:rPr>
          <w:rFonts w:ascii="Times New Roman" w:hAnsi="Times New Roman"/>
          <w:color w:val="000000" w:themeColor="text1"/>
          <w:sz w:val="16"/>
          <w:szCs w:val="16"/>
        </w:rPr>
        <w:softHyphen/>
        <w:t>лонкой маслорадиатора, горизонталь</w:t>
      </w:r>
      <w:r w:rsidRPr="001E2C69">
        <w:rPr>
          <w:rFonts w:ascii="Times New Roman" w:hAnsi="Times New Roman"/>
          <w:color w:val="000000" w:themeColor="text1"/>
          <w:sz w:val="16"/>
          <w:szCs w:val="16"/>
        </w:rPr>
        <w:softHyphen/>
        <w:t>ная скорость у земли по прибору не превышает 460-465 км/ч. Набор вы</w:t>
      </w:r>
      <w:r w:rsidRPr="001E2C69">
        <w:rPr>
          <w:rFonts w:ascii="Times New Roman" w:hAnsi="Times New Roman"/>
          <w:color w:val="000000" w:themeColor="text1"/>
          <w:sz w:val="16"/>
          <w:szCs w:val="16"/>
        </w:rPr>
        <w:softHyphen/>
        <w:t>соты на боевом развороте с макси</w:t>
      </w:r>
      <w:r w:rsidRPr="001E2C69">
        <w:rPr>
          <w:rFonts w:ascii="Times New Roman" w:hAnsi="Times New Roman"/>
          <w:color w:val="000000" w:themeColor="text1"/>
          <w:sz w:val="16"/>
          <w:szCs w:val="16"/>
        </w:rPr>
        <w:softHyphen/>
        <w:t>мально-горизонтальной до эволютив-ной (250 км/ч) скоростей достигает 800 метров. Время виража - 23-24 сек, а восьмерки 52-54 сек.</w:t>
      </w:r>
    </w:p>
    <w:p w14:paraId="103FE0B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Предкрылки работают удовлетво</w:t>
      </w:r>
      <w:r w:rsidRPr="001E2C69">
        <w:rPr>
          <w:rFonts w:ascii="Times New Roman" w:hAnsi="Times New Roman"/>
          <w:color w:val="000000" w:themeColor="text1"/>
          <w:sz w:val="16"/>
          <w:szCs w:val="16"/>
        </w:rPr>
        <w:softHyphen/>
        <w:t>рительно, хотя на парашютировании и открываются не одновременно: правый на скорости 220 км/ч, а ле</w:t>
      </w:r>
      <w:r w:rsidRPr="001E2C69">
        <w:rPr>
          <w:rFonts w:ascii="Times New Roman" w:hAnsi="Times New Roman"/>
          <w:color w:val="000000" w:themeColor="text1"/>
          <w:sz w:val="16"/>
          <w:szCs w:val="16"/>
        </w:rPr>
        <w:softHyphen/>
        <w:t>вый на 200 км/ч.</w:t>
      </w:r>
    </w:p>
    <w:p w14:paraId="7D9B98C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Скорость на парашютировании с прикрытым мотором доводилась до 170 км/ч, и при этом срыва в штопор или сваливания на крыло не наблю</w:t>
      </w:r>
      <w:r w:rsidRPr="001E2C69">
        <w:rPr>
          <w:rFonts w:ascii="Times New Roman" w:hAnsi="Times New Roman"/>
          <w:color w:val="000000" w:themeColor="text1"/>
          <w:sz w:val="16"/>
          <w:szCs w:val="16"/>
        </w:rPr>
        <w:softHyphen/>
        <w:t>далась (тряска мотора на малом газе не позволяла уменьшить скорость парашютирования до срыва).</w:t>
      </w:r>
    </w:p>
    <w:p w14:paraId="5541DAA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Самолет на планировании при от</w:t>
      </w:r>
      <w:r w:rsidRPr="001E2C69">
        <w:rPr>
          <w:rFonts w:ascii="Times New Roman" w:hAnsi="Times New Roman"/>
          <w:color w:val="000000" w:themeColor="text1"/>
          <w:sz w:val="16"/>
          <w:szCs w:val="16"/>
        </w:rPr>
        <w:softHyphen/>
        <w:t>крытых закрылках и при закрытых ве</w:t>
      </w:r>
      <w:r w:rsidRPr="001E2C69">
        <w:rPr>
          <w:rFonts w:ascii="Times New Roman" w:hAnsi="Times New Roman"/>
          <w:color w:val="000000" w:themeColor="text1"/>
          <w:sz w:val="16"/>
          <w:szCs w:val="16"/>
        </w:rPr>
        <w:softHyphen/>
        <w:t>дет себя нормально. Открытие зак</w:t>
      </w:r>
      <w:r w:rsidRPr="001E2C69">
        <w:rPr>
          <w:rFonts w:ascii="Times New Roman" w:hAnsi="Times New Roman"/>
          <w:color w:val="000000" w:themeColor="text1"/>
          <w:sz w:val="16"/>
          <w:szCs w:val="16"/>
        </w:rPr>
        <w:softHyphen/>
        <w:t>рылков вызывает пикирующий момент (самолет опускает нос и висит на ручке).</w:t>
      </w:r>
    </w:p>
    <w:p w14:paraId="5A6DD49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Приземление и посадка самолета не сложны, особенностей не имеют, а пробег при торможении колес отно</w:t>
      </w:r>
      <w:r w:rsidRPr="001E2C69">
        <w:rPr>
          <w:rFonts w:ascii="Times New Roman" w:hAnsi="Times New Roman"/>
          <w:color w:val="000000" w:themeColor="text1"/>
          <w:sz w:val="16"/>
          <w:szCs w:val="16"/>
        </w:rPr>
        <w:softHyphen/>
        <w:t>сительно небольшой.</w:t>
      </w:r>
    </w:p>
    <w:p w14:paraId="428281B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Заключение:</w:t>
      </w:r>
    </w:p>
    <w:p w14:paraId="23B7654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Самолет ЛАГ-5 М-82 по сравне</w:t>
      </w:r>
      <w:r w:rsidRPr="001E2C69">
        <w:rPr>
          <w:rFonts w:ascii="Times New Roman" w:hAnsi="Times New Roman"/>
          <w:color w:val="000000" w:themeColor="text1"/>
          <w:sz w:val="16"/>
          <w:szCs w:val="16"/>
        </w:rPr>
        <w:softHyphen/>
        <w:t>нию с самолетом ЛАГГ-3 М-105 име</w:t>
      </w:r>
      <w:r w:rsidRPr="001E2C69">
        <w:rPr>
          <w:rFonts w:ascii="Times New Roman" w:hAnsi="Times New Roman"/>
          <w:color w:val="000000" w:themeColor="text1"/>
          <w:sz w:val="16"/>
          <w:szCs w:val="16"/>
        </w:rPr>
        <w:softHyphen/>
        <w:t>ет более лучшие летно-тактические данные.</w:t>
      </w:r>
    </w:p>
    <w:p w14:paraId="4DB460A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Винтомоторная группа, механизмы управления шасси и закрылками до условий нормальной эксплоатации не доведены. Самолет имеет много про</w:t>
      </w:r>
      <w:r w:rsidRPr="001E2C69">
        <w:rPr>
          <w:rFonts w:ascii="Times New Roman" w:hAnsi="Times New Roman"/>
          <w:color w:val="000000" w:themeColor="text1"/>
          <w:sz w:val="16"/>
          <w:szCs w:val="16"/>
        </w:rPr>
        <w:softHyphen/>
        <w:t>изводственных и конструктивных де</w:t>
      </w:r>
      <w:r w:rsidRPr="001E2C69">
        <w:rPr>
          <w:rFonts w:ascii="Times New Roman" w:hAnsi="Times New Roman"/>
          <w:color w:val="000000" w:themeColor="text1"/>
          <w:sz w:val="16"/>
          <w:szCs w:val="16"/>
        </w:rPr>
        <w:softHyphen/>
        <w:t>фектов, требующих немедленного ус</w:t>
      </w:r>
      <w:r w:rsidRPr="001E2C69">
        <w:rPr>
          <w:rFonts w:ascii="Times New Roman" w:hAnsi="Times New Roman"/>
          <w:color w:val="000000" w:themeColor="text1"/>
          <w:sz w:val="16"/>
          <w:szCs w:val="16"/>
        </w:rPr>
        <w:softHyphen/>
        <w:t>транения.</w:t>
      </w:r>
    </w:p>
    <w:p w14:paraId="1BECD20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Самолет ЛАГ-5 М-82 в сравнении с самолетом ЯК-7 М-105Ф имеет по</w:t>
      </w:r>
      <w:r w:rsidRPr="001E2C69">
        <w:rPr>
          <w:rFonts w:ascii="Times New Roman" w:hAnsi="Times New Roman"/>
          <w:color w:val="000000" w:themeColor="text1"/>
          <w:sz w:val="16"/>
          <w:szCs w:val="16"/>
        </w:rPr>
        <w:softHyphen/>
        <w:t>чти одинаковые скорости, но значи</w:t>
      </w:r>
      <w:r w:rsidRPr="001E2C69">
        <w:rPr>
          <w:rFonts w:ascii="Times New Roman" w:hAnsi="Times New Roman"/>
          <w:color w:val="000000" w:themeColor="text1"/>
          <w:sz w:val="16"/>
          <w:szCs w:val="16"/>
        </w:rPr>
        <w:softHyphen/>
        <w:t>тельно уступает последнему в верти</w:t>
      </w:r>
      <w:r w:rsidRPr="001E2C69">
        <w:rPr>
          <w:rFonts w:ascii="Times New Roman" w:hAnsi="Times New Roman"/>
          <w:color w:val="000000" w:themeColor="text1"/>
          <w:sz w:val="16"/>
          <w:szCs w:val="16"/>
        </w:rPr>
        <w:softHyphen/>
        <w:t>кальной и горизонтальной маневрен</w:t>
      </w:r>
      <w:r w:rsidRPr="001E2C69">
        <w:rPr>
          <w:rFonts w:ascii="Times New Roman" w:hAnsi="Times New Roman"/>
          <w:color w:val="000000" w:themeColor="text1"/>
          <w:sz w:val="16"/>
          <w:szCs w:val="16"/>
        </w:rPr>
        <w:softHyphen/>
        <w:t>ности. Управляемость самолета ЯК-7 М-105Ф значительно лучше.</w:t>
      </w:r>
    </w:p>
    <w:p w14:paraId="6742AEA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Самолет ЛАГ-5 для освоения лет</w:t>
      </w:r>
      <w:r w:rsidRPr="001E2C69">
        <w:rPr>
          <w:rFonts w:ascii="Times New Roman" w:hAnsi="Times New Roman"/>
          <w:color w:val="000000" w:themeColor="text1"/>
          <w:sz w:val="16"/>
          <w:szCs w:val="16"/>
        </w:rPr>
        <w:softHyphen/>
        <w:t>ным составом требует значительной тренировки.</w:t>
      </w:r>
    </w:p>
    <w:p w14:paraId="0432775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Летчики, летавшие на самолетах ЛАГГ-3, должны быстрее освоить са</w:t>
      </w:r>
      <w:r w:rsidRPr="001E2C69">
        <w:rPr>
          <w:rFonts w:ascii="Times New Roman" w:hAnsi="Times New Roman"/>
          <w:color w:val="000000" w:themeColor="text1"/>
          <w:sz w:val="16"/>
          <w:szCs w:val="16"/>
        </w:rPr>
        <w:softHyphen/>
        <w:t>молет ЛАГ-5 М-82 и дать ему луч</w:t>
      </w:r>
      <w:r w:rsidRPr="001E2C69">
        <w:rPr>
          <w:rFonts w:ascii="Times New Roman" w:hAnsi="Times New Roman"/>
          <w:color w:val="000000" w:themeColor="text1"/>
          <w:sz w:val="16"/>
          <w:szCs w:val="16"/>
        </w:rPr>
        <w:softHyphen/>
        <w:t>шую оценку, чем летчики, летающие на других истребителях, которые от</w:t>
      </w:r>
      <w:r w:rsidRPr="001E2C69">
        <w:rPr>
          <w:rFonts w:ascii="Times New Roman" w:hAnsi="Times New Roman"/>
          <w:color w:val="000000" w:themeColor="text1"/>
          <w:sz w:val="16"/>
          <w:szCs w:val="16"/>
        </w:rPr>
        <w:softHyphen/>
        <w:t>рицательно отзовутся об этом само</w:t>
      </w:r>
      <w:r w:rsidRPr="001E2C69">
        <w:rPr>
          <w:rFonts w:ascii="Times New Roman" w:hAnsi="Times New Roman"/>
          <w:color w:val="000000" w:themeColor="text1"/>
          <w:sz w:val="16"/>
          <w:szCs w:val="16"/>
        </w:rPr>
        <w:softHyphen/>
        <w:t>лете».</w:t>
      </w:r>
    </w:p>
    <w:p w14:paraId="1F19DD9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Такая «рекомендация» сделала свое дело, и элитный 434-й ИАП пе</w:t>
      </w:r>
      <w:r w:rsidRPr="001E2C69">
        <w:rPr>
          <w:rFonts w:ascii="Times New Roman" w:hAnsi="Times New Roman"/>
          <w:color w:val="000000" w:themeColor="text1"/>
          <w:sz w:val="16"/>
          <w:szCs w:val="16"/>
        </w:rPr>
        <w:softHyphen/>
        <w:t>ред отправкой под Сталинград был вооружен самолетами Як. Вместо него ЛаГГ-5 2-й и 3-й се</w:t>
      </w:r>
      <w:r w:rsidRPr="001E2C69">
        <w:rPr>
          <w:rFonts w:ascii="Times New Roman" w:hAnsi="Times New Roman"/>
          <w:color w:val="000000" w:themeColor="text1"/>
          <w:sz w:val="16"/>
          <w:szCs w:val="16"/>
        </w:rPr>
        <w:softHyphen/>
        <w:t>рий с моторами М-82 2-й серии по</w:t>
      </w:r>
      <w:r w:rsidRPr="001E2C69">
        <w:rPr>
          <w:rFonts w:ascii="Times New Roman" w:hAnsi="Times New Roman"/>
          <w:color w:val="000000" w:themeColor="text1"/>
          <w:sz w:val="16"/>
          <w:szCs w:val="16"/>
        </w:rPr>
        <w:softHyphen/>
        <w:t>лучили 297, 27, 240, 437, 15-й истреби</w:t>
      </w:r>
      <w:r w:rsidRPr="001E2C69">
        <w:rPr>
          <w:rFonts w:ascii="Times New Roman" w:hAnsi="Times New Roman"/>
          <w:color w:val="000000" w:themeColor="text1"/>
          <w:sz w:val="16"/>
          <w:szCs w:val="16"/>
        </w:rPr>
        <w:softHyphen/>
        <w:t>тельные полки, вошедшие в состав 287-й ИАД 8ВА Сталинградского фронта. Полки получали самолеты в нача</w:t>
      </w:r>
      <w:r w:rsidRPr="001E2C69">
        <w:rPr>
          <w:rFonts w:ascii="Times New Roman" w:hAnsi="Times New Roman"/>
          <w:color w:val="000000" w:themeColor="text1"/>
          <w:sz w:val="16"/>
          <w:szCs w:val="16"/>
        </w:rPr>
        <w:softHyphen/>
        <w:t>ле и середине августа и немедленно отправлялись под Сталинград. 20 ав</w:t>
      </w:r>
      <w:r w:rsidRPr="001E2C69">
        <w:rPr>
          <w:rFonts w:ascii="Times New Roman" w:hAnsi="Times New Roman"/>
          <w:color w:val="000000" w:themeColor="text1"/>
          <w:sz w:val="16"/>
          <w:szCs w:val="16"/>
        </w:rPr>
        <w:softHyphen/>
        <w:t>густа первые из них уже вступили в бой. К этому времени господство в воздухе полностью было на стороне люфтваффе. Наша авиация была при</w:t>
      </w:r>
      <w:r w:rsidRPr="001E2C69">
        <w:rPr>
          <w:rFonts w:ascii="Times New Roman" w:hAnsi="Times New Roman"/>
          <w:color w:val="000000" w:themeColor="text1"/>
          <w:sz w:val="16"/>
          <w:szCs w:val="16"/>
        </w:rPr>
        <w:softHyphen/>
        <w:t>жата к своим аэродромам, все они находились под контролем немецких истребителей, и ни один вылет не проходил не замеченным противни</w:t>
      </w:r>
      <w:r w:rsidRPr="001E2C69">
        <w:rPr>
          <w:rFonts w:ascii="Times New Roman" w:hAnsi="Times New Roman"/>
          <w:color w:val="000000" w:themeColor="text1"/>
          <w:sz w:val="16"/>
          <w:szCs w:val="16"/>
        </w:rPr>
        <w:softHyphen/>
        <w:t>ком. При взлете наших истребите</w:t>
      </w:r>
      <w:r w:rsidRPr="001E2C69">
        <w:rPr>
          <w:rFonts w:ascii="Times New Roman" w:hAnsi="Times New Roman"/>
          <w:color w:val="000000" w:themeColor="text1"/>
          <w:sz w:val="16"/>
          <w:szCs w:val="16"/>
        </w:rPr>
        <w:softHyphen/>
        <w:t>лей над аэродромом появлялись 4-6-12 В{ 109Р и связывали их воздуш</w:t>
      </w:r>
      <w:r w:rsidRPr="001E2C69">
        <w:rPr>
          <w:rFonts w:ascii="Times New Roman" w:hAnsi="Times New Roman"/>
          <w:color w:val="000000" w:themeColor="text1"/>
          <w:sz w:val="16"/>
          <w:szCs w:val="16"/>
        </w:rPr>
        <w:softHyphen/>
        <w:t>ным боем (10699).</w:t>
      </w:r>
    </w:p>
    <w:p w14:paraId="3E56A32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1CBECD7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середине августа 1942 Зам. начальника 7 гл. управления Залесский писал С.Шахурину:</w:t>
      </w:r>
    </w:p>
    <w:p w14:paraId="5EDD191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Докладываю:</w:t>
      </w:r>
    </w:p>
    <w:p w14:paraId="6318261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 августа заводом N 81 отправлены на полигон для проведения испытаний 2 самолета Бостон, переоборудованных под отечественное оружие. Оба самолета перевооружены под отечественное оружие. Оба самолета перевооружены по следующей схеме:</w:t>
      </w:r>
    </w:p>
    <w:p w14:paraId="307992E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 по бокам фюзеляжа для стрельбы вперед по одному пулемету УБК-12,7 вместо 2-х пулеметов 7,62;</w:t>
      </w:r>
    </w:p>
    <w:p w14:paraId="43046B6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 турель УТК-1 с пулеметом УБТ-12,7 вместо пулемета 7,2;</w:t>
      </w:r>
    </w:p>
    <w:p w14:paraId="1B99019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люковая установка с пулеметом УБТ-12,7 вместо пулемета 7,62.</w:t>
      </w:r>
    </w:p>
    <w:p w14:paraId="57DF006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носовой и люковой установке предъявлены 2 варианта: один конструкции ОКБ завода N 43, а другой конструкции завода N 81.</w:t>
      </w:r>
    </w:p>
    <w:p w14:paraId="211E731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Одновременно на этих самолетах ОКБ N 43 предъявляет упрощенный вариант переделки бомбардировочного вооружения, при котором используются балки и замки, имеющиеся на самолетах, а также не требуется изменение схемы подъема бомб и перестановка баллонов (1684,129).</w:t>
      </w:r>
    </w:p>
    <w:p w14:paraId="2832EC43" w14:textId="77777777" w:rsidR="00AE7191" w:rsidRPr="001E2C69" w:rsidRDefault="00AE7191" w:rsidP="00722885">
      <w:pPr>
        <w:pStyle w:val="Iauiue"/>
        <w:jc w:val="both"/>
        <w:rPr>
          <w:color w:val="000000" w:themeColor="text1"/>
          <w:sz w:val="16"/>
          <w:szCs w:val="16"/>
        </w:rPr>
      </w:pPr>
    </w:p>
    <w:p w14:paraId="449EA02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 середине августа 1942 г. военные действия велись уже в районе Большого Кавказа. На стороне немцев были господство в воздухе и подавляющий перевес в минометах и горной артиллерии. А РККА за два месяца непрерывного отступления потеряла большую часть орудий, сравнительно хорошо сохранились лишь ГМЧ Черноморской группы войск Северо-Кавказского фронта. В нее входили семь дивизионов и отдельная батарея БМ-13, два (позже четыре) дивизиона БМ-8. Сила грозная – примерно с такой Нестеренко остановил в Сальских степях немецкие танки. Однако БМ-13 монтировали на обычных грузовиках, а часть БМ-8 на шасси легких танков, что обеспечивало частям маневренность и подвижность на дорогах. Но в горах – больше тропы. Они-то и остались без прикрытия. Даже там, где автодороги проходили близко к передовой, не обошлось без сложностей. При нормальном положении направляющих удавалось поражать лишь “лицевые” склоны гор, при максимальном (45°) – рассеивание снарядов получалось чрезмерным, а немцы, закрепившиеся на обратных склонах, оставались вне обстрела. Попробовали углублять задние колеса установок, увеличивая углы возвышения направляющих, но часть снарядов попадала в кроны деревьев на вершинах. Решить проблему можно было, перейдя на стрельбу по мортирному, с углами возвышения более 45°, но БМ-13 и БМ-8 не предназначались для этого.</w:t>
      </w:r>
    </w:p>
    <w:p w14:paraId="1473D66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Тогда-то начальник передвижных ремонтных мастерских Алферов предложил Нестеренко создать горные установки под снаряды М-8 калибром 82 мм. Работали над ними в мастерских санатория “Кавказская Ривьера” в Сочи, вообще-то предназначенных для починки автомобилей и лифтов. Любопытно, что большую часть первой установки сделали из водопроводных труб. Она весила 68 кг, как станковый пулемет, и легко разбиралась на составляющие: пакет из восьми направляющих от БМ-8, ферма с поворотным кругом и станок, представлявший собой опорный круг с четырьмя откидными “паучьими” ногами. После того случая, когда на испытаниях установка опрокинулась, в “лапах” проделали отверстия, в которые для сцепления с грунтом вставляли штыри. Каждый элемент весил 22 – 23 кг – меньше, чем составные части тяжелого миномета, что позволяло перемещать установку во вьюках или силами расчета. В “катюшах” выстрел производился электроимпульсом от аккумулятора автомобиля-носителя. И тут попробовали применить аккумуляторы, но их не хватило даже для одной батареи.</w:t>
      </w:r>
    </w:p>
    <w:p w14:paraId="3AF446F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Алферов предложил запускать снаряды выстрелом холостого винтовочного патрона. Придумали особые патронники с ударниками, их спускали, выдергивая чеку. Чтобы не ставить их на каждый снаряд, применили схему “огневой связи” – воспламеняли один патрон на нижних или верхних направляющих, а пороховые газы по дугообразным трубкам воздействовали на остальные. Для надежности бездымный порох заменили черным охотничьим.</w:t>
      </w:r>
    </w:p>
    <w:p w14:paraId="48544C8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Первые стрельбы устроили из санаторного парка в сторону моря, причем сочинские зенитчики сочли их за налет немецкой авиации. Следующие провели в ущелье Георгиевское близ Туапсе. На них присутствовал командующий Северо-Кавказским фронтом маршал С.М. Буденный. Увиденное произвело на него сильное впечатление, и он обещал помочь изобретателям. А в бою горные “катюши” побывали у Гойтхского перевала, стрельбой руководил сам Нестеренко.</w:t>
      </w:r>
    </w:p>
    <w:p w14:paraId="6507964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мастерских “Кавказской Ривьеры” сделали 58 установок, из них 48 (12 батарей) отправили на фронт, и былое превосходство немцев в минометах и горной артиллерии сошло на нет. Остальными вооружили дрезины, курсировавшие по железной дороге между Туапсе и Сочи. Восемь поставили на тральщик “Скумбрия”, ставший первым в мире кораблем-ракетоносцем – один залп состоял из 96 снарядов М-8. “Скумбрия” оказывала поддержку десантникам на “Малой земле”. В боях на плацдарме под Новороссийском отличились и чисто горные установки. К тому времени из них сформировали три дивизиона, 2-й и 3-й сражались на “Малой земле”, а из 1-го выделили батарею, которую по воздуху перебросили в Крым, к партизанам, находившимся в Зуйских лесах. Под ее ударами оказались немецкие коммуникации, и, после разгрома нескольких автоколонн, противник бросил на батарейцев карателей. На горе Колан-Биар близ Симферополя бойцы старшего лейтенанта П.П. Авдюкова приняли последний бой. Это единственный достоверный случай участия “катюш” в партизанской войне.</w:t>
      </w:r>
    </w:p>
    <w:p w14:paraId="6F1C079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После битвы за Кавказ 2-й и 3-й дивизионы воевали на Керченском плацдарме, под Севастополем. Перед боями в Карпатах их смонтировали на легковых вездеходах “Виллис”, что позволило сочетать высокую маневренность с возможностью применять снятые установки в качестве горно-вьючных. После операций 2-й дивизион был удостоен ордена Богдана Хмельницкого, 3-й – благодарности командования 1-го Чехословацкого армейского корпуса, оба получили почетное наименование “Карпатских” (9632).</w:t>
      </w:r>
    </w:p>
    <w:p w14:paraId="215C0CBD" w14:textId="77777777" w:rsidR="00AE7191" w:rsidRPr="001E2C69" w:rsidRDefault="00AE7191" w:rsidP="00722885">
      <w:pPr>
        <w:pStyle w:val="Iauiue"/>
        <w:jc w:val="both"/>
        <w:rPr>
          <w:color w:val="000000" w:themeColor="text1"/>
          <w:sz w:val="16"/>
          <w:szCs w:val="16"/>
        </w:rPr>
      </w:pPr>
    </w:p>
    <w:p w14:paraId="6361834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середине авгус</w:t>
      </w:r>
      <w:r w:rsidRPr="001E2C69">
        <w:rPr>
          <w:rFonts w:ascii="Times New Roman" w:hAnsi="Times New Roman"/>
          <w:color w:val="000000" w:themeColor="text1"/>
          <w:sz w:val="16"/>
          <w:szCs w:val="16"/>
        </w:rPr>
        <w:softHyphen/>
        <w:t>та 1942 г. начались испытания двигателей ДМ-4с в трубе АТ-2. Диаметр двигателя ДМ-4с был равен 500 мм, длина -2430 мм. Три съемных диффузора имели диаметры входного сечения 230, 280 и 330 мм. Съемные сопла имели диаметры выходного сучения 300, 340 и 360 мм. Первый этап проводимых испытаний состоял в опробова</w:t>
      </w:r>
      <w:r w:rsidRPr="001E2C69">
        <w:rPr>
          <w:rFonts w:ascii="Times New Roman" w:hAnsi="Times New Roman"/>
          <w:color w:val="000000" w:themeColor="text1"/>
          <w:sz w:val="16"/>
          <w:szCs w:val="16"/>
        </w:rPr>
        <w:softHyphen/>
        <w:t>нии двигателей в работе после выпуска их с производства, подгон</w:t>
      </w:r>
      <w:r w:rsidRPr="001E2C69">
        <w:rPr>
          <w:rFonts w:ascii="Times New Roman" w:hAnsi="Times New Roman"/>
          <w:color w:val="000000" w:themeColor="text1"/>
          <w:sz w:val="16"/>
          <w:szCs w:val="16"/>
        </w:rPr>
        <w:softHyphen/>
        <w:t>ке и проверке в работе всего комплекса варьируемых агрегатов и устранении производственных дефектов, главным образом, течи бен</w:t>
      </w:r>
      <w:r w:rsidRPr="001E2C69">
        <w:rPr>
          <w:rFonts w:ascii="Times New Roman" w:hAnsi="Times New Roman"/>
          <w:color w:val="000000" w:themeColor="text1"/>
          <w:sz w:val="16"/>
          <w:szCs w:val="16"/>
        </w:rPr>
        <w:softHyphen/>
        <w:t>зина в-сварных швах и штуцерах и протекания газов в местах сты</w:t>
      </w:r>
      <w:r w:rsidRPr="001E2C69">
        <w:rPr>
          <w:rFonts w:ascii="Times New Roman" w:hAnsi="Times New Roman"/>
          <w:color w:val="000000" w:themeColor="text1"/>
          <w:sz w:val="16"/>
          <w:szCs w:val="16"/>
        </w:rPr>
        <w:softHyphen/>
        <w:t>ковки съемных головок с корпусом. Большое внимание было уделено испытаниям и отработке системы зажигания дополнительных моторов. Параллельно проводилось опробование в работе вновь установленной на трубе измерительной аппаратуры. Характер первых испытаний иллюстрируют сохранившимися актами, один из которых приводится:</w:t>
      </w:r>
    </w:p>
    <w:p w14:paraId="2EF5313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u w:val="single"/>
        </w:rPr>
        <w:t>А К Т № 1</w:t>
      </w:r>
    </w:p>
    <w:p w14:paraId="0F6E450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Настоящий акт составлен Комиссией в составе: начальника испытательной станции Чарного И.А., ст.инженера испытательной станции Асадчиковп Е.А.. инженера Николаевского Б.А. в той, что двигатель ДМ-4с № 14 был установлен в аэродинамической трубе АТ-2 17 августа 1942 г. с целью испытания зажигания и горения.</w:t>
      </w:r>
    </w:p>
    <w:p w14:paraId="145AF7E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первого воспламенения горючего двигатель был выклю</w:t>
      </w:r>
      <w:r w:rsidRPr="001E2C69">
        <w:rPr>
          <w:rFonts w:ascii="Times New Roman" w:hAnsi="Times New Roman"/>
          <w:color w:val="000000" w:themeColor="text1"/>
          <w:sz w:val="16"/>
          <w:szCs w:val="16"/>
        </w:rPr>
        <w:softHyphen/>
        <w:t>чен и осмотрен. Обнаружены подтеки горючего под наружный кольцом.</w:t>
      </w:r>
    </w:p>
    <w:p w14:paraId="00E55B5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вторичном пуске двигателя со святим наружным коль</w:t>
      </w:r>
      <w:r w:rsidRPr="001E2C69">
        <w:rPr>
          <w:rFonts w:ascii="Times New Roman" w:hAnsi="Times New Roman"/>
          <w:color w:val="000000" w:themeColor="text1"/>
          <w:sz w:val="16"/>
          <w:szCs w:val="16"/>
        </w:rPr>
        <w:softHyphen/>
        <w:t>цом, замечено пламя под конусом корпуса двигателя, вслед</w:t>
      </w:r>
      <w:r w:rsidRPr="001E2C69">
        <w:rPr>
          <w:rFonts w:ascii="Times New Roman" w:hAnsi="Times New Roman"/>
          <w:color w:val="000000" w:themeColor="text1"/>
          <w:sz w:val="16"/>
          <w:szCs w:val="16"/>
        </w:rPr>
        <w:softHyphen/>
        <w:t>ствие этого двигатель был выключен.</w:t>
      </w:r>
    </w:p>
    <w:p w14:paraId="79EF080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Установлено протекание горючего в полость под конусом корпуса по причине негерметичности сварных швов корпуса.</w:t>
      </w:r>
    </w:p>
    <w:p w14:paraId="6214D1E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Без устранения этого дефекта дальнейшие испытания не могут продолжаться.</w:t>
      </w:r>
    </w:p>
    <w:p w14:paraId="53C6A2E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Воспламенение топлива в двигателях в первом и втором случае происходило нормально" (11081).</w:t>
      </w:r>
    </w:p>
    <w:p w14:paraId="0664530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51D22EF3" w14:textId="77777777" w:rsidR="009F0796" w:rsidRPr="001E2C69"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середине августа 1942 г. начались испытания двигателя ДМ-4С Бондарюка в трубе АТ-2. Первый этап проводимых испытаний состоял в опробовании двигателей в работе после выпуска их с произ водства, подгонке и проверке в работе всего комплекса варьируемых агрегатов и устранения производственных дефектов, главным образом, течи бензина в сварных швах и штуцерах и протекание газов в местах стыковки съемных головок с кор пусом. Большое внимание было уделено испытаниям и отра ботке систем зажигания ПВРД. Параллельно производилось опробование в работе вновь установленной на трубе измерительной аппаратуры (19586).</w:t>
      </w:r>
    </w:p>
    <w:p w14:paraId="07600057" w14:textId="77777777" w:rsidR="009F0796" w:rsidRPr="001E2C69"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8F9B7D7" w14:textId="77777777" w:rsidR="00DF0DDA"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6F0E695A" w14:textId="77777777" w:rsidR="00DF0DDA" w:rsidRPr="001E2C69" w:rsidRDefault="00DF0DDA" w:rsidP="00722885">
      <w:pPr>
        <w:pStyle w:val="Iauiue"/>
        <w:jc w:val="both"/>
        <w:rPr>
          <w:iCs/>
          <w:color w:val="000000" w:themeColor="text1"/>
          <w:sz w:val="16"/>
          <w:szCs w:val="16"/>
        </w:rPr>
      </w:pPr>
    </w:p>
    <w:p w14:paraId="16EC8F05" w14:textId="77777777" w:rsidR="00DF0DDA" w:rsidRPr="001E2C69" w:rsidRDefault="00DF0DD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середины августа 1942 г. на 290-м авиазаводе удалось за три месяца не только спроектировать и создать опытные экземпляры противо</w:t>
      </w:r>
      <w:hyperlink r:id="rId204"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овых установок, но и провести их испытания стрельбой. Сначала молодым инженерам М.Л. Милю и Н.И. Камову казалось, что решение непрофильной технической проблемы, как говорится, «лежало на поверхности», поскольку автожир в качестве штатного вооружения требовалось оснастить ракетными орудиями для стрельбы реактивными снарядами калибра 82 мм в переднюю и заднюю полусферы. Но им также было ясно, что при подобной организации работ их автожир поднимется в воздух не скоро (что поделать: хорошие инженеры — далеко не сразу становятся и талантливыми организаторами). Во всех документах М.Л. Миль постоянно упоминает имя своего соавтора по разработке противо</w:t>
      </w:r>
      <w:hyperlink r:id="rId205"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ового ружья — С.В. Пасхина. В более поздних документах, датированных (15595).</w:t>
      </w:r>
    </w:p>
    <w:p w14:paraId="0C3766E5" w14:textId="77777777" w:rsidR="00DF0DDA" w:rsidRPr="001E2C69" w:rsidRDefault="00DF0DDA" w:rsidP="00722885">
      <w:pPr>
        <w:spacing w:after="0" w:line="240" w:lineRule="auto"/>
        <w:jc w:val="both"/>
        <w:rPr>
          <w:rFonts w:ascii="Times New Roman" w:hAnsi="Times New Roman"/>
          <w:color w:val="000000" w:themeColor="text1"/>
          <w:sz w:val="16"/>
          <w:szCs w:val="16"/>
        </w:rPr>
      </w:pPr>
    </w:p>
    <w:p w14:paraId="44731BE2" w14:textId="77777777" w:rsidR="00716A6B" w:rsidRPr="001E2C69" w:rsidRDefault="00716A6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середине августа 1942 года Проектная документация на ЗИК-7-II была готова. Материалы отправились в Артком ГАУ КА, откуда 15 октября пришел ответ, мягко говоря, не вселявший оптимизма. Для начала, уже к августу КБ завода №8 с проектом опоздало, поскольку КБ УЗТМ спроектировало, а завод №37 построил установку орудия ЗИС-3 на шасси СУ-32. Еще одно орудие уже не было столь необходимо. В ходе испытаний СУ-32 показала себя хуже, чем СУ-31. Таким образом, заводскому КБ предлагалось переделать ЗИК-7-II под установку в СУ-31. Неудивительно, что эта система в результате тоже так и осталась «бумажной».</w:t>
      </w:r>
    </w:p>
    <w:p w14:paraId="0F018BE4" w14:textId="77777777" w:rsidR="00716A6B" w:rsidRPr="001E2C69" w:rsidRDefault="00716A6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Примерно в то же время, когда шли работы по разработке ЗИК-7-II, КБ завода №8 приступило к разработке еще одной орудийной системы. На сей раз в качестве базы было решено использовать «шасси 31». Система получила индекс ЗИК-5, вместо штурмовой САУ теперь разрабатывалась ЗСУ. Может показаться, что началась конкуренция между КБ УЗТМ и КБ завода №8, но это не так. Дело в том, что КБ УЗТМ разрабатывало ЗСУ с использованием 37-мм автоматической пушки 61-К. Что же касается ЗИК-5, то там использовалось другое орудие – 25-мм автоматическая пушка 72-К.</w:t>
      </w:r>
    </w:p>
    <w:p w14:paraId="496054B0" w14:textId="77777777" w:rsidR="00716A6B" w:rsidRPr="001E2C69" w:rsidRDefault="00716A6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целом проект ЗИК-5 базировался на наработках по теме СУ-31. Отчасти похожим оказалось и броневое прикрытие боевого отделения, в основном различия появились из-за меньшего размера 72-К. Сама зенитная пушка устанавливалась без каких-либо существенных изменений, мелкие переделки вносились лишь в случае крайней необходимости. В боевом отделении находились двое наводчиков и один заряжающий (17683).</w:t>
      </w:r>
    </w:p>
    <w:p w14:paraId="0F9DB9E2" w14:textId="77777777" w:rsidR="00716A6B" w:rsidRPr="001E2C69" w:rsidRDefault="00716A6B" w:rsidP="00722885">
      <w:pPr>
        <w:spacing w:after="0" w:line="240" w:lineRule="auto"/>
        <w:jc w:val="both"/>
        <w:rPr>
          <w:rFonts w:ascii="Times New Roman" w:eastAsia="Times New Roman" w:hAnsi="Times New Roman"/>
          <w:color w:val="000000" w:themeColor="text1"/>
          <w:sz w:val="16"/>
          <w:szCs w:val="16"/>
          <w:lang w:eastAsia="ru-RU"/>
        </w:rPr>
      </w:pPr>
    </w:p>
    <w:p w14:paraId="30F0D3B1"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21F5F6CF" w14:textId="77777777" w:rsidR="00AE7191" w:rsidRPr="001E2C69" w:rsidRDefault="00AE7191" w:rsidP="00722885">
      <w:pPr>
        <w:pStyle w:val="Iauiue"/>
        <w:jc w:val="both"/>
        <w:rPr>
          <w:iCs/>
          <w:color w:val="000000" w:themeColor="text1"/>
          <w:sz w:val="16"/>
          <w:szCs w:val="16"/>
        </w:rPr>
      </w:pPr>
    </w:p>
    <w:p w14:paraId="740A1DF1" w14:textId="77777777" w:rsidR="009F0796" w:rsidRPr="001E2C69" w:rsidRDefault="009F0796" w:rsidP="00722885">
      <w:pPr>
        <w:pStyle w:val="af"/>
        <w:spacing w:before="0" w:after="0"/>
        <w:jc w:val="both"/>
        <w:textAlignment w:val="baseline"/>
        <w:rPr>
          <w:color w:val="000000" w:themeColor="text1"/>
          <w:sz w:val="16"/>
          <w:szCs w:val="16"/>
        </w:rPr>
      </w:pPr>
      <w:r w:rsidRPr="001E2C69">
        <w:rPr>
          <w:color w:val="000000" w:themeColor="text1"/>
          <w:sz w:val="16"/>
          <w:szCs w:val="16"/>
        </w:rPr>
        <w:t>К середине августа 1942 8-я воздушная армия 32-летнего генерал-майора Тимофея Хрюкина получила значительные пополнения в виде тринадцати истребительных, девяти штурмовых и восьми бомбардировочных полков. Теперь на Сталинградском направлении советские ВВС, включая авиацию ПВО, имели 738 самолетов, в том числе 241 штурмовик, 313 истребителей, 113 дневных бомбардировщиков и 71 ночной бомбардировщик[42].</w:t>
      </w:r>
    </w:p>
    <w:p w14:paraId="432B8FFA" w14:textId="77777777" w:rsidR="009F0796" w:rsidRPr="001E2C69" w:rsidRDefault="009F0796" w:rsidP="00722885">
      <w:pPr>
        <w:pStyle w:val="af"/>
        <w:spacing w:before="0" w:after="0"/>
        <w:jc w:val="both"/>
        <w:textAlignment w:val="baseline"/>
        <w:rPr>
          <w:color w:val="000000" w:themeColor="text1"/>
          <w:sz w:val="16"/>
          <w:szCs w:val="16"/>
        </w:rPr>
      </w:pPr>
      <w:r w:rsidRPr="001E2C69">
        <w:rPr>
          <w:color w:val="000000" w:themeColor="text1"/>
          <w:sz w:val="16"/>
          <w:szCs w:val="16"/>
        </w:rPr>
        <w:t>В начале августа силами Управления аэродромного строительства НКВД на восточном берегу Волги были спешно подготовлены девятнадцать полевых аэродромов, на которые и перебазировалось большинство авиаполков 8-й воздушной армии. С этого момента Волга стала зримым рубежом борьбы воздушных противников. Перетянул обратно за реку, значит, точно на своей территории.</w:t>
      </w:r>
    </w:p>
    <w:p w14:paraId="793F332C" w14:textId="77777777" w:rsidR="009F0796" w:rsidRPr="001E2C69" w:rsidRDefault="009F0796" w:rsidP="00722885">
      <w:pPr>
        <w:pStyle w:val="af"/>
        <w:spacing w:before="0" w:after="0"/>
        <w:jc w:val="both"/>
        <w:textAlignment w:val="baseline"/>
        <w:rPr>
          <w:color w:val="000000" w:themeColor="text1"/>
          <w:sz w:val="16"/>
          <w:szCs w:val="16"/>
        </w:rPr>
      </w:pPr>
      <w:r w:rsidRPr="001E2C69">
        <w:rPr>
          <w:color w:val="000000" w:themeColor="text1"/>
          <w:sz w:val="16"/>
          <w:szCs w:val="16"/>
        </w:rPr>
        <w:t>Тем временем люфтваффе, напротив, переносили свои места базирования все ближе к Сталинграду. Так, 10 августа на аэродром Тусов, расположенный северо-западнее города Калач-на-Дону, перебазировались Bf-109F из I./JG53 «Пик Ас» и JG3 «Удет». Оборудование взлетных полос и стоянок в этом степном районе не представляло особых сложностей, нужно было просто найти ровное место и разметить его.</w:t>
      </w:r>
    </w:p>
    <w:p w14:paraId="089B1886" w14:textId="77777777" w:rsidR="009F0796" w:rsidRPr="001E2C69" w:rsidRDefault="009F0796" w:rsidP="00722885">
      <w:pPr>
        <w:pStyle w:val="af"/>
        <w:spacing w:before="0" w:after="0"/>
        <w:jc w:val="both"/>
        <w:textAlignment w:val="baseline"/>
        <w:rPr>
          <w:color w:val="000000" w:themeColor="text1"/>
          <w:sz w:val="16"/>
          <w:szCs w:val="16"/>
        </w:rPr>
      </w:pPr>
      <w:r w:rsidRPr="001E2C69">
        <w:rPr>
          <w:color w:val="000000" w:themeColor="text1"/>
          <w:sz w:val="16"/>
          <w:szCs w:val="16"/>
        </w:rPr>
        <w:t>Неподалеку на такие же площадки в степи перебазировались и другие авиагруппы, в том числе штурмовики и ближние разведчики. Все это не осталось незамеченным для русской воздушной разведки. Только на аэродроме около железнодорожной станции Обливская, согласно данным аэрофотосъемки, базировалось «более 100 самолетов Ю-88 и Me-109» (19522).</w:t>
      </w:r>
    </w:p>
    <w:p w14:paraId="410871C5" w14:textId="77777777" w:rsidR="009F0796" w:rsidRPr="001E2C69" w:rsidRDefault="009F0796" w:rsidP="00722885">
      <w:pPr>
        <w:pStyle w:val="af"/>
        <w:spacing w:before="0" w:after="0"/>
        <w:jc w:val="both"/>
        <w:textAlignment w:val="baseline"/>
        <w:rPr>
          <w:color w:val="000000" w:themeColor="text1"/>
          <w:sz w:val="16"/>
          <w:szCs w:val="16"/>
        </w:rPr>
      </w:pPr>
    </w:p>
    <w:p w14:paraId="2859419B" w14:textId="77777777" w:rsidR="00F51760" w:rsidRPr="001E2C69" w:rsidRDefault="00F51760"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середины августа 1942 и до середины сентяб</w:t>
      </w:r>
      <w:r w:rsidRPr="001E2C69">
        <w:rPr>
          <w:rFonts w:ascii="Times New Roman" w:hAnsi="Times New Roman"/>
          <w:color w:val="000000" w:themeColor="text1"/>
          <w:sz w:val="16"/>
          <w:szCs w:val="16"/>
        </w:rPr>
        <w:softHyphen/>
        <w:t>ря авиация дальнего действия провела ряд налетов на крупные индустриальные города Германии и оккупированной ею Европы.</w:t>
      </w:r>
    </w:p>
    <w:p w14:paraId="0336AF0E"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Также было проведено несколько налетов на Берлин и столицы союзников Германии. ТБ-7 №42066 принял участие во всех вылетах 746 АПДД.</w:t>
      </w:r>
    </w:p>
    <w:p w14:paraId="63E65419"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18.08.42. Экипаж Пусэп, Лебедев. Цель </w:t>
      </w:r>
      <w:r w:rsidRPr="001E2C69">
        <w:rPr>
          <w:rStyle w:val="443"/>
          <w:rFonts w:ascii="Times New Roman" w:eastAsiaTheme="minorHAnsi" w:hAnsi="Times New Roman" w:cs="Times New Roman"/>
          <w:color w:val="000000" w:themeColor="text1"/>
          <w:sz w:val="16"/>
          <w:szCs w:val="16"/>
          <w:lang w:val="ru"/>
        </w:rPr>
        <w:t>-</w:t>
      </w:r>
      <w:r w:rsidRPr="001E2C69">
        <w:rPr>
          <w:rStyle w:val="451"/>
          <w:rFonts w:ascii="Times New Roman" w:eastAsiaTheme="minorHAnsi" w:hAnsi="Times New Roman" w:cs="Times New Roman"/>
          <w:color w:val="000000" w:themeColor="text1"/>
          <w:sz w:val="16"/>
          <w:szCs w:val="16"/>
          <w:lang w:val="ru"/>
        </w:rPr>
        <w:t xml:space="preserve"> </w:t>
      </w:r>
      <w:r w:rsidRPr="001E2C69">
        <w:rPr>
          <w:rFonts w:ascii="Times New Roman" w:hAnsi="Times New Roman"/>
          <w:color w:val="000000" w:themeColor="text1"/>
          <w:sz w:val="16"/>
          <w:szCs w:val="16"/>
        </w:rPr>
        <w:t>бомбардирование города Данциг. Сброшено ФАБ 2000,2 ФАБ-250тга, 2 САБ-100 с 6400 м. Время взлета 19.40, время бомбометания 00.15, время посадки 4.50. В результате бом</w:t>
      </w:r>
      <w:r w:rsidRPr="001E2C69">
        <w:rPr>
          <w:rFonts w:ascii="Times New Roman" w:hAnsi="Times New Roman"/>
          <w:color w:val="000000" w:themeColor="text1"/>
          <w:sz w:val="16"/>
          <w:szCs w:val="16"/>
        </w:rPr>
        <w:softHyphen/>
        <w:t>бометания возник большой очаг пожара, который при отходе разгорался и виден был на расстоянии 60 км.</w:t>
      </w:r>
    </w:p>
    <w:p w14:paraId="16351CC7"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20.08.42. Экипаж Пусэп, Романов. Цель </w:t>
      </w:r>
      <w:r w:rsidRPr="001E2C69">
        <w:rPr>
          <w:rStyle w:val="443"/>
          <w:rFonts w:ascii="Times New Roman" w:eastAsiaTheme="minorHAnsi" w:hAnsi="Times New Roman" w:cs="Times New Roman"/>
          <w:color w:val="000000" w:themeColor="text1"/>
          <w:sz w:val="16"/>
          <w:szCs w:val="16"/>
          <w:lang w:val="ru"/>
        </w:rPr>
        <w:t>-</w:t>
      </w:r>
      <w:r w:rsidRPr="001E2C69">
        <w:rPr>
          <w:rStyle w:val="451"/>
          <w:rFonts w:ascii="Times New Roman" w:eastAsiaTheme="minorHAnsi" w:hAnsi="Times New Roman" w:cs="Times New Roman"/>
          <w:color w:val="000000" w:themeColor="text1"/>
          <w:sz w:val="16"/>
          <w:szCs w:val="16"/>
          <w:lang w:val="ru"/>
        </w:rPr>
        <w:t xml:space="preserve"> </w:t>
      </w:r>
      <w:r w:rsidRPr="001E2C69">
        <w:rPr>
          <w:rFonts w:ascii="Times New Roman" w:hAnsi="Times New Roman"/>
          <w:color w:val="000000" w:themeColor="text1"/>
          <w:sz w:val="16"/>
          <w:szCs w:val="16"/>
        </w:rPr>
        <w:t>бомбардирование города Варшава. Сброше</w:t>
      </w:r>
      <w:r w:rsidRPr="001E2C69">
        <w:rPr>
          <w:rFonts w:ascii="Times New Roman" w:hAnsi="Times New Roman"/>
          <w:color w:val="000000" w:themeColor="text1"/>
          <w:sz w:val="16"/>
          <w:szCs w:val="16"/>
        </w:rPr>
        <w:softHyphen/>
        <w:t>но 4 ФАБ-500тга, 2 ФАБ-250тга, 2 САБ-100 с 7100 м. Время взлета 20.17, время бомбоме</w:t>
      </w:r>
      <w:r w:rsidRPr="001E2C69">
        <w:rPr>
          <w:rFonts w:ascii="Times New Roman" w:hAnsi="Times New Roman"/>
          <w:color w:val="000000" w:themeColor="text1"/>
          <w:sz w:val="16"/>
          <w:szCs w:val="16"/>
        </w:rPr>
        <w:softHyphen/>
        <w:t>тания 00.10, время посадки 4.37. Отмечено прямое попадание бомб в центральную часть города. В результате бомбометания возник один пожар, наблюдавшийся экипажем при уходе от цели.</w:t>
      </w:r>
    </w:p>
    <w:p w14:paraId="0E9DB2AC"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23.08.42. Экипаж Пусэп, Штепенко. Цель - бомбардирование аэродрома Сеща. Сбро</w:t>
      </w:r>
      <w:r w:rsidRPr="001E2C69">
        <w:rPr>
          <w:rFonts w:ascii="Times New Roman" w:hAnsi="Times New Roman"/>
          <w:color w:val="000000" w:themeColor="text1"/>
          <w:sz w:val="16"/>
          <w:szCs w:val="16"/>
        </w:rPr>
        <w:softHyphen/>
        <w:t>шено 4 ФАБ 500, 2 РРАБ-2 (А0-10=105, ЗАБ- 2,5=40) и две САБ-100 с 5000 м. Время взлета 19.29, время бомбометания 20.57-21.05, время посадки 22.42. Отмечено попадание и разрыв бомб на летном поле и в северной части аэродрома, возник один пожар.</w:t>
      </w:r>
    </w:p>
    <w:p w14:paraId="52DC22AF"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24.08.42. Экипаж Пусэп, Штепенко. Цель - бомбардирование аэродрома Боровское. Сброшено 4 ФАБ 500, 2 РРАБ-2 (А0-8-100, ЗАБ-2,5=80), 1 САБ-100 с 4200 м. Время взле</w:t>
      </w:r>
      <w:r w:rsidRPr="001E2C69">
        <w:rPr>
          <w:rFonts w:ascii="Times New Roman" w:hAnsi="Times New Roman"/>
          <w:color w:val="000000" w:themeColor="text1"/>
          <w:sz w:val="16"/>
          <w:szCs w:val="16"/>
        </w:rPr>
        <w:softHyphen/>
        <w:t>та 20.20, время бомбометания 22.08-22.37, время посадки 00.19. Бомбометание про</w:t>
      </w:r>
      <w:r w:rsidRPr="001E2C69">
        <w:rPr>
          <w:rFonts w:ascii="Times New Roman" w:hAnsi="Times New Roman"/>
          <w:color w:val="000000" w:themeColor="text1"/>
          <w:sz w:val="16"/>
          <w:szCs w:val="16"/>
        </w:rPr>
        <w:softHyphen/>
        <w:t>изводилось по ст. Энгельгардовская по аэро</w:t>
      </w:r>
      <w:r w:rsidRPr="001E2C69">
        <w:rPr>
          <w:rFonts w:ascii="Times New Roman" w:hAnsi="Times New Roman"/>
          <w:color w:val="000000" w:themeColor="text1"/>
          <w:sz w:val="16"/>
          <w:szCs w:val="16"/>
        </w:rPr>
        <w:softHyphen/>
        <w:t>дрому Шаталово и Боровское. Наблюдали разрывы бомб, после бомбометания пожаров не возникло.</w:t>
      </w:r>
    </w:p>
    <w:p w14:paraId="622B883C"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26.08.42. Экипаж Пусэп, Романов. Цель </w:t>
      </w:r>
      <w:r w:rsidRPr="001E2C69">
        <w:rPr>
          <w:rStyle w:val="443"/>
          <w:rFonts w:ascii="Times New Roman" w:eastAsiaTheme="minorHAnsi" w:hAnsi="Times New Roman" w:cs="Times New Roman"/>
          <w:color w:val="000000" w:themeColor="text1"/>
          <w:sz w:val="16"/>
          <w:szCs w:val="16"/>
          <w:lang w:val="ru"/>
        </w:rPr>
        <w:t>-</w:t>
      </w:r>
      <w:r w:rsidRPr="001E2C69">
        <w:rPr>
          <w:rStyle w:val="451"/>
          <w:rFonts w:ascii="Times New Roman" w:eastAsiaTheme="minorHAnsi" w:hAnsi="Times New Roman" w:cs="Times New Roman"/>
          <w:color w:val="000000" w:themeColor="text1"/>
          <w:sz w:val="16"/>
          <w:szCs w:val="16"/>
          <w:lang w:val="ru"/>
        </w:rPr>
        <w:t xml:space="preserve"> </w:t>
      </w:r>
      <w:r w:rsidRPr="001E2C69">
        <w:rPr>
          <w:rFonts w:ascii="Times New Roman" w:hAnsi="Times New Roman"/>
          <w:color w:val="000000" w:themeColor="text1"/>
          <w:sz w:val="16"/>
          <w:szCs w:val="16"/>
        </w:rPr>
        <w:t>бомбардирование города Берлин. Сброшено 2 ФАБ-1000тга. Время взлета 18.58, время бомбометания 01.20, время посадки 6.13. Из- за невозможности соблюдения режима поле</w:t>
      </w:r>
      <w:r w:rsidRPr="001E2C69">
        <w:rPr>
          <w:rFonts w:ascii="Times New Roman" w:hAnsi="Times New Roman"/>
          <w:color w:val="000000" w:themeColor="text1"/>
          <w:sz w:val="16"/>
          <w:szCs w:val="16"/>
        </w:rPr>
        <w:softHyphen/>
        <w:t>та по метеусловиям к основной цели не дошел и с высоты 7000 м бомбардировал г Штеттин. Разрывы бомб в центральной части города, возникло два больших пожара.</w:t>
      </w:r>
    </w:p>
    <w:p w14:paraId="3B165EE2"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29.08.42. Экипаж Пусэп, Штепенко. Цель - бомбардирование города Берлин. Сброше</w:t>
      </w:r>
      <w:r w:rsidRPr="001E2C69">
        <w:rPr>
          <w:rFonts w:ascii="Times New Roman" w:hAnsi="Times New Roman"/>
          <w:color w:val="000000" w:themeColor="text1"/>
          <w:sz w:val="16"/>
          <w:szCs w:val="16"/>
        </w:rPr>
        <w:softHyphen/>
        <w:t>но 2 ФАБ-1000тга с 7900 м. Время взлета 18.45, время бомбометания 01.18, время посадки 6.20. Наблюдали разрывы бомб в восточной части аэродрома, возник один очаг пожара.</w:t>
      </w:r>
    </w:p>
    <w:p w14:paraId="6442CBF5"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1.09.42. Экипаж Пусэп, Штепенко. Цель - бомбардирование города Варшава. Сброше</w:t>
      </w:r>
      <w:r w:rsidRPr="001E2C69">
        <w:rPr>
          <w:rFonts w:ascii="Times New Roman" w:hAnsi="Times New Roman"/>
          <w:color w:val="000000" w:themeColor="text1"/>
          <w:sz w:val="16"/>
          <w:szCs w:val="16"/>
        </w:rPr>
        <w:softHyphen/>
        <w:t>но 2 ФАБ-1000тга, 2 ФАБ-500тга, 1 САБ-100 с 5000 м. Время взлета 19.12, время бомбоме</w:t>
      </w:r>
      <w:r w:rsidRPr="001E2C69">
        <w:rPr>
          <w:rFonts w:ascii="Times New Roman" w:hAnsi="Times New Roman"/>
          <w:color w:val="000000" w:themeColor="text1"/>
          <w:sz w:val="16"/>
          <w:szCs w:val="16"/>
        </w:rPr>
        <w:softHyphen/>
        <w:t>тания 0.15-0.20, время посадки 4.38. Бомбы разорвались в западной части города, возник один очаг пожара.</w:t>
      </w:r>
    </w:p>
    <w:p w14:paraId="71975742"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4.09.42. Экипаж Пусэп, Штепенко. Цель - бомбардирование города Будапешт. Сброше</w:t>
      </w:r>
      <w:r w:rsidRPr="001E2C69">
        <w:rPr>
          <w:rFonts w:ascii="Times New Roman" w:hAnsi="Times New Roman"/>
          <w:color w:val="000000" w:themeColor="text1"/>
          <w:sz w:val="16"/>
          <w:szCs w:val="16"/>
        </w:rPr>
        <w:softHyphen/>
        <w:t>но 2 ФАБ-1000тга с 7000 м. Время взлета 19.15, время бомбометания 0.50, время посадки 6.00. Бомбы разорвались в центре западной части города, возник один пожар. В этом вылете в состав экипажа входили командир корабля майор Э.К. Пусэп, штурман майор А.П. Штепенко, второй летчик подпол</w:t>
      </w:r>
      <w:r w:rsidRPr="001E2C69">
        <w:rPr>
          <w:rFonts w:ascii="Times New Roman" w:hAnsi="Times New Roman"/>
          <w:color w:val="000000" w:themeColor="text1"/>
          <w:sz w:val="16"/>
          <w:szCs w:val="16"/>
        </w:rPr>
        <w:softHyphen/>
        <w:t>ковник Счетчиков, стрелок-бомбардир лейте</w:t>
      </w:r>
      <w:r w:rsidRPr="001E2C69">
        <w:rPr>
          <w:rFonts w:ascii="Times New Roman" w:hAnsi="Times New Roman"/>
          <w:color w:val="000000" w:themeColor="text1"/>
          <w:sz w:val="16"/>
          <w:szCs w:val="16"/>
        </w:rPr>
        <w:softHyphen/>
        <w:t>нант И.П. Гончаров, борттехник инженер- капитан С.Н. Дмитриев, помощник борттехника инженер-капитан Давыдов, радист стар</w:t>
      </w:r>
      <w:r w:rsidRPr="001E2C69">
        <w:rPr>
          <w:rFonts w:ascii="Times New Roman" w:hAnsi="Times New Roman"/>
          <w:color w:val="000000" w:themeColor="text1"/>
          <w:sz w:val="16"/>
          <w:szCs w:val="16"/>
        </w:rPr>
        <w:softHyphen/>
        <w:t>шина Бородай, воздушный стрелок централь</w:t>
      </w:r>
      <w:r w:rsidRPr="001E2C69">
        <w:rPr>
          <w:rFonts w:ascii="Times New Roman" w:hAnsi="Times New Roman"/>
          <w:color w:val="000000" w:themeColor="text1"/>
          <w:sz w:val="16"/>
          <w:szCs w:val="16"/>
        </w:rPr>
        <w:softHyphen/>
        <w:t>ной стрелковой установки старший сержант Д.М. Кожин, стрелок кормовой установки старший сержант Глобенко, стрелки шассий- ных установок старшие сержанты В.И. Смир</w:t>
      </w:r>
      <w:r w:rsidRPr="001E2C69">
        <w:rPr>
          <w:rFonts w:ascii="Times New Roman" w:hAnsi="Times New Roman"/>
          <w:color w:val="000000" w:themeColor="text1"/>
          <w:sz w:val="16"/>
          <w:szCs w:val="16"/>
        </w:rPr>
        <w:softHyphen/>
        <w:t>нов и П.В. Сальников. Состав экипажа остал</w:t>
      </w:r>
      <w:r w:rsidRPr="001E2C69">
        <w:rPr>
          <w:rFonts w:ascii="Times New Roman" w:hAnsi="Times New Roman"/>
          <w:color w:val="000000" w:themeColor="text1"/>
          <w:sz w:val="16"/>
          <w:szCs w:val="16"/>
        </w:rPr>
        <w:softHyphen/>
        <w:t>ся почти таким же, как при полете в Англию и США, за исключением второго пилота (под</w:t>
      </w:r>
      <w:r w:rsidRPr="001E2C69">
        <w:rPr>
          <w:rFonts w:ascii="Times New Roman" w:hAnsi="Times New Roman"/>
          <w:color w:val="000000" w:themeColor="text1"/>
          <w:sz w:val="16"/>
          <w:szCs w:val="16"/>
        </w:rPr>
        <w:softHyphen/>
        <w:t>полковник Счетчиков был заместителем командира 45 АД ДД и в этом полете был контролирующим командиром, в задачу кото</w:t>
      </w:r>
      <w:r w:rsidRPr="001E2C69">
        <w:rPr>
          <w:rFonts w:ascii="Times New Roman" w:hAnsi="Times New Roman"/>
          <w:color w:val="000000" w:themeColor="text1"/>
          <w:sz w:val="16"/>
          <w:szCs w:val="16"/>
        </w:rPr>
        <w:softHyphen/>
        <w:t>рого входил контроль за тем как отбомбились другие экипажи), помощника борттехника, радиста и стрелка кормовой установки. Все остальные члены экипажа остались прежни</w:t>
      </w:r>
      <w:r w:rsidRPr="001E2C69">
        <w:rPr>
          <w:rFonts w:ascii="Times New Roman" w:hAnsi="Times New Roman"/>
          <w:color w:val="000000" w:themeColor="text1"/>
          <w:sz w:val="16"/>
          <w:szCs w:val="16"/>
        </w:rPr>
        <w:softHyphen/>
        <w:t>ми. Подполковник Счетчиков в своем отчете по этому вылету указал, что самолет майора Пусэпа, окрашенный снизу в черный цвет, над целью не был пойман лучами прожекторов, несмотря на то, что по нему дважды скольз</w:t>
      </w:r>
      <w:r w:rsidRPr="001E2C69">
        <w:rPr>
          <w:rFonts w:ascii="Times New Roman" w:hAnsi="Times New Roman"/>
          <w:color w:val="000000" w:themeColor="text1"/>
          <w:sz w:val="16"/>
          <w:szCs w:val="16"/>
        </w:rPr>
        <w:softHyphen/>
        <w:t>нул луч прожектора. Подполковник требовал ускорить окраску самолетов дивизии АДД в черный цвет.</w:t>
      </w:r>
    </w:p>
    <w:p w14:paraId="55FB7656"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9.09.42. Экипаж Пусэп, Штепенко. Цель - бомбардирование города Будапешт. Сброше</w:t>
      </w:r>
      <w:r w:rsidRPr="001E2C69">
        <w:rPr>
          <w:rFonts w:ascii="Times New Roman" w:hAnsi="Times New Roman"/>
          <w:color w:val="000000" w:themeColor="text1"/>
          <w:sz w:val="16"/>
          <w:szCs w:val="16"/>
        </w:rPr>
        <w:softHyphen/>
        <w:t>но 2 ФАБ-1000тга, 18 ЗАБ-1Э, 18 ЗАБ-2,5 с 7000 м. Время взлета 19.26, время бомбоме</w:t>
      </w:r>
      <w:r w:rsidRPr="001E2C69">
        <w:rPr>
          <w:rFonts w:ascii="Times New Roman" w:hAnsi="Times New Roman"/>
          <w:color w:val="000000" w:themeColor="text1"/>
          <w:sz w:val="16"/>
          <w:szCs w:val="16"/>
        </w:rPr>
        <w:softHyphen/>
        <w:t>тания 00.40, время посадки 6.01. Отмечено попадание бомб в западную и центральную часть города у набережной, возникло 2 боль</w:t>
      </w:r>
      <w:r w:rsidRPr="001E2C69">
        <w:rPr>
          <w:rFonts w:ascii="Times New Roman" w:hAnsi="Times New Roman"/>
          <w:color w:val="000000" w:themeColor="text1"/>
          <w:sz w:val="16"/>
          <w:szCs w:val="16"/>
        </w:rPr>
        <w:softHyphen/>
        <w:t>ших и 5 малых пожаров.</w:t>
      </w:r>
    </w:p>
    <w:p w14:paraId="2AF7A8B8"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13.09.42. Экипаж Пусэп, Егоров, Штепен</w:t>
      </w:r>
      <w:r w:rsidRPr="001E2C69">
        <w:rPr>
          <w:rFonts w:ascii="Times New Roman" w:hAnsi="Times New Roman"/>
          <w:color w:val="000000" w:themeColor="text1"/>
          <w:sz w:val="16"/>
          <w:szCs w:val="16"/>
        </w:rPr>
        <w:softHyphen/>
        <w:t>ко. Цель - бомбардирование города Буха</w:t>
      </w:r>
      <w:r w:rsidRPr="001E2C69">
        <w:rPr>
          <w:rFonts w:ascii="Times New Roman" w:hAnsi="Times New Roman"/>
          <w:color w:val="000000" w:themeColor="text1"/>
          <w:sz w:val="16"/>
          <w:szCs w:val="16"/>
        </w:rPr>
        <w:softHyphen/>
        <w:t xml:space="preserve">рест. Сброшено 2 ФАБ-1000тга, 30 ЗАБ-1Э, 10 ЗАБ-2,5, 1 САБ-100 с 6000 м. Время взлета </w:t>
      </w:r>
      <w:r w:rsidRPr="001E2C69">
        <w:rPr>
          <w:rStyle w:val="482"/>
          <w:rFonts w:ascii="Times New Roman" w:hAnsi="Times New Roman" w:cs="Times New Roman"/>
          <w:color w:val="000000" w:themeColor="text1"/>
          <w:sz w:val="16"/>
          <w:szCs w:val="16"/>
        </w:rPr>
        <w:t xml:space="preserve">18.50, </w:t>
      </w:r>
      <w:r w:rsidRPr="001E2C69">
        <w:rPr>
          <w:rFonts w:ascii="Times New Roman" w:hAnsi="Times New Roman"/>
          <w:color w:val="000000" w:themeColor="text1"/>
          <w:sz w:val="16"/>
          <w:szCs w:val="16"/>
        </w:rPr>
        <w:t>время бомбометания 23.57, время посадки 5.05. Разрывы бомб в юго-западной части города и в центре, возник один боль</w:t>
      </w:r>
      <w:r w:rsidRPr="001E2C69">
        <w:rPr>
          <w:rFonts w:ascii="Times New Roman" w:hAnsi="Times New Roman"/>
          <w:color w:val="000000" w:themeColor="text1"/>
          <w:sz w:val="16"/>
          <w:szCs w:val="16"/>
        </w:rPr>
        <w:softHyphen/>
        <w:t>шой пожар и два малых.</w:t>
      </w:r>
    </w:p>
    <w:p w14:paraId="7A106EC3"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17.09.42. Экипаж Пусэп, Штепенко. Цель - уничтожить матчасть и личный состав авиа</w:t>
      </w:r>
      <w:r w:rsidRPr="001E2C69">
        <w:rPr>
          <w:rFonts w:ascii="Times New Roman" w:hAnsi="Times New Roman"/>
          <w:color w:val="000000" w:themeColor="text1"/>
          <w:sz w:val="16"/>
          <w:szCs w:val="16"/>
        </w:rPr>
        <w:softHyphen/>
        <w:t xml:space="preserve">ции противника на аэродроме северо-восточной окраины ст. Тузов в 25 км от г. Калач. Сброшено 4 ФАБ-500, 2 РРАБ-2 (А0-Ю=84, ЗАБ-2,5=80), </w:t>
      </w:r>
      <w:r w:rsidRPr="001E2C69">
        <w:rPr>
          <w:rStyle w:val="482"/>
          <w:rFonts w:ascii="Times New Roman" w:hAnsi="Times New Roman" w:cs="Times New Roman"/>
          <w:color w:val="000000" w:themeColor="text1"/>
          <w:sz w:val="16"/>
          <w:szCs w:val="16"/>
        </w:rPr>
        <w:t xml:space="preserve">1 </w:t>
      </w:r>
      <w:r w:rsidRPr="001E2C69">
        <w:rPr>
          <w:rFonts w:ascii="Times New Roman" w:hAnsi="Times New Roman"/>
          <w:color w:val="000000" w:themeColor="text1"/>
          <w:sz w:val="16"/>
          <w:szCs w:val="16"/>
        </w:rPr>
        <w:t>САБ-100, 40 ЗАБ-1Э с 3600 м. Сброшено 100 тыс. листовок. Время взлета 17.28, время бомбометания 22.05-22.13- 22.18, время посадки 0.03. В течение 50 минут проискали цель, признаков аэродрома Тузов не обнаружено. Бомбардировали аэро</w:t>
      </w:r>
      <w:r w:rsidRPr="001E2C69">
        <w:rPr>
          <w:rFonts w:ascii="Times New Roman" w:hAnsi="Times New Roman"/>
          <w:color w:val="000000" w:themeColor="text1"/>
          <w:sz w:val="16"/>
          <w:szCs w:val="16"/>
        </w:rPr>
        <w:softHyphen/>
        <w:t>дром восточнее станицы Голубинский. Отмечено попадание двух ФАБ-500 между ст. Голубинской и Доном, две ФАБ-500 попали на южный берег реки Дон. Разрывами РРАБов перекрыта площадь между ст. Голубинский и Доном. При поиске цели аэродрома Тузов в период 21.40-22.05 сброшено 40 ЗАБ-1Э в районе Тузов, Осиновка, Зрянинский. В результате бомбометания возникло до 10 мелких пожаров красного цвета. Эти пожары наблюдались другими экипажами, прибыв</w:t>
      </w:r>
      <w:r w:rsidRPr="001E2C69">
        <w:rPr>
          <w:rFonts w:ascii="Times New Roman" w:hAnsi="Times New Roman"/>
          <w:color w:val="000000" w:themeColor="text1"/>
          <w:sz w:val="16"/>
          <w:szCs w:val="16"/>
        </w:rPr>
        <w:softHyphen/>
        <w:t>шими в этот район последними. Стрелки эки</w:t>
      </w:r>
      <w:r w:rsidRPr="001E2C69">
        <w:rPr>
          <w:rFonts w:ascii="Times New Roman" w:hAnsi="Times New Roman"/>
          <w:color w:val="000000" w:themeColor="text1"/>
          <w:sz w:val="16"/>
          <w:szCs w:val="16"/>
        </w:rPr>
        <w:softHyphen/>
        <w:t>пажа Пусэп вели огонь по прожекторам и зенитным точкам в районе ст. Голубинский. Израсходовано 80 снарядов пушки ШВАК. При ведении огня из пушек прожектора вре</w:t>
      </w:r>
      <w:r w:rsidRPr="001E2C69">
        <w:rPr>
          <w:rFonts w:ascii="Times New Roman" w:hAnsi="Times New Roman"/>
          <w:color w:val="000000" w:themeColor="text1"/>
          <w:sz w:val="16"/>
          <w:szCs w:val="16"/>
        </w:rPr>
        <w:softHyphen/>
        <w:t>менами работу прекращали.</w:t>
      </w:r>
    </w:p>
    <w:p w14:paraId="63761976"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19.09.42. Экипаж Пусэп, Штепенко. Цель - бомбардирование аэродрома Сталино. Сброшено 12 ФАБ-100,10 ЗАБ-100цк, 2 РРАБ- 2(А0-10=108, ЗАБ-1Э=40), 2 САБ-100 с 3700 м. Время взлета 17.45, время бомбометания 21.39-21.44-21-50 время посадки 1.45. Наблюдали разрывы бомб в восточной части аэродрома. РРАБами перекрыта западная часть аэродрома. В результате бомбометания на аэродроме возникло 2 пожара от первого захода и от 2 и 3 захода облако дыма.</w:t>
      </w:r>
    </w:p>
    <w:p w14:paraId="44BBAFFD"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20.09.42. Экипаж Пусэп, Штепенко. Цель - Уничтожение живой силы и техники в укреп</w:t>
      </w:r>
      <w:r w:rsidRPr="001E2C69">
        <w:rPr>
          <w:rFonts w:ascii="Times New Roman" w:hAnsi="Times New Roman"/>
          <w:color w:val="000000" w:themeColor="text1"/>
          <w:sz w:val="16"/>
          <w:szCs w:val="16"/>
        </w:rPr>
        <w:softHyphen/>
        <w:t>ленном узле в дер. Бородкин, разъезд Кон</w:t>
      </w:r>
      <w:r w:rsidRPr="001E2C69">
        <w:rPr>
          <w:rFonts w:ascii="Times New Roman" w:hAnsi="Times New Roman"/>
          <w:color w:val="000000" w:themeColor="text1"/>
          <w:sz w:val="16"/>
          <w:szCs w:val="16"/>
        </w:rPr>
        <w:softHyphen/>
        <w:t>ный, дер. Новая Надежда. Сброшено 2 ФАБ- 1000, 2 РРАБ-2 (А0-8=Ю0, ЗАБ-1Э=1Ю), 2 САБ-100 с 3500 м. Время взлета 23.18, время бомбометания 3.01, время посадки 6.59. Наблюдали разрывы бомб в северной части д. Новая Надежда. Пожаров не возникало.</w:t>
      </w:r>
    </w:p>
    <w:p w14:paraId="6F5B5ADE" w14:textId="77777777" w:rsidR="00F51760" w:rsidRPr="001E2C69" w:rsidRDefault="00F51760"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Это был последний вылет, в котором командиром корабля №42066 был Э.К. Пусэп. Он ушел на повышение, став командиром 890 АП ДД. Командиром бомбардировщика был назначен капитан Зеленский. На следующий день после этого полета корабль, привыкший к своему старому командиру, «отказался» лететь на боевое задание. 21.09.42. Зелен</w:t>
      </w:r>
      <w:r w:rsidRPr="001E2C69">
        <w:rPr>
          <w:rFonts w:ascii="Times New Roman" w:hAnsi="Times New Roman"/>
          <w:color w:val="000000" w:themeColor="text1"/>
          <w:sz w:val="16"/>
          <w:szCs w:val="16"/>
        </w:rPr>
        <w:softHyphen/>
        <w:t>ский, Штепенко. Цель - уничтожение живой силы и техники в районе разъезд Конный, совхоз Опытное поле, разъезд Деревянный вал. Время взлета 23.38, время посадки 23.46. Через 10 минут полета упало давление бензина на третьем моторе и наддув на чет</w:t>
      </w:r>
      <w:r w:rsidRPr="001E2C69">
        <w:rPr>
          <w:rFonts w:ascii="Times New Roman" w:hAnsi="Times New Roman"/>
          <w:color w:val="000000" w:themeColor="text1"/>
          <w:sz w:val="16"/>
          <w:szCs w:val="16"/>
        </w:rPr>
        <w:softHyphen/>
        <w:t>вертом моторе, самолет вернулся с маршрута и произвел посадку с бомбами на своем аэро</w:t>
      </w:r>
      <w:r w:rsidRPr="001E2C69">
        <w:rPr>
          <w:rFonts w:ascii="Times New Roman" w:hAnsi="Times New Roman"/>
          <w:color w:val="000000" w:themeColor="text1"/>
          <w:sz w:val="16"/>
          <w:szCs w:val="16"/>
        </w:rPr>
        <w:softHyphen/>
        <w:t>дроме благополучно.</w:t>
      </w:r>
    </w:p>
    <w:p w14:paraId="1EB9EE50"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ночь с 29 на 30 сентября полк в течение ночи два раза бомбил железнодорожный узел Смоленск центральная, №42066 также совершил два боевых вылета в течение этой ночи.</w:t>
      </w:r>
    </w:p>
    <w:p w14:paraId="5DF829AF"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29.09.42. Экипаж Зеленский, Штепенко. Цель - бомбардирование железнодорожного узла Смоленск Центральная. Сброшено 2 ФАБ-500,12 ФАБ-100тга, 12 ЗАБ-100цк с 6000 м. Время взлета 18.54, время бомбометания 20.30, время посадки 22.34. Наблюдали раз</w:t>
      </w:r>
      <w:r w:rsidRPr="001E2C69">
        <w:rPr>
          <w:rFonts w:ascii="Times New Roman" w:hAnsi="Times New Roman"/>
          <w:color w:val="000000" w:themeColor="text1"/>
          <w:sz w:val="16"/>
          <w:szCs w:val="16"/>
        </w:rPr>
        <w:softHyphen/>
        <w:t>рывы бомб среди путей восточной части железнодорожного узла Смоленск Централь</w:t>
      </w:r>
      <w:r w:rsidRPr="001E2C69">
        <w:rPr>
          <w:rFonts w:ascii="Times New Roman" w:hAnsi="Times New Roman"/>
          <w:color w:val="000000" w:themeColor="text1"/>
          <w:sz w:val="16"/>
          <w:szCs w:val="16"/>
        </w:rPr>
        <w:softHyphen/>
        <w:t>ная. В результате бомбометания возникло 5 пожаров, из них три большой силы.</w:t>
      </w:r>
    </w:p>
    <w:p w14:paraId="14640860"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30.09.42. Экипаж Зеленский, Штепенко. Цель - бомбардирование железнодорожного узла Смоленск Центральная. Сброшено 2 ФАБ-500,12 ФАБ-100тга, 2 ЗАБ-100цк, 2 САБ- 100 с 6300 м. Время взлета 1.36, время бом</w:t>
      </w:r>
      <w:r w:rsidRPr="001E2C69">
        <w:rPr>
          <w:rFonts w:ascii="Times New Roman" w:hAnsi="Times New Roman"/>
          <w:color w:val="000000" w:themeColor="text1"/>
          <w:sz w:val="16"/>
          <w:szCs w:val="16"/>
        </w:rPr>
        <w:softHyphen/>
        <w:t>бометания 3.08-3.15, время посадки 5.09.</w:t>
      </w:r>
    </w:p>
    <w:p w14:paraId="5CA210A2"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Отмечено попадание бомб в центральную часть ст. Смоленск и по городу. В результате бомбометания возникло 5 средних пожаров.</w:t>
      </w:r>
    </w:p>
    <w:p w14:paraId="5064F4D0"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следующей ночи с 30 сентября на 1 октября полк два раза бомбил железно</w:t>
      </w:r>
      <w:r w:rsidRPr="001E2C69">
        <w:rPr>
          <w:rFonts w:ascii="Times New Roman" w:hAnsi="Times New Roman"/>
          <w:color w:val="000000" w:themeColor="text1"/>
          <w:sz w:val="16"/>
          <w:szCs w:val="16"/>
        </w:rPr>
        <w:softHyphen/>
        <w:t>дорожный узел Смоленск и железнодорож</w:t>
      </w:r>
      <w:r w:rsidRPr="001E2C69">
        <w:rPr>
          <w:rFonts w:ascii="Times New Roman" w:hAnsi="Times New Roman"/>
          <w:color w:val="000000" w:themeColor="text1"/>
          <w:sz w:val="16"/>
          <w:szCs w:val="16"/>
        </w:rPr>
        <w:softHyphen/>
        <w:t>ный узел Рославль, №42066 участвовал толь</w:t>
      </w:r>
      <w:r w:rsidRPr="001E2C69">
        <w:rPr>
          <w:rFonts w:ascii="Times New Roman" w:hAnsi="Times New Roman"/>
          <w:color w:val="000000" w:themeColor="text1"/>
          <w:sz w:val="16"/>
          <w:szCs w:val="16"/>
        </w:rPr>
        <w:softHyphen/>
        <w:t>ко в одном вылете - на Рославль. В этом вылете экипаж выполнял роль осветителя цели, сбросив с 4500 м 16 ФАБ-ЮОтга, 16 ФАБ-100, 10 САБ-100. Время взлета 1.29, время бомбометания 3.10-3.42, время посад</w:t>
      </w:r>
      <w:r w:rsidRPr="001E2C69">
        <w:rPr>
          <w:rFonts w:ascii="Times New Roman" w:hAnsi="Times New Roman"/>
          <w:color w:val="000000" w:themeColor="text1"/>
          <w:sz w:val="16"/>
          <w:szCs w:val="16"/>
        </w:rPr>
        <w:softHyphen/>
        <w:t>ки 5.12. Наблюдали разрывы бомб в городе и за чертой города. В результате бомбометания возник один большой и несколько малых оча</w:t>
      </w:r>
      <w:r w:rsidRPr="001E2C69">
        <w:rPr>
          <w:rFonts w:ascii="Times New Roman" w:hAnsi="Times New Roman"/>
          <w:color w:val="000000" w:themeColor="text1"/>
          <w:sz w:val="16"/>
          <w:szCs w:val="16"/>
        </w:rPr>
        <w:softHyphen/>
        <w:t>гов пожаров.</w:t>
      </w:r>
    </w:p>
    <w:p w14:paraId="4C10A0DC"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Вечером ТБ-7 №42066 и его экипаж уча</w:t>
      </w:r>
      <w:r w:rsidRPr="001E2C69">
        <w:rPr>
          <w:rFonts w:ascii="Times New Roman" w:hAnsi="Times New Roman"/>
          <w:color w:val="000000" w:themeColor="text1"/>
          <w:sz w:val="16"/>
          <w:szCs w:val="16"/>
        </w:rPr>
        <w:softHyphen/>
        <w:t xml:space="preserve">ствовали в новом вылете. 1.10.42. Экипаж Зеленский, Штепенко. Цель </w:t>
      </w:r>
      <w:r w:rsidRPr="001E2C69">
        <w:rPr>
          <w:rStyle w:val="491"/>
          <w:rFonts w:ascii="Times New Roman" w:hAnsi="Times New Roman" w:cs="Times New Roman"/>
          <w:color w:val="000000" w:themeColor="text1"/>
          <w:sz w:val="16"/>
          <w:szCs w:val="16"/>
        </w:rPr>
        <w:t xml:space="preserve">- </w:t>
      </w:r>
      <w:r w:rsidRPr="001E2C69">
        <w:rPr>
          <w:rFonts w:ascii="Times New Roman" w:hAnsi="Times New Roman"/>
          <w:color w:val="000000" w:themeColor="text1"/>
          <w:sz w:val="16"/>
          <w:szCs w:val="16"/>
        </w:rPr>
        <w:t>бомбардирова</w:t>
      </w:r>
      <w:r w:rsidRPr="001E2C69">
        <w:rPr>
          <w:rFonts w:ascii="Times New Roman" w:hAnsi="Times New Roman"/>
          <w:color w:val="000000" w:themeColor="text1"/>
          <w:sz w:val="16"/>
          <w:szCs w:val="16"/>
        </w:rPr>
        <w:softHyphen/>
        <w:t>ние железнодорожного узла Смоленск Цент</w:t>
      </w:r>
      <w:r w:rsidRPr="001E2C69">
        <w:rPr>
          <w:rFonts w:ascii="Times New Roman" w:hAnsi="Times New Roman"/>
          <w:color w:val="000000" w:themeColor="text1"/>
          <w:sz w:val="16"/>
          <w:szCs w:val="16"/>
        </w:rPr>
        <w:softHyphen/>
        <w:t>ральная. Сброшено 4 ФАБ-250, 9 ФАБ-100, 9 ЗАБ-100цк, 6 САБ-100, 6 САБ-50 с 5500 м. Время взлета 23.50, время бомбометания 1.30-1.45-1.52, время посадки 3.37. Наблю</w:t>
      </w:r>
      <w:r w:rsidRPr="001E2C69">
        <w:rPr>
          <w:rFonts w:ascii="Times New Roman" w:hAnsi="Times New Roman"/>
          <w:color w:val="000000" w:themeColor="text1"/>
          <w:sz w:val="16"/>
          <w:szCs w:val="16"/>
        </w:rPr>
        <w:softHyphen/>
        <w:t>дали разрывы бомб в центральной части железнодорожного узла. В результате бом</w:t>
      </w:r>
      <w:r w:rsidRPr="001E2C69">
        <w:rPr>
          <w:rFonts w:ascii="Times New Roman" w:hAnsi="Times New Roman"/>
          <w:color w:val="000000" w:themeColor="text1"/>
          <w:sz w:val="16"/>
          <w:szCs w:val="16"/>
        </w:rPr>
        <w:softHyphen/>
        <w:t>бометания возникло 4 пожара, один из них сопровождался взрывами. В этом вылете 42066 был также самолетом-осветителем и поджигателем цели.</w:t>
      </w:r>
    </w:p>
    <w:p w14:paraId="34F7F4D5"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4.10.42. Экипаж Зеленский, Штепенко. Цель - бомбардирование железнодорожно</w:t>
      </w:r>
      <w:r w:rsidRPr="001E2C69">
        <w:rPr>
          <w:rFonts w:ascii="Times New Roman" w:hAnsi="Times New Roman"/>
          <w:color w:val="000000" w:themeColor="text1"/>
          <w:sz w:val="16"/>
          <w:szCs w:val="16"/>
        </w:rPr>
        <w:softHyphen/>
        <w:t>го узла Орша. Сброшено 2 ФАБ-1000, 8 ФАБ- 250тга, 2 САБ-100 с 5200 м. Время взлета 1.23, время бомбометания 3.42-3.51, время посадки 5.53. Разрывы бомб на железнодо</w:t>
      </w:r>
      <w:r w:rsidRPr="001E2C69">
        <w:rPr>
          <w:rFonts w:ascii="Times New Roman" w:hAnsi="Times New Roman"/>
          <w:color w:val="000000" w:themeColor="text1"/>
          <w:sz w:val="16"/>
          <w:szCs w:val="16"/>
        </w:rPr>
        <w:softHyphen/>
        <w:t>рожном пути ст. пассажирская в районе вок</w:t>
      </w:r>
      <w:r w:rsidRPr="001E2C69">
        <w:rPr>
          <w:rFonts w:ascii="Times New Roman" w:hAnsi="Times New Roman"/>
          <w:color w:val="000000" w:themeColor="text1"/>
          <w:sz w:val="16"/>
          <w:szCs w:val="16"/>
        </w:rPr>
        <w:softHyphen/>
        <w:t>зала. В результате бомбометания возникло 4 пожара.</w:t>
      </w:r>
    </w:p>
    <w:p w14:paraId="27787236" w14:textId="77777777" w:rsidR="00F51760" w:rsidRPr="001E2C69" w:rsidRDefault="00F5176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6.10.42.Экипаж Зеленский, Штепенко. Цель - бомбардирование железнодорожного узла Полоцк. Сброшено 8 ФАБ-250тга, 2 ФАБ- 1000, 1 САБ-100 с 2600 м. Время взлета 17.32, время бомбометания 22.16-22.25, время посадки 23.42. Из-за плохих метеоусловий основной цели не нашли и бомбардировали запасную цель аэродром Дугино. Наблюдали разрывы бомб. Результатов бомбометания не наблюдали из-за плохих метеоусловий.</w:t>
      </w:r>
    </w:p>
    <w:p w14:paraId="52C24B7F" w14:textId="77777777" w:rsidR="00F51760" w:rsidRPr="001E2C69" w:rsidRDefault="00F51760"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на следующий день случилось несчастье. 7.10.42 г. все тот же экипаж под командованием Зеленского и Штепенко вылетел на бомбардировку железнодорож</w:t>
      </w:r>
      <w:r w:rsidRPr="001E2C69">
        <w:rPr>
          <w:rFonts w:ascii="Times New Roman" w:hAnsi="Times New Roman"/>
          <w:color w:val="000000" w:themeColor="text1"/>
          <w:sz w:val="16"/>
          <w:szCs w:val="16"/>
        </w:rPr>
        <w:softHyphen/>
        <w:t>ного узла Полоцк. После взлета на высоте около 50 м при наборе высоты отказал вто</w:t>
      </w:r>
      <w:r w:rsidRPr="001E2C69">
        <w:rPr>
          <w:rFonts w:ascii="Times New Roman" w:hAnsi="Times New Roman"/>
          <w:color w:val="000000" w:themeColor="text1"/>
          <w:sz w:val="16"/>
          <w:szCs w:val="16"/>
        </w:rPr>
        <w:softHyphen/>
        <w:t>рой мотор и самолет стал терять высоту. Бомбы 16 ФАБ-100тга и 18 ЗАБ-100цк сбро</w:t>
      </w:r>
      <w:r w:rsidRPr="001E2C69">
        <w:rPr>
          <w:rFonts w:ascii="Times New Roman" w:hAnsi="Times New Roman"/>
          <w:color w:val="000000" w:themeColor="text1"/>
          <w:sz w:val="16"/>
          <w:szCs w:val="16"/>
        </w:rPr>
        <w:softHyphen/>
        <w:t>шены на пассив в р. Москва, часть бомб взо</w:t>
      </w:r>
      <w:r w:rsidRPr="001E2C69">
        <w:rPr>
          <w:rFonts w:ascii="Times New Roman" w:hAnsi="Times New Roman"/>
          <w:color w:val="000000" w:themeColor="text1"/>
          <w:sz w:val="16"/>
          <w:szCs w:val="16"/>
        </w:rPr>
        <w:softHyphen/>
        <w:t>рвалась, поразив осколками бензобаки левой плоскости, в результате чего на само</w:t>
      </w:r>
      <w:r w:rsidRPr="001E2C69">
        <w:rPr>
          <w:rFonts w:ascii="Times New Roman" w:hAnsi="Times New Roman"/>
          <w:color w:val="000000" w:themeColor="text1"/>
          <w:sz w:val="16"/>
          <w:szCs w:val="16"/>
        </w:rPr>
        <w:softHyphen/>
        <w:t>лете в воздухе возник пожар. Горящий самолет с поврежденными рулями управле</w:t>
      </w:r>
      <w:r w:rsidRPr="001E2C69">
        <w:rPr>
          <w:rFonts w:ascii="Times New Roman" w:hAnsi="Times New Roman"/>
          <w:color w:val="000000" w:themeColor="text1"/>
          <w:sz w:val="16"/>
          <w:szCs w:val="16"/>
        </w:rPr>
        <w:softHyphen/>
        <w:t>ния был посажен на луг в 2 км южнее аэр. Быково. Из состава экипажа получили ожоги 1-й и 2-й степени к-р корабля капитан Зеленский, штурман майор Штепенко, лет</w:t>
      </w:r>
      <w:r w:rsidRPr="001E2C69">
        <w:rPr>
          <w:rFonts w:ascii="Times New Roman" w:hAnsi="Times New Roman"/>
          <w:color w:val="000000" w:themeColor="text1"/>
          <w:sz w:val="16"/>
          <w:szCs w:val="16"/>
        </w:rPr>
        <w:softHyphen/>
        <w:t>чик старший лейтенант Хорошилов, борттехник инж. капитан Дмитриев. На земле само</w:t>
      </w:r>
      <w:r w:rsidRPr="001E2C69">
        <w:rPr>
          <w:rFonts w:ascii="Times New Roman" w:hAnsi="Times New Roman"/>
          <w:color w:val="000000" w:themeColor="text1"/>
          <w:sz w:val="16"/>
          <w:szCs w:val="16"/>
        </w:rPr>
        <w:softHyphen/>
        <w:t>лет полностью сгорел и восстановлению не подлежал (19936).</w:t>
      </w:r>
    </w:p>
    <w:p w14:paraId="02D724BA" w14:textId="77777777" w:rsidR="00F51760" w:rsidRPr="001E2C69" w:rsidRDefault="00F51760" w:rsidP="00722885">
      <w:pPr>
        <w:shd w:val="clear" w:color="auto" w:fill="FFFFFF"/>
        <w:spacing w:after="0" w:line="240" w:lineRule="auto"/>
        <w:jc w:val="both"/>
        <w:rPr>
          <w:rFonts w:ascii="Times New Roman" w:hAnsi="Times New Roman"/>
          <w:color w:val="000000" w:themeColor="text1"/>
          <w:sz w:val="16"/>
          <w:szCs w:val="16"/>
        </w:rPr>
      </w:pPr>
    </w:p>
    <w:p w14:paraId="7C016908" w14:textId="77777777" w:rsidR="00DF0DDA" w:rsidRPr="001E2C69" w:rsidRDefault="00DF0DDA"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 середине августа 1942 г. обстановка под Сталинградом стала критической — немцы при интенсивной поддержке люфтваффе начали штурм города. Командование фронта просило укрепить авиацию наиболее подготовленными полками на лучшей матчасти. Штаб ВВС КА сроч</w:t>
      </w:r>
      <w:r w:rsidRPr="001E2C69">
        <w:rPr>
          <w:rFonts w:ascii="Times New Roman" w:cs="Times New Roman"/>
          <w:color w:val="000000" w:themeColor="text1"/>
          <w:spacing w:val="0"/>
        </w:rPr>
        <w:softHyphen/>
        <w:t>но готовил к переброске под Сталинград всех, кого имел в резерве.</w:t>
      </w:r>
    </w:p>
    <w:p w14:paraId="5D274945" w14:textId="77777777" w:rsidR="00DF0DDA" w:rsidRPr="001E2C69" w:rsidRDefault="00DF0DDA"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Одним из таких полков являлся 434 иап майора И.И. Клещева, его комплектовал и оснащал лично начальник Инспекции ВВС КА полковник В.И. Сталин. По его поруче</w:t>
      </w:r>
      <w:r w:rsidRPr="001E2C69">
        <w:rPr>
          <w:rFonts w:ascii="Times New Roman" w:cs="Times New Roman"/>
          <w:color w:val="000000" w:themeColor="text1"/>
          <w:spacing w:val="0"/>
        </w:rPr>
        <w:softHyphen/>
        <w:t>нию бригинженер П.Я. Федрови в начале августа докладывал:</w:t>
      </w:r>
    </w:p>
    <w:p w14:paraId="4732D586" w14:textId="77777777" w:rsidR="00DF0DDA" w:rsidRPr="001E2C69" w:rsidRDefault="00DF0DDA"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«Облётанный мною в 434 полку на Люберецком аэродроме серийный самолет ЛАГ-5 М-82 является более устойчивым и улучшенным по технике пилотирования в сравнении с самолётом ЛАГГ-3 М-105 и имеет более высокие скорости.</w:t>
      </w:r>
    </w:p>
    <w:p w14:paraId="04366062" w14:textId="77777777" w:rsidR="00DF0DDA" w:rsidRPr="001E2C69" w:rsidRDefault="00DF0DDA"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Осмотром и облетом самолёта ЛАГ-5 установлено, что наряду с улучшением само</w:t>
      </w:r>
      <w:r w:rsidRPr="001E2C69">
        <w:rPr>
          <w:rFonts w:ascii="Times New Roman" w:cs="Times New Roman"/>
          <w:color w:val="000000" w:themeColor="text1"/>
          <w:spacing w:val="0"/>
        </w:rPr>
        <w:softHyphen/>
        <w:t>лёт имеет крупные конструктивные и производственные дефекты, которые характери</w:t>
      </w:r>
      <w:r w:rsidRPr="001E2C69">
        <w:rPr>
          <w:rFonts w:ascii="Times New Roman" w:cs="Times New Roman"/>
          <w:color w:val="000000" w:themeColor="text1"/>
          <w:spacing w:val="0"/>
        </w:rPr>
        <w:softHyphen/>
        <w:t>зуют самолёт ЛАГ-5 М-82, как недоведенный до степени нормальной эксплуатации.</w:t>
      </w:r>
    </w:p>
    <w:p w14:paraId="351C35E4" w14:textId="77777777" w:rsidR="00DF0DDA" w:rsidRPr="001E2C69" w:rsidRDefault="00DF0DDA"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Качество производственного выполнения самолёта, подгонка и отладка отдельных аг</w:t>
      </w:r>
      <w:r w:rsidRPr="001E2C69">
        <w:rPr>
          <w:rFonts w:ascii="Times New Roman" w:cs="Times New Roman"/>
          <w:color w:val="000000" w:themeColor="text1"/>
          <w:spacing w:val="0"/>
        </w:rPr>
        <w:softHyphen/>
        <w:t>регатов стоят не на должной высоте и затрудняют эксплуатацию самолёта, тем самым понижая его боеспособность. Совершенно неудовлетворительный монтаж рычагов уп</w:t>
      </w:r>
      <w:r w:rsidRPr="001E2C69">
        <w:rPr>
          <w:rFonts w:ascii="Times New Roman" w:cs="Times New Roman"/>
          <w:color w:val="000000" w:themeColor="text1"/>
          <w:spacing w:val="0"/>
        </w:rPr>
        <w:softHyphen/>
        <w:t>равления мотором, шасси, закрылков, юбками капота мотора, триммером руля высо</w:t>
      </w:r>
      <w:r w:rsidRPr="001E2C69">
        <w:rPr>
          <w:rFonts w:ascii="Times New Roman" w:cs="Times New Roman"/>
          <w:color w:val="000000" w:themeColor="text1"/>
          <w:spacing w:val="0"/>
        </w:rPr>
        <w:softHyphen/>
        <w:t>ты, надвижного фонаря, которые обременяют лётчика, требуют от него повышенного внимания, а кнопки механизма выпуска шасси и закрылков принуждают лётчика брать с собой в полёт инструмент (плоскогубцы или рекомендованную заводом отмычку) для устранения заедания в гнездах кнопок управления этими агрегатами в воздухе.</w:t>
      </w:r>
    </w:p>
    <w:p w14:paraId="164C3EB4" w14:textId="77777777" w:rsidR="00DF0DDA" w:rsidRPr="001E2C69" w:rsidRDefault="00DF0DDA"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Сектора управления мотором на взлёте и при скорости выше средней произвольно от</w:t>
      </w:r>
      <w:r w:rsidRPr="001E2C69">
        <w:rPr>
          <w:rFonts w:ascii="Times New Roman" w:cs="Times New Roman"/>
          <w:color w:val="000000" w:themeColor="text1"/>
          <w:spacing w:val="0"/>
        </w:rPr>
        <w:softHyphen/>
        <w:t>ходят назад, а заслонка карбюратора прикрывается независимо от желания лётчика.</w:t>
      </w:r>
    </w:p>
    <w:p w14:paraId="060E2ED3" w14:textId="77777777" w:rsidR="00DF0DDA" w:rsidRPr="001E2C69" w:rsidRDefault="00DF0DDA"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Закрылки работают ненадежно, а посадка без закрылков является более тяжёлой и нежелательной для самолёта.</w:t>
      </w:r>
    </w:p>
    <w:p w14:paraId="6927074D" w14:textId="77777777" w:rsidR="00DF0DDA" w:rsidRPr="001E2C69" w:rsidRDefault="00DF0DDA"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Мотор на малом газе, во время планирования, работает неустойчиво, на посадке и пробеге, независимо от лётчика, мотор имеет повышенные обороты.</w:t>
      </w:r>
    </w:p>
    <w:p w14:paraId="19500D16" w14:textId="77777777" w:rsidR="00DF0DDA" w:rsidRPr="001E2C69" w:rsidRDefault="00DF0DDA"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Низкое качество производственного выполнения самолёта подтверждается тем, что за короткий (2-3 дня) период,эксплуатации у самолёта разболтался фонарь, остекление и потрескались капоты, хотя полётов на больших скоростях ещё не было, а также появля</w:t>
      </w:r>
      <w:r w:rsidRPr="001E2C69">
        <w:rPr>
          <w:rFonts w:ascii="Times New Roman" w:cs="Times New Roman"/>
          <w:color w:val="000000" w:themeColor="text1"/>
          <w:spacing w:val="0"/>
        </w:rPr>
        <w:softHyphen/>
        <w:t>ется ряд мелких дефектов, из-за которых прекращаются полёты.</w:t>
      </w:r>
    </w:p>
    <w:p w14:paraId="2F12BEFD" w14:textId="77777777" w:rsidR="00DF0DDA" w:rsidRPr="001E2C69" w:rsidRDefault="00DF0DDA"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 лётном отношении самолёт ЛАГ-5, хотя и имеет по сравнению с ЛАГГ-3 улучшения, но боевые свойства его, маневренность и управляемость находятся не выше уровня, чем у самолёта МИГ.</w:t>
      </w:r>
    </w:p>
    <w:p w14:paraId="7D35BA03" w14:textId="77777777" w:rsidR="00DF0DDA" w:rsidRPr="001E2C69" w:rsidRDefault="00DF0DDA"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По скоростям и скороподъёмности ЛАГ-5 М-82 имеет небольшое преимущество пе</w:t>
      </w:r>
      <w:r w:rsidRPr="001E2C69">
        <w:rPr>
          <w:rFonts w:ascii="Times New Roman" w:cs="Times New Roman"/>
          <w:color w:val="000000" w:themeColor="text1"/>
          <w:spacing w:val="0"/>
        </w:rPr>
        <w:softHyphen/>
        <w:t>ред ЯК-7 М-105Ф, но горизонтальная и вертикальная маневренность значительно ниже последнего. Следует отметить, что снять максимальную скорость в маневренном полёте весьма затруднительно, так как для этого следует прикрыть юбки капота мотора, управ</w:t>
      </w:r>
      <w:r w:rsidRPr="001E2C69">
        <w:rPr>
          <w:rFonts w:ascii="Times New Roman" w:cs="Times New Roman"/>
          <w:color w:val="000000" w:themeColor="text1"/>
          <w:spacing w:val="0"/>
        </w:rPr>
        <w:softHyphen/>
        <w:t>ление которыми очень тяжёлое.</w:t>
      </w:r>
    </w:p>
    <w:p w14:paraId="112DF795" w14:textId="77777777" w:rsidR="00DF0DDA" w:rsidRPr="001E2C69" w:rsidRDefault="00DF0DDA"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Во время полёта с полностью закрытой юбкой капота мотора и заслонкой маслорадиатора, горизонтальная скорость у земли по прибору не превышает 460-465 км/ч. Набор высоты на боевом развороте с максимально-горизонтальной до эволютивной (250 км/ч) скоростей достигает 800 метров. Время виража — 23-24 сек, а восьмёрки 52-54 сек.</w:t>
      </w:r>
    </w:p>
    <w:p w14:paraId="2B7FD796" w14:textId="77777777" w:rsidR="00DF0DDA" w:rsidRPr="001E2C69" w:rsidRDefault="00DF0DDA"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Предкрылки работают удовлетворительно, хотя на парашютировании и открываются не одновременно: правый на скорости 220 км/ч, а левый на 200 км/ч.</w:t>
      </w:r>
    </w:p>
    <w:p w14:paraId="627E61C4" w14:textId="77777777" w:rsidR="00DF0DDA" w:rsidRPr="001E2C69" w:rsidRDefault="00DF0DDA"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Скорость на парашютировании с прикрытым мотором доводилась до 170 км/ч, и при этом срыва в штопор или сваливания на крыло не наблюдалась (тряска мотора на ма</w:t>
      </w:r>
      <w:r w:rsidRPr="001E2C69">
        <w:rPr>
          <w:rFonts w:ascii="Times New Roman" w:cs="Times New Roman"/>
          <w:color w:val="000000" w:themeColor="text1"/>
          <w:spacing w:val="0"/>
        </w:rPr>
        <w:softHyphen/>
        <w:t>лом газе не позволяла уменьшить скорость парашютирования до срыва).</w:t>
      </w:r>
    </w:p>
    <w:p w14:paraId="257998F6" w14:textId="77777777" w:rsidR="00DF0DDA" w:rsidRPr="001E2C69" w:rsidRDefault="00DF0DDA"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Самолёт на планировании при открытых закрылках и при закрытых ведет себя нор</w:t>
      </w:r>
      <w:r w:rsidRPr="001E2C69">
        <w:rPr>
          <w:rFonts w:ascii="Times New Roman" w:cs="Times New Roman"/>
          <w:color w:val="000000" w:themeColor="text1"/>
          <w:spacing w:val="0"/>
        </w:rPr>
        <w:softHyphen/>
        <w:t>мально. Открытие закрылков вызывает пикирующий момент (самолёт опускает нос и висит на ручке). Приземление и посадка самолёта не сложны, особенностей не име</w:t>
      </w:r>
      <w:r w:rsidRPr="001E2C69">
        <w:rPr>
          <w:rFonts w:ascii="Times New Roman" w:cs="Times New Roman"/>
          <w:color w:val="000000" w:themeColor="text1"/>
          <w:spacing w:val="0"/>
        </w:rPr>
        <w:softHyphen/>
        <w:t>ют, а пробег при торможении колес относительно небольшой.</w:t>
      </w:r>
    </w:p>
    <w:p w14:paraId="44EDD967" w14:textId="77777777" w:rsidR="00DF0DDA" w:rsidRPr="001E2C69" w:rsidRDefault="00DF0DDA"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Заключение: Самолёт ЛАГ-5 М-82 по сравнению с самолётом ЛАГГ-3 М-105 имеет более лучшие лётно-тактические данные.</w:t>
      </w:r>
    </w:p>
    <w:p w14:paraId="73BA1B8F" w14:textId="77777777" w:rsidR="00DF0DDA" w:rsidRPr="001E2C69" w:rsidRDefault="00DF0DDA"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Винтомоторная группа, механизмы управления шасси и закрылками до условий нор</w:t>
      </w:r>
      <w:r w:rsidRPr="001E2C69">
        <w:rPr>
          <w:rFonts w:ascii="Times New Roman" w:cs="Times New Roman"/>
          <w:color w:val="000000" w:themeColor="text1"/>
          <w:spacing w:val="0"/>
        </w:rPr>
        <w:softHyphen/>
        <w:t>мальной эксплуатации не доведены. Самолёт имеет много производственных и конст</w:t>
      </w:r>
      <w:r w:rsidRPr="001E2C69">
        <w:rPr>
          <w:rFonts w:ascii="Times New Roman" w:cs="Times New Roman"/>
          <w:color w:val="000000" w:themeColor="text1"/>
          <w:spacing w:val="0"/>
        </w:rPr>
        <w:softHyphen/>
        <w:t>руктивных дефектов, требующих немедленного устранения.</w:t>
      </w:r>
    </w:p>
    <w:p w14:paraId="45C0204E" w14:textId="77777777" w:rsidR="00DF0DDA" w:rsidRPr="001E2C69" w:rsidRDefault="00DF0DDA"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Самолёт ЛАГ-5 М-82 в сравнении с самолётом ЯК-7 М-105Ф имеет почти одинако</w:t>
      </w:r>
      <w:r w:rsidRPr="001E2C69">
        <w:rPr>
          <w:rFonts w:ascii="Times New Roman" w:cs="Times New Roman"/>
          <w:color w:val="000000" w:themeColor="text1"/>
          <w:spacing w:val="0"/>
        </w:rPr>
        <w:softHyphen/>
        <w:t>вые скорости, но значительно уступает последнему в вертикальной и горизонтальной маневренности. Управляемость самолёта ЯК-7 М-105Ф значительно лучше.</w:t>
      </w:r>
    </w:p>
    <w:p w14:paraId="76A424C7" w14:textId="77777777" w:rsidR="00DF0DDA" w:rsidRPr="001E2C69" w:rsidRDefault="00DF0DDA"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Самолёт ЛАГ-5 для освоения лётным составом требует значительной тренировки.</w:t>
      </w:r>
    </w:p>
    <w:p w14:paraId="1223DB56" w14:textId="77777777" w:rsidR="00DF0DDA" w:rsidRPr="001E2C69" w:rsidRDefault="00DF0DDA"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Лётчики, летавшие на самолётах ЛАГГ-3, должны быстрее освоить самолёт ЛАГ-5 М-82 и дать ему лучшую оценку, чем лётчики, летающие на других истребителях, ко</w:t>
      </w:r>
      <w:r w:rsidRPr="001E2C69">
        <w:rPr>
          <w:rFonts w:ascii="Times New Roman" w:cs="Times New Roman"/>
          <w:color w:val="000000" w:themeColor="text1"/>
          <w:spacing w:val="0"/>
        </w:rPr>
        <w:softHyphen/>
        <w:t>торые отрицательно отзовутся об этом самолёте».</w:t>
      </w:r>
    </w:p>
    <w:p w14:paraId="04A21B3B" w14:textId="77777777" w:rsidR="00DF0DDA" w:rsidRPr="001E2C69" w:rsidRDefault="00DF0DDA"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Такая «рекомендация» сделала свое дело, и элитный 434-й иап перед отправкой под Сталинград вооружили самолётами «Як» (15813).</w:t>
      </w:r>
    </w:p>
    <w:p w14:paraId="59FB679F" w14:textId="77777777" w:rsidR="00DF0DDA" w:rsidRPr="001E2C69" w:rsidRDefault="00DF0DDA" w:rsidP="00722885">
      <w:pPr>
        <w:pStyle w:val="27"/>
        <w:shd w:val="clear" w:color="auto" w:fill="auto"/>
        <w:spacing w:after="0" w:line="240" w:lineRule="auto"/>
        <w:ind w:firstLine="0"/>
        <w:rPr>
          <w:rFonts w:ascii="Times New Roman" w:cs="Times New Roman"/>
          <w:color w:val="000000" w:themeColor="text1"/>
          <w:spacing w:val="0"/>
        </w:rPr>
      </w:pPr>
    </w:p>
    <w:p w14:paraId="1CC319A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С середины августа 1942 «война с нефтью», начатая Люфтваффе, стала давать первые результаты. Первыми нехватку топлива ощутили сами речники. В Саратове и Куйбышеве, а затем и в других городах Верхнего Поволжья мазут стали выдавать только судам, выполнявшим воинские и санитарные перевозки. Остальные вынуждены были простаивать в портах. Угля также не хватало. В связи с этим Наркомат речного флота принял решение о переводе значительной части волжского флота на дровяное топливо. Однако осуществить это мероприятие оказалось непросто. Систематическую заготовку дров проводить было некому, посему матросам пришлось самим валить около пристаней деревья и наспех загружать сырое «топливо» на борт. Естественно, значительно снизились скоростные характеристики кораблей. А немецкие самолеты продолжали минировать Нижнюю Волгу. В ночь на 12 августа «Хейнкели» забросали минами участок в 18 км от Верхне-Шишкинского переката до Черного Яра. Несмотря на то что почти все места падения мин были зафиксированы наблюдательными постами, движение судов резко замедлилось. Длинным караванам из пароходов, буксиров, понтонов и барж приходилось буквально лавировать между импровизированными ограждениями и мелями. </w:t>
      </w:r>
      <w:r w:rsidRPr="001E2C69">
        <w:rPr>
          <w:rFonts w:ascii="Times New Roman" w:hAnsi="Times New Roman"/>
          <w:color w:val="000000" w:themeColor="text1"/>
          <w:sz w:val="16"/>
          <w:szCs w:val="16"/>
        </w:rPr>
        <w:lastRenderedPageBreak/>
        <w:t>Матросы проявляли чудеса ловкости, но один пароход все же подорвался и погиб со всей командой. 14 августа в Ахтубе, недалеко от Сталинграда, была потоплена баржа с десятью тысячами автоматов для фронта. Подвергаясь постоянным ударам авиации, многочисленные переправы через Волгу работали все более напряженно. Судов и буксиров не хватало, а грузы все прибывали, скот огромными стадами толпился вдоль берега, люди ночевали прямо на земле. Наркомречфлот направил в Южное Поволжье подкрепления из 20 буксиров, 10 пассажирских катеров и 35 барже Оки, Камы и Верхней Волги. Были организованы дополнительные переправы в Черном Яре, Соленом Займище и Никольском. Несмотря на регулярное траление фарватера, суда продолжали подрываться на минах. Для усиления наблюдения за рекой на участке от Камышина до Астрахани были созданы уже свыше 400 наблюдательных постов, состоявших из местных жителей и моряков Волжской военной флотилии. Было организовано размагничивание корпусов кораблей. Однако в силу общей ухудшающейся ситуации все эти меры предпринимались в спешке и зачастую хаотично. Выставляемые бакенщиками заграждения сносились течением, светомаскировка привела к резкому увеличению аварийности. Пароходы и баржи то и дело садились на мели, врезались в берег, сталкивались друг с другом. Все это значительно снизило интенсивность судоходства. В то же время немецкие самолеты все чаще появлялись над Волгой, как в ночное, так и в дневное время. Атакам подвергались даже небольшие лодки. Так, на рассвете 16 августа бакенщики И. Михайлов и Л. Харьков, увидев, как в фарватер на парашютах опустились мины, сели в лодку и погребли к месту падения для того, чтобы установить ограждение. Однако вскоре бомбардировщики вернулись и на бреющем полете обстреляли их из пулеметов. При этом Михайлов получил ранение, а днище их лодки было прострелено. Тем не менее речникам удалось, одновременно вычерпывая воду, наспех установить временное ограждение и уже потом вернуться на берег. Бакенщик НВРП И. Игольников вспоминал:  «Ночью я услышал гул вражеского самолета и разглядел, как на парашютах упали в судовой ход две мины. Приметив место падения, мы с женой выехали на лодке, чтобы поставить минное ограждение. Но только успели это сделать, как прилетел второй самолет и тоже сбросил две мины. Занималась заря, за вторым минным ограждением съездить времени уже не было, а сверху шли караваны. Причалив лодку к минному ограждению, я начал махать красным флажком, капитан заметил мой сигнал и остановился. Потом мы этот караван провели по другому ходу». 18 августа теплоход «10 лет Октября» следовал по Каспийскому морю в Астрахань, имея на буксире две баржи с бензином. В районе острова Искусственный появились три немецких самолета. Матросы открыли огонь из скорострельной зенитной пушки, в результате бомбардировщики не стали снижаться и сбросили бомбы с большой высоты. Взрывы прогремели по левому борту. 21 августа немецкие бомбардировщики в районе Черного Яра, в 120 км к юго-западу от Сталинграда, атаковали большой нефтекараван и потопили пять нефтебарж. Одновременно с этим в 40 км южнее был совершен массированный налет на переправу около села Никольское. Здесь были разбиты причалы и потоплены несколько паромов, погибло большое количество скота и людей (11774).</w:t>
      </w:r>
    </w:p>
    <w:p w14:paraId="03BBDBD0"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8EC5A42"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Внешняя политика:</w:t>
      </w:r>
    </w:p>
    <w:p w14:paraId="7E4F6971" w14:textId="77777777" w:rsidR="00AE7191" w:rsidRPr="001E2C69" w:rsidRDefault="00AE7191" w:rsidP="00722885">
      <w:pPr>
        <w:pStyle w:val="Iauiue"/>
        <w:jc w:val="both"/>
        <w:rPr>
          <w:iCs/>
          <w:color w:val="000000" w:themeColor="text1"/>
          <w:sz w:val="16"/>
          <w:szCs w:val="16"/>
        </w:rPr>
      </w:pPr>
    </w:p>
    <w:p w14:paraId="478D219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середине августа 1942 У.Черчиль лично направился в Москву в сопровождении Гарримана чтобы сообщить о том, что второго фронта в этом году не будет. Это была первая личная встреча И.В.С. с У.Черчилем (2070,141).</w:t>
      </w:r>
    </w:p>
    <w:p w14:paraId="0C4E7C58" w14:textId="77777777" w:rsidR="00AE7191" w:rsidRPr="001E2C69" w:rsidRDefault="00AE7191" w:rsidP="00722885">
      <w:pPr>
        <w:pStyle w:val="Iauiue"/>
        <w:jc w:val="both"/>
        <w:rPr>
          <w:color w:val="000000" w:themeColor="text1"/>
          <w:sz w:val="16"/>
          <w:szCs w:val="16"/>
        </w:rPr>
      </w:pPr>
    </w:p>
    <w:p w14:paraId="3A04F152"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6AAA96DA" w14:textId="77777777" w:rsidR="00AE7191" w:rsidRPr="001E2C69" w:rsidRDefault="00AE7191" w:rsidP="00722885">
      <w:pPr>
        <w:pStyle w:val="Iauiue"/>
        <w:jc w:val="both"/>
        <w:rPr>
          <w:iCs/>
          <w:color w:val="000000" w:themeColor="text1"/>
          <w:sz w:val="16"/>
          <w:szCs w:val="16"/>
        </w:rPr>
      </w:pPr>
    </w:p>
    <w:p w14:paraId="2D6A0EA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16 августа 1942 Нач. 3 отд. опытного отдела НИИ АВ ВВС Галкин писал письмо Нач. ГУЗ и ТС ВВС Селезневу:</w:t>
      </w:r>
    </w:p>
    <w:p w14:paraId="58C0CDE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"Предъявленный на испытания самолет Ил-2 N 30000 с модифицированным бомбардировочно-химическим вооружением показал возможность использования бомбоотсеков для загрузки и сбрасывания мелких бомб и ампул без применения кассет КМБ-Ил-2</w:t>
      </w:r>
    </w:p>
    <w:p w14:paraId="77A7B0F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Замена наружных бомбодержателей замками ДЗ-40 значительно улучшает эксплуатацию наружной подвески бомб и химприборов, значительно упрощает производство бомбардировочно-химического вооружения за счет изъятия кассет КМБ-Ил-2, поясной наружной подвески и спецбалок (1632,10).</w:t>
      </w:r>
    </w:p>
    <w:p w14:paraId="773DE234" w14:textId="77777777" w:rsidR="00AE7191" w:rsidRPr="001E2C69" w:rsidRDefault="00AE7191" w:rsidP="00722885">
      <w:pPr>
        <w:pStyle w:val="Iauiue"/>
        <w:jc w:val="both"/>
        <w:rPr>
          <w:color w:val="000000" w:themeColor="text1"/>
          <w:sz w:val="16"/>
          <w:szCs w:val="16"/>
        </w:rPr>
      </w:pPr>
    </w:p>
    <w:p w14:paraId="1C1BCE5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16 августа 1942 в Новосибирске прошла макетная комиссия по НБ Н.Н.П. Представили вариант с М-82А и ожидали скорость 472 км/час у земли и 525 на 6250 м. Дальность - 4000 км с 2 т бомб. Сделали много замечаний и макет был утвержден 8 сентября (4621, 21).</w:t>
      </w:r>
    </w:p>
    <w:p w14:paraId="71C6C2C7" w14:textId="77777777" w:rsidR="00AE7191" w:rsidRPr="001E2C69" w:rsidRDefault="00AE7191" w:rsidP="00722885">
      <w:pPr>
        <w:pStyle w:val="Iauiue"/>
        <w:jc w:val="both"/>
        <w:rPr>
          <w:color w:val="000000" w:themeColor="text1"/>
          <w:sz w:val="16"/>
          <w:szCs w:val="16"/>
        </w:rPr>
      </w:pPr>
    </w:p>
    <w:p w14:paraId="712B45D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августа 1942 состоялось заседание макетной комиссии по переработанному НБ (Т). С мотором М-82А самолет должен был иметь у земли максимальную скорость 472 км/ч, 525 км/ч - на высоте 6250 м. Практический потолок составлял 8000 м, даль</w:t>
      </w:r>
      <w:r w:rsidRPr="001E2C69">
        <w:rPr>
          <w:rFonts w:ascii="Times New Roman" w:hAnsi="Times New Roman"/>
          <w:color w:val="000000" w:themeColor="text1"/>
          <w:sz w:val="16"/>
          <w:szCs w:val="16"/>
        </w:rPr>
        <w:softHyphen/>
        <w:t>ность - 4000 км при бомбовой нагрузке 2000 кг. При уменьшении дальности вес бомб, расположенных на внутренней подвеске, мог увеличиться до 4000 кг. 8 сен</w:t>
      </w:r>
      <w:r w:rsidRPr="001E2C69">
        <w:rPr>
          <w:rFonts w:ascii="Times New Roman" w:hAnsi="Times New Roman"/>
          <w:color w:val="000000" w:themeColor="text1"/>
          <w:sz w:val="16"/>
          <w:szCs w:val="16"/>
        </w:rPr>
        <w:softHyphen/>
        <w:t>тября комиссия приняла проект и утвердила макет (10667).</w:t>
      </w:r>
    </w:p>
    <w:p w14:paraId="2422A178"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F994F2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16 августа 1942 закончились полеты ЛаГГ-3 N 3123173 с двумя ПВРД ВРД-1 конструкции НИИ ГВФ и ИХФ М.М.Бондарюка, которые шли с 5 августа 1942. В 7 полетах отработали подачу горючего, регулировку состава смеси и системы зажигания, проверку пуска и работы на различных высотах и скоростных. В 7 полетах испытали пусковые качества и эффективность ПВРД и всего к Мищенко выполнил 14 полетов. Прирост скорости был 12-15 км/час, но повышенное сопротивления снимало 25-40 км/час (2448,8).</w:t>
      </w:r>
    </w:p>
    <w:p w14:paraId="177DC3B0" w14:textId="77777777" w:rsidR="00AE7191" w:rsidRPr="001E2C69" w:rsidRDefault="00AE7191" w:rsidP="00722885">
      <w:pPr>
        <w:pStyle w:val="Iauiue"/>
        <w:jc w:val="both"/>
        <w:rPr>
          <w:color w:val="000000" w:themeColor="text1"/>
          <w:sz w:val="16"/>
          <w:szCs w:val="16"/>
        </w:rPr>
      </w:pPr>
    </w:p>
    <w:p w14:paraId="4EC905D6"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10F1C6D9" w14:textId="77777777" w:rsidR="00AE7191" w:rsidRPr="001E2C69" w:rsidRDefault="00AE7191" w:rsidP="00722885">
      <w:pPr>
        <w:pStyle w:val="Iauiue"/>
        <w:jc w:val="both"/>
        <w:rPr>
          <w:iCs/>
          <w:color w:val="000000" w:themeColor="text1"/>
          <w:sz w:val="16"/>
          <w:szCs w:val="16"/>
        </w:rPr>
      </w:pPr>
    </w:p>
    <w:p w14:paraId="2666401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августа 1942 года на Софринском артиллерийском полигоне закончились полигонные испытания опытного образца СГ-122 в объеме 234 выстрела и 50 километров пробега, которые шли по инициативе ГАУ КА с 25 июля. В целом отмечалось, что кучность и скорострельность (при малых углах возвышения — 11–12 выстрелов в минуту, при больших — 5 выстрелов в минуту) у СГ-122 вполне удовлетворительные и практически соответствующие таковым для 122-мм полевой гаубицы М-30. В процессе ходовых испытаний отмечался недостаточный обзор с места механика-водителя (особенно вправо по ходу) и трудность вождения самоходки по пересеченной местности из-за смешения центра тяжести машины вперёд.</w:t>
      </w:r>
    </w:p>
    <w:p w14:paraId="3BB549E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изготовлении новых образцов СГ-122 комиссия, испытывавшая опытный образец, рекомендовала смонтировать откидные сиденья для экипажа и установить защиту панорамы гаубицы (в виде секторного броневого колпака).</w:t>
      </w:r>
    </w:p>
    <w:p w14:paraId="34E03E4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Несмотря на нежелание (в общем-то обоснованное) ГАБТУ КА заниматься СГ-122, руководство ГАУ КА и наркомата вооружения сумело «пробить» свою машину на самом верху (12688).</w:t>
      </w:r>
    </w:p>
    <w:p w14:paraId="19C278E6"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A85392A" w14:textId="77777777" w:rsidR="003B4C25" w:rsidRPr="008A2E5A" w:rsidRDefault="003B4C25" w:rsidP="003B4C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августа 1942 года закончились полигонные испытания СГ-122, которые шли с 25 июля 1942. Испытания стрельбой провели в гораздо большем объёме, чем планировалось изначально. Из гаубицы было произведено 234 выстрела, почти в 5 раз больше, чем изначально предполагалось. Скорострельность, в зависимости от угла наводки орудия, достигала от 5 до 11–12 выстрелов в минуту, то есть на уровне заводских испытаний. Время перехода САУ из походного положения в боевое составляло 20–25 секунд. Также были проведены ходовые испытания. В ходе езды по проселку и бездорожью средняя скорость составила 15 км/ч, а расход топлива около 300 литров на 100 километров. При таком расходе запас хода составил примерно 100 километров, то есть примерно столько же, сколько у StuG III.</w:t>
      </w:r>
    </w:p>
    <w:p w14:paraId="63EEE6D5" w14:textId="77777777" w:rsidR="003B4C25" w:rsidRPr="008A2E5A" w:rsidRDefault="003B4C25" w:rsidP="003B4C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итогам испытаний выяснилось, что вырос износ передних опорных катков. Связано это было с повышенной нагрузкой на носовую часть, поскольку появилась более тяжелая орудийная система и усиленное бронирование. Имелись претензии и к боевому отделению. И в исходном проекте, и в опытном образце сиденье предусматривалось только для механика-водителя. По этой причине испытатели указали на то, что откидные сиденья нужны для всех членов экипажа. Также не удалось проверить работу радиостанции, поскольку на опытной машине ее не было. Тем не менее, полигонные испытания СГ-122 выдержала, а претензии ГАБТУ КА посчитали недостаточными для прекращения работ. 7 сентября 1942 года был подписан договор между ГАУ КА и заводом №592 на выпуск первых пяти СГ-122. Стоимость переделки StuG III в СГ-122 оценивалась в 45 тысяч рублей. Правда, уже к 1 октября стало ясно, что ориентироваться придется не только на шасси StuG III, но и на Pz.Kpfw.III. Началась настоящая охота за трофейными машинами. Например, на заводах №176 и №535 НКВ нашли 4 Pz.Kpfw.III, которые оказались пригодными для переделки (23368).</w:t>
      </w:r>
    </w:p>
    <w:p w14:paraId="5F1A6CD8" w14:textId="77777777" w:rsidR="003B4C25" w:rsidRPr="008A2E5A" w:rsidRDefault="003B4C25" w:rsidP="003B4C25">
      <w:pPr>
        <w:spacing w:after="0" w:line="240" w:lineRule="auto"/>
        <w:jc w:val="both"/>
        <w:rPr>
          <w:rFonts w:ascii="Times New Roman" w:hAnsi="Times New Roman"/>
          <w:color w:val="0070C0"/>
          <w:sz w:val="16"/>
          <w:szCs w:val="16"/>
        </w:rPr>
      </w:pPr>
    </w:p>
    <w:p w14:paraId="3D8EEDFC" w14:textId="77777777" w:rsidR="004C1168" w:rsidRPr="001E2C69" w:rsidRDefault="004C116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К 16 августа 1942 были подготовлены тактико-техническим требованиям ГАБТУ КА, согласно которым предполагалось получить открытую сверху зенитную установку. По концепции зенитная башня Т-70 должна была несколько напоминать башню БА-64. Внутри размещался вертлюг-тумба, по типу БА-64 или немецких установок Sd.Kfz.221/222. Установка предполагалась одноместной, с круговым вращением и углами вертикальной наводки от -7 до +85 градусов. Для прицеливания предполагался авиационный коллиматорный прицел К-8Т. В случае с зенитной башней Т-60 использовалась переделанная штатная башня. Питание пулеметов предполагалось при помощи магазинов ёмкостью 42 патрона. Требования на сразу два типа зенитных танков объяснялось тем, что Т-60, уже снятый с производства, предполагался как база для переделки. Основным же явно считался Т-70, как находящийся в валовом производстве, а также предполагающий более просторное боевое отделение. Кроме того, зенитными башнями для Т-60 сильно интересовался Наркомфлот. Они хорошо подходили для вооружения бронекатеров (21193).</w:t>
      </w:r>
    </w:p>
    <w:p w14:paraId="2F4CC29A" w14:textId="77777777" w:rsidR="004C1168" w:rsidRPr="001E2C69" w:rsidRDefault="004C116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4A4C521"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16 августа 1942 вышло Постановление ГКО № 2175 О переводе в состав Северного флота пяти подводных лодок типа М, строящихся на заводе № 112 HКТП в г. Горьком. (7050, 26).</w:t>
      </w:r>
    </w:p>
    <w:p w14:paraId="502B57F5" w14:textId="77777777" w:rsidR="00AE7191" w:rsidRPr="001E2C69" w:rsidRDefault="00AE7191" w:rsidP="00722885">
      <w:pPr>
        <w:pStyle w:val="Iauiue"/>
        <w:tabs>
          <w:tab w:val="left" w:pos="11199"/>
        </w:tabs>
        <w:jc w:val="both"/>
        <w:rPr>
          <w:color w:val="000000" w:themeColor="text1"/>
          <w:sz w:val="16"/>
          <w:szCs w:val="16"/>
        </w:rPr>
      </w:pPr>
    </w:p>
    <w:p w14:paraId="29DA2B1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16 августа 1942 вышло Постановление ГКО № 2176 О строительстве двух электропечей на заводе № 174 Наркомтанкопрома. РГАНИР, Фонд ГКО, д. 52, лл. 27 (11012).</w:t>
      </w:r>
    </w:p>
    <w:p w14:paraId="31B4106F"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3E74E8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августа 1942 вышло Постановление ГКО № 2177 О производстве сотовых радиаторов к танкам Т-70 на заводе № 469 Наркомавиапрома. РГАНИР, Фонд ГКО, д. 52, лл. 28 (11012).</w:t>
      </w:r>
    </w:p>
    <w:p w14:paraId="3BBDB4CB"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7CD985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августа 1942 вышло Постановление ГКО № 2179 О строительстве в г. Кустанае Казахской ССР завода № 507-а Наркомтекстиля СССР по производству вискозно-минометных порохов. РГАНИР, Фонд ГКО, д. 52, лл. 32-34, 35 (11012).</w:t>
      </w:r>
    </w:p>
    <w:p w14:paraId="255A8EE9"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E294EC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августа 1942 вышло Постановление ГКО № 2180 О восстановлении военной приемки ГАУ КА на заводе № 92. Наркомвооружения. РГАНИР, Фонд ГКО, д. 52, лл. 36 (11012).</w:t>
      </w:r>
    </w:p>
    <w:p w14:paraId="31C0ACE5"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7B59D4A"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1D600065" w14:textId="77777777" w:rsidR="00AE7191" w:rsidRPr="001E2C69" w:rsidRDefault="00AE7191" w:rsidP="00722885">
      <w:pPr>
        <w:pStyle w:val="Iauiue"/>
        <w:jc w:val="both"/>
        <w:rPr>
          <w:iCs/>
          <w:color w:val="000000" w:themeColor="text1"/>
          <w:sz w:val="16"/>
          <w:szCs w:val="16"/>
        </w:rPr>
      </w:pPr>
    </w:p>
    <w:p w14:paraId="06FBD45F"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августа в 1942 году утреннее сообщение Совинформбюро:</w:t>
      </w:r>
    </w:p>
    <w:p w14:paraId="060F0467"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16 августа наши войска вели бои с противником в районах юго-восточнее Клетская, северо-восточнее Котельниково, а также в районах Минеральные Воды, Черкесск, Майкоп и Краснодар.</w:t>
      </w:r>
    </w:p>
    <w:p w14:paraId="09288643"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изменении не произошло.</w:t>
      </w:r>
    </w:p>
    <w:p w14:paraId="72B37D92"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Юго-восточнее Клетской наши войска отбивали многочисленные атаки противника. Большой урон гитлеровцам наносят советские артиллеристы. На одном участке в расположение наших войск прорвались 5 немецких танков. Расчёт под командованием младшего лейтенанта т. Гуськова выкатил орудие на открытую огневую позицию. Тов. Гуськов сам стал за наводчика и несколькими выстрелами поджёг три немецких танка. Наводчик другого орудия тов. Володин заметил приближающуюся автоколонну с пехотой противника. Первыми выстрелами он поджёг головную и заднюю машины. Продолжая обстреливать гитлеровцев, тов. Володин уничтожил 26 автомашин и повозок с пехотой противника.</w:t>
      </w:r>
    </w:p>
    <w:p w14:paraId="6AE543F2"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Краснодара немцы под прикрытием авиации и артиллерии пытались навести переправы через реку Жубань. Советские лётчики разрушили переправы и нанесли удары по танкам и мотопехоте противника. Переправившиеся через реку 150 немецких автоматчиков окружены и уничтожены.</w:t>
      </w:r>
    </w:p>
    <w:p w14:paraId="786C8921"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Майкопа наши войска отбили атаку противника и уничтожили 11 немецких танков, 24 автомашины и свыше 400 гитлеровцев.</w:t>
      </w:r>
    </w:p>
    <w:p w14:paraId="76D5BEAE"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Минеральных Вод численно превосходящие силы противника потеснилиодну нашу часть. В ходе боёв уничтожено 6 танков и более 250 немецких солдат и офицеров.</w:t>
      </w:r>
    </w:p>
    <w:p w14:paraId="0101179E"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наши части вели активные боевые действия и продвинулись вперёд. Уничтожено до 1.200 немецких солдат и офицеров. На западном берегу реки Дон после двухчасовой артиллерийской подготовки два батальона пьяных венгров перешли в контратаку на пункт Г. Встреченные миномётным и пулемётным огнём наших бойцов венгры были рассеяны. Они отступили, потеряв убитыми и ранеными несколько сот солдат и офицеров.</w:t>
      </w:r>
    </w:p>
    <w:p w14:paraId="21F3CC5C"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Брянском фронте пехотный полк и мотострелковый батальон противника атаковали наши позиции. Советские части перешли в контратаку и к исходу дня выбили гитлеровцев из одного населённого пункта. Взятые в плен немецкие солдаты сообщили, что в результате огромных потерь 541 и 542 немецкие пехотные полки сведены в один полк. В 543 полку осталось меньше половины личного состава.</w:t>
      </w:r>
    </w:p>
    <w:p w14:paraId="20F3B599"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дня в воздушных боях и огнём зенитной артиллерии сбито 8 и подбито 3 немецких самолёта. Кроме того, наши лётчики уничтожили до 20 немецких танков, 85 автомашин и 8 орудий.</w:t>
      </w:r>
    </w:p>
    <w:p w14:paraId="408A7B32"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Мурманска две группы немецких самолётов пытались прорваться к городу. Наши истребители на подступах к городу рассеяли самолёты противника. Сбито 4 немецких самолёта.</w:t>
      </w:r>
    </w:p>
    <w:p w14:paraId="1BA50FBC"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захватчики бросили против партизан Ленинградской области крупную карательную экспедицию в составе 2.000 солдат и офицеров, 10 танков, 2 бронемашин и группы самолётов. Перед карателями была поставлена задача разгромить партизанские отряды под командованием тт. В. и О. Советские патриоты проявили исключительную стойкость в борьбе с врагом. В ходе боёв партизаны уничтожили 6 немецких танков и истребили до 500 гитлеровцев.</w:t>
      </w:r>
    </w:p>
    <w:p w14:paraId="265963EF"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Немецкий ефрейтор Сепп Кнейдль писал сестре Терезе в Мюнхен: «С 28 июля я болею дизентерией, но командир роты не пустил меня в лазарет. Он заявил, что остро нуждается в людях и не может отпускать ни одного человека. Мне пришлось идти в окопы. Больных тут довольно много, но нам говорят, что надо забыть о болезнях. Это очень несправедливо, но ничего нельзя сделать».</w:t>
      </w:r>
    </w:p>
    <w:p w14:paraId="4E5B89FC"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захватчики насильно отправляют на принудительные работы в Германию население оккупированных советских районов. Из деревень Струго-Красненского района, Ленинградской области, гитлеровцы угнали больше 300 женщин и девушек в возрасте от 15 до 45 лет. В селе Обод 11 девушек заявили, что они никуда не поедут со своей родины. Фашистские мерзавцы их зверски избили и повесили на улице села.</w:t>
      </w:r>
    </w:p>
    <w:p w14:paraId="28C9714C"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городе Хельсинки (Финляндия) толпа голодных женщин разгромила несколько продовольственных магазинов. В окрестностях Турку скрывающиеся в лесах дезертиры из финской армии отбили у немцев 4 грузовика с консервами и несколько подвод с мукой. Пять немецких солдат, оказавших сопротивление, были убиты.» (14985).</w:t>
      </w:r>
    </w:p>
    <w:p w14:paraId="530C47E6"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192F33D9"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августа в 1942 году вечернее сообщение Совинформбюро:</w:t>
      </w:r>
    </w:p>
    <w:p w14:paraId="42E4D7E2"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16 августа наши войска вели бои в районах юго-восточнее Клетская, северо-восточнее Котельниково, а также в районах Минеральные Воды и Краснодар.</w:t>
      </w:r>
    </w:p>
    <w:p w14:paraId="603AE0F3"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 войска оставили город Майкоп. Оборудование майкопских нефтепромыслов и все наличные запасы нефти своевременно вывезены, а сами нефтепромыслы приведеныв полную негодность. Немецкие фашисты, рассчитывавшие то взятием Майкопа поживиться за счёт советской нефти, просчитались: советской нефти они не получили и не получат.</w:t>
      </w:r>
    </w:p>
    <w:p w14:paraId="4DD4C10A"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75FE72A6"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истекшую неделю, с 9 по 15 августа включительно, в воздушных боях, на аэродромах и огнём зенитной артиллерии уничтожено 369 немецких самолётов. Наши потери за этот же период 241 самолёт.</w:t>
      </w:r>
    </w:p>
    <w:p w14:paraId="3D81383A"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15 августа частями нашей авиации на различных участках фронта уничтожено или повреждено до 30 немецких танков и бронемашин, до 200 автомашин с войсками и грузами, 60 повозок, взорвано 4 склада боеприпасов, подавлен огонь 6 батарей полевой и зенитной артиллерии, разбит железнодорожный состав, потоплен транспорт водоизмещением в 3.000 тонн, рассеяно и частью уничтожено до двух батальонов пехоты и эскадрон конницы противника.</w:t>
      </w:r>
    </w:p>
    <w:p w14:paraId="2156CE88"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юго-восточнее Клетской наши войска вели напряжённые оборонительные бои с противником. На участке Н-ского стрелкового полка немцы предприняли несколько атак. Наши бойцы встретили врага артиллерийским и ружейно-пулемётным огнём. Ценой больших потерь гитлеровцам удалось вклиниться в передний край нашей обороны. На другом участке наша разведка обнаружила колонну немецких танков иследовавшую за ней пехоту. Артиллеристы открыли мощный огонь по колонне и уничтожили 14 немецких танков и несколько сот гитлеровцев.</w:t>
      </w:r>
    </w:p>
    <w:p w14:paraId="1A3DF97F"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Н-ская стрелковая часть отбила несколько атак противника и, перейдя в контратаку, разгромила румынский полк. Захвачено свыше сотни пленных и трофеи. Отвагу и мужество проявили бойцы стрелкового взвода под командованием лейтенанта Соловьёва. Они в течение нескольких часов сдерживали сильный натиск противника и уничтожили не менее 150 гитлеровцев. Когда на помощь взводу подошли бойцы другой части, смельчаки первыми бросились в контратаку и потеснили гитлеровцев.</w:t>
      </w:r>
    </w:p>
    <w:p w14:paraId="5699388E"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Краснодара наши войска отбивали ожесточённые атаки танков и мотопехоты противника. На участке Н-ского соединения уничтожено 9 танков, 12 автомашин, 5 орудии, из них 2 самоходных, и свыше 300 немецких солдат иофицеров. Огнём артиллерии и миномётов разрушена переправа через реку и рассеяно скопление танков и мотопехоты неприятеля.</w:t>
      </w:r>
    </w:p>
    <w:p w14:paraId="4F1B7AFF"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Минеральных Вод наши части под давлением численно превосходящих сил врага с боями отошли на новые позиции.</w:t>
      </w:r>
    </w:p>
    <w:p w14:paraId="6C4A798D"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наши войска отражали атаки противника, стремившегося вернуть оборонительные рубежи, потерянные им в предыдущих боях. На западном берегу реки Дон крупные силы противника перешли в наступление и ворвались в населённый пункт. Идут упорные уличные бои.</w:t>
      </w:r>
    </w:p>
    <w:p w14:paraId="00260C2A"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Действиями нашей авиации за день уничтожено 4 немецких танка, 20 автомашин, подавлен огонь артиллерийской батареи, рассеяно и частью уничтожено до двух рот пехоты противника.</w:t>
      </w:r>
    </w:p>
    <w:p w14:paraId="4EAD5723"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ленинградских партизан под командованием тов. З. совершил нападение на гарнизон противника, расположенный в деревне И. Партизаны истребили 55 немецких солдат, двух офицеров и захватили штабные документы.</w:t>
      </w:r>
    </w:p>
    <w:p w14:paraId="6AF4B62D"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сторону Красной Армии перешла группа поляков — солдат 489 полка 269 немецкой пехотной дивизии. Пленные сообщили, что в связи с огромными людскими потерями немецких войск на советско-германском фронте Гитлер еще весной провёл мобилизацию поляков в германскую армию. Перебежчик Н. заявил: «В казармах и на фронте обер-лейтенант Шреде и другие офицеры нам говорили: «Теперь вы все немцы. Нет больше поляков». Эти тупые гитлеровцы думали, что можно одним приказом превратить всех поляков в покорных рабов.</w:t>
      </w:r>
    </w:p>
    <w:p w14:paraId="48FDCA1E"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Несмотря на усиленный надзор из 1 батальона в течение нескольких дней сбежало к русским 6 человек. Командир батальона собрал всех солдат-поляков и сказал: «За последние дни 6 солдат-поляков перешли к русским. Что же будет через месяц? Вы, наверное, все удерёте к русским? Поэтому вы до особого распоряжения отводитесь втыл». Нас разоружили, дали нам лопаты и послали ремонтировать дороги. Но и из тыла нам удалось уйти от гитлеровцев».</w:t>
      </w:r>
    </w:p>
    <w:p w14:paraId="4B3FBEC9"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захватчики истребляют мирное население оккупированных районов Украины. В гор. Николаеве гестаповцы 27 июля обнаружили труп убитого немецкого офицера. Это послужило поводом к новой зверской расправе над мирным населением. За одну ночь гитлеровские бандиты арестовали больше 120 человек, вывезли их за город и всех расстреляли.</w:t>
      </w:r>
    </w:p>
    <w:p w14:paraId="6786EF59"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польских патриотов истребил в Люблинских лесах свыше 100 оккупантов и взорвал на железнодорожной станции эшелон с горючим.» (14985).</w:t>
      </w:r>
    </w:p>
    <w:p w14:paraId="3E990A5D"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102F743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августа 1942 вышло Постановление ГКО № 2178 О восстановлении 8 воздушно-десантных корпусов и 5 воздушно-десантных маневренных бригаРГАНИР, Фонд ГКО, д. РГАНИР, Фонд ГКО, д. 52, лл. 29-30, 31 (11012).</w:t>
      </w:r>
    </w:p>
    <w:p w14:paraId="078B3BEE"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386BEE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августа 1942 Издание приказа Ставки Верховного Главнокомандования «О недостатках в организации управления войсками». август—декабрь Поступление в войска радиостанции 13Р (11072).</w:t>
      </w:r>
    </w:p>
    <w:p w14:paraId="63575D0B"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9994BC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августа 1941 немецкие бомбардировщики совершили налет на Сталинградскую ГРЭС в пос. Бекетовка, сбросив на нее тяжелые фугасные бомбы. Одна из них разорвалась над турбиной № 3, полностью разрушив помещение машинного зала, вторая попала в помещение углеподачи. Погиб слесарь турбинного цеха А.В. Парамонов и получил тяжелые ранения ученик слесаря Н. Сердюков. Германская авиация продолжала наращивать свои силы на Сталинградском направлении. Генерал-оберст фон Рихтхофен издал приказ:  «Борьба за Сталинград, красную твердыню, разгорается. Люфтваффе должны с помощью уничтожающих ударов привести эту битву к решению. Я жду от командиров частей и соединений 4-го воздушного флота в воздухе и на земле, на фронте и в тыловых районах последней самоотдачи и твердой воли к победе» (11774).</w:t>
      </w:r>
    </w:p>
    <w:p w14:paraId="78FC265E"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C58DCA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16 августа 1942 НКВМФ Н.Г.Кузнецов выпустил директиву N 8/193 об активизации действий авиации КБФ (2120).</w:t>
      </w:r>
    </w:p>
    <w:p w14:paraId="78150FAF" w14:textId="77777777" w:rsidR="00AE7191" w:rsidRPr="001E2C69" w:rsidRDefault="00AE7191" w:rsidP="00722885">
      <w:pPr>
        <w:pStyle w:val="Iauiue"/>
        <w:jc w:val="both"/>
        <w:rPr>
          <w:color w:val="000000" w:themeColor="text1"/>
          <w:sz w:val="16"/>
          <w:szCs w:val="16"/>
        </w:rPr>
      </w:pPr>
    </w:p>
    <w:p w14:paraId="5B07AEE0"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августа в 1942 году в соответствии с директивой, подписанной начальником Генерального штаба германских сухопутных войск Ф.Гальдером все подразделения и части, сформированные из советских граждан, стали называться восточными войсками, а их военнослужащие — добровольцами (14985).</w:t>
      </w:r>
    </w:p>
    <w:p w14:paraId="50CC9C6B"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549994EE"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августа в 1942 году (16-30 августа) рейд немецкого крейсера «Адмирал Шеер» в Карское море (14985).</w:t>
      </w:r>
    </w:p>
    <w:p w14:paraId="22F3430F"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69604CB2"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августа в 1942 году противник захватил Клухорский перевал Главного Кавказского хребта (14985).</w:t>
      </w:r>
    </w:p>
    <w:p w14:paraId="2E6B35FC"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6202DEE9"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232E6CBC" w14:textId="77777777" w:rsidR="00AE7191" w:rsidRPr="001E2C69" w:rsidRDefault="00AE7191" w:rsidP="00722885">
      <w:pPr>
        <w:pStyle w:val="Iauiue"/>
        <w:jc w:val="both"/>
        <w:rPr>
          <w:iCs/>
          <w:color w:val="000000" w:themeColor="text1"/>
          <w:sz w:val="16"/>
          <w:szCs w:val="16"/>
        </w:rPr>
      </w:pPr>
    </w:p>
    <w:p w14:paraId="470E24D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августа 1942 года было проведено второе испытание «А-4». Сначала все шло хорошо, и в тот день «А-4» стала первой в мире ракетой, преодолевшей скорость звука. Однако в полете у нее оторвало носовой конус и «А-4» разрушилась, не выполнив программу.</w:t>
      </w:r>
    </w:p>
    <w:p w14:paraId="04A81CF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Неудачи с двумя первыми ракетами «А-4» заставили инженеров и ученых разработать и провести серию всевозможных стеновых испытаний, прежде чем запускать третью ракету (11688).</w:t>
      </w:r>
    </w:p>
    <w:p w14:paraId="406B961B"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32061C3" w14:textId="77777777" w:rsidR="003B4C25" w:rsidRPr="008A2E5A" w:rsidRDefault="003B4C25" w:rsidP="003B4C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августа 1942  г. ракета А-4 № 3 взлетела хорошо и устремилась по вертикали в небо. Но потом у неё оторвался носовой конус, ракета сошла с траектории и упала на удалении 8,7 км от стартовой площадки. Двигатель проработал 45 секунд (23372).</w:t>
      </w:r>
    </w:p>
    <w:p w14:paraId="4C535B11" w14:textId="77777777" w:rsidR="003B4C25" w:rsidRPr="008A2E5A" w:rsidRDefault="003B4C25" w:rsidP="003B4C25">
      <w:pPr>
        <w:spacing w:after="0" w:line="240" w:lineRule="auto"/>
        <w:jc w:val="both"/>
        <w:rPr>
          <w:rFonts w:ascii="Times New Roman" w:hAnsi="Times New Roman"/>
          <w:color w:val="0070C0"/>
          <w:sz w:val="16"/>
          <w:szCs w:val="16"/>
        </w:rPr>
      </w:pPr>
    </w:p>
    <w:p w14:paraId="7A6A5F0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августа 1942 года дирижабль L-8 с базы флота воздушных кораблей Сан-Франциско стартовал для патрулирования побережья Калифорнии. Стояла прекрасная погода. Через два часа после начала выполнения боевой задачи база получила радиосообщение от командира корабля, что на поверхности моря в пяти милях к востоку от Фараллонских островов («Бермудский треугольник») обнаружено большое нефтяное пятно и команда приступает к его исследованию. Через 15 минут база запросила по радио L-8, но не получила ответа. Повторные вызовы дирижабля ни к чему не привели. Была объявлена тревога, и на поиск замолчавшего воздушного корабля отправились два поисковых самолета. В течение нескольких часов они тщательно обследовали акваторию Фараллонских островов. Никаких результатов. Около полудня из одного из пригородов Сан-Франциско в Калифорнии [466] пришло сообщение, что на центральную улицу приземлился какой-то дирижабль. Собравшаяся толпа жителей города удерживала корабль, пока не прибыла полиция и пожарные. Вскоре появились и спасатели. Они сразу определили, что это был L-8. Поднявшись на борт дирижабля, спасатели были поражены — экипаж отсутствовал. В кабине остались все личные вещи команды, парашюты и спасательный плот. Радиопередатчик был в полной исправности, а на столике командира стояла полупустая чашка кофе. Двигатели были в порядке, топливные баки заполнены горючим, оболочка корпуса повреждений не имела. И никаких признаков экипажа. В течение нескольких дней велся поиск исчезнувшей команды. Даже если бы они все выбросились в море и утонули, спасательные жилеты, которые не снимались в течение всего полета, удерживали бы тела на плаву. Никакого логического объяснения этому таинственному случаю не найдено до сих пор (11324).</w:t>
      </w:r>
    </w:p>
    <w:p w14:paraId="5DCB70FE"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0BAB2FD"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16 августа 1942 в Египте впервые против немцев вступили в бой американские самолеты (4962).</w:t>
      </w:r>
    </w:p>
    <w:p w14:paraId="75717145" w14:textId="77777777" w:rsidR="00AE7191" w:rsidRPr="001E2C69" w:rsidRDefault="00AE7191" w:rsidP="00722885">
      <w:pPr>
        <w:pStyle w:val="Iauiue"/>
        <w:tabs>
          <w:tab w:val="left" w:pos="11199"/>
        </w:tabs>
        <w:jc w:val="both"/>
        <w:rPr>
          <w:color w:val="000000" w:themeColor="text1"/>
          <w:sz w:val="16"/>
          <w:szCs w:val="16"/>
        </w:rPr>
      </w:pPr>
    </w:p>
    <w:p w14:paraId="1C134A5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16 августа 1942 ВВС США бомбили немцев в африканской пустыне (2261).</w:t>
      </w:r>
    </w:p>
    <w:p w14:paraId="2B17E990" w14:textId="77777777" w:rsidR="00AE7191" w:rsidRPr="001E2C69" w:rsidRDefault="00AE7191" w:rsidP="00722885">
      <w:pPr>
        <w:pStyle w:val="Iauiue"/>
        <w:jc w:val="both"/>
        <w:rPr>
          <w:color w:val="000000" w:themeColor="text1"/>
          <w:sz w:val="16"/>
          <w:szCs w:val="16"/>
        </w:rPr>
      </w:pPr>
    </w:p>
    <w:p w14:paraId="53525C82" w14:textId="77777777" w:rsidR="004C1168" w:rsidRPr="001E2C69" w:rsidRDefault="004C11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 августа 1942 во время обычного противолодочного патрулирования над Тихим океаном у побережья Калифорнии экипаж из двух человек дирижабля L-8 ВМС США исчезает. Затем беспилотный дирижабль пролетает над Калифорнией и в конечном итоге разбивается на улице в Дейли-Сити, Калифорния. В ходе расследования ВМС США пришли к выводу, что экипаж добровольно покинул дирижабль без парашютов , но не определяет причин, по которым они это сделали. L-8 отремонтирован и возвращается в строй, но никаких следов двух пропавших без вести членов экипажа так и не найдено (20793).</w:t>
      </w:r>
    </w:p>
    <w:p w14:paraId="19B3BE72" w14:textId="77777777" w:rsidR="004C1168" w:rsidRPr="001E2C69" w:rsidRDefault="004C1168" w:rsidP="00722885">
      <w:pPr>
        <w:spacing w:after="0" w:line="240" w:lineRule="auto"/>
        <w:jc w:val="both"/>
        <w:rPr>
          <w:rFonts w:ascii="Times New Roman" w:hAnsi="Times New Roman"/>
          <w:color w:val="000000" w:themeColor="text1"/>
          <w:sz w:val="16"/>
          <w:szCs w:val="16"/>
        </w:rPr>
      </w:pPr>
    </w:p>
    <w:p w14:paraId="4F67F9C0"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62E51CAE" w14:textId="77777777" w:rsidR="00AE7191" w:rsidRPr="001E2C69" w:rsidRDefault="00AE7191" w:rsidP="00722885">
      <w:pPr>
        <w:pStyle w:val="Iauiue"/>
        <w:jc w:val="both"/>
        <w:rPr>
          <w:iCs/>
          <w:color w:val="000000" w:themeColor="text1"/>
          <w:sz w:val="16"/>
          <w:szCs w:val="16"/>
        </w:rPr>
      </w:pPr>
    </w:p>
    <w:p w14:paraId="0A8A289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17 августа 1942 Нач. ГУЗ и ТС Алексеев писал Зам. НКАП П.Воронину письмо N 376287 по вопросу модернизации вооружения Ил-2:</w:t>
      </w:r>
    </w:p>
    <w:p w14:paraId="7142DE9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"Препровождаю вам копию заключения НИП АВ ВВС КА по испытаниям Ил-2 постройки завода 30 с модернизированным бомбардировочно-химическим вооружением.</w:t>
      </w:r>
    </w:p>
    <w:p w14:paraId="2D63707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Прошу указаний директорам заводов 1, 18, 30, 381 ввести в серию на самолетах Ил-2 приспособления для загрузки и сбрасывания мелких бомб и ампул без применения кассет КМБ-Ил-2 и замену наружных бомбодержателей замками ДЗ-40." (1532,9).</w:t>
      </w:r>
    </w:p>
    <w:p w14:paraId="5ADDBAD3" w14:textId="77777777" w:rsidR="00AE7191" w:rsidRPr="001E2C69" w:rsidRDefault="00AE7191" w:rsidP="00722885">
      <w:pPr>
        <w:pStyle w:val="Iauiue"/>
        <w:jc w:val="both"/>
        <w:rPr>
          <w:color w:val="000000" w:themeColor="text1"/>
          <w:sz w:val="16"/>
          <w:szCs w:val="16"/>
        </w:rPr>
      </w:pPr>
    </w:p>
    <w:p w14:paraId="075522B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17 августа 1942 Командующий ВВС Новиков и Чл. Военсовета Руденко написали А.И.Ш. письмо N 376269:</w:t>
      </w:r>
    </w:p>
    <w:p w14:paraId="6820CBA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"Опыт боевой работы штурмовой авиации доказывает необходимость защиты задней полусферы самолета Ил-2 размещением стрелка и установкой п Березина во 2-й кабине. Фронт требует также разведывательных самолетов и самолетов корректировщиков артогня. Оборудование для этих целей 2-х местных самолетов Ил-2 удовлетворит это требование фронта.</w:t>
      </w:r>
    </w:p>
    <w:p w14:paraId="4D326A7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Прошу Вашего указания ГК С.В.И. срочно разработать и изготовить опытные образцы 2-х местного самолета Ил-2 в варианте штурмовика, разведчика и корректировщика (1632,297).</w:t>
      </w:r>
    </w:p>
    <w:p w14:paraId="222C118F" w14:textId="77777777" w:rsidR="00AE7191" w:rsidRPr="001E2C69" w:rsidRDefault="00AE7191" w:rsidP="00722885">
      <w:pPr>
        <w:pStyle w:val="Iauiue"/>
        <w:jc w:val="both"/>
        <w:rPr>
          <w:color w:val="000000" w:themeColor="text1"/>
          <w:sz w:val="16"/>
          <w:szCs w:val="16"/>
        </w:rPr>
      </w:pPr>
    </w:p>
    <w:p w14:paraId="0FAA4DC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17 августа 1942 Дементьев писал Репину письмо N Н-36/2757</w:t>
      </w:r>
    </w:p>
    <w:p w14:paraId="13759E7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"Прошу Вашего разрешения на выпуск заводом 30 самолетов Ил-2 с лонжеронами рулей из клепаных труб из имеющегося на 16 июля с.г. задела по сборочному цеху.</w:t>
      </w:r>
    </w:p>
    <w:p w14:paraId="224BE07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Проведенными статиспытаниями и эксплуатацией самолетов завода 30 установлено, что клепаные трубы лонжеронов имеют значительный запас прочности и допускают нормальную эксплуатацию рулей (1633,168).</w:t>
      </w:r>
    </w:p>
    <w:p w14:paraId="53EE19E7" w14:textId="77777777" w:rsidR="00AE7191" w:rsidRPr="001E2C69" w:rsidRDefault="00AE7191" w:rsidP="00722885">
      <w:pPr>
        <w:pStyle w:val="Iauiue"/>
        <w:jc w:val="both"/>
        <w:rPr>
          <w:color w:val="000000" w:themeColor="text1"/>
          <w:sz w:val="16"/>
          <w:szCs w:val="16"/>
        </w:rPr>
      </w:pPr>
    </w:p>
    <w:p w14:paraId="70649E5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17 августа 1942 общий налет Ил-2 М-82, проходившего испытания на аэродроме НИИ ВВС в Кольцово, составил 6 ч 6 мин (8 полетов). В течение августа — сентября 1942 на аэродроме НИИ ВВС в Колъцово доводился и проходили заводские испытания Ил-2 М-82 адноместного, постройки завода № 381 28 авпреля 1942. Самолет летал с полной загрузкой горючим и маслом, безбомб и боеприпасов. В воздухе самолет вел себя устойчиво. Макси</w:t>
      </w:r>
      <w:r w:rsidRPr="001E2C69">
        <w:rPr>
          <w:rFonts w:ascii="Times New Roman" w:hAnsi="Times New Roman"/>
          <w:color w:val="000000" w:themeColor="text1"/>
          <w:sz w:val="16"/>
          <w:szCs w:val="16"/>
        </w:rPr>
        <w:softHyphen/>
        <w:t xml:space="preserve">мальная скорость у земли достигала 375 </w:t>
      </w:r>
      <w:r w:rsidRPr="001E2C69">
        <w:rPr>
          <w:rFonts w:ascii="Times New Roman" w:hAnsi="Times New Roman"/>
          <w:color w:val="000000" w:themeColor="text1"/>
          <w:sz w:val="16"/>
          <w:szCs w:val="16"/>
        </w:rPr>
        <w:lastRenderedPageBreak/>
        <w:t>км/ч. Мотор работал хо</w:t>
      </w:r>
      <w:r w:rsidRPr="001E2C69">
        <w:rPr>
          <w:rFonts w:ascii="Times New Roman" w:hAnsi="Times New Roman"/>
          <w:color w:val="000000" w:themeColor="text1"/>
          <w:sz w:val="16"/>
          <w:szCs w:val="16"/>
        </w:rPr>
        <w:softHyphen/>
        <w:t>рошо. Однако после каждого полета появлялись трещины на сек</w:t>
      </w:r>
      <w:r w:rsidRPr="001E2C69">
        <w:rPr>
          <w:rFonts w:ascii="Times New Roman" w:hAnsi="Times New Roman"/>
          <w:color w:val="000000" w:themeColor="text1"/>
          <w:sz w:val="16"/>
          <w:szCs w:val="16"/>
        </w:rPr>
        <w:softHyphen/>
        <w:t>циях выхлопного коллектора. Пришлось поставить коллектор из нержавеющей стали толщиной 1,5 мм. Усилили крепление бро</w:t>
      </w:r>
      <w:r w:rsidRPr="001E2C69">
        <w:rPr>
          <w:rFonts w:ascii="Times New Roman" w:hAnsi="Times New Roman"/>
          <w:color w:val="000000" w:themeColor="text1"/>
          <w:sz w:val="16"/>
          <w:szCs w:val="16"/>
        </w:rPr>
        <w:softHyphen/>
        <w:t>невых нижних крышек капота мотора. 25 августа при проведении испытаний на определение границ высотности прогорел выхлоп</w:t>
      </w:r>
      <w:r w:rsidRPr="001E2C69">
        <w:rPr>
          <w:rFonts w:ascii="Times New Roman" w:hAnsi="Times New Roman"/>
          <w:color w:val="000000" w:themeColor="text1"/>
          <w:sz w:val="16"/>
          <w:szCs w:val="16"/>
        </w:rPr>
        <w:softHyphen/>
        <w:t>ной клапан и обнаружился задир поршня. «Пропала» компрессия. Мотор признали непригодным к эксплуатации. Планирова</w:t>
      </w:r>
      <w:r w:rsidRPr="001E2C69">
        <w:rPr>
          <w:rFonts w:ascii="Times New Roman" w:hAnsi="Times New Roman"/>
          <w:color w:val="000000" w:themeColor="text1"/>
          <w:sz w:val="16"/>
          <w:szCs w:val="16"/>
        </w:rPr>
        <w:softHyphen/>
        <w:t>лась его замена и продолжение полетов. Что с самолетом стало в дальнейшем — неясно (11474,285).</w:t>
      </w:r>
    </w:p>
    <w:p w14:paraId="5F1C41C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5A137F93" w14:textId="1012CB17" w:rsidR="009F0796" w:rsidRPr="001E2C69" w:rsidRDefault="009F0796" w:rsidP="00722885">
      <w:pPr>
        <w:pStyle w:val="af"/>
        <w:spacing w:before="0" w:after="0"/>
        <w:jc w:val="both"/>
        <w:textAlignment w:val="baseline"/>
        <w:rPr>
          <w:color w:val="000000" w:themeColor="text1"/>
          <w:sz w:val="16"/>
          <w:szCs w:val="16"/>
        </w:rPr>
      </w:pPr>
      <w:r w:rsidRPr="001E2C69">
        <w:rPr>
          <w:color w:val="000000" w:themeColor="text1"/>
          <w:sz w:val="16"/>
          <w:szCs w:val="16"/>
        </w:rPr>
        <w:t>17 августа 1942</w:t>
      </w:r>
      <w:r w:rsidR="001E2C69">
        <w:rPr>
          <w:color w:val="000000" w:themeColor="text1"/>
          <w:sz w:val="16"/>
          <w:szCs w:val="16"/>
        </w:rPr>
        <w:t xml:space="preserve">   </w:t>
      </w:r>
      <w:r w:rsidRPr="001E2C69">
        <w:rPr>
          <w:color w:val="000000" w:themeColor="text1"/>
          <w:sz w:val="16"/>
          <w:szCs w:val="16"/>
        </w:rPr>
        <w:t>г. над Куйбышевом пролетал Ju-88D из 2-й эскадрильи. Бортрадист фельдфебель Макс Лагода, участвовавший в этом сверхдальнем вылете, продолжительностью свыше восьми часов, вспоминал:</w:t>
      </w:r>
    </w:p>
    <w:p w14:paraId="39120AE9" w14:textId="77777777" w:rsidR="009F0796" w:rsidRPr="001E2C69" w:rsidRDefault="009F0796" w:rsidP="00722885">
      <w:pPr>
        <w:pStyle w:val="af"/>
        <w:spacing w:before="0" w:after="0"/>
        <w:jc w:val="both"/>
        <w:textAlignment w:val="baseline"/>
        <w:rPr>
          <w:iCs/>
          <w:color w:val="000000" w:themeColor="text1"/>
          <w:sz w:val="16"/>
          <w:szCs w:val="16"/>
          <w:bdr w:val="none" w:sz="0" w:space="0" w:color="auto" w:frame="1"/>
        </w:rPr>
      </w:pPr>
      <w:r w:rsidRPr="001E2C69">
        <w:rPr>
          <w:iCs/>
          <w:color w:val="000000" w:themeColor="text1"/>
          <w:sz w:val="16"/>
          <w:szCs w:val="16"/>
          <w:bdr w:val="none" w:sz="0" w:space="0" w:color="auto" w:frame="1"/>
        </w:rPr>
        <w:t>«Первое из этих заданий, длившееся 480 минут, проходило над Куйбышевом, Саратовом, Сталинградом и устьем Волги в районе Астрахани. Я побывал над резиденцией русского правительства в Куйбышеве на реке Волге. Здесь были сосредоточены крупные промышленные предприятия и особенно авиационные и авиамоторные заводы»[6].</w:t>
      </w:r>
    </w:p>
    <w:p w14:paraId="043964B0" w14:textId="77777777" w:rsidR="009F0796" w:rsidRPr="001E2C69" w:rsidRDefault="009F0796" w:rsidP="00722885">
      <w:pPr>
        <w:pStyle w:val="af"/>
        <w:spacing w:before="0" w:after="0"/>
        <w:jc w:val="both"/>
        <w:textAlignment w:val="baseline"/>
        <w:rPr>
          <w:color w:val="000000" w:themeColor="text1"/>
          <w:sz w:val="16"/>
          <w:szCs w:val="16"/>
        </w:rPr>
      </w:pPr>
      <w:r w:rsidRPr="001E2C69">
        <w:rPr>
          <w:color w:val="000000" w:themeColor="text1"/>
          <w:sz w:val="16"/>
          <w:szCs w:val="16"/>
        </w:rPr>
        <w:t>Только за июль — август над территорией Куйбышевского корпусного района ПВО было зафиксировано 39 самолето-пролетов. Истребители базировавшейся здесь 141-й иад ПВО много раз поднимались на перехват, но всякий раз безуспешно.</w:t>
      </w:r>
    </w:p>
    <w:p w14:paraId="28D877D3" w14:textId="7573E8D0" w:rsidR="009F0796" w:rsidRPr="001E2C69" w:rsidRDefault="009F0796" w:rsidP="00722885">
      <w:pPr>
        <w:pStyle w:val="af"/>
        <w:spacing w:before="0" w:after="0"/>
        <w:jc w:val="both"/>
        <w:textAlignment w:val="baseline"/>
        <w:rPr>
          <w:color w:val="000000" w:themeColor="text1"/>
          <w:sz w:val="16"/>
          <w:szCs w:val="16"/>
        </w:rPr>
      </w:pPr>
      <w:r w:rsidRPr="001E2C69">
        <w:rPr>
          <w:color w:val="000000" w:themeColor="text1"/>
          <w:sz w:val="16"/>
          <w:szCs w:val="16"/>
        </w:rPr>
        <w:t>немцы знали обо всех стратегических объектах, расположенных здесь. На аэрофотоснимках и картах обозначены авиамоторный завод №</w:t>
      </w:r>
      <w:r w:rsidR="001E2C69">
        <w:rPr>
          <w:color w:val="000000" w:themeColor="text1"/>
          <w:sz w:val="16"/>
          <w:szCs w:val="16"/>
        </w:rPr>
        <w:t xml:space="preserve">   </w:t>
      </w:r>
      <w:r w:rsidRPr="001E2C69">
        <w:rPr>
          <w:color w:val="000000" w:themeColor="text1"/>
          <w:sz w:val="16"/>
          <w:szCs w:val="16"/>
        </w:rPr>
        <w:t>24, авиазаводы №</w:t>
      </w:r>
      <w:r w:rsidR="001E2C69">
        <w:rPr>
          <w:color w:val="000000" w:themeColor="text1"/>
          <w:sz w:val="16"/>
          <w:szCs w:val="16"/>
        </w:rPr>
        <w:t xml:space="preserve">   </w:t>
      </w:r>
      <w:r w:rsidRPr="001E2C69">
        <w:rPr>
          <w:color w:val="000000" w:themeColor="text1"/>
          <w:sz w:val="16"/>
          <w:szCs w:val="16"/>
        </w:rPr>
        <w:t>1 и 18, аэродром 1-й заб и т.</w:t>
      </w:r>
      <w:r w:rsidR="001E2C69">
        <w:rPr>
          <w:color w:val="000000" w:themeColor="text1"/>
          <w:sz w:val="16"/>
          <w:szCs w:val="16"/>
        </w:rPr>
        <w:t xml:space="preserve">   </w:t>
      </w:r>
      <w:r w:rsidRPr="001E2C69">
        <w:rPr>
          <w:color w:val="000000" w:themeColor="text1"/>
          <w:sz w:val="16"/>
          <w:szCs w:val="16"/>
        </w:rPr>
        <w:t>д. Разведданных было вполне достаточно, чтобы понять, что большинство Ил-2 строятся на берегах Волги. Хотя Куйбышев и отделяло от линии фронта свыше семисот километров, город и его окрестности находились в зоне досягаемости двухмоторных бомбардировщиков. Однако приказ о налете на крупнейший в СССР авиазавод так и не поступил. В результате рабочие могли спокойно трудиться, увеличивая из месяца в месяц выпуск штурмовиков (19522).</w:t>
      </w:r>
    </w:p>
    <w:p w14:paraId="1379A2DC" w14:textId="77777777" w:rsidR="009F0796" w:rsidRPr="001E2C69" w:rsidRDefault="009F0796" w:rsidP="00722885">
      <w:pPr>
        <w:pStyle w:val="af"/>
        <w:spacing w:before="0" w:after="0"/>
        <w:jc w:val="both"/>
        <w:textAlignment w:val="baseline"/>
        <w:rPr>
          <w:color w:val="000000" w:themeColor="text1"/>
          <w:sz w:val="16"/>
          <w:szCs w:val="16"/>
        </w:rPr>
      </w:pPr>
    </w:p>
    <w:p w14:paraId="3C699728" w14:textId="77777777" w:rsidR="00716A6B" w:rsidRPr="001E2C69" w:rsidRDefault="00716A6B"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17 августа 1942 г. 37-мм пушка 11П № 2 ОКБ-16 в пе</w:t>
      </w:r>
      <w:r w:rsidRPr="001E2C69">
        <w:rPr>
          <w:color w:val="000000" w:themeColor="text1"/>
          <w:sz w:val="16"/>
          <w:szCs w:val="16"/>
        </w:rPr>
        <w:softHyphen/>
        <w:t>риод успешно прошла повторные летные полигонные испытания на самолете ЛаГГ-3 зав. № 312197, которые начались 21 июля. Отчет по испы</w:t>
      </w:r>
      <w:r w:rsidRPr="001E2C69">
        <w:rPr>
          <w:color w:val="000000" w:themeColor="text1"/>
          <w:sz w:val="16"/>
          <w:szCs w:val="16"/>
        </w:rPr>
        <w:softHyphen/>
        <w:t>таниям был утвержден главным инженером ВВС КА генерал-лейтенантом Репиным 26 августа.</w:t>
      </w:r>
    </w:p>
    <w:p w14:paraId="39D8AD14" w14:textId="77777777" w:rsidR="00716A6B" w:rsidRPr="001E2C69" w:rsidRDefault="00716A6B"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Испытания проводились филиалом НИП АВ ВВС в Ногинске. Ведущим инженером по испытаниям был назначен инженер-майор Филиппов, помощ</w:t>
      </w:r>
      <w:r w:rsidRPr="001E2C69">
        <w:rPr>
          <w:color w:val="000000" w:themeColor="text1"/>
          <w:sz w:val="16"/>
          <w:szCs w:val="16"/>
        </w:rPr>
        <w:softHyphen/>
        <w:t>ником ведущего инженера — старший техник-лей</w:t>
      </w:r>
      <w:r w:rsidRPr="001E2C69">
        <w:rPr>
          <w:color w:val="000000" w:themeColor="text1"/>
          <w:sz w:val="16"/>
          <w:szCs w:val="16"/>
        </w:rPr>
        <w:softHyphen/>
        <w:t>тенант Гурьев. Испытания обеспечивала бригада в составе техников-испытателей сержантов Филип</w:t>
      </w:r>
      <w:r w:rsidRPr="001E2C69">
        <w:rPr>
          <w:color w:val="000000" w:themeColor="text1"/>
          <w:sz w:val="16"/>
          <w:szCs w:val="16"/>
        </w:rPr>
        <w:softHyphen/>
        <w:t>пова и Ярулина, младшего специалиста сержанта Лубышева, техника-расчетчика — Хитровой, авиа</w:t>
      </w:r>
      <w:r w:rsidRPr="001E2C69">
        <w:rPr>
          <w:color w:val="000000" w:themeColor="text1"/>
          <w:sz w:val="16"/>
          <w:szCs w:val="16"/>
        </w:rPr>
        <w:softHyphen/>
        <w:t>механика техника-лейтенанта Василевского, авиа</w:t>
      </w:r>
      <w:r w:rsidRPr="001E2C69">
        <w:rPr>
          <w:color w:val="000000" w:themeColor="text1"/>
          <w:sz w:val="16"/>
          <w:szCs w:val="16"/>
        </w:rPr>
        <w:softHyphen/>
        <w:t>механика старшины Шалагинова. Летал летчик-ис</w:t>
      </w:r>
      <w:r w:rsidRPr="001E2C69">
        <w:rPr>
          <w:color w:val="000000" w:themeColor="text1"/>
          <w:sz w:val="16"/>
          <w:szCs w:val="16"/>
        </w:rPr>
        <w:softHyphen/>
        <w:t>пытатель капитан Кравченко. Позже техника-рас</w:t>
      </w:r>
      <w:r w:rsidRPr="001E2C69">
        <w:rPr>
          <w:color w:val="000000" w:themeColor="text1"/>
          <w:sz w:val="16"/>
          <w:szCs w:val="16"/>
        </w:rPr>
        <w:softHyphen/>
        <w:t>четчика Хитрову заменили техником-лейтенантом Громовым.</w:t>
      </w:r>
    </w:p>
    <w:p w14:paraId="4874A00C" w14:textId="77777777" w:rsidR="00716A6B" w:rsidRPr="001E2C69" w:rsidRDefault="00716A6B"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Помимо доработки под штатный патрон, на пушке 11П № 2 была изменена конструкция заще</w:t>
      </w:r>
      <w:r w:rsidRPr="001E2C69">
        <w:rPr>
          <w:color w:val="000000" w:themeColor="text1"/>
          <w:sz w:val="16"/>
          <w:szCs w:val="16"/>
        </w:rPr>
        <w:softHyphen/>
        <w:t>лок затвора (что привело к упрощению формы за</w:t>
      </w:r>
      <w:r w:rsidRPr="001E2C69">
        <w:rPr>
          <w:color w:val="000000" w:themeColor="text1"/>
          <w:sz w:val="16"/>
          <w:szCs w:val="16"/>
        </w:rPr>
        <w:softHyphen/>
        <w:t>твора), бойка (с целью повышения его живучести и улучшения конструктивной формы ударника) и стопора затыльника. Изготовлено новое звено с измененной формой шарнира, увеличенной жест</w:t>
      </w:r>
      <w:r w:rsidRPr="001E2C69">
        <w:rPr>
          <w:color w:val="000000" w:themeColor="text1"/>
          <w:sz w:val="16"/>
          <w:szCs w:val="16"/>
        </w:rPr>
        <w:softHyphen/>
        <w:t>кости и более простое в производстве. Патронная коробка теперь состояла из двух частей. Это по</w:t>
      </w:r>
      <w:r w:rsidRPr="001E2C69">
        <w:rPr>
          <w:color w:val="000000" w:themeColor="text1"/>
          <w:sz w:val="16"/>
          <w:szCs w:val="16"/>
        </w:rPr>
        <w:softHyphen/>
        <w:t>зволяло снимать и ставить патронную коробку без демонтажа пулеметов БС. Улучшен подвод ленты в рукава к приемнику. Поставлен предохранитель на кнопку электропневмопуска. Переделаны кон</w:t>
      </w:r>
      <w:r w:rsidRPr="001E2C69">
        <w:rPr>
          <w:color w:val="000000" w:themeColor="text1"/>
          <w:sz w:val="16"/>
          <w:szCs w:val="16"/>
        </w:rPr>
        <w:softHyphen/>
        <w:t>струкции звеньеотвода, заднего поддерживающе</w:t>
      </w:r>
      <w:r w:rsidRPr="001E2C69">
        <w:rPr>
          <w:color w:val="000000" w:themeColor="text1"/>
          <w:sz w:val="16"/>
          <w:szCs w:val="16"/>
        </w:rPr>
        <w:softHyphen/>
        <w:t>го крепления пушки, гашеток пневмоперезарядки пушки, гильзозвеньесборника. Сделан отсос газов из гильзозвеньесборника. Боекомплект к пушке со</w:t>
      </w:r>
      <w:r w:rsidRPr="001E2C69">
        <w:rPr>
          <w:color w:val="000000" w:themeColor="text1"/>
          <w:sz w:val="16"/>
          <w:szCs w:val="16"/>
        </w:rPr>
        <w:softHyphen/>
        <w:t>ставил 36 снарядов.</w:t>
      </w:r>
    </w:p>
    <w:p w14:paraId="3D2CC6A6" w14:textId="77777777" w:rsidR="00716A6B" w:rsidRPr="001E2C69" w:rsidRDefault="00716A6B"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На испытаниях пушка продемонстрировала вы</w:t>
      </w:r>
      <w:r w:rsidRPr="001E2C69">
        <w:rPr>
          <w:color w:val="000000" w:themeColor="text1"/>
          <w:sz w:val="16"/>
          <w:szCs w:val="16"/>
        </w:rPr>
        <w:softHyphen/>
        <w:t>сокую надежность в работе, дав всего 0,54% задер</w:t>
      </w:r>
      <w:r w:rsidRPr="001E2C69">
        <w:rPr>
          <w:color w:val="000000" w:themeColor="text1"/>
          <w:sz w:val="16"/>
          <w:szCs w:val="16"/>
        </w:rPr>
        <w:softHyphen/>
        <w:t>жек. Из 3359 выстрелов (в том числе 492 — в за</w:t>
      </w:r>
      <w:r w:rsidRPr="001E2C69">
        <w:rPr>
          <w:color w:val="000000" w:themeColor="text1"/>
          <w:sz w:val="16"/>
          <w:szCs w:val="16"/>
        </w:rPr>
        <w:softHyphen/>
        <w:t>водских условиях), произведенных на испытаниях, 1314 выстрелов было выполнено в воздухе в 42 по</w:t>
      </w:r>
      <w:r w:rsidRPr="001E2C69">
        <w:rPr>
          <w:color w:val="000000" w:themeColor="text1"/>
          <w:sz w:val="16"/>
          <w:szCs w:val="16"/>
        </w:rPr>
        <w:softHyphen/>
        <w:t>летах, остальные — на земле. Причем в 27 полетах боекомплект был расстрелян полностью без задер жек. Живучесть пушки лимитировалась поломкой затыльника после 1657 выстрелов и хвостовика ударника после 2231 выстрела.</w:t>
      </w:r>
    </w:p>
    <w:p w14:paraId="79CDA36C" w14:textId="77777777" w:rsidR="00716A6B" w:rsidRPr="001E2C69" w:rsidRDefault="00716A6B"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Установка пушки на самолете обеспечила впол</w:t>
      </w:r>
      <w:r w:rsidRPr="001E2C69">
        <w:rPr>
          <w:color w:val="000000" w:themeColor="text1"/>
          <w:sz w:val="16"/>
          <w:szCs w:val="16"/>
        </w:rPr>
        <w:softHyphen/>
        <w:t>не нормальную работу пушки при выполнении 2802 выстрелов. Слабым местом оказался опор</w:t>
      </w:r>
      <w:r w:rsidRPr="001E2C69">
        <w:rPr>
          <w:color w:val="000000" w:themeColor="text1"/>
          <w:sz w:val="16"/>
          <w:szCs w:val="16"/>
        </w:rPr>
        <w:softHyphen/>
        <w:t>ный подшипник ствола в храповике винта, кото</w:t>
      </w:r>
      <w:r w:rsidRPr="001E2C69">
        <w:rPr>
          <w:color w:val="000000" w:themeColor="text1"/>
          <w:sz w:val="16"/>
          <w:szCs w:val="16"/>
        </w:rPr>
        <w:softHyphen/>
        <w:t>рый сломался после 2094 выстрелов. Основное силовое крепление пушки к мотору — передний суппорт, воспринимающий усилие отдачи, вы</w:t>
      </w:r>
      <w:r w:rsidRPr="001E2C69">
        <w:rPr>
          <w:color w:val="000000" w:themeColor="text1"/>
          <w:sz w:val="16"/>
          <w:szCs w:val="16"/>
        </w:rPr>
        <w:softHyphen/>
        <w:t>держал 4256 выстрелов и свою живучесть не ис</w:t>
      </w:r>
      <w:r w:rsidRPr="001E2C69">
        <w:rPr>
          <w:color w:val="000000" w:themeColor="text1"/>
          <w:sz w:val="16"/>
          <w:szCs w:val="16"/>
        </w:rPr>
        <w:softHyphen/>
        <w:t>черпал (учтено количество выстрелов, произве</w:t>
      </w:r>
      <w:r w:rsidRPr="001E2C69">
        <w:rPr>
          <w:color w:val="000000" w:themeColor="text1"/>
          <w:sz w:val="16"/>
          <w:szCs w:val="16"/>
        </w:rPr>
        <w:softHyphen/>
        <w:t>денных при первых полигонных испытаниях пуш</w:t>
      </w:r>
      <w:r w:rsidRPr="001E2C69">
        <w:rPr>
          <w:color w:val="000000" w:themeColor="text1"/>
          <w:sz w:val="16"/>
          <w:szCs w:val="16"/>
        </w:rPr>
        <w:softHyphen/>
        <w:t>ки 11П № 1).</w:t>
      </w:r>
    </w:p>
    <w:p w14:paraId="61034D42" w14:textId="77777777" w:rsidR="00716A6B" w:rsidRPr="001E2C69" w:rsidRDefault="00716A6B"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 заключению капитана Кравченко, техника пилотирования самолетом по сравнению с серий</w:t>
      </w:r>
      <w:r w:rsidRPr="001E2C69">
        <w:rPr>
          <w:color w:val="000000" w:themeColor="text1"/>
          <w:sz w:val="16"/>
          <w:szCs w:val="16"/>
        </w:rPr>
        <w:softHyphen/>
        <w:t>ными машинами не изменилась. Вести стрельбу длинными очередями не рекомендовалось, так как уже после 4—5 выстрелов самолет начинает раска</w:t>
      </w:r>
      <w:r w:rsidRPr="001E2C69">
        <w:rPr>
          <w:color w:val="000000" w:themeColor="text1"/>
          <w:sz w:val="16"/>
          <w:szCs w:val="16"/>
        </w:rPr>
        <w:softHyphen/>
        <w:t>чиваться и наводка на цель сбивается.</w:t>
      </w:r>
    </w:p>
    <w:p w14:paraId="56B7D3E3" w14:textId="77777777" w:rsidR="00716A6B" w:rsidRPr="001E2C69" w:rsidRDefault="00716A6B"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заключении акта по испытаниям отмечалось, что «предъявленная ОКБ-16 НКВ 37-мм авиаци</w:t>
      </w:r>
      <w:r w:rsidRPr="001E2C69">
        <w:rPr>
          <w:color w:val="000000" w:themeColor="text1"/>
          <w:sz w:val="16"/>
          <w:szCs w:val="16"/>
        </w:rPr>
        <w:softHyphen/>
        <w:t>онная пушка 11-П № 2, установленная в развале мотора М-105П самолета ЛаГГ-3, повторные полигонные испытания выдержала».</w:t>
      </w:r>
    </w:p>
    <w:p w14:paraId="65488F6B" w14:textId="77777777" w:rsidR="00716A6B" w:rsidRPr="001E2C69" w:rsidRDefault="00716A6B"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 результатам стрельб госу</w:t>
      </w:r>
      <w:r w:rsidRPr="001E2C69">
        <w:rPr>
          <w:color w:val="000000" w:themeColor="text1"/>
          <w:sz w:val="16"/>
          <w:szCs w:val="16"/>
        </w:rPr>
        <w:softHyphen/>
        <w:t>дарственной комиссией был сделан вывод, что «...из двух систем 37-мм пушек (ОКБ-15 и ОКБ-16) лучшей системой, по данным полигонных испытаний, является 37-мм пушка ОКБ-16 НКВ».</w:t>
      </w:r>
    </w:p>
    <w:p w14:paraId="2BB2E18D" w14:textId="77777777" w:rsidR="00716A6B" w:rsidRPr="001E2C69" w:rsidRDefault="00716A6B"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Пушка 11П имела явные пре</w:t>
      </w:r>
      <w:r w:rsidRPr="001E2C69">
        <w:rPr>
          <w:color w:val="000000" w:themeColor="text1"/>
          <w:sz w:val="16"/>
          <w:szCs w:val="16"/>
        </w:rPr>
        <w:softHyphen/>
        <w:t>имущества по весу и количеству деталей самой пушки и пушечных установок на самолетах ЛаГГ-3 и Ил-2, а также по размеру боеком</w:t>
      </w:r>
      <w:r w:rsidRPr="001E2C69">
        <w:rPr>
          <w:color w:val="000000" w:themeColor="text1"/>
          <w:sz w:val="16"/>
          <w:szCs w:val="16"/>
        </w:rPr>
        <w:softHyphen/>
        <w:t>плекта и темпу стрельбы. К тому же пушка 11П допускала неподвижное крепление на самолете вместе с па</w:t>
      </w:r>
      <w:r w:rsidRPr="001E2C69">
        <w:rPr>
          <w:color w:val="000000" w:themeColor="text1"/>
          <w:sz w:val="16"/>
          <w:szCs w:val="16"/>
        </w:rPr>
        <w:softHyphen/>
        <w:t>тронным ящиком, что значительно упрощало конструкцию установки. При этом поскольку автоматика пушки построена на принципе от</w:t>
      </w:r>
      <w:r w:rsidRPr="001E2C69">
        <w:rPr>
          <w:color w:val="000000" w:themeColor="text1"/>
          <w:sz w:val="16"/>
          <w:szCs w:val="16"/>
        </w:rPr>
        <w:softHyphen/>
        <w:t>дачи ствола с коротким ходом, то она была малочувствительна к за</w:t>
      </w:r>
      <w:r w:rsidRPr="001E2C69">
        <w:rPr>
          <w:color w:val="000000" w:themeColor="text1"/>
          <w:sz w:val="16"/>
          <w:szCs w:val="16"/>
        </w:rPr>
        <w:softHyphen/>
        <w:t>грязнению. В ходе повторных испытаний пушка нормально работала без чистки и смазки в течение 7 суток, за время которых произведен 1201 вы</w:t>
      </w:r>
      <w:r w:rsidRPr="001E2C69">
        <w:rPr>
          <w:color w:val="000000" w:themeColor="text1"/>
          <w:sz w:val="16"/>
          <w:szCs w:val="16"/>
        </w:rPr>
        <w:softHyphen/>
        <w:t>стрел, при периодической чистке только запира</w:t>
      </w:r>
      <w:r w:rsidRPr="001E2C69">
        <w:rPr>
          <w:color w:val="000000" w:themeColor="text1"/>
          <w:sz w:val="16"/>
          <w:szCs w:val="16"/>
        </w:rPr>
        <w:softHyphen/>
        <w:t>ющего механизма. Кроме того, пушку 11П ОКБ-16 по плану опытного строительства ВВС КА на 1942 г. предполагалось установить в крыле двухмотор</w:t>
      </w:r>
      <w:r w:rsidRPr="001E2C69">
        <w:rPr>
          <w:color w:val="000000" w:themeColor="text1"/>
          <w:sz w:val="16"/>
          <w:szCs w:val="16"/>
        </w:rPr>
        <w:softHyphen/>
        <w:t>ных штурмовиков. Тогда как пушку ОКБ-15 внутри крыла из-за больших габаритов разместить невоз</w:t>
      </w:r>
      <w:r w:rsidRPr="001E2C69">
        <w:rPr>
          <w:color w:val="000000" w:themeColor="text1"/>
          <w:sz w:val="16"/>
          <w:szCs w:val="16"/>
        </w:rPr>
        <w:softHyphen/>
        <w:t>можно.</w:t>
      </w:r>
    </w:p>
    <w:p w14:paraId="0883A45C" w14:textId="77777777" w:rsidR="00716A6B" w:rsidRPr="001E2C69" w:rsidRDefault="00716A6B"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решении Управления опытного строительства ГУ ИАС ВВС по результатам испытаний предлага</w:t>
      </w:r>
      <w:r w:rsidRPr="001E2C69">
        <w:rPr>
          <w:color w:val="000000" w:themeColor="text1"/>
          <w:sz w:val="16"/>
          <w:szCs w:val="16"/>
        </w:rPr>
        <w:softHyphen/>
        <w:t>лось: «2. Просить Народного Комиссара вооруже</w:t>
      </w:r>
      <w:r w:rsidRPr="001E2C69">
        <w:rPr>
          <w:color w:val="000000" w:themeColor="text1"/>
          <w:sz w:val="16"/>
          <w:szCs w:val="16"/>
        </w:rPr>
        <w:softHyphen/>
        <w:t>ния СССР — изготовить в 1942 г. 60 шт. 37-мм пушек ОКБ-16. 3. Просить Народного Комиссара авиаци</w:t>
      </w:r>
      <w:r w:rsidRPr="001E2C69">
        <w:rPr>
          <w:color w:val="000000" w:themeColor="text1"/>
          <w:sz w:val="16"/>
          <w:szCs w:val="16"/>
        </w:rPr>
        <w:softHyphen/>
        <w:t>онной промышленности СССР вооружить в 1942 г. 37-мм пушками ОКБ-16 20 самолетов ЛаГГ-3 и 20 са</w:t>
      </w:r>
      <w:r w:rsidRPr="001E2C69">
        <w:rPr>
          <w:color w:val="000000" w:themeColor="text1"/>
          <w:sz w:val="16"/>
          <w:szCs w:val="16"/>
        </w:rPr>
        <w:softHyphen/>
        <w:t>молетов Ил-2 в счет программы выпускаемых само</w:t>
      </w:r>
      <w:r w:rsidRPr="001E2C69">
        <w:rPr>
          <w:color w:val="000000" w:themeColor="text1"/>
          <w:sz w:val="16"/>
          <w:szCs w:val="16"/>
        </w:rPr>
        <w:softHyphen/>
        <w:t>летов для ВВС Красной Армии. /.../ 5. Учитывая, что наиболее эффективным снарядом в авиации для борьбы с танками является снаряд калибра 37 мм и что в настоящее время удовлетворение запросов фронта по этому калибру можно быстро осуще ствить путем восстановления налаженного произ</w:t>
      </w:r>
      <w:r w:rsidRPr="001E2C69">
        <w:rPr>
          <w:color w:val="000000" w:themeColor="text1"/>
          <w:sz w:val="16"/>
          <w:szCs w:val="16"/>
        </w:rPr>
        <w:softHyphen/>
        <w:t>водства 37-мм пушек ОКБ-15, Управление опытного строительства ГУ ИАС ВВС КА считает необходимым продолжать производство пушек ОКБ-15. 6. Вопрос о вводе на вооружение ВВС КА пушек калибра 37 мм решить после сравнения результатов боево</w:t>
      </w:r>
      <w:r w:rsidRPr="001E2C69">
        <w:rPr>
          <w:color w:val="000000" w:themeColor="text1"/>
          <w:sz w:val="16"/>
          <w:szCs w:val="16"/>
        </w:rPr>
        <w:softHyphen/>
        <w:t>го применения пушек ОКБ-15 и ОКБ-16» (17500).</w:t>
      </w:r>
    </w:p>
    <w:p w14:paraId="3D45117F" w14:textId="77777777" w:rsidR="00716A6B" w:rsidRPr="001E2C69" w:rsidRDefault="00716A6B" w:rsidP="00722885">
      <w:pPr>
        <w:spacing w:after="0" w:line="240" w:lineRule="auto"/>
        <w:jc w:val="both"/>
        <w:rPr>
          <w:rFonts w:ascii="Times New Roman" w:hAnsi="Times New Roman"/>
          <w:color w:val="000000" w:themeColor="text1"/>
          <w:sz w:val="16"/>
          <w:szCs w:val="16"/>
        </w:rPr>
      </w:pPr>
    </w:p>
    <w:p w14:paraId="1DBD1832" w14:textId="77777777" w:rsidR="009F0796" w:rsidRPr="001E2C69" w:rsidRDefault="009F0796" w:rsidP="00722885">
      <w:pPr>
        <w:pStyle w:val="5f2"/>
        <w:shd w:val="clear" w:color="auto" w:fill="auto"/>
        <w:spacing w:before="0" w:after="0" w:line="240" w:lineRule="auto"/>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17 августа 1942 успешно завершились испытания переконстру</w:t>
      </w:r>
      <w:r w:rsidRPr="001E2C69">
        <w:rPr>
          <w:rFonts w:ascii="Times New Roman" w:hAnsi="Times New Roman" w:cs="Times New Roman"/>
          <w:color w:val="000000" w:themeColor="text1"/>
          <w:sz w:val="16"/>
          <w:szCs w:val="16"/>
        </w:rPr>
        <w:softHyphen/>
        <w:t>ированной 11 П. В ходе сорока двух полетов было выполнено 1314 выстрелов. Процент отказов и задержек составил 0,54. Этот результат привел к прекращению производства Ш-37, ко</w:t>
      </w:r>
      <w:r w:rsidRPr="001E2C69">
        <w:rPr>
          <w:rFonts w:ascii="Times New Roman" w:hAnsi="Times New Roman" w:cs="Times New Roman"/>
          <w:color w:val="000000" w:themeColor="text1"/>
          <w:sz w:val="16"/>
          <w:szCs w:val="16"/>
        </w:rPr>
        <w:softHyphen/>
        <w:t>торых успели выпустить 188 экземпляров. На сей раз Шпитальному не помогли письма в высокие инстанции с жалобами на фальсификацию итогов испытаний пушки конкурентов и просьбами провести расследование. Похоже, что его чрезмер</w:t>
      </w:r>
      <w:r w:rsidRPr="001E2C69">
        <w:rPr>
          <w:rFonts w:ascii="Times New Roman" w:hAnsi="Times New Roman" w:cs="Times New Roman"/>
          <w:color w:val="000000" w:themeColor="text1"/>
          <w:sz w:val="16"/>
          <w:szCs w:val="16"/>
        </w:rPr>
        <w:softHyphen/>
        <w:t>ная активность, не подкрепленная новыми реальными успеха</w:t>
      </w:r>
      <w:r w:rsidRPr="001E2C69">
        <w:rPr>
          <w:rFonts w:ascii="Times New Roman" w:hAnsi="Times New Roman" w:cs="Times New Roman"/>
          <w:color w:val="000000" w:themeColor="text1"/>
          <w:sz w:val="16"/>
          <w:szCs w:val="16"/>
        </w:rPr>
        <w:softHyphen/>
        <w:t>ми, надоела и «самому». Больше ни одна из созданных им си</w:t>
      </w:r>
      <w:r w:rsidRPr="001E2C69">
        <w:rPr>
          <w:rFonts w:ascii="Times New Roman" w:hAnsi="Times New Roman" w:cs="Times New Roman"/>
          <w:color w:val="000000" w:themeColor="text1"/>
          <w:sz w:val="16"/>
          <w:szCs w:val="16"/>
        </w:rPr>
        <w:softHyphen/>
        <w:t>стем не была принята на вооружение (19106).</w:t>
      </w:r>
    </w:p>
    <w:p w14:paraId="7A55EE95" w14:textId="77777777" w:rsidR="009F0796" w:rsidRPr="001E2C69" w:rsidRDefault="009F0796" w:rsidP="00722885">
      <w:pPr>
        <w:pStyle w:val="5f2"/>
        <w:shd w:val="clear" w:color="auto" w:fill="auto"/>
        <w:spacing w:before="0" w:after="0" w:line="240" w:lineRule="auto"/>
        <w:rPr>
          <w:rFonts w:ascii="Times New Roman" w:hAnsi="Times New Roman" w:cs="Times New Roman"/>
          <w:color w:val="000000" w:themeColor="text1"/>
          <w:sz w:val="16"/>
          <w:szCs w:val="16"/>
        </w:rPr>
      </w:pPr>
    </w:p>
    <w:p w14:paraId="4DAEC1B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17 августа 1942 вышел приказ НКАП N 631с:</w:t>
      </w:r>
    </w:p>
    <w:p w14:paraId="444A5F6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"Для обеспечения эксплуатации самолетов ДБ-3 в строевых частях ВВС ВМФ:</w:t>
      </w:r>
    </w:p>
    <w:p w14:paraId="743B992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Нач. 10 ГУ Тарасевичу и директору завода 126 Тимофееву произвести до 15 октября 1942 замену моторов М-87 и М-87Б на М-88 на 125 самолетах ДБ-3 ВМФ" (1577,3).</w:t>
      </w:r>
    </w:p>
    <w:p w14:paraId="2D708FF2" w14:textId="77777777" w:rsidR="00AE7191" w:rsidRPr="001E2C69" w:rsidRDefault="00AE7191" w:rsidP="00722885">
      <w:pPr>
        <w:pStyle w:val="Iauiue"/>
        <w:jc w:val="both"/>
        <w:rPr>
          <w:color w:val="000000" w:themeColor="text1"/>
          <w:sz w:val="16"/>
          <w:szCs w:val="16"/>
        </w:rPr>
      </w:pPr>
    </w:p>
    <w:p w14:paraId="524EF1B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17 августа 1942 ЛИИ НКАП в Казани приступил к проверочным испытаниям, переданного ему заводом 22 самолета Пе-2, переданного из серийного производства." (1685,58).</w:t>
      </w:r>
    </w:p>
    <w:p w14:paraId="399C8354" w14:textId="77777777" w:rsidR="00AE7191" w:rsidRPr="001E2C69" w:rsidRDefault="00AE7191" w:rsidP="00722885">
      <w:pPr>
        <w:pStyle w:val="Iauiue"/>
        <w:jc w:val="both"/>
        <w:rPr>
          <w:color w:val="000000" w:themeColor="text1"/>
          <w:sz w:val="16"/>
          <w:szCs w:val="16"/>
        </w:rPr>
      </w:pPr>
    </w:p>
    <w:p w14:paraId="4466F2A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17 августа 1942 состоялись испытания ПВРД ДМ-4с N 14 конструкции И.А.Меркулова для Як-7 в аэродинамической трубе. Диаметр - 500 мм, длинна 2430 мм. С 22 августа испытывался второй двигатель N 15 (367,54).</w:t>
      </w:r>
    </w:p>
    <w:p w14:paraId="3C78A36D" w14:textId="77777777" w:rsidR="00AE7191" w:rsidRPr="001E2C69" w:rsidRDefault="00AE7191" w:rsidP="00722885">
      <w:pPr>
        <w:pStyle w:val="Iauiue"/>
        <w:jc w:val="both"/>
        <w:rPr>
          <w:color w:val="000000" w:themeColor="text1"/>
          <w:sz w:val="16"/>
          <w:szCs w:val="16"/>
        </w:rPr>
      </w:pPr>
    </w:p>
    <w:p w14:paraId="7B22587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u w:val="single"/>
        </w:rPr>
      </w:pPr>
      <w:r w:rsidRPr="001E2C69">
        <w:rPr>
          <w:rFonts w:ascii="Times New Roman" w:hAnsi="Times New Roman"/>
          <w:color w:val="000000" w:themeColor="text1"/>
          <w:sz w:val="16"/>
          <w:szCs w:val="16"/>
        </w:rPr>
        <w:t>17 августа 1942 г. были проведены испытания в трубе АТ-2 двигателей Меркулова ДМ-4с с целью испытания зажигания и горения</w:t>
      </w:r>
    </w:p>
    <w:p w14:paraId="6FAA006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К Т № 1</w:t>
      </w:r>
    </w:p>
    <w:p w14:paraId="67DEBB2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Настоящий акт составлен Комиссией в составе: начальника испытательной станции Чарного И.А., ст.инженера испытательной станции Асадчиковп Е.А.. инженера Николаевского Б.А. в той, что двигатель ДМ-4с № 14 был установлен в аэродинамической трубе АТ-2 17 августа 1942 г. с целью испытания зажигания и горения.</w:t>
      </w:r>
    </w:p>
    <w:p w14:paraId="66BE762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первого воспламенения горючего двигатель был выклю</w:t>
      </w:r>
      <w:r w:rsidRPr="001E2C69">
        <w:rPr>
          <w:rFonts w:ascii="Times New Roman" w:hAnsi="Times New Roman"/>
          <w:color w:val="000000" w:themeColor="text1"/>
          <w:sz w:val="16"/>
          <w:szCs w:val="16"/>
        </w:rPr>
        <w:softHyphen/>
        <w:t>чен и осмотрен. Обнаружены подтеки горючего под наружный кольцом.</w:t>
      </w:r>
    </w:p>
    <w:p w14:paraId="33C7656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вторичном пуске двигателя со святим наружным коль</w:t>
      </w:r>
      <w:r w:rsidRPr="001E2C69">
        <w:rPr>
          <w:rFonts w:ascii="Times New Roman" w:hAnsi="Times New Roman"/>
          <w:color w:val="000000" w:themeColor="text1"/>
          <w:sz w:val="16"/>
          <w:szCs w:val="16"/>
        </w:rPr>
        <w:softHyphen/>
        <w:t>цом, замечено пламя под конусом корпуса двигателя, вслед</w:t>
      </w:r>
      <w:r w:rsidRPr="001E2C69">
        <w:rPr>
          <w:rFonts w:ascii="Times New Roman" w:hAnsi="Times New Roman"/>
          <w:color w:val="000000" w:themeColor="text1"/>
          <w:sz w:val="16"/>
          <w:szCs w:val="16"/>
        </w:rPr>
        <w:softHyphen/>
        <w:t>ствие этого двигатель был выключен.</w:t>
      </w:r>
    </w:p>
    <w:p w14:paraId="0388D7F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Установлено протекание горючего в полость под конусом корпуса по причине негерметичности сварных швов корпуса.</w:t>
      </w:r>
    </w:p>
    <w:p w14:paraId="33D2BCA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Без устранения этого дефекта дальнейшие испытания не могут продолжаться.</w:t>
      </w:r>
    </w:p>
    <w:p w14:paraId="369C584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Воспламенение топлива в двигателях в первом и втором случае происходило нормально" (11081).</w:t>
      </w:r>
    </w:p>
    <w:p w14:paraId="26F2FD6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52EF0917" w14:textId="77777777" w:rsidR="009F0796" w:rsidRPr="001E2C69"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17 августа 1942 г. двигатель ДМ-4С № 14 был уста новлен в аэродинамической трубе АТ-2 с це лью испытания зажигания и горения.</w:t>
      </w:r>
    </w:p>
    <w:p w14:paraId="373CA08E" w14:textId="77777777" w:rsidR="009F0796" w:rsidRPr="001E2C69"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После первого воспламенения горючего двигатель был вык лючен и осмотрен. Обнаружены подтеки горючего под наруж ным кольцом.</w:t>
      </w:r>
    </w:p>
    <w:p w14:paraId="2BE84253" w14:textId="77777777" w:rsidR="009F0796" w:rsidRPr="001E2C69"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При втором пуске двигателя со снятым наружным коль цом, замечено пламя под конусом корпуса двигателя, вслед ствие этого двигатель был выключен.</w:t>
      </w:r>
    </w:p>
    <w:p w14:paraId="084542B9" w14:textId="77777777" w:rsidR="009F0796" w:rsidRPr="001E2C69"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Установлено протекание горючего в полость под конусом корпуса по причине негерметичности сварных швов корпуса.</w:t>
      </w:r>
    </w:p>
    <w:p w14:paraId="641D5B24" w14:textId="77777777" w:rsidR="009F0796" w:rsidRPr="001E2C69"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lastRenderedPageBreak/>
        <w:t>Без устранения этого дефекта дальнейшие испытания не могут продолжаться.</w:t>
      </w:r>
    </w:p>
    <w:p w14:paraId="553E6D29" w14:textId="77777777" w:rsidR="009F0796" w:rsidRPr="001E2C69"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Воспламенение топлива в двигателях в первом и втором случае происходило нормально».</w:t>
      </w:r>
    </w:p>
    <w:p w14:paraId="56EEAC1D" w14:textId="77777777" w:rsidR="009F0796" w:rsidRPr="001E2C69"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Дефекты устранялись собственными силами. 22 августа 1942 г. в AT был поставлен второй двигатель ДМ-4С № 15.</w:t>
      </w:r>
    </w:p>
    <w:p w14:paraId="1D4DB5CB" w14:textId="77777777" w:rsidR="009F0796" w:rsidRPr="001E2C69"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При первых четырех запусках отказывало зажигание. После наладки электроприбора зажигание двигателя в трех попыт ках не включалось из-за засорения расходомера, через кото рый поступал бензин. 29 августа испытания двигателя № 15 были продолжены. Двигатель включился в работу нор мально. Горение бензина происходило по всему сечению каме ры. Резко выделялись три языка пламени, центрами ко торых являлись штуцеры, подводящие бензин к горелке. При скорости потока воздуха в рабочей части трубы 47 м/с и при подаче горючего в количестве 120 см3/с длина факела доходи ла до 1...1,5 м. Продолжительность работы двигателя на раз личных расходах бензина от 50 до 150 см3/с составила 3 мин.</w:t>
      </w:r>
    </w:p>
    <w:p w14:paraId="4943FDBE" w14:textId="77777777" w:rsidR="009F0796" w:rsidRPr="001E2C69"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31 августа 1942 г. провели п я т ь опытов. При первом аз них двигатель не заработал, а четыре последующих прошла нормально.</w:t>
      </w:r>
    </w:p>
    <w:p w14:paraId="506A496C" w14:textId="77777777" w:rsidR="009F0796" w:rsidRPr="001E2C69"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Так, день за днем проводились доводка и исследование ПВРД ДМ-4С в СЭИГ МАИ.</w:t>
      </w:r>
    </w:p>
    <w:p w14:paraId="188FA78D" w14:textId="77777777" w:rsidR="009F0796" w:rsidRPr="001E2C69"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Проведенные при первых опытах измерения и визуальные наблюдения позволили определить характер пламени в каме рах сгорания при различных горелках и внести уточнения в распределение форсунок по трубкам горелок.</w:t>
      </w:r>
    </w:p>
    <w:p w14:paraId="5A1B949A" w14:textId="77777777" w:rsidR="009F0796" w:rsidRPr="001E2C69"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Испытания проводились на двух экземплярах № 14, № с целью — выявить необходимые исправления и окончатель ные варианты арматуры и системы распределения форсунок внести в предназначенные для летных испытаний экземпля ры ДМ-4С № 16, № 17, избежав на летных экземплярах про межуточных переделок.</w:t>
      </w:r>
    </w:p>
    <w:p w14:paraId="6F20C39D" w14:textId="77777777" w:rsidR="009F0796" w:rsidRPr="001E2C69"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По окончании первого этапа испытаний были исследованы рабочие характеристики реактивных двигателей.</w:t>
      </w:r>
    </w:p>
    <w:p w14:paraId="56FD5EE9" w14:textId="77777777" w:rsidR="009F0796" w:rsidRPr="001E2C69" w:rsidRDefault="009F0796"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результате проведения всех испытаний в AT и выполне н и я доводочных работ была установлена безопасность двига телей ДМ-4С в эксплуатации, проверена жаропрочность всех элементов их конструкции и достигнута надежная работа дви гателей. Таким образом, совместной работой МАИ и СКВ ПВРД ДМ-4С были подготовлены к летным испытаниям на самоле те Як-7Б.</w:t>
      </w:r>
    </w:p>
    <w:p w14:paraId="512EFAAB" w14:textId="77777777" w:rsidR="009F0796" w:rsidRPr="001E2C69" w:rsidRDefault="009F0796" w:rsidP="00722885">
      <w:pPr>
        <w:pStyle w:val="af"/>
        <w:shd w:val="clear" w:color="auto" w:fill="FFFFFF"/>
        <w:spacing w:before="0" w:after="0"/>
        <w:jc w:val="both"/>
        <w:rPr>
          <w:color w:val="000000" w:themeColor="text1"/>
          <w:sz w:val="16"/>
          <w:szCs w:val="16"/>
        </w:rPr>
      </w:pPr>
      <w:r w:rsidRPr="001E2C69">
        <w:rPr>
          <w:color w:val="000000" w:themeColor="text1"/>
          <w:sz w:val="16"/>
          <w:szCs w:val="16"/>
        </w:rPr>
        <w:t>В то же время исследования этих двигателей показали, что температура газов в камере сгорания и скорость их истечения оказались несколько ниже расчетных величин.</w:t>
      </w:r>
    </w:p>
    <w:p w14:paraId="12534CCA" w14:textId="77777777" w:rsidR="009F0796" w:rsidRPr="001E2C69" w:rsidRDefault="009F0796" w:rsidP="00722885">
      <w:pPr>
        <w:pStyle w:val="af"/>
        <w:shd w:val="clear" w:color="auto" w:fill="FFFFFF"/>
        <w:spacing w:before="0" w:after="0"/>
        <w:jc w:val="both"/>
        <w:rPr>
          <w:color w:val="000000" w:themeColor="text1"/>
          <w:sz w:val="16"/>
          <w:szCs w:val="16"/>
        </w:rPr>
      </w:pPr>
      <w:r w:rsidRPr="001E2C69">
        <w:rPr>
          <w:color w:val="000000" w:themeColor="text1"/>
          <w:sz w:val="16"/>
          <w:szCs w:val="16"/>
        </w:rPr>
        <w:t>Первоначально ДМ-4С были установлены и опробованы в работе на находящемся в 12 Гвардейском истребительно-авиа ционном полку ПВО Москвы опытном экземпляре учебно-тре нировочного истребителя УТИ-26—2 конструкции А.С. Яков лева. Эта попытка оказалась неудачной, так к а к подвеска дви гателя под крыло смещала центровку самолета недопустимо вперед,.а также не были приняты меры к обеспечению проти вопожарной безопасности (непротектированные бензобаки из за вызываемой двигателями вибрации часто текли).</w:t>
      </w:r>
    </w:p>
    <w:p w14:paraId="20B58C9E" w14:textId="77777777" w:rsidR="009F0796" w:rsidRPr="001E2C69" w:rsidRDefault="009F0796" w:rsidP="00722885">
      <w:pPr>
        <w:pStyle w:val="af"/>
        <w:shd w:val="clear" w:color="auto" w:fill="FFFFFF"/>
        <w:spacing w:before="0" w:after="0"/>
        <w:jc w:val="both"/>
        <w:rPr>
          <w:color w:val="000000" w:themeColor="text1"/>
          <w:sz w:val="16"/>
          <w:szCs w:val="16"/>
        </w:rPr>
      </w:pPr>
      <w:r w:rsidRPr="001E2C69">
        <w:rPr>
          <w:color w:val="000000" w:themeColor="text1"/>
          <w:sz w:val="16"/>
          <w:szCs w:val="16"/>
        </w:rPr>
        <w:t>Вслед за наземными испытаниями ПВРД в 1944 г. были проведены работы по оборудованию самолета Як-7Б для уста новки на него ДМ-4С (19596).</w:t>
      </w:r>
    </w:p>
    <w:p w14:paraId="6FE05BD1" w14:textId="77777777" w:rsidR="009F0796" w:rsidRPr="001E2C69" w:rsidRDefault="009F0796" w:rsidP="00722885">
      <w:pPr>
        <w:spacing w:after="0" w:line="240" w:lineRule="auto"/>
        <w:jc w:val="both"/>
        <w:rPr>
          <w:rFonts w:ascii="Times New Roman" w:hAnsi="Times New Roman"/>
          <w:color w:val="000000" w:themeColor="text1"/>
          <w:sz w:val="16"/>
          <w:szCs w:val="16"/>
        </w:rPr>
      </w:pPr>
    </w:p>
    <w:p w14:paraId="0D2F59A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17 августа 1942 закончились повторные испытания пушки 11-П N 2, установленной на самолете ЛаГГ-3 N 312197, проводимые с 21 июля 1942 (263,170).</w:t>
      </w:r>
    </w:p>
    <w:p w14:paraId="6C8E8DAA" w14:textId="77777777" w:rsidR="00AE7191" w:rsidRPr="001E2C69" w:rsidRDefault="00AE7191" w:rsidP="00722885">
      <w:pPr>
        <w:pStyle w:val="Iauiue"/>
        <w:jc w:val="both"/>
        <w:rPr>
          <w:color w:val="000000" w:themeColor="text1"/>
          <w:sz w:val="16"/>
          <w:szCs w:val="16"/>
        </w:rPr>
      </w:pPr>
    </w:p>
    <w:p w14:paraId="33DDAF97"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5AA5FF02" w14:textId="77777777" w:rsidR="00AE7191" w:rsidRPr="001E2C69" w:rsidRDefault="00AE7191" w:rsidP="00722885">
      <w:pPr>
        <w:pStyle w:val="Iauiue"/>
        <w:jc w:val="both"/>
        <w:rPr>
          <w:iCs/>
          <w:color w:val="000000" w:themeColor="text1"/>
          <w:sz w:val="16"/>
          <w:szCs w:val="16"/>
        </w:rPr>
      </w:pPr>
    </w:p>
    <w:p w14:paraId="2D34D0AF"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августа в 1942 году утреннее сообщение Совинформбюро:</w:t>
      </w:r>
    </w:p>
    <w:p w14:paraId="5E36A50F"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17 августа наши войска вели бои с противником в районах юго-восточнее Клетская, северо-восточнее Котельниково, а также в районах Минеральные Воды и Краснодар.</w:t>
      </w:r>
    </w:p>
    <w:p w14:paraId="71672855"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1D8336B3"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юго-восточнее Клетской наши войска вели напряжённые оборонительные бои. На участке, который обороняет одно наше соединение, противник перешёл в наступление, стараясь прорваться в глубину нашей обороны. Фланговыми ударами наши бойцы нанесли немцам большой урон. Уничтожено 6 танков и более 250 немецких автоматчиков.</w:t>
      </w:r>
    </w:p>
    <w:p w14:paraId="4DD62135"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наши войска отбили несколько атак немцев и прочно удерживают занятые рубежи. В последних боях противник понёс большие потери и спешно подтягивает резервы. Одно наше танковое подразделение совершило рейд по тылам врага. Танкисты уничтожили 2 немецких танка, 11 автомашин и 18 повозок с боеприпасами, взорвали склад с горючим и истребили свыше ста гитлеровцев.</w:t>
      </w:r>
    </w:p>
    <w:p w14:paraId="2AC4C03A"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Краснодара наши части отбивали атаки крупных сил немецко-фашистских войск. На одном участке отряд казаков внезапным налётом разгромил группу противника, переправившуюся на южный берег реки. Зарублено и потоплено в реке до 200 гитлеровцев.</w:t>
      </w:r>
    </w:p>
    <w:p w14:paraId="590F3FF8"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Минеральных Вод наши войска вели тяжёлые бои с танками и мотопехотой противника. В ходе этих боёв уничтожено 3 немецких танка, 17 автомашин и не менее 250 гитлеровцев.</w:t>
      </w:r>
    </w:p>
    <w:p w14:paraId="3915F133"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Брянском фронте происходили бои местного значения. На одном участке наши части разгромили батальон противника и заняли более выгодные рубежи. Взвод танков, которым командует гвардии старший лейтенант Жуков, вклинился в оборону гитлеровцев. Танкисты уничтожили две миномётные батареи, 5 орудий, один танк и истребили 270 немецких солдат и офицеров.</w:t>
      </w:r>
    </w:p>
    <w:p w14:paraId="19D2FEC8"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уточнённым данным, в бою южнее Воронежа, о котором сообщалось 13 августа, наши части разгромили 694 пехотный немецкий полк. Противник потерял толькоубитыми 1.450 солдат и офицеров. Уничтожено 75 ДЗОТов, 2 немецких танка, 16 противотанковых орудий, два шестиствольных миномёта. Нашими бойцами захвачены склад со снарядами, 2 орудия, 2 радиостанции и другое вооружение и военное имущество.</w:t>
      </w:r>
    </w:p>
    <w:p w14:paraId="4E84FC8C"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Ленинградском фронте в течение двух дней наши разведывательные группы, снайперы, артиллеристы и миномётчики вывели из строя не менее 600 солдат и офицеров противника.</w:t>
      </w:r>
    </w:p>
    <w:p w14:paraId="5ED9620C"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Немецкий унтер-офицер Конрад Граупнер писал на днях ефрейтору Гельмуту Дитмару, находящемуся в одном из госпиталей в Вене: «Вчера мы участвовали в бою и потеряли много танков и людей. Русские захватили 5 танков вместе с их экипажами. Каждый километр стоит нам очень много крови. Сможет ли страна прислать нам новые подкрепления на помощь? Сегодня я наблюдал, как стаскивали в кучи наших убитых. После этого зрелища у меня очень паршивое настроение. Танков и солдат в полку с каждым днём становится всё меньше и меньше. Начали мы поход 1941 года на танках, а кончили год на санках. У меня есть опасения, что всё это может опять повториться».</w:t>
      </w:r>
    </w:p>
    <w:p w14:paraId="5493425F"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конце июля немцы ворвались в село Кокаревка, Орловской области. Гитлеровцы ограбили население, отняли у колхозников всё, что только можно было взять. Фашистские изверги замучили и расстреляли 12 жителей села, в том числе76-летнего Качанова Андрея Петровича и 8-летнего Моргунова Колю. У колхозницы Путимцевой гитлеровский бандит заколол штыком восьмимесячного ребёнка. Немцы сожгли все жилые дома и хозяйственные постройки колхозников. Огнём уничтожены 529 домов, 3 школы, больница и другие общественные здания.</w:t>
      </w:r>
    </w:p>
    <w:p w14:paraId="30661273"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железнодорожной станции близ Гронингена (Голландия) произошла крупная катастрофа. Один немецкий воинский эшелон с боеприпасами на полном ходу наскочилна другой железнодорожный состав. Движение поездов по этой линии прекращено.» (14986).</w:t>
      </w:r>
    </w:p>
    <w:p w14:paraId="56DE9ABF"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34E36A7A"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августа в 1942 году вечернее сообщение Совинформбюро:</w:t>
      </w:r>
    </w:p>
    <w:p w14:paraId="1378A30A"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17 августа наши войска вели бои в районах юго-восточнее Клетская, северо-восточнее Котельниково, а также в районах Минеральные Воды и Краснодар.</w:t>
      </w:r>
    </w:p>
    <w:p w14:paraId="16136C82"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023681B6"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16 августа частями нашей авиации на различных участках фронта уничтожено или повреждено более 30 немецких танков и бронемашин, 100 автомашин с войсками и грузами, взорваны склад боеприпасов и склад горючего, подавлен огонь 3 батарей полевой и зенитной артиллерии, рассеяно и частью уничтожено до батальона пехоты противника.</w:t>
      </w:r>
    </w:p>
    <w:p w14:paraId="001AC55D"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юго-восточнее Клетской наши войска вели напряжённые оборонительные бои с танками и мотопехотой противника. На участок, который обороняет Н-ская часть, немцы бросили крупные силы пехоты, поддержанные 100 танками и авиацией. В ходе боёв врагу нанесён большой урон в живой силе и технике. За последние дни на этом участке уничтожено 30 танков и до 5.000 солдат и офицеров противника. Ружейно-пулемётным огнём сбито 3 немецких самолёта.</w:t>
      </w:r>
    </w:p>
    <w:p w14:paraId="1E1234A4"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одно наше танковое подразделениеуничтожило 7 немецких танков. В бою за населённый пункт К. наши бойцы истребили250 гитлеровцев. Захвачено у немцев: орудие, 5 пулемётов, 2 миномёта, 20автоматов, много винтовок и боеприпасов.</w:t>
      </w:r>
    </w:p>
    <w:p w14:paraId="3B7A365D"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Краснодара продолжались бои. Особенно упорные бои развернулись удвух населенных пунктов, где немцам удалось форсировать реку Кубань. Н-ская кавалерийская часть во взаимодействии с танкистами внезапно атаковала колонну немецкой мотопехоты. В результате ожесточённого боя уничтожено 20 танков, 20 автомашин и до двух батальонов пехоты противника. На другом участке наша часть, отбив атаку противника, уничтожила 400 немецких солдат и офицеров. Захвачены трофеи и пленные.</w:t>
      </w:r>
    </w:p>
    <w:p w14:paraId="5A845F9B"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Минеральных Вод наши войска вели оборонительные бои, отбивая атаки противника.</w:t>
      </w:r>
    </w:p>
    <w:p w14:paraId="2354A4A3"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Южнее Воронежа, на западном берегу реки Дон, продолжались уличные бои в одном населённом пункте. Немцы подтянули сюда крупные силы. Наши части наносят противнику большой урон.</w:t>
      </w:r>
    </w:p>
    <w:p w14:paraId="013CC734"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днях немецкая авиация пыталась совершить массированный налёт на одну из советских военно-морских баз на Чёрном море. Бомбардировщики и истребители противника были встречены лётчиками части, которой командует тов. Душин. В воздушном бою на подступах к базе сбито 7 «Хейнкелей-111», 7 «Юнкерсов-88», 3 «Мессершмитта-110» и 3 «Мессершмитта-109». Кроме того, огнём зенитной артиллерии уничтожено 3 и подбито 5 «Хейнкелей-111». Всего уничтожено 23 и подбито 5 немецких самолётов. Беспорядочно сброшенными бомбами причинён некоторый ущерб гражданскому населению. Военные объекты не пострадали.</w:t>
      </w:r>
    </w:p>
    <w:p w14:paraId="13B2BC08"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Пленный ефрейтор 6 роты 227 полка 100 немецкой пехотной дивизии Иоганн Аумайер рассказал: «Наша дивизия понесла очень крупные потери. Я слышал, как один офицер говорил другому, что 54 пехотный полк дивизии разбит и уничтожен. От него осталась только одна и то неполная рота. Позднее это подтвердили и связные от батальонов и полков, которые обычно в курсе всех событий. В последнем бою наша рота была разгромлена. После того, как прорвались русские танки, никто уже не мог удрать. Все, кто остался в живых, оказались в плену».</w:t>
      </w:r>
    </w:p>
    <w:p w14:paraId="4AE443D7"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 немецкого ефрейтора Алоиза Фрама найдено неотправленное письмо к отцу Иосифу Фраму в Грац. В письме говорится: «Партизаны причиняют нам большой ущерб и доставляют массу хлопот. Каждый день в тылу взлетают на воздух либо мост, либо поезд. Сейчас против партизан брошено много войск. Уже месяц мы охотимся за ними в белорусском лесу.</w:t>
      </w:r>
    </w:p>
    <w:p w14:paraId="320B78A5"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сожалению, их поймать нельзя. Они знают каждую тропинку. Однажды нам удалось довольно близко подойти к ним, но пока мы осторожно пробирались сквозь кустарник, они открыли бешеный огонь. Здесь всё выглядит ужасно. Русские так могут сопротивляться много лет».</w:t>
      </w:r>
    </w:p>
    <w:p w14:paraId="7D201287"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Немецкие и венгерские оккупанты учинили зверскую расправу над жителями села Новая Слобода, Сумской области. Фашистские палачи вырезали поголовно целые семьи, замучили и расстреляли 580 советских граждан, в том числе женщин и детей. Оккупанты сожгли 670 жилых домов и много других построек.</w:t>
      </w:r>
    </w:p>
    <w:p w14:paraId="5273B4E9"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Гитлеровцы глумятся над французскими военнопленными, морят их голодом изаставляют выполнять непосильные работы. За последнее время немецкие власти освободили группу французских военнопленных. Подавляющее большинство из них, будучи в плену, полностью потеряло трудоспособность. Все 50 военнопленных, возвратившихся в город Лилль, инвалиды или тяжело больные.»</w:t>
      </w:r>
    </w:p>
    <w:p w14:paraId="3BF02FD4"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Итоги трёхмесячных боёв на советско-германском фронте (с 15 мая по 15августа).</w:t>
      </w:r>
    </w:p>
    <w:p w14:paraId="0867A20C"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«Красная Армия вела и ведёт ныне в районе Воронежа, в излучине Дона и на Юге непрерывные кровопролитные бои против наступающих немецко-фашистских войск. Эти бои носят крайне ожесточённый характер.</w:t>
      </w:r>
    </w:p>
    <w:p w14:paraId="0AC06B86"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началу лета германское командование сосредоточило на южных участках фронта большое количество войск, тысячи танков и самолётов. Оно очистило под метёлку многие гарнизоны во Франции, Бельгии, Голландии. Только за последние два месяца оттуда было переброшено на советско-германский фронт 22 дивизии, в том числе 2 танковых, не считая ранее переброшенных. В вассальных странах — в Италии, Румынии, Венгрии, Словакии Гитлер мобилизовал до 70 дивизий и бригад, не считая финских войск на севере, и бросил их на советско-германский фронт. Действуя угрозой и подкупом, гитлеровцы вербуют также отряды из преступников и любителей чужого добра во Франции, в Бельгии, Дании, Голландии, Испании. Кроме того, гитлеровцы провели насильственную мобилизацию в Польше и в Чехословакии. Собрав всю эту дань солдатами, а также подтянув все свои основные силы и резервы, немцы создали на южных участках значительный перевес в количестве войск и технике, серьёзно потеснили наши войска и захватили ряд важных для советской страны районов и городов. Немецко-фашистские оккупанты захватили в районе Дона и на Кубани большую территорию и важные в промышленном отношении города —Ворошиловград, Новочеркасск, Шахты, Ростов, Армавир, Майкоп. Хотя большая часть населения занятых немцами районов была эвакуирована, хлеб и оборудование заводов вывезены, а частично уничтожены при отходе, Советский Союз понёс за это время значительные материальные потери.</w:t>
      </w:r>
    </w:p>
    <w:p w14:paraId="12E999E5"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Несмотря на то, что противник ввёл в бой все основные свои людские резервы и огромное количество техники, наступательные операции немцев развивались только на Воронежском и Южном направлениях и притом значительно медленнее, чем это было в первый период войны. Достаточно сказать, что на Воронежском участке немцы топчутся на месте вот уже полтора месяца, причём за последнее время на этом участке фронта местами инициативу взяли в руки советские войска. В излучине Дона в течение ряда недель Красная Армия отбивает бешеные атаки немецко-фашистских войск и перемалывает живую силу и технику противника. И только на юге немцам ценой величайших потерь удалось значительно продвинуться вперёд. Что же касается других фронтов, то немецкие войска не только не были в состоянии вести там наступательные операции, а наоборот, активные боевые действия на Брянском, Западном, Калининском и Северо-Западном фронтах ведут советские войска, истребляя в этих боях десятки тысяч немцев.</w:t>
      </w:r>
    </w:p>
    <w:p w14:paraId="26C1B218"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истекшие месяцы ожесточённых боёв на советско-германском фронте Красная Армия в упорных боях нанесла немецким, итальянским, румынским и венгерскимз ахватническим войскам огромный урон в людях и боевой технике.За три месяца активных боевых действий летом этого года, с 15 мая по 15 августа, немцы потеряли 1.250.000 солдат и офицеров, из них убитыми не менее 480.000. Они потеряли кроме того 3.390 танков, до 4.000 орудий всех калибров и не менее 4.000 самолётов.</w:t>
      </w:r>
    </w:p>
    <w:p w14:paraId="6FDA1CA1"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Потери советских войск с 15 мая по 15 августа составляют: убитыми, ранеными и пропавшими без вести 606.000 человек, 2.240 танков, 3.162 орудия всех калибров, 2.198 самолётов.</w:t>
      </w:r>
    </w:p>
    <w:p w14:paraId="1D894B7F"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Неуклюжими фальшивками и смехотворными измышлениями гитлеровская клика вновь пытается скрыть свои потери на советско-германском фронте.</w:t>
      </w:r>
    </w:p>
    <w:p w14:paraId="3721F61E"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Набивши руку на фальшивках, гитлеровцы жонглируют головокружительными лживыми цифрами. Так, 12 августа с. г. немцы опубликовали сообщение об итогах весенне-летних боёв этого года. Гитлеровцы утверждают, что немецкие войска за этот период якобы взяли 1.044.241 пленного, захватили или уничтожили 10.131 орудие, 6.271 танк и 6.056 самолётов! Опубликованные Совинформбюро фактические данные о потерях Красной Армии начисто отметают лживые сообщения гитлеровцев. Армии Гитлера и его союзников в Европе несут огромные потери. Именно этим и объясняется, почему немецкое командование несёт такую несусветную чушь о советских потерях, тщательно скрывая в то же время потери своих собственных войск. Странное дело. Советские потери гитлеровцы умудряются подсчитать до последнего человека, о своих же потерях, которые им куда виднее, упорно молчат,— как в рот воды набрали. А между тем эти потери немцев за последние три месяца медленно, но неуклонно подготавливают почву для грядущего разгрома немецких войск.» (14986).</w:t>
      </w:r>
    </w:p>
    <w:p w14:paraId="2CEBB278"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692A69B4"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августа в 1942 году завершилась Армавиро-Майкопская операция: войска Северо-Кавказского фронта остановили наступление 1-й танковой и 17-й полевой немецких армий на рубеже Самурская, Хадыженская, южнее Ключевой и Ставропольской. Противник продвинулся на 100—120 км (14986).</w:t>
      </w:r>
    </w:p>
    <w:p w14:paraId="1B25FC81"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1B5499BD"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августа в 1942 году 4-я танковая армия отошла за Дон и организовала оборону на участке от устья реки Иловля до Вертячего; на рубеже Кременская, Сиротинская, река Иловля наступление противника остановлено, попытка врага захватить Сталинград с ходу сорвана. За месяц боёв противник продвинулся лишь на 60-80 км. Советские войска организовали оборону на внешнем оборонительном обводе Сталинграда по рубежу от устья реки Иловля до района севернее Вертячего, до Ляпечева и далее от Логовского до Плодовитого (14986).</w:t>
      </w:r>
    </w:p>
    <w:p w14:paraId="179A95F8"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20780850" w14:textId="77777777" w:rsidR="00055325" w:rsidRPr="001E2C69" w:rsidRDefault="00055325" w:rsidP="00722885">
      <w:pPr>
        <w:pStyle w:val="Iauiue"/>
        <w:jc w:val="both"/>
        <w:rPr>
          <w:color w:val="000000" w:themeColor="text1"/>
          <w:sz w:val="16"/>
          <w:szCs w:val="16"/>
        </w:rPr>
      </w:pPr>
      <w:r w:rsidRPr="001E2C69">
        <w:rPr>
          <w:color w:val="000000" w:themeColor="text1"/>
          <w:sz w:val="16"/>
          <w:szCs w:val="16"/>
        </w:rPr>
        <w:t>17 августа 1942 немцы начали форсирование Дона. Пробовали остановить авиацией. Сформировали группы по 10-30 Пе-2 и Ил-2, которые прикрывались 10-15 Як-1 и Ла-5. Ил-2 делали до 3 вылетов в день и с 18 по 22 августа выполнили 1000 вылетов (340,94).</w:t>
      </w:r>
    </w:p>
    <w:p w14:paraId="37E3A7E6" w14:textId="77777777" w:rsidR="00055325" w:rsidRPr="001E2C69" w:rsidRDefault="00055325" w:rsidP="00722885">
      <w:pPr>
        <w:pStyle w:val="Iauiue"/>
        <w:jc w:val="both"/>
        <w:rPr>
          <w:color w:val="000000" w:themeColor="text1"/>
          <w:sz w:val="16"/>
          <w:szCs w:val="16"/>
        </w:rPr>
      </w:pPr>
    </w:p>
    <w:p w14:paraId="33ACFD4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17 августа 1942 был создан Новороссийский оборонительный район (3186).</w:t>
      </w:r>
    </w:p>
    <w:p w14:paraId="0E7DFED1" w14:textId="77777777" w:rsidR="00AE7191" w:rsidRPr="001E2C69" w:rsidRDefault="00AE7191" w:rsidP="00722885">
      <w:pPr>
        <w:pStyle w:val="Iauiue"/>
        <w:jc w:val="both"/>
        <w:rPr>
          <w:color w:val="000000" w:themeColor="text1"/>
          <w:sz w:val="16"/>
          <w:szCs w:val="16"/>
        </w:rPr>
      </w:pPr>
    </w:p>
    <w:p w14:paraId="12A53FDE"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августа в 1942 году образован Новороссийский оборонительный район (расформирован 12 апреля 1943), в состав которого входили корабли Азовской военной флотилии (с 5 сентября), силы Темрюкской, Керченской, Новороссийской военно-морских баз и части территории Таманского полуострова. Командующий - генерал-майор Г.П.Котов (август - сентябрь 1942), генерал-майор А.А.Гречко (сентябрь - октябрь 1942), генерал-лейтенант Ф.В.Камков (с 9 октября 1942) (14986).</w:t>
      </w:r>
    </w:p>
    <w:p w14:paraId="688FD401"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70C51895"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17 августа 1942 немецкие войска захватили Ессентуки и Пятигорск (4962).</w:t>
      </w:r>
    </w:p>
    <w:p w14:paraId="544CED63" w14:textId="77777777" w:rsidR="00AE7191" w:rsidRPr="001E2C69" w:rsidRDefault="00AE7191" w:rsidP="00722885">
      <w:pPr>
        <w:pStyle w:val="Iauiue"/>
        <w:tabs>
          <w:tab w:val="left" w:pos="11199"/>
        </w:tabs>
        <w:jc w:val="both"/>
        <w:rPr>
          <w:color w:val="000000" w:themeColor="text1"/>
          <w:sz w:val="16"/>
          <w:szCs w:val="16"/>
        </w:rPr>
      </w:pPr>
    </w:p>
    <w:p w14:paraId="263BC01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17 августа 1942 немцы начали Очередное наступление на Сталинг</w:t>
      </w:r>
      <w:r w:rsidRPr="001E2C69">
        <w:rPr>
          <w:color w:val="000000" w:themeColor="text1"/>
          <w:sz w:val="16"/>
          <w:szCs w:val="16"/>
        </w:rPr>
        <w:softHyphen/>
        <w:t>рад силами 6-й полевой (из района южнее Сиротинская) и 4-й танковой (из района Абганерово) армий. Разгорелись жестокие бои на ближних подступах к городу. "Ильюшины" фронта штурмовали войска и технику противника, переправ</w:t>
      </w:r>
      <w:r w:rsidRPr="001E2C69">
        <w:rPr>
          <w:color w:val="000000" w:themeColor="text1"/>
          <w:sz w:val="16"/>
          <w:szCs w:val="16"/>
        </w:rPr>
        <w:softHyphen/>
        <w:t>лявшиеся на участках Нижний Гераси</w:t>
      </w:r>
      <w:r w:rsidRPr="001E2C69">
        <w:rPr>
          <w:color w:val="000000" w:themeColor="text1"/>
          <w:sz w:val="16"/>
          <w:szCs w:val="16"/>
        </w:rPr>
        <w:softHyphen/>
        <w:t>мов, Перепольный, Лученский, Малонаба-товский. Противник нес значительные потери.</w:t>
      </w:r>
    </w:p>
    <w:p w14:paraId="5D45E782" w14:textId="77777777" w:rsidR="00AE7191" w:rsidRPr="001E2C69" w:rsidRDefault="00AE7191" w:rsidP="00722885">
      <w:pPr>
        <w:pStyle w:val="Iauiue"/>
        <w:jc w:val="both"/>
        <w:rPr>
          <w:iCs/>
          <w:color w:val="000000" w:themeColor="text1"/>
          <w:sz w:val="16"/>
          <w:szCs w:val="16"/>
        </w:rPr>
      </w:pPr>
    </w:p>
    <w:p w14:paraId="5DCF514C"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756EC01A" w14:textId="77777777" w:rsidR="00AE7191" w:rsidRPr="001E2C69" w:rsidRDefault="00AE7191" w:rsidP="00722885">
      <w:pPr>
        <w:pStyle w:val="Iauiue"/>
        <w:jc w:val="both"/>
        <w:rPr>
          <w:iCs/>
          <w:color w:val="000000" w:themeColor="text1"/>
          <w:sz w:val="16"/>
          <w:szCs w:val="16"/>
        </w:rPr>
      </w:pPr>
    </w:p>
    <w:p w14:paraId="34CC8A13"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17 августа в 1942 году впервые взлетел прототип «Р1767» английского торпедоносца </w:t>
      </w:r>
      <w:hyperlink r:id="rId206" w:tgtFrame="_blank" w:history="1">
        <w:r w:rsidRPr="001E2C69">
          <w:rPr>
            <w:rFonts w:ascii="Times New Roman" w:hAnsi="Times New Roman"/>
            <w:color w:val="000000" w:themeColor="text1"/>
            <w:sz w:val="16"/>
            <w:szCs w:val="16"/>
          </w:rPr>
          <w:t xml:space="preserve">«Fairey Barracuda» </w:t>
        </w:r>
      </w:hyperlink>
      <w:r w:rsidRPr="001E2C69">
        <w:rPr>
          <w:rFonts w:ascii="Times New Roman" w:hAnsi="Times New Roman"/>
          <w:color w:val="000000" w:themeColor="text1"/>
          <w:sz w:val="16"/>
          <w:szCs w:val="16"/>
        </w:rPr>
        <w:t>с двигателем Мерлин 32 (1640 л.с. при 3000 об/мин). В полетах машина хорошие характеристики и стала прототипом «Барракуды II» (14986).</w:t>
      </w:r>
    </w:p>
    <w:p w14:paraId="25D9D2A5"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3072D251"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17 августа 1942 американский самолеты бомбили Руан (первый рейд ВВС США в Европе) (4962).</w:t>
      </w:r>
    </w:p>
    <w:p w14:paraId="3FFB471E" w14:textId="77777777" w:rsidR="00AE7191" w:rsidRPr="001E2C69" w:rsidRDefault="00AE7191" w:rsidP="00722885">
      <w:pPr>
        <w:pStyle w:val="Iauiue"/>
        <w:tabs>
          <w:tab w:val="left" w:pos="11199"/>
        </w:tabs>
        <w:jc w:val="both"/>
        <w:rPr>
          <w:color w:val="000000" w:themeColor="text1"/>
          <w:sz w:val="16"/>
          <w:szCs w:val="16"/>
        </w:rPr>
      </w:pPr>
    </w:p>
    <w:p w14:paraId="25E40DA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lang w:val="en-US"/>
        </w:rPr>
        <w:t xml:space="preserve">17 August 1942 First US daylight bombing raid over Europe (270). </w:t>
      </w:r>
      <w:r w:rsidRPr="001E2C69">
        <w:rPr>
          <w:color w:val="000000" w:themeColor="text1"/>
          <w:sz w:val="16"/>
          <w:szCs w:val="16"/>
        </w:rPr>
        <w:t>First all-American air attack in Europe (1050).</w:t>
      </w:r>
    </w:p>
    <w:p w14:paraId="38EBE17C" w14:textId="77777777" w:rsidR="00AE7191" w:rsidRPr="001E2C69" w:rsidRDefault="00AE7191" w:rsidP="00722885">
      <w:pPr>
        <w:pStyle w:val="Iauiue"/>
        <w:jc w:val="both"/>
        <w:rPr>
          <w:color w:val="000000" w:themeColor="text1"/>
          <w:sz w:val="16"/>
          <w:szCs w:val="16"/>
        </w:rPr>
      </w:pPr>
    </w:p>
    <w:p w14:paraId="6FF3BD56" w14:textId="77777777" w:rsidR="004C1168" w:rsidRPr="001E2C69" w:rsidRDefault="004C11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августа 1942 тяжелые бомбардировщики Восьмой армии ВВС США проводят свой первый налет - нападение на железнодорожный сортировочный узел в Руане, Франция (20793).</w:t>
      </w:r>
    </w:p>
    <w:p w14:paraId="74B37297" w14:textId="77777777" w:rsidR="004C1168" w:rsidRPr="001E2C69" w:rsidRDefault="004C1168" w:rsidP="00722885">
      <w:pPr>
        <w:spacing w:after="0" w:line="240" w:lineRule="auto"/>
        <w:jc w:val="both"/>
        <w:rPr>
          <w:rFonts w:ascii="Times New Roman" w:hAnsi="Times New Roman"/>
          <w:color w:val="000000" w:themeColor="text1"/>
          <w:sz w:val="16"/>
          <w:szCs w:val="16"/>
        </w:rPr>
      </w:pPr>
    </w:p>
    <w:p w14:paraId="23400FDB" w14:textId="69D2C41B" w:rsidR="004C1168" w:rsidRPr="001E2C69" w:rsidRDefault="004C11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августа 1942</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Американские самолёты совершили налет на железнодорожный узел в г.Соттевиль-ле-Руан в северо-западной части Франции. (первый рейд 12 бомбардировщиков B-17 8-й армии ВВС США в Европе) (22396).</w:t>
      </w:r>
    </w:p>
    <w:p w14:paraId="6BAD07EB" w14:textId="77777777" w:rsidR="004C1168" w:rsidRPr="001E2C69" w:rsidRDefault="004C1168" w:rsidP="00722885">
      <w:pPr>
        <w:spacing w:after="0" w:line="240" w:lineRule="auto"/>
        <w:jc w:val="both"/>
        <w:rPr>
          <w:rFonts w:ascii="Times New Roman" w:hAnsi="Times New Roman"/>
          <w:color w:val="000000" w:themeColor="text1"/>
          <w:sz w:val="16"/>
          <w:szCs w:val="16"/>
        </w:rPr>
      </w:pPr>
    </w:p>
    <w:p w14:paraId="6815A786" w14:textId="77777777" w:rsidR="004C1168" w:rsidRPr="001E2C69" w:rsidRDefault="004C11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 августа 1942 года несколько «фортов» 97th BG полковника Фрэнка Армстронга впервые нанесли удар по объекту на территории Европы — железнодорожной станции Руан-Сотевиль. Немецкая ПВО не была готова к дневной атаке, и американцы отбомбились без помех, но результат оказался слабым (22838).</w:t>
      </w:r>
    </w:p>
    <w:p w14:paraId="21C8A1EA" w14:textId="77777777" w:rsidR="004C1168" w:rsidRPr="001E2C69" w:rsidRDefault="004C1168" w:rsidP="00722885">
      <w:pPr>
        <w:spacing w:after="0" w:line="240" w:lineRule="auto"/>
        <w:jc w:val="both"/>
        <w:rPr>
          <w:rFonts w:ascii="Times New Roman" w:hAnsi="Times New Roman"/>
          <w:color w:val="000000" w:themeColor="text1"/>
          <w:sz w:val="16"/>
          <w:szCs w:val="16"/>
        </w:rPr>
      </w:pPr>
    </w:p>
    <w:p w14:paraId="4C361F8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17 августа 1942 состоялся первый дневной налет американцев на железнодорожную станцию во Франции (270). Полностью американский (1050) на 12 В-17, но в сопровождении Спитфайров. Первые В-24 Либерейторы прибыли только в сентябре 1942 (2245,8).</w:t>
      </w:r>
    </w:p>
    <w:p w14:paraId="53642A79" w14:textId="77777777" w:rsidR="00AE7191" w:rsidRPr="001E2C69" w:rsidRDefault="00AE7191" w:rsidP="00722885">
      <w:pPr>
        <w:pStyle w:val="Iauiue"/>
        <w:jc w:val="both"/>
        <w:rPr>
          <w:color w:val="000000" w:themeColor="text1"/>
          <w:sz w:val="16"/>
          <w:szCs w:val="16"/>
        </w:rPr>
      </w:pPr>
    </w:p>
    <w:p w14:paraId="44BE592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17 августа 1942 англичане и канадцы выполнили рейд на Дьеп (2261).</w:t>
      </w:r>
    </w:p>
    <w:p w14:paraId="556EBD94" w14:textId="77777777" w:rsidR="00AE7191" w:rsidRPr="001E2C69" w:rsidRDefault="00AE7191" w:rsidP="00722885">
      <w:pPr>
        <w:pStyle w:val="Iauiue"/>
        <w:jc w:val="both"/>
        <w:rPr>
          <w:color w:val="000000" w:themeColor="text1"/>
          <w:sz w:val="16"/>
          <w:szCs w:val="16"/>
        </w:rPr>
      </w:pPr>
    </w:p>
    <w:p w14:paraId="3EF306BB" w14:textId="77777777" w:rsidR="004C1168" w:rsidRPr="001E2C69" w:rsidRDefault="004C11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lang w:eastAsia="ru-RU" w:bidi="ru-RU"/>
        </w:rPr>
        <w:t>17 августа 1942 бор</w:t>
      </w:r>
      <w:r w:rsidRPr="001E2C69">
        <w:rPr>
          <w:rFonts w:ascii="Times New Roman" w:hAnsi="Times New Roman"/>
          <w:color w:val="000000" w:themeColor="text1"/>
          <w:sz w:val="16"/>
          <w:szCs w:val="16"/>
          <w:lang w:eastAsia="ru-RU" w:bidi="ru-RU"/>
        </w:rPr>
        <w:softHyphen/>
        <w:t xml:space="preserve">товой самолет </w:t>
      </w:r>
      <w:r w:rsidRPr="001E2C69">
        <w:rPr>
          <w:rFonts w:ascii="Times New Roman" w:hAnsi="Times New Roman"/>
          <w:color w:val="000000" w:themeColor="text1"/>
          <w:sz w:val="16"/>
          <w:szCs w:val="16"/>
          <w:lang w:val="en-US" w:bidi="en-US"/>
        </w:rPr>
        <w:t>E</w:t>
      </w:r>
      <w:r w:rsidRPr="001E2C69">
        <w:rPr>
          <w:rFonts w:ascii="Times New Roman" w:hAnsi="Times New Roman"/>
          <w:color w:val="000000" w:themeColor="text1"/>
          <w:sz w:val="16"/>
          <w:szCs w:val="16"/>
          <w:lang w:bidi="en-US"/>
        </w:rPr>
        <w:t>14</w:t>
      </w:r>
      <w:r w:rsidRPr="001E2C69">
        <w:rPr>
          <w:rFonts w:ascii="Times New Roman" w:hAnsi="Times New Roman"/>
          <w:color w:val="000000" w:themeColor="text1"/>
          <w:sz w:val="16"/>
          <w:szCs w:val="16"/>
          <w:lang w:val="en-US" w:bidi="en-US"/>
        </w:rPr>
        <w:t>Y</w:t>
      </w:r>
      <w:r w:rsidRPr="001E2C69">
        <w:rPr>
          <w:rFonts w:ascii="Times New Roman" w:hAnsi="Times New Roman"/>
          <w:color w:val="000000" w:themeColor="text1"/>
          <w:sz w:val="16"/>
          <w:szCs w:val="16"/>
          <w:lang w:bidi="en-US"/>
        </w:rPr>
        <w:t xml:space="preserve"> японской п/л 1</w:t>
      </w:r>
      <w:r w:rsidRPr="001E2C69">
        <w:rPr>
          <w:rFonts w:ascii="Times New Roman" w:hAnsi="Times New Roman"/>
          <w:color w:val="000000" w:themeColor="text1"/>
          <w:sz w:val="16"/>
          <w:szCs w:val="16"/>
          <w:lang w:eastAsia="ru-RU" w:bidi="ru-RU"/>
        </w:rPr>
        <w:t>1-25</w:t>
      </w:r>
      <w:r w:rsidRPr="001E2C69">
        <w:rPr>
          <w:rFonts w:ascii="Times New Roman" w:hAnsi="Times New Roman"/>
          <w:color w:val="000000" w:themeColor="text1"/>
          <w:sz w:val="16"/>
          <w:szCs w:val="16"/>
          <w:lang w:bidi="en-US"/>
        </w:rPr>
        <w:t xml:space="preserve">, </w:t>
      </w:r>
      <w:r w:rsidRPr="001E2C69">
        <w:rPr>
          <w:rFonts w:ascii="Times New Roman" w:hAnsi="Times New Roman"/>
          <w:color w:val="000000" w:themeColor="text1"/>
          <w:sz w:val="16"/>
          <w:szCs w:val="16"/>
          <w:lang w:eastAsia="ru-RU" w:bidi="ru-RU"/>
        </w:rPr>
        <w:t>под управлением мичмана Фудзиты впервые произвел воздушную бомбардировку террито</w:t>
      </w:r>
      <w:r w:rsidRPr="001E2C69">
        <w:rPr>
          <w:rFonts w:ascii="Times New Roman" w:hAnsi="Times New Roman"/>
          <w:color w:val="000000" w:themeColor="text1"/>
          <w:sz w:val="16"/>
          <w:szCs w:val="16"/>
          <w:lang w:eastAsia="ru-RU" w:bidi="ru-RU"/>
        </w:rPr>
        <w:softHyphen/>
        <w:t>рии США. Залетев на 50 миль вглубь материка, самолет сбросил две зажи</w:t>
      </w:r>
      <w:r w:rsidRPr="001E2C69">
        <w:rPr>
          <w:rFonts w:ascii="Times New Roman" w:hAnsi="Times New Roman"/>
          <w:color w:val="000000" w:themeColor="text1"/>
          <w:sz w:val="16"/>
          <w:szCs w:val="16"/>
          <w:lang w:eastAsia="ru-RU" w:bidi="ru-RU"/>
        </w:rPr>
        <w:softHyphen/>
        <w:t>гательные бомбы в лесном массиве штата Орегон. Такой, оригинальный на первый взгляд, выбор цели был вы</w:t>
      </w:r>
      <w:r w:rsidRPr="001E2C69">
        <w:rPr>
          <w:rFonts w:ascii="Times New Roman" w:hAnsi="Times New Roman"/>
          <w:color w:val="000000" w:themeColor="text1"/>
          <w:sz w:val="16"/>
          <w:szCs w:val="16"/>
          <w:lang w:eastAsia="ru-RU" w:bidi="ru-RU"/>
        </w:rPr>
        <w:softHyphen/>
        <w:t xml:space="preserve">зван тем, что две 76 кг бомбы (которые только и мог поднять </w:t>
      </w:r>
      <w:r w:rsidRPr="001E2C69">
        <w:rPr>
          <w:rFonts w:ascii="Times New Roman" w:hAnsi="Times New Roman"/>
          <w:color w:val="000000" w:themeColor="text1"/>
          <w:sz w:val="16"/>
          <w:szCs w:val="16"/>
          <w:lang w:val="en-US" w:bidi="en-US"/>
        </w:rPr>
        <w:t>E</w:t>
      </w:r>
      <w:r w:rsidRPr="001E2C69">
        <w:rPr>
          <w:rFonts w:ascii="Times New Roman" w:hAnsi="Times New Roman"/>
          <w:color w:val="000000" w:themeColor="text1"/>
          <w:sz w:val="16"/>
          <w:szCs w:val="16"/>
          <w:lang w:bidi="en-US"/>
        </w:rPr>
        <w:t>14</w:t>
      </w:r>
      <w:r w:rsidRPr="001E2C69">
        <w:rPr>
          <w:rFonts w:ascii="Times New Roman" w:hAnsi="Times New Roman"/>
          <w:color w:val="000000" w:themeColor="text1"/>
          <w:sz w:val="16"/>
          <w:szCs w:val="16"/>
          <w:lang w:val="en-US" w:bidi="en-US"/>
        </w:rPr>
        <w:t>Y</w:t>
      </w:r>
      <w:r w:rsidRPr="001E2C69">
        <w:rPr>
          <w:rFonts w:ascii="Times New Roman" w:hAnsi="Times New Roman"/>
          <w:color w:val="000000" w:themeColor="text1"/>
          <w:sz w:val="16"/>
          <w:szCs w:val="16"/>
          <w:lang w:bidi="en-US"/>
        </w:rPr>
        <w:t xml:space="preserve">1) </w:t>
      </w:r>
      <w:r w:rsidRPr="001E2C69">
        <w:rPr>
          <w:rFonts w:ascii="Times New Roman" w:hAnsi="Times New Roman"/>
          <w:color w:val="000000" w:themeColor="text1"/>
          <w:sz w:val="16"/>
          <w:szCs w:val="16"/>
          <w:lang w:eastAsia="ru-RU" w:bidi="ru-RU"/>
        </w:rPr>
        <w:t>не были в состоянии нанести сколько-нибудь су</w:t>
      </w:r>
      <w:r w:rsidRPr="001E2C69">
        <w:rPr>
          <w:rFonts w:ascii="Times New Roman" w:hAnsi="Times New Roman"/>
          <w:color w:val="000000" w:themeColor="text1"/>
          <w:sz w:val="16"/>
          <w:szCs w:val="16"/>
          <w:lang w:eastAsia="ru-RU" w:bidi="ru-RU"/>
        </w:rPr>
        <w:softHyphen/>
        <w:t>щественный ущерб промышленному объекту или городу, поэтому японцы надеялись вызвать крупный лесной пожар. Возникшая при этом паника, помогла бы до</w:t>
      </w:r>
      <w:r w:rsidRPr="001E2C69">
        <w:rPr>
          <w:rFonts w:ascii="Times New Roman" w:hAnsi="Times New Roman"/>
          <w:color w:val="000000" w:themeColor="text1"/>
          <w:sz w:val="16"/>
          <w:szCs w:val="16"/>
          <w:lang w:eastAsia="ru-RU" w:bidi="ru-RU"/>
        </w:rPr>
        <w:softHyphen/>
        <w:t>биться серьезного пропаган</w:t>
      </w:r>
      <w:r w:rsidRPr="001E2C69">
        <w:rPr>
          <w:rFonts w:ascii="Times New Roman" w:hAnsi="Times New Roman"/>
          <w:color w:val="000000" w:themeColor="text1"/>
          <w:sz w:val="16"/>
          <w:szCs w:val="16"/>
          <w:lang w:eastAsia="ru-RU" w:bidi="ru-RU"/>
        </w:rPr>
        <w:softHyphen/>
        <w:t>дистского успеха, показав, что японская авиация способна наносить удары по Америке. В результате этой бомбарди</w:t>
      </w:r>
      <w:r w:rsidRPr="001E2C69">
        <w:rPr>
          <w:rFonts w:ascii="Times New Roman" w:hAnsi="Times New Roman"/>
          <w:color w:val="000000" w:themeColor="text1"/>
          <w:sz w:val="16"/>
          <w:szCs w:val="16"/>
          <w:lang w:eastAsia="ru-RU" w:bidi="ru-RU"/>
        </w:rPr>
        <w:softHyphen/>
        <w:t>ровки в лесах Орегона дейс</w:t>
      </w:r>
      <w:r w:rsidRPr="001E2C69">
        <w:rPr>
          <w:rFonts w:ascii="Times New Roman" w:hAnsi="Times New Roman"/>
          <w:color w:val="000000" w:themeColor="text1"/>
          <w:sz w:val="16"/>
          <w:szCs w:val="16"/>
          <w:lang w:eastAsia="ru-RU" w:bidi="ru-RU"/>
        </w:rPr>
        <w:softHyphen/>
        <w:t>твительно возник обширный пожар. На обратном пути са</w:t>
      </w:r>
      <w:r w:rsidRPr="001E2C69">
        <w:rPr>
          <w:rFonts w:ascii="Times New Roman" w:hAnsi="Times New Roman"/>
          <w:color w:val="000000" w:themeColor="text1"/>
          <w:sz w:val="16"/>
          <w:szCs w:val="16"/>
          <w:lang w:eastAsia="ru-RU" w:bidi="ru-RU"/>
        </w:rPr>
        <w:softHyphen/>
        <w:t>молет Фудзиты был замечен с проходивших рядом торговых судов, флот и авиация США бросились на поиски субмари</w:t>
      </w:r>
      <w:r w:rsidRPr="001E2C69">
        <w:rPr>
          <w:rFonts w:ascii="Times New Roman" w:hAnsi="Times New Roman"/>
          <w:color w:val="000000" w:themeColor="text1"/>
          <w:sz w:val="16"/>
          <w:szCs w:val="16"/>
          <w:lang w:eastAsia="ru-RU" w:bidi="ru-RU"/>
        </w:rPr>
        <w:softHyphen/>
        <w:t>ны, однако 1-25 удалось уйти от преследования, и направиться вдоль западного побережья США на юг (22807).</w:t>
      </w:r>
    </w:p>
    <w:p w14:paraId="0C560768" w14:textId="77777777" w:rsidR="004C1168" w:rsidRPr="001E2C69" w:rsidRDefault="004C1168" w:rsidP="00722885">
      <w:pPr>
        <w:spacing w:after="0" w:line="240" w:lineRule="auto"/>
        <w:jc w:val="both"/>
        <w:rPr>
          <w:rFonts w:ascii="Times New Roman" w:hAnsi="Times New Roman"/>
          <w:color w:val="000000" w:themeColor="text1"/>
          <w:sz w:val="16"/>
          <w:szCs w:val="16"/>
        </w:rPr>
      </w:pPr>
    </w:p>
    <w:p w14:paraId="146BA824"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011E2A99" w14:textId="77777777" w:rsidR="00AE7191" w:rsidRPr="001E2C69" w:rsidRDefault="00AE7191" w:rsidP="00722885">
      <w:pPr>
        <w:pStyle w:val="Iauiue"/>
        <w:jc w:val="both"/>
        <w:rPr>
          <w:iCs/>
          <w:color w:val="000000" w:themeColor="text1"/>
          <w:sz w:val="16"/>
          <w:szCs w:val="16"/>
        </w:rPr>
      </w:pPr>
    </w:p>
    <w:p w14:paraId="7D54E7E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18 августа 1942 были получены следующие ЛТД Ил-2 с АМ-38Ф: N = 1760 л.с., Вес пустого 4321 кг, Вес полетный - 5873 кг, Максимальная скорость у земли - 372 км/час, Максимальная скорость на высоте 1750 м - 391 км/час, время подъема на высоту 5000 м - 21 мин., Практический потолок - 5500 м, запас горючего - 530 кг, длинна разбега с использованием щитков - 375 м, без щитков - 470 м (462,23-24).</w:t>
      </w:r>
    </w:p>
    <w:p w14:paraId="3D525FB7" w14:textId="77777777" w:rsidR="00AE7191" w:rsidRPr="001E2C69" w:rsidRDefault="00AE7191" w:rsidP="00722885">
      <w:pPr>
        <w:pStyle w:val="Iauiue"/>
        <w:jc w:val="both"/>
        <w:rPr>
          <w:color w:val="000000" w:themeColor="text1"/>
          <w:sz w:val="16"/>
          <w:szCs w:val="16"/>
        </w:rPr>
      </w:pPr>
    </w:p>
    <w:p w14:paraId="1C2ED52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августа полеты Ил-2 с АМ-38ф в ходе контрольных испы</w:t>
      </w:r>
      <w:r w:rsidRPr="001E2C69">
        <w:rPr>
          <w:rFonts w:ascii="Times New Roman" w:hAnsi="Times New Roman"/>
          <w:color w:val="000000" w:themeColor="text1"/>
          <w:sz w:val="16"/>
          <w:szCs w:val="16"/>
        </w:rPr>
        <w:softHyphen/>
        <w:t>таний в НИИ ВВС, которые в целом подтвердили результа</w:t>
      </w:r>
      <w:r w:rsidRPr="001E2C69">
        <w:rPr>
          <w:rFonts w:ascii="Times New Roman" w:hAnsi="Times New Roman"/>
          <w:color w:val="000000" w:themeColor="text1"/>
          <w:sz w:val="16"/>
          <w:szCs w:val="16"/>
        </w:rPr>
        <w:softHyphen/>
        <w:t>ты заводских испытаний, были прекращены и самолет возвращен на завод № 18 для устранения обнаруженных дефектов и доводки вин</w:t>
      </w:r>
      <w:r w:rsidRPr="001E2C69">
        <w:rPr>
          <w:rFonts w:ascii="Times New Roman" w:hAnsi="Times New Roman"/>
          <w:color w:val="000000" w:themeColor="text1"/>
          <w:sz w:val="16"/>
          <w:szCs w:val="16"/>
        </w:rPr>
        <w:softHyphen/>
        <w:t>томоторной группы до требуемого уровня надежности. Неудовлетвори</w:t>
      </w:r>
      <w:r w:rsidRPr="001E2C69">
        <w:rPr>
          <w:rFonts w:ascii="Times New Roman" w:hAnsi="Times New Roman"/>
          <w:color w:val="000000" w:themeColor="text1"/>
          <w:sz w:val="16"/>
          <w:szCs w:val="16"/>
        </w:rPr>
        <w:softHyphen/>
        <w:t>тельная работа мотора привела к томку, что про</w:t>
      </w:r>
      <w:r w:rsidRPr="001E2C69">
        <w:rPr>
          <w:rFonts w:ascii="Times New Roman" w:hAnsi="Times New Roman"/>
          <w:color w:val="000000" w:themeColor="text1"/>
          <w:sz w:val="16"/>
          <w:szCs w:val="16"/>
        </w:rPr>
        <w:softHyphen/>
        <w:t>грамму летных испытаний в полном объеме выполнить не удалось.</w:t>
      </w:r>
    </w:p>
    <w:p w14:paraId="4BB44C0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Работы по доводке АМ-38ф проходили достаточно успеш</w:t>
      </w:r>
      <w:r w:rsidRPr="001E2C69">
        <w:rPr>
          <w:rFonts w:ascii="Times New Roman" w:hAnsi="Times New Roman"/>
          <w:color w:val="000000" w:themeColor="text1"/>
          <w:sz w:val="16"/>
          <w:szCs w:val="16"/>
        </w:rPr>
        <w:softHyphen/>
        <w:t>но, и уже в сентябре 1942 г. были проведены повторные 50-ча</w:t>
      </w:r>
      <w:r w:rsidRPr="001E2C69">
        <w:rPr>
          <w:rFonts w:ascii="Times New Roman" w:hAnsi="Times New Roman"/>
          <w:color w:val="000000" w:themeColor="text1"/>
          <w:sz w:val="16"/>
          <w:szCs w:val="16"/>
        </w:rPr>
        <w:softHyphen/>
        <w:t>совые специальные летные испытания мотора на самолете Ил-2. За время испытаний мотор и его агрегаты работали на</w:t>
      </w:r>
      <w:r w:rsidRPr="001E2C69">
        <w:rPr>
          <w:rFonts w:ascii="Times New Roman" w:hAnsi="Times New Roman"/>
          <w:color w:val="000000" w:themeColor="text1"/>
          <w:sz w:val="16"/>
          <w:szCs w:val="16"/>
        </w:rPr>
        <w:softHyphen/>
        <w:t>дежно и дефектов не имели. Наработка мотора на взлетном ре</w:t>
      </w:r>
      <w:r w:rsidRPr="001E2C69">
        <w:rPr>
          <w:rFonts w:ascii="Times New Roman" w:hAnsi="Times New Roman"/>
          <w:color w:val="000000" w:themeColor="text1"/>
          <w:sz w:val="16"/>
          <w:szCs w:val="16"/>
        </w:rPr>
        <w:softHyphen/>
        <w:t>жиме составила 2 ч 5 мин., а на номинальном и 0,5 от номи</w:t>
      </w:r>
      <w:r w:rsidRPr="001E2C69">
        <w:rPr>
          <w:rFonts w:ascii="Times New Roman" w:hAnsi="Times New Roman"/>
          <w:color w:val="000000" w:themeColor="text1"/>
          <w:sz w:val="16"/>
          <w:szCs w:val="16"/>
        </w:rPr>
        <w:softHyphen/>
        <w:t>нального — 43 ч 14 мин. (11474,300).</w:t>
      </w:r>
    </w:p>
    <w:p w14:paraId="5ED582F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400EBA3D" w14:textId="77777777" w:rsidR="00FA7E38" w:rsidRPr="001E2C69" w:rsidRDefault="00FA7E3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августа 1942 г. был утвержден отчет о заводских испытаниях одноместного Ил-2 М-82ИР, который успешно прошел их к середине августа 1942 года, однако на государственные испытания штурмо- вик не передавался и в дальнейшем все работы по нему были прекращены (19535).</w:t>
      </w:r>
    </w:p>
    <w:p w14:paraId="100B94F3" w14:textId="77777777" w:rsidR="00FA7E38" w:rsidRPr="001E2C69" w:rsidRDefault="00FA7E38" w:rsidP="00722885">
      <w:pPr>
        <w:spacing w:after="0" w:line="240" w:lineRule="auto"/>
        <w:jc w:val="both"/>
        <w:rPr>
          <w:rFonts w:ascii="Times New Roman" w:hAnsi="Times New Roman"/>
          <w:color w:val="000000" w:themeColor="text1"/>
          <w:sz w:val="16"/>
          <w:szCs w:val="16"/>
        </w:rPr>
      </w:pPr>
    </w:p>
    <w:p w14:paraId="275DD92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18 августа 1942 Нач. управления заказов самолетов и моторов ГУЗ и ПС ВВС Алексеев писал Воронину письмо N 376287:</w:t>
      </w:r>
    </w:p>
    <w:p w14:paraId="565FE9A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"Препровождаю Вам копию заключения:</w:t>
      </w:r>
    </w:p>
    <w:p w14:paraId="3893B8F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Прошу указаний директорам заводов 1, 18, 30 и 381 ввести в серию на самолетах Ил-2 приспособления для загрузки и сбрасывания мелких бомб и ампул без применения кассет КМБ-Ил-2 и замену наружных бомбодержателей замками ДЗ-40 (1632,9).</w:t>
      </w:r>
    </w:p>
    <w:p w14:paraId="162C650E" w14:textId="77777777" w:rsidR="00AE7191" w:rsidRPr="001E2C69" w:rsidRDefault="00AE7191" w:rsidP="00722885">
      <w:pPr>
        <w:pStyle w:val="Iauiue"/>
        <w:jc w:val="both"/>
        <w:rPr>
          <w:color w:val="000000" w:themeColor="text1"/>
          <w:sz w:val="16"/>
          <w:szCs w:val="16"/>
        </w:rPr>
      </w:pPr>
    </w:p>
    <w:p w14:paraId="402D84D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18 августа 1942 А.И.Ш. писал Нач. ГУ заказов и техснабжения Селезневу письмо N 1503 вг:</w:t>
      </w:r>
    </w:p>
    <w:p w14:paraId="2D4DA27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С 15 октября 1942 самолеты Ил-2 будут выпускаться с модернизированными бомбоотсеками центроплана, благодаря чему каждый самолет может быть использован для загрузки мелкими бомбами без применения спец. кассет" (1632,76).</w:t>
      </w:r>
    </w:p>
    <w:p w14:paraId="165D9255" w14:textId="77777777" w:rsidR="00AE7191" w:rsidRPr="001E2C69" w:rsidRDefault="00AE7191" w:rsidP="00722885">
      <w:pPr>
        <w:pStyle w:val="Iauiue"/>
        <w:jc w:val="both"/>
        <w:rPr>
          <w:color w:val="000000" w:themeColor="text1"/>
          <w:sz w:val="16"/>
          <w:szCs w:val="16"/>
        </w:rPr>
      </w:pPr>
    </w:p>
    <w:p w14:paraId="1EC3931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18 августа 1942 г. был утвержден отчет по заводским испытаниям одноместного Ил-2 М-82ИР, однако на государственные испытания штурмовик не передавался и в дальнейшем все работы по нему были прекращены (6467).</w:t>
      </w:r>
    </w:p>
    <w:p w14:paraId="4FEE5C0D" w14:textId="77777777" w:rsidR="00AE7191" w:rsidRPr="001E2C69" w:rsidRDefault="00AE7191" w:rsidP="00722885">
      <w:pPr>
        <w:pStyle w:val="Iauiue"/>
        <w:jc w:val="both"/>
        <w:rPr>
          <w:color w:val="000000" w:themeColor="text1"/>
          <w:sz w:val="16"/>
          <w:szCs w:val="16"/>
        </w:rPr>
      </w:pPr>
    </w:p>
    <w:p w14:paraId="064E4D3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18 августа 1942 г.С.В.Ильюшин утвердил чертеж общего вида новой машины, Ил-6 (9528). По сравнению с Ил-4 и ДБ-4 усиливалось оборонительное вооружение, которое по требованию заказчика должно было быть таким же, как и на немецких самолетах Хейнкель Не-111 Н-11. Однако в отличие от наружной подвески бомб на Не-111 Н-11, самолет Ил-6 должен был нести нормальный бомбовый груз в 2000 кг из авиабомб большого калибра на внутренней подвеске в фюзеляжном бомбоотсеке (9528).</w:t>
      </w:r>
    </w:p>
    <w:p w14:paraId="04F61A4B" w14:textId="77777777" w:rsidR="00AE7191" w:rsidRPr="001E2C69" w:rsidRDefault="00AE7191" w:rsidP="00722885">
      <w:pPr>
        <w:pStyle w:val="Iauiue"/>
        <w:jc w:val="both"/>
        <w:rPr>
          <w:color w:val="000000" w:themeColor="text1"/>
          <w:sz w:val="16"/>
          <w:szCs w:val="16"/>
        </w:rPr>
      </w:pPr>
    </w:p>
    <w:p w14:paraId="705B6FC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августа 1942 г. С.В.Ильюшин утвердил чертеж общего вида нового бомбардировщика Ил-6, эскизный проект Ил-6 был закончен осенью, а 25 ноября начальник НИИ ВВС подписал заключение с положительной оценкой проектных данных самолета Ил-6 2М-71. Однако руководство ВВС высказало сомнение относительно увеличения дальности полета с максимальной бомбовой нагрузкой и предложило заменить бензиновые звездообразные моторы М-71, которые нуждались в длительной доводке, двумя рядными дизелями АЧ-30Б.</w:t>
      </w:r>
    </w:p>
    <w:p w14:paraId="7EDB4E5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Целесообразность установки на Ил-6 дизельных двигателей определялась их высокой экономичностью и возможностью использования: они расходовали примерно 40% меньше топлива, чем бензиновые двигатели и вместо высокооктанового бензина потребляли более дешевый керосин, который к тому же обеспечивал лучшую взрыво- и пожаро- безопасность.</w:t>
      </w:r>
    </w:p>
    <w:p w14:paraId="3E5A9E1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Расчеты показали, что экономичность дизеля делает выгодной его установку на самолете, имеющем продолжительность полета более 5 ч. Совершая налеты на Берлин с подмосковных аэродромов, Ил-6 с дизелями могли бы нести примерно в два раза больше бомб, чем в варианте с бензиновыми М-71.</w:t>
      </w:r>
    </w:p>
    <w:p w14:paraId="3570349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установки на Ил-6 предназначался АЧ-30БФ - форсированный вариант с взлетной мощностью 1900 л.с. и более высоким уровнем надежности. Проектные размеры самолета Ил-6 с дизельными двигателями пришлось пересмотреть: увеличить площадь крыла и взлетную массу самолета. Эскизный проект самолета с дизельными двигателями был закончен в декабре 1942 г. (12037).</w:t>
      </w:r>
    </w:p>
    <w:p w14:paraId="2C9D98CF"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4FC19E3" w14:textId="77777777" w:rsidR="00055325" w:rsidRPr="001E2C69" w:rsidRDefault="00055325"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18-го августа 1942 года С.В. Ильюшин утвердил чертеж общего вида нового бомбардировщика Ил-6. Рабочие чертежи ИЛ-6 были готовы в начале 1943 года. Две опытные машины решили строить в Иркутске. Можно предположить, что заказ на постройку был получен не без участия С.В. Ильюшина, который прекрасно знал возможности специалистов московского завода, на котором он до недавнего времени работал главным конструктором. Согласно Постановлению ГКО № 29999сс от 7-го марта 1943 года, первый опытный экземпляр Ил-6 необходимо было передать на летные испытания 25-го июня, а второй – 10-го июля (15223).</w:t>
      </w:r>
    </w:p>
    <w:p w14:paraId="4679E764" w14:textId="77777777" w:rsidR="00055325" w:rsidRPr="001E2C69" w:rsidRDefault="00055325" w:rsidP="00722885">
      <w:pPr>
        <w:shd w:val="clear" w:color="auto" w:fill="FFFFFF"/>
        <w:spacing w:after="0" w:line="240" w:lineRule="auto"/>
        <w:jc w:val="both"/>
        <w:rPr>
          <w:rFonts w:ascii="Times New Roman" w:hAnsi="Times New Roman"/>
          <w:color w:val="000000" w:themeColor="text1"/>
          <w:sz w:val="16"/>
          <w:szCs w:val="16"/>
        </w:rPr>
      </w:pPr>
    </w:p>
    <w:p w14:paraId="4DAEBD9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18 августа 1942 на 29 заводе произошла авария ДБ-3Ф N 391005 с М-88Б (2131) транспортного л П.Г.Демченко. Из-за течи бензина начался пожар в воздухе. Экипаж спася (2108).</w:t>
      </w:r>
    </w:p>
    <w:p w14:paraId="43AB6680" w14:textId="77777777" w:rsidR="00AE7191" w:rsidRPr="001E2C69" w:rsidRDefault="00AE7191" w:rsidP="00722885">
      <w:pPr>
        <w:pStyle w:val="Iauiue"/>
        <w:jc w:val="both"/>
        <w:rPr>
          <w:color w:val="000000" w:themeColor="text1"/>
          <w:sz w:val="16"/>
          <w:szCs w:val="16"/>
        </w:rPr>
      </w:pPr>
    </w:p>
    <w:p w14:paraId="21881BE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18 августа 1942 Нач. СИМ ГУЗ и ТС ВВС и-п Алексеев писал письмо N 376280 Воронину:</w:t>
      </w:r>
    </w:p>
    <w:p w14:paraId="7DA28FB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"Самолеты ЛаГГ-3 выпускаемые заводами 21 и 31 различаются по конструкции и монтажам.</w:t>
      </w:r>
    </w:p>
    <w:p w14:paraId="606FEE1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Это ведет к нарушению взаимозаменяемости и создает путаницу в снабжении запчастями.</w:t>
      </w:r>
    </w:p>
    <w:p w14:paraId="410DD26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ГК заводов 21 С.А.Л. и 31 Горбунов создают такую же путаницу по Ла-5 М-82.</w:t>
      </w:r>
    </w:p>
    <w:p w14:paraId="4A4CADE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Прошу обязать ГК завода 21 С.А.Л. возглавить работы по доводке и отработке самолетов ЛаГГ-3 и Ла-5 на обоих заводах и обеспечить полную взаимозаменяемость всех деталей и агрегатов самолетов, выпускаемых этими заводами." (1315,11).</w:t>
      </w:r>
    </w:p>
    <w:p w14:paraId="7AB84883" w14:textId="77777777" w:rsidR="00AE7191" w:rsidRPr="001E2C69" w:rsidRDefault="00AE7191" w:rsidP="00722885">
      <w:pPr>
        <w:pStyle w:val="Iauiue"/>
        <w:jc w:val="both"/>
        <w:rPr>
          <w:color w:val="000000" w:themeColor="text1"/>
          <w:sz w:val="16"/>
          <w:szCs w:val="16"/>
        </w:rPr>
      </w:pPr>
    </w:p>
    <w:p w14:paraId="0AC2C26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18 августа 1942 года Шахурин писал письмо Маленкову.</w:t>
      </w:r>
    </w:p>
    <w:p w14:paraId="6CA7AF3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вопросу: Организации производства санитарных самолетов С-2.</w:t>
      </w:r>
    </w:p>
    <w:p w14:paraId="77F9E91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При вторичной проработке вопроса, Наркомавиапром считает нецелесообразной организацию производства санитарных самолетов С-2 по следующим причинам:</w:t>
      </w:r>
    </w:p>
    <w:p w14:paraId="496FC0A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Самолет С-2 конструктивно отличается от самолета У-2 и его производство потребует организации параллельного потока, что осуществить на заводе N 387 не представляется возможным из-за недостатка сборочных площадей.</w:t>
      </w:r>
    </w:p>
    <w:p w14:paraId="5F3E30B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Трудоемкость самолета С-2 в два раза больше трудоемкости самолета У-2 и потребует значительного увеличения числа рабочих и механического оборудования.</w:t>
      </w:r>
    </w:p>
    <w:p w14:paraId="6FDFADD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Оснастка самолета С-2 отсутствует.</w:t>
      </w:r>
    </w:p>
    <w:p w14:paraId="731D681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lastRenderedPageBreak/>
        <w:t>4. Организация производства самолетов С-2 потребует на подготовку производства и изготовление специальной оснастки не менее 2,5-3 месяцев и расходов свыше 2000 тыс. рублей.</w:t>
      </w:r>
    </w:p>
    <w:p w14:paraId="4A2E7FB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Для увеличения парка санитарных самолетов Наркомавиапром может, в счет утвержденной ГОКО программы, поставлять Военно-санитарному управлению самолеты У-2, оборудованные санитарными кабинами Бакшаева.</w:t>
      </w:r>
    </w:p>
    <w:p w14:paraId="74E5543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Это даст возможность сохранить количественный выпуск самолетов У-2 и пополнить санитарную авиацию новыми самолетами (2728,137).</w:t>
      </w:r>
    </w:p>
    <w:p w14:paraId="1CDD5EB6" w14:textId="77777777" w:rsidR="00AE7191" w:rsidRPr="001E2C69" w:rsidRDefault="00AE7191" w:rsidP="00722885">
      <w:pPr>
        <w:pStyle w:val="Iauiue"/>
        <w:jc w:val="both"/>
        <w:rPr>
          <w:color w:val="000000" w:themeColor="text1"/>
          <w:sz w:val="16"/>
          <w:szCs w:val="16"/>
        </w:rPr>
      </w:pPr>
    </w:p>
    <w:p w14:paraId="7387289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18 августа 1942 в 14:15 л Расторгуев совершил аварию на планере ЛС в Казани из-за конструктивных дефектов планера (2130). Это был экспериментально-исследовательский планер, созданный А.А.Сеньковым по инициативе Г.П.Свищева для проведения летных испытаний ламинарных профилей еще до войны и эвакуированный в Казань (5488, 20).</w:t>
      </w:r>
    </w:p>
    <w:p w14:paraId="232CCC60" w14:textId="77777777" w:rsidR="00AE7191" w:rsidRPr="001E2C69" w:rsidRDefault="00AE7191" w:rsidP="00722885">
      <w:pPr>
        <w:pStyle w:val="Iauiue"/>
        <w:jc w:val="both"/>
        <w:rPr>
          <w:color w:val="000000" w:themeColor="text1"/>
          <w:sz w:val="16"/>
          <w:szCs w:val="16"/>
        </w:rPr>
      </w:pPr>
    </w:p>
    <w:p w14:paraId="08A9364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18 августа 1942 Нач. 10 ГУ Тарасевич писал письмо N 876 на письмо N 484604с от 25 июня 1942 Нач. Управления опытного строительства ГУ и ИАС ВВС КА бригинженеру Лешукову:</w:t>
      </w:r>
    </w:p>
    <w:p w14:paraId="5E92F1A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"Сообщаю о мероприятиях, проведенных на заводе 22 для повышения качества выпускаемых Пе-2...</w:t>
      </w:r>
    </w:p>
    <w:p w14:paraId="464D09D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результате проведенных на заводе 22 мероприятий качество выпускаемых самолетов Пе-2 значительно улучшено.</w:t>
      </w:r>
    </w:p>
    <w:p w14:paraId="147FD1E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и 8 августа 1942 заводом 22 совместно с ЛИИ НКАП, были сняты скорости по высотам с 2-х серийных самолетов, взятых прямо из производства.</w:t>
      </w:r>
    </w:p>
    <w:p w14:paraId="06A45F5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Самолеты были оборудованы тяжелой стрелковой установкой.</w:t>
      </w:r>
    </w:p>
    <w:p w14:paraId="6AEB417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Оба самолета с нефорсированными моторами дали максимум 517 км/час.</w:t>
      </w:r>
    </w:p>
    <w:p w14:paraId="5E3B1B1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Считая по данным ЛИИ НКАП, что стрелковая установка снимает 6-8 км/час скорости и недобор высотности моторов, что установлено и признано заводом 16, получаем макс. скорость 527 км/час...</w:t>
      </w:r>
    </w:p>
    <w:p w14:paraId="1C8A34D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18 августа 1942 Нач. ГУЗ и ТС Селезнев и Военком Шаповалов писали письмо N 376349 Зам. НКАП П.Воронину о том, что сравнительными испытаниями Пе-2 в НИИ ВВС КА, а также данными, поступающими из строевых частей показывают, что серийные Пе-2 выпуска апреля-мая 1942 имеют меньшие макс. скорости в сравнении с серийными самолетами выпуска августа-сентября 1941 главным образом за счет неудовлетворительной отделки." (1632,15).</w:t>
      </w:r>
    </w:p>
    <w:p w14:paraId="7D1AEC61" w14:textId="77777777" w:rsidR="00AE7191" w:rsidRPr="001E2C69" w:rsidRDefault="00AE7191" w:rsidP="00722885">
      <w:pPr>
        <w:pStyle w:val="Iauiue"/>
        <w:jc w:val="both"/>
        <w:rPr>
          <w:color w:val="000000" w:themeColor="text1"/>
          <w:sz w:val="16"/>
          <w:szCs w:val="16"/>
        </w:rPr>
      </w:pPr>
    </w:p>
    <w:p w14:paraId="0CEB4D3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18 августа 1942 л завода 22 С.С.Стрельников совершил катастрофу при испытаниях Пе-2, т.к. сдал правый мотор и машина не дотянула до аэродрома. Погибли л и бортмеханик (2108).</w:t>
      </w:r>
    </w:p>
    <w:p w14:paraId="39FEC459" w14:textId="77777777" w:rsidR="00AE7191" w:rsidRPr="001E2C69" w:rsidRDefault="00AE7191" w:rsidP="00722885">
      <w:pPr>
        <w:pStyle w:val="Iauiue"/>
        <w:jc w:val="both"/>
        <w:rPr>
          <w:color w:val="000000" w:themeColor="text1"/>
          <w:sz w:val="16"/>
          <w:szCs w:val="16"/>
        </w:rPr>
      </w:pPr>
    </w:p>
    <w:p w14:paraId="7DBF641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18 августа 1942 г. филиал завода № 23 (бывшая Нотнопечатная фабрика) был передан заводу № 482 НКАП. Существовал действовавший в 10ГУ (10776). </w:t>
      </w:r>
    </w:p>
    <w:p w14:paraId="326FDDC9"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89C459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августа 1942 г. по приказу № 633с в состав завода № 482 (ГС Завод № 482 НКСП /г. Москва Ново-Владыкино; Ленинградское ш., 55 (1944 г.-)/) был передан из 10ГУ филиал завода № 23 НКАП (бывшая Нотнопечатная фабрика) для организации производства запчастей ремонтируемых самолетов. В 1942 г. заводу № 482 планировалось передать механические цеха завода № 169 НКАП (бывший завод № 45). По приказу № 798с от 23.10.1942 г. филиал завода № 482 (механические мастерские) передан заводу № 301 НКАП для ремонта и изготовления плоскостей самолета Як-7.</w:t>
      </w:r>
    </w:p>
    <w:p w14:paraId="6E27202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655с от 11.11.1943 г. завод № 482 передан из 6ГУ в 7ГУ (в опытные). Работы по ремонту и выпуску запчастей переданы на другие заводы 6ГУ.</w:t>
      </w:r>
    </w:p>
    <w:p w14:paraId="6E085D2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 завода с 06.1943 г.- В.М. Мясищев (одновременно он- гл. конструктор и руководитель ОКБ-22 завода № 22 НКАП в Казани).</w:t>
      </w:r>
    </w:p>
    <w:p w14:paraId="51EA0F1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1943 г. на заводе № 482 образован филиал ОКБ-22.</w:t>
      </w:r>
    </w:p>
    <w:p w14:paraId="1B5287B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имел свой аэродром на Ходынке (1943  г.).</w:t>
      </w:r>
    </w:p>
    <w:p w14:paraId="482CD8C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Существовал филиал завода № 482 в Москве. Приказом № 277с от 7.05.1943 г. помещения филиала переданы под размещение НИСО.</w:t>
      </w:r>
    </w:p>
    <w:p w14:paraId="7B84788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424с от 5.07.1944 г. завод № 482 перебазирован на площадку ликвидируемого завода № 89 НКАП (Ленинградское ш., 55) и слит с его частью под прежним названием- завод № 482. Мясищеву передана часть оборудования и личного состава завода № 89.</w:t>
      </w:r>
    </w:p>
    <w:p w14:paraId="2411662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старой территории (Ново-Владыкино) оставлена небольшая часть личного состава (в основном, охрана и обслуживающий персонал). По приказу № 655с от 11.11.1944 г. эта территория передана НИИ-1 НКАП для организации работ по реактивной авиации (образован филиал № 2 НИИ-1).</w:t>
      </w:r>
    </w:p>
    <w:p w14:paraId="4A89CBF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Далее, с 09.1944 г. (завершено в начале 1945 г.) сюда переведена из Казани основная часть ОКБ-22 В.М. Мясищева и влита в состав завода № 482.</w:t>
      </w:r>
    </w:p>
    <w:p w14:paraId="23620FE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начале 1946 г. ОКБ завода № 482 гл. конструктора В.М. Мясищева ликвидировано. В соответствии с пост. СМ от 1.02.1946 г. и приказом № 61с от 20.02.1946 г. после ликвидации ОКБ-482 завод № 482 был передан со всем оборудованием и личным составом заводу № 240 НКАП гл. конструктора С.В. Ильюшина.</w:t>
      </w:r>
    </w:p>
    <w:p w14:paraId="0409F17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(04.1941-42 г.)- А .Я. Щербаков; и.о. директора (01-05.1943 г.)- Б.А. Новосельский; (06.1943-11.1944 г.- )- Я.М. Каневский.</w:t>
      </w:r>
    </w:p>
    <w:p w14:paraId="0C80E0B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директора (04.1941 г.-)- А.И. Меркулов.</w:t>
      </w:r>
    </w:p>
    <w:p w14:paraId="473A4DD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 (1941-06.1943 г.)- А.Я. Щербаков, (06.1943-46 г.)- В.М. Мясищев.</w:t>
      </w:r>
    </w:p>
    <w:p w14:paraId="22C9C84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(1946 г.-)- Е.П. Шекунов.</w:t>
      </w:r>
    </w:p>
    <w:p w14:paraId="321590C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гл. конструктора (04.1941 г.-)- А.И. Меркулов.</w:t>
      </w:r>
    </w:p>
    <w:p w14:paraId="0060109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ОКБ гл. конструктора А.Я. Щербакова при заводе № 482 НКАП</w:t>
      </w:r>
    </w:p>
    <w:p w14:paraId="006932B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296с от 4.04.1941 г. с завода № 289 НКАП на вновь образованный завод № 482 к 15.04.1941 г. переведено со всем оборудованием и личным составом ОКБ гл. конструктора А.Я. Щербакова и специальная конструкторская группа А.И. Меркулова.</w:t>
      </w:r>
    </w:p>
    <w:p w14:paraId="5ECB89B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Работы по гермокабинам и реактивным двигателям для опытных высотных самолетов. Испытывались И-15бис и И-153 с дополнительными ПВРД. Был проект самолета с дополнительным ЖРД. Оборудование Як-7 ВРД ДМ- 4. Кроме того, работы по оборудованию самолета У-2 поплавками и подвесными кассетами (1942 г.).</w:t>
      </w:r>
    </w:p>
    <w:p w14:paraId="416F4DF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1037с от 2.10.1941 г. практически все работы по высотно-скоростным самолетам были свернуты (оставлена только доводка опытного планера СП-1 и работы по высотным кабинам). Одновременно по приказу № 1044с от 6.10.1941 г. для развития работ по авиационным ВРД группа А.И. Меркулова с тех. документацией, оборудованием и опытными изделиями (ВРД ДМ-1, ДМ-2, ДМ-4, ДМ-4бис, ДМ-11) переведена с завода № 482 в лабораторию № 1 ЦАГИ.</w:t>
      </w:r>
    </w:p>
    <w:p w14:paraId="660FEEA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концу 1942 г. создан Ще-2 (ведущий конструктор- И.В. Ляпин, ведупЦш по производству- В.В. Вентцель).</w:t>
      </w:r>
    </w:p>
    <w:p w14:paraId="0C434D4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По приказу № 367сс от 22.06.1943 г. Щербаков освобожден от должности гл. конструктора завода № 482. В конце 1943 г. еще велись совместные работы Щербакова с ОКБ Мясищева по доводке гермокабин Як-7Б, </w:t>
      </w:r>
      <w:r w:rsidRPr="001E2C69">
        <w:rPr>
          <w:rFonts w:ascii="Times New Roman" w:hAnsi="Times New Roman"/>
          <w:color w:val="000000" w:themeColor="text1"/>
          <w:sz w:val="16"/>
          <w:szCs w:val="16"/>
          <w:lang w:val="en-US"/>
        </w:rPr>
        <w:t>JIa</w:t>
      </w:r>
      <w:r w:rsidRPr="001E2C69">
        <w:rPr>
          <w:rFonts w:ascii="Times New Roman" w:hAnsi="Times New Roman"/>
          <w:color w:val="000000" w:themeColor="text1"/>
          <w:sz w:val="16"/>
          <w:szCs w:val="16"/>
        </w:rPr>
        <w:t>-5 и Пе-2ВИ.</w:t>
      </w:r>
    </w:p>
    <w:p w14:paraId="0CF8FAC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Затем в соответствии с пост. ГКО № 4194с от 24.09.1943 г. и приказом № 573с от 25.09.1943 г. Щербаков назначен гл. конструктором завода № 47. Тем же приказом личный состав (48 чел.), оборудование, документация и опытный образец Ще-2 № 01 к 10.1943 г. переведены на завод № 47.</w:t>
      </w:r>
    </w:p>
    <w:p w14:paraId="46BA926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Филиал ОКБ завода № 22 гл. конструктора В.М. Мясищева, ОКБ-482 НКАП, МАП /г. Москва/</w:t>
      </w:r>
    </w:p>
    <w:p w14:paraId="7E8EF33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соответствии с пост. ГКО № 3601 от 18.06.1943 г. и приказом № 367сс от 22.06.1943 г. при заводе № 482 образован филиал ОКБ завода № 22 по боевым высотным самолетам, и сюда из Омска с завода № 288 переведена часть коллектива и оборудования отдела «102» гл. конструктора В.М. Мясищева. Завод передан в распоряжение Мясищева. Тем же приказом основной конструкторский состав Мясищева переведен с завода № 288 в ОКБ и опытный цех завода № 22.</w:t>
      </w:r>
    </w:p>
    <w:p w14:paraId="4D14C27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гибели В.М. Петлякова в 06.1943 г. В.М.Мясищев возглавил его ОКБ-22 НКАП, занимавшееся созданием модификаций Пе-2. Одновременно оставался гл. конструктором ОКБ-482 НКАП.</w:t>
      </w:r>
    </w:p>
    <w:p w14:paraId="30745DD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Далее, с 09.1944 г. (завершено в начале 1945 г.) на завод № 482 переведена из Казани основная часть ОКБ-22 В.М. Мясищева (часть ОКБ, видимо, осталась на заводе № 22 для участия в работах по Б-4) и влита в состав завода № 482.</w:t>
      </w:r>
    </w:p>
    <w:p w14:paraId="7B41C7F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 № 358 от 27.05.1944 г. на базе Пе-2 начата разработка скоростного бомбардировщика ДБ-108. Построено несколько опытных машин: ВМ-16 (ДБ-1-108, 5.03.1945 г.); ВМ-17 (ДБ-П-108, 06.1945 г.), на его базе по пр. № 270 от 29.06.1945 г. разработан двухместный истребитель сопровождения ДИС; ВМ-18 (ДБ-IV-108, 1945 г.); высотный ВБ-109 (ВМ-19), построен в 08.1945 г.</w:t>
      </w:r>
    </w:p>
    <w:p w14:paraId="25A04E8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1945 г. под руководством Мясищева проводилось изучение трофейных Ме-262; разрабатывались проекты тяжелых бомбардировщиков ДВБ-202 (ВМ-22, 1945 г.) и ДВБ-302 (ВМ-23, 1945 г.) (закрыты распоряжением Сталина, в связи с разработкой Ту-4). Разработан проект первого реактивного бомбардировщика РБ-17 (ВМ-24), в 1946 г. пост. № 2548-1065 работы прекращены.</w:t>
      </w:r>
    </w:p>
    <w:p w14:paraId="11F1732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01.1946 г. ОКБ-482 НКАП закрыто, его сотрудники (в т.ч. конструкторы Д.А. Аверьянова, В.И. Горюнов, Б .Я. Каплиенко, М.И. Карасева, Н.И. Кубышкин, Н.М. Либерхейн, В.А. Лихачев, Д.С. Лозинский, Т.М. Никишова, В.А. Орлов, В.Н. Петрова, П.И. Прокофьев, В.В. Рогов, В.Д. Смирнов, В.М. Шокин) переведены в ОКБ-240. Мясищев назначен деканом самолетостроительного факультета МАИ.</w:t>
      </w:r>
    </w:p>
    <w:p w14:paraId="76DA638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 (1944-46 г.)- В.М. Мясищев.</w:t>
      </w:r>
    </w:p>
    <w:p w14:paraId="3329D24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Ведущие конструкторы: (1944-01.1946 г.)- Л.Л. Селяков (ДВБ-202, -302, РБ-17), (1945 г.)- М.К. Янгель (ВБ- 109) (11982).</w:t>
      </w:r>
    </w:p>
    <w:p w14:paraId="66755864"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ECCE9AB" w14:textId="77777777" w:rsidR="00AE7191" w:rsidRPr="001E2C69" w:rsidRDefault="00AE7191" w:rsidP="00722885">
      <w:pPr>
        <w:pStyle w:val="Pa6"/>
        <w:spacing w:line="240" w:lineRule="auto"/>
        <w:jc w:val="both"/>
        <w:rPr>
          <w:rStyle w:val="A40"/>
          <w:color w:val="000000" w:themeColor="text1"/>
          <w:sz w:val="16"/>
          <w:szCs w:val="16"/>
        </w:rPr>
      </w:pPr>
      <w:r w:rsidRPr="001E2C69">
        <w:rPr>
          <w:rStyle w:val="A40"/>
          <w:color w:val="000000" w:themeColor="text1"/>
          <w:sz w:val="16"/>
          <w:szCs w:val="16"/>
        </w:rPr>
        <w:t>18 августа 1942 г. была «Выписка из протокола заседания заводского комитета профсоюза за</w:t>
      </w:r>
      <w:r w:rsidRPr="001E2C69">
        <w:rPr>
          <w:rStyle w:val="A40"/>
          <w:color w:val="000000" w:themeColor="text1"/>
          <w:sz w:val="16"/>
          <w:szCs w:val="16"/>
        </w:rPr>
        <w:softHyphen/>
        <w:t>вода № 29 имени П. И. Баранова» (Омск), согласно которой обсуждался вопрос о поло</w:t>
      </w:r>
      <w:r w:rsidRPr="001E2C69">
        <w:rPr>
          <w:rStyle w:val="A40"/>
          <w:color w:val="000000" w:themeColor="text1"/>
          <w:sz w:val="16"/>
          <w:szCs w:val="16"/>
        </w:rPr>
        <w:softHyphen/>
        <w:t>жении подростков. Выяснилось, что в нару</w:t>
      </w:r>
      <w:r w:rsidRPr="001E2C69">
        <w:rPr>
          <w:rStyle w:val="A40"/>
          <w:color w:val="000000" w:themeColor="text1"/>
          <w:sz w:val="16"/>
          <w:szCs w:val="16"/>
        </w:rPr>
        <w:softHyphen/>
        <w:t xml:space="preserve">шение приказов наркома и директора завода в цехе № 1 из 21 человека в ночные смены работали 16; в цехе </w:t>
      </w:r>
      <w:r w:rsidRPr="001E2C69">
        <w:rPr>
          <w:rStyle w:val="A40"/>
          <w:color w:val="000000" w:themeColor="text1"/>
          <w:sz w:val="16"/>
          <w:szCs w:val="16"/>
        </w:rPr>
        <w:lastRenderedPageBreak/>
        <w:t>№ 12 из 42 подростков в ночные смены работали все 42 подростка; в цехе № 13 из 33 подростков 19 выходили в ночные смены, 12 человек работали более 8 часов в день; в цехе № 27 из 35 подростков работали 35 человек (ГАРФ. Ф. Р-5451. Оп. 3. Д. 1. Л. 41.).</w:t>
      </w:r>
    </w:p>
    <w:p w14:paraId="562D09D4" w14:textId="77777777" w:rsidR="00AE7191" w:rsidRPr="001E2C69" w:rsidRDefault="00AE7191" w:rsidP="00722885">
      <w:pPr>
        <w:pStyle w:val="Default"/>
        <w:jc w:val="both"/>
        <w:rPr>
          <w:color w:val="000000" w:themeColor="text1"/>
          <w:sz w:val="16"/>
          <w:szCs w:val="16"/>
        </w:rPr>
      </w:pPr>
    </w:p>
    <w:p w14:paraId="18DEF983" w14:textId="77777777" w:rsidR="00055325" w:rsidRPr="001E2C69" w:rsidRDefault="00055325" w:rsidP="00722885">
      <w:pPr>
        <w:spacing w:after="0" w:line="240" w:lineRule="auto"/>
        <w:jc w:val="both"/>
        <w:rPr>
          <w:rFonts w:ascii="Times New Roman" w:eastAsia="Times New Roman" w:hAnsi="Times New Roman"/>
          <w:color w:val="000000" w:themeColor="text1"/>
          <w:sz w:val="16"/>
          <w:szCs w:val="16"/>
        </w:rPr>
      </w:pPr>
      <w:r w:rsidRPr="001E2C69">
        <w:rPr>
          <w:rFonts w:ascii="Times New Roman" w:eastAsia="Times New Roman" w:hAnsi="Times New Roman"/>
          <w:color w:val="000000" w:themeColor="text1"/>
          <w:sz w:val="16"/>
          <w:szCs w:val="16"/>
        </w:rPr>
        <w:t>С 18 августа 1942 по 20 октября 1942 в соответствии со спецзаданием ВСЧФ опытно-конструкторская разработка и рабочие чертежи РПУ-6 для ТК и для МО-2 были выполнены в КБ Технического отдела ЧФ. Рабочие чертежи в сентябре-октябре 1942 г. были переданы в цеха Артремзавода (АРЗ) для срочного изготовления шести РПУ-6 для ТК и одной для МО-2.</w:t>
      </w:r>
    </w:p>
    <w:p w14:paraId="3D16D4DB" w14:textId="77777777" w:rsidR="00055325" w:rsidRPr="001E2C69" w:rsidRDefault="00055325" w:rsidP="00722885">
      <w:pPr>
        <w:spacing w:after="0" w:line="240" w:lineRule="auto"/>
        <w:jc w:val="both"/>
        <w:rPr>
          <w:rFonts w:ascii="Times New Roman" w:eastAsia="Times New Roman" w:hAnsi="Times New Roman"/>
          <w:color w:val="000000" w:themeColor="text1"/>
          <w:sz w:val="16"/>
          <w:szCs w:val="16"/>
        </w:rPr>
      </w:pPr>
      <w:r w:rsidRPr="001E2C69">
        <w:rPr>
          <w:rFonts w:ascii="Times New Roman" w:eastAsia="Times New Roman" w:hAnsi="Times New Roman"/>
          <w:color w:val="000000" w:themeColor="text1"/>
          <w:sz w:val="16"/>
          <w:szCs w:val="16"/>
        </w:rPr>
        <w:t>Шесть РПУ-6 были изготовлены на АРЗ и смонтированы на шести ТК типа Г-5 в Поти. Приемка каждой РПУ-6 оформлялась секретным актом с подписями: командира и механика катера, конструктора РПУ-6 и мастера-сборщика АРЗ, монтировавшего РПУ-6 на катере (15985).</w:t>
      </w:r>
    </w:p>
    <w:p w14:paraId="2FF0AD3A" w14:textId="77777777" w:rsidR="00055325" w:rsidRPr="001E2C69" w:rsidRDefault="00055325" w:rsidP="00722885">
      <w:pPr>
        <w:spacing w:after="0" w:line="240" w:lineRule="auto"/>
        <w:jc w:val="both"/>
        <w:rPr>
          <w:rFonts w:ascii="Times New Roman" w:eastAsia="Times New Roman" w:hAnsi="Times New Roman"/>
          <w:color w:val="000000" w:themeColor="text1"/>
          <w:sz w:val="16"/>
          <w:szCs w:val="16"/>
        </w:rPr>
      </w:pPr>
    </w:p>
    <w:p w14:paraId="3F32517A"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086C9322" w14:textId="77777777" w:rsidR="00AE7191" w:rsidRPr="001E2C69" w:rsidRDefault="00AE7191" w:rsidP="00722885">
      <w:pPr>
        <w:pStyle w:val="Iauiue"/>
        <w:jc w:val="both"/>
        <w:rPr>
          <w:iCs/>
          <w:color w:val="000000" w:themeColor="text1"/>
          <w:sz w:val="16"/>
          <w:szCs w:val="16"/>
        </w:rPr>
      </w:pPr>
    </w:p>
    <w:p w14:paraId="3D4B467E"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августа 1942 г. Докладная записка наркома танковой промышленности И.Зальцмана И.В. Сталину и В.Молотову о завершении испытаний улучшенных танков КВ и Т—34 на заводах Ш 183 и Кировском.</w:t>
      </w:r>
    </w:p>
    <w:p w14:paraId="0BDC1C6E"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2« Д. 88« Л. 210—211« Подлинник* Машинописный текст* Подписи — автографы И.Зальцмана, И.В.Сталина, резолюция — автограф В.Молотова.</w:t>
      </w:r>
    </w:p>
    <w:p w14:paraId="163B5479"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7D245562"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Товарищу СТАЛИНУ И.В.</w:t>
      </w:r>
    </w:p>
    <w:p w14:paraId="75EC8FFA"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Товарищу МОЛОТОВУ В.М.</w:t>
      </w:r>
    </w:p>
    <w:p w14:paraId="0F5C61EF"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соответствии с решениями № 1878сс и 1879сс Государственного Комитета Обороны от июня 1942 г. Кировским заводом 183 закончены испытания улучшенных танков КВ-I и Т-34.</w:t>
      </w:r>
    </w:p>
    <w:p w14:paraId="6625C7E4"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результате изготовления опытных образцов и проведенных испытаний получены следующие данные:</w:t>
      </w:r>
    </w:p>
    <w:p w14:paraId="52726D43"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танку КВ-I (Кировский завод):</w:t>
      </w:r>
    </w:p>
    <w:p w14:paraId="0AD691B6"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 Вес танка доведен до 42,5 тонн</w:t>
      </w:r>
    </w:p>
    <w:p w14:paraId="64A0BBF2"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Улучшена система охлаждения мотора в танке.</w:t>
      </w:r>
    </w:p>
    <w:p w14:paraId="05572209"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Изготовлена и испытана с положительными результатами новая 8-скоростная коробка перемены передач</w:t>
      </w:r>
    </w:p>
    <w:p w14:paraId="7AC1750E"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Изготовлена новая башня с командирской башенкой.</w:t>
      </w:r>
    </w:p>
    <w:p w14:paraId="6AB4865B"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связи с изменением программы по танкам КВ—I и большим объемом работ по подготовке на Кировском заводе нового производства танков Т-34 прощу разрешить изготовить августе с. г. 100 танков КВ—1C со старой улучшенной коробкой перемены передач и серийной ходовой частью. Остальные 50 танков и весь последующий выпуск танков KB-IC в полном соответствии с решением ГКО от 5 июня с. г.</w:t>
      </w:r>
    </w:p>
    <w:p w14:paraId="2A933D08"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танку Т-34 (завод 183):</w:t>
      </w:r>
    </w:p>
    <w:p w14:paraId="6D992BED"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Изготовлены и испытаны:</w:t>
      </w:r>
    </w:p>
    <w:p w14:paraId="28372301"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Новая 5—скоростная коробка перемены передач.</w:t>
      </w:r>
    </w:p>
    <w:p w14:paraId="6646933C"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Башня с командирской башенкой.</w:t>
      </w:r>
    </w:p>
    <w:p w14:paraId="3C8B55A4"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Усиленный ленивец с новым натяжным механизмом.</w:t>
      </w:r>
    </w:p>
    <w:p w14:paraId="48613D2F"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соответствии с выводами комиссии по испытанию танка Т-34 5-скоростная коробка перемены передач рекомендуется для ввода в серийное производство.</w:t>
      </w:r>
    </w:p>
    <w:p w14:paraId="55750E49"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Что касается башни с командирской башенкой и нового ленивца, то комиссия требует</w:t>
      </w:r>
    </w:p>
    <w:p w14:paraId="06B1FB09"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их доработки.</w:t>
      </w:r>
    </w:p>
    <w:p w14:paraId="74F84D0D"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Прошу разрешить Наркомтанкопрому:</w:t>
      </w:r>
    </w:p>
    <w:p w14:paraId="74B0E22E"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К 15 сентября с. г. провести дополнительные работы по башне и ленивцу танка Т-34.</w:t>
      </w:r>
    </w:p>
    <w:p w14:paraId="40E205A8"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Ввести в серийное производство новую 5—скоростную коробку перемены передач танка Т-34 на Кировском заводе и Уралмашзаводе (вновь организуемое производство).</w:t>
      </w:r>
    </w:p>
    <w:p w14:paraId="39FFDD1E"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15 сентября внести в ГКО предложения:</w:t>
      </w:r>
    </w:p>
    <w:p w14:paraId="27D28EA2"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 порядке введения в серию 5—скоростной коробки на действующих заводах, выпускающих танки Т-34;</w:t>
      </w:r>
    </w:p>
    <w:p w14:paraId="53B6A24F"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о вводе в серию башни с командирской башенкой на заводах наркомата, выпускающих танки Т-34.</w:t>
      </w:r>
    </w:p>
    <w:p w14:paraId="207D9927"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Немедленный ввод в серию 5—скоростной коробки на танки Т—34, резко сократил бы выпуск танков Т—34 и был бы большим ущербом для фронта.</w:t>
      </w:r>
    </w:p>
    <w:p w14:paraId="0D692897"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Проект постановления ГКО прилагаю.</w:t>
      </w:r>
    </w:p>
    <w:p w14:paraId="1646DDE8"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Народный комиссар </w:t>
      </w:r>
    </w:p>
    <w:p w14:paraId="37BBD7D6"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танковой промышленности Союза ССР</w:t>
      </w:r>
      <w:r w:rsidRPr="008A2E5A">
        <w:rPr>
          <w:rFonts w:ascii="Times New Roman" w:hAnsi="Times New Roman"/>
          <w:color w:val="0070C0"/>
          <w:sz w:val="16"/>
          <w:szCs w:val="16"/>
        </w:rPr>
        <w:tab/>
        <w:t>И. Зальцман</w:t>
      </w:r>
    </w:p>
    <w:p w14:paraId="3C53FC51"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18.VIII 42</w:t>
      </w:r>
    </w:p>
    <w:p w14:paraId="7D038584"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Резолюция В.М. Молотова: «т. Сталину. Прошу утвердить (с поправкой). В. Молотов.</w:t>
      </w:r>
    </w:p>
    <w:p w14:paraId="0B260DD8"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I9/VIII».</w:t>
      </w:r>
    </w:p>
    <w:p w14:paraId="4DEDD8BB"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о согласии: И. Сталин (23757).</w:t>
      </w:r>
    </w:p>
    <w:p w14:paraId="38A05FCA" w14:textId="77777777" w:rsidR="001C1956" w:rsidRPr="008A2E5A" w:rsidRDefault="001C1956" w:rsidP="001C1956">
      <w:pPr>
        <w:spacing w:after="0" w:line="240" w:lineRule="auto"/>
        <w:jc w:val="both"/>
        <w:rPr>
          <w:rFonts w:ascii="Times New Roman" w:hAnsi="Times New Roman"/>
          <w:color w:val="0070C0"/>
          <w:sz w:val="16"/>
          <w:szCs w:val="16"/>
        </w:rPr>
      </w:pPr>
    </w:p>
    <w:p w14:paraId="18A080C7"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августа 1942 года закончились госиспытания 6 модернизированных танков Т-70, которые шли с 24 июля и каждый из них прошел 1500 километров. Танки с утолщенной броней оказались на 3-4 км/ч медленнее обычных Т-70 при езде по шоссе. Чуть меньше была разница в скорости по проселку. Усиленная ходовая часть стала проявлять себя на бездорожье, где проходимость машин, оснащенных новыми элементами, оказалась выше. Куда более существенной оказалась разница в надежности. Выяснилось, что штатная ходовая часть удовлетворительно работала только первые 300 километров. Далее начинали разрушаться катки, проседать торсионы и ломаться траки. Усиленный трак, который испытывали на второй серийной машине, из-за поломок проушин оказался забракован. Что же касается усиленной ходовой части, то она работала не в пример надежнее. По результатам испытаний на четырех танках с уширенными траками их заменили всего 3 штуки. Надежнее работали и усиленные опорные катки: за время испытаний их заменили всего 5 штук. Таким образом, введение новой ходовой части стало окончательным решением. А вот броню усиливать не стали. Решение верное, поскольку что 15, что 25, что 35 мм одинаково пробивались даже 3,7 cm Pak.</w:t>
      </w:r>
    </w:p>
    <w:p w14:paraId="60791A26"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Принятое 80 лет назад постановление ГКО №2276сс разбивало процесс внедрения новинок по этапам. Сначала, с 12 сентября, вводился сдвоенный воздухоочиститель. Новая ходовая часть вводилась со второй половины сентября, а с 26 числа ставились новые крылья. Полностью на модернизированную ходовую часть заводы переходили с 1 октября 1942 года. Тогда же вводился новый люк механика-водителя. Разработали его в КЭО ГАЗ им. Молотова еще в июле 1942 года. Вместо призмы ставился новый смотровой прибор, по типу командирской панорамы. За счет того, что прибор мог поворачиваться вокруг своей оси, обзорность с места механика-водителя увеличивалась. Следует также отметить, что еще с августа 1942 года на Т-70 стали вводить различные улучшения, так что переход на Т-70Б оказался скорее вторым этапом модернизации.</w:t>
      </w:r>
    </w:p>
    <w:p w14:paraId="20ED0510"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Фактическая сторона вопроса несколько отличалась от постановления ГКО №2276сс. Новый воздухоочиститель ввели чуть позже - 22 сентября. Задержался и новый люк механика, а новые крылья стали ставить с 10 октября 1942 года. Наконец, за сентябрь 1942 года сдали всего 2 Т-70Б. Официально ГАЗ им. Молотова перешел на модернизированную ходовую часть с 1 октября. Хуже ситуация развивалась на заводе №38. Он несколько отставал от головного завода: официально на Т-70Б там переходили с 20 октября 1942 года, по факту из 235 танков, сданных за отчетный месяц, модернизированную ходовую часть получили только 9. При этом внешность что горьковских, что кировских машин была специфичной. И в октябре, и в ноябре, и даже отчасти в декабре Т-70Б зачастую можно было отличить только по ходовой части. В дело шли и старые люки механика-водителя, и даже корпуса (23363). </w:t>
      </w:r>
    </w:p>
    <w:p w14:paraId="3FE807CF" w14:textId="77777777" w:rsidR="001C1956" w:rsidRPr="008A2E5A" w:rsidRDefault="001C1956" w:rsidP="001C1956">
      <w:pPr>
        <w:spacing w:after="0" w:line="240" w:lineRule="auto"/>
        <w:jc w:val="both"/>
        <w:rPr>
          <w:rFonts w:ascii="Times New Roman" w:hAnsi="Times New Roman"/>
          <w:color w:val="0070C0"/>
          <w:sz w:val="16"/>
          <w:szCs w:val="16"/>
        </w:rPr>
      </w:pPr>
    </w:p>
    <w:p w14:paraId="4380779A"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августа 1942 г. Докладная записка наркома танковой промышленности И.Зальцмана И.В. Сталину и В.М.Молотову о завершении испытаний улучшенных танков КВ и Т—34 на заводах № 183 и Кировском.</w:t>
      </w:r>
    </w:p>
    <w:p w14:paraId="32791BE6"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2« Д. 88« Л. 210—211« Подлинник* Машинописный текст* Подписи — автографы И.Зальцмана, И.В. Сталина, резолюция — автограф В.М.Молотова.</w:t>
      </w:r>
    </w:p>
    <w:p w14:paraId="6B300EEF"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2DB9D27F"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Товарищу СТАЛИНУ И.В.</w:t>
      </w:r>
    </w:p>
    <w:p w14:paraId="4CCD2CB9"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Товарищу МОЛОТОВУ В.М.</w:t>
      </w:r>
    </w:p>
    <w:p w14:paraId="7639A632"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соответствии с решениями Государственного Комитета Обороны от 5 июня 1942 года за №№ 1878сс и 1879сс Кировским заводом и заводом № 183 закончены испытания улучшенных танков КВ-I и Т-34.</w:t>
      </w:r>
    </w:p>
    <w:p w14:paraId="1CA9C912"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результате изготовления опытных образцов и проведенных испытаний получены следующие данные:</w:t>
      </w:r>
    </w:p>
    <w:p w14:paraId="38938996"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танку КВ-I (Кировский завод):</w:t>
      </w:r>
    </w:p>
    <w:p w14:paraId="0F12155D"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I. Вес танка доведен до 42,5 тонн*</w:t>
      </w:r>
    </w:p>
    <w:p w14:paraId="43CA4A68"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Улучшена система охлаждения мотора в танке.</w:t>
      </w:r>
    </w:p>
    <w:p w14:paraId="42954568"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Изготовлена и испытана с положительными результатами новая 8-скоростная коробка перемены передач</w:t>
      </w:r>
    </w:p>
    <w:p w14:paraId="73948783"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Изготовлена новая башня с командирской башенкой.</w:t>
      </w:r>
    </w:p>
    <w:p w14:paraId="241F998A"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связи с изменением программы по танкам КВ—I и большим объемом работ по подготовке на Кировском заводе нового производства танков Т-34 прощу разрешить изготовить августе с. г. 100 танков КВ—1C со старой улучшенной коробкой перемены передач и серийной ходовой частью. Остальные 50 танков и весь последующий выпуск танков KB-IC в полном соответствии с решением ГКО от 5 июня с. г.</w:t>
      </w:r>
    </w:p>
    <w:p w14:paraId="6B51FACD"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танку Т-34 (завод 183):</w:t>
      </w:r>
    </w:p>
    <w:p w14:paraId="430F891A"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Изготовлены и испытаны:</w:t>
      </w:r>
    </w:p>
    <w:p w14:paraId="460B8363"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 Новая 5—скоростная коробка перемены передач.</w:t>
      </w:r>
    </w:p>
    <w:p w14:paraId="42BC37BE"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Башня с командирской башенкой.</w:t>
      </w:r>
    </w:p>
    <w:p w14:paraId="49B35881"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Усиленный ленивец с новым натяжным механизмом.</w:t>
      </w:r>
    </w:p>
    <w:p w14:paraId="00571699"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соответствии с выводами комиссии по испытанию танка Т-34 5-скоростная коробка перемены передач рекомендуется для ввода в серийное производство.</w:t>
      </w:r>
    </w:p>
    <w:p w14:paraId="280A94DF"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Что касается башни с командирской башенкой и нового ленивца, то комиссия требует</w:t>
      </w:r>
    </w:p>
    <w:p w14:paraId="38FDE5B6"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их доработки.</w:t>
      </w:r>
    </w:p>
    <w:p w14:paraId="7F624FE7"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Прошу разрешить Наркомтанкопрому:</w:t>
      </w:r>
    </w:p>
    <w:p w14:paraId="79A05A7C"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К 15 сентября с. г. провести дополнительные работы по башне и ленивцу танка Т-34.</w:t>
      </w:r>
    </w:p>
    <w:p w14:paraId="17BC33C5"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Ввести в серийное производство новух) 5—скоростную коробку перемены передач танка Т-34 на Кировском заводе и Уралмашзаводе (вновь организуемое производство).</w:t>
      </w:r>
    </w:p>
    <w:p w14:paraId="2A1AD5A0"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15 сентября внести в ГКО предложения:</w:t>
      </w:r>
    </w:p>
    <w:p w14:paraId="6282126C"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 порядке введения в серию 5—скоростной коробки на действующих заводах, выпускающих танки Т-34;</w:t>
      </w:r>
    </w:p>
    <w:p w14:paraId="33099506"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о вводе в серию башни с командирской башенкой на всех заводах наркомата, выпускающих танки Т-34.</w:t>
      </w:r>
    </w:p>
    <w:p w14:paraId="11A6CE37"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 вводе в серию нового ленивца на всех заводах наркомата, выпускающих танки Т-34</w:t>
      </w:r>
    </w:p>
    <w:p w14:paraId="4741CEF3"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Немедленный ввод в серию 5—скоростной коробки на танки Т—34, резко сократил бы выпуск танков Т—34 бы большим ущербом для фронта.</w:t>
      </w:r>
    </w:p>
    <w:p w14:paraId="42AD183E"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Проект постановления ГКО прилагаю.</w:t>
      </w:r>
    </w:p>
    <w:p w14:paraId="0587E5CF"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танковой промышленности Союза ССР</w:t>
      </w:r>
      <w:r w:rsidRPr="008A2E5A">
        <w:rPr>
          <w:rFonts w:ascii="Times New Roman" w:hAnsi="Times New Roman"/>
          <w:color w:val="0070C0"/>
          <w:sz w:val="16"/>
          <w:szCs w:val="16"/>
        </w:rPr>
        <w:tab/>
        <w:t>И. Зальцман</w:t>
      </w:r>
    </w:p>
    <w:p w14:paraId="4987DD29"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18.VIII 42</w:t>
      </w:r>
    </w:p>
    <w:p w14:paraId="7C3C591D"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Резолюция В.М. Молотова: «т. Сталину. Прошу утвердить (с поправкой). В. Молотов.</w:t>
      </w:r>
    </w:p>
    <w:p w14:paraId="3233AAF7"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I9/VIII».</w:t>
      </w:r>
    </w:p>
    <w:p w14:paraId="0332A245"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о согласии: И. Сталин (24002).</w:t>
      </w:r>
    </w:p>
    <w:p w14:paraId="4887F10E" w14:textId="77777777" w:rsidR="001C1956" w:rsidRPr="008A2E5A" w:rsidRDefault="001C1956" w:rsidP="001C1956">
      <w:pPr>
        <w:spacing w:after="0" w:line="240" w:lineRule="auto"/>
        <w:jc w:val="both"/>
        <w:rPr>
          <w:rFonts w:ascii="Times New Roman" w:hAnsi="Times New Roman"/>
          <w:color w:val="0070C0"/>
          <w:sz w:val="16"/>
          <w:szCs w:val="16"/>
        </w:rPr>
      </w:pPr>
    </w:p>
    <w:p w14:paraId="22378493"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августа 1942</w:t>
      </w:r>
    </w:p>
    <w:p w14:paraId="46E5C7C1"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93 лист 246</w:t>
      </w:r>
    </w:p>
    <w:p w14:paraId="782D1479"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74774C3B"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w:t>
      </w:r>
    </w:p>
    <w:p w14:paraId="1FB47164"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НАРОДНОГО КОМИССАРА ТАНКОВОЙ ПРОМЫШЛЕННОСТИ СОЮЗА ССР</w:t>
      </w:r>
    </w:p>
    <w:p w14:paraId="686EC9D7"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597с</w:t>
      </w:r>
    </w:p>
    <w:p w14:paraId="7D422600"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Москва</w:t>
      </w:r>
    </w:p>
    <w:p w14:paraId="6DB8D997"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августа 1942 г.</w:t>
      </w:r>
    </w:p>
    <w:p w14:paraId="67805EFA"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Одобряя инициативу ЦК ЛКСМ Казахстана, поддержанную ЦК ВЛКСМ, о постройке на средства собранные ЦК ЛКСМ Казахстана танковой колонны имени "Комсомола" Казахстана, – ПРИКАЗЫВАЮ:</w:t>
      </w:r>
    </w:p>
    <w:p w14:paraId="42C89707"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Директору завода № 112 т. РУБИНЧИКУ Е.Э. построить сверх плана в течение августа месяца 1942 г. танковую колонну им. "Комсомола" Казахстана в количестве 45 танков Т-34.</w:t>
      </w:r>
    </w:p>
    <w:p w14:paraId="2456CB33"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Порядок передачи танков в армию и перечисление собранных средств оформить с ЦК ЛКСМ Казахстана.</w:t>
      </w:r>
    </w:p>
    <w:p w14:paraId="30BE2D55"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ТАНКОВОЙ ПРОМЫШЛЕННОСТИ СОЮЗА ССР</w:t>
      </w:r>
    </w:p>
    <w:p w14:paraId="0ADDEC80" w14:textId="77777777" w:rsidR="001C1956" w:rsidRPr="008A2E5A" w:rsidRDefault="001C1956" w:rsidP="001C19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ЗАЛЬЦМАН (23499).</w:t>
      </w:r>
    </w:p>
    <w:p w14:paraId="7EC69D13" w14:textId="77777777" w:rsidR="001C1956" w:rsidRPr="008A2E5A" w:rsidRDefault="001C1956" w:rsidP="001C1956">
      <w:pPr>
        <w:spacing w:after="0" w:line="240" w:lineRule="auto"/>
        <w:jc w:val="both"/>
        <w:rPr>
          <w:rFonts w:ascii="Times New Roman" w:hAnsi="Times New Roman"/>
          <w:color w:val="0070C0"/>
          <w:sz w:val="16"/>
          <w:szCs w:val="16"/>
        </w:rPr>
      </w:pPr>
    </w:p>
    <w:p w14:paraId="485542B6" w14:textId="77777777" w:rsidR="008C5A3D" w:rsidRPr="001E2C69" w:rsidRDefault="008C5A3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18 августа 1942 на Софринском артиллерийском полигоне, прошли демонстрационные стрельбы из СУ-31 и СУ-32. 21 августа 1942 в Кубинке на полигоне Научно-исследовательского института бронетанковой техники (НИИБТ Полигоне) приступили к официальной программе ходовых испытаний СУ-31 и СУ-32. Всего с 21 августа по 3 сентября СУ-31 и СУ-32 прошли 630 и 524 километра соответственно. Было произведено 490 выстрелов из 61-К и 205 выстрелов из ЗИС-3.</w:t>
      </w:r>
    </w:p>
    <w:p w14:paraId="09ED2546" w14:textId="77777777" w:rsidR="008C5A3D" w:rsidRPr="001E2C69" w:rsidRDefault="008C5A3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Для соответствия весовым характеристикам СУ-32 на испытаниях догрузили до боевой массы с проектной толщиной брони. В ходе испытаний у обеих самоходок наблюдались частые разрывы гусеничных лент. Решить эту проблему предполагалось модернизацией ходовой части по типу Т-70Б, название это условное, поскольку в документах Т-70 с усиленной ходовой частью так не называется. Также ходовые испытания выявили серьёзные проблемы системы охлаждения двигателя СУ-32, на СУ-31 подобного не наблюдалось. Отмечалось неудобное размещение боекомплекта, в результате чего скорострельность (по сравнению со штатной ЗИС-3) оказалась снижена. На угле возвышения 25 градусов орудийный щит закрывал обзор панорамы, в результате прицеливание становилось невозможным. Кроме того, установка бронекожуха увеличила усилия на маховики механизма наведения.</w:t>
      </w:r>
    </w:p>
    <w:p w14:paraId="69BBAA25" w14:textId="77777777" w:rsidR="008C5A3D" w:rsidRPr="001E2C69" w:rsidRDefault="008C5A3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По результатам сравнительных испытаний был сделан следующий вывод:</w:t>
      </w:r>
    </w:p>
    <w:p w14:paraId="5F7B44BA" w14:textId="77777777" w:rsidR="008C5A3D" w:rsidRPr="001E2C69" w:rsidRDefault="008C5A3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«Испытания пробегом показали, что машина (СУ-32) имеет кроме слабых тормозов и траков следующие дефекты:</w:t>
      </w:r>
    </w:p>
    <w:p w14:paraId="17087401" w14:textId="77777777" w:rsidR="008C5A3D" w:rsidRPr="001E2C69" w:rsidRDefault="008C5A3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а) Перегрев двигателя.</w:t>
      </w:r>
    </w:p>
    <w:p w14:paraId="3A571B70" w14:textId="77777777" w:rsidR="008C5A3D" w:rsidRPr="001E2C69" w:rsidRDefault="008C5A3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б) Слабое крепление коробки перемены передач.</w:t>
      </w:r>
    </w:p>
    <w:p w14:paraId="3AC45FB2" w14:textId="77777777" w:rsidR="008C5A3D" w:rsidRPr="001E2C69" w:rsidRDefault="008C5A3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в) Наличие указанных дефектов не даёт возможности рекомендовать шасси со спаренной установкой двигателя для принятия на вооружение Красной Армии.</w:t>
      </w:r>
    </w:p>
    <w:p w14:paraId="1A97F87F" w14:textId="77777777" w:rsidR="008C5A3D" w:rsidRPr="001E2C69" w:rsidRDefault="008C5A3D"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Учитывая, что компоновка 76 мм пушки на самоходной установке в основном работает удовлетворительно, комиссия считает целесообразным одновременно с выпуском опытной серии 37 мм зенитных самоходных установок, выпустить для проведения испытаний в частях действующей Красной Армии опытной серии в количестве 6–10 штук 76 мм штурмовых самоходных установок на шасси с параллельным расположением двигателей, рекомендованном для 37 мм зенитной самоходной установки».</w:t>
      </w:r>
    </w:p>
    <w:p w14:paraId="5324E8E4" w14:textId="77777777" w:rsidR="008C5A3D" w:rsidRPr="001E2C69" w:rsidRDefault="008C5A3D" w:rsidP="00722885">
      <w:pPr>
        <w:spacing w:after="0" w:line="240" w:lineRule="auto"/>
        <w:jc w:val="both"/>
        <w:rPr>
          <w:rFonts w:ascii="Times New Roman" w:hAnsi="Times New Roman"/>
          <w:color w:val="000000" w:themeColor="text1"/>
          <w:sz w:val="16"/>
          <w:szCs w:val="16"/>
        </w:rPr>
      </w:pPr>
      <w:r w:rsidRPr="001E2C69">
        <w:rPr>
          <w:rFonts w:ascii="Times New Roman" w:eastAsia="Times New Roman" w:hAnsi="Times New Roman"/>
          <w:color w:val="000000" w:themeColor="text1"/>
          <w:sz w:val="16"/>
          <w:szCs w:val="16"/>
          <w:lang w:eastAsia="ru-RU"/>
        </w:rPr>
        <w:t>Продолжения работ по теме СУ-31 и СУ-32 на заводе №37 не последовало (17668).</w:t>
      </w:r>
    </w:p>
    <w:p w14:paraId="4A075AFA" w14:textId="77777777" w:rsidR="008C5A3D" w:rsidRPr="001E2C69" w:rsidRDefault="008C5A3D" w:rsidP="00722885">
      <w:pPr>
        <w:spacing w:after="0" w:line="240" w:lineRule="auto"/>
        <w:jc w:val="both"/>
        <w:rPr>
          <w:rFonts w:ascii="Times New Roman" w:hAnsi="Times New Roman"/>
          <w:color w:val="000000" w:themeColor="text1"/>
          <w:sz w:val="16"/>
          <w:szCs w:val="16"/>
        </w:rPr>
      </w:pPr>
    </w:p>
    <w:p w14:paraId="78C63121" w14:textId="77777777" w:rsidR="004C1168" w:rsidRPr="001E2C69" w:rsidRDefault="004C116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18 августа 1942 года на Софринском Полигоне прошел первый этап испытаний СУ-32. Основным же местом испытаний стал филиал НИБТ Полигона в Кубинке (сам полигон осенью 1941 года эвакуировали под Казань). Всего в период с 21 августа по 3 сентября СУ-32 прошла 524 километра, из них 292 по шоссе и 197 км по проселку. Остальной километраж проходил по целине и в ходе специспытаний. Средняя скорость по шоссе составила 25,5 км/ч, по проселку 17,8 км/ч, максимальная же скорость составила 45 км/ч. В принципе, очень похоже на Т-70, но с рядом нюансов. Прежде всего, проблема заключалась в запредельной температуре в системе охлаждения. Она достигала 100 градусов для воды, а для масла - 110-120 градусов. Отмечалось неудобство работы с боекомплектом, недостаточная прочность тормозов, имелись проблемы с проходимостью на специспытаниях. Также отмечался разрыв гусеничных лент.</w:t>
      </w:r>
    </w:p>
    <w:p w14:paraId="6657B9F2" w14:textId="77777777" w:rsidR="004C1168" w:rsidRPr="001E2C69" w:rsidRDefault="004C1168"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eastAsia="Times New Roman" w:hAnsi="Times New Roman"/>
          <w:color w:val="000000" w:themeColor="text1"/>
          <w:sz w:val="16"/>
          <w:szCs w:val="16"/>
          <w:lang w:eastAsia="ru-RU"/>
        </w:rPr>
        <w:t xml:space="preserve">Часть недостатков, выявленных на СУ-32, не являлись чем-то новым. Недостаточная прочность траков являлась проблемой и на Т-70, да и система охлаждения машины не работала идеально. Собственно говоря, уже шли работы по модернизации ходовой части базового танка, с октября 1942 года его запустили в серию как Т-70Б. Другой вопрос, что в случае с самоходами имелась заинтересованная сторона. А именно С.А. Гинзбург. Как явный лоббист системы с параллельным расположением мотора, он сделал так, что СУ-31 признали оптимальным шасси. Впрочем, и этой машине не суждено было стать серийной. Завод №37 уже производил Т-34, так что новым местом разработки стал завод №38 (г. Киров), куда и направили разработки по обеим машинам. В результате родилась СУ-12, в которой совместили шасси на агрегатах Т-70Б и систему моторно-трансмиссионной группы от СУ-31 </w:t>
      </w:r>
      <w:r w:rsidRPr="001E2C69">
        <w:rPr>
          <w:rFonts w:ascii="Times New Roman" w:hAnsi="Times New Roman"/>
          <w:color w:val="000000" w:themeColor="text1"/>
          <w:sz w:val="16"/>
          <w:szCs w:val="16"/>
        </w:rPr>
        <w:t>(21099).</w:t>
      </w:r>
    </w:p>
    <w:p w14:paraId="4E85559A" w14:textId="77777777" w:rsidR="004C1168" w:rsidRPr="001E2C69" w:rsidRDefault="004C1168" w:rsidP="00722885">
      <w:pPr>
        <w:spacing w:after="0" w:line="240" w:lineRule="auto"/>
        <w:jc w:val="both"/>
        <w:rPr>
          <w:rFonts w:ascii="Times New Roman" w:hAnsi="Times New Roman"/>
          <w:color w:val="000000" w:themeColor="text1"/>
          <w:sz w:val="16"/>
          <w:szCs w:val="16"/>
        </w:rPr>
      </w:pPr>
    </w:p>
    <w:p w14:paraId="6C31C2DE" w14:textId="77777777" w:rsidR="004C1168" w:rsidRPr="001E2C69" w:rsidRDefault="004C116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18 августа 1942 года СУ-31 и СУ-32 прошли испытания стрельбой на Софринском полигоне, а 21 августа начались ходовые испытания на филиале НИБТ Полигона в Кубинке (на тот момент головным был полигон под Казанью). К 3 сентября СУ-31 преодолела 630 километров, из них 277 по проселку и 10 по целине. Одновременно испытания проходил и Т-70, с ним у ЗСУ была очная ставка. Выяснилось, что на наиболее сложных участках болотистой местности СУ-31 имеет ряд преимуществ. Кроме того, по тепловому режиму двигателей СУ-31 превосходила и Т-70, и СУ-32.</w:t>
      </w:r>
    </w:p>
    <w:p w14:paraId="4C0DBB41" w14:textId="77777777" w:rsidR="004C1168" w:rsidRPr="001E2C69" w:rsidRDefault="004C1168"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lastRenderedPageBreak/>
        <w:t>По результатам испытаний комиссия рекомендовала принять СУ-31 на вооружение Красной Армии и изготовить 10-20 машин пробной партии. В ходе испытаний объем дефектов оказался небольшим: требовалось усилить тормоза и крепление щитового прикрытия, а также улучшить качество гусеничных лент. Дело в том, что во время ходовых испытаний имело место разрушение траков. А еще был первый звоночек по поводу мудреной системы параллельного размещения моторов. Под конец испытаний разрушилась шестерня первой передачи промежуточного вала. Списали этот дефект на заводской брак. В реальности дело оказалось в компоновочной схеме трансмиссии. Об этом тогда не думали, а вот для Гинзбурга затикал механизм, который сработал весной 1943 года.</w:t>
      </w:r>
    </w:p>
    <w:p w14:paraId="45D58926" w14:textId="77777777" w:rsidR="004C1168" w:rsidRPr="001E2C69" w:rsidRDefault="004C1168"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eastAsia="Times New Roman" w:hAnsi="Times New Roman"/>
          <w:color w:val="000000" w:themeColor="text1"/>
          <w:sz w:val="16"/>
          <w:szCs w:val="16"/>
          <w:lang w:eastAsia="ru-RU"/>
        </w:rPr>
        <w:t xml:space="preserve">Несмотря на решение комиссии, ни о каком серийном производстве СУ-31 речь уже не шла. Во-первых, производство Т-60 закончилось. Во-вторых, уже планировалось производство Т-70Б с усиленной ходовой частью. Поэтому СУ-31 рассматривалась теперь как носитель технологий. Далее наработки по теме легких САУ передали на завод №38. Там СУ-31 превратилась в СУ-11, судьба которой оказалась куда менее удачной. Ну а СУ-32 превратилась в СУ-12, серийную машину, ставшую последней разработкой С.А. Гинзбурга </w:t>
      </w:r>
      <w:r w:rsidRPr="001E2C69">
        <w:rPr>
          <w:rFonts w:ascii="Times New Roman" w:hAnsi="Times New Roman"/>
          <w:color w:val="000000" w:themeColor="text1"/>
          <w:sz w:val="16"/>
          <w:szCs w:val="16"/>
        </w:rPr>
        <w:t>(21063).</w:t>
      </w:r>
    </w:p>
    <w:p w14:paraId="2BFB5D29" w14:textId="77777777" w:rsidR="004C1168" w:rsidRPr="001E2C69" w:rsidRDefault="004C1168" w:rsidP="00722885">
      <w:pPr>
        <w:spacing w:after="0" w:line="240" w:lineRule="auto"/>
        <w:jc w:val="both"/>
        <w:rPr>
          <w:rFonts w:ascii="Times New Roman" w:hAnsi="Times New Roman"/>
          <w:color w:val="000000" w:themeColor="text1"/>
          <w:sz w:val="16"/>
          <w:szCs w:val="16"/>
        </w:rPr>
      </w:pPr>
    </w:p>
    <w:p w14:paraId="173A151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августа 1942 г. Постановление ГОКО №2181сс, которое обязы</w:t>
      </w:r>
      <w:r w:rsidRPr="001E2C69">
        <w:rPr>
          <w:rFonts w:ascii="Times New Roman" w:hAnsi="Times New Roman"/>
          <w:color w:val="000000" w:themeColor="text1"/>
          <w:sz w:val="16"/>
          <w:szCs w:val="16"/>
        </w:rPr>
        <w:softHyphen/>
        <w:t>вало ОКБ ВЭИ изготовить 25 комплектов приборов для ночного вождения танков.</w:t>
      </w:r>
    </w:p>
    <w:p w14:paraId="2A47FF4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октябре 1942 г. указанные приборы были изготовлены и в количестве 24 комплектов установ</w:t>
      </w:r>
      <w:r w:rsidRPr="001E2C69">
        <w:rPr>
          <w:rFonts w:ascii="Times New Roman" w:hAnsi="Times New Roman"/>
          <w:color w:val="000000" w:themeColor="text1"/>
          <w:sz w:val="16"/>
          <w:szCs w:val="16"/>
        </w:rPr>
        <w:softHyphen/>
        <w:t>лены для испытаний в танках Т-34 в 16-й и 17-й танковых бригадах 1-го гвардейского Донского кор</w:t>
      </w:r>
      <w:r w:rsidRPr="001E2C69">
        <w:rPr>
          <w:rFonts w:ascii="Times New Roman" w:hAnsi="Times New Roman"/>
          <w:color w:val="000000" w:themeColor="text1"/>
          <w:sz w:val="16"/>
          <w:szCs w:val="16"/>
        </w:rPr>
        <w:softHyphen/>
        <w:t>пуса.</w:t>
      </w:r>
    </w:p>
    <w:p w14:paraId="271829A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сентябре 1943 г. ГОИ совместно с ОКБ ВЭИ изготовили и представили на испытания два ком</w:t>
      </w:r>
      <w:r w:rsidRPr="001E2C69">
        <w:rPr>
          <w:rFonts w:ascii="Times New Roman" w:hAnsi="Times New Roman"/>
          <w:color w:val="000000" w:themeColor="text1"/>
          <w:sz w:val="16"/>
          <w:szCs w:val="16"/>
        </w:rPr>
        <w:softHyphen/>
        <w:t>плекта танковых ночных прицелов ПЦТ-8, которые проходили испытания на НИБТ полигоне ГБТУКА.</w:t>
      </w:r>
    </w:p>
    <w:p w14:paraId="650362C8" w14:textId="77777777" w:rsidR="00055325"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мае месяце 1944 г. ОКБ ВЭИ вновь проводило испытании приборов для ночного вождения на заводе № 100 НКТП (11420).</w:t>
      </w:r>
    </w:p>
    <w:p w14:paraId="4DF16E71" w14:textId="77777777" w:rsidR="00055325" w:rsidRPr="001E2C69" w:rsidRDefault="00055325" w:rsidP="00722885">
      <w:pPr>
        <w:shd w:val="clear" w:color="auto" w:fill="FFFFFF"/>
        <w:spacing w:after="0" w:line="240" w:lineRule="auto"/>
        <w:jc w:val="both"/>
        <w:rPr>
          <w:rFonts w:ascii="Times New Roman" w:hAnsi="Times New Roman"/>
          <w:color w:val="000000" w:themeColor="text1"/>
          <w:sz w:val="16"/>
          <w:szCs w:val="16"/>
        </w:rPr>
      </w:pPr>
    </w:p>
    <w:p w14:paraId="4226D272" w14:textId="77777777" w:rsidR="00055325" w:rsidRPr="001E2C69" w:rsidRDefault="00AE7191" w:rsidP="00722885">
      <w:pPr>
        <w:shd w:val="clear" w:color="auto" w:fill="FFFFFF"/>
        <w:spacing w:after="0" w:line="240" w:lineRule="auto"/>
        <w:jc w:val="both"/>
        <w:rPr>
          <w:rFonts w:ascii="Times New Roman" w:hAnsi="Times New Roman"/>
          <w:bCs/>
          <w:color w:val="000000" w:themeColor="text1"/>
          <w:sz w:val="16"/>
          <w:szCs w:val="16"/>
        </w:rPr>
      </w:pPr>
      <w:r w:rsidRPr="001E2C69">
        <w:rPr>
          <w:rFonts w:ascii="Times New Roman" w:hAnsi="Times New Roman"/>
          <w:bCs/>
          <w:color w:val="000000" w:themeColor="text1"/>
          <w:sz w:val="16"/>
          <w:szCs w:val="16"/>
        </w:rPr>
        <w:t>18 августа 1942 вышло:</w:t>
      </w:r>
    </w:p>
    <w:p w14:paraId="666440BE" w14:textId="77777777" w:rsidR="00055325" w:rsidRPr="001E2C69" w:rsidRDefault="00AE7191" w:rsidP="00722885">
      <w:pPr>
        <w:shd w:val="clear" w:color="auto" w:fill="FFFFFF"/>
        <w:spacing w:after="0" w:line="240" w:lineRule="auto"/>
        <w:jc w:val="both"/>
        <w:rPr>
          <w:rFonts w:ascii="Times New Roman" w:hAnsi="Times New Roman"/>
          <w:bCs/>
          <w:color w:val="000000" w:themeColor="text1"/>
          <w:sz w:val="16"/>
          <w:szCs w:val="16"/>
        </w:rPr>
      </w:pPr>
      <w:r w:rsidRPr="001E2C69">
        <w:rPr>
          <w:rFonts w:ascii="Times New Roman" w:hAnsi="Times New Roman"/>
          <w:bCs/>
          <w:color w:val="000000" w:themeColor="text1"/>
          <w:sz w:val="16"/>
          <w:szCs w:val="16"/>
        </w:rPr>
        <w:t>ГОСУДАРСТВЕННЫЙ КОМИТЕТ ОБОРОНЫ ПОСТАНОВЛЕНИЕ № 2181сс</w:t>
      </w:r>
    </w:p>
    <w:p w14:paraId="2F14B75B" w14:textId="77777777" w:rsidR="00AE7191" w:rsidRPr="001E2C69" w:rsidRDefault="00AE7191" w:rsidP="00722885">
      <w:pPr>
        <w:shd w:val="clear" w:color="auto" w:fill="FFFFFF"/>
        <w:spacing w:after="0" w:line="240" w:lineRule="auto"/>
        <w:jc w:val="both"/>
        <w:rPr>
          <w:rFonts w:ascii="Times New Roman" w:hAnsi="Times New Roman"/>
          <w:bCs/>
          <w:color w:val="000000" w:themeColor="text1"/>
          <w:sz w:val="16"/>
          <w:szCs w:val="16"/>
        </w:rPr>
      </w:pPr>
      <w:r w:rsidRPr="001E2C69">
        <w:rPr>
          <w:rFonts w:ascii="Times New Roman" w:hAnsi="Times New Roman"/>
          <w:bCs/>
          <w:color w:val="000000" w:themeColor="text1"/>
          <w:sz w:val="16"/>
          <w:szCs w:val="16"/>
        </w:rPr>
        <w:t>Об изготовлении опытной партии приборов для ночного вождения танков</w:t>
      </w:r>
    </w:p>
    <w:p w14:paraId="48CADAF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Государственный Комитет Обороны ПОСТАНОВЛЯЕТ:</w:t>
      </w:r>
    </w:p>
    <w:p w14:paraId="293F762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Обязать Наркомэлектропром т. Кабанова и начальника особого конструкторского бюро Всесоюзного электротехнического института т. Бирюкова изготовить опытную партию приборов для ночного вождения танков в количестве 25 комплектов, из них к 20 сентября 1942 г. - 10 комплектов и к 1 октября 1942 г. - 15 комплектов. При изготовлении вышеуказанных приборов устранить недостатки, выявленные во время полигонных испытаний опытного образца.</w:t>
      </w:r>
    </w:p>
    <w:p w14:paraId="02A454A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Обязать Наркомвооружения т. Устинова изготовить и поставить Наркомэлектропрому 30 комплектов оптических систем БИС-26, из них к 10 сентября — 10 комплектов и к 20 сентября — 20 комплектов.</w:t>
      </w:r>
    </w:p>
    <w:p w14:paraId="7550D4D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Обязать Наркомлегпром СССР т. Лукина изготовить и поставить Наркомэлектропрому 150 штук светофильтров КС-13, из них к 10 сентября — 50 штук и к 20 сентября — 100 штук.</w:t>
      </w:r>
    </w:p>
    <w:p w14:paraId="39017F0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Обязать Наркомрезинпром т. Митрохина изготовить и поставить к 10 сентября 1942 г. Наркомэлектропрому — 70 штук наглазников из губчатой резины Б-13 (СБ-32) деталь 345 и 50 кг круглого и листового эбонита по спецификациям Наркомэлектропрома.</w:t>
      </w:r>
    </w:p>
    <w:p w14:paraId="0973920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5. Обязать ГАБТУ КА т. Федоренко установить приборы для ночного вождения на танки и проверить возможность практического их использования на марше танковой колонны и в бою. </w:t>
      </w:r>
    </w:p>
    <w:p w14:paraId="31B6DA6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Предложения о внедрении приборов для ночного вождения танков на серийное производство представить Государственному Комитету Обороны к 10 октября 1942 года </w:t>
      </w:r>
    </w:p>
    <w:p w14:paraId="4EE4BD6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ПРЕДСЕДАТЕЛЬ ГОСУДАРСТВЕННОГО КОМИТЕТА ОБОРОНЫ (11813).</w:t>
      </w:r>
    </w:p>
    <w:p w14:paraId="38426C5C"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743E6C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августа 1942 вышло Постановление ГКО № 2181 Об изготовлении опытной партии приборов для ночного вождения танков. РГАНИР, Фонд ГКО, д. 52, лл. 37 (11012).</w:t>
      </w:r>
    </w:p>
    <w:p w14:paraId="32F85215"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B71AC8B"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18 августа 1942 года вышел приказ № 608с НКБ</w:t>
      </w:r>
    </w:p>
    <w:p w14:paraId="52F5442F"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Организовать в составе завода № 184 на базе опытного отдела этого завода КБ гильзовой промышленности (5909, 50).</w:t>
      </w:r>
    </w:p>
    <w:p w14:paraId="2645AA4C" w14:textId="77777777" w:rsidR="00AE7191" w:rsidRPr="001E2C69" w:rsidRDefault="00AE7191" w:rsidP="00722885">
      <w:pPr>
        <w:pStyle w:val="Iauiue"/>
        <w:tabs>
          <w:tab w:val="left" w:pos="11199"/>
        </w:tabs>
        <w:jc w:val="both"/>
        <w:rPr>
          <w:color w:val="000000" w:themeColor="text1"/>
          <w:sz w:val="16"/>
          <w:szCs w:val="16"/>
        </w:rPr>
      </w:pPr>
    </w:p>
    <w:p w14:paraId="59A2FCA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августа 1942 вышло Постановление ГКО № 2182 О неотложных мерах помощи Сталинградским заводам СТЗ и № 264 Наркомтанкопрома. РГАНИР, Фонд ГКО, д. 52, лл. 38-41 (11012).</w:t>
      </w:r>
    </w:p>
    <w:p w14:paraId="5CC4553C"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306B736" w14:textId="77777777" w:rsidR="00055325"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августа 1942 вышло Постановление ГКО № 2183 О командировании Малышева В.А. в Сталинград на 15 дней для налаживания кооперации между заводами. РГАНИР, Фонд ГКО, д. 52, лл. 42 (11012).</w:t>
      </w:r>
    </w:p>
    <w:p w14:paraId="63AF7958"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5DCF0001" w14:textId="77777777" w:rsidR="00055325" w:rsidRPr="001E2C69" w:rsidRDefault="00AE7191" w:rsidP="00722885">
      <w:pPr>
        <w:spacing w:after="0" w:line="240" w:lineRule="auto"/>
        <w:jc w:val="both"/>
        <w:rPr>
          <w:rFonts w:ascii="Times New Roman" w:hAnsi="Times New Roman"/>
          <w:bCs/>
          <w:color w:val="000000" w:themeColor="text1"/>
          <w:sz w:val="16"/>
          <w:szCs w:val="16"/>
        </w:rPr>
      </w:pPr>
      <w:r w:rsidRPr="001E2C69">
        <w:rPr>
          <w:rFonts w:ascii="Times New Roman" w:hAnsi="Times New Roman"/>
          <w:bCs/>
          <w:color w:val="000000" w:themeColor="text1"/>
          <w:sz w:val="16"/>
          <w:szCs w:val="16"/>
        </w:rPr>
        <w:t>18 августа 1942 вышло:</w:t>
      </w:r>
    </w:p>
    <w:p w14:paraId="69401ACD" w14:textId="77777777" w:rsidR="00055325" w:rsidRPr="001E2C69" w:rsidRDefault="00AE7191" w:rsidP="00722885">
      <w:pPr>
        <w:spacing w:after="0" w:line="240" w:lineRule="auto"/>
        <w:jc w:val="both"/>
        <w:rPr>
          <w:rFonts w:ascii="Times New Roman" w:hAnsi="Times New Roman"/>
          <w:bCs/>
          <w:color w:val="000000" w:themeColor="text1"/>
          <w:sz w:val="16"/>
          <w:szCs w:val="16"/>
        </w:rPr>
      </w:pPr>
      <w:r w:rsidRPr="001E2C69">
        <w:rPr>
          <w:rFonts w:ascii="Times New Roman" w:hAnsi="Times New Roman"/>
          <w:bCs/>
          <w:color w:val="000000" w:themeColor="text1"/>
          <w:sz w:val="16"/>
          <w:szCs w:val="16"/>
        </w:rPr>
        <w:t>ПОСТАНОВЛЕНИЕ ГОСУДАРСТВЕННОГО КОМИТЕТА ОБОРОНЫ № 2183 от 18.08.1942г.</w:t>
      </w:r>
    </w:p>
    <w:p w14:paraId="5B510EA7" w14:textId="77777777" w:rsidR="00AE7191" w:rsidRPr="001E2C69" w:rsidRDefault="00AE7191" w:rsidP="00722885">
      <w:pPr>
        <w:spacing w:after="0" w:line="240" w:lineRule="auto"/>
        <w:jc w:val="both"/>
        <w:rPr>
          <w:rFonts w:ascii="Times New Roman" w:hAnsi="Times New Roman"/>
          <w:bCs/>
          <w:color w:val="000000" w:themeColor="text1"/>
          <w:sz w:val="16"/>
          <w:szCs w:val="16"/>
        </w:rPr>
      </w:pPr>
      <w:r w:rsidRPr="001E2C69">
        <w:rPr>
          <w:rFonts w:ascii="Times New Roman" w:hAnsi="Times New Roman"/>
          <w:bCs/>
          <w:color w:val="000000" w:themeColor="text1"/>
          <w:sz w:val="16"/>
          <w:szCs w:val="16"/>
        </w:rPr>
        <w:t>[о мероприятиях по обеспечению бесперебойной работы военной промышленности Сталинграда ]</w:t>
      </w:r>
    </w:p>
    <w:p w14:paraId="4FABF0E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Командировать сроком на 15 дней в г.Сталинград Зам. Председателя Совнаркома Союза ССР тов.Малышева, поручив ему обеспечить бесперебойную работу военной промышленности Сталинграда и наладить на месте необходимую кооперацию между заводами, в соответствии с постановлением ГОКО от 18 августа №2182сс.</w:t>
      </w:r>
    </w:p>
    <w:p w14:paraId="1245149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Для обеспечения указанного выше, разрешить тов.Малышеву издавать от имени Совнаркома Союза ССР необходимые указания и распоряжения, обязательные для исполнения всеми партийными, советскими, хозяйственными и общественными организациями. </w:t>
      </w:r>
    </w:p>
    <w:p w14:paraId="7F340D2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ПРЕДСЕДАТЕЛЬ ГОСУДАРСТВЕННОГО КОМИТЕТА ОБОРОНЫ (11813).</w:t>
      </w:r>
    </w:p>
    <w:p w14:paraId="0AE91CEF"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21D33A9"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августа 1942</w:t>
      </w:r>
    </w:p>
    <w:p w14:paraId="0553955E"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1 Дело 12 лист 144 – 146</w:t>
      </w:r>
    </w:p>
    <w:p w14:paraId="7295E8C0"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w:t>
      </w:r>
    </w:p>
    <w:p w14:paraId="7C0EF107"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НАРОДНОГО КОМИССАРА ТАНКОВОЙ ПРОМЫШЛЕННОСТИ СССР</w:t>
      </w:r>
    </w:p>
    <w:p w14:paraId="64418D4E"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335</w:t>
      </w:r>
    </w:p>
    <w:p w14:paraId="41D6DB9A"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Москва</w:t>
      </w:r>
    </w:p>
    <w:p w14:paraId="6AB37CDB"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августа 1942 г.</w:t>
      </w:r>
    </w:p>
    <w:p w14:paraId="02C9DC91"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Объявляю для руководства, что постановлением Совета Народных Комиссаров Союза ССР № 1353 от 10 августа 1942 г. установлен следующий порядок привлечения граждан к трудовой повинности в военное время:</w:t>
      </w:r>
    </w:p>
    <w:p w14:paraId="151F5595"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Трудовая повинность граждан вводится каждый раз по постановлению Совета Народных Комиссаров Союза ССР, а в местностях, объявленных на военном положении, также военными властями, в соответствии со статьей 3 Указа Президиума Верховного Совета СССР от 22 июня 1941 года "О военном положении".</w:t>
      </w:r>
    </w:p>
    <w:p w14:paraId="6E2303BB"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Трудовая повинность может объявляться:</w:t>
      </w:r>
    </w:p>
    <w:p w14:paraId="5052FC2B"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для выполнения оборонных работ и других военных надобностей;</w:t>
      </w:r>
    </w:p>
    <w:p w14:paraId="1AA0D25E"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для заготовок топлива;</w:t>
      </w:r>
    </w:p>
    <w:p w14:paraId="26B32456"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для выполнения специальных строительных работ и других важнейших государственных заданий;</w:t>
      </w:r>
    </w:p>
    <w:p w14:paraId="4185B5F5"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для охраны путей сообщения, сооружений, средств связи, электростанций, электросетей и других важнейших объектов;</w:t>
      </w:r>
    </w:p>
    <w:p w14:paraId="41A2531E"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 для борьбы с пожарами, эпидемиями и стихийными бедствиями.</w:t>
      </w:r>
    </w:p>
    <w:p w14:paraId="0B5B7AF2"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Примечание: Привлечение граждан к трудовой повинности для борьбы со стихийными бедствиями (наводнения, снежные заносы, пожары и т.п.) допускается также в порядке, установленном постановлением ВЦИК и СНК РСФСР от 18 июля 1927 года и законодательством других союзных республик.</w:t>
      </w:r>
    </w:p>
    <w:p w14:paraId="4F884F9C"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Привлечение граждан к трудовой повинности в военное время допускается на срок до 2 месяцев с продолжительностью рабочего времени в размере 8 часов в день и 3 часов обязательных сверхурочных.</w:t>
      </w:r>
    </w:p>
    <w:p w14:paraId="3B62E844"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К трудовой повинности не привлекаются:</w:t>
      </w:r>
    </w:p>
    <w:p w14:paraId="5C755550"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лица, не достигшие 16-летнего возраста, а также мужчины старше 55 лет и женщины старше 45 лет;</w:t>
      </w:r>
    </w:p>
    <w:p w14:paraId="1C56CB63"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беременные женщины, начиная с 5 месяцев беременности;</w:t>
      </w:r>
    </w:p>
    <w:p w14:paraId="48C548F7"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женщины, имеющие грудных детей, а также женщины, имеющие детей в возрасте до 8 лет, в случае отсутствия других членов семьи, обеспечивающих уход за ними;</w:t>
      </w:r>
    </w:p>
    <w:p w14:paraId="538D07D1"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лица, временно утратившие трудоспособность, на срок до ее восстановления и инвалиды первой и второй групп.</w:t>
      </w:r>
    </w:p>
    <w:p w14:paraId="6471BFD4"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По постановлению органов власти (ст. 1) от привлечения к трудовой повинности могут быть освобождены и другие категории граждан, в зависимости от местных условий.</w:t>
      </w:r>
    </w:p>
    <w:p w14:paraId="7AD91F39"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Оплата труда граждан, выполняющих в порядке трудовой повинности оборонные и другие работы, производится учреждениями и организациями, для которых выполняются работы, по действующим нормам оплаты труда, установленным для данных работ.</w:t>
      </w:r>
    </w:p>
    <w:p w14:paraId="768FCD88"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рабочими и служащими государственных предприятий, учреждений и общественных организаций, а также за членами промысловых артелей, привлекаемыми на работы в порядке трудовой повинности, может быть сохранена в каждом отдельном случае по решению Совнаркома СССР оплата по месту их постоянной работы, но не свыше 50 % ставки заработной платы, получаемой ими в предприятиях или учреждениях.</w:t>
      </w:r>
    </w:p>
    <w:p w14:paraId="05CCD61E"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Примечание: При мобилизации на оборонительные работы, зарплата по месту постоянной работы не сохраняется.</w:t>
      </w:r>
    </w:p>
    <w:p w14:paraId="1E3EEC2E"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Лица, привлекаемые к трудовой повинности, могут быть использованы на работе как в месте их постоянного жительства, так и вне его. За рабочими и служащими, привлеченными к трудовой повинности, сохраняется место их постоянной работы, занимаемая должность, а также их жилая площадь.</w:t>
      </w:r>
    </w:p>
    <w:p w14:paraId="6EF76BC9"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При направлении в другую местность лиц, привлеченных к трудовой повинности, средства передвижения предоставляются бесплатно той организацией, в распоряжении которой эти лица направлены.</w:t>
      </w:r>
    </w:p>
    <w:p w14:paraId="24EEFE60"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Если привлечение к трудовой повинности связано с временной переменой места жительства и переездом на расстояние свыше 25 километров, то организации, для которых производятся работы, обязаны выплачивать привлекаемым к трудовой повинности следующие компенсации:</w:t>
      </w:r>
    </w:p>
    <w:p w14:paraId="7FA16231"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лицам, работающим в предприятиях и учреждениях, выплачивается за время нахождения в пути заработная плата из расчета тарифной ставки (должностного оклада) по месту основной работы, но не ниже 5 рублей в сутки;</w:t>
      </w:r>
    </w:p>
    <w:p w14:paraId="6D40F047"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лицам, не работающим в предприятиях и учреждениях, выплачивается за время нахождения в пути суточные в размере 5 рублей.</w:t>
      </w:r>
    </w:p>
    <w:p w14:paraId="6F4EC502"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Колхозникам за время нахождения в пути начисляется за счет колхоза среднее количество трудодней, которое за это время начисляется другим колхозникам той же квалификации и специальности.</w:t>
      </w:r>
    </w:p>
    <w:p w14:paraId="3BE8C940"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указанные выше компенсации выплачиваются за время нахождения в пути в оба конца, т.е. к месту работы и обратно.</w:t>
      </w:r>
    </w:p>
    <w:p w14:paraId="6C7D68E6"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Организации, в распоряжение которых направляются лица, привлеченные к трудовой повинности, обязаны обеспечить их питанием за плату как на месте работы, так и в пути, а также представить бесплатно на месте работы жилье.</w:t>
      </w:r>
    </w:p>
    <w:p w14:paraId="222E38CA"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Лица, выполняющие работы в порядке трудовой повинности, социальному страхованию на этих работах не подлежат. В случае инвалидности или смерти от увечья, полученного при выполнении работы в порядке трудовой повинности, эти лица или их семья обеспечиваются пенсиями в порядке социального обеспечения, согласно действующим законам и правилам.</w:t>
      </w:r>
    </w:p>
    <w:p w14:paraId="62457353"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В случае временной нетрудоспособности лиц, выполняющих работы в порядке трудовой повинности, за ними сохраняются две трети среднего заработка по месту выполнения работы, но не свыше срока окончания трудовой повинности.</w:t>
      </w:r>
    </w:p>
    <w:p w14:paraId="1D661E1B"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истечении этого срока лица, которые до привлечения к трудовой повинности работали в качестве рабочих и служащих, обеспечиваются пособием по временной нетрудоспособности в соответствии с постановлением Совнаркома СССР, ЦК ВКП(б) и ВЦСПС от 28 декабря 1938 года (СП СССР 1939 г. № 1 ст. 1).</w:t>
      </w:r>
    </w:p>
    <w:p w14:paraId="719DBB50"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Лица, привлекаемые к трудовой повинности, не освобождаются от призыва в Красную Армию.</w:t>
      </w:r>
    </w:p>
    <w:p w14:paraId="4B27CD2B"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Виновные в отказе или уклонении от трудовой повинности, а также в задержке лиц, работающих в предприятиях и учреждениях и привлекаемых к трудовой повинности, подлежат уголовной ответственности по законам военного времени.</w:t>
      </w:r>
    </w:p>
    <w:p w14:paraId="50F6D40B"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Настоящий приказ довести до сведения всех рабочих, ИТР и служащих, работающих на заводах и в учреждениях НКТП.</w:t>
      </w:r>
    </w:p>
    <w:p w14:paraId="283199A4"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ТАНКОВОЙ ПРОМЫШЛЕННОСТИ СССР</w:t>
      </w:r>
    </w:p>
    <w:p w14:paraId="11DFF4C9" w14:textId="77777777" w:rsidR="001C5108" w:rsidRPr="008A2E5A" w:rsidRDefault="001C5108" w:rsidP="001C51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И. ЗАЛЬЦМАН (23498).</w:t>
      </w:r>
    </w:p>
    <w:p w14:paraId="57BE6C14" w14:textId="77777777" w:rsidR="001C5108" w:rsidRPr="008A2E5A" w:rsidRDefault="001C5108" w:rsidP="001C5108">
      <w:pPr>
        <w:spacing w:after="0" w:line="240" w:lineRule="auto"/>
        <w:jc w:val="both"/>
        <w:rPr>
          <w:rFonts w:ascii="Times New Roman" w:hAnsi="Times New Roman"/>
          <w:color w:val="0070C0"/>
          <w:sz w:val="16"/>
          <w:szCs w:val="16"/>
        </w:rPr>
      </w:pPr>
    </w:p>
    <w:p w14:paraId="2C07C43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августа 1942 г. на базе ликвидированных Экспериментально-конструкторского института химического машиностроения "Экихиммаш", Государственного института химического и бумажного машиностроения "Гипрохимбуммаш" и Конструкторского бюро Киевского завода "Большевик" приказом Наркомата минометного вооружения СССР был создан Научно-исследовательский институт химического машиностроения "НИИхиммаш" в г. Свердловске. Приказом Наркомата минометного вооружения СССР от 16 сентября 1943 г. переведен в г. Москву. Приказом Министерства машиностроения и приборостроения СССР от 17 мая 1946 г. переименован во Всесоюзный научно-исследовательский институт химического машиностроения "НИИхиммаш". С 6 марта 1952 г. называется Всесоюзный научно-исследовательский и конструкторский институт химического машиностроения "НИИхиммаш". В1943 - 1953 гг. институт возглавлял академик АН СССР, лауреат Ленинской премии и Государственных премий СССР Н. А. Доллежаль (12102).</w:t>
      </w:r>
    </w:p>
    <w:p w14:paraId="40FFE93E"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34A3D94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августа 1942 вышло Постановление ГКО № 2184 О строительстве мартеновской печи № 5 на Уралмашзаводе Наркомтанкопрома. РГАНИР, Фонд ГКО, д. 52, лл. 43 (11012).</w:t>
      </w:r>
    </w:p>
    <w:p w14:paraId="0CD22B0B"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5CA00B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августа 1942 вышло Постановление ГКО № 2185 О вывозе светлых нефтепродуктов из Баку и Грозного через Гурьев. РГАНИР, Фонд ГКО, д. 52, лл. 44-49, 50 (11012).</w:t>
      </w:r>
    </w:p>
    <w:p w14:paraId="618A3D67"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F6278D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августа 1942 вышло Постановление ГКО № 2186 О т.т. Моллаеве С.К., Даниялове А.РГАНИР, Фонд ГКО, д. , Кулове К.РГАНИР, Фонд ГКО, д. и Кумехове З.РГАНИР, Фонд ГКО, д. РГАНИР, Фонд ГКО, д. 52, лл. 51 (11012).</w:t>
      </w:r>
    </w:p>
    <w:p w14:paraId="4FC31444"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9ED631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августа 1942 вышло Постановление ГКО № 2187 Об обеспечении фронтовых правительственных связей специальной аппаратурой для телефонных и радиотелефонных разговоров. РГАНИР, Фонд ГКО, д. 52, лл. 52-54, 55 (11012).</w:t>
      </w:r>
    </w:p>
    <w:p w14:paraId="72FE98BB"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C362D0E"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18 августа 1942 вышло Постановление ГКО № 2188 Об увеличении сбора и выплавки вторичного алюминия и алюминиевых сплавов в 1942 г. (7050, 56-61).</w:t>
      </w:r>
    </w:p>
    <w:p w14:paraId="356B33F3" w14:textId="77777777" w:rsidR="00AE7191" w:rsidRPr="001E2C69" w:rsidRDefault="00AE7191" w:rsidP="00722885">
      <w:pPr>
        <w:pStyle w:val="Iauiue"/>
        <w:tabs>
          <w:tab w:val="left" w:pos="11199"/>
        </w:tabs>
        <w:jc w:val="both"/>
        <w:rPr>
          <w:color w:val="000000" w:themeColor="text1"/>
          <w:sz w:val="16"/>
          <w:szCs w:val="16"/>
        </w:rPr>
      </w:pPr>
    </w:p>
    <w:p w14:paraId="6CB4BE27"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18 августа 1942 вышло Постановление ГКО № 2189 Об увеличении производства магния на двух действующих сериях Соликамского магниевого завода. (7050, 62-65,66-78).</w:t>
      </w:r>
    </w:p>
    <w:p w14:paraId="6CEFC5F1" w14:textId="77777777" w:rsidR="00AE7191" w:rsidRPr="001E2C69" w:rsidRDefault="00AE7191" w:rsidP="00722885">
      <w:pPr>
        <w:pStyle w:val="Iauiue"/>
        <w:tabs>
          <w:tab w:val="left" w:pos="11199"/>
        </w:tabs>
        <w:jc w:val="both"/>
        <w:rPr>
          <w:color w:val="000000" w:themeColor="text1"/>
          <w:sz w:val="16"/>
          <w:szCs w:val="16"/>
        </w:rPr>
      </w:pPr>
    </w:p>
    <w:p w14:paraId="45899E6B"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18 августа 1942 вышло Постановление ГКО № 2190 О вводе в действие дополнительных мощностей по производству магния в 1942 году. (7050, 79-83,84-118).</w:t>
      </w:r>
    </w:p>
    <w:p w14:paraId="4B8F500D" w14:textId="77777777" w:rsidR="00AE7191" w:rsidRPr="001E2C69" w:rsidRDefault="00AE7191" w:rsidP="00722885">
      <w:pPr>
        <w:pStyle w:val="Iauiue"/>
        <w:tabs>
          <w:tab w:val="left" w:pos="11199"/>
        </w:tabs>
        <w:jc w:val="both"/>
        <w:rPr>
          <w:color w:val="000000" w:themeColor="text1"/>
          <w:sz w:val="16"/>
          <w:szCs w:val="16"/>
        </w:rPr>
      </w:pPr>
    </w:p>
    <w:p w14:paraId="53FEF31D"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76C18B0E" w14:textId="77777777" w:rsidR="00AE7191" w:rsidRPr="001E2C69" w:rsidRDefault="00AE7191" w:rsidP="00722885">
      <w:pPr>
        <w:pStyle w:val="Iauiue"/>
        <w:jc w:val="both"/>
        <w:rPr>
          <w:iCs/>
          <w:color w:val="000000" w:themeColor="text1"/>
          <w:sz w:val="16"/>
          <w:szCs w:val="16"/>
        </w:rPr>
      </w:pPr>
    </w:p>
    <w:p w14:paraId="7A008B06"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августа в 1942 году утреннее сообщение Совинформбюро:</w:t>
      </w:r>
    </w:p>
    <w:p w14:paraId="01E25799"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18 августа наши войска вели бои с противником в районах юго-восточнее Клетская, северо-восточнее Котельниково, а также в районах Минеральные Воды и Краснодар.</w:t>
      </w:r>
    </w:p>
    <w:p w14:paraId="63474A24"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40F444CF"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юго-восточнее Клетской наши войска продолжали вести напряжённые оборонительные бои. Большой урон врагу наносит советская артиллерия. За несколько дней боёв артиллеристы одного подразделения уничтожили до 5 рот немецкой пехоты, 12 орудий с прислугой, 4 миномётные батареи и наблюдательный пункт. Бойцы Н-ской стрелковой части ведут упорные бои с превосходящими силами противника, вклинившимися в нашу оборону. В течение суток они отбили четыре атаки неприятеля и уничтожили более 1.500 гитлеровцев.</w:t>
      </w:r>
    </w:p>
    <w:p w14:paraId="7600A219"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в бою у одного населённого пункта разгромлен батальон румынской пехоты. Наши бойцы захватили пленных и трофеи. На другом участке Н-ская часть истребила свыше 300 гитлеровцев. Огнём артиллерии подбито и уничтожено 6 немецких танков.</w:t>
      </w:r>
    </w:p>
    <w:p w14:paraId="11577E50"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Краснодара наши войска вели бои с танками и мотопехотой противника. На одном участке наши артиллеристы и бронебойщики отбили атаку неприятеля. Подбито 12 танков. На другом участке танкисты Н-ской части в ожесточённом бою уничтожили до 600 гитлеровцев и 20 танков противника. В районе Минеральных Вод наши части отбили атаки войск противника.</w:t>
      </w:r>
    </w:p>
    <w:p w14:paraId="649585D2"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Северо-Западном фронте происходили бои местного значения. Части под командованием тов. Свиридова предприняли несколько атак и нанесли немцам урон в живой силе и технике. Красноармейцы Латкин и Васильев во время атаки вражеских блиндажей закололи 14 немцев. Старший сержант Догадин из противотанкового ружья сбил немецкий транспортный самолёт «Юнкерс-52».</w:t>
      </w:r>
    </w:p>
    <w:p w14:paraId="573BC36C"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Брянские партизаны пустили под откос три железнодорожных эшелона с живой силой и техникой противника. На одной из шоссейных дорог партизаны сожгли мост, в связи с чем затормозили движение автотранспорта противника.</w:t>
      </w:r>
    </w:p>
    <w:p w14:paraId="2AC4E2EC"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Пленный обер-ефрейтор 14 роты 227 немецкого пехотного полка Рудольф Циглер рассказал: «В последнее время офицеры нам говорили, что есть приказ командования, предлагающий командирам частей на месте добывать продовольствие для снабжения солдат. Офицеры при этом указывали, что Германия, где нормы </w:t>
      </w:r>
      <w:r w:rsidRPr="001E2C69">
        <w:rPr>
          <w:rFonts w:ascii="Times New Roman" w:hAnsi="Times New Roman"/>
          <w:color w:val="000000" w:themeColor="text1"/>
          <w:sz w:val="16"/>
          <w:szCs w:val="16"/>
        </w:rPr>
        <w:lastRenderedPageBreak/>
        <w:t>потребления из месяца в месяц сокращаются, не может снабжать фронт. Наоборот, командование требует, чтобы фронт снабжал тыл хлебом, мясом и другими продуктами. После таких бесед начался ещё более усиленный грабёж населения. Специально выделенные группы шныряют по деревням и берут всё, что им попадётся под руки».</w:t>
      </w:r>
    </w:p>
    <w:p w14:paraId="5E4245A9"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Польский партизанский отряд, действующий в районе Кракова, истребил 70 гитлеровцев. На линии Краков—Мехув партизаны в трёх местах разрушили железнодорожное полотно. Движение поездов на этом участке было прекращено в течение двух дней.» (14987).</w:t>
      </w:r>
    </w:p>
    <w:p w14:paraId="2F773AA3"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0C115BAE"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августа в 1942 году вечернее сообщение Совинформбюро:</w:t>
      </w:r>
    </w:p>
    <w:p w14:paraId="10F6DB3C"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18 августа наши войска вели бои с противником в районахюго-восточнее Клетская, северо-восточнее Котельниково, а также в районах Пятигорск и Краснодар.</w:t>
      </w:r>
    </w:p>
    <w:p w14:paraId="69454909"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220FDFF9"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17 августа частями нашей авиации на различных участках фронта уничтожено или повреждено до 30 немецких танков и бронемашин, свыше 200 автомашин с войсками и грузами, 6 автоцистерн с горючим, взорван склад боеприпасов и склад горючего, подавлен огонь 20 батарей полевой и зенитной артиллерии, потоплен один катер, рассеяно и частью уничтожено до двух батальонов пехоты противника.</w:t>
      </w:r>
    </w:p>
    <w:p w14:paraId="5610170B"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юго-восточнее Клетской наши войска вели напряжённые оборонительные бои с танками и пехотой противника. На участке Н-ского соединения крупные силы немцев перешли в наступление. После кровопролитного боя, в ходе которого было уничтожено 10 немецких танков и до 800 гитлеровцев, наши части отошли на новые оборонительные рубежи. Да другом участке наша стрелковая часть продолжала вести бой с превосходящими силами противника, вклинившимися в нашу оборону. Уничтожено 4 танка и до 700 немецких солдат и офицеров.</w:t>
      </w:r>
    </w:p>
    <w:p w14:paraId="4250D4B1"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наши войска вели бои с перешедшими в наступление войсками противника. Около населённого пункта Б. произошёл ожесточённый бой, в результате которого немцы потеряли только убитыми до 600 солдат и офицеров. Внезапным огневым налётом нашей артиллерии на скопление противника уничтожено 8 танков и 20 автомашин с пехотой.</w:t>
      </w:r>
    </w:p>
    <w:p w14:paraId="31FC6005"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Краснодара наши войска вели бои с группировкой противника, переправившейся через реку Кубань. Н-ское подразделение предприняло контратаку и разгромило батальон гитлеровцев. Подбито 4 немецких танка.</w:t>
      </w:r>
    </w:p>
    <w:p w14:paraId="39FC71DD"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Пятигорска советские войска отбивали ожесточённые атаки неприятеля.Только на одном участке истреблено свыше 300 солдат и офицеров противника.</w:t>
      </w:r>
    </w:p>
    <w:p w14:paraId="24A90128"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Южнее Воронежа наши части вели упорные уличные бои с противником в населённомпункте К. Гитлеровцы понесли в этих боях большие потери в живой силе. Захвачены пленные.</w:t>
      </w:r>
    </w:p>
    <w:p w14:paraId="029E1528"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Волховском фронте происходили активные действия разведывательных отрядов. Бойцы подразделения старшего лейтенанта Наума Пресса пробрались к немецкому ДЗОТу. Красноармеец Корнев вырвал из амбразуры пулемёт и бросил в ДЗОТ гранату. Другие разведчики открыли огонь и истребили бежавших немцев. Восемь разведчиков во главе со старшим лейтенантом Ивановым в лесу встретили 25 гитлеровцев. Наши бойцы огнём из автоматов уничтожили 24 немца, а одного немецкого солдата взяли в плен.</w:t>
      </w:r>
    </w:p>
    <w:p w14:paraId="059E46CC"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тов. К., действующий в одном из районов Витебской области, в течение июля месяца истребил 106 гитлеровцев, разрушил 8 мостов и сжёг несколько складов немецких оккупантов. Партизаны отряда обстреляли из пулемётов и автоматов 5 железнодорожных поездов с живой силой противника.</w:t>
      </w:r>
    </w:p>
    <w:p w14:paraId="240EBA7C"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2 роты 685 полка 336 немецкой пехотной дивизии Франц Рейнгольд рассказал: «Наша дивизия находилась во Франции, в Нанте и Ренне. Французское население ненавидит немцев и ожидает лишь случая, чтобы отомстить нам. Именно поэтому некоторые офицеры и солдаты считали, что Францию надо рассматривать как фронт, который если не сегодня, то завтра потребует много сил и жертв. В июне 1942 года мы выехали на Восточный фронт. Отправка нашей дивизии в Россию вызвала недоумение и недовольство. Многие при этом исходили из чисто шкурных соображений. Никому не хотелось уезжать из Франции, расстаться с хорошей, спокойной жизнью и ехать в Россию на верную смерть».</w:t>
      </w:r>
    </w:p>
    <w:p w14:paraId="6414DE42"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изгнания немцев из села Большая Верейка, Воронежской области, группа бойцов и командиров Н-ской части обнаружила в овраге труп красноармейца, зверски замученного гитлеровцами. Фашистские изверги подвергли пленного нечеловеческим пыткам. Они отрезали красноармейцу уши, нос, губы, содрали с черепа кожу и бросили труп в овраг.</w:t>
      </w:r>
    </w:p>
    <w:p w14:paraId="0F9F75EA"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прядильной фабрике в Куртре (Бельгия) патриоты подожгли склады. Огнём уничтожено до 150 тонн пряжи, которую намечено было отправить в Германию.» (14987).</w:t>
      </w:r>
    </w:p>
    <w:p w14:paraId="737B4B66"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5C088D80" w14:textId="77777777" w:rsidR="00FA7E38" w:rsidRPr="001E2C69" w:rsidRDefault="00FA7E38" w:rsidP="00722885">
      <w:pPr>
        <w:pStyle w:val="af"/>
        <w:spacing w:before="0" w:after="0"/>
        <w:jc w:val="both"/>
        <w:textAlignment w:val="baseline"/>
        <w:rPr>
          <w:color w:val="000000" w:themeColor="text1"/>
          <w:sz w:val="16"/>
          <w:szCs w:val="16"/>
        </w:rPr>
      </w:pPr>
      <w:r w:rsidRPr="001E2C69">
        <w:rPr>
          <w:color w:val="000000" w:themeColor="text1"/>
          <w:sz w:val="16"/>
          <w:szCs w:val="16"/>
        </w:rPr>
        <w:t>19 августа 1942 пять Ил-2 из 7-го гв. пшап в сопровождении 11 «Харрикейнов» в очередной раз вылетели на поиск кораблей противника в Финском заливе. В 5.05 вблизи острова Большой Тютерс пилоты «горбатых» увидели два транспорта, шедшие под охраной пяти сторожевых кораблей. Зная, что наибольшие потери от зенитного огня штурмовики обычно несли при выходе из атаки, ведущий на сей раз решил применить тактическую «новинку». Он повел пятерку в обход, чтобы ударить по транспортам с севера и выйти из атаки на восток, в направлении на солнце.</w:t>
      </w:r>
    </w:p>
    <w:p w14:paraId="4F2954AB" w14:textId="77777777" w:rsidR="00FA7E38" w:rsidRPr="001E2C69" w:rsidRDefault="00FA7E38" w:rsidP="00722885">
      <w:pPr>
        <w:pStyle w:val="af"/>
        <w:spacing w:before="0" w:after="0"/>
        <w:jc w:val="both"/>
        <w:textAlignment w:val="baseline"/>
        <w:rPr>
          <w:color w:val="000000" w:themeColor="text1"/>
          <w:sz w:val="16"/>
          <w:szCs w:val="16"/>
        </w:rPr>
      </w:pPr>
      <w:r w:rsidRPr="001E2C69">
        <w:rPr>
          <w:color w:val="000000" w:themeColor="text1"/>
          <w:sz w:val="16"/>
          <w:szCs w:val="16"/>
        </w:rPr>
        <w:t>Это был опрометчивый и необдуманный, если не сказать глупый, шаг. На выходе в атаку пилоты И лов оказались сами ослеплены яркими солнечными лучами и не смогли точно прицелиться. В результате все сброшенные бомбы и выпущенные «эрэсы» легли мимо цели. При этом огонь корабельных зениток, несмотря на примененную атакующими «тактическую хитрость», оказался организованным и сосредоточенным, и один Ил-2 был сбит (19522).</w:t>
      </w:r>
    </w:p>
    <w:p w14:paraId="7FA216E8" w14:textId="77777777" w:rsidR="00FA7E38" w:rsidRPr="001E2C69" w:rsidRDefault="00FA7E38" w:rsidP="00722885">
      <w:pPr>
        <w:pStyle w:val="af"/>
        <w:spacing w:before="0" w:after="0"/>
        <w:jc w:val="both"/>
        <w:textAlignment w:val="baseline"/>
        <w:rPr>
          <w:color w:val="000000" w:themeColor="text1"/>
          <w:sz w:val="16"/>
          <w:szCs w:val="16"/>
        </w:rPr>
      </w:pPr>
    </w:p>
    <w:p w14:paraId="0855CCFA" w14:textId="19CEA7D4" w:rsidR="00FA7E38" w:rsidRPr="001E2C69" w:rsidRDefault="00FA7E38" w:rsidP="00722885">
      <w:pPr>
        <w:pStyle w:val="af"/>
        <w:spacing w:before="0" w:after="0"/>
        <w:jc w:val="both"/>
        <w:textAlignment w:val="baseline"/>
        <w:rPr>
          <w:color w:val="000000" w:themeColor="text1"/>
          <w:sz w:val="16"/>
          <w:szCs w:val="16"/>
        </w:rPr>
      </w:pPr>
      <w:r w:rsidRPr="001E2C69">
        <w:rPr>
          <w:color w:val="000000" w:themeColor="text1"/>
          <w:sz w:val="16"/>
          <w:szCs w:val="16"/>
        </w:rPr>
        <w:t>19 августа 1942 третий подряд огненный таран совершили летчики 622-го шап. На сей раз старший сержант Михаил Пресняков направил свой Ил-2 на переправу, наведенную немцами через Дон. Через три дня на таран наземной цели пошел младший лейтенант И.</w:t>
      </w:r>
      <w:r w:rsidR="001E2C69">
        <w:rPr>
          <w:color w:val="000000" w:themeColor="text1"/>
          <w:sz w:val="16"/>
          <w:szCs w:val="16"/>
        </w:rPr>
        <w:t xml:space="preserve">   </w:t>
      </w:r>
      <w:r w:rsidRPr="001E2C69">
        <w:rPr>
          <w:color w:val="000000" w:themeColor="text1"/>
          <w:sz w:val="16"/>
          <w:szCs w:val="16"/>
        </w:rPr>
        <w:t>С.</w:t>
      </w:r>
      <w:r w:rsidR="001E2C69">
        <w:rPr>
          <w:color w:val="000000" w:themeColor="text1"/>
          <w:sz w:val="16"/>
          <w:szCs w:val="16"/>
        </w:rPr>
        <w:t xml:space="preserve">   </w:t>
      </w:r>
      <w:r w:rsidRPr="001E2C69">
        <w:rPr>
          <w:color w:val="000000" w:themeColor="text1"/>
          <w:sz w:val="16"/>
          <w:szCs w:val="16"/>
        </w:rPr>
        <w:t>Богачев из 688-го шап(19522).</w:t>
      </w:r>
    </w:p>
    <w:p w14:paraId="5EA54EB0" w14:textId="77777777" w:rsidR="00FA7E38" w:rsidRPr="001E2C69" w:rsidRDefault="00FA7E38" w:rsidP="00722885">
      <w:pPr>
        <w:pStyle w:val="af"/>
        <w:spacing w:before="0" w:after="0"/>
        <w:jc w:val="both"/>
        <w:textAlignment w:val="baseline"/>
        <w:rPr>
          <w:color w:val="000000" w:themeColor="text1"/>
          <w:sz w:val="16"/>
          <w:szCs w:val="16"/>
        </w:rPr>
      </w:pPr>
    </w:p>
    <w:p w14:paraId="63DE08AF" w14:textId="77777777" w:rsidR="004C1168" w:rsidRPr="001E2C69" w:rsidRDefault="004C11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августа 1942 целью экипажей АДД стал Данциг. Для нанесения удара от монинской группы 24-й ад дд вылетели десять экипажей. Из них по основной цели отбомбились шесть самолетов, остальные по разным причинам нанесли удар по Кенигсбергу, Тильзиту, Двинску. От 36-й ад дд по основной цели отработало восемь машин, один экипаж бомбил Мемель, один - железнодорожную станцию Подшивалово 138 км южнее Пскова. Из рейда не вернулся экипаж капитана И.И. Горбунова. Наибольшее число самолетов традиционно выделила 17-я дивизия. 25 из них отбомбились по цели, еще два сбросили бомбы на Кенигсберг. К сожалению, был потерян экипаж старшего лейтенанта М.М. Михалева. По немецким данным, в результате удара по Данцигу были уничтожены три здания, сильно повреждены девять и незначительно 22, убито шесть (в том числе один военнослужащий СС) и ранено пять человек. Повреждена линия электропередач на Эльбинг, подача электроэнергии прервана на полтора часа. Одна бомба взорвалась недалеко от Кенигсберга, две на окраине Мемеля (22728).</w:t>
      </w:r>
    </w:p>
    <w:p w14:paraId="58000707" w14:textId="77777777" w:rsidR="004C1168" w:rsidRPr="001E2C69" w:rsidRDefault="004C1168" w:rsidP="00722885">
      <w:pPr>
        <w:spacing w:after="0" w:line="240" w:lineRule="auto"/>
        <w:jc w:val="both"/>
        <w:rPr>
          <w:rFonts w:ascii="Times New Roman" w:hAnsi="Times New Roman"/>
          <w:color w:val="000000" w:themeColor="text1"/>
          <w:sz w:val="16"/>
          <w:szCs w:val="16"/>
        </w:rPr>
      </w:pPr>
    </w:p>
    <w:p w14:paraId="06C894CD"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августа в 1942 году начались бои советских войск с противником, пытавшимся захватить плацдарм на восточном берегу Дона в районе Вертячий, Калач, Нижне-Чирская. Начались бои войск 46-й армии Закавказского фронта за перевалы центральной части Главного Кавказского хребта против частей 49-го горнострелкового корпуса противника на Сухумском направлении (14987).</w:t>
      </w:r>
    </w:p>
    <w:p w14:paraId="58012E4D"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405A11CB"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августа в 1942 году Адольф Гитлер издает приказ о полном уничтожении партизан в СССР (14987).</w:t>
      </w:r>
    </w:p>
    <w:p w14:paraId="5A698012"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1C631EE3"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августа в 1942 году создание советской Новоземельской военно-морской базы (14987).</w:t>
      </w:r>
    </w:p>
    <w:p w14:paraId="21A4B6F8"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470C0D07"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августа в 1942 году немецкие войска вышли к Эльбрусу (14987).</w:t>
      </w:r>
    </w:p>
    <w:p w14:paraId="345CA394"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60FC3D08"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 августа в 1942 году немецкие войска заняли Будённовск (14987).</w:t>
      </w:r>
    </w:p>
    <w:p w14:paraId="47BE34B2"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66F873D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18 августа 1942 приказом НКО N 250 пять лучших полков АДД - 1, 81, 250, 748 и 750 были преобразованы в гвардейские (556,223).</w:t>
      </w:r>
    </w:p>
    <w:p w14:paraId="6481F85E" w14:textId="77777777" w:rsidR="00AE7191" w:rsidRPr="001E2C69" w:rsidRDefault="00AE7191" w:rsidP="00722885">
      <w:pPr>
        <w:pStyle w:val="Iauiue"/>
        <w:jc w:val="both"/>
        <w:rPr>
          <w:color w:val="000000" w:themeColor="text1"/>
          <w:sz w:val="16"/>
          <w:szCs w:val="16"/>
        </w:rPr>
      </w:pPr>
    </w:p>
    <w:p w14:paraId="69221D7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18 августа 1942 приказом N 250 НКО пять лучших полков ДА - 1, 18, 250, 748 и 750 стали гвардейскими (556,223).</w:t>
      </w:r>
    </w:p>
    <w:p w14:paraId="5CD24177" w14:textId="77777777" w:rsidR="00AE7191" w:rsidRPr="001E2C69" w:rsidRDefault="00AE7191" w:rsidP="00722885">
      <w:pPr>
        <w:pStyle w:val="Iauiue"/>
        <w:jc w:val="both"/>
        <w:rPr>
          <w:color w:val="000000" w:themeColor="text1"/>
          <w:sz w:val="16"/>
          <w:szCs w:val="16"/>
        </w:rPr>
      </w:pPr>
    </w:p>
    <w:p w14:paraId="0926522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18 августа 1942 была создана Новоземельская ВМ база (3186).</w:t>
      </w:r>
    </w:p>
    <w:p w14:paraId="1E29F5BD" w14:textId="77777777" w:rsidR="00AE7191" w:rsidRPr="001E2C69" w:rsidRDefault="00AE7191" w:rsidP="00722885">
      <w:pPr>
        <w:pStyle w:val="Iauiue"/>
        <w:jc w:val="both"/>
        <w:rPr>
          <w:color w:val="000000" w:themeColor="text1"/>
          <w:sz w:val="16"/>
          <w:szCs w:val="16"/>
        </w:rPr>
      </w:pPr>
    </w:p>
    <w:p w14:paraId="4AC5122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18 августа 1942 в указаниях командую</w:t>
      </w:r>
      <w:r w:rsidRPr="001E2C69">
        <w:rPr>
          <w:color w:val="000000" w:themeColor="text1"/>
          <w:sz w:val="16"/>
          <w:szCs w:val="16"/>
        </w:rPr>
        <w:softHyphen/>
        <w:t>щего 8-й ВА генерала Т.Т.Хрюкина от 18.08.42 г. (исх. № 00295) сообщалось о фактах в действиях истребительной авиации на сталинградском направле</w:t>
      </w:r>
      <w:r w:rsidRPr="001E2C69">
        <w:rPr>
          <w:color w:val="000000" w:themeColor="text1"/>
          <w:sz w:val="16"/>
          <w:szCs w:val="16"/>
        </w:rPr>
        <w:softHyphen/>
        <w:t>нии, когда штурмовики оставались без прикрытия (6467).</w:t>
      </w:r>
    </w:p>
    <w:p w14:paraId="05562861" w14:textId="77777777" w:rsidR="00AE7191" w:rsidRPr="001E2C69" w:rsidRDefault="00AE7191" w:rsidP="00722885">
      <w:pPr>
        <w:pStyle w:val="Iauiue"/>
        <w:jc w:val="both"/>
        <w:rPr>
          <w:color w:val="000000" w:themeColor="text1"/>
          <w:sz w:val="16"/>
          <w:szCs w:val="16"/>
        </w:rPr>
      </w:pPr>
    </w:p>
    <w:p w14:paraId="5557CC4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18 августа 1942 в 13.40 семерка Ил-2 686-го </w:t>
      </w:r>
      <w:r w:rsidRPr="001E2C69">
        <w:rPr>
          <w:iCs/>
          <w:color w:val="000000" w:themeColor="text1"/>
          <w:sz w:val="16"/>
          <w:szCs w:val="16"/>
        </w:rPr>
        <w:t>шап</w:t>
      </w:r>
      <w:r w:rsidRPr="001E2C69">
        <w:rPr>
          <w:color w:val="000000" w:themeColor="text1"/>
          <w:sz w:val="16"/>
          <w:szCs w:val="16"/>
        </w:rPr>
        <w:t xml:space="preserve"> уничтожила и повре</w:t>
      </w:r>
      <w:r w:rsidRPr="001E2C69">
        <w:rPr>
          <w:color w:val="000000" w:themeColor="text1"/>
          <w:sz w:val="16"/>
          <w:szCs w:val="16"/>
        </w:rPr>
        <w:softHyphen/>
        <w:t>дила до 80 автомашин и подавила 5 ми</w:t>
      </w:r>
      <w:r w:rsidRPr="001E2C69">
        <w:rPr>
          <w:color w:val="000000" w:themeColor="text1"/>
          <w:sz w:val="16"/>
          <w:szCs w:val="16"/>
        </w:rPr>
        <w:softHyphen/>
        <w:t>нометных батарей. Эффективность дей</w:t>
      </w:r>
      <w:r w:rsidRPr="001E2C69">
        <w:rPr>
          <w:color w:val="000000" w:themeColor="text1"/>
          <w:sz w:val="16"/>
          <w:szCs w:val="16"/>
        </w:rPr>
        <w:softHyphen/>
        <w:t>ствия штурмовиков была подтверждена штабом Сталинградского фронта (6467).</w:t>
      </w:r>
    </w:p>
    <w:p w14:paraId="2444C518" w14:textId="77777777" w:rsidR="00AE7191" w:rsidRPr="001E2C69" w:rsidRDefault="00AE7191" w:rsidP="00722885">
      <w:pPr>
        <w:pStyle w:val="Iauiue"/>
        <w:jc w:val="both"/>
        <w:rPr>
          <w:color w:val="000000" w:themeColor="text1"/>
          <w:sz w:val="16"/>
          <w:szCs w:val="16"/>
        </w:rPr>
      </w:pPr>
    </w:p>
    <w:p w14:paraId="7D49E283"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lastRenderedPageBreak/>
        <w:t>18 августа 1942 Гитлер издал приказ о полном уничтожении партизан в СССР (4962).</w:t>
      </w:r>
    </w:p>
    <w:p w14:paraId="1683AFA8" w14:textId="77777777" w:rsidR="00AE7191" w:rsidRPr="001E2C69" w:rsidRDefault="00AE7191" w:rsidP="00722885">
      <w:pPr>
        <w:pStyle w:val="Iauiue"/>
        <w:tabs>
          <w:tab w:val="left" w:pos="11199"/>
        </w:tabs>
        <w:jc w:val="both"/>
        <w:rPr>
          <w:color w:val="000000" w:themeColor="text1"/>
          <w:sz w:val="16"/>
          <w:szCs w:val="16"/>
        </w:rPr>
      </w:pPr>
    </w:p>
    <w:p w14:paraId="0C1A9C6F" w14:textId="0E2EFB5A" w:rsidR="004C1168" w:rsidRPr="001E2C69" w:rsidRDefault="004C1168" w:rsidP="00722885">
      <w:pPr>
        <w:pStyle w:val="Iauiue"/>
        <w:jc w:val="both"/>
        <w:rPr>
          <w:i/>
          <w:iCs/>
          <w:color w:val="000000" w:themeColor="text1"/>
          <w:sz w:val="16"/>
          <w:szCs w:val="16"/>
        </w:rPr>
      </w:pPr>
      <w:r w:rsidRPr="001E2C69">
        <w:rPr>
          <w:i/>
          <w:iCs/>
          <w:color w:val="000000" w:themeColor="text1"/>
          <w:sz w:val="16"/>
          <w:szCs w:val="16"/>
        </w:rPr>
        <w:t>За рубежом:</w:t>
      </w:r>
    </w:p>
    <w:p w14:paraId="5BBB0D89" w14:textId="77777777" w:rsidR="004C1168" w:rsidRPr="001E2C69" w:rsidRDefault="004C1168" w:rsidP="00722885">
      <w:pPr>
        <w:pStyle w:val="Iauiue"/>
        <w:jc w:val="both"/>
        <w:rPr>
          <w:i/>
          <w:iCs/>
          <w:color w:val="000000" w:themeColor="text1"/>
          <w:sz w:val="16"/>
          <w:szCs w:val="16"/>
        </w:rPr>
      </w:pPr>
    </w:p>
    <w:p w14:paraId="3B6D6218" w14:textId="77777777" w:rsidR="004C1168" w:rsidRPr="001E2C69" w:rsidRDefault="004C116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18-19 (ночь) августа 1942 Pathfinder Force Royal Air Force Bomber Command вылетает на свою первую миссию с 31 самолетом Pathfinder, пытающихся пометить цель - немецкую базу подводных лодок в Фленсбург - для основных сил 87 бомбардировщиков. Рейд завершился полным провалом; Фленсбург нетронут, а самолеты разбрасывают бомбы над городами Сённерборг и Обенраа в Дании. Один самолет Pathfinder и три других бомбардировщика не возвращаются (20793).</w:t>
      </w:r>
    </w:p>
    <w:p w14:paraId="6E59079C" w14:textId="77777777" w:rsidR="004C1168" w:rsidRPr="001E2C69" w:rsidRDefault="004C1168" w:rsidP="00722885">
      <w:pPr>
        <w:spacing w:after="0" w:line="240" w:lineRule="auto"/>
        <w:jc w:val="both"/>
        <w:rPr>
          <w:rFonts w:ascii="Times New Roman" w:hAnsi="Times New Roman"/>
          <w:color w:val="000000" w:themeColor="text1"/>
          <w:sz w:val="16"/>
          <w:szCs w:val="16"/>
        </w:rPr>
      </w:pPr>
    </w:p>
    <w:p w14:paraId="54F68171" w14:textId="73F010A2"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0FD0BBD9" w14:textId="77777777" w:rsidR="00AE7191" w:rsidRPr="001E2C69" w:rsidRDefault="00AE7191" w:rsidP="00722885">
      <w:pPr>
        <w:pStyle w:val="Iauiue"/>
        <w:jc w:val="both"/>
        <w:rPr>
          <w:iCs/>
          <w:color w:val="000000" w:themeColor="text1"/>
          <w:sz w:val="16"/>
          <w:szCs w:val="16"/>
        </w:rPr>
      </w:pPr>
    </w:p>
    <w:p w14:paraId="55C3279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19 августа 1942 Кузнецов писал Тарасевичу и С.В.И. письмо N 5696</w:t>
      </w:r>
    </w:p>
    <w:p w14:paraId="3AD352D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"Настоятельная просьба летного состава 1 ВА для повышения живучести и боеспособности Ил-2 желательно произвести следующее:</w:t>
      </w:r>
    </w:p>
    <w:p w14:paraId="581E647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Установить дублированное управление рулями высоты (хотя бы тросовое).</w:t>
      </w:r>
    </w:p>
    <w:p w14:paraId="2100F8F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Для защиты хвоста самолета установить кинжальный пулемет</w:t>
      </w:r>
    </w:p>
    <w:p w14:paraId="3D5B8CAC" w14:textId="77777777" w:rsidR="00AE7191" w:rsidRPr="001E2C69" w:rsidRDefault="00AE7191" w:rsidP="00722885">
      <w:pPr>
        <w:pStyle w:val="Iauiue"/>
        <w:numPr>
          <w:ilvl w:val="0"/>
          <w:numId w:val="7"/>
        </w:numPr>
        <w:ind w:left="0" w:firstLine="0"/>
        <w:jc w:val="both"/>
        <w:rPr>
          <w:color w:val="000000" w:themeColor="text1"/>
          <w:sz w:val="16"/>
          <w:szCs w:val="16"/>
        </w:rPr>
      </w:pPr>
      <w:r w:rsidRPr="001E2C69">
        <w:rPr>
          <w:color w:val="000000" w:themeColor="text1"/>
          <w:sz w:val="16"/>
          <w:szCs w:val="16"/>
        </w:rPr>
        <w:t>Необходимо дать указание частям, с какого номера самолета надо усиливать фюзеляжи (1685,59).</w:t>
      </w:r>
    </w:p>
    <w:p w14:paraId="7C3068C4" w14:textId="77777777" w:rsidR="00AE7191" w:rsidRPr="001E2C69" w:rsidRDefault="00AE7191" w:rsidP="00722885">
      <w:pPr>
        <w:pStyle w:val="Iauiue"/>
        <w:jc w:val="both"/>
        <w:rPr>
          <w:color w:val="000000" w:themeColor="text1"/>
          <w:sz w:val="16"/>
          <w:szCs w:val="16"/>
        </w:rPr>
      </w:pPr>
    </w:p>
    <w:p w14:paraId="68300F9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авгу</w:t>
      </w:r>
      <w:r w:rsidRPr="001E2C69">
        <w:rPr>
          <w:rFonts w:ascii="Times New Roman" w:hAnsi="Times New Roman"/>
          <w:color w:val="000000" w:themeColor="text1"/>
          <w:sz w:val="16"/>
          <w:szCs w:val="16"/>
        </w:rPr>
        <w:softHyphen/>
        <w:t>ста 1942 Замнаркома авиапромышленности П.В. Дементьев писал начальнику 10-го Главного управления НКАП Б.Н. Тарасевичу, ведавшему выдачей разрешений на внесение изменений в конструкцию всех серийных самолетов, следующее: «Настоятельная просьба летного состава 1-й ВА для повышения живучести самолета Ил-2 установить дублированное управление рулем высоты (хотя бы тросовое), для защиты хвоста установить «кинжальный» пулемет» (11474,253).</w:t>
      </w:r>
    </w:p>
    <w:p w14:paraId="16D27BA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23DE9C2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19 августа 1942 г. В. Кузнецов писал письмо зам. наркома Яковлеву.</w:t>
      </w:r>
    </w:p>
    <w:p w14:paraId="2E1A0A0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При эксплуатации самолетов Як-1 и Лагг-3 в частях первой воздушной армии отмечены следующие дефекты этих самолетов. Прошу Вас дать указание директорам самолетных заводов об устранении ниже перечисленных дефектов:</w:t>
      </w:r>
    </w:p>
    <w:p w14:paraId="38001B7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Ось патрубков водяного радиатора (лебединая шейка) не совпадает с осью подводящих водяных труб вследствие перекоса от вибрации ломаются. Предложение технического состава поставить гибкий шланг или соединение на штуцерах.</w:t>
      </w:r>
    </w:p>
    <w:p w14:paraId="772A8B6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Был случай отлетела нога шасси вследствие поломки на месте перехода конусного болта крепления ноги. Предложение сделать фаску в месте перехода.</w:t>
      </w:r>
    </w:p>
    <w:p w14:paraId="3632F33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Во время подъема самолета очень часто в кабину летчика поднимается пыль и песок. Для очистки от мусора кабины летчика устроить под сиденьем летчика лючок.</w:t>
      </w:r>
    </w:p>
    <w:p w14:paraId="5BA8738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Просьба летного состава к существующей броне спинки сделать наголовник (как у Ме-109).</w:t>
      </w:r>
    </w:p>
    <w:p w14:paraId="6865860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Плексиглас непрактичен, дает большое искажение. На последних выпусках самолетов Як-7 плексиглас хороший.</w:t>
      </w:r>
    </w:p>
    <w:p w14:paraId="19D4391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Фонарь плохо открывается. Пожелание летного состава сделать как на Ил-2.</w:t>
      </w:r>
    </w:p>
    <w:p w14:paraId="7D9E690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 Пожелание летного состава установить еще один пулемет Березина.</w:t>
      </w:r>
    </w:p>
    <w:p w14:paraId="412F937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 Для управления боем и наведения на цель желательно на самолетах Як устанавливать приемники и передатчики.</w:t>
      </w:r>
    </w:p>
    <w:p w14:paraId="593A4F4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 Усилить костыльное колесо. Дутики выдерживают 15-20 посадок.</w:t>
      </w:r>
    </w:p>
    <w:p w14:paraId="2CFFE5A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 Вместо совков, установленных на радиаторах, желательно сделать жалюзи.</w:t>
      </w:r>
    </w:p>
    <w:p w14:paraId="701929F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 Бомбодержатели позволяют только подвешивать 50 кг бомбы, другие калибры бомб не подходят.</w:t>
      </w:r>
    </w:p>
    <w:p w14:paraId="106C498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12. На новых машинах травить воздушные системы.</w:t>
      </w:r>
    </w:p>
    <w:p w14:paraId="254D23C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13. Плохо видно показание бензиномера.</w:t>
      </w:r>
    </w:p>
    <w:p w14:paraId="1B63109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14. Пересмотреть конструкцию стопора костыля.</w:t>
      </w:r>
    </w:p>
    <w:p w14:paraId="428055A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Предложение технического состава сделать как у Лагг-3.</w:t>
      </w:r>
    </w:p>
    <w:p w14:paraId="50620D7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 Много случаев на Лагг-3 лопаются качалки управлением щитками.</w:t>
      </w:r>
    </w:p>
    <w:p w14:paraId="5CAB00A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16. На самолетах Як-1 температура воды очень высокая сверхдопустимая т-е 105-112 градусов (2761,135).</w:t>
      </w:r>
    </w:p>
    <w:p w14:paraId="27457EAF" w14:textId="77777777" w:rsidR="00AE7191" w:rsidRPr="001E2C69" w:rsidRDefault="00AE7191" w:rsidP="00722885">
      <w:pPr>
        <w:pStyle w:val="Iauiue"/>
        <w:jc w:val="both"/>
        <w:rPr>
          <w:color w:val="000000" w:themeColor="text1"/>
          <w:sz w:val="16"/>
          <w:szCs w:val="16"/>
        </w:rPr>
      </w:pPr>
    </w:p>
    <w:p w14:paraId="3019BBE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августа 1942 г. по инициативе командования 6-го иак ПВО были проведены импрови</w:t>
      </w:r>
      <w:r w:rsidRPr="001E2C69">
        <w:rPr>
          <w:rFonts w:ascii="Times New Roman" w:hAnsi="Times New Roman"/>
          <w:color w:val="000000" w:themeColor="text1"/>
          <w:sz w:val="16"/>
          <w:szCs w:val="16"/>
        </w:rPr>
        <w:softHyphen/>
        <w:t>зированные испытания по определению скороподъ</w:t>
      </w:r>
      <w:r w:rsidRPr="001E2C69">
        <w:rPr>
          <w:rFonts w:ascii="Times New Roman" w:hAnsi="Times New Roman"/>
          <w:color w:val="000000" w:themeColor="text1"/>
          <w:sz w:val="16"/>
          <w:szCs w:val="16"/>
        </w:rPr>
        <w:softHyphen/>
        <w:t>емности и практического потолка нескольких ма</w:t>
      </w:r>
      <w:r w:rsidRPr="001E2C69">
        <w:rPr>
          <w:rFonts w:ascii="Times New Roman" w:hAnsi="Times New Roman"/>
          <w:color w:val="000000" w:themeColor="text1"/>
          <w:sz w:val="16"/>
          <w:szCs w:val="16"/>
        </w:rPr>
        <w:softHyphen/>
        <w:t>шин, находившихся на вооружении корпуса. Результаты откровенно разочаровывали: прибли</w:t>
      </w:r>
      <w:r w:rsidRPr="001E2C69">
        <w:rPr>
          <w:rFonts w:ascii="Times New Roman" w:hAnsi="Times New Roman"/>
          <w:color w:val="000000" w:themeColor="text1"/>
          <w:sz w:val="16"/>
          <w:szCs w:val="16"/>
        </w:rPr>
        <w:softHyphen/>
        <w:t>зиться к 10000 м смогли только импортные машины, а отечественные заметно уступали. Лишь один МиГ—3 (взлетной массой 3248 кг) смог набрать высоту 9000 м, остальные заканчивали набор на 500—1000 м ниже, а для подъема на практический потолок уходило почти по 40 минут. При этом МиГ—3 обладали наихудшими данными по сравнению с другими истребителями; их практический потолок определили всего в 8600 м (в среднем). Прибывшие в 6-й иак специалисты НИИ ВВС провели соответствующие испытания по разработан</w:t>
      </w:r>
      <w:r w:rsidRPr="001E2C69">
        <w:rPr>
          <w:rFonts w:ascii="Times New Roman" w:hAnsi="Times New Roman"/>
          <w:color w:val="000000" w:themeColor="text1"/>
          <w:sz w:val="16"/>
          <w:szCs w:val="16"/>
        </w:rPr>
        <w:softHyphen/>
        <w:t>ной программе. Они определили, что фронтовые лет</w:t>
      </w:r>
      <w:r w:rsidRPr="001E2C69">
        <w:rPr>
          <w:rFonts w:ascii="Times New Roman" w:hAnsi="Times New Roman"/>
          <w:color w:val="000000" w:themeColor="text1"/>
          <w:sz w:val="16"/>
          <w:szCs w:val="16"/>
        </w:rPr>
        <w:softHyphen/>
        <w:t>чики имели весьма приблизительное представление о методиках набора предельной высоты и не пред</w:t>
      </w:r>
      <w:r w:rsidRPr="001E2C69">
        <w:rPr>
          <w:rFonts w:ascii="Times New Roman" w:hAnsi="Times New Roman"/>
          <w:color w:val="000000" w:themeColor="text1"/>
          <w:sz w:val="16"/>
          <w:szCs w:val="16"/>
        </w:rPr>
        <w:softHyphen/>
        <w:t>ставляли условий, при которых можно получить наи</w:t>
      </w:r>
      <w:r w:rsidRPr="001E2C69">
        <w:rPr>
          <w:rFonts w:ascii="Times New Roman" w:hAnsi="Times New Roman"/>
          <w:color w:val="000000" w:themeColor="text1"/>
          <w:sz w:val="16"/>
          <w:szCs w:val="16"/>
        </w:rPr>
        <w:softHyphen/>
        <w:t>лучшие характеристики своих боевых самолетов. Так, большинство пилотов МиГ—3 не знали, что для достижения наивыгоднейшей скороподъемности следовало поддерживать приборную скорость в 260—270 км/ч, а затем немного уменьшать ее так, чтобы к 6000—7000 м она снизилась на 5—7 км/ч. На практике некоторые летчики начинали наби</w:t>
      </w:r>
      <w:r w:rsidRPr="001E2C69">
        <w:rPr>
          <w:rFonts w:ascii="Times New Roman" w:hAnsi="Times New Roman"/>
          <w:color w:val="000000" w:themeColor="text1"/>
          <w:sz w:val="16"/>
          <w:szCs w:val="16"/>
        </w:rPr>
        <w:softHyphen/>
        <w:t>рать высоту при скорости 300 км/ч, полагая, будто иначе возможен непроизвольный срыв в штопор. Но ведь в этом случае даже совершенно новый и исправ</w:t>
      </w:r>
      <w:r w:rsidRPr="001E2C69">
        <w:rPr>
          <w:rFonts w:ascii="Times New Roman" w:hAnsi="Times New Roman"/>
          <w:color w:val="000000" w:themeColor="text1"/>
          <w:sz w:val="16"/>
          <w:szCs w:val="16"/>
        </w:rPr>
        <w:softHyphen/>
        <w:t>ный МиГ—3 не мог достигнуть 10000 м. Кроме того, многие машины имели «нештатные» щели и отвер</w:t>
      </w:r>
      <w:r w:rsidRPr="001E2C69">
        <w:rPr>
          <w:rFonts w:ascii="Times New Roman" w:hAnsi="Times New Roman"/>
          <w:color w:val="000000" w:themeColor="text1"/>
          <w:sz w:val="16"/>
          <w:szCs w:val="16"/>
        </w:rPr>
        <w:softHyphen/>
        <w:t>стия в моторном отсеке, которые увеличивали со</w:t>
      </w:r>
      <w:r w:rsidRPr="001E2C69">
        <w:rPr>
          <w:rFonts w:ascii="Times New Roman" w:hAnsi="Times New Roman"/>
          <w:color w:val="000000" w:themeColor="text1"/>
          <w:sz w:val="16"/>
          <w:szCs w:val="16"/>
        </w:rPr>
        <w:softHyphen/>
        <w:t>противление. Плохое состояние поверхностей МиГов, недостаточная подгонка после ремонта щит</w:t>
      </w:r>
      <w:r w:rsidRPr="001E2C69">
        <w:rPr>
          <w:rFonts w:ascii="Times New Roman" w:hAnsi="Times New Roman"/>
          <w:color w:val="000000" w:themeColor="text1"/>
          <w:sz w:val="16"/>
          <w:szCs w:val="16"/>
        </w:rPr>
        <w:softHyphen/>
        <w:t>ков и лючков, плохо сбалансированные винты силь</w:t>
      </w:r>
      <w:r w:rsidRPr="001E2C69">
        <w:rPr>
          <w:rFonts w:ascii="Times New Roman" w:hAnsi="Times New Roman"/>
          <w:color w:val="000000" w:themeColor="text1"/>
          <w:sz w:val="16"/>
          <w:szCs w:val="16"/>
        </w:rPr>
        <w:softHyphen/>
        <w:t>но снижали боевые возможности истребителей, в том числе и на высоте. А о трудностях, связанных с обеспечением надежной и равномерной работы мо</w:t>
      </w:r>
      <w:r w:rsidRPr="001E2C69">
        <w:rPr>
          <w:rFonts w:ascii="Times New Roman" w:hAnsi="Times New Roman"/>
          <w:color w:val="000000" w:themeColor="text1"/>
          <w:sz w:val="16"/>
          <w:szCs w:val="16"/>
        </w:rPr>
        <w:softHyphen/>
        <w:t>тора, уже достаточно говорилось. Из ранее проведенных испытаний было известно, что тщательно отрегулированный МиГ—3, пилотиру</w:t>
      </w:r>
      <w:r w:rsidRPr="001E2C69">
        <w:rPr>
          <w:rFonts w:ascii="Times New Roman" w:hAnsi="Times New Roman"/>
          <w:color w:val="000000" w:themeColor="text1"/>
          <w:sz w:val="16"/>
          <w:szCs w:val="16"/>
        </w:rPr>
        <w:softHyphen/>
        <w:t>емый опытным летчиком, при условии выполнения всех требований инструкции по эксплуатации самолета и мотора, мог достигнуть высоты 11500 м за 26 минут. Это при полетной массе, типичной для МиГ—3 выпуска второй половины 1941 г., — 3299 кг. ОКБ Микояна предприняло попытку облегчить са</w:t>
      </w:r>
      <w:r w:rsidRPr="001E2C69">
        <w:rPr>
          <w:rFonts w:ascii="Times New Roman" w:hAnsi="Times New Roman"/>
          <w:color w:val="000000" w:themeColor="text1"/>
          <w:sz w:val="16"/>
          <w:szCs w:val="16"/>
        </w:rPr>
        <w:softHyphen/>
        <w:t>молет, для чего с него сняли часть оборудования (на</w:t>
      </w:r>
      <w:r w:rsidRPr="001E2C69">
        <w:rPr>
          <w:rFonts w:ascii="Times New Roman" w:hAnsi="Times New Roman"/>
          <w:color w:val="000000" w:themeColor="text1"/>
          <w:sz w:val="16"/>
          <w:szCs w:val="16"/>
        </w:rPr>
        <w:softHyphen/>
        <w:t>пример, протекторы бензобаков, а оптический при</w:t>
      </w:r>
      <w:r w:rsidRPr="001E2C69">
        <w:rPr>
          <w:rFonts w:ascii="Times New Roman" w:hAnsi="Times New Roman"/>
          <w:color w:val="000000" w:themeColor="text1"/>
          <w:sz w:val="16"/>
          <w:szCs w:val="16"/>
        </w:rPr>
        <w:softHyphen/>
        <w:t>цел ПБП—1а заменили простейшим визиром ВВ—1), демонтировали два пулемета ШКАС и патронные ящики. Расчеты показывали, что при взлетной массе 3218 кг практический потолок «облегченного» МиГ—3 мог увеличиться на 400 м (9984).</w:t>
      </w:r>
    </w:p>
    <w:p w14:paraId="6649FC2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3F5A8A2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19 августа по 1 сентября 1942 проходили заводские испытания транспортного варианта Як-6 (4657, 16).</w:t>
      </w:r>
    </w:p>
    <w:p w14:paraId="0F73DAC9" w14:textId="77777777" w:rsidR="00AE7191" w:rsidRPr="001E2C69" w:rsidRDefault="00AE7191" w:rsidP="00722885">
      <w:pPr>
        <w:pStyle w:val="Iauiue"/>
        <w:jc w:val="both"/>
        <w:rPr>
          <w:color w:val="000000" w:themeColor="text1"/>
          <w:sz w:val="16"/>
          <w:szCs w:val="16"/>
        </w:rPr>
      </w:pPr>
    </w:p>
    <w:p w14:paraId="6A9CFCDA"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19 августа в 1942 году начались и завершились 1 сентября заводские испытания транспортного экземпляра самолета </w:t>
      </w:r>
      <w:hyperlink r:id="rId207" w:tgtFrame="_blank" w:history="1">
        <w:r w:rsidRPr="001E2C69">
          <w:rPr>
            <w:rFonts w:ascii="Times New Roman" w:hAnsi="Times New Roman"/>
            <w:color w:val="000000" w:themeColor="text1"/>
            <w:sz w:val="16"/>
            <w:szCs w:val="16"/>
          </w:rPr>
          <w:t>«Як-6».</w:t>
        </w:r>
      </w:hyperlink>
    </w:p>
    <w:p w14:paraId="239D1B00"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5D21A6B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19 августа 1942 года Поликовский писал Шахурину.</w:t>
      </w:r>
    </w:p>
    <w:p w14:paraId="6F06956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Справка</w:t>
      </w:r>
    </w:p>
    <w:p w14:paraId="6A9E43B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вопросу о турбореакторе "ТР" конструкции</w:t>
      </w:r>
    </w:p>
    <w:p w14:paraId="5499BA3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А.А. Микулина.</w:t>
      </w:r>
    </w:p>
    <w:p w14:paraId="2888F8C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Термином "Турбореактор" обозначен агрегат, состоящий из газовой турбины и реактивного насадка на ней.</w:t>
      </w:r>
    </w:p>
    <w:p w14:paraId="29BC408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 Мощность газовой турбины непосредственно передается на вал мотора, в отличие от обычной схемы использования энергии выхлопных газов в газовой турбине, служащей приводом нагнетателя (турбокомпрессор "ТК").</w:t>
      </w:r>
    </w:p>
    <w:p w14:paraId="3605811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Попытка объединения газовой турбины и реактивного насадка А.А. Микулину не удалась (хотя принципиально такая схема вполне возможна) и в настоящее время предлагаемый им турбореактор представляет собой по схеме обычную газовую турбину, отдающую мощность на вал мотора. Выхлопные газы после турбины собираются в выхлопной коллектор, что позволяет, несмотря на отсутствие специального реактивного насадка, частично использовать и реактивный эффект выхлопа.</w:t>
      </w:r>
    </w:p>
    <w:p w14:paraId="0C374D9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расчетам главного конструктора (проверенным ЦИАМ) установка турбореактора позволяет на высоте 5000-6000 м повысить мощность двигателя до 40% и на малых высотах на 8-10% без дополнительного расхода горючего. Земными испытаниями указанные данные подтверждаются.</w:t>
      </w:r>
    </w:p>
    <w:p w14:paraId="40A77C3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Отказ от нормальной схемы использования газовой турбины в качестве привода нагнетателя вызвана тремя причинами:</w:t>
      </w:r>
    </w:p>
    <w:p w14:paraId="7454D07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Мощность газовой турбины может быть получена значительно большей, чем требуется для нагнетателя.</w:t>
      </w:r>
    </w:p>
    <w:p w14:paraId="74CF90C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Приемистость моторов с ТК хуже, чем приемистость моторов с приводными центробежными нагнетателями.</w:t>
      </w:r>
    </w:p>
    <w:p w14:paraId="59F1C07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Наличие на носке вала мотора турбореактора и на другом конце вала нагнетателя позволяет передавать через сам коленчатый вал меньшую мощность. Поскольку коленчатый вал является одной из наиболее нагруженных деталей мотора, такая силовая схема весьма целесообразна с точки зрения прочности, веса и надежности двигателя.</w:t>
      </w:r>
    </w:p>
    <w:p w14:paraId="2A725D0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Заслуживает внимания разработанный А.А. Микулиным технологический процесс обработки ротора газовой турбины, при котором лопатки выфрезовываются из самого диска, т.к. этот метод на много упрощает и удешевляет изготовление ротора, снижает тепловую напряженность венца и делает газовую турбину несравнимо </w:t>
      </w:r>
      <w:r w:rsidRPr="001E2C69">
        <w:rPr>
          <w:color w:val="000000" w:themeColor="text1"/>
          <w:sz w:val="16"/>
          <w:szCs w:val="16"/>
        </w:rPr>
        <w:lastRenderedPageBreak/>
        <w:t>более надежной, чем общепринятая во всем мире схема вставных лопаток.</w:t>
      </w:r>
    </w:p>
    <w:p w14:paraId="00683C7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Конструктивно разработанная А.А. Микулиным схема использования мощности выхлопных газов в газовой турбине, непосредственно передающей дополнительную мощность на вал двигателя, позволяет внедрение ее без внесения существенных изменений в серийное производство моторов; применение моторов с турбо реакторами на самолетах также не требует существенных изменений в капотировании мотора и винтомоторной группе в целом (1684,256).</w:t>
      </w:r>
    </w:p>
    <w:p w14:paraId="39E4C0C1" w14:textId="77777777" w:rsidR="00AE7191" w:rsidRPr="001E2C69" w:rsidRDefault="00AE7191" w:rsidP="00722885">
      <w:pPr>
        <w:pStyle w:val="Iauiue"/>
        <w:jc w:val="both"/>
        <w:rPr>
          <w:color w:val="000000" w:themeColor="text1"/>
          <w:sz w:val="16"/>
          <w:szCs w:val="16"/>
        </w:rPr>
      </w:pPr>
    </w:p>
    <w:p w14:paraId="17C37AF1"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415034B6" w14:textId="77777777" w:rsidR="00AE7191" w:rsidRPr="001E2C69" w:rsidRDefault="00AE7191" w:rsidP="00722885">
      <w:pPr>
        <w:pStyle w:val="Iauiue"/>
        <w:jc w:val="both"/>
        <w:rPr>
          <w:iCs/>
          <w:color w:val="000000" w:themeColor="text1"/>
          <w:sz w:val="16"/>
          <w:szCs w:val="16"/>
        </w:rPr>
      </w:pPr>
    </w:p>
    <w:p w14:paraId="3D02F6B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19 августа 1942 года войсковые испытания 76-мм пушки обр. 1927/1942 г. были прекращены. Согласно заключению комиссии 76-мм полковая пушка обр. 1927/1942 г. войсковые испытания не выдержала. Кроме того, с принятием на вооружение 76-мм кумулятивных снарядов отпала необходимость в увеличении их начальной скорости.</w:t>
      </w:r>
    </w:p>
    <w:p w14:paraId="35BED69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76-мм полковая пушка обр. 1927 г. устарела еде до принятия ее на вооружение. Малый угол возвышения +25° был атавизмом XIX века, когда основным снарядом была шрапнель. Кроме того, баллистические данные 76-мм пушки обр. 1927 г. заставляли желать лучшего в случае дальности стрельбы, а главное, плохой бронепробиваемости. До появления кумулятивных снарядов пушка обр. 1927 г. могла бороться только с легкими танками. Мал был и угол горизонтального наведения (3861).</w:t>
      </w:r>
    </w:p>
    <w:p w14:paraId="753A5296" w14:textId="77777777" w:rsidR="00AE7191" w:rsidRPr="001E2C69" w:rsidRDefault="00AE7191" w:rsidP="00722885">
      <w:pPr>
        <w:pStyle w:val="Iauiue"/>
        <w:jc w:val="both"/>
        <w:rPr>
          <w:color w:val="000000" w:themeColor="text1"/>
          <w:sz w:val="16"/>
          <w:szCs w:val="16"/>
        </w:rPr>
      </w:pPr>
    </w:p>
    <w:p w14:paraId="40C9E18C" w14:textId="77777777" w:rsidR="003C527E" w:rsidRPr="008A2E5A" w:rsidRDefault="003C527E" w:rsidP="003C52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августа 1942 года в своём письме руководство ГАБТУ КА указывало, что вместо 25 КВ-1с с 5-скоростной КПП таких машин сдали уже 39 штук. То есть постановление ГКО №2192сс легализовало нарушение предыдущего постановления. В эти самые 39 штук входили и КВ-1, по факту облегченных КВ за август 1942 года сдали 34 штуки. Вполне возможно, что и первые танки сентябрьского выпуска также имели 5-скоростные КПП. Эти машины отличались от самых первых КВ-1с не только ходовой частью от КВ-1, но и отсутствием поручней. Впрочем, эти мелочи руководство ЧКЗ и НКТП тогда беспокоили в меньшей степени. Перед заводом маячила куда более важная задача - освоение выпуска Т-34. За срыв производства Т-34 своей должности лишился нарком танковой промышленности В.А. Малышев, так что И.М. Зальцман, занявший его место, прилагал все усилия для нормализации ситуации. Вместо 100 Т-34 ЧКЗ сдал в августе 30 танков, это беспокоило сильнее, чем КВ-1с. Даже по переписке видно, что Т-34 заботил завод куда больше (23364).</w:t>
      </w:r>
    </w:p>
    <w:p w14:paraId="1BDE7FCB" w14:textId="77777777" w:rsidR="003C527E" w:rsidRPr="008A2E5A" w:rsidRDefault="003C527E" w:rsidP="003C527E">
      <w:pPr>
        <w:spacing w:after="0" w:line="240" w:lineRule="auto"/>
        <w:jc w:val="both"/>
        <w:rPr>
          <w:rFonts w:ascii="Times New Roman" w:hAnsi="Times New Roman"/>
          <w:color w:val="0070C0"/>
          <w:sz w:val="16"/>
          <w:szCs w:val="16"/>
        </w:rPr>
      </w:pPr>
    </w:p>
    <w:p w14:paraId="597F437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19 августа 1942 вышло Постановление Сталинградского Городского Комитета Обороны о спецмероприятиях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402"/>
        <w:gridCol w:w="3119"/>
      </w:tblGrid>
      <w:tr w:rsidR="001E2C69" w:rsidRPr="001E2C69" w14:paraId="338C09BA" w14:textId="77777777" w:rsidTr="00CC5360">
        <w:tc>
          <w:tcPr>
            <w:tcW w:w="3402" w:type="dxa"/>
            <w:tcBorders>
              <w:top w:val="single" w:sz="12" w:space="0" w:color="auto"/>
              <w:bottom w:val="single" w:sz="12" w:space="0" w:color="auto"/>
            </w:tcBorders>
          </w:tcPr>
          <w:p w14:paraId="024D347C" w14:textId="77777777" w:rsidR="00AE7191" w:rsidRPr="001E2C69" w:rsidRDefault="00AE7191" w:rsidP="00722885">
            <w:pPr>
              <w:pStyle w:val="Iauiue"/>
              <w:jc w:val="both"/>
              <w:rPr>
                <w:color w:val="000000" w:themeColor="text1"/>
                <w:sz w:val="16"/>
                <w:szCs w:val="16"/>
              </w:rPr>
            </w:pPr>
            <w:r w:rsidRPr="001E2C69">
              <w:rPr>
                <w:iCs/>
                <w:color w:val="000000" w:themeColor="text1"/>
                <w:sz w:val="16"/>
                <w:szCs w:val="16"/>
              </w:rPr>
              <w:t>№ 399. Совершенно секретно.</w:t>
            </w:r>
            <w:r w:rsidRPr="001E2C69">
              <w:rPr>
                <w:iCs/>
                <w:color w:val="000000" w:themeColor="text1"/>
                <w:sz w:val="16"/>
                <w:szCs w:val="16"/>
              </w:rPr>
              <w:br/>
              <w:t xml:space="preserve">Сталинград, Первомайская, 28 </w:t>
            </w:r>
          </w:p>
        </w:tc>
        <w:tc>
          <w:tcPr>
            <w:tcW w:w="3119" w:type="dxa"/>
            <w:tcBorders>
              <w:top w:val="single" w:sz="12" w:space="0" w:color="auto"/>
              <w:bottom w:val="single" w:sz="12" w:space="0" w:color="auto"/>
            </w:tcBorders>
          </w:tcPr>
          <w:p w14:paraId="66E32840" w14:textId="77777777" w:rsidR="00AE7191" w:rsidRPr="001E2C69" w:rsidRDefault="00AE7191" w:rsidP="00722885">
            <w:pPr>
              <w:pStyle w:val="Iauiue"/>
              <w:jc w:val="both"/>
              <w:rPr>
                <w:color w:val="000000" w:themeColor="text1"/>
                <w:sz w:val="16"/>
                <w:szCs w:val="16"/>
              </w:rPr>
            </w:pPr>
            <w:r w:rsidRPr="001E2C69">
              <w:rPr>
                <w:iCs/>
                <w:color w:val="000000" w:themeColor="text1"/>
                <w:sz w:val="16"/>
                <w:szCs w:val="16"/>
              </w:rPr>
              <w:t xml:space="preserve">19 августа 1942 г. </w:t>
            </w:r>
          </w:p>
        </w:tc>
      </w:tr>
    </w:tbl>
    <w:p w14:paraId="1E5DF35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Общее руководство проведением спецмероприятий по городу Сталинграду возложить на центральную тройку в составе: тов. Бондарь (председатель), тов. Коненкова (НКВД), майора Артемьева (Ю.В.Ф.).</w:t>
      </w:r>
    </w:p>
    <w:p w14:paraId="154C66F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Утвердить план работы тройки.</w:t>
      </w:r>
    </w:p>
    <w:p w14:paraId="2F169A8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Для обеспечения оперативного руководства и связи выделить в распоряжения тройки одну грузовую и одну легковую машину.</w:t>
      </w:r>
    </w:p>
    <w:p w14:paraId="1131DDA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Обязать тов. Куксова в двухдневный срок отмобилизовать их из народного хозяйства и направить в распоряжение тройки.</w:t>
      </w:r>
    </w:p>
    <w:p w14:paraId="4110BEC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Также закрепить за специальной тройкой катер лесозавода им. Куйбышева, моторную лодку консервного завода, моторную лодку ОСВОДа и глиссер консервного завода.</w:t>
      </w:r>
    </w:p>
    <w:p w14:paraId="3A74EA0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Обязать руководителей вышеуказанных предприятий содержать выделенный транспорт в полной готовности с водительским составом. (Использование транспорта допускается по письменному распоряжению центральной тройки).</w:t>
      </w:r>
    </w:p>
    <w:p w14:paraId="324419A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Для обеспечения устройства минных заграждений на подступах к городу просить Инженерное управление Ю.В.Ф. выделить необходимое количество изолированного провода.</w:t>
      </w:r>
    </w:p>
    <w:p w14:paraId="79987A6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Так же поручить Областному управлению НКВД (тов. Коненкову) в трехдневный срок изыскать возможности приобретения 80 километров изолированного провода из местных ресурсов.</w:t>
      </w:r>
    </w:p>
    <w:p w14:paraId="699C826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Обязать местные тройки подготовиться к переводу исполнителей спецмероприятий на казарменное положение. Инструкторов Ю.В.Ф. обеспечить питанием и жильем.</w:t>
      </w:r>
    </w:p>
    <w:p w14:paraId="3442AFA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Просить Военный Совет Ю.В.Ф. разрешить местным тройкам по проведению спецмероприятий, на случай непосредственной угрозы объектам, действовать самостоятельно по согласованию с командованием действующих в районе подразделений.</w:t>
      </w:r>
    </w:p>
    <w:p w14:paraId="7D59B9D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Также просить Военный Совет Ю.В.Ф. на случай угрожаемого положения дать указание центральной тройке на приведение в действие спецмероприятий.</w:t>
      </w:r>
    </w:p>
    <w:p w14:paraId="763C3A7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 Просить Военный Совет Ю.В.Ф. дать указание Облвоенкомату о закреплении за заводами необходимого количества авто и водного транспорта для использования на случай непосредственной угрозы объектам.</w:t>
      </w:r>
    </w:p>
    <w:p w14:paraId="7F9B9F59" w14:textId="77777777" w:rsidR="00AE7191" w:rsidRPr="001E2C69" w:rsidRDefault="00AE7191" w:rsidP="00722885">
      <w:pPr>
        <w:pStyle w:val="Iauiue"/>
        <w:jc w:val="both"/>
        <w:rPr>
          <w:iCs/>
          <w:color w:val="000000" w:themeColor="text1"/>
          <w:sz w:val="16"/>
          <w:szCs w:val="16"/>
        </w:rPr>
      </w:pPr>
      <w:r w:rsidRPr="001E2C69">
        <w:rPr>
          <w:iCs/>
          <w:color w:val="000000" w:themeColor="text1"/>
          <w:sz w:val="16"/>
          <w:szCs w:val="16"/>
        </w:rPr>
        <w:t xml:space="preserve">Председатель Сталинградского </w:t>
      </w:r>
    </w:p>
    <w:p w14:paraId="103D1B7C" w14:textId="77777777" w:rsidR="00AE7191" w:rsidRPr="001E2C69" w:rsidRDefault="00AE7191" w:rsidP="00722885">
      <w:pPr>
        <w:pStyle w:val="Iauiue"/>
        <w:jc w:val="both"/>
        <w:rPr>
          <w:iCs/>
          <w:color w:val="000000" w:themeColor="text1"/>
          <w:sz w:val="16"/>
          <w:szCs w:val="16"/>
        </w:rPr>
      </w:pPr>
      <w:r w:rsidRPr="001E2C69">
        <w:rPr>
          <w:iCs/>
          <w:color w:val="000000" w:themeColor="text1"/>
          <w:sz w:val="16"/>
          <w:szCs w:val="16"/>
        </w:rPr>
        <w:t xml:space="preserve">Городского Комитета Обороны </w:t>
      </w:r>
    </w:p>
    <w:p w14:paraId="13542B28" w14:textId="77777777" w:rsidR="00AE7191" w:rsidRPr="001E2C69" w:rsidRDefault="00AE7191" w:rsidP="00722885">
      <w:pPr>
        <w:pStyle w:val="Iauiue"/>
        <w:jc w:val="both"/>
        <w:rPr>
          <w:color w:val="000000" w:themeColor="text1"/>
          <w:sz w:val="16"/>
          <w:szCs w:val="16"/>
        </w:rPr>
      </w:pPr>
      <w:r w:rsidRPr="001E2C69">
        <w:rPr>
          <w:iCs/>
          <w:color w:val="000000" w:themeColor="text1"/>
          <w:sz w:val="16"/>
          <w:szCs w:val="16"/>
        </w:rPr>
        <w:t>А. Чуянов.</w:t>
      </w:r>
    </w:p>
    <w:p w14:paraId="1F085F78" w14:textId="77777777" w:rsidR="00AE7191" w:rsidRPr="001E2C69" w:rsidRDefault="00AE7191" w:rsidP="00722885">
      <w:pPr>
        <w:pStyle w:val="Iauiue"/>
        <w:jc w:val="both"/>
        <w:rPr>
          <w:iCs/>
          <w:color w:val="000000" w:themeColor="text1"/>
          <w:sz w:val="16"/>
          <w:szCs w:val="16"/>
        </w:rPr>
      </w:pPr>
      <w:r w:rsidRPr="001E2C69">
        <w:rPr>
          <w:iCs/>
          <w:color w:val="000000" w:themeColor="text1"/>
          <w:sz w:val="16"/>
          <w:szCs w:val="16"/>
        </w:rPr>
        <w:t>Постановление разослано 21 августа 1942года т.т. Бондарь, Воронину, Коненкову, Артемьеву – Ю.В.Ф., ЦК ВКП(б), Военный Совет Ю.В.Ф.</w:t>
      </w:r>
    </w:p>
    <w:p w14:paraId="1F435271" w14:textId="77777777" w:rsidR="00AE7191" w:rsidRPr="001E2C69" w:rsidRDefault="00AE7191" w:rsidP="00722885">
      <w:pPr>
        <w:pStyle w:val="Iauiue"/>
        <w:jc w:val="both"/>
        <w:rPr>
          <w:iCs/>
          <w:color w:val="000000" w:themeColor="text1"/>
          <w:sz w:val="16"/>
          <w:szCs w:val="16"/>
        </w:rPr>
      </w:pPr>
      <w:r w:rsidRPr="001E2C69">
        <w:rPr>
          <w:iCs/>
          <w:color w:val="000000" w:themeColor="text1"/>
          <w:sz w:val="16"/>
          <w:szCs w:val="16"/>
        </w:rPr>
        <w:t>ЦДНИВО, ФОНД 171, дело 14, лист 97. Подлинник (9818).</w:t>
      </w:r>
    </w:p>
    <w:p w14:paraId="74BE765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Приложение к Постановлению Сталинградского Городского Комитета Обороны № 399 сс от 19 августа 1942 г.</w:t>
      </w:r>
    </w:p>
    <w:tbl>
      <w:tblPr>
        <w:tblW w:w="0" w:type="auto"/>
        <w:tblLayout w:type="fixed"/>
        <w:tblCellMar>
          <w:left w:w="0" w:type="dxa"/>
          <w:right w:w="0" w:type="dxa"/>
        </w:tblCellMar>
        <w:tblLook w:val="0000" w:firstRow="0" w:lastRow="0" w:firstColumn="0" w:lastColumn="0" w:noHBand="0" w:noVBand="0"/>
      </w:tblPr>
      <w:tblGrid>
        <w:gridCol w:w="3828"/>
        <w:gridCol w:w="2551"/>
      </w:tblGrid>
      <w:tr w:rsidR="001E2C69" w:rsidRPr="001E2C69" w14:paraId="5A03BCAB" w14:textId="77777777" w:rsidTr="00CC5360">
        <w:tc>
          <w:tcPr>
            <w:tcW w:w="3828" w:type="dxa"/>
            <w:tcBorders>
              <w:top w:val="nil"/>
              <w:left w:val="nil"/>
              <w:bottom w:val="nil"/>
              <w:right w:val="nil"/>
            </w:tcBorders>
          </w:tcPr>
          <w:p w14:paraId="49CED7C6" w14:textId="77777777" w:rsidR="00AE7191" w:rsidRPr="001E2C69" w:rsidRDefault="00AE7191" w:rsidP="00722885">
            <w:pPr>
              <w:pStyle w:val="Iauiue"/>
              <w:jc w:val="both"/>
              <w:rPr>
                <w:color w:val="000000" w:themeColor="text1"/>
                <w:sz w:val="16"/>
                <w:szCs w:val="16"/>
              </w:rPr>
            </w:pPr>
            <w:r w:rsidRPr="001E2C69">
              <w:rPr>
                <w:iCs/>
                <w:color w:val="000000" w:themeColor="text1"/>
                <w:sz w:val="16"/>
                <w:szCs w:val="16"/>
              </w:rPr>
              <w:t>№ 1. Совершенно секретно. (Особой важности).</w:t>
            </w:r>
          </w:p>
        </w:tc>
        <w:tc>
          <w:tcPr>
            <w:tcW w:w="2551" w:type="dxa"/>
            <w:tcBorders>
              <w:top w:val="nil"/>
              <w:left w:val="nil"/>
              <w:bottom w:val="nil"/>
              <w:right w:val="nil"/>
            </w:tcBorders>
          </w:tcPr>
          <w:p w14:paraId="1F389DA0" w14:textId="77777777" w:rsidR="00AE7191" w:rsidRPr="001E2C69" w:rsidRDefault="00AE7191" w:rsidP="00722885">
            <w:pPr>
              <w:pStyle w:val="Iauiue"/>
              <w:jc w:val="both"/>
              <w:rPr>
                <w:color w:val="000000" w:themeColor="text1"/>
                <w:sz w:val="16"/>
                <w:szCs w:val="16"/>
              </w:rPr>
            </w:pPr>
            <w:r w:rsidRPr="001E2C69">
              <w:rPr>
                <w:iCs/>
                <w:color w:val="000000" w:themeColor="text1"/>
                <w:sz w:val="16"/>
                <w:szCs w:val="16"/>
              </w:rPr>
              <w:t>19 августа 1942 г.</w:t>
            </w:r>
          </w:p>
        </w:tc>
      </w:tr>
    </w:tbl>
    <w:p w14:paraId="5C69D92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План проведения спецмероприятий по промышленным и другим объектам города Сталинграда</w:t>
      </w:r>
    </w:p>
    <w:p w14:paraId="63BC1EE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I. Разрушению и минированию подлежат:</w:t>
      </w:r>
    </w:p>
    <w:p w14:paraId="42FB7D0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1. промпредприятия в первую очередь военные </w:t>
      </w:r>
    </w:p>
    <w:p w14:paraId="44F87D5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2. узлы связи </w:t>
      </w:r>
    </w:p>
    <w:p w14:paraId="0BEC450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3. энергетическое хозяйство </w:t>
      </w:r>
    </w:p>
    <w:p w14:paraId="021FC9C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4. нефтебензохранилище </w:t>
      </w:r>
    </w:p>
    <w:p w14:paraId="188D64D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5. водопровод и водоснабжение </w:t>
      </w:r>
    </w:p>
    <w:p w14:paraId="036140E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6. водный транспорт и его производ.предприятия </w:t>
      </w:r>
    </w:p>
    <w:p w14:paraId="4503B76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7. железно-дорожный транспорт </w:t>
      </w:r>
    </w:p>
    <w:p w14:paraId="3A9EFFC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8. дороги и мосты в черте города </w:t>
      </w:r>
    </w:p>
    <w:p w14:paraId="00C7FCB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 отдельные здания в городе.</w:t>
      </w:r>
    </w:p>
    <w:p w14:paraId="1337D16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Перечень объектов, объем работы и сроки выполнения подготовительных работ и списки ответственных исполнителей по участкам прилагаются к настоящему плану.</w:t>
      </w:r>
    </w:p>
    <w:p w14:paraId="5F682D3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II. Подготовку и приведение в действие спецмероприятий проводит: УНКВД – по объектам указанным в п.п. 1-6; железно-дорожная бригада ВОСО – по железнодорожному хозяйству; инженерные части фронта – по дорогам, мостам и отдельным зданиям.</w:t>
      </w:r>
    </w:p>
    <w:p w14:paraId="3A9C489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Общее руководство проведением всех спецмероприятий осуществляется центральной тройкой в составе: представителей Обкома ВКП(б), УНКВД и ЮВФ.</w:t>
      </w:r>
    </w:p>
    <w:p w14:paraId="1899159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Ответственность за проведение спецмероприятий на объектах возлагается на местные тройки (директор предприятия, секретарь парторганизации, уполномоченный НКВД).</w:t>
      </w:r>
    </w:p>
    <w:p w14:paraId="43DEABD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Команды исполнителей создаются из проверенных работников предприятия. Техническое руководство, обучение исполнителей осуществляется саперами-минерами выделяемых из инж.частей ЮВФ и ВОСО.</w:t>
      </w:r>
    </w:p>
    <w:p w14:paraId="5073D48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Местные тройки работают по оперпланам утвердженным начальниками соответствующих управлений (НКВД, инж.управ. ЮВФ, ВОСО).</w:t>
      </w:r>
    </w:p>
    <w:p w14:paraId="06AC8B4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Сигнал на приведение спецмероприятий в действие подается центральной тройкой.</w:t>
      </w:r>
    </w:p>
    <w:p w14:paraId="24679C3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Связь – техническая и через делегатов связи на автомашинах.</w:t>
      </w:r>
    </w:p>
    <w:p w14:paraId="35E02AF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III. Объект может быть подвергнут в момент отхода полному разрушению или минированию МЗД.</w:t>
      </w:r>
    </w:p>
    <w:p w14:paraId="73DD28C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Полному уничтожению в момент отхода путем подрыва, сжигания или механического разрушения подвергаются:</w:t>
      </w:r>
    </w:p>
    <w:p w14:paraId="067285C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1. энерго-силовые узлы предприятий </w:t>
      </w:r>
    </w:p>
    <w:p w14:paraId="7284012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2. отдельные агрегаты </w:t>
      </w:r>
    </w:p>
    <w:p w14:paraId="4D2C524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3. узлы связи </w:t>
      </w:r>
    </w:p>
    <w:p w14:paraId="385CB72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4. нефтебензохранилище </w:t>
      </w:r>
    </w:p>
    <w:p w14:paraId="57EBDCD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5. мосты </w:t>
      </w:r>
    </w:p>
    <w:p w14:paraId="0E84E7E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Минированию МЗД подвергаются:</w:t>
      </w:r>
    </w:p>
    <w:p w14:paraId="1BC02AD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1. дороги и мосты (для повторного их разрушения после восстановления) </w:t>
      </w:r>
    </w:p>
    <w:p w14:paraId="3637F88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2. водопроводное хозяйство </w:t>
      </w:r>
    </w:p>
    <w:p w14:paraId="1C465A5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lastRenderedPageBreak/>
        <w:t xml:space="preserve">3. высоковольтные линии </w:t>
      </w:r>
    </w:p>
    <w:p w14:paraId="52057D4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4. отдельные здания в городе </w:t>
      </w:r>
    </w:p>
    <w:p w14:paraId="37A3B7F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5. отдельные станки и цеха на объектах </w:t>
      </w:r>
    </w:p>
    <w:p w14:paraId="1ED4D71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IV. Срок подготовки всех объектов к разрушению и минированию 1 сентября 1942г.</w:t>
      </w:r>
    </w:p>
    <w:p w14:paraId="664C8A2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V. Материальное обеспечение объектов ВВ и спец.минами через инженерное управление ЮВФ.</w:t>
      </w:r>
    </w:p>
    <w:p w14:paraId="215E1E7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VI. Местные тройки действуют по сигналу центральной тройки. Письменное разрешение на приведение спецмероприятий в действие вручается пакетом через связного. Центральная тройка действует по указанию Военного Совета ЮВФ.</w:t>
      </w:r>
    </w:p>
    <w:p w14:paraId="32C2A813" w14:textId="77777777" w:rsidR="00AE7191" w:rsidRPr="001E2C69" w:rsidRDefault="00AE7191" w:rsidP="00722885">
      <w:pPr>
        <w:pStyle w:val="Iauiue"/>
        <w:jc w:val="both"/>
        <w:rPr>
          <w:iCs/>
          <w:color w:val="000000" w:themeColor="text1"/>
          <w:sz w:val="16"/>
          <w:szCs w:val="16"/>
        </w:rPr>
      </w:pPr>
      <w:r w:rsidRPr="001E2C69">
        <w:rPr>
          <w:iCs/>
          <w:color w:val="000000" w:themeColor="text1"/>
          <w:sz w:val="16"/>
          <w:szCs w:val="16"/>
        </w:rPr>
        <w:t>ЦДНИВО, фонд 171, опись 14, листы 90-91 (9818).</w:t>
      </w:r>
    </w:p>
    <w:p w14:paraId="70B69E4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Расчетная таблица на проведение спецмероприятий по городу Сталинграду</w:t>
      </w:r>
    </w:p>
    <w:tbl>
      <w:tblPr>
        <w:tblW w:w="0" w:type="auto"/>
        <w:jc w:val="center"/>
        <w:tblLayout w:type="fixed"/>
        <w:tblCellMar>
          <w:left w:w="0" w:type="dxa"/>
          <w:right w:w="0" w:type="dxa"/>
        </w:tblCellMar>
        <w:tblLook w:val="0000" w:firstRow="0" w:lastRow="0" w:firstColumn="0" w:lastColumn="0" w:noHBand="0" w:noVBand="0"/>
      </w:tblPr>
      <w:tblGrid>
        <w:gridCol w:w="835"/>
        <w:gridCol w:w="1253"/>
        <w:gridCol w:w="835"/>
        <w:gridCol w:w="939"/>
        <w:gridCol w:w="939"/>
        <w:gridCol w:w="835"/>
        <w:gridCol w:w="835"/>
        <w:gridCol w:w="835"/>
        <w:gridCol w:w="625"/>
        <w:gridCol w:w="592"/>
        <w:gridCol w:w="592"/>
        <w:gridCol w:w="730"/>
        <w:gridCol w:w="592"/>
      </w:tblGrid>
      <w:tr w:rsidR="001E2C69" w:rsidRPr="001E2C69" w14:paraId="6F15F806"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28E28DD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пп</w:t>
            </w:r>
          </w:p>
        </w:tc>
        <w:tc>
          <w:tcPr>
            <w:tcW w:w="1253" w:type="dxa"/>
            <w:tcBorders>
              <w:top w:val="single" w:sz="6" w:space="0" w:color="auto"/>
              <w:left w:val="single" w:sz="6" w:space="0" w:color="auto"/>
              <w:bottom w:val="single" w:sz="6" w:space="0" w:color="auto"/>
              <w:right w:val="single" w:sz="6" w:space="0" w:color="auto"/>
            </w:tcBorders>
          </w:tcPr>
          <w:p w14:paraId="166843C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Характер и тип объектов</w:t>
            </w:r>
          </w:p>
        </w:tc>
        <w:tc>
          <w:tcPr>
            <w:tcW w:w="835" w:type="dxa"/>
            <w:tcBorders>
              <w:top w:val="single" w:sz="6" w:space="0" w:color="auto"/>
              <w:left w:val="single" w:sz="6" w:space="0" w:color="auto"/>
              <w:bottom w:val="single" w:sz="6" w:space="0" w:color="auto"/>
              <w:right w:val="single" w:sz="6" w:space="0" w:color="auto"/>
            </w:tcBorders>
          </w:tcPr>
          <w:p w14:paraId="38FC040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Число объектов или объем работ</w:t>
            </w:r>
          </w:p>
        </w:tc>
        <w:tc>
          <w:tcPr>
            <w:tcW w:w="939" w:type="dxa"/>
            <w:gridSpan w:val="4"/>
            <w:tcBorders>
              <w:top w:val="single" w:sz="6" w:space="0" w:color="auto"/>
              <w:left w:val="single" w:sz="6" w:space="0" w:color="auto"/>
              <w:bottom w:val="single" w:sz="6" w:space="0" w:color="auto"/>
              <w:right w:val="single" w:sz="6" w:space="0" w:color="auto"/>
            </w:tcBorders>
          </w:tcPr>
          <w:p w14:paraId="3732596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Силы</w:t>
            </w:r>
          </w:p>
        </w:tc>
        <w:tc>
          <w:tcPr>
            <w:tcW w:w="835" w:type="dxa"/>
            <w:tcBorders>
              <w:top w:val="single" w:sz="6" w:space="0" w:color="auto"/>
              <w:left w:val="single" w:sz="6" w:space="0" w:color="auto"/>
              <w:bottom w:val="single" w:sz="6" w:space="0" w:color="auto"/>
              <w:right w:val="single" w:sz="6" w:space="0" w:color="auto"/>
            </w:tcBorders>
          </w:tcPr>
          <w:p w14:paraId="219BAED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Срок подго-товки</w:t>
            </w:r>
          </w:p>
        </w:tc>
        <w:tc>
          <w:tcPr>
            <w:tcW w:w="625" w:type="dxa"/>
            <w:gridSpan w:val="5"/>
            <w:tcBorders>
              <w:top w:val="single" w:sz="6" w:space="0" w:color="auto"/>
              <w:left w:val="single" w:sz="6" w:space="0" w:color="auto"/>
              <w:bottom w:val="single" w:sz="6" w:space="0" w:color="auto"/>
              <w:right w:val="single" w:sz="6" w:space="0" w:color="auto"/>
            </w:tcBorders>
          </w:tcPr>
          <w:p w14:paraId="6C9018D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Средства</w:t>
            </w:r>
          </w:p>
        </w:tc>
      </w:tr>
      <w:tr w:rsidR="001E2C69" w:rsidRPr="001E2C69" w14:paraId="7711B617"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38D8EB33" w14:textId="77777777" w:rsidR="00AE7191" w:rsidRPr="001E2C69" w:rsidRDefault="00AE7191" w:rsidP="00722885">
            <w:pPr>
              <w:pStyle w:val="Iauiue"/>
              <w:jc w:val="both"/>
              <w:rPr>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74C3E874" w14:textId="77777777" w:rsidR="00AE7191" w:rsidRPr="001E2C69"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AB99DAF" w14:textId="77777777" w:rsidR="00AE7191" w:rsidRPr="001E2C69" w:rsidRDefault="00AE7191" w:rsidP="00722885">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E2F9A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Общее руковод-ство</w:t>
            </w:r>
          </w:p>
        </w:tc>
        <w:tc>
          <w:tcPr>
            <w:tcW w:w="939" w:type="dxa"/>
            <w:tcBorders>
              <w:top w:val="single" w:sz="6" w:space="0" w:color="auto"/>
              <w:left w:val="single" w:sz="6" w:space="0" w:color="auto"/>
              <w:bottom w:val="single" w:sz="6" w:space="0" w:color="auto"/>
              <w:right w:val="single" w:sz="6" w:space="0" w:color="auto"/>
            </w:tcBorders>
          </w:tcPr>
          <w:p w14:paraId="67901C2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Исполни-тели</w:t>
            </w:r>
          </w:p>
        </w:tc>
        <w:tc>
          <w:tcPr>
            <w:tcW w:w="835" w:type="dxa"/>
            <w:gridSpan w:val="2"/>
            <w:tcBorders>
              <w:top w:val="single" w:sz="6" w:space="0" w:color="auto"/>
              <w:left w:val="single" w:sz="6" w:space="0" w:color="auto"/>
              <w:bottom w:val="single" w:sz="6" w:space="0" w:color="auto"/>
              <w:right w:val="single" w:sz="6" w:space="0" w:color="auto"/>
            </w:tcBorders>
          </w:tcPr>
          <w:p w14:paraId="1E9630D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Инструктора</w:t>
            </w:r>
          </w:p>
        </w:tc>
        <w:tc>
          <w:tcPr>
            <w:tcW w:w="835" w:type="dxa"/>
            <w:tcBorders>
              <w:top w:val="single" w:sz="6" w:space="0" w:color="auto"/>
              <w:left w:val="single" w:sz="6" w:space="0" w:color="auto"/>
              <w:bottom w:val="single" w:sz="6" w:space="0" w:color="auto"/>
              <w:right w:val="single" w:sz="6" w:space="0" w:color="auto"/>
            </w:tcBorders>
          </w:tcPr>
          <w:p w14:paraId="02DC3B97" w14:textId="77777777" w:rsidR="00AE7191" w:rsidRPr="001E2C69" w:rsidRDefault="00AE7191" w:rsidP="00722885">
            <w:pPr>
              <w:pStyle w:val="Iauiue"/>
              <w:jc w:val="both"/>
              <w:rPr>
                <w:color w:val="000000" w:themeColor="text1"/>
                <w:sz w:val="16"/>
                <w:szCs w:val="16"/>
              </w:rPr>
            </w:pPr>
          </w:p>
        </w:tc>
        <w:tc>
          <w:tcPr>
            <w:tcW w:w="625" w:type="dxa"/>
            <w:tcBorders>
              <w:top w:val="single" w:sz="6" w:space="0" w:color="auto"/>
              <w:left w:val="single" w:sz="6" w:space="0" w:color="auto"/>
              <w:bottom w:val="single" w:sz="6" w:space="0" w:color="auto"/>
              <w:right w:val="single" w:sz="6" w:space="0" w:color="auto"/>
            </w:tcBorders>
          </w:tcPr>
          <w:p w14:paraId="55E6CC0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ВВ тн.</w:t>
            </w:r>
          </w:p>
        </w:tc>
        <w:tc>
          <w:tcPr>
            <w:tcW w:w="592" w:type="dxa"/>
            <w:tcBorders>
              <w:top w:val="single" w:sz="6" w:space="0" w:color="auto"/>
              <w:left w:val="single" w:sz="6" w:space="0" w:color="auto"/>
              <w:bottom w:val="single" w:sz="6" w:space="0" w:color="auto"/>
              <w:right w:val="single" w:sz="6" w:space="0" w:color="auto"/>
            </w:tcBorders>
          </w:tcPr>
          <w:p w14:paraId="122DD68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МЗД шт.</w:t>
            </w:r>
          </w:p>
        </w:tc>
        <w:tc>
          <w:tcPr>
            <w:tcW w:w="592" w:type="dxa"/>
            <w:tcBorders>
              <w:top w:val="single" w:sz="6" w:space="0" w:color="auto"/>
              <w:left w:val="single" w:sz="6" w:space="0" w:color="auto"/>
              <w:bottom w:val="single" w:sz="6" w:space="0" w:color="auto"/>
              <w:right w:val="single" w:sz="6" w:space="0" w:color="auto"/>
            </w:tcBorders>
          </w:tcPr>
          <w:p w14:paraId="038CBDF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Про-вод</w:t>
            </w:r>
          </w:p>
        </w:tc>
        <w:tc>
          <w:tcPr>
            <w:tcW w:w="730" w:type="dxa"/>
            <w:tcBorders>
              <w:top w:val="single" w:sz="6" w:space="0" w:color="auto"/>
              <w:left w:val="single" w:sz="6" w:space="0" w:color="auto"/>
              <w:bottom w:val="single" w:sz="6" w:space="0" w:color="auto"/>
              <w:right w:val="single" w:sz="6" w:space="0" w:color="auto"/>
            </w:tcBorders>
          </w:tcPr>
          <w:p w14:paraId="495F441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ДШ мт.</w:t>
            </w:r>
          </w:p>
        </w:tc>
        <w:tc>
          <w:tcPr>
            <w:tcW w:w="592" w:type="dxa"/>
            <w:tcBorders>
              <w:top w:val="single" w:sz="6" w:space="0" w:color="auto"/>
              <w:left w:val="single" w:sz="6" w:space="0" w:color="auto"/>
              <w:bottom w:val="single" w:sz="6" w:space="0" w:color="auto"/>
              <w:right w:val="single" w:sz="6" w:space="0" w:color="auto"/>
            </w:tcBorders>
          </w:tcPr>
          <w:p w14:paraId="66C38D5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ТМ-35</w:t>
            </w:r>
          </w:p>
        </w:tc>
      </w:tr>
      <w:tr w:rsidR="001E2C69" w:rsidRPr="001E2C69" w14:paraId="7F49AC76"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7D8383BE" w14:textId="77777777" w:rsidR="00AE7191" w:rsidRPr="001E2C69" w:rsidRDefault="00AE7191" w:rsidP="00722885">
            <w:pPr>
              <w:pStyle w:val="Iauiue"/>
              <w:jc w:val="both"/>
              <w:rPr>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396205BD" w14:textId="77777777" w:rsidR="00AE7191" w:rsidRPr="001E2C69"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082E4ED" w14:textId="77777777" w:rsidR="00AE7191" w:rsidRPr="001E2C69" w:rsidRDefault="00AE7191" w:rsidP="00722885">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951397" w14:textId="77777777" w:rsidR="00AE7191" w:rsidRPr="001E2C69" w:rsidRDefault="00AE7191" w:rsidP="00722885">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1D6A3D" w14:textId="77777777" w:rsidR="00AE7191" w:rsidRPr="001E2C69"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581780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коли-чество</w:t>
            </w:r>
          </w:p>
        </w:tc>
        <w:tc>
          <w:tcPr>
            <w:tcW w:w="835" w:type="dxa"/>
            <w:tcBorders>
              <w:top w:val="single" w:sz="6" w:space="0" w:color="auto"/>
              <w:left w:val="single" w:sz="6" w:space="0" w:color="auto"/>
              <w:bottom w:val="single" w:sz="6" w:space="0" w:color="auto"/>
              <w:right w:val="single" w:sz="6" w:space="0" w:color="auto"/>
            </w:tcBorders>
          </w:tcPr>
          <w:p w14:paraId="32E79F6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часть или подряд</w:t>
            </w:r>
          </w:p>
        </w:tc>
        <w:tc>
          <w:tcPr>
            <w:tcW w:w="835" w:type="dxa"/>
            <w:tcBorders>
              <w:top w:val="single" w:sz="6" w:space="0" w:color="auto"/>
              <w:left w:val="single" w:sz="6" w:space="0" w:color="auto"/>
              <w:bottom w:val="single" w:sz="6" w:space="0" w:color="auto"/>
              <w:right w:val="single" w:sz="6" w:space="0" w:color="auto"/>
            </w:tcBorders>
          </w:tcPr>
          <w:p w14:paraId="7ADA3476" w14:textId="77777777" w:rsidR="00AE7191" w:rsidRPr="001E2C69" w:rsidRDefault="00AE7191" w:rsidP="00722885">
            <w:pPr>
              <w:pStyle w:val="Iauiue"/>
              <w:jc w:val="both"/>
              <w:rPr>
                <w:color w:val="000000" w:themeColor="text1"/>
                <w:sz w:val="16"/>
                <w:szCs w:val="16"/>
              </w:rPr>
            </w:pPr>
          </w:p>
        </w:tc>
        <w:tc>
          <w:tcPr>
            <w:tcW w:w="625" w:type="dxa"/>
            <w:tcBorders>
              <w:top w:val="single" w:sz="6" w:space="0" w:color="auto"/>
              <w:left w:val="single" w:sz="6" w:space="0" w:color="auto"/>
              <w:bottom w:val="single" w:sz="6" w:space="0" w:color="auto"/>
              <w:right w:val="single" w:sz="6" w:space="0" w:color="auto"/>
            </w:tcBorders>
          </w:tcPr>
          <w:p w14:paraId="201B861C" w14:textId="77777777" w:rsidR="00AE7191" w:rsidRPr="001E2C69"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5AF4A1BC" w14:textId="77777777" w:rsidR="00AE7191" w:rsidRPr="001E2C69"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75ED80A9" w14:textId="77777777" w:rsidR="00AE7191" w:rsidRPr="001E2C69" w:rsidRDefault="00AE7191" w:rsidP="00722885">
            <w:pPr>
              <w:pStyle w:val="Iauiue"/>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36DCBA8" w14:textId="77777777" w:rsidR="00AE7191" w:rsidRPr="001E2C69"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162AB40A" w14:textId="77777777" w:rsidR="00AE7191" w:rsidRPr="001E2C69" w:rsidRDefault="00AE7191" w:rsidP="00722885">
            <w:pPr>
              <w:pStyle w:val="Iauiue"/>
              <w:jc w:val="both"/>
              <w:rPr>
                <w:color w:val="000000" w:themeColor="text1"/>
                <w:sz w:val="16"/>
                <w:szCs w:val="16"/>
              </w:rPr>
            </w:pPr>
          </w:p>
        </w:tc>
      </w:tr>
      <w:tr w:rsidR="001E2C69" w:rsidRPr="001E2C69" w14:paraId="37081AF1"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486A19F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w:t>
            </w:r>
          </w:p>
        </w:tc>
        <w:tc>
          <w:tcPr>
            <w:tcW w:w="1253" w:type="dxa"/>
            <w:tcBorders>
              <w:top w:val="single" w:sz="6" w:space="0" w:color="auto"/>
              <w:left w:val="single" w:sz="6" w:space="0" w:color="auto"/>
              <w:bottom w:val="single" w:sz="6" w:space="0" w:color="auto"/>
              <w:right w:val="single" w:sz="6" w:space="0" w:color="auto"/>
            </w:tcBorders>
          </w:tcPr>
          <w:p w14:paraId="2973C0C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Пром.пред-приятия и энергет. хо-зяйство:</w:t>
            </w:r>
            <w:r w:rsidRPr="001E2C69">
              <w:rPr>
                <w:color w:val="000000" w:themeColor="text1"/>
                <w:sz w:val="16"/>
                <w:szCs w:val="16"/>
              </w:rPr>
              <w:br/>
              <w:t>I очередь</w:t>
            </w:r>
            <w:r w:rsidRPr="001E2C69">
              <w:rPr>
                <w:color w:val="000000" w:themeColor="text1"/>
                <w:sz w:val="16"/>
                <w:szCs w:val="16"/>
              </w:rPr>
              <w:br/>
              <w:t xml:space="preserve">II очередь </w:t>
            </w:r>
          </w:p>
        </w:tc>
        <w:tc>
          <w:tcPr>
            <w:tcW w:w="835" w:type="dxa"/>
            <w:tcBorders>
              <w:top w:val="single" w:sz="6" w:space="0" w:color="auto"/>
              <w:left w:val="single" w:sz="6" w:space="0" w:color="auto"/>
              <w:bottom w:val="single" w:sz="6" w:space="0" w:color="auto"/>
              <w:right w:val="single" w:sz="6" w:space="0" w:color="auto"/>
            </w:tcBorders>
          </w:tcPr>
          <w:p w14:paraId="58B738C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 об.</w:t>
            </w:r>
            <w:r w:rsidRPr="001E2C69">
              <w:rPr>
                <w:color w:val="000000" w:themeColor="text1"/>
                <w:sz w:val="16"/>
                <w:szCs w:val="16"/>
              </w:rPr>
              <w:br/>
              <w:t xml:space="preserve">11 </w:t>
            </w:r>
          </w:p>
        </w:tc>
        <w:tc>
          <w:tcPr>
            <w:tcW w:w="939" w:type="dxa"/>
            <w:tcBorders>
              <w:top w:val="single" w:sz="6" w:space="0" w:color="auto"/>
              <w:left w:val="single" w:sz="6" w:space="0" w:color="auto"/>
              <w:bottom w:val="single" w:sz="6" w:space="0" w:color="auto"/>
              <w:right w:val="single" w:sz="6" w:space="0" w:color="auto"/>
            </w:tcBorders>
          </w:tcPr>
          <w:p w14:paraId="080B1E9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УНКВД тов. Ко-ненков </w:t>
            </w:r>
          </w:p>
        </w:tc>
        <w:tc>
          <w:tcPr>
            <w:tcW w:w="939" w:type="dxa"/>
            <w:tcBorders>
              <w:top w:val="single" w:sz="6" w:space="0" w:color="auto"/>
              <w:left w:val="single" w:sz="6" w:space="0" w:color="auto"/>
              <w:bottom w:val="single" w:sz="6" w:space="0" w:color="auto"/>
              <w:right w:val="single" w:sz="6" w:space="0" w:color="auto"/>
            </w:tcBorders>
          </w:tcPr>
          <w:p w14:paraId="2DA2367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Команды из работ-ников предпри-ятий</w:t>
            </w:r>
          </w:p>
        </w:tc>
        <w:tc>
          <w:tcPr>
            <w:tcW w:w="835" w:type="dxa"/>
            <w:tcBorders>
              <w:top w:val="single" w:sz="6" w:space="0" w:color="auto"/>
              <w:left w:val="single" w:sz="6" w:space="0" w:color="auto"/>
              <w:bottom w:val="single" w:sz="6" w:space="0" w:color="auto"/>
              <w:right w:val="single" w:sz="6" w:space="0" w:color="auto"/>
            </w:tcBorders>
          </w:tcPr>
          <w:p w14:paraId="43104D5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60 ч.</w:t>
            </w:r>
          </w:p>
        </w:tc>
        <w:tc>
          <w:tcPr>
            <w:tcW w:w="835" w:type="dxa"/>
            <w:tcBorders>
              <w:top w:val="single" w:sz="6" w:space="0" w:color="auto"/>
              <w:left w:val="single" w:sz="6" w:space="0" w:color="auto"/>
              <w:bottom w:val="single" w:sz="6" w:space="0" w:color="auto"/>
              <w:right w:val="single" w:sz="6" w:space="0" w:color="auto"/>
            </w:tcBorders>
          </w:tcPr>
          <w:p w14:paraId="6374FCB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сан. бат. 516а</w:t>
            </w:r>
          </w:p>
        </w:tc>
        <w:tc>
          <w:tcPr>
            <w:tcW w:w="835" w:type="dxa"/>
            <w:tcBorders>
              <w:top w:val="single" w:sz="6" w:space="0" w:color="auto"/>
              <w:left w:val="single" w:sz="6" w:space="0" w:color="auto"/>
              <w:bottom w:val="single" w:sz="6" w:space="0" w:color="auto"/>
              <w:right w:val="single" w:sz="6" w:space="0" w:color="auto"/>
            </w:tcBorders>
          </w:tcPr>
          <w:p w14:paraId="1A0F019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20.8.42</w:t>
            </w:r>
            <w:r w:rsidRPr="001E2C69">
              <w:rPr>
                <w:color w:val="000000" w:themeColor="text1"/>
                <w:sz w:val="16"/>
                <w:szCs w:val="16"/>
              </w:rPr>
              <w:br/>
              <w:t xml:space="preserve">25.8.42 </w:t>
            </w:r>
          </w:p>
        </w:tc>
        <w:tc>
          <w:tcPr>
            <w:tcW w:w="625" w:type="dxa"/>
            <w:tcBorders>
              <w:top w:val="single" w:sz="6" w:space="0" w:color="auto"/>
              <w:left w:val="single" w:sz="6" w:space="0" w:color="auto"/>
              <w:bottom w:val="single" w:sz="6" w:space="0" w:color="auto"/>
              <w:right w:val="single" w:sz="6" w:space="0" w:color="auto"/>
            </w:tcBorders>
          </w:tcPr>
          <w:p w14:paraId="4CBC0DC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80 т.</w:t>
            </w:r>
          </w:p>
        </w:tc>
        <w:tc>
          <w:tcPr>
            <w:tcW w:w="592" w:type="dxa"/>
            <w:tcBorders>
              <w:top w:val="single" w:sz="6" w:space="0" w:color="auto"/>
              <w:left w:val="single" w:sz="6" w:space="0" w:color="auto"/>
              <w:bottom w:val="single" w:sz="6" w:space="0" w:color="auto"/>
              <w:right w:val="single" w:sz="6" w:space="0" w:color="auto"/>
            </w:tcBorders>
          </w:tcPr>
          <w:p w14:paraId="6568D5D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230</w:t>
            </w:r>
          </w:p>
        </w:tc>
        <w:tc>
          <w:tcPr>
            <w:tcW w:w="592" w:type="dxa"/>
            <w:tcBorders>
              <w:top w:val="single" w:sz="6" w:space="0" w:color="auto"/>
              <w:left w:val="single" w:sz="6" w:space="0" w:color="auto"/>
              <w:bottom w:val="single" w:sz="6" w:space="0" w:color="auto"/>
              <w:right w:val="single" w:sz="6" w:space="0" w:color="auto"/>
            </w:tcBorders>
          </w:tcPr>
          <w:p w14:paraId="01E1924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250</w:t>
            </w:r>
          </w:p>
        </w:tc>
        <w:tc>
          <w:tcPr>
            <w:tcW w:w="730" w:type="dxa"/>
            <w:tcBorders>
              <w:top w:val="single" w:sz="6" w:space="0" w:color="auto"/>
              <w:left w:val="single" w:sz="6" w:space="0" w:color="auto"/>
              <w:bottom w:val="single" w:sz="6" w:space="0" w:color="auto"/>
              <w:right w:val="single" w:sz="6" w:space="0" w:color="auto"/>
            </w:tcBorders>
          </w:tcPr>
          <w:p w14:paraId="45B62F9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8000</w:t>
            </w:r>
          </w:p>
        </w:tc>
        <w:tc>
          <w:tcPr>
            <w:tcW w:w="592" w:type="dxa"/>
            <w:tcBorders>
              <w:top w:val="single" w:sz="6" w:space="0" w:color="auto"/>
              <w:left w:val="single" w:sz="6" w:space="0" w:color="auto"/>
              <w:bottom w:val="single" w:sz="6" w:space="0" w:color="auto"/>
              <w:right w:val="single" w:sz="6" w:space="0" w:color="auto"/>
            </w:tcBorders>
          </w:tcPr>
          <w:p w14:paraId="794DC193" w14:textId="77777777" w:rsidR="00AE7191" w:rsidRPr="001E2C69" w:rsidRDefault="00AE7191" w:rsidP="00722885">
            <w:pPr>
              <w:pStyle w:val="Iauiue"/>
              <w:jc w:val="both"/>
              <w:rPr>
                <w:color w:val="000000" w:themeColor="text1"/>
                <w:sz w:val="16"/>
                <w:szCs w:val="16"/>
              </w:rPr>
            </w:pPr>
          </w:p>
        </w:tc>
      </w:tr>
      <w:tr w:rsidR="001E2C69" w:rsidRPr="001E2C69" w14:paraId="5949229F"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4CFE50D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w:t>
            </w:r>
          </w:p>
        </w:tc>
        <w:tc>
          <w:tcPr>
            <w:tcW w:w="1253" w:type="dxa"/>
            <w:tcBorders>
              <w:top w:val="single" w:sz="6" w:space="0" w:color="auto"/>
              <w:left w:val="single" w:sz="6" w:space="0" w:color="auto"/>
              <w:bottom w:val="single" w:sz="6" w:space="0" w:color="auto"/>
              <w:right w:val="single" w:sz="6" w:space="0" w:color="auto"/>
            </w:tcBorders>
          </w:tcPr>
          <w:p w14:paraId="536F1D6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Узлы связи </w:t>
            </w:r>
          </w:p>
        </w:tc>
        <w:tc>
          <w:tcPr>
            <w:tcW w:w="835" w:type="dxa"/>
            <w:tcBorders>
              <w:top w:val="single" w:sz="6" w:space="0" w:color="auto"/>
              <w:left w:val="single" w:sz="6" w:space="0" w:color="auto"/>
              <w:bottom w:val="single" w:sz="6" w:space="0" w:color="auto"/>
              <w:right w:val="single" w:sz="6" w:space="0" w:color="auto"/>
            </w:tcBorders>
          </w:tcPr>
          <w:p w14:paraId="68C87440" w14:textId="77777777" w:rsidR="00AE7191" w:rsidRPr="001E2C69" w:rsidRDefault="00AE7191" w:rsidP="00722885">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20A80B" w14:textId="77777777" w:rsidR="00AE7191" w:rsidRPr="001E2C69" w:rsidRDefault="00AE7191" w:rsidP="00722885">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DBA450" w14:textId="77777777" w:rsidR="00AE7191" w:rsidRPr="001E2C69"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D3B3D58" w14:textId="77777777" w:rsidR="00AE7191" w:rsidRPr="001E2C69"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4AD4039" w14:textId="77777777" w:rsidR="00AE7191" w:rsidRPr="001E2C69"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58589B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22.8.42 </w:t>
            </w:r>
          </w:p>
        </w:tc>
        <w:tc>
          <w:tcPr>
            <w:tcW w:w="625" w:type="dxa"/>
            <w:tcBorders>
              <w:top w:val="single" w:sz="6" w:space="0" w:color="auto"/>
              <w:left w:val="single" w:sz="6" w:space="0" w:color="auto"/>
              <w:bottom w:val="single" w:sz="6" w:space="0" w:color="auto"/>
              <w:right w:val="single" w:sz="6" w:space="0" w:color="auto"/>
            </w:tcBorders>
          </w:tcPr>
          <w:p w14:paraId="0F014ED5" w14:textId="77777777" w:rsidR="00AE7191" w:rsidRPr="001E2C69"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403A05F0" w14:textId="77777777" w:rsidR="00AE7191" w:rsidRPr="001E2C69"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0D02A9BF" w14:textId="77777777" w:rsidR="00AE7191" w:rsidRPr="001E2C69" w:rsidRDefault="00AE7191" w:rsidP="00722885">
            <w:pPr>
              <w:pStyle w:val="Iauiue"/>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A36CAE5" w14:textId="77777777" w:rsidR="00AE7191" w:rsidRPr="001E2C69"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63128A1B" w14:textId="77777777" w:rsidR="00AE7191" w:rsidRPr="001E2C69" w:rsidRDefault="00AE7191" w:rsidP="00722885">
            <w:pPr>
              <w:pStyle w:val="Iauiue"/>
              <w:jc w:val="both"/>
              <w:rPr>
                <w:color w:val="000000" w:themeColor="text1"/>
                <w:sz w:val="16"/>
                <w:szCs w:val="16"/>
              </w:rPr>
            </w:pPr>
          </w:p>
        </w:tc>
      </w:tr>
      <w:tr w:rsidR="001E2C69" w:rsidRPr="001E2C69" w14:paraId="734E29CA"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65C20E6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w:t>
            </w:r>
          </w:p>
        </w:tc>
        <w:tc>
          <w:tcPr>
            <w:tcW w:w="1253" w:type="dxa"/>
            <w:tcBorders>
              <w:top w:val="single" w:sz="6" w:space="0" w:color="auto"/>
              <w:left w:val="single" w:sz="6" w:space="0" w:color="auto"/>
              <w:bottom w:val="single" w:sz="6" w:space="0" w:color="auto"/>
              <w:right w:val="single" w:sz="6" w:space="0" w:color="auto"/>
            </w:tcBorders>
          </w:tcPr>
          <w:p w14:paraId="60B004D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Водопровод и водоснаб-жение </w:t>
            </w:r>
          </w:p>
        </w:tc>
        <w:tc>
          <w:tcPr>
            <w:tcW w:w="835" w:type="dxa"/>
            <w:tcBorders>
              <w:top w:val="single" w:sz="6" w:space="0" w:color="auto"/>
              <w:left w:val="single" w:sz="6" w:space="0" w:color="auto"/>
              <w:bottom w:val="single" w:sz="6" w:space="0" w:color="auto"/>
              <w:right w:val="single" w:sz="6" w:space="0" w:color="auto"/>
            </w:tcBorders>
          </w:tcPr>
          <w:p w14:paraId="5BB6DAD6" w14:textId="77777777" w:rsidR="00AE7191" w:rsidRPr="001E2C69" w:rsidRDefault="00AE7191" w:rsidP="00722885">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F63410" w14:textId="77777777" w:rsidR="00AE7191" w:rsidRPr="001E2C69" w:rsidRDefault="00AE7191" w:rsidP="00722885">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380801" w14:textId="77777777" w:rsidR="00AE7191" w:rsidRPr="001E2C69"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097DF10" w14:textId="77777777" w:rsidR="00AE7191" w:rsidRPr="001E2C69"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D553457" w14:textId="77777777" w:rsidR="00AE7191" w:rsidRPr="001E2C69"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8C5CB0B" w14:textId="77777777" w:rsidR="00AE7191" w:rsidRPr="001E2C69" w:rsidRDefault="00AE7191" w:rsidP="00722885">
            <w:pPr>
              <w:pStyle w:val="Iauiue"/>
              <w:jc w:val="both"/>
              <w:rPr>
                <w:color w:val="000000" w:themeColor="text1"/>
                <w:sz w:val="16"/>
                <w:szCs w:val="16"/>
              </w:rPr>
            </w:pPr>
          </w:p>
        </w:tc>
        <w:tc>
          <w:tcPr>
            <w:tcW w:w="625" w:type="dxa"/>
            <w:tcBorders>
              <w:top w:val="single" w:sz="6" w:space="0" w:color="auto"/>
              <w:left w:val="single" w:sz="6" w:space="0" w:color="auto"/>
              <w:bottom w:val="single" w:sz="6" w:space="0" w:color="auto"/>
              <w:right w:val="single" w:sz="6" w:space="0" w:color="auto"/>
            </w:tcBorders>
          </w:tcPr>
          <w:p w14:paraId="170B2BE2" w14:textId="77777777" w:rsidR="00AE7191" w:rsidRPr="001E2C69"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229F2A23" w14:textId="77777777" w:rsidR="00AE7191" w:rsidRPr="001E2C69"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4F203A8F" w14:textId="77777777" w:rsidR="00AE7191" w:rsidRPr="001E2C69" w:rsidRDefault="00AE7191" w:rsidP="00722885">
            <w:pPr>
              <w:pStyle w:val="Iauiue"/>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2273627B" w14:textId="77777777" w:rsidR="00AE7191" w:rsidRPr="001E2C69"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3F95DD0E" w14:textId="77777777" w:rsidR="00AE7191" w:rsidRPr="001E2C69" w:rsidRDefault="00AE7191" w:rsidP="00722885">
            <w:pPr>
              <w:pStyle w:val="Iauiue"/>
              <w:jc w:val="both"/>
              <w:rPr>
                <w:color w:val="000000" w:themeColor="text1"/>
                <w:sz w:val="16"/>
                <w:szCs w:val="16"/>
              </w:rPr>
            </w:pPr>
          </w:p>
        </w:tc>
      </w:tr>
      <w:tr w:rsidR="001E2C69" w:rsidRPr="001E2C69" w14:paraId="65229177"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18A6241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w:t>
            </w:r>
          </w:p>
        </w:tc>
        <w:tc>
          <w:tcPr>
            <w:tcW w:w="1253" w:type="dxa"/>
            <w:tcBorders>
              <w:top w:val="single" w:sz="6" w:space="0" w:color="auto"/>
              <w:left w:val="single" w:sz="6" w:space="0" w:color="auto"/>
              <w:bottom w:val="single" w:sz="6" w:space="0" w:color="auto"/>
              <w:right w:val="single" w:sz="6" w:space="0" w:color="auto"/>
            </w:tcBorders>
          </w:tcPr>
          <w:p w14:paraId="38C2796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Жел.дор.хо-зяйство </w:t>
            </w:r>
          </w:p>
        </w:tc>
        <w:tc>
          <w:tcPr>
            <w:tcW w:w="835" w:type="dxa"/>
            <w:tcBorders>
              <w:top w:val="single" w:sz="6" w:space="0" w:color="auto"/>
              <w:left w:val="single" w:sz="6" w:space="0" w:color="auto"/>
              <w:bottom w:val="single" w:sz="6" w:space="0" w:color="auto"/>
              <w:right w:val="single" w:sz="6" w:space="0" w:color="auto"/>
            </w:tcBorders>
          </w:tcPr>
          <w:p w14:paraId="17B8BE2A" w14:textId="77777777" w:rsidR="00AE7191" w:rsidRPr="001E2C69" w:rsidRDefault="00AE7191" w:rsidP="00722885">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63FEE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ВОСО </w:t>
            </w:r>
          </w:p>
        </w:tc>
        <w:tc>
          <w:tcPr>
            <w:tcW w:w="939" w:type="dxa"/>
            <w:tcBorders>
              <w:top w:val="single" w:sz="6" w:space="0" w:color="auto"/>
              <w:left w:val="single" w:sz="6" w:space="0" w:color="auto"/>
              <w:bottom w:val="single" w:sz="6" w:space="0" w:color="auto"/>
              <w:right w:val="single" w:sz="6" w:space="0" w:color="auto"/>
            </w:tcBorders>
          </w:tcPr>
          <w:p w14:paraId="08363C0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ж.д.бри-гада</w:t>
            </w:r>
          </w:p>
        </w:tc>
        <w:tc>
          <w:tcPr>
            <w:tcW w:w="835" w:type="dxa"/>
            <w:tcBorders>
              <w:top w:val="single" w:sz="6" w:space="0" w:color="auto"/>
              <w:left w:val="single" w:sz="6" w:space="0" w:color="auto"/>
              <w:bottom w:val="single" w:sz="6" w:space="0" w:color="auto"/>
              <w:right w:val="single" w:sz="6" w:space="0" w:color="auto"/>
            </w:tcBorders>
          </w:tcPr>
          <w:p w14:paraId="23AACD03" w14:textId="77777777" w:rsidR="00AE7191" w:rsidRPr="001E2C69"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A87C374" w14:textId="77777777" w:rsidR="00AE7191" w:rsidRPr="001E2C69"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5623166" w14:textId="77777777" w:rsidR="00AE7191" w:rsidRPr="001E2C69" w:rsidRDefault="00AE7191" w:rsidP="00722885">
            <w:pPr>
              <w:pStyle w:val="Iauiue"/>
              <w:jc w:val="both"/>
              <w:rPr>
                <w:color w:val="000000" w:themeColor="text1"/>
                <w:sz w:val="16"/>
                <w:szCs w:val="16"/>
              </w:rPr>
            </w:pPr>
          </w:p>
        </w:tc>
        <w:tc>
          <w:tcPr>
            <w:tcW w:w="625" w:type="dxa"/>
            <w:tcBorders>
              <w:top w:val="single" w:sz="6" w:space="0" w:color="auto"/>
              <w:left w:val="single" w:sz="6" w:space="0" w:color="auto"/>
              <w:bottom w:val="single" w:sz="6" w:space="0" w:color="auto"/>
              <w:right w:val="single" w:sz="6" w:space="0" w:color="auto"/>
            </w:tcBorders>
          </w:tcPr>
          <w:p w14:paraId="530E0459" w14:textId="77777777" w:rsidR="00AE7191" w:rsidRPr="001E2C69"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5BC9B28E" w14:textId="77777777" w:rsidR="00AE7191" w:rsidRPr="001E2C69"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63D3E4D3" w14:textId="77777777" w:rsidR="00AE7191" w:rsidRPr="001E2C69" w:rsidRDefault="00AE7191" w:rsidP="00722885">
            <w:pPr>
              <w:pStyle w:val="Iauiue"/>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2FE5A6D" w14:textId="77777777" w:rsidR="00AE7191" w:rsidRPr="001E2C69"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02DFF765" w14:textId="77777777" w:rsidR="00AE7191" w:rsidRPr="001E2C69" w:rsidRDefault="00AE7191" w:rsidP="00722885">
            <w:pPr>
              <w:pStyle w:val="Iauiue"/>
              <w:jc w:val="both"/>
              <w:rPr>
                <w:color w:val="000000" w:themeColor="text1"/>
                <w:sz w:val="16"/>
                <w:szCs w:val="16"/>
              </w:rPr>
            </w:pPr>
          </w:p>
        </w:tc>
      </w:tr>
      <w:tr w:rsidR="001E2C69" w:rsidRPr="001E2C69" w14:paraId="5219B728"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7A336FC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w:t>
            </w:r>
          </w:p>
        </w:tc>
        <w:tc>
          <w:tcPr>
            <w:tcW w:w="1253" w:type="dxa"/>
            <w:tcBorders>
              <w:top w:val="single" w:sz="6" w:space="0" w:color="auto"/>
              <w:left w:val="single" w:sz="6" w:space="0" w:color="auto"/>
              <w:bottom w:val="single" w:sz="6" w:space="0" w:color="auto"/>
              <w:right w:val="single" w:sz="6" w:space="0" w:color="auto"/>
            </w:tcBorders>
          </w:tcPr>
          <w:p w14:paraId="2254053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Дороги </w:t>
            </w:r>
          </w:p>
        </w:tc>
        <w:tc>
          <w:tcPr>
            <w:tcW w:w="835" w:type="dxa"/>
            <w:tcBorders>
              <w:top w:val="single" w:sz="6" w:space="0" w:color="auto"/>
              <w:left w:val="single" w:sz="6" w:space="0" w:color="auto"/>
              <w:bottom w:val="single" w:sz="6" w:space="0" w:color="auto"/>
              <w:right w:val="single" w:sz="6" w:space="0" w:color="auto"/>
            </w:tcBorders>
          </w:tcPr>
          <w:p w14:paraId="0C58628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70 кл. </w:t>
            </w:r>
          </w:p>
        </w:tc>
        <w:tc>
          <w:tcPr>
            <w:tcW w:w="939" w:type="dxa"/>
            <w:tcBorders>
              <w:top w:val="single" w:sz="6" w:space="0" w:color="auto"/>
              <w:left w:val="single" w:sz="6" w:space="0" w:color="auto"/>
              <w:bottom w:val="single" w:sz="6" w:space="0" w:color="auto"/>
              <w:right w:val="single" w:sz="6" w:space="0" w:color="auto"/>
            </w:tcBorders>
          </w:tcPr>
          <w:p w14:paraId="35C979B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инж.час-ти ЮВФ майор Артемьев </w:t>
            </w:r>
          </w:p>
        </w:tc>
        <w:tc>
          <w:tcPr>
            <w:tcW w:w="939" w:type="dxa"/>
            <w:tcBorders>
              <w:top w:val="single" w:sz="6" w:space="0" w:color="auto"/>
              <w:left w:val="single" w:sz="6" w:space="0" w:color="auto"/>
              <w:bottom w:val="single" w:sz="6" w:space="0" w:color="auto"/>
              <w:right w:val="single" w:sz="6" w:space="0" w:color="auto"/>
            </w:tcBorders>
          </w:tcPr>
          <w:p w14:paraId="0D4F27B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саперы инж. ба-тальона</w:t>
            </w:r>
          </w:p>
        </w:tc>
        <w:tc>
          <w:tcPr>
            <w:tcW w:w="835" w:type="dxa"/>
            <w:tcBorders>
              <w:top w:val="single" w:sz="6" w:space="0" w:color="auto"/>
              <w:left w:val="single" w:sz="6" w:space="0" w:color="auto"/>
              <w:bottom w:val="single" w:sz="6" w:space="0" w:color="auto"/>
              <w:right w:val="single" w:sz="6" w:space="0" w:color="auto"/>
            </w:tcBorders>
          </w:tcPr>
          <w:p w14:paraId="30B26C58" w14:textId="77777777" w:rsidR="00AE7191" w:rsidRPr="001E2C69"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7F34AE7" w14:textId="77777777" w:rsidR="00AE7191" w:rsidRPr="001E2C69"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B8D5F1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1.9.42 </w:t>
            </w:r>
          </w:p>
        </w:tc>
        <w:tc>
          <w:tcPr>
            <w:tcW w:w="625" w:type="dxa"/>
            <w:tcBorders>
              <w:top w:val="single" w:sz="6" w:space="0" w:color="auto"/>
              <w:left w:val="single" w:sz="6" w:space="0" w:color="auto"/>
              <w:bottom w:val="single" w:sz="6" w:space="0" w:color="auto"/>
              <w:right w:val="single" w:sz="6" w:space="0" w:color="auto"/>
            </w:tcBorders>
          </w:tcPr>
          <w:p w14:paraId="59854FF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тн.</w:t>
            </w:r>
          </w:p>
        </w:tc>
        <w:tc>
          <w:tcPr>
            <w:tcW w:w="592" w:type="dxa"/>
            <w:tcBorders>
              <w:top w:val="single" w:sz="6" w:space="0" w:color="auto"/>
              <w:left w:val="single" w:sz="6" w:space="0" w:color="auto"/>
              <w:bottom w:val="single" w:sz="6" w:space="0" w:color="auto"/>
              <w:right w:val="single" w:sz="6" w:space="0" w:color="auto"/>
            </w:tcBorders>
          </w:tcPr>
          <w:p w14:paraId="6A599E6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400</w:t>
            </w:r>
          </w:p>
        </w:tc>
        <w:tc>
          <w:tcPr>
            <w:tcW w:w="592" w:type="dxa"/>
            <w:tcBorders>
              <w:top w:val="single" w:sz="6" w:space="0" w:color="auto"/>
              <w:left w:val="single" w:sz="6" w:space="0" w:color="auto"/>
              <w:bottom w:val="single" w:sz="6" w:space="0" w:color="auto"/>
              <w:right w:val="single" w:sz="6" w:space="0" w:color="auto"/>
            </w:tcBorders>
          </w:tcPr>
          <w:p w14:paraId="0B1FCACA" w14:textId="77777777" w:rsidR="00AE7191" w:rsidRPr="001E2C69" w:rsidRDefault="00AE7191" w:rsidP="00722885">
            <w:pPr>
              <w:pStyle w:val="Iauiue"/>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DB35F47" w14:textId="77777777" w:rsidR="00AE7191" w:rsidRPr="001E2C69"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455B13F7" w14:textId="77777777" w:rsidR="00AE7191" w:rsidRPr="001E2C69" w:rsidRDefault="00AE7191" w:rsidP="00722885">
            <w:pPr>
              <w:pStyle w:val="Iauiue"/>
              <w:jc w:val="both"/>
              <w:rPr>
                <w:color w:val="000000" w:themeColor="text1"/>
                <w:sz w:val="16"/>
                <w:szCs w:val="16"/>
              </w:rPr>
            </w:pPr>
          </w:p>
        </w:tc>
      </w:tr>
      <w:tr w:rsidR="001E2C69" w:rsidRPr="001E2C69" w14:paraId="74B19BCD"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3F945DD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w:t>
            </w:r>
          </w:p>
        </w:tc>
        <w:tc>
          <w:tcPr>
            <w:tcW w:w="1253" w:type="dxa"/>
            <w:tcBorders>
              <w:top w:val="single" w:sz="6" w:space="0" w:color="auto"/>
              <w:left w:val="single" w:sz="6" w:space="0" w:color="auto"/>
              <w:bottom w:val="single" w:sz="6" w:space="0" w:color="auto"/>
              <w:right w:val="single" w:sz="6" w:space="0" w:color="auto"/>
            </w:tcBorders>
          </w:tcPr>
          <w:p w14:paraId="39E1A31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Мосты </w:t>
            </w:r>
          </w:p>
        </w:tc>
        <w:tc>
          <w:tcPr>
            <w:tcW w:w="835" w:type="dxa"/>
            <w:tcBorders>
              <w:top w:val="single" w:sz="6" w:space="0" w:color="auto"/>
              <w:left w:val="single" w:sz="6" w:space="0" w:color="auto"/>
              <w:bottom w:val="single" w:sz="6" w:space="0" w:color="auto"/>
              <w:right w:val="single" w:sz="6" w:space="0" w:color="auto"/>
            </w:tcBorders>
          </w:tcPr>
          <w:p w14:paraId="203A0E29" w14:textId="77777777" w:rsidR="00AE7191" w:rsidRPr="001E2C69" w:rsidRDefault="00AE7191" w:rsidP="00722885">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3DF0D7" w14:textId="77777777" w:rsidR="00AE7191" w:rsidRPr="001E2C69" w:rsidRDefault="00AE7191" w:rsidP="00722885">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4D5FEA" w14:textId="77777777" w:rsidR="00AE7191" w:rsidRPr="001E2C69"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8657EE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w:t>
            </w:r>
          </w:p>
        </w:tc>
        <w:tc>
          <w:tcPr>
            <w:tcW w:w="835" w:type="dxa"/>
            <w:tcBorders>
              <w:top w:val="single" w:sz="6" w:space="0" w:color="auto"/>
              <w:left w:val="single" w:sz="6" w:space="0" w:color="auto"/>
              <w:bottom w:val="single" w:sz="6" w:space="0" w:color="auto"/>
              <w:right w:val="single" w:sz="6" w:space="0" w:color="auto"/>
            </w:tcBorders>
          </w:tcPr>
          <w:p w14:paraId="38C35205" w14:textId="77777777" w:rsidR="00AE7191" w:rsidRPr="001E2C69"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82E505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25.8.42 </w:t>
            </w:r>
          </w:p>
        </w:tc>
        <w:tc>
          <w:tcPr>
            <w:tcW w:w="625" w:type="dxa"/>
            <w:tcBorders>
              <w:top w:val="single" w:sz="6" w:space="0" w:color="auto"/>
              <w:left w:val="single" w:sz="6" w:space="0" w:color="auto"/>
              <w:bottom w:val="single" w:sz="6" w:space="0" w:color="auto"/>
              <w:right w:val="single" w:sz="6" w:space="0" w:color="auto"/>
            </w:tcBorders>
          </w:tcPr>
          <w:p w14:paraId="63CC571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1 тн. </w:t>
            </w:r>
          </w:p>
        </w:tc>
        <w:tc>
          <w:tcPr>
            <w:tcW w:w="592" w:type="dxa"/>
            <w:tcBorders>
              <w:top w:val="single" w:sz="6" w:space="0" w:color="auto"/>
              <w:left w:val="single" w:sz="6" w:space="0" w:color="auto"/>
              <w:bottom w:val="single" w:sz="6" w:space="0" w:color="auto"/>
              <w:right w:val="single" w:sz="6" w:space="0" w:color="auto"/>
            </w:tcBorders>
          </w:tcPr>
          <w:p w14:paraId="31351BF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50 </w:t>
            </w:r>
          </w:p>
        </w:tc>
        <w:tc>
          <w:tcPr>
            <w:tcW w:w="592" w:type="dxa"/>
            <w:tcBorders>
              <w:top w:val="single" w:sz="6" w:space="0" w:color="auto"/>
              <w:left w:val="single" w:sz="6" w:space="0" w:color="auto"/>
              <w:bottom w:val="single" w:sz="6" w:space="0" w:color="auto"/>
              <w:right w:val="single" w:sz="6" w:space="0" w:color="auto"/>
            </w:tcBorders>
          </w:tcPr>
          <w:p w14:paraId="5D7F999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w:t>
            </w:r>
          </w:p>
        </w:tc>
        <w:tc>
          <w:tcPr>
            <w:tcW w:w="730" w:type="dxa"/>
            <w:tcBorders>
              <w:top w:val="single" w:sz="6" w:space="0" w:color="auto"/>
              <w:left w:val="single" w:sz="6" w:space="0" w:color="auto"/>
              <w:bottom w:val="single" w:sz="6" w:space="0" w:color="auto"/>
              <w:right w:val="single" w:sz="6" w:space="0" w:color="auto"/>
            </w:tcBorders>
          </w:tcPr>
          <w:p w14:paraId="033335A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2000</w:t>
            </w:r>
          </w:p>
        </w:tc>
        <w:tc>
          <w:tcPr>
            <w:tcW w:w="592" w:type="dxa"/>
            <w:tcBorders>
              <w:top w:val="single" w:sz="6" w:space="0" w:color="auto"/>
              <w:left w:val="single" w:sz="6" w:space="0" w:color="auto"/>
              <w:bottom w:val="single" w:sz="6" w:space="0" w:color="auto"/>
              <w:right w:val="single" w:sz="6" w:space="0" w:color="auto"/>
            </w:tcBorders>
          </w:tcPr>
          <w:p w14:paraId="5E9E29AC" w14:textId="77777777" w:rsidR="00AE7191" w:rsidRPr="001E2C69" w:rsidRDefault="00AE7191" w:rsidP="00722885">
            <w:pPr>
              <w:pStyle w:val="Iauiue"/>
              <w:jc w:val="both"/>
              <w:rPr>
                <w:color w:val="000000" w:themeColor="text1"/>
                <w:sz w:val="16"/>
                <w:szCs w:val="16"/>
              </w:rPr>
            </w:pPr>
          </w:p>
        </w:tc>
      </w:tr>
      <w:tr w:rsidR="001E2C69" w:rsidRPr="001E2C69" w14:paraId="58F61F68"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5CB3030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w:t>
            </w:r>
          </w:p>
        </w:tc>
        <w:tc>
          <w:tcPr>
            <w:tcW w:w="1253" w:type="dxa"/>
            <w:tcBorders>
              <w:top w:val="single" w:sz="6" w:space="0" w:color="auto"/>
              <w:left w:val="single" w:sz="6" w:space="0" w:color="auto"/>
              <w:bottom w:val="single" w:sz="6" w:space="0" w:color="auto"/>
              <w:right w:val="single" w:sz="6" w:space="0" w:color="auto"/>
            </w:tcBorders>
          </w:tcPr>
          <w:p w14:paraId="5A88119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Отд. жилые здания </w:t>
            </w:r>
          </w:p>
        </w:tc>
        <w:tc>
          <w:tcPr>
            <w:tcW w:w="835" w:type="dxa"/>
            <w:tcBorders>
              <w:top w:val="single" w:sz="6" w:space="0" w:color="auto"/>
              <w:left w:val="single" w:sz="6" w:space="0" w:color="auto"/>
              <w:bottom w:val="single" w:sz="6" w:space="0" w:color="auto"/>
              <w:right w:val="single" w:sz="6" w:space="0" w:color="auto"/>
            </w:tcBorders>
          </w:tcPr>
          <w:p w14:paraId="3118875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50 об. </w:t>
            </w:r>
          </w:p>
        </w:tc>
        <w:tc>
          <w:tcPr>
            <w:tcW w:w="939" w:type="dxa"/>
            <w:tcBorders>
              <w:top w:val="single" w:sz="6" w:space="0" w:color="auto"/>
              <w:left w:val="single" w:sz="6" w:space="0" w:color="auto"/>
              <w:bottom w:val="single" w:sz="6" w:space="0" w:color="auto"/>
              <w:right w:val="single" w:sz="6" w:space="0" w:color="auto"/>
            </w:tcBorders>
          </w:tcPr>
          <w:p w14:paraId="150D874D" w14:textId="77777777" w:rsidR="00AE7191" w:rsidRPr="001E2C69" w:rsidRDefault="00AE7191" w:rsidP="00722885">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0C5543" w14:textId="77777777" w:rsidR="00AE7191" w:rsidRPr="001E2C69"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B2FBF56" w14:textId="77777777" w:rsidR="00AE7191" w:rsidRPr="001E2C69"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1CC1179" w14:textId="77777777" w:rsidR="00AE7191" w:rsidRPr="001E2C69"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CC7108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1.9.42 </w:t>
            </w:r>
          </w:p>
        </w:tc>
        <w:tc>
          <w:tcPr>
            <w:tcW w:w="625" w:type="dxa"/>
            <w:tcBorders>
              <w:top w:val="single" w:sz="6" w:space="0" w:color="auto"/>
              <w:left w:val="single" w:sz="6" w:space="0" w:color="auto"/>
              <w:bottom w:val="single" w:sz="6" w:space="0" w:color="auto"/>
              <w:right w:val="single" w:sz="6" w:space="0" w:color="auto"/>
            </w:tcBorders>
          </w:tcPr>
          <w:p w14:paraId="4BD195A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0,5</w:t>
            </w:r>
          </w:p>
        </w:tc>
        <w:tc>
          <w:tcPr>
            <w:tcW w:w="592" w:type="dxa"/>
            <w:tcBorders>
              <w:top w:val="single" w:sz="6" w:space="0" w:color="auto"/>
              <w:left w:val="single" w:sz="6" w:space="0" w:color="auto"/>
              <w:bottom w:val="single" w:sz="6" w:space="0" w:color="auto"/>
              <w:right w:val="single" w:sz="6" w:space="0" w:color="auto"/>
            </w:tcBorders>
          </w:tcPr>
          <w:p w14:paraId="4268437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100</w:t>
            </w:r>
          </w:p>
        </w:tc>
        <w:tc>
          <w:tcPr>
            <w:tcW w:w="592" w:type="dxa"/>
            <w:tcBorders>
              <w:top w:val="single" w:sz="6" w:space="0" w:color="auto"/>
              <w:left w:val="single" w:sz="6" w:space="0" w:color="auto"/>
              <w:bottom w:val="single" w:sz="6" w:space="0" w:color="auto"/>
              <w:right w:val="single" w:sz="6" w:space="0" w:color="auto"/>
            </w:tcBorders>
          </w:tcPr>
          <w:p w14:paraId="34F1022D" w14:textId="77777777" w:rsidR="00AE7191" w:rsidRPr="001E2C69" w:rsidRDefault="00AE7191" w:rsidP="00722885">
            <w:pPr>
              <w:pStyle w:val="Iauiue"/>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1CED38F0" w14:textId="77777777" w:rsidR="00AE7191" w:rsidRPr="001E2C69"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53AE18B1" w14:textId="77777777" w:rsidR="00AE7191" w:rsidRPr="001E2C69" w:rsidRDefault="00AE7191" w:rsidP="00722885">
            <w:pPr>
              <w:pStyle w:val="Iauiue"/>
              <w:jc w:val="both"/>
              <w:rPr>
                <w:color w:val="000000" w:themeColor="text1"/>
                <w:sz w:val="16"/>
                <w:szCs w:val="16"/>
              </w:rPr>
            </w:pPr>
          </w:p>
        </w:tc>
      </w:tr>
      <w:tr w:rsidR="001E2C69" w:rsidRPr="001E2C69" w14:paraId="599519E6"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751FC23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w:t>
            </w:r>
          </w:p>
        </w:tc>
        <w:tc>
          <w:tcPr>
            <w:tcW w:w="1253" w:type="dxa"/>
            <w:tcBorders>
              <w:top w:val="single" w:sz="6" w:space="0" w:color="auto"/>
              <w:left w:val="single" w:sz="6" w:space="0" w:color="auto"/>
              <w:bottom w:val="single" w:sz="6" w:space="0" w:color="auto"/>
              <w:right w:val="single" w:sz="6" w:space="0" w:color="auto"/>
            </w:tcBorders>
          </w:tcPr>
          <w:p w14:paraId="5E6A348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Управляемые и табельные противотанко-вые поля на окраинах </w:t>
            </w:r>
          </w:p>
        </w:tc>
        <w:tc>
          <w:tcPr>
            <w:tcW w:w="835" w:type="dxa"/>
            <w:tcBorders>
              <w:top w:val="single" w:sz="6" w:space="0" w:color="auto"/>
              <w:left w:val="single" w:sz="6" w:space="0" w:color="auto"/>
              <w:bottom w:val="single" w:sz="6" w:space="0" w:color="auto"/>
              <w:right w:val="single" w:sz="6" w:space="0" w:color="auto"/>
            </w:tcBorders>
          </w:tcPr>
          <w:p w14:paraId="2B6E381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40 кл. </w:t>
            </w:r>
          </w:p>
        </w:tc>
        <w:tc>
          <w:tcPr>
            <w:tcW w:w="939" w:type="dxa"/>
            <w:tcBorders>
              <w:top w:val="single" w:sz="6" w:space="0" w:color="auto"/>
              <w:left w:val="single" w:sz="6" w:space="0" w:color="auto"/>
              <w:bottom w:val="single" w:sz="6" w:space="0" w:color="auto"/>
              <w:right w:val="single" w:sz="6" w:space="0" w:color="auto"/>
            </w:tcBorders>
          </w:tcPr>
          <w:p w14:paraId="3E6BDA9F" w14:textId="77777777" w:rsidR="00AE7191" w:rsidRPr="001E2C69" w:rsidRDefault="00AE7191" w:rsidP="00722885">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AEEC0A" w14:textId="77777777" w:rsidR="00AE7191" w:rsidRPr="001E2C69"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3A21326" w14:textId="77777777" w:rsidR="00AE7191" w:rsidRPr="001E2C69"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BC578A3" w14:textId="77777777" w:rsidR="00AE7191" w:rsidRPr="001E2C69" w:rsidRDefault="00AE7191" w:rsidP="00722885">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1B1EB4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5.9.42 </w:t>
            </w:r>
          </w:p>
        </w:tc>
        <w:tc>
          <w:tcPr>
            <w:tcW w:w="625" w:type="dxa"/>
            <w:tcBorders>
              <w:top w:val="single" w:sz="6" w:space="0" w:color="auto"/>
              <w:left w:val="single" w:sz="6" w:space="0" w:color="auto"/>
              <w:bottom w:val="single" w:sz="6" w:space="0" w:color="auto"/>
              <w:right w:val="single" w:sz="6" w:space="0" w:color="auto"/>
            </w:tcBorders>
          </w:tcPr>
          <w:p w14:paraId="719B78D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 тн.</w:t>
            </w:r>
          </w:p>
        </w:tc>
        <w:tc>
          <w:tcPr>
            <w:tcW w:w="592" w:type="dxa"/>
            <w:tcBorders>
              <w:top w:val="single" w:sz="6" w:space="0" w:color="auto"/>
              <w:left w:val="single" w:sz="6" w:space="0" w:color="auto"/>
              <w:bottom w:val="single" w:sz="6" w:space="0" w:color="auto"/>
              <w:right w:val="single" w:sz="6" w:space="0" w:color="auto"/>
            </w:tcBorders>
          </w:tcPr>
          <w:p w14:paraId="747730C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w:t>
            </w:r>
          </w:p>
        </w:tc>
        <w:tc>
          <w:tcPr>
            <w:tcW w:w="592" w:type="dxa"/>
            <w:tcBorders>
              <w:top w:val="single" w:sz="6" w:space="0" w:color="auto"/>
              <w:left w:val="single" w:sz="6" w:space="0" w:color="auto"/>
              <w:bottom w:val="single" w:sz="6" w:space="0" w:color="auto"/>
              <w:right w:val="single" w:sz="6" w:space="0" w:color="auto"/>
            </w:tcBorders>
          </w:tcPr>
          <w:p w14:paraId="1B976BD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30</w:t>
            </w:r>
          </w:p>
        </w:tc>
        <w:tc>
          <w:tcPr>
            <w:tcW w:w="730" w:type="dxa"/>
            <w:tcBorders>
              <w:top w:val="single" w:sz="6" w:space="0" w:color="auto"/>
              <w:left w:val="single" w:sz="6" w:space="0" w:color="auto"/>
              <w:bottom w:val="single" w:sz="6" w:space="0" w:color="auto"/>
              <w:right w:val="single" w:sz="6" w:space="0" w:color="auto"/>
            </w:tcBorders>
          </w:tcPr>
          <w:p w14:paraId="1B118C80" w14:textId="77777777" w:rsidR="00AE7191" w:rsidRPr="001E2C69" w:rsidRDefault="00AE7191" w:rsidP="00722885">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0B47B91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5000</w:t>
            </w:r>
          </w:p>
        </w:tc>
      </w:tr>
      <w:tr w:rsidR="001E2C69" w:rsidRPr="001E2C69" w14:paraId="30C7D5CB" w14:textId="77777777" w:rsidTr="00CC5360">
        <w:trPr>
          <w:cantSplit/>
          <w:jc w:val="center"/>
        </w:trPr>
        <w:tc>
          <w:tcPr>
            <w:tcW w:w="835" w:type="dxa"/>
            <w:gridSpan w:val="8"/>
            <w:tcBorders>
              <w:top w:val="single" w:sz="6" w:space="0" w:color="auto"/>
              <w:left w:val="single" w:sz="6" w:space="0" w:color="auto"/>
              <w:bottom w:val="single" w:sz="6" w:space="0" w:color="auto"/>
              <w:right w:val="single" w:sz="6" w:space="0" w:color="auto"/>
            </w:tcBorders>
          </w:tcPr>
          <w:p w14:paraId="480F654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Всего:</w:t>
            </w:r>
          </w:p>
        </w:tc>
        <w:tc>
          <w:tcPr>
            <w:tcW w:w="625" w:type="dxa"/>
            <w:tcBorders>
              <w:top w:val="single" w:sz="6" w:space="0" w:color="auto"/>
              <w:left w:val="single" w:sz="6" w:space="0" w:color="auto"/>
              <w:bottom w:val="single" w:sz="6" w:space="0" w:color="auto"/>
              <w:right w:val="single" w:sz="6" w:space="0" w:color="auto"/>
            </w:tcBorders>
          </w:tcPr>
          <w:p w14:paraId="11ACE44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111,5</w:t>
            </w:r>
          </w:p>
        </w:tc>
        <w:tc>
          <w:tcPr>
            <w:tcW w:w="592" w:type="dxa"/>
            <w:tcBorders>
              <w:top w:val="single" w:sz="6" w:space="0" w:color="auto"/>
              <w:left w:val="single" w:sz="6" w:space="0" w:color="auto"/>
              <w:bottom w:val="single" w:sz="6" w:space="0" w:color="auto"/>
              <w:right w:val="single" w:sz="6" w:space="0" w:color="auto"/>
            </w:tcBorders>
          </w:tcPr>
          <w:p w14:paraId="30BF4ED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800</w:t>
            </w:r>
          </w:p>
        </w:tc>
        <w:tc>
          <w:tcPr>
            <w:tcW w:w="592" w:type="dxa"/>
            <w:tcBorders>
              <w:top w:val="single" w:sz="6" w:space="0" w:color="auto"/>
              <w:left w:val="single" w:sz="6" w:space="0" w:color="auto"/>
              <w:bottom w:val="single" w:sz="6" w:space="0" w:color="auto"/>
              <w:right w:val="single" w:sz="6" w:space="0" w:color="auto"/>
            </w:tcBorders>
          </w:tcPr>
          <w:p w14:paraId="363F708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285</w:t>
            </w:r>
          </w:p>
        </w:tc>
        <w:tc>
          <w:tcPr>
            <w:tcW w:w="730" w:type="dxa"/>
            <w:tcBorders>
              <w:top w:val="single" w:sz="6" w:space="0" w:color="auto"/>
              <w:left w:val="single" w:sz="6" w:space="0" w:color="auto"/>
              <w:bottom w:val="single" w:sz="6" w:space="0" w:color="auto"/>
              <w:right w:val="single" w:sz="6" w:space="0" w:color="auto"/>
            </w:tcBorders>
          </w:tcPr>
          <w:p w14:paraId="3ACCEB9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10000</w:t>
            </w:r>
          </w:p>
        </w:tc>
        <w:tc>
          <w:tcPr>
            <w:tcW w:w="592" w:type="dxa"/>
            <w:tcBorders>
              <w:top w:val="single" w:sz="6" w:space="0" w:color="auto"/>
              <w:left w:val="single" w:sz="6" w:space="0" w:color="auto"/>
              <w:bottom w:val="single" w:sz="6" w:space="0" w:color="auto"/>
              <w:right w:val="single" w:sz="6" w:space="0" w:color="auto"/>
            </w:tcBorders>
          </w:tcPr>
          <w:p w14:paraId="627800E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5000</w:t>
            </w:r>
          </w:p>
        </w:tc>
      </w:tr>
    </w:tbl>
    <w:p w14:paraId="7D619CD7" w14:textId="77777777" w:rsidR="00AE7191" w:rsidRPr="001E2C69" w:rsidRDefault="00AE7191" w:rsidP="00722885">
      <w:pPr>
        <w:pStyle w:val="Iauiue"/>
        <w:jc w:val="both"/>
        <w:rPr>
          <w:iCs/>
          <w:color w:val="000000" w:themeColor="text1"/>
          <w:sz w:val="16"/>
          <w:szCs w:val="16"/>
        </w:rPr>
      </w:pPr>
      <w:r w:rsidRPr="001E2C69">
        <w:rPr>
          <w:iCs/>
          <w:color w:val="000000" w:themeColor="text1"/>
          <w:sz w:val="16"/>
          <w:szCs w:val="16"/>
        </w:rPr>
        <w:t>ЦДНИВО, фонд 171, опись 1, дело 14, лист 92. Подлинник (9818).</w:t>
      </w:r>
    </w:p>
    <w:p w14:paraId="24CAEAF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Приложение к Постановлению Сталинградского Городского Комитета Обороны № 399 сс от 19 августа 1942 г </w:t>
      </w:r>
    </w:p>
    <w:tbl>
      <w:tblPr>
        <w:tblW w:w="0" w:type="auto"/>
        <w:jc w:val="center"/>
        <w:tblLayout w:type="fixed"/>
        <w:tblCellMar>
          <w:left w:w="0" w:type="dxa"/>
          <w:right w:w="0" w:type="dxa"/>
        </w:tblCellMar>
        <w:tblLook w:val="0000" w:firstRow="0" w:lastRow="0" w:firstColumn="0" w:lastColumn="0" w:noHBand="0" w:noVBand="0"/>
      </w:tblPr>
      <w:tblGrid>
        <w:gridCol w:w="5202"/>
        <w:gridCol w:w="4772"/>
      </w:tblGrid>
      <w:tr w:rsidR="001E2C69" w:rsidRPr="001E2C69" w14:paraId="17264B31" w14:textId="77777777" w:rsidTr="00CC5360">
        <w:trPr>
          <w:cantSplit/>
          <w:jc w:val="center"/>
        </w:trPr>
        <w:tc>
          <w:tcPr>
            <w:tcW w:w="5202" w:type="dxa"/>
            <w:tcBorders>
              <w:top w:val="nil"/>
              <w:left w:val="nil"/>
              <w:bottom w:val="nil"/>
              <w:right w:val="nil"/>
            </w:tcBorders>
          </w:tcPr>
          <w:p w14:paraId="17A550DD" w14:textId="77777777" w:rsidR="00AE7191" w:rsidRPr="001E2C69" w:rsidRDefault="00AE7191" w:rsidP="00722885">
            <w:pPr>
              <w:pStyle w:val="Iauiue"/>
              <w:jc w:val="both"/>
              <w:rPr>
                <w:color w:val="000000" w:themeColor="text1"/>
                <w:sz w:val="16"/>
                <w:szCs w:val="16"/>
              </w:rPr>
            </w:pPr>
            <w:r w:rsidRPr="001E2C69">
              <w:rPr>
                <w:iCs/>
                <w:color w:val="000000" w:themeColor="text1"/>
                <w:sz w:val="16"/>
                <w:szCs w:val="16"/>
              </w:rPr>
              <w:t>№ 2. Строго секретно.</w:t>
            </w:r>
          </w:p>
        </w:tc>
        <w:tc>
          <w:tcPr>
            <w:tcW w:w="4772" w:type="dxa"/>
            <w:tcBorders>
              <w:top w:val="nil"/>
              <w:left w:val="nil"/>
              <w:bottom w:val="nil"/>
              <w:right w:val="nil"/>
            </w:tcBorders>
          </w:tcPr>
          <w:p w14:paraId="3C1BF22C" w14:textId="77777777" w:rsidR="00AE7191" w:rsidRPr="001E2C69" w:rsidRDefault="00AE7191" w:rsidP="00722885">
            <w:pPr>
              <w:pStyle w:val="Iauiue"/>
              <w:jc w:val="both"/>
              <w:rPr>
                <w:color w:val="000000" w:themeColor="text1"/>
                <w:sz w:val="16"/>
                <w:szCs w:val="16"/>
              </w:rPr>
            </w:pPr>
            <w:r w:rsidRPr="001E2C69">
              <w:rPr>
                <w:iCs/>
                <w:color w:val="000000" w:themeColor="text1"/>
                <w:sz w:val="16"/>
                <w:szCs w:val="16"/>
              </w:rPr>
              <w:t>19 августа 1942 г.</w:t>
            </w:r>
          </w:p>
        </w:tc>
      </w:tr>
    </w:tbl>
    <w:p w14:paraId="331F5C0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Перечень объектов, подлежащих выводу из строя по гор. Сталинграду I очередь.</w:t>
      </w:r>
    </w:p>
    <w:tbl>
      <w:tblPr>
        <w:tblW w:w="0" w:type="auto"/>
        <w:jc w:val="center"/>
        <w:tblLayout w:type="fixed"/>
        <w:tblCellMar>
          <w:left w:w="0" w:type="dxa"/>
          <w:right w:w="0" w:type="dxa"/>
        </w:tblCellMar>
        <w:tblLook w:val="0000" w:firstRow="0" w:lastRow="0" w:firstColumn="0" w:lastColumn="0" w:noHBand="0" w:noVBand="0"/>
      </w:tblPr>
      <w:tblGrid>
        <w:gridCol w:w="3759"/>
        <w:gridCol w:w="3235"/>
        <w:gridCol w:w="3445"/>
      </w:tblGrid>
      <w:tr w:rsidR="001E2C69" w:rsidRPr="001E2C69" w14:paraId="2B09E631"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551A98D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Наименование объекта</w:t>
            </w:r>
          </w:p>
        </w:tc>
        <w:tc>
          <w:tcPr>
            <w:tcW w:w="3235" w:type="dxa"/>
            <w:tcBorders>
              <w:top w:val="single" w:sz="6" w:space="0" w:color="auto"/>
              <w:left w:val="single" w:sz="6" w:space="0" w:color="auto"/>
              <w:bottom w:val="single" w:sz="6" w:space="0" w:color="auto"/>
              <w:right w:val="single" w:sz="6" w:space="0" w:color="auto"/>
            </w:tcBorders>
          </w:tcPr>
          <w:p w14:paraId="786551B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Характер разрушений</w:t>
            </w:r>
          </w:p>
        </w:tc>
        <w:tc>
          <w:tcPr>
            <w:tcW w:w="3445" w:type="dxa"/>
            <w:tcBorders>
              <w:top w:val="single" w:sz="6" w:space="0" w:color="auto"/>
              <w:left w:val="single" w:sz="6" w:space="0" w:color="auto"/>
              <w:bottom w:val="single" w:sz="6" w:space="0" w:color="auto"/>
              <w:right w:val="single" w:sz="6" w:space="0" w:color="auto"/>
            </w:tcBorders>
          </w:tcPr>
          <w:p w14:paraId="61FC670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Технический руководитель по подготовке спецмероприятия</w:t>
            </w:r>
          </w:p>
        </w:tc>
      </w:tr>
      <w:tr w:rsidR="001E2C69" w:rsidRPr="001E2C69" w14:paraId="219A47AE" w14:textId="77777777" w:rsidTr="00CC5360">
        <w:trPr>
          <w:cantSplit/>
          <w:jc w:val="center"/>
        </w:trPr>
        <w:tc>
          <w:tcPr>
            <w:tcW w:w="3759" w:type="dxa"/>
            <w:gridSpan w:val="3"/>
            <w:tcBorders>
              <w:top w:val="single" w:sz="6" w:space="0" w:color="auto"/>
              <w:left w:val="single" w:sz="6" w:space="0" w:color="auto"/>
              <w:bottom w:val="single" w:sz="6" w:space="0" w:color="auto"/>
              <w:right w:val="single" w:sz="6" w:space="0" w:color="auto"/>
            </w:tcBorders>
          </w:tcPr>
          <w:p w14:paraId="35D0AD6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I группа</w:t>
            </w:r>
          </w:p>
        </w:tc>
      </w:tr>
      <w:tr w:rsidR="001E2C69" w:rsidRPr="001E2C69" w14:paraId="28C04D92"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36BC953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СТЗ</w:t>
            </w:r>
          </w:p>
        </w:tc>
        <w:tc>
          <w:tcPr>
            <w:tcW w:w="3235" w:type="dxa"/>
            <w:tcBorders>
              <w:top w:val="single" w:sz="6" w:space="0" w:color="auto"/>
              <w:left w:val="single" w:sz="6" w:space="0" w:color="auto"/>
              <w:bottom w:val="single" w:sz="6" w:space="0" w:color="auto"/>
              <w:right w:val="single" w:sz="6" w:space="0" w:color="auto"/>
            </w:tcBorders>
          </w:tcPr>
          <w:p w14:paraId="7BB4F88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подрывание</w:t>
            </w:r>
            <w:r w:rsidRPr="001E2C69">
              <w:rPr>
                <w:color w:val="000000" w:themeColor="text1"/>
                <w:sz w:val="16"/>
                <w:szCs w:val="16"/>
              </w:rPr>
              <w:br/>
              <w:t xml:space="preserve">минирование сжигание </w:t>
            </w:r>
          </w:p>
        </w:tc>
        <w:tc>
          <w:tcPr>
            <w:tcW w:w="3445" w:type="dxa"/>
            <w:tcBorders>
              <w:top w:val="single" w:sz="6" w:space="0" w:color="auto"/>
              <w:left w:val="single" w:sz="6" w:space="0" w:color="auto"/>
              <w:bottom w:val="single" w:sz="6" w:space="0" w:color="auto"/>
              <w:right w:val="single" w:sz="6" w:space="0" w:color="auto"/>
            </w:tcBorders>
          </w:tcPr>
          <w:p w14:paraId="68AF50E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майор Гольдберг</w:t>
            </w:r>
          </w:p>
        </w:tc>
      </w:tr>
      <w:tr w:rsidR="001E2C69" w:rsidRPr="001E2C69" w14:paraId="58411019"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746C99B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221</w:t>
            </w:r>
          </w:p>
        </w:tc>
        <w:tc>
          <w:tcPr>
            <w:tcW w:w="3235" w:type="dxa"/>
            <w:tcBorders>
              <w:top w:val="single" w:sz="6" w:space="0" w:color="auto"/>
              <w:left w:val="single" w:sz="6" w:space="0" w:color="auto"/>
              <w:bottom w:val="single" w:sz="6" w:space="0" w:color="auto"/>
              <w:right w:val="single" w:sz="6" w:space="0" w:color="auto"/>
            </w:tcBorders>
          </w:tcPr>
          <w:p w14:paraId="05525D8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тоже</w:t>
            </w:r>
          </w:p>
        </w:tc>
        <w:tc>
          <w:tcPr>
            <w:tcW w:w="3445" w:type="dxa"/>
            <w:tcBorders>
              <w:top w:val="single" w:sz="6" w:space="0" w:color="auto"/>
              <w:left w:val="single" w:sz="6" w:space="0" w:color="auto"/>
              <w:bottom w:val="single" w:sz="6" w:space="0" w:color="auto"/>
              <w:right w:val="single" w:sz="6" w:space="0" w:color="auto"/>
            </w:tcBorders>
          </w:tcPr>
          <w:p w14:paraId="43DB89C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тоже</w:t>
            </w:r>
          </w:p>
        </w:tc>
      </w:tr>
      <w:tr w:rsidR="001E2C69" w:rsidRPr="001E2C69" w14:paraId="5FE4E29B"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53137E8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“Красный Октябрь”</w:t>
            </w:r>
          </w:p>
        </w:tc>
        <w:tc>
          <w:tcPr>
            <w:tcW w:w="3235" w:type="dxa"/>
            <w:tcBorders>
              <w:top w:val="single" w:sz="6" w:space="0" w:color="auto"/>
              <w:left w:val="single" w:sz="6" w:space="0" w:color="auto"/>
              <w:bottom w:val="single" w:sz="6" w:space="0" w:color="auto"/>
              <w:right w:val="single" w:sz="6" w:space="0" w:color="auto"/>
            </w:tcBorders>
          </w:tcPr>
          <w:p w14:paraId="2DE8D22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тоже</w:t>
            </w:r>
          </w:p>
        </w:tc>
        <w:tc>
          <w:tcPr>
            <w:tcW w:w="3445" w:type="dxa"/>
            <w:tcBorders>
              <w:top w:val="single" w:sz="6" w:space="0" w:color="auto"/>
              <w:left w:val="single" w:sz="6" w:space="0" w:color="auto"/>
              <w:bottom w:val="single" w:sz="6" w:space="0" w:color="auto"/>
              <w:right w:val="single" w:sz="6" w:space="0" w:color="auto"/>
            </w:tcBorders>
          </w:tcPr>
          <w:p w14:paraId="57D34AA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тоже</w:t>
            </w:r>
          </w:p>
        </w:tc>
      </w:tr>
      <w:tr w:rsidR="001E2C69" w:rsidRPr="001E2C69" w14:paraId="5B90E65C"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6AD635A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264</w:t>
            </w:r>
          </w:p>
        </w:tc>
        <w:tc>
          <w:tcPr>
            <w:tcW w:w="3235" w:type="dxa"/>
            <w:tcBorders>
              <w:top w:val="single" w:sz="6" w:space="0" w:color="auto"/>
              <w:left w:val="single" w:sz="6" w:space="0" w:color="auto"/>
              <w:bottom w:val="single" w:sz="6" w:space="0" w:color="auto"/>
              <w:right w:val="single" w:sz="6" w:space="0" w:color="auto"/>
            </w:tcBorders>
          </w:tcPr>
          <w:p w14:paraId="36D4AC8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подрывание</w:t>
            </w:r>
          </w:p>
        </w:tc>
        <w:tc>
          <w:tcPr>
            <w:tcW w:w="3445" w:type="dxa"/>
            <w:tcBorders>
              <w:top w:val="single" w:sz="6" w:space="0" w:color="auto"/>
              <w:left w:val="single" w:sz="6" w:space="0" w:color="auto"/>
              <w:bottom w:val="single" w:sz="6" w:space="0" w:color="auto"/>
              <w:right w:val="single" w:sz="6" w:space="0" w:color="auto"/>
            </w:tcBorders>
          </w:tcPr>
          <w:p w14:paraId="17EC33E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тоже</w:t>
            </w:r>
          </w:p>
        </w:tc>
      </w:tr>
      <w:tr w:rsidR="001E2C69" w:rsidRPr="001E2C69" w14:paraId="41ABC2A5"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60E23A6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91</w:t>
            </w:r>
          </w:p>
        </w:tc>
        <w:tc>
          <w:tcPr>
            <w:tcW w:w="3235" w:type="dxa"/>
            <w:tcBorders>
              <w:top w:val="single" w:sz="6" w:space="0" w:color="auto"/>
              <w:left w:val="single" w:sz="6" w:space="0" w:color="auto"/>
              <w:bottom w:val="single" w:sz="6" w:space="0" w:color="auto"/>
              <w:right w:val="single" w:sz="6" w:space="0" w:color="auto"/>
            </w:tcBorders>
          </w:tcPr>
          <w:p w14:paraId="61E7593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тоже</w:t>
            </w:r>
          </w:p>
        </w:tc>
        <w:tc>
          <w:tcPr>
            <w:tcW w:w="3445" w:type="dxa"/>
            <w:tcBorders>
              <w:top w:val="single" w:sz="6" w:space="0" w:color="auto"/>
              <w:left w:val="single" w:sz="6" w:space="0" w:color="auto"/>
              <w:bottom w:val="single" w:sz="6" w:space="0" w:color="auto"/>
              <w:right w:val="single" w:sz="6" w:space="0" w:color="auto"/>
            </w:tcBorders>
          </w:tcPr>
          <w:p w14:paraId="0357282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тоже</w:t>
            </w:r>
          </w:p>
        </w:tc>
      </w:tr>
      <w:tr w:rsidR="001E2C69" w:rsidRPr="001E2C69" w14:paraId="3BAA4D85"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75571E6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Сталэнергокомбинат</w:t>
            </w:r>
          </w:p>
        </w:tc>
        <w:tc>
          <w:tcPr>
            <w:tcW w:w="3235" w:type="dxa"/>
            <w:tcBorders>
              <w:top w:val="single" w:sz="6" w:space="0" w:color="auto"/>
              <w:left w:val="single" w:sz="6" w:space="0" w:color="auto"/>
              <w:bottom w:val="single" w:sz="6" w:space="0" w:color="auto"/>
              <w:right w:val="single" w:sz="6" w:space="0" w:color="auto"/>
            </w:tcBorders>
          </w:tcPr>
          <w:p w14:paraId="2A36A69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подрывание</w:t>
            </w:r>
            <w:r w:rsidRPr="001E2C69">
              <w:rPr>
                <w:color w:val="000000" w:themeColor="text1"/>
                <w:sz w:val="16"/>
                <w:szCs w:val="16"/>
              </w:rPr>
              <w:br/>
              <w:t xml:space="preserve">минирование </w:t>
            </w:r>
          </w:p>
        </w:tc>
        <w:tc>
          <w:tcPr>
            <w:tcW w:w="3445" w:type="dxa"/>
            <w:tcBorders>
              <w:top w:val="single" w:sz="6" w:space="0" w:color="auto"/>
              <w:left w:val="single" w:sz="6" w:space="0" w:color="auto"/>
              <w:bottom w:val="single" w:sz="6" w:space="0" w:color="auto"/>
              <w:right w:val="single" w:sz="6" w:space="0" w:color="auto"/>
            </w:tcBorders>
          </w:tcPr>
          <w:p w14:paraId="0DA2DAA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тоже</w:t>
            </w:r>
          </w:p>
        </w:tc>
      </w:tr>
      <w:tr w:rsidR="001E2C69" w:rsidRPr="001E2C69" w14:paraId="5AECFBBD"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0F6CCAE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Нефтебаза</w:t>
            </w:r>
            <w:r w:rsidRPr="001E2C69">
              <w:rPr>
                <w:color w:val="000000" w:themeColor="text1"/>
                <w:sz w:val="16"/>
                <w:szCs w:val="16"/>
              </w:rPr>
              <w:br/>
              <w:t>и масломазеваренный завод</w:t>
            </w:r>
          </w:p>
        </w:tc>
        <w:tc>
          <w:tcPr>
            <w:tcW w:w="3235" w:type="dxa"/>
            <w:tcBorders>
              <w:top w:val="single" w:sz="6" w:space="0" w:color="auto"/>
              <w:left w:val="single" w:sz="6" w:space="0" w:color="auto"/>
              <w:bottom w:val="single" w:sz="6" w:space="0" w:color="auto"/>
              <w:right w:val="single" w:sz="6" w:space="0" w:color="auto"/>
            </w:tcBorders>
          </w:tcPr>
          <w:p w14:paraId="5BB09C6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сжигание подрывание</w:t>
            </w:r>
          </w:p>
        </w:tc>
        <w:tc>
          <w:tcPr>
            <w:tcW w:w="3445" w:type="dxa"/>
            <w:tcBorders>
              <w:top w:val="single" w:sz="6" w:space="0" w:color="auto"/>
              <w:left w:val="single" w:sz="6" w:space="0" w:color="auto"/>
              <w:bottom w:val="single" w:sz="6" w:space="0" w:color="auto"/>
              <w:right w:val="single" w:sz="6" w:space="0" w:color="auto"/>
            </w:tcBorders>
          </w:tcPr>
          <w:p w14:paraId="216C831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тоже</w:t>
            </w:r>
          </w:p>
        </w:tc>
      </w:tr>
      <w:tr w:rsidR="001E2C69" w:rsidRPr="001E2C69" w14:paraId="476D2DB1"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5082765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Объекты связи</w:t>
            </w:r>
          </w:p>
        </w:tc>
        <w:tc>
          <w:tcPr>
            <w:tcW w:w="3235" w:type="dxa"/>
            <w:tcBorders>
              <w:top w:val="single" w:sz="6" w:space="0" w:color="auto"/>
              <w:left w:val="single" w:sz="6" w:space="0" w:color="auto"/>
              <w:bottom w:val="single" w:sz="6" w:space="0" w:color="auto"/>
              <w:right w:val="single" w:sz="6" w:space="0" w:color="auto"/>
            </w:tcBorders>
          </w:tcPr>
          <w:p w14:paraId="380220E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подрывание минирование</w:t>
            </w:r>
            <w:r w:rsidRPr="001E2C69">
              <w:rPr>
                <w:color w:val="000000" w:themeColor="text1"/>
                <w:sz w:val="16"/>
                <w:szCs w:val="16"/>
              </w:rPr>
              <w:br/>
              <w:t xml:space="preserve">сжигание </w:t>
            </w:r>
          </w:p>
        </w:tc>
        <w:tc>
          <w:tcPr>
            <w:tcW w:w="3445" w:type="dxa"/>
            <w:tcBorders>
              <w:top w:val="single" w:sz="6" w:space="0" w:color="auto"/>
              <w:left w:val="single" w:sz="6" w:space="0" w:color="auto"/>
              <w:bottom w:val="single" w:sz="6" w:space="0" w:color="auto"/>
              <w:right w:val="single" w:sz="6" w:space="0" w:color="auto"/>
            </w:tcBorders>
          </w:tcPr>
          <w:p w14:paraId="44B3F93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тоже</w:t>
            </w:r>
          </w:p>
        </w:tc>
      </w:tr>
      <w:tr w:rsidR="001E2C69" w:rsidRPr="001E2C69" w14:paraId="113E3B03" w14:textId="77777777" w:rsidTr="00CC5360">
        <w:trPr>
          <w:cantSplit/>
          <w:jc w:val="center"/>
        </w:trPr>
        <w:tc>
          <w:tcPr>
            <w:tcW w:w="3759" w:type="dxa"/>
            <w:gridSpan w:val="3"/>
            <w:tcBorders>
              <w:top w:val="single" w:sz="6" w:space="0" w:color="auto"/>
              <w:left w:val="single" w:sz="6" w:space="0" w:color="auto"/>
              <w:bottom w:val="single" w:sz="6" w:space="0" w:color="auto"/>
              <w:right w:val="single" w:sz="6" w:space="0" w:color="auto"/>
            </w:tcBorders>
          </w:tcPr>
          <w:p w14:paraId="427EB04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II группа</w:t>
            </w:r>
          </w:p>
        </w:tc>
      </w:tr>
      <w:tr w:rsidR="001E2C69" w:rsidRPr="001E2C69" w14:paraId="17F8F460"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1B6AAF0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Лесозавод им. Куйбышева</w:t>
            </w:r>
          </w:p>
        </w:tc>
        <w:tc>
          <w:tcPr>
            <w:tcW w:w="3235" w:type="dxa"/>
            <w:tcBorders>
              <w:top w:val="single" w:sz="6" w:space="0" w:color="auto"/>
              <w:left w:val="single" w:sz="6" w:space="0" w:color="auto"/>
              <w:bottom w:val="single" w:sz="6" w:space="0" w:color="auto"/>
              <w:right w:val="single" w:sz="6" w:space="0" w:color="auto"/>
            </w:tcBorders>
          </w:tcPr>
          <w:p w14:paraId="66CA016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сжигание подрывание</w:t>
            </w:r>
          </w:p>
        </w:tc>
        <w:tc>
          <w:tcPr>
            <w:tcW w:w="3445" w:type="dxa"/>
            <w:tcBorders>
              <w:top w:val="single" w:sz="6" w:space="0" w:color="auto"/>
              <w:left w:val="single" w:sz="6" w:space="0" w:color="auto"/>
              <w:bottom w:val="single" w:sz="6" w:space="0" w:color="auto"/>
              <w:right w:val="single" w:sz="6" w:space="0" w:color="auto"/>
            </w:tcBorders>
          </w:tcPr>
          <w:p w14:paraId="6EA3AB8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майор Забавников</w:t>
            </w:r>
          </w:p>
        </w:tc>
      </w:tr>
      <w:tr w:rsidR="001E2C69" w:rsidRPr="001E2C69" w14:paraId="3027DB28"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44C3CA8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490 (планерный)</w:t>
            </w:r>
          </w:p>
        </w:tc>
        <w:tc>
          <w:tcPr>
            <w:tcW w:w="3235" w:type="dxa"/>
            <w:tcBorders>
              <w:top w:val="single" w:sz="6" w:space="0" w:color="auto"/>
              <w:left w:val="single" w:sz="6" w:space="0" w:color="auto"/>
              <w:bottom w:val="single" w:sz="6" w:space="0" w:color="auto"/>
              <w:right w:val="single" w:sz="6" w:space="0" w:color="auto"/>
            </w:tcBorders>
          </w:tcPr>
          <w:p w14:paraId="263DC46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тоже</w:t>
            </w:r>
          </w:p>
        </w:tc>
        <w:tc>
          <w:tcPr>
            <w:tcW w:w="3445" w:type="dxa"/>
            <w:tcBorders>
              <w:top w:val="single" w:sz="6" w:space="0" w:color="auto"/>
              <w:left w:val="single" w:sz="6" w:space="0" w:color="auto"/>
              <w:bottom w:val="single" w:sz="6" w:space="0" w:color="auto"/>
              <w:right w:val="single" w:sz="6" w:space="0" w:color="auto"/>
            </w:tcBorders>
          </w:tcPr>
          <w:p w14:paraId="2AA5A7E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тоже</w:t>
            </w:r>
          </w:p>
        </w:tc>
      </w:tr>
      <w:tr w:rsidR="001E2C69" w:rsidRPr="001E2C69" w14:paraId="50BA242E"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040F5FE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Гидролизный завод</w:t>
            </w:r>
          </w:p>
        </w:tc>
        <w:tc>
          <w:tcPr>
            <w:tcW w:w="3235" w:type="dxa"/>
            <w:tcBorders>
              <w:top w:val="single" w:sz="6" w:space="0" w:color="auto"/>
              <w:left w:val="single" w:sz="6" w:space="0" w:color="auto"/>
              <w:bottom w:val="single" w:sz="6" w:space="0" w:color="auto"/>
              <w:right w:val="single" w:sz="6" w:space="0" w:color="auto"/>
            </w:tcBorders>
          </w:tcPr>
          <w:p w14:paraId="5CDE061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подрывание</w:t>
            </w:r>
          </w:p>
        </w:tc>
        <w:tc>
          <w:tcPr>
            <w:tcW w:w="3445" w:type="dxa"/>
            <w:tcBorders>
              <w:top w:val="single" w:sz="6" w:space="0" w:color="auto"/>
              <w:left w:val="single" w:sz="6" w:space="0" w:color="auto"/>
              <w:bottom w:val="single" w:sz="6" w:space="0" w:color="auto"/>
              <w:right w:val="single" w:sz="6" w:space="0" w:color="auto"/>
            </w:tcBorders>
          </w:tcPr>
          <w:p w14:paraId="4C9D7C6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тоже</w:t>
            </w:r>
          </w:p>
        </w:tc>
      </w:tr>
      <w:tr w:rsidR="001E2C69" w:rsidRPr="001E2C69" w14:paraId="047A6CE4"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100ACB5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687 (массив. шин)</w:t>
            </w:r>
          </w:p>
        </w:tc>
        <w:tc>
          <w:tcPr>
            <w:tcW w:w="3235" w:type="dxa"/>
            <w:tcBorders>
              <w:top w:val="single" w:sz="6" w:space="0" w:color="auto"/>
              <w:left w:val="single" w:sz="6" w:space="0" w:color="auto"/>
              <w:bottom w:val="single" w:sz="6" w:space="0" w:color="auto"/>
              <w:right w:val="single" w:sz="6" w:space="0" w:color="auto"/>
            </w:tcBorders>
          </w:tcPr>
          <w:p w14:paraId="0928495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подрывание</w:t>
            </w:r>
          </w:p>
        </w:tc>
        <w:tc>
          <w:tcPr>
            <w:tcW w:w="3445" w:type="dxa"/>
            <w:tcBorders>
              <w:top w:val="single" w:sz="6" w:space="0" w:color="auto"/>
              <w:left w:val="single" w:sz="6" w:space="0" w:color="auto"/>
              <w:bottom w:val="single" w:sz="6" w:space="0" w:color="auto"/>
              <w:right w:val="single" w:sz="6" w:space="0" w:color="auto"/>
            </w:tcBorders>
          </w:tcPr>
          <w:p w14:paraId="6991411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тоже</w:t>
            </w:r>
          </w:p>
        </w:tc>
      </w:tr>
      <w:tr w:rsidR="001E2C69" w:rsidRPr="001E2C69" w14:paraId="376C1D6E"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67B02B6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Консервный завод</w:t>
            </w:r>
          </w:p>
        </w:tc>
        <w:tc>
          <w:tcPr>
            <w:tcW w:w="3235" w:type="dxa"/>
            <w:tcBorders>
              <w:top w:val="single" w:sz="6" w:space="0" w:color="auto"/>
              <w:left w:val="single" w:sz="6" w:space="0" w:color="auto"/>
              <w:bottom w:val="single" w:sz="6" w:space="0" w:color="auto"/>
              <w:right w:val="single" w:sz="6" w:space="0" w:color="auto"/>
            </w:tcBorders>
          </w:tcPr>
          <w:p w14:paraId="6C7D568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сжигание подрывание</w:t>
            </w:r>
          </w:p>
        </w:tc>
        <w:tc>
          <w:tcPr>
            <w:tcW w:w="3445" w:type="dxa"/>
            <w:tcBorders>
              <w:top w:val="single" w:sz="6" w:space="0" w:color="auto"/>
              <w:left w:val="single" w:sz="6" w:space="0" w:color="auto"/>
              <w:bottom w:val="single" w:sz="6" w:space="0" w:color="auto"/>
              <w:right w:val="single" w:sz="6" w:space="0" w:color="auto"/>
            </w:tcBorders>
          </w:tcPr>
          <w:p w14:paraId="1F6D193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тоже</w:t>
            </w:r>
          </w:p>
        </w:tc>
      </w:tr>
      <w:tr w:rsidR="001E2C69" w:rsidRPr="001E2C69" w14:paraId="391741A4"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49B1DA6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Силикатный завод</w:t>
            </w:r>
          </w:p>
        </w:tc>
        <w:tc>
          <w:tcPr>
            <w:tcW w:w="3235" w:type="dxa"/>
            <w:tcBorders>
              <w:top w:val="single" w:sz="6" w:space="0" w:color="auto"/>
              <w:left w:val="single" w:sz="6" w:space="0" w:color="auto"/>
              <w:bottom w:val="single" w:sz="6" w:space="0" w:color="auto"/>
              <w:right w:val="single" w:sz="6" w:space="0" w:color="auto"/>
            </w:tcBorders>
          </w:tcPr>
          <w:p w14:paraId="471397C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подрывание сжигание</w:t>
            </w:r>
          </w:p>
        </w:tc>
        <w:tc>
          <w:tcPr>
            <w:tcW w:w="3445" w:type="dxa"/>
            <w:tcBorders>
              <w:top w:val="single" w:sz="6" w:space="0" w:color="auto"/>
              <w:left w:val="single" w:sz="6" w:space="0" w:color="auto"/>
              <w:bottom w:val="single" w:sz="6" w:space="0" w:color="auto"/>
              <w:right w:val="single" w:sz="6" w:space="0" w:color="auto"/>
            </w:tcBorders>
          </w:tcPr>
          <w:p w14:paraId="55B26D4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тоже</w:t>
            </w:r>
          </w:p>
        </w:tc>
      </w:tr>
      <w:tr w:rsidR="001E2C69" w:rsidRPr="001E2C69" w14:paraId="382BDCC3"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4C3E0C4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Спирто-водочный завод</w:t>
            </w:r>
          </w:p>
        </w:tc>
        <w:tc>
          <w:tcPr>
            <w:tcW w:w="3235" w:type="dxa"/>
            <w:tcBorders>
              <w:top w:val="single" w:sz="6" w:space="0" w:color="auto"/>
              <w:left w:val="single" w:sz="6" w:space="0" w:color="auto"/>
              <w:bottom w:val="single" w:sz="6" w:space="0" w:color="auto"/>
              <w:right w:val="single" w:sz="6" w:space="0" w:color="auto"/>
            </w:tcBorders>
          </w:tcPr>
          <w:p w14:paraId="036A595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подрывание сжигание</w:t>
            </w:r>
          </w:p>
        </w:tc>
        <w:tc>
          <w:tcPr>
            <w:tcW w:w="3445" w:type="dxa"/>
            <w:tcBorders>
              <w:top w:val="single" w:sz="6" w:space="0" w:color="auto"/>
              <w:left w:val="single" w:sz="6" w:space="0" w:color="auto"/>
              <w:bottom w:val="single" w:sz="6" w:space="0" w:color="auto"/>
              <w:right w:val="single" w:sz="6" w:space="0" w:color="auto"/>
            </w:tcBorders>
          </w:tcPr>
          <w:p w14:paraId="21F1112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тоже</w:t>
            </w:r>
          </w:p>
        </w:tc>
      </w:tr>
    </w:tbl>
    <w:p w14:paraId="05C0E548" w14:textId="77777777" w:rsidR="00AE7191" w:rsidRPr="001E2C69" w:rsidRDefault="00AE7191" w:rsidP="00722885">
      <w:pPr>
        <w:pStyle w:val="Iauiue"/>
        <w:jc w:val="both"/>
        <w:rPr>
          <w:color w:val="000000" w:themeColor="text1"/>
          <w:sz w:val="16"/>
          <w:szCs w:val="16"/>
        </w:rPr>
      </w:pPr>
      <w:r w:rsidRPr="001E2C69">
        <w:rPr>
          <w:iCs/>
          <w:color w:val="000000" w:themeColor="text1"/>
          <w:sz w:val="16"/>
          <w:szCs w:val="16"/>
        </w:rPr>
        <w:t>ЦДНИВО, фонд 171, опись 1, дело 14, лист 93. Подлинник (9818/)</w:t>
      </w:r>
    </w:p>
    <w:p w14:paraId="5428B6B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Приложение к Постановлению Сталинградского Городского Комитета Обороны № 399 сс от 19 августа 1942 г </w:t>
      </w:r>
    </w:p>
    <w:tbl>
      <w:tblPr>
        <w:tblW w:w="0" w:type="auto"/>
        <w:jc w:val="center"/>
        <w:tblLayout w:type="fixed"/>
        <w:tblCellMar>
          <w:left w:w="0" w:type="dxa"/>
          <w:right w:w="0" w:type="dxa"/>
        </w:tblCellMar>
        <w:tblLook w:val="0000" w:firstRow="0" w:lastRow="0" w:firstColumn="0" w:lastColumn="0" w:noHBand="0" w:noVBand="0"/>
      </w:tblPr>
      <w:tblGrid>
        <w:gridCol w:w="5202"/>
        <w:gridCol w:w="4772"/>
      </w:tblGrid>
      <w:tr w:rsidR="001E2C69" w:rsidRPr="001E2C69" w14:paraId="2F1F0AAA" w14:textId="77777777" w:rsidTr="00CC5360">
        <w:trPr>
          <w:cantSplit/>
          <w:jc w:val="center"/>
        </w:trPr>
        <w:tc>
          <w:tcPr>
            <w:tcW w:w="5202" w:type="dxa"/>
            <w:tcBorders>
              <w:top w:val="nil"/>
              <w:left w:val="nil"/>
              <w:bottom w:val="nil"/>
              <w:right w:val="nil"/>
            </w:tcBorders>
          </w:tcPr>
          <w:p w14:paraId="38F6C08F" w14:textId="77777777" w:rsidR="00AE7191" w:rsidRPr="001E2C69" w:rsidRDefault="00AE7191" w:rsidP="00722885">
            <w:pPr>
              <w:pStyle w:val="Iauiue"/>
              <w:jc w:val="both"/>
              <w:rPr>
                <w:color w:val="000000" w:themeColor="text1"/>
                <w:sz w:val="16"/>
                <w:szCs w:val="16"/>
              </w:rPr>
            </w:pPr>
            <w:r w:rsidRPr="001E2C69">
              <w:rPr>
                <w:iCs/>
                <w:color w:val="000000" w:themeColor="text1"/>
                <w:sz w:val="16"/>
                <w:szCs w:val="16"/>
              </w:rPr>
              <w:t>№ 3. Строго секретно.</w:t>
            </w:r>
          </w:p>
        </w:tc>
        <w:tc>
          <w:tcPr>
            <w:tcW w:w="4772" w:type="dxa"/>
            <w:tcBorders>
              <w:top w:val="nil"/>
              <w:left w:val="nil"/>
              <w:bottom w:val="nil"/>
              <w:right w:val="nil"/>
            </w:tcBorders>
          </w:tcPr>
          <w:p w14:paraId="6D45F042" w14:textId="77777777" w:rsidR="00AE7191" w:rsidRPr="001E2C69" w:rsidRDefault="00AE7191" w:rsidP="00722885">
            <w:pPr>
              <w:pStyle w:val="Iauiue"/>
              <w:jc w:val="both"/>
              <w:rPr>
                <w:color w:val="000000" w:themeColor="text1"/>
                <w:sz w:val="16"/>
                <w:szCs w:val="16"/>
              </w:rPr>
            </w:pPr>
            <w:r w:rsidRPr="001E2C69">
              <w:rPr>
                <w:iCs/>
                <w:color w:val="000000" w:themeColor="text1"/>
                <w:sz w:val="16"/>
                <w:szCs w:val="16"/>
              </w:rPr>
              <w:t>19 августа 1942 г.</w:t>
            </w:r>
          </w:p>
        </w:tc>
      </w:tr>
    </w:tbl>
    <w:p w14:paraId="54E8EAC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Перечень объектов, подлежащих выводу из строя по гор. Сталинграду II очередь.</w:t>
      </w:r>
    </w:p>
    <w:tbl>
      <w:tblPr>
        <w:tblW w:w="0" w:type="auto"/>
        <w:jc w:val="center"/>
        <w:tblLayout w:type="fixed"/>
        <w:tblCellMar>
          <w:left w:w="0" w:type="dxa"/>
          <w:right w:w="0" w:type="dxa"/>
        </w:tblCellMar>
        <w:tblLook w:val="0000" w:firstRow="0" w:lastRow="0" w:firstColumn="0" w:lastColumn="0" w:noHBand="0" w:noVBand="0"/>
      </w:tblPr>
      <w:tblGrid>
        <w:gridCol w:w="3759"/>
        <w:gridCol w:w="3235"/>
        <w:gridCol w:w="3445"/>
      </w:tblGrid>
      <w:tr w:rsidR="001E2C69" w:rsidRPr="001E2C69" w14:paraId="4A7C3A79"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0684D2E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Наименование объекта</w:t>
            </w:r>
          </w:p>
        </w:tc>
        <w:tc>
          <w:tcPr>
            <w:tcW w:w="3235" w:type="dxa"/>
            <w:tcBorders>
              <w:top w:val="single" w:sz="6" w:space="0" w:color="auto"/>
              <w:left w:val="single" w:sz="6" w:space="0" w:color="auto"/>
              <w:bottom w:val="single" w:sz="6" w:space="0" w:color="auto"/>
              <w:right w:val="single" w:sz="6" w:space="0" w:color="auto"/>
            </w:tcBorders>
          </w:tcPr>
          <w:p w14:paraId="309AC6C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Характер разрушений</w:t>
            </w:r>
          </w:p>
        </w:tc>
        <w:tc>
          <w:tcPr>
            <w:tcW w:w="3445" w:type="dxa"/>
            <w:tcBorders>
              <w:top w:val="single" w:sz="6" w:space="0" w:color="auto"/>
              <w:left w:val="single" w:sz="6" w:space="0" w:color="auto"/>
              <w:bottom w:val="single" w:sz="6" w:space="0" w:color="auto"/>
              <w:right w:val="single" w:sz="6" w:space="0" w:color="auto"/>
            </w:tcBorders>
          </w:tcPr>
          <w:p w14:paraId="3CC7726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Технический руководитель по подготовке спецмероприятия</w:t>
            </w:r>
          </w:p>
        </w:tc>
      </w:tr>
      <w:tr w:rsidR="001E2C69" w:rsidRPr="001E2C69" w14:paraId="18B60EC3"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1ADC0D2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Метизный завод</w:t>
            </w:r>
          </w:p>
        </w:tc>
        <w:tc>
          <w:tcPr>
            <w:tcW w:w="3235" w:type="dxa"/>
            <w:tcBorders>
              <w:top w:val="single" w:sz="6" w:space="0" w:color="auto"/>
              <w:left w:val="single" w:sz="6" w:space="0" w:color="auto"/>
              <w:bottom w:val="single" w:sz="6" w:space="0" w:color="auto"/>
              <w:right w:val="single" w:sz="6" w:space="0" w:color="auto"/>
            </w:tcBorders>
          </w:tcPr>
          <w:p w14:paraId="06F03DF3" w14:textId="77777777" w:rsidR="00AE7191" w:rsidRPr="001E2C69" w:rsidRDefault="00AE7191" w:rsidP="00722885">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49854508" w14:textId="77777777" w:rsidR="00AE7191" w:rsidRPr="001E2C69" w:rsidRDefault="00AE7191" w:rsidP="00722885">
            <w:pPr>
              <w:pStyle w:val="Iauiue"/>
              <w:jc w:val="both"/>
              <w:rPr>
                <w:color w:val="000000" w:themeColor="text1"/>
                <w:sz w:val="16"/>
                <w:szCs w:val="16"/>
              </w:rPr>
            </w:pPr>
          </w:p>
        </w:tc>
      </w:tr>
      <w:tr w:rsidR="001E2C69" w:rsidRPr="001E2C69" w14:paraId="64B22ED5"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1B6113E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Кислородный завод</w:t>
            </w:r>
          </w:p>
        </w:tc>
        <w:tc>
          <w:tcPr>
            <w:tcW w:w="3235" w:type="dxa"/>
            <w:tcBorders>
              <w:top w:val="single" w:sz="6" w:space="0" w:color="auto"/>
              <w:left w:val="single" w:sz="6" w:space="0" w:color="auto"/>
              <w:bottom w:val="single" w:sz="6" w:space="0" w:color="auto"/>
              <w:right w:val="single" w:sz="6" w:space="0" w:color="auto"/>
            </w:tcBorders>
          </w:tcPr>
          <w:p w14:paraId="764630B4" w14:textId="77777777" w:rsidR="00AE7191" w:rsidRPr="001E2C69" w:rsidRDefault="00AE7191" w:rsidP="00722885">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7DC75FC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Капитан Дворников</w:t>
            </w:r>
          </w:p>
        </w:tc>
      </w:tr>
      <w:tr w:rsidR="001E2C69" w:rsidRPr="001E2C69" w14:paraId="14CC6A2F"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22BB7D9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“Сакко и Ванцетти”</w:t>
            </w:r>
          </w:p>
        </w:tc>
        <w:tc>
          <w:tcPr>
            <w:tcW w:w="3235" w:type="dxa"/>
            <w:tcBorders>
              <w:top w:val="single" w:sz="6" w:space="0" w:color="auto"/>
              <w:left w:val="single" w:sz="6" w:space="0" w:color="auto"/>
              <w:bottom w:val="single" w:sz="6" w:space="0" w:color="auto"/>
              <w:right w:val="single" w:sz="6" w:space="0" w:color="auto"/>
            </w:tcBorders>
          </w:tcPr>
          <w:p w14:paraId="0DCEE0E1" w14:textId="77777777" w:rsidR="00AE7191" w:rsidRPr="001E2C69" w:rsidRDefault="00AE7191" w:rsidP="00722885">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5495E05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тоже</w:t>
            </w:r>
          </w:p>
        </w:tc>
      </w:tr>
      <w:tr w:rsidR="001E2C69" w:rsidRPr="001E2C69" w14:paraId="044D3A02"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01125B3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Нефтемашстрой и завод</w:t>
            </w:r>
            <w:r w:rsidRPr="001E2C69">
              <w:rPr>
                <w:color w:val="000000" w:themeColor="text1"/>
                <w:sz w:val="16"/>
                <w:szCs w:val="16"/>
              </w:rPr>
              <w:br/>
              <w:t>им. Петрова</w:t>
            </w:r>
          </w:p>
        </w:tc>
        <w:tc>
          <w:tcPr>
            <w:tcW w:w="3235" w:type="dxa"/>
            <w:tcBorders>
              <w:top w:val="single" w:sz="6" w:space="0" w:color="auto"/>
              <w:left w:val="single" w:sz="6" w:space="0" w:color="auto"/>
              <w:bottom w:val="single" w:sz="6" w:space="0" w:color="auto"/>
              <w:right w:val="single" w:sz="6" w:space="0" w:color="auto"/>
            </w:tcBorders>
          </w:tcPr>
          <w:p w14:paraId="384284DB" w14:textId="77777777" w:rsidR="00AE7191" w:rsidRPr="001E2C69" w:rsidRDefault="00AE7191" w:rsidP="00722885">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6AEF95A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тоже</w:t>
            </w:r>
          </w:p>
        </w:tc>
      </w:tr>
      <w:tr w:rsidR="001E2C69" w:rsidRPr="001E2C69" w14:paraId="49147C42"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21B7087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“Красная застава”</w:t>
            </w:r>
          </w:p>
        </w:tc>
        <w:tc>
          <w:tcPr>
            <w:tcW w:w="3235" w:type="dxa"/>
            <w:tcBorders>
              <w:top w:val="single" w:sz="6" w:space="0" w:color="auto"/>
              <w:left w:val="single" w:sz="6" w:space="0" w:color="auto"/>
              <w:bottom w:val="single" w:sz="6" w:space="0" w:color="auto"/>
              <w:right w:val="single" w:sz="6" w:space="0" w:color="auto"/>
            </w:tcBorders>
          </w:tcPr>
          <w:p w14:paraId="05CC7761" w14:textId="77777777" w:rsidR="00AE7191" w:rsidRPr="001E2C69" w:rsidRDefault="00AE7191" w:rsidP="00722885">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100C75E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тоже</w:t>
            </w:r>
          </w:p>
        </w:tc>
      </w:tr>
      <w:tr w:rsidR="001E2C69" w:rsidRPr="001E2C69" w14:paraId="6C9CE7AA"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31EFB92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Цех боеприпасов Упр.</w:t>
            </w:r>
            <w:r w:rsidRPr="001E2C69">
              <w:rPr>
                <w:color w:val="000000" w:themeColor="text1"/>
                <w:sz w:val="16"/>
                <w:szCs w:val="16"/>
              </w:rPr>
              <w:br/>
              <w:t>Трамвайного треста</w:t>
            </w:r>
          </w:p>
        </w:tc>
        <w:tc>
          <w:tcPr>
            <w:tcW w:w="3235" w:type="dxa"/>
            <w:tcBorders>
              <w:top w:val="single" w:sz="6" w:space="0" w:color="auto"/>
              <w:left w:val="single" w:sz="6" w:space="0" w:color="auto"/>
              <w:bottom w:val="single" w:sz="6" w:space="0" w:color="auto"/>
              <w:right w:val="single" w:sz="6" w:space="0" w:color="auto"/>
            </w:tcBorders>
          </w:tcPr>
          <w:p w14:paraId="54A0054F" w14:textId="77777777" w:rsidR="00AE7191" w:rsidRPr="001E2C69" w:rsidRDefault="00AE7191" w:rsidP="00722885">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19F87B3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тоже</w:t>
            </w:r>
          </w:p>
        </w:tc>
      </w:tr>
      <w:tr w:rsidR="001E2C69" w:rsidRPr="001E2C69" w14:paraId="2A11AF84"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5A70656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Водопровод</w:t>
            </w:r>
          </w:p>
        </w:tc>
        <w:tc>
          <w:tcPr>
            <w:tcW w:w="3235" w:type="dxa"/>
            <w:tcBorders>
              <w:top w:val="single" w:sz="6" w:space="0" w:color="auto"/>
              <w:left w:val="single" w:sz="6" w:space="0" w:color="auto"/>
              <w:bottom w:val="single" w:sz="6" w:space="0" w:color="auto"/>
              <w:right w:val="single" w:sz="6" w:space="0" w:color="auto"/>
            </w:tcBorders>
          </w:tcPr>
          <w:p w14:paraId="24EF4257" w14:textId="77777777" w:rsidR="00AE7191" w:rsidRPr="001E2C69" w:rsidRDefault="00AE7191" w:rsidP="00722885">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09D0CB3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тоже</w:t>
            </w:r>
          </w:p>
        </w:tc>
      </w:tr>
      <w:tr w:rsidR="001E2C69" w:rsidRPr="001E2C69" w14:paraId="12C32D48"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038711F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lastRenderedPageBreak/>
              <w:t>Мельзаводы № 4 и № 9</w:t>
            </w:r>
          </w:p>
        </w:tc>
        <w:tc>
          <w:tcPr>
            <w:tcW w:w="3235" w:type="dxa"/>
            <w:tcBorders>
              <w:top w:val="single" w:sz="6" w:space="0" w:color="auto"/>
              <w:left w:val="single" w:sz="6" w:space="0" w:color="auto"/>
              <w:bottom w:val="single" w:sz="6" w:space="0" w:color="auto"/>
              <w:right w:val="single" w:sz="6" w:space="0" w:color="auto"/>
            </w:tcBorders>
          </w:tcPr>
          <w:p w14:paraId="6FC87D8D" w14:textId="77777777" w:rsidR="00AE7191" w:rsidRPr="001E2C69" w:rsidRDefault="00AE7191" w:rsidP="00722885">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7985881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тоже</w:t>
            </w:r>
          </w:p>
        </w:tc>
      </w:tr>
      <w:tr w:rsidR="001E2C69" w:rsidRPr="001E2C69" w14:paraId="71A55E04"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64ACE2E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Хлебозаводы</w:t>
            </w:r>
          </w:p>
        </w:tc>
        <w:tc>
          <w:tcPr>
            <w:tcW w:w="3235" w:type="dxa"/>
            <w:tcBorders>
              <w:top w:val="single" w:sz="6" w:space="0" w:color="auto"/>
              <w:left w:val="single" w:sz="6" w:space="0" w:color="auto"/>
              <w:bottom w:val="single" w:sz="6" w:space="0" w:color="auto"/>
              <w:right w:val="single" w:sz="6" w:space="0" w:color="auto"/>
            </w:tcBorders>
          </w:tcPr>
          <w:p w14:paraId="578A4150" w14:textId="77777777" w:rsidR="00AE7191" w:rsidRPr="001E2C69" w:rsidRDefault="00AE7191" w:rsidP="00722885">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6DF8822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тоже</w:t>
            </w:r>
          </w:p>
        </w:tc>
      </w:tr>
      <w:tr w:rsidR="001E2C69" w:rsidRPr="001E2C69" w14:paraId="39ADD7D9"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7014AF7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Мясокомбинат</w:t>
            </w:r>
          </w:p>
        </w:tc>
        <w:tc>
          <w:tcPr>
            <w:tcW w:w="3235" w:type="dxa"/>
            <w:tcBorders>
              <w:top w:val="single" w:sz="6" w:space="0" w:color="auto"/>
              <w:left w:val="single" w:sz="6" w:space="0" w:color="auto"/>
              <w:bottom w:val="single" w:sz="6" w:space="0" w:color="auto"/>
              <w:right w:val="single" w:sz="6" w:space="0" w:color="auto"/>
            </w:tcBorders>
          </w:tcPr>
          <w:p w14:paraId="649C7DB6" w14:textId="77777777" w:rsidR="00AE7191" w:rsidRPr="001E2C69" w:rsidRDefault="00AE7191" w:rsidP="00722885">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628F975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тоже</w:t>
            </w:r>
          </w:p>
        </w:tc>
      </w:tr>
      <w:tr w:rsidR="001E2C69" w:rsidRPr="001E2C69" w14:paraId="1D09D9DC"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5D3E613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Холодильник</w:t>
            </w:r>
          </w:p>
        </w:tc>
        <w:tc>
          <w:tcPr>
            <w:tcW w:w="3235" w:type="dxa"/>
            <w:tcBorders>
              <w:top w:val="single" w:sz="6" w:space="0" w:color="auto"/>
              <w:left w:val="single" w:sz="6" w:space="0" w:color="auto"/>
              <w:bottom w:val="single" w:sz="6" w:space="0" w:color="auto"/>
              <w:right w:val="single" w:sz="6" w:space="0" w:color="auto"/>
            </w:tcBorders>
          </w:tcPr>
          <w:p w14:paraId="3D257751" w14:textId="77777777" w:rsidR="00AE7191" w:rsidRPr="001E2C69" w:rsidRDefault="00AE7191" w:rsidP="00722885">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615F389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тоже</w:t>
            </w:r>
          </w:p>
        </w:tc>
      </w:tr>
    </w:tbl>
    <w:p w14:paraId="1DF795D4" w14:textId="77777777" w:rsidR="00AE7191" w:rsidRPr="001E2C69" w:rsidRDefault="00AE7191" w:rsidP="00722885">
      <w:pPr>
        <w:pStyle w:val="Iauiue"/>
        <w:jc w:val="both"/>
        <w:rPr>
          <w:color w:val="000000" w:themeColor="text1"/>
          <w:sz w:val="16"/>
          <w:szCs w:val="16"/>
        </w:rPr>
      </w:pPr>
      <w:r w:rsidRPr="001E2C69">
        <w:rPr>
          <w:iCs/>
          <w:color w:val="000000" w:themeColor="text1"/>
          <w:sz w:val="16"/>
          <w:szCs w:val="16"/>
        </w:rPr>
        <w:t>ЦДНИВО, фонд 171, опись 1, дело 14, лист 94. Подлинник. (9818)</w:t>
      </w:r>
    </w:p>
    <w:p w14:paraId="3E3BB5BD" w14:textId="77777777" w:rsidR="00AE7191" w:rsidRPr="001E2C69" w:rsidRDefault="00AE7191" w:rsidP="00722885">
      <w:pPr>
        <w:pStyle w:val="Iauiue"/>
        <w:jc w:val="both"/>
        <w:rPr>
          <w:iCs/>
          <w:color w:val="000000" w:themeColor="text1"/>
          <w:sz w:val="16"/>
          <w:szCs w:val="16"/>
        </w:rPr>
      </w:pPr>
    </w:p>
    <w:p w14:paraId="13B7F7B1" w14:textId="77777777" w:rsidR="00055325" w:rsidRPr="001E2C69" w:rsidRDefault="00055325"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19 августа 1942 года представитель ГАБТУ КА полков</w:t>
      </w:r>
      <w:r w:rsidRPr="001E2C69">
        <w:rPr>
          <w:rFonts w:ascii="Times New Roman" w:cs="Times New Roman"/>
          <w:color w:val="000000" w:themeColor="text1"/>
          <w:spacing w:val="0"/>
        </w:rPr>
        <w:softHyphen/>
        <w:t>ник С. Афонин докладывал об этом замести</w:t>
      </w:r>
      <w:r w:rsidRPr="001E2C69">
        <w:rPr>
          <w:rFonts w:ascii="Times New Roman" w:cs="Times New Roman"/>
          <w:color w:val="000000" w:themeColor="text1"/>
          <w:spacing w:val="0"/>
        </w:rPr>
        <w:softHyphen/>
        <w:t>телю председателя ГКО В. Малышеву:</w:t>
      </w:r>
    </w:p>
    <w:p w14:paraId="13A60796" w14:textId="77777777" w:rsidR="00055325" w:rsidRPr="001E2C69" w:rsidRDefault="00055325"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 xml:space="preserve">«Кировский завод, изменив конструкцию башни танка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 стал перед фактом, что ог</w:t>
      </w:r>
      <w:r w:rsidRPr="001E2C69">
        <w:rPr>
          <w:rFonts w:ascii="Times New Roman" w:cs="Times New Roman"/>
          <w:color w:val="000000" w:themeColor="text1"/>
          <w:spacing w:val="0"/>
        </w:rPr>
        <w:softHyphen/>
        <w:t>немет АТО-41 в новую башню не помеща</w:t>
      </w:r>
      <w:r w:rsidRPr="001E2C69">
        <w:rPr>
          <w:rFonts w:ascii="Times New Roman" w:cs="Times New Roman"/>
          <w:color w:val="000000" w:themeColor="text1"/>
          <w:spacing w:val="0"/>
        </w:rPr>
        <w:softHyphen/>
        <w:t>ется. Завод решил огнеметные танки делать со старой башней, а это ведет к тому, что вес танка не укладывается в 42500 кг.</w:t>
      </w:r>
    </w:p>
    <w:p w14:paraId="637DC781" w14:textId="77777777" w:rsidR="00055325" w:rsidRPr="001E2C69" w:rsidRDefault="00055325"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 данном случае я должен приостановить приемку танков КВ-8 впредь до решения это</w:t>
      </w:r>
      <w:r w:rsidRPr="001E2C69">
        <w:rPr>
          <w:rFonts w:ascii="Times New Roman" w:cs="Times New Roman"/>
          <w:color w:val="000000" w:themeColor="text1"/>
          <w:spacing w:val="0"/>
        </w:rPr>
        <w:softHyphen/>
        <w:t>го вопроса в Правительстве» (15226).</w:t>
      </w:r>
    </w:p>
    <w:p w14:paraId="6B5B7AAD" w14:textId="77777777" w:rsidR="00055325" w:rsidRPr="001E2C69" w:rsidRDefault="00055325" w:rsidP="00722885">
      <w:pPr>
        <w:pStyle w:val="27"/>
        <w:shd w:val="clear" w:color="auto" w:fill="auto"/>
        <w:spacing w:after="0" w:line="240" w:lineRule="auto"/>
        <w:ind w:firstLine="0"/>
        <w:rPr>
          <w:rFonts w:ascii="Times New Roman" w:cs="Times New Roman"/>
          <w:color w:val="000000" w:themeColor="text1"/>
          <w:spacing w:val="0"/>
        </w:rPr>
      </w:pPr>
    </w:p>
    <w:p w14:paraId="2F7E1E6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августа 1942 вышло Постановление ГКО № 2191 Об окончании строительства Новосибирского завода тяжелых станков и восстановлении производства крупных гидропрессов Наркомата станкостроения. РГАНИР, Фонд ГКО, д. 52, лл. 119-128, 129-141 (11012).</w:t>
      </w:r>
    </w:p>
    <w:p w14:paraId="14605FDC"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04A2E9F"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19 августа 1942 года вышел приказ № 609/105с НКБ и Наркомата стройматериалов</w:t>
      </w:r>
    </w:p>
    <w:p w14:paraId="48EB7057"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В соответствии с распоряжением СНК № 15542 – рс от 17 августа 1942 года в систему НКБ передается завод Силикатного кирпича в г. Люберцы (5909, 53).</w:t>
      </w:r>
    </w:p>
    <w:p w14:paraId="0B4186A3" w14:textId="77777777" w:rsidR="00AE7191" w:rsidRPr="001E2C69" w:rsidRDefault="00AE7191" w:rsidP="00722885">
      <w:pPr>
        <w:pStyle w:val="Iauiue"/>
        <w:tabs>
          <w:tab w:val="left" w:pos="11199"/>
        </w:tabs>
        <w:jc w:val="both"/>
        <w:rPr>
          <w:color w:val="000000" w:themeColor="text1"/>
          <w:sz w:val="16"/>
          <w:szCs w:val="16"/>
        </w:rPr>
      </w:pPr>
    </w:p>
    <w:p w14:paraId="6BD6C433"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2931C014" w14:textId="77777777" w:rsidR="00AE7191" w:rsidRPr="001E2C69" w:rsidRDefault="00AE7191" w:rsidP="00722885">
      <w:pPr>
        <w:pStyle w:val="Iauiue"/>
        <w:jc w:val="both"/>
        <w:rPr>
          <w:iCs/>
          <w:color w:val="000000" w:themeColor="text1"/>
          <w:sz w:val="16"/>
          <w:szCs w:val="16"/>
        </w:rPr>
      </w:pPr>
    </w:p>
    <w:p w14:paraId="74A29A4D"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августа в 1942 году утреннее сообщение Совинформбюро:</w:t>
      </w:r>
    </w:p>
    <w:p w14:paraId="1D06706A"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19 августа наши войска вели бои с противником в районах юго-восточнее Клетская, северо-восточнее Котельниково, а также в районах Пятигорск и Краснодар.</w:t>
      </w:r>
    </w:p>
    <w:p w14:paraId="1B13507A"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4F03141D"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юго-восточнее Клетской наши войска продолжали вести упорные бои. Н-ская часть в течение дня отбила три атаки численно превосходящих сил противника. На поле боя немцы оставили 4 подбитых танка и более 300 трупов солдат и офицеров. Нашими бойцами захвачены несколько пулемётов, автоматы, винтовки и боеприпасы. На другом участке у населённого пункта наше подразделение уничтожило свыше 100 немецких автоматчиков.</w:t>
      </w:r>
    </w:p>
    <w:p w14:paraId="4427746D"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Командир подразделения лётчиков-истребителей старший лейтенант Козлов в воздушном бою сбил три немецких бомбардировщика. Тов. Козлов всего сбил уже 13 немецких самолётов и вместе с другими лётчиками 5 самолётов.</w:t>
      </w:r>
    </w:p>
    <w:p w14:paraId="38AA55E9"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наши разведывательные группы совершили ночной налёт на ближние тылы противника. Уничтожены 7 автомашин с военными грузами, прожекторная установка, 2 зенитных орудия и около 70 гитлеровцев, Н-ское подразделение, обороняющее населённый пункт, отбило атаку противника и уничтожило 150 немецких солдат и офицеров.</w:t>
      </w:r>
    </w:p>
    <w:p w14:paraId="79AE9D17"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Краснодара наши войска отбили несколько ожесточённых атак гитлеровцев. Разгромлен мотопехотный полк противника. Уничтожено много автомашини 7 немецких танков. На другом участке советская часть вела тяжелые бои спехотой и танками противника.</w:t>
      </w:r>
    </w:p>
    <w:p w14:paraId="3ACD6634"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Пятигорска наши войска вели бои с наступающим противником. Немцам удалось несколько потеснить наши войска. Внезапным налётом казаки нанесли гитлеровцам значительный урон, порубив до 300 немецких солдат и офицеров. Противник спешно подтягивает в этот район новые резервы.</w:t>
      </w:r>
    </w:p>
    <w:p w14:paraId="74D6B3A0"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Брянском фронте происходила артиллерийская перестрелка. Артиллерийская батарея, которой командует старший лейтенант тов. Мокеев, отбила 8 атак противника, уничтожила немецкий танк, 3 миномётные и одну артиллерийскую батареи и разрушила переправу через реку. Огнём артиллеристов истреблено не менее 500 немцев.</w:t>
      </w:r>
    </w:p>
    <w:p w14:paraId="6BB6000D"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Перешедший на сторону Красной Армии ефрейтор 96 немецкого артиллерийского полка Август П. заявил: «Мне хочется рассказать о нескольких фактах, свидетелем которых я был. Немецкие солдаты не просят и не берут, а отнимают у населения силой продукты и вещи. В селе Балаклея солдаты только одной батареи во главе собер-фельдфебелем Грюнбихлером отобрали у крестьян 59 голов рогатого скота. В одном колхозе солдаты ограбили всех жителей и избили многих крестьян до полусмерти за то, что они негостеприимно их встретили. 10 июня 1942 года врайоне Гракова в канаве мы нашли двух тяжело раненных красноармейцев. ЛейтенантКлейст приказал немедленно расстрелять их. На наших глазах обер-ефрейтор Фюрст прикончил их из пистолета. 28 июля я видел, как группа немецких солдат расстреляла 8 раненых и 6 здоровых русских военнопленных».</w:t>
      </w:r>
    </w:p>
    <w:p w14:paraId="402CE789"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Ефрейтор 7 роты 63 полка 17 немецкой танковой дивизии Алоиз Майер писал унтер-офицеру Якобу Шнейдеру: «Тони нет уже среди нас. Его настигла партизанская пуля... Мы больше двух месяцев воюем с партизанами, но до сих пор не имели никакого успеха. Смерть подстерегает нас на каждом шагу. Мы пережили очень тяжёлые дни и расстались со многими товарищами. Моя рота много раз пополнялась и за год потеряла свыше 300 человек».</w:t>
      </w:r>
    </w:p>
    <w:p w14:paraId="15BB5381"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захватчики угнали из села Николаевки, Курской области, на принудительные работы в Германию больше 100 мужчин и женщин. Жену красноармейца Любимцеву Пелагею Ивановну бандиты расстреляли только за то, что она отказалась поехать из родного села и бросить на произвол судьбы свою малолетнюю дочь.</w:t>
      </w:r>
    </w:p>
    <w:p w14:paraId="4E7F4272"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Получены новые сведения о деятельности партизанского отряда известного норвежского патриота Ларсена. Группа партизан этого отряда ночью ворвалась в штаб немецкой части. Патриоты перебили 10 офицеров, захватили их оружие, документы и скрылись. Несколько дней спустя отряд Ларсена пустил под откос железнодорожный поезд с немецкими и финскими солдатами. Когда поезд сошёл с рельсов, партизаны из пулемёта обстреляли выбегавших из вагонов гитлеровцев. Во время этой операции уничтожено свыше 150 вражеских солдат и офицеров.» (14988).</w:t>
      </w:r>
    </w:p>
    <w:p w14:paraId="0324ED4E"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3AB06D4D"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августа в 1942 году вечернее сообщение Совинформбюро:</w:t>
      </w:r>
    </w:p>
    <w:p w14:paraId="1D5E0402"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19 августа наши войска вели бои в районах юго-восточнее Клетская, северо-восточнее Котельниково, а также в районе Пятигорск. После упорных боёв, в ходе которых противнику нанесены большие потери в людях и технике, наши войска оставили город Краснодар.</w:t>
      </w:r>
    </w:p>
    <w:p w14:paraId="3ACC93D3"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554FC9FC"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18 августа частями нашей авиации на различных участках фронта уничтожено или повреждено 25 немецких танков и бронемашин, свыше 150 автомашин с войсками и грузами, до 60 повозок, 8 автоцистерн с горючим, взорваны 6 складов боеприпасови склад горючего, подавлен огонь 12 батарей полевой и зенитной артиллерии, разбито два железнодорожных эшелона, рассеяно и частью уничтожено до двух батальонов пехоты противника.</w:t>
      </w:r>
    </w:p>
    <w:p w14:paraId="7104BB8F"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юго-восточнее Клетской наши войска отбивали многочисленные атаки танков и пехоты противника. На участке Н-ского соединения немцы сосредоточили свыше сотни танков, действия которых непрерывно поддерживала авиация. В тяжёлых боях с врагом наши бойцы уничтожили 9 немецких танков, 11 орудий, 25 автомашин с войсками и истребили до 400 гитлеровцев. Кроме того, бойцы подразделения противотанковых ружей сожгли и вывели из строя 22 немецких танка.</w:t>
      </w:r>
    </w:p>
    <w:p w14:paraId="5D9C562F"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наши войска вели упорные бои против наступающих немецко-фашистских войск. Бойцы Н-ской части, отбивая атаку гитлеровцев, уничтожили 4 танка и свыше 200 солдат и офицеров противника. Около одной железнодорожной станции противнику силою до батальона удалось просочиться в тыл советским частям. Наши танкисты и автоматчики окружили и полностью истребили проникших в тыл гитлеровцев. Н-ское артиллерийское подразделение в течение дня уничтожило 2 немецких танка, 6 орудий и до 150 гитлеровцев.</w:t>
      </w:r>
    </w:p>
    <w:p w14:paraId="51A31F04"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Краснодара наши войска вели оборонительные бои. На участке Н-ского подразделения уничтожено 7 немецких танков и до 250 гитлеровцев. Успешно действовала одна кавалерийская часть. Советские конники предприняли несколько контратак и истребили до 300 немецких солдат и офицеров.</w:t>
      </w:r>
    </w:p>
    <w:p w14:paraId="79E9C367"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Пятигорска огнём, нашей артиллерии уничтожено 2 немецких танка, 3 броневика и свыше 100 солдат и офицеров противника.</w:t>
      </w:r>
    </w:p>
    <w:p w14:paraId="17FA364A"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Ленинградском фронте происходили бои местного значения. Активными действиями наших подразделений истреблено больше 200 немецких солдат и офицеров, уничтожено 3 орудия и 4 станковых пулемёта. Взяты пленные. Огнём артиллерии разрушено 8 немецких ДЗОТов, 9 блиндажей и землянок и несколько огневых точек. Сержанты Демьяненко и Поляков и красноармейцы тт. Матвеев, Рыбаков и Ладыгин форсировали реку и ворвались в немецкую траншею. Уничтожив нескольких солдат и офицеров, бойцы захватили пленных и благополучно вернулись в своё подразделение.</w:t>
      </w:r>
    </w:p>
    <w:p w14:paraId="75016FB3"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Волховского фронта противник пытался переправиться через реку. Огнём нашей артиллерии немцы были отброшены с большими для них потерями. Зенитной артиллерией сбит немецкий самолёт «Хеншель-126». Экипаж самолёта взят в плен.</w:t>
      </w:r>
    </w:p>
    <w:p w14:paraId="5327166B"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Партизаны из отряда тов. Л., действующего в одном из районов Калининской области, убили двух немецких солдат, охранявших железнодорожный участок. Гитлеровцы устроили похороны убитых. Партизаны обстреляли похоронную процессию и истребили ещё 18 немецко-фашистских оккупантов.</w:t>
      </w:r>
    </w:p>
    <w:p w14:paraId="1D93F265"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Немецкий ефрейтор Мартин Покле писал недавно солдату Вальтеру Веберу: «Придём ли мы когда-нибудь к нашей цели? Мне кажется, что мы всё больше от неё отдаляемся. Это приводит меня в отчаяние. Иногда просто трудно поверить, до чего упорны и настойчивы эти русские. Они организовали настоящую войну позади фронта, в нашем тылу. Благодаря огромным лесам и помощи населения партизаны имеют большие преимущества».</w:t>
      </w:r>
    </w:p>
    <w:p w14:paraId="4FC6D944"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Немецко-венгерский отряд учинил кровавую расправу над мирными жителями деревни Подгородняя Слободка, Орловской области. Немецкие и венгерские палачи закололи штыками и расстреляли 25 женщин, детей и стариков. Среди расстрелянных 87-летняя Дукачёва Екатерина, 70-летняя Репина Марфа Евтеевна, 67-летний Репин Федот и другие. Фашистские изверги убили колхозницу Хроменкову Пелагею Фёдоровну 36 лет, её дочь Наташу 9 лет, сыновей — Валю 11 лет, Колю 7 лет и Ваню 2 лет.</w:t>
      </w:r>
    </w:p>
    <w:p w14:paraId="1A89F7F9"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окрестностях города Пардубице (Чехословакия) чешские патриоты истребили 18 эсэсовцев, которые производили в деревнях обыски.» (14988).</w:t>
      </w:r>
    </w:p>
    <w:p w14:paraId="39FABF02"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637E885D"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августа в 1942 году началась героическая оборона Новороссийска. Противник выделил для захвата города 5 дивизий. Войска Новороссийского оборонительного района (НОР), созданного 17 августа (генерал-майор А.А.Гречко), уступали противнику в численности: по людям - в 4 раза, по орудиям и минометам - в 7 раз, по танкам и самолетам - в 2 раза. 19 августа немецко-фашистские войска начали наступление из района Краснодара на станицу Крымскую и на следующий день подошли к передовому рубежу НОР. Несмотря на превосходство противника в силах и средствах, войска 47-й армии (генерал-майор Г.П.Котов, с 8 сентября генерал-майор А.А.Гречко) и части морской пехоты, отразив атаки, не дали ему прорваться к городу и 25 августа остановили его наступление. Усилив наступающую группировку, противник к 10 сентября занял западную часть города. В ожесточенных боях советские войска 11 сентября остановили врага в юго-восточной части города. Несмотря на все усилия, врагу не удавалось прорваться в Закавказье по Черноморскому побережью. Указом Президиума Верховного Совета СССР от 14 сентября 1973 г. Новороссийску было присвоено почетное звание «Город-герой» и вручен орден Ленина и медаль «Золотая Звезда» (14988).</w:t>
      </w:r>
    </w:p>
    <w:p w14:paraId="0842536C"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7386FE78"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августа в 1942 году началась Синявинская наступательная операция войск Ленинградского (генерал-лейтенант артиллерии Л.А.Говоров) и Волховского (генерал армии К.А.Мерецков) фронтов при содействии сил Балтийского флота и Ладожской военной флотилии. Невская оперативная группа перешла в наступление на Синявино, 55-я армия — на Тосно (14988).</w:t>
      </w:r>
    </w:p>
    <w:p w14:paraId="1CDD3031"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14FE7548" w14:textId="77777777" w:rsidR="004A33F1" w:rsidRPr="001E2C69" w:rsidRDefault="004A33F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августа 1942 началась неудачная попытка разорвать блокаду Ленинграда в Синявино при поддержке ВВС -  советской 14 воздушной армии. Хотя 14-я воздушная армия имеет численное превосходство над противостоящими силами Люфтваффе два к одному, немцы сохраняют превосходство в воздухе в этом районе до тех пор, пока наступление не закончится 10 октября (20793).</w:t>
      </w:r>
    </w:p>
    <w:p w14:paraId="00E60801" w14:textId="77777777" w:rsidR="004A33F1" w:rsidRPr="001E2C69" w:rsidRDefault="004A33F1" w:rsidP="00722885">
      <w:pPr>
        <w:spacing w:after="0" w:line="240" w:lineRule="auto"/>
        <w:jc w:val="both"/>
        <w:rPr>
          <w:rFonts w:ascii="Times New Roman" w:hAnsi="Times New Roman"/>
          <w:color w:val="000000" w:themeColor="text1"/>
          <w:sz w:val="16"/>
          <w:szCs w:val="16"/>
        </w:rPr>
      </w:pPr>
    </w:p>
    <w:p w14:paraId="13CDAE5C" w14:textId="77777777" w:rsidR="004A33F1" w:rsidRPr="001E2C69" w:rsidRDefault="004A33F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eastAsia="Times New Roman" w:hAnsi="Times New Roman"/>
          <w:color w:val="000000" w:themeColor="text1"/>
          <w:sz w:val="16"/>
          <w:szCs w:val="16"/>
        </w:rPr>
        <w:t>В специальной директиве командующего ВВС РККА от 19.08.42 г. на имя генерала Т.Т. Хрюкина требовалось: «Все усилия авиации - штурмовой, истребительной и бомбардировочной направить на выполнение задачи - не допустить переправы противника через реку Дон на участке Задоно-Авиловский, Перепольный» (ЦАМО РФ, ф. 327, оп. 4999, д. 38, л. 92) (20186).</w:t>
      </w:r>
    </w:p>
    <w:p w14:paraId="54A6C867" w14:textId="77777777" w:rsidR="004A33F1" w:rsidRPr="001E2C69" w:rsidRDefault="004A33F1" w:rsidP="00722885">
      <w:pPr>
        <w:shd w:val="clear" w:color="auto" w:fill="FFFFFF"/>
        <w:spacing w:after="0" w:line="240" w:lineRule="auto"/>
        <w:jc w:val="both"/>
        <w:rPr>
          <w:rFonts w:ascii="Times New Roman" w:hAnsi="Times New Roman"/>
          <w:color w:val="000000" w:themeColor="text1"/>
          <w:sz w:val="16"/>
          <w:szCs w:val="16"/>
        </w:rPr>
      </w:pPr>
    </w:p>
    <w:p w14:paraId="6C8E7F2C"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августа в 1942 году немецкие войска возобновили наступление на сталинградском направлении, стремясь овладеть городом одновременными ударами с запада и юго-запада (14988).</w:t>
      </w:r>
    </w:p>
    <w:p w14:paraId="31B19DBE"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05FD4517"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августа в 1942 году ударная группировка противника (5-й немецкая армия и 7-й румынский кавалерийский корпус 17-й армии группы армий "А") перешла в наступление, нанося главный удар на Новороссийск и Анапу, вспомогательный — на Темрюк и Таманский полуостров (14988).</w:t>
      </w:r>
    </w:p>
    <w:p w14:paraId="60502645"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7DD917A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19 августа 1942 в специальной директиве командую</w:t>
      </w:r>
      <w:r w:rsidRPr="001E2C69">
        <w:rPr>
          <w:color w:val="000000" w:themeColor="text1"/>
          <w:sz w:val="16"/>
          <w:szCs w:val="16"/>
        </w:rPr>
        <w:softHyphen/>
        <w:t>щего ВВС КА на имя гене</w:t>
      </w:r>
      <w:r w:rsidRPr="001E2C69">
        <w:rPr>
          <w:color w:val="000000" w:themeColor="text1"/>
          <w:sz w:val="16"/>
          <w:szCs w:val="16"/>
        </w:rPr>
        <w:softHyphen/>
        <w:t xml:space="preserve">рала Т.Т.Хрюкина требовалось: </w:t>
      </w:r>
      <w:r w:rsidRPr="001E2C69">
        <w:rPr>
          <w:iCs/>
          <w:color w:val="000000" w:themeColor="text1"/>
          <w:sz w:val="16"/>
          <w:szCs w:val="16"/>
        </w:rPr>
        <w:t>"Все уси</w:t>
      </w:r>
      <w:r w:rsidRPr="001E2C69">
        <w:rPr>
          <w:iCs/>
          <w:color w:val="000000" w:themeColor="text1"/>
          <w:sz w:val="16"/>
          <w:szCs w:val="16"/>
        </w:rPr>
        <w:softHyphen/>
        <w:t>лия авиации - штурмовой, истребитель</w:t>
      </w:r>
      <w:r w:rsidRPr="001E2C69">
        <w:rPr>
          <w:iCs/>
          <w:color w:val="000000" w:themeColor="text1"/>
          <w:sz w:val="16"/>
          <w:szCs w:val="16"/>
        </w:rPr>
        <w:softHyphen/>
        <w:t>ной и бомбардировочной направить на выполнение задачи - не допустить пе</w:t>
      </w:r>
      <w:r w:rsidRPr="001E2C69">
        <w:rPr>
          <w:iCs/>
          <w:color w:val="000000" w:themeColor="text1"/>
          <w:sz w:val="16"/>
          <w:szCs w:val="16"/>
        </w:rPr>
        <w:softHyphen/>
        <w:t>реправы противника через реку Дон на участке Задоно-Авиловский, Переполь</w:t>
      </w:r>
      <w:r w:rsidRPr="001E2C69">
        <w:rPr>
          <w:iCs/>
          <w:color w:val="000000" w:themeColor="text1"/>
          <w:sz w:val="16"/>
          <w:szCs w:val="16"/>
        </w:rPr>
        <w:softHyphen/>
        <w:t xml:space="preserve">ный" </w:t>
      </w:r>
      <w:r w:rsidRPr="001E2C69">
        <w:rPr>
          <w:color w:val="000000" w:themeColor="text1"/>
          <w:sz w:val="16"/>
          <w:szCs w:val="16"/>
        </w:rPr>
        <w:t>(6467).</w:t>
      </w:r>
    </w:p>
    <w:p w14:paraId="0C6C7147" w14:textId="77777777" w:rsidR="00AE7191" w:rsidRPr="001E2C69" w:rsidRDefault="00AE7191" w:rsidP="00722885">
      <w:pPr>
        <w:pStyle w:val="Iauiue"/>
        <w:jc w:val="both"/>
        <w:rPr>
          <w:color w:val="000000" w:themeColor="text1"/>
          <w:sz w:val="16"/>
          <w:szCs w:val="16"/>
        </w:rPr>
      </w:pPr>
    </w:p>
    <w:p w14:paraId="374278F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19 августа 1942 г Паулюс отдал приказ по 6 армии о наступлении на Сталинград и его захвате (2261).</w:t>
      </w:r>
    </w:p>
    <w:p w14:paraId="0C26D90C" w14:textId="77777777" w:rsidR="00AE7191" w:rsidRPr="001E2C69" w:rsidRDefault="00AE7191" w:rsidP="00722885">
      <w:pPr>
        <w:pStyle w:val="Iauiue"/>
        <w:jc w:val="both"/>
        <w:rPr>
          <w:color w:val="000000" w:themeColor="text1"/>
          <w:sz w:val="16"/>
          <w:szCs w:val="16"/>
        </w:rPr>
      </w:pPr>
    </w:p>
    <w:p w14:paraId="496161D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C 19 августа по 26 сентября 1942 состоялась Новороссийская операция - совместная операция войск СКФ, ЗКФ и ЧФ - часть Битвы за Кавказ. Здесь и остановили (2438,457).</w:t>
      </w:r>
    </w:p>
    <w:p w14:paraId="37F490EA" w14:textId="77777777" w:rsidR="00AE7191" w:rsidRPr="001E2C69" w:rsidRDefault="00AE7191" w:rsidP="00722885">
      <w:pPr>
        <w:pStyle w:val="Iauiue"/>
        <w:jc w:val="both"/>
        <w:rPr>
          <w:color w:val="000000" w:themeColor="text1"/>
          <w:sz w:val="16"/>
          <w:szCs w:val="16"/>
        </w:rPr>
      </w:pPr>
    </w:p>
    <w:p w14:paraId="3C681FE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19 августа 1942 началась оборона Новороссийска СКФ, ЧМФ и АВФ. Новороссийский оборонительный район, созданный 17 августа, обороняли войска, уступавшие 2П и 3КД немцев по численности - в 4 раза, танкам и самолетам - 2 раза, орудиям и минометам - 7 раз. Остановили наступление 25 августа, однако 10 сентября немцы заняли западную часть города. далее 47А (А.А.Гречко) не пустила (3398,295).</w:t>
      </w:r>
    </w:p>
    <w:p w14:paraId="019B9711" w14:textId="77777777" w:rsidR="00AE7191" w:rsidRPr="001E2C69" w:rsidRDefault="00AE7191" w:rsidP="00722885">
      <w:pPr>
        <w:pStyle w:val="Iauiue"/>
        <w:jc w:val="both"/>
        <w:rPr>
          <w:color w:val="000000" w:themeColor="text1"/>
          <w:sz w:val="16"/>
          <w:szCs w:val="16"/>
        </w:rPr>
      </w:pPr>
    </w:p>
    <w:p w14:paraId="48FF0D9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С 19 августа по 26 сентября 1942 была оборона Новороссийска. </w:t>
      </w:r>
    </w:p>
    <w:p w14:paraId="7BBA20D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Войска Красной Армии, срывая планы немецко-фашистского командования прорваться в Закавказье и овладеть нефтеносными районами, в жестоких оборонительных боях остановили противника на новороссийском направлении. Новороссийская оборонительная операция, в которой участвовали войска Северо-Кавказского фронта, силы ЧФ и АВФ, явилась частью битвы за Кавказ. </w:t>
      </w:r>
    </w:p>
    <w:p w14:paraId="2E8AD77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Для объединения усилий сухопутных войск, авиации и флота в целях обороны Новороссийска и Тамани Ставкой ВГК 17.8 был создан Новороссийский оборонительный район (НОР). В его состав вошли войска 47-й армии (командующий генерал-майор Г. П. Котов, с 8.9 генерал-майор А. А. Гречко — командующий НОР), корабли и части АВФ (командующий контр-адмирал С. Г. Горшков — заместитель командующего НОР по морской части), силы Темрюкской, Керченской и Новороссийской ВМБ, сводная авиагруппа ЧФ, [315] а также 216-я стрелковая дивизия 56-й армии. В задачу НОР входило не допустить прорыва противника в Новороссийск ни с суши, ни с моря. Границы НОР: Анапа — станицы Крымская (Крымск), Абинская (Абинск) — Шапсугская — Фальшивый Геленджик. В его составе было около 15 тыс. человек. </w:t>
      </w:r>
    </w:p>
    <w:p w14:paraId="1F7981C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К началу наступления немецко-фашистских войск строительство оборонительных рубежей еще не было закончено, оно продолжалось во время боевых действий. Передовой рубеж проходил по левому берегу р. Кубань в 40–60 км от города, основной рубеж — в 25– 35 км и упирался флангами в море у Анапы и м. Дооб. Тыловой рубеж был в 10–24 км от города, рубеж прикрытия проходил по окраинам. </w:t>
      </w:r>
    </w:p>
    <w:p w14:paraId="1375291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Противник выделил для захвата Новороссийска 2 пехотные и 3 кавалерийские дивизии. Войска НОР уступали противнику в численности: по людям — в 4 раза, по орудиям и минометам — в 7, по танкам и самолетам — в 2 раза. </w:t>
      </w:r>
    </w:p>
    <w:p w14:paraId="10B6BAE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19.8 немецко-фашистские войска начали наступление из района Краснодара на Крымскую и на следующий день подошли к передовому рубежу НОР. Несмотря на превосходство противника в силах и средствах, войска 47-й армии и части морской пехоты, отразив атаки, не дали ему прорваться к городу и 25.8 приостановили его наступление. </w:t>
      </w:r>
    </w:p>
    <w:p w14:paraId="4D2D6F2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Перебросив часть сил с туапсинского направления, противник возобновил наступление на левом фланге, 31.8 наши войска были вынуждены оставить Анапу. Отрезанные от основных сил части морской пехоты оказывали героическое сопротивление в районах Темрюка, Варениковской, Красного Октября. Усилив наступающую группировку, противник занял часть Новороссийска. В ночь на 10.9 основные силы НОР отошли на восточную окраину города. Новороссийская ВМБ была переведена в Геленджик. В ожесточенных боях наши войска 11.9 остановили врага в юго-восточной части города, в районе цементных заводов и на рубеже гора Долгая, Адамовича Балка. Бои продолжались до 26.9, затем враг вынужден был перейти к обороне. </w:t>
      </w:r>
    </w:p>
    <w:p w14:paraId="630D5A2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При отражении наступления противника отличились 83-я отдельная морская стрелковая бригада, 1-я (с 18.9 255-я) бригада и батальоны морской пехоты. Большую огневую поддержку войскам НОР оказывали [316] корабли, береговая артиллерия и авиагруппа ЧФ. С 19.8 по 11.9 береговой артиллерией было произведено более 280 стрельб. В боях принимала активное участие и зенитная артиллерия. Авиагруппа НОР (112 самолетов) систематически наносила бомбоштурмовые удары по противнику, его кораблям и плавсредствам, отражала многочисленные налеты авиации на Новороссийск. Корабли и авиация ЧФ обеспечивали перевозки личного состава и воинских грузов к линии фронта. Действия кораблей и береговой артиллерии ЧФ с восточного побережья Цемесской бухты лишили противника возможности использовать Новороссийский порт для базирования кораблей и транспортов. </w:t>
      </w:r>
    </w:p>
    <w:p w14:paraId="1249164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период операции было выведено из строя 14 тыс. солдат и офицеров противника, уничтожено 47 танков, 25 самолетов, 95 орудий и минометов, 320 автомашин и др. В результате героических действий Красной Армии и ВМФ наступление немецко-фашистских войск в районе Новороссийска было остановлено. Несмотря на все усилия, врагу не удалось прорваться в Закавказье по Черноморскому побережью (11712).</w:t>
      </w:r>
    </w:p>
    <w:p w14:paraId="18E7DEBC"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258965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C 19 августа по 10 октября 1942 была Синявинская операция с целью прорыва блокады Ленинграда. Не смогли, но сорвали немецкое наступление (2443,124).</w:t>
      </w:r>
    </w:p>
    <w:p w14:paraId="6B8C1205" w14:textId="77777777" w:rsidR="00AE7191" w:rsidRPr="001E2C69" w:rsidRDefault="00AE7191" w:rsidP="00722885">
      <w:pPr>
        <w:pStyle w:val="Iauiue"/>
        <w:jc w:val="both"/>
        <w:rPr>
          <w:color w:val="000000" w:themeColor="text1"/>
          <w:sz w:val="16"/>
          <w:szCs w:val="16"/>
        </w:rPr>
      </w:pPr>
    </w:p>
    <w:p w14:paraId="779C2D2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19 августа по 14 сентября 1942 АДД по решению Ставки наносила удары по столицам Германии (27 и 30 августа и 10 сентября), Венгрии (5 и 10 сентября) и Румынии (14 сентября). Бомбили и Данциг, Варшаву, Кенигсберг, Штецин, Тильзит, Плоешти и др. (340,94).</w:t>
      </w:r>
    </w:p>
    <w:p w14:paraId="3D7DC56E" w14:textId="77777777" w:rsidR="00AE7191" w:rsidRPr="001E2C69" w:rsidRDefault="00AE7191" w:rsidP="00722885">
      <w:pPr>
        <w:pStyle w:val="Iauiue"/>
        <w:jc w:val="both"/>
        <w:rPr>
          <w:color w:val="000000" w:themeColor="text1"/>
          <w:sz w:val="16"/>
          <w:szCs w:val="16"/>
        </w:rPr>
      </w:pPr>
    </w:p>
    <w:p w14:paraId="1D0BDBB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19 августа 1942 Летчик Б.И.Кавзан совершил свой четвертый таран (274).</w:t>
      </w:r>
    </w:p>
    <w:p w14:paraId="6AF8AB48" w14:textId="77777777" w:rsidR="00AE7191" w:rsidRPr="001E2C69" w:rsidRDefault="00AE7191" w:rsidP="00722885">
      <w:pPr>
        <w:pStyle w:val="Iauiue"/>
        <w:jc w:val="both"/>
        <w:rPr>
          <w:color w:val="000000" w:themeColor="text1"/>
          <w:sz w:val="16"/>
          <w:szCs w:val="16"/>
        </w:rPr>
      </w:pPr>
    </w:p>
    <w:p w14:paraId="60CFE50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lastRenderedPageBreak/>
        <w:t>19 августа 1942 НКВМФ Н.Г.Кузнецов выпустил директиву N 518/НШ об использовании авиации ЧФ для прикрытия коммуникаций (2120).</w:t>
      </w:r>
    </w:p>
    <w:p w14:paraId="229187AC" w14:textId="77777777" w:rsidR="00AE7191" w:rsidRPr="001E2C69" w:rsidRDefault="00AE7191" w:rsidP="00722885">
      <w:pPr>
        <w:pStyle w:val="Iauiue"/>
        <w:jc w:val="both"/>
        <w:rPr>
          <w:color w:val="000000" w:themeColor="text1"/>
          <w:sz w:val="16"/>
          <w:szCs w:val="16"/>
        </w:rPr>
      </w:pPr>
    </w:p>
    <w:p w14:paraId="440E9452"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Внешняя политика:</w:t>
      </w:r>
    </w:p>
    <w:p w14:paraId="7E5CE886" w14:textId="77777777" w:rsidR="00AE7191" w:rsidRPr="001E2C69" w:rsidRDefault="00AE7191" w:rsidP="00722885">
      <w:pPr>
        <w:pStyle w:val="Iauiue"/>
        <w:jc w:val="both"/>
        <w:rPr>
          <w:iCs/>
          <w:color w:val="000000" w:themeColor="text1"/>
          <w:sz w:val="16"/>
          <w:szCs w:val="16"/>
        </w:rPr>
      </w:pPr>
    </w:p>
    <w:p w14:paraId="4D515B9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19 августа 1942 года было получено:</w:t>
      </w:r>
    </w:p>
    <w:p w14:paraId="45343E1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Ф. РУЗВЕЛЬТ И. В. СТАЛИНУ *</w:t>
      </w:r>
    </w:p>
    <w:p w14:paraId="00400BE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Я весьма сожалею, что я не смог принять участие с Вами и г-ном Черчиллем в совещаниях, которые недавно происходили в Москве. Неотложные нужды военного положения, в особенности поскольку речь идет о советско-германском фронте, хорошо мне известны.</w:t>
      </w:r>
    </w:p>
    <w:p w14:paraId="34161C5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Я считаю, что японцам будет трудно вытеснить нас с удобного пункта, который мы захватили в юго-западном районе Тихого океана. Хотя потери наших военно-морских сил в этом районе были значительными, успех, которого мы добились, оправдает их, и я могу заверить Вас, что мы будем развивать его энергичным образом. С другой стороны, я хорошо понимаю, что настоящим врагом обеих наших стран является Германия и что, возможно, в самом скором времени нашим обеим странам будет необходимо применить против Гитлера нашу мощь и силу. Вы можете быть уверены, что, как только в человеческих силах окажется возможным собрать транспортные средства, это будет сделано.</w:t>
      </w:r>
    </w:p>
    <w:p w14:paraId="4F4A645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Тем временем в течение августа из Соединенных Штатов в Советский Союз будет отправлено свыше тысячи танков, и в то же самое время отправляются другие стратегические материалы, включая самолеты.</w:t>
      </w:r>
    </w:p>
    <w:p w14:paraId="73F835F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Соединенные Штаты хорошо понимают тот факт, что Советский Союз несет основную тяжесть борьбы и самые большие потери на протяжении 1942 года, и я могу сообщить, что мы весьма восхищены великолепным сопротивлением, которое продемонстрировала Ваша страна. Мы придем к Вам на помощь по возможности скорее и по возможности большими силами, как только сможем это сделать, и я надеюсь, что Вы верите мне, когда я сообщаю Вам об этом (7430).</w:t>
      </w:r>
    </w:p>
    <w:p w14:paraId="143A64AD" w14:textId="77777777" w:rsidR="00AE7191" w:rsidRPr="001E2C69" w:rsidRDefault="00AE7191" w:rsidP="00722885">
      <w:pPr>
        <w:pStyle w:val="Iauiue"/>
        <w:jc w:val="both"/>
        <w:rPr>
          <w:color w:val="000000" w:themeColor="text1"/>
          <w:sz w:val="16"/>
          <w:szCs w:val="16"/>
        </w:rPr>
      </w:pPr>
    </w:p>
    <w:p w14:paraId="1F34F9B8"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4E5CDC83" w14:textId="77777777" w:rsidR="00AE7191" w:rsidRPr="001E2C69" w:rsidRDefault="00AE7191" w:rsidP="00722885">
      <w:pPr>
        <w:pStyle w:val="Iauiue"/>
        <w:jc w:val="both"/>
        <w:rPr>
          <w:iCs/>
          <w:color w:val="000000" w:themeColor="text1"/>
          <w:sz w:val="16"/>
          <w:szCs w:val="16"/>
        </w:rPr>
      </w:pPr>
    </w:p>
    <w:p w14:paraId="5B84712B" w14:textId="77777777" w:rsidR="00AE7191" w:rsidRPr="001E2C69" w:rsidRDefault="00AE7191" w:rsidP="00722885">
      <w:pPr>
        <w:pStyle w:val="Iauiue"/>
        <w:tabs>
          <w:tab w:val="left" w:pos="11199"/>
        </w:tabs>
        <w:jc w:val="both"/>
        <w:rPr>
          <w:color w:val="000000" w:themeColor="text1"/>
          <w:sz w:val="16"/>
          <w:szCs w:val="16"/>
          <w:lang w:val="en-US"/>
        </w:rPr>
      </w:pPr>
      <w:r w:rsidRPr="001E2C69">
        <w:rPr>
          <w:color w:val="000000" w:themeColor="text1"/>
          <w:sz w:val="16"/>
          <w:szCs w:val="16"/>
        </w:rPr>
        <w:t>19 августа 1942 5-тысячный отряд канадцев попытался высадиться в Дьеппе (Франция), но был уничтожен фашистами, после чего идея открытия “второго фронта” была отложена (4962). Однако</w:t>
      </w:r>
      <w:r w:rsidRPr="001E2C69">
        <w:rPr>
          <w:color w:val="000000" w:themeColor="text1"/>
          <w:sz w:val="16"/>
          <w:szCs w:val="16"/>
          <w:lang w:val="en-US"/>
        </w:rPr>
        <w:t xml:space="preserve">, </w:t>
      </w:r>
      <w:r w:rsidRPr="001E2C69">
        <w:rPr>
          <w:color w:val="000000" w:themeColor="text1"/>
          <w:sz w:val="16"/>
          <w:szCs w:val="16"/>
        </w:rPr>
        <w:t>взорвали</w:t>
      </w:r>
      <w:r w:rsidRPr="001E2C69">
        <w:rPr>
          <w:color w:val="000000" w:themeColor="text1"/>
          <w:sz w:val="16"/>
          <w:szCs w:val="16"/>
          <w:lang w:val="en-US"/>
        </w:rPr>
        <w:t xml:space="preserve"> 356 </w:t>
      </w:r>
      <w:r w:rsidRPr="001E2C69">
        <w:rPr>
          <w:color w:val="000000" w:themeColor="text1"/>
          <w:sz w:val="16"/>
          <w:szCs w:val="16"/>
        </w:rPr>
        <w:t>ммпушки</w:t>
      </w:r>
      <w:r w:rsidRPr="001E2C69">
        <w:rPr>
          <w:color w:val="000000" w:themeColor="text1"/>
          <w:sz w:val="16"/>
          <w:szCs w:val="16"/>
          <w:lang w:val="en-US"/>
        </w:rPr>
        <w:t xml:space="preserve">, </w:t>
      </w:r>
      <w:r w:rsidRPr="001E2C69">
        <w:rPr>
          <w:color w:val="000000" w:themeColor="text1"/>
          <w:sz w:val="16"/>
          <w:szCs w:val="16"/>
        </w:rPr>
        <w:t>предназначенныедляобстрелаАнглии</w:t>
      </w:r>
      <w:r w:rsidRPr="001E2C69">
        <w:rPr>
          <w:color w:val="000000" w:themeColor="text1"/>
          <w:sz w:val="16"/>
          <w:szCs w:val="16"/>
          <w:lang w:val="en-US"/>
        </w:rPr>
        <w:t xml:space="preserve"> (3961, 275).</w:t>
      </w:r>
    </w:p>
    <w:p w14:paraId="02F667D3" w14:textId="77777777" w:rsidR="00AE7191" w:rsidRPr="001E2C69" w:rsidRDefault="00AE7191" w:rsidP="00722885">
      <w:pPr>
        <w:pStyle w:val="Iauiue"/>
        <w:tabs>
          <w:tab w:val="left" w:pos="11199"/>
        </w:tabs>
        <w:jc w:val="both"/>
        <w:rPr>
          <w:color w:val="000000" w:themeColor="text1"/>
          <w:sz w:val="16"/>
          <w:szCs w:val="16"/>
          <w:lang w:val="en-US"/>
        </w:rPr>
      </w:pPr>
    </w:p>
    <w:p w14:paraId="41F9BE07"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lang w:val="en-US"/>
        </w:rPr>
        <w:t>19 August 1942 Allied forces raid at Dieppe and are forced to withdraw after heavy casualties (50%) (270).</w:t>
      </w:r>
    </w:p>
    <w:p w14:paraId="24FBEB1D" w14:textId="77777777" w:rsidR="00AE7191" w:rsidRPr="001E2C69" w:rsidRDefault="00AE7191" w:rsidP="00722885">
      <w:pPr>
        <w:pStyle w:val="Iauiue"/>
        <w:jc w:val="both"/>
        <w:rPr>
          <w:color w:val="000000" w:themeColor="text1"/>
          <w:sz w:val="16"/>
          <w:szCs w:val="16"/>
          <w:lang w:val="en-US"/>
        </w:rPr>
      </w:pPr>
    </w:p>
    <w:p w14:paraId="6F77767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19 августа 1942 союзники (англичане и канадцы) высадились в Диеппе, но были вынуждены отступить с тяжелыми потерями (270) и несмотря на поддержку танков всех захватили в плен (2245,8).</w:t>
      </w:r>
    </w:p>
    <w:p w14:paraId="5508EFF9" w14:textId="77777777" w:rsidR="00AE7191" w:rsidRPr="001E2C69" w:rsidRDefault="00AE7191" w:rsidP="00722885">
      <w:pPr>
        <w:pStyle w:val="Iauiue"/>
        <w:jc w:val="both"/>
        <w:rPr>
          <w:color w:val="000000" w:themeColor="text1"/>
          <w:sz w:val="16"/>
          <w:szCs w:val="16"/>
        </w:rPr>
      </w:pPr>
    </w:p>
    <w:p w14:paraId="52EB1293" w14:textId="77777777" w:rsidR="00FA7E38" w:rsidRPr="001E2C69" w:rsidRDefault="00FA7E3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августа 1942 г. канадские части и английские десантные отряды «коммандос» общей численностью в 6000 тыс. чел. высадились на побережье Франции в районе г. Дьеппа, где и находились в течение суток (16). В 1943 г. на проходившей в Вашингтоне с 12 по 15 мая конференции «Трайдент» руководители США и Великобритании вообще приняли решение о переносе начала операции на весну 1944 г. Примерно тогда данная операция («Оверлорд») и началась - 1 июня 1944 г. (19151).</w:t>
      </w:r>
    </w:p>
    <w:p w14:paraId="1F34798E" w14:textId="77777777" w:rsidR="00FA7E38" w:rsidRPr="001E2C69" w:rsidRDefault="00FA7E38" w:rsidP="00722885">
      <w:pPr>
        <w:spacing w:after="0" w:line="240" w:lineRule="auto"/>
        <w:jc w:val="both"/>
        <w:rPr>
          <w:rFonts w:ascii="Times New Roman" w:hAnsi="Times New Roman"/>
          <w:color w:val="000000" w:themeColor="text1"/>
          <w:sz w:val="16"/>
          <w:szCs w:val="16"/>
        </w:rPr>
      </w:pPr>
    </w:p>
    <w:p w14:paraId="3B28027F"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августа в 1942 году войска союзников высадили тактический десант на северном побереже Франции в районе города Дъепп. В задачу десанта входило разведать береговую оборону, захватить и уничтожить несколько береговых артиллерийских батарей, станции РЛС и аэродром. В операции участвовали 237 кораблей и десантных судов , с воздуха высадку прикрывали 780 самолётов. На берег были высажены 5000 солдат 1-й канадской пехотной дивизии и 2000 британских солдат. Кроме того в тылу немецких войск были высажены около 50 американских рейнджеров и бойцов "Свободной Франции". Общее командование сухопутными частями десанта осуществлял канадский генерал Джон Робертс. Вследствии отсутствия внезапности (десант был высажен на пару часов позже запланированного (высадка проишодила уже после рассвета) десант понёс тяжёлые потери и не смог полностью выполнить поставленные перед ним задачи. После почти 9-и часового боя остатки десанта были эвакуированы в Англию. Потери союзников составили 3600 человек убитыми и пленными, 106 самолётов, 30 танков, эсминец и 33 десантных суда (14988).</w:t>
      </w:r>
    </w:p>
    <w:p w14:paraId="08F487AD"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28059A8B" w14:textId="77777777" w:rsidR="00055325" w:rsidRPr="001E2C69" w:rsidRDefault="0005532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августа в 1942 году немецкие власти ввели в Эльзасе и Лотарингию всеобщую воинскую повинность (14988).</w:t>
      </w:r>
    </w:p>
    <w:p w14:paraId="7A067DCA" w14:textId="77777777" w:rsidR="00055325" w:rsidRPr="001E2C69" w:rsidRDefault="00055325" w:rsidP="00722885">
      <w:pPr>
        <w:spacing w:after="0" w:line="240" w:lineRule="auto"/>
        <w:jc w:val="both"/>
        <w:rPr>
          <w:rFonts w:ascii="Times New Roman" w:hAnsi="Times New Roman"/>
          <w:color w:val="000000" w:themeColor="text1"/>
          <w:sz w:val="16"/>
          <w:szCs w:val="16"/>
        </w:rPr>
      </w:pPr>
    </w:p>
    <w:p w14:paraId="6614B08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19 августа 1942 г Мантгомери был назначен командующим 8 армией в Северной Африке (3907,237).</w:t>
      </w:r>
    </w:p>
    <w:p w14:paraId="42C53EE0" w14:textId="77777777" w:rsidR="00AE7191" w:rsidRPr="001E2C69" w:rsidRDefault="00AE7191" w:rsidP="00722885">
      <w:pPr>
        <w:pStyle w:val="Iauiue"/>
        <w:jc w:val="both"/>
        <w:rPr>
          <w:color w:val="000000" w:themeColor="text1"/>
          <w:sz w:val="16"/>
          <w:szCs w:val="16"/>
        </w:rPr>
      </w:pPr>
    </w:p>
    <w:p w14:paraId="2409FFAD"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19 августа 1942 нацистский лидер Мартин Борман заявил, что славяне могут быть только рабами (4962).</w:t>
      </w:r>
    </w:p>
    <w:p w14:paraId="2EA263B2" w14:textId="77777777" w:rsidR="00AE7191" w:rsidRPr="001E2C69" w:rsidRDefault="00AE7191" w:rsidP="00722885">
      <w:pPr>
        <w:pStyle w:val="Iauiue"/>
        <w:tabs>
          <w:tab w:val="left" w:pos="11199"/>
        </w:tabs>
        <w:jc w:val="both"/>
        <w:rPr>
          <w:color w:val="000000" w:themeColor="text1"/>
          <w:sz w:val="16"/>
          <w:szCs w:val="16"/>
        </w:rPr>
      </w:pPr>
    </w:p>
    <w:p w14:paraId="26D760F5" w14:textId="77777777" w:rsidR="008B6F1B" w:rsidRPr="001E2C69" w:rsidRDefault="008B6F1B"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2FAF60CF" w14:textId="77777777" w:rsidR="008B6F1B" w:rsidRPr="001E2C69" w:rsidRDefault="008B6F1B" w:rsidP="00722885">
      <w:pPr>
        <w:pStyle w:val="Iauiue"/>
        <w:jc w:val="both"/>
        <w:rPr>
          <w:iCs/>
          <w:color w:val="000000" w:themeColor="text1"/>
          <w:sz w:val="16"/>
          <w:szCs w:val="16"/>
        </w:rPr>
      </w:pPr>
    </w:p>
    <w:p w14:paraId="7621BBD0" w14:textId="77777777" w:rsidR="008B6F1B" w:rsidRPr="001E2C69" w:rsidRDefault="008B6F1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К 20-м числам августа 1942 началась сборка первых КВ-1с. Таким образом, требование ГКО о переходе к 1 сентября на «КВ с командирскими башенками» удалось выполнить.</w:t>
      </w:r>
    </w:p>
    <w:p w14:paraId="072F19DF" w14:textId="77777777" w:rsidR="008B6F1B" w:rsidRPr="001E2C69" w:rsidRDefault="008B6F1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Самые первые серийные КВ-1с практически полностью копировали танк 15002, за исключением тех пунктов, которые требовалось исправить по итогам испытаний. Впрочем, внутри эти танки все же отличались. Дело в том, что согласно постановлению ГКО №1878 первые 25 КВ-1с предполагалось выпустить с 5-скоростными коробками передач. По факту же их было построено не меньше 39 штук (в это число входят и несколько КВ-1). Внешне эти танки от машин с 8-скоростными коробками передач не отличить.</w:t>
      </w:r>
    </w:p>
    <w:p w14:paraId="35002481" w14:textId="77777777" w:rsidR="008B6F1B" w:rsidRPr="001E2C69" w:rsidRDefault="008B6F1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Но с конца августа с конвейера стали сходить машины, которые явно отличались от второго опытного образца. В виду большого процента литьевого брака ЧКЗ был вынужден вместо облегченных опорных катков ставить на КВ-1с катки от КВ-1. Это поднимало боевую массу на 390 килограмм. Об этом Малышеву, который после понижения в должности остался в Государственном комитете обороны, 19 августа сообщили из Главного автобронетанкового управления Красной Армии (ГАБТУ КА). Кроме того, с сентября на танках перестали устанавливать поручни. Всего за август удалось выпустить 34 КВ-1с, а за сентябрь – 176 штук.</w:t>
      </w:r>
    </w:p>
    <w:p w14:paraId="61852DF2" w14:textId="77777777" w:rsidR="008B6F1B" w:rsidRPr="001E2C69" w:rsidRDefault="008B6F1B"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Проблемы с опорными катками вынудили СКБ-2 разработать опорные катки иной конструкции. Придумывать велосипед не стали: за основу был взят опорный каток, разработанный для КВ-13. Несмотря на то, что работы по КВ-13 официально были заморожены, по факту отдельные узлы перспективного танка не только продолжали проектироваться, но даже испытывались. Как раз в июле-августе 1942 года катки КВ-13 испытывали на одном из КВ-1. Переделав конструкцию опорного катка, уже осенью 1942 года его стали ставить на КВ-1с (17682).</w:t>
      </w:r>
    </w:p>
    <w:p w14:paraId="4D4088E3" w14:textId="77777777" w:rsidR="008B6F1B" w:rsidRPr="001E2C69" w:rsidRDefault="008B6F1B" w:rsidP="00722885">
      <w:pPr>
        <w:spacing w:after="0" w:line="240" w:lineRule="auto"/>
        <w:jc w:val="both"/>
        <w:rPr>
          <w:rFonts w:ascii="Times New Roman" w:hAnsi="Times New Roman"/>
          <w:color w:val="000000" w:themeColor="text1"/>
          <w:sz w:val="16"/>
          <w:szCs w:val="16"/>
        </w:rPr>
      </w:pPr>
    </w:p>
    <w:p w14:paraId="3FD03C7D"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32AD60F3" w14:textId="77777777" w:rsidR="00AE7191" w:rsidRPr="001E2C69" w:rsidRDefault="00AE7191" w:rsidP="00722885">
      <w:pPr>
        <w:pStyle w:val="Iauiue"/>
        <w:jc w:val="both"/>
        <w:rPr>
          <w:iCs/>
          <w:color w:val="000000" w:themeColor="text1"/>
          <w:sz w:val="16"/>
          <w:szCs w:val="16"/>
        </w:rPr>
      </w:pPr>
    </w:p>
    <w:p w14:paraId="406D267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августа 1942 были подготовлены "Выводы” и "Заключение" по проведению госиспытаний Пе-Збис № 40143900 завода № 39 в НИИ ВВС:</w:t>
      </w:r>
    </w:p>
    <w:p w14:paraId="3668809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ы в о д ы</w:t>
      </w:r>
    </w:p>
    <w:p w14:paraId="6218E10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Максимальные скорости серийного самолета Пе-Збис № 40143900 завода № 39 на 2-ой граница высотности 5080 метров равны:</w:t>
      </w:r>
    </w:p>
    <w:p w14:paraId="6F7E167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а) без аэродинамического компенсатора и без нарощений на кили </w:t>
      </w:r>
      <w:r w:rsidRPr="001E2C69">
        <w:rPr>
          <w:rFonts w:ascii="Times New Roman" w:hAnsi="Times New Roman"/>
          <w:color w:val="000000" w:themeColor="text1"/>
          <w:sz w:val="16"/>
          <w:szCs w:val="16"/>
        </w:rPr>
        <w:tab/>
        <w:t>530 км/ч</w:t>
      </w:r>
    </w:p>
    <w:p w14:paraId="5330F1A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-с аэродинамическим компенсатором и с нарощенными килями</w:t>
      </w:r>
      <w:r w:rsidRPr="001E2C69">
        <w:rPr>
          <w:rFonts w:ascii="Times New Roman" w:hAnsi="Times New Roman"/>
          <w:color w:val="000000" w:themeColor="text1"/>
          <w:sz w:val="16"/>
          <w:szCs w:val="16"/>
        </w:rPr>
        <w:tab/>
        <w:t>527 км/ч</w:t>
      </w:r>
    </w:p>
    <w:p w14:paraId="17B2870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Максимальные скорости у земли соответствеино равны </w:t>
      </w:r>
      <w:r w:rsidRPr="001E2C69">
        <w:rPr>
          <w:rFonts w:ascii="Times New Roman" w:hAnsi="Times New Roman"/>
          <w:color w:val="000000" w:themeColor="text1"/>
          <w:sz w:val="16"/>
          <w:szCs w:val="16"/>
        </w:rPr>
        <w:tab/>
        <w:t>438-435 км/ч</w:t>
      </w:r>
    </w:p>
    <w:p w14:paraId="36F2F3B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Потерь в максимальных скоростях по сравнению с испытанным в октябре месяце 1941 года самолетом Пе-Збис № 392207 завода № 39 - НЕТ</w:t>
      </w:r>
    </w:p>
    <w:p w14:paraId="217C2A4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Скороподъемность, практический потолок, время набора высоты 5000 метров практически одинаковы в сравнении с самолётом Пе-Збис № 392207.</w:t>
      </w:r>
    </w:p>
    <w:p w14:paraId="336E3F6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Техническая дальность самолета при пол</w:t>
      </w:r>
      <w:r w:rsidRPr="001E2C69">
        <w:rPr>
          <w:rFonts w:ascii="Times New Roman" w:hAnsi="Times New Roman"/>
          <w:color w:val="000000" w:themeColor="text1"/>
          <w:sz w:val="16"/>
          <w:szCs w:val="16"/>
        </w:rPr>
        <w:softHyphen/>
        <w:t>ном выгорании горючего на высоте 5000 метров по прибору (Н ст. = 5220 м; на 0;8 максимальной скорости с закрытым высотным корректором получилась равной 1500 км.</w:t>
      </w:r>
    </w:p>
    <w:p w14:paraId="278438C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Длины пробегов полученные при испытании превышают длины пробегов испытанного ранее самолета Пе-Збис № 392207, что об"ясняется недостаточной эффективностью тормозов.</w:t>
      </w:r>
    </w:p>
    <w:p w14:paraId="1683E22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Самолет имеет удовлетворительную продольную устойчивость на всех режимах полета за исключением на</w:t>
      </w:r>
      <w:r w:rsidRPr="001E2C69">
        <w:rPr>
          <w:rFonts w:ascii="Times New Roman" w:hAnsi="Times New Roman"/>
          <w:color w:val="000000" w:themeColor="text1"/>
          <w:sz w:val="16"/>
          <w:szCs w:val="16"/>
        </w:rPr>
        <w:softHyphen/>
        <w:t>бора высоты с бомбами в мотогондолах.</w:t>
      </w:r>
    </w:p>
    <w:p w14:paraId="5C877ED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Поперечная устойчивость самолета достаточна. Путевая устойчивость ниже чем у самолетов с хорошей путевой устойчивостью: Ме-110, ДБ3ф, СБ-РК, 103-У.</w:t>
      </w:r>
    </w:p>
    <w:p w14:paraId="55197F9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Увеличение площади вертикального оперения (килей) на 16% с "уменьшавшем" удлинения устойчивость путя практически не изменило.</w:t>
      </w:r>
    </w:p>
    <w:p w14:paraId="4E41291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Запас руля высоты на предельно передней цен</w:t>
      </w:r>
      <w:r w:rsidRPr="001E2C69">
        <w:rPr>
          <w:rFonts w:ascii="Times New Roman" w:hAnsi="Times New Roman"/>
          <w:color w:val="000000" w:themeColor="text1"/>
          <w:sz w:val="16"/>
          <w:szCs w:val="16"/>
        </w:rPr>
        <w:softHyphen/>
        <w:t>тровке (16,7%) мал. Необходимо регулировку руля высоты про</w:t>
      </w:r>
      <w:r w:rsidRPr="001E2C69">
        <w:rPr>
          <w:rFonts w:ascii="Times New Roman" w:hAnsi="Times New Roman"/>
          <w:color w:val="000000" w:themeColor="text1"/>
          <w:sz w:val="16"/>
          <w:szCs w:val="16"/>
        </w:rPr>
        <w:softHyphen/>
        <w:t>изводить; вверх - 30 , вниз 18-20</w:t>
      </w:r>
    </w:p>
    <w:p w14:paraId="34D116C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Предварительные исследования работы пред</w:t>
      </w:r>
      <w:r w:rsidRPr="001E2C69">
        <w:rPr>
          <w:rFonts w:ascii="Times New Roman" w:hAnsi="Times New Roman"/>
          <w:color w:val="000000" w:themeColor="text1"/>
          <w:sz w:val="16"/>
          <w:szCs w:val="16"/>
        </w:rPr>
        <w:softHyphen/>
        <w:t>крылков, показывают, что на самолете Пе-Збис они работают недостаточно эффективно.</w:t>
      </w:r>
    </w:p>
    <w:p w14:paraId="5464244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Взлетно-посадочные свойства улучшились нез</w:t>
      </w:r>
      <w:r w:rsidRPr="001E2C69">
        <w:rPr>
          <w:rFonts w:ascii="Times New Roman" w:hAnsi="Times New Roman"/>
          <w:color w:val="000000" w:themeColor="text1"/>
          <w:sz w:val="16"/>
          <w:szCs w:val="16"/>
        </w:rPr>
        <w:softHyphen/>
        <w:t>начительно.</w:t>
      </w:r>
    </w:p>
    <w:p w14:paraId="20D0193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Минимальные скорости полета остались без изменений.</w:t>
      </w:r>
    </w:p>
    <w:p w14:paraId="6A64755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Срывы потока и тряска хвоста начинаются практически на одинаковых скоростях.</w:t>
      </w:r>
    </w:p>
    <w:p w14:paraId="2AF6C8C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отзывам летчиков предкрылки облегчают пи</w:t>
      </w:r>
      <w:r w:rsidRPr="001E2C69">
        <w:rPr>
          <w:rFonts w:ascii="Times New Roman" w:hAnsi="Times New Roman"/>
          <w:color w:val="000000" w:themeColor="text1"/>
          <w:sz w:val="16"/>
          <w:szCs w:val="16"/>
        </w:rPr>
        <w:softHyphen/>
        <w:t>лотирование на планировании на скоростях в диапазоне 230-240 км/час по прибору.</w:t>
      </w:r>
    </w:p>
    <w:p w14:paraId="58812DE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Установка конструкции завода № 39 под 2 крупнокалиберных пулемета УБК испытание выдержала удов</w:t>
      </w:r>
      <w:r w:rsidRPr="001E2C69">
        <w:rPr>
          <w:rFonts w:ascii="Times New Roman" w:hAnsi="Times New Roman"/>
          <w:color w:val="000000" w:themeColor="text1"/>
          <w:sz w:val="16"/>
          <w:szCs w:val="16"/>
        </w:rPr>
        <w:softHyphen/>
        <w:t>летворительно.</w:t>
      </w:r>
    </w:p>
    <w:p w14:paraId="6ECB6FF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Турельная установка под крупнокалиберный пулемет штурмана конструктора ТОРОПОВА обеспечивает углы обстрела прицедьным огнем, как вправо, так и влево только по 30-35.</w:t>
      </w:r>
    </w:p>
    <w:p w14:paraId="0D93C15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больших углах вести прицельным огонь из-за тесноты в кабине нельзя.</w:t>
      </w:r>
    </w:p>
    <w:p w14:paraId="786CA8E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углах больших 40-45°, из-за встречного потока воздуха, турель развернуть невозможно. Аэродинамический компенсатор турели усилий не снимает.</w:t>
      </w:r>
    </w:p>
    <w:p w14:paraId="7B997E2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Необходимо доработать компенсаторы установки Торопова на самолете Пе-3бис для использования в полете всего диапазона углов обстрела, допускаемых самой установкой.</w:t>
      </w:r>
    </w:p>
    <w:p w14:paraId="4A88F03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самолете Пе-Збис не предусмотрено химвооружение. Заводу № 39 необходимо обеспечить подвеску химприборов на наружные замки бомбодержателей по типу самолета Пе-2.</w:t>
      </w:r>
    </w:p>
    <w:p w14:paraId="027520D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Обзор штурману вперед и в низ отсутствует. Обзор влево и назад ограничен из-за большой тесноты в кабине.</w:t>
      </w:r>
    </w:p>
    <w:p w14:paraId="62789E6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Приборы: указатель высоты и скорости штурма</w:t>
      </w:r>
      <w:r w:rsidRPr="001E2C69">
        <w:rPr>
          <w:rFonts w:ascii="Times New Roman" w:hAnsi="Times New Roman"/>
          <w:color w:val="000000" w:themeColor="text1"/>
          <w:sz w:val="16"/>
          <w:szCs w:val="16"/>
        </w:rPr>
        <w:softHyphen/>
        <w:t>ну не видны.</w:t>
      </w:r>
    </w:p>
    <w:p w14:paraId="4862DE1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Необходимо произвести перекомпановку приборов, согласно схемы предлагаемой в отчете.</w:t>
      </w:r>
    </w:p>
    <w:p w14:paraId="13F014E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обеспечения самолетовождения» в сложных метеоусловиях нужно установись РПК-10.</w:t>
      </w:r>
    </w:p>
    <w:p w14:paraId="7C5F440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Серийное размещение радиостанции РСИ-4 обеспе</w:t>
      </w:r>
      <w:r w:rsidRPr="001E2C69">
        <w:rPr>
          <w:rFonts w:ascii="Times New Roman" w:hAnsi="Times New Roman"/>
          <w:color w:val="000000" w:themeColor="text1"/>
          <w:sz w:val="16"/>
          <w:szCs w:val="16"/>
        </w:rPr>
        <w:softHyphen/>
        <w:t>чивает дальность связи на высоте 1000 метров только 65-70 км.</w:t>
      </w:r>
    </w:p>
    <w:p w14:paraId="6DC287E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размещение РСИ-4 в хвосте фюзеляжа повысило дальность до 110-120 км на той же высоте.</w:t>
      </w:r>
    </w:p>
    <w:p w14:paraId="5AE4996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Производственное выполнение самолета в основ</w:t>
      </w:r>
      <w:r w:rsidRPr="001E2C69">
        <w:rPr>
          <w:rFonts w:ascii="Times New Roman" w:hAnsi="Times New Roman"/>
          <w:color w:val="000000" w:themeColor="text1"/>
          <w:sz w:val="16"/>
          <w:szCs w:val="16"/>
        </w:rPr>
        <w:softHyphen/>
        <w:t>ном удовлетворительно.</w:t>
      </w:r>
    </w:p>
    <w:p w14:paraId="0EDD372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В процессе испытаний выявлен ряд дефектов. Основных из них:</w:t>
      </w:r>
    </w:p>
    <w:p w14:paraId="579A3C0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разрушение подшипников нагнетателя мотора (массовое явление);</w:t>
      </w:r>
    </w:p>
    <w:p w14:paraId="52FE608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течь бензобаков № 3 и 1 4 в верхней части по сварке;</w:t>
      </w:r>
    </w:p>
    <w:p w14:paraId="03C97EB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засвинцовываются электроды свечей при работе на горючем с продуктом В-20 (массовый дефект), за все время испытаний заменено 60 свечей;</w:t>
      </w:r>
    </w:p>
    <w:p w14:paraId="640F3FB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течь водорадиатора;</w:t>
      </w:r>
    </w:p>
    <w:p w14:paraId="380C5EB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 отказ приемников термометра воды (3 случая);</w:t>
      </w:r>
    </w:p>
    <w:p w14:paraId="4D9B844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 отказ динамок тахометров (массовый дефект - 4 раза);</w:t>
      </w:r>
    </w:p>
    <w:p w14:paraId="622D744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ж) отказ бензиномеров;</w:t>
      </w:r>
    </w:p>
    <w:p w14:paraId="04D37AC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 остаточная девиация магнитного компаса превышает допустимые пределы;</w:t>
      </w:r>
    </w:p>
    <w:p w14:paraId="4019DEB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 при перезарядке пушки обрывается троссы перезарядки,</w:t>
      </w:r>
    </w:p>
    <w:p w14:paraId="3B82C63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отсутствует механическая перезарядка пушки;</w:t>
      </w:r>
    </w:p>
    <w:p w14:paraId="22FADF6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л) дренажный кран </w:t>
      </w:r>
      <w:r w:rsidRPr="001E2C69">
        <w:rPr>
          <w:rFonts w:ascii="Times New Roman" w:hAnsi="Times New Roman"/>
          <w:smallCaps/>
          <w:color w:val="000000" w:themeColor="text1"/>
          <w:sz w:val="16"/>
          <w:szCs w:val="16"/>
        </w:rPr>
        <w:t xml:space="preserve">системы </w:t>
      </w:r>
      <w:r w:rsidRPr="001E2C69">
        <w:rPr>
          <w:rFonts w:ascii="Times New Roman" w:hAnsi="Times New Roman"/>
          <w:color w:val="000000" w:themeColor="text1"/>
          <w:sz w:val="16"/>
          <w:szCs w:val="16"/>
        </w:rPr>
        <w:t>нейтрального газа работает неудовлетворительно:</w:t>
      </w:r>
    </w:p>
    <w:p w14:paraId="0D587D4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положении сектора "ГАЗ" система не всегда включается;</w:t>
      </w:r>
    </w:p>
    <w:p w14:paraId="16CBF6D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положении "ДРЕНАЖ" газ поступает как в баки, так и в атмосферу,</w:t>
      </w:r>
    </w:p>
    <w:p w14:paraId="29C9B0A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Велико избыточное давление газов»в бензоба</w:t>
      </w:r>
      <w:r w:rsidRPr="001E2C69">
        <w:rPr>
          <w:rFonts w:ascii="Times New Roman" w:hAnsi="Times New Roman"/>
          <w:color w:val="000000" w:themeColor="text1"/>
          <w:sz w:val="16"/>
          <w:szCs w:val="16"/>
        </w:rPr>
        <w:softHyphen/>
        <w:t>ках. Необходимо уменьшить давление по 100-120 мм ртутного столба.</w:t>
      </w:r>
    </w:p>
    <w:p w14:paraId="398BF8D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smallCaps/>
          <w:color w:val="000000" w:themeColor="text1"/>
          <w:sz w:val="16"/>
          <w:szCs w:val="16"/>
        </w:rPr>
        <w:t xml:space="preserve">Ведущий </w:t>
      </w:r>
      <w:r w:rsidRPr="001E2C69">
        <w:rPr>
          <w:rFonts w:ascii="Times New Roman" w:hAnsi="Times New Roman"/>
          <w:color w:val="000000" w:themeColor="text1"/>
          <w:sz w:val="16"/>
          <w:szCs w:val="16"/>
        </w:rPr>
        <w:t xml:space="preserve">и н ж е н е р </w:t>
      </w:r>
      <w:r w:rsidRPr="001E2C69">
        <w:rPr>
          <w:rFonts w:ascii="Times New Roman" w:hAnsi="Times New Roman"/>
          <w:smallCaps/>
          <w:color w:val="000000" w:themeColor="text1"/>
          <w:sz w:val="16"/>
          <w:szCs w:val="16"/>
        </w:rPr>
        <w:t>-шжЕнер - полковник сафронов</w:t>
      </w:r>
    </w:p>
    <w:p w14:paraId="49D67D6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ЗАКЛЮЧЕНИЕ</w:t>
      </w:r>
    </w:p>
    <w:p w14:paraId="44962A8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Государственные контрольные испытания серийный самолет Пе-Збис № 40143900, производства завода 39, выдержал удовлетворительно,</w:t>
      </w:r>
    </w:p>
    <w:p w14:paraId="4FE9F01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Просить Н К А П:</w:t>
      </w:r>
    </w:p>
    <w:p w14:paraId="5CAC1F3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принять меры к устранению дефектов, выявленных на испытании, согласно выводов и прилагаемой ведомости дефектов;</w:t>
      </w:r>
    </w:p>
    <w:p w14:paraId="52361C5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дать указания заводу № 32 срочно отрабо</w:t>
      </w:r>
      <w:r w:rsidRPr="001E2C69">
        <w:rPr>
          <w:rFonts w:ascii="Times New Roman" w:hAnsi="Times New Roman"/>
          <w:color w:val="000000" w:themeColor="text1"/>
          <w:sz w:val="16"/>
          <w:szCs w:val="16"/>
        </w:rPr>
        <w:softHyphen/>
        <w:t>тать и установить на турель конструкции ТОРОПОВА компенса</w:t>
      </w:r>
      <w:r w:rsidRPr="001E2C69">
        <w:rPr>
          <w:rFonts w:ascii="Times New Roman" w:hAnsi="Times New Roman"/>
          <w:color w:val="000000" w:themeColor="text1"/>
          <w:sz w:val="16"/>
          <w:szCs w:val="16"/>
        </w:rPr>
        <w:softHyphen/>
        <w:t>торы, которые позволили бы получить углы обстрела в воздухе, допускаемые конструкцией установки;</w:t>
      </w:r>
    </w:p>
    <w:p w14:paraId="00E9A7D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срочно провести исследование в ЦАГИ по повышению эффективности предкрылков на самолете Пе-Збис."</w:t>
      </w:r>
    </w:p>
    <w:p w14:paraId="1ED7ECF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ЗАВОДА № 39 (В.И.АБРАМОВ)</w:t>
      </w:r>
    </w:p>
    <w:p w14:paraId="5CA9C89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Г Л, ИНЖЕНЕРА ПО ЭКСПЕРИМЕНТАЛЬНЫМ РАБОТАМ (К.А.ПЕТРОВ) (1678,51).</w:t>
      </w:r>
    </w:p>
    <w:p w14:paraId="78815BE6"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D2A5EC3" w14:textId="77777777" w:rsidR="004A33F1" w:rsidRPr="001E2C69" w:rsidRDefault="004A33F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20 августа 1942 все самолеты Пе-2 получали автомат курса АК-1 (22828).</w:t>
      </w:r>
    </w:p>
    <w:p w14:paraId="2D8213F7" w14:textId="77777777" w:rsidR="004A33F1" w:rsidRPr="001E2C69" w:rsidRDefault="004A33F1" w:rsidP="00722885">
      <w:pPr>
        <w:shd w:val="clear" w:color="auto" w:fill="FFFFFF"/>
        <w:spacing w:after="0" w:line="240" w:lineRule="auto"/>
        <w:jc w:val="both"/>
        <w:rPr>
          <w:rFonts w:ascii="Times New Roman" w:hAnsi="Times New Roman"/>
          <w:color w:val="000000" w:themeColor="text1"/>
          <w:sz w:val="16"/>
          <w:szCs w:val="16"/>
        </w:rPr>
      </w:pPr>
    </w:p>
    <w:p w14:paraId="15AF85A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 августа 1942 г. утвержден протокол макетной комиссии. Между тем в опытном производстве начали изготовление машины для статиспытаний и первого летного экземпляра. Однако из-за отсутствия двигателя АМ-39 на самолет, получивший заводское наименование И-220 и шифр "А", разрешили первоначально установить мотор АМ-38Ф для проведения первого этапа испытаний и получения предварительных результатов с последующей заменой на АМ-39. Истребитель И-220 предназначался для ведения активного воздушного боя на всех высотах. В целях получения максимальной горизонтальной скорости все радиаторы были убраны в крыло. Забор воздуха осуществлялся с передней кромки центроплана. Выход туннеля маслорадиатора разместили в нижней части центроплана, а водора-диаторов - в верхней. Самолет имел шасси с рычажной подвеской колес и впервые в отечественной авиации на нем были установлены мягкие топливные баки. Винт АВ-5Л-126А диаметром 3,2 м. Вооружение состояло из двух синхронных 20-мм пушек ШВАК (СП-20) с боезапасом по 150 патронов. Кроме того, на основании решения макетной комиссии в перегрузку предусмотрели установку еще двух пушек ШВАК с таким же боезапасом (5669).</w:t>
      </w:r>
    </w:p>
    <w:p w14:paraId="09A67418" w14:textId="77777777" w:rsidR="00AE7191" w:rsidRPr="001E2C69" w:rsidRDefault="00AE7191" w:rsidP="00722885">
      <w:pPr>
        <w:pStyle w:val="Iauiue"/>
        <w:jc w:val="both"/>
        <w:rPr>
          <w:color w:val="000000" w:themeColor="text1"/>
          <w:sz w:val="16"/>
          <w:szCs w:val="16"/>
        </w:rPr>
      </w:pPr>
    </w:p>
    <w:p w14:paraId="51C060D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авгус</w:t>
      </w:r>
      <w:r w:rsidRPr="001E2C69">
        <w:rPr>
          <w:rFonts w:ascii="Times New Roman" w:hAnsi="Times New Roman"/>
          <w:color w:val="000000" w:themeColor="text1"/>
          <w:sz w:val="16"/>
          <w:szCs w:val="16"/>
        </w:rPr>
        <w:softHyphen/>
        <w:t>та 1942 г., спустя месяц после принятия решения о за</w:t>
      </w:r>
      <w:r w:rsidRPr="001E2C69">
        <w:rPr>
          <w:rFonts w:ascii="Times New Roman" w:hAnsi="Times New Roman"/>
          <w:color w:val="000000" w:themeColor="text1"/>
          <w:sz w:val="16"/>
          <w:szCs w:val="16"/>
        </w:rPr>
        <w:softHyphen/>
        <w:t>пуске И-185 с М-82А в серийное производство, начальник НИИ ВВС Красной Армии генерал-майор Лосюков подписал замечания к заключе</w:t>
      </w:r>
      <w:r w:rsidRPr="001E2C69">
        <w:rPr>
          <w:rFonts w:ascii="Times New Roman" w:hAnsi="Times New Roman"/>
          <w:color w:val="000000" w:themeColor="text1"/>
          <w:sz w:val="16"/>
          <w:szCs w:val="16"/>
        </w:rPr>
        <w:softHyphen/>
        <w:t>нию по результатам испытаний. В них говорилось:</w:t>
      </w:r>
    </w:p>
    <w:p w14:paraId="5C4FBA5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«п.п.2 и 3 Заключения считаю возможным принять в следующей редакции:</w:t>
      </w:r>
    </w:p>
    <w:p w14:paraId="79ACC28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Полученные летно-тактические данные И-185 М-82 соответствуют т.т.т. ВВС Красной Армии только к само</w:t>
      </w:r>
      <w:r w:rsidRPr="001E2C69">
        <w:rPr>
          <w:rFonts w:ascii="Times New Roman" w:hAnsi="Times New Roman"/>
          <w:color w:val="000000" w:themeColor="text1"/>
          <w:sz w:val="16"/>
          <w:szCs w:val="16"/>
        </w:rPr>
        <w:softHyphen/>
        <w:t>летам серийной постройки 1942 г.</w:t>
      </w:r>
    </w:p>
    <w:p w14:paraId="73B0430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Самолет И-185 М-82 рекомендовать в серийную постройку нецелесообразно, так как с этим же мотором и с аналогичными летно-тактическими данными само</w:t>
      </w:r>
      <w:r w:rsidRPr="001E2C69">
        <w:rPr>
          <w:rFonts w:ascii="Times New Roman" w:hAnsi="Times New Roman"/>
          <w:color w:val="000000" w:themeColor="text1"/>
          <w:sz w:val="16"/>
          <w:szCs w:val="16"/>
        </w:rPr>
        <w:softHyphen/>
        <w:t>лет в серийной постройке есть (ЛаГ-5)».</w:t>
      </w:r>
    </w:p>
    <w:p w14:paraId="4C078EF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такой трактовкой согласились и заместитель ко</w:t>
      </w:r>
      <w:r w:rsidRPr="001E2C69">
        <w:rPr>
          <w:rFonts w:ascii="Times New Roman" w:hAnsi="Times New Roman"/>
          <w:color w:val="000000" w:themeColor="text1"/>
          <w:sz w:val="16"/>
          <w:szCs w:val="16"/>
        </w:rPr>
        <w:softHyphen/>
        <w:t>мандующего ВВС КА главный инженер ВВС генерал-лейтенант ИАС Репин, и нарком авиационной про</w:t>
      </w:r>
      <w:r w:rsidRPr="001E2C69">
        <w:rPr>
          <w:rFonts w:ascii="Times New Roman" w:hAnsi="Times New Roman"/>
          <w:color w:val="000000" w:themeColor="text1"/>
          <w:sz w:val="16"/>
          <w:szCs w:val="16"/>
        </w:rPr>
        <w:softHyphen/>
        <w:t>мышленности Шахурин.</w:t>
      </w:r>
    </w:p>
    <w:p w14:paraId="5903D76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Оценки отечественных самолетов проводились в НИИ ВВС по результатам учебных воздушных боев с трофейными истребителями, захваченными после вы</w:t>
      </w:r>
      <w:r w:rsidRPr="001E2C69">
        <w:rPr>
          <w:rFonts w:ascii="Times New Roman" w:hAnsi="Times New Roman"/>
          <w:color w:val="000000" w:themeColor="text1"/>
          <w:sz w:val="16"/>
          <w:szCs w:val="16"/>
        </w:rPr>
        <w:softHyphen/>
        <w:t>нужденной посадки на нашей территории (основной ис</w:t>
      </w:r>
      <w:r w:rsidRPr="001E2C69">
        <w:rPr>
          <w:rFonts w:ascii="Times New Roman" w:hAnsi="Times New Roman"/>
          <w:color w:val="000000" w:themeColor="text1"/>
          <w:sz w:val="16"/>
          <w:szCs w:val="16"/>
        </w:rPr>
        <w:softHyphen/>
        <w:t>точник поступления трофейной техники в первый период войны). Однако при этом картина складывалась не всегда объективной: часто восстановленные двига</w:t>
      </w:r>
      <w:r w:rsidRPr="001E2C69">
        <w:rPr>
          <w:rFonts w:ascii="Times New Roman" w:hAnsi="Times New Roman"/>
          <w:color w:val="000000" w:themeColor="text1"/>
          <w:sz w:val="16"/>
          <w:szCs w:val="16"/>
        </w:rPr>
        <w:softHyphen/>
        <w:t>тельные установки не додавали мощности, а поэтому ха</w:t>
      </w:r>
      <w:r w:rsidRPr="001E2C69">
        <w:rPr>
          <w:rFonts w:ascii="Times New Roman" w:hAnsi="Times New Roman"/>
          <w:color w:val="000000" w:themeColor="text1"/>
          <w:sz w:val="16"/>
          <w:szCs w:val="16"/>
        </w:rPr>
        <w:softHyphen/>
        <w:t>рактеристики немецких машин являлись заниженными.</w:t>
      </w:r>
    </w:p>
    <w:p w14:paraId="036C073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Отсюда делался оптимистичный вывод о безуслов</w:t>
      </w:r>
      <w:r w:rsidRPr="001E2C69">
        <w:rPr>
          <w:rFonts w:ascii="Times New Roman" w:hAnsi="Times New Roman"/>
          <w:color w:val="000000" w:themeColor="text1"/>
          <w:sz w:val="16"/>
          <w:szCs w:val="16"/>
        </w:rPr>
        <w:softHyphen/>
        <w:t>ном превосходстве наших самолетов (в том числе Ла-5)</w:t>
      </w:r>
    </w:p>
    <w:p w14:paraId="625E105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над самолетами противника. Уверения НИИ ВВС, что у Ла-5 характеристики аналогичны И-185 с тем же мото</w:t>
      </w:r>
      <w:r w:rsidRPr="001E2C69">
        <w:rPr>
          <w:rFonts w:ascii="Times New Roman" w:hAnsi="Times New Roman"/>
          <w:color w:val="000000" w:themeColor="text1"/>
          <w:sz w:val="16"/>
          <w:szCs w:val="16"/>
        </w:rPr>
        <w:softHyphen/>
        <w:t>ром, также не выдерживают критики (10667).</w:t>
      </w:r>
    </w:p>
    <w:p w14:paraId="4DA6A6E3"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D5D29E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20 августа по 13 сентября в 15-й, 27-й, 240-й, 297-й и 437-й истребительные авиаполки 8-й ВА на Сталинградском фронте также проходили войсковые испытания Ла-5. Руководил испытаниями в 287-й иад инженер-полковник Фролов, находившийся на аэродроме Верхняя Ахтуба. В состав бригады НИИ ВВС входили также инженеры-капита- ны В.И. Алексеенко, Зюскевич, Бабанин и Хвостовский, старшие техники- лейтенанты Ефанов (по вооружению) и Самозванцев (по спецоборудованию).</w:t>
      </w:r>
    </w:p>
    <w:p w14:paraId="4A1D822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Войсковые испытания проходили Ла-5 второй и третьей серий завода № 21 с моторами М-82 второй серии завода № 19 и винтами В И III-105 диаметром 3,1 м. На самолетах были установлены две пушки 111 ВАК с боезапасом по 170 патронов на ствол, двумя замками ДЗ-40 под крылом для подвески бомб калибра до 100 кг.</w:t>
      </w:r>
    </w:p>
    <w:p w14:paraId="6916AF9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20 августа по 13 сентября 1942 года летчики 287-й иад выполнили 226 самолето-вылетов на разведку войск противника. Разведка производилась парами с бреющего полета, 571 самолето-вылет на прикрытие войск и перехват самолетов противника.</w:t>
      </w:r>
    </w:p>
    <w:p w14:paraId="265C02A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результате воздушных боев сбили 51 бомбардировщик противника и 36 истребителей Bf 109, включая 17 Bf 109F.</w:t>
      </w:r>
    </w:p>
    <w:p w14:paraId="32DDF09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Сталинградском фронте самолеты Ла-5 вели воздушные бои с немецкими истребителями Bf 109F-4 и Bf 109G-2, а также с бомбардировщиками Ju 88, Ju 87, Bf 110 и Не 111.В воздушных боях с Bf I09F-4 и Bf 109G-2 самолет Ла-5 значительно уступал как по вертикальной маневренности, так и по горизонтальной скорости. В результате Ла-5 не мог вести с немецкими истребителями активный воздушный бой и вынужден был обороняться. В воздушном бою с Ju 88, Bf 110 и Не 111 самолет Ла-5 отвечал всем требованиям современного истребителя по скорости, маневру и мощности огня.</w:t>
      </w:r>
    </w:p>
    <w:p w14:paraId="0762E43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Ла-5 использовали также для разведки войск противника, причем на высотах от 100 м до бреющего полета это было затруднительно вследствие недостаточного обзора вперед-вниз из-за широкого капота мотора.</w:t>
      </w:r>
    </w:p>
    <w:p w14:paraId="77D9B6E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Камуфляж Ла-5, как и остальных отечественных истребителей, подобран неудовлетворительно и в сравнении с истребителями противника своей окраской в воздухе резко выделяется на фоне чистого неба и облаков, что облегчало неприятелю обнаружение наших самолетов. С воздуха, на стоянке, окраска наших самолетов резко выделялась на фоне земли.</w:t>
      </w:r>
    </w:p>
    <w:p w14:paraId="764B444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Что касается управления самолетом, то на элеронах на средних скоростях нагрузки были нормальные, но на скоростях выше 450 км/ч по прибору нагрузки значительно возрастали. На руле глубины при пользовании триммером на скорости 300-320 км/ч нагрузки снимались полностью.</w:t>
      </w:r>
    </w:p>
    <w:p w14:paraId="4086B7F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пикировании на скорости около 500 км/ч по прибору большие нагрузки затрудняли вывод самолета из пикирования и приходилось пользоваться триммером.</w:t>
      </w:r>
    </w:p>
    <w:p w14:paraId="0B4BB7A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Управление рулем поворота на больших скоростях было тяжелое. Вообще управление самолета требовало от летчика хорошей координации движений рулями.</w:t>
      </w:r>
    </w:p>
    <w:p w14:paraId="72D0408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правом вираже самолет стремился опустить нос и приходилось поддерживать его левой ногой. Ручка управления самолета удобна, но управление тормозами расположено неудачно. Нагрузки при торможении большие. Вследствие чего летчик натирал на ладоне и среднем пальце правой руки мозоли.</w:t>
      </w:r>
    </w:p>
    <w:p w14:paraId="3A47645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Сектор был недоработан.</w:t>
      </w:r>
    </w:p>
    <w:p w14:paraId="5FE212F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Ход сектора нормального газа проходил с рывками, а при слабой затяжке гайки стремился занять среднее положение. Малый газ на планировании приходилось держать с силой, иначе он уходил в среднее положение.</w:t>
      </w:r>
    </w:p>
    <w:p w14:paraId="7EFF272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Кнопки управления шасси и крыльевыми щитками нуждались в лучшей герметизации и повышении плавного хода.</w:t>
      </w:r>
    </w:p>
    <w:p w14:paraId="1D8E330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Обзор из кабины, при закрытом фонаре, вперед считался удовлетворительным, а в стороны - хорошим. Но что творилось сзади - летчик не видел. Фонарь кабины невозможно было открыть на больших скоростях, а на планировании он закрывался сам.</w:t>
      </w:r>
    </w:p>
    <w:p w14:paraId="7348530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Высокое расположение прицела (голова летчика упиралась в фонарь) мешало прицеливанию при закрытом фонаре. Поэтому полеты на Jla-5 в боевых условиях производились только с открытым фонарем. В кабине было душно и жарко, а вентиляция не позволяла лететь без очков (12032).</w:t>
      </w:r>
    </w:p>
    <w:p w14:paraId="38A547CC"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7C02F75" w14:textId="77777777" w:rsidR="00055325" w:rsidRPr="001E2C69" w:rsidRDefault="00055325"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С 20 августа по 13 сентября 1942 года в ходе вторых войсковых испытаний ЛаГГ-5 частями 287 ИАД выполнено 226 самолёто-вылетов на разведку войск противника и 571 самолёто-вылет на прикрытие войск и перехват самолётов противника. В результате воздушных боев сбито: бом</w:t>
      </w:r>
      <w:r w:rsidRPr="001E2C69">
        <w:rPr>
          <w:rFonts w:ascii="Times New Roman" w:cs="Times New Roman"/>
          <w:color w:val="000000" w:themeColor="text1"/>
          <w:spacing w:val="0"/>
        </w:rPr>
        <w:softHyphen/>
        <w:t xml:space="preserve">бардировщиков — 51, истребителей </w:t>
      </w:r>
      <w:r w:rsidRPr="001E2C69">
        <w:rPr>
          <w:rFonts w:ascii="Times New Roman" w:cs="Times New Roman"/>
          <w:color w:val="000000" w:themeColor="text1"/>
          <w:spacing w:val="0"/>
          <w:lang w:val="en-US"/>
        </w:rPr>
        <w:t>Me</w:t>
      </w:r>
      <w:r w:rsidRPr="001E2C69">
        <w:rPr>
          <w:rFonts w:ascii="Times New Roman" w:cs="Times New Roman"/>
          <w:color w:val="000000" w:themeColor="text1"/>
          <w:spacing w:val="0"/>
        </w:rPr>
        <w:t>-109 — 19 и Ме-109Ф — 17.</w:t>
      </w:r>
    </w:p>
    <w:p w14:paraId="62E966E1" w14:textId="77777777" w:rsidR="00055325" w:rsidRPr="001E2C69" w:rsidRDefault="00055325"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На Сталинградском фронте самолёты Ла-5 с М-82 вели бои с немецкими истреби</w:t>
      </w:r>
      <w:r w:rsidRPr="001E2C69">
        <w:rPr>
          <w:rFonts w:ascii="Times New Roman" w:cs="Times New Roman"/>
          <w:color w:val="000000" w:themeColor="text1"/>
          <w:spacing w:val="0"/>
        </w:rPr>
        <w:softHyphen/>
        <w:t>телями Ме-109Ф-4 с мотором ДБ-601Е и Ме-109Г-2 с мотором ДБ-605А1, а также с бомбардировщиками Ю-88, Ю-87, Ме-110, Хе-111.</w:t>
      </w:r>
    </w:p>
    <w:p w14:paraId="2F1CBB9A" w14:textId="77777777" w:rsidR="00055325" w:rsidRPr="001E2C69" w:rsidRDefault="00055325"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 воздушном бою с немецкими самолётами Ме-109Ф-4 и Ме-109Г-2 самолёт Ла-5 значительно уступает им как по вертикальному маневру, так и по горизонтальной скоро</w:t>
      </w:r>
      <w:r w:rsidRPr="001E2C69">
        <w:rPr>
          <w:rFonts w:ascii="Times New Roman" w:cs="Times New Roman"/>
          <w:color w:val="000000" w:themeColor="text1"/>
          <w:spacing w:val="0"/>
        </w:rPr>
        <w:softHyphen/>
        <w:t>сти. В результате чего Ла-5 не может вести с немецкими истребителями Ме-109Ф-4 и Ме-109Г-2 активного воздушного боя, а вынужден вести оборонительный бой.</w:t>
      </w:r>
    </w:p>
    <w:p w14:paraId="7C55D211" w14:textId="77777777" w:rsidR="00055325" w:rsidRPr="001E2C69" w:rsidRDefault="00055325"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 воздушном бою с немецкими самолётами Ю-88, Ме-110 и Хе-111 самолёт Ла-5 отвечает всем требованиям современного истребителя по скорости и маневру. Воо</w:t>
      </w:r>
      <w:r w:rsidRPr="001E2C69">
        <w:rPr>
          <w:rFonts w:ascii="Times New Roman" w:cs="Times New Roman"/>
          <w:color w:val="000000" w:themeColor="text1"/>
          <w:spacing w:val="0"/>
        </w:rPr>
        <w:softHyphen/>
        <w:t>ружение требует усиления мощности огня...</w:t>
      </w:r>
    </w:p>
    <w:p w14:paraId="0368CF30" w14:textId="77777777" w:rsidR="00055325" w:rsidRPr="001E2C69" w:rsidRDefault="00055325"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Моторы М-82 в процессе боевой работы эксплуатировались на топливе 4Б-78 и ма</w:t>
      </w:r>
      <w:r w:rsidRPr="001E2C69">
        <w:rPr>
          <w:rFonts w:ascii="Times New Roman" w:cs="Times New Roman"/>
          <w:color w:val="000000" w:themeColor="text1"/>
          <w:spacing w:val="0"/>
        </w:rPr>
        <w:softHyphen/>
        <w:t>сле МК. По характеру боевой работы (разведка с бреющего полёта, воздушный бой с бомбардировщиками и истребителями и патрулирование) моторы большую часть вре</w:t>
      </w:r>
      <w:r w:rsidRPr="001E2C69">
        <w:rPr>
          <w:rFonts w:ascii="Times New Roman" w:cs="Times New Roman"/>
          <w:color w:val="000000" w:themeColor="text1"/>
          <w:spacing w:val="0"/>
        </w:rPr>
        <w:softHyphen/>
        <w:t>мени работали на номинальном режиме... Течь масла из-под крышек клапанных коро</w:t>
      </w:r>
      <w:r w:rsidRPr="001E2C69">
        <w:rPr>
          <w:rFonts w:ascii="Times New Roman" w:cs="Times New Roman"/>
          <w:color w:val="000000" w:themeColor="text1"/>
          <w:spacing w:val="0"/>
        </w:rPr>
        <w:softHyphen/>
        <w:t>бок, из подшипника оси коромысел, из-под гайки кожухов тяг толкателей. Выбивание масла из-под агрегатов задней крышки мотора и в соединениях маслосистемы. Из-за этого возвращались с боевого задания, так как козырек весь забрызгивает маслом, и самолёт становится слепым...»</w:t>
      </w:r>
    </w:p>
    <w:p w14:paraId="66E12566" w14:textId="77777777" w:rsidR="00055325" w:rsidRPr="001E2C69" w:rsidRDefault="00055325"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 результате сделали вывод, что: «Самолёт Ла-5 с мотором М-82 вследствие боль</w:t>
      </w:r>
      <w:r w:rsidRPr="001E2C69">
        <w:rPr>
          <w:rFonts w:ascii="Times New Roman" w:cs="Times New Roman"/>
          <w:color w:val="000000" w:themeColor="text1"/>
          <w:spacing w:val="0"/>
        </w:rPr>
        <w:softHyphen/>
        <w:t xml:space="preserve">шой удельной нагрузки на крыло значительно уступает в воздушном бою немецким истребителям </w:t>
      </w:r>
      <w:r w:rsidRPr="001E2C69">
        <w:rPr>
          <w:rFonts w:ascii="Times New Roman" w:cs="Times New Roman"/>
          <w:color w:val="000000" w:themeColor="text1"/>
          <w:spacing w:val="0"/>
          <w:lang w:val="en-US"/>
        </w:rPr>
        <w:t>Me</w:t>
      </w:r>
      <w:r w:rsidRPr="001E2C69">
        <w:rPr>
          <w:rFonts w:ascii="Times New Roman" w:cs="Times New Roman"/>
          <w:color w:val="000000" w:themeColor="text1"/>
          <w:spacing w:val="0"/>
        </w:rPr>
        <w:t>-109</w:t>
      </w:r>
      <w:r w:rsidRPr="001E2C69">
        <w:rPr>
          <w:rFonts w:ascii="Times New Roman" w:cs="Times New Roman"/>
          <w:color w:val="000000" w:themeColor="text1"/>
          <w:spacing w:val="0"/>
          <w:lang w:val="en-US"/>
        </w:rPr>
        <w:t>F</w:t>
      </w:r>
      <w:r w:rsidRPr="001E2C69">
        <w:rPr>
          <w:rFonts w:ascii="Times New Roman" w:cs="Times New Roman"/>
          <w:color w:val="000000" w:themeColor="text1"/>
          <w:spacing w:val="0"/>
        </w:rPr>
        <w:t xml:space="preserve">-4 и </w:t>
      </w:r>
      <w:r w:rsidRPr="001E2C69">
        <w:rPr>
          <w:rFonts w:ascii="Times New Roman" w:cs="Times New Roman"/>
          <w:color w:val="000000" w:themeColor="text1"/>
          <w:spacing w:val="0"/>
          <w:lang w:val="en-US"/>
        </w:rPr>
        <w:t>Me</w:t>
      </w:r>
      <w:r w:rsidRPr="001E2C69">
        <w:rPr>
          <w:rFonts w:ascii="Times New Roman" w:cs="Times New Roman"/>
          <w:color w:val="000000" w:themeColor="text1"/>
          <w:spacing w:val="0"/>
        </w:rPr>
        <w:t>-109</w:t>
      </w:r>
      <w:r w:rsidRPr="001E2C69">
        <w:rPr>
          <w:rFonts w:ascii="Times New Roman" w:cs="Times New Roman"/>
          <w:color w:val="000000" w:themeColor="text1"/>
          <w:spacing w:val="0"/>
          <w:lang w:val="en-US"/>
        </w:rPr>
        <w:t>G</w:t>
      </w:r>
      <w:r w:rsidRPr="001E2C69">
        <w:rPr>
          <w:rFonts w:ascii="Times New Roman" w:cs="Times New Roman"/>
          <w:color w:val="000000" w:themeColor="text1"/>
          <w:spacing w:val="0"/>
        </w:rPr>
        <w:t>-2 как по вертикальному маневру, так и по гори</w:t>
      </w:r>
      <w:r w:rsidRPr="001E2C69">
        <w:rPr>
          <w:rFonts w:ascii="Times New Roman" w:cs="Times New Roman"/>
          <w:color w:val="000000" w:themeColor="text1"/>
          <w:spacing w:val="0"/>
        </w:rPr>
        <w:softHyphen/>
        <w:t>зонтальной скорости.</w:t>
      </w:r>
    </w:p>
    <w:p w14:paraId="6664A666" w14:textId="77777777" w:rsidR="00055325" w:rsidRPr="001E2C69" w:rsidRDefault="00055325"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Самолёт Ла-5 может вести воздушный бой с указанными немецкими истребителя</w:t>
      </w:r>
      <w:r w:rsidRPr="001E2C69">
        <w:rPr>
          <w:rFonts w:ascii="Times New Roman" w:cs="Times New Roman"/>
          <w:color w:val="000000" w:themeColor="text1"/>
          <w:spacing w:val="0"/>
        </w:rPr>
        <w:softHyphen/>
        <w:t>ми — только оборонительный, так как, имея превосходство в горизонтальной скорости и вертикальном маневре истребители противника имеют большое преимущество в вы</w:t>
      </w:r>
      <w:r w:rsidRPr="001E2C69">
        <w:rPr>
          <w:rFonts w:ascii="Times New Roman" w:cs="Times New Roman"/>
          <w:color w:val="000000" w:themeColor="text1"/>
          <w:spacing w:val="0"/>
        </w:rPr>
        <w:softHyphen/>
        <w:t>боре наивыгоднейших позиций для атаки, что дает возможность их численно меньшей группе сковывать численно превосходящую группу самолётов Ла-5 и навязывать ей бой на выгодных для себя условиях...» (15813).</w:t>
      </w:r>
    </w:p>
    <w:p w14:paraId="3E5089EC" w14:textId="77777777" w:rsidR="00055325" w:rsidRPr="001E2C69" w:rsidRDefault="00055325" w:rsidP="00722885">
      <w:pPr>
        <w:pStyle w:val="27"/>
        <w:shd w:val="clear" w:color="auto" w:fill="auto"/>
        <w:spacing w:after="0" w:line="240" w:lineRule="auto"/>
        <w:ind w:firstLine="0"/>
        <w:rPr>
          <w:rFonts w:ascii="Times New Roman" w:cs="Times New Roman"/>
          <w:color w:val="000000" w:themeColor="text1"/>
          <w:spacing w:val="0"/>
        </w:rPr>
      </w:pPr>
    </w:p>
    <w:p w14:paraId="32C7E7AB" w14:textId="77777777" w:rsidR="00055325" w:rsidRPr="001E2C69" w:rsidRDefault="00055325"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20 августа 1942 первые из полков (297-й, 27-й, 240-й, 437-й и 15-й истребительные полки, вошедшие в состав 287-й иад 8-й ВА Сталинградского фронта), получивших ЛаГГ-5 в июле-августе 1942, уже вступили в бой. К этому времени гос</w:t>
      </w:r>
      <w:r w:rsidRPr="001E2C69">
        <w:rPr>
          <w:rFonts w:ascii="Times New Roman" w:cs="Times New Roman"/>
          <w:color w:val="000000" w:themeColor="text1"/>
          <w:spacing w:val="0"/>
        </w:rPr>
        <w:softHyphen/>
        <w:t>подство в воздухе полностью было на стороне люфтваффе. Нашу авиацию прижали к своим аэродромам, все они находились под контролем немецких истребителей, и ни один вылет не проходил не замеченным противником. При взлёте наших истребите</w:t>
      </w:r>
      <w:r w:rsidRPr="001E2C69">
        <w:rPr>
          <w:rFonts w:ascii="Times New Roman" w:cs="Times New Roman"/>
          <w:color w:val="000000" w:themeColor="text1"/>
          <w:spacing w:val="0"/>
        </w:rPr>
        <w:softHyphen/>
        <w:t xml:space="preserve">лей над аэродромом появлялись 4—6—12 </w:t>
      </w:r>
      <w:r w:rsidRPr="001E2C69">
        <w:rPr>
          <w:rFonts w:ascii="Times New Roman" w:cs="Times New Roman"/>
          <w:color w:val="000000" w:themeColor="text1"/>
          <w:spacing w:val="0"/>
          <w:lang w:val="en-US"/>
        </w:rPr>
        <w:t>Bf</w:t>
      </w:r>
      <w:r w:rsidRPr="001E2C69">
        <w:rPr>
          <w:rFonts w:ascii="Times New Roman" w:cs="Times New Roman"/>
          <w:color w:val="000000" w:themeColor="text1"/>
          <w:spacing w:val="0"/>
        </w:rPr>
        <w:t xml:space="preserve"> 109</w:t>
      </w:r>
      <w:r w:rsidRPr="001E2C69">
        <w:rPr>
          <w:rFonts w:ascii="Times New Roman" w:cs="Times New Roman"/>
          <w:color w:val="000000" w:themeColor="text1"/>
          <w:spacing w:val="0"/>
          <w:lang w:val="en-US"/>
        </w:rPr>
        <w:t>F</w:t>
      </w:r>
      <w:r w:rsidRPr="001E2C69">
        <w:rPr>
          <w:rFonts w:ascii="Times New Roman" w:cs="Times New Roman"/>
          <w:color w:val="000000" w:themeColor="text1"/>
          <w:spacing w:val="0"/>
        </w:rPr>
        <w:t xml:space="preserve"> и связывали их воздушным боем.</w:t>
      </w:r>
    </w:p>
    <w:p w14:paraId="3A0F6928" w14:textId="77777777" w:rsidR="00055325" w:rsidRPr="001E2C69" w:rsidRDefault="00055325"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 таких тяжелейших условиях наспех подготовленные полки несли большие потери. Так, 297 иап с 20 по 25 августа сбил 6 самолётов противника, потеряв 4 своих. 437 иап с 22 по 26 августа сбил 3 и потерял 5, 27 иап с 20 по 26 августа сбил 12 и потерял 7, 240 иап с 20 по 27 августа сбил 10 и потерял 7 самолётов. 2 сентября 1942 г. началь</w:t>
      </w:r>
      <w:r w:rsidRPr="001E2C69">
        <w:rPr>
          <w:rFonts w:ascii="Times New Roman" w:cs="Times New Roman"/>
          <w:color w:val="000000" w:themeColor="text1"/>
          <w:spacing w:val="0"/>
        </w:rPr>
        <w:softHyphen/>
        <w:t>ник воздушно-стрелковой службы ВВС КА генерал-майор Рафалович докладывал за</w:t>
      </w:r>
      <w:r w:rsidRPr="001E2C69">
        <w:rPr>
          <w:rFonts w:ascii="Times New Roman" w:cs="Times New Roman"/>
          <w:color w:val="000000" w:themeColor="text1"/>
          <w:spacing w:val="0"/>
        </w:rPr>
        <w:softHyphen/>
        <w:t>местителю командующего ВВС КА генерал-лейтенанту Г.А. Ворожейкину:</w:t>
      </w:r>
    </w:p>
    <w:p w14:paraId="7C41FBCB" w14:textId="77777777" w:rsidR="00055325" w:rsidRPr="001E2C69" w:rsidRDefault="00055325"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«Несмотря на большие зарегистрированные победы лётчиков 287 авиадивизии, их мож</w:t>
      </w:r>
      <w:r w:rsidRPr="001E2C69">
        <w:rPr>
          <w:rFonts w:ascii="Times New Roman" w:cs="Times New Roman"/>
          <w:color w:val="000000" w:themeColor="text1"/>
          <w:spacing w:val="0"/>
        </w:rPr>
        <w:softHyphen/>
        <w:t>но было бы иметь больше и меньше нести своих потерь, при условии лучшего освоения лётным составом боевого применения самолёта ЛАГ-5, организованно вступать и вы</w:t>
      </w:r>
      <w:r w:rsidRPr="001E2C69">
        <w:rPr>
          <w:rFonts w:ascii="Times New Roman" w:cs="Times New Roman"/>
          <w:color w:val="000000" w:themeColor="text1"/>
          <w:spacing w:val="0"/>
        </w:rPr>
        <w:softHyphen/>
        <w:t>ходить из воздушного боя, поддерживать товарищей, не выходить из боя одиночным порядком и наладить лучше радиосвязь между самолётами и самолётов с землей» (15813).</w:t>
      </w:r>
    </w:p>
    <w:p w14:paraId="0A6599E7" w14:textId="77777777" w:rsidR="00055325" w:rsidRPr="001E2C69" w:rsidRDefault="00055325" w:rsidP="00722885">
      <w:pPr>
        <w:pStyle w:val="27"/>
        <w:shd w:val="clear" w:color="auto" w:fill="auto"/>
        <w:spacing w:after="0" w:line="240" w:lineRule="auto"/>
        <w:ind w:firstLine="0"/>
        <w:rPr>
          <w:rFonts w:ascii="Times New Roman" w:cs="Times New Roman"/>
          <w:color w:val="000000" w:themeColor="text1"/>
          <w:spacing w:val="0"/>
        </w:rPr>
      </w:pPr>
    </w:p>
    <w:p w14:paraId="76CDEFD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20 августа 1942 г. на всех Як-1 стали устанавливать радиоприемник PC И-4, а на каждом пятом (с 1 октября на каждом четном) радиопередатчика РСИ -3, что улучшило тактические свойства машины.</w:t>
      </w:r>
    </w:p>
    <w:p w14:paraId="5576B21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Модифицированный "Як" уверенно лидировал на сравнительных контрольных испытаниях, проведенных в Саратове бригадой ЛИИ НКАП совместно с летно-испыта- тельной группой завода № 292. Из характеристик, представленных в табл., видно, почему не получила поддержки идея облегченного Як-1. Як-16 с улучшенной аэродинамикой и штатным вооружением уступал облегченному варианту только в вертикальном маневре и во всех отношениях был лучше серийного Як-1.</w:t>
      </w:r>
    </w:p>
    <w:p w14:paraId="459A216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Сравнительные характеристики Як-1 (№ 2898), Як-16 (№ 1699) и облегченного Як-1 (№ 4596)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1E2C69" w:rsidRPr="001E2C69" w14:paraId="74245B13" w14:textId="77777777" w:rsidTr="00CC5360">
        <w:tc>
          <w:tcPr>
            <w:tcW w:w="2802" w:type="dxa"/>
            <w:tcBorders>
              <w:top w:val="single" w:sz="12" w:space="0" w:color="auto"/>
            </w:tcBorders>
          </w:tcPr>
          <w:p w14:paraId="45001D1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Основные данные</w:t>
            </w:r>
          </w:p>
        </w:tc>
        <w:tc>
          <w:tcPr>
            <w:tcW w:w="2802" w:type="dxa"/>
            <w:tcBorders>
              <w:top w:val="single" w:sz="12" w:space="0" w:color="auto"/>
            </w:tcBorders>
          </w:tcPr>
          <w:p w14:paraId="306A0AA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2898</w:t>
            </w:r>
          </w:p>
        </w:tc>
        <w:tc>
          <w:tcPr>
            <w:tcW w:w="2802" w:type="dxa"/>
            <w:tcBorders>
              <w:top w:val="single" w:sz="12" w:space="0" w:color="auto"/>
            </w:tcBorders>
          </w:tcPr>
          <w:p w14:paraId="6F275AB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серийный номер машины 4596</w:t>
            </w:r>
          </w:p>
        </w:tc>
        <w:tc>
          <w:tcPr>
            <w:tcW w:w="2802" w:type="dxa"/>
            <w:tcBorders>
              <w:top w:val="single" w:sz="12" w:space="0" w:color="auto"/>
            </w:tcBorders>
          </w:tcPr>
          <w:p w14:paraId="53D02B9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1699</w:t>
            </w:r>
          </w:p>
        </w:tc>
      </w:tr>
      <w:tr w:rsidR="001E2C69" w:rsidRPr="001E2C69" w14:paraId="59EF3536" w14:textId="77777777" w:rsidTr="00CC5360">
        <w:tc>
          <w:tcPr>
            <w:tcW w:w="2802" w:type="dxa"/>
          </w:tcPr>
          <w:p w14:paraId="31C6DC5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Полетный вес, кг</w:t>
            </w:r>
          </w:p>
        </w:tc>
        <w:tc>
          <w:tcPr>
            <w:tcW w:w="2802" w:type="dxa"/>
          </w:tcPr>
          <w:p w14:paraId="34FFD9E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2940</w:t>
            </w:r>
          </w:p>
        </w:tc>
        <w:tc>
          <w:tcPr>
            <w:tcW w:w="2802" w:type="dxa"/>
          </w:tcPr>
          <w:p w14:paraId="565887F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2780</w:t>
            </w:r>
          </w:p>
        </w:tc>
        <w:tc>
          <w:tcPr>
            <w:tcW w:w="2802" w:type="dxa"/>
          </w:tcPr>
          <w:p w14:paraId="1D65801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2920</w:t>
            </w:r>
          </w:p>
        </w:tc>
      </w:tr>
      <w:tr w:rsidR="001E2C69" w:rsidRPr="001E2C69" w14:paraId="596416D0" w14:textId="77777777" w:rsidTr="00CC5360">
        <w:tc>
          <w:tcPr>
            <w:tcW w:w="2802" w:type="dxa"/>
          </w:tcPr>
          <w:p w14:paraId="48D9506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Максимальная скорость, км/ч у земли</w:t>
            </w:r>
          </w:p>
        </w:tc>
        <w:tc>
          <w:tcPr>
            <w:tcW w:w="2802" w:type="dxa"/>
          </w:tcPr>
          <w:p w14:paraId="53EF507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516</w:t>
            </w:r>
          </w:p>
        </w:tc>
        <w:tc>
          <w:tcPr>
            <w:tcW w:w="2802" w:type="dxa"/>
          </w:tcPr>
          <w:p w14:paraId="1EEE000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526</w:t>
            </w:r>
          </w:p>
        </w:tc>
        <w:tc>
          <w:tcPr>
            <w:tcW w:w="2802" w:type="dxa"/>
          </w:tcPr>
          <w:p w14:paraId="2B82F0F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524</w:t>
            </w:r>
          </w:p>
        </w:tc>
      </w:tr>
      <w:tr w:rsidR="001E2C69" w:rsidRPr="001E2C69" w14:paraId="3B9E57DC" w14:textId="77777777" w:rsidTr="00CC5360">
        <w:tc>
          <w:tcPr>
            <w:tcW w:w="2802" w:type="dxa"/>
          </w:tcPr>
          <w:p w14:paraId="6FCC21E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высоте второй границы высотности при оборотах мотора М-105ПФ 2550 об/мин</w:t>
            </w:r>
          </w:p>
        </w:tc>
        <w:tc>
          <w:tcPr>
            <w:tcW w:w="2802" w:type="dxa"/>
          </w:tcPr>
          <w:p w14:paraId="053D437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566</w:t>
            </w:r>
          </w:p>
        </w:tc>
        <w:tc>
          <w:tcPr>
            <w:tcW w:w="2802" w:type="dxa"/>
          </w:tcPr>
          <w:p w14:paraId="1A519D5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586</w:t>
            </w:r>
          </w:p>
        </w:tc>
        <w:tc>
          <w:tcPr>
            <w:tcW w:w="2802" w:type="dxa"/>
          </w:tcPr>
          <w:p w14:paraId="480D270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584</w:t>
            </w:r>
          </w:p>
        </w:tc>
      </w:tr>
      <w:tr w:rsidR="001E2C69" w:rsidRPr="001E2C69" w14:paraId="55EFE862" w14:textId="77777777" w:rsidTr="00CC5360">
        <w:tc>
          <w:tcPr>
            <w:tcW w:w="2802" w:type="dxa"/>
          </w:tcPr>
          <w:p w14:paraId="449D6E7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высоте второй границы высотности при оборотах мотора М-105ПФ 2700 об/мин</w:t>
            </w:r>
          </w:p>
        </w:tc>
        <w:tc>
          <w:tcPr>
            <w:tcW w:w="2802" w:type="dxa"/>
          </w:tcPr>
          <w:p w14:paraId="66A4638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569</w:t>
            </w:r>
          </w:p>
        </w:tc>
        <w:tc>
          <w:tcPr>
            <w:tcW w:w="2802" w:type="dxa"/>
          </w:tcPr>
          <w:p w14:paraId="4B8B6C7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592</w:t>
            </w:r>
          </w:p>
        </w:tc>
        <w:tc>
          <w:tcPr>
            <w:tcW w:w="2802" w:type="dxa"/>
          </w:tcPr>
          <w:p w14:paraId="3ECCE813"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09F096D4" w14:textId="77777777" w:rsidTr="00CC5360">
        <w:tc>
          <w:tcPr>
            <w:tcW w:w="2802" w:type="dxa"/>
            <w:tcBorders>
              <w:bottom w:val="single" w:sz="12" w:space="0" w:color="auto"/>
            </w:tcBorders>
          </w:tcPr>
          <w:p w14:paraId="6FB2DC6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Время набора высоты 5000 м, мин</w:t>
            </w:r>
          </w:p>
        </w:tc>
        <w:tc>
          <w:tcPr>
            <w:tcW w:w="2802" w:type="dxa"/>
            <w:tcBorders>
              <w:bottom w:val="single" w:sz="12" w:space="0" w:color="auto"/>
            </w:tcBorders>
          </w:tcPr>
          <w:p w14:paraId="3BBD5AD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5,8</w:t>
            </w:r>
          </w:p>
        </w:tc>
        <w:tc>
          <w:tcPr>
            <w:tcW w:w="2802" w:type="dxa"/>
            <w:tcBorders>
              <w:bottom w:val="single" w:sz="12" w:space="0" w:color="auto"/>
            </w:tcBorders>
          </w:tcPr>
          <w:p w14:paraId="6A52CFA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4,7</w:t>
            </w:r>
          </w:p>
        </w:tc>
        <w:tc>
          <w:tcPr>
            <w:tcW w:w="2802" w:type="dxa"/>
            <w:tcBorders>
              <w:bottom w:val="single" w:sz="12" w:space="0" w:color="auto"/>
            </w:tcBorders>
          </w:tcPr>
          <w:p w14:paraId="05F4586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5,2</w:t>
            </w:r>
          </w:p>
        </w:tc>
      </w:tr>
    </w:tbl>
    <w:p w14:paraId="6DD6FEF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Войсковые испытания самолетов Як-16 проводились в 32-м гиап 210-й иад 3 ВА Калининского фронта и в 176-м иап 283-й иад 16-й В А Сталинградского фронта с 10 декабря 1942 г. по 28 января 1943 г. На испытаниях произвели 669 боевых вылетов на 58 самолетах с налетом 617 часов. Провели 38 воздушных боев, в результате которых сбили 25 самолетов противника. Свои потери составили шесть самолетов Я к-16. По общему мнению летного состава кабина с улучшенным обзором задней полусферы повысила боевые качества самолета. Ее рекомендовали для установки на всех самолетах истребительного типа.</w:t>
      </w:r>
    </w:p>
    <w:p w14:paraId="6BFFE2D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Эта модификация Як-1 выпускалась вплоть до перехода завода № 292 на изготовление еще более глубокой модификации самолета - Як-3 (12048).</w:t>
      </w:r>
    </w:p>
    <w:p w14:paraId="52ADD986"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27EC2EB"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августа в 1942 году с этого дня на всех «Як-1» устанавливались радиоприемники «РСИ-4», а на каждом пятом (с 1 октября на каждом четном) - радиопередатчики «РСИ-3». Одновременно были проведены мероприятия по частичному облегчению конструкции серийных самолетов. По постановлению ГКО от 22 сентября 1942 года с «Як-1» сняли: фару с предохранителем и выключателем сети, световую сигнализацию выпущенного положения хвостовой опоры, экранирование электросети после разъемных коробок, проводку обогрева часов, штепсельную розетку хвостового аэронавигационного огня (АНО), автомат давления, манометр вооружения, устройство пневмо-перезарядки «МП-20», радиополукомпас «РПК-10», вариометр, трос-дублер ножного управления, концевой выключатель на секторе газа. Этим же постановлением предписывалось устанавливать на самолетах ночное светооборудование, фару, вариометр и «РПК-10» только по особому заказу для самолетов ПВО (14989).</w:t>
      </w:r>
    </w:p>
    <w:p w14:paraId="04089807" w14:textId="77777777" w:rsidR="008319D5" w:rsidRPr="001E2C69" w:rsidRDefault="008319D5" w:rsidP="00722885">
      <w:pPr>
        <w:spacing w:after="0" w:line="240" w:lineRule="auto"/>
        <w:jc w:val="both"/>
        <w:rPr>
          <w:rFonts w:ascii="Times New Roman" w:hAnsi="Times New Roman"/>
          <w:color w:val="000000" w:themeColor="text1"/>
          <w:sz w:val="16"/>
          <w:szCs w:val="16"/>
        </w:rPr>
      </w:pPr>
    </w:p>
    <w:p w14:paraId="3BCB0F22" w14:textId="77777777" w:rsidR="003C527E" w:rsidRPr="008A2E5A" w:rsidRDefault="003C527E" w:rsidP="003C52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августа 1942 г. представитель НИИ ВВС военинженер 3-го ранга Федор Федоровича Бабанин, стар</w:t>
      </w:r>
      <w:r w:rsidRPr="008A2E5A">
        <w:rPr>
          <w:rFonts w:ascii="Times New Roman" w:hAnsi="Times New Roman"/>
          <w:color w:val="0070C0"/>
          <w:sz w:val="16"/>
          <w:szCs w:val="16"/>
        </w:rPr>
        <w:softHyphen/>
        <w:t>шй инженер 5-го отдела НИИ ВВС, направленный вместе с бригадой 21-го авиаза</w:t>
      </w:r>
      <w:r w:rsidRPr="008A2E5A">
        <w:rPr>
          <w:rFonts w:ascii="Times New Roman" w:hAnsi="Times New Roman"/>
          <w:color w:val="0070C0"/>
          <w:sz w:val="16"/>
          <w:szCs w:val="16"/>
        </w:rPr>
        <w:softHyphen/>
        <w:t>вода, представителями завода № 19 и группой командиров НИИ ВВС, которой руководил помощник ведущего инженера 4-го отдела института инженер-капитан Андрей Гри</w:t>
      </w:r>
      <w:r w:rsidRPr="008A2E5A">
        <w:rPr>
          <w:rFonts w:ascii="Times New Roman" w:hAnsi="Times New Roman"/>
          <w:color w:val="0070C0"/>
          <w:sz w:val="16"/>
          <w:szCs w:val="16"/>
        </w:rPr>
        <w:softHyphen/>
        <w:t>горьевич Терентьев. в 49 КИАП для оценки работы ЛаГ-5 первых серий, докладывал своему начальству:</w:t>
      </w:r>
    </w:p>
    <w:p w14:paraId="781060FE" w14:textId="77777777" w:rsidR="003C527E" w:rsidRPr="008A2E5A" w:rsidRDefault="003C527E" w:rsidP="003C52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На 20 августа осталось из 19 только 10. Потери: а) сбито над линией боя - 4 самолета (один летчик вернулся); б) подбито и вернулось на свою территорию - 4; в) авария самолета из-за масляного голодания - 1 (см. акт от 18 авгу</w:t>
      </w:r>
      <w:r w:rsidRPr="008A2E5A">
        <w:rPr>
          <w:rFonts w:ascii="Times New Roman" w:hAnsi="Times New Roman"/>
          <w:color w:val="0070C0"/>
          <w:sz w:val="16"/>
          <w:szCs w:val="16"/>
        </w:rPr>
        <w:softHyphen/>
        <w:t>ста); Все подбитые самолеты имеют боль</w:t>
      </w:r>
      <w:r w:rsidRPr="008A2E5A">
        <w:rPr>
          <w:rFonts w:ascii="Times New Roman" w:hAnsi="Times New Roman"/>
          <w:color w:val="0070C0"/>
          <w:sz w:val="16"/>
          <w:szCs w:val="16"/>
        </w:rPr>
        <w:softHyphen/>
        <w:t>шие повреждения плоскостей, фюзеляжа и особенно хвостового оперения от истреби</w:t>
      </w:r>
      <w:r w:rsidRPr="008A2E5A">
        <w:rPr>
          <w:rFonts w:ascii="Times New Roman" w:hAnsi="Times New Roman"/>
          <w:color w:val="0070C0"/>
          <w:sz w:val="16"/>
          <w:szCs w:val="16"/>
        </w:rPr>
        <w:softHyphen/>
        <w:t>телей противника (М-109Ф). Во всех 4-х слу</w:t>
      </w:r>
      <w:r w:rsidRPr="008A2E5A">
        <w:rPr>
          <w:rFonts w:ascii="Times New Roman" w:hAnsi="Times New Roman"/>
          <w:color w:val="0070C0"/>
          <w:sz w:val="16"/>
          <w:szCs w:val="16"/>
        </w:rPr>
        <w:softHyphen/>
        <w:t>чаях моторы работали безупречно, благода</w:t>
      </w:r>
      <w:r w:rsidRPr="008A2E5A">
        <w:rPr>
          <w:rFonts w:ascii="Times New Roman" w:hAnsi="Times New Roman"/>
          <w:color w:val="0070C0"/>
          <w:sz w:val="16"/>
          <w:szCs w:val="16"/>
        </w:rPr>
        <w:softHyphen/>
        <w:t>ря чему летчики и вернулись на свою терри</w:t>
      </w:r>
      <w:r w:rsidRPr="008A2E5A">
        <w:rPr>
          <w:rFonts w:ascii="Times New Roman" w:hAnsi="Times New Roman"/>
          <w:color w:val="0070C0"/>
          <w:sz w:val="16"/>
          <w:szCs w:val="16"/>
        </w:rPr>
        <w:softHyphen/>
        <w:t>торию. Моторы все в исправности. Самоле</w:t>
      </w:r>
      <w:r w:rsidRPr="008A2E5A">
        <w:rPr>
          <w:rFonts w:ascii="Times New Roman" w:hAnsi="Times New Roman"/>
          <w:color w:val="0070C0"/>
          <w:sz w:val="16"/>
          <w:szCs w:val="16"/>
        </w:rPr>
        <w:softHyphen/>
        <w:t>ты ремонту не подлежат. Основные дефек</w:t>
      </w:r>
      <w:r w:rsidRPr="008A2E5A">
        <w:rPr>
          <w:rFonts w:ascii="Times New Roman" w:hAnsi="Times New Roman"/>
          <w:color w:val="0070C0"/>
          <w:sz w:val="16"/>
          <w:szCs w:val="16"/>
        </w:rPr>
        <w:softHyphen/>
        <w:t>ты за это время:</w:t>
      </w:r>
    </w:p>
    <w:p w14:paraId="2765E1B7" w14:textId="77777777" w:rsidR="003C527E" w:rsidRPr="008A2E5A" w:rsidRDefault="003C527E" w:rsidP="003C52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Разрушение втулки гл. шатуна по при</w:t>
      </w:r>
      <w:r w:rsidRPr="008A2E5A">
        <w:rPr>
          <w:rFonts w:ascii="Times New Roman" w:hAnsi="Times New Roman"/>
          <w:color w:val="0070C0"/>
          <w:sz w:val="16"/>
          <w:szCs w:val="16"/>
        </w:rPr>
        <w:softHyphen/>
        <w:t>чине масляного голодания - 1 сл. (см. акт);</w:t>
      </w:r>
    </w:p>
    <w:p w14:paraId="0A91039F" w14:textId="77777777" w:rsidR="003C527E" w:rsidRPr="008A2E5A" w:rsidRDefault="003C527E" w:rsidP="003C52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Течь маслобаков по сварке заборных трубок - 3 случая;</w:t>
      </w:r>
    </w:p>
    <w:p w14:paraId="7844B1F1" w14:textId="77777777" w:rsidR="003C527E" w:rsidRPr="008A2E5A" w:rsidRDefault="003C527E" w:rsidP="003C52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Течь бензобаков в местах электрото- чечной сварки профиля жесткости (отры</w:t>
      </w:r>
      <w:r w:rsidRPr="008A2E5A">
        <w:rPr>
          <w:rFonts w:ascii="Times New Roman" w:hAnsi="Times New Roman"/>
          <w:color w:val="0070C0"/>
          <w:sz w:val="16"/>
          <w:szCs w:val="16"/>
        </w:rPr>
        <w:softHyphen/>
        <w:t>ваются) - 2 случая;</w:t>
      </w:r>
    </w:p>
    <w:p w14:paraId="7E6B59D1" w14:textId="77777777" w:rsidR="003C527E" w:rsidRPr="008A2E5A" w:rsidRDefault="003C527E" w:rsidP="003C52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Отказ в работе синхронизатора (сра</w:t>
      </w:r>
      <w:r w:rsidRPr="008A2E5A">
        <w:rPr>
          <w:rFonts w:ascii="Times New Roman" w:hAnsi="Times New Roman"/>
          <w:color w:val="0070C0"/>
          <w:sz w:val="16"/>
          <w:szCs w:val="16"/>
        </w:rPr>
        <w:softHyphen/>
        <w:t>ботался ролик включения синхронизатора вследствие его низких механических качеств - мала твердость) - 2 случая;</w:t>
      </w:r>
    </w:p>
    <w:p w14:paraId="77619D16" w14:textId="77777777" w:rsidR="003C527E" w:rsidRPr="008A2E5A" w:rsidRDefault="003C527E" w:rsidP="003C52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посадке сломался костыль - 1 слу</w:t>
      </w:r>
      <w:r w:rsidRPr="008A2E5A">
        <w:rPr>
          <w:rFonts w:ascii="Times New Roman" w:hAnsi="Times New Roman"/>
          <w:color w:val="0070C0"/>
          <w:sz w:val="16"/>
          <w:szCs w:val="16"/>
        </w:rPr>
        <w:softHyphen/>
        <w:t>чай;</w:t>
      </w:r>
    </w:p>
    <w:p w14:paraId="76D44010" w14:textId="77777777" w:rsidR="003C527E" w:rsidRPr="008A2E5A" w:rsidRDefault="003C527E" w:rsidP="003C52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Срыв замков “дзус” верхнего капота мотора - 1 случай;</w:t>
      </w:r>
    </w:p>
    <w:p w14:paraId="47AA9561" w14:textId="77777777" w:rsidR="003C527E" w:rsidRPr="008A2E5A" w:rsidRDefault="003C527E" w:rsidP="003C52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Прогар выхл. коллектора по отбор</w:t>
      </w:r>
      <w:r w:rsidRPr="008A2E5A">
        <w:rPr>
          <w:rFonts w:ascii="Times New Roman" w:hAnsi="Times New Roman"/>
          <w:color w:val="0070C0"/>
          <w:sz w:val="16"/>
          <w:szCs w:val="16"/>
        </w:rPr>
        <w:softHyphen/>
        <w:t>товке цил. № 12 - 1 случай;</w:t>
      </w:r>
    </w:p>
    <w:p w14:paraId="763195E8" w14:textId="77777777" w:rsidR="003C527E" w:rsidRPr="008A2E5A" w:rsidRDefault="003C527E" w:rsidP="003C52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Отказ свечей через 10-20 часов работы и плохой контроль их при приемке, вслед</w:t>
      </w:r>
      <w:r w:rsidRPr="008A2E5A">
        <w:rPr>
          <w:rFonts w:ascii="Times New Roman" w:hAnsi="Times New Roman"/>
          <w:color w:val="0070C0"/>
          <w:sz w:val="16"/>
          <w:szCs w:val="16"/>
        </w:rPr>
        <w:softHyphen/>
        <w:t>ствие чего при первой постановке некото</w:t>
      </w:r>
      <w:r w:rsidRPr="008A2E5A">
        <w:rPr>
          <w:rFonts w:ascii="Times New Roman" w:hAnsi="Times New Roman"/>
          <w:color w:val="0070C0"/>
          <w:sz w:val="16"/>
          <w:szCs w:val="16"/>
        </w:rPr>
        <w:softHyphen/>
        <w:t>рые свечи требуют замены (новые);</w:t>
      </w:r>
    </w:p>
    <w:p w14:paraId="6750E628" w14:textId="77777777" w:rsidR="003C527E" w:rsidRPr="008A2E5A" w:rsidRDefault="003C527E" w:rsidP="003C52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Перекачка масла при работе на малых оборотах - 1 случай. Заменили помпу МШ-5 - дефект не устранен, самолет летает;</w:t>
      </w:r>
    </w:p>
    <w:p w14:paraId="259A768F" w14:textId="77777777" w:rsidR="003C527E" w:rsidRPr="008A2E5A" w:rsidRDefault="003C527E" w:rsidP="003C52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Выбивание масла из суфлирующей трубки маслобака при заливке в бак масла больше 40 кг, а также при выполнении воз</w:t>
      </w:r>
      <w:r w:rsidRPr="008A2E5A">
        <w:rPr>
          <w:rFonts w:ascii="Times New Roman" w:hAnsi="Times New Roman"/>
          <w:color w:val="0070C0"/>
          <w:sz w:val="16"/>
          <w:szCs w:val="16"/>
        </w:rPr>
        <w:softHyphen/>
        <w:t>душного боя и при пикировании - на боль</w:t>
      </w:r>
      <w:r w:rsidRPr="008A2E5A">
        <w:rPr>
          <w:rFonts w:ascii="Times New Roman" w:hAnsi="Times New Roman"/>
          <w:color w:val="0070C0"/>
          <w:sz w:val="16"/>
          <w:szCs w:val="16"/>
        </w:rPr>
        <w:softHyphen/>
        <w:t>шинстве самолетов.</w:t>
      </w:r>
    </w:p>
    <w:p w14:paraId="31C30040" w14:textId="77777777" w:rsidR="003C527E" w:rsidRPr="008A2E5A" w:rsidRDefault="003C527E" w:rsidP="003C52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Моторы наработали с начала эксплуата</w:t>
      </w:r>
      <w:r w:rsidRPr="008A2E5A">
        <w:rPr>
          <w:rFonts w:ascii="Times New Roman" w:hAnsi="Times New Roman"/>
          <w:color w:val="0070C0"/>
          <w:sz w:val="16"/>
          <w:szCs w:val="16"/>
        </w:rPr>
        <w:softHyphen/>
        <w:t>ции по 20-25 часов (в среднем). Эксплуати</w:t>
      </w:r>
      <w:r w:rsidRPr="008A2E5A">
        <w:rPr>
          <w:rFonts w:ascii="Times New Roman" w:hAnsi="Times New Roman"/>
          <w:color w:val="0070C0"/>
          <w:sz w:val="16"/>
          <w:szCs w:val="16"/>
        </w:rPr>
        <w:softHyphen/>
        <w:t>руются на топливе 3,2Б-70 (с присадкой им</w:t>
      </w:r>
      <w:r w:rsidRPr="008A2E5A">
        <w:rPr>
          <w:rFonts w:ascii="Times New Roman" w:hAnsi="Times New Roman"/>
          <w:color w:val="0070C0"/>
          <w:sz w:val="16"/>
          <w:szCs w:val="16"/>
        </w:rPr>
        <w:softHyphen/>
        <w:t>портной В-20) и масла МС. Запуск и эксплоа- тация мотора значительно легче, чем на ЛаГГ-3. Техсостав и летный состав дают оценку мотору: “мотор безупречен”.</w:t>
      </w:r>
    </w:p>
    <w:p w14:paraId="20ED68D9" w14:textId="77777777" w:rsidR="003C527E" w:rsidRPr="008A2E5A" w:rsidRDefault="003C527E" w:rsidP="003C52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Вчера, т.е. 19 августа, шесть наших ЛаГГ-5 летали на прикрытие войск. Сбито 4 самолета Ю-88 и 2 подбито. Наши потери - 1 сбит над линией боя (сбит М-109Ф) и один подбитый самолет сел в 7 км от аэродрома. Все летчики заявляют, что самолет очень хороший, особенно вертикальная маневрен</w:t>
      </w:r>
      <w:r w:rsidRPr="008A2E5A">
        <w:rPr>
          <w:rFonts w:ascii="Times New Roman" w:hAnsi="Times New Roman"/>
          <w:color w:val="0070C0"/>
          <w:sz w:val="16"/>
          <w:szCs w:val="16"/>
        </w:rPr>
        <w:softHyphen/>
        <w:t>ность. При подъеме от 109Ф не отстают. Скорость горизонтальная равна 109Ф. На ви</w:t>
      </w:r>
      <w:r w:rsidRPr="008A2E5A">
        <w:rPr>
          <w:rFonts w:ascii="Times New Roman" w:hAnsi="Times New Roman"/>
          <w:color w:val="0070C0"/>
          <w:sz w:val="16"/>
          <w:szCs w:val="16"/>
        </w:rPr>
        <w:softHyphen/>
        <w:t>ражах самолет наш лучше и легко заходит в хвост. В общем, летчики говорят, что вое</w:t>
      </w:r>
      <w:r w:rsidRPr="008A2E5A">
        <w:rPr>
          <w:rFonts w:ascii="Times New Roman" w:hAnsi="Times New Roman"/>
          <w:color w:val="0070C0"/>
          <w:sz w:val="16"/>
          <w:szCs w:val="16"/>
        </w:rPr>
        <w:softHyphen/>
        <w:t>вать одному против 2-х 109Ф можно, но на нашем участке на один самолет приходится иногда 3-4 самолета 109Ф, вот почему мы так многовато потеряли. Но задачу полк выполнил хорошо.</w:t>
      </w:r>
    </w:p>
    <w:p w14:paraId="4EDC1F41" w14:textId="77777777" w:rsidR="003C527E" w:rsidRPr="008A2E5A" w:rsidRDefault="003C527E" w:rsidP="003C52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дефектам: Это основное - что нужно принять меры для изучения и устранения яв</w:t>
      </w:r>
      <w:r w:rsidRPr="008A2E5A">
        <w:rPr>
          <w:rFonts w:ascii="Times New Roman" w:hAnsi="Times New Roman"/>
          <w:color w:val="0070C0"/>
          <w:sz w:val="16"/>
          <w:szCs w:val="16"/>
        </w:rPr>
        <w:softHyphen/>
        <w:t>лений, изложенных в пп. 4, 9, 10 для самоле</w:t>
      </w:r>
      <w:r w:rsidRPr="008A2E5A">
        <w:rPr>
          <w:rFonts w:ascii="Times New Roman" w:hAnsi="Times New Roman"/>
          <w:color w:val="0070C0"/>
          <w:sz w:val="16"/>
          <w:szCs w:val="16"/>
        </w:rPr>
        <w:softHyphen/>
        <w:t>тов, выпускаемых с завода. Мы работаем и внимательно следим за каждым случаем и принимаем меры.</w:t>
      </w:r>
    </w:p>
    <w:p w14:paraId="6DA7D2F5" w14:textId="77777777" w:rsidR="003C527E" w:rsidRPr="008A2E5A" w:rsidRDefault="003C527E" w:rsidP="003C52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Нахожусь в 1ВА в 49 иап. Лично ни в чем не нуждаюсь, продолжаю работу».</w:t>
      </w:r>
    </w:p>
    <w:p w14:paraId="5A54F2BE" w14:textId="77777777" w:rsidR="003C527E" w:rsidRPr="008A2E5A" w:rsidRDefault="003C527E" w:rsidP="003C52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Маленькая ремарка к докладу Федора Фе</w:t>
      </w:r>
      <w:r w:rsidRPr="008A2E5A">
        <w:rPr>
          <w:rFonts w:ascii="Times New Roman" w:hAnsi="Times New Roman"/>
          <w:color w:val="0070C0"/>
          <w:sz w:val="16"/>
          <w:szCs w:val="16"/>
        </w:rPr>
        <w:softHyphen/>
        <w:t>доровича Бабанина. Согласно журналу бое</w:t>
      </w:r>
      <w:r w:rsidRPr="008A2E5A">
        <w:rPr>
          <w:rFonts w:ascii="Times New Roman" w:hAnsi="Times New Roman"/>
          <w:color w:val="0070C0"/>
          <w:sz w:val="16"/>
          <w:szCs w:val="16"/>
        </w:rPr>
        <w:softHyphen/>
        <w:t>вых действий 49 КИАП, 19 августа 1942 года было сбито два Ju 88 и два Ju 87, повреждены один Ju 88 и Fw 189. Погиб лейтенант Петров, на вынужденную сел сержант Ольховский (23587).</w:t>
      </w:r>
    </w:p>
    <w:p w14:paraId="07F1590A" w14:textId="77777777" w:rsidR="003C527E" w:rsidRPr="008A2E5A" w:rsidRDefault="003C527E" w:rsidP="003C527E">
      <w:pPr>
        <w:spacing w:after="0" w:line="240" w:lineRule="auto"/>
        <w:jc w:val="both"/>
        <w:rPr>
          <w:rFonts w:ascii="Times New Roman" w:hAnsi="Times New Roman"/>
          <w:color w:val="0070C0"/>
          <w:sz w:val="16"/>
          <w:szCs w:val="16"/>
        </w:rPr>
      </w:pPr>
    </w:p>
    <w:p w14:paraId="58BCF253"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63A93351" w14:textId="77777777" w:rsidR="00AE7191" w:rsidRPr="001E2C69" w:rsidRDefault="00AE7191" w:rsidP="00722885">
      <w:pPr>
        <w:pStyle w:val="Iauiue"/>
        <w:jc w:val="both"/>
        <w:rPr>
          <w:iCs/>
          <w:color w:val="000000" w:themeColor="text1"/>
          <w:sz w:val="16"/>
          <w:szCs w:val="16"/>
        </w:rPr>
      </w:pPr>
    </w:p>
    <w:p w14:paraId="6D228A1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августа 1942 вышло Постановление ГКО № 2199 Об эвакуации оборудования, материалов, а также рабочих, ИТР и служащих завода № 565 Наркомбоеприпасов из г. Орджоникидзе. РГАНИР, Фонд ГКО, д. 52, лл. 153 (11012).</w:t>
      </w:r>
    </w:p>
    <w:p w14:paraId="61192C49"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DC4DDB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августа 1942 г. на площадку завода (Завод № 610 НКБ /Азербайджан  г. Баку/) в соответствии с пост. ГКО № 2199 было эвакуировано снаряжение бомб АО-8- 10 и ФАБ-100 завода № 565 из Орджоникидзе, в 10.1942 г. прибывшее оборудование введено в строй. Снаряжательный завод. В 12.1942-11.1943 г. - в ведении 1ГУ НКБ.</w:t>
      </w:r>
    </w:p>
    <w:p w14:paraId="247B60B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(12.1942 г.)- 1928 чел.</w:t>
      </w:r>
    </w:p>
    <w:p w14:paraId="2C3B44F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снаряжение: ручная граната РГД-33 (ВОВ), бомбы АО-8, ФАБ-100 (1942-) (11982).</w:t>
      </w:r>
    </w:p>
    <w:p w14:paraId="78D2BAA8"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74FBEEF" w14:textId="77777777" w:rsidR="008319D5" w:rsidRPr="001E2C69" w:rsidRDefault="008319D5"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20 августа 1942 года, постановлением Государственного Комите</w:t>
      </w:r>
      <w:r w:rsidRPr="001E2C69">
        <w:rPr>
          <w:rFonts w:ascii="Times New Roman" w:cs="Times New Roman"/>
          <w:color w:val="000000" w:themeColor="text1"/>
          <w:spacing w:val="0"/>
        </w:rPr>
        <w:softHyphen/>
        <w:t>та Обороны № 2192 «О выпуске улучшен</w:t>
      </w:r>
      <w:r w:rsidRPr="001E2C69">
        <w:rPr>
          <w:rFonts w:ascii="Times New Roman" w:cs="Times New Roman"/>
          <w:color w:val="000000" w:themeColor="text1"/>
          <w:spacing w:val="0"/>
        </w:rPr>
        <w:softHyphen/>
        <w:t xml:space="preserve">ных танков КВ-1 и Т-34»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-1С принимался на вооружение Красной Армии с организа</w:t>
      </w:r>
      <w:r w:rsidRPr="001E2C69">
        <w:rPr>
          <w:rFonts w:ascii="Times New Roman" w:cs="Times New Roman"/>
          <w:color w:val="000000" w:themeColor="text1"/>
          <w:spacing w:val="0"/>
        </w:rPr>
        <w:softHyphen/>
        <w:t>цией его производства на Челябинском Ки</w:t>
      </w:r>
      <w:r w:rsidRPr="001E2C69">
        <w:rPr>
          <w:rFonts w:ascii="Times New Roman" w:cs="Times New Roman"/>
          <w:color w:val="000000" w:themeColor="text1"/>
          <w:spacing w:val="0"/>
        </w:rPr>
        <w:softHyphen/>
        <w:t>ровском заводе (15226).</w:t>
      </w:r>
    </w:p>
    <w:p w14:paraId="595CB30F" w14:textId="77777777" w:rsidR="008319D5" w:rsidRPr="001E2C69" w:rsidRDefault="008319D5" w:rsidP="00722885">
      <w:pPr>
        <w:pStyle w:val="27"/>
        <w:shd w:val="clear" w:color="auto" w:fill="auto"/>
        <w:spacing w:after="0" w:line="240" w:lineRule="auto"/>
        <w:ind w:firstLine="0"/>
        <w:rPr>
          <w:rFonts w:ascii="Times New Roman" w:cs="Times New Roman"/>
          <w:color w:val="000000" w:themeColor="text1"/>
          <w:spacing w:val="0"/>
        </w:rPr>
      </w:pPr>
    </w:p>
    <w:p w14:paraId="233C182C"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августа 1942 года Сталин подписал постановление ГКО №2192сс "О выпуске улучшенных танков КВ-1 и Т-34". Тем самым КВ-1с окончательно был принят на вооружение Красной Армии, а его серийному производству дали зеленый свет. Сегодня стоит поговорить о том, как машина эволюционировала в 1942 году, и насколько оправданным оказался сам факт запуска КВ-1с в серийное производства (23364).</w:t>
      </w:r>
    </w:p>
    <w:p w14:paraId="53780376" w14:textId="77777777" w:rsidR="00DB6F67" w:rsidRPr="008A2E5A" w:rsidRDefault="00DB6F67" w:rsidP="00DB6F67">
      <w:pPr>
        <w:spacing w:after="0" w:line="240" w:lineRule="auto"/>
        <w:jc w:val="both"/>
        <w:rPr>
          <w:rFonts w:ascii="Times New Roman" w:hAnsi="Times New Roman"/>
          <w:color w:val="0070C0"/>
          <w:sz w:val="16"/>
          <w:szCs w:val="16"/>
        </w:rPr>
      </w:pPr>
    </w:p>
    <w:p w14:paraId="3E29978A"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20 августа 1942 года, моменту подписания постановление ГКО №2192сс "О выпуске улучшенных танков КВ-1 и Т-34"на ЧКЗ и заводе №200 уже шли работы по организации серийного производства облегченного КВ. Выполнение постановления ГКО №1878сс от 5 июля 1942 года (оно стало отправной точкой при разработке КВ-1с с боевой массой 42,5 тонны) несколько задержалось, но к середине августа работы по запуску машины в серию вовсю велись. При этом сразу оговаривалось, что часть новых танков будут выпускаться с 5-скоростными коробками передач. Освоение выпуска 8-скоростных коробок передач требовало времени, а тяжелая обстановка на фронте не позволяла расслабляться.</w:t>
      </w:r>
    </w:p>
    <w:p w14:paraId="5CA76285"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Результатом стало то, что самые первые КВ-1с были очень похожи на опытный образец 15001. Разница заключалась в том, что часть из них была как со старой ходовой частью, так и с новой. Об этом впрямую не говорили, но с облегченной ходовой частью явно не всё было гладко. Одним из критичных мест стали опорные катки (чертежный номер 33–65). Их конструкция оказалась недостаточно надежной, а главное, процент производственного брака был чересчур высоким. Одним из признаков того стал пункт "б" постановления ГКО №2192сс. Согласно ему, оговаривался выпуск в августе 1942 года 100 КВ-1с с 5-ступенчатой КПП и старой ходовой частью. Боевая масса при этом возрастала до 43,5-44 тонн. Еще 50 танков выпускалось с 8-скоростной КПП и облегченной ходовой частью. Насколько критичным был переход на новые опорные катки, говорит простой факт. Штатный опорный каток КВ-1 (чертеж 33–803) имел массу 170 килограмм, а каток 33–65 имел массу 135 килограмм. Умножаем на 12, итого только по каткам облегчение на 420 килограмм (23364).</w:t>
      </w:r>
    </w:p>
    <w:p w14:paraId="1C7B7CE8" w14:textId="77777777" w:rsidR="00DB6F67" w:rsidRPr="008A2E5A" w:rsidRDefault="00DB6F67" w:rsidP="00DB6F67">
      <w:pPr>
        <w:spacing w:after="0" w:line="240" w:lineRule="auto"/>
        <w:jc w:val="both"/>
        <w:rPr>
          <w:rFonts w:ascii="Times New Roman" w:hAnsi="Times New Roman"/>
          <w:color w:val="0070C0"/>
          <w:sz w:val="16"/>
          <w:szCs w:val="16"/>
        </w:rPr>
      </w:pPr>
    </w:p>
    <w:p w14:paraId="48739C09"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августа 1942 г. вышло Постановление ГКО № 2192сс «О выпуске улучшенных танков КВ-1 и Т-34».</w:t>
      </w:r>
    </w:p>
    <w:p w14:paraId="1635D140"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Обороны постановляет:</w:t>
      </w:r>
    </w:p>
    <w:p w14:paraId="29A93EC5"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Обязать Наркомтанкопром (г. Зальцмана) и директора Кировского завода т.Махонина:</w:t>
      </w:r>
    </w:p>
    <w:p w14:paraId="5CD9E016"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выпускать танки КВ-1с, весом в 42,5 тонны, с новой восьмискоростной коробкой перемены передач, улучшенной системой охлаждения мотора, новой башней с командирской башенкой, облегченным корпусом;</w:t>
      </w:r>
    </w:p>
    <w:p w14:paraId="2D7681A3"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разрешить производство в августе 100 танков КВ-1 с улучшенной старой коробкой перемены передач и старой ходовой частью (вес 43-44 тонны) и 50 танков КВ-1 с в соответствии с пунктом 1 настоящего Постановления;</w:t>
      </w:r>
    </w:p>
    <w:p w14:paraId="3658154B"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 1 сентября все выпускаемые танки КВ-1с должны соответствовать пункту 1 настоящего Постановления.</w:t>
      </w:r>
    </w:p>
    <w:p w14:paraId="6C35B83C"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Предупредить т. Махонина о недопустимости нарушения решения ГКО относительно установленного веса танка</w:t>
      </w:r>
    </w:p>
    <w:p w14:paraId="63E9B567"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КВ-1с (42,5 тонны).</w:t>
      </w:r>
    </w:p>
    <w:p w14:paraId="17E127EE"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Обязать Наркомтанкопром (т. Зальцмана):</w:t>
      </w:r>
    </w:p>
    <w:p w14:paraId="33C5A470"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ввести в серию 5-скоростную коробку на танках Т-34 выпуска Кировского завода и «Уралмашзавода»;</w:t>
      </w:r>
    </w:p>
    <w:p w14:paraId="40422166"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к 15 сентября с.г. внести в ГКО предложение о порядке перевода остальных заводов НКТП на выпуск танков Т-34 с новой пятискоростной коробкой перемены передач.</w:t>
      </w:r>
    </w:p>
    <w:p w14:paraId="44080F2F"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Наркомтанкопром (т. Зальцмана), директора завода № 183 т. Максарева, главного конструктора завода № 183 т. Морозова к 15 сентября закончить доработку башни с командирской башенкой и усиленного ленивца и представить в ГКО предложения о порядке их внедрения в серийное производство (23998).</w:t>
      </w:r>
    </w:p>
    <w:p w14:paraId="043B62B5" w14:textId="77777777" w:rsidR="00DB6F67" w:rsidRPr="008A2E5A" w:rsidRDefault="00DB6F67" w:rsidP="00DB6F67">
      <w:pPr>
        <w:spacing w:after="0" w:line="240" w:lineRule="auto"/>
        <w:jc w:val="both"/>
        <w:rPr>
          <w:rFonts w:ascii="Times New Roman" w:hAnsi="Times New Roman"/>
          <w:color w:val="0070C0"/>
          <w:sz w:val="16"/>
          <w:szCs w:val="16"/>
        </w:rPr>
      </w:pPr>
    </w:p>
    <w:p w14:paraId="75466B0E"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районе 20 августа 1942, когда уже было понятно, что машина КВ-1 получилась, стали собирать первые танки. Впрочем, такой фальстарт имел определенные последствия, да и в целом первый год производства КВ-1с оказался очень сложным. Балжи в этом смысле "везло": в 1945 году в примерно таком же пожарном темпе рождался ИС-3. Несмотря на то, что подобный подход приводил к отрицательным результатам, плюсов оказалось больше. Во многом новый танк за неполных 2 месяца разработки - это большое достижение. Что же касается опытных машин, то КВ-1с №15002 дожил до наших дней. Правда, в сильно измененном виде (23351).</w:t>
      </w:r>
    </w:p>
    <w:p w14:paraId="2985E5DC" w14:textId="77777777" w:rsidR="00DB6F67" w:rsidRPr="008A2E5A" w:rsidRDefault="00DB6F67" w:rsidP="00DB6F67">
      <w:pPr>
        <w:spacing w:after="0" w:line="240" w:lineRule="auto"/>
        <w:jc w:val="both"/>
        <w:rPr>
          <w:rFonts w:ascii="Times New Roman" w:hAnsi="Times New Roman"/>
          <w:color w:val="0070C0"/>
          <w:sz w:val="16"/>
          <w:szCs w:val="16"/>
        </w:rPr>
      </w:pPr>
    </w:p>
    <w:p w14:paraId="544E374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 августа 1942 на вооружение был принят КВ-1С, облегченный до 42.5 т, с новой коробкой передач и пушкой, и на Кировском заводе в Челябинске началась серия, которая прекратилась в сентябре 1943 после выпуска 1106 танков. Летом 1942 в Челябинске стальные радиаторы испытывали в большой морозильной камере в Челябинске. Машину показали англичанам и потом ее испытали в США на Абердингском полигоне (3828,32).</w:t>
      </w:r>
    </w:p>
    <w:p w14:paraId="57AC00DA" w14:textId="77777777" w:rsidR="00AE7191" w:rsidRPr="001E2C69" w:rsidRDefault="00AE7191" w:rsidP="00722885">
      <w:pPr>
        <w:pStyle w:val="Iauiue"/>
        <w:jc w:val="both"/>
        <w:rPr>
          <w:color w:val="000000" w:themeColor="text1"/>
          <w:sz w:val="16"/>
          <w:szCs w:val="16"/>
        </w:rPr>
      </w:pPr>
    </w:p>
    <w:p w14:paraId="7CA9856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авгус</w:t>
      </w:r>
      <w:r w:rsidRPr="001E2C69">
        <w:rPr>
          <w:rFonts w:ascii="Times New Roman" w:hAnsi="Times New Roman"/>
          <w:color w:val="000000" w:themeColor="text1"/>
          <w:sz w:val="16"/>
          <w:szCs w:val="16"/>
        </w:rPr>
        <w:softHyphen/>
        <w:t>та 1942 новый танк КВ-1 С был принят на вооружение Красной Армии. Он в самом деле оправдывал свое название, ибо его масса снизилась до 42,3 тонны, а максимальная ско</w:t>
      </w:r>
      <w:r w:rsidRPr="001E2C69">
        <w:rPr>
          <w:rFonts w:ascii="Times New Roman" w:hAnsi="Times New Roman"/>
          <w:color w:val="000000" w:themeColor="text1"/>
          <w:sz w:val="16"/>
          <w:szCs w:val="16"/>
        </w:rPr>
        <w:softHyphen/>
        <w:t>рость возросла до 43 км/ч по шоссе. Однако это было достигнуто за счет снижения броне</w:t>
      </w:r>
      <w:r w:rsidRPr="001E2C69">
        <w:rPr>
          <w:rFonts w:ascii="Times New Roman" w:hAnsi="Times New Roman"/>
          <w:color w:val="000000" w:themeColor="text1"/>
          <w:sz w:val="16"/>
          <w:szCs w:val="16"/>
        </w:rPr>
        <w:softHyphen/>
        <w:t xml:space="preserve">вой защиты танка, и если летом-осенью такое решение еще </w:t>
      </w:r>
      <w:r w:rsidRPr="001E2C69">
        <w:rPr>
          <w:rFonts w:ascii="Times New Roman" w:hAnsi="Times New Roman"/>
          <w:color w:val="000000" w:themeColor="text1"/>
          <w:sz w:val="16"/>
          <w:szCs w:val="16"/>
        </w:rPr>
        <w:lastRenderedPageBreak/>
        <w:t>могло быть оправданным, то к лету 1942 г. ситуация изме</w:t>
      </w:r>
      <w:r w:rsidRPr="001E2C69">
        <w:rPr>
          <w:rFonts w:ascii="Times New Roman" w:hAnsi="Times New Roman"/>
          <w:color w:val="000000" w:themeColor="text1"/>
          <w:sz w:val="16"/>
          <w:szCs w:val="16"/>
        </w:rPr>
        <w:softHyphen/>
        <w:t>нилась. Теперь в вермахт начали поступать новые 75-мм противотанковые пушки Рак 40, танки Т Ш и Т 1У стали вооружаться длинноствольными 50- и 75-мм орудиями. Повсеместно вводились кумулятивные и подкалиберные боеприпасы. Все это привело к тому, что танк КВ утратил часть своих боевых качеств и в целом сравнялся с Т-34 (10782).</w:t>
      </w:r>
    </w:p>
    <w:p w14:paraId="0E6FDB4C"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43CB77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20 августа 1942 года начался серийный выпуск танков КВ-1с. Всего до апреля 1943 было выпущено 1370 танков КВ-1с. На базе КВ-1с строился огнеметный танк КВ-8с, также он послужил базой для создания КВ-85, а шасси КВ-1с использовалось для выпуска самоходок СУ-152. (3862).</w:t>
      </w:r>
    </w:p>
    <w:p w14:paraId="58574DA9" w14:textId="77777777" w:rsidR="00AE7191" w:rsidRPr="001E2C69" w:rsidRDefault="00AE7191" w:rsidP="00722885">
      <w:pPr>
        <w:pStyle w:val="Iauiue"/>
        <w:jc w:val="both"/>
        <w:rPr>
          <w:color w:val="000000" w:themeColor="text1"/>
          <w:sz w:val="16"/>
          <w:szCs w:val="16"/>
        </w:rPr>
      </w:pPr>
    </w:p>
    <w:p w14:paraId="284B28E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августа 1942 г. Танк КВ-1С был принят на вооружение РККА и выпускался на ЧКЗ серийно до сентября 1943 г. Всего было выпущено 1083 танка (624 машины в 1942 г. и 459 машин в 1943 г.) данной модификации, которые широко применялись на фронтах Великой Отечественной войны. Танк КВ-1С был разработан на базе танка КВ-1 обр. 1941 г. и отли</w:t>
      </w:r>
      <w:r w:rsidRPr="001E2C69">
        <w:rPr>
          <w:rFonts w:ascii="Times New Roman" w:hAnsi="Times New Roman"/>
          <w:color w:val="000000" w:themeColor="text1"/>
          <w:sz w:val="16"/>
          <w:szCs w:val="16"/>
        </w:rPr>
        <w:softHyphen/>
        <w:t>чался от последнего уменьшенной толщиной бортовых листов и листов днища корпуса, литой башней измененной формы, а также размещени</w:t>
      </w:r>
      <w:r w:rsidRPr="001E2C69">
        <w:rPr>
          <w:rFonts w:ascii="Times New Roman" w:hAnsi="Times New Roman"/>
          <w:color w:val="000000" w:themeColor="text1"/>
          <w:sz w:val="16"/>
          <w:szCs w:val="16"/>
        </w:rPr>
        <w:softHyphen/>
        <w:t>ем членов экипажа в башне и установкой более совершенной коробки передач. Машина имела классическую схему общей компоновки. Забро</w:t>
      </w:r>
      <w:r w:rsidRPr="001E2C69">
        <w:rPr>
          <w:rFonts w:ascii="Times New Roman" w:hAnsi="Times New Roman"/>
          <w:color w:val="000000" w:themeColor="text1"/>
          <w:sz w:val="16"/>
          <w:szCs w:val="16"/>
        </w:rPr>
        <w:softHyphen/>
        <w:t>нированный объем боевого и транс</w:t>
      </w:r>
      <w:r w:rsidRPr="001E2C69">
        <w:rPr>
          <w:rFonts w:ascii="Times New Roman" w:hAnsi="Times New Roman"/>
          <w:color w:val="000000" w:themeColor="text1"/>
          <w:sz w:val="16"/>
          <w:szCs w:val="16"/>
        </w:rPr>
        <w:softHyphen/>
        <w:t>миссионного отделений машины был сокращен за счет уменьшения размеров башни и уменьшения вы</w:t>
      </w:r>
      <w:r w:rsidRPr="001E2C69">
        <w:rPr>
          <w:rFonts w:ascii="Times New Roman" w:hAnsi="Times New Roman"/>
          <w:color w:val="000000" w:themeColor="text1"/>
          <w:sz w:val="16"/>
          <w:szCs w:val="16"/>
        </w:rPr>
        <w:softHyphen/>
        <w:t>соты кормовой части корпуса. Кро</w:t>
      </w:r>
      <w:r w:rsidRPr="001E2C69">
        <w:rPr>
          <w:rFonts w:ascii="Times New Roman" w:hAnsi="Times New Roman"/>
          <w:color w:val="000000" w:themeColor="text1"/>
          <w:sz w:val="16"/>
          <w:szCs w:val="16"/>
        </w:rPr>
        <w:softHyphen/>
        <w:t>ме того, была снижена масса узлов и агрегатов трансмиссии и ходовой части танка (10703).</w:t>
      </w:r>
    </w:p>
    <w:p w14:paraId="666E18D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28BAC20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августа 1942 года на смену КВ-1 пришел принятый на вооружение танк КВ-1С, существенно отличавшийся от своего предшественника. В числе принципиальных отличий были усовершенствованная система охлаждения и новая коробка передач. Но настоящим прорывом в вопросе надёжности стало создание танка ИС в 1943 году (12290).</w:t>
      </w:r>
    </w:p>
    <w:p w14:paraId="1FB32213"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62EF2F8" w14:textId="77777777" w:rsidR="00AE7191" w:rsidRPr="001E2C69" w:rsidRDefault="00AE7191" w:rsidP="00722885">
      <w:pPr>
        <w:pStyle w:val="a4"/>
        <w:rPr>
          <w:color w:val="000000" w:themeColor="text1"/>
          <w:lang w:val="ru-RU"/>
        </w:rPr>
      </w:pPr>
      <w:r w:rsidRPr="001E2C69">
        <w:rPr>
          <w:color w:val="000000" w:themeColor="text1"/>
          <w:lang w:val="ru-RU"/>
        </w:rPr>
        <w:t>20 августа 1942 г. постановлением ГКО танк КВ-1С приняли к серийному производ</w:t>
      </w:r>
      <w:r w:rsidRPr="001E2C69">
        <w:rPr>
          <w:color w:val="000000" w:themeColor="text1"/>
          <w:lang w:val="ru-RU"/>
        </w:rPr>
        <w:softHyphen/>
        <w:t>ству. Но, как показали дальнейшие события, существенного изменения в расстановку сил на фронте это не внесло. По боевым возмож</w:t>
      </w:r>
      <w:r w:rsidRPr="001E2C69">
        <w:rPr>
          <w:color w:val="000000" w:themeColor="text1"/>
          <w:lang w:val="ru-RU"/>
        </w:rPr>
        <w:softHyphen/>
        <w:t>ностям (главным образом — по броневой защите) могущество КВ несколько снизилось, а показатели подвижности (проходимости, скорости) — повысились. Но в целом техни</w:t>
      </w:r>
      <w:r w:rsidRPr="001E2C69">
        <w:rPr>
          <w:color w:val="000000" w:themeColor="text1"/>
          <w:lang w:val="ru-RU"/>
        </w:rPr>
        <w:softHyphen/>
        <w:t>ческий уровень модернизированного танка остался практически прежним, хотя качество изготовления КВ-1С было выше, чем у пред</w:t>
      </w:r>
      <w:r w:rsidRPr="001E2C69">
        <w:rPr>
          <w:color w:val="000000" w:themeColor="text1"/>
          <w:lang w:val="ru-RU"/>
        </w:rPr>
        <w:softHyphen/>
        <w:t>шественника.</w:t>
      </w:r>
    </w:p>
    <w:p w14:paraId="422BD32F" w14:textId="77777777" w:rsidR="00AE7191" w:rsidRPr="001E2C69" w:rsidRDefault="00AE7191" w:rsidP="00722885">
      <w:pPr>
        <w:pStyle w:val="a4"/>
        <w:rPr>
          <w:color w:val="000000" w:themeColor="text1"/>
          <w:lang w:val="ru-RU"/>
        </w:rPr>
      </w:pPr>
      <w:r w:rsidRPr="001E2C69">
        <w:rPr>
          <w:color w:val="000000" w:themeColor="text1"/>
          <w:lang w:val="ru-RU"/>
        </w:rPr>
        <w:t>Конструктивные недостатки КВ были хорошо известны конструкторам ЧКЗ. Поэтому еще летом, в ходе работ по КВ-13, в СКБ-2 под руководством заместителя главного конструк</w:t>
      </w:r>
      <w:r w:rsidRPr="001E2C69">
        <w:rPr>
          <w:color w:val="000000" w:themeColor="text1"/>
          <w:lang w:val="ru-RU"/>
        </w:rPr>
        <w:softHyphen/>
        <w:t>тора Н.Л. Духова началось проектирование новой модификации тяжелого танка КВ.</w:t>
      </w:r>
    </w:p>
    <w:p w14:paraId="265189AB" w14:textId="77777777" w:rsidR="00AE7191" w:rsidRPr="001E2C69" w:rsidRDefault="00AE7191" w:rsidP="00722885">
      <w:pPr>
        <w:pStyle w:val="a4"/>
        <w:rPr>
          <w:color w:val="000000" w:themeColor="text1"/>
          <w:lang w:val="ru-RU"/>
        </w:rPr>
      </w:pPr>
      <w:r w:rsidRPr="001E2C69">
        <w:rPr>
          <w:color w:val="000000" w:themeColor="text1"/>
          <w:lang w:val="ru-RU"/>
        </w:rPr>
        <w:t>Этот танк, получивший обозначение КВ-1С, характеризовался уменьшенной тол</w:t>
      </w:r>
      <w:r w:rsidRPr="001E2C69">
        <w:rPr>
          <w:color w:val="000000" w:themeColor="text1"/>
          <w:lang w:val="ru-RU"/>
        </w:rPr>
        <w:softHyphen/>
        <w:t>щиной брони борта и днища. Конфигурация машины была изменена за счет уменьшения размеров башни и высоты корпуса в кормовой части. Конструктивные решения узлов и дета</w:t>
      </w:r>
      <w:r w:rsidRPr="001E2C69">
        <w:rPr>
          <w:color w:val="000000" w:themeColor="text1"/>
          <w:lang w:val="ru-RU"/>
        </w:rPr>
        <w:softHyphen/>
        <w:t>лей трансмиссии и ходовой части также пере</w:t>
      </w:r>
      <w:r w:rsidRPr="001E2C69">
        <w:rPr>
          <w:color w:val="000000" w:themeColor="text1"/>
          <w:lang w:val="ru-RU"/>
        </w:rPr>
        <w:softHyphen/>
        <w:t>смотрели в сторону уменьшения их размеров и массы. Пятиступенчатая коробка передач, как ненадежная и морально устаревшая, под</w:t>
      </w:r>
      <w:r w:rsidRPr="001E2C69">
        <w:rPr>
          <w:color w:val="000000" w:themeColor="text1"/>
          <w:lang w:val="ru-RU"/>
        </w:rPr>
        <w:softHyphen/>
        <w:t>лежала замене на 8-скоростную (как на КВ-13). Изменили главный фрикцион и опорные катки, уменьшили ширину гусеницы. Кроме того, в гусеничной ленте устанавливались траки (через один) с гребнями и без них. Двигатель остался прежний — В-2К.</w:t>
      </w:r>
    </w:p>
    <w:p w14:paraId="211B2590" w14:textId="77777777" w:rsidR="00AE7191" w:rsidRPr="001E2C69" w:rsidRDefault="00AE7191" w:rsidP="00722885">
      <w:pPr>
        <w:pStyle w:val="a4"/>
        <w:rPr>
          <w:color w:val="000000" w:themeColor="text1"/>
          <w:lang w:val="ru-RU"/>
        </w:rPr>
      </w:pPr>
      <w:r w:rsidRPr="001E2C69">
        <w:rPr>
          <w:color w:val="000000" w:themeColor="text1"/>
          <w:lang w:val="ru-RU"/>
        </w:rPr>
        <w:t>Компоновка боевого отделения подвер</w:t>
      </w:r>
      <w:r w:rsidRPr="001E2C69">
        <w:rPr>
          <w:color w:val="000000" w:themeColor="text1"/>
          <w:lang w:val="ru-RU"/>
        </w:rPr>
        <w:softHyphen/>
        <w:t>глась существенным изменениям. Эту важ</w:t>
      </w:r>
      <w:r w:rsidRPr="001E2C69">
        <w:rPr>
          <w:color w:val="000000" w:themeColor="text1"/>
          <w:lang w:val="ru-RU"/>
        </w:rPr>
        <w:softHyphen/>
        <w:t>ную работу выполнял Григорий Николаевич Москвин. В танке КВ-1 наводчик размещался слева от пушки, командир и заряжающий — справа. В КВ-1С место командира танка пере</w:t>
      </w:r>
      <w:r w:rsidRPr="001E2C69">
        <w:rPr>
          <w:color w:val="000000" w:themeColor="text1"/>
          <w:lang w:val="ru-RU"/>
        </w:rPr>
        <w:softHyphen/>
        <w:t>несли на левую сторону башни и над ним (на крыше башни) установили неподвижную командирскую башенку с пятью зеркаль</w:t>
      </w:r>
      <w:r w:rsidRPr="001E2C69">
        <w:rPr>
          <w:color w:val="000000" w:themeColor="text1"/>
          <w:lang w:val="ru-RU"/>
        </w:rPr>
        <w:softHyphen/>
        <w:t>ными смотровыми приборами для кругового обзора.</w:t>
      </w:r>
    </w:p>
    <w:p w14:paraId="297CC0E2" w14:textId="77777777" w:rsidR="00AE7191" w:rsidRPr="001E2C69" w:rsidRDefault="00AE7191" w:rsidP="00722885">
      <w:pPr>
        <w:pStyle w:val="a4"/>
        <w:rPr>
          <w:color w:val="000000" w:themeColor="text1"/>
          <w:lang w:val="ru-RU"/>
        </w:rPr>
      </w:pPr>
      <w:r w:rsidRPr="001E2C69">
        <w:rPr>
          <w:color w:val="000000" w:themeColor="text1"/>
          <w:lang w:val="ru-RU"/>
        </w:rPr>
        <w:t>В танке КВ-1 монтаж пушки осуществлялся через окно в передней стенке башни. Сначала внутрь башни заводилась казенная часть орудия, а затем корытообразная бронировка, закрывающая переднюю часть установки пушки и спаренного с ней пулемета, крепилась изнутри башни болтами по периметру окна.</w:t>
      </w:r>
    </w:p>
    <w:p w14:paraId="32006117" w14:textId="77777777" w:rsidR="00AE7191" w:rsidRPr="001E2C69" w:rsidRDefault="00AE7191" w:rsidP="00722885">
      <w:pPr>
        <w:pStyle w:val="a4"/>
        <w:rPr>
          <w:color w:val="000000" w:themeColor="text1"/>
          <w:lang w:val="ru-RU"/>
        </w:rPr>
      </w:pPr>
      <w:r w:rsidRPr="001E2C69">
        <w:rPr>
          <w:color w:val="000000" w:themeColor="text1"/>
          <w:lang w:val="ru-RU"/>
        </w:rPr>
        <w:t>В КВ-1 С орудие на стенде с помощью цапф устанавливалось непосредственно в броне</w:t>
      </w:r>
      <w:r w:rsidRPr="001E2C69">
        <w:rPr>
          <w:color w:val="000000" w:themeColor="text1"/>
          <w:lang w:val="ru-RU"/>
        </w:rPr>
        <w:softHyphen/>
        <w:t>вом корыте на двух приваренных щеках. Далее броневое корыто вместе с пушкой крепилось к башне с помощью болтов. Это намного сокра</w:t>
      </w:r>
      <w:r w:rsidRPr="001E2C69">
        <w:rPr>
          <w:color w:val="000000" w:themeColor="text1"/>
          <w:lang w:val="ru-RU"/>
        </w:rPr>
        <w:softHyphen/>
        <w:t>щало время монтажа пушки в башне.</w:t>
      </w:r>
    </w:p>
    <w:p w14:paraId="539971AB" w14:textId="77777777" w:rsidR="00AE7191" w:rsidRPr="001E2C69" w:rsidRDefault="00AE7191" w:rsidP="00722885">
      <w:pPr>
        <w:pStyle w:val="a4"/>
        <w:rPr>
          <w:color w:val="000000" w:themeColor="text1"/>
          <w:lang w:val="ru-RU"/>
        </w:rPr>
      </w:pPr>
      <w:r w:rsidRPr="001E2C69">
        <w:rPr>
          <w:color w:val="000000" w:themeColor="text1"/>
          <w:lang w:val="ru-RU"/>
        </w:rPr>
        <w:t>За новаторское выполнение проекта танка КВ-1С Г.Н. Москвина наградили орденом «Знак Почета».</w:t>
      </w:r>
    </w:p>
    <w:p w14:paraId="40AA7D72" w14:textId="77777777" w:rsidR="00AE7191" w:rsidRPr="001E2C69" w:rsidRDefault="00AE7191" w:rsidP="00722885">
      <w:pPr>
        <w:pStyle w:val="a4"/>
        <w:rPr>
          <w:color w:val="000000" w:themeColor="text1"/>
          <w:lang w:val="ru-RU"/>
        </w:rPr>
      </w:pPr>
      <w:r w:rsidRPr="001E2C69">
        <w:rPr>
          <w:color w:val="000000" w:themeColor="text1"/>
          <w:lang w:val="ru-RU"/>
        </w:rPr>
        <w:t>В результате проведенных мероприя</w:t>
      </w:r>
      <w:r w:rsidRPr="001E2C69">
        <w:rPr>
          <w:color w:val="000000" w:themeColor="text1"/>
          <w:lang w:val="ru-RU"/>
        </w:rPr>
        <w:softHyphen/>
        <w:t>тий боевая масса танка КВ-1С снизилась до 42,5 т (вместо 47,5 т у КВ-1), а максимальная скорость возросла с 35 до 43 км/ч. Но достиг</w:t>
      </w:r>
      <w:r w:rsidRPr="001E2C69">
        <w:rPr>
          <w:color w:val="000000" w:themeColor="text1"/>
          <w:lang w:val="ru-RU"/>
        </w:rPr>
        <w:softHyphen/>
        <w:t>нуто это было в основном за счет снижения уровня броневой защиты.</w:t>
      </w:r>
    </w:p>
    <w:p w14:paraId="679B4D76" w14:textId="77777777" w:rsidR="00AE7191" w:rsidRPr="001E2C69" w:rsidRDefault="00AE7191" w:rsidP="00722885">
      <w:pPr>
        <w:pStyle w:val="a4"/>
        <w:rPr>
          <w:color w:val="000000" w:themeColor="text1"/>
          <w:lang w:val="ru-RU"/>
        </w:rPr>
      </w:pPr>
      <w:r w:rsidRPr="001E2C69">
        <w:rPr>
          <w:color w:val="000000" w:themeColor="text1"/>
          <w:lang w:val="ru-RU"/>
        </w:rPr>
        <w:t>На фронте в период боев на Курской дуге основу вооружения танковых частей и соединений Красной Армии составляли танки Т-34-76 и даже легкие Т-70 с пушками калибра 45 мм. В небольшом количестве в боях прини</w:t>
      </w:r>
      <w:r w:rsidRPr="001E2C69">
        <w:rPr>
          <w:color w:val="000000" w:themeColor="text1"/>
          <w:lang w:val="ru-RU"/>
        </w:rPr>
        <w:softHyphen/>
        <w:t xml:space="preserve">мали участие также английские тяжелые танки Мк </w:t>
      </w:r>
      <w:r w:rsidRPr="001E2C69">
        <w:rPr>
          <w:color w:val="000000" w:themeColor="text1"/>
        </w:rPr>
        <w:t>IV</w:t>
      </w:r>
      <w:r w:rsidRPr="001E2C69">
        <w:rPr>
          <w:color w:val="000000" w:themeColor="text1"/>
          <w:lang w:val="ru-RU"/>
        </w:rPr>
        <w:t xml:space="preserve"> «Черчилль», поставленные по ленд-лизу.</w:t>
      </w:r>
    </w:p>
    <w:p w14:paraId="4BF799E8" w14:textId="77777777" w:rsidR="00AE7191" w:rsidRPr="001E2C69" w:rsidRDefault="00AE7191" w:rsidP="00722885">
      <w:pPr>
        <w:pStyle w:val="a4"/>
        <w:rPr>
          <w:color w:val="000000" w:themeColor="text1"/>
          <w:lang w:val="ru-RU"/>
        </w:rPr>
      </w:pPr>
      <w:r w:rsidRPr="001E2C69">
        <w:rPr>
          <w:color w:val="000000" w:themeColor="text1"/>
          <w:lang w:val="ru-RU"/>
        </w:rPr>
        <w:t>Количество новых тяжелых танков КВ-1 С и самоходных установок СУ-152 (на базе КВ-1С), вооруженных 152,4-мм пушками-гаубицами, было еще незначительным. Однако эффект от их применения был достаточно внушительный, особенно — СУ-152 (12617).</w:t>
      </w:r>
    </w:p>
    <w:p w14:paraId="74D844A7" w14:textId="77777777" w:rsidR="00AE7191" w:rsidRPr="001E2C69" w:rsidRDefault="00AE7191" w:rsidP="00722885">
      <w:pPr>
        <w:pStyle w:val="a4"/>
        <w:rPr>
          <w:color w:val="000000" w:themeColor="text1"/>
          <w:lang w:val="ru-RU"/>
        </w:rPr>
      </w:pPr>
    </w:p>
    <w:p w14:paraId="27CE9FA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августа 1942 вышло Постановление ГКО № 2192 О выпуске улучшенных танков КВ-1 и Т-34. РГАНИР, Фонд ГКО, д. 52, лл. 142 (11012).</w:t>
      </w:r>
    </w:p>
    <w:p w14:paraId="3CD05DA1"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0A4C2A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августа 1942 вышло Постановление ГКО № 2193 Об эвакуации оборудования и кадров торпедоминного производства завода № 182 Наркомсудпрома. РГАНИР, Фонд ГКО, д. 52, лл. 143-144 (11012).</w:t>
      </w:r>
    </w:p>
    <w:p w14:paraId="6BCC6059"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AFC143F"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20 августа по 10 сентября 1942 г. ЦНИИ-48 провел свое первое исследование причин потерь Т-34 на поле боя (без указания заводов- изготовителей). Обследовались только танки, находящиеся на ремонтных базах Москвы и горьковском заводе № 112. Следовательно, эту выборку нельзя назвать полностью репрезентативной. Значительная часть машин, оставшихся на поле боя, осталась неизученной. Из всего количества потерянных в бою танков большая доля имела внутренние поломки.</w:t>
      </w:r>
    </w:p>
    <w:p w14:paraId="03A15D21"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Другой вопрос, что основную часть боевых потерь средних танков, уничтоженных огнем противника, ЦНИИ-48 объяснял другим, субъективным фактором. Большинство случаев пробития бронекорпуса приходилось на борт и подкрылки танка. Следовательно, противник был вовремя не обнаружен и смог действовать в относительно комфортной для себя обстановке. Возможно, как было написано в выводе, это объяснялось неопытностью экипажей, не умевших должным образом использовать тактические свойства танков. А также особенностью конструкции танка Т-34, которая не позволяла своевременно обнаружить огневые точки противника из-за неудовлетворительного кругового обзора[438].</w:t>
      </w:r>
    </w:p>
    <w:p w14:paraId="607E5CDB"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какой мере в данной ситуации трещины на корпусе способствовали поражению брони и сколько танков из исследуемых имели эти трещины - сказать трудно. Но впоследствии у Броневого института появились данные, позволяющие пролить свет и на этот вопрос (23536).</w:t>
      </w:r>
    </w:p>
    <w:p w14:paraId="6ABD1B4B" w14:textId="77777777" w:rsidR="00DB6F67" w:rsidRPr="008A2E5A" w:rsidRDefault="00DB6F67" w:rsidP="00DB6F67">
      <w:pPr>
        <w:spacing w:after="0" w:line="240" w:lineRule="auto"/>
        <w:jc w:val="both"/>
        <w:rPr>
          <w:rFonts w:ascii="Times New Roman" w:hAnsi="Times New Roman"/>
          <w:color w:val="0070C0"/>
          <w:sz w:val="16"/>
          <w:szCs w:val="16"/>
        </w:rPr>
      </w:pPr>
    </w:p>
    <w:p w14:paraId="14C2995F"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августа 1942</w:t>
      </w:r>
    </w:p>
    <w:p w14:paraId="08829C12"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94 лист 6 – 4</w:t>
      </w:r>
    </w:p>
    <w:p w14:paraId="15AA07C1"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Сов.секретно.</w:t>
      </w:r>
    </w:p>
    <w:p w14:paraId="36F826D8"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w:t>
      </w:r>
    </w:p>
    <w:p w14:paraId="68F6FAFE"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НАРОДНОГО КОМИССАРА ТАНКОВОЙ ПРОМЫШЛЕННОСТИ СОЮЗА ССР</w:t>
      </w:r>
    </w:p>
    <w:p w14:paraId="6607C9E6"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602сс</w:t>
      </w:r>
    </w:p>
    <w:p w14:paraId="53D95E69"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Москва</w:t>
      </w:r>
    </w:p>
    <w:p w14:paraId="5507C486"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августа 1942 г.</w:t>
      </w:r>
    </w:p>
    <w:p w14:paraId="260B357A"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исполнение постановления Государственного Комитета Обороны Союза ССР № ГОКО-2182сс от 18 августа 1942 г. "О неотложных мерах помощи сталинградским заводам СТЗ и № 264 Наркомтанкопрома" – ПРИКАЗЫВАЮ:</w:t>
      </w:r>
    </w:p>
    <w:p w14:paraId="170F5946"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 Начальнику Главснаба т. Розину, и.о. начальника 3-го Главного Управления т. Хабахпашеву, директору СТЗ тов. Задорожному и директору завода № 264 тов. Суворову учесть и принять к исполнению, что вышеуказанным постановлением ГОКО:</w:t>
      </w:r>
    </w:p>
    <w:p w14:paraId="42E07EA3"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Наркомчермет т. ТЕВОСЯН и директор завода "Красный Октябрь" тов. МАТВЕЕВ обязаны:</w:t>
      </w:r>
    </w:p>
    <w:p w14:paraId="39671380"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переключить завод "Красный Октябрь" на снабжение прокатом заводов СТЗ, № 264 и № 221 имея в виду максимально сократить завоз металла со стороны и полностью обеспечить прокатом эти заводы.</w:t>
      </w:r>
    </w:p>
    <w:p w14:paraId="4263D8A3"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Наркомчермету разрешено прокат и отгрузку металла для заводов СТЗ, № 264 и № 221 сверх ранее выданных нарядов по заводу "Красный Октябрь" производить за счет уменьшения фондов на 3-й квартал 1942 г. по заводам, находящимся вне Сталинграда;</w:t>
      </w:r>
    </w:p>
    <w:p w14:paraId="0B7AB577"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организовать на заводе "Красный Октябрь" производство цветного проката для танкового и дизельного производства и вооружения (кроме радиаторной ленты). Отливку болванки для проката производить на Сталинградском тракторном заводе и заводе № 221 НКВ;</w:t>
      </w:r>
    </w:p>
    <w:p w14:paraId="7D905E4F"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выполнение заказов для заводов СТЗ, № 264 и № 221 производить впереди всех других заказов;</w:t>
      </w:r>
    </w:p>
    <w:p w14:paraId="267EF2DD"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с 20 августа 1942 г. организовать производство сварных башен танков Т-34 с выпуском в августе месяце всего 10 шт. и в сентябре месяце по 5 шт. в сутки. Гнутые детали башни поставляет завод № 264 НКТП.</w:t>
      </w:r>
    </w:p>
    <w:p w14:paraId="6F37CCFE"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Директору завода № 264 т. Суворову немедленно выдать заводу "Красный Октябрь" НКЧМ чертежи на сварную башню танка Т-34.</w:t>
      </w:r>
    </w:p>
    <w:p w14:paraId="4AC01BC4"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НКВ тов. Устинов и директор завода № 221 т. Гонор обязаны обеспечить с 20 августа с.г. изготовление и поставку заводу № 264 заготовок для нижних погон танков Т-34 в количестве 300 шт. в месяц, из них 180 шт. с обдиркой.</w:t>
      </w:r>
    </w:p>
    <w:p w14:paraId="46F612D5"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3. Наркомтяжмаш т. Казаков обязан обеспечить поставку заводу № 264 со Сталинградского завода "ВАТ" не менее 450 баллонов кислорода ежесуточно.</w:t>
      </w:r>
    </w:p>
    <w:p w14:paraId="693D4D0B"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Наркомхимпром т. Локшин обязан обеспечить поставку заводу № 264 с завода № 91 – 200 баллонов кислорода ежесуточно.</w:t>
      </w:r>
    </w:p>
    <w:p w14:paraId="6FC18CC3"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Наркомтяжмаш т. Казаков и директор Коломенского завода т. Гоциридзе обязаны обеспечить при всех условиях поставку заводу № 264 литых башен для танка Т-34 в августе 130 шт. и в сентябре 200 шт.</w:t>
      </w:r>
    </w:p>
    <w:p w14:paraId="6F421903"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НКПС т. Хрулев обязан обеспечить с 20 августа 1942 г. доставку в Сталинград для заводов СТЗ, № 264 и "Красный Октябрь" ежесуточно не менее 200 вагонов с грузом.</w:t>
      </w:r>
    </w:p>
    <w:p w14:paraId="55C671D0"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На Заместителя Наркомпути т. Багаева возложена личная ответственность за бесперебойное продвижение и доставку вагонов с грузами, а также перевозку рабочих заводов СТЗ, № 264 и "Красный Октябрь" внутри Сталинградского ж.д. узла и через переправу на Волге.</w:t>
      </w:r>
    </w:p>
    <w:p w14:paraId="39091DCB"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Наркомречфлот т. Шашков обязан обеспечить перевозку и перевалку всех грузов, идущих в адрес заводов СТЗ, № 264 и "Красный Октябрь" впереди всех других грузов, вслед за оперативными воинскими перевозками.</w:t>
      </w:r>
    </w:p>
    <w:p w14:paraId="2DC8B76F"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На Заместителя Наркома Речного Флота т. Харитонова возложена личная ответственность за бесперебойное продвижение и доставку грузов для заводов СТЗ, № 264 и "Красный Октябрь", идущих по Волге на участке Саратов – Сталинград – Астрахань.</w:t>
      </w:r>
    </w:p>
    <w:p w14:paraId="0831EA21"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2. Директору завода № 264 т. Суворову принять к исполнению Постановление ГОКО, обязывающее его и директора завода "Красный Октябрь" т. Матвеева к 1 сентября с.г. подготовить площади, планировку оборудования, оснастку, технологическую документацию для производства корпусов танка Т-34 на заводе "Красный Октябрь" (цех металлоконструкций), на случай необходимости эвакуировать производство корпусов танка Т-34 с завода № 264. Моему Заместителю т. Горегляд не месте утвердить намечаемую планировку оборудования.</w:t>
      </w:r>
    </w:p>
    <w:p w14:paraId="7DEFAE6E"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3. Моему заместителю по кадрам т. ТУР и директорам заводов СТЗ и № 264 т. Задорожному и т. Суворову учесть и принять к сведению, что:</w:t>
      </w:r>
    </w:p>
    <w:p w14:paraId="6F03A5DF"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НКО т. Федоренко разрешено закрепить до 1 ноября 1942 г. для работы на Сталинградском тракторном заводе красноармейцев из запасного тракторного полка, работающих в настоящее время на СТЗ.</w:t>
      </w:r>
    </w:p>
    <w:p w14:paraId="79FF5C36"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Управление Трудовых Резервов при СНК СССР т. Москатов обязан закрепить для работы на заводах СТЗ и № 264 всех учеников школ ФЗО и ремесленных училищ, которые в данное время проходят производственную практику на этих заводах.</w:t>
      </w:r>
    </w:p>
    <w:p w14:paraId="54817BBA"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4. Начальнику IV-го отдела т. Левшину и директору СТЗ т. Задорожному учесть и принять к исполнению, что в случае отсутствия штамповки СТЗ разрешено использовать станки, предназначенные для производства корпусов 122 мм снарядов для производства деталей для танков и дизелей.</w:t>
      </w:r>
    </w:p>
    <w:p w14:paraId="06746F02"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5. Моему заместителю т. Котину и и.о. Начальника 3-го Главного Управления т. Хабахпашеву установить совместно с Наркомчерметом и ГАБТУ КА допустимые временные отклонения от действующих технических условий на металл и производство танков, корпусов и дизелей танков Т-34 на заводах "Красный Октябрь", СТЗ и № 264 в связи с переходом на местное сырье и отходы и отсутствием подвозки некоторых материалов. Согласованные с НКЧМ и ГАБТУ КА вышеуказанные временные техусловия представить мне не позднее 22 августа с.г.</w:t>
      </w:r>
    </w:p>
    <w:p w14:paraId="3BD34A70"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6. Моему заместителю по рабочему снабжению т. МОСИНУ и директорам заводов СТЗ и № 264 т.т. Задорожному и Суворову учесть и принять к исполнению, что:</w:t>
      </w:r>
    </w:p>
    <w:p w14:paraId="33DB72B2"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Наркомтанкопрому разрешено за счет его фондов на прод. товары выделить на август и сентябрь м-цы дополнительно вторые горячие обеды без вырезки карточек для Сталинградского Тракторного завода на 5000 человек и для завода № 264 на 2000 человек;</w:t>
      </w:r>
    </w:p>
    <w:p w14:paraId="04CBDF80"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Наркоммясомолпром т. Смирнов обязан выдать Наркомтанкопрому на месте для заводов СТЗ и № 264 50 тонн мяса за счет остатков промышленности;</w:t>
      </w:r>
    </w:p>
    <w:p w14:paraId="1C49D3E5"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Наркомпищепром т. Пронин обязан выдать Наркомтанкопрому на месте для заводов СТЗ и № 264 200 т. банок овощных консервов и 100 тонн повидлы за счет остатков промышленности.</w:t>
      </w:r>
    </w:p>
    <w:p w14:paraId="5752B9FA"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Контроль за выполнением настоящего приказа на месте возложить на моего заместителя т. Горегляд, а также на ведущих инженеров по СТЗ и заводу № 264 т.т. Мицельского и Штернберг.</w:t>
      </w:r>
    </w:p>
    <w:p w14:paraId="1BB59818"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ТАНКОВОЙ ПРОМЫШЛЕННОСТИ СОЮЗА ССР</w:t>
      </w:r>
    </w:p>
    <w:p w14:paraId="20989641" w14:textId="77777777" w:rsidR="00DB6F67" w:rsidRPr="008A2E5A" w:rsidRDefault="00DB6F67" w:rsidP="00DB6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ЗАЛЬЦМАН (23500).</w:t>
      </w:r>
    </w:p>
    <w:p w14:paraId="18C904AC" w14:textId="77777777" w:rsidR="00DB6F67" w:rsidRPr="008A2E5A" w:rsidRDefault="00DB6F67" w:rsidP="00DB6F67">
      <w:pPr>
        <w:spacing w:after="0" w:line="240" w:lineRule="auto"/>
        <w:jc w:val="both"/>
        <w:rPr>
          <w:rFonts w:ascii="Times New Roman" w:hAnsi="Times New Roman"/>
          <w:color w:val="0070C0"/>
          <w:sz w:val="16"/>
          <w:szCs w:val="16"/>
        </w:rPr>
      </w:pPr>
    </w:p>
    <w:p w14:paraId="1A9934D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августа 1942 г. вышло постановление ГКО № 2193 об эвакуации оборудования и кадров торпедо-минного производства завода № 182 НКСП; завод эвакуирован в Алма-Ату на завод № 175 (основная часть) и в Петропавловск.</w:t>
      </w:r>
    </w:p>
    <w:p w14:paraId="028BDA6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соответствии с пост. ГКО № 895 от 13.11.1941 г. на заводе № 182 НКСП организовано производство 50-мм минометов и ППШ.</w:t>
      </w:r>
    </w:p>
    <w:p w14:paraId="4A46FFF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Махачкалу в конце 1941 г. эвакуированы: завод № 175 НКСП; часть феодосийского филиала завода № 181 НКСП; часть ОКБ завода № 231 НКСП, образовав ОКБ-182. Продолжены работы по торпедам.</w:t>
      </w:r>
    </w:p>
    <w:p w14:paraId="20D61F9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29.01.1943 г. вышло постановление ГКО №2794 о мерах по восстановлению завода № 182 НКСП.</w:t>
      </w:r>
    </w:p>
    <w:p w14:paraId="5187B11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годы ВОВ- производство дизелей; торпед 53-39 (1943). В 1942 г. выпущена опытная партия мин АМД-500 и АМД-1000.</w:t>
      </w:r>
      <w:r w:rsidRPr="001E2C69">
        <w:rPr>
          <w:rFonts w:ascii="Times New Roman" w:hAnsi="Times New Roman"/>
          <w:color w:val="000000" w:themeColor="text1"/>
          <w:sz w:val="16"/>
          <w:szCs w:val="16"/>
          <w:vertAlign w:val="superscript"/>
        </w:rPr>
        <w:t>61</w:t>
      </w:r>
      <w:r w:rsidRPr="001E2C69">
        <w:rPr>
          <w:rFonts w:ascii="Times New Roman" w:hAnsi="Times New Roman"/>
          <w:color w:val="000000" w:themeColor="text1"/>
          <w:sz w:val="16"/>
          <w:szCs w:val="16"/>
        </w:rPr>
        <w:t xml:space="preserve"> 15.12.1943 г. вышло распоряжение ГКО № 4788 о мерах по обеспечению производства на заводе 13 комплектов тралов «Оропеза». В соответствии с распоряжением ГКО № 7031 от 1.12.1944 г. на завод в Махачкалу в 4-м квартале 1944 г. и 1-м квартале 1945 г. направлено 500 военнослужащих, не годных к строевой службе.</w:t>
      </w:r>
    </w:p>
    <w:p w14:paraId="5DA0834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Участвовал в работах по РАТ-52; патроны ФКПС с фосфором (1959 г.). Производство П-35, КСЩ.</w:t>
      </w:r>
    </w:p>
    <w:p w14:paraId="71D9648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(-1936-13.01.1937 г.)- К.К. Пога, (13.01.1937-26.07.1938 г.)- Е.М. Равикович (снят); и.о. (27.07- 08.1938 г.)- И.Н. Антонов; (14.08-11.12.1938 г.)- И.Н. Антонов, (11.12.1938 г.-)- В.И. Алферов.</w:t>
      </w:r>
    </w:p>
    <w:p w14:paraId="3BF192A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Начальник строительства (-193б-37 г.-)- К.К. Пога. 1-й зам. директора (29.11.1937 г.-)- И.С. Кизельштейн. Зам. директора: по строительству (1.02.1937-26.07.1938 г.)- К.К. Пога (снят); по коммерческой части (07.1937 г.)-  Г. Г. Лещинский. Помощник директора по найму и увольнению (14.08.1938 г.-)- </w:t>
      </w:r>
      <w:r w:rsidRPr="001E2C69">
        <w:rPr>
          <w:rFonts w:ascii="Times New Roman" w:hAnsi="Times New Roman"/>
          <w:color w:val="000000" w:themeColor="text1"/>
          <w:sz w:val="16"/>
          <w:szCs w:val="16"/>
          <w:lang w:val="en-US"/>
        </w:rPr>
        <w:t>A</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M</w:t>
      </w:r>
      <w:r w:rsidRPr="001E2C69">
        <w:rPr>
          <w:rFonts w:ascii="Times New Roman" w:hAnsi="Times New Roman"/>
          <w:color w:val="000000" w:themeColor="text1"/>
          <w:sz w:val="16"/>
          <w:szCs w:val="16"/>
        </w:rPr>
        <w:t>. Толмачев.</w:t>
      </w:r>
    </w:p>
    <w:p w14:paraId="3D94498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Технический директор (7-25.09.193 7 г.)- П.М. Кнышев.</w:t>
      </w:r>
    </w:p>
    <w:p w14:paraId="7CD52AE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(1930-е)- Ломанов; и.о. (01.1937 г.)- Ермольчик; (29.11.1937-21.11.1938 г.)- И.С. Кизельштейн (снят).</w:t>
      </w:r>
    </w:p>
    <w:p w14:paraId="18DC244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гл. инженера (-1936 г.)- Благовещенский (репрессирован).</w:t>
      </w:r>
    </w:p>
    <w:p w14:paraId="5069A15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цехов: № 1 (01.1937 г.)- Неженцев. Начальник ТЭЦ (1.02.1937 г.-)- Е.А. Джапаридзе.</w:t>
      </w:r>
    </w:p>
    <w:p w14:paraId="7F5EB09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отделов: планового (1936 г.)- Маневич; транспортного (1937 г.)- Максимов; кадров (09.1937 г.-)- И.М. Богословский.</w:t>
      </w:r>
    </w:p>
    <w:p w14:paraId="6EA9569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начальника КБ (02.1937 г.)- Гусев.</w:t>
      </w:r>
    </w:p>
    <w:p w14:paraId="716CA31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Производство: торпеды Т-533 (-1938), Т-53-38 (1938-)- 13.</w:t>
      </w:r>
      <w:r w:rsidRPr="001E2C69">
        <w:rPr>
          <w:rFonts w:ascii="Times New Roman" w:hAnsi="Times New Roman"/>
          <w:color w:val="000000" w:themeColor="text1"/>
          <w:sz w:val="16"/>
          <w:szCs w:val="16"/>
          <w:vertAlign w:val="superscript"/>
        </w:rPr>
        <w:t>139</w:t>
      </w:r>
    </w:p>
    <w:p w14:paraId="6FB8C1E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ОКБ-182 НКСП /г. Каспийск/</w:t>
      </w:r>
    </w:p>
    <w:p w14:paraId="1DF2B49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Образовано в 1942 г. из части эвакуированного ОКБ завода № 231 НКСП для работ по торпедному оружию. В 1944 г. ликвидировано, в связи с созданием НИИ-400.</w:t>
      </w:r>
    </w:p>
    <w:p w14:paraId="03062B2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Вновь действовало в Каспийске в 1950-е  г. Работы по реактивной кавитирующей торпеде РКТ-45 (1950-е  г., с НИИ-1 МСХМ) (11982).</w:t>
      </w:r>
    </w:p>
    <w:p w14:paraId="1EB2DA34" w14:textId="77777777" w:rsidR="008319D5" w:rsidRPr="001E2C69" w:rsidRDefault="008319D5" w:rsidP="00722885">
      <w:pPr>
        <w:spacing w:after="0" w:line="240" w:lineRule="auto"/>
        <w:jc w:val="both"/>
        <w:rPr>
          <w:rFonts w:ascii="Times New Roman" w:hAnsi="Times New Roman"/>
          <w:color w:val="000000" w:themeColor="text1"/>
          <w:sz w:val="16"/>
          <w:szCs w:val="16"/>
        </w:rPr>
      </w:pPr>
    </w:p>
    <w:p w14:paraId="4E69BE9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августа 1942 вышло Постановление ГКО № 2194 Об эвакуации оборудования и материалов, а также рабочих, ИТР и служащих Докшукинского ацетонобутилового завода. Наркомпищепрома СССР. РГАНИР, Фонд ГКО, д. 52, лл. 145 (11012).</w:t>
      </w:r>
    </w:p>
    <w:p w14:paraId="49C21640"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5DC7C3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августа 1942 вышло Постановление ГКО № 2195 Об эвакуации оборудования, материалов, а также рабочих, ИТР и служащих Беслановского маисового комбината. и Орджоникидзевского стеклотарного завода. РГАНИР, Фонд ГКО, д. 52, лл. 146-147 (11012).</w:t>
      </w:r>
    </w:p>
    <w:p w14:paraId="6695A065"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53723C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февраля 1942 вышло Постановление ГКО № 2196 Об эвакуации оборудования, материалов, а также рабочих, ИТР и служащих Hальчикского мясокомбината и Грозненского холодильника. РГАНИР, Фонд ГКО, д. 52, лл. 148 (11012).</w:t>
      </w:r>
    </w:p>
    <w:p w14:paraId="7F653288"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8507B0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августа 1942 вышло Постановление ГКО № 2197 О размещении населения, эвакуируемого из прифронтовой полосы. РГАНИР, Фонд ГКО, д. 52, лл. 149 (11012).</w:t>
      </w:r>
    </w:p>
    <w:p w14:paraId="728D6E12"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6C4AC4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августа 1942 вышло Постановление ГКО № 2198 Об эвакуации оборудования, готовой продукции, а также рабочих, ИТР и служащих предприятий Наркомпищепрома СССР из Кабардино-Балкарской, Северо-Осетинской и Чечено-Ингушской АССР. РГАНИР, Фонд ГКО, д. 52, лл. 150, 151-152 (11012).</w:t>
      </w:r>
    </w:p>
    <w:p w14:paraId="32116CC5"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18680A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августа 1942 г. в соответствии с пост. ГКО № 2199 завод № 565 1ГУ НКБ (Завод № 565 НКБ /Северная Осетия  г. Орджоникидзе/) (оборудование, материалы и кадры) 27.08-4.09.1942 г. эвакуирован: снаряжение 50-мм мин - в Тбилиси на завод № 316; снаряжение АО-8-Ю и ФАБ- 100 - в Баку на завод № 610 НКБ (11982).</w:t>
      </w:r>
    </w:p>
    <w:p w14:paraId="000284A0" w14:textId="77777777" w:rsidR="008319D5" w:rsidRPr="001E2C69" w:rsidRDefault="008319D5" w:rsidP="00722885">
      <w:pPr>
        <w:pStyle w:val="Iauiue"/>
        <w:jc w:val="both"/>
        <w:rPr>
          <w:iCs/>
          <w:color w:val="000000" w:themeColor="text1"/>
          <w:sz w:val="16"/>
          <w:szCs w:val="16"/>
        </w:rPr>
      </w:pPr>
    </w:p>
    <w:p w14:paraId="7BA6AE8F"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4483AC3F" w14:textId="77777777" w:rsidR="00AE7191" w:rsidRPr="001E2C69" w:rsidRDefault="00AE7191" w:rsidP="00722885">
      <w:pPr>
        <w:pStyle w:val="Iauiue"/>
        <w:jc w:val="both"/>
        <w:rPr>
          <w:iCs/>
          <w:color w:val="000000" w:themeColor="text1"/>
          <w:sz w:val="16"/>
          <w:szCs w:val="16"/>
        </w:rPr>
      </w:pPr>
    </w:p>
    <w:p w14:paraId="0A73BDBD"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августа в 1942 году утреннее сообщение Совинформбюро:</w:t>
      </w:r>
    </w:p>
    <w:p w14:paraId="1542AEC4"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20 августа наши войска вели бои с противником в района хюго-восточнее Клетская, северо-восточнее Котельниково, а также в районе Пятигорск.</w:t>
      </w:r>
    </w:p>
    <w:p w14:paraId="3A374409"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7539D4E6"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В районе Клетской наши войска предприняли несколько контратак. В ходе боёв уничтожено 7 танков и разгромлен батальон немецкой пехоты. Юго-восточнее Клетской прорвавшиеся части неприятеля переправились через Дон, где встретили упорное сопротивление советских войск и были полностью истреблены. Только на одном из участков уничтожено 18 вражеских танков и свыше 500 гитлеровцев.</w:t>
      </w:r>
    </w:p>
    <w:p w14:paraId="46A96E45"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продолжались ожесточённые бои. Наши пехотинцы н танкисты нанесли контрудар наступающим немецким войскам. Крупный бой идёт у железнодорожной станции, которая несколько раз переходила из рук в руки. Н-ское танковое подразделение уничтожило 4 танка, 7 противотанковых орудий и истребило свыше 150 солдат и офицеров противника.</w:t>
      </w:r>
    </w:p>
    <w:p w14:paraId="6CF82A80"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Краснодара наши войска вели напряжённые оборонительные бои с танками и мотопехотой противника. Немцы предприняли несколько ожесточённых атак и потеснили наши части. Артиллеристы Н-ского подразделения подбили и сожгли 5 немецких танков.</w:t>
      </w:r>
    </w:p>
    <w:p w14:paraId="07835DC0"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Пятигорска наши войска окружили и уничтожили колонну противника. На поле боя осталось 350 вражеских трупов, 6 сожжённых танков и 13 автомашин.</w:t>
      </w:r>
    </w:p>
    <w:p w14:paraId="55B03BEE"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за последние пять дней уничтожено до 5.500 немецких солдат и офицеров, 27 танков и бронемашин, 21 самолёт, 169 автомашин, 2 орудия, 11 складов с боеприпасами и горючим. Взяты пленные. На одном из участков огневым налётом нашей артиллерии уничтожено до батальона вражеской пехоты.</w:t>
      </w:r>
    </w:p>
    <w:p w14:paraId="64F8079B"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западном берегу реки Дон продолжаются упорные бои на улицах населённого пункта. Вчера вечером противник силой до четырёх батальонов пехоты, поддержанных танками, перешёл в контратаку, которая была отбита нашими частями.</w:t>
      </w:r>
    </w:p>
    <w:p w14:paraId="1A489F9A"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Четыре партизана тт. Я., О., Е. и А. в одном из районов Ленинградской области взорвали железнодорожный мост в то время, когда по нему проходил воинский эшелон противника. Уничтожены паровоз и 8 вагонов. Погибло не менее 150 гитлеровцев. При отходе партизаны попали в засаду и в завязавшемся бою уничтожили ещё 20 оккупантов.</w:t>
      </w:r>
    </w:p>
    <w:p w14:paraId="6F1F85B3"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обер-ефрейтор 323 полка 218 немецкой пехотной дивизии Ганс Шредер рассказал: «Германское командование обманывает нас и скрывает правду о потерях немецких войск на Восточном фронте. Любой солдат, участвовавший в боях, знает,что мы несли и несём колоссальные потери. Несколько месяцев назад верховное командование опубликовало цифры о количестве немецких солдат, убитых за год. Ни один здравомыслящий человек на фронте и в тылу не верит этим цифрам. Солдаты их зло и ядовито высмеивают. Они говорят: бестия Геббельс очень неудачно сострил, очевидно считая нас за круглых дураков».</w:t>
      </w:r>
    </w:p>
    <w:p w14:paraId="27590B0E"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Группа красноармейцев и командиров Н-ской части, действующей в районе южнее Воронежа, составила акт о зверствах немецко-фашистских мерзавцев над советскими военнопленными. В акте говорится: «В отбитой у немцев роще были обнаружены и опознаны два трупа наших бойцов, замученных немцами. Красноармейцу Огневу М.К.гитлеровцы отрезали нос, отрубили кисть левой руки и перерезали горло. Старшего сержанта Корнева В.П. фашисты привязали колючей проволокой к дереву и подвергли чудовищным пыткам. Они отрезали пленному советскому командиру уши, выкололи глаза, а на лбу вырезали пятиконечную звезду. Затем гитлеровские мерзавцы пригвоздили Корнева штыком к стволу дерева». Акт подписали: старший лейтенант Петров П.И., политрук Ломов З.Н., красноармейцы Нечаев Г.В., Ахмедов К.Г. и Зимин А.И.</w:t>
      </w:r>
    </w:p>
    <w:p w14:paraId="1E09E8A3"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Югославские партизанские отряды полностью уничтожили итальянский гарнизон в пункте Нова Штифта и пустили под откос воинский поезд близ станции Кочевье. Занесколько дней боёв в этом районе итальянцы потеряли 320 человек убитыми и свыше 500 ранеными. Партизанские отряды, действующие на островах, истребили несколько отрядов итальянских жандармов и захватили много оружия. В руки партизан попали большие немецкие склады с продовольствием, которое распределено среди голодающего югославского населения.» (14989).</w:t>
      </w:r>
    </w:p>
    <w:p w14:paraId="7D2E72CD" w14:textId="77777777" w:rsidR="008319D5" w:rsidRPr="001E2C69" w:rsidRDefault="008319D5" w:rsidP="00722885">
      <w:pPr>
        <w:spacing w:after="0" w:line="240" w:lineRule="auto"/>
        <w:jc w:val="both"/>
        <w:rPr>
          <w:rFonts w:ascii="Times New Roman" w:hAnsi="Times New Roman"/>
          <w:color w:val="000000" w:themeColor="text1"/>
          <w:sz w:val="16"/>
          <w:szCs w:val="16"/>
        </w:rPr>
      </w:pPr>
    </w:p>
    <w:p w14:paraId="79F72E83"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августа в 1942 году вечернее сообщение Совинформбюро:</w:t>
      </w:r>
    </w:p>
    <w:p w14:paraId="1AC0442A"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20 августа наши войска вели бои в районах юго-восточнее Клетская, северо-восточнее Котельниково, а также юго-восточнее Пятигорска и южнее Краснодара.</w:t>
      </w:r>
    </w:p>
    <w:p w14:paraId="5D03BA60"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7311DAC6"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Нашими кораблями в Чёрном море потоплен транспорт противника водоизмещением в 6.000 тонн.</w:t>
      </w:r>
    </w:p>
    <w:p w14:paraId="0F02DF56"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19 августа частями нашей авиации на различных участках фронта уничтожено или повреждено 13 немецких танков, 35 бронемашин, до 200 автомашин с войсками и грузами, 10 автоцистерн с горючим, подавлен огонь 5 батарей полевой и зенитной артиллерии, рассеяно и частью уничтожено до двух рот пехоты противника.</w:t>
      </w:r>
    </w:p>
    <w:p w14:paraId="7C3E8E07"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наши войска вели активные бои против немецко-фашистских войск. В течение дня гитлеровцы несколько раз переходили в атаки. Все атаки противника отбиты с большими для него потерями. Только на участке Н-ского соединения уничтожено 17 немецких танков и истреблено свыше 250 гитлеровцев. Юго-восточнее Клетской советские части вели ожесточённые бои с крупными силами противника, стремящимися переправиться через Дон. В упорном бою наши пехотинцы и танкисты почти полностью уничтожили группу противника, форсировавшую реку. Уничтожено свыше 500 немецких солдат и офицеров.</w:t>
      </w:r>
    </w:p>
    <w:p w14:paraId="06DB8DB2"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продолжались ожесточённые бои. Советские войска оказывают упорное сопротивление наступающим танкам и мотопехоте противника. Особенно кровопролитное сражение произошло в районе одной железнодорожной станции. Немцам вначале удалось продвинуться вперёд и вклиниться в боевые порядки наших войск. Контратаками наши бойцы отбросили противника и нанесли ему большой урон. На поле боя гитлеровцы оставили сотни убитых солдат и офицеров, уничтожено свыше 20 немецких танков, много орудий, пулемётов и автомашин.</w:t>
      </w:r>
    </w:p>
    <w:p w14:paraId="2FD78F8D"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Краснодара наши части вели оборонительные бои с крупными силами противника. Отстаивая важный рубеж, бойцы Н-ской части отбили три атаки гитлеровцев. Повреждено 5 и уничтожено 9 немецких танков, 9 орудий, 22 миномёта, истреблено до 700 солдат и офицеров противника. На другом участке наши части под давлением превосходящих сил противника с боями отошли на новые позиции.</w:t>
      </w:r>
    </w:p>
    <w:p w14:paraId="7BAADC4D"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юго-восточнее Пятигорска на одном участке ценою больших потерь немцам удалось несколько продвинуться вперёд. Идут упорные бои с просочившимися в расположение наших войск автоматчиками противника.</w:t>
      </w:r>
    </w:p>
    <w:p w14:paraId="64D26C22"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Ленинградского фронта наши части вели активные боевые действия. После мощной огневой подготовки бойцы Н-ской части перешли в наступление. Преодолевая упорное сопротивление неприятеля, наши бойцы переправились через реку и выбили гитлеровцев из одного населённого пункта. В другом населённом пункте происходят уличные бои.</w:t>
      </w:r>
    </w:p>
    <w:p w14:paraId="778B3F6C"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Партизанские отряды под командованием тт. В. и К., действующие в одном изоккупированных немцами районов Ленинградской области, на днях разгромили гарнизоны гитлеровцев в двух населённых пунктах. Партизаны истребили 80 немецких оккупантов и захватили трофеи.</w:t>
      </w:r>
    </w:p>
    <w:p w14:paraId="340D01BB"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поле боя подобран дневник немецкого офицера. Ниже публикуются выдержки из этого дневника:</w:t>
      </w:r>
    </w:p>
    <w:p w14:paraId="72082132"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июня 1942 года... Лейтенант Людвиг и переводчик привели одного русского.Это бывший сторож колхоза. Ему 55 лет, он отец семерых детей. Старик оскорблял немецких солдат руганью и жестами. Русскому выносится наказание: 30 ударов плетью. Согнали всех жителей. Солдаты раздели русского и высекли плетьми. Он не мог встать. Приказали бросить его в погреб и три дня не давать никакой пищи.</w:t>
      </w:r>
    </w:p>
    <w:p w14:paraId="3CEE7932"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июля. Среди населения царит голод. Все запасы продуктов давно конфискованы. Крестьяне пекут хлеб из травы. Они должны сдавать нам яйца, которые несут уцелевшие каким-то чудом немногие куры.</w:t>
      </w:r>
    </w:p>
    <w:p w14:paraId="23AC3AB9"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августа. Ночью русские совершили крупный воздушный налёт на наш район.</w:t>
      </w:r>
    </w:p>
    <w:p w14:paraId="21559098"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Зенитки бьют, как бешеные, но безуспешно. Позже налёт повторяется с ещё большей силой. Бомбы падают на железнодорожную станцию. Всю ночь горели склады и составы».</w:t>
      </w:r>
    </w:p>
    <w:p w14:paraId="6A98D256"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в районе северо-восточнее Котельникова немецко-фашистские мерзавцы загнали на минированное поле толпу крестьян. Нам инах подорвалось более 150 мирных советских граждан, среди которых было много женщин.</w:t>
      </w:r>
    </w:p>
    <w:p w14:paraId="03CA1326"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Итало-фашистские мерзавцы разграбили и сожгли югославский город Содражица. В результате зверской расправы итальянских бандитов в этом городе было расстрелянои погибло в огне более 1.500 жителей. Оккупанты сожгли также все словенские деревни в районе Любляна—Гросулье.» (14989).</w:t>
      </w:r>
    </w:p>
    <w:p w14:paraId="7A4D4D7A" w14:textId="77777777" w:rsidR="008319D5" w:rsidRPr="001E2C69" w:rsidRDefault="008319D5" w:rsidP="00722885">
      <w:pPr>
        <w:spacing w:after="0" w:line="240" w:lineRule="auto"/>
        <w:jc w:val="both"/>
        <w:rPr>
          <w:rFonts w:ascii="Times New Roman" w:hAnsi="Times New Roman"/>
          <w:color w:val="000000" w:themeColor="text1"/>
          <w:sz w:val="16"/>
          <w:szCs w:val="16"/>
        </w:rPr>
      </w:pPr>
    </w:p>
    <w:p w14:paraId="02A235C3" w14:textId="77777777" w:rsidR="00FA7E38" w:rsidRPr="001E2C69" w:rsidRDefault="00FA7E38" w:rsidP="00722885">
      <w:pPr>
        <w:pStyle w:val="af"/>
        <w:spacing w:before="0" w:after="0"/>
        <w:jc w:val="both"/>
        <w:textAlignment w:val="baseline"/>
        <w:rPr>
          <w:color w:val="000000" w:themeColor="text1"/>
          <w:sz w:val="16"/>
          <w:szCs w:val="16"/>
        </w:rPr>
      </w:pPr>
      <w:r w:rsidRPr="001E2C69">
        <w:rPr>
          <w:color w:val="000000" w:themeColor="text1"/>
          <w:sz w:val="16"/>
          <w:szCs w:val="16"/>
        </w:rPr>
        <w:t>20–22 августа 1942 по приказу Гитлера Рихтгофен перевел большинство самолетов 4-го воздушного флота на Сталинградское направление. Эта небывалая для люфтваффе концентрация сил позволила совершать почти беспрерывные налеты на различные цели в районе города на Волге. При планировании атак штаб 8-го авиакорпуса Мартина Фибига использовал крупномасштабную карту местности, на которой был отмечен почти каждый дом. 23 августа немецкие самолеты совершили самый массированный налет на Сталинград, сбросив на него тысячу тонн бомб всех калибров в ходе 1600 боевых вылетов. Город был практически разрушен, погибли десятки тысяч жителей и беженцев. Сухопутные части при поддержке орудий 9-й зенитной дивизии люфтваффе начали штурм города (19522).</w:t>
      </w:r>
    </w:p>
    <w:p w14:paraId="23F537CF" w14:textId="77777777" w:rsidR="00FA7E38" w:rsidRPr="001E2C69" w:rsidRDefault="00FA7E38" w:rsidP="00722885">
      <w:pPr>
        <w:pStyle w:val="af"/>
        <w:spacing w:before="0" w:after="0"/>
        <w:jc w:val="both"/>
        <w:textAlignment w:val="baseline"/>
        <w:rPr>
          <w:color w:val="000000" w:themeColor="text1"/>
          <w:sz w:val="16"/>
          <w:szCs w:val="16"/>
        </w:rPr>
      </w:pPr>
    </w:p>
    <w:p w14:paraId="0136361C" w14:textId="77777777" w:rsidR="00A802F8" w:rsidRPr="001E2C69" w:rsidRDefault="00A802F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20–22 августа 1942 по приказу Гитлера в течение Рихтгофен перевел большинство самолетов 4</w:t>
      </w:r>
      <w:r w:rsidRPr="001E2C69">
        <w:rPr>
          <w:rFonts w:ascii="Times New Roman" w:hAnsi="Times New Roman"/>
          <w:color w:val="000000" w:themeColor="text1"/>
          <w:sz w:val="16"/>
          <w:szCs w:val="16"/>
        </w:rPr>
        <w:noBreakHyphen/>
        <w:t>го воздушного флота на Сталинградское направление. Эта небывалая для люфтваффе концентрация сил позволила совершать почти беспрерывные налеты на различные цели в районе города на Волге. При планировании атак штаб 8</w:t>
      </w:r>
      <w:r w:rsidRPr="001E2C69">
        <w:rPr>
          <w:rFonts w:ascii="Times New Roman" w:hAnsi="Times New Roman"/>
          <w:color w:val="000000" w:themeColor="text1"/>
          <w:sz w:val="16"/>
          <w:szCs w:val="16"/>
        </w:rPr>
        <w:noBreakHyphen/>
        <w:t>го авиакорпуса Мартина Фибига использовал крупномасштабную карту местности, на которой был отмечен почти каждый дом. 23 августа немецкие самолеты совершили самый массированный налет на Сталинград, сбросив на него тысячу тонн бомб всех калибров в ходе 1600 боевых вылетов. Город был практически разрушен, погибли десятки тысяч жителей и беженцев. Сухопутные части при поддержке орудий 9</w:t>
      </w:r>
      <w:r w:rsidRPr="001E2C69">
        <w:rPr>
          <w:rFonts w:ascii="Times New Roman" w:hAnsi="Times New Roman"/>
          <w:color w:val="000000" w:themeColor="text1"/>
          <w:sz w:val="16"/>
          <w:szCs w:val="16"/>
        </w:rPr>
        <w:noBreakHyphen/>
        <w:t>й зенитной дивизии люфтваффе начали штурм города.</w:t>
      </w:r>
    </w:p>
    <w:p w14:paraId="17C69257" w14:textId="77777777" w:rsidR="00A802F8" w:rsidRPr="001E2C69" w:rsidRDefault="00A802F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результате опустошительных небесных боев в 8</w:t>
      </w:r>
      <w:r w:rsidRPr="001E2C69">
        <w:rPr>
          <w:rFonts w:ascii="Times New Roman" w:hAnsi="Times New Roman"/>
          <w:color w:val="000000" w:themeColor="text1"/>
          <w:sz w:val="16"/>
          <w:szCs w:val="16"/>
        </w:rPr>
        <w:noBreakHyphen/>
        <w:t>й воздушной армии стала остро ощущаться нехватка истребителей. Хотя 28–29 августа из тыла поступило пополнение в виде четырех истребительных и двух штурмовых авиаполков, на 1 сентября в армии насчитывалось всего 97 исправных машин. Все это заставило Хрюкина полностью отказаться от эскортирования штурмовиков и бомбардировщиков. И если экипажам Пе</w:t>
      </w:r>
      <w:r w:rsidRPr="001E2C69">
        <w:rPr>
          <w:rFonts w:ascii="Times New Roman" w:hAnsi="Times New Roman"/>
          <w:color w:val="000000" w:themeColor="text1"/>
          <w:sz w:val="16"/>
          <w:szCs w:val="16"/>
        </w:rPr>
        <w:noBreakHyphen/>
        <w:t>2 просто приказали бомбить с высоты 8000 метров, то штурмовикам пришлось рассчитывать исключительно на везение. Впрочем, от истребительного прикрытия и так было мало толку. Штаб 8</w:t>
      </w:r>
      <w:r w:rsidRPr="001E2C69">
        <w:rPr>
          <w:rFonts w:ascii="Times New Roman" w:hAnsi="Times New Roman"/>
          <w:color w:val="000000" w:themeColor="text1"/>
          <w:sz w:val="16"/>
          <w:szCs w:val="16"/>
        </w:rPr>
        <w:noBreakHyphen/>
        <w:t xml:space="preserve">й воздушной армии в </w:t>
      </w:r>
      <w:r w:rsidRPr="001E2C69">
        <w:rPr>
          <w:rFonts w:ascii="Times New Roman" w:hAnsi="Times New Roman"/>
          <w:color w:val="000000" w:themeColor="text1"/>
          <w:sz w:val="16"/>
          <w:szCs w:val="16"/>
        </w:rPr>
        <w:lastRenderedPageBreak/>
        <w:t>качестве рекомендаций предложил пилотам Илов производить заходы на цели со стороны солнца, использовать для скрытого подхода облачность и дым от пожарищ (23199).</w:t>
      </w:r>
    </w:p>
    <w:p w14:paraId="37E8C6A0" w14:textId="77777777" w:rsidR="00A802F8" w:rsidRPr="001E2C69" w:rsidRDefault="00A802F8" w:rsidP="00722885">
      <w:pPr>
        <w:spacing w:after="0" w:line="240" w:lineRule="auto"/>
        <w:jc w:val="both"/>
        <w:rPr>
          <w:rFonts w:ascii="Times New Roman" w:hAnsi="Times New Roman"/>
          <w:color w:val="000000" w:themeColor="text1"/>
          <w:sz w:val="16"/>
          <w:szCs w:val="16"/>
        </w:rPr>
      </w:pPr>
    </w:p>
    <w:p w14:paraId="116ABBF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 августа 1942 согласно графику боевой работы 8-й ВА с 5.00 до 19.00 по перепра</w:t>
      </w:r>
      <w:r w:rsidRPr="001E2C69">
        <w:rPr>
          <w:color w:val="000000" w:themeColor="text1"/>
          <w:sz w:val="16"/>
          <w:szCs w:val="16"/>
        </w:rPr>
        <w:softHyphen/>
        <w:t>вам противника через Дон на участке Трехостровская, Нижний Акатов, Нижний Герасимов должны были действовать группы по 10-18 самолетов Ил-2 и 18-27 Пе-2 под прикрытием 10-15 истре</w:t>
      </w:r>
      <w:r w:rsidRPr="001E2C69">
        <w:rPr>
          <w:color w:val="000000" w:themeColor="text1"/>
          <w:sz w:val="16"/>
          <w:szCs w:val="16"/>
        </w:rPr>
        <w:softHyphen/>
        <w:t>бителей Як-1 или Ла-5, при этом штур</w:t>
      </w:r>
      <w:r w:rsidRPr="001E2C69">
        <w:rPr>
          <w:color w:val="000000" w:themeColor="text1"/>
          <w:sz w:val="16"/>
          <w:szCs w:val="16"/>
        </w:rPr>
        <w:softHyphen/>
        <w:t>мовики армии должны были выполнить 112 самолето-вылетов, "пешки" - 90, а истребители - 180 боевых вылетов (6467).</w:t>
      </w:r>
    </w:p>
    <w:p w14:paraId="46BAEE2B" w14:textId="77777777" w:rsidR="00AE7191" w:rsidRPr="001E2C69" w:rsidRDefault="00AE7191" w:rsidP="00722885">
      <w:pPr>
        <w:pStyle w:val="Iauiue"/>
        <w:jc w:val="both"/>
        <w:rPr>
          <w:color w:val="000000" w:themeColor="text1"/>
          <w:sz w:val="16"/>
          <w:szCs w:val="16"/>
        </w:rPr>
      </w:pPr>
    </w:p>
    <w:p w14:paraId="0C4FBAD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 20 августа 1942 ближе к Сталинграду перебазировали 5 ад АДД под командованием самого А.Е.Голованова (340,93).</w:t>
      </w:r>
    </w:p>
    <w:p w14:paraId="69C0A8EB" w14:textId="77777777" w:rsidR="00AE7191" w:rsidRPr="001E2C69" w:rsidRDefault="00AE7191" w:rsidP="00722885">
      <w:pPr>
        <w:pStyle w:val="Iauiue"/>
        <w:jc w:val="both"/>
        <w:rPr>
          <w:color w:val="000000" w:themeColor="text1"/>
          <w:sz w:val="16"/>
          <w:szCs w:val="16"/>
        </w:rPr>
      </w:pPr>
    </w:p>
    <w:p w14:paraId="0558C3B9" w14:textId="77777777" w:rsidR="004A33F1" w:rsidRPr="001E2C69" w:rsidRDefault="004A33F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августа и 1 сентября 1942 были налеты АДД на оккупированную Варшаву и ее пригород Прагу. В ночь с 20 на 21 августа для удара по столице Генерал-губернаторства вылетели 23 экипажа из 17-й ад дд. Все они донесли о выполнении задания. От 36-й ад дд в налете приняли участие десять машин, еще три бомбили запасные цели. Отбомбились по основной цели и десять экипажей 24-й ад дд. Еще два самолета из-за неисправности материальной части бомбили запасные цели, в том числе Вильнюс (22728).</w:t>
      </w:r>
    </w:p>
    <w:p w14:paraId="39593BD1" w14:textId="77777777" w:rsidR="004A33F1" w:rsidRPr="001E2C69" w:rsidRDefault="004A33F1" w:rsidP="00722885">
      <w:pPr>
        <w:spacing w:after="0" w:line="240" w:lineRule="auto"/>
        <w:jc w:val="both"/>
        <w:rPr>
          <w:rFonts w:ascii="Times New Roman" w:hAnsi="Times New Roman"/>
          <w:color w:val="000000" w:themeColor="text1"/>
          <w:sz w:val="16"/>
          <w:szCs w:val="16"/>
        </w:rPr>
      </w:pPr>
    </w:p>
    <w:p w14:paraId="1F1D2A25"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20 августа 1942 под Сталинградом погиб вице-регент Венгрии Стефан Хорти (4962).</w:t>
      </w:r>
    </w:p>
    <w:p w14:paraId="3CE6A110" w14:textId="77777777" w:rsidR="00AE7191" w:rsidRPr="001E2C69" w:rsidRDefault="00AE7191" w:rsidP="00722885">
      <w:pPr>
        <w:pStyle w:val="Iauiue"/>
        <w:tabs>
          <w:tab w:val="left" w:pos="11199"/>
        </w:tabs>
        <w:jc w:val="both"/>
        <w:rPr>
          <w:color w:val="000000" w:themeColor="text1"/>
          <w:sz w:val="16"/>
          <w:szCs w:val="16"/>
        </w:rPr>
      </w:pPr>
    </w:p>
    <w:p w14:paraId="76BDB18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20—22 августа 1941 концентрация сил авиации позволила немцам совершать почти беспрерывные налеты на различные цели в районе Сталинграда. 19 августа на аэродроме Тацинская, где уже были «Юнкерсы» из 76-й эскадры, приземлились Ju-88 из I. и III./KG51 «Эдельвейс». На следующее утро в Обливскую на короткое время прибыла штурмовая авиагруппа I./StG77 гауптмана Хельмута Брука. Группами по 20—30 самолетов, в сопровождении истребителей Bf-109, немцы бомбили советские укрепления, промышленные объекты в городе, железнодорожные станции, переправы через Волгу, позиции зенитных батарей и аэродромы. 20 августа Люфтваффе произвели на Сталинград три массированных налета, 21 августа – четыре. 22 августа произошли с небольшими интервалами еще пять налетов на город. В результате в его южной части были разрушены целые кварталы рабочих поселков, дым от пожарищ заволок все небо. Несколько бомб упали около СталГРЭС, в результате чего были разрушены здание прачечной и бани коммунального отдела станции. При этом был убит плотник коммунального отдела А. И. Меркулов. В самом Сталинграде нарастал хаос, усугублявшийся тем, что со всех сторон сюда нескончаемым потоком стекались толпы дезертиров, красноармейцев, потерявших свои части, и беженцев. Только в течение 21 и 22 августа заградпосты НКВД задержали 1077 человек. Отчаянно пытаясь остановить продвижение противника, советское командование после многокилометровых маршей по жаре с ходу бросало в бой плохо вооруженные дивизии. Рядовой Я. А. Трутников писал к себе домой:  «Наше подразделение в 120 человек было вооружено десятью винтовками, осталось в резерве, но попали в окружение танков и чуть не погибли, удалось выбраться». Но самое сильное деморализующее воздействие на солдат оказывало безраздельное господство немецкой авиации. Штурмовики, истребители и бомбардировщики целыми днями кружили над степью, беспрепятственно атакуя любые цели, гоняясь даже за отдельными бойцами и автомашинами. Напуганные беспрерывными налетами красноармейцы в отчаянии писали своим родным:  «Сегодня весь день авиация немчуры не давала никакого покоя, хоть зарывайся на 100– 1000м, а достанет. Наших самолетов не видно было целый день, и это не только сегодня, но было вчера и будет завтра. Нет никакого сопротивления, что хотят, то творят с наземными войсками… Немецкие самолеты обстреливают наши войска и мирное население в тылу. Они летают так низко, как хозяева, а наших почему-то нет, а если появляются, то очень редко, а когда надо, их нет…» Доходило даже до того, что немецкие летчики, идя на бреющем полете, открывали кабины и стреляли по пехоте из пистолетов! (11774).</w:t>
      </w:r>
    </w:p>
    <w:p w14:paraId="6651B77A"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7F8BF5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 августа 1942 5А (Л.А.Говоров) освободила Можайск (3398,297).</w:t>
      </w:r>
    </w:p>
    <w:p w14:paraId="4CD0C498" w14:textId="77777777" w:rsidR="00AE7191" w:rsidRPr="001E2C69" w:rsidRDefault="00AE7191" w:rsidP="00722885">
      <w:pPr>
        <w:pStyle w:val="Iauiue"/>
        <w:jc w:val="both"/>
        <w:rPr>
          <w:color w:val="000000" w:themeColor="text1"/>
          <w:sz w:val="16"/>
          <w:szCs w:val="16"/>
        </w:rPr>
      </w:pPr>
    </w:p>
    <w:p w14:paraId="0012D536"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августа в 1942 году противник захватил плацдарм на левом берегу Дона в районе станицы Нижне-Чирская (14989).</w:t>
      </w:r>
    </w:p>
    <w:p w14:paraId="6D8A31DC" w14:textId="77777777" w:rsidR="008319D5" w:rsidRPr="001E2C69" w:rsidRDefault="008319D5" w:rsidP="00722885">
      <w:pPr>
        <w:spacing w:after="0" w:line="240" w:lineRule="auto"/>
        <w:jc w:val="both"/>
        <w:rPr>
          <w:rFonts w:ascii="Times New Roman" w:hAnsi="Times New Roman"/>
          <w:color w:val="000000" w:themeColor="text1"/>
          <w:sz w:val="16"/>
          <w:szCs w:val="16"/>
        </w:rPr>
      </w:pPr>
    </w:p>
    <w:p w14:paraId="69A7BC6F"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августа в 1942 году в катастрофе «Re.2000» («V-421») погиб 38-летний сын главы Венгрии Иштван Хорти. Это произошло над аэродромом Иловское, на оккупированной территории Советского Союза, из-за недостаточной квалификации пилота не справившегося с управлением и угодившим в штопор на малой высоте. В течение августа вторая румынская эскадрилья 2/1 "Keresztes Pok" (Паук-крестовик) потеряла четыре «Re.2000» сбитыми и шесть «Re.2000» поврежденными, хотя их удалось вернуть в строй (14989).</w:t>
      </w:r>
    </w:p>
    <w:p w14:paraId="62F4CB02" w14:textId="77777777" w:rsidR="008319D5" w:rsidRPr="001E2C69" w:rsidRDefault="008319D5" w:rsidP="00722885">
      <w:pPr>
        <w:spacing w:after="0" w:line="240" w:lineRule="auto"/>
        <w:jc w:val="both"/>
        <w:rPr>
          <w:rFonts w:ascii="Times New Roman" w:hAnsi="Times New Roman"/>
          <w:color w:val="000000" w:themeColor="text1"/>
          <w:sz w:val="16"/>
          <w:szCs w:val="16"/>
        </w:rPr>
      </w:pPr>
    </w:p>
    <w:p w14:paraId="641D0003" w14:textId="77777777" w:rsidR="008319D5" w:rsidRPr="001E2C69" w:rsidRDefault="00267F26" w:rsidP="00722885">
      <w:pPr>
        <w:pStyle w:val="Iauiue"/>
        <w:jc w:val="both"/>
        <w:rPr>
          <w:iCs/>
          <w:color w:val="000000" w:themeColor="text1"/>
          <w:sz w:val="16"/>
          <w:szCs w:val="16"/>
        </w:rPr>
      </w:pPr>
      <w:r w:rsidRPr="001E2C69">
        <w:rPr>
          <w:i/>
          <w:iCs/>
          <w:color w:val="000000" w:themeColor="text1"/>
          <w:sz w:val="16"/>
          <w:szCs w:val="16"/>
        </w:rPr>
        <w:t>Жизнь и внутренняя политика:</w:t>
      </w:r>
    </w:p>
    <w:p w14:paraId="47966FB2" w14:textId="77777777" w:rsidR="008319D5" w:rsidRPr="001E2C69" w:rsidRDefault="008319D5" w:rsidP="00722885">
      <w:pPr>
        <w:pStyle w:val="Iauiue"/>
        <w:jc w:val="both"/>
        <w:rPr>
          <w:iCs/>
          <w:color w:val="000000" w:themeColor="text1"/>
          <w:sz w:val="16"/>
          <w:szCs w:val="16"/>
        </w:rPr>
      </w:pPr>
    </w:p>
    <w:p w14:paraId="7147DC1F" w14:textId="77777777" w:rsidR="008319D5" w:rsidRPr="001E2C69" w:rsidRDefault="008319D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августа в 1942 году объединенные чеченские банды Шерипова, Бадаева, Магомадова и других главарей (всего до 1, 5 тысяч боевиков) окружили райцентр Итум-Кале, однако взять село не смогли. Находившийся там небольшой гарнизон отбил все атаки, а подошедшие две роты обратили повстанцев в бегство (14989).</w:t>
      </w:r>
    </w:p>
    <w:p w14:paraId="6CD49702" w14:textId="77777777" w:rsidR="008319D5" w:rsidRPr="001E2C69" w:rsidRDefault="008319D5" w:rsidP="00722885">
      <w:pPr>
        <w:spacing w:after="0" w:line="240" w:lineRule="auto"/>
        <w:jc w:val="both"/>
        <w:rPr>
          <w:rFonts w:ascii="Times New Roman" w:hAnsi="Times New Roman"/>
          <w:color w:val="000000" w:themeColor="text1"/>
          <w:sz w:val="16"/>
          <w:szCs w:val="16"/>
        </w:rPr>
      </w:pPr>
    </w:p>
    <w:p w14:paraId="32B20A69"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73461A29" w14:textId="77777777" w:rsidR="00AE7191" w:rsidRPr="001E2C69" w:rsidRDefault="00AE7191" w:rsidP="00722885">
      <w:pPr>
        <w:pStyle w:val="Iauiue"/>
        <w:jc w:val="both"/>
        <w:rPr>
          <w:iCs/>
          <w:color w:val="000000" w:themeColor="text1"/>
          <w:sz w:val="16"/>
          <w:szCs w:val="16"/>
        </w:rPr>
      </w:pPr>
    </w:p>
    <w:p w14:paraId="54BC60BA" w14:textId="77777777" w:rsidR="004A33F1" w:rsidRPr="001E2C69" w:rsidRDefault="004A33F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августа 1942 ВВС армии США активируют Двенадцатую воздушную армию (20793).</w:t>
      </w:r>
    </w:p>
    <w:p w14:paraId="59D7A3E6" w14:textId="77777777" w:rsidR="004A33F1" w:rsidRPr="001E2C69" w:rsidRDefault="004A33F1" w:rsidP="00722885">
      <w:pPr>
        <w:spacing w:after="0" w:line="240" w:lineRule="auto"/>
        <w:jc w:val="both"/>
        <w:rPr>
          <w:rFonts w:ascii="Times New Roman" w:hAnsi="Times New Roman"/>
          <w:color w:val="000000" w:themeColor="text1"/>
          <w:sz w:val="16"/>
          <w:szCs w:val="16"/>
        </w:rPr>
      </w:pPr>
    </w:p>
    <w:p w14:paraId="636683B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 августа 1942 Ф.Рузвельт разрешил интернирование японцев, живущих на восточном побережье США (2100).</w:t>
      </w:r>
    </w:p>
    <w:p w14:paraId="6ED6ED3F" w14:textId="77777777" w:rsidR="00AE7191" w:rsidRPr="001E2C69" w:rsidRDefault="00AE7191" w:rsidP="00722885">
      <w:pPr>
        <w:pStyle w:val="Iauiue"/>
        <w:jc w:val="both"/>
        <w:rPr>
          <w:color w:val="000000" w:themeColor="text1"/>
          <w:sz w:val="16"/>
          <w:szCs w:val="16"/>
        </w:rPr>
      </w:pPr>
    </w:p>
    <w:p w14:paraId="465882D2"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4C9F92B9" w14:textId="77777777" w:rsidR="00AE7191" w:rsidRPr="001E2C69" w:rsidRDefault="00AE7191" w:rsidP="00722885">
      <w:pPr>
        <w:pStyle w:val="Iauiue"/>
        <w:jc w:val="both"/>
        <w:rPr>
          <w:iCs/>
          <w:color w:val="000000" w:themeColor="text1"/>
          <w:sz w:val="16"/>
          <w:szCs w:val="16"/>
        </w:rPr>
      </w:pPr>
    </w:p>
    <w:p w14:paraId="20CC944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21 августа 1942 вышел приказ НКАП N 641с о мероприятиях по обеспечению постановки производства самолета Ил-4 на заводе 39 (1576,3).</w:t>
      </w:r>
    </w:p>
    <w:p w14:paraId="6361562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ГК С.В.И. своим извещением N 350 от 21 августа 1942 санкционировал введение следующих деревянных агрегатов в серию без статиспытаний:</w:t>
      </w:r>
    </w:p>
    <w:p w14:paraId="2833521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Передняя часть фюзеляжа</w:t>
      </w:r>
    </w:p>
    <w:p w14:paraId="53E1051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Пол пилота</w:t>
      </w:r>
    </w:p>
    <w:p w14:paraId="7A8DEB5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Хвостовой кок</w:t>
      </w:r>
    </w:p>
    <w:p w14:paraId="3189951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Что даст экономию 169 кг металла на машину (1685,184).</w:t>
      </w:r>
    </w:p>
    <w:p w14:paraId="06284C6D" w14:textId="77777777" w:rsidR="00AE7191" w:rsidRPr="001E2C69" w:rsidRDefault="00AE7191" w:rsidP="00722885">
      <w:pPr>
        <w:pStyle w:val="Iauiue"/>
        <w:jc w:val="both"/>
        <w:rPr>
          <w:color w:val="000000" w:themeColor="text1"/>
          <w:sz w:val="16"/>
          <w:szCs w:val="16"/>
        </w:rPr>
      </w:pPr>
    </w:p>
    <w:p w14:paraId="53089B4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21 августа 1942 С.В.И. писал директору завода 23 и нач. 10 ГУ письмо N 107:</w:t>
      </w:r>
    </w:p>
    <w:p w14:paraId="0C390C8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"Посылаем Вам чертежи по замене дефицитного дюраля на дерево и болинит для запуска в серию:</w:t>
      </w:r>
    </w:p>
    <w:p w14:paraId="03A2001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1-й серийный фюзеляж предъявить нам для стат. испытаний.</w:t>
      </w:r>
    </w:p>
    <w:p w14:paraId="78EB426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Деревянную носовую часть, хвостовой кок и пол пилота разрешается внедрить в серию не дожидаясь стат. испытаний фюзеляжа, проверив увязку на 2-х машинах и предъявив их ГК (1685,185).</w:t>
      </w:r>
    </w:p>
    <w:p w14:paraId="745F82DE" w14:textId="77777777" w:rsidR="00AE7191" w:rsidRPr="001E2C69" w:rsidRDefault="00AE7191" w:rsidP="00722885">
      <w:pPr>
        <w:pStyle w:val="Iauiue"/>
        <w:jc w:val="both"/>
        <w:rPr>
          <w:color w:val="000000" w:themeColor="text1"/>
          <w:sz w:val="16"/>
          <w:szCs w:val="16"/>
        </w:rPr>
      </w:pPr>
    </w:p>
    <w:p w14:paraId="569029E8" w14:textId="77777777" w:rsidR="0043379B" w:rsidRPr="008A2E5A" w:rsidRDefault="0043379B" w:rsidP="0043379B">
      <w:pPr>
        <w:spacing w:after="0" w:line="240" w:lineRule="auto"/>
        <w:jc w:val="both"/>
        <w:rPr>
          <w:rFonts w:ascii="Times New Roman" w:hAnsi="Times New Roman"/>
          <w:color w:val="0070C0"/>
          <w:sz w:val="16"/>
          <w:szCs w:val="16"/>
        </w:rPr>
      </w:pPr>
      <w:bookmarkStart w:id="90" w:name="_Hlk144993716"/>
      <w:r w:rsidRPr="008A2E5A">
        <w:rPr>
          <w:rFonts w:ascii="Times New Roman" w:hAnsi="Times New Roman"/>
          <w:color w:val="0070C0"/>
          <w:sz w:val="16"/>
          <w:szCs w:val="16"/>
        </w:rPr>
        <w:t>21 августа 1942 года был построен (по-видимому, на заводе № 23) Ил-4 с деревянным фюзеляжем. но вес вырос настолько, что были нужны более мощные моторы и колеса основных шасси с шинами не менее 1100х400 мм, а до их внедрения было решено усилить серийные колеса 1000х350 мм (24139).</w:t>
      </w:r>
    </w:p>
    <w:p w14:paraId="73A481C5" w14:textId="77777777" w:rsidR="0043379B" w:rsidRPr="008A2E5A" w:rsidRDefault="0043379B" w:rsidP="0043379B">
      <w:pPr>
        <w:spacing w:after="0" w:line="240" w:lineRule="auto"/>
        <w:jc w:val="both"/>
        <w:rPr>
          <w:rFonts w:ascii="Times New Roman" w:hAnsi="Times New Roman"/>
          <w:color w:val="0070C0"/>
          <w:sz w:val="16"/>
          <w:szCs w:val="16"/>
        </w:rPr>
      </w:pPr>
    </w:p>
    <w:bookmarkEnd w:id="90"/>
    <w:p w14:paraId="0F2C7ED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21 августа 1942 ГИ ВВС Репин писал письмо N 416756с НКАП А.И.Ш. о том, что за сравнительно короткий срок эксплуатации Ла-5 М-82 выявлен ряд чрезвычайно серьезных дефектов, которые по своему характеру настолько серьезны, что являются причинами аварий и поломок самолетов...(1632,13).</w:t>
      </w:r>
    </w:p>
    <w:p w14:paraId="390B42F1" w14:textId="77777777" w:rsidR="00AE7191" w:rsidRPr="001E2C69" w:rsidRDefault="00AE7191" w:rsidP="00722885">
      <w:pPr>
        <w:pStyle w:val="Iauiue"/>
        <w:jc w:val="both"/>
        <w:rPr>
          <w:color w:val="000000" w:themeColor="text1"/>
          <w:sz w:val="16"/>
          <w:szCs w:val="16"/>
        </w:rPr>
      </w:pPr>
    </w:p>
    <w:p w14:paraId="0013F7E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августа 1942 г. по приказу № 643с/0112с, в связи с организацией в Красноярске Центральной авиаремонтной базы Управления Полярной авиации ГУСМП, завод № 477 был освобожден от работ по ремонту самолетов и моторов для УПА ГУСМП. Соответствующее оборудование и кадры были переданы в УПА ГУСМП.</w:t>
      </w:r>
    </w:p>
    <w:p w14:paraId="191A6FC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соответствии с пост. ГКО № 2643с от 20.12.1942 г. и приказом № 904с/479с от 23.12.1942 г. завод № 477 в Лаптево передан в ведение Главуглемаша НКугля (может быть, имеется в виду площадка завода). В начале 1942 г. в Красноярске был завод № 477бис.)</w:t>
      </w:r>
    </w:p>
    <w:p w14:paraId="263DE4E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267с от 3.05.1943 г. на площадку завода перебазируется ОКБ Бериева (окончание в 06.1943 г.). Бериев назначен гл. конструктором завода. С 1.05.1943 г., в связи с организацией производства Бе-4, завод передан из 6ГУ в ЮГУ.</w:t>
      </w:r>
    </w:p>
    <w:p w14:paraId="2F8261D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441с/Р258с от 13.11.1945 г. завод № 477 со всем оборудованием и кадрами передан ГУСМП. ОКБ Бериева в конце декабря возвращается в Таганрог на завод № 86.</w:t>
      </w:r>
    </w:p>
    <w:p w14:paraId="37F0AED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1950 г. завод перепрофилирован на судостроение.</w:t>
      </w:r>
    </w:p>
    <w:p w14:paraId="2770C60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Директор (1941 г.-)- Ф. Г. Нестеров, (01.1943 г.)- П.П. Смирнов, (-05.1943-11.1945 г.-)- ИЛ. Рехтман.</w:t>
      </w:r>
    </w:p>
    <w:p w14:paraId="2C6AA6E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 (05.1943 г.-)-  Г.М. Бериев.</w:t>
      </w:r>
    </w:p>
    <w:p w14:paraId="1292D9D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Производство:</w:t>
      </w:r>
      <w:r w:rsidRPr="001E2C69">
        <w:rPr>
          <w:rFonts w:ascii="Times New Roman" w:hAnsi="Times New Roman"/>
          <w:color w:val="000000" w:themeColor="text1"/>
          <w:sz w:val="16"/>
          <w:szCs w:val="16"/>
        </w:rPr>
        <w:t>.летающие лодки: КОР-2 (1944-45)- 38, ЛЛ-143 (1945)- 1.</w:t>
      </w:r>
    </w:p>
    <w:p w14:paraId="26BCF89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iCs/>
          <w:color w:val="000000" w:themeColor="text1"/>
          <w:sz w:val="16"/>
          <w:szCs w:val="16"/>
        </w:rPr>
        <w:t>Заводской № 4770305.</w:t>
      </w:r>
    </w:p>
    <w:p w14:paraId="3A994B4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Красноярский Ремонтный завод им. Побежимова ГУСМП / г. Красноярск/</w:t>
      </w:r>
    </w:p>
    <w:p w14:paraId="25EA239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Авиаремонтный завод основан в 1934 г. на базе бывших мастерских по ремонту катеров Главсевморпути, строительство начато 10.08.1935 г. Введен в эксплуатацию в 1940 г.</w:t>
      </w:r>
    </w:p>
    <w:p w14:paraId="2263F2D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01.1942 г. влит в состав эвакуированного на его площадку по приказу № 1050сс от 8.10.1941 г. завода № 477 НКАП.</w:t>
      </w:r>
    </w:p>
    <w:p w14:paraId="6F6797D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ОКБ-477 НКАП гл. конструктора  Г.М. Бериева</w:t>
      </w:r>
    </w:p>
    <w:p w14:paraId="7438F15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267с от 3.05.1943 г. для организации производства Бе-4 ОКБ-288 гл. конструктора  Г.М. Бериева переведено в Красноярск на завод № 477, где действовало под названием ОКБ-477.</w:t>
      </w:r>
    </w:p>
    <w:p w14:paraId="47906A1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Создан морской самолет-разведчик ЛЛ-143 (првый полет 6.09.1945 г.).</w:t>
      </w:r>
    </w:p>
    <w:p w14:paraId="0A43684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приказу № 463с от 24.11.1945 г. ОКБ-477 в конце 12.1945 г. возвращается со всем личным составом (150 ИТР и 250 рабочих) и оборудованием в Таганрог на завод № 86 (прибыло в 02.1946 г.). По приказу № 404с от 26.06.1946 г. там на базе ОКБ-477 организован опытный завод № 49 МАП.</w:t>
      </w:r>
    </w:p>
    <w:p w14:paraId="57031BF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ОКБ Полярной авиации</w:t>
      </w:r>
    </w:p>
    <w:p w14:paraId="2D53CB5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1948 г.- переделка гидросамолета ГСТ под двигатели АШ-82ФН. Переделка осуществлялась на заводе</w:t>
      </w:r>
    </w:p>
    <w:p w14:paraId="02AC737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 М.А. Мостовой (11982).</w:t>
      </w:r>
    </w:p>
    <w:p w14:paraId="2CD6722D"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9E6E8F0"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6A831FB1" w14:textId="77777777" w:rsidR="00AE7191" w:rsidRPr="001E2C69" w:rsidRDefault="00AE7191" w:rsidP="00722885">
      <w:pPr>
        <w:pStyle w:val="Iauiue"/>
        <w:jc w:val="both"/>
        <w:rPr>
          <w:iCs/>
          <w:color w:val="000000" w:themeColor="text1"/>
          <w:sz w:val="16"/>
          <w:szCs w:val="16"/>
        </w:rPr>
      </w:pPr>
    </w:p>
    <w:p w14:paraId="4363C7B4" w14:textId="77777777" w:rsidR="004119B8" w:rsidRPr="001E2C69" w:rsidRDefault="004119B8"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21 августа 1942 года, согласно доклада старшего военпреда ЧКЗ инженер-майора Скрибцова, направленного в ГБТУ КА:</w:t>
      </w:r>
    </w:p>
    <w:p w14:paraId="65F12EA3" w14:textId="77777777" w:rsidR="004119B8" w:rsidRPr="001E2C69" w:rsidRDefault="004119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«Программа по танкам </w:t>
      </w:r>
      <w:r w:rsidRPr="001E2C69">
        <w:rPr>
          <w:rFonts w:ascii="Times New Roman" w:hAnsi="Times New Roman"/>
          <w:color w:val="000000" w:themeColor="text1"/>
          <w:sz w:val="16"/>
          <w:szCs w:val="16"/>
          <w:lang w:val="en-US"/>
        </w:rPr>
        <w:t>KB</w:t>
      </w:r>
      <w:r w:rsidRPr="001E2C69">
        <w:rPr>
          <w:rFonts w:ascii="Times New Roman" w:hAnsi="Times New Roman"/>
          <w:color w:val="000000" w:themeColor="text1"/>
          <w:sz w:val="16"/>
          <w:szCs w:val="16"/>
        </w:rPr>
        <w:t xml:space="preserve"> и КВ-1С за 20 дней выполнена всего лишь на 35%. Та-</w:t>
      </w:r>
    </w:p>
    <w:p w14:paraId="709712C8" w14:textId="77777777" w:rsidR="004119B8" w:rsidRPr="001E2C69" w:rsidRDefault="004119B8" w:rsidP="00722885">
      <w:pPr>
        <w:pStyle w:val="27"/>
        <w:shd w:val="clear" w:color="auto" w:fill="auto"/>
        <w:tabs>
          <w:tab w:val="left" w:pos="442"/>
        </w:tabs>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1. основных цехов на выпуск Т-34 и это с одной стороны отвлекало внимание руко</w:t>
      </w:r>
      <w:r w:rsidRPr="001E2C69">
        <w:rPr>
          <w:rFonts w:ascii="Times New Roman" w:cs="Times New Roman"/>
          <w:color w:val="000000" w:themeColor="text1"/>
          <w:spacing w:val="0"/>
        </w:rPr>
        <w:softHyphen/>
        <w:t xml:space="preserve">водства завода от выпуска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 xml:space="preserve">, и с другой, было снято основное оборудование в цехе </w:t>
      </w:r>
      <w:r w:rsidRPr="001E2C69">
        <w:rPr>
          <w:rFonts w:ascii="Times New Roman" w:cs="Times New Roman"/>
          <w:color w:val="000000" w:themeColor="text1"/>
          <w:spacing w:val="0"/>
          <w:lang w:val="en-US"/>
        </w:rPr>
        <w:t>MX</w:t>
      </w:r>
      <w:r w:rsidRPr="001E2C69">
        <w:rPr>
          <w:rFonts w:ascii="Times New Roman" w:cs="Times New Roman"/>
          <w:color w:val="000000" w:themeColor="text1"/>
          <w:spacing w:val="0"/>
        </w:rPr>
        <w:t xml:space="preserve">-1, который поставлял для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 xml:space="preserve"> всю начин</w:t>
      </w:r>
      <w:r w:rsidRPr="001E2C69">
        <w:rPr>
          <w:rFonts w:ascii="Times New Roman" w:cs="Times New Roman"/>
          <w:color w:val="000000" w:themeColor="text1"/>
          <w:spacing w:val="0"/>
        </w:rPr>
        <w:softHyphen/>
        <w:t>ку КПП, шестерни бортредуктора и всю хо</w:t>
      </w:r>
      <w:r w:rsidRPr="001E2C69">
        <w:rPr>
          <w:rFonts w:ascii="Times New Roman" w:cs="Times New Roman"/>
          <w:color w:val="000000" w:themeColor="text1"/>
          <w:spacing w:val="0"/>
        </w:rPr>
        <w:softHyphen/>
        <w:t>довую часть. Сейчас эти узлы и детали пере</w:t>
      </w:r>
      <w:r w:rsidRPr="001E2C69">
        <w:rPr>
          <w:rFonts w:ascii="Times New Roman" w:cs="Times New Roman"/>
          <w:color w:val="000000" w:themeColor="text1"/>
          <w:spacing w:val="0"/>
        </w:rPr>
        <w:softHyphen/>
        <w:t>даны для изготовления в цех МХ-2 совместно с частью оборудования, которое уже частич</w:t>
      </w:r>
      <w:r w:rsidRPr="001E2C69">
        <w:rPr>
          <w:rFonts w:ascii="Times New Roman" w:cs="Times New Roman"/>
          <w:color w:val="000000" w:themeColor="text1"/>
          <w:spacing w:val="0"/>
        </w:rPr>
        <w:softHyphen/>
        <w:t>но установлено, частично еще нет.</w:t>
      </w:r>
    </w:p>
    <w:p w14:paraId="6EB86E40" w14:textId="77777777" w:rsidR="004119B8" w:rsidRPr="001E2C69" w:rsidRDefault="004119B8" w:rsidP="00722885">
      <w:pPr>
        <w:pStyle w:val="27"/>
        <w:shd w:val="clear" w:color="auto" w:fill="auto"/>
        <w:tabs>
          <w:tab w:val="left" w:pos="423"/>
        </w:tabs>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2. Благодаря упущению Дирекции завода цеха-заготовители (кузнечный и литейный) с большими перебоями подают поковки, штамповки и литье для КВ. Таким образом, сборочный цех СБ-2 не может собирать тре</w:t>
      </w:r>
      <w:r w:rsidRPr="001E2C69">
        <w:rPr>
          <w:rFonts w:ascii="Times New Roman" w:cs="Times New Roman"/>
          <w:color w:val="000000" w:themeColor="text1"/>
          <w:spacing w:val="0"/>
        </w:rPr>
        <w:softHyphen/>
        <w:t xml:space="preserve">буемого количества танков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 xml:space="preserve"> из-за отсут</w:t>
      </w:r>
      <w:r w:rsidRPr="001E2C69">
        <w:rPr>
          <w:rFonts w:ascii="Times New Roman" w:cs="Times New Roman"/>
          <w:color w:val="000000" w:themeColor="text1"/>
          <w:spacing w:val="0"/>
        </w:rPr>
        <w:softHyphen/>
        <w:t>ствия КПП, бортредукторов, гусениц, ниж</w:t>
      </w:r>
      <w:r w:rsidRPr="001E2C69">
        <w:rPr>
          <w:rFonts w:ascii="Times New Roman" w:cs="Times New Roman"/>
          <w:color w:val="000000" w:themeColor="text1"/>
          <w:spacing w:val="0"/>
        </w:rPr>
        <w:softHyphen/>
        <w:t>них катков, которые не подает МХ-2 на сбор</w:t>
      </w:r>
      <w:r w:rsidRPr="001E2C69">
        <w:rPr>
          <w:rFonts w:ascii="Times New Roman" w:cs="Times New Roman"/>
          <w:color w:val="000000" w:themeColor="text1"/>
          <w:spacing w:val="0"/>
        </w:rPr>
        <w:softHyphen/>
        <w:t>ку по вышеперечисленным причинам.</w:t>
      </w:r>
    </w:p>
    <w:p w14:paraId="346A8729" w14:textId="77777777" w:rsidR="004119B8" w:rsidRPr="001E2C69" w:rsidRDefault="004119B8"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3. В августе перед всем коллективом завода была поставлена основная задача на август - освоение Т-34, и мы считаем, это правиль</w:t>
      </w:r>
      <w:r w:rsidRPr="001E2C69">
        <w:rPr>
          <w:rFonts w:ascii="Times New Roman" w:cs="Times New Roman"/>
          <w:color w:val="000000" w:themeColor="text1"/>
          <w:spacing w:val="0"/>
        </w:rPr>
        <w:softHyphen/>
        <w:t>но. Но цехами и их начальниками это было понято так, что освоение Т-34 это есть един</w:t>
      </w:r>
      <w:r w:rsidRPr="001E2C69">
        <w:rPr>
          <w:rFonts w:ascii="Times New Roman" w:cs="Times New Roman"/>
          <w:color w:val="000000" w:themeColor="text1"/>
          <w:spacing w:val="0"/>
        </w:rPr>
        <w:softHyphen/>
        <w:t>ственная задача, которая перед ними постав</w:t>
      </w:r>
      <w:r w:rsidRPr="001E2C69">
        <w:rPr>
          <w:rFonts w:ascii="Times New Roman" w:cs="Times New Roman"/>
          <w:color w:val="000000" w:themeColor="text1"/>
          <w:spacing w:val="0"/>
        </w:rPr>
        <w:softHyphen/>
        <w:t xml:space="preserve">лена, и поэтому изготовление деталей для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 xml:space="preserve"> выпало из их внимания.</w:t>
      </w:r>
    </w:p>
    <w:p w14:paraId="75CFF7BF" w14:textId="77777777" w:rsidR="004119B8" w:rsidRPr="001E2C69" w:rsidRDefault="004119B8"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 xml:space="preserve">4. Все начальники цехов на вопрос — почему цех не дает деталей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 xml:space="preserve"> отвечают, что цех за</w:t>
      </w:r>
      <w:r w:rsidRPr="001E2C69">
        <w:rPr>
          <w:rFonts w:ascii="Times New Roman" w:cs="Times New Roman"/>
          <w:color w:val="000000" w:themeColor="text1"/>
          <w:spacing w:val="0"/>
        </w:rPr>
        <w:softHyphen/>
        <w:t>нимается освоением Т-34. Выполнение про</w:t>
      </w:r>
      <w:r w:rsidRPr="001E2C69">
        <w:rPr>
          <w:rFonts w:ascii="Times New Roman" w:cs="Times New Roman"/>
          <w:color w:val="000000" w:themeColor="text1"/>
          <w:spacing w:val="0"/>
        </w:rPr>
        <w:softHyphen/>
        <w:t xml:space="preserve">граммы по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 xml:space="preserve"> в текущем месяце будет за</w:t>
      </w:r>
      <w:r w:rsidRPr="001E2C69">
        <w:rPr>
          <w:rFonts w:ascii="Times New Roman" w:cs="Times New Roman"/>
          <w:color w:val="000000" w:themeColor="text1"/>
          <w:spacing w:val="0"/>
        </w:rPr>
        <w:softHyphen/>
        <w:t>висеть от того, насколько быстро сможет наладить свою работу цех МХ-2, как его обе</w:t>
      </w:r>
      <w:r w:rsidRPr="001E2C69">
        <w:rPr>
          <w:rFonts w:ascii="Times New Roman" w:cs="Times New Roman"/>
          <w:color w:val="000000" w:themeColor="text1"/>
          <w:spacing w:val="0"/>
        </w:rPr>
        <w:softHyphen/>
        <w:t>спечат поковками, штамповками и литьем цеха-заготовители, и насколько быстро будет прекращено прикрывательство в части сры</w:t>
      </w:r>
      <w:r w:rsidRPr="001E2C69">
        <w:rPr>
          <w:rFonts w:ascii="Times New Roman" w:cs="Times New Roman"/>
          <w:color w:val="000000" w:themeColor="text1"/>
          <w:spacing w:val="0"/>
        </w:rPr>
        <w:softHyphen/>
        <w:t xml:space="preserve">ва всеми цехами завода изготовление деталей по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 xml:space="preserve"> освоением Т-34.</w:t>
      </w:r>
    </w:p>
    <w:p w14:paraId="46606202" w14:textId="77777777" w:rsidR="004119B8" w:rsidRPr="001E2C69" w:rsidRDefault="004119B8"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 xml:space="preserve">Все эти вопросы нами поставлены перед дирекцией завода и, судя по принимаемым мероприятиям, программа по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 xml:space="preserve"> с большим напряжением, но может быть выполнена».</w:t>
      </w:r>
    </w:p>
    <w:p w14:paraId="7A9CB7DF" w14:textId="77777777" w:rsidR="004119B8" w:rsidRPr="001E2C69" w:rsidRDefault="004119B8"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Однако, несмотря на принятые меры, вы</w:t>
      </w:r>
      <w:r w:rsidRPr="001E2C69">
        <w:rPr>
          <w:rFonts w:ascii="Times New Roman" w:cs="Times New Roman"/>
          <w:color w:val="000000" w:themeColor="text1"/>
          <w:spacing w:val="0"/>
        </w:rPr>
        <w:softHyphen/>
        <w:t>полнить августовский план по тяжелым тан</w:t>
      </w:r>
      <w:r w:rsidRPr="001E2C69">
        <w:rPr>
          <w:rFonts w:ascii="Times New Roman" w:cs="Times New Roman"/>
          <w:color w:val="000000" w:themeColor="text1"/>
          <w:spacing w:val="0"/>
        </w:rPr>
        <w:softHyphen/>
        <w:t xml:space="preserve">кам (150 машин) не удалось - за месяц ЧКЗ изготовил 104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 xml:space="preserve">, из них 34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-1С. В это число вошли две машины, которые поступи</w:t>
      </w:r>
      <w:r w:rsidRPr="001E2C69">
        <w:rPr>
          <w:rFonts w:ascii="Times New Roman" w:cs="Times New Roman"/>
          <w:color w:val="000000" w:themeColor="text1"/>
          <w:spacing w:val="0"/>
        </w:rPr>
        <w:softHyphen/>
        <w:t xml:space="preserve">ли на государственные испытания 28 июля — танки № 15001 и 15002. При этом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-1С по</w:t>
      </w:r>
      <w:r w:rsidRPr="001E2C69">
        <w:rPr>
          <w:rFonts w:ascii="Times New Roman" w:cs="Times New Roman"/>
          <w:color w:val="000000" w:themeColor="text1"/>
          <w:spacing w:val="0"/>
        </w:rPr>
        <w:softHyphen/>
        <w:t>лучили гусеницу от КВ-1 - изготовление уз</w:t>
      </w:r>
      <w:r w:rsidRPr="001E2C69">
        <w:rPr>
          <w:rFonts w:ascii="Times New Roman" w:cs="Times New Roman"/>
          <w:color w:val="000000" w:themeColor="text1"/>
          <w:spacing w:val="0"/>
        </w:rPr>
        <w:softHyphen/>
        <w:t>кой наладить не смогли (15226).</w:t>
      </w:r>
    </w:p>
    <w:p w14:paraId="6946DB59" w14:textId="77777777" w:rsidR="004119B8" w:rsidRPr="001E2C69" w:rsidRDefault="004119B8" w:rsidP="00722885">
      <w:pPr>
        <w:pStyle w:val="27"/>
        <w:shd w:val="clear" w:color="auto" w:fill="auto"/>
        <w:spacing w:after="0" w:line="240" w:lineRule="auto"/>
        <w:ind w:firstLine="0"/>
        <w:rPr>
          <w:rFonts w:ascii="Times New Roman" w:cs="Times New Roman"/>
          <w:color w:val="000000" w:themeColor="text1"/>
          <w:spacing w:val="0"/>
        </w:rPr>
      </w:pPr>
    </w:p>
    <w:p w14:paraId="752485F0"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августа 1942</w:t>
      </w:r>
    </w:p>
    <w:p w14:paraId="15333643"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94 лист 10 – 8</w:t>
      </w:r>
    </w:p>
    <w:p w14:paraId="68B5555F"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0F98FDB9"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w:t>
      </w:r>
    </w:p>
    <w:p w14:paraId="7B4A5E5F"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НАРОДНОГО КОМИССАРА ТАНКОВОЙ ПРОМЫШЛЕННОСТИ СОЮЗА ССР</w:t>
      </w:r>
    </w:p>
    <w:p w14:paraId="6F135D3E"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603с</w:t>
      </w:r>
    </w:p>
    <w:p w14:paraId="54ED01BE"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Москва</w:t>
      </w:r>
    </w:p>
    <w:p w14:paraId="2368B75B"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августа 1942 г.</w:t>
      </w:r>
    </w:p>
    <w:p w14:paraId="034EF607"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Выполнение плана запасных частей к танкам и моторам, установленного Постановлением Государственного Комитета Обороны и приказом НКТП № 520сс от 13.VII-42 г. проходит совершенно неудовлетворительно. Заводами Наркомата план по танковым запасным частям за июль и первую половину августа месяцев выполнен:</w:t>
      </w:r>
    </w:p>
    <w:p w14:paraId="07412777"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всему Наркомату установленный план производства запасных частей к танкам и моторам за июль выполнен всего на 89 %, а план августа за 15 дней – только на 28,2 %. Очень плохо проходит выполнение плана по запасным частям к ведущему танку Красной Армии Т-34. План июля по запасным частям Т-34 по НКТП выполнен на 64,3 % и за 15 дней августа только на 24 %.</w:t>
      </w:r>
    </w:p>
    <w:p w14:paraId="6993A731"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Значительно ухудшили свою работу в августе по сравнению с июлем заводы: Кировский (директор т. Махонин), № 112 (директор т. Рубинчик) и № 38 (директор т. Яковлев). Как в июле, так и августе плохо выполняют план заводы: № 183 (директор т. Максарев), № 76 (директор т. Кочетков), СТЗ (директор т. Задорожный), № 255 (директор т. Мороз) и исключительно плохо работает в течение II и III кв. по выпуску запчастей Т-34 завод № 174 (директор т. Кацнельсон и Гл. инженер т. Шор).</w:t>
      </w:r>
    </w:p>
    <w:p w14:paraId="60820504"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Директоры заводов не обеспечили равномерного и комплектного выпуска и сдачи запасных частей по пятидневкам наравне с выполнением плана по танкам и моторам. Плохо идет сдача дефицитных запчастей (коробок перемены передач, бортовых фрикционов, катков, поршневых колец, форсунок, сопло с иглой и др. изделий), особенно по Т-34, установленных постановлением ГОКО и приказом НКТП № 520с от 13.VII-42 г. – отсутствие которых срывает восстановление танков на фронте и ремзаводах промышленности.</w:t>
      </w:r>
    </w:p>
    <w:p w14:paraId="77074F87"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Сотни танков Т-34 из-за необеспеченности запчастями, в исключительно ответственный для судьбы Родины момент, не принимают участия в борьбе против гитлеровских захватчиков. В этом в первую очередь повинны директора заводов № 174 т. Кацнельсон, № 183 т. Максарев, СТЗ т. Задорожный, № 112 т. Рубинчик и № 76 т. Кочетков не поставляющие запчасти Т-34 и В-2 в нужных количествах.</w:t>
      </w:r>
    </w:p>
    <w:p w14:paraId="6E82EF84"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Директора заводов не сделали практических выводов из неоднократных указаний Наркомата о том, что для усиления боеспособности Красной Армии снабжение запасными частями является делом исключительной важности.</w:t>
      </w:r>
    </w:p>
    <w:p w14:paraId="302B965C"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ПРИКАЗЫВАЮ:</w:t>
      </w:r>
    </w:p>
    <w:p w14:paraId="1334278F"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Директорам заводов № 174, № 183, Кировского завода, № 112, №38, СТЗ, № 76 и № 255:</w:t>
      </w:r>
    </w:p>
    <w:p w14:paraId="52DE4E26"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в 2-х дневный срок разработать и передать мне по "ВЧ" мероприятия, обеспечивающие выполнение плана августа месяца по запчастям и дальнейший разворот их производства в сентябре с.г.;</w:t>
      </w:r>
    </w:p>
    <w:p w14:paraId="3568E04C"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в цеховых суточных планах-графиках по изготовлению деталей и узлов для танков и моторов устанавливать отдельно план изготовления деталей и узлов для сдачи в запчасти не менее 1/28 части объема месячного задания на каждые сутки;</w:t>
      </w:r>
    </w:p>
    <w:p w14:paraId="13718AF2"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установить порядок при котором детали и агрегаты, идущие в запасные части в первую очередь сдаются отделу сбыта и во вторую очередь в свои сборочные цеха для обеспечения выпуска танков и дизельмоторов;</w:t>
      </w:r>
    </w:p>
    <w:p w14:paraId="05EC1666"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категорически запретить передачу в сборочные цеха деталей и узлов, сданных отделом сбыта заводов в запчасти;</w:t>
      </w:r>
    </w:p>
    <w:p w14:paraId="4D23E82C"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 до 10 сентября с.г. покрыть недовыполнение плана по запчастям июля месяца;</w:t>
      </w:r>
    </w:p>
    <w:p w14:paraId="758EC4C3"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 в пятидневных сводках о сдаче запчастей к танкам и моторам сообщать отдельно на какую сумму сдано запчастей ремонтным заводам, а также для ремонта танков у себя на заводе, в счет общего плана выпуска запчастей, согласно приказам НКТП № 520сс и № 551с;</w:t>
      </w:r>
    </w:p>
    <w:p w14:paraId="011F5272"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ж) лично разъяснить командному составу заводов сущность и значение настоящего приказа.</w:t>
      </w:r>
    </w:p>
    <w:p w14:paraId="29AA9E95"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ТАНКОВОЙ ПРОМЫШЛЕННОСТИ СОЮЗА ССР</w:t>
      </w:r>
    </w:p>
    <w:p w14:paraId="11927254"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И. ЗАЛЬЦМАН (23501).</w:t>
      </w:r>
    </w:p>
    <w:p w14:paraId="3A38C856" w14:textId="77777777" w:rsidR="0043379B" w:rsidRPr="008A2E5A" w:rsidRDefault="0043379B" w:rsidP="0043379B">
      <w:pPr>
        <w:spacing w:after="0" w:line="240" w:lineRule="auto"/>
        <w:jc w:val="both"/>
        <w:rPr>
          <w:rFonts w:ascii="Times New Roman" w:hAnsi="Times New Roman"/>
          <w:color w:val="0070C0"/>
          <w:sz w:val="16"/>
          <w:szCs w:val="16"/>
        </w:rPr>
      </w:pPr>
    </w:p>
    <w:p w14:paraId="2F6A55D6"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августа 1942</w:t>
      </w:r>
    </w:p>
    <w:p w14:paraId="1D6BB295"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94 лист 39 – 37</w:t>
      </w:r>
    </w:p>
    <w:p w14:paraId="47AECEAD"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183BA6CE"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w:t>
      </w:r>
    </w:p>
    <w:p w14:paraId="437AEC27"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НАРОДНОГО КОМИССАРА ТАНКОВОЙ ПРОМЫШЛЕННОСТИ СОЮЗА ССР</w:t>
      </w:r>
    </w:p>
    <w:p w14:paraId="5DC25A4D"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 612с</w:t>
      </w:r>
    </w:p>
    <w:p w14:paraId="040F166A"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Москва</w:t>
      </w:r>
    </w:p>
    <w:p w14:paraId="51DB9D33"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августа 1942 г.</w:t>
      </w:r>
    </w:p>
    <w:p w14:paraId="712A8C4F"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целях своевременной подготовки танков к эксплоатации в зимних условиях, ПРИКАЗЫВАЮ:</w:t>
      </w:r>
    </w:p>
    <w:p w14:paraId="0855AA4A"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Директорам заводов № 183 т. Максареву и Кировского т. Махонину для облегчения запуска двигателя танков Т-34 и КВ в зимних условиях обеспечить разработку чертежей, изготовление образцов и испытание в танке до 10.IX-с.г.:</w:t>
      </w:r>
    </w:p>
    <w:p w14:paraId="59728876"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маслоперепускного устройства СТЗ для работы двигателя на разжиженном бензином масле;</w:t>
      </w:r>
    </w:p>
    <w:p w14:paraId="19E9FDD2"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приспособление для обогрева всасываемого воздуха с помощью паяльной лампы;</w:t>
      </w:r>
    </w:p>
    <w:p w14:paraId="40BB2ACB"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съемного теплоизоляционного коврика из плотной хлопчатобумажной ткани с войлочной прокладкой для прикрытия жалюзи.</w:t>
      </w:r>
    </w:p>
    <w:p w14:paraId="67658EDA"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того, директору завода № 183 т. Максареву до 10.IX-с.г. – обеспечить разработку, изготовление и испытание улучшенного маслоподкачивающего насоса типа Кировского завода для принятия его как унифицированного типа для всех танков Т-34.</w:t>
      </w:r>
    </w:p>
    <w:p w14:paraId="3E262A9F"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Отработанные заводами № 183 и Кировским чертежи, согласно настоящего пункта приказа к 12/IX-с.г. – нарочным доставить для утверждения в НКТП и ГАБТУ КА и одновременно разослать всем заводам, изготовляющим танки Т-34.</w:t>
      </w:r>
    </w:p>
    <w:p w14:paraId="593DDF0A"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Директорам заводов № 183 т. Максареву, СТЗ т. Задорожному, № 174 т. Кацнельсону, № 112 т. Рубинчику, УЗТМ т. Музрукову и Кировского т. Махонину обеспечить с 1/Х-с.г. на всех выпускаемых танках Т-34 и КВ:</w:t>
      </w:r>
    </w:p>
    <w:p w14:paraId="35A27533"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установку маслоперепускного устройства, приспособления для подогрева всасываемого воздуха, маслоподкачивающего насоса и коврика для покрытия жалюзи, согласно п. 1 настоящего приказа;</w:t>
      </w:r>
    </w:p>
    <w:p w14:paraId="3476F4F4"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восстановить управляемые изнутри жалюзи над радиатором.</w:t>
      </w:r>
    </w:p>
    <w:p w14:paraId="529FFCCC"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Директорам заводов: № 183 т. Максареву, Кировского т. Махонину, УЗТМ т. Музрукову, СТЗ т. Задорожному, № 174 т. Кацнельсону, № 112 т. Рубинчику и № 38 т. Яковлеву обеспечить, в связи с предстоящим зимним периодом на всех выпускаемых танках:</w:t>
      </w:r>
    </w:p>
    <w:p w14:paraId="5EB1F4E0"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с 1/Х-с.г. – заправку всех агрегатов зимней смазкой;</w:t>
      </w:r>
    </w:p>
    <w:p w14:paraId="6C0C1C40"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с 1/Х-с.г. – установку аккумуляторов с зимней зарядкой и соответствующей плотностью электролита;</w:t>
      </w:r>
    </w:p>
    <w:p w14:paraId="27A4AC27"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 1/Х-с.г. – прикладывать к танкам инструкцию по зимней эксплоатации танков;</w:t>
      </w:r>
    </w:p>
    <w:p w14:paraId="736D1308"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к 15/Х-с.г. – подготовиться к зимней окраске танков в белый цвет клеевой краской поверх защитной окраски. Зимнюю окраску ввести немедленно по первому требованию НКТП и БТУ КА;</w:t>
      </w:r>
    </w:p>
    <w:p w14:paraId="3A8002F5"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 по танку Т-70 с 1/Х-с.г. – ввести теплоизоляционный чехол на аккумулятор.</w:t>
      </w:r>
    </w:p>
    <w:p w14:paraId="5BFE3DF4"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Директору завода № 112 т. Рубинчику закончить к 15 сентября с.г. испытания танка с ложным бачком для разжижения смазки двигателя. Результаты испытания к 18.IX-с.г. представить на утверждение НКТП и ГАБТУ КА.</w:t>
      </w:r>
    </w:p>
    <w:p w14:paraId="439BA862"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Директору СТЗ т. Задорожному немедленно выслать в наркомат чертежи уширителей траков танков Т-34 и Т-60 и заводу № 112 два комплекта деталей уширителей к тракам танка Т-34.</w:t>
      </w:r>
    </w:p>
    <w:p w14:paraId="4597A346"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Моему заместителю – главному конструктору НКТП т. КОТИНУ по получении чертежей уширителей траков представить мне предложение об их утверждении для производства.</w:t>
      </w:r>
    </w:p>
    <w:p w14:paraId="655F8EF1"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Директору завода № 222 т. Пышкину обеспечить:</w:t>
      </w:r>
    </w:p>
    <w:p w14:paraId="1DFB9D94"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к 15/IX-с.г. – отработку бензостойкой пропиткой асбестовых сальников АТО-41, незамерзающих при температурах до – 40°С и немедленно ввести таковую в производство.</w:t>
      </w:r>
    </w:p>
    <w:p w14:paraId="58D8EB10"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с 1/Х-с.г. – ввести незамерзающую смазку для подвижных частей АТО-41.</w:t>
      </w:r>
    </w:p>
    <w:p w14:paraId="14BEBCC7"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немедленно, с нарочным потребовать от заводов поставщиков редукторов РВ-4 и РВ-8 замены мембран во вновь выпускаемых редукторах на бензо-морозоустойчивые. По получении таковых не позднее 1/Х-с.г. – обеспечить выпуск АТО-41 с редукторами РВ-4 и РВ-8 с бензо-морозоустойчивыми мембранами.</w:t>
      </w:r>
    </w:p>
    <w:p w14:paraId="745CCA59"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Заместителю главного конструктора НКТП т. Гинзбург к 25.VIII-с.г. – разработать программу по испытанию приспособлений для обеспечения запуска двигателя, согласно пункта первого настоящего приказа и по утверждении ее главным конструктором НКТП и ГАБТУ КА выслать не позднее 27.VIII-с.г. заводам № 183 и Кировскому, одновременно командировав инженеров отдела главного конструктора для участия в испытаниях.</w:t>
      </w:r>
    </w:p>
    <w:p w14:paraId="26CBB10B"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Начальнику Главснаба НКТП т. Розину обеспечить в сентябре с.г. своевременную поставку заводу № 222 редукторов РВ-4 и РВ-8 с бензо-морозоустойчивыми мембранами.</w:t>
      </w:r>
    </w:p>
    <w:p w14:paraId="6F53BE72"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Контроль за исполнением настоящего приказа возложить соответственно на заместителя главного конструктора НКТП т. Гинзбург и и.о. заместителя начальника 1-го отдела т. Магидсона.</w:t>
      </w:r>
    </w:p>
    <w:p w14:paraId="7ABE183E"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ТАНКОВОЙ ПРОМЫШЛЕННОСТИ СОЮЗА ССР</w:t>
      </w:r>
    </w:p>
    <w:p w14:paraId="69B4F40A" w14:textId="77777777" w:rsidR="0043379B" w:rsidRPr="008A2E5A" w:rsidRDefault="0043379B" w:rsidP="0043379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И.ЗАЛЬЦМАН (23502).</w:t>
      </w:r>
    </w:p>
    <w:p w14:paraId="5E0304AA" w14:textId="77777777" w:rsidR="0043379B" w:rsidRPr="008A2E5A" w:rsidRDefault="0043379B" w:rsidP="0043379B">
      <w:pPr>
        <w:spacing w:after="0" w:line="240" w:lineRule="auto"/>
        <w:jc w:val="both"/>
        <w:rPr>
          <w:rFonts w:ascii="Times New Roman" w:hAnsi="Times New Roman"/>
          <w:color w:val="0070C0"/>
          <w:sz w:val="16"/>
          <w:szCs w:val="16"/>
        </w:rPr>
      </w:pPr>
    </w:p>
    <w:p w14:paraId="5E59D08E" w14:textId="77777777" w:rsidR="000C324B" w:rsidRPr="001E2C69" w:rsidRDefault="000C324B" w:rsidP="00722885">
      <w:pPr>
        <w:pStyle w:val="162"/>
        <w:shd w:val="clear" w:color="auto" w:fill="auto"/>
        <w:spacing w:line="240" w:lineRule="auto"/>
        <w:jc w:val="both"/>
        <w:rPr>
          <w:color w:val="000000" w:themeColor="text1"/>
          <w:sz w:val="16"/>
          <w:szCs w:val="16"/>
        </w:rPr>
      </w:pPr>
      <w:r w:rsidRPr="001E2C69">
        <w:rPr>
          <w:rFonts w:eastAsia="Calibri"/>
          <w:color w:val="000000" w:themeColor="text1"/>
          <w:sz w:val="16"/>
          <w:szCs w:val="16"/>
        </w:rPr>
        <w:t>С 21 августа по 3 сентября 1942 испытывались обе САУ завода № 37: СУ-31 и СУ-32, причем СУ-31 показала себя с лучшей стороны, в то время как у СУ-32 наблюдался перегрев двигателей. Впрочем, к тому моменту, когда машины вышли на испы</w:t>
      </w:r>
      <w:r w:rsidRPr="001E2C69">
        <w:rPr>
          <w:rFonts w:eastAsia="Calibri"/>
          <w:color w:val="000000" w:themeColor="text1"/>
          <w:sz w:val="16"/>
          <w:szCs w:val="16"/>
        </w:rPr>
        <w:softHyphen/>
        <w:t>тания, завод № 37 уже объединился с Уралмашем и о серийном произ</w:t>
      </w:r>
      <w:r w:rsidRPr="001E2C69">
        <w:rPr>
          <w:rFonts w:eastAsia="Calibri"/>
          <w:color w:val="000000" w:themeColor="text1"/>
          <w:sz w:val="16"/>
          <w:szCs w:val="16"/>
        </w:rPr>
        <w:softHyphen/>
        <w:t>водстве легких САУ в Свердловске речь не шла (17485).</w:t>
      </w:r>
    </w:p>
    <w:p w14:paraId="36A2AEA7" w14:textId="77777777" w:rsidR="000C324B" w:rsidRPr="001E2C69" w:rsidRDefault="000C324B" w:rsidP="00722885">
      <w:pPr>
        <w:spacing w:after="0" w:line="240" w:lineRule="auto"/>
        <w:jc w:val="both"/>
        <w:rPr>
          <w:rFonts w:ascii="Times New Roman" w:hAnsi="Times New Roman"/>
          <w:color w:val="000000" w:themeColor="text1"/>
          <w:sz w:val="16"/>
          <w:szCs w:val="16"/>
        </w:rPr>
      </w:pPr>
    </w:p>
    <w:p w14:paraId="11A79415" w14:textId="77777777" w:rsidR="004A33F1" w:rsidRPr="001E2C69" w:rsidRDefault="004A33F1"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период с 21 августа по 3 сентября 1942 на филиале НИБТ Полигона в Кубинке (сам полигон осенью 1941 года эвакуировали под Казань) СУ-32 прошла 524 километра, из них 292 по шоссе и 197 км по проселку. Остальной километраж проходил по целине и в ходе специспытаний. Средняя скорость по шоссе составила 25,5 км/ч, по проселку 17,8 км/ч, максимальная же скорость составила 45 км/ч. В принципе, очень похоже на Т-70, но с рядом нюансов. Прежде всего, проблема заключалась в запредельной температуре в системе охлаждения. Она достигала 100 градусов для воды, а для масла - 110-120 градусов. Отмечалось неудобство работы с боекомплектом, недостаточная прочность тормозов, имелись проблемы с проходимостью на специспытаниях. Также отмечался разрыв гусеничных лент.</w:t>
      </w:r>
    </w:p>
    <w:p w14:paraId="64E8AE1D" w14:textId="77777777" w:rsidR="004A33F1" w:rsidRPr="001E2C69" w:rsidRDefault="004A33F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eastAsia="Times New Roman" w:hAnsi="Times New Roman"/>
          <w:color w:val="000000" w:themeColor="text1"/>
          <w:sz w:val="16"/>
          <w:szCs w:val="16"/>
          <w:lang w:eastAsia="ru-RU"/>
        </w:rPr>
        <w:t xml:space="preserve">Часть недостатков, выявленных на СУ-32, не являлись чем-то новым. Недостаточная прочность траков являлась проблемой и на Т-70, да и система охлаждения машины не работала идеально. Собственно говоря, уже шли работы по модернизации ходовой части базового танка, с октября 1942 года его запустили в серию как Т-70Б. Другой вопрос, что в случае с самоходами имелась заинтересованная сторона. А именно С.А. Гинзбург. Как явный лоббист системы с параллельным расположением мотора, он сделал так, что СУ-31 признали оптимальным шасси. Впрочем, и этой машине не суждено было стать серийной. Завод №37 уже производил Т-34, так что новым местом разработки стал завод №38 (г. Киров), куда и направили разработки по обеим машинам. В результате родилась СУ-12, в которой совместили шасси на агрегатах Т-70Б и систему моторно-трансмиссионной группы от СУ-31 </w:t>
      </w:r>
      <w:r w:rsidRPr="001E2C69">
        <w:rPr>
          <w:rFonts w:ascii="Times New Roman" w:hAnsi="Times New Roman"/>
          <w:color w:val="000000" w:themeColor="text1"/>
          <w:sz w:val="16"/>
          <w:szCs w:val="16"/>
        </w:rPr>
        <w:t>(21099).</w:t>
      </w:r>
    </w:p>
    <w:p w14:paraId="4D6C691F" w14:textId="77777777" w:rsidR="004A33F1" w:rsidRPr="001E2C69" w:rsidRDefault="004A33F1" w:rsidP="00722885">
      <w:pPr>
        <w:spacing w:after="0" w:line="240" w:lineRule="auto"/>
        <w:jc w:val="both"/>
        <w:rPr>
          <w:rFonts w:ascii="Times New Roman" w:hAnsi="Times New Roman"/>
          <w:color w:val="000000" w:themeColor="text1"/>
          <w:sz w:val="16"/>
          <w:szCs w:val="16"/>
        </w:rPr>
      </w:pPr>
    </w:p>
    <w:p w14:paraId="1A13190F" w14:textId="77777777" w:rsidR="004135CC" w:rsidRPr="001E2C69" w:rsidRDefault="004135C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21 августа 1942 в Кубинке на полигоне Научно-исследовательского института бронетанковой техники (НИИБТ Полигоне) приступили к официальной программе ходовых испытаний СУ-31 и СУ-32. Ещё раньше, 18 августа, прошли демонстрационные стрельбы на Софринском артиллерийском полигоне. Всего с 21 августа по 3 сентября СУ-31 и СУ-32 прошли 630 и 524 километра соответственно. Было произведено 490 выстрелов из 61-К и 205 выстрелов из ЗИС-3.</w:t>
      </w:r>
    </w:p>
    <w:p w14:paraId="69B50680" w14:textId="77777777" w:rsidR="004135CC" w:rsidRPr="001E2C69" w:rsidRDefault="004135C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Для соответствия весовым характеристикам СУ-32 на испытаниях догрузили до боевой массы с проектной толщиной брони. В ходе испытаний у обеих самоходок наблюдались частые разрывы гусеничных лент. Решить эту проблему предполагалось модернизацией ходовой части по типу Т-70Б, название это условное, поскольку в документах Т-70 с усиленной ходовой частью так не называется. Также ходовые испытания выявили серьёзные проблемы системы охлаждения двигателя СУ-32, на СУ-31 подобного не наблюдалось. Отмечалось неудобное размещение боекомплекта, в результате чего скорострельность (по сравнению со штатной ЗИС-3) оказалась снижена. На угле возвышения 25 градусов орудийный щит закрывал обзор панорамы, в результате прицеливание становилось невозможным. Кроме того, установка бронекожуха увеличила усилия на маховики механизма наведения.</w:t>
      </w:r>
    </w:p>
    <w:p w14:paraId="60C7433A" w14:textId="77777777" w:rsidR="004135CC" w:rsidRPr="001E2C69" w:rsidRDefault="004135C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По результатам сравнительных испытаний был сделан следующий вывод:</w:t>
      </w:r>
    </w:p>
    <w:p w14:paraId="576AE308" w14:textId="77777777" w:rsidR="004135CC" w:rsidRPr="001E2C69" w:rsidRDefault="004135C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«Испытания пробегом показали, что машина (СУ-32) имеет кроме слабых тормозов и траков следующие дефекты:</w:t>
      </w:r>
    </w:p>
    <w:p w14:paraId="3A949761" w14:textId="77777777" w:rsidR="004135CC" w:rsidRPr="001E2C69" w:rsidRDefault="004135C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а) Перегрев двигателя.</w:t>
      </w:r>
    </w:p>
    <w:p w14:paraId="7180262C" w14:textId="77777777" w:rsidR="004135CC" w:rsidRPr="001E2C69" w:rsidRDefault="004135C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б) Слабое крепление коробки перемены передач.</w:t>
      </w:r>
    </w:p>
    <w:p w14:paraId="5C456031" w14:textId="77777777" w:rsidR="004135CC" w:rsidRPr="001E2C69" w:rsidRDefault="004135C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в) Наличие указанных дефектов не даёт возможности рекомендовать шасси со спаренной установкой двигателя для принятия на вооружение Красной Армии.</w:t>
      </w:r>
    </w:p>
    <w:p w14:paraId="6C881B87" w14:textId="77777777" w:rsidR="004135CC" w:rsidRPr="001E2C69" w:rsidRDefault="004135CC"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Учитывая, что компоновка 76 мм пушки на самоходной установке в основном работает удовлетворительно, комиссия считает целесообразным одновременно с выпуском опытной серии 37 мм зенитных самоходных установок, выпустить для проведения испытаний в частях действующей Красной Армии опытной серии в количестве 6–10 штук 76 мм штурмовых самоходных установок на шасси с параллельным расположением двигателей, рекомендованном для 37 мм зенитной самоходной установки».</w:t>
      </w:r>
    </w:p>
    <w:p w14:paraId="3C95012E" w14:textId="77777777" w:rsidR="004135CC" w:rsidRPr="001E2C69" w:rsidRDefault="004135CC" w:rsidP="00722885">
      <w:pPr>
        <w:spacing w:after="0" w:line="240" w:lineRule="auto"/>
        <w:jc w:val="both"/>
        <w:rPr>
          <w:rFonts w:ascii="Times New Roman" w:hAnsi="Times New Roman"/>
          <w:color w:val="000000" w:themeColor="text1"/>
          <w:sz w:val="16"/>
          <w:szCs w:val="16"/>
        </w:rPr>
      </w:pPr>
      <w:r w:rsidRPr="001E2C69">
        <w:rPr>
          <w:rFonts w:ascii="Times New Roman" w:eastAsia="Times New Roman" w:hAnsi="Times New Roman"/>
          <w:color w:val="000000" w:themeColor="text1"/>
          <w:sz w:val="16"/>
          <w:szCs w:val="16"/>
          <w:lang w:eastAsia="ru-RU"/>
        </w:rPr>
        <w:t>Продолжения работ по теме СУ-31 и СУ-32 на заводе №37 не последовало (17668).</w:t>
      </w:r>
    </w:p>
    <w:p w14:paraId="3B5B145C" w14:textId="77777777" w:rsidR="004135CC" w:rsidRPr="001E2C69" w:rsidRDefault="004135CC" w:rsidP="00722885">
      <w:pPr>
        <w:spacing w:after="0" w:line="240" w:lineRule="auto"/>
        <w:jc w:val="both"/>
        <w:rPr>
          <w:rFonts w:ascii="Times New Roman" w:hAnsi="Times New Roman"/>
          <w:color w:val="000000" w:themeColor="text1"/>
          <w:sz w:val="16"/>
          <w:szCs w:val="16"/>
        </w:rPr>
      </w:pPr>
    </w:p>
    <w:p w14:paraId="3028CE5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21 августа 1942 г. вышло постановление Государственного комитета обороны СССР об эвакуации оборонного завода № 91 (г. Сталинград).</w:t>
      </w:r>
    </w:p>
    <w:p w14:paraId="287F9214" w14:textId="77777777" w:rsidR="00AE7191" w:rsidRPr="001E2C69" w:rsidRDefault="00AE7191" w:rsidP="00722885">
      <w:pPr>
        <w:pStyle w:val="Iauiue"/>
        <w:jc w:val="both"/>
        <w:rPr>
          <w:color w:val="000000" w:themeColor="text1"/>
          <w:sz w:val="16"/>
          <w:szCs w:val="16"/>
        </w:rPr>
      </w:pPr>
    </w:p>
    <w:p w14:paraId="4113D9E4" w14:textId="77777777" w:rsidR="004119B8"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319AC464" w14:textId="77777777" w:rsidR="004119B8" w:rsidRPr="001E2C69" w:rsidRDefault="004119B8" w:rsidP="00722885">
      <w:pPr>
        <w:pStyle w:val="Iauiue"/>
        <w:jc w:val="both"/>
        <w:rPr>
          <w:iCs/>
          <w:color w:val="000000" w:themeColor="text1"/>
          <w:sz w:val="16"/>
          <w:szCs w:val="16"/>
        </w:rPr>
      </w:pPr>
    </w:p>
    <w:p w14:paraId="196CEB86"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августа в 1942 году утреннее сообщение Совинформбюро:</w:t>
      </w:r>
    </w:p>
    <w:p w14:paraId="02943A31"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21 августа наши войска вели бои с противником в районах юго-восточнее Клетская, северо-восточнее Котельниково, а также юго-восточнее Пятигорска и южнее Краснодара.</w:t>
      </w:r>
    </w:p>
    <w:p w14:paraId="0B891A5C"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25C4E383"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Н-ское подразделение внезапно атаковало готовившегося к наступлению противника. В ожесточённом сражении наши бойцы уничтожили 5 немецких танков, 8 противотанковых орудий, 11 пулемётов, 7 миномётов и истребили 350 гитлеровцев. Юго-восточнее Клетской продолжаются упорные бои с противником. Бойцы одной нашей части отбили атаку немецкой мотопехоты, наступавшей при поддержке танков. Подбито 8 танков, и разгромлен батальон пехоты противника.</w:t>
      </w:r>
    </w:p>
    <w:p w14:paraId="0D58E9E2"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наши войска продолжали вести оборонительные бои. Контратаками советские части изматывают немцев и наносят им значительный урон. Только в районе действий Н-ской части неприятель потерял 3 танка, 9 орудий, 5 автомашин и 350 солдат и офицеров. Разведывательный отряд ночью пробрался в расположение противника. Наши разведчики подожгли несколько немецких танков и автомашин и истребили до 100 гитлеровцев.</w:t>
      </w:r>
    </w:p>
    <w:p w14:paraId="27112A67"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Краснодара соединение под командованием тов. Аршинцева в трёхдневных боях уничтожило свыше 2.500 немецких солдат и офицеров, 14 танков, 7 бронемашин, 103 автомашины, много орудий и пулемётов. Советские бойцы самоотверженно борются против численно превосходящих сил врага. Пулемётчики тт.Дзилунов и Пирущак уничтожили 90 немецких автоматчиков. Командир батальона капитан Бедашвили огнём из станкового пулемёта уничтожил шесть немецких мотоциклов и свыше 40 гитлеровцев. Бронебойщик старший сержант Катаев метко брошенной противотанковой гранатой подбил немецкий танк и машину с пехотой.</w:t>
      </w:r>
    </w:p>
    <w:p w14:paraId="58948274"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юго-восточнее Пятигорска продолжались ожесточённые бои, в ходе которых противнику нанесены большие потери.</w:t>
      </w:r>
    </w:p>
    <w:p w14:paraId="545D73D8"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Ленинградском фронте происходили бои местного значения. На одном из участков несколько подразделений командира тов. Свиридова предприняли наступление. Преодолев упорное сопротивление врага, наши бойцы заняли важный оборонительный рубеж. Два батальона немецкой пехоты пытались вернуть потерянные позиции, но их атаки были отбиты. За два дня боёв, по неполным данным, истреблено свыше 1.000 немецких солдат и офицеров, уничтожено 10 пулемётов, 3 миномёта, сожжён немецкий танк, взорвано 2 склада с боеприпасами. Огнём нашей артиллерии подавлен огонь 7 артиллерийских батарей противника.</w:t>
      </w:r>
    </w:p>
    <w:p w14:paraId="20320395"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ефрейтор разведывательного отряда военно-воздушных сил германской армии Герберт Риттер рассказал: «Наш отряд прибыл в Россию из Антверпена (Бельгия) в июне этого года. Вслед за нами прибыли другие авиационные части из Бельгии, а также из Франции. Совершая разведывательный полёт, я встретился с советским истребителем и хотел было уклониться от боя. Однако русский лётчик преследовал меня и подбил мою машину. У нас существует всеобщее мнение, что русские лётчики — это искусные мастера своего дела. Многих немецких лётчиков пугает русская зима. По их мнению, вторую русскую зиму германская армия не выдержит. Они говорят, что если война не будет скоро закончена, то Германия потерпит поражение».</w:t>
      </w:r>
    </w:p>
    <w:p w14:paraId="39C02400"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деревне Басино, Ленинградской области, немецко-фашистские мерзавцы схватили колхозницу Наумову и потребовали, чтобы она указала местонахождение партизан. Наумова ответила, что она не знает, где находятся партизаны. Тогда фашистские палачи подвергли её пыткам. Не добившись от Наумовой ни единого слова, немецкие изверги растерзали её.</w:t>
      </w:r>
    </w:p>
    <w:p w14:paraId="1B31E8AC"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Польский партизанский отряд, действующий в районе С. (Польша), уничтожил 40 гитлеровцев. Польские патриоты взорвали 6 мостов и уничтожили 8 немецких грузовиков.» (14995).</w:t>
      </w:r>
    </w:p>
    <w:p w14:paraId="64B7CBB3"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7A0E7B39"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августа в 1942 году вечернее сообщение Совинформбюро:</w:t>
      </w:r>
    </w:p>
    <w:p w14:paraId="189A3AD0"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21 августа наши войска вели бои с противником в районах юго-восточнее Клетская, северо-восточнее Котельниково, юго-восточнее Пятигорска и южнее Краснодара.</w:t>
      </w:r>
    </w:p>
    <w:p w14:paraId="6FCEEFD6"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существенных изменений не произошло.</w:t>
      </w:r>
    </w:p>
    <w:p w14:paraId="70D3E05F"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Нашими кораблями в Баренцевом море потоплены минный заградитель и два сторожевых корабля противника.</w:t>
      </w:r>
    </w:p>
    <w:p w14:paraId="0B5391A1"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 корабль в Балтийском море потопил немецкий танкер водоизмещением в 15 тысяч тонн.</w:t>
      </w:r>
    </w:p>
    <w:p w14:paraId="20067D5F"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20 августа частями нашей авиации на различных участках фронта уничтожено или повреждено 18 немецких танков и бронемашин, 140 автомашин с войсками и грузами, подавлен огонь 10 батарей полевой и зенитной артиллерии, рассеяно и частью уничтожено до батальона пехоты противника.</w:t>
      </w:r>
    </w:p>
    <w:p w14:paraId="34045B9C"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юго-восточнее Клетской наши войска отбивали ожесточённые атаки противника. Бойцы Н-ской части нанесли немцам контрудар и уничтожили 450 гитлеровцев, захватили 4 орудия, 162 винтовки, 2.000 гранат и 15.000 патронов. Взяты пленные. На участке одной нашей гвардейской части противник бросил в атаку большие группы танков, поддержанных авиацией. Гвардейцы отбили все атаки гитлеровцев, подбили и уничтожили до 40 немецких танков. На поле боя остались сотни вражеских трупов.</w:t>
      </w:r>
    </w:p>
    <w:p w14:paraId="263B4F0F"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наши войска вели оборонительные бои против танков и мотопехоты противника. Неоднократные атаки немцев отбивались с большими для них потерями. Только на участке Н-ского подразделения уничтожено 7 танков и свыше 300 гитлеровцев.</w:t>
      </w:r>
    </w:p>
    <w:p w14:paraId="4C54AEB1"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другом участке противник предпринял атаку крупными силами, действовавшими при поддержке более сотни танков. Лишь небольшой группе немецких танков удалось прорваться через наши позиции. Пехота противника отрезана от танков. Наши части ведут упорные бои по уничтожению этой группировки противника.</w:t>
      </w:r>
    </w:p>
    <w:p w14:paraId="67BE97A3"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Краснодара происходили ожесточённые бои. Часть под командованием тов. Ковалёва за три дня уничтожила свыше 2.000 немецких солдат и офицеров, 5 танков, 2 бронемашины, 18 грузовых и 14 легковых автомашин. На одномиз участков после кровопролитного боя наши части отошли на новые позиции.</w:t>
      </w:r>
    </w:p>
    <w:p w14:paraId="15CC322B"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Юго-восточнее Пятигорска наши войска отбивали атаки немецко-фашистских войск. Бойцы одной стрелковой части уничтожили 70 немецких автоматчиков, просочившихся за передний край нашей обороны.</w:t>
      </w:r>
    </w:p>
    <w:p w14:paraId="55AD48F4"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на западном берегу реки Дон, происходили бои на улицах населённого пункта. Гитлеровцы рано утром предприняли атаку силами до двух батальонов, но были отброшены на исходные позиции, потеряв только убитыми до 200 солдат и офицеров.</w:t>
      </w:r>
    </w:p>
    <w:p w14:paraId="73D48E5B"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Карельском фронте пять самолётов противника пытались разрушить наши переправы через реку. Пять советских истребителей атаковали врага. В завязавшемся воздушном бою лётчики тт. Бубнов, Князев и Клименко сбили по одному самолёту противника. Кроме того, лётчики тт. Клименко и Кузнецов совместно сбили ещё один вражеский самолёт. Наши истребители потерь не имели.</w:t>
      </w:r>
    </w:p>
    <w:p w14:paraId="3C663178"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ленинградских партизан под командованием тов. Б. за последние три месяца истребил 315 немецких солдат и офицеров, разрушил 150 метров железнодорожного полотна и пустил под откос паровоз, 16 вагонов с боеприпасами и 2 цистерны с горючим.</w:t>
      </w:r>
    </w:p>
    <w:p w14:paraId="37849E8A"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7 роты 282 полка 98 немецкой пехотной дивизии Бернгардт Вонс сообщил: «В июне я в составе 98 маршевого батальона прибыл на фронт. К нам приехал командир дивизии Гарейс и произнёс речь. Он сказал, что 98 дивизия понесла тяжёлые потери, многие роты совершенно обескровлены, в них осталось по 15—20 человек. Теперь прибывает пополнение, и дивизия опять пойдёт в дело. Солдаты угрюмо молчали, они в душе понимали, что их привезли на убой.</w:t>
      </w:r>
    </w:p>
    <w:p w14:paraId="75C2D4B8"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Один чёрт знает, кому удастся выбраться отсюда? Я один из счастливых: через месяц попал в плен и теперь буду только ожидать конца войны».</w:t>
      </w:r>
    </w:p>
    <w:p w14:paraId="4E6786B6"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Группа бойцов Калининского фронта составила акт о зверствах немецко-фашистских мерзавцев над пленными красноармейцами и командирами. В акте говорится: «Недалеко от деревень Дружево и Шалы нами обнаружено 17 трупов советских бойцов и труп женщины, зверски замученных немцами. Личность погибших установить не удалось. Все трупы носят следы нечеловеческих пыток. Пленным гитлеровцы выкололи глаза, отрубили руки и ноги». Акт подписали: военный фельдшер Вощева, батальонный комиссар Кулаков, младший политрук Конаков, младший сержант Рогачёв.» (14995).</w:t>
      </w:r>
    </w:p>
    <w:p w14:paraId="74A7D54C"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65AEB500"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августа в 1942 году передовые частям немецкой 4-ой танковой армии форсировали Дон в районе Калача и захватили плацдарм на его левом берегу (14995).</w:t>
      </w:r>
    </w:p>
    <w:p w14:paraId="7A62AC85"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32F16781" w14:textId="77777777" w:rsidR="004A33F1" w:rsidRPr="001E2C69" w:rsidRDefault="004A33F1"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21 августа 1942 г. 18 Ил-2 в сопровож</w:t>
      </w:r>
      <w:r w:rsidRPr="001E2C69">
        <w:rPr>
          <w:rFonts w:ascii="Times New Roman" w:cs="Times New Roman"/>
          <w:color w:val="000000" w:themeColor="text1"/>
          <w:spacing w:val="0"/>
          <w:sz w:val="16"/>
          <w:szCs w:val="16"/>
        </w:rPr>
        <w:softHyphen/>
        <w:t>дении 16-ти истребителей провели налет на аэродром Сеща. Штурмовики шли тремя группами по 6 машин, и первая должна была подавить зенитную артил</w:t>
      </w:r>
      <w:r w:rsidRPr="001E2C69">
        <w:rPr>
          <w:rFonts w:ascii="Times New Roman" w:cs="Times New Roman"/>
          <w:color w:val="000000" w:themeColor="text1"/>
          <w:spacing w:val="0"/>
          <w:sz w:val="16"/>
          <w:szCs w:val="16"/>
        </w:rPr>
        <w:softHyphen/>
        <w:t>лерию. Это удалось: после двух заходов замолчали до 15 зе</w:t>
      </w:r>
      <w:r w:rsidRPr="001E2C69">
        <w:rPr>
          <w:rFonts w:ascii="Times New Roman" w:cs="Times New Roman"/>
          <w:color w:val="000000" w:themeColor="text1"/>
          <w:spacing w:val="0"/>
          <w:sz w:val="16"/>
          <w:szCs w:val="16"/>
        </w:rPr>
        <w:softHyphen/>
        <w:t>нитных установок, что обеспечило остальным группам выпол</w:t>
      </w:r>
      <w:r w:rsidRPr="001E2C69">
        <w:rPr>
          <w:rFonts w:ascii="Times New Roman" w:cs="Times New Roman"/>
          <w:color w:val="000000" w:themeColor="text1"/>
          <w:spacing w:val="0"/>
          <w:sz w:val="16"/>
          <w:szCs w:val="16"/>
        </w:rPr>
        <w:softHyphen/>
        <w:t>нение основной задачи (19854).</w:t>
      </w:r>
    </w:p>
    <w:p w14:paraId="721C8EC3" w14:textId="77777777" w:rsidR="004A33F1" w:rsidRPr="001E2C69" w:rsidRDefault="004A33F1" w:rsidP="00722885">
      <w:pPr>
        <w:pStyle w:val="36"/>
        <w:shd w:val="clear" w:color="auto" w:fill="auto"/>
        <w:spacing w:after="0" w:line="240" w:lineRule="auto"/>
        <w:jc w:val="both"/>
        <w:rPr>
          <w:rFonts w:ascii="Times New Roman" w:cs="Times New Roman"/>
          <w:color w:val="000000" w:themeColor="text1"/>
          <w:spacing w:val="0"/>
          <w:sz w:val="16"/>
          <w:szCs w:val="16"/>
        </w:rPr>
      </w:pPr>
    </w:p>
    <w:p w14:paraId="36815D42" w14:textId="77777777" w:rsidR="004119B8" w:rsidRPr="001E2C69" w:rsidRDefault="004119B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августа 1942 четыре катера с «катюшами» во взаимодействии со сторожевыми кораблями «Шторм» и «Шквал» произвели огненный налет по анапскому аэродрому, вызвав взрывы и пожары. А спустя трое суток эти же катера в дозоре вели бои с немецкими торпедными катерами. Перехитрив фашистов, заставив их сомкнуть строй, И.П.Шенгур нанес по ним удар сразу девятью десятками ракет. Гитлеровцы даже не отстреливаясь бросились наутек. Экипажи катеров Анатолия Крылова и Нестора Котова успели на ходу установить еще 12 ракет и выпустить их в середину сгрудившихся вражеских катеров. А в это время катера Михаила Матвиенко и Владимира Пилипенко, заряжая свои установки, отстали. Эта случайная задержка оказалась как нельзя кстати: с юга подошли еще три больших катера противника. Командиры не сговариваясь одновременно пошли им навстречу, с дистанции 600-8—метров накрыли их «катюшами», а подошедшие три сторожевых катера Сипягина огнем из пушек и пулеметов отогнали их совсем (15985).</w:t>
      </w:r>
    </w:p>
    <w:p w14:paraId="1BE37908" w14:textId="77777777" w:rsidR="004119B8" w:rsidRPr="001E2C69" w:rsidRDefault="004119B8" w:rsidP="00722885">
      <w:pPr>
        <w:spacing w:after="0" w:line="240" w:lineRule="auto"/>
        <w:jc w:val="both"/>
        <w:rPr>
          <w:rFonts w:ascii="Times New Roman" w:hAnsi="Times New Roman"/>
          <w:color w:val="000000" w:themeColor="text1"/>
          <w:sz w:val="16"/>
          <w:szCs w:val="16"/>
        </w:rPr>
      </w:pPr>
    </w:p>
    <w:p w14:paraId="00A6E966"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Жизнь и внутренняя политика:</w:t>
      </w:r>
    </w:p>
    <w:p w14:paraId="1E549818" w14:textId="77777777" w:rsidR="00AE7191" w:rsidRPr="001E2C69" w:rsidRDefault="00AE7191" w:rsidP="00722885">
      <w:pPr>
        <w:pStyle w:val="Iauiue"/>
        <w:jc w:val="both"/>
        <w:rPr>
          <w:iCs/>
          <w:color w:val="000000" w:themeColor="text1"/>
          <w:sz w:val="16"/>
          <w:szCs w:val="16"/>
        </w:rPr>
      </w:pPr>
    </w:p>
    <w:p w14:paraId="7BF421C1" w14:textId="77777777" w:rsidR="004A33F1" w:rsidRPr="001E2C69" w:rsidRDefault="004A33F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августа 1942, управляя Grumman F4F Wildcat, майор морской пехоты США Джон Л. Смит одерживает первую победу в воздухе, используя самолет, базирующийся в Хендерсон-Филд, сбив Mitsubishi A6M Zero над Гуадалканалом (20793).</w:t>
      </w:r>
    </w:p>
    <w:p w14:paraId="5FBFD95B" w14:textId="77777777" w:rsidR="004A33F1" w:rsidRPr="001E2C69" w:rsidRDefault="004A33F1" w:rsidP="00722885">
      <w:pPr>
        <w:spacing w:after="0" w:line="240" w:lineRule="auto"/>
        <w:jc w:val="both"/>
        <w:rPr>
          <w:rFonts w:ascii="Times New Roman" w:hAnsi="Times New Roman"/>
          <w:color w:val="000000" w:themeColor="text1"/>
          <w:sz w:val="16"/>
          <w:szCs w:val="16"/>
        </w:rPr>
      </w:pPr>
    </w:p>
    <w:p w14:paraId="5E0255CB" w14:textId="77777777" w:rsidR="004A33F1" w:rsidRPr="001E2C69" w:rsidRDefault="004A33F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августа 1942 Барон Карл-Август фон Габленц, основатель Deutsche Luft Hansa, находится среди двух человек, погибших в результате механической поломки и крушения Siebel Si 204, который он пилотирует, в Мюльберге , Германия (20793).</w:t>
      </w:r>
    </w:p>
    <w:p w14:paraId="1AA22F81" w14:textId="77777777" w:rsidR="004A33F1" w:rsidRPr="001E2C69" w:rsidRDefault="004A33F1" w:rsidP="00722885">
      <w:pPr>
        <w:spacing w:after="0" w:line="240" w:lineRule="auto"/>
        <w:jc w:val="both"/>
        <w:rPr>
          <w:rFonts w:ascii="Times New Roman" w:hAnsi="Times New Roman"/>
          <w:color w:val="000000" w:themeColor="text1"/>
          <w:sz w:val="16"/>
          <w:szCs w:val="16"/>
        </w:rPr>
      </w:pPr>
    </w:p>
    <w:p w14:paraId="2E5B8060"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21 августа 1942 флаг со свастикой установлен на вершине Эльбруса (4962).</w:t>
      </w:r>
    </w:p>
    <w:p w14:paraId="0758B5F0" w14:textId="77777777" w:rsidR="00AE7191" w:rsidRPr="001E2C69" w:rsidRDefault="00AE7191" w:rsidP="00722885">
      <w:pPr>
        <w:pStyle w:val="Iauiue"/>
        <w:tabs>
          <w:tab w:val="left" w:pos="11199"/>
        </w:tabs>
        <w:jc w:val="both"/>
        <w:rPr>
          <w:color w:val="000000" w:themeColor="text1"/>
          <w:sz w:val="16"/>
          <w:szCs w:val="16"/>
        </w:rPr>
      </w:pPr>
    </w:p>
    <w:p w14:paraId="714865D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21 августа 1942 немцы водрузили флаг над Эльбрусом (1348,224).</w:t>
      </w:r>
    </w:p>
    <w:p w14:paraId="01786475" w14:textId="77777777" w:rsidR="00AE7191" w:rsidRPr="001E2C69" w:rsidRDefault="00AE7191" w:rsidP="00722885">
      <w:pPr>
        <w:pStyle w:val="Iauiue"/>
        <w:jc w:val="both"/>
        <w:rPr>
          <w:color w:val="000000" w:themeColor="text1"/>
          <w:sz w:val="16"/>
          <w:szCs w:val="16"/>
        </w:rPr>
      </w:pPr>
    </w:p>
    <w:p w14:paraId="02B288F1"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 августа в 1942 году немецкими солдатами дивизии «Эдельвейс» установлен флаг со свастикой на вершине Эльбруса в ходе Битвы за Кавказ. Зимой 1944 года его снимет команда альпинистов под руководством Гусева и водрузит советский стяг (14995).</w:t>
      </w:r>
    </w:p>
    <w:p w14:paraId="163C2E04"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1DBE11BA"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1FBAD597" w14:textId="77777777" w:rsidR="00AE7191" w:rsidRPr="001E2C69" w:rsidRDefault="00AE7191" w:rsidP="00722885">
      <w:pPr>
        <w:pStyle w:val="Iauiue"/>
        <w:jc w:val="both"/>
        <w:rPr>
          <w:iCs/>
          <w:color w:val="000000" w:themeColor="text1"/>
          <w:sz w:val="16"/>
          <w:szCs w:val="16"/>
        </w:rPr>
      </w:pPr>
    </w:p>
    <w:p w14:paraId="5DA0C8D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августа 1942 г. был приказ начальника штаба ВВС КА генерал-лейтенанта авиации фалалеева командующим Воздушными Армиями и ВВС фронтов, на</w:t>
      </w:r>
      <w:r w:rsidRPr="001E2C69">
        <w:rPr>
          <w:rFonts w:ascii="Times New Roman" w:hAnsi="Times New Roman"/>
          <w:color w:val="000000" w:themeColor="text1"/>
          <w:sz w:val="16"/>
          <w:szCs w:val="16"/>
        </w:rPr>
        <w:softHyphen/>
        <w:t>чальнику Военной академии командно-штурманского состава ВВС КА, начальнику Липецких курсов усовершенствования: «Наши штурмовики Ил-2 применяют преимущественно два способа действий: атаку с бреющего полета и атаку с выскакиванием перед целью на высоту 150-250 м. Эти способы действий позволяют штурмовикам при наличии благоприятного рельефа местности относительно внезапно появляться над целью...</w:t>
      </w:r>
    </w:p>
    <w:p w14:paraId="7C461DD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...Нужно повысить эффективность их ударов и практиковать такие способы, которые обеспечивали бы эффективное использование огне</w:t>
      </w:r>
      <w:r w:rsidRPr="001E2C69">
        <w:rPr>
          <w:rFonts w:ascii="Times New Roman" w:hAnsi="Times New Roman"/>
          <w:color w:val="000000" w:themeColor="text1"/>
          <w:sz w:val="16"/>
          <w:szCs w:val="16"/>
        </w:rPr>
        <w:softHyphen/>
        <w:t>вых возможностей самолетов Ил-2 и затруднили бы противнику органи</w:t>
      </w:r>
      <w:r w:rsidRPr="001E2C69">
        <w:rPr>
          <w:rFonts w:ascii="Times New Roman" w:hAnsi="Times New Roman"/>
          <w:color w:val="000000" w:themeColor="text1"/>
          <w:sz w:val="16"/>
          <w:szCs w:val="16"/>
        </w:rPr>
        <w:softHyphen/>
        <w:t>зацию борьбы с ними... Атака с пикирования. В первых атаках цель по</w:t>
      </w:r>
      <w:r w:rsidRPr="001E2C69">
        <w:rPr>
          <w:rFonts w:ascii="Times New Roman" w:hAnsi="Times New Roman"/>
          <w:color w:val="000000" w:themeColor="text1"/>
          <w:sz w:val="16"/>
          <w:szCs w:val="16"/>
        </w:rPr>
        <w:softHyphen/>
        <w:t>ражается бомбами и реактивными снарядами, в последующих атаках применяются реактивные снаряды, пушечный и пулеметный огонь»...(11402).</w:t>
      </w:r>
    </w:p>
    <w:p w14:paraId="28F46E2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5D6CF023" w14:textId="77777777" w:rsidR="006327A0" w:rsidRPr="008A2E5A" w:rsidRDefault="006327A0" w:rsidP="006327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августа 1942 года Приказом № 10-с директор завода № 126 поставил задачу об изготовлении с 1 по 10 сентября 1942 года одной эталонной маши</w:t>
      </w:r>
      <w:r w:rsidRPr="008A2E5A">
        <w:rPr>
          <w:rFonts w:ascii="Times New Roman" w:hAnsi="Times New Roman"/>
          <w:color w:val="0070C0"/>
          <w:sz w:val="16"/>
          <w:szCs w:val="16"/>
        </w:rPr>
        <w:softHyphen/>
        <w:t>ны "Б" для морской авиации. До 15 октября необходимо было переоборудо</w:t>
      </w:r>
      <w:r w:rsidRPr="008A2E5A">
        <w:rPr>
          <w:rFonts w:ascii="Times New Roman" w:hAnsi="Times New Roman"/>
          <w:color w:val="0070C0"/>
          <w:sz w:val="16"/>
          <w:szCs w:val="16"/>
        </w:rPr>
        <w:softHyphen/>
        <w:t>вать 125 самолетов типа ДБ-3 для ВВС ДВФ (23973).</w:t>
      </w:r>
    </w:p>
    <w:p w14:paraId="3745578A" w14:textId="77777777" w:rsidR="006327A0" w:rsidRPr="008A2E5A" w:rsidRDefault="006327A0" w:rsidP="006327A0">
      <w:pPr>
        <w:spacing w:after="0" w:line="240" w:lineRule="auto"/>
        <w:jc w:val="both"/>
        <w:rPr>
          <w:rFonts w:ascii="Times New Roman" w:hAnsi="Times New Roman"/>
          <w:color w:val="0070C0"/>
          <w:sz w:val="16"/>
          <w:szCs w:val="16"/>
        </w:rPr>
      </w:pPr>
    </w:p>
    <w:p w14:paraId="44333B2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августа 1942 г. было письмо:</w:t>
      </w:r>
    </w:p>
    <w:p w14:paraId="7C71A86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Докладываю по существу вопроса о списании с 45 ад аварийных самолетов: ТБ-7 №4224 (Кашино), 4226 (Иваново) и 42096 (район аэродрома завода №22).</w:t>
      </w:r>
    </w:p>
    <w:p w14:paraId="2F5651B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Восстановление означенных самолетов заводом № 22 НКАП в данное время осуществлено быть не может, так как ряд основных деталей: крылья, Ф-3, центроплан, а также мелкие детали оборудования самолетов заводом использованы для выпуска серийных машин.</w:t>
      </w:r>
    </w:p>
    <w:p w14:paraId="1D8961F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Так, например, на самолет ТБ-7 №42048 установлены крылья и центроплан самолета №42096, Ф-3 с самолета №4226 используется для ремонта самолета №42076. Прошу самолеты ТБ-7 №4224, 4226 и 42096 с 746 Ап 45 АД списать и выслать инспекторское свидетельство.</w:t>
      </w:r>
    </w:p>
    <w:p w14:paraId="3A7F6EE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Пом командира 45 аддд по иас инженер-майор Ануров" (12025). </w:t>
      </w:r>
    </w:p>
    <w:p w14:paraId="45CEACFF"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4CF900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августа 1942 был утвержден итоговый отчет по войсковым испытаниям Ту-2 завода № 166, проходившим с 17 мая по конец июля 1942. Выводы испытателей в целом были одобрительными. В заключении отчета записали: "Серийные самолеты Ту-2 постройки заво да № 166 по своим летным свойствам, надежности работы моторов и вооружению могут быть использованы в боевой работе..." Но вместе с тем высоту полета ограничили 5000 м (до которой нормально работало БСМ-14). Использованию самолета в качестве пикировщика препятствовала перераскрутка винтов. Рекомендовали доработать ненадежные тормоза колес, а также усилить оборонительное вооружение. Дело в том, что огневая мощь пулеметов ШКАС уже считалась недостаточной. На пикирующем бомбардировщике Пе-2 еще летом 1941 г. смонтировали два 12,7-мм пулемета - один неподвижный в носу фюзеляжа, а второй - в люковой установке, стрелявшей вниз-назад. Позже к ним добавили еще один крупнокалиберный пулемет у штурмана и бортовой ШКАС у стрелка-радиста. Новое вооружение весьма эффективно использовалось на фронте, не позволяя немецким истребителям близко подходить к бомбардировщику. Усиление неподвижного вооружения Ту-2 не требовалось: по секундному залпу он значительно превосходил Пе-2. Поэтому специалисты НИИ ВВС рекомендовали поставить 12,7-мм пулеметы УБТ на обеих верхних установках - у штурмана и стрелка-радиста (11988).</w:t>
      </w:r>
    </w:p>
    <w:p w14:paraId="49D40FEA"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F300D9B" w14:textId="77777777" w:rsidR="00A01B2C" w:rsidRPr="001E2C69" w:rsidRDefault="00A01B2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lang w:eastAsia="ru-RU" w:bidi="ru-RU"/>
        </w:rPr>
        <w:t>22 августа 1942 был утвержден итоговый отчет по первому этапу войсковых испытаний Ту-2. Выводы испытателей в целом были одобрительными. В заключении от</w:t>
      </w:r>
      <w:r w:rsidRPr="001E2C69">
        <w:rPr>
          <w:rFonts w:ascii="Times New Roman" w:hAnsi="Times New Roman"/>
          <w:color w:val="000000" w:themeColor="text1"/>
          <w:sz w:val="16"/>
          <w:szCs w:val="16"/>
          <w:lang w:eastAsia="ru-RU" w:bidi="ru-RU"/>
        </w:rPr>
        <w:softHyphen/>
        <w:t>чета записали: «Серийные самолеты Ту-2 постройки завода №166 по своим лет</w:t>
      </w:r>
      <w:r w:rsidRPr="001E2C69">
        <w:rPr>
          <w:rFonts w:ascii="Times New Roman" w:hAnsi="Times New Roman"/>
          <w:color w:val="000000" w:themeColor="text1"/>
          <w:sz w:val="16"/>
          <w:szCs w:val="16"/>
          <w:lang w:eastAsia="ru-RU" w:bidi="ru-RU"/>
        </w:rPr>
        <w:softHyphen/>
        <w:t>ным свойствам, надежности работы мото</w:t>
      </w:r>
      <w:r w:rsidRPr="001E2C69">
        <w:rPr>
          <w:rFonts w:ascii="Times New Roman" w:hAnsi="Times New Roman"/>
          <w:color w:val="000000" w:themeColor="text1"/>
          <w:sz w:val="16"/>
          <w:szCs w:val="16"/>
          <w:lang w:eastAsia="ru-RU" w:bidi="ru-RU"/>
        </w:rPr>
        <w:softHyphen/>
        <w:t>ров и вооружению могут быть использо</w:t>
      </w:r>
      <w:r w:rsidRPr="001E2C69">
        <w:rPr>
          <w:rFonts w:ascii="Times New Roman" w:hAnsi="Times New Roman"/>
          <w:color w:val="000000" w:themeColor="text1"/>
          <w:sz w:val="16"/>
          <w:szCs w:val="16"/>
          <w:lang w:eastAsia="ru-RU" w:bidi="ru-RU"/>
        </w:rPr>
        <w:softHyphen/>
        <w:t>ваны в боевой работе...» Но вместе с тем высоту полета ограничили 5000 м (до ко</w:t>
      </w:r>
      <w:r w:rsidRPr="001E2C69">
        <w:rPr>
          <w:rFonts w:ascii="Times New Roman" w:hAnsi="Times New Roman"/>
          <w:color w:val="000000" w:themeColor="text1"/>
          <w:sz w:val="16"/>
          <w:szCs w:val="16"/>
          <w:lang w:eastAsia="ru-RU" w:bidi="ru-RU"/>
        </w:rPr>
        <w:softHyphen/>
        <w:t>торой нормально работало БСМ-14). Ис</w:t>
      </w:r>
      <w:r w:rsidRPr="001E2C69">
        <w:rPr>
          <w:rFonts w:ascii="Times New Roman" w:hAnsi="Times New Roman"/>
          <w:color w:val="000000" w:themeColor="text1"/>
          <w:sz w:val="16"/>
          <w:szCs w:val="16"/>
          <w:lang w:eastAsia="ru-RU" w:bidi="ru-RU"/>
        </w:rPr>
        <w:softHyphen/>
        <w:t>пользованию самолета в качестве пики</w:t>
      </w:r>
      <w:r w:rsidRPr="001E2C69">
        <w:rPr>
          <w:rFonts w:ascii="Times New Roman" w:hAnsi="Times New Roman"/>
          <w:color w:val="000000" w:themeColor="text1"/>
          <w:sz w:val="16"/>
          <w:szCs w:val="16"/>
          <w:lang w:eastAsia="ru-RU" w:bidi="ru-RU"/>
        </w:rPr>
        <w:softHyphen/>
        <w:t>ровщика препятствовала перераскрутка винтов. Рекомендовали доработать не</w:t>
      </w:r>
      <w:r w:rsidRPr="001E2C69">
        <w:rPr>
          <w:rFonts w:ascii="Times New Roman" w:hAnsi="Times New Roman"/>
          <w:color w:val="000000" w:themeColor="text1"/>
          <w:sz w:val="16"/>
          <w:szCs w:val="16"/>
          <w:lang w:eastAsia="ru-RU" w:bidi="ru-RU"/>
        </w:rPr>
        <w:softHyphen/>
        <w:t>надежные тормоза колес, а также уси</w:t>
      </w:r>
      <w:r w:rsidRPr="001E2C69">
        <w:rPr>
          <w:rFonts w:ascii="Times New Roman" w:hAnsi="Times New Roman"/>
          <w:color w:val="000000" w:themeColor="text1"/>
          <w:sz w:val="16"/>
          <w:szCs w:val="16"/>
          <w:lang w:eastAsia="ru-RU" w:bidi="ru-RU"/>
        </w:rPr>
        <w:softHyphen/>
        <w:t>лить оборонительное вооружение. Дело в том, что огневая мощь пулеметов ШКАС уже считалась недостаточной. На пики</w:t>
      </w:r>
      <w:r w:rsidRPr="001E2C69">
        <w:rPr>
          <w:rFonts w:ascii="Times New Roman" w:hAnsi="Times New Roman"/>
          <w:color w:val="000000" w:themeColor="text1"/>
          <w:sz w:val="16"/>
          <w:szCs w:val="16"/>
          <w:lang w:eastAsia="ru-RU" w:bidi="ru-RU"/>
        </w:rPr>
        <w:softHyphen/>
        <w:t>рующем бомбардировщике Пе-2 еще ле</w:t>
      </w:r>
      <w:r w:rsidRPr="001E2C69">
        <w:rPr>
          <w:rFonts w:ascii="Times New Roman" w:hAnsi="Times New Roman"/>
          <w:color w:val="000000" w:themeColor="text1"/>
          <w:sz w:val="16"/>
          <w:szCs w:val="16"/>
          <w:lang w:eastAsia="ru-RU" w:bidi="ru-RU"/>
        </w:rPr>
        <w:softHyphen/>
        <w:t>том 1941 г. смонтировали два 12,7-мм пу</w:t>
      </w:r>
      <w:r w:rsidRPr="001E2C69">
        <w:rPr>
          <w:rFonts w:ascii="Times New Roman" w:hAnsi="Times New Roman"/>
          <w:color w:val="000000" w:themeColor="text1"/>
          <w:sz w:val="16"/>
          <w:szCs w:val="16"/>
          <w:lang w:eastAsia="ru-RU" w:bidi="ru-RU"/>
        </w:rPr>
        <w:softHyphen/>
        <w:t>лемета - один неподвижный в носу фю</w:t>
      </w:r>
      <w:r w:rsidRPr="001E2C69">
        <w:rPr>
          <w:rFonts w:ascii="Times New Roman" w:hAnsi="Times New Roman"/>
          <w:color w:val="000000" w:themeColor="text1"/>
          <w:sz w:val="16"/>
          <w:szCs w:val="16"/>
          <w:lang w:eastAsia="ru-RU" w:bidi="ru-RU"/>
        </w:rPr>
        <w:softHyphen/>
        <w:t>зеляжа, а второй - в люковой установке, стрелявшей вниз-назад. Позже к ним до</w:t>
      </w:r>
      <w:r w:rsidRPr="001E2C69">
        <w:rPr>
          <w:rFonts w:ascii="Times New Roman" w:hAnsi="Times New Roman"/>
          <w:color w:val="000000" w:themeColor="text1"/>
          <w:sz w:val="16"/>
          <w:szCs w:val="16"/>
          <w:lang w:eastAsia="ru-RU" w:bidi="ru-RU"/>
        </w:rPr>
        <w:softHyphen/>
        <w:t>бавили еще один крупнокалиберный пу</w:t>
      </w:r>
      <w:r w:rsidRPr="001E2C69">
        <w:rPr>
          <w:rFonts w:ascii="Times New Roman" w:hAnsi="Times New Roman"/>
          <w:color w:val="000000" w:themeColor="text1"/>
          <w:sz w:val="16"/>
          <w:szCs w:val="16"/>
          <w:lang w:eastAsia="ru-RU" w:bidi="ru-RU"/>
        </w:rPr>
        <w:softHyphen/>
        <w:t>лемет у штурмана и бортовой ШКАС у стрелка-радиста. Новое вооружение весьма эффективно использовалось на фронте, не позволяя немецким истреби</w:t>
      </w:r>
      <w:r w:rsidRPr="001E2C69">
        <w:rPr>
          <w:rFonts w:ascii="Times New Roman" w:hAnsi="Times New Roman"/>
          <w:color w:val="000000" w:themeColor="text1"/>
          <w:sz w:val="16"/>
          <w:szCs w:val="16"/>
          <w:lang w:eastAsia="ru-RU" w:bidi="ru-RU"/>
        </w:rPr>
        <w:softHyphen/>
        <w:t>телям близко подходить к бомбардиров</w:t>
      </w:r>
      <w:r w:rsidRPr="001E2C69">
        <w:rPr>
          <w:rFonts w:ascii="Times New Roman" w:hAnsi="Times New Roman"/>
          <w:color w:val="000000" w:themeColor="text1"/>
          <w:sz w:val="16"/>
          <w:szCs w:val="16"/>
          <w:lang w:eastAsia="ru-RU" w:bidi="ru-RU"/>
        </w:rPr>
        <w:softHyphen/>
        <w:t>щику. Усиление неподвижного вооруже</w:t>
      </w:r>
      <w:r w:rsidRPr="001E2C69">
        <w:rPr>
          <w:rFonts w:ascii="Times New Roman" w:hAnsi="Times New Roman"/>
          <w:color w:val="000000" w:themeColor="text1"/>
          <w:sz w:val="16"/>
          <w:szCs w:val="16"/>
          <w:lang w:eastAsia="ru-RU" w:bidi="ru-RU"/>
        </w:rPr>
        <w:softHyphen/>
        <w:t>ния Ту-2 не требовалось: по секундному залпу он значительно превосходил Пе-2. Поэтому специалисты НИИ ВВС рекомен</w:t>
      </w:r>
      <w:r w:rsidRPr="001E2C69">
        <w:rPr>
          <w:rFonts w:ascii="Times New Roman" w:hAnsi="Times New Roman"/>
          <w:color w:val="000000" w:themeColor="text1"/>
          <w:sz w:val="16"/>
          <w:szCs w:val="16"/>
          <w:lang w:eastAsia="ru-RU" w:bidi="ru-RU"/>
        </w:rPr>
        <w:softHyphen/>
        <w:t>довали поставить 12,7-мм пулеметы УБТ на обеих верхних установках - у штур</w:t>
      </w:r>
      <w:r w:rsidRPr="001E2C69">
        <w:rPr>
          <w:rFonts w:ascii="Times New Roman" w:hAnsi="Times New Roman"/>
          <w:color w:val="000000" w:themeColor="text1"/>
          <w:sz w:val="16"/>
          <w:szCs w:val="16"/>
          <w:lang w:eastAsia="ru-RU" w:bidi="ru-RU"/>
        </w:rPr>
        <w:softHyphen/>
        <w:t>мана и стрелка-радиста.</w:t>
      </w:r>
    </w:p>
    <w:p w14:paraId="6186AE6D" w14:textId="77777777" w:rsidR="00A01B2C" w:rsidRPr="001E2C69" w:rsidRDefault="00A01B2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lang w:eastAsia="ru-RU" w:bidi="ru-RU"/>
        </w:rPr>
        <w:t>Недостатки тормозной системы не</w:t>
      </w:r>
      <w:r w:rsidRPr="001E2C69">
        <w:rPr>
          <w:rFonts w:ascii="Times New Roman" w:hAnsi="Times New Roman"/>
          <w:color w:val="000000" w:themeColor="text1"/>
          <w:sz w:val="16"/>
          <w:szCs w:val="16"/>
          <w:lang w:eastAsia="ru-RU" w:bidi="ru-RU"/>
        </w:rPr>
        <w:softHyphen/>
        <w:t>однократно приводили к неуправляе</w:t>
      </w:r>
      <w:r w:rsidRPr="001E2C69">
        <w:rPr>
          <w:rFonts w:ascii="Times New Roman" w:hAnsi="Times New Roman"/>
          <w:color w:val="000000" w:themeColor="text1"/>
          <w:sz w:val="16"/>
          <w:szCs w:val="16"/>
          <w:lang w:eastAsia="ru-RU" w:bidi="ru-RU"/>
        </w:rPr>
        <w:softHyphen/>
        <w:t>мому развороту на посадке. Так, при сдаточных испытаниях два раза под</w:t>
      </w:r>
      <w:r w:rsidRPr="001E2C69">
        <w:rPr>
          <w:rFonts w:ascii="Times New Roman" w:hAnsi="Times New Roman"/>
          <w:color w:val="000000" w:themeColor="text1"/>
          <w:sz w:val="16"/>
          <w:szCs w:val="16"/>
          <w:lang w:eastAsia="ru-RU" w:bidi="ru-RU"/>
        </w:rPr>
        <w:softHyphen/>
        <w:t>ряд, 7 и 16 июля, потерпели аварии но</w:t>
      </w:r>
      <w:r w:rsidRPr="001E2C69">
        <w:rPr>
          <w:rFonts w:ascii="Times New Roman" w:hAnsi="Times New Roman"/>
          <w:color w:val="000000" w:themeColor="text1"/>
          <w:sz w:val="16"/>
          <w:szCs w:val="16"/>
          <w:lang w:eastAsia="ru-RU" w:bidi="ru-RU"/>
        </w:rPr>
        <w:softHyphen/>
        <w:t>венькие бомбардировщики. Экипажи (летчиков Котякова и Бакина) не постра</w:t>
      </w:r>
      <w:r w:rsidRPr="001E2C69">
        <w:rPr>
          <w:rFonts w:ascii="Times New Roman" w:hAnsi="Times New Roman"/>
          <w:color w:val="000000" w:themeColor="text1"/>
          <w:sz w:val="16"/>
          <w:szCs w:val="16"/>
          <w:lang w:eastAsia="ru-RU" w:bidi="ru-RU"/>
        </w:rPr>
        <w:softHyphen/>
        <w:t>дали. Например, у майора В.Д. Бакина машину №100303 вывернуло вправо, что привело к поломке стойки шасси. Бы</w:t>
      </w:r>
      <w:r w:rsidRPr="001E2C69">
        <w:rPr>
          <w:rFonts w:ascii="Times New Roman" w:hAnsi="Times New Roman"/>
          <w:color w:val="000000" w:themeColor="text1"/>
          <w:sz w:val="16"/>
          <w:szCs w:val="16"/>
          <w:lang w:eastAsia="ru-RU" w:bidi="ru-RU"/>
        </w:rPr>
        <w:softHyphen/>
        <w:t>вали случаи, когда бомбардировщик де</w:t>
      </w:r>
      <w:r w:rsidRPr="001E2C69">
        <w:rPr>
          <w:rFonts w:ascii="Times New Roman" w:hAnsi="Times New Roman"/>
          <w:color w:val="000000" w:themeColor="text1"/>
          <w:sz w:val="16"/>
          <w:szCs w:val="16"/>
          <w:lang w:eastAsia="ru-RU" w:bidi="ru-RU"/>
        </w:rPr>
        <w:softHyphen/>
        <w:t>лал на поле до двух кругов и оставался цел. Но чаще ломали шасси, винты, за- концовки крыла, мяли мотогондолы. Са</w:t>
      </w:r>
      <w:r w:rsidRPr="001E2C69">
        <w:rPr>
          <w:rFonts w:ascii="Times New Roman" w:hAnsi="Times New Roman"/>
          <w:color w:val="000000" w:themeColor="text1"/>
          <w:sz w:val="16"/>
          <w:szCs w:val="16"/>
          <w:lang w:eastAsia="ru-RU" w:bidi="ru-RU"/>
        </w:rPr>
        <w:softHyphen/>
        <w:t>молет летчика Полевого после посадки с разворотом вспыхнул; экипаж успел выбраться и отбежать.</w:t>
      </w:r>
    </w:p>
    <w:p w14:paraId="06DE7181" w14:textId="77777777" w:rsidR="00A01B2C" w:rsidRPr="001E2C69" w:rsidRDefault="00A01B2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lang w:eastAsia="ru-RU" w:bidi="ru-RU"/>
        </w:rPr>
        <w:t>Дефекты серийных Ту-2 вызвали рас</w:t>
      </w:r>
      <w:r w:rsidRPr="001E2C69">
        <w:rPr>
          <w:rFonts w:ascii="Times New Roman" w:hAnsi="Times New Roman"/>
          <w:color w:val="000000" w:themeColor="text1"/>
          <w:sz w:val="16"/>
          <w:szCs w:val="16"/>
          <w:lang w:eastAsia="ru-RU" w:bidi="ru-RU"/>
        </w:rPr>
        <w:softHyphen/>
        <w:t>поряжение командования ВВС прекра</w:t>
      </w:r>
      <w:r w:rsidRPr="001E2C69">
        <w:rPr>
          <w:rFonts w:ascii="Times New Roman" w:hAnsi="Times New Roman"/>
          <w:color w:val="000000" w:themeColor="text1"/>
          <w:sz w:val="16"/>
          <w:szCs w:val="16"/>
          <w:lang w:eastAsia="ru-RU" w:bidi="ru-RU"/>
        </w:rPr>
        <w:softHyphen/>
        <w:t>тить приемку бомбардировщиков. НКАП направил на завод авторитетную комис</w:t>
      </w:r>
      <w:r w:rsidRPr="001E2C69">
        <w:rPr>
          <w:rFonts w:ascii="Times New Roman" w:hAnsi="Times New Roman"/>
          <w:color w:val="000000" w:themeColor="text1"/>
          <w:sz w:val="16"/>
          <w:szCs w:val="16"/>
          <w:lang w:eastAsia="ru-RU" w:bidi="ru-RU"/>
        </w:rPr>
        <w:softHyphen/>
        <w:t>сию во главе с известным авиаконструк</w:t>
      </w:r>
      <w:r w:rsidRPr="001E2C69">
        <w:rPr>
          <w:rFonts w:ascii="Times New Roman" w:hAnsi="Times New Roman"/>
          <w:color w:val="000000" w:themeColor="text1"/>
          <w:sz w:val="16"/>
          <w:szCs w:val="16"/>
          <w:lang w:eastAsia="ru-RU" w:bidi="ru-RU"/>
        </w:rPr>
        <w:softHyphen/>
        <w:t>тором Н.Н. Поликарповым. Члены комис</w:t>
      </w:r>
      <w:r w:rsidRPr="001E2C69">
        <w:rPr>
          <w:rFonts w:ascii="Times New Roman" w:hAnsi="Times New Roman"/>
          <w:color w:val="000000" w:themeColor="text1"/>
          <w:sz w:val="16"/>
          <w:szCs w:val="16"/>
          <w:lang w:eastAsia="ru-RU" w:bidi="ru-RU"/>
        </w:rPr>
        <w:softHyphen/>
        <w:t>сии согласились с заводскими испытате</w:t>
      </w:r>
      <w:r w:rsidRPr="001E2C69">
        <w:rPr>
          <w:rFonts w:ascii="Times New Roman" w:hAnsi="Times New Roman"/>
          <w:color w:val="000000" w:themeColor="text1"/>
          <w:sz w:val="16"/>
          <w:szCs w:val="16"/>
          <w:lang w:eastAsia="ru-RU" w:bidi="ru-RU"/>
        </w:rPr>
        <w:softHyphen/>
        <w:t>лями в том, что причиной разворотов на посадке является несинхронная работа тормозов правого и левого колес. Пред</w:t>
      </w:r>
      <w:r w:rsidRPr="001E2C69">
        <w:rPr>
          <w:rFonts w:ascii="Times New Roman" w:hAnsi="Times New Roman"/>
          <w:color w:val="000000" w:themeColor="text1"/>
          <w:sz w:val="16"/>
          <w:szCs w:val="16"/>
          <w:lang w:eastAsia="ru-RU" w:bidi="ru-RU"/>
        </w:rPr>
        <w:softHyphen/>
        <w:t>ложено было заменить тормозную гидро</w:t>
      </w:r>
      <w:r w:rsidRPr="001E2C69">
        <w:rPr>
          <w:rFonts w:ascii="Times New Roman" w:hAnsi="Times New Roman"/>
          <w:color w:val="000000" w:themeColor="text1"/>
          <w:sz w:val="16"/>
          <w:szCs w:val="16"/>
          <w:lang w:eastAsia="ru-RU" w:bidi="ru-RU"/>
        </w:rPr>
        <w:softHyphen/>
        <w:t>систему, скопированную туполевцами по настоянию ВВС с немецкого бомбарди</w:t>
      </w:r>
      <w:r w:rsidRPr="001E2C69">
        <w:rPr>
          <w:rFonts w:ascii="Times New Roman" w:hAnsi="Times New Roman"/>
          <w:color w:val="000000" w:themeColor="text1"/>
          <w:sz w:val="16"/>
          <w:szCs w:val="16"/>
          <w:lang w:eastAsia="ru-RU" w:bidi="ru-RU"/>
        </w:rPr>
        <w:softHyphen/>
        <w:t xml:space="preserve">ровщика </w:t>
      </w:r>
      <w:r w:rsidRPr="001E2C69">
        <w:rPr>
          <w:rFonts w:ascii="Times New Roman" w:hAnsi="Times New Roman"/>
          <w:color w:val="000000" w:themeColor="text1"/>
          <w:sz w:val="16"/>
          <w:szCs w:val="16"/>
          <w:lang w:val="en-US" w:bidi="en-US"/>
        </w:rPr>
        <w:t>Ju</w:t>
      </w:r>
      <w:r w:rsidRPr="001E2C69">
        <w:rPr>
          <w:rFonts w:ascii="Times New Roman" w:hAnsi="Times New Roman"/>
          <w:color w:val="000000" w:themeColor="text1"/>
          <w:sz w:val="16"/>
          <w:szCs w:val="16"/>
          <w:lang w:bidi="en-US"/>
        </w:rPr>
        <w:t xml:space="preserve"> </w:t>
      </w:r>
      <w:r w:rsidRPr="001E2C69">
        <w:rPr>
          <w:rFonts w:ascii="Times New Roman" w:hAnsi="Times New Roman"/>
          <w:color w:val="000000" w:themeColor="text1"/>
          <w:sz w:val="16"/>
          <w:szCs w:val="16"/>
          <w:lang w:eastAsia="ru-RU" w:bidi="ru-RU"/>
        </w:rPr>
        <w:t>88А, на более надежную, при</w:t>
      </w:r>
      <w:r w:rsidRPr="001E2C69">
        <w:rPr>
          <w:rFonts w:ascii="Times New Roman" w:hAnsi="Times New Roman"/>
          <w:color w:val="000000" w:themeColor="text1"/>
          <w:sz w:val="16"/>
          <w:szCs w:val="16"/>
          <w:lang w:eastAsia="ru-RU" w:bidi="ru-RU"/>
        </w:rPr>
        <w:softHyphen/>
        <w:t>менявшуюся на самолетах фирмы «Дуг</w:t>
      </w:r>
      <w:r w:rsidRPr="001E2C69">
        <w:rPr>
          <w:rFonts w:ascii="Times New Roman" w:hAnsi="Times New Roman"/>
          <w:color w:val="000000" w:themeColor="text1"/>
          <w:sz w:val="16"/>
          <w:szCs w:val="16"/>
          <w:lang w:eastAsia="ru-RU" w:bidi="ru-RU"/>
        </w:rPr>
        <w:softHyphen/>
        <w:t>лас». В качестве же временного решения попробовали на пробеге стопорить хво</w:t>
      </w:r>
      <w:r w:rsidRPr="001E2C69">
        <w:rPr>
          <w:rFonts w:ascii="Times New Roman" w:hAnsi="Times New Roman"/>
          <w:color w:val="000000" w:themeColor="text1"/>
          <w:sz w:val="16"/>
          <w:szCs w:val="16"/>
          <w:lang w:eastAsia="ru-RU" w:bidi="ru-RU"/>
        </w:rPr>
        <w:softHyphen/>
        <w:t>стовое колесо. На Ту-2 имелся автомати</w:t>
      </w:r>
      <w:r w:rsidRPr="001E2C69">
        <w:rPr>
          <w:rFonts w:ascii="Times New Roman" w:hAnsi="Times New Roman"/>
          <w:color w:val="000000" w:themeColor="text1"/>
          <w:sz w:val="16"/>
          <w:szCs w:val="16"/>
          <w:lang w:eastAsia="ru-RU" w:bidi="ru-RU"/>
        </w:rPr>
        <w:softHyphen/>
        <w:t>ческий стопор, который должен был фик</w:t>
      </w:r>
      <w:r w:rsidRPr="001E2C69">
        <w:rPr>
          <w:rFonts w:ascii="Times New Roman" w:hAnsi="Times New Roman"/>
          <w:color w:val="000000" w:themeColor="text1"/>
          <w:sz w:val="16"/>
          <w:szCs w:val="16"/>
          <w:lang w:eastAsia="ru-RU" w:bidi="ru-RU"/>
        </w:rPr>
        <w:softHyphen/>
        <w:t>сировать стойку хвостового колеса при резких ее разворотах, но срабатывал он далеко не всегда. С 20 июля заводские испытатели стали садиться с включенным механическим стопором хвостового ко</w:t>
      </w:r>
      <w:r w:rsidRPr="001E2C69">
        <w:rPr>
          <w:rFonts w:ascii="Times New Roman" w:hAnsi="Times New Roman"/>
          <w:color w:val="000000" w:themeColor="text1"/>
          <w:sz w:val="16"/>
          <w:szCs w:val="16"/>
          <w:lang w:eastAsia="ru-RU" w:bidi="ru-RU"/>
        </w:rPr>
        <w:softHyphen/>
        <w:t>леса. Управляемость машины на пробеге значительно улучшилась.</w:t>
      </w:r>
    </w:p>
    <w:p w14:paraId="1EB5168A" w14:textId="77777777" w:rsidR="00A01B2C" w:rsidRPr="001E2C69" w:rsidRDefault="00A01B2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lang w:eastAsia="ru-RU" w:bidi="ru-RU"/>
        </w:rPr>
        <w:t>Еще одной серьезной проблемой яв</w:t>
      </w:r>
      <w:r w:rsidRPr="001E2C69">
        <w:rPr>
          <w:rFonts w:ascii="Times New Roman" w:hAnsi="Times New Roman"/>
          <w:color w:val="000000" w:themeColor="text1"/>
          <w:sz w:val="16"/>
          <w:szCs w:val="16"/>
          <w:lang w:eastAsia="ru-RU" w:bidi="ru-RU"/>
        </w:rPr>
        <w:softHyphen/>
        <w:t>лялись двигатели. Моторы М-82А, хотя и выпускались серийно, еще оставались достаточно «сырыми». На высоте более 6000 м они недодавали мощность, стра</w:t>
      </w:r>
      <w:r w:rsidRPr="001E2C69">
        <w:rPr>
          <w:rFonts w:ascii="Times New Roman" w:hAnsi="Times New Roman"/>
          <w:color w:val="000000" w:themeColor="text1"/>
          <w:sz w:val="16"/>
          <w:szCs w:val="16"/>
          <w:lang w:eastAsia="ru-RU" w:bidi="ru-RU"/>
        </w:rPr>
        <w:softHyphen/>
        <w:t>дали значительными вибрациями и рас</w:t>
      </w:r>
      <w:r w:rsidRPr="001E2C69">
        <w:rPr>
          <w:rFonts w:ascii="Times New Roman" w:hAnsi="Times New Roman"/>
          <w:color w:val="000000" w:themeColor="text1"/>
          <w:sz w:val="16"/>
          <w:szCs w:val="16"/>
          <w:lang w:eastAsia="ru-RU" w:bidi="ru-RU"/>
        </w:rPr>
        <w:softHyphen/>
        <w:t>ходовали много масла. Хотя за это отве</w:t>
      </w:r>
      <w:r w:rsidRPr="001E2C69">
        <w:rPr>
          <w:rFonts w:ascii="Times New Roman" w:hAnsi="Times New Roman"/>
          <w:color w:val="000000" w:themeColor="text1"/>
          <w:sz w:val="16"/>
          <w:szCs w:val="16"/>
          <w:lang w:eastAsia="ru-RU" w:bidi="ru-RU"/>
        </w:rPr>
        <w:softHyphen/>
        <w:t>чал их конструктор А.Д. Швецов и завод №19, дефекты мотоустановки сильно ска</w:t>
      </w:r>
      <w:r w:rsidRPr="001E2C69">
        <w:rPr>
          <w:rFonts w:ascii="Times New Roman" w:hAnsi="Times New Roman"/>
          <w:color w:val="000000" w:themeColor="text1"/>
          <w:sz w:val="16"/>
          <w:szCs w:val="16"/>
          <w:lang w:eastAsia="ru-RU" w:bidi="ru-RU"/>
        </w:rPr>
        <w:softHyphen/>
        <w:t>зывались на летных и эксплуатационных характеристиках Ту-2.</w:t>
      </w:r>
    </w:p>
    <w:p w14:paraId="242E7A36" w14:textId="77777777" w:rsidR="00A01B2C" w:rsidRPr="001E2C69" w:rsidRDefault="00A01B2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lang w:eastAsia="ru-RU" w:bidi="ru-RU"/>
        </w:rPr>
        <w:t>Кроме того, комиссия подвергла кри</w:t>
      </w:r>
      <w:r w:rsidRPr="001E2C69">
        <w:rPr>
          <w:rFonts w:ascii="Times New Roman" w:hAnsi="Times New Roman"/>
          <w:color w:val="000000" w:themeColor="text1"/>
          <w:sz w:val="16"/>
          <w:szCs w:val="16"/>
          <w:lang w:eastAsia="ru-RU" w:bidi="ru-RU"/>
        </w:rPr>
        <w:softHyphen/>
        <w:t>тике чрезмерный вес серийных машин. Весовая отдача у них при нормальной бомбовой нагрузке не превышала 27,5%, в то время как у других самолетов та</w:t>
      </w:r>
      <w:r w:rsidRPr="001E2C69">
        <w:rPr>
          <w:rFonts w:ascii="Times New Roman" w:hAnsi="Times New Roman"/>
          <w:color w:val="000000" w:themeColor="text1"/>
          <w:sz w:val="16"/>
          <w:szCs w:val="16"/>
          <w:lang w:eastAsia="ru-RU" w:bidi="ru-RU"/>
        </w:rPr>
        <w:softHyphen/>
        <w:t>кого же класса она составляла около 30%. Это была плата за возможность бомбить с крутого пикирования.</w:t>
      </w:r>
    </w:p>
    <w:p w14:paraId="2613276F" w14:textId="77777777" w:rsidR="00A01B2C" w:rsidRPr="001E2C69" w:rsidRDefault="00A01B2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lang w:eastAsia="ru-RU" w:bidi="ru-RU"/>
        </w:rPr>
        <w:t>Но в целом Поликарпов и его кол</w:t>
      </w:r>
      <w:r w:rsidRPr="001E2C69">
        <w:rPr>
          <w:rFonts w:ascii="Times New Roman" w:hAnsi="Times New Roman"/>
          <w:color w:val="000000" w:themeColor="text1"/>
          <w:sz w:val="16"/>
          <w:szCs w:val="16"/>
          <w:lang w:eastAsia="ru-RU" w:bidi="ru-RU"/>
        </w:rPr>
        <w:softHyphen/>
        <w:t>леги поддержали Туполева. В Москву от</w:t>
      </w:r>
      <w:r w:rsidRPr="001E2C69">
        <w:rPr>
          <w:rFonts w:ascii="Times New Roman" w:hAnsi="Times New Roman"/>
          <w:color w:val="000000" w:themeColor="text1"/>
          <w:sz w:val="16"/>
          <w:szCs w:val="16"/>
          <w:lang w:eastAsia="ru-RU" w:bidi="ru-RU"/>
        </w:rPr>
        <w:softHyphen/>
        <w:t>правили документ, в котором, в частно</w:t>
      </w:r>
      <w:r w:rsidRPr="001E2C69">
        <w:rPr>
          <w:rFonts w:ascii="Times New Roman" w:hAnsi="Times New Roman"/>
          <w:color w:val="000000" w:themeColor="text1"/>
          <w:sz w:val="16"/>
          <w:szCs w:val="16"/>
          <w:lang w:eastAsia="ru-RU" w:bidi="ru-RU"/>
        </w:rPr>
        <w:softHyphen/>
        <w:t>сти, говорилось: «... самолет Ту-2 по своим летно-тактическим данным превосходит современные серийные советские и за</w:t>
      </w:r>
      <w:r w:rsidRPr="001E2C69">
        <w:rPr>
          <w:rFonts w:ascii="Times New Roman" w:hAnsi="Times New Roman"/>
          <w:color w:val="000000" w:themeColor="text1"/>
          <w:sz w:val="16"/>
          <w:szCs w:val="16"/>
          <w:lang w:eastAsia="ru-RU" w:bidi="ru-RU"/>
        </w:rPr>
        <w:softHyphen/>
        <w:t>граничные бомбардировщики». Комиссия сочла, что при устранении основных де</w:t>
      </w:r>
      <w:r w:rsidRPr="001E2C69">
        <w:rPr>
          <w:rFonts w:ascii="Times New Roman" w:hAnsi="Times New Roman"/>
          <w:color w:val="000000" w:themeColor="text1"/>
          <w:sz w:val="16"/>
          <w:szCs w:val="16"/>
          <w:lang w:eastAsia="ru-RU" w:bidi="ru-RU"/>
        </w:rPr>
        <w:softHyphen/>
        <w:t>фектов самолет сможет успешно выпол</w:t>
      </w:r>
      <w:r w:rsidRPr="001E2C69">
        <w:rPr>
          <w:rFonts w:ascii="Times New Roman" w:hAnsi="Times New Roman"/>
          <w:color w:val="000000" w:themeColor="text1"/>
          <w:sz w:val="16"/>
          <w:szCs w:val="16"/>
          <w:lang w:eastAsia="ru-RU" w:bidi="ru-RU"/>
        </w:rPr>
        <w:softHyphen/>
        <w:t>нять боевые задачи.</w:t>
      </w:r>
    </w:p>
    <w:p w14:paraId="47DCA18B" w14:textId="77777777" w:rsidR="00A01B2C" w:rsidRPr="001E2C69" w:rsidRDefault="00A01B2C" w:rsidP="00722885">
      <w:pPr>
        <w:spacing w:after="0" w:line="240" w:lineRule="auto"/>
        <w:jc w:val="both"/>
        <w:rPr>
          <w:rFonts w:ascii="Times New Roman" w:hAnsi="Times New Roman"/>
          <w:color w:val="000000" w:themeColor="text1"/>
          <w:sz w:val="16"/>
          <w:szCs w:val="16"/>
          <w:lang w:eastAsia="ru-RU" w:bidi="ru-RU"/>
        </w:rPr>
      </w:pPr>
      <w:r w:rsidRPr="001E2C69">
        <w:rPr>
          <w:rFonts w:ascii="Times New Roman" w:hAnsi="Times New Roman"/>
          <w:color w:val="000000" w:themeColor="text1"/>
          <w:sz w:val="16"/>
          <w:szCs w:val="16"/>
          <w:lang w:eastAsia="ru-RU" w:bidi="ru-RU"/>
        </w:rPr>
        <w:t>Приемка бомбардировщиков возоб</w:t>
      </w:r>
      <w:r w:rsidRPr="001E2C69">
        <w:rPr>
          <w:rFonts w:ascii="Times New Roman" w:hAnsi="Times New Roman"/>
          <w:color w:val="000000" w:themeColor="text1"/>
          <w:sz w:val="16"/>
          <w:szCs w:val="16"/>
          <w:lang w:eastAsia="ru-RU" w:bidi="ru-RU"/>
        </w:rPr>
        <w:softHyphen/>
        <w:t>новилась. Реагируя на требования воен</w:t>
      </w:r>
      <w:r w:rsidRPr="001E2C69">
        <w:rPr>
          <w:rFonts w:ascii="Times New Roman" w:hAnsi="Times New Roman"/>
          <w:color w:val="000000" w:themeColor="text1"/>
          <w:sz w:val="16"/>
          <w:szCs w:val="16"/>
          <w:lang w:eastAsia="ru-RU" w:bidi="ru-RU"/>
        </w:rPr>
        <w:softHyphen/>
        <w:t>ных, завод вносил изменения в строящи</w:t>
      </w:r>
      <w:r w:rsidRPr="001E2C69">
        <w:rPr>
          <w:rFonts w:ascii="Times New Roman" w:hAnsi="Times New Roman"/>
          <w:color w:val="000000" w:themeColor="text1"/>
          <w:sz w:val="16"/>
          <w:szCs w:val="16"/>
          <w:lang w:eastAsia="ru-RU" w:bidi="ru-RU"/>
        </w:rPr>
        <w:softHyphen/>
        <w:t>еся бомбардировщики. С 5-й серии (июль- август 1942 г.) внедрили тормоза типа «Дуглас» окончательно снявшие про</w:t>
      </w:r>
      <w:r w:rsidRPr="001E2C69">
        <w:rPr>
          <w:rFonts w:ascii="Times New Roman" w:hAnsi="Times New Roman"/>
          <w:color w:val="000000" w:themeColor="text1"/>
          <w:sz w:val="16"/>
          <w:szCs w:val="16"/>
          <w:lang w:eastAsia="ru-RU" w:bidi="ru-RU"/>
        </w:rPr>
        <w:softHyphen/>
        <w:t>блемы с неуправляемым разворотом на посадке. Одновременно изменили управ</w:t>
      </w:r>
      <w:r w:rsidRPr="001E2C69">
        <w:rPr>
          <w:rFonts w:ascii="Times New Roman" w:hAnsi="Times New Roman"/>
          <w:color w:val="000000" w:themeColor="text1"/>
          <w:sz w:val="16"/>
          <w:szCs w:val="16"/>
          <w:lang w:eastAsia="ru-RU" w:bidi="ru-RU"/>
        </w:rPr>
        <w:softHyphen/>
        <w:t>ление пуском реактивных снарядов. Ра</w:t>
      </w:r>
      <w:r w:rsidRPr="001E2C69">
        <w:rPr>
          <w:rFonts w:ascii="Times New Roman" w:hAnsi="Times New Roman"/>
          <w:color w:val="000000" w:themeColor="text1"/>
          <w:sz w:val="16"/>
          <w:szCs w:val="16"/>
          <w:lang w:eastAsia="ru-RU" w:bidi="ru-RU"/>
        </w:rPr>
        <w:softHyphen/>
        <w:t>нее стрельба РС-82 велась с помощью бомбосбрасывателя ЭСБР-6, переклю</w:t>
      </w:r>
      <w:r w:rsidRPr="001E2C69">
        <w:rPr>
          <w:rFonts w:ascii="Times New Roman" w:hAnsi="Times New Roman"/>
          <w:color w:val="000000" w:themeColor="text1"/>
          <w:sz w:val="16"/>
          <w:szCs w:val="16"/>
          <w:lang w:eastAsia="ru-RU" w:bidi="ru-RU"/>
        </w:rPr>
        <w:softHyphen/>
        <w:t>чавшегося на другой режим. Бомбы при этом сбрасывать было нельзя. С 5-й серии пуск ракет осуществлялся независимым устройством.</w:t>
      </w:r>
    </w:p>
    <w:p w14:paraId="762E31A0" w14:textId="77777777" w:rsidR="00A01B2C" w:rsidRPr="001E2C69" w:rsidRDefault="00A01B2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lang w:eastAsia="ru-RU" w:bidi="ru-RU"/>
        </w:rPr>
        <w:t>Часть бомбардировщиков еще на за</w:t>
      </w:r>
      <w:r w:rsidRPr="001E2C69">
        <w:rPr>
          <w:rFonts w:ascii="Times New Roman" w:hAnsi="Times New Roman"/>
          <w:color w:val="000000" w:themeColor="text1"/>
          <w:sz w:val="16"/>
          <w:szCs w:val="16"/>
          <w:lang w:eastAsia="ru-RU" w:bidi="ru-RU"/>
        </w:rPr>
        <w:softHyphen/>
        <w:t>воде перевооружили. Во всяком случае, на фронт попали омские самолеты либо с двумя, либо с тремя 12,7-мм пулеме</w:t>
      </w:r>
      <w:r w:rsidRPr="001E2C69">
        <w:rPr>
          <w:rFonts w:ascii="Times New Roman" w:hAnsi="Times New Roman"/>
          <w:color w:val="000000" w:themeColor="text1"/>
          <w:sz w:val="16"/>
          <w:szCs w:val="16"/>
          <w:lang w:eastAsia="ru-RU" w:bidi="ru-RU"/>
        </w:rPr>
        <w:softHyphen/>
        <w:t>тами УБТ. Поскольку на установке ТСС-1 этот пулемет не мог быть смонтирован, то, по-видимому, вариант с двумя УБТ пред</w:t>
      </w:r>
      <w:r w:rsidRPr="001E2C69">
        <w:rPr>
          <w:rFonts w:ascii="Times New Roman" w:hAnsi="Times New Roman"/>
          <w:color w:val="000000" w:themeColor="text1"/>
          <w:sz w:val="16"/>
          <w:szCs w:val="16"/>
          <w:lang w:eastAsia="ru-RU" w:bidi="ru-RU"/>
        </w:rPr>
        <w:softHyphen/>
        <w:t>усматривал один пулемет на несколько доработанной установке БУШ у штурмана и второй - на люковой ЛУ-УБТ. При этом на ТСС-1 оставался ШКАС. Вообще Тупо</w:t>
      </w:r>
      <w:r w:rsidRPr="001E2C69">
        <w:rPr>
          <w:rFonts w:ascii="Times New Roman" w:hAnsi="Times New Roman"/>
          <w:color w:val="000000" w:themeColor="text1"/>
          <w:sz w:val="16"/>
          <w:szCs w:val="16"/>
          <w:lang w:eastAsia="ru-RU" w:bidi="ru-RU"/>
        </w:rPr>
        <w:softHyphen/>
        <w:t>лев рассматривал несколько возможных вариантов перевооружения Ту-2, в том чи</w:t>
      </w:r>
      <w:r w:rsidRPr="001E2C69">
        <w:rPr>
          <w:rFonts w:ascii="Times New Roman" w:hAnsi="Times New Roman"/>
          <w:color w:val="000000" w:themeColor="text1"/>
          <w:sz w:val="16"/>
          <w:szCs w:val="16"/>
          <w:lang w:eastAsia="ru-RU" w:bidi="ru-RU"/>
        </w:rPr>
        <w:softHyphen/>
        <w:t>сле один - с установкой четырех пуско</w:t>
      </w:r>
      <w:r w:rsidRPr="001E2C69">
        <w:rPr>
          <w:rFonts w:ascii="Times New Roman" w:hAnsi="Times New Roman"/>
          <w:color w:val="000000" w:themeColor="text1"/>
          <w:sz w:val="16"/>
          <w:szCs w:val="16"/>
          <w:lang w:eastAsia="ru-RU" w:bidi="ru-RU"/>
        </w:rPr>
        <w:softHyphen/>
        <w:t>вых балок для РС-82 на фюзеляже для стрельбы назад.</w:t>
      </w:r>
    </w:p>
    <w:p w14:paraId="6532C90C" w14:textId="77777777" w:rsidR="00A01B2C" w:rsidRPr="001E2C69" w:rsidRDefault="00A01B2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lang w:eastAsia="ru-RU" w:bidi="ru-RU"/>
        </w:rPr>
        <w:t>Занятие немцами значительной ча</w:t>
      </w:r>
      <w:r w:rsidRPr="001E2C69">
        <w:rPr>
          <w:rFonts w:ascii="Times New Roman" w:hAnsi="Times New Roman"/>
          <w:color w:val="000000" w:themeColor="text1"/>
          <w:sz w:val="16"/>
          <w:szCs w:val="16"/>
          <w:lang w:eastAsia="ru-RU" w:bidi="ru-RU"/>
        </w:rPr>
        <w:softHyphen/>
        <w:t>сти территории СССР привело к сокра</w:t>
      </w:r>
      <w:r w:rsidRPr="001E2C69">
        <w:rPr>
          <w:rFonts w:ascii="Times New Roman" w:hAnsi="Times New Roman"/>
          <w:color w:val="000000" w:themeColor="text1"/>
          <w:sz w:val="16"/>
          <w:szCs w:val="16"/>
          <w:lang w:eastAsia="ru-RU" w:bidi="ru-RU"/>
        </w:rPr>
        <w:softHyphen/>
        <w:t>щению производства алюминия в стране. Потребности же в нем резко возросли. Алюминий в листах и чушках везли из США и Канады, но его все равно не хва</w:t>
      </w:r>
      <w:r w:rsidRPr="001E2C69">
        <w:rPr>
          <w:rFonts w:ascii="Times New Roman" w:hAnsi="Times New Roman"/>
          <w:color w:val="000000" w:themeColor="text1"/>
          <w:sz w:val="16"/>
          <w:szCs w:val="16"/>
          <w:lang w:eastAsia="ru-RU" w:bidi="ru-RU"/>
        </w:rPr>
        <w:softHyphen/>
        <w:t>тало. Всем самолетостроительным кон</w:t>
      </w:r>
      <w:r w:rsidRPr="001E2C69">
        <w:rPr>
          <w:rFonts w:ascii="Times New Roman" w:hAnsi="Times New Roman"/>
          <w:color w:val="000000" w:themeColor="text1"/>
          <w:sz w:val="16"/>
          <w:szCs w:val="16"/>
          <w:lang w:eastAsia="ru-RU" w:bidi="ru-RU"/>
        </w:rPr>
        <w:softHyphen/>
        <w:t>структорским бюро было предложено по</w:t>
      </w:r>
      <w:r w:rsidRPr="001E2C69">
        <w:rPr>
          <w:rFonts w:ascii="Times New Roman" w:hAnsi="Times New Roman"/>
          <w:color w:val="000000" w:themeColor="text1"/>
          <w:sz w:val="16"/>
          <w:szCs w:val="16"/>
          <w:lang w:eastAsia="ru-RU" w:bidi="ru-RU"/>
        </w:rPr>
        <w:softHyphen/>
        <w:t xml:space="preserve">искать возможности </w:t>
      </w:r>
      <w:r w:rsidRPr="001E2C69">
        <w:rPr>
          <w:rFonts w:ascii="Times New Roman" w:hAnsi="Times New Roman"/>
          <w:color w:val="000000" w:themeColor="text1"/>
          <w:sz w:val="16"/>
          <w:szCs w:val="16"/>
          <w:lang w:eastAsia="ru-RU" w:bidi="ru-RU"/>
        </w:rPr>
        <w:lastRenderedPageBreak/>
        <w:t>применения узлов из дерева. Это сократило бы расход де</w:t>
      </w:r>
      <w:r w:rsidRPr="001E2C69">
        <w:rPr>
          <w:rFonts w:ascii="Times New Roman" w:hAnsi="Times New Roman"/>
          <w:color w:val="000000" w:themeColor="text1"/>
          <w:sz w:val="16"/>
          <w:szCs w:val="16"/>
          <w:lang w:eastAsia="ru-RU" w:bidi="ru-RU"/>
        </w:rPr>
        <w:softHyphen/>
        <w:t>фицитного алюминия и дало возможность привлечь к постройке самолетов дерево</w:t>
      </w:r>
      <w:r w:rsidRPr="001E2C69">
        <w:rPr>
          <w:rFonts w:ascii="Times New Roman" w:hAnsi="Times New Roman"/>
          <w:color w:val="000000" w:themeColor="text1"/>
          <w:sz w:val="16"/>
          <w:szCs w:val="16"/>
          <w:lang w:eastAsia="ru-RU" w:bidi="ru-RU"/>
        </w:rPr>
        <w:softHyphen/>
        <w:t>обрабатывающие предприятия (21061).</w:t>
      </w:r>
    </w:p>
    <w:p w14:paraId="6857D05C" w14:textId="77777777" w:rsidR="00A01B2C" w:rsidRPr="001E2C69" w:rsidRDefault="00A01B2C" w:rsidP="00722885">
      <w:pPr>
        <w:spacing w:after="0" w:line="240" w:lineRule="auto"/>
        <w:jc w:val="both"/>
        <w:rPr>
          <w:rFonts w:ascii="Times New Roman" w:hAnsi="Times New Roman"/>
          <w:color w:val="000000" w:themeColor="text1"/>
          <w:sz w:val="16"/>
          <w:szCs w:val="16"/>
        </w:rPr>
      </w:pPr>
    </w:p>
    <w:p w14:paraId="6ECDDC45" w14:textId="77777777" w:rsidR="006327A0" w:rsidRPr="008A2E5A" w:rsidRDefault="006327A0" w:rsidP="006327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августа 1942 г. проходили совместные испытания самолета "103В” в НИИ ВВС, которые проходили с 15 декабря 1941 г.</w:t>
      </w:r>
    </w:p>
    <w:p w14:paraId="6A884331" w14:textId="77777777" w:rsidR="006327A0" w:rsidRPr="008A2E5A" w:rsidRDefault="006327A0" w:rsidP="006327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испытаниях были установлены следующие характеристики самолета:</w:t>
      </w:r>
    </w:p>
    <w:p w14:paraId="0886A005" w14:textId="77777777" w:rsidR="006327A0" w:rsidRPr="008A2E5A" w:rsidRDefault="006327A0" w:rsidP="006327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18,8 м, длина 13,7 м, высота 4,55 м, моторы 2 М-82, воздушного охлаждения, максимальной мощностью 1330 л/с, винты АВ-5-167, 3-х лопастные Д=3,8 м, экипаж четыре человека, вооруженние - 2 х пушки 20мм, 5 х пулеметы 7,62мм, реактивные снаряды PC-132 - 10 шт, бомбовая нагрузка - нормальная 1000 кг, перегрузочная - 3000кг, полетный вес нормальный 10343 кг, перегрузочный 11773 кг, максимальная скорость - 530 км/ч на н=3200 м, потолок 9000 м, скороподъемность 8,86 мин на н=4500 м, дальность 2000 км, разбег 516 м, пробег 640 м.</w:t>
      </w:r>
    </w:p>
    <w:p w14:paraId="2FB5A4E7" w14:textId="77777777" w:rsidR="006327A0" w:rsidRPr="008A2E5A" w:rsidRDefault="006327A0" w:rsidP="006327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время совместных испытаний самолета "103В" Приказом НКАП №234 от 23.3.42г. самолетам "103" был присвоен шифр - ТУ-2.</w:t>
      </w:r>
    </w:p>
    <w:p w14:paraId="6683F786" w14:textId="77777777" w:rsidR="006327A0" w:rsidRPr="008A2E5A" w:rsidRDefault="006327A0" w:rsidP="006327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самолета ”103В" затянулись из-за неудовлетворительной работы моторов М-82. Установленные на самолет "103В" моторы М-82 выпуска первых серий были недоработаны, многократно менялись и доводились в процессе испытаний самолета. В результате плохой работы моторов М-82 и магнето МВ-14 нe удалось снять полных летных характеристик самолета.</w:t>
      </w:r>
    </w:p>
    <w:p w14:paraId="6FBBC610" w14:textId="77777777" w:rsidR="006327A0" w:rsidRPr="008A2E5A" w:rsidRDefault="006327A0" w:rsidP="006327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Резолюцией Главного инженера ВВС испытания самолета "103" были прекращены, и для окончательного выяснения данных ту-2 решено было провести контрольные испытания серийного ТУ-2 №308. Серийный самолет был значительно улучшен внесением исправлений, необходимость которых выявилась в процессе испытаний "103В" (23345).</w:t>
      </w:r>
    </w:p>
    <w:p w14:paraId="11AA53B8" w14:textId="77777777" w:rsidR="006327A0" w:rsidRPr="008A2E5A" w:rsidRDefault="006327A0" w:rsidP="006327A0">
      <w:pPr>
        <w:spacing w:after="0" w:line="240" w:lineRule="auto"/>
        <w:jc w:val="both"/>
        <w:rPr>
          <w:rFonts w:ascii="Times New Roman" w:hAnsi="Times New Roman"/>
          <w:color w:val="0070C0"/>
          <w:sz w:val="16"/>
          <w:szCs w:val="16"/>
        </w:rPr>
      </w:pPr>
    </w:p>
    <w:p w14:paraId="67735B8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22 августа 1942 был подготовлен проект Постановление ГКО "Об изготовлении самолетов из черных металлов"</w:t>
      </w:r>
    </w:p>
    <w:p w14:paraId="4F8B038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ГКО постановляет:</w:t>
      </w:r>
    </w:p>
    <w:p w14:paraId="23129EA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Обязать НКАП - Шахурина:</w:t>
      </w:r>
    </w:p>
    <w:p w14:paraId="1C5CE28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 обеспечить изготовление пяти самолетов-истребителей целиком из черных металлов по проекту инж. Мельникова со сдачей на летные испытания в следующие сроки:</w:t>
      </w:r>
    </w:p>
    <w:p w14:paraId="326C276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первый самолет без вооружения - в трехмесячный срок;</w:t>
      </w:r>
    </w:p>
    <w:p w14:paraId="7A3118C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четыре последующих самолета с вооружением - в четырехмесячный срок;</w:t>
      </w:r>
    </w:p>
    <w:p w14:paraId="48913DA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 создать специальное конструкторское бюро по проектированию и производству самолетов из черных металлов, использовав мастерские Московского авиационного института в качестве производственной базы этого СКБ;</w:t>
      </w:r>
    </w:p>
    <w:p w14:paraId="06F6E6B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обеспечить СКБ кадрами, оборудованием, материалами, автотранспортом, кооперированными изделиями и финансированием.</w:t>
      </w:r>
    </w:p>
    <w:p w14:paraId="48FECDE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Обязать Наркомсредмаш - Акопова и директора автозавода им. Сталина Лихачева оказать СКБ НКАП техническую помощь в изготовлении самолетов.</w:t>
      </w:r>
    </w:p>
    <w:p w14:paraId="722E10A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Обязать Наркомчермет - Тевосяна и директора завода "Серп и Молот" Ильина в месячный срок изготовить и сдать Наркомавиапрому 20 тонн тонколистового проката по техническим условиям СКБ НКАП (2728,99).</w:t>
      </w:r>
    </w:p>
    <w:p w14:paraId="6C429D0E" w14:textId="77777777" w:rsidR="00AE7191" w:rsidRPr="001E2C69" w:rsidRDefault="00AE7191" w:rsidP="00722885">
      <w:pPr>
        <w:pStyle w:val="Iauiue"/>
        <w:jc w:val="both"/>
        <w:rPr>
          <w:color w:val="000000" w:themeColor="text1"/>
          <w:sz w:val="16"/>
          <w:szCs w:val="16"/>
        </w:rPr>
      </w:pPr>
    </w:p>
    <w:p w14:paraId="5290049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22 августа 1942 А.И.Шахурин подготовил письмо Г.М.Маленкову.</w:t>
      </w:r>
    </w:p>
    <w:p w14:paraId="7A0DF5D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предложению Мельникова и Ислентьева, о строительстве нового опытного самолета целиком из черных металлов, докладываю:</w:t>
      </w:r>
    </w:p>
    <w:p w14:paraId="049D2E2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Для дальнейшего развития работ Мельникова и Ислентьева, по применению черных металлов в конструкции самолета, Наркомавиапром считает целесообразным изготовление отдельных агрегатов серийных самолетов из прилагаемой листовой стали и после проверки прочностных и весовых характеристик этих агрегатов, а также проверки их в эксплуатации, решить вопрос о широком внедрении в серию.</w:t>
      </w:r>
    </w:p>
    <w:p w14:paraId="1D0010C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этой целью Мельникову и Ислентьеву выдается задание на проектирование и изготовление из черных металлов стабилизатора с шайбами на самолет Пе-2, в количестве трех комплектов.</w:t>
      </w:r>
    </w:p>
    <w:p w14:paraId="2690FCF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До проведения указанных работ, строительство нового опытного самолета целиком из черных металлов Наркомавиапром считает преждевременным (2728,135).</w:t>
      </w:r>
    </w:p>
    <w:p w14:paraId="234437B7" w14:textId="77777777" w:rsidR="00AE7191" w:rsidRPr="001E2C69" w:rsidRDefault="00AE7191" w:rsidP="00722885">
      <w:pPr>
        <w:pStyle w:val="Iauiue"/>
        <w:jc w:val="both"/>
        <w:rPr>
          <w:color w:val="000000" w:themeColor="text1"/>
          <w:sz w:val="16"/>
          <w:szCs w:val="16"/>
        </w:rPr>
      </w:pPr>
    </w:p>
    <w:p w14:paraId="0B1A279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22 августа 1942 закончились гос. испытания 103В с М-82. В процессе испытаний самолет был заменен на серийный 103ВС N 100308 (4,179). Первый полет состоялся 15 декабря 1941 (1835,18).</w:t>
      </w:r>
    </w:p>
    <w:p w14:paraId="056EC4D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Скорость на 3200 м была только 528 км/час, а у земли - 460 км/час. В ходе испытаний вниз поставили БС и для обороны задней полусферы поставили неподвижно 4 РС-82 (1835,18).</w:t>
      </w:r>
    </w:p>
    <w:p w14:paraId="05817FC3" w14:textId="77777777" w:rsidR="00AE7191" w:rsidRPr="001E2C69" w:rsidRDefault="00AE7191" w:rsidP="00722885">
      <w:pPr>
        <w:pStyle w:val="Iauiue"/>
        <w:jc w:val="both"/>
        <w:rPr>
          <w:color w:val="000000" w:themeColor="text1"/>
          <w:sz w:val="16"/>
          <w:szCs w:val="16"/>
        </w:rPr>
      </w:pPr>
    </w:p>
    <w:p w14:paraId="540F1CA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22 августа 1942 был утвержден отчет НИИ ВВС о результатах эксплуатационно-технических испытаний Ту-2 2М-82 в НИИ ВВС как первого этапа войсковых испытаний - это и есть формальная дата окончания совместных испытаний (1835,20).</w:t>
      </w:r>
    </w:p>
    <w:p w14:paraId="62CB111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заключении к отчету НИИ ВВС говорилось:</w:t>
      </w:r>
    </w:p>
    <w:p w14:paraId="235B010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"Серийные самолеты Ту-2 постройки завода 166 по своим летным свойствам, надежности работы моторов и вооружению могут быть использованы в боевой работе для выполнения задач дневного бомбометания с горизонтального полета по ближним тылам врага с ограниченной до 5000 м высотой полета.</w:t>
      </w:r>
    </w:p>
    <w:p w14:paraId="7542944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Предложить заводу 19 поставить для установки на самолет Ту-2 моторы М-82, обеспечивающие нормальную эксплуатацию самолета на всех высотах до потолка и устранить недостатки, отмеченные в "выводах" и дефектной ведомости.</w:t>
      </w:r>
    </w:p>
    <w:p w14:paraId="163F268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Предложить заводу 166 на всех самолетах Ту-2 поставить на верхних стрелковых точках крупнокалиберные пулеметы для усиления огневой мощи задней полусферы, а также устранить недостатки, перечисленные в дефектной ведомости, и в первую очередь улучшить тормозную систему (1835,21).</w:t>
      </w:r>
    </w:p>
    <w:p w14:paraId="0FB5246B" w14:textId="77777777" w:rsidR="00AE7191" w:rsidRPr="001E2C69" w:rsidRDefault="00AE7191" w:rsidP="00722885">
      <w:pPr>
        <w:pStyle w:val="Iauiue"/>
        <w:jc w:val="both"/>
        <w:rPr>
          <w:color w:val="000000" w:themeColor="text1"/>
          <w:sz w:val="16"/>
          <w:szCs w:val="16"/>
        </w:rPr>
      </w:pPr>
    </w:p>
    <w:p w14:paraId="3342D28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22 августа 1942 испытывался второй двигатель ПВРД ДМ-4с N 15 на Як-7 в аэродинамической трубе (367,54).</w:t>
      </w:r>
    </w:p>
    <w:p w14:paraId="25931441" w14:textId="77777777" w:rsidR="00AE7191" w:rsidRPr="001E2C69" w:rsidRDefault="00AE7191" w:rsidP="00722885">
      <w:pPr>
        <w:pStyle w:val="Iauiue"/>
        <w:jc w:val="both"/>
        <w:rPr>
          <w:color w:val="000000" w:themeColor="text1"/>
          <w:sz w:val="16"/>
          <w:szCs w:val="16"/>
        </w:rPr>
      </w:pPr>
    </w:p>
    <w:p w14:paraId="167CD69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22 августа 1942 л ЛИИ в Новосибирске П.М.Попельнушенко совершил аварию ЛаГГ-3 в ходе испытаний из-за вынужденной посадки вне аэродрома, т.к. запас горючего был определен неправильно (2108).</w:t>
      </w:r>
    </w:p>
    <w:p w14:paraId="4E40EB38" w14:textId="77777777" w:rsidR="00AE7191" w:rsidRPr="001E2C69" w:rsidRDefault="00AE7191" w:rsidP="00722885">
      <w:pPr>
        <w:pStyle w:val="Iauiue"/>
        <w:jc w:val="both"/>
        <w:rPr>
          <w:color w:val="000000" w:themeColor="text1"/>
          <w:sz w:val="16"/>
          <w:szCs w:val="16"/>
        </w:rPr>
      </w:pPr>
    </w:p>
    <w:p w14:paraId="2B8C9C0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22 августа 1942 в 11:07 произошла авария ЛаГГ-3 N 0715328 под управлением л П.М.Попельнушенко из-за ошибке в приятии решения о вынужденной посадке (2130).</w:t>
      </w:r>
    </w:p>
    <w:p w14:paraId="4C4BC7AF" w14:textId="77777777" w:rsidR="00AE7191" w:rsidRPr="001E2C69" w:rsidRDefault="00AE7191" w:rsidP="00722885">
      <w:pPr>
        <w:pStyle w:val="Iauiue"/>
        <w:jc w:val="both"/>
        <w:rPr>
          <w:color w:val="000000" w:themeColor="text1"/>
          <w:sz w:val="16"/>
          <w:szCs w:val="16"/>
        </w:rPr>
      </w:pPr>
    </w:p>
    <w:p w14:paraId="12557F1D" w14:textId="77777777" w:rsidR="00FA1617" w:rsidRPr="008A2E5A" w:rsidRDefault="00FA1617" w:rsidP="00FA16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августе 1942 г. три «Мустанга» из 6 заб в Иванове на</w:t>
      </w:r>
      <w:r w:rsidRPr="008A2E5A">
        <w:rPr>
          <w:rFonts w:ascii="Times New Roman" w:hAnsi="Times New Roman"/>
          <w:color w:val="0070C0"/>
          <w:sz w:val="16"/>
          <w:szCs w:val="16"/>
        </w:rPr>
        <w:softHyphen/>
        <w:t>правили для войсковых испытаний на Калининский фронт. Две машины попали в 5-й гв. иап, вооруженный тогда ЛаГГ-3. Полк входил в 3-ю воздушную армию, которой тогда командовал М.М. Громов. Летал на американских самолетах в основном командир полка дважды Герой Советского Союза В.А. Зайцев, но попробовали эти машины также лет</w:t>
      </w:r>
      <w:r w:rsidRPr="008A2E5A">
        <w:rPr>
          <w:rFonts w:ascii="Times New Roman" w:hAnsi="Times New Roman"/>
          <w:color w:val="0070C0"/>
          <w:sz w:val="16"/>
          <w:szCs w:val="16"/>
        </w:rPr>
        <w:softHyphen/>
        <w:t>чики В.И. Попков (впоследствии тоже дважды Герой) и Онуфриенко. По вос</w:t>
      </w:r>
      <w:r w:rsidRPr="008A2E5A">
        <w:rPr>
          <w:rFonts w:ascii="Times New Roman" w:hAnsi="Times New Roman"/>
          <w:color w:val="0070C0"/>
          <w:sz w:val="16"/>
          <w:szCs w:val="16"/>
        </w:rPr>
        <w:softHyphen/>
        <w:t>поминаниям Попкова, впечатление от американского истребителя было резко отрицательным. Хотя самолет отличался высокой скоростью, но был «тяжел, как утюг». Маневренность оставляла желать много лучшего. Не понравился и затяну</w:t>
      </w:r>
      <w:r w:rsidRPr="008A2E5A">
        <w:rPr>
          <w:rFonts w:ascii="Times New Roman" w:hAnsi="Times New Roman"/>
          <w:color w:val="0070C0"/>
          <w:sz w:val="16"/>
          <w:szCs w:val="16"/>
        </w:rPr>
        <w:softHyphen/>
        <w:t>тый взлет. Ни одного боевого вылета на «Мустангах» не сделали. Вскоре на обоих истребителях повредили винты и, за неимением запасных, самолеты сдали назад (23513).</w:t>
      </w:r>
    </w:p>
    <w:p w14:paraId="74FA4483" w14:textId="77777777" w:rsidR="00FA1617" w:rsidRPr="008A2E5A" w:rsidRDefault="00FA1617" w:rsidP="00FA1617">
      <w:pPr>
        <w:spacing w:after="0" w:line="240" w:lineRule="auto"/>
        <w:jc w:val="both"/>
        <w:rPr>
          <w:rFonts w:ascii="Times New Roman" w:hAnsi="Times New Roman"/>
          <w:color w:val="0070C0"/>
          <w:sz w:val="16"/>
          <w:szCs w:val="16"/>
        </w:rPr>
      </w:pPr>
    </w:p>
    <w:p w14:paraId="1238756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августа 1942 в аэродинамической трубе СЭИГ МАИ был установлен вто</w:t>
      </w:r>
      <w:r w:rsidRPr="001E2C69">
        <w:rPr>
          <w:rFonts w:ascii="Times New Roman" w:hAnsi="Times New Roman"/>
          <w:color w:val="000000" w:themeColor="text1"/>
          <w:sz w:val="16"/>
          <w:szCs w:val="16"/>
        </w:rPr>
        <w:softHyphen/>
        <w:t>рой ПВРД ДМ-4с № 15. При первых четырех запусках отказыва</w:t>
      </w:r>
      <w:r w:rsidRPr="001E2C69">
        <w:rPr>
          <w:rFonts w:ascii="Times New Roman" w:hAnsi="Times New Roman"/>
          <w:color w:val="000000" w:themeColor="text1"/>
          <w:sz w:val="16"/>
          <w:szCs w:val="16"/>
        </w:rPr>
        <w:softHyphen/>
        <w:t>ло зажигание. После наладки электроприбора зажигания при трех попытках не вклшался в работу двигатель, как потом было уста</w:t>
      </w:r>
      <w:r w:rsidRPr="001E2C69">
        <w:rPr>
          <w:rFonts w:ascii="Times New Roman" w:hAnsi="Times New Roman"/>
          <w:color w:val="000000" w:themeColor="text1"/>
          <w:sz w:val="16"/>
          <w:szCs w:val="16"/>
        </w:rPr>
        <w:softHyphen/>
        <w:t>новлено, вследствие засорения расходомера, через который посту</w:t>
      </w:r>
      <w:r w:rsidRPr="001E2C69">
        <w:rPr>
          <w:rFonts w:ascii="Times New Roman" w:hAnsi="Times New Roman"/>
          <w:color w:val="000000" w:themeColor="text1"/>
          <w:sz w:val="16"/>
          <w:szCs w:val="16"/>
        </w:rPr>
        <w:softHyphen/>
        <w:t>пал бензин (11081).</w:t>
      </w:r>
    </w:p>
    <w:p w14:paraId="1AFD527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0351EC8A"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78EC11EB" w14:textId="77777777" w:rsidR="00AE7191" w:rsidRPr="001E2C69" w:rsidRDefault="00AE7191" w:rsidP="00722885">
      <w:pPr>
        <w:pStyle w:val="Iauiue"/>
        <w:jc w:val="both"/>
        <w:rPr>
          <w:iCs/>
          <w:color w:val="000000" w:themeColor="text1"/>
          <w:sz w:val="16"/>
          <w:szCs w:val="16"/>
        </w:rPr>
      </w:pPr>
    </w:p>
    <w:p w14:paraId="13784F8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22 августа 1942 первые "тридцатьчетверки" покинули цеха ЧКЗ. В марте 1944 года их выпуск на этом предприятии прекратили (3862).</w:t>
      </w:r>
    </w:p>
    <w:p w14:paraId="098F887F" w14:textId="77777777" w:rsidR="00AE7191" w:rsidRPr="001E2C69" w:rsidRDefault="00AE7191" w:rsidP="00722885">
      <w:pPr>
        <w:pStyle w:val="Iauiue"/>
        <w:jc w:val="both"/>
        <w:rPr>
          <w:color w:val="000000" w:themeColor="text1"/>
          <w:sz w:val="16"/>
          <w:szCs w:val="16"/>
        </w:rPr>
      </w:pPr>
    </w:p>
    <w:p w14:paraId="6274282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августа 1942 г. на ЧКЗ был собран Первый танк Т-34. Выпуск тан</w:t>
      </w:r>
      <w:r w:rsidRPr="001E2C69">
        <w:rPr>
          <w:rFonts w:ascii="Times New Roman" w:hAnsi="Times New Roman"/>
          <w:color w:val="000000" w:themeColor="text1"/>
          <w:sz w:val="16"/>
          <w:szCs w:val="16"/>
        </w:rPr>
        <w:softHyphen/>
        <w:t>ков Т-34 на ЧКЗ был прекращен 15 марта 1944 г. на основании поста</w:t>
      </w:r>
      <w:r w:rsidRPr="001E2C69">
        <w:rPr>
          <w:rFonts w:ascii="Times New Roman" w:hAnsi="Times New Roman"/>
          <w:color w:val="000000" w:themeColor="text1"/>
          <w:sz w:val="16"/>
          <w:szCs w:val="16"/>
        </w:rPr>
        <w:softHyphen/>
        <w:t>новления ГКО, согласно которому все силы завода должны были быть сконцентрированы на производстве только тяжелых танков ИС-2. С ав</w:t>
      </w:r>
      <w:r w:rsidRPr="001E2C69">
        <w:rPr>
          <w:rFonts w:ascii="Times New Roman" w:hAnsi="Times New Roman"/>
          <w:color w:val="000000" w:themeColor="text1"/>
          <w:sz w:val="16"/>
          <w:szCs w:val="16"/>
        </w:rPr>
        <w:softHyphen/>
        <w:t>густа 1942 г. по апрель 1944 г. ЧКЗ выпустил 5094 танка Т-34 (10703).</w:t>
      </w:r>
    </w:p>
    <w:p w14:paraId="1D3667D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4B39A779"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августа в 1942 году в Челябинске Кировский завод начал выпуск танков «Т-34» (14990).</w:t>
      </w:r>
    </w:p>
    <w:p w14:paraId="7DDAB208"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6C6D2370" w14:textId="77777777" w:rsidR="00FA1617" w:rsidRPr="008A2E5A" w:rsidRDefault="00FA1617" w:rsidP="00FA16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22 августа 1942 </w:t>
      </w:r>
    </w:p>
    <w:p w14:paraId="31F57FF7" w14:textId="77777777" w:rsidR="00FA1617" w:rsidRPr="008A2E5A" w:rsidRDefault="00FA1617" w:rsidP="00FA16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94 лист 62</w:t>
      </w:r>
    </w:p>
    <w:p w14:paraId="323AFF5F" w14:textId="77777777" w:rsidR="00FA1617" w:rsidRPr="008A2E5A" w:rsidRDefault="00FA1617" w:rsidP="00FA16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Секретно.</w:t>
      </w:r>
    </w:p>
    <w:p w14:paraId="1C63B4C8" w14:textId="77777777" w:rsidR="00FA1617" w:rsidRPr="008A2E5A" w:rsidRDefault="00FA1617" w:rsidP="00FA16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w:t>
      </w:r>
    </w:p>
    <w:p w14:paraId="381B2B42" w14:textId="77777777" w:rsidR="00FA1617" w:rsidRPr="008A2E5A" w:rsidRDefault="00FA1617" w:rsidP="00FA16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НАРОДНОГО КОМИССАРИАТА ТАНКОВОЙ ПРОМЫШЛЕННОСТИ СОЮЗА ССР</w:t>
      </w:r>
    </w:p>
    <w:p w14:paraId="05574B36" w14:textId="77777777" w:rsidR="00FA1617" w:rsidRPr="008A2E5A" w:rsidRDefault="00FA1617" w:rsidP="00FA16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618с</w:t>
      </w:r>
    </w:p>
    <w:p w14:paraId="00ED0DFE" w14:textId="77777777" w:rsidR="00FA1617" w:rsidRPr="008A2E5A" w:rsidRDefault="00FA1617" w:rsidP="00FA16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Москва</w:t>
      </w:r>
    </w:p>
    <w:p w14:paraId="213E85AB" w14:textId="77777777" w:rsidR="00FA1617" w:rsidRPr="008A2E5A" w:rsidRDefault="00FA1617" w:rsidP="00FA16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августа 1942 г.</w:t>
      </w:r>
    </w:p>
    <w:p w14:paraId="769AB408" w14:textId="77777777" w:rsidR="00FA1617" w:rsidRPr="008A2E5A" w:rsidRDefault="00FA1617" w:rsidP="00FA16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исполнение постановления ГОКО – 2176сс от 16 августа 1942 г., в изменение приказа по НКТП № 348с от 17 апреля 1942 г., ПРИКАЗЫВАЮ:</w:t>
      </w:r>
    </w:p>
    <w:p w14:paraId="27F9841E" w14:textId="77777777" w:rsidR="00FA1617" w:rsidRPr="008A2E5A" w:rsidRDefault="00FA1617" w:rsidP="00FA16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Директору завода № 174 тов. КАЦНЕЛЬСОНУ З.М. взамен шести 25-тонных мартеновских печей построить только четыре мартеновские печи по 25 тонн каждая, и две электропечи по 5 тонн емкости.</w:t>
      </w:r>
    </w:p>
    <w:p w14:paraId="2A4E2FAB" w14:textId="77777777" w:rsidR="00FA1617" w:rsidRPr="008A2E5A" w:rsidRDefault="00FA1617" w:rsidP="00FA16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Учесть, что ГОКО указанным постановлением обязал Наркомстрой (т. Гинзбурга) построить в декабре месяце 1942 г. на заводе № 174 две 5-тонные электропечи вместо двух 25-тонных мартеновских печей.</w:t>
      </w:r>
    </w:p>
    <w:p w14:paraId="14877283" w14:textId="77777777" w:rsidR="00FA1617" w:rsidRPr="008A2E5A" w:rsidRDefault="00FA1617" w:rsidP="00FA16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 НАРОДНОГО КОМИССАРА ТАНКОВОЙ ПРОМЫШЛЕННОСТИ СОЮЗА ССР</w:t>
      </w:r>
    </w:p>
    <w:p w14:paraId="2B40D8B1" w14:textId="77777777" w:rsidR="00FA1617" w:rsidRPr="008A2E5A" w:rsidRDefault="00FA1617" w:rsidP="00FA16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(СТЕПАНОВ) (23503).</w:t>
      </w:r>
    </w:p>
    <w:p w14:paraId="71C5D49E" w14:textId="77777777" w:rsidR="00FA1617" w:rsidRPr="008A2E5A" w:rsidRDefault="00FA1617" w:rsidP="00FA1617">
      <w:pPr>
        <w:spacing w:after="0" w:line="240" w:lineRule="auto"/>
        <w:jc w:val="both"/>
        <w:rPr>
          <w:rFonts w:ascii="Times New Roman" w:hAnsi="Times New Roman"/>
          <w:color w:val="0070C0"/>
          <w:sz w:val="16"/>
          <w:szCs w:val="16"/>
        </w:rPr>
      </w:pPr>
    </w:p>
    <w:p w14:paraId="49ECDE6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августа 1942 вышло Постановление ГКО № 2200 Об организации производства ксилитана на строящемся Красноярском гидролизном заводе. РГАНИР, Фонд ГКО, д. 53, лл. 1-5, 6-12 (11012).</w:t>
      </w:r>
    </w:p>
    <w:p w14:paraId="1F1C2AA6"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69CDC01"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22 августа 1942 года вышел приказ № 620с НКБ</w:t>
      </w:r>
    </w:p>
    <w:p w14:paraId="1AB0C099"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В соответствии с Постановлением ГОКО № 2199-сс от 20 августа 1942 года:</w:t>
      </w:r>
    </w:p>
    <w:p w14:paraId="09D963D5"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Начальнику 1 Гл. управления и директору завода № 565 приступить к эвакуации из г. Орджоникидзе в г. Баку на завод № 610 (5909, 93).</w:t>
      </w:r>
    </w:p>
    <w:p w14:paraId="73D7A955" w14:textId="77777777" w:rsidR="00AE7191" w:rsidRPr="001E2C69" w:rsidRDefault="00AE7191" w:rsidP="00722885">
      <w:pPr>
        <w:pStyle w:val="Iauiue"/>
        <w:tabs>
          <w:tab w:val="left" w:pos="11199"/>
        </w:tabs>
        <w:jc w:val="both"/>
        <w:rPr>
          <w:color w:val="000000" w:themeColor="text1"/>
          <w:sz w:val="16"/>
          <w:szCs w:val="16"/>
        </w:rPr>
      </w:pPr>
    </w:p>
    <w:p w14:paraId="3388229B"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08A4708D" w14:textId="77777777" w:rsidR="00AE7191" w:rsidRPr="001E2C69" w:rsidRDefault="00AE7191" w:rsidP="00722885">
      <w:pPr>
        <w:pStyle w:val="Iauiue"/>
        <w:jc w:val="both"/>
        <w:rPr>
          <w:iCs/>
          <w:color w:val="000000" w:themeColor="text1"/>
          <w:sz w:val="16"/>
          <w:szCs w:val="16"/>
        </w:rPr>
      </w:pPr>
    </w:p>
    <w:p w14:paraId="277E7557"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августа в 1942 году утреннее сообщение Совинформбюро:</w:t>
      </w:r>
    </w:p>
    <w:p w14:paraId="39685336"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22 августа наши войска вели бои с противником в районах юго-восточнее Клетская, северо-восточнее Котельниково, юго-восточнее Пятигорска и южнее Краснодара.</w:t>
      </w:r>
    </w:p>
    <w:p w14:paraId="724D18D4"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12BE7188"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наша часть ночью нанесла немцам внезапный удар. После ожесточённой рукопашной схватки противник отступил, оставив на поле боя 200 трупов, 2 орудия, 8 пулемётов, 13 автомашин с боеприпасами и радиостанцию. Юго-восточнее Клетской продолжались упорные бои с наступающими войсками противника. Н-ское подразделение отбило три атаки неприятеля. Уничтожено свыше 250 гитлеровцев, танк и 2 бронемашины. Немцы пытались ударить нашим бойцам во фланг, но наскочили на пулемётную засаду и потеряли ещё до 60 автоматчиков.</w:t>
      </w:r>
    </w:p>
    <w:p w14:paraId="2F163344"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наши войска вели напряжённые бои с танками и мотопехотой противника. За последние дни немцы понесли на этом участке большие потери. Они спешно подтягивают резервы и бросают их в бой. 50 немецких танков и пехота атаковали участок, который обороняют бойцы Н-ской части. Бой длился несколько часов. Наши бойцы не дрогнули и отбили атаку гитлеровцев. Подбито 3 и сожжено 9 немецких танков. Уничтожено до 300 солдат и офицеров противника.</w:t>
      </w:r>
    </w:p>
    <w:p w14:paraId="01B98EC6"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Краснодара наши части вели оборонительные бои. Миномётчики части, где командиром тов. Нестеренко, за 3 дня уничтожили свыше 1.000 немецких солдат и офицеров, 12 танков и много автомашин. Активно действует наша авиация. Лётчики Н-ской части за 5 дней сбили 34 немецких самолёта. Лётчик лейтенант Норжинский в течение одного дня сбил 3 немецких бомбардировщика.</w:t>
      </w:r>
    </w:p>
    <w:p w14:paraId="46A6F7F4"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Юго-восточнее Пятигорска наши части окружили в горах и уничтожили прорвавшиеся вперёд отряды противника. На другом участке наши войска отошли на новый оборонительный рубеж.</w:t>
      </w:r>
    </w:p>
    <w:p w14:paraId="0E832410"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Северо-Западном фронте наши подразделения выбили немцев из одного населённого пункта. В ходе боя уничтожено несколько сот гитлеровцев и подбито 6 немецких танков. Батарея тов. Арсентьева подбила 2 вражеских танка. Артиллерийская батарея тов. Кондратенко, двигаясь вместе с наступающей пехотой, разбила 4 вражеских ДЗОТа, уничтожила миномётную батарею и 3 пулемётные точки противника.</w:t>
      </w:r>
    </w:p>
    <w:p w14:paraId="580B2AD1"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под командованием тов. К. взорвал железнодорожный мост через реку О. До взрыва немцы восстанавливали мост в течение 38 дней. При взрыве моста уничтожено 5 гитлеровцев из немецкой охраны.</w:t>
      </w:r>
    </w:p>
    <w:p w14:paraId="3F7665D3"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Сдавшийся в плен унтер-офицер 257 полка 83 немецкой пехотной дивизии Ганс Ш.рассказал: «257 полк понёс очень тяжёлые потери. Только в боях за пункт В. Он потерял половину личного состава. От третьего батальона осталась жалкая горстка. 5-я рота второго батальона полностью уничтожена. Сейчас полк получил пополнение. Однако настроение солдат резко ухудшилось. Они с беспокойством думают о предстоящей зиме и очень боятся её».</w:t>
      </w:r>
    </w:p>
    <w:p w14:paraId="3C2D1796"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неотправленном письме немецкого обер-ефрейтора Фридриха Нундля к некоему Иозефу говорится: «... Я теперь ездовой. Поглядел бы ты на мою повозку. В ней много разного барахла, организованного у русских. Тут всякая всячина: мужская и женская и даже детская одежда, посуда и продукты».</w:t>
      </w:r>
    </w:p>
    <w:p w14:paraId="28EE975B"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нескольких дней гитлеровские бандиты замучили, расстреляли и повесили несколько сот жителей города Старый Оскол. 36 семейств немецкие людоеды вырезали целиком. Среди жертв гитлеровцев — Изюмова Анастасия Петровна и её 3-летняя внучка Лида. Учеников 5 класса Пашу Курносова и Колю Васильева немцы повесили только за то, что они отказались указать им дорогу в соседнее село.</w:t>
      </w:r>
    </w:p>
    <w:p w14:paraId="64314AEF"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Датские патриоты портят продукты, которые гитлеровцы насильно забрали у населения. На консервном заводе в Копенгагене забраковано 120.000 банок мясных консервов, изготовленных для Германии. В них обнаружены мелкие металлические стружки.</w:t>
      </w:r>
    </w:p>
    <w:p w14:paraId="52149A99"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Кичигинский, Митогинский, Кихчикский и ряд других рыбокомбинатов ДальнегоВостока, а также многие рыболовецкие колхозы уже добыли рыбы значительно больше, чем было предусмотрено годовым заданием.» (14990).</w:t>
      </w:r>
    </w:p>
    <w:p w14:paraId="7B7BCF5F"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57CF7003"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августа в 1942 году вечернее сообщение Совинформбюро:</w:t>
      </w:r>
    </w:p>
    <w:p w14:paraId="4C0910B6"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22 августа наши войска вели бои в районах юго-восточнее Клетская, северо-восточнее Котельниково, юго-восточнее Пятигорска и южнее Краснодара. Нa других участках фронта существенных изменений не произошло.</w:t>
      </w:r>
    </w:p>
    <w:p w14:paraId="12D2E5FE"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21 августа частями нашей авиации на различных участках фронта уничтожено или повреждено 15 немецких танков, 5 бронемашин, до 100 автомашин с войсками игрузами, подавлен огонь 8 батарей полевой и зенитной артиллерии, взорван склад боеприпасов, рассеяно и частью уничтожено до батальона пехоты противника.</w:t>
      </w:r>
    </w:p>
    <w:p w14:paraId="3FCE0CE0"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Днём 21 августа соединения нашей авиации произвели массированный удар по аэродромам противника, на которых было сосредоточено до 400 бомбардировщиков и истребителей. В результате этой операции уничтожено более 100 немецких самолётов. 13 наших самолётов не вернулись на свои базы.</w:t>
      </w:r>
    </w:p>
    <w:p w14:paraId="5ED0D1C7"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наши войска вели активные боевые действия против немецко-фашистских войск. На отдельных участках наши части перешли в контратакии выбили противника из ряда опорных пунктов. Гвардейская часть, где командиром тов. Грязнов, захватила 25 пулемётов, 15 миномётов, 500 гранат, 125.000 патронов, другие трофеи и пленных. Стремясь вернуть потерянные позиции, противник предпринял несколько контратак, во время которых потерял убитыми и ранеными до 400 солдат и офицеров. Юго-восточнее Клетской продолжались ожесточённые бои с противником, пытающимся переправиться на восточный берег Дона. Наши войска нанесли тяжёлые потери группировке неприятеля, переправившейся в одном месте через реку.</w:t>
      </w:r>
    </w:p>
    <w:p w14:paraId="0C0CA86C"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гитлеровцы перешли в наступление, сосредоточив на одном участке значительные силы. В течение дня нашими частями подбито и уничтожено до 60 немецких танков. В одном месте врагу удалось вклиниться в расположение советских войск. Наши части ведут напряжённые бои с противником. На другом участке два румынских полка атаковали расположение наших войск. Атака была отбита с большими для противника потерями. Пулемётно-миномётным огнём уничтожено не менее батальона румынской пехоты.</w:t>
      </w:r>
    </w:p>
    <w:p w14:paraId="5CA5E4A4"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Краснодара наши части вели оборонительные бои с танками и мотопехотой противника. Н-ское соединение отбило три атаки немцев и нанесло им большие потери. Захвачено 33 автомашины, 6 мотоциклов и много боеприпасов. На другом участке после упорных боёв с противником наши части отошли на новые позиции.</w:t>
      </w:r>
    </w:p>
    <w:p w14:paraId="63414443"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Юго-восточнее Пятигорска бойцы Н-ской части уничтожили 8 немецких танка, 9 автомашин и истребили свыше 200 гитлеровцев.</w:t>
      </w:r>
    </w:p>
    <w:p w14:paraId="59E4B2A1"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Ленинградском фронте на одном из участков наши войска продолжали вести активные боевые действия. Подразделение старшего лейтенанта Михайлина решительным броском ворвалось в немецкие траншеи. Штыками и гранатами наши бойцы уничтожили до двух взводов вражеской пехоты.</w:t>
      </w:r>
    </w:p>
    <w:p w14:paraId="35A5A0BB"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Северо-Западном фронте происходили бои местного значения. Не считаясь с большими потерями, немцы пытались отбить населённый пункт, занятый на днях нашими войсками. По предварительным данным, в этих боях уничтожено до двух батальонов немецкой пехоты.</w:t>
      </w:r>
    </w:p>
    <w:p w14:paraId="2E140266"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украинских партизан под командованием тов. Х. за последние два месяца истребил около тысячи немецко-фашистских оккупантов. Партизаны пустили под откос 5 железнодорожных эшелонов, один из них с танками. За это же время партизаны захватили у немцев одно орудие, 508 винтовок, 12 миномётов, 14 станковых и 16 ручных пулемётов.</w:t>
      </w:r>
    </w:p>
    <w:p w14:paraId="50ACBC13"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Сдавшийся в плен солдат 3 итальянской пехотной дивизии шофёр Марио П. рассказал: «В последних боях мы понесли кровавые потери. Солдаты утверждают, что в дивизии осталось не более 40 процентов личного состава. Тяжёлые потери произвели угнетающее впечатление не только на солдат, но и на офицеров. Я слышал, как один капитан из штаба дивизии заявил: «Дорого обходится Италии дружба Муссолини с Гитлером. Безумно проливать свою кровь за немцев. Всё равно они оставят нас в дураках».</w:t>
      </w:r>
    </w:p>
    <w:p w14:paraId="0DB80783"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обер-ефрейтор 9 роты 234 полка 56 немецкой пехотной дивизии Иосиф Пшибиляк показал: «Я немец, родом из города Бохума, Рурской области. На Восточном фронте нахожусь с 15 февраля 1942 года. За это время я насмотрелся, как мучают и убивают русских военнопленных. С того момента, как советский солдат попал вплен, он обречён и его судьба решена. Допрашивая пленных, офицеры жестоко пытают их, часто на глазах пленных расстреливают несколько человек, а затем продолжают допрос тех, кто остался в живых. В апреле капитан Вайзе из 171 полка допрашивал в лесу двух пленных красноармейцев. После допроса он собственноручно их расстрелял. В тот же день по приказу командира 56 дивизии генерала фон Офена расстреляли ещё 4 пленных красноармейцев. Некоторое время спустя фон Офен, проезжая на своей машине, увидел, что солдат Гофман охраняет 5 раненых советских пленных. Генерал приказал солдату немедленно расстрелять пленных и отправиться в свою роту. Фон Офен сам наблюдал, как Гофман расстреливал раненых, и только после этого уехал.</w:t>
      </w:r>
    </w:p>
    <w:p w14:paraId="6804E190"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Такая жестокость немецких офицеров поощряет солдат. Унтер-офицер Кир и ефрейтор Фрич целый день издевались над пленным красноармейцем. Они придумывали для него самые жестокие пытки. К вечеру они штыками прокололи ему горло. Жизнь русского военнопленного висит на волоске. Его каждую минуту могут убить. Если его не расстреляют, он умрёт от побоев, от пыток или от голода» (14990).</w:t>
      </w:r>
    </w:p>
    <w:p w14:paraId="1E4E3B43"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3A444D09" w14:textId="016FACC7" w:rsidR="00FA7E38" w:rsidRPr="001E2C69" w:rsidRDefault="00FA7E38" w:rsidP="00722885">
      <w:pPr>
        <w:pStyle w:val="af"/>
        <w:spacing w:before="0" w:after="0"/>
        <w:jc w:val="both"/>
        <w:textAlignment w:val="baseline"/>
        <w:rPr>
          <w:color w:val="000000" w:themeColor="text1"/>
          <w:sz w:val="16"/>
          <w:szCs w:val="16"/>
        </w:rPr>
      </w:pPr>
      <w:r w:rsidRPr="001E2C69">
        <w:rPr>
          <w:color w:val="000000" w:themeColor="text1"/>
          <w:sz w:val="16"/>
          <w:szCs w:val="16"/>
        </w:rPr>
        <w:t>22 августа 1942 — начальник штаба ВВС Красной армии генерал-лейтенант Фалалеев подписал секретный приказ №</w:t>
      </w:r>
      <w:r w:rsidR="001E2C69">
        <w:rPr>
          <w:color w:val="000000" w:themeColor="text1"/>
          <w:sz w:val="16"/>
          <w:szCs w:val="16"/>
        </w:rPr>
        <w:t xml:space="preserve">   </w:t>
      </w:r>
      <w:r w:rsidRPr="001E2C69">
        <w:rPr>
          <w:color w:val="000000" w:themeColor="text1"/>
          <w:sz w:val="16"/>
          <w:szCs w:val="16"/>
        </w:rPr>
        <w:t>332597с, адресованный командующим воздушными армиями и касающийся штурмовой авиации. В нем, в частности, констатировалось:</w:t>
      </w:r>
    </w:p>
    <w:p w14:paraId="694C27FC" w14:textId="77777777" w:rsidR="00FA7E38" w:rsidRPr="001E2C69" w:rsidRDefault="00FA7E38" w:rsidP="00722885">
      <w:pPr>
        <w:pStyle w:val="af"/>
        <w:spacing w:before="0" w:after="0"/>
        <w:jc w:val="both"/>
        <w:textAlignment w:val="baseline"/>
        <w:rPr>
          <w:iCs/>
          <w:color w:val="000000" w:themeColor="text1"/>
          <w:sz w:val="16"/>
          <w:szCs w:val="16"/>
          <w:bdr w:val="none" w:sz="0" w:space="0" w:color="auto" w:frame="1"/>
        </w:rPr>
      </w:pPr>
      <w:r w:rsidRPr="001E2C69">
        <w:rPr>
          <w:iCs/>
          <w:color w:val="000000" w:themeColor="text1"/>
          <w:sz w:val="16"/>
          <w:szCs w:val="16"/>
          <w:bdr w:val="none" w:sz="0" w:space="0" w:color="auto" w:frame="1"/>
        </w:rPr>
        <w:t>«Повседневное применение в течение всей войны одних и тех же способов действий нашими штурмовиками привело к тому, что противник хорошо изучил тактику их действий и организует эффективное противодействие с земли нашим ударам с бреющего полета…</w:t>
      </w:r>
    </w:p>
    <w:p w14:paraId="29A6E6F5" w14:textId="77777777" w:rsidR="00FA7E38" w:rsidRPr="001E2C69" w:rsidRDefault="00FA7E38" w:rsidP="00722885">
      <w:pPr>
        <w:pStyle w:val="af"/>
        <w:spacing w:before="0" w:after="0"/>
        <w:jc w:val="both"/>
        <w:textAlignment w:val="baseline"/>
        <w:rPr>
          <w:iCs/>
          <w:color w:val="000000" w:themeColor="text1"/>
          <w:sz w:val="16"/>
          <w:szCs w:val="16"/>
          <w:bdr w:val="none" w:sz="0" w:space="0" w:color="auto" w:frame="1"/>
        </w:rPr>
      </w:pPr>
      <w:r w:rsidRPr="001E2C69">
        <w:rPr>
          <w:iCs/>
          <w:color w:val="000000" w:themeColor="text1"/>
          <w:sz w:val="16"/>
          <w:szCs w:val="16"/>
          <w:bdr w:val="none" w:sz="0" w:space="0" w:color="auto" w:frame="1"/>
        </w:rPr>
        <w:t>Отсутствие должной организации сбора после атаки приводит к тому, что возвращение сплошь и рядом совершается отдельными самолетами. Специально выделенные для борьбы с нашими штурмовиками группы истребителей противника, пользуясь расчленением наших штурмовиков, летящих на бреющем полете, пристраиваются к ним и расстреливают их в упор. Отмечен ряд случаев, когда Me-109 подлетали вплотную к Ил-2, выпускали шасси, становились в хвост и прицельным огнем из пулеметов и пушек били по самым уязвимым местам нашего штурмовика: в щель между фонарем и фюзеляжем, в боковые окна фонаря, по шасси, по хвосту и управлению.</w:t>
      </w:r>
    </w:p>
    <w:p w14:paraId="02F71AE0" w14:textId="77777777" w:rsidR="00FA7E38" w:rsidRPr="001E2C69" w:rsidRDefault="00FA7E38" w:rsidP="00722885">
      <w:pPr>
        <w:pStyle w:val="af"/>
        <w:spacing w:before="0" w:after="0"/>
        <w:jc w:val="both"/>
        <w:textAlignment w:val="baseline"/>
        <w:rPr>
          <w:iCs/>
          <w:color w:val="000000" w:themeColor="text1"/>
          <w:sz w:val="16"/>
          <w:szCs w:val="16"/>
          <w:bdr w:val="none" w:sz="0" w:space="0" w:color="auto" w:frame="1"/>
        </w:rPr>
      </w:pPr>
      <w:r w:rsidRPr="001E2C69">
        <w:rPr>
          <w:iCs/>
          <w:color w:val="000000" w:themeColor="text1"/>
          <w:sz w:val="16"/>
          <w:szCs w:val="16"/>
          <w:bdr w:val="none" w:sz="0" w:space="0" w:color="auto" w:frame="1"/>
        </w:rPr>
        <w:t>Тактика пассивной обороны Ил-2, построенная в расчете на броню и всесилие бреющего полета, не оправдывает себя; если уход от противника и удается, то после посадки, как правило, Ил-2 нуждается в большом ремонте…</w:t>
      </w:r>
    </w:p>
    <w:p w14:paraId="5CCEBCFE" w14:textId="77777777" w:rsidR="00FA7E38" w:rsidRPr="001E2C69" w:rsidRDefault="00FA7E38" w:rsidP="00722885">
      <w:pPr>
        <w:pStyle w:val="af"/>
        <w:spacing w:before="0" w:after="0"/>
        <w:jc w:val="both"/>
        <w:textAlignment w:val="baseline"/>
        <w:rPr>
          <w:iCs/>
          <w:color w:val="000000" w:themeColor="text1"/>
          <w:sz w:val="16"/>
          <w:szCs w:val="16"/>
          <w:bdr w:val="none" w:sz="0" w:space="0" w:color="auto" w:frame="1"/>
        </w:rPr>
      </w:pPr>
      <w:r w:rsidRPr="001E2C69">
        <w:rPr>
          <w:iCs/>
          <w:color w:val="000000" w:themeColor="text1"/>
          <w:sz w:val="16"/>
          <w:szCs w:val="16"/>
          <w:bdr w:val="none" w:sz="0" w:space="0" w:color="auto" w:frame="1"/>
        </w:rPr>
        <w:t>…бреющий полет усложняет ориентировку, летный состав, особенно молодой, часто теряет ее и нередко делает вынужденные посадки вне аэродрома, надолго выводя при этом самолеты из строя» (19522).</w:t>
      </w:r>
    </w:p>
    <w:p w14:paraId="02355045" w14:textId="77777777" w:rsidR="00FA7E38" w:rsidRPr="001E2C69" w:rsidRDefault="00FA7E38" w:rsidP="00722885">
      <w:pPr>
        <w:pStyle w:val="af"/>
        <w:spacing w:before="0" w:after="0"/>
        <w:jc w:val="both"/>
        <w:textAlignment w:val="baseline"/>
        <w:rPr>
          <w:iCs/>
          <w:color w:val="000000" w:themeColor="text1"/>
          <w:sz w:val="16"/>
          <w:szCs w:val="16"/>
          <w:bdr w:val="none" w:sz="0" w:space="0" w:color="auto" w:frame="1"/>
        </w:rPr>
      </w:pPr>
    </w:p>
    <w:p w14:paraId="21F1B172"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августа 1942 вышла ДИРЕКТИВА КОМАНДУЮЩЕГО ВОЕННО-ВОЗДУШНЫМИ</w:t>
      </w:r>
    </w:p>
    <w:p w14:paraId="50312BC5"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СИЛАМИ КРАСНОЙ АРМИИ № 332597с от 22.8.42 г.1 О ТАКТИКЕ ДЕЙСТВИЙ ШТУРМОВОЙ АВИАЦИИ, ВООРУЖЕННОЙ     САМОЛЕТОМ Ил-2</w:t>
      </w:r>
    </w:p>
    <w:p w14:paraId="0968F7BE"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1AF4D8F7"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КОМАНДУЮЩИМ ВОЗДУШНЫМИ АРМИЯМИ и ВОЕННО-ВОЗДУШНЫМИ СИЛАМИ ФРОНТОВ, НАЧАЛЬНИКУ ВОЕННОЙ АКАДЕМИИ КОМАНДНО-ШТУРМАНСКОГО СОСТАВА ВОЕННОВОЗДУШНЫХ СИЛ КРАСНОЙ АРМИИ, НАЧАЛЬНИКУ ЛИПЕЦКИХ КУРСОВ УСОВЕРШЕНСТВОВАНИЯ</w:t>
      </w:r>
    </w:p>
    <w:p w14:paraId="3E344443"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Наши штурмовики Ил-2 применяют преимущественно два способа действий: атаку с бреющего полета и атаку с выскакиванием перед целью на высоту 150—250 м.</w:t>
      </w:r>
    </w:p>
    <w:p w14:paraId="762B9195"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Эти способы действий позволяют штурмовикам при наличии благоцриятного </w:t>
      </w:r>
    </w:p>
    <w:p w14:paraId="007CF9C5"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рельефа местности относительно внезапно появляться над целью. Наряду с достоинствами подобного рода тактика штурмовиков на Ил-2 имеет ряд серьезных недостатков.</w:t>
      </w:r>
    </w:p>
    <w:p w14:paraId="558698C3"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Подход и атака с бреющего полета не позволяют достаточно полно и эффективно использовать огневые возможности самолетов Ил-2: бомбы приходится сбрасывать со взрывателями АВ-1, а за время замедления танки и автомашины успевают отъехать на безопасное расстояние, люди — спрятаться в укрытия. Кроме того, бомбы со взрывателями замедленного действия, сброшенные с бреющего полета, сильно рикошетируют, вследствие чего резко снижается точность бомбометания и эффективность действия. Бомбы ФАБ-250 с установкой взрывателя АПУВ на мгновенное действие совершенно не применяются даже при атаках штурмовиков с выскакивания из-за опасности поражения своих самолетов.</w:t>
      </w:r>
    </w:p>
    <w:p w14:paraId="279F5266"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Выбор необходимых целей при атаках с бреющего полета затруднен, поэтому наиболее важные цели чаще всего остаются непораженными.</w:t>
      </w:r>
    </w:p>
    <w:p w14:paraId="2628E507"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Близость земли затрудняет точное прицеливание. Последнее осуществляется наводкой носовой части самолета без применения прицела, вследствие чего обстрел из пушек,- пулеметов и реактивных снарядов не дает должного эффекта.</w:t>
      </w:r>
    </w:p>
    <w:p w14:paraId="09E70C72"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 Сложность ориентировки на самолете Ил-2 на высоте бреющего полета часто вынуждает лететь вдоль линейных ориентиров, вследствие </w:t>
      </w:r>
      <w:r w:rsidRPr="008A2E5A">
        <w:rPr>
          <w:rFonts w:ascii="Tahoma" w:hAnsi="Tahoma" w:cs="Tahoma"/>
          <w:color w:val="0070C0"/>
          <w:sz w:val="16"/>
          <w:szCs w:val="16"/>
        </w:rPr>
        <w:t>﻿</w:t>
      </w:r>
      <w:r w:rsidRPr="008A2E5A">
        <w:rPr>
          <w:rFonts w:ascii="Times New Roman" w:hAnsi="Times New Roman"/>
          <w:color w:val="0070C0"/>
          <w:sz w:val="16"/>
          <w:szCs w:val="16"/>
        </w:rPr>
        <w:t>чего внезапность удара в значительной мере утрачивается. Истребители, непосредственно сопровождающие самолеты Ил-2, следуют обычно на высоте в несколько сот метров и тем самым сводят на нет внезапность, которая могла бы быть достигнута применением бреющего полета.</w:t>
      </w:r>
    </w:p>
    <w:p w14:paraId="7FD52F27"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Повседневное применение в течение всей войны одних и тех же способов действий нашими штурмовиками привело к тому, что противник хорошо изучил тактику их действий и организует эффективное противодействие с земли нашим ударам с бреющего полета. На вероятных направлениях полета самолетов Ил-2 создаются мощные завесы зенитного огня, для чего используются все виды оружия, вплоть до минометов, огнеметов, фугасов, танковых и противотанковых пушек, в результате чего наши штурмовики несут значительные потери.</w:t>
      </w:r>
    </w:p>
    <w:p w14:paraId="307EDEC9"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Очень серьезным обстоятельством является и то, что штурмовики Ил-28 на высотах бреющего полета не могут вести достаточно успешного оборонительного боя с истребителями противника. Опыт показывает, что надежное прикрытие истребителями штурмовиков, летающих на бреющем полете, трудно осуществимо: истребители, следуя значительно выше штурмовиков, часто теряют их из вида. Отсутствие должной организации сбора после атаки приводит к тому, что возвращение сплошь и рядом совершается отдельными самолетами. Специально выделенные для борьбы с нашими штурмовиками группы истребителей противника, пользуясь расчленением наших штурмовиков, летящих на бреющем полете, пристраиваются к ним и расстреливают их в упор. Отмечен ряд случаев, когда Me-109 подлетали вплотную к Ил-2, выпускали шасси, становились в хвост и прицельным огнем из пулеметов и пушек били по самым уязвимым местам нашего штурмовика: в щель между фонарем и фюзеляжем, в боковые окна фонаря, по шасси, по хвосту и управлению.</w:t>
      </w:r>
    </w:p>
    <w:p w14:paraId="0E3582FD"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Тактика пассивной обороны Ил-2, построенная в расчете на броню и всесилие бреющего полета, не оправдывает себя; если уход от противника и удается, то после посадки, как правило, Ил-2 нуждается в большом ремонте.</w:t>
      </w:r>
    </w:p>
    <w:p w14:paraId="35EEDFB4"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Наконец, нужно отметить, что бреющий полет усложняет ориентировку, [вследствие этого] летный состав, особенно молодой, часто теряет ее и нередко делает вынужденные посадки вне аэродрома, надолго выводя при этом самолеты из строя.</w:t>
      </w:r>
    </w:p>
    <w:p w14:paraId="2808D449"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Перечисленные недостатки настоятельно требуют изменений в тактике штурмовиков Ил-2. Нужно повысить эффективность их ударов и практиковать такие способы, которые обеспечивали бы эффективное использование огневых возможностей самолетов Ил-2 и затруднили бы противнику организацию борьбы с ними. Многие штурмовые части наряду с атаками с бреющего полета особенно широко и с большим успехом применяют атаки с пикирования под углами 20—35°, а также бомбометание с горизонтального полета с высот 400—1000 м.</w:t>
      </w:r>
    </w:p>
    <w:p w14:paraId="75C4AA77"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Атака с пикирования. Группа самолетов Ил-2 подходит к цели в боевом порядке змейки из пар на высоте 800—1200 м, а атаку производит в зависимости от характера цели и ее расположения на местности из растянутого строя «змейки» или «пеленга». Атаки должны обеспечиваться специально выделенными штурмовиками и истребителями, которые подавляют зенитные средства противника. Нападение выполняется последовательными атаками отдельных самолетов, пикирующих один за другим, либо по сигналу ведущего «все вдруг», передаваемому по радио или эволюциями самолета. Каждый самолет делает разворот в сторону цели на 30—45°, после чего все самолеты одновременно переходят в пикирование. </w:t>
      </w:r>
    </w:p>
    <w:p w14:paraId="14CC8F0B"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первой атаки самолеты на повышенной скорости уходят от цели за пределы огня зенитной артиллерии и, развернувшись, повторяют атаки самолет за самолетом из строя «круг». В первых атаках цель поражается бомбами и реактивными снарядами, в последующих атаках применяются реактивные снаряды, пушечный и пулеметный огонь. Такой способ действий позволяет применять бомбы калибра до 250 кг включительно с установкой взрывателя АПУВ на мгновенное действие. Бомбы ФАБ-250 следует сбрасывать с высоты не ниже 500 м, а 50—100 кг бомбы можно сбрасывать и с высот 250—300 м. Стрельба из пушек и пулеметов ведется с пологого пикирования под углами 20—30°. Огонь открывается с высоты 300—400 м и доводится до высоты 100—150 м, дистанция стрельбы при этом колеблется в пределах 800—300 м.</w:t>
      </w:r>
    </w:p>
    <w:p w14:paraId="06985D8F"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Достоинства этого способа нападения заключаются в том, что облегчается обеспечение штурмовиков истребителями. Штурмовики могут использовать все типы бомб с взрывателями мгновенного действия. Повышается точность бомбометания и огня, улучшается ориентировка, обеспечивается точный выход на объект и выбор нужных целей. После штурмовых атак необходимо оставлять 45—60 снарядов на пушку и 150—200 патронов на пулемет на случаи ведения воздушного боя с истребителями противника.</w:t>
      </w:r>
    </w:p>
    <w:p w14:paraId="1E49F225"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Штурмовой удар с бреющего полета. Штурмовой удар с бреющего полета или с выскакиванием перед целью на высоту 300 м следует применять в тех случаях, когда нужно получить наибольшую внезапность выхода на цель, и при нападении на цели значительных размеров. Этот же способ действий надлежит применять и при </w:t>
      </w:r>
      <w:r w:rsidRPr="008A2E5A">
        <w:rPr>
          <w:rFonts w:ascii="Times New Roman" w:hAnsi="Times New Roman"/>
          <w:color w:val="0070C0"/>
          <w:sz w:val="16"/>
          <w:szCs w:val="16"/>
        </w:rPr>
        <w:lastRenderedPageBreak/>
        <w:t>низкой облачности в районе цели, когда метеорологические условия исключают возможность действий с пикирования. Отличное знание района действий и расположения цели является необходимым условием. При действиях с высот бреющего полета применяются бомбы со взрывателями замедленного действия, а при действиях с выскакиванием на высоту до 300 м допустимо применение бомб [калибра] не свыше 100 кг со взрывателями мгновенного действия.</w:t>
      </w:r>
    </w:p>
    <w:p w14:paraId="15DB3BF4"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Чтобы избежать рикошетирования бомб со взрывателями замедленного действия, таковые следует сбрасывать под углами пикирования в 15—20°.</w:t>
      </w:r>
    </w:p>
    <w:p w14:paraId="1697B032"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Бомбометание с горизонтального полета. При действиях по целям, имеющим значительные линейные размеры по длине и ширине (скопление войск в лесу и населенных пунктах, аэродромы, железнодорожные' узлы и т. п.), целесообразно производить бомбометание с высот 400 м и выше.</w:t>
      </w:r>
    </w:p>
    <w:p w14:paraId="544F3C9D"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Оборонительный воздушный бой самолетов Ил-2 с истребителями противника. </w:t>
      </w:r>
    </w:p>
    <w:p w14:paraId="7ED533B0"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Организованный уход от цели и быстрый сбор штурмовиков является одним из основных условии успешного отражения нападения истребителей противника. Для ведения воздушного оборонительного боя группа Ил-2 строит замкнутый «круг», вытягивая его в направлении своей территории. </w:t>
      </w:r>
    </w:p>
    <w:p w14:paraId="542CF347"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построения «круга» количество самолетов в группе должно быть не менее 6 машин; дистанция между самолетами на кругу должна быть в пределах 300—400 м, высота — не ниже 300 м, а крены при разворотах допускаются от 15 до 40°.</w:t>
      </w:r>
    </w:p>
    <w:p w14:paraId="5B7DCCDF"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Каждый из экипажей, находясь в кругу, несет полную ответственность за защиту впереди идущего самолета и не имеет права оставлять своего места. В целях отражения атак экипажи имеют право и обязаны маневрировать по горизонту разворотами влево и вправо до 45°, а по вертикали кабрированием и планированием под углом до 30°.</w:t>
      </w:r>
    </w:p>
    <w:p w14:paraId="04297E4D"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Если штурмовики следуют под прикрытием истребителей, то они не должны отрываться от них при встрече с противником, а, приняв оборонительный порядок «круг» ниже своих истребителей, взаимодействовать с ними по отражению атак противника. Небольшие группы штурмовиков в 2—4 самолета должны включаться в этом случае в боевой порядок истребителей и совместно с ними вести воздушный бой.</w:t>
      </w:r>
    </w:p>
    <w:p w14:paraId="46DF0A0B"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соответствии с изложенным ПРИКАЗЫВАЮ:</w:t>
      </w:r>
    </w:p>
    <w:p w14:paraId="75911911"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Командирам всех степеней обучить своих подчиненных атакам с пикирования и широко применять этот способ нападения.</w:t>
      </w:r>
    </w:p>
    <w:p w14:paraId="5A7B8F8B"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Атаки с бреющего полета и бомбометание с горизонтального полета применять в комбинации с атаками с пикирования в условиях низкой облачности и при нападении на цели значительных размеров.</w:t>
      </w:r>
    </w:p>
    <w:p w14:paraId="513EB6C4"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Полеты на штурмовые действия производить с полной бомбовой нагрузкой. Командирам полков, эскадрилий и инженерам установить строгий контроль за знанием летным составом боевых свойств авиационных бомб и различных взрывателей к ним, а также научить подчиненных порядку их применения.</w:t>
      </w:r>
    </w:p>
    <w:p w14:paraId="6DF64CED"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При постановке задач штурмовикам подробно указывать порядок атаки, ухода от цели, сбора, ведения воздушного боя с истребителями противника и взаимодействия с прикрывающими истребителями.</w:t>
      </w:r>
    </w:p>
    <w:p w14:paraId="1CF20421"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Включить в программу подготовки запасных полков штурмовой авиации обучение летного состава атакам с пикирования, бомбометанию с горизонтального полета, а также воздушному бою с истребителями.</w:t>
      </w:r>
    </w:p>
    <w:p w14:paraId="0B952C59"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Заместитель командующего Военно-воздушными силами Красной Армии</w:t>
      </w:r>
    </w:p>
    <w:p w14:paraId="74D31B4F"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генерал-лейтенант авиации ВОРОЖЕЙКИН</w:t>
      </w:r>
    </w:p>
    <w:p w14:paraId="61CBA2C1"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Член Военного Совета Военно-воздушных сил Красной Армии</w:t>
      </w:r>
    </w:p>
    <w:p w14:paraId="5C2FA618"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дивизионный комиссар РУДЕНКО</w:t>
      </w:r>
    </w:p>
    <w:p w14:paraId="2B03DAB6"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Начальник штаба Военно-воздушных сил Красной Армии </w:t>
      </w:r>
    </w:p>
    <w:p w14:paraId="4DEA327C"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генерал-лейтенант авиации ФАЛАЛЕЕВ</w:t>
      </w:r>
    </w:p>
    <w:p w14:paraId="2C9FABFE" w14:textId="77777777" w:rsidR="008018C8" w:rsidRPr="008A2E5A" w:rsidRDefault="008018C8" w:rsidP="008018C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22.8.42</w:t>
      </w:r>
      <w:r w:rsidRPr="008A2E5A">
        <w:rPr>
          <w:rFonts w:ascii="Times New Roman" w:hAnsi="Times New Roman"/>
          <w:color w:val="0070C0"/>
          <w:sz w:val="16"/>
          <w:szCs w:val="16"/>
        </w:rPr>
        <w:tab/>
        <w:t>г. (23668).</w:t>
      </w:r>
    </w:p>
    <w:p w14:paraId="04960D2A" w14:textId="77777777" w:rsidR="008018C8" w:rsidRPr="008A2E5A" w:rsidRDefault="008018C8" w:rsidP="008018C8">
      <w:pPr>
        <w:spacing w:after="0" w:line="240" w:lineRule="auto"/>
        <w:jc w:val="both"/>
        <w:rPr>
          <w:rFonts w:ascii="Times New Roman" w:hAnsi="Times New Roman"/>
          <w:color w:val="0070C0"/>
          <w:sz w:val="16"/>
          <w:szCs w:val="16"/>
        </w:rPr>
      </w:pPr>
    </w:p>
    <w:p w14:paraId="52551213"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августа в 1942 году группа советских самолетов нанесла бомбовые удары по военно-промышленным объектам в Варшаве (14990).</w:t>
      </w:r>
    </w:p>
    <w:p w14:paraId="24A346C9"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26DF5C5F"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августа в 1942 году советские войска ликвидировали немецкий десант, высадившийся в тылу под Сталинградом (14990).</w:t>
      </w:r>
    </w:p>
    <w:p w14:paraId="61E769B3"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05CED2EB"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 августа в 1942 году создан Туапсинский оборонительный район (расформирован 26 января 1943) из частей Черноморской группы войск Закавказского фронта и Туапсинской военно-морской базы. Командующий — контр-адмирал Г.В.Жуков (14990).</w:t>
      </w:r>
    </w:p>
    <w:p w14:paraId="6A7E4182"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08A404A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22 августа 1942 г. специальный приказ по ВВС (24,272) потребовал применения Ил-2 для разрушения ДОТов с использованием фугасных бомб. Некоторые летчики по опыту упомянутого выше Пстыго стали брать в перегрузку до 700 кг бомб, а один из них под Сталинградом - еще больше (24,272).</w:t>
      </w:r>
    </w:p>
    <w:p w14:paraId="175327C7" w14:textId="77777777" w:rsidR="00AE7191" w:rsidRPr="001E2C69" w:rsidRDefault="00AE7191" w:rsidP="00722885">
      <w:pPr>
        <w:pStyle w:val="Iauiue"/>
        <w:jc w:val="both"/>
        <w:rPr>
          <w:color w:val="000000" w:themeColor="text1"/>
          <w:sz w:val="16"/>
          <w:szCs w:val="16"/>
        </w:rPr>
      </w:pPr>
    </w:p>
    <w:p w14:paraId="6C29BE1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22 августа 1942 г. в директиве командования ВВС от признавалось, что действия штурмовиков с "бреющего" полета не позволяют полностью использовать ударную мощь ИЛ-2. Запоздало констатировалось, что подобная тактика ограничивает боевые возможности самолета. Снижается точность бомбометания из-за рикошетирования бомб. Не оправдал себя расчет (вспомним письмо Ильюшина - В.С.) на повышение живучести машины только за счет бронирования и полетов на малой высоте. В директиве настоятельно рекомендовалось увеличить высоты бомбометания, освоить атаки с пикирования и новые боевые порядки. Бомбометание осуществлять последовательно. После первого удара и сброса бомб повторять атаки с огнем реактивными снарядами, пушками, пулеметами - бомбы признавались главным огневым средством. </w:t>
      </w:r>
    </w:p>
    <w:p w14:paraId="186EF03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Ил-2 оформился в легкий тактический бомбардировщик, для действий по скоплениям техники и живой силы на марше, в местах сосредоточения в ближнем и среднем тылу, реже - по передовым позициям (точность бомбометания невысока для работы по точечным целям), со скромным бомбовым вооружением. </w:t>
      </w:r>
    </w:p>
    <w:p w14:paraId="7302691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Полная бомбовая нагрузка составляла 600 кг, но действуя с полевых аэродромов, нельзя было поднимать одновременно 8 ракет и полную бомбовую нагрузку (11224).</w:t>
      </w:r>
    </w:p>
    <w:p w14:paraId="3E865B8A"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372A25C" w14:textId="77777777" w:rsidR="00AE7191" w:rsidRPr="001E2C69" w:rsidRDefault="00AE7191" w:rsidP="00722885">
      <w:pPr>
        <w:pStyle w:val="Blockquote"/>
        <w:widowControl/>
        <w:tabs>
          <w:tab w:val="left" w:pos="11199"/>
        </w:tabs>
        <w:spacing w:before="0" w:after="0"/>
        <w:ind w:left="0" w:right="0"/>
        <w:jc w:val="both"/>
        <w:rPr>
          <w:rStyle w:val="a8"/>
          <w:b w:val="0"/>
          <w:bCs w:val="0"/>
          <w:color w:val="000000" w:themeColor="text1"/>
          <w:sz w:val="16"/>
          <w:szCs w:val="16"/>
          <w:lang w:val="ru-RU"/>
        </w:rPr>
      </w:pPr>
      <w:r w:rsidRPr="001E2C69">
        <w:rPr>
          <w:color w:val="000000" w:themeColor="text1"/>
          <w:sz w:val="16"/>
          <w:szCs w:val="16"/>
          <w:lang w:val="ru-RU"/>
        </w:rPr>
        <w:t xml:space="preserve">22 августа 1942 г. за исх. № 0672 был направлен приказ </w:t>
      </w:r>
      <w:r w:rsidRPr="001E2C69">
        <w:rPr>
          <w:rStyle w:val="a8"/>
          <w:b w:val="0"/>
          <w:bCs w:val="0"/>
          <w:color w:val="000000" w:themeColor="text1"/>
          <w:sz w:val="16"/>
          <w:szCs w:val="16"/>
          <w:lang w:val="ru-RU"/>
        </w:rPr>
        <w:t>Начальника штаба Военно-воздушных сил Красной Армии генерал-лейтенанта авиации ФАЛАЛЕЕВА:</w:t>
      </w:r>
    </w:p>
    <w:p w14:paraId="1FCB8C79" w14:textId="77777777" w:rsidR="00AE7191" w:rsidRPr="001E2C69" w:rsidRDefault="00AE7191" w:rsidP="00722885">
      <w:pPr>
        <w:pStyle w:val="Blockquote"/>
        <w:widowControl/>
        <w:tabs>
          <w:tab w:val="left" w:pos="11199"/>
        </w:tabs>
        <w:spacing w:before="0" w:after="0"/>
        <w:ind w:left="0" w:right="0"/>
        <w:jc w:val="both"/>
        <w:rPr>
          <w:color w:val="000000" w:themeColor="text1"/>
          <w:sz w:val="16"/>
          <w:szCs w:val="16"/>
          <w:lang w:val="ru-RU"/>
        </w:rPr>
      </w:pPr>
      <w:r w:rsidRPr="001E2C69">
        <w:rPr>
          <w:color w:val="000000" w:themeColor="text1"/>
          <w:sz w:val="16"/>
          <w:szCs w:val="16"/>
          <w:lang w:val="ru-RU"/>
        </w:rPr>
        <w:t>КОМАНДУЮЩИМ ВОЗДУШНЫМИ АРМИЯМИ И ВОЕННО-ВОЗДУШНЫМИ СИЛАМИ ФРОНТОВ, НАЧАЛЬНИКУ ВОЕННОЙ АКАДЕМИИ КОМАНДНО-ШТУРМАНСКОГО СОСТАВА ВОЕННО-ВОЗДУШНЫХ СИЛ КРАСНОЙ АРМИИ, НАЧАЛЬНИКУ ЛИПЕЦКИХ КУРСОВ УСОВЕРШЕНСТВОВАНИЯ</w:t>
      </w:r>
    </w:p>
    <w:p w14:paraId="5ED8CAC2" w14:textId="77777777" w:rsidR="00AE7191" w:rsidRPr="001E2C69" w:rsidRDefault="00AE7191" w:rsidP="00722885">
      <w:pPr>
        <w:pStyle w:val="Blockquote"/>
        <w:widowControl/>
        <w:tabs>
          <w:tab w:val="left" w:pos="11199"/>
        </w:tabs>
        <w:spacing w:before="0" w:after="0"/>
        <w:ind w:left="0" w:right="0"/>
        <w:jc w:val="both"/>
        <w:rPr>
          <w:color w:val="000000" w:themeColor="text1"/>
          <w:sz w:val="16"/>
          <w:szCs w:val="16"/>
          <w:lang w:val="ru-RU"/>
        </w:rPr>
      </w:pPr>
      <w:r w:rsidRPr="001E2C69">
        <w:rPr>
          <w:color w:val="000000" w:themeColor="text1"/>
          <w:sz w:val="16"/>
          <w:szCs w:val="16"/>
          <w:lang w:val="ru-RU"/>
        </w:rPr>
        <w:t>Наши штурмовики Ил-2 применяют преимущественно два способа действий: атаку с бреющего полета и атаку с выскакиванием перед целью на высоту 150 - 250 м.</w:t>
      </w:r>
    </w:p>
    <w:p w14:paraId="3DE75549" w14:textId="77777777" w:rsidR="00AE7191" w:rsidRPr="001E2C69" w:rsidRDefault="00AE7191" w:rsidP="00722885">
      <w:pPr>
        <w:pStyle w:val="Blockquote"/>
        <w:widowControl/>
        <w:tabs>
          <w:tab w:val="left" w:pos="11199"/>
        </w:tabs>
        <w:spacing w:before="0" w:after="0"/>
        <w:ind w:left="0" w:right="0"/>
        <w:jc w:val="both"/>
        <w:rPr>
          <w:color w:val="000000" w:themeColor="text1"/>
          <w:sz w:val="16"/>
          <w:szCs w:val="16"/>
          <w:lang w:val="ru-RU"/>
        </w:rPr>
      </w:pPr>
      <w:r w:rsidRPr="001E2C69">
        <w:rPr>
          <w:color w:val="000000" w:themeColor="text1"/>
          <w:sz w:val="16"/>
          <w:szCs w:val="16"/>
          <w:lang w:val="ru-RU"/>
        </w:rPr>
        <w:t>Эти способы действий позволяют штурмовикам при наличии благоприятного рельефа местности относительно внезапно появляться над целью. Наряду с достоинствами подобного рода тактика штурмовиков на Ил-2 имеет ряд серьезных недостатков.</w:t>
      </w:r>
    </w:p>
    <w:p w14:paraId="6EBF9F11" w14:textId="77777777" w:rsidR="00AE7191" w:rsidRPr="001E2C69" w:rsidRDefault="00AE7191" w:rsidP="00722885">
      <w:pPr>
        <w:pStyle w:val="Blockquote"/>
        <w:widowControl/>
        <w:tabs>
          <w:tab w:val="left" w:pos="11199"/>
        </w:tabs>
        <w:spacing w:before="0" w:after="0"/>
        <w:ind w:left="0" w:right="0"/>
        <w:jc w:val="both"/>
        <w:rPr>
          <w:color w:val="000000" w:themeColor="text1"/>
          <w:sz w:val="16"/>
          <w:szCs w:val="16"/>
          <w:lang w:val="ru-RU"/>
        </w:rPr>
      </w:pPr>
      <w:r w:rsidRPr="001E2C69">
        <w:rPr>
          <w:color w:val="000000" w:themeColor="text1"/>
          <w:sz w:val="16"/>
          <w:szCs w:val="16"/>
          <w:lang w:val="ru-RU"/>
        </w:rPr>
        <w:t>1. Подход и атака с бреющего полета не позволяют достаточно полно и эффективно использовать огневые возможности самолетов Ил-2: бомбы приходится сбрасывать со взрывателями АВ-1, а за время замедления танки и автомашины успевают отъехать на безопасное расстояние, люди — спрятаться в укрытия. Кроме того, бомбы со взрывателями замедленного действия, сброшенные с бреющего полета, сильно рикошетируют, вследствие чего резко снижается точность бомбометания и эффективность действия. Бомбы ФАБ-250 с установкой взрывателя АПУВ на мгновенное действие совершенно не применяются даже при атаках штурмовиков с выскакивания из-за опасности поражения своих самолетов.</w:t>
      </w:r>
    </w:p>
    <w:p w14:paraId="48464F4E" w14:textId="77777777" w:rsidR="00AE7191" w:rsidRPr="001E2C69" w:rsidRDefault="00AE7191" w:rsidP="00722885">
      <w:pPr>
        <w:pStyle w:val="Blockquote"/>
        <w:widowControl/>
        <w:tabs>
          <w:tab w:val="left" w:pos="11199"/>
        </w:tabs>
        <w:spacing w:before="0" w:after="0"/>
        <w:ind w:left="0" w:right="0"/>
        <w:jc w:val="both"/>
        <w:rPr>
          <w:color w:val="000000" w:themeColor="text1"/>
          <w:sz w:val="16"/>
          <w:szCs w:val="16"/>
          <w:lang w:val="ru-RU"/>
        </w:rPr>
      </w:pPr>
      <w:r w:rsidRPr="001E2C69">
        <w:rPr>
          <w:color w:val="000000" w:themeColor="text1"/>
          <w:sz w:val="16"/>
          <w:szCs w:val="16"/>
          <w:lang w:val="ru-RU"/>
        </w:rPr>
        <w:t>Выбор необходимых целей при атаках с бреющего полета затруднён, поэтому наиболее важные цели чаще всего остаются непораженным. Близость земли затрудняет точное прицеливание. Последнее осуществляется наводкой носовой части самолета без применения прицела, вследствие чего обстрел из пушек, пулеметов и реактивных снарядов не даёт должного эффекта.</w:t>
      </w:r>
    </w:p>
    <w:p w14:paraId="4C5D2E30" w14:textId="77777777" w:rsidR="00AE7191" w:rsidRPr="001E2C69" w:rsidRDefault="00AE7191" w:rsidP="00722885">
      <w:pPr>
        <w:pStyle w:val="Blockquote"/>
        <w:widowControl/>
        <w:tabs>
          <w:tab w:val="left" w:pos="11199"/>
        </w:tabs>
        <w:spacing w:before="0" w:after="0"/>
        <w:ind w:left="0" w:right="0"/>
        <w:jc w:val="both"/>
        <w:rPr>
          <w:color w:val="000000" w:themeColor="text1"/>
          <w:sz w:val="16"/>
          <w:szCs w:val="16"/>
          <w:lang w:val="ru-RU"/>
        </w:rPr>
      </w:pPr>
      <w:r w:rsidRPr="001E2C69">
        <w:rPr>
          <w:color w:val="000000" w:themeColor="text1"/>
          <w:sz w:val="16"/>
          <w:szCs w:val="16"/>
          <w:lang w:val="ru-RU"/>
        </w:rPr>
        <w:t>2. Сложность ориентировки на самолете Ил-2 на высоте бреющего полета часто вынуждает лететь вдоль линейных ориентиров, вследствие чего внезапность удара в значительной мере утрачивается. Истребители, непосредственно сопровождающие самолеты Ил-2, следуют обычно на высоте в несколько сот метров и тем самым сводят на нет внезапность, которая могла бы быть достигнута применением бреющего полета.</w:t>
      </w:r>
    </w:p>
    <w:p w14:paraId="2DC1D2E3" w14:textId="77777777" w:rsidR="00AE7191" w:rsidRPr="001E2C69" w:rsidRDefault="00AE7191" w:rsidP="00722885">
      <w:pPr>
        <w:pStyle w:val="Blockquote"/>
        <w:widowControl/>
        <w:tabs>
          <w:tab w:val="left" w:pos="11199"/>
        </w:tabs>
        <w:spacing w:before="0" w:after="0"/>
        <w:ind w:left="0" w:right="0"/>
        <w:jc w:val="both"/>
        <w:rPr>
          <w:color w:val="000000" w:themeColor="text1"/>
          <w:sz w:val="16"/>
          <w:szCs w:val="16"/>
          <w:lang w:val="ru-RU"/>
        </w:rPr>
      </w:pPr>
      <w:r w:rsidRPr="001E2C69">
        <w:rPr>
          <w:color w:val="000000" w:themeColor="text1"/>
          <w:sz w:val="16"/>
          <w:szCs w:val="16"/>
          <w:lang w:val="ru-RU"/>
        </w:rPr>
        <w:t>3. Повседневное применение в течение всей войны одних и тех же способов действий нашими штурмовиками привело к тому, что противник хорошо изучил тактику их действий и организует эффективное противодействие с земли нашим ударам с бреющего полета. На вероятных направлениях полета самолетов Ил-2 создаются мощные завесы зенитного огня, для чего используются все виды оружия, вплоть до минометов, огнеметов, фугасов, танковых и противотанковых пушек, в результате чего наши штурмовики несут значительные потери.</w:t>
      </w:r>
    </w:p>
    <w:p w14:paraId="7FC41412" w14:textId="77777777" w:rsidR="00AE7191" w:rsidRPr="001E2C69" w:rsidRDefault="00AE7191" w:rsidP="00722885">
      <w:pPr>
        <w:pStyle w:val="Blockquote"/>
        <w:widowControl/>
        <w:tabs>
          <w:tab w:val="left" w:pos="11199"/>
        </w:tabs>
        <w:spacing w:before="0" w:after="0"/>
        <w:ind w:left="0" w:right="0"/>
        <w:jc w:val="both"/>
        <w:rPr>
          <w:color w:val="000000" w:themeColor="text1"/>
          <w:sz w:val="16"/>
          <w:szCs w:val="16"/>
          <w:lang w:val="ru-RU"/>
        </w:rPr>
      </w:pPr>
      <w:r w:rsidRPr="001E2C69">
        <w:rPr>
          <w:color w:val="000000" w:themeColor="text1"/>
          <w:sz w:val="16"/>
          <w:szCs w:val="16"/>
          <w:lang w:val="ru-RU"/>
        </w:rPr>
        <w:t>4. Очень серьезным обстоятельством является и то, что штурмовики Ил-2 на высотах бреющего полета не могут вести достаточно успешного оборонительного боя с истребителями противника. Опыт показывает, что надежное прикрытие истребителями штурмовиков, летающих на бреющем полете, трудно осуществимо: истребители, следуя значительно выше штурмовиков, часто теряют их из вида. Отсутствие должной организации сбора' после атаки приводит к тому, что возвращение сплошь и рядом совершается отдельными самолетами. Специально выделенные для борьбы с нашими штурмовиками группы истребителей противника, пользуясь расчленением наших штурмовиков, летящих на бреющем полете, пристраиваются к ним и расстреливают их в упор. Отмечен ряд случаев, когда Me-109 подлетали вплотную к Ил-2, выпускали шасси, становились в хвост и прицельным огнем из пулеметов и пушек били по самым уязвимым местам нашего штурмовика: в щель между фонарем и фюзеляжем, в боковыеокна фонаря, по шасси, по хвосту и управлению.</w:t>
      </w:r>
    </w:p>
    <w:p w14:paraId="2042ECEE" w14:textId="77777777" w:rsidR="00AE7191" w:rsidRPr="001E2C69" w:rsidRDefault="00AE7191" w:rsidP="00722885">
      <w:pPr>
        <w:pStyle w:val="Blockquote"/>
        <w:widowControl/>
        <w:tabs>
          <w:tab w:val="left" w:pos="11199"/>
        </w:tabs>
        <w:spacing w:before="0" w:after="0"/>
        <w:ind w:left="0" w:right="0"/>
        <w:jc w:val="both"/>
        <w:rPr>
          <w:color w:val="000000" w:themeColor="text1"/>
          <w:sz w:val="16"/>
          <w:szCs w:val="16"/>
          <w:lang w:val="ru-RU"/>
        </w:rPr>
      </w:pPr>
      <w:r w:rsidRPr="001E2C69">
        <w:rPr>
          <w:color w:val="000000" w:themeColor="text1"/>
          <w:sz w:val="16"/>
          <w:szCs w:val="16"/>
          <w:lang w:val="ru-RU"/>
        </w:rPr>
        <w:t>Тактика пассивной обороны Ил-2, построенная в расчете на броню и всесилие бреющего полета, не оправдывает себя; если уход от противника и удается, то после посадки, как правило, Ил-2 нуждается в большом ремонте.</w:t>
      </w:r>
    </w:p>
    <w:p w14:paraId="428819A3" w14:textId="77777777" w:rsidR="00AE7191" w:rsidRPr="001E2C69" w:rsidRDefault="00AE7191" w:rsidP="00722885">
      <w:pPr>
        <w:pStyle w:val="Blockquote"/>
        <w:widowControl/>
        <w:tabs>
          <w:tab w:val="left" w:pos="11199"/>
        </w:tabs>
        <w:spacing w:before="0" w:after="0"/>
        <w:ind w:left="0" w:right="0"/>
        <w:jc w:val="both"/>
        <w:rPr>
          <w:color w:val="000000" w:themeColor="text1"/>
          <w:sz w:val="16"/>
          <w:szCs w:val="16"/>
          <w:lang w:val="ru-RU"/>
        </w:rPr>
      </w:pPr>
      <w:r w:rsidRPr="001E2C69">
        <w:rPr>
          <w:color w:val="000000" w:themeColor="text1"/>
          <w:sz w:val="16"/>
          <w:szCs w:val="16"/>
          <w:lang w:val="ru-RU"/>
        </w:rPr>
        <w:lastRenderedPageBreak/>
        <w:t>5. Наконец, нужно отметить, что бреющий полет усложняет ориентировку, летный состав, особенно молодой, часто теряет ее и нередко делает вынужденные посадки вне аэродрома, надолго выводя при этом самолеты из строя.</w:t>
      </w:r>
    </w:p>
    <w:p w14:paraId="7A4C5E60" w14:textId="77777777" w:rsidR="00AE7191" w:rsidRPr="001E2C69" w:rsidRDefault="00AE7191" w:rsidP="00722885">
      <w:pPr>
        <w:pStyle w:val="Blockquote"/>
        <w:widowControl/>
        <w:tabs>
          <w:tab w:val="left" w:pos="11199"/>
        </w:tabs>
        <w:spacing w:before="0" w:after="0"/>
        <w:ind w:left="0" w:right="0"/>
        <w:jc w:val="both"/>
        <w:rPr>
          <w:color w:val="000000" w:themeColor="text1"/>
          <w:sz w:val="16"/>
          <w:szCs w:val="16"/>
          <w:lang w:val="ru-RU"/>
        </w:rPr>
      </w:pPr>
      <w:r w:rsidRPr="001E2C69">
        <w:rPr>
          <w:color w:val="000000" w:themeColor="text1"/>
          <w:sz w:val="16"/>
          <w:szCs w:val="16"/>
          <w:lang w:val="ru-RU"/>
        </w:rPr>
        <w:t>Перечисленные недостатки настоятельно требуют изменений в тактике штурмовиков Ил-2. Нужно повысить эффективность их ударов и практиковать такие способы, которые обеспечивали бы эффективное использование огневых возможностей самолетов Ил-2 и затруднили бы противнику организацию борьбы с ними. Многие штурмовые части наряду с атаками с бреющего полета особенно широко и с большим успехом применяют атаки с пикирования под углами 20 - 35°, а также бомбометание с горизонтального полета с высот 400 - 1000 м.</w:t>
      </w:r>
    </w:p>
    <w:p w14:paraId="5ECD72BF" w14:textId="77777777" w:rsidR="00AE7191" w:rsidRPr="001E2C69" w:rsidRDefault="00AE7191" w:rsidP="00722885">
      <w:pPr>
        <w:pStyle w:val="Blockquote"/>
        <w:widowControl/>
        <w:tabs>
          <w:tab w:val="left" w:pos="11199"/>
        </w:tabs>
        <w:spacing w:before="0" w:after="0"/>
        <w:ind w:left="0" w:right="0"/>
        <w:jc w:val="both"/>
        <w:rPr>
          <w:color w:val="000000" w:themeColor="text1"/>
          <w:sz w:val="16"/>
          <w:szCs w:val="16"/>
          <w:lang w:val="ru-RU"/>
        </w:rPr>
      </w:pPr>
      <w:r w:rsidRPr="001E2C69">
        <w:rPr>
          <w:color w:val="000000" w:themeColor="text1"/>
          <w:sz w:val="16"/>
          <w:szCs w:val="16"/>
          <w:lang w:val="ru-RU"/>
        </w:rPr>
        <w:t>Атака с пикирования. Группа самолетов Ил-2 подходит к цели в боевом порядке змейки из пар на высоте 800 - 1200 м, а атаку производит в зависимости от характера цели и ее расположения на местности из растянутого строя “змейки” или “пеленга”. Атаки должны обеспечиваться специально выделенными штурмовиками и истребителями, которые подавляют зенитные средства противника. Нападение выполняется последовательными атаками отдельных самолетов, пикирующих один за другим, либо по сигналу ведущего “все вдруг”, передаваемому по радио или эволюциями самолета. Каждый самолет делает разворот в сторону цели на 30 - 45°, после чего все самолеты одновременно переходят в пикирование. После первой атаки самолеты на повышенной скорости уходят от цели за пределы огня зенитной артиллерии и, развернувшись, повторяют атаки самолет за самолетом из строя “круг”. В первых атаках цель поражается бомбами и реактивными снарядами, в последующих атаках применяются реактивные снаряды, пушечный и пулеметный огонь. Такой способ действий позволяет применять бомбы калибра до 250 кг включительно с установкой взрывателя АПУВ на мгновенное действие. Бомбы ФАБ-250 следует сбрасывать с высоты не ниже 500 м, а 50 - 100 кг бомбы можно сбрасывать и с высот 250 - 300 м. Стрельба из пушек и пулеметов ведется с пологого пикирования под углами 20 - 30°. Огонь открывается с высоты 300 - 400 м и доводится до высоты 100 - 150 м, дистанция стрельбы при этом колеблется в пределах 800 - 300 м.</w:t>
      </w:r>
    </w:p>
    <w:p w14:paraId="0AB7FC8E" w14:textId="77777777" w:rsidR="00AE7191" w:rsidRPr="001E2C69" w:rsidRDefault="00AE7191" w:rsidP="00722885">
      <w:pPr>
        <w:pStyle w:val="Blockquote"/>
        <w:widowControl/>
        <w:tabs>
          <w:tab w:val="left" w:pos="11199"/>
        </w:tabs>
        <w:spacing w:before="0" w:after="0"/>
        <w:ind w:left="0" w:right="0"/>
        <w:jc w:val="both"/>
        <w:rPr>
          <w:color w:val="000000" w:themeColor="text1"/>
          <w:sz w:val="16"/>
          <w:szCs w:val="16"/>
          <w:lang w:val="ru-RU"/>
        </w:rPr>
      </w:pPr>
      <w:r w:rsidRPr="001E2C69">
        <w:rPr>
          <w:color w:val="000000" w:themeColor="text1"/>
          <w:sz w:val="16"/>
          <w:szCs w:val="16"/>
          <w:lang w:val="ru-RU"/>
        </w:rPr>
        <w:t>Достоинства этого способа нападения заключаются в том, что облегчается обеспечение штурмовиков истребителями. Штурмовики могут использовать все типы бомб с взрывателями мгновенного действия. Повышается точность бомбометания и огня, улучшается ориентировка, обеспечивается точный выход на объект и выбор нужных целей. После штурмовых атак необходимо оставлять 45- 60 снарядов на пушку и 150 - 200 патронов на пулемет на случай ведения воздушного боя с истребителями противника.</w:t>
      </w:r>
    </w:p>
    <w:p w14:paraId="4F608E08" w14:textId="77777777" w:rsidR="00AE7191" w:rsidRPr="001E2C69" w:rsidRDefault="00AE7191" w:rsidP="00722885">
      <w:pPr>
        <w:pStyle w:val="Blockquote"/>
        <w:widowControl/>
        <w:tabs>
          <w:tab w:val="left" w:pos="11199"/>
        </w:tabs>
        <w:spacing w:before="0" w:after="0"/>
        <w:ind w:left="0" w:right="0"/>
        <w:jc w:val="both"/>
        <w:rPr>
          <w:color w:val="000000" w:themeColor="text1"/>
          <w:sz w:val="16"/>
          <w:szCs w:val="16"/>
          <w:lang w:val="ru-RU"/>
        </w:rPr>
      </w:pPr>
      <w:r w:rsidRPr="001E2C69">
        <w:rPr>
          <w:color w:val="000000" w:themeColor="text1"/>
          <w:sz w:val="16"/>
          <w:szCs w:val="16"/>
          <w:lang w:val="ru-RU"/>
        </w:rPr>
        <w:t>Штурмовой удар с бреющего полета. Штурмовой удар с бреющего полета или с выскакиванием перед целью на высоту 300 м следует применять в тех случаях, когда нужно получить наибольшую внезапность выхода на цель, и при нападении на цели значительных размеров. Этот же способ действий надлежит применять и при низкой облачности в районе цели, когда метеорологические условия исключают возможность действий с пикирования. Отличное знание района действий и расположения цели является необходимым условием. При действиях с высот бреющего полета применяются бомбы со взрывателями замедленного действия, а при действиях с выскакиванием на высоту до 300 м допустимо применение бомб не свыше 100 кг со взрывателями мгновенного действия. Чтобы избежать рикошетирования бомб со взрывателями замедленного действия, таковые следует сбрасывать под углами пикирования в 15 - 20°.</w:t>
      </w:r>
    </w:p>
    <w:p w14:paraId="46359675" w14:textId="77777777" w:rsidR="00AE7191" w:rsidRPr="001E2C69" w:rsidRDefault="00AE7191" w:rsidP="00722885">
      <w:pPr>
        <w:pStyle w:val="Blockquote"/>
        <w:widowControl/>
        <w:tabs>
          <w:tab w:val="left" w:pos="11199"/>
        </w:tabs>
        <w:spacing w:before="0" w:after="0"/>
        <w:ind w:left="0" w:right="0"/>
        <w:jc w:val="both"/>
        <w:rPr>
          <w:color w:val="000000" w:themeColor="text1"/>
          <w:sz w:val="16"/>
          <w:szCs w:val="16"/>
          <w:lang w:val="ru-RU"/>
        </w:rPr>
      </w:pPr>
      <w:r w:rsidRPr="001E2C69">
        <w:rPr>
          <w:color w:val="000000" w:themeColor="text1"/>
          <w:sz w:val="16"/>
          <w:szCs w:val="16"/>
          <w:lang w:val="ru-RU"/>
        </w:rPr>
        <w:t>Бомбометание с горизонтального полета. При действиях по целям, имеющим значительные линейные размеры по длине и ширине (скопление войск в лесу и населенных пунктах, аэродромы, железнодорожные узлы и т. п.), целесообразно производить бомбометание с высот 400 м и выше.</w:t>
      </w:r>
    </w:p>
    <w:p w14:paraId="10D9E045" w14:textId="77777777" w:rsidR="00AE7191" w:rsidRPr="001E2C69" w:rsidRDefault="00AE7191" w:rsidP="00722885">
      <w:pPr>
        <w:pStyle w:val="Blockquote"/>
        <w:widowControl/>
        <w:tabs>
          <w:tab w:val="left" w:pos="11199"/>
        </w:tabs>
        <w:spacing w:before="0" w:after="0"/>
        <w:ind w:left="0" w:right="0"/>
        <w:jc w:val="both"/>
        <w:rPr>
          <w:color w:val="000000" w:themeColor="text1"/>
          <w:sz w:val="16"/>
          <w:szCs w:val="16"/>
          <w:lang w:val="ru-RU"/>
        </w:rPr>
      </w:pPr>
      <w:r w:rsidRPr="001E2C69">
        <w:rPr>
          <w:color w:val="000000" w:themeColor="text1"/>
          <w:sz w:val="16"/>
          <w:szCs w:val="16"/>
          <w:lang w:val="ru-RU"/>
        </w:rPr>
        <w:t>Оборонительный воздушный бой самолетов Ил-2 с истребителями противника. Организованный уход от цели и быстрый сбор штурмовиков является одним из основных условий успешного отражения нападения истребителей противника. Для ведения воздушного оборонительного боя группа Ил-2 строит замкнутый “круг”, вытягивая его в направлении своей территории. Для построения “круга” количество самолетов в группе должно быть не менее 6 машин; дистанция между самолетами на кругу должна быть в пределах 300 - 400 м, высота — не ниже 300 м, а крены при разворотах допускаются от 15 до 40°.</w:t>
      </w:r>
    </w:p>
    <w:p w14:paraId="117D81C6" w14:textId="77777777" w:rsidR="00AE7191" w:rsidRPr="001E2C69" w:rsidRDefault="00AE7191" w:rsidP="00722885">
      <w:pPr>
        <w:pStyle w:val="Blockquote"/>
        <w:widowControl/>
        <w:tabs>
          <w:tab w:val="left" w:pos="11199"/>
        </w:tabs>
        <w:spacing w:before="0" w:after="0"/>
        <w:ind w:left="0" w:right="0"/>
        <w:jc w:val="both"/>
        <w:rPr>
          <w:color w:val="000000" w:themeColor="text1"/>
          <w:sz w:val="16"/>
          <w:szCs w:val="16"/>
          <w:lang w:val="ru-RU"/>
        </w:rPr>
      </w:pPr>
      <w:r w:rsidRPr="001E2C69">
        <w:rPr>
          <w:color w:val="000000" w:themeColor="text1"/>
          <w:sz w:val="16"/>
          <w:szCs w:val="16"/>
          <w:lang w:val="ru-RU"/>
        </w:rPr>
        <w:t>Каждый из экипажей, находясь в кругу, несет полную ответственность за защиту впереди идущего самолета и не имеет права оставлять своего места. В целях отражения атак экипажи имеют право и обязан маневрировать по горизонту разворотами влево и вправо до 45°, а по вертикали кабрированием и планированием под углом до 30°.</w:t>
      </w:r>
    </w:p>
    <w:p w14:paraId="16E84014" w14:textId="77777777" w:rsidR="00AE7191" w:rsidRPr="001E2C69" w:rsidRDefault="00AE7191" w:rsidP="00722885">
      <w:pPr>
        <w:pStyle w:val="Blockquote"/>
        <w:widowControl/>
        <w:tabs>
          <w:tab w:val="left" w:pos="11199"/>
        </w:tabs>
        <w:spacing w:before="0" w:after="0"/>
        <w:ind w:left="0" w:right="0"/>
        <w:jc w:val="both"/>
        <w:rPr>
          <w:color w:val="000000" w:themeColor="text1"/>
          <w:sz w:val="16"/>
          <w:szCs w:val="16"/>
          <w:lang w:val="ru-RU"/>
        </w:rPr>
      </w:pPr>
      <w:r w:rsidRPr="001E2C69">
        <w:rPr>
          <w:color w:val="000000" w:themeColor="text1"/>
          <w:sz w:val="16"/>
          <w:szCs w:val="16"/>
          <w:lang w:val="ru-RU"/>
        </w:rPr>
        <w:t>Если штурмовики следуют под прикрытием истребителей, то они не должны отрываться от них при встрече с противником, а, приняв оборонительный порядок “круг” ниже своих истребителей, взаимодействовать с ними по отражению атак противника. Небольшие группы штурмовиков в 2 - 4 самолета должны включаться в этом случае в боевой порядок истребителей и совместно с ними вести воздушный бой.</w:t>
      </w:r>
    </w:p>
    <w:p w14:paraId="66EF0D1D" w14:textId="77777777" w:rsidR="00AE7191" w:rsidRPr="001E2C69" w:rsidRDefault="00AE7191" w:rsidP="00722885">
      <w:pPr>
        <w:pStyle w:val="Blockquote"/>
        <w:widowControl/>
        <w:tabs>
          <w:tab w:val="left" w:pos="11199"/>
        </w:tabs>
        <w:spacing w:before="0" w:after="0"/>
        <w:ind w:left="0" w:right="0"/>
        <w:jc w:val="both"/>
        <w:rPr>
          <w:color w:val="000000" w:themeColor="text1"/>
          <w:sz w:val="16"/>
          <w:szCs w:val="16"/>
          <w:lang w:val="ru-RU"/>
        </w:rPr>
      </w:pPr>
      <w:r w:rsidRPr="001E2C69">
        <w:rPr>
          <w:color w:val="000000" w:themeColor="text1"/>
          <w:sz w:val="16"/>
          <w:szCs w:val="16"/>
          <w:lang w:val="ru-RU"/>
        </w:rPr>
        <w:t>В соответствии с изложенным ПРИКАЗЫВАЮ:</w:t>
      </w:r>
    </w:p>
    <w:p w14:paraId="7BD7072B" w14:textId="77777777" w:rsidR="00AE7191" w:rsidRPr="001E2C69" w:rsidRDefault="00AE7191" w:rsidP="00722885">
      <w:pPr>
        <w:pStyle w:val="Blockquote"/>
        <w:widowControl/>
        <w:tabs>
          <w:tab w:val="left" w:pos="11199"/>
        </w:tabs>
        <w:spacing w:before="0" w:after="0"/>
        <w:ind w:left="0" w:right="0"/>
        <w:jc w:val="both"/>
        <w:rPr>
          <w:color w:val="000000" w:themeColor="text1"/>
          <w:sz w:val="16"/>
          <w:szCs w:val="16"/>
          <w:lang w:val="ru-RU"/>
        </w:rPr>
      </w:pPr>
      <w:r w:rsidRPr="001E2C69">
        <w:rPr>
          <w:color w:val="000000" w:themeColor="text1"/>
          <w:sz w:val="16"/>
          <w:szCs w:val="16"/>
          <w:lang w:val="ru-RU"/>
        </w:rPr>
        <w:t>1. Командирам всех степеней обучить своих подчиненных атакам с пикирования и широко применять этот способ нападения.</w:t>
      </w:r>
    </w:p>
    <w:p w14:paraId="033B0392" w14:textId="77777777" w:rsidR="00AE7191" w:rsidRPr="001E2C69" w:rsidRDefault="00AE7191" w:rsidP="00722885">
      <w:pPr>
        <w:pStyle w:val="Blockquote"/>
        <w:widowControl/>
        <w:tabs>
          <w:tab w:val="left" w:pos="11199"/>
        </w:tabs>
        <w:spacing w:before="0" w:after="0"/>
        <w:ind w:left="0" w:right="0"/>
        <w:jc w:val="both"/>
        <w:rPr>
          <w:color w:val="000000" w:themeColor="text1"/>
          <w:sz w:val="16"/>
          <w:szCs w:val="16"/>
          <w:lang w:val="ru-RU"/>
        </w:rPr>
      </w:pPr>
      <w:r w:rsidRPr="001E2C69">
        <w:rPr>
          <w:color w:val="000000" w:themeColor="text1"/>
          <w:sz w:val="16"/>
          <w:szCs w:val="16"/>
          <w:lang w:val="ru-RU"/>
        </w:rPr>
        <w:t>2. Атаки с бреющего полета и бомбометание с горизонтального полета применять в комбинации с атаками с пикирования в условиях низкой облачности и при нападении на цели значительных размеров.</w:t>
      </w:r>
    </w:p>
    <w:p w14:paraId="0A04B0C3" w14:textId="77777777" w:rsidR="00AE7191" w:rsidRPr="001E2C69" w:rsidRDefault="00AE7191" w:rsidP="00722885">
      <w:pPr>
        <w:pStyle w:val="Blockquote"/>
        <w:widowControl/>
        <w:tabs>
          <w:tab w:val="left" w:pos="11199"/>
        </w:tabs>
        <w:spacing w:before="0" w:after="0"/>
        <w:ind w:left="0" w:right="0"/>
        <w:jc w:val="both"/>
        <w:rPr>
          <w:color w:val="000000" w:themeColor="text1"/>
          <w:sz w:val="16"/>
          <w:szCs w:val="16"/>
          <w:lang w:val="ru-RU"/>
        </w:rPr>
      </w:pPr>
      <w:r w:rsidRPr="001E2C69">
        <w:rPr>
          <w:color w:val="000000" w:themeColor="text1"/>
          <w:sz w:val="16"/>
          <w:szCs w:val="16"/>
          <w:lang w:val="ru-RU"/>
        </w:rPr>
        <w:t>3. Полеты на штурмовые действия производить с полной бомбовой нагрузкой. Командирам полков, эскадрилий и инженерам установить строгий контроль за знанием летным составом боевых свойств авиационных бомб и различных взрывателей к ним, а также научить подчиненных порядку их применения.</w:t>
      </w:r>
    </w:p>
    <w:p w14:paraId="70FDEF92" w14:textId="77777777" w:rsidR="00AE7191" w:rsidRPr="001E2C69" w:rsidRDefault="00AE7191" w:rsidP="00722885">
      <w:pPr>
        <w:pStyle w:val="Blockquote"/>
        <w:widowControl/>
        <w:tabs>
          <w:tab w:val="left" w:pos="11199"/>
        </w:tabs>
        <w:spacing w:before="0" w:after="0"/>
        <w:ind w:left="0" w:right="0"/>
        <w:jc w:val="both"/>
        <w:rPr>
          <w:color w:val="000000" w:themeColor="text1"/>
          <w:sz w:val="16"/>
          <w:szCs w:val="16"/>
          <w:lang w:val="ru-RU"/>
        </w:rPr>
      </w:pPr>
      <w:r w:rsidRPr="001E2C69">
        <w:rPr>
          <w:color w:val="000000" w:themeColor="text1"/>
          <w:sz w:val="16"/>
          <w:szCs w:val="16"/>
          <w:lang w:val="ru-RU"/>
        </w:rPr>
        <w:t>4. При постановке задач штурмовикам подробно указывать порядок атаки, ухода от цели, сбора, ведения воздушного боя с истребителями противника и взаимодействия с прикрывающими истребителями.</w:t>
      </w:r>
    </w:p>
    <w:p w14:paraId="58DCB6DA" w14:textId="77777777" w:rsidR="00AE7191" w:rsidRPr="001E2C69" w:rsidRDefault="00AE7191" w:rsidP="00722885">
      <w:pPr>
        <w:pStyle w:val="Blockquote"/>
        <w:widowControl/>
        <w:tabs>
          <w:tab w:val="left" w:pos="11199"/>
        </w:tabs>
        <w:spacing w:before="0" w:after="0"/>
        <w:ind w:left="0" w:right="0"/>
        <w:jc w:val="both"/>
        <w:rPr>
          <w:color w:val="000000" w:themeColor="text1"/>
          <w:sz w:val="16"/>
          <w:szCs w:val="16"/>
          <w:lang w:val="ru-RU"/>
        </w:rPr>
      </w:pPr>
      <w:r w:rsidRPr="001E2C69">
        <w:rPr>
          <w:color w:val="000000" w:themeColor="text1"/>
          <w:sz w:val="16"/>
          <w:szCs w:val="16"/>
          <w:lang w:val="ru-RU"/>
        </w:rPr>
        <w:t>5. Включить в программу подготовки запасных полков штурмовой авиации обучение летного состава атакам с пикирования, бомбометанию с горизонтального полета, а также воздушному бою с истребителями (4964).</w:t>
      </w:r>
    </w:p>
    <w:p w14:paraId="265FBFCF" w14:textId="77777777" w:rsidR="00AE7191" w:rsidRPr="001E2C69" w:rsidRDefault="00AE7191" w:rsidP="00722885">
      <w:pPr>
        <w:pStyle w:val="Blockquote"/>
        <w:widowControl/>
        <w:tabs>
          <w:tab w:val="left" w:pos="11199"/>
        </w:tabs>
        <w:spacing w:before="0" w:after="0"/>
        <w:ind w:left="0" w:right="0"/>
        <w:jc w:val="both"/>
        <w:rPr>
          <w:color w:val="000000" w:themeColor="text1"/>
          <w:sz w:val="16"/>
          <w:szCs w:val="16"/>
          <w:lang w:val="ru-RU"/>
        </w:rPr>
      </w:pPr>
    </w:p>
    <w:p w14:paraId="424E304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22 августа 1942:</w:t>
      </w:r>
    </w:p>
    <w:p w14:paraId="4C9F09F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Секретно</w:t>
      </w:r>
    </w:p>
    <w:p w14:paraId="0C4DC0A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КОМАНДУЮЩИМ ВОЗДУШНЫМИ АРМИЯМИ И ВОЕННО-ВОЗДУШНЫМИ СИЛАМИ ФРОНТОВ,</w:t>
      </w:r>
    </w:p>
    <w:p w14:paraId="1DE415B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НАЧАЛЬНИКУ ВОЕННОЙ АКАДЕМИИ КОМАНДНО-ШТУРМАНСКОГО СОСТАВА ВОЕННО-ВОЗДУШНЫХ СИЛ КРАСНОЙ АРМИИ,</w:t>
      </w:r>
    </w:p>
    <w:p w14:paraId="5222DC6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НАЧАЛЬНИКУ ЛИПЕЦКИХ КУРСОВ УСОВЕРШЕНСТВОВАНИЯ</w:t>
      </w:r>
    </w:p>
    <w:p w14:paraId="1E6E7F7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Наши штурмовики Ил-2 применяют преимущественно два способа действий: атаку с бреющего полета и атаку с выскакиванием перед целью на высоту 150 - 250 м. Эти способы действий позволяют штурмовикам при наличии благоприятного рельефа местности относительно внезапно появляться над целью. Наряду с достоинствами подобного рода тактика штурмовиков на Ил-2 имеет ряд серьезных недостатков.</w:t>
      </w:r>
    </w:p>
    <w:p w14:paraId="101BB69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Подход и атака с бреющего полета не позволяют достаточно полно и эффективно использовать огневые возможности самолетов Ил-2: бомбы приходится сбрасывать со взрывателями АВ-1, а за время замедления танки и автомашины успевают отъехать на безопасное расстояние, люди — спрятаться в укрытия. Кроме того, бомбы со взрывателями замедленного действия, сброшенные с бреющего полета, сильно рикошетируют, вследствие чего резко снижается точность бомбометания и эффективность действия.</w:t>
      </w:r>
    </w:p>
    <w:p w14:paraId="1239977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Бомбы ФАБ-250 с установкой взрывателя АПУВ на мгновенное действие совершенно не применяются даже при атаках штурмовиков с выскакивания из-за опасности поражения своих самолетов. Выбор необходимых целей при атаках с бреющего полета затруднён, поэтому наиболее важные цели чаще всего остаются непораженным. Близость земли затрудняет точное прицеливание. Последнее осуществляется наводкой носовой части самолета без применения прицела, вследствие чего обстрел из пушек, пулеметов и реактивных снарядов не даёт должного эффекта.</w:t>
      </w:r>
    </w:p>
    <w:p w14:paraId="4673FEA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Сложность ориентировки на самолете Ил-2 на высоте бреющего полета часто вынуждает лететь вдоль линейных ориентиров, вследствие чего внезапность удара в значительной мере утрачивается. Истребители, непосредственно сопровождающие самолеты Ил-2, следуют обычно на высоте в несколько сот метров и тем самым сводят на нет внезапность, которая могла бы быть достигнута применением бреющего полета.</w:t>
      </w:r>
    </w:p>
    <w:p w14:paraId="6AFC36E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Повседневное применение в течение всей войны одних и тех же способов действий нашими штурмовиками привело к тому, что противник хорошо изучил тактику их действий и организует эффективное противодействие с земли нашим ударам с бреющего полета. На вероятных направлениях полета самолетов Ил-2 создаются мощные завесы зенитного огня, для чего используются все виды оружия, вплоть до минометов, огнеметов, фугасов, танковых и противотанковых пушек, в результате чего наши штурмовики несут значительные потери.</w:t>
      </w:r>
    </w:p>
    <w:p w14:paraId="68D2787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Очень серьезным обстоятельством является и то, что штурмовики Ил-2 на высотах бреющего полета не могут вести достаточно успешного оборонительного боя с истребителями противника. Опыт показывает, что надежное прикрытие истребителями штурмовиков, летающих на бреющем полете, трудно осуществимо: истребители, следуя значительно выше штурмовиков, часто теряют их из вида. Отсутствие должной организации сбора' после атаки приводит к тому, что возвращение сплошь и рядом совершается отдельными самолетами. Специально выделенные для борьбы с нашими штурмовиками группы истребителей противника, пользуясь расчленением наших штурмовиков, летящих на бреющем полете, пристраиваются к ним и расстреливают их в упор. Отмечен ряд случаев, когда Me-109 подлетали вплотную к Ил-2, выпускали шасси, становились в хвост и прицельным огнем из пулеметов и пушек били по самым уязвимым местам нашего штурмовика: в щель между фонарем и фюзеляжем, в боковые окна фонаря, по шасси, по хвосту и управлению. Тактика пассивной обороны Ил-2, построенная в расчете на броню и всесилие бреющего полета, не оправдывает себя; если уход от противника и удается, то после посадки, как правило, Ил-2 нуждается в большом ремонте.</w:t>
      </w:r>
    </w:p>
    <w:p w14:paraId="6D64F49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Наконец, нужно отметить, что бреющий полет усложняет ориентировку, летный состав, особенно молодой, часто теряет ее и нередко делает вынужденные посадки вне аэродрома, надолго выводя при этом самолеты из строя.</w:t>
      </w:r>
    </w:p>
    <w:p w14:paraId="5508A3B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Перечисленные недостатки настоятельно требуют изменений в тактике штурмовиков Ил-2. Нужно повысить эффективность их ударов и практиковать такие способы, которые обеспечивали бы эффективное использование огневых возможностей самолетов Ил-2 и затруднили бы противнику организацию борьбы с ними. Многие штурмовые части наряду с атаками с бреющего полета особенно широко и с большим успехом применяют атаки с пикирования под углами 20 - 35°, а также </w:t>
      </w:r>
      <w:r w:rsidRPr="001E2C69">
        <w:rPr>
          <w:color w:val="000000" w:themeColor="text1"/>
          <w:sz w:val="16"/>
          <w:szCs w:val="16"/>
        </w:rPr>
        <w:lastRenderedPageBreak/>
        <w:t>бомбометание с горизонтального полета с высот 400 - 1000 м.</w:t>
      </w:r>
    </w:p>
    <w:p w14:paraId="477C9EE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Атака с пикирования. Группа самолетов Ил-2 подходит к цели в боевом порядке змейки из пар на высоте 800 - 1200 м, а атаку производит в зависимости от характера цели и ее расположения на местности из растянутого строя “змейки” или “пеленга”. Атаки должны обеспечиваться специально выделенными штурмовиками и истребителями, которые подавляют зенитные средства противника. Нападение выполняется последовательными атаками отдельных самолетов, пикирующих один за другим, либо по сигналу ведущего “все вдруг”, передаваемому по радио или эволюциями самолета.</w:t>
      </w:r>
    </w:p>
    <w:p w14:paraId="12EA044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Каждый самолет делает разворот в сторону цели на 30 - 45°, после чего все самолеты одновременно переходят в пикирование. После первой атаки самолеты на повышенной скорости уходят от цели за пределы огня зенитной артиллерии и, развернувшись, повторяют атаки самолет за самолетом из строя “круг”. В первых атаках цель поражается бомбами и реактивными снарядами, в последующих атаках применяются реактивные снаряды, пушечный и пулеметный огонь. Такой способ действий позволяет применять бомбы калибра до 250 кг включительно с установкой взрывателя АПУВ на мгновенное действие. Бомбы ФАБ-250 следует сбрасывать с высоты не ниже 500 м, а 50 - 100 кг бомбы можно сбрасывать и с высот 250 - 300 м.</w:t>
      </w:r>
    </w:p>
    <w:p w14:paraId="36B3D0C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Стрельба из пушек и пулеметов ведется с пологого пикирования под углами 20 - 30°. Огонь открывается с высоты 300 - 400 м и доводится до высоты 100 - 150 м, дистанция стрельбы при этом колеблется в пределах 800 - 300 м.</w:t>
      </w:r>
    </w:p>
    <w:p w14:paraId="2B5CE46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Достоинства этого способа нападения заключаются в том, что облегчается обеспечение штурмовиков истребителями.</w:t>
      </w:r>
    </w:p>
    <w:p w14:paraId="25B2AD7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Штурмовики могут использовать все типы бомб с взрывателями мгновенного действия. Повышается точность бомбометания и огня, улучшается ориентировка, обеспечивается точный выход на объект и выбор нужных целей. После штурмовых атак необходимо оставлять 45- 60 снарядов на пушку и 150 - 200 патронов на пулемет на случай ведения воздушного боя с истребителями противника.</w:t>
      </w:r>
    </w:p>
    <w:p w14:paraId="52B57F9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Штурмовой удар с бреющего полета. Штурмовой удар с бреющего полета или с выскакиванием перед целью на высоту 300 м следует применять в тех случаях, когда нужно получить наибольшую внезапность выхода на цель, и при нападении на цели значительных размеров. Этот же способ действий надлежит применять и при низкой облачности в районе цели, когда метеорологические условия исключают возможность действий с пикирования. Отличное знание района действий и расположения цели является необходимым условием. При действиях с высот бреющего полета применяются бомбы со взрывателями замедленного действия, а при действиях с выскакиванием на высоту до 300 м допустимо применение бомб не свыше 100 кг со взрывателями мгновенного действия. Чтобы избежать рикошетирования бомб со взрывателями замедленного действия, таковые следует сбрасывать под углами пикирования в 15 - 20°.</w:t>
      </w:r>
    </w:p>
    <w:p w14:paraId="17ED1AD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Бомбометание с горизонтального полета. При действиях по целям, имеющим значительные линейные размеры по длине и ширине (скопление войск в лесу и населенных пунктах, аэродромы, железнодорожные узлы и т. п.), целесообразно производить бомбометание с высот 400 м и выше.</w:t>
      </w:r>
    </w:p>
    <w:p w14:paraId="7E2AEF5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Оборонительный воздушный бой самолетов Ил-2 с истребителями противника. Организованный уход от цели и быстрый сбор штурмовиков является одним из основных условий успешного отражения нападения истребителей противника. Для ведения воздушного оборонительного боя группа Ил-2 строит замкнутый “круг”, вытягивая его в направлении своей территории. Для построения “круга” количество самолетов в группе должно быть не менее 6 машин; дистанция между самолетами на кругу должна быть в пределах 300 - 400 м, высота — не ниже 300 м, а крены при разворотах допускаются от 15 до 40°.</w:t>
      </w:r>
    </w:p>
    <w:p w14:paraId="502D8D0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Каждый из экипажей, находясь в кругу, несет полную ответственность за защиту впереди идущего самолета и не имеет права оставлять своего места. В целях отражения атак экипажи имеют право и обязан маневрировать по горизонту разворотами влево и вправо до 45°, а по вертикали кабрированием и планированием под углом до 30°.</w:t>
      </w:r>
    </w:p>
    <w:p w14:paraId="7E8892C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Если штурмовики следуют под прикрытием истребителей, то они не должны отрываться от них при встрече с противником, а, приняв оборонительный порядок “круг” ниже своих истребителей, взаимодействовать с ними по отражению атак противника. Небольшие группы штурмовиков в 2 - 4 самолета должны включаться в этом случае в боевой порядок истребителей и совместно с ними вести воздушный бой. В соответствии с изложенным ПРИКАЗЫВАЮ:</w:t>
      </w:r>
    </w:p>
    <w:p w14:paraId="58737D1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Командирам всех степеней обучить своих подчиненных атакам с пикирования и широко применять этот способ нападения.</w:t>
      </w:r>
    </w:p>
    <w:p w14:paraId="61938A9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Атаки с бреющего полета и бомбометание с горизонтального полета применять в комбинации с атаками с пикирования в условиях низкой облачности и при нападении на цели значительных размеров.</w:t>
      </w:r>
    </w:p>
    <w:p w14:paraId="7438A08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Полеты на штурмовые действия производить с полной бомбовой нагрузкой. Командирам полков, эскадрилий и инженерам установить строгий контроль за знанием летным составом боевых свойств авиационных бомб и различных взрывателей к ним, а также научить подчиненных порядку их применения.</w:t>
      </w:r>
    </w:p>
    <w:p w14:paraId="3B72C3BE" w14:textId="77777777" w:rsidR="00AE7191" w:rsidRPr="001E2C69" w:rsidRDefault="00AE7191" w:rsidP="00722885">
      <w:pPr>
        <w:pStyle w:val="Iniiaiieoaeno"/>
        <w:widowControl/>
        <w:rPr>
          <w:color w:val="000000" w:themeColor="text1"/>
        </w:rPr>
      </w:pPr>
      <w:r w:rsidRPr="001E2C69">
        <w:rPr>
          <w:color w:val="000000" w:themeColor="text1"/>
        </w:rPr>
        <w:t>4. При постановке задач штурмовикам подробно указывать порядок атаки, ухода от цели, сбора, ведения воздушного боя с истребителями противника и взаимодействия с прикрывающими истребителями.</w:t>
      </w:r>
    </w:p>
    <w:p w14:paraId="3CCC172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Включить в программу подготовки запасных полков штурмовой авиации обучение летного состава атакам с пикирования, бомбометанию с горизонтального полета, а также воздушному бою с истребителями.</w:t>
      </w:r>
    </w:p>
    <w:p w14:paraId="7CA0354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Начальник штаба</w:t>
      </w:r>
    </w:p>
    <w:p w14:paraId="29292BB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Военно-воздушных сил Красной Армии</w:t>
      </w:r>
    </w:p>
    <w:p w14:paraId="2B7F624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генерал-лейтенант авиации ФАЛАЛЕЕВ</w:t>
      </w:r>
    </w:p>
    <w:p w14:paraId="50EAF4B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22.8.42 г.</w:t>
      </w:r>
    </w:p>
    <w:p w14:paraId="60BC15E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332597с (7751).</w:t>
      </w:r>
    </w:p>
    <w:p w14:paraId="2AA0586B" w14:textId="77777777" w:rsidR="00AE7191" w:rsidRPr="001E2C69" w:rsidRDefault="00AE7191" w:rsidP="00722885">
      <w:pPr>
        <w:pStyle w:val="Iauiue"/>
        <w:jc w:val="both"/>
        <w:rPr>
          <w:color w:val="000000" w:themeColor="text1"/>
          <w:sz w:val="16"/>
          <w:szCs w:val="16"/>
        </w:rPr>
      </w:pPr>
    </w:p>
    <w:p w14:paraId="646CC82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22 августа 1942 г. вышла директива командующего ВВС КА А. А. Новикова № 332597с, в которой указывалось, что продолжающаяся до сих пор в некоторых штурмовых авиаполках практика применения всего двух способов штурмовых атак - с бреющего и с выскакиванием перед целью на высоту 150-200 м, не позволяет использовать все огневые возможности самолета Ил-2.</w:t>
      </w:r>
    </w:p>
    <w:p w14:paraId="3C4669D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Командующий потребовал от всех командиров и летного состава штурмовых авиачастей повышения высот бомбометания, освоения атак с пикирования и изменения боевых порядков штурмовиков. Этой же директивой в программу боевой подготовки запасных полков вводилось обучение летного состава атакам с пикирования, бомбометанию с горизонтального полета, а также воздушному бою с истребителями (8687).</w:t>
      </w:r>
    </w:p>
    <w:p w14:paraId="74580EE3" w14:textId="77777777" w:rsidR="00AE7191" w:rsidRPr="001E2C69" w:rsidRDefault="00AE7191" w:rsidP="00722885">
      <w:pPr>
        <w:pStyle w:val="Iauiue"/>
        <w:jc w:val="both"/>
        <w:rPr>
          <w:color w:val="000000" w:themeColor="text1"/>
          <w:sz w:val="16"/>
          <w:szCs w:val="16"/>
        </w:rPr>
      </w:pPr>
    </w:p>
    <w:p w14:paraId="713FFED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22 августа 1942 из Иванова из 6-й запасной бригады полковника Шумова отправили пять Р-51 "Мустанг". Две машины попали в 5-й гвардейский истребительный полк, вооруженный ЛаГТ-3. Летал на американских самолетах в основном командир полка дважды Герой Советского Союза В.А.Зайцев, но попробовали эти машины также летчики Попков (впоследствии тоже дважды Герой) и Онуфриенко. По воспоминаниям Попкова, впечатление от американских истребителей было резко отрицательным. Хотя машина и отличалась высокой скоростью, но была "тяжела, как утюг". Маневренность ее оставляла желать много лучшего. Не понравился и затянутый взлет. Ни одного боевого вылета на "Мустангах" не сделали. Вскоре на обоих истребителях повредили винты и, за неимением запасных, самолеты сдали назад. Один "Мустанг" достался учебному полку Военно-воздушной академии им. Жуковского. Он эксплуатировался еще в 1946 году, а потом служил как экспонат. Еще одна машина находилась в экспозиции Бюро новой техники ЦАГИ (3457,87).</w:t>
      </w:r>
    </w:p>
    <w:p w14:paraId="3F2173C6" w14:textId="77777777" w:rsidR="00AE7191" w:rsidRPr="001E2C69" w:rsidRDefault="00AE7191" w:rsidP="00722885">
      <w:pPr>
        <w:pStyle w:val="Iauiue"/>
        <w:jc w:val="both"/>
        <w:rPr>
          <w:color w:val="000000" w:themeColor="text1"/>
          <w:sz w:val="16"/>
          <w:szCs w:val="16"/>
        </w:rPr>
      </w:pPr>
    </w:p>
    <w:p w14:paraId="016346C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22 августа 1942 был создан Туапсинский оборонительный район (3186).</w:t>
      </w:r>
    </w:p>
    <w:p w14:paraId="589EFD95" w14:textId="77777777" w:rsidR="00AE7191" w:rsidRPr="001E2C69" w:rsidRDefault="00AE7191" w:rsidP="00722885">
      <w:pPr>
        <w:pStyle w:val="Iauiue"/>
        <w:jc w:val="both"/>
        <w:rPr>
          <w:color w:val="000000" w:themeColor="text1"/>
          <w:sz w:val="16"/>
          <w:szCs w:val="16"/>
        </w:rPr>
      </w:pPr>
    </w:p>
    <w:p w14:paraId="66732D4C"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22 августа 1942 советские войска ликвидировали немецкий десант, высадившийся в тылу под Сталинградом (4962).</w:t>
      </w:r>
    </w:p>
    <w:p w14:paraId="6B9D9EB0" w14:textId="77777777" w:rsidR="00AE7191" w:rsidRPr="001E2C69" w:rsidRDefault="00AE7191" w:rsidP="00722885">
      <w:pPr>
        <w:pStyle w:val="Iauiue"/>
        <w:tabs>
          <w:tab w:val="left" w:pos="11199"/>
        </w:tabs>
        <w:jc w:val="both"/>
        <w:rPr>
          <w:color w:val="000000" w:themeColor="text1"/>
          <w:sz w:val="16"/>
          <w:szCs w:val="16"/>
        </w:rPr>
      </w:pPr>
    </w:p>
    <w:p w14:paraId="18DDBD3A"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lang w:val="en-US"/>
        </w:rPr>
        <w:t>August 22, 1942: The advance of 17.Armee (Ruoff) toward the Black Sea port of Suchum west of the Caucasus bogs down. A platoon of 1.Gebirgs-Division hoists the German war flag on the top of Mt. Elbrus, the highest peak in the Caucasus (3819).</w:t>
      </w:r>
    </w:p>
    <w:p w14:paraId="0DB11425" w14:textId="77777777" w:rsidR="00AE7191" w:rsidRPr="001E2C69" w:rsidRDefault="00AE7191" w:rsidP="00722885">
      <w:pPr>
        <w:pStyle w:val="Iauiue"/>
        <w:jc w:val="both"/>
        <w:rPr>
          <w:color w:val="000000" w:themeColor="text1"/>
          <w:sz w:val="16"/>
          <w:szCs w:val="16"/>
          <w:lang w:val="en-US"/>
        </w:rPr>
      </w:pPr>
    </w:p>
    <w:p w14:paraId="5D5E7A2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22 августа 1942 остановилось наступление 17А (Руоф) на Сухуми. 1 горная дивизия водрузила флаг на Эльбрусе (3819).</w:t>
      </w:r>
    </w:p>
    <w:p w14:paraId="0C80F22D" w14:textId="77777777" w:rsidR="00AE7191" w:rsidRPr="001E2C69" w:rsidRDefault="00AE7191" w:rsidP="00722885">
      <w:pPr>
        <w:pStyle w:val="Iauiue"/>
        <w:jc w:val="both"/>
        <w:rPr>
          <w:color w:val="000000" w:themeColor="text1"/>
          <w:sz w:val="16"/>
          <w:szCs w:val="16"/>
        </w:rPr>
      </w:pPr>
    </w:p>
    <w:p w14:paraId="49D7712D"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Жизнь и внутренняя политика:</w:t>
      </w:r>
    </w:p>
    <w:p w14:paraId="691DBA77" w14:textId="77777777" w:rsidR="00AE7191" w:rsidRPr="001E2C69" w:rsidRDefault="00AE7191" w:rsidP="00722885">
      <w:pPr>
        <w:pStyle w:val="Iauiue"/>
        <w:jc w:val="both"/>
        <w:rPr>
          <w:iCs/>
          <w:color w:val="000000" w:themeColor="text1"/>
          <w:sz w:val="16"/>
          <w:szCs w:val="16"/>
        </w:rPr>
      </w:pPr>
    </w:p>
    <w:p w14:paraId="34874F62"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22 августа 1942 вышло Распоряжение ГКО № 2201 [Об отгрузке угля Москве.] (7051, 13).</w:t>
      </w:r>
    </w:p>
    <w:p w14:paraId="45FD2882" w14:textId="77777777" w:rsidR="00AE7191" w:rsidRPr="001E2C69" w:rsidRDefault="00AE7191" w:rsidP="00722885">
      <w:pPr>
        <w:pStyle w:val="Iauiue"/>
        <w:tabs>
          <w:tab w:val="left" w:pos="11199"/>
        </w:tabs>
        <w:jc w:val="both"/>
        <w:rPr>
          <w:color w:val="000000" w:themeColor="text1"/>
          <w:sz w:val="16"/>
          <w:szCs w:val="16"/>
        </w:rPr>
      </w:pPr>
    </w:p>
    <w:p w14:paraId="1C07EF20"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Внешняя политика:</w:t>
      </w:r>
    </w:p>
    <w:p w14:paraId="776D67AD" w14:textId="77777777" w:rsidR="00AE7191" w:rsidRPr="001E2C69" w:rsidRDefault="00AE7191" w:rsidP="00722885">
      <w:pPr>
        <w:pStyle w:val="Iauiue"/>
        <w:jc w:val="both"/>
        <w:rPr>
          <w:iCs/>
          <w:color w:val="000000" w:themeColor="text1"/>
          <w:sz w:val="16"/>
          <w:szCs w:val="16"/>
        </w:rPr>
      </w:pPr>
    </w:p>
    <w:p w14:paraId="3B2F5BD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22 августа 1942 года было отправлено:</w:t>
      </w:r>
    </w:p>
    <w:p w14:paraId="22E455F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 В. СТАЛИН Ф. РУЗВЕЛЬТУ *</w:t>
      </w:r>
    </w:p>
    <w:p w14:paraId="2CC2203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Получил Ваше послание от 19 августа. Я также выражаю сожаление, что Вы не смогли принять участие в беседах, которые я недавно имел с господином Черчиллем.</w:t>
      </w:r>
    </w:p>
    <w:p w14:paraId="2E5BE9F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связи с Вашим замечанием об отправке в августе месяце из Соединенных Штатов танков и военных материалов я хотел бы подчеркнуть нашу особую заинтересованность в данное время в получении из США самолетов и других видов вооружения, а также грузовиков в возможно большем количестве. Вместе с тем я надеюсь, что будут приняты все меры для обеспечения быстрейшей доставки грузов в Советский Союз, особенно северным морским путем (7430).</w:t>
      </w:r>
    </w:p>
    <w:p w14:paraId="172BF48A" w14:textId="77777777" w:rsidR="00AE7191" w:rsidRPr="001E2C69" w:rsidRDefault="00AE7191" w:rsidP="00722885">
      <w:pPr>
        <w:pStyle w:val="Iauiue"/>
        <w:jc w:val="both"/>
        <w:rPr>
          <w:color w:val="000000" w:themeColor="text1"/>
          <w:sz w:val="16"/>
          <w:szCs w:val="16"/>
        </w:rPr>
      </w:pPr>
    </w:p>
    <w:p w14:paraId="0C510802"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1BACFF35" w14:textId="77777777" w:rsidR="00AE7191" w:rsidRPr="001E2C69" w:rsidRDefault="00AE7191" w:rsidP="00722885">
      <w:pPr>
        <w:pStyle w:val="Iauiue"/>
        <w:jc w:val="both"/>
        <w:rPr>
          <w:iCs/>
          <w:color w:val="000000" w:themeColor="text1"/>
          <w:sz w:val="16"/>
          <w:szCs w:val="16"/>
        </w:rPr>
      </w:pPr>
    </w:p>
    <w:p w14:paraId="56C75CDC"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22 августа 1942 Бразилия объявила войну Германии и Италии (4962).</w:t>
      </w:r>
    </w:p>
    <w:p w14:paraId="39423E23" w14:textId="77777777" w:rsidR="00AE7191" w:rsidRPr="001E2C69" w:rsidRDefault="00AE7191" w:rsidP="00722885">
      <w:pPr>
        <w:pStyle w:val="Iauiue"/>
        <w:tabs>
          <w:tab w:val="left" w:pos="11199"/>
        </w:tabs>
        <w:jc w:val="both"/>
        <w:rPr>
          <w:color w:val="000000" w:themeColor="text1"/>
          <w:sz w:val="16"/>
          <w:szCs w:val="16"/>
        </w:rPr>
      </w:pPr>
    </w:p>
    <w:p w14:paraId="3D5692D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22 августа 1942 Бразилия объявила войну Германии и Италии (2245,8).</w:t>
      </w:r>
    </w:p>
    <w:p w14:paraId="3D4D136F" w14:textId="77777777" w:rsidR="00AE7191" w:rsidRPr="001E2C69" w:rsidRDefault="00AE7191" w:rsidP="00722885">
      <w:pPr>
        <w:pStyle w:val="Iauiue"/>
        <w:jc w:val="both"/>
        <w:rPr>
          <w:color w:val="000000" w:themeColor="text1"/>
          <w:sz w:val="16"/>
          <w:szCs w:val="16"/>
        </w:rPr>
      </w:pPr>
    </w:p>
    <w:p w14:paraId="50EF596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22 августа 1942 Бразилия объявила войну Германии и стала одной из 6 южноамериканских стран, пославших войска в Европу (2100).</w:t>
      </w:r>
    </w:p>
    <w:p w14:paraId="094664BF" w14:textId="77777777" w:rsidR="00AE7191" w:rsidRPr="001E2C69" w:rsidRDefault="00AE7191" w:rsidP="00722885">
      <w:pPr>
        <w:pStyle w:val="Iauiue"/>
        <w:jc w:val="both"/>
        <w:rPr>
          <w:color w:val="000000" w:themeColor="text1"/>
          <w:sz w:val="16"/>
          <w:szCs w:val="16"/>
        </w:rPr>
      </w:pPr>
    </w:p>
    <w:p w14:paraId="6C93A510"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7730410F" w14:textId="77777777" w:rsidR="00AE7191" w:rsidRPr="001E2C69" w:rsidRDefault="00AE7191" w:rsidP="00722885">
      <w:pPr>
        <w:pStyle w:val="Iauiue"/>
        <w:jc w:val="both"/>
        <w:rPr>
          <w:iCs/>
          <w:color w:val="000000" w:themeColor="text1"/>
          <w:sz w:val="16"/>
          <w:szCs w:val="16"/>
        </w:rPr>
      </w:pPr>
    </w:p>
    <w:p w14:paraId="113CCC2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августа 1942 г. на основании приказа зам. наркома авиационной промышленности П. В. Дементьева строительство завода № 130 со всеми зданиями, сооружениями и оборудованием было передано на баланс завода № 126. На директора завода № 126 Д.А. Тимофееева возлагалась эксплуатация и достройка завода № 130 (12211).</w:t>
      </w:r>
    </w:p>
    <w:p w14:paraId="647160DD"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C9DF6EB"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03168026" w14:textId="77777777" w:rsidR="00AE7191" w:rsidRPr="001E2C69" w:rsidRDefault="00AE7191" w:rsidP="00722885">
      <w:pPr>
        <w:pStyle w:val="Iauiue"/>
        <w:jc w:val="both"/>
        <w:rPr>
          <w:iCs/>
          <w:color w:val="000000" w:themeColor="text1"/>
          <w:sz w:val="16"/>
          <w:szCs w:val="16"/>
        </w:rPr>
      </w:pPr>
    </w:p>
    <w:p w14:paraId="113EDF2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августа 1942 г., когда фронт вплотную приблизился к Сталинграду, продолжалось производство танков на СТЗ, несмотря на авиационные налеты. Всего на СТЗ в 1942 г. до остановки производства было изготовлено 2553 танко</w:t>
      </w:r>
      <w:r w:rsidRPr="001E2C69">
        <w:rPr>
          <w:rFonts w:ascii="Times New Roman" w:hAnsi="Times New Roman"/>
          <w:color w:val="000000" w:themeColor="text1"/>
          <w:sz w:val="16"/>
          <w:szCs w:val="16"/>
        </w:rPr>
        <w:softHyphen/>
        <w:t>вых дизеля. До 5 октября 1942 г., когда бои еще не шли непосредствен</w:t>
      </w:r>
      <w:r w:rsidRPr="001E2C69">
        <w:rPr>
          <w:rFonts w:ascii="Times New Roman" w:hAnsi="Times New Roman"/>
          <w:color w:val="000000" w:themeColor="text1"/>
          <w:sz w:val="16"/>
          <w:szCs w:val="16"/>
        </w:rPr>
        <w:softHyphen/>
        <w:t>но на территории цехов, завод производил ремонтные работы по восста</w:t>
      </w:r>
      <w:r w:rsidRPr="001E2C69">
        <w:rPr>
          <w:rFonts w:ascii="Times New Roman" w:hAnsi="Times New Roman"/>
          <w:color w:val="000000" w:themeColor="text1"/>
          <w:sz w:val="16"/>
          <w:szCs w:val="16"/>
        </w:rPr>
        <w:softHyphen/>
        <w:t>новлению танков. Уцелевшие оборудование и производственные кадры были эвакуированы в Барнаул, где строился завод по производству тан</w:t>
      </w:r>
      <w:r w:rsidRPr="001E2C69">
        <w:rPr>
          <w:rFonts w:ascii="Times New Roman" w:hAnsi="Times New Roman"/>
          <w:color w:val="000000" w:themeColor="text1"/>
          <w:sz w:val="16"/>
          <w:szCs w:val="16"/>
        </w:rPr>
        <w:softHyphen/>
        <w:t>ковых дизелей. К выпуску дизелей В-2 Сталинградский тракторный за</w:t>
      </w:r>
      <w:r w:rsidRPr="001E2C69">
        <w:rPr>
          <w:rFonts w:ascii="Times New Roman" w:hAnsi="Times New Roman"/>
          <w:color w:val="000000" w:themeColor="text1"/>
          <w:sz w:val="16"/>
          <w:szCs w:val="16"/>
        </w:rPr>
        <w:softHyphen/>
        <w:t>вод вернулся в 1943 г. после окончания сражения за Сталинград и вос</w:t>
      </w:r>
      <w:r w:rsidRPr="001E2C69">
        <w:rPr>
          <w:rFonts w:ascii="Times New Roman" w:hAnsi="Times New Roman"/>
          <w:color w:val="000000" w:themeColor="text1"/>
          <w:sz w:val="16"/>
          <w:szCs w:val="16"/>
        </w:rPr>
        <w:softHyphen/>
        <w:t>становления разрушенных цехов (10703).</w:t>
      </w:r>
    </w:p>
    <w:p w14:paraId="3403177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75A6E65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23 августа по 1 сентября 1942 года, по докладу о работе СТЗ в 1942 году, подписанному директором завода Задорожным, было передано Красной Армии: танков 119, изготовлено арттягачей - 24, выпущено дизель-моторов - 55, отремонтировано танков - 14. В сентябре совместно с ПРБ было выпущено новых танков - 16, отремонтировано - 91 и 40 моторов».</w:t>
      </w:r>
    </w:p>
    <w:p w14:paraId="1EE0BDA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Есть и другие документы о работе завода за сентябрь 1942 года. Например, отчет о работе корпуса № 5 о работе с 23 августа по 12 сентября, направленный на имя заместителя наркома танковой промышленности А. Горегляда:</w:t>
      </w:r>
    </w:p>
    <w:p w14:paraId="2ED976B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момента подхода немецких войск к заводу, бомбежек и обстрелов, корпусом № 5 проделана [следующая работа] работа:</w:t>
      </w:r>
    </w:p>
    <w:p w14:paraId="67ACB87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выпуск новых танков - 68 штук, отремонтировано - 23. Кроме этого оказана помощь Красной Армии в ремонте путем посылки рабочих в ремонтные бригады, а также выдачей запчастей и различным оборудованием. Работа протекала во фронтовых условиях под бомбежкой и обстрелом. Хорошие образцы работы показали старшие мастера Сафонов М.И., Пастухов, Шамурин, Москвичев. Козлов. За промежуток указанного времени в корпус попало 6 фугасных бомб, около 154 зажигательных бомб и один снаряд. Сгорело газойль хранилище, разрушена в двух шестах крыша. Работа в цехе в настоящее время по ремонту танков производится с прибывающими на завод танковыми экипажами».</w:t>
      </w:r>
    </w:p>
    <w:p w14:paraId="682D0FC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Как видно из приведенных документов, данные о выпуске тридцатьчетверок на СТЗ в августе - сентябре 1942 года довольно сильно разняться. Дело в том, что часть из принятых военпредом 250 Т-34, показанных в сведениях за август, доделы- аалась и окончательно передавалась заказчику позже, в первой половине сентября, а в некоторых документах завода эти уже принятые машины проходили как новые. Последние 14 танков Т-34, собранных на СТЗ в сентябре, фигурируют в докладе Задорожного.</w:t>
      </w:r>
    </w:p>
    <w:p w14:paraId="23C35D1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Окончательно работы на Сталинградском тракторном заводе были прекращены приказом наркомтан- копрома от 5 октября 1942 года:</w:t>
      </w:r>
    </w:p>
    <w:p w14:paraId="18D7621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«Развертывание боевых действий в непосредственной близости к заводу, систематические и непрерывные бомбардировки, минометный и артиллерийский обстрел не позволяют производить на СТЗ каких бы то ни было работ. В связи с этим Наркомат танковой промышленности СССР считает нецелесообразным дальнейшее пребывание на территории завода оставшихся там высококвалифицированных рабочих завода и отзывает их для использования на других предприятиях НКТП» (12217).</w:t>
      </w:r>
    </w:p>
    <w:p w14:paraId="19DA2C26"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798CDB9"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августа 1942</w:t>
      </w:r>
    </w:p>
    <w:p w14:paraId="3C192646"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94 лист 56 – 51</w:t>
      </w:r>
    </w:p>
    <w:p w14:paraId="2BDE0CD8"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СОВ.СЕКРЕТНО.</w:t>
      </w:r>
    </w:p>
    <w:p w14:paraId="009F83E7"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w:t>
      </w:r>
    </w:p>
    <w:p w14:paraId="0293E8B3"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НАРОДНОГО КОМИССАРА ТАНКОВОЙ ПРОМЫШЛЕННОСТИ СОЮЗА ССР</w:t>
      </w:r>
    </w:p>
    <w:p w14:paraId="7F52BBD8"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616сс</w:t>
      </w:r>
    </w:p>
    <w:p w14:paraId="23FD483D"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Августа 1942 г.</w:t>
      </w:r>
    </w:p>
    <w:p w14:paraId="46C91391"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Указание тов. СТАЛИНА об обеспечении равномерной работы заводов по выпуску танков, дизелей, корпусов и электрооборудования в августе месяце выполняется неудовлетворительно. Директора некоторых заводов не приняли необходимых мер к ежесуточному выполнению графика сдачи продукции для фронта.</w:t>
      </w:r>
    </w:p>
    <w:p w14:paraId="2B007F7D"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нас, танкостроителей, указание тов. СТАЛИНА является непреложным законом и экзаменом на умение руководить делом в военное время. Сентябрь месяц должен стать поворотным в работе заводов. План должен выполняться по установленному графику, начиная с 1-го сентября.</w:t>
      </w:r>
    </w:p>
    <w:p w14:paraId="4D27A1C5"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ПРИКАЗЫВАЮ:</w:t>
      </w:r>
    </w:p>
    <w:p w14:paraId="0475E7B9"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Директорам заводов провести хозяйственные активы заводов, срок 25 – 26 августа с.г. с вопросом о подготовке заводов к выполнению указания тов. СТАЛИНА о равномерном выпуске танков, дизелей и корпусов в сентябре месяце. Докладчиком по этому вопросу выступает директор завода. Краткие тезисы доклада должны быть переданы в Наркомат по ВЧ в ночь с 24 на 25 августа.</w:t>
      </w:r>
    </w:p>
    <w:p w14:paraId="3A475FED"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В подготовке и проведении хозяйственного актива на Кировском заводе буду участвовать лично;</w:t>
      </w:r>
    </w:p>
    <w:p w14:paraId="5F37D805"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заводе № 183 – Замнаркома тов. ЖЕРЕХОВ,</w:t>
      </w:r>
    </w:p>
    <w:p w14:paraId="7C67183F"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СТЗ и заводе № 264 – Замнаркома тов. ГОРЕГЛЯД,</w:t>
      </w:r>
    </w:p>
    <w:p w14:paraId="1A1A2053"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заводе № 112 – Замнаркома тов. ПОПОВ,</w:t>
      </w:r>
    </w:p>
    <w:p w14:paraId="7756D84E"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Уралмашзаводе и № 76 – Замнаркома тов. КОТИН,</w:t>
      </w:r>
    </w:p>
    <w:p w14:paraId="59B52577"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заводе № 38 – Замнаркома тов. СТЕПАНОВ,</w:t>
      </w:r>
    </w:p>
    <w:p w14:paraId="156B2D43"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заводах №№ 200 и 255 – Замнаркома тов. ЩЕРБАКОВ.</w:t>
      </w:r>
    </w:p>
    <w:p w14:paraId="4BB40D73"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Начальнику 3 Главного Управления т. ХАБАХПАШЕВУ командировать на заводы Главка уполномоченных для подготовки и проведения активов.</w:t>
      </w:r>
    </w:p>
    <w:p w14:paraId="5574D1C3"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Обязать директоров заводов в оставшиеся дни августа сосредоточить основное внимание на создании заделов в производстве. Переключить основные средства и силы заводов на улучшение работы литейных, кузнечных и других заготовительных цехов.</w:t>
      </w:r>
    </w:p>
    <w:p w14:paraId="7DA00FA3"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Установить, что за равномерное выполнение ежесуточных графиков в каждой декаде сентября месяца директора, главные инженеры, заместители директоров, начальники производства, главные диспетчеры, начальники цехов и основных отделов заводов получают премию, каждый по месячному окладу. Премии за сентябрь выплатить в первой декаде октября мес. при условии выполнения полностью месячного плана.</w:t>
      </w:r>
    </w:p>
    <w:p w14:paraId="0084CC57"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При условии равномерного выполнения плана в первой декаде сентября мес. по установленному графику выделить в распоряжение директоров заводов и Начальника 3 Главного Управления для премирования командного состава и особо отличившихся стахановцев:</w:t>
      </w:r>
    </w:p>
    <w:p w14:paraId="019FDD48"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Предупредить директоров заводов и довести до сведения активов заводов, что:</w:t>
      </w:r>
    </w:p>
    <w:p w14:paraId="6CF8C50F"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Наркомат при присуждении переходящих знамен и выделении средств на премирование заводов по итогам августа мес. будет исключительно обращать внимание на выполнение плана первых дней сентября по установленному графику и в случае невыполнения ежесуточных графиков сдачи танков, дизелей и корпусов завод не будет премирован и, тем более, не получит переходящего знамени ГОКО;</w:t>
      </w:r>
    </w:p>
    <w:p w14:paraId="1EACB4BE"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за невыполнение ежесуточного графика выпуска и сдачи машин в первой декаде сентября мес. с заводов будет снято 50 % вторых обедов и промтоварных фондов, которые будут передаваться заводам, выполняющим план по графику.</w:t>
      </w:r>
    </w:p>
    <w:p w14:paraId="629E918C"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Установить по заводам следующий график ежесуточного выпуска танков в сентябре мес.:</w:t>
      </w:r>
    </w:p>
    <w:p w14:paraId="78428E5C"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Утвердить по заводам следующий график ежесуточного выпуска дизелей В-2 на сентябрь 1942 г.:</w:t>
      </w:r>
    </w:p>
    <w:p w14:paraId="2C5C4BD8"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Утвердить по заводам Кировскому и СТЗ график ежесуточного выпуска топливной аппаратуры для дизелей В-2 и поставки их заводам Кировскому, СТЗ и № 76 в сентябре 1942 г.:</w:t>
      </w:r>
    </w:p>
    <w:p w14:paraId="6BD67103"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Утвердить по заводам следующий график ежесуточного выпуска корпусов для танков в сентябре 1942 г.:</w:t>
      </w:r>
    </w:p>
    <w:p w14:paraId="1CBA6E3D"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Утвердить по заводам следующий график ежесуточного выпуска основного танкового электрооборудования в сентябре 1942 г.:</w:t>
      </w:r>
    </w:p>
    <w:p w14:paraId="3723CE3C"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13. Выражаю уверенность, что руководители и весь коллектив партийных и непартийных большевиков заводов, понимая значение указания тов. СТАЛИНА в ответственнейший период Отечественной войны с немецко-фашистскими захватчиками, приложат все свои силы и энергию к обеспечению равномерной работы заводов и обеспечат выполнение суточных графиков выпуска танков, дизелей, корпусов и электрооборудования, начиная с 1 сентября с.г.</w:t>
      </w:r>
    </w:p>
    <w:p w14:paraId="73ABB6D9"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ТАНКОВОЙ ПРОМЫШЛЕННОСТИ СОЮЗА ССР</w:t>
      </w:r>
    </w:p>
    <w:p w14:paraId="1D92A7FB"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ГЕРОЙ СОЦИАЛИСТИЧЕСКОГО ТРУДА</w:t>
      </w:r>
    </w:p>
    <w:p w14:paraId="1E43197C"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И. ЗАЛЬЦМАН</w:t>
      </w:r>
    </w:p>
    <w:p w14:paraId="0F356099"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Передал по ВЧ Герасимов</w:t>
      </w:r>
    </w:p>
    <w:p w14:paraId="0DC78A0D"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Приняла Кухоль</w:t>
      </w:r>
    </w:p>
    <w:p w14:paraId="3B07DE9A"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23.VIII.42 г.</w:t>
      </w:r>
    </w:p>
    <w:p w14:paraId="37F39788" w14:textId="77777777" w:rsidR="008272E4" w:rsidRPr="008A2E5A" w:rsidRDefault="008272E4" w:rsidP="008272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Отпечатано 2 экз. (23504)</w:t>
      </w:r>
    </w:p>
    <w:p w14:paraId="1709113A" w14:textId="77777777" w:rsidR="008272E4" w:rsidRPr="008A2E5A" w:rsidRDefault="008272E4" w:rsidP="008272E4">
      <w:pPr>
        <w:spacing w:after="0" w:line="240" w:lineRule="auto"/>
        <w:jc w:val="both"/>
        <w:rPr>
          <w:rFonts w:ascii="Times New Roman" w:hAnsi="Times New Roman"/>
          <w:color w:val="0070C0"/>
          <w:sz w:val="16"/>
          <w:szCs w:val="16"/>
        </w:rPr>
      </w:pPr>
    </w:p>
    <w:p w14:paraId="61DC7EF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августа 1942 вышло Постановление ГКО № 2202 О загрузке заготовительных цехов танковых заводов. РГАНИР, Фонд ГКО, д. 53, лл. 14-15, 16-43 (11012).</w:t>
      </w:r>
    </w:p>
    <w:p w14:paraId="62FF259D"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152E31B"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23 августа 1942 вышло Постановление ГКО № 2204 [О возвращении судов, переданных для эвакуации раненых и больных, Наркомречфлоту.] (7051, 46,47).</w:t>
      </w:r>
    </w:p>
    <w:p w14:paraId="13DF724E" w14:textId="77777777" w:rsidR="00AE7191" w:rsidRPr="001E2C69" w:rsidRDefault="00AE7191" w:rsidP="00722885">
      <w:pPr>
        <w:pStyle w:val="Iauiue"/>
        <w:tabs>
          <w:tab w:val="left" w:pos="11199"/>
        </w:tabs>
        <w:jc w:val="both"/>
        <w:rPr>
          <w:color w:val="000000" w:themeColor="text1"/>
          <w:sz w:val="16"/>
          <w:szCs w:val="16"/>
        </w:rPr>
      </w:pPr>
    </w:p>
    <w:p w14:paraId="7E30D89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августа 1942 вышло Постановление ГКО № 2205 О закладке в запас теплых вещей для обеспечения Красной Армии на зиму 1942-43 гг. РГАНИР, Фонд ГКО, д. 53, лл. 48, 49 (11012).</w:t>
      </w:r>
    </w:p>
    <w:p w14:paraId="32F2639D"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7E44598"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23 августа 1942 вышло Постановление ГКО № 2207 О подготовке и проведении снегоборьбы на железнодорожном транспорте в зиму 1942-1943 гг. (7051, 70-72).</w:t>
      </w:r>
    </w:p>
    <w:p w14:paraId="2B4E9D9B" w14:textId="77777777" w:rsidR="00AE7191" w:rsidRPr="001E2C69" w:rsidRDefault="00AE7191" w:rsidP="00722885">
      <w:pPr>
        <w:pStyle w:val="Iauiue"/>
        <w:tabs>
          <w:tab w:val="left" w:pos="11199"/>
        </w:tabs>
        <w:jc w:val="both"/>
        <w:rPr>
          <w:color w:val="000000" w:themeColor="text1"/>
          <w:sz w:val="16"/>
          <w:szCs w:val="16"/>
        </w:rPr>
      </w:pPr>
    </w:p>
    <w:p w14:paraId="0200FE6E"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23 августа 1942 вышло Постановление ГКО № 2208 О мероприятиях по сокращению груженого парка вагонов и ускорению продвижения грузов по сети железных дорог. (7051, 73-74).</w:t>
      </w:r>
    </w:p>
    <w:p w14:paraId="7B2D817F" w14:textId="77777777" w:rsidR="00AE7191" w:rsidRPr="001E2C69" w:rsidRDefault="00AE7191" w:rsidP="00722885">
      <w:pPr>
        <w:pStyle w:val="Iauiue"/>
        <w:tabs>
          <w:tab w:val="left" w:pos="11199"/>
        </w:tabs>
        <w:jc w:val="both"/>
        <w:rPr>
          <w:color w:val="000000" w:themeColor="text1"/>
          <w:sz w:val="16"/>
          <w:szCs w:val="16"/>
        </w:rPr>
      </w:pPr>
    </w:p>
    <w:p w14:paraId="1BCDE68B"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45122136" w14:textId="77777777" w:rsidR="00AE7191" w:rsidRPr="001E2C69" w:rsidRDefault="00AE7191" w:rsidP="00722885">
      <w:pPr>
        <w:pStyle w:val="Iauiue"/>
        <w:jc w:val="both"/>
        <w:rPr>
          <w:iCs/>
          <w:color w:val="000000" w:themeColor="text1"/>
          <w:sz w:val="16"/>
          <w:szCs w:val="16"/>
        </w:rPr>
      </w:pPr>
    </w:p>
    <w:p w14:paraId="6390EFBA"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августа в 1942 году утреннее сообщение Совинформбюро:</w:t>
      </w:r>
    </w:p>
    <w:p w14:paraId="4A49ADFA"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23 августа наши войска вели бои с противником в районах юго-восточнее Клетская, северо-восточнее Котельниково, юго-восточнее Пятигорска и южнее Краснодара.</w:t>
      </w:r>
    </w:p>
    <w:p w14:paraId="07A42FE2"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40CD9F55"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наши войска вели активные боевые действия. В ходе этих боёв немцы потеряли убитыми до 800 солдат и офицеров, 14 танков и много другого вооружения. Захвачены пленные. Юго-восточнее Клетской противник предпринял ряд попыток переправиться через Дон и закрепиться на восточном берегу реки. Наши части отбивают атаки гитлеровцев и наносят им большие потери. Группа бойцов под командованием политрука Егошина пробралась в населённый пункт, где расположилась итальянская часть, и внезапно ударила по врагу. На улицах этого населённого пункта осталось свыше 200 убитых итальянцев. Младшие командиры Лысаков и Солдатенко из противотанкового ружья подбили два немецких танка. Младший лейтенант Озеров с пятью автоматчиками уничтожил до взвода гитлеровцев.</w:t>
      </w:r>
    </w:p>
    <w:p w14:paraId="2B665C7E"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продолжались напряжённые бои. На участке части, где командиром тов. Смольянов, немцы бросили в наступление значительные силы пехоты и танков. Наши бойцы отбили атаку гитлеровцев и истребили несколько сот вражеских солдат. Подбито 8 немецких танков.</w:t>
      </w:r>
    </w:p>
    <w:p w14:paraId="10F714BC"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Краснодара наши войска вели оборонительные бои против немецко-фашистских войск. Бойцы Н-ской части совершили ночную вылазку в расположение противника и уничтожили не менее 150 румынских солдат и офицеров. Взорвано 2 орудия, 7 автомашин, и захвачены трофеи. На другом участке наши войска были потеснены численно превосходящими силами противника.</w:t>
      </w:r>
    </w:p>
    <w:p w14:paraId="71E3244B"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Юго-восточнее Пятигорска наступающая колонна противника была накрыта огнём нашей артиллерии. Уничтожено не менее 300 гитлеровцев, 3 бронемашины, 25 автомашин и 17 миномётов.</w:t>
      </w:r>
    </w:p>
    <w:p w14:paraId="31F453B3"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на западном берегу Дона, наши части вели уличные бои в одном населённом пункте. Подброшенные на этот участок венгерские части вчера перешли в наступление. Массированным пулемётным и миномётным огнём противник был отброшен в исходное положение. В последних боях наши войска нанесли серьёзный урон действующей здесь венгерской пехотной дивизии, потерявшей половину своего личного состава.</w:t>
      </w:r>
    </w:p>
    <w:p w14:paraId="053BB6A6"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черниговских партизан под командованием тов. Ф., за месяц боевых действий истребил 150 гитлеровцев, взорвал 6 мостов и уничтожил 2 автомашины. Партизаны захватили 90 винтовок, 8 пулемётов и 8.000 патронов.</w:t>
      </w:r>
    </w:p>
    <w:p w14:paraId="5EDAAFC1"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5 роты 187 полка 87 немецкой пехотной дивизии Эрих Вейхельд рассказал: «В начале войны против России немецкие газеты и радио твердили, что немцы воюют якобы для того, чтобы защитить свою родину. Теперь солдатам прямо заявляют: мы воюем за Украину и Прибалтику, за Крым и Кавказ, за Дон и Кубань и другие плодородные земли. Офицеров и даже рядовых солдат подгоняют всевозможными посулами. Нам обещают землю, сельскохозяйственные машины, автомобиль и другие блага. Многих это прельщает, и они лезут очертя голову. Но русские упорно сражаются и без боя ничего не уступают. Особенно тяжёлые опустошения производят в наших рядах советские миномёты. В минуты, когда они действуют, даже отъявленные нацисты перестают думать об имениях и должностях. Каждый старается спасти свою шкуру. В последнем бою от нашей роты сохранилось только несколько человек, а все остальные погибли».</w:t>
      </w:r>
    </w:p>
    <w:p w14:paraId="06957AD3"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Жители деревни Новая Трупня, Калининской области, составили акт о зверствах немецко-фашистских мерзавцев. В акте говорится: «10 месяцев немцы бесчинствовалив нашем селе. За это время они отобрали у крестьян всё продовольствие, скот, одежду и обувь. Всё население было обречено на голодную смерть. Немцы замучили, расстреляли или повесили колхозников Сергеева А.А., Баханову М.П., Сморгина И.С., Строгову А.Т., Строгову М.П. и многих других».</w:t>
      </w:r>
    </w:p>
    <w:p w14:paraId="2F959FDC"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Бельгийские патриоты сожгли в окрестностях Жюме два склада с хлебом, предназначенным для отправки в Германию. Близ Филиппвиля в казарму эсэсовцевб ыло брошено 3 гранаты. Убито 7 и ранено 9 гитлеровцев.» (14991).</w:t>
      </w:r>
    </w:p>
    <w:p w14:paraId="1A227F09"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38703404"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августа в 1942 году вечернее сообщение Совинформбюро:</w:t>
      </w:r>
    </w:p>
    <w:p w14:paraId="43885CB0"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23 августа наши войска вели бои в районах юго-восточнее Клетская, северо-восточнее Котельниково, юго-восточнее Пятигорска и южнее Краснодара.</w:t>
      </w:r>
    </w:p>
    <w:p w14:paraId="6158A09B"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20163DE4"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истекшую неделю, с 16 по 22 августа включительно, в воздушных боях, на аэродромах противника и огнём зенитной артиллерии уничтожено 347 немецких самолётов. Наши потери за этот же период— 194 самолёта.</w:t>
      </w:r>
    </w:p>
    <w:p w14:paraId="105116AB"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22 августа частями нашей авиации на различных участках фронта уничтожено или повреждено до 30 немецких танков, свыше 200 автомашин с войсками и грузами, до 30 подвод с боеприпасами, 4 бензозаправщика, подавлен огонь 10 батарей полевой и зенитной артиллерии, взорвано 3 склада боеприпасов и 2 склада горючего, рассеяно и частью уничтожено до двух батальонов пехоты противника.</w:t>
      </w:r>
    </w:p>
    <w:p w14:paraId="11DF5280"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наши войска вели активные боевые действия и улучшили свои позиции. Гвардейцы Н-ской части выбили немцев из нескольких населённых пунктов. Уничтожено 11 немецких танков, 20 автомашин и сбито ружейно-пулемётным огнём 4 самолёта противника. В районе юго-восточнее Клетской продолжались ожесточённые бои за переправы на Дону. На одном участке противнику удалось переправить через реку войска и танки. Наши войска ведут с этой группой противника ожесточённый бой. На другом участке происходит ожесточённое сражение с итальянской дивизией «Челере». Наша пехота и танки нанесли наёмникам Гитлера крепкие удары и перебили не менее половины личного состава этой дивизии.</w:t>
      </w:r>
    </w:p>
    <w:p w14:paraId="3F6CAAB4"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наши войска вели напряжённые бои с крупными силами танков и пехоты противника. На отдельных участках немцам ценою огромных потерь удалось продвинуться вперёд. На позиции Н-ской части наступало до двух полков пехоты и до 70 немецких танков. Наши бойцы встретили врага артиллерийским огнём и уничтожили несколько сот гитлеровцев и 16 танков. На другом участке подразделение противотанковых ружей вывело из строя 8 немецких танков. Зенитчики Н-ского полка противовоздушной обороны за 6 дней сбили 12 немецких самолётов.</w:t>
      </w:r>
    </w:p>
    <w:p w14:paraId="46DD89B1"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Краснодара происходили ожесточённые бои с противником. Бойцы Н-ского соединения отбили сильную атаку немцев и нанесли им значительный урон. На поле боя осталось 4 подбитых немецких танка, уничтожено 15 автомашин и до 200 гитлеровцев.</w:t>
      </w:r>
    </w:p>
    <w:p w14:paraId="3BF81E06"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Юго-восточнее Пятигорска наши части вели оборонительные бои с танками и мотопехотой противника.</w:t>
      </w:r>
    </w:p>
    <w:p w14:paraId="38A49409"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Волховском фронте происходили столкновения с небольшими группами противника. На одном участке небольшая группа бойцов, возглавляемая младшим лейтенантом Ториным, стремительным ударом захватила укреплённый рубеж немцев. Противник предпринял ожесточённую контратаку, которая была отбита нашими бойцами. Разведчики под руководством лейтенанта Узина проникли в расположение противника, забросали немецкие блиндажи гранатами и уничтожили 17 гитлеровцев. Разведчики захватили 2 ручных пулемёта, несколько винтовок и пленных.</w:t>
      </w:r>
    </w:p>
    <w:p w14:paraId="1CCFFE87"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ленинградских партизан под командованием тов. У. совершил налёт на гарнизон противника. Истреблено 85 немецко-фашистских оккупантов. Партизаны захватили 6 пулемётов, 2 автомата, много винтовок и патронов.</w:t>
      </w:r>
    </w:p>
    <w:p w14:paraId="7264520A"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Пленный лётчик-ефрейтор самолёта связи Альвин Гойбер рассказал: «Я пробыл на Восточном фронте около месяца. На днях в воздушном бою русские сбили мой самолёт, и я сдался в плен. Я побывал в Польше, Голландии, Дании, Норвегии, Чехии и других странах. Везде, даже в Австрии, все к нам относятся недоброжелательно. Проездом на фронт я несколько дней прожил в Берлине. Недавно в городе снова уменьшили норму выдачи хлеба. Теперь житель Берлина получает в день только 200 граммов суррогатного хлеба».</w:t>
      </w:r>
    </w:p>
    <w:p w14:paraId="0DAC310A"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Сервии (Греция) отряд греческих патриотов совершил нападение на концентрационный лагерь. Партизаны перебили 18 гитлеровцев и освободили более 200 греков, насильно согнанных в этот лагерь для отправки их на работу в Германию.» (14991).</w:t>
      </w:r>
    </w:p>
    <w:p w14:paraId="21E1F339"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29D4FF86" w14:textId="2F91B96A" w:rsidR="00873549" w:rsidRPr="001E2C69" w:rsidRDefault="0087354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августа 1942</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Массовый налет Люфтваффе на Сталинград. При этом задача, поставленная директивой Гитлера от 23 июля, была полностью выполнена. Сталинград, как город и промышленный центр, был уничтожен. Сухая жаркая погода, длительное интенсивное бомбометание, применение немцами большого количества различных зажигательных бомб – все это дало огромный разрушительный эффект. Были полностью выведены из строя такие важные для страны предприятия, как завод «Красный Октябрь» и артиллерийский завод «Баррикады». По неизвестно откуда взявшимся данным, в результате бомбежки погибли свыше 40 тыс. жителей, ещё около 150 тыс. получили ранения. На самом деле подсчётом жертв никто всерьёз не занимался. Равно как и не было известно число мирного населения, находившегося в тот момент в городе. Поэтому говорить о какой-то конкретной цифре невозможно, ясно лишь, что погибших были десятки тысяч (22389).</w:t>
      </w:r>
    </w:p>
    <w:p w14:paraId="6B5B9317" w14:textId="77777777" w:rsidR="00873549" w:rsidRPr="001E2C69" w:rsidRDefault="00873549" w:rsidP="00722885">
      <w:pPr>
        <w:spacing w:after="0" w:line="240" w:lineRule="auto"/>
        <w:jc w:val="both"/>
        <w:rPr>
          <w:rFonts w:ascii="Times New Roman" w:hAnsi="Times New Roman"/>
          <w:color w:val="000000" w:themeColor="text1"/>
          <w:sz w:val="16"/>
          <w:szCs w:val="16"/>
        </w:rPr>
      </w:pPr>
    </w:p>
    <w:p w14:paraId="2E8517DB" w14:textId="77777777" w:rsidR="001C090F" w:rsidRPr="008A2E5A" w:rsidRDefault="001C090F" w:rsidP="001C09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августа 1942 года - самая страшная дата в истории Сталинграда. В этот день город подвергся первой массированной воз</w:t>
      </w:r>
      <w:r w:rsidRPr="008A2E5A">
        <w:rPr>
          <w:rFonts w:ascii="Times New Roman" w:hAnsi="Times New Roman"/>
          <w:color w:val="0070C0"/>
          <w:sz w:val="16"/>
          <w:szCs w:val="16"/>
        </w:rPr>
        <w:softHyphen/>
        <w:t>душной бомбардировке, в ходе которой Чет</w:t>
      </w:r>
      <w:r w:rsidRPr="008A2E5A">
        <w:rPr>
          <w:rFonts w:ascii="Times New Roman" w:hAnsi="Times New Roman"/>
          <w:color w:val="0070C0"/>
          <w:sz w:val="16"/>
          <w:szCs w:val="16"/>
        </w:rPr>
        <w:softHyphen/>
        <w:t>вертый воздушный флот люфтваффе совер</w:t>
      </w:r>
      <w:r w:rsidRPr="008A2E5A">
        <w:rPr>
          <w:rFonts w:ascii="Times New Roman" w:hAnsi="Times New Roman"/>
          <w:color w:val="0070C0"/>
          <w:sz w:val="16"/>
          <w:szCs w:val="16"/>
        </w:rPr>
        <w:softHyphen/>
        <w:t>шил до двух тысяч самолетовылетов. За пол</w:t>
      </w:r>
      <w:r w:rsidRPr="008A2E5A">
        <w:rPr>
          <w:rFonts w:ascii="Times New Roman" w:hAnsi="Times New Roman"/>
          <w:color w:val="0070C0"/>
          <w:sz w:val="16"/>
          <w:szCs w:val="16"/>
        </w:rPr>
        <w:softHyphen/>
        <w:t>дня было уничтожено более половины город</w:t>
      </w:r>
      <w:r w:rsidRPr="008A2E5A">
        <w:rPr>
          <w:rFonts w:ascii="Times New Roman" w:hAnsi="Times New Roman"/>
          <w:color w:val="0070C0"/>
          <w:sz w:val="16"/>
          <w:szCs w:val="16"/>
        </w:rPr>
        <w:softHyphen/>
        <w:t>ского жилого фонда, не считая ущерба про</w:t>
      </w:r>
      <w:r w:rsidRPr="008A2E5A">
        <w:rPr>
          <w:rFonts w:ascii="Times New Roman" w:hAnsi="Times New Roman"/>
          <w:color w:val="0070C0"/>
          <w:sz w:val="16"/>
          <w:szCs w:val="16"/>
        </w:rPr>
        <w:softHyphen/>
        <w:t>мышленным объектам (23587).</w:t>
      </w:r>
    </w:p>
    <w:p w14:paraId="42F10007" w14:textId="77777777" w:rsidR="001C090F" w:rsidRPr="008A2E5A" w:rsidRDefault="001C090F" w:rsidP="001C090F">
      <w:pPr>
        <w:spacing w:after="0" w:line="240" w:lineRule="auto"/>
        <w:jc w:val="both"/>
        <w:rPr>
          <w:rFonts w:ascii="Times New Roman" w:hAnsi="Times New Roman"/>
          <w:color w:val="0070C0"/>
          <w:sz w:val="16"/>
          <w:szCs w:val="16"/>
        </w:rPr>
      </w:pPr>
    </w:p>
    <w:p w14:paraId="743C9A16"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августа в 1942 году 14-й танковый корпус 6-й немецкой армии прорвался к Волге севернее Сталинграда в районе Ерзовка. Советские войска отразили удар противника на Сталинград с севера вдоль Волги. Авиация противника совершила на город около 2 тысяч самолёто-вылетов. Противник прорвал оборону войск Юго-Восточного фронта и вклинился в расположение советских войск между железной дорогой Сальск-Красноармейск и озером Цаца на глубину до 25 км (14991).</w:t>
      </w:r>
    </w:p>
    <w:p w14:paraId="53F029AA"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3F7B3959"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августа в 1942 году 14-й танковый корпус 6-й немецкой армии прорвался к Волге севернее Сталинграда. Противник попытался захватить город ударом с севера вдоль Волги. В отражении этого удара важную роль сыграли части Сталинградского корпусного района ПВО. В течение дня авиация противка совершила на город около 2 тысяч самолето-вылетов (90 самолетов сбито). В результате бомбардировок погибло свыше 40 тысяч жителей, свыше 150 тысяч ранено (14991).</w:t>
      </w:r>
    </w:p>
    <w:p w14:paraId="7553D5F5"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2C4414E9"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августа в 1942 году городской комитет обороны Сталинграда принял решение о приведении в полную боевую готовность отрядов народного ополчения (80 тысяч человек); началось формирование рабочих отрядов (14991).</w:t>
      </w:r>
    </w:p>
    <w:p w14:paraId="4AE300B1"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019E5C2C"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августа в 1942 году войска Западного фронта освободили города Зубцов, Карманово. Завершилась Ржевско-Сычевская операция: советские войска продвинулись на 30-45 км, ликвидировали плацдарм противника на левом берегу Волги в районе Ржева, сковали крупные силы группы армий "Центр" и вынудили противника перебросить в район операции 12 дивизий с других участков советско-германского фронта (в том числе с юга) (14991).</w:t>
      </w:r>
    </w:p>
    <w:p w14:paraId="3342BD9B"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2270B0F0"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августа в 1942 году готовившиеся к переброске на сталинградское направление 3 танковых и несколько пехотных дивизий группы армий "Центр" потеряли в боях много личного состава и боевых машин (14991).</w:t>
      </w:r>
    </w:p>
    <w:p w14:paraId="5840AD0F"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443BEDAE"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августа в 1942 году противник прорвал оборону войск Юго-Восточного фронта и вклинился в расположение советских войск между железной дорогой Сальск - Красноармейск и озером Цаца на глубину до 25 км (14991).</w:t>
      </w:r>
    </w:p>
    <w:p w14:paraId="4A1A0A78"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64108AC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Утром 23 августа 1942 г. войска не</w:t>
      </w:r>
      <w:r w:rsidRPr="001E2C69">
        <w:rPr>
          <w:color w:val="000000" w:themeColor="text1"/>
          <w:sz w:val="16"/>
          <w:szCs w:val="16"/>
        </w:rPr>
        <w:softHyphen/>
        <w:t>мецкой 6-й полевой армии при масси</w:t>
      </w:r>
      <w:r w:rsidRPr="001E2C69">
        <w:rPr>
          <w:color w:val="000000" w:themeColor="text1"/>
          <w:sz w:val="16"/>
          <w:szCs w:val="16"/>
        </w:rPr>
        <w:softHyphen/>
        <w:t>рованной поддержке Люфтваффе про</w:t>
      </w:r>
      <w:r w:rsidRPr="001E2C69">
        <w:rPr>
          <w:color w:val="000000" w:themeColor="text1"/>
          <w:sz w:val="16"/>
          <w:szCs w:val="16"/>
        </w:rPr>
        <w:softHyphen/>
        <w:t>рвали оборону Сталинградского фрон</w:t>
      </w:r>
      <w:r w:rsidRPr="001E2C69">
        <w:rPr>
          <w:color w:val="000000" w:themeColor="text1"/>
          <w:sz w:val="16"/>
          <w:szCs w:val="16"/>
        </w:rPr>
        <w:softHyphen/>
        <w:t>та на стыке 4-й танковой и 62-й армий и развернули наступление в направле</w:t>
      </w:r>
      <w:r w:rsidRPr="001E2C69">
        <w:rPr>
          <w:color w:val="000000" w:themeColor="text1"/>
          <w:sz w:val="16"/>
          <w:szCs w:val="16"/>
        </w:rPr>
        <w:softHyphen/>
        <w:t>нии на разъезд 564 километра, Рынок. Уже в 16.00 14-й танковый корпус гене</w:t>
      </w:r>
      <w:r w:rsidRPr="001E2C69">
        <w:rPr>
          <w:color w:val="000000" w:themeColor="text1"/>
          <w:sz w:val="16"/>
          <w:szCs w:val="16"/>
        </w:rPr>
        <w:softHyphen/>
        <w:t>рала фон Виттерсгейма вышел к реке Волге на участке Ерзовка-Рынок, разре</w:t>
      </w:r>
      <w:r w:rsidRPr="001E2C69">
        <w:rPr>
          <w:color w:val="000000" w:themeColor="text1"/>
          <w:sz w:val="16"/>
          <w:szCs w:val="16"/>
        </w:rPr>
        <w:softHyphen/>
        <w:t>зав восьмикилометровым коридором войска фронта на две части. Выйдя к Волге, немцы повернули на юг - на Ста</w:t>
      </w:r>
      <w:r w:rsidRPr="001E2C69">
        <w:rPr>
          <w:color w:val="000000" w:themeColor="text1"/>
          <w:sz w:val="16"/>
          <w:szCs w:val="16"/>
        </w:rPr>
        <w:softHyphen/>
        <w:t>линград. Из-за отсутствия воздушной развед</w:t>
      </w:r>
      <w:r w:rsidRPr="001E2C69">
        <w:rPr>
          <w:color w:val="000000" w:themeColor="text1"/>
          <w:sz w:val="16"/>
          <w:szCs w:val="16"/>
        </w:rPr>
        <w:softHyphen/>
        <w:t xml:space="preserve">ки район и время выхода противника к Волге своевременно установлены не были. Только в 17.30 генерал Т.Т.Хрюкин отдал командирам 228-й и 206-й штурмовых и </w:t>
      </w:r>
      <w:r w:rsidRPr="001E2C69">
        <w:rPr>
          <w:iCs/>
          <w:color w:val="000000" w:themeColor="text1"/>
          <w:sz w:val="16"/>
          <w:szCs w:val="16"/>
        </w:rPr>
        <w:t>270-и</w:t>
      </w:r>
      <w:r w:rsidRPr="001E2C69">
        <w:rPr>
          <w:color w:val="000000" w:themeColor="text1"/>
          <w:sz w:val="16"/>
          <w:szCs w:val="16"/>
        </w:rPr>
        <w:t xml:space="preserve"> бомбардировочной авиадивизий боевое распоряжение на уничтожение прорвавшейся немецкой группировки: </w:t>
      </w:r>
      <w:r w:rsidRPr="001E2C69">
        <w:rPr>
          <w:iCs/>
          <w:color w:val="000000" w:themeColor="text1"/>
          <w:sz w:val="16"/>
          <w:szCs w:val="16"/>
        </w:rPr>
        <w:t>"Противник большой ко</w:t>
      </w:r>
      <w:r w:rsidRPr="001E2C69">
        <w:rPr>
          <w:iCs/>
          <w:color w:val="000000" w:themeColor="text1"/>
          <w:sz w:val="16"/>
          <w:szCs w:val="16"/>
        </w:rPr>
        <w:softHyphen/>
        <w:t>лонной танков и мотопехоты в движе</w:t>
      </w:r>
      <w:r w:rsidRPr="001E2C69">
        <w:rPr>
          <w:iCs/>
          <w:color w:val="000000" w:themeColor="text1"/>
          <w:sz w:val="16"/>
          <w:szCs w:val="16"/>
        </w:rPr>
        <w:softHyphen/>
        <w:t>нии из Ерзовки на Сталинград. Немед</w:t>
      </w:r>
      <w:r w:rsidRPr="001E2C69">
        <w:rPr>
          <w:iCs/>
          <w:color w:val="000000" w:themeColor="text1"/>
          <w:sz w:val="16"/>
          <w:szCs w:val="16"/>
        </w:rPr>
        <w:softHyphen/>
        <w:t>ленно поднимите в воздух части с зада</w:t>
      </w:r>
      <w:r w:rsidRPr="001E2C69">
        <w:rPr>
          <w:iCs/>
          <w:color w:val="000000" w:themeColor="text1"/>
          <w:sz w:val="16"/>
          <w:szCs w:val="16"/>
        </w:rPr>
        <w:softHyphen/>
        <w:t>чей уничтожить колонну, не допустить ее продвижение к Сталинграду. Бить до темноты".</w:t>
      </w:r>
      <w:r w:rsidRPr="001E2C69">
        <w:rPr>
          <w:color w:val="000000" w:themeColor="text1"/>
          <w:sz w:val="16"/>
          <w:szCs w:val="16"/>
        </w:rPr>
        <w:t xml:space="preserve"> Штурмовики Ил-2 почти пол</w:t>
      </w:r>
      <w:r w:rsidRPr="001E2C69">
        <w:rPr>
          <w:color w:val="000000" w:themeColor="text1"/>
          <w:sz w:val="16"/>
          <w:szCs w:val="16"/>
        </w:rPr>
        <w:softHyphen/>
        <w:t>ностью переключились на действия по немецким танкам и мотопехоте в райо</w:t>
      </w:r>
      <w:r w:rsidRPr="001E2C69">
        <w:rPr>
          <w:color w:val="000000" w:themeColor="text1"/>
          <w:sz w:val="16"/>
          <w:szCs w:val="16"/>
        </w:rPr>
        <w:softHyphen/>
        <w:t>нах Ерзовка, Рынок, Орловка - танки и мотопехота вермахта остановились.</w:t>
      </w:r>
    </w:p>
    <w:p w14:paraId="69A84DA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 сожалению, нарушение проводной связи между некоторыми авиадивизия</w:t>
      </w:r>
      <w:r w:rsidRPr="001E2C69">
        <w:rPr>
          <w:color w:val="000000" w:themeColor="text1"/>
          <w:sz w:val="16"/>
          <w:szCs w:val="16"/>
        </w:rPr>
        <w:softHyphen/>
        <w:t>ми и штабом 8-й ВА, находившимся в Сталинграде, и отсутствие точных дан</w:t>
      </w:r>
      <w:r w:rsidRPr="001E2C69">
        <w:rPr>
          <w:color w:val="000000" w:themeColor="text1"/>
          <w:sz w:val="16"/>
          <w:szCs w:val="16"/>
        </w:rPr>
        <w:softHyphen/>
        <w:t>ных о районе и времени выхода про</w:t>
      </w:r>
      <w:r w:rsidRPr="001E2C69">
        <w:rPr>
          <w:color w:val="000000" w:themeColor="text1"/>
          <w:sz w:val="16"/>
          <w:szCs w:val="16"/>
        </w:rPr>
        <w:softHyphen/>
        <w:t xml:space="preserve">тивника к Волге привела к трагическим последствиям. 23 августа в период 19.20-19.54 семерка Ил-2 206-й </w:t>
      </w:r>
      <w:r w:rsidRPr="001E2C69">
        <w:rPr>
          <w:iCs/>
          <w:color w:val="000000" w:themeColor="text1"/>
          <w:sz w:val="16"/>
          <w:szCs w:val="16"/>
        </w:rPr>
        <w:t xml:space="preserve">шад </w:t>
      </w:r>
      <w:r w:rsidRPr="001E2C69">
        <w:rPr>
          <w:color w:val="000000" w:themeColor="text1"/>
          <w:sz w:val="16"/>
          <w:szCs w:val="16"/>
        </w:rPr>
        <w:t>весьма эффективно "отработала" по району Ерзовка, где находились части 23-го танкового корпуса генерал-майора А.М.Хасина 4-й танковой армии. Были потери и довольно ощутимые... Полу</w:t>
      </w:r>
      <w:r w:rsidRPr="001E2C69">
        <w:rPr>
          <w:color w:val="000000" w:themeColor="text1"/>
          <w:sz w:val="16"/>
          <w:szCs w:val="16"/>
        </w:rPr>
        <w:softHyphen/>
        <w:t xml:space="preserve">ченная же вскоре после удара "Илов" телеграмма командира 272-й </w:t>
      </w:r>
      <w:r w:rsidRPr="001E2C69">
        <w:rPr>
          <w:iCs/>
          <w:color w:val="000000" w:themeColor="text1"/>
          <w:sz w:val="16"/>
          <w:szCs w:val="16"/>
        </w:rPr>
        <w:t>нбад</w:t>
      </w:r>
      <w:r w:rsidRPr="001E2C69">
        <w:rPr>
          <w:color w:val="000000" w:themeColor="text1"/>
          <w:sz w:val="16"/>
          <w:szCs w:val="16"/>
        </w:rPr>
        <w:t xml:space="preserve"> п-ка П.О.Кузнецова об ударе штурмовиков по населенному пункту, в котором находи</w:t>
      </w:r>
      <w:r w:rsidRPr="001E2C69">
        <w:rPr>
          <w:color w:val="000000" w:themeColor="text1"/>
          <w:sz w:val="16"/>
          <w:szCs w:val="16"/>
        </w:rPr>
        <w:softHyphen/>
        <w:t>лись свои же войска, не была своевре</w:t>
      </w:r>
      <w:r w:rsidRPr="001E2C69">
        <w:rPr>
          <w:color w:val="000000" w:themeColor="text1"/>
          <w:sz w:val="16"/>
          <w:szCs w:val="16"/>
        </w:rPr>
        <w:softHyphen/>
        <w:t>менно доложена командующему 8-й ВА генералу Т.Т.Хрюкину. В результате ко</w:t>
      </w:r>
      <w:r w:rsidRPr="001E2C69">
        <w:rPr>
          <w:color w:val="000000" w:themeColor="text1"/>
          <w:sz w:val="16"/>
          <w:szCs w:val="16"/>
        </w:rPr>
        <w:softHyphen/>
        <w:t xml:space="preserve">мандиру 206-й </w:t>
      </w:r>
      <w:r w:rsidRPr="001E2C69">
        <w:rPr>
          <w:iCs/>
          <w:color w:val="000000" w:themeColor="text1"/>
          <w:sz w:val="16"/>
          <w:szCs w:val="16"/>
        </w:rPr>
        <w:t>шад</w:t>
      </w:r>
      <w:r w:rsidRPr="001E2C69">
        <w:rPr>
          <w:color w:val="000000" w:themeColor="text1"/>
          <w:sz w:val="16"/>
          <w:szCs w:val="16"/>
        </w:rPr>
        <w:t xml:space="preserve"> п-ку В.А.Срывкину была вторично поставлена задача, нане</w:t>
      </w:r>
      <w:r w:rsidRPr="001E2C69">
        <w:rPr>
          <w:color w:val="000000" w:themeColor="text1"/>
          <w:sz w:val="16"/>
          <w:szCs w:val="16"/>
        </w:rPr>
        <w:softHyphen/>
        <w:t>сти бомбоштурмовой удар по району Ер</w:t>
      </w:r>
      <w:r w:rsidRPr="001E2C69">
        <w:rPr>
          <w:color w:val="000000" w:themeColor="text1"/>
          <w:sz w:val="16"/>
          <w:szCs w:val="16"/>
        </w:rPr>
        <w:softHyphen/>
        <w:t>зовка. По счастью, удар был вовремя отменен...(6467).</w:t>
      </w:r>
    </w:p>
    <w:p w14:paraId="78B6FDD0" w14:textId="77777777" w:rsidR="00AE7191" w:rsidRPr="001E2C69" w:rsidRDefault="00AE7191" w:rsidP="00722885">
      <w:pPr>
        <w:pStyle w:val="Iauiue"/>
        <w:jc w:val="both"/>
        <w:rPr>
          <w:color w:val="000000" w:themeColor="text1"/>
          <w:sz w:val="16"/>
          <w:szCs w:val="16"/>
        </w:rPr>
      </w:pPr>
    </w:p>
    <w:p w14:paraId="1F341D1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августа 1942 только в 17.30 генерал Хрюкин отдал командирам 228 и 206-й штурмовых и 270-й бомбардировочной авиадивизий боевое распоряжение на уничтожение прорвавшейся немецкой группировки: "Противник большой колонной танков и мотопехоты в движении из Ер- зовки на Сталинград. Немедленно поднимите в воздух части с задачей уничтожить колонну, не допустить ее продвижение к Сталинграду. Бить до темноты".</w:t>
      </w:r>
    </w:p>
    <w:p w14:paraId="2D4C86A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Утром 23 августа немецкие войска при массированной поддержке Люфтваффе прорвали оборону Сталинградского фронта на стыке 4 ТА и 62А и развернули наступление в направлении на разъезд 564 километра, Рынок. Уже в 16.00 немецкий 14-й танковый корпус на участке Ерзовка-Рынок вышел к реке Волге, разрезав восьмикилометровым коридором советские войска на две части. Выйдя к Волге, немцы повернули на юг - на Сталинград. Из-за отсутствия воздушной разведки район и время выхода противника к Волге своевременно установлен не был.</w:t>
      </w:r>
    </w:p>
    <w:p w14:paraId="6BD7385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Штурмовики Ил-2 полностью переключились на действия по немецким танкам и мотопехоте в районах Ерзовка, Рынок, Орловка, проявляя при этом героизм и самопожертвование.</w:t>
      </w:r>
    </w:p>
    <w:p w14:paraId="3A9A5DB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Так, в ходе штурмовики немецких танков и мотопехоты в районе Рынок заместитель командира эскадрильи 766-го шап мл. лейтенант Шевченко направил свой подбитый Ил-2 на скопление вражеской техники.</w:t>
      </w:r>
    </w:p>
    <w:p w14:paraId="4F0A212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сожалению, нарушение проводной связи между некоторыми авиадивизиями и штабом 8-й ВА привело к трагическим последствиям. В период 19.20-19.54 7 Ил-2 от 206-й шад отработали по району Ерзовка, где находились части 23-го танкового корпуса генерала Хасина. Были потери и довольно ощутимые. Полученная же вскоре после удара Ил-2 телеграмма командира 272-й нбад полковника Кузнецова об ударе штурмовиков по населенному пункту, в котором находились свои войска, не была своевременно доложена генералу Хрюкину. В результате командиру 206-й шад полковнику Срывкину была вторично поставлена задача, нанести удар по району Ерзовка. По счастью удар был вовремя отменен (12020).</w:t>
      </w:r>
    </w:p>
    <w:p w14:paraId="52A6AFAE"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FAE903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23 августа 1942 во время бомбар</w:t>
      </w:r>
      <w:r w:rsidRPr="001E2C69">
        <w:rPr>
          <w:color w:val="000000" w:themeColor="text1"/>
          <w:sz w:val="16"/>
          <w:szCs w:val="16"/>
        </w:rPr>
        <w:softHyphen/>
        <w:t>дировки Сталинграда, силами почти все</w:t>
      </w:r>
      <w:r w:rsidRPr="001E2C69">
        <w:rPr>
          <w:color w:val="000000" w:themeColor="text1"/>
          <w:sz w:val="16"/>
          <w:szCs w:val="16"/>
        </w:rPr>
        <w:softHyphen/>
        <w:t>го 4-го воздушного флота, Люфтваффе только над городом совершили свыше 2000 (!) самолето-пролетов, 8-я ВА ВВС КА смогла в этот день противопоставить лишь 511 самолето-вылетов... В сред</w:t>
      </w:r>
      <w:r w:rsidRPr="001E2C69">
        <w:rPr>
          <w:color w:val="000000" w:themeColor="text1"/>
          <w:sz w:val="16"/>
          <w:szCs w:val="16"/>
        </w:rPr>
        <w:softHyphen/>
        <w:t>нем авиация 8-й ВА совершала в нача</w:t>
      </w:r>
      <w:r w:rsidRPr="001E2C69">
        <w:rPr>
          <w:color w:val="000000" w:themeColor="text1"/>
          <w:sz w:val="16"/>
          <w:szCs w:val="16"/>
        </w:rPr>
        <w:softHyphen/>
        <w:t>ле августа максимум от 300 до 600 само</w:t>
      </w:r>
      <w:r w:rsidRPr="001E2C69">
        <w:rPr>
          <w:color w:val="000000" w:themeColor="text1"/>
          <w:sz w:val="16"/>
          <w:szCs w:val="16"/>
        </w:rPr>
        <w:softHyphen/>
        <w:t>лето-вылетов ежесуточно, а начиная с 9-10 августа - от 200 до 500 (в конце ме</w:t>
      </w:r>
      <w:r w:rsidRPr="001E2C69">
        <w:rPr>
          <w:color w:val="000000" w:themeColor="text1"/>
          <w:sz w:val="16"/>
          <w:szCs w:val="16"/>
        </w:rPr>
        <w:softHyphen/>
        <w:t>сяца) боевых вылетов. При этом истре</w:t>
      </w:r>
      <w:r w:rsidRPr="001E2C69">
        <w:rPr>
          <w:color w:val="000000" w:themeColor="text1"/>
          <w:sz w:val="16"/>
          <w:szCs w:val="16"/>
        </w:rPr>
        <w:softHyphen/>
        <w:t>бителями армии выполнялось от 140 до 270 самолето-вылетов в сутки, что объяс</w:t>
      </w:r>
      <w:r w:rsidRPr="001E2C69">
        <w:rPr>
          <w:color w:val="000000" w:themeColor="text1"/>
          <w:sz w:val="16"/>
          <w:szCs w:val="16"/>
        </w:rPr>
        <w:softHyphen/>
        <w:t>няется весьма небольшим их количе</w:t>
      </w:r>
      <w:r w:rsidRPr="001E2C69">
        <w:rPr>
          <w:color w:val="000000" w:themeColor="text1"/>
          <w:sz w:val="16"/>
          <w:szCs w:val="16"/>
        </w:rPr>
        <w:softHyphen/>
        <w:t>ством в авиаполках.</w:t>
      </w:r>
    </w:p>
    <w:p w14:paraId="46E0287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Нехватка истребителей прикрытия не давала возможности с полным напря</w:t>
      </w:r>
      <w:r w:rsidRPr="001E2C69">
        <w:rPr>
          <w:color w:val="000000" w:themeColor="text1"/>
          <w:sz w:val="16"/>
          <w:szCs w:val="16"/>
        </w:rPr>
        <w:softHyphen/>
        <w:t>жением действовать даже тому неболь</w:t>
      </w:r>
      <w:r w:rsidRPr="001E2C69">
        <w:rPr>
          <w:color w:val="000000" w:themeColor="text1"/>
          <w:sz w:val="16"/>
          <w:szCs w:val="16"/>
        </w:rPr>
        <w:softHyphen/>
        <w:t>шому количеству бомбардировщиков и штурмовиков, которое имелось в соста</w:t>
      </w:r>
      <w:r w:rsidRPr="001E2C69">
        <w:rPr>
          <w:color w:val="000000" w:themeColor="text1"/>
          <w:sz w:val="16"/>
          <w:szCs w:val="16"/>
        </w:rPr>
        <w:softHyphen/>
        <w:t>ве воздушной армии, - Ил-2 совершали в этот период в среднем от 41 (в нача</w:t>
      </w:r>
      <w:r w:rsidRPr="001E2C69">
        <w:rPr>
          <w:color w:val="000000" w:themeColor="text1"/>
          <w:sz w:val="16"/>
          <w:szCs w:val="16"/>
        </w:rPr>
        <w:softHyphen/>
        <w:t>ле августа) до 68 (с середины августа) боевых самолето-вылетов. Причем в период с середины августа и до сере</w:t>
      </w:r>
      <w:r w:rsidRPr="001E2C69">
        <w:rPr>
          <w:color w:val="000000" w:themeColor="text1"/>
          <w:sz w:val="16"/>
          <w:szCs w:val="16"/>
        </w:rPr>
        <w:softHyphen/>
        <w:t>дины сентября "горбатые" вылетали на боевые задания в среднем в 2,2 раза чаще, чем дневные бомбардировщики.</w:t>
      </w:r>
    </w:p>
    <w:p w14:paraId="207D087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Бои в воздухе достигли особенного ожесточения. Буквально каждый боевой вылет штурмовиков Ил-2 сопровождал</w:t>
      </w:r>
      <w:r w:rsidRPr="001E2C69">
        <w:rPr>
          <w:color w:val="000000" w:themeColor="text1"/>
          <w:sz w:val="16"/>
          <w:szCs w:val="16"/>
        </w:rPr>
        <w:softHyphen/>
        <w:t>ся кровопролитными боями с истреби</w:t>
      </w:r>
      <w:r w:rsidRPr="001E2C69">
        <w:rPr>
          <w:color w:val="000000" w:themeColor="text1"/>
          <w:sz w:val="16"/>
          <w:szCs w:val="16"/>
        </w:rPr>
        <w:softHyphen/>
        <w:t>телями Люфтваффе и тяжелыми поте</w:t>
      </w:r>
      <w:r w:rsidRPr="001E2C69">
        <w:rPr>
          <w:color w:val="000000" w:themeColor="text1"/>
          <w:sz w:val="16"/>
          <w:szCs w:val="16"/>
        </w:rPr>
        <w:softHyphen/>
        <w:t>рями в летном составе и технике (6467).</w:t>
      </w:r>
    </w:p>
    <w:p w14:paraId="77BA8FA6" w14:textId="77777777" w:rsidR="00AE7191" w:rsidRPr="001E2C69" w:rsidRDefault="00AE7191" w:rsidP="00722885">
      <w:pPr>
        <w:pStyle w:val="Iauiue"/>
        <w:jc w:val="both"/>
        <w:rPr>
          <w:color w:val="000000" w:themeColor="text1"/>
          <w:sz w:val="16"/>
          <w:szCs w:val="16"/>
        </w:rPr>
      </w:pPr>
    </w:p>
    <w:p w14:paraId="4B25CC0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23 августа 1942 состоялось большое воздушное сражение над Сталинградом. Немцы выполнили 2 тыс. вылетов и у нас было 107 истребителей 8ВА и 102 иад ПВО, которые в групповых боях сбили 90 (518,91).</w:t>
      </w:r>
    </w:p>
    <w:p w14:paraId="041080E9" w14:textId="77777777" w:rsidR="00AE7191" w:rsidRPr="001E2C69" w:rsidRDefault="00AE7191" w:rsidP="00722885">
      <w:pPr>
        <w:pStyle w:val="Iauiue"/>
        <w:jc w:val="both"/>
        <w:rPr>
          <w:color w:val="000000" w:themeColor="text1"/>
          <w:sz w:val="16"/>
          <w:szCs w:val="16"/>
        </w:rPr>
      </w:pPr>
    </w:p>
    <w:p w14:paraId="082E1AC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23 августа 1942 немцы прорвались к Волге севернее Сталинграда и 400 самолетами разбомбил город сделав до 2000 вылетов. Сбили 120 (340,95).</w:t>
      </w:r>
    </w:p>
    <w:p w14:paraId="6BC502C0" w14:textId="77777777" w:rsidR="00AE7191" w:rsidRPr="001E2C69" w:rsidRDefault="00AE7191" w:rsidP="00722885">
      <w:pPr>
        <w:pStyle w:val="Iauiue"/>
        <w:jc w:val="both"/>
        <w:rPr>
          <w:color w:val="000000" w:themeColor="text1"/>
          <w:sz w:val="16"/>
          <w:szCs w:val="16"/>
        </w:rPr>
      </w:pPr>
    </w:p>
    <w:p w14:paraId="0007792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August 23 1942 Massive German air raid on Stalingrad (1050).</w:t>
      </w:r>
    </w:p>
    <w:p w14:paraId="39BEF115" w14:textId="77777777" w:rsidR="00AE7191" w:rsidRPr="001E2C69" w:rsidRDefault="00AE7191" w:rsidP="00722885">
      <w:pPr>
        <w:pStyle w:val="Iauiue"/>
        <w:jc w:val="both"/>
        <w:rPr>
          <w:color w:val="000000" w:themeColor="text1"/>
          <w:sz w:val="16"/>
          <w:szCs w:val="16"/>
        </w:rPr>
      </w:pPr>
    </w:p>
    <w:p w14:paraId="6D33836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23 августа 1942 был массированный авианалет на Сталинград (1050).</w:t>
      </w:r>
    </w:p>
    <w:p w14:paraId="6C44E68C" w14:textId="77777777" w:rsidR="00AE7191" w:rsidRPr="001E2C69" w:rsidRDefault="00AE7191" w:rsidP="00722885">
      <w:pPr>
        <w:pStyle w:val="Iauiue"/>
        <w:jc w:val="both"/>
        <w:rPr>
          <w:color w:val="000000" w:themeColor="text1"/>
          <w:sz w:val="16"/>
          <w:szCs w:val="16"/>
        </w:rPr>
      </w:pPr>
    </w:p>
    <w:p w14:paraId="2A4D8AD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августа 1942. Солнце, взошедшее из-за казахской степи, все ярче освещало прифронтовой город и его окрестности. В самом Сталинграде утро началось как обычно. Во многих районах города поднимались клубы дыма от незатушенных пожаров, инженерные батальоны МПВО разгребали многочисленные завалы, по пыльным улицам набитые битком санитарные полуторки, объезжая кучи кирпичей и противотанковые препятствия, везли пострадавших в переполненные больницы и госпитали. Рабочие дневной смены спешили на работу, поскольку все предприятия, несмотря на бомбежки, продолжали работать. Неокрашенные танки Т-34 регулярно выезжали из цехов тракторного завода и, лязгая гусеницами, сразу отправлялись на фронт. В порту шла спешная погрузка эвакуируемого оборудования, в утренней дымке корабли и паромы неуклюже шныряли между левым и правым берегом. Толпы беженцев, ночевавшие прямо на склонах берега, просыпались в ожидании погрузки на пароходы. На западе, где горизонт еще темнел, слышался отдаленный грохот артиллерийской канонады. Сталинградцы уже месяц жили в постоянном напряжении, но никто не подозревал, что именно в эти часы над городом нависает страшная угроза. Еще в 06.30 утра, по московскому времени, немецкие танки, ночью переправившиеся через Дон, на полной скорости ринулись через степь прямо к Волге. Ревя моторами и поднимая тучи пыли, бронированные машины мчались вперед, не обращая внимания на разбегающиеся тыловые подразделения Красной Армии. До Сталинграда оставалось около 40 км. «Юнкерсы» и «Хейнкели» нанесли очередные удары по советским укреплениям на подступах к городу. В то же время на аэродромы бомбардировочной авиации прибывало пополнение. В Морозовской приземлились Не-111 из штабного звена KG55, а также авиагруппа I./KG100 «Викинг». Это было связано с тем, что командование 4-го воздушного флота в ближайшие часы готовило массированные налеты на Сталинград. В полдень, когда августовская жара была в самом разгаре, Люфтваффе совершили новый массированный налет на советские позиции. Танкисты генерала Хубе, катившие по безлюдной степи, не встречая сопротивления, высовывались из люков и видели тучи самолетов, летящих на восток. Черные тени покрыли степь, а воздух наполнился воем сирен. Вскоре в небе затрещали пулеметы и показались дымные следы падающих машин. Две группы 51-й бомбардировочной эскадры выполняли уже второй вылет на поддержку наступления 4-й танковой армии, продвигавшейся с юго-запада вдоль железной дороги Сальск – Сталинград. В 13.00 по берлинскому времени Ju-88 командира III./KG51 майора Эрнста фон Бибры в ходе бомбометания с пикирования был подбит зенитной артиллерией и совершил вынужденную посадку в степи вблизи советских позиций нар. Чир. Увидев это, пилот одного из «Юнкерсов» из 7-й эскадрильи тут же произвел посадку, и все члены экипажа сбитого самолета быстро перебрались в него. После этого бомбардировщик, битком набитый людьми, взлетел под огнем русских пехотинцев и взял курс на аэродром. Приземлившись в Тацинской, фон Бибра тут же взял новый Ju-88 с тем, чтобы немедленно участвовать в следующих вылетах. Вокруг тем временем шла кропотливая работа. Механики заправляли самолеты горючим, устраняли мелкие неполадки, оружейники подвешивали к самолетам фугасные и тяжелые зажигательные бомбы. Следующей мишенью был непосредственно город Сталина. Чтобы окончательно разрушить основную инженерную и транспортную инфраструктуру города, не допустить организованного сопротивления в городских кварталах и деморализовать отходящие советские войска, Вольфрам фон Рихтхофен решил задействовать в налете все имеющиеся в его распоряжении силы бомбардировочной и штурмовой авиации из 4-го и 8-го авиакорпусов, бросив их на Сталинград непрерывно сменяющими друг друга волнами. Каждая эскадра и группа получила конкретный сектор, на который нужно было сбросить фугасные, зажигательные и осколочные бомбы. Крупные объекты (заводы, фабрики, вокзалы и большие здания) были поделены между эскадрильями, причем каждый штурман получил подробный аэрофотоснимок города. Основными целями были водозаборные станции на Волге, заводы: тракторный им. Дзержинского, «Красный Октябрь», «Баррикады», фабрика «Лазурь», а также нефтехранилища на берегу Волги. Маршруты полета и эшелоны атаки также были определены индивидуально для каждой авиагруппы. В 16.00 по московскому времени вся степь в районе Сталинграда наполнилась зловещим гулом авиационных моторов. В налете участвовали Не-111 из KG27 «Бельке», III./KG4 «Генерал Вефер», I./KG100 «Викинг», I. и III./KG55 «Грайф»; Ju-88 из I. и III./KG51 «Эдельвейс» и KG76; Ju-87 из II./StGl, StG2 «Иммельман» и I./StG77. Их сопровождали «Мессершмитты» Bf-109 из I./JG53 «Пик Ac», JG3 «Удет» и III./JG52.</w:t>
      </w:r>
    </w:p>
    <w:p w14:paraId="7BD4F97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Зенитчица 748-го ЗенАП М. И. Матвеева вспоминала:</w:t>
      </w:r>
    </w:p>
    <w:p w14:paraId="3472C7A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«Слышу гул, отличный от того, что доносится с севера. Идут! </w:t>
      </w:r>
    </w:p>
    <w:p w14:paraId="326357D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Воздух! Курс 90, массовый шум самолетов! Ольга толкает меня в бок: </w:t>
      </w:r>
    </w:p>
    <w:p w14:paraId="282CE59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Ты что! Это же курсом 180! </w:t>
      </w:r>
    </w:p>
    <w:p w14:paraId="5D6F89B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Их уже видно. И курсом 90, и курсом 180, и 45, и 125, и… со всех сторон. «Хейнкели». Эти выше всех. «Дорнъе»  [99]  . Тоже высоко. За ними –  ниже еще, и еще, и еще. «Юнкерсы-88», «Юнкерсы-87» –  весь альбом немецких самолетов, по которому мы когда-то изучали их». </w:t>
      </w:r>
    </w:p>
    <w:p w14:paraId="1B0351D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16.20 в Сталинграде в очередной раз была объявлена воздушная тревога, надрывно загрохотали зенитки, и вскоре в небе появились первые бомбардировщики. Рабочие не имели права покидать цеха без разрешения директора и, услышав гудки воздушной тревоги, продолжали трудиться. Многие пытались сохранять спокойствие, кто-то все же паниковал, другие тихонько молились о спасении. Вскоре на фоне глухих хлопков зениток послышался ужасающий вой авиационных сирен и моторов, а потом леденящий кровь свист падающих бомб. На металлургическом заводе «Красный Октябрь» продолжалась работа, когда девять Ju-88, зайдя со стороны Волги, с пикирования сбросили бомбы на его корпуса. Мощные взрывы вздыбили крыши цехов, взметнув в небо столбы огня и дыма. Затем «Юнкерсы» с воем пронеслись над крышами домов, выходя из пике. На заводе начался кромешный ад. В литейном корпусе № 3 прямо на рабочих с грохотом повалились многотонные швеллера и балки, фрагменты крыши. Взрывной волной из доменных печей выбросило пламя, на пол хлынули потоки жидкого металла, из пробитых трубопроводов потек горящий мазут. Те, кто еще не был придавлен или разорван в клочья, тотчас вспыхнули и с неистовыми криками носились в дыму. Рабочие, которым посчастливилось не оказаться в очагах поражения, уже не дожидаясь «официального приказа», бросились бежать на улицу. Одни запрыгивали в вырытые поблизости щели, другие мчались прочь подальше от цехов.</w:t>
      </w:r>
    </w:p>
    <w:p w14:paraId="696700C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Сталинградцы, которых бомбежка застала дома, не сразу оценили масштаб происходящего. Те, кто боялся за свое имущество, оставались в квартире, нервно поглядывая в окна, другие спускались в подвал или в щели. Тысячи горожан налет застал в транспорте или просто на улице. После первых взрывов все они, взглянув на небо, увидели, как из-за реки, с юга и с запада, со всех сторон приближались следующие группы бомбардировщиков. Столбы огня и дыма поднимались уже и в северной части города над тракторным заводом и где-то на юге. Добравшись до укрытий, зачастую представлявших собой простые окопы, сталинградцы со страхом смотрели наверх. Было видно, как из идущих ровным строем самолетов вываливаются и тотчас рассыпаются веерами серебристо-белые предметы. Вскоре они превратились в огромные «зонты», так что все небо вскоре стало молочно-белым. Это и были особые зажигательные бомбы Люфтваффе, которые советская служба МПВО называла «зажигательными листочками». Десятки тысяч полосок обмазанной фосфором фольги, вспыхивая при соприкосновении с воздухом, медленно опускались на центр города и прилегающие кварталы. Словно завороженные сталинградцы смотрели вверх, в оцепенении наблюдая, как огненный листопад приближается к крышам домов. При соприкосновении с поверхностью «листочки» начинали пылать яростным сине-белым пламенем огромной температуры. И за считанные минуты по всему городу возникли уже сотни пожаров.</w:t>
      </w:r>
    </w:p>
    <w:p w14:paraId="2F95355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 через некоторое время появляются новые группы «Хейнкелей» и «Юнкерсов». От них отделяется множество черных точек. Это уже фугасные и осколочные бомбы. Протяжный свист, потом глухие звуки взрывов, комья земли, осколки, битое стекло, дым…. Те, кто не погиб, вздыхают с облегчением и молятся, чтобы следующая серия адских машин не упала на них. Чуянов потом вспоминал:  «Горят дома, рушатся здания Дворцов культуры, школ, институтов, театров и многих учреждений. Город превращается в кромешный ад… Пожарные и бойцы противовоздушной обороны делают все возможное: растаскивают горящие крыши, извлекают людей из-под обломков… А с почерневшего от дыма неба продолжают сыпаться бомбы… Центральная часть города объята пламенем невероятно больших масштабов. От перегрева воздуха и сотрясений поднялся небывалой силы ветер, он удлиняет огненные крылья пожаров, и теперь кажется, воспламеняется небо и все пространство – от горизонта до горизонта». Вследствие многочисленных взрывов фугасных бомб работа водозаборных станций в 16.42 была полностью парализована, и тушение массовых пожаров оказалось практически невозможным. Во всех районах вышла из строя телефонная связь, прекратилась подача электроэнергии. Умолкли даже громкоговорители, монотонно талдычившие «Граждане! Воздушная тревога!» А бомбардировщики тем временем волна за волной снова заходили на город. Несколько бомб упали на территорию городского зоопарка. Напуганная слониха, в мирное время являвшаяся его основным экспонатом, преодолела ограду и принялась носиться по улицам, дополняя жуткую картину апокалипсиса…</w:t>
      </w:r>
    </w:p>
    <w:p w14:paraId="0A2D530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Возвращаясь на аэродромы в Морозовскую и Тацинскую, немецкие самолеты заправлялись горючим, загружались новыми бомбами и опять поднимались в небо. Когда в штабе 8-й воздушной армии Т. Т. Хрюкина из разрозненных донесений наконец осознали масштабы налета, в воздух были подняты практически все имевшиеся в распоряжении исправные истребители. Среди них был и самолет старшины 4-го ИАП В.Д. Лавриненкова. Прибыв на высоте 4000 м в район Сталинграда, он увидел жуткую картину. Над городом из разных мест поднимались огромнейшие столбы дыма, по земле извивались их широкие тени, уходящие за Волгу. Среди кварталов полыхали страшные пожарища, гигантские языки пламени рвались в небо, при этом как бы танцуя и причудливо извиваясь. Местами сквозь дым зловеще просвечивало солнце. Лавриненков знал, что где-то здесь действуют летчики других полков, однако повсюду, куда он ни смотрел, небо кишело немецкими самолетами. На разных высотах, вдалеке и вблизи виднелись то исчезающие в дыму, то выныривающие из него «Мессершмитты», «Юнкерсы» и «Хейнкели». Было отчетливо видно, как от них отделяются бомбы и сыплются на город. Вскоре начался бой…</w:t>
      </w:r>
    </w:p>
    <w:p w14:paraId="07D630D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Истребители 102-й ИАД ПВО также выполняли боевую задачу и постоянно находились в воздухе. За сутки некоторые пилоты выполнили по семь боевых вылетов. Взлетали вначале полками, затем эскадрильями, звеньями и отдельными самолетами. В суматохе приземлялись на первом попавшемся аэродроме, чтобы пополнить запасы боеприпасов и топлива, и вновь поднимались в воздух. Однако эффект от этих полетов был небольшим. Советские истребители подходили к городу разрозненными группами и сразу же перехватывались «Мессершмиттами». Только пилоты одной I./JG53 одержали в этот день в небе над волжским городом 17 побед.</w:t>
      </w:r>
    </w:p>
    <w:p w14:paraId="3F1D96E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Тем временем налет продолжался. К городу подходили новые волны бомбардировщиков. Один из пилотов 5-й эскадрильи KG27 «Бельке» вспоминал:  «Первая атака в составе соединения несколькими звеньями на город Сталинград. Вместе с нами атаковали „Штуки“, штурмовики и истребители. Грандиозная зенитная оборона русских. Мы летим на высоте 7500м. Бомбы сбросили в точке сброса над окраиной города, так как иначе могли поразить собственные самолеты, летевшие ниже нас». Самое страшное случилось, когда Не-111 из эскадры KG55 сбросили бомбы на нефтехранилища, расположенные на берегу Волги в районе завода «Красный Октябрь». Произошло несколько мощнейших взрывов, и сталинградцы увидели, как огромный столб пламени взметнулся в небо на сотни метров. Затем от нагрева уцелевшие баки стали гулко взрываться, выбрасывая вверх новые столбы огня и дыма. Через какое-то время горящие нефтепродукты огненным потоком устремились по склонам к воде. Начались массовые пожары, пламя стремительно выжигало все на своем пути. Пылающая нефть потекла в Волгу, поджигая пароходы, баржи, пристани.</w:t>
      </w:r>
    </w:p>
    <w:p w14:paraId="6D32149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Зенитчица Матвеева рассказывала:  «На Волге, она еще проглядывается сквозь завесу взрывов, закрыв полнеба, поднимается гигантский фонтан огня. Пламя рвется ввысь, там закручивается клубами, выпускает черный дым. Пламя разлетается в стороны. Пламя падает в реку. Пламя лижет воду, жрет ее, и широкая лента огня течет по Волге. Я обомлела –  горит Волга! Все горит –  земля, небо, вода. В этом пожарище сновали девочки-медсестры, они на носилках выносили раненых из боя на переправу и сами падали под обстрелом. Криков уже не было слышно от залпов орудий. Раненые прыгали с пятых этажей, потому что дома рассыпались от взрывов… Чтобы не задохнуться от дыма, зенитчики брали у санинструкторов вату, смачивали в нашатырном спирте и подносили к носу. Орудия накалялись докрасна. Бойцы макали в Волгу мешки и так остужали орудийные стволы». </w:t>
      </w:r>
    </w:p>
    <w:p w14:paraId="354D09C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Вскоре едкий черный дым заволок все небо, в воздухе летали черные хлопья сажи, стала ощущаться нехватка кислорода. Многие жители, не погибшие от бомб и попрятавшиеся по подвалам и оврагам, стали умирать от удушья. Помимо дыма, известковый туман, вставший над городом, белой простыней покрыл высокие здания, Волгу, растянулся на десятки километров, пополз на юг к Бекетовке и Красноармейску. Постепенно белизна тумана исчезла, смешиваясь с желто-серой дымной мглой пожаров. Сотни бомбовых разрывов слились в однообразный гул, чугунная тяжесть которого заставляла дрожать землю в Заволжье, там стекла деревянных домиков позванивали и листва на дубах шевелилась. Огонь, горевший над одним зданием, соединялся с соседним огнем, и в результате горели целые улицы. Пламя перебрасывалось с дерева на дерево, врывалось в квартиры, на лестничные площадки, мгновенно выжигая все на своем пути, перепрыгивало с крыши на крышу. Пылал даже асфальт! В центре города, пытаясь спастись от пламени, люди прыгали с верхних этажей, вылезали на балконы и карнизы, висли на водосточных трубах, но смерть настигала их и там. Пожарные машины поначалу еще пытались бороться с огнем, но из-за нехватки воды и многочисленных завалов на улицах их действия оказались совершенно бесполезными.</w:t>
      </w:r>
    </w:p>
    <w:p w14:paraId="677CC2D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Вскоре образовались гигантские огненные смерчи, втягивавшие в себя остатки кислорода и поглощавшие улицу за улицей. Наиболее сильные смерчи возникли в районе завода «Красный Октябрь» и в центре города. Бежать от них было бесполезно. Задыхаясь от удушья, люди один за другим падали, некоторое время корчились на земле и замирали. Потом их тела вспыхивали как факелы и мгновенно обугливались.</w:t>
      </w:r>
    </w:p>
    <w:p w14:paraId="384B06F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Огромное пожарище было видно за десятки километров на левом берегу Волги, и жители хутора Бурковского, Верхней Ахтубы, Тумака и Цыганской Зари словно завороженные наблюдали за этим концом света. Спасаясь от пламени, тысячи жителей бросились на берег Волги и в городские овраги, надеясь спастись там. Кругом рвались бомбы, некоторые попадали в самую гущу людей, разрывая их на куски. Остальные, забрызганные кровью и ослепленные вспышками взрывов, метались от угла одного здания к другому и, спотыкаясь о трупы, сталкиваясь друг с другом, мчались дальше.</w:t>
      </w:r>
    </w:p>
    <w:p w14:paraId="31565A2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Киевлянка Ольга Козырева, жившая в это время в Сталинграде, вспоминала:  «Мне тогда было 10 лет. Я схватила семимесячного братика на руки и побежала. Мама за нами. Началось светопреставление, это было даже хуже, чем землетрясение. Все ходило ходуном, трещало и рушилось. Дети кричали не своими голосами… Разваливались и сгорали дома, школы, театры, детские сады, вокзалы и пристани, столбы и деревья. В черном дыму исчезли и солнце, и небо. Толпы людей бежали к Волге. Мы с мамой спрятались в подвале нашего дома. Братик все время плакал. Старушки читали „Отче наш“ и просили: „Повторяйте за нами“». </w:t>
      </w:r>
    </w:p>
    <w:p w14:paraId="58CCE3F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Настоящий кошмар творился в Сталинградском порту и на его рейде. Здесь немецкие бомбардировщики устроили настоящий «Перл-Харбор». Горящие нефтепродукты стремительно охватывали все большую поверхность воды, сотни людей, пытавшихся переплыть реку, захлебывались мазутом, горели. Некоторые отчаянно выгребали на чистую воду, но огонь быстро настигал их. Нечеловеческие предсмертные крики нескончаемым воем разносились над рекой. Пытавшиеся маневрировать среди пламени и дыма пароходы тоже гибли один за другим. Оставшиеся на берегу с ужасом наблюдали, как очередной корабль охватывало пламя, и он вспыхивал факелом, горящие матросы прыгали в реку и их фигуры быстро исчезали в огне и дыму. Горящий остов уносило вниз по течению. А сверху в дыму иногда проносились тени немецких самолетов, охотившихся за уцелевшими судами. Берег то и дело сотрясали мощные взрывы, с прилегающих улиц долетали обломки зданий. Всего в этот день на Волге около Сталинграда погибли 25 различных пароходов и барж. В порту были уничтожены 19 плавучих кранов, 14 складов, 25 стационарных транспортеров, а также сотни единиц вспомогательного оборудования.</w:t>
      </w:r>
    </w:p>
    <w:p w14:paraId="4751EF6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19.00 по местному времени бомбежка завершилась, но огромные пожары продолжали полыхать. Когда стемнело, огненное зарево было видно за 150 км от Сталинграда, его наблюдали жители Эльтона, Горной Пролейки и Каменного Яра. В ночь на 24 августа германские бомбардировщики совершили еще один налет на город, сбрасывая бомбы на горящие развалины с высоты 300—400 м. Зенитчики были деморализованы, боеприпасы кончились, и немцы практически не встречали противодействия со стороны ПВО.</w:t>
      </w:r>
    </w:p>
    <w:p w14:paraId="2D5AA54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Лишь после полуночи, когда бомбежки окончательно прекратились, руководство города смогло в полной мере оценить последствия произошедшего. Председатель горкомитета обороны Чуянов совершил объезд улиц, и его глазам предстали самые ужасные картины, которые он когда-либо видел в жизни. Обвалившиеся стены домов обнажили лестничные пролеты, квартиры с обгоревшими кроватями. Повсюду валялись обгоревшие трупы и куски человеческих тел, целые кварталы некогда красивых многоэтажек, возвышавшихся над Волгой, превратились в груды развалин, среди которых копошились женщины, старики и дети, разыскивающие родных. Позднее он вспоминал:  «Вдруг дверь горящей избы распахнулась, и из нее выбежали, держась за руки, мальчик лет шести и девочка лет четырех. Они почти полураздетые: мальчик в штанишках и майке, девочка просто в ночной рубашке. Мальчик сказал, что их маму убило, а они ждут с работы отца. Я стоял перед детьми в оцепенении. Возленог лежала убитая мать этих детей. Подозвал девушек из спасательной команды и поручил им отправить детей на левый берег Волги». </w:t>
      </w:r>
    </w:p>
    <w:p w14:paraId="0984551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Из крупных предприятий больше всех пострадал металлургический завод «Красный Октябрь», где вышли из строя все доменные печи и погибли сотни рабочих. Тракторный завод им. Дзержинского немцы бомбили относительно слабо, т.к. опасались накрыть свои части, выходившие к Волге неподалеку. Поэтому здесь, несмотря на повреждения ряда цехов, работа продолжалась, и в ночь на 24 августа снова были выпущены несколько танков Т-34.</w:t>
      </w:r>
    </w:p>
    <w:p w14:paraId="34C200B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Налет на Сталинград 23 августа 1942 г. стал самой массированной операцией бомбардировочной авиации Люфтваффе с начала войны. При этом задача, поставленная директивой Гитлера от 23 июля, была полностью выполнена. Сталинград, как город и промышленный центр, был уничтожен. Сухая жаркая погода, длительное интенсивное бомбометание, применение немцами большого количества различных зажигательных бомб – все это дало огромный разрушительный эффект. Были полностью выведены из строя такие важные для страны предприятия, как завод «Красный Октябрь» и артиллерийский завод «Баррикады». По неизвестно откуда взявшимся данным, в результате бомбежки погибли свыше 40 тыс. жителей, еще около 150 тыс. получили ранения. На самом деле подсчетом жертв никто всерьез не занимался. Равно как и не было известно число мирного населения, находившегося в тот момент в городе. Поэтому говорить о какой-то конкретной цифре невозможно, ясно лишь, что погибших были десятки тысяч.</w:t>
      </w:r>
    </w:p>
    <w:p w14:paraId="11A25BC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Авиация 4-го и 8-го авиакорпусов в течение 23 августа выполнила около двух тысяч самолето-вылетов, только бомбардировочная эскадра KG51 «Эдельвейс» пять раз поднималась в воздух в полном составе! При этом потери Люфтваффе оказались минимальными, всего три самолета. Среди них был Не-111 из III./KG55, который над Сталинградом был поврежден зенитным огнем, а затем добит русским истребителем. Весь его экипаж – пилот фельдфебель Гюнтер Хойер, штурман гауптман Ханс Айсманн, бортрадист унтер-офицер Гюнтер Райман и бортмеханик обер-ефрейтор Йохан Армани – пропал без вести. В этот же день, около 14.00 по московскому времени, произошло еще одно важное событие: в разгар воздушных налетов танки Pz.III и Pz.IV из 16-й танковой дивизии достигли берега Волги севернее Сталинграда. Таким образом, Поволжье было рассечено Вермахтом на две части и сквозное судоходство по реке оказалось под угрозой полной остановки. В связи с этим нарком речного флота 3. А. Шагпков вскоре отдал приказ о прекращении движения по Волге через Сталинград. Отправленные ранее из Астрахани суда со 165 тыс. т нефтепродуктов вынуждены были повернуть обратно.</w:t>
      </w:r>
    </w:p>
    <w:p w14:paraId="1CA6A47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Наутро 24 августа вид города был поистине ужасным. Опрокинутые трамваи, горящие автомашины, ряды воронок, валяющиеся повсюду куски тел и обломки зданий – все это производило удручающее впечатление на выживших. Некоторые улицы практически превратились в кучи пепла, даже асфальт обуглился и местами растекся по обочинам дорог. Сотни жителей слонялись между развалинами, одни искали воду, другие – своих родственников, третьи просто были в трансе. Кое-где бойцы МПВО пытались разбирать завалы и оказывать помощь пострадавшим, но их было так много, что большинство людей оказались предоставленными сами себе. Возить многочисленные трупы и останки на кладбища было некогда, между тем разложение на августовской жаре происходило очень быстро. Поэтому мертвых сбрасывали в большие воронки от бомб, становившиеся братскими могилами, или закапывали прямо в скверах и во дворах. Тысячи так и остались лежать под завалами. Пожары в городе отныне не прекращались.</w:t>
      </w:r>
    </w:p>
    <w:p w14:paraId="400099F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Кроме бомб немцы буквально завалили Сталинград листовками с призывом прекратить бессмысленное сопротивление, избежать новых жертв и сдаваться. В ответ по решению горкомитета обороны на улицах началась расклейка воззваний с призывом превратить каждый дом и каждую улицу в неприступную крепость. Жителей также призывали выходить на строительство баррикад. Заканчивалось обращение словами:  «Бее, кто способен носить оружие, на баррикады, на защиту родного города, родного дома!» Правда, типография газеты «Сталинградская правда» тоже была разрушена бомбардировкой, поэтому тираж воззвания оказался небольшим, и немецкой агитации на улицах оказалось куда больше. Работа НКВД, в чьи функции входил сбор листовок, также была на некоторое время дезорганизована, поскольку здание областного управления полностью сгорело, а многочисленные повреждения телефонных линий оборвали связь с райотделами милиции.</w:t>
      </w:r>
    </w:p>
    <w:p w14:paraId="7220453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ходе непрерывных налетов 23—26 августа Люфтваффе разрушили практически всю инженерную инфраструктуру Сталинграда, вывели из строя все крупные, средние и даже мелкие предприятия, уничтожили две трети жилого фонда. Большинство жителей все это время не решались выходить из укрытий и сутками </w:t>
      </w:r>
      <w:r w:rsidRPr="001E2C69">
        <w:rPr>
          <w:rFonts w:ascii="Times New Roman" w:hAnsi="Times New Roman"/>
          <w:color w:val="000000" w:themeColor="text1"/>
          <w:sz w:val="16"/>
          <w:szCs w:val="16"/>
        </w:rPr>
        <w:lastRenderedPageBreak/>
        <w:t>отсиживались в подвалах и укрытиях. О. Козырева вспоминала:  «Б подвале было темно, пыльно и жарко, воды не было вообще. Но это было только начало. И на следующий день, и через день бомбежки продолжались. Начался голод. У моего маленького братика стал развиваться рахит, на теле появились шишки, ручки и ножки скрючились, животик вздулся. Он кричал день и ночь. В подвале жили крысы, они бегали по людям, кусали детей. Всех мучила жажда. Когда наконец прошел долгожданный дождь, воду пили прямо из луж:, вместе с грязью и головастиками. Многие потом умирали… Я получила ожоги и сама ходить не могла. Еще в подвале у меня лопнули барабанные перепонки, из ушей текла кровь. Мама переносила нас по очереди – сначала братика, а потом меня. Мы видели много мертвых. Возле одной убитой женщины сидел ребенок, ему было годика три. Он плакал и теребил маму за платье: „Мама, мамочка, вставай“. Он так и остался возле покойной, никто ему не помог». Николай Рыбалкин, живший тогда в северной части города, рассказывал:  «Каждый день мы узнавали о все новых и новых прямых попаданиях. В подробностях это были ужасные картины. Изуродованные и разорванные на куски тела. Или похороненные заживо под многометровой толщей земли в обвалившихся пещерах. Погибали целыми семьями. А когда случалось, что кто-то из погибшей семьи оставался в живых, то на его долю часто выпадало такое, чему не позавидовали бы и покойники». Особенно сталинградскому подростку запомнилась картина «похорон» на соседней улице. Утром пожилой мужчина по фамилии Захаров, торопясь успеть до очередного налета, побежал в карьер за водой, а когда возвращался, уже началась бомбежка, и он на месте своей щели, в которой оставил дочь с ее двумя малыми детьми, нашел только большую воронку. Весь день, не замечая рвавшихся вокруг бомб, старик собирал останки своей семьи и опускал их в выкопанную тут же, на дворе под тополем, могилу. Тела внуков и обезглавленный труп дочери он обнаружил под слоем земли в разрушенном убежище, а голову дочери долго не мог найти, пока соседка не увидела ее вечером на своем дворе. После массированных налетов началось неконтролируемое бегство уцелевших сталинградцев за Волгу. Перебраться вплавь было невозможно из-за больших нефтяных пятен, поэтому переплывали на подручных средствах: бревнах, самодельных плотах и автомобильных шинах. Переполненные транспортные суда выполняли десятки рейсов в день. Особенно прославился в последние дни августа баркас «Ласточка», совершавший по 15—18 рейсов в сутки. И все это под непрерывными ударами немецкой авиации. Атакам по-прежнему подвергались и корабли на других участках Волги. 24 августа теплоход «Память товарища Войкова» шел из Астрахани на морской рейд, тянув за собой три баржи с войсками и грузами для кавказского фронта, когда его атаковали три бомбардировщика. Одна из бомб взорвалась за кормой судна, перебив буксирный трос и разворотив нос первой баржи, еще две попали во вторую баржу, убив почти всех, кто там находился. Трупы людей и части тел разметало по воде на сотни метров. После этого матросам удалось поднять пострадавших, отцепить горящую баржу, и затем караван отправился дальше. Несмотря на то что немецкие танки находились на берегу Волги, руководство Нижневолжского речного пароходства полностью не отказалось от попыток отправки судов вверх по течению. 24 августа грузовой пароход «Таджикия», ведомый капитаном И. И. Рыбаковым, сумел на полном ходу прорваться через простреливаемый участок и, несмотря на многочисленные повреждения, ушел в сторону Дубовки. Видимо, этот пример и вдохновил на дальнейшие авантюры. На следующий день тем же путем отправился пассажирский пароход «Бородино» с 700 ранеными на борту. Но как только корабль вышел из пролива между островами Зайцевский и Спорный, по нему был открыт шквальный огонь с западного берега с расстояния в один километр. В результате судно было потоплено, от пожаров и взрывов погибли свыше 400 человек (11774).</w:t>
      </w:r>
    </w:p>
    <w:p w14:paraId="5B0B512D"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C36063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C 23 по 28 августа 1942 войска левого крыла СФ при активной поддержке авиации нанесли ряд контрударов и вечером 28 врага остановили на С-З подступах к Сталинграду (340,96).</w:t>
      </w:r>
    </w:p>
    <w:p w14:paraId="1F9A124D" w14:textId="77777777" w:rsidR="00AE7191" w:rsidRPr="001E2C69" w:rsidRDefault="00AE7191" w:rsidP="00722885">
      <w:pPr>
        <w:pStyle w:val="Iauiue"/>
        <w:jc w:val="both"/>
        <w:rPr>
          <w:color w:val="000000" w:themeColor="text1"/>
          <w:sz w:val="16"/>
          <w:szCs w:val="16"/>
        </w:rPr>
      </w:pPr>
    </w:p>
    <w:p w14:paraId="74BCDA07"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rPr>
        <w:t>23 августа 1942 на Восточный фронт прибыло первые четыре Тигра в 502-й танковый батальон. Выгрузили на станции Мга и получили приказ двигаться в район поселка Синявино. Сначала на большом расстоянии вступили в огневой контакт с нашими войсками, а потом - разделились, чтобы обойти холм. Три вышли из строя из-за коробки, двигателя и передачи. Снаступлениемтемнотыихэвакуировали</w:t>
      </w:r>
      <w:r w:rsidRPr="001E2C69">
        <w:rPr>
          <w:color w:val="000000" w:themeColor="text1"/>
          <w:sz w:val="16"/>
          <w:szCs w:val="16"/>
          <w:lang w:val="en-US"/>
        </w:rPr>
        <w:t xml:space="preserve"> (3570).</w:t>
      </w:r>
    </w:p>
    <w:p w14:paraId="0C053861" w14:textId="77777777" w:rsidR="00AE7191" w:rsidRPr="001E2C69" w:rsidRDefault="00AE7191" w:rsidP="00722885">
      <w:pPr>
        <w:pStyle w:val="Iauiue"/>
        <w:jc w:val="both"/>
        <w:rPr>
          <w:color w:val="000000" w:themeColor="text1"/>
          <w:sz w:val="16"/>
          <w:szCs w:val="16"/>
          <w:lang w:val="en-US"/>
        </w:rPr>
      </w:pPr>
    </w:p>
    <w:p w14:paraId="3F50A234"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lang w:val="en-US"/>
        </w:rPr>
        <w:t>August 23, 1942: After a year-long siege of the city, Hitler orders the final attack on Leningrad (Operation Nordlicht). At Stalingrad, bombers and dive-bombers of Luftflotte 4 (von Richthofen) launch massive attacks (over 2,000 missions) that devastate the city. A battle group of 16.Pz.Div., 3. and 60.Inf.Div.(mot) rapidly advances from the Don, reaching the west bank of the Volga at Rynok north of Stalingrad (3819).</w:t>
      </w:r>
    </w:p>
    <w:p w14:paraId="136B6AE0" w14:textId="77777777" w:rsidR="00AE7191" w:rsidRPr="001E2C69" w:rsidRDefault="00AE7191" w:rsidP="00722885">
      <w:pPr>
        <w:pStyle w:val="Iauiue"/>
        <w:jc w:val="both"/>
        <w:rPr>
          <w:color w:val="000000" w:themeColor="text1"/>
          <w:sz w:val="16"/>
          <w:szCs w:val="16"/>
          <w:lang w:val="en-US"/>
        </w:rPr>
      </w:pPr>
    </w:p>
    <w:p w14:paraId="1AEFDFE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23 августа 1942 после годичной блокады А.Г. приказал атаковать Ленинград (Операция Северное сияние). 4ВФ (Рихтгоффен) выполнил 2000 вылетов на бомбежку Сталинграда. Группа в составе 16ТД и 60ПД продвинулась от Калача и вышла к Волге в районе рынка Сталинграда (3819).</w:t>
      </w:r>
    </w:p>
    <w:p w14:paraId="7F6C7FAB" w14:textId="77777777" w:rsidR="00AE7191" w:rsidRPr="001E2C69" w:rsidRDefault="00AE7191" w:rsidP="00722885">
      <w:pPr>
        <w:pStyle w:val="Iauiue"/>
        <w:jc w:val="both"/>
        <w:rPr>
          <w:color w:val="000000" w:themeColor="text1"/>
          <w:sz w:val="16"/>
          <w:szCs w:val="16"/>
        </w:rPr>
      </w:pPr>
    </w:p>
    <w:p w14:paraId="006AC786"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Жизнь и внутренняя политика:</w:t>
      </w:r>
    </w:p>
    <w:p w14:paraId="1B7511A9" w14:textId="77777777" w:rsidR="00AE7191" w:rsidRPr="001E2C69" w:rsidRDefault="00AE7191" w:rsidP="00722885">
      <w:pPr>
        <w:pStyle w:val="Iauiue"/>
        <w:jc w:val="both"/>
        <w:rPr>
          <w:iCs/>
          <w:color w:val="000000" w:themeColor="text1"/>
          <w:sz w:val="16"/>
          <w:szCs w:val="16"/>
        </w:rPr>
      </w:pPr>
    </w:p>
    <w:p w14:paraId="753339CA"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23 августа 1942 вышло Постановление ГКО № 2206 О плане сдачи картофеля и овощей Красной Армии, Военно-Морскому Флоту и войскам НКВД из урожая 1942 г. (7051, 50-58,59-69).</w:t>
      </w:r>
    </w:p>
    <w:p w14:paraId="493CE4F8" w14:textId="77777777" w:rsidR="00AE7191" w:rsidRPr="001E2C69" w:rsidRDefault="00AE7191" w:rsidP="00722885">
      <w:pPr>
        <w:pStyle w:val="Iauiue"/>
        <w:tabs>
          <w:tab w:val="left" w:pos="11199"/>
        </w:tabs>
        <w:jc w:val="both"/>
        <w:rPr>
          <w:color w:val="000000" w:themeColor="text1"/>
          <w:sz w:val="16"/>
          <w:szCs w:val="16"/>
        </w:rPr>
      </w:pPr>
    </w:p>
    <w:p w14:paraId="4028D396"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Внешняя политика:</w:t>
      </w:r>
    </w:p>
    <w:p w14:paraId="794A04FE" w14:textId="77777777" w:rsidR="00AE7191" w:rsidRPr="001E2C69" w:rsidRDefault="00AE7191" w:rsidP="00722885">
      <w:pPr>
        <w:pStyle w:val="Iauiue"/>
        <w:jc w:val="both"/>
        <w:rPr>
          <w:iCs/>
          <w:color w:val="000000" w:themeColor="text1"/>
          <w:sz w:val="16"/>
          <w:szCs w:val="16"/>
        </w:rPr>
      </w:pPr>
    </w:p>
    <w:p w14:paraId="27AE8CDF"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23 августа 1942 вышло Постановление ГКО № 2203 [Об импорте лошадей из Монголии, Китая, Тувы, Ирана]. (7051, 44-45).</w:t>
      </w:r>
    </w:p>
    <w:p w14:paraId="6E5EFF95" w14:textId="77777777" w:rsidR="00AE7191" w:rsidRPr="001E2C69" w:rsidRDefault="00AE7191" w:rsidP="00722885">
      <w:pPr>
        <w:pStyle w:val="Iauiue"/>
        <w:tabs>
          <w:tab w:val="left" w:pos="11199"/>
        </w:tabs>
        <w:jc w:val="both"/>
        <w:rPr>
          <w:color w:val="000000" w:themeColor="text1"/>
          <w:sz w:val="16"/>
          <w:szCs w:val="16"/>
        </w:rPr>
      </w:pPr>
    </w:p>
    <w:p w14:paraId="4D7FD64A" w14:textId="77777777" w:rsidR="00D06519" w:rsidRPr="001E2C69" w:rsidRDefault="00D06519" w:rsidP="00722885">
      <w:pPr>
        <w:pStyle w:val="Iauiue"/>
        <w:jc w:val="both"/>
        <w:rPr>
          <w:iCs/>
          <w:color w:val="000000" w:themeColor="text1"/>
          <w:sz w:val="16"/>
          <w:szCs w:val="16"/>
        </w:rPr>
      </w:pPr>
      <w:r w:rsidRPr="001E2C69">
        <w:rPr>
          <w:iCs/>
          <w:color w:val="000000" w:themeColor="text1"/>
          <w:sz w:val="16"/>
          <w:szCs w:val="16"/>
        </w:rPr>
        <w:t>За рубеджом:</w:t>
      </w:r>
    </w:p>
    <w:p w14:paraId="3C4CA2BC" w14:textId="77777777" w:rsidR="00D06519" w:rsidRPr="001E2C69" w:rsidRDefault="00D06519" w:rsidP="00722885">
      <w:pPr>
        <w:pStyle w:val="Iauiue"/>
        <w:jc w:val="both"/>
        <w:rPr>
          <w:iCs/>
          <w:color w:val="000000" w:themeColor="text1"/>
          <w:sz w:val="16"/>
          <w:szCs w:val="16"/>
        </w:rPr>
      </w:pPr>
    </w:p>
    <w:p w14:paraId="630BD592"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 августа в 1942 году произошла первая попытка применения итальянцами радиоуправляемого бомбардировщика. Одиночный «SM.79» без экипажа был послан на бомбардировку кораблей союзников у берегов Алжира. Положительный результат этого вылета свелся к тому, что руководство ВВС отказалось от дальнейших попыток приспособить под эти цели тяжелые многомоторные самолёты, поскольку это дорого и неэкономично с любой точки зрения (14991).</w:t>
      </w:r>
    </w:p>
    <w:p w14:paraId="580D229F"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0AF60CC6"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1C54C7B2" w14:textId="77777777" w:rsidR="00AE7191" w:rsidRPr="001E2C69" w:rsidRDefault="00AE7191" w:rsidP="00722885">
      <w:pPr>
        <w:pStyle w:val="Iauiue"/>
        <w:jc w:val="both"/>
        <w:rPr>
          <w:iCs/>
          <w:color w:val="000000" w:themeColor="text1"/>
          <w:sz w:val="16"/>
          <w:szCs w:val="16"/>
        </w:rPr>
      </w:pPr>
    </w:p>
    <w:p w14:paraId="7B7DC13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24 августа 1942 за N 330300 Командующий ВВС, Военком и ГИ направили в НКАП замечания по проекту плана опытного самолетостроения на 1942 и потребовали доведение экипажа до 2-х и установка дополнительного вооружения для стрельбы назад (1632,151).</w:t>
      </w:r>
    </w:p>
    <w:p w14:paraId="226B4F9A" w14:textId="77777777" w:rsidR="00AE7191" w:rsidRPr="001E2C69" w:rsidRDefault="00AE7191" w:rsidP="00722885">
      <w:pPr>
        <w:pStyle w:val="Iauiue"/>
        <w:jc w:val="both"/>
        <w:rPr>
          <w:color w:val="000000" w:themeColor="text1"/>
          <w:sz w:val="16"/>
          <w:szCs w:val="16"/>
        </w:rPr>
      </w:pPr>
    </w:p>
    <w:p w14:paraId="09D985F7" w14:textId="77777777" w:rsidR="0059006B" w:rsidRPr="001E2C69" w:rsidRDefault="0059006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августа 1942 в замечаниях по проекту плана опытного самолетостроения на 1942 год военные потребовали довести экипаж МШ-АМ-38 до двух человек (летчик и воздушный стрелок) и установить дополнительное вооружение для стрельбы назад. В этой связи Ильюшин снял проект МШ-АМ-38 с повестки дня и в сентябре прекратил по нему все работы (17490).</w:t>
      </w:r>
    </w:p>
    <w:p w14:paraId="78F4FEFD" w14:textId="77777777" w:rsidR="0059006B" w:rsidRPr="001E2C69" w:rsidRDefault="0059006B" w:rsidP="00722885">
      <w:pPr>
        <w:spacing w:after="0" w:line="240" w:lineRule="auto"/>
        <w:jc w:val="both"/>
        <w:rPr>
          <w:rFonts w:ascii="Times New Roman" w:eastAsia="Times New Roman" w:hAnsi="Times New Roman"/>
          <w:color w:val="000000" w:themeColor="text1"/>
          <w:sz w:val="16"/>
          <w:szCs w:val="16"/>
          <w:lang w:eastAsia="ru-RU"/>
        </w:rPr>
      </w:pPr>
    </w:p>
    <w:p w14:paraId="69E71AD5" w14:textId="77777777" w:rsidR="0059006B" w:rsidRPr="001E2C69" w:rsidRDefault="0059006B"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24 августа в замечаниях по проекту плана опытного самолетостроения на 1942 г. военные по</w:t>
      </w:r>
      <w:r w:rsidRPr="001E2C69">
        <w:rPr>
          <w:color w:val="000000" w:themeColor="text1"/>
          <w:sz w:val="16"/>
          <w:szCs w:val="16"/>
        </w:rPr>
        <w:softHyphen/>
        <w:t>требовали довести экипаж МШ-АМ-38 до 2 человек (летчик и воздушный стрелок) и установить допол</w:t>
      </w:r>
      <w:r w:rsidRPr="001E2C69">
        <w:rPr>
          <w:color w:val="000000" w:themeColor="text1"/>
          <w:sz w:val="16"/>
          <w:szCs w:val="16"/>
        </w:rPr>
        <w:softHyphen/>
        <w:t>нительное вооружение для стрельбы назад (17500).</w:t>
      </w:r>
    </w:p>
    <w:p w14:paraId="61FD3F02" w14:textId="77777777" w:rsidR="0059006B" w:rsidRPr="001E2C69" w:rsidRDefault="0059006B" w:rsidP="00722885">
      <w:pPr>
        <w:spacing w:after="0" w:line="240" w:lineRule="auto"/>
        <w:jc w:val="both"/>
        <w:rPr>
          <w:rFonts w:ascii="Times New Roman" w:eastAsia="Times New Roman" w:hAnsi="Times New Roman"/>
          <w:color w:val="000000" w:themeColor="text1"/>
          <w:sz w:val="16"/>
          <w:szCs w:val="16"/>
          <w:lang w:eastAsia="ru-RU"/>
        </w:rPr>
      </w:pPr>
    </w:p>
    <w:p w14:paraId="4B672391" w14:textId="77777777" w:rsidR="00D06519" w:rsidRPr="001E2C69" w:rsidRDefault="00D06519"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24 августа 1942 ВВС потребовали довести экипаж МШ-АМ-38 до двух человек (летчик и воздушный стрелок) и установить дополнительное вооружение для стрельбы назад. В этой связи Ильюшин обратился в пра</w:t>
      </w:r>
      <w:r w:rsidRPr="001E2C69">
        <w:rPr>
          <w:rFonts w:ascii="Times New Roman" w:cs="Times New Roman"/>
          <w:color w:val="000000" w:themeColor="text1"/>
          <w:spacing w:val="0"/>
          <w:sz w:val="16"/>
          <w:szCs w:val="16"/>
        </w:rPr>
        <w:softHyphen/>
        <w:t>вительство с предложением включить в план опытного самолетостроения текущего года постройку двухместного бронированного штурмовика с мотором М-71 вместо одно</w:t>
      </w:r>
      <w:r w:rsidRPr="001E2C69">
        <w:rPr>
          <w:rFonts w:ascii="Times New Roman" w:cs="Times New Roman"/>
          <w:color w:val="000000" w:themeColor="text1"/>
          <w:spacing w:val="0"/>
          <w:sz w:val="16"/>
          <w:szCs w:val="16"/>
        </w:rPr>
        <w:softHyphen/>
        <w:t>местного. Эскизный проект самолета, полупившего обозначение БШ-М-71, был подпи</w:t>
      </w:r>
      <w:r w:rsidRPr="001E2C69">
        <w:rPr>
          <w:rFonts w:ascii="Times New Roman" w:cs="Times New Roman"/>
          <w:color w:val="000000" w:themeColor="text1"/>
          <w:spacing w:val="0"/>
          <w:sz w:val="16"/>
          <w:szCs w:val="16"/>
        </w:rPr>
        <w:softHyphen/>
        <w:t>сан Ильюшиным 25 августа 1942 г. Но это уже другая история (15776).</w:t>
      </w:r>
    </w:p>
    <w:p w14:paraId="4ECC4479" w14:textId="77777777" w:rsidR="00D06519" w:rsidRPr="001E2C69" w:rsidRDefault="00D06519" w:rsidP="00722885">
      <w:pPr>
        <w:pStyle w:val="36"/>
        <w:shd w:val="clear" w:color="auto" w:fill="auto"/>
        <w:spacing w:after="0" w:line="240" w:lineRule="auto"/>
        <w:jc w:val="both"/>
        <w:rPr>
          <w:rFonts w:ascii="Times New Roman" w:cs="Times New Roman"/>
          <w:color w:val="000000" w:themeColor="text1"/>
          <w:spacing w:val="0"/>
          <w:sz w:val="16"/>
          <w:szCs w:val="16"/>
        </w:rPr>
      </w:pPr>
    </w:p>
    <w:p w14:paraId="0D6BA4C9"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Style w:val="affb"/>
          <w:rFonts w:ascii="Times New Roman" w:hAnsi="Times New Roman" w:cs="Times New Roman"/>
          <w:b w:val="0"/>
          <w:color w:val="000000" w:themeColor="text1"/>
          <w:spacing w:val="0"/>
          <w:sz w:val="16"/>
          <w:szCs w:val="16"/>
        </w:rPr>
        <w:t>24</w:t>
      </w:r>
      <w:r w:rsidRPr="001E2C69">
        <w:rPr>
          <w:rFonts w:ascii="Times New Roman" w:hAnsi="Times New Roman"/>
          <w:color w:val="000000" w:themeColor="text1"/>
          <w:sz w:val="16"/>
          <w:szCs w:val="16"/>
        </w:rPr>
        <w:t xml:space="preserve"> августа 1942 ВВС потребовали довести экипаж МШ-АМ-38 до двух человек (лётчик и воздуш</w:t>
      </w:r>
      <w:r w:rsidRPr="001E2C69">
        <w:rPr>
          <w:rFonts w:ascii="Times New Roman" w:hAnsi="Times New Roman"/>
          <w:color w:val="000000" w:themeColor="text1"/>
          <w:sz w:val="16"/>
          <w:szCs w:val="16"/>
        </w:rPr>
        <w:softHyphen/>
        <w:t>ный стрелок) и установить вооружение для стрельбы назад.</w:t>
      </w:r>
    </w:p>
    <w:p w14:paraId="759D69CA"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этой связи Ильюшин обратился в правительство с предложением включить в план опытного самолётостроения текущего года постройку двухместного бронированного штур</w:t>
      </w:r>
      <w:r w:rsidRPr="001E2C69">
        <w:rPr>
          <w:rFonts w:ascii="Times New Roman" w:hAnsi="Times New Roman"/>
          <w:color w:val="000000" w:themeColor="text1"/>
          <w:sz w:val="16"/>
          <w:szCs w:val="16"/>
        </w:rPr>
        <w:softHyphen/>
        <w:t>мовика с мотором М-71 взамен одноместного. Эскизный проект самолёта, получившего обозначение БШ-М-71 (Ил-8 М-71), был подписан Ильюшиным 25 августа 1942 г. (15846).</w:t>
      </w:r>
    </w:p>
    <w:p w14:paraId="32F0621F"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4AF0FCE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24 августа 1942 С.В.И. писал А.И.Ш. письмо N 424:</w:t>
      </w:r>
    </w:p>
    <w:p w14:paraId="1A23FCB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w:t>
      </w:r>
    </w:p>
    <w:p w14:paraId="71A3ED6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последнее время настойчиво ставится вопрос командирами и летчиками действующей армии о 2-х местном самолете Ил-2.</w:t>
      </w:r>
    </w:p>
    <w:p w14:paraId="38D73CD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дополнение к личному докладу считаю необходимым просить Вас о серийном запуске 2-х местного самолета Ил-2 с М-82, прошедшего гос. испытания в прошлом 1941.</w:t>
      </w:r>
    </w:p>
    <w:p w14:paraId="3446F02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2-х местный самолет Ил-2 будет надежно прикрывать одноместные самолеты Ил-2 с АМ-38, и в то же время выполнять штурмовые действия.</w:t>
      </w:r>
    </w:p>
    <w:p w14:paraId="2079054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Было бы целесообразным запустить 2-х местный Ил-2 с М-82 на заводе 381 и на заводе 30.</w:t>
      </w:r>
    </w:p>
    <w:p w14:paraId="5DCB61B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lastRenderedPageBreak/>
        <w:t>Ввиду учащающихся настойчивых требований фронта необходимо запуск в серийное производство форсировать.</w:t>
      </w:r>
    </w:p>
    <w:p w14:paraId="5E70477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2-х местному штурмовику Ил-2 с М-82 во избежание путаницы при запуске в серийное производство, прошу дать наименование Ил-6 м И-82 (1680,158).</w:t>
      </w:r>
    </w:p>
    <w:p w14:paraId="1471F9C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w:t>
      </w:r>
    </w:p>
    <w:p w14:paraId="7388B39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2-х местный штурмовик Ил-2 с М-82 имеет забронированной только переднюю часть мотора и лишь частично.</w:t>
      </w:r>
    </w:p>
    <w:p w14:paraId="5E5F8A3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данный момент мною разработана конструкция полного бронирования мотора.</w:t>
      </w:r>
    </w:p>
    <w:p w14:paraId="124552E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Прошу Вас произвести работу по бронированию мотора на указанном самолете (1680,158).</w:t>
      </w:r>
    </w:p>
    <w:p w14:paraId="0889CD8C" w14:textId="77777777" w:rsidR="00AE7191" w:rsidRPr="001E2C69" w:rsidRDefault="00AE7191" w:rsidP="00722885">
      <w:pPr>
        <w:pStyle w:val="Iauiue"/>
        <w:jc w:val="both"/>
        <w:rPr>
          <w:color w:val="000000" w:themeColor="text1"/>
          <w:sz w:val="16"/>
          <w:szCs w:val="16"/>
        </w:rPr>
      </w:pPr>
    </w:p>
    <w:p w14:paraId="299F29B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24 августа 1942 года начальник 8 главного управления В. Поликовский писал письмо Шахурину.</w:t>
      </w:r>
    </w:p>
    <w:p w14:paraId="5A10DBC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Справка.</w:t>
      </w:r>
    </w:p>
    <w:p w14:paraId="53CC29E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 состоянии опытных работ на 10 августа 1942 г.</w:t>
      </w:r>
    </w:p>
    <w:p w14:paraId="5A7036C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моторостроительным заводам NN 19, 29, 26, 24,</w:t>
      </w:r>
    </w:p>
    <w:p w14:paraId="1DF1F1B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16, 500 и ОКБ-250.</w:t>
      </w:r>
    </w:p>
    <w:p w14:paraId="65D2E4A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N 19.</w:t>
      </w:r>
    </w:p>
    <w:p w14:paraId="6699C49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Мотор М-71.</w:t>
      </w:r>
    </w:p>
    <w:p w14:paraId="34178F0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Подготовлено производством и сборкой три мотора для повторных 100 часовых государственных испытаний. Все ранее выявленные дефекты как на заводских, а также и на официальных испытаниях учтены и устранены в указанных моторах. Для проверки надежности работы вновь изготовленных моторов один из них был поставлен на заводские 100-часовые испытания, который на 10/VIII прошел 64 часа режимной работы без каких-либо существенных дефектов.</w:t>
      </w:r>
    </w:p>
    <w:p w14:paraId="06D5CB0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 государственные 100-часовое испытание мотор будет поставлен 14/VIII.</w:t>
      </w:r>
    </w:p>
    <w:p w14:paraId="52DB28E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Мотор М-82Ф.</w:t>
      </w:r>
    </w:p>
    <w:p w14:paraId="3CBC2F4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Мотор М-82 форсированный поставлен на длительные заводские испытания 9 августа. Сравнительно с мотором М-82, этот мотор имеет следующие отличия по своим техническим данным: по взлетной мощности превышение на 200 л.с., т.е. 1900 л.с. вместо 1700 л.с.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1E2C69" w:rsidRPr="001E2C69" w14:paraId="42E3B589" w14:textId="77777777" w:rsidTr="00CC5360">
        <w:tc>
          <w:tcPr>
            <w:tcW w:w="2818" w:type="dxa"/>
            <w:tcBorders>
              <w:top w:val="single" w:sz="12" w:space="0" w:color="auto"/>
            </w:tcBorders>
          </w:tcPr>
          <w:p w14:paraId="1A6FAEF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 на высоте</w:t>
            </w:r>
          </w:p>
        </w:tc>
        <w:tc>
          <w:tcPr>
            <w:tcW w:w="2818" w:type="dxa"/>
            <w:tcBorders>
              <w:top w:val="single" w:sz="12" w:space="0" w:color="auto"/>
            </w:tcBorders>
          </w:tcPr>
          <w:p w14:paraId="4996DA5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2500 м</w:t>
            </w:r>
          </w:p>
        </w:tc>
        <w:tc>
          <w:tcPr>
            <w:tcW w:w="2818" w:type="dxa"/>
            <w:tcBorders>
              <w:top w:val="single" w:sz="12" w:space="0" w:color="auto"/>
            </w:tcBorders>
          </w:tcPr>
          <w:p w14:paraId="3B44364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1700 л.с.</w:t>
            </w:r>
          </w:p>
        </w:tc>
      </w:tr>
      <w:tr w:rsidR="001E2C69" w:rsidRPr="001E2C69" w14:paraId="3F9C0BE0" w14:textId="77777777" w:rsidTr="00CC5360">
        <w:tc>
          <w:tcPr>
            <w:tcW w:w="2818" w:type="dxa"/>
            <w:tcBorders>
              <w:bottom w:val="single" w:sz="12" w:space="0" w:color="auto"/>
            </w:tcBorders>
          </w:tcPr>
          <w:p w14:paraId="34B81DE4" w14:textId="77777777" w:rsidR="00AE7191" w:rsidRPr="001E2C69" w:rsidRDefault="00AE7191" w:rsidP="00722885">
            <w:pPr>
              <w:pStyle w:val="Iauiue"/>
              <w:jc w:val="both"/>
              <w:rPr>
                <w:color w:val="000000" w:themeColor="text1"/>
                <w:sz w:val="16"/>
                <w:szCs w:val="16"/>
              </w:rPr>
            </w:pPr>
          </w:p>
        </w:tc>
        <w:tc>
          <w:tcPr>
            <w:tcW w:w="2818" w:type="dxa"/>
            <w:tcBorders>
              <w:bottom w:val="single" w:sz="12" w:space="0" w:color="auto"/>
            </w:tcBorders>
          </w:tcPr>
          <w:p w14:paraId="165F747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5000 м</w:t>
            </w:r>
          </w:p>
        </w:tc>
        <w:tc>
          <w:tcPr>
            <w:tcW w:w="2818" w:type="dxa"/>
            <w:tcBorders>
              <w:bottom w:val="single" w:sz="12" w:space="0" w:color="auto"/>
            </w:tcBorders>
          </w:tcPr>
          <w:p w14:paraId="6704D63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1500 л.с.</w:t>
            </w:r>
          </w:p>
        </w:tc>
      </w:tr>
    </w:tbl>
    <w:p w14:paraId="608053C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Предъявить этот мотор на совместные 50-ти часовые испытания намечено 25-30 августа.</w:t>
      </w:r>
    </w:p>
    <w:p w14:paraId="361C185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Два мотора М-82Ф подготовляются для отправки на завод N 21.</w:t>
      </w:r>
    </w:p>
    <w:p w14:paraId="6EDDDFB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Мотор М-82НВ.</w:t>
      </w:r>
    </w:p>
    <w:p w14:paraId="50DD9A0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Как ранее отмечалось мотор М-82 с непосредственным впрыском топлива удовлетворительно прошел 100-часовые официальные испытания на станке 28 июня.</w:t>
      </w:r>
    </w:p>
    <w:p w14:paraId="606B9B5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После установки мотора М-82НВ на самолет СУ-2, для проверки надежности работы мотора в воздухе и главным образом его автоматики, на 10 августа было проведено два полета до высоты 5400 м.</w:t>
      </w:r>
    </w:p>
    <w:p w14:paraId="1B3368C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Работа мотора в целом и автоматика насоса непосредственного впрыска показали вполне удовлетворительную работу. Было зарегистрировано увеличение скорости полета, сравнительно с самолетом СУ-2, оборудованным мотором М-82, за счет прироста мощности у мотора М-82НВ.</w:t>
      </w:r>
    </w:p>
    <w:p w14:paraId="1E47135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Задержка дальнейших летных испытаний произошла вследствие поломки шасси самолета, и возобновится 15-16 августа.</w:t>
      </w:r>
    </w:p>
    <w:p w14:paraId="27BD351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N 29.</w:t>
      </w:r>
    </w:p>
    <w:p w14:paraId="20AB6AD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Мотор М-90.</w:t>
      </w:r>
    </w:p>
    <w:p w14:paraId="6B2E4A4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Мотор М-90 находится на заводской доводке до 50-ти часовой надежной работы. На 8 августа мотор прошел 20 часов без дефектов. Испытание продолжается. Дано распоряжение заводам NN 33 и 306 о полном обеспечении испытаний вполне кондиционными агрегатами (карбюратор "ВК", магнето и свечи) (1684,256).</w:t>
      </w:r>
    </w:p>
    <w:p w14:paraId="69E4DBB6" w14:textId="77777777" w:rsidR="00AE7191" w:rsidRPr="001E2C69" w:rsidRDefault="00AE7191" w:rsidP="00722885">
      <w:pPr>
        <w:pStyle w:val="Iauiue"/>
        <w:jc w:val="both"/>
        <w:rPr>
          <w:color w:val="000000" w:themeColor="text1"/>
          <w:sz w:val="16"/>
          <w:szCs w:val="16"/>
        </w:rPr>
      </w:pPr>
    </w:p>
    <w:p w14:paraId="0BCDC57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До 24 августа 1942 года завод № 99 изготовлял для самолета ПЕ-2 хвостовую часть фюзеляжа Ф-3. Решением ГОКО № 2209сс от 24 августа 1942 года он выделен как самостоятельный завод № 99.</w:t>
      </w:r>
    </w:p>
    <w:p w14:paraId="701C17E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Головной самолет ПЕ-2 по сборке был сдан в июле 1941 года. В октябре, ноябре, декабре 1941 года на площади завода № 125 постановлением Совета эвакуации № 14323 СЭ от 6 октября 1941 года был эвакуирован из Москвы авиазавод № 39 им. Менжинского. Директор объединенного завода Иосилович.</w:t>
      </w:r>
    </w:p>
    <w:p w14:paraId="00CCE37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дальнейшем завод № 125 именуется завод № 39.</w:t>
      </w:r>
    </w:p>
    <w:p w14:paraId="4F3E0B4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Слияние завода № 125, 104 и 99, эвакуация завода № 39 резко увеличило количество площадей и работающих.</w:t>
      </w:r>
    </w:p>
    <w:p w14:paraId="1A43FA4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 короткий период изготовления ПЕ-2 (февраль-август 1941 года) завод сумел освоить и дать ряд модификаций машины ПЕ-2, ПЕ-3, ПЕ-3 БИС наряду с полной отработкой самой машины ПЕ-2 и доведением выпуска до масштабов крупно-серийного производства.</w:t>
      </w:r>
    </w:p>
    <w:p w14:paraId="3CE5B71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Постановлением ГОКО от 3 августа 1942 года № 2134 и приказом НКАП № 589с от 5 августа 1942 года завод получил задание осовить и запустить в серийное производство машину ИЛ-4.</w:t>
      </w:r>
    </w:p>
    <w:p w14:paraId="53AE78E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период изготовления ИЛ-4 заводом в 1943 году были изготовлены два опытных образца машины ИЛ-6. (Директор завода Абрамов В.И.). В сентябре 1943 года заводом было получено задание параллельно с изготовлением ИЛ-4 организовать производство машины ЕР-2.</w:t>
      </w:r>
    </w:p>
    <w:p w14:paraId="6761E81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этот же период наряду с изготовлением машины ЕР-2 на заводе в 1944-1945 гг. были изготовлены четыре образца пассажирского варианта ЕР-2 особого назначения (ЕР-20Н), а также несколько образцов модификаций машины ЕР-2-ЕР-2ММ.</w:t>
      </w:r>
    </w:p>
    <w:p w14:paraId="321101C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Кроме самолетов в период 1942-1945 гг. завод согласно решения ГОКО № 1849сс от июня 1942 года для фронта изготавливал корпуса 82 мм мин (изделие М-82).</w:t>
      </w:r>
    </w:p>
    <w:p w14:paraId="517E508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Постановлением СНК от 26 февраля 1946 года № 473-192сс и приказом НКАП № 83 от 2 марта 1946 года заводу было дано задание освоить изготовление и запустить в производство машину ТУ-2. Директор – Петров.</w:t>
      </w:r>
    </w:p>
    <w:p w14:paraId="75E493C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Головную машину ТУ-2 завод выпустил 30 июня 1947 года.</w:t>
      </w:r>
    </w:p>
    <w:p w14:paraId="5D06045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ТУ-2 завод выпускал в течение 1947-1949 гг.</w:t>
      </w:r>
    </w:p>
    <w:p w14:paraId="4AE28AA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Постановлением СМ № 1890-700сс от 14 мая 1949 года и приказом МАП № 374сс от 19 мая 1949 года заводу было дано новое задание по постановлке в серийное производство реактивного бомбардировщика ИЛ-28 с двумя двигателями ВК-1.</w:t>
      </w:r>
    </w:p>
    <w:p w14:paraId="6FEDEFD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начале сентября 1949 года все работы по запуску в производство ИЛ-28 были приостановлены в связи с изменением задания.</w:t>
      </w:r>
    </w:p>
    <w:p w14:paraId="1617471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160F803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Постановлением СМ от 31 декабря 1952 года № 533-2090сс и приказом МАП от 3-го января 1953 года № 6сс заводу было дано новое задание о постановке в производство нового изделия самолета ИЛ-28Р. (Жиректор завода Иванченко С.К.)</w:t>
      </w:r>
    </w:p>
    <w:p w14:paraId="6BB7B58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И.о. директора – Гордин</w:t>
      </w:r>
    </w:p>
    <w:p w14:paraId="01BB97D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Адрес: Иркутская область, п/я 411</w:t>
      </w:r>
    </w:p>
    <w:p w14:paraId="14BCFBE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Производственный профиль – самолетостроение</w:t>
      </w:r>
    </w:p>
    <w:p w14:paraId="3119B7B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расположен в Иркутской области в поселке Ленина, находящемся от Иркутска на расстоянии 7 км по ж/д в западном направлении и по автомобильной дороге на расстоянии 11 км. С северной стороны завода протекает Ангара на расстоянии 2,5 км (9826).</w:t>
      </w:r>
    </w:p>
    <w:p w14:paraId="42AA1204" w14:textId="77777777" w:rsidR="00AE7191" w:rsidRPr="001E2C69" w:rsidRDefault="00AE7191" w:rsidP="00722885">
      <w:pPr>
        <w:pStyle w:val="Iauiue"/>
        <w:jc w:val="both"/>
        <w:rPr>
          <w:color w:val="000000" w:themeColor="text1"/>
          <w:sz w:val="16"/>
          <w:szCs w:val="16"/>
        </w:rPr>
      </w:pPr>
    </w:p>
    <w:p w14:paraId="11820D2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24 августа 1942 года вышло Постановления ГКО за № 2209сс и 25 августа 1942 года вышел приказ НКАП № 652сс, которым бывший завод № 99 был преобразован из филиала завода № 39 в самостоятельный самолетостроительный завод № 99. Заводу было поручено организовать выпуск истребителей ЛА-5 с мотором воздушного охлаждения М-82. С февраля 1943 года завод приступил к серийному выпуску самолета ЛА-5 типа 37.</w:t>
      </w:r>
    </w:p>
    <w:p w14:paraId="45405C8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Выпуск ЛА-5 продолжался до июля 1944 года, за указанный период завод передал ВВС 286 машин. В июле 1944 года была получена директива о прекращении изготовления самолета ЛА-5 и запуске в производство машины типа № 45, названной ЛА-7.</w:t>
      </w:r>
    </w:p>
    <w:p w14:paraId="51297C9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Выпуск ЛА-7 продолжался до марта 1946 года, за указанный период сдано частям ВВС 249 машин.</w:t>
      </w:r>
    </w:p>
    <w:p w14:paraId="3F9D310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Постановлением ГКО от 6 июня 1945 года № 8934сс и приказом НКАП № 251сс от 15 июня 1945 года о сокращении плана производства самолетов, на освобожденных мощностях организовано производство изделий народного потребления. В ноябре 1946 года по приказу начальника ПГУ МАП за № 39с от 6 ноября 1946 года завод приступил к подготовке производства самолетов ЛА-9 с мотором АШ-82ФН.</w:t>
      </w:r>
    </w:p>
    <w:p w14:paraId="0C6FA02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Выпуск самолетов ЛА-9 продолжался до 1 июля 1948 года. За указанный период завод передал ВВС 73 машины. Начиная с июня 1948 года завод приступил к выпуску самолетов ЛА-9 УТИ. С января 1947 года по 1 января 1950 года завод передал ВВС самолетов ЛА-9 и ЛА-9 УТИ всего 323 машины. С января 1950 года Постановлением СМ № 5560-2153сс от 17 декабря 1949 года приказом МАП за № 1019сс-ов от 29 декабря 1949 года заводу было предложено приступить к освоению и производству самолетов УТИ МИГ-15 с двигателем РД-45Ф.</w:t>
      </w:r>
    </w:p>
    <w:p w14:paraId="315FEF9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продолжал ремонт самолетов ЛА-9 до 1951 года.</w:t>
      </w:r>
    </w:p>
    <w:p w14:paraId="4877D55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начиная с 1951 года начал серийный выпуск самолета МИГ-15 с крыльями получаемыми с родственных заводов.</w:t>
      </w:r>
    </w:p>
    <w:p w14:paraId="383F4D4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lastRenderedPageBreak/>
        <w:t>Местонахождение – завод расположен в 12 км от Улан-Удэ</w:t>
      </w:r>
    </w:p>
    <w:p w14:paraId="6F83A5B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Производственный профиль – самолетостроительный завод по выпуску самолетов УТИ МИГ-15 и вертолетов КА-15</w:t>
      </w:r>
    </w:p>
    <w:p w14:paraId="2879DF1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Основными задача, стоявшая перед заводом в 1958 году – выпуск вертолетов КА-15 в количестве 140 единиц, самолетов УТИ МИГ-15 в количестве 100 единиц и выпуск гражданской продукции (9657).</w:t>
      </w:r>
    </w:p>
    <w:p w14:paraId="6670150C" w14:textId="77777777" w:rsidR="00AE7191" w:rsidRPr="001E2C69" w:rsidRDefault="00AE7191" w:rsidP="00722885">
      <w:pPr>
        <w:pStyle w:val="Iauiue"/>
        <w:jc w:val="both"/>
        <w:rPr>
          <w:color w:val="000000" w:themeColor="text1"/>
          <w:sz w:val="16"/>
          <w:szCs w:val="16"/>
        </w:rPr>
      </w:pPr>
    </w:p>
    <w:p w14:paraId="74E4673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августа 1942 вышло Постановление ГКО № 2209 Об организации производства самолетов ЛаГГ-5 на заводе № 99. РГАНИР, Фонд ГКО, д. 53, лл. 75 (11012).</w:t>
      </w:r>
    </w:p>
    <w:p w14:paraId="7957A9F9"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320BA4E" w14:textId="77777777" w:rsidR="006F4217" w:rsidRPr="001E2C69" w:rsidRDefault="006F42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августа 1942 вышло Постановление ГКО № 2209 Об организации производства самолетов ЛаГГ-5 на заводе № 99</w:t>
      </w:r>
    </w:p>
    <w:p w14:paraId="09981E20" w14:textId="77777777" w:rsidR="006F4217" w:rsidRPr="001E2C69" w:rsidRDefault="006F4217"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1.Обязать Наркомавиапром - т.Шахурина,директора эавода № 99 - т.Прокопьева и главного конструктора самолета Лагг-5 т.Лавочкина организовать производство самолетов Лагг-5 на заводе № 99 в г.Улан-Удэ.</w:t>
      </w:r>
    </w:p>
    <w:p w14:paraId="2BC878A9" w14:textId="77777777" w:rsidR="006F4217" w:rsidRPr="001E2C69" w:rsidRDefault="006F4217"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2.Установить заводу № 99 программу по выпуску самоле</w:t>
      </w:r>
      <w:r w:rsidRPr="001E2C69">
        <w:rPr>
          <w:rFonts w:ascii="Times New Roman" w:hAnsi="Times New Roman" w:cs="Times New Roman"/>
          <w:color w:val="000000" w:themeColor="text1"/>
          <w:spacing w:val="0"/>
          <w:sz w:val="16"/>
          <w:szCs w:val="16"/>
        </w:rPr>
        <w:softHyphen/>
        <w:t>тов Лагг-5 в 1942г. в количестве 30 самолетов,в том числе: в ноябре - 10 самолетов и в декабре - 20 самолетов.</w:t>
      </w:r>
    </w:p>
    <w:p w14:paraId="44C9A65D" w14:textId="77777777" w:rsidR="006F4217" w:rsidRPr="001E2C69" w:rsidRDefault="006F4217"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3,Обязать директора завода № 21 - т.Гостинцева</w:t>
      </w:r>
      <w:r w:rsidRPr="001E2C69">
        <w:rPr>
          <w:rStyle w:val="CenturyGothic0pt"/>
          <w:rFonts w:ascii="Times New Roman" w:hAnsi="Times New Roman" w:cs="Times New Roman"/>
          <w:color w:val="000000" w:themeColor="text1"/>
          <w:spacing w:val="0"/>
        </w:rPr>
        <w:t xml:space="preserve"> л</w:t>
      </w:r>
      <w:r w:rsidRPr="001E2C69">
        <w:rPr>
          <w:rFonts w:ascii="Times New Roman" w:hAnsi="Times New Roman" w:cs="Times New Roman"/>
          <w:color w:val="000000" w:themeColor="text1"/>
          <w:spacing w:val="0"/>
          <w:sz w:val="16"/>
          <w:szCs w:val="16"/>
        </w:rPr>
        <w:t xml:space="preserve"> глав</w:t>
      </w:r>
      <w:r w:rsidRPr="001E2C69">
        <w:rPr>
          <w:rFonts w:ascii="Times New Roman" w:hAnsi="Times New Roman" w:cs="Times New Roman"/>
          <w:color w:val="000000" w:themeColor="text1"/>
          <w:spacing w:val="0"/>
          <w:sz w:val="16"/>
          <w:szCs w:val="16"/>
        </w:rPr>
        <w:softHyphen/>
        <w:t>ного конструктора самолета Лагг-5 - т.Лавочкина:</w:t>
      </w:r>
    </w:p>
    <w:p w14:paraId="070015C1" w14:textId="77777777" w:rsidR="006F4217" w:rsidRPr="001E2C69" w:rsidRDefault="006F4217" w:rsidP="00722885">
      <w:pPr>
        <w:pStyle w:val="6"/>
        <w:shd w:val="clear" w:color="auto" w:fill="auto"/>
        <w:tabs>
          <w:tab w:val="left" w:pos="2065"/>
        </w:tabs>
        <w:spacing w:line="240" w:lineRule="auto"/>
        <w:ind w:firstLine="0"/>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а) передать заводу № 99 до 1.1Х.1942г. пять комплектов чертежей самолета Лагг-5, три комплекта чертежей приспособ</w:t>
      </w:r>
      <w:r w:rsidRPr="001E2C69">
        <w:rPr>
          <w:rFonts w:ascii="Times New Roman" w:hAnsi="Times New Roman" w:cs="Times New Roman"/>
          <w:color w:val="000000" w:themeColor="text1"/>
          <w:spacing w:val="0"/>
          <w:sz w:val="16"/>
          <w:szCs w:val="16"/>
        </w:rPr>
        <w:softHyphen/>
        <w:t>лений, инструмента и технологическую документацию;</w:t>
      </w:r>
    </w:p>
    <w:p w14:paraId="294F4A08" w14:textId="77777777" w:rsidR="006F4217" w:rsidRPr="001E2C69" w:rsidRDefault="006F4217" w:rsidP="00722885">
      <w:pPr>
        <w:pStyle w:val="6"/>
        <w:shd w:val="clear" w:color="auto" w:fill="auto"/>
        <w:tabs>
          <w:tab w:val="left" w:pos="2065"/>
        </w:tabs>
        <w:spacing w:line="240" w:lineRule="auto"/>
        <w:ind w:firstLine="0"/>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б) передать заводу № 99 - 30 самолетов Лагг-5 в агрега</w:t>
      </w:r>
      <w:r w:rsidRPr="001E2C69">
        <w:rPr>
          <w:rFonts w:ascii="Times New Roman" w:hAnsi="Times New Roman" w:cs="Times New Roman"/>
          <w:color w:val="000000" w:themeColor="text1"/>
          <w:spacing w:val="0"/>
          <w:sz w:val="16"/>
          <w:szCs w:val="16"/>
        </w:rPr>
        <w:softHyphen/>
        <w:t xml:space="preserve">тах и деталях, из них 10 самолетов к </w:t>
      </w:r>
      <w:r w:rsidRPr="001E2C69">
        <w:rPr>
          <w:rStyle w:val="1pt"/>
          <w:rFonts w:ascii="Times New Roman" w:hAnsi="Times New Roman" w:cs="Times New Roman"/>
          <w:color w:val="000000" w:themeColor="text1"/>
          <w:spacing w:val="0"/>
          <w:sz w:val="16"/>
          <w:szCs w:val="16"/>
        </w:rPr>
        <w:t>1.Х</w:t>
      </w:r>
      <w:r w:rsidRPr="001E2C69">
        <w:rPr>
          <w:rFonts w:ascii="Times New Roman" w:hAnsi="Times New Roman" w:cs="Times New Roman"/>
          <w:color w:val="000000" w:themeColor="text1"/>
          <w:spacing w:val="0"/>
          <w:sz w:val="16"/>
          <w:szCs w:val="16"/>
        </w:rPr>
        <w:t xml:space="preserve"> и 20 самолетов - к 15.XI.1942г.</w:t>
      </w:r>
    </w:p>
    <w:p w14:paraId="61D7E23B" w14:textId="77777777" w:rsidR="006F4217" w:rsidRPr="001E2C69" w:rsidRDefault="006F4217" w:rsidP="00722885">
      <w:pPr>
        <w:pStyle w:val="6"/>
        <w:shd w:val="clear" w:color="auto" w:fill="auto"/>
        <w:spacing w:line="240" w:lineRule="auto"/>
        <w:ind w:firstLine="0"/>
        <w:rPr>
          <w:rFonts w:ascii="Times New Roman" w:hAnsi="Times New Roman" w:cs="Times New Roman"/>
          <w:color w:val="000000" w:themeColor="text1"/>
          <w:spacing w:val="0"/>
          <w:sz w:val="16"/>
          <w:szCs w:val="16"/>
        </w:rPr>
      </w:pPr>
      <w:r w:rsidRPr="001E2C69">
        <w:rPr>
          <w:rFonts w:ascii="Times New Roman" w:hAnsi="Times New Roman" w:cs="Times New Roman"/>
          <w:color w:val="000000" w:themeColor="text1"/>
          <w:spacing w:val="0"/>
          <w:sz w:val="16"/>
          <w:szCs w:val="16"/>
        </w:rPr>
        <w:t>4.Разрешить Наркомавиапрому произвести доукомплектова</w:t>
      </w:r>
      <w:r w:rsidRPr="001E2C69">
        <w:rPr>
          <w:rFonts w:ascii="Times New Roman" w:hAnsi="Times New Roman" w:cs="Times New Roman"/>
          <w:color w:val="000000" w:themeColor="text1"/>
          <w:spacing w:val="0"/>
          <w:sz w:val="16"/>
          <w:szCs w:val="16"/>
        </w:rPr>
        <w:softHyphen/>
        <w:t>ние завода № 99 необходимым оборудованием (станки, пресса и электрооборудование)в количестве 100 единиц, за счет завода № 39.</w:t>
      </w:r>
    </w:p>
    <w:p w14:paraId="320EDCA8" w14:textId="77777777" w:rsidR="006F4217" w:rsidRPr="001E2C69" w:rsidRDefault="006F42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5.Обивать Наркомфин СССР - т.Зверева выделить,из резер</w:t>
      </w:r>
      <w:r w:rsidRPr="001E2C69">
        <w:rPr>
          <w:rFonts w:ascii="Times New Roman" w:hAnsi="Times New Roman"/>
          <w:color w:val="000000" w:themeColor="text1"/>
          <w:sz w:val="16"/>
          <w:szCs w:val="16"/>
        </w:rPr>
        <w:softHyphen/>
        <w:t>вного фонда СНК, заводу 99 - три миллиона рублей на по- становк.у^воизвддства самолетов Лагг-5 (19356).</w:t>
      </w:r>
    </w:p>
    <w:p w14:paraId="7F33F018" w14:textId="77777777" w:rsidR="006F4217" w:rsidRPr="001E2C69" w:rsidRDefault="006F4217" w:rsidP="00722885">
      <w:pPr>
        <w:spacing w:after="0" w:line="240" w:lineRule="auto"/>
        <w:jc w:val="both"/>
        <w:rPr>
          <w:rFonts w:ascii="Times New Roman" w:hAnsi="Times New Roman"/>
          <w:color w:val="000000" w:themeColor="text1"/>
          <w:sz w:val="16"/>
          <w:szCs w:val="16"/>
        </w:rPr>
      </w:pPr>
    </w:p>
    <w:p w14:paraId="068ECB79" w14:textId="77777777" w:rsidR="006F4217" w:rsidRPr="001E2C69" w:rsidRDefault="006F42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24 августа 1942 г., вплоть до обретения самостоятельности, 99-й завод выпускал для завода № 125 хвостовую часть фюзеляжа - так называемый отсек Ф-3 Пе-2. Расширение площадей, увеличение состава оборудования и численности персонала позволили ускорить серийный выпуск Пе-2 (12037).</w:t>
      </w:r>
    </w:p>
    <w:p w14:paraId="2F209316" w14:textId="77777777" w:rsidR="006F4217" w:rsidRPr="001E2C69" w:rsidRDefault="006F4217" w:rsidP="00722885">
      <w:pPr>
        <w:spacing w:after="0" w:line="240" w:lineRule="auto"/>
        <w:jc w:val="both"/>
        <w:rPr>
          <w:rFonts w:ascii="Times New Roman" w:hAnsi="Times New Roman"/>
          <w:color w:val="000000" w:themeColor="text1"/>
          <w:sz w:val="16"/>
          <w:szCs w:val="16"/>
        </w:rPr>
      </w:pPr>
    </w:p>
    <w:p w14:paraId="0FB77A5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24 августа с 14 августа 1942 19 Ла-5 в 49-го Краснознаменного иап 234-й иад 1-й воздушной армии в ходе войсковых испытаний совершили 180 боевых вылетов с налетом 130 часов. В 27 воздушных боях летчики полка сбили 16 самолетов противника, при этом свои потери составили десять машин и пять пилотов. Если быть точным, то полк потерял сбитыми пять истребителей, два не вернулись (самолеты № 37310104 и № 37210208), четыре потерпели аварию, будучи подбиты в воздушных боях, один потерпел аварию из-за разрушения втулки главного шатуна двигателя и один из летчиков (фамилия не установлена) 22 августа 1942 года таранил немецкий Ju 88, но при этом разбил и свой самолет.</w:t>
      </w:r>
    </w:p>
    <w:p w14:paraId="0CDC98F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отзывам летчиков 49-го Краснознаменного иап ЛаГГ-5 в боевых условиях показал хорошие результаты, а высокие потери связаны с недостаточным освоением материальной части и неполным использованием боевых качеств машины. Например, вторая скорость приводного центробежного нагнетателя мотора включалась на высоте 3800 м, а воевать приходилось преимущественно на высоте 2000-3000 м. Прикрытие бомбардировочной и штурмовой авиации, а также наземных войск осуществлялось одной группой и, по выражению командования полка, было безграмотным.</w:t>
      </w:r>
    </w:p>
    <w:p w14:paraId="05E6361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воздушных боях при наборе высоты на больших скоростях Bfl09F от ЛаГГ-5 не отрывался, а на малых скоростях из-за большего веса ЛаГТ-5 в первый момент отставал, а затем сравнивался с ним по скороподъемности. На виражах наш истребитель заходил в хвост Bf 109F, так как радиус виража последнего был больше. Горизонтальная скорость нашего и немецкого самолетов были одинаковы, но на пикировании ЛаГГ-5 летел быстрее. Вооружение, как выяснилось, вполне устраивало воздушных бойцов.</w:t>
      </w:r>
    </w:p>
    <w:p w14:paraId="6BB701A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Кроме усложнившейся техники пилотирования истребителя из-за большого веса (3300 кг) и недостаточных компенсаторов рулей по сравнению с ЛаГГ-3 и Як-1, выявились и конструктивные недостатки. Например, отмечены два случая срыва моторных и боковых капотов, не полностью выпускалось костыльное колесо, случались течи бензиновых и масляных баков по сварным швам, после 20-ти часов работы прогорали выхлопные коллекторы. Существенным преимуществом ЛаГГ-5 перед ЛаГГ-3 и Як-1 была защита передней полусферы звездообразным мотором воздушного охлаждения. Живучесть самолета увеличилась.</w:t>
      </w:r>
    </w:p>
    <w:p w14:paraId="66C82F7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Отмечались три случая, когда в воздушном бою пушечным огнем противника были пробиты всасывающий и выхлопнои патрубки одного цилиндра и крышки клапанных коробок, воздушный винт и погнуты ребра цилиндров. Самолет в таком виде благополучно произвел посадку на своем аэродроме, а мотор вскоре восстановили.</w:t>
      </w:r>
    </w:p>
    <w:p w14:paraId="28D1344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При выполнении боевых заданий моторы в основном работали на номинальном и форсированном режиме, причем на последнем, порой, до 10-13 минут, в то время, как инструкцией допускалось не более 5 минут. Но практически все двигатели работали нормально. В выводах доклада руководства НИИ ВВС главному инженеру ВВС А. К. Репину отмечалось: </w:t>
      </w:r>
    </w:p>
    <w:p w14:paraId="7CD072E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"Первый опыт эксплуатации моторов М-82 в боевых условиях на самолетах- истребителях показывает удовлетворительные результаты. Летный и технический состав дают положительную оценку самолету ЛаГ-5 с мотором М-82 как по надежности работы мотора, так и по уходу и эксплуатации мотора на земле..." (12032).</w:t>
      </w:r>
    </w:p>
    <w:p w14:paraId="63D49DDF"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EB9566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августа 1942 вышло Постановление ГКО № 2210 О производстве моторов М-82 на заводе N29 в г. Омске. РГАНИР, Фонд ГКО, д. 53, лл. 76-78 (11012).</w:t>
      </w:r>
    </w:p>
    <w:p w14:paraId="5734271F"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6CDC694" w14:textId="77777777" w:rsidR="006F4217" w:rsidRPr="001E2C69" w:rsidRDefault="006F42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августа 1942 вышло Постановление ГКО № 2210 О производстве моторов М-82 на заводе N29 в г. Омске</w:t>
      </w:r>
    </w:p>
    <w:p w14:paraId="1F47C7FA" w14:textId="77777777" w:rsidR="006F4217" w:rsidRPr="001E2C69" w:rsidRDefault="006F4217"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Государственный Комитет Обороны постановляет:</w:t>
      </w:r>
    </w:p>
    <w:p w14:paraId="1FCF7BBE" w14:textId="77777777" w:rsidR="006F4217" w:rsidRPr="001E2C69" w:rsidRDefault="006F4217" w:rsidP="00722885">
      <w:pPr>
        <w:pStyle w:val="36"/>
        <w:shd w:val="clear" w:color="auto" w:fill="auto"/>
        <w:tabs>
          <w:tab w:val="left" w:pos="1188"/>
        </w:tabs>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1. Обязать Наркомавийпром «г.Шахурина и директора за</w:t>
      </w:r>
      <w:r w:rsidRPr="001E2C69">
        <w:rPr>
          <w:rFonts w:ascii="Times New Roman" w:cs="Times New Roman"/>
          <w:color w:val="000000" w:themeColor="text1"/>
          <w:spacing w:val="0"/>
          <w:sz w:val="16"/>
          <w:szCs w:val="16"/>
        </w:rPr>
        <w:softHyphen/>
        <w:t>вода № 29 т.Борисова:</w:t>
      </w:r>
    </w:p>
    <w:p w14:paraId="75CAEB28" w14:textId="77777777" w:rsidR="006F4217" w:rsidRPr="001E2C69" w:rsidRDefault="006F4217" w:rsidP="00722885">
      <w:pPr>
        <w:pStyle w:val="36"/>
        <w:shd w:val="clear" w:color="auto" w:fill="auto"/>
        <w:tabs>
          <w:tab w:val="left" w:pos="1195"/>
        </w:tabs>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 xml:space="preserve">а) поставить производство моторов М-82 на заводе 29, сохраниз одновременно производство моторов М-88, ограничив выпуск моторов до 16 штук в день, начиная с 24 явгуста </w:t>
      </w:r>
      <w:r w:rsidRPr="001E2C69">
        <w:rPr>
          <w:rStyle w:val="1pt"/>
          <w:rFonts w:ascii="Times New Roman" w:cs="Times New Roman"/>
          <w:color w:val="000000" w:themeColor="text1"/>
          <w:spacing w:val="0"/>
          <w:sz w:val="16"/>
          <w:szCs w:val="16"/>
        </w:rPr>
        <w:t>с.г.;</w:t>
      </w:r>
    </w:p>
    <w:p w14:paraId="04AC5426" w14:textId="77777777" w:rsidR="006F4217" w:rsidRPr="001E2C69" w:rsidRDefault="006F4217" w:rsidP="00722885">
      <w:pPr>
        <w:pStyle w:val="36"/>
        <w:shd w:val="clear" w:color="auto" w:fill="auto"/>
        <w:tabs>
          <w:tab w:val="left" w:pos="1180"/>
        </w:tabs>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б) установить следующую программу выпуска моторов М-82 на заводе № 29 в 1942 году:</w:t>
      </w:r>
    </w:p>
    <w:p w14:paraId="6224D798" w14:textId="77777777" w:rsidR="006F4217" w:rsidRPr="001E2C69" w:rsidRDefault="006F4217"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в октябре месяце - 15 моторов</w:t>
      </w:r>
    </w:p>
    <w:p w14:paraId="3A6FDF5A" w14:textId="77777777" w:rsidR="006F4217" w:rsidRPr="001E2C69" w:rsidRDefault="006F4217"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в ноябре месяце - 50 моторов</w:t>
      </w:r>
    </w:p>
    <w:p w14:paraId="70D84035" w14:textId="77777777" w:rsidR="006F4217" w:rsidRPr="001E2C69" w:rsidRDefault="006F4217"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в декабре месяце - 100 моторов с выходом</w:t>
      </w:r>
      <w:r w:rsidRPr="001E2C69">
        <w:rPr>
          <w:rFonts w:ascii="Times New Roman" w:cs="Times New Roman"/>
          <w:color w:val="000000" w:themeColor="text1"/>
          <w:spacing w:val="0"/>
          <w:sz w:val="16"/>
          <w:szCs w:val="16"/>
          <w:vertAlign w:val="subscript"/>
        </w:rPr>
        <w:t>;</w:t>
      </w:r>
      <w:r w:rsidRPr="001E2C69">
        <w:rPr>
          <w:rFonts w:ascii="Times New Roman" w:cs="Times New Roman"/>
          <w:color w:val="000000" w:themeColor="text1"/>
          <w:spacing w:val="0"/>
          <w:sz w:val="16"/>
          <w:szCs w:val="16"/>
        </w:rPr>
        <w:t xml:space="preserve"> д декабре 1942 гсда на выпуск шести моторов в день.</w:t>
      </w:r>
    </w:p>
    <w:p w14:paraId="33241A28" w14:textId="77777777" w:rsidR="006F4217" w:rsidRPr="001E2C69" w:rsidRDefault="006F4217" w:rsidP="00722885">
      <w:pPr>
        <w:pStyle w:val="36"/>
        <w:shd w:val="clear" w:color="auto" w:fill="auto"/>
        <w:tabs>
          <w:tab w:val="left" w:pos="1208"/>
        </w:tabs>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2. Обязать директора завода</w:t>
      </w:r>
      <w:r w:rsidRPr="001E2C69">
        <w:rPr>
          <w:rStyle w:val="TrebuchetMS105pt"/>
          <w:rFonts w:ascii="Times New Roman" w:hAnsi="Times New Roman" w:cs="Times New Roman"/>
          <w:color w:val="000000" w:themeColor="text1"/>
          <w:sz w:val="16"/>
          <w:szCs w:val="16"/>
        </w:rPr>
        <w:t xml:space="preserve"> №</w:t>
      </w:r>
      <w:r w:rsidRPr="001E2C69">
        <w:rPr>
          <w:rFonts w:ascii="Times New Roman" w:cs="Times New Roman"/>
          <w:color w:val="000000" w:themeColor="text1"/>
          <w:spacing w:val="0"/>
          <w:sz w:val="16"/>
          <w:szCs w:val="16"/>
        </w:rPr>
        <w:t xml:space="preserve"> 19 т.Солдатова:</w:t>
      </w:r>
    </w:p>
    <w:p w14:paraId="0B0C2F66" w14:textId="77777777" w:rsidR="006F4217" w:rsidRPr="001E2C69" w:rsidRDefault="006F4217" w:rsidP="00722885">
      <w:pPr>
        <w:pStyle w:val="36"/>
        <w:shd w:val="clear" w:color="auto" w:fill="auto"/>
        <w:tabs>
          <w:tab w:val="left" w:pos="1180"/>
        </w:tabs>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а) оказать заводу № 29 техническую помощь по произ</w:t>
      </w:r>
      <w:r w:rsidRPr="001E2C69">
        <w:rPr>
          <w:rFonts w:ascii="Times New Roman" w:cs="Times New Roman"/>
          <w:color w:val="000000" w:themeColor="text1"/>
          <w:spacing w:val="0"/>
          <w:sz w:val="16"/>
          <w:szCs w:val="16"/>
        </w:rPr>
        <w:softHyphen/>
        <w:t>водству моторов М-82;</w:t>
      </w:r>
    </w:p>
    <w:p w14:paraId="6D831EBD" w14:textId="77777777" w:rsidR="006F4217" w:rsidRPr="001E2C69" w:rsidRDefault="006F4217" w:rsidP="00722885">
      <w:pPr>
        <w:pStyle w:val="36"/>
        <w:shd w:val="clear" w:color="auto" w:fill="auto"/>
        <w:tabs>
          <w:tab w:val="left" w:pos="1180"/>
        </w:tabs>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б) поставить заводу № 29 25о комплектов литья мото</w:t>
      </w:r>
      <w:r w:rsidRPr="001E2C69">
        <w:rPr>
          <w:rFonts w:ascii="Times New Roman" w:cs="Times New Roman"/>
          <w:color w:val="000000" w:themeColor="text1"/>
          <w:spacing w:val="0"/>
          <w:sz w:val="16"/>
          <w:szCs w:val="16"/>
        </w:rPr>
        <w:softHyphen/>
        <w:t>ров М-82 в следующие сроки:</w:t>
      </w:r>
    </w:p>
    <w:p w14:paraId="5A3F2BD3" w14:textId="77777777" w:rsidR="006F4217" w:rsidRPr="001E2C69" w:rsidRDefault="006F4217"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в сентябре - 50 комплектов</w:t>
      </w:r>
    </w:p>
    <w:p w14:paraId="44811E89" w14:textId="77777777" w:rsidR="006F4217" w:rsidRPr="001E2C69" w:rsidRDefault="006F4217"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в октябре - 100 комплектов</w:t>
      </w:r>
    </w:p>
    <w:p w14:paraId="287D424A" w14:textId="77777777" w:rsidR="006F4217" w:rsidRPr="001E2C69" w:rsidRDefault="006F4217"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в ноябре - 100 комплектов;</w:t>
      </w:r>
    </w:p>
    <w:p w14:paraId="6864E686" w14:textId="77777777" w:rsidR="006F4217" w:rsidRPr="001E2C69" w:rsidRDefault="006F4217" w:rsidP="00722885">
      <w:pPr>
        <w:pStyle w:val="36"/>
        <w:shd w:val="clear" w:color="auto" w:fill="auto"/>
        <w:tabs>
          <w:tab w:val="left" w:pos="1180"/>
        </w:tabs>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в) поставить заводу № 29 клапана и поршневые кольца в готовом виде в количествах, обеспечивающих программу выпуска моторов М-82 в 1942 году.</w:t>
      </w:r>
    </w:p>
    <w:p w14:paraId="01EC9420" w14:textId="77777777" w:rsidR="006F4217" w:rsidRPr="001E2C69" w:rsidRDefault="006F4217" w:rsidP="00722885">
      <w:pPr>
        <w:tabs>
          <w:tab w:val="left" w:pos="993"/>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Обязать директора завода № 29 т.Борисова к главно</w:t>
      </w:r>
      <w:r w:rsidRPr="001E2C69">
        <w:rPr>
          <w:rFonts w:ascii="Times New Roman" w:hAnsi="Times New Roman"/>
          <w:color w:val="000000" w:themeColor="text1"/>
          <w:sz w:val="16"/>
          <w:szCs w:val="16"/>
        </w:rPr>
        <w:softHyphen/>
        <w:t>го конструктора т.Урмина продолжать работу по доводке мо</w:t>
      </w:r>
      <w:r w:rsidRPr="001E2C69">
        <w:rPr>
          <w:rFonts w:ascii="Times New Roman" w:hAnsi="Times New Roman"/>
          <w:color w:val="000000" w:themeColor="text1"/>
          <w:sz w:val="16"/>
          <w:szCs w:val="16"/>
        </w:rPr>
        <w:softHyphen/>
        <w:t>тора М-90 до государственных испытаний, изготовив для этой цели 15 моторов М-90.</w:t>
      </w:r>
    </w:p>
    <w:p w14:paraId="6BFB4340" w14:textId="77777777" w:rsidR="006F4217" w:rsidRPr="001E2C69" w:rsidRDefault="006F4217" w:rsidP="00722885">
      <w:pPr>
        <w:tabs>
          <w:tab w:val="left" w:pos="100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Обязать Наркомчермет т.Тевосяна обеспечить в 1942 году поставку заводу № 29 60 наименований стальных поковок для мотора М-82 с Чебаркульского завода, по специ</w:t>
      </w:r>
      <w:r w:rsidRPr="001E2C69">
        <w:rPr>
          <w:rFonts w:ascii="Times New Roman" w:hAnsi="Times New Roman"/>
          <w:color w:val="000000" w:themeColor="text1"/>
          <w:sz w:val="16"/>
          <w:szCs w:val="16"/>
        </w:rPr>
        <w:softHyphen/>
        <w:t>фикации Наркомавиапрома,</w:t>
      </w:r>
      <w:r w:rsidRPr="001E2C69">
        <w:rPr>
          <w:rStyle w:val="affb"/>
          <w:rFonts w:ascii="Times New Roman" w:hAnsi="Times New Roman" w:cs="Times New Roman"/>
          <w:b w:val="0"/>
          <w:color w:val="000000" w:themeColor="text1"/>
          <w:spacing w:val="0"/>
          <w:sz w:val="16"/>
          <w:szCs w:val="16"/>
        </w:rPr>
        <w:t xml:space="preserve"> в</w:t>
      </w:r>
      <w:r w:rsidRPr="001E2C69">
        <w:rPr>
          <w:rFonts w:ascii="Times New Roman" w:hAnsi="Times New Roman"/>
          <w:color w:val="000000" w:themeColor="text1"/>
          <w:sz w:val="16"/>
          <w:szCs w:val="16"/>
        </w:rPr>
        <w:t xml:space="preserve"> количестве 500 комплектов, на</w:t>
      </w:r>
      <w:r w:rsidRPr="001E2C69">
        <w:rPr>
          <w:rFonts w:ascii="Times New Roman" w:hAnsi="Times New Roman"/>
          <w:color w:val="000000" w:themeColor="text1"/>
          <w:sz w:val="16"/>
          <w:szCs w:val="16"/>
        </w:rPr>
        <w:softHyphen/>
        <w:t>чиная с 15 октября с.г. равными партиями.</w:t>
      </w:r>
    </w:p>
    <w:p w14:paraId="214FCDDD" w14:textId="77777777" w:rsidR="006F4217" w:rsidRPr="001E2C69" w:rsidRDefault="006F4217" w:rsidP="00722885">
      <w:pPr>
        <w:tabs>
          <w:tab w:val="left" w:pos="1008"/>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Обязать Наркомвооружения т.Устинова и директора завода № 172 т.Быховского поставить заводу № 29 НКАП в сентябре и октябре месяцах 1942 года по 100 комплектов стальных штамповок для мотора М-82 по номенклатуре завода № 29.</w:t>
      </w:r>
    </w:p>
    <w:p w14:paraId="0D995927" w14:textId="77777777" w:rsidR="006F4217" w:rsidRPr="001E2C69" w:rsidRDefault="006F42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Поставку произвести за счст заказов завода 19.</w:t>
      </w:r>
    </w:p>
    <w:p w14:paraId="4EFDD3AE" w14:textId="77777777" w:rsidR="006F4217" w:rsidRPr="001E2C69" w:rsidRDefault="006F4217" w:rsidP="00722885">
      <w:pPr>
        <w:tabs>
          <w:tab w:val="left" w:pos="1015"/>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Обязать Наркомфин т.3верева выделить Наркомавиапрому из резервного фонда СНК СССР 10 миллионов рублей для завода № 29 на постановку производства мотора М-82 без отнесения на себестоимость.</w:t>
      </w:r>
    </w:p>
    <w:p w14:paraId="7AAEA1FC" w14:textId="77777777" w:rsidR="006F4217" w:rsidRPr="001E2C69" w:rsidRDefault="006F4217" w:rsidP="00722885">
      <w:pPr>
        <w:tabs>
          <w:tab w:val="left" w:pos="993"/>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Обязать Наркомалектростанций т.Жимерина обеспе</w:t>
      </w:r>
      <w:r w:rsidRPr="001E2C69">
        <w:rPr>
          <w:rFonts w:ascii="Times New Roman" w:hAnsi="Times New Roman"/>
          <w:color w:val="000000" w:themeColor="text1"/>
          <w:sz w:val="16"/>
          <w:szCs w:val="16"/>
        </w:rPr>
        <w:softHyphen/>
        <w:t>чить завод № 29 бесперебойным снабжением электроэнергией в количестве 10.000 квт.</w:t>
      </w:r>
    </w:p>
    <w:p w14:paraId="18893058" w14:textId="77777777" w:rsidR="006F4217" w:rsidRPr="001E2C69" w:rsidRDefault="006F4217" w:rsidP="00722885">
      <w:pPr>
        <w:tabs>
          <w:tab w:val="left" w:pos="1015"/>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Обязать НКВД т.Чернышева:</w:t>
      </w:r>
    </w:p>
    <w:p w14:paraId="621053BE" w14:textId="77777777" w:rsidR="006F4217" w:rsidRPr="001E2C69" w:rsidRDefault="006F4217" w:rsidP="00722885">
      <w:pPr>
        <w:tabs>
          <w:tab w:val="left" w:pos="1000"/>
        </w:tabs>
        <w:spacing w:after="0" w:line="240" w:lineRule="auto"/>
        <w:jc w:val="both"/>
        <w:rPr>
          <w:rFonts w:ascii="Times New Roman" w:hAnsi="Times New Roman"/>
          <w:color w:val="000000" w:themeColor="text1"/>
          <w:sz w:val="16"/>
          <w:szCs w:val="16"/>
        </w:rPr>
      </w:pPr>
      <w:r w:rsidRPr="001E2C69">
        <w:rPr>
          <w:rStyle w:val="affb"/>
          <w:rFonts w:ascii="Times New Roman" w:hAnsi="Times New Roman" w:cs="Times New Roman"/>
          <w:b w:val="0"/>
          <w:color w:val="000000" w:themeColor="text1"/>
          <w:spacing w:val="0"/>
          <w:sz w:val="16"/>
          <w:szCs w:val="16"/>
        </w:rPr>
        <w:t xml:space="preserve">а) </w:t>
      </w:r>
      <w:r w:rsidRPr="001E2C69">
        <w:rPr>
          <w:rFonts w:ascii="Times New Roman" w:hAnsi="Times New Roman"/>
          <w:color w:val="000000" w:themeColor="text1"/>
          <w:sz w:val="16"/>
          <w:szCs w:val="16"/>
        </w:rPr>
        <w:t>довести</w:t>
      </w:r>
      <w:r w:rsidRPr="001E2C69">
        <w:rPr>
          <w:rStyle w:val="affb"/>
          <w:rFonts w:ascii="Times New Roman" w:hAnsi="Times New Roman" w:cs="Times New Roman"/>
          <w:b w:val="0"/>
          <w:color w:val="000000" w:themeColor="text1"/>
          <w:spacing w:val="0"/>
          <w:sz w:val="16"/>
          <w:szCs w:val="16"/>
        </w:rPr>
        <w:t xml:space="preserve"> выход рабсилы ИТК, работающей на</w:t>
      </w:r>
      <w:r w:rsidRPr="001E2C69">
        <w:rPr>
          <w:rFonts w:ascii="Times New Roman" w:hAnsi="Times New Roman"/>
          <w:color w:val="000000" w:themeColor="text1"/>
          <w:sz w:val="16"/>
          <w:szCs w:val="16"/>
        </w:rPr>
        <w:t xml:space="preserve"> строи</w:t>
      </w:r>
      <w:r w:rsidRPr="001E2C69">
        <w:rPr>
          <w:rFonts w:ascii="Times New Roman" w:hAnsi="Times New Roman"/>
          <w:color w:val="000000" w:themeColor="text1"/>
          <w:sz w:val="16"/>
          <w:szCs w:val="16"/>
        </w:rPr>
        <w:softHyphen/>
        <w:t>тельстве</w:t>
      </w:r>
      <w:r w:rsidRPr="001E2C69">
        <w:rPr>
          <w:rStyle w:val="affb"/>
          <w:rFonts w:ascii="Times New Roman" w:hAnsi="Times New Roman" w:cs="Times New Roman"/>
          <w:b w:val="0"/>
          <w:color w:val="000000" w:themeColor="text1"/>
          <w:spacing w:val="0"/>
          <w:sz w:val="16"/>
          <w:szCs w:val="16"/>
        </w:rPr>
        <w:t xml:space="preserve"> завода</w:t>
      </w:r>
      <w:r w:rsidRPr="001E2C69">
        <w:rPr>
          <w:rStyle w:val="1pt"/>
          <w:rFonts w:ascii="Times New Roman" w:hAnsi="Times New Roman" w:cs="Times New Roman"/>
          <w:color w:val="000000" w:themeColor="text1"/>
          <w:spacing w:val="0"/>
          <w:sz w:val="16"/>
          <w:szCs w:val="16"/>
        </w:rPr>
        <w:t xml:space="preserve"> №29,</w:t>
      </w:r>
      <w:r w:rsidRPr="001E2C69">
        <w:rPr>
          <w:rStyle w:val="affb"/>
          <w:rFonts w:ascii="Times New Roman" w:hAnsi="Times New Roman" w:cs="Times New Roman"/>
          <w:b w:val="0"/>
          <w:color w:val="000000" w:themeColor="text1"/>
          <w:spacing w:val="0"/>
          <w:sz w:val="16"/>
          <w:szCs w:val="16"/>
        </w:rPr>
        <w:t xml:space="preserve"> до</w:t>
      </w:r>
      <w:r w:rsidRPr="001E2C69">
        <w:rPr>
          <w:rFonts w:ascii="Times New Roman" w:hAnsi="Times New Roman"/>
          <w:color w:val="000000" w:themeColor="text1"/>
          <w:sz w:val="16"/>
          <w:szCs w:val="16"/>
        </w:rPr>
        <w:t xml:space="preserve"> 3.000 человек, предусмотренных договором с трестом № 2 НКАП;</w:t>
      </w:r>
    </w:p>
    <w:p w14:paraId="27698D92" w14:textId="77777777" w:rsidR="006F4217" w:rsidRPr="001E2C69" w:rsidRDefault="006F4217" w:rsidP="00722885">
      <w:pPr>
        <w:tabs>
          <w:tab w:val="left" w:pos="993"/>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отпускать для строительства завода № 29 ежемесяч</w:t>
      </w:r>
      <w:r w:rsidRPr="001E2C69">
        <w:rPr>
          <w:rFonts w:ascii="Times New Roman" w:hAnsi="Times New Roman"/>
          <w:color w:val="000000" w:themeColor="text1"/>
          <w:sz w:val="16"/>
          <w:szCs w:val="16"/>
        </w:rPr>
        <w:softHyphen/>
        <w:t>но 500.000 штук кирпича с завода № 11.</w:t>
      </w:r>
    </w:p>
    <w:p w14:paraId="1768E2F2" w14:textId="77777777" w:rsidR="006F4217" w:rsidRPr="001E2C69" w:rsidRDefault="006F4217" w:rsidP="00722885">
      <w:pPr>
        <w:tabs>
          <w:tab w:val="left" w:pos="1000"/>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Обязать Омский облисполком т.Евстигнеева выделять ежемесячно тресту 2 НКАП для строительства завода № 29 два миллиона штук кирпича.</w:t>
      </w:r>
    </w:p>
    <w:p w14:paraId="2DD72DA4" w14:textId="77777777" w:rsidR="006F4217" w:rsidRPr="001E2C69" w:rsidRDefault="006F42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Обязать НКПС т.Хрулева:</w:t>
      </w:r>
    </w:p>
    <w:p w14:paraId="32FEAA3F" w14:textId="77777777" w:rsidR="006F4217" w:rsidRPr="001E2C69" w:rsidRDefault="006F42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выделить две вертушки тресту 2 для перевозки местных материалов со ст.Боровое;</w:t>
      </w:r>
    </w:p>
    <w:p w14:paraId="6ED5F92B" w14:textId="77777777" w:rsidR="006F4217" w:rsidRPr="001E2C69" w:rsidRDefault="006F4217"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поставить в сентябре-октябре с.г. трес.у № г 20.000 кубометров песка из Славгородского карьера к 50.000 кубометров шлака (19367).</w:t>
      </w:r>
    </w:p>
    <w:p w14:paraId="21C4CF00" w14:textId="77777777" w:rsidR="006F4217" w:rsidRPr="001E2C69" w:rsidRDefault="006F4217" w:rsidP="00722885">
      <w:pPr>
        <w:spacing w:after="0" w:line="240" w:lineRule="auto"/>
        <w:jc w:val="both"/>
        <w:rPr>
          <w:rFonts w:ascii="Times New Roman" w:hAnsi="Times New Roman"/>
          <w:color w:val="000000" w:themeColor="text1"/>
          <w:sz w:val="16"/>
          <w:szCs w:val="16"/>
        </w:rPr>
      </w:pPr>
    </w:p>
    <w:p w14:paraId="1645E787"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12CFE62F" w14:textId="77777777" w:rsidR="00AE7191" w:rsidRPr="001E2C69" w:rsidRDefault="00AE7191" w:rsidP="00722885">
      <w:pPr>
        <w:pStyle w:val="Iauiue"/>
        <w:jc w:val="both"/>
        <w:rPr>
          <w:iCs/>
          <w:color w:val="000000" w:themeColor="text1"/>
          <w:sz w:val="16"/>
          <w:szCs w:val="16"/>
        </w:rPr>
      </w:pPr>
    </w:p>
    <w:p w14:paraId="4CBE5F22"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24 августа 1942 вышло постановление ГКО о расширении заводов, выпускающих азотную кислоту и аммиак, а также о строительстве новых химических заводов (5484,441).</w:t>
      </w:r>
    </w:p>
    <w:p w14:paraId="3E546ED2" w14:textId="77777777" w:rsidR="00AE7191" w:rsidRPr="001E2C69" w:rsidRDefault="00AE7191" w:rsidP="00722885">
      <w:pPr>
        <w:pStyle w:val="Iauiue"/>
        <w:tabs>
          <w:tab w:val="left" w:pos="11199"/>
        </w:tabs>
        <w:jc w:val="both"/>
        <w:rPr>
          <w:color w:val="000000" w:themeColor="text1"/>
          <w:sz w:val="16"/>
          <w:szCs w:val="16"/>
        </w:rPr>
      </w:pPr>
    </w:p>
    <w:p w14:paraId="482C5577"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24 августа 1942 вышло Постановление ГКО № 2211 О неотложных мерах по увеличению добычи угля в Кузнецком бассейне. (7051, 79-94,95-110).</w:t>
      </w:r>
    </w:p>
    <w:p w14:paraId="67D794A3" w14:textId="77777777" w:rsidR="00AE7191" w:rsidRPr="001E2C69" w:rsidRDefault="00AE7191" w:rsidP="00722885">
      <w:pPr>
        <w:pStyle w:val="Iauiue"/>
        <w:tabs>
          <w:tab w:val="left" w:pos="11199"/>
        </w:tabs>
        <w:jc w:val="both"/>
        <w:rPr>
          <w:color w:val="000000" w:themeColor="text1"/>
          <w:sz w:val="16"/>
          <w:szCs w:val="16"/>
        </w:rPr>
      </w:pPr>
    </w:p>
    <w:p w14:paraId="546E2C5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августа 1942 вышло Постановление ГКО № 2212 О восстановлении производства химического оборудования завода "Большевик" на Уралтяжхиммаше НКМВ. РГАНИР, Фонд ГКО, д. 53, лл. 110-114 (11012).</w:t>
      </w:r>
    </w:p>
    <w:p w14:paraId="21A73057"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5F6385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августа 1942 вышло Постановление ГКО № 2213 О вводе в действие в 1942 году на Магнитогорском металлургическом комбинате одной доменной печи мощностью 500 тыс.т чугуна и трех мартеновских печей мощностью 420 тыс.т стали в гоРГАНИР, Фонд ГКО, д. РГАНИР, Фонд ГКО, д. 53, лл. 115-125, 126-139 (11012).</w:t>
      </w:r>
    </w:p>
    <w:p w14:paraId="71DB7CE6"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C537EF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августа 1942 в Горьком на заводе боеприпасов № 558, который находился в Ждановском районе, рядом с Оперным театром, и специализировался на холодной металлообработке корпусов снарядов [101] , тоже была проведена проверка состояния МПВО. В итоге, как обычно, выявилось много недостатков.</w:t>
      </w:r>
    </w:p>
    <w:p w14:paraId="7A3A837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«Оперативного плана нет, боевая подготовка проводится неудовлетворительно, учета хода боевой подготовки в штабе нет. Занятия с рядовым составом проводятся один раз в неделю по три часа без отрыва от производства. КП оборудован плохо… К противопожарной защите завод не готов. Не хватает 300м пожарных рукавов, 40бочек, 100лопат… В краны деревообделочного цеха не подана вода. Территория захламлена мусором, ломаными ящиками, обрезками, стройматериалами… Вывод: завод не готов к местной ПВО». </w:t>
      </w:r>
    </w:p>
    <w:p w14:paraId="31D3A11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следующий день, 25 августа, исполком горсовета объявил директору завода «Красная Этна» Романову выговор за игнорирование технической маскировки (11774).</w:t>
      </w:r>
    </w:p>
    <w:p w14:paraId="1ED6BB74"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A7F767D" w14:textId="77777777" w:rsidR="00873549" w:rsidRPr="001E2C69" w:rsidRDefault="0087354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августа 1942 года в городе Рубцовске с конвейера Алтайского тракторного завода, созданного на базе эвакуированного Харьковского тракторного, сошел первый в Сибири гусеничный трактор СХТЗ-НАТИ, а уже в декабре 1943 года завод выпустил первую тысячу гусеничных тракторов. Их стали обозначать АТЗ-НАТИ или АСХТЗ-НАТИ и выпускали здесь до 1952 года (21192).</w:t>
      </w:r>
    </w:p>
    <w:p w14:paraId="36F19079" w14:textId="77777777" w:rsidR="00873549" w:rsidRPr="001E2C69" w:rsidRDefault="00873549" w:rsidP="00722885">
      <w:pPr>
        <w:pStyle w:val="36"/>
        <w:shd w:val="clear" w:color="auto" w:fill="auto"/>
        <w:spacing w:after="0" w:line="240" w:lineRule="auto"/>
        <w:jc w:val="both"/>
        <w:rPr>
          <w:rFonts w:ascii="Times New Roman" w:cs="Times New Roman"/>
          <w:color w:val="000000" w:themeColor="text1"/>
          <w:spacing w:val="0"/>
          <w:sz w:val="16"/>
          <w:szCs w:val="16"/>
        </w:rPr>
      </w:pPr>
    </w:p>
    <w:p w14:paraId="2EE2266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24 августа 1942 г. был утвержден эскизный проект большого морского охотника, а 2 октября того же года в цехах завода началась обработка стали для головного катера, который был сдан 31 мая 1943 г. Всего заводом 196 в 1943—1945 гг. бьшо построено 66 катеров БМО, из них 18 уже по</w:t>
      </w:r>
      <w:r w:rsidRPr="001E2C69">
        <w:rPr>
          <w:color w:val="000000" w:themeColor="text1"/>
          <w:sz w:val="16"/>
          <w:szCs w:val="16"/>
        </w:rPr>
        <w:softHyphen/>
        <w:t>сле победы над Германией (3898).</w:t>
      </w:r>
    </w:p>
    <w:p w14:paraId="34E858BF" w14:textId="77777777" w:rsidR="00AE7191" w:rsidRPr="001E2C69" w:rsidRDefault="00AE7191" w:rsidP="00722885">
      <w:pPr>
        <w:pStyle w:val="Iauiue"/>
        <w:jc w:val="both"/>
        <w:rPr>
          <w:color w:val="000000" w:themeColor="text1"/>
          <w:sz w:val="16"/>
          <w:szCs w:val="16"/>
        </w:rPr>
      </w:pPr>
    </w:p>
    <w:p w14:paraId="50A15F9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августа 1942 г. был утвержден проект бронированного морского охотника БМО пр. 194 КБ-196 /г. Ленинград/.</w:t>
      </w:r>
    </w:p>
    <w:p w14:paraId="59DE0E2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(1942 г.)- В.М. Мудров.</w:t>
      </w:r>
    </w:p>
    <w:p w14:paraId="36D1111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Ведущий конструктор (1942 г.)- А.Н. Тюшкевич (БМО) (11982).</w:t>
      </w:r>
    </w:p>
    <w:p w14:paraId="0D8A2216"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74A615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августа 1942 утвержден эскизный проект БМО, разработанный на "Судомехе" (полное водоизмещение 62 т, длина 24, ширина 4,2, осадка 1,26 м, скорость полного хода 22 узла, мощность двух бензомоторов 2x1200 л. с., дальность плавания при 6 узлах - 1300 миль, вооружение - орудия калибром 37 и 45 мм, два спаренных пулемета, глубинные бомбы 8 шт., мины 10 шт., толщина брони -8-10 мм) (10671).</w:t>
      </w:r>
    </w:p>
    <w:p w14:paraId="4B84F4B0"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6ABD29D"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48BBA03C" w14:textId="77777777" w:rsidR="00AE7191" w:rsidRPr="001E2C69" w:rsidRDefault="00AE7191" w:rsidP="00722885">
      <w:pPr>
        <w:pStyle w:val="Iauiue"/>
        <w:jc w:val="both"/>
        <w:rPr>
          <w:iCs/>
          <w:color w:val="000000" w:themeColor="text1"/>
          <w:sz w:val="16"/>
          <w:szCs w:val="16"/>
        </w:rPr>
      </w:pPr>
    </w:p>
    <w:p w14:paraId="60FEF769"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августа в 1942 году утреннее сообщение Совинформбюро:</w:t>
      </w:r>
    </w:p>
    <w:p w14:paraId="30665A47"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24 августа наши войска вели бои с противником в районах юго-восточнее Клетская, северо-восточнее Котельниково, юго-восточнее Пятигорскаи южнее Краснодара.</w:t>
      </w:r>
    </w:p>
    <w:p w14:paraId="61A2152E"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2213792D"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бойцы Н-ского подразделения ночью ворвались в расположение противника. Штыками и гранатами они истребили свыше 100 гитлеровцев, уничтожили радиостанцию, броневик и 6 автомашин. Юго-восточнее Клетской наши части вели ожесточённые бои с немецко-фашистскими войсками, переправившимися на левый берегДона.</w:t>
      </w:r>
    </w:p>
    <w:p w14:paraId="601C89AA"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противник на одном из участков,сосредоточив значительное число танков, вклинился в передний край нашей обороны. Наши войска вели ожесточённые бои с этой группировкой противника. Н-ское танковое подразделение нанесло неприятелю удар с фланга и уничтожило 7 немецких танков и свыше 200 гитлеровцев. В боях у населённого пункта наша пехотная часть разбила батальон румынской пехоты.</w:t>
      </w:r>
    </w:p>
    <w:p w14:paraId="41DA2230"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Краснодара наши части вели оборонительные бои с танками и пехотой противника. Ночью разведчики Н-ской части обнаружили у населённогопункта большое скопление немецких танков, автомашин и повозок. Огневым налётом нашей артиллерии скопление танков и мотопехоты противника было рассеяно.Уничтожено более 150 немецких солдат и офицеров, 8 танков, 300 автомашин и 15 повозок с боеприпасами.</w:t>
      </w:r>
    </w:p>
    <w:p w14:paraId="685E66B3"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Юго-восточнее Пятигорска наши части на одном из участков после упорных боёв отошли на новый оборонительный рубеж.</w:t>
      </w:r>
    </w:p>
    <w:p w14:paraId="0896C403"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Северо-Западном фронте активно действовала наша авиация. Две группы наших бомбардировщиков во главе с тт. Ляхом и Струенковым нанесли удар по аэродромам противника. Уничтожено 3 немецких самолёта. Шесть штурмовиков во главе со старшим лейтенантом Олейником уничтожили на другом вражеском аэродроме 10 самолётов «Юнкерс-52». В воздушном бою сбит немецкий самолёт «Мессершмитт-109». Наша авиация потерь не имела.</w:t>
      </w:r>
    </w:p>
    <w:p w14:paraId="1AEA588C"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Карело-финский партизанский отряд «Полярник» под командованием тов. П.совершил смелый налёт на железнодорожную станцию. Партизаны взорвали три склада с боеприпасами и железнодорожные стрелки.</w:t>
      </w:r>
    </w:p>
    <w:p w14:paraId="2B53A1D7"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 июля гитлеровцы и их финские подручные в торжественной обстановке открыли только что построенный мост длиною около 70 метров. В ночь на 20 июля этот мост был взорван партизанами отряда «Полярник». Через несколько дней бойцы этого же отряда пустили под откос железнодорожный эшелон с боеприпасами и истребили 78 вражеских солдат и офицеров.</w:t>
      </w:r>
    </w:p>
    <w:p w14:paraId="42748AAC"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поле боя подобрано неотправленное письмо итальянского солдата Энрико Каллючио к родным в Милан. В письме говорится: «Мне приходится очень тяжело. Здесь творится что-то ужасное. Я мечтаю о том, чтобы вырваться отсюда на родину. Я готов жить под землёй, в любой яме, лишь бы избавиться от этого ада. Наш полк только недавно получил боевое крещение, но ряды берсальеров уже поредели. Скаждым днём нас становится всё меньше и меньше. Ночью напали на нас казаки и устроили кровавую мясорубку. В эту ночь погибло свыше двухсот человек. Убиты Феличе, Пьетро, Витторио и другие. Трупы товарищей наводят на меня ужас, и я теряю последние остатки бодрости. Да, здесь можно с ума сойти. Я всё больше убеждаюсь в том, что путь в Россию ведёт к смерти и гибели».</w:t>
      </w:r>
    </w:p>
    <w:p w14:paraId="0BF8D2F6"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деревне Рябинки, Калининской области, немецко-фашистские мерзавцы бросили колхозника Лотова Ивана в сарай и в течение нескольких дней морили голодом.</w:t>
      </w:r>
    </w:p>
    <w:p w14:paraId="63C1DF1D"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Колхозницы Арина Сторожкова и Татьяна Смирнова пытались передать арестованному хлеб. Гитлеровские бандиты схватили женщин и повесили их.</w:t>
      </w:r>
    </w:p>
    <w:p w14:paraId="1F993AC5"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Норвегии наблюдается массовое бегство рабочих с военных предприятий, выпускающих продукцию для германской армии. В Северной Норвегии бросили работу искрылись свыше 500 рабочих, занятых на строительстве военных объектов. Многие норвежцы ушли в леса и там скрываются от оккупантов.» (14992).</w:t>
      </w:r>
    </w:p>
    <w:p w14:paraId="54706C3C"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77F51D60"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августа в 1942 году вечернее сообщение Совинформбюро:</w:t>
      </w:r>
    </w:p>
    <w:p w14:paraId="1174D514"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24 августа наши войска вели бои с противником в районах юго-восточнее Клетская, северо-восточнее Котельниково, а также в районе Прохладный и южнее Краснодара.</w:t>
      </w:r>
    </w:p>
    <w:p w14:paraId="4A1F14A4"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2567B025"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Нашими кораблями в Финском заливе потоплен транспорт противника водоизмещением в 7 тыс. тонн.</w:t>
      </w:r>
    </w:p>
    <w:p w14:paraId="15DD49BF"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23 августа частями нашей авиации на различных участках фронта уничтоженоили повреждено до 20 немецких танков, более 100 автомашин с войсками и грузами,до 30 подвод с боеприпасами, подавлен огонь 7 батарей полевой и зенитной артиллерии, взорвано 4 склада боеприпасов, потоплен немецкий транспорт водоизмещением в 6 тысяч тонн, рассеяно и частью уничтожено до двух батальонов пехоты противника.</w:t>
      </w:r>
    </w:p>
    <w:p w14:paraId="6562D0BE"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наши войска вели активные боевые действия. Н-ская часть перешла в атаку, выбила немцев из укреплённого рубежа и захватила 2 орудия, 7 пулемётов, 4 миномёта, склад с боеприпасами и радиостанцию. На поле боя осталось свыше 200 вражеских трупов.</w:t>
      </w:r>
    </w:p>
    <w:p w14:paraId="1AEEF73F"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Особенно упорные бои происходили с танками и мотопехотой противника, переправившимися на левый берег Дона. В бою у одного населённого пункта уничтожено 8 немецких танков, 6 автомашин и до 400 гитлеровцев.</w:t>
      </w:r>
    </w:p>
    <w:p w14:paraId="5C8FE6C7"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наши войска вели бои с крупными силами танков и пехоты противника, вклинившимися в нашу оборону. Н-ская танковая часть нанесла гитлеровцам внезапный удар и уничтожила 11 немецких танков, 8 орудий противотанковой обороны и не менее 300 солдат и офицеров противника. У железнодорожной станции миномётным и пулемётным огнём истреблено до двух рот румын, пытавшихся атаковать наши рубежи.</w:t>
      </w:r>
    </w:p>
    <w:p w14:paraId="179557A8"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В районе южнее Краснодара противник, сосредоточив на одном участке крупные силы, потеснил нашу часть и занял два населённых пункта. На другом участке в течение дня уничтожено свыше 150 немецких солдат и офицеров, тяжёлая артиллерийская батарея и 3 миномётные батареи.</w:t>
      </w:r>
    </w:p>
    <w:p w14:paraId="57508911"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Прохладного наши войска вели оборонительные бои с танками и пехотой противника. Советские бронебойщики подбили 4 немецких танка.</w:t>
      </w:r>
    </w:p>
    <w:p w14:paraId="47A7447E"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Ленинградском фронте на одном из участков наши части отбили несколько атак гитлеровцев. Уничтожено 5 орудий, миномётная батарея, 9 станковых пулемётов, подбито 2 немецких танка и взорван склад с боеприпасами противника. Противник потерял убитыми и ранеными свыше 300 солдат и офицеров.</w:t>
      </w:r>
    </w:p>
    <w:p w14:paraId="76FB5E27"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первых числах августа немецкое командование предприняло крупную карательную экспедицию против ленинградских партизан. Несколько тысяч гитлеровцев с артиллерией, танками и бронемашинами пытались окружить партизанские отряды под командованием тт. В. и О. В течение двух недель партизаны вели бои с противникоми уничтожили до 600 немецко-фашистских оккупантов.</w:t>
      </w:r>
    </w:p>
    <w:p w14:paraId="2457E9D8"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 бойцы захватили в плен ефрейтора 2 роты 520 полка 296 немецкой пехотной дивизии Георга Стефана. Фашистский ублюдок заявил: «Нам офицеры каждый день твердят: Россия очень богатая страна. Германия хочет завоевать Россию и завладеть её богатствами. Русских слишком много. Часть жителей мы оставим в живых, пусть они работают для Германии. Всех остальных немецкая армия истребит, как лишних и ненужных».</w:t>
      </w:r>
    </w:p>
    <w:p w14:paraId="5BB2B7B1"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Переходя к вопросу о потерях немецкой армии, гитлеровский бандит выдаёт свой животный страх перед предстоящей расплатой за все преступления. «Многие, —говорит он, — называют войну с Россией походом. Это неправильно. В Польшу иФранцию, в Бельгию и Голландию мы совершали походы, а здесь идёт ужасная кровопролитная война. За два месяца во второй роте, включая пополнение, которое эта рота получила, выбыло из строя 160 солдат и офицеров. Только в последнем бою убито 32 человека, в том числе лейтенант Курт Дитц, унтер-офицеры Эрих Вольф, Карл Хейстель и Фриц Юрмшер. Русские сражаются очень зло и упорно. Если они идальше будут с таким ожесточением сражаться, то все огромные потери Германии окажутся напрасными».</w:t>
      </w:r>
    </w:p>
    <w:p w14:paraId="723DF24A"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Бойцы Н-ской части, действующей на одном из участков Брянского фронта, выбили немцев из рощи и обнаружили там 13 трупов замученных красноармейцев. Фашистские мерзавцы отрезали пленным бойцам уши, носы, а трём красноармейцам вырезали на груди пятиконечные звёзды.</w:t>
      </w:r>
    </w:p>
    <w:p w14:paraId="4D84FDCA"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Колхозы двенадцати районов южных областей Казахстана полностью выполнили план хлебопоставок государству. Сельскохозяйственные артели Джамбулской,Южно-Казахстанской, Кзыл-Ординской областей на 20 августа сдали в фонд Красной Армии свыше 600 тысяч пудов зерна нового урожая.»</w:t>
      </w:r>
    </w:p>
    <w:p w14:paraId="0209006F"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Лжецы из бандитского дома Гитлера и К°.</w:t>
      </w:r>
    </w:p>
    <w:p w14:paraId="2E6251D5"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«Германское радио передало заявление «авторитетных военных кругов Берлина», что советская авиация с 15 по 25 августа за время налётов на Кенигсберг, Данциг и другие города Восточной Пруссии якобы потеряла 136 самолётов. На самом деле завсё время налётов на военные об'екты городов Восточной Пруссии советская авиация не потеряла ни одного самолёта. Был случай, когда один самолёт во-время не вернулся на базу, считался потерянным, но и этот самолёт позже нашёлся. Жульническое сообщение лжецов из бандитского дома Гитлер и К° является, во-первых, самым убедительным свидетельством эффективности налётов советской авиации на военные об'екты немецких городов и, во-вторых, проявлением бессилия немецкой противовоздушной обороны помешать этим налётам.</w:t>
      </w:r>
    </w:p>
    <w:p w14:paraId="0CEA1201"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результате налётов советских самолётов немецкие военные об'екты летят на воздух, горят, население несёт большие потери, и при этом советская авиация не имеет потерь. Германскому командованию приходится выкручиваться и обманывать немецкое население. Раз у русских нет потерь, надо их выдумать; если противовоздушная оборона немецких городов слаба и ничего не может поделать с нашими самолётами, надо попробовать утопить их в чернильнице лжецов. И пытаются утопить. Но занятие это бесполезное. Немцам, которые несут потери от наших налётов, лживые заявления «авторитетных военных кругов Берлина» помогут, как мёртвому горчичник, а советские самолёты, принимавшие участие в налётах и все оставшиеся невредимыми, будут эти налёты продолжать.» (14992).</w:t>
      </w:r>
    </w:p>
    <w:p w14:paraId="0AC16EA2"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39BDEE28"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августа в 1942 году начались контрудары советских войск на Среднем Дону из районов Серафимовича, Еланской, Ново-Григорьевской против левого фланга 6-й армии противника (14992).</w:t>
      </w:r>
    </w:p>
    <w:p w14:paraId="46663BF0"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5B1643FF"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августа в 1942 году бомбардировочная авиация Балтийского флота начала налёты на военные объекты противника в городе Хельсинки (14992).</w:t>
      </w:r>
    </w:p>
    <w:p w14:paraId="003B775D"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045EE994"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августа в 1942 году немецкие войска заняли Темрюк (14992).</w:t>
      </w:r>
    </w:p>
    <w:p w14:paraId="48338E7C"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7CEE0A57"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lang w:val="en-US"/>
        </w:rPr>
        <w:t>24 August 1942 (24-August-27-November) The Battle for Stalingrad - Russians regain control after three months (270).</w:t>
      </w:r>
    </w:p>
    <w:p w14:paraId="530F96C1" w14:textId="77777777" w:rsidR="00AE7191" w:rsidRPr="001E2C69" w:rsidRDefault="00AE7191" w:rsidP="00722885">
      <w:pPr>
        <w:pStyle w:val="Iauiue"/>
        <w:jc w:val="both"/>
        <w:rPr>
          <w:color w:val="000000" w:themeColor="text1"/>
          <w:sz w:val="16"/>
          <w:szCs w:val="16"/>
          <w:lang w:val="en-US"/>
        </w:rPr>
      </w:pPr>
    </w:p>
    <w:p w14:paraId="18173A5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24 августа по 27 ноября 1942 была битва за Сталинград (270).</w:t>
      </w:r>
    </w:p>
    <w:p w14:paraId="4E26C9DE" w14:textId="77777777" w:rsidR="00AE7191" w:rsidRPr="001E2C69" w:rsidRDefault="00AE7191" w:rsidP="00722885">
      <w:pPr>
        <w:pStyle w:val="Iauiue"/>
        <w:jc w:val="both"/>
        <w:rPr>
          <w:color w:val="000000" w:themeColor="text1"/>
          <w:sz w:val="16"/>
          <w:szCs w:val="16"/>
        </w:rPr>
      </w:pPr>
    </w:p>
    <w:p w14:paraId="411B197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24—31 августа Люфтваффе наносили массированные удары по железным дорогам, ведущим к Сталинграду. Только на участок Качалино – Филоново было совершено 80 налетов, в ходе которых немецкие бомбардировщики сбросили около трех тысяч осколочных и фугасных бомб. В результате движение по дорогам Сталинград – Саратов и Сталинград – Липецк было полностью парализовано. 24 августа был совершен повторный налет на железнодорожный узел Балашов в Саратовской области. Эшелоны с воинскими грузами, двигавшиеся по дороге от Тамбова к Сталинграду, непрерывно подвергались ударам авиации, особенно опасным стал участок Михайловка – Иловля. Были полностью разрушены десятки станций, выведены из строя многие километры пути. В результате солдат и технику приходилось разгружать за десятки километров от фронта. После пятидесятикилометрового марша в район Котлубань – Самохваловка части с ходу вступали в бой (11774).</w:t>
      </w:r>
    </w:p>
    <w:p w14:paraId="47AC1569"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FBE45A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24 августа 1942 началось наступление КА к югу от Ладожского озера (2261).</w:t>
      </w:r>
    </w:p>
    <w:p w14:paraId="318399DF" w14:textId="77777777" w:rsidR="00AE7191" w:rsidRPr="001E2C69" w:rsidRDefault="00AE7191" w:rsidP="00722885">
      <w:pPr>
        <w:pStyle w:val="Iauiue"/>
        <w:jc w:val="both"/>
        <w:rPr>
          <w:color w:val="000000" w:themeColor="text1"/>
          <w:sz w:val="16"/>
          <w:szCs w:val="16"/>
        </w:rPr>
      </w:pPr>
    </w:p>
    <w:p w14:paraId="20B2D74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24 августа 1942 ст.с-т Г.С.Данилов из 807-го </w:t>
      </w:r>
      <w:r w:rsidRPr="001E2C69">
        <w:rPr>
          <w:iCs/>
          <w:color w:val="000000" w:themeColor="text1"/>
          <w:sz w:val="16"/>
          <w:szCs w:val="16"/>
        </w:rPr>
        <w:t xml:space="preserve">шап </w:t>
      </w:r>
      <w:r w:rsidRPr="001E2C69">
        <w:rPr>
          <w:color w:val="000000" w:themeColor="text1"/>
          <w:sz w:val="16"/>
          <w:szCs w:val="16"/>
        </w:rPr>
        <w:t xml:space="preserve">206-й </w:t>
      </w:r>
      <w:r w:rsidRPr="001E2C69">
        <w:rPr>
          <w:iCs/>
          <w:color w:val="000000" w:themeColor="text1"/>
          <w:sz w:val="16"/>
          <w:szCs w:val="16"/>
        </w:rPr>
        <w:t>шад</w:t>
      </w:r>
      <w:r w:rsidRPr="001E2C69">
        <w:rPr>
          <w:color w:val="000000" w:themeColor="text1"/>
          <w:sz w:val="16"/>
          <w:szCs w:val="16"/>
        </w:rPr>
        <w:t xml:space="preserve"> 8-й ВА в воздушном бою сбил Bf109, на следующий день - Ju88, a 29 августа - один Bf110 (6467).</w:t>
      </w:r>
    </w:p>
    <w:p w14:paraId="07FA9645" w14:textId="77777777" w:rsidR="00AE7191" w:rsidRPr="001E2C69" w:rsidRDefault="00AE7191" w:rsidP="00722885">
      <w:pPr>
        <w:pStyle w:val="Iauiue"/>
        <w:jc w:val="both"/>
        <w:rPr>
          <w:color w:val="000000" w:themeColor="text1"/>
          <w:sz w:val="16"/>
          <w:szCs w:val="16"/>
        </w:rPr>
      </w:pPr>
    </w:p>
    <w:p w14:paraId="33637AC2"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0A6925F8" w14:textId="77777777" w:rsidR="00AE7191" w:rsidRPr="001E2C69" w:rsidRDefault="00AE7191" w:rsidP="00722885">
      <w:pPr>
        <w:pStyle w:val="Iauiue"/>
        <w:jc w:val="both"/>
        <w:rPr>
          <w:iCs/>
          <w:color w:val="000000" w:themeColor="text1"/>
          <w:sz w:val="16"/>
          <w:szCs w:val="16"/>
        </w:rPr>
      </w:pPr>
    </w:p>
    <w:p w14:paraId="7EE24520"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24 августа в 1942 году заключен контракт на 1200 самолетов </w:t>
      </w:r>
      <w:hyperlink r:id="rId208" w:tgtFrame="_blank" w:history="1">
        <w:r w:rsidRPr="001E2C69">
          <w:rPr>
            <w:rFonts w:ascii="Times New Roman" w:hAnsi="Times New Roman"/>
            <w:color w:val="000000" w:themeColor="text1"/>
            <w:sz w:val="16"/>
            <w:szCs w:val="16"/>
          </w:rPr>
          <w:t xml:space="preserve">«Mustang» </w:t>
        </w:r>
      </w:hyperlink>
      <w:r w:rsidRPr="001E2C69">
        <w:rPr>
          <w:rFonts w:ascii="Times New Roman" w:hAnsi="Times New Roman"/>
          <w:color w:val="000000" w:themeColor="text1"/>
          <w:sz w:val="16"/>
          <w:szCs w:val="16"/>
        </w:rPr>
        <w:t>версии «NA-99», получившей в USAAF обозначение «P-51A». В отличие от «A-36A», этот самолет изначально пректировался не как бомбардировщик, а как истребитель</w:t>
      </w:r>
    </w:p>
    <w:p w14:paraId="4982D901"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3BCBE949"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24 августа в 1942 году облегченный "Спитфайр" MW, вылетевший с базы в Абукире (Египет), перехватил </w:t>
      </w:r>
      <w:hyperlink r:id="rId209" w:tgtFrame="_blank" w:history="1">
        <w:r w:rsidRPr="001E2C69">
          <w:rPr>
            <w:rFonts w:ascii="Times New Roman" w:hAnsi="Times New Roman"/>
            <w:color w:val="000000" w:themeColor="text1"/>
            <w:sz w:val="16"/>
            <w:szCs w:val="16"/>
          </w:rPr>
          <w:t xml:space="preserve">«Ju.86P-1» </w:t>
        </w:r>
      </w:hyperlink>
      <w:r w:rsidRPr="001E2C69">
        <w:rPr>
          <w:rFonts w:ascii="Times New Roman" w:hAnsi="Times New Roman"/>
          <w:color w:val="000000" w:themeColor="text1"/>
          <w:sz w:val="16"/>
          <w:szCs w:val="16"/>
        </w:rPr>
        <w:t>на высоте 12800 м севернее Каира. Несмотря на то, что английские перехватчики неоднократно обнаруживали «Ju.86P-2» англичанам впервые удалось одержать победу (14992).</w:t>
      </w:r>
    </w:p>
    <w:p w14:paraId="18C15AE8"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4CC93166"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24 августа 1942 г. специально оборудованному истребителю королевских ВВС </w:t>
      </w:r>
      <w:r w:rsidRPr="001E2C69">
        <w:rPr>
          <w:rFonts w:ascii="Times New Roman" w:hAnsi="Times New Roman"/>
          <w:color w:val="000000" w:themeColor="text1"/>
          <w:sz w:val="16"/>
          <w:szCs w:val="16"/>
          <w:lang w:val="en-US"/>
        </w:rPr>
        <w:t>Spitfire</w:t>
      </w:r>
      <w:r w:rsidRPr="001E2C69">
        <w:rPr>
          <w:rFonts w:ascii="Times New Roman" w:hAnsi="Times New Roman"/>
          <w:color w:val="000000" w:themeColor="text1"/>
          <w:sz w:val="16"/>
          <w:szCs w:val="16"/>
        </w:rPr>
        <w:t xml:space="preserve"> V удалось над Каиром на высоте 12800 м сбить один </w:t>
      </w:r>
      <w:r w:rsidRPr="001E2C69">
        <w:rPr>
          <w:rFonts w:ascii="Times New Roman" w:hAnsi="Times New Roman"/>
          <w:color w:val="000000" w:themeColor="text1"/>
          <w:sz w:val="16"/>
          <w:szCs w:val="16"/>
          <w:lang w:val="en-US"/>
        </w:rPr>
        <w:t>Ju</w:t>
      </w:r>
      <w:r w:rsidRPr="001E2C69">
        <w:rPr>
          <w:rFonts w:ascii="Times New Roman" w:hAnsi="Times New Roman"/>
          <w:color w:val="000000" w:themeColor="text1"/>
          <w:sz w:val="16"/>
          <w:szCs w:val="16"/>
        </w:rPr>
        <w:t xml:space="preserve"> 86</w:t>
      </w:r>
      <w:r w:rsidRPr="001E2C69">
        <w:rPr>
          <w:rFonts w:ascii="Times New Roman" w:hAnsi="Times New Roman"/>
          <w:color w:val="000000" w:themeColor="text1"/>
          <w:sz w:val="16"/>
          <w:szCs w:val="16"/>
          <w:lang w:val="en-US"/>
        </w:rPr>
        <w:t>R</w:t>
      </w:r>
      <w:r w:rsidRPr="001E2C69">
        <w:rPr>
          <w:rFonts w:ascii="Times New Roman" w:hAnsi="Times New Roman"/>
          <w:color w:val="000000" w:themeColor="text1"/>
          <w:sz w:val="16"/>
          <w:szCs w:val="16"/>
        </w:rPr>
        <w:t>-2 из состава 2.(</w:t>
      </w:r>
      <w:r w:rsidRPr="001E2C69">
        <w:rPr>
          <w:rFonts w:ascii="Times New Roman" w:hAnsi="Times New Roman"/>
          <w:color w:val="000000" w:themeColor="text1"/>
          <w:sz w:val="16"/>
          <w:szCs w:val="16"/>
          <w:lang w:val="en-US"/>
        </w:rPr>
        <w:t>F</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Aufkl</w:t>
      </w:r>
      <w:r w:rsidRPr="001E2C69">
        <w:rPr>
          <w:rFonts w:ascii="Times New Roman" w:hAnsi="Times New Roman"/>
          <w:color w:val="000000" w:themeColor="text1"/>
          <w:sz w:val="16"/>
          <w:szCs w:val="16"/>
        </w:rPr>
        <w:t xml:space="preserve">.123, а затем над Абукиром высотные истребители </w:t>
      </w:r>
      <w:r w:rsidRPr="001E2C69">
        <w:rPr>
          <w:rFonts w:ascii="Times New Roman" w:hAnsi="Times New Roman"/>
          <w:color w:val="000000" w:themeColor="text1"/>
          <w:sz w:val="16"/>
          <w:szCs w:val="16"/>
          <w:lang w:val="en-US"/>
        </w:rPr>
        <w:t>Spitfire</w:t>
      </w:r>
      <w:r w:rsidRPr="001E2C69">
        <w:rPr>
          <w:rFonts w:ascii="Times New Roman" w:hAnsi="Times New Roman"/>
          <w:color w:val="000000" w:themeColor="text1"/>
          <w:sz w:val="16"/>
          <w:szCs w:val="16"/>
        </w:rPr>
        <w:t xml:space="preserve"> V перехватили ещё два </w:t>
      </w:r>
      <w:r w:rsidRPr="001E2C69">
        <w:rPr>
          <w:rFonts w:ascii="Times New Roman" w:hAnsi="Times New Roman"/>
          <w:color w:val="000000" w:themeColor="text1"/>
          <w:sz w:val="16"/>
          <w:szCs w:val="16"/>
          <w:lang w:val="en-US"/>
        </w:rPr>
        <w:t>Ju</w:t>
      </w:r>
      <w:r w:rsidRPr="001E2C69">
        <w:rPr>
          <w:rFonts w:ascii="Times New Roman" w:hAnsi="Times New Roman"/>
          <w:color w:val="000000" w:themeColor="text1"/>
          <w:sz w:val="16"/>
          <w:szCs w:val="16"/>
        </w:rPr>
        <w:t xml:space="preserve"> 86</w:t>
      </w:r>
      <w:r w:rsidRPr="001E2C69">
        <w:rPr>
          <w:rFonts w:ascii="Times New Roman" w:hAnsi="Times New Roman"/>
          <w:color w:val="000000" w:themeColor="text1"/>
          <w:sz w:val="16"/>
          <w:szCs w:val="16"/>
          <w:lang w:val="en-US"/>
        </w:rPr>
        <w:t>R</w:t>
      </w:r>
      <w:r w:rsidRPr="001E2C69">
        <w:rPr>
          <w:rFonts w:ascii="Times New Roman" w:hAnsi="Times New Roman"/>
          <w:color w:val="000000" w:themeColor="text1"/>
          <w:sz w:val="16"/>
          <w:szCs w:val="16"/>
        </w:rPr>
        <w:t>-2</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xml:space="preserve">. Высотным перехватчиком, равным высотному варианту британского «Спитфайра», советская ПВО не располагала. Наши опытные высотные истребители по своему практическому потолку, в лучшем случае «доставали» простой, невысотный, </w:t>
      </w:r>
      <w:r w:rsidRPr="001E2C69">
        <w:rPr>
          <w:rFonts w:ascii="Times New Roman" w:hAnsi="Times New Roman"/>
          <w:color w:val="000000" w:themeColor="text1"/>
          <w:sz w:val="16"/>
          <w:szCs w:val="16"/>
          <w:lang w:val="en-US"/>
        </w:rPr>
        <w:t>Spitfire</w:t>
      </w:r>
      <w:r w:rsidRPr="001E2C69">
        <w:rPr>
          <w:rFonts w:ascii="Times New Roman" w:hAnsi="Times New Roman"/>
          <w:color w:val="000000" w:themeColor="text1"/>
          <w:sz w:val="16"/>
          <w:szCs w:val="16"/>
        </w:rPr>
        <w:t xml:space="preserve"> V, выпускавшийся британской авиапромышленностью с 1941 г. (15830).</w:t>
      </w:r>
    </w:p>
    <w:p w14:paraId="5D78FBF5"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604EDC1D" w14:textId="77777777" w:rsidR="00873549" w:rsidRPr="001E2C69" w:rsidRDefault="0087354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августа 1942, управляя Spitfire Mark V, специально модифицированным для полетов на больших высотах, летный офицер Королевских ВВС Джордж Рейнольдс перехватывает немецкий разведывательный самолет Junkers Ju 86P недалеко от Каира, Египет, на высоте 37000 футов (11 278 метров). Основанные на Крите и начавшиеся в мае разведывательные операции над Египтом, Ju 86P из группы дальней разведки Люфтваффе 123 ранее летали безнаказанно, потому что истребители союзников не могли достичь их боевой высоты. Хотя Ju 86P поднимается на высоту 42 000 футов (12 802 метра), Рейнольдсу удается выстрелить в него, прежде чем он ушел. Королевские ВВС пришли к выводу, что они должны еще больше облегчить Spitfire, чтобы он мог перехватить Ju 86P (20793).</w:t>
      </w:r>
    </w:p>
    <w:p w14:paraId="4C5F2292" w14:textId="77777777" w:rsidR="00873549" w:rsidRPr="001E2C69" w:rsidRDefault="00873549" w:rsidP="00722885">
      <w:pPr>
        <w:spacing w:after="0" w:line="240" w:lineRule="auto"/>
        <w:jc w:val="both"/>
        <w:rPr>
          <w:rFonts w:ascii="Times New Roman" w:hAnsi="Times New Roman"/>
          <w:color w:val="000000" w:themeColor="text1"/>
          <w:sz w:val="16"/>
          <w:szCs w:val="16"/>
        </w:rPr>
      </w:pPr>
    </w:p>
    <w:p w14:paraId="78BE134D" w14:textId="2C0EE07D" w:rsidR="00873549" w:rsidRPr="001E2C69" w:rsidRDefault="0087354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августа 1942</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Облегчённый "Спитфайр" MkV, вылетевший с базы в Абукире (Египет), перехватил Ju.86P-1 на высоте 12800 м севернее Каира. Несмотря на то, что английские перехватчики неоднократно обнаруживали Ju.86P-2 англичанам впервые удалось одержать победу (22388).</w:t>
      </w:r>
    </w:p>
    <w:p w14:paraId="2EF77021" w14:textId="77777777" w:rsidR="00873549" w:rsidRPr="001E2C69" w:rsidRDefault="00873549" w:rsidP="00722885">
      <w:pPr>
        <w:shd w:val="clear" w:color="auto" w:fill="FFFFFF"/>
        <w:spacing w:after="0" w:line="240" w:lineRule="auto"/>
        <w:jc w:val="both"/>
        <w:rPr>
          <w:rFonts w:ascii="Times New Roman" w:hAnsi="Times New Roman"/>
          <w:color w:val="000000" w:themeColor="text1"/>
          <w:sz w:val="16"/>
          <w:szCs w:val="16"/>
        </w:rPr>
      </w:pPr>
    </w:p>
    <w:p w14:paraId="65955EE7" w14:textId="77777777" w:rsidR="00873549" w:rsidRPr="001E2C69" w:rsidRDefault="0087354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августа 1942 Люфтваффе начинает высотные налеты на Англию, используя бомбардировщики Junkers Ju 86R, несущие одну 250-кг (551 фунтов) бомбу каждый и способные летать так высоко до 47000 футов (14,326 м). В первый день, два Ju 86R-2 сбросили по бомбе каждый на Камберли и Саутгемптон , вызвав небольшие разрушения, Spitfire эскадрильи польских ВВС не смогли перехватить Ju 86Rs, не достигают требуемой высоты. Люфтваффе проведет еще десять рейдов в течение следующих трех недель (20793).</w:t>
      </w:r>
    </w:p>
    <w:p w14:paraId="2E66B79C" w14:textId="77777777" w:rsidR="00873549" w:rsidRPr="001E2C69" w:rsidRDefault="00873549" w:rsidP="00722885">
      <w:pPr>
        <w:spacing w:after="0" w:line="240" w:lineRule="auto"/>
        <w:jc w:val="both"/>
        <w:rPr>
          <w:rFonts w:ascii="Times New Roman" w:hAnsi="Times New Roman"/>
          <w:color w:val="000000" w:themeColor="text1"/>
          <w:sz w:val="16"/>
          <w:szCs w:val="16"/>
        </w:rPr>
      </w:pPr>
    </w:p>
    <w:p w14:paraId="359EA088" w14:textId="77777777" w:rsidR="00873549" w:rsidRPr="001E2C69" w:rsidRDefault="0087354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24–25 августа 1942 битва на Восточных Соломоновых островах происходит к северу от Соломоновых островов. Она включает в себя авианосную акцию 24 августа, во время которой авианосцы ВМС США потопили японский авианосец Ryūj, а японские авианосцы сильно повредили американский авианосец USS Enterprise (CV-6) (20793).</w:t>
      </w:r>
    </w:p>
    <w:p w14:paraId="2181587A" w14:textId="77777777" w:rsidR="00873549" w:rsidRPr="001E2C69" w:rsidRDefault="00873549" w:rsidP="00722885">
      <w:pPr>
        <w:spacing w:after="0" w:line="240" w:lineRule="auto"/>
        <w:jc w:val="both"/>
        <w:rPr>
          <w:rFonts w:ascii="Times New Roman" w:hAnsi="Times New Roman"/>
          <w:color w:val="000000" w:themeColor="text1"/>
          <w:sz w:val="16"/>
          <w:szCs w:val="16"/>
        </w:rPr>
      </w:pPr>
    </w:p>
    <w:p w14:paraId="7A2BF657" w14:textId="54CBE740" w:rsidR="00873549" w:rsidRPr="001E2C69" w:rsidRDefault="0087354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 августа 1942</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(24-25 августа) Морское сражение на Восточных Соломоновых островах (также известное как сражение на островах Стюарта и, в японских источниках, как Второе сражение в Соломоновом море) и было третьим авианосным сражением Тихоокеанской кампании Второй мировой войны и вторым крупным сражением между ВМС США и Императорским флотом Японии во время Гуадалканальской кампании. Как и в битве в Коралловом море и битве при Мидуэе,корабли двух противников никогда не были в поле зрения друг друга. Вместо этого все атаки осуществлялись палубными или наземными самолётами.</w:t>
      </w:r>
    </w:p>
    <w:p w14:paraId="03966663" w14:textId="77777777" w:rsidR="00873549" w:rsidRPr="001E2C69" w:rsidRDefault="0087354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нескольких разрушительных воздушных атак надводные комбатанты ВМС как из Америки, так и из Японии покинули район сражения, не обеспечив ни одной из сторон явной победы. Однако США и их союзники получили тактическое и стратегическое преимущество. Потери Японии были больше и включали десятки самолётов и их опытные лётные составы. Кроме того, японские подкрепления, предназначенные для Гуадалканала, были задержаны и в конечном итоге доставлены военными кораблями, а не транспортными кораблями, что дало союзникам больше времени для подготовки к японскому контрнаступлению и помешало японцам высадить тяжёлую артиллерию, боеприпасы и другие припасы (22388).</w:t>
      </w:r>
    </w:p>
    <w:p w14:paraId="3BE2A454" w14:textId="77777777" w:rsidR="00873549" w:rsidRPr="001E2C69" w:rsidRDefault="00873549" w:rsidP="00722885">
      <w:pPr>
        <w:spacing w:after="0" w:line="240" w:lineRule="auto"/>
        <w:jc w:val="both"/>
        <w:rPr>
          <w:rFonts w:ascii="Times New Roman" w:hAnsi="Times New Roman"/>
          <w:color w:val="000000" w:themeColor="text1"/>
          <w:sz w:val="16"/>
          <w:szCs w:val="16"/>
        </w:rPr>
      </w:pPr>
    </w:p>
    <w:p w14:paraId="00C7057C" w14:textId="77777777" w:rsidR="00873549" w:rsidRPr="001E2C69" w:rsidRDefault="0087354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24–25 августа (ночь) 1942 226 британских бомбардировщиков атакуют Франкфурт-на-Майне, Германия, но большинство их бомб приземляются значительно западнее города; 16 самолетов не возвращаются, в том числе пять «Следопытов» (20793).</w:t>
      </w:r>
    </w:p>
    <w:p w14:paraId="6E2A06CA" w14:textId="77777777" w:rsidR="00873549" w:rsidRPr="001E2C69" w:rsidRDefault="00873549" w:rsidP="00722885">
      <w:pPr>
        <w:spacing w:after="0" w:line="240" w:lineRule="auto"/>
        <w:jc w:val="both"/>
        <w:rPr>
          <w:rFonts w:ascii="Times New Roman" w:hAnsi="Times New Roman"/>
          <w:color w:val="000000" w:themeColor="text1"/>
          <w:sz w:val="16"/>
          <w:szCs w:val="16"/>
        </w:rPr>
      </w:pPr>
    </w:p>
    <w:p w14:paraId="0566C10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24 августа 1942 началась битва авианосцев на Соломоновых островах (2100).</w:t>
      </w:r>
    </w:p>
    <w:p w14:paraId="52089112" w14:textId="77777777" w:rsidR="00AE7191" w:rsidRPr="001E2C69" w:rsidRDefault="00AE7191" w:rsidP="00722885">
      <w:pPr>
        <w:pStyle w:val="Iauiue"/>
        <w:jc w:val="both"/>
        <w:rPr>
          <w:color w:val="000000" w:themeColor="text1"/>
          <w:sz w:val="16"/>
          <w:szCs w:val="16"/>
        </w:rPr>
      </w:pPr>
    </w:p>
    <w:p w14:paraId="2DB243B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24 августа 1942 состоялась морская битва у Соломоновых островов (2261).</w:t>
      </w:r>
    </w:p>
    <w:p w14:paraId="2ADCBE11" w14:textId="77777777" w:rsidR="00AE7191" w:rsidRPr="001E2C69" w:rsidRDefault="00AE7191" w:rsidP="00722885">
      <w:pPr>
        <w:pStyle w:val="Iauiue"/>
        <w:jc w:val="both"/>
        <w:rPr>
          <w:color w:val="000000" w:themeColor="text1"/>
          <w:sz w:val="16"/>
          <w:szCs w:val="16"/>
        </w:rPr>
      </w:pPr>
    </w:p>
    <w:p w14:paraId="71744BF1"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24 августа в 1942 году авианосец </w:t>
      </w:r>
      <w:hyperlink r:id="rId210" w:anchor="100923" w:tgtFrame="_blank" w:history="1">
        <w:r w:rsidRPr="001E2C69">
          <w:rPr>
            <w:rFonts w:ascii="Times New Roman" w:hAnsi="Times New Roman"/>
            <w:color w:val="000000" w:themeColor="text1"/>
            <w:sz w:val="16"/>
            <w:szCs w:val="16"/>
          </w:rPr>
          <w:t xml:space="preserve">«Рюдзе» («Ryujo») </w:t>
        </w:r>
      </w:hyperlink>
      <w:r w:rsidRPr="001E2C69">
        <w:rPr>
          <w:rFonts w:ascii="Times New Roman" w:hAnsi="Times New Roman"/>
          <w:color w:val="000000" w:themeColor="text1"/>
          <w:sz w:val="16"/>
          <w:szCs w:val="16"/>
        </w:rPr>
        <w:t xml:space="preserve">потоплен у Восточных Соломоновых островов самолетами с американского авианосца </w:t>
      </w:r>
      <w:hyperlink r:id="rId211" w:anchor="100874" w:tgtFrame="_blank" w:history="1">
        <w:r w:rsidRPr="001E2C69">
          <w:rPr>
            <w:rFonts w:ascii="Times New Roman" w:hAnsi="Times New Roman"/>
            <w:color w:val="000000" w:themeColor="text1"/>
            <w:sz w:val="16"/>
            <w:szCs w:val="16"/>
          </w:rPr>
          <w:t xml:space="preserve">«Саратога» («Saratoga»). </w:t>
        </w:r>
      </w:hyperlink>
      <w:r w:rsidRPr="001E2C69">
        <w:rPr>
          <w:rFonts w:ascii="Times New Roman" w:hAnsi="Times New Roman"/>
          <w:color w:val="000000" w:themeColor="text1"/>
          <w:sz w:val="16"/>
          <w:szCs w:val="16"/>
        </w:rPr>
        <w:t>Спущенный на воду в 1931 году, «Рюдзе» стал первым японским авианосцем специальной постройки. Он имел крейсерские обводы, что ограничивало его ширину, поэтому над первым ангаром был надстроен второй, что привело к уменьшению остойчивости корабля. Поэтому почти сразу после вступлении авианосца в строй в мае 1933 года его вернули на верфь для модернизации. Между 1934 и 1936 годами корпус авианосца был усилен, на нем увеличили булевые наделки. «Рюдзе» входил в группу кораблей, прикрывавших высадку японских войск на Филиппинах в декабре 1941 года, а затем в Голландской Ост-Индии в феврале 1942 года. В апреле корабль вошел в состав японской авианосной группы, совершившей рейд в Индийский океан и атаковавшей Цейлон. Затем «Рюдзе» вернулся на Тихий океан для участия в операции у острова Мидуэй (14992).</w:t>
      </w:r>
    </w:p>
    <w:p w14:paraId="15925E7B"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2B3F46F6"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359220A3" w14:textId="77777777" w:rsidR="00AE7191" w:rsidRPr="001E2C69" w:rsidRDefault="00AE7191" w:rsidP="00722885">
      <w:pPr>
        <w:pStyle w:val="Iauiue"/>
        <w:jc w:val="both"/>
        <w:rPr>
          <w:iCs/>
          <w:color w:val="000000" w:themeColor="text1"/>
          <w:sz w:val="16"/>
          <w:szCs w:val="16"/>
        </w:rPr>
      </w:pPr>
    </w:p>
    <w:p w14:paraId="41FADBD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августа 1942 начальник НИИ ВВС КА генерал И.Ф. Петров утвердил заключение по испытаниям неподвижных пулеметных установок на Ил-2 для стрельбы в заднюю полусферу. Установка под пулемет УБТ с боекомплектом 250 патронов до</w:t>
      </w:r>
      <w:r w:rsidRPr="001E2C69">
        <w:rPr>
          <w:rFonts w:ascii="Times New Roman" w:hAnsi="Times New Roman"/>
          <w:color w:val="000000" w:themeColor="text1"/>
          <w:sz w:val="16"/>
          <w:szCs w:val="16"/>
        </w:rPr>
        <w:softHyphen/>
        <w:t>пускала дискретное (через 2,5°) изменение угла вертикального на</w:t>
      </w:r>
      <w:r w:rsidRPr="001E2C69">
        <w:rPr>
          <w:rFonts w:ascii="Times New Roman" w:hAnsi="Times New Roman"/>
          <w:color w:val="000000" w:themeColor="text1"/>
          <w:sz w:val="16"/>
          <w:szCs w:val="16"/>
        </w:rPr>
        <w:softHyphen/>
        <w:t>ведения от 0° до +5° и угол горизонтального наведения 2,5°. Уста</w:t>
      </w:r>
      <w:r w:rsidRPr="001E2C69">
        <w:rPr>
          <w:rFonts w:ascii="Times New Roman" w:hAnsi="Times New Roman"/>
          <w:color w:val="000000" w:themeColor="text1"/>
          <w:sz w:val="16"/>
          <w:szCs w:val="16"/>
        </w:rPr>
        <w:softHyphen/>
        <w:t>новка под два пулемета ШКАС с боезапасом 1000 патронов допус</w:t>
      </w:r>
      <w:r w:rsidRPr="001E2C69">
        <w:rPr>
          <w:rFonts w:ascii="Times New Roman" w:hAnsi="Times New Roman"/>
          <w:color w:val="000000" w:themeColor="text1"/>
          <w:sz w:val="16"/>
          <w:szCs w:val="16"/>
        </w:rPr>
        <w:softHyphen/>
        <w:t>кала изменение угла вертикального наведения от 0° до 22,5° и угол горизонтального наведения 7,5°. Всего было выполнено пять испытательных полетов, из них че</w:t>
      </w:r>
      <w:r w:rsidRPr="001E2C69">
        <w:rPr>
          <w:rFonts w:ascii="Times New Roman" w:hAnsi="Times New Roman"/>
          <w:color w:val="000000" w:themeColor="text1"/>
          <w:sz w:val="16"/>
          <w:szCs w:val="16"/>
        </w:rPr>
        <w:softHyphen/>
        <w:t>тыре — на Ил-2 с пулеметами ШКАС и один — на Ил-2 с пулеме</w:t>
      </w:r>
      <w:r w:rsidRPr="001E2C69">
        <w:rPr>
          <w:rFonts w:ascii="Times New Roman" w:hAnsi="Times New Roman"/>
          <w:color w:val="000000" w:themeColor="text1"/>
          <w:sz w:val="16"/>
          <w:szCs w:val="16"/>
        </w:rPr>
        <w:softHyphen/>
        <w:t>том УБТ. Пилотировал самолеты летчик-испытатель НИИ ВВС майор А.К. Долгов. По результатам испытаний лучшей была признана установка из двух пулеметов ШКАС, но из-за низких оборонительных возмож</w:t>
      </w:r>
      <w:r w:rsidRPr="001E2C69">
        <w:rPr>
          <w:rFonts w:ascii="Times New Roman" w:hAnsi="Times New Roman"/>
          <w:color w:val="000000" w:themeColor="text1"/>
          <w:sz w:val="16"/>
          <w:szCs w:val="16"/>
        </w:rPr>
        <w:softHyphen/>
        <w:t>ностей штурмовики с такими пулеметными установками в серию не пошли (10695).</w:t>
      </w:r>
    </w:p>
    <w:p w14:paraId="4FCFA92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18B9200C" w14:textId="77777777" w:rsidR="00956200" w:rsidRPr="001E2C69" w:rsidRDefault="00956200"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eastAsia="Times New Roman" w:hAnsi="Times New Roman"/>
          <w:color w:val="000000" w:themeColor="text1"/>
          <w:sz w:val="16"/>
          <w:szCs w:val="16"/>
        </w:rPr>
        <w:t>Заключение по испытаниям неподвижных пулеметных установок на Ил-2 для стрельбы в заднюю полусферу генерал И.Ф. Петров утвердил 25 августа 1942 г.</w:t>
      </w:r>
    </w:p>
    <w:p w14:paraId="110F3D6F" w14:textId="77777777" w:rsidR="00956200" w:rsidRPr="001E2C69" w:rsidRDefault="00956200"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eastAsia="Times New Roman" w:hAnsi="Times New Roman"/>
          <w:color w:val="000000" w:themeColor="text1"/>
          <w:sz w:val="16"/>
          <w:szCs w:val="16"/>
        </w:rPr>
        <w:t>Всего было выполнено 5 испытательных полетов, из них 4 полета - на Ил-2 с пулеметами ШКАС и 1 полет - на Ил-2 с УБТ. По результатам испытаний установка из двух пулеметов ШКАС, вследствие большего числа стволов и большей их скорострельности, была признана лучшей. Однако в силу низких оборонительных возможностей штурмовики с такими пулеметными установками в серийное производство не пошли (20186).</w:t>
      </w:r>
    </w:p>
    <w:p w14:paraId="10B49355" w14:textId="77777777" w:rsidR="00956200" w:rsidRPr="001E2C69" w:rsidRDefault="00956200" w:rsidP="00722885">
      <w:pPr>
        <w:shd w:val="clear" w:color="auto" w:fill="FFFFFF"/>
        <w:spacing w:after="0" w:line="240" w:lineRule="auto"/>
        <w:jc w:val="both"/>
        <w:rPr>
          <w:rFonts w:ascii="Times New Roman" w:hAnsi="Times New Roman"/>
          <w:color w:val="000000" w:themeColor="text1"/>
          <w:sz w:val="16"/>
          <w:szCs w:val="16"/>
        </w:rPr>
      </w:pPr>
    </w:p>
    <w:p w14:paraId="6C99414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августа 1942 при проведении испытаний на определение границ высотности на Ил-2 М-82 прогорел выхлоп</w:t>
      </w:r>
      <w:r w:rsidRPr="001E2C69">
        <w:rPr>
          <w:rFonts w:ascii="Times New Roman" w:hAnsi="Times New Roman"/>
          <w:color w:val="000000" w:themeColor="text1"/>
          <w:sz w:val="16"/>
          <w:szCs w:val="16"/>
        </w:rPr>
        <w:softHyphen/>
        <w:t>ной клапан и обнаружился задир поршня. «Пропала» компрессия. Мотор признали непригодным к эксплуатации. Планирова</w:t>
      </w:r>
      <w:r w:rsidRPr="001E2C69">
        <w:rPr>
          <w:rFonts w:ascii="Times New Roman" w:hAnsi="Times New Roman"/>
          <w:color w:val="000000" w:themeColor="text1"/>
          <w:sz w:val="16"/>
          <w:szCs w:val="16"/>
        </w:rPr>
        <w:softHyphen/>
        <w:t>лась его замена и продолжение полетов. В течение августа — сентября 1942 на аэродроме НИИ ВВС в Колъцово доводился и проходили заводские испытания Ил-2 М-82 адноместного, постройки завода № 381 28 авпреля 1942. Самолет летал с полной загрузкой горючим и маслом, безбомб и боеприпасов. В воздухе самолет вел себя устойчиво. Макси</w:t>
      </w:r>
      <w:r w:rsidRPr="001E2C69">
        <w:rPr>
          <w:rFonts w:ascii="Times New Roman" w:hAnsi="Times New Roman"/>
          <w:color w:val="000000" w:themeColor="text1"/>
          <w:sz w:val="16"/>
          <w:szCs w:val="16"/>
        </w:rPr>
        <w:softHyphen/>
        <w:t>мальная скорость у земли достигала 375 км/ч. Мотор работал хо</w:t>
      </w:r>
      <w:r w:rsidRPr="001E2C69">
        <w:rPr>
          <w:rFonts w:ascii="Times New Roman" w:hAnsi="Times New Roman"/>
          <w:color w:val="000000" w:themeColor="text1"/>
          <w:sz w:val="16"/>
          <w:szCs w:val="16"/>
        </w:rPr>
        <w:softHyphen/>
        <w:t>рошо. Однако после каждого полета появлялись трещины на сек</w:t>
      </w:r>
      <w:r w:rsidRPr="001E2C69">
        <w:rPr>
          <w:rFonts w:ascii="Times New Roman" w:hAnsi="Times New Roman"/>
          <w:color w:val="000000" w:themeColor="text1"/>
          <w:sz w:val="16"/>
          <w:szCs w:val="16"/>
        </w:rPr>
        <w:softHyphen/>
        <w:t>циях выхлопного коллектора. Пришлось поставить коллектор из нержавеющей стали толщиной 1,5 мм. Усилили крепление бро</w:t>
      </w:r>
      <w:r w:rsidRPr="001E2C69">
        <w:rPr>
          <w:rFonts w:ascii="Times New Roman" w:hAnsi="Times New Roman"/>
          <w:color w:val="000000" w:themeColor="text1"/>
          <w:sz w:val="16"/>
          <w:szCs w:val="16"/>
        </w:rPr>
        <w:softHyphen/>
        <w:t>невых нижних крышек капота мотора. Что с самолетом стало в дальнейшем — неясно. (11474,285).</w:t>
      </w:r>
    </w:p>
    <w:p w14:paraId="4E69B07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47A361EE"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25 августа 1942 г. Эскизный проект самолёта, получившего обозначение БШ-М-71 (Ил-8 М-71), был подписан Ильюшиным. </w:t>
      </w:r>
    </w:p>
    <w:p w14:paraId="61F0B0BD"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разработке проекта БШ-М-71 Ильюшин сделал ставку на сильное бронирование Ьи мощное бомбовое и пушечное вооружение, что давало возможность использовать само- ьяёт не только в качестве штурмовика, но и ближнего дневного бомбардировщика. В ВВС эасной Армии в то время катастрофически не хватало фронтовой бомбардировочной виации. По замыслу многоцелевое назначение БШ-М-71 должно было обеспечить повы- ьшенную боевую эффективность при решении задач авиационной поддержки войск. Кроме |этого, БШ-М-71 сохранял преемственность технологии производства Ил-2 и предусматри- юсь частичное (до 25%) использование готовых деталей, узлов и оснастки от «двойки». Вооружение состояло из двух 37-мм пушек 11П (80 снарядов) конструкции ОКБ-16 и че- |тарёх пулемётов ШКАС (1600 патронов). У стрелка - пулемёт УБТ (300 патронов) на туре- I башенного типа с большими углами обстрела. Нормальная бомбовая нагрузка - 400 кг, I перегрузку - до 1000 кг, в том числе 2 ФАБ-500. Ракетные орудия не предусматривались, так как основным средством борьбы с танками и защищен ными целями должны были стат пушки и бомбы.</w:t>
      </w:r>
    </w:p>
    <w:p w14:paraId="69B93539"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отличие от серийноп штурмовика Ил-2 на БШ-М-7 полностью бронировался эки паж. Толщина брони броне корпуса со стороны задней по лусферы была увеличена с 15 до 16 мм. Остальные участк бронекорпуса и башня стрелка имели 6-мм броню. Со стороны установки пулемёта на башн устанавливалась 62-мм прозрачная броня. Из прозрачной брони такой же толщины выполнялись и смотровые окне расположенные по бокам башни.</w:t>
      </w:r>
    </w:p>
    <w:p w14:paraId="013BC180" w14:textId="77777777" w:rsidR="00D06519" w:rsidRPr="001E2C69" w:rsidRDefault="00D06519" w:rsidP="00722885">
      <w:pPr>
        <w:tabs>
          <w:tab w:val="left" w:pos="5079"/>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Вес металлической брони составлял 1461,7 кг, а прозрачной - 101,6 кг. По сравнению! Ил-2 АМ-38 увеличение веса брони БШ-М-71 достигало почти 752 кг при доле в полётной </w:t>
      </w:r>
      <w:r w:rsidRPr="001E2C69">
        <w:rPr>
          <w:rStyle w:val="75pt"/>
          <w:rFonts w:ascii="Times New Roman" w:hAnsi="Times New Roman" w:cs="Times New Roman"/>
          <w:color w:val="000000" w:themeColor="text1"/>
          <w:sz w:val="16"/>
          <w:szCs w:val="16"/>
        </w:rPr>
        <w:t>весе 21,5% против 14,2% у «двойки».</w:t>
      </w:r>
    </w:p>
    <w:p w14:paraId="6C7AED4A" w14:textId="77777777" w:rsidR="00D06519" w:rsidRPr="001E2C69" w:rsidRDefault="00D06519" w:rsidP="00722885">
      <w:pPr>
        <w:spacing w:after="0" w:line="240" w:lineRule="auto"/>
        <w:jc w:val="both"/>
        <w:rPr>
          <w:rFonts w:ascii="Times New Roman" w:hAnsi="Times New Roman"/>
          <w:color w:val="000000" w:themeColor="text1"/>
          <w:sz w:val="16"/>
          <w:szCs w:val="16"/>
        </w:rPr>
      </w:pPr>
      <w:r w:rsidRPr="001E2C69">
        <w:rPr>
          <w:rStyle w:val="885pt"/>
          <w:rFonts w:ascii="Times New Roman" w:hAnsi="Times New Roman" w:cs="Times New Roman"/>
          <w:color w:val="000000" w:themeColor="text1"/>
          <w:sz w:val="16"/>
          <w:szCs w:val="16"/>
        </w:rPr>
        <w:t>По расчётам максимальная скорость</w:t>
      </w:r>
      <w:r w:rsidRPr="001E2C69">
        <w:rPr>
          <w:rFonts w:ascii="Times New Roman" w:hAnsi="Times New Roman"/>
          <w:color w:val="000000" w:themeColor="text1"/>
          <w:sz w:val="16"/>
          <w:szCs w:val="16"/>
        </w:rPr>
        <w:t xml:space="preserve"> у</w:t>
      </w:r>
      <w:r w:rsidRPr="001E2C69">
        <w:rPr>
          <w:rStyle w:val="885pt"/>
          <w:rFonts w:ascii="Times New Roman" w:hAnsi="Times New Roman" w:cs="Times New Roman"/>
          <w:color w:val="000000" w:themeColor="text1"/>
          <w:sz w:val="16"/>
          <w:szCs w:val="16"/>
        </w:rPr>
        <w:t xml:space="preserve"> земли составляла 420 км/ч (460 км/ч на фор</w:t>
      </w:r>
      <w:r w:rsidRPr="001E2C69">
        <w:rPr>
          <w:rFonts w:ascii="Times New Roman" w:hAnsi="Times New Roman"/>
          <w:color w:val="000000" w:themeColor="text1"/>
          <w:sz w:val="16"/>
          <w:szCs w:val="16"/>
        </w:rPr>
        <w:t xml:space="preserve">саже), на высоте 5000 м - 500 км/ч. Набор высоты 1000 м - 2 мин. Посадочная скорост (без бомб) с выпущенными щитками - 125 км/ч. Максимальная дальность полёта у земли| </w:t>
      </w:r>
      <w:r w:rsidRPr="001E2C69">
        <w:rPr>
          <w:rStyle w:val="885pt"/>
          <w:rFonts w:ascii="Times New Roman" w:hAnsi="Times New Roman" w:cs="Times New Roman"/>
          <w:color w:val="000000" w:themeColor="text1"/>
          <w:sz w:val="16"/>
          <w:szCs w:val="16"/>
        </w:rPr>
        <w:t>на скорости 336 км/ч - 760 км</w:t>
      </w:r>
      <w:r w:rsidRPr="001E2C69">
        <w:rPr>
          <w:rFonts w:ascii="Times New Roman" w:hAnsi="Times New Roman"/>
          <w:color w:val="000000" w:themeColor="text1"/>
          <w:sz w:val="16"/>
          <w:szCs w:val="16"/>
        </w:rPr>
        <w:t xml:space="preserve"> (15846).</w:t>
      </w:r>
    </w:p>
    <w:p w14:paraId="42EE2D04" w14:textId="77777777" w:rsidR="00D06519" w:rsidRPr="001E2C69" w:rsidRDefault="00D06519" w:rsidP="00722885">
      <w:pPr>
        <w:spacing w:after="0" w:line="240" w:lineRule="auto"/>
        <w:jc w:val="both"/>
        <w:rPr>
          <w:rFonts w:ascii="Times New Roman" w:hAnsi="Times New Roman"/>
          <w:color w:val="000000" w:themeColor="text1"/>
          <w:sz w:val="16"/>
          <w:szCs w:val="16"/>
        </w:rPr>
      </w:pPr>
    </w:p>
    <w:p w14:paraId="4641BE81" w14:textId="3CF71A09" w:rsidR="0059006B" w:rsidRPr="001E2C69" w:rsidRDefault="0059006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августа 1942 года С.</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В.</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Ильюшин направил письмо заместителю командующего ВВС КА генерал-лейтенанту А.</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К.</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Репину, в котором предлагал включить «в план опытного строительства 1942 года» постройку двухместного бронированного штурмовика с мотором М-71 (БШ-М-71). При этом он просил «представленный мною ранее вам материал по одноместному бронированному штурмовику/…/считать аннулированным». Срок «выпуска указанного самолета в первый полет» ожидался 1 февраля 1943 года.</w:t>
      </w:r>
    </w:p>
    <w:p w14:paraId="633642B6" w14:textId="3887BE00" w:rsidR="0059006B" w:rsidRPr="001E2C69" w:rsidRDefault="0059006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Вооружение самолета включало две 37-мм пушки 11П с боекомплектом 80 снарядов и четыре крыльевых пулемета ШКАС с 2000 патронов. У стрелка</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пушка ШВАК с боезапасом 300 снарядов на турели башенного типа. Установка обеспечивала обстрел: вверх</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до 50°, влево и вправо</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по 110°, вниз по борту</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15°.</w:t>
      </w:r>
    </w:p>
    <w:p w14:paraId="33AA36E1" w14:textId="569DAA6A" w:rsidR="0059006B" w:rsidRPr="001E2C69" w:rsidRDefault="0059006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Нормальная бомбовая нагрузка предполагалась 400</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кг, в перегрузку</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до 1000</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кг. Реактивные снаряды устанавливать не планировалось, так как основным средством борьбы с танками и защищенными целями должны были стать пушки и авиабомбы. Самолет не был приспособлен для бомбометания с пикирования под большими углами. Бомбы предполагалось сбрасывать с горизонтального полета или с пологого пикирования под углами 25–30°.</w:t>
      </w:r>
    </w:p>
    <w:p w14:paraId="24082BC2" w14:textId="5288EF5E" w:rsidR="0059006B" w:rsidRPr="001E2C69" w:rsidRDefault="0059006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машине планировалось забронировать экипаж, маслорадиатор, бензо- и маслобаки (толщина брони</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везде 6</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мм). Мотор размещался внутри бронекапота (толщина брони 6</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мм), диск кока винта выполнялся из брони толщиной 8</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мм. Летчик со стороны передней полусферы защищался прозрачным бронестеклом толщиной 62</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мм, с боков и снизу</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броней толщиной 6</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мм, а со стороны задней полусферы</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16-мм броневым листом. На фонаре кабины пилота сверху и с боков устанавливались 6-мм бронеплиты.</w:t>
      </w:r>
    </w:p>
    <w:p w14:paraId="68837908" w14:textId="50B34FC7" w:rsidR="0059006B" w:rsidRPr="001E2C69" w:rsidRDefault="0059006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Кабина стрелка также бронировалась: со стороны хвоста он защищался 16-мм бронеплитой, с боков и снизу</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6-мм броней. Башня турели была полностью забронирована металлической броней толщиной 6</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мм. Со стороны установки пулемета на башне устанавливалась 62-мм прозрачная броня. Из прозрачной брони такой же толщины выполнялись и смотровые окна, расположенные по бокам башни.</w:t>
      </w:r>
    </w:p>
    <w:p w14:paraId="16C713A8" w14:textId="1C2B22A6" w:rsidR="0059006B" w:rsidRPr="001E2C69" w:rsidRDefault="0059006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Вес металлической брони должен был составить 1461,7</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кг, а прозрачной</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101,6</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кг. По сравнению с Ил-2 АМ-38 вес брони нового штурмовика увеличился почти на 752</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кг при доле в полетном весе 21,5</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против 14,2</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у «двойки».</w:t>
      </w:r>
    </w:p>
    <w:p w14:paraId="6E49CF26" w14:textId="77777777" w:rsidR="0059006B" w:rsidRPr="001E2C69" w:rsidRDefault="0059006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самолете отсутствовали система заполнения бензобаков нейтральным газом и дублирование управления рулем высоты и направления, что считалось крупным недостатком.</w:t>
      </w:r>
    </w:p>
    <w:p w14:paraId="209CCAB6" w14:textId="633758EE" w:rsidR="0059006B" w:rsidRPr="001E2C69" w:rsidRDefault="0059006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Вес пустого самолета составил 5330</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кг, а нормальный полетный вес</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7300</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кг. Из-за возросшего веса основное шасси было выполнено двухколесным с использованием колес от самолета Ил-2.</w:t>
      </w:r>
    </w:p>
    <w:p w14:paraId="3A195CCB" w14:textId="37599240" w:rsidR="0059006B" w:rsidRPr="001E2C69" w:rsidRDefault="0059006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расчетам, максимальная скорость штурмовика у земли равнялась 430</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км/ч (460</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км/ч на форсаже), на высоте 5000</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м</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500</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км/ч. Набор высоты 1000</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м должен был занимать не более 2 минут. Посадочная скорость (без бомб) с выпущенными щитками оценивалась в 120–125</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км/ч. Максимальная дальность полета у земли на скорости 336</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км/ч получалась порядка 760</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км.</w:t>
      </w:r>
    </w:p>
    <w:p w14:paraId="7A09A5D1" w14:textId="2136B174" w:rsidR="0059006B" w:rsidRPr="001E2C69" w:rsidRDefault="0059006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Надо полагать, предложение по БШ-М-71 явилось следствием успеха ОКБ П.</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О.</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Сухого при создании самолета-штурмовика Су-6 М-71, имеющего повышенную боевую эффективность, главным образом за счет лучшей «подвижности» над полем боя. В противовес этому С.</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В.</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Ильюшин сделал ставку на сильное бронирование и мощное бомбовое и пушечное вооружение, что давало возможность использовать самолет не только в качестве штурмовика, но и ближнего дневного бомбардировщика. Как известно, в ВВС Красной Армии в то время катастрофически не хватало фронтовой бомбардировочной авиации. По замыслу многоцелевое назначение БШ-М-71 должно было обеспечить повышенную боевую эффективность при решении всего комплекса задач авиационной поддержки войск. Кроме этого, БШ-М-71 сохранял преемственность технологии производства Ил-2, и предусматривалось частичное (до 25</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использование готовых деталей, узлов и оснастки от «двойки». Поэтому в случае запуска в серию Су-6 С.</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В.</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Ильюшин вполне резонно рассчитывал на сохранение за собой серийных заводов, где возможно развертывание производства своего боевого самолета с таким же мотором, как у «сухого».</w:t>
      </w:r>
    </w:p>
    <w:p w14:paraId="5F2B4D77" w14:textId="70218519" w:rsidR="0059006B" w:rsidRPr="001E2C69" w:rsidRDefault="0059006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Предложение</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С.</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В.</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Ильюшина поддержал первый заместитель командующего ВВС КА генерал-лейтенант Г.</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А.</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Ворожейкин. В письме на имя наркома авиапромышленности А.</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И.</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Шахурина от 12 сентября 1942 года он писал: «Так как предложенный тов. Ильюшиным двухместный бронированный штурмовик с мотором М-71 удовлетворяет требованиям ВВС Красной Армии, считаю необходимым включить его в план опытного самолетостроения на 1942 год с предъявлением самолета на госиспытания к 1 марта 1943 года» (17490).</w:t>
      </w:r>
    </w:p>
    <w:p w14:paraId="1B47C8E4" w14:textId="77777777" w:rsidR="0059006B" w:rsidRPr="001E2C69" w:rsidRDefault="0059006B" w:rsidP="00722885">
      <w:pPr>
        <w:spacing w:after="0" w:line="240" w:lineRule="auto"/>
        <w:jc w:val="both"/>
        <w:rPr>
          <w:rFonts w:ascii="Times New Roman" w:hAnsi="Times New Roman"/>
          <w:color w:val="000000" w:themeColor="text1"/>
          <w:sz w:val="16"/>
          <w:szCs w:val="16"/>
        </w:rPr>
      </w:pPr>
    </w:p>
    <w:p w14:paraId="2BF29391" w14:textId="77777777" w:rsidR="0059006B" w:rsidRPr="001E2C69" w:rsidRDefault="0059006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августа 1942 г. С. В. Ильюшин направил письмо заместителю командующего ВВС КА генерал-лейтенанту А. К. Репину, в котором предлагал включить «в план опытного строитель</w:t>
      </w:r>
      <w:r w:rsidRPr="001E2C69">
        <w:rPr>
          <w:rFonts w:ascii="Times New Roman" w:hAnsi="Times New Roman"/>
          <w:color w:val="000000" w:themeColor="text1"/>
          <w:sz w:val="16"/>
          <w:szCs w:val="16"/>
        </w:rPr>
        <w:softHyphen/>
        <w:t>ства 1942 года» постройку двухместного брониро</w:t>
      </w:r>
      <w:r w:rsidRPr="001E2C69">
        <w:rPr>
          <w:rFonts w:ascii="Times New Roman" w:hAnsi="Times New Roman"/>
          <w:color w:val="000000" w:themeColor="text1"/>
          <w:sz w:val="16"/>
          <w:szCs w:val="16"/>
        </w:rPr>
        <w:softHyphen/>
        <w:t>ванного штурмовика с мотором М-71 (БШ-М-71). При этом он просил «представленный мною ранее Вам материал по одноместному бронированному штурмовику /. / считать аннулированным». Срок «выпуска указанного самолета в первый полет» оценивался 1 февраля 1943 г.</w:t>
      </w:r>
    </w:p>
    <w:p w14:paraId="1413F91F" w14:textId="77777777" w:rsidR="0059006B" w:rsidRPr="001E2C69" w:rsidRDefault="0059006B"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Вооружение самолета включало 2 37-мм пушки 11П с боекомплектом 80 снарядов и 4 крыльевых пулемета ШКАС с 2000 патронами. У стрелка — пушка ШВАК с боезапасом 300 снарядов на турели башенного типа. Установка обеспечивала обстрел: вверх — до 50°, влево и вправо — по 110°, вниз по борту — 15°.</w:t>
      </w:r>
    </w:p>
    <w:p w14:paraId="5D48CCC3" w14:textId="77777777" w:rsidR="0059006B" w:rsidRPr="001E2C69" w:rsidRDefault="0059006B"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Нормальная бомбовая нагрузка предполага</w:t>
      </w:r>
      <w:r w:rsidRPr="001E2C69">
        <w:rPr>
          <w:color w:val="000000" w:themeColor="text1"/>
          <w:sz w:val="16"/>
          <w:szCs w:val="16"/>
        </w:rPr>
        <w:softHyphen/>
        <w:t>лась 400 кг, в перегрузку — до 1000 кг. Реактивные снаряды устанавливать не планировалось, так как основным средством борьбы с танками и защи</w:t>
      </w:r>
      <w:r w:rsidRPr="001E2C69">
        <w:rPr>
          <w:color w:val="000000" w:themeColor="text1"/>
          <w:sz w:val="16"/>
          <w:szCs w:val="16"/>
        </w:rPr>
        <w:softHyphen/>
        <w:t>щенными целями должны были стать пушки и ави</w:t>
      </w:r>
      <w:r w:rsidRPr="001E2C69">
        <w:rPr>
          <w:color w:val="000000" w:themeColor="text1"/>
          <w:sz w:val="16"/>
          <w:szCs w:val="16"/>
        </w:rPr>
        <w:softHyphen/>
        <w:t>абомбы. Самолет не был приспособлен для бом</w:t>
      </w:r>
      <w:r w:rsidRPr="001E2C69">
        <w:rPr>
          <w:color w:val="000000" w:themeColor="text1"/>
          <w:sz w:val="16"/>
          <w:szCs w:val="16"/>
        </w:rPr>
        <w:softHyphen/>
        <w:t>бометания с пикирования под большими углами. Бомбы предполагалось сбрасывать с горизонталь</w:t>
      </w:r>
      <w:r w:rsidRPr="001E2C69">
        <w:rPr>
          <w:color w:val="000000" w:themeColor="text1"/>
          <w:sz w:val="16"/>
          <w:szCs w:val="16"/>
        </w:rPr>
        <w:softHyphen/>
        <w:t>ного полета или с пологого пикирования под углом 25—30°.</w:t>
      </w:r>
    </w:p>
    <w:p w14:paraId="4CE43F03" w14:textId="77777777" w:rsidR="0059006B" w:rsidRPr="001E2C69" w:rsidRDefault="0059006B"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На машине предполагалось забронировать эки</w:t>
      </w:r>
      <w:r w:rsidRPr="001E2C69">
        <w:rPr>
          <w:color w:val="000000" w:themeColor="text1"/>
          <w:sz w:val="16"/>
          <w:szCs w:val="16"/>
        </w:rPr>
        <w:softHyphen/>
        <w:t>паж, маслорадиатор, бензо- и маслобаки (толщина брони — везде 6 мм). Мотор размещался внутри бронекапота (толщина брони 6 мм), диск кока вин</w:t>
      </w:r>
      <w:r w:rsidRPr="001E2C69">
        <w:rPr>
          <w:color w:val="000000" w:themeColor="text1"/>
          <w:sz w:val="16"/>
          <w:szCs w:val="16"/>
        </w:rPr>
        <w:softHyphen/>
        <w:t>та выполнялся из брони толщиной 8 мм. Летчик со стороны передней полусферы защищался прозрач</w:t>
      </w:r>
      <w:r w:rsidRPr="001E2C69">
        <w:rPr>
          <w:color w:val="000000" w:themeColor="text1"/>
          <w:sz w:val="16"/>
          <w:szCs w:val="16"/>
        </w:rPr>
        <w:softHyphen/>
        <w:t>ным бронестеклом толщиной 62 мм, с боков и сни</w:t>
      </w:r>
      <w:r w:rsidRPr="001E2C69">
        <w:rPr>
          <w:color w:val="000000" w:themeColor="text1"/>
          <w:sz w:val="16"/>
          <w:szCs w:val="16"/>
        </w:rPr>
        <w:softHyphen/>
        <w:t>зу — броней толщиной 6 мм, а со стороны задней полусферы — 16-мм броневым листом. На фонаре кабины пилота сверху и с боков устанавливались 6-мм бронеплиты.</w:t>
      </w:r>
    </w:p>
    <w:p w14:paraId="6B523EB0" w14:textId="77777777" w:rsidR="0059006B" w:rsidRPr="001E2C69" w:rsidRDefault="0059006B"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Кабина стрелка также бронировалась: со сторо</w:t>
      </w:r>
      <w:r w:rsidRPr="001E2C69">
        <w:rPr>
          <w:color w:val="000000" w:themeColor="text1"/>
          <w:sz w:val="16"/>
          <w:szCs w:val="16"/>
        </w:rPr>
        <w:softHyphen/>
        <w:t>ны хвоста он защищался 16-мм бронеплитой, с бо</w:t>
      </w:r>
      <w:r w:rsidRPr="001E2C69">
        <w:rPr>
          <w:color w:val="000000" w:themeColor="text1"/>
          <w:sz w:val="16"/>
          <w:szCs w:val="16"/>
        </w:rPr>
        <w:softHyphen/>
        <w:t>ков и снизу — 6-мм броней. Башня турели была полностью забронирована металлической броней толщиной 6 мм. Со стороны установки пулемета на башне устанавливалась 62-мм прозрачная броня. Из прозрачной брони такой же толщины выполня</w:t>
      </w:r>
      <w:r w:rsidRPr="001E2C69">
        <w:rPr>
          <w:color w:val="000000" w:themeColor="text1"/>
          <w:sz w:val="16"/>
          <w:szCs w:val="16"/>
        </w:rPr>
        <w:softHyphen/>
        <w:t>лись и смотровые окна, расположенные по бокам башни.</w:t>
      </w:r>
    </w:p>
    <w:p w14:paraId="4D3BD5A8" w14:textId="77777777" w:rsidR="0059006B" w:rsidRPr="001E2C69" w:rsidRDefault="0059006B"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Вес металлической брони должен был составить 1461,7 кг, а прозрачной — 101,6 кг. По сравнению с Ил-2 АМ-38 увеличение веса брони нового штур</w:t>
      </w:r>
      <w:r w:rsidRPr="001E2C69">
        <w:rPr>
          <w:color w:val="000000" w:themeColor="text1"/>
          <w:sz w:val="16"/>
          <w:szCs w:val="16"/>
        </w:rPr>
        <w:softHyphen/>
        <w:t>мовика достигало почти 752 кг при доле в полет</w:t>
      </w:r>
      <w:r w:rsidRPr="001E2C69">
        <w:rPr>
          <w:color w:val="000000" w:themeColor="text1"/>
          <w:sz w:val="16"/>
          <w:szCs w:val="16"/>
        </w:rPr>
        <w:softHyphen/>
        <w:t>ном весе 21,5% против 14,2% у «двойки». Однако на самолете отсутствовали система заполнения бензобаков нейтральным газом и дублирование управления рулем высоты и направления.</w:t>
      </w:r>
    </w:p>
    <w:p w14:paraId="0B806148" w14:textId="77777777" w:rsidR="0059006B" w:rsidRPr="001E2C69" w:rsidRDefault="0059006B"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Вес пустого самолета составил 5330 кг, а нор</w:t>
      </w:r>
      <w:r w:rsidRPr="001E2C69">
        <w:rPr>
          <w:color w:val="000000" w:themeColor="text1"/>
          <w:sz w:val="16"/>
          <w:szCs w:val="16"/>
        </w:rPr>
        <w:softHyphen/>
        <w:t>мальный полетный вес — 7300 кг. Из-за возросшего веса основное шасси было выполнено двухколес</w:t>
      </w:r>
      <w:r w:rsidRPr="001E2C69">
        <w:rPr>
          <w:color w:val="000000" w:themeColor="text1"/>
          <w:sz w:val="16"/>
          <w:szCs w:val="16"/>
        </w:rPr>
        <w:softHyphen/>
        <w:t>ным с использованием колес от самолета Ил-2.</w:t>
      </w:r>
    </w:p>
    <w:p w14:paraId="5720B310" w14:textId="77777777" w:rsidR="0059006B" w:rsidRPr="001E2C69" w:rsidRDefault="0059006B"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 расчетам, максимальная скорость штурмо</w:t>
      </w:r>
      <w:r w:rsidRPr="001E2C69">
        <w:rPr>
          <w:color w:val="000000" w:themeColor="text1"/>
          <w:sz w:val="16"/>
          <w:szCs w:val="16"/>
        </w:rPr>
        <w:softHyphen/>
        <w:t>вика у земли равнялась 430 км/ч (460 км/ч на фор</w:t>
      </w:r>
      <w:r w:rsidRPr="001E2C69">
        <w:rPr>
          <w:color w:val="000000" w:themeColor="text1"/>
          <w:sz w:val="16"/>
          <w:szCs w:val="16"/>
        </w:rPr>
        <w:softHyphen/>
        <w:t>саже), на высоте 5000 м — 500 км/ч. Набор высо</w:t>
      </w:r>
      <w:r w:rsidRPr="001E2C69">
        <w:rPr>
          <w:color w:val="000000" w:themeColor="text1"/>
          <w:sz w:val="16"/>
          <w:szCs w:val="16"/>
        </w:rPr>
        <w:softHyphen/>
        <w:t>ты 1000 м должен был занимать не более 2 мин. Посадочная скорость (без бомб) с выпущенными щитками не превышала 125 км/ч. Максимальная дальность полета у земли на скорости 336 км/ч по</w:t>
      </w:r>
      <w:r w:rsidRPr="001E2C69">
        <w:rPr>
          <w:color w:val="000000" w:themeColor="text1"/>
          <w:sz w:val="16"/>
          <w:szCs w:val="16"/>
        </w:rPr>
        <w:softHyphen/>
        <w:t>лучалась 760 км.</w:t>
      </w:r>
    </w:p>
    <w:p w14:paraId="1C825796" w14:textId="77777777" w:rsidR="0059006B" w:rsidRPr="001E2C69" w:rsidRDefault="0059006B"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Надо полагать, предложение по БШ-М-71 яви</w:t>
      </w:r>
      <w:r w:rsidRPr="001E2C69">
        <w:rPr>
          <w:color w:val="000000" w:themeColor="text1"/>
          <w:sz w:val="16"/>
          <w:szCs w:val="16"/>
        </w:rPr>
        <w:softHyphen/>
        <w:t>лось следствием успеха ОКБ П. О. Сухого при созда</w:t>
      </w:r>
      <w:r w:rsidRPr="001E2C69">
        <w:rPr>
          <w:color w:val="000000" w:themeColor="text1"/>
          <w:sz w:val="16"/>
          <w:szCs w:val="16"/>
        </w:rPr>
        <w:softHyphen/>
        <w:t>нии легкого самолета-штурмовика Су-6 М-71, имею</w:t>
      </w:r>
      <w:r w:rsidRPr="001E2C69">
        <w:rPr>
          <w:color w:val="000000" w:themeColor="text1"/>
          <w:sz w:val="16"/>
          <w:szCs w:val="16"/>
        </w:rPr>
        <w:softHyphen/>
        <w:t>щего повышенную боевую эффективность главным образом за счет лучшей «подвижности» над полем боя. В противовес этому С. В. Ильюшин сделал став</w:t>
      </w:r>
      <w:r w:rsidRPr="001E2C69">
        <w:rPr>
          <w:color w:val="000000" w:themeColor="text1"/>
          <w:sz w:val="16"/>
          <w:szCs w:val="16"/>
        </w:rPr>
        <w:softHyphen/>
        <w:t>ку на сильное бронирование и мощное бомбовое и пушечное вооружение, что давало возможность использовать самолет не только в качестве штур</w:t>
      </w:r>
      <w:r w:rsidRPr="001E2C69">
        <w:rPr>
          <w:color w:val="000000" w:themeColor="text1"/>
          <w:sz w:val="16"/>
          <w:szCs w:val="16"/>
        </w:rPr>
        <w:softHyphen/>
        <w:t>мовика, но и ближнего дневного бомбардировщи</w:t>
      </w:r>
      <w:r w:rsidRPr="001E2C69">
        <w:rPr>
          <w:color w:val="000000" w:themeColor="text1"/>
          <w:sz w:val="16"/>
          <w:szCs w:val="16"/>
        </w:rPr>
        <w:softHyphen/>
        <w:t>ка. Как известно, в ВВС Красной Армии в то время катастрофически не хватало фронтовой бомбар</w:t>
      </w:r>
      <w:r w:rsidRPr="001E2C69">
        <w:rPr>
          <w:color w:val="000000" w:themeColor="text1"/>
          <w:sz w:val="16"/>
          <w:szCs w:val="16"/>
        </w:rPr>
        <w:softHyphen/>
        <w:t>дировочной авиации. По замыслу многоцелевое назначение БШ-М-71 должно было обеспечить по</w:t>
      </w:r>
      <w:r w:rsidRPr="001E2C69">
        <w:rPr>
          <w:color w:val="000000" w:themeColor="text1"/>
          <w:sz w:val="16"/>
          <w:szCs w:val="16"/>
        </w:rPr>
        <w:softHyphen/>
        <w:t>вышенную боевую эффективность при решении задач авиационной поддержки войск. Кроме этого, БШ-М-71 сохранял преемственность технологии производства Ил-2, и предусматривалось частич</w:t>
      </w:r>
      <w:r w:rsidRPr="001E2C69">
        <w:rPr>
          <w:color w:val="000000" w:themeColor="text1"/>
          <w:sz w:val="16"/>
          <w:szCs w:val="16"/>
        </w:rPr>
        <w:softHyphen/>
        <w:t>ное (до 25%) использование готовых деталей, уз</w:t>
      </w:r>
      <w:r w:rsidRPr="001E2C69">
        <w:rPr>
          <w:color w:val="000000" w:themeColor="text1"/>
          <w:sz w:val="16"/>
          <w:szCs w:val="16"/>
        </w:rPr>
        <w:softHyphen/>
        <w:t>лов и оснастки от «двойки». Поэтому в случае за</w:t>
      </w:r>
      <w:r w:rsidRPr="001E2C69">
        <w:rPr>
          <w:color w:val="000000" w:themeColor="text1"/>
          <w:sz w:val="16"/>
          <w:szCs w:val="16"/>
        </w:rPr>
        <w:softHyphen/>
        <w:t>пуска в серию Су-6 С. В. Ильюшин вполне резонно рассчитывал на сохранение за собой серийных за</w:t>
      </w:r>
      <w:r w:rsidRPr="001E2C69">
        <w:rPr>
          <w:color w:val="000000" w:themeColor="text1"/>
          <w:sz w:val="16"/>
          <w:szCs w:val="16"/>
        </w:rPr>
        <w:softHyphen/>
        <w:t>водов, где возможно развертывание производства своего боевого самолета с таким же мотором, как у «сухого» (17500).</w:t>
      </w:r>
    </w:p>
    <w:p w14:paraId="4F66E91D" w14:textId="77777777" w:rsidR="0059006B" w:rsidRPr="001E2C69" w:rsidRDefault="0059006B" w:rsidP="00722885">
      <w:pPr>
        <w:spacing w:after="0" w:line="240" w:lineRule="auto"/>
        <w:jc w:val="both"/>
        <w:rPr>
          <w:rFonts w:ascii="Times New Roman" w:hAnsi="Times New Roman"/>
          <w:color w:val="000000" w:themeColor="text1"/>
          <w:sz w:val="16"/>
          <w:szCs w:val="16"/>
        </w:rPr>
      </w:pPr>
    </w:p>
    <w:p w14:paraId="3A09CC4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 августа 1942 состоялось совещание у Нач. 10 ГУ по вопросу разрушения бензобаков на Пе-2. Фронтовой опыт показал, что в основном разрушаются крыльевые и прежде всего 3 левый (1685,79).</w:t>
      </w:r>
    </w:p>
    <w:p w14:paraId="24EEE2B0" w14:textId="77777777" w:rsidR="00AE7191" w:rsidRPr="001E2C69" w:rsidRDefault="00AE7191" w:rsidP="00722885">
      <w:pPr>
        <w:pStyle w:val="Iauiue"/>
        <w:jc w:val="both"/>
        <w:rPr>
          <w:color w:val="000000" w:themeColor="text1"/>
          <w:sz w:val="16"/>
          <w:szCs w:val="16"/>
        </w:rPr>
      </w:pPr>
    </w:p>
    <w:p w14:paraId="7B7B4F6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25/26 августа 1942 Зам. Нач. ВВС ВМФ СССР Купреев писал письмо N 70795c Зам. НКАП П.В.Дементьеву c просьбой о поставке УВВС ВМФ 120 турелей ФТ для установки на Пе-2 (1684,200).</w:t>
      </w:r>
    </w:p>
    <w:p w14:paraId="44A31277" w14:textId="77777777" w:rsidR="00AE7191" w:rsidRPr="001E2C69" w:rsidRDefault="00AE7191" w:rsidP="00722885">
      <w:pPr>
        <w:pStyle w:val="Iauiue"/>
        <w:jc w:val="both"/>
        <w:rPr>
          <w:color w:val="000000" w:themeColor="text1"/>
          <w:sz w:val="16"/>
          <w:szCs w:val="16"/>
        </w:rPr>
      </w:pPr>
    </w:p>
    <w:p w14:paraId="3F08417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25 августа по 1 сентября 1942 года новый ЛаГГ-3 проходил государственные испытания. Это был самолет с двигателем М-105ПФ и винтом ВИШ-61П, вооруженный 37-мм пушкой. Самолет оснастили рулями высоты и направления с аэродинамической балансировкой, что значительно уменьшило нагрузку на ручку управления и педали. Кроме того, самолет получил частично убирающееся хвостовое колесо и пять топливных баков. Под крыльями установили узлы для внешней подвески бомб. Самолет также был оснащен предкрылками. Кроме 37-мм пушки Ш-37 самолет нес пулемет БС с боекомплектом 140 выстрелов., которые показали, что предкрылки и сбалансированные рули значительно упростили управление машиной, хотя поперечное упрашгение по-прежнему требовало от пилота значительных физических усилий. Время полного разворота, несмотря на рост взлетной массы, не увеличился, несколько улучшилась поперечная устойчивость. Самолет без проблем пикировал под углом 60 гр, развивая при этом скорость до 650 км/ч. Оптимальный угол атаки составлял 30-40°. Стрельба из пушки не приводила к вибрации самолета и не оказывало отрицательного влияния на точность прицела. В итоговом рапорте сообщалось, что самолет можно использовать для борьбы с бронетехникой противника, защищенной броней толщиной до 40 мм, а также с открыто расположенной живой силой противника. Несмотря на положительные отзывы ЛаГГ-3 с 37-мм пушкой серийно не выпускался. Позднее на самолет в порядке эксперимента поставили 45-мм пушку, созданную на базе Ш-37. Когда появилась удачная пушка НС-37 калибра 37 мм конструкции Нудельмана и Суранова, ЛаГГ-3 с пушкой НС-37 прошел государственные испытания, но пушку приняли на вооружение лишь 30 декабря 1942 года. Завод № 21 построил 15 ЛаГГов-3, вооруженных пушкой НС-37. По сравнению с машинами, вооруженными пушкой Ш-37, эти истребители были легче. Поскольку завод № 21 в это время осваивал выпуск самолетов Ла-5, дальнейший выпуск ЛаГГов-3 с 37-мм пушкой перенесли в Тбилиси (11749).</w:t>
      </w:r>
    </w:p>
    <w:p w14:paraId="3AC42ABA"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2A7F9C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25 августа по 1 сентября 1942 г. ЛаГГ-3 с М-105ПФ и винтом ВИШ-61П с Ш-37 прошел государственные испытания. На машине имелись доработанные рули высоты и поворота с аэродинамической компенсацией, снизившей нагрузки на органы управления, частично убирающийся костыль и пять бензобаков. На крыле установили бомбодержатели и предкрылки. Кроме 37-мм пушки Ш-37 самолет вооружался одним пулеметом БС с боекомплектом 140 патронов. Испытания показали, что применение предкрылков и аэродинамической компенсации рулей облегчило управление самолетом (хотя управление рулем поворота оставалось еще довольно тяжелым); время виража, несмотря на увеличение полетного веса, сохранилось прежним; улучшилась поперечная устойчивость. Самолет без проблем пикировал под углом 60° с приборной скоростью 650 км/ч. Наивыгоднейшими для атаки углами были 30 - 40°. Стрельба из 37-мм пушки не раскачивала машину и, соответственно, не влияла на точность прицеливания, что было особенно важно для борьбы с бронетехникой.</w:t>
      </w:r>
    </w:p>
    <w:p w14:paraId="51257FA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заключении отчета отмечалось, что самолет может использоваться для поражения танков и бронемашин с броней толщиной до 40 мм, а также живой силы и техники противника. Несмотря на это, ЛаГГ-3 с пушкой Ш-37 дальнейшего развития не получил, хотя чуть позже на этом истребителе испытывалась пушка калибра 45 мм, созданная на базе Ш-37 путем замены ствола. Причина заключалась в появлении более совершенного орудия - НС-37 конструкции Нудель- мана и Суранова (11983).</w:t>
      </w:r>
    </w:p>
    <w:p w14:paraId="269F5DB9"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ADB4831"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25 августа в 1942 году начались (по 1 сентября) государственные испытания </w:t>
      </w:r>
      <w:hyperlink r:id="rId212" w:tgtFrame="_blank" w:history="1">
        <w:r w:rsidRPr="001E2C69">
          <w:rPr>
            <w:rFonts w:ascii="Times New Roman" w:hAnsi="Times New Roman"/>
            <w:color w:val="000000" w:themeColor="text1"/>
            <w:sz w:val="16"/>
            <w:szCs w:val="16"/>
          </w:rPr>
          <w:t xml:space="preserve">«ЛаГГ-3» </w:t>
        </w:r>
      </w:hyperlink>
      <w:r w:rsidRPr="001E2C69">
        <w:rPr>
          <w:rFonts w:ascii="Times New Roman" w:hAnsi="Times New Roman"/>
          <w:color w:val="000000" w:themeColor="text1"/>
          <w:sz w:val="16"/>
          <w:szCs w:val="16"/>
        </w:rPr>
        <w:t xml:space="preserve">№ 31213445. На государственные испытания поступил противотанковый "ЛаГГ-3" с форсированным мотором «М-105ПФ» и новым воздушным винтом «ВИШ-61П» диаметром 3 м. На машине имелись доработанные рули высоты и поворота с аэродинамической компенсацией, снизившей нагрузки на командные органы управления, частично убирающийся костыль и пятибаковая топливная система прежнего </w:t>
      </w:r>
      <w:r w:rsidRPr="001E2C69">
        <w:rPr>
          <w:rFonts w:ascii="Times New Roman" w:hAnsi="Times New Roman"/>
          <w:color w:val="000000" w:themeColor="text1"/>
          <w:sz w:val="16"/>
          <w:szCs w:val="16"/>
        </w:rPr>
        <w:lastRenderedPageBreak/>
        <w:t>объема. На крыле установили бомбодержатели и предкрылки. Кроме 37-мм пушки Шпитального имелся пулемет «ВС» с боекомплектом 140 патронов. Испытания показали, что применение предкрылков и аэродинамической компенсации рулей облегчило управление самолетом (хотя управление рулем поворота оставалось еще тяжелым), время виража, несмотря на увеличение полетною веса, сохранилось, улучшилась поперечная устойчивость. Самолет устойчиво пикировал под утлом 60° с приборной скоростью 650 км/ч, но наивыгоднейшими углами были 30-40". Стрельба из 37-мм пушки не влияла на точность прицеливания, что было особенно важно в борьбе с бронетехникой. В заключении НИИ ВВС отмечалось, что самолет может быть использован для поражения танков и бронемашин с броней до 40 мм, а также живой силы противника. Но эти выводы еще предстояло проверить в бою. Несмотря на благоприятный отзыв ведущего института ВВС, «ЛаГГ-3» с пушкой «Ш-37» дальнейшего развития не получил. Чуть позже на «ЛаГГ-3» испытывалась пушка калибра 45 мм, сделанная путем замены ствола у «Ш-37». Причина отказа от «Ш-37» заключалась в появлении пушки «НС-37», разрабатывавшейся А.Э.Нудельманом и А.С.Сурановым в ОКБ-16 параллельно с «Ш-37». На снимке истребитель ЛаГГ-3, 35-я производственная серия, № 31213445 с двигателем М-105ПФ и винтом ВИШ-105СВ, вооруженный пушкой НС-37 и пулеметом БС. Снимок сделан во время испытаний в августе 1942 года (14993).</w:t>
      </w:r>
    </w:p>
    <w:p w14:paraId="596D4C4D" w14:textId="77777777" w:rsidR="00885B41" w:rsidRPr="001E2C69" w:rsidRDefault="00885B41" w:rsidP="00722885">
      <w:pPr>
        <w:spacing w:after="0" w:line="240" w:lineRule="auto"/>
        <w:jc w:val="both"/>
        <w:rPr>
          <w:rFonts w:ascii="Times New Roman" w:hAnsi="Times New Roman"/>
          <w:color w:val="000000" w:themeColor="text1"/>
          <w:sz w:val="16"/>
          <w:szCs w:val="16"/>
        </w:rPr>
      </w:pPr>
    </w:p>
    <w:p w14:paraId="51151145" w14:textId="77777777" w:rsidR="00D06519" w:rsidRPr="001E2C69" w:rsidRDefault="00D06519"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25 августа 1942 Зам. началь</w:t>
      </w:r>
      <w:r w:rsidRPr="001E2C69">
        <w:rPr>
          <w:rFonts w:ascii="Times New Roman" w:cs="Times New Roman"/>
          <w:color w:val="000000" w:themeColor="text1"/>
          <w:spacing w:val="0"/>
        </w:rPr>
        <w:softHyphen/>
        <w:t>ника штаба ВВС КА гене</w:t>
      </w:r>
      <w:r w:rsidRPr="001E2C69">
        <w:rPr>
          <w:rFonts w:ascii="Times New Roman" w:cs="Times New Roman"/>
          <w:color w:val="000000" w:themeColor="text1"/>
          <w:spacing w:val="0"/>
        </w:rPr>
        <w:softHyphen/>
        <w:t>рал-майор Викуленков до</w:t>
      </w:r>
      <w:r w:rsidRPr="001E2C69">
        <w:rPr>
          <w:rFonts w:ascii="Times New Roman" w:cs="Times New Roman"/>
          <w:color w:val="000000" w:themeColor="text1"/>
          <w:spacing w:val="0"/>
        </w:rPr>
        <w:softHyphen/>
        <w:t>кладывал:</w:t>
      </w:r>
    </w:p>
    <w:p w14:paraId="3044621A" w14:textId="77777777" w:rsidR="00D06519" w:rsidRPr="001E2C69" w:rsidRDefault="00D06519"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«Самолёт ЛАГГ-5 являет</w:t>
      </w:r>
      <w:r w:rsidRPr="001E2C69">
        <w:rPr>
          <w:rFonts w:ascii="Times New Roman" w:cs="Times New Roman"/>
          <w:color w:val="000000" w:themeColor="text1"/>
          <w:spacing w:val="0"/>
        </w:rPr>
        <w:softHyphen/>
        <w:t>ся на фронте лучшим ти</w:t>
      </w:r>
      <w:r w:rsidRPr="001E2C69">
        <w:rPr>
          <w:rFonts w:ascii="Times New Roman" w:cs="Times New Roman"/>
          <w:color w:val="000000" w:themeColor="text1"/>
          <w:spacing w:val="0"/>
        </w:rPr>
        <w:softHyphen/>
        <w:t>пом истребителя отечест</w:t>
      </w:r>
      <w:r w:rsidRPr="001E2C69">
        <w:rPr>
          <w:rFonts w:ascii="Times New Roman" w:cs="Times New Roman"/>
          <w:color w:val="000000" w:themeColor="text1"/>
          <w:spacing w:val="0"/>
        </w:rPr>
        <w:softHyphen/>
        <w:t>венного производства и догоняет Ме-109Ф как при наборе высоты, так и при пикировании, вооружениеработает хорошо... Потери,понесенные 49 ИАП на са</w:t>
      </w:r>
      <w:r w:rsidRPr="001E2C69">
        <w:rPr>
          <w:rFonts w:ascii="Times New Roman" w:cs="Times New Roman"/>
          <w:color w:val="000000" w:themeColor="text1"/>
          <w:spacing w:val="0"/>
        </w:rPr>
        <w:softHyphen/>
        <w:t>молётах ЛАГГ-5, объясняются тем, что 45% (9 из 20 сержанты) состава полка молодые летчики. Из числа 5 сбитых: три сержанта с налетом на ЛАГГ-5 по 15-17 часов, один младший лейтенант с таким же налётом и один старший лейтенант. Таким образом, из числа пяти сбитых только один старый лётчик.</w:t>
      </w:r>
    </w:p>
    <w:p w14:paraId="4A7457B6" w14:textId="77777777" w:rsidR="00D06519" w:rsidRPr="001E2C69" w:rsidRDefault="00D06519"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Вывод: Самолёт ЛАГГ-5 является лучшим истребителем из числа отечественных, на</w:t>
      </w:r>
      <w:r w:rsidRPr="001E2C69">
        <w:rPr>
          <w:rFonts w:ascii="Times New Roman" w:cs="Times New Roman"/>
          <w:color w:val="000000" w:themeColor="text1"/>
          <w:spacing w:val="0"/>
        </w:rPr>
        <w:softHyphen/>
        <w:t>ходящихся на фронте. Необходимо на самолёт ЛАГГ-5 сажать более опытных лётчиков и давать им достаточную тренировку...» (15813).</w:t>
      </w:r>
    </w:p>
    <w:p w14:paraId="6C55B9E8" w14:textId="77777777" w:rsidR="00D06519" w:rsidRPr="001E2C69" w:rsidRDefault="00D06519" w:rsidP="00722885">
      <w:pPr>
        <w:pStyle w:val="27"/>
        <w:shd w:val="clear" w:color="auto" w:fill="auto"/>
        <w:spacing w:after="0" w:line="240" w:lineRule="auto"/>
        <w:ind w:firstLine="0"/>
        <w:rPr>
          <w:rFonts w:ascii="Times New Roman" w:cs="Times New Roman"/>
          <w:color w:val="000000" w:themeColor="text1"/>
          <w:spacing w:val="0"/>
        </w:rPr>
      </w:pPr>
    </w:p>
    <w:p w14:paraId="2FC9DC7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 августа 1942 года вышел приказ НКАП № 652сс Постановления ГКО за № 2209сс от 24 августа 1942, которым бывший завод № 99 был преобразован из филиала завода № 39 в самостоятельный самолетостроительный завод № 99. Заводу было поручено организовать выпуск истребителей ЛА-5 с мотором воздушного охлаждения М-82.</w:t>
      </w:r>
    </w:p>
    <w:p w14:paraId="6E1C6DC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февраля 1943 года завод приступил к серийному выпуску самолета ЛА-5 типа 37.</w:t>
      </w:r>
    </w:p>
    <w:p w14:paraId="53ABE78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Выпуск ЛА-5 продолжался до июля 1944 года, за указанный период завод передал ВВС 286 машин. В июле 1944 года была получена директива о прекращении изготовления самолета ЛА-5 и запуске в производство машины типа № 45, названной ЛА-7.</w:t>
      </w:r>
    </w:p>
    <w:p w14:paraId="04DEBCB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Выпуск ЛА-7 продолжался до марта 1946 года, за указанный период сдано частям ВВС 249 машин.</w:t>
      </w:r>
    </w:p>
    <w:p w14:paraId="6FFA0CD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Постановлением ГКО от 6 июня 1945 года № 8934сс и приказом НКАП № 251сс от 15 июня 1945 года о сокращении плана производства самолетов, на освобожденных мощностях организовано производство изделий народного потребления. В ноябре 1946 года по приказу начальника ПГУ МАП за № 39с от 6 ноября 1946 года завод приступил к подготовке производства самолетов ЛА-9 с мотором АШ-82ФН.</w:t>
      </w:r>
    </w:p>
    <w:p w14:paraId="66CCABC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Выпуск самолетов ЛА-9 продолжался до 1 июля 1948 года. За указанный период завод передал ВВС 73 машины. Начиная с июня 1948 года завод приступил к выпуску самолетов ЛА-9 УТИ. С января 1947 года по 1 января 1950 года завод передал ВВС самолетов ЛА-9 и ЛА-9 УТИ всего 323 машины. С января 1950 года Постановлением СМ № 5560-2153сс от 17 декабря 1949 года приказом МАП за № 1019сс-ов от 29 декабря 1949 года заводу было предложено приступить к освоению и производству самолетов УТИ МИГ-15 с двигателем РД-45Ф.</w:t>
      </w:r>
    </w:p>
    <w:p w14:paraId="54E74A0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продолжал ремонт самолетов ЛА-9 до 1951 года.</w:t>
      </w:r>
    </w:p>
    <w:p w14:paraId="48110DF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начиная с 1951 года начал серийный выпуск самолета МИГ-15 с крыльями получаемыми с родственных заводов.</w:t>
      </w:r>
    </w:p>
    <w:p w14:paraId="5150D75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Местонахождение – завод расположен в 12 км от Улан-Удэ</w:t>
      </w:r>
    </w:p>
    <w:p w14:paraId="25627AC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Производственный профиль – самолетостроительный завод по выпуску самолетов УТИ МИГ-15 и вертолетов КА-15</w:t>
      </w:r>
    </w:p>
    <w:p w14:paraId="4E0BF68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Основными задача, стоявшая перед заводом в 1958 году – выпуск вертолетов КА-15 в количестве 140 единиц, самолетов УТИ МИГ-15 в количестве 100 единиц и выпуск гражданской продукции (9657).</w:t>
      </w:r>
    </w:p>
    <w:p w14:paraId="3BFDB6FE" w14:textId="77777777" w:rsidR="00AE7191" w:rsidRPr="001E2C69" w:rsidRDefault="00AE7191" w:rsidP="00722885">
      <w:pPr>
        <w:pStyle w:val="Iauiue"/>
        <w:jc w:val="both"/>
        <w:rPr>
          <w:color w:val="000000" w:themeColor="text1"/>
          <w:sz w:val="16"/>
          <w:szCs w:val="16"/>
        </w:rPr>
      </w:pPr>
    </w:p>
    <w:p w14:paraId="0F62043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 августа 1942 вышел приказ НКАП N 652 "Об организации производства самолета ЛаГГ-5 на заводе 99 - 30 в 1942 и далее больше (903,8).</w:t>
      </w:r>
    </w:p>
    <w:p w14:paraId="3E4898E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исполнение постановления ГКО ... приказываю:</w:t>
      </w:r>
    </w:p>
    <w:p w14:paraId="021FD25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И.о. нач. ПГУ тов. Шиц, директору завода № 99 тов. Прокофьеву и ГК ЛаГГ-5 тов. С.А.Л. организовать производство с-та ЛаГГ-5 на заводе № 99.</w:t>
      </w:r>
    </w:p>
    <w:p w14:paraId="19D4C1A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Установить заводу № 99 программу по с-та ЛаГГ-5 в 1942 в количестве 30 с-товЮ в т.ч. в ноябре - 10 и с декабря - 20.</w:t>
      </w:r>
    </w:p>
    <w:p w14:paraId="1214DA3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Директору з-да № 21 Гостинцеву и ГК с-та С.А.Л.:</w:t>
      </w:r>
    </w:p>
    <w:p w14:paraId="450343B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 передать з-ду № 99 до 1 сентября 1942 5 комплектов чертежей с-та ЛаГГ-5 и 3 к-та чертежей приспособлений, инструментов и тьехнической документации.</w:t>
      </w:r>
    </w:p>
    <w:p w14:paraId="2949D35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 передать -ду № 99 30 с-тов ЛаГГ-5в агрегатах и деталях (903,8).</w:t>
      </w:r>
    </w:p>
    <w:p w14:paraId="103DA738" w14:textId="77777777" w:rsidR="00AE7191" w:rsidRPr="001E2C69" w:rsidRDefault="00AE7191" w:rsidP="00722885">
      <w:pPr>
        <w:pStyle w:val="Iauiue"/>
        <w:jc w:val="both"/>
        <w:rPr>
          <w:color w:val="000000" w:themeColor="text1"/>
          <w:sz w:val="16"/>
          <w:szCs w:val="16"/>
        </w:rPr>
      </w:pPr>
    </w:p>
    <w:p w14:paraId="2844D76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августа 1942 Зам. начальника штаба ВВС КА генерал-майор Викуленков докла</w:t>
      </w:r>
      <w:r w:rsidRPr="001E2C69">
        <w:rPr>
          <w:rFonts w:ascii="Times New Roman" w:hAnsi="Times New Roman"/>
          <w:color w:val="000000" w:themeColor="text1"/>
          <w:sz w:val="16"/>
          <w:szCs w:val="16"/>
        </w:rPr>
        <w:softHyphen/>
        <w:t>дывал:</w:t>
      </w:r>
    </w:p>
    <w:p w14:paraId="7409406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«Самолет ЛАГГ-5 является на фрон</w:t>
      </w:r>
      <w:r w:rsidRPr="001E2C69">
        <w:rPr>
          <w:rFonts w:ascii="Times New Roman" w:hAnsi="Times New Roman"/>
          <w:color w:val="000000" w:themeColor="text1"/>
          <w:sz w:val="16"/>
          <w:szCs w:val="16"/>
        </w:rPr>
        <w:softHyphen/>
        <w:t>те лучшим типом истребителя отече</w:t>
      </w:r>
      <w:r w:rsidRPr="001E2C69">
        <w:rPr>
          <w:rFonts w:ascii="Times New Roman" w:hAnsi="Times New Roman"/>
          <w:color w:val="000000" w:themeColor="text1"/>
          <w:sz w:val="16"/>
          <w:szCs w:val="16"/>
        </w:rPr>
        <w:softHyphen/>
        <w:t>ственного производства и догоняет Ме- 109Ф как при наборе высоты, так и при пикировании, вооружение ра</w:t>
      </w:r>
      <w:r w:rsidRPr="001E2C69">
        <w:rPr>
          <w:rFonts w:ascii="Times New Roman" w:hAnsi="Times New Roman"/>
          <w:color w:val="000000" w:themeColor="text1"/>
          <w:sz w:val="16"/>
          <w:szCs w:val="16"/>
        </w:rPr>
        <w:softHyphen/>
        <w:t>ботает хорошо... Потери, понесенные 49 ИАП на самолетах ЛАГГ-5, объяс</w:t>
      </w:r>
      <w:r w:rsidRPr="001E2C69">
        <w:rPr>
          <w:rFonts w:ascii="Times New Roman" w:hAnsi="Times New Roman"/>
          <w:color w:val="000000" w:themeColor="text1"/>
          <w:sz w:val="16"/>
          <w:szCs w:val="16"/>
        </w:rPr>
        <w:softHyphen/>
        <w:t>няются тем, что 45% (9 из 20 сержан</w:t>
      </w:r>
      <w:r w:rsidRPr="001E2C69">
        <w:rPr>
          <w:rFonts w:ascii="Times New Roman" w:hAnsi="Times New Roman"/>
          <w:color w:val="000000" w:themeColor="text1"/>
          <w:sz w:val="16"/>
          <w:szCs w:val="16"/>
        </w:rPr>
        <w:softHyphen/>
        <w:t>ты) состава полка молодые летчики. Из числа 5 сбитых: три сержанта с налетом на ЛАГГ-5 по 15-17 часов, один младший лейтенант с таким же налетом и один старший лейтенант. Таким образом, из числа пяти сбитых только один старый летчик.</w:t>
      </w:r>
    </w:p>
    <w:p w14:paraId="21F84DB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Вывод: Самолет ЛАГГ-5 является лучшим истребителем из числа оте</w:t>
      </w:r>
      <w:r w:rsidRPr="001E2C69">
        <w:rPr>
          <w:rFonts w:ascii="Times New Roman" w:hAnsi="Times New Roman"/>
          <w:color w:val="000000" w:themeColor="text1"/>
          <w:sz w:val="16"/>
          <w:szCs w:val="16"/>
        </w:rPr>
        <w:softHyphen/>
        <w:t>чественных, находящихся на фронте. Необходимо на самолет ЛАГГ-5 са</w:t>
      </w:r>
      <w:r w:rsidRPr="001E2C69">
        <w:rPr>
          <w:rFonts w:ascii="Times New Roman" w:hAnsi="Times New Roman"/>
          <w:color w:val="000000" w:themeColor="text1"/>
          <w:sz w:val="16"/>
          <w:szCs w:val="16"/>
        </w:rPr>
        <w:softHyphen/>
        <w:t>жать более опытных летчиков и да</w:t>
      </w:r>
      <w:r w:rsidRPr="001E2C69">
        <w:rPr>
          <w:rFonts w:ascii="Times New Roman" w:hAnsi="Times New Roman"/>
          <w:color w:val="000000" w:themeColor="text1"/>
          <w:sz w:val="16"/>
          <w:szCs w:val="16"/>
        </w:rPr>
        <w:softHyphen/>
        <w:t>вать им достаточную тренировку...» (10699).</w:t>
      </w:r>
    </w:p>
    <w:p w14:paraId="4DC9417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3732CA54" w14:textId="77777777" w:rsidR="001C090F" w:rsidRPr="008A2E5A" w:rsidRDefault="001C090F" w:rsidP="001C09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августа 1942 г. на государственные испытания в НИИ ВВС предъявили ЛАГГ-3 34-й серии с за</w:t>
      </w:r>
      <w:r w:rsidRPr="008A2E5A">
        <w:rPr>
          <w:rFonts w:ascii="Times New Roman" w:hAnsi="Times New Roman"/>
          <w:color w:val="0070C0"/>
          <w:sz w:val="16"/>
          <w:szCs w:val="16"/>
        </w:rPr>
        <w:softHyphen/>
        <w:t>водским № 31213445, вооруженный 37-мм пушкой Шпитального. Вероятно, расчет был на получение благоприятного отзыва с рекомен</w:t>
      </w:r>
      <w:r w:rsidRPr="008A2E5A">
        <w:rPr>
          <w:rFonts w:ascii="Times New Roman" w:hAnsi="Times New Roman"/>
          <w:color w:val="0070C0"/>
          <w:sz w:val="16"/>
          <w:szCs w:val="16"/>
        </w:rPr>
        <w:softHyphen/>
        <w:t>дациями на развертывание полномасштабно</w:t>
      </w:r>
      <w:r w:rsidRPr="008A2E5A">
        <w:rPr>
          <w:rFonts w:ascii="Times New Roman" w:hAnsi="Times New Roman"/>
          <w:color w:val="0070C0"/>
          <w:sz w:val="16"/>
          <w:szCs w:val="16"/>
        </w:rPr>
        <w:softHyphen/>
        <w:t>го серийного производства, которое очень бы пригодилось в кабинетных битвах пушкарей. Для специалистов НИИ ВВС самолет представ</w:t>
      </w:r>
      <w:r w:rsidRPr="008A2E5A">
        <w:rPr>
          <w:rFonts w:ascii="Times New Roman" w:hAnsi="Times New Roman"/>
          <w:color w:val="0070C0"/>
          <w:sz w:val="16"/>
          <w:szCs w:val="16"/>
        </w:rPr>
        <w:softHyphen/>
        <w:t>лял интерес не только и не столько установкой крупнокалиберного орудия. С ней, в целом, они были знакомы. На этой машине были внедрены все последние изменения в соответ</w:t>
      </w:r>
      <w:r w:rsidRPr="008A2E5A">
        <w:rPr>
          <w:rFonts w:ascii="Times New Roman" w:hAnsi="Times New Roman"/>
          <w:color w:val="0070C0"/>
          <w:sz w:val="16"/>
          <w:szCs w:val="16"/>
        </w:rPr>
        <w:softHyphen/>
        <w:t>ствии с постановлением ГКО № 1895сс от 7 июня 1942 года. На ЛаГГ-3 № 31212912, про</w:t>
      </w:r>
      <w:r w:rsidRPr="008A2E5A">
        <w:rPr>
          <w:rFonts w:ascii="Times New Roman" w:hAnsi="Times New Roman"/>
          <w:color w:val="0070C0"/>
          <w:sz w:val="16"/>
          <w:szCs w:val="16"/>
        </w:rPr>
        <w:softHyphen/>
        <w:t>ходившем испытания в НИИ ВВС в мае 1942 года, многого еще не было. Самолет пятибачный - 350 кг бензина, как и 2912, что позволя</w:t>
      </w:r>
      <w:r w:rsidRPr="008A2E5A">
        <w:rPr>
          <w:rFonts w:ascii="Times New Roman" w:hAnsi="Times New Roman"/>
          <w:color w:val="0070C0"/>
          <w:sz w:val="16"/>
          <w:szCs w:val="16"/>
        </w:rPr>
        <w:softHyphen/>
        <w:t>ло достаточно корректно сравнивать получен</w:t>
      </w:r>
      <w:r w:rsidRPr="008A2E5A">
        <w:rPr>
          <w:rFonts w:ascii="Times New Roman" w:hAnsi="Times New Roman"/>
          <w:color w:val="0070C0"/>
          <w:sz w:val="16"/>
          <w:szCs w:val="16"/>
        </w:rPr>
        <w:softHyphen/>
        <w:t>ные результаты. Вместо ВИШ-61П диаметром 3 метра установили ВИШ-105СВ такого же диа</w:t>
      </w:r>
      <w:r w:rsidRPr="008A2E5A">
        <w:rPr>
          <w:rFonts w:ascii="Times New Roman" w:hAnsi="Times New Roman"/>
          <w:color w:val="0070C0"/>
          <w:sz w:val="16"/>
          <w:szCs w:val="16"/>
        </w:rPr>
        <w:softHyphen/>
        <w:t>метра. Крыло оснастили предкрылками. Рули высоты имели аэродинамическую компенса</w:t>
      </w:r>
      <w:r w:rsidRPr="008A2E5A">
        <w:rPr>
          <w:rFonts w:ascii="Times New Roman" w:hAnsi="Times New Roman"/>
          <w:color w:val="0070C0"/>
          <w:sz w:val="16"/>
          <w:szCs w:val="16"/>
        </w:rPr>
        <w:softHyphen/>
        <w:t>цию, костыль частично убирающийся. Самолет был оборудован приемно-передающей радио</w:t>
      </w:r>
      <w:r w:rsidRPr="008A2E5A">
        <w:rPr>
          <w:rFonts w:ascii="Times New Roman" w:hAnsi="Times New Roman"/>
          <w:color w:val="0070C0"/>
          <w:sz w:val="16"/>
          <w:szCs w:val="16"/>
        </w:rPr>
        <w:softHyphen/>
        <w:t>станцией РСИ-4, радиополукомпасом «Чаенок» и двумя крыльевыми бомбодержателями ДЗ-40. Полетный вес - 3363 кг, у 2912 он со</w:t>
      </w:r>
      <w:r w:rsidRPr="008A2E5A">
        <w:rPr>
          <w:rFonts w:ascii="Times New Roman" w:hAnsi="Times New Roman"/>
          <w:color w:val="0070C0"/>
          <w:sz w:val="16"/>
          <w:szCs w:val="16"/>
        </w:rPr>
        <w:softHyphen/>
        <w:t>ставлял 3160 кг. Легко посчитать, что «дельта» от тяжелой пушки составила 200 кг.</w:t>
      </w:r>
    </w:p>
    <w:p w14:paraId="3288C70B" w14:textId="77777777" w:rsidR="001C090F" w:rsidRPr="008A2E5A" w:rsidRDefault="001C090F" w:rsidP="001C09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проведения испытаний «Чаенок» сняли, а его вес компенсировали установкой КЗА - прибора КС-1 и трех бароспидографов. Всего по программе было выполнено 16 поле</w:t>
      </w:r>
      <w:r w:rsidRPr="008A2E5A">
        <w:rPr>
          <w:rFonts w:ascii="Times New Roman" w:hAnsi="Times New Roman"/>
          <w:color w:val="0070C0"/>
          <w:sz w:val="16"/>
          <w:szCs w:val="16"/>
        </w:rPr>
        <w:softHyphen/>
        <w:t>тов общей продолжительностью 9 часов 19 минут. 4 - на определение максимальных ско</w:t>
      </w:r>
      <w:r w:rsidRPr="008A2E5A">
        <w:rPr>
          <w:rFonts w:ascii="Times New Roman" w:hAnsi="Times New Roman"/>
          <w:color w:val="0070C0"/>
          <w:sz w:val="16"/>
          <w:szCs w:val="16"/>
        </w:rPr>
        <w:softHyphen/>
        <w:t>ростей, скороподъемности и потолка, 4 - на определение маневренности и взлетно-поса</w:t>
      </w:r>
      <w:r w:rsidRPr="008A2E5A">
        <w:rPr>
          <w:rFonts w:ascii="Times New Roman" w:hAnsi="Times New Roman"/>
          <w:color w:val="0070C0"/>
          <w:sz w:val="16"/>
          <w:szCs w:val="16"/>
        </w:rPr>
        <w:softHyphen/>
        <w:t>дочных свойств и 8 - на определение характе</w:t>
      </w:r>
      <w:r w:rsidRPr="008A2E5A">
        <w:rPr>
          <w:rFonts w:ascii="Times New Roman" w:hAnsi="Times New Roman"/>
          <w:color w:val="0070C0"/>
          <w:sz w:val="16"/>
          <w:szCs w:val="16"/>
        </w:rPr>
        <w:softHyphen/>
        <w:t>ристик пикирования со стрельбой по назем ным целям. Из-за возросшего полетного веса характеристики самолета ожидаемо ухудши</w:t>
      </w:r>
      <w:r w:rsidRPr="008A2E5A">
        <w:rPr>
          <w:rFonts w:ascii="Times New Roman" w:hAnsi="Times New Roman"/>
          <w:color w:val="0070C0"/>
          <w:sz w:val="16"/>
          <w:szCs w:val="16"/>
        </w:rPr>
        <w:softHyphen/>
        <w:t>лись. Максимальная скорость - примерно на 6 км/ч, потолок - на 1000 метров, длина разбега увеличилась почти на 100 метров, время набо</w:t>
      </w:r>
      <w:r w:rsidRPr="008A2E5A">
        <w:rPr>
          <w:rFonts w:ascii="Times New Roman" w:hAnsi="Times New Roman"/>
          <w:color w:val="0070C0"/>
          <w:sz w:val="16"/>
          <w:szCs w:val="16"/>
        </w:rPr>
        <w:softHyphen/>
        <w:t>ра высоты 5 км - на 54 секунды. Испытатели отметили и несомненные плюсы новой маши</w:t>
      </w:r>
      <w:r w:rsidRPr="008A2E5A">
        <w:rPr>
          <w:rFonts w:ascii="Times New Roman" w:hAnsi="Times New Roman"/>
          <w:color w:val="0070C0"/>
          <w:sz w:val="16"/>
          <w:szCs w:val="16"/>
        </w:rPr>
        <w:softHyphen/>
        <w:t>ны. Применение предкрылков и аэродинами</w:t>
      </w:r>
      <w:r w:rsidRPr="008A2E5A">
        <w:rPr>
          <w:rFonts w:ascii="Times New Roman" w:hAnsi="Times New Roman"/>
          <w:color w:val="0070C0"/>
          <w:sz w:val="16"/>
          <w:szCs w:val="16"/>
        </w:rPr>
        <w:softHyphen/>
        <w:t>ческой компенсации руля высоты облегчило управление в канале тангажа, время виража практически не изменилось, а поперечная устойчивость заметно улучшилась. Очевидно, разумнее было представить на испытания са</w:t>
      </w:r>
      <w:r w:rsidRPr="008A2E5A">
        <w:rPr>
          <w:rFonts w:ascii="Times New Roman" w:hAnsi="Times New Roman"/>
          <w:color w:val="0070C0"/>
          <w:sz w:val="16"/>
          <w:szCs w:val="16"/>
        </w:rPr>
        <w:softHyphen/>
        <w:t>молет в трехбачном варианте - все же он весил бы на 100 кг меньше.</w:t>
      </w:r>
    </w:p>
    <w:p w14:paraId="4448B242" w14:textId="77777777" w:rsidR="001C090F" w:rsidRPr="008A2E5A" w:rsidRDefault="001C090F" w:rsidP="001C09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ходе испытаний было определено, что наивыгоднейшими для стрельбы являются углы пикирования в 30-40 градусов, при ско</w:t>
      </w:r>
      <w:r w:rsidRPr="008A2E5A">
        <w:rPr>
          <w:rFonts w:ascii="Times New Roman" w:hAnsi="Times New Roman"/>
          <w:color w:val="0070C0"/>
          <w:sz w:val="16"/>
          <w:szCs w:val="16"/>
        </w:rPr>
        <w:softHyphen/>
        <w:t>рости ввода с разворота - 260-270 км/ч с вы</w:t>
      </w:r>
      <w:r w:rsidRPr="008A2E5A">
        <w:rPr>
          <w:rFonts w:ascii="Times New Roman" w:hAnsi="Times New Roman"/>
          <w:color w:val="0070C0"/>
          <w:sz w:val="16"/>
          <w:szCs w:val="16"/>
        </w:rPr>
        <w:softHyphen/>
        <w:t>соты 800-1200 метров. При работе мотора на режиме 2550 об/мин на прицеливание за</w:t>
      </w:r>
      <w:r w:rsidRPr="008A2E5A">
        <w:rPr>
          <w:rFonts w:ascii="Times New Roman" w:hAnsi="Times New Roman"/>
          <w:color w:val="0070C0"/>
          <w:sz w:val="16"/>
          <w:szCs w:val="16"/>
        </w:rPr>
        <w:softHyphen/>
        <w:t>трачивалось 4-7 секунд и на стрельбу - 2-3 се</w:t>
      </w:r>
      <w:r w:rsidRPr="008A2E5A">
        <w:rPr>
          <w:rFonts w:ascii="Times New Roman" w:hAnsi="Times New Roman"/>
          <w:color w:val="0070C0"/>
          <w:sz w:val="16"/>
          <w:szCs w:val="16"/>
        </w:rPr>
        <w:softHyphen/>
        <w:t>кунды, что позволяло выпустить очередь в 7-8 снарядов. Всего за время испытаний было произведено 60 выстрелов очередями от 2 до 12 снарядов. Испытатели отмечали, что отдача при стрельбе не влияла на точность прицели</w:t>
      </w:r>
      <w:r w:rsidRPr="008A2E5A">
        <w:rPr>
          <w:rFonts w:ascii="Times New Roman" w:hAnsi="Times New Roman"/>
          <w:color w:val="0070C0"/>
          <w:sz w:val="16"/>
          <w:szCs w:val="16"/>
        </w:rPr>
        <w:softHyphen/>
        <w:t>вания.</w:t>
      </w:r>
    </w:p>
    <w:p w14:paraId="33EB6FD5" w14:textId="77777777" w:rsidR="001C090F" w:rsidRPr="008A2E5A" w:rsidRDefault="001C090F" w:rsidP="001C09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в НИИ проходили в ускоренном режиме с 25 августа по 1 сентября 1942 года. Полученные результаты позволяли оформить благожелательный отчет, однако, за ту неделю пока испытывали 31213445, Александр Эмма</w:t>
      </w:r>
      <w:r w:rsidRPr="008A2E5A">
        <w:rPr>
          <w:rFonts w:ascii="Times New Roman" w:hAnsi="Times New Roman"/>
          <w:color w:val="0070C0"/>
          <w:sz w:val="16"/>
          <w:szCs w:val="16"/>
        </w:rPr>
        <w:softHyphen/>
        <w:t>нуилович Нудельман предпринял «ответный ход». Он обратился с письмом лично к И.В. Сталину. Письма Сталину тогда многие писали, но позвонить Поскребышеву ведущий кон</w:t>
      </w:r>
      <w:r w:rsidRPr="008A2E5A">
        <w:rPr>
          <w:rFonts w:ascii="Times New Roman" w:hAnsi="Times New Roman"/>
          <w:color w:val="0070C0"/>
          <w:sz w:val="16"/>
          <w:szCs w:val="16"/>
        </w:rPr>
        <w:softHyphen/>
        <w:t>структор ОКБ-16 вряд ли смог бы. Думается, была задействована более тяжелая артилле</w:t>
      </w:r>
      <w:r w:rsidRPr="008A2E5A">
        <w:rPr>
          <w:rFonts w:ascii="Times New Roman" w:hAnsi="Times New Roman"/>
          <w:color w:val="0070C0"/>
          <w:sz w:val="16"/>
          <w:szCs w:val="16"/>
        </w:rPr>
        <w:softHyphen/>
        <w:t>рия, о чем Александр Эммануилович предпо</w:t>
      </w:r>
      <w:r w:rsidRPr="008A2E5A">
        <w:rPr>
          <w:rFonts w:ascii="Times New Roman" w:hAnsi="Times New Roman"/>
          <w:color w:val="0070C0"/>
          <w:sz w:val="16"/>
          <w:szCs w:val="16"/>
        </w:rPr>
        <w:softHyphen/>
        <w:t>чел в своих мемуарах не упоминать. Так или иначе, письмо в руки Сталина попало, а Вер</w:t>
      </w:r>
      <w:r w:rsidRPr="008A2E5A">
        <w:rPr>
          <w:rFonts w:ascii="Times New Roman" w:hAnsi="Times New Roman"/>
          <w:color w:val="0070C0"/>
          <w:sz w:val="16"/>
          <w:szCs w:val="16"/>
        </w:rPr>
        <w:softHyphen/>
        <w:t>ховный рассудил быстро и просто. Он распо</w:t>
      </w:r>
      <w:r w:rsidRPr="008A2E5A">
        <w:rPr>
          <w:rFonts w:ascii="Times New Roman" w:hAnsi="Times New Roman"/>
          <w:color w:val="0070C0"/>
          <w:sz w:val="16"/>
          <w:szCs w:val="16"/>
        </w:rPr>
        <w:softHyphen/>
        <w:t>рядился организовать эдакое дерби для ЛаГГ- 3 с пушками калибра 37-мм. Оно прошло как раз 1 сентября на аэродроме НИПАВ в присут</w:t>
      </w:r>
      <w:r w:rsidRPr="008A2E5A">
        <w:rPr>
          <w:rFonts w:ascii="Times New Roman" w:hAnsi="Times New Roman"/>
          <w:color w:val="0070C0"/>
          <w:sz w:val="16"/>
          <w:szCs w:val="16"/>
        </w:rPr>
        <w:softHyphen/>
        <w:t>ствии наркома боеприпасов Б.Л. Ванникова, замнаркома вооружений И.А. Барсукова и за</w:t>
      </w:r>
      <w:r w:rsidRPr="008A2E5A">
        <w:rPr>
          <w:rFonts w:ascii="Times New Roman" w:hAnsi="Times New Roman"/>
          <w:color w:val="0070C0"/>
          <w:sz w:val="16"/>
          <w:szCs w:val="16"/>
        </w:rPr>
        <w:softHyphen/>
        <w:t>местителя уполномоченного ГКО по вопросам вооружения П.И. Кирпичникова.</w:t>
      </w:r>
    </w:p>
    <w:p w14:paraId="6A2E20C2" w14:textId="77777777" w:rsidR="001C090F" w:rsidRPr="008A2E5A" w:rsidRDefault="001C090F" w:rsidP="001C09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противовес единственному ЛаГГ-3 с пуш</w:t>
      </w:r>
      <w:r w:rsidRPr="008A2E5A">
        <w:rPr>
          <w:rFonts w:ascii="Times New Roman" w:hAnsi="Times New Roman"/>
          <w:color w:val="0070C0"/>
          <w:sz w:val="16"/>
          <w:szCs w:val="16"/>
        </w:rPr>
        <w:softHyphen/>
        <w:t>кой 11-П № 312197, построенному еще в 1941 году, от Шпитального выставили три новень</w:t>
      </w:r>
      <w:r w:rsidRPr="008A2E5A">
        <w:rPr>
          <w:rFonts w:ascii="Times New Roman" w:hAnsi="Times New Roman"/>
          <w:color w:val="0070C0"/>
          <w:sz w:val="16"/>
          <w:szCs w:val="16"/>
        </w:rPr>
        <w:softHyphen/>
        <w:t>ких самолета 34-й серии №№ 31213425, 31213432 и 31213433. На 26 августа их пушки №№ П-174, Г-105 и П-133 имели только сда</w:t>
      </w:r>
      <w:r w:rsidRPr="008A2E5A">
        <w:rPr>
          <w:rFonts w:ascii="Times New Roman" w:hAnsi="Times New Roman"/>
          <w:color w:val="0070C0"/>
          <w:sz w:val="16"/>
          <w:szCs w:val="16"/>
        </w:rPr>
        <w:softHyphen/>
        <w:t>точный настрел с расходом по 67 патронов. Разброс скорострельности у этих орудий лежал в пределах 171-185 выстрелов в мину</w:t>
      </w:r>
      <w:r w:rsidRPr="008A2E5A">
        <w:rPr>
          <w:rFonts w:ascii="Times New Roman" w:hAnsi="Times New Roman"/>
          <w:color w:val="0070C0"/>
          <w:sz w:val="16"/>
          <w:szCs w:val="16"/>
        </w:rPr>
        <w:softHyphen/>
        <w:t>ту. Средний темп стрельбы - 182 выстрела в минуту. Ни в какое сравнение с характеристи</w:t>
      </w:r>
      <w:r w:rsidRPr="008A2E5A">
        <w:rPr>
          <w:rFonts w:ascii="Times New Roman" w:hAnsi="Times New Roman"/>
          <w:color w:val="0070C0"/>
          <w:sz w:val="16"/>
          <w:szCs w:val="16"/>
        </w:rPr>
        <w:softHyphen/>
      </w:r>
      <w:r w:rsidRPr="008A2E5A">
        <w:rPr>
          <w:rFonts w:ascii="Times New Roman" w:hAnsi="Times New Roman"/>
          <w:color w:val="0070C0"/>
          <w:sz w:val="16"/>
          <w:szCs w:val="16"/>
        </w:rPr>
        <w:lastRenderedPageBreak/>
        <w:t>ками 11-П № 2, у которой минимальный темп стрельбы на испытаниях составил 258 выстре</w:t>
      </w:r>
      <w:r w:rsidRPr="008A2E5A">
        <w:rPr>
          <w:rFonts w:ascii="Times New Roman" w:hAnsi="Times New Roman"/>
          <w:color w:val="0070C0"/>
          <w:sz w:val="16"/>
          <w:szCs w:val="16"/>
        </w:rPr>
        <w:softHyphen/>
        <w:t>лов в минуту, результаты пушек ОКБ-15 не шли. Тут же состоялось импровизированное совещание, итоги которого вместе с результа</w:t>
      </w:r>
      <w:r w:rsidRPr="008A2E5A">
        <w:rPr>
          <w:rFonts w:ascii="Times New Roman" w:hAnsi="Times New Roman"/>
          <w:color w:val="0070C0"/>
          <w:sz w:val="16"/>
          <w:szCs w:val="16"/>
        </w:rPr>
        <w:softHyphen/>
        <w:t>тами стрельб доложили «наверх». Уже 3 сен</w:t>
      </w:r>
      <w:r w:rsidRPr="008A2E5A">
        <w:rPr>
          <w:rFonts w:ascii="Times New Roman" w:hAnsi="Times New Roman"/>
          <w:color w:val="0070C0"/>
          <w:sz w:val="16"/>
          <w:szCs w:val="16"/>
        </w:rPr>
        <w:softHyphen/>
        <w:t>тября по распоряжению Д.Ф. Устинова А.Э. Нудельман со своей пушкой и механиком-на</w:t>
      </w:r>
      <w:r w:rsidRPr="008A2E5A">
        <w:rPr>
          <w:rFonts w:ascii="Times New Roman" w:hAnsi="Times New Roman"/>
          <w:color w:val="0070C0"/>
          <w:sz w:val="16"/>
          <w:szCs w:val="16"/>
        </w:rPr>
        <w:softHyphen/>
        <w:t>ладчиком вылетел в Ижевск. 18 октября на за</w:t>
      </w:r>
      <w:r w:rsidRPr="008A2E5A">
        <w:rPr>
          <w:rFonts w:ascii="Times New Roman" w:hAnsi="Times New Roman"/>
          <w:color w:val="0070C0"/>
          <w:sz w:val="16"/>
          <w:szCs w:val="16"/>
        </w:rPr>
        <w:softHyphen/>
        <w:t>воде № 74 собрали первую пушку, а к 7 ноября была готова установочная партия в 40 штук.</w:t>
      </w:r>
    </w:p>
    <w:p w14:paraId="06AB9F47" w14:textId="77777777" w:rsidR="001C090F" w:rsidRPr="008A2E5A" w:rsidRDefault="001C090F" w:rsidP="001C09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руководства завода № 21 это оказалось неприятным сюрпризом. Дело в том, что в но</w:t>
      </w:r>
      <w:r w:rsidRPr="008A2E5A">
        <w:rPr>
          <w:rFonts w:ascii="Times New Roman" w:hAnsi="Times New Roman"/>
          <w:color w:val="0070C0"/>
          <w:sz w:val="16"/>
          <w:szCs w:val="16"/>
        </w:rPr>
        <w:softHyphen/>
        <w:t>ябре производство ЛаГГ-3 в Горьком пол</w:t>
      </w:r>
      <w:r w:rsidRPr="008A2E5A">
        <w:rPr>
          <w:rFonts w:ascii="Times New Roman" w:hAnsi="Times New Roman"/>
          <w:color w:val="0070C0"/>
          <w:sz w:val="16"/>
          <w:szCs w:val="16"/>
        </w:rPr>
        <w:softHyphen/>
        <w:t>ностью прекратили. Последним был изготов</w:t>
      </w:r>
      <w:r w:rsidRPr="008A2E5A">
        <w:rPr>
          <w:rFonts w:ascii="Times New Roman" w:hAnsi="Times New Roman"/>
          <w:color w:val="0070C0"/>
          <w:sz w:val="16"/>
          <w:szCs w:val="16"/>
        </w:rPr>
        <w:softHyphen/>
        <w:t>лен самолет № 31213771. Постановления ГКО не было, но, видимо, «просьба» была весьма настоятельной - вероятно всего был выпущен приказ НКАП. С этого момента начинает длин</w:t>
      </w:r>
      <w:r w:rsidRPr="008A2E5A">
        <w:rPr>
          <w:rFonts w:ascii="Times New Roman" w:hAnsi="Times New Roman"/>
          <w:color w:val="0070C0"/>
          <w:sz w:val="16"/>
          <w:szCs w:val="16"/>
        </w:rPr>
        <w:softHyphen/>
        <w:t>ная череда вопросов, начинающихся одним словом - почему. Почему зная о свертывании производства ЛаГГ-3 в Горьком, заказ на само</w:t>
      </w:r>
      <w:r w:rsidRPr="008A2E5A">
        <w:rPr>
          <w:rFonts w:ascii="Times New Roman" w:hAnsi="Times New Roman"/>
          <w:color w:val="0070C0"/>
          <w:sz w:val="16"/>
          <w:szCs w:val="16"/>
        </w:rPr>
        <w:softHyphen/>
        <w:t>леты с пушкой 11-П разместили на 21-м заводе, хотя в Тбилиси и производство шло полным ходом, и местному КБ задача по установке но</w:t>
      </w:r>
      <w:r w:rsidRPr="008A2E5A">
        <w:rPr>
          <w:rFonts w:ascii="Times New Roman" w:hAnsi="Times New Roman"/>
          <w:color w:val="0070C0"/>
          <w:sz w:val="16"/>
          <w:szCs w:val="16"/>
        </w:rPr>
        <w:softHyphen/>
        <w:t>вого орудия была вполне «по плечу»? Если с качеством продукции на 21-м заводе часто были проблемы, то бороться с трудностями и выходить из сложных положений горьковчане умели отлично. В производство была запущена не то что новая серия, а новый тип самолета. ЛаГГ-3 с пушками Нудельмана-Суранова полу</w:t>
      </w:r>
      <w:r w:rsidRPr="008A2E5A">
        <w:rPr>
          <w:rFonts w:ascii="Times New Roman" w:hAnsi="Times New Roman"/>
          <w:color w:val="0070C0"/>
          <w:sz w:val="16"/>
          <w:szCs w:val="16"/>
        </w:rPr>
        <w:softHyphen/>
        <w:t>чил обозначение «тип 33», правда, заложена была только одна серия из 15 машин. Осталь</w:t>
      </w:r>
      <w:r w:rsidRPr="008A2E5A">
        <w:rPr>
          <w:rFonts w:ascii="Times New Roman" w:hAnsi="Times New Roman"/>
          <w:color w:val="0070C0"/>
          <w:sz w:val="16"/>
          <w:szCs w:val="16"/>
        </w:rPr>
        <w:softHyphen/>
        <w:t>ные пушки первой партии ушли С.В. Ильюши</w:t>
      </w:r>
      <w:r w:rsidRPr="008A2E5A">
        <w:rPr>
          <w:rFonts w:ascii="Times New Roman" w:hAnsi="Times New Roman"/>
          <w:color w:val="0070C0"/>
          <w:sz w:val="16"/>
          <w:szCs w:val="16"/>
        </w:rPr>
        <w:softHyphen/>
        <w:t>ну. В соответствии с приказом НКАП № 834с от 11 ноября 1942 года Сергею Владимировичу поручалось в кратчайшие сроки спроектир вать крыльевые установки под 11-П для само</w:t>
      </w:r>
      <w:r w:rsidRPr="008A2E5A">
        <w:rPr>
          <w:rFonts w:ascii="Times New Roman" w:hAnsi="Times New Roman"/>
          <w:color w:val="0070C0"/>
          <w:sz w:val="16"/>
          <w:szCs w:val="16"/>
        </w:rPr>
        <w:softHyphen/>
        <w:t>лета Ил-2, а заводу № 30 до 1 января 1943 года изготовить 10 машин с 37-мм пушками (23509).</w:t>
      </w:r>
    </w:p>
    <w:p w14:paraId="010A1062" w14:textId="77777777" w:rsidR="001C090F" w:rsidRPr="008A2E5A" w:rsidRDefault="001C090F" w:rsidP="001C090F">
      <w:pPr>
        <w:spacing w:after="0" w:line="240" w:lineRule="auto"/>
        <w:jc w:val="both"/>
        <w:rPr>
          <w:rFonts w:ascii="Times New Roman" w:hAnsi="Times New Roman"/>
          <w:color w:val="0070C0"/>
          <w:sz w:val="16"/>
          <w:szCs w:val="16"/>
        </w:rPr>
      </w:pPr>
    </w:p>
    <w:p w14:paraId="7A232BCE" w14:textId="77777777" w:rsidR="001C090F" w:rsidRPr="008A2E5A" w:rsidRDefault="001C090F" w:rsidP="001C09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25 августа по 1 сентября 1942 года ЛаГГ-3 с Ш-37 проходил государственные испытания, которые показали, что предкрылки и сбалансированные рули значительно упростили управление машиной, хотя поперечное управление по-прежнему требовало от пилота значительных физических усилий.</w:t>
      </w:r>
    </w:p>
    <w:p w14:paraId="3254847C" w14:textId="77777777" w:rsidR="001C090F" w:rsidRPr="008A2E5A" w:rsidRDefault="001C090F" w:rsidP="001C09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Время полного разворота, несмотря на рост взлетной массы, не увеличился, несколько улучшилась поперечная устойчивость. Самолет без проблем пикировал под углом 60°, развивая при этом скорость до 650 км/ч. Оптимальный угол атаки составлял 30–40°. Стрельба из пушки не приводила к вибрации самолета и не оказывала отрицательного влияния на точность прицела. В итоговом рапорте сообщалось, что самолет можно использовать для борьбы с бронетехникой противника, защищенной броней толщиной до 40 мм, а также с открыто расположенной живой силой противника.</w:t>
      </w:r>
    </w:p>
    <w:p w14:paraId="6F6B57CB" w14:textId="77777777" w:rsidR="001C090F" w:rsidRPr="008A2E5A" w:rsidRDefault="001C090F" w:rsidP="001C09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положительные отзывы, ЛаГГ-3 с 37-мм пушкой серийно не выпускался. Позднее на самолет в порядке эксперимента поставили 45-мм пушку, созданную на базе Ш-37. Когда появилась удачная пушка НС-37 калибра 37 мм конструкции Нудельмана и Суранова, ЛаГГ-3 с пушкой НС-37 прошел государственные испытания, но пушку приняли на вооружение лишь 30 декабря 1942 года. Завод № 21 построил 15 ЛаГГов-3, вооруженных пушкой НС-37. По сравнению с машинами, вооруженными пушкой Ш-37, эти истребители были легче. Поскольку завод № 21 в это время осваивал выпуск самолетов Ла-5, дальнейший выпуск ЛаГГов-3 с 37-мм пушкой перенесли в Тбилиси (23548).</w:t>
      </w:r>
    </w:p>
    <w:p w14:paraId="04140348" w14:textId="77777777" w:rsidR="001C090F" w:rsidRPr="008A2E5A" w:rsidRDefault="001C090F" w:rsidP="001C090F">
      <w:pPr>
        <w:spacing w:after="0" w:line="240" w:lineRule="auto"/>
        <w:jc w:val="both"/>
        <w:rPr>
          <w:rFonts w:ascii="Times New Roman" w:hAnsi="Times New Roman"/>
          <w:color w:val="0070C0"/>
          <w:sz w:val="16"/>
          <w:szCs w:val="16"/>
        </w:rPr>
      </w:pPr>
    </w:p>
    <w:p w14:paraId="0ECE9070" w14:textId="77777777" w:rsidR="001C090F" w:rsidRPr="008A2E5A" w:rsidRDefault="001C090F" w:rsidP="001C09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августа 1942 года вышел приказ НКАП № 652 о начале производства ЛаГГ-5 на заводе № 99 в Улан-Уде, который до конца года должен был поставить 30 истребителей. После декрета ГКО от 6 сентября 1942 года НКАП выпустил приказ № 683 от 8 сентября, изменивший обозначение самолета с ЛаГГ-5 на Ла-5 (Лавочкин-пятый) (23547).</w:t>
      </w:r>
    </w:p>
    <w:p w14:paraId="2587E3C5" w14:textId="77777777" w:rsidR="001C090F" w:rsidRPr="008A2E5A" w:rsidRDefault="001C090F" w:rsidP="001C090F">
      <w:pPr>
        <w:spacing w:after="0" w:line="240" w:lineRule="auto"/>
        <w:jc w:val="both"/>
        <w:rPr>
          <w:rFonts w:ascii="Times New Roman" w:hAnsi="Times New Roman"/>
          <w:color w:val="0070C0"/>
          <w:sz w:val="16"/>
          <w:szCs w:val="16"/>
        </w:rPr>
      </w:pPr>
    </w:p>
    <w:p w14:paraId="3CE1349E" w14:textId="77777777" w:rsidR="007A5C8F" w:rsidRPr="001E2C69" w:rsidRDefault="007A5C8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августа 1942 г. Леон Шехтер подписал компоновку Як-7Р. Реактивный перехватчик Як-7Р из модификации поршневого ис</w:t>
      </w:r>
      <w:r w:rsidRPr="001E2C69">
        <w:rPr>
          <w:rFonts w:ascii="Times New Roman" w:hAnsi="Times New Roman"/>
          <w:color w:val="000000" w:themeColor="text1"/>
          <w:sz w:val="16"/>
          <w:szCs w:val="16"/>
        </w:rPr>
        <w:softHyphen/>
        <w:t>требителя превратился в полностью но</w:t>
      </w:r>
      <w:r w:rsidRPr="001E2C69">
        <w:rPr>
          <w:rFonts w:ascii="Times New Roman" w:hAnsi="Times New Roman"/>
          <w:color w:val="000000" w:themeColor="text1"/>
          <w:sz w:val="16"/>
          <w:szCs w:val="16"/>
        </w:rPr>
        <w:softHyphen/>
        <w:t>вый самолет, сохранив от прототипа лишь крыло (с усилениями под навеску двух ПВРД), горизонтальное оперение и шасси, на котором обычный хвостовой «дутик» заменили металлическим роликом.</w:t>
      </w:r>
    </w:p>
    <w:p w14:paraId="26AC68B1" w14:textId="77777777" w:rsidR="007A5C8F" w:rsidRPr="001E2C69" w:rsidRDefault="007A5C8F" w:rsidP="00722885">
      <w:pPr>
        <w:pStyle w:val="Bodytext1"/>
        <w:shd w:val="clear" w:color="auto" w:fill="auto"/>
        <w:spacing w:line="240" w:lineRule="auto"/>
        <w:ind w:firstLine="0"/>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Технология производства цельноме</w:t>
      </w:r>
      <w:r w:rsidRPr="001E2C69">
        <w:rPr>
          <w:rFonts w:ascii="Times New Roman" w:hAnsi="Times New Roman" w:cs="Times New Roman"/>
          <w:color w:val="000000" w:themeColor="text1"/>
          <w:sz w:val="16"/>
          <w:szCs w:val="16"/>
        </w:rPr>
        <w:softHyphen/>
        <w:t>таллических носового и хвостового (дви</w:t>
      </w:r>
      <w:r w:rsidRPr="001E2C69">
        <w:rPr>
          <w:rFonts w:ascii="Times New Roman" w:hAnsi="Times New Roman" w:cs="Times New Roman"/>
          <w:color w:val="000000" w:themeColor="text1"/>
          <w:sz w:val="16"/>
          <w:szCs w:val="16"/>
        </w:rPr>
        <w:softHyphen/>
        <w:t>гательного), а также среднего смешанной конструкции отсеков фюзеляжа осталась от Як-7, но все их размеры поменялись и ис</w:t>
      </w:r>
      <w:r w:rsidRPr="001E2C69">
        <w:rPr>
          <w:rFonts w:ascii="Times New Roman" w:hAnsi="Times New Roman" w:cs="Times New Roman"/>
          <w:color w:val="000000" w:themeColor="text1"/>
          <w:sz w:val="16"/>
          <w:szCs w:val="16"/>
        </w:rPr>
        <w:softHyphen/>
        <w:t>пользовать старую оснастку не получалось.</w:t>
      </w:r>
    </w:p>
    <w:p w14:paraId="3F39193B" w14:textId="77777777" w:rsidR="007A5C8F" w:rsidRPr="001E2C69" w:rsidRDefault="007A5C8F" w:rsidP="00722885">
      <w:pPr>
        <w:pStyle w:val="Bodytext1"/>
        <w:shd w:val="clear" w:color="auto" w:fill="auto"/>
        <w:spacing w:line="240" w:lineRule="auto"/>
        <w:ind w:firstLine="0"/>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Нос самолета «освободился» от мо</w:t>
      </w:r>
      <w:r w:rsidRPr="001E2C69">
        <w:rPr>
          <w:rFonts w:ascii="Times New Roman" w:hAnsi="Times New Roman" w:cs="Times New Roman"/>
          <w:color w:val="000000" w:themeColor="text1"/>
          <w:sz w:val="16"/>
          <w:szCs w:val="16"/>
        </w:rPr>
        <w:softHyphen/>
        <w:t>тора, так что кабину сместили вперед, улучшив обзор. Там поставили два пуле</w:t>
      </w:r>
      <w:r w:rsidRPr="001E2C69">
        <w:rPr>
          <w:rFonts w:ascii="Times New Roman" w:hAnsi="Times New Roman" w:cs="Times New Roman"/>
          <w:color w:val="000000" w:themeColor="text1"/>
          <w:sz w:val="16"/>
          <w:szCs w:val="16"/>
        </w:rPr>
        <w:softHyphen/>
        <w:t>мета БК-12,7 с патронными ящиками и механизмами перезарядки, турбонасос- ный агрегат ЖРД, за ним была кабина и два бака керосина. В средней части раз</w:t>
      </w:r>
      <w:r w:rsidRPr="001E2C69">
        <w:rPr>
          <w:rFonts w:ascii="Times New Roman" w:hAnsi="Times New Roman" w:cs="Times New Roman"/>
          <w:color w:val="000000" w:themeColor="text1"/>
          <w:sz w:val="16"/>
          <w:szCs w:val="16"/>
        </w:rPr>
        <w:softHyphen/>
        <w:t>местили бак для окислителя ЖРД (азотная кислота), трубопроводы подачи компо</w:t>
      </w:r>
      <w:r w:rsidRPr="001E2C69">
        <w:rPr>
          <w:rFonts w:ascii="Times New Roman" w:hAnsi="Times New Roman" w:cs="Times New Roman"/>
          <w:color w:val="000000" w:themeColor="text1"/>
          <w:sz w:val="16"/>
          <w:szCs w:val="16"/>
        </w:rPr>
        <w:softHyphen/>
        <w:t>нентов топлива, проводка управления ру</w:t>
      </w:r>
      <w:r w:rsidRPr="001E2C69">
        <w:rPr>
          <w:rFonts w:ascii="Times New Roman" w:hAnsi="Times New Roman" w:cs="Times New Roman"/>
          <w:color w:val="000000" w:themeColor="text1"/>
          <w:sz w:val="16"/>
          <w:szCs w:val="16"/>
        </w:rPr>
        <w:softHyphen/>
        <w:t>лями и хвостовой опорой шасси. Наконец, в хвостовом отсеке стоял однокамерный ЖРД Душкина.</w:t>
      </w:r>
    </w:p>
    <w:p w14:paraId="0C89B87D" w14:textId="77777777" w:rsidR="007A5C8F" w:rsidRPr="001E2C69" w:rsidRDefault="007A5C8F" w:rsidP="00722885">
      <w:pPr>
        <w:pStyle w:val="Bodytext1"/>
        <w:shd w:val="clear" w:color="auto" w:fill="auto"/>
        <w:spacing w:line="240" w:lineRule="auto"/>
        <w:ind w:firstLine="0"/>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Двух крупнокалиберных пулеметов считалось достаточно для поражения лю</w:t>
      </w:r>
      <w:r w:rsidRPr="001E2C69">
        <w:rPr>
          <w:rFonts w:ascii="Times New Roman" w:hAnsi="Times New Roman" w:cs="Times New Roman"/>
          <w:color w:val="000000" w:themeColor="text1"/>
          <w:sz w:val="16"/>
          <w:szCs w:val="16"/>
        </w:rPr>
        <w:softHyphen/>
        <w:t>бого самолета-разведчика или бомбарди</w:t>
      </w:r>
      <w:r w:rsidRPr="001E2C69">
        <w:rPr>
          <w:rFonts w:ascii="Times New Roman" w:hAnsi="Times New Roman" w:cs="Times New Roman"/>
          <w:color w:val="000000" w:themeColor="text1"/>
          <w:sz w:val="16"/>
          <w:szCs w:val="16"/>
        </w:rPr>
        <w:softHyphen/>
        <w:t>ровщика противника: благодаря отсутст</w:t>
      </w:r>
      <w:r w:rsidRPr="001E2C69">
        <w:rPr>
          <w:rFonts w:ascii="Times New Roman" w:hAnsi="Times New Roman" w:cs="Times New Roman"/>
          <w:color w:val="000000" w:themeColor="text1"/>
          <w:sz w:val="16"/>
          <w:szCs w:val="16"/>
        </w:rPr>
        <w:softHyphen/>
        <w:t>вию потерь на синхронизацию, секундный залп и дульная мощность в сумме оказа</w:t>
      </w:r>
      <w:r w:rsidRPr="001E2C69">
        <w:rPr>
          <w:rFonts w:ascii="Times New Roman" w:hAnsi="Times New Roman" w:cs="Times New Roman"/>
          <w:color w:val="000000" w:themeColor="text1"/>
          <w:sz w:val="16"/>
          <w:szCs w:val="16"/>
        </w:rPr>
        <w:softHyphen/>
        <w:t>лись больше, чем у мотор-пушки ШВАК и двух синхронных ШКАСов прототипа. Летчика защищали бронеспинка и заднее бронестекло. Вряд ли они были нужны перехватчику, да еще столь скоростному, скорее броню надо было бы поставить спереди из расчета атаки бомбардиров</w:t>
      </w:r>
      <w:r w:rsidRPr="001E2C69">
        <w:rPr>
          <w:rFonts w:ascii="Times New Roman" w:hAnsi="Times New Roman" w:cs="Times New Roman"/>
          <w:color w:val="000000" w:themeColor="text1"/>
          <w:sz w:val="16"/>
          <w:szCs w:val="16"/>
        </w:rPr>
        <w:softHyphen/>
        <w:t>щика с оборонительным вооружением, но Шехтер сделал так. Радио на самолете не ставили в силу скоротечности полета реактивного перехватчика и тактики его применения - наведения на одну конкрет</w:t>
      </w:r>
      <w:r w:rsidRPr="001E2C69">
        <w:rPr>
          <w:rFonts w:ascii="Times New Roman" w:hAnsi="Times New Roman" w:cs="Times New Roman"/>
          <w:color w:val="000000" w:themeColor="text1"/>
          <w:sz w:val="16"/>
          <w:szCs w:val="16"/>
        </w:rPr>
        <w:softHyphen/>
        <w:t>ную воздушную цель «по зрячему». Само</w:t>
      </w:r>
      <w:r w:rsidRPr="001E2C69">
        <w:rPr>
          <w:rFonts w:ascii="Times New Roman" w:hAnsi="Times New Roman" w:cs="Times New Roman"/>
          <w:color w:val="000000" w:themeColor="text1"/>
          <w:sz w:val="16"/>
          <w:szCs w:val="16"/>
        </w:rPr>
        <w:softHyphen/>
        <w:t>лет предназначался только для действий в светлое время суток.</w:t>
      </w:r>
    </w:p>
    <w:p w14:paraId="1A7754E6" w14:textId="77777777" w:rsidR="007A5C8F" w:rsidRPr="001E2C69" w:rsidRDefault="007A5C8F" w:rsidP="00722885">
      <w:pPr>
        <w:pStyle w:val="Bodytext1"/>
        <w:shd w:val="clear" w:color="auto" w:fill="auto"/>
        <w:spacing w:line="240" w:lineRule="auto"/>
        <w:ind w:firstLine="0"/>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Расчетный взлетный вес Як-7Р вы</w:t>
      </w:r>
      <w:r w:rsidRPr="001E2C69">
        <w:rPr>
          <w:rFonts w:ascii="Times New Roman" w:hAnsi="Times New Roman" w:cs="Times New Roman"/>
          <w:color w:val="000000" w:themeColor="text1"/>
          <w:sz w:val="16"/>
          <w:szCs w:val="16"/>
        </w:rPr>
        <w:softHyphen/>
        <w:t>шел 2910 кг, из которых 1200 приходи</w:t>
      </w:r>
      <w:r w:rsidRPr="001E2C69">
        <w:rPr>
          <w:rFonts w:ascii="Times New Roman" w:hAnsi="Times New Roman" w:cs="Times New Roman"/>
          <w:color w:val="000000" w:themeColor="text1"/>
          <w:sz w:val="16"/>
          <w:szCs w:val="16"/>
        </w:rPr>
        <w:softHyphen/>
        <w:t>лось на топливо. Использовавшийся на взлете, в разгоне и наборе высоты ЖРД Д-1А давал тягу 1100 кгс, а включавши</w:t>
      </w:r>
      <w:r w:rsidRPr="001E2C69">
        <w:rPr>
          <w:rFonts w:ascii="Times New Roman" w:hAnsi="Times New Roman" w:cs="Times New Roman"/>
          <w:color w:val="000000" w:themeColor="text1"/>
          <w:sz w:val="16"/>
          <w:szCs w:val="16"/>
        </w:rPr>
        <w:softHyphen/>
        <w:t>еся на скорости примерно 200 км/ч ПВРД ДМ-4 - еще по 150 кгс после разгона до боевого режима. В этот момент масса самолета составляла примерно 2800 кг, что обеспечивало начальную тяговоо- руженность 0,5. Она росла по мере вы</w:t>
      </w:r>
      <w:r w:rsidRPr="001E2C69">
        <w:rPr>
          <w:rFonts w:ascii="Times New Roman" w:hAnsi="Times New Roman" w:cs="Times New Roman"/>
          <w:color w:val="000000" w:themeColor="text1"/>
          <w:sz w:val="16"/>
          <w:szCs w:val="16"/>
        </w:rPr>
        <w:softHyphen/>
        <w:t>работки топлива, и самолет должен был набирать 8000 м за 1,2-1,3 мин. Максимальная продолжительность полета с работающими двигателями получалась 25 мин (почти в 4 раза больше, чем у чи</w:t>
      </w:r>
      <w:r w:rsidRPr="001E2C69">
        <w:rPr>
          <w:rFonts w:ascii="Times New Roman" w:hAnsi="Times New Roman" w:cs="Times New Roman"/>
          <w:color w:val="000000" w:themeColor="text1"/>
          <w:sz w:val="16"/>
          <w:szCs w:val="16"/>
        </w:rPr>
        <w:softHyphen/>
        <w:t>сто ракетного перехватчика БИ), из кото</w:t>
      </w:r>
      <w:r w:rsidRPr="001E2C69">
        <w:rPr>
          <w:rFonts w:ascii="Times New Roman" w:hAnsi="Times New Roman" w:cs="Times New Roman"/>
          <w:color w:val="000000" w:themeColor="text1"/>
          <w:sz w:val="16"/>
          <w:szCs w:val="16"/>
        </w:rPr>
        <w:softHyphen/>
        <w:t>рых 10-15 мин - активный воздушный бой. После отключения ЖРД самолет мог держать скорость до 800 км/ч, выполняя энергичное маневрирование (17742).</w:t>
      </w:r>
    </w:p>
    <w:p w14:paraId="6F00CBF3" w14:textId="77777777" w:rsidR="007A5C8F" w:rsidRPr="001E2C69" w:rsidRDefault="007A5C8F" w:rsidP="00722885">
      <w:pPr>
        <w:spacing w:after="0" w:line="240" w:lineRule="auto"/>
        <w:jc w:val="both"/>
        <w:rPr>
          <w:rFonts w:ascii="Times New Roman" w:hAnsi="Times New Roman"/>
          <w:color w:val="000000" w:themeColor="text1"/>
          <w:sz w:val="16"/>
          <w:szCs w:val="16"/>
        </w:rPr>
      </w:pPr>
    </w:p>
    <w:p w14:paraId="4D9F193D" w14:textId="77777777" w:rsidR="001C090F" w:rsidRPr="008A2E5A" w:rsidRDefault="001C090F" w:rsidP="001C09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августа 1942 г. Л.М. Шехтер завершил общую компоновку проект истреби</w:t>
      </w:r>
      <w:r w:rsidRPr="008A2E5A">
        <w:rPr>
          <w:rFonts w:ascii="Times New Roman" w:hAnsi="Times New Roman"/>
          <w:color w:val="0070C0"/>
          <w:sz w:val="16"/>
          <w:szCs w:val="16"/>
        </w:rPr>
        <w:softHyphen/>
        <w:t>теля-перехватчика Як-7Р. На этой маши</w:t>
      </w:r>
      <w:r w:rsidRPr="008A2E5A">
        <w:rPr>
          <w:rFonts w:ascii="Times New Roman" w:hAnsi="Times New Roman"/>
          <w:color w:val="0070C0"/>
          <w:sz w:val="16"/>
          <w:szCs w:val="16"/>
        </w:rPr>
        <w:softHyphen/>
        <w:t>не планировалось установить комбинированную силовую установку, состоящую из жидкостного реактивного двига</w:t>
      </w:r>
      <w:r w:rsidRPr="008A2E5A">
        <w:rPr>
          <w:rFonts w:ascii="Times New Roman" w:hAnsi="Times New Roman"/>
          <w:color w:val="0070C0"/>
          <w:sz w:val="16"/>
          <w:szCs w:val="16"/>
        </w:rPr>
        <w:softHyphen/>
        <w:t>теля (ЖРД) Д-1АЛ.С. Душкина с тягой 1100 кг и двух ПВРД ДМ-4с. По замыслу конструкторов ЖРД, время работы ко</w:t>
      </w:r>
      <w:r w:rsidRPr="008A2E5A">
        <w:rPr>
          <w:rFonts w:ascii="Times New Roman" w:hAnsi="Times New Roman"/>
          <w:color w:val="0070C0"/>
          <w:sz w:val="16"/>
          <w:szCs w:val="16"/>
        </w:rPr>
        <w:softHyphen/>
        <w:t>торого составляло до 200 с, должен был использоваться на этапах взлета, набора высоты и разгона (догона), а на маршевых режимах - ПВРД. Двойная силовая установка позволяла реактивному истребителю находиться в возду</w:t>
      </w:r>
      <w:r w:rsidRPr="008A2E5A">
        <w:rPr>
          <w:rFonts w:ascii="Times New Roman" w:hAnsi="Times New Roman"/>
          <w:color w:val="0070C0"/>
          <w:sz w:val="16"/>
          <w:szCs w:val="16"/>
        </w:rPr>
        <w:softHyphen/>
        <w:t>хе 25 минут и решать задачи перехвата воздушных целей в течение 10-15 минут (ограниченных запасом горюче</w:t>
      </w:r>
      <w:r w:rsidRPr="008A2E5A">
        <w:rPr>
          <w:rFonts w:ascii="Times New Roman" w:hAnsi="Times New Roman"/>
          <w:color w:val="0070C0"/>
          <w:sz w:val="16"/>
          <w:szCs w:val="16"/>
        </w:rPr>
        <w:softHyphen/>
        <w:t>го на самолете). Это было существенным шагом вперед по сравнению с реактивным ближним истребителем БИ-1 конструкции ОКБ №293, время полета которого составля</w:t>
      </w:r>
      <w:r w:rsidRPr="008A2E5A">
        <w:rPr>
          <w:rFonts w:ascii="Times New Roman" w:hAnsi="Times New Roman"/>
          <w:color w:val="0070C0"/>
          <w:sz w:val="16"/>
          <w:szCs w:val="16"/>
        </w:rPr>
        <w:softHyphen/>
        <w:t>ло всего семь минут.</w:t>
      </w:r>
    </w:p>
    <w:p w14:paraId="6B980E34" w14:textId="77777777" w:rsidR="001C090F" w:rsidRPr="008A2E5A" w:rsidRDefault="001C090F" w:rsidP="001C09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связи с отказом от поршневого мотора на его месте поместили кабину пилота с органами управления, при</w:t>
      </w:r>
      <w:r w:rsidRPr="008A2E5A">
        <w:rPr>
          <w:rFonts w:ascii="Times New Roman" w:hAnsi="Times New Roman"/>
          <w:color w:val="0070C0"/>
          <w:sz w:val="16"/>
          <w:szCs w:val="16"/>
        </w:rPr>
        <w:softHyphen/>
        <w:t>борами, оборудованием и вооружением, состоявшим из двух пулеметов БС с боекомплектом по 200 патронов на ствол. Центральную часть фюзеляжа отдали под баки с компонентами топлива ЖРД. Питание ПВРД осуществ</w:t>
      </w:r>
      <w:r w:rsidRPr="008A2E5A">
        <w:rPr>
          <w:rFonts w:ascii="Times New Roman" w:hAnsi="Times New Roman"/>
          <w:color w:val="0070C0"/>
          <w:sz w:val="16"/>
          <w:szCs w:val="16"/>
        </w:rPr>
        <w:softHyphen/>
        <w:t>лялось из крыльевых бензобаков. Полетный вес машины оценивался в 2910 кг, в том числе 1200 кг горючего. Высо</w:t>
      </w:r>
      <w:r w:rsidRPr="008A2E5A">
        <w:rPr>
          <w:rFonts w:ascii="Times New Roman" w:hAnsi="Times New Roman"/>
          <w:color w:val="0070C0"/>
          <w:sz w:val="16"/>
          <w:szCs w:val="16"/>
        </w:rPr>
        <w:softHyphen/>
        <w:t>ту 8000 м машина должна была набрать за 70-80 секунд, а максимальная скорость ожидалась равной 800 км/ч. Поскольку в конструкции Як-7Р максимально использо</w:t>
      </w:r>
      <w:r w:rsidRPr="008A2E5A">
        <w:rPr>
          <w:rFonts w:ascii="Times New Roman" w:hAnsi="Times New Roman"/>
          <w:color w:val="0070C0"/>
          <w:sz w:val="16"/>
          <w:szCs w:val="16"/>
        </w:rPr>
        <w:softHyphen/>
        <w:t>вали планер и агрегаты серийного истребителя Як-7Б, то при наличии реактивных двигателей выпуск таких машин можно было организовать в кратчайший срок. Отсутствие отработанных реактивных двигателей не позволило реа</w:t>
      </w:r>
      <w:r w:rsidRPr="008A2E5A">
        <w:rPr>
          <w:rFonts w:ascii="Times New Roman" w:hAnsi="Times New Roman"/>
          <w:color w:val="0070C0"/>
          <w:sz w:val="16"/>
          <w:szCs w:val="16"/>
        </w:rPr>
        <w:softHyphen/>
        <w:t>лизовать проект (23381).</w:t>
      </w:r>
    </w:p>
    <w:p w14:paraId="4365C0F3" w14:textId="77777777" w:rsidR="001C090F" w:rsidRPr="008A2E5A" w:rsidRDefault="001C090F" w:rsidP="001C090F">
      <w:pPr>
        <w:spacing w:after="0" w:line="240" w:lineRule="auto"/>
        <w:jc w:val="both"/>
        <w:rPr>
          <w:rFonts w:ascii="Times New Roman" w:hAnsi="Times New Roman"/>
          <w:color w:val="0070C0"/>
          <w:sz w:val="16"/>
          <w:szCs w:val="16"/>
        </w:rPr>
      </w:pPr>
    </w:p>
    <w:p w14:paraId="0C9D25A9"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03BA8BF4" w14:textId="77777777" w:rsidR="00AE7191" w:rsidRPr="001E2C69" w:rsidRDefault="00AE7191" w:rsidP="00722885">
      <w:pPr>
        <w:pStyle w:val="Iauiue"/>
        <w:jc w:val="both"/>
        <w:rPr>
          <w:iCs/>
          <w:color w:val="000000" w:themeColor="text1"/>
          <w:sz w:val="16"/>
          <w:szCs w:val="16"/>
        </w:rPr>
      </w:pPr>
    </w:p>
    <w:p w14:paraId="2697D50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августа 1942 вышло Постановление ГКО № 2214 Об увеличении мощностей по производству аммиака, слабой и крепкой азотной кислоты. РГАНИР, Фонд ГКО, д. 54, лл. 1-5, 6-63 (11012).</w:t>
      </w:r>
    </w:p>
    <w:p w14:paraId="29D428AA"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B28C14C"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25 августа 1942 года вышел приказ № 632 НКБ</w:t>
      </w:r>
    </w:p>
    <w:p w14:paraId="758C5BA5"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В дополнение к приказу НКБ № 410сс от 25 июня 1942 года:</w:t>
      </w:r>
    </w:p>
    <w:p w14:paraId="24A4BD62"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Включить завод № 479 в число действующих предприятий НКБ и подчинить 6 Гл. управлению (5909, 135).</w:t>
      </w:r>
    </w:p>
    <w:p w14:paraId="5F021691" w14:textId="77777777" w:rsidR="00AE7191" w:rsidRPr="001E2C69" w:rsidRDefault="00AE7191" w:rsidP="00722885">
      <w:pPr>
        <w:pStyle w:val="Iauiue"/>
        <w:tabs>
          <w:tab w:val="left" w:pos="11199"/>
        </w:tabs>
        <w:jc w:val="both"/>
        <w:rPr>
          <w:color w:val="000000" w:themeColor="text1"/>
          <w:sz w:val="16"/>
          <w:szCs w:val="16"/>
        </w:rPr>
      </w:pPr>
    </w:p>
    <w:p w14:paraId="6E289AD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 25 августа 1942 года был подготовлен Паспорт завода № 37 им. Орджоникидзе</w:t>
      </w:r>
    </w:p>
    <w:p w14:paraId="26C8B54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Адрес: Свердловск, п/я 91</w:t>
      </w:r>
    </w:p>
    <w:p w14:paraId="7CDEF47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Эвакуирован из Москвы в 1941 году</w:t>
      </w:r>
    </w:p>
    <w:p w14:paraId="1054DE8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расположен на трех самостоятельных площадках центра г. Свердловска.</w:t>
      </w:r>
    </w:p>
    <w:p w14:paraId="22EAD45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Производственный профиль – танкостроение</w:t>
      </w:r>
    </w:p>
    <w:p w14:paraId="25DFDC0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Основное изделие – танк Т-60 (9668).</w:t>
      </w:r>
    </w:p>
    <w:p w14:paraId="1808BFA7" w14:textId="77777777" w:rsidR="00AE7191" w:rsidRPr="001E2C69" w:rsidRDefault="00AE7191" w:rsidP="00722885">
      <w:pPr>
        <w:pStyle w:val="Iauiue"/>
        <w:jc w:val="both"/>
        <w:rPr>
          <w:color w:val="000000" w:themeColor="text1"/>
          <w:sz w:val="16"/>
          <w:szCs w:val="16"/>
        </w:rPr>
      </w:pPr>
    </w:p>
    <w:p w14:paraId="22AD2B9B" w14:textId="77777777" w:rsidR="000C324B" w:rsidRPr="001E2C69" w:rsidRDefault="000C324B" w:rsidP="00722885">
      <w:pPr>
        <w:pStyle w:val="a4"/>
        <w:rPr>
          <w:color w:val="000000" w:themeColor="text1"/>
          <w:lang w:val="ru-RU"/>
        </w:rPr>
      </w:pPr>
      <w:r w:rsidRPr="001E2C69">
        <w:rPr>
          <w:color w:val="000000" w:themeColor="text1"/>
          <w:lang w:val="ru-RU"/>
        </w:rPr>
        <w:t>25 ав</w:t>
      </w:r>
      <w:r w:rsidRPr="001E2C69">
        <w:rPr>
          <w:color w:val="000000" w:themeColor="text1"/>
          <w:lang w:val="ru-RU"/>
        </w:rPr>
        <w:softHyphen/>
        <w:t>густа 1942 года начались заводские испытания М-4 со стволом-моноблоком, к 18 сентября был произведен 71 выстрел. В общей же сложности в ходе испытаний провели около сотни выстрелов. Кроме того, с 18 сентября по 21 октября система прошла испытания возкой. Всего М-4 прошла 400 километров. Деформаций по итогам испытаний не было обнаружено. Один дефект все же имел место, но не по причине конструктивных недостатков. На одном из подъемов возивший гауби</w:t>
      </w:r>
      <w:r w:rsidRPr="001E2C69">
        <w:rPr>
          <w:color w:val="000000" w:themeColor="text1"/>
          <w:lang w:val="ru-RU"/>
        </w:rPr>
        <w:softHyphen/>
        <w:t>цу тягач сдал назад и ударился в левую станину, деформировав кокор.</w:t>
      </w:r>
    </w:p>
    <w:p w14:paraId="686EAD27" w14:textId="77777777" w:rsidR="000C324B" w:rsidRPr="001E2C69" w:rsidRDefault="000C324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Согласно распоряжению начальника ГАУ генерал-полковника Яковлева, 5 ноября 1942 года система М-4 была отправлена на артилле</w:t>
      </w:r>
      <w:r w:rsidRPr="001E2C69">
        <w:rPr>
          <w:rFonts w:ascii="Times New Roman" w:hAnsi="Times New Roman"/>
          <w:color w:val="000000" w:themeColor="text1"/>
          <w:sz w:val="16"/>
          <w:szCs w:val="16"/>
        </w:rPr>
        <w:softHyphen/>
        <w:t>рийский полигон ГАНИОП (станция Ильино Горьковской железной</w:t>
      </w:r>
    </w:p>
    <w:p w14:paraId="78F594D2" w14:textId="77777777" w:rsidR="000C324B" w:rsidRPr="001E2C69" w:rsidRDefault="000C324B" w:rsidP="00722885">
      <w:pPr>
        <w:spacing w:after="0" w:line="240" w:lineRule="auto"/>
        <w:jc w:val="both"/>
        <w:rPr>
          <w:rFonts w:ascii="Times New Roman" w:hAnsi="Times New Roman"/>
          <w:color w:val="000000" w:themeColor="text1"/>
          <w:sz w:val="16"/>
          <w:szCs w:val="16"/>
        </w:rPr>
      </w:pPr>
    </w:p>
    <w:p w14:paraId="005B2C7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августа 1942 года в Сталинграде объявили военное положение, к этому времени производство танков Т-34 практически было прекращено. В отчете СТЗ за 1942 год сказано следующее:</w:t>
      </w:r>
    </w:p>
    <w:p w14:paraId="44C55B3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«Сталинградский тракторный завод с августа 1942 года оказался в непосредственной зоне боевых действий, и свою производственную деятельность в связи с этим прекратил в основном с 23 августа 1942 года, если не считать непродолжительное время некоторых работ ремонтного порядка и сборку машин из оставшихся заделов непосредственно для Сталинградского фронта».</w:t>
      </w:r>
    </w:p>
    <w:p w14:paraId="62486D1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докладу о работе СТЗ в 1942 году, подписанному директором завода Задорожным, «с 23 августа по 1 сентября 1942 года было передано Красной Армии: танков 119, изготовлено арттягачей - 24, выпущено дизель-моторов - 55, отремонтировано танков - 14. В сентябре совместно с ПРБ было выпущено новых танков - 16, отремонтировано - 91 и 40 моторов».</w:t>
      </w:r>
    </w:p>
    <w:p w14:paraId="0F8D46F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Есть и другие документы о работе завода за сентябрь 1942 года. Например, отчет о работе корпуса № 5 о работе с 23 августа по 12 сентября, направленный на имя заместителя наркома танковой промышленности А. Горегляда:</w:t>
      </w:r>
    </w:p>
    <w:p w14:paraId="39E791F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момента подхода немецких войск к заводу, бомбежек и обстрелов, корпусом № 5 проделана [следующая работа] работа:</w:t>
      </w:r>
    </w:p>
    <w:p w14:paraId="03D7D20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выпуск новых танков - 68 штук, отремонтировано - 23. Кроме этого оказана помощь Красной Армии в ремонте путем посылки рабочих в ремонтные бригады, а также выдачей запчастей и различным оборудованием. Работа протекала во фронтовых условиях под бомбежкой и обстрелом. Хорошие образцы работы показали старшие мастера Сафонов М.И., Пастухов, Шамурин, Москвичев. Козлов. За промежуток указанного времени в корпус попало 6 фугасных бомб, около 154 зажигательных бомб и один снаряд. Сгорело газойль хранилище, разрушена в двух шестах крыша. Работа в цехе в настоящее время по ремонту танков производится с прибывающими на завод танковыми экипажами».</w:t>
      </w:r>
    </w:p>
    <w:p w14:paraId="09A2195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Как видно из приведенных документов, данные о выпуске тридцатьчетверок на СТЗ в августе - сентябре 1942 года довольно сильно разняться. Дело в том, что часть из принятых военпредом 250 Т-34, показанных в сведениях за август, доделы- аалась и окончательно передавалась заказчику позже, в первой половине сентября, а в некоторых документах завода эти уже принятые машины проходили как новые. Последние 14 танков Т-34, собранных на СТЗ в сентябре, фигурируют в докладе Задорожного.</w:t>
      </w:r>
    </w:p>
    <w:p w14:paraId="2AB2BF3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Окончательно работы на Сталинградском тракторном заводе были прекращены приказом наркомтан- копрома от 5 октября 1942 года:</w:t>
      </w:r>
    </w:p>
    <w:p w14:paraId="265DE1E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«Развертывание боевых действий в непосредственной близости к заводу, систематические и непрерывные бомбардировки, минометный и артиллерийский обстрел не позволяют производить на СТЗ каких бы то ни было работ. В связи с этим Наркомат танковой промышленности СССР считает нецелесообразным дальнейшее пребывание на территории завода оставшихся там высококвалифицированных рабочих завода и отзывает их для использования на других предприятиях НКТП» (12217).</w:t>
      </w:r>
    </w:p>
    <w:p w14:paraId="7AAFC3E9"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3FBCAEA"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2DA443DB" w14:textId="77777777" w:rsidR="00AE7191" w:rsidRPr="001E2C69" w:rsidRDefault="00AE7191" w:rsidP="00722885">
      <w:pPr>
        <w:pStyle w:val="Iauiue"/>
        <w:jc w:val="both"/>
        <w:rPr>
          <w:iCs/>
          <w:color w:val="000000" w:themeColor="text1"/>
          <w:sz w:val="16"/>
          <w:szCs w:val="16"/>
        </w:rPr>
      </w:pPr>
    </w:p>
    <w:p w14:paraId="11CC0207"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августа в 1942 году утреннее сообщение Совинформбюро:</w:t>
      </w:r>
    </w:p>
    <w:p w14:paraId="5A76755F"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25 августа наши войска вели бои с противником в районах юго-восточнее Клетская, северо-восточнее Котельниково, а также в районах Прохладный и южнее Краснодара.</w:t>
      </w:r>
    </w:p>
    <w:p w14:paraId="0D81AB83"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429D6694"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Юго-восточнее Клетской наши войска вели напряжённые бои с противником, переправившимся через Дон. Немецко-фашистским войскам при поддержке большого количества танков и самолётов удалось потеснить наши части и продвинуться вперёд. Наши бойцы отбивают атаки гитлеровцев и наносят им большой урон. На одном участке бойцы Н-ской части в течение дня отразили шесть атак противника. Уничтожено 13 танков и до 400 немецких солдат и офицеров. На другом участке огнём советской артиллерии рассеяна и частью уничтожена крупная колонна танков и пехоты противника.</w:t>
      </w:r>
    </w:p>
    <w:p w14:paraId="2B751921"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продолжались ожесточённые бои. Защищая оборонительный рубеж, бойцы Н-ской части истребили свыше 200 гитлеровцев. На другом участке наши танкисты сдерживали натиск численно превосходящих сил танков и мотопехоты неприятеля.</w:t>
      </w:r>
    </w:p>
    <w:p w14:paraId="4651C6E7"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B районе южнее Краснодара советские лётчики, взаимодействуя с наземными войсками, за один день уничтожили пять немецких танков, 70 автомашин с войскамии грузами и до роты пехоты противника.</w:t>
      </w:r>
    </w:p>
    <w:p w14:paraId="4A48636F"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Прохладного наши части окружили немецкий отряд горных войск. В боях с этим отрядом уничтожено 200 гитлеровцев. На другом участке наши бойцы приподдержке двух бронепоездов отбили атаку во много раз превосходящих сил противника. Подбито 23 и уничтожено 8 немецких танков.</w:t>
      </w:r>
    </w:p>
    <w:p w14:paraId="561B7928"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Северо-Западном фронте происходили бои местного значения. На ряде участков наши подразделения отразили атаки пехоты противника. Около населённого пункта В. советские бойцы ворвались в траншеи противника и вели рукопашные бои с гитлеровцами. Наши лётчики сбили в воздушных боях 3 немецких самолёта. Кроме того, огнём зенитной артиллерии сбито 5 немецких транспортных самолётов «Юнкерс-52».</w:t>
      </w:r>
    </w:p>
    <w:p w14:paraId="7703D995"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Партизаны из отряда под командованием тов. М., действующего в одном из районов Смоленской области, в течение недели пустили под откос 3 железнодорожных эшелона с живой силой и техникой противника.</w:t>
      </w:r>
    </w:p>
    <w:p w14:paraId="69BF121A"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 убитого партизанами немецкого офицера найден приказ немецкого командования об организации специального ведомства и о выделении специальных войск для борьбы с партизанами на территории Белоруссии.</w:t>
      </w:r>
    </w:p>
    <w:p w14:paraId="62265BB7"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Немецкий унтер-офицер Макс Клейн пишет брату Францу: «Как только прекращается стрельба, мы приступаем к обыскам в домах русских. Моё отделение проявляет в этом деле незаурядные способности. Каждый ищет то, что его интересует: один хватает мёд, другой тащит часы, третий прикарманивает деньги. После нашествия моих солдат в домах ничего не остаётся».</w:t>
      </w:r>
    </w:p>
    <w:p w14:paraId="74996760"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захватчики истребляют советских военнопленных. В орловском лагере пленным красноармейцам гитлеровцы в течение пяти дней не давали ни крошки хлеба. Голодных пленных, однако, погнали на строительство дорог. Когда группа бойцов заявила, что они не могут работать, в лагерь был вызван отряд эсэсовцев. Гитлеровские бандиты расстреляли больше 80 пленных красноармейцев.</w:t>
      </w:r>
    </w:p>
    <w:p w14:paraId="3C1FBD4B"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департаменте Кот д'Ор (Франция) за последнее время крестьяне захватили 18 складов и разобрали весь находившийся там реквизированный немцами хлеб. Во многих деревнях Франции крестьяне отказываются сдавать оккупантам и прячут сельскохозяйственные продукты.» (14993).</w:t>
      </w:r>
    </w:p>
    <w:p w14:paraId="28ADC3FC" w14:textId="77777777" w:rsidR="00885B41" w:rsidRPr="001E2C69" w:rsidRDefault="00885B41" w:rsidP="00722885">
      <w:pPr>
        <w:spacing w:after="0" w:line="240" w:lineRule="auto"/>
        <w:jc w:val="both"/>
        <w:rPr>
          <w:rFonts w:ascii="Times New Roman" w:hAnsi="Times New Roman"/>
          <w:color w:val="000000" w:themeColor="text1"/>
          <w:sz w:val="16"/>
          <w:szCs w:val="16"/>
        </w:rPr>
      </w:pPr>
    </w:p>
    <w:p w14:paraId="2D4456F1"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августа в 1942 году вечернее сообщение Совинформбюро:</w:t>
      </w:r>
    </w:p>
    <w:p w14:paraId="31C81E77"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25 августа наши войска вели бои с противником в районах Клетская, северо-западнее Сталинграда, северо-восточнее Котельниково, а также в районах Прохладный и южнее Краснодара.</w:t>
      </w:r>
    </w:p>
    <w:p w14:paraId="65457692"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существенных изменений не произошло.</w:t>
      </w:r>
    </w:p>
    <w:p w14:paraId="34E2B9D9"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 корабли в Чёрном море потопили немецкий транспорт водоизмещением в 5.000 тонн.</w:t>
      </w:r>
    </w:p>
    <w:p w14:paraId="79008881"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24 августа частями нашей авиации на различных участках фронта уничтожено или повреждено 10 немецких танков, 50 автомашин с войсками и грузами, 30 подвод с боеприпасами, 5 автоцистерн с горючим, подавлен огонь 10 батарей полевой и зенитной артиллерии, взорвано 4 склада боеприпасов, рассеяно и частью уничтожено до батальона пехоты противника.</w:t>
      </w:r>
    </w:p>
    <w:p w14:paraId="2481B26E"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наши части вели активные бои.</w:t>
      </w:r>
    </w:p>
    <w:p w14:paraId="1EA6D94A"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Северо-западнее Сталинграда наши войска вели напряжённые бои с крупными силами танков и пехоты противника, переправившимися на левый берег Дона. Обстановка на этом участке осложнилась. Наши бойцы самоотверженно отбивают атаки немцев и наносят противнику огромный урон.</w:t>
      </w:r>
    </w:p>
    <w:p w14:paraId="01EAAF9F"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Н-ская часть, сдерживая наступление неприятеля, уничтожила 17 немецких танков и 450 гитлеровцев. Наши танкисты днём и ночью непрерывно контратакуют немцев. Одно подразделение в течение суток семь раз ходило в контратаку против численно превосходящих сил противника и уничтожило 22 немецких танка, 3 самоходныхорудия, 9 противотанковых орудий, 34 автомашины и не менее 600 немецких солдат и офицеров.</w:t>
      </w:r>
    </w:p>
    <w:p w14:paraId="23602208"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Нашей авиацией на подступах к Сталинграду и огнём зенитной артиллерии в течение двух дней уничтожено 92 немецких самолёта.</w:t>
      </w:r>
    </w:p>
    <w:p w14:paraId="3A065A63"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наши войска вели бои против танков и мотопехоты противника. Немцы предприняли ряд атак на участке Н-ской части. Наши бойцы отбили атаки противника. Огнём из орудий и противотанковых ружей, гранатами и бутылками с горючей смесью подбито и сожжено 14 немецких танков и уничтожено до 300 гитлеровцев.</w:t>
      </w:r>
    </w:p>
    <w:p w14:paraId="20C64B67"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Краснодара продолжаются упорные бои, нередко переходящие в рукопашные схватки. Сосредоточив на одном участке ударную группу, противник стремится прорваться вперёд. Наши войска непрерывными контратаками сдерживают наступающего противника. Только в боях около одной железнодорожной станции немцы потеряли 8 танков и до 900 солдат и офицеров.</w:t>
      </w:r>
    </w:p>
    <w:p w14:paraId="7247742C"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Прохладного советские войска отбили несколько атак гитлеровцев. Уничтожен десант автоматчиков, выброшенный немецкими самолётами в тылу наших войск.</w:t>
      </w:r>
    </w:p>
    <w:p w14:paraId="3A40C04F"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Северо-Западном фронте происходили бои местного значения. Наши подразделения заняли один населённый пункт.</w:t>
      </w:r>
    </w:p>
    <w:p w14:paraId="611E6825"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После артиллерийской подготовки противник силою до двух батальонов пехоты перешёл в контратаку, пытаясь вернуть потерянные позиции. Контратака гитлеровцев была отбита. На другом участке одна наша часть вела активные боевые действия, потеснила противника и улучшила свои позиции.</w:t>
      </w:r>
    </w:p>
    <w:p w14:paraId="668E3E4A"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Несколько объединённых партизанских отрядов Ленинградской области продолжали вести бои с крупной карательной экспедицией немцев. За последние дни партизаны убили и ранили до 1.000 немецко-фашистских оккупантов и вывели из строя 9 неприятельских танков.</w:t>
      </w:r>
    </w:p>
    <w:p w14:paraId="79F87778"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ефрейтор 1 роты 541 полка 387 немецкой пехотной дивизии Иоганн Швейцер рассказал: «За один месяц боёв 1-я рота потеряла убитыми и ранеными 140 человек. Немецкая армия несёт огромные потери, но германское командование ничего не сообщает об этом. Многие солдаты говорят: еще в октябре и ноябре прошлого года командование хвастало, что русские окончательно разбиты. С тех пор прошло около года. Однако и сейчас русские воюют, и у них много войск. Выходит, таким образом, что германское командование публикует лживые сводки и обманывает солдат. Теперь нас хотят обмануть так же, как и в прошлом году».</w:t>
      </w:r>
    </w:p>
    <w:p w14:paraId="4C0C2796"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Из достоверных источников получены сведения о неслыханном и чудовищном злодеянии гитлеровских палачей. По приказу германского командования в последние месяцы немцы истребляют советских военнопленных, находящихся в лагерях около Варшавы, Кракова, Ковно, Брест-Литовска и к северу от Волковыска. А как известно, в число военнопленных немцы зачисляют и советское гражданское население, уведённое ими из оккупированных городов и сёл. В течение многих недель немецкие бандиты морили пленных голодом. Истощённые и обессиленные люди валялись в грязи. Больных палачи немедленно добивали. Истребление пленных производится специальными командами эсэсовцев. В течение последних месяцев немецко-фашистские бандиты умертвили тысячи мирных советских жителей, захваченных немцами, и пленных красноармейцев.»</w:t>
      </w:r>
    </w:p>
    <w:p w14:paraId="09577C0A"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последний час</w:t>
      </w:r>
    </w:p>
    <w:p w14:paraId="7C3E373D"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 войска на западном и калининском фронтах перешли в наступление и прорвали оборону противника. Немецкие войска отброшены на 40—50 километров.</w:t>
      </w:r>
    </w:p>
    <w:p w14:paraId="79DA146B"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Трофеи наших войск.</w:t>
      </w:r>
    </w:p>
    <w:p w14:paraId="3E4E576A"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«Дней 15 тому назад войска Западного и Калининского фронтов на Ржевском и Гжатско-Вяземском направлениях частью сил перешли в наступление.</w:t>
      </w:r>
    </w:p>
    <w:p w14:paraId="5E7C51CD"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Ударом наших войск в первые же дни наступления оборона противника была прорвана на фронте протяжением 115 километров. Развивая наступление и нанося противнику непрерывные удары, наши войска разбили 161, 342, 292, 129, 6, 256 германские пехотные дивизии, 14 и 36 мотодивизии и 2-ю танковую дивизию, нанесли значительное поражение 1 и 5 танковым дивизиям, 328, 183 и 78 пехотным дивизиям. Фронт немецких войск на указанных направлениях отброшен на 40—50 километров.</w:t>
      </w:r>
    </w:p>
    <w:p w14:paraId="625B0C92"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20 августа нашими войсками освобождено 610 населённых пунктов, в их числе города Зубцов, Карманово, Погорелое-Городище.</w:t>
      </w:r>
    </w:p>
    <w:p w14:paraId="59FE3AD8"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указанных операциях, по неполным данным, нашими войсками захвачены следующие трофеи: танков - 250, орудий — 757, миномётов — 567, пулемётов —1.615, противотанковых ружей и автоматов — 929, винтовок — 11.100, мин— 17.090, ружейных патронов — 2.311.750, снарядов — 32.473, раций — 65, автомашин — 2.020, мотоциклов—952, велосипедов — 1.969, тракторов — 52, кухонь — 37, повозок —340, складов с боеприпасами, вещевым и другим имуществом — 75.</w:t>
      </w:r>
    </w:p>
    <w:p w14:paraId="09244956"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Кроме того, уничтожено наземными войсками и авиацией: танков — 324, орудий —343, миномётов — 140, пулемётов — 348, автомашин — 2.040, повозок — 690.</w:t>
      </w:r>
    </w:p>
    <w:p w14:paraId="501E2C0D"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воздушных боях и зенитной артиллерией сбито 252 самолёта, уничтожено и повреждено на аэродромах 290 самолётов.</w:t>
      </w:r>
    </w:p>
    <w:p w14:paraId="308CD753"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Количество убитых немецких солдат и офицеров достигает 45.000 человек.</w:t>
      </w:r>
    </w:p>
    <w:p w14:paraId="262D5482"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Перемалывая живую силу фашистско-немецких дивизий, уничтожая и захватывая значительную часть их боевой техники, наши войска продолжают вести ожесточённые бои. Бои идут на окраинах города Ржев.</w:t>
      </w:r>
    </w:p>
    <w:p w14:paraId="340FD266"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боях отличились войска генералов Лелюшенко, Федюнинского, Хозина, Поленова, Рейтера, Швецова. Прорыв немецкого фронта был организован генералом армии Жуковым и генерал-полковником Коневым.» (14993).</w:t>
      </w:r>
    </w:p>
    <w:p w14:paraId="5E075E5B" w14:textId="77777777" w:rsidR="00885B41" w:rsidRPr="001E2C69" w:rsidRDefault="00885B41" w:rsidP="00722885">
      <w:pPr>
        <w:spacing w:after="0" w:line="240" w:lineRule="auto"/>
        <w:jc w:val="both"/>
        <w:rPr>
          <w:rFonts w:ascii="Times New Roman" w:hAnsi="Times New Roman"/>
          <w:color w:val="000000" w:themeColor="text1"/>
          <w:sz w:val="16"/>
          <w:szCs w:val="16"/>
        </w:rPr>
      </w:pPr>
    </w:p>
    <w:p w14:paraId="5BBBB7F3"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августа в 1942 году Северо-Кавказский фронт. Немецкие части 1-й танковой армии группы армии "А" ворвались в город Моздок, завязав уличные бои за город с советскими войсками, и продолжают наступление на город Орджоникидзе, Чечено-Ингушская АССР. До Грозного было уже рукой подать. В 22.00. недалеко от села Бережки Галашкинского района с немецкого самолета десантировалась чеченская диверсионная группа в составе 9 человек во главе с Г.Османом (Саиднуровым). Группа была экипирована в форму солдат Красной Армии и имела задание взрывать мосты, дезорганизовывать снабжение и формировать банды. Диверсантам быстро удалось завербовать в свои ряды 13 жителей сёл Лайгу, Алки, Новый Алкун. Ночью того же дня немецкая разведывательно-диверсионная группа в количестве 30 парашютистов была заброшена с двух самолетов на территорию Атагинского района близ с. Чешки. Возглавлявший ее обер-лейтенант Ланге намеревался поднять массовое вооруженное восстание в горных районах Чечни и взять под контроль нефтяные месторождениях и нефтеочистительные заводы. Однако начало операции для группы Ланге сложилось неудачно. Еще в воздухе она была обнаружена и обстреляна. Когда приземлилась, то запропастился парашют с рацией. Однако Ланге удалось наладить связи с местными бандитами, с которыми предпринял ряд нападений на советские части. И все же идея с широкомасштабным восстанием провалилась. А когда Ланге узнал, что провалилось и немецкое наступление на Северный Кавказ, то бросил своих чеченских друзей и, переодевшись в штатское, отправился к своим через линию фронта. Другой диверсионной группе под командованием немецкого унтер-офицера Реккерта, удалось установить связь с бандой Р.Сахабова. При поддержке местных религиозных деятелей они сколотили приличный отряд из четырех сотен человек, который снабдили немецким оружием, сброшенным с самолетов. После чего предприняли вооруженное выступление в Веденском и Чеберлоевском районах. Однако частями НКВД их выступление было подавлено, Реккерт убит, а примкнувший к нему командир другой диверсионной группы Дзугаев арестован. Всего немцами в июле-августе 1942 года на территорию ЧИАССР было заброшено 5 групп парашютистов общей численностью 57 человек. Операция «Шамиль» фактически закончилась полным крахом. Чеченские месторождения и нефтеперерабатывающие заводы так и остались недоступными для гитлеровцев. И это во многом обусловило срыв их наступления на Кавказе. Когда 9 августа наступавшие танковые соединения немцев подошли к Пятигорску, им пришлось несколько недель ожидать горючее, что позволило советскому командованию подтянуть резервы и организовать оборону. Горючее по мере удаления фронта вглубь СССР гитлеровцам становилось доставлять все труднее. Автотранспорт сам расходовал значительную часть подвозимого горючего, поэтому для экономии ГСМ их подчас возили даже на верблюдах. В целях поддержания боевого духа войск немецкие горные егеря предприняли показушную акцию - водрузили фашистские знамена на обоих пиках Эльбруса. Когда Гитлеру доложили об этом, то вместо радости получили от него совсем иную реакцию. Фюрер бегал по кабинету и орал: «Идиоты, мне не нужна эта ваша дурацкая гора, мне нужна нефть, нефть!» (14993).</w:t>
      </w:r>
    </w:p>
    <w:p w14:paraId="4B8CDEE3" w14:textId="77777777" w:rsidR="00885B41" w:rsidRPr="001E2C69" w:rsidRDefault="00885B41" w:rsidP="00722885">
      <w:pPr>
        <w:spacing w:after="0" w:line="240" w:lineRule="auto"/>
        <w:jc w:val="both"/>
        <w:rPr>
          <w:rFonts w:ascii="Times New Roman" w:hAnsi="Times New Roman"/>
          <w:color w:val="000000" w:themeColor="text1"/>
          <w:sz w:val="16"/>
          <w:szCs w:val="16"/>
        </w:rPr>
      </w:pPr>
    </w:p>
    <w:p w14:paraId="764F7CBC"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августа в 1942 году в Сталинграде введено осадное положение (14993).</w:t>
      </w:r>
    </w:p>
    <w:p w14:paraId="62712311" w14:textId="77777777" w:rsidR="00885B41" w:rsidRPr="001E2C69" w:rsidRDefault="00885B41" w:rsidP="00722885">
      <w:pPr>
        <w:spacing w:after="0" w:line="240" w:lineRule="auto"/>
        <w:jc w:val="both"/>
        <w:rPr>
          <w:rFonts w:ascii="Times New Roman" w:hAnsi="Times New Roman"/>
          <w:color w:val="000000" w:themeColor="text1"/>
          <w:sz w:val="16"/>
          <w:szCs w:val="16"/>
        </w:rPr>
      </w:pPr>
    </w:p>
    <w:p w14:paraId="295B3D3C"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августа в 1942 году вооруженный всего лишь несколькими небольшими пушками, ледокольный пароход “Александр Сибиряков” был настигнут в Карском море фашистским тяжелым крейсером “Адмирал Шеер”. Не сомневаясь в легкой победе, гитлеровцы подняли сигнал: “Спустите флаг, сдавайтесь!” Ответ последовал немедленно: на фор-стеньге взвился Государственный флаг, и сразу же ударили два 76-мм и два 45-мм орудия парохода. Это было так неожиданно для фашистов, что в первый миг они растерялись. Несколько минут немецкий рейдер молчал, а потом разом загрохотали орудия его главного калибра. Командир “Сибирякова” старший лейтенант Анатолий Алексеевич Качарава искусно маневрировал, вел ответный огонь, уклоняясь от прямых попаданий. Но слишком уж неравными были силы. Снаряд за снарядом с оглушительным грохотом разрывались в надстройках, они навылет пробивали борт, рвались на палубе. До последних минут “Сибиряков” вел ответный огонь. В неравном бою корабль погиб, но флага перед врагом не спустил (14993).</w:t>
      </w:r>
    </w:p>
    <w:p w14:paraId="2C48FC84" w14:textId="77777777" w:rsidR="00885B41" w:rsidRPr="001E2C69" w:rsidRDefault="00885B41" w:rsidP="00722885">
      <w:pPr>
        <w:spacing w:after="0" w:line="240" w:lineRule="auto"/>
        <w:jc w:val="both"/>
        <w:rPr>
          <w:rFonts w:ascii="Times New Roman" w:hAnsi="Times New Roman"/>
          <w:color w:val="000000" w:themeColor="text1"/>
          <w:sz w:val="16"/>
          <w:szCs w:val="16"/>
        </w:rPr>
      </w:pPr>
    </w:p>
    <w:p w14:paraId="070C2601"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25 августа в 1942 году советская зенитная артиллерия сбила </w:t>
      </w:r>
      <w:hyperlink r:id="rId213" w:tgtFrame="_blank" w:history="1">
        <w:r w:rsidRPr="001E2C69">
          <w:rPr>
            <w:rFonts w:ascii="Times New Roman" w:hAnsi="Times New Roman"/>
            <w:color w:val="000000" w:themeColor="text1"/>
            <w:sz w:val="16"/>
            <w:szCs w:val="16"/>
          </w:rPr>
          <w:t xml:space="preserve">«FW.189» </w:t>
        </w:r>
      </w:hyperlink>
      <w:r w:rsidRPr="001E2C69">
        <w:rPr>
          <w:rFonts w:ascii="Times New Roman" w:hAnsi="Times New Roman"/>
          <w:color w:val="000000" w:themeColor="text1"/>
          <w:sz w:val="16"/>
          <w:szCs w:val="16"/>
        </w:rPr>
        <w:t>из отряда 2(Н)/1S. Пилот этой "рамы", фельдфебель Ф.Элькерст (F.EIkerst) был одним из первых, кого удалось допросить в плену. Несмотря на молодость (22 года) он имел большой опыт, начав воевать еще во Франции. Пленный рассказал, что с посадочной площадки Ольшанцы около Орла их отряд вел разведку с попутным бомбардированием в треугольнике Киров-Жиздра-Сухиничи. За сутки выполнялось 5-6 полетов, практически всегда без прикрытия истребителями. За три месяца боев потерь в самолетах не было. Одного из пилотов тяжело ранило, но он сумел долететь к своим. Элькерст считал основной причиной столь успешных действий хорошее взаимодействие с постами ВНОС, что позволяло избегать встреч с советскими истребителями (14993).</w:t>
      </w:r>
    </w:p>
    <w:p w14:paraId="781AA3DD" w14:textId="77777777" w:rsidR="00885B41" w:rsidRPr="001E2C69" w:rsidRDefault="00885B41" w:rsidP="00722885">
      <w:pPr>
        <w:spacing w:after="0" w:line="240" w:lineRule="auto"/>
        <w:jc w:val="both"/>
        <w:rPr>
          <w:rFonts w:ascii="Times New Roman" w:hAnsi="Times New Roman"/>
          <w:color w:val="000000" w:themeColor="text1"/>
          <w:sz w:val="16"/>
          <w:szCs w:val="16"/>
        </w:rPr>
      </w:pPr>
    </w:p>
    <w:p w14:paraId="310D5BA2"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августа в 1942 году советские войска оставили город Моздок (14993).</w:t>
      </w:r>
    </w:p>
    <w:p w14:paraId="6881238D" w14:textId="77777777" w:rsidR="00885B41" w:rsidRPr="001E2C69" w:rsidRDefault="00885B41" w:rsidP="00722885">
      <w:pPr>
        <w:spacing w:after="0" w:line="240" w:lineRule="auto"/>
        <w:jc w:val="both"/>
        <w:rPr>
          <w:rFonts w:ascii="Times New Roman" w:hAnsi="Times New Roman"/>
          <w:color w:val="000000" w:themeColor="text1"/>
          <w:sz w:val="16"/>
          <w:szCs w:val="16"/>
        </w:rPr>
      </w:pPr>
    </w:p>
    <w:p w14:paraId="3D3DBFED"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августа в 1942 году войска 47-й армии и части морской пехоты приостановили наступление немецко-фашистских войск на Новороссийск и Анапу (14993).</w:t>
      </w:r>
    </w:p>
    <w:p w14:paraId="04F8A990" w14:textId="77777777" w:rsidR="00885B41" w:rsidRPr="001E2C69" w:rsidRDefault="00885B41" w:rsidP="00722885">
      <w:pPr>
        <w:spacing w:after="0" w:line="240" w:lineRule="auto"/>
        <w:jc w:val="both"/>
        <w:rPr>
          <w:rFonts w:ascii="Times New Roman" w:hAnsi="Times New Roman"/>
          <w:color w:val="000000" w:themeColor="text1"/>
          <w:sz w:val="16"/>
          <w:szCs w:val="16"/>
        </w:rPr>
      </w:pPr>
    </w:p>
    <w:p w14:paraId="528DB135"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августа в 1942 году немецкие войска заняли Калач (14993).</w:t>
      </w:r>
    </w:p>
    <w:p w14:paraId="20D42B6D" w14:textId="77777777" w:rsidR="00885B41" w:rsidRPr="001E2C69" w:rsidRDefault="00885B41" w:rsidP="00722885">
      <w:pPr>
        <w:spacing w:after="0" w:line="240" w:lineRule="auto"/>
        <w:jc w:val="both"/>
        <w:rPr>
          <w:rFonts w:ascii="Times New Roman" w:hAnsi="Times New Roman"/>
          <w:color w:val="000000" w:themeColor="text1"/>
          <w:sz w:val="16"/>
          <w:szCs w:val="16"/>
        </w:rPr>
      </w:pPr>
    </w:p>
    <w:p w14:paraId="0692C107"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августа в 1942 году войска советской 47-й армии и части морской пехоты приостановили немецкое наступление на Новороссийск и Анапу (14993).</w:t>
      </w:r>
    </w:p>
    <w:p w14:paraId="4703E782" w14:textId="77777777" w:rsidR="00885B41" w:rsidRPr="001E2C69" w:rsidRDefault="00885B41" w:rsidP="00722885">
      <w:pPr>
        <w:spacing w:after="0" w:line="240" w:lineRule="auto"/>
        <w:jc w:val="both"/>
        <w:rPr>
          <w:rFonts w:ascii="Times New Roman" w:hAnsi="Times New Roman"/>
          <w:color w:val="000000" w:themeColor="text1"/>
          <w:sz w:val="16"/>
          <w:szCs w:val="16"/>
        </w:rPr>
      </w:pPr>
    </w:p>
    <w:p w14:paraId="7BD54861"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августа в 1942 году немецкие альпинисты водрузили германский флан на Эльбрусе (14993).</w:t>
      </w:r>
    </w:p>
    <w:p w14:paraId="4046AF7E" w14:textId="77777777" w:rsidR="00885B41" w:rsidRPr="001E2C69" w:rsidRDefault="00885B41" w:rsidP="00722885">
      <w:pPr>
        <w:spacing w:after="0" w:line="240" w:lineRule="auto"/>
        <w:jc w:val="both"/>
        <w:rPr>
          <w:rFonts w:ascii="Times New Roman" w:hAnsi="Times New Roman"/>
          <w:color w:val="000000" w:themeColor="text1"/>
          <w:sz w:val="16"/>
          <w:szCs w:val="16"/>
        </w:rPr>
      </w:pPr>
    </w:p>
    <w:p w14:paraId="72C7512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lang w:val="en-US"/>
        </w:rPr>
        <w:t xml:space="preserve">August 25 1942 Zhukov, Russia's only undefeated general, is now put in charge of the defenses of Stalingrad. </w:t>
      </w:r>
      <w:r w:rsidRPr="001E2C69">
        <w:rPr>
          <w:color w:val="000000" w:themeColor="text1"/>
          <w:sz w:val="16"/>
          <w:szCs w:val="16"/>
        </w:rPr>
        <w:t>(1052).</w:t>
      </w:r>
    </w:p>
    <w:p w14:paraId="63816A4F" w14:textId="77777777" w:rsidR="00AE7191" w:rsidRPr="001E2C69" w:rsidRDefault="00AE7191" w:rsidP="00722885">
      <w:pPr>
        <w:pStyle w:val="Iauiue"/>
        <w:jc w:val="both"/>
        <w:rPr>
          <w:color w:val="000000" w:themeColor="text1"/>
          <w:sz w:val="16"/>
          <w:szCs w:val="16"/>
        </w:rPr>
      </w:pPr>
    </w:p>
    <w:p w14:paraId="76D83F6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 августа Г.К.Ж. был назначен ответственным за оборону Сталинграда (1052).</w:t>
      </w:r>
    </w:p>
    <w:p w14:paraId="6106138F" w14:textId="77777777" w:rsidR="00AE7191" w:rsidRPr="001E2C69" w:rsidRDefault="00AE7191" w:rsidP="00722885">
      <w:pPr>
        <w:pStyle w:val="Iauiue"/>
        <w:jc w:val="both"/>
        <w:rPr>
          <w:color w:val="000000" w:themeColor="text1"/>
          <w:sz w:val="16"/>
          <w:szCs w:val="16"/>
        </w:rPr>
      </w:pPr>
    </w:p>
    <w:p w14:paraId="4129429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 августа Г.К.Ж. был назначен ответственным за оборону Сталинграда (1052).</w:t>
      </w:r>
    </w:p>
    <w:p w14:paraId="66EBAAE9" w14:textId="77777777" w:rsidR="00AE7191" w:rsidRPr="001E2C69" w:rsidRDefault="00AE7191" w:rsidP="00722885">
      <w:pPr>
        <w:pStyle w:val="Iauiue"/>
        <w:jc w:val="both"/>
        <w:rPr>
          <w:color w:val="000000" w:themeColor="text1"/>
          <w:sz w:val="16"/>
          <w:szCs w:val="16"/>
        </w:rPr>
      </w:pPr>
    </w:p>
    <w:p w14:paraId="7A089E9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 августа 1942 Сталинград объявлен на осадном положении (1348,224).</w:t>
      </w:r>
    </w:p>
    <w:p w14:paraId="37B9AB14" w14:textId="77777777" w:rsidR="00AE7191" w:rsidRPr="001E2C69" w:rsidRDefault="00AE7191" w:rsidP="00722885">
      <w:pPr>
        <w:pStyle w:val="Iauiue"/>
        <w:jc w:val="both"/>
        <w:rPr>
          <w:color w:val="000000" w:themeColor="text1"/>
          <w:sz w:val="16"/>
          <w:szCs w:val="16"/>
        </w:rPr>
      </w:pPr>
    </w:p>
    <w:p w14:paraId="68E4E10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августа 1942 ожесточенным атакам авиации подверглись и суда, работавшие на переправах. При выходе из Красной слободы на пожарный пароход «Гаситель» спикировали несколько Ju-87. Сброшенные ими бомбы легли у берега, в опасной близости от борта. Огромный водяной столб, осколки обрушились на пароход. В машинном отделении был убит старший механик Я. Д. Ерохин. Погиб член экипажа Соколов, еще четверо матросов получили смертельные ранения, но «Гаситель» остался в строю. Тем временем в самом Сталинграде ситуация явно выходила из-под контроля. После бомбежек перестал ходить трамвай, вышли из строя канализация и водопровод, не было ни телефонной связи, ни света. По ночам улицы освещали лишь многочисленные отблески пожаров. Дым, запах разлагающихся трупов и вытекших прямо на тротуары фекалий, сплошные завалы создавали новую реальность, в которой теперь приходилось выживать сталинградцам. Десяткам тысяч уцелевших жителей нужно было есть и пить, поэтому у колодцев выстраивались километровые очереди, периодически перераставшие в давки и мордобой. Мародерство и грабежи достигли неимоверных масштабов. Так, 24 августа милицейский патруль задержал в подвале бывшего овощехранилища банду из трех человек, одетых в военную форму. Оказалось, что двое арестованных являлись беглыми уголовниками, благо городская тюрьма тоже пострадала от бомбежки, третий же оказался дезертиром. В предшествующие дни эта троица, пользуясь хаосом, средь бела дня внаглую грабила прохожих. НКВД пыталось наводить порядок, но сделать это в огромном полуразрушенном городе было невозможно. 25 августа по решению комитета обороны в городе было опубликовано сообщение коменданта Сталинграда майора Демченко о том, что в этот день за мародерство и воровство государственной и личной собственности граждан военными властями были расстреляны на месте преступления шесть человек. Трудно сказать, произвело ли это «объявление» какое-либо впечатление, но беспорядки продолжались. А между тем в связи с выходом немцев к Волге и большими разрушениями в речном порту работа переправ значительно осложнилась. Фарватер во многих местах заблокировали затонувшие суда и плавучие краны, было разрушено здание управления пароходства и узел связи. Руководству НВРП пришлось в срочном порядке организовать дополнительные переправы в районе Киевского ввоза и у городской водокачки, а также в районе заводов в северной части города. Для перевозки раненых и беженцев удалось выделить пять больших пароходов. Опасаясь ударов авиации, суда в основном работали ночью, все трюмы, каюты и палубы битком забивались людьми. Так, пассажирский пароход «Парижская коммуна» перевозил за рейс по полторы тысячи человек. Зачастую при погрузке возникала дикая давка, люди ломали ограждения причалов, периодически возникали драки и потасовки. 26 августа для наведения порядка в распоряжение коменданта порта А. Бейника поступили 86 командиров и политработников, а с ними две роты автоматчиков из НКВД. С этого дня неистовые крики в рупоры, угрозы и автоматные очереди стали обычным делом на переправах. Впрочем, многие жители были до такой степени напуганы и деморализованы непрерывными бомбежками, что, несмотря на запоздалые призывы эвакуироваться на восточный берег, оставались в подвалах и убежищах, боясь появляться на переправах (11774).</w:t>
      </w:r>
    </w:p>
    <w:p w14:paraId="2F999D50"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334E2C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августа 1942 Астраханский городской комитет обороны принял постановление «О подготовке населения к вооруженной защите Астрахани», согласно которому предполагалось в течение пяти дней закончить комплектование боевых народных полков из трудящихся Астрахани и сразу же начать их военное обучение, расширить состав истребительных батальонов, создав их во всех крупных селах, наиболее важных населенных пунктах и предприятиях. В целях обеспечения воинских перевозок ГКО обязал начальника порта составить строгий график подачи судов в соответствии с подходом эшелонов. Начальнику гарнизона генерал-майору Котелкову предлагалось выделить военно-морскому коменданту наряд для несения караульной службы и охраны военных грузов, проходящих через порт. Коменданту военно-морской базы контр-адмиралу Заостровцеву поручалось обеспечить усиленную охрану рейда и конвоирование караванов из Астрахани до места назначения, начальнику ПВО города – обеспечить прикрытие районов погрузки зенитными орудиями. На каждом пункте, где действовали паромы, понтоны, катера, лодки, были учреждены военные комендатуры во главе с опытными офицерами – дорожниками, саперами и моряками.</w:t>
      </w:r>
    </w:p>
    <w:p w14:paraId="0EEBADA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Выход немцев к Волге создал еще одну проблему – в районе астраханского порта и на морском рейде скопилось множество нефтеналивных судов. Перегрузка на нефтебазы и железнодорожный транспорт шла медленно, и танкеры вынуждены были подолгу простаивать на якоре. Все нервничали, ведь в небе то и дело появлялись немецкие самолеты. С запада, со стороны Калмыцкой степи, также надвигалась угроза. Тогда 24 августа поступил приказ правительства эвакуировать большую часть нефтеналивного флота в Гурьев, в устье реки Урал. Для речных судов это была сложнейшая задача. В северной части Каспия район малых глубин простирается далеко в море, и плавание судов совершается на значительном удалении от берега, что ограничивало возможности визуальной ориентировки. Тем не менее риск погибнуть от бомбежки был куда выше. Поэтому уже вечером 24 августа в Гурьев был отправлен теплоход «ВЛКСМ» с баржами на буксире (11774).</w:t>
      </w:r>
    </w:p>
    <w:p w14:paraId="02729C18"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1DAFAD2"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25 августа 1942 фашисты захватили Моздок (4962).</w:t>
      </w:r>
    </w:p>
    <w:p w14:paraId="48D50350" w14:textId="77777777" w:rsidR="00AE7191" w:rsidRPr="001E2C69" w:rsidRDefault="00AE7191" w:rsidP="00722885">
      <w:pPr>
        <w:pStyle w:val="Iauiue"/>
        <w:tabs>
          <w:tab w:val="left" w:pos="11199"/>
        </w:tabs>
        <w:jc w:val="both"/>
        <w:rPr>
          <w:color w:val="000000" w:themeColor="text1"/>
          <w:sz w:val="16"/>
          <w:szCs w:val="16"/>
        </w:rPr>
      </w:pPr>
    </w:p>
    <w:p w14:paraId="2EECE74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 августа 1942 на И-153 Ме-109 был сбит ГСС Я.И.Антонов - тот самый с фото в книжке Красный феникс (2784,34).</w:t>
      </w:r>
    </w:p>
    <w:p w14:paraId="517265F7" w14:textId="77777777" w:rsidR="00AE7191" w:rsidRPr="001E2C69" w:rsidRDefault="00AE7191" w:rsidP="00722885">
      <w:pPr>
        <w:pStyle w:val="Iauiue"/>
        <w:jc w:val="both"/>
        <w:rPr>
          <w:color w:val="000000" w:themeColor="text1"/>
          <w:sz w:val="16"/>
          <w:szCs w:val="16"/>
        </w:rPr>
      </w:pPr>
    </w:p>
    <w:p w14:paraId="2CBE8B4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 августа 1942 был бой парохода А.Сибиряков с тяжелым крейсером Адмирал Шпеер в Карском море (3398,307).</w:t>
      </w:r>
    </w:p>
    <w:p w14:paraId="24F1CE67" w14:textId="77777777" w:rsidR="00AE7191" w:rsidRPr="001E2C69" w:rsidRDefault="00AE7191" w:rsidP="00722885">
      <w:pPr>
        <w:pStyle w:val="Iauiue"/>
        <w:jc w:val="both"/>
        <w:rPr>
          <w:color w:val="000000" w:themeColor="text1"/>
          <w:sz w:val="16"/>
          <w:szCs w:val="16"/>
        </w:rPr>
      </w:pPr>
    </w:p>
    <w:p w14:paraId="6B88145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 августа 1942 Як-1 и Ил-2 штурмовали аэродромы Курск-Восточный и Старый Оскол. Уничтожили 40 (3417,25).</w:t>
      </w:r>
    </w:p>
    <w:p w14:paraId="5E804B87" w14:textId="77777777" w:rsidR="00AE7191" w:rsidRPr="001E2C69" w:rsidRDefault="00AE7191" w:rsidP="00722885">
      <w:pPr>
        <w:pStyle w:val="Iauiue"/>
        <w:jc w:val="both"/>
        <w:rPr>
          <w:color w:val="000000" w:themeColor="text1"/>
          <w:sz w:val="16"/>
          <w:szCs w:val="16"/>
        </w:rPr>
      </w:pPr>
    </w:p>
    <w:p w14:paraId="7ADE6DA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 августа 1942 директивой N 353 были отменены дифференцированные нормы питания военнопленных и все стали получать по основной норме от 30 июля 1941 - калорийность - 1750 кал. (3428).</w:t>
      </w:r>
    </w:p>
    <w:p w14:paraId="4221AA49" w14:textId="77777777" w:rsidR="00AE7191" w:rsidRPr="001E2C69" w:rsidRDefault="00AE7191" w:rsidP="00722885">
      <w:pPr>
        <w:pStyle w:val="Iauiue"/>
        <w:jc w:val="both"/>
        <w:rPr>
          <w:color w:val="000000" w:themeColor="text1"/>
          <w:sz w:val="16"/>
          <w:szCs w:val="16"/>
        </w:rPr>
      </w:pPr>
    </w:p>
    <w:p w14:paraId="208E8DD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25 августа 1942 был подвиг л/п «Александр Сибиряков». </w:t>
      </w:r>
    </w:p>
    <w:p w14:paraId="17E4F48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Юго-западнее арх. Норденшельда л/п «А. Сибиряков», шедший с Диксона на Северную Землю с грузом и персоналом для новой полярной станции, обнаружил тяжелый крейсер. Это был «Адмирал Шеер», который вел поиск советских конвоев в Карском море. Пытаясь обмануть советских моряков, крейсер поднял американский флаг. Командир парохода старший лейтенант А. А. Качарава в 13 ч 17 мин передал по радио на Диксон донесение о встрече с иностранным кораблем. </w:t>
      </w:r>
    </w:p>
    <w:p w14:paraId="4584F2E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ответ на запросы с крейсера о ледовой обстановке в прол. Вилькицкого и о местонахождении каравана судов на «А. Сибирякове» была объявлена боевая тревога. Силы были слишком неравны, поэтому Качарава пытался увести судно на мелководье к о. Белуха. Крейсер поднял фашистский флаг и быстро приближался. С него был сделан предупредительный выстрел и передан сигнал спустить флаг и сдаться. В ответ командир «А. Сибирякова» приказал открыть огонь. </w:t>
      </w:r>
    </w:p>
    <w:p w14:paraId="18681D7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Снаряды крейсера сбили на «А. Сибирякове» мачту, прекратилась радиосвязь. Очередными залпами была уничтожена кормовая батарея. На судне возник пожар, появились пробоины. Моряки боролись с огнем, восстанавливали радиосвязь, продолжая стрелять по врагу. Наконец, все средства борьбы были исчерпаны: на «А. Сибирякове» были уничтожены орудия, погибло большинство членов экипажа. Огонь быстро распространялся по судну, вода затопляла нижние помещения. Качарава приказал спустить шлюпки и открыть кингстоны, но в этот момент он был тяжело ранен и потерял сознание. Радисту А. Г. Шаршавину удалось передать на Диксон: «Помполит приказал покинуть судно. Горим. Прощайте. 14 ч 05 мин». </w:t>
      </w:r>
    </w:p>
    <w:p w14:paraId="6D3EBD2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Выполняя приказ командира, старший механик Н. Г. Бочурко открыл кингстоны. «А. Сибиряков» накренился на левый борт, погрузился носом и стал тонуть. Помполит капитан 3 ранга 3. А. Элимелах и несколько его товарищей, не пожелавшие покинуть корабль, погибли вместе с ним. Фашисты пулеметными очередями расстреливали сибиряковцев. Не многим удалось спастись. Один из них кочегар П. И. Вавилов сумел добраться до о. Белуха. 34 дня прожил на необитаемом острове мужественный моряк и был спасен полярным летчиком И. И. Черевичным (11712).</w:t>
      </w:r>
    </w:p>
    <w:p w14:paraId="1AECB04F"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5348079"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Внешняя политика:</w:t>
      </w:r>
    </w:p>
    <w:p w14:paraId="4A315728" w14:textId="77777777" w:rsidR="00AE7191" w:rsidRPr="001E2C69" w:rsidRDefault="00AE7191" w:rsidP="00722885">
      <w:pPr>
        <w:pStyle w:val="Iauiue"/>
        <w:jc w:val="both"/>
        <w:rPr>
          <w:iCs/>
          <w:color w:val="000000" w:themeColor="text1"/>
          <w:sz w:val="16"/>
          <w:szCs w:val="16"/>
        </w:rPr>
      </w:pPr>
    </w:p>
    <w:p w14:paraId="61E9720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 августа 1942 г. советские войска вошли в Иран с севера, а британские - с юга, остановившись на согласованной демаркационной линии (3871).</w:t>
      </w:r>
    </w:p>
    <w:p w14:paraId="53C81783" w14:textId="77777777" w:rsidR="00AE7191" w:rsidRPr="001E2C69" w:rsidRDefault="00AE7191" w:rsidP="00722885">
      <w:pPr>
        <w:pStyle w:val="Iauiue"/>
        <w:jc w:val="both"/>
        <w:rPr>
          <w:color w:val="000000" w:themeColor="text1"/>
          <w:sz w:val="16"/>
          <w:szCs w:val="16"/>
        </w:rPr>
      </w:pPr>
    </w:p>
    <w:p w14:paraId="3E3AD36F"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71CE10CE" w14:textId="77777777" w:rsidR="00AE7191" w:rsidRPr="001E2C69" w:rsidRDefault="00AE7191" w:rsidP="00722885">
      <w:pPr>
        <w:pStyle w:val="Iauiue"/>
        <w:jc w:val="both"/>
        <w:rPr>
          <w:iCs/>
          <w:color w:val="000000" w:themeColor="text1"/>
          <w:sz w:val="16"/>
          <w:szCs w:val="16"/>
        </w:rPr>
      </w:pPr>
    </w:p>
    <w:p w14:paraId="09A3EB0D" w14:textId="77777777" w:rsidR="00956200" w:rsidRPr="001E2C69" w:rsidRDefault="0095620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августа 1942 пикирующие бомбардировщики Dauntless корпуса морской пехоты США Douglas SBD совершают первую бомбардировку, базируясь на Хендерсон-Филд и атакуя японские корабли, приближающиеся к Гуадалканалу (20793).</w:t>
      </w:r>
    </w:p>
    <w:p w14:paraId="707CF4DD" w14:textId="77777777" w:rsidR="00956200" w:rsidRPr="001E2C69" w:rsidRDefault="00956200" w:rsidP="00722885">
      <w:pPr>
        <w:spacing w:after="0" w:line="240" w:lineRule="auto"/>
        <w:jc w:val="both"/>
        <w:rPr>
          <w:rFonts w:ascii="Times New Roman" w:hAnsi="Times New Roman"/>
          <w:color w:val="000000" w:themeColor="text1"/>
          <w:sz w:val="16"/>
          <w:szCs w:val="16"/>
        </w:rPr>
      </w:pPr>
    </w:p>
    <w:p w14:paraId="04CAA365" w14:textId="77777777" w:rsidR="00956200" w:rsidRPr="001E2C69" w:rsidRDefault="0095620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 августа 1942 произошла авиакатастрофа в Данбите: при плохой видимости самолет 228-й эскадрильи Королевских ВВС « Шорт Сандерленд» врезался в склон холма недалеко от Данбита, Шотландия , в результате чего погибли все 15 человек на борту, кроме одного, включая принца Джорджа, герцога Кентского (20793).</w:t>
      </w:r>
    </w:p>
    <w:p w14:paraId="6CEB1CC0" w14:textId="77777777" w:rsidR="00956200" w:rsidRPr="001E2C69" w:rsidRDefault="00956200" w:rsidP="00722885">
      <w:pPr>
        <w:spacing w:after="0" w:line="240" w:lineRule="auto"/>
        <w:jc w:val="both"/>
        <w:rPr>
          <w:rFonts w:ascii="Times New Roman" w:hAnsi="Times New Roman"/>
          <w:color w:val="000000" w:themeColor="text1"/>
          <w:sz w:val="16"/>
          <w:szCs w:val="16"/>
        </w:rPr>
      </w:pPr>
    </w:p>
    <w:p w14:paraId="0967939E"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lastRenderedPageBreak/>
        <w:t>25 августа 1942 правительство Германии объявило всеобщую мобилизацию жителей аннексированных Эльзаса и Лотарингии (4962).</w:t>
      </w:r>
    </w:p>
    <w:p w14:paraId="6596D3B6" w14:textId="77777777" w:rsidR="00AE7191" w:rsidRPr="001E2C69" w:rsidRDefault="00AE7191" w:rsidP="00722885">
      <w:pPr>
        <w:pStyle w:val="Iauiue"/>
        <w:tabs>
          <w:tab w:val="left" w:pos="11199"/>
        </w:tabs>
        <w:jc w:val="both"/>
        <w:rPr>
          <w:color w:val="000000" w:themeColor="text1"/>
          <w:sz w:val="16"/>
          <w:szCs w:val="16"/>
        </w:rPr>
      </w:pPr>
    </w:p>
    <w:p w14:paraId="6644D99D"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25 августа 1942 в Шотландии в авиакатастрофе погиб герцог Кентский, брат английского короля Георга VI (4962).</w:t>
      </w:r>
    </w:p>
    <w:p w14:paraId="7A5D3678" w14:textId="77777777" w:rsidR="00AE7191" w:rsidRPr="001E2C69" w:rsidRDefault="00AE7191" w:rsidP="00722885">
      <w:pPr>
        <w:pStyle w:val="Iauiue"/>
        <w:tabs>
          <w:tab w:val="left" w:pos="11199"/>
        </w:tabs>
        <w:jc w:val="both"/>
        <w:rPr>
          <w:color w:val="000000" w:themeColor="text1"/>
          <w:sz w:val="16"/>
          <w:szCs w:val="16"/>
        </w:rPr>
      </w:pPr>
    </w:p>
    <w:p w14:paraId="64FFA30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25-26 августа 1942 был бой между флотами СНА и Японии у Восточных соломоновых островов (3186).</w:t>
      </w:r>
    </w:p>
    <w:p w14:paraId="3E1D8906" w14:textId="77777777" w:rsidR="00AE7191" w:rsidRPr="001E2C69" w:rsidRDefault="00AE7191" w:rsidP="00722885">
      <w:pPr>
        <w:pStyle w:val="Iauiue"/>
        <w:jc w:val="both"/>
        <w:rPr>
          <w:color w:val="000000" w:themeColor="text1"/>
          <w:sz w:val="16"/>
          <w:szCs w:val="16"/>
        </w:rPr>
      </w:pPr>
    </w:p>
    <w:p w14:paraId="0E1E8A58"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44ADF94E" w14:textId="77777777" w:rsidR="00AE7191" w:rsidRPr="001E2C69" w:rsidRDefault="00AE7191" w:rsidP="00722885">
      <w:pPr>
        <w:pStyle w:val="Iauiue"/>
        <w:jc w:val="both"/>
        <w:rPr>
          <w:iCs/>
          <w:color w:val="000000" w:themeColor="text1"/>
          <w:sz w:val="16"/>
          <w:szCs w:val="16"/>
        </w:rPr>
      </w:pPr>
    </w:p>
    <w:p w14:paraId="61420D0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26 августа 1942 С.В.И. писал письмо N 433 с А.И.Ш.:</w:t>
      </w:r>
    </w:p>
    <w:p w14:paraId="3DFAFB1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НИИ ВВС прошел контрольные испытания самолет Ил-2 с АМ-38 с форсированными оборотами на взлете 2350 оборотов и с увеличенным на взлете Рк до 1340, с винтом АВ-5Л-158.</w:t>
      </w:r>
    </w:p>
    <w:p w14:paraId="607FA5F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Разбег самолета за счет форсажа мотора на взлете и за счет установки винта АВ-5Л-158 уменьшен с 550 м до 370 м, т.е. на 32%.</w:t>
      </w:r>
    </w:p>
    <w:p w14:paraId="1C0F54F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Взлетная дистанция, т.е. расстояние от начала взлета до преодоления препятствия высотой 25 м уменьшилась 1340 м до 920 м, т.е. на 460 м.</w:t>
      </w:r>
    </w:p>
    <w:p w14:paraId="133C60B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Принимая во внимание значительное утяжеление веса за счет заменителей, а также принимая во внимание приказ НКО о загрузке самолета 600 кг бомб, является совершенно необходимым немедленное внедрение в серию винта АВ-5Л-158 и АМ-38 с форсированными оборотами на взлете до 2350 оборотов и увеличенным Рк до 1340 (1680,159).</w:t>
      </w:r>
    </w:p>
    <w:p w14:paraId="0E56975C" w14:textId="77777777" w:rsidR="00AE7191" w:rsidRPr="001E2C69" w:rsidRDefault="00AE7191" w:rsidP="00722885">
      <w:pPr>
        <w:pStyle w:val="Iauiue"/>
        <w:jc w:val="both"/>
        <w:rPr>
          <w:color w:val="000000" w:themeColor="text1"/>
          <w:sz w:val="16"/>
          <w:szCs w:val="16"/>
        </w:rPr>
      </w:pPr>
    </w:p>
    <w:p w14:paraId="2AF9603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26 августа 1942 вышел приказ НКАП и командующего ВВС N 662с/035 "О пересмотре броневой защиты серийных самолетов ВВС"</w:t>
      </w:r>
    </w:p>
    <w:p w14:paraId="3BECF5D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связи с применением на самолетах противника оружия калибра 15-20 мм:</w:t>
      </w:r>
    </w:p>
    <w:p w14:paraId="0CA1485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ГК в д-х недельный срок пересмотреть существующие схемы бронирования серийных самолетов с точки зрения усиления защиты как в отношении площадей, так и в отношении толщин брони.</w:t>
      </w:r>
    </w:p>
    <w:p w14:paraId="2260699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При пересмотре броневой защиты серийных самолетов руководствоваться проектом усиления бронезащиты, предложенным НИИ ВВС, с изменениями, внесенными спец. комиссией.</w:t>
      </w:r>
    </w:p>
    <w:p w14:paraId="67BFFD6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Схемы усиления бронирования представить на рассмотрение в 7 ГУ и в НИИ ВВС</w:t>
      </w:r>
    </w:p>
    <w:p w14:paraId="4B6A3F8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НИИ ВВС в недельный срок дать заключение по новым схемам бронирования серийных самолетов" (1587,9).</w:t>
      </w:r>
    </w:p>
    <w:p w14:paraId="4614CEDA" w14:textId="77777777" w:rsidR="00AE7191" w:rsidRPr="001E2C69" w:rsidRDefault="00AE7191" w:rsidP="00722885">
      <w:pPr>
        <w:pStyle w:val="Iauiue"/>
        <w:jc w:val="both"/>
        <w:rPr>
          <w:color w:val="000000" w:themeColor="text1"/>
          <w:sz w:val="16"/>
          <w:szCs w:val="16"/>
        </w:rPr>
      </w:pPr>
    </w:p>
    <w:p w14:paraId="275057BD" w14:textId="77777777" w:rsidR="00934079" w:rsidRPr="001E2C69" w:rsidRDefault="00934079"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26 августа 1942 главным инженером ВВС КА генерал-лейтенантом Репиным был утвержден Отчет по испы</w:t>
      </w:r>
      <w:r w:rsidRPr="001E2C69">
        <w:rPr>
          <w:color w:val="000000" w:themeColor="text1"/>
          <w:sz w:val="16"/>
          <w:szCs w:val="16"/>
        </w:rPr>
        <w:softHyphen/>
        <w:t>таниям-мм пушки 11П № 2 ОКБ-16. которая в пе</w:t>
      </w:r>
      <w:r w:rsidRPr="001E2C69">
        <w:rPr>
          <w:color w:val="000000" w:themeColor="text1"/>
          <w:sz w:val="16"/>
          <w:szCs w:val="16"/>
        </w:rPr>
        <w:softHyphen/>
        <w:t>риод успешно прошла повторные летные полигонные испытания на самолете ЛаГГ-3 зав. № 312197 с 21 июля по 17 августа.</w:t>
      </w:r>
    </w:p>
    <w:p w14:paraId="5042BFA2" w14:textId="77777777" w:rsidR="00934079" w:rsidRPr="001E2C69" w:rsidRDefault="00934079"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Испытания проводились филиалом НИП АВ ВВС в Ногинске. Ведущим инженером по испытаниям был назначен инженер-майор Филиппов, помощ</w:t>
      </w:r>
      <w:r w:rsidRPr="001E2C69">
        <w:rPr>
          <w:color w:val="000000" w:themeColor="text1"/>
          <w:sz w:val="16"/>
          <w:szCs w:val="16"/>
        </w:rPr>
        <w:softHyphen/>
        <w:t>ником ведущего инженера — старший техник-лей</w:t>
      </w:r>
      <w:r w:rsidRPr="001E2C69">
        <w:rPr>
          <w:color w:val="000000" w:themeColor="text1"/>
          <w:sz w:val="16"/>
          <w:szCs w:val="16"/>
        </w:rPr>
        <w:softHyphen/>
        <w:t>тенант Гурьев. Испытания обеспечивала бригада в составе техников-испытателей сержантов Филип</w:t>
      </w:r>
      <w:r w:rsidRPr="001E2C69">
        <w:rPr>
          <w:color w:val="000000" w:themeColor="text1"/>
          <w:sz w:val="16"/>
          <w:szCs w:val="16"/>
        </w:rPr>
        <w:softHyphen/>
        <w:t>пова и Ярулина, младшего специалиста сержанта Лубышева, техника-расчетчика — Хитровой, авиа</w:t>
      </w:r>
      <w:r w:rsidRPr="001E2C69">
        <w:rPr>
          <w:color w:val="000000" w:themeColor="text1"/>
          <w:sz w:val="16"/>
          <w:szCs w:val="16"/>
        </w:rPr>
        <w:softHyphen/>
        <w:t>механика техника-лейтенанта Василевского, авиа</w:t>
      </w:r>
      <w:r w:rsidRPr="001E2C69">
        <w:rPr>
          <w:color w:val="000000" w:themeColor="text1"/>
          <w:sz w:val="16"/>
          <w:szCs w:val="16"/>
        </w:rPr>
        <w:softHyphen/>
        <w:t>механика старшины Шалагинова. Летал летчик-ис</w:t>
      </w:r>
      <w:r w:rsidRPr="001E2C69">
        <w:rPr>
          <w:color w:val="000000" w:themeColor="text1"/>
          <w:sz w:val="16"/>
          <w:szCs w:val="16"/>
        </w:rPr>
        <w:softHyphen/>
        <w:t>пытатель капитан Кравченко. Позже техника-рас</w:t>
      </w:r>
      <w:r w:rsidRPr="001E2C69">
        <w:rPr>
          <w:color w:val="000000" w:themeColor="text1"/>
          <w:sz w:val="16"/>
          <w:szCs w:val="16"/>
        </w:rPr>
        <w:softHyphen/>
        <w:t>четчика Хитрову заменили техником-лейтенантом Громовым.</w:t>
      </w:r>
    </w:p>
    <w:p w14:paraId="2BBE78C1" w14:textId="77777777" w:rsidR="00934079" w:rsidRPr="001E2C69" w:rsidRDefault="00934079"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Помимо доработки под штатный патрон, на пушке 11П № 2 была изменена конструкция заще</w:t>
      </w:r>
      <w:r w:rsidRPr="001E2C69">
        <w:rPr>
          <w:color w:val="000000" w:themeColor="text1"/>
          <w:sz w:val="16"/>
          <w:szCs w:val="16"/>
        </w:rPr>
        <w:softHyphen/>
        <w:t>лок затвора (что привело к упрощению формы за</w:t>
      </w:r>
      <w:r w:rsidRPr="001E2C69">
        <w:rPr>
          <w:color w:val="000000" w:themeColor="text1"/>
          <w:sz w:val="16"/>
          <w:szCs w:val="16"/>
        </w:rPr>
        <w:softHyphen/>
        <w:t>твора), бойка (с целью повышения его живучести и улучшения конструктивной формы ударника) и стопора затыльника. Изготовлено новое звено с измененной формой шарнира, увеличенной жест</w:t>
      </w:r>
      <w:r w:rsidRPr="001E2C69">
        <w:rPr>
          <w:color w:val="000000" w:themeColor="text1"/>
          <w:sz w:val="16"/>
          <w:szCs w:val="16"/>
        </w:rPr>
        <w:softHyphen/>
        <w:t>кости и более простое в производстве. Патронная коробка теперь состояла из двух частей. Это по</w:t>
      </w:r>
      <w:r w:rsidRPr="001E2C69">
        <w:rPr>
          <w:color w:val="000000" w:themeColor="text1"/>
          <w:sz w:val="16"/>
          <w:szCs w:val="16"/>
        </w:rPr>
        <w:softHyphen/>
        <w:t>зволяло снимать и ставить патронную коробку без демонтажа пулеметов БС. Улучшен подвод ленты в рукава к приемнику. Поставлен предохранитель на кнопку электропневмопуска. Переделаны кон</w:t>
      </w:r>
      <w:r w:rsidRPr="001E2C69">
        <w:rPr>
          <w:color w:val="000000" w:themeColor="text1"/>
          <w:sz w:val="16"/>
          <w:szCs w:val="16"/>
        </w:rPr>
        <w:softHyphen/>
        <w:t>струкции звеньеотвода, заднего поддерживающе</w:t>
      </w:r>
      <w:r w:rsidRPr="001E2C69">
        <w:rPr>
          <w:color w:val="000000" w:themeColor="text1"/>
          <w:sz w:val="16"/>
          <w:szCs w:val="16"/>
        </w:rPr>
        <w:softHyphen/>
        <w:t>го крепления пушки, гашеток пневмоперезарядки пушки, гильзозвеньесборника. Сделан отсос газов из гильзозвеньесборника. Боекомплект к пушке со</w:t>
      </w:r>
      <w:r w:rsidRPr="001E2C69">
        <w:rPr>
          <w:color w:val="000000" w:themeColor="text1"/>
          <w:sz w:val="16"/>
          <w:szCs w:val="16"/>
        </w:rPr>
        <w:softHyphen/>
        <w:t>ставил 36 снарядов.</w:t>
      </w:r>
    </w:p>
    <w:p w14:paraId="452B41DB" w14:textId="77777777" w:rsidR="00934079" w:rsidRPr="001E2C69" w:rsidRDefault="00934079"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На испытаниях пушка продемонстрировала вы</w:t>
      </w:r>
      <w:r w:rsidRPr="001E2C69">
        <w:rPr>
          <w:color w:val="000000" w:themeColor="text1"/>
          <w:sz w:val="16"/>
          <w:szCs w:val="16"/>
        </w:rPr>
        <w:softHyphen/>
        <w:t>сокую надежность в работе, дав всего 0,54% задер</w:t>
      </w:r>
      <w:r w:rsidRPr="001E2C69">
        <w:rPr>
          <w:color w:val="000000" w:themeColor="text1"/>
          <w:sz w:val="16"/>
          <w:szCs w:val="16"/>
        </w:rPr>
        <w:softHyphen/>
        <w:t>жек. Из 3359 выстрелов (в том числе 492 — в за</w:t>
      </w:r>
      <w:r w:rsidRPr="001E2C69">
        <w:rPr>
          <w:color w:val="000000" w:themeColor="text1"/>
          <w:sz w:val="16"/>
          <w:szCs w:val="16"/>
        </w:rPr>
        <w:softHyphen/>
        <w:t>водских условиях), произведенных на испытаниях, 1314 выстрелов было выполнено в воздухе в 42 по</w:t>
      </w:r>
      <w:r w:rsidRPr="001E2C69">
        <w:rPr>
          <w:color w:val="000000" w:themeColor="text1"/>
          <w:sz w:val="16"/>
          <w:szCs w:val="16"/>
        </w:rPr>
        <w:softHyphen/>
        <w:t>летах, остальные — на земле. Причем в 27 полетах боекомплект был расстрелян полностью без задер жек. Живучесть пушки лимитировалась поломкой затыльника после 1657 выстрелов и хвостовика ударника после 2231 выстрела.</w:t>
      </w:r>
    </w:p>
    <w:p w14:paraId="278A3BD0" w14:textId="77777777" w:rsidR="00934079" w:rsidRPr="001E2C69" w:rsidRDefault="00934079"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Установка пушки на самолете обеспечила впол</w:t>
      </w:r>
      <w:r w:rsidRPr="001E2C69">
        <w:rPr>
          <w:color w:val="000000" w:themeColor="text1"/>
          <w:sz w:val="16"/>
          <w:szCs w:val="16"/>
        </w:rPr>
        <w:softHyphen/>
        <w:t>не нормальную работу пушки при выполнении 2802 выстрелов. Слабым местом оказался опор</w:t>
      </w:r>
      <w:r w:rsidRPr="001E2C69">
        <w:rPr>
          <w:color w:val="000000" w:themeColor="text1"/>
          <w:sz w:val="16"/>
          <w:szCs w:val="16"/>
        </w:rPr>
        <w:softHyphen/>
        <w:t>ный подшипник ствола в храповике винта, кото</w:t>
      </w:r>
      <w:r w:rsidRPr="001E2C69">
        <w:rPr>
          <w:color w:val="000000" w:themeColor="text1"/>
          <w:sz w:val="16"/>
          <w:szCs w:val="16"/>
        </w:rPr>
        <w:softHyphen/>
        <w:t>рый сломался после 2094 выстрелов. Основное силовое крепление пушки к мотору — передний суппорт, воспринимающий усилие отдачи, вы</w:t>
      </w:r>
      <w:r w:rsidRPr="001E2C69">
        <w:rPr>
          <w:color w:val="000000" w:themeColor="text1"/>
          <w:sz w:val="16"/>
          <w:szCs w:val="16"/>
        </w:rPr>
        <w:softHyphen/>
        <w:t>держал 4256 выстрелов и свою живучесть не ис</w:t>
      </w:r>
      <w:r w:rsidRPr="001E2C69">
        <w:rPr>
          <w:color w:val="000000" w:themeColor="text1"/>
          <w:sz w:val="16"/>
          <w:szCs w:val="16"/>
        </w:rPr>
        <w:softHyphen/>
        <w:t>черпал (учтено количество выстрелов, произве</w:t>
      </w:r>
      <w:r w:rsidRPr="001E2C69">
        <w:rPr>
          <w:color w:val="000000" w:themeColor="text1"/>
          <w:sz w:val="16"/>
          <w:szCs w:val="16"/>
        </w:rPr>
        <w:softHyphen/>
        <w:t>денных при первых полигонных испытаниях пуш</w:t>
      </w:r>
      <w:r w:rsidRPr="001E2C69">
        <w:rPr>
          <w:color w:val="000000" w:themeColor="text1"/>
          <w:sz w:val="16"/>
          <w:szCs w:val="16"/>
        </w:rPr>
        <w:softHyphen/>
        <w:t>ки 11П № 1).</w:t>
      </w:r>
    </w:p>
    <w:p w14:paraId="7D255873" w14:textId="77777777" w:rsidR="00934079" w:rsidRPr="001E2C69" w:rsidRDefault="00934079"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 заключению капитана Кравченко, техника пилотирования самолетом по сравнению с серий</w:t>
      </w:r>
      <w:r w:rsidRPr="001E2C69">
        <w:rPr>
          <w:color w:val="000000" w:themeColor="text1"/>
          <w:sz w:val="16"/>
          <w:szCs w:val="16"/>
        </w:rPr>
        <w:softHyphen/>
        <w:t>ными машинами не изменилась. Вести стрельбу длинными очередями не рекомендовалось, так как уже после 4—5 выстрелов самолет начинает раска</w:t>
      </w:r>
      <w:r w:rsidRPr="001E2C69">
        <w:rPr>
          <w:color w:val="000000" w:themeColor="text1"/>
          <w:sz w:val="16"/>
          <w:szCs w:val="16"/>
        </w:rPr>
        <w:softHyphen/>
        <w:t>чиваться и наводка на цель сбивается.</w:t>
      </w:r>
    </w:p>
    <w:p w14:paraId="1CBF3555" w14:textId="77777777" w:rsidR="00934079" w:rsidRPr="001E2C69" w:rsidRDefault="00934079"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заключении акта по испытаниям отмечалось, что «предъявленная ОКБ-16 НКВ 37-мм авиаци</w:t>
      </w:r>
      <w:r w:rsidRPr="001E2C69">
        <w:rPr>
          <w:color w:val="000000" w:themeColor="text1"/>
          <w:sz w:val="16"/>
          <w:szCs w:val="16"/>
        </w:rPr>
        <w:softHyphen/>
        <w:t>онная пушка 11-П № 2, установленная в развале мотора М-105П самолета ЛаГГ-3, повторные полигонные испытания выдержала».</w:t>
      </w:r>
    </w:p>
    <w:p w14:paraId="6E6DB39A" w14:textId="77777777" w:rsidR="00934079" w:rsidRPr="001E2C69" w:rsidRDefault="00934079"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 результатам стрельб госу</w:t>
      </w:r>
      <w:r w:rsidRPr="001E2C69">
        <w:rPr>
          <w:color w:val="000000" w:themeColor="text1"/>
          <w:sz w:val="16"/>
          <w:szCs w:val="16"/>
        </w:rPr>
        <w:softHyphen/>
        <w:t>дарственной комиссией был сделан вывод, что «...из двух систем 37-мм пушек (ОКБ-15 и ОКБ-16) лучшей системой, по данным полигонных испытаний, является 37-мм пушка ОКБ-16 НКВ».</w:t>
      </w:r>
    </w:p>
    <w:p w14:paraId="018FFDDB" w14:textId="77777777" w:rsidR="00934079" w:rsidRPr="001E2C69" w:rsidRDefault="00934079"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Пушка 11П имела явные пре</w:t>
      </w:r>
      <w:r w:rsidRPr="001E2C69">
        <w:rPr>
          <w:color w:val="000000" w:themeColor="text1"/>
          <w:sz w:val="16"/>
          <w:szCs w:val="16"/>
        </w:rPr>
        <w:softHyphen/>
        <w:t>имущества по весу и количеству деталей самой пушки и пушечных установок на самолетах ЛаГГ-3 и Ил-2, а также по размеру боеком</w:t>
      </w:r>
      <w:r w:rsidRPr="001E2C69">
        <w:rPr>
          <w:color w:val="000000" w:themeColor="text1"/>
          <w:sz w:val="16"/>
          <w:szCs w:val="16"/>
        </w:rPr>
        <w:softHyphen/>
        <w:t>плекта и темпу стрельбы. К тому же пушка 11П допускала неподвижное крепление на самолете вместе с па</w:t>
      </w:r>
      <w:r w:rsidRPr="001E2C69">
        <w:rPr>
          <w:color w:val="000000" w:themeColor="text1"/>
          <w:sz w:val="16"/>
          <w:szCs w:val="16"/>
        </w:rPr>
        <w:softHyphen/>
        <w:t>тронным ящиком, что значительно упрощало конструкцию установки. При этом поскольку автоматика пушки построена на принципе от</w:t>
      </w:r>
      <w:r w:rsidRPr="001E2C69">
        <w:rPr>
          <w:color w:val="000000" w:themeColor="text1"/>
          <w:sz w:val="16"/>
          <w:szCs w:val="16"/>
        </w:rPr>
        <w:softHyphen/>
        <w:t>дачи ствола с коротким ходом, то она была малочувствительна к за</w:t>
      </w:r>
      <w:r w:rsidRPr="001E2C69">
        <w:rPr>
          <w:color w:val="000000" w:themeColor="text1"/>
          <w:sz w:val="16"/>
          <w:szCs w:val="16"/>
        </w:rPr>
        <w:softHyphen/>
        <w:t>грязнению. В ходе повторных испытаний пушка нормально работала без чистки и смазки в течение 7 суток, за время которых произведен 1201 вы</w:t>
      </w:r>
      <w:r w:rsidRPr="001E2C69">
        <w:rPr>
          <w:color w:val="000000" w:themeColor="text1"/>
          <w:sz w:val="16"/>
          <w:szCs w:val="16"/>
        </w:rPr>
        <w:softHyphen/>
        <w:t>стрел, при периодической чистке только запира</w:t>
      </w:r>
      <w:r w:rsidRPr="001E2C69">
        <w:rPr>
          <w:color w:val="000000" w:themeColor="text1"/>
          <w:sz w:val="16"/>
          <w:szCs w:val="16"/>
        </w:rPr>
        <w:softHyphen/>
        <w:t>ющего механизма. Кроме того, пушку 11П ОКБ-16 по плану опытного строительства ВВС КА на 1942 г. предполагалось установить в крыле двухмотор</w:t>
      </w:r>
      <w:r w:rsidRPr="001E2C69">
        <w:rPr>
          <w:color w:val="000000" w:themeColor="text1"/>
          <w:sz w:val="16"/>
          <w:szCs w:val="16"/>
        </w:rPr>
        <w:softHyphen/>
        <w:t>ных штурмовиков. Тогда как пушку ОКБ-15 внутри крыла из-за больших габаритов разместить невоз</w:t>
      </w:r>
      <w:r w:rsidRPr="001E2C69">
        <w:rPr>
          <w:color w:val="000000" w:themeColor="text1"/>
          <w:sz w:val="16"/>
          <w:szCs w:val="16"/>
        </w:rPr>
        <w:softHyphen/>
        <w:t>можно.</w:t>
      </w:r>
    </w:p>
    <w:p w14:paraId="0C0A650C" w14:textId="77777777" w:rsidR="00934079" w:rsidRPr="001E2C69" w:rsidRDefault="00934079"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решении Управления опытного строительства ГУ ИАС ВВС по результатам испытаний предлага</w:t>
      </w:r>
      <w:r w:rsidRPr="001E2C69">
        <w:rPr>
          <w:color w:val="000000" w:themeColor="text1"/>
          <w:sz w:val="16"/>
          <w:szCs w:val="16"/>
        </w:rPr>
        <w:softHyphen/>
        <w:t>лось: «2. Просить Народного Комиссара вооруже</w:t>
      </w:r>
      <w:r w:rsidRPr="001E2C69">
        <w:rPr>
          <w:color w:val="000000" w:themeColor="text1"/>
          <w:sz w:val="16"/>
          <w:szCs w:val="16"/>
        </w:rPr>
        <w:softHyphen/>
        <w:t>ния СССР — изготовить в 1942 г. 60 шт. 37-мм пушек ОКБ-16. 3. Просить Народного Комиссара авиаци</w:t>
      </w:r>
      <w:r w:rsidRPr="001E2C69">
        <w:rPr>
          <w:color w:val="000000" w:themeColor="text1"/>
          <w:sz w:val="16"/>
          <w:szCs w:val="16"/>
        </w:rPr>
        <w:softHyphen/>
        <w:t>онной промышленности СССР вооружить в 1942 г. 37-мм пушками ОКБ-16 20 самолетов ЛаГГ-3 и 20 са</w:t>
      </w:r>
      <w:r w:rsidRPr="001E2C69">
        <w:rPr>
          <w:color w:val="000000" w:themeColor="text1"/>
          <w:sz w:val="16"/>
          <w:szCs w:val="16"/>
        </w:rPr>
        <w:softHyphen/>
        <w:t>молетов Ил-2 в счет программы выпускаемых само</w:t>
      </w:r>
      <w:r w:rsidRPr="001E2C69">
        <w:rPr>
          <w:color w:val="000000" w:themeColor="text1"/>
          <w:sz w:val="16"/>
          <w:szCs w:val="16"/>
        </w:rPr>
        <w:softHyphen/>
        <w:t>летов для ВВС Красной Армии. /.../ 5. Учитывая, что наиболее эффективным снарядом в авиации для борьбы с танками является снаряд калибра 37 мм и что в настоящее время удовлетворение запросов фронта по этому калибру можно быстро осуще ствить путем восстановления налаженного произ</w:t>
      </w:r>
      <w:r w:rsidRPr="001E2C69">
        <w:rPr>
          <w:color w:val="000000" w:themeColor="text1"/>
          <w:sz w:val="16"/>
          <w:szCs w:val="16"/>
        </w:rPr>
        <w:softHyphen/>
        <w:t>водства 37-мм пушек ОКБ-15, Управление опытного строительства ГУ ИАС ВВС КА считает необходимым продолжать производство пушек ОКБ-15. 6. Вопрос о вводе на вооружение ВВС КА пушек калибра 37 мм решить после сравнения результатов боево</w:t>
      </w:r>
      <w:r w:rsidRPr="001E2C69">
        <w:rPr>
          <w:color w:val="000000" w:themeColor="text1"/>
          <w:sz w:val="16"/>
          <w:szCs w:val="16"/>
        </w:rPr>
        <w:softHyphen/>
        <w:t>го применения пушек ОКБ-15 и ОКБ-16».</w:t>
      </w:r>
    </w:p>
    <w:p w14:paraId="05D33077" w14:textId="77777777" w:rsidR="00934079" w:rsidRPr="001E2C69" w:rsidRDefault="00934079"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Здесь необходимо сказать, что производство пу</w:t>
      </w:r>
      <w:r w:rsidRPr="001E2C69">
        <w:rPr>
          <w:color w:val="000000" w:themeColor="text1"/>
          <w:sz w:val="16"/>
          <w:szCs w:val="16"/>
        </w:rPr>
        <w:softHyphen/>
        <w:t>шек Ш-37 на заводе № 74 НКВ было остановлено практически сразу же по получении первых результатов отстрела пушки 11П со снарядом без бурта. С января по июнь вклю</w:t>
      </w:r>
      <w:r w:rsidRPr="001E2C69">
        <w:rPr>
          <w:color w:val="000000" w:themeColor="text1"/>
          <w:sz w:val="16"/>
          <w:szCs w:val="16"/>
        </w:rPr>
        <w:softHyphen/>
        <w:t>чительно военной приемке было сдано 188 пушек Ш-37, в том числе 18 единиц в крыльевом варианте (17500).</w:t>
      </w:r>
    </w:p>
    <w:p w14:paraId="11F6FF91" w14:textId="77777777" w:rsidR="00934079" w:rsidRPr="001E2C69" w:rsidRDefault="00934079" w:rsidP="00722885">
      <w:pPr>
        <w:spacing w:after="0" w:line="240" w:lineRule="auto"/>
        <w:jc w:val="both"/>
        <w:rPr>
          <w:rFonts w:ascii="Times New Roman" w:hAnsi="Times New Roman"/>
          <w:color w:val="000000" w:themeColor="text1"/>
          <w:sz w:val="16"/>
          <w:szCs w:val="16"/>
        </w:rPr>
      </w:pPr>
    </w:p>
    <w:p w14:paraId="4BB70D98" w14:textId="77777777" w:rsidR="00934079" w:rsidRPr="001E2C69" w:rsidRDefault="00934079"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26 августа 1942, когда в поле</w:t>
      </w:r>
      <w:r w:rsidRPr="001E2C69">
        <w:rPr>
          <w:color w:val="000000" w:themeColor="text1"/>
          <w:sz w:val="16"/>
          <w:szCs w:val="16"/>
        </w:rPr>
        <w:softHyphen/>
        <w:t>те разрушились подшипники вала мотора, полеты на ИТП прекратили. Самолет в ожидании поступле</w:t>
      </w:r>
      <w:r w:rsidRPr="001E2C69">
        <w:rPr>
          <w:color w:val="000000" w:themeColor="text1"/>
          <w:sz w:val="16"/>
          <w:szCs w:val="16"/>
        </w:rPr>
        <w:softHyphen/>
        <w:t>ния кондиционного мотора М-107П законсервиро</w:t>
      </w:r>
      <w:r w:rsidRPr="001E2C69">
        <w:rPr>
          <w:color w:val="000000" w:themeColor="text1"/>
          <w:sz w:val="16"/>
          <w:szCs w:val="16"/>
        </w:rPr>
        <w:softHyphen/>
        <w:t>вали. Всего к этому времени на самолете заменили 3 мотора.</w:t>
      </w:r>
    </w:p>
    <w:p w14:paraId="48914CFC" w14:textId="77777777" w:rsidR="00934079" w:rsidRPr="001E2C69" w:rsidRDefault="00934079"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Надо сказать, состояние дел с доводкой мотора М-107П было далеко не самое лучшее. Несмотря на то что мотор в 1942 г. был серийным, заводу № 26 (г. Уфа) не удавалось обеспечить надежность дли</w:t>
      </w:r>
      <w:r w:rsidRPr="001E2C69">
        <w:rPr>
          <w:color w:val="000000" w:themeColor="text1"/>
          <w:sz w:val="16"/>
          <w:szCs w:val="16"/>
        </w:rPr>
        <w:softHyphen/>
        <w:t>тельной работы ряда узлов и агрегатов мотора. Из общего количества изготовленных заводом мото</w:t>
      </w:r>
      <w:r w:rsidRPr="001E2C69">
        <w:rPr>
          <w:color w:val="000000" w:themeColor="text1"/>
          <w:sz w:val="16"/>
          <w:szCs w:val="16"/>
        </w:rPr>
        <w:softHyphen/>
        <w:t>ров М-107П около 80% разрушились во время за</w:t>
      </w:r>
      <w:r w:rsidRPr="001E2C69">
        <w:rPr>
          <w:color w:val="000000" w:themeColor="text1"/>
          <w:sz w:val="16"/>
          <w:szCs w:val="16"/>
        </w:rPr>
        <w:softHyphen/>
        <w:t>водских и государственных стендовых испытаний. Государственные 100-часовые испытания в период с 10 по 25 сентября 1942 г. мотор М-107П пройти не смог из-за поломки шатуна. Интерес ВВС к мотору неуклонно снижался. К тому же наметился опре</w:t>
      </w:r>
      <w:r w:rsidRPr="001E2C69">
        <w:rPr>
          <w:color w:val="000000" w:themeColor="text1"/>
          <w:sz w:val="16"/>
          <w:szCs w:val="16"/>
        </w:rPr>
        <w:softHyphen/>
        <w:t>деленный успех с доводкой мотора М-106П-1ск (1250/1350 л.с.), который, в отличие от М-107П, имел те же габаритные размеры и посадочные места, что и у массового мотора М-105ПФ, и при этом был легче (600 кг вместо 745 кг — у М-107П и 645 кг — у М-105ПФ). Считалось, что при установке его на серийные самолеты серьезных доработок винтомо</w:t>
      </w:r>
      <w:r w:rsidRPr="001E2C69">
        <w:rPr>
          <w:color w:val="000000" w:themeColor="text1"/>
          <w:sz w:val="16"/>
          <w:szCs w:val="16"/>
        </w:rPr>
        <w:softHyphen/>
        <w:t>торной группы не потребуется. С этим мотором на заводе № 292 в Саратове предполагалась большая серия истребителей Як-1. Но в ходе доводки М-107П его форсировали по наддуву и понизили высот</w:t>
      </w:r>
      <w:r w:rsidRPr="001E2C69">
        <w:rPr>
          <w:color w:val="000000" w:themeColor="text1"/>
          <w:sz w:val="16"/>
          <w:szCs w:val="16"/>
        </w:rPr>
        <w:softHyphen/>
        <w:t>ность. Мощность мотора возросла до 1650 л.с. на взлетном режиме и 1550 и 1450 л.с. — на 1-й и 2-й границах высотности соответственно. Постанов</w:t>
      </w:r>
      <w:r w:rsidRPr="001E2C69">
        <w:rPr>
          <w:color w:val="000000" w:themeColor="text1"/>
          <w:sz w:val="16"/>
          <w:szCs w:val="16"/>
        </w:rPr>
        <w:softHyphen/>
        <w:t>лением ГОКО от 25 сентября и приказом НКАП от 29 сентября 1942 г. ОКБ В. Я. Климова и завод № 26 обязывались к концу года обеспечить 100-часовой ресурс М-107А (М-107ПА) и подготовить его серий</w:t>
      </w:r>
      <w:r w:rsidRPr="001E2C69">
        <w:rPr>
          <w:color w:val="000000" w:themeColor="text1"/>
          <w:sz w:val="16"/>
          <w:szCs w:val="16"/>
        </w:rPr>
        <w:softHyphen/>
        <w:t>ное производство. Одновременно постановлением ГКО от 10 октября 1942 г. заводу № 26 устанавли</w:t>
      </w:r>
      <w:r w:rsidRPr="001E2C69">
        <w:rPr>
          <w:color w:val="000000" w:themeColor="text1"/>
          <w:sz w:val="16"/>
          <w:szCs w:val="16"/>
        </w:rPr>
        <w:softHyphen/>
        <w:t>вался план по изготовлению до конца года 37 мото</w:t>
      </w:r>
      <w:r w:rsidRPr="001E2C69">
        <w:rPr>
          <w:color w:val="000000" w:themeColor="text1"/>
          <w:sz w:val="16"/>
          <w:szCs w:val="16"/>
        </w:rPr>
        <w:softHyphen/>
        <w:t>ров М-107А. Однако возникшие проблемы с надеж</w:t>
      </w:r>
      <w:r w:rsidRPr="001E2C69">
        <w:rPr>
          <w:color w:val="000000" w:themeColor="text1"/>
          <w:sz w:val="16"/>
          <w:szCs w:val="16"/>
        </w:rPr>
        <w:softHyphen/>
        <w:t>ностью и устойчивостью в работе моторов М-107А не позволили в полном объеме выполнить это за</w:t>
      </w:r>
      <w:r w:rsidRPr="001E2C69">
        <w:rPr>
          <w:color w:val="000000" w:themeColor="text1"/>
          <w:sz w:val="16"/>
          <w:szCs w:val="16"/>
        </w:rPr>
        <w:softHyphen/>
        <w:t>дание. Фактически завод № 26 уже в декабре пре</w:t>
      </w:r>
      <w:r w:rsidRPr="001E2C69">
        <w:rPr>
          <w:color w:val="000000" w:themeColor="text1"/>
          <w:sz w:val="16"/>
          <w:szCs w:val="16"/>
        </w:rPr>
        <w:softHyphen/>
        <w:t>кратил серийное изготовление моторов этого типа. Только в январе 1943 г. мотор М-107А удовлетво</w:t>
      </w:r>
      <w:r w:rsidRPr="001E2C69">
        <w:rPr>
          <w:color w:val="000000" w:themeColor="text1"/>
          <w:sz w:val="16"/>
          <w:szCs w:val="16"/>
        </w:rPr>
        <w:softHyphen/>
        <w:t>рительно прошел 50-часовые испытания, и с марта его выпуск на заводе № 26 был возобновлен, но малой опытной серией. Боевая мощность этого ва</w:t>
      </w:r>
      <w:r w:rsidRPr="001E2C69">
        <w:rPr>
          <w:color w:val="000000" w:themeColor="text1"/>
          <w:sz w:val="16"/>
          <w:szCs w:val="16"/>
        </w:rPr>
        <w:softHyphen/>
        <w:t>рианта мотора устанавливалась на уровне 1650 л.с. на 1-й расчетной высоте 1800 м и 1500 л.с. на 2-й расчетной высоте 4500 м. К концу I квартала было построено 3 мотора этого типа, во II квартале — 19 единиц (17500).</w:t>
      </w:r>
    </w:p>
    <w:p w14:paraId="094329BB" w14:textId="77777777" w:rsidR="00934079" w:rsidRPr="001E2C69" w:rsidRDefault="00934079" w:rsidP="00722885">
      <w:pPr>
        <w:spacing w:after="0" w:line="240" w:lineRule="auto"/>
        <w:jc w:val="both"/>
        <w:rPr>
          <w:rFonts w:ascii="Times New Roman" w:eastAsia="Times New Roman" w:hAnsi="Times New Roman"/>
          <w:color w:val="000000" w:themeColor="text1"/>
          <w:sz w:val="16"/>
          <w:szCs w:val="16"/>
          <w:lang w:eastAsia="ru-RU"/>
        </w:rPr>
      </w:pPr>
    </w:p>
    <w:p w14:paraId="70A497A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26 августа 1942 завод № 39 отправил письмо № 4000/53:</w:t>
      </w:r>
    </w:p>
    <w:p w14:paraId="755B3F7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ЗАМЕСТИТЕЛЮ НАРОДНОГО КОМИССАРА АВИАЦИОННОЙ ПРОМЫШЖННОСТИ</w:t>
      </w:r>
    </w:p>
    <w:p w14:paraId="489E382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тов. ВОРОНИНУ П.А.</w:t>
      </w:r>
    </w:p>
    <w:p w14:paraId="78DD297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ЗАМЕСТИТЕЛЮ НАРОДНОГО КОМИССАРА АВИАЦИОННОЙ ПРОМЫШЛЕННОСТИ</w:t>
      </w:r>
    </w:p>
    <w:p w14:paraId="578D0A1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ТОВ. ЯКОВЛЕВУ А.С.</w:t>
      </w:r>
    </w:p>
    <w:p w14:paraId="58C89CA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НАЧАЛЬНИКУ ДЕСЯТОГО ГЛАВНОГО УПРАВЛЕНИЯ НКАП СССР</w:t>
      </w:r>
    </w:p>
    <w:p w14:paraId="232F528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тов. ТАРАСЕВИЧ Б.Н.</w:t>
      </w:r>
    </w:p>
    <w:p w14:paraId="697E731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 мая с/г завод 39 закончил заводские испытания и передал на госиспытания в НИИ ВВС первый опытный самолет Пе-3бис</w:t>
      </w:r>
    </w:p>
    <w:p w14:paraId="331215F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16 мая по 19 июня с/г в НИИ ВВС КА были проведены госиспытания этого самолета во время которых было сделано 44 полета с общим полетом 31 час 57 минут.</w:t>
      </w:r>
    </w:p>
    <w:p w14:paraId="57E1920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данное время мы получили из НИИ ВВС КА отчет по испытаниям, учитывая, что НИИ ВВС КА не выслало в Ваш адрес этого отчета, настоящим докладываю "выводы” и "Заключение" по проведению этих испытаний:</w:t>
      </w:r>
    </w:p>
    <w:p w14:paraId="03ACD71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ы в о д ы</w:t>
      </w:r>
    </w:p>
    <w:p w14:paraId="18C4431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Максимальные скорости серийного самолета Пе-Збис № 40143900 завода № 39 на 2-ой граница высотности 5080 метров равны:</w:t>
      </w:r>
    </w:p>
    <w:p w14:paraId="3C4E392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а) без аэродинамического компенсатора и без нарощений на кили </w:t>
      </w:r>
      <w:r w:rsidRPr="001E2C69">
        <w:rPr>
          <w:rFonts w:ascii="Times New Roman" w:hAnsi="Times New Roman"/>
          <w:color w:val="000000" w:themeColor="text1"/>
          <w:sz w:val="16"/>
          <w:szCs w:val="16"/>
        </w:rPr>
        <w:tab/>
        <w:t>530 км/ч</w:t>
      </w:r>
    </w:p>
    <w:p w14:paraId="1FF41DD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-с аэродинамическим компенсатором и с нарощенными килями</w:t>
      </w:r>
      <w:r w:rsidRPr="001E2C69">
        <w:rPr>
          <w:rFonts w:ascii="Times New Roman" w:hAnsi="Times New Roman"/>
          <w:color w:val="000000" w:themeColor="text1"/>
          <w:sz w:val="16"/>
          <w:szCs w:val="16"/>
        </w:rPr>
        <w:tab/>
        <w:t>527 км/ч</w:t>
      </w:r>
    </w:p>
    <w:p w14:paraId="73294DD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Максимальные скорости у земли соответствеино равны </w:t>
      </w:r>
      <w:r w:rsidRPr="001E2C69">
        <w:rPr>
          <w:rFonts w:ascii="Times New Roman" w:hAnsi="Times New Roman"/>
          <w:color w:val="000000" w:themeColor="text1"/>
          <w:sz w:val="16"/>
          <w:szCs w:val="16"/>
        </w:rPr>
        <w:tab/>
        <w:t>438-435 км/ч</w:t>
      </w:r>
    </w:p>
    <w:p w14:paraId="129C2CA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Потерь в максимальных скоростях по сравнению с испытанным в октябре месяце 1941 года самолетом Пе-Збис № 392207 завода № 39 - НЕТ</w:t>
      </w:r>
    </w:p>
    <w:p w14:paraId="0C6A3D7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Скороподъемность, практический потолок, время набора высоты 5000 метров практически одинаковы в сравнении с самолётом Пе-Збис № 392207.</w:t>
      </w:r>
    </w:p>
    <w:p w14:paraId="62C4D18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Техническая дальность самолета при пол</w:t>
      </w:r>
      <w:r w:rsidRPr="001E2C69">
        <w:rPr>
          <w:rFonts w:ascii="Times New Roman" w:hAnsi="Times New Roman"/>
          <w:color w:val="000000" w:themeColor="text1"/>
          <w:sz w:val="16"/>
          <w:szCs w:val="16"/>
        </w:rPr>
        <w:softHyphen/>
        <w:t>ном выгорании горючего на высоте 5000 метров по прибору (Н ст. = 5220 м; на 0;8 максимальной скорости с закрытым высотным корректором получилась равной 1500 км.</w:t>
      </w:r>
    </w:p>
    <w:p w14:paraId="33A7E77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Длины пробегов полученные при испытании превышают длины пробегов испытанного ранее самолета Пе-Збис № 392207, что об"ясняется недостаточной эффективностью тормозов.</w:t>
      </w:r>
    </w:p>
    <w:p w14:paraId="4B67808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Самолет имеет удовлетворительную продольную устойчивость на всех режимах полета за исключением на</w:t>
      </w:r>
      <w:r w:rsidRPr="001E2C69">
        <w:rPr>
          <w:rFonts w:ascii="Times New Roman" w:hAnsi="Times New Roman"/>
          <w:color w:val="000000" w:themeColor="text1"/>
          <w:sz w:val="16"/>
          <w:szCs w:val="16"/>
        </w:rPr>
        <w:softHyphen/>
        <w:t>бора высоты с бомбами в мотогондолах.</w:t>
      </w:r>
    </w:p>
    <w:p w14:paraId="5CBA424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Поперечная устойчивость самолета достаточна. Путевая устойчивость ниже чем у самолетов с хорошей путевой устойчивостью: Ме-110, ДБ3ф, СБ-РК, 103-У.</w:t>
      </w:r>
    </w:p>
    <w:p w14:paraId="708EC24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Увеличение площади вертикального оперения (килей) на 16% с "уменьшавшем" удлинения устойчивость путя практически не изменило.</w:t>
      </w:r>
    </w:p>
    <w:p w14:paraId="2FC078C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Запас руля высоты на предельно передней цен</w:t>
      </w:r>
      <w:r w:rsidRPr="001E2C69">
        <w:rPr>
          <w:rFonts w:ascii="Times New Roman" w:hAnsi="Times New Roman"/>
          <w:color w:val="000000" w:themeColor="text1"/>
          <w:sz w:val="16"/>
          <w:szCs w:val="16"/>
        </w:rPr>
        <w:softHyphen/>
        <w:t>тровке (16,7%) мал. Необходимо регулировку руля высоты про</w:t>
      </w:r>
      <w:r w:rsidRPr="001E2C69">
        <w:rPr>
          <w:rFonts w:ascii="Times New Roman" w:hAnsi="Times New Roman"/>
          <w:color w:val="000000" w:themeColor="text1"/>
          <w:sz w:val="16"/>
          <w:szCs w:val="16"/>
        </w:rPr>
        <w:softHyphen/>
        <w:t>изводить; вверх - 30 , вниз 18-20</w:t>
      </w:r>
    </w:p>
    <w:p w14:paraId="05E774A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Предварительные исследования работы пред</w:t>
      </w:r>
      <w:r w:rsidRPr="001E2C69">
        <w:rPr>
          <w:rFonts w:ascii="Times New Roman" w:hAnsi="Times New Roman"/>
          <w:color w:val="000000" w:themeColor="text1"/>
          <w:sz w:val="16"/>
          <w:szCs w:val="16"/>
        </w:rPr>
        <w:softHyphen/>
        <w:t>крылков, показывают, что на самолете Пе-Збис они работают недостаточно эффективно.</w:t>
      </w:r>
    </w:p>
    <w:p w14:paraId="1B72907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Взлетно-посадочные свойства улучшились нез</w:t>
      </w:r>
      <w:r w:rsidRPr="001E2C69">
        <w:rPr>
          <w:rFonts w:ascii="Times New Roman" w:hAnsi="Times New Roman"/>
          <w:color w:val="000000" w:themeColor="text1"/>
          <w:sz w:val="16"/>
          <w:szCs w:val="16"/>
        </w:rPr>
        <w:softHyphen/>
        <w:t>начительно.</w:t>
      </w:r>
    </w:p>
    <w:p w14:paraId="151C293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Минимальные скорости полета остались без изменений.</w:t>
      </w:r>
    </w:p>
    <w:p w14:paraId="7466584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Срывы потока и тряска хвоста начинаются практически на одинаковых скоростях.</w:t>
      </w:r>
    </w:p>
    <w:p w14:paraId="1556980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отзывам летчиков предкрылки облегчают пи</w:t>
      </w:r>
      <w:r w:rsidRPr="001E2C69">
        <w:rPr>
          <w:rFonts w:ascii="Times New Roman" w:hAnsi="Times New Roman"/>
          <w:color w:val="000000" w:themeColor="text1"/>
          <w:sz w:val="16"/>
          <w:szCs w:val="16"/>
        </w:rPr>
        <w:softHyphen/>
        <w:t>лотирование на планировании на скоростях в диапазоне 230-240 км/час по прибору.</w:t>
      </w:r>
    </w:p>
    <w:p w14:paraId="3614245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Установка конструкции завода № 39 под 2 крупнокалиберных пулемета УБК испытание выдержала удов</w:t>
      </w:r>
      <w:r w:rsidRPr="001E2C69">
        <w:rPr>
          <w:rFonts w:ascii="Times New Roman" w:hAnsi="Times New Roman"/>
          <w:color w:val="000000" w:themeColor="text1"/>
          <w:sz w:val="16"/>
          <w:szCs w:val="16"/>
        </w:rPr>
        <w:softHyphen/>
        <w:t>летворительно.</w:t>
      </w:r>
    </w:p>
    <w:p w14:paraId="3DC2A32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Турельная установка под крупнокалиберный пулемет штурмана конструктора ТОРОПОВА обеспечивает углы обстрела прицедьным огнем, как вправо, так и влево только по 30-35.</w:t>
      </w:r>
    </w:p>
    <w:p w14:paraId="6EF9D39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больших углах вести прицельным огонь из-за тесноты в кабине нельзя.</w:t>
      </w:r>
    </w:p>
    <w:p w14:paraId="0136A86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углах больших 40-45°, из-за встречного потока воздуха, турель развернуть невозможно. Аэродинамический компенсатор турели усилий не снимает.</w:t>
      </w:r>
    </w:p>
    <w:p w14:paraId="28E6ACB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Необходимо доработать компенсаторы установки Торопова на самолете Пе-3бис для использования в полете всего диапазона углов обстрела, допускаемых самой установкой.</w:t>
      </w:r>
    </w:p>
    <w:p w14:paraId="347CBEA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самолете Пе-Збис не предусмотрено химвооружение. Заводу № 39 необходимо обеспечить подвеску химприборов на наружные замки бомбодержателей по типу самолета Пе-2.</w:t>
      </w:r>
    </w:p>
    <w:p w14:paraId="30AAC74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Обзор штурману вперед и в низ отсутствует. Обзор влево и назад ограничен из-за большой тесноты в кабине.</w:t>
      </w:r>
    </w:p>
    <w:p w14:paraId="22ACA0C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Приборы: указатель высоты и скорости штурма</w:t>
      </w:r>
      <w:r w:rsidRPr="001E2C69">
        <w:rPr>
          <w:rFonts w:ascii="Times New Roman" w:hAnsi="Times New Roman"/>
          <w:color w:val="000000" w:themeColor="text1"/>
          <w:sz w:val="16"/>
          <w:szCs w:val="16"/>
        </w:rPr>
        <w:softHyphen/>
        <w:t>ну не видны.</w:t>
      </w:r>
    </w:p>
    <w:p w14:paraId="53A03B7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Необходимо произвести перекомпановку приборов, согласно схемы предлагаемой в отчете.</w:t>
      </w:r>
    </w:p>
    <w:p w14:paraId="4516CFB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обеспечения самолетовождения» в сложных метеоусловиях нужно установись РПК-10.</w:t>
      </w:r>
    </w:p>
    <w:p w14:paraId="172A679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Серийное размещение радиостанции РСИ-4 обеспе</w:t>
      </w:r>
      <w:r w:rsidRPr="001E2C69">
        <w:rPr>
          <w:rFonts w:ascii="Times New Roman" w:hAnsi="Times New Roman"/>
          <w:color w:val="000000" w:themeColor="text1"/>
          <w:sz w:val="16"/>
          <w:szCs w:val="16"/>
        </w:rPr>
        <w:softHyphen/>
        <w:t>чивает дальность связи на высоте 1000 метров только 65-70 км.</w:t>
      </w:r>
    </w:p>
    <w:p w14:paraId="50D588E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размещение РСИ-4 в хвосте фюзеляжа повысило дальность до 110-120 км на той же высоте.</w:t>
      </w:r>
    </w:p>
    <w:p w14:paraId="2AF155A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Производственное выполнение самолета в основ</w:t>
      </w:r>
      <w:r w:rsidRPr="001E2C69">
        <w:rPr>
          <w:rFonts w:ascii="Times New Roman" w:hAnsi="Times New Roman"/>
          <w:color w:val="000000" w:themeColor="text1"/>
          <w:sz w:val="16"/>
          <w:szCs w:val="16"/>
        </w:rPr>
        <w:softHyphen/>
        <w:t>ном удовлетворительно.</w:t>
      </w:r>
    </w:p>
    <w:p w14:paraId="0770358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В процессе испытаний выявлен ряд дефектов. Основных из них:</w:t>
      </w:r>
    </w:p>
    <w:p w14:paraId="76C121B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разрушение подшипников нагнетателя мотора (массовое явление);</w:t>
      </w:r>
    </w:p>
    <w:p w14:paraId="6A36C4B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течь бензобаков № 3 и 1 4 в верхней части по сварке;</w:t>
      </w:r>
    </w:p>
    <w:p w14:paraId="52248D1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засвинцовываются электроды свечей при работе на горючем с продуктом В-20 (массовый дефект), за все время испытаний заменено 60 свечей;</w:t>
      </w:r>
    </w:p>
    <w:p w14:paraId="5F45C6E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течь водорадиатора;</w:t>
      </w:r>
    </w:p>
    <w:p w14:paraId="12EC8F6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 отказ приемников термометра воды (3 случая);</w:t>
      </w:r>
    </w:p>
    <w:p w14:paraId="1846CD3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 отказ динамок тахометров (массовый дефект - 4 раза);</w:t>
      </w:r>
    </w:p>
    <w:p w14:paraId="6F3CA76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ж) отказ бензиномеров;</w:t>
      </w:r>
    </w:p>
    <w:p w14:paraId="04EEF92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 остаточная девиация магнитного компаса превышает допустимые пределы;</w:t>
      </w:r>
    </w:p>
    <w:p w14:paraId="5ED8313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 при перезарядке пушки обрывается троссы перезарядки,</w:t>
      </w:r>
    </w:p>
    <w:p w14:paraId="26E5F19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отсутствует механическая перезарядка пушки;</w:t>
      </w:r>
    </w:p>
    <w:p w14:paraId="5E71EE1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л) дренажный кран </w:t>
      </w:r>
      <w:r w:rsidRPr="001E2C69">
        <w:rPr>
          <w:rFonts w:ascii="Times New Roman" w:hAnsi="Times New Roman"/>
          <w:smallCaps/>
          <w:color w:val="000000" w:themeColor="text1"/>
          <w:sz w:val="16"/>
          <w:szCs w:val="16"/>
        </w:rPr>
        <w:t xml:space="preserve">системы </w:t>
      </w:r>
      <w:r w:rsidRPr="001E2C69">
        <w:rPr>
          <w:rFonts w:ascii="Times New Roman" w:hAnsi="Times New Roman"/>
          <w:color w:val="000000" w:themeColor="text1"/>
          <w:sz w:val="16"/>
          <w:szCs w:val="16"/>
        </w:rPr>
        <w:t>нейтрального газа работает неудовлетворительно:</w:t>
      </w:r>
    </w:p>
    <w:p w14:paraId="53C6F59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положении сектора "ГАЗ" система не всегда включается;</w:t>
      </w:r>
    </w:p>
    <w:p w14:paraId="12C78B0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положении "ДРЕНАЖ" газ поступает как в баки, так и в атмосферу,</w:t>
      </w:r>
    </w:p>
    <w:p w14:paraId="0C2D4CB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Велико избыточное давление газов»в бензоба</w:t>
      </w:r>
      <w:r w:rsidRPr="001E2C69">
        <w:rPr>
          <w:rFonts w:ascii="Times New Roman" w:hAnsi="Times New Roman"/>
          <w:color w:val="000000" w:themeColor="text1"/>
          <w:sz w:val="16"/>
          <w:szCs w:val="16"/>
        </w:rPr>
        <w:softHyphen/>
        <w:t>ках. Необходимо уменьшить давление по 100-120 мм ртутного столба.</w:t>
      </w:r>
    </w:p>
    <w:p w14:paraId="40E57CD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smallCaps/>
          <w:color w:val="000000" w:themeColor="text1"/>
          <w:sz w:val="16"/>
          <w:szCs w:val="16"/>
        </w:rPr>
        <w:t xml:space="preserve">Ведущий </w:t>
      </w:r>
      <w:r w:rsidRPr="001E2C69">
        <w:rPr>
          <w:rFonts w:ascii="Times New Roman" w:hAnsi="Times New Roman"/>
          <w:color w:val="000000" w:themeColor="text1"/>
          <w:sz w:val="16"/>
          <w:szCs w:val="16"/>
        </w:rPr>
        <w:t xml:space="preserve">и н ж е н е р </w:t>
      </w:r>
      <w:r w:rsidRPr="001E2C69">
        <w:rPr>
          <w:rFonts w:ascii="Times New Roman" w:hAnsi="Times New Roman"/>
          <w:smallCaps/>
          <w:color w:val="000000" w:themeColor="text1"/>
          <w:sz w:val="16"/>
          <w:szCs w:val="16"/>
        </w:rPr>
        <w:t>-шжЕнер - полковник сафронов</w:t>
      </w:r>
    </w:p>
    <w:p w14:paraId="3EF26AC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ЗАКЛЮЧЕНИЕ</w:t>
      </w:r>
    </w:p>
    <w:p w14:paraId="74F7B3C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Государственные контрольные испытания серийный самолет Пе-Збис № 40143900, производства завода 39, выдержал удовлетворительно,</w:t>
      </w:r>
    </w:p>
    <w:p w14:paraId="5DB9B94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Просить Н К А П:</w:t>
      </w:r>
    </w:p>
    <w:p w14:paraId="3906CCA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принять меры к устранению дефектов, выявленных на испытании, согласно выводов и прилагаемой ведомости дефектов;</w:t>
      </w:r>
    </w:p>
    <w:p w14:paraId="54E65BB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дать указания заводу № 32 срочно отрабо</w:t>
      </w:r>
      <w:r w:rsidRPr="001E2C69">
        <w:rPr>
          <w:rFonts w:ascii="Times New Roman" w:hAnsi="Times New Roman"/>
          <w:color w:val="000000" w:themeColor="text1"/>
          <w:sz w:val="16"/>
          <w:szCs w:val="16"/>
        </w:rPr>
        <w:softHyphen/>
        <w:t>тать и установить на турель конструкции ТОРОПОВА компенса</w:t>
      </w:r>
      <w:r w:rsidRPr="001E2C69">
        <w:rPr>
          <w:rFonts w:ascii="Times New Roman" w:hAnsi="Times New Roman"/>
          <w:color w:val="000000" w:themeColor="text1"/>
          <w:sz w:val="16"/>
          <w:szCs w:val="16"/>
        </w:rPr>
        <w:softHyphen/>
        <w:t>торы, которые позволили бы получить углы обстрела в воздухе, допускаемые конструкцией установки;</w:t>
      </w:r>
    </w:p>
    <w:p w14:paraId="245A548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срочно провести исследование в ЦАГИ по повышению эффективности предкрылков на самолете Пе-Збис."</w:t>
      </w:r>
    </w:p>
    <w:p w14:paraId="386983F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ДИРЕКТОР ЗАВОДА № 39 (В.И.АБРАМОВ)</w:t>
      </w:r>
    </w:p>
    <w:p w14:paraId="42F8EBD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Г Л, ИНЖЕНЕРА ПО ЭКСПЕРИМЕНТАЛЬНЫМ РАБОТАМ (К.А.ПЕТРОВ) (1678,51).</w:t>
      </w:r>
    </w:p>
    <w:p w14:paraId="627D08D3"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1C85F7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26 августа 1942 Зам. нач. 7 ГУ Алексеев писал письмо в НКАП А.И.Ш. и сообщил, что по письму-предложению лауреата Сталинской премии, ГИ НАТИ Слонимского N 9486 в тех. с-т ОБ ЦК ВКП(б) и в адрес пред. ГКО И.В.С. о создании летающего танка-автожира 7 ГУ дало отрицательное заключение и направило его автору(1684,188). Использовали Замечания к Предложению Слонимского "Летающий танк" к.т.н. Братухина (1684,189).</w:t>
      </w:r>
    </w:p>
    <w:p w14:paraId="2F025542" w14:textId="77777777" w:rsidR="00AE7191" w:rsidRPr="001E2C69" w:rsidRDefault="00AE7191" w:rsidP="00722885">
      <w:pPr>
        <w:pStyle w:val="Iauiue"/>
        <w:jc w:val="both"/>
        <w:rPr>
          <w:color w:val="000000" w:themeColor="text1"/>
          <w:sz w:val="16"/>
          <w:szCs w:val="16"/>
        </w:rPr>
      </w:pPr>
    </w:p>
    <w:p w14:paraId="078D8B5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26 августа 1942 вышел приказ НКАП N 653, в котором, в частности, предполагалось производство авиалыж (911,34).</w:t>
      </w:r>
    </w:p>
    <w:p w14:paraId="5C272B39" w14:textId="77777777" w:rsidR="00AE7191" w:rsidRPr="001E2C69" w:rsidRDefault="00AE7191" w:rsidP="00722885">
      <w:pPr>
        <w:pStyle w:val="Iauiue"/>
        <w:jc w:val="both"/>
        <w:rPr>
          <w:color w:val="000000" w:themeColor="text1"/>
          <w:sz w:val="16"/>
          <w:szCs w:val="16"/>
        </w:rPr>
      </w:pPr>
    </w:p>
    <w:p w14:paraId="65B20066" w14:textId="77777777" w:rsidR="00AC4332" w:rsidRPr="001E2C69" w:rsidRDefault="00AC4332" w:rsidP="00722885">
      <w:pPr>
        <w:pStyle w:val="af"/>
        <w:shd w:val="clear" w:color="auto" w:fill="FFFFFF"/>
        <w:spacing w:before="0" w:after="0"/>
        <w:jc w:val="both"/>
        <w:rPr>
          <w:color w:val="000000" w:themeColor="text1"/>
          <w:sz w:val="16"/>
          <w:szCs w:val="16"/>
        </w:rPr>
      </w:pPr>
      <w:r w:rsidRPr="001E2C69">
        <w:rPr>
          <w:color w:val="000000" w:themeColor="text1"/>
          <w:sz w:val="16"/>
          <w:szCs w:val="16"/>
        </w:rPr>
        <w:t>26 августа 1942 вышел приказ НКАП</w:t>
      </w:r>
    </w:p>
    <w:p w14:paraId="78C628F6" w14:textId="77777777" w:rsidR="00AC4332" w:rsidRPr="001E2C69" w:rsidRDefault="00AC4332" w:rsidP="00722885">
      <w:pPr>
        <w:pStyle w:val="af"/>
        <w:shd w:val="clear" w:color="auto" w:fill="FFFFFF"/>
        <w:spacing w:before="0" w:after="0"/>
        <w:jc w:val="both"/>
        <w:rPr>
          <w:color w:val="000000" w:themeColor="text1"/>
          <w:sz w:val="16"/>
          <w:szCs w:val="16"/>
        </w:rPr>
      </w:pPr>
      <w:r w:rsidRPr="001E2C69">
        <w:rPr>
          <w:color w:val="000000" w:themeColor="text1"/>
          <w:sz w:val="16"/>
          <w:szCs w:val="16"/>
        </w:rPr>
        <w:t>Об отработке конструкции самолетов Як-1, Як-7, Ил-2, ЛаГГ-3 и Пе-2 с лыжами (19706).</w:t>
      </w:r>
    </w:p>
    <w:p w14:paraId="651E5263" w14:textId="77777777" w:rsidR="00AC4332" w:rsidRPr="001E2C69" w:rsidRDefault="00AC4332" w:rsidP="00722885">
      <w:pPr>
        <w:pStyle w:val="af"/>
        <w:shd w:val="clear" w:color="auto" w:fill="FFFFFF"/>
        <w:spacing w:before="0" w:after="0"/>
        <w:jc w:val="both"/>
        <w:rPr>
          <w:color w:val="000000" w:themeColor="text1"/>
          <w:sz w:val="16"/>
          <w:szCs w:val="16"/>
        </w:rPr>
      </w:pPr>
    </w:p>
    <w:p w14:paraId="574B84E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26 августа 1942 вышел приказ НКАП N 655c:</w:t>
      </w:r>
    </w:p>
    <w:p w14:paraId="0736125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"Для обеспечения выполнения задания по проектированию и изготовлению 2-х моторного бомбардировщика конструкции Н.Н.П.:</w:t>
      </w:r>
    </w:p>
    <w:p w14:paraId="406B7D6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1. Строительство производить в Новосибирске на заводе 51 и в Москве на филиале этого же завода, в соответствии с предложенным ГК Н.Н.П. распределение работ </w:t>
      </w:r>
      <w:r w:rsidRPr="001E2C69">
        <w:rPr>
          <w:color w:val="000000" w:themeColor="text1"/>
          <w:sz w:val="16"/>
          <w:szCs w:val="16"/>
        </w:rPr>
        <w:lastRenderedPageBreak/>
        <w:t>по этим базам" *(1586,25).</w:t>
      </w:r>
    </w:p>
    <w:p w14:paraId="76B7EAA1" w14:textId="77777777" w:rsidR="00AE7191" w:rsidRPr="001E2C69" w:rsidRDefault="00AE7191" w:rsidP="00722885">
      <w:pPr>
        <w:pStyle w:val="Iauiue"/>
        <w:jc w:val="both"/>
        <w:rPr>
          <w:color w:val="000000" w:themeColor="text1"/>
          <w:sz w:val="16"/>
          <w:szCs w:val="16"/>
        </w:rPr>
      </w:pPr>
    </w:p>
    <w:p w14:paraId="08B1247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 августа 1942 г. летчик Зайцев совершил на ИТП М-1 Н.Н.П. вынужденную посадку на аэродроме по причине разрушения подшипников вала двигателя.</w:t>
      </w:r>
    </w:p>
    <w:p w14:paraId="0ED1AEF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конце 1942 г. ИТП перевезли в Москву, где на него установили новый, только что прошедший испытания М-107ПА. Смонтированное вооружение состояло из 20-мм пушек 111 ВАК. Между тем полеты опытного истребителя по-прежнему проводились эпизодически. 25 февраля 1943 г. произошла авария Як-9 с М-107А, после которой 107-й двигатель сняли с производства и решили продолжить его усовершенствование. Далее последовало распоряжение заместителя наркома по опытному самолетостроению А.С.Яковлева провести статические испытания ИТП. Самолет успешно выдержал все нагружения до 100%, однако для продолжения полетов далее не годился. Судьба этого экземпляра имела неожиданное продолжение - ИТП (М) в 1944 г. использовали в качестве вентилятора для отработки пульсирующих воздушно-реактивных двигателей. </w:t>
      </w:r>
    </w:p>
    <w:p w14:paraId="1D31441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Второй опытный экземпляр ИТП (М-2), построенный в Новосибирске, первоначально оснастили двигателем АМ-37. Уже после доставки машины в Москву в декабре 1942 г. на нее решили установить двигатель АМ-39. Этот мотор ждали с апреля до 11 октября 1943 г. С получением двигателя его смонтировали на самолете и 23 октября передали его на испытания.</w:t>
      </w:r>
    </w:p>
    <w:p w14:paraId="060E1FD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Первый полет ИТП (М-2) совершил 23 ноября 1943 г., следующий - 2 декабря. В отличие от предыдущего варианта ИТП (М-2) имел только синхронное вооружение, состоящее из установленных в фюзеляже трех пушек ШВАК. Под крылом подвешивалось до 400 кг бомб.</w:t>
      </w:r>
    </w:p>
    <w:p w14:paraId="66E7594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Несмотря на то что истребитель ИТП изначально рассчитывался на высокие полетные скорости около 700 км/ч, приблизиться к этому значению по причине отсутствия подходящих двигателей на практике не удалось. Одновременно, мощное пушечное вооружение в 1943-44 годах уже устанавливалось на серийных истребителях Л а и Як, поэтому от дальнейшего совершенствования ИТП отказались.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1E2C69" w:rsidRPr="001E2C69" w14:paraId="6D0525CF" w14:textId="77777777" w:rsidTr="00CC5360">
        <w:tc>
          <w:tcPr>
            <w:tcW w:w="3736" w:type="dxa"/>
            <w:tcBorders>
              <w:top w:val="single" w:sz="12" w:space="0" w:color="auto"/>
            </w:tcBorders>
          </w:tcPr>
          <w:p w14:paraId="54582BF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Основные характеристики ИТП</w:t>
            </w:r>
          </w:p>
        </w:tc>
        <w:tc>
          <w:tcPr>
            <w:tcW w:w="3736" w:type="dxa"/>
            <w:tcBorders>
              <w:top w:val="single" w:sz="12" w:space="0" w:color="auto"/>
            </w:tcBorders>
          </w:tcPr>
          <w:p w14:paraId="559C822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М-1</w:t>
            </w:r>
          </w:p>
        </w:tc>
        <w:tc>
          <w:tcPr>
            <w:tcW w:w="3736" w:type="dxa"/>
            <w:tcBorders>
              <w:top w:val="single" w:sz="12" w:space="0" w:color="auto"/>
            </w:tcBorders>
          </w:tcPr>
          <w:p w14:paraId="70399B3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М-2</w:t>
            </w:r>
          </w:p>
        </w:tc>
      </w:tr>
      <w:tr w:rsidR="001E2C69" w:rsidRPr="001E2C69" w14:paraId="4754777A" w14:textId="77777777" w:rsidTr="00CC5360">
        <w:tc>
          <w:tcPr>
            <w:tcW w:w="3736" w:type="dxa"/>
          </w:tcPr>
          <w:p w14:paraId="79886E4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Размах крыла (м)</w:t>
            </w:r>
          </w:p>
        </w:tc>
        <w:tc>
          <w:tcPr>
            <w:tcW w:w="3736" w:type="dxa"/>
          </w:tcPr>
          <w:p w14:paraId="01FCAD2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10,0</w:t>
            </w:r>
          </w:p>
        </w:tc>
        <w:tc>
          <w:tcPr>
            <w:tcW w:w="3736" w:type="dxa"/>
          </w:tcPr>
          <w:p w14:paraId="558AC27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10,0</w:t>
            </w:r>
          </w:p>
        </w:tc>
      </w:tr>
      <w:tr w:rsidR="001E2C69" w:rsidRPr="001E2C69" w14:paraId="2E8DEA79" w14:textId="77777777" w:rsidTr="00CC5360">
        <w:tc>
          <w:tcPr>
            <w:tcW w:w="3736" w:type="dxa"/>
          </w:tcPr>
          <w:p w14:paraId="0E785F0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Длина в линии полета (м)</w:t>
            </w:r>
          </w:p>
        </w:tc>
        <w:tc>
          <w:tcPr>
            <w:tcW w:w="3736" w:type="dxa"/>
          </w:tcPr>
          <w:p w14:paraId="3AE29C5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8,95</w:t>
            </w:r>
          </w:p>
        </w:tc>
        <w:tc>
          <w:tcPr>
            <w:tcW w:w="3736" w:type="dxa"/>
          </w:tcPr>
          <w:p w14:paraId="22944E5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9,0</w:t>
            </w:r>
          </w:p>
        </w:tc>
      </w:tr>
      <w:tr w:rsidR="001E2C69" w:rsidRPr="001E2C69" w14:paraId="28975C00" w14:textId="77777777" w:rsidTr="00CC5360">
        <w:tc>
          <w:tcPr>
            <w:tcW w:w="3736" w:type="dxa"/>
          </w:tcPr>
          <w:p w14:paraId="1568E46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крыла (м2)</w:t>
            </w:r>
          </w:p>
        </w:tc>
        <w:tc>
          <w:tcPr>
            <w:tcW w:w="3736" w:type="dxa"/>
          </w:tcPr>
          <w:p w14:paraId="740ED89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16,45</w:t>
            </w:r>
          </w:p>
        </w:tc>
        <w:tc>
          <w:tcPr>
            <w:tcW w:w="3736" w:type="dxa"/>
          </w:tcPr>
          <w:p w14:paraId="7899351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16,45</w:t>
            </w:r>
          </w:p>
        </w:tc>
      </w:tr>
      <w:tr w:rsidR="001E2C69" w:rsidRPr="001E2C69" w14:paraId="3EAAF526" w14:textId="77777777" w:rsidTr="00CC5360">
        <w:tc>
          <w:tcPr>
            <w:tcW w:w="3736" w:type="dxa"/>
          </w:tcPr>
          <w:p w14:paraId="51B123F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Вес пустого (кг)</w:t>
            </w:r>
          </w:p>
        </w:tc>
        <w:tc>
          <w:tcPr>
            <w:tcW w:w="3736" w:type="dxa"/>
          </w:tcPr>
          <w:p w14:paraId="13BDD53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2598</w:t>
            </w:r>
          </w:p>
        </w:tc>
        <w:tc>
          <w:tcPr>
            <w:tcW w:w="3736" w:type="dxa"/>
          </w:tcPr>
          <w:p w14:paraId="74AA271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3095</w:t>
            </w:r>
          </w:p>
        </w:tc>
      </w:tr>
      <w:tr w:rsidR="001E2C69" w:rsidRPr="001E2C69" w14:paraId="14DAEFCE" w14:textId="77777777" w:rsidTr="00CC5360">
        <w:tc>
          <w:tcPr>
            <w:tcW w:w="3736" w:type="dxa"/>
          </w:tcPr>
          <w:p w14:paraId="3F8B917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Полетный вес (кг)</w:t>
            </w:r>
          </w:p>
        </w:tc>
        <w:tc>
          <w:tcPr>
            <w:tcW w:w="3736" w:type="dxa"/>
          </w:tcPr>
          <w:p w14:paraId="68575F5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3750 (3366)</w:t>
            </w:r>
          </w:p>
        </w:tc>
        <w:tc>
          <w:tcPr>
            <w:tcW w:w="3736" w:type="dxa"/>
          </w:tcPr>
          <w:p w14:paraId="7AF1446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3820</w:t>
            </w:r>
          </w:p>
        </w:tc>
      </w:tr>
      <w:tr w:rsidR="001E2C69" w:rsidRPr="001E2C69" w14:paraId="2434DD06" w14:textId="77777777" w:rsidTr="00CC5360">
        <w:tc>
          <w:tcPr>
            <w:tcW w:w="3736" w:type="dxa"/>
          </w:tcPr>
          <w:p w14:paraId="2E2E5C0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Нагрузка на крыло (кг/м2)</w:t>
            </w:r>
          </w:p>
        </w:tc>
        <w:tc>
          <w:tcPr>
            <w:tcW w:w="3736" w:type="dxa"/>
          </w:tcPr>
          <w:p w14:paraId="438D0FC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227</w:t>
            </w:r>
          </w:p>
        </w:tc>
        <w:tc>
          <w:tcPr>
            <w:tcW w:w="3736" w:type="dxa"/>
          </w:tcPr>
          <w:p w14:paraId="15A2DE3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232</w:t>
            </w:r>
          </w:p>
        </w:tc>
      </w:tr>
      <w:tr w:rsidR="001E2C69" w:rsidRPr="001E2C69" w14:paraId="116A6A82" w14:textId="77777777" w:rsidTr="00CC5360">
        <w:tc>
          <w:tcPr>
            <w:tcW w:w="3736" w:type="dxa"/>
          </w:tcPr>
          <w:p w14:paraId="1B0FE34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Максимальная скорость у земли (км/ч)</w:t>
            </w:r>
          </w:p>
        </w:tc>
        <w:tc>
          <w:tcPr>
            <w:tcW w:w="3736" w:type="dxa"/>
          </w:tcPr>
          <w:p w14:paraId="4B8E17A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541</w:t>
            </w:r>
          </w:p>
        </w:tc>
        <w:tc>
          <w:tcPr>
            <w:tcW w:w="3736" w:type="dxa"/>
          </w:tcPr>
          <w:p w14:paraId="252ED9E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540</w:t>
            </w:r>
          </w:p>
        </w:tc>
      </w:tr>
      <w:tr w:rsidR="001E2C69" w:rsidRPr="001E2C69" w14:paraId="0DAD0493" w14:textId="77777777" w:rsidTr="00CC5360">
        <w:tc>
          <w:tcPr>
            <w:tcW w:w="3736" w:type="dxa"/>
          </w:tcPr>
          <w:p w14:paraId="3A84ACC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 скорость у земли на форсаже (км/ч)</w:t>
            </w:r>
          </w:p>
        </w:tc>
        <w:tc>
          <w:tcPr>
            <w:tcW w:w="3736" w:type="dxa"/>
          </w:tcPr>
          <w:p w14:paraId="0EE641C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549</w:t>
            </w:r>
          </w:p>
        </w:tc>
        <w:tc>
          <w:tcPr>
            <w:tcW w:w="3736" w:type="dxa"/>
          </w:tcPr>
          <w:p w14:paraId="3276ABE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600</w:t>
            </w:r>
          </w:p>
        </w:tc>
      </w:tr>
      <w:tr w:rsidR="001E2C69" w:rsidRPr="001E2C69" w14:paraId="082B182C" w14:textId="77777777" w:rsidTr="00CC5360">
        <w:tc>
          <w:tcPr>
            <w:tcW w:w="3736" w:type="dxa"/>
          </w:tcPr>
          <w:p w14:paraId="41953E7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Максимальная скорость на высоте 5000 м (км/ч)</w:t>
            </w:r>
          </w:p>
        </w:tc>
        <w:tc>
          <w:tcPr>
            <w:tcW w:w="3736" w:type="dxa"/>
          </w:tcPr>
          <w:p w14:paraId="158A248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645*</w:t>
            </w:r>
          </w:p>
        </w:tc>
        <w:tc>
          <w:tcPr>
            <w:tcW w:w="3736" w:type="dxa"/>
          </w:tcPr>
          <w:p w14:paraId="6FA781C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560**</w:t>
            </w:r>
          </w:p>
        </w:tc>
      </w:tr>
      <w:tr w:rsidR="001E2C69" w:rsidRPr="001E2C69" w14:paraId="3AE6B4AF" w14:textId="77777777" w:rsidTr="00CC5360">
        <w:tc>
          <w:tcPr>
            <w:tcW w:w="3736" w:type="dxa"/>
          </w:tcPr>
          <w:p w14:paraId="784B182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Время набора высоты 5000 м (мин)</w:t>
            </w:r>
          </w:p>
        </w:tc>
        <w:tc>
          <w:tcPr>
            <w:tcW w:w="3736" w:type="dxa"/>
          </w:tcPr>
          <w:p w14:paraId="73E9F3D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5,4</w:t>
            </w:r>
          </w:p>
        </w:tc>
        <w:tc>
          <w:tcPr>
            <w:tcW w:w="3736" w:type="dxa"/>
          </w:tcPr>
          <w:p w14:paraId="713C8C7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6,0***</w:t>
            </w:r>
          </w:p>
        </w:tc>
      </w:tr>
      <w:tr w:rsidR="001E2C69" w:rsidRPr="001E2C69" w14:paraId="06C8FC40" w14:textId="77777777" w:rsidTr="00CC5360">
        <w:tc>
          <w:tcPr>
            <w:tcW w:w="3736" w:type="dxa"/>
            <w:tcBorders>
              <w:bottom w:val="single" w:sz="12" w:space="0" w:color="auto"/>
            </w:tcBorders>
          </w:tcPr>
          <w:p w14:paraId="3FAE819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Потолок (м)</w:t>
            </w:r>
          </w:p>
        </w:tc>
        <w:tc>
          <w:tcPr>
            <w:tcW w:w="3736" w:type="dxa"/>
            <w:tcBorders>
              <w:bottom w:val="single" w:sz="12" w:space="0" w:color="auto"/>
            </w:tcBorders>
          </w:tcPr>
          <w:p w14:paraId="24AEDD9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3736" w:type="dxa"/>
            <w:tcBorders>
              <w:bottom w:val="single" w:sz="12" w:space="0" w:color="auto"/>
            </w:tcBorders>
          </w:tcPr>
          <w:p w14:paraId="6377D23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11500</w:t>
            </w:r>
          </w:p>
        </w:tc>
      </w:tr>
    </w:tbl>
    <w:p w14:paraId="6781DC6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Скорость на высоте 6200 м</w:t>
      </w:r>
    </w:p>
    <w:p w14:paraId="7BF1E56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Максимальная скорость на 2500 м. на форсаже 650 км/ч</w:t>
      </w:r>
    </w:p>
    <w:p w14:paraId="09FAE69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Время набора высоты (12016).</w:t>
      </w:r>
    </w:p>
    <w:p w14:paraId="796D8CB7"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6D08AFB"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августа 1942 г. после вынужденной посадки ИТП (М-1), когда в полете разру</w:t>
      </w:r>
      <w:r w:rsidRPr="008A2E5A">
        <w:rPr>
          <w:rFonts w:ascii="Times New Roman" w:hAnsi="Times New Roman"/>
          <w:color w:val="0070C0"/>
          <w:sz w:val="16"/>
          <w:szCs w:val="16"/>
        </w:rPr>
        <w:softHyphen/>
        <w:t>шились подшипники вала мотора, поле</w:t>
      </w:r>
      <w:r w:rsidRPr="008A2E5A">
        <w:rPr>
          <w:rFonts w:ascii="Times New Roman" w:hAnsi="Times New Roman"/>
          <w:color w:val="0070C0"/>
          <w:sz w:val="16"/>
          <w:szCs w:val="16"/>
        </w:rPr>
        <w:softHyphen/>
        <w:t>ты прекратили. Самолет в ожидании по</w:t>
      </w:r>
      <w:r w:rsidRPr="008A2E5A">
        <w:rPr>
          <w:rFonts w:ascii="Times New Roman" w:hAnsi="Times New Roman"/>
          <w:color w:val="0070C0"/>
          <w:sz w:val="16"/>
          <w:szCs w:val="16"/>
        </w:rPr>
        <w:softHyphen/>
        <w:t>ступления кондиционного мотора М-107П законсервировали. Всего к этому времени заменили три мотора (24308).</w:t>
      </w:r>
    </w:p>
    <w:p w14:paraId="1970AF6E" w14:textId="77777777" w:rsidR="00A609B0" w:rsidRPr="008A2E5A" w:rsidRDefault="00A609B0" w:rsidP="00A609B0">
      <w:pPr>
        <w:spacing w:after="0" w:line="240" w:lineRule="auto"/>
        <w:jc w:val="both"/>
        <w:rPr>
          <w:rFonts w:ascii="Times New Roman" w:hAnsi="Times New Roman"/>
          <w:color w:val="0070C0"/>
          <w:sz w:val="16"/>
          <w:szCs w:val="16"/>
        </w:rPr>
      </w:pPr>
    </w:p>
    <w:p w14:paraId="7ABC4276"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234E9DFB" w14:textId="77777777" w:rsidR="00AE7191" w:rsidRPr="001E2C69" w:rsidRDefault="00AE7191" w:rsidP="00722885">
      <w:pPr>
        <w:pStyle w:val="Iauiue"/>
        <w:jc w:val="both"/>
        <w:rPr>
          <w:iCs/>
          <w:color w:val="000000" w:themeColor="text1"/>
          <w:sz w:val="16"/>
          <w:szCs w:val="16"/>
        </w:rPr>
      </w:pPr>
    </w:p>
    <w:p w14:paraId="1A0F7C6E" w14:textId="77777777" w:rsidR="00DE48C2" w:rsidRPr="001E2C69" w:rsidRDefault="00DE48C2" w:rsidP="00722885">
      <w:pPr>
        <w:pStyle w:val="af"/>
        <w:spacing w:before="0" w:after="0"/>
        <w:jc w:val="both"/>
        <w:textAlignment w:val="baseline"/>
        <w:rPr>
          <w:color w:val="000000" w:themeColor="text1"/>
          <w:sz w:val="16"/>
          <w:szCs w:val="16"/>
        </w:rPr>
      </w:pPr>
      <w:r w:rsidRPr="001E2C69">
        <w:rPr>
          <w:color w:val="000000" w:themeColor="text1"/>
          <w:sz w:val="16"/>
          <w:szCs w:val="16"/>
        </w:rPr>
        <w:t>26 августа 1942 года Артиллерийский комитет выдал конструкторским бюро задание на разработку гранат направленного действия. Основная борьба за право стать первой кумулятивной ручной гранатой в РККА развернулась между изделиями КБ-30 и НИИ-6.</w:t>
      </w:r>
    </w:p>
    <w:p w14:paraId="5F253E0F" w14:textId="77777777" w:rsidR="00DE48C2" w:rsidRPr="001E2C69" w:rsidRDefault="00DE48C2" w:rsidP="00722885">
      <w:pPr>
        <w:pStyle w:val="af"/>
        <w:spacing w:before="0" w:after="0"/>
        <w:jc w:val="both"/>
        <w:textAlignment w:val="baseline"/>
        <w:rPr>
          <w:color w:val="000000" w:themeColor="text1"/>
          <w:sz w:val="16"/>
          <w:szCs w:val="16"/>
        </w:rPr>
      </w:pPr>
      <w:r w:rsidRPr="001E2C69">
        <w:rPr>
          <w:color w:val="000000" w:themeColor="text1"/>
          <w:sz w:val="16"/>
          <w:szCs w:val="16"/>
        </w:rPr>
        <w:t>КБ-30 разработало гранату направленного действия РПГ-42 НД «Комета» со следующими характеристиками: длина — 280-285 мм, вес — 950 г, вес взрывчатого вещества (ВВ) — 600 г. Отрабатывались варианты изделий с запалом в рукоятке (в собранном виде) и с навинчиваемым запалом. С 15 по 17 октября 1942 года проходили испытания гранат разработки КБ-30. По результатам испытаний оказалось, что гранаты РПГ-42 имеют простую конструкцию, габаритно-весовые данные, не соответствующие чертежу, неудовлетворительное качество заливки ВВ, небезопасные предохранительные устройства и бронепробиваемость в пределах 45-55 мм. Повторных испытаний 19-21 октября доработанные гранаты не выдержали из-за неудовлетворительной бронепробиваемости при метании (45 мм, в статических условиях — 55-60 мм). Несмотря на это 3 декабря НИПСВО КА посчитал, что граната, претерпевшая минимальные изменения, полигонные испытания выдержала и может быть допущена к войсковым испытаниям.</w:t>
      </w:r>
    </w:p>
    <w:p w14:paraId="32CAA4D6" w14:textId="77777777" w:rsidR="00DE48C2" w:rsidRPr="001E2C69" w:rsidRDefault="00DE48C2" w:rsidP="00722885">
      <w:pPr>
        <w:pStyle w:val="af"/>
        <w:spacing w:before="0" w:after="0"/>
        <w:jc w:val="both"/>
        <w:textAlignment w:val="baseline"/>
        <w:rPr>
          <w:color w:val="000000" w:themeColor="text1"/>
          <w:sz w:val="16"/>
          <w:szCs w:val="16"/>
        </w:rPr>
      </w:pPr>
      <w:r w:rsidRPr="001E2C69">
        <w:rPr>
          <w:color w:val="000000" w:themeColor="text1"/>
          <w:sz w:val="16"/>
          <w:szCs w:val="16"/>
        </w:rPr>
        <w:t>В свою очередь, в НИИ-6 разработали свой вариант кумулятивной гранаты, которая проходила полигонные испытания с 30 октября по 3 ноября 1942 года. По чертежу граната имела вес 1139 г и длину 373-375 мм. В собранном виде изделие НИИ-6 оказалось заметно длиннее РПГ-42 (корпус — на 75-80 мм). Особенностью гранаты было изготовление корпуса из бумажного литья и рукоятки из патронной бумаги, запал позаимствовали от винтовочной ружейной гранаты. В качестве взрывчатого вещества использовались сплавы «ТГ» либо «Л». В итоге граната НИИ-6 оказалась сложнее своего непосредственного конкурента, но имела высокие результаты по безотказности действия и бронепробиваемости, что позже позволило ей после доработки конструкции добраться до войсковых испытаний (18876).</w:t>
      </w:r>
    </w:p>
    <w:p w14:paraId="232261FD" w14:textId="77777777" w:rsidR="00DE48C2" w:rsidRPr="001E2C69" w:rsidRDefault="00DE48C2" w:rsidP="00722885">
      <w:pPr>
        <w:pStyle w:val="af"/>
        <w:spacing w:before="0" w:after="0"/>
        <w:jc w:val="both"/>
        <w:textAlignment w:val="baseline"/>
        <w:rPr>
          <w:color w:val="000000" w:themeColor="text1"/>
          <w:sz w:val="16"/>
          <w:szCs w:val="16"/>
        </w:rPr>
      </w:pPr>
    </w:p>
    <w:p w14:paraId="7915DBE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 августа 1942 года КВ-1С (опытный) прошел Государственные испытания на Опытном заводе № 100, которые начались с 28 июля. По результатам испытаний с учетом устранения выявленных дефектов, танк был при</w:t>
      </w:r>
      <w:r w:rsidRPr="001E2C69">
        <w:rPr>
          <w:rFonts w:ascii="Times New Roman" w:hAnsi="Times New Roman"/>
          <w:color w:val="000000" w:themeColor="text1"/>
          <w:sz w:val="16"/>
          <w:szCs w:val="16"/>
        </w:rPr>
        <w:softHyphen/>
        <w:t>нят на вооружение РККА. Второй изготовленный образец являлся предсерийным вариантом танка КВ-1С. В период с 13 августа по 20 ок</w:t>
      </w:r>
      <w:r w:rsidRPr="001E2C69">
        <w:rPr>
          <w:rFonts w:ascii="Times New Roman" w:hAnsi="Times New Roman"/>
          <w:color w:val="000000" w:themeColor="text1"/>
          <w:sz w:val="16"/>
          <w:szCs w:val="16"/>
        </w:rPr>
        <w:softHyphen/>
        <w:t>тября 1943 г. он прошел длительные заводские испытания. Первый опытный образец танка КВ-1С был разработан на базе тан</w:t>
      </w:r>
      <w:r w:rsidRPr="001E2C69">
        <w:rPr>
          <w:rFonts w:ascii="Times New Roman" w:hAnsi="Times New Roman"/>
          <w:color w:val="000000" w:themeColor="text1"/>
          <w:sz w:val="16"/>
          <w:szCs w:val="16"/>
        </w:rPr>
        <w:softHyphen/>
        <w:t>ка КВ-1 обр. 1941 г. и отличался от него уменьшенной толщиной борто</w:t>
      </w:r>
      <w:r w:rsidRPr="001E2C69">
        <w:rPr>
          <w:rFonts w:ascii="Times New Roman" w:hAnsi="Times New Roman"/>
          <w:color w:val="000000" w:themeColor="text1"/>
          <w:sz w:val="16"/>
          <w:szCs w:val="16"/>
        </w:rPr>
        <w:softHyphen/>
        <w:t>вых листов корпуса и днища, а также размещением членов экипажа в башне. От предсерийного образца и серийного танка КВ-1 С он отличал</w:t>
      </w:r>
      <w:r w:rsidRPr="001E2C69">
        <w:rPr>
          <w:rFonts w:ascii="Times New Roman" w:hAnsi="Times New Roman"/>
          <w:color w:val="000000" w:themeColor="text1"/>
          <w:sz w:val="16"/>
          <w:szCs w:val="16"/>
        </w:rPr>
        <w:softHyphen/>
        <w:t>ся отсутствием поручней для танкового десанта на корпусе и башне ма</w:t>
      </w:r>
      <w:r w:rsidRPr="001E2C69">
        <w:rPr>
          <w:rFonts w:ascii="Times New Roman" w:hAnsi="Times New Roman"/>
          <w:color w:val="000000" w:themeColor="text1"/>
          <w:sz w:val="16"/>
          <w:szCs w:val="16"/>
        </w:rPr>
        <w:softHyphen/>
        <w:t>шины и установкой защитного козырька над смотровым люком механи</w:t>
      </w:r>
      <w:r w:rsidRPr="001E2C69">
        <w:rPr>
          <w:rFonts w:ascii="Times New Roman" w:hAnsi="Times New Roman"/>
          <w:color w:val="000000" w:themeColor="text1"/>
          <w:sz w:val="16"/>
          <w:szCs w:val="16"/>
        </w:rPr>
        <w:softHyphen/>
        <w:t>ка-водителя. Танк, имевший классическую схему общей компоновки, был воору</w:t>
      </w:r>
      <w:r w:rsidRPr="001E2C69">
        <w:rPr>
          <w:rFonts w:ascii="Times New Roman" w:hAnsi="Times New Roman"/>
          <w:color w:val="000000" w:themeColor="text1"/>
          <w:sz w:val="16"/>
          <w:szCs w:val="16"/>
        </w:rPr>
        <w:softHyphen/>
        <w:t>жен 76,2-мм танковой пушкой ЗИС-5 обр. 1941 г. и четырьмя 7,62-мм пулеметами ДТ, один из которых был спарен с пушкой. Пушка и спарен</w:t>
      </w:r>
      <w:r w:rsidRPr="001E2C69">
        <w:rPr>
          <w:rFonts w:ascii="Times New Roman" w:hAnsi="Times New Roman"/>
          <w:color w:val="000000" w:themeColor="text1"/>
          <w:sz w:val="16"/>
          <w:szCs w:val="16"/>
        </w:rPr>
        <w:softHyphen/>
        <w:t>ный пулемет устанавливались в маске и имели общие приборы и меха</w:t>
      </w:r>
      <w:r w:rsidRPr="001E2C69">
        <w:rPr>
          <w:rFonts w:ascii="Times New Roman" w:hAnsi="Times New Roman"/>
          <w:color w:val="000000" w:themeColor="text1"/>
          <w:sz w:val="16"/>
          <w:szCs w:val="16"/>
        </w:rPr>
        <w:softHyphen/>
        <w:t>низмы наводки и стрельбы (10703).</w:t>
      </w:r>
    </w:p>
    <w:p w14:paraId="56A1570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06956192" w14:textId="77777777" w:rsidR="00885B41" w:rsidRPr="001E2C69" w:rsidRDefault="00885B41"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26 августа 1942 года два об</w:t>
      </w:r>
      <w:r w:rsidRPr="001E2C69">
        <w:rPr>
          <w:rFonts w:ascii="Times New Roman" w:cs="Times New Roman"/>
          <w:color w:val="000000" w:themeColor="text1"/>
          <w:spacing w:val="0"/>
        </w:rPr>
        <w:softHyphen/>
        <w:t xml:space="preserve">разца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-1С прошли государственные ис</w:t>
      </w:r>
      <w:r w:rsidRPr="001E2C69">
        <w:rPr>
          <w:rFonts w:ascii="Times New Roman" w:cs="Times New Roman"/>
          <w:color w:val="000000" w:themeColor="text1"/>
          <w:spacing w:val="0"/>
        </w:rPr>
        <w:softHyphen/>
        <w:t xml:space="preserve">пытания на опытном заводе № 100, которые шли с 28 июля. По сравнению с танком КВ-1 на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-1С была уменьшена до 60 мм толщина броне</w:t>
      </w:r>
      <w:r w:rsidRPr="001E2C69">
        <w:rPr>
          <w:rFonts w:ascii="Times New Roman" w:cs="Times New Roman"/>
          <w:color w:val="000000" w:themeColor="text1"/>
          <w:spacing w:val="0"/>
        </w:rPr>
        <w:softHyphen/>
        <w:t>вых листов, изменена форма кормы корпу</w:t>
      </w:r>
      <w:r w:rsidRPr="001E2C69">
        <w:rPr>
          <w:rFonts w:ascii="Times New Roman" w:cs="Times New Roman"/>
          <w:color w:val="000000" w:themeColor="text1"/>
          <w:spacing w:val="0"/>
        </w:rPr>
        <w:softHyphen/>
        <w:t>са, установлена башня новой конструкции с командирской башенкой кругового обзора, новые смотровые приборы. Существенные изменения внесли конструкторы и в сило</w:t>
      </w:r>
      <w:r w:rsidRPr="001E2C69">
        <w:rPr>
          <w:rFonts w:ascii="Times New Roman" w:cs="Times New Roman"/>
          <w:color w:val="000000" w:themeColor="text1"/>
          <w:spacing w:val="0"/>
        </w:rPr>
        <w:softHyphen/>
        <w:t>вую передачу танка КВ-1С, установив новый главный фрикцион, восьмискоростную ко</w:t>
      </w:r>
      <w:r w:rsidRPr="001E2C69">
        <w:rPr>
          <w:rFonts w:ascii="Times New Roman" w:cs="Times New Roman"/>
          <w:color w:val="000000" w:themeColor="text1"/>
          <w:spacing w:val="0"/>
        </w:rPr>
        <w:softHyphen/>
        <w:t>робку перемены передач с силуминовым кар</w:t>
      </w:r>
      <w:r w:rsidRPr="001E2C69">
        <w:rPr>
          <w:rFonts w:ascii="Times New Roman" w:cs="Times New Roman"/>
          <w:color w:val="000000" w:themeColor="text1"/>
          <w:spacing w:val="0"/>
        </w:rPr>
        <w:softHyphen/>
        <w:t>тером (восемь скоростей вперед и две назад). Кроме того, на танке смонтировали радиа</w:t>
      </w:r>
      <w:r w:rsidRPr="001E2C69">
        <w:rPr>
          <w:rFonts w:ascii="Times New Roman" w:cs="Times New Roman"/>
          <w:color w:val="000000" w:themeColor="text1"/>
          <w:spacing w:val="0"/>
        </w:rPr>
        <w:softHyphen/>
        <w:t>торы и вентилятор другой конструкции, из</w:t>
      </w:r>
      <w:r w:rsidRPr="001E2C69">
        <w:rPr>
          <w:rFonts w:ascii="Times New Roman" w:cs="Times New Roman"/>
          <w:color w:val="000000" w:themeColor="text1"/>
          <w:spacing w:val="0"/>
        </w:rPr>
        <w:softHyphen/>
        <w:t>менили расположение аккумуляторов. В хо</w:t>
      </w:r>
      <w:r w:rsidRPr="001E2C69">
        <w:rPr>
          <w:rFonts w:ascii="Times New Roman" w:cs="Times New Roman"/>
          <w:color w:val="000000" w:themeColor="text1"/>
          <w:spacing w:val="0"/>
        </w:rPr>
        <w:softHyphen/>
        <w:t>довой части применили облегченные опор</w:t>
      </w:r>
      <w:r w:rsidRPr="001E2C69">
        <w:rPr>
          <w:rFonts w:ascii="Times New Roman" w:cs="Times New Roman"/>
          <w:color w:val="000000" w:themeColor="text1"/>
          <w:spacing w:val="0"/>
        </w:rPr>
        <w:softHyphen/>
        <w:t>ные катки, ленивец и облегченные гусеницы уменьшенной ширины. В результате всех этих изменений мас</w:t>
      </w:r>
      <w:r w:rsidRPr="001E2C69">
        <w:rPr>
          <w:rFonts w:ascii="Times New Roman" w:cs="Times New Roman"/>
          <w:color w:val="000000" w:themeColor="text1"/>
          <w:spacing w:val="0"/>
        </w:rPr>
        <w:softHyphen/>
        <w:t>са КВ-1С снизилась до 42,3 т, возросла ско</w:t>
      </w:r>
      <w:r w:rsidRPr="001E2C69">
        <w:rPr>
          <w:rFonts w:ascii="Times New Roman" w:cs="Times New Roman"/>
          <w:color w:val="000000" w:themeColor="text1"/>
          <w:spacing w:val="0"/>
        </w:rPr>
        <w:softHyphen/>
        <w:t>рость (до 43,3 км/ч по шоссе), улучшилась маневренность и надежность танка.</w:t>
      </w:r>
    </w:p>
    <w:p w14:paraId="2BCCDB55" w14:textId="77777777" w:rsidR="00885B41" w:rsidRPr="001E2C69" w:rsidRDefault="00885B41" w:rsidP="00722885">
      <w:pPr>
        <w:pStyle w:val="27"/>
        <w:shd w:val="clear" w:color="auto" w:fill="auto"/>
        <w:spacing w:after="0" w:line="240" w:lineRule="auto"/>
        <w:ind w:firstLine="0"/>
        <w:rPr>
          <w:rFonts w:ascii="Times New Roman" w:cs="Times New Roman"/>
          <w:color w:val="000000" w:themeColor="text1"/>
          <w:spacing w:val="0"/>
        </w:rPr>
      </w:pPr>
    </w:p>
    <w:p w14:paraId="0F28941C"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26 августа 1942 года первый образец танка КВ-1с с серийным номером 15001, который больше использовался как тестовая лаборатория, преодолел 781 километр испытательного пробега. В одном из побегов танк достиг максимальной скорости 46,1 км/ч. Впрочем, приоритетом были испытания КВ-1с с серийным номером 15002. Она имела эталонную конфигурацию, естественно, и интересовала она больше. Испытания танка начались 28 июля, к 26 августа он преодолел 2027 километров. Максимальная скорость по шоссе составила 43,3 км/ч, что тоже неплохо. Средняя скорость по шоссе составила 22,4 км/ч, по проселку 15,8 км/ч, а по целине 15,5 км/ч. Минимальная разница между проселком и целиной удивлять не должна, дорогой это можно было назвать условно. Расход топлива по шоссе составил 280 литров на 100 километров, а по проселку и целине - 350 литров.</w:t>
      </w:r>
    </w:p>
    <w:p w14:paraId="22C6B590"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Важным моментом была проверка теплового режима двигателя. При температуре воздуха +25 градусов температура воды не поднималась выше 90 градусов. Правда, на максимальной скорости можно было двигаться недолго - танк перегревался. Также проверялась работа коробки передач, для чего КВ-1с таскал за собой на буксире КВ-1. Дефектов КПП не обнаружилось. Входе испытаний танк преодолевал подъемы под углом до 38 градусов. Танк уверенно преодолел брод глубиной 1,6 метр, правда, внутрь начинала заливаться вода, которая просачивалась через нижние люки. В целом танк показал себя надежной машиной, но имелись дефекты по моторам. В общей сложности на нем заменили 3 двигателя, причиной указали заводской брак.</w:t>
      </w:r>
    </w:p>
    <w:p w14:paraId="3C30226A"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Хватало и других мелких недоработок, тем не менее, общие выводы по результатам были сделаны положительные. Танк в целом соответствовал характеристикам, окончательные выводы по нему сделали 9 сентября 1942 года. Самое интересное, что на тот момент танк уже производился. Первые танки стали собирать в районе 20 августа, когда уже было понятно, что машина получилась. Впрочем, такой фальстарт имел определенные последствия, да и в целом первый год производства КВ-</w:t>
      </w:r>
      <w:r w:rsidRPr="008A2E5A">
        <w:rPr>
          <w:rFonts w:ascii="Times New Roman" w:hAnsi="Times New Roman"/>
          <w:color w:val="0070C0"/>
          <w:sz w:val="16"/>
          <w:szCs w:val="16"/>
        </w:rPr>
        <w:lastRenderedPageBreak/>
        <w:t>1с оказался очень сложным. Балжи в этом смысле "везло": в 1945 году в примерно таком же пожарном темпе рождался ИС-3. Несмотря на то, что подобный подход приводил к отрицательным результатам, плюсов оказалось больше. Во многом новый танк за неполных 2 месяца разработки - это большое достижение. Что же касается опытных машин, то КВ-1с №15002 дожил до наших дней. Правда, в сильно измененном виде (23351).</w:t>
      </w:r>
    </w:p>
    <w:p w14:paraId="1DA512D4" w14:textId="77777777" w:rsidR="00A609B0" w:rsidRPr="008A2E5A" w:rsidRDefault="00A609B0" w:rsidP="00A609B0">
      <w:pPr>
        <w:spacing w:after="0" w:line="240" w:lineRule="auto"/>
        <w:jc w:val="both"/>
        <w:rPr>
          <w:rFonts w:ascii="Times New Roman" w:hAnsi="Times New Roman"/>
          <w:color w:val="0070C0"/>
          <w:sz w:val="16"/>
          <w:szCs w:val="16"/>
        </w:rPr>
      </w:pPr>
    </w:p>
    <w:p w14:paraId="5035D21D"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августа 1942</w:t>
      </w:r>
    </w:p>
    <w:p w14:paraId="3BCA7BED"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94 лист 101 – 100</w:t>
      </w:r>
    </w:p>
    <w:p w14:paraId="62010152"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5B9C98E7"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w:t>
      </w:r>
    </w:p>
    <w:p w14:paraId="21A2C843"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НАРОДНОМУ КОМИССАРИАТУ ТАНКОВОЙ ПРОМЫШЛЕННОСТИ СОЮЗА ССР</w:t>
      </w:r>
    </w:p>
    <w:p w14:paraId="7CE96CDB"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625с</w:t>
      </w:r>
    </w:p>
    <w:p w14:paraId="22020871"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Москва</w:t>
      </w:r>
    </w:p>
    <w:p w14:paraId="430AACB2"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августа 1942 г.</w:t>
      </w:r>
    </w:p>
    <w:p w14:paraId="0B8FF3BF"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обеспечения стальным литьем танковой программы, установленной заводу № 174 на сентябрь 1942 г. и создания заделов на октябрь ПРИКАЗЫВАЮ:</w:t>
      </w:r>
    </w:p>
    <w:p w14:paraId="2C869A04"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 Директорам заводов: № 200 т. Сочивко, № 183 т. Максареву, № 112 т. Рубинчик, Уралмашзавод т. Музрукову и Кировского завода т. Махонину принять к неуклонному исполнению поставку заводу № 174 в сентябре 1942 г. стального литья и заготовок Т-34 в сроки и количествах соответственно указанным в приложениях № 1, 2, 3, 4 и 5. Поставку литья заводу № 174 произвести в первую очередь и при любых условиях наравне с деталями для обеспечения собственного производства танков и корпусов.</w:t>
      </w:r>
    </w:p>
    <w:p w14:paraId="42CF44B3"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 Директору завода № 174 тов. Кацнельсон:</w:t>
      </w:r>
    </w:p>
    <w:p w14:paraId="248B582D"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учесть, что в соответствии с ранее изданными приказами НКТП с 1 сентября 1942 г. – сняты с поставки стальные отливки деталей: 08-002, 26-606, 29-1243, 29-1244, 16-027/028 и должны быть обеспечены у себя за счет перевода на кузнечную заготовку и сварку (дет. 26-606);</w:t>
      </w:r>
    </w:p>
    <w:p w14:paraId="10C28553"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принять самые решительные меры по быстрейшему освоению производства штампованных колес и деталей, указанных в приказе НКТП № 136м от 14/IV-42 г. на имеющемся кузнечно-прессовом оборудовании;</w:t>
      </w:r>
    </w:p>
    <w:p w14:paraId="118185DD"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организовать с 1 октября 1942 г. производство стальных отливок мелкого развеса углеродистой стали из бессемера для чего:</w:t>
      </w:r>
    </w:p>
    <w:p w14:paraId="30F9386B"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Изготовить собственными средствами бессемеровскую установку используя для этого имеющиеся вентиляторы чугунно-литейного цеха бывшего Ворошиловградского завода.</w:t>
      </w:r>
    </w:p>
    <w:p w14:paraId="63F61F22"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К 10 сентября изготовить модельно-опочный инвентарь для следующих деталей: 08-002, 12-006, 12-001, 13-017, 15-031, 19-102, 29-1172, 29-1646, 29-1647, 29-1649, 34-002, 30-391, 30-392, 35-129, 26-606, 16-027/028, произвести опытные отливки из имеющейся на заводе № 166 бессемеровской установки, и к 25.IX-42 г. провести испытания пробегом на машине на равнопрочность перечисленных выше деталей из стального литья, полученных методом бессемера.</w:t>
      </w:r>
    </w:p>
    <w:p w14:paraId="74155961"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Одновременно провести испытания ведущих литых колес (34-11-029) и кронштейнов ленивцев (34-29-615/616), отлитых из стали марки "СЛ-2" завода № 200. Результаты испытания с заключением военпреда БТУ и КБ представить в Наркомат к 1 октября 42 г.</w:t>
      </w:r>
    </w:p>
    <w:p w14:paraId="7212CC01"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III. Директору завода № 200 тов. Сочивко:</w:t>
      </w:r>
    </w:p>
    <w:p w14:paraId="5629469C"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Обеспечить к 10 сентября 1942 г. отливку из стали "СЛ-2" 10 штук ведущих колес (34-11-029) и кронштейнов ленивцев (34-29-615/616) и отправить багажом заводу № 174 к этому же сроку с маркировкой "опытные".</w:t>
      </w:r>
    </w:p>
    <w:p w14:paraId="0886BF71"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ЗАМЕСТИТЕЛЬ НАРОДНОГО КОМИССАРА ТАНКОВОЙ ПРОМЫШЛЕННОСТИ СОЮЗА ССР</w:t>
      </w:r>
    </w:p>
    <w:p w14:paraId="346B13B0"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П. ЗЕРНОВ</w:t>
      </w:r>
    </w:p>
    <w:p w14:paraId="0ADF2547"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отп. 1 экз. № 9763</w:t>
      </w:r>
    </w:p>
    <w:p w14:paraId="2DA5BC35"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 Жарков</w:t>
      </w:r>
    </w:p>
    <w:p w14:paraId="4A32058F"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пс. 24.VIII.</w:t>
      </w:r>
    </w:p>
    <w:p w14:paraId="7C0C23A6"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94 лист 99</w:t>
      </w:r>
    </w:p>
    <w:p w14:paraId="78C09C4D"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ПРИЛОЖЕНИЕ № 1</w:t>
      </w:r>
    </w:p>
    <w:p w14:paraId="10391FB3"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приказу НКТП № 625с от 26/VIII-1942 г.</w:t>
      </w:r>
    </w:p>
    <w:p w14:paraId="7A81D4E4"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ВЕДОМОСТЬ</w:t>
      </w:r>
    </w:p>
    <w:p w14:paraId="61D117E0"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поставок стального литья Т-34 с завода № 200 на сентябрь мес.</w:t>
      </w:r>
    </w:p>
    <w:p w14:paraId="2D8DDFB1"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 Начальника Металлургического отдела НКТП</w:t>
      </w:r>
    </w:p>
    <w:p w14:paraId="36CB51AF"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Середин</w:t>
      </w:r>
    </w:p>
    <w:p w14:paraId="31096BE2"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94 лист 98</w:t>
      </w:r>
    </w:p>
    <w:p w14:paraId="517C979D"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ПРИЛОЖЕНИЕ № 2</w:t>
      </w:r>
    </w:p>
    <w:p w14:paraId="33D14C0F"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приказу НКТП № 625с от 26/VIII-1942 г.</w:t>
      </w:r>
    </w:p>
    <w:p w14:paraId="7F5FB61C"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ВЕДОМОСТЬ</w:t>
      </w:r>
    </w:p>
    <w:p w14:paraId="15DA4823"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поставок стального литья Т-34 с завода № 183 на сентябрь мес.</w:t>
      </w:r>
    </w:p>
    <w:p w14:paraId="720E12D8"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 Начальника Металлургического отдела НКТП</w:t>
      </w:r>
    </w:p>
    <w:p w14:paraId="20F5E826"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Середин</w:t>
      </w:r>
    </w:p>
    <w:p w14:paraId="14D7C111"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94 лист 97</w:t>
      </w:r>
    </w:p>
    <w:p w14:paraId="341652B0"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ПРИЛОЖЕНИЕ № 3</w:t>
      </w:r>
    </w:p>
    <w:p w14:paraId="576EF58A"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приказу НКТП № 625с от 26/VIII-1942 г.</w:t>
      </w:r>
    </w:p>
    <w:p w14:paraId="56CE9389"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ВЕДОМОСТЬ</w:t>
      </w:r>
    </w:p>
    <w:p w14:paraId="4DFED7E5"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поставок стального литья и заготовок Т-34 с завода № 112 на сентябрь мес.</w:t>
      </w:r>
    </w:p>
    <w:p w14:paraId="44AD3FF6"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 Начальника Металлургического отдела НКТП</w:t>
      </w:r>
    </w:p>
    <w:p w14:paraId="457B9D0E"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Середин</w:t>
      </w:r>
    </w:p>
    <w:p w14:paraId="3244F003"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94 лист 96</w:t>
      </w:r>
    </w:p>
    <w:p w14:paraId="19B87956"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ПРИЛОЖЕНИЕ № 4</w:t>
      </w:r>
    </w:p>
    <w:p w14:paraId="55138E57"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приказу НКТП № 625с от 26/VIII-1942 г.</w:t>
      </w:r>
    </w:p>
    <w:p w14:paraId="6A487EFD"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ВЕДОМОСТЬ</w:t>
      </w:r>
    </w:p>
    <w:p w14:paraId="7A3C9283"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поставок стального литья Т-34 с Уралмашзавода на сентябрь мес.</w:t>
      </w:r>
    </w:p>
    <w:p w14:paraId="00CDAD4B"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 Начальника Металлургического отдела НКТП</w:t>
      </w:r>
    </w:p>
    <w:p w14:paraId="6D7DD9E7"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Середин</w:t>
      </w:r>
    </w:p>
    <w:p w14:paraId="101D73F3"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94 лист 95</w:t>
      </w:r>
    </w:p>
    <w:p w14:paraId="54F5E80D"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ПРИЛОЖЕНИЕ № 5</w:t>
      </w:r>
    </w:p>
    <w:p w14:paraId="78D40C17"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приказу НКТП № 625с от 26/VIII-1942 г.</w:t>
      </w:r>
    </w:p>
    <w:p w14:paraId="79E0D898"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ВЕДОМОСТЬ</w:t>
      </w:r>
    </w:p>
    <w:p w14:paraId="41E2445E"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поставок стального литья Т-34 с Кировского завода на сентябрь мес.</w:t>
      </w:r>
    </w:p>
    <w:p w14:paraId="20659B73"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 Начальника Металлургического отдела НКТП</w:t>
      </w:r>
    </w:p>
    <w:p w14:paraId="75094152"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Середин (23505).</w:t>
      </w:r>
    </w:p>
    <w:p w14:paraId="7F1BEFFB" w14:textId="77777777" w:rsidR="00A609B0" w:rsidRPr="008A2E5A" w:rsidRDefault="00A609B0" w:rsidP="00A609B0">
      <w:pPr>
        <w:spacing w:after="0" w:line="240" w:lineRule="auto"/>
        <w:jc w:val="both"/>
        <w:rPr>
          <w:rFonts w:ascii="Times New Roman" w:hAnsi="Times New Roman"/>
          <w:color w:val="0070C0"/>
          <w:sz w:val="16"/>
          <w:szCs w:val="16"/>
        </w:rPr>
      </w:pPr>
    </w:p>
    <w:p w14:paraId="6DD26080"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августа 1942</w:t>
      </w:r>
    </w:p>
    <w:p w14:paraId="3ACCF321"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94 лист 109</w:t>
      </w:r>
    </w:p>
    <w:p w14:paraId="639810BA"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5BC6A44F"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w:t>
      </w:r>
    </w:p>
    <w:p w14:paraId="6E9A4463"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НАРОДНОМУ КОМИССАРИАТУ ТАНКОВОЙ ПРОМЫШЛЕННОСТИ СССР № 628с</w:t>
      </w:r>
    </w:p>
    <w:p w14:paraId="2F3E7411"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Москва</w:t>
      </w:r>
    </w:p>
    <w:p w14:paraId="09F76B73"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августа 1942 г.</w:t>
      </w:r>
    </w:p>
    <w:p w14:paraId="73E1C1E3"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 183 тов. МАКСАРЕВ не выполнил приказ НКТП № 565с от 4/VIII-с.г. и сорвал выполнение плана производства бандажей и прессформ, чем поставил под серьезную угрозу выпуск танков на заводе № 183.</w:t>
      </w:r>
    </w:p>
    <w:p w14:paraId="36D81AA0"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ПРИКАЗЫВАЮ:</w:t>
      </w:r>
    </w:p>
    <w:p w14:paraId="1B823B07"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1. Директору завода № 183 т. МАКСАРЕВУ объявить выговор за срыв выполнения приказа Наркомата № 565с по изготовлению бандажей и прессформ. Предупредить т. МАКСАРЕВА и Главного инженера т. КОРДУНЕРА, что если они в течение 3-х дней не доведут ежесуточный выпуск бандажей до 150 штук в сутки, то будут привлечены к более строгой ответственности.</w:t>
      </w:r>
    </w:p>
    <w:p w14:paraId="6E1F3948"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Предупредит директоров заводов: Кировского т. МАХОНИНА, № 112 т. РУБИНЧИК, № 174 – т. КАЦНЕЛЬСОН, № 176 т. ФЕДОТОВА и Уралмашзавода т. МУЗРУКОВА, что выполнение установленного графика по изготовлению бандажей и прессформ в соответствии с приказом НКТП № 565с от 4/VIII-с.г. является первоочередной важнейшей задачей.</w:t>
      </w:r>
    </w:p>
    <w:p w14:paraId="3EE572C5"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ЗАМЕСТИТЕЛЬ НАРОДНОГО КОМИССАРА ТАНКОВОЙ ПРОМЫШЛЕННОСТИ СОЮЗА ССР</w:t>
      </w:r>
    </w:p>
    <w:p w14:paraId="0370D3E6" w14:textId="77777777" w:rsidR="00A609B0" w:rsidRPr="008A2E5A" w:rsidRDefault="00A609B0" w:rsidP="00A609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П.М. ЗЕРНОВ (23506).</w:t>
      </w:r>
    </w:p>
    <w:p w14:paraId="1A7DDA5A" w14:textId="77777777" w:rsidR="00A609B0" w:rsidRPr="008A2E5A" w:rsidRDefault="00A609B0" w:rsidP="00A609B0">
      <w:pPr>
        <w:spacing w:after="0" w:line="240" w:lineRule="auto"/>
        <w:jc w:val="both"/>
        <w:rPr>
          <w:rFonts w:ascii="Times New Roman" w:hAnsi="Times New Roman"/>
          <w:color w:val="0070C0"/>
          <w:sz w:val="16"/>
          <w:szCs w:val="16"/>
        </w:rPr>
      </w:pPr>
    </w:p>
    <w:p w14:paraId="6D0715A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26 августа 1942 года согласно приказу НКАП от № 663/с и приказу по заводу от 7 сентября 1942 года за № 530 строительство заводов было объединено с передачей всех объектов для достройки. Первые три квартала 1942 года строительство шло по двум отдельным, самостоятельным титульным спискам, т.е. по титулу завода № 126 и титулу завода № 130, переданному заводу по решению Правительства (9444).</w:t>
      </w:r>
    </w:p>
    <w:p w14:paraId="43D7B131" w14:textId="77777777" w:rsidR="00AE7191" w:rsidRPr="001E2C69" w:rsidRDefault="00AE7191" w:rsidP="00722885">
      <w:pPr>
        <w:pStyle w:val="Iauiue"/>
        <w:jc w:val="both"/>
        <w:rPr>
          <w:color w:val="000000" w:themeColor="text1"/>
          <w:sz w:val="16"/>
          <w:szCs w:val="16"/>
        </w:rPr>
      </w:pPr>
    </w:p>
    <w:p w14:paraId="44B57DB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26 августа 1942 года был подписан:</w:t>
      </w:r>
    </w:p>
    <w:p w14:paraId="01A5ACC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Акт передачи завода № 1 “Стекломашина” из Наркомата легкой промышленности в наркомат минометного вооружения</w:t>
      </w:r>
    </w:p>
    <w:p w14:paraId="4BE318F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Адрес: Москва, загородное шоссе, д. 5 (8663)</w:t>
      </w:r>
    </w:p>
    <w:p w14:paraId="6241125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26 августа 1942 г. Н. Г. Куз</w:t>
      </w:r>
      <w:r w:rsidRPr="001E2C69">
        <w:rPr>
          <w:color w:val="000000" w:themeColor="text1"/>
          <w:sz w:val="16"/>
          <w:szCs w:val="16"/>
        </w:rPr>
        <w:softHyphen/>
        <w:t>нецов утвердил Задание на новый эсминец (пр. 40) и оно предусматривало увеличение стан</w:t>
      </w:r>
      <w:r w:rsidRPr="001E2C69">
        <w:rPr>
          <w:color w:val="000000" w:themeColor="text1"/>
          <w:sz w:val="16"/>
          <w:szCs w:val="16"/>
        </w:rPr>
        <w:softHyphen/>
        <w:t>дартного водоизмещения до 2700 т, исключение транцевого обра</w:t>
      </w:r>
      <w:r w:rsidRPr="001E2C69">
        <w:rPr>
          <w:color w:val="000000" w:themeColor="text1"/>
          <w:sz w:val="16"/>
          <w:szCs w:val="16"/>
        </w:rPr>
        <w:softHyphen/>
        <w:t>зования кормы и устройство подъема полубака по типу английских эсминцев, показавших хорошие мореходные качества на Север</w:t>
      </w:r>
      <w:r w:rsidRPr="001E2C69">
        <w:rPr>
          <w:color w:val="000000" w:themeColor="text1"/>
          <w:sz w:val="16"/>
          <w:szCs w:val="16"/>
        </w:rPr>
        <w:softHyphen/>
        <w:t>ном морском театре. Исследовательское проектирование в ЦКБ-17 показало, что невозможно уложиться в заданное водоизмещение при столь высоких требованиях к вооружению (шесть 130-мм ору</w:t>
      </w:r>
      <w:r w:rsidRPr="001E2C69">
        <w:rPr>
          <w:color w:val="000000" w:themeColor="text1"/>
          <w:sz w:val="16"/>
          <w:szCs w:val="16"/>
        </w:rPr>
        <w:softHyphen/>
        <w:t>дий) и скорости (40 уз) (3898).</w:t>
      </w:r>
    </w:p>
    <w:p w14:paraId="756AA19F" w14:textId="77777777" w:rsidR="00AE7191" w:rsidRPr="001E2C69" w:rsidRDefault="00AE7191" w:rsidP="00722885">
      <w:pPr>
        <w:pStyle w:val="Iauiue"/>
        <w:jc w:val="both"/>
        <w:rPr>
          <w:color w:val="000000" w:themeColor="text1"/>
          <w:sz w:val="16"/>
          <w:szCs w:val="16"/>
        </w:rPr>
      </w:pPr>
    </w:p>
    <w:p w14:paraId="16C74C2C"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76C1EDC0" w14:textId="77777777" w:rsidR="00AE7191" w:rsidRPr="001E2C69" w:rsidRDefault="00AE7191" w:rsidP="00722885">
      <w:pPr>
        <w:pStyle w:val="Iauiue"/>
        <w:jc w:val="both"/>
        <w:rPr>
          <w:iCs/>
          <w:color w:val="000000" w:themeColor="text1"/>
          <w:sz w:val="16"/>
          <w:szCs w:val="16"/>
        </w:rPr>
      </w:pPr>
    </w:p>
    <w:p w14:paraId="08CAE0AE"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 августа в 1942 году утреннее сообщение Совинформбюро:</w:t>
      </w:r>
    </w:p>
    <w:p w14:paraId="6A1A257C"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26 августа наши войска вели бои с противником в районах Клетская, северо-западнее Сталинграда, северо-восточнее Котельниково, а также врайонах Прохладный и южнее Краснодара.</w:t>
      </w:r>
    </w:p>
    <w:p w14:paraId="081D01AF"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5BD63ECF"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Северо-западнее Сталинграда наши войска вели напряжённые бои с танками и пехотой противника. Н-ская часть отбила несколько ожесточённых атак неприятеля и уничтожила 6 немецких танков и свыше 150 гитлеровцев. На другом участке наши пехотинцы при поддержке артиллеристов и танкистов упорно отбивали атаки противника. В этом бою гитлеровцы потеряли до 400 солдат и офицеров. Успешно действовали артиллеристы Н-ского соединения. В течение дня они уничтожили 17 немецких танков и рассеяли группировку противника, готовившуюся к наступлению.</w:t>
      </w:r>
    </w:p>
    <w:p w14:paraId="453479CB"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наши миномётчики произвели огневой налёт на колонну танков и автомашин противника. Подбито 4 немецких танка и уничтожено 16 автомашин. Одна наша кавалерийская часть ночью ворвалась в населённый пункт, занятый немцами. В ожесточённой схватке истреблено свыше 100 гитлеровцев.</w:t>
      </w:r>
    </w:p>
    <w:p w14:paraId="09313E7C"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Краснодара наши войска вели оборонительные бои. На одном участке атаковавшая наши позиции колонна немецких танков и автомашин наскочила на минное поле. На минах подорвались 3 танка и 13 автомашин с пехотой. Кроме того, артиллеристы и бронебойщики Н-ской части подбили ещё 4 немецких танка и отбили атаку неприятеля. На другом участке наши части после упорных боёв отошли на новые позиции.</w:t>
      </w:r>
    </w:p>
    <w:p w14:paraId="4136D770"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Прохладного противник пытался навести переправу через реку. Наши части разрушили наведённую гитлеровцами переправу и уничтожили до двух рот немецкой пехоты.</w:t>
      </w:r>
    </w:p>
    <w:p w14:paraId="6FF3CCF6"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севернее Воронежа, на западном берегу реки Дон, немцы при поддержке танков атаковали наши позиции. Атака противника была отбита. Гитлеровцы потеряли убитыми и ранеными 150 солдат и офицеров.</w:t>
      </w:r>
    </w:p>
    <w:p w14:paraId="770ADB12"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Действиями нашей авиации разбит железнодорожный состав противника, взорвано два склада боеприпасов и разрушена водная переправа.</w:t>
      </w:r>
    </w:p>
    <w:p w14:paraId="76833C58"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гомельских партизан под командованием тов. Х. пустил под откос эшелон противника с войсками и боеприпасами. Уничтожены паровоз и 13 вагонов с немецкими солдатами и офицерами.</w:t>
      </w:r>
    </w:p>
    <w:p w14:paraId="23AEF115"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6 роты 672 полка 376 немецкой пехотной дивизии. Вальтер Леттач рассказал: «Нас гнали в бой под угрозой расстрела. Командир батальона выстроилнас и заявил: «Предупреждаю, что идущие сзади унтер-офицеры будут расстреливать каждого, кто отступит хотя бы на один шаг». В нашей роте после недавних боёв выбыло две трети солдат. Другие роты также понесли тяжёлые потери. Командир батальона был тяжело ранен. На его место назначили другого, который через несколько дней был убит».</w:t>
      </w:r>
    </w:p>
    <w:p w14:paraId="096388E0"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Немецко-фашистские мерзавцы замучили и расстреляли многих жителей села Селечни, Орловской области. Гитлеровские разбойники убили 75-летнего старика Лукашова Фёдора Ивановича, Астахова Афанасия Ивановича, Григоренко Петра и других мирных советских граждан.</w:t>
      </w:r>
    </w:p>
    <w:p w14:paraId="4A86AF79"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химических заводах в районе города Бохума (Германия) в июле произошло 4 взрыва и 18 аварий. В связи с этим выпуск продукции сократился более чем на 30 процентов. Гитлеровцы произвели среди иностранных рабочих массовые аресты.» (14994).</w:t>
      </w:r>
    </w:p>
    <w:p w14:paraId="2C069458" w14:textId="77777777" w:rsidR="00885B41" w:rsidRPr="001E2C69" w:rsidRDefault="00885B41" w:rsidP="00722885">
      <w:pPr>
        <w:spacing w:after="0" w:line="240" w:lineRule="auto"/>
        <w:jc w:val="both"/>
        <w:rPr>
          <w:rFonts w:ascii="Times New Roman" w:hAnsi="Times New Roman"/>
          <w:color w:val="000000" w:themeColor="text1"/>
          <w:sz w:val="16"/>
          <w:szCs w:val="16"/>
        </w:rPr>
      </w:pPr>
    </w:p>
    <w:p w14:paraId="1375B037"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 августа в 1942 году вечернее сообщение Совинформбюро:</w:t>
      </w:r>
    </w:p>
    <w:p w14:paraId="24F5E2F5"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26 августа наши войска вели бои с противником в районахюго-восточнее Клетская, северо-западнее Сталинграда, северо-восточнее Котельниково, а также в районах Прохладный, Моздок и южнее Краснодара.</w:t>
      </w:r>
    </w:p>
    <w:p w14:paraId="08109498"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результате успешного наступления наши войска на Западном и Калининском фронтах освободили 610 населённых пунктов, в числе их города Зубцов, Карманово, Погорелое-Городище.</w:t>
      </w:r>
    </w:p>
    <w:p w14:paraId="7F21388C"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25 августа частями нашей авиации на различных участках фронта уничтожено или повреждено 35 немецких танков, более 300 автомашин с войсками и грузами, 24 автоцистерны с горючим, подавлен огонь 12 батарей полевой и зенитной артиллерии, взорваны склады боеприпасов и 2 склада горючего, разбито три железнодорожных состава, рассеяно и частью уничтожено до двух батальонов пехоты противника.</w:t>
      </w:r>
    </w:p>
    <w:p w14:paraId="38834EF1"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наши войска вели активные бои и на отдельных участках потеснили противника. Уничтожено 6 немецких орудий, 2 танка, 8 пулемётов, а также уничтожено до двух рот пехоты гитлеровцев.</w:t>
      </w:r>
    </w:p>
    <w:p w14:paraId="20784599"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северо-западнее Сталинграда продолжались напряжённые бои. Противник, сосредоточив здесь крупные силы танков и пехоты, под прикрытием авиации непрерывно атакует наши позиции. Наши войска отбивают атаки гитлеровцев и одновременно наносят контрудары по немецко-фашистским войскам. Н-ская стрелковая часть в течение дня отбила пять следовавших одна за другой атак. На поле боя немцы оставили сотни трупов. Подбито и сожжено 11 танков противника. На соседнем участке артиллерийские батареи преградили путь танковой колонне и уничтожили 14 немецких танков. Гитлеровцы пытались обойти наших артиллеристов, но попали под огонь противотанковых ружей и потеряли ещё 4 танка. Н-ская танковая часть в многочасовом бою с противником уничтожила 13 немецких танков и не менее 500 гитлеровцев.</w:t>
      </w:r>
    </w:p>
    <w:p w14:paraId="4112D473"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наши войска продолжали вести бои против танков и мотопехоты противника. В течение дня на одном из участков подбито 62 немецких танка. Советские части сдерживают натиск врага и контратаками изматывают его силы. В боях у населённого пункта С. наши пехотинцыи танкисты разгромили батальон немецкой пехоты и захватили 3 орудия, 17 пулемётов, 5 миномётов и много боеприпасов. На другом участке пулемётчики истребили две роты румынских солдат.</w:t>
      </w:r>
    </w:p>
    <w:p w14:paraId="0A6D1FC4"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Краснодара наши войска вели ожесточённые бои с танками и пехотой противника. Части нашей морской пехоты в последнее время разгромили 5 румынскую кавалерийскую дивизию, которая потеряла свыше половины личного состава.</w:t>
      </w:r>
    </w:p>
    <w:p w14:paraId="17684978"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Прохладного наши части истребили группу противника, переправившуюся через водный рубеж.</w:t>
      </w:r>
    </w:p>
    <w:p w14:paraId="16D73AF7"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Ленинградском фронте происходили бои местного значения. На одном участке противник продолжал вести атаки, стремясь восстановить утраченное положение. Немецкая пехота действовала при поддержке танков. Огнём батареи старшего лейтенанта Лозинского уничтожено 2 немецких танка, а остальные повернули обратно. На другом участке подразделение командира Борщёва успешно провело разведку боем. В ожесточённой схватке с немецкими захватчиками наши бойцы истребили до 100 гитлеровцев.</w:t>
      </w:r>
    </w:p>
    <w:p w14:paraId="59FDDC50"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витебских партизан под командованием тов. Г. совершил налёт на немецкий гарнизон и уничтожил 17 автомашин, взорвал радиостанцию и истребил до 40 немецких оккупантов. Партизаны захватили станковый пулемёт, два миномёта с минами и 30 винтовок.</w:t>
      </w:r>
    </w:p>
    <w:p w14:paraId="7AF9C6F2"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Перелетевший на сторону Красной Армии лётчик унтер-офицер 3 группы 5 немецкой эскадры Вернер Шумахер рассказал: «Многие немецкие лётчики перестали верить официальным сводкам германского командования. Эти сводки становятся всё лживее и лживее. Если немецкая авиация сбивает 2 русских самолёта, в сводке пишут 20. Таких случаев очень много. Мы неоднократно участвовали в воздушных боях в районе Мурманска и хорошо знаем, что, как правило, наши потери </w:t>
      </w:r>
      <w:r w:rsidRPr="001E2C69">
        <w:rPr>
          <w:rFonts w:ascii="Times New Roman" w:hAnsi="Times New Roman"/>
          <w:color w:val="000000" w:themeColor="text1"/>
          <w:sz w:val="16"/>
          <w:szCs w:val="16"/>
        </w:rPr>
        <w:lastRenderedPageBreak/>
        <w:t>превосходили потери русских. Однако германское командование неизменно преувеличивало потери русских и во много раз уменьшало цифры потерь немецкой авиации».</w:t>
      </w:r>
    </w:p>
    <w:p w14:paraId="5B52229B"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Положение иностранных рабочих в Германии с каждым днём становится всё более тягостным. Люди, которым удалось бежать из Германии, в один голос заявляют, что иностранным рабочим живётся даже хуже, чем каторжникам. Иностранный рабочий —это самое бесправное существо. Все помыкают и издеваются над ним. Сотни тысяч иностранцев работают на немецких заводах по 15 и более часов в сутки и не получают никакой платы. На машиностроительном заводе в Эссене иностранным рабочим разъяснили, что весь их заработок удерживается для оплаты стоимости пайка в заводской лавке. Как известно, этот паёк состоит из двухсот граммов хлеба и литра жидкой похлёбки в день. С 1 по 10 августа эсэсовцы расстреляли н аэтом заводе за саботаж 7 поляков, 3 французов и отправили в концентрационный лагерь 30 голландцев, пытавшихся бежать на родину.» (14994).</w:t>
      </w:r>
    </w:p>
    <w:p w14:paraId="79067556" w14:textId="77777777" w:rsidR="00885B41" w:rsidRPr="001E2C69" w:rsidRDefault="00885B41" w:rsidP="00722885">
      <w:pPr>
        <w:spacing w:after="0" w:line="240" w:lineRule="auto"/>
        <w:jc w:val="both"/>
        <w:rPr>
          <w:rFonts w:ascii="Times New Roman" w:hAnsi="Times New Roman"/>
          <w:color w:val="000000" w:themeColor="text1"/>
          <w:sz w:val="16"/>
          <w:szCs w:val="16"/>
        </w:rPr>
      </w:pPr>
    </w:p>
    <w:p w14:paraId="07D06D11" w14:textId="77777777" w:rsidR="00DE48C2" w:rsidRPr="001E2C69" w:rsidRDefault="00DE48C2" w:rsidP="00722885">
      <w:pPr>
        <w:pStyle w:val="af"/>
        <w:spacing w:before="0" w:after="0"/>
        <w:jc w:val="both"/>
        <w:textAlignment w:val="baseline"/>
        <w:rPr>
          <w:color w:val="000000" w:themeColor="text1"/>
          <w:sz w:val="16"/>
          <w:szCs w:val="16"/>
        </w:rPr>
      </w:pPr>
      <w:r w:rsidRPr="001E2C69">
        <w:rPr>
          <w:color w:val="000000" w:themeColor="text1"/>
          <w:sz w:val="16"/>
          <w:szCs w:val="16"/>
        </w:rPr>
        <w:t>26 августа 1942 личный пример показал военком 686-го шап батальонный комиссар Иосиф Зазулинский, который был одним из немногих летающих политработников. В тот день его штурмовик в районе балки Сухая Мечетка, около Сталинграда, был подбит зенитками. И Зазулинский направил самолет на очередное скопление немецких танков. Впоследствии его посмертно скромно наградили орденом Отечественной войны 2-й степени. Затем на митинге, посвященном подвигу комиссара, летчики полка поклялись «отомстить за него, а при случае также направить свои машины на вражеские танки» (19522).</w:t>
      </w:r>
    </w:p>
    <w:p w14:paraId="61F4CC5D" w14:textId="77777777" w:rsidR="00DE48C2" w:rsidRPr="001E2C69" w:rsidRDefault="00DE48C2" w:rsidP="00722885">
      <w:pPr>
        <w:pStyle w:val="af"/>
        <w:spacing w:before="0" w:after="0"/>
        <w:jc w:val="both"/>
        <w:textAlignment w:val="baseline"/>
        <w:rPr>
          <w:color w:val="000000" w:themeColor="text1"/>
          <w:sz w:val="16"/>
          <w:szCs w:val="16"/>
        </w:rPr>
      </w:pPr>
    </w:p>
    <w:p w14:paraId="0750E58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26 августа 1942 г. с целью обеспечения массирования действий авиации приказом Наркома Обороны от началось формирование авиационных корпусов (истребительных, штурмовых и бомбар</w:t>
      </w:r>
      <w:r w:rsidRPr="001E2C69">
        <w:rPr>
          <w:color w:val="000000" w:themeColor="text1"/>
          <w:sz w:val="16"/>
          <w:szCs w:val="16"/>
        </w:rPr>
        <w:softHyphen/>
        <w:t>дировочных) Резерва ВГК. Одновременно с этим происходило переформирование в однородные сме</w:t>
      </w:r>
      <w:r w:rsidRPr="001E2C69">
        <w:rPr>
          <w:color w:val="000000" w:themeColor="text1"/>
          <w:sz w:val="16"/>
          <w:szCs w:val="16"/>
        </w:rPr>
        <w:softHyphen/>
        <w:t>шанных авиадивизий и авиаполков. Штурмовая авиадивизия (штат 015/ 145) теперь стала состоять из трех штур</w:t>
      </w:r>
      <w:r w:rsidRPr="001E2C69">
        <w:rPr>
          <w:color w:val="000000" w:themeColor="text1"/>
          <w:sz w:val="16"/>
          <w:szCs w:val="16"/>
        </w:rPr>
        <w:softHyphen/>
        <w:t>мовых авиаполков и одной отдельной штрафной штурмовой авиаэскадрильи. Штурмовые авиаполки с 20-самолет-ного состава переводились на 32-само-летный состав (штат 015/282 - 3 эскад</w:t>
      </w:r>
      <w:r w:rsidRPr="001E2C69">
        <w:rPr>
          <w:color w:val="000000" w:themeColor="text1"/>
          <w:sz w:val="16"/>
          <w:szCs w:val="16"/>
        </w:rPr>
        <w:softHyphen/>
        <w:t>рильи, 32 пилота): по 10 самолетов в каж</w:t>
      </w:r>
      <w:r w:rsidRPr="001E2C69">
        <w:rPr>
          <w:color w:val="000000" w:themeColor="text1"/>
          <w:sz w:val="16"/>
          <w:szCs w:val="16"/>
        </w:rPr>
        <w:softHyphen/>
        <w:t>дой эскадрилье и две машины в управ</w:t>
      </w:r>
      <w:r w:rsidRPr="001E2C69">
        <w:rPr>
          <w:color w:val="000000" w:themeColor="text1"/>
          <w:sz w:val="16"/>
          <w:szCs w:val="16"/>
        </w:rPr>
        <w:softHyphen/>
        <w:t>лении полка (самолеты командира и штурмана полка). Принятые штаты штур</w:t>
      </w:r>
      <w:r w:rsidRPr="001E2C69">
        <w:rPr>
          <w:color w:val="000000" w:themeColor="text1"/>
          <w:sz w:val="16"/>
          <w:szCs w:val="16"/>
        </w:rPr>
        <w:softHyphen/>
        <w:t>мовых авиаполков оказались все же не</w:t>
      </w:r>
      <w:r w:rsidRPr="001E2C69">
        <w:rPr>
          <w:color w:val="000000" w:themeColor="text1"/>
          <w:sz w:val="16"/>
          <w:szCs w:val="16"/>
        </w:rPr>
        <w:softHyphen/>
        <w:t>достаточными и не в полной мере отве</w:t>
      </w:r>
      <w:r w:rsidRPr="001E2C69">
        <w:rPr>
          <w:color w:val="000000" w:themeColor="text1"/>
          <w:sz w:val="16"/>
          <w:szCs w:val="16"/>
        </w:rPr>
        <w:softHyphen/>
        <w:t xml:space="preserve">чали требованиям войны. Боевой опыт показал, что эскадрилья из 10 самолетов уже на 3-4 день боев "выдыхалась" (за счет </w:t>
      </w:r>
      <w:r w:rsidRPr="001E2C69">
        <w:rPr>
          <w:iCs/>
          <w:color w:val="000000" w:themeColor="text1"/>
          <w:sz w:val="16"/>
          <w:szCs w:val="16"/>
        </w:rPr>
        <w:t>"некоторого отхода летного соста</w:t>
      </w:r>
      <w:r w:rsidRPr="001E2C69">
        <w:rPr>
          <w:iCs/>
          <w:color w:val="000000" w:themeColor="text1"/>
          <w:sz w:val="16"/>
          <w:szCs w:val="16"/>
        </w:rPr>
        <w:softHyphen/>
        <w:t>ва и материальной части"}</w:t>
      </w:r>
      <w:r w:rsidRPr="001E2C69">
        <w:rPr>
          <w:color w:val="000000" w:themeColor="text1"/>
          <w:sz w:val="16"/>
          <w:szCs w:val="16"/>
        </w:rPr>
        <w:t xml:space="preserve"> и обычно могла работать только шестеркой, что не позволяло комсоставу полков должным образом организовывать борьбу с ПВО противника, а также с его истребитель</w:t>
      </w:r>
      <w:r w:rsidRPr="001E2C69">
        <w:rPr>
          <w:color w:val="000000" w:themeColor="text1"/>
          <w:sz w:val="16"/>
          <w:szCs w:val="16"/>
        </w:rPr>
        <w:softHyphen/>
        <w:t>ной авиацией. По общему мнению, требовалось штат штурмовой авиаэскадрильи увеличить до 12 самолетов (3 звена по 4 машины, 1 самолет у командира эскадрильи и один - у штурмана эскадрильи), а штат полков - до 45 Ил-2, одного Ил-2У и одного самолета связи. В этом случае авиаэскадрильи из 14 самолетов в ос</w:t>
      </w:r>
      <w:r w:rsidRPr="001E2C69">
        <w:rPr>
          <w:color w:val="000000" w:themeColor="text1"/>
          <w:sz w:val="16"/>
          <w:szCs w:val="16"/>
        </w:rPr>
        <w:softHyphen/>
        <w:t>новном будут работать восьмерками. Кроме того, два командирских Ил-2 яв</w:t>
      </w:r>
      <w:r w:rsidRPr="001E2C69">
        <w:rPr>
          <w:color w:val="000000" w:themeColor="text1"/>
          <w:sz w:val="16"/>
          <w:szCs w:val="16"/>
        </w:rPr>
        <w:softHyphen/>
        <w:t>лялись как бы резервными, что позволя</w:t>
      </w:r>
      <w:r w:rsidRPr="001E2C69">
        <w:rPr>
          <w:color w:val="000000" w:themeColor="text1"/>
          <w:sz w:val="16"/>
          <w:szCs w:val="16"/>
        </w:rPr>
        <w:softHyphen/>
        <w:t>ло командиру эскадрильи продолжи</w:t>
      </w:r>
      <w:r w:rsidRPr="001E2C69">
        <w:rPr>
          <w:color w:val="000000" w:themeColor="text1"/>
          <w:sz w:val="16"/>
          <w:szCs w:val="16"/>
        </w:rPr>
        <w:softHyphen/>
        <w:t>тельное время строить боевые порядки эскадрильи в зависимости от задачи и обстановки. На 40-самолетный состав штурмовых авиаполков ВВС КА перешли только в 1944 г...(6467).</w:t>
      </w:r>
    </w:p>
    <w:p w14:paraId="45831CED" w14:textId="77777777" w:rsidR="00AE7191" w:rsidRPr="001E2C69" w:rsidRDefault="00AE7191" w:rsidP="00722885">
      <w:pPr>
        <w:pStyle w:val="Iauiue"/>
        <w:jc w:val="both"/>
        <w:rPr>
          <w:color w:val="000000" w:themeColor="text1"/>
          <w:sz w:val="16"/>
          <w:szCs w:val="16"/>
        </w:rPr>
      </w:pPr>
    </w:p>
    <w:p w14:paraId="51F98D9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26 августа 1942 приказом ГКО началось формирование авиакорпусов РВГК. Первые четыре истребительных сформировали к концу 1942, а всего - 13, в т.ч. 3 ШАК и 3 БАК, а также 3 смешанных. АК включали более двух дивизий и имели от 120 до 270 самолетов (340,82).</w:t>
      </w:r>
    </w:p>
    <w:p w14:paraId="6DBA6785" w14:textId="77777777" w:rsidR="00AE7191" w:rsidRPr="001E2C69" w:rsidRDefault="00AE7191" w:rsidP="00722885">
      <w:pPr>
        <w:pStyle w:val="Iauiue"/>
        <w:jc w:val="both"/>
        <w:rPr>
          <w:color w:val="000000" w:themeColor="text1"/>
          <w:sz w:val="16"/>
          <w:szCs w:val="16"/>
        </w:rPr>
      </w:pPr>
    </w:p>
    <w:p w14:paraId="23224EF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26 августа 1942 г. приказом Наркома Обороны после накопления необходимого количества боевых машин в неприкосновенном фонде Главного командования под руководством Военного Совета ВВС КА началось формирование авиационных корпусов (истребительных, штурмовых и бомбардировочных) Резерва ВГК. Авиакорпуса состояли из двух или более авиадивизий и имели в своем составе от 120 до 270 самолетов. Вооружались авиакорпуса РВГК только новыми типами самолетов. Вначале создавались как однородные, так и смешанные корпуса (одна-две шад или бад и одна-две иад). Однако позднее смешанные авиакорпуса, как себя не оправдавшие, были заменены на однородные. Одновременно с этим происходило переформирование в однородные смешанных авиадивизий и авиаполков.</w:t>
      </w:r>
    </w:p>
    <w:p w14:paraId="763BC75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Штурмовая авиадивизия теперь стала состоять (штат 015/145) из трех штурмовых авиаполков и одной отдельной штрафной штурмовой авиаэскадрильи.</w:t>
      </w:r>
    </w:p>
    <w:p w14:paraId="6E5C747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Штурмовые авиаполки с 20-самолет-ного состава переводились на 32-само-летный состав (штат 015/282 - 3 эскадрильи, 32 пилота): по 10 самолетов в каждой эскадрилье и две машины в управлении полка (самолеты командира и штурмана полка).</w:t>
      </w:r>
    </w:p>
    <w:p w14:paraId="6BEC8A8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Несмотря на увеличение численного состава штурмовых авиаполков, новые штаты штурмовых авиаполков оставались недостаточными и не отвечали требованиям войны. Боевой опыт показал, что эскадрилья из 10 самолетов уже на 3-4 день боев из-за потерь "выдыхалась" и обычно могла работать только шестеркой, что не позволяло комсоставу полков должным образом организовывать борьбу с ПВО противника, а также с его истребительной авиацией...</w:t>
      </w:r>
    </w:p>
    <w:p w14:paraId="6C8BA87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общему мнению, требовалось штат штурмовой авиаэскадрильи увеличить до 12 самолетов (3 звена по 4 машины, 1 самолет у командира эскадрильи и один - у штурмана эскадрильи), а штат полков - до 45 Ил-2, одного Ил-2У и одного самолета связи. В этом случае авиаэскадрильи из 14 самолетов в основном работали бы восьмерками. Кроме того, два командирских Ил-2 являлись как бы резервными, что позволяло командиру эскадрильи продолжительное время строить боевые порядки эскадрильи в зависимости от задачи и обстановки. На 40-самолетный состав штурмовых авиаполков ВВС КА перешли только в 1944 г. Отметим, что ВВС КА завершили войну примерно с такой же оргштатной структурой авиаполков, с которой люфтваффе начинали войну...(8687).</w:t>
      </w:r>
    </w:p>
    <w:p w14:paraId="44CB09CA" w14:textId="77777777" w:rsidR="00AE7191" w:rsidRPr="001E2C69" w:rsidRDefault="00AE7191" w:rsidP="00722885">
      <w:pPr>
        <w:pStyle w:val="Iauiue"/>
        <w:jc w:val="both"/>
        <w:rPr>
          <w:color w:val="000000" w:themeColor="text1"/>
          <w:sz w:val="16"/>
          <w:szCs w:val="16"/>
        </w:rPr>
      </w:pPr>
    </w:p>
    <w:p w14:paraId="3C43708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 августа 1942 Ил-4 появились над Берлином. На город полетели бомбы с надписями: «Срочно. Бер</w:t>
      </w:r>
      <w:r w:rsidRPr="001E2C69">
        <w:rPr>
          <w:rFonts w:ascii="Times New Roman" w:hAnsi="Times New Roman"/>
          <w:color w:val="000000" w:themeColor="text1"/>
          <w:sz w:val="16"/>
          <w:szCs w:val="16"/>
        </w:rPr>
        <w:softHyphen/>
        <w:t>лин, Гитлеру!», «Кровопийце Адольфу от гвардейцев» и другими (10734,71).</w:t>
      </w:r>
    </w:p>
    <w:p w14:paraId="02401B2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705F28B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 августа 1942 над Берлином появились советские бомбардировщики. На город полетели бомбы с надписями: "Срочно. Берлин, Гитлеру!", "Кровопийце Адольфу от гвардейцев" и другими. 14 сентября организовали налеты на объекты в Румынии, в которых участвовали полки 3-й, 17-й и 45-й дивизий. Бомбили Бухарест, Плоешти с его нефтеперегонными заводами и порт Галац на Дунае.</w:t>
      </w:r>
    </w:p>
    <w:p w14:paraId="0DA919F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таких дальних рейдах остро сказывались недостатки Ил-4. Полет длился до 12 часов. Все это время от пилота требовалось неусыпное внимание. Недостаточная продольная устойчивость, ухудшившаяся на модификации ДБ-ЗФ и продолжавшая ухудшаться после перехода к экипажу из четырех человек и установки дополнительного оборудования, не давали летчику ни минуты покоя. Автопилоты стояли только на единичных машинах (до конца 1942 г. на фронт отправили около 60 самолетов с АВП-12), причем в "болтанку" их предписывали отключать (гидравлика pea- Штурман гировала слишком медленно). Иногда на по- в кабине Ил-4 мощь пилоту подключался штурман, вставлявший в гнездо съемную ручку управления и дававший командиру немного отдохнуть.</w:t>
      </w:r>
    </w:p>
    <w:p w14:paraId="2B561FD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Можно привести мнение дважды Героя Советского Союза А.И. Молодчего: "...по своей природе Ил-4 неустойчив, каждую секунду норовит завалиться в крен, уйти с курса, забрать или опустить нос. Нужно беспрерывно крутить штурвал, чтобы самолет летел в заданном режиме". А вот что писал летавший в ту пору на Ил-4 В. В. Решетников: "Управление нельзя было бросить ни на секунду: при самой идеальной нейтральной регулировке руля высоты машина с брошенным управлением без раздумий, совершенно произвольно лезла вверх или, если ей так вздумается, заваливалась с ускорением вниз. Она нахально "висела" на руках и в длительных Группа Ил-4 многочасовых полетах выматывала пилотов на полевом изрядно. Грешна была этим, матушка". Чрезвычайно утомительным являлся полет при отказе одного мотора. Парируя тенденцию к развороту, летчик постоянно был вынужден давить на педаль, поскольку триммер не компенсировал полностью асимметрию тяги. Этот дефект сохранился практически до последних серий бомбардировщиков (12021).</w:t>
      </w:r>
    </w:p>
    <w:p w14:paraId="220FCE9A"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375A17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26 августа по 5 сентября 1942 девять МБР-2 перелетели на новоземельские аэродромы, начав постоянные разведывательные полёты в Карском море, там, где раньше летала только полярная авиация. Но, тем не менее, МБР-2 не нашли широкого применения в Арктике, прежде всего, из-за малой дальности и продолжительности полёта. События лета 1942 г. (активизация немецких подводных лодок у Новой Земли и прорыв "карманного линкора" "Адмирал Шеер" в Карское море) заставили командование флота сформировать Новоземельскую ВМБ и 3-ю авиагруппу, основу которой составили 17 МБР-2. Кроме того, в состав Беломорской флотилии вошёл 22-й разведывательный полк, переброшенный на Север с Каспия и имевший в своём составе 32 МБР-2 (12003).</w:t>
      </w:r>
    </w:p>
    <w:p w14:paraId="62C042EC"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4D438C5"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26 августа 1942 генерал Г. Жуков назначен заместителем Верховного главнокомандующего (4962).</w:t>
      </w:r>
    </w:p>
    <w:p w14:paraId="5C9299A8" w14:textId="77777777" w:rsidR="00AE7191" w:rsidRPr="001E2C69" w:rsidRDefault="00AE7191" w:rsidP="00722885">
      <w:pPr>
        <w:pStyle w:val="Iauiue"/>
        <w:tabs>
          <w:tab w:val="left" w:pos="11199"/>
        </w:tabs>
        <w:jc w:val="both"/>
        <w:rPr>
          <w:color w:val="000000" w:themeColor="text1"/>
          <w:sz w:val="16"/>
          <w:szCs w:val="16"/>
        </w:rPr>
      </w:pPr>
    </w:p>
    <w:p w14:paraId="7F1DB5C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26 августа 1942 И.В.С. назначил Г.К.Ж. своим заместителем в качестве Главнокомандующего (1348,122).</w:t>
      </w:r>
    </w:p>
    <w:p w14:paraId="31D41EF0" w14:textId="77777777" w:rsidR="00AE7191" w:rsidRPr="001E2C69" w:rsidRDefault="00AE7191" w:rsidP="00722885">
      <w:pPr>
        <w:pStyle w:val="Iauiue"/>
        <w:jc w:val="both"/>
        <w:rPr>
          <w:color w:val="000000" w:themeColor="text1"/>
          <w:sz w:val="16"/>
          <w:szCs w:val="16"/>
        </w:rPr>
      </w:pPr>
    </w:p>
    <w:p w14:paraId="31B3B022"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5578E51D" w14:textId="77777777" w:rsidR="00AE7191" w:rsidRPr="001E2C69" w:rsidRDefault="00AE7191" w:rsidP="00722885">
      <w:pPr>
        <w:pStyle w:val="Iauiue"/>
        <w:jc w:val="both"/>
        <w:rPr>
          <w:iCs/>
          <w:color w:val="000000" w:themeColor="text1"/>
          <w:sz w:val="16"/>
          <w:szCs w:val="16"/>
        </w:rPr>
      </w:pPr>
    </w:p>
    <w:p w14:paraId="50698ED1" w14:textId="77777777" w:rsidR="00504B90" w:rsidRPr="001E2C69" w:rsidRDefault="00504B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ходе налета в ночь с 26 на 27 августа 1942 бомбы упали на район Берлина Далем. Кроме того, бомбардировке подверглись Штеттин, Кенигсберг и Данциг (22728).</w:t>
      </w:r>
    </w:p>
    <w:p w14:paraId="7C98BED7" w14:textId="77777777" w:rsidR="00504B90" w:rsidRPr="001E2C69" w:rsidRDefault="00504B90" w:rsidP="00722885">
      <w:pPr>
        <w:spacing w:after="0" w:line="240" w:lineRule="auto"/>
        <w:jc w:val="both"/>
        <w:rPr>
          <w:rFonts w:ascii="Times New Roman" w:hAnsi="Times New Roman"/>
          <w:color w:val="000000" w:themeColor="text1"/>
          <w:sz w:val="16"/>
          <w:szCs w:val="16"/>
        </w:rPr>
      </w:pPr>
    </w:p>
    <w:p w14:paraId="0ADE32EC" w14:textId="77777777" w:rsidR="00504B90" w:rsidRPr="001E2C69" w:rsidRDefault="00504B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 августа 1942 Адольф Гитлер заказывает переделку тяжелого крейсера «Зейдлиц» в авианосец (20793).</w:t>
      </w:r>
    </w:p>
    <w:p w14:paraId="0954421B" w14:textId="77777777" w:rsidR="00504B90" w:rsidRPr="001E2C69" w:rsidRDefault="00504B90" w:rsidP="00722885">
      <w:pPr>
        <w:spacing w:after="0" w:line="240" w:lineRule="auto"/>
        <w:jc w:val="both"/>
        <w:rPr>
          <w:rFonts w:ascii="Times New Roman" w:hAnsi="Times New Roman"/>
          <w:color w:val="000000" w:themeColor="text1"/>
          <w:sz w:val="16"/>
          <w:szCs w:val="16"/>
        </w:rPr>
      </w:pPr>
    </w:p>
    <w:p w14:paraId="19FA5E6E" w14:textId="77777777" w:rsidR="00885B41" w:rsidRPr="001E2C69" w:rsidRDefault="00885B41" w:rsidP="00722885">
      <w:pPr>
        <w:pStyle w:val="book"/>
        <w:ind w:firstLine="0"/>
        <w:jc w:val="both"/>
        <w:rPr>
          <w:color w:val="000000" w:themeColor="text1"/>
          <w:sz w:val="16"/>
          <w:szCs w:val="16"/>
        </w:rPr>
      </w:pPr>
      <w:r w:rsidRPr="001E2C69">
        <w:rPr>
          <w:color w:val="000000" w:themeColor="text1"/>
          <w:sz w:val="16"/>
          <w:szCs w:val="16"/>
        </w:rPr>
        <w:t xml:space="preserve">26 августа 1942 г. Гитлер принимает решение переделать тяжелый крейсер «Зейдлиц» в авианосец. В январе 1943 г. «Зейдлиц» был отбуксирован на верфь «Шихау» в Кенигсберг для достройки в качестве авианосца. Но переделка, видимо, так и не началась, поскольку Гитлер в том же январе 1943 г. отдал приказ о прекращении строительства авианосцев. 9 апреля 1945 г. «Зейдлиц» был поврежден у стенки завода советской авиацией и на следующий день там же затоплен экипажем. В 1946 г. </w:t>
      </w:r>
      <w:r w:rsidRPr="001E2C69">
        <w:rPr>
          <w:color w:val="000000" w:themeColor="text1"/>
          <w:sz w:val="16"/>
          <w:szCs w:val="16"/>
        </w:rPr>
        <w:lastRenderedPageBreak/>
        <w:t>крейсер был поднят аварийно-спасательной службой Юго-Балтийского флота, отбуксирован в Ленинград и 10 марта 1947 г. зачислен в состав ВМФ СССР, но ввиду невозможности достройки 9 апреля 1947 г. исключен из списков судов ВМФ. Разобрали же его лишь в начале 1950-х годов. Было разработано несколько проектов восстановления «Зейдлица». В 1951 г. был представлен проект создания из двух крейсеров — «Таллина» (бывшего «Лютцова») и «Зейдлица» — одного учебного крейсера с вооружением: 12—152-мм, 8—130-мм, 32— 45-мм и 24—25-мм орудий и двумя 53-см торпедными аппаратами. Однако стоимость постройки такого крейсера оказалась больше, чем запланированная сумма на строительство крейсера проекта 68бис, и от этой затеи отказались (15225).</w:t>
      </w:r>
    </w:p>
    <w:p w14:paraId="35057415" w14:textId="77777777" w:rsidR="00885B41" w:rsidRPr="001E2C69" w:rsidRDefault="00885B41" w:rsidP="00722885">
      <w:pPr>
        <w:pStyle w:val="book"/>
        <w:ind w:firstLine="0"/>
        <w:jc w:val="both"/>
        <w:rPr>
          <w:color w:val="000000" w:themeColor="text1"/>
          <w:sz w:val="16"/>
          <w:szCs w:val="16"/>
        </w:rPr>
      </w:pPr>
    </w:p>
    <w:p w14:paraId="2D432677"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26 августа 1942 после 19-месячного запрета возобновился выход газеты английских коммунистов “Дейли Уоркер” (4962).</w:t>
      </w:r>
    </w:p>
    <w:p w14:paraId="04277F19" w14:textId="77777777" w:rsidR="00AE7191" w:rsidRPr="001E2C69" w:rsidRDefault="00AE7191" w:rsidP="00722885">
      <w:pPr>
        <w:pStyle w:val="Iauiue"/>
        <w:tabs>
          <w:tab w:val="left" w:pos="11199"/>
        </w:tabs>
        <w:jc w:val="both"/>
        <w:rPr>
          <w:color w:val="000000" w:themeColor="text1"/>
          <w:sz w:val="16"/>
          <w:szCs w:val="16"/>
        </w:rPr>
      </w:pPr>
    </w:p>
    <w:p w14:paraId="7A4389B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26 августа 1942 японцы высадились на Milne Bay, который защищали австралийцы (2261).</w:t>
      </w:r>
    </w:p>
    <w:p w14:paraId="0C07350F" w14:textId="77777777" w:rsidR="00AE7191" w:rsidRPr="001E2C69" w:rsidRDefault="00AE7191" w:rsidP="00722885">
      <w:pPr>
        <w:pStyle w:val="Iauiue"/>
        <w:jc w:val="both"/>
        <w:rPr>
          <w:color w:val="000000" w:themeColor="text1"/>
          <w:sz w:val="16"/>
          <w:szCs w:val="16"/>
        </w:rPr>
      </w:pPr>
    </w:p>
    <w:p w14:paraId="0B8B326E"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761A5F5A" w14:textId="77777777" w:rsidR="00AE7191" w:rsidRPr="001E2C69" w:rsidRDefault="00AE7191" w:rsidP="00722885">
      <w:pPr>
        <w:pStyle w:val="Iauiue"/>
        <w:jc w:val="both"/>
        <w:rPr>
          <w:iCs/>
          <w:color w:val="000000" w:themeColor="text1"/>
          <w:sz w:val="16"/>
          <w:szCs w:val="16"/>
        </w:rPr>
      </w:pPr>
    </w:p>
    <w:p w14:paraId="6CC9052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27 августа 1942 закончились совместные испытания Ла завода 31, которые начались 1 августа 1942 (708).</w:t>
      </w:r>
    </w:p>
    <w:p w14:paraId="76D7233F" w14:textId="77777777" w:rsidR="00AE7191" w:rsidRPr="001E2C69" w:rsidRDefault="00AE7191" w:rsidP="00722885">
      <w:pPr>
        <w:pStyle w:val="Iauiue"/>
        <w:jc w:val="both"/>
        <w:rPr>
          <w:color w:val="000000" w:themeColor="text1"/>
          <w:sz w:val="16"/>
          <w:szCs w:val="16"/>
        </w:rPr>
      </w:pPr>
    </w:p>
    <w:p w14:paraId="36701AC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27 августа 1942 было закончено проектирование Як-7Р с двумя ДМ-4С И.А.Меркулова и Д-1А Л.С.Душкина. М-105ПА должен был быть убран, но два УБС оставили. Проект не был реализован из-за отсутствия надежных ПВРД (65,103).</w:t>
      </w:r>
    </w:p>
    <w:p w14:paraId="05BF2320" w14:textId="77777777" w:rsidR="00AE7191" w:rsidRPr="001E2C69" w:rsidRDefault="00AE7191" w:rsidP="00722885">
      <w:pPr>
        <w:pStyle w:val="Iauiue"/>
        <w:jc w:val="both"/>
        <w:rPr>
          <w:color w:val="000000" w:themeColor="text1"/>
          <w:sz w:val="16"/>
          <w:szCs w:val="16"/>
        </w:rPr>
      </w:pPr>
    </w:p>
    <w:p w14:paraId="12095370"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августа 1943 г. самолет ТС-1 с моторами М-11Д вернули после государственных испытаний на завод № 482 для устранения выявленных дефектов, и в следующем, 1944 г., запустили в серийное производство на заводе № 47 в г. Чкалове (ныне г. Оренбург) под обозначением Ще-2. В том же году предприятие сдало заказчику 222 машины (24206).</w:t>
      </w:r>
    </w:p>
    <w:p w14:paraId="0AD2A471" w14:textId="77777777" w:rsidR="006649D4" w:rsidRPr="008A2E5A" w:rsidRDefault="006649D4" w:rsidP="006649D4">
      <w:pPr>
        <w:spacing w:after="0" w:line="240" w:lineRule="auto"/>
        <w:jc w:val="both"/>
        <w:rPr>
          <w:rFonts w:ascii="Times New Roman" w:hAnsi="Times New Roman"/>
          <w:color w:val="0070C0"/>
          <w:sz w:val="16"/>
          <w:szCs w:val="16"/>
        </w:rPr>
      </w:pPr>
    </w:p>
    <w:p w14:paraId="5803664F" w14:textId="77777777" w:rsidR="00504B90" w:rsidRPr="001E2C69" w:rsidRDefault="00504B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27 августа 1942 г. на Сталинградском фронте у второй линии советских окопов сел подбитый немецкий истребитель. Это оказался </w:t>
      </w:r>
      <w:r w:rsidRPr="001E2C69">
        <w:rPr>
          <w:rFonts w:ascii="Times New Roman" w:hAnsi="Times New Roman"/>
          <w:color w:val="000000" w:themeColor="text1"/>
          <w:sz w:val="16"/>
          <w:szCs w:val="16"/>
          <w:lang w:val="en-US"/>
        </w:rPr>
        <w:t>Bf</w:t>
      </w:r>
      <w:r w:rsidRPr="001E2C69">
        <w:rPr>
          <w:rFonts w:ascii="Times New Roman" w:hAnsi="Times New Roman"/>
          <w:color w:val="000000" w:themeColor="text1"/>
          <w:sz w:val="16"/>
          <w:szCs w:val="16"/>
        </w:rPr>
        <w:t xml:space="preserve"> 109</w:t>
      </w:r>
      <w:r w:rsidRPr="001E2C69">
        <w:rPr>
          <w:rFonts w:ascii="Times New Roman" w:hAnsi="Times New Roman"/>
          <w:color w:val="000000" w:themeColor="text1"/>
          <w:sz w:val="16"/>
          <w:szCs w:val="16"/>
          <w:lang w:val="en-US"/>
        </w:rPr>
        <w:t>G</w:t>
      </w:r>
      <w:r w:rsidRPr="001E2C69">
        <w:rPr>
          <w:rFonts w:ascii="Times New Roman" w:hAnsi="Times New Roman"/>
          <w:color w:val="000000" w:themeColor="text1"/>
          <w:sz w:val="16"/>
          <w:szCs w:val="16"/>
        </w:rPr>
        <w:t xml:space="preserve">-2 с мотором </w:t>
      </w:r>
      <w:r w:rsidRPr="001E2C69">
        <w:rPr>
          <w:rFonts w:ascii="Times New Roman" w:hAnsi="Times New Roman"/>
          <w:color w:val="000000" w:themeColor="text1"/>
          <w:sz w:val="16"/>
          <w:szCs w:val="16"/>
          <w:lang w:val="en-US"/>
        </w:rPr>
        <w:t>DB</w:t>
      </w:r>
      <w:r w:rsidRPr="001E2C69">
        <w:rPr>
          <w:rFonts w:ascii="Times New Roman" w:hAnsi="Times New Roman"/>
          <w:color w:val="000000" w:themeColor="text1"/>
          <w:sz w:val="16"/>
          <w:szCs w:val="16"/>
        </w:rPr>
        <w:t xml:space="preserve"> 605</w:t>
      </w:r>
      <w:r w:rsidRPr="001E2C69">
        <w:rPr>
          <w:rFonts w:ascii="Times New Roman" w:hAnsi="Times New Roman"/>
          <w:color w:val="000000" w:themeColor="text1"/>
          <w:sz w:val="16"/>
          <w:szCs w:val="16"/>
          <w:lang w:val="en-US"/>
        </w:rPr>
        <w:t>A</w:t>
      </w:r>
      <w:r w:rsidRPr="001E2C69">
        <w:rPr>
          <w:rFonts w:ascii="Times New Roman" w:hAnsi="Times New Roman"/>
          <w:color w:val="000000" w:themeColor="text1"/>
          <w:sz w:val="16"/>
          <w:szCs w:val="16"/>
        </w:rPr>
        <w:t xml:space="preserve">. Пилота обер-лейтенанта О. Декера из группы </w:t>
      </w:r>
      <w:r w:rsidRPr="001E2C69">
        <w:rPr>
          <w:rFonts w:ascii="Times New Roman" w:hAnsi="Times New Roman"/>
          <w:color w:val="000000" w:themeColor="text1"/>
          <w:sz w:val="16"/>
          <w:szCs w:val="16"/>
          <w:lang w:val="en-US"/>
        </w:rPr>
        <w:t>III</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JG</w:t>
      </w:r>
      <w:r w:rsidRPr="001E2C69">
        <w:rPr>
          <w:rFonts w:ascii="Times New Roman" w:hAnsi="Times New Roman"/>
          <w:color w:val="000000" w:themeColor="text1"/>
          <w:sz w:val="16"/>
          <w:szCs w:val="16"/>
        </w:rPr>
        <w:t xml:space="preserve"> 52 взяли в плен. Эту машину осмотрели, но вывезти не смогли. Зато </w:t>
      </w:r>
      <w:r w:rsidRPr="001E2C69">
        <w:rPr>
          <w:rFonts w:ascii="Times New Roman" w:hAnsi="Times New Roman"/>
          <w:color w:val="000000" w:themeColor="text1"/>
          <w:sz w:val="16"/>
          <w:szCs w:val="16"/>
          <w:lang w:val="en-US"/>
        </w:rPr>
        <w:t>Bf</w:t>
      </w:r>
      <w:r w:rsidRPr="001E2C69">
        <w:rPr>
          <w:rFonts w:ascii="Times New Roman" w:hAnsi="Times New Roman"/>
          <w:color w:val="000000" w:themeColor="text1"/>
          <w:sz w:val="16"/>
          <w:szCs w:val="16"/>
        </w:rPr>
        <w:t xml:space="preserve"> 109</w:t>
      </w:r>
      <w:r w:rsidRPr="001E2C69">
        <w:rPr>
          <w:rFonts w:ascii="Times New Roman" w:hAnsi="Times New Roman"/>
          <w:color w:val="000000" w:themeColor="text1"/>
          <w:sz w:val="16"/>
          <w:szCs w:val="16"/>
          <w:lang w:val="en-US"/>
        </w:rPr>
        <w:t>G</w:t>
      </w:r>
      <w:r w:rsidRPr="001E2C69">
        <w:rPr>
          <w:rFonts w:ascii="Times New Roman" w:hAnsi="Times New Roman"/>
          <w:color w:val="000000" w:themeColor="text1"/>
          <w:sz w:val="16"/>
          <w:szCs w:val="16"/>
        </w:rPr>
        <w:t xml:space="preserve">-2 из группы </w:t>
      </w:r>
      <w:r w:rsidRPr="001E2C69">
        <w:rPr>
          <w:rFonts w:ascii="Times New Roman" w:hAnsi="Times New Roman"/>
          <w:color w:val="000000" w:themeColor="text1"/>
          <w:sz w:val="16"/>
          <w:szCs w:val="16"/>
          <w:lang w:val="en-US"/>
        </w:rPr>
        <w:t>III</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JG</w:t>
      </w:r>
      <w:r w:rsidRPr="001E2C69">
        <w:rPr>
          <w:rFonts w:ascii="Times New Roman" w:hAnsi="Times New Roman"/>
          <w:color w:val="000000" w:themeColor="text1"/>
          <w:sz w:val="16"/>
          <w:szCs w:val="16"/>
        </w:rPr>
        <w:t xml:space="preserve"> 53, захваченный 8 сентября, эвакуировали в Москву. После изучения он долго стоял в выставочном зале БНТ (23186).</w:t>
      </w:r>
    </w:p>
    <w:p w14:paraId="1578D13C" w14:textId="77777777" w:rsidR="00504B90" w:rsidRPr="001E2C69" w:rsidRDefault="00504B90" w:rsidP="00722885">
      <w:pPr>
        <w:spacing w:after="0" w:line="240" w:lineRule="auto"/>
        <w:jc w:val="both"/>
        <w:rPr>
          <w:rFonts w:ascii="Times New Roman" w:hAnsi="Times New Roman"/>
          <w:color w:val="000000" w:themeColor="text1"/>
          <w:sz w:val="16"/>
          <w:szCs w:val="16"/>
        </w:rPr>
      </w:pPr>
    </w:p>
    <w:p w14:paraId="63FB8CDB" w14:textId="77777777" w:rsidR="00504B90" w:rsidRPr="001E2C69" w:rsidRDefault="00504B90" w:rsidP="00722885">
      <w:pPr>
        <w:pStyle w:val="af"/>
        <w:spacing w:before="0" w:after="0"/>
        <w:jc w:val="both"/>
        <w:rPr>
          <w:color w:val="000000" w:themeColor="text1"/>
          <w:sz w:val="16"/>
          <w:szCs w:val="16"/>
        </w:rPr>
      </w:pPr>
      <w:r w:rsidRPr="001E2C69">
        <w:rPr>
          <w:color w:val="000000" w:themeColor="text1"/>
          <w:sz w:val="16"/>
          <w:szCs w:val="16"/>
        </w:rPr>
        <w:t>27 августа 1942 года приказом НКАП летчиком-испытателем «Омеги» назначили инженера ЛИИ Д.И. Савельева. Обычно между приказом и первым вылетом имелся небольшой интервал. Но на этот раз все было иначе, и первый подъем в воздух состоялся много позже. Эвакуация в Алма-Ату задержала первый вылет «Омеги» почти на два года (20260).</w:t>
      </w:r>
    </w:p>
    <w:p w14:paraId="4457AA2A" w14:textId="77777777" w:rsidR="00504B90" w:rsidRPr="001E2C69" w:rsidRDefault="00504B90" w:rsidP="00722885">
      <w:pPr>
        <w:pStyle w:val="af"/>
        <w:spacing w:before="0" w:after="0"/>
        <w:jc w:val="both"/>
        <w:rPr>
          <w:color w:val="000000" w:themeColor="text1"/>
          <w:sz w:val="16"/>
          <w:szCs w:val="16"/>
        </w:rPr>
      </w:pPr>
    </w:p>
    <w:p w14:paraId="10B34145"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47DBA1D9" w14:textId="77777777" w:rsidR="00AE7191" w:rsidRPr="001E2C69" w:rsidRDefault="00AE7191" w:rsidP="00722885">
      <w:pPr>
        <w:pStyle w:val="Iauiue"/>
        <w:jc w:val="both"/>
        <w:rPr>
          <w:iCs/>
          <w:color w:val="000000" w:themeColor="text1"/>
          <w:sz w:val="16"/>
          <w:szCs w:val="16"/>
        </w:rPr>
      </w:pPr>
    </w:p>
    <w:p w14:paraId="4FDCDAF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27 августа 1942 директор з-да 183 Максарев, ГК Морозов и Военпред Приземнов писали письмо № 3615а Нач. БТУ КА и-п Афонину (Москва, КП, 2-1 НКО) и НКТП Зальцману (Москва, Садово-Сухаревская, 11):</w:t>
      </w:r>
    </w:p>
    <w:p w14:paraId="66CA485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вопросу: Проектирования модернизированного танка Т-43 (б Т-34М) и устранения конструктивных недостатков танка Т-34.</w:t>
      </w:r>
    </w:p>
    <w:p w14:paraId="794549E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Во исполнение распоряжения о скорейшем утранении недостатков и упрощения конструкции деталей и узлов танка Т-34, имеем сообщить следующее:</w:t>
      </w:r>
    </w:p>
    <w:p w14:paraId="7231142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Работы по новому танку Т-43 (б Т-34М) продолжаются в соответствии с утвержденным планом.</w:t>
      </w:r>
    </w:p>
    <w:p w14:paraId="5FDE47D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Трехместная башня новой конструкции первого образца в настоящее время уже испытывается на танке Т-34.</w:t>
      </w:r>
    </w:p>
    <w:p w14:paraId="6D78290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КПП новой конструкции с постоянным зацеплением шестерен и пятью ступенями испытана на Т-34С и полностью себя оправдала. Достигнута скорость движения 54.5 км/час. Выявленные недостатки устраняются.</w:t>
      </w:r>
    </w:p>
    <w:p w14:paraId="35CAC46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Ваше требование о скорейшем внедрении конструкторских работ в серийное пр-во Т-34 для устранения его основных недостатков, немедленно выполняется. В настоящее время, не дожидаясь окончания работ с Т-43, мы рассматриваем возможность освоения серийного выпуска Т-34С, укомплектованных трехместной башней, которая испытывается в настоящее время...</w:t>
      </w:r>
    </w:p>
    <w:p w14:paraId="3EDDEC7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Увеличение толщины брони Т-34С до 60 мм можно будет провести путем использования дополнительного бронирования...таким образом при благополучных результатах испытаний Т-34С, оборудованного трехместной башней, в 4 кв. с.г. завод может начать переход на выпуск таких танков переходной конструкции, по основным параметрам приближающихся к утвержденным характеристикам нового Т-43 (б Т-34М)....</w:t>
      </w:r>
    </w:p>
    <w:p w14:paraId="62C4DEB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Просим ваших указанийо проведении работ по укомплектованию Т-34С трехместной башней, включение его в программу испытаний и подготовке его производства в установленном порядке (7518, 37).</w:t>
      </w:r>
    </w:p>
    <w:p w14:paraId="35A17570" w14:textId="77777777" w:rsidR="00AE7191" w:rsidRPr="001E2C69" w:rsidRDefault="00AE7191" w:rsidP="00722885">
      <w:pPr>
        <w:pStyle w:val="Iauiue"/>
        <w:jc w:val="both"/>
        <w:rPr>
          <w:color w:val="000000" w:themeColor="text1"/>
          <w:sz w:val="16"/>
          <w:szCs w:val="16"/>
        </w:rPr>
      </w:pPr>
    </w:p>
    <w:p w14:paraId="0E232AC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27 августа 1942 года была подготовлена справка:</w:t>
      </w:r>
    </w:p>
    <w:p w14:paraId="762D972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 завод № 354 эвакуированы рабочие из Ленинграда и Харькова (9265).</w:t>
      </w:r>
    </w:p>
    <w:p w14:paraId="4E0D3C44" w14:textId="77777777" w:rsidR="00AE7191" w:rsidRPr="001E2C69" w:rsidRDefault="00AE7191" w:rsidP="00722885">
      <w:pPr>
        <w:pStyle w:val="Iauiue"/>
        <w:jc w:val="both"/>
        <w:rPr>
          <w:color w:val="000000" w:themeColor="text1"/>
          <w:sz w:val="16"/>
          <w:szCs w:val="16"/>
        </w:rPr>
      </w:pPr>
    </w:p>
    <w:p w14:paraId="6CCDC90D"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2DA6FB73" w14:textId="77777777" w:rsidR="00AE7191" w:rsidRPr="001E2C69" w:rsidRDefault="00AE7191" w:rsidP="00722885">
      <w:pPr>
        <w:pStyle w:val="Iauiue"/>
        <w:jc w:val="both"/>
        <w:rPr>
          <w:iCs/>
          <w:color w:val="000000" w:themeColor="text1"/>
          <w:sz w:val="16"/>
          <w:szCs w:val="16"/>
        </w:rPr>
      </w:pPr>
    </w:p>
    <w:p w14:paraId="7A092AD6"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 августа в 1942 года утреннее сообщение Совинформбюро:</w:t>
      </w:r>
    </w:p>
    <w:p w14:paraId="4CBD5F8F"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27 августа наши войска вели бои с противником на Западном и Калининском фронтах, в районах Клетская, северо-западнее Сталинграда, северо-восточнее Котельниково, а также в районах Прохладный, Моздок и южнее Краснодара.</w:t>
      </w:r>
    </w:p>
    <w:p w14:paraId="1807C8B1"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7DAAFCAC"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Западном фронте наши войска продолжали вести наступательные бои и заняли ряд населённых пунктов. Н-ское соединение в результате упорных боёв овладело укреплённым рубежом противника. Захвачены у немцев 30 орудий, 42 пулемёта, 12 миномётов, 2 бронемашины, 500 винтовок и другие трофеи. На поле боя остались сотни вражеских трупов. На другом участке наши бойцы уничтожили 3 тяжёлых немецких танка и до 400 солдат и офицеров противника. Захвачены трофеи и пленные. Советские лётчики в воздушных боях сбили 5 немецких самолётов.</w:t>
      </w:r>
    </w:p>
    <w:p w14:paraId="23AC528A"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северо-западнее Сталинграда наши войска вели напряжённые бои с крупными силами противника. На одном участке немцы после артиллерийской подготовки и бомбёжки с воздуха бросили в атаку значительную группу танков. Наши артиллеристы с открытых позиций расстреливали вражеские машины и вывели из строя 18 немецких танков. Нескольким танкам противника удалось прорваться в глубину нашей обороны, но они были там уничтожены гранатами и бутылками с зажигательной жидкостью.</w:t>
      </w:r>
    </w:p>
    <w:p w14:paraId="24E73BF2"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танки и пехота противника пытались продвинуться вперёд, но были отброшены мощным артиллерийским огнём. Одна наша кавалерийская часть проникла в тыл противника и нанесла немцам значительный урон.</w:t>
      </w:r>
    </w:p>
    <w:p w14:paraId="55F37526"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Краснодара продолжались упорные бои. На участке Н-ского соединения немцы пытались овладеть выгодной высотой. Наши артиллеристы огневым налётом расстроили боевые порядки гитлеровцев. Тогда наши бойцы перешли в контратаку и в рукопашной схватке истребили более 100 солдат и офицеров противника.</w:t>
      </w:r>
    </w:p>
    <w:p w14:paraId="77E22285"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Прохладного продолжались ожесточённые бои за переправы через водный рубеж. Ударом с воздуха и огнём тяжёлых миномётов разрушены две переправы, наведённые немцами, и рассеяно скопление танков и автомашин неприятеля.</w:t>
      </w:r>
    </w:p>
    <w:p w14:paraId="395341DA"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Моздока наши части вели оборонительные бои с танками и мотопехотой противника.</w:t>
      </w:r>
    </w:p>
    <w:p w14:paraId="4A1213A6"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Группа брянских партизан под командованием тов. О. пустила под откос железнодорожный эшелон из 40 платформ с танками и автомашинами противника.</w:t>
      </w:r>
    </w:p>
    <w:p w14:paraId="32889DC6"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Орловские партизаны захватили приказ по штабу 47 венгерского королевского гонведского полка. В четвёртом пункте этого приказа сообщается, что в селе Марановка партизанами убиты полковник и три офицера. Далее в приказе говорится, что солдаты второй роты 3 батальона, конвоировавшие русских военнопленных, подверглись нападению партизан. Партизаны перебили конвой, забрали оружие, освободили пленных и скрылись.</w:t>
      </w:r>
    </w:p>
    <w:p w14:paraId="3E197FEF"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256 полка 112 немецкой пехотной дивизии Якоб Клеменс рассказал: «Немецкая армия производит колоссальные опустошения в захваченных ею районах. На оккупированной территории всюду бродят голодные русские люди. В Орле жители буквально умирают с голоду. В селе Ново-Никольском мы проходили военное обучение. Когда мы жаловались на плохое питание, офицеры нам указывали: «Вы здесь полные хозяева, идите в любой дом и берите всё, что вам угодно». Офицеры неоднократно инструктировали, что солдат имеет право расстрелять любого русского, будь то мужчина или женщина. Для этого достаточно только назвать его партизаном, партизанкой или помощником партизан. Под этим предлогом были расстреляны сотни русских жителей».</w:t>
      </w:r>
    </w:p>
    <w:p w14:paraId="734DC6D8"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 многих городах Франции состоялись антигерманские демонстрации. В Бове, Руане и Валансьенне сотни женщин вышли на улицу и потребовали немедленного возвращения на родину всех французских военнопленных. В Секлэне демонстрация женщин окончилась столкновением с эсэсовцами. В Париже состоялся митинг студентов, на котором они призывали интеллигенцию бороться за освобождение Франции от немецких оккупантов.»</w:t>
      </w:r>
      <w:r w:rsidRPr="001E2C69">
        <w:rPr>
          <w:rStyle w:val="ucoz-forum-post"/>
          <w:rFonts w:ascii="Times New Roman" w:eastAsia="Times New Roman" w:hAnsi="Times New Roman"/>
          <w:color w:val="000000" w:themeColor="text1"/>
          <w:sz w:val="16"/>
          <w:szCs w:val="16"/>
        </w:rPr>
        <w:t xml:space="preserve"> (14751).</w:t>
      </w:r>
    </w:p>
    <w:p w14:paraId="09D23034" w14:textId="77777777" w:rsidR="00885B41" w:rsidRPr="001E2C69" w:rsidRDefault="00885B41" w:rsidP="00722885">
      <w:pPr>
        <w:spacing w:after="0" w:line="240" w:lineRule="auto"/>
        <w:jc w:val="both"/>
        <w:rPr>
          <w:rFonts w:ascii="Times New Roman" w:hAnsi="Times New Roman"/>
          <w:color w:val="000000" w:themeColor="text1"/>
          <w:sz w:val="16"/>
          <w:szCs w:val="16"/>
        </w:rPr>
      </w:pPr>
    </w:p>
    <w:p w14:paraId="5F8FE560"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 августа в 1942 года вечернее сообщение Совинформбюро:</w:t>
      </w:r>
    </w:p>
    <w:p w14:paraId="2E5F6D57"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27 августа наши войска вели бои на окраинах города Ржева, юго-восточнее Клетская, северо-западнее Сталинграда, северо-восточнее Котельниково, а также в районах Прохладный, Моздок и южнее Краснодара.</w:t>
      </w:r>
    </w:p>
    <w:p w14:paraId="1DF277CD"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79EABB1A"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26 августа частями нашей авиации на различных участках фронта уничтожено или повреждено до 20 немецких танков, более 150 автомашин с войсками и грузами,10 автоцистерн с горючим, подавлен огонь 12 батарей полевой и зенитной артиллерии, взорваны склад боеприпасов и 2 склада горючего, рассеяно и частью уничтожено до батальона пехоты противника.</w:t>
      </w:r>
    </w:p>
    <w:p w14:paraId="3D18C729"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Западного фронта наши войска вели бои и заняли несколько населённых пунктов. Бойцы Н-ской части ворвались в сильно укреплённый противником населённый пункт. В боях на этом участке подбито 26 немецких танков и уничтожено до 200 солдат и офицеров противника. Наши части очистили от противника крупный лесной массив. Немцы оставили в лесу большое количество трупов своих солдат и офицеров, много ручного оружия, подбитых и сгоревших танков. В воздушных боях наши лётчики сбили 6 немецких самолётов.</w:t>
      </w:r>
    </w:p>
    <w:p w14:paraId="7A9D4D54"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северо-западнее Сталинграда наши войска вели контратаки против немецко-фашистских войск. Противник в результате упорного сопротивления наших частей несёт огромные потери. Гитлеровцы вводят в бой новые массы танков и пехоты. На участке Н-ской части врагу удалось продвинуться и создать угрозу флангового удара. Наши бойцы перешли в контратаку и восстановили положение. Уничтожено 11 танков и до двух рот немецкой пехоты. На другом участке наши танкисты и пехотинцы отбили десять ожесточённых атак противника и уничтожили 13 танков и до двух батальонов немецкой пехоты.</w:t>
      </w:r>
    </w:p>
    <w:p w14:paraId="7FAC7CC2"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наши части вели активные боевые действия. В течение двух дней нашими бойцами захвачено у немцев 18 орудий, 122 пулемёта, 30 автомашин и другое военное имущество.</w:t>
      </w:r>
    </w:p>
    <w:p w14:paraId="173B1863"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Взяты пленные.</w:t>
      </w:r>
    </w:p>
    <w:p w14:paraId="512355D2"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наши артиллеристы отразили две танковые атаки противника и уничтожили 3 тяжёлых и 5 средних немецких танков. Н-ская часть, оборонявшая один населённый пункт, в ожесточённом бою спротивником уничтожила 4 танка и истребила более 100 гитлеровцев.</w:t>
      </w:r>
    </w:p>
    <w:p w14:paraId="53A03A8C"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Краснодара наши войска вели оборонительные бои с численно превосходящими силами противника. Ожесточённые бои развернулись за одну важную высоту, которая несколько раз переходила из рук в руки. К исходу дня Н-ская часть закрепилась на этой высоте и отбила все атаки противника. Уничтожено 3 немецких танка, 3 самоходных орудия и более роты пехоты противника.</w:t>
      </w:r>
    </w:p>
    <w:p w14:paraId="44F2DDDB"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Прохладного наши части после упорных боёв отошли на новые позиции.</w:t>
      </w:r>
    </w:p>
    <w:p w14:paraId="343601F6"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Южнее Воронежа, в населённом пункте на западном берегу Дона, продолжаются уличные бои. За последние дни в боях за этот населённый пункт неприятель потерял только убитыми до 800 солдат и офицеров.</w:t>
      </w:r>
    </w:p>
    <w:p w14:paraId="16F60752"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под командованием тов. Б., действующий в одном из районов Могилёвской области, за первую половину августа истребил 86 немецко-фашистских оккупантов. За это же время партизаны пустили под откос железнодорожный эшелон противника. В результате крушения уничтожено 14 орудий, 9 автомашин и около 80 бочек с горючим.</w:t>
      </w:r>
    </w:p>
    <w:p w14:paraId="77839D2B"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занятых немцами районах Украины свирепствуют голод и эпидемии. Немцы, румыны, итальянцы, венгры разгромили лечебные учреждения, больницы и аптеки. Врачам запрещено оказывать советским гражданам медицинскую помощь. В деревне Шаровка, Каменец-Подольской области, от различных заразных болезней и голода умирают десятки крестьян. В начале августа фашистские изверги приказали старосте собрать тринадцать тифозных больных в дом колхозницы Симоненко. Палачи облили дом бензином и сожгли всех больных вместе с хозяйкой дома, её дочерью и сыном.</w:t>
      </w:r>
    </w:p>
    <w:p w14:paraId="0F31664C"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Париже французские патриоты бросили гранаты в проходивший по улице отрядэ сэсовцев. Убито 5 и ранено 9 гитлеровцев. Недалеко от Бордо неизвестные напали на помещение немецкой береговой охраны и, захватив оружие, скрылись.»</w:t>
      </w:r>
      <w:r w:rsidRPr="001E2C69">
        <w:rPr>
          <w:rStyle w:val="ucoz-forum-post"/>
          <w:rFonts w:ascii="Times New Roman" w:eastAsia="Times New Roman" w:hAnsi="Times New Roman"/>
          <w:color w:val="000000" w:themeColor="text1"/>
          <w:sz w:val="16"/>
          <w:szCs w:val="16"/>
        </w:rPr>
        <w:t xml:space="preserve"> (14751).</w:t>
      </w:r>
    </w:p>
    <w:p w14:paraId="752E25D5" w14:textId="77777777" w:rsidR="00885B41" w:rsidRPr="001E2C69" w:rsidRDefault="00885B41" w:rsidP="00722885">
      <w:pPr>
        <w:spacing w:after="0" w:line="240" w:lineRule="auto"/>
        <w:jc w:val="both"/>
        <w:rPr>
          <w:rFonts w:ascii="Times New Roman" w:hAnsi="Times New Roman"/>
          <w:color w:val="000000" w:themeColor="text1"/>
          <w:sz w:val="16"/>
          <w:szCs w:val="16"/>
        </w:rPr>
      </w:pPr>
    </w:p>
    <w:p w14:paraId="482623D5" w14:textId="77777777" w:rsidR="00504B90" w:rsidRPr="001E2C69" w:rsidRDefault="00504B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 и 30 августа, а также 10 сентября 1942 были совершены рейды АДД на столицу фашистской Германии. Всего в них было задействовано 212 самолетов, из которых, по современным подсчетам, до цели дошли 48 машин. Фактическое число самолетов, бомбивших именно Берлин, было еще меньше (22728).</w:t>
      </w:r>
    </w:p>
    <w:p w14:paraId="7A397206" w14:textId="77777777" w:rsidR="00504B90" w:rsidRPr="001E2C69" w:rsidRDefault="00504B90" w:rsidP="00722885">
      <w:pPr>
        <w:spacing w:after="0" w:line="240" w:lineRule="auto"/>
        <w:jc w:val="both"/>
        <w:rPr>
          <w:rFonts w:ascii="Times New Roman" w:hAnsi="Times New Roman"/>
          <w:color w:val="000000" w:themeColor="text1"/>
          <w:sz w:val="16"/>
          <w:szCs w:val="16"/>
        </w:rPr>
      </w:pPr>
    </w:p>
    <w:p w14:paraId="066E4D60"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 августа в 1942 году в ходе Синявинской операции с востока начали наступление войска ударной группировки (8-я и 2-я Ударная Армии) Волховского фронта. Целью операции был прорыв блокады Ленинграда.Начало операции совпало с подготовкой немцами последней попытки штурма Ленинграда. В жестоких встречных боях в лесах и болотах в окрестностях поселка Синявино, обе стороны утратили наступательный потенциал. Линия фронта стабилизировалась на прежнем месте. Штурм города был сорван. Попытка его деблокады -тоже</w:t>
      </w:r>
      <w:r w:rsidRPr="001E2C69">
        <w:rPr>
          <w:rStyle w:val="ucoz-forum-post"/>
          <w:rFonts w:ascii="Times New Roman" w:eastAsia="Times New Roman" w:hAnsi="Times New Roman"/>
          <w:color w:val="000000" w:themeColor="text1"/>
          <w:sz w:val="16"/>
          <w:szCs w:val="16"/>
        </w:rPr>
        <w:t xml:space="preserve"> (14751)</w:t>
      </w:r>
      <w:r w:rsidRPr="001E2C69">
        <w:rPr>
          <w:rFonts w:ascii="Times New Roman" w:hAnsi="Times New Roman"/>
          <w:color w:val="000000" w:themeColor="text1"/>
          <w:sz w:val="16"/>
          <w:szCs w:val="16"/>
        </w:rPr>
        <w:t>.</w:t>
      </w:r>
    </w:p>
    <w:p w14:paraId="509B0C0E" w14:textId="77777777" w:rsidR="00885B41" w:rsidRPr="001E2C69" w:rsidRDefault="00885B41" w:rsidP="00722885">
      <w:pPr>
        <w:spacing w:after="0" w:line="240" w:lineRule="auto"/>
        <w:jc w:val="both"/>
        <w:rPr>
          <w:rFonts w:ascii="Times New Roman" w:hAnsi="Times New Roman"/>
          <w:color w:val="000000" w:themeColor="text1"/>
          <w:sz w:val="16"/>
          <w:szCs w:val="16"/>
        </w:rPr>
      </w:pPr>
    </w:p>
    <w:p w14:paraId="672A470E"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27 августа 1942 года</w:t>
      </w:r>
      <w:r w:rsidRPr="001E2C69">
        <w:rPr>
          <w:rFonts w:ascii="Times New Roman" w:hAnsi="Times New Roman"/>
          <w:color w:val="000000" w:themeColor="text1"/>
          <w:sz w:val="16"/>
          <w:szCs w:val="16"/>
        </w:rPr>
        <w:t xml:space="preserve"> Командир отряда 8/JG52 обер-лейтенант О.Деккер (O.Decker), безуспешно преследовал Су-2. Наш летчик уклонялся от очередей "мессера" на бреющем, отстреливаясь из пулемета, пока, наконец, кто-то из находившихся в окопах бойцов не сумел из винтовки поразить маслорадиатор немецкого истребителя. Удалось захватить не только немецкого командира, но и новейший Bf109G № 13529, который стал ценным трофеем ВВС Красной Армии</w:t>
      </w:r>
      <w:r w:rsidRPr="001E2C69">
        <w:rPr>
          <w:rStyle w:val="ucoz-forum-post"/>
          <w:rFonts w:ascii="Times New Roman" w:eastAsia="Times New Roman" w:hAnsi="Times New Roman"/>
          <w:color w:val="000000" w:themeColor="text1"/>
          <w:sz w:val="16"/>
          <w:szCs w:val="16"/>
        </w:rPr>
        <w:t xml:space="preserve"> (14751)</w:t>
      </w:r>
      <w:r w:rsidRPr="001E2C69">
        <w:rPr>
          <w:rFonts w:ascii="Times New Roman" w:hAnsi="Times New Roman"/>
          <w:color w:val="000000" w:themeColor="text1"/>
          <w:sz w:val="16"/>
          <w:szCs w:val="16"/>
        </w:rPr>
        <w:t>.</w:t>
      </w:r>
    </w:p>
    <w:p w14:paraId="5BF4D959" w14:textId="77777777" w:rsidR="00885B41" w:rsidRPr="001E2C69" w:rsidRDefault="00885B41" w:rsidP="00722885">
      <w:pPr>
        <w:spacing w:after="0" w:line="240" w:lineRule="auto"/>
        <w:jc w:val="both"/>
        <w:rPr>
          <w:rFonts w:ascii="Times New Roman" w:hAnsi="Times New Roman"/>
          <w:bCs/>
          <w:color w:val="000000" w:themeColor="text1"/>
          <w:sz w:val="16"/>
          <w:szCs w:val="16"/>
        </w:rPr>
      </w:pPr>
    </w:p>
    <w:p w14:paraId="5B430F6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27 августа 1942 И.В.С. вызвал Г.К.Ж. и предложил отправиться в Сталинград, куда тот и прибыл 29 августа 1941 (2070,76).</w:t>
      </w:r>
    </w:p>
    <w:p w14:paraId="36B408F1" w14:textId="77777777" w:rsidR="00AE7191" w:rsidRPr="001E2C69" w:rsidRDefault="00AE7191" w:rsidP="00722885">
      <w:pPr>
        <w:pStyle w:val="Iauiue"/>
        <w:jc w:val="both"/>
        <w:rPr>
          <w:color w:val="000000" w:themeColor="text1"/>
          <w:sz w:val="16"/>
          <w:szCs w:val="16"/>
        </w:rPr>
      </w:pPr>
    </w:p>
    <w:p w14:paraId="33C7C37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27 августа 1942 Як-1 и Ил-2 штурмовали аэродром в Орле. Уничтожили 63 (3417,25).</w:t>
      </w:r>
    </w:p>
    <w:p w14:paraId="11A1A13E" w14:textId="77777777" w:rsidR="00AE7191" w:rsidRPr="001E2C69" w:rsidRDefault="00AE7191" w:rsidP="00722885">
      <w:pPr>
        <w:pStyle w:val="Iauiue"/>
        <w:jc w:val="both"/>
        <w:rPr>
          <w:color w:val="000000" w:themeColor="text1"/>
          <w:sz w:val="16"/>
          <w:szCs w:val="16"/>
        </w:rPr>
      </w:pPr>
    </w:p>
    <w:p w14:paraId="00B37D2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27 августа по 10 октября 1942 была Синявинская наступательная операция, сорвавшая наступление на Ленинград (3186).</w:t>
      </w:r>
    </w:p>
    <w:p w14:paraId="00D5DCED" w14:textId="77777777" w:rsidR="00AE7191" w:rsidRPr="001E2C69" w:rsidRDefault="00AE7191" w:rsidP="00722885">
      <w:pPr>
        <w:pStyle w:val="Iauiue"/>
        <w:jc w:val="both"/>
        <w:rPr>
          <w:color w:val="000000" w:themeColor="text1"/>
          <w:sz w:val="16"/>
          <w:szCs w:val="16"/>
        </w:rPr>
      </w:pPr>
    </w:p>
    <w:p w14:paraId="27891EB5"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lang w:val="en-US"/>
        </w:rPr>
        <w:t>August 27, 1942: Soviet counterattacks from the Leningrad pocket against Schluesselburg and the Volchov front (3819).</w:t>
      </w:r>
    </w:p>
    <w:p w14:paraId="526BC3FB" w14:textId="77777777" w:rsidR="00AE7191" w:rsidRPr="001E2C69" w:rsidRDefault="00AE7191" w:rsidP="00722885">
      <w:pPr>
        <w:pStyle w:val="Iauiue"/>
        <w:jc w:val="both"/>
        <w:rPr>
          <w:color w:val="000000" w:themeColor="text1"/>
          <w:sz w:val="16"/>
          <w:szCs w:val="16"/>
          <w:lang w:val="en-US"/>
        </w:rPr>
      </w:pPr>
    </w:p>
    <w:p w14:paraId="0B4A448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27 августа 1942 КА контратаковала из окружения в направлениях Шлиссельбурга и Волхова (3819).</w:t>
      </w:r>
    </w:p>
    <w:p w14:paraId="3B346E40" w14:textId="77777777" w:rsidR="00AE7191" w:rsidRPr="001E2C69" w:rsidRDefault="00AE7191" w:rsidP="00722885">
      <w:pPr>
        <w:pStyle w:val="Iauiue"/>
        <w:jc w:val="both"/>
        <w:rPr>
          <w:color w:val="000000" w:themeColor="text1"/>
          <w:sz w:val="16"/>
          <w:szCs w:val="16"/>
        </w:rPr>
      </w:pPr>
    </w:p>
    <w:p w14:paraId="65765A5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27 августа по 20 сентября 1942 на Волховском фронте испыльзовались ООТБ 501, 502 и 507, вооруженные КВ с АТО-41 (5219, 33).</w:t>
      </w:r>
    </w:p>
    <w:p w14:paraId="0875050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Вывод г-м тв Болотникова, командующего БТ и МВ Волховского фронта:</w:t>
      </w:r>
    </w:p>
    <w:p w14:paraId="0C4E278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Огнеметные танки целесообразно использовать для прорыва укрепленных оборонительных рубежейц и в боях за населенные пункты во взаимодействии с линейными танками (5219, 33).</w:t>
      </w:r>
    </w:p>
    <w:p w14:paraId="2D4EF495" w14:textId="77777777" w:rsidR="00AE7191" w:rsidRPr="001E2C69" w:rsidRDefault="00AE7191" w:rsidP="00722885">
      <w:pPr>
        <w:pStyle w:val="Iauiue"/>
        <w:jc w:val="both"/>
        <w:rPr>
          <w:color w:val="000000" w:themeColor="text1"/>
          <w:sz w:val="16"/>
          <w:szCs w:val="16"/>
        </w:rPr>
      </w:pPr>
    </w:p>
    <w:p w14:paraId="4909B4B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27 и 30 августа и 10 сентября 1942 АДД бомбили Берлин (340,94).</w:t>
      </w:r>
    </w:p>
    <w:p w14:paraId="1467DB35" w14:textId="77777777" w:rsidR="00AE7191" w:rsidRPr="001E2C69" w:rsidRDefault="00AE7191" w:rsidP="00722885">
      <w:pPr>
        <w:pStyle w:val="Iauiue"/>
        <w:jc w:val="both"/>
        <w:rPr>
          <w:color w:val="000000" w:themeColor="text1"/>
          <w:sz w:val="16"/>
          <w:szCs w:val="16"/>
        </w:rPr>
      </w:pPr>
    </w:p>
    <w:p w14:paraId="6F512F3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27 августа 1942 на Ил-4 АДД начала бомбить Берлин, действуя с подмосковных аэродромов. В ту ночь первыми Занесли удар по Берлину экипажи капитана А.И.Молодчего и капитана М.В.Симонова. Эти налеты, совершенные в то время, когда советские войска были вынуждены отступать, а враг рвался к Сталинграду, имели ве только военное, но, прежде всего, политическое значение. О них сообщили все советские газеты, они укрепляли боевой дух сражающихся советских войск, вселяли в тружеников тыла уверенность в конечной победе (9528).</w:t>
      </w:r>
    </w:p>
    <w:p w14:paraId="188DE65E" w14:textId="77777777" w:rsidR="00AE7191" w:rsidRPr="001E2C69" w:rsidRDefault="00AE7191" w:rsidP="00722885">
      <w:pPr>
        <w:pStyle w:val="Iauiue"/>
        <w:jc w:val="both"/>
        <w:rPr>
          <w:color w:val="000000" w:themeColor="text1"/>
          <w:sz w:val="16"/>
          <w:szCs w:val="16"/>
        </w:rPr>
      </w:pPr>
    </w:p>
    <w:p w14:paraId="16CB686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 августа 1942 пара Ил-4 в сопровождении 10 «Харрикейнов» атаковала «три транспорта» в Нарвском заливе и наблюдала потопление одного (реально не подтверждается). Регулярными полеты на «свободную охоту» стали только с 8 октября уже при новом командире полка Герое Советского Союза майоре Н.В.Челнокове (сменил Е.Н.Преображенского 9 августа). Почти каждый день на поиск вылетала пара торпедоносцев, зачастую возвращавшаяся из-за плохой погоды или неисправностей материальной части (9965).</w:t>
      </w:r>
    </w:p>
    <w:p w14:paraId="147149D5"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92A210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27 августа 1942 немецкие самолеты совершили налет на астраханский морской рейд. Несколько бомб упали рядом с танкером «Азербайджан», которому лишь благодаря быстрому маневрированию удалось избежать прямых попаданий. Дальше медлить было нельзя, и уже на следующий день буксировщики с баржами один за другим стали отправляться в трудный путь. В море их ждали сильный ветер и штормы, поэтому для предупреждения аварийных ситуаций корпуса некоторых судов были укреплены, нефтебаржи для лучшей балансировки загрузили топливом наполовину. Трюмы сухогрузов также на одну треть были заполнены эвакуированным оборудованием. Всего в гурьевский порт были эвакуированы 94 судна, в т.ч. 32 буксира, 6 пассажирских кораблей, 42 нефтеналивных и 14 сухогрузных барж. На местную нефтебазу были доставлены почти 100 тыс. т нефтепродуктов. Эти дни конца августа вообще стали по-настоящему катастрофическими, как для Южного Поволжья, так и для страны в целом. В Сталинграде бои шли в полутора километрах от тракторного завода, в Астрахани, в связи с приближением противника к г. Утта, было принято решение о частичной эвакуации населения города в Казахстан, на кавказском направлении 25 августа части Вермахта заняли г. Моздок, вплотную приблизившись к нефтяным месторождениям в Чечне. Немцы систематически бомбили переправы, забрасывали на парашютах диверсантов, которые подрывали </w:t>
      </w:r>
      <w:r w:rsidRPr="001E2C69">
        <w:rPr>
          <w:rFonts w:ascii="Times New Roman" w:hAnsi="Times New Roman"/>
          <w:color w:val="000000" w:themeColor="text1"/>
          <w:sz w:val="16"/>
          <w:szCs w:val="16"/>
        </w:rPr>
        <w:lastRenderedPageBreak/>
        <w:t>баржи, буксиры, ночью подавали сигналы своим самолетам. В это время, помимо Сталинграда, германская бомбардировочная авиация сосредоточила свои усилия на железных дорогах, ведущих к городу с севера. В течение 25—28 августа Не-111 из KG55 «Грайф» совместно с бомбардировщиками других эскадр также атаковали магистраль Урбах – Астрахань, проходящую с севера на юг вдоль восточного берега Волги. Эта транспортная артерия имела огромное стратегическое значение. По ней на север шли эшелоны с кавказской нефтью, а также составы с американской и английской техникой, поставляемой по программе ленд-лиза через Иран. В ночь на 26 августа немцы совершили налет на станцию Верхний Баскунчак. В поселке возник огромный пожар, были повреждены железнодорожные пути, стоявшие на них вагоны и депо. При этом героический поступок совершил начальник депо Паринов. Бомба SC250 пробила крышу здания, воткнулась в грунт и не взорвалась. Возникло опасение, что она снабжена взрывателем замедленного действия. Тогда Паринов зацепил бомбу петлей троса и паровозом отволок ее на безопасное расстояние. В ходе налета железнодорожный узел получил большие повреждения и на сутки был полностью парализован. Из-за этого нарушился и без того напряженный график движения поездов на этой дороге, создались многокилометровые пробки. Здесь уже в середине августа скопилось излишнее количество подвижного состава, и обстановка продолжала ухудшаться с каждым днем. В Астрахани буквально некуда было девать порожние вагоны. Сначала их выводили на трамвайные пути, перегораживая улицы, скверы и площади, затем начали сталкивать на землю. Вскоре некоторые районы города стали самым настоящим кладбищем вагонов. Машинисты, кондуктора, вагонные мастера неделями не сходили с паровозов, тормозных площадок. Раненые не покидали постов. Бессменно находились на своих местах путейцы, связисты, движенцы. В те дни родились т.н. боелетучки, состоявшие из трех – пяти вагонов и паровоза, доставлявшие боеприпасы к передовым рубежам обороны, дерзкие рейсы машинистов, прорывавшихся сквозь артиллерийский и минометный огонь противника, и одностороннее движение, пакетный график, живая сигнализация, оперативные группы и многое другое. 25 августа командующий 8-й воздушной армией генерал Хрюкин вынужден был пойти на экстраординарные меры. Он приказал отобрать двадцать лучших летчиков на самолетах Як-7б и Ла-5 и сформировать из них специальную  «авиагруппу по уничтожению бомбардировщиков над центром города». Впрочем, и это мероприятие в условиях полного господства немцев в воздухе не могло принести ожидаемого эффекта (11774).</w:t>
      </w:r>
    </w:p>
    <w:p w14:paraId="40411F25"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D54AAF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27 августа 1942 порт Диксон подвергся нападению тяжелого крейсера Адмирал Шеер. Оборонялась береговая артиллерия и пароход Дежнев и крейсер ушел, поставив мины (2438,213).</w:t>
      </w:r>
    </w:p>
    <w:p w14:paraId="54301F2C" w14:textId="77777777" w:rsidR="00AE7191" w:rsidRPr="001E2C69" w:rsidRDefault="00AE7191" w:rsidP="00722885">
      <w:pPr>
        <w:pStyle w:val="Iauiue"/>
        <w:jc w:val="both"/>
        <w:rPr>
          <w:color w:val="000000" w:themeColor="text1"/>
          <w:sz w:val="16"/>
          <w:szCs w:val="16"/>
        </w:rPr>
      </w:pPr>
    </w:p>
    <w:p w14:paraId="5528B97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27 августа 1942 было отражение нападения тяжелого крейсера «Адмирал Шеер» на порт Диксон. </w:t>
      </w:r>
    </w:p>
    <w:p w14:paraId="16600C4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О появлении в Карском море фашистского рейдера гарнизону о. Диксон стало известно 25.8 из радиограммы л/п «А. Сибиряков». Оборону порта возглавил военный комиссар Северного отряда БВФ полковой комиссар В. В. Бабинцев. К вечеру 26.8 на причале были установлены два 152-мм орудия, приготовлена к бою 45-мм батарея. В ночь на 27.8 с появлением КРТ «А. Шеер» у о. Диксон была объявлена боевая тревога, СКР «Дежнёв» поставил дымовую завесу для прикрытия судов. </w:t>
      </w:r>
    </w:p>
    <w:p w14:paraId="7DC4F2C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 ч 30 мин крейсер подошел к порту Диксон с юга и открыл огонь по судам, находящимся в гавани. Ответный огонь вели СКР «Дежнёв» (помощник командира старший лейтенант С. А. Кротов) из четырех 76-мм орудий, а с причала — батарея 152-мм орудий под командованием лейтенанта Н. М. Корнякова. Получив несколько прямых попаданий, рейдер прекратил обстрел порта и отошел. Вторая атака также была отбита, и крейсер ушел от Диксона. В результате пиратских действий «А. Шеера» сгорело несколько зданий, получил четыре пробоины «Дежнёв» и был легко поврежден ТР «Революционер», имелись убитые и раненые, но порт Диксон продолжал функционировать. Опасаясь появления кораблей и авиации СФ, 29.8 «А. Шеер» оставил Карское море и ушел в базу (11712).</w:t>
      </w:r>
    </w:p>
    <w:p w14:paraId="07A2084C"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E24FCF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27 августа 1942 был бой корабля Дежнев (СКР-19) с немецким тяжелым крейсером Адмирал Шпеер (3398,309).</w:t>
      </w:r>
    </w:p>
    <w:p w14:paraId="1C0A444A" w14:textId="77777777" w:rsidR="00AE7191" w:rsidRPr="001E2C69" w:rsidRDefault="00AE7191" w:rsidP="00722885">
      <w:pPr>
        <w:pStyle w:val="Iauiue"/>
        <w:jc w:val="both"/>
        <w:rPr>
          <w:color w:val="000000" w:themeColor="text1"/>
          <w:sz w:val="16"/>
          <w:szCs w:val="16"/>
        </w:rPr>
      </w:pPr>
    </w:p>
    <w:p w14:paraId="50EA7E5C"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 августа в 1942 году сторожевой корабль «Дежнев», находясь в порту Диксон, совместно с береговой батареей дважды вступал в бой с немецким тяжелым крейсером «Адмирал Шеер». Несмотря на превосходство в артиллерии, противнику не удалось уничтожить порт со стоящими там судами, и он вынужден был покинуть Карское море. Это единственный за всю 2-ю мировую войну случай боевых действий на территории Сибири</w:t>
      </w:r>
      <w:r w:rsidRPr="001E2C69">
        <w:rPr>
          <w:rStyle w:val="ucoz-forum-post"/>
          <w:rFonts w:ascii="Times New Roman" w:eastAsia="Times New Roman" w:hAnsi="Times New Roman"/>
          <w:color w:val="000000" w:themeColor="text1"/>
          <w:sz w:val="16"/>
          <w:szCs w:val="16"/>
        </w:rPr>
        <w:t xml:space="preserve"> (14751)</w:t>
      </w:r>
      <w:r w:rsidRPr="001E2C69">
        <w:rPr>
          <w:rFonts w:ascii="Times New Roman" w:hAnsi="Times New Roman"/>
          <w:color w:val="000000" w:themeColor="text1"/>
          <w:sz w:val="16"/>
          <w:szCs w:val="16"/>
        </w:rPr>
        <w:t>.</w:t>
      </w:r>
    </w:p>
    <w:p w14:paraId="4EFE6118" w14:textId="77777777" w:rsidR="00885B41" w:rsidRPr="001E2C69" w:rsidRDefault="00885B41" w:rsidP="00722885">
      <w:pPr>
        <w:spacing w:after="0" w:line="240" w:lineRule="auto"/>
        <w:jc w:val="both"/>
        <w:rPr>
          <w:rFonts w:ascii="Times New Roman" w:hAnsi="Times New Roman"/>
          <w:color w:val="000000" w:themeColor="text1"/>
          <w:sz w:val="16"/>
          <w:szCs w:val="16"/>
        </w:rPr>
      </w:pPr>
    </w:p>
    <w:p w14:paraId="0FDFAF1D"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 августа 1942 года авиация дальнего действия нанесла бомбовый удар по Берлину</w:t>
      </w:r>
      <w:r w:rsidRPr="001E2C69">
        <w:rPr>
          <w:rStyle w:val="ucoz-forum-post"/>
          <w:rFonts w:ascii="Times New Roman" w:eastAsia="Times New Roman" w:hAnsi="Times New Roman"/>
          <w:color w:val="000000" w:themeColor="text1"/>
          <w:sz w:val="16"/>
          <w:szCs w:val="16"/>
        </w:rPr>
        <w:t xml:space="preserve"> (14751)</w:t>
      </w:r>
      <w:r w:rsidRPr="001E2C69">
        <w:rPr>
          <w:rFonts w:ascii="Times New Roman" w:hAnsi="Times New Roman"/>
          <w:color w:val="000000" w:themeColor="text1"/>
          <w:sz w:val="16"/>
          <w:szCs w:val="16"/>
        </w:rPr>
        <w:t>.</w:t>
      </w:r>
    </w:p>
    <w:p w14:paraId="134D9366" w14:textId="77777777" w:rsidR="00885B41" w:rsidRPr="001E2C69" w:rsidRDefault="00885B41" w:rsidP="00722885">
      <w:pPr>
        <w:spacing w:after="0" w:line="240" w:lineRule="auto"/>
        <w:jc w:val="both"/>
        <w:rPr>
          <w:rFonts w:ascii="Times New Roman" w:hAnsi="Times New Roman"/>
          <w:color w:val="000000" w:themeColor="text1"/>
          <w:sz w:val="16"/>
          <w:szCs w:val="16"/>
        </w:rPr>
      </w:pPr>
    </w:p>
    <w:p w14:paraId="221C7BCF"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39C6802D" w14:textId="77777777" w:rsidR="00AE7191" w:rsidRPr="001E2C69" w:rsidRDefault="00AE7191" w:rsidP="00722885">
      <w:pPr>
        <w:pStyle w:val="Iauiue"/>
        <w:jc w:val="both"/>
        <w:rPr>
          <w:iCs/>
          <w:color w:val="000000" w:themeColor="text1"/>
          <w:sz w:val="16"/>
          <w:szCs w:val="16"/>
        </w:rPr>
      </w:pPr>
    </w:p>
    <w:p w14:paraId="10F784E6" w14:textId="77777777" w:rsidR="00504B90" w:rsidRPr="001E2C69" w:rsidRDefault="00504B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27–28 августа (ночь) 1942 306 британских бомбардировщиков атакуют Кассель, Германия, потеряв 31 самолет (высокий уровень потерь - 10,1%). В этом налете «Следопыты» оказались более эффективными, т.к. небо над Касселем чистое, а рейд был умеренно успешным (20793).</w:t>
      </w:r>
    </w:p>
    <w:p w14:paraId="02B21CF0" w14:textId="77777777" w:rsidR="00504B90" w:rsidRPr="001E2C69" w:rsidRDefault="00504B90" w:rsidP="00722885">
      <w:pPr>
        <w:spacing w:after="0" w:line="240" w:lineRule="auto"/>
        <w:jc w:val="both"/>
        <w:rPr>
          <w:rFonts w:ascii="Times New Roman" w:hAnsi="Times New Roman"/>
          <w:color w:val="000000" w:themeColor="text1"/>
          <w:sz w:val="16"/>
          <w:szCs w:val="16"/>
        </w:rPr>
      </w:pPr>
    </w:p>
    <w:p w14:paraId="0F301F3C"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27 августа 1942 Гитлер приказал освободить 800 французских военнопленных за сотрудничество жителей Дьеппа при ликвидации канадского десанта там (4962).</w:t>
      </w:r>
    </w:p>
    <w:p w14:paraId="442AEEF4" w14:textId="77777777" w:rsidR="00AE7191" w:rsidRPr="001E2C69" w:rsidRDefault="00AE7191" w:rsidP="00722885">
      <w:pPr>
        <w:pStyle w:val="Iauiue"/>
        <w:tabs>
          <w:tab w:val="left" w:pos="11199"/>
        </w:tabs>
        <w:jc w:val="both"/>
        <w:rPr>
          <w:color w:val="000000" w:themeColor="text1"/>
          <w:sz w:val="16"/>
          <w:szCs w:val="16"/>
        </w:rPr>
      </w:pPr>
    </w:p>
    <w:p w14:paraId="3E1DDC4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27 августа 1942 Куба объявила войну Германии, Японии и Италии (3481).</w:t>
      </w:r>
    </w:p>
    <w:p w14:paraId="1A98A79A" w14:textId="77777777" w:rsidR="00AE7191" w:rsidRPr="001E2C69" w:rsidRDefault="00AE7191" w:rsidP="00722885">
      <w:pPr>
        <w:pStyle w:val="Iauiue"/>
        <w:jc w:val="both"/>
        <w:rPr>
          <w:color w:val="000000" w:themeColor="text1"/>
          <w:sz w:val="16"/>
          <w:szCs w:val="16"/>
        </w:rPr>
      </w:pPr>
    </w:p>
    <w:p w14:paraId="6D627292"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74D22AA5" w14:textId="77777777" w:rsidR="00AE7191" w:rsidRPr="001E2C69" w:rsidRDefault="00AE7191" w:rsidP="00722885">
      <w:pPr>
        <w:pStyle w:val="Iauiue"/>
        <w:jc w:val="both"/>
        <w:rPr>
          <w:iCs/>
          <w:color w:val="000000" w:themeColor="text1"/>
          <w:sz w:val="16"/>
          <w:szCs w:val="16"/>
        </w:rPr>
      </w:pPr>
    </w:p>
    <w:p w14:paraId="3DBAF37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28 августа 1942 вышел приказ НКАП N 664с:</w:t>
      </w:r>
    </w:p>
    <w:p w14:paraId="481A783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"Зам ГК по самолету Ил-4 В.В.Калинина командировать на завод 39 в Иркутск для тех. помощи по внедрению в серию самолета Ил-4" (1587,34).</w:t>
      </w:r>
    </w:p>
    <w:p w14:paraId="3A81BB7B" w14:textId="77777777" w:rsidR="00AE7191" w:rsidRPr="001E2C69" w:rsidRDefault="00AE7191" w:rsidP="00722885">
      <w:pPr>
        <w:pStyle w:val="Iauiue"/>
        <w:jc w:val="both"/>
        <w:rPr>
          <w:color w:val="000000" w:themeColor="text1"/>
          <w:sz w:val="16"/>
          <w:szCs w:val="16"/>
        </w:rPr>
      </w:pPr>
    </w:p>
    <w:p w14:paraId="0FF5C937" w14:textId="77777777" w:rsidR="00504B90" w:rsidRPr="001E2C69" w:rsidRDefault="00504B90"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28 августа 1942 года начались летные испытания Ер-2 для испытаний моторов МБ-100 для самолета Пе-8. </w:t>
      </w:r>
    </w:p>
    <w:p w14:paraId="6334FD33" w14:textId="77777777" w:rsidR="00504B90" w:rsidRPr="001E2C69" w:rsidRDefault="00504B90"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Чтобы снять всю их мощность, надо было поставить винты большого диаметра, и для этого на заводе № 134 сделали полностью новое крыло с увеличенным центропланом и измененным технологическим членением. Изменившуюся центровку и плохую аэродинамику «лобастых» МБ-100 компенсировали увеличенным оперением</w:t>
      </w:r>
    </w:p>
    <w:p w14:paraId="02E26C8A" w14:textId="77777777" w:rsidR="00504B90" w:rsidRPr="001E2C69" w:rsidRDefault="00504B90"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Моторы работали удовлетворительно в пределах ресурса 50 ч, военные соглашались принять их на снабжение АДД при условии замены воздушных винтов. Ер-2 2МБ-100 с нормальным весом развивал 475 км/ч, и Ермолаев предложил запустить его в серию. Но расход топлива возрос, дальность с нормальной заправкой не превышала 1700 км, и самолет так и остался летающей лабораторией (22871).</w:t>
      </w:r>
    </w:p>
    <w:p w14:paraId="436AA9E6" w14:textId="77777777" w:rsidR="00504B90" w:rsidRPr="001E2C69" w:rsidRDefault="00504B90" w:rsidP="00722885">
      <w:pPr>
        <w:shd w:val="clear" w:color="auto" w:fill="FFFFFF"/>
        <w:spacing w:after="0" w:line="240" w:lineRule="auto"/>
        <w:jc w:val="both"/>
        <w:rPr>
          <w:rFonts w:ascii="Times New Roman" w:hAnsi="Times New Roman"/>
          <w:color w:val="000000" w:themeColor="text1"/>
          <w:sz w:val="16"/>
          <w:szCs w:val="16"/>
        </w:rPr>
      </w:pPr>
    </w:p>
    <w:p w14:paraId="1E0222B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28 августа 1942 л завода 301 Н.П.Кривошеин совершил аварию на ЛаГГ-3, т.к. из-за прекращения подачи горючего мотор обрезал на взлете (2108).</w:t>
      </w:r>
    </w:p>
    <w:p w14:paraId="52F9C54E" w14:textId="77777777" w:rsidR="00AE7191" w:rsidRPr="001E2C69" w:rsidRDefault="00AE7191" w:rsidP="00722885">
      <w:pPr>
        <w:pStyle w:val="Iauiue"/>
        <w:jc w:val="both"/>
        <w:rPr>
          <w:color w:val="000000" w:themeColor="text1"/>
          <w:sz w:val="16"/>
          <w:szCs w:val="16"/>
        </w:rPr>
      </w:pPr>
    </w:p>
    <w:p w14:paraId="5313157B"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1E2BE8DA" w14:textId="77777777" w:rsidR="00AE7191" w:rsidRPr="001E2C69" w:rsidRDefault="00AE7191" w:rsidP="00722885">
      <w:pPr>
        <w:pStyle w:val="Iauiue"/>
        <w:jc w:val="both"/>
        <w:rPr>
          <w:iCs/>
          <w:color w:val="000000" w:themeColor="text1"/>
          <w:sz w:val="16"/>
          <w:szCs w:val="16"/>
        </w:rPr>
      </w:pPr>
    </w:p>
    <w:p w14:paraId="3A2DE477"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августа 1942</w:t>
      </w:r>
    </w:p>
    <w:p w14:paraId="0DA27A75"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1 Дело 12 лист 295</w:t>
      </w:r>
    </w:p>
    <w:p w14:paraId="2D408A16"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 НАРОДНОГО КОМИССАРА ТАНКОВОЙ ПРОМЫШЛЕННОСТИ СОЮЗА ССР № 188/372</w:t>
      </w:r>
    </w:p>
    <w:p w14:paraId="1FFE2E95"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Свердловск</w:t>
      </w:r>
    </w:p>
    <w:p w14:paraId="754DD3A1"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Августа 1942 г.</w:t>
      </w:r>
    </w:p>
    <w:p w14:paraId="45BCCEF5"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изменение приказа НКТП № 307 от 4.VIII-42 г. ПРИКАЗЫВАЮ:</w:t>
      </w:r>
    </w:p>
    <w:p w14:paraId="775C766D"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Управление цехами бывшего завода № 37, в связи с объединением его с Уралмашзаводом, передать непосредственно Директору Уралмашзавода тов. МУЗРУКОВУ Б.Г.</w:t>
      </w:r>
    </w:p>
    <w:p w14:paraId="3138233E"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Должность директора и главного инженера филиала – упразднить.</w:t>
      </w:r>
    </w:p>
    <w:p w14:paraId="51ACCDE0"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Утвердить на Уралмашзаводе должности заместителей директора завода:</w:t>
      </w:r>
    </w:p>
    <w:p w14:paraId="6D62E7BC"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по заготовительным цехам и корпусному производству с непосредственным подчинением ему корпусного производства и оперативного руководства работой заготовительных цехов;</w:t>
      </w:r>
    </w:p>
    <w:p w14:paraId="0660FD94"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по танковому производству с непосредственным подчинением ему отдела танкового производства.</w:t>
      </w:r>
    </w:p>
    <w:p w14:paraId="51ECC7FE"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Заместителем директора по заготовительным цехам и корпусному производству назначить тов. ВАСИЛЬЕВА Д.Е.</w:t>
      </w:r>
    </w:p>
    <w:p w14:paraId="03C14214"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Заместителем директора по танковому производству назначить тов. МАРТИРОСОВА Г.Б.</w:t>
      </w:r>
    </w:p>
    <w:p w14:paraId="2810B4D6"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Организовать на Уралмашзаводе отдел танкового производства с непосредственным подчинением начальнику этого отдела всех механических, сборочных и сдаточных цехов, занятых танковым производством.</w:t>
      </w:r>
    </w:p>
    <w:p w14:paraId="23F638BB"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Начальником отдела, он же главный инженер танкового производства, назначить тов. ТЕРЕХОВА И.А.</w:t>
      </w:r>
    </w:p>
    <w:p w14:paraId="37EB203F"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8. Все функциональные отделы заводоуправления бывшего завода № 37, в том числе: планово-производственный, инструментальный, технический, конструкторский, главного механика, рабочего снабжения, транспортный и другие – объединить с отделами Уралмашзавода.</w:t>
      </w:r>
    </w:p>
    <w:p w14:paraId="5240E136"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Разрешить директору Уралмашзавода установить дополнительные должности заместителей начальников отделов для обслуживания производства бывшего завода № 37.</w:t>
      </w:r>
    </w:p>
    <w:p w14:paraId="1E0CA3AB"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ТАНКОВОЙ ПРОМЫШЛЕННОСТИ Союза ССР</w:t>
      </w:r>
    </w:p>
    <w:p w14:paraId="65EFA2CC"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(И. ЗАЛЬЦМАН) (23507).</w:t>
      </w:r>
    </w:p>
    <w:p w14:paraId="3545577C" w14:textId="77777777" w:rsidR="006649D4" w:rsidRPr="008A2E5A" w:rsidRDefault="006649D4" w:rsidP="006649D4">
      <w:pPr>
        <w:spacing w:after="0" w:line="240" w:lineRule="auto"/>
        <w:jc w:val="both"/>
        <w:rPr>
          <w:rFonts w:ascii="Times New Roman" w:hAnsi="Times New Roman"/>
          <w:color w:val="0070C0"/>
          <w:sz w:val="16"/>
          <w:szCs w:val="16"/>
        </w:rPr>
      </w:pPr>
    </w:p>
    <w:p w14:paraId="1590AC85"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28 августа 1942 года вышел приказ № 643 НКБ</w:t>
      </w:r>
    </w:p>
    <w:p w14:paraId="6A371C11"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В соответствии с распоряжением СНК № 16014рс от 21 августа 1942 г.:</w:t>
      </w:r>
    </w:p>
    <w:p w14:paraId="5F3CA964"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Начальнику 6 Гл. управления Агафину завод № 738 как самостоятельное (уставное) предприятие ликвидировать, передав его производство на завод № 58 Начальнику 4 Гл. управления перевести на освобождающиеся площади завода № 738 завод № 568 (5909, 172).</w:t>
      </w:r>
    </w:p>
    <w:p w14:paraId="353B4CC7" w14:textId="77777777" w:rsidR="00AE7191" w:rsidRPr="001E2C69" w:rsidRDefault="00AE7191" w:rsidP="00722885">
      <w:pPr>
        <w:pStyle w:val="Iauiue"/>
        <w:tabs>
          <w:tab w:val="left" w:pos="11199"/>
        </w:tabs>
        <w:jc w:val="both"/>
        <w:rPr>
          <w:color w:val="000000" w:themeColor="text1"/>
          <w:sz w:val="16"/>
          <w:szCs w:val="16"/>
        </w:rPr>
      </w:pPr>
    </w:p>
    <w:p w14:paraId="3EFD33E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августа 1942 вышло Постановление ГКО № 2215 Об эвакуации оборудования, а также рабочих, ИТР и служащих Грозненской ТЭЦ им. Коминтерна и сетей Орджэнерго Наркомэлектростанций. РГАНИР, Фонд ГКО, д. 54, лл. 64 (11012).</w:t>
      </w:r>
    </w:p>
    <w:p w14:paraId="12BCF4F2"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60D9B1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августа 1942 вышло Постановление ГКО № 2217 Об эвакуации Грозненского автогенного завода Наркомтяжмаша. РГАНИР, Фонд ГКО, д. 54, лл. 66 (11012).</w:t>
      </w:r>
    </w:p>
    <w:p w14:paraId="03039D85"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CBEBAFA"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28 августа 1942 вышло Постановление ГКО № 2216 Об эвакуации оборудования и кадров вагоноремонтного завода из г. Орджоникидзе. (7052, 65).</w:t>
      </w:r>
    </w:p>
    <w:p w14:paraId="7C17E37C" w14:textId="77777777" w:rsidR="00AE7191" w:rsidRPr="001E2C69" w:rsidRDefault="00AE7191" w:rsidP="00722885">
      <w:pPr>
        <w:pStyle w:val="Iauiue"/>
        <w:tabs>
          <w:tab w:val="left" w:pos="11199"/>
        </w:tabs>
        <w:jc w:val="both"/>
        <w:rPr>
          <w:color w:val="000000" w:themeColor="text1"/>
          <w:sz w:val="16"/>
          <w:szCs w:val="16"/>
        </w:rPr>
      </w:pPr>
    </w:p>
    <w:p w14:paraId="3B7EF4A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августа 1942 вышло Постановление ГКО № 2220 О расселении рабочих, ИТР и членов их семей, прибывающих в г. Барнаул на завод танковых дизелей Наркомтанкопрома. РГАНИР, Фонд ГКО, д. 54, лл. 70 (11012).</w:t>
      </w:r>
    </w:p>
    <w:p w14:paraId="107C4DAA"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BBC1F9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августа 1942 вышло Постановление ГКО № 2222 О распространении на НКТП постановления ГКО № 1592 от 13 апреля 1942 г. в части первоочередной поставки материалов для строительно-монтажных работ на заводах. РГАНИР, Фонд ГКО, д. 54, лл. 75 (11012).</w:t>
      </w:r>
    </w:p>
    <w:p w14:paraId="4B13C8FA"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1120DB7"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28 августа 1942 вышло Постановление ГКО № 2223 Об организации аварийно-судоподъемной и восстановительной служб на речном транспорте. (7052, 76-78,79-81).</w:t>
      </w:r>
    </w:p>
    <w:p w14:paraId="3CA4F8BA" w14:textId="77777777" w:rsidR="00AE7191" w:rsidRPr="001E2C69" w:rsidRDefault="00AE7191" w:rsidP="00722885">
      <w:pPr>
        <w:pStyle w:val="Iauiue"/>
        <w:tabs>
          <w:tab w:val="left" w:pos="11199"/>
        </w:tabs>
        <w:jc w:val="both"/>
        <w:rPr>
          <w:color w:val="000000" w:themeColor="text1"/>
          <w:sz w:val="16"/>
          <w:szCs w:val="16"/>
        </w:rPr>
      </w:pPr>
    </w:p>
    <w:p w14:paraId="1FE6C9D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августа 1942 г. ГУС КА для обсуждения и принятия наиболее рационального решения созвало совещание представителей ПВО ТС, ВВС, НИИИС КА, военного факультета Московского института инженеров связи и Артиллерийского комитета ГАУ. Вел совещание заместитель начальника ГУС КА генерал К. X. Муравьев. Совещание постановило: заказы по наземным средствам радиообнаружения самолетов передать в Управление командующего войсками ПВО ТС, создав в нем необходимый орган по радиолокации, и подчинить ему радиолокационный отдел НИИИС КА. Работы по бортовой самолетной радиолокационной аппаратуре для ИА совещание рекомендовало передать в ведение Главного управления ВВС.</w:t>
      </w:r>
    </w:p>
    <w:p w14:paraId="73DA27E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ГУС КА, рассчитывая на поддержку Генеральным штабом Вооруженных Сил принятого решения, своим приказом от 2.06 1943 г. передавал в подчинение командующего войсками ПВО ТС отдел радиолокации НИИИС КА. Однако Генеральный штаб решил этот вопрос иначе.</w:t>
      </w:r>
    </w:p>
    <w:p w14:paraId="1338B65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Директивой от 4.07 1943 г.</w:t>
      </w:r>
      <w:r w:rsidRPr="001E2C69">
        <w:rPr>
          <w:rFonts w:ascii="Times New Roman" w:hAnsi="Times New Roman"/>
          <w:color w:val="000000" w:themeColor="text1"/>
          <w:sz w:val="16"/>
          <w:szCs w:val="16"/>
          <w:vertAlign w:val="superscript"/>
        </w:rPr>
        <w:t xml:space="preserve"> (</w:t>
      </w:r>
      <w:r w:rsidRPr="001E2C69">
        <w:rPr>
          <w:rFonts w:ascii="Times New Roman" w:hAnsi="Times New Roman"/>
          <w:color w:val="000000" w:themeColor="text1"/>
          <w:sz w:val="16"/>
          <w:szCs w:val="16"/>
        </w:rPr>
        <w:t>Архив МО СССР, ф. 81, оп. 12048, д. 73) он отклонил постановление объединенного совещания и обязал все вопросы наземной радиолокации для войск ПВО сосредоточить в одних руках – ГАУ НКО. На этом основании отдел радиолокации НИИИС КА передавался в Научно-исследовательскую лабораторию артиллерийского приборостроения (НИЛАП ГАУ).</w:t>
      </w:r>
    </w:p>
    <w:p w14:paraId="01B8B62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Задания на работы по самолетным бортовым РЛС обнаружения, прицеливания и опознавания передавались по директиве Генштаба НИИ ВВС.</w:t>
      </w:r>
    </w:p>
    <w:p w14:paraId="26318C2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Той же директивой в ГАУ предусматривалось создание отдела радиолокации, который был первым в центральных аппаратах НКО и НК ВМФ отделом, ведавшим заказами на развитие радиолокационной техники в нашей стране (11026).</w:t>
      </w:r>
    </w:p>
    <w:p w14:paraId="55DA89AA"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BE012E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28 августа 1942 г. в системе Наркомречфлота по</w:t>
      </w:r>
      <w:r w:rsidRPr="001E2C69">
        <w:rPr>
          <w:color w:val="000000" w:themeColor="text1"/>
          <w:sz w:val="16"/>
          <w:szCs w:val="16"/>
        </w:rPr>
        <w:softHyphen/>
        <w:t>становлением ГКО было создано Центральное военно-восстановительное управление. В Наркомате ВМФ в июле 1943 г. бьыо также образовано Речное аварийно-спасательное уп</w:t>
      </w:r>
      <w:r w:rsidRPr="001E2C69">
        <w:rPr>
          <w:color w:val="000000" w:themeColor="text1"/>
          <w:sz w:val="16"/>
          <w:szCs w:val="16"/>
        </w:rPr>
        <w:softHyphen/>
        <w:t>равление, которое в октябре 1944 г. передали в Наркомречфлот, где оно получило наименование Главного военно-речного управления (ГВРУ). Во главе ГВРУ был поставлен бывший начальник ЭПРОН Ф. И. Крылов (3898).</w:t>
      </w:r>
    </w:p>
    <w:p w14:paraId="1E420116" w14:textId="77777777" w:rsidR="00AE7191" w:rsidRPr="001E2C69" w:rsidRDefault="00AE7191" w:rsidP="00722885">
      <w:pPr>
        <w:pStyle w:val="Iauiue"/>
        <w:jc w:val="both"/>
        <w:rPr>
          <w:color w:val="000000" w:themeColor="text1"/>
          <w:sz w:val="16"/>
          <w:szCs w:val="16"/>
        </w:rPr>
      </w:pPr>
    </w:p>
    <w:p w14:paraId="6530624F"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0C386F2F" w14:textId="77777777" w:rsidR="00AE7191" w:rsidRPr="001E2C69" w:rsidRDefault="00AE7191" w:rsidP="00722885">
      <w:pPr>
        <w:pStyle w:val="Iauiue"/>
        <w:jc w:val="both"/>
        <w:rPr>
          <w:iCs/>
          <w:color w:val="000000" w:themeColor="text1"/>
          <w:sz w:val="16"/>
          <w:szCs w:val="16"/>
        </w:rPr>
      </w:pPr>
    </w:p>
    <w:p w14:paraId="6C0E0290"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 xml:space="preserve">28 августа </w:t>
      </w:r>
      <w:r w:rsidRPr="001E2C69">
        <w:rPr>
          <w:rFonts w:ascii="Times New Roman" w:hAnsi="Times New Roman"/>
          <w:color w:val="000000" w:themeColor="text1"/>
          <w:sz w:val="16"/>
          <w:szCs w:val="16"/>
        </w:rPr>
        <w:t>в 1942 году утреннее сообщение Совинформбюро:</w:t>
      </w:r>
    </w:p>
    <w:p w14:paraId="708539C2"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28 августа наши войска вели бои с противником на окраинах города Ржева, юго-восточнее Клетская, северо-западнее Сталинграда, северо-восточнее Котельниково, а также в районах Прохладный, Моздок и южнее Краснодара.</w:t>
      </w:r>
    </w:p>
    <w:p w14:paraId="4205B399"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6FC7D29D"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Западного фронта наши части заняли укреплённый противником населённый пункт. Немцы, подтянув резервы, предприняли несколько контратак, которые были отбиты нашими бойцами. Уничтожено 2 танка и свыше 100 гитлеровцев. На другом участке наши части, развивая наступление, заняли семь населённых пунктов. В боях с противником уничтожено 13 немецких танков, 10 противотанковых орудий и 25 автомашин. Захвачены у немцев 2 танка, бронемашина, несколько орудий и другие трофеи.</w:t>
      </w:r>
    </w:p>
    <w:p w14:paraId="5FE7CFAA"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северо-западнее Сталинграда наши войска контратаками наносят удары по врагу, уничтожая его живую силу и технику. Н-ское соединение артиллерийским и миномётным огнём уничтожило 16 немецких танков и свыше батальона пехоты противника. В районе населённого пункта К. крупный отряд немецких автоматчиков прорвался в тыл нашим частям. Наши бойцы быстро окружили гитлеровцев и полностью их уничтожили.</w:t>
      </w:r>
    </w:p>
    <w:p w14:paraId="5B1685B2"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продолжались бои с танками и пехотой противника. На одном участке немцам удалось вклиниться в боевые порядки наших войск. В результате ожесточённого боя было подбито и сожжено 9 танков, уничтожено 14 автомашин и более 200 солдат и офицеров противника. Захвачены трофеи.</w:t>
      </w:r>
    </w:p>
    <w:p w14:paraId="0A13EECF"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Краснодара упорные бои происходили у пункта, расположенного близ узла горных дорог. Все атаки неприятеля в этом районе отбиты с большими для него потерями.</w:t>
      </w:r>
    </w:p>
    <w:p w14:paraId="39BD3951"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Прохладного наши войска вели оборонительные бои.</w:t>
      </w:r>
    </w:p>
    <w:p w14:paraId="2B4CA228"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Северо-Западном фронте происходили бои местного значения. Сломив упорное сопротивление гитлеровцев, наши подразделения заняли один узел обороны противника. Захвачено 3 немецких танка, зарытых в землю, несколько пулемётов, винтовок и другое вооружение.</w:t>
      </w:r>
    </w:p>
    <w:p w14:paraId="35F5A82E"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Несколько партизанских групп, действующих в оккупированных районах Ленинградской области, за 4 дня пустили под откос 6 воинских эшелонов противника. Разбито 4 паровоза и 150 платформ и вагонов с различными военными грузами.</w:t>
      </w:r>
    </w:p>
    <w:p w14:paraId="2C41C9C6"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неотправленном письме немецкого солдата Иоганна брату Карлу говорится:«...Ты находишься на передовой, где очень опасно. Я нахожусь в тылу, но поверь,что здесь тоже опасно. Партизаны ни днём, ни ночью не дают нам покоя. В мае мы получили пополнение, но теперь снова понесли тяжёлые потери. На прошлой неделе наши повозки подорвались на минах, погибло много солдат. Представь себе, что офицеры больше сокрушались о потере своих чемоданов, чем о гибели людей. Видно, офицерам дороже награбленные у русских вещи, чем жизнь солдат. Да, впрочем, давно известно, что они наживаются на войне».</w:t>
      </w:r>
    </w:p>
    <w:p w14:paraId="72E67B55"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Захваченный в плен на Западном фронте солдат 7 роты 336 немецкого пехотного полка Штейн рассказал: «Артиллерийская канонада деморализовала солдат нашего батальона. Русские танки прорвали нашу оборону справа и слева. Эти наступательные операции показали нам, что русские располагают мощной техникой. То, что мы увидели, потрясло нас. Нам ведь всё время говорили, что у русских уже ничего нет: ни пушек, ни самолётов, ни танков».</w:t>
      </w:r>
    </w:p>
    <w:p w14:paraId="0F1653E2"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Унтер-офицер 9 роты того же полка Гейнц Бесхер заявил: «То, что я видел и пережил в первый день наступления русских, не поддаётся описанию. Кругом стоял ад кромешный. Казалось, что настал конец света. Уже в первый день русские вклинились в глубь нашей обороны, захватили много трофеев и пленных. Сопротивляться было совершенно бессмысленно».</w:t>
      </w:r>
    </w:p>
    <w:p w14:paraId="669CBD12"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последние десять дней югославские партизаны освободили от немецко-итальянских захватчиков один город и ряд населённых пунктов. В этих боях оккупанты потеряли 380 человек убитыми. Партизаны захватили 372 винтовки, 14 пулемётов, много патронов и склад военного имущества.» (14752).</w:t>
      </w:r>
    </w:p>
    <w:p w14:paraId="260E4FAE" w14:textId="77777777" w:rsidR="00885B41" w:rsidRPr="001E2C69" w:rsidRDefault="00885B41" w:rsidP="00722885">
      <w:pPr>
        <w:spacing w:after="0" w:line="240" w:lineRule="auto"/>
        <w:jc w:val="both"/>
        <w:rPr>
          <w:rFonts w:ascii="Times New Roman" w:hAnsi="Times New Roman"/>
          <w:color w:val="000000" w:themeColor="text1"/>
          <w:sz w:val="16"/>
          <w:szCs w:val="16"/>
        </w:rPr>
      </w:pPr>
    </w:p>
    <w:p w14:paraId="0E138E85"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 xml:space="preserve">28 августа </w:t>
      </w:r>
      <w:r w:rsidRPr="001E2C69">
        <w:rPr>
          <w:rFonts w:ascii="Times New Roman" w:hAnsi="Times New Roman"/>
          <w:color w:val="000000" w:themeColor="text1"/>
          <w:sz w:val="16"/>
          <w:szCs w:val="16"/>
        </w:rPr>
        <w:t>в 1942 году вечернее сообщение Совинформбюро:</w:t>
      </w:r>
    </w:p>
    <w:p w14:paraId="1F4F42A9"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28 августа наши войска вели бои на окраинах города Ржева, юго-восточнее Клетская, северо-западнее Сталинграда, северо-восточнее Котельниково, а также в районах Прохладный, Моздок и южнее Краснодара.</w:t>
      </w:r>
    </w:p>
    <w:p w14:paraId="3EBD05AB"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748F3467"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 корабли в Чёрном море потопили подводную лодку противника.</w:t>
      </w:r>
    </w:p>
    <w:p w14:paraId="34DA57F8"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За 27 августа частями нашей авиации на различных участках фронта уничтожено или повреждено до 25 немецких танков и бронемашин, более 150 автомашин с войсками и грузами, до 40 повозок с боеприпасами, 12 автоцистерн с горючим, подавлен огонь 8 батарей полевой и зенитной артиллерии, взорван склад боеприпасов, рассеяно и частью уничтожено до двух батальонов пехоты противника. В Балтийском море наша авиация потопила немецкий транспорт.</w:t>
      </w:r>
    </w:p>
    <w:p w14:paraId="376D8502"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Западного фронта наши войска вели активные боевые действия и заняли ряд населённых пунктов. Часть, где командиром тов. Щеглов, овладела тремя населёнными пунктами. Только в бою за пункт Г. уничтожено свыше100 гитлеровцев, захвачено 10 пулемётов, большое количество боеприпасов и военного имущества. Танкисты под командованием тов. Бурлыги уничтожили 6 противотанковых орудий, 6 миномётов и истребили до роты гитлеровцев. Экипаж танка лейтенанта Исламова и политрука Мягкоголового зашёл в тыл отступающим немцам и уничтожил свыше 90 гитлеровцев. На другом участке фронта наше стрелковое подразделение при поддержке танков ворвалось в населённый пункт, превращенный противником в сильно укреплённый узел сопротивления.</w:t>
      </w:r>
    </w:p>
    <w:p w14:paraId="7F94753D"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северо-западнее Сталинграда наши войска вели ожесточённые бои с группировкой противника, прорвавшейся в глубину нашей обороны. Немецкие войска, а также их наёмники — итальянцы и румыны несут огромные потери. Гвардейцы Н-ской части за два дня боёв отбили многочисленные атаки гитлеровцев, а затем, перейдя в контратаку, выбили врага из одного крупного населённого пункта. В ходе этих боёв гвардейцы уничтожили до 2.500 солдат и офицеров противника. Особеннобольшие потери противнику наносят гвардейцы-миномётчики и танкисты. Огневыми залпами по скоплению неприятеля миномётчики уничтожили 3 артиллерийских и 10 миномётных батарей, 12 танков и более 100 автомашин. Разведка Н-ской танковой части обнаружила скопление вражеских танков и пехоты. Оцепив лощину, в которой сосредоточился противник, танкисты в ожесточённом бою уничтожили 9 немецких танков и истребили до 300 гитлеровцев.</w:t>
      </w:r>
    </w:p>
    <w:p w14:paraId="7D62AB5A"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наши войска отбивали атаки противника.На одном участке немцам удалось было несколько продвинуться вперёд. Однако контратакой неприятель был отброшен. В этом бою уничтожено 4 танка и до двух рот гитлеровцев.</w:t>
      </w:r>
    </w:p>
    <w:p w14:paraId="4D54A82F"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Южнее Краснодара нашими частями отбиты попытки противника прорваться в глубь нашей обороны. Немцы потеряли в этих боях более двух рот пехоты. На другом участке моряки-артиллеристы под Командованием тов. Собченюка уничтожили 7 немецких танков, 2 артиллерийские батареи и до батальона пехоты противника.</w:t>
      </w:r>
    </w:p>
    <w:p w14:paraId="43C50318"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юго-восточнее Прохладного уничтожена и частью захвачена группа парашютистов-автоматчиков.</w:t>
      </w:r>
    </w:p>
    <w:p w14:paraId="78147865"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рабочих-нефтяников под командованием тов. К., организовавшийся в одном из захваченных немцами районов Северного Кавказа, совершил нападение на обоз противника. Партизаны перебили охрану и захватили повозки с военным имуществом. Группа партизан этого же отряда устроила на дороге засаду и истребила 20 гитлеровцев.</w:t>
      </w:r>
    </w:p>
    <w:p w14:paraId="445BC23D"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Несколько латвийских партизанских отрядов в боях с немецкими захватчиками истребили 213 солдат и офицеров противника. Партизанами сожжён танк и захваченоу немцев 8 пулемётов, много винтовок и боеприпасов.</w:t>
      </w:r>
    </w:p>
    <w:p w14:paraId="0F376844"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Добровольно сдавшийся в плен на Западном фронте ефрейтор 548 полка 328 немецкой пехотной дивизии Рихард Я. сообщил: «В моей роте насчитывалось 180 человек. Через два дня после начала наступления русских в роте осталось всего лишь 25 человек. Сильный урон нанесла нам русская артиллерия. Все оставшиеся в живых солдаты повесили головы. Они теперь думают только об одном: удастся ли им выбраться живыми из России».</w:t>
      </w:r>
    </w:p>
    <w:p w14:paraId="5BA7C4D4"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Захваченный в плен младший врач 3 батальона 507 полка 292 немецкой пехотной дивизии Эрих Димель рассказал: «В мае текущего года мне пришлось наблюдать жизнь в лагере русских военнопленных близ гор. Турн (Германия). В лагере были русские военнопленные, а также гражданские лица, вывезенные из Украины. Положение заключённых можно без преувеличения назвать кошмарным. Они истощены голодом и чрезмерной работой. Среди пленных вспыхнула эпидемия сыпного тифа. Ежедневно в лагере умирало по 8—10 человек. В последнее время всех больных эсэсовцы,охраняющие лагерь, расстреливали».</w:t>
      </w:r>
    </w:p>
    <w:p w14:paraId="4E36E7D6"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департаменте Шер (Франция) немецкие оккупанты пытались насильно отправитьна работу в Германию 200 рабочих машиностроительного завода. На заводе вспыхнула забастовка протеста. Тогда администрация по приказу гитлеровцев объявила о закрытии завода и лишила всех рабочих продовольственных карточек. Однако угрозой безработицы и голода оккупантам не удалось отправить рабочих в фашистскую Германию.» (14752).</w:t>
      </w:r>
    </w:p>
    <w:p w14:paraId="2B68C905" w14:textId="77777777" w:rsidR="00885B41" w:rsidRPr="001E2C69" w:rsidRDefault="00885B41" w:rsidP="00722885">
      <w:pPr>
        <w:spacing w:after="0" w:line="240" w:lineRule="auto"/>
        <w:jc w:val="both"/>
        <w:rPr>
          <w:rFonts w:ascii="Times New Roman" w:hAnsi="Times New Roman"/>
          <w:color w:val="000000" w:themeColor="text1"/>
          <w:sz w:val="16"/>
          <w:szCs w:val="16"/>
        </w:rPr>
      </w:pPr>
    </w:p>
    <w:p w14:paraId="6DF49B35"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 xml:space="preserve">28 августа </w:t>
      </w:r>
      <w:r w:rsidRPr="001E2C69">
        <w:rPr>
          <w:rFonts w:ascii="Times New Roman" w:hAnsi="Times New Roman"/>
          <w:color w:val="000000" w:themeColor="text1"/>
          <w:sz w:val="16"/>
          <w:szCs w:val="16"/>
        </w:rPr>
        <w:t>в 1942 году к исходу дня советские войска организовали оборону в полосе между Доном и Волгой и приостановили немецкое наступление к Волге. Немецкие войска возобновили наступление на Новороссийск, перебросив часть сил с туапсинского направления (14752).</w:t>
      </w:r>
    </w:p>
    <w:p w14:paraId="5BF32AA7" w14:textId="77777777" w:rsidR="00885B41" w:rsidRPr="001E2C69" w:rsidRDefault="00885B41" w:rsidP="00722885">
      <w:pPr>
        <w:spacing w:after="0" w:line="240" w:lineRule="auto"/>
        <w:jc w:val="both"/>
        <w:rPr>
          <w:rFonts w:ascii="Times New Roman" w:hAnsi="Times New Roman"/>
          <w:color w:val="000000" w:themeColor="text1"/>
          <w:sz w:val="16"/>
          <w:szCs w:val="16"/>
        </w:rPr>
      </w:pPr>
    </w:p>
    <w:p w14:paraId="1AB81FD0"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 xml:space="preserve">28 августа </w:t>
      </w:r>
      <w:r w:rsidRPr="001E2C69">
        <w:rPr>
          <w:rFonts w:ascii="Times New Roman" w:hAnsi="Times New Roman"/>
          <w:color w:val="000000" w:themeColor="text1"/>
          <w:sz w:val="16"/>
          <w:szCs w:val="16"/>
        </w:rPr>
        <w:t>в 1942 году (28-29 августа) патрули «дальней разведки Бранденбург-800» в красноармейской форме выходят к Мурманской железной дороге и закладывают мины, оснащенные взрывателями нажимного и замедленного действия, а также вибровзрывателями (14752).</w:t>
      </w:r>
    </w:p>
    <w:p w14:paraId="24A92B8E" w14:textId="77777777" w:rsidR="00885B41" w:rsidRPr="001E2C69" w:rsidRDefault="00885B41" w:rsidP="00722885">
      <w:pPr>
        <w:spacing w:after="0" w:line="240" w:lineRule="auto"/>
        <w:jc w:val="both"/>
        <w:rPr>
          <w:rFonts w:ascii="Times New Roman" w:hAnsi="Times New Roman"/>
          <w:color w:val="000000" w:themeColor="text1"/>
          <w:sz w:val="16"/>
          <w:szCs w:val="16"/>
        </w:rPr>
      </w:pPr>
    </w:p>
    <w:p w14:paraId="08F8BAE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период с 28 августа по 18 ноября 1942 Ил-2 соверши</w:t>
      </w:r>
      <w:r w:rsidRPr="001E2C69">
        <w:rPr>
          <w:color w:val="000000" w:themeColor="text1"/>
          <w:sz w:val="16"/>
          <w:szCs w:val="16"/>
        </w:rPr>
        <w:softHyphen/>
        <w:t>ли 406 боевых самолето-вылетов ночью и в сумерки, в основном по аэродромам (до 70% всех сумеречных и ночных вы</w:t>
      </w:r>
      <w:r w:rsidRPr="001E2C69">
        <w:rPr>
          <w:color w:val="000000" w:themeColor="text1"/>
          <w:sz w:val="16"/>
          <w:szCs w:val="16"/>
        </w:rPr>
        <w:softHyphen/>
        <w:t>летов), железнодорожным станциям и составам на перегоне, так как эти цели достаточно хорошо обнаруживались и эффективность штурмовых ударов Ил-2 по ним почти сравнивалась с эффек</w:t>
      </w:r>
      <w:r w:rsidRPr="001E2C69">
        <w:rPr>
          <w:color w:val="000000" w:themeColor="text1"/>
          <w:sz w:val="16"/>
          <w:szCs w:val="16"/>
        </w:rPr>
        <w:softHyphen/>
        <w:t>тивностью ударов днем. В вечерние сумерки Ил-2 вылетали на задания с таким расчетом, чтобы взлет осуществить в светлое время, а подход к цели - в полных сумерках. Это было особенно важно при атаках аэро</w:t>
      </w:r>
      <w:r w:rsidRPr="001E2C69">
        <w:rPr>
          <w:color w:val="000000" w:themeColor="text1"/>
          <w:sz w:val="16"/>
          <w:szCs w:val="16"/>
        </w:rPr>
        <w:softHyphen/>
        <w:t>дромов противника.</w:t>
      </w:r>
    </w:p>
    <w:p w14:paraId="492630D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Подход к аэродрому или к другой цели противника группа Ил-2, обычно в составе не более 4-6 самолетов, осуще</w:t>
      </w:r>
      <w:r w:rsidRPr="001E2C69">
        <w:rPr>
          <w:color w:val="000000" w:themeColor="text1"/>
          <w:sz w:val="16"/>
          <w:szCs w:val="16"/>
        </w:rPr>
        <w:softHyphen/>
        <w:t>ствляла на высотах 900-1500 м с при</w:t>
      </w:r>
      <w:r w:rsidRPr="001E2C69">
        <w:rPr>
          <w:color w:val="000000" w:themeColor="text1"/>
          <w:sz w:val="16"/>
          <w:szCs w:val="16"/>
        </w:rPr>
        <w:softHyphen/>
        <w:t>глушенными моторами. Атака произво</w:t>
      </w:r>
      <w:r w:rsidRPr="001E2C69">
        <w:rPr>
          <w:color w:val="000000" w:themeColor="text1"/>
          <w:sz w:val="16"/>
          <w:szCs w:val="16"/>
        </w:rPr>
        <w:softHyphen/>
        <w:t>дилась с одного захода с пикирования под углом 25-30°, стрельба из стрелково-пушечного вооружения начиналась с высот порядка 600-450 м, а бомбомета</w:t>
      </w:r>
      <w:r w:rsidRPr="001E2C69">
        <w:rPr>
          <w:color w:val="000000" w:themeColor="text1"/>
          <w:sz w:val="16"/>
          <w:szCs w:val="16"/>
        </w:rPr>
        <w:softHyphen/>
        <w:t>ние - с высот 350-100 м. Связь в группе осуществлялась световыми сигналами и по радио. Уход от цели производился со снижением вплоть до бреющего. Если выполнялась повторная атака, то сбор группы осуществлялся в районе, где не было средств ПВО, при этом часть са</w:t>
      </w:r>
      <w:r w:rsidRPr="001E2C69">
        <w:rPr>
          <w:color w:val="000000" w:themeColor="text1"/>
          <w:sz w:val="16"/>
          <w:szCs w:val="16"/>
        </w:rPr>
        <w:softHyphen/>
        <w:t>молетов группы выполняла задачу по</w:t>
      </w:r>
      <w:r w:rsidRPr="001E2C69">
        <w:rPr>
          <w:color w:val="000000" w:themeColor="text1"/>
          <w:sz w:val="16"/>
          <w:szCs w:val="16"/>
        </w:rPr>
        <w:softHyphen/>
        <w:t>давления зенитной артиллерии против</w:t>
      </w:r>
      <w:r w:rsidRPr="001E2C69">
        <w:rPr>
          <w:color w:val="000000" w:themeColor="text1"/>
          <w:sz w:val="16"/>
          <w:szCs w:val="16"/>
        </w:rPr>
        <w:softHyphen/>
        <w:t>ника. В зависимости от обстановки про</w:t>
      </w:r>
      <w:r w:rsidRPr="001E2C69">
        <w:rPr>
          <w:color w:val="000000" w:themeColor="text1"/>
          <w:sz w:val="16"/>
          <w:szCs w:val="16"/>
        </w:rPr>
        <w:softHyphen/>
        <w:t>изводилось в среднем от одного до трех заходов на цель.</w:t>
      </w:r>
    </w:p>
    <w:p w14:paraId="592C7F8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Очень часто при атаках в сумерках и ночью экипажи Ил-2 теряли друг друга и группа полностью собраться не могла, поэтому экипажи возвращались на свой аэродром, как правило, парами или от</w:t>
      </w:r>
      <w:r w:rsidRPr="001E2C69">
        <w:rPr>
          <w:color w:val="000000" w:themeColor="text1"/>
          <w:sz w:val="16"/>
          <w:szCs w:val="16"/>
        </w:rPr>
        <w:softHyphen/>
        <w:t>дельными самолетами.</w:t>
      </w:r>
    </w:p>
    <w:p w14:paraId="1B25F6B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Меньшие трудности для Ил-2 пред</w:t>
      </w:r>
      <w:r w:rsidRPr="001E2C69">
        <w:rPr>
          <w:color w:val="000000" w:themeColor="text1"/>
          <w:sz w:val="16"/>
          <w:szCs w:val="16"/>
        </w:rPr>
        <w:softHyphen/>
        <w:t>ставляли штурмовые удары в предрас</w:t>
      </w:r>
      <w:r w:rsidRPr="001E2C69">
        <w:rPr>
          <w:color w:val="000000" w:themeColor="text1"/>
          <w:sz w:val="16"/>
          <w:szCs w:val="16"/>
        </w:rPr>
        <w:softHyphen/>
        <w:t>светные сумерки, так как в полной тем</w:t>
      </w:r>
      <w:r w:rsidRPr="001E2C69">
        <w:rPr>
          <w:color w:val="000000" w:themeColor="text1"/>
          <w:sz w:val="16"/>
          <w:szCs w:val="16"/>
        </w:rPr>
        <w:softHyphen/>
        <w:t>ноте осуществлялся только взлет, а под</w:t>
      </w:r>
      <w:r w:rsidRPr="001E2C69">
        <w:rPr>
          <w:color w:val="000000" w:themeColor="text1"/>
          <w:sz w:val="16"/>
          <w:szCs w:val="16"/>
        </w:rPr>
        <w:softHyphen/>
        <w:t>лет к цели уже в сумерках на рассвете. Однако в этом случае уже требовалось прикрытие истребителей.</w:t>
      </w:r>
    </w:p>
    <w:p w14:paraId="1A77016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Поскольку экипажи "ильюшиных" при ночных штурмовках либо взлетали, либо возвращались на свой аэродром в пол</w:t>
      </w:r>
      <w:r w:rsidRPr="001E2C69">
        <w:rPr>
          <w:color w:val="000000" w:themeColor="text1"/>
          <w:sz w:val="16"/>
          <w:szCs w:val="16"/>
        </w:rPr>
        <w:softHyphen/>
        <w:t>ной темноте, то от аэродромных служб требовалась четкая организация ночных полетов, а от самих экипажей - высокое летное мастерство, так как конструктив</w:t>
      </w:r>
      <w:r w:rsidRPr="001E2C69">
        <w:rPr>
          <w:color w:val="000000" w:themeColor="text1"/>
          <w:sz w:val="16"/>
          <w:szCs w:val="16"/>
        </w:rPr>
        <w:softHyphen/>
        <w:t>ные особенности самолета Ил-2 огра</w:t>
      </w:r>
      <w:r w:rsidRPr="001E2C69">
        <w:rPr>
          <w:color w:val="000000" w:themeColor="text1"/>
          <w:sz w:val="16"/>
          <w:szCs w:val="16"/>
        </w:rPr>
        <w:softHyphen/>
        <w:t>ничивали обзор летчику на посадке. Поэтому, например, в начале ноября 1942 г. для нанесения запланированных бомбоштурмовых ударов по аэродромам противника силами 16-й воздушной ар</w:t>
      </w:r>
      <w:r w:rsidRPr="001E2C69">
        <w:rPr>
          <w:color w:val="000000" w:themeColor="text1"/>
          <w:sz w:val="16"/>
          <w:szCs w:val="16"/>
        </w:rPr>
        <w:softHyphen/>
        <w:t xml:space="preserve">мии 228-я </w:t>
      </w:r>
      <w:r w:rsidRPr="001E2C69">
        <w:rPr>
          <w:iCs/>
          <w:color w:val="000000" w:themeColor="text1"/>
          <w:sz w:val="16"/>
          <w:szCs w:val="16"/>
        </w:rPr>
        <w:t>шад</w:t>
      </w:r>
      <w:r w:rsidRPr="001E2C69">
        <w:rPr>
          <w:color w:val="000000" w:themeColor="text1"/>
          <w:sz w:val="16"/>
          <w:szCs w:val="16"/>
        </w:rPr>
        <w:t xml:space="preserve"> смогла выделить лишь 18 ночных экипажей Ил-2. В 8-й ВА Ил-2-ночников было и того меньше.</w:t>
      </w:r>
    </w:p>
    <w:p w14:paraId="627CCED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ряде случаев с целью повышения эффективности ночных действий штур</w:t>
      </w:r>
      <w:r w:rsidRPr="001E2C69">
        <w:rPr>
          <w:color w:val="000000" w:themeColor="text1"/>
          <w:sz w:val="16"/>
          <w:szCs w:val="16"/>
        </w:rPr>
        <w:softHyphen/>
        <w:t>мовиков привлекались экипажи легких бомбардировщиков У-2, в задачу кото</w:t>
      </w:r>
      <w:r w:rsidRPr="001E2C69">
        <w:rPr>
          <w:color w:val="000000" w:themeColor="text1"/>
          <w:sz w:val="16"/>
          <w:szCs w:val="16"/>
        </w:rPr>
        <w:softHyphen/>
        <w:t>рых входило обнаружение и подсветка целей. В этих случаях экипажи У-2-ос-ветителей, найдя и определив цель, за 1 -2 минуты до подхода ударных групп Ил-2 освещали цель путем сбрасывания осветительных авиабомб типа САБ-50-15 и САБ-100-55 или зажигательных авиабомб типа ЗАБ-ЮТГ и ЗАБ-50ТГ, а штурмовики Ил-2 атаковывали ее. Кро</w:t>
      </w:r>
      <w:r w:rsidRPr="001E2C69">
        <w:rPr>
          <w:color w:val="000000" w:themeColor="text1"/>
          <w:sz w:val="16"/>
          <w:szCs w:val="16"/>
        </w:rPr>
        <w:softHyphen/>
        <w:t>ме САБов и ЗАБов, для подсветки цели экипажи У-2 использовали и ампулы АЖ-2 с зажигательной смесью "КС" (6467).</w:t>
      </w:r>
    </w:p>
    <w:p w14:paraId="6917D775" w14:textId="77777777" w:rsidR="00AE7191" w:rsidRPr="001E2C69" w:rsidRDefault="00AE7191" w:rsidP="00722885">
      <w:pPr>
        <w:pStyle w:val="Iauiue"/>
        <w:jc w:val="both"/>
        <w:rPr>
          <w:color w:val="000000" w:themeColor="text1"/>
          <w:sz w:val="16"/>
          <w:szCs w:val="16"/>
        </w:rPr>
      </w:pPr>
    </w:p>
    <w:p w14:paraId="52B19D0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28 августа 1942 немцы вышли к Волге в районе Сталинграда (2245,8) и были тяжелые бои (2261).</w:t>
      </w:r>
    </w:p>
    <w:p w14:paraId="02E253F1" w14:textId="77777777" w:rsidR="00AE7191" w:rsidRPr="001E2C69" w:rsidRDefault="00AE7191" w:rsidP="00722885">
      <w:pPr>
        <w:pStyle w:val="Iauiue"/>
        <w:jc w:val="both"/>
        <w:rPr>
          <w:color w:val="000000" w:themeColor="text1"/>
          <w:sz w:val="16"/>
          <w:szCs w:val="16"/>
        </w:rPr>
      </w:pPr>
    </w:p>
    <w:p w14:paraId="6CF5E6B5"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ночь на 28 августа 1942 года та же 17-я авиадиви</w:t>
      </w:r>
      <w:r w:rsidRPr="008A2E5A">
        <w:rPr>
          <w:rFonts w:ascii="Times New Roman" w:hAnsi="Times New Roman"/>
          <w:color w:val="0070C0"/>
          <w:sz w:val="16"/>
          <w:szCs w:val="16"/>
        </w:rPr>
        <w:softHyphen/>
        <w:t>зия всем составом летала на максимальный радиус. В резуль</w:t>
      </w:r>
      <w:r w:rsidRPr="008A2E5A">
        <w:rPr>
          <w:rFonts w:ascii="Times New Roman" w:hAnsi="Times New Roman"/>
          <w:color w:val="0070C0"/>
          <w:sz w:val="16"/>
          <w:szCs w:val="16"/>
        </w:rPr>
        <w:softHyphen/>
        <w:t>тате действий ее экипажей в Берлине было зафиксировано 48 пожаров и 9 больших взрывов, в Кенигсберге — 29 пожаров и 6 взрывов, в Данциге — 8 пожаров и 6 взрывов. В том же клю</w:t>
      </w:r>
      <w:r w:rsidRPr="008A2E5A">
        <w:rPr>
          <w:rFonts w:ascii="Times New Roman" w:hAnsi="Times New Roman"/>
          <w:color w:val="0070C0"/>
          <w:sz w:val="16"/>
          <w:szCs w:val="16"/>
        </w:rPr>
        <w:softHyphen/>
        <w:t>че действовали дивизии АДД, вооруженные Ил-4 — 3-я, 24-я, 50-я...(24139).</w:t>
      </w:r>
    </w:p>
    <w:p w14:paraId="30A09036" w14:textId="77777777" w:rsidR="006649D4" w:rsidRPr="008A2E5A" w:rsidRDefault="006649D4" w:rsidP="006649D4">
      <w:pPr>
        <w:spacing w:after="0" w:line="240" w:lineRule="auto"/>
        <w:jc w:val="both"/>
        <w:rPr>
          <w:rFonts w:ascii="Times New Roman" w:hAnsi="Times New Roman"/>
          <w:color w:val="0070C0"/>
          <w:sz w:val="16"/>
          <w:szCs w:val="16"/>
        </w:rPr>
      </w:pPr>
    </w:p>
    <w:p w14:paraId="3FBAE6B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28 августа 1942 началась советская контратака на Ленинград (2245,8).</w:t>
      </w:r>
    </w:p>
    <w:p w14:paraId="0031F418" w14:textId="77777777" w:rsidR="00AE7191" w:rsidRPr="001E2C69" w:rsidRDefault="00AE7191" w:rsidP="00722885">
      <w:pPr>
        <w:pStyle w:val="Iauiue"/>
        <w:jc w:val="both"/>
        <w:rPr>
          <w:color w:val="000000" w:themeColor="text1"/>
          <w:sz w:val="16"/>
          <w:szCs w:val="16"/>
        </w:rPr>
      </w:pPr>
    </w:p>
    <w:p w14:paraId="176DFFA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28 августа 1942 в боях под Ленинградом и лейт. Н.А.Кстинову в бою перебило руки и не мог даже открыть фонарь. Зажал руку коленями, вышел из ш, вернулся и сел. Вылечили и снова воевал (438,855).</w:t>
      </w:r>
    </w:p>
    <w:p w14:paraId="71F4A532" w14:textId="77777777" w:rsidR="00AE7191" w:rsidRPr="001E2C69" w:rsidRDefault="00AE7191" w:rsidP="00722885">
      <w:pPr>
        <w:pStyle w:val="Iauiue"/>
        <w:jc w:val="both"/>
        <w:rPr>
          <w:color w:val="000000" w:themeColor="text1"/>
          <w:sz w:val="16"/>
          <w:szCs w:val="16"/>
        </w:rPr>
      </w:pPr>
    </w:p>
    <w:p w14:paraId="517251F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28 августа 1942 на Волховском фронте 500 ОТБ, вооруженный огнеметными танками, обеспечивал наступление 286 сд на Вороново. Подожгли 18 ДЗОТов и 21 дом. Солдаты и офицеры, побросав оружие и вещи, в панике бежали (5219, 33).</w:t>
      </w:r>
    </w:p>
    <w:p w14:paraId="29BFB592" w14:textId="77777777" w:rsidR="00AE7191" w:rsidRPr="001E2C69" w:rsidRDefault="00AE7191" w:rsidP="00722885">
      <w:pPr>
        <w:pStyle w:val="Iauiue"/>
        <w:jc w:val="both"/>
        <w:rPr>
          <w:color w:val="000000" w:themeColor="text1"/>
          <w:sz w:val="16"/>
          <w:szCs w:val="16"/>
        </w:rPr>
      </w:pPr>
    </w:p>
    <w:p w14:paraId="3AA55C0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28 августа 1942 два Ш-2 СССР Х-217 и СССР Х-370 из состава второй эскадрильи 5 оап вылетели к партизанам, действующим на территории, оккупированной финнами, чтобы забрать пленных офицеров. Оказалось что это была радиоигра и машины захватили. Получили обозначения AV-186 и AV-187 и использовались до 1944 (7621, 37).</w:t>
      </w:r>
    </w:p>
    <w:p w14:paraId="74C88F5F" w14:textId="77777777" w:rsidR="00AE7191" w:rsidRPr="001E2C69" w:rsidRDefault="00AE7191" w:rsidP="00722885">
      <w:pPr>
        <w:pStyle w:val="Iauiue"/>
        <w:jc w:val="both"/>
        <w:rPr>
          <w:color w:val="000000" w:themeColor="text1"/>
          <w:sz w:val="16"/>
          <w:szCs w:val="16"/>
        </w:rPr>
      </w:pPr>
    </w:p>
    <w:p w14:paraId="4D31220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августа 1942 вышло Постановление ГКО № 2218 Об организации, штатном составе и вооружении отдельной лыжной бригады численностью 3000 чел. РГАНИР, Фонд ГКО, д. 54, лл. 67-67об (11012).</w:t>
      </w:r>
    </w:p>
    <w:p w14:paraId="70F248D1"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9E06C9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28 августа 1942 вышло Постановление ГКО № 2219 О сформировании 53 отдельных лыжных бригад и лыжных батальонов в дивизиях. РГАНИР, Фонд ГКО, д. 54, лл. 68-69 (11012).</w:t>
      </w:r>
    </w:p>
    <w:p w14:paraId="51B1CD38"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D1AAF51"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Жизнь и внутренняя политика:</w:t>
      </w:r>
    </w:p>
    <w:p w14:paraId="73C48553" w14:textId="77777777" w:rsidR="00AE7191" w:rsidRPr="001E2C69" w:rsidRDefault="00AE7191" w:rsidP="00722885">
      <w:pPr>
        <w:pStyle w:val="Iauiue"/>
        <w:jc w:val="both"/>
        <w:rPr>
          <w:iCs/>
          <w:color w:val="000000" w:themeColor="text1"/>
          <w:sz w:val="16"/>
          <w:szCs w:val="16"/>
        </w:rPr>
      </w:pPr>
    </w:p>
    <w:p w14:paraId="553BA541"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 xml:space="preserve">28 августа </w:t>
      </w:r>
      <w:r w:rsidRPr="001E2C69">
        <w:rPr>
          <w:rFonts w:ascii="Times New Roman" w:hAnsi="Times New Roman"/>
          <w:color w:val="000000" w:themeColor="text1"/>
          <w:sz w:val="16"/>
          <w:szCs w:val="16"/>
        </w:rPr>
        <w:t>в 1942 году И.В.Сталин направил телеграмму маршалу Семену Тимошенко в связи с пьесой Александра Корнейчука "Фронт": "В оценке пьесы Вы не правы. Пьеса будет иметь большое воспитательное значение для Красной Армии и ее комсостава... Нужно иметь мужество признать недостатки Красной Армии и принять меры к их ликвидации. Это единственный путь улучшения и усовершенствования Красной Армии" (14752).</w:t>
      </w:r>
    </w:p>
    <w:p w14:paraId="6C3FA23A" w14:textId="77777777" w:rsidR="00885B41" w:rsidRPr="001E2C69" w:rsidRDefault="00885B41" w:rsidP="00722885">
      <w:pPr>
        <w:spacing w:after="0" w:line="240" w:lineRule="auto"/>
        <w:jc w:val="both"/>
        <w:rPr>
          <w:rFonts w:ascii="Times New Roman" w:hAnsi="Times New Roman"/>
          <w:color w:val="000000" w:themeColor="text1"/>
          <w:sz w:val="16"/>
          <w:szCs w:val="16"/>
        </w:rPr>
      </w:pPr>
    </w:p>
    <w:p w14:paraId="603F6F53"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 xml:space="preserve">28 августа </w:t>
      </w:r>
      <w:r w:rsidRPr="001E2C69">
        <w:rPr>
          <w:rFonts w:ascii="Times New Roman" w:hAnsi="Times New Roman"/>
          <w:color w:val="000000" w:themeColor="text1"/>
          <w:sz w:val="16"/>
          <w:szCs w:val="16"/>
        </w:rPr>
        <w:t>в 1942 году генеральный комиссар Эстонии К.Лицманн обратился к эстонцам с призывом вступать в Эстонский легион СС для «участия в общей борьбе против большевизма» (14752).</w:t>
      </w:r>
    </w:p>
    <w:p w14:paraId="7C9E9E7D" w14:textId="77777777" w:rsidR="00885B41" w:rsidRPr="001E2C69" w:rsidRDefault="00885B41" w:rsidP="00722885">
      <w:pPr>
        <w:spacing w:after="0" w:line="240" w:lineRule="auto"/>
        <w:jc w:val="both"/>
        <w:rPr>
          <w:rFonts w:ascii="Times New Roman" w:hAnsi="Times New Roman"/>
          <w:color w:val="000000" w:themeColor="text1"/>
          <w:sz w:val="16"/>
          <w:szCs w:val="16"/>
        </w:rPr>
      </w:pPr>
    </w:p>
    <w:p w14:paraId="6C330B5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августа 1942 вышло Постановление ГКО № 2221 Об организации Всесоюзного социалистического соревнования работников предприятий Комитета по делам кинематографии при Совнаркоме СССР. РГАНИР, Фонд ГКО, д. 54, лл. 71, 72-74 (11012).</w:t>
      </w:r>
    </w:p>
    <w:p w14:paraId="7D479C43"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F42C06F"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7EDD332B" w14:textId="77777777" w:rsidR="00AE7191" w:rsidRPr="001E2C69" w:rsidRDefault="00AE7191" w:rsidP="00722885">
      <w:pPr>
        <w:pStyle w:val="Iauiue"/>
        <w:jc w:val="both"/>
        <w:rPr>
          <w:iCs/>
          <w:color w:val="000000" w:themeColor="text1"/>
          <w:sz w:val="16"/>
          <w:szCs w:val="16"/>
        </w:rPr>
      </w:pPr>
    </w:p>
    <w:p w14:paraId="0700F874"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28 августа 1942 года</w:t>
      </w:r>
      <w:r w:rsidRPr="001E2C69">
        <w:rPr>
          <w:rFonts w:ascii="Times New Roman" w:hAnsi="Times New Roman"/>
          <w:color w:val="000000" w:themeColor="text1"/>
          <w:sz w:val="16"/>
          <w:szCs w:val="16"/>
        </w:rPr>
        <w:t xml:space="preserve"> Первый серийный экземпляр английского бомбардировщика Vickers Warwick разбился и сгорел после того, как сорвалась полотняная обшивка с крыла. Этот самолет, прибыл в испытательный центр ААЕЕ в Боскомб-Даун 3 июля (14752).</w:t>
      </w:r>
    </w:p>
    <w:p w14:paraId="4B48291F" w14:textId="77777777" w:rsidR="00885B41" w:rsidRPr="001E2C69" w:rsidRDefault="00885B41" w:rsidP="00722885">
      <w:pPr>
        <w:spacing w:after="0" w:line="240" w:lineRule="auto"/>
        <w:jc w:val="both"/>
        <w:rPr>
          <w:rFonts w:ascii="Times New Roman" w:hAnsi="Times New Roman"/>
          <w:bCs/>
          <w:color w:val="000000" w:themeColor="text1"/>
          <w:sz w:val="16"/>
          <w:szCs w:val="16"/>
        </w:rPr>
      </w:pPr>
    </w:p>
    <w:p w14:paraId="2A5E5FD5" w14:textId="77777777" w:rsidR="00AE7191" w:rsidRPr="001E2C69" w:rsidRDefault="00AE7191" w:rsidP="00722885">
      <w:pPr>
        <w:pStyle w:val="Iauiue"/>
        <w:jc w:val="both"/>
        <w:rPr>
          <w:color w:val="000000" w:themeColor="text1"/>
          <w:sz w:val="16"/>
          <w:szCs w:val="16"/>
          <w:lang w:val="en-US"/>
        </w:rPr>
      </w:pPr>
      <w:r w:rsidRPr="001E2C69">
        <w:rPr>
          <w:color w:val="000000" w:themeColor="text1"/>
          <w:sz w:val="16"/>
          <w:szCs w:val="16"/>
          <w:lang w:val="en-US"/>
        </w:rPr>
        <w:t>August 28, 1942: Massive RAF raid against Nuremberg that kills 4,000 civilians and destroys over 10, 000 dwellings. Under heavy pressure from the US, Brazil declares war on Germany (3819).</w:t>
      </w:r>
    </w:p>
    <w:p w14:paraId="018F327E" w14:textId="77777777" w:rsidR="00AE7191" w:rsidRPr="001E2C69" w:rsidRDefault="00AE7191" w:rsidP="00722885">
      <w:pPr>
        <w:pStyle w:val="Iauiue"/>
        <w:jc w:val="both"/>
        <w:rPr>
          <w:color w:val="000000" w:themeColor="text1"/>
          <w:sz w:val="16"/>
          <w:szCs w:val="16"/>
          <w:lang w:val="en-US"/>
        </w:rPr>
      </w:pPr>
    </w:p>
    <w:p w14:paraId="6D90C38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28 августа 1942 состоялся массированный рейд Королевских ВВС на Нюрнберг и погибло 4000 чел. и было разрушено 100000 квартир и домов. Под давлением США Бразилия объявила войну Германии (3819).</w:t>
      </w:r>
    </w:p>
    <w:p w14:paraId="65A9A48D" w14:textId="77777777" w:rsidR="00AE7191" w:rsidRPr="001E2C69" w:rsidRDefault="00AE7191" w:rsidP="00722885">
      <w:pPr>
        <w:pStyle w:val="Iauiue"/>
        <w:jc w:val="both"/>
        <w:rPr>
          <w:color w:val="000000" w:themeColor="text1"/>
          <w:sz w:val="16"/>
          <w:szCs w:val="16"/>
        </w:rPr>
      </w:pPr>
    </w:p>
    <w:p w14:paraId="24DD7956" w14:textId="77777777" w:rsidR="00504B90" w:rsidRPr="001E2C69" w:rsidRDefault="00504B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 августа 1943 высотный бомбардировщик Люфтваффе Junkers Ju 86R сбрасывает 250-килограммовую (551 фунт) бомбу на Бристоль, Англия в утренний час пик, уничтожив несколько автобусов, убив 48 мирных жителей и ранив 56 человек (20793).</w:t>
      </w:r>
    </w:p>
    <w:p w14:paraId="5F848C17" w14:textId="77777777" w:rsidR="00504B90" w:rsidRPr="001E2C69" w:rsidRDefault="00504B90" w:rsidP="00722885">
      <w:pPr>
        <w:spacing w:after="0" w:line="240" w:lineRule="auto"/>
        <w:jc w:val="both"/>
        <w:rPr>
          <w:rFonts w:ascii="Times New Roman" w:hAnsi="Times New Roman"/>
          <w:color w:val="000000" w:themeColor="text1"/>
          <w:sz w:val="16"/>
          <w:szCs w:val="16"/>
        </w:rPr>
      </w:pPr>
    </w:p>
    <w:p w14:paraId="7AFF42DE" w14:textId="77777777" w:rsidR="00504B90" w:rsidRPr="001E2C69" w:rsidRDefault="00504B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28–29 августа (ночь) 1942 рейд 159 британских бомбардировщиков на Нюрнберг, Германия, несет еще более высокий уровень потерь - 14,5%, поскольку 23 самолета не возвращаются, хотя налет снова умеренно успешен. Использован «Красный Blob,» - индикатор целей, светящийся отличительным красным (20793).</w:t>
      </w:r>
    </w:p>
    <w:p w14:paraId="2DB529CC" w14:textId="77777777" w:rsidR="00504B90" w:rsidRPr="001E2C69" w:rsidRDefault="00504B90" w:rsidP="00722885">
      <w:pPr>
        <w:spacing w:after="0" w:line="240" w:lineRule="auto"/>
        <w:jc w:val="both"/>
        <w:rPr>
          <w:rFonts w:ascii="Times New Roman" w:hAnsi="Times New Roman"/>
          <w:color w:val="000000" w:themeColor="text1"/>
          <w:sz w:val="16"/>
          <w:szCs w:val="16"/>
        </w:rPr>
      </w:pPr>
    </w:p>
    <w:p w14:paraId="381A9582"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6EE65F5C" w14:textId="77777777" w:rsidR="00AE7191" w:rsidRPr="001E2C69" w:rsidRDefault="00AE7191" w:rsidP="00722885">
      <w:pPr>
        <w:pStyle w:val="Iauiue"/>
        <w:jc w:val="both"/>
        <w:rPr>
          <w:iCs/>
          <w:color w:val="000000" w:themeColor="text1"/>
          <w:sz w:val="16"/>
          <w:szCs w:val="16"/>
        </w:rPr>
      </w:pPr>
    </w:p>
    <w:p w14:paraId="16E5430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29 августа 1942 вышел приказ НКАП и командующего ВВС N 665с/036:</w:t>
      </w:r>
    </w:p>
    <w:p w14:paraId="7449786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"ГК самолета Ил-2 С.В.И. произведена модернизация бомбардировочного вооружения самолета, благодаря которой возможно применение мелких бомб непосредственно загрузкой в бомбоотсеки без специальных кассет КМБ, а также применение бомб ФАБ-250 и приборов ВАП-250 и УХАП-250 на замках МД-3-40, вместо замков Дер-31 и специальных балок.</w:t>
      </w:r>
    </w:p>
    <w:p w14:paraId="419DC45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Модернизированное бомбардировочное вооружение выдержало испытания и рекомендовано НИИАВ к внедрению в серийное производство.</w:t>
      </w:r>
    </w:p>
    <w:p w14:paraId="5C830AC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соответствии с этим:</w:t>
      </w:r>
    </w:p>
    <w:p w14:paraId="2A429E0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Директору завода 18 Белянскому к 15 сентября 942 сдать 20 самолетов Ил-2 в модернизированном варианте для проведения войсковых серийных испытаний.</w:t>
      </w:r>
    </w:p>
    <w:p w14:paraId="58B59C4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Нач. 10 ГУ Тарасевичу, директорам заводов 1, 18, 30 и 231 Третьякову, Белянскому, Шапиро и Журавлеву с 15 октября выпускать самолеты Ил-2 в модернизированном варианте с замками МД-3-40 без спец. балок и без кассет КМБ по чертежам ГК С.В.И. с учетом опыта эксплуатации первых 20 самолетов, выпущенных заводом 18" (1587,39).</w:t>
      </w:r>
    </w:p>
    <w:p w14:paraId="4A385369" w14:textId="77777777" w:rsidR="00AE7191" w:rsidRPr="001E2C69" w:rsidRDefault="00AE7191" w:rsidP="00722885">
      <w:pPr>
        <w:pStyle w:val="Iauiue"/>
        <w:jc w:val="both"/>
        <w:rPr>
          <w:color w:val="000000" w:themeColor="text1"/>
          <w:sz w:val="16"/>
          <w:szCs w:val="16"/>
        </w:rPr>
      </w:pPr>
    </w:p>
    <w:p w14:paraId="28F7A337" w14:textId="77777777" w:rsidR="00504B90" w:rsidRPr="001E2C69" w:rsidRDefault="00504B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 августа 1942 г.</w:t>
      </w:r>
    </w:p>
    <w:p w14:paraId="3F3D30EC" w14:textId="77777777" w:rsidR="00504B90" w:rsidRPr="001E2C69" w:rsidRDefault="00504B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Из приказа ИКАП СССР и Командующего ВВС Красной Армии о выпуске самолетов Ил-2 в модернизированном варианте</w:t>
      </w:r>
    </w:p>
    <w:p w14:paraId="298AB390" w14:textId="77777777" w:rsidR="00504B90" w:rsidRPr="001E2C69" w:rsidRDefault="00504B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 августа 1942 г.</w:t>
      </w:r>
    </w:p>
    <w:p w14:paraId="49176F62" w14:textId="77777777" w:rsidR="00504B90" w:rsidRPr="001E2C69" w:rsidRDefault="00504B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Секретно</w:t>
      </w:r>
    </w:p>
    <w:p w14:paraId="2318D4CD" w14:textId="77777777" w:rsidR="00504B90" w:rsidRPr="001E2C69" w:rsidRDefault="00504B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Главным конструктором самолета Ил-2 тов. Ильюшиным проведена модернизация бомбардировочного вооружения самолета, благодаря которой возможно применение мелких бомб непосредственной загрузкой в бомбоотсеки без специальных кассет КМБ, а также применение бомб ФАБ-250 и приборов ВАП-250 и УХАП-250 на замках МД-3-40, вместо замков Дер-31 и специальных балок.</w:t>
      </w:r>
    </w:p>
    <w:p w14:paraId="0AA879EB" w14:textId="77777777" w:rsidR="00504B90" w:rsidRPr="001E2C69" w:rsidRDefault="00504B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Модернизированное бомбардировочное вооружение выдержало испытание и рекомендовано НИПАВом к внедрению в серийное производство.</w:t>
      </w:r>
    </w:p>
    <w:p w14:paraId="7C59DDBF" w14:textId="77777777" w:rsidR="00504B90" w:rsidRPr="001E2C69" w:rsidRDefault="00504B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соответствии с этим приказываю:</w:t>
      </w:r>
    </w:p>
    <w:p w14:paraId="1E9CDD21" w14:textId="77777777" w:rsidR="00504B90" w:rsidRPr="001E2C69" w:rsidRDefault="00504B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1.</w:t>
      </w:r>
    </w:p>
    <w:p w14:paraId="02DBEE78" w14:textId="77777777" w:rsidR="00504B90" w:rsidRPr="001E2C69" w:rsidRDefault="00504B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Директору завода № 18 тов. Белянскому к 15 сентября 1942 года сдать 20 самолетов Ил-2 в модернизированном варианте для проведения </w:t>
      </w:r>
    </w:p>
    <w:p w14:paraId="4A581CE7" w14:textId="77777777" w:rsidR="00504B90" w:rsidRPr="001E2C69" w:rsidRDefault="00504B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войсковых серийных испытаний.</w:t>
      </w:r>
    </w:p>
    <w:p w14:paraId="3159A350" w14:textId="77777777" w:rsidR="00504B90" w:rsidRPr="001E2C69" w:rsidRDefault="00504B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w:t>
      </w:r>
    </w:p>
    <w:p w14:paraId="56DAF2ED" w14:textId="77777777" w:rsidR="00504B90" w:rsidRPr="001E2C69" w:rsidRDefault="00504B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Начальнику 10 Главного Управления НКАП тов. Тарасевичу, директорам заводов № 1, 18... тт. Третьякову, Белянскому... с 15 октября 1942 года выпускать самолеты Ил-2 в модернизированном варианте ...по чертежам Главного конструктора тов. Ильюшина, с учетом опыта эксплуатации первых 20 самолетов, выпущенных заводом № 18.</w:t>
      </w:r>
    </w:p>
    <w:p w14:paraId="28A65726" w14:textId="77777777" w:rsidR="00504B90" w:rsidRPr="001E2C69" w:rsidRDefault="00504B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w:t>
      </w:r>
    </w:p>
    <w:p w14:paraId="106A199C" w14:textId="77777777" w:rsidR="00504B90" w:rsidRPr="001E2C69" w:rsidRDefault="00504B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Начальнику 2 Главного Управления НКАП тов. Климовицкому обеспечить своевременную поставку заводам № 1, 18... замков МД-3-40 вместо замков Дер-31 и специальных балок по заявкам 10 Главного Управления...</w:t>
      </w:r>
    </w:p>
    <w:p w14:paraId="5165301D" w14:textId="77777777" w:rsidR="00504B90" w:rsidRPr="001E2C69" w:rsidRDefault="00504B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Народного Комиссара авиационной промышленности инженер ВВС КА генерал-лейтенант</w:t>
      </w:r>
    </w:p>
    <w:p w14:paraId="31F3BC73" w14:textId="77777777" w:rsidR="00504B90" w:rsidRPr="001E2C69" w:rsidRDefault="00504B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Командующего и Главный инженерно-авиационной службы</w:t>
      </w:r>
    </w:p>
    <w:p w14:paraId="6E91618A" w14:textId="77777777" w:rsidR="00504B90" w:rsidRPr="001E2C69" w:rsidRDefault="00504B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 Дементьев</w:t>
      </w:r>
      <w:r w:rsidRPr="001E2C69">
        <w:rPr>
          <w:rFonts w:ascii="Times New Roman" w:hAnsi="Times New Roman"/>
          <w:color w:val="000000" w:themeColor="text1"/>
          <w:sz w:val="16"/>
          <w:szCs w:val="16"/>
        </w:rPr>
        <w:tab/>
        <w:t>А. Репин</w:t>
      </w:r>
    </w:p>
    <w:p w14:paraId="5A57DC33" w14:textId="77777777" w:rsidR="00504B90" w:rsidRPr="001E2C69" w:rsidRDefault="00504B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ГАСО. Ф. </w:t>
      </w:r>
      <w:r w:rsidRPr="001E2C69">
        <w:rPr>
          <w:rFonts w:ascii="Times New Roman" w:hAnsi="Times New Roman"/>
          <w:color w:val="000000" w:themeColor="text1"/>
          <w:sz w:val="16"/>
          <w:szCs w:val="16"/>
          <w:lang w:val="en-US"/>
        </w:rPr>
        <w:t>P</w:t>
      </w:r>
      <w:r w:rsidRPr="001E2C69">
        <w:rPr>
          <w:rFonts w:ascii="Times New Roman" w:hAnsi="Times New Roman"/>
          <w:color w:val="000000" w:themeColor="text1"/>
          <w:sz w:val="16"/>
          <w:szCs w:val="16"/>
        </w:rPr>
        <w:t xml:space="preserve">-3454. </w:t>
      </w:r>
      <w:r w:rsidRPr="001E2C69">
        <w:rPr>
          <w:rFonts w:ascii="Times New Roman" w:hAnsi="Times New Roman"/>
          <w:color w:val="000000" w:themeColor="text1"/>
          <w:sz w:val="16"/>
          <w:szCs w:val="16"/>
          <w:lang w:val="en-US"/>
        </w:rPr>
        <w:t>On</w:t>
      </w:r>
      <w:r w:rsidRPr="001E2C69">
        <w:rPr>
          <w:rFonts w:ascii="Times New Roman" w:hAnsi="Times New Roman"/>
          <w:color w:val="000000" w:themeColor="text1"/>
          <w:sz w:val="16"/>
          <w:szCs w:val="16"/>
        </w:rPr>
        <w:t>. 2. Д. 6. Л. 9. Завер. Копия (20533).</w:t>
      </w:r>
    </w:p>
    <w:p w14:paraId="77A76E1C" w14:textId="77777777" w:rsidR="00504B90" w:rsidRPr="001E2C69" w:rsidRDefault="00504B90" w:rsidP="00722885">
      <w:pPr>
        <w:spacing w:after="0" w:line="240" w:lineRule="auto"/>
        <w:jc w:val="both"/>
        <w:rPr>
          <w:rFonts w:ascii="Times New Roman" w:hAnsi="Times New Roman"/>
          <w:color w:val="000000" w:themeColor="text1"/>
          <w:sz w:val="16"/>
          <w:szCs w:val="16"/>
        </w:rPr>
      </w:pPr>
    </w:p>
    <w:p w14:paraId="6DE4CF4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29 августа 1942 П.Дементьев от НКАП писал ГИ ВВС А.К.Репину письмо N Н-36/3455:</w:t>
      </w:r>
    </w:p>
    <w:p w14:paraId="7DF041A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"Директора заводов 1 и 18 Третьяков и Белянский подняли вопрос о сокращении времени облета Ил-2 при контрольно-сдаточных испытаниях с 45 до 15 мин.</w:t>
      </w:r>
    </w:p>
    <w:p w14:paraId="0513E83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Со своей стороны, считаю целесообразным в целях экономии топлива и масла время облета сократить до 20 мин., что вполне достаточно для полной проверки самолета в воздухе.</w:t>
      </w:r>
    </w:p>
    <w:p w14:paraId="67BFFDD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Прошу Вашего согласия и указания Военпредам." (1632,35).</w:t>
      </w:r>
    </w:p>
    <w:p w14:paraId="4B78F61E" w14:textId="77777777" w:rsidR="00AE7191" w:rsidRPr="001E2C69" w:rsidRDefault="00AE7191" w:rsidP="00722885">
      <w:pPr>
        <w:pStyle w:val="Iauiue"/>
        <w:jc w:val="both"/>
        <w:rPr>
          <w:color w:val="000000" w:themeColor="text1"/>
          <w:sz w:val="16"/>
          <w:szCs w:val="16"/>
        </w:rPr>
      </w:pPr>
    </w:p>
    <w:p w14:paraId="7A86C9C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29 августа 1942 Дементьев писал ГИ ВВС А.К.Репину письмо N Н-36/3455:</w:t>
      </w:r>
    </w:p>
    <w:p w14:paraId="1FF7617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"Директора заводов 1 и 18 подняли вопрос о сокращении времени облета самолетов Ил-2 при контрольно-сдаточных полетах с 45 до 15 минут.</w:t>
      </w:r>
    </w:p>
    <w:p w14:paraId="7063A07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Со своей стороны считаю целесообразным в целях экономии топлива и масла время облета сократить до 20 мин., что вполне достаточно для полной проверки самолета в воздухе (1632,35).</w:t>
      </w:r>
    </w:p>
    <w:p w14:paraId="391108CC" w14:textId="77777777" w:rsidR="00AE7191" w:rsidRPr="001E2C69" w:rsidRDefault="00AE7191" w:rsidP="00722885">
      <w:pPr>
        <w:pStyle w:val="Iauiue"/>
        <w:jc w:val="both"/>
        <w:rPr>
          <w:color w:val="000000" w:themeColor="text1"/>
          <w:sz w:val="16"/>
          <w:szCs w:val="16"/>
        </w:rPr>
      </w:pPr>
    </w:p>
    <w:p w14:paraId="5D8B39D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29 августа 1942 закончились войсковые испытания в боевых условиях М-82 на Ла-5, которые проходили с 13 августа 1942 (1315,65).</w:t>
      </w:r>
    </w:p>
    <w:p w14:paraId="41380FF4" w14:textId="77777777" w:rsidR="00AE7191" w:rsidRPr="001E2C69" w:rsidRDefault="00AE7191" w:rsidP="00722885">
      <w:pPr>
        <w:pStyle w:val="Iauiue"/>
        <w:jc w:val="both"/>
        <w:rPr>
          <w:color w:val="000000" w:themeColor="text1"/>
          <w:sz w:val="16"/>
          <w:szCs w:val="16"/>
        </w:rPr>
      </w:pPr>
    </w:p>
    <w:p w14:paraId="1EC8EBB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 августа 1942 испытание ПВРД ДМ-4 № 15 в СЭИГ МАИ было продолжено. На этот раз двигатель включался в работу нормально. Горение бен</w:t>
      </w:r>
      <w:r w:rsidRPr="001E2C69">
        <w:rPr>
          <w:rFonts w:ascii="Times New Roman" w:hAnsi="Times New Roman"/>
          <w:color w:val="000000" w:themeColor="text1"/>
          <w:sz w:val="16"/>
          <w:szCs w:val="16"/>
        </w:rPr>
        <w:softHyphen/>
        <w:t xml:space="preserve">зина происходило по всему сечению камеры. Резко выделялись три языка пламени, центрами которых являлись штуцеры, подводящие бензин к горелке. При скорости потока воздуха </w:t>
      </w:r>
      <w:r w:rsidRPr="001E2C69">
        <w:rPr>
          <w:rFonts w:ascii="Times New Roman" w:hAnsi="Times New Roman"/>
          <w:color w:val="000000" w:themeColor="text1"/>
          <w:sz w:val="16"/>
          <w:szCs w:val="16"/>
        </w:rPr>
        <w:lastRenderedPageBreak/>
        <w:t>в рабочей части трубы = 47 м/сек и при подаче горючего в количестве 120 см</w:t>
      </w:r>
      <w:r w:rsidRPr="001E2C69">
        <w:rPr>
          <w:rFonts w:ascii="Times New Roman" w:hAnsi="Times New Roman"/>
          <w:color w:val="000000" w:themeColor="text1"/>
          <w:sz w:val="16"/>
          <w:szCs w:val="16"/>
          <w:vertAlign w:val="superscript"/>
        </w:rPr>
        <w:t>3</w:t>
      </w:r>
      <w:r w:rsidRPr="001E2C69">
        <w:rPr>
          <w:rFonts w:ascii="Times New Roman" w:hAnsi="Times New Roman"/>
          <w:color w:val="000000" w:themeColor="text1"/>
          <w:sz w:val="16"/>
          <w:szCs w:val="16"/>
        </w:rPr>
        <w:t>/сек длина факела доходила до 1 - 1,5 м. Продолжитель</w:t>
      </w:r>
      <w:r w:rsidRPr="001E2C69">
        <w:rPr>
          <w:rFonts w:ascii="Times New Roman" w:hAnsi="Times New Roman"/>
          <w:color w:val="000000" w:themeColor="text1"/>
          <w:sz w:val="16"/>
          <w:szCs w:val="16"/>
        </w:rPr>
        <w:softHyphen/>
        <w:t>ность работы двигателя на различных расходах бензина от 50 до 150 см</w:t>
      </w:r>
      <w:r w:rsidRPr="001E2C69">
        <w:rPr>
          <w:rFonts w:ascii="Times New Roman" w:hAnsi="Times New Roman"/>
          <w:color w:val="000000" w:themeColor="text1"/>
          <w:sz w:val="16"/>
          <w:szCs w:val="16"/>
          <w:vertAlign w:val="superscript"/>
        </w:rPr>
        <w:t>3</w:t>
      </w:r>
      <w:r w:rsidRPr="001E2C69">
        <w:rPr>
          <w:rFonts w:ascii="Times New Roman" w:hAnsi="Times New Roman"/>
          <w:color w:val="000000" w:themeColor="text1"/>
          <w:sz w:val="16"/>
          <w:szCs w:val="16"/>
        </w:rPr>
        <w:t>/сек составила 3 минуты (11081).</w:t>
      </w:r>
    </w:p>
    <w:p w14:paraId="1D07B0C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4B15D8AC" w14:textId="77777777" w:rsidR="00DE48C2" w:rsidRPr="001E2C69" w:rsidRDefault="00DE48C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29 по 30 августа 1942 г. на НИП АВ ВВ проходили испытания установок РО РУБ-4, которая монтировалась на месте астронавигационного люка стрелка-радиста и РУБ-2л – установленной совместно с люковой стрелковой установкой ЛУ-Пе-2. Для ведения прицельного огня установки имели оптические прицелы: ОПТ-2 – на РУБ-4, и ОП-2л – на РУБ-2л. Выяснилось, что стрелку-радисту не хватало физических сил повернуть установки в сторону. Прицеливаться и удерживать линию визирования на цели было практически невозможно. В момент пуска возникал большой разворачивающий момент. Физических сил для компенсации разворота установки стрелку-радисту не хватало, и ракетный снаряд уходил «в сторону противника не по прицелу». Кроме того, после пуска первого снаряда установки «теряли» симметричность. Наводка и прицеливание становились еще сложнее. К тому же самолет разворачивало, летчику приходилось парировать разворот рулями. Установка РУБ-4 мешала стрелку работать с пулеметом ШКАС, а сам пулемет ШКАС – управляться с РУБ-4. Одновременно РУБ-2л затрудняла стрельбу из пулемета БТ. Результаты испытаний РУБ-4 и РУБ-2л сочли неудовлетворительными. На самолете Пе-2 зав. №7/87 устанавливались люковая РУБ-2л и верхняя РУБ-4 ракетные управляемые батареи под четыре и два ракетных орудия РО-82 конструкции, соответственно, В.П. Заулошнова и А.Л. Виноградова (СКО завода №22) (19775).</w:t>
      </w:r>
    </w:p>
    <w:p w14:paraId="20262D88" w14:textId="77777777" w:rsidR="00DE48C2" w:rsidRPr="001E2C69" w:rsidRDefault="00DE48C2" w:rsidP="00722885">
      <w:pPr>
        <w:spacing w:after="0" w:line="240" w:lineRule="auto"/>
        <w:jc w:val="both"/>
        <w:rPr>
          <w:rFonts w:ascii="Times New Roman" w:hAnsi="Times New Roman"/>
          <w:color w:val="000000" w:themeColor="text1"/>
          <w:sz w:val="16"/>
          <w:szCs w:val="16"/>
        </w:rPr>
      </w:pPr>
    </w:p>
    <w:p w14:paraId="174890AA" w14:textId="77777777" w:rsidR="00504B90" w:rsidRPr="001E2C69" w:rsidRDefault="00504B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 августа 1943 года, через день после того, как было принято решение о восстановления завода №135, на заводе были организованы деревообделочный, дюралевый, механический и сборочный цехи. 10 сентября приступили к ремонту Як-1, Як-7, Як-9, Ла-5 и Ил-2, поступавших с фронта. В ноябре 1943 г. начали сборку Як-7 и Як-9 из готовых агрегатов саратовского завода. Задание декабря 1943 г. было выполнено досрочно. В следующем году завод начал сборку истребителей-бомбардировщиков Як-9Б, изготовление крыльев к Як-3, а также запчастей к Як-1 (22829).</w:t>
      </w:r>
    </w:p>
    <w:p w14:paraId="55E28E64" w14:textId="77777777" w:rsidR="00504B90" w:rsidRPr="001E2C69" w:rsidRDefault="00504B90" w:rsidP="00722885">
      <w:pPr>
        <w:spacing w:after="0" w:line="240" w:lineRule="auto"/>
        <w:jc w:val="both"/>
        <w:rPr>
          <w:rFonts w:ascii="Times New Roman" w:hAnsi="Times New Roman"/>
          <w:color w:val="000000" w:themeColor="text1"/>
          <w:sz w:val="16"/>
          <w:szCs w:val="16"/>
        </w:rPr>
      </w:pPr>
    </w:p>
    <w:p w14:paraId="73AD7539" w14:textId="77777777" w:rsidR="00885B41" w:rsidRPr="001E2C69" w:rsidRDefault="00885B41" w:rsidP="00722885">
      <w:pPr>
        <w:pStyle w:val="3b"/>
        <w:shd w:val="clear" w:color="auto" w:fill="auto"/>
        <w:spacing w:before="0" w:after="0" w:line="240" w:lineRule="auto"/>
        <w:jc w:val="both"/>
        <w:rPr>
          <w:color w:val="000000" w:themeColor="text1"/>
          <w:spacing w:val="0"/>
          <w:sz w:val="16"/>
          <w:szCs w:val="16"/>
        </w:rPr>
      </w:pPr>
      <w:r w:rsidRPr="001E2C69">
        <w:rPr>
          <w:color w:val="000000" w:themeColor="text1"/>
          <w:spacing w:val="0"/>
          <w:sz w:val="16"/>
          <w:szCs w:val="16"/>
        </w:rPr>
        <w:t>29 августа 1942 г. Отчет С.А. Чаплыгина о научно-исследовательской деятельности за 7 месяцев 1942 года перед Президиумом Академии наук СССР</w:t>
      </w:r>
    </w:p>
    <w:p w14:paraId="6076FC19" w14:textId="77777777" w:rsidR="00885B41" w:rsidRPr="001E2C69" w:rsidRDefault="00885B41" w:rsidP="00722885">
      <w:pPr>
        <w:pStyle w:val="3b"/>
        <w:shd w:val="clear" w:color="auto" w:fill="auto"/>
        <w:spacing w:before="0" w:after="0" w:line="240" w:lineRule="auto"/>
        <w:jc w:val="both"/>
        <w:rPr>
          <w:color w:val="000000" w:themeColor="text1"/>
          <w:spacing w:val="0"/>
          <w:sz w:val="16"/>
          <w:szCs w:val="16"/>
        </w:rPr>
      </w:pPr>
      <w:r w:rsidRPr="001E2C69">
        <w:rPr>
          <w:color w:val="000000" w:themeColor="text1"/>
          <w:spacing w:val="0"/>
          <w:sz w:val="16"/>
          <w:szCs w:val="16"/>
        </w:rPr>
        <w:t>Копия — академику секретарю отделения технических наук АН СССР.</w:t>
      </w:r>
    </w:p>
    <w:p w14:paraId="4FB2369A"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Как и прежние годы, моя научно-исследовательская работа про</w:t>
      </w:r>
      <w:r w:rsidRPr="001E2C69">
        <w:rPr>
          <w:rFonts w:ascii="Times New Roman" w:hAnsi="Times New Roman"/>
          <w:color w:val="000000" w:themeColor="text1"/>
          <w:sz w:val="16"/>
          <w:szCs w:val="16"/>
        </w:rPr>
        <w:softHyphen/>
        <w:t>ходила по линии оборонного предприятия — Центрального аэродина</w:t>
      </w:r>
      <w:r w:rsidRPr="001E2C69">
        <w:rPr>
          <w:rFonts w:ascii="Times New Roman" w:hAnsi="Times New Roman"/>
          <w:color w:val="000000" w:themeColor="text1"/>
          <w:sz w:val="16"/>
          <w:szCs w:val="16"/>
        </w:rPr>
        <w:softHyphen/>
        <w:t>мического института имени проф. Н.Е. Жуковского.</w:t>
      </w:r>
    </w:p>
    <w:p w14:paraId="02E5A4E4"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изменившихся условиях с ноября 1941 года я нахожусь совмест</w:t>
      </w:r>
      <w:r w:rsidRPr="001E2C69">
        <w:rPr>
          <w:rFonts w:ascii="Times New Roman" w:hAnsi="Times New Roman"/>
          <w:color w:val="000000" w:themeColor="text1"/>
          <w:sz w:val="16"/>
          <w:szCs w:val="16"/>
        </w:rPr>
        <w:softHyphen/>
        <w:t>но с эвакуированной частью ЦАГИ в г. Новосибирске, где принимаю непосредственное участие в создании, согласно постановления Коми</w:t>
      </w:r>
      <w:r w:rsidRPr="001E2C69">
        <w:rPr>
          <w:rFonts w:ascii="Times New Roman" w:hAnsi="Times New Roman"/>
          <w:color w:val="000000" w:themeColor="text1"/>
          <w:sz w:val="16"/>
          <w:szCs w:val="16"/>
        </w:rPr>
        <w:softHyphen/>
        <w:t>тета Обороны, новой аэродинамической лаборатории на Востоке.</w:t>
      </w:r>
    </w:p>
    <w:p w14:paraId="3EF3645E"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Моя Московская аэродинамическая лаборатория, прервавшая по решению правительства свою работу в ноябре 1941 года, с февраля на</w:t>
      </w:r>
      <w:r w:rsidRPr="001E2C69">
        <w:rPr>
          <w:rFonts w:ascii="Times New Roman" w:hAnsi="Times New Roman"/>
          <w:color w:val="000000" w:themeColor="text1"/>
          <w:sz w:val="16"/>
          <w:szCs w:val="16"/>
        </w:rPr>
        <w:softHyphen/>
        <w:t>чала восстанавливаться и в настоящее время работает полным ходом, выполняя серьезные оборонные задания. Непосредственно руководят ею два моих заместителя, поддерживающие со мной постоянную связь.</w:t>
      </w:r>
    </w:p>
    <w:p w14:paraId="1A5E4411"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моей личной научной работе в текущем году ведется теорети</w:t>
      </w:r>
      <w:r w:rsidRPr="001E2C69">
        <w:rPr>
          <w:rFonts w:ascii="Times New Roman" w:hAnsi="Times New Roman"/>
          <w:color w:val="000000" w:themeColor="text1"/>
          <w:sz w:val="16"/>
          <w:szCs w:val="16"/>
        </w:rPr>
        <w:softHyphen/>
        <w:t>ческое и экспериментальное исследование профилей САЧ для вин</w:t>
      </w:r>
      <w:r w:rsidRPr="001E2C69">
        <w:rPr>
          <w:rFonts w:ascii="Times New Roman" w:hAnsi="Times New Roman"/>
          <w:color w:val="000000" w:themeColor="text1"/>
          <w:sz w:val="16"/>
          <w:szCs w:val="16"/>
        </w:rPr>
        <w:softHyphen/>
        <w:t>тов и крыльев самолетов. Получены формулы, дающие возможность до эксперимента рассчитать опору распределения давления на профи</w:t>
      </w:r>
      <w:r w:rsidRPr="001E2C69">
        <w:rPr>
          <w:rFonts w:ascii="Times New Roman" w:hAnsi="Times New Roman"/>
          <w:color w:val="000000" w:themeColor="text1"/>
          <w:sz w:val="16"/>
          <w:szCs w:val="16"/>
        </w:rPr>
        <w:softHyphen/>
        <w:t>ле, коэффициент подъемной силы Су, коэффициент момента Стг, изу</w:t>
      </w:r>
      <w:r w:rsidRPr="001E2C69">
        <w:rPr>
          <w:rFonts w:ascii="Times New Roman" w:hAnsi="Times New Roman"/>
          <w:color w:val="000000" w:themeColor="text1"/>
          <w:sz w:val="16"/>
          <w:szCs w:val="16"/>
        </w:rPr>
        <w:softHyphen/>
        <w:t>чить поле скоростей течения около профиля.</w:t>
      </w:r>
    </w:p>
    <w:p w14:paraId="2D660975"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Установлена связь между параметрами, входящими в основную функцию, дающую отображение окружности единичного радиуса плоскости вспомогательного течения на плоскости основного течения, и конструктивными параметрами профиля.</w:t>
      </w:r>
    </w:p>
    <w:p w14:paraId="3E8599B5"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Разработан способ построения теоретического профиля, облада</w:t>
      </w:r>
      <w:r w:rsidRPr="001E2C69">
        <w:rPr>
          <w:rFonts w:ascii="Times New Roman" w:hAnsi="Times New Roman"/>
          <w:color w:val="000000" w:themeColor="text1"/>
          <w:sz w:val="16"/>
          <w:szCs w:val="16"/>
        </w:rPr>
        <w:softHyphen/>
        <w:t>ющего заданной формой средней линии, заданной толщиной (по вели</w:t>
      </w:r>
      <w:r w:rsidRPr="001E2C69">
        <w:rPr>
          <w:rFonts w:ascii="Times New Roman" w:hAnsi="Times New Roman"/>
          <w:color w:val="000000" w:themeColor="text1"/>
          <w:sz w:val="16"/>
          <w:szCs w:val="16"/>
        </w:rPr>
        <w:softHyphen/>
        <w:t>чине и месторасположению по хорде профиля).</w:t>
      </w:r>
    </w:p>
    <w:p w14:paraId="2666842E"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Проведено экспериментальное исследование 25 теоретических профилей САЧ в моей аэродинамической лаборатории ЦАГИ (в Мо</w:t>
      </w:r>
      <w:r w:rsidRPr="001E2C69">
        <w:rPr>
          <w:rFonts w:ascii="Times New Roman" w:hAnsi="Times New Roman"/>
          <w:color w:val="000000" w:themeColor="text1"/>
          <w:sz w:val="16"/>
          <w:szCs w:val="16"/>
        </w:rPr>
        <w:softHyphen/>
        <w:t>скве).</w:t>
      </w:r>
    </w:p>
    <w:p w14:paraId="45E9A0DE"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Два профиля САЧ-30 и САЧ-33 будут в этом году дополнитель</w:t>
      </w:r>
      <w:r w:rsidRPr="001E2C69">
        <w:rPr>
          <w:rFonts w:ascii="Times New Roman" w:hAnsi="Times New Roman"/>
          <w:color w:val="000000" w:themeColor="text1"/>
          <w:sz w:val="16"/>
          <w:szCs w:val="16"/>
        </w:rPr>
        <w:softHyphen/>
        <w:t>но детально исследованы на больших значениях числа Рейнольдса (1.106 Ке 6.106).</w:t>
      </w:r>
    </w:p>
    <w:p w14:paraId="2ECD3B6B"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этих испытаний указанные профили, как обладающие хо</w:t>
      </w:r>
      <w:r w:rsidRPr="001E2C69">
        <w:rPr>
          <w:rFonts w:ascii="Times New Roman" w:hAnsi="Times New Roman"/>
          <w:color w:val="000000" w:themeColor="text1"/>
          <w:sz w:val="16"/>
          <w:szCs w:val="16"/>
        </w:rPr>
        <w:softHyphen/>
        <w:t>рошими аэродинамическими характеристиками, можно будет исполь</w:t>
      </w:r>
      <w:r w:rsidRPr="001E2C69">
        <w:rPr>
          <w:rFonts w:ascii="Times New Roman" w:hAnsi="Times New Roman"/>
          <w:color w:val="000000" w:themeColor="text1"/>
          <w:sz w:val="16"/>
          <w:szCs w:val="16"/>
        </w:rPr>
        <w:softHyphen/>
        <w:t>зовать в практическом самолетостроении.</w:t>
      </w:r>
    </w:p>
    <w:p w14:paraId="126D3863"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настоящее время проектируется винт на базе винтовых теоре</w:t>
      </w:r>
      <w:r w:rsidRPr="001E2C69">
        <w:rPr>
          <w:rFonts w:ascii="Times New Roman" w:hAnsi="Times New Roman"/>
          <w:color w:val="000000" w:themeColor="text1"/>
          <w:sz w:val="16"/>
          <w:szCs w:val="16"/>
        </w:rPr>
        <w:softHyphen/>
        <w:t>тических профилей - САЧ, имеющий меньшие концевые потери, чем обычные винты. Испытания винта предполагается провести в IV квар</w:t>
      </w:r>
      <w:r w:rsidRPr="001E2C69">
        <w:rPr>
          <w:rFonts w:ascii="Times New Roman" w:hAnsi="Times New Roman"/>
          <w:color w:val="000000" w:themeColor="text1"/>
          <w:sz w:val="16"/>
          <w:szCs w:val="16"/>
        </w:rPr>
        <w:softHyphen/>
        <w:t>тале 1942 года.</w:t>
      </w:r>
    </w:p>
    <w:p w14:paraId="0318F081"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Необходимая расчетная и экспериментальная работа под моим руководством ведется спецгруппой в Новосибирске и группой профи</w:t>
      </w:r>
      <w:r w:rsidRPr="001E2C69">
        <w:rPr>
          <w:rFonts w:ascii="Times New Roman" w:hAnsi="Times New Roman"/>
          <w:color w:val="000000" w:themeColor="text1"/>
          <w:sz w:val="16"/>
          <w:szCs w:val="16"/>
        </w:rPr>
        <w:softHyphen/>
        <w:t>лей САЧ в Москве.</w:t>
      </w:r>
    </w:p>
    <w:p w14:paraId="6ECF43BA"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базе проведенной работы строится общая теория профиля: профиль САЧ общего вида определяется 5п + 3 независимыми параме</w:t>
      </w:r>
      <w:r w:rsidRPr="001E2C69">
        <w:rPr>
          <w:rFonts w:ascii="Times New Roman" w:hAnsi="Times New Roman"/>
          <w:color w:val="000000" w:themeColor="text1"/>
          <w:sz w:val="16"/>
          <w:szCs w:val="16"/>
        </w:rPr>
        <w:softHyphen/>
        <w:t>трами, где п — любое целое число, что позволяет получить при достаточ</w:t>
      </w:r>
      <w:r w:rsidRPr="001E2C69">
        <w:rPr>
          <w:rFonts w:ascii="Times New Roman" w:hAnsi="Times New Roman"/>
          <w:color w:val="000000" w:themeColor="text1"/>
          <w:sz w:val="16"/>
          <w:szCs w:val="16"/>
        </w:rPr>
        <w:softHyphen/>
        <w:t>но большом п любой практически интересный профиль.</w:t>
      </w:r>
    </w:p>
    <w:p w14:paraId="20661FA0"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Кроме личной научной работы проводится руководство деятель</w:t>
      </w:r>
      <w:r w:rsidRPr="001E2C69">
        <w:rPr>
          <w:rFonts w:ascii="Times New Roman" w:hAnsi="Times New Roman"/>
          <w:color w:val="000000" w:themeColor="text1"/>
          <w:sz w:val="16"/>
          <w:szCs w:val="16"/>
        </w:rPr>
        <w:softHyphen/>
        <w:t>ностью Новосибирского городского Комитета ученых, образованного под моим председательством в феврале 1942 года и имеющего секции:</w:t>
      </w:r>
    </w:p>
    <w:p w14:paraId="08D7FAA5" w14:textId="77777777" w:rsidR="00885B41" w:rsidRPr="001E2C69" w:rsidRDefault="00885B41" w:rsidP="00722885">
      <w:pPr>
        <w:tabs>
          <w:tab w:val="left" w:pos="782"/>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авиационную,</w:t>
      </w:r>
    </w:p>
    <w:p w14:paraId="60B74449" w14:textId="77777777" w:rsidR="00885B41" w:rsidRPr="001E2C69" w:rsidRDefault="00885B41" w:rsidP="00722885">
      <w:pPr>
        <w:tabs>
          <w:tab w:val="left" w:pos="796"/>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вооружения и боеприпасов,</w:t>
      </w:r>
    </w:p>
    <w:p w14:paraId="71C39522" w14:textId="77777777" w:rsidR="00885B41" w:rsidRPr="001E2C69" w:rsidRDefault="00885B41" w:rsidP="00722885">
      <w:pPr>
        <w:tabs>
          <w:tab w:val="left" w:pos="796"/>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металлургии и металлообработки,</w:t>
      </w:r>
    </w:p>
    <w:p w14:paraId="773D39C7" w14:textId="77777777" w:rsidR="00885B41" w:rsidRPr="001E2C69" w:rsidRDefault="00885B41" w:rsidP="00722885">
      <w:pPr>
        <w:tabs>
          <w:tab w:val="left" w:pos="801"/>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физико-химическую,</w:t>
      </w:r>
    </w:p>
    <w:p w14:paraId="02DE6E06" w14:textId="77777777" w:rsidR="00885B41" w:rsidRPr="001E2C69" w:rsidRDefault="00885B41" w:rsidP="00722885">
      <w:pPr>
        <w:tabs>
          <w:tab w:val="left" w:pos="786"/>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транспортную,</w:t>
      </w:r>
    </w:p>
    <w:p w14:paraId="2A2F90DB" w14:textId="77777777" w:rsidR="00885B41" w:rsidRPr="001E2C69" w:rsidRDefault="00885B41" w:rsidP="00722885">
      <w:pPr>
        <w:tabs>
          <w:tab w:val="left" w:pos="796"/>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топливно-энергетическую,</w:t>
      </w:r>
    </w:p>
    <w:p w14:paraId="7DD4EFA2" w14:textId="77777777" w:rsidR="00885B41" w:rsidRPr="001E2C69" w:rsidRDefault="00885B41" w:rsidP="00722885">
      <w:pPr>
        <w:tabs>
          <w:tab w:val="left" w:pos="796"/>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медицинскую,</w:t>
      </w:r>
    </w:p>
    <w:p w14:paraId="6CFA1508" w14:textId="77777777" w:rsidR="00885B41" w:rsidRPr="001E2C69" w:rsidRDefault="00885B41" w:rsidP="00722885">
      <w:pPr>
        <w:tabs>
          <w:tab w:val="left" w:pos="791"/>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геолого-разведывательную,</w:t>
      </w:r>
    </w:p>
    <w:p w14:paraId="5105C56C" w14:textId="77777777" w:rsidR="00885B41" w:rsidRPr="001E2C69" w:rsidRDefault="00885B41" w:rsidP="00722885">
      <w:pPr>
        <w:tabs>
          <w:tab w:val="left" w:pos="791"/>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 сельскохозяйственную,</w:t>
      </w:r>
    </w:p>
    <w:p w14:paraId="6573A144" w14:textId="77777777" w:rsidR="00885B41" w:rsidRPr="001E2C69" w:rsidRDefault="00885B41" w:rsidP="00722885">
      <w:pPr>
        <w:tabs>
          <w:tab w:val="left" w:pos="882"/>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архитектурно-строительную,</w:t>
      </w:r>
    </w:p>
    <w:p w14:paraId="1FFE9029" w14:textId="77777777" w:rsidR="00885B41" w:rsidRPr="001E2C69" w:rsidRDefault="00885B41" w:rsidP="00722885">
      <w:pPr>
        <w:tabs>
          <w:tab w:val="left" w:pos="882"/>
        </w:tabs>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экономики и организации производства.</w:t>
      </w:r>
    </w:p>
    <w:p w14:paraId="03ED424D"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Комитет объединяет в своих секциях около 500 ученых г. Ново</w:t>
      </w:r>
      <w:r w:rsidRPr="001E2C69">
        <w:rPr>
          <w:rFonts w:ascii="Times New Roman" w:hAnsi="Times New Roman"/>
          <w:color w:val="000000" w:themeColor="text1"/>
          <w:sz w:val="16"/>
          <w:szCs w:val="16"/>
        </w:rPr>
        <w:softHyphen/>
        <w:t>сибирска. Секции комитета являются организующим звеном в научно- исследовательской работе ученых г. Новосибирска.</w:t>
      </w:r>
    </w:p>
    <w:p w14:paraId="40152970"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Комитет ученых через свои секции ознакомился с планами на</w:t>
      </w:r>
      <w:r w:rsidRPr="001E2C69">
        <w:rPr>
          <w:rFonts w:ascii="Times New Roman" w:hAnsi="Times New Roman"/>
          <w:color w:val="000000" w:themeColor="text1"/>
          <w:sz w:val="16"/>
          <w:szCs w:val="16"/>
        </w:rPr>
        <w:softHyphen/>
        <w:t>учных учреждений города, оценил, насколько эти планы отвечают требованиям обороны и учитывают интересы различных отраслей народ</w:t>
      </w:r>
      <w:r w:rsidRPr="001E2C69">
        <w:rPr>
          <w:rFonts w:ascii="Times New Roman" w:hAnsi="Times New Roman"/>
          <w:color w:val="000000" w:themeColor="text1"/>
          <w:sz w:val="16"/>
          <w:szCs w:val="16"/>
        </w:rPr>
        <w:softHyphen/>
        <w:t>ного хозяйства, выделил из них наиболее актуальные темы оборонно</w:t>
      </w:r>
      <w:r w:rsidRPr="001E2C69">
        <w:rPr>
          <w:rFonts w:ascii="Times New Roman" w:hAnsi="Times New Roman"/>
          <w:color w:val="000000" w:themeColor="text1"/>
          <w:sz w:val="16"/>
          <w:szCs w:val="16"/>
        </w:rPr>
        <w:softHyphen/>
        <w:t>го значения и взял под свой контроль более 80 тем. Кроме того, в мар</w:t>
      </w:r>
      <w:r w:rsidRPr="001E2C69">
        <w:rPr>
          <w:rFonts w:ascii="Times New Roman" w:hAnsi="Times New Roman"/>
          <w:color w:val="000000" w:themeColor="text1"/>
          <w:sz w:val="16"/>
          <w:szCs w:val="16"/>
        </w:rPr>
        <w:softHyphen/>
        <w:t>те 1942 года Комитет ученых обратился с письмом к директорам обо</w:t>
      </w:r>
      <w:r w:rsidRPr="001E2C69">
        <w:rPr>
          <w:rFonts w:ascii="Times New Roman" w:hAnsi="Times New Roman"/>
          <w:color w:val="000000" w:themeColor="text1"/>
          <w:sz w:val="16"/>
          <w:szCs w:val="16"/>
        </w:rPr>
        <w:softHyphen/>
        <w:t>ронных предприятий, в котором просил назвать актуальные темы, в разработке которых должны принять участие ученые города Новоси</w:t>
      </w:r>
      <w:r w:rsidRPr="001E2C69">
        <w:rPr>
          <w:rFonts w:ascii="Times New Roman" w:hAnsi="Times New Roman"/>
          <w:color w:val="000000" w:themeColor="text1"/>
          <w:sz w:val="16"/>
          <w:szCs w:val="16"/>
        </w:rPr>
        <w:softHyphen/>
        <w:t>бирска.</w:t>
      </w:r>
    </w:p>
    <w:p w14:paraId="06E380A3"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ответ на этот запрос комитетом получено от 7 заводов свыше 50 различных тем. Большинство этой тематики распределено среди уче</w:t>
      </w:r>
      <w:r w:rsidRPr="001E2C69">
        <w:rPr>
          <w:rFonts w:ascii="Times New Roman" w:hAnsi="Times New Roman"/>
          <w:color w:val="000000" w:themeColor="text1"/>
          <w:sz w:val="16"/>
          <w:szCs w:val="16"/>
        </w:rPr>
        <w:softHyphen/>
        <w:t>ных города, и выполнение этих работ налажено; часть работ уже выпол</w:t>
      </w:r>
      <w:r w:rsidRPr="001E2C69">
        <w:rPr>
          <w:rFonts w:ascii="Times New Roman" w:hAnsi="Times New Roman"/>
          <w:color w:val="000000" w:themeColor="text1"/>
          <w:sz w:val="16"/>
          <w:szCs w:val="16"/>
        </w:rPr>
        <w:softHyphen/>
        <w:t>нена.</w:t>
      </w:r>
    </w:p>
    <w:p w14:paraId="60CAA39C"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Комитетом ученых совместно с руководящими городскими орга</w:t>
      </w:r>
      <w:r w:rsidRPr="001E2C69">
        <w:rPr>
          <w:rFonts w:ascii="Times New Roman" w:hAnsi="Times New Roman"/>
          <w:color w:val="000000" w:themeColor="text1"/>
          <w:sz w:val="16"/>
          <w:szCs w:val="16"/>
        </w:rPr>
        <w:softHyphen/>
        <w:t>низациями были проведены две общегородские конференции, — стро</w:t>
      </w:r>
      <w:r w:rsidRPr="001E2C69">
        <w:rPr>
          <w:rFonts w:ascii="Times New Roman" w:hAnsi="Times New Roman"/>
          <w:color w:val="000000" w:themeColor="text1"/>
          <w:sz w:val="16"/>
          <w:szCs w:val="16"/>
        </w:rPr>
        <w:softHyphen/>
        <w:t>ителей и стахановцев-тысячников. Комитетом ведется лекционная и технически-пропагандистская работа.</w:t>
      </w:r>
    </w:p>
    <w:p w14:paraId="58F392ED"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оборонной работе, выполненной за это время возглавляемым мною Комитетом технической терминологии АН находящимся в Ка</w:t>
      </w:r>
      <w:r w:rsidRPr="001E2C69">
        <w:rPr>
          <w:rFonts w:ascii="Times New Roman" w:hAnsi="Times New Roman"/>
          <w:color w:val="000000" w:themeColor="text1"/>
          <w:sz w:val="16"/>
          <w:szCs w:val="16"/>
        </w:rPr>
        <w:softHyphen/>
        <w:t>зани, отчет будет представлен самостоятельно моим заместителем по комитету Д.С. Лотте.</w:t>
      </w:r>
    </w:p>
    <w:p w14:paraId="13588696"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Герой Социалистического Труда Академик С.А. Чаплыгин</w:t>
      </w:r>
    </w:p>
    <w:p w14:paraId="462FDEF7" w14:textId="77777777" w:rsidR="00885B41" w:rsidRPr="001E2C69" w:rsidRDefault="00885B4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Филиал РГАНТД. Ф. Р-465. Оп. 3-6. Д.З. Л. 26-29. Автограф (15633).</w:t>
      </w:r>
    </w:p>
    <w:p w14:paraId="35898598" w14:textId="77777777" w:rsidR="00885B41" w:rsidRPr="001E2C69" w:rsidRDefault="00885B41" w:rsidP="00722885">
      <w:pPr>
        <w:pStyle w:val="228"/>
        <w:shd w:val="clear" w:color="auto" w:fill="auto"/>
        <w:spacing w:before="0" w:line="240" w:lineRule="auto"/>
        <w:jc w:val="both"/>
        <w:outlineLvl w:val="9"/>
        <w:rPr>
          <w:color w:val="000000" w:themeColor="text1"/>
          <w:sz w:val="16"/>
          <w:szCs w:val="16"/>
        </w:rPr>
      </w:pPr>
    </w:p>
    <w:p w14:paraId="77D6E637"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0A4ACF8F" w14:textId="77777777" w:rsidR="00AE7191" w:rsidRPr="001E2C69" w:rsidRDefault="00AE7191" w:rsidP="00722885">
      <w:pPr>
        <w:pStyle w:val="Iauiue"/>
        <w:jc w:val="both"/>
        <w:rPr>
          <w:iCs/>
          <w:color w:val="000000" w:themeColor="text1"/>
          <w:sz w:val="16"/>
          <w:szCs w:val="16"/>
        </w:rPr>
      </w:pPr>
    </w:p>
    <w:p w14:paraId="6CD5AD8E"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 августа 1942 г. Письмо заместителя наркома внутренних дел СССР С.Н.Круглова заместителю председателя СНК СССР В.М.Молотову об организации производства технических изделий из заменителей кожи</w:t>
      </w:r>
    </w:p>
    <w:p w14:paraId="5C7016AC"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5322A883"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52/15043</w:t>
      </w:r>
    </w:p>
    <w:p w14:paraId="73A7963C"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Совет Народных Комиссаров Союза ССР товарищу Молотову В.М.</w:t>
      </w:r>
    </w:p>
    <w:p w14:paraId="7F3B642B"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настоящее время основным поставщиком кожтехнических изделий для заводов оборонный промышленности (авиации, танкостроения, артиллерии всех видов, вооружения, боеприпасов и транспорта) является Московская исправительно -трудовая колония № 1 НКВД СССР</w:t>
      </w:r>
    </w:p>
    <w:p w14:paraId="247EC6E0"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Изготовление указанных изделий требует для своего производства остродефицитные кожполуфабрикаты — хромчепрак и краснодубные кожи.</w:t>
      </w:r>
    </w:p>
    <w:p w14:paraId="2EA03F97"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Крайне напряженное положение в стране с кожполуфабрикатами вызывало систематическое недополучение колонией выделяемых ей фондов и, как следствие, приводило к большим перебоям в укомплектовании готовых танков, самолетов, пушек и других видов вооружения.</w:t>
      </w:r>
    </w:p>
    <w:p w14:paraId="54B450E1"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Учитывая имеющиеся трудности с получением кожполуфабрикатов, НКВД приступил к изысканию кожзаменителей для выработки технических изделий.</w:t>
      </w:r>
    </w:p>
    <w:p w14:paraId="248FBD74"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результате проведенной работы Московская колония изготовила небольшую экспериментальную установку по изготовлению манжет из полихлорвиниловых масс, заменяющих кожполуфабрикаты.</w:t>
      </w:r>
    </w:p>
    <w:p w14:paraId="3963CC54"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Образцы технических изделий подвергались испытанию на Московском автозаводе им. Сталина, заводе № 74 Наркомтанкопрома, Московском тормозном заводе НКПС и заводе № 27 Наркомавиапрома, где испытания дали положительные результаты.</w:t>
      </w:r>
    </w:p>
    <w:p w14:paraId="44A28D67"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целях бесперебойного обеспечения военной и гражданской промышленности техническими изделиями, а также сокращения расходов технических кож, НКВД СССР считал бы необходимым организовать в Московской колонии НКВД специальный цех по выработке технических изделий из заменителей кожи.</w:t>
      </w:r>
    </w:p>
    <w:p w14:paraId="2B178EEC"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обеспечения организации этого производства с объемом выпуска в IV квартале с.г. 300 тыс. изделий НКВД СССР просит:</w:t>
      </w:r>
    </w:p>
    <w:p w14:paraId="41D2B9CB"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Обязать Госплан Союза ССР выделить НКВД СССР необходимое оборудование за счет эвакуированного и неиспользуемого, имеющегося в Наркомхимпроме.</w:t>
      </w:r>
    </w:p>
    <w:p w14:paraId="4C2E7437"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Обеспечить выделение всех основных материалов, а также 4-х тонн пластиката.</w:t>
      </w:r>
    </w:p>
    <w:p w14:paraId="2D2D4928"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наркоматы-потребители кожтехизделий обеспечить заказы пресс-формами, изготовленными по чертежам колонии.</w:t>
      </w:r>
    </w:p>
    <w:p w14:paraId="3D5C61F1"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Обязать Наркомлегпром и Наркомхипром проводить в своих институтах разработку рецептов на пластиката для изготовления технических изделий по запросам колонии НКВД.</w:t>
      </w:r>
    </w:p>
    <w:p w14:paraId="1C262F4C"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Проведение указанных мероприятий даст возможность, начиная с октября месяца с.г., приступить к промышленному выпуску технических изделий из заменителей кожи.</w:t>
      </w:r>
    </w:p>
    <w:p w14:paraId="7FF13ACA"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ПРИЛОЖЕНИЕ: проект постановления Совнаркома СССР на 4-х листах*.</w:t>
      </w:r>
    </w:p>
    <w:p w14:paraId="646962D3"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Заместитель народного комиссара внутренних дел Союза ССР</w:t>
      </w:r>
      <w:r w:rsidRPr="008A2E5A">
        <w:rPr>
          <w:rFonts w:ascii="Times New Roman" w:hAnsi="Times New Roman"/>
          <w:color w:val="0070C0"/>
          <w:sz w:val="16"/>
          <w:szCs w:val="16"/>
        </w:rPr>
        <w:tab/>
        <w:t>Круглов</w:t>
      </w:r>
    </w:p>
    <w:p w14:paraId="3A0113D7"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Пометы: Снятие копий без разрешения секретариата НКВД СССР запрещается.</w:t>
      </w:r>
    </w:p>
    <w:p w14:paraId="5662FB1E"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Материал по вопросу: распоряжение замнаркома т. Круглова.</w:t>
      </w:r>
    </w:p>
    <w:p w14:paraId="2E4889D6"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w:t>
      </w:r>
      <w:r w:rsidRPr="0016279C">
        <w:rPr>
          <w:rFonts w:ascii="Times New Roman" w:hAnsi="Times New Roman"/>
          <w:color w:val="0070C0"/>
          <w:sz w:val="16"/>
          <w:szCs w:val="16"/>
          <w:lang w:val="en-US"/>
        </w:rPr>
        <w:t xml:space="preserve"> </w:t>
      </w:r>
      <w:r w:rsidRPr="008A2E5A">
        <w:rPr>
          <w:rFonts w:ascii="Times New Roman" w:hAnsi="Times New Roman"/>
          <w:color w:val="0070C0"/>
          <w:sz w:val="16"/>
          <w:szCs w:val="16"/>
        </w:rPr>
        <w:t>РФ</w:t>
      </w:r>
      <w:r w:rsidRPr="0016279C">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16279C">
        <w:rPr>
          <w:rFonts w:ascii="Times New Roman" w:hAnsi="Times New Roman"/>
          <w:color w:val="0070C0"/>
          <w:sz w:val="16"/>
          <w:szCs w:val="16"/>
          <w:lang w:val="en-US"/>
        </w:rPr>
        <w:t xml:space="preserve">. P-9414. On. 1. </w:t>
      </w:r>
      <w:r w:rsidRPr="008A2E5A">
        <w:rPr>
          <w:rFonts w:ascii="Times New Roman" w:hAnsi="Times New Roman"/>
          <w:color w:val="0070C0"/>
          <w:sz w:val="16"/>
          <w:szCs w:val="16"/>
        </w:rPr>
        <w:t>Д</w:t>
      </w:r>
      <w:r w:rsidRPr="0016279C">
        <w:rPr>
          <w:rFonts w:ascii="Times New Roman" w:hAnsi="Times New Roman"/>
          <w:color w:val="0070C0"/>
          <w:sz w:val="16"/>
          <w:szCs w:val="16"/>
          <w:lang w:val="en-US"/>
        </w:rPr>
        <w:t xml:space="preserve">. 34. </w:t>
      </w:r>
      <w:r w:rsidRPr="008A2E5A">
        <w:rPr>
          <w:rFonts w:ascii="Times New Roman" w:hAnsi="Times New Roman"/>
          <w:color w:val="0070C0"/>
          <w:sz w:val="16"/>
          <w:szCs w:val="16"/>
        </w:rPr>
        <w:t>Л</w:t>
      </w:r>
      <w:r w:rsidRPr="0016279C">
        <w:rPr>
          <w:rFonts w:ascii="Times New Roman" w:hAnsi="Times New Roman"/>
          <w:color w:val="0070C0"/>
          <w:sz w:val="16"/>
          <w:szCs w:val="16"/>
          <w:lang w:val="en-US"/>
        </w:rPr>
        <w:t xml:space="preserve">. 435. </w:t>
      </w:r>
      <w:r w:rsidRPr="008A2E5A">
        <w:rPr>
          <w:rFonts w:ascii="Times New Roman" w:hAnsi="Times New Roman"/>
          <w:color w:val="0070C0"/>
          <w:sz w:val="16"/>
          <w:szCs w:val="16"/>
        </w:rPr>
        <w:t>Копия (23797_.</w:t>
      </w:r>
    </w:p>
    <w:p w14:paraId="2FDCABB6" w14:textId="77777777" w:rsidR="006649D4" w:rsidRPr="008A2E5A" w:rsidRDefault="006649D4" w:rsidP="006649D4">
      <w:pPr>
        <w:spacing w:after="0" w:line="240" w:lineRule="auto"/>
        <w:jc w:val="both"/>
        <w:rPr>
          <w:rFonts w:ascii="Times New Roman" w:hAnsi="Times New Roman"/>
          <w:color w:val="0070C0"/>
          <w:sz w:val="16"/>
          <w:szCs w:val="16"/>
        </w:rPr>
      </w:pPr>
    </w:p>
    <w:p w14:paraId="730952E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 августа 1942 вышло Постановление ГКО № 2225 О создании запасов сырья и топлива на Верх-Исетском металлургическом заводе Наркомэлектропрома на зиму 1942-43 г. РГАНИР, Фонд ГКО, д. 54, лл. 84-86 (11012).</w:t>
      </w:r>
    </w:p>
    <w:p w14:paraId="47BF2DDB"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C4F09CC"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29 августа 1942 года вышел приказ № 647 НКБ</w:t>
      </w:r>
    </w:p>
    <w:p w14:paraId="4F37856A"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В соответствии с распоряжением СНК № 16531рс от 28 августа 1942 года:</w:t>
      </w:r>
    </w:p>
    <w:p w14:paraId="20061717"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Передать завод № 557 в качестве филиала заводу № 70 (5909, 188).</w:t>
      </w:r>
    </w:p>
    <w:p w14:paraId="24B09032" w14:textId="77777777" w:rsidR="00AE7191" w:rsidRPr="001E2C69" w:rsidRDefault="00AE7191" w:rsidP="00722885">
      <w:pPr>
        <w:pStyle w:val="Iauiue"/>
        <w:tabs>
          <w:tab w:val="left" w:pos="11199"/>
        </w:tabs>
        <w:jc w:val="both"/>
        <w:rPr>
          <w:color w:val="000000" w:themeColor="text1"/>
          <w:sz w:val="16"/>
          <w:szCs w:val="16"/>
        </w:rPr>
      </w:pPr>
    </w:p>
    <w:p w14:paraId="2498828A"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29 августа 1942 года вышел приказ № 597с НКБ</w:t>
      </w:r>
    </w:p>
    <w:p w14:paraId="09D4C0B4"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В целях расширения базы по производству 76 мм снарядов:</w:t>
      </w:r>
    </w:p>
    <w:p w14:paraId="41F16154"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Завод № 552 подчинить непосредственно НКБ (5909, 5).</w:t>
      </w:r>
    </w:p>
    <w:p w14:paraId="642FA63C" w14:textId="77777777" w:rsidR="00AE7191" w:rsidRPr="001E2C69" w:rsidRDefault="00AE7191" w:rsidP="00722885">
      <w:pPr>
        <w:pStyle w:val="Iauiue"/>
        <w:tabs>
          <w:tab w:val="left" w:pos="11199"/>
        </w:tabs>
        <w:jc w:val="both"/>
        <w:rPr>
          <w:color w:val="000000" w:themeColor="text1"/>
          <w:sz w:val="16"/>
          <w:szCs w:val="16"/>
        </w:rPr>
      </w:pPr>
    </w:p>
    <w:p w14:paraId="13093A05"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29 августа 1942 вышло Постановление ГКО № 2224 О порядке выдачи премий предприятиям-участникам Всесоюзного социалистического соревнования. (7052, 82-83).</w:t>
      </w:r>
    </w:p>
    <w:p w14:paraId="64038CB5" w14:textId="77777777" w:rsidR="00AE7191" w:rsidRPr="001E2C69" w:rsidRDefault="00AE7191" w:rsidP="00722885">
      <w:pPr>
        <w:pStyle w:val="Iauiue"/>
        <w:tabs>
          <w:tab w:val="left" w:pos="11199"/>
        </w:tabs>
        <w:jc w:val="both"/>
        <w:rPr>
          <w:color w:val="000000" w:themeColor="text1"/>
          <w:sz w:val="16"/>
          <w:szCs w:val="16"/>
        </w:rPr>
      </w:pPr>
    </w:p>
    <w:p w14:paraId="7739F31D"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053086F1" w14:textId="77777777" w:rsidR="00AE7191" w:rsidRPr="001E2C69" w:rsidRDefault="00AE7191" w:rsidP="00722885">
      <w:pPr>
        <w:pStyle w:val="Iauiue"/>
        <w:jc w:val="both"/>
        <w:rPr>
          <w:iCs/>
          <w:color w:val="000000" w:themeColor="text1"/>
          <w:sz w:val="16"/>
          <w:szCs w:val="16"/>
        </w:rPr>
      </w:pPr>
    </w:p>
    <w:p w14:paraId="31B57224"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Style w:val="ucoz-forum-post"/>
          <w:rFonts w:ascii="Times New Roman" w:eastAsia="Times New Roman" w:hAnsi="Times New Roman"/>
          <w:bCs/>
          <w:color w:val="000000" w:themeColor="text1"/>
          <w:sz w:val="16"/>
          <w:szCs w:val="16"/>
        </w:rPr>
        <w:t xml:space="preserve">29 августа </w:t>
      </w:r>
      <w:r w:rsidRPr="001E2C69">
        <w:rPr>
          <w:rFonts w:ascii="Times New Roman" w:hAnsi="Times New Roman"/>
          <w:color w:val="000000" w:themeColor="text1"/>
          <w:sz w:val="16"/>
          <w:szCs w:val="16"/>
        </w:rPr>
        <w:t>в 1942 году утреннее сообщение Совинформбюро:</w:t>
      </w:r>
    </w:p>
    <w:p w14:paraId="18E89776"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29 августа наши войска вели бои с противником на окраинах города Ржева, юго-восточнее Клетская, северо-западнее Сталинграда, северо-восточнее Котельниково, а также в районах Прохладный, Моздок и южнее Краснодара.</w:t>
      </w:r>
    </w:p>
    <w:p w14:paraId="2E074F2D"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других участках фронта никаких изменений не произошло.</w:t>
      </w:r>
    </w:p>
    <w:p w14:paraId="69754BDC"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Нашими кораблями в Баренцевом море потоплено два транспорта противника общим водоизмещением в 12 тыс. тонн.</w:t>
      </w:r>
    </w:p>
    <w:p w14:paraId="53EC20F2"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северо-западнее Сталинграда наши части отбили несколько танковых атак противника и, перейдя в контратаку, потеснили гитлеровцев. В этом бою захвачены у немцев 12 орудий, 24 пулемёта и боеприпасы. На другом участке продолжались ожесточённые бои с танками и мотопехотой противника, прорвавшимися в глубь нашей обороны. В ходе этих боёв немецко-фашистские войска вновь понесли большие потери в живой силе и технике.</w:t>
      </w:r>
    </w:p>
    <w:p w14:paraId="24B8BE94"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бойцы одной нашей части отбили атаку противника. Уничтожено 2 немецких танка и 150 гитлеровцев.</w:t>
      </w:r>
    </w:p>
    <w:p w14:paraId="5E74055C"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Южнее Краснодара наши войска в боях за высоту Н. разгромили 204 полк 97 легкопехотной немецкой дивизии. Подбито 6 танков и уничтожено несколько сот солдат и офицеров противника. На другом участке моряки-миномётчики под командованием тов. Константинова миномётным огнём уничтожили более 100 гитлеровцев. В районе Прохладного продолжались бои, в ходе которых уничтожено 3 немецких танка и до роты пехоты неприятеля.</w:t>
      </w:r>
    </w:p>
    <w:p w14:paraId="23FE9335"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Ленинградского фронта наши подразделения в течение пяти последних дней отражали атаки противника, пытавшегося вернуть потерянные им рубежи. В ходе этих боёв подбито 2 немецких танка, уничтожено 3 орудия, 17 станковых пулемётов и до батальона пехоты противника. Захвачены трофеи и пленные.</w:t>
      </w:r>
    </w:p>
    <w:p w14:paraId="78622A99"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Советская патриотка партизанка Нина Коровко, выполняя боевое задание, около города Невеля была схвачена немецко-фашистскими бандитами. Гитлеровцы, добиваясь сведений о партизанах, подвергли Нину Коровко зверским пыткам, а потом повесили. Славная дочь советской Родины стойко перенесла все пытки и перед смертью заявила фашистским мерзавцам: «Я сегодня умру за Родину, но завтра вы все будете уничтожены. Да здравствуют партизаны!»</w:t>
      </w:r>
    </w:p>
    <w:p w14:paraId="69092152"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Партизанские отряды, действующие на Северном Кавказе в тылу противника, наносят большой урон немецко-фашистским захватчикам. Партизаны с каждым днём всё более успешно действуют по коммуникациям противника. Для борьбы с одним партизанским отрядом немцы бросили румынский полк. Потеряв в боях с партизанами до 400 солдат и офицеров, румынские вояки отступили. Партизаны захватили оружие и военное имущество.</w:t>
      </w:r>
    </w:p>
    <w:p w14:paraId="1E503CCE"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 убитого на Ленинградском фронте солдата 209 немецкого пехотного полка Вилли Штрауха найдено письмо от его жены из города Кенигсберга. В письме говорится: «Ты,наверное, уже слышал, что наш город подвергся воздушному налёту русских. Что здесь было, я тебе даже рассказать не могу. Во всяком случае, творились ужасные вещи. Через несколько дней русские сделали второй налёт. Мои нервы совсем испортились. Сейчас я лежу в постели, но что мы будем делать, если они прилетят ещё раз?»</w:t>
      </w:r>
    </w:p>
    <w:p w14:paraId="0739618A"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улицах городов Германии всё чаще появляются антифашистские лозунги. На одной из улиц города Дюссельдорфа ночью краской на стене дома было написано: «Долой Гитлера». На дверях предприятия «Рейнметалл» неизвестные сделали надпись: «Мы хотим мира, поэтому мы работаем медленно. Смерть Гитлеру, конец войне!» Гестапо производит многочисленные аресты.» (14753).</w:t>
      </w:r>
    </w:p>
    <w:p w14:paraId="3F5F8F2C" w14:textId="77777777" w:rsidR="00103465" w:rsidRPr="001E2C69" w:rsidRDefault="00103465" w:rsidP="00722885">
      <w:pPr>
        <w:spacing w:after="0" w:line="240" w:lineRule="auto"/>
        <w:jc w:val="both"/>
        <w:rPr>
          <w:rFonts w:ascii="Times New Roman" w:hAnsi="Times New Roman"/>
          <w:color w:val="000000" w:themeColor="text1"/>
          <w:sz w:val="16"/>
          <w:szCs w:val="16"/>
        </w:rPr>
      </w:pPr>
    </w:p>
    <w:p w14:paraId="500472FC"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Style w:val="ucoz-forum-post"/>
          <w:rFonts w:ascii="Times New Roman" w:eastAsia="Times New Roman" w:hAnsi="Times New Roman"/>
          <w:bCs/>
          <w:color w:val="000000" w:themeColor="text1"/>
          <w:sz w:val="16"/>
          <w:szCs w:val="16"/>
        </w:rPr>
        <w:t xml:space="preserve">29 августа </w:t>
      </w:r>
      <w:r w:rsidRPr="001E2C69">
        <w:rPr>
          <w:rFonts w:ascii="Times New Roman" w:hAnsi="Times New Roman"/>
          <w:color w:val="000000" w:themeColor="text1"/>
          <w:sz w:val="16"/>
          <w:szCs w:val="16"/>
        </w:rPr>
        <w:t>в 1942 году вечернее сообщение Совинформбюро:</w:t>
      </w:r>
    </w:p>
    <w:p w14:paraId="55BC0BE1"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29 августа на фронтах существенных изменений не произошло.</w:t>
      </w:r>
    </w:p>
    <w:p w14:paraId="2A20AAE1"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28 августа частями нашей авиации на различных участках фронта уничтожено или повреждено до 20 немецких танков и бронемашин, более 100 автомашин с войсками и грузами, подавлен огонь 8 батарей полевой и зенитной артиллерии, взорвано 3 склада боеприпасов и 2 склада горючего, разбито два железнодорожных эшелона, рассеяно и частью уничтожено до полутора батальонов пехоты противника.</w:t>
      </w:r>
    </w:p>
    <w:p w14:paraId="4248420B"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Калининском фронте Н-ское соединение, преодолев упорное сопротивление немцев, форсировало один водный рубеж и, отражая контратаки противника, продвигалось вперёд. В течение дня нашими бойцами уничтожено 7 танков и до 800 немецких солдат и офицеров. Захвачены 22 орудия, 12 пулемётов и другие трофеи.</w:t>
      </w:r>
    </w:p>
    <w:p w14:paraId="691A84B3"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северо-западнее Сталинграда продолжались ожесточённые бои. Противник, не считаясь с огромными потерями, атакует наши позиции. Советские войска сдерживают напор врага и наносят ему контрудары. Н-ское танковое подразделение, отбивая атаки гитлеровцев, уничтожило 4 танка и более 200 немецких солдат и офицеров. На другом участке неприятель предпринял наступление, бросив в бой большое количество танков и автоматчиков. Наши бойцы, отразив пять атак противника, уничтожили 13 немецких танков, 10 автомашин, 3 орудия и роту пехоты.</w:t>
      </w:r>
    </w:p>
    <w:p w14:paraId="3961A5AA"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Наше соединение в районе Клетской нанесло поражение 2 пехотной итальянской дивизии. Нашими бойцами захвачено 550 пленных, 8 орудий, 63 пулемёта, 34 миномёта, 650 тысяч патронов, 698 ящиков с минами, 15 грузовых автомашин, 3 радиостанции и другое военное имущество. В бою с противником гвардии красноармеец тов. Репнин из противотанкового ружья подбил 4 танка и гвардии сержант Буланов уничтожил 3 танка противника.</w:t>
      </w:r>
    </w:p>
    <w:p w14:paraId="721D2E0A"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наши войска продолжали вести боис противником. Бойцы части, где командиром тов. Толбухин, подбили 12 немецких танков и уничтожили до двух рот пехоты противника. В бою с врагом отличились расчёты бронебойщиков сержанта Рыбника и старшего сержанта Забродина, уничтожившие по три немецких танка. Политрук Бачурин прямой наводкой из орудия уничтожил 4 немецких танка. Ружейно-пулемётным огнём наши бойцы сбили 5 немецких самолётов.</w:t>
      </w:r>
    </w:p>
    <w:p w14:paraId="647C3A2E"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южнее Краснодара наши войска веля оборонительные бои. Н-ская часть отбила две атаки немцев. На поле боя противник оставил 5 сгоревших танков и большое количество трупов солдат и офицеров.</w:t>
      </w:r>
    </w:p>
    <w:p w14:paraId="0CD0DCFE"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Моздока наши части вели бои с танками и мотопехотой противника. Отбита попытка гитлеровцев переправиться через водный рубеж.</w:t>
      </w:r>
    </w:p>
    <w:p w14:paraId="43BAAD6D"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Группа смоленских партизан подорвала воинский поезд противника. В результате крушения разбито 6 платформ с танками, 16 платформ с автомашинами и 4 вагона с солдатами.</w:t>
      </w:r>
    </w:p>
    <w:p w14:paraId="6B9C0E6E"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разгроме немецкой части под Ржевом среди прочих документов была найдена «карточка численности боевого состава 2 батальона 53 мотополка». В этом документе указывается, что в батальоне на 10 августа было 760 человек, в том числе 28 офицеров и 143 унтер-офицера. К 18 августа батальон потерял убитыми 18 офицеров, 81 унтер-офицера и 471 рядового, всего 570 человек.</w:t>
      </w:r>
    </w:p>
    <w:p w14:paraId="5CE27803"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разведывательной кавалерийской роты, приданной 17 пехотному полку 9 венгерской дивизии, Ласло Фита рассказал: «Наша рота была направлена на борьбу с партизанами в район Курска. Однако партизаны были неуловимы. Они наносили нам удары и внезапно исчезали. Оказавшись бессильным в борьбе против партизан, командир роты барон Кароль Балинти приступил к расправе с местным населением. По его приказу солдаты арестовали и до смерти замучили шесть русских женщин. Было сожжено несколько деревень. В начале июля командир роты объявил партизанами двух крестьян и из пистолета несколько раз выстрелил в них. Крестьяне были еще живы, но по приказу барона их зарыли в могилу».</w:t>
      </w:r>
    </w:p>
    <w:p w14:paraId="7722F436"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Жители ныне освобождённой от немецких захватчиков деревни Никольское, Калининской области, Стулова Н.Ф., Иванова Д.Н. и Беляева М.И. рассказали о кровавых преступлениях фашистских бандитов. «В нашем селе,— сообщили они,—немецкие солдаты и офицеры отняли у населения все вещи и продукты. За время оккупации десятки женщин, детей и стариков умерли от голода. Многих колхозников немцы замучили, повесили и расстреляли. Только за время с 7 июля по 5 августа гитлеровские разбойники убили 300 мирных советских граждан».</w:t>
      </w:r>
    </w:p>
    <w:p w14:paraId="12FFB5C1"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Работающим на заводах Фринкеля (Берлин) иностранным рабочим в течение дня выдаётся кусок хлеба и пол-литра супа, сваренного из неочищенной гнилой картошки. За эту бурду они обязаны работать по 16 часов в сутки. Недавно рабочие объявили забастовку. Прибывший на завод отряд гестаповцев увёз группу рабочих, о которых с тех пор нет никаких известий.» (15753).</w:t>
      </w:r>
    </w:p>
    <w:p w14:paraId="76EC6395" w14:textId="77777777" w:rsidR="00103465" w:rsidRPr="001E2C69" w:rsidRDefault="00103465" w:rsidP="00722885">
      <w:pPr>
        <w:spacing w:after="0" w:line="240" w:lineRule="auto"/>
        <w:jc w:val="both"/>
        <w:rPr>
          <w:rFonts w:ascii="Times New Roman" w:hAnsi="Times New Roman"/>
          <w:color w:val="000000" w:themeColor="text1"/>
          <w:sz w:val="16"/>
          <w:szCs w:val="16"/>
        </w:rPr>
      </w:pPr>
    </w:p>
    <w:p w14:paraId="65B54D5A" w14:textId="77777777" w:rsidR="00DE48C2" w:rsidRPr="001E2C69" w:rsidRDefault="00DE48C2"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 августа 1942. Экипаж Пономаренко, Лебедев. Цель-бомбардирование города Берлин. Сброшено 2 ФАБ-1000тга. Время взлета 18.47, время бомбометания 01.08-01.16, время посадки 05.55. Отчет- Н=7500 м. В сев. вост. части города (предположительно), точно установить разрывы и прицельность невозможно ввиду большого к-ва прожекторов. В результате бомбометания возникло два пожара в сев. вост. части города.</w:t>
      </w:r>
    </w:p>
    <w:p w14:paraId="77656A35" w14:textId="77777777" w:rsidR="00DE48C2" w:rsidRPr="001E2C69" w:rsidRDefault="00DE48C2" w:rsidP="00722885">
      <w:pPr>
        <w:pStyle w:val="319"/>
        <w:shd w:val="clear" w:color="auto" w:fill="auto"/>
        <w:spacing w:after="0"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В отчете о боевой работе 45 АД ДД, куда входил 746 АП ДД, за август 1942 года было написано:</w:t>
      </w:r>
    </w:p>
    <w:p w14:paraId="08A85E68" w14:textId="77777777" w:rsidR="00DE48C2" w:rsidRPr="001E2C69" w:rsidRDefault="00DE48C2" w:rsidP="00722885">
      <w:pPr>
        <w:pStyle w:val="109"/>
        <w:shd w:val="clear" w:color="auto" w:fill="auto"/>
        <w:spacing w:line="240" w:lineRule="auto"/>
        <w:jc w:val="both"/>
        <w:rPr>
          <w:color w:val="000000" w:themeColor="text1"/>
          <w:sz w:val="16"/>
          <w:szCs w:val="16"/>
        </w:rPr>
      </w:pPr>
      <w:r w:rsidRPr="001E2C69">
        <w:rPr>
          <w:color w:val="000000" w:themeColor="text1"/>
          <w:sz w:val="16"/>
          <w:szCs w:val="16"/>
        </w:rPr>
        <w:t>Опыт полетов кораблей ТБ-7 № 015 и 028 показал, что на высотах более 500 метров самолеты с черной окраской нижней части плоскостей и фюзеляжа не обнаруживаются противником при освещении прожекторами. Целесообразно ввести такую окраску для ночных бомбардировщиков. (Корабли дивизии перекрашиваются).</w:t>
      </w:r>
    </w:p>
    <w:p w14:paraId="3E3A65AB" w14:textId="77777777" w:rsidR="00DE48C2" w:rsidRPr="001E2C69" w:rsidRDefault="00DE48C2" w:rsidP="00722885">
      <w:pPr>
        <w:pStyle w:val="319"/>
        <w:shd w:val="clear" w:color="auto" w:fill="auto"/>
        <w:spacing w:after="0" w:line="240" w:lineRule="auto"/>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Следовательно, примерно в этом месяце у самолета № 42015 нижние поверхности были окрашены черной смываемой матовой краской МК (19105).</w:t>
      </w:r>
    </w:p>
    <w:p w14:paraId="615B1933" w14:textId="77777777" w:rsidR="00DE48C2" w:rsidRPr="001E2C69" w:rsidRDefault="00DE48C2" w:rsidP="00722885">
      <w:pPr>
        <w:pStyle w:val="109"/>
        <w:shd w:val="clear" w:color="auto" w:fill="auto"/>
        <w:spacing w:line="240" w:lineRule="auto"/>
        <w:jc w:val="both"/>
        <w:rPr>
          <w:color w:val="000000" w:themeColor="text1"/>
          <w:sz w:val="16"/>
          <w:szCs w:val="16"/>
        </w:rPr>
      </w:pPr>
    </w:p>
    <w:p w14:paraId="7EE2AFB0"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Style w:val="ucoz-forum-post"/>
          <w:rFonts w:ascii="Times New Roman" w:eastAsia="Times New Roman" w:hAnsi="Times New Roman"/>
          <w:bCs/>
          <w:color w:val="000000" w:themeColor="text1"/>
          <w:sz w:val="16"/>
          <w:szCs w:val="16"/>
        </w:rPr>
        <w:t xml:space="preserve">29 августа </w:t>
      </w:r>
      <w:r w:rsidRPr="001E2C69">
        <w:rPr>
          <w:rFonts w:ascii="Times New Roman" w:hAnsi="Times New Roman"/>
          <w:color w:val="000000" w:themeColor="text1"/>
          <w:sz w:val="16"/>
          <w:szCs w:val="16"/>
        </w:rPr>
        <w:t>в 1942 году штаб 29-й стрелковой дивизии 64-й армии Сталинградского фронта был окружён прорвавшимися танками противника, части дивизии, потеряв управление, в панике отходили в тыл. Заградотряд под командованием лейтенанта госбезопасности Филатова, приняв решительные меры, остановил отходящих в беспорядке военнослужащих и возвратил их на ранее занимаемые рубежи обороны. На другом участке этой дивизии противник пытался прорваться вглубь обороны. Заградотряд вступил в бой и задержал продвижение врага (14753).</w:t>
      </w:r>
    </w:p>
    <w:p w14:paraId="597ADDEF" w14:textId="77777777" w:rsidR="00103465" w:rsidRPr="001E2C69" w:rsidRDefault="00103465" w:rsidP="00722885">
      <w:pPr>
        <w:spacing w:after="0" w:line="240" w:lineRule="auto"/>
        <w:jc w:val="both"/>
        <w:rPr>
          <w:rFonts w:ascii="Times New Roman" w:hAnsi="Times New Roman"/>
          <w:color w:val="000000" w:themeColor="text1"/>
          <w:sz w:val="16"/>
          <w:szCs w:val="16"/>
        </w:rPr>
      </w:pPr>
    </w:p>
    <w:p w14:paraId="59A10259"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Style w:val="ucoz-forum-post"/>
          <w:rFonts w:ascii="Times New Roman" w:eastAsia="Times New Roman" w:hAnsi="Times New Roman"/>
          <w:bCs/>
          <w:color w:val="000000" w:themeColor="text1"/>
          <w:sz w:val="16"/>
          <w:szCs w:val="16"/>
        </w:rPr>
        <w:t xml:space="preserve">29 августа </w:t>
      </w:r>
      <w:r w:rsidRPr="001E2C69">
        <w:rPr>
          <w:rFonts w:ascii="Times New Roman" w:hAnsi="Times New Roman"/>
          <w:color w:val="000000" w:themeColor="text1"/>
          <w:sz w:val="16"/>
          <w:szCs w:val="16"/>
        </w:rPr>
        <w:t>в 1942 году начальник военных сообщений группы армий "Центр" докладывает: "Общее положение железнодорожного сообщения в тылу группы армий "Центр" между Брестом и фронтом внушает все большие опасения ввиду нападений партизан. Следствием этого является явное уменьшение пропускной способности на значительной части железной дороги. Если до сих пор это не сказывалось непосредственно на общем снабжении фронта, так как полное и безоговорочное использование всех возможностей позволяло создать некоторый баланс, теперь же это стало недостаточным" (14753).</w:t>
      </w:r>
    </w:p>
    <w:p w14:paraId="10E3F916" w14:textId="77777777" w:rsidR="00103465" w:rsidRPr="001E2C69" w:rsidRDefault="00103465" w:rsidP="00722885">
      <w:pPr>
        <w:spacing w:after="0" w:line="240" w:lineRule="auto"/>
        <w:jc w:val="both"/>
        <w:rPr>
          <w:rFonts w:ascii="Times New Roman" w:hAnsi="Times New Roman"/>
          <w:color w:val="000000" w:themeColor="text1"/>
          <w:sz w:val="16"/>
          <w:szCs w:val="16"/>
        </w:rPr>
      </w:pPr>
    </w:p>
    <w:p w14:paraId="14D771EC"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29 августа 1942 создан Совет по руководству партизанскими отрядами Донбасса (4962).</w:t>
      </w:r>
    </w:p>
    <w:p w14:paraId="283A35AA" w14:textId="77777777" w:rsidR="00AE7191" w:rsidRPr="001E2C69" w:rsidRDefault="00AE7191" w:rsidP="00722885">
      <w:pPr>
        <w:pStyle w:val="Iauiue"/>
        <w:tabs>
          <w:tab w:val="left" w:pos="11199"/>
        </w:tabs>
        <w:jc w:val="both"/>
        <w:rPr>
          <w:color w:val="000000" w:themeColor="text1"/>
          <w:sz w:val="16"/>
          <w:szCs w:val="16"/>
        </w:rPr>
      </w:pPr>
    </w:p>
    <w:p w14:paraId="5C2986CF"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40259B0D" w14:textId="77777777" w:rsidR="00AE7191" w:rsidRPr="001E2C69" w:rsidRDefault="00AE7191" w:rsidP="00722885">
      <w:pPr>
        <w:pStyle w:val="Iauiue"/>
        <w:jc w:val="both"/>
        <w:rPr>
          <w:iCs/>
          <w:color w:val="000000" w:themeColor="text1"/>
          <w:sz w:val="16"/>
          <w:szCs w:val="16"/>
        </w:rPr>
      </w:pPr>
    </w:p>
    <w:p w14:paraId="6EED193E" w14:textId="77777777" w:rsidR="00182A0D" w:rsidRPr="001E2C69" w:rsidRDefault="00182A0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 августа 1942, управляя Spitfire Mark V, специально модифицированным для полетов на больших высотах, пилот Королевских ВВС Джордж Гендерс перехватывает немецкий высотный разведывательный самолет Junkers Ju 86P над Египтом и повреждает его, прежде чем его оружие заклинило. На обратном пути к своей базе на Крите он падает в Средиземное море, дав союзникам первую победу над Ju 86P, летящим на большой высоте (20793).</w:t>
      </w:r>
    </w:p>
    <w:p w14:paraId="18EE614D" w14:textId="77777777" w:rsidR="00182A0D" w:rsidRPr="001E2C69" w:rsidRDefault="00182A0D" w:rsidP="00722885">
      <w:pPr>
        <w:spacing w:after="0" w:line="240" w:lineRule="auto"/>
        <w:jc w:val="both"/>
        <w:rPr>
          <w:rFonts w:ascii="Times New Roman" w:hAnsi="Times New Roman"/>
          <w:color w:val="000000" w:themeColor="text1"/>
          <w:sz w:val="16"/>
          <w:szCs w:val="16"/>
        </w:rPr>
      </w:pPr>
    </w:p>
    <w:p w14:paraId="7DBA121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29 августа 1942 в Колумбусе, Миссисипи оператор контрольной вышки видел 2 красноватых объекта, зависших над полем (3712).</w:t>
      </w:r>
    </w:p>
    <w:p w14:paraId="66560547" w14:textId="77777777" w:rsidR="00AE7191" w:rsidRPr="001E2C69" w:rsidRDefault="00AE7191" w:rsidP="00722885">
      <w:pPr>
        <w:pStyle w:val="Iauiue"/>
        <w:jc w:val="both"/>
        <w:rPr>
          <w:color w:val="000000" w:themeColor="text1"/>
          <w:sz w:val="16"/>
          <w:szCs w:val="16"/>
        </w:rPr>
      </w:pPr>
    </w:p>
    <w:p w14:paraId="0D1562B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 августа 1942 г. над авиабазой в Колумбусе (штат Миссисипи) пролетели два круглых красноватых объекта. А еще раньше, 25 февраля того же года, в небе над Лос-Анджелесом наблюдались неопознанные объекты, летевшие очень медленно. На следующий же день президенту США был представлен меморандум, в котором сообщалось "...о воздушной тревоге над Лос-Анджелесом, объявленной вчера утром. По данным, имеющимся на настоящий момент:</w:t>
      </w:r>
    </w:p>
    <w:p w14:paraId="0878CBD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Не принадлежащие американской армии или ВМФ неопознанные самолеты появились над Лос-Анджелесом и были обстреляны подразделениями 37-й зенитной бригады между 3 час. 12 мин. и 4 час. 15 мин. Подразделения выпустили 1430 снарядов (11620).</w:t>
      </w:r>
    </w:p>
    <w:p w14:paraId="1D31BEC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В этом инциденте участвовало около 15 самолетов, летевших, по официальным данным, на различных скоростях от "очень медленно" до 360 км/ч на высотах от 9000 до 18 000 футов (от 2700 до 5500 м).</w:t>
      </w:r>
    </w:p>
    <w:p w14:paraId="18704B1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Не было сброшено ни одной бомбы.</w:t>
      </w:r>
    </w:p>
    <w:p w14:paraId="26FE25D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Среди наших войск потерь нет.</w:t>
      </w:r>
    </w:p>
    <w:p w14:paraId="7EFEC3E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Ни один из самолетов сбит не был.</w:t>
      </w:r>
    </w:p>
    <w:p w14:paraId="0EAE7F7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Ни один из самолетов армии или ВМС в воздух не поднимался. Расследование продолжается. Представляется справедливым сделать вывод о принадлежности неопознанных самолетов, если это были они, к торговому воздушному флоту и об использовании их врагом с целью посеять беспокойство, а также выявить расположение частей противовоздушной обороны в результате их демаскировки. Этот вывод подтверждается различными скоростями полета аппаратов и отсутствием сброшенных бомб" (11620).</w:t>
      </w:r>
    </w:p>
    <w:p w14:paraId="575CA629"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85F5A00"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1D0C6315" w14:textId="77777777" w:rsidR="00AE7191" w:rsidRPr="001E2C69" w:rsidRDefault="00AE7191" w:rsidP="00722885">
      <w:pPr>
        <w:pStyle w:val="Iauiue"/>
        <w:jc w:val="both"/>
        <w:rPr>
          <w:iCs/>
          <w:color w:val="000000" w:themeColor="text1"/>
          <w:sz w:val="16"/>
          <w:szCs w:val="16"/>
        </w:rPr>
      </w:pPr>
    </w:p>
    <w:p w14:paraId="7F41CF2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30 августа 1942 Нач. ГУ заказов и техснабжения ВВС Селезнев и Воен. комиссар ГУЗ и ТС ВВС Шапиловым писали А.И.Ш. письмо:</w:t>
      </w:r>
    </w:p>
    <w:p w14:paraId="1AB40F2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"Заводами НКАП самолеты Ил-2 комплектуются кассетами для мелких бомб из расчета: 1 комплект кассет на 3 самолета Ил-2</w:t>
      </w:r>
    </w:p>
    <w:p w14:paraId="08B6809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целях материального обеспечения выполнения приказа НКО N 0490 от 17 июня 1942 о значительном увеличении бомбардировочных дневных ударов по противнику, прошу указание заводам, выпускающим Ил-2, с 15 августа с.г. устанавливать на каждый самолет комплект кассет для мелких бомб (1632,132).</w:t>
      </w:r>
    </w:p>
    <w:p w14:paraId="5C6F315C" w14:textId="77777777" w:rsidR="00AE7191" w:rsidRPr="001E2C69" w:rsidRDefault="00AE7191" w:rsidP="00722885">
      <w:pPr>
        <w:pStyle w:val="Iauiue"/>
        <w:jc w:val="both"/>
        <w:rPr>
          <w:color w:val="000000" w:themeColor="text1"/>
          <w:sz w:val="16"/>
          <w:szCs w:val="16"/>
        </w:rPr>
      </w:pPr>
    </w:p>
    <w:p w14:paraId="30C58BD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 августа 1942 вышло Постановление ГКО № 2230 О графике выпуска самолетов и моторов в сентябре месяце 1942 года. РГАНИР, Фонд ГКО, д. 54, лл. 94, 95-97 (11012).</w:t>
      </w:r>
    </w:p>
    <w:p w14:paraId="25925C6C"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AF0603D"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72A90F86" w14:textId="77777777" w:rsidR="00AE7191" w:rsidRPr="001E2C69" w:rsidRDefault="00AE7191" w:rsidP="00722885">
      <w:pPr>
        <w:pStyle w:val="Iauiue"/>
        <w:jc w:val="both"/>
        <w:rPr>
          <w:iCs/>
          <w:color w:val="000000" w:themeColor="text1"/>
          <w:sz w:val="16"/>
          <w:szCs w:val="16"/>
        </w:rPr>
      </w:pPr>
    </w:p>
    <w:p w14:paraId="5AC5823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 августа 1942 командующий 5-й гв. ТА П. Ротмистров в письме Г. Жукову писапл: «Танки Т-70 просто нельзя стало допускать к танковому бою, так как они более чем легко уничтожаются огнем немецких танков», однако, по окончании Курской битвы, стали появляться и иные точки зрения: «Танк Т-70 ввиду своей высо</w:t>
      </w:r>
      <w:r w:rsidRPr="001E2C69">
        <w:rPr>
          <w:rFonts w:ascii="Times New Roman" w:hAnsi="Times New Roman"/>
          <w:color w:val="000000" w:themeColor="text1"/>
          <w:sz w:val="16"/>
          <w:szCs w:val="16"/>
        </w:rPr>
        <w:softHyphen/>
        <w:t>кой подвижности как нельзя лучше соот</w:t>
      </w:r>
      <w:r w:rsidRPr="001E2C69">
        <w:rPr>
          <w:rFonts w:ascii="Times New Roman" w:hAnsi="Times New Roman"/>
          <w:color w:val="000000" w:themeColor="text1"/>
          <w:sz w:val="16"/>
          <w:szCs w:val="16"/>
        </w:rPr>
        <w:softHyphen/>
        <w:t>ветствует задаче преследования отступа</w:t>
      </w:r>
      <w:r w:rsidRPr="001E2C69">
        <w:rPr>
          <w:rFonts w:ascii="Times New Roman" w:hAnsi="Times New Roman"/>
          <w:color w:val="000000" w:themeColor="text1"/>
          <w:sz w:val="16"/>
          <w:szCs w:val="16"/>
        </w:rPr>
        <w:softHyphen/>
        <w:t>ющего противника...В отличие от Т-34 и КВ танк указанно</w:t>
      </w:r>
      <w:r w:rsidRPr="001E2C69">
        <w:rPr>
          <w:rFonts w:ascii="Times New Roman" w:hAnsi="Times New Roman"/>
          <w:color w:val="000000" w:themeColor="text1"/>
          <w:sz w:val="16"/>
          <w:szCs w:val="16"/>
        </w:rPr>
        <w:softHyphen/>
        <w:t>го типа обладает малой шумностью (звук танка не превышает звука автомобиля) даже в движении на самых высоких оборо</w:t>
      </w:r>
      <w:r w:rsidRPr="001E2C69">
        <w:rPr>
          <w:rFonts w:ascii="Times New Roman" w:hAnsi="Times New Roman"/>
          <w:color w:val="000000" w:themeColor="text1"/>
          <w:sz w:val="16"/>
          <w:szCs w:val="16"/>
        </w:rPr>
        <w:softHyphen/>
        <w:t>тах, что вкупе с малыми размерами само</w:t>
      </w:r>
      <w:r w:rsidRPr="001E2C69">
        <w:rPr>
          <w:rFonts w:ascii="Times New Roman" w:hAnsi="Times New Roman"/>
          <w:color w:val="000000" w:themeColor="text1"/>
          <w:sz w:val="16"/>
          <w:szCs w:val="16"/>
        </w:rPr>
        <w:softHyphen/>
        <w:t>го танка позволяет подразделениям на Т-70 подбираться практически вплотную к противнику, не вызывая у него прежде</w:t>
      </w:r>
      <w:r w:rsidRPr="001E2C69">
        <w:rPr>
          <w:rFonts w:ascii="Times New Roman" w:hAnsi="Times New Roman"/>
          <w:color w:val="000000" w:themeColor="text1"/>
          <w:sz w:val="16"/>
          <w:szCs w:val="16"/>
        </w:rPr>
        <w:softHyphen/>
        <w:t>временной паники... Если немецкие артил</w:t>
      </w:r>
      <w:r w:rsidRPr="001E2C69">
        <w:rPr>
          <w:rFonts w:ascii="Times New Roman" w:hAnsi="Times New Roman"/>
          <w:color w:val="000000" w:themeColor="text1"/>
          <w:sz w:val="16"/>
          <w:szCs w:val="16"/>
        </w:rPr>
        <w:softHyphen/>
        <w:t>леристы могут вести огонь по танку Т-34 с расстояния 800-1200 м, то малые разме</w:t>
      </w:r>
      <w:r w:rsidRPr="001E2C69">
        <w:rPr>
          <w:rFonts w:ascii="Times New Roman" w:hAnsi="Times New Roman"/>
          <w:color w:val="000000" w:themeColor="text1"/>
          <w:sz w:val="16"/>
          <w:szCs w:val="16"/>
        </w:rPr>
        <w:softHyphen/>
        <w:t>ры Т-70 на местности снижают эту дис</w:t>
      </w:r>
      <w:r w:rsidRPr="001E2C69">
        <w:rPr>
          <w:rFonts w:ascii="Times New Roman" w:hAnsi="Times New Roman"/>
          <w:color w:val="000000" w:themeColor="text1"/>
          <w:sz w:val="16"/>
          <w:szCs w:val="16"/>
        </w:rPr>
        <w:softHyphen/>
        <w:t>танцию до 500-600м. Малый вес танка об</w:t>
      </w:r>
      <w:r w:rsidRPr="001E2C69">
        <w:rPr>
          <w:rFonts w:ascii="Times New Roman" w:hAnsi="Times New Roman"/>
          <w:color w:val="000000" w:themeColor="text1"/>
          <w:sz w:val="16"/>
          <w:szCs w:val="16"/>
        </w:rPr>
        <w:softHyphen/>
        <w:t>легчает его транспортирование как к ли</w:t>
      </w:r>
      <w:r w:rsidRPr="001E2C69">
        <w:rPr>
          <w:rFonts w:ascii="Times New Roman" w:hAnsi="Times New Roman"/>
          <w:color w:val="000000" w:themeColor="text1"/>
          <w:sz w:val="16"/>
          <w:szCs w:val="16"/>
        </w:rPr>
        <w:softHyphen/>
        <w:t>нии фронта, так и во время эвакуации под</w:t>
      </w:r>
      <w:r w:rsidRPr="001E2C69">
        <w:rPr>
          <w:rFonts w:ascii="Times New Roman" w:hAnsi="Times New Roman"/>
          <w:color w:val="000000" w:themeColor="text1"/>
          <w:sz w:val="16"/>
          <w:szCs w:val="16"/>
        </w:rPr>
        <w:softHyphen/>
        <w:t>битых танков в тыл. Танки Т-70 проще в освоении и управлении малоподготовлен</w:t>
      </w:r>
      <w:r w:rsidRPr="001E2C69">
        <w:rPr>
          <w:rFonts w:ascii="Times New Roman" w:hAnsi="Times New Roman"/>
          <w:color w:val="000000" w:themeColor="text1"/>
          <w:sz w:val="16"/>
          <w:szCs w:val="16"/>
        </w:rPr>
        <w:softHyphen/>
        <w:t>ными водителями, подлежат ремонту в полевых условиях...Все имеющиеся случаи больших потерь подразделений танков Т-70 объясняются большей частью неграмотным применени</w:t>
      </w:r>
      <w:r w:rsidRPr="001E2C69">
        <w:rPr>
          <w:rFonts w:ascii="Times New Roman" w:hAnsi="Times New Roman"/>
          <w:color w:val="000000" w:themeColor="text1"/>
          <w:sz w:val="16"/>
          <w:szCs w:val="16"/>
        </w:rPr>
        <w:softHyphen/>
        <w:t>ем, но не конструктивными недостатками самого танка (11084).</w:t>
      </w:r>
    </w:p>
    <w:p w14:paraId="662044A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7EF7877F" w14:textId="77777777" w:rsidR="001D50A3" w:rsidRPr="001E2C69" w:rsidRDefault="001D50A3" w:rsidP="00722885">
      <w:pPr>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lastRenderedPageBreak/>
        <w:t>С 30 августа по 5 сентября 1942 года в Кубинке проходили испытания по сокращенной программе танка Черчиль с WD-номером T.31221R. Параллельно с ходовыми были проведены и испытания вооружения. После них танк вернулся в Горьковский учебный центр и оказался в составе 47-го гвардейского тяжелого танкового полка.</w:t>
      </w:r>
    </w:p>
    <w:p w14:paraId="79160D7E" w14:textId="77777777" w:rsidR="001D50A3" w:rsidRPr="001E2C69" w:rsidRDefault="001D50A3"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К моменту начала испытаний танк уже активно эксплуатировался. Он прибыл из Горьковского учебного центра, где прошел более 200 километров. Поскольку было известно, что в дальнейшем танку предстоит боевая служба, объем ходовых испытаний было решено урезать до минимума. Всего он прошел 97 километров по шоссе и 87 километров по проселку, включая небольшой участок местности для проведения испытаний по преодолению подъемов. На танке использовался отечественный бензин Б-70, в который для увеличения октанового числа добавили авиационную присадку Р-9. Согласно английским документам, рекомендовалось использовать бензин с октановым числом не менее 75.</w:t>
      </w:r>
    </w:p>
    <w:p w14:paraId="5E108C70" w14:textId="77777777" w:rsidR="001D50A3" w:rsidRPr="001E2C69" w:rsidRDefault="001D50A3"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Больших сюрпризов в ходе испытаний на шоссе танк не преподнес. Было очевидно, что тяжелая машина, созданная в качестве средства сопровождения пехоты, не может ездить очень быстро. Тем не менее, на мерном участке машина развила максимальную скорость 28 км/ч, что для подобного танка вполне приемлемо. Больше того, танк развил скорость, которая на 4 км/ч превышала паспортную! Не менее интересно то, что средняя скорость по шоссе составила 25,4 км/ч, что было сравнимо со средней скоростью по шоссе советского тяжелого танка КВ-1. Другими словами, в реальности английский танк был не таким уж и медленным.</w:t>
      </w:r>
    </w:p>
    <w:p w14:paraId="3BE893A8" w14:textId="77777777" w:rsidR="001D50A3" w:rsidRPr="001E2C69" w:rsidRDefault="001D50A3"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ряду особенностей «Черчилля» стоит отметить сдвоенное управление. В плюс «Черчиллю» шло и наличие гидравлического привода с сервомеханизмами, благодаря чему управлять танком оказалось достаточно легко. Также испытатели отмечали плавное прохождение поворотов. На 100 километров двигатель потреблял 325 литров бензина, что было признано приемлемым.</w:t>
      </w:r>
    </w:p>
    <w:p w14:paraId="64756E3E" w14:textId="77777777" w:rsidR="001D50A3" w:rsidRPr="001E2C69" w:rsidRDefault="001D50A3"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Вполне адекватно показал себя танк и на проселке. Средняя скорость чистого движения составила 17,5 км/ч, а средняя техническая скорость 16,8 км/ч. Это также оказалось сравнимо с КВ-1, средняя скорость по проселку у которого составляла 18 км/ч. Расход топлива составил 382 литра на 100 километров. Запас хода по шоссе составил 246 километров, а по проселку 166, что также было сопоставимо с характеристиками КВ-1.</w:t>
      </w:r>
    </w:p>
    <w:p w14:paraId="0813350A" w14:textId="77777777" w:rsidR="001D50A3" w:rsidRPr="001E2C69" w:rsidRDefault="001D50A3"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Последним этапом испытаний стало преодоление подъемов. Для этого были выбраны овраги в районе деревни Агафоново на берегу Москвы-реки. В ходе них выяснилось, что при движении по песку максимальный угол подъема составил 27 градусов, далее гусеницы теряли сцепление с грунтом. В случае с преодолением подъемов с покровом в виде травы и мелкого кустарника максимальный угол составил 30 градусов. Испытатели отмечали, что в этом случае танк двигался на пределе мощности мотора.</w:t>
      </w:r>
    </w:p>
    <w:p w14:paraId="63E6856A" w14:textId="77777777" w:rsidR="001D50A3" w:rsidRPr="001E2C69" w:rsidRDefault="001D50A3"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Несколько иные показатели были получены при движениях на косогорах. Уровень предельного крена опытным путем был определен в 20 градусов, после чего произошло спадание гусеничной ленты. В целом конструкция подвески танка не особо способствовала езде в таком режиме. В ходе испытаний два раза ломались тележки, ломался поводковый валик коробки переключения передач, пару раз ломались траки. В целом советские специалисты признали ходовую часть довольно слабой для такого танка.</w:t>
      </w:r>
    </w:p>
    <w:p w14:paraId="1D9929F9" w14:textId="77777777" w:rsidR="001D50A3" w:rsidRPr="001E2C69" w:rsidRDefault="001D50A3"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Достаточно высокой оценки удостоилась обзорность танка. Хуже всего дела обстояли с обзором с места механика-водителя, которому сильно мешала сильно выступающая ходовая часть. Ненамного лучшей была ситуация у помощника механика-водителя. Но совсем иная картина наблюдалась в случае с башней. Благодаря перископическим приборам в MK-IV обеспечивался хороший обзор, особенно для такой большой машины. После ознакомления с танком перископический прибор Vickers Mk.IV в СССР скопировали, назвав «перископическим прибор MK-IV». К слову, в данном случае это обозначение указывало не на оригинальный индекс, а на то, что прибор использовался на танке МК-IV.</w:t>
      </w:r>
    </w:p>
    <w:p w14:paraId="17EBEF9B" w14:textId="77777777" w:rsidR="001D50A3" w:rsidRPr="001E2C69" w:rsidRDefault="001D50A3"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Еще одной частью испытаний стала стрельба по немецкому танку Pz.Kpfw.III. Для обстрела был взят танк ранних серий с толщиной брони 30 мм. При обстреле в борт с 950 метров бронебойный снаряд 6-фунтовой пушки пробил немецкий танк насквозь, выйдя из другого борта. Стоит отметить, что речь шла о ранней версии орудия, Mk.V, у которого длина ствола составляла 43 калибра. Не обошлось и без внештатных ситуаций. На седьмом выстреле пороховые газы разбили стекла фар и погнули левое крыло. На двадцать шестом выстреле отказала полуавтоматика.</w:t>
      </w:r>
    </w:p>
    <w:p w14:paraId="5153BEFC" w14:textId="77777777" w:rsidR="001D50A3" w:rsidRPr="001E2C69" w:rsidRDefault="001D50A3"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Также испытания показали, что установленный в танке 50,8-мм миномет может использовать отечественные боеприпасы от 50-мм ротного миномета.</w:t>
      </w:r>
    </w:p>
    <w:p w14:paraId="14D2B3CC" w14:textId="77777777" w:rsidR="001D50A3" w:rsidRPr="001E2C69" w:rsidRDefault="001D50A3"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Несмотря на ряд недостатков, по совокупности характеристик «тяжелый танк МК-IV» оказался вполне сопоставим с советскими тяжелыми танками. В заключении комиссия назвала «Черчилль» не доведенной до конца машиной, и отчасти это утверждение справедливо. Другое дело, что при ряде очевидных недостатков у английской машины существовали и важные преимущества. Прежде всего, это касается обзорности, которая явно превосходила обзорность КВ-1.</w:t>
      </w:r>
    </w:p>
    <w:p w14:paraId="72486250" w14:textId="77777777" w:rsidR="001D50A3" w:rsidRPr="001E2C69" w:rsidRDefault="001D50A3"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Кроме того, оказалось, что огневая мощь орудия английского танка казалось недооцененной. Этот факт весной 1943 года продемонстрировал обстрел немецкого тяжелого танка Pz.Kpfw. Tiger Ausf.E. Советские 76-мм танковые пушки Ф-34 и ЗИС-5 не могли пробить немецкий тяжелый танк в борт даже с дистанции 200 метров. В то же время английская 57-мм противотанковая пушка, по тактико-техническим характеристикам (ТТХ) равнозначная танковому орудию, пробила борт корпуса немецкого танка на дистанции в 1000 метров, а борт башни – на дистанции 800 метров. В целом вооружение английского танка оказалось равнозначным советской противотанковой пушке ЗИС-2 (17961).</w:t>
      </w:r>
    </w:p>
    <w:p w14:paraId="5DF082A8" w14:textId="77777777" w:rsidR="001D50A3" w:rsidRPr="001E2C69" w:rsidRDefault="001D50A3" w:rsidP="00722885">
      <w:pPr>
        <w:spacing w:after="0" w:line="240" w:lineRule="auto"/>
        <w:jc w:val="both"/>
        <w:rPr>
          <w:rFonts w:ascii="Times New Roman" w:eastAsia="Times New Roman" w:hAnsi="Times New Roman"/>
          <w:color w:val="000000" w:themeColor="text1"/>
          <w:sz w:val="16"/>
          <w:szCs w:val="16"/>
          <w:lang w:eastAsia="ru-RU"/>
        </w:rPr>
      </w:pPr>
    </w:p>
    <w:p w14:paraId="3FA0CF95"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августа 1942</w:t>
      </w:r>
    </w:p>
    <w:p w14:paraId="17485009"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94 лист 18 – 15</w:t>
      </w:r>
    </w:p>
    <w:p w14:paraId="4C3338FE"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641E4C4D"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w:t>
      </w:r>
    </w:p>
    <w:p w14:paraId="7962129E"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Народному Комиссариату Танковой Промышленности СССР</w:t>
      </w:r>
      <w:r>
        <w:rPr>
          <w:rFonts w:ascii="Times New Roman" w:hAnsi="Times New Roman"/>
          <w:color w:val="0070C0"/>
          <w:sz w:val="16"/>
          <w:szCs w:val="16"/>
        </w:rPr>
        <w:t xml:space="preserve"> </w:t>
      </w:r>
      <w:r w:rsidRPr="008A2E5A">
        <w:rPr>
          <w:rFonts w:ascii="Times New Roman" w:hAnsi="Times New Roman"/>
          <w:color w:val="0070C0"/>
          <w:sz w:val="16"/>
          <w:szCs w:val="16"/>
        </w:rPr>
        <w:t>и Кировскому заводу</w:t>
      </w:r>
    </w:p>
    <w:p w14:paraId="42711FC6"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605с</w:t>
      </w:r>
    </w:p>
    <w:p w14:paraId="08DCC9D2"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августа 1942 г.</w:t>
      </w:r>
    </w:p>
    <w:p w14:paraId="19373D6E"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Челябинск</w:t>
      </w:r>
    </w:p>
    <w:p w14:paraId="773C6B04"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ряду с тем, что достигнутый темп производства моторов на Кировском заводе за последние 4 месяца дал увеличение выпуска в два раза, однако он все же остается недостаточным для обеспечения потребности танковой промышленности. Неотложной задачей в настоящее время является развитие мощностей по выпуску моторов до уровня 50-ти моторов в сутки. Это должно быть сделано за счет:</w:t>
      </w:r>
    </w:p>
    <w:p w14:paraId="63E27249"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Повышения производительности труда в цехах моторного производства;</w:t>
      </w:r>
    </w:p>
    <w:p w14:paraId="014741DA"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Более напряженной ритмичной работы;</w:t>
      </w:r>
    </w:p>
    <w:p w14:paraId="25B5E7D1"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Использования имеющихся мощностей завода;</w:t>
      </w:r>
    </w:p>
    <w:p w14:paraId="4E8B096E"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Улучшения снабжения моторных цехов заготовками и инструментом.</w:t>
      </w:r>
    </w:p>
    <w:p w14:paraId="46F59165"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обеспечения указанного выпуска моторов ПРИКАЗЫВАЮ:</w:t>
      </w:r>
    </w:p>
    <w:p w14:paraId="55D7BC56"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Начальнику МХ-5 тов. ЛИБЕРМАНУ закончить к 11/IX наладку линии распредвалов и довести ежесуточную подачу их до 20-ти комплектов в цементацию.</w:t>
      </w:r>
    </w:p>
    <w:p w14:paraId="5061179E"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Закончить отладку линии гильзы до сдачи в азотацию к 3/IX и обеспечить ежесуточную подачу в азотацию 25-ти комплектов гильз до конца месяца.</w:t>
      </w:r>
    </w:p>
    <w:p w14:paraId="37D3E336"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Закончить к 12/IX укомплектование линии коленвалов до 73-й операции включительно и обеспечить подачу на 75-ю операцию ежесуточно 25-ти комплектов коленвалов.</w:t>
      </w:r>
    </w:p>
    <w:p w14:paraId="56C06E26"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Закончить к 15/IX отладку линии термообработанных валов до 273-й операции и обеспечить подачу на 275-ю операцию по 25 валов ежесуточно, начиная с 15/IX.</w:t>
      </w:r>
    </w:p>
    <w:p w14:paraId="2F4E9859"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 Организовать механическую обработку штампованных крышек мотора к 12/IX и обеспечить изготовление их начиная с 15/IX не менее 50-ти комплектов крышек моторов.</w:t>
      </w:r>
    </w:p>
    <w:p w14:paraId="7537616D"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 Отладить линию чугунных блоков к 10/IX и обеспечить выдачу чугунных блоков, начиная с 15/IX по 5 комплектов в сутки, с доведением мощности линии к 1/X до 30-ти комплектов в сутки.</w:t>
      </w:r>
    </w:p>
    <w:p w14:paraId="68A17D4B"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Начальнику ХШО тов. БЕЛЯЕВУ к 10/IX закончить изготовление штампов и освоение штамповки железной крышки мотора.</w:t>
      </w:r>
    </w:p>
    <w:p w14:paraId="16509944"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Главному инженеру завода т. КИЗЕЛЬШТЕЙНУ рассмотреть и утвердить план вывода производства танковых деталей из цеха МХ-5 с тем, чтобы в течение сентября месяца в МХ-5 были сосредоточено производство переводимых с алюминия на чугун моторных деталей и дополнительно организовано в цехе МХ-5 изготовление моторных деталей, трудоемкостью 100 ст/часов на мотор.</w:t>
      </w:r>
    </w:p>
    <w:p w14:paraId="2D147236"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Определить дальнейшее направление цеха МХ-5 как моторного цеха и соответственно передать цех МХ-5 из танкового отдела в моторный отдел с 1/IX-42 г.</w:t>
      </w:r>
    </w:p>
    <w:p w14:paraId="046E576A"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Зам. директора по металлургии т. ФАИВУСОВИЧУ и Начальнику Кузнечно-штампового отдела т. ХОДОСКО обеспечить полностью выполнение заданной на сентябрь мес. программы по заготовкам.</w:t>
      </w:r>
    </w:p>
    <w:p w14:paraId="181C3029"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срок до 10/IX покрыть задолженность по штамповкам программы августа месяца.</w:t>
      </w:r>
    </w:p>
    <w:p w14:paraId="0C7066A5"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Обеспечить подачу основных деталей: коленвалов, шатунов, крышек, прицепных шатунов, подвесок, поршня, хвостовиков, распредвалов, клапанов, тарелок не ниже 60-ти комплектов в сутки, а по деталям ЦТА не ниже 100 комплектов в сутки, с тем, чтобы создать на поточных линиях моторного производства неснижаемый задел не ниже 1000 комплектов заготовок деталей.</w:t>
      </w:r>
    </w:p>
    <w:p w14:paraId="4F1E81EF"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Зам. директора завода по металлургии т. ФАЙВУСОВИЧУ и Начальнику цветно-литейного цеха т. ЧИЧЕРСКОМУ полностью выполнить заданную на сентябрь месяц программу по деталям цветного литья и в срок до 15/IX покрыть недодачу деталей по августовской программе.</w:t>
      </w:r>
    </w:p>
    <w:p w14:paraId="606B9E4A"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основным деталям мотора: головкам, блокам, картерам – установить ежесуточную минимальную подачу 60 комплектов литья.</w:t>
      </w:r>
    </w:p>
    <w:p w14:paraId="1BA46F60"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Пом. директора завода по кадрам т. БАРБАРОВУ направить в цеха моторного производства с 1/IX до 10/IX не менее 1000 человек рабочих, из них 200 человек в Инструментальный цех "1400".</w:t>
      </w:r>
    </w:p>
    <w:p w14:paraId="0E517E56"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8. Главному инженеру завода т. КИЗЕЛЬШТЕЙНУ и Начальнику технического отдела тов. СТРИЖАЧЕНКО укомплектовать Инструментальный цех "1400" оборудованием (из числа прибывающего из Ленинграда), в первую очередь токарно-фрезерной группой станков.</w:t>
      </w:r>
    </w:p>
    <w:p w14:paraId="67684F27"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Довести общее количество станков в Инструментальном цехе "1400" до 18 % от количества станков, занятых на моторном производстве, и в дальнейшем не допускать снижения удельного веса станков в Инструментальном цехе "1400" в общем балансе оборудования.</w:t>
      </w:r>
    </w:p>
    <w:p w14:paraId="27B187ED"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Установить, что станки, прибывающие на Кировский завод в соответствии с решением ГОКО от 5/VI-42 г. должны быть полностью использованы для наращивания мощностей моторного производства.</w:t>
      </w:r>
    </w:p>
    <w:p w14:paraId="60B85322"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Начальнику Челябинской конторы Главтанкоснаба т. МАГАРИЛО выделить Кировскому заводу из наличия единовременно 15 тонн быстрорежущей стали для изготовления инструмента моторному производству. Срок 5 – 10/IX-42 г.</w:t>
      </w:r>
    </w:p>
    <w:p w14:paraId="1A5A167F"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Начальнику Главтанкоснаба тов. РОЗИНУ рассмотреть и обеспечить полную потребность моторостроения в быстрорежущей стали, абразивах и специальном покупном инструменте (плашки Акмэ, мелкие сверла, специальные сверла и т.д.).</w:t>
      </w:r>
    </w:p>
    <w:p w14:paraId="0D1DC322"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Начальнику Главтанкоснаба тов. РОЗИНУ взять под особое наблюдение обеспечение Кировского завода клапанной сталью И-107, Э-14, трубами ХМА, сталью Э-16 (для коленвалов, главных и прицепных шатунов и крышек), дюралем, алюминием и аммиаком, не допуская перебоев в снабжении завода этими материалами.</w:t>
      </w:r>
    </w:p>
    <w:p w14:paraId="49D39D48"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Установить специальную премиальную систему для начальников участков и мастеров, достигших ритмичного выпуска 50-ти комплектов в сутки по механическим цехам и 60-ти комплектов по заготовительным цехам. Выделить для указанной цели в распоряжение директора завода тов. Махонина – 250 тысяч рублей.</w:t>
      </w:r>
    </w:p>
    <w:p w14:paraId="5645BA42"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НАРКОМ ТАНКОВОЙ ПРОМЫШЛЕННОСТИ ГЕРОЙ СОЦИАЛИСТИЧЕСКОГО ТРУДА</w:t>
      </w:r>
    </w:p>
    <w:p w14:paraId="4C074D6B"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(ЗАЛЬЦМАН И.М.)</w:t>
      </w:r>
    </w:p>
    <w:p w14:paraId="4F31DABC"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КИРОВСКОГО ЗАВОДА</w:t>
      </w:r>
    </w:p>
    <w:p w14:paraId="46A14878"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30/VIII-42 г. (МАХОНИН) (23508).</w:t>
      </w:r>
    </w:p>
    <w:p w14:paraId="34660C32" w14:textId="77777777" w:rsidR="006649D4" w:rsidRPr="008A2E5A" w:rsidRDefault="006649D4" w:rsidP="006649D4">
      <w:pPr>
        <w:spacing w:after="0" w:line="240" w:lineRule="auto"/>
        <w:jc w:val="both"/>
        <w:rPr>
          <w:rFonts w:ascii="Times New Roman" w:hAnsi="Times New Roman"/>
          <w:color w:val="0070C0"/>
          <w:sz w:val="16"/>
          <w:szCs w:val="16"/>
        </w:rPr>
      </w:pPr>
    </w:p>
    <w:p w14:paraId="49EEA385"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августа 1942</w:t>
      </w:r>
    </w:p>
    <w:p w14:paraId="6303F87C"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94 лист 21 – 20</w:t>
      </w:r>
    </w:p>
    <w:p w14:paraId="2A609EB7"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57B59B03"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w:t>
      </w:r>
    </w:p>
    <w:p w14:paraId="6D089555"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НАРОДНОГО КОМИССАРА ТАНКОВОЙ ПРОМЫШЛЕННОСТИ СОЮЗА ССР</w:t>
      </w:r>
    </w:p>
    <w:p w14:paraId="7D55D683"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606с</w:t>
      </w:r>
    </w:p>
    <w:p w14:paraId="61134A83"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Августа 1942 г.</w:t>
      </w:r>
    </w:p>
    <w:p w14:paraId="3C1E6539"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Грозная опасность, нависшая над родиной требует максимального напряжения всех сил нашей страны, направленных на организацию отпора зарвавшемуся врагу, на разгром фашистских банд и изгнания их с нашей священной земли.</w:t>
      </w:r>
    </w:p>
    <w:p w14:paraId="751E092E"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Доблестные бойцы Красной Армии, грудью защищающие нашу родину, своей кровью отстаивают каждый метр советской территории, жертвуют своей жизнью, проявляют чудеса храбрости и геройства.</w:t>
      </w:r>
    </w:p>
    <w:p w14:paraId="1C5322DF"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 работников тыла, рабочих, инженеров, техников и служащих заводов теперь как никогда требуется наивысшая организованность и железная дисциплина, направленная на максимальное увеличение выпуска грозного вооружения и боеприпасов, способного беспощадно громить врага, уничтожить его живую силу и технику.</w:t>
      </w:r>
    </w:p>
    <w:p w14:paraId="3C6D93E9"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Наиболее ответственные задачи стоят перед заводами нашего Наркомата, призванного полностью оснащать доблестную Красную Армию могучими, грозными танками, не только восстанавливая потери на фронте, но и обеспечивая непрерывный стремительный рост количества танков, находящихся на вооружении. Успешное выполнение этой задачи возможно при условии, если коллективы заводов поймут ответственность переживаемых дней, организуют патриотизм советских людей, используют полностью все резервы, победят фактор времени.</w:t>
      </w:r>
    </w:p>
    <w:p w14:paraId="52D035BF"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целях увеличения выпуска танков Т-34 ПРИКАЗЫВАЮ:</w:t>
      </w:r>
    </w:p>
    <w:p w14:paraId="18AAD401"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Директору Уралмашзавода т. МУЗРУКОВУ обеспечить в сентябре мес. выпуск 50 танков Т-34.</w:t>
      </w:r>
    </w:p>
    <w:p w14:paraId="6C93E840"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Организовать оснастку производства с таким расчетом, чтобы в течение нескольких дней выдать наиболее необходимые для выполнения этой задачи инструменты, штампы и приспособления. Изготовление всей остальной оснастки вести параллельно с выпуском танков.</w:t>
      </w:r>
    </w:p>
    <w:p w14:paraId="0141E0CE"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Всю подготовку производства танков Т-34 организовать с таким расчетом, чтобы обеспечив выпуск в сентябре мес. первых 50 танков, закрепить ритм в работе, непрерывно увеличивая выпуск готовых машин.</w:t>
      </w:r>
    </w:p>
    <w:p w14:paraId="5759F48F"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Командному составу завода, цехов и отделов развернуть совместно с партийными и профсоюзными организациями массовую работу среди коллективов рабочих и ИТР, направленную на развитие массового социалистического соревнования всех звеньев завода в борьбе за выполнение почетного задания.</w:t>
      </w:r>
    </w:p>
    <w:p w14:paraId="3107F4DB"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Начальнику Финансово-бухгалтерского отдела НКТП тов. ШАГАЛОВУ перечислить в распоряжение Директора Уралмашзавода тов. МУЗРУКОВА 750.000 рублей для премирования командиров производства и отличившихся стахановцев в выполнении данного приказа.</w:t>
      </w:r>
    </w:p>
    <w:p w14:paraId="194951DF"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Выражаю уверенность в том, что коллектив Уралмашзавода, правильно поняв поставленную перед ним партией и правительством задачу, сумеет мобилизовать свои силы, развернет подлинное социалистическое соревнование и обеспечит выпуск грозных машин для разгрома ненавистного нам врага.</w:t>
      </w:r>
    </w:p>
    <w:p w14:paraId="2CD6A976"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ТАНКОВОЙ ПРОМЫШЛЕННОСТИ СОЮЗА ССР</w:t>
      </w:r>
    </w:p>
    <w:p w14:paraId="422FD85A"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ГЕРОЙ СОЦИАЛИСТИЧЕСКОГО ТРУДА</w:t>
      </w:r>
    </w:p>
    <w:p w14:paraId="408BCF49"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ЗАЛЬЦМАН (23483).</w:t>
      </w:r>
    </w:p>
    <w:p w14:paraId="4E9BEE26" w14:textId="77777777" w:rsidR="006649D4" w:rsidRPr="008A2E5A" w:rsidRDefault="006649D4" w:rsidP="006649D4">
      <w:pPr>
        <w:spacing w:after="0" w:line="240" w:lineRule="auto"/>
        <w:jc w:val="both"/>
        <w:rPr>
          <w:rFonts w:ascii="Times New Roman" w:hAnsi="Times New Roman"/>
          <w:color w:val="0070C0"/>
          <w:sz w:val="16"/>
          <w:szCs w:val="16"/>
        </w:rPr>
      </w:pPr>
    </w:p>
    <w:p w14:paraId="4F0BFE59"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августа 1942</w:t>
      </w:r>
    </w:p>
    <w:p w14:paraId="1A296E4E"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РГАЭ Фонд 8752 Опись 4 Дело 94 лист 24 – 23</w:t>
      </w:r>
    </w:p>
    <w:p w14:paraId="4279753C"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489362E7"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w:t>
      </w:r>
    </w:p>
    <w:p w14:paraId="5946052B"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НАРОДНОГО КОМИССАРА ТАНКОВОЙ ПРОМЫШЛЕННОСТИ СОЮЗА ССР</w:t>
      </w:r>
    </w:p>
    <w:p w14:paraId="6E4126DF"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607с</w:t>
      </w:r>
    </w:p>
    <w:p w14:paraId="547D3A90"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Челябинск</w:t>
      </w:r>
    </w:p>
    <w:p w14:paraId="633C8266"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августа 1942 г.</w:t>
      </w:r>
    </w:p>
    <w:p w14:paraId="236365F6"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обеспечения выполнения заданной УРАЛМАШЗАВОДУ программы по выпуску танков Т-34 в сентябре месяце, ПРИКАЗЫВАЮ:</w:t>
      </w:r>
    </w:p>
    <w:p w14:paraId="374B5F37"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Утвердить приказ № 707 директора завода № 183 тов. МАКСАРЕВА о поставке УМЗ готовых узлов и заготовок со следующими изменениями:</w:t>
      </w:r>
    </w:p>
    <w:p w14:paraId="61909A71"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Увеличить поставку штамповок, поковок и пружин согласно приложения № 1, 2 и 4 приказа № 707 завода № 183 до 60 комплектов со сроком окончания поставки не позднее 8 сентября с.г.</w:t>
      </w:r>
    </w:p>
    <w:p w14:paraId="0381DC9D"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Подачу готовых узлов в сборе произвести в следующие сроки: до 5 сентября – 8 комплектов, до 10 сентября – 7 комплектов и до 15 сентября – 10 комплектов.</w:t>
      </w:r>
    </w:p>
    <w:p w14:paraId="27F9144E"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Поставку литья и штамповок по коробке скоростей произвести только в части деталей, идущих на 5-ти скоростную коробку.</w:t>
      </w:r>
    </w:p>
    <w:p w14:paraId="198CC0B1"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Обязать директора завода № 183 тов. МАКСАРЕВА:</w:t>
      </w:r>
    </w:p>
    <w:p w14:paraId="47C8FD4C"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Обеспечить УМЗ изготовлением и комплектной отгрузкой пружин холодной и горячей завивки по спецификации, утвержденной Главным технологом Наркомата в сроки, обеспечивающие выполнение задания УМЗ до конца 1942 года.</w:t>
      </w:r>
    </w:p>
    <w:p w14:paraId="04AA32E4"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Отгрузить до 10/IX-42 г. заготовку бандажей свальцованных и сваренных в количестве 500 штук.</w:t>
      </w:r>
    </w:p>
    <w:p w14:paraId="106F05FC"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Отгрузить до 10/IX-42 г. 60 комплектов заготовок холодной штамповки для радиаторов и 30 группы.</w:t>
      </w:r>
    </w:p>
    <w:p w14:paraId="0E454E05"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директора Кировского завода тов. МАХОНИНА:</w:t>
      </w:r>
    </w:p>
    <w:p w14:paraId="13CED582"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Деталь 16-006 шестерня бортов. передач подать в течение сентября месяца с протянутыми шлицами в отверстиях.</w:t>
      </w:r>
    </w:p>
    <w:p w14:paraId="00E19ED8"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Поставить УМЗ 60 комплектов штамповок для деталей 5-ти скоростной коробки, заготовки для топливных баков и боеукладок и всех других деталей, по которым имеются в наличии штампы холодной штамповки, в следующие сроки: 25 компл. к 10/IX и 35 компл. к 15/IX-42 г.</w:t>
      </w:r>
    </w:p>
    <w:p w14:paraId="6A9763F0"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Металл для горячих штамповок и заготовок для топливных баков, боеукладок и дисков поставляется УМЗаводом.</w:t>
      </w:r>
    </w:p>
    <w:p w14:paraId="4CE1D31E"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Передать немедленно УМЗ два зубо-фрезерных станка фирмы ГУЛД-ЭБЕРГАРД для черновой нарезки шестерен из числа не работающих.</w:t>
      </w:r>
    </w:p>
    <w:p w14:paraId="0E6CFE8B"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Под личную ответственность Начальника Главснаба тов. РОЗИНА до 5/IX с.г. обеспечить поставку УМЗ:</w:t>
      </w:r>
    </w:p>
    <w:p w14:paraId="066DC968"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рядового листа – 434 тонны</w:t>
      </w:r>
    </w:p>
    <w:p w14:paraId="3CD44305"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углеродистого листа – 90 тонн</w:t>
      </w:r>
    </w:p>
    <w:p w14:paraId="361BDF0C"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дисковой стали – 54 тонны</w:t>
      </w:r>
    </w:p>
    <w:p w14:paraId="6648AD18"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рядового сорта – 229 тонн</w:t>
      </w:r>
    </w:p>
    <w:p w14:paraId="0D25547A"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балки № 18 – 22 тонны</w:t>
      </w:r>
    </w:p>
    <w:p w14:paraId="6C268F3B"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конструкционного сорта – 131 тонну, в т.ч. шестигранника – 50 тонн</w:t>
      </w:r>
    </w:p>
    <w:p w14:paraId="1E51AC24"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легированного сорта – 760 тонн, в т.ч. калиброванного – 58 тонн</w:t>
      </w:r>
    </w:p>
    <w:p w14:paraId="3E45B586"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Обеспечить за счет переброски с других заводов:</w:t>
      </w:r>
    </w:p>
    <w:p w14:paraId="1351A45C"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кождеталей – 100 комплектов</w:t>
      </w:r>
    </w:p>
    <w:p w14:paraId="3E1B0642"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резиновых деталей – 100 комплектов</w:t>
      </w:r>
    </w:p>
    <w:p w14:paraId="2DCBEB98"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войлочных деталей – 100 комплектов</w:t>
      </w:r>
    </w:p>
    <w:p w14:paraId="0319E2FD"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обеспечить поставку не позднее 8/IX с.г. УМЗ всех покупных и смежных деталей (в первую очередь подшипников) в количестве 60 комплектов, возложив реализацию этих фондов на соответствующих управляющих контор Танкоснаба.</w:t>
      </w:r>
    </w:p>
    <w:p w14:paraId="1325C34D"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ТАНКОВОЙ ПРОМЫШЛЕННОСТИ СОЮЗА ССР</w:t>
      </w:r>
    </w:p>
    <w:p w14:paraId="2AC22E14"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(И.ЗАЛЬЦМАН)</w:t>
      </w:r>
    </w:p>
    <w:p w14:paraId="766E7C38"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Отп. 4 экз.</w:t>
      </w:r>
    </w:p>
    <w:p w14:paraId="07A07113"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экз. З-ду № 183</w:t>
      </w:r>
    </w:p>
    <w:p w14:paraId="311E9BC7"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экз. Кировскому з-ду</w:t>
      </w:r>
    </w:p>
    <w:p w14:paraId="7E4AEBC5"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экз. УМЗ</w:t>
      </w:r>
    </w:p>
    <w:p w14:paraId="1B43D38A"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экз. НКТП (23484).</w:t>
      </w:r>
    </w:p>
    <w:p w14:paraId="14170910" w14:textId="77777777" w:rsidR="006649D4" w:rsidRPr="008A2E5A" w:rsidRDefault="006649D4" w:rsidP="006649D4">
      <w:pPr>
        <w:spacing w:after="0" w:line="240" w:lineRule="auto"/>
        <w:jc w:val="both"/>
        <w:rPr>
          <w:rFonts w:ascii="Times New Roman" w:hAnsi="Times New Roman"/>
          <w:color w:val="0070C0"/>
          <w:sz w:val="16"/>
          <w:szCs w:val="16"/>
        </w:rPr>
      </w:pPr>
    </w:p>
    <w:p w14:paraId="6ED160F0" w14:textId="77777777" w:rsidR="00AE7191" w:rsidRPr="001E2C69" w:rsidRDefault="00AE7191" w:rsidP="00722885">
      <w:pPr>
        <w:pStyle w:val="af"/>
        <w:spacing w:before="0" w:after="0"/>
        <w:jc w:val="both"/>
        <w:rPr>
          <w:color w:val="000000" w:themeColor="text1"/>
          <w:sz w:val="16"/>
          <w:szCs w:val="16"/>
        </w:rPr>
      </w:pPr>
      <w:r w:rsidRPr="001E2C69">
        <w:rPr>
          <w:color w:val="000000" w:themeColor="text1"/>
          <w:sz w:val="16"/>
          <w:szCs w:val="16"/>
        </w:rPr>
        <w:t>30 августа 1942 г.</w:t>
      </w:r>
    </w:p>
    <w:p w14:paraId="7180C554" w14:textId="77777777" w:rsidR="00AE7191" w:rsidRPr="001E2C69" w:rsidRDefault="00AE7191" w:rsidP="00722885">
      <w:pPr>
        <w:pStyle w:val="af"/>
        <w:spacing w:before="0" w:after="0"/>
        <w:jc w:val="both"/>
        <w:rPr>
          <w:color w:val="000000" w:themeColor="text1"/>
          <w:sz w:val="16"/>
          <w:szCs w:val="16"/>
        </w:rPr>
      </w:pPr>
      <w:r w:rsidRPr="001E2C69">
        <w:rPr>
          <w:color w:val="000000" w:themeColor="text1"/>
          <w:sz w:val="16"/>
          <w:szCs w:val="16"/>
        </w:rPr>
        <w:t>Из протокола № 215 §40 заседания бюро Свердловского Обкома ВКП(б) от 30 августа 1942 г.</w:t>
      </w:r>
    </w:p>
    <w:p w14:paraId="741F2851" w14:textId="77777777" w:rsidR="00AE7191" w:rsidRPr="001E2C69" w:rsidRDefault="00AE7191" w:rsidP="00722885">
      <w:pPr>
        <w:pStyle w:val="af"/>
        <w:spacing w:before="0" w:after="0"/>
        <w:jc w:val="both"/>
        <w:rPr>
          <w:color w:val="000000" w:themeColor="text1"/>
          <w:sz w:val="16"/>
          <w:szCs w:val="16"/>
        </w:rPr>
      </w:pPr>
      <w:r w:rsidRPr="001E2C69">
        <w:rPr>
          <w:color w:val="000000" w:themeColor="text1"/>
          <w:sz w:val="16"/>
          <w:szCs w:val="16"/>
        </w:rPr>
        <w:t>Об изготовлении опытной партии индивидуальной бронезащиты бойцов и пулемётчиков.</w:t>
      </w:r>
    </w:p>
    <w:p w14:paraId="6A5A8E8E" w14:textId="77777777" w:rsidR="00AE7191" w:rsidRPr="001E2C69" w:rsidRDefault="00AE7191" w:rsidP="00722885">
      <w:pPr>
        <w:pStyle w:val="af"/>
        <w:spacing w:before="0" w:after="0"/>
        <w:jc w:val="both"/>
        <w:rPr>
          <w:color w:val="000000" w:themeColor="text1"/>
          <w:sz w:val="16"/>
          <w:szCs w:val="16"/>
        </w:rPr>
      </w:pPr>
      <w:r w:rsidRPr="001E2C69">
        <w:rPr>
          <w:color w:val="000000" w:themeColor="text1"/>
          <w:sz w:val="16"/>
          <w:szCs w:val="16"/>
        </w:rPr>
        <w:t>Одобряя инициативу НИИ-48, разработавшего конструкцию индивидуальной бронезащиты и технологию изготовления деталей, бюро Обкома ВКП(б) постановляет:</w:t>
      </w:r>
    </w:p>
    <w:p w14:paraId="2F1BC36A" w14:textId="77777777" w:rsidR="00AE7191" w:rsidRPr="001E2C69" w:rsidRDefault="00AE7191" w:rsidP="00722885">
      <w:pPr>
        <w:pStyle w:val="af"/>
        <w:spacing w:before="0" w:after="0"/>
        <w:jc w:val="both"/>
        <w:rPr>
          <w:color w:val="000000" w:themeColor="text1"/>
          <w:sz w:val="16"/>
          <w:szCs w:val="16"/>
        </w:rPr>
      </w:pPr>
      <w:r w:rsidRPr="001E2C69">
        <w:rPr>
          <w:color w:val="000000" w:themeColor="text1"/>
          <w:sz w:val="16"/>
          <w:szCs w:val="16"/>
        </w:rPr>
        <w:t>1. Обязать директора Уралмашзавода т.МУЗРУКОВА и директора НИИ-48 т.ЗАВЬЯЛОВА изготовить 200 комплектов бронедеталей индивидуальной защиты и 50 комплектов бронедеталей для защиты пулемётчиков станкового пулемёта "Максим" к 20 сентября 1942 года.</w:t>
      </w:r>
    </w:p>
    <w:p w14:paraId="57248D94" w14:textId="77777777" w:rsidR="00AE7191" w:rsidRPr="001E2C69" w:rsidRDefault="00AE7191" w:rsidP="00722885">
      <w:pPr>
        <w:pStyle w:val="af"/>
        <w:spacing w:before="0" w:after="0"/>
        <w:jc w:val="both"/>
        <w:rPr>
          <w:color w:val="000000" w:themeColor="text1"/>
          <w:sz w:val="16"/>
          <w:szCs w:val="16"/>
        </w:rPr>
      </w:pPr>
      <w:r w:rsidRPr="001E2C69">
        <w:rPr>
          <w:color w:val="000000" w:themeColor="text1"/>
          <w:sz w:val="16"/>
          <w:szCs w:val="16"/>
        </w:rPr>
        <w:t>2. Обязать директора ВИЗ"а т.РАДКЕВИЧ прокатать и выдать не позднее 7 сентября 1942 г. Уралмашзаводу 3 тонны спецстали марки 30ХГС для изготовления опытных комплектов индивидуальной бронезащиты.</w:t>
      </w:r>
    </w:p>
    <w:p w14:paraId="305838F7" w14:textId="77777777" w:rsidR="00AE7191" w:rsidRPr="001E2C69" w:rsidRDefault="00AE7191" w:rsidP="00722885">
      <w:pPr>
        <w:pStyle w:val="af"/>
        <w:spacing w:before="0" w:after="0"/>
        <w:jc w:val="both"/>
        <w:rPr>
          <w:color w:val="000000" w:themeColor="text1"/>
          <w:sz w:val="16"/>
          <w:szCs w:val="16"/>
        </w:rPr>
      </w:pPr>
      <w:r w:rsidRPr="001E2C69">
        <w:rPr>
          <w:color w:val="000000" w:themeColor="text1"/>
          <w:sz w:val="16"/>
          <w:szCs w:val="16"/>
        </w:rPr>
        <w:t>3. Предложить директору НИИ-48 т.ЗАВЬЯЛОВУ по изготовлении опытной партии бронедеталей индивидуальной защиты, срочно их отправить для практического испытания в действующих частях РККА. Результаты испытаний конструкций на фронте и предложения о массовом их изготовлении, в случае принятия бронеконструкций на вооружение, представить в Обком ВКП(б).</w:t>
      </w:r>
    </w:p>
    <w:p w14:paraId="438E192C" w14:textId="77777777" w:rsidR="00AE7191" w:rsidRPr="001E2C69" w:rsidRDefault="00AE7191" w:rsidP="00722885">
      <w:pPr>
        <w:pStyle w:val="af"/>
        <w:spacing w:before="0" w:after="0"/>
        <w:jc w:val="both"/>
        <w:rPr>
          <w:color w:val="000000" w:themeColor="text1"/>
          <w:sz w:val="16"/>
          <w:szCs w:val="16"/>
        </w:rPr>
      </w:pPr>
      <w:r w:rsidRPr="001E2C69">
        <w:rPr>
          <w:color w:val="000000" w:themeColor="text1"/>
          <w:sz w:val="16"/>
          <w:szCs w:val="16"/>
        </w:rPr>
        <w:t>4. Обязать Свердловский ГК ВКП(б) (т.КОСОВА) оказать необходимую помощь заводам в изготовлении опытной партии индивидуальной бронезащиты бойцов и пулемётчиков.</w:t>
      </w:r>
    </w:p>
    <w:p w14:paraId="3D6884BA" w14:textId="77777777" w:rsidR="00AE7191" w:rsidRPr="001E2C69" w:rsidRDefault="00AE7191" w:rsidP="00722885">
      <w:pPr>
        <w:pStyle w:val="af"/>
        <w:spacing w:before="0" w:after="0"/>
        <w:jc w:val="both"/>
        <w:rPr>
          <w:color w:val="000000" w:themeColor="text1"/>
          <w:sz w:val="16"/>
          <w:szCs w:val="16"/>
        </w:rPr>
      </w:pPr>
      <w:r w:rsidRPr="001E2C69">
        <w:rPr>
          <w:color w:val="000000" w:themeColor="text1"/>
          <w:sz w:val="16"/>
          <w:szCs w:val="16"/>
        </w:rPr>
        <w:t>СЕКРЕТАРЬ ОБКОМА ВКП(б) Андрианов. ЦДООСО, фонд 4, опись 18, дело № 15, лист 363.</w:t>
      </w:r>
    </w:p>
    <w:p w14:paraId="6DB8A1F1"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F299A9A"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30 августа 1942 вышло Постановление ГКО № 2227 Об общем плане погрузки народнохозяйственных грузов на сентябрь 1942 года. (7052, 91).</w:t>
      </w:r>
    </w:p>
    <w:p w14:paraId="5A1CF01E" w14:textId="77777777" w:rsidR="00AE7191" w:rsidRPr="001E2C69" w:rsidRDefault="00AE7191" w:rsidP="00722885">
      <w:pPr>
        <w:pStyle w:val="Iauiue"/>
        <w:tabs>
          <w:tab w:val="left" w:pos="11199"/>
        </w:tabs>
        <w:jc w:val="both"/>
        <w:rPr>
          <w:color w:val="000000" w:themeColor="text1"/>
          <w:sz w:val="16"/>
          <w:szCs w:val="16"/>
        </w:rPr>
      </w:pPr>
    </w:p>
    <w:p w14:paraId="23349780"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30 августа 1942 вышло Постановление ГКО № 2228 О формировании отдельных подъемно-крановых железнодорожных рот. (7052, 92).</w:t>
      </w:r>
    </w:p>
    <w:p w14:paraId="33A4D2DB" w14:textId="77777777" w:rsidR="00AE7191" w:rsidRPr="001E2C69" w:rsidRDefault="00AE7191" w:rsidP="00722885">
      <w:pPr>
        <w:pStyle w:val="Iauiue"/>
        <w:tabs>
          <w:tab w:val="left" w:pos="11199"/>
        </w:tabs>
        <w:jc w:val="both"/>
        <w:rPr>
          <w:color w:val="000000" w:themeColor="text1"/>
          <w:sz w:val="16"/>
          <w:szCs w:val="16"/>
        </w:rPr>
      </w:pPr>
    </w:p>
    <w:p w14:paraId="5539EEBA"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30 августа 1942 вышло Постановление ГКО № 2229 О назначении [Багирова М.Д.] ответственного уполномоченного ГОКО по организации прохождения грузов и пассажиров через Баку. (7052, 93).</w:t>
      </w:r>
    </w:p>
    <w:p w14:paraId="2A88473D" w14:textId="77777777" w:rsidR="00AE7191" w:rsidRPr="001E2C69" w:rsidRDefault="00AE7191" w:rsidP="00722885">
      <w:pPr>
        <w:pStyle w:val="Iauiue"/>
        <w:tabs>
          <w:tab w:val="left" w:pos="11199"/>
        </w:tabs>
        <w:jc w:val="both"/>
        <w:rPr>
          <w:color w:val="000000" w:themeColor="text1"/>
          <w:sz w:val="16"/>
          <w:szCs w:val="16"/>
        </w:rPr>
      </w:pPr>
    </w:p>
    <w:p w14:paraId="4921B7B1"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2D90D48C" w14:textId="77777777" w:rsidR="00AE7191" w:rsidRPr="001E2C69" w:rsidRDefault="00AE7191" w:rsidP="00722885">
      <w:pPr>
        <w:pStyle w:val="Iauiue"/>
        <w:jc w:val="both"/>
        <w:rPr>
          <w:iCs/>
          <w:color w:val="000000" w:themeColor="text1"/>
          <w:sz w:val="16"/>
          <w:szCs w:val="16"/>
        </w:rPr>
      </w:pPr>
    </w:p>
    <w:p w14:paraId="2836D122"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 xml:space="preserve">30 августа </w:t>
      </w:r>
      <w:r w:rsidRPr="001E2C69">
        <w:rPr>
          <w:rFonts w:ascii="Times New Roman" w:hAnsi="Times New Roman"/>
          <w:color w:val="000000" w:themeColor="text1"/>
          <w:sz w:val="16"/>
          <w:szCs w:val="16"/>
        </w:rPr>
        <w:t>в 1942 году утреннее сообщение Совинформбюро:</w:t>
      </w:r>
    </w:p>
    <w:p w14:paraId="5A01C9C3"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30 августа на фронтах существенных изменений не произошло.</w:t>
      </w:r>
    </w:p>
    <w:p w14:paraId="11A61177"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северо-западнее Сталинграда наши войска вели бои с танками и пехотой противника. Бойцы Н-ского гвардейского соединения отбили несколько атак немцеви, перейдя в контратаку, заняли два населённых пункта. Большая часть немцев в этих населённых пунктах была истреблена, а остальные бежали, бросив на поле боя 16 орудий, несколько пулемётов, автомашины, 2 радиостанции и другое военное имущество. На другом участке неприятель предпринял несколько танковых атак. Совместными действиями пехотинцев и артиллеристов атаки противника были отбиты. В результате боя подбито и уничтожено 14 немецких танков.</w:t>
      </w:r>
    </w:p>
    <w:p w14:paraId="2AF8AA9E"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наши войска продолжали вести активные боевые действия.</w:t>
      </w:r>
    </w:p>
    <w:p w14:paraId="20B64591"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огнём нашей артиллерии и бронебойщиков подбито и сожжено 9 немецких танков. В бою у одного населённого пункта полностью истреблена рота румынской пехоты.</w:t>
      </w:r>
    </w:p>
    <w:p w14:paraId="0B97A12C"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Южнее Краснодара противник под прикрытием сильного артиллерийского и миномётного огня продвинулся вперёд и занял несколько высот. Наши части, перегруппировав свои силы, контратаковали немцев с фланга и отбросили их на исходные позиции. В этом бою уничтожена немецкая 150-миллиметровая батарея и истреблено до батальона пехоты противника.</w:t>
      </w:r>
    </w:p>
    <w:p w14:paraId="530ED220"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Советские лётчики уничтожили несколько танков и до 40 автомашин с пехотой противника. В воздушных боях сбито 6 немецких самолётов. Наша авиация потерь не имела.</w:t>
      </w:r>
    </w:p>
    <w:p w14:paraId="7A9FF7DA"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Прохладного отбиты две атаки гитлеровцев, пытавшихся вклиниться в нашу оборону. Уничтожены 2 танка, 13 автомашин и рота пехоты противника.</w:t>
      </w:r>
    </w:p>
    <w:p w14:paraId="65F46B6A"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Воронежа группа наших штурмовых самолётов, которую вёл старший лейтенант Фёдоров, в сопровождении истребителей под командованием батальонного комиссара Адамовича совершила налёт на аэродром противника. В результате налёта уничтожено 16 немецких бомбардировщиков.</w:t>
      </w:r>
    </w:p>
    <w:p w14:paraId="6CC9C036"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Орловские партизаны пустили под откос немецкий железнодорожный эшелон. Уничтожено 28 платформ с автомобилями и танками. Через несколько дней партизаны подорвали на минах состав цистерн с горючим.</w:t>
      </w:r>
    </w:p>
    <w:p w14:paraId="12DFB761"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 убитых на Западном фронте немецких солдат найдены неотправленные письма народину. В письме ефрейтора Б.Гейнриха к матери говорится: «Так спокойно мы здесь жили, и вдруг разразился ад. Уже 13 дней, как русские наступают. Наша рота имеет много убитых и раненых. Если так будет и дальше, то ни один человек не останется в живых. Живём теперь от одной минуты до другой». Ефрейтор И.Цинбауэр писал родным: «Русские обрушили на наши позиции танки и авиацию. Это самые тяжёлые бои из всех, которые я видел. Нам всем здесь будет крышка». В письме ефрейтора Титштаймера к сестре говорится: «Мы теперь знаем, что из России не вернётся домой здоровым ни один солдат. Многие совсем расстанутся с жизнью».</w:t>
      </w:r>
    </w:p>
    <w:p w14:paraId="2B8ABD1C"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Жители ныне освобождённой от немецких захватчиков деревни Старцево, Калининскойобласти, составили акт о злодеяниях гитлеровских бандитов. В акте говорится: «Не успели немцы ворваться в деревню, как начали грабить мирных граждан. Они забирали всё, до последней детской рубашонки, до последней горстки зерна. Население осталось без одежды, обуви и без куска хлеба. Наступил страшный голод. Не лучше жилось колхозникам и других деревень. В селении Власово за зиму от голода умерло 250 человек. Немцы организовали в нашей деревне лагерь для советских военнопленных. Они загнали красноармейцев в скотный двор и обнесли его колючей проволокой. Пленных также морили голодом. Им лишь изредка давали сырое мясо павших лошадей. Раненых и больных гитлеровцы расстреливали. Отступая под ударами Красной Армии, гитлеровские мерзавцы расстреляли 13 колхозников, разрушили и дотла сожгли все дома и постройки. Сейчас от нашей деревни н еосталось и следа». Акт подписали: жители деревни Суворов Илья Михайлович, Лебедев Василий Алексеевич, Сергеев Николай, Белякова Татьяна, Кольцова Анна и другие.» (14754).</w:t>
      </w:r>
    </w:p>
    <w:p w14:paraId="0485AFD8" w14:textId="77777777" w:rsidR="00103465" w:rsidRPr="001E2C69" w:rsidRDefault="00103465" w:rsidP="00722885">
      <w:pPr>
        <w:spacing w:after="0" w:line="240" w:lineRule="auto"/>
        <w:jc w:val="both"/>
        <w:rPr>
          <w:rFonts w:ascii="Times New Roman" w:hAnsi="Times New Roman"/>
          <w:color w:val="000000" w:themeColor="text1"/>
          <w:sz w:val="16"/>
          <w:szCs w:val="16"/>
        </w:rPr>
      </w:pPr>
    </w:p>
    <w:p w14:paraId="17B7AEB0"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 xml:space="preserve">30 августа </w:t>
      </w:r>
      <w:r w:rsidRPr="001E2C69">
        <w:rPr>
          <w:rFonts w:ascii="Times New Roman" w:hAnsi="Times New Roman"/>
          <w:color w:val="000000" w:themeColor="text1"/>
          <w:sz w:val="16"/>
          <w:szCs w:val="16"/>
        </w:rPr>
        <w:t>в 1942 году вечернее сообщение Совинформбюро:</w:t>
      </w:r>
    </w:p>
    <w:p w14:paraId="7CB558C5"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30 августа на фронтах существенных изменений не произошло.</w:t>
      </w:r>
    </w:p>
    <w:p w14:paraId="541B7EAB"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истекшую неделю, с 23 по 29 августа включительно, в воздушных боях, на аэродромах и огнём зенитной артиллерии уничтожено 498 немецких самолётов. Наши потери за это же время 206 самолётов.</w:t>
      </w:r>
    </w:p>
    <w:p w14:paraId="3DD73EC3"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29 августа частями нашей авиации на различных участках фронта уничтожено или повреждено 25 немецких танков, 20 бронемашин, до 140 автомашин с войсками и грузами, подавлен огонь 12 батарей полевой и зенитной артиллерии, взорвано 4 склада боеприпасов и 2 склада горючего, рассеяно и частью уничтожено до двух батальонов пехоты противника.</w:t>
      </w:r>
    </w:p>
    <w:p w14:paraId="058F941D"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Западном фронте наши части вели бои с противником за переправы через водный рубеж. К исходу дня советские бойцы переправились через реку и продолжали борьбу на её западном берегу. Подразделения Н-ской танковой части уничтожили 11 немецких противотанковых орудий, 4 миномёта и истребили до 170 солдат и офицеров противника. Экипаж танка под командованием старшего политрука Екатериничева в одном бою раздавил 4 орудия и уничтожил 40 гитлеровцев. Танк младшего лейтенанта Семёнова подбил 4 немецких танка.</w:t>
      </w:r>
    </w:p>
    <w:p w14:paraId="7031C4C5"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районе северо-западнее Сталинграда продолжались ожесточённые бои с крупными силами танков и пехоты противника. Все атаки немцев отбиты. На ряде участков наши части нанесли контрудары, в результате которых противник понёс большие потери. Бойцы Н-ской части, действуя при поддержке танков, уничтожили 18 </w:t>
      </w:r>
      <w:r w:rsidRPr="001E2C69">
        <w:rPr>
          <w:rFonts w:ascii="Times New Roman" w:hAnsi="Times New Roman"/>
          <w:color w:val="000000" w:themeColor="text1"/>
          <w:sz w:val="16"/>
          <w:szCs w:val="16"/>
        </w:rPr>
        <w:lastRenderedPageBreak/>
        <w:t>немецких танков, 9 орудий, 13 пулемётов и истребили до 600 гитлеровцев. На другом участке нанесено тяжёлое поражение итальянскому батальону, который в течение дня потерял не менее 70 процентов своего личного состава. Гвардейцы-артиллеристы подавили огонь двух артиллерийских батарей и подбили 9 немецких танков.</w:t>
      </w:r>
    </w:p>
    <w:p w14:paraId="4056A829"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наши части вели оборонительные бои с противником. Н-ская часть отразила две атаки гитлеровцев и уничтожила 3 немецких танка и роту пехоты противника. На другом участке наши войска ведут бои с перешедшими в наступление пехотой и танками противника.</w:t>
      </w:r>
    </w:p>
    <w:p w14:paraId="577E0AA1"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Южнее Краснодара бойцы одной нашей части нанесли контрудар противнику. Врезультате боя захвачены у неприятеля 4 противотанковых орудия, 15 миномётов, 12 пулемётов, 12.000 патронов, винтовки, ручные гранаты и другое вооружение. Гитлеровцы потеряли только убитыми свыше 200 солдат и офицеров.</w:t>
      </w:r>
    </w:p>
    <w:p w14:paraId="196AA53F"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Прохладного упорный бой происходил около одного населённого пункта. Наши войска сломили сопротивление противника и заняли этот населённый пункт. Подбито и сожжено 9 немецких танков. Противник потерял в этом бою до батальона пехоты.</w:t>
      </w:r>
    </w:p>
    <w:p w14:paraId="2B5224CD"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витебских партизан под командованием тов. Д. совершил налёт на немецкий гарнизон в одном населённом пункте. Партизаны истребили 158 немецко-фашистских захватчиков и захватили трофеи.</w:t>
      </w:r>
    </w:p>
    <w:p w14:paraId="095A87D2"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Партизаны Калининской области окружили и почти полностью истребили немецкий карательный отряд. Лишь немногим гитлеровцам удалось спастись бегством. У убитого в этом бою немецкого офицера найден приказ полковника Шайхенбауэра. В этом приказе говорится: «После операции по уничтожению партизан части собираютсяна окраине П. и проходят по местечку с песнями. Комендатуре встретить с почестями солдат, возвращающихся с операции». Таким образом, затеянный гитлеровцами парад не удался.</w:t>
      </w:r>
    </w:p>
    <w:p w14:paraId="7119315E"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ефрейтор 5 роты 549 полка 328 немецкой пехотной дивизии Курт Вегарт рассказал: «Наша рота до наступления русских насчитывала 140 человек. После нескольких дней боёв от роты осталось всего 18 человек, все остальные убиты или ранены. Особенно большие потери мы понесли от советских танков. Когда русские прорвали оборону, каждый бежал, спасая свою жизнь, бросив пулемёты, миномёты и личное вооружение».</w:t>
      </w:r>
    </w:p>
    <w:p w14:paraId="6E87D82F"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Французские патриоты всеми мерами срывают работу предприятий, выполняющих немецкие заказы. Нa литейном заводе в городе Гренобль в течение августа были выведены из строя подъёмный кран, компрессор и несколько станков. На кожевенном заводе подожжён склад, в котором сгорели большие запасы сырья. Металлургический завод в Монтатере вследствие саботажа простоял в июле 16 рабочих дней.».</w:t>
      </w:r>
    </w:p>
    <w:p w14:paraId="6C7D78C9"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 xml:space="preserve">30 августа </w:t>
      </w:r>
      <w:r w:rsidRPr="001E2C69">
        <w:rPr>
          <w:rFonts w:ascii="Times New Roman" w:hAnsi="Times New Roman"/>
          <w:color w:val="000000" w:themeColor="text1"/>
          <w:sz w:val="16"/>
          <w:szCs w:val="16"/>
        </w:rPr>
        <w:t>в 1942 году 62-я и 64-я армии Юго-Восточного фронта отведены на средний сталинградский оборонительный обвод. В результате контрударов советские войска захватили на Среднем Дону плацдармы в районе Серафимовича (на правом берегу Дона), у Клетской и севернее Трехостровской, расширен плацдарм в излучине Дона северо-западнее Сиротинской (14754).</w:t>
      </w:r>
    </w:p>
    <w:p w14:paraId="248F9EA6" w14:textId="77777777" w:rsidR="00103465" w:rsidRPr="001E2C69" w:rsidRDefault="00103465" w:rsidP="00722885">
      <w:pPr>
        <w:spacing w:after="0" w:line="240" w:lineRule="auto"/>
        <w:jc w:val="both"/>
        <w:rPr>
          <w:rFonts w:ascii="Times New Roman" w:hAnsi="Times New Roman"/>
          <w:color w:val="000000" w:themeColor="text1"/>
          <w:sz w:val="16"/>
          <w:szCs w:val="16"/>
        </w:rPr>
      </w:pPr>
    </w:p>
    <w:p w14:paraId="34C601E0" w14:textId="77777777" w:rsidR="00103465" w:rsidRPr="001E2C69" w:rsidRDefault="00103465"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 xml:space="preserve">30 августа </w:t>
      </w:r>
      <w:r w:rsidRPr="001E2C69">
        <w:rPr>
          <w:rFonts w:ascii="Times New Roman" w:hAnsi="Times New Roman"/>
          <w:color w:val="000000" w:themeColor="text1"/>
          <w:sz w:val="16"/>
          <w:szCs w:val="16"/>
        </w:rPr>
        <w:t>в 1942 году самолёты авиации дальнего действия бомбили столицу фашистской Германии Берлин (14754).</w:t>
      </w:r>
    </w:p>
    <w:p w14:paraId="2B42B15D" w14:textId="77777777" w:rsidR="00103465" w:rsidRPr="001E2C69" w:rsidRDefault="00103465" w:rsidP="00722885">
      <w:pPr>
        <w:spacing w:after="0" w:line="240" w:lineRule="auto"/>
        <w:jc w:val="both"/>
        <w:rPr>
          <w:rFonts w:ascii="Times New Roman" w:hAnsi="Times New Roman"/>
          <w:color w:val="000000" w:themeColor="text1"/>
          <w:sz w:val="16"/>
          <w:szCs w:val="16"/>
        </w:rPr>
      </w:pPr>
    </w:p>
    <w:p w14:paraId="712EFE7D" w14:textId="77777777" w:rsidR="00182A0D" w:rsidRPr="001E2C69" w:rsidRDefault="00182A0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ночь на 30 августа 1942 в ходе налета АДД на Берлин бомбы были сброшены на Фридрихсфельд, Нойколлин и Берлин. Одновременно часть самолетов бомбила Кенигсберг и еще 17 населенных пунктов Восточной Пруссии (22728).</w:t>
      </w:r>
    </w:p>
    <w:p w14:paraId="32E5F660" w14:textId="77777777" w:rsidR="00182A0D" w:rsidRPr="001E2C69" w:rsidRDefault="00182A0D" w:rsidP="00722885">
      <w:pPr>
        <w:spacing w:after="0" w:line="240" w:lineRule="auto"/>
        <w:jc w:val="both"/>
        <w:rPr>
          <w:rFonts w:ascii="Times New Roman" w:hAnsi="Times New Roman"/>
          <w:color w:val="000000" w:themeColor="text1"/>
          <w:sz w:val="16"/>
          <w:szCs w:val="16"/>
        </w:rPr>
      </w:pPr>
    </w:p>
    <w:p w14:paraId="389AFF19" w14:textId="77777777" w:rsidR="00BD5EB5" w:rsidRPr="001E2C69" w:rsidRDefault="00BD5EB5" w:rsidP="00722885">
      <w:pPr>
        <w:pStyle w:val="Iauiue"/>
        <w:jc w:val="both"/>
        <w:rPr>
          <w:color w:val="000000" w:themeColor="text1"/>
          <w:sz w:val="16"/>
          <w:szCs w:val="16"/>
        </w:rPr>
      </w:pPr>
      <w:r w:rsidRPr="001E2C69">
        <w:rPr>
          <w:color w:val="000000" w:themeColor="text1"/>
          <w:sz w:val="16"/>
          <w:szCs w:val="16"/>
        </w:rPr>
        <w:t>30 августа 1942 Пе-8 АМ-35А N 42018 из 890 был сбит полка над Берлином, совершил вынужденную посадку на территории Восточной Пруссии без горючего и был досконально изучен немцами (1792,6).</w:t>
      </w:r>
    </w:p>
    <w:p w14:paraId="2D393268" w14:textId="77777777" w:rsidR="00BD5EB5" w:rsidRPr="001E2C69" w:rsidRDefault="00BD5EB5" w:rsidP="00722885">
      <w:pPr>
        <w:pStyle w:val="Iauiue"/>
        <w:jc w:val="both"/>
        <w:rPr>
          <w:color w:val="000000" w:themeColor="text1"/>
          <w:sz w:val="16"/>
          <w:szCs w:val="16"/>
        </w:rPr>
      </w:pPr>
    </w:p>
    <w:p w14:paraId="064F8ED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30 августа 1942 один из самых опытных бойцов 686-го </w:t>
      </w:r>
      <w:r w:rsidRPr="001E2C69">
        <w:rPr>
          <w:iCs/>
          <w:color w:val="000000" w:themeColor="text1"/>
          <w:sz w:val="16"/>
          <w:szCs w:val="16"/>
        </w:rPr>
        <w:t>шап</w:t>
      </w:r>
      <w:r w:rsidRPr="001E2C69">
        <w:rPr>
          <w:color w:val="000000" w:themeColor="text1"/>
          <w:sz w:val="16"/>
          <w:szCs w:val="16"/>
        </w:rPr>
        <w:t xml:space="preserve"> 206-й </w:t>
      </w:r>
      <w:r w:rsidRPr="001E2C69">
        <w:rPr>
          <w:iCs/>
          <w:color w:val="000000" w:themeColor="text1"/>
          <w:sz w:val="16"/>
          <w:szCs w:val="16"/>
        </w:rPr>
        <w:t>шад</w:t>
      </w:r>
      <w:r w:rsidRPr="001E2C69">
        <w:rPr>
          <w:color w:val="000000" w:themeColor="text1"/>
          <w:sz w:val="16"/>
          <w:szCs w:val="16"/>
        </w:rPr>
        <w:t xml:space="preserve"> 8-й ВА зам. командира эскадрильи ст.л-т Н.П. Кочет</w:t>
      </w:r>
      <w:r w:rsidRPr="001E2C69">
        <w:rPr>
          <w:color w:val="000000" w:themeColor="text1"/>
          <w:sz w:val="16"/>
          <w:szCs w:val="16"/>
        </w:rPr>
        <w:softHyphen/>
        <w:t>ков в воздушном бою с Ju87 и прикры</w:t>
      </w:r>
      <w:r w:rsidRPr="001E2C69">
        <w:rPr>
          <w:color w:val="000000" w:themeColor="text1"/>
          <w:sz w:val="16"/>
          <w:szCs w:val="16"/>
        </w:rPr>
        <w:softHyphen/>
        <w:t>вавшими их Bf110 сбил один "Мессершмитт". Через три дня Кочетков погиб в бою - от прямого попадания крупнока</w:t>
      </w:r>
      <w:r w:rsidRPr="001E2C69">
        <w:rPr>
          <w:color w:val="000000" w:themeColor="text1"/>
          <w:sz w:val="16"/>
          <w:szCs w:val="16"/>
        </w:rPr>
        <w:softHyphen/>
        <w:t>либерного зенитного снаряда его Ил-2 взорвался в воздухе. Указом Президиу</w:t>
      </w:r>
      <w:r w:rsidRPr="001E2C69">
        <w:rPr>
          <w:color w:val="000000" w:themeColor="text1"/>
          <w:sz w:val="16"/>
          <w:szCs w:val="16"/>
        </w:rPr>
        <w:softHyphen/>
        <w:t>ма Верховного Совета СССР от 05.11.42 г. Н.П.Кочеткову было присвоено зва</w:t>
      </w:r>
      <w:r w:rsidRPr="001E2C69">
        <w:rPr>
          <w:color w:val="000000" w:themeColor="text1"/>
          <w:sz w:val="16"/>
          <w:szCs w:val="16"/>
        </w:rPr>
        <w:softHyphen/>
        <w:t>ние Героя Советского Союза посмертно (6467).</w:t>
      </w:r>
    </w:p>
    <w:p w14:paraId="35274D0F" w14:textId="77777777" w:rsidR="00AE7191" w:rsidRPr="001E2C69" w:rsidRDefault="00AE7191" w:rsidP="00722885">
      <w:pPr>
        <w:pStyle w:val="Iauiue"/>
        <w:jc w:val="both"/>
        <w:rPr>
          <w:color w:val="000000" w:themeColor="text1"/>
          <w:sz w:val="16"/>
          <w:szCs w:val="16"/>
        </w:rPr>
      </w:pPr>
    </w:p>
    <w:p w14:paraId="3FC3FD7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30 августа 1942 ВВС ленинградского фронта предприняли налет на крупный аэродром Сиверская. Участвовало 12 Ил-2 и 8 ЛаГГ-3 для штурмовки и 8 И-16 и 12 Китахоков (154 иап) для прикрытия. Все прошло удачно (7521, 16).</w:t>
      </w:r>
    </w:p>
    <w:p w14:paraId="5CDF5681" w14:textId="77777777" w:rsidR="00AE7191" w:rsidRPr="001E2C69" w:rsidRDefault="00AE7191" w:rsidP="00722885">
      <w:pPr>
        <w:pStyle w:val="Iauiue"/>
        <w:jc w:val="both"/>
        <w:rPr>
          <w:color w:val="000000" w:themeColor="text1"/>
          <w:sz w:val="16"/>
          <w:szCs w:val="16"/>
        </w:rPr>
      </w:pPr>
    </w:p>
    <w:p w14:paraId="7F068D5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27 и 30 августа и 10 сентября 1942 АДД бомбили Берлин (340,94).</w:t>
      </w:r>
    </w:p>
    <w:p w14:paraId="396A4EAD" w14:textId="77777777" w:rsidR="00AE7191" w:rsidRPr="001E2C69" w:rsidRDefault="00AE7191" w:rsidP="00722885">
      <w:pPr>
        <w:pStyle w:val="Iauiue"/>
        <w:jc w:val="both"/>
        <w:rPr>
          <w:color w:val="000000" w:themeColor="text1"/>
          <w:sz w:val="16"/>
          <w:szCs w:val="16"/>
        </w:rPr>
      </w:pPr>
    </w:p>
    <w:p w14:paraId="3E5922A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ночь на 30 августа 1942 на Волховском фронте 507 ОТБ, вооруженный огнеметными танками, применял огнеметы против живой силы, получив задачу вместе с 70 гсп 24 гсд у отм. 40.1. Уничтожил до роты. 5 танков ОТБ-505 в районе Торопово применили огнеметы. Паника (5219, 33).</w:t>
      </w:r>
    </w:p>
    <w:p w14:paraId="7C945343" w14:textId="77777777" w:rsidR="00AE7191" w:rsidRPr="001E2C69" w:rsidRDefault="00AE7191" w:rsidP="00722885">
      <w:pPr>
        <w:pStyle w:val="Iauiue"/>
        <w:jc w:val="both"/>
        <w:rPr>
          <w:color w:val="000000" w:themeColor="text1"/>
          <w:sz w:val="16"/>
          <w:szCs w:val="16"/>
        </w:rPr>
      </w:pPr>
    </w:p>
    <w:p w14:paraId="614B1A5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30 августа 1942 г. вышел ПРИКАЗ НКО № 0669 О ЛИКВИДАЦИИ НЕРЯШЛИВОСТИ В НОШЕНИИ ОБМУНДИРОВАНИЯ ВОЕННОСЛУЖАЩИМИ КРАСНОЙ АРМИИ</w:t>
      </w:r>
    </w:p>
    <w:p w14:paraId="193D5B5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ряде мест на фронтах и в военных округах неряшливый внешний вид, хождение бойцов и командиров в грязном и рваном обмундировании и обуви стали массовым явлением.</w:t>
      </w:r>
    </w:p>
    <w:p w14:paraId="61E5B7C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Эти, совершенно нетерпимые, позорящие достоинство военнослужащего Красной Армии, факты происходят из-за неудовлетворительной работы руководящих работников интендантской службы и подчиненных им органов. Интендантские органы ослабили контроль за использованием выдаваемого нового обмундирования, ими плохо организованы саморемонт и стирка обмундирования.</w:t>
      </w:r>
    </w:p>
    <w:p w14:paraId="44C8165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Непосредственные начальники военнослужащих: командиры частей и соединений, коменданты городов и начальники гарнизонов ослабили борьбу с нарушениями военной формы.</w:t>
      </w:r>
    </w:p>
    <w:p w14:paraId="4B0E31F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Порочная практика некоторых интендантов руководить из канцелярии приводит к тому, что интендантские органы не видят живых людей, не проверяют, как и во что они одеты, порою не знают, какими запасами они располагают для удовлетворения законных требований частей и лиц по их обеспечению.</w:t>
      </w:r>
    </w:p>
    <w:p w14:paraId="7AA0B90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Например, в частях бывшего Южного фронта бойцы ходили оборванными, в грязном обмундировании, в рваной обуви и даже босые. Интендант фронта т. Кузнецов и начальник тыла того же фронта т. Шебунин, имея на складах большие запасы обуви, все время требовали отпуска обуви из центра и, в то же время, при отходе наших войск в июле с. г. всю обувь бросили, сделав ее добычей противника.</w:t>
      </w:r>
    </w:p>
    <w:p w14:paraId="02E861D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Московский военный округ, также располагая материальными запасами, отправил 261-й бомбардировочный полк необмундированным по летнему плану.</w:t>
      </w:r>
    </w:p>
    <w:p w14:paraId="27FE7CC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Эти примеры служат доказательством того, что часть интендантских работников оторвалась от дела, не болеет за порученную им работу, не проверяет, дошло ли непосредственно до людей выданное частям и соединениям обмундирование и не организует работы по его сбережению.</w:t>
      </w:r>
    </w:p>
    <w:p w14:paraId="69069C7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Приказываю:</w:t>
      </w:r>
    </w:p>
    <w:p w14:paraId="3DAC6EF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Военным советам фронтов, армий и военных округов немедленно устранить все случаи ношения военнослужащими теплых вещей в летнее время и появления их в порванном и грязном обмундировании и обуви.</w:t>
      </w:r>
    </w:p>
    <w:p w14:paraId="1B2A0AB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Установить твердый порядок, по которому ни один военнослужащий не мог бы находиться в пределах части и вне ее (как на фронте, так и в тылу) в грязном и порванном несезонном обмундировании и обуви.</w:t>
      </w:r>
    </w:p>
    <w:p w14:paraId="36E9FA87" w14:textId="77777777" w:rsidR="00AE7191" w:rsidRPr="001E2C69" w:rsidRDefault="00AE7191" w:rsidP="00722885">
      <w:pPr>
        <w:pStyle w:val="Iauiue"/>
        <w:jc w:val="both"/>
        <w:rPr>
          <w:iCs/>
          <w:color w:val="000000" w:themeColor="text1"/>
          <w:sz w:val="16"/>
          <w:szCs w:val="16"/>
        </w:rPr>
      </w:pPr>
      <w:r w:rsidRPr="001E2C69">
        <w:rPr>
          <w:color w:val="000000" w:themeColor="text1"/>
          <w:sz w:val="16"/>
          <w:szCs w:val="16"/>
        </w:rPr>
        <w:t>3. Командующим войсками и начальникам гарнизонов усилить наблюде ние гарнизонных патрулей за внешним видом военнослужащих. Нарушающих установленную форму, а также неопрятно одетых военнослужащих задерживать и направлять в комендатуры для выяснения принадлежности к части и принудительного отправления задержанных в свои части.</w:t>
      </w:r>
    </w:p>
    <w:p w14:paraId="493CE40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Интендантам всех степеней решительно изменить метод канцелярского руководства на живое руководство порученным им делом. Больше быть в войсках, среди бойцов, комадиров, изучать их нужды и законные требования. Всегда знать место и количество имеющихся запасов, немедленно учтя их там, где этот учет не точен или запущен. Лично проверять сбережение имущества. Организовать и требовать от непосредственных начальников бойцов решительной борьбы за сбережение и сохранение военного имущества.</w:t>
      </w:r>
    </w:p>
    <w:p w14:paraId="400502B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Организовать стирку и ремонт обмундирования самими бойцами.</w:t>
      </w:r>
    </w:p>
    <w:p w14:paraId="1B44F67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Предупреждаю, что впредь во всех случаях обнаружения инспектирующими лицами военнослужащих в неряшливом виде, в порванной одежде и обуви и одетых не по сезону буду строго наказывать, вплоть до снятия с должностей и предания суду не только непосредственно виновных лиц интендантской службы войсковых частей, в которых подобные случаи будут обнаружены, но и интендантов соответствующих соединений, армий, фронтов и округов.</w:t>
      </w:r>
    </w:p>
    <w:p w14:paraId="3FB0664F" w14:textId="77777777" w:rsidR="00AE7191" w:rsidRPr="001E2C69" w:rsidRDefault="00AE7191" w:rsidP="00722885">
      <w:pPr>
        <w:pStyle w:val="Iauiue"/>
        <w:jc w:val="both"/>
        <w:rPr>
          <w:color w:val="000000" w:themeColor="text1"/>
          <w:sz w:val="16"/>
          <w:szCs w:val="16"/>
        </w:rPr>
      </w:pPr>
      <w:r w:rsidRPr="001E2C69">
        <w:rPr>
          <w:iCs/>
          <w:color w:val="000000" w:themeColor="text1"/>
          <w:sz w:val="16"/>
          <w:szCs w:val="16"/>
        </w:rPr>
        <w:t xml:space="preserve">Заместитель Народного комиссара обороны генерал-лейтенант интендантской службы ХРУЛЕВ </w:t>
      </w:r>
      <w:r w:rsidRPr="001E2C69">
        <w:rPr>
          <w:color w:val="000000" w:themeColor="text1"/>
          <w:sz w:val="16"/>
          <w:szCs w:val="16"/>
        </w:rPr>
        <w:t>(9844).</w:t>
      </w:r>
    </w:p>
    <w:p w14:paraId="6D51C32E" w14:textId="77777777" w:rsidR="00AE7191" w:rsidRPr="001E2C69" w:rsidRDefault="00AE7191" w:rsidP="00722885">
      <w:pPr>
        <w:pStyle w:val="Iauiue"/>
        <w:jc w:val="both"/>
        <w:rPr>
          <w:color w:val="000000" w:themeColor="text1"/>
          <w:sz w:val="16"/>
          <w:szCs w:val="16"/>
        </w:rPr>
      </w:pPr>
    </w:p>
    <w:p w14:paraId="74B9BDC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30 августа 1942 Военный совет Юго-Восточного фронта вынес постановление «Об организации перевозок через р. Волга в Сталинграде». Оно обязывало командующего Волжской военной флотилией контр-адмирала Д. Д. Рогачева подготовить принятые от Наркомата речного флота катера – водные трамваи и газоходы – для перевозок людей. Генерал-майору В. Ф. Шестакову, контр-адмиралу Д. Д. Рогачеву и уполномоченному Наркомречфлота Ф. Г. Каченину предлагалось в суточный срок рассмотреть и доложить Военному совету фронта конкретный план расстановки транспортных средств по перевозкам. Во исполнение этого постановления для обеспечения перевозки людей из Сталинграда на левый берег Волги был разработан план переправ в Краснооктябрьском районе и в районе </w:t>
      </w:r>
      <w:r w:rsidRPr="001E2C69">
        <w:rPr>
          <w:rFonts w:ascii="Times New Roman" w:hAnsi="Times New Roman"/>
          <w:color w:val="000000" w:themeColor="text1"/>
          <w:sz w:val="16"/>
          <w:szCs w:val="16"/>
        </w:rPr>
        <w:lastRenderedPageBreak/>
        <w:t>Красноармейска. Нижневолжское речное пароходство выделило для работы на этих переправах одиннадцать судов.  Тем временем флот продолжал нести тяжелые потери. 31 августа 1942 г. на магнитной мине подорвался буксирный пароход-плотовод «Казанка», капитаном которого был Иван Шумилов. На нем взорвался паровой котел, и судно моментально затонуло. Из 30 человек команды и членов их семей в живых остались лишь пятеро: лоцман, два штурвальных, масленщик и жена помощника капитана. В эти же дни от немецких бомб и мин погибли грузовой пароход «Черкесия», пассажирский теплоход «Нижневолгострой» вместе со всей командой и капитаном Ф. В. Трубановым, буксирный пароход «Союзный ЦИК», пассажирский теплоход «Ильич», пароход «Эривань» и многие другие (11774).</w:t>
      </w:r>
    </w:p>
    <w:p w14:paraId="14B2AE73"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5DB30F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 августа 1942 вышло Постановление ГКО № 2226 Об отпуске продовольственных пайков для Красной Армии, Военно-Морского Флота и войск НКВД в сентябре месяце 1942 г. РГАНИР, Фонд ГКО, д. 54, лл. 87-88, 89-90 (11012).</w:t>
      </w:r>
    </w:p>
    <w:p w14:paraId="64F16C1C"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CCD50DB"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0BA39D81" w14:textId="77777777" w:rsidR="00AE7191" w:rsidRPr="001E2C69" w:rsidRDefault="00AE7191" w:rsidP="00722885">
      <w:pPr>
        <w:pStyle w:val="Iauiue"/>
        <w:jc w:val="both"/>
        <w:rPr>
          <w:iCs/>
          <w:color w:val="000000" w:themeColor="text1"/>
          <w:sz w:val="16"/>
          <w:szCs w:val="16"/>
        </w:rPr>
      </w:pPr>
    </w:p>
    <w:p w14:paraId="1EDE1D54" w14:textId="70D014DA" w:rsidR="004C228B" w:rsidRPr="001E2C69" w:rsidRDefault="004C228B" w:rsidP="00722885">
      <w:pPr>
        <w:pStyle w:val="af"/>
        <w:shd w:val="clear" w:color="auto" w:fill="FFFFFF"/>
        <w:spacing w:before="0" w:after="0"/>
        <w:jc w:val="both"/>
        <w:rPr>
          <w:color w:val="000000" w:themeColor="text1"/>
          <w:sz w:val="16"/>
          <w:szCs w:val="16"/>
        </w:rPr>
      </w:pPr>
      <w:r w:rsidRPr="001E2C69">
        <w:rPr>
          <w:color w:val="000000" w:themeColor="text1"/>
          <w:sz w:val="16"/>
          <w:szCs w:val="16"/>
        </w:rPr>
        <w:t>30 августа 1942 Fieseler завершил первый фюзеляж Фау-1 и первый полет Fi 103 V7 состоялся 10 декабря 1942 года, когда он был сброшен с самолёта</w:t>
      </w:r>
      <w:r w:rsidR="001E2C69">
        <w:rPr>
          <w:color w:val="000000" w:themeColor="text1"/>
          <w:sz w:val="16"/>
          <w:szCs w:val="16"/>
        </w:rPr>
        <w:t xml:space="preserve">   </w:t>
      </w:r>
      <w:hyperlink r:id="rId214" w:tooltip="Fw 200" w:history="1">
        <w:r w:rsidRPr="001E2C69">
          <w:rPr>
            <w:rStyle w:val="a6"/>
            <w:color w:val="000000" w:themeColor="text1"/>
            <w:sz w:val="16"/>
            <w:szCs w:val="16"/>
          </w:rPr>
          <w:t>Fw 200</w:t>
        </w:r>
      </w:hyperlink>
      <w:hyperlink r:id="rId215" w:anchor="cite_note-_2b8e394fb77d0738-1" w:history="1">
        <w:r w:rsidRPr="001E2C69">
          <w:rPr>
            <w:rStyle w:val="a6"/>
            <w:color w:val="000000" w:themeColor="text1"/>
            <w:sz w:val="16"/>
            <w:szCs w:val="16"/>
            <w:vertAlign w:val="superscript"/>
          </w:rPr>
          <w:t>[1]</w:t>
        </w:r>
      </w:hyperlink>
      <w:r w:rsidRPr="001E2C69">
        <w:rPr>
          <w:color w:val="000000" w:themeColor="text1"/>
          <w:sz w:val="16"/>
          <w:szCs w:val="16"/>
        </w:rPr>
        <w:t xml:space="preserve"> (19631).</w:t>
      </w:r>
    </w:p>
    <w:p w14:paraId="4A17F396" w14:textId="77777777" w:rsidR="004C228B" w:rsidRPr="001E2C69" w:rsidRDefault="004C228B" w:rsidP="00722885">
      <w:pPr>
        <w:spacing w:after="0" w:line="240" w:lineRule="auto"/>
        <w:jc w:val="both"/>
        <w:rPr>
          <w:rFonts w:ascii="Times New Roman" w:hAnsi="Times New Roman"/>
          <w:color w:val="000000" w:themeColor="text1"/>
          <w:sz w:val="16"/>
          <w:szCs w:val="16"/>
        </w:rPr>
      </w:pPr>
    </w:p>
    <w:p w14:paraId="13EFE9BB" w14:textId="77777777" w:rsidR="00182A0D" w:rsidRPr="001E2C69" w:rsidRDefault="00182A0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 августа 1942 года завершили постройку первого экземпляра Fi-103. Крылатая ракета Fi-103 представляла собой беспилотный летательный аппарат со среднерасположенным крылом и однокилевым хвостовым оперением. Основным конструкционным материалом была сталь. Большинство деталей изготавливалось при помощи штамповки, что удешевляло и ускоряло производственный процесс.</w:t>
      </w:r>
    </w:p>
    <w:p w14:paraId="75E662C1" w14:textId="77777777" w:rsidR="00182A0D" w:rsidRPr="001E2C69" w:rsidRDefault="00182A0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Окончательный проект ракеты отличался от первоначального замысла однокилевым хвостовым оперением и отсутствием положительного угла «V» у крыла. В сентябре на нее установили двигатель и начали подготовку к летным испытаниям. Наземные огневые испытания ПуВРД выявили большое количество проблем — и полеты пришлось отложить. Только в октябре удалось наладить устойчивую работу ПуВРД (22878).</w:t>
      </w:r>
    </w:p>
    <w:p w14:paraId="22676C51" w14:textId="77777777" w:rsidR="00182A0D" w:rsidRPr="001E2C69" w:rsidRDefault="00182A0D" w:rsidP="00722885">
      <w:pPr>
        <w:spacing w:after="0" w:line="240" w:lineRule="auto"/>
        <w:jc w:val="both"/>
        <w:rPr>
          <w:rFonts w:ascii="Times New Roman" w:hAnsi="Times New Roman"/>
          <w:color w:val="000000" w:themeColor="text1"/>
          <w:sz w:val="16"/>
          <w:szCs w:val="16"/>
        </w:rPr>
      </w:pPr>
    </w:p>
    <w:p w14:paraId="66D45C0F" w14:textId="77777777" w:rsidR="006649D4" w:rsidRPr="008A2E5A" w:rsidRDefault="006649D4" w:rsidP="006649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30 августа 1942 г. первый прототип Fi-103 был готов, 10 декабря 1942 г. его подвесили под четырехмоторный самолет Fw-200 «Condor» и сбросили с большой высоты без включения двигателя — для проверки летных характеристик. Самолет-снаряд прекрасно планировал и пролетел 3 км (23372).</w:t>
      </w:r>
    </w:p>
    <w:p w14:paraId="7BDC8BCE" w14:textId="77777777" w:rsidR="006649D4" w:rsidRPr="008A2E5A" w:rsidRDefault="006649D4" w:rsidP="006649D4">
      <w:pPr>
        <w:spacing w:after="0" w:line="240" w:lineRule="auto"/>
        <w:jc w:val="both"/>
        <w:rPr>
          <w:rFonts w:ascii="Times New Roman" w:hAnsi="Times New Roman"/>
          <w:color w:val="0070C0"/>
          <w:sz w:val="16"/>
          <w:szCs w:val="16"/>
        </w:rPr>
      </w:pPr>
    </w:p>
    <w:p w14:paraId="13E893B1"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30 августа 1942 немцы аннексировали Люксембург (4962).</w:t>
      </w:r>
    </w:p>
    <w:p w14:paraId="5C76AABE" w14:textId="77777777" w:rsidR="00AE7191" w:rsidRPr="001E2C69" w:rsidRDefault="00AE7191" w:rsidP="00722885">
      <w:pPr>
        <w:pStyle w:val="Iauiue"/>
        <w:tabs>
          <w:tab w:val="left" w:pos="11199"/>
        </w:tabs>
        <w:jc w:val="both"/>
        <w:rPr>
          <w:color w:val="000000" w:themeColor="text1"/>
          <w:sz w:val="16"/>
          <w:szCs w:val="16"/>
        </w:rPr>
      </w:pPr>
    </w:p>
    <w:p w14:paraId="4F8112C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30 августа 1942 Германия аннексировала Люксембург (3481).</w:t>
      </w:r>
    </w:p>
    <w:p w14:paraId="25B9B794" w14:textId="77777777" w:rsidR="00AE7191" w:rsidRPr="001E2C69" w:rsidRDefault="00AE7191" w:rsidP="00722885">
      <w:pPr>
        <w:pStyle w:val="Iauiue"/>
        <w:jc w:val="both"/>
        <w:rPr>
          <w:color w:val="000000" w:themeColor="text1"/>
          <w:sz w:val="16"/>
          <w:szCs w:val="16"/>
        </w:rPr>
      </w:pPr>
    </w:p>
    <w:p w14:paraId="60C48274"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6DCD863D" w14:textId="77777777" w:rsidR="00AE7191" w:rsidRPr="001E2C69" w:rsidRDefault="00AE7191" w:rsidP="00722885">
      <w:pPr>
        <w:pStyle w:val="Iauiue"/>
        <w:jc w:val="both"/>
        <w:rPr>
          <w:iCs/>
          <w:color w:val="000000" w:themeColor="text1"/>
          <w:sz w:val="16"/>
          <w:szCs w:val="16"/>
        </w:rPr>
      </w:pPr>
    </w:p>
    <w:p w14:paraId="00A3B3C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31 августа 1942 вышел приказ НКАП N 670с:</w:t>
      </w:r>
    </w:p>
    <w:p w14:paraId="2335404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 заводе 30 имели место случаи, когда отдельные самолеты (N 30647, 29856) простаивали из-за моторных дефектов по целому месяцу, что является следствием совершенно неудовлетворительной работы заводов 45 и 24 по устранению дефектов и отладке моторов АМ-38:</w:t>
      </w:r>
    </w:p>
    <w:p w14:paraId="4CF07D6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Директору завода 45 Комарову:</w:t>
      </w:r>
    </w:p>
    <w:p w14:paraId="4106A21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 обеспечить своевременную отладку как производства завода 45, так и производства завода 24, устанавливаемых заводом 30 на самолеты Ил-2" (1587,77).</w:t>
      </w:r>
    </w:p>
    <w:p w14:paraId="3684C577" w14:textId="77777777" w:rsidR="00AE7191" w:rsidRPr="001E2C69" w:rsidRDefault="00AE7191" w:rsidP="00722885">
      <w:pPr>
        <w:pStyle w:val="Iauiue"/>
        <w:jc w:val="both"/>
        <w:rPr>
          <w:color w:val="000000" w:themeColor="text1"/>
          <w:sz w:val="16"/>
          <w:szCs w:val="16"/>
        </w:rPr>
      </w:pPr>
    </w:p>
    <w:p w14:paraId="1E9824C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31 августа 1942 из ЦКБ-29 вышел эскизный проект самолета противотанковой воздушной армии, который предполагал построить первые пять машин к ноябрю 1942 и 15 тыс. к августу 1943 для начала массированного применения (334).</w:t>
      </w:r>
    </w:p>
    <w:p w14:paraId="4DC87349" w14:textId="77777777" w:rsidR="00AE7191" w:rsidRPr="001E2C69" w:rsidRDefault="00AE7191" w:rsidP="00722885">
      <w:pPr>
        <w:pStyle w:val="Iauiue"/>
        <w:jc w:val="both"/>
        <w:rPr>
          <w:color w:val="000000" w:themeColor="text1"/>
          <w:sz w:val="16"/>
          <w:szCs w:val="16"/>
        </w:rPr>
      </w:pPr>
    </w:p>
    <w:p w14:paraId="1DFB94CF"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31 августа 1942 года</w:t>
      </w:r>
      <w:r w:rsidRPr="001E2C69">
        <w:rPr>
          <w:rFonts w:ascii="Times New Roman" w:hAnsi="Times New Roman"/>
          <w:color w:val="000000" w:themeColor="text1"/>
          <w:sz w:val="16"/>
          <w:szCs w:val="16"/>
        </w:rPr>
        <w:t xml:space="preserve"> Эскизный проект самолета Томашевича «Пегас» от лица ЦКБ-29 направлен для рассмотрения в наркомат авиапромышленности. Предваряло эскизный проект общее описание этой достаточно небывалой идеи (14755).</w:t>
      </w:r>
    </w:p>
    <w:p w14:paraId="57888225" w14:textId="77777777" w:rsidR="00BD5EB5" w:rsidRPr="001E2C69" w:rsidRDefault="00BD5EB5" w:rsidP="00722885">
      <w:pPr>
        <w:spacing w:after="0" w:line="240" w:lineRule="auto"/>
        <w:jc w:val="both"/>
        <w:rPr>
          <w:rFonts w:ascii="Times New Roman" w:hAnsi="Times New Roman"/>
          <w:color w:val="000000" w:themeColor="text1"/>
          <w:sz w:val="16"/>
          <w:szCs w:val="16"/>
        </w:rPr>
      </w:pPr>
    </w:p>
    <w:p w14:paraId="2AF5A115" w14:textId="77777777" w:rsidR="00AE7191" w:rsidRPr="001E2C69" w:rsidRDefault="00AE7191" w:rsidP="00722885">
      <w:pPr>
        <w:pStyle w:val="afff5"/>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 xml:space="preserve">31 августа </w:t>
      </w:r>
      <w:r w:rsidR="00BD5EB5" w:rsidRPr="001E2C69">
        <w:rPr>
          <w:i w:val="0"/>
          <w:iCs w:val="0"/>
          <w:color w:val="000000" w:themeColor="text1"/>
          <w:spacing w:val="0"/>
          <w:kern w:val="0"/>
          <w:position w:val="0"/>
          <w:sz w:val="16"/>
          <w:szCs w:val="16"/>
        </w:rPr>
        <w:t xml:space="preserve">1942 </w:t>
      </w:r>
      <w:r w:rsidRPr="001E2C69">
        <w:rPr>
          <w:i w:val="0"/>
          <w:iCs w:val="0"/>
          <w:color w:val="000000" w:themeColor="text1"/>
          <w:spacing w:val="0"/>
          <w:kern w:val="0"/>
          <w:position w:val="0"/>
          <w:sz w:val="16"/>
          <w:szCs w:val="16"/>
        </w:rPr>
        <w:t xml:space="preserve">от лица ЦКБ-29 направлен для рассмотрения в наркомат авиапромышленности. Предваряло эскизный проект общее описание этой достаточно небывалой идеи: </w:t>
      </w:r>
    </w:p>
    <w:p w14:paraId="2C315BBA" w14:textId="77777777" w:rsidR="00AE7191" w:rsidRPr="001E2C69" w:rsidRDefault="00AE7191" w:rsidP="00722885">
      <w:pPr>
        <w:pStyle w:val="afff5"/>
        <w:tabs>
          <w:tab w:val="left" w:pos="720"/>
        </w:tabs>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 xml:space="preserve">В существующих условиях нужно и можно создать самолет, предназначенный для решения только одной задачи -уничтожения танков и мобильных войск, имеющий настолько простую конструкцию, что проектирование и постройка опытных машин займет не более трех месяцев. К 1 августа 1943 г. можно будет построить 15000 таких самолетов, без ощутимого напряжения промышленности и почти без загрузки смежников. </w:t>
      </w:r>
    </w:p>
    <w:p w14:paraId="7C98B1C7" w14:textId="77777777" w:rsidR="00AE7191" w:rsidRPr="001E2C69" w:rsidRDefault="00AE7191" w:rsidP="00722885">
      <w:pPr>
        <w:pStyle w:val="afff5"/>
        <w:tabs>
          <w:tab w:val="left" w:pos="720"/>
        </w:tabs>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 xml:space="preserve">Основная идея, лежащая в основе предполагаемого самолета состоит в том, чтобы исключить из конструкции все, что предназначено для решения других задач, оставить только минимум, который необходим для уничтожения танков. </w:t>
      </w:r>
    </w:p>
    <w:p w14:paraId="08E91CE0" w14:textId="77777777" w:rsidR="00AE7191" w:rsidRPr="001E2C69" w:rsidRDefault="00AE7191" w:rsidP="00722885">
      <w:pPr>
        <w:pStyle w:val="afff5"/>
        <w:tabs>
          <w:tab w:val="left" w:pos="720"/>
        </w:tabs>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 xml:space="preserve">Такой специально противотанковый самолет не требует большинства характеристик и оборудования, входящих в понятие современного военного самолета, чрезвычайно усложняющих конструкцию и организацию производства. Например, для противотанкового самолета не требуется больших горизонтальных скоростей и большого диапазона их, не требуется большой высотности. Вследствие этого самолет может быть построен исключительно из недефицитных, низкосортных и даже не авиационных материалов. </w:t>
      </w:r>
    </w:p>
    <w:p w14:paraId="72058155" w14:textId="77777777" w:rsidR="00AE7191" w:rsidRPr="001E2C69" w:rsidRDefault="00AE7191" w:rsidP="00722885">
      <w:pPr>
        <w:pStyle w:val="afff5"/>
        <w:tabs>
          <w:tab w:val="left" w:pos="720"/>
        </w:tabs>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 xml:space="preserve">Чтобы обеспечить внезапность применения нового противотанкового самолета, нужно бросить его на фронт сразу большими массами. Для вступления всей массы самолетов в строй к августу 1943 г. необходимо выполнить следующие мероприятия: </w:t>
      </w:r>
    </w:p>
    <w:p w14:paraId="583F906A" w14:textId="77777777" w:rsidR="00AE7191" w:rsidRPr="001E2C69" w:rsidRDefault="00AE7191" w:rsidP="00722885">
      <w:pPr>
        <w:pStyle w:val="afff5"/>
        <w:tabs>
          <w:tab w:val="left" w:pos="1440"/>
        </w:tabs>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 xml:space="preserve">немедленно приступить к постройке первых пяти штук на заводе ¦ 288, с выпуском их к 1 ноября 1942 г. </w:t>
      </w:r>
    </w:p>
    <w:p w14:paraId="19941A23" w14:textId="77777777" w:rsidR="00AE7191" w:rsidRPr="001E2C69" w:rsidRDefault="00AE7191" w:rsidP="00722885">
      <w:pPr>
        <w:pStyle w:val="afff5"/>
        <w:tabs>
          <w:tab w:val="left" w:pos="1440"/>
        </w:tabs>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 xml:space="preserve">одновременно с началом, проектирования выделить два крупных завода, один - типа завода сельскохозяйственных машин - для постройки самолета, другой - типа завода ¦ 29 - для изготовление авиамоторов и немедленно начать проектирование серийной технологии и оснастки. </w:t>
      </w:r>
    </w:p>
    <w:p w14:paraId="61BB6C35" w14:textId="77777777" w:rsidR="00AE7191" w:rsidRPr="001E2C69" w:rsidRDefault="00AE7191" w:rsidP="00722885">
      <w:pPr>
        <w:pStyle w:val="afff5"/>
        <w:tabs>
          <w:tab w:val="left" w:pos="1440"/>
        </w:tabs>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 xml:space="preserve">после готовности первых пяти самолетов, кроме обычных летных испытаний отработать тактику боя с танками. Для этой цели необходимо выделить танковую часть и оборудовать недалеко от Омска специальный полигон. </w:t>
      </w:r>
    </w:p>
    <w:p w14:paraId="6E330FA2" w14:textId="77777777" w:rsidR="00AE7191" w:rsidRPr="001E2C69" w:rsidRDefault="00AE7191" w:rsidP="00722885">
      <w:pPr>
        <w:pStyle w:val="afff5"/>
        <w:tabs>
          <w:tab w:val="left" w:pos="1440"/>
        </w:tabs>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 xml:space="preserve">приступить к серийному производству на выделенных двух заводах немедленно после готовности серийной технологии и оснастки, сводя постепенно на нет существующее на них производство. Серийный выпуск необходимо осуществить независимо от готовности опытных самолетов и окончания их испытаний. </w:t>
      </w:r>
    </w:p>
    <w:p w14:paraId="37EBA6A6" w14:textId="77777777" w:rsidR="00AE7191" w:rsidRPr="001E2C69" w:rsidRDefault="00AE7191" w:rsidP="00722885">
      <w:pPr>
        <w:pStyle w:val="afff5"/>
        <w:tabs>
          <w:tab w:val="left" w:pos="1440"/>
        </w:tabs>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 xml:space="preserve">подобное немедленное развертывание производства содержит в себе некоторый риск, но ввиду простой конструкции можно гарантировать, что самолет в реальном полете будет иметь расчетные летные данные. Даже если тактические испытания выявят неудовлетворительный результат, что маловероятно, материальный ущерб будет сравнительно незначителен, а именно: </w:t>
      </w:r>
    </w:p>
    <w:p w14:paraId="6664FE40" w14:textId="77777777" w:rsidR="00AE7191" w:rsidRPr="001E2C69" w:rsidRDefault="00AE7191" w:rsidP="00722885">
      <w:pPr>
        <w:pStyle w:val="afff5"/>
        <w:numPr>
          <w:ilvl w:val="0"/>
          <w:numId w:val="6"/>
        </w:numPr>
        <w:ind w:left="0" w:firstLine="0"/>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 xml:space="preserve">стоимость проектирования и постройка 5 опытных машин -2700000руб. </w:t>
      </w:r>
    </w:p>
    <w:p w14:paraId="4B7AD62F" w14:textId="77777777" w:rsidR="00AE7191" w:rsidRPr="001E2C69" w:rsidRDefault="00AE7191" w:rsidP="00722885">
      <w:pPr>
        <w:pStyle w:val="afff5"/>
        <w:numPr>
          <w:ilvl w:val="0"/>
          <w:numId w:val="6"/>
        </w:numPr>
        <w:ind w:left="0" w:firstLine="0"/>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 xml:space="preserve">летные и тактические испытания - 500 000 руб. </w:t>
      </w:r>
    </w:p>
    <w:p w14:paraId="4277A95B" w14:textId="77777777" w:rsidR="00AE7191" w:rsidRPr="001E2C69" w:rsidRDefault="00AE7191" w:rsidP="00722885">
      <w:pPr>
        <w:pStyle w:val="afff5"/>
        <w:numPr>
          <w:ilvl w:val="0"/>
          <w:numId w:val="6"/>
        </w:numPr>
        <w:ind w:left="0" w:firstLine="0"/>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 xml:space="preserve">подготовка серийного производства -1 500 000руб. </w:t>
      </w:r>
    </w:p>
    <w:p w14:paraId="03A8F190" w14:textId="77777777" w:rsidR="00AE7191" w:rsidRPr="001E2C69" w:rsidRDefault="00AE7191" w:rsidP="00722885">
      <w:pPr>
        <w:pStyle w:val="afff5"/>
        <w:numPr>
          <w:ilvl w:val="0"/>
          <w:numId w:val="6"/>
        </w:numPr>
        <w:ind w:left="0" w:firstLine="0"/>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 xml:space="preserve">первоначальный серийный задел - 5000000руб. </w:t>
      </w:r>
    </w:p>
    <w:p w14:paraId="0347CB34" w14:textId="77777777" w:rsidR="00AE7191" w:rsidRPr="001E2C69" w:rsidRDefault="00AE7191" w:rsidP="00722885">
      <w:pPr>
        <w:pStyle w:val="afff5"/>
        <w:numPr>
          <w:ilvl w:val="0"/>
          <w:numId w:val="6"/>
        </w:numPr>
        <w:ind w:left="0" w:firstLine="0"/>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 xml:space="preserve">Всего приблизительно -10 000 000 руб. </w:t>
      </w:r>
    </w:p>
    <w:p w14:paraId="744B2B9B" w14:textId="77777777" w:rsidR="00AE7191" w:rsidRPr="001E2C69" w:rsidRDefault="00AE7191" w:rsidP="00722885">
      <w:pPr>
        <w:pStyle w:val="afff5"/>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В случае удовлетворительных тактических свойств самолета страна получит в 1943 г. средство, которое решит исход кампании на нашем театре военных действий и, следовательно, исход всей войны.</w:t>
      </w:r>
    </w:p>
    <w:p w14:paraId="02D4CF7A" w14:textId="77777777" w:rsidR="00AE7191" w:rsidRPr="001E2C69" w:rsidRDefault="00AE7191" w:rsidP="00722885">
      <w:pPr>
        <w:pStyle w:val="afff5"/>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 xml:space="preserve">В свете такой перспективы упомянутый выше риск совершенно ничтожен, и работы должны быть немедленно развернуты во всю ширину. </w:t>
      </w:r>
    </w:p>
    <w:p w14:paraId="39283098" w14:textId="77777777" w:rsidR="00AE7191" w:rsidRPr="001E2C69" w:rsidRDefault="00AE7191" w:rsidP="00722885">
      <w:pPr>
        <w:pStyle w:val="afff5"/>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 xml:space="preserve">Оценивая возможности производства своего самолета, Томашевич особо подчеркивал, что строить его планируется из недефицитного сырья, даже не применяемого в авиации, задействовать при этом предприятия местной промышленности. Предполагалось, в частности, использовать поделочную сосну, строительную фанеру, сталь марки С-20, кровельное железо и низкосортные алюминиевые сплавы в минимальном количестве. Из дерева конструктор предлагал изготовлять не только сам самолет, но и, что было уж совсем необычно, колеса шасси. В качестве силовой установки выбраны были двигатели М-11 (по два на каждый самолет из условий грузоподъемности, компоновки вооружения и обеспечения хорошего обзора летчику) - надежные, недорогие и неприхотливые, хорошо освоенные авиапромышленностью и широко распространенные в советской авиации. М-11, кроме прочего, не требовали сложного оборудования при эксплуатации и ремонте, легко запускались в зимнее время и потребляли любой авиабензин. По подсчетам, для боевого вылета пяти противотанковых самолетов Томашевича топлива расходовалось столько же, сколько требовалось для обеспечения боевого вылета одного Ил-2. </w:t>
      </w:r>
    </w:p>
    <w:p w14:paraId="55DD16AE" w14:textId="77777777" w:rsidR="00AE7191" w:rsidRPr="001E2C69" w:rsidRDefault="00AE7191" w:rsidP="00722885">
      <w:pPr>
        <w:pStyle w:val="afff5"/>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 xml:space="preserve">Кроме того, что самолет предполагался дешевым и простым в производстве, на нем осуществлялись мероприятия, которые позволяли доверить его летчикам с невысокой квалификацией. Шасси не убиралось, отсутствовала гидравлика и воздушная система, электропроводка ставилась самая простейшая. Профиль крыла NACA 4415-4409 с высокими несущими свойствами в сочетании со специальными неподвижными предкрылками обеспечивали высокие взлетно-посадочные характеристики. </w:t>
      </w:r>
    </w:p>
    <w:p w14:paraId="1DBBEB6D" w14:textId="77777777" w:rsidR="00AE7191" w:rsidRPr="001E2C69" w:rsidRDefault="00AE7191" w:rsidP="00722885">
      <w:pPr>
        <w:pStyle w:val="afff5"/>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lastRenderedPageBreak/>
        <w:t>Внутри КБ проектируемый самолет обозначался как ЛШБД - "легкий штурмовик-бомбардировщик, деревянный", однако вскоре ко всем необычностям проекта добавилось обозначение "Пегас", которое за ним и закрепилось. Уже в ходе разработки эскизного проекта был предложен бипланный вариант "Пегаса". Основная цель - уменьшить длину разбега и посадочную скорость для возможного использования в качестве ночного бомбардировщика. При том, что верхнее крыло могло сниматься, "Пегас" становился универсальным. Правда, до реализации этого предложения дело не дошло (11470).</w:t>
      </w:r>
    </w:p>
    <w:p w14:paraId="4D4382BF" w14:textId="77777777" w:rsidR="00AE7191" w:rsidRPr="001E2C69" w:rsidRDefault="00AE7191" w:rsidP="00722885">
      <w:pPr>
        <w:pStyle w:val="afff5"/>
        <w:jc w:val="both"/>
        <w:rPr>
          <w:i w:val="0"/>
          <w:iCs w:val="0"/>
          <w:color w:val="000000" w:themeColor="text1"/>
          <w:spacing w:val="0"/>
          <w:kern w:val="0"/>
          <w:position w:val="0"/>
          <w:sz w:val="16"/>
          <w:szCs w:val="16"/>
        </w:rPr>
      </w:pPr>
    </w:p>
    <w:p w14:paraId="31FBC48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31 августа 1942 Зам. Нач. 7 ГУ Залесский писал А.И.Ш. письмо N 53/849:</w:t>
      </w:r>
    </w:p>
    <w:p w14:paraId="22AF8BD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"ОКБ завода 43 под руководством ГК Шульгина за истекшие месяцы 1942 успешно выполнен ряд заданий НКАП по увеличению боевой мощи отечественных и иностранных самолетов.</w:t>
      </w:r>
    </w:p>
    <w:p w14:paraId="4395A42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Бомбардировочное вооружение ПС-84</w:t>
      </w:r>
    </w:p>
    <w:p w14:paraId="5EC76A9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Бомбардировочное вооружение Як-1, Як-7, Ут-2 и Харрикейн</w:t>
      </w:r>
    </w:p>
    <w:p w14:paraId="23504D4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Однозамковые подвески прибора ВАП-6</w:t>
      </w:r>
    </w:p>
    <w:p w14:paraId="5AB1D91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Приспособление бомбодержателей Б-25 для подвески отечественных бомб</w:t>
      </w:r>
    </w:p>
    <w:p w14:paraId="73E20C9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Бомбардировочное и стрелковое вооружение Бостон-3</w:t>
      </w:r>
    </w:p>
    <w:p w14:paraId="4209D06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Кассета для авиагранат ДАГ-10 (1315,58).</w:t>
      </w:r>
    </w:p>
    <w:p w14:paraId="0D8CC747" w14:textId="77777777" w:rsidR="00AE7191" w:rsidRPr="001E2C69" w:rsidRDefault="00AE7191" w:rsidP="00722885">
      <w:pPr>
        <w:pStyle w:val="Iauiue"/>
        <w:jc w:val="both"/>
        <w:rPr>
          <w:color w:val="000000" w:themeColor="text1"/>
          <w:sz w:val="16"/>
          <w:szCs w:val="16"/>
        </w:rPr>
      </w:pPr>
    </w:p>
    <w:p w14:paraId="6CC5A9A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31 августа 1942 года одному из моторов М-71 удалось закончить 100-часовое испы</w:t>
      </w:r>
      <w:r w:rsidRPr="001E2C69">
        <w:rPr>
          <w:rFonts w:ascii="Times New Roman" w:hAnsi="Times New Roman"/>
          <w:color w:val="000000" w:themeColor="text1"/>
          <w:sz w:val="16"/>
          <w:szCs w:val="16"/>
        </w:rPr>
        <w:softHyphen/>
        <w:t>тание, правда, с заменой клапана вса</w:t>
      </w:r>
      <w:r w:rsidRPr="001E2C69">
        <w:rPr>
          <w:rFonts w:ascii="Times New Roman" w:hAnsi="Times New Roman"/>
          <w:color w:val="000000" w:themeColor="text1"/>
          <w:sz w:val="16"/>
          <w:szCs w:val="16"/>
        </w:rPr>
        <w:softHyphen/>
        <w:t>сывания 13-го цилиндра и ручной регулировкой высотного корректора в процессе испытаний. КБ Швецова приступило к работам по форсирова</w:t>
      </w:r>
      <w:r w:rsidRPr="001E2C69">
        <w:rPr>
          <w:rFonts w:ascii="Times New Roman" w:hAnsi="Times New Roman"/>
          <w:color w:val="000000" w:themeColor="text1"/>
          <w:sz w:val="16"/>
          <w:szCs w:val="16"/>
        </w:rPr>
        <w:softHyphen/>
        <w:t>нию М-71 до взлетной мощности 2200 л.с. и по установке на него на</w:t>
      </w:r>
      <w:r w:rsidRPr="001E2C69">
        <w:rPr>
          <w:rFonts w:ascii="Times New Roman" w:hAnsi="Times New Roman"/>
          <w:color w:val="000000" w:themeColor="text1"/>
          <w:sz w:val="16"/>
          <w:szCs w:val="16"/>
        </w:rPr>
        <w:softHyphen/>
        <w:t>соса непосредственного впрыска (10705).</w:t>
      </w:r>
    </w:p>
    <w:p w14:paraId="760B95E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3583D94D" w14:textId="77777777" w:rsidR="00BD5EB5" w:rsidRPr="001E2C69" w:rsidRDefault="00BD5EB5"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31 августа 1942 г. одному из моторов М-71 удалось закончить 100-часовое испытание, правда, с заменой клапана всасывания 13-го цилиндра и ручной регулировкой высотного корректора в про</w:t>
      </w:r>
      <w:r w:rsidRPr="001E2C69">
        <w:rPr>
          <w:rFonts w:ascii="Times New Roman" w:cs="Times New Roman"/>
          <w:color w:val="000000" w:themeColor="text1"/>
          <w:spacing w:val="0"/>
        </w:rPr>
        <w:softHyphen/>
        <w:t>цессе испытаний. КБ Швецова приступило к работам по форсированию М-71 до взлёт</w:t>
      </w:r>
      <w:r w:rsidRPr="001E2C69">
        <w:rPr>
          <w:rFonts w:ascii="Times New Roman" w:cs="Times New Roman"/>
          <w:color w:val="000000" w:themeColor="text1"/>
          <w:spacing w:val="0"/>
        </w:rPr>
        <w:softHyphen/>
        <w:t>ной мощности 2200 л.с. и по установке на него насоса непосредственного впрыска.</w:t>
      </w:r>
    </w:p>
    <w:p w14:paraId="1E3432F8" w14:textId="77777777" w:rsidR="00BD5EB5" w:rsidRPr="001E2C69" w:rsidRDefault="00BD5EB5"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Казалось, что все эти данные получены как раз вовремя: запускай «образцовый» И-185 с М-71 в серию, и к весне 1943 г. можно будет иметь в строю достойный ответ на пос</w:t>
      </w:r>
      <w:r w:rsidRPr="001E2C69">
        <w:rPr>
          <w:rFonts w:ascii="Times New Roman" w:cs="Times New Roman"/>
          <w:color w:val="000000" w:themeColor="text1"/>
          <w:spacing w:val="0"/>
        </w:rPr>
        <w:softHyphen/>
        <w:t>леднее творение Вилли Мессершмитта. Сторонников такой точки зрения оказалось не</w:t>
      </w:r>
      <w:r w:rsidRPr="001E2C69">
        <w:rPr>
          <w:rFonts w:ascii="Times New Roman" w:cs="Times New Roman"/>
          <w:color w:val="000000" w:themeColor="text1"/>
          <w:spacing w:val="0"/>
        </w:rPr>
        <w:softHyphen/>
        <w:t>мало, и в наркомат авиапромышленности опять с разных сторон пошли соответствующие предложения и требования.</w:t>
      </w:r>
    </w:p>
    <w:p w14:paraId="53941F52" w14:textId="77777777" w:rsidR="00BD5EB5" w:rsidRPr="001E2C69" w:rsidRDefault="00BD5EB5"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Однако имелось и одно «но», и весьма существенное. Помимо улучшения лётных данных, августовскими и последующими постановлениями ГКО авиапром обязывался существенно увеличить количественный выпуск истребителей, даже в ущерб другим типам самолётов. Свободных же мощностей давно уже не было. Поэтому организовать серийный выпуск нового истребителя и нового мотора можно было, только сняв с про</w:t>
      </w:r>
      <w:r w:rsidRPr="001E2C69">
        <w:rPr>
          <w:rFonts w:ascii="Times New Roman" w:cs="Times New Roman"/>
          <w:color w:val="000000" w:themeColor="text1"/>
          <w:spacing w:val="0"/>
        </w:rPr>
        <w:softHyphen/>
        <w:t>изводства какие-то другие самолёты и моторы, притом с неизбежным провалом общей сдачи. Понятно, что выпускать мотор М-71 мог только завод № 19, значит, нужно сни</w:t>
      </w:r>
      <w:r w:rsidRPr="001E2C69">
        <w:rPr>
          <w:rFonts w:ascii="Times New Roman" w:cs="Times New Roman"/>
          <w:color w:val="000000" w:themeColor="text1"/>
          <w:spacing w:val="0"/>
        </w:rPr>
        <w:softHyphen/>
        <w:t>мать с производства недавно освоенный и ещё далеко не исчерпавший всех резервов М-82, а следовательно и истребитель Ла-5. И это в ситуации, когда в модернизации больше нуждались истребители «Як» и жидкостные моторы.</w:t>
      </w:r>
    </w:p>
    <w:p w14:paraId="748274B6" w14:textId="77777777" w:rsidR="00BD5EB5" w:rsidRPr="001E2C69" w:rsidRDefault="00BD5EB5"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Решая этот непростой вопрос, руководство НКАП опять предпочло иметь «синицу в ру</w:t>
      </w:r>
      <w:r w:rsidRPr="001E2C69">
        <w:rPr>
          <w:rFonts w:ascii="Times New Roman" w:cs="Times New Roman"/>
          <w:color w:val="000000" w:themeColor="text1"/>
          <w:spacing w:val="0"/>
        </w:rPr>
        <w:softHyphen/>
        <w:t>ке, а не журавля в небе». На помощь С.А. Лавочкину в улучшении лётных данных серий</w:t>
      </w:r>
      <w:r w:rsidRPr="001E2C69">
        <w:rPr>
          <w:rFonts w:ascii="Times New Roman" w:cs="Times New Roman"/>
          <w:color w:val="000000" w:themeColor="text1"/>
          <w:spacing w:val="0"/>
        </w:rPr>
        <w:softHyphen/>
        <w:t>ного Ла-5 привлекли как отраслевые институты — ЦАГИ, ЛИИ, ЦИАМ, так и завод № 19 (15813).</w:t>
      </w:r>
    </w:p>
    <w:p w14:paraId="4BC467D9" w14:textId="77777777" w:rsidR="00BD5EB5" w:rsidRPr="001E2C69" w:rsidRDefault="00BD5EB5" w:rsidP="00722885">
      <w:pPr>
        <w:pStyle w:val="27"/>
        <w:shd w:val="clear" w:color="auto" w:fill="auto"/>
        <w:spacing w:after="0" w:line="240" w:lineRule="auto"/>
        <w:ind w:firstLine="0"/>
        <w:rPr>
          <w:rFonts w:ascii="Times New Roman" w:cs="Times New Roman"/>
          <w:color w:val="000000" w:themeColor="text1"/>
          <w:spacing w:val="0"/>
        </w:rPr>
      </w:pPr>
    </w:p>
    <w:p w14:paraId="48D0C1E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31 августа 1942 было произведено 5 опытов с ПВРД ДМ-4 в СЭИГ МАИ. При первом из них двигатель не заработал, а в последующих прошли нормально (11081). Все первоначальные испытания проводились на двух двигателях ДМ-4с № 14 и ДМ-4с № 15, с тем чтобы выявленные необходимые ис</w:t>
      </w:r>
      <w:r w:rsidRPr="001E2C69">
        <w:rPr>
          <w:rFonts w:ascii="Times New Roman" w:hAnsi="Times New Roman"/>
          <w:color w:val="000000" w:themeColor="text1"/>
          <w:sz w:val="16"/>
          <w:szCs w:val="16"/>
        </w:rPr>
        <w:softHyphen/>
        <w:t>правления и окончательно выбранные варианты арматуры и системы распределения форсунок внести в предназначенные для летных испы</w:t>
      </w:r>
      <w:r w:rsidRPr="001E2C69">
        <w:rPr>
          <w:rFonts w:ascii="Times New Roman" w:hAnsi="Times New Roman"/>
          <w:color w:val="000000" w:themeColor="text1"/>
          <w:sz w:val="16"/>
          <w:szCs w:val="16"/>
        </w:rPr>
        <w:softHyphen/>
        <w:t>таний экземпляры дополнительных моторов ДМ-4с № 16 и ДМ-4с № 17, .избежав на летных экземплярах промежуточных переделок. По окончании первого этапа испытаний были исследованы рабо</w:t>
      </w:r>
      <w:r w:rsidRPr="001E2C69">
        <w:rPr>
          <w:rFonts w:ascii="Times New Roman" w:hAnsi="Times New Roman"/>
          <w:color w:val="000000" w:themeColor="text1"/>
          <w:sz w:val="16"/>
          <w:szCs w:val="16"/>
        </w:rPr>
        <w:softHyphen/>
        <w:t>чие характеристики реактивных двигателей. В результате проведения всех испытаний в аэродинамической трубе и выполнения доводочных работ была установлена безопасность двигателей ДМ-4с в эксплуатации, проверена жаропрочность всех элементов их конструкции -в достигнута надежность двигателей: в ра</w:t>
      </w:r>
      <w:r w:rsidRPr="001E2C69">
        <w:rPr>
          <w:rFonts w:ascii="Times New Roman" w:hAnsi="Times New Roman"/>
          <w:color w:val="000000" w:themeColor="text1"/>
          <w:sz w:val="16"/>
          <w:szCs w:val="16"/>
        </w:rPr>
        <w:softHyphen/>
        <w:t>боте. Таким образом, совместной работой Московского авиационного института и Специального конструкторского бюро прямоточные воз</w:t>
      </w:r>
      <w:r w:rsidRPr="001E2C69">
        <w:rPr>
          <w:rFonts w:ascii="Times New Roman" w:hAnsi="Times New Roman"/>
          <w:color w:val="000000" w:themeColor="text1"/>
          <w:sz w:val="16"/>
          <w:szCs w:val="16"/>
        </w:rPr>
        <w:softHyphen/>
        <w:t>душно-реактивные двигатели ДО-4с были подготовлены к летным ис</w:t>
      </w:r>
      <w:r w:rsidRPr="001E2C69">
        <w:rPr>
          <w:rFonts w:ascii="Times New Roman" w:hAnsi="Times New Roman"/>
          <w:color w:val="000000" w:themeColor="text1"/>
          <w:sz w:val="16"/>
          <w:szCs w:val="16"/>
        </w:rPr>
        <w:softHyphen/>
        <w:t>пытаниям на самолете ЯК-7Б. В То же время исследования этих двигателей показали, что температура газов в камере сгорания и скорость ох истечения ока</w:t>
      </w:r>
      <w:r w:rsidRPr="001E2C69">
        <w:rPr>
          <w:rFonts w:ascii="Times New Roman" w:hAnsi="Times New Roman"/>
          <w:color w:val="000000" w:themeColor="text1"/>
          <w:sz w:val="16"/>
          <w:szCs w:val="16"/>
        </w:rPr>
        <w:softHyphen/>
        <w:t>зались несколько ниже расчетных величин. Поэтому в отчете о стендовых испытаниях в качестве одного из выводов было записа</w:t>
      </w:r>
      <w:r w:rsidRPr="001E2C69">
        <w:rPr>
          <w:rFonts w:ascii="Times New Roman" w:hAnsi="Times New Roman"/>
          <w:color w:val="000000" w:themeColor="text1"/>
          <w:sz w:val="16"/>
          <w:szCs w:val="16"/>
        </w:rPr>
        <w:softHyphen/>
        <w:t>но: "Одновременно с испытаниями дополнительных моторов ДМ-4с на самолете весьма необходима дальнейшая работа по их усовер</w:t>
      </w:r>
      <w:r w:rsidRPr="001E2C69">
        <w:rPr>
          <w:rFonts w:ascii="Times New Roman" w:hAnsi="Times New Roman"/>
          <w:color w:val="000000" w:themeColor="text1"/>
          <w:sz w:val="16"/>
          <w:szCs w:val="16"/>
        </w:rPr>
        <w:softHyphen/>
        <w:t>шенствованию, главным образом, в направлении улучшения полноты сгорания, коль скоро сравнение расчетных и экспериментальных температур говорит, что в 'изготовленной камере еще не чостигну-то полное сгорание" ("Предварительный отчет об испытаниях дополнительных моторов ДМ-4с в трубе АТ-2, 1943 г., стр. 12. Научный архив Института истории естествознания • техники АН СССР) (11082).</w:t>
      </w:r>
    </w:p>
    <w:p w14:paraId="0BAAAA9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2D5FDC4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31 августа 1942 И.о. Нач. 14 ГУ Лесечко писал письмо Зам. НКАП А.И.Кузнецову</w:t>
      </w:r>
    </w:p>
    <w:p w14:paraId="5192F6D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Согласно Вашего требования д/уточнения программы сообщаю выполнение плана по заводу № 35 за август м-ц:</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58"/>
        <w:gridCol w:w="1804"/>
        <w:gridCol w:w="1804"/>
        <w:gridCol w:w="1804"/>
        <w:gridCol w:w="1804"/>
        <w:gridCol w:w="1804"/>
      </w:tblGrid>
      <w:tr w:rsidR="001E2C69" w:rsidRPr="001E2C69" w14:paraId="32446E06" w14:textId="77777777" w:rsidTr="00CC5360">
        <w:tc>
          <w:tcPr>
            <w:tcW w:w="558" w:type="dxa"/>
            <w:tcBorders>
              <w:top w:val="single" w:sz="12" w:space="0" w:color="auto"/>
            </w:tcBorders>
          </w:tcPr>
          <w:p w14:paraId="0E15A9B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п/п</w:t>
            </w:r>
          </w:p>
        </w:tc>
        <w:tc>
          <w:tcPr>
            <w:tcW w:w="1804" w:type="dxa"/>
            <w:tcBorders>
              <w:top w:val="single" w:sz="12" w:space="0" w:color="auto"/>
            </w:tcBorders>
          </w:tcPr>
          <w:p w14:paraId="701DCAF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Тип винта</w:t>
            </w:r>
          </w:p>
        </w:tc>
        <w:tc>
          <w:tcPr>
            <w:tcW w:w="1804" w:type="dxa"/>
            <w:tcBorders>
              <w:top w:val="single" w:sz="12" w:space="0" w:color="auto"/>
            </w:tcBorders>
          </w:tcPr>
          <w:p w14:paraId="420069F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План на август</w:t>
            </w:r>
          </w:p>
        </w:tc>
        <w:tc>
          <w:tcPr>
            <w:tcW w:w="1804" w:type="dxa"/>
            <w:tcBorders>
              <w:top w:val="single" w:sz="12" w:space="0" w:color="auto"/>
            </w:tcBorders>
          </w:tcPr>
          <w:p w14:paraId="24EE8C9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Вып. Плана по 29 вкл.</w:t>
            </w:r>
          </w:p>
        </w:tc>
        <w:tc>
          <w:tcPr>
            <w:tcW w:w="1804" w:type="dxa"/>
            <w:tcBorders>
              <w:top w:val="single" w:sz="12" w:space="0" w:color="auto"/>
            </w:tcBorders>
          </w:tcPr>
          <w:p w14:paraId="6E943E7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Ожид. Выполнение за август</w:t>
            </w:r>
          </w:p>
        </w:tc>
        <w:tc>
          <w:tcPr>
            <w:tcW w:w="1804" w:type="dxa"/>
            <w:tcBorders>
              <w:top w:val="single" w:sz="12" w:space="0" w:color="auto"/>
            </w:tcBorders>
          </w:tcPr>
          <w:p w14:paraId="482E461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Подлежит снятию с программы</w:t>
            </w:r>
          </w:p>
        </w:tc>
      </w:tr>
      <w:tr w:rsidR="001E2C69" w:rsidRPr="001E2C69" w14:paraId="1C2F72D9" w14:textId="77777777" w:rsidTr="00CC5360">
        <w:tc>
          <w:tcPr>
            <w:tcW w:w="558" w:type="dxa"/>
          </w:tcPr>
          <w:p w14:paraId="063DAB7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w:t>
            </w:r>
          </w:p>
        </w:tc>
        <w:tc>
          <w:tcPr>
            <w:tcW w:w="1804" w:type="dxa"/>
          </w:tcPr>
          <w:p w14:paraId="06E761B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ВИШ-22Т</w:t>
            </w:r>
          </w:p>
        </w:tc>
        <w:tc>
          <w:tcPr>
            <w:tcW w:w="1804" w:type="dxa"/>
          </w:tcPr>
          <w:p w14:paraId="759CD53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1000</w:t>
            </w:r>
          </w:p>
        </w:tc>
        <w:tc>
          <w:tcPr>
            <w:tcW w:w="1804" w:type="dxa"/>
          </w:tcPr>
          <w:p w14:paraId="1CAC851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894</w:t>
            </w:r>
          </w:p>
        </w:tc>
        <w:tc>
          <w:tcPr>
            <w:tcW w:w="1804" w:type="dxa"/>
          </w:tcPr>
          <w:p w14:paraId="217B4CD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964</w:t>
            </w:r>
          </w:p>
        </w:tc>
        <w:tc>
          <w:tcPr>
            <w:tcW w:w="1804" w:type="dxa"/>
          </w:tcPr>
          <w:p w14:paraId="123F29B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r>
      <w:tr w:rsidR="001E2C69" w:rsidRPr="001E2C69" w14:paraId="71810073" w14:textId="77777777" w:rsidTr="00CC5360">
        <w:tc>
          <w:tcPr>
            <w:tcW w:w="558" w:type="dxa"/>
          </w:tcPr>
          <w:p w14:paraId="6355B8D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w:t>
            </w:r>
          </w:p>
        </w:tc>
        <w:tc>
          <w:tcPr>
            <w:tcW w:w="1804" w:type="dxa"/>
          </w:tcPr>
          <w:p w14:paraId="6AA1BB7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ВИШ-21</w:t>
            </w:r>
          </w:p>
        </w:tc>
        <w:tc>
          <w:tcPr>
            <w:tcW w:w="1804" w:type="dxa"/>
          </w:tcPr>
          <w:p w14:paraId="59A0D0F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190</w:t>
            </w:r>
          </w:p>
        </w:tc>
        <w:tc>
          <w:tcPr>
            <w:tcW w:w="1804" w:type="dxa"/>
          </w:tcPr>
          <w:p w14:paraId="097E6C2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152</w:t>
            </w:r>
          </w:p>
        </w:tc>
        <w:tc>
          <w:tcPr>
            <w:tcW w:w="1804" w:type="dxa"/>
          </w:tcPr>
          <w:p w14:paraId="5208D44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160</w:t>
            </w:r>
          </w:p>
        </w:tc>
        <w:tc>
          <w:tcPr>
            <w:tcW w:w="1804" w:type="dxa"/>
          </w:tcPr>
          <w:p w14:paraId="37C3E6F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w:t>
            </w:r>
          </w:p>
        </w:tc>
      </w:tr>
      <w:tr w:rsidR="001E2C69" w:rsidRPr="001E2C69" w14:paraId="5F5D56DD" w14:textId="77777777" w:rsidTr="00CC5360">
        <w:tc>
          <w:tcPr>
            <w:tcW w:w="558" w:type="dxa"/>
          </w:tcPr>
          <w:p w14:paraId="7CFB30B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w:t>
            </w:r>
          </w:p>
        </w:tc>
        <w:tc>
          <w:tcPr>
            <w:tcW w:w="1804" w:type="dxa"/>
          </w:tcPr>
          <w:p w14:paraId="4B89B15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ВИШ-23</w:t>
            </w:r>
          </w:p>
        </w:tc>
        <w:tc>
          <w:tcPr>
            <w:tcW w:w="1804" w:type="dxa"/>
          </w:tcPr>
          <w:p w14:paraId="7C64C84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370</w:t>
            </w:r>
          </w:p>
        </w:tc>
        <w:tc>
          <w:tcPr>
            <w:tcW w:w="1804" w:type="dxa"/>
          </w:tcPr>
          <w:p w14:paraId="4164CAD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235</w:t>
            </w:r>
          </w:p>
        </w:tc>
        <w:tc>
          <w:tcPr>
            <w:tcW w:w="1804" w:type="dxa"/>
          </w:tcPr>
          <w:p w14:paraId="52C6CC5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260</w:t>
            </w:r>
          </w:p>
        </w:tc>
        <w:tc>
          <w:tcPr>
            <w:tcW w:w="1804" w:type="dxa"/>
          </w:tcPr>
          <w:p w14:paraId="2F9AC3F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50</w:t>
            </w:r>
          </w:p>
        </w:tc>
      </w:tr>
      <w:tr w:rsidR="001E2C69" w:rsidRPr="001E2C69" w14:paraId="09E522D4" w14:textId="77777777" w:rsidTr="00CC5360">
        <w:tc>
          <w:tcPr>
            <w:tcW w:w="558" w:type="dxa"/>
          </w:tcPr>
          <w:p w14:paraId="1ADA3E9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w:t>
            </w:r>
          </w:p>
        </w:tc>
        <w:tc>
          <w:tcPr>
            <w:tcW w:w="1804" w:type="dxa"/>
          </w:tcPr>
          <w:p w14:paraId="41A00CA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АВ-5Л-167</w:t>
            </w:r>
          </w:p>
        </w:tc>
        <w:tc>
          <w:tcPr>
            <w:tcW w:w="1804" w:type="dxa"/>
          </w:tcPr>
          <w:p w14:paraId="341369A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80</w:t>
            </w:r>
          </w:p>
        </w:tc>
        <w:tc>
          <w:tcPr>
            <w:tcW w:w="1804" w:type="dxa"/>
          </w:tcPr>
          <w:p w14:paraId="67C8B12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65</w:t>
            </w:r>
          </w:p>
        </w:tc>
        <w:tc>
          <w:tcPr>
            <w:tcW w:w="1804" w:type="dxa"/>
          </w:tcPr>
          <w:p w14:paraId="19406F8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65</w:t>
            </w:r>
          </w:p>
        </w:tc>
        <w:tc>
          <w:tcPr>
            <w:tcW w:w="1804" w:type="dxa"/>
          </w:tcPr>
          <w:p w14:paraId="5803190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w:t>
            </w:r>
          </w:p>
        </w:tc>
      </w:tr>
      <w:tr w:rsidR="001E2C69" w:rsidRPr="001E2C69" w14:paraId="05A7763F" w14:textId="77777777" w:rsidTr="00CC5360">
        <w:tc>
          <w:tcPr>
            <w:tcW w:w="558" w:type="dxa"/>
          </w:tcPr>
          <w:p w14:paraId="3675D25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w:t>
            </w:r>
          </w:p>
        </w:tc>
        <w:tc>
          <w:tcPr>
            <w:tcW w:w="1804" w:type="dxa"/>
          </w:tcPr>
          <w:p w14:paraId="61133DB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АВ-5Л-139</w:t>
            </w:r>
          </w:p>
        </w:tc>
        <w:tc>
          <w:tcPr>
            <w:tcW w:w="1804" w:type="dxa"/>
          </w:tcPr>
          <w:p w14:paraId="3A33040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w:t>
            </w:r>
          </w:p>
        </w:tc>
        <w:tc>
          <w:tcPr>
            <w:tcW w:w="1804" w:type="dxa"/>
          </w:tcPr>
          <w:p w14:paraId="522E27A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804" w:type="dxa"/>
          </w:tcPr>
          <w:p w14:paraId="4FB42AD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tc>
        <w:tc>
          <w:tcPr>
            <w:tcW w:w="1804" w:type="dxa"/>
          </w:tcPr>
          <w:p w14:paraId="4DDBD5D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w:t>
            </w:r>
          </w:p>
        </w:tc>
      </w:tr>
      <w:tr w:rsidR="009B487A" w:rsidRPr="001E2C69" w14:paraId="0D1D6BC5" w14:textId="77777777" w:rsidTr="00CC5360">
        <w:tc>
          <w:tcPr>
            <w:tcW w:w="558" w:type="dxa"/>
            <w:tcBorders>
              <w:bottom w:val="single" w:sz="12" w:space="0" w:color="auto"/>
            </w:tcBorders>
          </w:tcPr>
          <w:p w14:paraId="046FF9E6"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1804" w:type="dxa"/>
            <w:tcBorders>
              <w:bottom w:val="single" w:sz="12" w:space="0" w:color="auto"/>
            </w:tcBorders>
          </w:tcPr>
          <w:p w14:paraId="56D2AA1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Итого</w:t>
            </w:r>
          </w:p>
        </w:tc>
        <w:tc>
          <w:tcPr>
            <w:tcW w:w="1804" w:type="dxa"/>
            <w:tcBorders>
              <w:bottom w:val="single" w:sz="12" w:space="0" w:color="auto"/>
            </w:tcBorders>
          </w:tcPr>
          <w:p w14:paraId="6AD3533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1670</w:t>
            </w:r>
          </w:p>
        </w:tc>
        <w:tc>
          <w:tcPr>
            <w:tcW w:w="1804" w:type="dxa"/>
            <w:tcBorders>
              <w:bottom w:val="single" w:sz="12" w:space="0" w:color="auto"/>
            </w:tcBorders>
          </w:tcPr>
          <w:p w14:paraId="482D888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1346</w:t>
            </w:r>
          </w:p>
        </w:tc>
        <w:tc>
          <w:tcPr>
            <w:tcW w:w="1804" w:type="dxa"/>
            <w:tcBorders>
              <w:bottom w:val="single" w:sz="12" w:space="0" w:color="auto"/>
            </w:tcBorders>
          </w:tcPr>
          <w:p w14:paraId="15DA970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1449</w:t>
            </w:r>
          </w:p>
        </w:tc>
        <w:tc>
          <w:tcPr>
            <w:tcW w:w="1804" w:type="dxa"/>
            <w:tcBorders>
              <w:bottom w:val="single" w:sz="12" w:space="0" w:color="auto"/>
            </w:tcBorders>
          </w:tcPr>
          <w:p w14:paraId="7DDFC88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120</w:t>
            </w:r>
          </w:p>
        </w:tc>
      </w:tr>
    </w:tbl>
    <w:p w14:paraId="3CBC0E0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1572010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31 августа 1942 г. Отчет по испыт. винта Винт ВИШ-105Д-50</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3295"/>
        <w:gridCol w:w="1645"/>
        <w:gridCol w:w="1730"/>
        <w:gridCol w:w="4205"/>
      </w:tblGrid>
      <w:tr w:rsidR="001E2C69" w:rsidRPr="001E2C69" w14:paraId="13C150A6" w14:textId="77777777" w:rsidTr="00CC5360">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519D1F29" w14:textId="17814FD4"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 xml:space="preserve">Винт ВИШ-105Д-50. </w:t>
            </w:r>
            <w:r w:rsidR="001E2C69">
              <w:rPr>
                <w:rFonts w:ascii="Times New Roman" w:hAnsi="Times New Roman"/>
                <w:bCs/>
                <w:color w:val="000000" w:themeColor="text1"/>
                <w:sz w:val="16"/>
                <w:szCs w:val="16"/>
              </w:rPr>
              <w:t xml:space="preserve">      </w:t>
            </w:r>
            <w:r w:rsidRPr="001E2C69">
              <w:rPr>
                <w:rFonts w:ascii="Times New Roman" w:hAnsi="Times New Roman"/>
                <w:bCs/>
                <w:color w:val="000000" w:themeColor="text1"/>
                <w:sz w:val="16"/>
                <w:szCs w:val="16"/>
              </w:rPr>
              <w:t xml:space="preserve"> Производство завода № 27 и 383. </w:t>
            </w:r>
            <w:r w:rsidR="001E2C69">
              <w:rPr>
                <w:rFonts w:ascii="Times New Roman" w:hAnsi="Times New Roman"/>
                <w:bCs/>
                <w:color w:val="000000" w:themeColor="text1"/>
                <w:sz w:val="16"/>
                <w:szCs w:val="16"/>
              </w:rPr>
              <w:t xml:space="preserve">      </w:t>
            </w:r>
            <w:r w:rsidRPr="001E2C69">
              <w:rPr>
                <w:rFonts w:ascii="Times New Roman" w:hAnsi="Times New Roman"/>
                <w:bCs/>
                <w:color w:val="000000" w:themeColor="text1"/>
                <w:sz w:val="16"/>
                <w:szCs w:val="16"/>
              </w:rPr>
              <w:t xml:space="preserve"> Конструктор Заславский, Бас-Дубов и Целиков.</w:t>
            </w:r>
          </w:p>
        </w:tc>
      </w:tr>
      <w:tr w:rsidR="001E2C69" w:rsidRPr="001E2C69" w14:paraId="312EFC3C"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A3FA13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761945B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4294BC9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Предназначен для</w:t>
            </w:r>
          </w:p>
          <w:p w14:paraId="5F1507B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44D4C24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Як-1, Як-7, Як-9 и Лагг-3 с мотором М-105П.</w:t>
            </w:r>
          </w:p>
        </w:tc>
      </w:tr>
      <w:tr w:rsidR="001E2C69" w:rsidRPr="001E2C69" w14:paraId="247B7458"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28F51B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7F3F34C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прямая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6D94310"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7EE8545"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5BB56F5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F2B2A5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2604F5D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2757506F"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1D4CBE0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A7C4AB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6D4B5BF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дерево</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F132A5A"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004CEA4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421D0D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405626A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4154D8D"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7D33B197"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1C34C6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5C57CDC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F7D83BD"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195CC2E7"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330D61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Относительная толщина лопасти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4391B09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7,9</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7300C82"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63D49179"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6ADCC1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247A923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w:t>
            </w:r>
          </w:p>
          <w:p w14:paraId="0D47893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модифицир.</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C66EE67"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215BBAD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CDDC7A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1341B68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B031C26"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7A75701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71CA10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Минимальный установочный угол</w:t>
            </w:r>
          </w:p>
          <w:p w14:paraId="005B57B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4B41328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F3CCC47"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4854D7AF"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65B352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74139FA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FE03B6F"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072E55EC"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9E31D8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8F1A74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9AB2EC8"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7384F94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7A2F91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623B476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2700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72EA537"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3BF544A7"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F5D2CB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489E47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0,666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90E7D99"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082E55C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B578E1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78F1DC0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левое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71928E5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Состояние</w:t>
            </w:r>
          </w:p>
          <w:p w14:paraId="1E6BC0C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26CF610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Винт испытания прошел удовлетворительно в 1942 году.</w:t>
            </w:r>
          </w:p>
          <w:p w14:paraId="7CCAB92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Находится в эксплоатации. С серийного производства снят.</w:t>
            </w:r>
          </w:p>
        </w:tc>
      </w:tr>
      <w:tr w:rsidR="001E2C69" w:rsidRPr="001E2C69" w14:paraId="2FE368F2"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49C8A5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3473A1B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30FC438"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EE770E9"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573D9C35"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23DDEA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5A92DB1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EEB22CC"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DA2BD1C"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057893D4"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19E9091"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6B1CF96B"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519969B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Источник сведений: Отчет по испыт. винта от 31.8.42 г.</w:t>
            </w:r>
          </w:p>
        </w:tc>
      </w:tr>
    </w:tbl>
    <w:p w14:paraId="7DCBEE6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(12227).</w:t>
      </w:r>
    </w:p>
    <w:p w14:paraId="1385BCB6"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CA55D20"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3EF24148" w14:textId="77777777" w:rsidR="00AE7191" w:rsidRPr="001E2C69" w:rsidRDefault="00AE7191" w:rsidP="00722885">
      <w:pPr>
        <w:pStyle w:val="Iauiue"/>
        <w:jc w:val="both"/>
        <w:rPr>
          <w:iCs/>
          <w:color w:val="000000" w:themeColor="text1"/>
          <w:sz w:val="16"/>
          <w:szCs w:val="16"/>
        </w:rPr>
      </w:pPr>
    </w:p>
    <w:p w14:paraId="6EBF4AE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31 августа 1942 года для проведения испытаний мин, снаряженных ГИПХом на АНИОП было доставлено восемь 280-мм зажигательных мин. При осмотре мин было обнаружено, что в центральных трубках мин №№ 1,4, 2, 3 и 5 протекла горючая жидкость и черный порох оказался пропитан горючей жидкостью. Пуски этих снарядов производились с позиции 7,4 км с деревянных и металлических рам при угле возвышения 42 градуса. Средняя дальность полета мин на испытаниях составила 1830 м, Вд=56 м (Вд/Хоп=1/33) и Вб=45 м (Вб/Хоп=1/41). Из-за многочисленных отказов испытать зажигательную жидкость, созданную в ГИПХе, оказалось невозможно. ГИПХу было рекомендовано продолжить отработку зажигательной смеси на базе жидкости "КС" и бензина и еще раз проверить стрельбой снаряженные ей реактивные мины (6403, 42).</w:t>
      </w:r>
    </w:p>
    <w:p w14:paraId="3BA8B73D" w14:textId="77777777" w:rsidR="00AE7191" w:rsidRPr="001E2C69" w:rsidRDefault="00AE7191" w:rsidP="00722885">
      <w:pPr>
        <w:pStyle w:val="Iauiue"/>
        <w:jc w:val="both"/>
        <w:rPr>
          <w:color w:val="000000" w:themeColor="text1"/>
          <w:sz w:val="16"/>
          <w:szCs w:val="16"/>
        </w:rPr>
      </w:pPr>
    </w:p>
    <w:p w14:paraId="528A71C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31 августа 1942 г. опытный образец танка КВ-1К с установкой КАРСТ-1 прошел испытания на Чебаркульском научно-исследовательском полигоне стрелкового вооружения РККА, которые проходили с 7 августа. По результатам было сделано заключение о возможности установки КАРСТ-1 на любом типе танка (тяжелом, среднем, легком) в качестве мощного дополнительного ору</w:t>
      </w:r>
      <w:r w:rsidRPr="001E2C69">
        <w:rPr>
          <w:rFonts w:ascii="Times New Roman" w:hAnsi="Times New Roman"/>
          <w:color w:val="000000" w:themeColor="text1"/>
          <w:sz w:val="16"/>
          <w:szCs w:val="16"/>
        </w:rPr>
        <w:softHyphen/>
        <w:t>жия. Сама ракетная система с учетом изменений была рекомендована для серийного производства и установки на танк КВ-1 С. Несмотря на то, что в декабре 1942 г. даже был разработан проект инструкции по эксплу</w:t>
      </w:r>
      <w:r w:rsidRPr="001E2C69">
        <w:rPr>
          <w:rFonts w:ascii="Times New Roman" w:hAnsi="Times New Roman"/>
          <w:color w:val="000000" w:themeColor="text1"/>
          <w:sz w:val="16"/>
          <w:szCs w:val="16"/>
        </w:rPr>
        <w:softHyphen/>
        <w:t>атации КАРСТ-1, дальнейшие работы по монтажу на танк реактивных установок в качестве дополнительного оружия развития не получили. КАРСТ-1 была установлена на серийный танк КВ-1 обр. 1941 г. про</w:t>
      </w:r>
      <w:r w:rsidRPr="001E2C69">
        <w:rPr>
          <w:rFonts w:ascii="Times New Roman" w:hAnsi="Times New Roman"/>
          <w:color w:val="000000" w:themeColor="text1"/>
          <w:sz w:val="16"/>
          <w:szCs w:val="16"/>
        </w:rPr>
        <w:softHyphen/>
        <w:t>изводства ЧКЗ и представляла собой четыре орудия, которые монтиро</w:t>
      </w:r>
      <w:r w:rsidRPr="001E2C69">
        <w:rPr>
          <w:rFonts w:ascii="Times New Roman" w:hAnsi="Times New Roman"/>
          <w:color w:val="000000" w:themeColor="text1"/>
          <w:sz w:val="16"/>
          <w:szCs w:val="16"/>
        </w:rPr>
        <w:softHyphen/>
        <w:t>вались на надгусеничных полках - по два орудия со стороны каждого борта танка. Основное оружие танка и его боекомплект по сравнению с базовой машиной остались без изменений. Экипаж танка состоял из пя</w:t>
      </w:r>
      <w:r w:rsidRPr="001E2C69">
        <w:rPr>
          <w:rFonts w:ascii="Times New Roman" w:hAnsi="Times New Roman"/>
          <w:color w:val="000000" w:themeColor="text1"/>
          <w:sz w:val="16"/>
          <w:szCs w:val="16"/>
        </w:rPr>
        <w:softHyphen/>
        <w:t>ти человек. Корпус каждого орудия, сваренный из 10- и 30-мм броневых листов, имел прямоугольную форму в поперечном сечении и трапецевидную -в продольном. В корпусе орудия были установлены направляющие для двух 132-мм реактивных осколочно-фугасных снарядов М-13, исполь</w:t>
      </w:r>
      <w:r w:rsidRPr="001E2C69">
        <w:rPr>
          <w:rFonts w:ascii="Times New Roman" w:hAnsi="Times New Roman"/>
          <w:color w:val="000000" w:themeColor="text1"/>
          <w:sz w:val="16"/>
          <w:szCs w:val="16"/>
        </w:rPr>
        <w:softHyphen/>
        <w:t>зуемых из боевого комплекта боевой машины БМ-13 ("Катюша"). Пе</w:t>
      </w:r>
      <w:r w:rsidRPr="001E2C69">
        <w:rPr>
          <w:rFonts w:ascii="Times New Roman" w:hAnsi="Times New Roman"/>
          <w:color w:val="000000" w:themeColor="text1"/>
          <w:sz w:val="16"/>
          <w:szCs w:val="16"/>
        </w:rPr>
        <w:softHyphen/>
        <w:t>редние орудия имели угол возвышения +3°, а кормовые - +4°. Выстрел производился с помощью электрозапала. Из кормовых орудий стрельбу можно было вести только при положении башни с пушкой, располагав</w:t>
      </w:r>
      <w:r w:rsidRPr="001E2C69">
        <w:rPr>
          <w:rFonts w:ascii="Times New Roman" w:hAnsi="Times New Roman"/>
          <w:color w:val="000000" w:themeColor="text1"/>
          <w:sz w:val="16"/>
          <w:szCs w:val="16"/>
        </w:rPr>
        <w:softHyphen/>
        <w:t>шейся вдоль продольной оси танка (10703).</w:t>
      </w:r>
    </w:p>
    <w:p w14:paraId="243CD31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4C7AD85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31 августа 1942 г. в приказе № 51/м Главмотовелопрома рассосредоточили ремонт трофейных мотоциклов по типам и по заводам. На ММЗ сосредоточили ремонт тя</w:t>
      </w:r>
      <w:r w:rsidRPr="001E2C69">
        <w:rPr>
          <w:rFonts w:ascii="Times New Roman" w:hAnsi="Times New Roman"/>
          <w:color w:val="000000" w:themeColor="text1"/>
          <w:sz w:val="16"/>
          <w:szCs w:val="16"/>
        </w:rPr>
        <w:softHyphen/>
        <w:t>жёлых четырёхтактных мотоциклов фирм БМВ и «Цюндапп» всех марок, а на СМЗ - двухтактных машин, сделанных на фир</w:t>
      </w:r>
      <w:r w:rsidRPr="001E2C69">
        <w:rPr>
          <w:rFonts w:ascii="Times New Roman" w:hAnsi="Times New Roman"/>
          <w:color w:val="000000" w:themeColor="text1"/>
          <w:sz w:val="16"/>
          <w:szCs w:val="16"/>
        </w:rPr>
        <w:softHyphen/>
        <w:t>мах Триумф, Пух, Терро, Цюндапп и др. Мотоциклы фирм ДКВ и НСУ ремонтировали на этих заводах, также как и остальные машины неназванных фирм, но при наличии ремкомплектов. Мотоциклы, не обеспеченные ремкомплектом, передавали на от</w:t>
      </w:r>
      <w:r w:rsidRPr="001E2C69">
        <w:rPr>
          <w:rFonts w:ascii="Times New Roman" w:hAnsi="Times New Roman"/>
          <w:color w:val="000000" w:themeColor="text1"/>
          <w:sz w:val="16"/>
          <w:szCs w:val="16"/>
        </w:rPr>
        <w:softHyphen/>
        <w:t>ветственное хранение на тех же заводах [5.52]. Изготовление рем-комплектов, как и отдельных деталей для трофейных мотоцик</w:t>
      </w:r>
      <w:r w:rsidRPr="001E2C69">
        <w:rPr>
          <w:rFonts w:ascii="Times New Roman" w:hAnsi="Times New Roman"/>
          <w:color w:val="000000" w:themeColor="text1"/>
          <w:sz w:val="16"/>
          <w:szCs w:val="16"/>
        </w:rPr>
        <w:softHyphen/>
        <w:t>лов, распределили по различным предприятиям Главмотовело-прома, производственные мощности которых были ограничены, что сдерживало изготовление необходимых запчастей в требуе</w:t>
      </w:r>
      <w:r w:rsidRPr="001E2C69">
        <w:rPr>
          <w:rFonts w:ascii="Times New Roman" w:hAnsi="Times New Roman"/>
          <w:color w:val="000000" w:themeColor="text1"/>
          <w:sz w:val="16"/>
          <w:szCs w:val="16"/>
        </w:rPr>
        <w:softHyphen/>
        <w:t>мых объемах и плохо влияло на ремонт трофейных мотоциклов. При месячном плане на ММЗ в 150 мотоциклов, в апреле 1942 г. удалось отремонтировать только 96 мотоциклов, а в мае - НО [5.53]. Количество отремонтированных в 1942 г. на ММЗ и СМЗ трофейных мотоциклов и переданных в ГБТУ приведено в табл. 20 [5.54].</w:t>
      </w:r>
    </w:p>
    <w:p w14:paraId="1FCB852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Таблица 20</w:t>
      </w:r>
    </w:p>
    <w:p w14:paraId="5DBF544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Объемы отремонтированных трофейных мотоциклов, 1942 г.</w:t>
      </w:r>
    </w:p>
    <w:tbl>
      <w:tblPr>
        <w:tblW w:w="0" w:type="auto"/>
        <w:tblInd w:w="40" w:type="dxa"/>
        <w:tblLayout w:type="fixed"/>
        <w:tblCellMar>
          <w:left w:w="40" w:type="dxa"/>
          <w:right w:w="40" w:type="dxa"/>
        </w:tblCellMar>
        <w:tblLook w:val="0000" w:firstRow="0" w:lastRow="0" w:firstColumn="0" w:lastColumn="0" w:noHBand="0" w:noVBand="0"/>
      </w:tblPr>
      <w:tblGrid>
        <w:gridCol w:w="970"/>
        <w:gridCol w:w="950"/>
        <w:gridCol w:w="720"/>
        <w:gridCol w:w="739"/>
      </w:tblGrid>
      <w:tr w:rsidR="001E2C69" w:rsidRPr="001E2C69" w14:paraId="5BD2D1E4" w14:textId="77777777" w:rsidTr="00CC5360">
        <w:trPr>
          <w:trHeight w:val="394"/>
        </w:trPr>
        <w:tc>
          <w:tcPr>
            <w:tcW w:w="970" w:type="dxa"/>
            <w:tcBorders>
              <w:top w:val="single" w:sz="6" w:space="0" w:color="auto"/>
              <w:left w:val="single" w:sz="6" w:space="0" w:color="auto"/>
              <w:bottom w:val="nil"/>
              <w:right w:val="single" w:sz="6" w:space="0" w:color="auto"/>
            </w:tcBorders>
          </w:tcPr>
          <w:p w14:paraId="1010E2F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72E0CA6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nil"/>
              <w:right w:val="single" w:sz="6" w:space="0" w:color="auto"/>
            </w:tcBorders>
          </w:tcPr>
          <w:p w14:paraId="34C241C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1B62B0D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1459" w:type="dxa"/>
            <w:gridSpan w:val="2"/>
            <w:tcBorders>
              <w:top w:val="single" w:sz="6" w:space="0" w:color="auto"/>
              <w:left w:val="single" w:sz="6" w:space="0" w:color="auto"/>
              <w:bottom w:val="single" w:sz="6" w:space="0" w:color="auto"/>
              <w:right w:val="single" w:sz="6" w:space="0" w:color="auto"/>
            </w:tcBorders>
          </w:tcPr>
          <w:p w14:paraId="3426BC0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Факт</w:t>
            </w:r>
          </w:p>
          <w:p w14:paraId="4D088B3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tc>
      </w:tr>
      <w:tr w:rsidR="001E2C69" w:rsidRPr="001E2C69" w14:paraId="50E55451" w14:textId="77777777" w:rsidTr="00CC5360">
        <w:trPr>
          <w:trHeight w:val="355"/>
        </w:trPr>
        <w:tc>
          <w:tcPr>
            <w:tcW w:w="970" w:type="dxa"/>
            <w:tcBorders>
              <w:top w:val="nil"/>
              <w:left w:val="single" w:sz="6" w:space="0" w:color="auto"/>
              <w:bottom w:val="single" w:sz="6" w:space="0" w:color="auto"/>
              <w:right w:val="single" w:sz="6" w:space="0" w:color="auto"/>
            </w:tcBorders>
          </w:tcPr>
          <w:p w14:paraId="41CB082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250457F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nil"/>
              <w:left w:val="single" w:sz="6" w:space="0" w:color="auto"/>
              <w:bottom w:val="single" w:sz="6" w:space="0" w:color="auto"/>
              <w:right w:val="single" w:sz="6" w:space="0" w:color="auto"/>
            </w:tcBorders>
          </w:tcPr>
          <w:p w14:paraId="32B0A25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3D5088C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59BCB0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шт.</w:t>
            </w:r>
          </w:p>
          <w:p w14:paraId="54C7AC3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B27C04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p w14:paraId="0F086A5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tc>
      </w:tr>
      <w:tr w:rsidR="001E2C69" w:rsidRPr="001E2C69" w14:paraId="18BD32B6" w14:textId="77777777" w:rsidTr="00CC5360">
        <w:trPr>
          <w:trHeight w:val="326"/>
        </w:trPr>
        <w:tc>
          <w:tcPr>
            <w:tcW w:w="970" w:type="dxa"/>
            <w:tcBorders>
              <w:top w:val="single" w:sz="6" w:space="0" w:color="auto"/>
              <w:left w:val="single" w:sz="6" w:space="0" w:color="auto"/>
              <w:bottom w:val="nil"/>
              <w:right w:val="single" w:sz="6" w:space="0" w:color="auto"/>
            </w:tcBorders>
          </w:tcPr>
          <w:p w14:paraId="08E07BC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ММЗ</w:t>
            </w:r>
          </w:p>
          <w:p w14:paraId="26FA08D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nil"/>
              <w:right w:val="single" w:sz="6" w:space="0" w:color="auto"/>
            </w:tcBorders>
          </w:tcPr>
          <w:p w14:paraId="61310D3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2000</w:t>
            </w:r>
          </w:p>
          <w:p w14:paraId="31D6032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7A42C94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1131</w:t>
            </w:r>
          </w:p>
          <w:p w14:paraId="6F307CC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nil"/>
              <w:right w:val="single" w:sz="6" w:space="0" w:color="auto"/>
            </w:tcBorders>
          </w:tcPr>
          <w:p w14:paraId="32301CB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56,6</w:t>
            </w:r>
          </w:p>
          <w:p w14:paraId="7AC9548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tc>
      </w:tr>
      <w:tr w:rsidR="001E2C69" w:rsidRPr="001E2C69" w14:paraId="5BDFF70B" w14:textId="77777777" w:rsidTr="00CC5360">
        <w:trPr>
          <w:trHeight w:val="240"/>
        </w:trPr>
        <w:tc>
          <w:tcPr>
            <w:tcW w:w="970" w:type="dxa"/>
            <w:tcBorders>
              <w:top w:val="nil"/>
              <w:left w:val="single" w:sz="6" w:space="0" w:color="auto"/>
              <w:bottom w:val="nil"/>
              <w:right w:val="single" w:sz="6" w:space="0" w:color="auto"/>
            </w:tcBorders>
          </w:tcPr>
          <w:p w14:paraId="2D4F3E4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СМЗ</w:t>
            </w:r>
          </w:p>
          <w:p w14:paraId="5414A1D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nil"/>
              <w:left w:val="single" w:sz="6" w:space="0" w:color="auto"/>
              <w:bottom w:val="nil"/>
              <w:right w:val="single" w:sz="6" w:space="0" w:color="auto"/>
            </w:tcBorders>
          </w:tcPr>
          <w:p w14:paraId="3691F84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300</w:t>
            </w:r>
          </w:p>
          <w:p w14:paraId="18EF35C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nil"/>
              <w:right w:val="single" w:sz="6" w:space="0" w:color="auto"/>
            </w:tcBorders>
          </w:tcPr>
          <w:p w14:paraId="2BEE052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272</w:t>
            </w:r>
          </w:p>
          <w:p w14:paraId="6548936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739" w:type="dxa"/>
            <w:tcBorders>
              <w:top w:val="nil"/>
              <w:left w:val="single" w:sz="6" w:space="0" w:color="auto"/>
              <w:bottom w:val="nil"/>
              <w:right w:val="single" w:sz="6" w:space="0" w:color="auto"/>
            </w:tcBorders>
          </w:tcPr>
          <w:p w14:paraId="2C4C391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90,6</w:t>
            </w:r>
          </w:p>
          <w:p w14:paraId="0336798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tc>
      </w:tr>
      <w:tr w:rsidR="001E2C69" w:rsidRPr="001E2C69" w14:paraId="18D4A65B" w14:textId="77777777" w:rsidTr="00CC5360">
        <w:trPr>
          <w:trHeight w:val="384"/>
        </w:trPr>
        <w:tc>
          <w:tcPr>
            <w:tcW w:w="970" w:type="dxa"/>
            <w:tcBorders>
              <w:top w:val="nil"/>
              <w:left w:val="single" w:sz="6" w:space="0" w:color="auto"/>
              <w:bottom w:val="single" w:sz="6" w:space="0" w:color="auto"/>
              <w:right w:val="single" w:sz="6" w:space="0" w:color="auto"/>
            </w:tcBorders>
          </w:tcPr>
          <w:p w14:paraId="3A154F2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Всего</w:t>
            </w:r>
          </w:p>
          <w:p w14:paraId="5E8A095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nil"/>
              <w:left w:val="single" w:sz="6" w:space="0" w:color="auto"/>
              <w:bottom w:val="single" w:sz="6" w:space="0" w:color="auto"/>
              <w:right w:val="single" w:sz="6" w:space="0" w:color="auto"/>
            </w:tcBorders>
          </w:tcPr>
          <w:p w14:paraId="70964D9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2300</w:t>
            </w:r>
          </w:p>
          <w:p w14:paraId="512A752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64DD9CC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1403</w:t>
            </w:r>
          </w:p>
          <w:p w14:paraId="24D56EC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739" w:type="dxa"/>
            <w:tcBorders>
              <w:top w:val="nil"/>
              <w:left w:val="single" w:sz="6" w:space="0" w:color="auto"/>
              <w:bottom w:val="single" w:sz="6" w:space="0" w:color="auto"/>
              <w:right w:val="single" w:sz="6" w:space="0" w:color="auto"/>
            </w:tcBorders>
          </w:tcPr>
          <w:p w14:paraId="2B08211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61,0</w:t>
            </w:r>
          </w:p>
          <w:p w14:paraId="71E928F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tc>
      </w:tr>
    </w:tbl>
    <w:p w14:paraId="30FEADD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lang w:val="en-US"/>
        </w:rPr>
      </w:pPr>
      <w:r w:rsidRPr="001E2C69">
        <w:rPr>
          <w:rFonts w:ascii="Times New Roman" w:hAnsi="Times New Roman"/>
          <w:color w:val="000000" w:themeColor="text1"/>
          <w:sz w:val="16"/>
          <w:szCs w:val="16"/>
          <w:lang w:val="en-US"/>
        </w:rPr>
        <w:t>(11429)</w:t>
      </w:r>
      <w:r w:rsidRPr="001E2C69">
        <w:rPr>
          <w:rFonts w:ascii="Times New Roman" w:hAnsi="Times New Roman"/>
          <w:color w:val="000000" w:themeColor="text1"/>
          <w:sz w:val="16"/>
          <w:szCs w:val="16"/>
        </w:rPr>
        <w:t>.</w:t>
      </w:r>
    </w:p>
    <w:p w14:paraId="355F5D6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268F2BE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31 августа 1942 года была подготовлена справка:</w:t>
      </w:r>
    </w:p>
    <w:p w14:paraId="5D93536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ОКБ-16, ОКБ-15, заводы №№ 44 и 589 – Москва (9265).</w:t>
      </w:r>
    </w:p>
    <w:p w14:paraId="77F4134C" w14:textId="77777777" w:rsidR="00AE7191" w:rsidRPr="001E2C69" w:rsidRDefault="00AE7191" w:rsidP="00722885">
      <w:pPr>
        <w:pStyle w:val="Iauiue"/>
        <w:jc w:val="both"/>
        <w:rPr>
          <w:color w:val="000000" w:themeColor="text1"/>
          <w:sz w:val="16"/>
          <w:szCs w:val="16"/>
        </w:rPr>
      </w:pPr>
    </w:p>
    <w:p w14:paraId="69954C3C"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31 августа 1942:</w:t>
      </w:r>
    </w:p>
    <w:p w14:paraId="1F9A7CEE"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ВЭИ</w:t>
      </w:r>
    </w:p>
    <w:p w14:paraId="04B775DB"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1-й ОТДЕЛ,</w:t>
      </w:r>
    </w:p>
    <w:p w14:paraId="0D30F94D"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31/8 1942 г.</w:t>
      </w:r>
    </w:p>
    <w:p w14:paraId="2AD8AEEE"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Москва, Красноказарменная, 12</w:t>
      </w:r>
    </w:p>
    <w:p w14:paraId="55BB9D87"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Заместителю председателя народных комиссаров Союза ССР тов. Косыгину А.Н. (от начальника ОКБ при ВЭИ НКЭП В. Бирюкова)</w:t>
      </w:r>
    </w:p>
    <w:p w14:paraId="19971F4F"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ГОКО постановлением от 15 мая 1942 года обязал Наркомэлектропром создать Особое конструкторское бюро при ВЭИ, расположив его в корпусах Всесоюзного Электротехнического Института НКЭП. Этим постановлением на ВЭИ возложены: разработка и выпуск ночного штурманского прибора для авиации и морского флота, а также прибора для вождения танков ночью, разработка ночного снайперского прицела других приборов для видения ночью.</w:t>
      </w:r>
    </w:p>
    <w:p w14:paraId="5598D651"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ОКБ переданы телевизионные и химические лаборатории НИИ №9 г. Ленинграда, задача которых состоит в создании и изготовлении самолетной телевизионной приемо-передающей установки и создании и изготовлении телевизионной аппаратуры для наведения нашей истребительной авиации на авиацию противника.</w:t>
      </w:r>
    </w:p>
    <w:p w14:paraId="6362B93D"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Государственный Комитет Обороны разрешил НКЭП для ОКБ при ВЭИ вывезти из Ленинграда, Свердловска, Красноярска и других городов высококвалифицированных специалистов, рабочих, материалы и оборудование.</w:t>
      </w:r>
    </w:p>
    <w:p w14:paraId="5D6954DE"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обеспечения этих задач ГОКО обязал:</w:t>
      </w:r>
    </w:p>
    <w:p w14:paraId="2CE99E38"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тов. Пронина /Мосгорисполком/:</w:t>
      </w:r>
    </w:p>
    <w:p w14:paraId="19678E75"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обеспечить жилыми площадями 100 человек научных работников и высококвалифицированных рабочих;</w:t>
      </w:r>
    </w:p>
    <w:p w14:paraId="34D0D640"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в месячный срок произвести восстановительные работы в лабораторных и производственных корпусах ВЭИ, переданных Особому конструкторскому бюро</w:t>
      </w:r>
    </w:p>
    <w:p w14:paraId="4AB8347C"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тов. Любимова /Наркомторг СССР/</w:t>
      </w:r>
    </w:p>
    <w:p w14:paraId="17C24DB8"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открыть буфет и столовую закрытого типа для ИТР и рабочих ОКБ</w:t>
      </w:r>
    </w:p>
    <w:p w14:paraId="142C4910"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выделить дополнительное питание для лиц, занятых а вредном для здоровья производстве</w:t>
      </w:r>
    </w:p>
    <w:p w14:paraId="01FBADA7"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Сроки исполнения постановления ГОКО давно прошли, однако, несмотря на наши неоднократные требования, указанные пункты постановления ГОКО до настоящего времени не выполнены:</w:t>
      </w:r>
    </w:p>
    <w:p w14:paraId="2F41940B"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Для работы в ОКБ прибыли из г.Ленинграда и других городов все 100 человек, но вследствие того, что Мосгорисполкомом не выполнено постановление ГОКО о предоставлении жилплощади, значительная часть прибывших не имеет прописки и не обеспечена питанием /не выданы продкарточки/.</w:t>
      </w:r>
    </w:p>
    <w:p w14:paraId="01D94291"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Наши письма и безрезультатная потеря времени на решение этих вопросов в течение 3-х месяцев у Зам.пред.Мосгорисполкома и в Мосгоржилотделе ни к чему не привели. Получено только 25 ордеров, из коих 7 в домах, совершенно не пригодных для жилья, и то только после телефонного звонка Зав.отделом Электропромышленности Управления кадров ЦК ВКП/б/ тов.Турчанина А.А. к Зам.Пред.Мосгорисполкома по жилищным вопросам тов. Майорову.</w:t>
      </w:r>
    </w:p>
    <w:p w14:paraId="06DB739F"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На обращение личное Зам.Наркома Электропромышленности СССР тов. Товстопалова А.И. к тов.Понину с просьбой о предоставлении жилплощадей, во исполнение постановления ГОКО, лицам, прибывшим для выполнения задания Государственного Комитета Обороны, т. Пронин ответил, что жилплощади предоставить не может, так как постановлений имеет очень много.</w:t>
      </w:r>
    </w:p>
    <w:p w14:paraId="2BEF3E0F"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Тов. Прониным, во исполнение постановления ГОКО №175сс, о восстановлении корпусов ВЭИ для ОКБ была выделена строительная организация "Госгражданстрой", которая в течение трех месяцев не закончила восстановительных работ и лишь недавно приступила к восстановительным работам по сантехнике... Это обстоятельство: 1/ не дает возможности на протяжении трех месяцев освоить производственные площади, 2/ при развороте работ по сантехнике приводит к большим разрушениям выполненных строительных работ и требует дополнительной затраты времени и средств, 3/ ставит под угрозу полного срыва работы ОКБ на зимний период, так как здания полностью не подготовлены к зиме; не застеклены; отопительная, водопроводная и канализационная сеть не восстановлены.</w:t>
      </w:r>
    </w:p>
    <w:p w14:paraId="142C7EC3"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До сегодняшнего дня Наркомторгом и подведомственными ему организациями не открыты при ОКБ-ВЭИ буфет и столовая закрытого типа. Наркомторг заявляется, что формулировка постановления ГОКО "организовать для рабочих и ИТР ОКБ закрытый буфет и столовую" неясна; "обеспечить дополнительным снабжением рабочих и ИТР ОКБ, занятых на вредном для здоровья производстве" Наркомторгу тоже не ясно, так как в постановлении не сказано: по карточкам, или с 50% вырезом карточек или без карточек питать сотрудников ОКБ.</w:t>
      </w:r>
    </w:p>
    <w:p w14:paraId="0A07C7B6"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Вследствие этого сотрудники ОКБ частично прикрепляются к столовым, близлежащим к предприятиям, что нарушает расписание рабочего дня, и не могут быть переведены на удлиненный рабочий день; другая часть сотрудников, имеющая семьи в г.Москве, остается не прикрепленной.</w:t>
      </w:r>
    </w:p>
    <w:p w14:paraId="67854A2C"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Постановлением ГОКО для работ ОКБ при ВЭИ выделены 5 автомашин ГАЗ-АА...из-за отсутствия бензина весь транспорт ОКБ стал, вследствие чего мы не можем обеспечить выездов на ночные испытания и доставку необходимых материалов для работ, что ведет к полному срыву всех заданий.</w:t>
      </w:r>
    </w:p>
    <w:p w14:paraId="7F7B7341"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w:t>
      </w:r>
    </w:p>
    <w:p w14:paraId="3E01711C"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ОКБ при ВЭИ НКЭП: /Бирюков/ (15248).</w:t>
      </w:r>
    </w:p>
    <w:p w14:paraId="585D199C" w14:textId="77777777" w:rsidR="00BD5EB5" w:rsidRPr="001E2C69" w:rsidRDefault="00BD5EB5" w:rsidP="00722885">
      <w:pPr>
        <w:shd w:val="clear" w:color="auto" w:fill="FFFFFF"/>
        <w:spacing w:after="0" w:line="240" w:lineRule="auto"/>
        <w:jc w:val="both"/>
        <w:rPr>
          <w:rFonts w:ascii="Times New Roman" w:hAnsi="Times New Roman"/>
          <w:color w:val="000000" w:themeColor="text1"/>
          <w:sz w:val="16"/>
          <w:szCs w:val="16"/>
        </w:rPr>
      </w:pPr>
    </w:p>
    <w:p w14:paraId="06AC58BB"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1CD4B65B" w14:textId="77777777" w:rsidR="00AE7191" w:rsidRPr="001E2C69" w:rsidRDefault="00AE7191" w:rsidP="00722885">
      <w:pPr>
        <w:pStyle w:val="Iauiue"/>
        <w:jc w:val="both"/>
        <w:rPr>
          <w:iCs/>
          <w:color w:val="000000" w:themeColor="text1"/>
          <w:sz w:val="16"/>
          <w:szCs w:val="16"/>
        </w:rPr>
      </w:pPr>
    </w:p>
    <w:p w14:paraId="27649248"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 xml:space="preserve">31 августа </w:t>
      </w:r>
      <w:r w:rsidRPr="001E2C69">
        <w:rPr>
          <w:rFonts w:ascii="Times New Roman" w:hAnsi="Times New Roman"/>
          <w:color w:val="000000" w:themeColor="text1"/>
          <w:sz w:val="16"/>
          <w:szCs w:val="16"/>
        </w:rPr>
        <w:t>в 1942 году утреннее сообщение Совинформбюро:</w:t>
      </w:r>
    </w:p>
    <w:p w14:paraId="584CAA19"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ночи на 31 августа на фронтах существенных изменений не произошло.</w:t>
      </w:r>
    </w:p>
    <w:p w14:paraId="10266809"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северо-западнее Сталинграда Н-ская танковая часть в многочасовом бою с противником уничтожила 12 немецких танков, 14 орудий, 8 пулемётных точек и истребила более 400 гитлеровцев. На другом участке немцы силами танков и пехоты пытались атаковать наши позиции. Атака противника была отбита артиллеристами и бронебойщиками. Из 30 принимавших участие в наступлении танков противника было уничтожено 16 немецких танков.</w:t>
      </w:r>
    </w:p>
    <w:p w14:paraId="2C71EAC7"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наши войска продолжали вести активные боевые действия и несколько продвинулись вперёд.</w:t>
      </w:r>
    </w:p>
    <w:p w14:paraId="29488F0A"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Северо-восточнее Котельникова одно наше подразделение совершило ночной налёт на расположение противника. Наши бойцы уничтожили до 200 гитлеровцев и захватили 2 орудия, 5 пулемётов, 46 винтовок и автоматов.</w:t>
      </w:r>
    </w:p>
    <w:p w14:paraId="5FA435B1"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Южнее Краснодара наша кавалерийская часть напала в тылу противника на подходившую к фронту колонну немецкой пехоты. Казаки в короткой схватке порубили до 300 гитлеровцев и сожгли 20 грузовых автомашин с боеприпасами и военными муществом.</w:t>
      </w:r>
    </w:p>
    <w:p w14:paraId="39ACB6F2"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этом бою особенно отличились разведчики сержант тов. Моисеенко, курсант тов. Постников и группа бойцов под руководством тт. Бочкарёва и Алёшина.</w:t>
      </w:r>
    </w:p>
    <w:p w14:paraId="31F32E1E"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Прохладного огнём гвардейского артиллерийского подразделения на переправах через водный рубеж уничтожено 11 автомашин, 3 танка и до роты пехоты противника.</w:t>
      </w:r>
    </w:p>
    <w:p w14:paraId="593D0452"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Партизанский отряд под командованием тов. К., действующий в одном из районов Сумской области, в бою с противником истребил 140 немецко-фашистских захватчиков. Партизаны захватили 8 станковых пулемётов, 26 винтовок, 6 автоматов, 2 радиостанции и много боеприпасов.</w:t>
      </w:r>
    </w:p>
    <w:p w14:paraId="14DBAC50"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неотправленном письме немецкого офицера Франца Шумертля, адресованном некоей Терезии Мервальд в Креппеншлаге, говорится: «Ты просишь, чтобы я берёгся. Если бы ты знала, что мы здесь переживаем, наверное, перестала бы рассчитыватьна свидание со мной. Я не надеюсь остаться в живых. Мы всё время находимся под огнём русских... За три ночи я не спал и получаса. Вчера днём было несколько легче, но сегодня опять творится нечто безумное. Видно, нашим костям суждено тлеть на равнинах России...»</w:t>
      </w:r>
    </w:p>
    <w:p w14:paraId="4A6E2977"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Жители освобождённых от немецко-фашистских оккупантов деревень Калининской области рассказывают о кровавых злодеяниях немецко-фашистских мерзавцев. Колхозница Евдокия Иванова, из деревни Пищалино, сообщает: «Немцы ворвались в нашу деревню и дочиста ограбили всех жителей. Они морили голодом советских людей, а из деревни выходить запретили. Нюра Абрамова, Шура, Маруся и Настя Цветковы пошли в соседнюю деревню за картошкой. Гитлеровцы схватили их за околицей, привели в село и на глазах всего населения расстреляли. Немецкие бандиты насильно угнали из деревни Алексино в глубокий тыл 450 женщин и мужчин. Красная Армия вырвала нас из рук смерти».</w:t>
      </w:r>
    </w:p>
    <w:p w14:paraId="7F39A11A"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Немецкие оккупанты заключили в концентрационный лагерь близ Гаммере 450 норвежских учёных, учителей и врачей. Заключённых гитлеровцы заставили рубить лес и корчевать пни. Каждого, кто не выполнил дневное задание, они бросают в карцер — сырую, тёмную яму, вырытую в земле. Заболевшие не получают никакой медицинской помощи. От голода и болезней в июле в лагере умерло 46 человек.» (14755).</w:t>
      </w:r>
    </w:p>
    <w:p w14:paraId="60E671B5" w14:textId="77777777" w:rsidR="00BD5EB5" w:rsidRPr="001E2C69" w:rsidRDefault="00BD5EB5" w:rsidP="00722885">
      <w:pPr>
        <w:spacing w:after="0" w:line="240" w:lineRule="auto"/>
        <w:jc w:val="both"/>
        <w:rPr>
          <w:rFonts w:ascii="Times New Roman" w:hAnsi="Times New Roman"/>
          <w:color w:val="000000" w:themeColor="text1"/>
          <w:sz w:val="16"/>
          <w:szCs w:val="16"/>
        </w:rPr>
      </w:pPr>
    </w:p>
    <w:p w14:paraId="03A511FC"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 xml:space="preserve">31 августа </w:t>
      </w:r>
      <w:r w:rsidRPr="001E2C69">
        <w:rPr>
          <w:rFonts w:ascii="Times New Roman" w:hAnsi="Times New Roman"/>
          <w:color w:val="000000" w:themeColor="text1"/>
          <w:sz w:val="16"/>
          <w:szCs w:val="16"/>
        </w:rPr>
        <w:t>в 1942 году вечернее сообщение Совинформбюро:</w:t>
      </w:r>
    </w:p>
    <w:p w14:paraId="6EAFB33B"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31 августа на фронтах существенных изменений не произошло.</w:t>
      </w:r>
    </w:p>
    <w:p w14:paraId="657BD199"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30 августа частями нашей авиации на различных участках фронта уничтоженоили повреждено до 20 немецких танков и бронемашин, более 100 автомашин свойсками и грузами, подавлен огонь 5 батарей полевой и зенитной артиллерии,взорваны 2 склада боеприпасов и склад горючего, разбито три железнодорожныхэшелона, рассеяно и частью уничтожено до батальона пехоты противника.</w:t>
      </w:r>
    </w:p>
    <w:p w14:paraId="5A24BB77"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одном из участков Калининского фронта наши части заняли три укреплённых противником населённых пункта. В упорных боях за эти населённые пункты немцы потеряли убитыми и ранеными до 800 солдат и офицеров. Нашими бойцами огнём из пулемётов сбито 3 немецких самолёта.</w:t>
      </w:r>
    </w:p>
    <w:p w14:paraId="4E3898C0"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северо-западнее Сталинграда наши войска вели ожесточённые бои с группировкой противника, вклинившейся в нашу оборону. В связи с огромными потерями в живой силе и технике немцы пытались подбросить подкрепления своим передовым частям. Наша разведка обнаружила движение вражеской колонны автомашин с войсками, вооружением и боеприпасами. Советские артиллеристы и лётчики обрушили на неприятеля сильный огонь и разгромили колонну противника. Большая часть немецких автомашин уничтожена.</w:t>
      </w:r>
    </w:p>
    <w:p w14:paraId="6C48D364"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Клетской наши войска вели активные боевые действия и продвинулись вперёд. Оборонявшие этот участок итальянские войска пытались оказать сопротивление, но были опрокинуты. Захвачены трофеи: 38 орудий, 265 пулемётов, до 1.500 тысяч патронов, много винтовок, автомашин и другое военное имущество. Взяты пленные.</w:t>
      </w:r>
    </w:p>
    <w:p w14:paraId="40E294C5"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северо-восточнее Котельникова наши войска отражали атаки танков и пехоты противника. На одном участке немцам удалось вклиниться в расположение нашей обороны. Н-ская часть, сдерживая натиск численно превосходящих сил неприятеля, уничтожила 8 немецких танков и истребила свыше 300 гитлеровцев. На другом участке огневыми налётами нашей артиллерии уничтожено до 30 автомашин, артиллерийская и две миномётные батареи противника.</w:t>
      </w:r>
    </w:p>
    <w:p w14:paraId="4F7223B4"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Южнее Краснодара наши части отбивали атаки противника. Бойцы Н-ской части уничтожили 3 немецких танка и истребили до роты пехоты противника. В одном районе в тылу наших войск немцы выбросили авиадесант в количестве 200 автоматчиков. Нашими казаками десант был окружён и полностью уничтожен.</w:t>
      </w:r>
    </w:p>
    <w:p w14:paraId="68D09DEF"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воздушных боях сбито 18 немецких самолётов.</w:t>
      </w:r>
    </w:p>
    <w:p w14:paraId="2647C918"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Прохладного наши части уничтожили 7 немецких танков, 22 автомашины и более 200 гитлеровцев.</w:t>
      </w:r>
    </w:p>
    <w:p w14:paraId="2AFA6D72"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Северо-Западном фронте происходили бои местного значения. Одно наше подразделение атаковало противника и захватило 28 немецких ДЗОТов и блиндажей, 3 пулемёта и уничтожило до роты гитлеровцев.</w:t>
      </w:r>
    </w:p>
    <w:p w14:paraId="64456C14"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Отряд орловских партизан под командованием тов. Р. в течение августа пустил под откос три железнодорожных эшелона противника. Разбито 3 паровоза и 47 вагонов с войсками и техникой.</w:t>
      </w:r>
    </w:p>
    <w:p w14:paraId="565027E9"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Группа партизан заложила под раму бензиновой цистерны мину и несколько килограммов взрывчатки. В пути следования мина взорвалась. Железнодорожный эшелон противника в количестве 29 цистерн с бензином полностью сгорел.</w:t>
      </w:r>
    </w:p>
    <w:p w14:paraId="5C17FE05"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Пленный солдат 128 артиллерийского полка 23 немецкой танковой дивизии Альфред Гельмут сообщил: «Немецкие солдаты и офицеры истребляют население захваченных советских районов. Я не знаю случая, чтобы солдат, убивший ни в чём не повинного мирного жителя, получил какое-либо наказание. В мае текущего года я находился в Полтаве. Расстрелы и убийства мирных жителей там происходили ежедневно. Солдаты гарнизона рассказали мне, что в ноябре 1941 года немцы расстреляли около 3.000 человек. В Харькове я лично был очевидцем, как по приказу немецкого командованияв апреле 1942 года во дворе тракторного завода было расстреляно несколько тысяч харьковских жителей».</w:t>
      </w:r>
    </w:p>
    <w:p w14:paraId="1F78E0A2"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военном порту Шербур (Франция) патриоты подожгли большой немецкий воинский склад. Огнём уничтожено 25 пакгаузов, 19 автомобилей, до 20 тысяч мешков с продовольствием и много бензина.» (14755).</w:t>
      </w:r>
    </w:p>
    <w:p w14:paraId="7B4E6005" w14:textId="77777777" w:rsidR="00BD5EB5" w:rsidRPr="001E2C69" w:rsidRDefault="00BD5EB5" w:rsidP="00722885">
      <w:pPr>
        <w:spacing w:after="0" w:line="240" w:lineRule="auto"/>
        <w:jc w:val="both"/>
        <w:rPr>
          <w:rFonts w:ascii="Times New Roman" w:hAnsi="Times New Roman"/>
          <w:color w:val="000000" w:themeColor="text1"/>
          <w:sz w:val="16"/>
          <w:szCs w:val="16"/>
        </w:rPr>
      </w:pPr>
    </w:p>
    <w:p w14:paraId="08C6905D" w14:textId="72898014" w:rsidR="004C228B" w:rsidRPr="001E2C69" w:rsidRDefault="004C228B" w:rsidP="00722885">
      <w:pPr>
        <w:pStyle w:val="af"/>
        <w:spacing w:before="0" w:after="0"/>
        <w:jc w:val="both"/>
        <w:textAlignment w:val="baseline"/>
        <w:rPr>
          <w:color w:val="000000" w:themeColor="text1"/>
          <w:sz w:val="16"/>
          <w:szCs w:val="16"/>
        </w:rPr>
      </w:pPr>
      <w:r w:rsidRPr="001E2C69">
        <w:rPr>
          <w:color w:val="000000" w:themeColor="text1"/>
          <w:sz w:val="16"/>
          <w:szCs w:val="16"/>
        </w:rPr>
        <w:t>31 августа 1942</w:t>
      </w:r>
      <w:r w:rsidR="001E2C69">
        <w:rPr>
          <w:color w:val="000000" w:themeColor="text1"/>
          <w:sz w:val="16"/>
          <w:szCs w:val="16"/>
        </w:rPr>
        <w:t xml:space="preserve">   </w:t>
      </w:r>
      <w:r w:rsidRPr="001E2C69">
        <w:rPr>
          <w:color w:val="000000" w:themeColor="text1"/>
          <w:sz w:val="16"/>
          <w:szCs w:val="16"/>
        </w:rPr>
        <w:t xml:space="preserve">г. две эскадрильи 198-го шап произвели налет на крупную авиабазу люфтваффе Орел-Западный. Время налета было назначено на полдень, так как </w:t>
      </w:r>
      <w:r w:rsidRPr="001E2C69">
        <w:rPr>
          <w:color w:val="000000" w:themeColor="text1"/>
          <w:sz w:val="16"/>
          <w:szCs w:val="16"/>
        </w:rPr>
        <w:lastRenderedPageBreak/>
        <w:t>командование полагало, что «в это время немцы обедают». По донесениям летчиков удар выглядел красочно:</w:t>
      </w:r>
    </w:p>
    <w:p w14:paraId="449CECAB" w14:textId="77777777" w:rsidR="004C228B" w:rsidRPr="001E2C69" w:rsidRDefault="004C228B" w:rsidP="00722885">
      <w:pPr>
        <w:pStyle w:val="af"/>
        <w:spacing w:before="0" w:after="0"/>
        <w:jc w:val="both"/>
        <w:textAlignment w:val="baseline"/>
        <w:rPr>
          <w:iCs/>
          <w:color w:val="000000" w:themeColor="text1"/>
          <w:sz w:val="16"/>
          <w:szCs w:val="16"/>
          <w:bdr w:val="none" w:sz="0" w:space="0" w:color="auto" w:frame="1"/>
        </w:rPr>
      </w:pPr>
      <w:r w:rsidRPr="001E2C69">
        <w:rPr>
          <w:iCs/>
          <w:color w:val="000000" w:themeColor="text1"/>
          <w:sz w:val="16"/>
          <w:szCs w:val="16"/>
          <w:bdr w:val="none" w:sz="0" w:space="0" w:color="auto" w:frame="1"/>
        </w:rPr>
        <w:t>«Сгорело несколько десятков стоявших крыло к крылу вражеских самолетов. Пламя перебрасывалось с машины на машину, и никто не гасил этот бушующий костер. Уцелевшие гитлеровцы, спасаясь от гибели, бежали с аэродрома…»</w:t>
      </w:r>
    </w:p>
    <w:p w14:paraId="53302E64" w14:textId="3E154310" w:rsidR="004C228B" w:rsidRPr="001E2C69" w:rsidRDefault="004C228B" w:rsidP="00722885">
      <w:pPr>
        <w:pStyle w:val="af"/>
        <w:spacing w:before="0" w:after="0"/>
        <w:jc w:val="both"/>
        <w:textAlignment w:val="baseline"/>
        <w:rPr>
          <w:color w:val="000000" w:themeColor="text1"/>
          <w:sz w:val="16"/>
          <w:szCs w:val="16"/>
        </w:rPr>
      </w:pPr>
      <w:r w:rsidRPr="001E2C69">
        <w:rPr>
          <w:color w:val="000000" w:themeColor="text1"/>
          <w:sz w:val="16"/>
          <w:szCs w:val="16"/>
        </w:rPr>
        <w:t>Все это являлось, мягко говоря, сильным преувеличением. Ни один немецкий самолет не пострадал, зато на обратном пути были сбиты Ил-2 лейтенантов И.</w:t>
      </w:r>
      <w:r w:rsidR="001E2C69">
        <w:rPr>
          <w:color w:val="000000" w:themeColor="text1"/>
          <w:sz w:val="16"/>
          <w:szCs w:val="16"/>
        </w:rPr>
        <w:t xml:space="preserve">   </w:t>
      </w:r>
      <w:r w:rsidRPr="001E2C69">
        <w:rPr>
          <w:color w:val="000000" w:themeColor="text1"/>
          <w:sz w:val="16"/>
          <w:szCs w:val="16"/>
        </w:rPr>
        <w:t>Касаткина, К.</w:t>
      </w:r>
      <w:r w:rsidR="001E2C69">
        <w:rPr>
          <w:color w:val="000000" w:themeColor="text1"/>
          <w:sz w:val="16"/>
          <w:szCs w:val="16"/>
        </w:rPr>
        <w:t xml:space="preserve">   </w:t>
      </w:r>
      <w:r w:rsidRPr="001E2C69">
        <w:rPr>
          <w:color w:val="000000" w:themeColor="text1"/>
          <w:sz w:val="16"/>
          <w:szCs w:val="16"/>
        </w:rPr>
        <w:t>Рослякова и младшего лейтенанта А.</w:t>
      </w:r>
      <w:r w:rsidR="001E2C69">
        <w:rPr>
          <w:color w:val="000000" w:themeColor="text1"/>
          <w:sz w:val="16"/>
          <w:szCs w:val="16"/>
        </w:rPr>
        <w:t xml:space="preserve">   </w:t>
      </w:r>
      <w:r w:rsidRPr="001E2C69">
        <w:rPr>
          <w:color w:val="000000" w:themeColor="text1"/>
          <w:sz w:val="16"/>
          <w:szCs w:val="16"/>
        </w:rPr>
        <w:t>Маметкина (19522).</w:t>
      </w:r>
    </w:p>
    <w:p w14:paraId="7A709D19" w14:textId="77777777" w:rsidR="004C228B" w:rsidRPr="001E2C69" w:rsidRDefault="004C228B" w:rsidP="00722885">
      <w:pPr>
        <w:pStyle w:val="af"/>
        <w:spacing w:before="0" w:after="0"/>
        <w:jc w:val="both"/>
        <w:textAlignment w:val="baseline"/>
        <w:rPr>
          <w:bCs/>
          <w:color w:val="000000" w:themeColor="text1"/>
          <w:sz w:val="16"/>
          <w:szCs w:val="16"/>
        </w:rPr>
      </w:pPr>
    </w:p>
    <w:p w14:paraId="4D47C211"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 xml:space="preserve">31 августа </w:t>
      </w:r>
      <w:r w:rsidRPr="001E2C69">
        <w:rPr>
          <w:rFonts w:ascii="Times New Roman" w:hAnsi="Times New Roman"/>
          <w:color w:val="000000" w:themeColor="text1"/>
          <w:sz w:val="16"/>
          <w:szCs w:val="16"/>
        </w:rPr>
        <w:t>в 1942 году противник прорвал средний сталинградский оборонительный обвод севернее Гавриловки. Советские войска оставили город Прохладный (14755).</w:t>
      </w:r>
    </w:p>
    <w:p w14:paraId="54ECD4ED" w14:textId="77777777" w:rsidR="00BD5EB5" w:rsidRPr="001E2C69" w:rsidRDefault="00BD5EB5" w:rsidP="00722885">
      <w:pPr>
        <w:spacing w:after="0" w:line="240" w:lineRule="auto"/>
        <w:jc w:val="both"/>
        <w:rPr>
          <w:rFonts w:ascii="Times New Roman" w:hAnsi="Times New Roman"/>
          <w:color w:val="000000" w:themeColor="text1"/>
          <w:sz w:val="16"/>
          <w:szCs w:val="16"/>
        </w:rPr>
      </w:pPr>
    </w:p>
    <w:p w14:paraId="1CB15E45"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 xml:space="preserve">31 августа </w:t>
      </w:r>
      <w:r w:rsidRPr="001E2C69">
        <w:rPr>
          <w:rFonts w:ascii="Times New Roman" w:hAnsi="Times New Roman"/>
          <w:color w:val="000000" w:themeColor="text1"/>
          <w:sz w:val="16"/>
          <w:szCs w:val="16"/>
        </w:rPr>
        <w:t>в 1942 году немецкие войска овладели Анапой. Оборонявшие Таманский полуостров части морской пехоты оказались отрезанными от основных сил советской 47-й армии, корабли Азовской военной флотилии были вынуждены прорываться в Черное море (14755).</w:t>
      </w:r>
    </w:p>
    <w:p w14:paraId="5B7A2C32" w14:textId="77777777" w:rsidR="00BD5EB5" w:rsidRPr="001E2C69" w:rsidRDefault="00BD5EB5" w:rsidP="00722885">
      <w:pPr>
        <w:spacing w:after="0" w:line="240" w:lineRule="auto"/>
        <w:jc w:val="both"/>
        <w:rPr>
          <w:rFonts w:ascii="Times New Roman" w:hAnsi="Times New Roman"/>
          <w:color w:val="000000" w:themeColor="text1"/>
          <w:sz w:val="16"/>
          <w:szCs w:val="16"/>
        </w:rPr>
      </w:pPr>
    </w:p>
    <w:p w14:paraId="78FE5DA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Потери личного состава летных частей и самолетов Люфтваффе за период с 1 по 31 августа 1942 г. на фронтах*)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1012"/>
        <w:gridCol w:w="1012"/>
        <w:gridCol w:w="1236"/>
        <w:gridCol w:w="1559"/>
        <w:gridCol w:w="3686"/>
      </w:tblGrid>
      <w:tr w:rsidR="001E2C69" w:rsidRPr="001E2C69" w14:paraId="0785C68E" w14:textId="77777777" w:rsidTr="00CC5360">
        <w:tc>
          <w:tcPr>
            <w:tcW w:w="2093" w:type="dxa"/>
            <w:tcBorders>
              <w:top w:val="single" w:sz="12" w:space="0" w:color="auto"/>
            </w:tcBorders>
          </w:tcPr>
          <w:p w14:paraId="515C4B5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Фронт</w:t>
            </w:r>
          </w:p>
        </w:tc>
        <w:tc>
          <w:tcPr>
            <w:tcW w:w="1012" w:type="dxa"/>
            <w:tcBorders>
              <w:top w:val="single" w:sz="12" w:space="0" w:color="auto"/>
            </w:tcBorders>
          </w:tcPr>
          <w:p w14:paraId="5CC39AA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Убитых</w:t>
            </w:r>
          </w:p>
        </w:tc>
        <w:tc>
          <w:tcPr>
            <w:tcW w:w="1012" w:type="dxa"/>
            <w:tcBorders>
              <w:top w:val="single" w:sz="12" w:space="0" w:color="auto"/>
            </w:tcBorders>
          </w:tcPr>
          <w:p w14:paraId="570FF1A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Раненых</w:t>
            </w:r>
          </w:p>
        </w:tc>
        <w:tc>
          <w:tcPr>
            <w:tcW w:w="1236" w:type="dxa"/>
            <w:tcBorders>
              <w:top w:val="single" w:sz="12" w:space="0" w:color="auto"/>
            </w:tcBorders>
          </w:tcPr>
          <w:p w14:paraId="19B63B0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Пропавших </w:t>
            </w:r>
          </w:p>
        </w:tc>
        <w:tc>
          <w:tcPr>
            <w:tcW w:w="1559" w:type="dxa"/>
            <w:tcBorders>
              <w:top w:val="single" w:sz="12" w:space="0" w:color="auto"/>
            </w:tcBorders>
          </w:tcPr>
          <w:p w14:paraId="7F027D0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Полностью</w:t>
            </w:r>
          </w:p>
        </w:tc>
        <w:tc>
          <w:tcPr>
            <w:tcW w:w="3686" w:type="dxa"/>
            <w:tcBorders>
              <w:top w:val="single" w:sz="12" w:space="0" w:color="auto"/>
            </w:tcBorders>
          </w:tcPr>
          <w:p w14:paraId="1D84B7A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Повреждено</w:t>
            </w:r>
          </w:p>
        </w:tc>
      </w:tr>
      <w:tr w:rsidR="001E2C69" w:rsidRPr="001E2C69" w14:paraId="1B77F205" w14:textId="77777777" w:rsidTr="00CC5360">
        <w:tc>
          <w:tcPr>
            <w:tcW w:w="2093" w:type="dxa"/>
          </w:tcPr>
          <w:p w14:paraId="321EDD00" w14:textId="77777777" w:rsidR="00AE7191" w:rsidRPr="001E2C69" w:rsidRDefault="00AE7191" w:rsidP="00722885">
            <w:pPr>
              <w:pStyle w:val="Iauiue"/>
              <w:jc w:val="both"/>
              <w:rPr>
                <w:color w:val="000000" w:themeColor="text1"/>
                <w:sz w:val="16"/>
                <w:szCs w:val="16"/>
              </w:rPr>
            </w:pPr>
          </w:p>
        </w:tc>
        <w:tc>
          <w:tcPr>
            <w:tcW w:w="1012" w:type="dxa"/>
          </w:tcPr>
          <w:p w14:paraId="6511114E" w14:textId="77777777" w:rsidR="00AE7191" w:rsidRPr="001E2C69" w:rsidRDefault="00AE7191" w:rsidP="00722885">
            <w:pPr>
              <w:pStyle w:val="Iauiue"/>
              <w:jc w:val="both"/>
              <w:rPr>
                <w:color w:val="000000" w:themeColor="text1"/>
                <w:sz w:val="16"/>
                <w:szCs w:val="16"/>
              </w:rPr>
            </w:pPr>
          </w:p>
        </w:tc>
        <w:tc>
          <w:tcPr>
            <w:tcW w:w="1012" w:type="dxa"/>
          </w:tcPr>
          <w:p w14:paraId="5AD1C20A" w14:textId="77777777" w:rsidR="00AE7191" w:rsidRPr="001E2C69" w:rsidRDefault="00AE7191" w:rsidP="00722885">
            <w:pPr>
              <w:pStyle w:val="Iauiue"/>
              <w:jc w:val="both"/>
              <w:rPr>
                <w:color w:val="000000" w:themeColor="text1"/>
                <w:sz w:val="16"/>
                <w:szCs w:val="16"/>
              </w:rPr>
            </w:pPr>
          </w:p>
        </w:tc>
        <w:tc>
          <w:tcPr>
            <w:tcW w:w="1236" w:type="dxa"/>
          </w:tcPr>
          <w:p w14:paraId="3C0DD84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без вести</w:t>
            </w:r>
          </w:p>
        </w:tc>
        <w:tc>
          <w:tcPr>
            <w:tcW w:w="1559" w:type="dxa"/>
          </w:tcPr>
          <w:p w14:paraId="7A2E925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потеряно</w:t>
            </w:r>
          </w:p>
        </w:tc>
        <w:tc>
          <w:tcPr>
            <w:tcW w:w="3686" w:type="dxa"/>
          </w:tcPr>
          <w:p w14:paraId="67B164E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самолетов</w:t>
            </w:r>
          </w:p>
        </w:tc>
      </w:tr>
      <w:tr w:rsidR="001E2C69" w:rsidRPr="001E2C69" w14:paraId="44C8CFC8" w14:textId="77777777" w:rsidTr="00CC5360">
        <w:tc>
          <w:tcPr>
            <w:tcW w:w="2093" w:type="dxa"/>
          </w:tcPr>
          <w:p w14:paraId="638C5AF8" w14:textId="77777777" w:rsidR="00AE7191" w:rsidRPr="001E2C69" w:rsidRDefault="00AE7191" w:rsidP="00722885">
            <w:pPr>
              <w:pStyle w:val="Iauiue"/>
              <w:jc w:val="both"/>
              <w:rPr>
                <w:color w:val="000000" w:themeColor="text1"/>
                <w:sz w:val="16"/>
                <w:szCs w:val="16"/>
              </w:rPr>
            </w:pPr>
          </w:p>
        </w:tc>
        <w:tc>
          <w:tcPr>
            <w:tcW w:w="1012" w:type="dxa"/>
          </w:tcPr>
          <w:p w14:paraId="1A8ABBEE" w14:textId="77777777" w:rsidR="00AE7191" w:rsidRPr="001E2C69" w:rsidRDefault="00AE7191" w:rsidP="00722885">
            <w:pPr>
              <w:pStyle w:val="Iauiue"/>
              <w:jc w:val="both"/>
              <w:rPr>
                <w:color w:val="000000" w:themeColor="text1"/>
                <w:sz w:val="16"/>
                <w:szCs w:val="16"/>
              </w:rPr>
            </w:pPr>
          </w:p>
        </w:tc>
        <w:tc>
          <w:tcPr>
            <w:tcW w:w="1012" w:type="dxa"/>
          </w:tcPr>
          <w:p w14:paraId="57585926" w14:textId="77777777" w:rsidR="00AE7191" w:rsidRPr="001E2C69" w:rsidRDefault="00AE7191" w:rsidP="00722885">
            <w:pPr>
              <w:pStyle w:val="Iauiue"/>
              <w:jc w:val="both"/>
              <w:rPr>
                <w:color w:val="000000" w:themeColor="text1"/>
                <w:sz w:val="16"/>
                <w:szCs w:val="16"/>
              </w:rPr>
            </w:pPr>
          </w:p>
        </w:tc>
        <w:tc>
          <w:tcPr>
            <w:tcW w:w="1236" w:type="dxa"/>
          </w:tcPr>
          <w:p w14:paraId="7360EFC7" w14:textId="77777777" w:rsidR="00AE7191" w:rsidRPr="001E2C69" w:rsidRDefault="00AE7191" w:rsidP="00722885">
            <w:pPr>
              <w:pStyle w:val="Iauiue"/>
              <w:jc w:val="both"/>
              <w:rPr>
                <w:color w:val="000000" w:themeColor="text1"/>
                <w:sz w:val="16"/>
                <w:szCs w:val="16"/>
              </w:rPr>
            </w:pPr>
          </w:p>
        </w:tc>
        <w:tc>
          <w:tcPr>
            <w:tcW w:w="1559" w:type="dxa"/>
          </w:tcPr>
          <w:p w14:paraId="68DB917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самолетов</w:t>
            </w:r>
          </w:p>
        </w:tc>
        <w:tc>
          <w:tcPr>
            <w:tcW w:w="3686" w:type="dxa"/>
          </w:tcPr>
          <w:p w14:paraId="4A694D57" w14:textId="77777777" w:rsidR="00AE7191" w:rsidRPr="001E2C69" w:rsidRDefault="00AE7191" w:rsidP="00722885">
            <w:pPr>
              <w:pStyle w:val="Iauiue"/>
              <w:jc w:val="both"/>
              <w:rPr>
                <w:color w:val="000000" w:themeColor="text1"/>
                <w:sz w:val="16"/>
                <w:szCs w:val="16"/>
              </w:rPr>
            </w:pPr>
          </w:p>
        </w:tc>
      </w:tr>
      <w:tr w:rsidR="001E2C69" w:rsidRPr="001E2C69" w14:paraId="44A51C89" w14:textId="77777777" w:rsidTr="00CC5360">
        <w:tc>
          <w:tcPr>
            <w:tcW w:w="2093" w:type="dxa"/>
          </w:tcPr>
          <w:p w14:paraId="66D808F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Советско-германский</w:t>
            </w:r>
          </w:p>
        </w:tc>
        <w:tc>
          <w:tcPr>
            <w:tcW w:w="1012" w:type="dxa"/>
          </w:tcPr>
          <w:p w14:paraId="08DBE4DD" w14:textId="77777777" w:rsidR="00AE7191" w:rsidRPr="001E2C69" w:rsidRDefault="00AE7191" w:rsidP="00722885">
            <w:pPr>
              <w:pStyle w:val="Iauiue"/>
              <w:jc w:val="both"/>
              <w:rPr>
                <w:color w:val="000000" w:themeColor="text1"/>
                <w:sz w:val="16"/>
                <w:szCs w:val="16"/>
              </w:rPr>
            </w:pPr>
          </w:p>
        </w:tc>
        <w:tc>
          <w:tcPr>
            <w:tcW w:w="1012" w:type="dxa"/>
          </w:tcPr>
          <w:p w14:paraId="76E7A78E" w14:textId="77777777" w:rsidR="00AE7191" w:rsidRPr="001E2C69" w:rsidRDefault="00AE7191" w:rsidP="00722885">
            <w:pPr>
              <w:pStyle w:val="Iauiue"/>
              <w:jc w:val="both"/>
              <w:rPr>
                <w:color w:val="000000" w:themeColor="text1"/>
                <w:sz w:val="16"/>
                <w:szCs w:val="16"/>
              </w:rPr>
            </w:pPr>
          </w:p>
        </w:tc>
        <w:tc>
          <w:tcPr>
            <w:tcW w:w="1236" w:type="dxa"/>
          </w:tcPr>
          <w:p w14:paraId="3013F869" w14:textId="77777777" w:rsidR="00AE7191" w:rsidRPr="001E2C69" w:rsidRDefault="00AE7191" w:rsidP="00722885">
            <w:pPr>
              <w:pStyle w:val="Iauiue"/>
              <w:jc w:val="both"/>
              <w:rPr>
                <w:color w:val="000000" w:themeColor="text1"/>
                <w:sz w:val="16"/>
                <w:szCs w:val="16"/>
              </w:rPr>
            </w:pPr>
          </w:p>
        </w:tc>
        <w:tc>
          <w:tcPr>
            <w:tcW w:w="1559" w:type="dxa"/>
          </w:tcPr>
          <w:p w14:paraId="092D9782" w14:textId="77777777" w:rsidR="00AE7191" w:rsidRPr="001E2C69" w:rsidRDefault="00AE7191" w:rsidP="00722885">
            <w:pPr>
              <w:pStyle w:val="Iauiue"/>
              <w:jc w:val="both"/>
              <w:rPr>
                <w:color w:val="000000" w:themeColor="text1"/>
                <w:sz w:val="16"/>
                <w:szCs w:val="16"/>
              </w:rPr>
            </w:pPr>
          </w:p>
        </w:tc>
        <w:tc>
          <w:tcPr>
            <w:tcW w:w="3686" w:type="dxa"/>
          </w:tcPr>
          <w:p w14:paraId="351A1504" w14:textId="77777777" w:rsidR="00AE7191" w:rsidRPr="001E2C69" w:rsidRDefault="00AE7191" w:rsidP="00722885">
            <w:pPr>
              <w:pStyle w:val="Iauiue"/>
              <w:jc w:val="both"/>
              <w:rPr>
                <w:color w:val="000000" w:themeColor="text1"/>
                <w:sz w:val="16"/>
                <w:szCs w:val="16"/>
              </w:rPr>
            </w:pPr>
          </w:p>
        </w:tc>
      </w:tr>
      <w:tr w:rsidR="001E2C69" w:rsidRPr="001E2C69" w14:paraId="55FA4A19" w14:textId="77777777" w:rsidTr="00CC5360">
        <w:tc>
          <w:tcPr>
            <w:tcW w:w="2093" w:type="dxa"/>
          </w:tcPr>
          <w:p w14:paraId="0D4484B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фронт</w:t>
            </w:r>
          </w:p>
        </w:tc>
        <w:tc>
          <w:tcPr>
            <w:tcW w:w="1012" w:type="dxa"/>
          </w:tcPr>
          <w:p w14:paraId="18A35AB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842</w:t>
            </w:r>
          </w:p>
        </w:tc>
        <w:tc>
          <w:tcPr>
            <w:tcW w:w="1012" w:type="dxa"/>
          </w:tcPr>
          <w:p w14:paraId="4DDCAF5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1168</w:t>
            </w:r>
          </w:p>
        </w:tc>
        <w:tc>
          <w:tcPr>
            <w:tcW w:w="1236" w:type="dxa"/>
          </w:tcPr>
          <w:p w14:paraId="2640978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2196</w:t>
            </w:r>
          </w:p>
        </w:tc>
        <w:tc>
          <w:tcPr>
            <w:tcW w:w="1559" w:type="dxa"/>
          </w:tcPr>
          <w:p w14:paraId="1701922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2087</w:t>
            </w:r>
          </w:p>
        </w:tc>
        <w:tc>
          <w:tcPr>
            <w:tcW w:w="3686" w:type="dxa"/>
          </w:tcPr>
          <w:p w14:paraId="3250849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1624</w:t>
            </w:r>
          </w:p>
        </w:tc>
      </w:tr>
      <w:tr w:rsidR="001E2C69" w:rsidRPr="001E2C69" w14:paraId="5F9C6F4A" w14:textId="77777777" w:rsidTr="00CC5360">
        <w:tc>
          <w:tcPr>
            <w:tcW w:w="2093" w:type="dxa"/>
          </w:tcPr>
          <w:p w14:paraId="7DF98D5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Западный фронт</w:t>
            </w:r>
          </w:p>
        </w:tc>
        <w:tc>
          <w:tcPr>
            <w:tcW w:w="1012" w:type="dxa"/>
          </w:tcPr>
          <w:p w14:paraId="69B0A19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494</w:t>
            </w:r>
          </w:p>
        </w:tc>
        <w:tc>
          <w:tcPr>
            <w:tcW w:w="1012" w:type="dxa"/>
          </w:tcPr>
          <w:p w14:paraId="38340D4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265</w:t>
            </w:r>
          </w:p>
        </w:tc>
        <w:tc>
          <w:tcPr>
            <w:tcW w:w="1236" w:type="dxa"/>
          </w:tcPr>
          <w:p w14:paraId="3FEE141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901</w:t>
            </w:r>
          </w:p>
        </w:tc>
        <w:tc>
          <w:tcPr>
            <w:tcW w:w="1559" w:type="dxa"/>
          </w:tcPr>
          <w:p w14:paraId="2B85922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979</w:t>
            </w:r>
          </w:p>
        </w:tc>
        <w:tc>
          <w:tcPr>
            <w:tcW w:w="3686" w:type="dxa"/>
          </w:tcPr>
          <w:p w14:paraId="3E445C7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411</w:t>
            </w:r>
          </w:p>
        </w:tc>
      </w:tr>
      <w:tr w:rsidR="001E2C69" w:rsidRPr="001E2C69" w14:paraId="59EC3173" w14:textId="77777777" w:rsidTr="00CC5360">
        <w:tc>
          <w:tcPr>
            <w:tcW w:w="2093" w:type="dxa"/>
          </w:tcPr>
          <w:p w14:paraId="0F6641D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Северная Африка</w:t>
            </w:r>
          </w:p>
        </w:tc>
        <w:tc>
          <w:tcPr>
            <w:tcW w:w="1012" w:type="dxa"/>
          </w:tcPr>
          <w:p w14:paraId="60F9051C" w14:textId="77777777" w:rsidR="00AE7191" w:rsidRPr="001E2C69" w:rsidRDefault="00AE7191" w:rsidP="00722885">
            <w:pPr>
              <w:pStyle w:val="Iauiue"/>
              <w:jc w:val="both"/>
              <w:rPr>
                <w:color w:val="000000" w:themeColor="text1"/>
                <w:sz w:val="16"/>
                <w:szCs w:val="16"/>
              </w:rPr>
            </w:pPr>
          </w:p>
        </w:tc>
        <w:tc>
          <w:tcPr>
            <w:tcW w:w="1012" w:type="dxa"/>
          </w:tcPr>
          <w:p w14:paraId="4C45F6DC" w14:textId="77777777" w:rsidR="00AE7191" w:rsidRPr="001E2C69" w:rsidRDefault="00AE7191" w:rsidP="00722885">
            <w:pPr>
              <w:pStyle w:val="Iauiue"/>
              <w:jc w:val="both"/>
              <w:rPr>
                <w:color w:val="000000" w:themeColor="text1"/>
                <w:sz w:val="16"/>
                <w:szCs w:val="16"/>
              </w:rPr>
            </w:pPr>
          </w:p>
        </w:tc>
        <w:tc>
          <w:tcPr>
            <w:tcW w:w="1236" w:type="dxa"/>
          </w:tcPr>
          <w:p w14:paraId="331C4125" w14:textId="77777777" w:rsidR="00AE7191" w:rsidRPr="001E2C69" w:rsidRDefault="00AE7191" w:rsidP="00722885">
            <w:pPr>
              <w:pStyle w:val="Iauiue"/>
              <w:jc w:val="both"/>
              <w:rPr>
                <w:color w:val="000000" w:themeColor="text1"/>
                <w:sz w:val="16"/>
                <w:szCs w:val="16"/>
              </w:rPr>
            </w:pPr>
          </w:p>
        </w:tc>
        <w:tc>
          <w:tcPr>
            <w:tcW w:w="1559" w:type="dxa"/>
          </w:tcPr>
          <w:p w14:paraId="5DFBFF82" w14:textId="77777777" w:rsidR="00AE7191" w:rsidRPr="001E2C69" w:rsidRDefault="00AE7191" w:rsidP="00722885">
            <w:pPr>
              <w:pStyle w:val="Iauiue"/>
              <w:jc w:val="both"/>
              <w:rPr>
                <w:color w:val="000000" w:themeColor="text1"/>
                <w:sz w:val="16"/>
                <w:szCs w:val="16"/>
              </w:rPr>
            </w:pPr>
          </w:p>
        </w:tc>
        <w:tc>
          <w:tcPr>
            <w:tcW w:w="3686" w:type="dxa"/>
          </w:tcPr>
          <w:p w14:paraId="2785FA9D" w14:textId="77777777" w:rsidR="00AE7191" w:rsidRPr="001E2C69" w:rsidRDefault="00AE7191" w:rsidP="00722885">
            <w:pPr>
              <w:pStyle w:val="Iauiue"/>
              <w:jc w:val="both"/>
              <w:rPr>
                <w:color w:val="000000" w:themeColor="text1"/>
                <w:sz w:val="16"/>
                <w:szCs w:val="16"/>
              </w:rPr>
            </w:pPr>
          </w:p>
        </w:tc>
      </w:tr>
      <w:tr w:rsidR="001E2C69" w:rsidRPr="001E2C69" w14:paraId="5F25F471" w14:textId="77777777" w:rsidTr="00CC5360">
        <w:tc>
          <w:tcPr>
            <w:tcW w:w="2093" w:type="dxa"/>
          </w:tcPr>
          <w:p w14:paraId="5531EF8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 Средиземномор</w:t>
            </w:r>
          </w:p>
        </w:tc>
        <w:tc>
          <w:tcPr>
            <w:tcW w:w="1012" w:type="dxa"/>
          </w:tcPr>
          <w:p w14:paraId="77BE02D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320</w:t>
            </w:r>
          </w:p>
        </w:tc>
        <w:tc>
          <w:tcPr>
            <w:tcW w:w="1012" w:type="dxa"/>
          </w:tcPr>
          <w:p w14:paraId="4F7F461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257</w:t>
            </w:r>
          </w:p>
        </w:tc>
        <w:tc>
          <w:tcPr>
            <w:tcW w:w="1236" w:type="dxa"/>
          </w:tcPr>
          <w:p w14:paraId="60B1FBA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920</w:t>
            </w:r>
          </w:p>
        </w:tc>
        <w:tc>
          <w:tcPr>
            <w:tcW w:w="1559" w:type="dxa"/>
          </w:tcPr>
          <w:p w14:paraId="270F770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775</w:t>
            </w:r>
          </w:p>
        </w:tc>
        <w:tc>
          <w:tcPr>
            <w:tcW w:w="3686" w:type="dxa"/>
          </w:tcPr>
          <w:p w14:paraId="1756271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280</w:t>
            </w:r>
          </w:p>
        </w:tc>
      </w:tr>
      <w:tr w:rsidR="001E2C69" w:rsidRPr="001E2C69" w14:paraId="7C06ABB0" w14:textId="77777777" w:rsidTr="00CC5360">
        <w:tc>
          <w:tcPr>
            <w:tcW w:w="2093" w:type="dxa"/>
          </w:tcPr>
          <w:p w14:paraId="4E1F8C8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Общие потери</w:t>
            </w:r>
          </w:p>
        </w:tc>
        <w:tc>
          <w:tcPr>
            <w:tcW w:w="1012" w:type="dxa"/>
          </w:tcPr>
          <w:p w14:paraId="2B5E41ED" w14:textId="77777777" w:rsidR="00AE7191" w:rsidRPr="001E2C69" w:rsidRDefault="00AE7191" w:rsidP="00722885">
            <w:pPr>
              <w:pStyle w:val="Iauiue"/>
              <w:jc w:val="both"/>
              <w:rPr>
                <w:color w:val="000000" w:themeColor="text1"/>
                <w:sz w:val="16"/>
                <w:szCs w:val="16"/>
              </w:rPr>
            </w:pPr>
          </w:p>
        </w:tc>
        <w:tc>
          <w:tcPr>
            <w:tcW w:w="1012" w:type="dxa"/>
          </w:tcPr>
          <w:p w14:paraId="5A13EDBF" w14:textId="77777777" w:rsidR="00AE7191" w:rsidRPr="001E2C69" w:rsidRDefault="00AE7191" w:rsidP="00722885">
            <w:pPr>
              <w:pStyle w:val="Iauiue"/>
              <w:jc w:val="both"/>
              <w:rPr>
                <w:color w:val="000000" w:themeColor="text1"/>
                <w:sz w:val="16"/>
                <w:szCs w:val="16"/>
              </w:rPr>
            </w:pPr>
          </w:p>
        </w:tc>
        <w:tc>
          <w:tcPr>
            <w:tcW w:w="1236" w:type="dxa"/>
          </w:tcPr>
          <w:p w14:paraId="4994B19F" w14:textId="77777777" w:rsidR="00AE7191" w:rsidRPr="001E2C69" w:rsidRDefault="00AE7191" w:rsidP="00722885">
            <w:pPr>
              <w:pStyle w:val="Iauiue"/>
              <w:jc w:val="both"/>
              <w:rPr>
                <w:color w:val="000000" w:themeColor="text1"/>
                <w:sz w:val="16"/>
                <w:szCs w:val="16"/>
              </w:rPr>
            </w:pPr>
          </w:p>
        </w:tc>
        <w:tc>
          <w:tcPr>
            <w:tcW w:w="1559" w:type="dxa"/>
          </w:tcPr>
          <w:p w14:paraId="686EF68D" w14:textId="77777777" w:rsidR="00AE7191" w:rsidRPr="001E2C69" w:rsidRDefault="00AE7191" w:rsidP="00722885">
            <w:pPr>
              <w:pStyle w:val="Iauiue"/>
              <w:jc w:val="both"/>
              <w:rPr>
                <w:color w:val="000000" w:themeColor="text1"/>
                <w:sz w:val="16"/>
                <w:szCs w:val="16"/>
              </w:rPr>
            </w:pPr>
          </w:p>
        </w:tc>
        <w:tc>
          <w:tcPr>
            <w:tcW w:w="3686" w:type="dxa"/>
          </w:tcPr>
          <w:p w14:paraId="03F57E9B" w14:textId="77777777" w:rsidR="00AE7191" w:rsidRPr="001E2C69" w:rsidRDefault="00AE7191" w:rsidP="00722885">
            <w:pPr>
              <w:pStyle w:val="Iauiue"/>
              <w:jc w:val="both"/>
              <w:rPr>
                <w:color w:val="000000" w:themeColor="text1"/>
                <w:sz w:val="16"/>
                <w:szCs w:val="16"/>
              </w:rPr>
            </w:pPr>
          </w:p>
        </w:tc>
      </w:tr>
      <w:tr w:rsidR="001E2C69" w:rsidRPr="001E2C69" w14:paraId="13A78604" w14:textId="77777777" w:rsidTr="00CC5360">
        <w:tc>
          <w:tcPr>
            <w:tcW w:w="2093" w:type="dxa"/>
          </w:tcPr>
          <w:p w14:paraId="26F585A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на фронтах:</w:t>
            </w:r>
          </w:p>
        </w:tc>
        <w:tc>
          <w:tcPr>
            <w:tcW w:w="1012" w:type="dxa"/>
          </w:tcPr>
          <w:p w14:paraId="34156EA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1656</w:t>
            </w:r>
          </w:p>
        </w:tc>
        <w:tc>
          <w:tcPr>
            <w:tcW w:w="1012" w:type="dxa"/>
          </w:tcPr>
          <w:p w14:paraId="3542B05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1690</w:t>
            </w:r>
          </w:p>
        </w:tc>
        <w:tc>
          <w:tcPr>
            <w:tcW w:w="1236" w:type="dxa"/>
          </w:tcPr>
          <w:p w14:paraId="5A74ECB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4017</w:t>
            </w:r>
          </w:p>
        </w:tc>
        <w:tc>
          <w:tcPr>
            <w:tcW w:w="1559" w:type="dxa"/>
          </w:tcPr>
          <w:p w14:paraId="52AA689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3541</w:t>
            </w:r>
          </w:p>
        </w:tc>
        <w:tc>
          <w:tcPr>
            <w:tcW w:w="3686" w:type="dxa"/>
          </w:tcPr>
          <w:p w14:paraId="6E7B84E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2315</w:t>
            </w:r>
          </w:p>
        </w:tc>
      </w:tr>
      <w:tr w:rsidR="001E2C69" w:rsidRPr="001E2C69" w14:paraId="41F73C29" w14:textId="77777777" w:rsidTr="00CC5360">
        <w:tc>
          <w:tcPr>
            <w:tcW w:w="2093" w:type="dxa"/>
          </w:tcPr>
          <w:p w14:paraId="1CCCFC2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ПВО Германии</w:t>
            </w:r>
          </w:p>
        </w:tc>
        <w:tc>
          <w:tcPr>
            <w:tcW w:w="1012" w:type="dxa"/>
          </w:tcPr>
          <w:p w14:paraId="7EF14C0F" w14:textId="77777777" w:rsidR="00AE7191" w:rsidRPr="001E2C69" w:rsidRDefault="00AE7191" w:rsidP="00722885">
            <w:pPr>
              <w:pStyle w:val="Iauiue"/>
              <w:jc w:val="both"/>
              <w:rPr>
                <w:color w:val="000000" w:themeColor="text1"/>
                <w:sz w:val="16"/>
                <w:szCs w:val="16"/>
              </w:rPr>
            </w:pPr>
          </w:p>
        </w:tc>
        <w:tc>
          <w:tcPr>
            <w:tcW w:w="1012" w:type="dxa"/>
          </w:tcPr>
          <w:p w14:paraId="09FFE5FF" w14:textId="77777777" w:rsidR="00AE7191" w:rsidRPr="001E2C69" w:rsidRDefault="00AE7191" w:rsidP="00722885">
            <w:pPr>
              <w:pStyle w:val="Iauiue"/>
              <w:jc w:val="both"/>
              <w:rPr>
                <w:color w:val="000000" w:themeColor="text1"/>
                <w:sz w:val="16"/>
                <w:szCs w:val="16"/>
              </w:rPr>
            </w:pPr>
          </w:p>
        </w:tc>
        <w:tc>
          <w:tcPr>
            <w:tcW w:w="1236" w:type="dxa"/>
          </w:tcPr>
          <w:p w14:paraId="39271592" w14:textId="77777777" w:rsidR="00AE7191" w:rsidRPr="001E2C69" w:rsidRDefault="00AE7191" w:rsidP="00722885">
            <w:pPr>
              <w:pStyle w:val="Iauiue"/>
              <w:jc w:val="both"/>
              <w:rPr>
                <w:color w:val="000000" w:themeColor="text1"/>
                <w:sz w:val="16"/>
                <w:szCs w:val="16"/>
              </w:rPr>
            </w:pPr>
          </w:p>
        </w:tc>
        <w:tc>
          <w:tcPr>
            <w:tcW w:w="1559" w:type="dxa"/>
          </w:tcPr>
          <w:p w14:paraId="2B7342C7" w14:textId="77777777" w:rsidR="00AE7191" w:rsidRPr="001E2C69" w:rsidRDefault="00AE7191" w:rsidP="00722885">
            <w:pPr>
              <w:pStyle w:val="Iauiue"/>
              <w:jc w:val="both"/>
              <w:rPr>
                <w:color w:val="000000" w:themeColor="text1"/>
                <w:sz w:val="16"/>
                <w:szCs w:val="16"/>
              </w:rPr>
            </w:pPr>
          </w:p>
        </w:tc>
        <w:tc>
          <w:tcPr>
            <w:tcW w:w="3686" w:type="dxa"/>
          </w:tcPr>
          <w:p w14:paraId="7FD5A3BB" w14:textId="77777777" w:rsidR="00AE7191" w:rsidRPr="001E2C69" w:rsidRDefault="00AE7191" w:rsidP="00722885">
            <w:pPr>
              <w:pStyle w:val="Iauiue"/>
              <w:jc w:val="both"/>
              <w:rPr>
                <w:color w:val="000000" w:themeColor="text1"/>
                <w:sz w:val="16"/>
                <w:szCs w:val="16"/>
              </w:rPr>
            </w:pPr>
          </w:p>
        </w:tc>
      </w:tr>
      <w:tr w:rsidR="001E2C69" w:rsidRPr="001E2C69" w14:paraId="63ACF2B2" w14:textId="77777777" w:rsidTr="00CC5360">
        <w:tc>
          <w:tcPr>
            <w:tcW w:w="2093" w:type="dxa"/>
          </w:tcPr>
          <w:p w14:paraId="44CBDB3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 потери в Герман</w:t>
            </w:r>
          </w:p>
        </w:tc>
        <w:tc>
          <w:tcPr>
            <w:tcW w:w="1012" w:type="dxa"/>
          </w:tcPr>
          <w:p w14:paraId="5BA5C38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899</w:t>
            </w:r>
          </w:p>
        </w:tc>
        <w:tc>
          <w:tcPr>
            <w:tcW w:w="1012" w:type="dxa"/>
          </w:tcPr>
          <w:p w14:paraId="014A866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553</w:t>
            </w:r>
          </w:p>
        </w:tc>
        <w:tc>
          <w:tcPr>
            <w:tcW w:w="1236" w:type="dxa"/>
          </w:tcPr>
          <w:p w14:paraId="2313FDE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55</w:t>
            </w:r>
          </w:p>
        </w:tc>
        <w:tc>
          <w:tcPr>
            <w:tcW w:w="1559" w:type="dxa"/>
          </w:tcPr>
          <w:p w14:paraId="50FF8B5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1020</w:t>
            </w:r>
          </w:p>
        </w:tc>
        <w:tc>
          <w:tcPr>
            <w:tcW w:w="3686" w:type="dxa"/>
          </w:tcPr>
          <w:p w14:paraId="76923FF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1425</w:t>
            </w:r>
          </w:p>
        </w:tc>
      </w:tr>
      <w:tr w:rsidR="001E2C69" w:rsidRPr="001E2C69" w14:paraId="134E6F76" w14:textId="77777777" w:rsidTr="00CC5360">
        <w:tc>
          <w:tcPr>
            <w:tcW w:w="2093" w:type="dxa"/>
            <w:tcBorders>
              <w:bottom w:val="single" w:sz="12" w:space="0" w:color="auto"/>
            </w:tcBorders>
          </w:tcPr>
          <w:p w14:paraId="7CE77C3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Всего потеряно:</w:t>
            </w:r>
          </w:p>
        </w:tc>
        <w:tc>
          <w:tcPr>
            <w:tcW w:w="1012" w:type="dxa"/>
            <w:tcBorders>
              <w:bottom w:val="single" w:sz="12" w:space="0" w:color="auto"/>
            </w:tcBorders>
          </w:tcPr>
          <w:p w14:paraId="5794425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2553</w:t>
            </w:r>
          </w:p>
        </w:tc>
        <w:tc>
          <w:tcPr>
            <w:tcW w:w="1012" w:type="dxa"/>
            <w:tcBorders>
              <w:bottom w:val="single" w:sz="12" w:space="0" w:color="auto"/>
            </w:tcBorders>
          </w:tcPr>
          <w:p w14:paraId="6DC2A64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2243</w:t>
            </w:r>
          </w:p>
        </w:tc>
        <w:tc>
          <w:tcPr>
            <w:tcW w:w="1236" w:type="dxa"/>
            <w:tcBorders>
              <w:bottom w:val="single" w:sz="12" w:space="0" w:color="auto"/>
            </w:tcBorders>
          </w:tcPr>
          <w:p w14:paraId="5F70D57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4072</w:t>
            </w:r>
          </w:p>
        </w:tc>
        <w:tc>
          <w:tcPr>
            <w:tcW w:w="1559" w:type="dxa"/>
            <w:tcBorders>
              <w:bottom w:val="single" w:sz="12" w:space="0" w:color="auto"/>
            </w:tcBorders>
          </w:tcPr>
          <w:p w14:paraId="06BB208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4561</w:t>
            </w:r>
          </w:p>
        </w:tc>
        <w:tc>
          <w:tcPr>
            <w:tcW w:w="3686" w:type="dxa"/>
            <w:tcBorders>
              <w:bottom w:val="single" w:sz="12" w:space="0" w:color="auto"/>
            </w:tcBorders>
          </w:tcPr>
          <w:p w14:paraId="53DAFDF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3740</w:t>
            </w:r>
          </w:p>
        </w:tc>
      </w:tr>
    </w:tbl>
    <w:p w14:paraId="4316BD3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Данные подготовлены для доклада Гитлеру 7 сентября 1942 г (3573).</w:t>
      </w:r>
    </w:p>
    <w:p w14:paraId="5A65950F" w14:textId="77777777" w:rsidR="00AE7191" w:rsidRPr="001E2C69" w:rsidRDefault="00AE7191" w:rsidP="00722885">
      <w:pPr>
        <w:pStyle w:val="Iauiue"/>
        <w:jc w:val="both"/>
        <w:rPr>
          <w:color w:val="000000" w:themeColor="text1"/>
          <w:sz w:val="16"/>
          <w:szCs w:val="16"/>
        </w:rPr>
      </w:pPr>
    </w:p>
    <w:p w14:paraId="0614557E" w14:textId="77777777" w:rsidR="004C228B" w:rsidRPr="001E2C69" w:rsidRDefault="004C228B" w:rsidP="00722885">
      <w:pPr>
        <w:pStyle w:val="Iauiue"/>
        <w:jc w:val="both"/>
        <w:rPr>
          <w:iCs/>
          <w:color w:val="000000" w:themeColor="text1"/>
          <w:sz w:val="16"/>
          <w:szCs w:val="16"/>
        </w:rPr>
      </w:pPr>
      <w:r w:rsidRPr="001E2C69">
        <w:rPr>
          <w:i/>
          <w:iCs/>
          <w:color w:val="000000" w:themeColor="text1"/>
          <w:sz w:val="16"/>
          <w:szCs w:val="16"/>
        </w:rPr>
        <w:t>Жизнь и внутренняя политика:</w:t>
      </w:r>
    </w:p>
    <w:p w14:paraId="55206B9C" w14:textId="77777777" w:rsidR="004C228B" w:rsidRPr="001E2C69" w:rsidRDefault="004C228B" w:rsidP="00722885">
      <w:pPr>
        <w:pStyle w:val="Iauiue"/>
        <w:jc w:val="both"/>
        <w:rPr>
          <w:iCs/>
          <w:color w:val="000000" w:themeColor="text1"/>
          <w:sz w:val="16"/>
          <w:szCs w:val="16"/>
        </w:rPr>
      </w:pPr>
    </w:p>
    <w:p w14:paraId="57CD1949" w14:textId="77777777" w:rsidR="004C228B" w:rsidRPr="001E2C69" w:rsidRDefault="004C228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31 августа 1942. На экраны кинотеатров вышел фильм "Парень из нашего города" по одноименной пьесе К. Симонова. Режиссеры А. Столпер и Б. Иванов. В главных ролях: Н. Крючков, Н. Боголюбов, Н. Мордвинов, Л. Смирнова, В. Канделаки (18696).</w:t>
      </w:r>
    </w:p>
    <w:p w14:paraId="724FE8A6" w14:textId="77777777" w:rsidR="004C228B" w:rsidRPr="001E2C69" w:rsidRDefault="004C228B" w:rsidP="00722885">
      <w:pPr>
        <w:spacing w:after="0" w:line="240" w:lineRule="auto"/>
        <w:jc w:val="both"/>
        <w:rPr>
          <w:rFonts w:ascii="Times New Roman" w:hAnsi="Times New Roman"/>
          <w:color w:val="000000" w:themeColor="text1"/>
          <w:sz w:val="16"/>
          <w:szCs w:val="16"/>
        </w:rPr>
      </w:pPr>
    </w:p>
    <w:p w14:paraId="7E9D0E0E"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6A3122B3" w14:textId="77777777" w:rsidR="00AE7191" w:rsidRPr="001E2C69" w:rsidRDefault="00AE7191" w:rsidP="00722885">
      <w:pPr>
        <w:pStyle w:val="Iauiue"/>
        <w:jc w:val="both"/>
        <w:rPr>
          <w:iCs/>
          <w:color w:val="000000" w:themeColor="text1"/>
          <w:sz w:val="16"/>
          <w:szCs w:val="16"/>
        </w:rPr>
      </w:pPr>
    </w:p>
    <w:p w14:paraId="7A0D115A"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31 августа 1942 года</w:t>
      </w:r>
      <w:r w:rsidRPr="001E2C69">
        <w:rPr>
          <w:rFonts w:ascii="Times New Roman" w:hAnsi="Times New Roman"/>
          <w:color w:val="000000" w:themeColor="text1"/>
          <w:sz w:val="16"/>
          <w:szCs w:val="16"/>
        </w:rPr>
        <w:t xml:space="preserve"> Состоялся первый полет английского истребителя MB.3. MB.3 - истребитель, разработанный английской фирмой Martin-Baker Aircraft Company Limited. Когда понадобилась замена самолетам Hawker Hurricane и Supermarine Spitfire и появилась спецификация F.18/39, содержавшая требуемые характеристики нового одноместного истребителя, компания Martin-Baker предложила еще более мощный самолет М.В.3. Это был свободнонесущий низкоплан с хорошими пропорциями и с двигателем Napier Sabre II мощностью 2020 л. с. Во время испытаний он развил максимальную скорость 668 км/час на оптимальной высоте полета. Этот самолет, вооруженный шестью 20-мм пушками, явно имел большой потенциал, но после катастрофы 12 сентября 1942г. им больше не занимались. Обозначение М.В.4 было предназначено для нового истребителя, но он так и остался только проектом, который должен был объединить планер самолета М.В.3 с мотором Rolls-Royce Griffon (14755).</w:t>
      </w:r>
    </w:p>
    <w:p w14:paraId="625FB237" w14:textId="77777777" w:rsidR="00BD5EB5" w:rsidRPr="001E2C69" w:rsidRDefault="00BD5EB5" w:rsidP="00722885">
      <w:pPr>
        <w:spacing w:after="0" w:line="240" w:lineRule="auto"/>
        <w:jc w:val="both"/>
        <w:rPr>
          <w:rFonts w:ascii="Times New Roman" w:hAnsi="Times New Roman"/>
          <w:color w:val="000000" w:themeColor="text1"/>
          <w:sz w:val="16"/>
          <w:szCs w:val="16"/>
        </w:rPr>
      </w:pPr>
    </w:p>
    <w:p w14:paraId="696F5895" w14:textId="77777777" w:rsidR="00182A0D" w:rsidRPr="001E2C69" w:rsidRDefault="00182A0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31 августа 1942 года состоялся первый полет Martin-Baker MB 3 (20793).</w:t>
      </w:r>
    </w:p>
    <w:p w14:paraId="6FA636E6" w14:textId="77777777" w:rsidR="00182A0D" w:rsidRPr="001E2C69" w:rsidRDefault="00182A0D" w:rsidP="00722885">
      <w:pPr>
        <w:spacing w:after="0" w:line="240" w:lineRule="auto"/>
        <w:jc w:val="both"/>
        <w:rPr>
          <w:rFonts w:ascii="Times New Roman" w:hAnsi="Times New Roman"/>
          <w:color w:val="000000" w:themeColor="text1"/>
          <w:sz w:val="16"/>
          <w:szCs w:val="16"/>
        </w:rPr>
      </w:pPr>
    </w:p>
    <w:p w14:paraId="6EE64C74" w14:textId="77777777" w:rsidR="00182A0D" w:rsidRPr="001E2C69" w:rsidRDefault="00182A0D"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31 августа с 1 июня 1942 бомбардировочное командование Королевских ВВС совершило 11 169 самолето-вылетов и потеряло 531 самолет, из которых немецкие ночные истребители сбили 349, в среднем 116 сбитых в месяц (20793).</w:t>
      </w:r>
    </w:p>
    <w:p w14:paraId="140FE060" w14:textId="77777777" w:rsidR="00182A0D" w:rsidRPr="001E2C69" w:rsidRDefault="00182A0D" w:rsidP="00722885">
      <w:pPr>
        <w:spacing w:after="0" w:line="240" w:lineRule="auto"/>
        <w:jc w:val="both"/>
        <w:rPr>
          <w:rFonts w:ascii="Times New Roman" w:hAnsi="Times New Roman"/>
          <w:color w:val="000000" w:themeColor="text1"/>
          <w:sz w:val="16"/>
          <w:szCs w:val="16"/>
        </w:rPr>
      </w:pPr>
    </w:p>
    <w:p w14:paraId="0C44C006"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 xml:space="preserve">31 августа </w:t>
      </w:r>
      <w:r w:rsidRPr="001E2C69">
        <w:rPr>
          <w:rFonts w:ascii="Times New Roman" w:hAnsi="Times New Roman"/>
          <w:color w:val="000000" w:themeColor="text1"/>
          <w:sz w:val="16"/>
          <w:szCs w:val="16"/>
        </w:rPr>
        <w:t>в 1942 году в Люксембурге состоялась всеобщая стачка в знак протеста против решения германского правительства присоединить Люксембург к Германии и введения воинской повинности (14755).</w:t>
      </w:r>
    </w:p>
    <w:p w14:paraId="44876A11" w14:textId="77777777" w:rsidR="00BD5EB5" w:rsidRPr="001E2C69" w:rsidRDefault="00BD5EB5" w:rsidP="00722885">
      <w:pPr>
        <w:spacing w:after="0" w:line="240" w:lineRule="auto"/>
        <w:jc w:val="both"/>
        <w:rPr>
          <w:rFonts w:ascii="Times New Roman" w:hAnsi="Times New Roman"/>
          <w:color w:val="000000" w:themeColor="text1"/>
          <w:sz w:val="16"/>
          <w:szCs w:val="16"/>
        </w:rPr>
      </w:pPr>
    </w:p>
    <w:p w14:paraId="19FCD762" w14:textId="77777777" w:rsidR="00AE7191" w:rsidRPr="001E2C69" w:rsidRDefault="00AE7191" w:rsidP="00722885">
      <w:pPr>
        <w:pStyle w:val="Iauiue"/>
        <w:tabs>
          <w:tab w:val="left" w:pos="11199"/>
        </w:tabs>
        <w:jc w:val="both"/>
        <w:rPr>
          <w:color w:val="000000" w:themeColor="text1"/>
          <w:sz w:val="16"/>
          <w:szCs w:val="16"/>
        </w:rPr>
      </w:pPr>
      <w:r w:rsidRPr="001E2C69">
        <w:rPr>
          <w:color w:val="000000" w:themeColor="text1"/>
          <w:sz w:val="16"/>
          <w:szCs w:val="16"/>
        </w:rPr>
        <w:t>31 августа 1942 при аресте коммунистов в Брюсселе фашистами обнаружены документы, выведшие на подпольную организацию “Красная капелла” (4962).</w:t>
      </w:r>
    </w:p>
    <w:p w14:paraId="13DF8FD7" w14:textId="77777777" w:rsidR="00AE7191" w:rsidRPr="001E2C69" w:rsidRDefault="00AE7191" w:rsidP="00722885">
      <w:pPr>
        <w:pStyle w:val="Iauiue"/>
        <w:tabs>
          <w:tab w:val="left" w:pos="11199"/>
        </w:tabs>
        <w:jc w:val="both"/>
        <w:rPr>
          <w:color w:val="000000" w:themeColor="text1"/>
          <w:sz w:val="16"/>
          <w:szCs w:val="16"/>
        </w:rPr>
      </w:pPr>
    </w:p>
    <w:p w14:paraId="029DD84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31 августа 1942 при раскрытии коммунистической группы в Брюсселе служба безопасности обнаружила документы, которые позволили ей выйти на след советской разведовательной организации Красная Капелла, действовавшей в Германии (3186).</w:t>
      </w:r>
    </w:p>
    <w:p w14:paraId="7C7F56A9" w14:textId="77777777" w:rsidR="00AE7191" w:rsidRPr="001E2C69" w:rsidRDefault="00AE7191" w:rsidP="00722885">
      <w:pPr>
        <w:pStyle w:val="Iauiue"/>
        <w:jc w:val="both"/>
        <w:rPr>
          <w:color w:val="000000" w:themeColor="text1"/>
          <w:sz w:val="16"/>
          <w:szCs w:val="16"/>
        </w:rPr>
      </w:pPr>
    </w:p>
    <w:p w14:paraId="3C2C920D" w14:textId="77777777" w:rsidR="00BD5EB5" w:rsidRPr="001E2C69" w:rsidRDefault="00BD5EB5" w:rsidP="00722885">
      <w:pPr>
        <w:pStyle w:val="Iauiue"/>
        <w:jc w:val="both"/>
        <w:rPr>
          <w:color w:val="000000" w:themeColor="text1"/>
          <w:sz w:val="16"/>
          <w:szCs w:val="16"/>
          <w:lang w:val="en-US"/>
        </w:rPr>
      </w:pPr>
      <w:r w:rsidRPr="001E2C69">
        <w:rPr>
          <w:color w:val="000000" w:themeColor="text1"/>
          <w:sz w:val="16"/>
          <w:szCs w:val="16"/>
          <w:lang w:val="en-US"/>
        </w:rPr>
        <w:t>August 31 1942 Axis forces attack El Alamein position (Battle of Alam el Halfa).</w:t>
      </w:r>
    </w:p>
    <w:p w14:paraId="14EBC27C" w14:textId="77777777" w:rsidR="00BD5EB5" w:rsidRPr="001E2C69" w:rsidRDefault="00BD5EB5" w:rsidP="00722885">
      <w:pPr>
        <w:pStyle w:val="Iauiue"/>
        <w:jc w:val="both"/>
        <w:rPr>
          <w:color w:val="000000" w:themeColor="text1"/>
          <w:sz w:val="16"/>
          <w:szCs w:val="16"/>
          <w:lang w:val="en-US"/>
        </w:rPr>
      </w:pPr>
    </w:p>
    <w:p w14:paraId="3390C6A5" w14:textId="77777777" w:rsidR="00BD5EB5" w:rsidRPr="001E2C69" w:rsidRDefault="00BD5EB5" w:rsidP="00722885">
      <w:pPr>
        <w:pStyle w:val="Iauiue"/>
        <w:jc w:val="both"/>
        <w:rPr>
          <w:color w:val="000000" w:themeColor="text1"/>
          <w:sz w:val="16"/>
          <w:szCs w:val="16"/>
        </w:rPr>
      </w:pPr>
      <w:r w:rsidRPr="001E2C69">
        <w:rPr>
          <w:color w:val="000000" w:themeColor="text1"/>
          <w:sz w:val="16"/>
          <w:szCs w:val="16"/>
        </w:rPr>
        <w:t>31 августа 1942 началось наступление сил оси под Эль Аламейном (битва Алам эль Халфа (2245,8).</w:t>
      </w:r>
    </w:p>
    <w:p w14:paraId="5421793D" w14:textId="77777777" w:rsidR="00BD5EB5" w:rsidRPr="001E2C69" w:rsidRDefault="00BD5EB5" w:rsidP="00722885">
      <w:pPr>
        <w:pStyle w:val="Iauiue"/>
        <w:jc w:val="both"/>
        <w:rPr>
          <w:color w:val="000000" w:themeColor="text1"/>
          <w:sz w:val="16"/>
          <w:szCs w:val="16"/>
        </w:rPr>
      </w:pPr>
    </w:p>
    <w:p w14:paraId="2334F613" w14:textId="77777777" w:rsidR="00BD5EB5" w:rsidRPr="001E2C69" w:rsidRDefault="00BD5EB5" w:rsidP="00722885">
      <w:pPr>
        <w:pStyle w:val="Iauiue"/>
        <w:jc w:val="both"/>
        <w:rPr>
          <w:color w:val="000000" w:themeColor="text1"/>
          <w:sz w:val="16"/>
          <w:szCs w:val="16"/>
          <w:lang w:val="en-US"/>
        </w:rPr>
      </w:pPr>
      <w:r w:rsidRPr="001E2C69">
        <w:rPr>
          <w:color w:val="000000" w:themeColor="text1"/>
          <w:sz w:val="16"/>
          <w:szCs w:val="16"/>
          <w:lang w:val="en-US"/>
        </w:rPr>
        <w:t>August 31, 1942: At the El Alamein front in Egypt, the Afrikakorps fails to break through British lines and advance toward Alexandria, 75 miles away (3819).</w:t>
      </w:r>
    </w:p>
    <w:p w14:paraId="41D0F35F" w14:textId="77777777" w:rsidR="00BD5EB5" w:rsidRPr="001E2C69" w:rsidRDefault="00BD5EB5" w:rsidP="00722885">
      <w:pPr>
        <w:pStyle w:val="Iauiue"/>
        <w:jc w:val="both"/>
        <w:rPr>
          <w:color w:val="000000" w:themeColor="text1"/>
          <w:sz w:val="16"/>
          <w:szCs w:val="16"/>
          <w:lang w:val="en-US"/>
        </w:rPr>
      </w:pPr>
    </w:p>
    <w:p w14:paraId="08154D65"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bCs/>
          <w:color w:val="000000" w:themeColor="text1"/>
          <w:sz w:val="16"/>
          <w:szCs w:val="16"/>
        </w:rPr>
        <w:t xml:space="preserve">31 августа </w:t>
      </w:r>
      <w:r w:rsidRPr="001E2C69">
        <w:rPr>
          <w:rFonts w:ascii="Times New Roman" w:hAnsi="Times New Roman"/>
          <w:color w:val="000000" w:themeColor="text1"/>
          <w:sz w:val="16"/>
          <w:szCs w:val="16"/>
        </w:rPr>
        <w:t>в 1942 году (31 августа – 2 сентября) неудачная попытка немецких войск прорвать английские укрепления у Эль-Аламейна. Немецкое наступление останавливается Британией в битве Alam al-Halfa, это станет поворотным пунктом в Северно-африканской кампании (14755).</w:t>
      </w:r>
    </w:p>
    <w:p w14:paraId="3446D2EA" w14:textId="77777777" w:rsidR="00BD5EB5" w:rsidRPr="001E2C69" w:rsidRDefault="00BD5EB5" w:rsidP="00722885">
      <w:pPr>
        <w:spacing w:after="0" w:line="240" w:lineRule="auto"/>
        <w:jc w:val="both"/>
        <w:rPr>
          <w:rFonts w:ascii="Times New Roman" w:hAnsi="Times New Roman"/>
          <w:color w:val="000000" w:themeColor="text1"/>
          <w:sz w:val="16"/>
          <w:szCs w:val="16"/>
        </w:rPr>
      </w:pPr>
    </w:p>
    <w:p w14:paraId="1C162FD4"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1A35A32C" w14:textId="77777777" w:rsidR="00AE7191" w:rsidRPr="001E2C69" w:rsidRDefault="00AE7191" w:rsidP="00722885">
      <w:pPr>
        <w:pStyle w:val="Iauiue"/>
        <w:jc w:val="both"/>
        <w:rPr>
          <w:iCs/>
          <w:color w:val="000000" w:themeColor="text1"/>
          <w:sz w:val="16"/>
          <w:szCs w:val="16"/>
        </w:rPr>
      </w:pPr>
    </w:p>
    <w:p w14:paraId="16C18995"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концу августа 1942 г. Оперативное управление штаба ВВС КА, основываясь на материалах НИП АВ и результатах собственного исследования фактической результатив</w:t>
      </w:r>
      <w:r w:rsidRPr="001E2C69">
        <w:rPr>
          <w:rFonts w:ascii="Times New Roman" w:hAnsi="Times New Roman"/>
          <w:color w:val="000000" w:themeColor="text1"/>
          <w:sz w:val="16"/>
          <w:szCs w:val="16"/>
        </w:rPr>
        <w:softHyphen/>
        <w:t>ности немецкой авиации по советской бронетехнике, разработало предложения по повы</w:t>
      </w:r>
      <w:r w:rsidRPr="001E2C69">
        <w:rPr>
          <w:rFonts w:ascii="Times New Roman" w:hAnsi="Times New Roman"/>
          <w:color w:val="000000" w:themeColor="text1"/>
          <w:sz w:val="16"/>
          <w:szCs w:val="16"/>
        </w:rPr>
        <w:softHyphen/>
        <w:t>шению</w:t>
      </w:r>
      <w:r w:rsidRPr="001E2C69">
        <w:rPr>
          <w:rStyle w:val="aff8"/>
          <w:rFonts w:ascii="Times New Roman" w:eastAsia="Arial Unicode MS" w:hAnsi="Times New Roman" w:cs="Times New Roman"/>
          <w:i w:val="0"/>
          <w:color w:val="000000" w:themeColor="text1"/>
        </w:rPr>
        <w:t xml:space="preserve"> «эффективности средств ВВС КА в борьбе с танковыми частями противника».</w:t>
      </w:r>
    </w:p>
    <w:p w14:paraId="19C7CE41"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Помимо прочего, требовалось срочно запустить в массовую серию противотанковые Ил-2 с 37-мм пушками, установить ракетные орудия РО-132 и сделать самолёт двухместным с воздушным стрелком, «</w:t>
      </w:r>
      <w:r w:rsidRPr="001E2C69">
        <w:rPr>
          <w:rStyle w:val="aff8"/>
          <w:rFonts w:ascii="Times New Roman" w:eastAsia="Arial Unicode MS" w:hAnsi="Times New Roman" w:cs="Times New Roman"/>
          <w:i w:val="0"/>
          <w:color w:val="000000" w:themeColor="text1"/>
        </w:rPr>
        <w:t>вооружив его пулемётом».</w:t>
      </w:r>
      <w:r w:rsidRPr="001E2C69">
        <w:rPr>
          <w:rFonts w:ascii="Times New Roman" w:hAnsi="Times New Roman"/>
          <w:color w:val="000000" w:themeColor="text1"/>
          <w:sz w:val="16"/>
          <w:szCs w:val="16"/>
        </w:rPr>
        <w:t xml:space="preserve"> После чего сформировать на их основе специальные «штурмовые авиадивизии истребления танков, прикрыв их ЛаГГ-3, вооружён</w:t>
      </w:r>
      <w:r w:rsidRPr="001E2C69">
        <w:rPr>
          <w:rFonts w:ascii="Times New Roman" w:hAnsi="Times New Roman"/>
          <w:color w:val="000000" w:themeColor="text1"/>
          <w:sz w:val="16"/>
          <w:szCs w:val="16"/>
        </w:rPr>
        <w:softHyphen/>
        <w:t>ных также 37-мм пушками», и укомплектовав хорошо подготовленными для выполнения этой задачи лётчиками и командирами.</w:t>
      </w:r>
    </w:p>
    <w:p w14:paraId="21406523"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Привлекать противотанковую авиадивизию к выполнению каких-либо иных задач, кроме эьбы с танками, запрещалось категорически.</w:t>
      </w:r>
    </w:p>
    <w:p w14:paraId="3E74BB2B" w14:textId="77777777" w:rsidR="00BD5EB5" w:rsidRPr="001E2C69" w:rsidRDefault="00BD5EB5" w:rsidP="00722885">
      <w:pPr>
        <w:spacing w:after="0" w:line="240" w:lineRule="auto"/>
        <w:jc w:val="both"/>
        <w:rPr>
          <w:rStyle w:val="aff8"/>
          <w:rFonts w:ascii="Times New Roman" w:eastAsia="Arial Unicode MS" w:hAnsi="Times New Roman" w:cs="Times New Roman"/>
          <w:i w:val="0"/>
          <w:color w:val="000000" w:themeColor="text1"/>
        </w:rPr>
      </w:pPr>
      <w:r w:rsidRPr="001E2C69">
        <w:rPr>
          <w:rFonts w:ascii="Times New Roman" w:hAnsi="Times New Roman"/>
          <w:color w:val="000000" w:themeColor="text1"/>
          <w:sz w:val="16"/>
          <w:szCs w:val="16"/>
        </w:rPr>
        <w:t>Командующий ВВС КА генерал-лейтенант А.А. Новиков в целом согласился со всеми вдложениями, заметив, однако, что вопрос о формировании противотанковых штурмо- авиадивизий необходимо</w:t>
      </w:r>
      <w:r w:rsidRPr="001E2C69">
        <w:rPr>
          <w:rStyle w:val="aff8"/>
          <w:rFonts w:ascii="Times New Roman" w:eastAsia="Arial Unicode MS" w:hAnsi="Times New Roman" w:cs="Times New Roman"/>
          <w:i w:val="0"/>
          <w:color w:val="000000" w:themeColor="text1"/>
        </w:rPr>
        <w:t xml:space="preserve"> «проработать и обсудить на Военном Совете» (15846).</w:t>
      </w:r>
    </w:p>
    <w:p w14:paraId="1F3D3717" w14:textId="77777777" w:rsidR="00BD5EB5" w:rsidRPr="001E2C69" w:rsidRDefault="00BD5EB5" w:rsidP="00722885">
      <w:pPr>
        <w:spacing w:after="0" w:line="240" w:lineRule="auto"/>
        <w:jc w:val="both"/>
        <w:rPr>
          <w:rStyle w:val="aff8"/>
          <w:rFonts w:ascii="Times New Roman" w:eastAsia="Arial Unicode MS" w:hAnsi="Times New Roman" w:cs="Times New Roman"/>
          <w:i w:val="0"/>
          <w:color w:val="000000" w:themeColor="text1"/>
        </w:rPr>
      </w:pPr>
    </w:p>
    <w:p w14:paraId="0A77385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конце августа 1942 в строевые части стали поступать Пе-3бис 39 завода в Иркутске (1722,52).</w:t>
      </w:r>
    </w:p>
    <w:p w14:paraId="1AB9F472" w14:textId="77777777" w:rsidR="00AE7191" w:rsidRPr="001E2C69" w:rsidRDefault="00AE7191" w:rsidP="00722885">
      <w:pPr>
        <w:pStyle w:val="Iauiue"/>
        <w:jc w:val="both"/>
        <w:rPr>
          <w:color w:val="000000" w:themeColor="text1"/>
          <w:sz w:val="16"/>
          <w:szCs w:val="16"/>
        </w:rPr>
      </w:pPr>
    </w:p>
    <w:p w14:paraId="6AE376C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конце августа 1942 года Яковлев писал Сталину.</w:t>
      </w:r>
    </w:p>
    <w:p w14:paraId="3350A76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Мной разработан и осуществлен на самолетах Як-1 и Як-7 фонарь кабины пилота, оригинальной конструкции, дающий решение коренного улучшения обзора истребительных самолетов.</w:t>
      </w:r>
    </w:p>
    <w:p w14:paraId="3833F99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Самолет Як-1 прошел испытание с фонарем новой конструкции в НИИ ВВС и получил хорошее заключение.</w:t>
      </w:r>
    </w:p>
    <w:p w14:paraId="3CFB968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Боеспособность Як-1 с новым фонарем неизмеримо возросла, так как новый фонарь обеспечивает летчику полностью обзор всей верхней полусферы и в первую </w:t>
      </w:r>
      <w:r w:rsidRPr="001E2C69">
        <w:rPr>
          <w:color w:val="000000" w:themeColor="text1"/>
          <w:sz w:val="16"/>
          <w:szCs w:val="16"/>
        </w:rPr>
        <w:lastRenderedPageBreak/>
        <w:t>очередь вверх и назад, что исключает возможность неожиданного нападения противника с хвоста и сверху.</w:t>
      </w:r>
    </w:p>
    <w:p w14:paraId="1ACBD15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Кроме того, на этом же самолете введено усиленное бронирование и улучшено вооружение заменой двух Шкасс - одним БС.</w:t>
      </w:r>
    </w:p>
    <w:p w14:paraId="182A542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Все улучшения получили единодушное одобрение летчиков.</w:t>
      </w:r>
    </w:p>
    <w:p w14:paraId="2AEAADA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Считаю целесообразным внедрение в серию предложенных улучшений (2147,87).</w:t>
      </w:r>
    </w:p>
    <w:p w14:paraId="081427C6" w14:textId="77777777" w:rsidR="00AE7191" w:rsidRPr="001E2C69" w:rsidRDefault="00AE7191" w:rsidP="00722885">
      <w:pPr>
        <w:pStyle w:val="Iauiue"/>
        <w:jc w:val="both"/>
        <w:rPr>
          <w:color w:val="000000" w:themeColor="text1"/>
          <w:sz w:val="16"/>
          <w:szCs w:val="16"/>
        </w:rPr>
      </w:pPr>
    </w:p>
    <w:p w14:paraId="08469D7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конце августа 1942 года Яковлев писал Сталину.</w:t>
      </w:r>
    </w:p>
    <w:p w14:paraId="1812A89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соответствии с Вашими неоднократными указаниями о крайней желательности увеличения дальности и продолжительности полета истребительных самолетов, разработан, построен и в настоящее время проходит испытания самолет Як-7 М-105ПФ, у которого при полетном весе 3020 кг (вес серийного самолета Як-7) дальность полета равняется 1500 км и продолжительность полета - 4 часа 20 минут при нормальном запасе горючего - 500 кг.</w:t>
      </w:r>
    </w:p>
    <w:p w14:paraId="1EDB10C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Вооружение и оборудование самолета: одна пушка 20 мм - 120 снарядов, один пулемет 12,7 мм - 200 патрон, бомбовые подвески на 2 бомбы по 100 кг, радиостанция РСИ-4 и фотоаппарат.</w:t>
      </w:r>
    </w:p>
    <w:p w14:paraId="551EC32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Такое усовершенствование самолета Як-7 достигнуто путем замены деревянных лонжеронов крыла на дюралевые (нервюры и обшивка крыла остались деревянные) в результате чего получилось значительное облегчение конструкции крыла и увеличение объема бензобаков и представилось возможным за этот счет увеличить запас горючего почти вдвое, не увеличивая полетного веса самолета и не снижая его скорости.</w:t>
      </w:r>
    </w:p>
    <w:p w14:paraId="1830D55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Увеличение дальности до 1500 км и продолжительности полета до 4-х часов 20 минут - открывает совершенно новые тактические возможности перед истребительной авиацией и ставит самолет Як-7 на сегодня, по совокупности летных и боевых данных, на первое место среди всех воюющих, известных нам истребителей.</w:t>
      </w:r>
    </w:p>
    <w:p w14:paraId="2474D98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Этот самолет может выполнять следующие задачи:</w:t>
      </w:r>
    </w:p>
    <w:p w14:paraId="31C9B3A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Сопровождение бомбардировщиков Пе-2 по всему маршруту.</w:t>
      </w:r>
    </w:p>
    <w:p w14:paraId="21FD326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Самостоятельные дневные бомбардировочные и штурмовые операции в тылу противника по важным объектам, коммуникациям и железнодорожным узлам.</w:t>
      </w:r>
    </w:p>
    <w:p w14:paraId="0983907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3. Прикрытие наземных операций над полем боя в течение 4-х часов непрерывного полета.</w:t>
      </w:r>
    </w:p>
    <w:p w14:paraId="174A8A3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4. Дневное, и, что особенно важно, ночное барражирование в течение 4-х часов.</w:t>
      </w:r>
    </w:p>
    <w:p w14:paraId="21A5170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5. Разведывательные операции.</w:t>
      </w:r>
    </w:p>
    <w:p w14:paraId="55723AF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6. Корректировочные полеты обеспечиваемые наличием в самолете второй кабины.</w:t>
      </w:r>
    </w:p>
    <w:p w14:paraId="1A4D0F7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Особенно ценным свойством самолета является - сочетание большой дальности полета с мощным вооружением, делающим самолет почти неуязвимым, для вражеской авиации и позволяющим безнаказанно проводить любые операции в тылу противника в дневное время.</w:t>
      </w:r>
    </w:p>
    <w:p w14:paraId="19580E9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Самолет построен в Новосибирске на заводе N 153.</w:t>
      </w:r>
    </w:p>
    <w:p w14:paraId="6235A5E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N 153 может приступить к производству самолетов Як-7 с увеличенной дальностью.</w:t>
      </w:r>
    </w:p>
    <w:p w14:paraId="3F2B6FD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Необходимо решение ГОКО по этому вопросу (2147,94).</w:t>
      </w:r>
    </w:p>
    <w:p w14:paraId="006E0617" w14:textId="77777777" w:rsidR="00AE7191" w:rsidRPr="001E2C69" w:rsidRDefault="00AE7191" w:rsidP="00722885">
      <w:pPr>
        <w:pStyle w:val="Iauiue"/>
        <w:jc w:val="both"/>
        <w:rPr>
          <w:color w:val="000000" w:themeColor="text1"/>
          <w:sz w:val="16"/>
          <w:szCs w:val="16"/>
        </w:rPr>
      </w:pPr>
    </w:p>
    <w:p w14:paraId="17EC4D5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конце августа 1942 года Шахурин писал письмо Маленкову.</w:t>
      </w:r>
    </w:p>
    <w:p w14:paraId="5F5ECF4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целях усиления боевой мощи самолетов Як-1 и Як-7, гл. конструктор Яковлев произвел замену пулеметов Шкас калибра 7,62 мм на пулеметы Березина калибра 12,7 мм.</w:t>
      </w:r>
    </w:p>
    <w:p w14:paraId="5343AF2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Самолет Як-7 с двумя пулеметами калибра 12,7 мм с общим боезапасом 400 патронов, выдержал испытания и заводы NN 153 и 82 выпускают самолеты с данным вооружением.</w:t>
      </w:r>
    </w:p>
    <w:p w14:paraId="66A2413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Самолет Як-1 ч одним пулеметом Березина калибра 12,7 мм с боезапасом 200 патронов подготовлен для проведения испытаний.</w:t>
      </w:r>
    </w:p>
    <w:p w14:paraId="79AD4FC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Прошу о подтверждении решением ГКО выпуск самолетов Як-7 с пулеметом Березина калибра 12,7 мм вместо пулеметов Шкас калибра 7,62 мм (2147,296).</w:t>
      </w:r>
    </w:p>
    <w:p w14:paraId="08DA2285" w14:textId="77777777" w:rsidR="00AE7191" w:rsidRPr="001E2C69" w:rsidRDefault="00AE7191" w:rsidP="00722885">
      <w:pPr>
        <w:pStyle w:val="Iauiue"/>
        <w:jc w:val="both"/>
        <w:rPr>
          <w:color w:val="000000" w:themeColor="text1"/>
          <w:sz w:val="16"/>
          <w:szCs w:val="16"/>
        </w:rPr>
      </w:pPr>
    </w:p>
    <w:p w14:paraId="336AF5C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конце августа 1942 г. было принято решение о проведении испытаний И-185 в боевых условиях. Их проведение возлагалось на 728-й Гвар</w:t>
      </w:r>
      <w:r w:rsidRPr="001E2C69">
        <w:rPr>
          <w:rFonts w:ascii="Times New Roman" w:hAnsi="Times New Roman"/>
          <w:color w:val="000000" w:themeColor="text1"/>
          <w:sz w:val="16"/>
          <w:szCs w:val="16"/>
        </w:rPr>
        <w:softHyphen/>
        <w:t>дейский истребительный полк, действующий на Калининском фронте (9979).</w:t>
      </w:r>
    </w:p>
    <w:p w14:paraId="296476C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0E2D070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конце августа 1942 Яковлев договорился с ВВС об испы</w:t>
      </w:r>
      <w:r w:rsidRPr="001E2C69">
        <w:rPr>
          <w:rFonts w:ascii="Times New Roman" w:hAnsi="Times New Roman"/>
          <w:color w:val="000000" w:themeColor="text1"/>
          <w:sz w:val="16"/>
          <w:szCs w:val="16"/>
        </w:rPr>
        <w:softHyphen/>
        <w:t>тании И-185 в боевых условиях на Калининском фрон</w:t>
      </w:r>
      <w:r w:rsidRPr="001E2C69">
        <w:rPr>
          <w:rFonts w:ascii="Times New Roman" w:hAnsi="Times New Roman"/>
          <w:color w:val="000000" w:themeColor="text1"/>
          <w:sz w:val="16"/>
          <w:szCs w:val="16"/>
        </w:rPr>
        <w:softHyphen/>
        <w:t>те. 4 сентября 1942 г. он дал указание Поликарпову подготовить четыре И-185 к отправке на фронт. Нико</w:t>
      </w:r>
      <w:r w:rsidRPr="001E2C69">
        <w:rPr>
          <w:rFonts w:ascii="Times New Roman" w:hAnsi="Times New Roman"/>
          <w:color w:val="000000" w:themeColor="text1"/>
          <w:sz w:val="16"/>
          <w:szCs w:val="16"/>
        </w:rPr>
        <w:softHyphen/>
        <w:t>лай Николаевич передал в Новосибирск на завод № 51 приказ немедленно отгрузить три И-185 в Москву на филиал завода вместе с обслуживающей бригадой. Чет</w:t>
      </w:r>
      <w:r w:rsidRPr="001E2C69">
        <w:rPr>
          <w:rFonts w:ascii="Times New Roman" w:hAnsi="Times New Roman"/>
          <w:color w:val="000000" w:themeColor="text1"/>
          <w:sz w:val="16"/>
          <w:szCs w:val="16"/>
        </w:rPr>
        <w:softHyphen/>
        <w:t>вертый самолет в то время проходил ремонт в москов</w:t>
      </w:r>
      <w:r w:rsidRPr="001E2C69">
        <w:rPr>
          <w:rFonts w:ascii="Times New Roman" w:hAnsi="Times New Roman"/>
          <w:color w:val="000000" w:themeColor="text1"/>
          <w:sz w:val="16"/>
          <w:szCs w:val="16"/>
        </w:rPr>
        <w:softHyphen/>
        <w:t>ском филиале (10667). Калининский фронт не случайно выбрали для прове</w:t>
      </w:r>
      <w:r w:rsidRPr="001E2C69">
        <w:rPr>
          <w:rFonts w:ascii="Times New Roman" w:hAnsi="Times New Roman"/>
          <w:color w:val="000000" w:themeColor="text1"/>
          <w:sz w:val="16"/>
          <w:szCs w:val="16"/>
        </w:rPr>
        <w:softHyphen/>
        <w:t>дения фронтовых испытаний. Командующим 3-й воз</w:t>
      </w:r>
      <w:r w:rsidRPr="001E2C69">
        <w:rPr>
          <w:rFonts w:ascii="Times New Roman" w:hAnsi="Times New Roman"/>
          <w:color w:val="000000" w:themeColor="text1"/>
          <w:sz w:val="16"/>
          <w:szCs w:val="16"/>
        </w:rPr>
        <w:softHyphen/>
        <w:t>душной армией являлся известный летчик-испытатель Герой Советского Союза генерал-майор М.М.Громов, бывший начальник ЛИИ НКАП, хорошо знающий осо</w:t>
      </w:r>
      <w:r w:rsidRPr="001E2C69">
        <w:rPr>
          <w:rFonts w:ascii="Times New Roman" w:hAnsi="Times New Roman"/>
          <w:color w:val="000000" w:themeColor="text1"/>
          <w:sz w:val="16"/>
          <w:szCs w:val="16"/>
        </w:rPr>
        <w:softHyphen/>
        <w:t>бенности испытательной работы. Также не случайно для проведения испытаний Громов назначил 728-й истреби</w:t>
      </w:r>
      <w:r w:rsidRPr="001E2C69">
        <w:rPr>
          <w:rFonts w:ascii="Times New Roman" w:hAnsi="Times New Roman"/>
          <w:color w:val="000000" w:themeColor="text1"/>
          <w:sz w:val="16"/>
          <w:szCs w:val="16"/>
        </w:rPr>
        <w:softHyphen/>
        <w:t>тельный авиационный полк. Он был сформирован в конце 1941 г. из летчиков-инструкторов Чугуевского авиационного училища. В составе полка воевали буду</w:t>
      </w:r>
      <w:r w:rsidRPr="001E2C69">
        <w:rPr>
          <w:rFonts w:ascii="Times New Roman" w:hAnsi="Times New Roman"/>
          <w:color w:val="000000" w:themeColor="text1"/>
          <w:sz w:val="16"/>
          <w:szCs w:val="16"/>
        </w:rPr>
        <w:softHyphen/>
        <w:t>щие дважды Герои Советского Союза А.Е.Боровых, А.В.Ворожейкин, Герои Советского Союза Н.П.Игнатьев, А.Е.Новиков, И.Е.Кустов и другие (10667).</w:t>
      </w:r>
    </w:p>
    <w:p w14:paraId="7072AE57"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1941AAD" w14:textId="77777777" w:rsidR="004C32AA" w:rsidRPr="008A2E5A" w:rsidRDefault="004C32AA" w:rsidP="004C32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w:t>
      </w:r>
      <w:r w:rsidRPr="008A2E5A">
        <w:rPr>
          <w:rFonts w:ascii="Times New Roman" w:hAnsi="Times New Roman"/>
          <w:color w:val="0070C0"/>
          <w:sz w:val="16"/>
          <w:szCs w:val="16"/>
        </w:rPr>
        <w:softHyphen/>
        <w:t>це августа 1942 г. был закончен первый И-220. Из-за отсутствия необходимых ком</w:t>
      </w:r>
      <w:r w:rsidRPr="008A2E5A">
        <w:rPr>
          <w:rFonts w:ascii="Times New Roman" w:hAnsi="Times New Roman"/>
          <w:color w:val="0070C0"/>
          <w:sz w:val="16"/>
          <w:szCs w:val="16"/>
        </w:rPr>
        <w:softHyphen/>
        <w:t>плектующих самолет И-220 №1 сдали на заводские испытания без системы над</w:t>
      </w:r>
      <w:r w:rsidRPr="008A2E5A">
        <w:rPr>
          <w:rFonts w:ascii="Times New Roman" w:hAnsi="Times New Roman"/>
          <w:color w:val="0070C0"/>
          <w:sz w:val="16"/>
          <w:szCs w:val="16"/>
        </w:rPr>
        <w:softHyphen/>
        <w:t>дува гермокабины и с облегченным воо</w:t>
      </w:r>
      <w:r w:rsidRPr="008A2E5A">
        <w:rPr>
          <w:rFonts w:ascii="Times New Roman" w:hAnsi="Times New Roman"/>
          <w:color w:val="0070C0"/>
          <w:sz w:val="16"/>
          <w:szCs w:val="16"/>
        </w:rPr>
        <w:softHyphen/>
        <w:t>ружением - поставили только две боко</w:t>
      </w:r>
      <w:r w:rsidRPr="008A2E5A">
        <w:rPr>
          <w:rFonts w:ascii="Times New Roman" w:hAnsi="Times New Roman"/>
          <w:color w:val="0070C0"/>
          <w:sz w:val="16"/>
          <w:szCs w:val="16"/>
        </w:rPr>
        <w:softHyphen/>
        <w:t>вые пушки СП-20. Верхние пулеметы БС, реактивные орудия и бомбодержатели не монтировались.</w:t>
      </w:r>
    </w:p>
    <w:p w14:paraId="39D0468D" w14:textId="77777777" w:rsidR="004C32AA" w:rsidRPr="008A2E5A" w:rsidRDefault="004C32AA" w:rsidP="004C32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Разрешения на его первый полет не поступило из-за того, что не выдержал стендовых испытаний двигатель.</w:t>
      </w:r>
    </w:p>
    <w:p w14:paraId="062F51B0" w14:textId="77777777" w:rsidR="004C32AA" w:rsidRPr="008A2E5A" w:rsidRDefault="004C32AA" w:rsidP="004C32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минимум один мотор АМ-39 на первый И-220 был отгружен заводом №300 заводу №155 не позже 10 авгу</w:t>
      </w:r>
      <w:r w:rsidRPr="008A2E5A">
        <w:rPr>
          <w:rFonts w:ascii="Times New Roman" w:hAnsi="Times New Roman"/>
          <w:color w:val="0070C0"/>
          <w:sz w:val="16"/>
          <w:szCs w:val="16"/>
        </w:rPr>
        <w:softHyphen/>
        <w:t>ста 1942 г., о чем свидетельствует справ</w:t>
      </w:r>
      <w:r w:rsidRPr="008A2E5A">
        <w:rPr>
          <w:rFonts w:ascii="Times New Roman" w:hAnsi="Times New Roman"/>
          <w:color w:val="0070C0"/>
          <w:sz w:val="16"/>
          <w:szCs w:val="16"/>
        </w:rPr>
        <w:softHyphen/>
        <w:t>ка начальника 8-го Главного управления НКАП Поликовского, направленная На</w:t>
      </w:r>
      <w:r w:rsidRPr="008A2E5A">
        <w:rPr>
          <w:rFonts w:ascii="Times New Roman" w:hAnsi="Times New Roman"/>
          <w:color w:val="0070C0"/>
          <w:sz w:val="16"/>
          <w:szCs w:val="16"/>
        </w:rPr>
        <w:softHyphen/>
        <w:t>ркому авиапромышленности А.И. Шахурину 14 августа. Но в начале сентября 1942 г. на 25-часовых стендовых испыта</w:t>
      </w:r>
      <w:r w:rsidRPr="008A2E5A">
        <w:rPr>
          <w:rFonts w:ascii="Times New Roman" w:hAnsi="Times New Roman"/>
          <w:color w:val="0070C0"/>
          <w:sz w:val="16"/>
          <w:szCs w:val="16"/>
        </w:rPr>
        <w:softHyphen/>
        <w:t>ниях ПЦН с переключениями скоростей на номинальных оборотах сломалась рес</w:t>
      </w:r>
      <w:r w:rsidRPr="008A2E5A">
        <w:rPr>
          <w:rFonts w:ascii="Times New Roman" w:hAnsi="Times New Roman"/>
          <w:color w:val="0070C0"/>
          <w:sz w:val="16"/>
          <w:szCs w:val="16"/>
        </w:rPr>
        <w:softHyphen/>
        <w:t>сора его нагнетателя. Дальнейшие работы по этому варианту двухскоростной пере</w:t>
      </w:r>
      <w:r w:rsidRPr="008A2E5A">
        <w:rPr>
          <w:rFonts w:ascii="Times New Roman" w:hAnsi="Times New Roman"/>
          <w:color w:val="0070C0"/>
          <w:sz w:val="16"/>
          <w:szCs w:val="16"/>
        </w:rPr>
        <w:softHyphen/>
        <w:t>дачи были прекращены, в производство пошла новая коробка скоростей нагнета</w:t>
      </w:r>
      <w:r w:rsidRPr="008A2E5A">
        <w:rPr>
          <w:rFonts w:ascii="Times New Roman" w:hAnsi="Times New Roman"/>
          <w:color w:val="0070C0"/>
          <w:sz w:val="16"/>
          <w:szCs w:val="16"/>
        </w:rPr>
        <w:softHyphen/>
        <w:t>теля с тормозной лентой, но ее надо было еще сделать и испытать. А на это надо было дополнительное время (23401).</w:t>
      </w:r>
    </w:p>
    <w:p w14:paraId="605D84D5" w14:textId="77777777" w:rsidR="004C32AA" w:rsidRPr="008A2E5A" w:rsidRDefault="004C32AA" w:rsidP="004C32AA">
      <w:pPr>
        <w:spacing w:after="0" w:line="240" w:lineRule="auto"/>
        <w:jc w:val="both"/>
        <w:rPr>
          <w:rFonts w:ascii="Times New Roman" w:hAnsi="Times New Roman"/>
          <w:color w:val="0070C0"/>
          <w:sz w:val="16"/>
          <w:szCs w:val="16"/>
        </w:rPr>
      </w:pPr>
    </w:p>
    <w:p w14:paraId="7A973EE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конце авгу</w:t>
      </w:r>
      <w:r w:rsidRPr="001E2C69">
        <w:rPr>
          <w:rFonts w:ascii="Times New Roman" w:hAnsi="Times New Roman"/>
          <w:color w:val="000000" w:themeColor="text1"/>
          <w:sz w:val="16"/>
          <w:szCs w:val="16"/>
        </w:rPr>
        <w:softHyphen/>
        <w:t>ста 1942 самолет Г-1 В.П.Горбунова все же возобно</w:t>
      </w:r>
      <w:r w:rsidRPr="001E2C69">
        <w:rPr>
          <w:rFonts w:ascii="Times New Roman" w:hAnsi="Times New Roman"/>
          <w:color w:val="000000" w:themeColor="text1"/>
          <w:sz w:val="16"/>
          <w:szCs w:val="16"/>
        </w:rPr>
        <w:softHyphen/>
        <w:t>вил заводские испытания, но показал неудовлетворительные летно-техни-ческие данные. Испытания были пре</w:t>
      </w:r>
      <w:r w:rsidRPr="001E2C69">
        <w:rPr>
          <w:rFonts w:ascii="Times New Roman" w:hAnsi="Times New Roman"/>
          <w:color w:val="000000" w:themeColor="text1"/>
          <w:sz w:val="16"/>
          <w:szCs w:val="16"/>
        </w:rPr>
        <w:softHyphen/>
        <w:t>кращены и как отметил военпред: «...самолет подлежит переделке на серийный» (10686).</w:t>
      </w:r>
    </w:p>
    <w:p w14:paraId="17553B8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3BD862A9" w14:textId="77777777" w:rsidR="00BD5EB5" w:rsidRPr="001E2C69" w:rsidRDefault="00BD5EB5" w:rsidP="00722885">
      <w:pPr>
        <w:pStyle w:val="a4"/>
        <w:rPr>
          <w:color w:val="000000" w:themeColor="text1"/>
          <w:lang w:val="ru-RU"/>
        </w:rPr>
      </w:pPr>
      <w:r w:rsidRPr="001E2C69">
        <w:rPr>
          <w:color w:val="000000" w:themeColor="text1"/>
          <w:lang w:val="ru-RU"/>
        </w:rPr>
        <w:t>В конце августа 1942 г. самолет Г-1 всё же возобновил заводские испытания, но показал неудовлетворительные лётно-тсхнические данные. Испытания прекратили и, как отметил военпред: «...самолет подлежит переделке на серийный» (15788).</w:t>
      </w:r>
    </w:p>
    <w:p w14:paraId="774DB9F8" w14:textId="77777777" w:rsidR="00BD5EB5" w:rsidRPr="001E2C69" w:rsidRDefault="00BD5EB5" w:rsidP="00722885">
      <w:pPr>
        <w:pStyle w:val="a4"/>
        <w:rPr>
          <w:color w:val="000000" w:themeColor="text1"/>
          <w:lang w:val="ru-RU"/>
        </w:rPr>
      </w:pPr>
    </w:p>
    <w:p w14:paraId="7BE4515B"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конце августа – начале сентября 1942 года в СССР приступили к работам по горным установкам. Первоначально были предложены два варианта установок: один на станке (на козлах), а другой на двухколесной тележке. Для обоих вариантов предусматривалось использование направляющих от установки М-8-36. Установки имели следующие недостатки: требовалось дальнейшее упрощение их конструкции и технологии, существовала трудность разработки узлов прицеливания и горизонтальной наводки. В результате проведенных работ был выбран вариант на станке (15981).</w:t>
      </w:r>
    </w:p>
    <w:p w14:paraId="0112106A" w14:textId="77777777" w:rsidR="00BD5EB5" w:rsidRPr="001E2C69" w:rsidRDefault="00BD5EB5" w:rsidP="00722885">
      <w:pPr>
        <w:spacing w:after="0" w:line="240" w:lineRule="auto"/>
        <w:jc w:val="both"/>
        <w:rPr>
          <w:rFonts w:ascii="Times New Roman" w:hAnsi="Times New Roman"/>
          <w:color w:val="000000" w:themeColor="text1"/>
          <w:sz w:val="16"/>
          <w:szCs w:val="16"/>
        </w:rPr>
      </w:pPr>
    </w:p>
    <w:p w14:paraId="2D0C6BD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конце августа 1942 Нач. 8 ГУ НКАП В.Поликовский писал за № 8/648 А.И.Ш.:</w:t>
      </w:r>
    </w:p>
    <w:p w14:paraId="50917C2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Докладная записка</w:t>
      </w:r>
    </w:p>
    <w:p w14:paraId="7853FAB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 время доводошых работ, а также 50-ти часовых совместных и 100-часовых государственных испытаний моторов наблюдаются случаи появления дефектов отдельных узлов моторов, в силу которых испытания или аннулируются или мотор вовсе выходит из строя не по вине конструкции мотора, а по причинам: понижения трудовой дисциплины, отсутствия надлежащего технического контроля, отступления от установленной техно</w:t>
      </w:r>
      <w:r w:rsidRPr="001E2C69">
        <w:rPr>
          <w:rFonts w:ascii="Times New Roman" w:hAnsi="Times New Roman"/>
          <w:color w:val="000000" w:themeColor="text1"/>
          <w:sz w:val="16"/>
          <w:szCs w:val="16"/>
        </w:rPr>
        <w:softHyphen/>
        <w:t>логии производства и сборки и плохой организации ведения самих испытаний.</w:t>
      </w:r>
    </w:p>
    <w:p w14:paraId="48C5C58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Так например:</w:t>
      </w:r>
    </w:p>
    <w:p w14:paraId="6637828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заводе № 19 по мотору М-71 при проведении государ</w:t>
      </w:r>
      <w:r w:rsidRPr="001E2C69">
        <w:rPr>
          <w:rFonts w:ascii="Times New Roman" w:hAnsi="Times New Roman"/>
          <w:color w:val="000000" w:themeColor="text1"/>
          <w:sz w:val="16"/>
          <w:szCs w:val="16"/>
        </w:rPr>
        <w:softHyphen/>
        <w:t>ственных испытаний было три случая разрушения клапанных тарелочек по причине отступления от технологии изготовления и три случая выпадания клапанного седла по причине отступ</w:t>
      </w:r>
      <w:r w:rsidRPr="001E2C69">
        <w:rPr>
          <w:rFonts w:ascii="Times New Roman" w:hAnsi="Times New Roman"/>
          <w:color w:val="000000" w:themeColor="text1"/>
          <w:sz w:val="16"/>
          <w:szCs w:val="16"/>
        </w:rPr>
        <w:softHyphen/>
        <w:t>ления от технологии запрессовки, вследствие чего моторы были сняты с государетвенного испытания.</w:t>
      </w:r>
    </w:p>
    <w:p w14:paraId="7A96DDD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заводе № 29 по мотору М-90 при проведении совмест</w:t>
      </w:r>
      <w:r w:rsidRPr="001E2C69">
        <w:rPr>
          <w:rFonts w:ascii="Times New Roman" w:hAnsi="Times New Roman"/>
          <w:color w:val="000000" w:themeColor="text1"/>
          <w:sz w:val="16"/>
          <w:szCs w:val="16"/>
        </w:rPr>
        <w:softHyphen/>
        <w:t>ных испытаний было два случая разрушения крыльчатки из-за попадания постороннего предмета, поломки коленчатого вала, вызванной разработкой обоймы среднего подшипника, из-за самовольного допущения в производство контрящих штифтов с меньшим диаметром и др.</w:t>
      </w:r>
    </w:p>
    <w:p w14:paraId="08C868E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заводе № 26 по мотору М-107 при проведении 100-часовых испытаний было разрушение привода газораспределения и маслопомп из-за попадания гайки синхронизатора, отвернувшейся во время работы и др.</w:t>
      </w:r>
    </w:p>
    <w:p w14:paraId="0B6E296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Все эти и другие подобные дефекты являютсяс прямым следствием небрежного и безответственного отношения к работе отдельных лиц ОКЦ заводов,что при попустительстве руководителей заводов и ОКБ, выражавшейся в непринятии реальных мер дисциплинарного воздействия к виновным лицам, ведет к недопустимому удорожанию опытных работ и срыву установленных Вами сроков.</w:t>
      </w:r>
    </w:p>
    <w:p w14:paraId="1C3673E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Особо неблагополучно обстоит дело на заводе № 29, по которому бьл издан специальный приказ Зам. Наркома ГУАП т. В.П.Кузнецова, прилагаемый при этом.</w:t>
      </w:r>
    </w:p>
    <w:p w14:paraId="70098D4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устранения возможностей появления дефектов мотора, вызываемых небрежной организацией и несоблюдением дисципилины производства также и на других заводах,- считаю необ</w:t>
      </w:r>
      <w:r w:rsidRPr="001E2C69">
        <w:rPr>
          <w:rFonts w:ascii="Times New Roman" w:hAnsi="Times New Roman"/>
          <w:color w:val="000000" w:themeColor="text1"/>
          <w:sz w:val="16"/>
          <w:szCs w:val="16"/>
        </w:rPr>
        <w:softHyphen/>
        <w:t>ходимым выделить из состава всех ОКЦ заводов специальные группы технического контроля, отвечающие за соблюдение технологии производства, сборку и испытания.</w:t>
      </w:r>
    </w:p>
    <w:p w14:paraId="397DE29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Прошу подливать приказ по этому вопросу (1458,118).</w:t>
      </w:r>
    </w:p>
    <w:p w14:paraId="2D6B8AC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11B719A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августа 1942 г. завод № 500 начал переделку М-30 в М-ЗОБ (переделано 35 экз.), а затем произ</w:t>
      </w:r>
      <w:r w:rsidRPr="001E2C69">
        <w:rPr>
          <w:rFonts w:ascii="Times New Roman" w:hAnsi="Times New Roman"/>
          <w:color w:val="000000" w:themeColor="text1"/>
          <w:sz w:val="16"/>
          <w:szCs w:val="16"/>
        </w:rPr>
        <w:softHyphen/>
        <w:t>водство М-ЗОБ (за 1942 г. изготовлено 34 экз.). В январе — апреле 1943 г. М-ЗОБ испытывался на Ер-2, в августе — на Ил-6. В феврале того же года осуществлялась опытная эксплуатация М-ЗОБ на Пе-8 в частях АДД. Официально АЧ-ЗОБ был принят к крупносерийному производству 19 июня 1943 г. С весны того же года выпуск АЧ-ЗОБ осваивали на заводе № 45. Фактически массовый выпуск дизелей на обоих предприятиях начался с 4-го квартала 1943 г. В ходе серийного производства АЧ-ЗОБ менялся довольно мало; с апреля 1945 г. на нем ввели дополнительные топливные фильтры. Мощность 1250/1500 л.с., вес опытных образцов 1280 кг, серийных 1290 кг (поздние серии 1310 кг). Выпуск на обоих заводах прекращен в сентябре 1945 г. Всего изготовлено 1450 АЧ-ЗОБ (11852).</w:t>
      </w:r>
    </w:p>
    <w:p w14:paraId="385F179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33180CF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конце августа – начале сентября 1942 года в СССР приступили к работам по горным установкам. Первоначально были предложены два варианта установок: один на станке (на козлах), а другой на двухколесной тележке. Для обоих вариантов предусматривалось использование направляющих от установки М-8-36. Установки имели следующие недостатки: требовалось дальнейшее упрощение их конструкции и технологии, существовала трудность разработки узлов прицеливания и горизонтальной наводки. В результате проведенных работ был выбран вариант на станке.</w:t>
      </w:r>
    </w:p>
    <w:p w14:paraId="3CB619C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разработки первого образца дальнейшее ее совершенствование было поручено специалистам СКБ завода “Компрессор”. Установка разбиралась на три основные части. Испытания на прочность, безопасность и удобство обслуживания проводились с 12 по 26 июля 1943 года, и она была рекомендована для принятия на вооружение (11772).</w:t>
      </w:r>
    </w:p>
    <w:p w14:paraId="31089E8C"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2B728DE"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37A7957B" w14:textId="77777777" w:rsidR="00AE7191" w:rsidRPr="001E2C69" w:rsidRDefault="00AE7191" w:rsidP="00722885">
      <w:pPr>
        <w:pStyle w:val="Iauiue"/>
        <w:jc w:val="both"/>
        <w:rPr>
          <w:iCs/>
          <w:color w:val="000000" w:themeColor="text1"/>
          <w:sz w:val="16"/>
          <w:szCs w:val="16"/>
        </w:rPr>
      </w:pPr>
    </w:p>
    <w:p w14:paraId="331E5871" w14:textId="3F748EF6"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конце августа 1942 металлургический завод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178 изготовил для завода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112 пробные листы толщиной 35, 45 и 75 мм с содержанием никеля 0,8–1</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вместо принятых ранее 2,5–3</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хотя и последние параметры были следствием уменьшения содержания никеля в 1941</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г. БТУ поручило заводу-изготовителю проверить новую сталь на сварку, обработку и прочность. Стрельбы, проводившиеся с расстояния 64 метра, показали «удовлетворительную бронестойкость».  При попадании 45мм бронебойного снаряда в броневой лист толщиной 35 мм в основном образовывались вмятины глубиной 14–20 мм и иногда пробоины с отколом. При попадании в лист толщиной 45 мм образовывались вмятины глубиной 9-11 мм и пробоины без откола. [292 — ГУ ЦАНО, Ф. 15, Оп. 4, Д. 190, Л. 17–18.] В то же время опыты показали, что выплавка указанной стали в мартеновской печи не вызывает дополнительных затруднений. Новой марке стали был присвоен индекс «ФК». Снижение расхода ферросплавов на одну ее тонну показано в таблице: [293 — Там же, Л. 19–21.] (11741).</w:t>
      </w:r>
    </w:p>
    <w:p w14:paraId="2E33A8D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0EE1060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концу августа месяца 1942 ситуация резко обострилась - 23 августа 1942 года части 14-го танкового корпуса немцев, прорвав фронт на 8-километровом участке быстро продвинулись почт на 60 километров и вышли к Волге. Войска Сталинградского фронта оказались отрезанными друг от друга, управление ими нарушилось. Кроме того, немцы перерезали железнодорожные пути, ведущие к городу, и получили возможность обстрела идущих по Волге судов. В результате, к 13.00 23 августа немецкие танки оказались в полутора километрах от Сталинградского тракторного завода.</w:t>
      </w:r>
    </w:p>
    <w:p w14:paraId="69B08CF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 создавшемся критическом положении начальник ПВО СТЗ доложил находившимся в тот момент на заводе В. Малышеву и А. Горегляду. Они стали свидетелями боя между немецкими танками и артиллеристами 1077-го зенитного полка, имевшего на вооружении 85-мм орудия. Расчеты этой части были укомплектованы в основном девушками, которые умели вести огонь по самолетам, но не имели никакого представления о том, как надо стрелять по танкам. В результате короткого боя все орудия полка оказались уничтоженными, но зенитчицы позволили руководству завода выиграть время. Вскоре в противоборство с немецкими танками вступили танкисты под командованием капитана Д. Григорьева, которые готовились проводить стрельбы из танков на заводском испытательном полигоне.</w:t>
      </w:r>
    </w:p>
    <w:p w14:paraId="351D8EF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Доложив в штаб фронта о сложившейся ситуации В. Малышев и директор СТЗ К. Задорожный поручили главному инженеру завода Демьяновичу подготовить из имеющихся в цехах все танки, которые могли передвигаться и вести огонь. Их укомплектовали экипажами, скомплектованными главным образом из заводских рабочих. В результате, за несколько часов из цехов СТЗ ушли в бой до 50 тридцатьчетверок, которые поддерживали спешно созданные отряды ополченцев из рабочих СТЗ, которых, за неимением другого, вооружили пулеметами ДТ (по некоторым данным использовали до 1500 ДТ), взятыми со складов завода и предназначенными для вооружения танков Т-34. Кроме того, в спешном порядке был поднят по тревоге истребительный батальон, созданный на СТЗ и также укомплектованный рабочими и служащими.</w:t>
      </w:r>
    </w:p>
    <w:p w14:paraId="4A02776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Все эти отряды, не имевшие нормальной военной подготовки, вступили в бой на рубеже Сухая Мечетка с наступающими немецкими частями. Здесь к рабочим СТЗ присоединились отряды с других предприятий Сталинграда - «Красный Октябрь» и «Баррикады» и с ряда других.</w:t>
      </w:r>
    </w:p>
    <w:p w14:paraId="5BAB131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 имевшие боевого опыта отряды рабочих понесли огромные потери, но ценой собственной жизни сумели на некоторое время задержать немцев. Переброшенные в спешном порядке в район прорыва части Юго-Восточного фронта - 99-я танковая бригада, а также 21 и 28-й учебные танковые батальоны, а чуть позже 10-я дивизия НКВД восстановили положение, а затем контратаками отбросили противника на три километра.</w:t>
      </w:r>
    </w:p>
    <w:p w14:paraId="4D092CE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Участие в боях за Сталинград рабочих промышленных предприятий произвело на немецкое командование сильное впечатление. Например, полковник А. Вильгельм, во время боев адъютант командующего 6-й армии, впоследствии писал:</w:t>
      </w:r>
    </w:p>
    <w:p w14:paraId="740D87C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«Советские войска сражались за каждую пядь земли. Почти неправдоподобным показалось нам донесение генерала танковых войск фон Вит- терсгейма, командира 14-го танкою- го корпуса. Пока его корпус вынужден был драться в окружении, оттуда поступали скудные известия. Теперь же генерал сообщил, что соединения Красной Армии контратакуют, опираясь на поддержку всего населения Сталинграда, проявляющего исключительное мужество. Это выражается не только в строительстве оборонительных укреплений и не только в том, что заводы и большие здания превращены в крепости. Население взялось за оружие. На поле битвы лежат убитые рабочие в своей спецодежде, нередко сжимая в окоченевших руках винтовку или пистолет. Мертвецы в рабочей одежде застыли, склонившись над рулем разбитого танка. Ничего подобного мы никогда не видели» (12217).</w:t>
      </w:r>
    </w:p>
    <w:p w14:paraId="461F4EB6"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A1B7F8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 концу августа 1942, ввиду скорой потери СТЗ (Сталинградского тракторного завода), доводочные работы над 122-мм САУ У-34 были остановлены, а УЗТМ начал спешно готовить выпуск танков Т-34.</w:t>
      </w:r>
    </w:p>
    <w:p w14:paraId="4BF8F91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Однако работы над созданием отечественных САУ на этом не прекратились, а лишь были отложены. Уже осенью 1942 г. командование Красной Армии планировало провести целый ряд масштабных наступательных операций на различных участках Советско-Германского фронта, с применением подвижных артиллерийских подразделений. При разработке наступлений впервые широко учитывались уроки зимнего наступления 1941-42 гг. под Москвой, когда артиллерия среднего и крупного калибра (столь необходимая для сокрушения вражеских укреплений) постоянно отставала от наступавших танковых (и пехотных) подразделений. Поэтому впервые штабом начальника артиллерии при отработке будущих операций было принято решение о широком применении самоходно-артиллерийских установок среднего (от 76-мм до 122-мм) и крупного (более 122-мм) калибров, которые требовалось спешно создать (4017).</w:t>
      </w:r>
    </w:p>
    <w:p w14:paraId="2979FD3E" w14:textId="77777777" w:rsidR="00AE7191" w:rsidRPr="001E2C69" w:rsidRDefault="00AE7191" w:rsidP="00722885">
      <w:pPr>
        <w:pStyle w:val="Iauiue"/>
        <w:jc w:val="both"/>
        <w:rPr>
          <w:color w:val="000000" w:themeColor="text1"/>
          <w:sz w:val="16"/>
          <w:szCs w:val="16"/>
        </w:rPr>
      </w:pPr>
    </w:p>
    <w:p w14:paraId="47F50B5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конце августа 1942 доработанный танк Т-70 с двухместной башней был практически готов к выпуску на ГАЗе. Лишь одно поже</w:t>
      </w:r>
      <w:r w:rsidRPr="001E2C69">
        <w:rPr>
          <w:rFonts w:ascii="Times New Roman" w:hAnsi="Times New Roman"/>
          <w:color w:val="000000" w:themeColor="text1"/>
          <w:sz w:val="16"/>
          <w:szCs w:val="16"/>
        </w:rPr>
        <w:softHyphen/>
        <w:t>лание выдвигалось комиссией заводскому бюро: расширить башню на 60-85 мм, что, впрочем, можно было сделать и в ходе се</w:t>
      </w:r>
      <w:r w:rsidRPr="001E2C69">
        <w:rPr>
          <w:rFonts w:ascii="Times New Roman" w:hAnsi="Times New Roman"/>
          <w:color w:val="000000" w:themeColor="text1"/>
          <w:sz w:val="16"/>
          <w:szCs w:val="16"/>
        </w:rPr>
        <w:softHyphen/>
        <w:t>рийного производства (11084). В этот момент бронетанковое управление выдвинуло но</w:t>
      </w:r>
      <w:r w:rsidRPr="001E2C69">
        <w:rPr>
          <w:rFonts w:ascii="Times New Roman" w:hAnsi="Times New Roman"/>
          <w:color w:val="000000" w:themeColor="text1"/>
          <w:sz w:val="16"/>
          <w:szCs w:val="16"/>
        </w:rPr>
        <w:softHyphen/>
        <w:t>вые ТТТ, основанные на опыте городских бо</w:t>
      </w:r>
      <w:r w:rsidRPr="001E2C69">
        <w:rPr>
          <w:rFonts w:ascii="Times New Roman" w:hAnsi="Times New Roman"/>
          <w:color w:val="000000" w:themeColor="text1"/>
          <w:sz w:val="16"/>
          <w:szCs w:val="16"/>
        </w:rPr>
        <w:softHyphen/>
        <w:t>ев в 1941-1942 гг. Согласно новым требованиям, основное вооружение легкого танка, как непосредст</w:t>
      </w:r>
      <w:r w:rsidRPr="001E2C69">
        <w:rPr>
          <w:rFonts w:ascii="Times New Roman" w:hAnsi="Times New Roman"/>
          <w:color w:val="000000" w:themeColor="text1"/>
          <w:sz w:val="16"/>
          <w:szCs w:val="16"/>
        </w:rPr>
        <w:softHyphen/>
        <w:t>венного спутника пехоты во время боев в на</w:t>
      </w:r>
      <w:r w:rsidRPr="001E2C69">
        <w:rPr>
          <w:rFonts w:ascii="Times New Roman" w:hAnsi="Times New Roman"/>
          <w:color w:val="000000" w:themeColor="text1"/>
          <w:sz w:val="16"/>
          <w:szCs w:val="16"/>
        </w:rPr>
        <w:softHyphen/>
        <w:t>селенных пунктах, должно было обеспечи</w:t>
      </w:r>
      <w:r w:rsidRPr="001E2C69">
        <w:rPr>
          <w:rFonts w:ascii="Times New Roman" w:hAnsi="Times New Roman"/>
          <w:color w:val="000000" w:themeColor="text1"/>
          <w:sz w:val="16"/>
          <w:szCs w:val="16"/>
        </w:rPr>
        <w:softHyphen/>
        <w:t>вать ведение огня под углом не менее 65 гра</w:t>
      </w:r>
      <w:r w:rsidRPr="001E2C69">
        <w:rPr>
          <w:rFonts w:ascii="Times New Roman" w:hAnsi="Times New Roman"/>
          <w:color w:val="000000" w:themeColor="text1"/>
          <w:sz w:val="16"/>
          <w:szCs w:val="16"/>
        </w:rPr>
        <w:softHyphen/>
        <w:t>дусов для обстрела верхних этажей зданий. А для этого танку требовалась новая башня, работы над которой привели позднее к рож</w:t>
      </w:r>
      <w:r w:rsidRPr="001E2C69">
        <w:rPr>
          <w:rFonts w:ascii="Times New Roman" w:hAnsi="Times New Roman"/>
          <w:color w:val="000000" w:themeColor="text1"/>
          <w:sz w:val="16"/>
          <w:szCs w:val="16"/>
        </w:rPr>
        <w:softHyphen/>
        <w:t>дению Т-80. Разработка улучшенного Т-70 шла с од</w:t>
      </w:r>
      <w:r w:rsidRPr="001E2C69">
        <w:rPr>
          <w:rFonts w:ascii="Times New Roman" w:hAnsi="Times New Roman"/>
          <w:color w:val="000000" w:themeColor="text1"/>
          <w:sz w:val="16"/>
          <w:szCs w:val="16"/>
        </w:rPr>
        <w:softHyphen/>
        <w:t>новременным внесением изменений в се</w:t>
      </w:r>
      <w:r w:rsidRPr="001E2C69">
        <w:rPr>
          <w:rFonts w:ascii="Times New Roman" w:hAnsi="Times New Roman"/>
          <w:color w:val="000000" w:themeColor="text1"/>
          <w:sz w:val="16"/>
          <w:szCs w:val="16"/>
        </w:rPr>
        <w:softHyphen/>
        <w:t>рийное производство, поэтому, чтобы не терять наработки и не снижать темпа освое</w:t>
      </w:r>
      <w:r w:rsidRPr="001E2C69">
        <w:rPr>
          <w:rFonts w:ascii="Times New Roman" w:hAnsi="Times New Roman"/>
          <w:color w:val="000000" w:themeColor="text1"/>
          <w:sz w:val="16"/>
          <w:szCs w:val="16"/>
        </w:rPr>
        <w:softHyphen/>
        <w:t>ния новой машины, руководство НКТП приняло решение о внесении всех дорабо</w:t>
      </w:r>
      <w:r w:rsidRPr="001E2C69">
        <w:rPr>
          <w:rFonts w:ascii="Times New Roman" w:hAnsi="Times New Roman"/>
          <w:color w:val="000000" w:themeColor="text1"/>
          <w:sz w:val="16"/>
          <w:szCs w:val="16"/>
        </w:rPr>
        <w:softHyphen/>
        <w:t>ток корпуса и МТО трехместного танка по</w:t>
      </w:r>
      <w:r w:rsidRPr="001E2C69">
        <w:rPr>
          <w:rFonts w:ascii="Times New Roman" w:hAnsi="Times New Roman"/>
          <w:color w:val="000000" w:themeColor="text1"/>
          <w:sz w:val="16"/>
          <w:szCs w:val="16"/>
        </w:rPr>
        <w:softHyphen/>
        <w:t>степенно в серию с тем, чтобы по оконча</w:t>
      </w:r>
      <w:r w:rsidRPr="001E2C69">
        <w:rPr>
          <w:rFonts w:ascii="Times New Roman" w:hAnsi="Times New Roman"/>
          <w:color w:val="000000" w:themeColor="text1"/>
          <w:sz w:val="16"/>
          <w:szCs w:val="16"/>
        </w:rPr>
        <w:softHyphen/>
        <w:t>нии государственных испытаний улучшен</w:t>
      </w:r>
      <w:r w:rsidRPr="001E2C69">
        <w:rPr>
          <w:rFonts w:ascii="Times New Roman" w:hAnsi="Times New Roman"/>
          <w:color w:val="000000" w:themeColor="text1"/>
          <w:sz w:val="16"/>
          <w:szCs w:val="16"/>
        </w:rPr>
        <w:softHyphen/>
        <w:t>ной башни сразу перейти на выпуск танка в целом (11084).</w:t>
      </w:r>
    </w:p>
    <w:p w14:paraId="1EC0DDF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162AC3DD" w14:textId="77777777" w:rsidR="004C32AA" w:rsidRPr="008A2E5A" w:rsidRDefault="004C32AA" w:rsidP="004C32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С конца августа 1941 г. на Урале начала действовать комиссия Академии наук СССР. Главная задача, которая была поставлена перед комиссией, - изучение возможностей использования уральской экономики на нужды обороны. По итогам работы к ноябрю 1941 г. был подготовлен доклад, включивший в себя индустриальное положение региона по состоянию на осень 1941 года и перспективы развития на 1942 год следующих отраслей экономики: черная и цветная металлургия, производство огнеупоров, флюсов и стройматериалов, лесохимия, топливоснабжение, электроэнергетика, водное хозяйство, железнодорожный </w:t>
      </w:r>
      <w:r w:rsidRPr="008A2E5A">
        <w:rPr>
          <w:rFonts w:ascii="Times New Roman" w:hAnsi="Times New Roman"/>
          <w:color w:val="0070C0"/>
          <w:sz w:val="16"/>
          <w:szCs w:val="16"/>
        </w:rPr>
        <w:lastRenderedPageBreak/>
        <w:t>транспорт, сельское хозяйство. К сожалению, в доклад не вошли такие отрасли, как машиностроение, металлообработка, химическая промышленность в целом и резинотехническая в частности, автотранспорт и сеть автомобильных дорог и многое другое (23536).</w:t>
      </w:r>
    </w:p>
    <w:p w14:paraId="01A8B02F" w14:textId="77777777" w:rsidR="004C32AA" w:rsidRPr="008A2E5A" w:rsidRDefault="004C32AA" w:rsidP="004C32AA">
      <w:pPr>
        <w:spacing w:after="0" w:line="240" w:lineRule="auto"/>
        <w:jc w:val="both"/>
        <w:rPr>
          <w:rFonts w:ascii="Times New Roman" w:hAnsi="Times New Roman"/>
          <w:color w:val="0070C0"/>
          <w:sz w:val="16"/>
          <w:szCs w:val="16"/>
        </w:rPr>
      </w:pPr>
    </w:p>
    <w:p w14:paraId="680F88D8" w14:textId="77777777" w:rsidR="004C228B" w:rsidRPr="001E2C69" w:rsidRDefault="004C228B" w:rsidP="00722885">
      <w:pPr>
        <w:pStyle w:val="af"/>
        <w:spacing w:before="0" w:after="0"/>
        <w:jc w:val="both"/>
        <w:textAlignment w:val="baseline"/>
        <w:rPr>
          <w:color w:val="000000" w:themeColor="text1"/>
          <w:sz w:val="16"/>
          <w:szCs w:val="16"/>
        </w:rPr>
      </w:pPr>
      <w:r w:rsidRPr="001E2C69">
        <w:rPr>
          <w:color w:val="000000" w:themeColor="text1"/>
          <w:sz w:val="16"/>
          <w:szCs w:val="16"/>
        </w:rPr>
        <w:t>К концу августа 1942 активно шла переписка с Наркоматом внешней торговли, при этом в ГАБТУ КА работали реалисты, которые заранее уточняли вопрос о том, будут ли отправлять танки в зимней комплектации. К тому моменту в СССР уже поступила информация по M4A2. В отличие от Medium Tank M3, в переписке новую американскую машину называли исключительно «M4A2» (слово «Шерман» не использовалось ни в переписке, ни на фронте). Впрочем, имелось исключение: в мае 1943 года представитель британской военной миссии в СССР подполковник Тёрнер предлагал советской стороне поставлять танки «Шерман». Фактически речь шла о том, что англичане перепродавали те танки, что им поставили американцы. Чем закончилась эта история, до конца не ясно, но есть очень серьёзные подозрения, что среди M4A2, попавших в СССР, затесались и Sherman III. Танки песочного цвета точно попадались, да и явно «подержанные» M4A2 встречались и в переписке (19038).</w:t>
      </w:r>
    </w:p>
    <w:p w14:paraId="3701B0F1" w14:textId="77777777" w:rsidR="004C228B" w:rsidRPr="001E2C69" w:rsidRDefault="004C228B" w:rsidP="00722885">
      <w:pPr>
        <w:pStyle w:val="af"/>
        <w:spacing w:before="0" w:after="0"/>
        <w:jc w:val="both"/>
        <w:textAlignment w:val="baseline"/>
        <w:rPr>
          <w:color w:val="000000" w:themeColor="text1"/>
          <w:sz w:val="16"/>
          <w:szCs w:val="16"/>
        </w:rPr>
      </w:pPr>
    </w:p>
    <w:p w14:paraId="56EDEBA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конце августа 1942 станции РУС-2с "Пегматит" устанавливались на аэродромах и использовались для наведения истребителей (384,221).</w:t>
      </w:r>
    </w:p>
    <w:p w14:paraId="007691A2" w14:textId="77777777" w:rsidR="00AE7191" w:rsidRPr="001E2C69" w:rsidRDefault="00AE7191" w:rsidP="00722885">
      <w:pPr>
        <w:pStyle w:val="Iauiue"/>
        <w:jc w:val="both"/>
        <w:rPr>
          <w:color w:val="000000" w:themeColor="text1"/>
          <w:sz w:val="16"/>
          <w:szCs w:val="16"/>
        </w:rPr>
      </w:pPr>
    </w:p>
    <w:p w14:paraId="5FBDA228"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0902BC1E" w14:textId="77777777" w:rsidR="00AE7191" w:rsidRPr="001E2C69" w:rsidRDefault="00AE7191" w:rsidP="00722885">
      <w:pPr>
        <w:pStyle w:val="Iauiue"/>
        <w:jc w:val="both"/>
        <w:rPr>
          <w:iCs/>
          <w:color w:val="000000" w:themeColor="text1"/>
          <w:sz w:val="16"/>
          <w:szCs w:val="16"/>
        </w:rPr>
      </w:pPr>
    </w:p>
    <w:p w14:paraId="48F772D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концу августа 1942 были разработаны предложения по повы</w:t>
      </w:r>
      <w:r w:rsidRPr="001E2C69">
        <w:rPr>
          <w:rFonts w:ascii="Times New Roman" w:hAnsi="Times New Roman"/>
          <w:color w:val="000000" w:themeColor="text1"/>
          <w:sz w:val="16"/>
          <w:szCs w:val="16"/>
        </w:rPr>
        <w:softHyphen/>
        <w:t>шению «эффективности средств ВВС КА в борьбе с танковы</w:t>
      </w:r>
      <w:r w:rsidRPr="001E2C69">
        <w:rPr>
          <w:rFonts w:ascii="Times New Roman" w:hAnsi="Times New Roman"/>
          <w:color w:val="000000" w:themeColor="text1"/>
          <w:sz w:val="16"/>
          <w:szCs w:val="16"/>
        </w:rPr>
        <w:softHyphen/>
        <w:t>ми частями противника».</w:t>
      </w:r>
    </w:p>
    <w:p w14:paraId="57FD4E7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Офицеры штаба ВВС считали необходимым «запретить ата</w:t>
      </w:r>
      <w:r w:rsidRPr="001E2C69">
        <w:rPr>
          <w:rFonts w:ascii="Times New Roman" w:hAnsi="Times New Roman"/>
          <w:color w:val="000000" w:themeColor="text1"/>
          <w:sz w:val="16"/>
          <w:szCs w:val="16"/>
        </w:rPr>
        <w:softHyphen/>
        <w:t>ки танков самолетами, вооруженными БС, пушками ШВАК, а также применение осколочно-фугасных бомб калибра менее 100 кг».</w:t>
      </w:r>
    </w:p>
    <w:p w14:paraId="2BB7F31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борьбы с бронетехникой предлагалось сформировать противотанковую авиадивизию, вооруженную самолетами с 37-мм и 23-мм пушками, укомплектовав ее хорошо подготов</w:t>
      </w:r>
      <w:r w:rsidRPr="001E2C69">
        <w:rPr>
          <w:rFonts w:ascii="Times New Roman" w:hAnsi="Times New Roman"/>
          <w:color w:val="000000" w:themeColor="text1"/>
          <w:sz w:val="16"/>
          <w:szCs w:val="16"/>
        </w:rPr>
        <w:softHyphen/>
        <w:t>ленными для выполнения этой задачи летчиками и команди</w:t>
      </w:r>
      <w:r w:rsidRPr="001E2C69">
        <w:rPr>
          <w:rFonts w:ascii="Times New Roman" w:hAnsi="Times New Roman"/>
          <w:color w:val="000000" w:themeColor="text1"/>
          <w:sz w:val="16"/>
          <w:szCs w:val="16"/>
        </w:rPr>
        <w:softHyphen/>
        <w:t>рами.</w:t>
      </w:r>
    </w:p>
    <w:p w14:paraId="4AF5744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Привлекать противотанковую авиадивизию к выполнению каких-либо иных задач, кроме борьбы с танками, запрещалось категорически.</w:t>
      </w:r>
    </w:p>
    <w:p w14:paraId="45798C3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Кроме этого, начальник Оперативного управления штаба ВВС КА генерал-майор Н.А. Журавлев потребовал срочно ор</w:t>
      </w:r>
      <w:r w:rsidRPr="001E2C69">
        <w:rPr>
          <w:rFonts w:ascii="Times New Roman" w:hAnsi="Times New Roman"/>
          <w:color w:val="000000" w:themeColor="text1"/>
          <w:sz w:val="16"/>
          <w:szCs w:val="16"/>
        </w:rPr>
        <w:softHyphen/>
        <w:t>ганизовать опытные работы по созданию новых авиационных средств поражения для борьбы с танками. В частности, предлагалось повысить эффективность действия снарядов пушек калибров 23 мм и 37 мм, увеличить у авиационных пушек на</w:t>
      </w:r>
      <w:r w:rsidRPr="001E2C69">
        <w:rPr>
          <w:rFonts w:ascii="Times New Roman" w:hAnsi="Times New Roman"/>
          <w:color w:val="000000" w:themeColor="text1"/>
          <w:sz w:val="16"/>
          <w:szCs w:val="16"/>
        </w:rPr>
        <w:softHyphen/>
        <w:t>чальную скорость полета снаряда до 1300—1400 м/с, а также изыскать «новые надежно действующие зажигательные средст</w:t>
      </w:r>
      <w:r w:rsidRPr="001E2C69">
        <w:rPr>
          <w:rFonts w:ascii="Times New Roman" w:hAnsi="Times New Roman"/>
          <w:color w:val="000000" w:themeColor="text1"/>
          <w:sz w:val="16"/>
          <w:szCs w:val="16"/>
        </w:rPr>
        <w:softHyphen/>
        <w:t>ва и новые методы их широкого и эффективного применения по танкам».</w:t>
      </w:r>
    </w:p>
    <w:p w14:paraId="6306344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Было решено вооружить Ил-2 пушками калибра 37 мм, «даже за счет вооруженного такой же пушкой ЛаГГ-3, так как последний без брони будет нести большие потери от средств ПВО противника», снять ракетные орудия РО-82, установив вместо них РО-132, и запустить в массовое производство двух</w:t>
      </w:r>
      <w:r w:rsidRPr="001E2C69">
        <w:rPr>
          <w:rFonts w:ascii="Times New Roman" w:hAnsi="Times New Roman"/>
          <w:color w:val="000000" w:themeColor="text1"/>
          <w:sz w:val="16"/>
          <w:szCs w:val="16"/>
        </w:rPr>
        <w:softHyphen/>
        <w:t>местный вариант самолета. При этом с началом серийного вы</w:t>
      </w:r>
      <w:r w:rsidRPr="001E2C69">
        <w:rPr>
          <w:rFonts w:ascii="Times New Roman" w:hAnsi="Times New Roman"/>
          <w:color w:val="000000" w:themeColor="text1"/>
          <w:sz w:val="16"/>
          <w:szCs w:val="16"/>
        </w:rPr>
        <w:softHyphen/>
        <w:t>пуска противотанковых самолетов Ил-2 сформировать на их основе специальные «штурмовые авиадивизии истребления танков, прикрыв их [самолетами] ЛаГГ-3, вооруженными так</w:t>
      </w:r>
      <w:r w:rsidRPr="001E2C69">
        <w:rPr>
          <w:rFonts w:ascii="Times New Roman" w:hAnsi="Times New Roman"/>
          <w:color w:val="000000" w:themeColor="text1"/>
          <w:sz w:val="16"/>
          <w:szCs w:val="16"/>
        </w:rPr>
        <w:softHyphen/>
        <w:t>же 37-мм пушками».</w:t>
      </w:r>
    </w:p>
    <w:p w14:paraId="0010C7D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тех пор, пока не будет отработано противотанковое воо</w:t>
      </w:r>
      <w:r w:rsidRPr="001E2C69">
        <w:rPr>
          <w:rFonts w:ascii="Times New Roman" w:hAnsi="Times New Roman"/>
          <w:color w:val="000000" w:themeColor="text1"/>
          <w:sz w:val="16"/>
          <w:szCs w:val="16"/>
        </w:rPr>
        <w:softHyphen/>
        <w:t>ружение штурмовиков, «основной задачей авиации в борьбе с танковыми частями противника считать уничтожение мотори</w:t>
      </w:r>
      <w:r w:rsidRPr="001E2C69">
        <w:rPr>
          <w:rFonts w:ascii="Times New Roman" w:hAnsi="Times New Roman"/>
          <w:color w:val="000000" w:themeColor="text1"/>
          <w:sz w:val="16"/>
          <w:szCs w:val="16"/>
        </w:rPr>
        <w:softHyphen/>
        <w:t>зованных частей, артиллерии и средств обеспечения (транс</w:t>
      </w:r>
      <w:r w:rsidRPr="001E2C69">
        <w:rPr>
          <w:rFonts w:ascii="Times New Roman" w:hAnsi="Times New Roman"/>
          <w:color w:val="000000" w:themeColor="text1"/>
          <w:sz w:val="16"/>
          <w:szCs w:val="16"/>
        </w:rPr>
        <w:softHyphen/>
        <w:t>портеры и бензоцистерны)».</w:t>
      </w:r>
    </w:p>
    <w:p w14:paraId="1ECF252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Командующий ВВС КА генерал-лейтенант А.А. Новиков в целом согласился со всеми предложениями своего штаба, за</w:t>
      </w:r>
      <w:r w:rsidRPr="001E2C69">
        <w:rPr>
          <w:rFonts w:ascii="Times New Roman" w:hAnsi="Times New Roman"/>
          <w:color w:val="000000" w:themeColor="text1"/>
          <w:sz w:val="16"/>
          <w:szCs w:val="16"/>
        </w:rPr>
        <w:softHyphen/>
        <w:t>метив, однако, что вопрос о формировании противотанковых штурмовых авиадивизий необходимо «проработать и обсудить на Военном совете».</w:t>
      </w:r>
    </w:p>
    <w:p w14:paraId="0BD001F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этому времени в серийное производство уже начал вне</w:t>
      </w:r>
      <w:r w:rsidRPr="001E2C69">
        <w:rPr>
          <w:rFonts w:ascii="Times New Roman" w:hAnsi="Times New Roman"/>
          <w:color w:val="000000" w:themeColor="text1"/>
          <w:sz w:val="16"/>
          <w:szCs w:val="16"/>
        </w:rPr>
        <w:softHyphen/>
        <w:t>дряться двухместный вариант Ил-2. В связи с ухудшением лет</w:t>
      </w:r>
      <w:r w:rsidRPr="001E2C69">
        <w:rPr>
          <w:rFonts w:ascii="Times New Roman" w:hAnsi="Times New Roman"/>
          <w:color w:val="000000" w:themeColor="text1"/>
          <w:sz w:val="16"/>
          <w:szCs w:val="16"/>
        </w:rPr>
        <w:softHyphen/>
        <w:t>ных данных самолета вопрос об установке восьми РО-132 от</w:t>
      </w:r>
      <w:r w:rsidRPr="001E2C69">
        <w:rPr>
          <w:rFonts w:ascii="Times New Roman" w:hAnsi="Times New Roman"/>
          <w:color w:val="000000" w:themeColor="text1"/>
          <w:sz w:val="16"/>
          <w:szCs w:val="16"/>
        </w:rPr>
        <w:softHyphen/>
        <w:t>пал. Наоборот, ракетное вооружение Ил-2 сокращалось до че</w:t>
      </w:r>
      <w:r w:rsidRPr="001E2C69">
        <w:rPr>
          <w:rFonts w:ascii="Times New Roman" w:hAnsi="Times New Roman"/>
          <w:color w:val="000000" w:themeColor="text1"/>
          <w:sz w:val="16"/>
          <w:szCs w:val="16"/>
        </w:rPr>
        <w:softHyphen/>
        <w:t>тырех РО-82.</w:t>
      </w:r>
    </w:p>
    <w:p w14:paraId="45E715F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Одновременно от наркомов авиапромышленности и воору</w:t>
      </w:r>
      <w:r w:rsidRPr="001E2C69">
        <w:rPr>
          <w:rFonts w:ascii="Times New Roman" w:hAnsi="Times New Roman"/>
          <w:color w:val="000000" w:themeColor="text1"/>
          <w:sz w:val="16"/>
          <w:szCs w:val="16"/>
        </w:rPr>
        <w:softHyphen/>
        <w:t>жения потребовали скорейшего завершения работ по построй</w:t>
      </w:r>
      <w:r w:rsidRPr="001E2C69">
        <w:rPr>
          <w:rFonts w:ascii="Times New Roman" w:hAnsi="Times New Roman"/>
          <w:color w:val="000000" w:themeColor="text1"/>
          <w:sz w:val="16"/>
          <w:szCs w:val="16"/>
        </w:rPr>
        <w:softHyphen/>
        <w:t>ке войсковой серии самолетов Ил-2, вооруженных пушками ШФК-37, согласно Постановлению ГОКО от 26 ноября 1941 г. (11474,329).</w:t>
      </w:r>
    </w:p>
    <w:p w14:paraId="4D42DDB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1941147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концу августа 1941 были разработаны предложения по повышению "эффективности средств ВВС КА в борьбе с танковыми частями противника".</w:t>
      </w:r>
    </w:p>
    <w:p w14:paraId="70BB08A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Офицеры штаба ВВС считали необходимым "запретить атаки танков самолетами, вооруженных БС, пушками ШВАК, а также применение осколочно-фугасных бомб калибра менее 100 кг".</w:t>
      </w:r>
    </w:p>
    <w:p w14:paraId="5247A5F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борьбы с бронетехникой предлагалось сформировать противотанковую авиадивизию, вооруженную самолетами с 37-мм и 23-мм пушками, укомплектовав ее хорошо подготовленными для выполнения этой задачи летчиками и командирами.</w:t>
      </w:r>
    </w:p>
    <w:p w14:paraId="21B6D0A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Кроме этого, требовалось ускорить опытные работы по новым авиационным средствам поражения для борьбы с танками.</w:t>
      </w:r>
    </w:p>
    <w:p w14:paraId="7D70051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Было решено срочно наладить выпуск противотанковых Ил-2 с пушками калибра 37 мм и восемью РО-132 и сформировать на их основе специальные "штурмовые авиадивизии истребления танков, прикрыв их ЛаГГ-3, вооруженных также 37-мм пушками".</w:t>
      </w:r>
    </w:p>
    <w:p w14:paraId="4D801C7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До тех пор, пока не будет отработано противотанковое вооружение Ил-2, "основной задачей ...в борьбе с танковыми частями противника считать уничтожение моторизованных частей, артиллерии и средств обеспечения (транспортеры и бензоцистерны)".</w:t>
      </w:r>
    </w:p>
    <w:p w14:paraId="46D01A3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Особенно интересным представлялось применение штурмовиками бронебойных (РБС-82, РБС-132) и осколочно-фугасных (РОФС-132) снарядов, которые имели лучшие показатели рассеивания и значительно превосходили осколочные РС-82 и PC-132 по бронепробиваемости. Боевые заряды РБС-82 и РБС-132 обеспечивали пробитие 50-мм и 75-мм танковой брони, соответственно, а осколки РОФС-132 при разрыве снаряда вблизи танка пробивали броню толщиной до 15 мм.</w:t>
      </w:r>
    </w:p>
    <w:p w14:paraId="388A201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Вполне успешным было применение ампул АЖ-2 с самовоспламеняющейся жидкостью КС. При попадании на танк ампула разрушалась, жидкость КС прилипала к броне, залепляла смотровые щели и приборы наблюдения и вызывала пожар такой силы, что потушить его было невозможно - все, что находилось внутри танка, выжигалось. При этом любой "горевший танк является безвозвратной потерей". Это обстоятельство являлось весьма важным преимуществом АЖ-2 перед другими средствами поражения танков. В случае массового сброса АЖ-2 (в кассеты мелких бомб Ил-2 вмещалось 216 ампул) получалась вполне приемлемая вероятность поражения целей. Однако действие АЖ-2 находилось в сильной зависимости от погодных условий и наличия легковоспламеняющихся материалов в районе целей. </w:t>
      </w:r>
    </w:p>
    <w:p w14:paraId="25FE257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Из всех типов авиабомб лучшие результаты при действии по танкам показывали 100-кг фугаски, осколки которых пробивали броню толщиной до 30 мм при подрыве на расстоянии 1-5 м от танка. Кроме этого, от взрывной волны разрушались заклепочные и сварные швы танков.</w:t>
      </w:r>
    </w:p>
    <w:p w14:paraId="21EF290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Фугасные бомбы калибра 50 кг и осколочные калибра 25 кг обеспечивали поражение осколками танковой брони толщиной 15-20 мм лишь при разрыве в непосредственной близости от танка или при прямом попадании.</w:t>
      </w:r>
    </w:p>
    <w:p w14:paraId="6F05EE9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Однако вероятность попадания бомбы в танк даже с небольшой высоты была невысокой, особенно в условиях боя, когда цели рассредоточивались, как правило, хорошо маскировались, в силу чего трудно обнаруживались с воздуха.</w:t>
      </w:r>
    </w:p>
    <w:p w14:paraId="519F437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основе боевого опыта первого периода войны Оперативное управление штаба ВВС КА в ориентировочных расчетах боевых возможностей Ил-2 указывало, что для выведения из строя одного легкого танка необходимо выделять 4-5 Ил-2, а одного среднего танка - 12-15 Ил-2. Очевидно, такой результат нельзя признать отвечающим требованиям войны (12020).</w:t>
      </w:r>
    </w:p>
    <w:p w14:paraId="65ECFF6E"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01003D0" w14:textId="77777777" w:rsidR="00706739" w:rsidRPr="001E2C69" w:rsidRDefault="00706739"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К концу августа 1942 г., основываясь на материалах отчетов НИП АВ и 2-го отдела Оперативного управления штаба ВВС, специалисты штаба разра</w:t>
      </w:r>
      <w:r w:rsidRPr="001E2C69">
        <w:rPr>
          <w:color w:val="000000" w:themeColor="text1"/>
          <w:sz w:val="16"/>
          <w:szCs w:val="16"/>
        </w:rPr>
        <w:softHyphen/>
        <w:t>ботали специальные указания по использованию авиации против немецких танков, а также предло</w:t>
      </w:r>
      <w:r w:rsidRPr="001E2C69">
        <w:rPr>
          <w:color w:val="000000" w:themeColor="text1"/>
          <w:sz w:val="16"/>
          <w:szCs w:val="16"/>
        </w:rPr>
        <w:softHyphen/>
        <w:t>жения по повышению «эффективности средств ВВС КА в борьбе с танковыми частями противника».</w:t>
      </w:r>
    </w:p>
    <w:p w14:paraId="116F2F23" w14:textId="77777777" w:rsidR="00706739" w:rsidRPr="001E2C69" w:rsidRDefault="00706739"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Офицеры Оперативного управления штаба ВВС считали необходимым «дать указания командую</w:t>
      </w:r>
      <w:r w:rsidRPr="001E2C69">
        <w:rPr>
          <w:color w:val="000000" w:themeColor="text1"/>
          <w:sz w:val="16"/>
          <w:szCs w:val="16"/>
        </w:rPr>
        <w:softHyphen/>
        <w:t>щим фронтами и командующим воздушными арми</w:t>
      </w:r>
      <w:r w:rsidRPr="001E2C69">
        <w:rPr>
          <w:color w:val="000000" w:themeColor="text1"/>
          <w:sz w:val="16"/>
          <w:szCs w:val="16"/>
        </w:rPr>
        <w:softHyphen/>
        <w:t>ями, что основными целями авиации при действии по танковым соединениям во всех видах боя и опе рации должны быть не танки, а мо</w:t>
      </w:r>
      <w:r w:rsidRPr="001E2C69">
        <w:rPr>
          <w:color w:val="000000" w:themeColor="text1"/>
          <w:sz w:val="16"/>
          <w:szCs w:val="16"/>
        </w:rPr>
        <w:softHyphen/>
        <w:t>торизованные войска и средства обеспечения танков».</w:t>
      </w:r>
    </w:p>
    <w:p w14:paraId="71700CC1" w14:textId="77777777" w:rsidR="00706739" w:rsidRPr="001E2C69" w:rsidRDefault="00706739"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Кроме этого, требовалось «за</w:t>
      </w:r>
      <w:r w:rsidRPr="001E2C69">
        <w:rPr>
          <w:color w:val="000000" w:themeColor="text1"/>
          <w:sz w:val="16"/>
          <w:szCs w:val="16"/>
        </w:rPr>
        <w:softHyphen/>
        <w:t>претить атаки танков самолетами, вооруженными БС, пушками ШВАК, а также применение осколочно-фу</w:t>
      </w:r>
      <w:r w:rsidRPr="001E2C69">
        <w:rPr>
          <w:color w:val="000000" w:themeColor="text1"/>
          <w:sz w:val="16"/>
          <w:szCs w:val="16"/>
        </w:rPr>
        <w:softHyphen/>
        <w:t>гасных бомб калибра менее 100 кг».</w:t>
      </w:r>
    </w:p>
    <w:p w14:paraId="72A64D68" w14:textId="77777777" w:rsidR="00706739" w:rsidRPr="001E2C69" w:rsidRDefault="00706739"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Для борьбы непосредственно с танками предлагалось сформиро</w:t>
      </w:r>
      <w:r w:rsidRPr="001E2C69">
        <w:rPr>
          <w:color w:val="000000" w:themeColor="text1"/>
          <w:sz w:val="16"/>
          <w:szCs w:val="16"/>
        </w:rPr>
        <w:softHyphen/>
        <w:t>вать специализированную авиади</w:t>
      </w:r>
      <w:r w:rsidRPr="001E2C69">
        <w:rPr>
          <w:color w:val="000000" w:themeColor="text1"/>
          <w:sz w:val="16"/>
          <w:szCs w:val="16"/>
        </w:rPr>
        <w:softHyphen/>
        <w:t>визию, вооруженную самолетами с 37-мм и 23-мм пушками, укомплектовав ее хоро</w:t>
      </w:r>
      <w:r w:rsidRPr="001E2C69">
        <w:rPr>
          <w:color w:val="000000" w:themeColor="text1"/>
          <w:sz w:val="16"/>
          <w:szCs w:val="16"/>
        </w:rPr>
        <w:softHyphen/>
        <w:t>шо подготовленными для выполнения этой задачи летчиками и командирами. Оснащенность диви</w:t>
      </w:r>
      <w:r w:rsidRPr="001E2C69">
        <w:rPr>
          <w:color w:val="000000" w:themeColor="text1"/>
          <w:sz w:val="16"/>
          <w:szCs w:val="16"/>
        </w:rPr>
        <w:softHyphen/>
        <w:t>зии средствами переброски и управления должна была обеспечивать быстрое перебазирование на угрожаемый участок фронта, организацию тесного взаимодействия с войсками и непрерывное управ</w:t>
      </w:r>
      <w:r w:rsidRPr="001E2C69">
        <w:rPr>
          <w:color w:val="000000" w:themeColor="text1"/>
          <w:sz w:val="16"/>
          <w:szCs w:val="16"/>
        </w:rPr>
        <w:softHyphen/>
        <w:t>ление самолетами, группами и частями в бою.</w:t>
      </w:r>
    </w:p>
    <w:p w14:paraId="70F49460" w14:textId="77777777" w:rsidR="00706739" w:rsidRPr="001E2C69" w:rsidRDefault="00706739"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качестве основного назначения такой диви</w:t>
      </w:r>
      <w:r w:rsidRPr="001E2C69">
        <w:rPr>
          <w:color w:val="000000" w:themeColor="text1"/>
          <w:sz w:val="16"/>
          <w:szCs w:val="16"/>
        </w:rPr>
        <w:softHyphen/>
        <w:t>зии указывалось уничтожение прорвавшихся тан</w:t>
      </w:r>
      <w:r w:rsidRPr="001E2C69">
        <w:rPr>
          <w:color w:val="000000" w:themeColor="text1"/>
          <w:sz w:val="16"/>
          <w:szCs w:val="16"/>
        </w:rPr>
        <w:softHyphen/>
        <w:t>ков. Считалось, что именно эти действия дадут наи</w:t>
      </w:r>
      <w:r w:rsidRPr="001E2C69">
        <w:rPr>
          <w:color w:val="000000" w:themeColor="text1"/>
          <w:sz w:val="16"/>
          <w:szCs w:val="16"/>
        </w:rPr>
        <w:softHyphen/>
        <w:t>больший эффект, «так как прорвавшиеся танки не имеют обычно надежных средств прикрытия с воз</w:t>
      </w:r>
      <w:r w:rsidRPr="001E2C69">
        <w:rPr>
          <w:color w:val="000000" w:themeColor="text1"/>
          <w:sz w:val="16"/>
          <w:szCs w:val="16"/>
        </w:rPr>
        <w:softHyphen/>
        <w:t>духа, поэтому наши самолеты могут атаковывать вражеские танки с предельно коротких дистанций, обеспечивающих их действительное поражение».</w:t>
      </w:r>
    </w:p>
    <w:p w14:paraId="71ED21FB" w14:textId="77777777" w:rsidR="00706739" w:rsidRPr="001E2C69" w:rsidRDefault="00706739"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Необходимость формирования дивизии объ</w:t>
      </w:r>
      <w:r w:rsidRPr="001E2C69">
        <w:rPr>
          <w:color w:val="000000" w:themeColor="text1"/>
          <w:sz w:val="16"/>
          <w:szCs w:val="16"/>
        </w:rPr>
        <w:softHyphen/>
        <w:t>яснялась еще и тем обстоятельством, что у назем</w:t>
      </w:r>
      <w:r w:rsidRPr="001E2C69">
        <w:rPr>
          <w:color w:val="000000" w:themeColor="text1"/>
          <w:sz w:val="16"/>
          <w:szCs w:val="16"/>
        </w:rPr>
        <w:softHyphen/>
        <w:t>ных войск, расположенных в глубине обороны, в большинстве случаев не имелось в достаточном количестве противотанковых средств. При этом выдвижение противотанковых резервов и огневых средств из тыла и с других направлений требовало значительного времени. В то же время переброска противотанковой авиадивизии в район прорыва выполнялась очень быстро.</w:t>
      </w:r>
    </w:p>
    <w:p w14:paraId="313D84CF" w14:textId="77777777" w:rsidR="00706739" w:rsidRPr="001E2C69" w:rsidRDefault="00706739"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lastRenderedPageBreak/>
        <w:t>Наносить удары по танкам, когда они сильно прикрыты зенитными средствами и истребительной авиацией, считалось нецелесообразным: «...кроме неоправданных потерь, это ничего не даст».</w:t>
      </w:r>
    </w:p>
    <w:p w14:paraId="201CBEF6" w14:textId="77777777" w:rsidR="00706739" w:rsidRPr="001E2C69" w:rsidRDefault="00706739"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Привлекать противотанковую авиадивизию к выполнению каких-либо иных задач, кроме борь</w:t>
      </w:r>
      <w:r w:rsidRPr="001E2C69">
        <w:rPr>
          <w:color w:val="000000" w:themeColor="text1"/>
          <w:sz w:val="16"/>
          <w:szCs w:val="16"/>
        </w:rPr>
        <w:softHyphen/>
        <w:t>бы с танками, запрещалось категорически.</w:t>
      </w:r>
    </w:p>
    <w:p w14:paraId="09D69AF8" w14:textId="77777777" w:rsidR="00706739" w:rsidRPr="001E2C69" w:rsidRDefault="00706739"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Кроме этого, начальник Оперативного управ</w:t>
      </w:r>
      <w:r w:rsidRPr="001E2C69">
        <w:rPr>
          <w:color w:val="000000" w:themeColor="text1"/>
          <w:sz w:val="16"/>
          <w:szCs w:val="16"/>
        </w:rPr>
        <w:softHyphen/>
        <w:t>ления штаба ВВС КА генерал-майор Н. А. Журавлев потребовал срочно организовать опытные работы по созданию новых авиационных средств пора</w:t>
      </w:r>
      <w:r w:rsidRPr="001E2C69">
        <w:rPr>
          <w:color w:val="000000" w:themeColor="text1"/>
          <w:sz w:val="16"/>
          <w:szCs w:val="16"/>
        </w:rPr>
        <w:softHyphen/>
        <w:t>жения для борьбы с танками. В частности, пред</w:t>
      </w:r>
      <w:r w:rsidRPr="001E2C69">
        <w:rPr>
          <w:color w:val="000000" w:themeColor="text1"/>
          <w:sz w:val="16"/>
          <w:szCs w:val="16"/>
        </w:rPr>
        <w:softHyphen/>
        <w:t>лагалось повысить эффективность действия сна</w:t>
      </w:r>
      <w:r w:rsidRPr="001E2C69">
        <w:rPr>
          <w:color w:val="000000" w:themeColor="text1"/>
          <w:sz w:val="16"/>
          <w:szCs w:val="16"/>
        </w:rPr>
        <w:softHyphen/>
        <w:t>рядов калибра 23 и 37 мм, увеличить у авиацион</w:t>
      </w:r>
      <w:r w:rsidRPr="001E2C69">
        <w:rPr>
          <w:color w:val="000000" w:themeColor="text1"/>
          <w:sz w:val="16"/>
          <w:szCs w:val="16"/>
        </w:rPr>
        <w:softHyphen/>
        <w:t>ных пушек начальную скорость полета снаряда до 1300—1400 м/с, а также изыскать «новые, надежно действующие зажигательные средства и новые ме</w:t>
      </w:r>
      <w:r w:rsidRPr="001E2C69">
        <w:rPr>
          <w:color w:val="000000" w:themeColor="text1"/>
          <w:sz w:val="16"/>
          <w:szCs w:val="16"/>
        </w:rPr>
        <w:softHyphen/>
        <w:t>тоды их широкого и эффективного применения по танкам».</w:t>
      </w:r>
    </w:p>
    <w:p w14:paraId="0903C708" w14:textId="77777777" w:rsidR="00706739" w:rsidRPr="001E2C69" w:rsidRDefault="00706739"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Обращалось внимание на высокие бронепро- бивные свойства пуль со стальным сердечником (Б-32) и с твердосплавным металлокерамическим сердечником из карбида вольфрама (БС-41) от 14,5-мм противотанкового ружья. Справедливо считалось, что пониженная сила отдачи пушки не</w:t>
      </w:r>
      <w:r w:rsidRPr="001E2C69">
        <w:rPr>
          <w:color w:val="000000" w:themeColor="text1"/>
          <w:sz w:val="16"/>
          <w:szCs w:val="16"/>
        </w:rPr>
        <w:softHyphen/>
        <w:t>большого калибра позволит получить невысокое рассеивание при стрельбе в воздухе, в том числе и при установке такой пушки в крыле самолета Ил-2, а значит, обеспечить высокую вероятность поражения бронетехники.</w:t>
      </w:r>
    </w:p>
    <w:p w14:paraId="70F73474" w14:textId="77777777" w:rsidR="00706739" w:rsidRPr="001E2C69" w:rsidRDefault="00706739"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Было решено вооружить Ил-2 пушками калибра 37 мм, «даже за счет вооруженного такой же пуш</w:t>
      </w:r>
      <w:r w:rsidRPr="001E2C69">
        <w:rPr>
          <w:color w:val="000000" w:themeColor="text1"/>
          <w:sz w:val="16"/>
          <w:szCs w:val="16"/>
        </w:rPr>
        <w:softHyphen/>
        <w:t>кой ЛаГГ-3, так как последний без брони будет не</w:t>
      </w:r>
      <w:r w:rsidRPr="001E2C69">
        <w:rPr>
          <w:color w:val="000000" w:themeColor="text1"/>
          <w:sz w:val="16"/>
          <w:szCs w:val="16"/>
        </w:rPr>
        <w:softHyphen/>
        <w:t>сти большие потери от средств ПВО противника», снять ракетные орудия РО-82, установив вместо них РО-132, и запустить в массовое производство двух</w:t>
      </w:r>
      <w:r w:rsidRPr="001E2C69">
        <w:rPr>
          <w:color w:val="000000" w:themeColor="text1"/>
          <w:sz w:val="16"/>
          <w:szCs w:val="16"/>
        </w:rPr>
        <w:softHyphen/>
        <w:t>местный вариант самолета. При этом с началом се</w:t>
      </w:r>
      <w:r w:rsidRPr="001E2C69">
        <w:rPr>
          <w:color w:val="000000" w:themeColor="text1"/>
          <w:sz w:val="16"/>
          <w:szCs w:val="16"/>
        </w:rPr>
        <w:softHyphen/>
        <w:t>рийного выпуска противотанковых самолетов Ил-2 сформировать на их основе специальные «штурмо</w:t>
      </w:r>
      <w:r w:rsidRPr="001E2C69">
        <w:rPr>
          <w:color w:val="000000" w:themeColor="text1"/>
          <w:sz w:val="16"/>
          <w:szCs w:val="16"/>
        </w:rPr>
        <w:softHyphen/>
        <w:t>вые авиадивизии истребления танков, прикрыв их ЛаГГ-3, вооруженных также 37-мм пушками».</w:t>
      </w:r>
    </w:p>
    <w:p w14:paraId="56A428F8" w14:textId="77777777" w:rsidR="00706739" w:rsidRPr="001E2C69" w:rsidRDefault="00706739"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До тех пор, пока не будет отработано противо</w:t>
      </w:r>
      <w:r w:rsidRPr="001E2C69">
        <w:rPr>
          <w:color w:val="000000" w:themeColor="text1"/>
          <w:sz w:val="16"/>
          <w:szCs w:val="16"/>
        </w:rPr>
        <w:softHyphen/>
        <w:t>танковое вооружение штурмовиков, «основной задачей авиации в борьбе с танковыми частями противника считать уничтожение моторизованных частей, артиллерии и средств обеспечения (транс</w:t>
      </w:r>
      <w:r w:rsidRPr="001E2C69">
        <w:rPr>
          <w:color w:val="000000" w:themeColor="text1"/>
          <w:sz w:val="16"/>
          <w:szCs w:val="16"/>
        </w:rPr>
        <w:softHyphen/>
        <w:t>портеры и бензоцистерны)».</w:t>
      </w:r>
    </w:p>
    <w:p w14:paraId="72C4A269" w14:textId="77777777" w:rsidR="00706739" w:rsidRPr="001E2C69" w:rsidRDefault="00706739"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Командующий ВВС КА генерал-лейтенант А. А. Новиков в целом согласился со всеми предло</w:t>
      </w:r>
      <w:r w:rsidRPr="001E2C69">
        <w:rPr>
          <w:color w:val="000000" w:themeColor="text1"/>
          <w:sz w:val="16"/>
          <w:szCs w:val="16"/>
        </w:rPr>
        <w:softHyphen/>
        <w:t>жениями своего штаба, заметив, однако, что вопрос о формировании противотанковых штурмовых ави</w:t>
      </w:r>
      <w:r w:rsidRPr="001E2C69">
        <w:rPr>
          <w:color w:val="000000" w:themeColor="text1"/>
          <w:sz w:val="16"/>
          <w:szCs w:val="16"/>
        </w:rPr>
        <w:softHyphen/>
        <w:t>адивизий необходимо «проработать и обсудить на Военном совете» (17500).</w:t>
      </w:r>
    </w:p>
    <w:p w14:paraId="7C977AB2" w14:textId="77777777" w:rsidR="00706739" w:rsidRPr="001E2C69" w:rsidRDefault="00706739" w:rsidP="00722885">
      <w:pPr>
        <w:spacing w:after="0" w:line="240" w:lineRule="auto"/>
        <w:jc w:val="both"/>
        <w:rPr>
          <w:rFonts w:ascii="Times New Roman" w:hAnsi="Times New Roman"/>
          <w:color w:val="000000" w:themeColor="text1"/>
          <w:sz w:val="16"/>
          <w:szCs w:val="16"/>
        </w:rPr>
      </w:pPr>
    </w:p>
    <w:p w14:paraId="5A4AF5E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конце августа 1943 года разведывательные полеты Ju 86R над Москвой прекратились, но актуальность проблемы не исчезла. Поэтому работы по созданию высотного перехватчика в ОКБ-115 пошли по двум направлениям, причем ставка делалась на базовый истребитель Як-3.</w:t>
      </w:r>
    </w:p>
    <w:p w14:paraId="08C76BE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Первым направлением повышения высотности самолета стало оснащение его высотным двигателем, а второе, позволявшее значительно поднять потолок и скорость, - оснащение машины ускорителем с жидкостно-реактивным двигателем (12047).</w:t>
      </w:r>
    </w:p>
    <w:p w14:paraId="6583CC2B"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C3C778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конце августа 1942 244-ю дивизию, которую кое-как оснастили техникой и в которой насчитывалось всего 20 Б-3, направили в 4-ю воздушную армию на Закавказский фронт (3457,101).</w:t>
      </w:r>
    </w:p>
    <w:p w14:paraId="06C10FDE" w14:textId="77777777" w:rsidR="00AE7191" w:rsidRPr="001E2C69" w:rsidRDefault="00AE7191" w:rsidP="00722885">
      <w:pPr>
        <w:pStyle w:val="Iauiue"/>
        <w:jc w:val="both"/>
        <w:rPr>
          <w:color w:val="000000" w:themeColor="text1"/>
          <w:sz w:val="16"/>
          <w:szCs w:val="16"/>
        </w:rPr>
      </w:pPr>
    </w:p>
    <w:p w14:paraId="378A6B2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конца августа 1942 авиагруппа м П.Евдокимова в составе двух отрядов перелетевная на МБР-2 из Баку в устье Волги у Астрахани два с лишним месяца бомбо-штурмовыми ударами сдерживала наступление немцев в доль ш Элиста - Астрахань, летая с водного аэродрома. При установлении льда перелетели назад в Баку (7424, 12).</w:t>
      </w:r>
    </w:p>
    <w:p w14:paraId="543C7C4C" w14:textId="77777777" w:rsidR="00AE7191" w:rsidRPr="001E2C69" w:rsidRDefault="00AE7191" w:rsidP="00722885">
      <w:pPr>
        <w:pStyle w:val="Iauiue"/>
        <w:jc w:val="both"/>
        <w:rPr>
          <w:color w:val="000000" w:themeColor="text1"/>
          <w:sz w:val="16"/>
          <w:szCs w:val="16"/>
        </w:rPr>
      </w:pPr>
    </w:p>
    <w:p w14:paraId="66A6A960" w14:textId="77777777" w:rsidR="004C32AA" w:rsidRPr="001E2C69" w:rsidRDefault="004C32AA" w:rsidP="004C32AA">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22BCC190" w14:textId="77777777" w:rsidR="004C32AA" w:rsidRPr="001E2C69" w:rsidRDefault="004C32AA" w:rsidP="004C32AA">
      <w:pPr>
        <w:pStyle w:val="Iauiue"/>
        <w:jc w:val="both"/>
        <w:rPr>
          <w:iCs/>
          <w:color w:val="000000" w:themeColor="text1"/>
          <w:sz w:val="16"/>
          <w:szCs w:val="16"/>
        </w:rPr>
      </w:pPr>
    </w:p>
    <w:p w14:paraId="73FDFFBF" w14:textId="77777777" w:rsidR="004C32AA" w:rsidRPr="008A2E5A" w:rsidRDefault="004C32AA" w:rsidP="004C32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августа - начале сентября 1942 г. в ЦНИИ-48 было проведено исследование</w:t>
      </w:r>
    </w:p>
    <w:p w14:paraId="724943A3" w14:textId="77777777" w:rsidR="004C32AA" w:rsidRPr="008A2E5A" w:rsidRDefault="004C32AA" w:rsidP="004C32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исследованные машины проделали длинный временной путь от изготовления до попадания на ремонтные базы. Следовательно, они, скорее всего, были изготовлены не позднее первой половины 1942 г. А значит, мы вполне можем использовать данные исследования института для иллюстрации качества боевой техники, изготавливаемой на восточных заводах НКТП. По данным ЦНИИ-48, 35 % всех танков Т-34 в летних боях были потеряны (вышли из строя) без пробития бронезащиты, при этом основная часть неисправностей пришлась на поломки двигателя[491]. Эта цифра предельно важна для понимания процессов, проходивших на предприятиях танковой промышленности. Она означает, что более трети всех танков просто-напросто сломались в силу различных причин, а не были уничтожены противником. Конечно, некоторую часть поломок можно списать на неопытность экипажей. Мы предполагаем и такое (это тема отдельного исследования). Но в любом случае такой большой процент потерь по техническим причинам мог означать только одно - боевые машины, выпускаемые восточными танковыми заводами, были настолько низкого качества, что зачастую не могли доехать до поля боя.</w:t>
      </w:r>
    </w:p>
    <w:p w14:paraId="7FB4AACA" w14:textId="77777777" w:rsidR="004C32AA" w:rsidRPr="008A2E5A" w:rsidRDefault="004C32AA" w:rsidP="004C32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этом мы далеки от переоценки значения трещино-образования на корпусах Т-34. Как показало исследование ЦНИИ-48, качество брони в целом было «удовлетворительного» состояния. Трещины на броне среднего танка, безусловно, не делали его беззащитным. Однако они резко увеличивали вероятность пробивания брони, если снаряд попадал непосредственно в трещину либо в область, примыкающую к ней. Этот факт отчасти подтверждают статистические данные исследования. Большая часть случаев пробивания корпуса пришлась на вертикальный борт и подкрылки (наклонные верхние боковые листы): из всех попаданий в лобовую деталь танка только 18 % были опасными, в вертикальные бортовые детали и подкрылки - 67,6 % и 28,6 % соответственно. Причем не крупными калибрами (88 мм и более), а средним калибром 50 мм, и даже допускались малые - 20 и 37 мм (либо это были подкалиберные снаряды) [492].</w:t>
      </w:r>
    </w:p>
    <w:p w14:paraId="5108FAD9" w14:textId="77777777" w:rsidR="004C32AA" w:rsidRPr="008A2E5A" w:rsidRDefault="004C32AA" w:rsidP="004C32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Исходя из полученных данных, ЦНИИ-48 вполне обоснованно посчитал, что основными факторами повышения живучести танков Т-34 на поле боя должно стать не увеличение толщины брони, а более тщательная тактическая подготовка экипажа и рост качества и надежности внутренних механизмов и ходовой части танка[493]. Последний фактор недвусмысленно указывает на качество изготавливаемой техники. Именно над этим предстояло работать танковым заводам.</w:t>
      </w:r>
    </w:p>
    <w:p w14:paraId="608C2D39" w14:textId="77777777" w:rsidR="004C32AA" w:rsidRPr="008A2E5A" w:rsidRDefault="004C32AA" w:rsidP="004C32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основании всех изложенных фактов мы можем сделать вывод о том, что окончательное восстановление эвакуированной танковой промышленности произошло не к середине 1942 г., как считала советская историография и как продолжают считать современные авторы, а гораздо позже. Рост выпуска техники и выполнение плановых показателей нельзя считать объективным доказательством успехов восточных танковых заводов. Сами по себе эти факторы, безусловно, важны, но качество выпускаемой продукции требовало к себе повышенного внимания и заставляло и дальше работать над совершенствованием производственной сферы. О каком восстановлении промышленности можно говорить, если подавляющее большинство бронекорпусов основного советского танка Т-34 поражено трещинами, а больше трети машин ломаются, не участвуя в бою?! Именно в середине 1942 г. должен был бы начаться новый, последний этап становления восточного танкостроения - достижение должного уровня качества бронетанковой продукции. Но он был остановлен начавшимся в июле 1942 г. новым крупномасштабным наступлением противника, приведшим к потере сталинградского промышленного района. Это самым серьезным образом сказалось на работе всей танковой промышленности страны (23536).</w:t>
      </w:r>
    </w:p>
    <w:p w14:paraId="7CAFCE1A" w14:textId="77777777" w:rsidR="004C32AA" w:rsidRPr="008A2E5A" w:rsidRDefault="004C32AA" w:rsidP="004C32AA">
      <w:pPr>
        <w:spacing w:after="0" w:line="240" w:lineRule="auto"/>
        <w:jc w:val="both"/>
        <w:rPr>
          <w:rFonts w:ascii="Times New Roman" w:hAnsi="Times New Roman"/>
          <w:color w:val="0070C0"/>
          <w:sz w:val="16"/>
          <w:szCs w:val="16"/>
        </w:rPr>
      </w:pPr>
    </w:p>
    <w:p w14:paraId="2F794900"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5AF25339" w14:textId="77777777" w:rsidR="00AE7191" w:rsidRPr="001E2C69" w:rsidRDefault="00AE7191" w:rsidP="00722885">
      <w:pPr>
        <w:pStyle w:val="Iauiue"/>
        <w:jc w:val="both"/>
        <w:rPr>
          <w:iCs/>
          <w:color w:val="000000" w:themeColor="text1"/>
          <w:sz w:val="16"/>
          <w:szCs w:val="16"/>
        </w:rPr>
      </w:pPr>
    </w:p>
    <w:p w14:paraId="1D6FA3D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Во второй половине августа 1942 г. 288-я истребительная авиадивизия подполковника С.Ф.Коновалова в составе 80 Як-7Б прибыла на фронтю К концу сентября пилоты совершили 1008 боевых вылетов, заявили об уничтожении 81 самолета противника и потеряли 55 своих в воздушных боях и еще три - от огня зенитной артиллерии. На каждый потерянный самолет, таким образом, приходилось около 17 боевых вылетов и приблизительно 15 часов налета! Заметим, что такие высокие удельные потери понес истребитель, который считался в ВВС Красной Армии лучшим по комплексу летных данных! (4537).</w:t>
      </w:r>
    </w:p>
    <w:p w14:paraId="5EECA1A1" w14:textId="77777777" w:rsidR="00AE7191" w:rsidRPr="001E2C69" w:rsidRDefault="00AE7191" w:rsidP="00722885">
      <w:pPr>
        <w:pStyle w:val="Iauiue"/>
        <w:jc w:val="both"/>
        <w:rPr>
          <w:color w:val="000000" w:themeColor="text1"/>
          <w:sz w:val="16"/>
          <w:szCs w:val="16"/>
        </w:rPr>
      </w:pPr>
    </w:p>
    <w:p w14:paraId="37017E5F" w14:textId="77777777" w:rsidR="00E7500A" w:rsidRPr="001E2C69" w:rsidRDefault="00E7500A"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4F59D708" w14:textId="77777777" w:rsidR="00E7500A" w:rsidRPr="001E2C69" w:rsidRDefault="00E7500A" w:rsidP="00722885">
      <w:pPr>
        <w:pStyle w:val="Iauiue"/>
        <w:jc w:val="both"/>
        <w:rPr>
          <w:iCs/>
          <w:color w:val="000000" w:themeColor="text1"/>
          <w:sz w:val="16"/>
          <w:szCs w:val="16"/>
        </w:rPr>
      </w:pPr>
    </w:p>
    <w:p w14:paraId="449B238D" w14:textId="77777777" w:rsidR="00E7500A" w:rsidRPr="001E2C69" w:rsidRDefault="00E7500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Во второй половине августа 1942 по требованию литейщиков был разработан другой каток, получивший чертежный индекс 833–16. Он оказался еще легче, чем 33–65 – его масса составила 125 килограмм. В конструкции катка легко можно заметить сходство с опорным катком КВ-13, который разработали летом 1942 года. 23 августа каток 833–16 успешно прошёл сравнительные испытания на копре и с 31 августа был введён на танках. Правда, понадобилось некоторое время, чтобы освоить его производство, так что некоторые КВ-1с сентябрьского выпуска получили опорные катки старой конструкции, от КВ-1.</w:t>
      </w:r>
    </w:p>
    <w:p w14:paraId="0EAFA34E" w14:textId="77777777" w:rsidR="00E7500A" w:rsidRPr="001E2C69" w:rsidRDefault="00E7500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На КВ-1 в это время ставились опорные катки, выполненные по чертежу 33–803, серийное производство которых было налажено с февраля 1942 года. Каждый такой каток имел массу 170 килограмм. Для КВ-1с конструкторское бюро СКБ-2 разработало облегченную конструкцию. Катки, получившие чертежный номер 33–65, устанавливались на двух опытных образцах КВ-1с, а также первых танках установочной партии. Конструкторам удалось снизить массу катка до 135 килограмм. Благодаря использованию таких катков удалось снизить массу танка на 420 килограмм.</w:t>
      </w:r>
    </w:p>
    <w:p w14:paraId="03189AF7" w14:textId="77777777" w:rsidR="00E7500A" w:rsidRPr="001E2C69" w:rsidRDefault="00E7500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Проблема опорных катков 33–65 заключалась в том, что они оказались малоподходящими для массового производства. С точки зрения литейной технологии они были неудачными. Сталелитейный цех, пытавшийся освоить их выпуск в июле-августе 1942 года, этого сделать так и не смог. В результате ЧКЗ был вынужден ставить на танки выпуска августа и частично сентября 1942 года старые опорные катки 33–803.</w:t>
      </w:r>
    </w:p>
    <w:p w14:paraId="61FDAEF9" w14:textId="77777777" w:rsidR="00E7500A" w:rsidRPr="001E2C69" w:rsidRDefault="00E7500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Опорный каток, получивший чертежный индекс 33–67, согласно официальному списку изменений, 5 ноября 1942 года и устанавливался на машины начиная с танка 210109. Впрочем, есть все основания полагать, что случился переход гораздо раньше – в октябре. Каток этот представлял собой немного измененный 833–16, который официально считался опытной конструкцией. В течение октября 1942 года оба типа катков ставились на танки параллельно.</w:t>
      </w:r>
    </w:p>
    <w:p w14:paraId="5C2E7DF8" w14:textId="77777777" w:rsidR="00E7500A" w:rsidRPr="001E2C69" w:rsidRDefault="00E7500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lastRenderedPageBreak/>
        <w:t>С катками 33–67 связана довольно громкая история, случившаяся в ноябре 1942 года. С начала ноября стали фиксироваться массовые случаи выхода опорных катков из строя. Например, в 5-м гвардейском танковом полку (гв. тп) за 10–11 ноября из строя вышло 164 катка. На заводе начались серьёзные разбирательства. В результате выяснилось, что проблема не столько в конструкции катка, сколько в качестве изготовления.</w:t>
      </w:r>
    </w:p>
    <w:p w14:paraId="7EA37911" w14:textId="77777777" w:rsidR="00E7500A" w:rsidRPr="001E2C69" w:rsidRDefault="00E7500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Происходило всё это на фоне проблем с поставками литых деталей, приведших к тому, что выполнение программы сильно задерживалось. Если последний танк сентябрьского плана был принят 2 октября, то последний октябрьский построили 6 ноября, а сдали и вовсе 9. Свою лепту вносила и проблема с поставкой корпусов, что особенно было заметно в ноябре и декабре 1942 года. Последний «ноябрьский» танк был построен 7 декабря, сдали его 15 числа. Последний танк декабрьского плана ЧКЗ построил 10 января, а сдал 11. Такой была плата за развертывание в Челябинске выпуска Т-34.</w:t>
      </w:r>
    </w:p>
    <w:p w14:paraId="6068898B" w14:textId="77777777" w:rsidR="00E7500A" w:rsidRPr="001E2C69" w:rsidRDefault="00E7500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С 1 ноября танки стали оснащаться траками шириной 650 мм, 28 числа на корпус вернулись поручни. Также в ноябре немного изменилось сидение командира, а опоры балансиров опорных катков были переведены на сварку. 25 ноября (официально – 2 декабря) в производство был внедрен модернизированный опорный каток, получивший чертежный номер 22–69. С его введением чехарда с катками для КВ-1с , наконец, прекратилась. 10 декабря появились поручни на башне. В целом декабрь стал для танка этапным: именно в этом месяце он претерпел наиболее серьезные изменения во внешнем виде (17962).</w:t>
      </w:r>
    </w:p>
    <w:p w14:paraId="257189D1" w14:textId="77777777" w:rsidR="00E7500A" w:rsidRPr="001E2C69" w:rsidRDefault="00E7500A" w:rsidP="00722885">
      <w:pPr>
        <w:spacing w:after="0" w:line="240" w:lineRule="auto"/>
        <w:jc w:val="both"/>
        <w:rPr>
          <w:rFonts w:ascii="Times New Roman" w:eastAsia="Times New Roman" w:hAnsi="Times New Roman"/>
          <w:color w:val="000000" w:themeColor="text1"/>
          <w:sz w:val="16"/>
          <w:szCs w:val="16"/>
          <w:lang w:eastAsia="ru-RU"/>
        </w:rPr>
      </w:pPr>
    </w:p>
    <w:p w14:paraId="0FC0D51F"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73BCB098" w14:textId="77777777" w:rsidR="00AE7191" w:rsidRPr="001E2C69" w:rsidRDefault="00AE7191" w:rsidP="00722885">
      <w:pPr>
        <w:pStyle w:val="Iauiue"/>
        <w:jc w:val="both"/>
        <w:rPr>
          <w:iCs/>
          <w:color w:val="000000" w:themeColor="text1"/>
          <w:sz w:val="16"/>
          <w:szCs w:val="16"/>
        </w:rPr>
      </w:pPr>
    </w:p>
    <w:p w14:paraId="39B9825A" w14:textId="77777777" w:rsidR="004C32AA" w:rsidRPr="008A2E5A" w:rsidRDefault="004C32AA" w:rsidP="004C32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Только в августе 1942 г. завод № 18 вышел на доэвакуационный уровень производства штурмовиков (23472).</w:t>
      </w:r>
    </w:p>
    <w:p w14:paraId="1CCA81ED" w14:textId="77777777" w:rsidR="004C32AA" w:rsidRPr="008A2E5A" w:rsidRDefault="004C32AA" w:rsidP="004C32AA">
      <w:pPr>
        <w:spacing w:after="0" w:line="240" w:lineRule="auto"/>
        <w:jc w:val="both"/>
        <w:rPr>
          <w:rFonts w:ascii="Times New Roman" w:hAnsi="Times New Roman"/>
          <w:color w:val="0070C0"/>
          <w:sz w:val="16"/>
          <w:szCs w:val="16"/>
        </w:rPr>
      </w:pPr>
    </w:p>
    <w:p w14:paraId="28CFA91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г. оба Ил-2 с дистанционно управляемым оружием для обороны задней полусферы проходили государственные испытания. Лучшей признали установку с двумя ШКАСами, однако из-за низких боевых возможностей обеих установок они серийно не строились. Основные усилия сосредоточили на создании и внедрении в серию двухместного штурмовика (9528).</w:t>
      </w:r>
    </w:p>
    <w:p w14:paraId="4197749C" w14:textId="77777777" w:rsidR="00AE7191" w:rsidRPr="001E2C69" w:rsidRDefault="00AE7191" w:rsidP="00722885">
      <w:pPr>
        <w:pStyle w:val="Iauiue"/>
        <w:jc w:val="both"/>
        <w:rPr>
          <w:color w:val="000000" w:themeColor="text1"/>
          <w:sz w:val="16"/>
          <w:szCs w:val="16"/>
        </w:rPr>
      </w:pPr>
    </w:p>
    <w:p w14:paraId="6A614B8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в 17-й ВА в двухместный вари</w:t>
      </w:r>
      <w:r w:rsidRPr="001E2C69">
        <w:rPr>
          <w:rFonts w:ascii="Times New Roman" w:hAnsi="Times New Roman"/>
          <w:color w:val="000000" w:themeColor="text1"/>
          <w:sz w:val="16"/>
          <w:szCs w:val="16"/>
        </w:rPr>
        <w:softHyphen/>
        <w:t>ант с пулеметом УБТ были переделаны 66 Ил-2. Подобные пе</w:t>
      </w:r>
      <w:r w:rsidRPr="001E2C69">
        <w:rPr>
          <w:rFonts w:ascii="Times New Roman" w:hAnsi="Times New Roman"/>
          <w:color w:val="000000" w:themeColor="text1"/>
          <w:sz w:val="16"/>
          <w:szCs w:val="16"/>
        </w:rPr>
        <w:softHyphen/>
        <w:t>ределки выполнялись в 1-й, 2-й и 6-й воздушных армиях. Свой ремонтный вариант кабины стрелка разработало и ОКБ Илью</w:t>
      </w:r>
      <w:r w:rsidRPr="001E2C69">
        <w:rPr>
          <w:rFonts w:ascii="Times New Roman" w:hAnsi="Times New Roman"/>
          <w:color w:val="000000" w:themeColor="text1"/>
          <w:sz w:val="16"/>
          <w:szCs w:val="16"/>
        </w:rPr>
        <w:softHyphen/>
        <w:t>шина. Соответствующая инструкция по доработке Ил-2 сила</w:t>
      </w:r>
      <w:r w:rsidRPr="001E2C69">
        <w:rPr>
          <w:rFonts w:ascii="Times New Roman" w:hAnsi="Times New Roman"/>
          <w:color w:val="000000" w:themeColor="text1"/>
          <w:sz w:val="16"/>
          <w:szCs w:val="16"/>
        </w:rPr>
        <w:softHyphen/>
        <w:t>ми техсостава частей в октябре была отправлена в действую</w:t>
      </w:r>
      <w:r w:rsidRPr="001E2C69">
        <w:rPr>
          <w:rFonts w:ascii="Times New Roman" w:hAnsi="Times New Roman"/>
          <w:color w:val="000000" w:themeColor="text1"/>
          <w:sz w:val="16"/>
          <w:szCs w:val="16"/>
        </w:rPr>
        <w:softHyphen/>
        <w:t>щую армию. Всего на фронте в двухместные было переобору</w:t>
      </w:r>
      <w:r w:rsidRPr="001E2C69">
        <w:rPr>
          <w:rFonts w:ascii="Times New Roman" w:hAnsi="Times New Roman"/>
          <w:color w:val="000000" w:themeColor="text1"/>
          <w:sz w:val="16"/>
          <w:szCs w:val="16"/>
        </w:rPr>
        <w:softHyphen/>
        <w:t>довано около 1200 Ил-2. Здесь стоит сказать, что в ходе эксплуатации в частях дей</w:t>
      </w:r>
      <w:r w:rsidRPr="001E2C69">
        <w:rPr>
          <w:rFonts w:ascii="Times New Roman" w:hAnsi="Times New Roman"/>
          <w:color w:val="000000" w:themeColor="text1"/>
          <w:sz w:val="16"/>
          <w:szCs w:val="16"/>
        </w:rPr>
        <w:softHyphen/>
        <w:t>ствующей армии двухместных Ил-2 «войсковой доработки» с оборонительными пулеметами УБТ в большинстве случаев уже после 5—10 посадок самолета в средней части полукольца ус</w:t>
      </w:r>
      <w:r w:rsidRPr="001E2C69">
        <w:rPr>
          <w:rFonts w:ascii="Times New Roman" w:hAnsi="Times New Roman"/>
          <w:color w:val="000000" w:themeColor="text1"/>
          <w:sz w:val="16"/>
          <w:szCs w:val="16"/>
        </w:rPr>
        <w:softHyphen/>
        <w:t>тановки появлялись трещины. Техническому составу частей приходилось заменять турель и одновременно усиливать фю</w:t>
      </w:r>
      <w:r w:rsidRPr="001E2C69">
        <w:rPr>
          <w:rFonts w:ascii="Times New Roman" w:hAnsi="Times New Roman"/>
          <w:color w:val="000000" w:themeColor="text1"/>
          <w:sz w:val="16"/>
          <w:szCs w:val="16"/>
        </w:rPr>
        <w:softHyphen/>
        <w:t>зеляж в районе выреза под кабину стрелка (11474,294).</w:t>
      </w:r>
    </w:p>
    <w:p w14:paraId="319C59F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5634D26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в НИИ АВ проходил испытания авиационный миномет Потанина, смонтированный в хвостовой части Ил-2. Монтировали ствол 82 мм миномета, снабженный шестизарядным механизмом заряжания. Ось миномета отклонена под углом 43 град. назад вверх. Для ослабления отдачи применяли эластичную подвеску и минимальный заряд в 8 г. Гранату - мина, снабженная специальным инерционным взрывателем. Пробовали от РС, но ветрянка не успевала закрутиться. Воздушными стрельбами руководил Монич. Автоматика работала ненадежно, мину заклинивало. В шести полетах выполнили 30 выстрелов и было три задержки. При скорости 320 км/ч на 1000 м подрыв мины происходил на расстоянии 280 м с превышением 70 м. Рассеяние - удовлетворительное, но снарядов - мало. Решили сделать с 15 и более эффективную мину (1056,46).</w:t>
      </w:r>
    </w:p>
    <w:p w14:paraId="437828D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Есть фото, как с Ил-2 двухместного с короткой антенной, но с подрезом и без номера, сбрасывают АГ-1 (2?). Труба - где-то на уровне чуть дальше конца зализа (1056,46).</w:t>
      </w:r>
    </w:p>
    <w:p w14:paraId="73C4544A" w14:textId="77777777" w:rsidR="00AE7191" w:rsidRPr="001E2C69" w:rsidRDefault="00AE7191" w:rsidP="00722885">
      <w:pPr>
        <w:pStyle w:val="Iauiue"/>
        <w:jc w:val="both"/>
        <w:rPr>
          <w:color w:val="000000" w:themeColor="text1"/>
          <w:sz w:val="16"/>
          <w:szCs w:val="16"/>
        </w:rPr>
      </w:pPr>
    </w:p>
    <w:p w14:paraId="4DE288F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г. С.В.Ильюшин обратился в Правительство с предложением о включении в план опытного самолетостроения на 1942 г. создание двухместного бронированного штурмовика с мощным (2000 л.с.) мотором воздушного охлаждения М-71 взамен, предлагавшегося ранее, одноместного.</w:t>
      </w:r>
    </w:p>
    <w:p w14:paraId="06ACCC0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Машина получила обозначение БШ М-71 и отражала концепцию тяжелого сильно бронированного штурмовика с мощным бомбовым и пушечным вооружением, что обеспечивало повышенную интегральную боевую эффективность самолета при действии по трудноуязвимым целям в условиях сильной ПВО.</w:t>
      </w:r>
    </w:p>
    <w:p w14:paraId="2E1C557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Вооружение самолета должно было включать две 37-мм пушки 11П-37 с 80 снарядами и четыре крылье-вых пулемета ШКАС с 2000 патронами. У стрелка - пулемет УБК калибра 12,7 мм с боекомплектом 250 патронов на турели башенного типа.</w:t>
      </w:r>
    </w:p>
    <w:p w14:paraId="10080BD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Нормальная бомбовая нагрузка -400 кг, в перегрузку - до 1000 кг. Реактивные снаряды устанавливать не планировалось, так как основным средством борьбы с танками и сильно защищенными целями должны были быть пушки и авиабомбы.</w:t>
      </w:r>
    </w:p>
    <w:p w14:paraId="1FBB7E9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Максимальная скорость штурмовика у земли - 430 км/ч, посадочная скорость - 125 км/ч. Время подъема на высоту 3000 м не более шести мин. Максимальная дальность полета на скорости 350 км/ч - не менее 600 км.</w:t>
      </w:r>
    </w:p>
    <w:p w14:paraId="76F3486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Вес брони на штурмовике, по сравнению с Ил-2 АМ-38, увеличился примерно на 750 кг, так что общий вес металлической брони должен был составить 1460 кг, а прозрачной - около 102 кг.</w:t>
      </w:r>
    </w:p>
    <w:p w14:paraId="6E2CAAE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Предложение С.В.Ильюшина поддержал Первый заместитель Главкома ВВС маршал авиации Г.А.Ворожейкин (9649).</w:t>
      </w:r>
    </w:p>
    <w:p w14:paraId="42A5F8F9" w14:textId="77777777" w:rsidR="00AE7191" w:rsidRPr="001E2C69" w:rsidRDefault="00AE7191" w:rsidP="00722885">
      <w:pPr>
        <w:pStyle w:val="Iauiue"/>
        <w:jc w:val="both"/>
        <w:rPr>
          <w:color w:val="000000" w:themeColor="text1"/>
          <w:sz w:val="16"/>
          <w:szCs w:val="16"/>
        </w:rPr>
      </w:pPr>
    </w:p>
    <w:p w14:paraId="744D4F2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как указывалось в отчете 212-й шад о боевой работе «Существующее положение влечет к ранению летчика и выводу из строя приборов рикошетирующими пулями и осколками». По инициативе инженерно-технического состава 212-й шад по защите летчика на самолете Ил-2, который часто получал ранения головы и верхних конечностей от попадания осколков снарядов и пуль в щель между подвижной частью фонаря кабины и верхней броней над бензобаком. Чтобы защитить летчика, предложили «сделать подковообразной бронепластинку на подвижном фонаре для отражения рикошетирующих от задней брони бензобака пуль и осколков» (11921).</w:t>
      </w:r>
    </w:p>
    <w:p w14:paraId="54E39909"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A72DBE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С.В. Ильюшин обратился в прави</w:t>
      </w:r>
      <w:r w:rsidRPr="001E2C69">
        <w:rPr>
          <w:rFonts w:ascii="Times New Roman" w:hAnsi="Times New Roman"/>
          <w:color w:val="000000" w:themeColor="text1"/>
          <w:sz w:val="16"/>
          <w:szCs w:val="16"/>
        </w:rPr>
        <w:softHyphen/>
        <w:t>тельство с просьбой о включении в план опытного самолетостроения двухместно</w:t>
      </w:r>
      <w:r w:rsidRPr="001E2C69">
        <w:rPr>
          <w:rFonts w:ascii="Times New Roman" w:hAnsi="Times New Roman"/>
          <w:color w:val="000000" w:themeColor="text1"/>
          <w:sz w:val="16"/>
          <w:szCs w:val="16"/>
        </w:rPr>
        <w:softHyphen/>
        <w:t>го бронированного штурмовика (с таким же, как у Су-6, мотором М-71) взамен одноместного, уже внесенного в план на 1942 г. Этот самолет, полу</w:t>
      </w:r>
      <w:r w:rsidRPr="001E2C69">
        <w:rPr>
          <w:rFonts w:ascii="Times New Roman" w:hAnsi="Times New Roman"/>
          <w:color w:val="000000" w:themeColor="text1"/>
          <w:sz w:val="16"/>
          <w:szCs w:val="16"/>
        </w:rPr>
        <w:softHyphen/>
        <w:t>чивший обозначение БШ, отражал кон</w:t>
      </w:r>
      <w:r w:rsidRPr="001E2C69">
        <w:rPr>
          <w:rFonts w:ascii="Times New Roman" w:hAnsi="Times New Roman"/>
          <w:color w:val="000000" w:themeColor="text1"/>
          <w:sz w:val="16"/>
          <w:szCs w:val="16"/>
        </w:rPr>
        <w:softHyphen/>
        <w:t>цепцию тяжелого штурмовика с мощным бомбовым и пушечным вооружением и весьма сильным бронированием, что, по замыслу, должно было обеспечить повы</w:t>
      </w:r>
      <w:r w:rsidRPr="001E2C69">
        <w:rPr>
          <w:rFonts w:ascii="Times New Roman" w:hAnsi="Times New Roman"/>
          <w:color w:val="000000" w:themeColor="text1"/>
          <w:sz w:val="16"/>
          <w:szCs w:val="16"/>
        </w:rPr>
        <w:softHyphen/>
        <w:t>шенную боевую эффективность при дей</w:t>
      </w:r>
      <w:r w:rsidRPr="001E2C69">
        <w:rPr>
          <w:rFonts w:ascii="Times New Roman" w:hAnsi="Times New Roman"/>
          <w:color w:val="000000" w:themeColor="text1"/>
          <w:sz w:val="16"/>
          <w:szCs w:val="16"/>
        </w:rPr>
        <w:softHyphen/>
        <w:t>ствиях над полем боя в условиях силь</w:t>
      </w:r>
      <w:r w:rsidRPr="001E2C69">
        <w:rPr>
          <w:rFonts w:ascii="Times New Roman" w:hAnsi="Times New Roman"/>
          <w:color w:val="000000" w:themeColor="text1"/>
          <w:sz w:val="16"/>
          <w:szCs w:val="16"/>
        </w:rPr>
        <w:softHyphen/>
        <w:t>ной ПВО противника. Вооружение машины по проекту включало две 37-мм пуш</w:t>
      </w:r>
      <w:r w:rsidRPr="001E2C69">
        <w:rPr>
          <w:rFonts w:ascii="Times New Roman" w:hAnsi="Times New Roman"/>
          <w:color w:val="000000" w:themeColor="text1"/>
          <w:sz w:val="16"/>
          <w:szCs w:val="16"/>
        </w:rPr>
        <w:softHyphen/>
        <w:t>ки 11П-37 с 80 снарядами и четыре пу</w:t>
      </w:r>
      <w:r w:rsidRPr="001E2C69">
        <w:rPr>
          <w:rFonts w:ascii="Times New Roman" w:hAnsi="Times New Roman"/>
          <w:color w:val="000000" w:themeColor="text1"/>
          <w:sz w:val="16"/>
          <w:szCs w:val="16"/>
        </w:rPr>
        <w:softHyphen/>
        <w:t>лемета ШКАС с 2000 патронов. У стрел</w:t>
      </w:r>
      <w:r w:rsidRPr="001E2C69">
        <w:rPr>
          <w:rFonts w:ascii="Times New Roman" w:hAnsi="Times New Roman"/>
          <w:color w:val="000000" w:themeColor="text1"/>
          <w:sz w:val="16"/>
          <w:szCs w:val="16"/>
        </w:rPr>
        <w:softHyphen/>
        <w:t>ка на турели башенного типа устанавли</w:t>
      </w:r>
      <w:r w:rsidRPr="001E2C69">
        <w:rPr>
          <w:rFonts w:ascii="Times New Roman" w:hAnsi="Times New Roman"/>
          <w:color w:val="000000" w:themeColor="text1"/>
          <w:sz w:val="16"/>
          <w:szCs w:val="16"/>
        </w:rPr>
        <w:softHyphen/>
        <w:t>вался пулемет УБК калибра 12,7 мм с боекомплектом 250 патронов. Нормаль</w:t>
      </w:r>
      <w:r w:rsidRPr="001E2C69">
        <w:rPr>
          <w:rFonts w:ascii="Times New Roman" w:hAnsi="Times New Roman"/>
          <w:color w:val="000000" w:themeColor="text1"/>
          <w:sz w:val="16"/>
          <w:szCs w:val="16"/>
        </w:rPr>
        <w:softHyphen/>
        <w:t>ная бомбовая нагрузка — 400 кг, в пере</w:t>
      </w:r>
      <w:r w:rsidRPr="001E2C69">
        <w:rPr>
          <w:rFonts w:ascii="Times New Roman" w:hAnsi="Times New Roman"/>
          <w:color w:val="000000" w:themeColor="text1"/>
          <w:sz w:val="16"/>
          <w:szCs w:val="16"/>
        </w:rPr>
        <w:softHyphen/>
        <w:t>грузку— до 1000 кг. Реактивные снаря</w:t>
      </w:r>
      <w:r w:rsidRPr="001E2C69">
        <w:rPr>
          <w:rFonts w:ascii="Times New Roman" w:hAnsi="Times New Roman"/>
          <w:color w:val="000000" w:themeColor="text1"/>
          <w:sz w:val="16"/>
          <w:szCs w:val="16"/>
        </w:rPr>
        <w:softHyphen/>
        <w:t>ды не предусматривались, так как основ</w:t>
      </w:r>
      <w:r w:rsidRPr="001E2C69">
        <w:rPr>
          <w:rFonts w:ascii="Times New Roman" w:hAnsi="Times New Roman"/>
          <w:color w:val="000000" w:themeColor="text1"/>
          <w:sz w:val="16"/>
          <w:szCs w:val="16"/>
        </w:rPr>
        <w:softHyphen/>
        <w:t>ными средствами борьбы с танками и другими сильно защищенными целями должны были стать пушки и бомбы. По расчетам, максимальная скорость штурмовика у земли равнялась 430 км/ч, посадочная — 125 км/ч. Набор высоты 3000 м — не более чем за 6 мин. Макси</w:t>
      </w:r>
      <w:r w:rsidRPr="001E2C69">
        <w:rPr>
          <w:rFonts w:ascii="Times New Roman" w:hAnsi="Times New Roman"/>
          <w:color w:val="000000" w:themeColor="text1"/>
          <w:sz w:val="16"/>
          <w:szCs w:val="16"/>
        </w:rPr>
        <w:softHyphen/>
        <w:t>мальная дальность полета на скорости 350 км/ч — не менее 600 км. Вес брони на новом штурмовике по сравнению с Ил-2 увеличивался примерно на 750 кг, так что общий вес металлической брони должен был составить 1460 кг, а прозрач</w:t>
      </w:r>
      <w:r w:rsidRPr="001E2C69">
        <w:rPr>
          <w:rFonts w:ascii="Times New Roman" w:hAnsi="Times New Roman"/>
          <w:color w:val="000000" w:themeColor="text1"/>
          <w:sz w:val="16"/>
          <w:szCs w:val="16"/>
        </w:rPr>
        <w:softHyphen/>
        <w:t>ной — около 102 кг (10680).</w:t>
      </w:r>
    </w:p>
    <w:p w14:paraId="636A89B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093189F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С. В. Ильюшин обратился в Правительство с предложением о включении в план опытного самолетостроения этого года двухместного бронированного штурмовика с мотором М-71 взамен одноместного.</w:t>
      </w:r>
    </w:p>
    <w:p w14:paraId="4C87B9A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самолете, получившем обо</w:t>
      </w:r>
      <w:r w:rsidRPr="001E2C69">
        <w:rPr>
          <w:rFonts w:ascii="Times New Roman" w:hAnsi="Times New Roman"/>
          <w:color w:val="000000" w:themeColor="text1"/>
          <w:sz w:val="16"/>
          <w:szCs w:val="16"/>
        </w:rPr>
        <w:softHyphen/>
        <w:t>значение БШ-М-71, предполагалось забронировать экипаж, маспорадиатор, бензо- и маслобаки (толщина брони - везде 6 мм). Мотор разме</w:t>
      </w:r>
      <w:r w:rsidRPr="001E2C69">
        <w:rPr>
          <w:rFonts w:ascii="Times New Roman" w:hAnsi="Times New Roman"/>
          <w:color w:val="000000" w:themeColor="text1"/>
          <w:sz w:val="16"/>
          <w:szCs w:val="16"/>
        </w:rPr>
        <w:softHyphen/>
        <w:t>щался внутри бронекапота (толщи</w:t>
      </w:r>
      <w:r w:rsidRPr="001E2C69">
        <w:rPr>
          <w:rFonts w:ascii="Times New Roman" w:hAnsi="Times New Roman"/>
          <w:color w:val="000000" w:themeColor="text1"/>
          <w:sz w:val="16"/>
          <w:szCs w:val="16"/>
        </w:rPr>
        <w:softHyphen/>
        <w:t>на брони 6 мм), диск кока винта вы</w:t>
      </w:r>
      <w:r w:rsidRPr="001E2C69">
        <w:rPr>
          <w:rFonts w:ascii="Times New Roman" w:hAnsi="Times New Roman"/>
          <w:color w:val="000000" w:themeColor="text1"/>
          <w:sz w:val="16"/>
          <w:szCs w:val="16"/>
        </w:rPr>
        <w:softHyphen/>
        <w:t>полнялся из брони толщиной 8 мм. Летчик со стороны передней полу</w:t>
      </w:r>
      <w:r w:rsidRPr="001E2C69">
        <w:rPr>
          <w:rFonts w:ascii="Times New Roman" w:hAnsi="Times New Roman"/>
          <w:color w:val="000000" w:themeColor="text1"/>
          <w:sz w:val="16"/>
          <w:szCs w:val="16"/>
        </w:rPr>
        <w:softHyphen/>
        <w:t>сферы защищался прозрачным бро</w:t>
      </w:r>
      <w:r w:rsidRPr="001E2C69">
        <w:rPr>
          <w:rFonts w:ascii="Times New Roman" w:hAnsi="Times New Roman"/>
          <w:color w:val="000000" w:themeColor="text1"/>
          <w:sz w:val="16"/>
          <w:szCs w:val="16"/>
        </w:rPr>
        <w:softHyphen/>
        <w:t>нестеклом толщиной 62 мм, с боков и снизу - броней толщиной 6 мм, а со стороны задней полусферы -1 6-мм броневым листом. На фона</w:t>
      </w:r>
      <w:r w:rsidRPr="001E2C69">
        <w:rPr>
          <w:rFonts w:ascii="Times New Roman" w:hAnsi="Times New Roman"/>
          <w:color w:val="000000" w:themeColor="text1"/>
          <w:sz w:val="16"/>
          <w:szCs w:val="16"/>
        </w:rPr>
        <w:softHyphen/>
        <w:t>ре кабины пилота сверху и с боков устанавливались 6-мм бронеплиты.</w:t>
      </w:r>
    </w:p>
    <w:p w14:paraId="0DEB0AF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Кабина стрелка также брониро</w:t>
      </w:r>
      <w:r w:rsidRPr="001E2C69">
        <w:rPr>
          <w:rFonts w:ascii="Times New Roman" w:hAnsi="Times New Roman"/>
          <w:color w:val="000000" w:themeColor="text1"/>
          <w:sz w:val="16"/>
          <w:szCs w:val="16"/>
        </w:rPr>
        <w:softHyphen/>
        <w:t>валась: со стороны хвоста он защи</w:t>
      </w:r>
      <w:r w:rsidRPr="001E2C69">
        <w:rPr>
          <w:rFonts w:ascii="Times New Roman" w:hAnsi="Times New Roman"/>
          <w:color w:val="000000" w:themeColor="text1"/>
          <w:sz w:val="16"/>
          <w:szCs w:val="16"/>
        </w:rPr>
        <w:softHyphen/>
        <w:t>щался 16-мм бронеплитой, с боков и снизу - 6-мм броней. Башня туре</w:t>
      </w:r>
      <w:r w:rsidRPr="001E2C69">
        <w:rPr>
          <w:rFonts w:ascii="Times New Roman" w:hAnsi="Times New Roman"/>
          <w:color w:val="000000" w:themeColor="text1"/>
          <w:sz w:val="16"/>
          <w:szCs w:val="16"/>
        </w:rPr>
        <w:softHyphen/>
        <w:t>ли была полностью забронирована металлической броней толщиной 6 мм. Со стороны установки пулеме</w:t>
      </w:r>
      <w:r w:rsidRPr="001E2C69">
        <w:rPr>
          <w:rFonts w:ascii="Times New Roman" w:hAnsi="Times New Roman"/>
          <w:color w:val="000000" w:themeColor="text1"/>
          <w:sz w:val="16"/>
          <w:szCs w:val="16"/>
        </w:rPr>
        <w:softHyphen/>
        <w:t>та на башне устанавливалась 62-мм прозрачная броня. Из прозрачной брони такой же толщины выполня</w:t>
      </w:r>
      <w:r w:rsidRPr="001E2C69">
        <w:rPr>
          <w:rFonts w:ascii="Times New Roman" w:hAnsi="Times New Roman"/>
          <w:color w:val="000000" w:themeColor="text1"/>
          <w:sz w:val="16"/>
          <w:szCs w:val="16"/>
        </w:rPr>
        <w:softHyphen/>
        <w:t>лись и смотровые окна, расположен</w:t>
      </w:r>
      <w:r w:rsidRPr="001E2C69">
        <w:rPr>
          <w:rFonts w:ascii="Times New Roman" w:hAnsi="Times New Roman"/>
          <w:color w:val="000000" w:themeColor="text1"/>
          <w:sz w:val="16"/>
          <w:szCs w:val="16"/>
        </w:rPr>
        <w:softHyphen/>
        <w:t>ные по бокам башни.</w:t>
      </w:r>
    </w:p>
    <w:p w14:paraId="0D10C63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Вес металлической брони на но</w:t>
      </w:r>
      <w:r w:rsidRPr="001E2C69">
        <w:rPr>
          <w:rFonts w:ascii="Times New Roman" w:hAnsi="Times New Roman"/>
          <w:color w:val="000000" w:themeColor="text1"/>
          <w:sz w:val="16"/>
          <w:szCs w:val="16"/>
        </w:rPr>
        <w:softHyphen/>
        <w:t>вом штурмовике должен был соста</w:t>
      </w:r>
      <w:r w:rsidRPr="001E2C69">
        <w:rPr>
          <w:rFonts w:ascii="Times New Roman" w:hAnsi="Times New Roman"/>
          <w:color w:val="000000" w:themeColor="text1"/>
          <w:sz w:val="16"/>
          <w:szCs w:val="16"/>
        </w:rPr>
        <w:softHyphen/>
        <w:t>вить 1461,7 кг, а прозрачной — 101,6 кг. В сравнении с двухместным Ил-2 АМ-38ф увеличение доли бро</w:t>
      </w:r>
      <w:r w:rsidRPr="001E2C69">
        <w:rPr>
          <w:rFonts w:ascii="Times New Roman" w:hAnsi="Times New Roman"/>
          <w:color w:val="000000" w:themeColor="text1"/>
          <w:sz w:val="16"/>
          <w:szCs w:val="16"/>
        </w:rPr>
        <w:softHyphen/>
        <w:t>ни в полетном весе самолета на БШ-М-71 составило почти 28%. Однако на самолете отсутствовали система заполнения бензобаков нейтральным газом и дублирование управления рулем высоты и направления.</w:t>
      </w:r>
    </w:p>
    <w:p w14:paraId="57917BC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Вооружение самолета включало две пушки 11 П с 80 снарядами и 4 крыльевых пулемета ШКАС с 1600 патронами. У стрелка — пулемет УБТ с боекомплектом 300 патронов на турели башенного типа. Установка обеспечивала обстрел: вверх - до 50°, влево и вправо - по 1 10°, вниз по борту - 1 5°.</w:t>
      </w:r>
    </w:p>
    <w:p w14:paraId="03458F6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Нормальная бомбовая нагрузка предполагалась 400 кг, в перегрузку - до 1000 кг. Реактивные снаряды устанавливать не планировалось, так как основным средством борьбы с танками и защищенными целями дол</w:t>
      </w:r>
      <w:r w:rsidRPr="001E2C69">
        <w:rPr>
          <w:rFonts w:ascii="Times New Roman" w:hAnsi="Times New Roman"/>
          <w:color w:val="000000" w:themeColor="text1"/>
          <w:sz w:val="16"/>
          <w:szCs w:val="16"/>
        </w:rPr>
        <w:softHyphen/>
        <w:t>жны были стать пушки и авиабомбы. Самолет не был приспособлен для бомбометания с пикирования под большими углами. Бомбы предпола</w:t>
      </w:r>
      <w:r w:rsidRPr="001E2C69">
        <w:rPr>
          <w:rFonts w:ascii="Times New Roman" w:hAnsi="Times New Roman"/>
          <w:color w:val="000000" w:themeColor="text1"/>
          <w:sz w:val="16"/>
          <w:szCs w:val="16"/>
        </w:rPr>
        <w:softHyphen/>
        <w:t>галось сбрасывать с горизонтально</w:t>
      </w:r>
      <w:r w:rsidRPr="001E2C69">
        <w:rPr>
          <w:rFonts w:ascii="Times New Roman" w:hAnsi="Times New Roman"/>
          <w:color w:val="000000" w:themeColor="text1"/>
          <w:sz w:val="16"/>
          <w:szCs w:val="16"/>
        </w:rPr>
        <w:softHyphen/>
        <w:t>го полета или с пологого пикирова</w:t>
      </w:r>
      <w:r w:rsidRPr="001E2C69">
        <w:rPr>
          <w:rFonts w:ascii="Times New Roman" w:hAnsi="Times New Roman"/>
          <w:color w:val="000000" w:themeColor="text1"/>
          <w:sz w:val="16"/>
          <w:szCs w:val="16"/>
        </w:rPr>
        <w:softHyphen/>
        <w:t>ния под углами 25-30°.</w:t>
      </w:r>
    </w:p>
    <w:p w14:paraId="1E9B38A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По расчетам при нормальном по</w:t>
      </w:r>
      <w:r w:rsidRPr="001E2C69">
        <w:rPr>
          <w:rFonts w:ascii="Times New Roman" w:hAnsi="Times New Roman"/>
          <w:color w:val="000000" w:themeColor="text1"/>
          <w:sz w:val="16"/>
          <w:szCs w:val="16"/>
        </w:rPr>
        <w:softHyphen/>
        <w:t>летном весе 7300 кг максимальная скорость штурмовика у земли рав</w:t>
      </w:r>
      <w:r w:rsidRPr="001E2C69">
        <w:rPr>
          <w:rFonts w:ascii="Times New Roman" w:hAnsi="Times New Roman"/>
          <w:color w:val="000000" w:themeColor="text1"/>
          <w:sz w:val="16"/>
          <w:szCs w:val="16"/>
        </w:rPr>
        <w:softHyphen/>
        <w:t>нялась 420 км/ч (460 км/ч на фор</w:t>
      </w:r>
      <w:r w:rsidRPr="001E2C69">
        <w:rPr>
          <w:rFonts w:ascii="Times New Roman" w:hAnsi="Times New Roman"/>
          <w:color w:val="000000" w:themeColor="text1"/>
          <w:sz w:val="16"/>
          <w:szCs w:val="16"/>
        </w:rPr>
        <w:softHyphen/>
        <w:t>саже), посадочная — 125 км/ч. На</w:t>
      </w:r>
      <w:r w:rsidRPr="001E2C69">
        <w:rPr>
          <w:rFonts w:ascii="Times New Roman" w:hAnsi="Times New Roman"/>
          <w:color w:val="000000" w:themeColor="text1"/>
          <w:sz w:val="16"/>
          <w:szCs w:val="16"/>
        </w:rPr>
        <w:softHyphen/>
        <w:t>бор высоты 1000 м должен был за</w:t>
      </w:r>
      <w:r w:rsidRPr="001E2C69">
        <w:rPr>
          <w:rFonts w:ascii="Times New Roman" w:hAnsi="Times New Roman"/>
          <w:color w:val="000000" w:themeColor="text1"/>
          <w:sz w:val="16"/>
          <w:szCs w:val="16"/>
        </w:rPr>
        <w:softHyphen/>
        <w:t>нимать не более 2 мин. Максималь</w:t>
      </w:r>
      <w:r w:rsidRPr="001E2C69">
        <w:rPr>
          <w:rFonts w:ascii="Times New Roman" w:hAnsi="Times New Roman"/>
          <w:color w:val="000000" w:themeColor="text1"/>
          <w:sz w:val="16"/>
          <w:szCs w:val="16"/>
        </w:rPr>
        <w:softHyphen/>
        <w:t>ная дальность полета у земли на ско</w:t>
      </w:r>
      <w:r w:rsidRPr="001E2C69">
        <w:rPr>
          <w:rFonts w:ascii="Times New Roman" w:hAnsi="Times New Roman"/>
          <w:color w:val="000000" w:themeColor="text1"/>
          <w:sz w:val="16"/>
          <w:szCs w:val="16"/>
        </w:rPr>
        <w:softHyphen/>
        <w:t>рости 336 км/ч получалась 760 км.</w:t>
      </w:r>
    </w:p>
    <w:p w14:paraId="43D987D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Надо полагать, предложение по БШ-М-71 явилось следствием успе</w:t>
      </w:r>
      <w:r w:rsidRPr="001E2C69">
        <w:rPr>
          <w:rFonts w:ascii="Times New Roman" w:hAnsi="Times New Roman"/>
          <w:color w:val="000000" w:themeColor="text1"/>
          <w:sz w:val="16"/>
          <w:szCs w:val="16"/>
        </w:rPr>
        <w:softHyphen/>
        <w:t>ха ОКБ П. О. Сухого при создании легкого самолета-штурмовика, име</w:t>
      </w:r>
      <w:r w:rsidRPr="001E2C69">
        <w:rPr>
          <w:rFonts w:ascii="Times New Roman" w:hAnsi="Times New Roman"/>
          <w:color w:val="000000" w:themeColor="text1"/>
          <w:sz w:val="16"/>
          <w:szCs w:val="16"/>
        </w:rPr>
        <w:softHyphen/>
        <w:t>ющего повышенную боевую эффек</w:t>
      </w:r>
      <w:r w:rsidRPr="001E2C69">
        <w:rPr>
          <w:rFonts w:ascii="Times New Roman" w:hAnsi="Times New Roman"/>
          <w:color w:val="000000" w:themeColor="text1"/>
          <w:sz w:val="16"/>
          <w:szCs w:val="16"/>
        </w:rPr>
        <w:softHyphen/>
        <w:t>тивность главным образом за счет лучшей "подвижности" над полем боя. В противовес этому С. В. Илью</w:t>
      </w:r>
      <w:r w:rsidRPr="001E2C69">
        <w:rPr>
          <w:rFonts w:ascii="Times New Roman" w:hAnsi="Times New Roman"/>
          <w:color w:val="000000" w:themeColor="text1"/>
          <w:sz w:val="16"/>
          <w:szCs w:val="16"/>
        </w:rPr>
        <w:softHyphen/>
        <w:t>шин сделал ставку на сильное бро</w:t>
      </w:r>
      <w:r w:rsidRPr="001E2C69">
        <w:rPr>
          <w:rFonts w:ascii="Times New Roman" w:hAnsi="Times New Roman"/>
          <w:color w:val="000000" w:themeColor="text1"/>
          <w:sz w:val="16"/>
          <w:szCs w:val="16"/>
        </w:rPr>
        <w:softHyphen/>
        <w:t>нирование и мощное бомбовое и пу</w:t>
      </w:r>
      <w:r w:rsidRPr="001E2C69">
        <w:rPr>
          <w:rFonts w:ascii="Times New Roman" w:hAnsi="Times New Roman"/>
          <w:color w:val="000000" w:themeColor="text1"/>
          <w:sz w:val="16"/>
          <w:szCs w:val="16"/>
        </w:rPr>
        <w:softHyphen/>
        <w:t>шечное вооружение, что давало воз</w:t>
      </w:r>
      <w:r w:rsidRPr="001E2C69">
        <w:rPr>
          <w:rFonts w:ascii="Times New Roman" w:hAnsi="Times New Roman"/>
          <w:color w:val="000000" w:themeColor="text1"/>
          <w:sz w:val="16"/>
          <w:szCs w:val="16"/>
        </w:rPr>
        <w:softHyphen/>
        <w:t>можность использовать самолет не только в качестве штурмовика, но и ближнего дневного бомбардировщи</w:t>
      </w:r>
      <w:r w:rsidRPr="001E2C69">
        <w:rPr>
          <w:rFonts w:ascii="Times New Roman" w:hAnsi="Times New Roman"/>
          <w:color w:val="000000" w:themeColor="text1"/>
          <w:sz w:val="16"/>
          <w:szCs w:val="16"/>
        </w:rPr>
        <w:softHyphen/>
        <w:t>ка. Как известно, в ВВС Красной Армии в то время катастрофически не хватало фронтовой бомбардиро</w:t>
      </w:r>
      <w:r w:rsidRPr="001E2C69">
        <w:rPr>
          <w:rFonts w:ascii="Times New Roman" w:hAnsi="Times New Roman"/>
          <w:color w:val="000000" w:themeColor="text1"/>
          <w:sz w:val="16"/>
          <w:szCs w:val="16"/>
        </w:rPr>
        <w:softHyphen/>
        <w:t>вочной авиации. По замыслу много</w:t>
      </w:r>
      <w:r w:rsidRPr="001E2C69">
        <w:rPr>
          <w:rFonts w:ascii="Times New Roman" w:hAnsi="Times New Roman"/>
          <w:color w:val="000000" w:themeColor="text1"/>
          <w:sz w:val="16"/>
          <w:szCs w:val="16"/>
        </w:rPr>
        <w:softHyphen/>
        <w:t>целевое назначение БШ-М-71 дол</w:t>
      </w:r>
      <w:r w:rsidRPr="001E2C69">
        <w:rPr>
          <w:rFonts w:ascii="Times New Roman" w:hAnsi="Times New Roman"/>
          <w:color w:val="000000" w:themeColor="text1"/>
          <w:sz w:val="16"/>
          <w:szCs w:val="16"/>
        </w:rPr>
        <w:softHyphen/>
        <w:t>жно было обеспечить повышенную боевую эффективность при решении задач авиационной поддержки войск. Кроме этого, БШ-М-71 сохранял пре</w:t>
      </w:r>
      <w:r w:rsidRPr="001E2C69">
        <w:rPr>
          <w:rFonts w:ascii="Times New Roman" w:hAnsi="Times New Roman"/>
          <w:color w:val="000000" w:themeColor="text1"/>
          <w:sz w:val="16"/>
          <w:szCs w:val="16"/>
        </w:rPr>
        <w:softHyphen/>
        <w:t>емственность технологии производ</w:t>
      </w:r>
      <w:r w:rsidRPr="001E2C69">
        <w:rPr>
          <w:rFonts w:ascii="Times New Roman" w:hAnsi="Times New Roman"/>
          <w:color w:val="000000" w:themeColor="text1"/>
          <w:sz w:val="16"/>
          <w:szCs w:val="16"/>
        </w:rPr>
        <w:softHyphen/>
        <w:t>ства Ил-2, и предусматривалось ча</w:t>
      </w:r>
      <w:r w:rsidRPr="001E2C69">
        <w:rPr>
          <w:rFonts w:ascii="Times New Roman" w:hAnsi="Times New Roman"/>
          <w:color w:val="000000" w:themeColor="text1"/>
          <w:sz w:val="16"/>
          <w:szCs w:val="16"/>
        </w:rPr>
        <w:softHyphen/>
        <w:t>стичное (до 25%) использование го</w:t>
      </w:r>
      <w:r w:rsidRPr="001E2C69">
        <w:rPr>
          <w:rFonts w:ascii="Times New Roman" w:hAnsi="Times New Roman"/>
          <w:color w:val="000000" w:themeColor="text1"/>
          <w:sz w:val="16"/>
          <w:szCs w:val="16"/>
        </w:rPr>
        <w:softHyphen/>
        <w:t>товых деталей, узлов и оснастки от "двойки". Поэтому в случае запуска в серию Су-6 С. В. Ильюшин вполне резонно рассчитывал на сохранение за собой серийных заводов, где воз</w:t>
      </w:r>
      <w:r w:rsidRPr="001E2C69">
        <w:rPr>
          <w:rFonts w:ascii="Times New Roman" w:hAnsi="Times New Roman"/>
          <w:color w:val="000000" w:themeColor="text1"/>
          <w:sz w:val="16"/>
          <w:szCs w:val="16"/>
        </w:rPr>
        <w:softHyphen/>
        <w:t>можно развертывание производства своего боевого самолета с таким же мотором как у сухого (11426).</w:t>
      </w:r>
    </w:p>
    <w:p w14:paraId="0B3DD2F3"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DD2677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августа 1942 оптические прицелы ПБП стали заменять на упрощенные прицелы ВВ-1 (23,116), разработанные начальником бригады вооружения СКО завода 18 Г.К.Васильевым, состоящие из сетки, нанесенной на лобовое стекло кабины, визирных линий, нанесенных белой краской, и 3 мушек - на капоте двигателя с лета 1942. Этими прицелами стали оснащаться как одноместные, так и двухместные машины, но одновременно, в соответствии с техническим описанием они могли оснащаться и прицелами ПБП-1.</w:t>
      </w:r>
    </w:p>
    <w:p w14:paraId="6BD7A94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Где-то в это же время на Ил-2 стали ставить фибровые баки, которые значительно повысили живучесть машины (7,90). Решением о массовом производстве фибровых баков, принятым в 1941, предлагалось заменить ими все металлические на имеющихся машинах (229,22). Сама идея баков была взята с немецких машин, испытываемых в ЦАГИ в 1941.</w:t>
      </w:r>
    </w:p>
    <w:p w14:paraId="4B86D8D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августа 1942 Г.М.Б. направил в НКАП Эскизный проект морского разведчика открытого моря МДР-10 - тяжелой (22 т) двухмоторной л/л с крылом в виде обратной чайки и двухкилевым оперением. Предлагалось несколько вариантов - дальний морской разведчик, фоторазведчик-аэрофотосъемщик, десантная амфибия с неубирающимся шасси (3939,4).</w:t>
      </w:r>
    </w:p>
    <w:p w14:paraId="0F39C9A3" w14:textId="77777777" w:rsidR="00AE7191" w:rsidRPr="001E2C69" w:rsidRDefault="00AE7191" w:rsidP="00722885">
      <w:pPr>
        <w:pStyle w:val="Iauiue"/>
        <w:jc w:val="both"/>
        <w:rPr>
          <w:color w:val="000000" w:themeColor="text1"/>
          <w:sz w:val="16"/>
          <w:szCs w:val="16"/>
        </w:rPr>
      </w:pPr>
    </w:p>
    <w:p w14:paraId="36F92CA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августа 1942 г. на Ил-2 (к сожале</w:t>
      </w:r>
      <w:r w:rsidRPr="001E2C69">
        <w:rPr>
          <w:color w:val="000000" w:themeColor="text1"/>
          <w:sz w:val="16"/>
          <w:szCs w:val="16"/>
        </w:rPr>
        <w:softHyphen/>
        <w:t>нию, не на всех) стали устанавливаться радиополукомпасы РПК-10. К концу года самолеты штурмовой авиации ВВС КА были оборудованы РПК-10 в соотноше</w:t>
      </w:r>
      <w:r w:rsidRPr="001E2C69">
        <w:rPr>
          <w:color w:val="000000" w:themeColor="text1"/>
          <w:sz w:val="16"/>
          <w:szCs w:val="16"/>
        </w:rPr>
        <w:softHyphen/>
        <w:t>нии 1:4 - 1:5 (6467).</w:t>
      </w:r>
    </w:p>
    <w:p w14:paraId="10331CF3" w14:textId="77777777" w:rsidR="00AE7191" w:rsidRPr="001E2C69" w:rsidRDefault="00AE7191" w:rsidP="00722885">
      <w:pPr>
        <w:pStyle w:val="Iauiue"/>
        <w:jc w:val="both"/>
        <w:rPr>
          <w:color w:val="000000" w:themeColor="text1"/>
          <w:sz w:val="16"/>
          <w:szCs w:val="16"/>
        </w:rPr>
      </w:pPr>
    </w:p>
    <w:p w14:paraId="191CCA48" w14:textId="77777777" w:rsidR="00A032BF" w:rsidRPr="001E2C69" w:rsidRDefault="00A032BF"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eastAsia="Times New Roman" w:hAnsi="Times New Roman"/>
          <w:color w:val="000000" w:themeColor="text1"/>
          <w:sz w:val="16"/>
          <w:szCs w:val="16"/>
        </w:rPr>
        <w:t>С августа 1942 г. на штурмовиках (к сожалению, не на всех) стали устанавливаться радиополукомпасы РПК-10. К концу года самолеты штурмовой авиации ВВС РККА были оборудованы РПК-10 в соотношении 1:4-1:5 (ЦАМО РФ, ф. 311, оп. 4495, д. 282, л. 213) (20186).</w:t>
      </w:r>
    </w:p>
    <w:p w14:paraId="0088FA29" w14:textId="77777777" w:rsidR="00A032BF" w:rsidRPr="001E2C69" w:rsidRDefault="00A032BF" w:rsidP="00722885">
      <w:pPr>
        <w:shd w:val="clear" w:color="auto" w:fill="FFFFFF"/>
        <w:spacing w:after="0" w:line="240" w:lineRule="auto"/>
        <w:jc w:val="both"/>
        <w:rPr>
          <w:rFonts w:ascii="Times New Roman" w:hAnsi="Times New Roman"/>
          <w:color w:val="000000" w:themeColor="text1"/>
          <w:sz w:val="16"/>
          <w:szCs w:val="16"/>
        </w:rPr>
      </w:pPr>
    </w:p>
    <w:p w14:paraId="13EA49A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закончились наземные испытания 11П-37 ОКБ-16 - будущей НС-37 (65,114).</w:t>
      </w:r>
    </w:p>
    <w:p w14:paraId="1E1962E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Увидев, что в отчете нет рекомендации о серии А.Э.Нудельман в августе 1942 написал И.В.С. В коротком письме докладывалось, что разработана и рекомендована на вооружение 37-мм АП для истребителей и штурмовиков, имеющая большие преимущества перед Ш-37, но принятию пушки на вооружение препятствуют личные интересы Б.Г.Шпитального. Отправив письмо А.Э.Нудельман позвонил А.Н.Поскребышеву и попросил доложить (263,51).</w:t>
      </w:r>
    </w:p>
    <w:p w14:paraId="4EF4888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Опять бесовщина.</w:t>
      </w:r>
    </w:p>
    <w:p w14:paraId="1626242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И.В.С. в тот же день зачел письмо Б.Л.Ванникову и наркому вооружения Д.Ф.У. и поручил срочно разобраться (263,52).</w:t>
      </w:r>
    </w:p>
    <w:p w14:paraId="504654E5" w14:textId="77777777" w:rsidR="00AE7191" w:rsidRPr="001E2C69" w:rsidRDefault="00AE7191" w:rsidP="00722885">
      <w:pPr>
        <w:pStyle w:val="Iauiue"/>
        <w:jc w:val="both"/>
        <w:rPr>
          <w:color w:val="000000" w:themeColor="text1"/>
          <w:sz w:val="16"/>
          <w:szCs w:val="16"/>
        </w:rPr>
      </w:pPr>
    </w:p>
    <w:p w14:paraId="3533B5C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августа 1942 АМ-38Ф пошел в серию (180,101).</w:t>
      </w:r>
    </w:p>
    <w:p w14:paraId="1BD14BF1" w14:textId="77777777" w:rsidR="00AE7191" w:rsidRPr="001E2C69" w:rsidRDefault="00AE7191" w:rsidP="00722885">
      <w:pPr>
        <w:pStyle w:val="Iauiue"/>
        <w:jc w:val="both"/>
        <w:rPr>
          <w:color w:val="000000" w:themeColor="text1"/>
          <w:sz w:val="16"/>
          <w:szCs w:val="16"/>
        </w:rPr>
      </w:pPr>
    </w:p>
    <w:p w14:paraId="475B1C5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завод № 45 отправил на самолетострои</w:t>
      </w:r>
      <w:r w:rsidRPr="001E2C69">
        <w:rPr>
          <w:rFonts w:ascii="Times New Roman" w:hAnsi="Times New Roman"/>
          <w:color w:val="000000" w:themeColor="text1"/>
          <w:sz w:val="16"/>
          <w:szCs w:val="16"/>
        </w:rPr>
        <w:softHyphen/>
        <w:t>тельные предприятия 52 двигателя - на один больше плана. В сентябре завод перевыполнил программу, предусматривавшую изго</w:t>
      </w:r>
      <w:r w:rsidRPr="001E2C69">
        <w:rPr>
          <w:rFonts w:ascii="Times New Roman" w:hAnsi="Times New Roman"/>
          <w:color w:val="000000" w:themeColor="text1"/>
          <w:sz w:val="16"/>
          <w:szCs w:val="16"/>
        </w:rPr>
        <w:softHyphen/>
        <w:t>товление 85 моторов, и занял третье место среди предприятий наркомата. Так же уверенно завод работал и в ок</w:t>
      </w:r>
      <w:r w:rsidRPr="001E2C69">
        <w:rPr>
          <w:rFonts w:ascii="Times New Roman" w:hAnsi="Times New Roman"/>
          <w:color w:val="000000" w:themeColor="text1"/>
          <w:sz w:val="16"/>
          <w:szCs w:val="16"/>
        </w:rPr>
        <w:softHyphen/>
        <w:t>тябре, доведя месячную производитель</w:t>
      </w:r>
      <w:r w:rsidRPr="001E2C69">
        <w:rPr>
          <w:rFonts w:ascii="Times New Roman" w:hAnsi="Times New Roman"/>
          <w:color w:val="000000" w:themeColor="text1"/>
          <w:sz w:val="16"/>
          <w:szCs w:val="16"/>
        </w:rPr>
        <w:softHyphen/>
        <w:t>ность до 130 единиц (11159). Однако в конце года из-за проблем с кадрами и плохих погодных условий ситуация ухудшилась. Достаточно ска</w:t>
      </w:r>
      <w:r w:rsidRPr="001E2C69">
        <w:rPr>
          <w:rFonts w:ascii="Times New Roman" w:hAnsi="Times New Roman"/>
          <w:color w:val="000000" w:themeColor="text1"/>
          <w:sz w:val="16"/>
          <w:szCs w:val="16"/>
        </w:rPr>
        <w:softHyphen/>
        <w:t>зать, что за 1942 г. на завод было при</w:t>
      </w:r>
      <w:r w:rsidRPr="001E2C69">
        <w:rPr>
          <w:rFonts w:ascii="Times New Roman" w:hAnsi="Times New Roman"/>
          <w:color w:val="000000" w:themeColor="text1"/>
          <w:sz w:val="16"/>
          <w:szCs w:val="16"/>
        </w:rPr>
        <w:softHyphen/>
        <w:t>нято 14 238 человек, в том числе 7260 рабочих и 1769 инженеров и техни</w:t>
      </w:r>
      <w:r w:rsidRPr="001E2C69">
        <w:rPr>
          <w:rFonts w:ascii="Times New Roman" w:hAnsi="Times New Roman"/>
          <w:color w:val="000000" w:themeColor="text1"/>
          <w:sz w:val="16"/>
          <w:szCs w:val="16"/>
        </w:rPr>
        <w:softHyphen/>
        <w:t>ков. Из указанного числа рабочих толь</w:t>
      </w:r>
      <w:r w:rsidRPr="001E2C69">
        <w:rPr>
          <w:rFonts w:ascii="Times New Roman" w:hAnsi="Times New Roman"/>
          <w:color w:val="000000" w:themeColor="text1"/>
          <w:sz w:val="16"/>
          <w:szCs w:val="16"/>
        </w:rPr>
        <w:softHyphen/>
        <w:t>ко 40 % имели опыт работы на заводе, остальные были «зелеными» новичка</w:t>
      </w:r>
      <w:r w:rsidRPr="001E2C69">
        <w:rPr>
          <w:rFonts w:ascii="Times New Roman" w:hAnsi="Times New Roman"/>
          <w:color w:val="000000" w:themeColor="text1"/>
          <w:sz w:val="16"/>
          <w:szCs w:val="16"/>
        </w:rPr>
        <w:softHyphen/>
        <w:t>ми. В течение года на предприятии прошло обучен-и'ё специальности 4176 человек (в том числе 1265 тока</w:t>
      </w:r>
      <w:r w:rsidRPr="001E2C69">
        <w:rPr>
          <w:rFonts w:ascii="Times New Roman" w:hAnsi="Times New Roman"/>
          <w:color w:val="000000" w:themeColor="text1"/>
          <w:sz w:val="16"/>
          <w:szCs w:val="16"/>
        </w:rPr>
        <w:softHyphen/>
        <w:t>рей, 82 слесаря, 273 шлифовщика и 360 фрезеровщиков).</w:t>
      </w:r>
    </w:p>
    <w:p w14:paraId="0D5A190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Недостаточная квалификация ра</w:t>
      </w:r>
      <w:r w:rsidRPr="001E2C69">
        <w:rPr>
          <w:rFonts w:ascii="Times New Roman" w:hAnsi="Times New Roman"/>
          <w:color w:val="000000" w:themeColor="text1"/>
          <w:sz w:val="16"/>
          <w:szCs w:val="16"/>
        </w:rPr>
        <w:softHyphen/>
        <w:t>ботников грозила срывом производ</w:t>
      </w:r>
      <w:r w:rsidRPr="001E2C69">
        <w:rPr>
          <w:rFonts w:ascii="Times New Roman" w:hAnsi="Times New Roman"/>
          <w:color w:val="000000" w:themeColor="text1"/>
          <w:sz w:val="16"/>
          <w:szCs w:val="16"/>
        </w:rPr>
        <w:softHyphen/>
        <w:t>ственных планов. Три мотора, постав</w:t>
      </w:r>
      <w:r w:rsidRPr="001E2C69">
        <w:rPr>
          <w:rFonts w:ascii="Times New Roman" w:hAnsi="Times New Roman"/>
          <w:color w:val="000000" w:themeColor="text1"/>
          <w:sz w:val="16"/>
          <w:szCs w:val="16"/>
        </w:rPr>
        <w:softHyphen/>
        <w:t>ленные на длительные испытания осе</w:t>
      </w:r>
      <w:r w:rsidRPr="001E2C69">
        <w:rPr>
          <w:rFonts w:ascii="Times New Roman" w:hAnsi="Times New Roman"/>
          <w:color w:val="000000" w:themeColor="text1"/>
          <w:sz w:val="16"/>
          <w:szCs w:val="16"/>
        </w:rPr>
        <w:softHyphen/>
        <w:t>нью 1942 г., не отработали установлен</w:t>
      </w:r>
      <w:r w:rsidRPr="001E2C69">
        <w:rPr>
          <w:rFonts w:ascii="Times New Roman" w:hAnsi="Times New Roman"/>
          <w:color w:val="000000" w:themeColor="text1"/>
          <w:sz w:val="16"/>
          <w:szCs w:val="16"/>
        </w:rPr>
        <w:softHyphen/>
        <w:t>ного 100-часового срока. Четвертый двигатель АМ-38 честно «отбарабанил» 100 часов, но на 104-м у него оборвался равноправный шатун. Вообще, наи</w:t>
      </w:r>
      <w:r w:rsidRPr="001E2C69">
        <w:rPr>
          <w:rFonts w:ascii="Times New Roman" w:hAnsi="Times New Roman"/>
          <w:color w:val="000000" w:themeColor="text1"/>
          <w:sz w:val="16"/>
          <w:szCs w:val="16"/>
        </w:rPr>
        <w:softHyphen/>
        <w:t>более характерными поломками АМ-38 в тот период были разрушения шесте</w:t>
      </w:r>
      <w:r w:rsidRPr="001E2C69">
        <w:rPr>
          <w:rFonts w:ascii="Times New Roman" w:hAnsi="Times New Roman"/>
          <w:color w:val="000000" w:themeColor="text1"/>
          <w:sz w:val="16"/>
          <w:szCs w:val="16"/>
        </w:rPr>
        <w:softHyphen/>
        <w:t>рен и поломки клапанов, что было выз</w:t>
      </w:r>
      <w:r w:rsidRPr="001E2C69">
        <w:rPr>
          <w:rFonts w:ascii="Times New Roman" w:hAnsi="Times New Roman"/>
          <w:color w:val="000000" w:themeColor="text1"/>
          <w:sz w:val="16"/>
          <w:szCs w:val="16"/>
        </w:rPr>
        <w:softHyphen/>
        <w:t>вано нетолько невысоким качеством из</w:t>
      </w:r>
      <w:r w:rsidRPr="001E2C69">
        <w:rPr>
          <w:rFonts w:ascii="Times New Roman" w:hAnsi="Times New Roman"/>
          <w:color w:val="000000" w:themeColor="text1"/>
          <w:sz w:val="16"/>
          <w:szCs w:val="16"/>
        </w:rPr>
        <w:softHyphen/>
        <w:t>готовления моторов, но и низкокаче</w:t>
      </w:r>
      <w:r w:rsidRPr="001E2C69">
        <w:rPr>
          <w:rFonts w:ascii="Times New Roman" w:hAnsi="Times New Roman"/>
          <w:color w:val="000000" w:themeColor="text1"/>
          <w:sz w:val="16"/>
          <w:szCs w:val="16"/>
        </w:rPr>
        <w:softHyphen/>
        <w:t>ственным третьесортным бензином, которым снабжался завод (11159).</w:t>
      </w:r>
    </w:p>
    <w:p w14:paraId="547E237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280FF213" w14:textId="77777777" w:rsidR="00A032BF" w:rsidRPr="001E2C69" w:rsidRDefault="00A032B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года Акт с положительными результатами Государственных испытаний пушки 11П-37 был подписан, но рекомендации о принятии ее на вооружение он не содержал. Тогда Нудельман решился обратиться лично к Сталину, утверждая, что принятию на вооружение пушки 11П-37 препятствуют только личные интересы Шпитального. Председатель Государственного Комитета Обороны в тот же день прочел письмо и поручил Наркомам вооружения Д.Ф. Устинову и боеприпасов Б.Л. Ванникову разобраться.</w:t>
      </w:r>
    </w:p>
    <w:p w14:paraId="06C6794E" w14:textId="77777777" w:rsidR="00A032BF" w:rsidRPr="001E2C69" w:rsidRDefault="00A032BF"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Те избрали единственно надежный метод определения истины: 1 сентября на Научно-испытательном полигоне авиавооружения собрали комиссию в составе Наркома боеприпасов Ванникова, замнаркома вооружения Барсукова и Кирпичникова — зама члена ГКО по производству вооружения Вознесенского. Приехали представители КБ-16 во главе с Нудельманом, Шпитальный же появиться не соизволил. На аэродром НИПАВ пригнали три ЛаГГ-3 с пушками Ш-37 из 42-го ИАП и один с орудием 11П-37. Он сделал один за другим три полета, в каждом из которых «на отлично» отстреляв по полному боекомплекту, тогда как ни одна пушка Шпитального ни в одном полете не отработала без задержек  (22880).</w:t>
      </w:r>
    </w:p>
    <w:p w14:paraId="072853DF" w14:textId="77777777" w:rsidR="00A032BF" w:rsidRPr="001E2C69" w:rsidRDefault="00A032BF" w:rsidP="00722885">
      <w:pPr>
        <w:spacing w:after="0" w:line="240" w:lineRule="auto"/>
        <w:jc w:val="both"/>
        <w:rPr>
          <w:rFonts w:ascii="Times New Roman" w:hAnsi="Times New Roman"/>
          <w:color w:val="000000" w:themeColor="text1"/>
          <w:sz w:val="16"/>
          <w:szCs w:val="16"/>
        </w:rPr>
      </w:pPr>
    </w:p>
    <w:p w14:paraId="297C1E17" w14:textId="77777777" w:rsidR="001A29E6" w:rsidRPr="001E2C69" w:rsidRDefault="001A29E6"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августе 1942, учитывая складывающуюся вокруг пушки 11П обстановку, ОКБ-16 принимается решение об</w:t>
      </w:r>
      <w:r w:rsidRPr="001E2C69">
        <w:rPr>
          <w:color w:val="000000" w:themeColor="text1"/>
          <w:sz w:val="16"/>
          <w:szCs w:val="16"/>
        </w:rPr>
        <w:softHyphen/>
        <w:t>ратиться за помощью непосредственно к И. В. Ста</w:t>
      </w:r>
      <w:r w:rsidRPr="001E2C69">
        <w:rPr>
          <w:color w:val="000000" w:themeColor="text1"/>
          <w:sz w:val="16"/>
          <w:szCs w:val="16"/>
        </w:rPr>
        <w:softHyphen/>
        <w:t>лину. По воспоминаниям А. Э. Нудельмана, в этом письме докладывалось, что в ОКБ-16 разработана и рекомендована на вооружение 37-мм авиацион</w:t>
      </w:r>
      <w:r w:rsidRPr="001E2C69">
        <w:rPr>
          <w:color w:val="000000" w:themeColor="text1"/>
          <w:sz w:val="16"/>
          <w:szCs w:val="16"/>
        </w:rPr>
        <w:softHyphen/>
        <w:t>ная пушка 11П для истребителей и штурмовиков, имеющая большие преимущества перед пушкой Ш-37. Однако «принятию пушки мешают личные интересы Шпитального Б. Г., в то время как воору</w:t>
      </w:r>
      <w:r w:rsidRPr="001E2C69">
        <w:rPr>
          <w:color w:val="000000" w:themeColor="text1"/>
          <w:sz w:val="16"/>
          <w:szCs w:val="16"/>
        </w:rPr>
        <w:softHyphen/>
        <w:t>жение ею авиации сейчас, во время войны, помо</w:t>
      </w:r>
      <w:r w:rsidRPr="001E2C69">
        <w:rPr>
          <w:color w:val="000000" w:themeColor="text1"/>
          <w:sz w:val="16"/>
          <w:szCs w:val="16"/>
        </w:rPr>
        <w:softHyphen/>
        <w:t>жет обеспечить господство наших самолетов в воз</w:t>
      </w:r>
      <w:r w:rsidRPr="001E2C69">
        <w:rPr>
          <w:color w:val="000000" w:themeColor="text1"/>
          <w:sz w:val="16"/>
          <w:szCs w:val="16"/>
        </w:rPr>
        <w:softHyphen/>
        <w:t>духе».</w:t>
      </w:r>
    </w:p>
    <w:p w14:paraId="199B1B0B" w14:textId="77777777" w:rsidR="001A29E6" w:rsidRPr="001E2C69" w:rsidRDefault="001A29E6" w:rsidP="00722885">
      <w:pPr>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hAnsi="Times New Roman"/>
          <w:color w:val="000000" w:themeColor="text1"/>
          <w:sz w:val="16"/>
          <w:szCs w:val="16"/>
        </w:rPr>
        <w:t>И. В. Сталин дал поручение нарко</w:t>
      </w:r>
      <w:r w:rsidRPr="001E2C69">
        <w:rPr>
          <w:rFonts w:ascii="Times New Roman" w:hAnsi="Times New Roman"/>
          <w:color w:val="000000" w:themeColor="text1"/>
          <w:sz w:val="16"/>
          <w:szCs w:val="16"/>
        </w:rPr>
        <w:softHyphen/>
        <w:t>му вооружения Д. Ф. Устинову и наркому боепри</w:t>
      </w:r>
      <w:r w:rsidRPr="001E2C69">
        <w:rPr>
          <w:rFonts w:ascii="Times New Roman" w:hAnsi="Times New Roman"/>
          <w:color w:val="000000" w:themeColor="text1"/>
          <w:sz w:val="16"/>
          <w:szCs w:val="16"/>
        </w:rPr>
        <w:softHyphen/>
        <w:t>пасов Б. Л. Ванникову срочно разобраться в этом вопросе. Соответствующие указания получили за</w:t>
      </w:r>
      <w:r w:rsidRPr="001E2C69">
        <w:rPr>
          <w:rFonts w:ascii="Times New Roman" w:hAnsi="Times New Roman"/>
          <w:color w:val="000000" w:themeColor="text1"/>
          <w:sz w:val="16"/>
          <w:szCs w:val="16"/>
        </w:rPr>
        <w:softHyphen/>
        <w:t>меститель председателя ГКО Н. А. Вознесенский и командующий ВВС КА генерал А. А. Новиков (17500).</w:t>
      </w:r>
    </w:p>
    <w:p w14:paraId="6E6941CC" w14:textId="77777777" w:rsidR="001A29E6" w:rsidRPr="001E2C69" w:rsidRDefault="001A29E6" w:rsidP="00722885">
      <w:pPr>
        <w:spacing w:after="0" w:line="240" w:lineRule="auto"/>
        <w:jc w:val="both"/>
        <w:rPr>
          <w:rFonts w:ascii="Times New Roman" w:eastAsia="Times New Roman" w:hAnsi="Times New Roman"/>
          <w:color w:val="000000" w:themeColor="text1"/>
          <w:sz w:val="16"/>
          <w:szCs w:val="16"/>
          <w:lang w:eastAsia="ru-RU"/>
        </w:rPr>
      </w:pPr>
    </w:p>
    <w:p w14:paraId="062264FF" w14:textId="77777777" w:rsidR="000F18D5" w:rsidRPr="001E2C69" w:rsidRDefault="000F18D5"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августе 1942 г. с формулиров</w:t>
      </w:r>
      <w:r w:rsidRPr="001E2C69">
        <w:rPr>
          <w:color w:val="000000" w:themeColor="text1"/>
          <w:sz w:val="16"/>
          <w:szCs w:val="16"/>
        </w:rPr>
        <w:softHyphen/>
        <w:t>кой «в связи с необходимостью проведения ин</w:t>
      </w:r>
      <w:r w:rsidRPr="001E2C69">
        <w:rPr>
          <w:color w:val="000000" w:themeColor="text1"/>
          <w:sz w:val="16"/>
          <w:szCs w:val="16"/>
        </w:rPr>
        <w:softHyphen/>
        <w:t>структажа летного состава вновь формируемых штурмовых и истребительных противотанковых полков в стрельбе, бомбометании и выполнении атак по танкам» старший лейтенант Канюко и млад</w:t>
      </w:r>
      <w:r w:rsidRPr="001E2C69">
        <w:rPr>
          <w:color w:val="000000" w:themeColor="text1"/>
          <w:sz w:val="16"/>
          <w:szCs w:val="16"/>
        </w:rPr>
        <w:softHyphen/>
        <w:t>ший лейтенант Назаров из 245-го шап были отко</w:t>
      </w:r>
      <w:r w:rsidRPr="001E2C69">
        <w:rPr>
          <w:color w:val="000000" w:themeColor="text1"/>
          <w:sz w:val="16"/>
          <w:szCs w:val="16"/>
        </w:rPr>
        <w:softHyphen/>
        <w:t>мандированы в 4-й отдел НИИ ВВС. Утверждалось, что «указанные летчики прошли специальную тре</w:t>
      </w:r>
      <w:r w:rsidRPr="001E2C69">
        <w:rPr>
          <w:color w:val="000000" w:themeColor="text1"/>
          <w:sz w:val="16"/>
          <w:szCs w:val="16"/>
        </w:rPr>
        <w:softHyphen/>
        <w:t>нировку в действии по танкам и являются вполне подготовленными инструкторами, которых можно с успехом использовать при переучивании летного состава противотанковых полков» (17500).</w:t>
      </w:r>
    </w:p>
    <w:p w14:paraId="70892DED" w14:textId="77777777" w:rsidR="000F18D5" w:rsidRPr="001E2C69" w:rsidRDefault="000F18D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9B3CC2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года, помня о проблемах, возникших при летной отработке самолетов с М-82 в 1941 году, завод №19 провел первый этап летных испытаний мотора М-82НВ на само</w:t>
      </w:r>
      <w:r w:rsidRPr="001E2C69">
        <w:rPr>
          <w:rFonts w:ascii="Times New Roman" w:hAnsi="Times New Roman"/>
          <w:color w:val="000000" w:themeColor="text1"/>
          <w:sz w:val="16"/>
          <w:szCs w:val="16"/>
        </w:rPr>
        <w:softHyphen/>
        <w:t>лете Су-2, также показавший хоро</w:t>
      </w:r>
      <w:r w:rsidRPr="001E2C69">
        <w:rPr>
          <w:rFonts w:ascii="Times New Roman" w:hAnsi="Times New Roman"/>
          <w:color w:val="000000" w:themeColor="text1"/>
          <w:sz w:val="16"/>
          <w:szCs w:val="16"/>
        </w:rPr>
        <w:softHyphen/>
        <w:t>шие результаты (10705).</w:t>
      </w:r>
    </w:p>
    <w:p w14:paraId="61AB626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06EB2E1D"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Сухой получил разрешение Шахурина дополнительно построить ещё два самолёта Су-6 с противотанковым вооружением.</w:t>
      </w:r>
    </w:p>
    <w:p w14:paraId="0754CB75" w14:textId="77777777" w:rsidR="00BD5EB5" w:rsidRPr="001E2C69" w:rsidRDefault="00BD5EB5"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Первый штурмовик Су-6 с 37-мм пушками и с мотором М-71 ф был построен в декабре1942 г. Однако на испытания не передавался, так как в начале января 1943 г. П.О. Сухой предъявил эскизный проект модифицированного штурмовика Су-6 М-71ф (заводское обозначение С2А) уже в двухместном варианте (по опыту войны). Этот самолёт был построен и к концу августа 1943 г. с блеском прошёл государственные испытания, но по ряду субъективных и объективных причин в серийное производство не запускался, хотя военные и настаивали, даже в ущерб планам выпуска самолётов Ил-2 (15846).</w:t>
      </w:r>
    </w:p>
    <w:p w14:paraId="5B0DEE77" w14:textId="77777777" w:rsidR="00BD5EB5" w:rsidRPr="001E2C69" w:rsidRDefault="00BD5EB5" w:rsidP="00722885">
      <w:pPr>
        <w:spacing w:after="0" w:line="240" w:lineRule="auto"/>
        <w:jc w:val="both"/>
        <w:rPr>
          <w:rFonts w:ascii="Times New Roman" w:hAnsi="Times New Roman"/>
          <w:color w:val="000000" w:themeColor="text1"/>
          <w:sz w:val="16"/>
          <w:szCs w:val="16"/>
        </w:rPr>
      </w:pPr>
    </w:p>
    <w:p w14:paraId="40823674" w14:textId="77777777" w:rsidR="00BF7700" w:rsidRPr="001E2C69" w:rsidRDefault="00BF7700"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августе 1943 Сухой получил раз</w:t>
      </w:r>
      <w:r w:rsidRPr="001E2C69">
        <w:rPr>
          <w:color w:val="000000" w:themeColor="text1"/>
          <w:sz w:val="16"/>
          <w:szCs w:val="16"/>
        </w:rPr>
        <w:softHyphen/>
        <w:t>решение Шахурина дополнительно построить еще 2 самолета Су-6 с противотанковым вооружением.</w:t>
      </w:r>
    </w:p>
    <w:p w14:paraId="5E6FD735" w14:textId="77777777" w:rsidR="00BF7700" w:rsidRPr="001E2C69" w:rsidRDefault="00BF7700"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Первый штурмовик Су-6 с 37-мм пушками и с мотором М-71ф был построен в декабре 1942 г. Однако на испытания не передавался, так как в на</w:t>
      </w:r>
      <w:r w:rsidRPr="001E2C69">
        <w:rPr>
          <w:color w:val="000000" w:themeColor="text1"/>
          <w:sz w:val="16"/>
          <w:szCs w:val="16"/>
        </w:rPr>
        <w:softHyphen/>
        <w:t>чале января 1943 г. П. О. Сухой предъявил эскиз</w:t>
      </w:r>
      <w:r w:rsidRPr="001E2C69">
        <w:rPr>
          <w:color w:val="000000" w:themeColor="text1"/>
          <w:sz w:val="16"/>
          <w:szCs w:val="16"/>
        </w:rPr>
        <w:softHyphen/>
        <w:t>ный проект модифицированного штурмовика Су-6 М-71ф (заводское обозначение С2А) уже в двух</w:t>
      </w:r>
      <w:r w:rsidRPr="001E2C69">
        <w:rPr>
          <w:color w:val="000000" w:themeColor="text1"/>
          <w:sz w:val="16"/>
          <w:szCs w:val="16"/>
        </w:rPr>
        <w:softHyphen/>
        <w:t>местном варианте (по опыту войны). Этот самолет был построен и к концу августа 1943 г. успешно прошел государственные испытания, но по ряду субъективных и объективных причин в серийное производство не запускался, хотя военные и на</w:t>
      </w:r>
      <w:r w:rsidRPr="001E2C69">
        <w:rPr>
          <w:color w:val="000000" w:themeColor="text1"/>
          <w:sz w:val="16"/>
          <w:szCs w:val="16"/>
        </w:rPr>
        <w:softHyphen/>
        <w:t>стаивали, даже в ущерб планам выпуска самоле</w:t>
      </w:r>
      <w:r w:rsidRPr="001E2C69">
        <w:rPr>
          <w:color w:val="000000" w:themeColor="text1"/>
          <w:sz w:val="16"/>
          <w:szCs w:val="16"/>
        </w:rPr>
        <w:softHyphen/>
        <w:t>тов Ил-2 (17500).</w:t>
      </w:r>
    </w:p>
    <w:p w14:paraId="039FE8A5" w14:textId="77777777" w:rsidR="00BF7700" w:rsidRPr="001E2C69" w:rsidRDefault="00BF7700" w:rsidP="00722885">
      <w:pPr>
        <w:pStyle w:val="12a"/>
        <w:shd w:val="clear" w:color="auto" w:fill="auto"/>
        <w:spacing w:after="0" w:line="240" w:lineRule="auto"/>
        <w:jc w:val="both"/>
        <w:rPr>
          <w:color w:val="000000" w:themeColor="text1"/>
          <w:sz w:val="16"/>
          <w:szCs w:val="16"/>
        </w:rPr>
      </w:pPr>
    </w:p>
    <w:p w14:paraId="28ACB3FF" w14:textId="77777777" w:rsidR="005B1690" w:rsidRPr="001E2C69" w:rsidRDefault="005B1690"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lastRenderedPageBreak/>
        <w:t>В августе 1942 Сухой получил разрешение Шахурина дополнительно построить еще два противо</w:t>
      </w:r>
      <w:r w:rsidRPr="001E2C69">
        <w:rPr>
          <w:rFonts w:ascii="Times New Roman" w:cs="Times New Roman"/>
          <w:color w:val="000000" w:themeColor="text1"/>
          <w:spacing w:val="0"/>
          <w:sz w:val="16"/>
          <w:szCs w:val="16"/>
        </w:rPr>
        <w:softHyphen/>
        <w:t>танковых Су-6. Первый штурмовик Су-6 с 37-мм пушками и с мотором М-71 ф построили в декабре 1942 г., однако на испытания он не передавался, так как в начале января 1943 г. П.О. Сухой предъ</w:t>
      </w:r>
      <w:r w:rsidRPr="001E2C69">
        <w:rPr>
          <w:rFonts w:ascii="Times New Roman" w:cs="Times New Roman"/>
          <w:color w:val="000000" w:themeColor="text1"/>
          <w:spacing w:val="0"/>
          <w:sz w:val="16"/>
          <w:szCs w:val="16"/>
        </w:rPr>
        <w:softHyphen/>
        <w:t>явил эскизный проект модифицированного штурмовика Су-6 М-71ф (заводское обозначе</w:t>
      </w:r>
      <w:r w:rsidRPr="001E2C69">
        <w:rPr>
          <w:rFonts w:ascii="Times New Roman" w:cs="Times New Roman"/>
          <w:color w:val="000000" w:themeColor="text1"/>
          <w:spacing w:val="0"/>
          <w:sz w:val="16"/>
          <w:szCs w:val="16"/>
        </w:rPr>
        <w:softHyphen/>
        <w:t>ние С2А) уже в двухместном варианте (по опы</w:t>
      </w:r>
      <w:r w:rsidRPr="001E2C69">
        <w:rPr>
          <w:rFonts w:ascii="Times New Roman" w:cs="Times New Roman"/>
          <w:color w:val="000000" w:themeColor="text1"/>
          <w:spacing w:val="0"/>
          <w:sz w:val="16"/>
          <w:szCs w:val="16"/>
        </w:rPr>
        <w:softHyphen/>
        <w:t>ту войны). Этот самолет к концу августа 1943 г. успешно прошел государственные испытания, но по ряду причин в серийное производство не передавался, хотя военные на этом и настаи</w:t>
      </w:r>
      <w:r w:rsidRPr="001E2C69">
        <w:rPr>
          <w:rFonts w:ascii="Times New Roman" w:cs="Times New Roman"/>
          <w:color w:val="000000" w:themeColor="text1"/>
          <w:spacing w:val="0"/>
          <w:sz w:val="16"/>
          <w:szCs w:val="16"/>
        </w:rPr>
        <w:softHyphen/>
        <w:t>вали, даже в ущерб планам выпуска Ил-2 (15776).</w:t>
      </w:r>
    </w:p>
    <w:p w14:paraId="0481FE01" w14:textId="77777777" w:rsidR="005B1690" w:rsidRPr="001E2C69" w:rsidRDefault="005B1690" w:rsidP="00722885">
      <w:pPr>
        <w:pStyle w:val="36"/>
        <w:shd w:val="clear" w:color="auto" w:fill="auto"/>
        <w:spacing w:after="0" w:line="240" w:lineRule="auto"/>
        <w:jc w:val="both"/>
        <w:rPr>
          <w:rFonts w:ascii="Times New Roman" w:cs="Times New Roman"/>
          <w:color w:val="000000" w:themeColor="text1"/>
          <w:spacing w:val="0"/>
          <w:sz w:val="16"/>
          <w:szCs w:val="16"/>
        </w:rPr>
      </w:pPr>
    </w:p>
    <w:p w14:paraId="09FA20F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авгу</w:t>
      </w:r>
      <w:r w:rsidRPr="001E2C69">
        <w:rPr>
          <w:rFonts w:ascii="Times New Roman" w:hAnsi="Times New Roman"/>
          <w:color w:val="000000" w:themeColor="text1"/>
          <w:sz w:val="16"/>
          <w:szCs w:val="16"/>
        </w:rPr>
        <w:softHyphen/>
        <w:t>ста 1942 г. П.О.Сухой с разрешения наркома, строит два экземпляра одно</w:t>
      </w:r>
      <w:r w:rsidRPr="001E2C69">
        <w:rPr>
          <w:rFonts w:ascii="Times New Roman" w:hAnsi="Times New Roman"/>
          <w:color w:val="000000" w:themeColor="text1"/>
          <w:sz w:val="16"/>
          <w:szCs w:val="16"/>
        </w:rPr>
        <w:softHyphen/>
        <w:t>местных модифицированных Су-6. На них устраняются все дефекты, отмечен</w:t>
      </w:r>
      <w:r w:rsidRPr="001E2C69">
        <w:rPr>
          <w:rFonts w:ascii="Times New Roman" w:hAnsi="Times New Roman"/>
          <w:color w:val="000000" w:themeColor="text1"/>
          <w:sz w:val="16"/>
          <w:szCs w:val="16"/>
        </w:rPr>
        <w:softHyphen/>
        <w:t>ные на госиспытаниях в НИИ ВВС. Центроплан самолета с заводским обозначением Су-6 (СА) остался цельно</w:t>
      </w:r>
      <w:r w:rsidRPr="001E2C69">
        <w:rPr>
          <w:rFonts w:ascii="Times New Roman" w:hAnsi="Times New Roman"/>
          <w:color w:val="000000" w:themeColor="text1"/>
          <w:sz w:val="16"/>
          <w:szCs w:val="16"/>
        </w:rPr>
        <w:softHyphen/>
        <w:t>металлическим, с двумя лонжеронами. Он имел ниши, в которых размещались в убранном положении стойки шасси с колесами-полубаллонами размером 800x260 мм. При полностью убранном шасси ниши закрывались двумя створка</w:t>
      </w:r>
      <w:r w:rsidRPr="001E2C69">
        <w:rPr>
          <w:rFonts w:ascii="Times New Roman" w:hAnsi="Times New Roman"/>
          <w:color w:val="000000" w:themeColor="text1"/>
          <w:sz w:val="16"/>
          <w:szCs w:val="16"/>
        </w:rPr>
        <w:softHyphen/>
        <w:t>ми. Каждая опора шасси состояла из амортизационной стойки, верхняя часть которой заканчивалась стальной травер</w:t>
      </w:r>
      <w:r w:rsidRPr="001E2C69">
        <w:rPr>
          <w:rFonts w:ascii="Times New Roman" w:hAnsi="Times New Roman"/>
          <w:color w:val="000000" w:themeColor="text1"/>
          <w:sz w:val="16"/>
          <w:szCs w:val="16"/>
        </w:rPr>
        <w:softHyphen/>
        <w:t>сой, служившей для крепления стойки к центроплану; и заднего подкоса с гидра</w:t>
      </w:r>
      <w:r w:rsidRPr="001E2C69">
        <w:rPr>
          <w:rFonts w:ascii="Times New Roman" w:hAnsi="Times New Roman"/>
          <w:color w:val="000000" w:themeColor="text1"/>
          <w:sz w:val="16"/>
          <w:szCs w:val="16"/>
        </w:rPr>
        <w:softHyphen/>
        <w:t>влическим подъемником, предназначав</w:t>
      </w:r>
      <w:r w:rsidRPr="001E2C69">
        <w:rPr>
          <w:rFonts w:ascii="Times New Roman" w:hAnsi="Times New Roman"/>
          <w:color w:val="000000" w:themeColor="text1"/>
          <w:sz w:val="16"/>
          <w:szCs w:val="16"/>
        </w:rPr>
        <w:softHyphen/>
        <w:t>шимся для уборки опоры. Схема уборки следующая: стойка, вращаясь около оси крепления траверсы, уходила назад, а колесо при этом поворачивалось вокруг оси стойки на 90° и полностью оказыва</w:t>
      </w:r>
      <w:r w:rsidRPr="001E2C69">
        <w:rPr>
          <w:rFonts w:ascii="Times New Roman" w:hAnsi="Times New Roman"/>
          <w:color w:val="000000" w:themeColor="text1"/>
          <w:sz w:val="16"/>
          <w:szCs w:val="16"/>
        </w:rPr>
        <w:softHyphen/>
        <w:t>лось в центроплане. Подъемник шасси приводился в действие гидросистемой с помпой, работавшей от мотора. Аморти</w:t>
      </w:r>
      <w:r w:rsidRPr="001E2C69">
        <w:rPr>
          <w:rFonts w:ascii="Times New Roman" w:hAnsi="Times New Roman"/>
          <w:color w:val="000000" w:themeColor="text1"/>
          <w:sz w:val="16"/>
          <w:szCs w:val="16"/>
        </w:rPr>
        <w:softHyphen/>
        <w:t>затор — масляно-воздушный, с тормо</w:t>
      </w:r>
      <w:r w:rsidRPr="001E2C69">
        <w:rPr>
          <w:rFonts w:ascii="Times New Roman" w:hAnsi="Times New Roman"/>
          <w:color w:val="000000" w:themeColor="text1"/>
          <w:sz w:val="16"/>
          <w:szCs w:val="16"/>
        </w:rPr>
        <w:softHyphen/>
        <w:t>жением на обратном ходе. В деревянных отъемных консолях с двумя металлическими лонжеронами размещалось стрелковое вооружение, доступ к которому осуществлялся через люки. На нижней поверхности консолей имелись узлы для установки шести РО-82 или РО-132 и предусматривалась сво</w:t>
      </w:r>
      <w:r w:rsidRPr="001E2C69">
        <w:rPr>
          <w:rFonts w:ascii="Times New Roman" w:hAnsi="Times New Roman"/>
          <w:color w:val="000000" w:themeColor="text1"/>
          <w:sz w:val="16"/>
          <w:szCs w:val="16"/>
        </w:rPr>
        <w:softHyphen/>
        <w:t>бодная подвеска для двух бомб. В носках консолей были заложены чу</w:t>
      </w:r>
      <w:r w:rsidRPr="001E2C69">
        <w:rPr>
          <w:rFonts w:ascii="Times New Roman" w:hAnsi="Times New Roman"/>
          <w:color w:val="000000" w:themeColor="text1"/>
          <w:sz w:val="16"/>
          <w:szCs w:val="16"/>
        </w:rPr>
        <w:softHyphen/>
        <w:t>гунные противовесы, повышавшие кри</w:t>
      </w:r>
      <w:r w:rsidRPr="001E2C69">
        <w:rPr>
          <w:rFonts w:ascii="Times New Roman" w:hAnsi="Times New Roman"/>
          <w:color w:val="000000" w:themeColor="text1"/>
          <w:sz w:val="16"/>
          <w:szCs w:val="16"/>
        </w:rPr>
        <w:softHyphen/>
        <w:t>тическую скорость флаттера крыла. По</w:t>
      </w:r>
      <w:r w:rsidRPr="001E2C69">
        <w:rPr>
          <w:rFonts w:ascii="Times New Roman" w:hAnsi="Times New Roman"/>
          <w:color w:val="000000" w:themeColor="text1"/>
          <w:sz w:val="16"/>
          <w:szCs w:val="16"/>
        </w:rPr>
        <w:softHyphen/>
        <w:t>садочные щитки металлической кон</w:t>
      </w:r>
      <w:r w:rsidRPr="001E2C69">
        <w:rPr>
          <w:rFonts w:ascii="Times New Roman" w:hAnsi="Times New Roman"/>
          <w:color w:val="000000" w:themeColor="text1"/>
          <w:sz w:val="16"/>
          <w:szCs w:val="16"/>
        </w:rPr>
        <w:softHyphen/>
        <w:t>струкции, элероны металлические, с обтяжкой полотном. Левый элерон с триммером. Возможность потери попе</w:t>
      </w:r>
      <w:r w:rsidRPr="001E2C69">
        <w:rPr>
          <w:rFonts w:ascii="Times New Roman" w:hAnsi="Times New Roman"/>
          <w:color w:val="000000" w:themeColor="text1"/>
          <w:sz w:val="16"/>
          <w:szCs w:val="16"/>
        </w:rPr>
        <w:softHyphen/>
        <w:t>речной устойчивости на больших углах атаки предотвращалась применением автоматических цельнометаллических предкрылков, располагавшихся по нос</w:t>
      </w:r>
      <w:r w:rsidRPr="001E2C69">
        <w:rPr>
          <w:rFonts w:ascii="Times New Roman" w:hAnsi="Times New Roman"/>
          <w:color w:val="000000" w:themeColor="text1"/>
          <w:sz w:val="16"/>
          <w:szCs w:val="16"/>
        </w:rPr>
        <w:softHyphen/>
        <w:t>кам консолей крыла в зоне элеронов. Фюзеляж состоял из двух частей. Пе</w:t>
      </w:r>
      <w:r w:rsidRPr="001E2C69">
        <w:rPr>
          <w:rFonts w:ascii="Times New Roman" w:hAnsi="Times New Roman"/>
          <w:color w:val="000000" w:themeColor="text1"/>
          <w:sz w:val="16"/>
          <w:szCs w:val="16"/>
        </w:rPr>
        <w:softHyphen/>
        <w:t>редняя представляла собой кабину пило</w:t>
      </w:r>
      <w:r w:rsidRPr="001E2C69">
        <w:rPr>
          <w:rFonts w:ascii="Times New Roman" w:hAnsi="Times New Roman"/>
          <w:color w:val="000000" w:themeColor="text1"/>
          <w:sz w:val="16"/>
          <w:szCs w:val="16"/>
        </w:rPr>
        <w:softHyphen/>
        <w:t>та, выполненную целиком из брони, а за</w:t>
      </w:r>
      <w:r w:rsidRPr="001E2C69">
        <w:rPr>
          <w:rFonts w:ascii="Times New Roman" w:hAnsi="Times New Roman"/>
          <w:color w:val="000000" w:themeColor="text1"/>
          <w:sz w:val="16"/>
          <w:szCs w:val="16"/>
        </w:rPr>
        <w:softHyphen/>
        <w:t>дняя - цельнодеревянная конструкция. Бронекабина стыковалась с задней ча</w:t>
      </w:r>
      <w:r w:rsidRPr="001E2C69">
        <w:rPr>
          <w:rFonts w:ascii="Times New Roman" w:hAnsi="Times New Roman"/>
          <w:color w:val="000000" w:themeColor="text1"/>
          <w:sz w:val="16"/>
          <w:szCs w:val="16"/>
        </w:rPr>
        <w:softHyphen/>
        <w:t>стью посредством узлов и накладок. Под кабиной пилота размещался бен</w:t>
      </w:r>
      <w:r w:rsidRPr="001E2C69">
        <w:rPr>
          <w:rFonts w:ascii="Times New Roman" w:hAnsi="Times New Roman"/>
          <w:color w:val="000000" w:themeColor="text1"/>
          <w:sz w:val="16"/>
          <w:szCs w:val="16"/>
        </w:rPr>
        <w:softHyphen/>
        <w:t>зиновый бак, за кабиной - грузовой отсек для бомб. На левом борту фюзеляжа на</w:t>
      </w:r>
      <w:r w:rsidRPr="001E2C69">
        <w:rPr>
          <w:rFonts w:ascii="Times New Roman" w:hAnsi="Times New Roman"/>
          <w:color w:val="000000" w:themeColor="text1"/>
          <w:sz w:val="16"/>
          <w:szCs w:val="16"/>
        </w:rPr>
        <w:softHyphen/>
        <w:t>ходился люк для доступа внутрь хвосто</w:t>
      </w:r>
      <w:r w:rsidRPr="001E2C69">
        <w:rPr>
          <w:rFonts w:ascii="Times New Roman" w:hAnsi="Times New Roman"/>
          <w:color w:val="000000" w:themeColor="text1"/>
          <w:sz w:val="16"/>
          <w:szCs w:val="16"/>
        </w:rPr>
        <w:softHyphen/>
        <w:t>вой части. Фонарь пилота имел перед</w:t>
      </w:r>
      <w:r w:rsidRPr="001E2C69">
        <w:rPr>
          <w:rFonts w:ascii="Times New Roman" w:hAnsi="Times New Roman"/>
          <w:color w:val="000000" w:themeColor="text1"/>
          <w:sz w:val="16"/>
          <w:szCs w:val="16"/>
        </w:rPr>
        <w:softHyphen/>
        <w:t>нюю часть и козырек из прозрачной бро</w:t>
      </w:r>
      <w:r w:rsidRPr="001E2C69">
        <w:rPr>
          <w:rFonts w:ascii="Times New Roman" w:hAnsi="Times New Roman"/>
          <w:color w:val="000000" w:themeColor="text1"/>
          <w:sz w:val="16"/>
          <w:szCs w:val="16"/>
        </w:rPr>
        <w:softHyphen/>
        <w:t>ни. Фонарь заканчивался обтекателем. Неподвижный стабилизатор - цельно</w:t>
      </w:r>
      <w:r w:rsidRPr="001E2C69">
        <w:rPr>
          <w:rFonts w:ascii="Times New Roman" w:hAnsi="Times New Roman"/>
          <w:color w:val="000000" w:themeColor="text1"/>
          <w:sz w:val="16"/>
          <w:szCs w:val="16"/>
        </w:rPr>
        <w:softHyphen/>
        <w:t>металлической конструкции; киль - де</w:t>
      </w:r>
      <w:r w:rsidRPr="001E2C69">
        <w:rPr>
          <w:rFonts w:ascii="Times New Roman" w:hAnsi="Times New Roman"/>
          <w:color w:val="000000" w:themeColor="text1"/>
          <w:sz w:val="16"/>
          <w:szCs w:val="16"/>
        </w:rPr>
        <w:softHyphen/>
        <w:t>ревянный, с фанерной обшивкой. Металлические рули с весовой и аэро</w:t>
      </w:r>
      <w:r w:rsidRPr="001E2C69">
        <w:rPr>
          <w:rFonts w:ascii="Times New Roman" w:hAnsi="Times New Roman"/>
          <w:color w:val="000000" w:themeColor="text1"/>
          <w:sz w:val="16"/>
          <w:szCs w:val="16"/>
        </w:rPr>
        <w:softHyphen/>
        <w:t>динамической компенсацией, с полотня</w:t>
      </w:r>
      <w:r w:rsidRPr="001E2C69">
        <w:rPr>
          <w:rFonts w:ascii="Times New Roman" w:hAnsi="Times New Roman"/>
          <w:color w:val="000000" w:themeColor="text1"/>
          <w:sz w:val="16"/>
          <w:szCs w:val="16"/>
        </w:rPr>
        <w:softHyphen/>
        <w:t>ной обшивкой, имели триммеры. Ко</w:t>
      </w:r>
      <w:r w:rsidRPr="001E2C69">
        <w:rPr>
          <w:rFonts w:ascii="Times New Roman" w:hAnsi="Times New Roman"/>
          <w:color w:val="000000" w:themeColor="text1"/>
          <w:sz w:val="16"/>
          <w:szCs w:val="16"/>
        </w:rPr>
        <w:softHyphen/>
        <w:t>стыль с колесом 300x125 мм убирался с помощью троса, связанного с роликом на оси шасси. Элероны имели одинарное управление жесткой конструкции. Управление рулем высоты - жесткое, дублировалось прово</w:t>
      </w:r>
      <w:r w:rsidRPr="001E2C69">
        <w:rPr>
          <w:rFonts w:ascii="Times New Roman" w:hAnsi="Times New Roman"/>
          <w:color w:val="000000" w:themeColor="text1"/>
          <w:sz w:val="16"/>
          <w:szCs w:val="16"/>
        </w:rPr>
        <w:softHyphen/>
        <w:t>лочными тягами, а рулем направления — дублированное, тросовое. Мотор воздушного охлаждения М-71Ф с винтом АВ-5-4А диаметром 3,25 м мон</w:t>
      </w:r>
      <w:r w:rsidRPr="001E2C69">
        <w:rPr>
          <w:rFonts w:ascii="Times New Roman" w:hAnsi="Times New Roman"/>
          <w:color w:val="000000" w:themeColor="text1"/>
          <w:sz w:val="16"/>
          <w:szCs w:val="16"/>
        </w:rPr>
        <w:softHyphen/>
        <w:t>тировался на сварной мотораме. Закры</w:t>
      </w:r>
      <w:r w:rsidRPr="001E2C69">
        <w:rPr>
          <w:rFonts w:ascii="Times New Roman" w:hAnsi="Times New Roman"/>
          <w:color w:val="000000" w:themeColor="text1"/>
          <w:sz w:val="16"/>
          <w:szCs w:val="16"/>
        </w:rPr>
        <w:softHyphen/>
        <w:t>вался капотом типа ЫАСА с выходом ох</w:t>
      </w:r>
      <w:r w:rsidRPr="001E2C69">
        <w:rPr>
          <w:rFonts w:ascii="Times New Roman" w:hAnsi="Times New Roman"/>
          <w:color w:val="000000" w:themeColor="text1"/>
          <w:sz w:val="16"/>
          <w:szCs w:val="16"/>
        </w:rPr>
        <w:softHyphen/>
        <w:t>лаждающего воздуха через щель с регу лируемой «юбкой». Протектированный бензобак, размещенный в отсеке под ка</w:t>
      </w:r>
      <w:r w:rsidRPr="001E2C69">
        <w:rPr>
          <w:rFonts w:ascii="Times New Roman" w:hAnsi="Times New Roman"/>
          <w:color w:val="000000" w:themeColor="text1"/>
          <w:sz w:val="16"/>
          <w:szCs w:val="16"/>
        </w:rPr>
        <w:softHyphen/>
        <w:t>биной пилота, заполнялся инертным га</w:t>
      </w:r>
      <w:r w:rsidRPr="001E2C69">
        <w:rPr>
          <w:rFonts w:ascii="Times New Roman" w:hAnsi="Times New Roman"/>
          <w:color w:val="000000" w:themeColor="text1"/>
          <w:sz w:val="16"/>
          <w:szCs w:val="16"/>
        </w:rPr>
        <w:softHyphen/>
        <w:t>зом. Маслобак находился позади мотора, на противопожарной перегородке. Сото</w:t>
      </w:r>
      <w:r w:rsidRPr="001E2C69">
        <w:rPr>
          <w:rFonts w:ascii="Times New Roman" w:hAnsi="Times New Roman"/>
          <w:color w:val="000000" w:themeColor="text1"/>
          <w:sz w:val="16"/>
          <w:szCs w:val="16"/>
        </w:rPr>
        <w:softHyphen/>
        <w:t>вые маслорадиаторы размещались в тун</w:t>
      </w:r>
      <w:r w:rsidRPr="001E2C69">
        <w:rPr>
          <w:rFonts w:ascii="Times New Roman" w:hAnsi="Times New Roman"/>
          <w:color w:val="000000" w:themeColor="text1"/>
          <w:sz w:val="16"/>
          <w:szCs w:val="16"/>
        </w:rPr>
        <w:softHyphen/>
        <w:t>нелях носка центроплана, выход воздуха из туннелей регулировался заслонками. Пилот был забронирован полностью. Толщина листов брони - от 4 до 15 мм. Козырек кабины пилота - трехгранной формы, состоял из трех плит прозрачной брони. Бензобак защищался бронепли-тами сзади, снизу и с боков. Простран</w:t>
      </w:r>
      <w:r w:rsidRPr="001E2C69">
        <w:rPr>
          <w:rFonts w:ascii="Times New Roman" w:hAnsi="Times New Roman"/>
          <w:color w:val="000000" w:themeColor="text1"/>
          <w:sz w:val="16"/>
          <w:szCs w:val="16"/>
        </w:rPr>
        <w:softHyphen/>
        <w:t>ство за мотором бронировалось броне-щитами, представлявшими собой за</w:t>
      </w:r>
      <w:r w:rsidRPr="001E2C69">
        <w:rPr>
          <w:rFonts w:ascii="Times New Roman" w:hAnsi="Times New Roman"/>
          <w:color w:val="000000" w:themeColor="text1"/>
          <w:sz w:val="16"/>
          <w:szCs w:val="16"/>
        </w:rPr>
        <w:softHyphen/>
        <w:t>днюю часть капота, и конусной броней, являвшейся внутренним капотом. Вся эта броня входила в конструкцию самого фюзеляжа. Маслорадиаторы также бро</w:t>
      </w:r>
      <w:r w:rsidRPr="001E2C69">
        <w:rPr>
          <w:rFonts w:ascii="Times New Roman" w:hAnsi="Times New Roman"/>
          <w:color w:val="000000" w:themeColor="text1"/>
          <w:sz w:val="16"/>
          <w:szCs w:val="16"/>
        </w:rPr>
        <w:softHyphen/>
        <w:t>нировались. Общий вес брони составил 649,7 кг (10718).</w:t>
      </w:r>
    </w:p>
    <w:p w14:paraId="5BCF6AD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3F427C0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Сухой получает разрешение А.И. Ша</w:t>
      </w:r>
      <w:r w:rsidRPr="001E2C69">
        <w:rPr>
          <w:rFonts w:ascii="Times New Roman" w:hAnsi="Times New Roman"/>
          <w:color w:val="000000" w:themeColor="text1"/>
          <w:sz w:val="16"/>
          <w:szCs w:val="16"/>
        </w:rPr>
        <w:softHyphen/>
        <w:t>хурина дополнительно построить два самолета Су-6 с бронекор-пусом, включенным в конструкцию самолета, и с усиленным бронированием маслорадиатора и винтомоторной группы. Воо</w:t>
      </w:r>
      <w:r w:rsidRPr="001E2C69">
        <w:rPr>
          <w:rFonts w:ascii="Times New Roman" w:hAnsi="Times New Roman"/>
          <w:color w:val="000000" w:themeColor="text1"/>
          <w:sz w:val="16"/>
          <w:szCs w:val="16"/>
        </w:rPr>
        <w:softHyphen/>
        <w:t>ружение этой пары штурмовиков состояло из двух пушек 11П, двух ШКАС, 200 кг бомб (в перегрузку 400 кг) и шести РО-82. Управление рулем высоты и рулем направления дублировалось. Предусматривалась замена металлических консолей крыла на консоли деревянной конструкции.</w:t>
      </w:r>
    </w:p>
    <w:p w14:paraId="749D85D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Первый штурмовик Су-6 с крупнокалиберными пушками и с мотором М-71ф был построен в декабре 1942 г. Однако на испытания не передавался, так как в начале января 1943 г. П.О. Сухой предъявил эскизный проект модифицированного штурмовика Су-6 М-71ф (С2А) уже в двухместном варианте (по опыту войны) (11474,414).</w:t>
      </w:r>
    </w:p>
    <w:p w14:paraId="5A246CC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79654621" w14:textId="77777777" w:rsidR="006D74F7" w:rsidRPr="001E2C69" w:rsidRDefault="006D74F7"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В августе 1942 Сухой полу</w:t>
      </w:r>
      <w:r w:rsidRPr="001E2C69">
        <w:rPr>
          <w:rFonts w:ascii="Times New Roman" w:hAnsi="Times New Roman" w:cs="Times New Roman"/>
          <w:color w:val="000000" w:themeColor="text1"/>
          <w:sz w:val="16"/>
          <w:szCs w:val="16"/>
        </w:rPr>
        <w:softHyphen/>
        <w:t>чил разрешение наркома Шахурина, ис</w:t>
      </w:r>
      <w:r w:rsidRPr="001E2C69">
        <w:rPr>
          <w:rFonts w:ascii="Times New Roman" w:hAnsi="Times New Roman" w:cs="Times New Roman"/>
          <w:color w:val="000000" w:themeColor="text1"/>
          <w:sz w:val="16"/>
          <w:szCs w:val="16"/>
        </w:rPr>
        <w:softHyphen/>
        <w:t>пользуя созданный в июле задел по фю</w:t>
      </w:r>
      <w:r w:rsidRPr="001E2C69">
        <w:rPr>
          <w:rFonts w:ascii="Times New Roman" w:hAnsi="Times New Roman" w:cs="Times New Roman"/>
          <w:color w:val="000000" w:themeColor="text1"/>
          <w:sz w:val="16"/>
          <w:szCs w:val="16"/>
        </w:rPr>
        <w:softHyphen/>
        <w:t>зеляжам, центропланам и агрегатам, по</w:t>
      </w:r>
      <w:r w:rsidRPr="001E2C69">
        <w:rPr>
          <w:rFonts w:ascii="Times New Roman" w:hAnsi="Times New Roman" w:cs="Times New Roman"/>
          <w:color w:val="000000" w:themeColor="text1"/>
          <w:sz w:val="16"/>
          <w:szCs w:val="16"/>
        </w:rPr>
        <w:softHyphen/>
        <w:t>строить два самолета Су-6 с бронекорпусом, включенным в конструкцию самолета, и усиленным бронированием маслорадиатора и винтомоторной группы. Воо</w:t>
      </w:r>
      <w:r w:rsidRPr="001E2C69">
        <w:rPr>
          <w:rFonts w:ascii="Times New Roman" w:hAnsi="Times New Roman" w:cs="Times New Roman"/>
          <w:color w:val="000000" w:themeColor="text1"/>
          <w:sz w:val="16"/>
          <w:szCs w:val="16"/>
        </w:rPr>
        <w:softHyphen/>
        <w:t>ружение этой пары штурмовиков состо</w:t>
      </w:r>
      <w:r w:rsidRPr="001E2C69">
        <w:rPr>
          <w:rFonts w:ascii="Times New Roman" w:hAnsi="Times New Roman" w:cs="Times New Roman"/>
          <w:color w:val="000000" w:themeColor="text1"/>
          <w:sz w:val="16"/>
          <w:szCs w:val="16"/>
        </w:rPr>
        <w:softHyphen/>
        <w:t>яло из двух пушек 11П (100 снарядов), двух ШКАС (1500 патронов), 200 кг бомб (в перегрузку 400 кг) и шести РО-82 (или РО-132). Управление рулем высоты и ру</w:t>
      </w:r>
      <w:r w:rsidRPr="001E2C69">
        <w:rPr>
          <w:rFonts w:ascii="Times New Roman" w:hAnsi="Times New Roman" w:cs="Times New Roman"/>
          <w:color w:val="000000" w:themeColor="text1"/>
          <w:sz w:val="16"/>
          <w:szCs w:val="16"/>
        </w:rPr>
        <w:softHyphen/>
        <w:t>лем направления дублировалось. Предус</w:t>
      </w:r>
      <w:r w:rsidRPr="001E2C69">
        <w:rPr>
          <w:rFonts w:ascii="Times New Roman" w:hAnsi="Times New Roman" w:cs="Times New Roman"/>
          <w:color w:val="000000" w:themeColor="text1"/>
          <w:sz w:val="16"/>
          <w:szCs w:val="16"/>
        </w:rPr>
        <w:softHyphen/>
        <w:t>матривалась замена металлических кон</w:t>
      </w:r>
      <w:r w:rsidRPr="001E2C69">
        <w:rPr>
          <w:rFonts w:ascii="Times New Roman" w:hAnsi="Times New Roman" w:cs="Times New Roman"/>
          <w:color w:val="000000" w:themeColor="text1"/>
          <w:sz w:val="16"/>
          <w:szCs w:val="16"/>
        </w:rPr>
        <w:softHyphen/>
        <w:t>солей крыла на консоли деревянной кон</w:t>
      </w:r>
      <w:r w:rsidRPr="001E2C69">
        <w:rPr>
          <w:rFonts w:ascii="Times New Roman" w:hAnsi="Times New Roman" w:cs="Times New Roman"/>
          <w:color w:val="000000" w:themeColor="text1"/>
          <w:sz w:val="16"/>
          <w:szCs w:val="16"/>
        </w:rPr>
        <w:softHyphen/>
        <w:t>струкции (19846).</w:t>
      </w:r>
    </w:p>
    <w:p w14:paraId="3D404EF6" w14:textId="77777777" w:rsidR="006D74F7" w:rsidRPr="001E2C69" w:rsidRDefault="006D74F7" w:rsidP="00722885">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426D3ECB" w14:textId="29C52E02" w:rsidR="00BF7700" w:rsidRPr="001E2C69" w:rsidRDefault="00BF770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августе 1942 «Эскизный проект самолета противотанковой воздушной армии» рассматривался специалистами НИИ ВВС. Несмотря на изрядный скепсис (масштаб программы строительства «Пегасов» и</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проблем, связанных с этим, поражал воображение всякого, кто соприкасался с проектом), в выводах по материалам проекта все же указали, что самолет представляет интерес для ВВС КА. Но «вопрос о развертывании работ по массовой постройке» жестко увязывался с постройкой пяти опытных «Пегасов» и</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результатами проверки их тактических и летных свойств, вопросов живучести и отработки вооружения.</w:t>
      </w:r>
    </w:p>
    <w:p w14:paraId="740ED64C" w14:textId="131DDACF" w:rsidR="00BF7700" w:rsidRPr="001E2C69" w:rsidRDefault="00BF770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Как показали дальнейшие события, официального заказа от ВВС на постройку даже опытных самолетов «Пегас» в</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НКАП так и не последовало.</w:t>
      </w:r>
    </w:p>
    <w:p w14:paraId="784018AB" w14:textId="4C0B355A" w:rsidR="00BF7700" w:rsidRPr="001E2C69" w:rsidRDefault="00BF770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Тем временем о проекте Д.</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Л.</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Томашевича было доложено И.</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В.</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Сталину и вызвало его неподдельную заинтересованность. Особенно Сталину понравилась возможность за короткий срок изготовить большое количество самолетов этого типа (с темпом выпуска около 100 самолетов в день), быстро освоить их летчиками и массированно применить на фронте, буквально раздавив с воздуха танки и мотопехоту противника (17490).</w:t>
      </w:r>
    </w:p>
    <w:p w14:paraId="4DFF4A16" w14:textId="77777777" w:rsidR="00BF7700" w:rsidRPr="001E2C69" w:rsidRDefault="00BF7700" w:rsidP="00722885">
      <w:pPr>
        <w:spacing w:after="0" w:line="240" w:lineRule="auto"/>
        <w:jc w:val="both"/>
        <w:rPr>
          <w:rFonts w:ascii="Times New Roman" w:eastAsia="Times New Roman" w:hAnsi="Times New Roman"/>
          <w:color w:val="000000" w:themeColor="text1"/>
          <w:sz w:val="16"/>
          <w:szCs w:val="16"/>
          <w:lang w:eastAsia="ru-RU"/>
        </w:rPr>
      </w:pPr>
    </w:p>
    <w:p w14:paraId="55CA1278" w14:textId="77777777" w:rsidR="00BF7700" w:rsidRPr="001E2C69" w:rsidRDefault="00BF7700"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 августе 1942 о проекте Д. Л. Томашевича было доложено И. В. Сталину и вызвало его неподдель</w:t>
      </w:r>
      <w:r w:rsidRPr="001E2C69">
        <w:rPr>
          <w:color w:val="000000" w:themeColor="text1"/>
          <w:sz w:val="16"/>
          <w:szCs w:val="16"/>
        </w:rPr>
        <w:softHyphen/>
        <w:t>ную заинтересованность. Особенно Сталину понра</w:t>
      </w:r>
      <w:r w:rsidRPr="001E2C69">
        <w:rPr>
          <w:color w:val="000000" w:themeColor="text1"/>
          <w:sz w:val="16"/>
          <w:szCs w:val="16"/>
        </w:rPr>
        <w:softHyphen/>
        <w:t>вилась возможность за короткий срок изготовить большое количество самолетов этого типа (с тем</w:t>
      </w:r>
      <w:r w:rsidRPr="001E2C69">
        <w:rPr>
          <w:color w:val="000000" w:themeColor="text1"/>
          <w:sz w:val="16"/>
          <w:szCs w:val="16"/>
        </w:rPr>
        <w:softHyphen/>
        <w:t>пом выпуска около 100 самолетов в день), быстро освоить их летчиками и массированно применить на фронте, буквально раздавив с воздуха танки и мотопехоту противника.</w:t>
      </w:r>
    </w:p>
    <w:p w14:paraId="443375B0" w14:textId="77777777" w:rsidR="00BF7700" w:rsidRPr="001E2C69" w:rsidRDefault="00BF7700"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Учитывая такие положительные стороны про</w:t>
      </w:r>
      <w:r w:rsidRPr="001E2C69">
        <w:rPr>
          <w:color w:val="000000" w:themeColor="text1"/>
          <w:sz w:val="16"/>
          <w:szCs w:val="16"/>
        </w:rPr>
        <w:softHyphen/>
        <w:t>екта «Пегас», как сварная бронекабина простых форм, сменные варианты вооружения, упрощенная технология изготовления, даже рассматривался вопрос о реализации ряда предложений ЦКБ-29 на серийном легком транспортном самолете Як-6 2М-11ф. Впрочем, без особого результата. Главный конструктор Як-6 — заместитель наркомавиапро- ма А. С. Яковлев, быстро осознав, чем эта затея может закончиться, своевременно дистанциро</w:t>
      </w:r>
      <w:r w:rsidRPr="001E2C69">
        <w:rPr>
          <w:color w:val="000000" w:themeColor="text1"/>
          <w:sz w:val="16"/>
          <w:szCs w:val="16"/>
        </w:rPr>
        <w:softHyphen/>
        <w:t>вался от этого задания. Дело в том, что Як-6 ока</w:t>
      </w:r>
      <w:r w:rsidRPr="001E2C69">
        <w:rPr>
          <w:color w:val="000000" w:themeColor="text1"/>
          <w:sz w:val="16"/>
          <w:szCs w:val="16"/>
        </w:rPr>
        <w:softHyphen/>
        <w:t>зался довольно строгим в пилотировании и моло</w:t>
      </w:r>
      <w:r w:rsidRPr="001E2C69">
        <w:rPr>
          <w:color w:val="000000" w:themeColor="text1"/>
          <w:sz w:val="16"/>
          <w:szCs w:val="16"/>
        </w:rPr>
        <w:softHyphen/>
        <w:t>дые летчики с недостаточной подготовкой на нем частенько бились. Дальше разговоров дело не пошло.</w:t>
      </w:r>
    </w:p>
    <w:p w14:paraId="0536B097" w14:textId="77777777" w:rsidR="00BF7700" w:rsidRPr="001E2C69" w:rsidRDefault="00BF7700"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Детально изучив представленные материалы, военные специалисты достаточно объективно оце</w:t>
      </w:r>
      <w:r w:rsidRPr="001E2C69">
        <w:rPr>
          <w:color w:val="000000" w:themeColor="text1"/>
          <w:sz w:val="16"/>
          <w:szCs w:val="16"/>
        </w:rPr>
        <w:softHyphen/>
        <w:t>нили главную особенность проекта — предельную простоту и дешевизну самолета, но вполне спра</w:t>
      </w:r>
      <w:r w:rsidRPr="001E2C69">
        <w:rPr>
          <w:color w:val="000000" w:themeColor="text1"/>
          <w:sz w:val="16"/>
          <w:szCs w:val="16"/>
        </w:rPr>
        <w:softHyphen/>
        <w:t>ведливо поставили под сомнение возможность постройки 15000 самолетов «Пегас» в течение года. Главным образом ввиду необеспеченности заявленной программы строительства моторами М-11, которых необходимо было изготовить не менее 30 000 единиц, а с учетом передачи некото</w:t>
      </w:r>
      <w:r w:rsidRPr="001E2C69">
        <w:rPr>
          <w:color w:val="000000" w:themeColor="text1"/>
          <w:sz w:val="16"/>
          <w:szCs w:val="16"/>
        </w:rPr>
        <w:softHyphen/>
        <w:t>рого количества моторов в оборотный ремонтный фонд и того больше. Для этого в системе НКАП требовалось создать новый мощный моторный за</w:t>
      </w:r>
      <w:r w:rsidRPr="001E2C69">
        <w:rPr>
          <w:color w:val="000000" w:themeColor="text1"/>
          <w:sz w:val="16"/>
          <w:szCs w:val="16"/>
        </w:rPr>
        <w:softHyphen/>
        <w:t>вод, что было совершенно нереальным в условиях войны.</w:t>
      </w:r>
    </w:p>
    <w:p w14:paraId="1E21478E" w14:textId="77777777" w:rsidR="00BF7700" w:rsidRPr="001E2C69" w:rsidRDefault="00BF7700"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Кроме того, виделись и практически непреодо</w:t>
      </w:r>
      <w:r w:rsidRPr="001E2C69">
        <w:rPr>
          <w:color w:val="000000" w:themeColor="text1"/>
          <w:sz w:val="16"/>
          <w:szCs w:val="16"/>
        </w:rPr>
        <w:softHyphen/>
        <w:t>лимые в условиях войны трудности при формиро</w:t>
      </w:r>
      <w:r w:rsidRPr="001E2C69">
        <w:rPr>
          <w:color w:val="000000" w:themeColor="text1"/>
          <w:sz w:val="16"/>
          <w:szCs w:val="16"/>
        </w:rPr>
        <w:softHyphen/>
        <w:t>вании и боевом применении специальной проти</w:t>
      </w:r>
      <w:r w:rsidRPr="001E2C69">
        <w:rPr>
          <w:color w:val="000000" w:themeColor="text1"/>
          <w:sz w:val="16"/>
          <w:szCs w:val="16"/>
        </w:rPr>
        <w:softHyphen/>
        <w:t>вотанковой воздушной армии. Причем на первый план выходили даже не технические и организаци</w:t>
      </w:r>
      <w:r w:rsidRPr="001E2C69">
        <w:rPr>
          <w:color w:val="000000" w:themeColor="text1"/>
          <w:sz w:val="16"/>
          <w:szCs w:val="16"/>
        </w:rPr>
        <w:softHyphen/>
        <w:t>онные проблемы, связанные с насыщением нового формирования материальной частью и обеспече</w:t>
      </w:r>
      <w:r w:rsidRPr="001E2C69">
        <w:rPr>
          <w:color w:val="000000" w:themeColor="text1"/>
          <w:sz w:val="16"/>
          <w:szCs w:val="16"/>
        </w:rPr>
        <w:softHyphen/>
        <w:t>нием поддержания такой огромной массы самоле</w:t>
      </w:r>
      <w:r w:rsidRPr="001E2C69">
        <w:rPr>
          <w:color w:val="000000" w:themeColor="text1"/>
          <w:sz w:val="16"/>
          <w:szCs w:val="16"/>
        </w:rPr>
        <w:softHyphen/>
        <w:t>тов в боеготовом состоянии, а проблемы комплек</w:t>
      </w:r>
      <w:r w:rsidRPr="001E2C69">
        <w:rPr>
          <w:color w:val="000000" w:themeColor="text1"/>
          <w:sz w:val="16"/>
          <w:szCs w:val="16"/>
        </w:rPr>
        <w:softHyphen/>
        <w:t>тования и подготовки личного состава.</w:t>
      </w:r>
    </w:p>
    <w:p w14:paraId="7DC2DCFC" w14:textId="77777777" w:rsidR="00BF7700" w:rsidRPr="001E2C69" w:rsidRDefault="00BF7700"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Действительно, 15 000 самолетов — это при 32-самолетном составе авиаполков (штат № 015/282) свыше 60 000 (!) человек личного состава.</w:t>
      </w:r>
    </w:p>
    <w:p w14:paraId="37A4BDE9" w14:textId="77777777" w:rsidR="00BF7700" w:rsidRPr="001E2C69" w:rsidRDefault="00BF7700"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Требовалось отобрать и обучить (хорошую стрелковую и тактическую подготовку никто не от</w:t>
      </w:r>
      <w:r w:rsidRPr="001E2C69">
        <w:rPr>
          <w:color w:val="000000" w:themeColor="text1"/>
          <w:sz w:val="16"/>
          <w:szCs w:val="16"/>
        </w:rPr>
        <w:softHyphen/>
        <w:t>менял вне зависимости от типа самолета) не толь</w:t>
      </w:r>
      <w:r w:rsidRPr="001E2C69">
        <w:rPr>
          <w:color w:val="000000" w:themeColor="text1"/>
          <w:sz w:val="16"/>
          <w:szCs w:val="16"/>
        </w:rPr>
        <w:softHyphen/>
        <w:t>ко 15 000 летчиков, но и командиров полков и ди</w:t>
      </w:r>
      <w:r w:rsidRPr="001E2C69">
        <w:rPr>
          <w:color w:val="000000" w:themeColor="text1"/>
          <w:sz w:val="16"/>
          <w:szCs w:val="16"/>
        </w:rPr>
        <w:softHyphen/>
        <w:t>визий с опытом ведения современной воздушной войны, а на уровне штабов ВВС, воздушных армий и фронтов проработать все вопросы взаимодей</w:t>
      </w:r>
      <w:r w:rsidRPr="001E2C69">
        <w:rPr>
          <w:color w:val="000000" w:themeColor="text1"/>
          <w:sz w:val="16"/>
          <w:szCs w:val="16"/>
        </w:rPr>
        <w:softHyphen/>
        <w:t>ствия армии противотанковых «Пегасов».</w:t>
      </w:r>
    </w:p>
    <w:p w14:paraId="461671FB" w14:textId="77777777" w:rsidR="00BF7700" w:rsidRPr="001E2C69" w:rsidRDefault="00BF7700"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Вызывала сомнение и заявленная в проекте вы</w:t>
      </w:r>
      <w:r w:rsidRPr="001E2C69">
        <w:rPr>
          <w:color w:val="000000" w:themeColor="text1"/>
          <w:sz w:val="16"/>
          <w:szCs w:val="16"/>
        </w:rPr>
        <w:softHyphen/>
        <w:t>сокая боевая эффективность противотанкового са</w:t>
      </w:r>
      <w:r w:rsidRPr="001E2C69">
        <w:rPr>
          <w:color w:val="000000" w:themeColor="text1"/>
          <w:sz w:val="16"/>
          <w:szCs w:val="16"/>
        </w:rPr>
        <w:softHyphen/>
        <w:t>молета. Дело в том, что небольшая скорость полета не только повышала вероятность поражения бро</w:t>
      </w:r>
      <w:r w:rsidRPr="001E2C69">
        <w:rPr>
          <w:color w:val="000000" w:themeColor="text1"/>
          <w:sz w:val="16"/>
          <w:szCs w:val="16"/>
        </w:rPr>
        <w:softHyphen/>
        <w:t>нетехники противника, но повышала и вероятность поражения самого самолета огнем с земли. По опыту применения более скоростного штурмовика Ил-2 его бронекорпус с толщиной брони 6—12 мм успешно пробивался бронебойными малокалибер</w:t>
      </w:r>
      <w:r w:rsidRPr="001E2C69">
        <w:rPr>
          <w:color w:val="000000" w:themeColor="text1"/>
          <w:sz w:val="16"/>
          <w:szCs w:val="16"/>
        </w:rPr>
        <w:softHyphen/>
        <w:t>ными снарядами и крупнокалиберными пулями не</w:t>
      </w:r>
      <w:r w:rsidRPr="001E2C69">
        <w:rPr>
          <w:color w:val="000000" w:themeColor="text1"/>
          <w:sz w:val="16"/>
          <w:szCs w:val="16"/>
        </w:rPr>
        <w:softHyphen/>
        <w:t>мецких зенитных и авиационных автоматов. Между тем бронирование кабины летчика на самолете «Пегас» принципиально ненамного отличалось от Ил-2. Схема бронирования и выбранные толщины брони, по мнению специалистов института, не обе</w:t>
      </w:r>
      <w:r w:rsidRPr="001E2C69">
        <w:rPr>
          <w:color w:val="000000" w:themeColor="text1"/>
          <w:sz w:val="16"/>
          <w:szCs w:val="16"/>
        </w:rPr>
        <w:softHyphen/>
        <w:t>спечивали надежную защиту как от зенитного огня, так и от огня истребителей. К тому же моторы не бронировались. Протектор основных бензобаков, система нейтральных газов и противопожарные перегородки проектом не предусматривались. В то же время сброс бензобаков не исключал пожара, так как летчик может своевременно не заметить возгорания.</w:t>
      </w:r>
    </w:p>
    <w:p w14:paraId="661F77F5" w14:textId="77777777" w:rsidR="00BF7700" w:rsidRPr="001E2C69" w:rsidRDefault="00BF7700"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Было очевидно, что в условиях интенсивных воздушных боев (по-другому и быть не могло, так как крупные массы танков действуют только на главном направлении удара, значит, и прикрыва</w:t>
      </w:r>
      <w:r w:rsidRPr="001E2C69">
        <w:rPr>
          <w:color w:val="000000" w:themeColor="text1"/>
          <w:sz w:val="16"/>
          <w:szCs w:val="16"/>
        </w:rPr>
        <w:softHyphen/>
        <w:t>ются с воздуха) армады противотанковых «Пега</w:t>
      </w:r>
      <w:r w:rsidRPr="001E2C69">
        <w:rPr>
          <w:color w:val="000000" w:themeColor="text1"/>
          <w:sz w:val="16"/>
          <w:szCs w:val="16"/>
        </w:rPr>
        <w:softHyphen/>
        <w:t>сов» будут нести и огромные потери от огня про</w:t>
      </w:r>
      <w:r w:rsidRPr="001E2C69">
        <w:rPr>
          <w:color w:val="000000" w:themeColor="text1"/>
          <w:sz w:val="16"/>
          <w:szCs w:val="16"/>
        </w:rPr>
        <w:softHyphen/>
        <w:t>тивника. Самолет Томашевича виделся не столько полноценной противотанковой системой, сколько одноразовой, в лучшем случае 2—3-разовой бое</w:t>
      </w:r>
      <w:r w:rsidRPr="001E2C69">
        <w:rPr>
          <w:color w:val="000000" w:themeColor="text1"/>
          <w:sz w:val="16"/>
          <w:szCs w:val="16"/>
        </w:rPr>
        <w:softHyphen/>
        <w:t>вой машиной. Но главное, с каждой потерей «Пега</w:t>
      </w:r>
      <w:r w:rsidRPr="001E2C69">
        <w:rPr>
          <w:color w:val="000000" w:themeColor="text1"/>
          <w:sz w:val="16"/>
          <w:szCs w:val="16"/>
        </w:rPr>
        <w:softHyphen/>
        <w:t>са» терялся и летный состав, в большинстве своем безвозвратно. Подготовка же летчиков дело за</w:t>
      </w:r>
      <w:r w:rsidRPr="001E2C69">
        <w:rPr>
          <w:color w:val="000000" w:themeColor="text1"/>
          <w:sz w:val="16"/>
          <w:szCs w:val="16"/>
        </w:rPr>
        <w:softHyphen/>
        <w:t>тратное и продолжительное. Собственно, именно по этой причине командование ВВС КА и Ставка ВГК не решились на создание не только специаль</w:t>
      </w:r>
      <w:r w:rsidRPr="001E2C69">
        <w:rPr>
          <w:color w:val="000000" w:themeColor="text1"/>
          <w:sz w:val="16"/>
          <w:szCs w:val="16"/>
        </w:rPr>
        <w:softHyphen/>
        <w:t xml:space="preserve">ных противотанковых дивизий, как предлагалось Оперативным управлением штаба </w:t>
      </w:r>
      <w:r w:rsidRPr="001E2C69">
        <w:rPr>
          <w:color w:val="000000" w:themeColor="text1"/>
          <w:sz w:val="16"/>
          <w:szCs w:val="16"/>
        </w:rPr>
        <w:lastRenderedPageBreak/>
        <w:t>ВВС, но даже отдельных противотанковых полков. При интен</w:t>
      </w:r>
      <w:r w:rsidRPr="001E2C69">
        <w:rPr>
          <w:color w:val="000000" w:themeColor="text1"/>
          <w:sz w:val="16"/>
          <w:szCs w:val="16"/>
        </w:rPr>
        <w:softHyphen/>
        <w:t>сивных боях специально обученные летчики по</w:t>
      </w:r>
      <w:r w:rsidRPr="001E2C69">
        <w:rPr>
          <w:color w:val="000000" w:themeColor="text1"/>
          <w:sz w:val="16"/>
          <w:szCs w:val="16"/>
        </w:rPr>
        <w:softHyphen/>
        <w:t>гибают «в общей свалке» так же часто, как и рядо</w:t>
      </w:r>
      <w:r w:rsidRPr="001E2C69">
        <w:rPr>
          <w:color w:val="000000" w:themeColor="text1"/>
          <w:sz w:val="16"/>
          <w:szCs w:val="16"/>
        </w:rPr>
        <w:softHyphen/>
        <w:t>вые летчики, не имеющие противотанковой подго</w:t>
      </w:r>
      <w:r w:rsidRPr="001E2C69">
        <w:rPr>
          <w:color w:val="000000" w:themeColor="text1"/>
          <w:sz w:val="16"/>
          <w:szCs w:val="16"/>
        </w:rPr>
        <w:softHyphen/>
        <w:t>товки.</w:t>
      </w:r>
    </w:p>
    <w:p w14:paraId="6049E0AC" w14:textId="77777777" w:rsidR="00BF7700" w:rsidRPr="001E2C69" w:rsidRDefault="00BF7700"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Положительной стороной самолета «Пегас» счи</w:t>
      </w:r>
      <w:r w:rsidRPr="001E2C69">
        <w:rPr>
          <w:color w:val="000000" w:themeColor="text1"/>
          <w:sz w:val="16"/>
          <w:szCs w:val="16"/>
        </w:rPr>
        <w:softHyphen/>
        <w:t>талось применение сменных составов оружия на подвесных мостах и лафетах, что расширяло круг тактических задач, решаемых самолетом. Из числа сменных комплектов вооружения наилучшими соч</w:t>
      </w:r>
      <w:r w:rsidRPr="001E2C69">
        <w:rPr>
          <w:color w:val="000000" w:themeColor="text1"/>
          <w:sz w:val="16"/>
          <w:szCs w:val="16"/>
        </w:rPr>
        <w:softHyphen/>
        <w:t>ли варианты с пушкой калибра 37 мм, ракетными снарядами и бомбами. Однако возможность ис</w:t>
      </w:r>
      <w:r w:rsidRPr="001E2C69">
        <w:rPr>
          <w:color w:val="000000" w:themeColor="text1"/>
          <w:sz w:val="16"/>
          <w:szCs w:val="16"/>
        </w:rPr>
        <w:softHyphen/>
        <w:t>пользования пушек калибра 37 мм с силой отдачи порядка 3000—5500 кг на столь легком самолете требовалось проверить реальными стрельбами в воздухе.</w:t>
      </w:r>
    </w:p>
    <w:p w14:paraId="0D3D0B31" w14:textId="77777777" w:rsidR="00BF7700" w:rsidRPr="001E2C69" w:rsidRDefault="00BF7700"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Несмотря на изрядный скепсис (масштаб про</w:t>
      </w:r>
      <w:r w:rsidRPr="001E2C69">
        <w:rPr>
          <w:color w:val="000000" w:themeColor="text1"/>
          <w:sz w:val="16"/>
          <w:szCs w:val="16"/>
        </w:rPr>
        <w:softHyphen/>
        <w:t>граммы строительства «Пегасов» и проблем, свя</w:t>
      </w:r>
      <w:r w:rsidRPr="001E2C69">
        <w:rPr>
          <w:color w:val="000000" w:themeColor="text1"/>
          <w:sz w:val="16"/>
          <w:szCs w:val="16"/>
        </w:rPr>
        <w:softHyphen/>
        <w:t>занных с этим, поражал воображение всякого, кто соприкасался с проектом), специалисты НИИ ВВС в выводах по материалам проекта все же указали, что самолет представляет интерес для ВВС КА. Но «вопрос о развертывании работ по массовой по</w:t>
      </w:r>
      <w:r w:rsidRPr="001E2C69">
        <w:rPr>
          <w:color w:val="000000" w:themeColor="text1"/>
          <w:sz w:val="16"/>
          <w:szCs w:val="16"/>
        </w:rPr>
        <w:softHyphen/>
        <w:t>стройке» военные жестко увязали с постройкой 5 опытных «Пегасов» и результатами проверки их тактических и летных свойств, вопросов живучести и отработки вооружения.</w:t>
      </w:r>
    </w:p>
    <w:p w14:paraId="79E30F12" w14:textId="77777777" w:rsidR="00BF7700" w:rsidRPr="001E2C69" w:rsidRDefault="00BF7700"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Надо сказать, весьма осторожный и дальновид</w:t>
      </w:r>
      <w:r w:rsidRPr="001E2C69">
        <w:rPr>
          <w:color w:val="000000" w:themeColor="text1"/>
          <w:sz w:val="16"/>
          <w:szCs w:val="16"/>
        </w:rPr>
        <w:softHyphen/>
        <w:t>ный шаг, учитывая известную заинтересованность руководства НКВД в этом проекте.</w:t>
      </w:r>
    </w:p>
    <w:p w14:paraId="16C60F31" w14:textId="77777777" w:rsidR="00BF7700" w:rsidRPr="001E2C69" w:rsidRDefault="00BF7700" w:rsidP="00722885">
      <w:pPr>
        <w:pStyle w:val="12a"/>
        <w:shd w:val="clear" w:color="auto" w:fill="auto"/>
        <w:spacing w:after="0" w:line="240" w:lineRule="auto"/>
        <w:jc w:val="both"/>
        <w:rPr>
          <w:color w:val="000000" w:themeColor="text1"/>
          <w:sz w:val="16"/>
          <w:szCs w:val="16"/>
        </w:rPr>
      </w:pPr>
      <w:r w:rsidRPr="001E2C69">
        <w:rPr>
          <w:color w:val="000000" w:themeColor="text1"/>
          <w:sz w:val="16"/>
          <w:szCs w:val="16"/>
        </w:rPr>
        <w:t>Как показали дальнейшие события, официаль</w:t>
      </w:r>
      <w:r w:rsidRPr="001E2C69">
        <w:rPr>
          <w:color w:val="000000" w:themeColor="text1"/>
          <w:sz w:val="16"/>
          <w:szCs w:val="16"/>
        </w:rPr>
        <w:softHyphen/>
        <w:t>ного заказа от ВВС на постройку даже опытных са</w:t>
      </w:r>
      <w:r w:rsidRPr="001E2C69">
        <w:rPr>
          <w:color w:val="000000" w:themeColor="text1"/>
          <w:sz w:val="16"/>
          <w:szCs w:val="16"/>
        </w:rPr>
        <w:softHyphen/>
        <w:t>молетов «Пегас» в НКАП так и не последовало (17500).</w:t>
      </w:r>
    </w:p>
    <w:p w14:paraId="474182C6" w14:textId="77777777" w:rsidR="00BF7700" w:rsidRPr="001E2C69" w:rsidRDefault="00BF7700" w:rsidP="00722885">
      <w:pPr>
        <w:pStyle w:val="12a"/>
        <w:shd w:val="clear" w:color="auto" w:fill="auto"/>
        <w:spacing w:after="0" w:line="240" w:lineRule="auto"/>
        <w:jc w:val="both"/>
        <w:rPr>
          <w:color w:val="000000" w:themeColor="text1"/>
          <w:sz w:val="16"/>
          <w:szCs w:val="16"/>
        </w:rPr>
      </w:pPr>
    </w:p>
    <w:p w14:paraId="48AD71C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C августа 1942 39 завод в Иркутске получил задание на выпуск Ил-4. Выпуск начался через 6 месяцев и всего сделали 869 из 6119. Делали торпедоносцы + 6хРС 132 или 82 (1723,53).</w:t>
      </w:r>
    </w:p>
    <w:p w14:paraId="40F3AF1F" w14:textId="77777777" w:rsidR="00AE7191" w:rsidRPr="001E2C69" w:rsidRDefault="00AE7191" w:rsidP="00722885">
      <w:pPr>
        <w:pStyle w:val="Iauiue"/>
        <w:jc w:val="both"/>
        <w:rPr>
          <w:color w:val="000000" w:themeColor="text1"/>
          <w:sz w:val="16"/>
          <w:szCs w:val="16"/>
        </w:rPr>
      </w:pPr>
    </w:p>
    <w:p w14:paraId="1CDB5157" w14:textId="77777777" w:rsidR="004C32AA" w:rsidRPr="008A2E5A" w:rsidRDefault="004C32AA" w:rsidP="004C32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1942 г. выпуск не слишком удачного истребителя Пе-3 приостановили и завод № 39 восстановил постройку Ил-4, но до конца года он успел сделать только 53 самолета, в основ</w:t>
      </w:r>
      <w:r w:rsidRPr="008A2E5A">
        <w:rPr>
          <w:rFonts w:ascii="Times New Roman" w:hAnsi="Times New Roman"/>
          <w:color w:val="0070C0"/>
          <w:sz w:val="16"/>
          <w:szCs w:val="16"/>
        </w:rPr>
        <w:softHyphen/>
        <w:t>ном для морской авиации. Общий план 1942 года по Ил-4 НКАП выполнил на 71,5%.   Существенными причинами тому были падение производс</w:t>
      </w:r>
      <w:r w:rsidRPr="008A2E5A">
        <w:rPr>
          <w:rFonts w:ascii="Times New Roman" w:hAnsi="Times New Roman"/>
          <w:color w:val="0070C0"/>
          <w:sz w:val="16"/>
          <w:szCs w:val="16"/>
        </w:rPr>
        <w:softHyphen/>
        <w:t>тва алюминия (в 1941 году по сравнению с 1940-м — на 15% и в 1942-м — более чем на 30%), а также дефицит моторов М-88Б. Выпускавший их завод № 29 из Запорожья эвакуировать успели, но в Перми он пробыл недолго и продолжил свой путь на восток. В Омске было тесно, на той же территории работали Туполев, Мясищев, Бериев и Томашевич, тем не менее на новом месте был определен большой план по выпуску моторов М-88Б — 5049 штук на 1942 год. Для его реализации заводу №29 отда</w:t>
      </w:r>
      <w:r w:rsidRPr="008A2E5A">
        <w:rPr>
          <w:rFonts w:ascii="Times New Roman" w:hAnsi="Times New Roman"/>
          <w:color w:val="0070C0"/>
          <w:sz w:val="16"/>
          <w:szCs w:val="16"/>
        </w:rPr>
        <w:softHyphen/>
        <w:t>ли механические цеха 166-го завода, которые были наиболее укомплектованы станочным парком.  Трудно было с приборами и оборудованием. Автопилот и противообледенители ставились только на единичных Ил-4, радиовысотомеры отсутствовали, система слепой посадки «Ночь» испытывалась на биплане У-2, но оказалась непригод</w:t>
      </w:r>
      <w:r w:rsidRPr="008A2E5A">
        <w:rPr>
          <w:rFonts w:ascii="Times New Roman" w:hAnsi="Times New Roman"/>
          <w:color w:val="0070C0"/>
          <w:sz w:val="16"/>
          <w:szCs w:val="16"/>
        </w:rPr>
        <w:softHyphen/>
        <w:t>ной к строевой эксплуатации. Много нареканий вызывали ги</w:t>
      </w:r>
      <w:r w:rsidRPr="008A2E5A">
        <w:rPr>
          <w:rFonts w:ascii="Times New Roman" w:hAnsi="Times New Roman"/>
          <w:color w:val="0070C0"/>
          <w:sz w:val="16"/>
          <w:szCs w:val="16"/>
        </w:rPr>
        <w:softHyphen/>
        <w:t>роскопические авиагоризонты, на что замнаркома Воронин мог ответить Командующему АДД Голованову лишь то, что «... за</w:t>
      </w:r>
      <w:r w:rsidRPr="008A2E5A">
        <w:rPr>
          <w:rFonts w:ascii="Times New Roman" w:hAnsi="Times New Roman"/>
          <w:color w:val="0070C0"/>
          <w:sz w:val="16"/>
          <w:szCs w:val="16"/>
        </w:rPr>
        <w:softHyphen/>
        <w:t>мена авиагоризонта АГП-1 на авиагоризонт другого типа не дает эффекта, так как авиагоризонты всех типов выпуска 42 года по своим качествам одинаковы. Необходимые меры к улучшению качества авиагоризонтов АГП-1 Наркоматом приняты, путем повышения требования и технологии из</w:t>
      </w:r>
      <w:r w:rsidRPr="008A2E5A">
        <w:rPr>
          <w:rFonts w:ascii="Times New Roman" w:hAnsi="Times New Roman"/>
          <w:color w:val="0070C0"/>
          <w:sz w:val="16"/>
          <w:szCs w:val="16"/>
        </w:rPr>
        <w:softHyphen/>
        <w:t>готовления и сборки прибора...».</w:t>
      </w:r>
    </w:p>
    <w:p w14:paraId="24CC4A9A" w14:textId="77777777" w:rsidR="004C32AA" w:rsidRPr="008A2E5A" w:rsidRDefault="004C32AA" w:rsidP="004C32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Формально дальность оставалась в пя</w:t>
      </w:r>
      <w:r w:rsidRPr="008A2E5A">
        <w:rPr>
          <w:rFonts w:ascii="Times New Roman" w:hAnsi="Times New Roman"/>
          <w:color w:val="0070C0"/>
          <w:sz w:val="16"/>
          <w:szCs w:val="16"/>
        </w:rPr>
        <w:softHyphen/>
        <w:t>типроцентном допуске, но из-за падения качества самолетов, моторов и бензина строевые Ил-4 паспортной дальности не давали, участились аварии из-за перерасхода топлива. Альфометру — прибору для контроля обогащения топливной сме</w:t>
      </w:r>
      <w:r w:rsidRPr="008A2E5A">
        <w:rPr>
          <w:rFonts w:ascii="Times New Roman" w:hAnsi="Times New Roman"/>
          <w:color w:val="0070C0"/>
          <w:sz w:val="16"/>
          <w:szCs w:val="16"/>
        </w:rPr>
        <w:softHyphen/>
        <w:t>си — летчики не доверяли, регулируя моторы по цвету пламени выхлопа, благо ночью его видно хорошо.   Чтобы сохранить дальность, с конца 1941 года увеличили разрешенный взлетный вес и ввели подвеску под крыло двух баков по 325 л топлива, которых должно было хватать на 600 км. Но они оказались небезопасны из-за скопления в них паров бензина, который вырабатывался не полностью, а когда насос переставал качать из них — мотор глох и надо было быстро пе</w:t>
      </w:r>
      <w:r w:rsidRPr="008A2E5A">
        <w:rPr>
          <w:rFonts w:ascii="Times New Roman" w:hAnsi="Times New Roman"/>
          <w:color w:val="0070C0"/>
          <w:sz w:val="16"/>
          <w:szCs w:val="16"/>
        </w:rPr>
        <w:softHyphen/>
        <w:t xml:space="preserve">реключить краны питания на основные баки.     Из-за смещения центровки назад ухудшилась устойчивость машины (24139). </w:t>
      </w:r>
    </w:p>
    <w:p w14:paraId="4C56C12C" w14:textId="77777777" w:rsidR="004C32AA" w:rsidRPr="008A2E5A" w:rsidRDefault="004C32AA" w:rsidP="004C32AA">
      <w:pPr>
        <w:spacing w:after="0" w:line="240" w:lineRule="auto"/>
        <w:jc w:val="both"/>
        <w:rPr>
          <w:rFonts w:ascii="Times New Roman" w:hAnsi="Times New Roman"/>
          <w:color w:val="0070C0"/>
          <w:sz w:val="16"/>
          <w:szCs w:val="16"/>
        </w:rPr>
      </w:pPr>
    </w:p>
    <w:p w14:paraId="5F92167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августа 1942 г., ильюшинские бомбардировщи</w:t>
      </w:r>
      <w:r w:rsidRPr="001E2C69">
        <w:rPr>
          <w:rFonts w:ascii="Times New Roman" w:hAnsi="Times New Roman"/>
          <w:color w:val="000000" w:themeColor="text1"/>
          <w:sz w:val="16"/>
          <w:szCs w:val="16"/>
        </w:rPr>
        <w:softHyphen/>
        <w:t>ки начали вытеснять Пе-2 и Пе-3 из це</w:t>
      </w:r>
      <w:r w:rsidRPr="001E2C69">
        <w:rPr>
          <w:rFonts w:ascii="Times New Roman" w:hAnsi="Times New Roman"/>
          <w:color w:val="000000" w:themeColor="text1"/>
          <w:sz w:val="16"/>
          <w:szCs w:val="16"/>
        </w:rPr>
        <w:softHyphen/>
        <w:t>хов завода № 39, эвакуированного в Иркутск с заводом № 125. Делали их там поначалу немного. Так, в октябре сдали всего четыре самолета (правда, в плане стояли два) (10734,69).</w:t>
      </w:r>
    </w:p>
    <w:p w14:paraId="0273F99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363BF2F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августа 1942 г. ильюшинские бомбардировщики начали вытеснять Пе-2 и Пе-3 из цехов завода №39, эвакуированного в Иркутск вместе с заводом №125. Делали их там поначалу немного. Так, в октябре сдали всего четыре самолета (правда, в плане и вовсе стояли только два). Собственно, это были уже не ДБ-3Ф, так как с 26 марта самолету присвоили новое обозначение - Ил-4 (7666).</w:t>
      </w:r>
    </w:p>
    <w:p w14:paraId="34E411DF" w14:textId="77777777" w:rsidR="00AE7191" w:rsidRPr="001E2C69" w:rsidRDefault="00AE7191" w:rsidP="00722885">
      <w:pPr>
        <w:pStyle w:val="Iauiue"/>
        <w:jc w:val="both"/>
        <w:rPr>
          <w:color w:val="000000" w:themeColor="text1"/>
          <w:sz w:val="16"/>
          <w:szCs w:val="16"/>
        </w:rPr>
      </w:pPr>
    </w:p>
    <w:p w14:paraId="2C8E6E55" w14:textId="77777777" w:rsidR="005B1690" w:rsidRPr="001E2C69" w:rsidRDefault="005B1690"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по решению Государственного Комитета Обороны завод № 39 прекращает выпуск машин Пе-2 и Пе-3бис и приступает к производству дальнего бомбардировщика Ил-4 (ДБ-3Ф переименованный в Ил-4 приказом А.И. Шахурина 28 марта 1942 года). К выпуску в 1942 году намечено 37 Ил-4, при этом первые машины должны быть сданы в ноябре месяце.</w:t>
      </w:r>
    </w:p>
    <w:p w14:paraId="6F2B6FF1" w14:textId="77777777" w:rsidR="005B1690" w:rsidRPr="001E2C69" w:rsidRDefault="005B1690"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освоении Ил-4 заводом был осуществлен следующий график подготовки производства и изготовления первой машины (Отчет о работе завода № 39 за 1942 год. Центральный архив ИАЗ, дело № 240, лист 39.):</w:t>
      </w:r>
    </w:p>
    <w:p w14:paraId="7072722D" w14:textId="77777777" w:rsidR="005B1690" w:rsidRPr="001E2C69" w:rsidRDefault="005B1690" w:rsidP="00722885">
      <w:pPr>
        <w:pStyle w:val="rteindent11"/>
        <w:shd w:val="clear" w:color="auto" w:fill="FFFFFF"/>
        <w:spacing w:before="0" w:beforeAutospacing="0" w:after="0"/>
        <w:ind w:left="0" w:firstLine="0"/>
        <w:rPr>
          <w:color w:val="000000" w:themeColor="text1"/>
          <w:sz w:val="16"/>
          <w:szCs w:val="16"/>
        </w:rPr>
      </w:pPr>
      <w:r w:rsidRPr="001E2C69">
        <w:rPr>
          <w:rStyle w:val="af1"/>
          <w:i w:val="0"/>
          <w:color w:val="000000" w:themeColor="text1"/>
          <w:sz w:val="16"/>
          <w:szCs w:val="16"/>
        </w:rPr>
        <w:t>1. Получение чертежей от завода № 23 – 30 августа.</w:t>
      </w:r>
    </w:p>
    <w:p w14:paraId="71930B7A" w14:textId="77777777" w:rsidR="005B1690" w:rsidRPr="001E2C69" w:rsidRDefault="005B1690" w:rsidP="00722885">
      <w:pPr>
        <w:pStyle w:val="rteindent11"/>
        <w:shd w:val="clear" w:color="auto" w:fill="FFFFFF"/>
        <w:spacing w:before="0" w:beforeAutospacing="0" w:after="0"/>
        <w:ind w:left="0" w:firstLine="0"/>
        <w:rPr>
          <w:color w:val="000000" w:themeColor="text1"/>
          <w:sz w:val="16"/>
          <w:szCs w:val="16"/>
        </w:rPr>
      </w:pPr>
      <w:r w:rsidRPr="001E2C69">
        <w:rPr>
          <w:rStyle w:val="af1"/>
          <w:i w:val="0"/>
          <w:color w:val="000000" w:themeColor="text1"/>
          <w:sz w:val="16"/>
          <w:szCs w:val="16"/>
        </w:rPr>
        <w:t>2. Изготовление плазов – 10 сентября.</w:t>
      </w:r>
    </w:p>
    <w:p w14:paraId="312C2D26" w14:textId="77777777" w:rsidR="005B1690" w:rsidRPr="001E2C69" w:rsidRDefault="005B1690" w:rsidP="00722885">
      <w:pPr>
        <w:pStyle w:val="rteindent11"/>
        <w:shd w:val="clear" w:color="auto" w:fill="FFFFFF"/>
        <w:spacing w:before="0" w:beforeAutospacing="0" w:after="0"/>
        <w:ind w:left="0" w:firstLine="0"/>
        <w:rPr>
          <w:color w:val="000000" w:themeColor="text1"/>
          <w:sz w:val="16"/>
          <w:szCs w:val="16"/>
        </w:rPr>
      </w:pPr>
      <w:r w:rsidRPr="001E2C69">
        <w:rPr>
          <w:rStyle w:val="af1"/>
          <w:i w:val="0"/>
          <w:color w:val="000000" w:themeColor="text1"/>
          <w:sz w:val="16"/>
          <w:szCs w:val="16"/>
        </w:rPr>
        <w:t>3. Передача чертежей в производственные цехи – 10 сентября.</w:t>
      </w:r>
    </w:p>
    <w:p w14:paraId="06CCDEF4" w14:textId="77777777" w:rsidR="005B1690" w:rsidRPr="001E2C69" w:rsidRDefault="005B1690" w:rsidP="00722885">
      <w:pPr>
        <w:pStyle w:val="rteindent11"/>
        <w:shd w:val="clear" w:color="auto" w:fill="FFFFFF"/>
        <w:spacing w:before="0" w:beforeAutospacing="0" w:after="0"/>
        <w:ind w:left="0" w:firstLine="0"/>
        <w:rPr>
          <w:color w:val="000000" w:themeColor="text1"/>
          <w:sz w:val="16"/>
          <w:szCs w:val="16"/>
        </w:rPr>
      </w:pPr>
      <w:r w:rsidRPr="001E2C69">
        <w:rPr>
          <w:rStyle w:val="af1"/>
          <w:i w:val="0"/>
          <w:color w:val="000000" w:themeColor="text1"/>
          <w:sz w:val="16"/>
          <w:szCs w:val="16"/>
        </w:rPr>
        <w:t>4. Обработка чертежей конструкторским и технологическим отделами завода – 8 октября.</w:t>
      </w:r>
    </w:p>
    <w:p w14:paraId="7C91E970" w14:textId="77777777" w:rsidR="005B1690" w:rsidRPr="001E2C69" w:rsidRDefault="005B1690" w:rsidP="00722885">
      <w:pPr>
        <w:pStyle w:val="rteindent11"/>
        <w:shd w:val="clear" w:color="auto" w:fill="FFFFFF"/>
        <w:spacing w:before="0" w:beforeAutospacing="0" w:after="0"/>
        <w:ind w:left="0" w:firstLine="0"/>
        <w:rPr>
          <w:color w:val="000000" w:themeColor="text1"/>
          <w:sz w:val="16"/>
          <w:szCs w:val="16"/>
        </w:rPr>
      </w:pPr>
      <w:r w:rsidRPr="001E2C69">
        <w:rPr>
          <w:rStyle w:val="af1"/>
          <w:i w:val="0"/>
          <w:color w:val="000000" w:themeColor="text1"/>
          <w:sz w:val="16"/>
          <w:szCs w:val="16"/>
        </w:rPr>
        <w:t>5. Заказ оснастки «0» и 1-й очереди – 10 октября.</w:t>
      </w:r>
    </w:p>
    <w:p w14:paraId="04B573BD" w14:textId="77777777" w:rsidR="005B1690" w:rsidRPr="001E2C69" w:rsidRDefault="005B1690" w:rsidP="00722885">
      <w:pPr>
        <w:pStyle w:val="rteindent11"/>
        <w:shd w:val="clear" w:color="auto" w:fill="FFFFFF"/>
        <w:spacing w:before="0" w:beforeAutospacing="0" w:after="0"/>
        <w:ind w:left="0" w:firstLine="0"/>
        <w:rPr>
          <w:color w:val="000000" w:themeColor="text1"/>
          <w:sz w:val="16"/>
          <w:szCs w:val="16"/>
        </w:rPr>
      </w:pPr>
      <w:r w:rsidRPr="001E2C69">
        <w:rPr>
          <w:rStyle w:val="af1"/>
          <w:i w:val="0"/>
          <w:color w:val="000000" w:themeColor="text1"/>
          <w:sz w:val="16"/>
          <w:szCs w:val="16"/>
        </w:rPr>
        <w:t>6. Передача цехам технологических передовиц – 15 октября.</w:t>
      </w:r>
    </w:p>
    <w:p w14:paraId="4025CB7D" w14:textId="77777777" w:rsidR="005B1690" w:rsidRPr="001E2C69" w:rsidRDefault="005B1690" w:rsidP="00722885">
      <w:pPr>
        <w:pStyle w:val="rteindent11"/>
        <w:shd w:val="clear" w:color="auto" w:fill="FFFFFF"/>
        <w:spacing w:before="0" w:beforeAutospacing="0" w:after="0"/>
        <w:ind w:left="0" w:firstLine="0"/>
        <w:rPr>
          <w:color w:val="000000" w:themeColor="text1"/>
          <w:sz w:val="16"/>
          <w:szCs w:val="16"/>
        </w:rPr>
      </w:pPr>
      <w:r w:rsidRPr="001E2C69">
        <w:rPr>
          <w:rStyle w:val="af1"/>
          <w:i w:val="0"/>
          <w:color w:val="000000" w:themeColor="text1"/>
          <w:sz w:val="16"/>
          <w:szCs w:val="16"/>
        </w:rPr>
        <w:t>7. Разработка технологических процессов – 30 октября.</w:t>
      </w:r>
    </w:p>
    <w:p w14:paraId="04FC4C3C" w14:textId="77777777" w:rsidR="005B1690" w:rsidRPr="001E2C69" w:rsidRDefault="005B1690" w:rsidP="00722885">
      <w:pPr>
        <w:pStyle w:val="rteindent11"/>
        <w:shd w:val="clear" w:color="auto" w:fill="FFFFFF"/>
        <w:spacing w:before="0" w:beforeAutospacing="0" w:after="0"/>
        <w:ind w:left="0" w:firstLine="0"/>
        <w:rPr>
          <w:color w:val="000000" w:themeColor="text1"/>
          <w:sz w:val="16"/>
          <w:szCs w:val="16"/>
        </w:rPr>
      </w:pPr>
      <w:r w:rsidRPr="001E2C69">
        <w:rPr>
          <w:rStyle w:val="af1"/>
          <w:i w:val="0"/>
          <w:color w:val="000000" w:themeColor="text1"/>
          <w:sz w:val="16"/>
          <w:szCs w:val="16"/>
        </w:rPr>
        <w:t>8. Изготовление оснастки «0» очереди – 13 октября.</w:t>
      </w:r>
    </w:p>
    <w:p w14:paraId="5E055AC2" w14:textId="77777777" w:rsidR="005B1690" w:rsidRPr="001E2C69" w:rsidRDefault="005B1690" w:rsidP="00722885">
      <w:pPr>
        <w:pStyle w:val="rteindent11"/>
        <w:shd w:val="clear" w:color="auto" w:fill="FFFFFF"/>
        <w:spacing w:before="0" w:beforeAutospacing="0" w:after="0"/>
        <w:ind w:left="0" w:firstLine="0"/>
        <w:rPr>
          <w:color w:val="000000" w:themeColor="text1"/>
          <w:sz w:val="16"/>
          <w:szCs w:val="16"/>
        </w:rPr>
      </w:pPr>
      <w:r w:rsidRPr="001E2C69">
        <w:rPr>
          <w:rStyle w:val="af1"/>
          <w:i w:val="0"/>
          <w:color w:val="000000" w:themeColor="text1"/>
          <w:sz w:val="16"/>
          <w:szCs w:val="16"/>
        </w:rPr>
        <w:t>9. Изготовление агрегатов первой машины – 23 октября.</w:t>
      </w:r>
    </w:p>
    <w:p w14:paraId="0E77B0D4" w14:textId="77777777" w:rsidR="005B1690" w:rsidRPr="001E2C69" w:rsidRDefault="005B1690" w:rsidP="00722885">
      <w:pPr>
        <w:pStyle w:val="rteindent11"/>
        <w:shd w:val="clear" w:color="auto" w:fill="FFFFFF"/>
        <w:spacing w:before="0" w:beforeAutospacing="0" w:after="0"/>
        <w:ind w:left="0" w:firstLine="0"/>
        <w:rPr>
          <w:color w:val="000000" w:themeColor="text1"/>
          <w:sz w:val="16"/>
          <w:szCs w:val="16"/>
        </w:rPr>
      </w:pPr>
      <w:r w:rsidRPr="001E2C69">
        <w:rPr>
          <w:rStyle w:val="af1"/>
          <w:i w:val="0"/>
          <w:color w:val="000000" w:themeColor="text1"/>
          <w:sz w:val="16"/>
          <w:szCs w:val="16"/>
        </w:rPr>
        <w:t>10.Передача на сборку первой машины – 31 октября</w:t>
      </w:r>
    </w:p>
    <w:p w14:paraId="20C75B28" w14:textId="77777777" w:rsidR="005B1690" w:rsidRPr="001E2C69" w:rsidRDefault="005B1690" w:rsidP="00722885">
      <w:pPr>
        <w:pStyle w:val="rteindent11"/>
        <w:shd w:val="clear" w:color="auto" w:fill="FFFFFF"/>
        <w:spacing w:before="0" w:beforeAutospacing="0" w:after="0"/>
        <w:ind w:left="0" w:firstLine="0"/>
        <w:rPr>
          <w:rStyle w:val="af1"/>
          <w:i w:val="0"/>
          <w:color w:val="000000" w:themeColor="text1"/>
          <w:sz w:val="16"/>
          <w:szCs w:val="16"/>
        </w:rPr>
      </w:pPr>
      <w:r w:rsidRPr="001E2C69">
        <w:rPr>
          <w:rStyle w:val="af1"/>
          <w:i w:val="0"/>
          <w:color w:val="000000" w:themeColor="text1"/>
          <w:sz w:val="16"/>
          <w:szCs w:val="16"/>
        </w:rPr>
        <w:t>11.Облет и сдача заказчику – 6 ноября.</w:t>
      </w:r>
    </w:p>
    <w:p w14:paraId="1B00D278" w14:textId="77777777" w:rsidR="005B1690" w:rsidRPr="001E2C69" w:rsidRDefault="005B1690"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Четкая, организованная по графику работа технических отделов и цехов завода обеспечили выполнение сроков, поставленных Государственным Комитетом Обороны и наркоматом авиационной промышленности. Безусловно, сказался и опыт постройки бомбардировщиков ДБ-3Ф в Москве, которым обладали «менжинцы» при запуске иркутского Ил-4: самолет и технология его изготовления была очень хорошо им знакома. В период освоения производства бомбардировщика в Иркутск дважды приезжал С.В. Ильюшин, лично возглавляя большую группу специалистов ОКБ. Все это позволило освоить и выпустить в серию Ил-4 в рекордно короткие сроки - всего за четыре месяца (15223).</w:t>
      </w:r>
    </w:p>
    <w:p w14:paraId="0996FD45" w14:textId="77777777" w:rsidR="005B1690" w:rsidRPr="001E2C69" w:rsidRDefault="005B1690" w:rsidP="00722885">
      <w:pPr>
        <w:shd w:val="clear" w:color="auto" w:fill="FFFFFF"/>
        <w:spacing w:after="0" w:line="240" w:lineRule="auto"/>
        <w:jc w:val="both"/>
        <w:rPr>
          <w:rFonts w:ascii="Times New Roman" w:hAnsi="Times New Roman"/>
          <w:color w:val="000000" w:themeColor="text1"/>
          <w:sz w:val="16"/>
          <w:szCs w:val="16"/>
        </w:rPr>
      </w:pPr>
    </w:p>
    <w:p w14:paraId="007EF1F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завод 19 в Молотове (Пермь), на котором размещалось ОКБ П.О.С., начал постройку Су-8 с двумя М-71, проектирование которого началось в мае 1942, а чертежи были готовы только 20 сентября 1942 (1062,7).</w:t>
      </w:r>
    </w:p>
    <w:p w14:paraId="21158FE3" w14:textId="77777777" w:rsidR="00AE7191" w:rsidRPr="001E2C69" w:rsidRDefault="00AE7191" w:rsidP="00722885">
      <w:pPr>
        <w:pStyle w:val="Iauiue"/>
        <w:jc w:val="both"/>
        <w:rPr>
          <w:color w:val="000000" w:themeColor="text1"/>
          <w:sz w:val="16"/>
          <w:szCs w:val="16"/>
        </w:rPr>
      </w:pPr>
    </w:p>
    <w:p w14:paraId="533DB44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на Пе-2 N 10/119 был разработан и испытан легкий экран толщиной 1.5 мм для монтажа позади бронеспинки пилота для защиты ш (1942,27).</w:t>
      </w:r>
    </w:p>
    <w:p w14:paraId="013B0C90" w14:textId="77777777" w:rsidR="00AE7191" w:rsidRPr="001E2C69" w:rsidRDefault="00AE7191" w:rsidP="00722885">
      <w:pPr>
        <w:pStyle w:val="Iauiue"/>
        <w:jc w:val="both"/>
        <w:rPr>
          <w:color w:val="000000" w:themeColor="text1"/>
          <w:sz w:val="16"/>
          <w:szCs w:val="16"/>
        </w:rPr>
      </w:pPr>
    </w:p>
    <w:p w14:paraId="515DA19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на заводе № 22 смонтировали и облетали первый Пе-2 с деревянными фюзеляжем (Ф-3) и стабилизатором. Также провели летные испытания самолёта Пе-8 (зав. №42047) с двигателями М-82. Испытания проводил Герой Советского Союза М.3. Водопьянов, ведущий инженео Н.Н.Аржанов (6394).</w:t>
      </w:r>
    </w:p>
    <w:p w14:paraId="100DF1CF" w14:textId="77777777" w:rsidR="00AE7191" w:rsidRPr="001E2C69" w:rsidRDefault="00AE7191" w:rsidP="00722885">
      <w:pPr>
        <w:pStyle w:val="Iauiue"/>
        <w:jc w:val="both"/>
        <w:rPr>
          <w:color w:val="000000" w:themeColor="text1"/>
          <w:sz w:val="16"/>
          <w:szCs w:val="16"/>
        </w:rPr>
      </w:pPr>
    </w:p>
    <w:p w14:paraId="0202551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в цехе окончательной сборки завода № 22 из таких агрегатов улучшенного качества был бран эталонный Пе-2, на котором были отработаны все погрешности, после чего машину сдали комиссии и заказчику. Эталонный Пе-2 явился образцом для приемки дальнейших серийных самолётов, это был значительный шаг вперед по качеству, особенно по внешней отделке (6394).</w:t>
      </w:r>
    </w:p>
    <w:p w14:paraId="2E87F4E1" w14:textId="77777777" w:rsidR="00AE7191" w:rsidRPr="001E2C69" w:rsidRDefault="00AE7191" w:rsidP="00722885">
      <w:pPr>
        <w:pStyle w:val="Iauiue"/>
        <w:jc w:val="both"/>
        <w:rPr>
          <w:color w:val="000000" w:themeColor="text1"/>
          <w:sz w:val="16"/>
          <w:szCs w:val="16"/>
        </w:rPr>
      </w:pPr>
    </w:p>
    <w:p w14:paraId="30CA303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А.И.Ш. писал Нач. ГУЗ и ТС Селезневу письмо:</w:t>
      </w:r>
    </w:p>
    <w:p w14:paraId="57A760C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 вопросу изменения комплектации самолетов Пе-2 кассетами для мелких бомб, сообщаю:</w:t>
      </w:r>
    </w:p>
    <w:p w14:paraId="4B37923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 Каждый Пе-2 будет комплектоваться кассетами для мелких бомб с 1 сентября 1942.</w:t>
      </w:r>
    </w:p>
    <w:p w14:paraId="2DF2555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2. С 15 октября 1942 самолеты Ил-2 будут выпускаться с модернизированными бомбоотсеками центроплана, благодаря чему каждый самолет может быть использован для загрузки мелкими бомбами без применения специальных кассет." (1632,76).</w:t>
      </w:r>
    </w:p>
    <w:p w14:paraId="44C03435" w14:textId="77777777" w:rsidR="00AE7191" w:rsidRPr="001E2C69" w:rsidRDefault="00AE7191" w:rsidP="00722885">
      <w:pPr>
        <w:pStyle w:val="Iauiue"/>
        <w:jc w:val="both"/>
        <w:rPr>
          <w:color w:val="000000" w:themeColor="text1"/>
          <w:sz w:val="16"/>
          <w:szCs w:val="16"/>
        </w:rPr>
      </w:pPr>
    </w:p>
    <w:p w14:paraId="1C9FB40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был подготовлен проект приказа НКАП по вопросу обеспечения ВВС КА самолетами Пе-2 в разведывательном варианте. Хотели поручить директору завода 22 Окулову к 10 сентября произвести отработку и испытание 2-х Пе-2 в разведывательном варианте с установкой автомата курса АК-1...(1685,86).</w:t>
      </w:r>
    </w:p>
    <w:p w14:paraId="35CAB4DB" w14:textId="77777777" w:rsidR="00AE7191" w:rsidRPr="001E2C69" w:rsidRDefault="00AE7191" w:rsidP="00722885">
      <w:pPr>
        <w:pStyle w:val="Iauiue"/>
        <w:jc w:val="both"/>
        <w:rPr>
          <w:color w:val="000000" w:themeColor="text1"/>
          <w:sz w:val="16"/>
          <w:szCs w:val="16"/>
        </w:rPr>
      </w:pPr>
    </w:p>
    <w:p w14:paraId="3C890B80"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В августе 1942 к В.Захаров и А.Виноградов разработали два образца подвижных оборонительных ракетных установок для Пе-2 под РС-82. Система РУБ-2Л (ракетная </w:t>
      </w:r>
      <w:r w:rsidRPr="001E2C69">
        <w:rPr>
          <w:color w:val="000000" w:themeColor="text1"/>
          <w:sz w:val="16"/>
          <w:szCs w:val="16"/>
        </w:rPr>
        <w:lastRenderedPageBreak/>
        <w:t>управляемая батарея на два снаряда люковая) монтировалась на подвижной части ЛУ. Система РУБ-4 - размещалась на прозрачной полусферической башенке, опорное кольцо которой ставилось на астро-люк стрелка-радиста. Не пошло, так как прицельность обеспечить не удалось (1841,31).</w:t>
      </w:r>
    </w:p>
    <w:p w14:paraId="708B1473" w14:textId="77777777" w:rsidR="00AE7191" w:rsidRPr="001E2C69" w:rsidRDefault="00AE7191" w:rsidP="00722885">
      <w:pPr>
        <w:pStyle w:val="Iauiue"/>
        <w:jc w:val="both"/>
        <w:rPr>
          <w:color w:val="000000" w:themeColor="text1"/>
          <w:sz w:val="16"/>
          <w:szCs w:val="16"/>
        </w:rPr>
      </w:pPr>
    </w:p>
    <w:p w14:paraId="229C6FA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конструкторы В.Заулошнов и А.Виноградов создали два об</w:t>
      </w:r>
      <w:r w:rsidRPr="001E2C69">
        <w:rPr>
          <w:rFonts w:ascii="Times New Roman" w:hAnsi="Times New Roman"/>
          <w:color w:val="000000" w:themeColor="text1"/>
          <w:sz w:val="16"/>
          <w:szCs w:val="16"/>
        </w:rPr>
        <w:softHyphen/>
        <w:t>разца подвижных оборонительных бата</w:t>
      </w:r>
      <w:r w:rsidRPr="001E2C69">
        <w:rPr>
          <w:rFonts w:ascii="Times New Roman" w:hAnsi="Times New Roman"/>
          <w:color w:val="000000" w:themeColor="text1"/>
          <w:sz w:val="16"/>
          <w:szCs w:val="16"/>
        </w:rPr>
        <w:softHyphen/>
        <w:t>рей РС-82, предназначенных для Пе-2. Люковую ракетную управляемую батарею на 2 снаряда РУБ-2Л смонтировали на подвижной части нижней пулемётной турели. Верхнюю ус</w:t>
      </w:r>
      <w:r w:rsidRPr="001E2C69">
        <w:rPr>
          <w:rFonts w:ascii="Times New Roman" w:hAnsi="Times New Roman"/>
          <w:color w:val="000000" w:themeColor="text1"/>
          <w:sz w:val="16"/>
          <w:szCs w:val="16"/>
        </w:rPr>
        <w:softHyphen/>
        <w:t>тановку РУБ-4 разме</w:t>
      </w:r>
      <w:r w:rsidRPr="001E2C69">
        <w:rPr>
          <w:rFonts w:ascii="Times New Roman" w:hAnsi="Times New Roman"/>
          <w:color w:val="000000" w:themeColor="text1"/>
          <w:sz w:val="16"/>
          <w:szCs w:val="16"/>
        </w:rPr>
        <w:softHyphen/>
        <w:t>стили на прозрачной полусферической ба</w:t>
      </w:r>
      <w:r w:rsidRPr="001E2C69">
        <w:rPr>
          <w:rFonts w:ascii="Times New Roman" w:hAnsi="Times New Roman"/>
          <w:color w:val="000000" w:themeColor="text1"/>
          <w:sz w:val="16"/>
          <w:szCs w:val="16"/>
        </w:rPr>
        <w:softHyphen/>
        <w:t>шенке, опорное коль</w:t>
      </w:r>
      <w:r w:rsidRPr="001E2C69">
        <w:rPr>
          <w:rFonts w:ascii="Times New Roman" w:hAnsi="Times New Roman"/>
          <w:color w:val="000000" w:themeColor="text1"/>
          <w:sz w:val="16"/>
          <w:szCs w:val="16"/>
        </w:rPr>
        <w:softHyphen/>
        <w:t>цо которой встроили в отверстие астролю</w:t>
      </w:r>
      <w:r w:rsidRPr="001E2C69">
        <w:rPr>
          <w:rFonts w:ascii="Times New Roman" w:hAnsi="Times New Roman"/>
          <w:color w:val="000000" w:themeColor="text1"/>
          <w:sz w:val="16"/>
          <w:szCs w:val="16"/>
        </w:rPr>
        <w:softHyphen/>
        <w:t>ка стрелка-радиста. При внешней привле</w:t>
      </w:r>
      <w:r w:rsidRPr="001E2C69">
        <w:rPr>
          <w:rFonts w:ascii="Times New Roman" w:hAnsi="Times New Roman"/>
          <w:color w:val="000000" w:themeColor="text1"/>
          <w:sz w:val="16"/>
          <w:szCs w:val="16"/>
        </w:rPr>
        <w:softHyphen/>
        <w:t>кательности техниче</w:t>
      </w:r>
      <w:r w:rsidRPr="001E2C69">
        <w:rPr>
          <w:rFonts w:ascii="Times New Roman" w:hAnsi="Times New Roman"/>
          <w:color w:val="000000" w:themeColor="text1"/>
          <w:sz w:val="16"/>
          <w:szCs w:val="16"/>
        </w:rPr>
        <w:softHyphen/>
        <w:t>ского решения, оно оказалось не вполне удачным. Ещё на на</w:t>
      </w:r>
      <w:r w:rsidRPr="001E2C69">
        <w:rPr>
          <w:rFonts w:ascii="Times New Roman" w:hAnsi="Times New Roman"/>
          <w:color w:val="000000" w:themeColor="text1"/>
          <w:sz w:val="16"/>
          <w:szCs w:val="16"/>
        </w:rPr>
        <w:softHyphen/>
        <w:t>земных испытаниях Пе-2 (заводской №7/87) специалисты НИПАВ установили, что при пуске снарядов стрелок не в состоянии удержать установку от разво</w:t>
      </w:r>
      <w:r w:rsidRPr="001E2C69">
        <w:rPr>
          <w:rFonts w:ascii="Times New Roman" w:hAnsi="Times New Roman"/>
          <w:color w:val="000000" w:themeColor="text1"/>
          <w:sz w:val="16"/>
          <w:szCs w:val="16"/>
        </w:rPr>
        <w:softHyphen/>
        <w:t>рота, поэтому прицельная стрельба оказа</w:t>
      </w:r>
      <w:r w:rsidRPr="001E2C69">
        <w:rPr>
          <w:rFonts w:ascii="Times New Roman" w:hAnsi="Times New Roman"/>
          <w:color w:val="000000" w:themeColor="text1"/>
          <w:sz w:val="16"/>
          <w:szCs w:val="16"/>
        </w:rPr>
        <w:softHyphen/>
        <w:t>лась невозможной. Более того, набегающий поток воздуха препятствовал наведению ба</w:t>
      </w:r>
      <w:r w:rsidRPr="001E2C69">
        <w:rPr>
          <w:rFonts w:ascii="Times New Roman" w:hAnsi="Times New Roman"/>
          <w:color w:val="000000" w:themeColor="text1"/>
          <w:sz w:val="16"/>
          <w:szCs w:val="16"/>
        </w:rPr>
        <w:softHyphen/>
        <w:t>тарей даже при небольших углах отклоне</w:t>
      </w:r>
      <w:r w:rsidRPr="001E2C69">
        <w:rPr>
          <w:rFonts w:ascii="Times New Roman" w:hAnsi="Times New Roman"/>
          <w:color w:val="000000" w:themeColor="text1"/>
          <w:sz w:val="16"/>
          <w:szCs w:val="16"/>
        </w:rPr>
        <w:softHyphen/>
        <w:t>ния, а после пуска одного из снарядов уста</w:t>
      </w:r>
      <w:r w:rsidRPr="001E2C69">
        <w:rPr>
          <w:rFonts w:ascii="Times New Roman" w:hAnsi="Times New Roman"/>
          <w:color w:val="000000" w:themeColor="text1"/>
          <w:sz w:val="16"/>
          <w:szCs w:val="16"/>
        </w:rPr>
        <w:softHyphen/>
        <w:t>новку неудержимо разворачивало в ском</w:t>
      </w:r>
      <w:r w:rsidRPr="001E2C69">
        <w:rPr>
          <w:rFonts w:ascii="Times New Roman" w:hAnsi="Times New Roman"/>
          <w:color w:val="000000" w:themeColor="text1"/>
          <w:sz w:val="16"/>
          <w:szCs w:val="16"/>
        </w:rPr>
        <w:softHyphen/>
        <w:t>пенсированное положение. Словом, РУБы оказались абсолютно непригодными для бо</w:t>
      </w:r>
      <w:r w:rsidRPr="001E2C69">
        <w:rPr>
          <w:rFonts w:ascii="Times New Roman" w:hAnsi="Times New Roman"/>
          <w:color w:val="000000" w:themeColor="text1"/>
          <w:sz w:val="16"/>
          <w:szCs w:val="16"/>
        </w:rPr>
        <w:softHyphen/>
        <w:t>евого применения. Впер</w:t>
      </w:r>
      <w:r w:rsidRPr="001E2C69">
        <w:rPr>
          <w:rFonts w:ascii="Times New Roman" w:hAnsi="Times New Roman"/>
          <w:color w:val="000000" w:themeColor="text1"/>
          <w:sz w:val="16"/>
          <w:szCs w:val="16"/>
        </w:rPr>
        <w:softHyphen/>
        <w:t>вые такую установку задумали для скорост</w:t>
      </w:r>
      <w:r w:rsidRPr="001E2C69">
        <w:rPr>
          <w:rFonts w:ascii="Times New Roman" w:hAnsi="Times New Roman"/>
          <w:color w:val="000000" w:themeColor="text1"/>
          <w:sz w:val="16"/>
          <w:szCs w:val="16"/>
        </w:rPr>
        <w:softHyphen/>
        <w:t>ного пикирующего бомбардировщика СПБ конструктора Жемчужина ещё до войны. Правда, для стрельбы в ЗПС предусматрива</w:t>
      </w:r>
      <w:r w:rsidRPr="001E2C69">
        <w:rPr>
          <w:rFonts w:ascii="Times New Roman" w:hAnsi="Times New Roman"/>
          <w:color w:val="000000" w:themeColor="text1"/>
          <w:sz w:val="16"/>
          <w:szCs w:val="16"/>
        </w:rPr>
        <w:softHyphen/>
        <w:t>лась выдвижная кассета, и снаряды были более серьёзными - РС-132, но в серию сис</w:t>
      </w:r>
      <w:r w:rsidRPr="001E2C69">
        <w:rPr>
          <w:rFonts w:ascii="Times New Roman" w:hAnsi="Times New Roman"/>
          <w:color w:val="000000" w:themeColor="text1"/>
          <w:sz w:val="16"/>
          <w:szCs w:val="16"/>
        </w:rPr>
        <w:softHyphen/>
        <w:t>тема не пошла.</w:t>
      </w:r>
    </w:p>
    <w:p w14:paraId="6673EE1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строевых частях аналогичные устройст</w:t>
      </w:r>
      <w:r w:rsidRPr="001E2C69">
        <w:rPr>
          <w:rFonts w:ascii="Times New Roman" w:hAnsi="Times New Roman"/>
          <w:color w:val="000000" w:themeColor="text1"/>
          <w:sz w:val="16"/>
          <w:szCs w:val="16"/>
        </w:rPr>
        <w:softHyphen/>
        <w:t>ва делали по-разному. Одному из первых мысль «довооружить» Пе-2 пришла технику А.Помазанскому. Он совершенно справед</w:t>
      </w:r>
      <w:r w:rsidRPr="001E2C69">
        <w:rPr>
          <w:rFonts w:ascii="Times New Roman" w:hAnsi="Times New Roman"/>
          <w:color w:val="000000" w:themeColor="text1"/>
          <w:sz w:val="16"/>
          <w:szCs w:val="16"/>
        </w:rPr>
        <w:softHyphen/>
        <w:t>ливо посчитал, что психологическое воздей</w:t>
      </w:r>
      <w:r w:rsidRPr="001E2C69">
        <w:rPr>
          <w:rFonts w:ascii="Times New Roman" w:hAnsi="Times New Roman"/>
          <w:color w:val="000000" w:themeColor="text1"/>
          <w:sz w:val="16"/>
          <w:szCs w:val="16"/>
        </w:rPr>
        <w:softHyphen/>
        <w:t>ствие несущихся навстречу атакующему ис</w:t>
      </w:r>
      <w:r w:rsidRPr="001E2C69">
        <w:rPr>
          <w:rFonts w:ascii="Times New Roman" w:hAnsi="Times New Roman"/>
          <w:color w:val="000000" w:themeColor="text1"/>
          <w:sz w:val="16"/>
          <w:szCs w:val="16"/>
        </w:rPr>
        <w:softHyphen/>
        <w:t>требителю ракет и их взрывы компенсируют потерю скорости бомбардировщика-раке</w:t>
      </w:r>
      <w:r w:rsidRPr="001E2C69">
        <w:rPr>
          <w:rFonts w:ascii="Times New Roman" w:hAnsi="Times New Roman"/>
          <w:color w:val="000000" w:themeColor="text1"/>
          <w:sz w:val="16"/>
          <w:szCs w:val="16"/>
        </w:rPr>
        <w:softHyphen/>
        <w:t>тоносца. В 208-м сбап по два ракетных ору</w:t>
      </w:r>
      <w:r w:rsidRPr="001E2C69">
        <w:rPr>
          <w:rFonts w:ascii="Times New Roman" w:hAnsi="Times New Roman"/>
          <w:color w:val="000000" w:themeColor="text1"/>
          <w:sz w:val="16"/>
          <w:szCs w:val="16"/>
        </w:rPr>
        <w:softHyphen/>
        <w:t>дия РО-82 смонтировали на хвостовой части фюзеляжей Пе-2 и Пе-3. Небольшой «рас</w:t>
      </w:r>
      <w:r w:rsidRPr="001E2C69">
        <w:rPr>
          <w:rFonts w:ascii="Times New Roman" w:hAnsi="Times New Roman"/>
          <w:color w:val="000000" w:themeColor="text1"/>
          <w:sz w:val="16"/>
          <w:szCs w:val="16"/>
        </w:rPr>
        <w:softHyphen/>
        <w:t>твор» орудий по направлению получился ав</w:t>
      </w:r>
      <w:r w:rsidRPr="001E2C69">
        <w:rPr>
          <w:rFonts w:ascii="Times New Roman" w:hAnsi="Times New Roman"/>
          <w:color w:val="000000" w:themeColor="text1"/>
          <w:sz w:val="16"/>
          <w:szCs w:val="16"/>
        </w:rPr>
        <w:softHyphen/>
        <w:t>томатически при установке узлов крепления на круглом фюзеляже. Во 2-м драп ГК в ноя</w:t>
      </w:r>
      <w:r w:rsidRPr="001E2C69">
        <w:rPr>
          <w:rFonts w:ascii="Times New Roman" w:hAnsi="Times New Roman"/>
          <w:color w:val="000000" w:themeColor="text1"/>
          <w:sz w:val="16"/>
          <w:szCs w:val="16"/>
        </w:rPr>
        <w:softHyphen/>
        <w:t>бре 1941 г. на все Пе-2 поставили аналогич</w:t>
      </w:r>
      <w:r w:rsidRPr="001E2C69">
        <w:rPr>
          <w:rFonts w:ascii="Times New Roman" w:hAnsi="Times New Roman"/>
          <w:color w:val="000000" w:themeColor="text1"/>
          <w:sz w:val="16"/>
          <w:szCs w:val="16"/>
        </w:rPr>
        <w:softHyphen/>
        <w:t>ные установки. Пускал снаряды штурман са</w:t>
      </w:r>
      <w:r w:rsidRPr="001E2C69">
        <w:rPr>
          <w:rFonts w:ascii="Times New Roman" w:hAnsi="Times New Roman"/>
          <w:color w:val="000000" w:themeColor="text1"/>
          <w:sz w:val="16"/>
          <w:szCs w:val="16"/>
        </w:rPr>
        <w:softHyphen/>
        <w:t>молёта залпом.</w:t>
      </w:r>
    </w:p>
    <w:p w14:paraId="08830BA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период боёв под Вязьмой экипаж лётчи</w:t>
      </w:r>
      <w:r w:rsidRPr="001E2C69">
        <w:rPr>
          <w:rFonts w:ascii="Times New Roman" w:hAnsi="Times New Roman"/>
          <w:color w:val="000000" w:themeColor="text1"/>
          <w:sz w:val="16"/>
          <w:szCs w:val="16"/>
        </w:rPr>
        <w:softHyphen/>
        <w:t>ка Алышева из 2-го драп ГК успешно отразил нападение четырёх «мессершмиттов», при</w:t>
      </w:r>
      <w:r w:rsidRPr="001E2C69">
        <w:rPr>
          <w:rFonts w:ascii="Times New Roman" w:hAnsi="Times New Roman"/>
          <w:color w:val="000000" w:themeColor="text1"/>
          <w:sz w:val="16"/>
          <w:szCs w:val="16"/>
        </w:rPr>
        <w:softHyphen/>
        <w:t>менение «ракеты обратного старта». Вскоре таким же образом отбился экипаж младше</w:t>
      </w:r>
      <w:r w:rsidRPr="001E2C69">
        <w:rPr>
          <w:rFonts w:ascii="Times New Roman" w:hAnsi="Times New Roman"/>
          <w:color w:val="000000" w:themeColor="text1"/>
          <w:sz w:val="16"/>
          <w:szCs w:val="16"/>
        </w:rPr>
        <w:softHyphen/>
        <w:t>го лейтенанта Щитова. На сей раз противник проявил настойчивость, и чтобы его отпуг</w:t>
      </w:r>
      <w:r w:rsidRPr="001E2C69">
        <w:rPr>
          <w:rFonts w:ascii="Times New Roman" w:hAnsi="Times New Roman"/>
          <w:color w:val="000000" w:themeColor="text1"/>
          <w:sz w:val="16"/>
          <w:szCs w:val="16"/>
        </w:rPr>
        <w:softHyphen/>
        <w:t>нуть, понадобилось два залпа. Подобное предпринимали в некоторых полках штурмо</w:t>
      </w:r>
      <w:r w:rsidRPr="001E2C69">
        <w:rPr>
          <w:rFonts w:ascii="Times New Roman" w:hAnsi="Times New Roman"/>
          <w:color w:val="000000" w:themeColor="text1"/>
          <w:sz w:val="16"/>
          <w:szCs w:val="16"/>
        </w:rPr>
        <w:softHyphen/>
        <w:t>виков, где по одному РО монтировали справа и слева от киля, а также в полках дальних бомбардировщиков для защиты ППС и ЗПС на Ил-4. А в 4-м драп ГК на все самолёты Пе-2, Пе-3 и А-20 «перевёрнутые» пусковые РО-82 установили попарно под каждую кон</w:t>
      </w:r>
      <w:r w:rsidRPr="001E2C69">
        <w:rPr>
          <w:rFonts w:ascii="Times New Roman" w:hAnsi="Times New Roman"/>
          <w:color w:val="000000" w:themeColor="text1"/>
          <w:sz w:val="16"/>
          <w:szCs w:val="16"/>
        </w:rPr>
        <w:softHyphen/>
        <w:t>соль. Они были предназначены для усиления защиты сзади-снизу - обычного направления атак германских истребителей. (11392).</w:t>
      </w:r>
    </w:p>
    <w:p w14:paraId="2662F13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3CCBB16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конструкторы В.Заулошнов и А.Ви</w:t>
      </w:r>
      <w:r w:rsidRPr="001E2C69">
        <w:rPr>
          <w:rFonts w:ascii="Times New Roman" w:hAnsi="Times New Roman"/>
          <w:color w:val="000000" w:themeColor="text1"/>
          <w:sz w:val="16"/>
          <w:szCs w:val="16"/>
        </w:rPr>
        <w:softHyphen/>
        <w:t>ноградов создали два образца таких устройств для самолета Пе-2. Оба они были реализованы на машине с заводским №7/87.</w:t>
      </w:r>
    </w:p>
    <w:p w14:paraId="6D60A22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Ракетную управляемую батарею РУБ-2Л для люковой стрелковой ус</w:t>
      </w:r>
      <w:r w:rsidRPr="001E2C69">
        <w:rPr>
          <w:rFonts w:ascii="Times New Roman" w:hAnsi="Times New Roman"/>
          <w:color w:val="000000" w:themeColor="text1"/>
          <w:sz w:val="16"/>
          <w:szCs w:val="16"/>
        </w:rPr>
        <w:softHyphen/>
        <w:t>тановки ЛУ-Пе-2 смонтировали на подвижной части нижней турели. Конструктивно она представляла собой два штатных орудия РО-82, за</w:t>
      </w:r>
      <w:r w:rsidRPr="001E2C69">
        <w:rPr>
          <w:rFonts w:ascii="Times New Roman" w:hAnsi="Times New Roman"/>
          <w:color w:val="000000" w:themeColor="text1"/>
          <w:sz w:val="16"/>
          <w:szCs w:val="16"/>
        </w:rPr>
        <w:softHyphen/>
        <w:t>крепленных по обеим сторонам пулемета УБТ. Огонь из них вел залпом стрелок-радист от отдельной боевой кнопки, используя перископиче</w:t>
      </w:r>
      <w:r w:rsidRPr="001E2C69">
        <w:rPr>
          <w:rFonts w:ascii="Times New Roman" w:hAnsi="Times New Roman"/>
          <w:color w:val="000000" w:themeColor="text1"/>
          <w:sz w:val="16"/>
          <w:szCs w:val="16"/>
        </w:rPr>
        <w:softHyphen/>
        <w:t>ский люковый оптический прицел ОП-2Л. И хотя, подвижность такой установки была ограниченной, эта комбинированная стрелковая систе</w:t>
      </w:r>
      <w:r w:rsidRPr="001E2C69">
        <w:rPr>
          <w:rFonts w:ascii="Times New Roman" w:hAnsi="Times New Roman"/>
          <w:color w:val="000000" w:themeColor="text1"/>
          <w:sz w:val="16"/>
          <w:szCs w:val="16"/>
        </w:rPr>
        <w:softHyphen/>
        <w:t>ма позволяла еще больше сократить диапазон ракурсов успешных атак истребителей противника.</w:t>
      </w:r>
    </w:p>
    <w:p w14:paraId="2F3918F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Еще один вариант - верхняя установка РУБ-4 - размещалась сверху на блистере от башенной пулеметной установки, используемой на даль</w:t>
      </w:r>
      <w:r w:rsidRPr="001E2C69">
        <w:rPr>
          <w:rFonts w:ascii="Times New Roman" w:hAnsi="Times New Roman"/>
          <w:color w:val="000000" w:themeColor="text1"/>
          <w:sz w:val="16"/>
          <w:szCs w:val="16"/>
        </w:rPr>
        <w:softHyphen/>
        <w:t>них бомбардировщиках Ил-4 для хвостового стрелка. Для этого опору кольцевого подшипника встроили в отверстие верхнего люка стрелка-радиста. В ходе наземных испытаний на НИПАВ ВВС КА выяснилось, что при стрельбе из нее возникают очень большие моменты сил, стремя</w:t>
      </w:r>
      <w:r w:rsidRPr="001E2C69">
        <w:rPr>
          <w:rFonts w:ascii="Times New Roman" w:hAnsi="Times New Roman"/>
          <w:color w:val="000000" w:themeColor="text1"/>
          <w:sz w:val="16"/>
          <w:szCs w:val="16"/>
        </w:rPr>
        <w:softHyphen/>
        <w:t>щиеся развернуть установку, в связи с чем стрелок не в состоянии вести прицельный огонь. В ходе летных испытаний было отмечено, что парус</w:t>
      </w:r>
      <w:r w:rsidRPr="001E2C69">
        <w:rPr>
          <w:rFonts w:ascii="Times New Roman" w:hAnsi="Times New Roman"/>
          <w:color w:val="000000" w:themeColor="text1"/>
          <w:sz w:val="16"/>
          <w:szCs w:val="16"/>
        </w:rPr>
        <w:softHyphen/>
        <w:t>ность установки велика, и набегающий поток воздуха сильно препятствует наведению батареи даже на небольшие углы по направлению, а по</w:t>
      </w:r>
      <w:r w:rsidRPr="001E2C69">
        <w:rPr>
          <w:rFonts w:ascii="Times New Roman" w:hAnsi="Times New Roman"/>
          <w:color w:val="000000" w:themeColor="text1"/>
          <w:sz w:val="16"/>
          <w:szCs w:val="16"/>
        </w:rPr>
        <w:softHyphen/>
        <w:t>сле пуска одного из снарядов всю установку неизбежно разворачивает в сторону. В итоге испытатели пришли к выводу, что ракетные управляе</w:t>
      </w:r>
      <w:r w:rsidRPr="001E2C69">
        <w:rPr>
          <w:rFonts w:ascii="Times New Roman" w:hAnsi="Times New Roman"/>
          <w:color w:val="000000" w:themeColor="text1"/>
          <w:sz w:val="16"/>
          <w:szCs w:val="16"/>
        </w:rPr>
        <w:softHyphen/>
        <w:t>мые батареи абсолютно непригодны для боевого применения.</w:t>
      </w:r>
    </w:p>
    <w:p w14:paraId="3C80A0E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Между тем эти недостатки были вполне объяснимы и заранее про</w:t>
      </w:r>
      <w:r w:rsidRPr="001E2C69">
        <w:rPr>
          <w:rFonts w:ascii="Times New Roman" w:hAnsi="Times New Roman"/>
          <w:color w:val="000000" w:themeColor="text1"/>
          <w:sz w:val="16"/>
          <w:szCs w:val="16"/>
        </w:rPr>
        <w:softHyphen/>
        <w:t>гнозируемы. Дело в том, что сила отдачи РС-82 превышала 1000 кг, и при одиночном пуске из-под крыла истребителя даже самолет слегка разво</w:t>
      </w:r>
      <w:r w:rsidRPr="001E2C69">
        <w:rPr>
          <w:rFonts w:ascii="Times New Roman" w:hAnsi="Times New Roman"/>
          <w:color w:val="000000" w:themeColor="text1"/>
          <w:sz w:val="16"/>
          <w:szCs w:val="16"/>
        </w:rPr>
        <w:softHyphen/>
        <w:t>рачивало в противоположную сторону. Именно поэтому на крылатых машинах схема разгрузки была организована симметрично, то есть по</w:t>
      </w:r>
      <w:r w:rsidRPr="001E2C69">
        <w:rPr>
          <w:rFonts w:ascii="Times New Roman" w:hAnsi="Times New Roman"/>
          <w:color w:val="000000" w:themeColor="text1"/>
          <w:sz w:val="16"/>
          <w:szCs w:val="16"/>
        </w:rPr>
        <w:softHyphen/>
        <w:t>очередно из-под каждой плоскости. Одиночная же стрельба РС в авиа</w:t>
      </w:r>
      <w:r w:rsidRPr="001E2C69">
        <w:rPr>
          <w:rFonts w:ascii="Times New Roman" w:hAnsi="Times New Roman"/>
          <w:color w:val="000000" w:themeColor="text1"/>
          <w:sz w:val="16"/>
          <w:szCs w:val="16"/>
        </w:rPr>
        <w:softHyphen/>
        <w:t>ции не приветствовалась с 1939 г. В связи с этим вызывает удивление -как инженеры-оружейники пытались рекомендовать стрелкам вручную удерживать такие чудовищные силы отдачи? Между тем скомпенсиро</w:t>
      </w:r>
      <w:r w:rsidRPr="001E2C69">
        <w:rPr>
          <w:rFonts w:ascii="Times New Roman" w:hAnsi="Times New Roman"/>
          <w:color w:val="000000" w:themeColor="text1"/>
          <w:sz w:val="16"/>
          <w:szCs w:val="16"/>
        </w:rPr>
        <w:softHyphen/>
        <w:t>вать их не составляло большого труда - достаточно было стрелять из РУБ-4 залпами по паре снарядов, разгружая установку симметрично.</w:t>
      </w:r>
    </w:p>
    <w:p w14:paraId="2DAA064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Кроме того, это позволило бы увеличить плотность осколочного поля вблизи цели и, как следствие, вероятность ее поражения. Правда, залпо</w:t>
      </w:r>
      <w:r w:rsidRPr="001E2C69">
        <w:rPr>
          <w:rFonts w:ascii="Times New Roman" w:hAnsi="Times New Roman"/>
          <w:color w:val="000000" w:themeColor="text1"/>
          <w:sz w:val="16"/>
          <w:szCs w:val="16"/>
        </w:rPr>
        <w:softHyphen/>
        <w:t>вая стрельба из РУБ-4 потребовала бы усилить подшипник башенной ус</w:t>
      </w:r>
      <w:r w:rsidRPr="001E2C69">
        <w:rPr>
          <w:rFonts w:ascii="Times New Roman" w:hAnsi="Times New Roman"/>
          <w:color w:val="000000" w:themeColor="text1"/>
          <w:sz w:val="16"/>
          <w:szCs w:val="16"/>
        </w:rPr>
        <w:softHyphen/>
        <w:t>тановки (как это сделали на некоторых Ил-4 с пушкой ШВАК для заши</w:t>
      </w:r>
      <w:r w:rsidRPr="001E2C69">
        <w:rPr>
          <w:rFonts w:ascii="Times New Roman" w:hAnsi="Times New Roman"/>
          <w:color w:val="000000" w:themeColor="text1"/>
          <w:sz w:val="16"/>
          <w:szCs w:val="16"/>
        </w:rPr>
        <w:softHyphen/>
        <w:t>ты ЗПС), но это уже совсем другая тема...</w:t>
      </w:r>
    </w:p>
    <w:p w14:paraId="6EBFA06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серийное производство упомянутые установки так и не поступили. Военные не смогли четко сформулировать то, чего они ожидали полу</w:t>
      </w:r>
      <w:r w:rsidRPr="001E2C69">
        <w:rPr>
          <w:rFonts w:ascii="Times New Roman" w:hAnsi="Times New Roman"/>
          <w:color w:val="000000" w:themeColor="text1"/>
          <w:sz w:val="16"/>
          <w:szCs w:val="16"/>
        </w:rPr>
        <w:softHyphen/>
        <w:t>чить от использования РС в системе оборонительного вооружения бом</w:t>
      </w:r>
      <w:r w:rsidRPr="001E2C69">
        <w:rPr>
          <w:rFonts w:ascii="Times New Roman" w:hAnsi="Times New Roman"/>
          <w:color w:val="000000" w:themeColor="text1"/>
          <w:sz w:val="16"/>
          <w:szCs w:val="16"/>
        </w:rPr>
        <w:softHyphen/>
        <w:t>бардировщиков (11402).</w:t>
      </w:r>
    </w:p>
    <w:p w14:paraId="48790AE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66A4DD7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конструкто</w:t>
      </w:r>
      <w:r w:rsidRPr="001E2C69">
        <w:rPr>
          <w:rFonts w:ascii="Times New Roman" w:hAnsi="Times New Roman"/>
          <w:color w:val="000000" w:themeColor="text1"/>
          <w:sz w:val="16"/>
          <w:szCs w:val="16"/>
        </w:rPr>
        <w:softHyphen/>
        <w:t>ры В.Заулошнов и А.Виноградов со</w:t>
      </w:r>
      <w:r w:rsidRPr="001E2C69">
        <w:rPr>
          <w:rFonts w:ascii="Times New Roman" w:hAnsi="Times New Roman"/>
          <w:color w:val="000000" w:themeColor="text1"/>
          <w:sz w:val="16"/>
          <w:szCs w:val="16"/>
        </w:rPr>
        <w:softHyphen/>
        <w:t>здали два образца установок оборонительных батарей РС-82, предназначенных для Пе-2. Люковую ракетную управляемую батарею на 2 снаряда РУБ-2Л смонтировали на подвижной части нижней пулемётной турели. Верхнюю установку РУБ-4 разместили на прозрачной полусфе</w:t>
      </w:r>
      <w:r w:rsidRPr="001E2C69">
        <w:rPr>
          <w:rFonts w:ascii="Times New Roman" w:hAnsi="Times New Roman"/>
          <w:color w:val="000000" w:themeColor="text1"/>
          <w:sz w:val="16"/>
          <w:szCs w:val="16"/>
        </w:rPr>
        <w:softHyphen/>
        <w:t>рической башенке, опорное кольцо которой встроили в отверстие аст</w:t>
      </w:r>
      <w:r w:rsidRPr="001E2C69">
        <w:rPr>
          <w:rFonts w:ascii="Times New Roman" w:hAnsi="Times New Roman"/>
          <w:color w:val="000000" w:themeColor="text1"/>
          <w:sz w:val="16"/>
          <w:szCs w:val="16"/>
        </w:rPr>
        <w:softHyphen/>
        <w:t>ролюка стрелка-радиста. При внеш</w:t>
      </w:r>
      <w:r w:rsidRPr="001E2C69">
        <w:rPr>
          <w:rFonts w:ascii="Times New Roman" w:hAnsi="Times New Roman"/>
          <w:color w:val="000000" w:themeColor="text1"/>
          <w:sz w:val="16"/>
          <w:szCs w:val="16"/>
        </w:rPr>
        <w:softHyphen/>
        <w:t>ней привлекательности техническо</w:t>
      </w:r>
      <w:r w:rsidRPr="001E2C69">
        <w:rPr>
          <w:rFonts w:ascii="Times New Roman" w:hAnsi="Times New Roman"/>
          <w:color w:val="000000" w:themeColor="text1"/>
          <w:sz w:val="16"/>
          <w:szCs w:val="16"/>
        </w:rPr>
        <w:softHyphen/>
        <w:t>го решения, оно оказалось не впол</w:t>
      </w:r>
      <w:r w:rsidRPr="001E2C69">
        <w:rPr>
          <w:rFonts w:ascii="Times New Roman" w:hAnsi="Times New Roman"/>
          <w:color w:val="000000" w:themeColor="text1"/>
          <w:sz w:val="16"/>
          <w:szCs w:val="16"/>
        </w:rPr>
        <w:softHyphen/>
        <w:t>не удачным. Ещё на наземных испы</w:t>
      </w:r>
      <w:r w:rsidRPr="001E2C69">
        <w:rPr>
          <w:rFonts w:ascii="Times New Roman" w:hAnsi="Times New Roman"/>
          <w:color w:val="000000" w:themeColor="text1"/>
          <w:sz w:val="16"/>
          <w:szCs w:val="16"/>
        </w:rPr>
        <w:softHyphen/>
        <w:t>таниях Пе-2 (заводской №7/87) спе</w:t>
      </w:r>
      <w:r w:rsidRPr="001E2C69">
        <w:rPr>
          <w:rFonts w:ascii="Times New Roman" w:hAnsi="Times New Roman"/>
          <w:color w:val="000000" w:themeColor="text1"/>
          <w:sz w:val="16"/>
          <w:szCs w:val="16"/>
        </w:rPr>
        <w:softHyphen/>
        <w:t>циалисты НИПАВ установили, что при пуске снарядов стрелок не в состоянии удержать установку от разворота, поэтому прицельная стрельба оказалась невозможной. Более того, набегающий поток воз</w:t>
      </w:r>
      <w:r w:rsidRPr="001E2C69">
        <w:rPr>
          <w:rFonts w:ascii="Times New Roman" w:hAnsi="Times New Roman"/>
          <w:color w:val="000000" w:themeColor="text1"/>
          <w:sz w:val="16"/>
          <w:szCs w:val="16"/>
        </w:rPr>
        <w:softHyphen/>
        <w:t>духа препятствовал наведению ба</w:t>
      </w:r>
      <w:r w:rsidRPr="001E2C69">
        <w:rPr>
          <w:rFonts w:ascii="Times New Roman" w:hAnsi="Times New Roman"/>
          <w:color w:val="000000" w:themeColor="text1"/>
          <w:sz w:val="16"/>
          <w:szCs w:val="16"/>
        </w:rPr>
        <w:softHyphen/>
        <w:t>тарей даже при небольших углах отклонения, а после пуска одного из снарядов установку неудержимо раз</w:t>
      </w:r>
      <w:r w:rsidRPr="001E2C69">
        <w:rPr>
          <w:rFonts w:ascii="Times New Roman" w:hAnsi="Times New Roman"/>
          <w:color w:val="000000" w:themeColor="text1"/>
          <w:sz w:val="16"/>
          <w:szCs w:val="16"/>
        </w:rPr>
        <w:softHyphen/>
        <w:t>ворачивало в скомпенсированное положение. Словом, РУБы оказались абсолютно непригодными для бое</w:t>
      </w:r>
      <w:r w:rsidRPr="001E2C69">
        <w:rPr>
          <w:rFonts w:ascii="Times New Roman" w:hAnsi="Times New Roman"/>
          <w:color w:val="000000" w:themeColor="text1"/>
          <w:sz w:val="16"/>
          <w:szCs w:val="16"/>
        </w:rPr>
        <w:softHyphen/>
        <w:t>вого применения (11432).</w:t>
      </w:r>
    </w:p>
    <w:p w14:paraId="5DD1275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3BDF6A9B" w14:textId="77777777" w:rsidR="009479E0" w:rsidRPr="001E2C69" w:rsidRDefault="009479E0" w:rsidP="00722885">
      <w:pPr>
        <w:pStyle w:val="a4"/>
        <w:rPr>
          <w:color w:val="000000" w:themeColor="text1"/>
          <w:lang w:val="ru-RU"/>
        </w:rPr>
      </w:pPr>
      <w:r w:rsidRPr="001E2C69">
        <w:rPr>
          <w:color w:val="000000" w:themeColor="text1"/>
          <w:lang w:val="ru-RU"/>
        </w:rPr>
        <w:t>В августе 1942 г. на специально переоборудованном Ер-2 начались летные испытания МБ-100, которые шли долго и тяжело. Помимо дефектов этот мотор показал еще и слишком большой расход топлива. Эти недостатки было чрезвы</w:t>
      </w:r>
      <w:r w:rsidRPr="001E2C69">
        <w:rPr>
          <w:color w:val="000000" w:themeColor="text1"/>
          <w:lang w:val="ru-RU"/>
        </w:rPr>
        <w:softHyphen/>
        <w:t>чайно сложно устранить. Тем не менее, ведущий специалист ЦИАМ Поликовский рекомендовал Шахурину и Мясищеву продолжить работу по установке МБ-100, обещая, что высотность моторов Добротворского можно будет улучшить</w:t>
      </w:r>
      <w:r w:rsidRPr="001E2C69">
        <w:rPr>
          <w:rStyle w:val="1a"/>
          <w:rFonts w:ascii="Times New Roman" w:hAnsi="Times New Roman" w:cs="Times New Roman"/>
          <w:i w:val="0"/>
          <w:color w:val="000000" w:themeColor="text1"/>
          <w:sz w:val="16"/>
          <w:szCs w:val="16"/>
          <w:lang w:val="ru-RU"/>
        </w:rPr>
        <w:t xml:space="preserve"> «теми же методами, какие применяются для мо</w:t>
      </w:r>
      <w:r w:rsidRPr="001E2C69">
        <w:rPr>
          <w:rStyle w:val="1a"/>
          <w:rFonts w:ascii="Times New Roman" w:hAnsi="Times New Roman" w:cs="Times New Roman"/>
          <w:i w:val="0"/>
          <w:color w:val="000000" w:themeColor="text1"/>
          <w:sz w:val="16"/>
          <w:szCs w:val="16"/>
          <w:lang w:val="ru-RU"/>
        </w:rPr>
        <w:softHyphen/>
        <w:t>торов М-105».</w:t>
      </w:r>
      <w:r w:rsidRPr="001E2C69">
        <w:rPr>
          <w:color w:val="000000" w:themeColor="text1"/>
          <w:lang w:val="ru-RU"/>
        </w:rPr>
        <w:t xml:space="preserve"> Вот только результата эти методы не дали и на М-105...(17739).</w:t>
      </w:r>
    </w:p>
    <w:p w14:paraId="05099E05" w14:textId="77777777" w:rsidR="009479E0" w:rsidRPr="001E2C69" w:rsidRDefault="009479E0" w:rsidP="00722885">
      <w:pPr>
        <w:spacing w:after="0" w:line="240" w:lineRule="auto"/>
        <w:jc w:val="both"/>
        <w:rPr>
          <w:rFonts w:ascii="Times New Roman" w:eastAsia="Times New Roman" w:hAnsi="Times New Roman"/>
          <w:color w:val="000000" w:themeColor="text1"/>
          <w:sz w:val="16"/>
          <w:szCs w:val="16"/>
          <w:lang w:eastAsia="ru-RU"/>
        </w:rPr>
      </w:pPr>
    </w:p>
    <w:p w14:paraId="5CFFD3E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директор завода № 124 Окулов писал А.И.Ш.:</w:t>
      </w:r>
    </w:p>
    <w:p w14:paraId="5D70ED3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«Качество внешней отделки зависит от рабочих. Но острая нехватка квалифицированных кадров, особенно клепальщиц, жестянщиков и слесарей-сборщиков, большая часть которых осталась в Москве, вынуждает брать людей из отделов, домохозяек и подростков. За три месяца вместо 5000 неквалифицированных рабочих на завод пришло 2450 человек. Мобилизация рабочих была сорвана. Из трех тысяч жителей Казани пришло только четыреста. Из 1500 ленинградских учащихся РУ и ФЗО пришло только 850, из них многие без обуви и одежды, что не позволяет им работать. Из 2000 ленинградских рабочих, в основном женщин с детьми, приехавших из Краснодара, имеют жилье лишь 659. Люди живут крайне скученно, в результате чего возникают эпидемии. Специалистов, работавших на ТБ-7, снимали для работы на Пе-2, а потом вновь возвращали на ТБ-7. Некомплект работающих на конец июня составлял 7286 человек, не считая 1250, ушедших на фронт. По-прежнему не хватает оборудования».</w:t>
      </w:r>
    </w:p>
    <w:p w14:paraId="5049BFA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Однако, по утверждению Окулова, качество Пе-2 в июле значительно улучшилось и не уступало качеству весенних машин (12049).</w:t>
      </w:r>
    </w:p>
    <w:p w14:paraId="38498377"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7454F5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года из ВВС в адрес заместителя наркома авиационной промышленности Л.А. Воронина ушло тревожное письмо.</w:t>
      </w:r>
    </w:p>
    <w:p w14:paraId="3902622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"Сообщаю Вам, что до настоящего времени самолет Ту-2 &lt;...&gt; с моторами М-82 не доведен. Основные дефекты М-82 - задир поршней при наборе высоты на номинале (имеется ввиду режим работы двигателя. - Прим. авт.), отсутствие стабильности регулировки карбюратора К-82БП, выбрасывание масла в суфлере на высоте 6000-8000 м, отказ в работе свечей &lt;...&gt; после 5-20 часов работы, не устранены.</w:t>
      </w:r>
    </w:p>
    <w:p w14:paraId="2B7D259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Завод № 166 не обеспечен моторами М-82, воздушными винтами, масляными радиаторами, колесами... В результате части ВВС КА, остро нуждающиеся в бомбардировщиках с хорошими летно-техническими данными, самолетов Ту-2 не получают" (12035).</w:t>
      </w:r>
    </w:p>
    <w:p w14:paraId="7B1842D5"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CC8E6E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завершились государственные испытания "103-В". По их результатам удалось определить, что максимальная скорость у земли не превосходит 460 км/ч, а на высоте 3000 метров - 525 км/ч. Хотя это было значительно меньше, чем ожидалось, но вопрос о серийном производстве машины был давно решен.</w:t>
      </w:r>
    </w:p>
    <w:p w14:paraId="7250148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Таблица № 1.</w:t>
      </w:r>
    </w:p>
    <w:p w14:paraId="053121D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Основные данные опытных экземпляров самолета "103"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1E2C69" w:rsidRPr="001E2C69" w14:paraId="7DFA00AC" w14:textId="77777777" w:rsidTr="00CC5360">
        <w:tc>
          <w:tcPr>
            <w:tcW w:w="2802" w:type="dxa"/>
            <w:tcBorders>
              <w:top w:val="single" w:sz="12" w:space="0" w:color="auto"/>
            </w:tcBorders>
          </w:tcPr>
          <w:p w14:paraId="48EC0CFF"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tcPr>
          <w:p w14:paraId="22BB6EF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"103""</w:t>
            </w:r>
          </w:p>
        </w:tc>
        <w:tc>
          <w:tcPr>
            <w:tcW w:w="2802" w:type="dxa"/>
            <w:tcBorders>
              <w:top w:val="single" w:sz="12" w:space="0" w:color="auto"/>
            </w:tcBorders>
          </w:tcPr>
          <w:p w14:paraId="0B9C31B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"103-У"</w:t>
            </w:r>
          </w:p>
        </w:tc>
        <w:tc>
          <w:tcPr>
            <w:tcW w:w="2802" w:type="dxa"/>
            <w:tcBorders>
              <w:top w:val="single" w:sz="12" w:space="0" w:color="auto"/>
            </w:tcBorders>
          </w:tcPr>
          <w:p w14:paraId="022C710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"103-В"</w:t>
            </w:r>
          </w:p>
        </w:tc>
      </w:tr>
      <w:tr w:rsidR="001E2C69" w:rsidRPr="001E2C69" w14:paraId="6FEB74D2" w14:textId="77777777" w:rsidTr="00CC5360">
        <w:tc>
          <w:tcPr>
            <w:tcW w:w="2802" w:type="dxa"/>
          </w:tcPr>
          <w:p w14:paraId="7AF8B77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Двигатель</w:t>
            </w:r>
          </w:p>
        </w:tc>
        <w:tc>
          <w:tcPr>
            <w:tcW w:w="2802" w:type="dxa"/>
          </w:tcPr>
          <w:p w14:paraId="32A3B0F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АМ-37</w:t>
            </w:r>
          </w:p>
        </w:tc>
        <w:tc>
          <w:tcPr>
            <w:tcW w:w="2802" w:type="dxa"/>
          </w:tcPr>
          <w:p w14:paraId="4CC7DD8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АМ-37</w:t>
            </w:r>
          </w:p>
        </w:tc>
        <w:tc>
          <w:tcPr>
            <w:tcW w:w="2802" w:type="dxa"/>
          </w:tcPr>
          <w:p w14:paraId="2A894A1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М-82</w:t>
            </w:r>
          </w:p>
        </w:tc>
      </w:tr>
      <w:tr w:rsidR="001E2C69" w:rsidRPr="001E2C69" w14:paraId="58A8DAC2" w14:textId="77777777" w:rsidTr="00CC5360">
        <w:tc>
          <w:tcPr>
            <w:tcW w:w="2802" w:type="dxa"/>
          </w:tcPr>
          <w:p w14:paraId="36ED85C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Взлетная мощность, л.с.</w:t>
            </w:r>
          </w:p>
        </w:tc>
        <w:tc>
          <w:tcPr>
            <w:tcW w:w="2802" w:type="dxa"/>
          </w:tcPr>
          <w:p w14:paraId="513266A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2x140021</w:t>
            </w:r>
          </w:p>
        </w:tc>
        <w:tc>
          <w:tcPr>
            <w:tcW w:w="2802" w:type="dxa"/>
          </w:tcPr>
          <w:p w14:paraId="15981CE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2x14002'</w:t>
            </w:r>
          </w:p>
        </w:tc>
        <w:tc>
          <w:tcPr>
            <w:tcW w:w="2802" w:type="dxa"/>
          </w:tcPr>
          <w:p w14:paraId="079ACCA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2х170051</w:t>
            </w:r>
          </w:p>
        </w:tc>
      </w:tr>
      <w:tr w:rsidR="001E2C69" w:rsidRPr="001E2C69" w14:paraId="49D18A26" w14:textId="77777777" w:rsidTr="00CC5360">
        <w:tc>
          <w:tcPr>
            <w:tcW w:w="2802" w:type="dxa"/>
          </w:tcPr>
          <w:p w14:paraId="60DD2D0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Размах крыла, м</w:t>
            </w:r>
          </w:p>
        </w:tc>
        <w:tc>
          <w:tcPr>
            <w:tcW w:w="2802" w:type="dxa"/>
          </w:tcPr>
          <w:p w14:paraId="201441C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18,8</w:t>
            </w:r>
          </w:p>
        </w:tc>
        <w:tc>
          <w:tcPr>
            <w:tcW w:w="2802" w:type="dxa"/>
          </w:tcPr>
          <w:p w14:paraId="442B3A0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18,86</w:t>
            </w:r>
          </w:p>
        </w:tc>
        <w:tc>
          <w:tcPr>
            <w:tcW w:w="2802" w:type="dxa"/>
          </w:tcPr>
          <w:p w14:paraId="495E82E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18,86</w:t>
            </w:r>
          </w:p>
        </w:tc>
      </w:tr>
      <w:tr w:rsidR="001E2C69" w:rsidRPr="001E2C69" w14:paraId="4B99C768" w14:textId="77777777" w:rsidTr="00CC5360">
        <w:tc>
          <w:tcPr>
            <w:tcW w:w="2802" w:type="dxa"/>
          </w:tcPr>
          <w:p w14:paraId="06ADBBA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Длина, м</w:t>
            </w:r>
          </w:p>
        </w:tc>
        <w:tc>
          <w:tcPr>
            <w:tcW w:w="2802" w:type="dxa"/>
          </w:tcPr>
          <w:p w14:paraId="5204EC6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13,2</w:t>
            </w:r>
          </w:p>
        </w:tc>
        <w:tc>
          <w:tcPr>
            <w:tcW w:w="2802" w:type="dxa"/>
          </w:tcPr>
          <w:p w14:paraId="21EF0DF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13,7</w:t>
            </w:r>
          </w:p>
        </w:tc>
        <w:tc>
          <w:tcPr>
            <w:tcW w:w="2802" w:type="dxa"/>
          </w:tcPr>
          <w:p w14:paraId="6AF81DB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13,8</w:t>
            </w:r>
          </w:p>
        </w:tc>
      </w:tr>
      <w:tr w:rsidR="001E2C69" w:rsidRPr="001E2C69" w14:paraId="3DAD21E2" w14:textId="77777777" w:rsidTr="00CC5360">
        <w:tc>
          <w:tcPr>
            <w:tcW w:w="2802" w:type="dxa"/>
          </w:tcPr>
          <w:p w14:paraId="6583C26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Площадь крыла, м2</w:t>
            </w:r>
          </w:p>
        </w:tc>
        <w:tc>
          <w:tcPr>
            <w:tcW w:w="2802" w:type="dxa"/>
          </w:tcPr>
          <w:p w14:paraId="0AC629F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48,52</w:t>
            </w:r>
          </w:p>
        </w:tc>
        <w:tc>
          <w:tcPr>
            <w:tcW w:w="2802" w:type="dxa"/>
          </w:tcPr>
          <w:p w14:paraId="6F457B5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48,52</w:t>
            </w:r>
          </w:p>
        </w:tc>
        <w:tc>
          <w:tcPr>
            <w:tcW w:w="2802" w:type="dxa"/>
          </w:tcPr>
          <w:p w14:paraId="5799ADC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48,52</w:t>
            </w:r>
          </w:p>
        </w:tc>
      </w:tr>
      <w:tr w:rsidR="001E2C69" w:rsidRPr="001E2C69" w14:paraId="6A9EEDC1" w14:textId="77777777" w:rsidTr="00CC5360">
        <w:tc>
          <w:tcPr>
            <w:tcW w:w="2802" w:type="dxa"/>
          </w:tcPr>
          <w:p w14:paraId="35F9AC7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Вес взлетный, кг</w:t>
            </w:r>
          </w:p>
        </w:tc>
        <w:tc>
          <w:tcPr>
            <w:tcW w:w="2802" w:type="dxa"/>
          </w:tcPr>
          <w:p w14:paraId="465A81D6"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2802" w:type="dxa"/>
          </w:tcPr>
          <w:p w14:paraId="1933CD74"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2802" w:type="dxa"/>
          </w:tcPr>
          <w:p w14:paraId="735DA564"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065F0727" w14:textId="77777777" w:rsidTr="00CC5360">
        <w:tc>
          <w:tcPr>
            <w:tcW w:w="2802" w:type="dxa"/>
          </w:tcPr>
          <w:p w14:paraId="6E13EBD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нормальный</w:t>
            </w:r>
          </w:p>
        </w:tc>
        <w:tc>
          <w:tcPr>
            <w:tcW w:w="2802" w:type="dxa"/>
          </w:tcPr>
          <w:p w14:paraId="0D4B721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10 992</w:t>
            </w:r>
          </w:p>
        </w:tc>
        <w:tc>
          <w:tcPr>
            <w:tcW w:w="2802" w:type="dxa"/>
          </w:tcPr>
          <w:p w14:paraId="2263E3C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10 435</w:t>
            </w:r>
          </w:p>
        </w:tc>
        <w:tc>
          <w:tcPr>
            <w:tcW w:w="2802" w:type="dxa"/>
          </w:tcPr>
          <w:p w14:paraId="6D26D8F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10 343</w:t>
            </w:r>
          </w:p>
        </w:tc>
      </w:tr>
      <w:tr w:rsidR="001E2C69" w:rsidRPr="001E2C69" w14:paraId="0E1CA4F5" w14:textId="77777777" w:rsidTr="00CC5360">
        <w:tc>
          <w:tcPr>
            <w:tcW w:w="2802" w:type="dxa"/>
          </w:tcPr>
          <w:p w14:paraId="06A2214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максимальный</w:t>
            </w:r>
          </w:p>
        </w:tc>
        <w:tc>
          <w:tcPr>
            <w:tcW w:w="2802" w:type="dxa"/>
          </w:tcPr>
          <w:p w14:paraId="14E3B74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11 990</w:t>
            </w:r>
          </w:p>
        </w:tc>
        <w:tc>
          <w:tcPr>
            <w:tcW w:w="2802" w:type="dxa"/>
          </w:tcPr>
          <w:p w14:paraId="7EF9E1E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12 478</w:t>
            </w:r>
          </w:p>
        </w:tc>
        <w:tc>
          <w:tcPr>
            <w:tcW w:w="2802" w:type="dxa"/>
          </w:tcPr>
          <w:p w14:paraId="535C119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11 773</w:t>
            </w:r>
          </w:p>
        </w:tc>
      </w:tr>
      <w:tr w:rsidR="001E2C69" w:rsidRPr="001E2C69" w14:paraId="3D8AB674" w14:textId="77777777" w:rsidTr="00CC5360">
        <w:tc>
          <w:tcPr>
            <w:tcW w:w="2802" w:type="dxa"/>
          </w:tcPr>
          <w:p w14:paraId="7BF0F43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Вес топлива, кг</w:t>
            </w:r>
          </w:p>
        </w:tc>
        <w:tc>
          <w:tcPr>
            <w:tcW w:w="2802" w:type="dxa"/>
          </w:tcPr>
          <w:p w14:paraId="65D5B81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1612</w:t>
            </w:r>
          </w:p>
        </w:tc>
        <w:tc>
          <w:tcPr>
            <w:tcW w:w="2802" w:type="dxa"/>
          </w:tcPr>
          <w:p w14:paraId="53037F8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825/1800</w:t>
            </w:r>
          </w:p>
        </w:tc>
        <w:tc>
          <w:tcPr>
            <w:tcW w:w="2802" w:type="dxa"/>
          </w:tcPr>
          <w:p w14:paraId="483F401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950/230081</w:t>
            </w:r>
          </w:p>
        </w:tc>
      </w:tr>
      <w:tr w:rsidR="001E2C69" w:rsidRPr="001E2C69" w14:paraId="12DBDE9B" w14:textId="77777777" w:rsidTr="00CC5360">
        <w:tc>
          <w:tcPr>
            <w:tcW w:w="2802" w:type="dxa"/>
          </w:tcPr>
          <w:p w14:paraId="0D8662E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Вес пустого, кг</w:t>
            </w:r>
          </w:p>
        </w:tc>
        <w:tc>
          <w:tcPr>
            <w:tcW w:w="2802" w:type="dxa"/>
          </w:tcPr>
          <w:p w14:paraId="778CD47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7626</w:t>
            </w:r>
          </w:p>
        </w:tc>
        <w:tc>
          <w:tcPr>
            <w:tcW w:w="2802" w:type="dxa"/>
          </w:tcPr>
          <w:p w14:paraId="70BFBAE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7823</w:t>
            </w:r>
          </w:p>
        </w:tc>
        <w:tc>
          <w:tcPr>
            <w:tcW w:w="2802" w:type="dxa"/>
          </w:tcPr>
          <w:p w14:paraId="06735DA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7335</w:t>
            </w:r>
          </w:p>
        </w:tc>
      </w:tr>
      <w:tr w:rsidR="001E2C69" w:rsidRPr="001E2C69" w14:paraId="3EC09BB7" w14:textId="77777777" w:rsidTr="00CC5360">
        <w:tc>
          <w:tcPr>
            <w:tcW w:w="2802" w:type="dxa"/>
          </w:tcPr>
          <w:p w14:paraId="17F7901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Скорость макс., км/ч</w:t>
            </w:r>
          </w:p>
        </w:tc>
        <w:tc>
          <w:tcPr>
            <w:tcW w:w="2802" w:type="dxa"/>
          </w:tcPr>
          <w:p w14:paraId="0F607E08"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2802" w:type="dxa"/>
          </w:tcPr>
          <w:p w14:paraId="03CFB60D"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2802" w:type="dxa"/>
          </w:tcPr>
          <w:p w14:paraId="5287CC97"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7611B2AC" w14:textId="77777777" w:rsidTr="00CC5360">
        <w:tc>
          <w:tcPr>
            <w:tcW w:w="2802" w:type="dxa"/>
          </w:tcPr>
          <w:p w14:paraId="7E2293A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 земли</w:t>
            </w:r>
          </w:p>
        </w:tc>
        <w:tc>
          <w:tcPr>
            <w:tcW w:w="2802" w:type="dxa"/>
          </w:tcPr>
          <w:p w14:paraId="0F87FF4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482</w:t>
            </w:r>
          </w:p>
        </w:tc>
        <w:tc>
          <w:tcPr>
            <w:tcW w:w="2802" w:type="dxa"/>
          </w:tcPr>
          <w:p w14:paraId="6F5A3AA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469</w:t>
            </w:r>
          </w:p>
        </w:tc>
        <w:tc>
          <w:tcPr>
            <w:tcW w:w="2802" w:type="dxa"/>
          </w:tcPr>
          <w:p w14:paraId="738951B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460</w:t>
            </w:r>
          </w:p>
        </w:tc>
      </w:tr>
      <w:tr w:rsidR="001E2C69" w:rsidRPr="001E2C69" w14:paraId="7D8608A3" w14:textId="77777777" w:rsidTr="00CC5360">
        <w:tc>
          <w:tcPr>
            <w:tcW w:w="2802" w:type="dxa"/>
          </w:tcPr>
          <w:p w14:paraId="200069C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 высоте, м</w:t>
            </w:r>
          </w:p>
        </w:tc>
        <w:tc>
          <w:tcPr>
            <w:tcW w:w="2802" w:type="dxa"/>
          </w:tcPr>
          <w:p w14:paraId="4AE76D9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635/8000</w:t>
            </w:r>
          </w:p>
        </w:tc>
        <w:tc>
          <w:tcPr>
            <w:tcW w:w="2802" w:type="dxa"/>
          </w:tcPr>
          <w:p w14:paraId="2B63C8F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610/780031</w:t>
            </w:r>
          </w:p>
        </w:tc>
        <w:tc>
          <w:tcPr>
            <w:tcW w:w="2802" w:type="dxa"/>
          </w:tcPr>
          <w:p w14:paraId="2E22864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528/32006'</w:t>
            </w:r>
          </w:p>
        </w:tc>
      </w:tr>
      <w:tr w:rsidR="001E2C69" w:rsidRPr="001E2C69" w14:paraId="557F549E" w14:textId="77777777" w:rsidTr="00CC5360">
        <w:tc>
          <w:tcPr>
            <w:tcW w:w="2802" w:type="dxa"/>
          </w:tcPr>
          <w:p w14:paraId="1A0653E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Время набора высоты 5000 м,</w:t>
            </w:r>
          </w:p>
        </w:tc>
        <w:tc>
          <w:tcPr>
            <w:tcW w:w="2802" w:type="dxa"/>
          </w:tcPr>
          <w:p w14:paraId="7FCE3E3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мин 8,6</w:t>
            </w:r>
          </w:p>
        </w:tc>
        <w:tc>
          <w:tcPr>
            <w:tcW w:w="2802" w:type="dxa"/>
          </w:tcPr>
          <w:p w14:paraId="263536F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9,5</w:t>
            </w:r>
          </w:p>
        </w:tc>
        <w:tc>
          <w:tcPr>
            <w:tcW w:w="2802" w:type="dxa"/>
          </w:tcPr>
          <w:p w14:paraId="6289A4A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8,86/4500</w:t>
            </w:r>
          </w:p>
        </w:tc>
      </w:tr>
      <w:tr w:rsidR="001E2C69" w:rsidRPr="001E2C69" w14:paraId="7620FEAB" w14:textId="77777777" w:rsidTr="00CC5360">
        <w:tc>
          <w:tcPr>
            <w:tcW w:w="2802" w:type="dxa"/>
          </w:tcPr>
          <w:p w14:paraId="10DE0E1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Практический потолок, м</w:t>
            </w:r>
          </w:p>
        </w:tc>
        <w:tc>
          <w:tcPr>
            <w:tcW w:w="2802" w:type="dxa"/>
          </w:tcPr>
          <w:p w14:paraId="31CF2FE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10600</w:t>
            </w:r>
          </w:p>
        </w:tc>
        <w:tc>
          <w:tcPr>
            <w:tcW w:w="2802" w:type="dxa"/>
          </w:tcPr>
          <w:p w14:paraId="746E209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10500</w:t>
            </w:r>
          </w:p>
        </w:tc>
        <w:tc>
          <w:tcPr>
            <w:tcW w:w="2802" w:type="dxa"/>
          </w:tcPr>
          <w:p w14:paraId="3FE6037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9000</w:t>
            </w:r>
          </w:p>
        </w:tc>
      </w:tr>
      <w:tr w:rsidR="001E2C69" w:rsidRPr="001E2C69" w14:paraId="17E0F3A3" w14:textId="77777777" w:rsidTr="00CC5360">
        <w:tc>
          <w:tcPr>
            <w:tcW w:w="2802" w:type="dxa"/>
          </w:tcPr>
          <w:p w14:paraId="6AD6D6A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Дальность максимальная, км</w:t>
            </w:r>
          </w:p>
        </w:tc>
        <w:tc>
          <w:tcPr>
            <w:tcW w:w="2802" w:type="dxa"/>
          </w:tcPr>
          <w:p w14:paraId="4EF60B0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198041</w:t>
            </w:r>
          </w:p>
        </w:tc>
        <w:tc>
          <w:tcPr>
            <w:tcW w:w="2802" w:type="dxa"/>
          </w:tcPr>
          <w:p w14:paraId="5010F7B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18984'</w:t>
            </w:r>
          </w:p>
        </w:tc>
        <w:tc>
          <w:tcPr>
            <w:tcW w:w="2802" w:type="dxa"/>
          </w:tcPr>
          <w:p w14:paraId="35FBCC7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200071</w:t>
            </w:r>
          </w:p>
        </w:tc>
      </w:tr>
      <w:tr w:rsidR="001E2C69" w:rsidRPr="001E2C69" w14:paraId="45F69C5C" w14:textId="77777777" w:rsidTr="00CC5360">
        <w:tc>
          <w:tcPr>
            <w:tcW w:w="2802" w:type="dxa"/>
          </w:tcPr>
          <w:p w14:paraId="2BEF835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Разбег/пробег, м</w:t>
            </w:r>
          </w:p>
        </w:tc>
        <w:tc>
          <w:tcPr>
            <w:tcW w:w="2802" w:type="dxa"/>
          </w:tcPr>
          <w:p w14:paraId="1E8E734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440/730</w:t>
            </w:r>
          </w:p>
        </w:tc>
        <w:tc>
          <w:tcPr>
            <w:tcW w:w="2802" w:type="dxa"/>
          </w:tcPr>
          <w:p w14:paraId="59E8458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435/765</w:t>
            </w:r>
          </w:p>
        </w:tc>
        <w:tc>
          <w:tcPr>
            <w:tcW w:w="2802" w:type="dxa"/>
          </w:tcPr>
          <w:p w14:paraId="3EBF24E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516/640</w:t>
            </w:r>
          </w:p>
        </w:tc>
      </w:tr>
      <w:tr w:rsidR="001E2C69" w:rsidRPr="001E2C69" w14:paraId="19C1C988" w14:textId="77777777" w:rsidTr="00CC5360">
        <w:tc>
          <w:tcPr>
            <w:tcW w:w="2802" w:type="dxa"/>
          </w:tcPr>
          <w:p w14:paraId="20D9605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Скорость посадочная, км/ч</w:t>
            </w:r>
          </w:p>
        </w:tc>
        <w:tc>
          <w:tcPr>
            <w:tcW w:w="2802" w:type="dxa"/>
          </w:tcPr>
          <w:p w14:paraId="4E51F18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152</w:t>
            </w:r>
          </w:p>
        </w:tc>
        <w:tc>
          <w:tcPr>
            <w:tcW w:w="2802" w:type="dxa"/>
          </w:tcPr>
          <w:p w14:paraId="38AB8E8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155</w:t>
            </w:r>
          </w:p>
        </w:tc>
        <w:tc>
          <w:tcPr>
            <w:tcW w:w="2802" w:type="dxa"/>
          </w:tcPr>
          <w:p w14:paraId="28888E2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152</w:t>
            </w:r>
          </w:p>
        </w:tc>
      </w:tr>
      <w:tr w:rsidR="001E2C69" w:rsidRPr="001E2C69" w14:paraId="742CECC8" w14:textId="77777777" w:rsidTr="00CC5360">
        <w:tc>
          <w:tcPr>
            <w:tcW w:w="2802" w:type="dxa"/>
            <w:tcBorders>
              <w:bottom w:val="single" w:sz="12" w:space="0" w:color="auto"/>
            </w:tcBorders>
          </w:tcPr>
          <w:p w14:paraId="3A5D20B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Экипаж, чел.</w:t>
            </w:r>
          </w:p>
        </w:tc>
        <w:tc>
          <w:tcPr>
            <w:tcW w:w="2802" w:type="dxa"/>
            <w:tcBorders>
              <w:bottom w:val="single" w:sz="12" w:space="0" w:color="auto"/>
            </w:tcBorders>
          </w:tcPr>
          <w:p w14:paraId="21BC590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w:t>
            </w:r>
          </w:p>
        </w:tc>
        <w:tc>
          <w:tcPr>
            <w:tcW w:w="2802" w:type="dxa"/>
            <w:tcBorders>
              <w:bottom w:val="single" w:sz="12" w:space="0" w:color="auto"/>
            </w:tcBorders>
          </w:tcPr>
          <w:p w14:paraId="51AF5D5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w:t>
            </w:r>
          </w:p>
        </w:tc>
        <w:tc>
          <w:tcPr>
            <w:tcW w:w="2802" w:type="dxa"/>
            <w:tcBorders>
              <w:bottom w:val="single" w:sz="12" w:space="0" w:color="auto"/>
            </w:tcBorders>
          </w:tcPr>
          <w:p w14:paraId="4F9DCF7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w:t>
            </w:r>
          </w:p>
        </w:tc>
      </w:tr>
    </w:tbl>
    <w:p w14:paraId="7A84ABB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По результатам государственных испытаний.</w:t>
      </w:r>
    </w:p>
    <w:p w14:paraId="4EBC7D7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На высоте 6000 м - 1400 л.с.</w:t>
      </w:r>
    </w:p>
    <w:p w14:paraId="302562E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На высоте 6500 м - 580 км/ч.</w:t>
      </w:r>
    </w:p>
    <w:p w14:paraId="254FB4E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На высоте 7000 м.</w:t>
      </w:r>
    </w:p>
    <w:p w14:paraId="7DDC916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Номинальная мощность на высоте 5400 м - 1330 л.с.</w:t>
      </w:r>
    </w:p>
    <w:p w14:paraId="11C239A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На 1-й скорости нагнетателя. На высоте 6000 м - 530 км/ч.</w:t>
      </w:r>
    </w:p>
    <w:p w14:paraId="632AF94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Со скоростью 0,9 от максимального значения.</w:t>
      </w:r>
    </w:p>
    <w:p w14:paraId="02AB41A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 Объем топливных баков 3070 литров.</w:t>
      </w:r>
    </w:p>
    <w:p w14:paraId="7F01E04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Опытный "103-В" оставили в ОКБ и на нем проверялись различные усовершенствования, в том числе и с двигателями АШ-82ФН. 25 марта 1943 года машина с двигателями АШ-82ФН, пилотируемая И.И. Шелестом (инженер Г.И. Поярков и бортмеханик В. Александров), потерпела при посадке аварию из-за не вставшей на замок левой опоры шасси. Видимо, в том полете проверялись доработки двигателей, поскольку 2 апреля Туполев доложил наркому Шахури- ну, что на опытном Ту-2М-82 в Омске выполнили два полета после установки магнето повышенной высотности и новых М-82 с нагнетателями, имеющими 11 лопаток вместо 22-х, но со старыми серийными карбюраторами. В итоге, максимальная скорость самолета у земли возросла до 528 км/ч, а на высоте - до 568 км/ч.</w:t>
      </w:r>
    </w:p>
    <w:p w14:paraId="0607053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омским Ту-2 (возможно, с опытной машиной "103-В") связан один любопытный эпизод.</w:t>
      </w:r>
    </w:p>
    <w:p w14:paraId="56605A6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1943 году, - как рассказывал Л.Л. Кербер, - понадобилось перегнать Ту-2 из Омска в Москву. В то время через Омск изредка перегоняли на фронт американские скоростные истребители "Аэрокобра". Поскольку в экипаже Ту-2 был штурман, лидировать группу перегона решили поручить летчику А.Д. Перелету. На утро "Аэрокобры" взлетели и построились. Ту-2 занял впереди строя место лидера и лег курсом на Свердловск (ныне Екатеринбург).</w:t>
      </w:r>
    </w:p>
    <w:p w14:paraId="49794DE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Очень скоро выяснилось, что скорости американских истребителей для того, чтобы угнаться за нашим бомбардировщиком, не хватает. Придя на следующий день на аэродром, А.Д. Перелет обнаружил, что на хвосте его самолета кто-то из истребителей написал: "Не догонишь".</w:t>
      </w:r>
    </w:p>
    <w:p w14:paraId="4DAE760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Свердловске с вылетом Ту-2 немного замешкались и, так как погода была отменная, группу "Аэрокобр" выпустили раньше. А.Д. Перелет догнал их возле Сарапула, обошел строй, занял свое место в голове и в Казань пришел первым.</w:t>
      </w:r>
    </w:p>
    <w:p w14:paraId="38F1CB1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Ночью на носу Ту-2 появилась вторая надпись: "Не уйдешь". С этими надписями Ту-2 и прилетел в Москву" (12035).</w:t>
      </w:r>
    </w:p>
    <w:p w14:paraId="2F09438B"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1170ED9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командующий ВВС писал НКАП А.И.Ш., что “...для усиления мощности огня самолета необходимо на всех серийных ПС-84, выпускаемых заводом № 84, устанавливать турель УТК-1 с УБТ вместо МВ-3 с ШКАС (3404, 11).</w:t>
      </w:r>
    </w:p>
    <w:p w14:paraId="34574EE9" w14:textId="77777777" w:rsidR="00AE7191" w:rsidRPr="001E2C69" w:rsidRDefault="00AE7191" w:rsidP="00722885">
      <w:pPr>
        <w:pStyle w:val="Iauiue"/>
        <w:jc w:val="both"/>
        <w:rPr>
          <w:color w:val="000000" w:themeColor="text1"/>
          <w:sz w:val="16"/>
          <w:szCs w:val="16"/>
        </w:rPr>
      </w:pPr>
    </w:p>
    <w:p w14:paraId="147B1C0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первый полет выполнил И-230 - усовершенствованный МиГ-3 N 01. Результаты были неплохими и ОКБ поставило вопрос о возобновлении серии и построило пять предсерийных, которые затем передали в 1 Гиап на Калининский фронт. Был и вариант N 2 с увеличенной площадью крыла (1084,37).</w:t>
      </w:r>
    </w:p>
    <w:p w14:paraId="51F03601" w14:textId="77777777" w:rsidR="00AE7191" w:rsidRPr="001E2C69" w:rsidRDefault="00AE7191" w:rsidP="00722885">
      <w:pPr>
        <w:pStyle w:val="Iauiue"/>
        <w:jc w:val="both"/>
        <w:rPr>
          <w:color w:val="000000" w:themeColor="text1"/>
          <w:sz w:val="16"/>
          <w:szCs w:val="16"/>
        </w:rPr>
      </w:pPr>
    </w:p>
    <w:p w14:paraId="580C2087" w14:textId="77777777" w:rsidR="008F0233" w:rsidRPr="008A2E5A" w:rsidRDefault="008F0233" w:rsidP="008F02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1942 года начались испытания модели но</w:t>
      </w:r>
      <w:r w:rsidRPr="008A2E5A">
        <w:rPr>
          <w:rFonts w:ascii="Times New Roman" w:hAnsi="Times New Roman"/>
          <w:color w:val="0070C0"/>
          <w:sz w:val="16"/>
          <w:szCs w:val="16"/>
        </w:rPr>
        <w:softHyphen/>
        <w:t>вого истребителя И-220 (МиГ-11) в аэродинамической трубе. Первоначально на машину планировали установить мотор АМ-37, но поскольку работы над ним не увен</w:t>
      </w:r>
      <w:r w:rsidRPr="008A2E5A">
        <w:rPr>
          <w:rFonts w:ascii="Times New Roman" w:hAnsi="Times New Roman"/>
          <w:color w:val="0070C0"/>
          <w:sz w:val="16"/>
          <w:szCs w:val="16"/>
        </w:rPr>
        <w:softHyphen/>
        <w:t>чались успехом, выбор пал на перспективный АМ-39.</w:t>
      </w:r>
    </w:p>
    <w:p w14:paraId="6448B315" w14:textId="77777777" w:rsidR="008F0233" w:rsidRPr="008A2E5A" w:rsidRDefault="008F0233" w:rsidP="008F02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Истребитель И-220 предназначался для ведения активного воздушного боя на всех высотах. С целью получения максимальной горизонтальной скорости все радиаторы убрали в крыло, их каналы начинались на передней кромке центроплана, а выходы — в его нижней и верхней поверхно</w:t>
      </w:r>
      <w:r w:rsidRPr="008A2E5A">
        <w:rPr>
          <w:rFonts w:ascii="Times New Roman" w:hAnsi="Times New Roman"/>
          <w:color w:val="0070C0"/>
          <w:sz w:val="16"/>
          <w:szCs w:val="16"/>
        </w:rPr>
        <w:softHyphen/>
        <w:t>стях. Вооружение состояло из двух синхронных пушек ШВАК с бое</w:t>
      </w:r>
      <w:r w:rsidRPr="008A2E5A">
        <w:rPr>
          <w:rFonts w:ascii="Times New Roman" w:hAnsi="Times New Roman"/>
          <w:color w:val="0070C0"/>
          <w:sz w:val="16"/>
          <w:szCs w:val="16"/>
        </w:rPr>
        <w:softHyphen/>
        <w:t>запасом по 150 патронов. Кроме того, в перегрузку предусмотрели установку ещё двух таких же пу</w:t>
      </w:r>
      <w:r w:rsidRPr="008A2E5A">
        <w:rPr>
          <w:rFonts w:ascii="Times New Roman" w:hAnsi="Times New Roman"/>
          <w:color w:val="0070C0"/>
          <w:sz w:val="16"/>
          <w:szCs w:val="16"/>
        </w:rPr>
        <w:softHyphen/>
        <w:t>шек с тем же боезапасом.</w:t>
      </w:r>
    </w:p>
    <w:p w14:paraId="540B16E0" w14:textId="77777777" w:rsidR="008F0233" w:rsidRPr="008A2E5A" w:rsidRDefault="008F0233" w:rsidP="008F02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 МиГ-3 новый самолёт отли</w:t>
      </w:r>
      <w:r w:rsidRPr="008A2E5A">
        <w:rPr>
          <w:rFonts w:ascii="Times New Roman" w:hAnsi="Times New Roman"/>
          <w:color w:val="0070C0"/>
          <w:sz w:val="16"/>
          <w:szCs w:val="16"/>
        </w:rPr>
        <w:softHyphen/>
        <w:t>чался профилем крыла — вме</w:t>
      </w:r>
      <w:r w:rsidRPr="008A2E5A">
        <w:rPr>
          <w:rFonts w:ascii="Times New Roman" w:hAnsi="Times New Roman"/>
          <w:color w:val="0070C0"/>
          <w:sz w:val="16"/>
          <w:szCs w:val="16"/>
        </w:rPr>
        <w:softHyphen/>
        <w:t>сто традиционного «Кларк УН» с относительной толщиной 14% в корне и 8% на концах использо</w:t>
      </w:r>
      <w:r w:rsidRPr="008A2E5A">
        <w:rPr>
          <w:rFonts w:ascii="Times New Roman" w:hAnsi="Times New Roman"/>
          <w:color w:val="0070C0"/>
          <w:sz w:val="16"/>
          <w:szCs w:val="16"/>
        </w:rPr>
        <w:softHyphen/>
        <w:t xml:space="preserve">вали NACA-230 с относительной толщиной соответственно 13% и 7%. Крыло получило </w:t>
      </w:r>
      <w:bookmarkStart w:id="91" w:name="_Hlk120528058"/>
      <w:r w:rsidRPr="008A2E5A">
        <w:rPr>
          <w:rFonts w:ascii="Times New Roman" w:hAnsi="Times New Roman"/>
          <w:color w:val="0070C0"/>
          <w:sz w:val="16"/>
          <w:szCs w:val="16"/>
        </w:rPr>
        <w:t>стреловидность по передней кромке, поперечное V составило 5°30'. Размах крыла увеличился до 11 м — его площадь возросла на 2,94 м2. Истребитель оснастили трёхло</w:t>
      </w:r>
      <w:r w:rsidRPr="008A2E5A">
        <w:rPr>
          <w:rFonts w:ascii="Times New Roman" w:hAnsi="Times New Roman"/>
          <w:color w:val="0070C0"/>
          <w:sz w:val="16"/>
          <w:szCs w:val="16"/>
        </w:rPr>
        <w:softHyphen/>
        <w:t>пастным винтом АВ-5Л-126А диаметром 3,2 м.</w:t>
      </w:r>
    </w:p>
    <w:p w14:paraId="48797EF1" w14:textId="77777777" w:rsidR="008F0233" w:rsidRPr="008A2E5A" w:rsidRDefault="008F0233" w:rsidP="008F02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Машина имела оригинальную конструкцию шас</w:t>
      </w:r>
      <w:r w:rsidRPr="008A2E5A">
        <w:rPr>
          <w:rFonts w:ascii="Times New Roman" w:hAnsi="Times New Roman"/>
          <w:color w:val="0070C0"/>
          <w:sz w:val="16"/>
          <w:szCs w:val="16"/>
        </w:rPr>
        <w:softHyphen/>
        <w:t>си с рычажной подвеской колёс. Выбранная схема обеспечивала большой их вынос вперёд без ущерба для работы амортизаторов. Кроме того, при обжатии последних оси колёс уходили вперёд, и тем самым увеличивался противокапотажный угол, что повыша</w:t>
      </w:r>
      <w:r w:rsidRPr="008A2E5A">
        <w:rPr>
          <w:rFonts w:ascii="Times New Roman" w:hAnsi="Times New Roman"/>
          <w:color w:val="0070C0"/>
          <w:sz w:val="16"/>
          <w:szCs w:val="16"/>
        </w:rPr>
        <w:softHyphen/>
        <w:t>ло безопасность посадки с большими перегрузками. Также впервые в отечественной авиации на самолё</w:t>
      </w:r>
      <w:r w:rsidRPr="008A2E5A">
        <w:rPr>
          <w:rFonts w:ascii="Times New Roman" w:hAnsi="Times New Roman"/>
          <w:color w:val="0070C0"/>
          <w:sz w:val="16"/>
          <w:szCs w:val="16"/>
        </w:rPr>
        <w:softHyphen/>
        <w:t>те установили мягкие топливные баки. И это далеко не все новые технические решения, которые нашли воплощение в его конструкции.</w:t>
      </w:r>
    </w:p>
    <w:p w14:paraId="7807CF25" w14:textId="77777777" w:rsidR="008F0233" w:rsidRPr="008A2E5A" w:rsidRDefault="008F0233" w:rsidP="008F02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мотором мощностью 1800 л.с. и удельной нагруз</w:t>
      </w:r>
      <w:r w:rsidRPr="008A2E5A">
        <w:rPr>
          <w:rFonts w:ascii="Times New Roman" w:hAnsi="Times New Roman"/>
          <w:color w:val="0070C0"/>
          <w:sz w:val="16"/>
          <w:szCs w:val="16"/>
        </w:rPr>
        <w:softHyphen/>
        <w:t>кой на крыло, равной 180 кг/м2, истребитель И-220 имел неплохие перспективы. Правда, из-за отсутствия АМ-39 на него временно разрешили установить мотор АМ-38Ф для проведения начального этапа испытаний и получения предварительных результатов с после</w:t>
      </w:r>
      <w:r w:rsidRPr="008A2E5A">
        <w:rPr>
          <w:rFonts w:ascii="Times New Roman" w:hAnsi="Times New Roman"/>
          <w:color w:val="0070C0"/>
          <w:sz w:val="16"/>
          <w:szCs w:val="16"/>
        </w:rPr>
        <w:softHyphen/>
        <w:t>дующей заменой на АМ-39 (23379).</w:t>
      </w:r>
    </w:p>
    <w:bookmarkEnd w:id="91"/>
    <w:p w14:paraId="5EA2B859" w14:textId="77777777" w:rsidR="008F0233" w:rsidRPr="008A2E5A" w:rsidRDefault="008F0233" w:rsidP="008F0233">
      <w:pPr>
        <w:spacing w:after="0" w:line="240" w:lineRule="auto"/>
        <w:jc w:val="both"/>
        <w:rPr>
          <w:rFonts w:ascii="Times New Roman" w:hAnsi="Times New Roman"/>
          <w:color w:val="0070C0"/>
          <w:sz w:val="16"/>
          <w:szCs w:val="16"/>
        </w:rPr>
      </w:pPr>
    </w:p>
    <w:p w14:paraId="075493F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на заводе 31 проходил испытания ЛаГГ-5 М-82 (796,13).</w:t>
      </w:r>
    </w:p>
    <w:p w14:paraId="52BC3447" w14:textId="77777777" w:rsidR="00AE7191" w:rsidRPr="001E2C69" w:rsidRDefault="00AE7191" w:rsidP="00722885">
      <w:pPr>
        <w:pStyle w:val="Iauiue"/>
        <w:jc w:val="both"/>
        <w:rPr>
          <w:color w:val="000000" w:themeColor="text1"/>
          <w:sz w:val="16"/>
          <w:szCs w:val="16"/>
        </w:rPr>
      </w:pPr>
    </w:p>
    <w:p w14:paraId="192E7CA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ВВС писало в НКАП Л.А.Воронину:</w:t>
      </w:r>
    </w:p>
    <w:p w14:paraId="277206D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“Сообщаю, что до настоящего времени самолет ту-2....с моторами М-82 не доведен. Основные дефекты М-82 - задир поршней при наборе высоты на номинале, отсутствие стабильности регулировки карбюратора К-82БП, выбрасывание масла в суфлере на высоте 6000-8000 м, отказ в работе свечей...после 5-20 часов работы, не устранены.</w:t>
      </w:r>
    </w:p>
    <w:p w14:paraId="5C7D219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166 не обеспечен моторами М-82, воздушными винтами, масляными радиаторами, колесами... В результате части ВВС КА, остро нуждающиеся в б с хорошими ЛТД, самолетов ту-2 не получают.” (4407,2).</w:t>
      </w:r>
    </w:p>
    <w:p w14:paraId="477ECCF6" w14:textId="77777777" w:rsidR="00AE7191" w:rsidRPr="001E2C69" w:rsidRDefault="00AE7191" w:rsidP="00722885">
      <w:pPr>
        <w:pStyle w:val="Iauiue"/>
        <w:jc w:val="both"/>
        <w:rPr>
          <w:color w:val="000000" w:themeColor="text1"/>
          <w:sz w:val="16"/>
          <w:szCs w:val="16"/>
        </w:rPr>
      </w:pPr>
    </w:p>
    <w:p w14:paraId="6689E62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на Западном фронте завершились испытания ЛаГГ-3, которые начались в мае (201,25).</w:t>
      </w:r>
    </w:p>
    <w:p w14:paraId="534FA935" w14:textId="77777777" w:rsidR="00AE7191" w:rsidRPr="001E2C69" w:rsidRDefault="00AE7191" w:rsidP="00722885">
      <w:pPr>
        <w:pStyle w:val="Iauiue"/>
        <w:jc w:val="both"/>
        <w:rPr>
          <w:color w:val="000000" w:themeColor="text1"/>
          <w:sz w:val="16"/>
          <w:szCs w:val="16"/>
        </w:rPr>
      </w:pPr>
    </w:p>
    <w:p w14:paraId="321B28D3" w14:textId="77777777" w:rsidR="007D7196" w:rsidRPr="001E2C69" w:rsidRDefault="007D7196"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 августе 1942 г. ГКО принял решение оставить в производстве на заводе № 31 только самолёт ЛаГГ-3, поэтому выпуск ЛаГГ-5 на нём быстро свернули. Взамен 31-го завода в том же августе к выпуску Ла-5 подключили завод № 99 в Улан-Удэ, а в октябре 1942 г. — за</w:t>
      </w:r>
      <w:r w:rsidRPr="001E2C69">
        <w:rPr>
          <w:rFonts w:ascii="Times New Roman" w:cs="Times New Roman"/>
          <w:color w:val="000000" w:themeColor="text1"/>
          <w:spacing w:val="0"/>
        </w:rPr>
        <w:softHyphen/>
        <w:t>вод № 381 в Нижнем Тагиле, в 1943 г. переведенный в Москву (15813).</w:t>
      </w:r>
    </w:p>
    <w:p w14:paraId="56FA06EF" w14:textId="77777777" w:rsidR="007D7196" w:rsidRPr="001E2C69" w:rsidRDefault="007D7196" w:rsidP="00722885">
      <w:pPr>
        <w:pStyle w:val="27"/>
        <w:shd w:val="clear" w:color="auto" w:fill="auto"/>
        <w:spacing w:after="0" w:line="240" w:lineRule="auto"/>
        <w:ind w:firstLine="0"/>
        <w:rPr>
          <w:rFonts w:ascii="Times New Roman" w:cs="Times New Roman"/>
          <w:color w:val="000000" w:themeColor="text1"/>
          <w:spacing w:val="0"/>
        </w:rPr>
      </w:pPr>
    </w:p>
    <w:p w14:paraId="50E8E85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августа 1942-го на все самолеты ЛаГ-5 завода №21 начали устанавливать радиоприемники РСИ-4, а на каждый третий -радиостанцию, радиополукомпас РПК-10, а остальные оборудовались под возможную его установку (4573).</w:t>
      </w:r>
    </w:p>
    <w:p w14:paraId="12258867" w14:textId="77777777" w:rsidR="00AE7191" w:rsidRPr="001E2C69" w:rsidRDefault="00AE7191" w:rsidP="00722885">
      <w:pPr>
        <w:pStyle w:val="Iauiue"/>
        <w:jc w:val="both"/>
        <w:rPr>
          <w:color w:val="000000" w:themeColor="text1"/>
          <w:sz w:val="16"/>
          <w:szCs w:val="16"/>
        </w:rPr>
      </w:pPr>
    </w:p>
    <w:p w14:paraId="44EE9F8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августа 1942 года все новые машины стали комплектовать радиоприемниками, а каждый третий - радиостанциями РСИ-4. Появились первые машины с радиополукомпасами РПК-10, значительно улучшившими ориентацию летчиков, особенно в плохих метеоусловиях, но на все машины их не хватало (12032).</w:t>
      </w:r>
    </w:p>
    <w:p w14:paraId="1169C14D"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21296B9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В августе 1942-го Старший военпред, впоследствии директор завода номер 21, А.И.Ярошенко, анализируя сообщение с фронта, делал вывод: ЛаГ-5 имеет преимущество перед Me 109Ф в горизонтальном маневре, на наборе высоты на форсаже имеет скорость, равную Me 109Ф, отстает от него в вертикальном маневре. </w:t>
      </w:r>
      <w:r w:rsidRPr="001E2C69">
        <w:rPr>
          <w:color w:val="000000" w:themeColor="text1"/>
          <w:sz w:val="16"/>
          <w:szCs w:val="16"/>
        </w:rPr>
        <w:lastRenderedPageBreak/>
        <w:t>Из-за дефекта фонаря летчики летают с открытой кабиной, что снижает скорость (4573).</w:t>
      </w:r>
    </w:p>
    <w:p w14:paraId="4D1201D5" w14:textId="77777777" w:rsidR="00AE7191" w:rsidRPr="001E2C69" w:rsidRDefault="00AE7191" w:rsidP="00722885">
      <w:pPr>
        <w:pStyle w:val="Iauiue"/>
        <w:jc w:val="both"/>
        <w:rPr>
          <w:color w:val="000000" w:themeColor="text1"/>
          <w:sz w:val="16"/>
          <w:szCs w:val="16"/>
        </w:rPr>
      </w:pPr>
    </w:p>
    <w:p w14:paraId="46DD312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г. в результате работ объединенного КБ Бондарюка на серийном самолете ЛаГГ-3 (зав. № 31213173) были проведены летные испытания первого в стране прямоточного двигателя ВРД-1. И хотя они закончились относительной неудачей (достигнутый прирост скорости при работающих ускорителях - всего 30 км/ч, зато потеря скорости при неработающих ПВРД - 50 км/ч), работы по повышению экономичности и надежности конструкции были продолжены. В 1944 г. ЭКБ-3 разработало новый образец ПВРД, который успешно прошел летные испытания на истребителе Ла-5, обеспечив значительный прирост скорости (9027). После возвращения из эвакуации ЭКБ-3 перевели из системы ГВФ в ОКБ-293 В.Ф. Болховитинова для подключения к созданию двигательной установки самолета "БИ" (вариант с двумя ПВРД). В 1944 г. КБ Бондарюка вместе с ОКБ-293 влили в состав образованного НИИ-1 НКАП и преобразовали в отдел прямоточных двигателей, а затем - в институтское КБ-2. В августе 1947 г. М.М. Бондарюк был назначен главным конструктором КБ (9027).</w:t>
      </w:r>
    </w:p>
    <w:p w14:paraId="2EB29648" w14:textId="77777777" w:rsidR="00AE7191" w:rsidRPr="001E2C69" w:rsidRDefault="00AE7191" w:rsidP="00722885">
      <w:pPr>
        <w:pStyle w:val="Iauiue"/>
        <w:jc w:val="both"/>
        <w:rPr>
          <w:color w:val="000000" w:themeColor="text1"/>
          <w:sz w:val="16"/>
          <w:szCs w:val="16"/>
        </w:rPr>
      </w:pPr>
    </w:p>
    <w:p w14:paraId="143C131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года летчик-испытатель Г.А. Мищенко проводил испытания ускорителя ВРД-1 Бондарюк на на серийном ЛаГТе-3 с двигателем М-105ПФ. Ускоритель ВРД-1 имел длину 2,15 м, диаметр спереди 0,14 м, массу 16 кг. Опыты показали, что ускоритель позволяет прибавить к максимальной скорости самолета 15 км/ч. В то же время двигатель ухудшал аэродинамические качества самолета, снижая скорость самолета на 35-40 км/ч. Впрочем, подвеска ускорителя делалась довольно грубо, теоретически существовала возможность облагородить аэродинамику самолета. Но этого делать не стали, так как ускоритель не мог обеспечить стабильное горение топлива, также пуск ускорителя был очень затруднен на больших высотах (11749).</w:t>
      </w:r>
    </w:p>
    <w:p w14:paraId="5FB4FF0B"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DA930D9" w14:textId="77777777" w:rsidR="00D050CD" w:rsidRPr="001E2C69" w:rsidRDefault="00D050CD" w:rsidP="00722885">
      <w:pPr>
        <w:pStyle w:val="af"/>
        <w:shd w:val="clear" w:color="auto" w:fill="FFFFFF"/>
        <w:spacing w:before="0" w:after="0"/>
        <w:jc w:val="both"/>
        <w:rPr>
          <w:color w:val="000000" w:themeColor="text1"/>
          <w:sz w:val="16"/>
          <w:szCs w:val="16"/>
        </w:rPr>
      </w:pPr>
      <w:r w:rsidRPr="001E2C69">
        <w:rPr>
          <w:color w:val="000000" w:themeColor="text1"/>
          <w:sz w:val="16"/>
          <w:szCs w:val="16"/>
        </w:rPr>
        <w:t>В августе 1942 года летные испытания прошел ЛаГГ-3 № 31213173 с двумя ПВРД ВРД-1, которые разработал молодой коллектив ОКБ-3 НИИ ГВФ под руковод ством М.М. Бондарюка. Целью испытаний была проверка эксп луатационных качеств и эффективности первого ПВРД ВРД- конструкции М.М. Бондарюка. На испытание были предостав лены два варианта ВРД-1: нормальный (основные характерис тики даны в табл. 12 прил. 1) и так называемый форсирован ный вариант с входным диаметром 170 мм, длиной 1 900 мм и весом 16 кг. Двигатели устанавливали под крыло около вто рой нервюры. Двигатель ВРД-1 питался тем же бензином, что и основной ПД. Подача топлива в него производилась с помо щью бензонасоса БНК-1.</w:t>
      </w:r>
    </w:p>
    <w:p w14:paraId="1EC3C53C" w14:textId="77777777" w:rsidR="00D050CD" w:rsidRPr="001E2C69" w:rsidRDefault="00D050CD" w:rsidP="00722885">
      <w:pPr>
        <w:pStyle w:val="af"/>
        <w:shd w:val="clear" w:color="auto" w:fill="FFFFFF"/>
        <w:spacing w:before="0" w:after="0"/>
        <w:jc w:val="both"/>
        <w:rPr>
          <w:color w:val="000000" w:themeColor="text1"/>
          <w:sz w:val="16"/>
          <w:szCs w:val="16"/>
        </w:rPr>
      </w:pPr>
      <w:r w:rsidRPr="001E2C69">
        <w:rPr>
          <w:color w:val="000000" w:themeColor="text1"/>
          <w:sz w:val="16"/>
          <w:szCs w:val="16"/>
        </w:rPr>
        <w:t>Перед летными испытаниями решили провести пробное включение ВРД-1 на земле, воздействуя скоростным напором от винта впереди стоящего самолета.</w:t>
      </w:r>
    </w:p>
    <w:p w14:paraId="57723E73" w14:textId="77777777" w:rsidR="00D050CD" w:rsidRPr="001E2C69" w:rsidRDefault="00D050CD" w:rsidP="00722885">
      <w:pPr>
        <w:pStyle w:val="af"/>
        <w:shd w:val="clear" w:color="auto" w:fill="FFFFFF"/>
        <w:spacing w:before="0" w:after="0"/>
        <w:jc w:val="both"/>
        <w:rPr>
          <w:color w:val="000000" w:themeColor="text1"/>
          <w:sz w:val="16"/>
          <w:szCs w:val="16"/>
        </w:rPr>
      </w:pPr>
      <w:r w:rsidRPr="001E2C69">
        <w:rPr>
          <w:color w:val="000000" w:themeColor="text1"/>
          <w:sz w:val="16"/>
          <w:szCs w:val="16"/>
        </w:rPr>
        <w:t>Как вспоминал М.М. Бондарюк: «Мы оказались в слож ном положении, так как до этого работали только с моделя ми, а в данном случае привезли Лавочкину настоящий боль шой агрегат, не имея, к сожалению, условий для его испыта ний. У нас не было настоящих лабораторий, но все же мы нашли выход... Выход действительно нашли необычный и ос троумный: один за другим поставили два самолета. Впереди обычный, серийный, позади — машину, под крылом которой подвесили ускоритель. Чтобы запустить ускоритель, нужен был воздушный поток. Его-то и создал винт первого самолета. Ме тодика, порожденная почти полным отсутствием испытатель ной аппаратуры, чуть не привела к беде. Думали, что при за пуске ускоритель даст небольшой конусообразный поясок пла мени. А получилось все иначе. Воздушный поток от винта первого самолета оказался сильно завихренным. Конусок пла мени вытянулся в длинный шлейф. Огромный факел, вырвав шийся из выходного отверстия ускорителя, едва не поджег завод».</w:t>
      </w:r>
    </w:p>
    <w:p w14:paraId="54D2AFB2" w14:textId="77777777" w:rsidR="00D050CD" w:rsidRPr="001E2C69" w:rsidRDefault="00D050CD" w:rsidP="00722885">
      <w:pPr>
        <w:pStyle w:val="af"/>
        <w:shd w:val="clear" w:color="auto" w:fill="FFFFFF"/>
        <w:spacing w:before="0" w:after="0"/>
        <w:jc w:val="both"/>
        <w:rPr>
          <w:color w:val="000000" w:themeColor="text1"/>
          <w:sz w:val="16"/>
          <w:szCs w:val="16"/>
        </w:rPr>
      </w:pPr>
      <w:r w:rsidRPr="001E2C69">
        <w:rPr>
          <w:color w:val="000000" w:themeColor="text1"/>
          <w:sz w:val="16"/>
          <w:szCs w:val="16"/>
        </w:rPr>
        <w:t>Двигатель удалось запустить только два раза. При такой статистике, естественно, выводов о работе ВРД-1 сделать не удалось. 5 августа 1942 года состоялся первый полет с целью проверить крепление ВРД-1 к крыльям. Далее было проведе но шесть полетов для отработки системы подачи топлива, ре гулировки состава смеси и системы зажигания, проверки за ЕВТНФЬЕВ пуска и работы ВРД-1 на различных высотах и скоростях. В се ми полетах исследовали пусковые качества и эффективность двигателей, определили потерю максимальной скорости при наличии и отсутствии обтекателей узлов подвески. До 16 ав густа 1942 г. на ЛаГГ-3 с ВРД-1 летал летчик-испытатель ка питан Мищенко, который совершил всего 14 полетов [39].</w:t>
      </w:r>
    </w:p>
    <w:p w14:paraId="31AB2B6A" w14:textId="77777777" w:rsidR="00D050CD" w:rsidRPr="001E2C69" w:rsidRDefault="00D050CD" w:rsidP="00722885">
      <w:pPr>
        <w:pStyle w:val="af"/>
        <w:shd w:val="clear" w:color="auto" w:fill="FFFFFF"/>
        <w:spacing w:before="0" w:after="0"/>
        <w:jc w:val="both"/>
        <w:rPr>
          <w:color w:val="000000" w:themeColor="text1"/>
          <w:sz w:val="16"/>
          <w:szCs w:val="16"/>
        </w:rPr>
      </w:pPr>
      <w:r w:rsidRPr="001E2C69">
        <w:rPr>
          <w:color w:val="000000" w:themeColor="text1"/>
          <w:sz w:val="16"/>
          <w:szCs w:val="16"/>
        </w:rPr>
        <w:t>Прирост скорости по отношению к скорости полета с вык люченными ВРД-1 на высоте 1500 м составил 12...15 км/ч.</w:t>
      </w:r>
    </w:p>
    <w:p w14:paraId="0EAD3CA1" w14:textId="77777777" w:rsidR="00D050CD" w:rsidRPr="001E2C69" w:rsidRDefault="00D050CD" w:rsidP="00722885">
      <w:pPr>
        <w:pStyle w:val="af"/>
        <w:shd w:val="clear" w:color="auto" w:fill="FFFFFF"/>
        <w:spacing w:before="0" w:after="0"/>
        <w:jc w:val="both"/>
        <w:rPr>
          <w:color w:val="000000" w:themeColor="text1"/>
          <w:sz w:val="16"/>
          <w:szCs w:val="16"/>
        </w:rPr>
      </w:pPr>
      <w:r w:rsidRPr="001E2C69">
        <w:rPr>
          <w:color w:val="000000" w:themeColor="text1"/>
          <w:sz w:val="16"/>
          <w:szCs w:val="16"/>
        </w:rPr>
        <w:t>Аэродинамическое сопротивление ВРД-1 с узлами подвески снижало скорость на 35...40 км/ч. Процесс горения в ВРД- стабилизировать не удалось. Расчетным путем было установ лено, что при полете ЛаГГ-3 № 31213173 с ПД М-105ПФ уве личение максимальной скорости от включенных ВРД-1 долж но было составить 23 км/ч на высоте 4000 м и 17 км/ч на вы соте 1500 м для нормального варианта. Для форсированного варианта 49 и 40 км/ч соответственно. Так как производитель ность бензонасоса БНК-10 была недостаточна, форсированный I вариант не стали проверять. По результатам летных испыта ний было сделано заключение, что необходимо форсировать работы по улучшению режима горения, запуску на большой высоте, автоматическому регулированию состава смеси и кон струированию рациональных форм подвески и ВРД, обеспечи вающих более органичную связь с самолетом (19686).</w:t>
      </w:r>
    </w:p>
    <w:p w14:paraId="26FBAC08" w14:textId="77777777" w:rsidR="00D050CD" w:rsidRPr="001E2C69" w:rsidRDefault="00D050CD" w:rsidP="00722885">
      <w:pPr>
        <w:pStyle w:val="af"/>
        <w:shd w:val="clear" w:color="auto" w:fill="FFFFFF"/>
        <w:spacing w:before="0" w:after="0"/>
        <w:jc w:val="both"/>
        <w:rPr>
          <w:color w:val="000000" w:themeColor="text1"/>
          <w:sz w:val="16"/>
          <w:szCs w:val="16"/>
        </w:rPr>
      </w:pPr>
      <w:r w:rsidRPr="001E2C69">
        <w:rPr>
          <w:color w:val="000000" w:themeColor="text1"/>
          <w:sz w:val="16"/>
          <w:szCs w:val="16"/>
        </w:rPr>
        <w:t>Основные тактико-технические характеристики самолета ЛаГГ-3 с ПВРД ВРД-1 представлены в табл. 11 прил. 1.</w:t>
      </w:r>
    </w:p>
    <w:p w14:paraId="20036395" w14:textId="77777777" w:rsidR="00D050CD" w:rsidRPr="001E2C69" w:rsidRDefault="00D050CD" w:rsidP="00722885">
      <w:pPr>
        <w:pStyle w:val="af"/>
        <w:shd w:val="clear" w:color="auto" w:fill="FFFFFF"/>
        <w:spacing w:before="0" w:after="0"/>
        <w:jc w:val="both"/>
        <w:rPr>
          <w:color w:val="000000" w:themeColor="text1"/>
          <w:sz w:val="16"/>
          <w:szCs w:val="16"/>
        </w:rPr>
      </w:pPr>
    </w:p>
    <w:p w14:paraId="3D10193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года ГКО при</w:t>
      </w:r>
      <w:r w:rsidRPr="001E2C69">
        <w:rPr>
          <w:rFonts w:ascii="Times New Roman" w:hAnsi="Times New Roman"/>
          <w:color w:val="000000" w:themeColor="text1"/>
          <w:sz w:val="16"/>
          <w:szCs w:val="16"/>
        </w:rPr>
        <w:softHyphen/>
        <w:t>нял решение оставить в производ</w:t>
      </w:r>
      <w:r w:rsidRPr="001E2C69">
        <w:rPr>
          <w:rFonts w:ascii="Times New Roman" w:hAnsi="Times New Roman"/>
          <w:color w:val="000000" w:themeColor="text1"/>
          <w:sz w:val="16"/>
          <w:szCs w:val="16"/>
        </w:rPr>
        <w:softHyphen/>
        <w:t>стве на заводе №31 только самолет ЛаГГ-3, поэтому выпуск ЛаГГ-5 на нем быстро свернули. Взамен 31-го заво</w:t>
      </w:r>
      <w:r w:rsidRPr="001E2C69">
        <w:rPr>
          <w:rFonts w:ascii="Times New Roman" w:hAnsi="Times New Roman"/>
          <w:color w:val="000000" w:themeColor="text1"/>
          <w:sz w:val="16"/>
          <w:szCs w:val="16"/>
        </w:rPr>
        <w:softHyphen/>
        <w:t>да в том же августе к выпуску Ла-5 был подключен завод № 99 в Улан-Удэ, а в октябре 1942 года - завод №381 в Нижнем Тагиле, в 1943 году переведенный в Москву (10699).</w:t>
      </w:r>
    </w:p>
    <w:p w14:paraId="2DA3C41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7EA5BAC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года на заводе №19 были испытаны американские керамичес</w:t>
      </w:r>
      <w:r w:rsidRPr="001E2C69">
        <w:rPr>
          <w:rFonts w:ascii="Times New Roman" w:hAnsi="Times New Roman"/>
          <w:color w:val="000000" w:themeColor="text1"/>
          <w:sz w:val="16"/>
          <w:szCs w:val="16"/>
        </w:rPr>
        <w:softHyphen/>
        <w:t>кие свечи АС-15-85 при длительном испытании мотора М-82 на станке. После 12 часов работы (из них 9 ча</w:t>
      </w:r>
      <w:r w:rsidRPr="001E2C69">
        <w:rPr>
          <w:rFonts w:ascii="Times New Roman" w:hAnsi="Times New Roman"/>
          <w:color w:val="000000" w:themeColor="text1"/>
          <w:sz w:val="16"/>
          <w:szCs w:val="16"/>
        </w:rPr>
        <w:softHyphen/>
        <w:t>сов на режиме) была заменена одна свеча вследствие разрушения изо</w:t>
      </w:r>
      <w:r w:rsidRPr="001E2C69">
        <w:rPr>
          <w:rFonts w:ascii="Times New Roman" w:hAnsi="Times New Roman"/>
          <w:color w:val="000000" w:themeColor="text1"/>
          <w:sz w:val="16"/>
          <w:szCs w:val="16"/>
        </w:rPr>
        <w:softHyphen/>
        <w:t>лятора и 3 свечи вследствие прого</w:t>
      </w:r>
      <w:r w:rsidRPr="001E2C69">
        <w:rPr>
          <w:rFonts w:ascii="Times New Roman" w:hAnsi="Times New Roman"/>
          <w:color w:val="000000" w:themeColor="text1"/>
          <w:sz w:val="16"/>
          <w:szCs w:val="16"/>
        </w:rPr>
        <w:softHyphen/>
        <w:t>рания ввертной части корпуса в свеч</w:t>
      </w:r>
      <w:r w:rsidRPr="001E2C69">
        <w:rPr>
          <w:rFonts w:ascii="Times New Roman" w:hAnsi="Times New Roman"/>
          <w:color w:val="000000" w:themeColor="text1"/>
          <w:sz w:val="16"/>
          <w:szCs w:val="16"/>
        </w:rPr>
        <w:softHyphen/>
        <w:t>ной втулке цилиндра. После 32 ча</w:t>
      </w:r>
      <w:r w:rsidRPr="001E2C69">
        <w:rPr>
          <w:rFonts w:ascii="Times New Roman" w:hAnsi="Times New Roman"/>
          <w:color w:val="000000" w:themeColor="text1"/>
          <w:sz w:val="16"/>
          <w:szCs w:val="16"/>
        </w:rPr>
        <w:softHyphen/>
        <w:t>сов работы (из них 18 часов на ре</w:t>
      </w:r>
      <w:r w:rsidRPr="001E2C69">
        <w:rPr>
          <w:rFonts w:ascii="Times New Roman" w:hAnsi="Times New Roman"/>
          <w:color w:val="000000" w:themeColor="text1"/>
          <w:sz w:val="16"/>
          <w:szCs w:val="16"/>
        </w:rPr>
        <w:softHyphen/>
        <w:t>жиме) было заменено 4 свечи вслед</w:t>
      </w:r>
      <w:r w:rsidRPr="001E2C69">
        <w:rPr>
          <w:rFonts w:ascii="Times New Roman" w:hAnsi="Times New Roman"/>
          <w:color w:val="000000" w:themeColor="text1"/>
          <w:sz w:val="16"/>
          <w:szCs w:val="16"/>
        </w:rPr>
        <w:softHyphen/>
        <w:t>ствие пробоя изолятора сердечника и 2 свечи вследствие разрушения изолятора сердечника. В целом, ухудшение работы све</w:t>
      </w:r>
      <w:r w:rsidRPr="001E2C69">
        <w:rPr>
          <w:rFonts w:ascii="Times New Roman" w:hAnsi="Times New Roman"/>
          <w:color w:val="000000" w:themeColor="text1"/>
          <w:sz w:val="16"/>
          <w:szCs w:val="16"/>
        </w:rPr>
        <w:softHyphen/>
        <w:t>чей было связано с ростом мощнос</w:t>
      </w:r>
      <w:r w:rsidRPr="001E2C69">
        <w:rPr>
          <w:rFonts w:ascii="Times New Roman" w:hAnsi="Times New Roman"/>
          <w:color w:val="000000" w:themeColor="text1"/>
          <w:sz w:val="16"/>
          <w:szCs w:val="16"/>
        </w:rPr>
        <w:softHyphen/>
        <w:t>тей моторов и применением высоко</w:t>
      </w:r>
      <w:r w:rsidRPr="001E2C69">
        <w:rPr>
          <w:rFonts w:ascii="Times New Roman" w:hAnsi="Times New Roman"/>
          <w:color w:val="000000" w:themeColor="text1"/>
          <w:sz w:val="16"/>
          <w:szCs w:val="16"/>
        </w:rPr>
        <w:softHyphen/>
        <w:t>октанового топлива (повышением сте</w:t>
      </w:r>
      <w:r w:rsidRPr="001E2C69">
        <w:rPr>
          <w:rFonts w:ascii="Times New Roman" w:hAnsi="Times New Roman"/>
          <w:color w:val="000000" w:themeColor="text1"/>
          <w:sz w:val="16"/>
          <w:szCs w:val="16"/>
        </w:rPr>
        <w:softHyphen/>
        <w:t>пени сжатия) (10714).</w:t>
      </w:r>
    </w:p>
    <w:p w14:paraId="36FA849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5391D879" w14:textId="77777777" w:rsidR="001A29E6" w:rsidRPr="001E2C69" w:rsidRDefault="001A29E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А.С.Я. предложил проект модификации серийного Як-1б для завоевания господства в воздухе у земли. Официально он именовался Як-1М или Як-1МС, где литера М означала «москит». Но такой же войсковой индекс Як-1М имел и самолет И-30, что вызывало путаницу, и введенный в оборот Яковлевым термин хорошо пояснял суть нового самолета: в отличие от тяжелого пушечного И-30, это был истребитель с повышенными летными данными и облегченным вооружением — маленький, быстрый, больно жалящий и неуловимый. В нем все было подчинено улучшению скорости и маневра. Раз уж бой на установившихся (т. е. с постоянными радиусом и скоростью) виражах не позволяет «завалить» Bf 109G, если требуется переход к маневрам вертикальным и неустановившимся (с меняющимся ускорением), нет смысла сохранять низкую нагрузку на крыло и его площадь можно уменьшить. Это снизит массу и сопротивление не только крыла, но и оперения, которое тоже станет меньше. Крыло оставили деревянным, как и на Як-1б, но лонжероны, а также четыре силовые нервюры сделали дюралевыми — как на самолетах Як-9. Еще 10 кг экономии дал отказ от весовых балансиров на элеронах: аэродинамики гарантировали, что флаттер не наступит до скорости 700 км/ч. Крыло «Москита» получило удобные узлы стыка с фюзеляжем и разъем по оси самолета, благодаря этому самолет можно было разобрать для транспортировки не только по железной дороге, но и автотранспортом (габарит груза получался вдвое меньше) или заменить одну поврежденную консоль. Изменения в фюзеляже касались в основном размещения агрегатов силовой установки. Главное заключалось в том, что носовая часть стала чище — маслорадиатор из-под мотора убрали, взамен в корне крыла установили два новых, сэкономив еще 10 кг, водорадиатор (также новый) глубже вжали в фюзеляж, облагородив формы и уменьшив мидель, а охлаждение мотора даже улучшилось. Ферма каркаса и полотняная обшивка бортов остались без изменений. «Москит» не заменял Як-1б и Як-9, он предназначался для лучших частей ВВС для завоевания господства в воздухе на главных направлениях, считалось, что ему не нужна большая дальность, и из четырех баков в крыле оставили два плюс малый расходный. Оборудование было таким же, как и на Як-1б, вооружение составили мотор-пушка ШВАК-20 и синхронный пулемет УБ-12,7 с простейшим кольцевым прицелом. Традиционный граненый козырек кабины заменили округлым, формованным из одного листа плексигласа. Это снизило его аэродинамическое сопротивление, но не позволяло поставить лобовое бронестекло. Летчика защищала обрезанная по плечи плоская бронеспинка и заднее бронестекло, протектор закрывал только крыльевые баки снизу и с боков. Систему нейтрального газа сняли. Считалось, что рост летных данных с лихвой окупит такое снижение защищенности и живучести. Все это, а также перевод части стальных и деревянных деталей на дюраль, позволили снизить взлетный вес на 280 кг, но, для того чтобы получить заданный прирост летных данных, требовалось еще и улучшить энергетику самолета (22751).</w:t>
      </w:r>
    </w:p>
    <w:p w14:paraId="1D2A887B" w14:textId="77777777" w:rsidR="001A29E6" w:rsidRPr="001E2C69" w:rsidRDefault="001A29E6" w:rsidP="00722885">
      <w:pPr>
        <w:spacing w:after="0" w:line="240" w:lineRule="auto"/>
        <w:jc w:val="both"/>
        <w:rPr>
          <w:rFonts w:ascii="Times New Roman" w:hAnsi="Times New Roman"/>
          <w:color w:val="000000" w:themeColor="text1"/>
          <w:sz w:val="16"/>
          <w:szCs w:val="16"/>
        </w:rPr>
      </w:pPr>
    </w:p>
    <w:p w14:paraId="43BE304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г. советские боевые потери превысили тысячу самолетов, из которых более двухсот составляли Як-1 и Як-7 (4537).</w:t>
      </w:r>
    </w:p>
    <w:p w14:paraId="72502628" w14:textId="77777777" w:rsidR="00AE7191" w:rsidRPr="001E2C69" w:rsidRDefault="00AE7191" w:rsidP="00722885">
      <w:pPr>
        <w:pStyle w:val="Iauiue"/>
        <w:jc w:val="both"/>
        <w:rPr>
          <w:color w:val="000000" w:themeColor="text1"/>
          <w:sz w:val="16"/>
          <w:szCs w:val="16"/>
        </w:rPr>
      </w:pPr>
    </w:p>
    <w:p w14:paraId="07D4B61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были сделаны первые прикидки и эскизы по Як-3 вскоре после появления Bf 109G-2 (1059,15).</w:t>
      </w:r>
    </w:p>
    <w:p w14:paraId="065B011B" w14:textId="77777777" w:rsidR="00AE7191" w:rsidRPr="001E2C69" w:rsidRDefault="00AE7191" w:rsidP="00722885">
      <w:pPr>
        <w:pStyle w:val="Iauiue"/>
        <w:jc w:val="both"/>
        <w:rPr>
          <w:color w:val="000000" w:themeColor="text1"/>
          <w:sz w:val="16"/>
          <w:szCs w:val="16"/>
        </w:rPr>
      </w:pPr>
    </w:p>
    <w:p w14:paraId="6C460D5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был готов Як-7ПД с М-105ПД (1046,37) и, по видимому, начались заводские испытания, которые шли до сентября 1942 (1046,37).</w:t>
      </w:r>
    </w:p>
    <w:p w14:paraId="567BE7ED" w14:textId="77777777" w:rsidR="00AE7191" w:rsidRPr="001E2C69" w:rsidRDefault="00AE7191" w:rsidP="00722885">
      <w:pPr>
        <w:pStyle w:val="Iauiue"/>
        <w:jc w:val="both"/>
        <w:rPr>
          <w:color w:val="000000" w:themeColor="text1"/>
          <w:sz w:val="16"/>
          <w:szCs w:val="16"/>
        </w:rPr>
      </w:pPr>
    </w:p>
    <w:p w14:paraId="6A7D570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августа 1942 по декабрь 1943 153 завод производил Як-7Б с М-105ПФ (65,90).</w:t>
      </w:r>
    </w:p>
    <w:p w14:paraId="6580588B" w14:textId="77777777" w:rsidR="00AE7191" w:rsidRPr="001E2C69" w:rsidRDefault="00AE7191" w:rsidP="00722885">
      <w:pPr>
        <w:pStyle w:val="Iauiue"/>
        <w:jc w:val="both"/>
        <w:rPr>
          <w:color w:val="000000" w:themeColor="text1"/>
          <w:sz w:val="16"/>
          <w:szCs w:val="16"/>
        </w:rPr>
      </w:pPr>
    </w:p>
    <w:p w14:paraId="07D1C4C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Як-7-37 был выпущен малой серией (22 самолета). Эти машины прошли войсковые испытания на Северном фронте в 42-м истребительном авиаполку 240-й истребительной авиадиви</w:t>
      </w:r>
      <w:r w:rsidRPr="001E2C69">
        <w:rPr>
          <w:rFonts w:ascii="Times New Roman" w:hAnsi="Times New Roman"/>
          <w:color w:val="000000" w:themeColor="text1"/>
          <w:sz w:val="16"/>
          <w:szCs w:val="16"/>
        </w:rPr>
        <w:softHyphen/>
        <w:t xml:space="preserve">зии и хорошо проявили себя в воздушных боях. На Як-7-37 было проведено 12 групповых боев при примерно равном соотношении </w:t>
      </w:r>
      <w:r w:rsidRPr="001E2C69">
        <w:rPr>
          <w:rFonts w:ascii="Times New Roman" w:hAnsi="Times New Roman"/>
          <w:color w:val="000000" w:themeColor="text1"/>
          <w:sz w:val="16"/>
          <w:szCs w:val="16"/>
        </w:rPr>
        <w:lastRenderedPageBreak/>
        <w:t>сил. Сбито 10 самолетов противника, из них: Ме-109 — 8, РМ-190 — 1, Не-129 — 1. Подбито два Ме-109. Свои потери: сбито четыре самолета, повреждено три (10695).</w:t>
      </w:r>
    </w:p>
    <w:p w14:paraId="15760E6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6D13940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выпустили малую серию из 22 Як-7-37 с М-105ПА без предкрылков и провели их войсковые испытания на Северном фронте в 42 иап 240 иад. Провели 12 групповых боев и сбили 10 (65,94).</w:t>
      </w:r>
    </w:p>
    <w:p w14:paraId="2321DD9B" w14:textId="77777777" w:rsidR="00AE7191" w:rsidRPr="001E2C69" w:rsidRDefault="00AE7191" w:rsidP="00722885">
      <w:pPr>
        <w:pStyle w:val="Iauiue"/>
        <w:jc w:val="both"/>
        <w:rPr>
          <w:color w:val="000000" w:themeColor="text1"/>
          <w:sz w:val="16"/>
          <w:szCs w:val="16"/>
        </w:rPr>
      </w:pPr>
    </w:p>
    <w:p w14:paraId="49A27345" w14:textId="77777777" w:rsidR="00894836" w:rsidRPr="008A2E5A" w:rsidRDefault="00894836" w:rsidP="008948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1942 на заводе № 153 начали выпустили опытную серию из 22 самолетов Як-7Т, вооруженных 37-мм мотор-пушкой.</w:t>
      </w:r>
    </w:p>
    <w:p w14:paraId="782CE745" w14:textId="77777777" w:rsidR="00894836" w:rsidRPr="008A2E5A" w:rsidRDefault="00894836" w:rsidP="008948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ОКБ А.С. Яковлева с момента эвакуации в Новосибирск и начала внедрения истребителей Як-7 на заводе №153 развернуло работу по улучшению конструкции самолета. Зимой 1941-1942 г. в металл и дерево воплотились проекты, начатые раз</w:t>
      </w:r>
      <w:r w:rsidRPr="008A2E5A">
        <w:rPr>
          <w:rFonts w:ascii="Times New Roman" w:hAnsi="Times New Roman"/>
          <w:color w:val="0070C0"/>
          <w:sz w:val="16"/>
          <w:szCs w:val="16"/>
        </w:rPr>
        <w:softHyphen/>
        <w:t>работкой в 1941 г: Як-7 с мотором М-82, улучшенный бо</w:t>
      </w:r>
      <w:r w:rsidRPr="008A2E5A">
        <w:rPr>
          <w:rFonts w:ascii="Times New Roman" w:hAnsi="Times New Roman"/>
          <w:color w:val="0070C0"/>
          <w:sz w:val="16"/>
          <w:szCs w:val="16"/>
        </w:rPr>
        <w:softHyphen/>
        <w:t>евой Як-7А, варианты с усиленным вооружением: Як-7Б (с пушкой ШВАК и двумя синхронными пулеметами кали</w:t>
      </w:r>
      <w:r w:rsidRPr="008A2E5A">
        <w:rPr>
          <w:rFonts w:ascii="Times New Roman" w:hAnsi="Times New Roman"/>
          <w:color w:val="0070C0"/>
          <w:sz w:val="16"/>
          <w:szCs w:val="16"/>
        </w:rPr>
        <w:softHyphen/>
        <w:t>бром 12,7 мм) и Як-7Т (с 37-мм пушкой и двумя синхрон</w:t>
      </w:r>
      <w:r w:rsidRPr="008A2E5A">
        <w:rPr>
          <w:rFonts w:ascii="Times New Roman" w:hAnsi="Times New Roman"/>
          <w:color w:val="0070C0"/>
          <w:sz w:val="16"/>
          <w:szCs w:val="16"/>
        </w:rPr>
        <w:softHyphen/>
        <w:t>ными пулеметами калибром 12,7-мм), невооруженный и с неубирающимся шасси Як-7В (23381).</w:t>
      </w:r>
    </w:p>
    <w:p w14:paraId="6DB12DA9" w14:textId="77777777" w:rsidR="00894836" w:rsidRPr="008A2E5A" w:rsidRDefault="00894836" w:rsidP="00894836">
      <w:pPr>
        <w:spacing w:after="0" w:line="240" w:lineRule="auto"/>
        <w:jc w:val="both"/>
        <w:rPr>
          <w:rFonts w:ascii="Times New Roman" w:hAnsi="Times New Roman"/>
          <w:color w:val="0070C0"/>
          <w:sz w:val="16"/>
          <w:szCs w:val="16"/>
        </w:rPr>
      </w:pPr>
    </w:p>
    <w:p w14:paraId="4131A64E" w14:textId="77777777" w:rsidR="00894836" w:rsidRPr="008A2E5A" w:rsidRDefault="00894836" w:rsidP="008948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1942 ситуацию с заделом, поставляемым с завода №153 на завод № 82 в агрегатах, удалось разрешить, и авиазавод №82 вышел на пик своего производства, собирая в сентябре до трех машин в сутки (а иногда, по свидетельству воен</w:t>
      </w:r>
      <w:r w:rsidRPr="008A2E5A">
        <w:rPr>
          <w:rFonts w:ascii="Times New Roman" w:hAnsi="Times New Roman"/>
          <w:color w:val="0070C0"/>
          <w:sz w:val="16"/>
          <w:szCs w:val="16"/>
        </w:rPr>
        <w:softHyphen/>
        <w:t>преда ВВС ВМФ, и до пяти). Планировалось, что в сентя</w:t>
      </w:r>
      <w:r w:rsidRPr="008A2E5A">
        <w:rPr>
          <w:rFonts w:ascii="Times New Roman" w:hAnsi="Times New Roman"/>
          <w:color w:val="0070C0"/>
          <w:sz w:val="16"/>
          <w:szCs w:val="16"/>
        </w:rPr>
        <w:softHyphen/>
        <w:t>бре, используя задел в 140 машин, передаваемых ком</w:t>
      </w:r>
      <w:r w:rsidRPr="008A2E5A">
        <w:rPr>
          <w:rFonts w:ascii="Times New Roman" w:hAnsi="Times New Roman"/>
          <w:color w:val="0070C0"/>
          <w:sz w:val="16"/>
          <w:szCs w:val="16"/>
        </w:rPr>
        <w:softHyphen/>
        <w:t>плектно в агрегатах с завода №153, завод в Тушине смо</w:t>
      </w:r>
      <w:r w:rsidRPr="008A2E5A">
        <w:rPr>
          <w:rFonts w:ascii="Times New Roman" w:hAnsi="Times New Roman"/>
          <w:color w:val="0070C0"/>
          <w:sz w:val="16"/>
          <w:szCs w:val="16"/>
        </w:rPr>
        <w:softHyphen/>
        <w:t>жет обеспечить, в том числе за счет собственного произ</w:t>
      </w:r>
      <w:r w:rsidRPr="008A2E5A">
        <w:rPr>
          <w:rFonts w:ascii="Times New Roman" w:hAnsi="Times New Roman"/>
          <w:color w:val="0070C0"/>
          <w:sz w:val="16"/>
          <w:szCs w:val="16"/>
        </w:rPr>
        <w:softHyphen/>
        <w:t>водства, авиавыпуск в шесть Як-7Б в сутки (постановле</w:t>
      </w:r>
      <w:r w:rsidRPr="008A2E5A">
        <w:rPr>
          <w:rFonts w:ascii="Times New Roman" w:hAnsi="Times New Roman"/>
          <w:color w:val="0070C0"/>
          <w:sz w:val="16"/>
          <w:szCs w:val="16"/>
        </w:rPr>
        <w:softHyphen/>
        <w:t>ния ГКО №2134сс от 3.08.42 г. и №2169сс от 11.08.42 г.). Однако, не обладая необходимыми производственными ресурсами (см.табл.6.), завод №82 оказался не в состо</w:t>
      </w:r>
      <w:r w:rsidRPr="008A2E5A">
        <w:rPr>
          <w:rFonts w:ascii="Times New Roman" w:hAnsi="Times New Roman"/>
          <w:color w:val="0070C0"/>
          <w:sz w:val="16"/>
          <w:szCs w:val="16"/>
        </w:rPr>
        <w:softHyphen/>
        <w:t>янии обеспечить запланированный результат. Более того, качество собранных из «чужих» агрегатов машин (в свя</w:t>
      </w:r>
      <w:r w:rsidRPr="008A2E5A">
        <w:rPr>
          <w:rFonts w:ascii="Times New Roman" w:hAnsi="Times New Roman"/>
          <w:color w:val="0070C0"/>
          <w:sz w:val="16"/>
          <w:szCs w:val="16"/>
        </w:rPr>
        <w:softHyphen/>
        <w:t>зи с низкой культурой и недостаточной оснащенностью производства) оказалось хуже, чем у выпускаемых «ро</w:t>
      </w:r>
      <w:r w:rsidRPr="008A2E5A">
        <w:rPr>
          <w:rFonts w:ascii="Times New Roman" w:hAnsi="Times New Roman"/>
          <w:color w:val="0070C0"/>
          <w:sz w:val="16"/>
          <w:szCs w:val="16"/>
        </w:rPr>
        <w:softHyphen/>
        <w:t>дительским» заводом №153. На первых самолетах Як-7Б сборки завода №82 в авиационных частях обнаружива</w:t>
      </w:r>
      <w:r w:rsidRPr="008A2E5A">
        <w:rPr>
          <w:rFonts w:ascii="Times New Roman" w:hAnsi="Times New Roman"/>
          <w:color w:val="0070C0"/>
          <w:sz w:val="16"/>
          <w:szCs w:val="16"/>
        </w:rPr>
        <w:softHyphen/>
        <w:t>ли немало производственных дефектов, а максимальные скорости этих машин, зафиксированные при контрольных испытаниях в НИИ ВВС КА, были существенно ниже, чем у Як-7Б Новосибирского авиазавода.</w:t>
      </w:r>
    </w:p>
    <w:p w14:paraId="28C5C632" w14:textId="77777777" w:rsidR="00894836" w:rsidRPr="008A2E5A" w:rsidRDefault="00894836" w:rsidP="008948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175 машин, прибывших в агрегатах или деталях с за</w:t>
      </w:r>
      <w:r w:rsidRPr="008A2E5A">
        <w:rPr>
          <w:rFonts w:ascii="Times New Roman" w:hAnsi="Times New Roman"/>
          <w:color w:val="0070C0"/>
          <w:sz w:val="16"/>
          <w:szCs w:val="16"/>
        </w:rPr>
        <w:softHyphen/>
        <w:t>вода №153, на заводе №82 получали свою собственную се</w:t>
      </w:r>
      <w:r w:rsidRPr="008A2E5A">
        <w:rPr>
          <w:rFonts w:ascii="Times New Roman" w:hAnsi="Times New Roman"/>
          <w:color w:val="0070C0"/>
          <w:sz w:val="16"/>
          <w:szCs w:val="16"/>
        </w:rPr>
        <w:softHyphen/>
        <w:t>рийную нумерацию. Например, №820105, где «82» - номер завода, «01» - номер серии, а «05» - номер самолета в се</w:t>
      </w:r>
      <w:r w:rsidRPr="008A2E5A">
        <w:rPr>
          <w:rFonts w:ascii="Times New Roman" w:hAnsi="Times New Roman"/>
          <w:color w:val="0070C0"/>
          <w:sz w:val="16"/>
          <w:szCs w:val="16"/>
        </w:rPr>
        <w:softHyphen/>
        <w:t>рии. Количество самолетов Як-7Б в первых двух сериях за</w:t>
      </w:r>
      <w:r w:rsidRPr="008A2E5A">
        <w:rPr>
          <w:rFonts w:ascii="Times New Roman" w:hAnsi="Times New Roman"/>
          <w:color w:val="0070C0"/>
          <w:sz w:val="16"/>
          <w:szCs w:val="16"/>
        </w:rPr>
        <w:softHyphen/>
        <w:t>вода №82 составляло по 10, с 3-й по 6-ю серию - 25, а с 7-й серии по конец выпуска - 50 машин (23381).</w:t>
      </w:r>
    </w:p>
    <w:p w14:paraId="4651270F" w14:textId="77777777" w:rsidR="00894836" w:rsidRPr="008A2E5A" w:rsidRDefault="00894836" w:rsidP="00894836">
      <w:pPr>
        <w:spacing w:after="0" w:line="240" w:lineRule="auto"/>
        <w:jc w:val="both"/>
        <w:rPr>
          <w:rFonts w:ascii="Times New Roman" w:hAnsi="Times New Roman"/>
          <w:color w:val="0070C0"/>
          <w:sz w:val="16"/>
          <w:szCs w:val="16"/>
        </w:rPr>
      </w:pPr>
    </w:p>
    <w:p w14:paraId="32543B73" w14:textId="77777777" w:rsidR="00894836" w:rsidRPr="008A2E5A" w:rsidRDefault="00894836" w:rsidP="008948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1942 года государственные испытания начал самолет с двигателем М-105ПФ и винтом ВИШ-61П, вооруженный 37-мм пушкой. Самолет оснастили рулями высоты и направления с аэродинамической балансировкой, что значительно уменьшило нагрузку на ручку управления и педали. Кроме того, самолет получил частично убирающееся хвостовое колесо и пять топливных баков. Под крыльями установили узлы для внешней подвески бомб. Самолет также был оснащен предкрылками. Кроме 37-мм пушки Ш-37 самолет нес пулемет БС с боекомплектом 140 выстрелов.</w:t>
      </w:r>
    </w:p>
    <w:p w14:paraId="64796BD0" w14:textId="77777777" w:rsidR="00894836" w:rsidRPr="008A2E5A" w:rsidRDefault="00894836" w:rsidP="008948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25 августа по 1 сентября 1942 года новый ЛаГГ-3 проходил государственные испытания, которые показали, что предкрылки и сбалансированные рули значительно упростили управление машиной, хотя поперечное управление по-прежнему требовало от пилота значительных физических усилий.</w:t>
      </w:r>
    </w:p>
    <w:p w14:paraId="2129FDE1" w14:textId="77777777" w:rsidR="00894836" w:rsidRPr="008A2E5A" w:rsidRDefault="00894836" w:rsidP="008948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Время полного разворота, несмотря на рост взлетной массы, не увеличился, несколько улучшилась поперечная устойчивость. Самолет без проблем пикировал под углом 60°, развивая при этом скорость до 650 км/ч. Оптимальный угол атаки составлял 30–40°. Стрельба из пушки не приводила к вибрации самолета и не оказывала отрицательного влияния на точность прицела. В итоговом рапорте сообщалось, что самолет можно использовать для борьбы с бронетехникой противника, защищенной броней толщиной до 40 мм, а также с открыто расположенной живой силой противника.</w:t>
      </w:r>
    </w:p>
    <w:p w14:paraId="62FD691E" w14:textId="77777777" w:rsidR="00894836" w:rsidRPr="008A2E5A" w:rsidRDefault="00894836" w:rsidP="008948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положительные отзывы, ЛаГГ-3 с 37-мм пушкой серийно не выпускался. Позднее на самолет в порядке эксперимента поставили 45-мм пушку, созданную на базе Ш-37. Когда появилась удачная пушка НС-37 калибра 37 мм конструкции Нудельмана и Суранова, ЛаГГ-3 с пушкой НС-37 прошел государственные испытания, но пушку приняли на вооружение лишь 30 декабря 1942 года. Завод № 21 построил 15 ЛаГГов-3, вооруженных пушкой НС-37. По сравнению с машинами, вооруженными пушкой Ш-37, эти истребители были легче. Поскольку завод № 21 в это время осваивал выпуск самолетов Ла-5, дальнейший выпуск ЛаГГов-3 с 37-мм пушкой перенесли в Тбилиси (23548).</w:t>
      </w:r>
    </w:p>
    <w:p w14:paraId="2EB68F92" w14:textId="77777777" w:rsidR="00894836" w:rsidRPr="008A2E5A" w:rsidRDefault="00894836" w:rsidP="00894836">
      <w:pPr>
        <w:spacing w:after="0" w:line="240" w:lineRule="auto"/>
        <w:jc w:val="both"/>
        <w:rPr>
          <w:rFonts w:ascii="Times New Roman" w:hAnsi="Times New Roman"/>
          <w:color w:val="0070C0"/>
          <w:sz w:val="16"/>
          <w:szCs w:val="16"/>
        </w:rPr>
      </w:pPr>
    </w:p>
    <w:p w14:paraId="79FDFC48" w14:textId="77777777" w:rsidR="008F0233" w:rsidRPr="008A2E5A" w:rsidRDefault="008F0233" w:rsidP="008F02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1942 года государственные испытания начал самолет с двигателем М-105ПФ и винтом ВИШ-61П, вооруженный 37-мм пушкой. Самолет оснастили рулями высоты и направления с аэродинамической балансировкой, что значительно уменьшило нагрузку на ручку управления и педали. Кроме того, самолет получил частично убирающееся хвостовое колесо и пять топливных баков. Под крыльями установили узлы для внешней подвески бомб. Самолет также был оснащен предкрылками. Кроме 37-мм пушки Ш-37 самолет нес пулемет БС с боекомплектом 140 выстрелов.</w:t>
      </w:r>
    </w:p>
    <w:p w14:paraId="1FC4498C" w14:textId="77777777" w:rsidR="008F0233" w:rsidRPr="008A2E5A" w:rsidRDefault="008F0233" w:rsidP="008F02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25 августа по 1 сентября 1942 года новый ЛаГГ-3 проходил государственные испытания, которые показали, что предкрылки и сбалансированные рули значительно упростили управление машиной, хотя поперечное управление по-прежнему требовало от пилота значительных физических усилий.</w:t>
      </w:r>
    </w:p>
    <w:p w14:paraId="48464F35" w14:textId="77777777" w:rsidR="008F0233" w:rsidRPr="008A2E5A" w:rsidRDefault="008F0233" w:rsidP="008F02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Время полного разворота, несмотря на рост взлетной массы, не увеличился, несколько улучшилась поперечная устойчивость. Самолет без проблем пикировал под углом 60°, развивая при этом скорость до 650 км/ч. Оптимальный угол атаки составлял 30–40°. Стрельба из пушки не приводила к вибрации самолета и не оказывала отрицательного влияния на точность прицела. В итоговом рапорте сообщалось, что самолет можно использовать для борьбы с бронетехникой противника, защищенной броней толщиной до 40 мм, а также с открыто расположенной живой силой противника.</w:t>
      </w:r>
    </w:p>
    <w:p w14:paraId="4C598BCE" w14:textId="77777777" w:rsidR="008F0233" w:rsidRPr="008A2E5A" w:rsidRDefault="008F0233" w:rsidP="008F02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положительные отзывы, ЛаГГ-3 с 37-мм пушкой серийно не выпускался. Позднее на самолет в порядке эксперимента поставили 45-мм пушку, созданную на базе Ш-37. Когда появилась удачная пушка НС-37 калибра 37 мм конструкции Нудельмана и Суранова, ЛаГГ-3 с пушкой НС-37 прошел государственные испытания, но пушку приняли на вооружение лишь 30 декабря 1942 года. Завод № 21 построил 15 ЛаГГов-3, вооруженных пушкой НС-37. По сравнению с машинами, вооруженными пушкой Ш-37, эти истребители были легче. Поскольку завод № 21 в это время осваивал выпуск самолетов Ла-5, дальнейший выпуск ЛаГГов-3 с 37-мм пушкой перенесли в Тбилиси (23548).</w:t>
      </w:r>
    </w:p>
    <w:p w14:paraId="225538BA" w14:textId="77777777" w:rsidR="008F0233" w:rsidRPr="008A2E5A" w:rsidRDefault="008F0233" w:rsidP="008F0233">
      <w:pPr>
        <w:spacing w:after="0" w:line="240" w:lineRule="auto"/>
        <w:jc w:val="both"/>
        <w:rPr>
          <w:rFonts w:ascii="Times New Roman" w:hAnsi="Times New Roman"/>
          <w:color w:val="0070C0"/>
          <w:sz w:val="16"/>
          <w:szCs w:val="16"/>
        </w:rPr>
      </w:pPr>
    </w:p>
    <w:p w14:paraId="653F44DE" w14:textId="77777777" w:rsidR="007D7196" w:rsidRPr="001E2C69" w:rsidRDefault="007D7196"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 ав</w:t>
      </w:r>
      <w:r w:rsidRPr="001E2C69">
        <w:rPr>
          <w:rFonts w:ascii="Times New Roman" w:cs="Times New Roman"/>
          <w:color w:val="000000" w:themeColor="text1"/>
          <w:spacing w:val="0"/>
        </w:rPr>
        <w:softHyphen/>
        <w:t>густе 1942, согласно отчету ЛИИ НКАП, начались работы по доводке ТИС по пе</w:t>
      </w:r>
      <w:r w:rsidRPr="001E2C69">
        <w:rPr>
          <w:rFonts w:ascii="Times New Roman" w:cs="Times New Roman"/>
          <w:color w:val="000000" w:themeColor="text1"/>
          <w:spacing w:val="0"/>
        </w:rPr>
        <w:softHyphen/>
        <w:t>речню недостатков и дефектов.</w:t>
      </w:r>
    </w:p>
    <w:p w14:paraId="4741F661" w14:textId="77777777" w:rsidR="007D7196" w:rsidRPr="001E2C69" w:rsidRDefault="007D7196"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Для улучшения устойчивости на са</w:t>
      </w:r>
      <w:r w:rsidRPr="001E2C69">
        <w:rPr>
          <w:rFonts w:ascii="Times New Roman" w:cs="Times New Roman"/>
          <w:color w:val="000000" w:themeColor="text1"/>
          <w:spacing w:val="0"/>
        </w:rPr>
        <w:softHyphen/>
        <w:t>молет были установлены новое верти</w:t>
      </w:r>
      <w:r w:rsidRPr="001E2C69">
        <w:rPr>
          <w:rFonts w:ascii="Times New Roman" w:cs="Times New Roman"/>
          <w:color w:val="000000" w:themeColor="text1"/>
          <w:spacing w:val="0"/>
        </w:rPr>
        <w:softHyphen/>
        <w:t xml:space="preserve">кальное и горизонтальное оперение с увеличенной площадью и уменьшено (с </w:t>
      </w:r>
      <w:r w:rsidRPr="001E2C69">
        <w:rPr>
          <w:rStyle w:val="0pt2"/>
          <w:rFonts w:ascii="Times New Roman" w:hAnsi="Times New Roman" w:cs="Times New Roman"/>
          <w:i w:val="0"/>
          <w:color w:val="000000" w:themeColor="text1"/>
          <w:spacing w:val="0"/>
          <w:sz w:val="16"/>
          <w:szCs w:val="16"/>
        </w:rPr>
        <w:t>Т</w:t>
      </w:r>
      <w:r w:rsidRPr="001E2C69">
        <w:rPr>
          <w:rFonts w:ascii="Times New Roman" w:cs="Times New Roman"/>
          <w:color w:val="000000" w:themeColor="text1"/>
          <w:spacing w:val="0"/>
        </w:rPr>
        <w:t xml:space="preserve"> до 4°) поперечное «V» консолей крыла. Изменили угол установки стабилизато</w:t>
      </w:r>
      <w:r w:rsidRPr="001E2C69">
        <w:rPr>
          <w:rFonts w:ascii="Times New Roman" w:cs="Times New Roman"/>
          <w:color w:val="000000" w:themeColor="text1"/>
          <w:spacing w:val="0"/>
        </w:rPr>
        <w:softHyphen/>
        <w:t>ра с 0" до – 1,30', что увеличило запас ру</w:t>
      </w:r>
      <w:r w:rsidRPr="001E2C69">
        <w:rPr>
          <w:rFonts w:ascii="Times New Roman" w:cs="Times New Roman"/>
          <w:color w:val="000000" w:themeColor="text1"/>
          <w:spacing w:val="0"/>
        </w:rPr>
        <w:softHyphen/>
        <w:t>лей на посадке. Переделали механизм управления створками шасси, улучши</w:t>
      </w:r>
      <w:r w:rsidRPr="001E2C69">
        <w:rPr>
          <w:rFonts w:ascii="Times New Roman" w:cs="Times New Roman"/>
          <w:color w:val="000000" w:themeColor="text1"/>
          <w:spacing w:val="0"/>
        </w:rPr>
        <w:softHyphen/>
        <w:t>ли обводы фонаря стрелка-радиста, из</w:t>
      </w:r>
      <w:r w:rsidRPr="001E2C69">
        <w:rPr>
          <w:rFonts w:ascii="Times New Roman" w:cs="Times New Roman"/>
          <w:color w:val="000000" w:themeColor="text1"/>
          <w:spacing w:val="0"/>
        </w:rPr>
        <w:softHyphen/>
        <w:t>менили форму тоннелей маслорадиаторов. Были выполнены и другие менее значительные доработки самолета (15755).</w:t>
      </w:r>
    </w:p>
    <w:p w14:paraId="4895B922" w14:textId="77777777" w:rsidR="007D7196" w:rsidRPr="001E2C69" w:rsidRDefault="007D7196" w:rsidP="00722885">
      <w:pPr>
        <w:spacing w:after="0" w:line="240" w:lineRule="auto"/>
        <w:jc w:val="both"/>
        <w:rPr>
          <w:rFonts w:ascii="Times New Roman" w:hAnsi="Times New Roman"/>
          <w:color w:val="000000" w:themeColor="text1"/>
          <w:sz w:val="16"/>
          <w:szCs w:val="16"/>
        </w:rPr>
      </w:pPr>
    </w:p>
    <w:p w14:paraId="75D46B7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В.Я.Климов совместно с НКАП собирал конференцию по качеству М-105 (173,221).</w:t>
      </w:r>
    </w:p>
    <w:p w14:paraId="712CCEE9" w14:textId="77777777" w:rsidR="00AE7191" w:rsidRPr="001E2C69" w:rsidRDefault="00AE7191" w:rsidP="00722885">
      <w:pPr>
        <w:pStyle w:val="Iauiue"/>
        <w:jc w:val="both"/>
        <w:rPr>
          <w:color w:val="000000" w:themeColor="text1"/>
          <w:sz w:val="16"/>
          <w:szCs w:val="16"/>
        </w:rPr>
      </w:pPr>
    </w:p>
    <w:p w14:paraId="5F0AB083"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До августа 1942 года, когда был освоен выпуск более мощных двигателей ВК-105 ПФ, которые изготовлялись в течение всего периода ВОВ, заводом № 466 в Горьком выпускались двигатели ВК-105 РА.</w:t>
      </w:r>
    </w:p>
    <w:p w14:paraId="3F301927" w14:textId="77777777" w:rsidR="008F0233" w:rsidRPr="008A2E5A" w:rsidRDefault="008F0233" w:rsidP="008F02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1942 года испытания ускорителя ВРД-1 Бондарюка на серийном ЛаГГе-3 с двигателем М-105ПФ (ускоритель ВРД-1 имел длину 2,15 м, диаметр спереди 0,14 м, массу 16 кг) проводил летчик-испытатель Г. А. Мищенко. Опыты показали, что ускоритель позволяет прибавить к максимальной скорости самолета 15 км/ч. В то же время двигатель ухудшал аэродинамические качества самолёта, снижая скорость самолета на 35–40 км/ч. Впрочем, подвеска ускорителя делалась довольно грубо, теоретически существовала возможность облагородить аэродинамику самолета. Но этого делать не стали, так как ускоритель не мог обеспечить стабильное горение топлива, также пуск ускорителя был очень затруднен на значительных высотах (23548).</w:t>
      </w:r>
    </w:p>
    <w:p w14:paraId="3341B6AC" w14:textId="77777777" w:rsidR="008F0233" w:rsidRPr="008A2E5A" w:rsidRDefault="008F0233" w:rsidP="008F0233">
      <w:pPr>
        <w:spacing w:after="0" w:line="240" w:lineRule="auto"/>
        <w:jc w:val="both"/>
        <w:rPr>
          <w:rFonts w:ascii="Times New Roman" w:hAnsi="Times New Roman"/>
          <w:color w:val="0070C0"/>
          <w:sz w:val="16"/>
          <w:szCs w:val="16"/>
        </w:rPr>
      </w:pPr>
    </w:p>
    <w:p w14:paraId="7B09C597" w14:textId="77777777" w:rsidR="008F0233" w:rsidRPr="008A2E5A" w:rsidRDefault="008F0233" w:rsidP="008F02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1942 г. ПВРД ДМ-4с успеш</w:t>
      </w:r>
      <w:r w:rsidRPr="008A2E5A">
        <w:rPr>
          <w:rFonts w:ascii="Times New Roman" w:hAnsi="Times New Roman"/>
          <w:color w:val="0070C0"/>
          <w:sz w:val="16"/>
          <w:szCs w:val="16"/>
        </w:rPr>
        <w:softHyphen/>
        <w:t>но прошли наземные испытания в трубе АТ-2 при скоро</w:t>
      </w:r>
      <w:r w:rsidRPr="008A2E5A">
        <w:rPr>
          <w:rFonts w:ascii="Times New Roman" w:hAnsi="Times New Roman"/>
          <w:color w:val="0070C0"/>
          <w:sz w:val="16"/>
          <w:szCs w:val="16"/>
        </w:rPr>
        <w:softHyphen/>
        <w:t>стях воздушного потока до 180 км/ч.</w:t>
      </w:r>
    </w:p>
    <w:p w14:paraId="40EE1B48" w14:textId="77777777" w:rsidR="008F0233" w:rsidRPr="008A2E5A" w:rsidRDefault="008F0233" w:rsidP="008F02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Исходя из результатов наземных испытаний под новую двигательную установку в ОКБ создали проект истреби</w:t>
      </w:r>
      <w:r w:rsidRPr="008A2E5A">
        <w:rPr>
          <w:rFonts w:ascii="Times New Roman" w:hAnsi="Times New Roman"/>
          <w:color w:val="0070C0"/>
          <w:sz w:val="16"/>
          <w:szCs w:val="16"/>
        </w:rPr>
        <w:softHyphen/>
        <w:t>теля-перехватчика Як-7Р, общую компоновку которого Л.М. Шехтер завершил 25 августа 1942 г. На этой маши</w:t>
      </w:r>
      <w:r w:rsidRPr="008A2E5A">
        <w:rPr>
          <w:rFonts w:ascii="Times New Roman" w:hAnsi="Times New Roman"/>
          <w:color w:val="0070C0"/>
          <w:sz w:val="16"/>
          <w:szCs w:val="16"/>
        </w:rPr>
        <w:softHyphen/>
        <w:t>не планировалось установить комбинированную силовую установку, состоящую из жидкостного реактивного двига</w:t>
      </w:r>
      <w:r w:rsidRPr="008A2E5A">
        <w:rPr>
          <w:rFonts w:ascii="Times New Roman" w:hAnsi="Times New Roman"/>
          <w:color w:val="0070C0"/>
          <w:sz w:val="16"/>
          <w:szCs w:val="16"/>
        </w:rPr>
        <w:softHyphen/>
        <w:t>теля (ЖРД) Д-1АЛ.С. Душкина с тягой 1100 кг и двух ПВРД ДМ-4с. По замыслу конструкторов ЖРД, время работы ко</w:t>
      </w:r>
      <w:r w:rsidRPr="008A2E5A">
        <w:rPr>
          <w:rFonts w:ascii="Times New Roman" w:hAnsi="Times New Roman"/>
          <w:color w:val="0070C0"/>
          <w:sz w:val="16"/>
          <w:szCs w:val="16"/>
        </w:rPr>
        <w:softHyphen/>
        <w:t>торого составляло до 200 с, должен был использоваться на этапах взлета, набора высоты и разгона (догона), а на маршевых режимах - ПВРД. Двойная силовая установка позволяла реактивному истребителю находиться в возду</w:t>
      </w:r>
      <w:r w:rsidRPr="008A2E5A">
        <w:rPr>
          <w:rFonts w:ascii="Times New Roman" w:hAnsi="Times New Roman"/>
          <w:color w:val="0070C0"/>
          <w:sz w:val="16"/>
          <w:szCs w:val="16"/>
        </w:rPr>
        <w:softHyphen/>
        <w:t>хе 25 минут и решать задачи перехвата воздушных целей в течение 10-15 минут (ограниченных запасом горюче</w:t>
      </w:r>
      <w:r w:rsidRPr="008A2E5A">
        <w:rPr>
          <w:rFonts w:ascii="Times New Roman" w:hAnsi="Times New Roman"/>
          <w:color w:val="0070C0"/>
          <w:sz w:val="16"/>
          <w:szCs w:val="16"/>
        </w:rPr>
        <w:softHyphen/>
        <w:t>го на самолете). Это было существенным шагом вперед по сравнению с реактивным ближним истребителем БИ-1 конструкции ОКБ №293, время полета которого составля</w:t>
      </w:r>
      <w:r w:rsidRPr="008A2E5A">
        <w:rPr>
          <w:rFonts w:ascii="Times New Roman" w:hAnsi="Times New Roman"/>
          <w:color w:val="0070C0"/>
          <w:sz w:val="16"/>
          <w:szCs w:val="16"/>
        </w:rPr>
        <w:softHyphen/>
        <w:t>ло всего семь минут.</w:t>
      </w:r>
    </w:p>
    <w:p w14:paraId="09996284" w14:textId="77777777" w:rsidR="008F0233" w:rsidRPr="008A2E5A" w:rsidRDefault="008F0233" w:rsidP="008F02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связи с отказом от поршневого мотора на его месте поместили кабину пилота с органами управления, при</w:t>
      </w:r>
      <w:r w:rsidRPr="008A2E5A">
        <w:rPr>
          <w:rFonts w:ascii="Times New Roman" w:hAnsi="Times New Roman"/>
          <w:color w:val="0070C0"/>
          <w:sz w:val="16"/>
          <w:szCs w:val="16"/>
        </w:rPr>
        <w:softHyphen/>
        <w:t>борами, оборудованием и вооружением, состоявшим из двух пулеметов БС с боекомплектом по 200 патронов на ствол. Центральную часть фюзеляжа отдали под баки с компонентами топлива ЖРД. Питание ПВРД осуществ</w:t>
      </w:r>
      <w:r w:rsidRPr="008A2E5A">
        <w:rPr>
          <w:rFonts w:ascii="Times New Roman" w:hAnsi="Times New Roman"/>
          <w:color w:val="0070C0"/>
          <w:sz w:val="16"/>
          <w:szCs w:val="16"/>
        </w:rPr>
        <w:softHyphen/>
        <w:t>лялось из крыльевых бензобаков. Полетный вес машины оценивался в 2910 кг, в том числе 1200 кг горючего. Высо</w:t>
      </w:r>
      <w:r w:rsidRPr="008A2E5A">
        <w:rPr>
          <w:rFonts w:ascii="Times New Roman" w:hAnsi="Times New Roman"/>
          <w:color w:val="0070C0"/>
          <w:sz w:val="16"/>
          <w:szCs w:val="16"/>
        </w:rPr>
        <w:softHyphen/>
        <w:t>ту 8000 м машина должна была набрать за 70-80 секунд, а максимальная скорость ожидалась равной 800 км/ч. Поскольку в конструкции Як-7Р максимально использо</w:t>
      </w:r>
      <w:r w:rsidRPr="008A2E5A">
        <w:rPr>
          <w:rFonts w:ascii="Times New Roman" w:hAnsi="Times New Roman"/>
          <w:color w:val="0070C0"/>
          <w:sz w:val="16"/>
          <w:szCs w:val="16"/>
        </w:rPr>
        <w:softHyphen/>
        <w:t>вали планер и агрегаты серийного истребителя Як-7Б, то при наличии реактивных двигателей выпуск таких машин можно было организовать в кратчайший срок. Отсутствие отработанных реактивных двигателей не позволило реа</w:t>
      </w:r>
      <w:r w:rsidRPr="008A2E5A">
        <w:rPr>
          <w:rFonts w:ascii="Times New Roman" w:hAnsi="Times New Roman"/>
          <w:color w:val="0070C0"/>
          <w:sz w:val="16"/>
          <w:szCs w:val="16"/>
        </w:rPr>
        <w:softHyphen/>
        <w:t>лизовать проект (23381).</w:t>
      </w:r>
    </w:p>
    <w:p w14:paraId="5C650EC2" w14:textId="77777777" w:rsidR="008F0233" w:rsidRPr="008A2E5A" w:rsidRDefault="008F0233" w:rsidP="008F0233">
      <w:pPr>
        <w:spacing w:after="0" w:line="240" w:lineRule="auto"/>
        <w:jc w:val="both"/>
        <w:rPr>
          <w:rFonts w:ascii="Times New Roman" w:hAnsi="Times New Roman"/>
          <w:color w:val="0070C0"/>
          <w:sz w:val="16"/>
          <w:szCs w:val="16"/>
        </w:rPr>
      </w:pPr>
    </w:p>
    <w:p w14:paraId="382272C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До конца 1941 года директором завода был Завитаев А.А., с конца 1941 года по августа 1942 года – Петров А.П., с августа 1942 года – И.Н. Лукин.</w:t>
      </w:r>
    </w:p>
    <w:p w14:paraId="1C99DFF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сентября 1945 года по решению Правительства завод был перебазирован в Ленинград на площади бывш. завода № 274.</w:t>
      </w:r>
    </w:p>
    <w:p w14:paraId="5631A58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1947 году решением Правиетельства из состава завода был выделен опытный завод № 117, созданный на базе производственных корпусов и ОКБ на площадке по Флюгову (Кантемировскому) переулку.</w:t>
      </w:r>
    </w:p>
    <w:p w14:paraId="49A7F89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Адрес: Ленинград 100, п/я 476</w:t>
      </w:r>
    </w:p>
    <w:p w14:paraId="4BF9B7A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июля 1950 года – директор Кондратов С.Г.</w:t>
      </w:r>
    </w:p>
    <w:p w14:paraId="4607CEA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февраля 1956 года – директор Тарасов В.И. (9618).</w:t>
      </w:r>
    </w:p>
    <w:p w14:paraId="34907520" w14:textId="77777777" w:rsidR="00AE7191" w:rsidRPr="001E2C69" w:rsidRDefault="00AE7191" w:rsidP="00722885">
      <w:pPr>
        <w:pStyle w:val="Iauiue"/>
        <w:jc w:val="both"/>
        <w:rPr>
          <w:color w:val="000000" w:themeColor="text1"/>
          <w:sz w:val="16"/>
          <w:szCs w:val="16"/>
        </w:rPr>
      </w:pPr>
    </w:p>
    <w:p w14:paraId="24EA21E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года окончательно рухнула надежда на окончание доводки более мощного мотора М-107. Конст</w:t>
      </w:r>
      <w:r w:rsidRPr="001E2C69">
        <w:rPr>
          <w:rFonts w:ascii="Times New Roman" w:hAnsi="Times New Roman"/>
          <w:color w:val="000000" w:themeColor="text1"/>
          <w:sz w:val="16"/>
          <w:szCs w:val="16"/>
        </w:rPr>
        <w:softHyphen/>
        <w:t>руктору В.Я. Климову не поздорови</w:t>
      </w:r>
      <w:r w:rsidRPr="001E2C69">
        <w:rPr>
          <w:rFonts w:ascii="Times New Roman" w:hAnsi="Times New Roman"/>
          <w:color w:val="000000" w:themeColor="text1"/>
          <w:sz w:val="16"/>
          <w:szCs w:val="16"/>
        </w:rPr>
        <w:softHyphen/>
        <w:t>лось бы, но спасло его то, что он по</w:t>
      </w:r>
      <w:r w:rsidRPr="001E2C69">
        <w:rPr>
          <w:rFonts w:ascii="Times New Roman" w:hAnsi="Times New Roman"/>
          <w:color w:val="000000" w:themeColor="text1"/>
          <w:sz w:val="16"/>
          <w:szCs w:val="16"/>
        </w:rPr>
        <w:softHyphen/>
        <w:t>обещал Сталину быстро создать но</w:t>
      </w:r>
      <w:r w:rsidRPr="001E2C69">
        <w:rPr>
          <w:rFonts w:ascii="Times New Roman" w:hAnsi="Times New Roman"/>
          <w:color w:val="000000" w:themeColor="text1"/>
          <w:sz w:val="16"/>
          <w:szCs w:val="16"/>
        </w:rPr>
        <w:softHyphen/>
        <w:t>вый, еще более мощный мотор, полу</w:t>
      </w:r>
      <w:r w:rsidRPr="001E2C69">
        <w:rPr>
          <w:rFonts w:ascii="Times New Roman" w:hAnsi="Times New Roman"/>
          <w:color w:val="000000" w:themeColor="text1"/>
          <w:sz w:val="16"/>
          <w:szCs w:val="16"/>
        </w:rPr>
        <w:softHyphen/>
        <w:t>чивший обозначение М-107А. Теперь надежды на повышение летных дан</w:t>
      </w:r>
      <w:r w:rsidRPr="001E2C69">
        <w:rPr>
          <w:rFonts w:ascii="Times New Roman" w:hAnsi="Times New Roman"/>
          <w:color w:val="000000" w:themeColor="text1"/>
          <w:sz w:val="16"/>
          <w:szCs w:val="16"/>
        </w:rPr>
        <w:softHyphen/>
        <w:t>ных самых многочисленных в ВВС КА истребителей Як всецело зависели от успеха создания этого мотора. Но пос</w:t>
      </w:r>
      <w:r w:rsidRPr="001E2C69">
        <w:rPr>
          <w:rFonts w:ascii="Times New Roman" w:hAnsi="Times New Roman"/>
          <w:color w:val="000000" w:themeColor="text1"/>
          <w:sz w:val="16"/>
          <w:szCs w:val="16"/>
        </w:rPr>
        <w:softHyphen/>
        <w:t>ле неудачи с М-107 у руководства НКАП и ВВС на этот счет имелись очевидные опасения (10705).</w:t>
      </w:r>
    </w:p>
    <w:p w14:paraId="45231CC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6F145FF9" w14:textId="77777777" w:rsidR="00712B02" w:rsidRPr="001E2C69" w:rsidRDefault="00712B0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августе 1942 г. зам наркома Яковлев, хотя "эталонный" И-185 все еще содержал много дефектов предложил провести его войсковые испытания в самое ближайшее время. И его предложение Наркоматом авиапромышленности и командованием ВВС было принято (17737).</w:t>
      </w:r>
    </w:p>
    <w:p w14:paraId="7BB2D78D" w14:textId="77777777" w:rsidR="00712B02" w:rsidRPr="001E2C69" w:rsidRDefault="00712B02" w:rsidP="00722885">
      <w:pPr>
        <w:spacing w:after="0" w:line="240" w:lineRule="auto"/>
        <w:jc w:val="both"/>
        <w:rPr>
          <w:rFonts w:ascii="Times New Roman" w:eastAsia="Times New Roman" w:hAnsi="Times New Roman"/>
          <w:color w:val="000000" w:themeColor="text1"/>
          <w:sz w:val="16"/>
          <w:szCs w:val="16"/>
          <w:lang w:eastAsia="ru-RU"/>
        </w:rPr>
      </w:pPr>
    </w:p>
    <w:p w14:paraId="4F0F6279" w14:textId="77777777" w:rsidR="008F0233" w:rsidRPr="001E2C69" w:rsidRDefault="008F0233" w:rsidP="008F0233">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Г. М. Бериев направил в НКАП пояснительную записку к эскизному проекту морского разведчика открытого моря, в котором были заложены идеи, воплощенные позже в летающих лодках Бе-6 и Бе-12. Предложение одобрил нарком ВМФ, затем вышел соответствующий приказ НКАП. В 1943 г. КБ находилось в эвакуации в Красноярске, никаких лабораторий на месте не было, связь с гидродинамиками ЦАГИ осложнилась, но эскизный проект самолета ЛЛ-143 все же удалось закончить к концу года, в апреле 1944 г. началось строительство опытного экземпляра. В том же году начались исследования в ЦАГИ. В процессе работ было выявлено влияние горизонтальной скорости, угла дифферента, нагрузки и формы профиля на перегрузке при ударе профиля днища гидросамолета о воду, выведена эмпирическая формула расчета перегрузок плоскокилеватого профиля при падении на воду под некоторым углом дифферента с горизонтальной и вертикальной скоростью. Для самолета ЛЛ-143 ЦАГИ разработал обводы лодки, имеющие гидродинамическое качество 5.42 на критической скорости при поперечной килеватости 30°, что значительно уменьшало удар о воду при посадке. Обводы ЛЛ-143 также обеспечивали незаливаемость водой винтов, оперения и стрелковых установок. 15 августа 1945 г. начались заводские испытания самолета (19727).</w:t>
      </w:r>
    </w:p>
    <w:p w14:paraId="1C419C78" w14:textId="77777777" w:rsidR="008F0233" w:rsidRPr="001E2C69" w:rsidRDefault="008F0233" w:rsidP="008F0233">
      <w:pPr>
        <w:spacing w:after="0" w:line="240" w:lineRule="auto"/>
        <w:jc w:val="both"/>
        <w:rPr>
          <w:rFonts w:ascii="Times New Roman" w:hAnsi="Times New Roman"/>
          <w:color w:val="000000" w:themeColor="text1"/>
          <w:sz w:val="16"/>
          <w:szCs w:val="16"/>
        </w:rPr>
      </w:pPr>
    </w:p>
    <w:p w14:paraId="1C1C5946" w14:textId="77777777" w:rsidR="008F0233" w:rsidRPr="008A2E5A" w:rsidRDefault="008F0233" w:rsidP="008F02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1942 г. Г.М. Бериев направил в Наркомат авиационной промышленности пояснительную записку к «Эскизному проекту морского разведчика открытого моря МДР-10». Это был проект тяжелой (массой до 22 000 кг) двухмоторной летающей лодки с крылом типа «чайка», двухкилевым оперением, большой дальностью полета и мощным вооружением.</w:t>
      </w:r>
    </w:p>
    <w:p w14:paraId="06999652" w14:textId="77777777" w:rsidR="008F0233" w:rsidRPr="008A2E5A" w:rsidRDefault="008F0233" w:rsidP="008F02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Предлагалось несколько вариантов самолета: дальний морской разведчик, фоторазведчик — аэрофотосъемщик, десантный самолет, амфибия со съемными шасси. Время для страны и для КБ было тяжелым, немцы рвались к Волге, а ОКБ после эвакуации из Таганрога в Омск налаживало практически на пустом месте свою работу и параллельно сдавало флоту гидросамолеты КОР-2.</w:t>
      </w:r>
    </w:p>
    <w:p w14:paraId="4D286AA1" w14:textId="77777777" w:rsidR="008F0233" w:rsidRPr="008A2E5A" w:rsidRDefault="008F0233" w:rsidP="008F02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хватало ни времени, ни сил. Но и военным в ту пору было не до опытных самолетов. Проект так и остался на бумаге, но он интересен для истории тем, что именно в нем были заложены основные идеи, воплощенные позже в летающих лодках ЛЯ-143, Бе-6 и амфибии Бе-12.</w:t>
      </w:r>
    </w:p>
    <w:p w14:paraId="228F8E16" w14:textId="77777777" w:rsidR="008F0233" w:rsidRPr="008A2E5A" w:rsidRDefault="008F0233" w:rsidP="008F023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переработанному проекту МДР-10 Г.М. Бериев вернулся в конце 1942 г. Опыт войны однозначно свидетельствовал, что авиации флота крайне нужны тяжелые гидросамолеты. Потребность восполнялась поставками по ленд-лизу американских самолетов семейства PBY, названных в британском флоте, а затем и в США «Каталинами» и под таким именем вошедшими в историю авиации (23541).</w:t>
      </w:r>
    </w:p>
    <w:p w14:paraId="784AB589" w14:textId="77777777" w:rsidR="008F0233" w:rsidRPr="008A2E5A" w:rsidRDefault="008F0233" w:rsidP="008F0233">
      <w:pPr>
        <w:spacing w:after="0" w:line="240" w:lineRule="auto"/>
        <w:jc w:val="both"/>
        <w:rPr>
          <w:rFonts w:ascii="Times New Roman" w:hAnsi="Times New Roman"/>
          <w:color w:val="0070C0"/>
          <w:sz w:val="16"/>
          <w:szCs w:val="16"/>
        </w:rPr>
      </w:pPr>
    </w:p>
    <w:p w14:paraId="1704456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Г.М.Б. разработал лл МДР-10 и направил его эскизный проект в НКАП (2555,223).</w:t>
      </w:r>
    </w:p>
    <w:p w14:paraId="19E7E3D4" w14:textId="77777777" w:rsidR="00AE7191" w:rsidRPr="001E2C69" w:rsidRDefault="00AE7191" w:rsidP="00722885">
      <w:pPr>
        <w:pStyle w:val="Iauiue"/>
        <w:jc w:val="both"/>
        <w:rPr>
          <w:color w:val="000000" w:themeColor="text1"/>
          <w:sz w:val="16"/>
          <w:szCs w:val="16"/>
        </w:rPr>
      </w:pPr>
    </w:p>
    <w:p w14:paraId="701BFA3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в КБ Г.М.Б. сделали эскизный проект МДР-10 - будущего ЛЛ-143 (1049,131).</w:t>
      </w:r>
    </w:p>
    <w:p w14:paraId="7C5A93F3" w14:textId="77777777" w:rsidR="00AE7191" w:rsidRPr="001E2C69" w:rsidRDefault="00AE7191" w:rsidP="00722885">
      <w:pPr>
        <w:pStyle w:val="Iauiue"/>
        <w:jc w:val="both"/>
        <w:rPr>
          <w:color w:val="000000" w:themeColor="text1"/>
          <w:sz w:val="16"/>
          <w:szCs w:val="16"/>
        </w:rPr>
      </w:pPr>
    </w:p>
    <w:p w14:paraId="39EAC33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прошел совместные испытания М-90 (2080 нр) и на его базе хотели сделать трехрядный М-95 на 3300 нр. Тем не менее гос. испытания прекратили, когда мотор уже несколько раз отрабатывал по 100 час. На этом закончилась линия М-85 и М-88 (2495,37).</w:t>
      </w:r>
    </w:p>
    <w:p w14:paraId="7E510600" w14:textId="77777777" w:rsidR="00AE7191" w:rsidRPr="001E2C69" w:rsidRDefault="00AE7191" w:rsidP="00722885">
      <w:pPr>
        <w:pStyle w:val="Iauiue"/>
        <w:jc w:val="both"/>
        <w:rPr>
          <w:color w:val="000000" w:themeColor="text1"/>
          <w:sz w:val="16"/>
          <w:szCs w:val="16"/>
        </w:rPr>
      </w:pPr>
    </w:p>
    <w:p w14:paraId="05601E19" w14:textId="77777777" w:rsidR="00AE7191" w:rsidRPr="001E2C69" w:rsidRDefault="00AE7191" w:rsidP="00722885">
      <w:pPr>
        <w:pStyle w:val="afff5"/>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В августе 1942 г. на самолете Су-4 были проведены летные испытания мотора М-90. Однако, из-за трудностей, обусловленных военным временем, работы по доводке М-90 были прекращены, а мотор М-89 был выпущен малой партией в количестве немногим более 100 шт. В условиях войны основной задачей конструкторов завода стало обеспечение бесперебойного производства моторов М-88Б (для бомбардировщиков Ил-4 и торпедоносцев Ил-4Т), а также высокой надежности их эксплуатации. Поэтому существенно возросла роль серийного конструкторского бюро и в связи с этим А.Г. Ивченко, сменивший в 1942 г. на должности начальника СКБ погибшего в авиакатастрофе Г.П. Водолажского, был назначен также заместителем главного конструктора по серийному производству (11478).</w:t>
      </w:r>
    </w:p>
    <w:p w14:paraId="536F4E5E" w14:textId="77777777" w:rsidR="00AE7191" w:rsidRPr="001E2C69" w:rsidRDefault="00AE7191" w:rsidP="00722885">
      <w:pPr>
        <w:pStyle w:val="afff5"/>
        <w:jc w:val="both"/>
        <w:rPr>
          <w:i w:val="0"/>
          <w:iCs w:val="0"/>
          <w:color w:val="000000" w:themeColor="text1"/>
          <w:spacing w:val="0"/>
          <w:kern w:val="0"/>
          <w:position w:val="0"/>
          <w:sz w:val="16"/>
          <w:szCs w:val="16"/>
        </w:rPr>
      </w:pPr>
    </w:p>
    <w:p w14:paraId="70321030" w14:textId="582CC57B" w:rsidR="006D74F7" w:rsidRPr="001E2C69" w:rsidRDefault="006D74F7"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состоялись государственные испытания ТС-1. Ведущим летчиком-испытателем на них был</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А. К. Долгов. Завершились они в целом успешно. Ему было присвоено официальное название</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Ще-2. Самолет после некоторых доработок был запущен в серийное производство на</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заводе № 47</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в городе Чкалов (Оренбург). Ранее там выпускался другой легкий транспортник</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Як-6.</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После прекращения его производства, завод был без особых трудностей перепрофилирован на выпуск нового самолета.</w:t>
      </w:r>
    </w:p>
    <w:p w14:paraId="4BA3F50D" w14:textId="77777777" w:rsidR="006D74F7" w:rsidRPr="001E2C69" w:rsidRDefault="006D74F7" w:rsidP="00722885">
      <w:pPr>
        <w:pStyle w:val="article-renderblock"/>
        <w:shd w:val="clear" w:color="auto" w:fill="FFFFFF"/>
        <w:spacing w:before="0" w:beforeAutospacing="0" w:after="0" w:afterAutospacing="0"/>
        <w:jc w:val="both"/>
        <w:rPr>
          <w:color w:val="000000" w:themeColor="text1"/>
          <w:sz w:val="16"/>
          <w:szCs w:val="16"/>
        </w:rPr>
      </w:pPr>
      <w:r w:rsidRPr="001E2C69">
        <w:rPr>
          <w:color w:val="000000" w:themeColor="text1"/>
          <w:sz w:val="16"/>
          <w:szCs w:val="16"/>
        </w:rPr>
        <w:t>В целом машина удовлетворяла требованиям, которые военные предъявляли к военно-транспортным машинам средней грузоподъемности для решения насущных задач фронта и тыла (19837).</w:t>
      </w:r>
    </w:p>
    <w:p w14:paraId="6BFCD80D" w14:textId="77777777" w:rsidR="006D74F7" w:rsidRPr="001E2C69" w:rsidRDefault="006D74F7" w:rsidP="00722885">
      <w:pPr>
        <w:pStyle w:val="article-renderblock"/>
        <w:shd w:val="clear" w:color="auto" w:fill="FFFFFF"/>
        <w:spacing w:before="0" w:beforeAutospacing="0" w:after="0" w:afterAutospacing="0"/>
        <w:jc w:val="both"/>
        <w:rPr>
          <w:color w:val="000000" w:themeColor="text1"/>
          <w:sz w:val="16"/>
          <w:szCs w:val="16"/>
        </w:rPr>
      </w:pPr>
    </w:p>
    <w:p w14:paraId="701E493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в НИИ ВВС проходили испытания Д-А-1-1100 с числом пусков до 300 (2928,12).</w:t>
      </w:r>
    </w:p>
    <w:p w14:paraId="54EB6705" w14:textId="77777777" w:rsidR="00AE7191" w:rsidRPr="001E2C69" w:rsidRDefault="00AE7191" w:rsidP="00722885">
      <w:pPr>
        <w:pStyle w:val="Iauiue"/>
        <w:jc w:val="both"/>
        <w:rPr>
          <w:color w:val="000000" w:themeColor="text1"/>
          <w:sz w:val="16"/>
          <w:szCs w:val="16"/>
        </w:rPr>
      </w:pPr>
    </w:p>
    <w:p w14:paraId="65DC12E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В.К.Грибовский предложил проект Г-11 с двумя М-11Ф, которые устанавливали на центроплане. Реализован не был из-за снятия Г-11 с производства (94,111).</w:t>
      </w:r>
    </w:p>
    <w:p w14:paraId="46CD9A22" w14:textId="77777777" w:rsidR="00AE7191" w:rsidRPr="001E2C69" w:rsidRDefault="00AE7191" w:rsidP="00722885">
      <w:pPr>
        <w:pStyle w:val="Iauiue"/>
        <w:jc w:val="both"/>
        <w:rPr>
          <w:color w:val="000000" w:themeColor="text1"/>
          <w:sz w:val="16"/>
          <w:szCs w:val="16"/>
        </w:rPr>
      </w:pPr>
    </w:p>
    <w:p w14:paraId="48D0FBFA" w14:textId="77777777" w:rsidR="00615582" w:rsidRPr="008A2E5A" w:rsidRDefault="00615582" w:rsidP="0061558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1942, спасая самолет и собственные головы, Бол</w:t>
      </w:r>
      <w:r w:rsidRPr="008A2E5A">
        <w:rPr>
          <w:rFonts w:ascii="Times New Roman" w:hAnsi="Times New Roman"/>
          <w:color w:val="0070C0"/>
          <w:sz w:val="16"/>
          <w:szCs w:val="16"/>
        </w:rPr>
        <w:softHyphen/>
        <w:t>ховитинов, Березняк и Исаев уехали из Билимбая в Казань, к Глушко, работавшему в ОКБ-16 НКВД. Глушко и его двигателисты по</w:t>
      </w:r>
      <w:r w:rsidRPr="008A2E5A">
        <w:rPr>
          <w:rFonts w:ascii="Times New Roman" w:hAnsi="Times New Roman"/>
          <w:color w:val="0070C0"/>
          <w:sz w:val="16"/>
          <w:szCs w:val="16"/>
        </w:rPr>
        <w:softHyphen/>
        <w:t>могли Исаеву и Березняку, дав немало ценных советов. Работы над самолетом БИ продолжились.</w:t>
      </w:r>
    </w:p>
    <w:p w14:paraId="145F8F8C" w14:textId="77777777" w:rsidR="00615582" w:rsidRPr="008A2E5A" w:rsidRDefault="00615582" w:rsidP="0061558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Тем временем Душкин выдвинул новую идею создания истребителя с комбинированной силовой установкой, состо</w:t>
      </w:r>
      <w:r w:rsidRPr="008A2E5A">
        <w:rPr>
          <w:rFonts w:ascii="Times New Roman" w:hAnsi="Times New Roman"/>
          <w:color w:val="0070C0"/>
          <w:sz w:val="16"/>
          <w:szCs w:val="16"/>
        </w:rPr>
        <w:softHyphen/>
        <w:t>ящей из ЖРД, размещенного в хвостовой части фюзеляжа, и двух прямоточных ВРД под крыльями. При этой схеме с помощью ЖРД осуществлялся только взлет, а полет про</w:t>
      </w:r>
      <w:r w:rsidRPr="008A2E5A">
        <w:rPr>
          <w:rFonts w:ascii="Times New Roman" w:hAnsi="Times New Roman"/>
          <w:color w:val="0070C0"/>
          <w:sz w:val="16"/>
          <w:szCs w:val="16"/>
        </w:rPr>
        <w:softHyphen/>
        <w:t>должался на прямоточных двигателях, обеспечивающих при</w:t>
      </w:r>
      <w:r w:rsidRPr="008A2E5A">
        <w:rPr>
          <w:rFonts w:ascii="Times New Roman" w:hAnsi="Times New Roman"/>
          <w:color w:val="0070C0"/>
          <w:sz w:val="16"/>
          <w:szCs w:val="16"/>
        </w:rPr>
        <w:softHyphen/>
        <w:t>емлемую продолжительность. Душкин решил взяться за ЖРД, Зуев - за ПВРД. К решению теоретических вопросов подключил</w:t>
      </w:r>
      <w:r w:rsidRPr="008A2E5A">
        <w:rPr>
          <w:rFonts w:ascii="Times New Roman" w:hAnsi="Times New Roman"/>
          <w:color w:val="0070C0"/>
          <w:sz w:val="16"/>
          <w:szCs w:val="16"/>
        </w:rPr>
        <w:softHyphen/>
        <w:t>ся Тихонравов. Создать самолет предполагалось на базе отрабо</w:t>
      </w:r>
      <w:r w:rsidRPr="008A2E5A">
        <w:rPr>
          <w:rFonts w:ascii="Times New Roman" w:hAnsi="Times New Roman"/>
          <w:color w:val="0070C0"/>
          <w:sz w:val="16"/>
          <w:szCs w:val="16"/>
        </w:rPr>
        <w:softHyphen/>
        <w:t>танных ракетоплана РП-318, ЖРД для истребителя БИ и имев</w:t>
      </w:r>
      <w:r w:rsidRPr="008A2E5A">
        <w:rPr>
          <w:rFonts w:ascii="Times New Roman" w:hAnsi="Times New Roman"/>
          <w:color w:val="0070C0"/>
          <w:sz w:val="16"/>
          <w:szCs w:val="16"/>
        </w:rPr>
        <w:softHyphen/>
        <w:t>шегося в институте задела по ПВРД. Проектные характеристики выглядели весьма убедительно: максимальная скорость полета 800 км/час, время подъема на высоту 8 000 метров — 2 минуты. Как и самолет БИ, он предназначался для перехвата на высоких скоростях истребителей и бомбардировщиков противника.</w:t>
      </w:r>
    </w:p>
    <w:p w14:paraId="3112ACA7" w14:textId="77777777" w:rsidR="00615582" w:rsidRPr="008A2E5A" w:rsidRDefault="00615582" w:rsidP="0061558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условиях военного времени утверждение нового проек</w:t>
      </w:r>
      <w:r w:rsidRPr="008A2E5A">
        <w:rPr>
          <w:rFonts w:ascii="Times New Roman" w:hAnsi="Times New Roman"/>
          <w:color w:val="0070C0"/>
          <w:sz w:val="16"/>
          <w:szCs w:val="16"/>
        </w:rPr>
        <w:softHyphen/>
        <w:t>та могло быть проблематичным. Поэтому в качестве пробивной силы группа Тихонравова и Душкина выбрала Костикова. Герой Социалистического Труда Костиков разъезжал с триумфальны</w:t>
      </w:r>
      <w:r w:rsidRPr="008A2E5A">
        <w:rPr>
          <w:rFonts w:ascii="Times New Roman" w:hAnsi="Times New Roman"/>
          <w:color w:val="0070C0"/>
          <w:sz w:val="16"/>
          <w:szCs w:val="16"/>
        </w:rPr>
        <w:softHyphen/>
        <w:t>ми выступлениями по тыловым госпиталям и находился в ореоле славы создателя боевой машины, уже известной всей стране под именем «Катюша». Кроме того, 10 апреля 1942 года Костиков, Аборенков, Галковский и Гвай за разработку «Катюши» были удо</w:t>
      </w:r>
      <w:r w:rsidRPr="008A2E5A">
        <w:rPr>
          <w:rFonts w:ascii="Times New Roman" w:hAnsi="Times New Roman"/>
          <w:color w:val="0070C0"/>
          <w:sz w:val="16"/>
          <w:szCs w:val="16"/>
        </w:rPr>
        <w:softHyphen/>
        <w:t>стоены звания лауреатов Сталинской премии I степени. Работа над эрэсами и многозарядными установками уже не привлекала Костикова, так как после решения Маленкова на первый план вы</w:t>
      </w:r>
      <w:r w:rsidRPr="008A2E5A">
        <w:rPr>
          <w:rFonts w:ascii="Times New Roman" w:hAnsi="Times New Roman"/>
          <w:color w:val="0070C0"/>
          <w:sz w:val="16"/>
          <w:szCs w:val="16"/>
        </w:rPr>
        <w:softHyphen/>
        <w:t>шел Бармин, а довольствоваться второй ролью он не желал.</w:t>
      </w:r>
    </w:p>
    <w:p w14:paraId="34763E63" w14:textId="77777777" w:rsidR="00615582" w:rsidRPr="008A2E5A" w:rsidRDefault="00615582" w:rsidP="0061558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Ознакомившись с предложением Тихонравова, Душкина и Зуева, Костиков пришел к выводу, что проект перехватчи</w:t>
      </w:r>
      <w:r w:rsidRPr="008A2E5A">
        <w:rPr>
          <w:rFonts w:ascii="Times New Roman" w:hAnsi="Times New Roman"/>
          <w:color w:val="0070C0"/>
          <w:sz w:val="16"/>
          <w:szCs w:val="16"/>
        </w:rPr>
        <w:softHyphen/>
        <w:t>ка осуществим. Вопреки многочисленным утверждениям, это решение не принималось «впопыхах». Осознавая, что коллек</w:t>
      </w:r>
      <w:r w:rsidRPr="008A2E5A">
        <w:rPr>
          <w:rFonts w:ascii="Times New Roman" w:hAnsi="Times New Roman"/>
          <w:color w:val="0070C0"/>
          <w:sz w:val="16"/>
          <w:szCs w:val="16"/>
        </w:rPr>
        <w:softHyphen/>
        <w:t>тив института не имеет опыта самолетостроения, Костиков обратился за помощью в Наркомат авиапромышленности. Учитывая важность и новизну проекта, наркомат привлек к работе над планером ведущих конструкторов истребителей Н.Н.Поликарпова и С.А.Лавочкина. Поликарпов откликнулся сам, а Лавочкин направил Костикову одного из своих самых опытных инженеров - М.Р.Бисновата. Заручившись поддерж</w:t>
      </w:r>
      <w:r w:rsidRPr="008A2E5A">
        <w:rPr>
          <w:rFonts w:ascii="Times New Roman" w:hAnsi="Times New Roman"/>
          <w:color w:val="0070C0"/>
          <w:sz w:val="16"/>
          <w:szCs w:val="16"/>
        </w:rPr>
        <w:softHyphen/>
        <w:t>кой авиастроителей, Костиков решил бросить силы института на создание двигательной установки, опыт разработки которой имелся. Эскизный проект самолета прошел экспертизу ЦАГИ, ЦИАМ, НИИ ВВС, ВВИА имени Н.Е.Жуковского.</w:t>
      </w:r>
    </w:p>
    <w:p w14:paraId="37442CE3" w14:textId="77777777" w:rsidR="00615582" w:rsidRPr="008A2E5A" w:rsidRDefault="00615582" w:rsidP="0061558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Согласовав вопросы, Костиков обратился к Сталину. Вы</w:t>
      </w:r>
      <w:r w:rsidRPr="008A2E5A">
        <w:rPr>
          <w:rFonts w:ascii="Times New Roman" w:hAnsi="Times New Roman"/>
          <w:color w:val="0070C0"/>
          <w:sz w:val="16"/>
          <w:szCs w:val="16"/>
        </w:rPr>
        <w:softHyphen/>
        <w:t>слушав, Сталин спросил:</w:t>
      </w:r>
    </w:p>
    <w:p w14:paraId="4D7AE0E6" w14:textId="77777777" w:rsidR="00615582" w:rsidRPr="008A2E5A" w:rsidRDefault="00615582" w:rsidP="0061558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Сколько времени вам понадобится?</w:t>
      </w:r>
    </w:p>
    <w:p w14:paraId="7E12A8A0" w14:textId="77777777" w:rsidR="00615582" w:rsidRPr="008A2E5A" w:rsidRDefault="00615582" w:rsidP="0061558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Костиков ответил:</w:t>
      </w:r>
    </w:p>
    <w:p w14:paraId="2CDBF07F" w14:textId="77777777" w:rsidR="00615582" w:rsidRPr="008A2E5A" w:rsidRDefault="00615582" w:rsidP="0061558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Один год.</w:t>
      </w:r>
    </w:p>
    <w:p w14:paraId="0CA6010C" w14:textId="77777777" w:rsidR="00615582" w:rsidRPr="008A2E5A" w:rsidRDefault="00615582" w:rsidP="0061558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 была роковая ошибка. Такой срок уже сорвал Бол</w:t>
      </w:r>
      <w:r w:rsidRPr="008A2E5A">
        <w:rPr>
          <w:rFonts w:ascii="Times New Roman" w:hAnsi="Times New Roman"/>
          <w:color w:val="0070C0"/>
          <w:sz w:val="16"/>
          <w:szCs w:val="16"/>
        </w:rPr>
        <w:softHyphen/>
        <w:t>ховитинов. Сталин одобрил предложение. 15 июля 1942 года постановлением ГКО НИИ-3 Наркомата боеприпасов был пре</w:t>
      </w:r>
      <w:r w:rsidRPr="008A2E5A">
        <w:rPr>
          <w:rFonts w:ascii="Times New Roman" w:hAnsi="Times New Roman"/>
          <w:color w:val="0070C0"/>
          <w:sz w:val="16"/>
          <w:szCs w:val="16"/>
        </w:rPr>
        <w:softHyphen/>
        <w:t>образован в Государственный институт реактивной техники (ГИРТ) прямого подчинения Совету Народных Комиссаров СССР. Директором и главным конструктором института стал Костиков. Его заместителем назначили Бисновата. 28 июля ГИРТу (Костиков) и Наркомату авиационной промышленности (Шахурин) было поручено создание реактивного перехватчика 302 с выходом на летные испытания в марте 1943 года. 12 авгу</w:t>
      </w:r>
      <w:r w:rsidRPr="008A2E5A">
        <w:rPr>
          <w:rFonts w:ascii="Times New Roman" w:hAnsi="Times New Roman"/>
          <w:color w:val="0070C0"/>
          <w:sz w:val="16"/>
          <w:szCs w:val="16"/>
        </w:rPr>
        <w:softHyphen/>
        <w:t>ста для сборки опытных образцов перехватчика ГИРТу передан Московский авиазавод № 55. Менее чем за год предстояло соз</w:t>
      </w:r>
      <w:r w:rsidRPr="008A2E5A">
        <w:rPr>
          <w:rFonts w:ascii="Times New Roman" w:hAnsi="Times New Roman"/>
          <w:color w:val="0070C0"/>
          <w:sz w:val="16"/>
          <w:szCs w:val="16"/>
        </w:rPr>
        <w:softHyphen/>
        <w:t>дать реактивный самолет принципиально новой конструкции, оснащенный жидкостным двигателем с турбонасосной подачей топлива и прямоточными воздушно-реактивными двигателями.</w:t>
      </w:r>
    </w:p>
    <w:p w14:paraId="5782D2B8" w14:textId="77777777" w:rsidR="00615582" w:rsidRPr="008A2E5A" w:rsidRDefault="00615582" w:rsidP="0061558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предписанный срок вывести машину на испытания не удалось. Планер Поликарпова получился. Жидкостный двига</w:t>
      </w:r>
      <w:r w:rsidRPr="008A2E5A">
        <w:rPr>
          <w:rFonts w:ascii="Times New Roman" w:hAnsi="Times New Roman"/>
          <w:color w:val="0070C0"/>
          <w:sz w:val="16"/>
          <w:szCs w:val="16"/>
        </w:rPr>
        <w:softHyphen/>
        <w:t>тель Душкина был близок к завершению. Но с прямоточным двигателем Зуева возникла масса проблем. Спасая свое детище, Костиков обратился к Маленкову, отвечавшему в ЦК за авиаци</w:t>
      </w:r>
      <w:r w:rsidRPr="008A2E5A">
        <w:rPr>
          <w:rFonts w:ascii="Times New Roman" w:hAnsi="Times New Roman"/>
          <w:color w:val="0070C0"/>
          <w:sz w:val="16"/>
          <w:szCs w:val="16"/>
        </w:rPr>
        <w:softHyphen/>
        <w:t>онную промышленность, с просьбой разрешить сделать первые два летных экземпляра самолета без ПВРД и перенести срок ис</w:t>
      </w:r>
      <w:r w:rsidRPr="008A2E5A">
        <w:rPr>
          <w:rFonts w:ascii="Times New Roman" w:hAnsi="Times New Roman"/>
          <w:color w:val="0070C0"/>
          <w:sz w:val="16"/>
          <w:szCs w:val="16"/>
        </w:rPr>
        <w:softHyphen/>
        <w:t>пытаний. Неудача Костикова следовала за неудачей Болховитинова. Маленков решил не гневить Сталина и не докладывать ему.</w:t>
      </w:r>
    </w:p>
    <w:p w14:paraId="50DAC0DF" w14:textId="77777777" w:rsidR="00615582" w:rsidRPr="008A2E5A" w:rsidRDefault="00615582" w:rsidP="0061558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Устным указанием он разрешил Костикову продлить срок работы до конца года, наде</w:t>
      </w:r>
      <w:r w:rsidRPr="008A2E5A">
        <w:rPr>
          <w:rFonts w:ascii="Times New Roman" w:hAnsi="Times New Roman"/>
          <w:color w:val="0070C0"/>
          <w:sz w:val="16"/>
          <w:szCs w:val="16"/>
        </w:rPr>
        <w:softHyphen/>
        <w:t>ясь, что настойчивый и целеустремленный конструктор своего добьется, а успех все спишет. Самолету без ПВРД присвоили ин</w:t>
      </w:r>
      <w:r w:rsidRPr="008A2E5A">
        <w:rPr>
          <w:rFonts w:ascii="Times New Roman" w:hAnsi="Times New Roman"/>
          <w:color w:val="0070C0"/>
          <w:sz w:val="16"/>
          <w:szCs w:val="16"/>
        </w:rPr>
        <w:softHyphen/>
        <w:t>декс 302П (23510).</w:t>
      </w:r>
    </w:p>
    <w:p w14:paraId="732617A8" w14:textId="77777777" w:rsidR="00615582" w:rsidRPr="008A2E5A" w:rsidRDefault="00615582" w:rsidP="00615582">
      <w:pPr>
        <w:spacing w:after="0" w:line="240" w:lineRule="auto"/>
        <w:jc w:val="both"/>
        <w:rPr>
          <w:rFonts w:ascii="Times New Roman" w:hAnsi="Times New Roman"/>
          <w:color w:val="0070C0"/>
          <w:sz w:val="16"/>
          <w:szCs w:val="16"/>
        </w:rPr>
      </w:pPr>
    </w:p>
    <w:p w14:paraId="589ED40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года в НИПАВ прошел испытания "Бостон" с переоборудованным бомбардировочном вооружением. Предписанные американцами нормативы но нагрузке у нас сочли заниженными. Лимитировалась она не столько тяговооруженностью самолета, сколько количеством точек подвески бомб, хотя, рост нагрузки ограничивался, конечно, также длиной разбега на взлете и возможностями шасси, слабоватого для старта с большим весом с травяной площадки. Начали с переделки бомбодержателей прямо в полках. В 221-й дивизии старший инженер Д. И. Степанов создал свой вариант, увеличивавший возможности машины раза в полтора. Примерно одновременно с этим на заводе № 43 предложили схему переделки, впоследствии ставшую широко распространенной. Первоначально па DB-7B стояли четыре внутрифюзеляжных бомбодержателя, рассчитанных на бомбы до 230 кг (на практике - до 250 кг). Но если брали бомбы меньшего калибра, то загрузка резко уменьшалась, поскольку количество бомб оставалось неизменным. А для каждой боевой задачи выгодна своя комбинация калибров. Теперь же в переднем и заднем бомбоотсеках самолета поставили по кассете КД-2-439 под четыре ФАБ-100 каждая. Одновременно смонтировали советский бомбосбрасыватель ЭСБР 3П и прицелы ОПБ-1 и НКПБ-4, заменившие примитивный Вимперис D-8, ставившийся на экспортные машины (для армии США бомбардировщики комплектовали высокоточным "Норденом") (3457,102).</w:t>
      </w:r>
    </w:p>
    <w:p w14:paraId="60381968" w14:textId="77777777" w:rsidR="00AE7191" w:rsidRPr="001E2C69" w:rsidRDefault="00AE7191" w:rsidP="00722885">
      <w:pPr>
        <w:pStyle w:val="Iauiue"/>
        <w:jc w:val="both"/>
        <w:rPr>
          <w:color w:val="000000" w:themeColor="text1"/>
          <w:sz w:val="16"/>
          <w:szCs w:val="16"/>
        </w:rPr>
      </w:pPr>
    </w:p>
    <w:p w14:paraId="63338BF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года три "Мустанга" направили для войсковых испытаний в 3-ю воздушную армию, на Калининский фронт. Сначала большую часть полученных самолетов этого типа направили в 6-ю запасную бригаду полковника Шумова, где они служили для учебных целей. Например, летом 1942 года в процессе подготовки личного состава 1-й перегоночной дивизии, который надо было познакомить с особенностями американской авиатехники, использовали пять "Мустангов". Три истребителя эксплуатировались в бригаде довольно долго. Они базировались на аэродроме в Иванове. Из Иванова их отправили 22 августа. Две машины попали в 5-й гвардейский истребительный полк, вооруженный ЛаГТ-3. Летал на американских самолетах в основном командир полка дважды Герой Советского Союза В.А.Зайцев, но попробовали эти машины также летчики Попков (впоследствии тоже дважды Герой) и Онуфриенко. По воспоминаниям Попкова, впечатление от американских истребителей было резко отрицательным. Хотя машина и отличалась высокой скоростью, но была "тяжела, как утюг". Маневренность ее оставляла желать много лучшего. Не понравился и затянутый взлет. Ни одного боевого вылета на "Мустангах" не сделали. Вскоре на обоих истребителях повредили винты и, за неимением запасных, самолеты сдали назад. Один "Мустанг" достался учебному полку Военно-воздушной академии им. Жуковского. Он эксплуатировался еще в 1946 году, а потом служил как экспонат. Еще одна машина находилась в экспозиции Бюро новой техники ЦАГИ (3457,87).</w:t>
      </w:r>
    </w:p>
    <w:p w14:paraId="4B8D4CC2" w14:textId="77777777" w:rsidR="00AE7191" w:rsidRPr="001E2C69" w:rsidRDefault="00AE7191" w:rsidP="00722885">
      <w:pPr>
        <w:pStyle w:val="Iauiue"/>
        <w:jc w:val="both"/>
        <w:rPr>
          <w:color w:val="000000" w:themeColor="text1"/>
          <w:sz w:val="16"/>
          <w:szCs w:val="16"/>
        </w:rPr>
      </w:pPr>
    </w:p>
    <w:p w14:paraId="29CFEFD8" w14:textId="77777777" w:rsidR="00D80B8A" w:rsidRPr="001E2C69" w:rsidRDefault="00D80B8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августа 1942 года на все самолеты ЛАГТ-3 и ЛАГГ-5 начали устанавливать радиоприемники РСИ-4, на каждый третий - радиостанцию, на каждый пятый - радиополукомпас РПК-Ю; остальные оборудовались под возможную установку радиополукомпасов (21100).</w:t>
      </w:r>
    </w:p>
    <w:p w14:paraId="29310A69" w14:textId="77777777" w:rsidR="00D80B8A" w:rsidRPr="001E2C69" w:rsidRDefault="00D80B8A" w:rsidP="00722885">
      <w:pPr>
        <w:spacing w:after="0" w:line="240" w:lineRule="auto"/>
        <w:jc w:val="both"/>
        <w:rPr>
          <w:rFonts w:ascii="Times New Roman" w:hAnsi="Times New Roman"/>
          <w:color w:val="000000" w:themeColor="text1"/>
          <w:sz w:val="16"/>
          <w:szCs w:val="16"/>
        </w:rPr>
      </w:pPr>
    </w:p>
    <w:p w14:paraId="08567281" w14:textId="77777777" w:rsidR="001A29E6" w:rsidRPr="001E2C69" w:rsidRDefault="001A29E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августе 1942 г. с фронта стали поступать сообщения о применении противником истребителей новой модификации. На самом деле первые </w:t>
      </w:r>
      <w:r w:rsidRPr="001E2C69">
        <w:rPr>
          <w:rFonts w:ascii="Times New Roman" w:hAnsi="Times New Roman"/>
          <w:color w:val="000000" w:themeColor="text1"/>
          <w:sz w:val="16"/>
          <w:szCs w:val="16"/>
          <w:lang w:val="en-US"/>
        </w:rPr>
        <w:t>Bf</w:t>
      </w:r>
      <w:r w:rsidRPr="001E2C69">
        <w:rPr>
          <w:rFonts w:ascii="Times New Roman" w:hAnsi="Times New Roman"/>
          <w:color w:val="000000" w:themeColor="text1"/>
          <w:sz w:val="16"/>
          <w:szCs w:val="16"/>
        </w:rPr>
        <w:t xml:space="preserve"> 109</w:t>
      </w:r>
      <w:r w:rsidRPr="001E2C69">
        <w:rPr>
          <w:rFonts w:ascii="Times New Roman" w:hAnsi="Times New Roman"/>
          <w:color w:val="000000" w:themeColor="text1"/>
          <w:sz w:val="16"/>
          <w:szCs w:val="16"/>
          <w:lang w:val="en-US"/>
        </w:rPr>
        <w:t>G</w:t>
      </w:r>
      <w:r w:rsidRPr="001E2C69">
        <w:rPr>
          <w:rFonts w:ascii="Times New Roman" w:hAnsi="Times New Roman"/>
          <w:color w:val="000000" w:themeColor="text1"/>
          <w:sz w:val="16"/>
          <w:szCs w:val="16"/>
        </w:rPr>
        <w:t xml:space="preserve"> появились там еще в начале июля. Воздушные бои быстро показали преимущества этих машин, особенно на высотах до 3000 м. 27 августа 1942 г. на Сталинградском фронте у второй линии советских окопов сел подбитый немецкий истребитель. Это оказался </w:t>
      </w:r>
      <w:r w:rsidRPr="001E2C69">
        <w:rPr>
          <w:rFonts w:ascii="Times New Roman" w:hAnsi="Times New Roman"/>
          <w:color w:val="000000" w:themeColor="text1"/>
          <w:sz w:val="16"/>
          <w:szCs w:val="16"/>
          <w:lang w:val="en-US"/>
        </w:rPr>
        <w:t>Bf</w:t>
      </w:r>
      <w:r w:rsidRPr="001E2C69">
        <w:rPr>
          <w:rFonts w:ascii="Times New Roman" w:hAnsi="Times New Roman"/>
          <w:color w:val="000000" w:themeColor="text1"/>
          <w:sz w:val="16"/>
          <w:szCs w:val="16"/>
        </w:rPr>
        <w:t xml:space="preserve"> 109</w:t>
      </w:r>
      <w:r w:rsidRPr="001E2C69">
        <w:rPr>
          <w:rFonts w:ascii="Times New Roman" w:hAnsi="Times New Roman"/>
          <w:color w:val="000000" w:themeColor="text1"/>
          <w:sz w:val="16"/>
          <w:szCs w:val="16"/>
          <w:lang w:val="en-US"/>
        </w:rPr>
        <w:t>G</w:t>
      </w:r>
      <w:r w:rsidRPr="001E2C69">
        <w:rPr>
          <w:rFonts w:ascii="Times New Roman" w:hAnsi="Times New Roman"/>
          <w:color w:val="000000" w:themeColor="text1"/>
          <w:sz w:val="16"/>
          <w:szCs w:val="16"/>
        </w:rPr>
        <w:t xml:space="preserve">-2 с мотором </w:t>
      </w:r>
      <w:r w:rsidRPr="001E2C69">
        <w:rPr>
          <w:rFonts w:ascii="Times New Roman" w:hAnsi="Times New Roman"/>
          <w:color w:val="000000" w:themeColor="text1"/>
          <w:sz w:val="16"/>
          <w:szCs w:val="16"/>
          <w:lang w:val="en-US"/>
        </w:rPr>
        <w:t>DB</w:t>
      </w:r>
      <w:r w:rsidRPr="001E2C69">
        <w:rPr>
          <w:rFonts w:ascii="Times New Roman" w:hAnsi="Times New Roman"/>
          <w:color w:val="000000" w:themeColor="text1"/>
          <w:sz w:val="16"/>
          <w:szCs w:val="16"/>
        </w:rPr>
        <w:t xml:space="preserve"> 605</w:t>
      </w:r>
      <w:r w:rsidRPr="001E2C69">
        <w:rPr>
          <w:rFonts w:ascii="Times New Roman" w:hAnsi="Times New Roman"/>
          <w:color w:val="000000" w:themeColor="text1"/>
          <w:sz w:val="16"/>
          <w:szCs w:val="16"/>
          <w:lang w:val="en-US"/>
        </w:rPr>
        <w:t>A</w:t>
      </w:r>
      <w:r w:rsidRPr="001E2C69">
        <w:rPr>
          <w:rFonts w:ascii="Times New Roman" w:hAnsi="Times New Roman"/>
          <w:color w:val="000000" w:themeColor="text1"/>
          <w:sz w:val="16"/>
          <w:szCs w:val="16"/>
        </w:rPr>
        <w:t xml:space="preserve">. Пилота обер-лейтенанта О. Декера из группы </w:t>
      </w:r>
      <w:r w:rsidRPr="001E2C69">
        <w:rPr>
          <w:rFonts w:ascii="Times New Roman" w:hAnsi="Times New Roman"/>
          <w:color w:val="000000" w:themeColor="text1"/>
          <w:sz w:val="16"/>
          <w:szCs w:val="16"/>
          <w:lang w:val="en-US"/>
        </w:rPr>
        <w:t>III</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JG</w:t>
      </w:r>
      <w:r w:rsidRPr="001E2C69">
        <w:rPr>
          <w:rFonts w:ascii="Times New Roman" w:hAnsi="Times New Roman"/>
          <w:color w:val="000000" w:themeColor="text1"/>
          <w:sz w:val="16"/>
          <w:szCs w:val="16"/>
        </w:rPr>
        <w:t xml:space="preserve"> 52 взяли в плен. Эту машину осмотрели, но вывезти не смогли. Зато </w:t>
      </w:r>
      <w:r w:rsidRPr="001E2C69">
        <w:rPr>
          <w:rFonts w:ascii="Times New Roman" w:hAnsi="Times New Roman"/>
          <w:color w:val="000000" w:themeColor="text1"/>
          <w:sz w:val="16"/>
          <w:szCs w:val="16"/>
          <w:lang w:val="en-US"/>
        </w:rPr>
        <w:t>Bf</w:t>
      </w:r>
      <w:r w:rsidRPr="001E2C69">
        <w:rPr>
          <w:rFonts w:ascii="Times New Roman" w:hAnsi="Times New Roman"/>
          <w:color w:val="000000" w:themeColor="text1"/>
          <w:sz w:val="16"/>
          <w:szCs w:val="16"/>
        </w:rPr>
        <w:t xml:space="preserve"> 109</w:t>
      </w:r>
      <w:r w:rsidRPr="001E2C69">
        <w:rPr>
          <w:rFonts w:ascii="Times New Roman" w:hAnsi="Times New Roman"/>
          <w:color w:val="000000" w:themeColor="text1"/>
          <w:sz w:val="16"/>
          <w:szCs w:val="16"/>
          <w:lang w:val="en-US"/>
        </w:rPr>
        <w:t>G</w:t>
      </w:r>
      <w:r w:rsidRPr="001E2C69">
        <w:rPr>
          <w:rFonts w:ascii="Times New Roman" w:hAnsi="Times New Roman"/>
          <w:color w:val="000000" w:themeColor="text1"/>
          <w:sz w:val="16"/>
          <w:szCs w:val="16"/>
        </w:rPr>
        <w:t xml:space="preserve">-2 из группы </w:t>
      </w:r>
      <w:r w:rsidRPr="001E2C69">
        <w:rPr>
          <w:rFonts w:ascii="Times New Roman" w:hAnsi="Times New Roman"/>
          <w:color w:val="000000" w:themeColor="text1"/>
          <w:sz w:val="16"/>
          <w:szCs w:val="16"/>
          <w:lang w:val="en-US"/>
        </w:rPr>
        <w:t>III</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JG</w:t>
      </w:r>
      <w:r w:rsidRPr="001E2C69">
        <w:rPr>
          <w:rFonts w:ascii="Times New Roman" w:hAnsi="Times New Roman"/>
          <w:color w:val="000000" w:themeColor="text1"/>
          <w:sz w:val="16"/>
          <w:szCs w:val="16"/>
        </w:rPr>
        <w:t xml:space="preserve"> 53, захваченный 8 сентября, эвакуировали в Москву. После изучения он долго стоял в выставочном зале БНТ (23186).</w:t>
      </w:r>
    </w:p>
    <w:p w14:paraId="77736333" w14:textId="77777777" w:rsidR="001A29E6" w:rsidRPr="001E2C69" w:rsidRDefault="001A29E6" w:rsidP="00722885">
      <w:pPr>
        <w:spacing w:after="0" w:line="240" w:lineRule="auto"/>
        <w:jc w:val="both"/>
        <w:rPr>
          <w:rFonts w:ascii="Times New Roman" w:hAnsi="Times New Roman"/>
          <w:color w:val="000000" w:themeColor="text1"/>
          <w:sz w:val="16"/>
          <w:szCs w:val="16"/>
        </w:rPr>
      </w:pPr>
    </w:p>
    <w:p w14:paraId="792E4CC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года заместитель наркома обороны, генерал-полковник артиллерии Н.Н.Воронов направил письмо заместителю наркома авиаци</w:t>
      </w:r>
      <w:r w:rsidRPr="001E2C69">
        <w:rPr>
          <w:rFonts w:ascii="Times New Roman" w:hAnsi="Times New Roman"/>
          <w:color w:val="000000" w:themeColor="text1"/>
          <w:sz w:val="16"/>
          <w:szCs w:val="16"/>
        </w:rPr>
        <w:softHyphen/>
        <w:t>онной промышленности А.С.Яковлеву, в котором утверждал, что автожи</w:t>
      </w:r>
      <w:r w:rsidRPr="001E2C69">
        <w:rPr>
          <w:rFonts w:ascii="Times New Roman" w:hAnsi="Times New Roman"/>
          <w:color w:val="000000" w:themeColor="text1"/>
          <w:sz w:val="16"/>
          <w:szCs w:val="16"/>
        </w:rPr>
        <w:softHyphen/>
        <w:t>ры А-7 на фронте не сделали ни одного боевого вылета, потерпели 6 ава</w:t>
      </w:r>
      <w:r w:rsidRPr="001E2C69">
        <w:rPr>
          <w:rFonts w:ascii="Times New Roman" w:hAnsi="Times New Roman"/>
          <w:color w:val="000000" w:themeColor="text1"/>
          <w:sz w:val="16"/>
          <w:szCs w:val="16"/>
        </w:rPr>
        <w:softHyphen/>
        <w:t>рий, а сам автожир за восемь лет доводочных работ так и не достиг заяв</w:t>
      </w:r>
      <w:r w:rsidRPr="001E2C69">
        <w:rPr>
          <w:rFonts w:ascii="Times New Roman" w:hAnsi="Times New Roman"/>
          <w:color w:val="000000" w:themeColor="text1"/>
          <w:sz w:val="16"/>
          <w:szCs w:val="16"/>
        </w:rPr>
        <w:softHyphen/>
        <w:t>ленных характеристик. Воронов потребовал предания Камова суду «за выпуск недоброкачественное материальной части” (10224,56).</w:t>
      </w:r>
    </w:p>
    <w:p w14:paraId="004384A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3944839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в соответствии с требованиями акта испытаний планера КЦ-2 В.Л.Расторгуевым были проведены контрольные испытания серийного планера КЦ-20 П.В.Цыбина (94,80).</w:t>
      </w:r>
    </w:p>
    <w:p w14:paraId="1478DC93" w14:textId="77777777" w:rsidR="00AE7191" w:rsidRPr="001E2C69" w:rsidRDefault="00AE7191" w:rsidP="00722885">
      <w:pPr>
        <w:pStyle w:val="Iauiue"/>
        <w:jc w:val="both"/>
        <w:rPr>
          <w:color w:val="000000" w:themeColor="text1"/>
          <w:sz w:val="16"/>
          <w:szCs w:val="16"/>
        </w:rPr>
      </w:pPr>
    </w:p>
    <w:p w14:paraId="7BB2B56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В.В.Абрамов, который был у Л.П.Курбалы в Сталинграде, опять по собственной инициативе сделал проработку проекта десантного планера ВА-4Д. Там же в Сталинграде были представители Н.Н.П. с БДП-2 и В.В.Абрамов предложил объединиться (94,93).</w:t>
      </w:r>
    </w:p>
    <w:p w14:paraId="11E67E53" w14:textId="77777777" w:rsidR="00AE7191" w:rsidRPr="001E2C69" w:rsidRDefault="00AE7191" w:rsidP="00722885">
      <w:pPr>
        <w:pStyle w:val="Iauiue"/>
        <w:jc w:val="both"/>
        <w:rPr>
          <w:color w:val="000000" w:themeColor="text1"/>
          <w:sz w:val="16"/>
          <w:szCs w:val="16"/>
        </w:rPr>
      </w:pPr>
    </w:p>
    <w:p w14:paraId="26D2F514" w14:textId="77777777" w:rsidR="001A29E6" w:rsidRPr="001E2C69" w:rsidRDefault="001A29E6"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В августе 1942 г., после внедрения всех усовершенствований, были выполнены контрольные испытания головного серийного образца КЦ-20, которые провёл лётчик Расторгуев В. Л. В результате проведённых доработок удалось снизить трение в системе управления, повысить эффективность действия рулей и триммеров, а также привести в норму устойчивость планера при буксировке и в планировании. Управляемость планера также улучшилась, хотя повышенные нагрузки на штурвал от элеронов и на педали от руля направления сохранились. На это, в дальнейшем, жаловались и строевые лётчики. Для обеспечения приемлемой центровки в нос планера загружали баланси</w:t>
      </w:r>
      <w:r w:rsidRPr="001E2C69">
        <w:rPr>
          <w:color w:val="000000" w:themeColor="text1"/>
          <w:sz w:val="16"/>
          <w:szCs w:val="16"/>
        </w:rPr>
        <w:softHyphen/>
        <w:t>ро</w:t>
      </w:r>
      <w:r w:rsidRPr="001E2C69">
        <w:rPr>
          <w:color w:val="000000" w:themeColor="text1"/>
          <w:sz w:val="16"/>
          <w:szCs w:val="16"/>
        </w:rPr>
        <w:softHyphen/>
        <w:t>вочный груз массой 115 кг.</w:t>
      </w:r>
    </w:p>
    <w:p w14:paraId="0610C1FB" w14:textId="77777777" w:rsidR="001A29E6" w:rsidRPr="001E2C69" w:rsidRDefault="001A29E6"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В сентябре 1942 г планер перегнали из Казани на подмосковный аэродром – по-видимому, для показа начальству.</w:t>
      </w:r>
    </w:p>
    <w:p w14:paraId="4BEE791F" w14:textId="77777777" w:rsidR="001A29E6" w:rsidRPr="001E2C69" w:rsidRDefault="001A29E6"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При перелёте этого КЦ-20 с аэродрома ЛИИ на оперативный аэродром Медвежьи Озёра произошла катастрофа. Перед вылетом у самолёта-буксировщика забарахлил мотор. Механики, покопавшись под капотом, нашли и устранили дефект. После этого, по-быстрому, выполнили облёт самолёта без планера, по кругу, в районе аэродрома. Решили идти на Медвежьи Озёра в составе аэросцепки.</w:t>
      </w:r>
    </w:p>
    <w:p w14:paraId="16A98A48" w14:textId="77777777" w:rsidR="001A29E6" w:rsidRPr="001E2C69" w:rsidRDefault="001A29E6"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Планер пилотировали пилот И. Кочергин и конструктор П. В. Цыбин. На взлёте, как всегда, планер оторвался раньше, а у самолёта, в конце разбега, вновь отказал мотор. Самолёт, прекратив взлёт, выкатился за пределы взлётной полосы к Москве-реке. Цыбин пытался отцепить буксировочный леер, но сделать это не удалось. Планер перелетел самолёт, а так как трос не был сброшен, то он рывком перевернул самолёт на спину и сбросил его в реку, а сам планер, удерживаемый леером, по дуге, носом врезался в землю. Лётчик Кочергин погиб, а конструктора Цыбина П. В. выбросило через фонарь из планера. В тяжёлом состоянии его доставили в госпиталь, где после длительного лечения Цыбина удалось поставить на ноги. Экипаж самолёта отделался лёгкими ушибами.</w:t>
      </w:r>
    </w:p>
    <w:p w14:paraId="012AB4D7" w14:textId="5CDFC5B2" w:rsidR="001A29E6" w:rsidRPr="001E2C69" w:rsidRDefault="001A29E6"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Две катастрофы планера КЦ, а также постоянные поломки в эксплуатации, породили настороженное отношение к данной машине со стороны строевых пилотов. Но несмотря на это, планер запустили в серийное производство, которое продолжалось до конца 1943 г. За этот период построили 68 (по другим источникам – 50) планеров КЦ-20. После постройки опытных экземпляров и после катастрофы Цыбин был переведён на другую работу, а серию вёл один Колесников Д.</w:t>
      </w:r>
      <w:r w:rsidR="001E2C69">
        <w:rPr>
          <w:color w:val="000000" w:themeColor="text1"/>
          <w:sz w:val="16"/>
          <w:szCs w:val="16"/>
        </w:rPr>
        <w:t xml:space="preserve">   </w:t>
      </w:r>
      <w:r w:rsidRPr="001E2C69">
        <w:rPr>
          <w:color w:val="000000" w:themeColor="text1"/>
          <w:sz w:val="16"/>
          <w:szCs w:val="16"/>
        </w:rPr>
        <w:t>Н. Уже в процессе эксплуатации обнаружилась слабость конструкции крыла, да и сам материал – дерево – не способствовал долговечности планера, поэтому боевая служба КЦ-20 была недолгой (19191).</w:t>
      </w:r>
    </w:p>
    <w:p w14:paraId="5E6856EC" w14:textId="77777777" w:rsidR="001A29E6" w:rsidRPr="001E2C69" w:rsidRDefault="001A29E6" w:rsidP="00722885">
      <w:pPr>
        <w:pStyle w:val="af"/>
        <w:shd w:val="clear" w:color="auto" w:fill="FFFFFF"/>
        <w:spacing w:before="0" w:after="0"/>
        <w:jc w:val="both"/>
        <w:textAlignment w:val="baseline"/>
        <w:rPr>
          <w:color w:val="000000" w:themeColor="text1"/>
          <w:sz w:val="16"/>
          <w:szCs w:val="16"/>
        </w:rPr>
      </w:pPr>
    </w:p>
    <w:p w14:paraId="5288EF5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w:t>
      </w:r>
      <w:r w:rsidRPr="001E2C69">
        <w:rPr>
          <w:rFonts w:ascii="Times New Roman" w:hAnsi="Times New Roman"/>
          <w:color w:val="000000" w:themeColor="text1"/>
          <w:sz w:val="16"/>
          <w:szCs w:val="16"/>
        </w:rPr>
        <w:softHyphen/>
        <w:t>густе 1942 г. после внедрения всех усовершенствований были выполнены контрольные испытания головного серийного образца КЦ-20, которые провел летчик Расторгуев В.Л. В результате проведенных доработок удалось снизить трение в системе управ</w:t>
      </w:r>
      <w:r w:rsidRPr="001E2C69">
        <w:rPr>
          <w:rFonts w:ascii="Times New Roman" w:hAnsi="Times New Roman"/>
          <w:color w:val="000000" w:themeColor="text1"/>
          <w:sz w:val="16"/>
          <w:szCs w:val="16"/>
        </w:rPr>
        <w:softHyphen/>
        <w:t>ления, повысить эффективность действия рулей и триммеров, а также привести в норму устойчивость планера при буксировке и в планировании. Управляемость планера также улучшилась, хотя повышенные нагрузки на штурвал от элеронов и на педали от руля направления сохранились. На это в дальнейшем жа</w:t>
      </w:r>
      <w:r w:rsidRPr="001E2C69">
        <w:rPr>
          <w:rFonts w:ascii="Times New Roman" w:hAnsi="Times New Roman"/>
          <w:color w:val="000000" w:themeColor="text1"/>
          <w:sz w:val="16"/>
          <w:szCs w:val="16"/>
        </w:rPr>
        <w:softHyphen/>
        <w:t>ловались и строевые летчики. Для обеспечения приемлемой центровки в нос планера загружали балан</w:t>
      </w:r>
      <w:r w:rsidRPr="001E2C69">
        <w:rPr>
          <w:rFonts w:ascii="Times New Roman" w:hAnsi="Times New Roman"/>
          <w:color w:val="000000" w:themeColor="text1"/>
          <w:sz w:val="16"/>
          <w:szCs w:val="16"/>
        </w:rPr>
        <w:softHyphen/>
        <w:t>сировочный груз массой 115 кг.</w:t>
      </w:r>
    </w:p>
    <w:p w14:paraId="6A520D5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Десантный планер КЦ-20 был свободнонесущим вы- сокопланом цельнодеревянной конструкции.</w:t>
      </w:r>
    </w:p>
    <w:p w14:paraId="68D648F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Фюзеляж полумонококовой конструкции с рабо</w:t>
      </w:r>
      <w:r w:rsidRPr="001E2C69">
        <w:rPr>
          <w:rFonts w:ascii="Times New Roman" w:hAnsi="Times New Roman"/>
          <w:color w:val="000000" w:themeColor="text1"/>
          <w:sz w:val="16"/>
          <w:szCs w:val="16"/>
        </w:rPr>
        <w:softHyphen/>
        <w:t>тающей фанерной обшивкой. Шпангоуты фюзеляжа сделаны из дерева и фанеры и имеют прямоугольную форму со скругленными углами. В районе пилотской кабины и грузового отсека фюзеляж имеет неболь</w:t>
      </w:r>
      <w:r w:rsidRPr="001E2C69">
        <w:rPr>
          <w:rFonts w:ascii="Times New Roman" w:hAnsi="Times New Roman"/>
          <w:color w:val="000000" w:themeColor="text1"/>
          <w:sz w:val="16"/>
          <w:szCs w:val="16"/>
        </w:rPr>
        <w:softHyphen/>
        <w:t>шую килеватость, в вершине которой встроена жест</w:t>
      </w:r>
      <w:r w:rsidRPr="001E2C69">
        <w:rPr>
          <w:rFonts w:ascii="Times New Roman" w:hAnsi="Times New Roman"/>
          <w:color w:val="000000" w:themeColor="text1"/>
          <w:sz w:val="16"/>
          <w:szCs w:val="16"/>
        </w:rPr>
        <w:softHyphen/>
        <w:t xml:space="preserve">кая деревянная </w:t>
      </w:r>
      <w:r w:rsidRPr="001E2C69">
        <w:rPr>
          <w:rFonts w:ascii="Times New Roman" w:hAnsi="Times New Roman"/>
          <w:color w:val="000000" w:themeColor="text1"/>
          <w:sz w:val="16"/>
          <w:szCs w:val="16"/>
        </w:rPr>
        <w:lastRenderedPageBreak/>
        <w:t>лыжа. Максимальная высота фюзеля</w:t>
      </w:r>
      <w:r w:rsidRPr="001E2C69">
        <w:rPr>
          <w:rFonts w:ascii="Times New Roman" w:hAnsi="Times New Roman"/>
          <w:color w:val="000000" w:themeColor="text1"/>
          <w:sz w:val="16"/>
          <w:szCs w:val="16"/>
        </w:rPr>
        <w:softHyphen/>
        <w:t>жа по наружному контуру — 2,1 м, максимальная ши</w:t>
      </w:r>
      <w:r w:rsidRPr="001E2C69">
        <w:rPr>
          <w:rFonts w:ascii="Times New Roman" w:hAnsi="Times New Roman"/>
          <w:color w:val="000000" w:themeColor="text1"/>
          <w:sz w:val="16"/>
          <w:szCs w:val="16"/>
        </w:rPr>
        <w:softHyphen/>
        <w:t>рина — 1,4 м. В носу фюзеляжа размещена пилотская кабина, оборудованная нормальным ступенчатым фонарем, левую часть которого можно было сбросить в аварий</w:t>
      </w:r>
      <w:r w:rsidRPr="001E2C69">
        <w:rPr>
          <w:rFonts w:ascii="Times New Roman" w:hAnsi="Times New Roman"/>
          <w:color w:val="000000" w:themeColor="text1"/>
          <w:sz w:val="16"/>
          <w:szCs w:val="16"/>
        </w:rPr>
        <w:softHyphen/>
        <w:t>ной ситуации. Дополнительное небольшое остекление разме</w:t>
      </w:r>
      <w:r w:rsidRPr="001E2C69">
        <w:rPr>
          <w:rFonts w:ascii="Times New Roman" w:hAnsi="Times New Roman"/>
          <w:color w:val="000000" w:themeColor="text1"/>
          <w:sz w:val="16"/>
          <w:szCs w:val="16"/>
        </w:rPr>
        <w:softHyphen/>
        <w:t>щено в носу фюзеляжа, снизу. Через него наблюдали за зем</w:t>
      </w:r>
      <w:r w:rsidRPr="001E2C69">
        <w:rPr>
          <w:rFonts w:ascii="Times New Roman" w:hAnsi="Times New Roman"/>
          <w:color w:val="000000" w:themeColor="text1"/>
          <w:sz w:val="16"/>
          <w:szCs w:val="16"/>
        </w:rPr>
        <w:softHyphen/>
        <w:t>лей и положением буксировоч</w:t>
      </w:r>
      <w:r w:rsidRPr="001E2C69">
        <w:rPr>
          <w:rFonts w:ascii="Times New Roman" w:hAnsi="Times New Roman"/>
          <w:color w:val="000000" w:themeColor="text1"/>
          <w:sz w:val="16"/>
          <w:szCs w:val="16"/>
        </w:rPr>
        <w:softHyphen/>
        <w:t>ного леера. Сиденья пилотов расположены рядом.</w:t>
      </w:r>
    </w:p>
    <w:p w14:paraId="7FBA632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Загрузка планера выполня</w:t>
      </w:r>
      <w:r w:rsidRPr="001E2C69">
        <w:rPr>
          <w:rFonts w:ascii="Times New Roman" w:hAnsi="Times New Roman"/>
          <w:color w:val="000000" w:themeColor="text1"/>
          <w:sz w:val="16"/>
          <w:szCs w:val="16"/>
        </w:rPr>
        <w:softHyphen/>
        <w:t>лась через две двухстворчатые двери размером 0,7 х 1,2 м. Передняя дверь располагалась по левому борту, а задняя — по правому. При эксплуатации выяснилось, что двери малы для загрузки не то что крупных, а даже средних по габаритам грузов. Вдоль бортов располагались откидные сиденья для 18 десантни</w:t>
      </w:r>
      <w:r w:rsidRPr="001E2C69">
        <w:rPr>
          <w:rFonts w:ascii="Times New Roman" w:hAnsi="Times New Roman"/>
          <w:color w:val="000000" w:themeColor="text1"/>
          <w:sz w:val="16"/>
          <w:szCs w:val="16"/>
        </w:rPr>
        <w:softHyphen/>
        <w:t>ков. Причем сиденья в хвосте грузовой кабины были очень неудобны — голова упиралась в потолок. На каждом борту находилось по 4 прямоугольных иллю</w:t>
      </w:r>
      <w:r w:rsidRPr="001E2C69">
        <w:rPr>
          <w:rFonts w:ascii="Times New Roman" w:hAnsi="Times New Roman"/>
          <w:color w:val="000000" w:themeColor="text1"/>
          <w:sz w:val="16"/>
          <w:szCs w:val="16"/>
        </w:rPr>
        <w:softHyphen/>
        <w:t>минатора.</w:t>
      </w:r>
    </w:p>
    <w:p w14:paraId="2C7AC22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Крыло планера двухлонжеронное, трапециевид</w:t>
      </w:r>
      <w:r w:rsidRPr="001E2C69">
        <w:rPr>
          <w:rFonts w:ascii="Times New Roman" w:hAnsi="Times New Roman"/>
          <w:color w:val="000000" w:themeColor="text1"/>
          <w:sz w:val="16"/>
          <w:szCs w:val="16"/>
        </w:rPr>
        <w:softHyphen/>
        <w:t>ное в плане, с закругленными законцовками. Оно состояло из центроплана размахом 6,2 м и двух отъ</w:t>
      </w:r>
      <w:r w:rsidRPr="001E2C69">
        <w:rPr>
          <w:rFonts w:ascii="Times New Roman" w:hAnsi="Times New Roman"/>
          <w:color w:val="000000" w:themeColor="text1"/>
          <w:sz w:val="16"/>
          <w:szCs w:val="16"/>
        </w:rPr>
        <w:softHyphen/>
        <w:t>емных частей размахом по 8,8 м. Обшивка крыла полностью фанерная. Профиль крыла — Р-11, отно</w:t>
      </w:r>
      <w:r w:rsidRPr="001E2C69">
        <w:rPr>
          <w:rFonts w:ascii="Times New Roman" w:hAnsi="Times New Roman"/>
          <w:color w:val="000000" w:themeColor="text1"/>
          <w:sz w:val="16"/>
          <w:szCs w:val="16"/>
        </w:rPr>
        <w:softHyphen/>
        <w:t>сительной толщиной 14%. На задней кромке распо</w:t>
      </w:r>
      <w:r w:rsidRPr="001E2C69">
        <w:rPr>
          <w:rFonts w:ascii="Times New Roman" w:hAnsi="Times New Roman"/>
          <w:color w:val="000000" w:themeColor="text1"/>
          <w:sz w:val="16"/>
          <w:szCs w:val="16"/>
        </w:rPr>
        <w:softHyphen/>
        <w:t>ложены закрылки и элероны. Они имеют деревянный каркас и полотняную обшивку. На передней кромке центроплана слева крепились трубка ПВД и посадоч</w:t>
      </w:r>
      <w:r w:rsidRPr="001E2C69">
        <w:rPr>
          <w:rFonts w:ascii="Times New Roman" w:hAnsi="Times New Roman"/>
          <w:color w:val="000000" w:themeColor="text1"/>
          <w:sz w:val="16"/>
          <w:szCs w:val="16"/>
        </w:rPr>
        <w:softHyphen/>
        <w:t>ная фара.</w:t>
      </w:r>
    </w:p>
    <w:p w14:paraId="7C78580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Оперение планера — двухкилевое. Выбор такой схемы объясняется тем, что конструкторы планиро</w:t>
      </w:r>
      <w:r w:rsidRPr="001E2C69">
        <w:rPr>
          <w:rFonts w:ascii="Times New Roman" w:hAnsi="Times New Roman"/>
          <w:color w:val="000000" w:themeColor="text1"/>
          <w:sz w:val="16"/>
          <w:szCs w:val="16"/>
        </w:rPr>
        <w:softHyphen/>
        <w:t>вали на крыше планера установить шкворневую пуле</w:t>
      </w:r>
      <w:r w:rsidRPr="001E2C69">
        <w:rPr>
          <w:rFonts w:ascii="Times New Roman" w:hAnsi="Times New Roman"/>
          <w:color w:val="000000" w:themeColor="text1"/>
          <w:sz w:val="16"/>
          <w:szCs w:val="16"/>
        </w:rPr>
        <w:softHyphen/>
        <w:t>метную установку для стрельбы в воздухе, однако эти планы реализованы не были. Обшивка килей и стаби</w:t>
      </w:r>
      <w:r w:rsidRPr="001E2C69">
        <w:rPr>
          <w:rFonts w:ascii="Times New Roman" w:hAnsi="Times New Roman"/>
          <w:color w:val="000000" w:themeColor="text1"/>
          <w:sz w:val="16"/>
          <w:szCs w:val="16"/>
        </w:rPr>
        <w:softHyphen/>
        <w:t>лизатора — фанерная, а рулей — полотняная. Рули направления имели роговую компенсацию, а рули высоты — триммеры.</w:t>
      </w:r>
    </w:p>
    <w:p w14:paraId="2FD5949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Управление планера двойное, штурвальное, при</w:t>
      </w:r>
      <w:r w:rsidRPr="001E2C69">
        <w:rPr>
          <w:rFonts w:ascii="Times New Roman" w:hAnsi="Times New Roman"/>
          <w:color w:val="000000" w:themeColor="text1"/>
          <w:sz w:val="16"/>
          <w:szCs w:val="16"/>
        </w:rPr>
        <w:softHyphen/>
        <w:t>чем оба штурвала крепились на одной колонке. Про</w:t>
      </w:r>
      <w:r w:rsidRPr="001E2C69">
        <w:rPr>
          <w:rFonts w:ascii="Times New Roman" w:hAnsi="Times New Roman"/>
          <w:color w:val="000000" w:themeColor="text1"/>
          <w:sz w:val="16"/>
          <w:szCs w:val="16"/>
        </w:rPr>
        <w:softHyphen/>
        <w:t>водка в основном состояла из деревянных тяг и только на отдельных участках — тросовая. Приборное обору</w:t>
      </w:r>
      <w:r w:rsidRPr="001E2C69">
        <w:rPr>
          <w:rFonts w:ascii="Times New Roman" w:hAnsi="Times New Roman"/>
          <w:color w:val="000000" w:themeColor="text1"/>
          <w:sz w:val="16"/>
          <w:szCs w:val="16"/>
        </w:rPr>
        <w:softHyphen/>
        <w:t>дование состояло из указателя скорости, высотоме</w:t>
      </w:r>
      <w:r w:rsidRPr="001E2C69">
        <w:rPr>
          <w:rFonts w:ascii="Times New Roman" w:hAnsi="Times New Roman"/>
          <w:color w:val="000000" w:themeColor="text1"/>
          <w:sz w:val="16"/>
          <w:szCs w:val="16"/>
        </w:rPr>
        <w:softHyphen/>
        <w:t>ра, вариометра, компаса КИ и указателя поворота УП «Пионер». В средней части приборной доски распо</w:t>
      </w:r>
      <w:r w:rsidRPr="001E2C69">
        <w:rPr>
          <w:rFonts w:ascii="Times New Roman" w:hAnsi="Times New Roman"/>
          <w:color w:val="000000" w:themeColor="text1"/>
          <w:sz w:val="16"/>
          <w:szCs w:val="16"/>
        </w:rPr>
        <w:softHyphen/>
        <w:t>ложены тумблеры включения фары, АНО и освещения кабин. Питание осуществляется от аккумулятора типа 12-А-10. Ниже приборной доски, по центру, находит</w:t>
      </w:r>
      <w:r w:rsidRPr="001E2C69">
        <w:rPr>
          <w:rFonts w:ascii="Times New Roman" w:hAnsi="Times New Roman"/>
          <w:color w:val="000000" w:themeColor="text1"/>
          <w:sz w:val="16"/>
          <w:szCs w:val="16"/>
        </w:rPr>
        <w:softHyphen/>
        <w:t>ся рычаг открытия буксировочного замка. У правого пилота на борту размещен штурвал для выпуска по</w:t>
      </w:r>
      <w:r w:rsidRPr="001E2C69">
        <w:rPr>
          <w:rFonts w:ascii="Times New Roman" w:hAnsi="Times New Roman"/>
          <w:color w:val="000000" w:themeColor="text1"/>
          <w:sz w:val="16"/>
          <w:szCs w:val="16"/>
        </w:rPr>
        <w:softHyphen/>
        <w:t>садочных щитков, а рядом — укладка для ракетницы и набора сигнальных ракет.</w:t>
      </w:r>
    </w:p>
    <w:p w14:paraId="2FB1C6D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Посадочные устройства планера состоят из ос</w:t>
      </w:r>
      <w:r w:rsidRPr="001E2C69">
        <w:rPr>
          <w:rFonts w:ascii="Times New Roman" w:hAnsi="Times New Roman"/>
          <w:color w:val="000000" w:themeColor="text1"/>
          <w:sz w:val="16"/>
          <w:szCs w:val="16"/>
        </w:rPr>
        <w:softHyphen/>
        <w:t>новных колес, 750 х 250 мм, закрепленных к фюзеля</w:t>
      </w:r>
      <w:r w:rsidRPr="001E2C69">
        <w:rPr>
          <w:rFonts w:ascii="Times New Roman" w:hAnsi="Times New Roman"/>
          <w:color w:val="000000" w:themeColor="text1"/>
          <w:sz w:val="16"/>
          <w:szCs w:val="16"/>
        </w:rPr>
        <w:softHyphen/>
        <w:t>жу, и хвостового колеса — 300 х 125 мм. Амортизация и тормоза у шасси отсутствуют. Зимой колеса мож</w:t>
      </w:r>
      <w:r w:rsidRPr="001E2C69">
        <w:rPr>
          <w:rFonts w:ascii="Times New Roman" w:hAnsi="Times New Roman"/>
          <w:color w:val="000000" w:themeColor="text1"/>
          <w:sz w:val="16"/>
          <w:szCs w:val="16"/>
        </w:rPr>
        <w:softHyphen/>
        <w:t>но было заменить на лыжи. Вдоль днища фюзеляжа установлена клееная деревянная лыжа, на которую опирается фюзеляж в случае поломки колесного шас</w:t>
      </w:r>
      <w:r w:rsidRPr="001E2C69">
        <w:rPr>
          <w:rFonts w:ascii="Times New Roman" w:hAnsi="Times New Roman"/>
          <w:color w:val="000000" w:themeColor="text1"/>
          <w:sz w:val="16"/>
          <w:szCs w:val="16"/>
        </w:rPr>
        <w:softHyphen/>
        <w:t>си. Эта лыжа одновременно выполняет роль главного силового элемента фюзеляжа.</w:t>
      </w:r>
    </w:p>
    <w:p w14:paraId="5224D34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советской авиации того периода это был круп</w:t>
      </w:r>
      <w:r w:rsidRPr="001E2C69">
        <w:rPr>
          <w:rFonts w:ascii="Times New Roman" w:hAnsi="Times New Roman"/>
          <w:color w:val="000000" w:themeColor="text1"/>
          <w:sz w:val="16"/>
          <w:szCs w:val="16"/>
        </w:rPr>
        <w:softHyphen/>
        <w:t>нейший планер, принятый на вооружение. Поэтому буксировать его могли самые мощные буксировщи</w:t>
      </w:r>
      <w:r w:rsidRPr="001E2C69">
        <w:rPr>
          <w:rFonts w:ascii="Times New Roman" w:hAnsi="Times New Roman"/>
          <w:color w:val="000000" w:themeColor="text1"/>
          <w:sz w:val="16"/>
          <w:szCs w:val="16"/>
        </w:rPr>
        <w:softHyphen/>
        <w:t>ки, имевшиеся в нашей авиации, — бомбардировщик Ил-4 и транспортные Ли-2 и РС-З.</w:t>
      </w:r>
    </w:p>
    <w:p w14:paraId="69C95F9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Основные данные пла</w:t>
      </w:r>
      <w:r w:rsidRPr="001E2C69">
        <w:rPr>
          <w:rFonts w:ascii="Times New Roman" w:hAnsi="Times New Roman"/>
          <w:color w:val="000000" w:themeColor="text1"/>
          <w:sz w:val="16"/>
          <w:szCs w:val="16"/>
        </w:rPr>
        <w:softHyphen/>
        <w:t>нера КЦ-20 приведены в таблице</w:t>
      </w:r>
    </w:p>
    <w:p w14:paraId="6D6440A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ОСНОВНЫЕ ДАННЫЕ ПЛАНЕРА КЦ-20 И ЕГО ЗАРУБЕЖНЫХ АНАЛОГОВ</w:t>
      </w:r>
    </w:p>
    <w:tbl>
      <w:tblPr>
        <w:tblW w:w="0" w:type="auto"/>
        <w:tblInd w:w="-18" w:type="dxa"/>
        <w:tblLayout w:type="fixed"/>
        <w:tblCellMar>
          <w:left w:w="10" w:type="dxa"/>
          <w:right w:w="10" w:type="dxa"/>
        </w:tblCellMar>
        <w:tblLook w:val="0000" w:firstRow="0" w:lastRow="0" w:firstColumn="0" w:lastColumn="0" w:noHBand="0" w:noVBand="0"/>
      </w:tblPr>
      <w:tblGrid>
        <w:gridCol w:w="3456"/>
        <w:gridCol w:w="2200"/>
        <w:gridCol w:w="1814"/>
        <w:gridCol w:w="2106"/>
      </w:tblGrid>
      <w:tr w:rsidR="001E2C69" w:rsidRPr="001E2C69" w14:paraId="0F69804E" w14:textId="77777777" w:rsidTr="00CC5360">
        <w:trPr>
          <w:trHeight w:val="511"/>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3A110DA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Типы планеров</w:t>
            </w:r>
          </w:p>
          <w:p w14:paraId="3B448D9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Характеристики</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4FF7B05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Колесников— Цыбин КЦ-20</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6C35E4E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ОР5-331</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6A9C760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ЗИпдзЬу 5аПр1апез Ид, Непд13{</w:t>
            </w:r>
          </w:p>
        </w:tc>
      </w:tr>
      <w:tr w:rsidR="001E2C69" w:rsidRPr="001E2C69" w14:paraId="38053516" w14:textId="77777777" w:rsidTr="00CC5360">
        <w:trPr>
          <w:trHeight w:val="263"/>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5D6BF0E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Страна</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11067D9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СССР</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410D5E0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Германия</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38DE022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Великобритания</w:t>
            </w:r>
          </w:p>
        </w:tc>
      </w:tr>
      <w:tr w:rsidR="001E2C69" w:rsidRPr="001E2C69" w14:paraId="5440D86F" w14:textId="77777777" w:rsidTr="00CC5360">
        <w:trPr>
          <w:trHeight w:val="248"/>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3AD2593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Дата первого вылета</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32B4A29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15.10.1941</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56CE430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1941</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41EDA0DB"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4D8CA428" w14:textId="77777777" w:rsidTr="00CC5360">
        <w:trPr>
          <w:trHeight w:val="259"/>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56BC033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Общее число построенных планеров, шт.</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05D486F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«68</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454967E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2C22C92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w:t>
            </w:r>
          </w:p>
        </w:tc>
      </w:tr>
      <w:tr w:rsidR="001E2C69" w:rsidRPr="001E2C69" w14:paraId="3FBF08BE" w14:textId="77777777" w:rsidTr="00CC5360">
        <w:trPr>
          <w:trHeight w:val="248"/>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2782601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Длина, м</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4FACDF6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14,125</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3602F06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15,8</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29CD303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18,25</w:t>
            </w:r>
          </w:p>
        </w:tc>
      </w:tr>
      <w:tr w:rsidR="001E2C69" w:rsidRPr="001E2C69" w14:paraId="06ABA919" w14:textId="77777777" w:rsidTr="00CC5360">
        <w:trPr>
          <w:trHeight w:val="259"/>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1EBF304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Размах крыла, м</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27ACB43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23,8</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27899AD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23,0</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6504DD5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24,38</w:t>
            </w:r>
          </w:p>
        </w:tc>
      </w:tr>
      <w:tr w:rsidR="001E2C69" w:rsidRPr="001E2C69" w14:paraId="621323D9" w14:textId="77777777" w:rsidTr="00CC5360">
        <w:trPr>
          <w:trHeight w:val="252"/>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0282E5C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Высота, м</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72B6820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2,84</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5EA7F66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3,55</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6CA3C6EB"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146A8F1F" w14:textId="77777777" w:rsidTr="00CC5360">
        <w:trPr>
          <w:trHeight w:val="256"/>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13532D0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Площадь крыла, кв. м</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78F410C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55,2</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46359AC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60</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1180C74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72,5</w:t>
            </w:r>
          </w:p>
        </w:tc>
      </w:tr>
      <w:tr w:rsidR="001E2C69" w:rsidRPr="001E2C69" w14:paraId="1CE7FE25" w14:textId="77777777" w:rsidTr="00CC5360">
        <w:trPr>
          <w:trHeight w:val="248"/>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570149F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Вес пустого планера, кг</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677E666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2050</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772C9FE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2270</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05FED96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2116</w:t>
            </w:r>
          </w:p>
        </w:tc>
      </w:tr>
      <w:tr w:rsidR="001E2C69" w:rsidRPr="001E2C69" w14:paraId="35FC5CA1" w14:textId="77777777" w:rsidTr="00CC5360">
        <w:trPr>
          <w:trHeight w:val="259"/>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0B0D993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Вес взлетный, нормальный, кг</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23BBF9F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4200</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7D7280C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4770</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2CC2532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3780</w:t>
            </w:r>
          </w:p>
        </w:tc>
      </w:tr>
      <w:tr w:rsidR="001E2C69" w:rsidRPr="001E2C69" w14:paraId="12107B3E" w14:textId="77777777" w:rsidTr="00CC5360">
        <w:trPr>
          <w:trHeight w:val="248"/>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2D7A4A1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Вес взлетный, перегрузочный, кг</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4778C6F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4460</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7F74F80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4900</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455CBECC"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61F64F71" w14:textId="77777777" w:rsidTr="00CC5360">
        <w:trPr>
          <w:trHeight w:val="259"/>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1D54B8E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Нагрузка на крыло, кг/кв. м</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5646B61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76-81</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71C5267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74,5</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33626CD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52,1</w:t>
            </w:r>
          </w:p>
        </w:tc>
      </w:tr>
      <w:tr w:rsidR="001E2C69" w:rsidRPr="001E2C69" w14:paraId="0419102D" w14:textId="77777777" w:rsidTr="00CC5360">
        <w:trPr>
          <w:trHeight w:val="248"/>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41528C0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Экипаж: пилоты + десантники</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16D1AFB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2+18</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054E156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2+18</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1F9722A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2+15</w:t>
            </w:r>
          </w:p>
        </w:tc>
      </w:tr>
      <w:tr w:rsidR="001E2C69" w:rsidRPr="001E2C69" w14:paraId="2C5BCD17" w14:textId="77777777" w:rsidTr="00CC5360">
        <w:trPr>
          <w:trHeight w:val="256"/>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508E47F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Скорость предельная, км/ч</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7D6BC2B7"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2A19ED9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330</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3FBC0D6C"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1F76FFD8" w14:textId="77777777" w:rsidTr="00CC5360">
        <w:trPr>
          <w:trHeight w:val="252"/>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58D7B19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 скорость буксировки, км/ч</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65C3C2B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240</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2211EBC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270</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248F107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256</w:t>
            </w:r>
          </w:p>
        </w:tc>
      </w:tr>
      <w:tr w:rsidR="001E2C69" w:rsidRPr="001E2C69" w14:paraId="7A47C946" w14:textId="77777777" w:rsidTr="00CC5360">
        <w:trPr>
          <w:trHeight w:val="256"/>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3341C2C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Скорость взлетная, км/ч</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7CDB41A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105—115</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0272CEA9"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096EC9FE"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1DF3D0CB" w14:textId="77777777" w:rsidTr="00CC5360">
        <w:trPr>
          <w:trHeight w:val="252"/>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2F01758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Скорость посадочная, км/ч</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6605ED4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100—105</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0C6D33C3"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54676753"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r>
      <w:tr w:rsidR="001E2C69" w:rsidRPr="001E2C69" w14:paraId="7FBC0270" w14:textId="77777777" w:rsidTr="00CC5360">
        <w:trPr>
          <w:trHeight w:val="266"/>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2D9DB5F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Макс, аэродинамическое качество</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165AA3B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16</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2E486FCA" w14:textId="77777777" w:rsidR="00AE7191" w:rsidRPr="001E2C69" w:rsidRDefault="00AE7191" w:rsidP="00722885">
            <w:pPr>
              <w:spacing w:after="0" w:line="240" w:lineRule="auto"/>
              <w:jc w:val="both"/>
              <w:rPr>
                <w:rFonts w:ascii="Times New Roman" w:hAnsi="Times New Roman"/>
                <w:color w:val="000000" w:themeColor="text1"/>
                <w:sz w:val="16"/>
                <w:szCs w:val="16"/>
              </w:rPr>
            </w:pP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2BF561F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17</w:t>
            </w:r>
          </w:p>
        </w:tc>
      </w:tr>
    </w:tbl>
    <w:p w14:paraId="6AB68E5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(12300).</w:t>
      </w:r>
    </w:p>
    <w:p w14:paraId="788002B6"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1F4EF2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головной серийный экземпляр КЦ-20 проходил испытания Летал на нём опять В.Л. Расторгуев. После доработки планёр стал устойчи</w:t>
      </w:r>
      <w:r w:rsidRPr="001E2C69">
        <w:rPr>
          <w:rFonts w:ascii="Times New Roman" w:hAnsi="Times New Roman"/>
          <w:color w:val="000000" w:themeColor="text1"/>
          <w:sz w:val="16"/>
          <w:szCs w:val="16"/>
        </w:rPr>
        <w:softHyphen/>
        <w:t>вее и легче в управлении. Эффектив</w:t>
      </w:r>
      <w:r w:rsidRPr="001E2C69">
        <w:rPr>
          <w:rFonts w:ascii="Times New Roman" w:hAnsi="Times New Roman"/>
          <w:color w:val="000000" w:themeColor="text1"/>
          <w:sz w:val="16"/>
          <w:szCs w:val="16"/>
        </w:rPr>
        <w:softHyphen/>
        <w:t>ность триммеров руля высоты возрос</w:t>
      </w:r>
      <w:r w:rsidRPr="001E2C69">
        <w:rPr>
          <w:rFonts w:ascii="Times New Roman" w:hAnsi="Times New Roman"/>
          <w:color w:val="000000" w:themeColor="text1"/>
          <w:sz w:val="16"/>
          <w:szCs w:val="16"/>
        </w:rPr>
        <w:softHyphen/>
        <w:t>ла. Но нагрузки на штурвал от элеронов и на педали от рулей направления оста</w:t>
      </w:r>
      <w:r w:rsidRPr="001E2C69">
        <w:rPr>
          <w:rFonts w:ascii="Times New Roman" w:hAnsi="Times New Roman"/>
          <w:color w:val="000000" w:themeColor="text1"/>
          <w:sz w:val="16"/>
          <w:szCs w:val="16"/>
        </w:rPr>
        <w:softHyphen/>
        <w:t>вались значительными. Впоследствии пилоты строевых частей шутили, что планёр деревянный и управление им «дубовое». Для обеспечения требуе</w:t>
      </w:r>
      <w:r w:rsidRPr="001E2C69">
        <w:rPr>
          <w:rFonts w:ascii="Times New Roman" w:hAnsi="Times New Roman"/>
          <w:color w:val="000000" w:themeColor="text1"/>
          <w:sz w:val="16"/>
          <w:szCs w:val="16"/>
        </w:rPr>
        <w:softHyphen/>
        <w:t>мой центровки в носу разместили бал</w:t>
      </w:r>
      <w:r w:rsidRPr="001E2C69">
        <w:rPr>
          <w:rFonts w:ascii="Times New Roman" w:hAnsi="Times New Roman"/>
          <w:color w:val="000000" w:themeColor="text1"/>
          <w:sz w:val="16"/>
          <w:szCs w:val="16"/>
        </w:rPr>
        <w:softHyphen/>
        <w:t>ластный груз в 115 кг, что несколько уменьшило полезную нагрузку.</w:t>
      </w:r>
    </w:p>
    <w:p w14:paraId="0C87D93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Этот планёр позднее доставили под Москву, на аэродром ЛИИ в Кратово. Оттуда его собирались перегнать на аэродром Медвежьи Озёра, но произош</w:t>
      </w:r>
      <w:r w:rsidRPr="001E2C69">
        <w:rPr>
          <w:rFonts w:ascii="Times New Roman" w:hAnsi="Times New Roman"/>
          <w:color w:val="000000" w:themeColor="text1"/>
          <w:sz w:val="16"/>
          <w:szCs w:val="16"/>
        </w:rPr>
        <w:softHyphen/>
        <w:t>ла катастрофа. В пилотской кабине на</w:t>
      </w:r>
      <w:r w:rsidRPr="001E2C69">
        <w:rPr>
          <w:rFonts w:ascii="Times New Roman" w:hAnsi="Times New Roman"/>
          <w:color w:val="000000" w:themeColor="text1"/>
          <w:sz w:val="16"/>
          <w:szCs w:val="16"/>
        </w:rPr>
        <w:softHyphen/>
        <w:t>ходились лётчик И. Корчагин и один из создателей планёра, П. Цыбин. В конце разбега у буксировщика Ил-4 отказал один двигатель. Самолёт выкатился за пределы полосы на берег Москвы-реки. Планёр к этому времени уже оторвался от земли и находился в воздухе. Цыбин попытался отцепить трос, но замок не сработал. Тяжёлый КЦ-20 перелетел через бомбардировщик, рывком пере</w:t>
      </w:r>
      <w:r w:rsidRPr="001E2C69">
        <w:rPr>
          <w:rFonts w:ascii="Times New Roman" w:hAnsi="Times New Roman"/>
          <w:color w:val="000000" w:themeColor="text1"/>
          <w:sz w:val="16"/>
          <w:szCs w:val="16"/>
        </w:rPr>
        <w:softHyphen/>
        <w:t>вернул его и сбросил в реку, после чего сам воткнулся носом в землю. Корчагин погиб, Цыбина выбросило через фо</w:t>
      </w:r>
      <w:r w:rsidRPr="001E2C69">
        <w:rPr>
          <w:rFonts w:ascii="Times New Roman" w:hAnsi="Times New Roman"/>
          <w:color w:val="000000" w:themeColor="text1"/>
          <w:sz w:val="16"/>
          <w:szCs w:val="16"/>
        </w:rPr>
        <w:softHyphen/>
        <w:t>нарь наружу; с тяжёлыми ранениями его доставили в госпиталь. Экипаж бук</w:t>
      </w:r>
      <w:r w:rsidRPr="001E2C69">
        <w:rPr>
          <w:rFonts w:ascii="Times New Roman" w:hAnsi="Times New Roman"/>
          <w:color w:val="000000" w:themeColor="text1"/>
          <w:sz w:val="16"/>
          <w:szCs w:val="16"/>
        </w:rPr>
        <w:softHyphen/>
        <w:t>сировщика отделался ушибами.</w:t>
      </w:r>
    </w:p>
    <w:p w14:paraId="52A55E0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Как и другие планёры, КЦ-20 прохо</w:t>
      </w:r>
      <w:r w:rsidRPr="001E2C69">
        <w:rPr>
          <w:rFonts w:ascii="Times New Roman" w:hAnsi="Times New Roman"/>
          <w:color w:val="000000" w:themeColor="text1"/>
          <w:sz w:val="16"/>
          <w:szCs w:val="16"/>
        </w:rPr>
        <w:softHyphen/>
        <w:t>дил войсковые испытания на Опытном испытательном полигоне Воздушно-де- сантных войск.</w:t>
      </w:r>
    </w:p>
    <w:p w14:paraId="2D15628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Серийно он строился до конца 1943 г., всего изготовили около 50 (по другим данным - 68) экземпляров. Работой по его модернизации в этот период занимался только Д.Н. Колесников, являвшийся главным конструктором завода.</w:t>
      </w:r>
    </w:p>
    <w:p w14:paraId="2872888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Несмотря на значительную грузоподъ</w:t>
      </w:r>
      <w:r w:rsidRPr="001E2C69">
        <w:rPr>
          <w:rFonts w:ascii="Times New Roman" w:hAnsi="Times New Roman"/>
          <w:color w:val="000000" w:themeColor="text1"/>
          <w:sz w:val="16"/>
          <w:szCs w:val="16"/>
        </w:rPr>
        <w:softHyphen/>
        <w:t>ёмность, на КЦ-20 так и не сделали грузовой люк для перевозки крупно</w:t>
      </w:r>
      <w:r w:rsidRPr="001E2C69">
        <w:rPr>
          <w:rFonts w:ascii="Times New Roman" w:hAnsi="Times New Roman"/>
          <w:color w:val="000000" w:themeColor="text1"/>
          <w:sz w:val="16"/>
          <w:szCs w:val="16"/>
        </w:rPr>
        <w:softHyphen/>
        <w:t>габаритной техники и вооружения. До конца серийного выпуска он строился с узкими дверями, рассчитанными на вход и выход людей, хотя использовал</w:t>
      </w:r>
      <w:r w:rsidRPr="001E2C69">
        <w:rPr>
          <w:rFonts w:ascii="Times New Roman" w:hAnsi="Times New Roman"/>
          <w:color w:val="000000" w:themeColor="text1"/>
          <w:sz w:val="16"/>
          <w:szCs w:val="16"/>
        </w:rPr>
        <w:softHyphen/>
        <w:t>ся в основном для доставки грузов.</w:t>
      </w:r>
    </w:p>
    <w:p w14:paraId="4CED4E1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Десантный планёр КЦ-20 представ</w:t>
      </w:r>
      <w:r w:rsidRPr="001E2C69">
        <w:rPr>
          <w:rFonts w:ascii="Times New Roman" w:hAnsi="Times New Roman"/>
          <w:color w:val="000000" w:themeColor="text1"/>
          <w:sz w:val="16"/>
          <w:szCs w:val="16"/>
        </w:rPr>
        <w:softHyphen/>
        <w:t>лял собой свободнонесущий высо- коплан цельнодеревянной конструк</w:t>
      </w:r>
      <w:r w:rsidRPr="001E2C69">
        <w:rPr>
          <w:rFonts w:ascii="Times New Roman" w:hAnsi="Times New Roman"/>
          <w:color w:val="000000" w:themeColor="text1"/>
          <w:sz w:val="16"/>
          <w:szCs w:val="16"/>
        </w:rPr>
        <w:softHyphen/>
        <w:t>ции. Фюзеляж - полумонокок с несу</w:t>
      </w:r>
      <w:r w:rsidRPr="001E2C69">
        <w:rPr>
          <w:rFonts w:ascii="Times New Roman" w:hAnsi="Times New Roman"/>
          <w:color w:val="000000" w:themeColor="text1"/>
          <w:sz w:val="16"/>
          <w:szCs w:val="16"/>
        </w:rPr>
        <w:softHyphen/>
        <w:t>щей фанерной обшивкой. Шпангоуты фюзеляжа были сделаны из дерева и фанеры и имели прямоугольную форму со скруглёнными углами.</w:t>
      </w:r>
    </w:p>
    <w:p w14:paraId="46D952B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районе пилотской кабины и грузо</w:t>
      </w:r>
      <w:r w:rsidRPr="001E2C69">
        <w:rPr>
          <w:rFonts w:ascii="Times New Roman" w:hAnsi="Times New Roman"/>
          <w:color w:val="000000" w:themeColor="text1"/>
          <w:sz w:val="16"/>
          <w:szCs w:val="16"/>
        </w:rPr>
        <w:softHyphen/>
        <w:t>вого отсека фюзеляж имел неболь</w:t>
      </w:r>
      <w:r w:rsidRPr="001E2C69">
        <w:rPr>
          <w:rFonts w:ascii="Times New Roman" w:hAnsi="Times New Roman"/>
          <w:color w:val="000000" w:themeColor="text1"/>
          <w:sz w:val="16"/>
          <w:szCs w:val="16"/>
        </w:rPr>
        <w:softHyphen/>
        <w:t>шую килеватость, в вершине которой встраивалась жёсткая деревянная лыжа. Максимальная высота фюзе</w:t>
      </w:r>
      <w:r w:rsidRPr="001E2C69">
        <w:rPr>
          <w:rFonts w:ascii="Times New Roman" w:hAnsi="Times New Roman"/>
          <w:color w:val="000000" w:themeColor="text1"/>
          <w:sz w:val="16"/>
          <w:szCs w:val="16"/>
        </w:rPr>
        <w:softHyphen/>
        <w:t>ляжа по наружному контуру - 2,1 м, максимальная ширина - 1,4 м. В носу фюзеляжа размещалась пилотская ка</w:t>
      </w:r>
      <w:r w:rsidRPr="001E2C69">
        <w:rPr>
          <w:rFonts w:ascii="Times New Roman" w:hAnsi="Times New Roman"/>
          <w:color w:val="000000" w:themeColor="text1"/>
          <w:sz w:val="16"/>
          <w:szCs w:val="16"/>
        </w:rPr>
        <w:softHyphen/>
        <w:t>бина, оборудованная нормальным сту</w:t>
      </w:r>
      <w:r w:rsidRPr="001E2C69">
        <w:rPr>
          <w:rFonts w:ascii="Times New Roman" w:hAnsi="Times New Roman"/>
          <w:color w:val="000000" w:themeColor="text1"/>
          <w:sz w:val="16"/>
          <w:szCs w:val="16"/>
        </w:rPr>
        <w:softHyphen/>
        <w:t>пенчатым фонарём, левая часть кото</w:t>
      </w:r>
      <w:r w:rsidRPr="001E2C69">
        <w:rPr>
          <w:rFonts w:ascii="Times New Roman" w:hAnsi="Times New Roman"/>
          <w:color w:val="000000" w:themeColor="text1"/>
          <w:sz w:val="16"/>
          <w:szCs w:val="16"/>
        </w:rPr>
        <w:softHyphen/>
        <w:t>рого могла сбрасываться в аварийной ситуации. Небольшое дополнительное остекление выполнили в носу фюзе</w:t>
      </w:r>
      <w:r w:rsidRPr="001E2C69">
        <w:rPr>
          <w:rFonts w:ascii="Times New Roman" w:hAnsi="Times New Roman"/>
          <w:color w:val="000000" w:themeColor="text1"/>
          <w:sz w:val="16"/>
          <w:szCs w:val="16"/>
        </w:rPr>
        <w:softHyphen/>
        <w:t>ляжа снизу. Через него наблюдали как за землёй, так и за положением бук</w:t>
      </w:r>
      <w:r w:rsidRPr="001E2C69">
        <w:rPr>
          <w:rFonts w:ascii="Times New Roman" w:hAnsi="Times New Roman"/>
          <w:color w:val="000000" w:themeColor="text1"/>
          <w:sz w:val="16"/>
          <w:szCs w:val="16"/>
        </w:rPr>
        <w:softHyphen/>
        <w:t>сировочного троса. Сиденья пилотов располагались бок о бок.</w:t>
      </w:r>
    </w:p>
    <w:p w14:paraId="1A46530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Загрузка планёра происходила через две двухстворчатые двери размером 0,7x1,2 м. Передняя дверь располага</w:t>
      </w:r>
      <w:r w:rsidRPr="001E2C69">
        <w:rPr>
          <w:rFonts w:ascii="Times New Roman" w:hAnsi="Times New Roman"/>
          <w:color w:val="000000" w:themeColor="text1"/>
          <w:sz w:val="16"/>
          <w:szCs w:val="16"/>
        </w:rPr>
        <w:softHyphen/>
        <w:t>лась по левому борту, а задняя - по пра</w:t>
      </w:r>
      <w:r w:rsidRPr="001E2C69">
        <w:rPr>
          <w:rFonts w:ascii="Times New Roman" w:hAnsi="Times New Roman"/>
          <w:color w:val="000000" w:themeColor="text1"/>
          <w:sz w:val="16"/>
          <w:szCs w:val="16"/>
        </w:rPr>
        <w:softHyphen/>
        <w:t>вому. При эксплуатации выяснилось, что двери малы для загрузки не только крупных, а даже средних по габаритам грузов. Вдоль бортов располагались откидные сидения для 18 десантников. На каждом борту находилось по четыре прямоугольных окна.</w:t>
      </w:r>
    </w:p>
    <w:p w14:paraId="16ECF22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Крыло -двухлонжеронное, трапецие</w:t>
      </w:r>
      <w:r w:rsidRPr="001E2C69">
        <w:rPr>
          <w:rFonts w:ascii="Times New Roman" w:hAnsi="Times New Roman"/>
          <w:color w:val="000000" w:themeColor="text1"/>
          <w:sz w:val="16"/>
          <w:szCs w:val="16"/>
        </w:rPr>
        <w:softHyphen/>
        <w:t>видное в плане, с закруглёнными закон- цовками. Оно состояло из центроплана размахом 6,2 м и двух отъёмных час</w:t>
      </w:r>
      <w:r w:rsidRPr="001E2C69">
        <w:rPr>
          <w:rFonts w:ascii="Times New Roman" w:hAnsi="Times New Roman"/>
          <w:color w:val="000000" w:themeColor="text1"/>
          <w:sz w:val="16"/>
          <w:szCs w:val="16"/>
        </w:rPr>
        <w:softHyphen/>
        <w:t>тей размахом по 8,8 м. Обшивка кры</w:t>
      </w:r>
      <w:r w:rsidRPr="001E2C69">
        <w:rPr>
          <w:rFonts w:ascii="Times New Roman" w:hAnsi="Times New Roman"/>
          <w:color w:val="000000" w:themeColor="text1"/>
          <w:sz w:val="16"/>
          <w:szCs w:val="16"/>
        </w:rPr>
        <w:softHyphen/>
        <w:t>ла - полностью фанерная. Профиль крыла - Р-11, относительной толщиной 14%. На задней кромке располагались закрылки и элероны. Они имели дере</w:t>
      </w:r>
      <w:r w:rsidRPr="001E2C69">
        <w:rPr>
          <w:rFonts w:ascii="Times New Roman" w:hAnsi="Times New Roman"/>
          <w:color w:val="000000" w:themeColor="text1"/>
          <w:sz w:val="16"/>
          <w:szCs w:val="16"/>
        </w:rPr>
        <w:softHyphen/>
        <w:t>вянный каркас и полотняную обтяжку. На передней кромке центроплана с левой стороны монтировались трубка ПВД и посадочная фара.</w:t>
      </w:r>
    </w:p>
    <w:p w14:paraId="1B120F7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Оперение - двухкилевое. Обшивка килей и стабилизатора - фанерная, а рулей-полотняная. Рули направления имели роговую компенсацию, на рулях высоты устанавливались триммеры.</w:t>
      </w:r>
    </w:p>
    <w:p w14:paraId="1EE73D0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Управление планёром - двойное, штурвальное, причём оба штурвала крепились на одной колонке. Провод</w:t>
      </w:r>
      <w:r w:rsidRPr="001E2C69">
        <w:rPr>
          <w:rFonts w:ascii="Times New Roman" w:hAnsi="Times New Roman"/>
          <w:color w:val="000000" w:themeColor="text1"/>
          <w:sz w:val="16"/>
          <w:szCs w:val="16"/>
        </w:rPr>
        <w:softHyphen/>
        <w:t>ка в основном состояла из деревянных тяг, и только на отдельных участках - тросовая. Приборное оборудование включало в себя указатель скорости, высотомер, вариометр, компас КИ и ука</w:t>
      </w:r>
      <w:r w:rsidRPr="001E2C69">
        <w:rPr>
          <w:rFonts w:ascii="Times New Roman" w:hAnsi="Times New Roman"/>
          <w:color w:val="000000" w:themeColor="text1"/>
          <w:sz w:val="16"/>
          <w:szCs w:val="16"/>
        </w:rPr>
        <w:softHyphen/>
        <w:t xml:space="preserve">затель поворота. В средней </w:t>
      </w:r>
      <w:r w:rsidRPr="001E2C69">
        <w:rPr>
          <w:rFonts w:ascii="Times New Roman" w:hAnsi="Times New Roman"/>
          <w:color w:val="000000" w:themeColor="text1"/>
          <w:sz w:val="16"/>
          <w:szCs w:val="16"/>
        </w:rPr>
        <w:lastRenderedPageBreak/>
        <w:t>части при</w:t>
      </w:r>
      <w:r w:rsidRPr="001E2C69">
        <w:rPr>
          <w:rFonts w:ascii="Times New Roman" w:hAnsi="Times New Roman"/>
          <w:color w:val="000000" w:themeColor="text1"/>
          <w:sz w:val="16"/>
          <w:szCs w:val="16"/>
        </w:rPr>
        <w:softHyphen/>
        <w:t>борной доски располагались тумблеры включения фары, аэронавигационных огней и освещения кабин. Питание электрическим током осуществлялось от аккумулятора типа 12 А-10. Ниже приборной доски, по центру, находился рычаг открытия буксировочного замка. У правого пилота на борту размещался штурвал для выпуска посадочных щит</w:t>
      </w:r>
      <w:r w:rsidRPr="001E2C69">
        <w:rPr>
          <w:rFonts w:ascii="Times New Roman" w:hAnsi="Times New Roman"/>
          <w:color w:val="000000" w:themeColor="text1"/>
          <w:sz w:val="16"/>
          <w:szCs w:val="16"/>
        </w:rPr>
        <w:softHyphen/>
        <w:t>ков, а рядом - укладка для ракетницы и набора сигнальных ракет.</w:t>
      </w:r>
    </w:p>
    <w:p w14:paraId="281C899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Шасси включало в себя основные колёса размером 750x250 мм, при</w:t>
      </w:r>
      <w:r w:rsidRPr="001E2C69">
        <w:rPr>
          <w:rFonts w:ascii="Times New Roman" w:hAnsi="Times New Roman"/>
          <w:color w:val="000000" w:themeColor="text1"/>
          <w:sz w:val="16"/>
          <w:szCs w:val="16"/>
        </w:rPr>
        <w:softHyphen/>
        <w:t>креплённые к фюзеляжу, и хвостовое колесо 300x125 мм. Амортизация и тормоза у шасси отсутствовали. Зимой колёса можно было заменять на лыжи. Вдоль днища фюзеляжа устанавлива</w:t>
      </w:r>
      <w:r w:rsidRPr="001E2C69">
        <w:rPr>
          <w:rFonts w:ascii="Times New Roman" w:hAnsi="Times New Roman"/>
          <w:color w:val="000000" w:themeColor="text1"/>
          <w:sz w:val="16"/>
          <w:szCs w:val="16"/>
        </w:rPr>
        <w:softHyphen/>
        <w:t>лась клеёная деревянная посадочная лыжа, одновременно выполнявшая роль главного силового элемента фю</w:t>
      </w:r>
      <w:r w:rsidRPr="001E2C69">
        <w:rPr>
          <w:rFonts w:ascii="Times New Roman" w:hAnsi="Times New Roman"/>
          <w:color w:val="000000" w:themeColor="text1"/>
          <w:sz w:val="16"/>
          <w:szCs w:val="16"/>
        </w:rPr>
        <w:softHyphen/>
        <w:t>зеляжа.В ноябре 1940 г. нарком обороны маршал С.К. Тимошенко утвердил новый штат воздушно-десантной бри</w:t>
      </w:r>
      <w:r w:rsidRPr="001E2C69">
        <w:rPr>
          <w:rFonts w:ascii="Times New Roman" w:hAnsi="Times New Roman"/>
          <w:color w:val="000000" w:themeColor="text1"/>
          <w:sz w:val="16"/>
          <w:szCs w:val="16"/>
        </w:rPr>
        <w:softHyphen/>
        <w:t>гады, по которому в её состав вошла планёрная группа. Но в то время ВВС не имели ни десантных планёров, ни пилотов для них (12266).</w:t>
      </w:r>
    </w:p>
    <w:p w14:paraId="69D61B3F"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5E03A1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на аэродроме МВО состоялся смотр десантной техники и была показана посадка 20 А-7 и Г-11. Большое впечатление у руководства (107,14).</w:t>
      </w:r>
    </w:p>
    <w:p w14:paraId="16218E60" w14:textId="77777777" w:rsidR="00AE7191" w:rsidRPr="001E2C69" w:rsidRDefault="00AE7191" w:rsidP="00722885">
      <w:pPr>
        <w:pStyle w:val="Iauiue"/>
        <w:jc w:val="both"/>
        <w:rPr>
          <w:color w:val="000000" w:themeColor="text1"/>
          <w:sz w:val="16"/>
          <w:szCs w:val="16"/>
        </w:rPr>
      </w:pPr>
    </w:p>
    <w:p w14:paraId="205FC2A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М-90 проходил совместные ис</w:t>
      </w:r>
      <w:r w:rsidRPr="001E2C69">
        <w:rPr>
          <w:rFonts w:ascii="Times New Roman" w:hAnsi="Times New Roman"/>
          <w:color w:val="000000" w:themeColor="text1"/>
          <w:sz w:val="16"/>
          <w:szCs w:val="16"/>
        </w:rPr>
        <w:softHyphen/>
        <w:t>пытания, госиспытания в декабре 1943 г., но не подтвер</w:t>
      </w:r>
      <w:r w:rsidRPr="001E2C69">
        <w:rPr>
          <w:rFonts w:ascii="Times New Roman" w:hAnsi="Times New Roman"/>
          <w:color w:val="000000" w:themeColor="text1"/>
          <w:sz w:val="16"/>
          <w:szCs w:val="16"/>
        </w:rPr>
        <w:softHyphen/>
        <w:t>дил заявленных характеристик. Работы были прекращены в начале 1944 г. В общей сложности изготовлено более 20 экземпляров. В документах упо</w:t>
      </w:r>
      <w:r w:rsidRPr="001E2C69">
        <w:rPr>
          <w:rFonts w:ascii="Times New Roman" w:hAnsi="Times New Roman"/>
          <w:color w:val="000000" w:themeColor="text1"/>
          <w:sz w:val="16"/>
          <w:szCs w:val="16"/>
        </w:rPr>
        <w:softHyphen/>
        <w:t>минаются модификации М-90Б и М-90Ж, но отличия их неизвестны.</w:t>
      </w:r>
    </w:p>
    <w:p w14:paraId="14BC63D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Характеристики:</w:t>
      </w:r>
    </w:p>
    <w:p w14:paraId="1A4E94F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18-цилиндровый, двухрядный звездообразный, четырехтактный, воз</w:t>
      </w:r>
      <w:r w:rsidRPr="001E2C69">
        <w:rPr>
          <w:rFonts w:ascii="Times New Roman" w:hAnsi="Times New Roman"/>
          <w:color w:val="000000" w:themeColor="text1"/>
          <w:sz w:val="16"/>
          <w:szCs w:val="16"/>
        </w:rPr>
        <w:softHyphen/>
        <w:t>душного охлаждения, редукторный, с двухскоростнъш ПЦН;</w:t>
      </w:r>
    </w:p>
    <w:p w14:paraId="53B545C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мощность по заданию 1500/1950 л.с., проектная 2000 л.с., фактиче</w:t>
      </w:r>
      <w:r w:rsidRPr="001E2C69">
        <w:rPr>
          <w:rFonts w:ascii="Times New Roman" w:hAnsi="Times New Roman"/>
          <w:color w:val="000000" w:themeColor="text1"/>
          <w:sz w:val="16"/>
          <w:szCs w:val="16"/>
        </w:rPr>
        <w:softHyphen/>
        <w:t>ски 1550/1750 л.с.;</w:t>
      </w:r>
    </w:p>
    <w:p w14:paraId="6C42EE2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вес первых экземпляров 950 кг, поздних — 1070 кг (при 850 кг по заданию);</w:t>
      </w:r>
    </w:p>
    <w:p w14:paraId="5EB67E7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диаметр цилиндра/ход поршня 146/165 мм. (11852).</w:t>
      </w:r>
    </w:p>
    <w:p w14:paraId="1A1DAB1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7F3861DF" w14:textId="77777777" w:rsidR="005B1690" w:rsidRPr="001E2C69" w:rsidRDefault="005B16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на заводе № 19ис</w:t>
      </w:r>
      <w:r w:rsidRPr="001E2C69">
        <w:rPr>
          <w:rFonts w:ascii="Times New Roman" w:hAnsi="Times New Roman"/>
          <w:color w:val="000000" w:themeColor="text1"/>
          <w:sz w:val="16"/>
          <w:szCs w:val="16"/>
        </w:rPr>
        <w:softHyphen/>
        <w:t xml:space="preserve">пытали американские керамические свечи </w:t>
      </w:r>
      <w:r w:rsidRPr="001E2C69">
        <w:rPr>
          <w:rFonts w:ascii="Times New Roman" w:hAnsi="Times New Roman"/>
          <w:color w:val="000000" w:themeColor="text1"/>
          <w:sz w:val="16"/>
          <w:szCs w:val="16"/>
          <w:lang w:val="en-US"/>
        </w:rPr>
        <w:t>AC</w:t>
      </w:r>
      <w:r w:rsidRPr="001E2C69">
        <w:rPr>
          <w:rFonts w:ascii="Times New Roman" w:hAnsi="Times New Roman"/>
          <w:color w:val="000000" w:themeColor="text1"/>
          <w:sz w:val="16"/>
          <w:szCs w:val="16"/>
        </w:rPr>
        <w:t>-</w:t>
      </w:r>
      <w:r w:rsidRPr="001E2C69">
        <w:rPr>
          <w:rFonts w:ascii="Times New Roman" w:hAnsi="Times New Roman"/>
          <w:color w:val="000000" w:themeColor="text1"/>
          <w:sz w:val="16"/>
          <w:szCs w:val="16"/>
          <w:lang w:val="en-US"/>
        </w:rPr>
        <w:t>LS</w:t>
      </w:r>
      <w:r w:rsidRPr="001E2C69">
        <w:rPr>
          <w:rFonts w:ascii="Times New Roman" w:hAnsi="Times New Roman"/>
          <w:color w:val="000000" w:themeColor="text1"/>
          <w:sz w:val="16"/>
          <w:szCs w:val="16"/>
        </w:rPr>
        <w:t>-85 при длительном испытании М-82 на станке. После 12 часов работы (из них 9 часов на режиме) заменили одну свечу вслед</w:t>
      </w:r>
      <w:r w:rsidRPr="001E2C69">
        <w:rPr>
          <w:rFonts w:ascii="Times New Roman" w:hAnsi="Times New Roman"/>
          <w:color w:val="000000" w:themeColor="text1"/>
          <w:sz w:val="16"/>
          <w:szCs w:val="16"/>
        </w:rPr>
        <w:softHyphen/>
        <w:t>ствие разрушения изолятора и 3 свечи вследствие прогорания ввёртной части корпуса в свечной втулке цилиндра. После 32 часов работы (из них 18 часов на режиме) замени</w:t>
      </w:r>
      <w:r w:rsidRPr="001E2C69">
        <w:rPr>
          <w:rFonts w:ascii="Times New Roman" w:hAnsi="Times New Roman"/>
          <w:color w:val="000000" w:themeColor="text1"/>
          <w:sz w:val="16"/>
          <w:szCs w:val="16"/>
        </w:rPr>
        <w:softHyphen/>
        <w:t>ли 4 свечи вследствие пробоя изолятора сердечника и 2 свечи вследствие разрушения изолятора сердечника.</w:t>
      </w:r>
    </w:p>
    <w:p w14:paraId="310F98C8" w14:textId="77777777" w:rsidR="005B1690" w:rsidRPr="001E2C69" w:rsidRDefault="005B1690"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целом, ухудшение работы свечей обусловливалось ростом мощностей моторов и применением высокооктанового топлива (повышением степени сжатия) (15829).</w:t>
      </w:r>
    </w:p>
    <w:p w14:paraId="3E64F25E" w14:textId="77777777" w:rsidR="005B1690" w:rsidRPr="001E2C69" w:rsidRDefault="005B1690" w:rsidP="00722885">
      <w:pPr>
        <w:spacing w:after="0" w:line="240" w:lineRule="auto"/>
        <w:jc w:val="both"/>
        <w:rPr>
          <w:rFonts w:ascii="Times New Roman" w:hAnsi="Times New Roman"/>
          <w:color w:val="000000" w:themeColor="text1"/>
          <w:sz w:val="16"/>
          <w:szCs w:val="16"/>
        </w:rPr>
      </w:pPr>
    </w:p>
    <w:p w14:paraId="41B2E574" w14:textId="77777777" w:rsidR="005B1690" w:rsidRPr="001E2C69" w:rsidRDefault="005B16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 августе 1942 г. окончательно рухнула надежда на окончание доводки бо</w:t>
      </w:r>
      <w:r w:rsidRPr="001E2C69">
        <w:rPr>
          <w:rFonts w:ascii="Times New Roman" w:cs="Times New Roman"/>
          <w:color w:val="000000" w:themeColor="text1"/>
          <w:spacing w:val="0"/>
        </w:rPr>
        <w:softHyphen/>
        <w:t>лее мощного мотора М-107. Конструктору В.Я. Климову не поздоровилось бы, но спасло его то, что он пообещал Сталину быстро создать новый, ещё более мощ</w:t>
      </w:r>
      <w:r w:rsidRPr="001E2C69">
        <w:rPr>
          <w:rFonts w:ascii="Times New Roman" w:cs="Times New Roman"/>
          <w:color w:val="000000" w:themeColor="text1"/>
          <w:spacing w:val="0"/>
        </w:rPr>
        <w:softHyphen/>
        <w:t>ный мотор, получивший обозначение М-107А. Теперь надежды на повышение лётных данных самых многочисленных в ВВС КА истребителей «Як» всецело зависели от успеха создания этого мотора. Но после неудачи с М-107 у руководства НКАП и ВВС на этот счёт имелись очевидные опасения.</w:t>
      </w:r>
    </w:p>
    <w:p w14:paraId="07195CCD" w14:textId="77777777" w:rsidR="005B1690" w:rsidRPr="001E2C69" w:rsidRDefault="005B16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Поэтому именно от результатов работы пермских моторостроителей во многом зави</w:t>
      </w:r>
      <w:r w:rsidRPr="001E2C69">
        <w:rPr>
          <w:rFonts w:ascii="Times New Roman" w:cs="Times New Roman"/>
          <w:color w:val="000000" w:themeColor="text1"/>
          <w:spacing w:val="0"/>
        </w:rPr>
        <w:softHyphen/>
        <w:t>сел скорейший выход новых модернизированных истребителей. Но и здесь неожиданно возникла дилемма.</w:t>
      </w:r>
    </w:p>
    <w:p w14:paraId="7309C6C9" w14:textId="77777777" w:rsidR="005B1690" w:rsidRPr="001E2C69" w:rsidRDefault="005B16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Дело в том, что Н.Н. Поликарпов продолжал работу по доводке своего истребителя И-185, теперь уже только с мотором М-71. В 1942 г. завод № 51 построил «образцовый» И-185-М-71 с улучшенной внешней и внутренней аэродинамикой капота мотора, с ус</w:t>
      </w:r>
      <w:r w:rsidRPr="001E2C69">
        <w:rPr>
          <w:rFonts w:ascii="Times New Roman" w:cs="Times New Roman"/>
          <w:color w:val="000000" w:themeColor="text1"/>
          <w:spacing w:val="0"/>
        </w:rPr>
        <w:softHyphen/>
        <w:t>тановкой 3-пушечного вооружения и устранением ранее обнаруженных недостатков. За</w:t>
      </w:r>
      <w:r w:rsidRPr="001E2C69">
        <w:rPr>
          <w:rFonts w:ascii="Times New Roman" w:cs="Times New Roman"/>
          <w:color w:val="000000" w:themeColor="text1"/>
          <w:spacing w:val="0"/>
        </w:rPr>
        <w:softHyphen/>
        <w:t xml:space="preserve">водские испытания этого самолёта продолжались всё лето и закончились 12 октября 1942 г. Столь длительный срок был вызван потребовавшимися доработками ВМГ из-за высокого температурного режима мотора. </w:t>
      </w:r>
    </w:p>
    <w:p w14:paraId="591C1490" w14:textId="77777777" w:rsidR="005B1690" w:rsidRPr="001E2C69" w:rsidRDefault="005B16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Как оказалось, усилия потратили не зря. Получили высокие лётные данные: макси</w:t>
      </w:r>
      <w:r w:rsidRPr="001E2C69">
        <w:rPr>
          <w:rFonts w:ascii="Times New Roman" w:cs="Times New Roman"/>
          <w:color w:val="000000" w:themeColor="text1"/>
          <w:spacing w:val="0"/>
        </w:rPr>
        <w:softHyphen/>
        <w:t>мальная скорость у земли на номинале — 537 км/ч, на форсаже (Н=90 м) — 577 км/ч, на 2-й границе высотности 6100 м — 667 км/ч, время набора 5000 м — 4,7 мин. В то время такими показателями не обладал ни один из отечественных и известных ино</w:t>
      </w:r>
      <w:r w:rsidRPr="001E2C69">
        <w:rPr>
          <w:rFonts w:ascii="Times New Roman" w:cs="Times New Roman"/>
          <w:color w:val="000000" w:themeColor="text1"/>
          <w:spacing w:val="0"/>
        </w:rPr>
        <w:softHyphen/>
        <w:t>странных истребителей (</w:t>
      </w:r>
      <w:r w:rsidRPr="001E2C69">
        <w:rPr>
          <w:rFonts w:ascii="Times New Roman" w:cs="Times New Roman"/>
          <w:color w:val="000000" w:themeColor="text1"/>
          <w:spacing w:val="0"/>
          <w:lang w:val="en-US"/>
        </w:rPr>
        <w:t>Bf</w:t>
      </w:r>
      <w:r w:rsidRPr="001E2C69">
        <w:rPr>
          <w:rFonts w:ascii="Times New Roman" w:cs="Times New Roman"/>
          <w:color w:val="000000" w:themeColor="text1"/>
          <w:spacing w:val="0"/>
        </w:rPr>
        <w:t>.109</w:t>
      </w:r>
      <w:r w:rsidRPr="001E2C69">
        <w:rPr>
          <w:rFonts w:ascii="Times New Roman" w:cs="Times New Roman"/>
          <w:color w:val="000000" w:themeColor="text1"/>
          <w:spacing w:val="0"/>
          <w:lang w:val="en-US"/>
        </w:rPr>
        <w:t>G</w:t>
      </w:r>
      <w:r w:rsidRPr="001E2C69">
        <w:rPr>
          <w:rFonts w:ascii="Times New Roman" w:cs="Times New Roman"/>
          <w:color w:val="000000" w:themeColor="text1"/>
          <w:spacing w:val="0"/>
        </w:rPr>
        <w:t>-2 в НИИ ВВС испытывался позже).</w:t>
      </w:r>
    </w:p>
    <w:p w14:paraId="254DC8C8" w14:textId="77777777" w:rsidR="005B1690" w:rsidRPr="001E2C69" w:rsidRDefault="005B1690"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Дело с доводкой М-71 также продвинулось вперёд (15813).</w:t>
      </w:r>
    </w:p>
    <w:p w14:paraId="341C6CC9" w14:textId="77777777" w:rsidR="005B1690" w:rsidRPr="001E2C69" w:rsidRDefault="005B1690" w:rsidP="00722885">
      <w:pPr>
        <w:pStyle w:val="27"/>
        <w:shd w:val="clear" w:color="auto" w:fill="auto"/>
        <w:spacing w:after="0" w:line="240" w:lineRule="auto"/>
        <w:ind w:firstLine="0"/>
        <w:rPr>
          <w:rFonts w:ascii="Times New Roman" w:cs="Times New Roman"/>
          <w:color w:val="000000" w:themeColor="text1"/>
          <w:spacing w:val="0"/>
        </w:rPr>
      </w:pPr>
    </w:p>
    <w:p w14:paraId="4186237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года на приёме, устроенном в честь прибытия в Москву английской правительственной делегации, Сталин, представляя Черчиллю Шахурина, изрёк с присущим ему чёрным юмором: «Вот наш нарком авиационной промышленности, он отвечает за обеспечение фронта боевыми самолётами, и если он этого не сделает, мы его повесим». Мрачную фразу вождь сопроводил выразительным движением руки вокруг шеи.</w:t>
      </w:r>
    </w:p>
    <w:p w14:paraId="520BCB9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Однако, наряду с «кнутом» угроз и наказаний власть также использовала и «пряник» поощрений и наград. Для манипулирования высшим менеджментом авиастроения Сталин задействовал в отношениях с ним классическую формулу «разделяй и властвуй». В частности, поддерживал подспудную борьбу между Шахуриным, которого, в свою очередь, опекал Маленков, и замом наркома Яковлевым. При этом, как бы держась над схваткой, Сталин периодически вставал на сторону то одной, то другой группировки, укрепляя тем самым собственную власть (12018).</w:t>
      </w:r>
    </w:p>
    <w:p w14:paraId="298E82FA"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B4374D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вышел приказ о реэвакуации ЦАГИ и 156 завода в Москву (109,153). Директором 156 завода в Москве стал А.В.Ляпидевский (109,149).</w:t>
      </w:r>
    </w:p>
    <w:p w14:paraId="45E6CCB3" w14:textId="77777777" w:rsidR="00AE7191" w:rsidRPr="001E2C69" w:rsidRDefault="00AE7191" w:rsidP="00722885">
      <w:pPr>
        <w:pStyle w:val="Iauiue"/>
        <w:jc w:val="both"/>
        <w:rPr>
          <w:color w:val="000000" w:themeColor="text1"/>
          <w:sz w:val="16"/>
          <w:szCs w:val="16"/>
        </w:rPr>
      </w:pPr>
    </w:p>
    <w:p w14:paraId="4247D26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г. на заводе №99 (Улан-Удэ) было организовано производство истребителя ЛаГГ-5 (Ла-5) (4094) (3573).</w:t>
      </w:r>
    </w:p>
    <w:p w14:paraId="585ECDE5" w14:textId="77777777" w:rsidR="00AE7191" w:rsidRPr="001E2C69" w:rsidRDefault="00AE7191" w:rsidP="00722885">
      <w:pPr>
        <w:pStyle w:val="Iauiue"/>
        <w:jc w:val="both"/>
        <w:rPr>
          <w:color w:val="000000" w:themeColor="text1"/>
          <w:sz w:val="16"/>
          <w:szCs w:val="16"/>
        </w:rPr>
      </w:pPr>
    </w:p>
    <w:p w14:paraId="480DB14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летные исследования ВРД-1 на летающей лаборатории ЛаГГ-3 с мотором М-105ПФ проводил летчик-испытатель Г.А. Мищенко. Двигатель ВРД-1 имел длину 2,15 м и диаметр диффузора 0,14 м при весе 16 кг. Прирост скорости при включении ПВРД получился небольшой, около 15 км/ч. Поскольку задача получения максимальной скорости при включении ПВРД не ставилась, то и требования к аэродинамике узлов его крепления к крылу, "съедавших" 35 - 40 км/ч, не предъявлялись. Полеты показали, что до установки ПВРД на боевой самолет необходимо обеспечить устойчивое горение топлива с автоматическим регулированием состава смеси и запуск ПВРД на больших высотах (11983).</w:t>
      </w:r>
    </w:p>
    <w:p w14:paraId="505761B0"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34B75C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августа 1942 г. заводу № 126 были переданы недостроенные помещения соседнего завода №130, (ныне территория «Б») строительство которого началось еще в 1940 г. для выпуска самолета И-26. Однако, к тому времени намечавшийся к выпуску самолет И-26 был отдан на другое предприятие и з-д №130 остался без заказа. 23 авг. 1942 г. на основании приказа зам. наркома авиационной промышленности П. В. Дементьева строительство завода № 130 со всеми зданиями, сооружениями и оборудованием было передано на баланс завода № 126. На директора завода № 126 Д.А. Тимофееева возлагалась эксплуатация и достройка завода № 130 (12211).</w:t>
      </w:r>
    </w:p>
    <w:p w14:paraId="40F323A5"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AAB598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на заводе Компрессор была изготовлена пусковая установка М-13-МII для 32 М-13 - башенно-палубного типа. Поставили на бронекатер проекта 1124 взамен кормовой башни. Осенью испытали, но на вооружение не приняли и опытный экз. Оставался в Волжской флотилии (4305,34).</w:t>
      </w:r>
    </w:p>
    <w:p w14:paraId="2A96F2DA" w14:textId="77777777" w:rsidR="00AE7191" w:rsidRPr="001E2C69" w:rsidRDefault="00AE7191" w:rsidP="00722885">
      <w:pPr>
        <w:pStyle w:val="Iauiue"/>
        <w:jc w:val="both"/>
        <w:rPr>
          <w:color w:val="000000" w:themeColor="text1"/>
          <w:sz w:val="16"/>
          <w:szCs w:val="16"/>
        </w:rPr>
      </w:pPr>
    </w:p>
    <w:p w14:paraId="7BEF685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года завод № 278 был эвакуирован в Ульяновск на площадь строящейся макаронной фабрики и влился в завод № 280 (9484).</w:t>
      </w:r>
    </w:p>
    <w:p w14:paraId="2A83A974" w14:textId="77777777" w:rsidR="00AE7191" w:rsidRPr="001E2C69" w:rsidRDefault="00AE7191" w:rsidP="00722885">
      <w:pPr>
        <w:pStyle w:val="Iauiue"/>
        <w:jc w:val="both"/>
        <w:rPr>
          <w:color w:val="000000" w:themeColor="text1"/>
          <w:sz w:val="16"/>
          <w:szCs w:val="16"/>
        </w:rPr>
      </w:pPr>
    </w:p>
    <w:p w14:paraId="18088FC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ОКБ-34 НКАП переведено в Москву на площадку завода № 124. По приказу № 225с от 17.04.1943 г. ОКБ завода № 34 с 1.04.1943 г. получило наименование ОКБ-124 НКАП и передано в подчинение заводу № 124. Головное ОКБ по радиаторам. С 1.07.1946 г. ОКБ-124 объединено с заводом № 124 в единый опытный завод № 124 в системе 7ГУ. По приказу № 440с от 21.06.1948 г. завод преобразован в серийный, ОКБ-124 выделилось из его состава. С 1957 г. ОКБ передано из 7ГУ в 6ГУ. С 01.1960 г. для усиления опытно-конструкторской и экспериментальной базы ОКБ вновь объединено с заводом в единое предприятие. Вместо ликвидированного серийного КБ при ОКБ образован техотдел. В послевоенный период работы по криогенно-вакуумной технике, системам кондиционирования воздуха в кабинах ЛА. Радиаторы и обогреватели, турбохолодильники, ТМР, арматура, оборудование для высотных полетов. Гл. конструктор (04.1943-85 г.)- Г.И. Воронин (10776).</w:t>
      </w:r>
    </w:p>
    <w:p w14:paraId="1B7F6C9A"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2761E1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ОКБ-34 НКАП переведено в Москву на площадку завода № 124. По приказу № 225с от 17.04.1943 г. ОКБ завода № 34 с 1.04.1943 г. получило наименование ОКБ-124 НКАП и передано в подчинение заводу № 124. Головное ОКБ по радиаторам. В 1944 г. создан первый воздухо-воздушный радиатор, в 06.1948 г. - первый авиационный турбохолодильник.</w:t>
      </w:r>
    </w:p>
    <w:p w14:paraId="086D69D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1.07.1946 г. ОКБ-124 объединено с заводом № 124 в единый опытный завод № 124 в системе 7ГУ. По приказу № 440с от 21.06.1948 г. завод преобразован в серийный, ОКБ-124 выделено из его состава. С 1957 г. ОКБ передано из 7ГУ в 6ГУ, с 08.1957 г.- в ведении 2ГУ МАП. С 01.1960 г. для усиления опытно-конструкторской и экспериментальной базы ОКБ вновь объединено с заводом в единое предприятие. Вместо ликвидированного серийного КБ при ОКБ образован техотдел.</w:t>
      </w:r>
    </w:p>
    <w:p w14:paraId="688339B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послевоенный период работы по криогенно-вакуумной технике, системам кондиционирования воздуха в кабинах </w:t>
      </w:r>
      <w:r w:rsidRPr="001E2C69">
        <w:rPr>
          <w:rFonts w:ascii="Times New Roman" w:hAnsi="Times New Roman"/>
          <w:color w:val="000000" w:themeColor="text1"/>
          <w:sz w:val="16"/>
          <w:szCs w:val="16"/>
          <w:lang w:val="en-US"/>
        </w:rPr>
        <w:t>JIA</w:t>
      </w:r>
      <w:r w:rsidRPr="001E2C69">
        <w:rPr>
          <w:rFonts w:ascii="Times New Roman" w:hAnsi="Times New Roman"/>
          <w:color w:val="000000" w:themeColor="text1"/>
          <w:sz w:val="16"/>
          <w:szCs w:val="16"/>
        </w:rPr>
        <w:t>. Радиаторы и обогреватели, турбохолодильники, ТМР, арматура, оборудование для высотных полетов.</w:t>
      </w:r>
    </w:p>
    <w:p w14:paraId="0D4B4BE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конструктор (04.1943-85 г.)-  Г.И. Воронин (11982).</w:t>
      </w:r>
    </w:p>
    <w:p w14:paraId="1CAB2985"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D6495E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завод № 329 (Завод № 329 НКАП /пос. Дземги-на-Амуре Хабаровского кр./) влит в состав завода № 126 НКАП (11982).</w:t>
      </w:r>
    </w:p>
    <w:p w14:paraId="46D8914B"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D4ACF2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года было организовано ОКБ-383 на основании приказа заместителя НКАП Дементьева П.В. на базе завода № 383 с направлением работ по винтовой тематике.</w:t>
      </w:r>
    </w:p>
    <w:p w14:paraId="39FABE8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1952 году в тематику ОКБ были включены подвесные топливные баки, производство их продолжалось до 1954 года.</w:t>
      </w:r>
    </w:p>
    <w:p w14:paraId="636BF81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мая 1954 года ОКБ в основном перешло на изготовление центробежных топливных насосов для чего была выстроена опытная испытательная станция.</w:t>
      </w:r>
    </w:p>
    <w:p w14:paraId="401A5DC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1942 года по 1945 год гл. конструктором был Гришин А.В.</w:t>
      </w:r>
    </w:p>
    <w:p w14:paraId="4E8C950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1945 по 1949 год приказом МАП гл. конструктором был назначен Кузьмин Г.И.</w:t>
      </w:r>
    </w:p>
    <w:p w14:paraId="023EF3E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Приказом МАП № 146к от 1 апреля 1949 года гл. конструктором назначен Заславский Г.М. (9398).</w:t>
      </w:r>
    </w:p>
    <w:p w14:paraId="4420D3FE" w14:textId="77777777" w:rsidR="00AE7191" w:rsidRPr="001E2C69" w:rsidRDefault="00AE7191" w:rsidP="00722885">
      <w:pPr>
        <w:pStyle w:val="Iauiue"/>
        <w:jc w:val="both"/>
        <w:rPr>
          <w:color w:val="000000" w:themeColor="text1"/>
          <w:sz w:val="16"/>
          <w:szCs w:val="16"/>
        </w:rPr>
      </w:pPr>
    </w:p>
    <w:p w14:paraId="45032AAD" w14:textId="77777777" w:rsidR="00184FC4" w:rsidRPr="001E2C69" w:rsidRDefault="00184FC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на приеме, устроенном в честь прибытия в Москву английской правительственной делегации, тот, представляя Черчиллю Шахурина, изрек с присущим ему черным юмором: «Вот наш нарком авиационной промышленности, он отвечает за обеспечение фронта боевыми самолетами, и, если он этого не сделает, мы его повесим». Мрачную фразу вождь сопроводил выразительным движением руки вокруг шеи (18305).</w:t>
      </w:r>
    </w:p>
    <w:p w14:paraId="2589016C" w14:textId="77777777" w:rsidR="00184FC4" w:rsidRPr="001E2C69" w:rsidRDefault="00184FC4" w:rsidP="00722885">
      <w:pPr>
        <w:spacing w:after="0" w:line="240" w:lineRule="auto"/>
        <w:jc w:val="both"/>
        <w:rPr>
          <w:rFonts w:ascii="Times New Roman" w:hAnsi="Times New Roman"/>
          <w:color w:val="000000" w:themeColor="text1"/>
          <w:sz w:val="16"/>
          <w:szCs w:val="16"/>
        </w:rPr>
      </w:pPr>
    </w:p>
    <w:p w14:paraId="4AD36C58" w14:textId="77777777" w:rsidR="00AB5DE8" w:rsidRPr="008A2E5A" w:rsidRDefault="00AB5DE8" w:rsidP="00AB5D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1942 г. на приеме, устроенном в честь прибытия в Москву английской правительственной делегации, И.В.С., представляя Черчиллю Шахурина, изрек с присущим ему черным юмором: «Вот наш нарком авиационной промышленности, он отвечает за обеспечение фронта боевыми самолетами, и, если он этого не сделает, мы его повесим». Мрачную фразу вождь сопроводил выразительным движением руки вокруг шеи (23472).</w:t>
      </w:r>
    </w:p>
    <w:p w14:paraId="2BF04669" w14:textId="77777777" w:rsidR="00AB5DE8" w:rsidRPr="008A2E5A" w:rsidRDefault="00AB5DE8" w:rsidP="00AB5DE8">
      <w:pPr>
        <w:spacing w:after="0" w:line="240" w:lineRule="auto"/>
        <w:jc w:val="both"/>
        <w:rPr>
          <w:rFonts w:ascii="Times New Roman" w:hAnsi="Times New Roman"/>
          <w:color w:val="0070C0"/>
          <w:sz w:val="16"/>
          <w:szCs w:val="16"/>
        </w:rPr>
      </w:pPr>
    </w:p>
    <w:p w14:paraId="276B0419" w14:textId="77777777" w:rsidR="00AB5DE8" w:rsidRPr="008A2E5A" w:rsidRDefault="00AB5DE8" w:rsidP="00AB5D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августа 1942 г. летающие лодки 422-й эскадрильи Королевских ВВС начали из Инвергордона в Шотландии регулярные рейсы в Россию. Они возили запчасти для «Харрикейнов», пока не возобновилось движение арктических конвоев. В сен</w:t>
      </w:r>
      <w:r w:rsidRPr="008A2E5A">
        <w:rPr>
          <w:rFonts w:ascii="Times New Roman" w:hAnsi="Times New Roman"/>
          <w:color w:val="0070C0"/>
          <w:sz w:val="16"/>
          <w:szCs w:val="16"/>
        </w:rPr>
        <w:softHyphen/>
        <w:t>тябре того же года при проводке конвоя PQ 18 на озере Красном разместили деся</w:t>
      </w:r>
      <w:r w:rsidRPr="008A2E5A">
        <w:rPr>
          <w:rFonts w:ascii="Times New Roman" w:hAnsi="Times New Roman"/>
          <w:color w:val="0070C0"/>
          <w:sz w:val="16"/>
          <w:szCs w:val="16"/>
        </w:rPr>
        <w:softHyphen/>
        <w:t>ток «Каталин» 210-й эскадрильи, которые патрулировали зоны, недоступные для МБР-2 (23513).</w:t>
      </w:r>
    </w:p>
    <w:p w14:paraId="4F890401" w14:textId="77777777" w:rsidR="00AB5DE8" w:rsidRPr="008A2E5A" w:rsidRDefault="00AB5DE8" w:rsidP="00AB5DE8">
      <w:pPr>
        <w:spacing w:after="0" w:line="240" w:lineRule="auto"/>
        <w:jc w:val="both"/>
        <w:rPr>
          <w:rFonts w:ascii="Times New Roman" w:hAnsi="Times New Roman"/>
          <w:color w:val="0070C0"/>
          <w:sz w:val="16"/>
          <w:szCs w:val="16"/>
        </w:rPr>
      </w:pPr>
    </w:p>
    <w:p w14:paraId="3A718BA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года на основании Постановления ГОКО № 2107 от 26 июля 1942 года и приказа НКАП № 565-с от 28 июля 1942 года началось строительство карбидного завода № 57.</w:t>
      </w:r>
    </w:p>
    <w:p w14:paraId="310717A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Расположен завод в черте Куйбышева.</w:t>
      </w:r>
    </w:p>
    <w:p w14:paraId="78232BE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Директор – Травников</w:t>
      </w:r>
    </w:p>
    <w:p w14:paraId="7858D6C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Адрес: Куйбышев, ст. Безымянка, Кировский район, Кировское шоссе, расстояние до города 20 км, расстояние до ж/д станции 5 км</w:t>
      </w:r>
    </w:p>
    <w:p w14:paraId="033536D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Производственный профиль – основная продукция карбид кальция</w:t>
      </w:r>
    </w:p>
    <w:p w14:paraId="2B858AC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Строительство его было начато в августе 1942 года, введен в эксплуатацию 2 октября 1942 года для выпуска карбида кальция (9836).</w:t>
      </w:r>
    </w:p>
    <w:p w14:paraId="3D29E8BC" w14:textId="77777777" w:rsidR="00AE7191" w:rsidRPr="001E2C69" w:rsidRDefault="00AE7191" w:rsidP="00722885">
      <w:pPr>
        <w:pStyle w:val="Iauiue"/>
        <w:jc w:val="both"/>
        <w:rPr>
          <w:color w:val="000000" w:themeColor="text1"/>
          <w:sz w:val="16"/>
          <w:szCs w:val="16"/>
        </w:rPr>
      </w:pPr>
    </w:p>
    <w:p w14:paraId="0BD2491F" w14:textId="77777777" w:rsidR="007D7196" w:rsidRPr="001E2C69" w:rsidRDefault="007D71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(в тот же период, что и М.Л. Миль с Н.И. Камовым) начальник передвижных ремонтных мастерских военинженер 3 ранга А.Ф.Алферов и офицеры Х.Я. Суляев и Л.Р. Репс из состава Черноморской оперативной группы ГМЧ СевКавфронта по ходатайству командующего Черноморской группы войск полковника А.И. Нестеренко перед ГУВ ГМЧ приступили к созданию горнострелковой 8-ствольной РСЗО М-8-8 для стрельбы «пехотными» 82-мм реактивными снарядами М-8 осколочного действия. Для повышения огневой мощи количество направляющих у нее увеличили до восьми, что позволяло вести огонь по площадям. Как и у Камова, она также предназначалась для стрельбы и уничтожения живой силы и легкоуязвимой техники, но в стесненных горных условиях, недоступных для использования полевой артиллерии и самоходных РСЗО (15595).</w:t>
      </w:r>
    </w:p>
    <w:p w14:paraId="1D4BCF0E" w14:textId="77777777" w:rsidR="007D7196" w:rsidRPr="001E2C69" w:rsidRDefault="007D7196" w:rsidP="00722885">
      <w:pPr>
        <w:spacing w:after="0" w:line="240" w:lineRule="auto"/>
        <w:jc w:val="both"/>
        <w:rPr>
          <w:rFonts w:ascii="Times New Roman" w:hAnsi="Times New Roman"/>
          <w:color w:val="000000" w:themeColor="text1"/>
          <w:sz w:val="16"/>
          <w:szCs w:val="16"/>
        </w:rPr>
      </w:pPr>
    </w:p>
    <w:p w14:paraId="005306AF" w14:textId="77777777" w:rsidR="007D7196" w:rsidRPr="001E2C69" w:rsidRDefault="007D7196" w:rsidP="00722885">
      <w:pPr>
        <w:spacing w:after="0" w:line="240" w:lineRule="auto"/>
        <w:jc w:val="both"/>
        <w:rPr>
          <w:rFonts w:ascii="Times New Roman" w:eastAsia="Times New Roman" w:hAnsi="Times New Roman"/>
          <w:color w:val="000000" w:themeColor="text1"/>
          <w:sz w:val="16"/>
          <w:szCs w:val="16"/>
        </w:rPr>
      </w:pPr>
      <w:r w:rsidRPr="001E2C69">
        <w:rPr>
          <w:rFonts w:ascii="Times New Roman" w:eastAsia="Times New Roman" w:hAnsi="Times New Roman"/>
          <w:color w:val="000000" w:themeColor="text1"/>
          <w:sz w:val="16"/>
          <w:szCs w:val="16"/>
        </w:rPr>
        <w:t>В августе 1942 года была изготовлена первая партия в количестве десяти боевых установок М-8-М для вооружения Волжской и других флотилий. Установки были применены в переломной для Великой Отечественной войны Сталинградской битве (15982).</w:t>
      </w:r>
    </w:p>
    <w:p w14:paraId="0C341CB4" w14:textId="77777777" w:rsidR="007D7196" w:rsidRPr="001E2C69" w:rsidRDefault="007D7196" w:rsidP="00722885">
      <w:pPr>
        <w:spacing w:after="0" w:line="240" w:lineRule="auto"/>
        <w:jc w:val="both"/>
        <w:rPr>
          <w:rFonts w:ascii="Times New Roman" w:eastAsia="Times New Roman" w:hAnsi="Times New Roman"/>
          <w:color w:val="000000" w:themeColor="text1"/>
          <w:sz w:val="16"/>
          <w:szCs w:val="16"/>
        </w:rPr>
      </w:pPr>
    </w:p>
    <w:p w14:paraId="463DD08D" w14:textId="77777777" w:rsidR="007D7196" w:rsidRPr="001E2C69" w:rsidRDefault="007D71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года по ходатайству ВМФ, на основании Постановления Совнаркома №14724рс от 6 августа 1942 года, на заводе № 733 НКМВ для ВМФ было предусмотрено изготовление 30 установок М-8-М и 20 установок М-13-М.</w:t>
      </w:r>
    </w:p>
    <w:p w14:paraId="4C768B0D" w14:textId="77777777" w:rsidR="007D7196" w:rsidRPr="001E2C69" w:rsidRDefault="007D71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Одновременно заместитель председателя СНК Союза ССР т.Берия был распоряжение ГУВГМФ Ст.Верх.Главн. Командования по обеспечению изготовленных установок в ВМФ боезапасом (15982).</w:t>
      </w:r>
    </w:p>
    <w:p w14:paraId="7AC15A78" w14:textId="77777777" w:rsidR="007D7196" w:rsidRPr="001E2C69" w:rsidRDefault="007D7196" w:rsidP="00722885">
      <w:pPr>
        <w:spacing w:after="0" w:line="240" w:lineRule="auto"/>
        <w:jc w:val="both"/>
        <w:rPr>
          <w:rFonts w:ascii="Times New Roman" w:hAnsi="Times New Roman"/>
          <w:color w:val="000000" w:themeColor="text1"/>
          <w:sz w:val="16"/>
          <w:szCs w:val="16"/>
        </w:rPr>
      </w:pPr>
    </w:p>
    <w:p w14:paraId="66B8AB3F" w14:textId="77777777" w:rsidR="007D7196" w:rsidRPr="001E2C69" w:rsidRDefault="007D71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года на Волжской Военной Флотилии была испытана вторая опытная установка М-13-М, изготовленная заводом № 733, с учетом конструктивных доделок и изменений отмеченных комиссией и смонтированная зав.№340 (г.Зеленодольск) на бронекатера типа 1124. Испытания показали положительные результаты, и бронекатер с установкой М-13-М вошел в строй ВВФ (15982).</w:t>
      </w:r>
    </w:p>
    <w:p w14:paraId="558E8141" w14:textId="77777777" w:rsidR="007D7196" w:rsidRPr="001E2C69" w:rsidRDefault="007D7196" w:rsidP="00722885">
      <w:pPr>
        <w:spacing w:after="0" w:line="240" w:lineRule="auto"/>
        <w:jc w:val="both"/>
        <w:rPr>
          <w:rFonts w:ascii="Times New Roman" w:hAnsi="Times New Roman"/>
          <w:color w:val="000000" w:themeColor="text1"/>
          <w:sz w:val="16"/>
          <w:szCs w:val="16"/>
        </w:rPr>
      </w:pPr>
    </w:p>
    <w:p w14:paraId="57016DA2" w14:textId="24A2BF98" w:rsidR="007D7196" w:rsidRPr="001E2C69" w:rsidRDefault="007D71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августе 1942 г. СКБ московского завода №733 “Компрессор“ был создан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опытный 2-х ствольный станок для пуска реактивной противо</w:t>
      </w:r>
      <w:hyperlink r:id="rId216"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 xml:space="preserve">овой мины МП-10. Станок разрабатывался по заданию ГУВ ГМЧ КА, ТЗ-00149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и предназначался для поражения </w:t>
      </w:r>
      <w:hyperlink r:id="rId217"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 xml:space="preserve">ов и бронемашин противника.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Заводское название: переносной двуствольный противо</w:t>
      </w:r>
      <w:hyperlink r:id="rId218"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овый реактивный миномет (ПДПРМ).</w:t>
      </w:r>
    </w:p>
    <w:p w14:paraId="6CD7C394" w14:textId="7857E6D5" w:rsidR="007D7196" w:rsidRPr="001E2C69" w:rsidRDefault="007D71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Боевой станок (пусковая установка)для МП-10 представлял собой направляющие в виде двух тонкостенных гладких стальных труб, в которые сзади вставлялись мины МП-10. Снизу к направляющим крепились: спусковой механизм с рычагом и шепталом механического действия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с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двойным спусковым крючком, , передний суппорт и задний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упор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удерживающие мину от выпадения,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трубчатая рукоять для наведения, передняя трубчатая сошка. Прицельные приспособления</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 представляли собой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простые открытые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мушку и рамку приваренные к стволу с левой стороны.</w:t>
      </w:r>
    </w:p>
    <w:p w14:paraId="2C76FBE7" w14:textId="77777777" w:rsidR="007D7196" w:rsidRPr="001E2C69" w:rsidRDefault="007D71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Пуск мины производился нажатием на спусковой крючок, при этом механизм выдергивал из мины запал мгновенного действия.</w:t>
      </w:r>
    </w:p>
    <w:p w14:paraId="6BAA9F90" w14:textId="77777777" w:rsidR="007D7196" w:rsidRPr="001E2C69" w:rsidRDefault="007D71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Прицеливание и пуск мины производился из лежачего положения. При пуске стрелок надевал на голову специальный защитный шлем.</w:t>
      </w:r>
    </w:p>
    <w:p w14:paraId="0BB83E91" w14:textId="4DD8078D" w:rsidR="007D7196" w:rsidRPr="001E2C69" w:rsidRDefault="007D71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Станок был испытан на артиллерийском полигоне ГАУ и был принят на вооружение РККА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(В индексах вооружения ГАУ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значился как: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52-У-931 - 2-зарядный станок серт. ТЗ-00149 для пуска 100-мм противо</w:t>
      </w:r>
      <w:hyperlink r:id="rId219"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 xml:space="preserve">овых мин 52-У-941Б.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журнал № 0018, 1942 г)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 xml:space="preserve">Заводом “Компрессор” </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была изготовлена опытная серия.</w:t>
      </w:r>
    </w:p>
    <w:p w14:paraId="3644FFD7" w14:textId="77777777" w:rsidR="007D7196" w:rsidRPr="001E2C69" w:rsidRDefault="007D71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сентябре 1942 г. была создана одноствольная версия с</w:t>
      </w:r>
      <w:hyperlink r:id="rId220"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а для пуска реактивной противо</w:t>
      </w:r>
      <w:hyperlink r:id="rId221"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овой мины МП-10. Конструкция была полностью аналогична двуствольному образцу.</w:t>
      </w:r>
    </w:p>
    <w:p w14:paraId="1017B9AB" w14:textId="77777777" w:rsidR="007D7196" w:rsidRPr="001E2C69" w:rsidRDefault="007D71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сожалению, ТТХ данных РПГ и характеристик противо</w:t>
      </w:r>
      <w:hyperlink r:id="rId222" w:tgtFrame="_blank" w:history="1">
        <w:r w:rsidRPr="001E2C69">
          <w:rPr>
            <w:rFonts w:ascii="Times New Roman" w:hAnsi="Times New Roman"/>
            <w:color w:val="000000" w:themeColor="text1"/>
            <w:sz w:val="16"/>
            <w:szCs w:val="16"/>
          </w:rPr>
          <w:t>танк</w:t>
        </w:r>
      </w:hyperlink>
      <w:r w:rsidRPr="001E2C69">
        <w:rPr>
          <w:rFonts w:ascii="Times New Roman" w:hAnsi="Times New Roman"/>
          <w:color w:val="000000" w:themeColor="text1"/>
          <w:sz w:val="16"/>
          <w:szCs w:val="16"/>
        </w:rPr>
        <w:t>овой реактивной мины МП-10 и результатов испытаний не обнаружено…(15596).</w:t>
      </w:r>
    </w:p>
    <w:p w14:paraId="793A916F" w14:textId="77777777" w:rsidR="007D7196" w:rsidRPr="001E2C69" w:rsidRDefault="007D7196" w:rsidP="00722885">
      <w:pPr>
        <w:spacing w:after="0" w:line="240" w:lineRule="auto"/>
        <w:jc w:val="both"/>
        <w:rPr>
          <w:rFonts w:ascii="Times New Roman" w:hAnsi="Times New Roman"/>
          <w:color w:val="000000" w:themeColor="text1"/>
          <w:sz w:val="16"/>
          <w:szCs w:val="16"/>
        </w:rPr>
      </w:pPr>
    </w:p>
    <w:p w14:paraId="56EA57FE" w14:textId="2D00C4D8" w:rsidR="007D7196" w:rsidRPr="001E2C69" w:rsidRDefault="007D71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1942 было построено 8 установок Б-64-А, которые прямо на заводе «Баррикады» были укомплектованы</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артиллерийскими расчётами из моряков, эвакуированных из Севастополя. При эвакуации в Сталинград с завода «Большевик» сотрудников КБ, было перевезено значительное количество палубных морских установок Б-38. Эвакуированные конструкторы КБ «Большевика»</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под руководством Е. Г. Рудяка, Г. Н. Кузнецова, А.</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А. Флоренского разработали в Сталинграде свой</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проект. Дальнейшую разработку</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по Б-64-А вели в Сталинграде совместно конструкторы «Большевика», «Баррикад», ЛМЗ. Установки приняли активное участие в обороне Сталинграда, накрывая огнём технику и пехоту фашистов на дальних подступах к городу. В дни,</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когда город подвергался жестоким артобстрелам и</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бомбёжкам, батареи маневрировали между заводами «Баррикады» и тракторным. Когда бои начались</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в городе, железнодорожные транспортёры Б-64-А</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были направлены на другие участки фронтов (15132).</w:t>
      </w:r>
    </w:p>
    <w:p w14:paraId="773E9119" w14:textId="77777777" w:rsidR="007D7196" w:rsidRPr="001E2C69" w:rsidRDefault="007D7196" w:rsidP="00722885">
      <w:pPr>
        <w:spacing w:after="0" w:line="240" w:lineRule="auto"/>
        <w:jc w:val="both"/>
        <w:rPr>
          <w:rFonts w:ascii="Times New Roman" w:hAnsi="Times New Roman"/>
          <w:color w:val="000000" w:themeColor="text1"/>
          <w:sz w:val="16"/>
          <w:szCs w:val="16"/>
        </w:rPr>
      </w:pPr>
    </w:p>
    <w:p w14:paraId="36516684" w14:textId="4F864E03" w:rsidR="00CE32F4" w:rsidRPr="001E2C69" w:rsidRDefault="00CE32F4" w:rsidP="00722885">
      <w:pPr>
        <w:pStyle w:val="af"/>
        <w:spacing w:before="0" w:after="0"/>
        <w:jc w:val="both"/>
        <w:textAlignment w:val="baseline"/>
        <w:rPr>
          <w:color w:val="000000" w:themeColor="text1"/>
          <w:sz w:val="16"/>
          <w:szCs w:val="16"/>
        </w:rPr>
      </w:pPr>
      <w:r w:rsidRPr="001E2C69">
        <w:rPr>
          <w:color w:val="000000" w:themeColor="text1"/>
          <w:sz w:val="16"/>
          <w:szCs w:val="16"/>
        </w:rPr>
        <w:t>В августе 1942 г. начальник передвижных ремонтных мастерских военинженер 3 ранга А.Ф.Алферов и офицеры Х.Я. Суляев и Л.Р. Репс из состава Черноморской оперативной группы ГМЧ СевКавфронта</w:t>
      </w:r>
      <w:r w:rsidRPr="001E2C69">
        <w:rPr>
          <w:rStyle w:val="a8"/>
          <w:rFonts w:eastAsiaTheme="majorEastAsia"/>
          <w:b w:val="0"/>
          <w:iCs/>
          <w:color w:val="000000" w:themeColor="text1"/>
          <w:sz w:val="16"/>
          <w:szCs w:val="16"/>
          <w:bdr w:val="none" w:sz="0" w:space="0" w:color="auto" w:frame="1"/>
        </w:rPr>
        <w:t xml:space="preserve"> приступили к разработке Горнострелковой 8-ствольной РСЗО М-8-8</w:t>
      </w:r>
      <w:r w:rsidR="001E2C69">
        <w:rPr>
          <w:color w:val="000000" w:themeColor="text1"/>
          <w:sz w:val="16"/>
          <w:szCs w:val="16"/>
        </w:rPr>
        <w:t xml:space="preserve">   </w:t>
      </w:r>
      <w:r w:rsidRPr="001E2C69">
        <w:rPr>
          <w:color w:val="000000" w:themeColor="text1"/>
          <w:sz w:val="16"/>
          <w:szCs w:val="16"/>
        </w:rPr>
        <w:t>для стрельбы «пехотными» 82-мм реактивными снарядами М-8 осколочного действия. По ходатайству командующего Черноморской группы войск полковника А.И. Нестеренко перед ГУВ ГМЧ она поступила на вооружение Красной Армии в 1942 г.</w:t>
      </w:r>
    </w:p>
    <w:p w14:paraId="6BD6A84C" w14:textId="77777777" w:rsidR="00CE32F4" w:rsidRPr="001E2C69" w:rsidRDefault="00CE32F4" w:rsidP="00722885">
      <w:pPr>
        <w:pStyle w:val="af"/>
        <w:spacing w:before="0" w:after="0"/>
        <w:jc w:val="both"/>
        <w:textAlignment w:val="baseline"/>
        <w:rPr>
          <w:color w:val="000000" w:themeColor="text1"/>
          <w:sz w:val="16"/>
          <w:szCs w:val="16"/>
        </w:rPr>
      </w:pPr>
      <w:r w:rsidRPr="001E2C69">
        <w:rPr>
          <w:color w:val="000000" w:themeColor="text1"/>
          <w:sz w:val="16"/>
          <w:szCs w:val="16"/>
        </w:rPr>
        <w:t>В пояснительной записке Суляева и Репса к проекту, датированной 3 сентября 1942 г., предлагалось два варианта монтажа установки: на «козлах» (с</w:t>
      </w:r>
      <w:hyperlink r:id="rId223" w:history="1">
        <w:r w:rsidRPr="001E2C69">
          <w:rPr>
            <w:rStyle w:val="a6"/>
            <w:rFonts w:eastAsiaTheme="majorEastAsia"/>
            <w:color w:val="000000" w:themeColor="text1"/>
            <w:sz w:val="16"/>
            <w:szCs w:val="16"/>
            <w:bdr w:val="none" w:sz="0" w:space="0" w:color="auto" w:frame="1"/>
          </w:rPr>
          <w:t>танк</w:t>
        </w:r>
      </w:hyperlink>
      <w:r w:rsidRPr="001E2C69">
        <w:rPr>
          <w:color w:val="000000" w:themeColor="text1"/>
          <w:sz w:val="16"/>
          <w:szCs w:val="16"/>
        </w:rPr>
        <w:t>е) и на двухколесной тележке. Оба варианта — с восемью авиационными направляющими РО-82 «флейта», оснащенными штатными пиропистолетами. Установки не имели прицела, их невозможно было наводить по азимуту. Для запуска снарядов планировали использовать аккумулятор и дистанционный прибор управления огнем. Оба варианта установок изготовили в ремонтных мастерских и испытали стрельбой. Для командования СевКавфронта провели демонстрационные стрельбы из обеих установок с удовлетворительными результатами.</w:t>
      </w:r>
    </w:p>
    <w:p w14:paraId="25035D5A" w14:textId="77777777" w:rsidR="00CE32F4" w:rsidRPr="001E2C69" w:rsidRDefault="00CE32F4" w:rsidP="00722885">
      <w:pPr>
        <w:pStyle w:val="af"/>
        <w:spacing w:before="0" w:after="0"/>
        <w:jc w:val="both"/>
        <w:textAlignment w:val="baseline"/>
        <w:rPr>
          <w:color w:val="000000" w:themeColor="text1"/>
          <w:sz w:val="16"/>
          <w:szCs w:val="16"/>
        </w:rPr>
      </w:pPr>
      <w:r w:rsidRPr="001E2C69">
        <w:rPr>
          <w:color w:val="000000" w:themeColor="text1"/>
          <w:sz w:val="16"/>
          <w:szCs w:val="16"/>
        </w:rPr>
        <w:t>По итогам испытаний была отмечена необходимость упростить и усовершенствовать конструкцию Алферова-Суляева-Репса. в начале сентября 1942 г. сборочные чертежи установок из ГУВ ГМЧ направили на завод «Компрессор» для отработки рабочих чертежей мини-РСЗО и организации их производства на Северном Кавказе. Представитель ГУВ ГМЧ Н.Н. Юрышев, конструктор СКВ завода «Компрессор» Ф.И. Есаков и военпред ГУВ ГМЧ на заводе «Компрессор» Е.А. Доброхотов доработали конструкцию с</w:t>
      </w:r>
      <w:hyperlink r:id="rId224" w:history="1">
        <w:r w:rsidRPr="001E2C69">
          <w:rPr>
            <w:rStyle w:val="a6"/>
            <w:rFonts w:eastAsiaTheme="majorEastAsia"/>
            <w:color w:val="000000" w:themeColor="text1"/>
            <w:sz w:val="16"/>
            <w:szCs w:val="16"/>
            <w:bdr w:val="none" w:sz="0" w:space="0" w:color="auto" w:frame="1"/>
          </w:rPr>
          <w:t>танк</w:t>
        </w:r>
      </w:hyperlink>
      <w:r w:rsidRPr="001E2C69">
        <w:rPr>
          <w:color w:val="000000" w:themeColor="text1"/>
          <w:sz w:val="16"/>
          <w:szCs w:val="16"/>
        </w:rPr>
        <w:t xml:space="preserve">ового варианта этой РСЗО, заменив дюралевые авиационные направляющие стальным пакетом из четырех «спарок». Это убедительно свидетельствует о неизбежности радикальной доработки СРГ из компонентов авиационного вооружения по требованиям Сухопутных войск. Кроме того, установка </w:t>
      </w:r>
      <w:r w:rsidRPr="001E2C69">
        <w:rPr>
          <w:color w:val="000000" w:themeColor="text1"/>
          <w:sz w:val="16"/>
          <w:szCs w:val="16"/>
        </w:rPr>
        <w:lastRenderedPageBreak/>
        <w:t>получила возможность изменять угол возвышения в значительно больших пределах и возможность разворота по азимуту. А вместо электрического способа запуска ракет доработчики использовали более компактный и надежный способ «огневой связью», запускаемый с помощью двух пиропистолетов. Установка стала легкоразборной (из трех частей) и вполне транспортабельной как гужевым транспортом, так и на руках.</w:t>
      </w:r>
    </w:p>
    <w:p w14:paraId="0D211559" w14:textId="77777777" w:rsidR="00CE32F4" w:rsidRPr="001E2C69" w:rsidRDefault="00CE32F4" w:rsidP="00722885">
      <w:pPr>
        <w:pStyle w:val="af"/>
        <w:spacing w:before="0" w:after="0"/>
        <w:jc w:val="both"/>
        <w:textAlignment w:val="baseline"/>
        <w:rPr>
          <w:color w:val="000000" w:themeColor="text1"/>
          <w:sz w:val="16"/>
          <w:szCs w:val="16"/>
        </w:rPr>
      </w:pPr>
      <w:r w:rsidRPr="001E2C69">
        <w:rPr>
          <w:color w:val="000000" w:themeColor="text1"/>
          <w:sz w:val="16"/>
          <w:szCs w:val="16"/>
        </w:rPr>
        <w:t>Запальный узел Юрышева-Есакова-Доброхотова был весьма оригинальным. Благодаря ему от единственного пиропатрона все снаряды верхнего или нижнего ряда пакета направляющих стартовали с небольшими интервалами. То есть, по команде достаточно было запустить один снаряд, а остальные три стартовали автоматически. Жестко закрепленными на пакете направляющих изогнутыми стальными трубками, введенными в сопло снаряда, при выстреле первого стартового боеприпаса пламя далее распределялось между остальными, поджигая сопловой воспламенитель в двигателе ракетного снаряда, запуская боеприпас. А те, в свою очередь, инициировали старт следующих. И хотя отсечь длину серии было нереально, представлялось возможным укоротить ее, заранее, до стрельбы заряжая установку с дульной части в особом порядке.</w:t>
      </w:r>
    </w:p>
    <w:p w14:paraId="493CAE08" w14:textId="77777777" w:rsidR="00CE32F4" w:rsidRPr="001E2C69" w:rsidRDefault="00CE32F4" w:rsidP="00722885">
      <w:pPr>
        <w:pStyle w:val="af"/>
        <w:spacing w:before="0" w:after="0"/>
        <w:jc w:val="both"/>
        <w:textAlignment w:val="baseline"/>
        <w:rPr>
          <w:color w:val="000000" w:themeColor="text1"/>
          <w:sz w:val="16"/>
          <w:szCs w:val="16"/>
        </w:rPr>
      </w:pPr>
      <w:r w:rsidRPr="001E2C69">
        <w:rPr>
          <w:color w:val="000000" w:themeColor="text1"/>
          <w:sz w:val="16"/>
          <w:szCs w:val="16"/>
        </w:rPr>
        <w:t>Все это позволило отказаться от дефицитных в то время и тяжелых аккумуляторов, прибора управления огнем и ненадежной электропроводки. В каждый пиропистолет (запальник) заряжали два холостых патрона пистолета ТТ. Этим дублированием повышалась надежность их срабатывания и исключалась осечка (аналогично для запуска ракетных снарядов более крупных калибров — РОФС-132, РБС-132 и пр. — с 1938 г. в ракетном двигателе использовали две пиросвечи с пиропатронами). Пиропистолет приводился в действие при выдергивании шнуром чеки из его курка. Таким образом благодаря длинному шнуру исключалась необходимость в защитном щитке (у Миля) и термостойком покрывале (у Камова) для защиты стрелка.</w:t>
      </w:r>
    </w:p>
    <w:p w14:paraId="37ED3350" w14:textId="77777777" w:rsidR="00CE32F4" w:rsidRPr="001E2C69" w:rsidRDefault="00CE32F4" w:rsidP="00722885">
      <w:pPr>
        <w:pStyle w:val="af"/>
        <w:spacing w:before="0" w:after="0"/>
        <w:jc w:val="both"/>
        <w:textAlignment w:val="baseline"/>
        <w:rPr>
          <w:color w:val="000000" w:themeColor="text1"/>
          <w:sz w:val="16"/>
          <w:szCs w:val="16"/>
        </w:rPr>
      </w:pPr>
      <w:r w:rsidRPr="001E2C69">
        <w:rPr>
          <w:color w:val="000000" w:themeColor="text1"/>
          <w:sz w:val="16"/>
          <w:szCs w:val="16"/>
        </w:rPr>
        <w:t>Масса мини-РСЗО составляла 68,5 кг, из коих 36,4 кг приходилось на пакет направляющих длиной 970 мм. По итогам ее испытаний 22 октября 1942 г. потребовалось упростить, облегчить и усилить пакет направляющих, увеличить жесткость и устойчивость с</w:t>
      </w:r>
      <w:hyperlink r:id="rId225" w:history="1">
        <w:r w:rsidRPr="001E2C69">
          <w:rPr>
            <w:rStyle w:val="a6"/>
            <w:rFonts w:eastAsiaTheme="majorEastAsia"/>
            <w:color w:val="000000" w:themeColor="text1"/>
            <w:sz w:val="16"/>
            <w:szCs w:val="16"/>
            <w:bdr w:val="none" w:sz="0" w:space="0" w:color="auto" w:frame="1"/>
          </w:rPr>
          <w:t>танк</w:t>
        </w:r>
      </w:hyperlink>
      <w:r w:rsidRPr="001E2C69">
        <w:rPr>
          <w:color w:val="000000" w:themeColor="text1"/>
          <w:sz w:val="16"/>
          <w:szCs w:val="16"/>
        </w:rPr>
        <w:t>а и поворотного узла. Согласитесь, что к с</w:t>
      </w:r>
      <w:hyperlink r:id="rId226" w:history="1">
        <w:r w:rsidRPr="001E2C69">
          <w:rPr>
            <w:rStyle w:val="a6"/>
            <w:rFonts w:eastAsiaTheme="majorEastAsia"/>
            <w:color w:val="000000" w:themeColor="text1"/>
            <w:sz w:val="16"/>
            <w:szCs w:val="16"/>
            <w:bdr w:val="none" w:sz="0" w:space="0" w:color="auto" w:frame="1"/>
          </w:rPr>
          <w:t>танк</w:t>
        </w:r>
      </w:hyperlink>
      <w:r w:rsidRPr="001E2C69">
        <w:rPr>
          <w:color w:val="000000" w:themeColor="text1"/>
          <w:sz w:val="16"/>
          <w:szCs w:val="16"/>
        </w:rPr>
        <w:t>у пулемета «Максим» таких претензий не предъявишь. Между тем еще недоработанное детище Алферова-Суляева-Репса одобрил Военный Совет Черноморской группы войск, передав его в производство авторемонтным мастерским и железнодорожному депо Сочи и Сухуми. К 1 октября 1942 г. было изготовлено 48 установок (восемь с электрозапалами и 40 с «огневой связью») и вооружено 12 горно-вьючных батарей РСЗО.</w:t>
      </w:r>
    </w:p>
    <w:p w14:paraId="21D645B4" w14:textId="77777777" w:rsidR="00CE32F4" w:rsidRPr="001E2C69" w:rsidRDefault="00CE32F4" w:rsidP="00722885">
      <w:pPr>
        <w:pStyle w:val="af"/>
        <w:spacing w:before="0" w:after="0"/>
        <w:jc w:val="both"/>
        <w:textAlignment w:val="baseline"/>
        <w:rPr>
          <w:color w:val="000000" w:themeColor="text1"/>
          <w:sz w:val="16"/>
          <w:szCs w:val="16"/>
        </w:rPr>
      </w:pPr>
      <w:r w:rsidRPr="001E2C69">
        <w:rPr>
          <w:color w:val="000000" w:themeColor="text1"/>
          <w:sz w:val="16"/>
          <w:szCs w:val="16"/>
        </w:rPr>
        <w:t>У доработанной РСЗО на кольце станины были нанесены деления азимутальных меток, а угол возвышения расчет контролировал встроенным «транспортиром». Очевидно, пристрелка батареи по цели осуществлялась из одной установки одиночными выстрелами из «главного ствола», а затем уточняли угловые положения остальных, заряженных на полную емкость, и давали полный залп. Боеприпасы использовали исключительно с контактными авиационными взрывателями AM-А или пехотными ГВМЗ «для мин». Защиты личного состава расчетов РСЗО не требовалось, поскольку люди укрывались заранее, перед стрельбой.</w:t>
      </w:r>
    </w:p>
    <w:p w14:paraId="343CC25D" w14:textId="77777777" w:rsidR="00CE32F4" w:rsidRPr="001E2C69" w:rsidRDefault="00CE32F4" w:rsidP="00722885">
      <w:pPr>
        <w:pStyle w:val="af"/>
        <w:spacing w:before="0" w:after="0"/>
        <w:jc w:val="both"/>
        <w:textAlignment w:val="baseline"/>
        <w:rPr>
          <w:color w:val="000000" w:themeColor="text1"/>
          <w:sz w:val="16"/>
          <w:szCs w:val="16"/>
        </w:rPr>
      </w:pPr>
      <w:r w:rsidRPr="001E2C69">
        <w:rPr>
          <w:color w:val="000000" w:themeColor="text1"/>
          <w:sz w:val="16"/>
          <w:szCs w:val="16"/>
        </w:rPr>
        <w:t>Опыт боевого применения мини-РСЗО оказался положительным, и в СКБ завода «Компрессор» по ТЗ ГУВ ГМЧ от 2 декабря 1942 г. далее усовершенствовали горную пусковую установку, повысив ее устойчивость, при стрельбе, снизив массу до 51 кг и уменьшив габариты. Углы поворота пакета направляющих по горизонту ограничили сектором ±45°, а угол возвышения — пределами от 0° до +48°. Длина пакета направляющих уменьшилась до 780 мм. Пирописто-лет нижнего ряда упразднялся, а раздача пламени по воспламенителям снарядов верхнего и нижнего рядов осуществлялась от верхнего пиропистолета. Таким образом, уменьшилось и время перезарядки установки. Кроме того, ее оснастили панорамой.</w:t>
      </w:r>
    </w:p>
    <w:p w14:paraId="19F93790" w14:textId="77777777" w:rsidR="00CE32F4" w:rsidRPr="001E2C69" w:rsidRDefault="00CE32F4" w:rsidP="00722885">
      <w:pPr>
        <w:pStyle w:val="af"/>
        <w:spacing w:before="0" w:after="0"/>
        <w:jc w:val="both"/>
        <w:textAlignment w:val="baseline"/>
        <w:rPr>
          <w:color w:val="000000" w:themeColor="text1"/>
          <w:sz w:val="16"/>
          <w:szCs w:val="16"/>
        </w:rPr>
      </w:pPr>
      <w:r w:rsidRPr="001E2C69">
        <w:rPr>
          <w:color w:val="000000" w:themeColor="text1"/>
          <w:sz w:val="16"/>
          <w:szCs w:val="16"/>
        </w:rPr>
        <w:t>На Пензенском машиностроительном заводе изготовили опытный образец усовершенствованной горной пусковой установки. Ее испытания прошли с 12 по 26 июля 1943 г. По их результатам установку рекомендовали принять на вооружение и запустить в серийное производство. В ходе Великой Отечественной войны горно-вьючные пусковые установки М-8-8, успешно применяли в предгорьях и горных районах Кавказа и в Карпатах. Ими же оснащали легкие джипы «Виллис-МВ» и ГАЗ-67, торпедные катера, плашкоуты и бывшие рыболовецкие сейнеры.</w:t>
      </w:r>
    </w:p>
    <w:p w14:paraId="08D5579F" w14:textId="77777777" w:rsidR="00CE32F4" w:rsidRPr="001E2C69" w:rsidRDefault="00CE32F4" w:rsidP="00722885">
      <w:pPr>
        <w:pStyle w:val="af"/>
        <w:spacing w:before="0" w:after="0"/>
        <w:jc w:val="both"/>
        <w:textAlignment w:val="baseline"/>
        <w:rPr>
          <w:color w:val="000000" w:themeColor="text1"/>
          <w:sz w:val="16"/>
          <w:szCs w:val="16"/>
        </w:rPr>
      </w:pPr>
      <w:r w:rsidRPr="001E2C69">
        <w:rPr>
          <w:color w:val="000000" w:themeColor="text1"/>
          <w:sz w:val="16"/>
          <w:szCs w:val="16"/>
        </w:rPr>
        <w:t>Однако конструктивную схему установки Апферова-Суляева-Репса оригинальной признать нельзя, поскольку в войсках с конца 1941 г. для зенитного прикрытия аэродромов в ВВС Красной Армии уже использовали «народные» ракетные установки, изготовленные в полковых мастерских, с количеством направляющих от 2 до 24. От горнострелковой их отличала, по сути, только возможность вести огонь с большими углами возвышения (практически в зенит), да то, что стрелок располагался в центре между двумя пакетами направляющих. Прицелы использовали как механические от авиационного турельного пулемета, с кольцевой сеткой и флюгер-мушкой, так и коллиматорные. Защитных устройств (за исключением шлема, перчаток и очков) не предусматривалось. За все время использования таких установок (практически до конца 1942 г.) случаев травмирования стрелков при старте своих ракетных снарядов зафиксировано не было (18989).</w:t>
      </w:r>
    </w:p>
    <w:p w14:paraId="7B8F2D19" w14:textId="77777777" w:rsidR="00CE32F4" w:rsidRPr="001E2C69" w:rsidRDefault="00CE32F4" w:rsidP="00722885">
      <w:pPr>
        <w:pStyle w:val="rtecenter"/>
        <w:spacing w:before="0" w:beforeAutospacing="0" w:after="0" w:afterAutospacing="0"/>
        <w:jc w:val="both"/>
        <w:textAlignment w:val="baseline"/>
        <w:rPr>
          <w:color w:val="000000" w:themeColor="text1"/>
          <w:sz w:val="16"/>
          <w:szCs w:val="16"/>
        </w:rPr>
      </w:pPr>
    </w:p>
    <w:p w14:paraId="4F6971FC" w14:textId="77777777" w:rsidR="00184FC4" w:rsidRPr="001E2C69" w:rsidRDefault="00184FC4"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В августе 1942 СКБ «Компрессор» под руководством ведущего конструктора Александра Николаевича Васильева была изготовлена башенно-палубная установка М-13-МII для снарядов калибра 132 мм. Она крепилась на место артиллерийской пушки, снятой с бронекатера, а по конструктивной схеме была аналогична М-8-М. В августе установку испытали на бронекатере №315 проекта 1124.</w:t>
      </w:r>
    </w:p>
    <w:p w14:paraId="1B46BDCB" w14:textId="35A92FDA" w:rsidR="00184FC4" w:rsidRPr="001E2C69" w:rsidRDefault="00184FC4"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Все три экспериментальные установки были оставлены на вооружении Волжской военной флотилии и приняли участие в</w:t>
      </w:r>
      <w:r w:rsidR="001E2C69">
        <w:rPr>
          <w:color w:val="000000" w:themeColor="text1"/>
          <w:sz w:val="16"/>
          <w:szCs w:val="16"/>
        </w:rPr>
        <w:t xml:space="preserve">   </w:t>
      </w:r>
      <w:hyperlink r:id="rId227" w:history="1">
        <w:r w:rsidRPr="001E2C69">
          <w:rPr>
            <w:rStyle w:val="a6"/>
            <w:rFonts w:eastAsia="Franklin Gothic Book"/>
            <w:color w:val="000000" w:themeColor="text1"/>
            <w:sz w:val="16"/>
            <w:szCs w:val="16"/>
            <w:bdr w:val="none" w:sz="0" w:space="0" w:color="auto" w:frame="1"/>
          </w:rPr>
          <w:t>битве за Сталинград</w:t>
        </w:r>
      </w:hyperlink>
      <w:r w:rsidRPr="001E2C69">
        <w:rPr>
          <w:color w:val="000000" w:themeColor="text1"/>
          <w:sz w:val="16"/>
          <w:szCs w:val="16"/>
        </w:rPr>
        <w:t>. Например, 25 августа бронекатер, вооружённый М-8-М, дал два залпа по посёлку Рынок, а через четыре дня снова обстрелял его, уничтожив взвод вражеских автоматчиков. 31 августа бронекатер с установкой М-13МII разрушил своими залпами два дзота и четыре пулемётных гнезда противника (19941).</w:t>
      </w:r>
    </w:p>
    <w:p w14:paraId="03EBE825" w14:textId="77777777" w:rsidR="00184FC4" w:rsidRPr="001E2C69" w:rsidRDefault="00184FC4" w:rsidP="00722885">
      <w:pPr>
        <w:pStyle w:val="af"/>
        <w:shd w:val="clear" w:color="auto" w:fill="FFFFFF"/>
        <w:spacing w:before="0" w:after="0"/>
        <w:jc w:val="both"/>
        <w:textAlignment w:val="baseline"/>
        <w:rPr>
          <w:color w:val="000000" w:themeColor="text1"/>
          <w:sz w:val="16"/>
          <w:szCs w:val="16"/>
        </w:rPr>
      </w:pPr>
    </w:p>
    <w:p w14:paraId="0C358D4A" w14:textId="77777777" w:rsidR="00184FC4" w:rsidRPr="001E2C69" w:rsidRDefault="00184FC4"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В августе 1942 года были проведены сравнительные испытания16-зарядных установок на одноконной повозке. В результате 12-зарядная установка М-8-М, созданная ЦКБ-19, была принята на вооружение и заказана партией из 355 штук, а вариант НИИ-3 отвергли (19941).</w:t>
      </w:r>
    </w:p>
    <w:p w14:paraId="7D7A0C0C" w14:textId="77777777" w:rsidR="00184FC4" w:rsidRPr="001E2C69" w:rsidRDefault="00184FC4" w:rsidP="00722885">
      <w:pPr>
        <w:pStyle w:val="af"/>
        <w:shd w:val="clear" w:color="auto" w:fill="FFFFFF"/>
        <w:spacing w:before="0" w:after="0"/>
        <w:jc w:val="both"/>
        <w:textAlignment w:val="baseline"/>
        <w:rPr>
          <w:color w:val="000000" w:themeColor="text1"/>
          <w:sz w:val="16"/>
          <w:szCs w:val="16"/>
        </w:rPr>
      </w:pPr>
    </w:p>
    <w:p w14:paraId="4E2D2317" w14:textId="77777777" w:rsidR="00184FC4" w:rsidRPr="001E2C69" w:rsidRDefault="00184FC4"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В августе 1942 по заданию ГУВ ГМЧ была разработана экспериментальная активно-реактивная установка на шасси ЗИС-6. Она предназначалась для пуска тяжёлых снарядов калибром 300 мм (М-30) миномётным способом. Направляющие были изготовлены в виде пятиметровых гладкостенных труб, которые в казённой части герметически закрывались после помещения в них снаряда. При пуске выхлопные газы, оказавшиеся в замкнутом пространстве, действовали на корпус снаряда, как на поршень, что должно было, по мнению разработчиков, увеличить дальность полёта за счёт прироста начальной скорости. Однако при испытаниях не было получено ни существенного увеличения дальности, ни снижения рассеивания, поэтому установка осталась опытной и использовалась на полигоне для проведения работ, направленных на улучшение баллистических качеств снарядов М-30 и М-31 (19941).</w:t>
      </w:r>
    </w:p>
    <w:p w14:paraId="34A81793" w14:textId="77777777" w:rsidR="00184FC4" w:rsidRPr="001E2C69" w:rsidRDefault="00184FC4" w:rsidP="00722885">
      <w:pPr>
        <w:pStyle w:val="af"/>
        <w:shd w:val="clear" w:color="auto" w:fill="FFFFFF"/>
        <w:spacing w:before="0" w:after="0"/>
        <w:jc w:val="both"/>
        <w:textAlignment w:val="baseline"/>
        <w:rPr>
          <w:color w:val="000000" w:themeColor="text1"/>
          <w:sz w:val="16"/>
          <w:szCs w:val="16"/>
        </w:rPr>
      </w:pPr>
    </w:p>
    <w:p w14:paraId="5C77987F" w14:textId="77777777" w:rsidR="00184FC4" w:rsidRPr="001E2C69" w:rsidRDefault="00184FC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силами личного состава ди</w:t>
      </w:r>
      <w:r w:rsidRPr="001E2C69">
        <w:rPr>
          <w:rFonts w:ascii="Times New Roman" w:hAnsi="Times New Roman"/>
          <w:color w:val="000000" w:themeColor="text1"/>
          <w:sz w:val="16"/>
          <w:szCs w:val="16"/>
        </w:rPr>
        <w:softHyphen/>
        <w:t>визиона «СССР В-12» собрали, а в сентябре дири</w:t>
      </w:r>
      <w:r w:rsidRPr="001E2C69">
        <w:rPr>
          <w:rFonts w:ascii="Times New Roman" w:hAnsi="Times New Roman"/>
          <w:color w:val="000000" w:themeColor="text1"/>
          <w:sz w:val="16"/>
          <w:szCs w:val="16"/>
        </w:rPr>
        <w:softHyphen/>
        <w:t>жабль выполнил первые полёты в качестве газо</w:t>
      </w:r>
      <w:r w:rsidRPr="001E2C69">
        <w:rPr>
          <w:rFonts w:ascii="Times New Roman" w:hAnsi="Times New Roman"/>
          <w:color w:val="000000" w:themeColor="text1"/>
          <w:sz w:val="16"/>
          <w:szCs w:val="16"/>
        </w:rPr>
        <w:softHyphen/>
        <w:t>воза. Экипаж «СССР В-12» состоял из командира А.Устиновича, штурмана А.И. Рощина и борт</w:t>
      </w:r>
      <w:r w:rsidRPr="001E2C69">
        <w:rPr>
          <w:rFonts w:ascii="Times New Roman" w:hAnsi="Times New Roman"/>
          <w:color w:val="000000" w:themeColor="text1"/>
          <w:sz w:val="16"/>
          <w:szCs w:val="16"/>
        </w:rPr>
        <w:softHyphen/>
        <w:t>инженера С.Н. Горячева.</w:t>
      </w:r>
    </w:p>
    <w:p w14:paraId="7322316D" w14:textId="77777777" w:rsidR="00184FC4" w:rsidRPr="001E2C69" w:rsidRDefault="00184FC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Полёты «СССР В-12» проходили рядом с ли</w:t>
      </w:r>
      <w:r w:rsidRPr="001E2C69">
        <w:rPr>
          <w:rFonts w:ascii="Times New Roman" w:hAnsi="Times New Roman"/>
          <w:color w:val="000000" w:themeColor="text1"/>
          <w:sz w:val="16"/>
          <w:szCs w:val="16"/>
        </w:rPr>
        <w:softHyphen/>
        <w:t>нией Калининского фронта, поэтому сохраня</w:t>
      </w:r>
      <w:r w:rsidRPr="001E2C69">
        <w:rPr>
          <w:rFonts w:ascii="Times New Roman" w:hAnsi="Times New Roman"/>
          <w:color w:val="000000" w:themeColor="text1"/>
          <w:sz w:val="16"/>
          <w:szCs w:val="16"/>
        </w:rPr>
        <w:softHyphen/>
        <w:t>лась возможность встречи с самолётами против</w:t>
      </w:r>
      <w:r w:rsidRPr="001E2C69">
        <w:rPr>
          <w:rFonts w:ascii="Times New Roman" w:hAnsi="Times New Roman"/>
          <w:color w:val="000000" w:themeColor="text1"/>
          <w:sz w:val="16"/>
          <w:szCs w:val="16"/>
        </w:rPr>
        <w:softHyphen/>
        <w:t>ника, которая означала неминуемую гибель ди</w:t>
      </w:r>
      <w:r w:rsidRPr="001E2C69">
        <w:rPr>
          <w:rFonts w:ascii="Times New Roman" w:hAnsi="Times New Roman"/>
          <w:color w:val="000000" w:themeColor="text1"/>
          <w:sz w:val="16"/>
          <w:szCs w:val="16"/>
        </w:rPr>
        <w:softHyphen/>
        <w:t>рижабля, единственным вооружением которого были пистолеты ТТ его экипажа.</w:t>
      </w:r>
    </w:p>
    <w:p w14:paraId="01CF1504" w14:textId="77777777" w:rsidR="00184FC4" w:rsidRPr="001E2C69" w:rsidRDefault="00184FC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Однажды дирижабль действительно подверг</w:t>
      </w:r>
      <w:r w:rsidRPr="001E2C69">
        <w:rPr>
          <w:rFonts w:ascii="Times New Roman" w:hAnsi="Times New Roman"/>
          <w:color w:val="000000" w:themeColor="text1"/>
          <w:sz w:val="16"/>
          <w:szCs w:val="16"/>
        </w:rPr>
        <w:softHyphen/>
        <w:t>ся обстрелу. Наши зенитчики приняли тогда шед</w:t>
      </w:r>
      <w:r w:rsidRPr="001E2C69">
        <w:rPr>
          <w:rFonts w:ascii="Times New Roman" w:hAnsi="Times New Roman"/>
          <w:color w:val="000000" w:themeColor="text1"/>
          <w:sz w:val="16"/>
          <w:szCs w:val="16"/>
        </w:rPr>
        <w:softHyphen/>
        <w:t>ший на малой высоте «СССР В-12» за оборвав</w:t>
      </w:r>
      <w:r w:rsidRPr="001E2C69">
        <w:rPr>
          <w:rFonts w:ascii="Times New Roman" w:hAnsi="Times New Roman"/>
          <w:color w:val="000000" w:themeColor="text1"/>
          <w:sz w:val="16"/>
          <w:szCs w:val="16"/>
        </w:rPr>
        <w:softHyphen/>
        <w:t>ший трос аэростат заграждения ПВО Москвы, который было приказано расстрелять, так как ветер уносил его в сторону Калинина за линию фронта. Получив около 200 пробоин, дирижабль долетел до места назначения и, разгрузившись, после несложного ремонта вернулся на базу.</w:t>
      </w:r>
    </w:p>
    <w:p w14:paraId="0065FC05" w14:textId="77777777" w:rsidR="00184FC4" w:rsidRPr="001E2C69" w:rsidRDefault="00184FC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1943 г. интенсивность подготовки десант</w:t>
      </w:r>
      <w:r w:rsidRPr="001E2C69">
        <w:rPr>
          <w:rFonts w:ascii="Times New Roman" w:hAnsi="Times New Roman"/>
          <w:color w:val="000000" w:themeColor="text1"/>
          <w:sz w:val="16"/>
          <w:szCs w:val="16"/>
        </w:rPr>
        <w:softHyphen/>
        <w:t>ников резко возросла, что потребовало больших объёмов водорода. «СССР В-12» летал теперь в любую погоду, днём и ночью. В.А. Устино</w:t>
      </w:r>
      <w:r w:rsidRPr="001E2C69">
        <w:rPr>
          <w:rFonts w:ascii="Times New Roman" w:hAnsi="Times New Roman"/>
          <w:color w:val="000000" w:themeColor="text1"/>
          <w:sz w:val="16"/>
          <w:szCs w:val="16"/>
        </w:rPr>
        <w:softHyphen/>
        <w:t>вич — единственный человек в дивизионе, имев</w:t>
      </w:r>
      <w:r w:rsidRPr="001E2C69">
        <w:rPr>
          <w:rFonts w:ascii="Times New Roman" w:hAnsi="Times New Roman"/>
          <w:color w:val="000000" w:themeColor="text1"/>
          <w:sz w:val="16"/>
          <w:szCs w:val="16"/>
        </w:rPr>
        <w:softHyphen/>
        <w:t>ший право управлять дирижаблем, иногда со</w:t>
      </w:r>
      <w:r w:rsidRPr="001E2C69">
        <w:rPr>
          <w:rFonts w:ascii="Times New Roman" w:hAnsi="Times New Roman"/>
          <w:color w:val="000000" w:themeColor="text1"/>
          <w:sz w:val="16"/>
          <w:szCs w:val="16"/>
        </w:rPr>
        <w:softHyphen/>
        <w:t>вершал по три вылета за день. Чтобы уменьшить его нагрузку, в дивизионе для сменной летной работы подготовили командиров дирижаблей А.Попова, А.И. Рощина и П.Р. Прохорова.</w:t>
      </w:r>
    </w:p>
    <w:p w14:paraId="6381FCD2" w14:textId="77777777" w:rsidR="00184FC4" w:rsidRPr="001E2C69" w:rsidRDefault="00184FC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1943 г. «СССР В-12» выполнил 566 полётов общей продолжительностью 654 часа, перевезя в отряды 116 605 м3 газа и 128 573 кг груза.</w:t>
      </w:r>
    </w:p>
    <w:p w14:paraId="0CCCED30" w14:textId="77777777" w:rsidR="00184FC4" w:rsidRPr="001E2C69" w:rsidRDefault="00184FC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Всего с 1942 по 1945 гг. «СССР В-1 бис» и «СССР В-12» выполнили более 1400 полётов, перевезя в расположенные под Москвой возду</w:t>
      </w:r>
      <w:r w:rsidRPr="001E2C69">
        <w:rPr>
          <w:rFonts w:ascii="Times New Roman" w:hAnsi="Times New Roman"/>
          <w:color w:val="000000" w:themeColor="text1"/>
          <w:sz w:val="16"/>
          <w:szCs w:val="16"/>
        </w:rPr>
        <w:softHyphen/>
        <w:t>хоплавательные отряды 256 тыс. м3 водорода для привязных аэростатов и 310 т служебных грузов.</w:t>
      </w:r>
    </w:p>
    <w:p w14:paraId="2CB3F90B" w14:textId="77777777" w:rsidR="00184FC4" w:rsidRPr="001E2C69" w:rsidRDefault="00184FC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Летом 1945 г. «СССР В-12» применялся для таксации леса в Кировской области. В ходе этих работ он выполнил 57 рейсов, налетал 212 часа. Команда под руководством В.М. Пикалкина (в 1960-е годы — доцент Московского лесотех</w:t>
      </w:r>
      <w:r w:rsidRPr="001E2C69">
        <w:rPr>
          <w:rFonts w:ascii="Times New Roman" w:hAnsi="Times New Roman"/>
          <w:color w:val="000000" w:themeColor="text1"/>
          <w:sz w:val="16"/>
          <w:szCs w:val="16"/>
        </w:rPr>
        <w:softHyphen/>
        <w:t>нического института) за шесть лётных дней про</w:t>
      </w:r>
      <w:r w:rsidRPr="001E2C69">
        <w:rPr>
          <w:rFonts w:ascii="Times New Roman" w:hAnsi="Times New Roman"/>
          <w:color w:val="000000" w:themeColor="text1"/>
          <w:sz w:val="16"/>
          <w:szCs w:val="16"/>
        </w:rPr>
        <w:softHyphen/>
        <w:t>вела с дирижабля изучение лесных площадей в 225 тыс. га, то есть такой объём исследований, на выполнение которых требовалась работа пяти лесоустроительных партий в течение года. В се</w:t>
      </w:r>
      <w:r w:rsidRPr="001E2C69">
        <w:rPr>
          <w:rFonts w:ascii="Times New Roman" w:hAnsi="Times New Roman"/>
          <w:color w:val="000000" w:themeColor="text1"/>
          <w:sz w:val="16"/>
          <w:szCs w:val="16"/>
        </w:rPr>
        <w:softHyphen/>
        <w:t>редине 1947 г. дирижабль сняли с эксплуатации (20120).</w:t>
      </w:r>
    </w:p>
    <w:p w14:paraId="0F65F417" w14:textId="77777777" w:rsidR="00184FC4" w:rsidRPr="001E2C69" w:rsidRDefault="00184FC4" w:rsidP="00722885">
      <w:pPr>
        <w:spacing w:after="0" w:line="240" w:lineRule="auto"/>
        <w:jc w:val="both"/>
        <w:rPr>
          <w:rFonts w:ascii="Times New Roman" w:hAnsi="Times New Roman"/>
          <w:color w:val="000000" w:themeColor="text1"/>
          <w:sz w:val="16"/>
          <w:szCs w:val="16"/>
        </w:rPr>
      </w:pPr>
    </w:p>
    <w:p w14:paraId="053BDC11"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647633E4" w14:textId="77777777" w:rsidR="00AE7191" w:rsidRPr="001E2C69" w:rsidRDefault="00AE7191" w:rsidP="00722885">
      <w:pPr>
        <w:pStyle w:val="Iauiue"/>
        <w:jc w:val="both"/>
        <w:rPr>
          <w:iCs/>
          <w:color w:val="000000" w:themeColor="text1"/>
          <w:sz w:val="16"/>
          <w:szCs w:val="16"/>
        </w:rPr>
      </w:pPr>
    </w:p>
    <w:p w14:paraId="25B1A91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года специалистами АНИОПа был подготовлен проект и окончательные чертежи 320-мм тяжелого газомета ГМ-320. На АНИОПе были проведены испытания 320-мм и 280-мм мин, изготовленных заводом №232 ("Большевик"), и таких же зажигательных мин, изготовленных заводом им. Сталина и снаряженных сегментами на заводе №522. На полигон были доставлены две 320-мм и одна 280-мм зажигательные мины. В качестве снаряжения использовались: состав авиабомбы ЗАБ-100 и зажигательные сегменты от 76-мм зажигательного артснаряда (черт. №204376). Рецепт состава ЗАБ-100 имел в своем составе: 50%) азотнокислого бария, 25% магния и 25% алюминиевой пудры. Поверх набитого состава были положены куски асбеста. В качестве зажигательного стакана устанавливалась картонная трубка с тетри-ловыми шашками весом 0,19 кг. В трубке размещался передаточный воспламенитель изготовленный на Охтинском химкомбинате №757 (6403, 42).</w:t>
      </w:r>
    </w:p>
    <w:p w14:paraId="2BB19DF8" w14:textId="77777777" w:rsidR="00AE7191" w:rsidRPr="001E2C69" w:rsidRDefault="00AE7191" w:rsidP="00722885">
      <w:pPr>
        <w:pStyle w:val="Iauiue"/>
        <w:jc w:val="both"/>
        <w:rPr>
          <w:color w:val="000000" w:themeColor="text1"/>
          <w:sz w:val="16"/>
          <w:szCs w:val="16"/>
        </w:rPr>
      </w:pPr>
    </w:p>
    <w:p w14:paraId="5806042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В августе 1942 года специалисты АНИОПа переработали чертежи мин ГМ-280 (встречается в документах обозначение МГ-280), они были утверждены начальником артиллерии Ленинградского фронта и направлены для производства мин на следующие ленинградские заводы: завод им. Сталина, завод “Большевик” и завод им. </w:t>
      </w:r>
      <w:r w:rsidRPr="001E2C69">
        <w:rPr>
          <w:color w:val="000000" w:themeColor="text1"/>
          <w:sz w:val="16"/>
          <w:szCs w:val="16"/>
        </w:rPr>
        <w:lastRenderedPageBreak/>
        <w:t>Ленина. Все ранее разработанные и используемые при изготовлении мин чертежи подлежали аннулированию (6403, 42).</w:t>
      </w:r>
    </w:p>
    <w:p w14:paraId="79DAADA0" w14:textId="77777777" w:rsidR="00AE7191" w:rsidRPr="001E2C69" w:rsidRDefault="00AE7191" w:rsidP="00722885">
      <w:pPr>
        <w:pStyle w:val="Iauiue"/>
        <w:jc w:val="both"/>
        <w:rPr>
          <w:color w:val="000000" w:themeColor="text1"/>
          <w:sz w:val="16"/>
          <w:szCs w:val="16"/>
        </w:rPr>
      </w:pPr>
    </w:p>
    <w:p w14:paraId="5543C25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года было решено ЗИС-21-11 на вооружение не принимать, так как основная цель модернизации была в увеличении бронепробиваемости, а в результате бронепробиваемость по сравнению с 76-мм пушкой обр. 1927 г. увеличилась на 11 мм на дистанции 300 м и на 12,5 мм на дистанции 500 м (то есть на 50%), но такое увеличение бронепробиваемости стало неоправданным после принятия в боекомплект 76-мм полковой пушки кумулятивных снарядов (3861).</w:t>
      </w:r>
    </w:p>
    <w:p w14:paraId="23828C8C" w14:textId="77777777" w:rsidR="00AE7191" w:rsidRPr="001E2C69" w:rsidRDefault="00AE7191" w:rsidP="00722885">
      <w:pPr>
        <w:pStyle w:val="Iauiue"/>
        <w:jc w:val="both"/>
        <w:rPr>
          <w:color w:val="000000" w:themeColor="text1"/>
          <w:sz w:val="16"/>
          <w:szCs w:val="16"/>
        </w:rPr>
      </w:pPr>
    </w:p>
    <w:p w14:paraId="625698A5" w14:textId="77777777" w:rsidR="000C324B" w:rsidRPr="001E2C69" w:rsidRDefault="000C324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года для мортиры М-4 был изготовлен ствол-моноблок. Затвор с небольшими переделками взяли от гаубицы Б-4. Трубу из</w:t>
      </w:r>
      <w:r w:rsidRPr="001E2C69">
        <w:rPr>
          <w:rFonts w:ascii="Times New Roman" w:hAnsi="Times New Roman"/>
          <w:color w:val="000000" w:themeColor="text1"/>
          <w:sz w:val="16"/>
          <w:szCs w:val="16"/>
        </w:rPr>
        <w:softHyphen/>
        <w:t>готовили заново, для уменьшения отката ствол оснастили массивным щелевым дульным тормозом. Длина ствола по дульный срез составила 3693 мм (18,2 калибра), с дульным тормозом 4328 мм. Мортира в ка</w:t>
      </w:r>
      <w:r w:rsidRPr="001E2C69">
        <w:rPr>
          <w:rFonts w:ascii="Times New Roman" w:hAnsi="Times New Roman"/>
          <w:color w:val="000000" w:themeColor="text1"/>
          <w:sz w:val="16"/>
          <w:szCs w:val="16"/>
        </w:rPr>
        <w:softHyphen/>
        <w:t>честве боеприпасов использовала штатную номенклатуру выстрелов к 203-мм гаубице Б-4. Ввиду более короткого ствола начальная ско</w:t>
      </w:r>
      <w:r w:rsidRPr="001E2C69">
        <w:rPr>
          <w:rFonts w:ascii="Times New Roman" w:hAnsi="Times New Roman"/>
          <w:color w:val="000000" w:themeColor="text1"/>
          <w:sz w:val="16"/>
          <w:szCs w:val="16"/>
        </w:rPr>
        <w:softHyphen/>
        <w:t>рость снаряда снизилась до 353 м/с.</w:t>
      </w:r>
    </w:p>
    <w:p w14:paraId="2F2ADE37" w14:textId="77777777" w:rsidR="000C324B" w:rsidRPr="001E2C69" w:rsidRDefault="000C324B"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Согласно заводской документации, мортира М-4 создавалась для разрушения полевых фортификационных сооружений. Лафет позво</w:t>
      </w:r>
      <w:r w:rsidRPr="001E2C69">
        <w:rPr>
          <w:rFonts w:ascii="Times New Roman" w:hAnsi="Times New Roman"/>
          <w:color w:val="000000" w:themeColor="text1"/>
          <w:sz w:val="16"/>
          <w:szCs w:val="16"/>
        </w:rPr>
        <w:softHyphen/>
        <w:t xml:space="preserve"> лял вести огонь под углами от —2 до 65 градусов, при этом дальность стрельбы варьировалась от 3 до 9,8 километра. Масса М-4 в походном положении составляла 8300 кг, а в боевом 7500 кг, что превышало ана</w:t>
      </w:r>
      <w:r w:rsidRPr="001E2C69">
        <w:rPr>
          <w:rFonts w:ascii="Times New Roman" w:hAnsi="Times New Roman"/>
          <w:color w:val="000000" w:themeColor="text1"/>
          <w:sz w:val="16"/>
          <w:szCs w:val="16"/>
        </w:rPr>
        <w:softHyphen/>
        <w:t xml:space="preserve">логичные показатели 152-мм пушки-гаубицы </w:t>
      </w:r>
      <w:r w:rsidRPr="001E2C69">
        <w:rPr>
          <w:rFonts w:ascii="Times New Roman" w:hAnsi="Times New Roman"/>
          <w:color w:val="000000" w:themeColor="text1"/>
          <w:sz w:val="16"/>
          <w:szCs w:val="16"/>
          <w:lang w:val="en-US"/>
        </w:rPr>
        <w:t>M</w:t>
      </w:r>
      <w:r w:rsidRPr="001E2C69">
        <w:rPr>
          <w:rFonts w:ascii="Times New Roman" w:hAnsi="Times New Roman"/>
          <w:color w:val="000000" w:themeColor="text1"/>
          <w:sz w:val="16"/>
          <w:szCs w:val="16"/>
        </w:rPr>
        <w:t>Л-20 менее чем на пол</w:t>
      </w:r>
      <w:r w:rsidRPr="001E2C69">
        <w:rPr>
          <w:rFonts w:ascii="Times New Roman" w:hAnsi="Times New Roman"/>
          <w:color w:val="000000" w:themeColor="text1"/>
          <w:sz w:val="16"/>
          <w:szCs w:val="16"/>
        </w:rPr>
        <w:softHyphen/>
        <w:t>тонны (17484).</w:t>
      </w:r>
    </w:p>
    <w:p w14:paraId="1A9BA984" w14:textId="77777777" w:rsidR="000C324B" w:rsidRPr="001E2C69" w:rsidRDefault="000C324B" w:rsidP="00722885">
      <w:pPr>
        <w:spacing w:after="0" w:line="240" w:lineRule="auto"/>
        <w:jc w:val="both"/>
        <w:rPr>
          <w:rFonts w:ascii="Times New Roman" w:hAnsi="Times New Roman"/>
          <w:color w:val="000000" w:themeColor="text1"/>
          <w:sz w:val="16"/>
          <w:szCs w:val="16"/>
        </w:rPr>
      </w:pPr>
    </w:p>
    <w:p w14:paraId="60C2F602" w14:textId="77777777" w:rsidR="00394159" w:rsidRPr="001E2C69" w:rsidRDefault="00394159"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августе 1942 г. испытывался оптический коллиматорный прицел 2ПР для ПТРД. Прицел был простейшего типа и состоял из объектива и сетки с перекрестием, не имел увеличения, а вес его вместе с кронштейном составлял всего 270 г. В мае 1943 г. проходило испытания ПТРС с прицелом ПУ и кронштейном Кочетова, у которого заменили только основание. Была отмечена сбиваемость установок шкал барабанчиков прицела, что неудивительно, поскольку это было недостатком и на снайперских винтовках с гораздо меньшей отдачей. Ставить оптические прицелы на все ПТ ружья сочли нецелесообразным, а для стрельбы по малоразмерным целям и по замаскированным танкам предлагалось иметь отдельные снайперские ПТР, снабженные оптическими прицелами типа ПУ. В августе 1943 г. испытывались ПТРД и ПТРС с прицелами ПУ и специально разработанными кронштейнами (</w:t>
      </w:r>
      <w:r w:rsidRPr="001E2C69">
        <w:rPr>
          <w:rFonts w:ascii="Times New Roman" w:eastAsia="Times New Roman" w:hAnsi="Times New Roman"/>
          <w:iCs/>
          <w:color w:val="000000" w:themeColor="text1"/>
          <w:sz w:val="16"/>
          <w:szCs w:val="16"/>
          <w:lang w:eastAsia="ru-RU"/>
        </w:rPr>
        <w:t>рис. 20</w:t>
      </w:r>
      <w:r w:rsidRPr="001E2C69">
        <w:rPr>
          <w:rFonts w:ascii="Times New Roman" w:eastAsia="Times New Roman" w:hAnsi="Times New Roman"/>
          <w:color w:val="000000" w:themeColor="text1"/>
          <w:sz w:val="16"/>
          <w:szCs w:val="16"/>
          <w:lang w:eastAsia="ru-RU"/>
        </w:rPr>
        <w:t>). Новые кронштейны не улучшили ситуацию, так как установки барабанчиков при стрельбе по-прежнему сбивались. Увеличить удаление выходного зрачка на безопасную для стрелка дистанцию с ПУ было нельзя, поэтому испытывался прицел ПУГ с увеличением 1,9</w:t>
      </w:r>
      <w:r w:rsidRPr="001E2C69">
        <w:rPr>
          <w:rFonts w:ascii="Times New Roman" w:eastAsia="Times New Roman" w:hAnsi="Times New Roman"/>
          <w:color w:val="000000" w:themeColor="text1"/>
          <w:sz w:val="16"/>
          <w:szCs w:val="16"/>
          <w:vertAlign w:val="superscript"/>
          <w:lang w:eastAsia="ru-RU"/>
        </w:rPr>
        <w:t>х</w:t>
      </w:r>
      <w:r w:rsidRPr="001E2C69">
        <w:rPr>
          <w:rFonts w:ascii="Times New Roman" w:eastAsia="Times New Roman" w:hAnsi="Times New Roman"/>
          <w:color w:val="000000" w:themeColor="text1"/>
          <w:sz w:val="16"/>
          <w:szCs w:val="16"/>
          <w:lang w:eastAsia="ru-RU"/>
        </w:rPr>
        <w:t>. На прицел ПУ был установлен новый окуляр и шкала дальностей в соответствии с баллистикой ПТР. Были отмечены неудобство прицеливания, недостаточное увеличение, сбиваемость установок шкал, а в поле зрения прицела попадали дульный тормоз и мушка (17498).</w:t>
      </w:r>
    </w:p>
    <w:p w14:paraId="32648863" w14:textId="77777777" w:rsidR="00394159" w:rsidRPr="001E2C69" w:rsidRDefault="00394159" w:rsidP="00722885">
      <w:pPr>
        <w:spacing w:after="0" w:line="240" w:lineRule="auto"/>
        <w:jc w:val="both"/>
        <w:rPr>
          <w:rFonts w:ascii="Times New Roman" w:eastAsia="Times New Roman" w:hAnsi="Times New Roman"/>
          <w:color w:val="000000" w:themeColor="text1"/>
          <w:sz w:val="16"/>
          <w:szCs w:val="16"/>
          <w:lang w:eastAsia="ru-RU"/>
        </w:rPr>
      </w:pPr>
    </w:p>
    <w:p w14:paraId="55D119C0" w14:textId="57FDD602" w:rsidR="00CE32F4" w:rsidRPr="001E2C69" w:rsidRDefault="00CE32F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w:t>
      </w:r>
      <w:r w:rsidR="001E2C69">
        <w:rPr>
          <w:rFonts w:ascii="Times New Roman" w:hAnsi="Times New Roman"/>
          <w:color w:val="000000" w:themeColor="text1"/>
          <w:sz w:val="16"/>
          <w:szCs w:val="16"/>
        </w:rPr>
        <w:t xml:space="preserve">   </w:t>
      </w:r>
      <w:r w:rsidRPr="001E2C69">
        <w:rPr>
          <w:rFonts w:ascii="Times New Roman" w:hAnsi="Times New Roman"/>
          <w:color w:val="000000" w:themeColor="text1"/>
          <w:sz w:val="16"/>
          <w:szCs w:val="16"/>
        </w:rPr>
        <w:t>г. испытывался оптический коллиматорный прицел 2ПР для ПТРД. Прицел был простейшего типа и состоял из объектива и сетки с перекрестием, не имел увеличения, а вес его вместе с кронштейном составлял всего 270 г. (18638).</w:t>
      </w:r>
    </w:p>
    <w:p w14:paraId="51D5C825" w14:textId="77777777" w:rsidR="00CE32F4" w:rsidRPr="001E2C69" w:rsidRDefault="00CE32F4" w:rsidP="00722885">
      <w:pPr>
        <w:spacing w:after="0" w:line="240" w:lineRule="auto"/>
        <w:jc w:val="both"/>
        <w:rPr>
          <w:rFonts w:ascii="Times New Roman" w:hAnsi="Times New Roman"/>
          <w:color w:val="000000" w:themeColor="text1"/>
          <w:sz w:val="16"/>
          <w:szCs w:val="16"/>
        </w:rPr>
      </w:pPr>
    </w:p>
    <w:p w14:paraId="116C14C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в Нижнем Тагиле создали поточную линию автоматической сварки бронекорпусов танка Т-34 (512,262).</w:t>
      </w:r>
    </w:p>
    <w:p w14:paraId="7A65C7E4" w14:textId="77777777" w:rsidR="00AE7191" w:rsidRPr="001E2C69" w:rsidRDefault="00AE7191" w:rsidP="00722885">
      <w:pPr>
        <w:pStyle w:val="Iauiue"/>
        <w:jc w:val="both"/>
        <w:rPr>
          <w:color w:val="000000" w:themeColor="text1"/>
          <w:sz w:val="16"/>
          <w:szCs w:val="16"/>
        </w:rPr>
      </w:pPr>
    </w:p>
    <w:p w14:paraId="2DB27F7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выпуск Т-34 начал ЧТЗ названный Танкоград после того, как к нему присоединился Кировский завод и Харьковский завод 75, который делал дизели В-2. Делал до апреля 1944 (1031,13).</w:t>
      </w:r>
    </w:p>
    <w:p w14:paraId="33D1125C" w14:textId="77777777" w:rsidR="00AE7191" w:rsidRPr="001E2C69" w:rsidRDefault="00AE7191" w:rsidP="00722885">
      <w:pPr>
        <w:pStyle w:val="Iauiue"/>
        <w:jc w:val="both"/>
        <w:rPr>
          <w:color w:val="000000" w:themeColor="text1"/>
          <w:sz w:val="16"/>
          <w:szCs w:val="16"/>
        </w:rPr>
      </w:pPr>
    </w:p>
    <w:p w14:paraId="76BA1F3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СТЗ вынужден был прекратить выпуск Т-34, когда бои шли уже на территории завода. В этом месяце под бомбами и снарядами завод изготовил 240 машин. Эстафету принял завод №174, включившись, наконец, в выпуск средних танков. Общий итог 1942 года - 12520 Т-34. Тяжелых танков KB - 2553. Всего же танков и СУ - 24445. (3862).</w:t>
      </w:r>
    </w:p>
    <w:p w14:paraId="5D4DAD32" w14:textId="77777777" w:rsidR="00AE7191" w:rsidRPr="001E2C69" w:rsidRDefault="00AE7191" w:rsidP="00722885">
      <w:pPr>
        <w:pStyle w:val="Iauiue"/>
        <w:jc w:val="both"/>
        <w:rPr>
          <w:color w:val="000000" w:themeColor="text1"/>
          <w:sz w:val="16"/>
          <w:szCs w:val="16"/>
        </w:rPr>
      </w:pPr>
    </w:p>
    <w:p w14:paraId="07FA340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ввиду сильных бомбардировок Сталин</w:t>
      </w:r>
      <w:r w:rsidRPr="001E2C69">
        <w:rPr>
          <w:rFonts w:ascii="Times New Roman" w:hAnsi="Times New Roman"/>
          <w:color w:val="000000" w:themeColor="text1"/>
          <w:sz w:val="16"/>
          <w:szCs w:val="16"/>
        </w:rPr>
        <w:softHyphen/>
        <w:t>града, а также начавшегося сражения в непосредственной близости от города, выпуск танков Т-34 на СТЗ был прекра</w:t>
      </w:r>
      <w:r w:rsidRPr="001E2C69">
        <w:rPr>
          <w:rFonts w:ascii="Times New Roman" w:hAnsi="Times New Roman"/>
          <w:color w:val="000000" w:themeColor="text1"/>
          <w:sz w:val="16"/>
          <w:szCs w:val="16"/>
        </w:rPr>
        <w:softHyphen/>
        <w:t>щен. Начался вывоз оборудования и задела бронекорпусов и башен с завода по Волге в г. Горький, двигательного про</w:t>
      </w:r>
      <w:r w:rsidRPr="001E2C69">
        <w:rPr>
          <w:rFonts w:ascii="Times New Roman" w:hAnsi="Times New Roman"/>
          <w:color w:val="000000" w:themeColor="text1"/>
          <w:sz w:val="16"/>
          <w:szCs w:val="16"/>
        </w:rPr>
        <w:softHyphen/>
        <w:t>изводства в Барнаул. Задел по ходовым частям, КПП, бронекорпусам и башням Т-60 и Т-70 с завода № 264 в г. Крас-ноармейске вывозился на ГАЗ. Таким образом, из обоймы бьши выброшены два крупных завода, дававших до трети Т-34 и более 150 танков Т-60 ежемесячно. А танки требова</w:t>
      </w:r>
      <w:r w:rsidRPr="001E2C69">
        <w:rPr>
          <w:rFonts w:ascii="Times New Roman" w:hAnsi="Times New Roman"/>
          <w:color w:val="000000" w:themeColor="text1"/>
          <w:sz w:val="16"/>
          <w:szCs w:val="16"/>
        </w:rPr>
        <w:softHyphen/>
        <w:t>лись очень остро, особенно когда был принят курс на созда</w:t>
      </w:r>
      <w:r w:rsidRPr="001E2C69">
        <w:rPr>
          <w:rFonts w:ascii="Times New Roman" w:hAnsi="Times New Roman"/>
          <w:color w:val="000000" w:themeColor="text1"/>
          <w:sz w:val="16"/>
          <w:szCs w:val="16"/>
        </w:rPr>
        <w:softHyphen/>
        <w:t>ние механизированных корпусов и танковых армий. Для того чтобы не упало количество, в условиях доста</w:t>
      </w:r>
      <w:r w:rsidRPr="001E2C69">
        <w:rPr>
          <w:rFonts w:ascii="Times New Roman" w:hAnsi="Times New Roman"/>
          <w:color w:val="000000" w:themeColor="text1"/>
          <w:sz w:val="16"/>
          <w:szCs w:val="16"/>
        </w:rPr>
        <w:softHyphen/>
        <w:t>точности характеристик Т-34 для выполнения большей части задач, стоявших перед танковыми войсками, распо</w:t>
      </w:r>
      <w:r w:rsidRPr="001E2C69">
        <w:rPr>
          <w:rFonts w:ascii="Times New Roman" w:hAnsi="Times New Roman"/>
          <w:color w:val="000000" w:themeColor="text1"/>
          <w:sz w:val="16"/>
          <w:szCs w:val="16"/>
        </w:rPr>
        <w:softHyphen/>
        <w:t>ряжением ГКО № 2120 от 28 июля 1942 г. к производству Т-34 бьши подключены Уральский завод тяжелого маши</w:t>
      </w:r>
      <w:r w:rsidRPr="001E2C69">
        <w:rPr>
          <w:rFonts w:ascii="Times New Roman" w:hAnsi="Times New Roman"/>
          <w:color w:val="000000" w:themeColor="text1"/>
          <w:sz w:val="16"/>
          <w:szCs w:val="16"/>
        </w:rPr>
        <w:softHyphen/>
        <w:t>ностроения («Уралмаш»), до того выпускавший лишь бро-некорпуса и башни танков Т-34 и КВ, а также был спешно переориентирован на выпуск Т-34 Омский завод № 174, за</w:t>
      </w:r>
      <w:r w:rsidRPr="001E2C69">
        <w:rPr>
          <w:rFonts w:ascii="Times New Roman" w:hAnsi="Times New Roman"/>
          <w:color w:val="000000" w:themeColor="text1"/>
          <w:sz w:val="16"/>
          <w:szCs w:val="16"/>
        </w:rPr>
        <w:softHyphen/>
        <w:t>вершавший пусконаладочные работы конвейера для вы</w:t>
      </w:r>
      <w:r w:rsidRPr="001E2C69">
        <w:rPr>
          <w:rFonts w:ascii="Times New Roman" w:hAnsi="Times New Roman"/>
          <w:color w:val="000000" w:themeColor="text1"/>
          <w:sz w:val="16"/>
          <w:szCs w:val="16"/>
        </w:rPr>
        <w:softHyphen/>
        <w:t>пуска Т-50. А поскольку оба эти предприятия не имели опыта выпуска средних танков (первый - вообще не имел опыта производства танков), то приказом по НКТП вре</w:t>
      </w:r>
      <w:r w:rsidRPr="001E2C69">
        <w:rPr>
          <w:rFonts w:ascii="Times New Roman" w:hAnsi="Times New Roman"/>
          <w:color w:val="000000" w:themeColor="text1"/>
          <w:sz w:val="16"/>
          <w:szCs w:val="16"/>
        </w:rPr>
        <w:softHyphen/>
        <w:t>менно, вплоть до особого распоряжения, на выпуск танков Т-34 был ориентирован также Челябинский Кировский за</w:t>
      </w:r>
      <w:r w:rsidRPr="001E2C69">
        <w:rPr>
          <w:rFonts w:ascii="Times New Roman" w:hAnsi="Times New Roman"/>
          <w:color w:val="000000" w:themeColor="text1"/>
          <w:sz w:val="16"/>
          <w:szCs w:val="16"/>
        </w:rPr>
        <w:softHyphen/>
        <w:t>вод («Танкоград»). Все указанные предприятия должны были выдать первые Т-34 1 октября. В тех условиях это было единственно верное решение, позволившее не только сохранить высокий темп выпуска,' но и увеличить процентное содержание средних танков в бронетанковых войсках Советского Союза. УЗТМ был подключен к выпуску Т-34 еще 31 октября 1941 г., но до марта 1942 г. завод выдавал только раскрой броневых листов Т-34, который отправлялся заводам-изго</w:t>
      </w:r>
      <w:r w:rsidRPr="001E2C69">
        <w:rPr>
          <w:rFonts w:ascii="Times New Roman" w:hAnsi="Times New Roman"/>
          <w:color w:val="000000" w:themeColor="text1"/>
          <w:sz w:val="16"/>
          <w:szCs w:val="16"/>
        </w:rPr>
        <w:softHyphen/>
        <w:t>товителям в Нижний Тагил, Сталинград и Горький. 21 мар</w:t>
      </w:r>
      <w:r w:rsidRPr="001E2C69">
        <w:rPr>
          <w:rFonts w:ascii="Times New Roman" w:hAnsi="Times New Roman"/>
          <w:color w:val="000000" w:themeColor="text1"/>
          <w:sz w:val="16"/>
          <w:szCs w:val="16"/>
        </w:rPr>
        <w:softHyphen/>
        <w:t>та 1942 г. завод получил от Наркомата полные чертежи кор</w:t>
      </w:r>
      <w:r w:rsidRPr="001E2C69">
        <w:rPr>
          <w:rFonts w:ascii="Times New Roman" w:hAnsi="Times New Roman"/>
          <w:color w:val="000000" w:themeColor="text1"/>
          <w:sz w:val="16"/>
          <w:szCs w:val="16"/>
        </w:rPr>
        <w:softHyphen/>
        <w:t>пусов и башен среднего танка и в апреле выдал первые комплектные бронекорпуса Т-34, которые поступили на УТЗ. В марте перестроенные литейные цеха завода начали осва</w:t>
      </w:r>
      <w:r w:rsidRPr="001E2C69">
        <w:rPr>
          <w:rFonts w:ascii="Times New Roman" w:hAnsi="Times New Roman"/>
          <w:color w:val="000000" w:themeColor="text1"/>
          <w:sz w:val="16"/>
          <w:szCs w:val="16"/>
        </w:rPr>
        <w:softHyphen/>
        <w:t>ивать литье башен танков Т-34 и КВ. Распоряжение ГКО № 2120 поставило завод в сложные условия. Он должен был, не снижая программы отгрузки корпусов и башен Т-34, выдавать до конца 1942 г. не менее 50 Т-34 ежемесячно. Был увеличен объем литья башен и для ЧКЗ, который также начал работы по освоению выпуска Т-34. Таким образом, программа выпуска башен на УЗТМ увеличилась более чем вдвое. Литейные цеха «Уралмаша» на</w:t>
      </w:r>
      <w:r w:rsidRPr="001E2C69">
        <w:rPr>
          <w:rFonts w:ascii="Times New Roman" w:hAnsi="Times New Roman"/>
          <w:color w:val="000000" w:themeColor="text1"/>
          <w:sz w:val="16"/>
          <w:szCs w:val="16"/>
        </w:rPr>
        <w:softHyphen/>
        <w:t>чали задыхаться, не справляясь с такой программой башен</w:t>
      </w:r>
      <w:r w:rsidRPr="001E2C69">
        <w:rPr>
          <w:rFonts w:ascii="Times New Roman" w:hAnsi="Times New Roman"/>
          <w:color w:val="000000" w:themeColor="text1"/>
          <w:sz w:val="16"/>
          <w:szCs w:val="16"/>
        </w:rPr>
        <w:softHyphen/>
        <w:t>ного производства. Стала сказываться нехватка «жидкой брони», формовочной земли. Попытки организовать на заво</w:t>
      </w:r>
      <w:r w:rsidRPr="001E2C69">
        <w:rPr>
          <w:rFonts w:ascii="Times New Roman" w:hAnsi="Times New Roman"/>
          <w:color w:val="000000" w:themeColor="text1"/>
          <w:sz w:val="16"/>
          <w:szCs w:val="16"/>
        </w:rPr>
        <w:softHyphen/>
        <w:t>де производство сварных башен бьши отклонены, так как в условиях ручной сварки стоимость и время изготовления единицы продукции были чрезмерными.</w:t>
      </w:r>
    </w:p>
    <w:p w14:paraId="24A9BFD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1F324F4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 август 1942 года СТЗ удалось передать армии 250 Т-34 несмотря на тяжелые условия работы, начавшиеся бомбежки и отсутствие необходимых материалов завод продолжал давать фронту, который приблизился вплотную к Сталинграду, танки (12217).</w:t>
      </w:r>
    </w:p>
    <w:p w14:paraId="681880BA"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0F0F5E4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ввиду прекращения выпуска танков Т-34 на СТЗ, завод № 174, находившийся уже в Омске, был временно (вплоть до восстановления производства Т-34 на СТЗ) сориентирован на выпуск танка Т-34, недостаток же танка Т-50 предполагалось временно скомпенсировать, во-первых, форсированным выпуском танков Т-70, и, во-вто-</w:t>
      </w:r>
      <w:r w:rsidRPr="001E2C69">
        <w:rPr>
          <w:rFonts w:ascii="Times New Roman" w:hAnsi="Times New Roman"/>
          <w:smallCaps/>
          <w:color w:val="000000" w:themeColor="text1"/>
          <w:sz w:val="16"/>
          <w:szCs w:val="16"/>
        </w:rPr>
        <w:t xml:space="preserve">рых, </w:t>
      </w:r>
      <w:r w:rsidRPr="001E2C69">
        <w:rPr>
          <w:rFonts w:ascii="Times New Roman" w:hAnsi="Times New Roman"/>
          <w:color w:val="000000" w:themeColor="text1"/>
          <w:sz w:val="16"/>
          <w:szCs w:val="16"/>
        </w:rPr>
        <w:t>увеличенными поставками танков «Валентайн» (по основным характеристикам подобных Т-50) из Канады (10782).</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44"/>
        <w:gridCol w:w="778"/>
        <w:gridCol w:w="1286"/>
        <w:gridCol w:w="970"/>
        <w:gridCol w:w="1018"/>
      </w:tblGrid>
      <w:tr w:rsidR="001E2C69" w:rsidRPr="001E2C69" w14:paraId="37D5A786" w14:textId="77777777" w:rsidTr="00CC5360">
        <w:trPr>
          <w:trHeight w:val="422"/>
        </w:trPr>
        <w:tc>
          <w:tcPr>
            <w:tcW w:w="5396" w:type="dxa"/>
            <w:gridSpan w:val="5"/>
            <w:tcBorders>
              <w:top w:val="single" w:sz="12" w:space="0" w:color="auto"/>
            </w:tcBorders>
          </w:tcPr>
          <w:p w14:paraId="5BA0833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Тактико-технические характеристики советских легких танков военного времени выпуска 1942 г.</w:t>
            </w:r>
          </w:p>
        </w:tc>
      </w:tr>
      <w:tr w:rsidR="001E2C69" w:rsidRPr="001E2C69" w14:paraId="418B944A" w14:textId="77777777" w:rsidTr="00CC5360">
        <w:trPr>
          <w:trHeight w:val="259"/>
        </w:trPr>
        <w:tc>
          <w:tcPr>
            <w:tcW w:w="1344" w:type="dxa"/>
          </w:tcPr>
          <w:p w14:paraId="1A88866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778" w:type="dxa"/>
          </w:tcPr>
          <w:p w14:paraId="029955F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Т-60</w:t>
            </w:r>
          </w:p>
        </w:tc>
        <w:tc>
          <w:tcPr>
            <w:tcW w:w="1286" w:type="dxa"/>
          </w:tcPr>
          <w:p w14:paraId="4F83CD2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Т-45</w:t>
            </w:r>
          </w:p>
        </w:tc>
        <w:tc>
          <w:tcPr>
            <w:tcW w:w="970" w:type="dxa"/>
          </w:tcPr>
          <w:p w14:paraId="0E633F8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Т-70</w:t>
            </w:r>
          </w:p>
        </w:tc>
        <w:tc>
          <w:tcPr>
            <w:tcW w:w="1018" w:type="dxa"/>
          </w:tcPr>
          <w:p w14:paraId="1087B73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Т-50</w:t>
            </w:r>
          </w:p>
        </w:tc>
      </w:tr>
      <w:tr w:rsidR="001E2C69" w:rsidRPr="001E2C69" w14:paraId="1CDE9BF5" w14:textId="77777777" w:rsidTr="00CC5360">
        <w:trPr>
          <w:trHeight w:val="163"/>
        </w:trPr>
        <w:tc>
          <w:tcPr>
            <w:tcW w:w="1344" w:type="dxa"/>
          </w:tcPr>
          <w:p w14:paraId="22C4AB4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ТТХ /Марка танка</w:t>
            </w:r>
          </w:p>
        </w:tc>
        <w:tc>
          <w:tcPr>
            <w:tcW w:w="778" w:type="dxa"/>
          </w:tcPr>
          <w:p w14:paraId="6DEBBF2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1942</w:t>
            </w:r>
          </w:p>
        </w:tc>
        <w:tc>
          <w:tcPr>
            <w:tcW w:w="1286" w:type="dxa"/>
          </w:tcPr>
          <w:p w14:paraId="0811E8E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1942</w:t>
            </w:r>
          </w:p>
        </w:tc>
        <w:tc>
          <w:tcPr>
            <w:tcW w:w="970" w:type="dxa"/>
          </w:tcPr>
          <w:p w14:paraId="3220D1B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1942</w:t>
            </w:r>
          </w:p>
        </w:tc>
        <w:tc>
          <w:tcPr>
            <w:tcW w:w="1018" w:type="dxa"/>
          </w:tcPr>
          <w:p w14:paraId="301B281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1942</w:t>
            </w:r>
          </w:p>
        </w:tc>
      </w:tr>
      <w:tr w:rsidR="001E2C69" w:rsidRPr="001E2C69" w14:paraId="728550B1" w14:textId="77777777" w:rsidTr="00CC5360">
        <w:trPr>
          <w:trHeight w:val="173"/>
        </w:trPr>
        <w:tc>
          <w:tcPr>
            <w:tcW w:w="1344" w:type="dxa"/>
          </w:tcPr>
          <w:p w14:paraId="2311BB0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Боевой вес, кг</w:t>
            </w:r>
          </w:p>
        </w:tc>
        <w:tc>
          <w:tcPr>
            <w:tcW w:w="778" w:type="dxa"/>
          </w:tcPr>
          <w:p w14:paraId="7A41D2A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6200</w:t>
            </w:r>
          </w:p>
        </w:tc>
        <w:tc>
          <w:tcPr>
            <w:tcW w:w="1286" w:type="dxa"/>
          </w:tcPr>
          <w:p w14:paraId="4A3AAD2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6800</w:t>
            </w:r>
          </w:p>
        </w:tc>
        <w:tc>
          <w:tcPr>
            <w:tcW w:w="970" w:type="dxa"/>
          </w:tcPr>
          <w:p w14:paraId="4811876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9200</w:t>
            </w:r>
          </w:p>
        </w:tc>
        <w:tc>
          <w:tcPr>
            <w:tcW w:w="1018" w:type="dxa"/>
          </w:tcPr>
          <w:p w14:paraId="6384A39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17900</w:t>
            </w:r>
          </w:p>
        </w:tc>
      </w:tr>
      <w:tr w:rsidR="001E2C69" w:rsidRPr="001E2C69" w14:paraId="11F01A98" w14:textId="77777777" w:rsidTr="00CC5360">
        <w:trPr>
          <w:trHeight w:val="221"/>
        </w:trPr>
        <w:tc>
          <w:tcPr>
            <w:tcW w:w="1344" w:type="dxa"/>
          </w:tcPr>
          <w:p w14:paraId="7F7578E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Экипаж, чел.</w:t>
            </w:r>
          </w:p>
        </w:tc>
        <w:tc>
          <w:tcPr>
            <w:tcW w:w="778" w:type="dxa"/>
          </w:tcPr>
          <w:p w14:paraId="58AC379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w:t>
            </w:r>
          </w:p>
        </w:tc>
        <w:tc>
          <w:tcPr>
            <w:tcW w:w="1286" w:type="dxa"/>
          </w:tcPr>
          <w:p w14:paraId="61DE926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w:t>
            </w:r>
          </w:p>
        </w:tc>
        <w:tc>
          <w:tcPr>
            <w:tcW w:w="970" w:type="dxa"/>
          </w:tcPr>
          <w:p w14:paraId="32A413E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w:t>
            </w:r>
          </w:p>
        </w:tc>
        <w:tc>
          <w:tcPr>
            <w:tcW w:w="1018" w:type="dxa"/>
          </w:tcPr>
          <w:p w14:paraId="5B9C302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w:t>
            </w:r>
          </w:p>
        </w:tc>
      </w:tr>
      <w:tr w:rsidR="001E2C69" w:rsidRPr="001E2C69" w14:paraId="78BDC744" w14:textId="77777777" w:rsidTr="00CC5360">
        <w:trPr>
          <w:trHeight w:val="192"/>
        </w:trPr>
        <w:tc>
          <w:tcPr>
            <w:tcW w:w="5396" w:type="dxa"/>
            <w:gridSpan w:val="5"/>
          </w:tcPr>
          <w:p w14:paraId="4338E53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Размерения. мм</w:t>
            </w:r>
          </w:p>
        </w:tc>
      </w:tr>
      <w:tr w:rsidR="001E2C69" w:rsidRPr="001E2C69" w14:paraId="7E2AB0EF" w14:textId="77777777" w:rsidTr="00CC5360">
        <w:trPr>
          <w:trHeight w:val="230"/>
        </w:trPr>
        <w:tc>
          <w:tcPr>
            <w:tcW w:w="1344" w:type="dxa"/>
          </w:tcPr>
          <w:p w14:paraId="2392719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Длина общая</w:t>
            </w:r>
          </w:p>
        </w:tc>
        <w:tc>
          <w:tcPr>
            <w:tcW w:w="778" w:type="dxa"/>
          </w:tcPr>
          <w:p w14:paraId="441B96E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4100</w:t>
            </w:r>
          </w:p>
        </w:tc>
        <w:tc>
          <w:tcPr>
            <w:tcW w:w="1286" w:type="dxa"/>
          </w:tcPr>
          <w:p w14:paraId="7177E8F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4100</w:t>
            </w:r>
          </w:p>
        </w:tc>
        <w:tc>
          <w:tcPr>
            <w:tcW w:w="970" w:type="dxa"/>
          </w:tcPr>
          <w:p w14:paraId="2032150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4290</w:t>
            </w:r>
          </w:p>
        </w:tc>
        <w:tc>
          <w:tcPr>
            <w:tcW w:w="1018" w:type="dxa"/>
          </w:tcPr>
          <w:p w14:paraId="3C5E067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5280</w:t>
            </w:r>
          </w:p>
        </w:tc>
      </w:tr>
      <w:tr w:rsidR="001E2C69" w:rsidRPr="001E2C69" w14:paraId="5BDDFB65" w14:textId="77777777" w:rsidTr="00CC5360">
        <w:trPr>
          <w:trHeight w:val="163"/>
        </w:trPr>
        <w:tc>
          <w:tcPr>
            <w:tcW w:w="1344" w:type="dxa"/>
          </w:tcPr>
          <w:p w14:paraId="46D2B96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Ширина</w:t>
            </w:r>
          </w:p>
        </w:tc>
        <w:tc>
          <w:tcPr>
            <w:tcW w:w="778" w:type="dxa"/>
          </w:tcPr>
          <w:p w14:paraId="1D1EC87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2290</w:t>
            </w:r>
          </w:p>
        </w:tc>
        <w:tc>
          <w:tcPr>
            <w:tcW w:w="1286" w:type="dxa"/>
          </w:tcPr>
          <w:p w14:paraId="40FDF56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2290</w:t>
            </w:r>
          </w:p>
        </w:tc>
        <w:tc>
          <w:tcPr>
            <w:tcW w:w="970" w:type="dxa"/>
          </w:tcPr>
          <w:p w14:paraId="69BBEDF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2302</w:t>
            </w:r>
          </w:p>
        </w:tc>
        <w:tc>
          <w:tcPr>
            <w:tcW w:w="1018" w:type="dxa"/>
          </w:tcPr>
          <w:p w14:paraId="69A436F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2470</w:t>
            </w:r>
          </w:p>
        </w:tc>
      </w:tr>
      <w:tr w:rsidR="001E2C69" w:rsidRPr="001E2C69" w14:paraId="5F499135" w14:textId="77777777" w:rsidTr="00CC5360">
        <w:trPr>
          <w:trHeight w:val="163"/>
        </w:trPr>
        <w:tc>
          <w:tcPr>
            <w:tcW w:w="1344" w:type="dxa"/>
          </w:tcPr>
          <w:p w14:paraId="6E02451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Высота</w:t>
            </w:r>
          </w:p>
        </w:tc>
        <w:tc>
          <w:tcPr>
            <w:tcW w:w="778" w:type="dxa"/>
          </w:tcPr>
          <w:p w14:paraId="682105F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1750</w:t>
            </w:r>
          </w:p>
        </w:tc>
        <w:tc>
          <w:tcPr>
            <w:tcW w:w="1286" w:type="dxa"/>
          </w:tcPr>
          <w:p w14:paraId="55EF2F7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1750</w:t>
            </w:r>
          </w:p>
        </w:tc>
        <w:tc>
          <w:tcPr>
            <w:tcW w:w="970" w:type="dxa"/>
          </w:tcPr>
          <w:p w14:paraId="53FC0A4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1810</w:t>
            </w:r>
          </w:p>
        </w:tc>
        <w:tc>
          <w:tcPr>
            <w:tcW w:w="1018" w:type="dxa"/>
          </w:tcPr>
          <w:p w14:paraId="0722DB7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2150</w:t>
            </w:r>
          </w:p>
        </w:tc>
      </w:tr>
      <w:tr w:rsidR="001E2C69" w:rsidRPr="001E2C69" w14:paraId="37DC13AC" w14:textId="77777777" w:rsidTr="00CC5360">
        <w:trPr>
          <w:trHeight w:val="211"/>
        </w:trPr>
        <w:tc>
          <w:tcPr>
            <w:tcW w:w="1344" w:type="dxa"/>
          </w:tcPr>
          <w:p w14:paraId="2454949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Клиренс</w:t>
            </w:r>
          </w:p>
        </w:tc>
        <w:tc>
          <w:tcPr>
            <w:tcW w:w="778" w:type="dxa"/>
          </w:tcPr>
          <w:p w14:paraId="5BD4513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300</w:t>
            </w:r>
          </w:p>
        </w:tc>
        <w:tc>
          <w:tcPr>
            <w:tcW w:w="1286" w:type="dxa"/>
          </w:tcPr>
          <w:p w14:paraId="7B3DBE2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300</w:t>
            </w:r>
          </w:p>
        </w:tc>
        <w:tc>
          <w:tcPr>
            <w:tcW w:w="970" w:type="dxa"/>
          </w:tcPr>
          <w:p w14:paraId="0AB5612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300</w:t>
            </w:r>
          </w:p>
        </w:tc>
        <w:tc>
          <w:tcPr>
            <w:tcW w:w="1018" w:type="dxa"/>
          </w:tcPr>
          <w:p w14:paraId="6B5BB28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350</w:t>
            </w:r>
          </w:p>
        </w:tc>
      </w:tr>
      <w:tr w:rsidR="001E2C69" w:rsidRPr="001E2C69" w14:paraId="3537DDE5" w14:textId="77777777" w:rsidTr="00CC5360">
        <w:trPr>
          <w:trHeight w:val="182"/>
        </w:trPr>
        <w:tc>
          <w:tcPr>
            <w:tcW w:w="5396" w:type="dxa"/>
            <w:gridSpan w:val="5"/>
          </w:tcPr>
          <w:p w14:paraId="10EB7D7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Вооружение</w:t>
            </w:r>
          </w:p>
        </w:tc>
      </w:tr>
      <w:tr w:rsidR="001E2C69" w:rsidRPr="001E2C69" w14:paraId="2C6FBA5E" w14:textId="77777777" w:rsidTr="00CC5360">
        <w:trPr>
          <w:trHeight w:val="211"/>
        </w:trPr>
        <w:tc>
          <w:tcPr>
            <w:tcW w:w="1344" w:type="dxa"/>
          </w:tcPr>
          <w:p w14:paraId="3B487A7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Пушек, шт. х кал.</w:t>
            </w:r>
          </w:p>
        </w:tc>
        <w:tc>
          <w:tcPr>
            <w:tcW w:w="778" w:type="dxa"/>
          </w:tcPr>
          <w:p w14:paraId="668F5D7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1х20-мм</w:t>
            </w:r>
          </w:p>
        </w:tc>
        <w:tc>
          <w:tcPr>
            <w:tcW w:w="1286" w:type="dxa"/>
          </w:tcPr>
          <w:p w14:paraId="250121C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1х45-мм</w:t>
            </w:r>
          </w:p>
        </w:tc>
        <w:tc>
          <w:tcPr>
            <w:tcW w:w="970" w:type="dxa"/>
          </w:tcPr>
          <w:p w14:paraId="3778B13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1х45-мм</w:t>
            </w:r>
          </w:p>
        </w:tc>
        <w:tc>
          <w:tcPr>
            <w:tcW w:w="1018" w:type="dxa"/>
          </w:tcPr>
          <w:p w14:paraId="2C329AF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1х45-мм</w:t>
            </w:r>
          </w:p>
        </w:tc>
      </w:tr>
      <w:tr w:rsidR="001E2C69" w:rsidRPr="001E2C69" w14:paraId="7A4E81DD" w14:textId="77777777" w:rsidTr="00CC5360">
        <w:trPr>
          <w:trHeight w:val="202"/>
        </w:trPr>
        <w:tc>
          <w:tcPr>
            <w:tcW w:w="1344" w:type="dxa"/>
          </w:tcPr>
          <w:p w14:paraId="554D6A4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Тип орудия</w:t>
            </w:r>
          </w:p>
        </w:tc>
        <w:tc>
          <w:tcPr>
            <w:tcW w:w="778" w:type="dxa"/>
          </w:tcPr>
          <w:p w14:paraId="15F4417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ТНШ</w:t>
            </w:r>
          </w:p>
        </w:tc>
        <w:tc>
          <w:tcPr>
            <w:tcW w:w="1286" w:type="dxa"/>
          </w:tcPr>
          <w:p w14:paraId="567FB01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ЗИС-19БМ</w:t>
            </w:r>
          </w:p>
        </w:tc>
        <w:tc>
          <w:tcPr>
            <w:tcW w:w="970" w:type="dxa"/>
          </w:tcPr>
          <w:p w14:paraId="7B926D7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20Км</w:t>
            </w:r>
          </w:p>
        </w:tc>
        <w:tc>
          <w:tcPr>
            <w:tcW w:w="1018" w:type="dxa"/>
          </w:tcPr>
          <w:p w14:paraId="3B7E60A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20Км</w:t>
            </w:r>
          </w:p>
        </w:tc>
      </w:tr>
      <w:tr w:rsidR="001E2C69" w:rsidRPr="001E2C69" w14:paraId="52F5A28D" w14:textId="77777777" w:rsidTr="00CC5360">
        <w:trPr>
          <w:trHeight w:val="134"/>
        </w:trPr>
        <w:tc>
          <w:tcPr>
            <w:tcW w:w="1344" w:type="dxa"/>
          </w:tcPr>
          <w:p w14:paraId="30D8F90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Снарядов, шт.</w:t>
            </w:r>
          </w:p>
        </w:tc>
        <w:tc>
          <w:tcPr>
            <w:tcW w:w="778" w:type="dxa"/>
          </w:tcPr>
          <w:p w14:paraId="0ED5E08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780</w:t>
            </w:r>
          </w:p>
        </w:tc>
        <w:tc>
          <w:tcPr>
            <w:tcW w:w="1286" w:type="dxa"/>
          </w:tcPr>
          <w:p w14:paraId="3E12645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66</w:t>
            </w:r>
          </w:p>
        </w:tc>
        <w:tc>
          <w:tcPr>
            <w:tcW w:w="970" w:type="dxa"/>
          </w:tcPr>
          <w:p w14:paraId="62A14A2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66</w:t>
            </w:r>
          </w:p>
        </w:tc>
        <w:tc>
          <w:tcPr>
            <w:tcW w:w="1018" w:type="dxa"/>
          </w:tcPr>
          <w:p w14:paraId="60A5C7F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150</w:t>
            </w:r>
          </w:p>
        </w:tc>
      </w:tr>
      <w:tr w:rsidR="001E2C69" w:rsidRPr="001E2C69" w14:paraId="1A8A99F6" w14:textId="77777777" w:rsidTr="00CC5360">
        <w:trPr>
          <w:trHeight w:val="173"/>
        </w:trPr>
        <w:tc>
          <w:tcPr>
            <w:tcW w:w="1344" w:type="dxa"/>
          </w:tcPr>
          <w:p w14:paraId="3469E82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Пулеметов, шт. х кал.</w:t>
            </w:r>
          </w:p>
        </w:tc>
        <w:tc>
          <w:tcPr>
            <w:tcW w:w="778" w:type="dxa"/>
          </w:tcPr>
          <w:p w14:paraId="5DFC978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1х7,62-мм</w:t>
            </w:r>
          </w:p>
        </w:tc>
        <w:tc>
          <w:tcPr>
            <w:tcW w:w="1286" w:type="dxa"/>
          </w:tcPr>
          <w:p w14:paraId="3E4D208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1х7,62-мм</w:t>
            </w:r>
          </w:p>
        </w:tc>
        <w:tc>
          <w:tcPr>
            <w:tcW w:w="970" w:type="dxa"/>
          </w:tcPr>
          <w:p w14:paraId="2FE6C89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1х7,62-мм</w:t>
            </w:r>
          </w:p>
        </w:tc>
        <w:tc>
          <w:tcPr>
            <w:tcW w:w="1018" w:type="dxa"/>
          </w:tcPr>
          <w:p w14:paraId="43AB37D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2х7,62-мм</w:t>
            </w:r>
          </w:p>
        </w:tc>
      </w:tr>
      <w:tr w:rsidR="001E2C69" w:rsidRPr="001E2C69" w14:paraId="561C6E70" w14:textId="77777777" w:rsidTr="00CC5360">
        <w:trPr>
          <w:trHeight w:val="173"/>
        </w:trPr>
        <w:tc>
          <w:tcPr>
            <w:tcW w:w="1344" w:type="dxa"/>
          </w:tcPr>
          <w:p w14:paraId="52413E3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Тип пулемета</w:t>
            </w:r>
          </w:p>
        </w:tc>
        <w:tc>
          <w:tcPr>
            <w:tcW w:w="778" w:type="dxa"/>
          </w:tcPr>
          <w:p w14:paraId="2BFBD71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ДТ</w:t>
            </w:r>
          </w:p>
        </w:tc>
        <w:tc>
          <w:tcPr>
            <w:tcW w:w="1286" w:type="dxa"/>
          </w:tcPr>
          <w:p w14:paraId="777829E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ДТ</w:t>
            </w:r>
          </w:p>
        </w:tc>
        <w:tc>
          <w:tcPr>
            <w:tcW w:w="970" w:type="dxa"/>
          </w:tcPr>
          <w:p w14:paraId="57ED8AB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ДТ</w:t>
            </w:r>
          </w:p>
        </w:tc>
        <w:tc>
          <w:tcPr>
            <w:tcW w:w="1018" w:type="dxa"/>
          </w:tcPr>
          <w:p w14:paraId="4EEF870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ДТ</w:t>
            </w:r>
          </w:p>
        </w:tc>
      </w:tr>
      <w:tr w:rsidR="001E2C69" w:rsidRPr="001E2C69" w14:paraId="36DFFCAE" w14:textId="77777777" w:rsidTr="00CC5360">
        <w:trPr>
          <w:trHeight w:val="221"/>
        </w:trPr>
        <w:tc>
          <w:tcPr>
            <w:tcW w:w="1344" w:type="dxa"/>
          </w:tcPr>
          <w:p w14:paraId="1BC5966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Патронов, шт.</w:t>
            </w:r>
          </w:p>
        </w:tc>
        <w:tc>
          <w:tcPr>
            <w:tcW w:w="778" w:type="dxa"/>
          </w:tcPr>
          <w:p w14:paraId="0628C85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945</w:t>
            </w:r>
          </w:p>
        </w:tc>
        <w:tc>
          <w:tcPr>
            <w:tcW w:w="1286" w:type="dxa"/>
          </w:tcPr>
          <w:p w14:paraId="659A64E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945</w:t>
            </w:r>
          </w:p>
        </w:tc>
        <w:tc>
          <w:tcPr>
            <w:tcW w:w="970" w:type="dxa"/>
          </w:tcPr>
          <w:p w14:paraId="6F1EE88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850</w:t>
            </w:r>
          </w:p>
        </w:tc>
        <w:tc>
          <w:tcPr>
            <w:tcW w:w="1018" w:type="dxa"/>
          </w:tcPr>
          <w:p w14:paraId="0FCC979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4032</w:t>
            </w:r>
          </w:p>
        </w:tc>
      </w:tr>
      <w:tr w:rsidR="001E2C69" w:rsidRPr="001E2C69" w14:paraId="3646D986" w14:textId="77777777" w:rsidTr="00CC5360">
        <w:trPr>
          <w:trHeight w:val="202"/>
        </w:trPr>
        <w:tc>
          <w:tcPr>
            <w:tcW w:w="5396" w:type="dxa"/>
            <w:gridSpan w:val="5"/>
          </w:tcPr>
          <w:p w14:paraId="49ED78F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lastRenderedPageBreak/>
              <w:t>Толшина брони, мм</w:t>
            </w:r>
          </w:p>
        </w:tc>
      </w:tr>
      <w:tr w:rsidR="001E2C69" w:rsidRPr="001E2C69" w14:paraId="0336718E" w14:textId="77777777" w:rsidTr="00CC5360">
        <w:trPr>
          <w:trHeight w:val="230"/>
        </w:trPr>
        <w:tc>
          <w:tcPr>
            <w:tcW w:w="1344" w:type="dxa"/>
          </w:tcPr>
          <w:p w14:paraId="5713C73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Верт. корпуса</w:t>
            </w:r>
          </w:p>
        </w:tc>
        <w:tc>
          <w:tcPr>
            <w:tcW w:w="778" w:type="dxa"/>
          </w:tcPr>
          <w:p w14:paraId="2CCD70A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35-15</w:t>
            </w:r>
          </w:p>
        </w:tc>
        <w:tc>
          <w:tcPr>
            <w:tcW w:w="1286" w:type="dxa"/>
          </w:tcPr>
          <w:p w14:paraId="606785F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35-25-15</w:t>
            </w:r>
          </w:p>
        </w:tc>
        <w:tc>
          <w:tcPr>
            <w:tcW w:w="970" w:type="dxa"/>
          </w:tcPr>
          <w:p w14:paraId="7E8A4F2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45-35-15</w:t>
            </w:r>
          </w:p>
        </w:tc>
        <w:tc>
          <w:tcPr>
            <w:tcW w:w="1018" w:type="dxa"/>
          </w:tcPr>
          <w:p w14:paraId="1B0AAA5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40</w:t>
            </w:r>
          </w:p>
        </w:tc>
      </w:tr>
      <w:tr w:rsidR="001E2C69" w:rsidRPr="001E2C69" w14:paraId="7C07A371" w14:textId="77777777" w:rsidTr="00CC5360">
        <w:trPr>
          <w:trHeight w:val="451"/>
        </w:trPr>
        <w:tc>
          <w:tcPr>
            <w:tcW w:w="1344" w:type="dxa"/>
          </w:tcPr>
          <w:p w14:paraId="5AAEF7C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Гориз. корпуса Башня</w:t>
            </w:r>
          </w:p>
        </w:tc>
        <w:tc>
          <w:tcPr>
            <w:tcW w:w="778" w:type="dxa"/>
          </w:tcPr>
          <w:p w14:paraId="05655B8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15-6 25</w:t>
            </w:r>
          </w:p>
        </w:tc>
        <w:tc>
          <w:tcPr>
            <w:tcW w:w="1286" w:type="dxa"/>
          </w:tcPr>
          <w:p w14:paraId="1C76062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15-6 35</w:t>
            </w:r>
          </w:p>
        </w:tc>
        <w:tc>
          <w:tcPr>
            <w:tcW w:w="970" w:type="dxa"/>
          </w:tcPr>
          <w:p w14:paraId="76D7603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10-6 35</w:t>
            </w:r>
          </w:p>
        </w:tc>
        <w:tc>
          <w:tcPr>
            <w:tcW w:w="1018" w:type="dxa"/>
          </w:tcPr>
          <w:p w14:paraId="3F92C11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 50 (литье)</w:t>
            </w:r>
          </w:p>
        </w:tc>
      </w:tr>
      <w:tr w:rsidR="001E2C69" w:rsidRPr="001E2C69" w14:paraId="66D9F5EB" w14:textId="77777777" w:rsidTr="00CC5360">
        <w:trPr>
          <w:trHeight w:val="317"/>
        </w:trPr>
        <w:tc>
          <w:tcPr>
            <w:tcW w:w="1344" w:type="dxa"/>
          </w:tcPr>
          <w:p w14:paraId="4C16167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Тип</w:t>
            </w:r>
          </w:p>
        </w:tc>
        <w:tc>
          <w:tcPr>
            <w:tcW w:w="778" w:type="dxa"/>
          </w:tcPr>
          <w:p w14:paraId="0667D89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4т/6ц/к/ж</w:t>
            </w:r>
          </w:p>
        </w:tc>
        <w:tc>
          <w:tcPr>
            <w:tcW w:w="1286" w:type="dxa"/>
          </w:tcPr>
          <w:p w14:paraId="58EC4BF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Двигатель 4т/16ц/к/ж</w:t>
            </w:r>
          </w:p>
        </w:tc>
        <w:tc>
          <w:tcPr>
            <w:tcW w:w="970" w:type="dxa"/>
          </w:tcPr>
          <w:p w14:paraId="7C2BA81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4т/6ц/д/ж</w:t>
            </w:r>
          </w:p>
        </w:tc>
        <w:tc>
          <w:tcPr>
            <w:tcW w:w="1018" w:type="dxa"/>
          </w:tcPr>
          <w:p w14:paraId="31DC2DE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4т/6ц/д/ж</w:t>
            </w:r>
          </w:p>
        </w:tc>
      </w:tr>
      <w:tr w:rsidR="001E2C69" w:rsidRPr="001E2C69" w14:paraId="35B457CD" w14:textId="77777777" w:rsidTr="00CC5360">
        <w:trPr>
          <w:trHeight w:val="173"/>
        </w:trPr>
        <w:tc>
          <w:tcPr>
            <w:tcW w:w="1344" w:type="dxa"/>
          </w:tcPr>
          <w:p w14:paraId="52BC340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Марка</w:t>
            </w:r>
          </w:p>
        </w:tc>
        <w:tc>
          <w:tcPr>
            <w:tcW w:w="778" w:type="dxa"/>
          </w:tcPr>
          <w:p w14:paraId="1923D8F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ГАЗ-202</w:t>
            </w:r>
          </w:p>
        </w:tc>
        <w:tc>
          <w:tcPr>
            <w:tcW w:w="1286" w:type="dxa"/>
          </w:tcPr>
          <w:p w14:paraId="0F4743F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ЗИС-16</w:t>
            </w:r>
          </w:p>
        </w:tc>
        <w:tc>
          <w:tcPr>
            <w:tcW w:w="970" w:type="dxa"/>
          </w:tcPr>
          <w:p w14:paraId="3C07121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ГАЗ-203</w:t>
            </w:r>
          </w:p>
        </w:tc>
        <w:tc>
          <w:tcPr>
            <w:tcW w:w="1018" w:type="dxa"/>
          </w:tcPr>
          <w:p w14:paraId="764E523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В-4</w:t>
            </w:r>
          </w:p>
        </w:tc>
      </w:tr>
      <w:tr w:rsidR="001E2C69" w:rsidRPr="001E2C69" w14:paraId="39295C27" w14:textId="77777777" w:rsidTr="00CC5360">
        <w:trPr>
          <w:trHeight w:val="173"/>
        </w:trPr>
        <w:tc>
          <w:tcPr>
            <w:tcW w:w="1344" w:type="dxa"/>
          </w:tcPr>
          <w:p w14:paraId="6299354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Мощность макс., л.с.</w:t>
            </w:r>
          </w:p>
        </w:tc>
        <w:tc>
          <w:tcPr>
            <w:tcW w:w="778" w:type="dxa"/>
          </w:tcPr>
          <w:p w14:paraId="2A9CDA0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70</w:t>
            </w:r>
          </w:p>
        </w:tc>
        <w:tc>
          <w:tcPr>
            <w:tcW w:w="1286" w:type="dxa"/>
          </w:tcPr>
          <w:p w14:paraId="5E65091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85</w:t>
            </w:r>
          </w:p>
        </w:tc>
        <w:tc>
          <w:tcPr>
            <w:tcW w:w="970" w:type="dxa"/>
          </w:tcPr>
          <w:p w14:paraId="651AD3A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2x70</w:t>
            </w:r>
          </w:p>
        </w:tc>
        <w:tc>
          <w:tcPr>
            <w:tcW w:w="1018" w:type="dxa"/>
          </w:tcPr>
          <w:p w14:paraId="5136AA2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300</w:t>
            </w:r>
          </w:p>
        </w:tc>
      </w:tr>
      <w:tr w:rsidR="001E2C69" w:rsidRPr="001E2C69" w14:paraId="1EF577FB" w14:textId="77777777" w:rsidTr="00CC5360">
        <w:trPr>
          <w:trHeight w:val="192"/>
        </w:trPr>
        <w:tc>
          <w:tcPr>
            <w:tcW w:w="1344" w:type="dxa"/>
          </w:tcPr>
          <w:p w14:paraId="02C1056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 частоте об/мин</w:t>
            </w:r>
          </w:p>
        </w:tc>
        <w:tc>
          <w:tcPr>
            <w:tcW w:w="778" w:type="dxa"/>
          </w:tcPr>
          <w:p w14:paraId="41FA2ED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1286" w:type="dxa"/>
          </w:tcPr>
          <w:p w14:paraId="35E2EA4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5D43B62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1018" w:type="dxa"/>
          </w:tcPr>
          <w:p w14:paraId="09AF239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1850</w:t>
            </w:r>
          </w:p>
        </w:tc>
      </w:tr>
      <w:tr w:rsidR="001E2C69" w:rsidRPr="001E2C69" w14:paraId="0DA79383" w14:textId="77777777" w:rsidTr="00CC5360">
        <w:trPr>
          <w:trHeight w:val="154"/>
        </w:trPr>
        <w:tc>
          <w:tcPr>
            <w:tcW w:w="1344" w:type="dxa"/>
          </w:tcPr>
          <w:p w14:paraId="4A08920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Передач КПП</w:t>
            </w:r>
          </w:p>
        </w:tc>
        <w:tc>
          <w:tcPr>
            <w:tcW w:w="778" w:type="dxa"/>
          </w:tcPr>
          <w:p w14:paraId="45D6F91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4/1</w:t>
            </w:r>
          </w:p>
        </w:tc>
        <w:tc>
          <w:tcPr>
            <w:tcW w:w="1286" w:type="dxa"/>
          </w:tcPr>
          <w:p w14:paraId="631E224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4/1</w:t>
            </w:r>
          </w:p>
        </w:tc>
        <w:tc>
          <w:tcPr>
            <w:tcW w:w="970" w:type="dxa"/>
          </w:tcPr>
          <w:p w14:paraId="16159F2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4/1</w:t>
            </w:r>
          </w:p>
        </w:tc>
        <w:tc>
          <w:tcPr>
            <w:tcW w:w="1018" w:type="dxa"/>
          </w:tcPr>
          <w:p w14:paraId="5686D50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4/1</w:t>
            </w:r>
          </w:p>
        </w:tc>
      </w:tr>
      <w:tr w:rsidR="001E2C69" w:rsidRPr="001E2C69" w14:paraId="16B98DF3" w14:textId="77777777" w:rsidTr="00CC5360">
        <w:trPr>
          <w:trHeight w:val="192"/>
        </w:trPr>
        <w:tc>
          <w:tcPr>
            <w:tcW w:w="1344" w:type="dxa"/>
          </w:tcPr>
          <w:p w14:paraId="70D2C8E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Скорость макс., км/ч</w:t>
            </w:r>
          </w:p>
        </w:tc>
        <w:tc>
          <w:tcPr>
            <w:tcW w:w="778" w:type="dxa"/>
          </w:tcPr>
          <w:p w14:paraId="617133B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44,8</w:t>
            </w:r>
          </w:p>
        </w:tc>
        <w:tc>
          <w:tcPr>
            <w:tcW w:w="1286" w:type="dxa"/>
          </w:tcPr>
          <w:p w14:paraId="4EDA7E9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39,5</w:t>
            </w:r>
          </w:p>
        </w:tc>
        <w:tc>
          <w:tcPr>
            <w:tcW w:w="970" w:type="dxa"/>
          </w:tcPr>
          <w:p w14:paraId="2F37A27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42,0</w:t>
            </w:r>
          </w:p>
        </w:tc>
        <w:tc>
          <w:tcPr>
            <w:tcW w:w="1018" w:type="dxa"/>
          </w:tcPr>
          <w:p w14:paraId="0460F59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55</w:t>
            </w:r>
          </w:p>
        </w:tc>
      </w:tr>
      <w:tr w:rsidR="001E2C69" w:rsidRPr="001E2C69" w14:paraId="7BD21288" w14:textId="77777777" w:rsidTr="00CC5360">
        <w:trPr>
          <w:trHeight w:val="192"/>
        </w:trPr>
        <w:tc>
          <w:tcPr>
            <w:tcW w:w="1344" w:type="dxa"/>
          </w:tcPr>
          <w:p w14:paraId="678767A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Тип топлива</w:t>
            </w:r>
          </w:p>
        </w:tc>
        <w:tc>
          <w:tcPr>
            <w:tcW w:w="778" w:type="dxa"/>
          </w:tcPr>
          <w:p w14:paraId="50A19E8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Бензин 1 с</w:t>
            </w:r>
          </w:p>
        </w:tc>
        <w:tc>
          <w:tcPr>
            <w:tcW w:w="1286" w:type="dxa"/>
          </w:tcPr>
          <w:p w14:paraId="634CA2B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Бензин 2 с</w:t>
            </w:r>
          </w:p>
        </w:tc>
        <w:tc>
          <w:tcPr>
            <w:tcW w:w="970" w:type="dxa"/>
          </w:tcPr>
          <w:p w14:paraId="0E0A833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Бензин 1 с</w:t>
            </w:r>
          </w:p>
        </w:tc>
        <w:tc>
          <w:tcPr>
            <w:tcW w:w="1018" w:type="dxa"/>
          </w:tcPr>
          <w:p w14:paraId="4457EAA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Дизельное</w:t>
            </w:r>
          </w:p>
        </w:tc>
      </w:tr>
      <w:tr w:rsidR="001E2C69" w:rsidRPr="001E2C69" w14:paraId="467BC151" w14:textId="77777777" w:rsidTr="00CC5360">
        <w:trPr>
          <w:trHeight w:val="202"/>
        </w:trPr>
        <w:tc>
          <w:tcPr>
            <w:tcW w:w="1344" w:type="dxa"/>
          </w:tcPr>
          <w:p w14:paraId="451DF40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Емк. бака, л</w:t>
            </w:r>
          </w:p>
        </w:tc>
        <w:tc>
          <w:tcPr>
            <w:tcW w:w="778" w:type="dxa"/>
          </w:tcPr>
          <w:p w14:paraId="292682F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1286" w:type="dxa"/>
          </w:tcPr>
          <w:p w14:paraId="4579E9F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970" w:type="dxa"/>
          </w:tcPr>
          <w:p w14:paraId="7112363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tc>
        <w:tc>
          <w:tcPr>
            <w:tcW w:w="1018" w:type="dxa"/>
          </w:tcPr>
          <w:p w14:paraId="62B7F69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300</w:t>
            </w:r>
          </w:p>
        </w:tc>
      </w:tr>
      <w:tr w:rsidR="001E2C69" w:rsidRPr="001E2C69" w14:paraId="5D0A0CBE" w14:textId="77777777" w:rsidTr="00CC5360">
        <w:trPr>
          <w:trHeight w:val="173"/>
        </w:trPr>
        <w:tc>
          <w:tcPr>
            <w:tcW w:w="5396" w:type="dxa"/>
            <w:gridSpan w:val="5"/>
          </w:tcPr>
          <w:p w14:paraId="14B41EB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Запас хода, км</w:t>
            </w:r>
          </w:p>
        </w:tc>
      </w:tr>
      <w:tr w:rsidR="001E2C69" w:rsidRPr="001E2C69" w14:paraId="736E2B72" w14:textId="77777777" w:rsidTr="00CC5360">
        <w:trPr>
          <w:trHeight w:val="240"/>
        </w:trPr>
        <w:tc>
          <w:tcPr>
            <w:tcW w:w="1344" w:type="dxa"/>
          </w:tcPr>
          <w:p w14:paraId="6597C7D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шоссе</w:t>
            </w:r>
          </w:p>
        </w:tc>
        <w:tc>
          <w:tcPr>
            <w:tcW w:w="778" w:type="dxa"/>
          </w:tcPr>
          <w:p w14:paraId="0AD95AE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300</w:t>
            </w:r>
          </w:p>
        </w:tc>
        <w:tc>
          <w:tcPr>
            <w:tcW w:w="1286" w:type="dxa"/>
          </w:tcPr>
          <w:p w14:paraId="4F80BEF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290</w:t>
            </w:r>
          </w:p>
        </w:tc>
        <w:tc>
          <w:tcPr>
            <w:tcW w:w="970" w:type="dxa"/>
          </w:tcPr>
          <w:p w14:paraId="192BA17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210</w:t>
            </w:r>
          </w:p>
        </w:tc>
        <w:tc>
          <w:tcPr>
            <w:tcW w:w="1018" w:type="dxa"/>
          </w:tcPr>
          <w:p w14:paraId="39DD220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300</w:t>
            </w:r>
          </w:p>
        </w:tc>
      </w:tr>
      <w:tr w:rsidR="001E2C69" w:rsidRPr="001E2C69" w14:paraId="4F223976" w14:textId="77777777" w:rsidTr="00CC5360">
        <w:trPr>
          <w:trHeight w:val="230"/>
        </w:trPr>
        <w:tc>
          <w:tcPr>
            <w:tcW w:w="1344" w:type="dxa"/>
          </w:tcPr>
          <w:p w14:paraId="64859F4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проселок</w:t>
            </w:r>
          </w:p>
        </w:tc>
        <w:tc>
          <w:tcPr>
            <w:tcW w:w="778" w:type="dxa"/>
          </w:tcPr>
          <w:p w14:paraId="753BA81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240</w:t>
            </w:r>
          </w:p>
        </w:tc>
        <w:tc>
          <w:tcPr>
            <w:tcW w:w="1286" w:type="dxa"/>
          </w:tcPr>
          <w:p w14:paraId="0CABDFD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240</w:t>
            </w:r>
          </w:p>
        </w:tc>
        <w:tc>
          <w:tcPr>
            <w:tcW w:w="970" w:type="dxa"/>
          </w:tcPr>
          <w:p w14:paraId="38B6BCD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170</w:t>
            </w:r>
          </w:p>
        </w:tc>
        <w:tc>
          <w:tcPr>
            <w:tcW w:w="1018" w:type="dxa"/>
          </w:tcPr>
          <w:p w14:paraId="5576F1A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240</w:t>
            </w:r>
          </w:p>
        </w:tc>
      </w:tr>
      <w:tr w:rsidR="001E2C69" w:rsidRPr="001E2C69" w14:paraId="6B9C6C54" w14:textId="77777777" w:rsidTr="00CC5360">
        <w:trPr>
          <w:trHeight w:val="144"/>
        </w:trPr>
        <w:tc>
          <w:tcPr>
            <w:tcW w:w="5396" w:type="dxa"/>
            <w:gridSpan w:val="5"/>
          </w:tcPr>
          <w:p w14:paraId="6F0345D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Преодолеваемые препятствия</w:t>
            </w:r>
          </w:p>
        </w:tc>
      </w:tr>
      <w:tr w:rsidR="001E2C69" w:rsidRPr="001E2C69" w14:paraId="14BF235A" w14:textId="77777777" w:rsidTr="00CC5360">
        <w:trPr>
          <w:trHeight w:val="173"/>
        </w:trPr>
        <w:tc>
          <w:tcPr>
            <w:tcW w:w="1344" w:type="dxa"/>
          </w:tcPr>
          <w:p w14:paraId="6AF4B72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Уд. давление, кгс/см</w:t>
            </w:r>
            <w:r w:rsidRPr="001E2C69">
              <w:rPr>
                <w:rFonts w:ascii="Times New Roman" w:hAnsi="Times New Roman"/>
                <w:color w:val="000000" w:themeColor="text1"/>
                <w:sz w:val="16"/>
                <w:szCs w:val="16"/>
                <w:vertAlign w:val="superscript"/>
              </w:rPr>
              <w:t>!</w:t>
            </w:r>
          </w:p>
        </w:tc>
        <w:tc>
          <w:tcPr>
            <w:tcW w:w="778" w:type="dxa"/>
          </w:tcPr>
          <w:p w14:paraId="4922DE2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0.54</w:t>
            </w:r>
          </w:p>
        </w:tc>
        <w:tc>
          <w:tcPr>
            <w:tcW w:w="1286" w:type="dxa"/>
          </w:tcPr>
          <w:p w14:paraId="59B27F8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0,57</w:t>
            </w:r>
          </w:p>
        </w:tc>
        <w:tc>
          <w:tcPr>
            <w:tcW w:w="970" w:type="dxa"/>
          </w:tcPr>
          <w:p w14:paraId="2FD3185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0,73</w:t>
            </w:r>
          </w:p>
        </w:tc>
        <w:tc>
          <w:tcPr>
            <w:tcW w:w="1018" w:type="dxa"/>
          </w:tcPr>
          <w:p w14:paraId="5059813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0,73</w:t>
            </w:r>
          </w:p>
        </w:tc>
      </w:tr>
      <w:tr w:rsidR="001E2C69" w:rsidRPr="001E2C69" w14:paraId="73D3B0AB" w14:textId="77777777" w:rsidTr="00CC5360">
        <w:trPr>
          <w:trHeight w:val="173"/>
        </w:trPr>
        <w:tc>
          <w:tcPr>
            <w:tcW w:w="1344" w:type="dxa"/>
          </w:tcPr>
          <w:p w14:paraId="03BBFDA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Подъем, град.</w:t>
            </w:r>
          </w:p>
        </w:tc>
        <w:tc>
          <w:tcPr>
            <w:tcW w:w="778" w:type="dxa"/>
          </w:tcPr>
          <w:p w14:paraId="5DFEADD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29</w:t>
            </w:r>
          </w:p>
        </w:tc>
        <w:tc>
          <w:tcPr>
            <w:tcW w:w="1286" w:type="dxa"/>
          </w:tcPr>
          <w:p w14:paraId="0E60A19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36</w:t>
            </w:r>
          </w:p>
        </w:tc>
        <w:tc>
          <w:tcPr>
            <w:tcW w:w="970" w:type="dxa"/>
          </w:tcPr>
          <w:p w14:paraId="2C251C4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w:t>
            </w:r>
          </w:p>
        </w:tc>
        <w:tc>
          <w:tcPr>
            <w:tcW w:w="1018" w:type="dxa"/>
          </w:tcPr>
          <w:p w14:paraId="26BB205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40</w:t>
            </w:r>
          </w:p>
        </w:tc>
      </w:tr>
      <w:tr w:rsidR="001E2C69" w:rsidRPr="001E2C69" w14:paraId="5C37E342" w14:textId="77777777" w:rsidTr="00CC5360">
        <w:trPr>
          <w:trHeight w:val="182"/>
        </w:trPr>
        <w:tc>
          <w:tcPr>
            <w:tcW w:w="1344" w:type="dxa"/>
          </w:tcPr>
          <w:p w14:paraId="1B2D89E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Спуск, град.</w:t>
            </w:r>
          </w:p>
        </w:tc>
        <w:tc>
          <w:tcPr>
            <w:tcW w:w="778" w:type="dxa"/>
          </w:tcPr>
          <w:p w14:paraId="3D0F5D0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28</w:t>
            </w:r>
          </w:p>
        </w:tc>
        <w:tc>
          <w:tcPr>
            <w:tcW w:w="1286" w:type="dxa"/>
          </w:tcPr>
          <w:p w14:paraId="1170725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35</w:t>
            </w:r>
          </w:p>
        </w:tc>
        <w:tc>
          <w:tcPr>
            <w:tcW w:w="970" w:type="dxa"/>
          </w:tcPr>
          <w:p w14:paraId="21DE5DA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w:t>
            </w:r>
          </w:p>
        </w:tc>
        <w:tc>
          <w:tcPr>
            <w:tcW w:w="1018" w:type="dxa"/>
          </w:tcPr>
          <w:p w14:paraId="6ABC7DE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38</w:t>
            </w:r>
          </w:p>
        </w:tc>
      </w:tr>
      <w:tr w:rsidR="001E2C69" w:rsidRPr="001E2C69" w14:paraId="563C3011" w14:textId="77777777" w:rsidTr="00CC5360">
        <w:trPr>
          <w:trHeight w:val="163"/>
        </w:trPr>
        <w:tc>
          <w:tcPr>
            <w:tcW w:w="1344" w:type="dxa"/>
          </w:tcPr>
          <w:p w14:paraId="671645F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Крен, град.</w:t>
            </w:r>
          </w:p>
        </w:tc>
        <w:tc>
          <w:tcPr>
            <w:tcW w:w="778" w:type="dxa"/>
          </w:tcPr>
          <w:p w14:paraId="5C8749F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25</w:t>
            </w:r>
          </w:p>
        </w:tc>
        <w:tc>
          <w:tcPr>
            <w:tcW w:w="1286" w:type="dxa"/>
          </w:tcPr>
          <w:p w14:paraId="4D2E0AE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w:t>
            </w:r>
          </w:p>
        </w:tc>
        <w:tc>
          <w:tcPr>
            <w:tcW w:w="970" w:type="dxa"/>
          </w:tcPr>
          <w:p w14:paraId="7A664A1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24</w:t>
            </w:r>
          </w:p>
        </w:tc>
        <w:tc>
          <w:tcPr>
            <w:tcW w:w="1018" w:type="dxa"/>
          </w:tcPr>
          <w:p w14:paraId="41362BD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30</w:t>
            </w:r>
          </w:p>
        </w:tc>
      </w:tr>
      <w:tr w:rsidR="001E2C69" w:rsidRPr="001E2C69" w14:paraId="39D6C615" w14:textId="77777777" w:rsidTr="00CC5360">
        <w:trPr>
          <w:trHeight w:val="144"/>
        </w:trPr>
        <w:tc>
          <w:tcPr>
            <w:tcW w:w="1344" w:type="dxa"/>
          </w:tcPr>
          <w:p w14:paraId="5E0CE406"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Ров, мм</w:t>
            </w:r>
          </w:p>
        </w:tc>
        <w:tc>
          <w:tcPr>
            <w:tcW w:w="778" w:type="dxa"/>
          </w:tcPr>
          <w:p w14:paraId="2F94B0F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1700</w:t>
            </w:r>
          </w:p>
        </w:tc>
        <w:tc>
          <w:tcPr>
            <w:tcW w:w="1286" w:type="dxa"/>
          </w:tcPr>
          <w:p w14:paraId="7654E39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1700</w:t>
            </w:r>
          </w:p>
        </w:tc>
        <w:tc>
          <w:tcPr>
            <w:tcW w:w="970" w:type="dxa"/>
          </w:tcPr>
          <w:p w14:paraId="31AB1F99"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1800</w:t>
            </w:r>
          </w:p>
        </w:tc>
        <w:tc>
          <w:tcPr>
            <w:tcW w:w="1018" w:type="dxa"/>
          </w:tcPr>
          <w:p w14:paraId="0CE7F60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2000</w:t>
            </w:r>
          </w:p>
        </w:tc>
      </w:tr>
      <w:tr w:rsidR="001E2C69" w:rsidRPr="001E2C69" w14:paraId="4588A12E" w14:textId="77777777" w:rsidTr="00CC5360">
        <w:trPr>
          <w:trHeight w:val="173"/>
        </w:trPr>
        <w:tc>
          <w:tcPr>
            <w:tcW w:w="1344" w:type="dxa"/>
          </w:tcPr>
          <w:p w14:paraId="7F79F56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Стенка, мм</w:t>
            </w:r>
          </w:p>
        </w:tc>
        <w:tc>
          <w:tcPr>
            <w:tcW w:w="778" w:type="dxa"/>
          </w:tcPr>
          <w:p w14:paraId="04C8989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650</w:t>
            </w:r>
          </w:p>
        </w:tc>
        <w:tc>
          <w:tcPr>
            <w:tcW w:w="1286" w:type="dxa"/>
          </w:tcPr>
          <w:p w14:paraId="1E917081"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650</w:t>
            </w:r>
          </w:p>
        </w:tc>
        <w:tc>
          <w:tcPr>
            <w:tcW w:w="970" w:type="dxa"/>
          </w:tcPr>
          <w:p w14:paraId="4C95D47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650</w:t>
            </w:r>
          </w:p>
        </w:tc>
        <w:tc>
          <w:tcPr>
            <w:tcW w:w="1018" w:type="dxa"/>
          </w:tcPr>
          <w:p w14:paraId="2B03A2C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700</w:t>
            </w:r>
          </w:p>
        </w:tc>
      </w:tr>
      <w:tr w:rsidR="001E2C69" w:rsidRPr="001E2C69" w14:paraId="29572338" w14:textId="77777777" w:rsidTr="00CC5360">
        <w:trPr>
          <w:trHeight w:val="230"/>
        </w:trPr>
        <w:tc>
          <w:tcPr>
            <w:tcW w:w="1344" w:type="dxa"/>
            <w:tcBorders>
              <w:bottom w:val="single" w:sz="12" w:space="0" w:color="auto"/>
            </w:tcBorders>
          </w:tcPr>
          <w:p w14:paraId="259C495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Брод, мм</w:t>
            </w:r>
          </w:p>
        </w:tc>
        <w:tc>
          <w:tcPr>
            <w:tcW w:w="778" w:type="dxa"/>
            <w:tcBorders>
              <w:bottom w:val="single" w:sz="12" w:space="0" w:color="auto"/>
            </w:tcBorders>
          </w:tcPr>
          <w:p w14:paraId="77B64A1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900</w:t>
            </w:r>
          </w:p>
        </w:tc>
        <w:tc>
          <w:tcPr>
            <w:tcW w:w="1286" w:type="dxa"/>
            <w:tcBorders>
              <w:bottom w:val="single" w:sz="12" w:space="0" w:color="auto"/>
            </w:tcBorders>
          </w:tcPr>
          <w:p w14:paraId="2745837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900</w:t>
            </w:r>
          </w:p>
        </w:tc>
        <w:tc>
          <w:tcPr>
            <w:tcW w:w="970" w:type="dxa"/>
            <w:tcBorders>
              <w:bottom w:val="single" w:sz="12" w:space="0" w:color="auto"/>
            </w:tcBorders>
          </w:tcPr>
          <w:p w14:paraId="30D132B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900</w:t>
            </w:r>
          </w:p>
        </w:tc>
        <w:tc>
          <w:tcPr>
            <w:tcW w:w="1018" w:type="dxa"/>
            <w:tcBorders>
              <w:bottom w:val="single" w:sz="12" w:space="0" w:color="auto"/>
            </w:tcBorders>
          </w:tcPr>
          <w:p w14:paraId="6494539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1100</w:t>
            </w:r>
          </w:p>
        </w:tc>
      </w:tr>
    </w:tbl>
    <w:p w14:paraId="0EEED5A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(10782).</w:t>
      </w:r>
    </w:p>
    <w:p w14:paraId="7B86B430"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79BB9DCE"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из ворот ЧКЗ вышло первых 30 шт Т-34, а в сентябре Красная Армия получила еще 220 сред</w:t>
      </w:r>
      <w:r w:rsidRPr="001E2C69">
        <w:rPr>
          <w:rFonts w:ascii="Times New Roman" w:hAnsi="Times New Roman"/>
          <w:color w:val="000000" w:themeColor="text1"/>
          <w:sz w:val="16"/>
          <w:szCs w:val="16"/>
        </w:rPr>
        <w:softHyphen/>
        <w:t>них танков челябинской сборки. При этом на производст</w:t>
      </w:r>
      <w:r w:rsidRPr="001E2C69">
        <w:rPr>
          <w:rFonts w:ascii="Times New Roman" w:hAnsi="Times New Roman"/>
          <w:color w:val="000000" w:themeColor="text1"/>
          <w:sz w:val="16"/>
          <w:szCs w:val="16"/>
        </w:rPr>
        <w:softHyphen/>
        <w:t>во Т-34 было переориентировано около 70—75% оборудо</w:t>
      </w:r>
      <w:r w:rsidRPr="001E2C69">
        <w:rPr>
          <w:rFonts w:ascii="Times New Roman" w:hAnsi="Times New Roman"/>
          <w:color w:val="000000" w:themeColor="text1"/>
          <w:sz w:val="16"/>
          <w:szCs w:val="16"/>
        </w:rPr>
        <w:softHyphen/>
        <w:t>вания Кировского завода, тогда как на остальных мощнос</w:t>
      </w:r>
      <w:r w:rsidRPr="001E2C69">
        <w:rPr>
          <w:rFonts w:ascii="Times New Roman" w:hAnsi="Times New Roman"/>
          <w:color w:val="000000" w:themeColor="text1"/>
          <w:sz w:val="16"/>
          <w:szCs w:val="16"/>
        </w:rPr>
        <w:softHyphen/>
        <w:t>тях продолжал производиться тяжелый танк КВ. И все же, несмотря на принятые меры, начало 1943 г. характеризовалось недостаточной отгрузкой танков в дей</w:t>
      </w:r>
      <w:r w:rsidRPr="001E2C69">
        <w:rPr>
          <w:rFonts w:ascii="Times New Roman" w:hAnsi="Times New Roman"/>
          <w:color w:val="000000" w:themeColor="text1"/>
          <w:sz w:val="16"/>
          <w:szCs w:val="16"/>
        </w:rPr>
        <w:softHyphen/>
        <w:t>ствующую армию. Лишь к началу марта количественно и качественно последствия танкового кризиса осени 1942 г. были полностью преодолены (10782).</w:t>
      </w:r>
    </w:p>
    <w:p w14:paraId="2DA1D828"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4EE34CC"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по предложению профессора Военно-Морской ака</w:t>
      </w:r>
      <w:r w:rsidRPr="001E2C69">
        <w:rPr>
          <w:rFonts w:ascii="Times New Roman" w:hAnsi="Times New Roman"/>
          <w:color w:val="000000" w:themeColor="text1"/>
          <w:sz w:val="16"/>
          <w:szCs w:val="16"/>
        </w:rPr>
        <w:softHyphen/>
        <w:t>демии им. Ворошилова военного инженера 1-го ранга Петровского был разработан и прошел испытания опытный образец танка Т-34, оснащен</w:t>
      </w:r>
      <w:r w:rsidRPr="001E2C69">
        <w:rPr>
          <w:rFonts w:ascii="Times New Roman" w:hAnsi="Times New Roman"/>
          <w:color w:val="000000" w:themeColor="text1"/>
          <w:sz w:val="16"/>
          <w:szCs w:val="16"/>
        </w:rPr>
        <w:softHyphen/>
        <w:t>ный оборудованием для подводного вождения. Во время испытаний танк Т-34 шесть раз преодолел водную прегра</w:t>
      </w:r>
      <w:r w:rsidRPr="001E2C69">
        <w:rPr>
          <w:rFonts w:ascii="Times New Roman" w:hAnsi="Times New Roman"/>
          <w:color w:val="000000" w:themeColor="text1"/>
          <w:sz w:val="16"/>
          <w:szCs w:val="16"/>
        </w:rPr>
        <w:softHyphen/>
        <w:t>ду шириной 230 м и глубиной 6,5 м. Скорость движения танка под во</w:t>
      </w:r>
      <w:r w:rsidRPr="001E2C69">
        <w:rPr>
          <w:rFonts w:ascii="Times New Roman" w:hAnsi="Times New Roman"/>
          <w:color w:val="000000" w:themeColor="text1"/>
          <w:sz w:val="16"/>
          <w:szCs w:val="16"/>
        </w:rPr>
        <w:softHyphen/>
        <w:t>дой на первой передаче находилась в пределах 4,3 - 4,6 км/ч. Условия работы экипажа при нахождении танка под водой не отличались от нор</w:t>
      </w:r>
      <w:r w:rsidRPr="001E2C69">
        <w:rPr>
          <w:rFonts w:ascii="Times New Roman" w:hAnsi="Times New Roman"/>
          <w:color w:val="000000" w:themeColor="text1"/>
          <w:sz w:val="16"/>
          <w:szCs w:val="16"/>
        </w:rPr>
        <w:softHyphen/>
        <w:t>мальных. В связи с большим объемом и временем работ по герметиза</w:t>
      </w:r>
      <w:r w:rsidRPr="001E2C69">
        <w:rPr>
          <w:rFonts w:ascii="Times New Roman" w:hAnsi="Times New Roman"/>
          <w:color w:val="000000" w:themeColor="text1"/>
          <w:sz w:val="16"/>
          <w:szCs w:val="16"/>
        </w:rPr>
        <w:softHyphen/>
        <w:t>ции тапка дальнейшие работы были прекращены (10703).</w:t>
      </w:r>
    </w:p>
    <w:p w14:paraId="316C4DC7"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22F092B4" w14:textId="77777777" w:rsidR="00F97688" w:rsidRPr="001E2C69" w:rsidRDefault="00F97688" w:rsidP="00722885">
      <w:pPr>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августе 1942 НИИ-48,проанализировав картину боевого применения Т-34 за май – июль 1942 года, специалисты института подготовили крайне интересный доклад. Выяснилось, что 50,5% поражений пришлось на борта Т-34 (18883).</w:t>
      </w:r>
    </w:p>
    <w:p w14:paraId="0238BAD7" w14:textId="77777777" w:rsidR="00F97688" w:rsidRPr="001E2C69" w:rsidRDefault="00F97688" w:rsidP="00722885">
      <w:pPr>
        <w:spacing w:after="0" w:line="240" w:lineRule="auto"/>
        <w:jc w:val="both"/>
        <w:rPr>
          <w:rFonts w:ascii="Times New Roman" w:eastAsia="Times New Roman" w:hAnsi="Times New Roman"/>
          <w:color w:val="000000" w:themeColor="text1"/>
          <w:sz w:val="16"/>
          <w:szCs w:val="16"/>
          <w:lang w:eastAsia="ru-RU"/>
        </w:rPr>
      </w:pPr>
    </w:p>
    <w:p w14:paraId="55648D7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на суд техотдела НКТП конструкторы Уралмашзавода предъявили проект танка У-34. От У-33 он отличался во</w:t>
      </w:r>
      <w:r w:rsidRPr="001E2C69">
        <w:rPr>
          <w:rFonts w:ascii="Times New Roman" w:hAnsi="Times New Roman"/>
          <w:color w:val="000000" w:themeColor="text1"/>
          <w:sz w:val="16"/>
          <w:szCs w:val="16"/>
        </w:rPr>
        <w:softHyphen/>
        <w:t>оружением из самоходного варианта 76,2-мм танковой пуш</w:t>
      </w:r>
      <w:r w:rsidRPr="001E2C69">
        <w:rPr>
          <w:rFonts w:ascii="Times New Roman" w:hAnsi="Times New Roman"/>
          <w:color w:val="000000" w:themeColor="text1"/>
          <w:sz w:val="16"/>
          <w:szCs w:val="16"/>
        </w:rPr>
        <w:softHyphen/>
        <w:t>ки Ф-34 обр. 1939/41 гг., спаренной с 7,62-мм пулеметом ДТ в рамочной установке с литой бронировкой. Кроме того, Н.В. Курин в инициативном порядке выполнил эскизный проект 122-мм самоходной гаубицы в конструктиве У-33. Но ввиду занятости Уралмашзавода организацией серийного выпуска танков Т-34, этот проект отдали для доработок на артиллерийский завод № 9, выделившийся из состава УЗТМ весной 1942 г., который ограничился лишь разработкой раз</w:t>
      </w:r>
      <w:r w:rsidRPr="001E2C69">
        <w:rPr>
          <w:rFonts w:ascii="Times New Roman" w:hAnsi="Times New Roman"/>
          <w:color w:val="000000" w:themeColor="text1"/>
          <w:sz w:val="16"/>
          <w:szCs w:val="16"/>
        </w:rPr>
        <w:softHyphen/>
        <w:t>вернутого эскизного проекта, тогда как в недрах Наркомата вооружений родилось незапланированное дитя (11417).</w:t>
      </w:r>
    </w:p>
    <w:p w14:paraId="0D93F364"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FECEFA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во время испытаний танка КВ-1 с КАРСТ-1 были вы</w:t>
      </w:r>
      <w:r w:rsidRPr="001E2C69">
        <w:rPr>
          <w:rFonts w:ascii="Times New Roman" w:hAnsi="Times New Roman"/>
          <w:color w:val="000000" w:themeColor="text1"/>
          <w:sz w:val="16"/>
          <w:szCs w:val="16"/>
        </w:rPr>
        <w:softHyphen/>
        <w:t>полнены стрельбы реактивными снарядами с направляющих различной длины (1200, 1250, 2000 и 2400 мм), которые показали удовлетвори</w:t>
      </w:r>
      <w:r w:rsidRPr="001E2C69">
        <w:rPr>
          <w:rFonts w:ascii="Times New Roman" w:hAnsi="Times New Roman"/>
          <w:color w:val="000000" w:themeColor="text1"/>
          <w:sz w:val="16"/>
          <w:szCs w:val="16"/>
        </w:rPr>
        <w:softHyphen/>
        <w:t>тельные результаты. Кучность и дальность стрельбы почти не отлича</w:t>
      </w:r>
      <w:r w:rsidRPr="001E2C69">
        <w:rPr>
          <w:rFonts w:ascii="Times New Roman" w:hAnsi="Times New Roman"/>
          <w:color w:val="000000" w:themeColor="text1"/>
          <w:sz w:val="16"/>
          <w:szCs w:val="16"/>
        </w:rPr>
        <w:softHyphen/>
        <w:t>лась от табличных данных при стрельбе с направляющих длиной 5000 мм (для БМ-13). Вместе с тем были отмечены и недостатки КАРСТ-1, основными из которых являлись отсутствие независимой (от положения корпуса танка) горизонтальной и вертикальной наводки, что значительно снижало маневренность огня, а также увеличение, по сравнению со штатной установкой боевой машины БМ-13, бокового рассеивания реактивных снарядов в 1,5 раза (10703).</w:t>
      </w:r>
    </w:p>
    <w:p w14:paraId="3FB3FAC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0763B3A4" w14:textId="77777777" w:rsidR="00AB5DE8" w:rsidRPr="008A2E5A" w:rsidRDefault="00AB5DE8" w:rsidP="00AB5D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1942 года началось серийное производство КВ-1с. Запускалось производство КВ-1с в спешке, что привело к ряду проблем, тем не менее, появление "облегченного" КВ стало правильным решением. Аварийность машин снизилась, а подвижность, наоборот, повысилась. Несмотря на то, что командирская башенка была далека от идеала, она всё равно стала большим плюсом, как и перемещение места командира назад-влево, за наводчиком. Командир стал видеть намного лучше, частично решили проблему со "слепотой" КВ (23365).</w:t>
      </w:r>
    </w:p>
    <w:p w14:paraId="16EF521A" w14:textId="77777777" w:rsidR="00AB5DE8" w:rsidRPr="008A2E5A" w:rsidRDefault="00AB5DE8" w:rsidP="00AB5DE8">
      <w:pPr>
        <w:spacing w:after="0" w:line="240" w:lineRule="auto"/>
        <w:jc w:val="both"/>
        <w:rPr>
          <w:rFonts w:ascii="Times New Roman" w:hAnsi="Times New Roman"/>
          <w:color w:val="0070C0"/>
          <w:sz w:val="16"/>
          <w:szCs w:val="16"/>
        </w:rPr>
      </w:pPr>
    </w:p>
    <w:p w14:paraId="76A91F13" w14:textId="77777777" w:rsidR="00FC56D8" w:rsidRPr="001E2C69" w:rsidRDefault="00FC56D8" w:rsidP="00722885">
      <w:pPr>
        <w:pStyle w:val="27"/>
        <w:shd w:val="clear" w:color="auto" w:fill="auto"/>
        <w:spacing w:after="0" w:line="240" w:lineRule="auto"/>
        <w:ind w:firstLine="0"/>
        <w:rPr>
          <w:rFonts w:ascii="Times New Roman" w:cs="Times New Roman"/>
          <w:color w:val="000000" w:themeColor="text1"/>
          <w:spacing w:val="0"/>
        </w:rPr>
      </w:pPr>
      <w:r w:rsidRPr="001E2C69">
        <w:rPr>
          <w:rFonts w:ascii="Times New Roman" w:cs="Times New Roman"/>
          <w:color w:val="000000" w:themeColor="text1"/>
          <w:spacing w:val="0"/>
        </w:rPr>
        <w:t>В августе 1942 года выпуск тяжелых танков на Че</w:t>
      </w:r>
      <w:r w:rsidRPr="001E2C69">
        <w:rPr>
          <w:rFonts w:ascii="Times New Roman" w:cs="Times New Roman"/>
          <w:color w:val="000000" w:themeColor="text1"/>
          <w:spacing w:val="0"/>
        </w:rPr>
        <w:softHyphen/>
        <w:t>лябинском Кировском заводе шел с большими трудностями. Это и понятно - предприятие фактически про</w:t>
      </w:r>
      <w:r w:rsidRPr="001E2C69">
        <w:rPr>
          <w:rFonts w:ascii="Times New Roman" w:cs="Times New Roman"/>
          <w:color w:val="000000" w:themeColor="text1"/>
          <w:spacing w:val="0"/>
        </w:rPr>
        <w:softHyphen/>
        <w:t xml:space="preserve">изводило три типа боевых машин: КВ-1, </w:t>
      </w:r>
      <w:r w:rsidRPr="001E2C69">
        <w:rPr>
          <w:rFonts w:ascii="Times New Roman" w:cs="Times New Roman"/>
          <w:color w:val="000000" w:themeColor="text1"/>
          <w:spacing w:val="0"/>
          <w:lang w:val="en-US"/>
        </w:rPr>
        <w:t>KB</w:t>
      </w:r>
      <w:r w:rsidRPr="001E2C69">
        <w:rPr>
          <w:rFonts w:ascii="Times New Roman" w:cs="Times New Roman"/>
          <w:color w:val="000000" w:themeColor="text1"/>
          <w:spacing w:val="0"/>
        </w:rPr>
        <w:t>-1С и Т-34. О непростой ситуации, кото</w:t>
      </w:r>
      <w:r w:rsidRPr="001E2C69">
        <w:rPr>
          <w:rFonts w:ascii="Times New Roman" w:cs="Times New Roman"/>
          <w:color w:val="000000" w:themeColor="text1"/>
          <w:spacing w:val="0"/>
        </w:rPr>
        <w:softHyphen/>
        <w:t>рая сложилась на заводе в то время, можно узнать из доклада старшего военпреда ЧКЗ инженер-майора Скрибцова, направленного в ГБТУ КА 21 августа 1942 года (15226).</w:t>
      </w:r>
    </w:p>
    <w:p w14:paraId="511A1A3B" w14:textId="77777777" w:rsidR="00FC56D8" w:rsidRPr="001E2C69" w:rsidRDefault="00FC56D8" w:rsidP="00722885">
      <w:pPr>
        <w:pStyle w:val="27"/>
        <w:shd w:val="clear" w:color="auto" w:fill="auto"/>
        <w:spacing w:after="0" w:line="240" w:lineRule="auto"/>
        <w:ind w:firstLine="0"/>
        <w:rPr>
          <w:rFonts w:ascii="Times New Roman" w:cs="Times New Roman"/>
          <w:color w:val="000000" w:themeColor="text1"/>
          <w:spacing w:val="0"/>
        </w:rPr>
      </w:pPr>
    </w:p>
    <w:p w14:paraId="716D2CD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На август 1942 года был подготовлен Паспорт филиала завода № 37 </w:t>
      </w:r>
    </w:p>
    <w:p w14:paraId="045EF58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После эвакуации завода № 37, занимаемая площадь была распределена между двумя заводами – филиалом завода № 37 и 9-м Авторемонтным заводом Моссовета.</w:t>
      </w:r>
    </w:p>
    <w:p w14:paraId="49FEDEF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Адрес: Москва 61, п/я 4087, Сокольнический район</w:t>
      </w:r>
    </w:p>
    <w:p w14:paraId="51BD75A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Директор – Зеликсон</w:t>
      </w:r>
    </w:p>
    <w:p w14:paraId="6C57C7D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Основные виды изделий – ремонт танков, автомашин, литье мин (9669).</w:t>
      </w:r>
    </w:p>
    <w:p w14:paraId="7E9B193C" w14:textId="77777777" w:rsidR="00AE7191" w:rsidRPr="001E2C69" w:rsidRDefault="00AE7191" w:rsidP="00722885">
      <w:pPr>
        <w:pStyle w:val="Iauiue"/>
        <w:jc w:val="both"/>
        <w:rPr>
          <w:color w:val="000000" w:themeColor="text1"/>
          <w:sz w:val="16"/>
          <w:szCs w:val="16"/>
        </w:rPr>
      </w:pPr>
    </w:p>
    <w:p w14:paraId="1F241C98" w14:textId="77777777" w:rsidR="00B04F22" w:rsidRPr="001E2C69" w:rsidRDefault="00B04F22" w:rsidP="00722885">
      <w:pPr>
        <w:pStyle w:val="af"/>
        <w:shd w:val="clear" w:color="auto" w:fill="FFFFFF"/>
        <w:spacing w:before="0" w:after="0"/>
        <w:jc w:val="both"/>
        <w:rPr>
          <w:color w:val="000000" w:themeColor="text1"/>
          <w:sz w:val="16"/>
          <w:szCs w:val="16"/>
        </w:rPr>
      </w:pPr>
      <w:r w:rsidRPr="001E2C69">
        <w:rPr>
          <w:color w:val="000000" w:themeColor="text1"/>
          <w:sz w:val="16"/>
          <w:szCs w:val="16"/>
        </w:rPr>
        <w:t>В августе 1942 в конструкторском бюро автозавода построили деревянный макет двухместной башни. Работа по башне велась, скорее, в фоновом режиме, поскольку больший приоритет отдавался модернизации ходовой части. Ускорение работ по башне и модернизированному двигателю ГАЗ-203 произошло только после выхода 8 сентября постановления ГКО №2276сс «О танках Т-70». Пункт 4 данного постановления предписывал к 1 октября подготовить танк с двухместной башней, к тому же моменту ожидалось получить и форсированные моторы.</w:t>
      </w:r>
    </w:p>
    <w:p w14:paraId="4769A831" w14:textId="77777777" w:rsidR="00B04F22" w:rsidRPr="001E2C69" w:rsidRDefault="00B04F22" w:rsidP="00722885">
      <w:pPr>
        <w:pStyle w:val="af"/>
        <w:shd w:val="clear" w:color="auto" w:fill="FFFFFF"/>
        <w:spacing w:before="0" w:after="0"/>
        <w:jc w:val="both"/>
        <w:rPr>
          <w:color w:val="000000" w:themeColor="text1"/>
          <w:sz w:val="16"/>
          <w:szCs w:val="16"/>
        </w:rPr>
      </w:pPr>
      <w:r w:rsidRPr="001E2C69">
        <w:rPr>
          <w:color w:val="000000" w:themeColor="text1"/>
          <w:sz w:val="16"/>
          <w:szCs w:val="16"/>
        </w:rPr>
        <w:t>С нуля новый танк строить не стали. За основу был взят Т-70 с серийным номером 208207, изготовленный в августе 1942 года. Это был один из танков, проходивших испытания по программе усиления ходовой части и бортов. В связи с этим толщина бортов у него составляла не 15, а 25 мм. Изменения в шасси вносились минимальные. В связи с тем, что диаметр погона у двухместной башни вырос с 966 до 1112 мм, пришлось переделывать крышу боевого отделения. Раньше лист состоял из двух частей, благодаря чему можно было снять двигатель, не снимая башню. Теперь же для демонтажа мотора требовалось снять сначала башню, а затем крышу боевого отделения.</w:t>
      </w:r>
    </w:p>
    <w:p w14:paraId="3B6649C0" w14:textId="77777777" w:rsidR="00B04F22" w:rsidRPr="001E2C69" w:rsidRDefault="00B04F22" w:rsidP="00722885">
      <w:pPr>
        <w:pStyle w:val="af"/>
        <w:shd w:val="clear" w:color="auto" w:fill="FFFFFF"/>
        <w:spacing w:before="0" w:after="0"/>
        <w:jc w:val="both"/>
        <w:rPr>
          <w:color w:val="000000" w:themeColor="text1"/>
          <w:sz w:val="16"/>
          <w:szCs w:val="16"/>
        </w:rPr>
      </w:pPr>
      <w:r w:rsidRPr="001E2C69">
        <w:rPr>
          <w:color w:val="000000" w:themeColor="text1"/>
          <w:sz w:val="16"/>
          <w:szCs w:val="16"/>
        </w:rPr>
        <w:t xml:space="preserve">При разработке двухместной башни заводское КБ во главе с В.А. Дедковым взяло за основу сварную башню Т-70. Поскольку башня стала значительно шире, пришлось </w:t>
      </w:r>
      <w:r w:rsidRPr="001E2C69">
        <w:rPr>
          <w:color w:val="000000" w:themeColor="text1"/>
          <w:sz w:val="16"/>
          <w:szCs w:val="16"/>
        </w:rPr>
        <w:lastRenderedPageBreak/>
        <w:t>переделывать все её элементы, включая подвижную бронировку орудийной маски. Получила башня и развитую кормовую нишу. Это позволило разместить в ней не только радиостанцию, но и две укладки по 10 патронов к 45-мм пушке в каждой. Переделке подвергся башенный люк, которым пользовались и командир/наводчик, и заряжающий. Правда, люк получился довольно тяжёлым, подобная проблема была и у Т-34 с широким люком. Кроме того, командир лишился прибора кругового обзора, который находился как раз в люке. Вместо него командир получил перископический прибор ПТК, а заряжающий — перископический прибор, аналогичный тому, который размещался в башенном люке Т-70. Также башня получила полик, что улучшило условие работы расчёта (17712).</w:t>
      </w:r>
    </w:p>
    <w:p w14:paraId="5E281E72" w14:textId="77777777" w:rsidR="00B04F22" w:rsidRPr="001E2C69" w:rsidRDefault="00B04F22" w:rsidP="00722885">
      <w:pPr>
        <w:spacing w:after="0" w:line="240" w:lineRule="auto"/>
        <w:jc w:val="both"/>
        <w:rPr>
          <w:rFonts w:ascii="Times New Roman" w:eastAsia="Times New Roman" w:hAnsi="Times New Roman"/>
          <w:color w:val="000000" w:themeColor="text1"/>
          <w:sz w:val="16"/>
          <w:szCs w:val="16"/>
          <w:lang w:eastAsia="ru-RU"/>
        </w:rPr>
      </w:pPr>
    </w:p>
    <w:p w14:paraId="4424D122" w14:textId="77777777" w:rsidR="00B04F22" w:rsidRPr="001E2C69" w:rsidRDefault="00B04F2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августе 1942 года один из пяти Churchill III, прибывших в СССР конвоем PQ-17, отправился на НИБТ Полигон в подмосковную Кубинку. Это были едва ли не первые испытания на Полигоне после того, как из Казани он снова переехал в Кубинку. На испытания отправился танк с WD-номером T.31222R. Испытания, впрочем, не задались с самого начала. Во время перегона со склада №511 на НИБТ Полигон танк сломался. Выяснилось, что во время движения прокладка между верхней правой головкой и блоком цилиндров вышла из строя. Повреждение не было обнаружено своевременно, поскольку танк двигался ночью. В результате охлаждающая жидкость вытекла, от перегрева блок и головка треснули. Этот дефект был очень хорошо известен англичанам.</w:t>
      </w:r>
    </w:p>
    <w:p w14:paraId="5377D766" w14:textId="77777777" w:rsidR="00B04F22" w:rsidRPr="001E2C69" w:rsidRDefault="00B04F22" w:rsidP="00722885">
      <w:pPr>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Серьезная поломка двигателя поставила под вопрос дальнейшие испытания. Танк отправили на ремонт, где он надолго задержался, поскольку имелись серьезные проблемы с запчастями. Возникла угроза срыва испытаний. В результате было принято решение передать Полигону на время другой танк с WD-номером T.31221R. Поскольку машину предполагалось позже отправить в войска, программу испытаний сократили. В общей сложности испытания проходили с 30 августа по 5 сентября 1942 года. Параллельно с ходовыми были проведены и испытания вооружения. После них танк вернулся в Горьковский учебный центр и оказался в составе 47-го гвардейского тяжелого танкового полка.</w:t>
      </w:r>
    </w:p>
    <w:p w14:paraId="378F39EC" w14:textId="77777777" w:rsidR="00B04F22" w:rsidRPr="001E2C69" w:rsidRDefault="00B04F22"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К моменту начала испытаний танк уже активно эксплуатировался. Он прибыл из Горьковского учебного центра, где прошел более 200 километров. Поскольку было известно, что в дальнейшем танку предстоит боевая служба, объем ходовых испытаний было решено урезать до минимума. Всего он прошел 97 километров по шоссе и 87 километров по проселку, включая небольшой участок местности для проведения испытаний по преодолению подъемов. На танке использовался отечественный бензин Б-70, в который для увеличения октанового числа добавили авиационную присадку Р-9. Согласно английским документам, рекомендовалось использовать бензин с октановым числом не менее 75 (17961).</w:t>
      </w:r>
    </w:p>
    <w:p w14:paraId="0CADF2B9" w14:textId="77777777" w:rsidR="00B04F22" w:rsidRPr="001E2C69" w:rsidRDefault="00B04F22" w:rsidP="00722885">
      <w:pPr>
        <w:spacing w:after="0" w:line="240" w:lineRule="auto"/>
        <w:jc w:val="both"/>
        <w:rPr>
          <w:rFonts w:ascii="Times New Roman" w:eastAsia="Times New Roman" w:hAnsi="Times New Roman"/>
          <w:color w:val="000000" w:themeColor="text1"/>
          <w:sz w:val="16"/>
          <w:szCs w:val="16"/>
          <w:lang w:eastAsia="ru-RU"/>
        </w:rPr>
      </w:pPr>
    </w:p>
    <w:p w14:paraId="08454A79" w14:textId="77777777" w:rsidR="000F18D5" w:rsidRPr="001E2C69" w:rsidRDefault="000F18D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августе 1942 года КБ завода №8 под руководством Петрова разработало проект самоходной установки ЗИК-10, которая имела всю ту же У-11 в качестве вооружения. Еще раньше, в июле 1942 года, завод №592 разработал САУ СГ-122У с той же системой. Дальше чертежных досок эти машины не продвинулись, хотя ГАБТУ КА все еще пыталось найти применение этим орудиям, вполне удачным по конструкции. Что же касается КВ-9, то с июня 1942 года его поставили на площадку техники на заводском дворе ЧКЗ. В декабре 1943 года танк был сдан в металлолом (17680).</w:t>
      </w:r>
    </w:p>
    <w:p w14:paraId="6546BE53" w14:textId="77777777" w:rsidR="000F18D5" w:rsidRPr="001E2C69" w:rsidRDefault="000F18D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6006319" w14:textId="77777777" w:rsidR="000F18D5" w:rsidRPr="001E2C69" w:rsidRDefault="000F18D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августе 1942 года Алтайский тракторный завод (АТЗ), созданный на базе части эвакуированного в РУбцовск ХТЗ, главным конструктором которого оказался Сидельников, дал стране первый трактор, получивший обозначение АТЗ-НАТИ.</w:t>
      </w:r>
    </w:p>
    <w:p w14:paraId="37E693F8" w14:textId="77777777" w:rsidR="000F18D5" w:rsidRPr="001E2C69" w:rsidRDefault="000F18D5"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Между тем стране требовались не сельскохозяйственные трактора, а тягачи вроде СТЗ-5. Как раз такой трактор в 1943 году КБ АТЗ по главе с Сидельниковым и разработало. Эта машина получила обозначение АТЗ-3Т, в ней угадывались те же технические решения, что и в ХТЗ-16. Даже бак оказался сдвинутым влево, а водитель находился справа. Благодаря такому техническому решению удалось выкроить место под небольшую грузовую платформу. Кстати, двигатель на этом тягаче также был форсирован до 58 лошадиных сил. Согласно документам, летом 1943 года был построен опытный образец АТЗ-3Т. 1 июля 1943 года начальник ГАУ генерал-полковник Яковлев предлагал выпустить пробную партию тракторов. Но к тому моменту уже началось производство куда более совершенного тягача Я-11, который явно превосходил алтайского конкурента. На этом его история и закончилась (17656).</w:t>
      </w:r>
    </w:p>
    <w:p w14:paraId="23C75B6D" w14:textId="77777777" w:rsidR="000F18D5" w:rsidRPr="001E2C69" w:rsidRDefault="000F18D5" w:rsidP="00722885">
      <w:pPr>
        <w:spacing w:after="0" w:line="240" w:lineRule="auto"/>
        <w:jc w:val="both"/>
        <w:rPr>
          <w:rFonts w:ascii="Times New Roman" w:eastAsia="Times New Roman" w:hAnsi="Times New Roman"/>
          <w:color w:val="000000" w:themeColor="text1"/>
          <w:sz w:val="16"/>
          <w:szCs w:val="16"/>
          <w:lang w:eastAsia="ru-RU"/>
        </w:rPr>
      </w:pPr>
    </w:p>
    <w:p w14:paraId="320B1F4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года была подготовлена справка:</w:t>
      </w:r>
    </w:p>
    <w:p w14:paraId="6FBB562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 357 НКВ – Омск (производство микроскопов и других оптических приборов) (9265).</w:t>
      </w:r>
    </w:p>
    <w:p w14:paraId="00E5304D" w14:textId="77777777" w:rsidR="00AE7191" w:rsidRPr="001E2C69" w:rsidRDefault="00AE7191" w:rsidP="00722885">
      <w:pPr>
        <w:pStyle w:val="Iauiue"/>
        <w:jc w:val="both"/>
        <w:rPr>
          <w:color w:val="000000" w:themeColor="text1"/>
          <w:sz w:val="16"/>
          <w:szCs w:val="16"/>
        </w:rPr>
      </w:pPr>
    </w:p>
    <w:p w14:paraId="737A9F8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года постановлением Военсовета Ленфронта было предложено приступить к организации новой производственной базы на площадке бывшего завода № 174 им. Ворошилова в Ленинграде.</w:t>
      </w:r>
    </w:p>
    <w:p w14:paraId="42463E8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Номенклатура продукции: броневая точка для противотанкового ружья (ПТР), броневая вращающаяся пулеметная башня (ВПВ), броневая точка ЛВ-I и ЛВ-II, броневая точка ДОТ, броневые щиты.</w:t>
      </w:r>
    </w:p>
    <w:p w14:paraId="1BD8BF0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конце 1942 года завод организовал свое основное производство на площадке бывшего завода № 174 им. Ворошилова. Основной вид продукции в 1943 году – боеприпасы. Характерным является увеличение выполнения заказов ВМФ и элементов боеприпасов и снижение заказов Ленфронта по обеспечению укрепления переднего края обороны броневыми ДОТами, вращающимися броневыми башнями.</w:t>
      </w:r>
    </w:p>
    <w:p w14:paraId="6525DD3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1944 год</w:t>
      </w:r>
    </w:p>
    <w:p w14:paraId="78A4671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Место: Колпино, п/я 1</w:t>
      </w:r>
    </w:p>
    <w:p w14:paraId="56149F1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Ввод в эксплуатацию – 1803 год</w:t>
      </w:r>
    </w:p>
    <w:p w14:paraId="70285AB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Производство боеприпасов, броневые объекты для НКСП и НКВ. В 1944 году завод продолжал производство реактивного снаряда М-31, освоенного в IV квартале 1943 года.</w:t>
      </w:r>
    </w:p>
    <w:p w14:paraId="572D407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1944 года в связи с передачей завода № 174 Рембазе согласно приказа НКТП № 566с от 14 июля 1944 года Ижорскому заводу было предложено освободить площадку (8847).</w:t>
      </w:r>
    </w:p>
    <w:p w14:paraId="7E0F5711" w14:textId="77777777" w:rsidR="00AE7191" w:rsidRPr="001E2C69" w:rsidRDefault="00AE7191" w:rsidP="00722885">
      <w:pPr>
        <w:pStyle w:val="Iauiue"/>
        <w:jc w:val="both"/>
        <w:rPr>
          <w:color w:val="000000" w:themeColor="text1"/>
          <w:sz w:val="16"/>
          <w:szCs w:val="16"/>
        </w:rPr>
      </w:pPr>
    </w:p>
    <w:p w14:paraId="617224BB" w14:textId="77777777" w:rsidR="00E13733" w:rsidRPr="007155F3" w:rsidRDefault="00E13733" w:rsidP="00E13733">
      <w:pPr>
        <w:spacing w:after="0" w:line="240" w:lineRule="auto"/>
        <w:jc w:val="both"/>
        <w:rPr>
          <w:rFonts w:ascii="Times New Roman" w:hAnsi="Times New Roman"/>
          <w:color w:val="0070C0"/>
          <w:sz w:val="16"/>
          <w:szCs w:val="16"/>
        </w:rPr>
      </w:pPr>
      <w:r w:rsidRPr="007155F3">
        <w:rPr>
          <w:rFonts w:ascii="Times New Roman" w:hAnsi="Times New Roman"/>
          <w:color w:val="0070C0"/>
          <w:sz w:val="16"/>
          <w:szCs w:val="16"/>
        </w:rPr>
        <w:t>За август 1942 года ГАЗ им. Молотова сдал 500 танков Т-70, из них 232 радийных. Завод № 38, при плане в 190 танков, сдал 193. Одновременно шла и доработка танка. С 5 августа выхлопные трубы стали выводить через отверстия в крыше корпуса (ранее они выходили через воздухозаборник снизу). 8 августа ввели полное ограждение двигателя, что заметно улучшило условия работы командира и механика-водителя. Первыми изменения ввели на ГАЗ, далее их получили танки завода № 38 (24898).</w:t>
      </w:r>
    </w:p>
    <w:p w14:paraId="72F8163D" w14:textId="77777777" w:rsidR="00E13733" w:rsidRPr="007155F3" w:rsidRDefault="00E13733" w:rsidP="00E13733">
      <w:pPr>
        <w:spacing w:after="0" w:line="240" w:lineRule="auto"/>
        <w:jc w:val="both"/>
        <w:rPr>
          <w:rFonts w:ascii="Times New Roman" w:hAnsi="Times New Roman"/>
          <w:color w:val="0070C0"/>
          <w:sz w:val="16"/>
          <w:szCs w:val="16"/>
        </w:rPr>
      </w:pPr>
    </w:p>
    <w:p w14:paraId="58A1F808" w14:textId="77777777" w:rsidR="00D80B8A" w:rsidRPr="001E2C69" w:rsidRDefault="00D80B8A" w:rsidP="00722885">
      <w:pPr>
        <w:pStyle w:val="article-renderblock"/>
        <w:shd w:val="clear" w:color="auto" w:fill="FFFFFF"/>
        <w:spacing w:before="0" w:beforeAutospacing="0" w:after="0" w:afterAutospacing="0"/>
        <w:jc w:val="both"/>
        <w:rPr>
          <w:color w:val="000000" w:themeColor="text1"/>
          <w:sz w:val="16"/>
          <w:szCs w:val="16"/>
        </w:rPr>
      </w:pPr>
      <w:r w:rsidRPr="001E2C69">
        <w:rPr>
          <w:color w:val="000000" w:themeColor="text1"/>
          <w:sz w:val="16"/>
          <w:szCs w:val="16"/>
        </w:rPr>
        <w:t>В августе 1942 года ОКБ-15 подготовило опытный образец зенитного танка, получившего внутреннее обозначение ЗУТ-37 (Зенитная Установка Танковая). Следует отметить, что в переписке этот индекс не использовался, его можно встретить лишь в документах ОКБ-15. ЗУТ-37 строилась на шасси Т-70 с серийным номером 7204017, выпущенном в апреле 1942 года. Концепция ОКБ-15 отличалась от идей Савина. Если Савин предлагал максимально использовать конструкцию штатной башни, то башня ЗУТ-37 оказалась построена с нуля. Ведущим конструктором башни являлся П.Ф. Бромлей, больше он известен по совсем иным темам, не имеющим к танкам никакого отношения (например, он разрабатывал троллейбусы). Надо сказать, что ОКБ-15 пришлось попотеть, чтобы авиационная пушка влезла в башню. Пушку пришлось перевернуть на 180 градусов, ее поставили в массивной подвижной бронировке, которая одновременно служила защитой с лобовой проекции. Для придания жесткости к подвижной бронировке орудийной маски приваривалась ферменная конструкция, которая фиксировала противооткатные устройства. Пришлось переделывать и систему питания орудия. Изначально мотор-пушка имела громоздкий ленточный магазин на 40 патронов, но в полевых условиях его перезарядить было попросту невозможно. Поэтому магазин сделали поменьше - на 20 патронов, что тоже многовато. Прицеливание производилось при помощи коллиматорного прицела ОМП-3, связанного с пушкой при помощи тяги. В виду небольших габаритов исходной башни разработка ОКБ-15 также не отличалась большим простором, при этом конструкторы ситуацию еще и усугубили. Дело в том, что у ЗУТ-37 имелось дополнительное вооружение в виде пулемета ДТ, который разместили в шаровой установке в корме башни. Зачем это было сделано, не очень понятно, ибо стрелять из него оказалось откровенно неудобно (20346).</w:t>
      </w:r>
    </w:p>
    <w:p w14:paraId="58B532AE" w14:textId="77777777" w:rsidR="00D80B8A" w:rsidRPr="001E2C69" w:rsidRDefault="00D80B8A" w:rsidP="00722885">
      <w:pPr>
        <w:shd w:val="clear" w:color="auto" w:fill="FFFFFF"/>
        <w:spacing w:after="0" w:line="240" w:lineRule="auto"/>
        <w:jc w:val="both"/>
        <w:rPr>
          <w:rFonts w:ascii="Times New Roman" w:hAnsi="Times New Roman"/>
          <w:color w:val="000000" w:themeColor="text1"/>
          <w:sz w:val="16"/>
          <w:szCs w:val="16"/>
        </w:rPr>
      </w:pPr>
    </w:p>
    <w:p w14:paraId="3A662D01" w14:textId="77777777" w:rsidR="00D80B8A" w:rsidRPr="001E2C69" w:rsidRDefault="00D80B8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августе 1942 года появился первый опытный образец зенитного танка на базе Т-70, в качестве вооружения которого Шпитальный предлагал 37-мм авиационную автоматическую пушку Ш-37, позже получившей обозначение ЗУТ-37, (21193).</w:t>
      </w:r>
    </w:p>
    <w:p w14:paraId="7CD95980" w14:textId="77777777" w:rsidR="00D80B8A" w:rsidRPr="001E2C69" w:rsidRDefault="00D80B8A"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D8C23B5" w14:textId="77777777" w:rsidR="00CE32F4" w:rsidRPr="001E2C69" w:rsidRDefault="00CE32F4"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Главмотовелпромом был издан приказ о специализации заводов. На ММЗ решили сосредоточить ремонт тяжелых мотоциклов BMW и Zundapp с четырехтактными моторами. Заводу СМЗ поручался ремонт легких мотоциклов с двухтактными моторами Triumph, Puch, Terrot и др. На обоих заводах при наличии ремкомплектов следовало ремонтировать мотоциклы DKW и NSU. Изготовление ремкомплектов и отдельных деталей для трофейных мотоциклов, распределили по различным предприятиям Главмотовелопрома или местным организациям в порядке кооперации. Однако на практике приказ Главмотовелопрома не выполнялся, и мотоциклы ремонтировали по возможности, исходя из наличия запасных частей. Известны и конгломераты, собранные из нескольких мотоциклов различных марок (19776).</w:t>
      </w:r>
    </w:p>
    <w:p w14:paraId="7442AC65" w14:textId="77777777" w:rsidR="00CE32F4" w:rsidRPr="001E2C69" w:rsidRDefault="00CE32F4" w:rsidP="00722885">
      <w:pPr>
        <w:spacing w:after="0" w:line="240" w:lineRule="auto"/>
        <w:jc w:val="both"/>
        <w:rPr>
          <w:rFonts w:ascii="Times New Roman" w:hAnsi="Times New Roman"/>
          <w:color w:val="000000" w:themeColor="text1"/>
          <w:sz w:val="16"/>
          <w:szCs w:val="16"/>
        </w:rPr>
      </w:pPr>
    </w:p>
    <w:p w14:paraId="3CDC9022" w14:textId="77777777" w:rsidR="00AE7191" w:rsidRPr="001E2C69" w:rsidRDefault="00AE7191" w:rsidP="00722885">
      <w:pPr>
        <w:pStyle w:val="a9"/>
        <w:widowControl/>
        <w:jc w:val="both"/>
        <w:rPr>
          <w:rFonts w:ascii="Times New Roman" w:hAnsi="Times New Roman" w:cs="Times New Roman"/>
          <w:color w:val="000000" w:themeColor="text1"/>
        </w:rPr>
      </w:pPr>
      <w:r w:rsidRPr="001E2C69">
        <w:rPr>
          <w:rFonts w:ascii="Times New Roman" w:hAnsi="Times New Roman" w:cs="Times New Roman"/>
          <w:color w:val="000000" w:themeColor="text1"/>
        </w:rPr>
        <w:t>В августе 1942 года НИИ-10 реэвакуировали в Москву, а позже восстановили и НИИ-49 в Ленинграде (9921).</w:t>
      </w:r>
    </w:p>
    <w:p w14:paraId="7492427D" w14:textId="77777777" w:rsidR="00AE7191" w:rsidRPr="001E2C69" w:rsidRDefault="00AE7191" w:rsidP="00722885">
      <w:pPr>
        <w:pStyle w:val="a9"/>
        <w:widowControl/>
        <w:jc w:val="both"/>
        <w:rPr>
          <w:rFonts w:ascii="Times New Roman" w:hAnsi="Times New Roman" w:cs="Times New Roman"/>
          <w:color w:val="000000" w:themeColor="text1"/>
        </w:rPr>
      </w:pPr>
    </w:p>
    <w:p w14:paraId="2A0DA2F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года на базе мощностей эвакуированных из Ленинграда заводов “Станкоприбор” и № 4 им. Калинина был организован Завод № 572 НКБ.</w:t>
      </w:r>
    </w:p>
    <w:p w14:paraId="68315A0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lastRenderedPageBreak/>
        <w:t>Завод был размещен на площадке и в зданиях бывш. кондитерской фабрики Саратова и с 4 октября 1941 года вступил в эксплуатацию по изготовлению головных авиационных взрывателей.</w:t>
      </w:r>
    </w:p>
    <w:p w14:paraId="4858CF1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Адрес: Саратов, 4, п/я 221</w:t>
      </w:r>
    </w:p>
    <w:p w14:paraId="120E40F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xml:space="preserve">Директор – Холин </w:t>
      </w:r>
    </w:p>
    <w:p w14:paraId="47DEE46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Завод расположен в пределах жилых кварталов Саратова (ул. Чернышевского), на берегу Волши (10019).</w:t>
      </w:r>
    </w:p>
    <w:p w14:paraId="4CECFE63" w14:textId="77777777" w:rsidR="00AE7191" w:rsidRPr="001E2C69" w:rsidRDefault="00AE7191" w:rsidP="00722885">
      <w:pPr>
        <w:pStyle w:val="Iauiue"/>
        <w:jc w:val="both"/>
        <w:rPr>
          <w:color w:val="000000" w:themeColor="text1"/>
          <w:sz w:val="16"/>
          <w:szCs w:val="16"/>
        </w:rPr>
      </w:pPr>
    </w:p>
    <w:p w14:paraId="3AE7F3E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ГУС КА поставило перед командованием войсками ПВО территории страны (ПВО ТС) вопрос о целесообразности передачи в ее ведение функций заказчика на средства дальнего обнаружения самолетов. Прошло пять с лишним лет после того, как эти функции решением Народного комиссара обороны были переданы Техническому управлению РККА (объединившемуся вскоре с Управлением связи РККА). Командование ПВО и Управления связи РККА за этот период сменилось, и, по-видимому, не знало причин передачи заказов из Управления ПВО РККА в Техническое управление (11026).</w:t>
      </w:r>
    </w:p>
    <w:p w14:paraId="6F85D4BD"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C3F4A5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директор завода № 209 А.А. Терещенко получил приказ об организации на заводе крупносерийного производства пистолетов-пулеметов ППС конструкции А.И. Судаева. К концу 1942 г. были изготовлены первые образцы ППС. Со второго квартала 1943 года завод начал серийный выпуск пистолетов-пулеметов ППС, постоянно увеличивая объемы производства. Только с февраля 1943 г. по июнь 1944 г. было изготовлено 98298 штук ППС. Удачное сочетание высоких тактико-технических свойств, надежность автоматики, небольшие габариты и вес сделали пистолет-пулемет ППС основным любимым оружием десантников, разведчиков, лыжников, танкистов и партизан. Маршал Советского Союза Л.А.Говоров дал такую оценку оружию: «Бойцы и офицеры на фронте с большой благодарностью отзывались о ленинградском оружии (в том числе и о ППС). С этим оружием в руках воины-ленинградцы прорвали зимой 1943 г. блокаду Ленинграда, а в январе 1944 г. окончательно сняли осаду города» (11808).</w:t>
      </w:r>
    </w:p>
    <w:p w14:paraId="2314238E"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6A4D5B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1941 вышло постановление ГОКГО о строительстве новых и расширении действующих электростанций в Восточных районах (338,30).</w:t>
      </w:r>
    </w:p>
    <w:p w14:paraId="0CA823EE" w14:textId="77777777" w:rsidR="00AE7191" w:rsidRPr="001E2C69" w:rsidRDefault="00AE7191" w:rsidP="00722885">
      <w:pPr>
        <w:pStyle w:val="Iauiue"/>
        <w:jc w:val="both"/>
        <w:rPr>
          <w:color w:val="000000" w:themeColor="text1"/>
          <w:sz w:val="16"/>
          <w:szCs w:val="16"/>
        </w:rPr>
      </w:pPr>
    </w:p>
    <w:p w14:paraId="29770F6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1941 вышло постановление ГОКГО о строительстве новых и расширении действующих электростанций в Восточных районах (338,30).</w:t>
      </w:r>
    </w:p>
    <w:p w14:paraId="5796566E" w14:textId="77777777" w:rsidR="00AE7191" w:rsidRPr="001E2C69" w:rsidRDefault="00AE7191" w:rsidP="00722885">
      <w:pPr>
        <w:pStyle w:val="Iauiue"/>
        <w:jc w:val="both"/>
        <w:rPr>
          <w:color w:val="000000" w:themeColor="text1"/>
          <w:sz w:val="16"/>
          <w:szCs w:val="16"/>
        </w:rPr>
      </w:pPr>
    </w:p>
    <w:p w14:paraId="3D7E916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немцы демонстрировали итальянским подводникам советскую мини подлодку Пигмей, которая была захвачена в Балаклаве на севастопольской базе Остехбюро (2957).</w:t>
      </w:r>
    </w:p>
    <w:p w14:paraId="3B9CF549" w14:textId="77777777" w:rsidR="00AE7191" w:rsidRPr="001E2C69" w:rsidRDefault="00AE7191" w:rsidP="00722885">
      <w:pPr>
        <w:pStyle w:val="Iauiue"/>
        <w:jc w:val="both"/>
        <w:rPr>
          <w:color w:val="000000" w:themeColor="text1"/>
          <w:sz w:val="16"/>
          <w:szCs w:val="16"/>
        </w:rPr>
      </w:pPr>
    </w:p>
    <w:p w14:paraId="0F7AB55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г. в связи с на</w:t>
      </w:r>
      <w:r w:rsidRPr="001E2C69">
        <w:rPr>
          <w:color w:val="000000" w:themeColor="text1"/>
          <w:sz w:val="16"/>
          <w:szCs w:val="16"/>
        </w:rPr>
        <w:softHyphen/>
        <w:t>ступлением немецко-фашистских войск на Северном Кавказе завод № 201, попавший в Туапсе и приступивший к работе на территории судоремонтного завода им. Ф. Э. Дзержин</w:t>
      </w:r>
      <w:r w:rsidRPr="001E2C69">
        <w:rPr>
          <w:color w:val="000000" w:themeColor="text1"/>
          <w:sz w:val="16"/>
          <w:szCs w:val="16"/>
        </w:rPr>
        <w:softHyphen/>
        <w:t>ского, принадлежащего НКМФ, пришлось вновь эвакуировать, на этот раз в Поти, где у него уже был филиал, и в Батуми (3898).</w:t>
      </w:r>
    </w:p>
    <w:p w14:paraId="718B401D" w14:textId="77777777" w:rsidR="00AE7191" w:rsidRPr="001E2C69" w:rsidRDefault="00AE7191" w:rsidP="00722885">
      <w:pPr>
        <w:pStyle w:val="Iauiue"/>
        <w:jc w:val="both"/>
        <w:rPr>
          <w:color w:val="000000" w:themeColor="text1"/>
          <w:sz w:val="16"/>
          <w:szCs w:val="16"/>
        </w:rPr>
      </w:pPr>
    </w:p>
    <w:p w14:paraId="06278842"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года была изготовлена первая партия в количестве десяти боевых установок М-8-М для вооружения Волжской и других флотилий. Установки были применены в переломной для Великой Отечественной войны Сталинградской битве (11772).</w:t>
      </w:r>
    </w:p>
    <w:p w14:paraId="35A2F8DC"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831E23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во всех промышленных центрах начались очередные массовые проверки состояния МПВО. При этом выяснилось, что вся работа, связанная с обеспечением населения укрытиями, подготовкой пожарного инвентаря и маскировкой объектов, как обычно бывает в России, давно пущена на самотек в надежде на русский «авось».</w:t>
      </w:r>
    </w:p>
    <w:p w14:paraId="3CBF5C9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ходе проверки состояния местной противовоздушной обороны ряда городов и промышленных объектов, проведенной Главным управлением МПВО НКВД, обнаружилось, что укрытия почти повсеместно вырыты неправильно, техническая маскировка выполнена неграмотно. В выпущенном затем отчете говорилось:</w:t>
      </w:r>
    </w:p>
    <w:p w14:paraId="144F4706"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«Щели: </w:t>
      </w:r>
    </w:p>
    <w:p w14:paraId="40647FE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а) завышены нормы вместимости в 40 человек, некоторые щели устроены на несколько сот человек, </w:t>
      </w:r>
    </w:p>
    <w:p w14:paraId="6A8CA3A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б) вместо минимального расстояния между двумя смежными щелями равному Юм, щели расположены на расстоянии 4 метра и менее, </w:t>
      </w:r>
    </w:p>
    <w:p w14:paraId="306E2CF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непрочные стойки и подпорки. </w:t>
      </w:r>
    </w:p>
    <w:p w14:paraId="0DC07CB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Практикой установлено, что правильно построенные щели являются надежным укрытием даже при очень близких разрывах средних и тяжелых фугасных авиабомб. </w:t>
      </w:r>
    </w:p>
    <w:p w14:paraId="2C7C4E2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По маскировке: </w:t>
      </w:r>
    </w:p>
    <w:p w14:paraId="37CFA67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1) маскировочные мероприятия проводятся без общего плана, не увязываются с маскировкой города, </w:t>
      </w:r>
    </w:p>
    <w:p w14:paraId="343294E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2) маскировка зачастую проводится под руководством неквалифицированных и не понимающих дело лиц, </w:t>
      </w:r>
    </w:p>
    <w:p w14:paraId="1386273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3) иногда маскировка делает здания более заметными, чем они были до окраски. </w:t>
      </w:r>
    </w:p>
    <w:p w14:paraId="1C9A907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Перегибы в светомаскировке: </w:t>
      </w:r>
    </w:p>
    <w:p w14:paraId="70A5F7C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а) запрещается маскировочное освещение, </w:t>
      </w:r>
    </w:p>
    <w:p w14:paraId="2A1E99F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б) на ж.д. запрещается использование семафоров и стрелочных фонарей, </w:t>
      </w:r>
    </w:p>
    <w:p w14:paraId="7305F73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запрещают автомашинам ездить с включенными фарами, причем все это не в условиях «ВТ», </w:t>
      </w:r>
    </w:p>
    <w:p w14:paraId="46E8F7C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 г) оконные проемы часто просто закрашивают краской, и при близких разрывах авиабомб они вылетают… Нередко световые проемы забивают наглухо, нарушая вентиляцию и воздухообмен. Днем расходуется много э/энергии на освещение» (11774).</w:t>
      </w:r>
    </w:p>
    <w:p w14:paraId="72776DFA"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AC30F5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августа 1942 г. завод № 201 (Краснознаменный завод № 201 им. С. Орджоникидзе НКОП, НКСП, Севастопольское адмиралтейство, Лазаревское адмиралтейство, Верфь Русского общества пароходства и торговли (РОПиТ), Севастопольский судостроительный завод, Севастопольский морской завод (Севморзавод) им. С. Орджоникидзе НК по морским делам, ВСНХ, НКТП, Потийский судоремонтный завод Минрыбпрома, Потийский судоремонтно-судостроительный завод /г. Севастополь п/я 69 «Вал» (1938 г.);  г. Туапсе;  г. Батуми;  г. Поти/) действовал в Батуми. 25.12.1942 г. вышло распоряжение ГКО № 2656 о поставке заводу № 201 НКСП оборудования материалов и топлива. Был в 1946 г.</w:t>
      </w:r>
    </w:p>
    <w:p w14:paraId="5830A92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1943 г. на заводе организован филиал ЦКБ-17.</w:t>
      </w:r>
    </w:p>
    <w:p w14:paraId="5DD6964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После освобождения Севастополя в 05.1944 г. на старом месте был восстановлен судостроительный завод № 497, далее- Севастопольский морской завод.</w:t>
      </w:r>
    </w:p>
    <w:p w14:paraId="0C513DA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Поти в 1946-50г, проведена модернизация тральщиков пр. 3, 53, 58, 53У. Завод № 201 действовал в Поти в 1950-е  г. и далее; затем - Потийский СРЗ.</w:t>
      </w:r>
      <w:r w:rsidRPr="001E2C69">
        <w:rPr>
          <w:rFonts w:ascii="Times New Roman" w:hAnsi="Times New Roman"/>
          <w:color w:val="000000" w:themeColor="text1"/>
          <w:sz w:val="16"/>
          <w:szCs w:val="16"/>
          <w:vertAlign w:val="superscript"/>
        </w:rPr>
        <w:t>116</w:t>
      </w:r>
    </w:p>
    <w:p w14:paraId="23B7DBA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Численность персонала (1818 г.)- более 800 чел., (1924 г.)- около 3000 чел., (1937 г.)- 6767 чел., (06.1941 г.)- 6937 чел.</w:t>
      </w:r>
    </w:p>
    <w:p w14:paraId="5F73872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Заведующий (1880-е)- Л. Г. Конкевич. Директор (1925 г.-)- Н.И. Антонов, (-3.08.1937 г.)- А.Л., Токарев; и.о. (3.08.1937 г.-)- С.Н.(П) Задорожный; (16.09.1937-12.1938 г.-)- С.Н. Задорожный, в Севастополе (1942 г.)- Н.К. Костенко, в Туапсе (1941 г.)- С.О. Шрайбер; М.Н. Сургучев.</w:t>
      </w:r>
    </w:p>
    <w:p w14:paraId="6E143D4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Зам. директора (1920-е)- И.П. Морозов, (-21.01.1937 г.)- В.Ф. Попов, (3.10.1937 г.-)- А.К. Шишунов; по коммерческой части (15.06.1938 г.-)- П.Т. Варюхов. Помощник директора по найму и увольнению (-8.10.1937 г.)- ДЛ. Эвадис, (8.10.1937 г.-)- И.В. Чепак.</w:t>
      </w:r>
    </w:p>
    <w:p w14:paraId="197EC3E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Гл. инженер (-21.01.1937 г.)- В.Ф. Попов, (3.10.1937-12.1938 г.-)- А.К. Шишунов, Т.Н. Хазарадзе.</w:t>
      </w:r>
    </w:p>
    <w:p w14:paraId="2F2E2DF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 филиала в Поти (12.1941 г.-)- С.М. Щеголь.</w:t>
      </w:r>
    </w:p>
    <w:p w14:paraId="19A532C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Корабельный мастер (1819 г.)- И .Я. Осьминин. Строители кораблей: (-1901-04 г.-)- Н.И. Янковский. Гл. строители (1925 г.)- Н.Д. Звягин.</w:t>
      </w:r>
    </w:p>
    <w:p w14:paraId="719A711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Начальники бюро: ПЭБ (02.1938 г.)- Мурин.</w:t>
      </w:r>
    </w:p>
    <w:p w14:paraId="4CF11C94"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Производство: корветы: 18-пушечный «Крым» (12.1808-01.1810), 20-пушечные «Менелай» (1839-41), «Ариадна» (1848-51), 24-пушечный «Месемврия» (1832-34), «Язон» (1814-15), «Оливуца»; бриги: «Мингрелия» (1813), «Меркурий» (1819), 12-пушечные «Аргонавт» (1837-37), «Язон» (1848-50), 20-пушечный «Пегас» (1825-); шхуны: (1794-)-2, 12-пушечная «Флора» (1815-18), (1838-40)- 2; тендеры: 8-пушечный (1817-), 12-пушечные (1832-39)- 3; транспорты (1819-23-)- 3, «Днепр» (1836-38), (1840-48-)- 2, «Аккерман» (-1849); 12-пушечные катера (1820)- 1, «Жаворонок» (1825); 18-пушечный шлюп «Диана» (1821-23); яхта «Голубка» (1821-22); люгер «Стрела» (1822); фрегаты: 36-пушечный «Рафаил» (1825-28), 44-пушечный «Браилов» (1835-36), 54-пушечный «Сизополь» (1838-41); бригантина «Нарцисс» (1827-29); землечерпательная машина (1826); боты (1836)- 2; миноноски типа «Щегленок» (1877-78)- 3; канонерские лодки: «Кубанец», «Терец», «Уралец» (1886-87), «Черноморец»; броненосцы «Иоанн Златоуст» (31.10.1904-30.04.1906), «Чесма»; крейсер «Очаков» (08.1901- 09.1902); тральщики: пр. 3 «Трал» (Т-401), «Минреп» (Т-402), «Груз» (Т-403), «Щит» (Т-404) (1933-35), пр. 53 Т- 405 «Взрыватель», Т-406 «Искатель», Т-407 «Мина», Т-411 «Защитник», Т-7 «Веха», Т-8 «Чека» (зак. 180, 08.1936-11.1938), IV серии пр. 58 Т-5 «Параван» (зак. 187, 1938), Т-6 «Капсюль» (зак. 188, 1938), Т-408 «Якорь» (зак. 189, 1938), Т-409 «Гарпун» (зак. 190, 1938), Т-410 «Взрыв», Т-412 «Арсений Расскин», Т-413 (03.1937- 04.1941), Т-414, Т-415 (01.1941-, не достроены); пр. 59 Т-450 («Павел Головин»), Т-451 («Иван Борисов»), Т-452 («Сергей Шувалов»), Т-453 («Семен Рошаль»), Т-454 («Иван Сладков») (-1941); искатель мин пр. 257М (1959-60, не достроен); эсминцы: пр. 7у (1941)- 1, достройка «Огневой» (-03.1945); сборка ПЛ завода 112 XII серии (ВОВ); грузопассажирское судно «Св. Николай», пассажирское «Проворный» (1892-93); буксирно-пассажирские пароходы «Волга», «Теща», «Вестник», «Тесть» (1881-83); лесовоз I серии «Михаил Фрунзе» (11.1925-06.1927); сухогрузы: типа «Ногин» «Ногин», «Анри Барбюс» (1929-34); типа «Сихали» «Сихали» («Рыбинск»), «Сызрань» (1932-36), «Вольск», «Молога» (не достроены), «Камышин» (1930-е, достроен после </w:t>
      </w:r>
      <w:r w:rsidRPr="001E2C69">
        <w:rPr>
          <w:rFonts w:ascii="Times New Roman" w:hAnsi="Times New Roman"/>
          <w:color w:val="000000" w:themeColor="text1"/>
          <w:sz w:val="16"/>
          <w:szCs w:val="16"/>
        </w:rPr>
        <w:lastRenderedPageBreak/>
        <w:t>войны); типа «Пионер» «Пионер», «Земляк», «Работник», «Батрак» («Тракторист»), «Местком», «Судком» (1928-33); грузопассажирские «Дельфин», «Чайка» (1928-31); траулеры типа РТ-308 «Красный онежанин» (1930-33)- 4; буксиры: речные 150 л.с. (1928)- 2, 250 л.с. «Колхозник», «Красный Октябрь», «Кимовец» (1928-31); морской спасательный 800 л.с. типа «СП» пр.135 (зак 102, 1938), (-1941)- 12; буксирный ледокол 300 л.с. «Байкал» (1932); водолазные боты морские и речные (1930-е); кольцевой судоподъемный понтон грузоподъемностью 1100 т (1930-е); СПК пр. 342МТ «Комета» (1961-); артиллерийский щит 3-секционный (1938)- 3;</w:t>
      </w:r>
    </w:p>
    <w:p w14:paraId="58E22D9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восстановление крейсера «Коминтерн» (1922-23); разборка 7 броненосцев, плавдока (1920-е); модернизация: линкора «Парижская Коммуна» (1934-38; 1939-40); ремонт коммерческих судов (1930-е); переоборудование: опытного судна «Тосно» (1937); грузовых судов типа «Пионер» в транспортные (ВОВ); ремонт крейсеров «Красный Кавказ», «Молотов», эсминца «Способный» (ВОВ) (11982).</w:t>
      </w:r>
    </w:p>
    <w:p w14:paraId="77FC9D53"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12C6952" w14:textId="77777777" w:rsidR="00FC56D8" w:rsidRPr="001E2C69" w:rsidRDefault="00FC56D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подводную лодку Остехбюро АПЛ осмотрели итальянские офицеры из 10-й флотилии MAC. И вот из статьи в статью кочует неизвестно откуда взявшееся высказывание итальянцев: «Это была новейшая единица, находившаяся на заключительной стадии оборудования, ее размеры не отличались от итальянского типа СВ, но корпус был стройнее и длиннее. Лодка имела довольно большую, но узкую рубку трапециевидной формы. На середине высоты корпуса находились продолговатые углубления, позволявшие располагать в них торпеды». Имеется несколько фотографий советской сверхмалой подводной лодки. Феодосийский историк О. Ольховатский предположил, что снимки сделаны в поселке Орджоникидзе под Феодосией на территории завода «Гидроприбор» (15117).</w:t>
      </w:r>
    </w:p>
    <w:p w14:paraId="0FD1457C" w14:textId="77777777" w:rsidR="00FC56D8" w:rsidRPr="001E2C69" w:rsidRDefault="00FC56D8" w:rsidP="00722885">
      <w:pPr>
        <w:spacing w:after="0" w:line="240" w:lineRule="auto"/>
        <w:jc w:val="both"/>
        <w:rPr>
          <w:rFonts w:ascii="Times New Roman" w:hAnsi="Times New Roman"/>
          <w:color w:val="000000" w:themeColor="text1"/>
          <w:sz w:val="16"/>
          <w:szCs w:val="16"/>
        </w:rPr>
      </w:pPr>
    </w:p>
    <w:p w14:paraId="6A635F97"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Армия:</w:t>
      </w:r>
    </w:p>
    <w:p w14:paraId="015710E1" w14:textId="77777777" w:rsidR="00AE7191" w:rsidRPr="001E2C69" w:rsidRDefault="00AE7191" w:rsidP="00722885">
      <w:pPr>
        <w:pStyle w:val="Iauiue"/>
        <w:jc w:val="both"/>
        <w:rPr>
          <w:iCs/>
          <w:color w:val="000000" w:themeColor="text1"/>
          <w:sz w:val="16"/>
          <w:szCs w:val="16"/>
        </w:rPr>
      </w:pPr>
    </w:p>
    <w:p w14:paraId="042F463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эскадрилья в составе восьми Нз 129В-1/Й2 пошла в бой на центральном участке советско-герман</w:t>
      </w:r>
      <w:r w:rsidRPr="001E2C69">
        <w:rPr>
          <w:rFonts w:ascii="Times New Roman" w:hAnsi="Times New Roman"/>
          <w:color w:val="000000" w:themeColor="text1"/>
          <w:sz w:val="16"/>
          <w:szCs w:val="16"/>
        </w:rPr>
        <w:softHyphen/>
        <w:t>ского фронта в районе Ржева. В период с 11 августа по 16 сентября она выполнила 73 боевых вылетов, в которых по докладам пилотов было уничтожено 29 советских танков.</w:t>
      </w:r>
    </w:p>
    <w:p w14:paraId="24A60BA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Но, по всей видимости, реальные ре</w:t>
      </w:r>
      <w:r w:rsidRPr="001E2C69">
        <w:rPr>
          <w:rFonts w:ascii="Times New Roman" w:hAnsi="Times New Roman"/>
          <w:color w:val="000000" w:themeColor="text1"/>
          <w:sz w:val="16"/>
          <w:szCs w:val="16"/>
        </w:rPr>
        <w:softHyphen/>
        <w:t>зультаты боевого применения Нз129В-1 /Я2 из и&lt;351 были все же далеки от заявленных пилотами побед и явно не устраивали не</w:t>
      </w:r>
      <w:r w:rsidRPr="001E2C69">
        <w:rPr>
          <w:rFonts w:ascii="Times New Roman" w:hAnsi="Times New Roman"/>
          <w:color w:val="000000" w:themeColor="text1"/>
          <w:sz w:val="16"/>
          <w:szCs w:val="16"/>
        </w:rPr>
        <w:softHyphen/>
        <w:t>мецкое командование, потому как уже в конце сентября пилоты «хеншелей» были выведены из боя и под руководством спе</w:t>
      </w:r>
      <w:r w:rsidRPr="001E2C69">
        <w:rPr>
          <w:rFonts w:ascii="Times New Roman" w:hAnsi="Times New Roman"/>
          <w:color w:val="000000" w:themeColor="text1"/>
          <w:sz w:val="16"/>
          <w:szCs w:val="16"/>
        </w:rPr>
        <w:softHyphen/>
        <w:t>циалистов инспекций генерального штаба люфтваффе приступили к усиленным тре</w:t>
      </w:r>
      <w:r w:rsidRPr="001E2C69">
        <w:rPr>
          <w:rFonts w:ascii="Times New Roman" w:hAnsi="Times New Roman"/>
          <w:color w:val="000000" w:themeColor="text1"/>
          <w:sz w:val="16"/>
          <w:szCs w:val="16"/>
        </w:rPr>
        <w:softHyphen/>
        <w:t>нировкам на полигоне стрельбой по маке</w:t>
      </w:r>
      <w:r w:rsidRPr="001E2C69">
        <w:rPr>
          <w:rFonts w:ascii="Times New Roman" w:hAnsi="Times New Roman"/>
          <w:color w:val="000000" w:themeColor="text1"/>
          <w:sz w:val="16"/>
          <w:szCs w:val="16"/>
        </w:rPr>
        <w:softHyphen/>
        <w:t>там советских танков. Лишь после того, как точность стрельбы достигла приемлемого уровня, эскадрилья в конце ноября 1942 г. вновь вернулась к боевым действиям.</w:t>
      </w:r>
    </w:p>
    <w:p w14:paraId="11197F7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Тем временем в связи с успешным контрнаступлением Красной Армии под Сталинградом для немецких войск созда</w:t>
      </w:r>
      <w:r w:rsidRPr="001E2C69">
        <w:rPr>
          <w:rFonts w:ascii="Times New Roman" w:hAnsi="Times New Roman"/>
          <w:color w:val="000000" w:themeColor="text1"/>
          <w:sz w:val="16"/>
          <w:szCs w:val="16"/>
        </w:rPr>
        <w:softHyphen/>
        <w:t>лось угрожающее положение и эскадрилья ЗсИ.С.1 в конце ноября 1942 г. была спеш</w:t>
      </w:r>
      <w:r w:rsidRPr="001E2C69">
        <w:rPr>
          <w:rFonts w:ascii="Times New Roman" w:hAnsi="Times New Roman"/>
          <w:color w:val="000000" w:themeColor="text1"/>
          <w:sz w:val="16"/>
          <w:szCs w:val="16"/>
        </w:rPr>
        <w:softHyphen/>
        <w:t>но переброшена на средний Дон.</w:t>
      </w:r>
    </w:p>
    <w:p w14:paraId="1A3C77A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 этому времени в ее составе в общей сложности имелось два десятка Нз 129В-1/В2 и по десятку ВТ 109Е-4/В и Нз 123 (12728).</w:t>
      </w:r>
    </w:p>
    <w:p w14:paraId="1CC60078"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30CB46D" w14:textId="77777777" w:rsidR="00240B8C" w:rsidRPr="001E2C69" w:rsidRDefault="00240B8C"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В августе 1942 г. один из полков ВВС Черноморского флота использовал И-5 как «приманку» для вражеских прожекторов при ночных налетах. Пока старый истребитель громко гудел, заставляя прожектористов его искать, юркие УТ-1 расстреливали прожектора реактивными снарядами. К концу 1942 г. приток новых истребителей и штурмовиков позволил перевооружить части на фронте более современной техникой. Да и уцелело И-5 к тому времени немного (19176).</w:t>
      </w:r>
    </w:p>
    <w:p w14:paraId="49729DF7" w14:textId="77777777" w:rsidR="00240B8C" w:rsidRPr="001E2C69" w:rsidRDefault="00240B8C" w:rsidP="00722885">
      <w:pPr>
        <w:pStyle w:val="af"/>
        <w:shd w:val="clear" w:color="auto" w:fill="FFFFFF"/>
        <w:spacing w:before="0" w:after="0"/>
        <w:jc w:val="both"/>
        <w:textAlignment w:val="baseline"/>
        <w:rPr>
          <w:color w:val="000000" w:themeColor="text1"/>
          <w:sz w:val="16"/>
          <w:szCs w:val="16"/>
        </w:rPr>
      </w:pPr>
    </w:p>
    <w:p w14:paraId="4D22DF3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в 794 бап, который первым освоил "Бостоны", их осталось всего два исправных (3457,100).</w:t>
      </w:r>
    </w:p>
    <w:p w14:paraId="4DDA8D62" w14:textId="77777777" w:rsidR="00AE7191" w:rsidRPr="001E2C69" w:rsidRDefault="00AE7191" w:rsidP="00722885">
      <w:pPr>
        <w:pStyle w:val="Iauiue"/>
        <w:jc w:val="both"/>
        <w:rPr>
          <w:color w:val="000000" w:themeColor="text1"/>
          <w:sz w:val="16"/>
          <w:szCs w:val="16"/>
        </w:rPr>
      </w:pPr>
    </w:p>
    <w:p w14:paraId="546ED63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г. 747-му ап на Ер-2 довелось непродолжительное время участвовать в оборонительных боях на Сталинградском направлении. В один из дней красная "7" пилота Висковского подверглась нападению звена Bf109. Стрелок Абдулин из верхней установки сумел подбить два вражеских истребителя, но и Ер-2 получил тяжелые повреждения при вынужденной посадке. В дальнейшем машина с таким номером в боевых действиях не участвовала (3322,24).</w:t>
      </w:r>
    </w:p>
    <w:p w14:paraId="3B1D1895" w14:textId="77777777" w:rsidR="00AE7191" w:rsidRPr="001E2C69" w:rsidRDefault="00AE7191" w:rsidP="00722885">
      <w:pPr>
        <w:pStyle w:val="Iauiue"/>
        <w:jc w:val="both"/>
        <w:rPr>
          <w:color w:val="000000" w:themeColor="text1"/>
          <w:sz w:val="16"/>
          <w:szCs w:val="16"/>
        </w:rPr>
      </w:pPr>
    </w:p>
    <w:p w14:paraId="6644D7BB" w14:textId="77777777" w:rsidR="00AE7191" w:rsidRPr="001E2C69" w:rsidRDefault="00AE7191" w:rsidP="00722885">
      <w:pPr>
        <w:pStyle w:val="a4"/>
        <w:rPr>
          <w:color w:val="000000" w:themeColor="text1"/>
          <w:lang w:val="ru-RU"/>
        </w:rPr>
      </w:pPr>
      <w:r w:rsidRPr="001E2C69">
        <w:rPr>
          <w:color w:val="000000" w:themeColor="text1"/>
          <w:lang w:val="ru-RU"/>
        </w:rPr>
        <w:t>В августе 1942 439-й ИАП дрался с «мессерами» над линией фронта. В Сталинградской битве вместе со всей 102-й ИАД ПВО он отражал налеты противника, а затем блокировал воз</w:t>
      </w:r>
      <w:r w:rsidRPr="001E2C69">
        <w:rPr>
          <w:color w:val="000000" w:themeColor="text1"/>
          <w:lang w:val="ru-RU"/>
        </w:rPr>
        <w:softHyphen/>
        <w:t>душный мост, по которому немцы пытались снабжать окружен</w:t>
      </w:r>
      <w:r w:rsidRPr="001E2C69">
        <w:rPr>
          <w:color w:val="000000" w:themeColor="text1"/>
          <w:lang w:val="ru-RU"/>
        </w:rPr>
        <w:softHyphen/>
        <w:t>ную группировку Паулюса, но главной задачей полка все это время была штурмовка вражеских войск. Заслуги летчиков ди</w:t>
      </w:r>
      <w:r w:rsidRPr="001E2C69">
        <w:rPr>
          <w:color w:val="000000" w:themeColor="text1"/>
          <w:lang w:val="ru-RU"/>
        </w:rPr>
        <w:softHyphen/>
        <w:t>визии были по достоинству оценены - она получила Гвардейское знамя и почетное наименование «Сталинградская» (11938).</w:t>
      </w:r>
    </w:p>
    <w:p w14:paraId="7A150556" w14:textId="77777777" w:rsidR="00AE7191" w:rsidRPr="001E2C69" w:rsidRDefault="00AE7191" w:rsidP="00722885">
      <w:pPr>
        <w:pStyle w:val="a4"/>
        <w:rPr>
          <w:color w:val="000000" w:themeColor="text1"/>
          <w:lang w:val="ru-RU"/>
        </w:rPr>
      </w:pPr>
    </w:p>
    <w:p w14:paraId="137A9D5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года в небе под Сталинградом немецкие летчики впервые встретились с незнакомым советским истребителем. Скоротечность воздушного боя не позволила им внимательно рассмотреть машину, издалека напоминавшую все реже встречавшиеся в небе И-16. Именно это сходство с одним из лучших советских истребителей предвоенных лет, получившего среди немецких пилотов еще в Испании прозвище "Крыса", привело к предположению, что они столкнулись с его новой модификацией, названной "Новая крыса".</w:t>
      </w:r>
    </w:p>
    <w:p w14:paraId="61F3F2F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действительности, это были первые советские Ла-5, проходившие войсковые испытания в 49-м Краснознаменном иап 234-й иад 1-й воздушной армии. С 14 по 24 августа 19 Ла-5 этого полка совершили 180 боевых вылетов с налетом 130 часов. В 27 воздушных боях летчики полка сбили 16 самолетов противника, при этом свои потери составили десять машин и пять пилотов. Если быть точным, то полк потерял сбитыми пять истребителей, два не вернулись (самолеты № 37310104 и № 37210208), четыре потерпели аварию, будучи подбиты в воздушных боях, один потерпел аварию из-за разрушения втулки главного шатуна двигателя и один из летчиков (фамилия не установлена) 22 августа 1942 года таранил немецкий Ju 88, но при этом разбил и свой самолет.</w:t>
      </w:r>
    </w:p>
    <w:p w14:paraId="66BDDDE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 отзывам летчиков 49-го Краснознаменного иап ЛаГГ-5 в боевых условиях показал хорошие результаты, а высокие потери связаны с недостаточным освоением материальной части и неполным использованием боевых качеств машины. Например, вторая скорость приводного центробежного нагнетателя мотора включалась на высоте 3800 м, а воевать приходилось преимущественно на высоте 2000-3000 м. Прикрытие бомбардировочной и штурмовой авиации, а также наземных войск осуществлялось одной группой и, по выражению командования полка, было безграмотным.</w:t>
      </w:r>
    </w:p>
    <w:p w14:paraId="1CF7BD4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воздушных боях при наборе высоты на больших скоростях Bfl09F от ЛаГГ-5 не отрывался, а на малых скоростях из-за большего веса ЛаГТ-5 в первый момент отставал, а затем сравнивался с ним по скороподъемности. На виражах наш истребитель заходил в хвост Bf 109F, так как радиус виража последнего был больше. Горизонтальная скорость нашего и немецкого самолетов были одинаковы, но на пикировании ЛаГГ-5 летел быстрее. Вооружение, как выяснилось, вполне устраивало воздушных бойцов.</w:t>
      </w:r>
    </w:p>
    <w:p w14:paraId="6724B05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Кроме усложнившейся техники пилотирования истребителя из-за большого веса (3300 кг) и недостаточных компенсаторов рулей по сравнению с ЛаГГ-3 и Як-1, выявились и конструктивные недостатки. Например, отмечены два случая срыва моторных и боковых капотов, не полностью выпускалось костыльное колесо, случались течи бензиновых и масляных баков по сварным швам, после 20-ти часов работы прогорали выхлопные коллекторы. Существенным преимуществом ЛаГГ-5 перед ЛаГГ-3 и Як-1 была защита передней полусферы звездообразным мотором воздушного охлаждения. Живучесть самолета увеличилась.</w:t>
      </w:r>
    </w:p>
    <w:p w14:paraId="058D12B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Отмечались три случая, когда в воздушном бою пушечным огнем противника были пробиты всасывающий и выхлопнои патрубки одного цилиндра и крышки клапанных коробок, воздушный винт и погнуты ребра цилиндров. Самолет в таком виде благополучно произвел посадку на своем аэродроме, а мотор вскоре восстановили.</w:t>
      </w:r>
    </w:p>
    <w:p w14:paraId="10145AB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При выполнении боевых заданий моторы в основном работали на номинальном и форсированном режиме, причем на последнем, порой, до 10-13 минут, в то время, как инструкцией допускалось не более 5 минут. Но практически все двигатели работали нормально. В выводах доклада руководства НИИ ВВС главному инженеру ВВС А. К. Репину отмечалось: </w:t>
      </w:r>
    </w:p>
    <w:p w14:paraId="77E8DC9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"Первый опыт эксплуатации моторов М-82 в боевых условиях на самолетах- истребителях показывает удовлетворительные результаты. Летный и технический состав дают положительную оценку самолету ЛаГ-5 с мотором М-82 как по надежности работы мотора, так и по уходу и эксплуатации мотора на земле..." (12032).</w:t>
      </w:r>
    </w:p>
    <w:p w14:paraId="3B63A350"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87D03B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первые четыре КОР-2 прибыли на ЧФ и отдельное звено базировалось в Туапсе</w:t>
      </w:r>
    </w:p>
    <w:p w14:paraId="6F043A2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C августа 1942 начинается формирование соединений ночных бомбардировщиков У-2. В это время У-2 стали также основой системы авиации связи. Штаб фронта имел 32, а армии - 12 (291,5).</w:t>
      </w:r>
    </w:p>
    <w:p w14:paraId="1038C145" w14:textId="77777777" w:rsidR="00AE7191" w:rsidRPr="001E2C69" w:rsidRDefault="00AE7191" w:rsidP="00722885">
      <w:pPr>
        <w:pStyle w:val="Iauiue"/>
        <w:jc w:val="both"/>
        <w:rPr>
          <w:color w:val="000000" w:themeColor="text1"/>
          <w:sz w:val="16"/>
          <w:szCs w:val="16"/>
        </w:rPr>
      </w:pPr>
    </w:p>
    <w:p w14:paraId="6C5B1D5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ТБ-3 использовались для доставки горючего для танкистов в район Ржева (1859).</w:t>
      </w:r>
    </w:p>
    <w:p w14:paraId="7E81E2C1" w14:textId="77777777" w:rsidR="00AE7191" w:rsidRPr="001E2C69" w:rsidRDefault="00AE7191" w:rsidP="00722885">
      <w:pPr>
        <w:pStyle w:val="Iauiue"/>
        <w:jc w:val="both"/>
        <w:rPr>
          <w:color w:val="000000" w:themeColor="text1"/>
          <w:sz w:val="16"/>
          <w:szCs w:val="16"/>
        </w:rPr>
      </w:pPr>
    </w:p>
    <w:p w14:paraId="57E4F70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под Сталинградом был развернут первый командный пункт по управлению авиацией над полем боя (430,149).</w:t>
      </w:r>
    </w:p>
    <w:p w14:paraId="05E5BD8F" w14:textId="77777777" w:rsidR="00AE7191" w:rsidRPr="001E2C69" w:rsidRDefault="00AE7191" w:rsidP="00722885">
      <w:pPr>
        <w:pStyle w:val="Iauiue"/>
        <w:jc w:val="both"/>
        <w:rPr>
          <w:color w:val="000000" w:themeColor="text1"/>
          <w:sz w:val="16"/>
          <w:szCs w:val="16"/>
        </w:rPr>
      </w:pPr>
    </w:p>
    <w:p w14:paraId="59A5CDA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один из штурмовых полков ВВС ЧФ использовал И-5 черного цвета как приманку для прожекторов (191,31).</w:t>
      </w:r>
    </w:p>
    <w:p w14:paraId="48CF23B5" w14:textId="77777777" w:rsidR="00AE7191" w:rsidRPr="001E2C69" w:rsidRDefault="00AE7191" w:rsidP="00722885">
      <w:pPr>
        <w:pStyle w:val="Iauiue"/>
        <w:jc w:val="both"/>
        <w:rPr>
          <w:color w:val="000000" w:themeColor="text1"/>
          <w:sz w:val="16"/>
          <w:szCs w:val="16"/>
        </w:rPr>
      </w:pPr>
    </w:p>
    <w:p w14:paraId="4D99BEC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 в Киржаче (Ива</w:t>
      </w:r>
      <w:r w:rsidRPr="001E2C69">
        <w:rPr>
          <w:rFonts w:ascii="Times New Roman" w:hAnsi="Times New Roman"/>
          <w:color w:val="000000" w:themeColor="text1"/>
          <w:sz w:val="16"/>
          <w:szCs w:val="16"/>
        </w:rPr>
        <w:softHyphen/>
        <w:t>новская область) приступили к фор</w:t>
      </w:r>
      <w:r w:rsidRPr="001E2C69">
        <w:rPr>
          <w:rFonts w:ascii="Times New Roman" w:hAnsi="Times New Roman"/>
          <w:color w:val="000000" w:themeColor="text1"/>
          <w:sz w:val="16"/>
          <w:szCs w:val="16"/>
        </w:rPr>
        <w:softHyphen/>
        <w:t>мированию 2-го учебного авиационно-планёрного полка (2-й уапп). Полк имел буксировщики Ил-4 с комплектом планёров А-7 и Г-11. В августе 1943 г. эта часть стала именоваться 2-м от</w:t>
      </w:r>
      <w:r w:rsidRPr="001E2C69">
        <w:rPr>
          <w:rFonts w:ascii="Times New Roman" w:hAnsi="Times New Roman"/>
          <w:color w:val="000000" w:themeColor="text1"/>
          <w:sz w:val="16"/>
          <w:szCs w:val="16"/>
        </w:rPr>
        <w:softHyphen/>
        <w:t>дельным авиапланёрным полком (2-й оапп) (12266).</w:t>
      </w:r>
    </w:p>
    <w:p w14:paraId="1E37D073"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E44998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1943 г. 2-й учебного авиационный-планёрный полк (2-й уапп) в Киржаче стала именоваться 2-м от</w:t>
      </w:r>
      <w:r w:rsidRPr="001E2C69">
        <w:rPr>
          <w:rFonts w:ascii="Times New Roman" w:hAnsi="Times New Roman"/>
          <w:color w:val="000000" w:themeColor="text1"/>
          <w:sz w:val="16"/>
          <w:szCs w:val="16"/>
        </w:rPr>
        <w:softHyphen/>
        <w:t>дельным авиапланёрным полком (2-й оапп) (12266).</w:t>
      </w:r>
    </w:p>
    <w:p w14:paraId="08C3A4E5"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5499A38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lastRenderedPageBreak/>
        <w:t>В августе 1942 г. в результате роста производства самолетов и начала внедрения радиосвязи, для повышения мобильности и усиления воздушных армий началось формирование корпусов резерва Верховного Главнокомандования (РВГК) (3573).</w:t>
      </w:r>
    </w:p>
    <w:p w14:paraId="2523770B" w14:textId="77777777" w:rsidR="00AE7191" w:rsidRPr="001E2C69" w:rsidRDefault="00AE7191" w:rsidP="00722885">
      <w:pPr>
        <w:pStyle w:val="Iauiue"/>
        <w:jc w:val="both"/>
        <w:rPr>
          <w:color w:val="000000" w:themeColor="text1"/>
          <w:sz w:val="16"/>
          <w:szCs w:val="16"/>
        </w:rPr>
      </w:pPr>
    </w:p>
    <w:p w14:paraId="5C9AA44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года в Ленинграде было создано 35 отдельных городских батальонов МПВО общей численностью 21357 бойцов и командиров (9453).</w:t>
      </w:r>
    </w:p>
    <w:p w14:paraId="339D3C58" w14:textId="77777777" w:rsidR="00AE7191" w:rsidRPr="001E2C69" w:rsidRDefault="00AE7191" w:rsidP="00722885">
      <w:pPr>
        <w:pStyle w:val="Iauiue"/>
        <w:jc w:val="both"/>
        <w:rPr>
          <w:color w:val="000000" w:themeColor="text1"/>
          <w:sz w:val="16"/>
          <w:szCs w:val="16"/>
        </w:rPr>
      </w:pPr>
    </w:p>
    <w:p w14:paraId="3220BBC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г. эскадрилья "хеншелей" JG51 в составе 8 Hsl29B-l/R2 вошла в бой на центральном участке советско-германского фронта в районе Ржева. В период с 11 августа по 16 сентября 13.(Pz.)/JG51 выполнила 73 боевых вылета, в которых, по докладам пилотов, было уничтожено 29 советских танков. Боевые безвозвратные потери эскадрильи составили 3 штурмовика (8907).</w:t>
      </w:r>
    </w:p>
    <w:p w14:paraId="2CD1C4C0" w14:textId="77777777" w:rsidR="00AE7191" w:rsidRPr="001E2C69" w:rsidRDefault="00AE7191" w:rsidP="00722885">
      <w:pPr>
        <w:pStyle w:val="Iauiue"/>
        <w:jc w:val="both"/>
        <w:rPr>
          <w:color w:val="000000" w:themeColor="text1"/>
          <w:sz w:val="16"/>
          <w:szCs w:val="16"/>
        </w:rPr>
      </w:pPr>
    </w:p>
    <w:p w14:paraId="0675B75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г. в лагере Осиновка под Оршей группа пленных офицеров, искавших возможность вновь вернуться к летной работе, предложила сформировать из них отдельную авиачасть в составе Люфтваффе. Инициаторами стали майор Филатов, капитан Рипушинский и лейтенант В.П.Плющев. Такая группа под началом Филатова была образована, хотя доверить вчерашним противникам самолеты немцы не торопились, перепроверяя летчиков и проводя их общую переподготовку, а точнее доучивание, поскольку многие вчерашние сталинские соколы попали на фронт, а оттуда в немецкий плен имея всего по нескольку десятков летных часов, из них на боевых машинах порой не более десяти. К тому же, абсолютному большинству необходимо было освоить немецкий язык.</w:t>
      </w:r>
    </w:p>
    <w:p w14:paraId="6D076A4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Первоначально теорию полетов, штурманское дело и матчасть в группе изучали 22 человека, в том числе девять летчиков, три штурмана и четыре стрелка-радиста. В это же время в составе 4-го и 6-го Воздушных флотов Люфтваффе были образованы группы техсостава из числа пленных добровольцев, обслуживавших самолеты (4538).</w:t>
      </w:r>
    </w:p>
    <w:p w14:paraId="508538A7" w14:textId="77777777" w:rsidR="00AE7191" w:rsidRPr="001E2C69" w:rsidRDefault="00AE7191" w:rsidP="00722885">
      <w:pPr>
        <w:pStyle w:val="Iauiue"/>
        <w:jc w:val="both"/>
        <w:rPr>
          <w:color w:val="000000" w:themeColor="text1"/>
          <w:sz w:val="16"/>
          <w:szCs w:val="16"/>
        </w:rPr>
      </w:pPr>
    </w:p>
    <w:p w14:paraId="4484F59F" w14:textId="77777777" w:rsidR="00D80B8A" w:rsidRPr="001E2C69" w:rsidRDefault="00D80B8A" w:rsidP="00722885">
      <w:pPr>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В августе 1942 года 5 отдельных огнеметных танковых батальонов уехало на Волховский фронт. Из них три (500-й, 502-й и 507-й) действовали в составе 8-й армии, а еще 2 (501-й и 503-й) в составе 2-й ударной армии. Впрочем, 503-й батальон проходит и по сводкам 8-й армии. Все указанные батальоны участвовали в Синявинской операции. Она стала не только дебютом КВ-8, но и временем дебюта немецких тяжелых танков Pz.Kpfw.Tiger Ausf.E. По иронии судьбы, в районе Тортолово едва не встретилось два 502-х батальона на тяжелых танков - наш на КВ-8 и немецкий на "Тиграх". Были они совсем рядом (22806).</w:t>
      </w:r>
    </w:p>
    <w:p w14:paraId="3BCFA54F" w14:textId="77777777" w:rsidR="00D80B8A" w:rsidRPr="001E2C69" w:rsidRDefault="00D80B8A" w:rsidP="00722885">
      <w:pPr>
        <w:pStyle w:val="af"/>
        <w:shd w:val="clear" w:color="auto" w:fill="FFFFFF"/>
        <w:spacing w:before="0" w:after="0"/>
        <w:jc w:val="both"/>
        <w:textAlignment w:val="baseline"/>
        <w:rPr>
          <w:color w:val="000000" w:themeColor="text1"/>
          <w:sz w:val="16"/>
          <w:szCs w:val="16"/>
        </w:rPr>
      </w:pPr>
    </w:p>
    <w:p w14:paraId="21DB391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года в проведенных боях 502, 503 и 507-го огнеметных батальонов выяснилось сле- дуюшее:</w:t>
      </w:r>
    </w:p>
    <w:p w14:paraId="722AA3DC"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"Огнеметы оправдали свое назначение и являются отличным средством для борьбы с контратакующей пехотой в лесисто-болотистой местности.</w:t>
      </w:r>
    </w:p>
    <w:p w14:paraId="68DD3411"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Практика показала, что в ночных условиях примененные огнеметы действуют ошеломляюще на противника. При атаке в ночь с 30 на 31 августа 1942 года в районе отметки 40,4 и на участке 24 гв. СД, немцы панически бежали, в ужасе срывая с себя не только верхнее обмундирование, но и белье.</w:t>
      </w:r>
    </w:p>
    <w:p w14:paraId="092367D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Во всех огнеметных батальонах, действующих на Волховском фронте, применялись главным образом танки КВ-8. Танки ТО-34 применяли огнеметы очень редко, так как по заявлению механиков-водителей вести танк по полю боя, изрытому воронками, преодолевать инженерные препятствия, производить огнеметание механику-водителю невозможно» (12217).</w:t>
      </w:r>
    </w:p>
    <w:p w14:paraId="2E5359A8"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4EA33E7F" w14:textId="77777777" w:rsidR="00AE7191" w:rsidRPr="001E2C69" w:rsidRDefault="00AE7191" w:rsidP="00722885">
      <w:pPr>
        <w:pStyle w:val="afff5"/>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 xml:space="preserve">В августе 1942 года в 16 километрах от Сталинграда была собрана «Дора». По немецким данным, для нее в этой битве не было поставлено отдельных задач, но ее демонтаж и вывод были проведены ускоренными темпами. Оба орудия снова появились в 1943 г. в Рюгенсвальде, где произвели несколько тренировочных выстрелов. С этого момента их пребывание стало загадкой. Кажется возможным, что «Густав» был отправлен в Ленинград </w:t>
      </w:r>
      <w:r w:rsidRPr="001E2C69">
        <w:rPr>
          <w:rStyle w:val="affff2"/>
          <w:color w:val="000000" w:themeColor="text1"/>
          <w:spacing w:val="0"/>
          <w:kern w:val="0"/>
          <w:position w:val="0"/>
          <w:sz w:val="16"/>
          <w:szCs w:val="16"/>
        </w:rPr>
        <w:t>[О немецких железнодорожных артиллерийских установках, использовавшихся против блокадного Ленинграда, см. на стр. 332—335]</w:t>
      </w:r>
      <w:r w:rsidRPr="001E2C69">
        <w:rPr>
          <w:i w:val="0"/>
          <w:iCs w:val="0"/>
          <w:color w:val="000000" w:themeColor="text1"/>
          <w:spacing w:val="0"/>
          <w:kern w:val="0"/>
          <w:position w:val="0"/>
          <w:sz w:val="16"/>
          <w:szCs w:val="16"/>
        </w:rPr>
        <w:t xml:space="preserve"> , осада которого, правда, была снята еще до прибытия этого орудия...(11454).</w:t>
      </w:r>
    </w:p>
    <w:p w14:paraId="67A17E61" w14:textId="77777777" w:rsidR="00AE7191" w:rsidRPr="001E2C69" w:rsidRDefault="00AE7191" w:rsidP="00722885">
      <w:pPr>
        <w:pStyle w:val="afff5"/>
        <w:jc w:val="both"/>
        <w:rPr>
          <w:i w:val="0"/>
          <w:iCs w:val="0"/>
          <w:color w:val="000000" w:themeColor="text1"/>
          <w:spacing w:val="0"/>
          <w:kern w:val="0"/>
          <w:position w:val="0"/>
          <w:sz w:val="16"/>
          <w:szCs w:val="16"/>
        </w:rPr>
      </w:pPr>
    </w:p>
    <w:p w14:paraId="397A2CD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Включение по приказу НКО в штат управления связи фронта дислопочтового отделения (четыре военнослужащих), а в штат отдела связи армии — дислопочтового отделения (два военнослужащих). Создание в ГУСКА дислопочтового отдела, позднее преобразованного в управление военно-полевой почты. Сформирование 11 отдельных батальонов связи резерва фронта и 19 отдельных батальонов связи резерва армий для организации и обеспечения связи от вспомогательных пунктов управления франтов и армий соответственно. Введение для обслуживания армейских тыловых частей и учреждений второй военно-почтовой станции (11072).</w:t>
      </w:r>
    </w:p>
    <w:p w14:paraId="1F166F79"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ABF401C"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Внешняя политика:</w:t>
      </w:r>
    </w:p>
    <w:p w14:paraId="560B5321" w14:textId="77777777" w:rsidR="00AE7191" w:rsidRPr="001E2C69" w:rsidRDefault="00AE7191" w:rsidP="00722885">
      <w:pPr>
        <w:pStyle w:val="Iauiue"/>
        <w:jc w:val="both"/>
        <w:rPr>
          <w:iCs/>
          <w:color w:val="000000" w:themeColor="text1"/>
          <w:sz w:val="16"/>
          <w:szCs w:val="16"/>
        </w:rPr>
      </w:pPr>
    </w:p>
    <w:p w14:paraId="0B80F47B"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августа 1942 года летающие лодки 422-й эскадрильи королевских ВВС начали из Инвергордона в Шотландии регулярные рейсы в Россию. Они возили запчасти для "Харрикейнов", пока не возобновилось движение арктических конвоев (3457,127).</w:t>
      </w:r>
    </w:p>
    <w:p w14:paraId="6D2FBDD7" w14:textId="77777777" w:rsidR="00AE7191" w:rsidRPr="001E2C69" w:rsidRDefault="00AE7191" w:rsidP="00722885">
      <w:pPr>
        <w:pStyle w:val="Iauiue"/>
        <w:jc w:val="both"/>
        <w:rPr>
          <w:color w:val="000000" w:themeColor="text1"/>
          <w:sz w:val="16"/>
          <w:szCs w:val="16"/>
        </w:rPr>
      </w:pPr>
    </w:p>
    <w:p w14:paraId="5B92D2EC" w14:textId="77777777" w:rsidR="00995B1F" w:rsidRPr="001E2C69" w:rsidRDefault="00995B1F" w:rsidP="00722885">
      <w:pPr>
        <w:shd w:val="clear" w:color="auto" w:fill="FFFFFF"/>
        <w:spacing w:after="0" w:line="240" w:lineRule="auto"/>
        <w:jc w:val="both"/>
        <w:rPr>
          <w:rFonts w:ascii="Times New Roman" w:eastAsia="Times New Roman" w:hAnsi="Times New Roman"/>
          <w:iCs/>
          <w:color w:val="000000" w:themeColor="text1"/>
          <w:sz w:val="16"/>
          <w:szCs w:val="16"/>
          <w:lang w:eastAsia="ru-RU"/>
        </w:rPr>
      </w:pPr>
      <w:r w:rsidRPr="001E2C69">
        <w:rPr>
          <w:rFonts w:ascii="Times New Roman" w:eastAsia="Times New Roman" w:hAnsi="Times New Roman"/>
          <w:iCs/>
          <w:color w:val="000000" w:themeColor="text1"/>
          <w:sz w:val="16"/>
          <w:szCs w:val="16"/>
          <w:lang w:eastAsia="ru-RU"/>
        </w:rPr>
        <w:t>В августе 1942 года состоялся визит в Москву британского премьер-министра Уинстона Черчилля (17691).</w:t>
      </w:r>
    </w:p>
    <w:p w14:paraId="2AB27E47" w14:textId="77777777" w:rsidR="00995B1F" w:rsidRPr="001E2C69" w:rsidRDefault="00995B1F" w:rsidP="0072288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CA33BC4"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За рубежом:</w:t>
      </w:r>
    </w:p>
    <w:p w14:paraId="3D389D1A" w14:textId="77777777" w:rsidR="00AE7191" w:rsidRPr="001E2C69" w:rsidRDefault="00AE7191" w:rsidP="00722885">
      <w:pPr>
        <w:pStyle w:val="Iauiue"/>
        <w:jc w:val="both"/>
        <w:rPr>
          <w:iCs/>
          <w:color w:val="000000" w:themeColor="text1"/>
          <w:sz w:val="16"/>
          <w:szCs w:val="16"/>
        </w:rPr>
      </w:pPr>
    </w:p>
    <w:p w14:paraId="5CE6B68E" w14:textId="77777777" w:rsidR="00AB5DE8" w:rsidRPr="008A2E5A" w:rsidRDefault="00AB5DE8" w:rsidP="00AB5D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августа 1942 г. начали собирать малую серию Спитфайров «семерок»</w:t>
      </w:r>
    </w:p>
    <w:p w14:paraId="19F63D41" w14:textId="77777777" w:rsidR="00AB5DE8" w:rsidRPr="008A2E5A" w:rsidRDefault="00AB5DE8" w:rsidP="00AB5D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«Спитфайр» VII («тип 351») был оснащен «Мерлином» новой серии, 60-й, с двух</w:t>
      </w:r>
      <w:r w:rsidRPr="008A2E5A">
        <w:rPr>
          <w:rFonts w:ascii="Times New Roman" w:hAnsi="Times New Roman"/>
          <w:color w:val="0070C0"/>
          <w:sz w:val="16"/>
          <w:szCs w:val="16"/>
        </w:rPr>
        <w:softHyphen/>
        <w:t>ступенчатым двухскоростным нагнетателем. Кроме прироста мощности, они принесли улучшенные высотные характеристики. При достижении определенной высоты оборо</w:t>
      </w:r>
      <w:r w:rsidRPr="008A2E5A">
        <w:rPr>
          <w:rFonts w:ascii="Times New Roman" w:hAnsi="Times New Roman"/>
          <w:color w:val="0070C0"/>
          <w:sz w:val="16"/>
          <w:szCs w:val="16"/>
        </w:rPr>
        <w:softHyphen/>
        <w:t>ты колес нагнетателя увеличивались, давле</w:t>
      </w:r>
      <w:r w:rsidRPr="008A2E5A">
        <w:rPr>
          <w:rFonts w:ascii="Times New Roman" w:hAnsi="Times New Roman"/>
          <w:color w:val="0070C0"/>
          <w:sz w:val="16"/>
          <w:szCs w:val="16"/>
        </w:rPr>
        <w:softHyphen/>
        <w:t>ние наддува — повышалось.</w:t>
      </w:r>
    </w:p>
    <w:p w14:paraId="1698AE06" w14:textId="77777777" w:rsidR="00AB5DE8" w:rsidRPr="008A2E5A" w:rsidRDefault="00AB5DE8" w:rsidP="00AB5D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 Серийные машины отлича</w:t>
      </w:r>
      <w:r w:rsidRPr="008A2E5A">
        <w:rPr>
          <w:rFonts w:ascii="Times New Roman" w:hAnsi="Times New Roman"/>
          <w:color w:val="0070C0"/>
          <w:sz w:val="16"/>
          <w:szCs w:val="16"/>
        </w:rPr>
        <w:softHyphen/>
        <w:t>лись от «шестерок» усилением практичес</w:t>
      </w:r>
      <w:r w:rsidRPr="008A2E5A">
        <w:rPr>
          <w:rFonts w:ascii="Times New Roman" w:hAnsi="Times New Roman"/>
          <w:color w:val="0070C0"/>
          <w:sz w:val="16"/>
          <w:szCs w:val="16"/>
        </w:rPr>
        <w:softHyphen/>
        <w:t>ки всей конструкции, увеличением объема фюзеляжного бензобака и появлением двух дополнительных небольших баков в пере</w:t>
      </w:r>
      <w:r w:rsidRPr="008A2E5A">
        <w:rPr>
          <w:rFonts w:ascii="Times New Roman" w:hAnsi="Times New Roman"/>
          <w:color w:val="0070C0"/>
          <w:sz w:val="16"/>
          <w:szCs w:val="16"/>
        </w:rPr>
        <w:softHyphen/>
        <w:t>дней кромке крыла, убирающимся хвосто</w:t>
      </w:r>
      <w:r w:rsidRPr="008A2E5A">
        <w:rPr>
          <w:rFonts w:ascii="Times New Roman" w:hAnsi="Times New Roman"/>
          <w:color w:val="0070C0"/>
          <w:sz w:val="16"/>
          <w:szCs w:val="16"/>
        </w:rPr>
        <w:softHyphen/>
        <w:t>вым колесом. Крыло комплектовалось таки</w:t>
      </w:r>
      <w:r w:rsidRPr="008A2E5A">
        <w:rPr>
          <w:rFonts w:ascii="Times New Roman" w:hAnsi="Times New Roman"/>
          <w:color w:val="0070C0"/>
          <w:sz w:val="16"/>
          <w:szCs w:val="16"/>
        </w:rPr>
        <w:softHyphen/>
        <w:t>ми же длинными заостренными законцовками, как на типе VI. Но размах элеронов уменьшили, что снизило вероятность воз</w:t>
      </w:r>
      <w:r w:rsidRPr="008A2E5A">
        <w:rPr>
          <w:rFonts w:ascii="Times New Roman" w:hAnsi="Times New Roman"/>
          <w:color w:val="0070C0"/>
          <w:sz w:val="16"/>
          <w:szCs w:val="16"/>
        </w:rPr>
        <w:softHyphen/>
        <w:t>никновения флаттера. В отличие от предыду</w:t>
      </w:r>
      <w:r w:rsidRPr="008A2E5A">
        <w:rPr>
          <w:rFonts w:ascii="Times New Roman" w:hAnsi="Times New Roman"/>
          <w:color w:val="0070C0"/>
          <w:sz w:val="16"/>
          <w:szCs w:val="16"/>
        </w:rPr>
        <w:softHyphen/>
        <w:t>щих моделей «Спитфайра», на модификации VII под крылом слева и справа стояли одина</w:t>
      </w:r>
      <w:r w:rsidRPr="008A2E5A">
        <w:rPr>
          <w:rFonts w:ascii="Times New Roman" w:hAnsi="Times New Roman"/>
          <w:color w:val="0070C0"/>
          <w:sz w:val="16"/>
          <w:szCs w:val="16"/>
        </w:rPr>
        <w:softHyphen/>
        <w:t>ковые по размеру и форме короба радиато</w:t>
      </w:r>
      <w:r w:rsidRPr="008A2E5A">
        <w:rPr>
          <w:rFonts w:ascii="Times New Roman" w:hAnsi="Times New Roman"/>
          <w:color w:val="0070C0"/>
          <w:sz w:val="16"/>
          <w:szCs w:val="16"/>
        </w:rPr>
        <w:softHyphen/>
        <w:t>ров. Ранее справа располагался большой во</w:t>
      </w:r>
      <w:r w:rsidRPr="008A2E5A">
        <w:rPr>
          <w:rFonts w:ascii="Times New Roman" w:hAnsi="Times New Roman"/>
          <w:color w:val="0070C0"/>
          <w:sz w:val="16"/>
          <w:szCs w:val="16"/>
        </w:rPr>
        <w:softHyphen/>
        <w:t>дяной радиатор, а слева — маленький масля</w:t>
      </w:r>
      <w:r w:rsidRPr="008A2E5A">
        <w:rPr>
          <w:rFonts w:ascii="Times New Roman" w:hAnsi="Times New Roman"/>
          <w:color w:val="0070C0"/>
          <w:sz w:val="16"/>
          <w:szCs w:val="16"/>
        </w:rPr>
        <w:softHyphen/>
        <w:t>ный. Теперь водяной радиатор разделили на две секции и совместили слева с масляным, а справа — с интеркулером (промежуточным радиатором нагнетателя). Вооружение в кры</w:t>
      </w:r>
      <w:r w:rsidRPr="008A2E5A">
        <w:rPr>
          <w:rFonts w:ascii="Times New Roman" w:hAnsi="Times New Roman"/>
          <w:color w:val="0070C0"/>
          <w:sz w:val="16"/>
          <w:szCs w:val="16"/>
        </w:rPr>
        <w:softHyphen/>
        <w:t>ле устанавливалось по типу С.</w:t>
      </w:r>
    </w:p>
    <w:p w14:paraId="7A58D3A0" w14:textId="77777777" w:rsidR="00AB5DE8" w:rsidRPr="008A2E5A" w:rsidRDefault="00AB5DE8" w:rsidP="00AB5D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Параллельно со «Спитфайром» VII выпус</w:t>
      </w:r>
      <w:r w:rsidRPr="008A2E5A">
        <w:rPr>
          <w:rFonts w:ascii="Times New Roman" w:hAnsi="Times New Roman"/>
          <w:color w:val="0070C0"/>
          <w:sz w:val="16"/>
          <w:szCs w:val="16"/>
        </w:rPr>
        <w:softHyphen/>
        <w:t>калась практически аналогичная модифика</w:t>
      </w:r>
      <w:r w:rsidRPr="008A2E5A">
        <w:rPr>
          <w:rFonts w:ascii="Times New Roman" w:hAnsi="Times New Roman"/>
          <w:color w:val="0070C0"/>
          <w:sz w:val="16"/>
          <w:szCs w:val="16"/>
        </w:rPr>
        <w:softHyphen/>
        <w:t>ция VIII («тип 359»), отличавшаяся только отсутствием гермокабины. Кроме этого, все «восьмерки» комплектовались компактным встроенным противопыльным фильтром «Аэро-Ви», создававшим гораздо меньшее сопротивление, чем старые типы. Повальная установка «пустынных» фильтров обуславли</w:t>
      </w:r>
      <w:r w:rsidRPr="008A2E5A">
        <w:rPr>
          <w:rFonts w:ascii="Times New Roman" w:hAnsi="Times New Roman"/>
          <w:color w:val="0070C0"/>
          <w:sz w:val="16"/>
          <w:szCs w:val="16"/>
        </w:rPr>
        <w:softHyphen/>
        <w:t>валась тем, что самолеты этой модификации предназначались, в основном, для эксплуа</w:t>
      </w:r>
      <w:r w:rsidRPr="008A2E5A">
        <w:rPr>
          <w:rFonts w:ascii="Times New Roman" w:hAnsi="Times New Roman"/>
          <w:color w:val="0070C0"/>
          <w:sz w:val="16"/>
          <w:szCs w:val="16"/>
        </w:rPr>
        <w:softHyphen/>
        <w:t>тации на Ближнем и Дальнем Востоке. Воо</w:t>
      </w:r>
      <w:r w:rsidRPr="008A2E5A">
        <w:rPr>
          <w:rFonts w:ascii="Times New Roman" w:hAnsi="Times New Roman"/>
          <w:color w:val="0070C0"/>
          <w:sz w:val="16"/>
          <w:szCs w:val="16"/>
        </w:rPr>
        <w:softHyphen/>
        <w:t>ружение устанавливалось по типу С и вклю</w:t>
      </w:r>
      <w:r w:rsidRPr="008A2E5A">
        <w:rPr>
          <w:rFonts w:ascii="Times New Roman" w:hAnsi="Times New Roman"/>
          <w:color w:val="0070C0"/>
          <w:sz w:val="16"/>
          <w:szCs w:val="16"/>
        </w:rPr>
        <w:softHyphen/>
        <w:t>чало подвеску бомб общим весом до 454 кг.</w:t>
      </w:r>
    </w:p>
    <w:p w14:paraId="3CBB8AD9" w14:textId="77777777" w:rsidR="00AB5DE8" w:rsidRPr="008A2E5A" w:rsidRDefault="00AB5DE8" w:rsidP="00AB5D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Первые серии «восьмерок» имели удлинен</w:t>
      </w:r>
      <w:r w:rsidRPr="008A2E5A">
        <w:rPr>
          <w:rFonts w:ascii="Times New Roman" w:hAnsi="Times New Roman"/>
          <w:color w:val="0070C0"/>
          <w:sz w:val="16"/>
          <w:szCs w:val="16"/>
        </w:rPr>
        <w:softHyphen/>
        <w:t>ные законцовки крыла (как на модификации VII) и округлый руль поворота, поздние — нор</w:t>
      </w:r>
      <w:r w:rsidRPr="008A2E5A">
        <w:rPr>
          <w:rFonts w:ascii="Times New Roman" w:hAnsi="Times New Roman"/>
          <w:color w:val="0070C0"/>
          <w:sz w:val="16"/>
          <w:szCs w:val="16"/>
        </w:rPr>
        <w:softHyphen/>
        <w:t>мальные законцовки и остроконечный уши</w:t>
      </w:r>
      <w:r w:rsidRPr="008A2E5A">
        <w:rPr>
          <w:rFonts w:ascii="Times New Roman" w:hAnsi="Times New Roman"/>
          <w:color w:val="0070C0"/>
          <w:sz w:val="16"/>
          <w:szCs w:val="16"/>
        </w:rPr>
        <w:softHyphen/>
        <w:t>ренный руль. Параллельно выпускались вари</w:t>
      </w:r>
      <w:r w:rsidRPr="008A2E5A">
        <w:rPr>
          <w:rFonts w:ascii="Times New Roman" w:hAnsi="Times New Roman"/>
          <w:color w:val="0070C0"/>
          <w:sz w:val="16"/>
          <w:szCs w:val="16"/>
        </w:rPr>
        <w:softHyphen/>
        <w:t>анты LF VIII (с мотором «Мерлин» 66), F VIII (с «Мерлин» 63 или 63А) и HF VIII (с «Мер</w:t>
      </w:r>
      <w:r w:rsidRPr="008A2E5A">
        <w:rPr>
          <w:rFonts w:ascii="Times New Roman" w:hAnsi="Times New Roman"/>
          <w:color w:val="0070C0"/>
          <w:sz w:val="16"/>
          <w:szCs w:val="16"/>
        </w:rPr>
        <w:softHyphen/>
        <w:t>лин» 70). Производство началось на заводе «Супермарин» в ноябре 1942 г. «Восьмерок» построили примерно вдесятеро больше, чем «семерок» — 1658 экземпляров (24505).</w:t>
      </w:r>
    </w:p>
    <w:p w14:paraId="01CA8C10" w14:textId="77777777" w:rsidR="00AB5DE8" w:rsidRPr="008A2E5A" w:rsidRDefault="00AB5DE8" w:rsidP="00AB5DE8">
      <w:pPr>
        <w:spacing w:after="0" w:line="240" w:lineRule="auto"/>
        <w:jc w:val="both"/>
        <w:rPr>
          <w:rFonts w:ascii="Times New Roman" w:hAnsi="Times New Roman"/>
          <w:color w:val="0070C0"/>
          <w:sz w:val="16"/>
          <w:szCs w:val="16"/>
        </w:rPr>
      </w:pPr>
    </w:p>
    <w:p w14:paraId="526C047F" w14:textId="77777777" w:rsidR="00AB5DE8" w:rsidRPr="008A2E5A" w:rsidRDefault="00AB5DE8" w:rsidP="00AB5D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1942 г. к Мальте пробивался круп</w:t>
      </w:r>
      <w:r w:rsidRPr="008A2E5A">
        <w:rPr>
          <w:rFonts w:ascii="Times New Roman" w:hAnsi="Times New Roman"/>
          <w:color w:val="0070C0"/>
          <w:sz w:val="16"/>
          <w:szCs w:val="16"/>
        </w:rPr>
        <w:softHyphen/>
        <w:t>ный конвой, в охранение которого входили авианосцы «Индомитэйбл», «Игл» и «Викториэс», несшие 70 истребителей. На двух первых базировались три эскадрильи «Си Харрикейнов» (800, 801 и 885-я). Противник бросил против них около 500 боевых само</w:t>
      </w:r>
      <w:r w:rsidRPr="008A2E5A">
        <w:rPr>
          <w:rFonts w:ascii="Times New Roman" w:hAnsi="Times New Roman"/>
          <w:color w:val="0070C0"/>
          <w:sz w:val="16"/>
          <w:szCs w:val="16"/>
        </w:rPr>
        <w:softHyphen/>
        <w:t>летов. Конвой потерял «Игл», потопленный немецкой подводной лодкой U-73, но прошел. За три дня воздушных боев английские ис</w:t>
      </w:r>
      <w:r w:rsidRPr="008A2E5A">
        <w:rPr>
          <w:rFonts w:ascii="Times New Roman" w:hAnsi="Times New Roman"/>
          <w:color w:val="0070C0"/>
          <w:sz w:val="16"/>
          <w:szCs w:val="16"/>
        </w:rPr>
        <w:softHyphen/>
        <w:t>требители сбили 39 немецких и итальянских самолетов (в том числе «Харрикейны» —- 25), потеряв восемь своих машин. Лейтенант Корк на «Си Харрикейне» в одиночку уничтожил три немецких и три итальянских самолета (24506).</w:t>
      </w:r>
    </w:p>
    <w:p w14:paraId="14F56F4F" w14:textId="77777777" w:rsidR="00AB5DE8" w:rsidRPr="008A2E5A" w:rsidRDefault="00AB5DE8" w:rsidP="00AB5DE8">
      <w:pPr>
        <w:spacing w:after="0" w:line="240" w:lineRule="auto"/>
        <w:jc w:val="both"/>
        <w:rPr>
          <w:rFonts w:ascii="Times New Roman" w:hAnsi="Times New Roman"/>
          <w:color w:val="0070C0"/>
          <w:sz w:val="16"/>
          <w:szCs w:val="16"/>
        </w:rPr>
      </w:pPr>
    </w:p>
    <w:p w14:paraId="648D3217" w14:textId="77777777" w:rsidR="00D80B8A" w:rsidRPr="001E2C69" w:rsidRDefault="00D80B8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Август1942 Легкий крейсер ВМС США USS Cleveland (CL-55) проводит корабельные испытания первых зенитных боеприпасов с бесконтактным взрывателем Mark 32 («VT»), стреляя по беспилотным самолетам над Чесапикским заливом (20793).</w:t>
      </w:r>
    </w:p>
    <w:p w14:paraId="17C78735" w14:textId="77777777" w:rsidR="00D80B8A" w:rsidRPr="001E2C69" w:rsidRDefault="00D80B8A" w:rsidP="00722885">
      <w:pPr>
        <w:spacing w:after="0" w:line="240" w:lineRule="auto"/>
        <w:jc w:val="both"/>
        <w:rPr>
          <w:rFonts w:ascii="Times New Roman" w:hAnsi="Times New Roman"/>
          <w:color w:val="000000" w:themeColor="text1"/>
          <w:sz w:val="16"/>
          <w:szCs w:val="16"/>
        </w:rPr>
      </w:pPr>
    </w:p>
    <w:p w14:paraId="5C9AB07A" w14:textId="77777777" w:rsidR="00D80B8A" w:rsidRPr="001E2C69" w:rsidRDefault="00D80B8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года на нескольких строевых самолетах «Ланкастер» Mk. I установили радиолокатор H2S и радионавигационно-бомбардировочную систему «Джи» (каплевидный обтекатель параболической антенны РЛС и открытый диполь навигационного приемника были размещены под хвостовой частью). Они значительно упрощали работу штурмана-лидера, что подтвердили успешные действия экипажей 83-й эскадрильи в налетах на Рур и Гамбург. В январе 1944 года, когда над всей Италией царила плохая погода, «галифаксы» с радарами и радионавигацией появились и в 462-й, а затем и в 178-й эскадрильях, обеспечивших своим целеуказанием массированную авиаподдержку новому наступлению Союзников на север Италии (22824).</w:t>
      </w:r>
    </w:p>
    <w:p w14:paraId="35712950" w14:textId="77777777" w:rsidR="00D80B8A" w:rsidRPr="001E2C69" w:rsidRDefault="00D80B8A" w:rsidP="00722885">
      <w:pPr>
        <w:spacing w:after="0" w:line="240" w:lineRule="auto"/>
        <w:jc w:val="both"/>
        <w:rPr>
          <w:rFonts w:ascii="Times New Roman" w:hAnsi="Times New Roman"/>
          <w:color w:val="000000" w:themeColor="text1"/>
          <w:sz w:val="16"/>
          <w:szCs w:val="16"/>
        </w:rPr>
      </w:pPr>
    </w:p>
    <w:p w14:paraId="514AB89B" w14:textId="77777777" w:rsidR="00D80B8A" w:rsidRPr="001E2C69" w:rsidRDefault="00D80B8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В августе 1942 года новая модификация Ki49 пошла в серию под обозначением Ki49-IIa модель 2а. На два опытных Ki49 установили двигатели На109 по 1450 л.с., повысив скорость до 500 км/ч, все баки покрыли протектором, экипаж защитили броней, поставили новый бомбардировочный прицел. В начале 1943 года в серию пошел Ki49IIb, на котором все 7,92-мм пулеметы заменили на крупнокалиберные Но103. Этот самолет строился на фирме «Накадзима» до 1944 года, всего эта фирма сдала 667 таких самолетов, еще 50 сделал Арсенал ВВС в Тачикаве. Выпуск их готовила и небольшая фирма «Манею Хикоки», но такой сложный самолет оказался ей «не по зубам». В марте 1943 года на испытания поступил Ki49-III со сверхмощными (2240 л.с.) опытными На117. До декабря сделали еще 5 таких </w:t>
      </w:r>
      <w:r w:rsidRPr="001E2C69">
        <w:rPr>
          <w:rFonts w:ascii="Times New Roman" w:hAnsi="Times New Roman"/>
          <w:color w:val="000000" w:themeColor="text1"/>
          <w:sz w:val="16"/>
          <w:szCs w:val="16"/>
        </w:rPr>
        <w:lastRenderedPageBreak/>
        <w:t>бомбардировщиков, но нормально летать им мешали ненадежные двигатели — пускать их в строевую эксплуатацию было нельзя. Бомбардировщики Ki49-II были вполне современными, однако их ввод в бой пришелся на трудный период начала американского наступления, стратегической целью которого было возвращение контроля над Филиппинами, когда господство в воздухе уже прочно захватили «лайтнинги» и «уайлдкеты». Потому их быстро перестали использовать для ударных операций, переключив на решение задач дальней разведки и борьбы с подводными лодками. Единственным современным японским дальним бомбардировщиком весь 1942 год оставался флотский G4M (22842).</w:t>
      </w:r>
    </w:p>
    <w:p w14:paraId="3A98E448" w14:textId="77777777" w:rsidR="00D80B8A" w:rsidRPr="001E2C69" w:rsidRDefault="00D80B8A" w:rsidP="00722885">
      <w:pPr>
        <w:spacing w:after="0" w:line="240" w:lineRule="auto"/>
        <w:jc w:val="both"/>
        <w:rPr>
          <w:rFonts w:ascii="Times New Roman" w:hAnsi="Times New Roman"/>
          <w:color w:val="000000" w:themeColor="text1"/>
          <w:sz w:val="16"/>
          <w:szCs w:val="16"/>
        </w:rPr>
      </w:pPr>
    </w:p>
    <w:p w14:paraId="167A6D0F" w14:textId="77777777" w:rsidR="00D80B8A" w:rsidRPr="001E2C69" w:rsidRDefault="00D80B8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1943 года первые самолеты модификации B-24H-FO, выполненной конструкторским бюро завода «Форд» в городе Уиллоу-Ран (Мичиган), пошли в строевые части. Начиная с блока B-24H-5-FO самолет комплектовался двигателями R-1830-65 такой же мощности, как и на предыдущих модификациях (по 1200 л.с. на взлете), но более надежными. На серии B-24H-20-FO бортовые установки поставили в шахматном порядке, чтобы стрелки не толкались спинами. Завод «Форд» в 1944 году при трехсменной работе вышел на режим сдачи одного четырехмоторного бомбардировщика каждые сто минут. Всего он построил 1780 самолетов В-24Н, еще 738 дало предприятие «Консолидейтед» в Форт-Уорсе и 582 — «Норт Америкен» в Далласе (оба — штат Техас). Но ВВС надо было намного больше ударных самолетов, и для удовлетворения возросших потребностей был проведен комплекс мероприятий по улучшению технологичности и снижению трудоемкости производства, результатом которого стала модификация B-24J, стоимость одного экземпляра которой удалось снизить до 297627$, что было существенно ниже цены B-17F (22865).</w:t>
      </w:r>
    </w:p>
    <w:p w14:paraId="71B69630" w14:textId="77777777" w:rsidR="00D80B8A" w:rsidRPr="001E2C69" w:rsidRDefault="00D80B8A" w:rsidP="00722885">
      <w:pPr>
        <w:spacing w:after="0" w:line="240" w:lineRule="auto"/>
        <w:jc w:val="both"/>
        <w:rPr>
          <w:rFonts w:ascii="Times New Roman" w:hAnsi="Times New Roman"/>
          <w:color w:val="000000" w:themeColor="text1"/>
          <w:sz w:val="16"/>
          <w:szCs w:val="16"/>
        </w:rPr>
      </w:pPr>
    </w:p>
    <w:p w14:paraId="04ACA30E" w14:textId="77777777" w:rsidR="00D80B8A" w:rsidRPr="001E2C69" w:rsidRDefault="00D80B8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1943 года базовый завод «Консолидейтед» в СанДиего, Калифорния, сдал головной B-24J-1-CO, на котором прошла проверку упрощенная технология сборки, позволившая сократить цикл изготовления самолета. По ее результатам пришлось много чего менять, что вызвало некоторую задержку, но на рубеже 1944 года остальные 50 самолетов этого серийного блока все же сдали заказчику — и дело пошло. Производство стало намного более ритмичным, размер серий стабилизировался и достиг 50-ти машин, а с блока B-24J-145-CO — ста. Завершил выпуск B-24J в Сан-Диего блок B-24J-210-CO. Он не достраивался полностью, т.к. уже шли новые варианты самолета, а всего это базовое предприятие «Консолидейтед» сдало 2792 таких самолетов. Главным конструктивным отличием, внедренным на B-24J, была улучшенная в плане надежности и живучести топливная система, но боевая дальность по сравнению с машинами модификации D снизилась более чем на 1000 км.</w:t>
      </w:r>
    </w:p>
    <w:p w14:paraId="6DF80E0D" w14:textId="77777777" w:rsidR="00D80B8A" w:rsidRPr="001E2C69" w:rsidRDefault="00D80B8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Вслед за Сан-Диего этот вариант «либерейтора» пошел в серию на заводе в Форт-Уорсе. Трудности с поставкой комплектующих создали много проблем с организацией работы этого предприятия, и оно вышло на стабильную серию в 50 машин только к середине выпуска этой модификации, а по 100 — к концу контракта. Всего в Техасе построили 1558 «либерейторов» B-24J. В апреле 1944 года начал поставки B-24J завод «Форд», который построил их 1587 штук. В мае того же года первые аналогичные машины сдали «Норт Америкен» и «Дуглас» (город Тулса, Оклахома). Они выпустили 536 и 205 экземпляров B-24J соответственно (22865).</w:t>
      </w:r>
    </w:p>
    <w:p w14:paraId="603FEAE1" w14:textId="77777777" w:rsidR="00D80B8A" w:rsidRPr="001E2C69" w:rsidRDefault="00D80B8A" w:rsidP="00722885">
      <w:pPr>
        <w:spacing w:after="0" w:line="240" w:lineRule="auto"/>
        <w:jc w:val="both"/>
        <w:rPr>
          <w:rFonts w:ascii="Times New Roman" w:hAnsi="Times New Roman"/>
          <w:color w:val="000000" w:themeColor="text1"/>
          <w:sz w:val="16"/>
          <w:szCs w:val="16"/>
        </w:rPr>
      </w:pPr>
    </w:p>
    <w:p w14:paraId="0F2291C8" w14:textId="77777777" w:rsidR="00D80B8A" w:rsidRPr="001E2C69" w:rsidRDefault="00D80B8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1942 канадскому государственному предприятию «Виктори Эйркрафт Ко», образованному для выпуска самолетов «Ланкастер» в Канаде, передали серийный «Ланкастер» I в качестве образца и в сентябре следующего года были готовы первые бомбардировщики «Ланкастер» В Mk.X с моторами Паккард «Мерлин» 38 и старыми нижними турелями F.N.64. Как и на самолетах английской постройки, эти установки вызывали нарекания экипажей, поэтому постепенно их перестали ставить, а на многих машинах место за бомбоотсеком занял радар H2S. По ходу выпуска на самолеты Mk.X появились моторы «Мерлин» 224 с новыми воздушными винтами и верхние турели «Мартин» с двумя пулеметами М-2 калибра 12,7 мм. Была улучшена прочность каркаса, что позволило повысить разрешенный взлетный вес. В полной комплектации завод «Виктори» до февраля 1945 года построил 300 таких самолетов для 6-й канадской авиагруппы RAF, а с апреля по август — еще 130 для вспомогательных частей ВВС стран Британского Содружества, но и им пришлось повоевать — против Японии на Тихом океане. Однако их участие в этой кампании было несравнимо с действиями против Германии в Европе. Англо-канадская авиапромышленность построила 6176 самолетов типа «Галифакс» и 7377 типа «Ланкастер» (хотя имеющиеся данные несколько противоречивы и в различных документах встречаются и другие цифры), большинство из них было выпущено именно в варианте тяжелого бомбардировщика. Преодоление проблемы дефицита комплектующих и наращивание их выпуска позволило вывести ночные бомбардировки Германии на качественно новый уровень уже в конце 1943 года (22866).</w:t>
      </w:r>
    </w:p>
    <w:p w14:paraId="3C3F698B" w14:textId="77777777" w:rsidR="00D80B8A" w:rsidRPr="001E2C69" w:rsidRDefault="00D80B8A" w:rsidP="00722885">
      <w:pPr>
        <w:spacing w:after="0" w:line="240" w:lineRule="auto"/>
        <w:jc w:val="both"/>
        <w:rPr>
          <w:rFonts w:ascii="Times New Roman" w:hAnsi="Times New Roman"/>
          <w:color w:val="000000" w:themeColor="text1"/>
          <w:sz w:val="16"/>
          <w:szCs w:val="16"/>
        </w:rPr>
      </w:pPr>
    </w:p>
    <w:p w14:paraId="67C0C2B3" w14:textId="77777777" w:rsidR="00D80B8A" w:rsidRPr="001E2C69" w:rsidRDefault="00D80B8A"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 августа 1942 г. Авиация Императорского Флота Японии начала получать новый пикирующий бомбардировщик Аити D3A2. Однако был он лишь модификацией созданного еще до войны самолета D3A1 (23122).</w:t>
      </w:r>
    </w:p>
    <w:p w14:paraId="68FA389F" w14:textId="77777777" w:rsidR="00D80B8A" w:rsidRPr="001E2C69" w:rsidRDefault="00D80B8A" w:rsidP="00722885">
      <w:pPr>
        <w:spacing w:after="0" w:line="240" w:lineRule="auto"/>
        <w:jc w:val="both"/>
        <w:rPr>
          <w:rFonts w:ascii="Times New Roman" w:hAnsi="Times New Roman"/>
          <w:color w:val="000000" w:themeColor="text1"/>
          <w:sz w:val="16"/>
          <w:szCs w:val="16"/>
        </w:rPr>
      </w:pPr>
    </w:p>
    <w:p w14:paraId="3FEFD28D"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1942 было принято решение о начале серийного производства Фау-1 (2990).</w:t>
      </w:r>
    </w:p>
    <w:p w14:paraId="6E6D3879" w14:textId="77777777" w:rsidR="00AE7191" w:rsidRPr="001E2C69" w:rsidRDefault="00AE7191" w:rsidP="00722885">
      <w:pPr>
        <w:pStyle w:val="Iauiue"/>
        <w:jc w:val="both"/>
        <w:rPr>
          <w:color w:val="000000" w:themeColor="text1"/>
          <w:sz w:val="16"/>
          <w:szCs w:val="16"/>
        </w:rPr>
      </w:pPr>
    </w:p>
    <w:p w14:paraId="6F1C5E35" w14:textId="77777777" w:rsidR="00AE7191" w:rsidRPr="001E2C69" w:rsidRDefault="00AE7191" w:rsidP="00722885">
      <w:pPr>
        <w:pStyle w:val="affff0"/>
        <w:widowControl/>
        <w:jc w:val="both"/>
        <w:rPr>
          <w:rFonts w:ascii="Times New Roman" w:hAnsi="Times New Roman" w:cs="Times New Roman"/>
          <w:color w:val="000000" w:themeColor="text1"/>
          <w:sz w:val="16"/>
          <w:szCs w:val="16"/>
        </w:rPr>
      </w:pPr>
      <w:r w:rsidRPr="001E2C69">
        <w:rPr>
          <w:rFonts w:ascii="Times New Roman" w:hAnsi="Times New Roman" w:cs="Times New Roman"/>
          <w:color w:val="000000" w:themeColor="text1"/>
          <w:sz w:val="16"/>
          <w:szCs w:val="16"/>
        </w:rPr>
        <w:t>В августе 1942 г. в Италии для таранов британских кораблей в Средиземном море был переоборудован трехмоторный бомбардировщик SM.79 (11686).</w:t>
      </w:r>
    </w:p>
    <w:p w14:paraId="2E5718F5" w14:textId="77777777" w:rsidR="00AE7191" w:rsidRPr="001E2C69" w:rsidRDefault="00AE7191" w:rsidP="00722885">
      <w:pPr>
        <w:pStyle w:val="affff0"/>
        <w:widowControl/>
        <w:jc w:val="both"/>
        <w:rPr>
          <w:rFonts w:ascii="Times New Roman" w:hAnsi="Times New Roman" w:cs="Times New Roman"/>
          <w:color w:val="000000" w:themeColor="text1"/>
          <w:sz w:val="16"/>
          <w:szCs w:val="16"/>
        </w:rPr>
      </w:pPr>
    </w:p>
    <w:p w14:paraId="5E6532AA" w14:textId="77777777" w:rsidR="00AE7191" w:rsidRPr="001E2C69" w:rsidRDefault="00AE7191" w:rsidP="00722885">
      <w:pPr>
        <w:pStyle w:val="afff5"/>
        <w:jc w:val="both"/>
        <w:rPr>
          <w:i w:val="0"/>
          <w:iCs w:val="0"/>
          <w:color w:val="000000" w:themeColor="text1"/>
          <w:spacing w:val="0"/>
          <w:kern w:val="0"/>
          <w:position w:val="0"/>
          <w:sz w:val="16"/>
          <w:szCs w:val="16"/>
        </w:rPr>
      </w:pPr>
      <w:r w:rsidRPr="001E2C69">
        <w:rPr>
          <w:i w:val="0"/>
          <w:iCs w:val="0"/>
          <w:color w:val="000000" w:themeColor="text1"/>
          <w:spacing w:val="0"/>
          <w:kern w:val="0"/>
          <w:position w:val="0"/>
          <w:sz w:val="16"/>
          <w:szCs w:val="16"/>
        </w:rPr>
        <w:t>В августе 1942 года на заводах Круппа в Эссене был построен второй транспортер 800-мм орудия, который приобрел имя «Дора» в честь супруги руководителя конструкторского бюро Эриха Мюллера. Длина ствола «Густава»-«Доры» равнялась 40,6 калибра или 32 метрам, а лафет достигал высоты трехэтажного дома. Вес пушки — 1488 тонн. На боевой позиции основные части артсистемы «80 см К(Е)» устанавливались на специальной платформе, перемещавшейся по двум железнодорожным колеям, разнесенным по ширине на 6 метров. Горизонтальная наводка орудия осуществлялась путем его перемещения по железнодорожным кривым («усам») определенного радиуса. Снаряды для этих артустановок были двух типов: бетонобойный ве­ сом 7100 кг и фугасный весом 4800 кг и длиной 5,2 м. Бетонобойный снаряд пробивал бронеплиту толщиной 1 метр или железобетонное перекрытие толщиной 8 метров. В обычном земляном грунте снаряд достигал глубины 32 метров. Дальность стрельбы — до 48 километров. На производство одного выстрела артиллерийскому расчету требовалось 20 минут (11454).</w:t>
      </w:r>
    </w:p>
    <w:p w14:paraId="6B557E6B" w14:textId="77777777" w:rsidR="00AE7191" w:rsidRPr="001E2C69" w:rsidRDefault="00AE7191" w:rsidP="00722885">
      <w:pPr>
        <w:pStyle w:val="afff5"/>
        <w:jc w:val="both"/>
        <w:rPr>
          <w:i w:val="0"/>
          <w:iCs w:val="0"/>
          <w:color w:val="000000" w:themeColor="text1"/>
          <w:spacing w:val="0"/>
          <w:kern w:val="0"/>
          <w:position w:val="0"/>
          <w:sz w:val="16"/>
          <w:szCs w:val="16"/>
        </w:rPr>
      </w:pPr>
    </w:p>
    <w:p w14:paraId="49DFC6D5"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28DBABE0" w14:textId="77777777" w:rsidR="00AE7191" w:rsidRPr="001E2C69" w:rsidRDefault="00AE7191" w:rsidP="00722885">
      <w:pPr>
        <w:pStyle w:val="Iauiue"/>
        <w:jc w:val="both"/>
        <w:rPr>
          <w:iCs/>
          <w:color w:val="000000" w:themeColor="text1"/>
          <w:sz w:val="16"/>
          <w:szCs w:val="16"/>
        </w:rPr>
      </w:pPr>
    </w:p>
    <w:p w14:paraId="0E5D89B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конце лета 1942 г. особо активно развернулась работа по совершенствованию яковлевских истребителей. Среди множества вопросов, которые стояли на повестке дня, отметим наиболее важные, направленные на:</w:t>
      </w:r>
    </w:p>
    <w:p w14:paraId="3578128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усиление бронезащиты и отработки системы нейтрального газа:</w:t>
      </w:r>
    </w:p>
    <w:p w14:paraId="5A6CC7D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повышение качества металлизации и экранировки электрооборудования самолетов, что позволило бы улучшить радиосвязь;</w:t>
      </w:r>
    </w:p>
    <w:p w14:paraId="1A3AB542"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облегчение и упрощение конструкции, с учетом требований военного времени;</w:t>
      </w:r>
    </w:p>
    <w:p w14:paraId="5948630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улучшение обзора передней и задней полусферы;</w:t>
      </w:r>
    </w:p>
    <w:p w14:paraId="490B799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 разработку трудновоспламеняемого покрытия деревянных и полотняных частей самолета (4537).</w:t>
      </w:r>
    </w:p>
    <w:p w14:paraId="5843F689" w14:textId="77777777" w:rsidR="00AE7191" w:rsidRPr="001E2C69" w:rsidRDefault="00AE7191" w:rsidP="00722885">
      <w:pPr>
        <w:pStyle w:val="Iauiue"/>
        <w:jc w:val="both"/>
        <w:rPr>
          <w:color w:val="000000" w:themeColor="text1"/>
          <w:sz w:val="16"/>
          <w:szCs w:val="16"/>
        </w:rPr>
      </w:pPr>
    </w:p>
    <w:p w14:paraId="676AD94C" w14:textId="77777777" w:rsidR="00AB5DE8" w:rsidRPr="008A2E5A" w:rsidRDefault="00AB5DE8" w:rsidP="00AB5D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концу лета 1942 г. завод № 153, располагая производственными мощно</w:t>
      </w:r>
      <w:r w:rsidRPr="008A2E5A">
        <w:rPr>
          <w:rFonts w:ascii="Times New Roman" w:hAnsi="Times New Roman"/>
          <w:color w:val="0070C0"/>
          <w:sz w:val="16"/>
          <w:szCs w:val="16"/>
        </w:rPr>
        <w:softHyphen/>
        <w:t>стями для выпуска 12 самолетов в день, не мог развернуть производство на полную мощность из-за недопоставок моторов, винтов, радиоап</w:t>
      </w:r>
      <w:r w:rsidRPr="008A2E5A">
        <w:rPr>
          <w:rFonts w:ascii="Times New Roman" w:hAnsi="Times New Roman"/>
          <w:color w:val="0070C0"/>
          <w:sz w:val="16"/>
          <w:szCs w:val="16"/>
        </w:rPr>
        <w:softHyphen/>
        <w:t>паратуры и листового дюраля. Например, в июне на за</w:t>
      </w:r>
      <w:r w:rsidRPr="008A2E5A">
        <w:rPr>
          <w:rFonts w:ascii="Times New Roman" w:hAnsi="Times New Roman"/>
          <w:color w:val="0070C0"/>
          <w:sz w:val="16"/>
          <w:szCs w:val="16"/>
        </w:rPr>
        <w:softHyphen/>
        <w:t>вод отправили всего 177 моторов при плановом задании в 225 машин, а 183 мотора для июльской программы по</w:t>
      </w:r>
      <w:r w:rsidRPr="008A2E5A">
        <w:rPr>
          <w:rFonts w:ascii="Times New Roman" w:hAnsi="Times New Roman"/>
          <w:color w:val="0070C0"/>
          <w:sz w:val="16"/>
          <w:szCs w:val="16"/>
        </w:rPr>
        <w:softHyphen/>
        <w:t>ступили на завод лишь в конце месяца. Отчасти это про</w:t>
      </w:r>
      <w:r w:rsidRPr="008A2E5A">
        <w:rPr>
          <w:rFonts w:ascii="Times New Roman" w:hAnsi="Times New Roman"/>
          <w:color w:val="0070C0"/>
          <w:sz w:val="16"/>
          <w:szCs w:val="16"/>
        </w:rPr>
        <w:softHyphen/>
        <w:t>исходило согласно постановлению ГКО №1049сс, давав</w:t>
      </w:r>
      <w:r w:rsidRPr="008A2E5A">
        <w:rPr>
          <w:rFonts w:ascii="Times New Roman" w:hAnsi="Times New Roman"/>
          <w:color w:val="0070C0"/>
          <w:sz w:val="16"/>
          <w:szCs w:val="16"/>
        </w:rPr>
        <w:softHyphen/>
        <w:t>шему приоритет в снабжении моторами и другими гото</w:t>
      </w:r>
      <w:r w:rsidRPr="008A2E5A">
        <w:rPr>
          <w:rFonts w:ascii="Times New Roman" w:hAnsi="Times New Roman"/>
          <w:color w:val="0070C0"/>
          <w:sz w:val="16"/>
          <w:szCs w:val="16"/>
        </w:rPr>
        <w:softHyphen/>
        <w:t>выми изделиями Саратовскому авиазаводу.</w:t>
      </w:r>
    </w:p>
    <w:p w14:paraId="091F2329" w14:textId="77777777" w:rsidR="00AB5DE8" w:rsidRPr="008A2E5A" w:rsidRDefault="00AB5DE8" w:rsidP="00AB5D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того, за счет использования оборудования эва</w:t>
      </w:r>
      <w:r w:rsidRPr="008A2E5A">
        <w:rPr>
          <w:rFonts w:ascii="Times New Roman" w:hAnsi="Times New Roman"/>
          <w:color w:val="0070C0"/>
          <w:sz w:val="16"/>
          <w:szCs w:val="16"/>
        </w:rPr>
        <w:softHyphen/>
        <w:t>куированных предприятий производство заготовитель</w:t>
      </w:r>
      <w:r w:rsidRPr="008A2E5A">
        <w:rPr>
          <w:rFonts w:ascii="Times New Roman" w:hAnsi="Times New Roman"/>
          <w:color w:val="0070C0"/>
          <w:sz w:val="16"/>
          <w:szCs w:val="16"/>
        </w:rPr>
        <w:softHyphen/>
        <w:t>ных цехов намного превысило существующие мощно</w:t>
      </w:r>
      <w:r w:rsidRPr="008A2E5A">
        <w:rPr>
          <w:rFonts w:ascii="Times New Roman" w:hAnsi="Times New Roman"/>
          <w:color w:val="0070C0"/>
          <w:sz w:val="16"/>
          <w:szCs w:val="16"/>
        </w:rPr>
        <w:softHyphen/>
        <w:t>сти сборочного цеха. Создавшуюся ситуацию оперативно разрешили путем отправки части уже изготовленных аг</w:t>
      </w:r>
      <w:r w:rsidRPr="008A2E5A">
        <w:rPr>
          <w:rFonts w:ascii="Times New Roman" w:hAnsi="Times New Roman"/>
          <w:color w:val="0070C0"/>
          <w:sz w:val="16"/>
          <w:szCs w:val="16"/>
        </w:rPr>
        <w:softHyphen/>
        <w:t>регатов самолета без моторов, винтов и других готовых изделий для сборки и сдачи ВВС КА на завод №82. В связи с переходом завода №21 на выпуск само</w:t>
      </w:r>
      <w:r w:rsidRPr="008A2E5A">
        <w:rPr>
          <w:rFonts w:ascii="Times New Roman" w:hAnsi="Times New Roman"/>
          <w:color w:val="0070C0"/>
          <w:sz w:val="16"/>
          <w:szCs w:val="16"/>
        </w:rPr>
        <w:softHyphen/>
        <w:t>летов Ла-5 с мотором М-82 ситуация с поставкой моторов М-105ПФ в Новосибирск нормализовалась, и с сентября 1942 г. с завода №153 стали отправлять по железной до</w:t>
      </w:r>
      <w:r w:rsidRPr="008A2E5A">
        <w:rPr>
          <w:rFonts w:ascii="Times New Roman" w:hAnsi="Times New Roman"/>
          <w:color w:val="0070C0"/>
          <w:sz w:val="16"/>
          <w:szCs w:val="16"/>
        </w:rPr>
        <w:softHyphen/>
        <w:t>роге только готовые к бою самолеты. Для планируемого увеличения авиавыпуска к концу ноября до 14 самолетов в сутки завод им.Чкалова постановлением ГКО №2248сс от 6 сентября 1942 г. приравняли по снабжению к заводам №21 и №292, а для решения проблемы доставки рабочих из города заводу №153 дополнительно выделили 25 еди</w:t>
      </w:r>
      <w:r w:rsidRPr="008A2E5A">
        <w:rPr>
          <w:rFonts w:ascii="Times New Roman" w:hAnsi="Times New Roman"/>
          <w:color w:val="0070C0"/>
          <w:sz w:val="16"/>
          <w:szCs w:val="16"/>
        </w:rPr>
        <w:softHyphen/>
        <w:t>ниц грузового автотранспорта и передали из Москвы 10 трамвайных составов (23381).</w:t>
      </w:r>
    </w:p>
    <w:p w14:paraId="0A949A9D" w14:textId="77777777" w:rsidR="00AB5DE8" w:rsidRPr="008A2E5A" w:rsidRDefault="00AB5DE8" w:rsidP="00AB5DE8">
      <w:pPr>
        <w:spacing w:after="0" w:line="240" w:lineRule="auto"/>
        <w:jc w:val="both"/>
        <w:rPr>
          <w:rFonts w:ascii="Times New Roman" w:hAnsi="Times New Roman"/>
          <w:color w:val="0070C0"/>
          <w:sz w:val="16"/>
          <w:szCs w:val="16"/>
        </w:rPr>
      </w:pPr>
    </w:p>
    <w:p w14:paraId="6ED442CF" w14:textId="5AD9345A" w:rsidR="00AB5DE8" w:rsidRDefault="00AB5DE8" w:rsidP="00722885">
      <w:pPr>
        <w:pStyle w:val="Iauiue"/>
        <w:jc w:val="both"/>
        <w:rPr>
          <w:i/>
          <w:iCs/>
          <w:color w:val="000000" w:themeColor="text1"/>
          <w:sz w:val="16"/>
          <w:szCs w:val="16"/>
        </w:rPr>
      </w:pPr>
      <w:r>
        <w:rPr>
          <w:i/>
          <w:iCs/>
          <w:color w:val="000000" w:themeColor="text1"/>
          <w:sz w:val="16"/>
          <w:szCs w:val="16"/>
        </w:rPr>
        <w:t>Жругие оборонные отрасли:</w:t>
      </w:r>
    </w:p>
    <w:p w14:paraId="7AEC1C25" w14:textId="77777777" w:rsidR="00AB5DE8" w:rsidRDefault="00AB5DE8" w:rsidP="00722885">
      <w:pPr>
        <w:pStyle w:val="Iauiue"/>
        <w:jc w:val="both"/>
        <w:rPr>
          <w:i/>
          <w:iCs/>
          <w:color w:val="000000" w:themeColor="text1"/>
          <w:sz w:val="16"/>
          <w:szCs w:val="16"/>
        </w:rPr>
      </w:pPr>
    </w:p>
    <w:p w14:paraId="030ABBDF" w14:textId="77777777" w:rsidR="00AB5DE8" w:rsidRPr="008A2E5A" w:rsidRDefault="00AB5DE8" w:rsidP="00AB5D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конца лета 1942 г. на заводе № 112 наблюдался бурный рост производства, который уже в сентябре сменился спадом. Весь последующий период (с сентября 1942 по осень 1943 гг.) в целом падение продолжилось, периодически сменяемое отдельными, пусть и очень бурными успехами (декабрь, май). Осенью произошла некоторая стабилизация выпуска танков, когда больше не наблюдалось резких колебаний. И только с началом 1944 г. начался медленный, но неуклонный рост производства, завершившийся полной стабилизацией выпуска танков к лету того же года. Начиная с июня 1944 г. завод вышел на полное выполнение производственных заданий (23540).</w:t>
      </w:r>
    </w:p>
    <w:p w14:paraId="4DD616EE" w14:textId="77777777" w:rsidR="00AB5DE8" w:rsidRPr="008A2E5A" w:rsidRDefault="00AB5DE8" w:rsidP="00AB5DE8">
      <w:pPr>
        <w:spacing w:after="0" w:line="240" w:lineRule="auto"/>
        <w:jc w:val="both"/>
        <w:rPr>
          <w:rFonts w:ascii="Times New Roman" w:hAnsi="Times New Roman"/>
          <w:color w:val="0070C0"/>
          <w:sz w:val="16"/>
          <w:szCs w:val="16"/>
        </w:rPr>
      </w:pPr>
    </w:p>
    <w:p w14:paraId="2D61F61F" w14:textId="06BC434A" w:rsidR="00AB5DE8" w:rsidRDefault="00AB5DE8" w:rsidP="00722885">
      <w:pPr>
        <w:pStyle w:val="Iauiue"/>
        <w:jc w:val="both"/>
        <w:rPr>
          <w:i/>
          <w:iCs/>
          <w:color w:val="000000" w:themeColor="text1"/>
          <w:sz w:val="16"/>
          <w:szCs w:val="16"/>
        </w:rPr>
      </w:pPr>
      <w:r>
        <w:rPr>
          <w:i/>
          <w:iCs/>
          <w:color w:val="000000" w:themeColor="text1"/>
          <w:sz w:val="16"/>
          <w:szCs w:val="16"/>
        </w:rPr>
        <w:t>Внешняя политика:</w:t>
      </w:r>
    </w:p>
    <w:p w14:paraId="05B483CE" w14:textId="77777777" w:rsidR="00AB5DE8" w:rsidRDefault="00AB5DE8" w:rsidP="00722885">
      <w:pPr>
        <w:pStyle w:val="Iauiue"/>
        <w:jc w:val="both"/>
        <w:rPr>
          <w:i/>
          <w:iCs/>
          <w:color w:val="000000" w:themeColor="text1"/>
          <w:sz w:val="16"/>
          <w:szCs w:val="16"/>
        </w:rPr>
      </w:pPr>
    </w:p>
    <w:p w14:paraId="79313AE1" w14:textId="77777777" w:rsidR="00AB5DE8" w:rsidRPr="008A2E5A" w:rsidRDefault="00AB5DE8" w:rsidP="00AB5D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конце лета 1942 г. советский посол в Лондоне И.М. Майский запросил бри</w:t>
      </w:r>
      <w:r w:rsidRPr="008A2E5A">
        <w:rPr>
          <w:rFonts w:ascii="Times New Roman" w:hAnsi="Times New Roman"/>
          <w:color w:val="0070C0"/>
          <w:sz w:val="16"/>
          <w:szCs w:val="16"/>
        </w:rPr>
        <w:softHyphen/>
        <w:t>танское правительство о возможности передачи СССР каких-либо транспортных самолетов, которых тогда остро не хвата</w:t>
      </w:r>
      <w:r w:rsidRPr="008A2E5A">
        <w:rPr>
          <w:rFonts w:ascii="Times New Roman" w:hAnsi="Times New Roman"/>
          <w:color w:val="0070C0"/>
          <w:sz w:val="16"/>
          <w:szCs w:val="16"/>
        </w:rPr>
        <w:softHyphen/>
        <w:t>ло. В сентябре И.М. Майскому ответили, что могут поделиться бомбардировщика</w:t>
      </w:r>
      <w:r w:rsidRPr="008A2E5A">
        <w:rPr>
          <w:rFonts w:ascii="Times New Roman" w:hAnsi="Times New Roman"/>
          <w:color w:val="0070C0"/>
          <w:sz w:val="16"/>
          <w:szCs w:val="16"/>
        </w:rPr>
        <w:softHyphen/>
        <w:t>ми «Албемарл», доработанными в транс</w:t>
      </w:r>
      <w:r w:rsidRPr="008A2E5A">
        <w:rPr>
          <w:rFonts w:ascii="Times New Roman" w:hAnsi="Times New Roman"/>
          <w:color w:val="0070C0"/>
          <w:sz w:val="16"/>
          <w:szCs w:val="16"/>
        </w:rPr>
        <w:softHyphen/>
        <w:t>портный вариант (23513).</w:t>
      </w:r>
    </w:p>
    <w:p w14:paraId="70ACC568" w14:textId="77777777" w:rsidR="00AB5DE8" w:rsidRPr="008A2E5A" w:rsidRDefault="00AB5DE8" w:rsidP="00AB5DE8">
      <w:pPr>
        <w:spacing w:after="0" w:line="240" w:lineRule="auto"/>
        <w:jc w:val="both"/>
        <w:rPr>
          <w:rFonts w:ascii="Times New Roman" w:hAnsi="Times New Roman"/>
          <w:color w:val="0070C0"/>
          <w:sz w:val="16"/>
          <w:szCs w:val="16"/>
        </w:rPr>
      </w:pPr>
    </w:p>
    <w:p w14:paraId="3DC94631" w14:textId="6B43121A" w:rsidR="00AB5DE8" w:rsidRDefault="00AB5DE8" w:rsidP="00722885">
      <w:pPr>
        <w:pStyle w:val="Iauiue"/>
        <w:jc w:val="both"/>
        <w:rPr>
          <w:i/>
          <w:iCs/>
          <w:color w:val="000000" w:themeColor="text1"/>
          <w:sz w:val="16"/>
          <w:szCs w:val="16"/>
        </w:rPr>
      </w:pPr>
      <w:r>
        <w:rPr>
          <w:i/>
          <w:iCs/>
          <w:color w:val="000000" w:themeColor="text1"/>
          <w:sz w:val="16"/>
          <w:szCs w:val="16"/>
        </w:rPr>
        <w:t>За рубежом:</w:t>
      </w:r>
    </w:p>
    <w:p w14:paraId="44BC7C2B" w14:textId="77777777" w:rsidR="00AB5DE8" w:rsidRDefault="00AB5DE8" w:rsidP="00722885">
      <w:pPr>
        <w:pStyle w:val="Iauiue"/>
        <w:jc w:val="both"/>
        <w:rPr>
          <w:i/>
          <w:iCs/>
          <w:color w:val="000000" w:themeColor="text1"/>
          <w:sz w:val="16"/>
          <w:szCs w:val="16"/>
        </w:rPr>
      </w:pPr>
    </w:p>
    <w:p w14:paraId="27E59DE7" w14:textId="77777777" w:rsidR="00AB5DE8" w:rsidRPr="008A2E5A" w:rsidRDefault="00AB5DE8" w:rsidP="00AB5D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лета 1942 г. было принято ре</w:t>
      </w:r>
      <w:r w:rsidRPr="008A2E5A">
        <w:rPr>
          <w:rFonts w:ascii="Times New Roman" w:hAnsi="Times New Roman"/>
          <w:color w:val="0070C0"/>
          <w:sz w:val="16"/>
          <w:szCs w:val="16"/>
        </w:rPr>
        <w:softHyphen/>
        <w:t>шение о целесообразности переделки небольшой партии бомбардировщиков Ju 88А-4 в противотанковые Ju88P-l. В марте 1943 г. был конкретизирован объ</w:t>
      </w:r>
      <w:r w:rsidRPr="008A2E5A">
        <w:rPr>
          <w:rFonts w:ascii="Times New Roman" w:hAnsi="Times New Roman"/>
          <w:color w:val="0070C0"/>
          <w:sz w:val="16"/>
          <w:szCs w:val="16"/>
        </w:rPr>
        <w:softHyphen/>
        <w:t>ем партии - 13 машин. Спустя месяц ко</w:t>
      </w:r>
      <w:r w:rsidRPr="008A2E5A">
        <w:rPr>
          <w:rFonts w:ascii="Times New Roman" w:hAnsi="Times New Roman"/>
          <w:color w:val="0070C0"/>
          <w:sz w:val="16"/>
          <w:szCs w:val="16"/>
        </w:rPr>
        <w:softHyphen/>
        <w:t>личество заказанных Р-1 увеличили до 30 единиц, но к началу июня было выпуще</w:t>
      </w:r>
      <w:r w:rsidRPr="008A2E5A">
        <w:rPr>
          <w:rFonts w:ascii="Times New Roman" w:hAnsi="Times New Roman"/>
          <w:color w:val="0070C0"/>
          <w:sz w:val="16"/>
          <w:szCs w:val="16"/>
        </w:rPr>
        <w:softHyphen/>
        <w:t>но только шесть машин. Официально причиной столь низкого темпа переобо</w:t>
      </w:r>
      <w:r w:rsidRPr="008A2E5A">
        <w:rPr>
          <w:rFonts w:ascii="Times New Roman" w:hAnsi="Times New Roman"/>
          <w:color w:val="0070C0"/>
          <w:sz w:val="16"/>
          <w:szCs w:val="16"/>
        </w:rPr>
        <w:softHyphen/>
        <w:t>рудования считается нехватка дефицит</w:t>
      </w:r>
      <w:r w:rsidRPr="008A2E5A">
        <w:rPr>
          <w:rFonts w:ascii="Times New Roman" w:hAnsi="Times New Roman"/>
          <w:color w:val="0070C0"/>
          <w:sz w:val="16"/>
          <w:szCs w:val="16"/>
        </w:rPr>
        <w:softHyphen/>
        <w:t>ных 75-мм противотанковых орудий, с которыми "жадный вермахт" никак не хотел расстаться (не верится в то, что 30 орудий для немцев представляли такую уж ценность). Вероятно, в этот период, проанализировав результаты испытаний, в техническом управлении люфтваффе сообразили, что для пробивания относи</w:t>
      </w:r>
      <w:r w:rsidRPr="008A2E5A">
        <w:rPr>
          <w:rFonts w:ascii="Times New Roman" w:hAnsi="Times New Roman"/>
          <w:color w:val="0070C0"/>
          <w:sz w:val="16"/>
          <w:szCs w:val="16"/>
        </w:rPr>
        <w:softHyphen/>
        <w:t>тельно тонкой верхней брони танка дос</w:t>
      </w:r>
      <w:r w:rsidRPr="008A2E5A">
        <w:rPr>
          <w:rFonts w:ascii="Times New Roman" w:hAnsi="Times New Roman"/>
          <w:color w:val="0070C0"/>
          <w:sz w:val="16"/>
          <w:szCs w:val="16"/>
        </w:rPr>
        <w:softHyphen/>
        <w:t>таточно орудия меньшего калибра. И "жадный вермахт" тут же передал в рас</w:t>
      </w:r>
      <w:r w:rsidRPr="008A2E5A">
        <w:rPr>
          <w:rFonts w:ascii="Times New Roman" w:hAnsi="Times New Roman"/>
          <w:color w:val="0070C0"/>
          <w:sz w:val="16"/>
          <w:szCs w:val="16"/>
        </w:rPr>
        <w:softHyphen/>
        <w:t>поряжение люфтваффе 300 противотан</w:t>
      </w:r>
      <w:r w:rsidRPr="008A2E5A">
        <w:rPr>
          <w:rFonts w:ascii="Times New Roman" w:hAnsi="Times New Roman"/>
          <w:color w:val="0070C0"/>
          <w:sz w:val="16"/>
          <w:szCs w:val="16"/>
        </w:rPr>
        <w:softHyphen/>
        <w:t>ковых пушек ВК 5 (KWK 39) калибра 50 мм. Из запланированной серии Ju 88Р-1 с 75-миллиметровками к сентябрю 1943 г. было изготовлено всего 18 машин.</w:t>
      </w:r>
    </w:p>
    <w:p w14:paraId="2EE77DE9" w14:textId="77777777" w:rsidR="00AB5DE8" w:rsidRPr="008A2E5A" w:rsidRDefault="00AB5DE8" w:rsidP="00AB5D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Пушка и крупногабаритный обтека</w:t>
      </w:r>
      <w:r w:rsidRPr="008A2E5A">
        <w:rPr>
          <w:rFonts w:ascii="Times New Roman" w:hAnsi="Times New Roman"/>
          <w:color w:val="0070C0"/>
          <w:sz w:val="16"/>
          <w:szCs w:val="16"/>
        </w:rPr>
        <w:softHyphen/>
        <w:t>тель сделали Ju 88Р-1 очень сложным в управлении и уязвимым для истребите</w:t>
      </w:r>
      <w:r w:rsidRPr="008A2E5A">
        <w:rPr>
          <w:rFonts w:ascii="Times New Roman" w:hAnsi="Times New Roman"/>
          <w:color w:val="0070C0"/>
          <w:sz w:val="16"/>
          <w:szCs w:val="16"/>
        </w:rPr>
        <w:softHyphen/>
        <w:t>лей, хотя гондолу с орудием можно было сбросить с помощью пиротехнических устройств в экстремальной ситуации, например, в случае выхода из строя од</w:t>
      </w:r>
      <w:r w:rsidRPr="008A2E5A">
        <w:rPr>
          <w:rFonts w:ascii="Times New Roman" w:hAnsi="Times New Roman"/>
          <w:color w:val="0070C0"/>
          <w:sz w:val="16"/>
          <w:szCs w:val="16"/>
        </w:rPr>
        <w:softHyphen/>
        <w:t>ного из двигателей. Экипаж машины состоял из трех человек. Стрелковое во</w:t>
      </w:r>
      <w:r w:rsidRPr="008A2E5A">
        <w:rPr>
          <w:rFonts w:ascii="Times New Roman" w:hAnsi="Times New Roman"/>
          <w:color w:val="0070C0"/>
          <w:sz w:val="16"/>
          <w:szCs w:val="16"/>
        </w:rPr>
        <w:softHyphen/>
        <w:t>оружение включало курсовой пулемет MG 81 и два MG 8IZ в нижней и верх</w:t>
      </w:r>
      <w:r w:rsidRPr="008A2E5A">
        <w:rPr>
          <w:rFonts w:ascii="Times New Roman" w:hAnsi="Times New Roman"/>
          <w:color w:val="0070C0"/>
          <w:sz w:val="16"/>
          <w:szCs w:val="16"/>
        </w:rPr>
        <w:softHyphen/>
        <w:t>ней задних оборонительных установках. Двигатели Jumo2IIJ-2 были защищены броней, а консольные баки сняты. С нормальной взлетной массой 11 000 кг максимальная скорость Ju 88Р-1 не пре</w:t>
      </w:r>
      <w:r w:rsidRPr="008A2E5A">
        <w:rPr>
          <w:rFonts w:ascii="Times New Roman" w:hAnsi="Times New Roman"/>
          <w:color w:val="0070C0"/>
          <w:sz w:val="16"/>
          <w:szCs w:val="16"/>
        </w:rPr>
        <w:softHyphen/>
        <w:t xml:space="preserve">вышала 390 км/ч. Ju 88Р-1 был непрост в пилотировании даже для опытных летчиков- испытателей. </w:t>
      </w:r>
    </w:p>
    <w:p w14:paraId="01D62911" w14:textId="77777777" w:rsidR="00AB5DE8" w:rsidRPr="008A2E5A" w:rsidRDefault="00AB5DE8" w:rsidP="00AB5D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результатам боевого применения Ju 88Р-1 в составе "эйнзацкоммандо Ju 88(PzJ)" в августе 1943 г. на советско- германском фронте было сочтено, что более удачными противотанковыми са</w:t>
      </w:r>
      <w:r w:rsidRPr="008A2E5A">
        <w:rPr>
          <w:rFonts w:ascii="Times New Roman" w:hAnsi="Times New Roman"/>
          <w:color w:val="0070C0"/>
          <w:sz w:val="16"/>
          <w:szCs w:val="16"/>
        </w:rPr>
        <w:softHyphen/>
        <w:t>молетами являются Ju 87G и Hs 129В. Уцелевшие машины после этого еще раз переоборудовали - в обычные бомбарди</w:t>
      </w:r>
      <w:r w:rsidRPr="008A2E5A">
        <w:rPr>
          <w:rFonts w:ascii="Times New Roman" w:hAnsi="Times New Roman"/>
          <w:color w:val="0070C0"/>
          <w:sz w:val="16"/>
          <w:szCs w:val="16"/>
        </w:rPr>
        <w:softHyphen/>
        <w:t>ровщики (24193).</w:t>
      </w:r>
    </w:p>
    <w:p w14:paraId="0FF2275A" w14:textId="77777777" w:rsidR="00AB5DE8" w:rsidRPr="008A2E5A" w:rsidRDefault="00AB5DE8" w:rsidP="00AB5DE8">
      <w:pPr>
        <w:spacing w:after="0" w:line="240" w:lineRule="auto"/>
        <w:jc w:val="both"/>
        <w:rPr>
          <w:rFonts w:ascii="Times New Roman" w:hAnsi="Times New Roman"/>
          <w:color w:val="0070C0"/>
          <w:sz w:val="16"/>
          <w:szCs w:val="16"/>
        </w:rPr>
      </w:pPr>
    </w:p>
    <w:p w14:paraId="57DC67AF" w14:textId="77777777" w:rsidR="00AB5DE8" w:rsidRPr="008A2E5A" w:rsidRDefault="00AB5DE8" w:rsidP="00AB5D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концу лета 1942 г. Третий рейх достиг пика своего могущества, впервые за всю ис</w:t>
      </w:r>
      <w:r w:rsidRPr="008A2E5A">
        <w:rPr>
          <w:rFonts w:ascii="Times New Roman" w:hAnsi="Times New Roman"/>
          <w:color w:val="0070C0"/>
          <w:sz w:val="16"/>
          <w:szCs w:val="16"/>
        </w:rPr>
        <w:softHyphen/>
        <w:t>торию получив контроль (вместе со своими союзниками) почти над всей территорией Европы. Этот период совпал с зенитом бое</w:t>
      </w:r>
      <w:r w:rsidRPr="008A2E5A">
        <w:rPr>
          <w:rFonts w:ascii="Times New Roman" w:hAnsi="Times New Roman"/>
          <w:color w:val="0070C0"/>
          <w:sz w:val="16"/>
          <w:szCs w:val="16"/>
        </w:rPr>
        <w:softHyphen/>
        <w:t>вой карьеры истребителя FW 190. Вооружен</w:t>
      </w:r>
      <w:r w:rsidRPr="008A2E5A">
        <w:rPr>
          <w:rFonts w:ascii="Times New Roman" w:hAnsi="Times New Roman"/>
          <w:color w:val="0070C0"/>
          <w:sz w:val="16"/>
          <w:szCs w:val="16"/>
        </w:rPr>
        <w:softHyphen/>
        <w:t>ные данной машиной подразделения немец</w:t>
      </w:r>
      <w:r w:rsidRPr="008A2E5A">
        <w:rPr>
          <w:rFonts w:ascii="Times New Roman" w:hAnsi="Times New Roman"/>
          <w:color w:val="0070C0"/>
          <w:sz w:val="16"/>
          <w:szCs w:val="16"/>
        </w:rPr>
        <w:softHyphen/>
        <w:t>ких истребительных эскадр сравнительно легко брали верх над любым соперником, встреченным в небе. В дальнейшем положе</w:t>
      </w:r>
      <w:r w:rsidRPr="008A2E5A">
        <w:rPr>
          <w:rFonts w:ascii="Times New Roman" w:hAnsi="Times New Roman"/>
          <w:color w:val="0070C0"/>
          <w:sz w:val="16"/>
          <w:szCs w:val="16"/>
        </w:rPr>
        <w:softHyphen/>
        <w:t>ние «сто девяностого» стало ухудшаться, что потребовало от его конструкторов быстрых и эффективных решений (24190).</w:t>
      </w:r>
    </w:p>
    <w:p w14:paraId="3D829A10" w14:textId="77777777" w:rsidR="00AB5DE8" w:rsidRPr="008A2E5A" w:rsidRDefault="00AB5DE8" w:rsidP="00AB5DE8">
      <w:pPr>
        <w:spacing w:after="0" w:line="240" w:lineRule="auto"/>
        <w:jc w:val="both"/>
        <w:rPr>
          <w:rFonts w:ascii="Times New Roman" w:hAnsi="Times New Roman"/>
          <w:color w:val="0070C0"/>
          <w:sz w:val="16"/>
          <w:szCs w:val="16"/>
        </w:rPr>
      </w:pPr>
    </w:p>
    <w:p w14:paraId="4255C275" w14:textId="6D969419"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Авиапромышленность:</w:t>
      </w:r>
    </w:p>
    <w:p w14:paraId="6F11D06D" w14:textId="77777777" w:rsidR="00AE7191" w:rsidRPr="001E2C69" w:rsidRDefault="00AE7191" w:rsidP="00722885">
      <w:pPr>
        <w:pStyle w:val="Iauiue"/>
        <w:jc w:val="both"/>
        <w:rPr>
          <w:iCs/>
          <w:color w:val="000000" w:themeColor="text1"/>
          <w:sz w:val="16"/>
          <w:szCs w:val="16"/>
        </w:rPr>
      </w:pPr>
    </w:p>
    <w:p w14:paraId="1975E23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августа — сентября 1942 на аэродроме НИИ ВВС в Колъцово доводился и проходили заводские испытания Ил-2 М-82 адноместного, постройки завода № 381 28 авпреля 1942. Самолет летал с полной загрузкой горючим и маслом, безбомб и боеприпасов. Общий налет к 17 августа составил 6 ч 6 мин (8 полетов). В воздухе самолет вел себя устойчиво. Макси</w:t>
      </w:r>
      <w:r w:rsidRPr="001E2C69">
        <w:rPr>
          <w:rFonts w:ascii="Times New Roman" w:hAnsi="Times New Roman"/>
          <w:color w:val="000000" w:themeColor="text1"/>
          <w:sz w:val="16"/>
          <w:szCs w:val="16"/>
        </w:rPr>
        <w:softHyphen/>
        <w:t>мальная скорость у земли достигала 375 км/ч. Мотор работал хо</w:t>
      </w:r>
      <w:r w:rsidRPr="001E2C69">
        <w:rPr>
          <w:rFonts w:ascii="Times New Roman" w:hAnsi="Times New Roman"/>
          <w:color w:val="000000" w:themeColor="text1"/>
          <w:sz w:val="16"/>
          <w:szCs w:val="16"/>
        </w:rPr>
        <w:softHyphen/>
        <w:t>рошо. Однако после каждого полета появлялись трещины на сек</w:t>
      </w:r>
      <w:r w:rsidRPr="001E2C69">
        <w:rPr>
          <w:rFonts w:ascii="Times New Roman" w:hAnsi="Times New Roman"/>
          <w:color w:val="000000" w:themeColor="text1"/>
          <w:sz w:val="16"/>
          <w:szCs w:val="16"/>
        </w:rPr>
        <w:softHyphen/>
        <w:t>циях выхлопного коллектора. Пришлось поставить коллектор из нержавеющей стали толщиной 1,5 мм. Усилили крепление бро</w:t>
      </w:r>
      <w:r w:rsidRPr="001E2C69">
        <w:rPr>
          <w:rFonts w:ascii="Times New Roman" w:hAnsi="Times New Roman"/>
          <w:color w:val="000000" w:themeColor="text1"/>
          <w:sz w:val="16"/>
          <w:szCs w:val="16"/>
        </w:rPr>
        <w:softHyphen/>
        <w:t>невых нижних крышек капота мотора. 25 августа при проведении испытаний на определение границ высотности прогорел выхлоп</w:t>
      </w:r>
      <w:r w:rsidRPr="001E2C69">
        <w:rPr>
          <w:rFonts w:ascii="Times New Roman" w:hAnsi="Times New Roman"/>
          <w:color w:val="000000" w:themeColor="text1"/>
          <w:sz w:val="16"/>
          <w:szCs w:val="16"/>
        </w:rPr>
        <w:softHyphen/>
        <w:t>ной клапан и обнаружился задир поршня. «Пропала» компрессия. Мотор признали непригодным к эксплуатации. Планирова</w:t>
      </w:r>
      <w:r w:rsidRPr="001E2C69">
        <w:rPr>
          <w:rFonts w:ascii="Times New Roman" w:hAnsi="Times New Roman"/>
          <w:color w:val="000000" w:themeColor="text1"/>
          <w:sz w:val="16"/>
          <w:szCs w:val="16"/>
        </w:rPr>
        <w:softHyphen/>
        <w:t>лась его замена и продолжение полетов. Что с самолетом стало в дальнейшем — неясно (11474,285).</w:t>
      </w:r>
    </w:p>
    <w:p w14:paraId="5A73C16D"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25D058F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течение августа-ноября 1942 г. завод № 24, проведя большую работу по доработке элемен</w:t>
      </w:r>
      <w:r w:rsidRPr="001E2C69">
        <w:rPr>
          <w:color w:val="000000" w:themeColor="text1"/>
          <w:sz w:val="16"/>
          <w:szCs w:val="16"/>
        </w:rPr>
        <w:softHyphen/>
        <w:t>тов конструкции мотора, сумел в целом устранить недостатки в работе мотора и успешно провести внутризаводские 150-часовые испытания на надежность работы его деталей. При этом взлетная мощность мотора составила ~ 1700 л.с. (на "чрезвычайном режиме" кратковре</w:t>
      </w:r>
      <w:r w:rsidRPr="001E2C69">
        <w:rPr>
          <w:color w:val="000000" w:themeColor="text1"/>
          <w:sz w:val="16"/>
          <w:szCs w:val="16"/>
        </w:rPr>
        <w:softHyphen/>
        <w:t>менно могла быть увеличена до 1760 л.с.). Время непрерывной работы мото</w:t>
      </w:r>
      <w:r w:rsidRPr="001E2C69">
        <w:rPr>
          <w:color w:val="000000" w:themeColor="text1"/>
          <w:sz w:val="16"/>
          <w:szCs w:val="16"/>
        </w:rPr>
        <w:softHyphen/>
        <w:t>ра на взлетном режиме устанавливалось не более 5 минут, а общая наработка за 100 часов эксплуатации - не более 3 часов 20 минут. Номинальная мощность мотора на расчетной высоте 750 м со</w:t>
      </w:r>
      <w:r w:rsidRPr="001E2C69">
        <w:rPr>
          <w:color w:val="000000" w:themeColor="text1"/>
          <w:sz w:val="16"/>
          <w:szCs w:val="16"/>
        </w:rPr>
        <w:softHyphen/>
        <w:t>ставила 1500 л. с. (6467).</w:t>
      </w:r>
    </w:p>
    <w:p w14:paraId="44F140C3" w14:textId="77777777" w:rsidR="00AE7191" w:rsidRPr="001E2C69" w:rsidRDefault="00AE7191" w:rsidP="00722885">
      <w:pPr>
        <w:pStyle w:val="Iauiue"/>
        <w:jc w:val="both"/>
        <w:rPr>
          <w:color w:val="000000" w:themeColor="text1"/>
          <w:sz w:val="16"/>
          <w:szCs w:val="16"/>
        </w:rPr>
      </w:pPr>
    </w:p>
    <w:p w14:paraId="19582029" w14:textId="77777777" w:rsidR="00AB5DE8" w:rsidRPr="008A2E5A" w:rsidRDefault="00AB5DE8" w:rsidP="00AB5D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августе-сентябре 1942 г. на Як-1 №0868 были отработаны ре</w:t>
      </w:r>
      <w:r w:rsidRPr="008A2E5A">
        <w:rPr>
          <w:rFonts w:ascii="Times New Roman" w:hAnsi="Times New Roman"/>
          <w:color w:val="0070C0"/>
          <w:sz w:val="16"/>
          <w:szCs w:val="16"/>
        </w:rPr>
        <w:softHyphen/>
        <w:t>комендации ЦАГИ и ЛИИ НКАП по аэродинамическому улучшению (23381)</w:t>
      </w:r>
    </w:p>
    <w:p w14:paraId="64D67419" w14:textId="77777777" w:rsidR="00AB5DE8" w:rsidRPr="008A2E5A" w:rsidRDefault="00AB5DE8" w:rsidP="00AB5DE8">
      <w:pPr>
        <w:spacing w:after="0" w:line="240" w:lineRule="auto"/>
        <w:jc w:val="both"/>
        <w:rPr>
          <w:rFonts w:ascii="Times New Roman" w:hAnsi="Times New Roman"/>
          <w:color w:val="0070C0"/>
          <w:sz w:val="16"/>
          <w:szCs w:val="16"/>
        </w:rPr>
      </w:pPr>
    </w:p>
    <w:p w14:paraId="5E5ECC90" w14:textId="77777777" w:rsidR="000D37D8" w:rsidRPr="001E2C69" w:rsidRDefault="000D37D8"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eastAsia="Times New Roman" w:hAnsi="Times New Roman"/>
          <w:color w:val="000000" w:themeColor="text1"/>
          <w:sz w:val="16"/>
          <w:szCs w:val="16"/>
        </w:rPr>
        <w:t xml:space="preserve">С этой целью командование ВВС РККА в августе-сентябре 1942 г. организовало несколько учебно-показательных воздушных боев Ил-2 с истребителями различных конструкций (как советских - Як-76 и Як-1, так и немецких - </w:t>
      </w:r>
      <w:r w:rsidRPr="001E2C69">
        <w:rPr>
          <w:rFonts w:ascii="Times New Roman" w:eastAsia="Times New Roman" w:hAnsi="Times New Roman"/>
          <w:color w:val="000000" w:themeColor="text1"/>
          <w:sz w:val="16"/>
          <w:szCs w:val="16"/>
          <w:lang w:val="en-US"/>
        </w:rPr>
        <w:t>Bf</w:t>
      </w:r>
      <w:r w:rsidRPr="001E2C69">
        <w:rPr>
          <w:rFonts w:ascii="Times New Roman" w:eastAsia="Times New Roman" w:hAnsi="Times New Roman"/>
          <w:color w:val="000000" w:themeColor="text1"/>
          <w:sz w:val="16"/>
          <w:szCs w:val="16"/>
        </w:rPr>
        <w:t xml:space="preserve"> 109</w:t>
      </w:r>
      <w:r w:rsidRPr="001E2C69">
        <w:rPr>
          <w:rFonts w:ascii="Times New Roman" w:eastAsia="Times New Roman" w:hAnsi="Times New Roman"/>
          <w:color w:val="000000" w:themeColor="text1"/>
          <w:sz w:val="16"/>
          <w:szCs w:val="16"/>
          <w:lang w:val="en-US"/>
        </w:rPr>
        <w:t>F</w:t>
      </w:r>
      <w:r w:rsidRPr="001E2C69">
        <w:rPr>
          <w:rFonts w:ascii="Times New Roman" w:eastAsia="Times New Roman" w:hAnsi="Times New Roman"/>
          <w:color w:val="000000" w:themeColor="text1"/>
          <w:sz w:val="16"/>
          <w:szCs w:val="16"/>
        </w:rPr>
        <w:t xml:space="preserve">), в которых было доказано, что истребитель на вираже вообще не может атаковать «Ил», так как радиус виража у него примерно в 2 раза больше, а время полного виража меньше, чем у штурмовика, почти в 1,5 раза. Резкий сброс штурмовиком скорости приводил к обязательному проскакиванию мессершмитта вперед штурмовика при атаке последнего сзади. Как следствие, </w:t>
      </w:r>
      <w:r w:rsidRPr="001E2C69">
        <w:rPr>
          <w:rFonts w:ascii="Times New Roman" w:eastAsia="Times New Roman" w:hAnsi="Times New Roman"/>
          <w:color w:val="000000" w:themeColor="text1"/>
          <w:sz w:val="16"/>
          <w:szCs w:val="16"/>
          <w:lang w:val="en-US"/>
        </w:rPr>
        <w:t>Bfl</w:t>
      </w:r>
      <w:r w:rsidRPr="001E2C69">
        <w:rPr>
          <w:rFonts w:ascii="Times New Roman" w:eastAsia="Times New Roman" w:hAnsi="Times New Roman"/>
          <w:color w:val="000000" w:themeColor="text1"/>
          <w:sz w:val="16"/>
          <w:szCs w:val="16"/>
        </w:rPr>
        <w:t>09 расстреливался пулеметно-пушечным огнем Ил-2.</w:t>
      </w:r>
    </w:p>
    <w:p w14:paraId="75DAA473" w14:textId="77777777" w:rsidR="000D37D8" w:rsidRPr="001E2C69" w:rsidRDefault="000D37D8"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eastAsia="Times New Roman" w:hAnsi="Times New Roman"/>
          <w:color w:val="000000" w:themeColor="text1"/>
          <w:sz w:val="16"/>
          <w:szCs w:val="16"/>
        </w:rPr>
        <w:t>Показательные воздушные бои, разработка рекомендаций по ведению воздушного боя на самолете Ил-2 с истребителями люфтваффе и, самое главное, усилия комсостава ВВС КА по внедрению в сознание летного состава штурмовых авиачастей веры в боевые возможности и уверенности в своих силах* вскоре сделали свое дело, и в анналах истории войны можно найти множество поучительных примеров успешного проведения воздушных боев штурмовиками с истребителями (20186).</w:t>
      </w:r>
    </w:p>
    <w:p w14:paraId="5FE3BE72" w14:textId="77777777" w:rsidR="000D37D8" w:rsidRPr="001E2C69" w:rsidRDefault="000D37D8" w:rsidP="00722885">
      <w:pPr>
        <w:shd w:val="clear" w:color="auto" w:fill="FFFFFF"/>
        <w:spacing w:after="0" w:line="240" w:lineRule="auto"/>
        <w:jc w:val="both"/>
        <w:rPr>
          <w:rFonts w:ascii="Times New Roman" w:hAnsi="Times New Roman"/>
          <w:color w:val="000000" w:themeColor="text1"/>
          <w:sz w:val="16"/>
          <w:szCs w:val="16"/>
        </w:rPr>
      </w:pPr>
    </w:p>
    <w:p w14:paraId="764E548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августе-сентябре 1942 г. немцы в полностью захватили господство в воздухе. Командированные на Сталин</w:t>
      </w:r>
      <w:r w:rsidRPr="001E2C69">
        <w:rPr>
          <w:rFonts w:ascii="Times New Roman" w:hAnsi="Times New Roman"/>
          <w:color w:val="000000" w:themeColor="text1"/>
          <w:sz w:val="16"/>
          <w:szCs w:val="16"/>
        </w:rPr>
        <w:softHyphen/>
        <w:t>градский и Донской фронты представители НИИ ВВС КА Аноприенко, Зайцев, Степанец в сентябре 1942 г. констатировали, что Як-1 и Як-7 с мотором М-105ПФ уступают немецким истребителям в скорости в опреде</w:t>
      </w:r>
      <w:r w:rsidRPr="001E2C69">
        <w:rPr>
          <w:rFonts w:ascii="Times New Roman" w:hAnsi="Times New Roman"/>
          <w:color w:val="000000" w:themeColor="text1"/>
          <w:sz w:val="16"/>
          <w:szCs w:val="16"/>
        </w:rPr>
        <w:softHyphen/>
        <w:t>ленных диапазонах высот, скороподъемности и верти</w:t>
      </w:r>
      <w:r w:rsidRPr="001E2C69">
        <w:rPr>
          <w:rFonts w:ascii="Times New Roman" w:hAnsi="Times New Roman"/>
          <w:color w:val="000000" w:themeColor="text1"/>
          <w:sz w:val="16"/>
          <w:szCs w:val="16"/>
        </w:rPr>
        <w:softHyphen/>
        <w:t>кальному маневру и способны вести с ними только оборонительные бои. Отмечалось слабое вооружение Як-1 и приводилось мнение фронтовых летчиков о том, что для успешного ведения воздушных боев в этих ус</w:t>
      </w:r>
      <w:r w:rsidRPr="001E2C69">
        <w:rPr>
          <w:rFonts w:ascii="Times New Roman" w:hAnsi="Times New Roman"/>
          <w:color w:val="000000" w:themeColor="text1"/>
          <w:sz w:val="16"/>
          <w:szCs w:val="16"/>
        </w:rPr>
        <w:softHyphen/>
        <w:t>ловиях необходимо иметь двойное превосходство сил. Это же относилось, правда в меньшей степени, и к истребителю Ла-5 (10667).</w:t>
      </w:r>
    </w:p>
    <w:p w14:paraId="360E8BA7"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71044D5"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августе-сентябре 1942 г. прошел летные испытания Як-1 № 0868 с мотором М-105ПФ, переоборудованный по рекомендациям ЦАГИ в ЛИИ НКАП на основе результатов исследований, проведенных с 24 мая по 10 июня 1942 г. (с целью изыскания путей повышения эффективности водо- и маслорадиаторов) и с 20 по 26 июля 1942 г. (с целью изыскания путей увеличения скорости Як-1). Ведущий инженер исследований - А.И. Сильман (ведущий инженер по Як-1 1-й лаборатории ЦАГИ). В его конструкцию, чтобы улучшить работу системы охлаждения воды и масла и увеличить максимальную скорость, были внесены следующие изменения.</w:t>
      </w:r>
    </w:p>
    <w:p w14:paraId="762D7DE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По водорадиатору:</w:t>
      </w:r>
    </w:p>
    <w:p w14:paraId="4A4542D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изменен профиль верхней передней стенки входной части туннеля;</w:t>
      </w:r>
    </w:p>
    <w:p w14:paraId="5E23210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увеличен ход регулирующей заслонки на 50 мм (до 350 мм);</w:t>
      </w:r>
    </w:p>
    <w:p w14:paraId="04B6F65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произведена герметизация туннеля.</w:t>
      </w:r>
    </w:p>
    <w:p w14:paraId="7A15378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По маслорадиатору:</w:t>
      </w:r>
    </w:p>
    <w:p w14:paraId="1B01152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а) уменьшена на 40 % площадь входной части туннеля и сам туннель удлинен до 225 мм;</w:t>
      </w:r>
    </w:p>
    <w:p w14:paraId="13957FF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б) удлинена выходная часть туннеля до 410 мм, а профиль ее верхней стенки выполнен скругленным;</w:t>
      </w:r>
    </w:p>
    <w:p w14:paraId="695AF7C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увеличен ход регулирующей заслонки на 80 мм (до 340 мм);</w:t>
      </w:r>
    </w:p>
    <w:p w14:paraId="61E161D7"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г) произведена герметизация туннеля.</w:t>
      </w:r>
    </w:p>
    <w:p w14:paraId="1E73644D"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Изменена форма сечения и расположение всасывающего патрубка нагнетателя.</w:t>
      </w:r>
    </w:p>
    <w:p w14:paraId="4BDBA6BA"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Установлены обтекатели на выхлопные патрубки на выход трубы продувки картера мотора и кронштейны управления элеронами.</w:t>
      </w:r>
    </w:p>
    <w:p w14:paraId="449815B8"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Установлен обтекатель-козырек на сдвижную часть фонаря кабины.</w:t>
      </w:r>
    </w:p>
    <w:p w14:paraId="1986201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Произведена герметизация фюзеляжа (загерметизирована противопожарная перегородка, установлены фанерная перегородка за бронеспинкой и матерчатая за водорадиа- тором).</w:t>
      </w:r>
    </w:p>
    <w:p w14:paraId="498AE46E"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7. Установлен обтекатель входного отверстия кожухов пулеметов и заделаны патрубки для отвода пороховых газов. </w:t>
      </w:r>
    </w:p>
    <w:p w14:paraId="706A3F60"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 xml:space="preserve">По результатам испытаний внесенные в конструкцию изменения дали прирост скорости на 23 км/ч (у машины № 0868 на высоте 3500 м скорость стала 594 км/ч, а у серийного Як-1 на высоте 3650 м - 571 км/ч). Скороподъемность осталась без изменений. Увеличение скорости можно было считать гарантированным, поскольку на испытания Як-1 № 0868 поступил после эксплуатации в части, где аэродинамические формы подверглись ухудшению за счет нарушения лакокрасочного покрытия, вмятин в металлических деталях, плохой подгонки лючков и зализов. После осуществления уборки хвостового колеса, полного закрытия ниш шасси щитками и улучшения отделки поверхностей самолета удалось достичь скорости 612 км/ч на высоте 3700 м. Квинтэссенцией всех работ по улучшению Як-1 в 1942 г. стал Як-1б (12048). </w:t>
      </w:r>
    </w:p>
    <w:p w14:paraId="370E49E6"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A35D87E" w14:textId="77777777" w:rsidR="005B1690" w:rsidRPr="001E2C69" w:rsidRDefault="005B1690" w:rsidP="00722885">
      <w:pPr>
        <w:pStyle w:val="36"/>
        <w:shd w:val="clear" w:color="auto" w:fill="auto"/>
        <w:spacing w:after="0" w:line="240" w:lineRule="auto"/>
        <w:jc w:val="both"/>
        <w:rPr>
          <w:rStyle w:val="aff8"/>
          <w:rFonts w:ascii="Times New Roman" w:eastAsia="Arial Narrow" w:hAnsi="Times New Roman" w:cs="Times New Roman"/>
          <w:i w:val="0"/>
          <w:color w:val="000000" w:themeColor="text1"/>
          <w:spacing w:val="0"/>
        </w:rPr>
      </w:pPr>
      <w:r w:rsidRPr="001E2C69">
        <w:rPr>
          <w:rFonts w:ascii="Times New Roman" w:cs="Times New Roman"/>
          <w:color w:val="000000" w:themeColor="text1"/>
          <w:spacing w:val="0"/>
          <w:sz w:val="16"/>
          <w:szCs w:val="16"/>
        </w:rPr>
        <w:lastRenderedPageBreak/>
        <w:t>В течение августа-октября 1942 г совмест</w:t>
      </w:r>
      <w:r w:rsidRPr="001E2C69">
        <w:rPr>
          <w:rFonts w:ascii="Times New Roman" w:cs="Times New Roman"/>
          <w:color w:val="000000" w:themeColor="text1"/>
          <w:spacing w:val="0"/>
          <w:sz w:val="16"/>
          <w:szCs w:val="16"/>
        </w:rPr>
        <w:softHyphen/>
        <w:t>ными усилиями ЦНИИ-48, ВВА им. Н.Е. Жуков</w:t>
      </w:r>
      <w:r w:rsidRPr="001E2C69">
        <w:rPr>
          <w:rFonts w:ascii="Times New Roman" w:cs="Times New Roman"/>
          <w:color w:val="000000" w:themeColor="text1"/>
          <w:spacing w:val="0"/>
          <w:sz w:val="16"/>
          <w:szCs w:val="16"/>
        </w:rPr>
        <w:softHyphen/>
        <w:t>ского и завода № 289 был отработан и 17 ноя</w:t>
      </w:r>
      <w:r w:rsidRPr="001E2C69">
        <w:rPr>
          <w:rFonts w:ascii="Times New Roman" w:cs="Times New Roman"/>
          <w:color w:val="000000" w:themeColor="text1"/>
          <w:spacing w:val="0"/>
          <w:sz w:val="16"/>
          <w:szCs w:val="16"/>
        </w:rPr>
        <w:softHyphen/>
        <w:t>бря предъявлен в НИИ ВВС КА</w:t>
      </w:r>
      <w:r w:rsidRPr="001E2C69">
        <w:rPr>
          <w:rStyle w:val="aff8"/>
          <w:rFonts w:ascii="Times New Roman" w:eastAsia="Arial Narrow" w:hAnsi="Times New Roman" w:cs="Times New Roman"/>
          <w:i w:val="0"/>
          <w:color w:val="000000" w:themeColor="text1"/>
          <w:spacing w:val="0"/>
        </w:rPr>
        <w:t xml:space="preserve"> «комплектде</w:t>
      </w:r>
      <w:r w:rsidRPr="001E2C69">
        <w:rPr>
          <w:rStyle w:val="aff8"/>
          <w:rFonts w:ascii="Times New Roman" w:eastAsia="Arial Narrow" w:hAnsi="Times New Roman" w:cs="Times New Roman"/>
          <w:i w:val="0"/>
          <w:color w:val="000000" w:themeColor="text1"/>
          <w:spacing w:val="0"/>
        </w:rPr>
        <w:softHyphen/>
        <w:t>талей усиления существующей бронезащиты летчика самолета Як-1».</w:t>
      </w:r>
    </w:p>
    <w:p w14:paraId="3EBF2EBE" w14:textId="77777777" w:rsidR="005B1690" w:rsidRPr="001E2C69" w:rsidRDefault="005B1690"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Непосредственно в самолете на бронеспинке смонтировали:</w:t>
      </w:r>
    </w:p>
    <w:p w14:paraId="4771081D" w14:textId="77777777" w:rsidR="005B1690" w:rsidRPr="001E2C69" w:rsidRDefault="005B1690" w:rsidP="00722885">
      <w:pPr>
        <w:pStyle w:val="45"/>
        <w:shd w:val="clear" w:color="auto" w:fill="auto"/>
        <w:spacing w:before="0" w:line="240" w:lineRule="auto"/>
        <w:jc w:val="both"/>
        <w:rPr>
          <w:rFonts w:ascii="Times New Roman" w:cs="Times New Roman"/>
          <w:color w:val="000000" w:themeColor="text1"/>
          <w:sz w:val="16"/>
          <w:szCs w:val="16"/>
        </w:rPr>
      </w:pPr>
      <w:r w:rsidRPr="001E2C69">
        <w:rPr>
          <w:rFonts w:ascii="Times New Roman" w:cs="Times New Roman"/>
          <w:color w:val="000000" w:themeColor="text1"/>
          <w:sz w:val="16"/>
          <w:szCs w:val="16"/>
        </w:rPr>
        <w:t>«1) наголовник, крепящийся с помощью петель и болтов к противокапотажной раме;</w:t>
      </w:r>
    </w:p>
    <w:p w14:paraId="56511940" w14:textId="77777777" w:rsidR="005B1690" w:rsidRPr="001E2C69" w:rsidRDefault="005B1690" w:rsidP="00722885">
      <w:pPr>
        <w:pStyle w:val="45"/>
        <w:shd w:val="clear" w:color="auto" w:fill="auto"/>
        <w:spacing w:before="0" w:line="240" w:lineRule="auto"/>
        <w:jc w:val="both"/>
        <w:rPr>
          <w:rFonts w:ascii="Times New Roman" w:cs="Times New Roman"/>
          <w:color w:val="000000" w:themeColor="text1"/>
          <w:sz w:val="16"/>
          <w:szCs w:val="16"/>
        </w:rPr>
      </w:pPr>
      <w:r w:rsidRPr="001E2C69">
        <w:rPr>
          <w:rFonts w:ascii="Times New Roman" w:cs="Times New Roman"/>
          <w:color w:val="000000" w:themeColor="text1"/>
          <w:sz w:val="16"/>
          <w:szCs w:val="16"/>
        </w:rPr>
        <w:t>2) детали защиты плеч и рук (правой и ле</w:t>
      </w:r>
      <w:r w:rsidRPr="001E2C69">
        <w:rPr>
          <w:rFonts w:ascii="Times New Roman" w:cs="Times New Roman"/>
          <w:color w:val="000000" w:themeColor="text1"/>
          <w:sz w:val="16"/>
          <w:szCs w:val="16"/>
        </w:rPr>
        <w:softHyphen/>
        <w:t>вой), крепящиеся болтами к спинке через име</w:t>
      </w:r>
      <w:r w:rsidRPr="001E2C69">
        <w:rPr>
          <w:rFonts w:ascii="Times New Roman" w:cs="Times New Roman"/>
          <w:color w:val="000000" w:themeColor="text1"/>
          <w:sz w:val="16"/>
          <w:szCs w:val="16"/>
        </w:rPr>
        <w:softHyphen/>
        <w:t>ющиеся на спинке отверстия для крепления подушки».</w:t>
      </w:r>
    </w:p>
    <w:p w14:paraId="0042887E" w14:textId="77777777" w:rsidR="005B1690" w:rsidRPr="001E2C69" w:rsidRDefault="005B1690"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В отличие от серийного варианта, предло</w:t>
      </w:r>
      <w:r w:rsidRPr="001E2C69">
        <w:rPr>
          <w:rFonts w:ascii="Times New Roman" w:cs="Times New Roman"/>
          <w:color w:val="000000" w:themeColor="text1"/>
          <w:spacing w:val="0"/>
          <w:sz w:val="16"/>
          <w:szCs w:val="16"/>
        </w:rPr>
        <w:softHyphen/>
        <w:t>женная схема расположения брони гаранти</w:t>
      </w:r>
      <w:r w:rsidRPr="001E2C69">
        <w:rPr>
          <w:rFonts w:ascii="Times New Roman" w:cs="Times New Roman"/>
          <w:color w:val="000000" w:themeColor="text1"/>
          <w:spacing w:val="0"/>
          <w:sz w:val="16"/>
          <w:szCs w:val="16"/>
        </w:rPr>
        <w:softHyphen/>
        <w:t>ровала защиту головы, плеч, обеих рук. Угло</w:t>
      </w:r>
      <w:r w:rsidRPr="001E2C69">
        <w:rPr>
          <w:rFonts w:ascii="Times New Roman" w:cs="Times New Roman"/>
          <w:color w:val="000000" w:themeColor="text1"/>
          <w:spacing w:val="0"/>
          <w:sz w:val="16"/>
          <w:szCs w:val="16"/>
        </w:rPr>
        <w:softHyphen/>
        <w:t>вая защита составляла:</w:t>
      </w:r>
      <w:r w:rsidRPr="001E2C69">
        <w:rPr>
          <w:rStyle w:val="aff8"/>
          <w:rFonts w:ascii="Times New Roman" w:eastAsia="Arial Narrow" w:hAnsi="Times New Roman" w:cs="Times New Roman"/>
          <w:i w:val="0"/>
          <w:color w:val="000000" w:themeColor="text1"/>
          <w:spacing w:val="0"/>
        </w:rPr>
        <w:t xml:space="preserve"> «При обстреле сверху сзади угол защиты головы 30'; при обстреле сбоку сзади угол защиты плеч и рук - 30°; при обстреле сбоку сзади угол защиты нижней ча</w:t>
      </w:r>
      <w:r w:rsidRPr="001E2C69">
        <w:rPr>
          <w:rStyle w:val="aff8"/>
          <w:rFonts w:ascii="Times New Roman" w:eastAsia="Arial Narrow" w:hAnsi="Times New Roman" w:cs="Times New Roman"/>
          <w:i w:val="0"/>
          <w:color w:val="000000" w:themeColor="text1"/>
          <w:spacing w:val="0"/>
        </w:rPr>
        <w:softHyphen/>
        <w:t>сти корпуса - 20°».</w:t>
      </w:r>
      <w:r w:rsidRPr="001E2C69">
        <w:rPr>
          <w:rFonts w:ascii="Times New Roman" w:cs="Times New Roman"/>
          <w:color w:val="000000" w:themeColor="text1"/>
          <w:spacing w:val="0"/>
          <w:sz w:val="16"/>
          <w:szCs w:val="16"/>
        </w:rPr>
        <w:t xml:space="preserve"> При этом дополнительные детали не мешали использованию в полете не</w:t>
      </w:r>
      <w:r w:rsidRPr="001E2C69">
        <w:rPr>
          <w:rFonts w:ascii="Times New Roman" w:cs="Times New Roman"/>
          <w:color w:val="000000" w:themeColor="text1"/>
          <w:spacing w:val="0"/>
          <w:sz w:val="16"/>
          <w:szCs w:val="16"/>
        </w:rPr>
        <w:softHyphen/>
        <w:t>обходимого оборудования, а площадь брони</w:t>
      </w:r>
      <w:r w:rsidRPr="001E2C69">
        <w:rPr>
          <w:rFonts w:ascii="Times New Roman" w:cs="Times New Roman"/>
          <w:color w:val="000000" w:themeColor="text1"/>
          <w:spacing w:val="0"/>
          <w:sz w:val="16"/>
          <w:szCs w:val="16"/>
        </w:rPr>
        <w:softHyphen/>
        <w:t>рования была минимально необходимой, что обеспечило небольшой их вес, равный всего 10,2 кг. Такие детали легко монтировались на самолете при имеющейся бронеспинке и мо</w:t>
      </w:r>
      <w:r w:rsidRPr="001E2C69">
        <w:rPr>
          <w:rFonts w:ascii="Times New Roman" w:cs="Times New Roman"/>
          <w:color w:val="000000" w:themeColor="text1"/>
          <w:spacing w:val="0"/>
          <w:sz w:val="16"/>
          <w:szCs w:val="16"/>
        </w:rPr>
        <w:softHyphen/>
        <w:t>гли быть установлены любой частью ВВС в по</w:t>
      </w:r>
      <w:r w:rsidRPr="001E2C69">
        <w:rPr>
          <w:rFonts w:ascii="Times New Roman" w:cs="Times New Roman"/>
          <w:color w:val="000000" w:themeColor="text1"/>
          <w:spacing w:val="0"/>
          <w:sz w:val="16"/>
          <w:szCs w:val="16"/>
        </w:rPr>
        <w:softHyphen/>
        <w:t>левых условиях.</w:t>
      </w:r>
    </w:p>
    <w:p w14:paraId="137AEDE4" w14:textId="77777777" w:rsidR="005B1690" w:rsidRPr="001E2C69" w:rsidRDefault="005B1690"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Комиссия рекомендовала внедрить допол</w:t>
      </w:r>
      <w:r w:rsidRPr="001E2C69">
        <w:rPr>
          <w:rFonts w:ascii="Times New Roman" w:cs="Times New Roman"/>
          <w:color w:val="000000" w:themeColor="text1"/>
          <w:spacing w:val="0"/>
          <w:sz w:val="16"/>
          <w:szCs w:val="16"/>
        </w:rPr>
        <w:softHyphen/>
        <w:t>нительные детали к серийному изготовлению и установить их на находящиеся в эксплуатации самолеты Як-1 со стандартной бронеспинкой, а также изготовить опытные комплекты допол</w:t>
      </w:r>
      <w:r w:rsidRPr="001E2C69">
        <w:rPr>
          <w:rFonts w:ascii="Times New Roman" w:cs="Times New Roman"/>
          <w:color w:val="000000" w:themeColor="text1"/>
          <w:spacing w:val="0"/>
          <w:sz w:val="16"/>
          <w:szCs w:val="16"/>
        </w:rPr>
        <w:softHyphen/>
        <w:t>нительных деталей усиления бронезащиты на Як-7 и ЛаГГ-3.</w:t>
      </w:r>
    </w:p>
    <w:p w14:paraId="6E050C6F" w14:textId="77777777" w:rsidR="005B1690" w:rsidRPr="001E2C69" w:rsidRDefault="005B1690" w:rsidP="00722885">
      <w:pPr>
        <w:pStyle w:val="36"/>
        <w:shd w:val="clear" w:color="auto" w:fill="auto"/>
        <w:spacing w:after="0" w:line="240" w:lineRule="auto"/>
        <w:jc w:val="both"/>
        <w:rPr>
          <w:rStyle w:val="aff8"/>
          <w:rFonts w:ascii="Times New Roman" w:eastAsia="Arial Narrow" w:hAnsi="Times New Roman" w:cs="Times New Roman"/>
          <w:i w:val="0"/>
          <w:color w:val="000000" w:themeColor="text1"/>
          <w:spacing w:val="0"/>
        </w:rPr>
      </w:pPr>
      <w:r w:rsidRPr="001E2C69">
        <w:rPr>
          <w:rFonts w:ascii="Times New Roman" w:cs="Times New Roman"/>
          <w:color w:val="000000" w:themeColor="text1"/>
          <w:spacing w:val="0"/>
          <w:sz w:val="16"/>
          <w:szCs w:val="16"/>
        </w:rPr>
        <w:t>Имея на руках положительное заключе</w:t>
      </w:r>
      <w:r w:rsidRPr="001E2C69">
        <w:rPr>
          <w:rFonts w:ascii="Times New Roman" w:cs="Times New Roman"/>
          <w:color w:val="000000" w:themeColor="text1"/>
          <w:spacing w:val="0"/>
          <w:sz w:val="16"/>
          <w:szCs w:val="16"/>
        </w:rPr>
        <w:softHyphen/>
        <w:t>ние комиссии, исполняющий обязанности директора ЦНИИ-48 военинженер 1-го ранга Н.П. Гречко 20 ноября обратился к генерал- лейтенанту А.К. Репину с предложением изго</w:t>
      </w:r>
      <w:r w:rsidRPr="001E2C69">
        <w:rPr>
          <w:rFonts w:ascii="Times New Roman" w:cs="Times New Roman"/>
          <w:color w:val="000000" w:themeColor="text1"/>
          <w:spacing w:val="0"/>
          <w:sz w:val="16"/>
          <w:szCs w:val="16"/>
        </w:rPr>
        <w:softHyphen/>
        <w:t>товить на заводе №125 НКАП опытную партию (100 комплектов) дополнительных деталей брони самолета Як-1 для проведения войско</w:t>
      </w:r>
      <w:r w:rsidRPr="001E2C69">
        <w:rPr>
          <w:rFonts w:ascii="Times New Roman" w:cs="Times New Roman"/>
          <w:color w:val="000000" w:themeColor="text1"/>
          <w:spacing w:val="0"/>
          <w:sz w:val="16"/>
          <w:szCs w:val="16"/>
        </w:rPr>
        <w:softHyphen/>
        <w:t>вых испытаний. Предполагалось, что испы</w:t>
      </w:r>
      <w:r w:rsidRPr="001E2C69">
        <w:rPr>
          <w:rFonts w:ascii="Times New Roman" w:cs="Times New Roman"/>
          <w:color w:val="000000" w:themeColor="text1"/>
          <w:spacing w:val="0"/>
          <w:sz w:val="16"/>
          <w:szCs w:val="16"/>
        </w:rPr>
        <w:softHyphen/>
        <w:t>тания позволят</w:t>
      </w:r>
      <w:r w:rsidRPr="001E2C69">
        <w:rPr>
          <w:rStyle w:val="aff8"/>
          <w:rFonts w:ascii="Times New Roman" w:eastAsia="Arial Narrow" w:hAnsi="Times New Roman" w:cs="Times New Roman"/>
          <w:i w:val="0"/>
          <w:color w:val="000000" w:themeColor="text1"/>
          <w:spacing w:val="0"/>
        </w:rPr>
        <w:t xml:space="preserve"> «разрешить вопрос о доста</w:t>
      </w:r>
      <w:r w:rsidRPr="001E2C69">
        <w:rPr>
          <w:rStyle w:val="aff8"/>
          <w:rFonts w:ascii="Times New Roman" w:eastAsia="Arial Narrow" w:hAnsi="Times New Roman" w:cs="Times New Roman"/>
          <w:i w:val="0"/>
          <w:color w:val="000000" w:themeColor="text1"/>
          <w:spacing w:val="0"/>
        </w:rPr>
        <w:softHyphen/>
        <w:t>точности бронирования»,</w:t>
      </w:r>
      <w:r w:rsidRPr="001E2C69">
        <w:rPr>
          <w:rFonts w:ascii="Times New Roman" w:cs="Times New Roman"/>
          <w:color w:val="000000" w:themeColor="text1"/>
          <w:spacing w:val="0"/>
          <w:sz w:val="16"/>
          <w:szCs w:val="16"/>
        </w:rPr>
        <w:t xml:space="preserve"> поскольку</w:t>
      </w:r>
      <w:r w:rsidRPr="001E2C69">
        <w:rPr>
          <w:rStyle w:val="aff8"/>
          <w:rFonts w:ascii="Times New Roman" w:eastAsia="Arial Narrow" w:hAnsi="Times New Roman" w:cs="Times New Roman"/>
          <w:i w:val="0"/>
          <w:color w:val="000000" w:themeColor="text1"/>
          <w:spacing w:val="0"/>
        </w:rPr>
        <w:t xml:space="preserve"> «вопрос с объемом бронирования на одноместных истребителях весьма сложен, так как необхо</w:t>
      </w:r>
      <w:r w:rsidRPr="001E2C69">
        <w:rPr>
          <w:rStyle w:val="aff8"/>
          <w:rFonts w:ascii="Times New Roman" w:eastAsia="Arial Narrow" w:hAnsi="Times New Roman" w:cs="Times New Roman"/>
          <w:i w:val="0"/>
          <w:color w:val="000000" w:themeColor="text1"/>
          <w:spacing w:val="0"/>
        </w:rPr>
        <w:softHyphen/>
        <w:t>димо при достаточно полном объеме защиты обеспечить одновременно хороший обзор и уложиться в минимальный вес».</w:t>
      </w:r>
    </w:p>
    <w:p w14:paraId="52BAE6E8" w14:textId="77777777" w:rsidR="005B1690" w:rsidRPr="001E2C69" w:rsidRDefault="005B1690"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Несколько позже с предложенной допол</w:t>
      </w:r>
      <w:r w:rsidRPr="001E2C69">
        <w:rPr>
          <w:rFonts w:ascii="Times New Roman" w:cs="Times New Roman"/>
          <w:color w:val="000000" w:themeColor="text1"/>
          <w:spacing w:val="0"/>
          <w:sz w:val="16"/>
          <w:szCs w:val="16"/>
        </w:rPr>
        <w:softHyphen/>
        <w:t>нительной броней самолета Як-1 ознакомил</w:t>
      </w:r>
      <w:r w:rsidRPr="001E2C69">
        <w:rPr>
          <w:rFonts w:ascii="Times New Roman" w:cs="Times New Roman"/>
          <w:color w:val="000000" w:themeColor="text1"/>
          <w:spacing w:val="0"/>
          <w:sz w:val="16"/>
          <w:szCs w:val="16"/>
        </w:rPr>
        <w:softHyphen/>
        <w:t>ся летчик-испытатель НИИ ВВС подполковник К.А. Груздев. В докладной на имя генерала Ре</w:t>
      </w:r>
      <w:r w:rsidRPr="001E2C69">
        <w:rPr>
          <w:rFonts w:ascii="Times New Roman" w:cs="Times New Roman"/>
          <w:color w:val="000000" w:themeColor="text1"/>
          <w:spacing w:val="0"/>
          <w:sz w:val="16"/>
          <w:szCs w:val="16"/>
        </w:rPr>
        <w:softHyphen/>
        <w:t>пина от 30 ноября он указывал:</w:t>
      </w:r>
      <w:r w:rsidRPr="001E2C69">
        <w:rPr>
          <w:rStyle w:val="46"/>
          <w:rFonts w:ascii="Times New Roman" w:eastAsia="Trebuchet MS" w:cs="Times New Roman"/>
          <w:color w:val="000000" w:themeColor="text1"/>
          <w:spacing w:val="0"/>
          <w:sz w:val="16"/>
          <w:szCs w:val="16"/>
        </w:rPr>
        <w:t xml:space="preserve"> «На основании личного опыта воздушных боев на истребите</w:t>
      </w:r>
      <w:r w:rsidRPr="001E2C69">
        <w:rPr>
          <w:rStyle w:val="46"/>
          <w:rFonts w:ascii="Times New Roman" w:eastAsia="Trebuchet MS" w:cs="Times New Roman"/>
          <w:color w:val="000000" w:themeColor="text1"/>
          <w:spacing w:val="0"/>
          <w:sz w:val="16"/>
          <w:szCs w:val="16"/>
        </w:rPr>
        <w:softHyphen/>
        <w:t>лях, в том числе и на Як-1, с самолетами про</w:t>
      </w:r>
      <w:r w:rsidRPr="001E2C69">
        <w:rPr>
          <w:rStyle w:val="46"/>
          <w:rFonts w:ascii="Times New Roman" w:eastAsia="Trebuchet MS" w:cs="Times New Roman"/>
          <w:color w:val="000000" w:themeColor="text1"/>
          <w:spacing w:val="0"/>
          <w:sz w:val="16"/>
          <w:szCs w:val="16"/>
        </w:rPr>
        <w:softHyphen/>
        <w:t>тивника Ме-109, Ме-110, Ю-88, Ю-87, Хе-113, Хш-126идр., считаю бронезащиту рациональ</w:t>
      </w:r>
      <w:r w:rsidRPr="001E2C69">
        <w:rPr>
          <w:rStyle w:val="46"/>
          <w:rFonts w:ascii="Times New Roman" w:eastAsia="Trebuchet MS" w:cs="Times New Roman"/>
          <w:color w:val="000000" w:themeColor="text1"/>
          <w:spacing w:val="0"/>
          <w:sz w:val="16"/>
          <w:szCs w:val="16"/>
        </w:rPr>
        <w:softHyphen/>
        <w:t>ной, хорошо дополняющей объем существую</w:t>
      </w:r>
      <w:r w:rsidRPr="001E2C69">
        <w:rPr>
          <w:rStyle w:val="46"/>
          <w:rFonts w:ascii="Times New Roman" w:eastAsia="Trebuchet MS" w:cs="Times New Roman"/>
          <w:color w:val="000000" w:themeColor="text1"/>
          <w:spacing w:val="0"/>
          <w:sz w:val="16"/>
          <w:szCs w:val="16"/>
        </w:rPr>
        <w:softHyphen/>
        <w:t>щего бронирования на истребителях. Считаю необходимым немедленно внедрить в серий</w:t>
      </w:r>
      <w:r w:rsidRPr="001E2C69">
        <w:rPr>
          <w:rStyle w:val="46"/>
          <w:rFonts w:ascii="Times New Roman" w:eastAsia="Trebuchet MS" w:cs="Times New Roman"/>
          <w:color w:val="000000" w:themeColor="text1"/>
          <w:spacing w:val="0"/>
          <w:sz w:val="16"/>
          <w:szCs w:val="16"/>
        </w:rPr>
        <w:softHyphen/>
        <w:t>ное производство».</w:t>
      </w:r>
    </w:p>
    <w:p w14:paraId="67392394" w14:textId="77777777" w:rsidR="005B1690" w:rsidRPr="001E2C69" w:rsidRDefault="005B1690" w:rsidP="00722885">
      <w:pPr>
        <w:pStyle w:val="36"/>
        <w:shd w:val="clear" w:color="auto" w:fill="auto"/>
        <w:spacing w:after="0" w:line="240" w:lineRule="auto"/>
        <w:jc w:val="both"/>
        <w:rPr>
          <w:rFonts w:ascii="Times New Roman" w:cs="Times New Roman"/>
          <w:color w:val="000000" w:themeColor="text1"/>
          <w:spacing w:val="0"/>
          <w:sz w:val="16"/>
          <w:szCs w:val="16"/>
        </w:rPr>
      </w:pPr>
      <w:r w:rsidRPr="001E2C69">
        <w:rPr>
          <w:rFonts w:ascii="Times New Roman" w:cs="Times New Roman"/>
          <w:color w:val="000000" w:themeColor="text1"/>
          <w:spacing w:val="0"/>
          <w:sz w:val="16"/>
          <w:szCs w:val="16"/>
        </w:rPr>
        <w:t>Однако вопрос о внедрении в серию до</w:t>
      </w:r>
      <w:r w:rsidRPr="001E2C69">
        <w:rPr>
          <w:rFonts w:ascii="Times New Roman" w:cs="Times New Roman"/>
          <w:color w:val="000000" w:themeColor="text1"/>
          <w:spacing w:val="0"/>
          <w:sz w:val="16"/>
          <w:szCs w:val="16"/>
        </w:rPr>
        <w:softHyphen/>
        <w:t>полнительной брони летчика на Як-1, как, впрочем, и усиленных схем бронирования на других серийных самолетах ВВС КА, не был решен Наркоматом авиапромышленности ни в 1942 г., ни в 1943 г. По этому поводу замести</w:t>
      </w:r>
      <w:r w:rsidRPr="001E2C69">
        <w:rPr>
          <w:rFonts w:ascii="Times New Roman" w:cs="Times New Roman"/>
          <w:color w:val="000000" w:themeColor="text1"/>
          <w:spacing w:val="0"/>
          <w:sz w:val="16"/>
          <w:szCs w:val="16"/>
        </w:rPr>
        <w:softHyphen/>
        <w:t>тель командующего ВВС КА генерал-полков</w:t>
      </w:r>
      <w:r w:rsidRPr="001E2C69">
        <w:rPr>
          <w:rFonts w:ascii="Times New Roman" w:cs="Times New Roman"/>
          <w:color w:val="000000" w:themeColor="text1"/>
          <w:spacing w:val="0"/>
          <w:sz w:val="16"/>
          <w:szCs w:val="16"/>
        </w:rPr>
        <w:softHyphen/>
        <w:t>ник А.К. Репин дважды обращался к наркому авиапромышленности А.И. Шахурину (15778).</w:t>
      </w:r>
    </w:p>
    <w:p w14:paraId="1616C1AE" w14:textId="77777777" w:rsidR="005B1690" w:rsidRPr="001E2C69" w:rsidRDefault="005B1690" w:rsidP="00722885">
      <w:pPr>
        <w:pStyle w:val="45"/>
        <w:shd w:val="clear" w:color="auto" w:fill="auto"/>
        <w:spacing w:before="0" w:line="240" w:lineRule="auto"/>
        <w:jc w:val="both"/>
        <w:rPr>
          <w:rStyle w:val="4f1"/>
          <w:rFonts w:ascii="Times New Roman" w:hAnsi="Times New Roman" w:cs="Times New Roman"/>
          <w:i w:val="0"/>
          <w:color w:val="000000" w:themeColor="text1"/>
          <w:sz w:val="16"/>
          <w:szCs w:val="16"/>
        </w:rPr>
      </w:pPr>
    </w:p>
    <w:p w14:paraId="0210ECA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августа 1942 по декабрь 1943 Як-7Б М-105ПФ серийно выпускался на 153 заводе (с 22 по 50 серию) (65,90).</w:t>
      </w:r>
    </w:p>
    <w:p w14:paraId="5E549917" w14:textId="77777777" w:rsidR="00AE7191" w:rsidRPr="001E2C69" w:rsidRDefault="00AE7191" w:rsidP="00722885">
      <w:pPr>
        <w:pStyle w:val="Iauiue"/>
        <w:jc w:val="both"/>
        <w:rPr>
          <w:color w:val="000000" w:themeColor="text1"/>
          <w:sz w:val="16"/>
          <w:szCs w:val="16"/>
        </w:rPr>
      </w:pPr>
    </w:p>
    <w:p w14:paraId="6E81E4F1"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августа по конец сентября 1942 проходили испытания Як-6 НББ (1022,170).</w:t>
      </w:r>
    </w:p>
    <w:p w14:paraId="0838DD60" w14:textId="77777777" w:rsidR="00AE7191" w:rsidRPr="001E2C69" w:rsidRDefault="00AE7191" w:rsidP="00722885">
      <w:pPr>
        <w:pStyle w:val="Iauiue"/>
        <w:jc w:val="both"/>
        <w:rPr>
          <w:color w:val="000000" w:themeColor="text1"/>
          <w:sz w:val="16"/>
          <w:szCs w:val="16"/>
        </w:rPr>
      </w:pPr>
    </w:p>
    <w:p w14:paraId="08916E0A"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 сен</w:t>
      </w:r>
      <w:r w:rsidRPr="001E2C69">
        <w:rPr>
          <w:rFonts w:ascii="Times New Roman" w:hAnsi="Times New Roman"/>
          <w:color w:val="000000" w:themeColor="text1"/>
          <w:sz w:val="16"/>
          <w:szCs w:val="16"/>
        </w:rPr>
        <w:softHyphen/>
        <w:t>тябре 1942 года опытный образец планера прошел испытания в г. Жу</w:t>
      </w:r>
      <w:r w:rsidRPr="001E2C69">
        <w:rPr>
          <w:rFonts w:ascii="Times New Roman" w:hAnsi="Times New Roman"/>
          <w:color w:val="000000" w:themeColor="text1"/>
          <w:sz w:val="16"/>
          <w:szCs w:val="16"/>
        </w:rPr>
        <w:softHyphen/>
        <w:t>ковский под Москвой в Летно-исследовательском институте (ЛИИ). Крылья планера с двухбалочным хвостовым оперением были выпол</w:t>
      </w:r>
      <w:r w:rsidRPr="001E2C69">
        <w:rPr>
          <w:rFonts w:ascii="Times New Roman" w:hAnsi="Times New Roman"/>
          <w:color w:val="000000" w:themeColor="text1"/>
          <w:sz w:val="16"/>
          <w:szCs w:val="16"/>
        </w:rPr>
        <w:softHyphen/>
        <w:t>нены по бипланной схеме. Эта конструкция навешивалась и крепилась на корпус танка Т-60. Планер имел длину фюзеляжа 12 м, размах крыльев 18 м, а площадь коробки крыльев - 86 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Собственная масса планера составляла 2 т, полетная масса танка была доведена до 5,8 т, при этом по</w:t>
      </w:r>
      <w:r w:rsidRPr="001E2C69">
        <w:rPr>
          <w:rFonts w:ascii="Times New Roman" w:hAnsi="Times New Roman"/>
          <w:color w:val="000000" w:themeColor="text1"/>
          <w:sz w:val="16"/>
          <w:szCs w:val="16"/>
        </w:rPr>
        <w:softHyphen/>
        <w:t>лезная нагрузка на крыло составляла 90 кгс/м</w:t>
      </w:r>
      <w:r w:rsidRPr="001E2C69">
        <w:rPr>
          <w:rFonts w:ascii="Times New Roman" w:hAnsi="Times New Roman"/>
          <w:color w:val="000000" w:themeColor="text1"/>
          <w:sz w:val="16"/>
          <w:szCs w:val="16"/>
          <w:vertAlign w:val="superscript"/>
        </w:rPr>
        <w:t>2</w:t>
      </w:r>
      <w:r w:rsidRPr="001E2C69">
        <w:rPr>
          <w:rFonts w:ascii="Times New Roman" w:hAnsi="Times New Roman"/>
          <w:color w:val="000000" w:themeColor="text1"/>
          <w:sz w:val="16"/>
          <w:szCs w:val="16"/>
        </w:rPr>
        <w:t>. Для снижения полетной массы танка с него были демонтированы: вооружение с боекомплектом, надгусеничные полки, фары и слита большая часть топлива. Экипаж планера КТ состоял из одного человека, который выполнял функции пилота, механика-водителя и стрелка. Управление планером в воздухе осуществлялось рулями и элеронами с места механика-водите</w:t>
      </w:r>
      <w:r w:rsidRPr="001E2C69">
        <w:rPr>
          <w:rFonts w:ascii="Times New Roman" w:hAnsi="Times New Roman"/>
          <w:color w:val="000000" w:themeColor="text1"/>
          <w:sz w:val="16"/>
          <w:szCs w:val="16"/>
        </w:rPr>
        <w:softHyphen/>
        <w:t>ля с помощью тросового привода. Для аэродинамической компенсации на рулях и элеронах были дополнительно установлены небольшие кры</w:t>
      </w:r>
      <w:r w:rsidRPr="001E2C69">
        <w:rPr>
          <w:rFonts w:ascii="Times New Roman" w:hAnsi="Times New Roman"/>
          <w:color w:val="000000" w:themeColor="text1"/>
          <w:sz w:val="16"/>
          <w:szCs w:val="16"/>
        </w:rPr>
        <w:softHyphen/>
        <w:t>лья. С целью удобства управления в полете танк дополнительно был оборудован зеркалами заднего и бокового видов. После приземления танка крыло отсоединялось пилотом с помощью специального приспо</w:t>
      </w:r>
      <w:r w:rsidRPr="001E2C69">
        <w:rPr>
          <w:rFonts w:ascii="Times New Roman" w:hAnsi="Times New Roman"/>
          <w:color w:val="000000" w:themeColor="text1"/>
          <w:sz w:val="16"/>
          <w:szCs w:val="16"/>
        </w:rPr>
        <w:softHyphen/>
        <w:t>собления без выхода из танка. При испытаниях опытного образца планера КТ для его буксирова-ния был использован бомбардировщик ТБ-3 с форсированными до 970 л.с. (713 кВт) двигателями АМ-34РН. Планером управлял извест</w:t>
      </w:r>
      <w:r w:rsidRPr="001E2C69">
        <w:rPr>
          <w:rFonts w:ascii="Times New Roman" w:hAnsi="Times New Roman"/>
          <w:color w:val="000000" w:themeColor="text1"/>
          <w:sz w:val="16"/>
          <w:szCs w:val="16"/>
        </w:rPr>
        <w:softHyphen/>
        <w:t>ный летчик-испытатель С.Н. Анохин. Из-за большой массы и малой об-текае-мости планера КТ, буксировка проходила при работе двигателей самолета на мощности близкой к максимальной. Скорость полета со</w:t>
      </w:r>
      <w:r w:rsidRPr="001E2C69">
        <w:rPr>
          <w:rFonts w:ascii="Times New Roman" w:hAnsi="Times New Roman"/>
          <w:color w:val="000000" w:themeColor="text1"/>
          <w:sz w:val="16"/>
          <w:szCs w:val="16"/>
        </w:rPr>
        <w:softHyphen/>
        <w:t>ставляла 130 км/ч, но скорость подъема все же оказалась недостаточной и самолет смог достичь лишь высоты 40 м, при этом температура воды в системе охлаждения двигателей самолета резко возросла, и из-за опас</w:t>
      </w:r>
      <w:r w:rsidRPr="001E2C69">
        <w:rPr>
          <w:rFonts w:ascii="Times New Roman" w:hAnsi="Times New Roman"/>
          <w:color w:val="000000" w:themeColor="text1"/>
          <w:sz w:val="16"/>
          <w:szCs w:val="16"/>
        </w:rPr>
        <w:softHyphen/>
        <w:t>ности их перегрева был произведен отцеп планера, который совершил посадку в районе подмосковного аэродрома Быково. После приземле</w:t>
      </w:r>
      <w:r w:rsidRPr="001E2C69">
        <w:rPr>
          <w:rFonts w:ascii="Times New Roman" w:hAnsi="Times New Roman"/>
          <w:color w:val="000000" w:themeColor="text1"/>
          <w:sz w:val="16"/>
          <w:szCs w:val="16"/>
        </w:rPr>
        <w:softHyphen/>
        <w:t>ния танк своим ходом прибыл на аэродром ЛИИ. Испытания показали, что при создании планера были допущены ошибки в расчетах его аэродинамических свойств и требуемой мощности двига</w:t>
      </w:r>
      <w:r w:rsidRPr="001E2C69">
        <w:rPr>
          <w:rFonts w:ascii="Times New Roman" w:hAnsi="Times New Roman"/>
          <w:color w:val="000000" w:themeColor="text1"/>
          <w:sz w:val="16"/>
          <w:szCs w:val="16"/>
        </w:rPr>
        <w:softHyphen/>
        <w:t>телей самолета-буксировщика (расчеты проводились без учета сопротив</w:t>
      </w:r>
      <w:r w:rsidRPr="001E2C69">
        <w:rPr>
          <w:rFonts w:ascii="Times New Roman" w:hAnsi="Times New Roman"/>
          <w:color w:val="000000" w:themeColor="text1"/>
          <w:sz w:val="16"/>
          <w:szCs w:val="16"/>
        </w:rPr>
        <w:softHyphen/>
        <w:t>ления тросов, соединявших бипланную коробку крьиа и оперения, гусе</w:t>
      </w:r>
      <w:r w:rsidRPr="001E2C69">
        <w:rPr>
          <w:rFonts w:ascii="Times New Roman" w:hAnsi="Times New Roman"/>
          <w:color w:val="000000" w:themeColor="text1"/>
          <w:sz w:val="16"/>
          <w:szCs w:val="16"/>
        </w:rPr>
        <w:softHyphen/>
        <w:t>ниц танка и др.), которые не позволили двигателям самолета ТБ-3 поднять планер на требуемую высоту, и усложнили управление им в полете. После проведения пробного полета дальнейшие работы были пре</w:t>
      </w:r>
      <w:r w:rsidRPr="001E2C69">
        <w:rPr>
          <w:rFonts w:ascii="Times New Roman" w:hAnsi="Times New Roman"/>
          <w:color w:val="000000" w:themeColor="text1"/>
          <w:sz w:val="16"/>
          <w:szCs w:val="16"/>
        </w:rPr>
        <w:softHyphen/>
        <w:t>кращены (10703).</w:t>
      </w:r>
    </w:p>
    <w:p w14:paraId="4E373805"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376CEF1C"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августе-сентябре 1942 года Анохин проводит испытания планера А-40, предназначенного для десантирования по воздуху лёгкого танка Т-60 методом буксировки за самолётом. Для этого к танку крепились крылья и хвостовое оперение. Было выполнено несколько подлётов и один полёт на буксире за самолётом ТБ-3. Однако мощности моторов ТБ-3 для длительной буксировки (даже со снятой башней танка) оказалось недостаточно, и лётчик П.А.Еремеев был вынужден произвести отцепку А-40. Анохин благополучно произвёл посадку на Быковском аэродроме (взлёт производился с аэродрома ЛИИ, расположенного примерно в 5 км от Быково). Испытания были прекращены (5996).</w:t>
      </w:r>
    </w:p>
    <w:p w14:paraId="691DD019" w14:textId="77777777" w:rsidR="00AE7191" w:rsidRPr="001E2C69" w:rsidRDefault="00AE7191" w:rsidP="00722885">
      <w:pPr>
        <w:pStyle w:val="Iauiue"/>
        <w:jc w:val="both"/>
        <w:rPr>
          <w:color w:val="000000" w:themeColor="text1"/>
          <w:sz w:val="16"/>
          <w:szCs w:val="16"/>
        </w:rPr>
      </w:pPr>
    </w:p>
    <w:p w14:paraId="37C54180" w14:textId="77777777" w:rsidR="007D7196" w:rsidRPr="001E2C69" w:rsidRDefault="007D71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течение августа-декабря 1942 года было изготовлено следующее количество установок: 31 установка М-8-М, из которых 11 опытных и 20 серийных, а также 2 опытные установки М-13-М.</w:t>
      </w:r>
    </w:p>
    <w:p w14:paraId="256E8CFD" w14:textId="77777777" w:rsidR="007D7196" w:rsidRPr="001E2C69" w:rsidRDefault="007D71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Установки были установлены:</w:t>
      </w:r>
    </w:p>
    <w:p w14:paraId="1D239650" w14:textId="77777777" w:rsidR="007D7196" w:rsidRPr="001E2C69" w:rsidRDefault="007D71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шт. М-8-М (опытн.) на катере БК-1125;</w:t>
      </w:r>
    </w:p>
    <w:p w14:paraId="794A2AB7" w14:textId="77777777" w:rsidR="007D7196" w:rsidRPr="001E2C69" w:rsidRDefault="007D71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шт. М-8-М (опытн.) на катерах ТК типа Я-5;</w:t>
      </w:r>
    </w:p>
    <w:p w14:paraId="2D559C67" w14:textId="77777777" w:rsidR="007D7196" w:rsidRPr="001E2C69" w:rsidRDefault="007D71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шт. М-8-М (опытн.) на катерах ТК типа Г-5;</w:t>
      </w:r>
    </w:p>
    <w:p w14:paraId="485DE0E0" w14:textId="77777777" w:rsidR="007D7196" w:rsidRPr="001E2C69" w:rsidRDefault="007D71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шт. М-8-М (серийн.) на катерах ТК типа Г-5;</w:t>
      </w:r>
    </w:p>
    <w:p w14:paraId="5488D9D3" w14:textId="77777777" w:rsidR="007D7196" w:rsidRPr="001E2C69" w:rsidRDefault="007D71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шт. М-8-М (серийн.) на катерах ТК типа Я-5;</w:t>
      </w:r>
    </w:p>
    <w:p w14:paraId="21195570" w14:textId="77777777" w:rsidR="007D7196" w:rsidRPr="001E2C69" w:rsidRDefault="007D71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2 шт. М-13-М (опытн.) на катерах типа БК-1124;</w:t>
      </w:r>
    </w:p>
    <w:p w14:paraId="63EF5EBC" w14:textId="77777777" w:rsidR="007D7196" w:rsidRPr="001E2C69" w:rsidRDefault="007D71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10 шт. М-8-М (серийн.) отправлены на зав.№340 для установки на катерах типа БК-1125 и типа ТК-Г-5;</w:t>
      </w:r>
    </w:p>
    <w:p w14:paraId="71124336" w14:textId="77777777" w:rsidR="007D7196" w:rsidRPr="001E2C69" w:rsidRDefault="007D71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шт. М-8-М (серийн.) отправлена на зав.№344 для установки на катере типа ТК Г-5;</w:t>
      </w:r>
    </w:p>
    <w:p w14:paraId="64A9648D" w14:textId="77777777" w:rsidR="007D7196" w:rsidRPr="001E2C69" w:rsidRDefault="007D7196"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шт. М-8-М (серийн.) отправлена на Краснознаменный Балтийский Флот (15982).</w:t>
      </w:r>
    </w:p>
    <w:p w14:paraId="518371D4" w14:textId="77777777" w:rsidR="007D7196" w:rsidRPr="001E2C69" w:rsidRDefault="007D7196" w:rsidP="00722885">
      <w:pPr>
        <w:spacing w:after="0" w:line="240" w:lineRule="auto"/>
        <w:jc w:val="both"/>
        <w:rPr>
          <w:rFonts w:ascii="Times New Roman" w:hAnsi="Times New Roman"/>
          <w:color w:val="000000" w:themeColor="text1"/>
          <w:sz w:val="16"/>
          <w:szCs w:val="16"/>
        </w:rPr>
      </w:pPr>
    </w:p>
    <w:p w14:paraId="3AB2AE7A"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73DC5DB4" w14:textId="77777777" w:rsidR="00AE7191" w:rsidRPr="001E2C69" w:rsidRDefault="00AE7191" w:rsidP="00722885">
      <w:pPr>
        <w:pStyle w:val="Iauiue"/>
        <w:jc w:val="both"/>
        <w:rPr>
          <w:iCs/>
          <w:color w:val="000000" w:themeColor="text1"/>
          <w:sz w:val="16"/>
          <w:szCs w:val="16"/>
        </w:rPr>
      </w:pPr>
    </w:p>
    <w:p w14:paraId="6803A4FE"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 сентябре 1942 года 45-мм ПТП М-42 прошла полигонные и войсковые испытания. М-42 принята на вооружение под названием "45-мм ПТП обр. 1942 г." (3861).</w:t>
      </w:r>
    </w:p>
    <w:p w14:paraId="6EDDA5F9" w14:textId="77777777" w:rsidR="00AE7191" w:rsidRPr="001E2C69" w:rsidRDefault="00AE7191" w:rsidP="00722885">
      <w:pPr>
        <w:pStyle w:val="Iauiue"/>
        <w:jc w:val="both"/>
        <w:rPr>
          <w:color w:val="000000" w:themeColor="text1"/>
          <w:sz w:val="16"/>
          <w:szCs w:val="16"/>
        </w:rPr>
      </w:pPr>
    </w:p>
    <w:p w14:paraId="3BAF6A33" w14:textId="77777777" w:rsidR="000D37D8" w:rsidRPr="001E2C69" w:rsidRDefault="000D37D8" w:rsidP="00722885">
      <w:pPr>
        <w:pStyle w:val="article-renderblock"/>
        <w:shd w:val="clear" w:color="auto" w:fill="FFFFFF"/>
        <w:spacing w:before="0" w:beforeAutospacing="0" w:after="0" w:afterAutospacing="0"/>
        <w:jc w:val="both"/>
        <w:rPr>
          <w:color w:val="000000" w:themeColor="text1"/>
          <w:sz w:val="16"/>
          <w:szCs w:val="16"/>
        </w:rPr>
      </w:pPr>
      <w:r w:rsidRPr="001E2C69">
        <w:rPr>
          <w:color w:val="000000" w:themeColor="text1"/>
          <w:sz w:val="16"/>
          <w:szCs w:val="16"/>
        </w:rPr>
        <w:t>В августе-сентябре 1942, несмотря на то, что производство Т-50, после начала эвакуации завода №174, прекратилось, эта машина всё еще находилась в планах ГАБТУ КА. Для начала, малые танки Т-30 и Т-60, производство которых налаживалось на заводе №37, ГАЗ им. Молотова и других, не являлись адекватной заменой Т-50. Во-вторых, база этой машины всё еще рассматривалась для САУ. Даже под самый конец 1941 года, когда было уже очевидно, что с машиной всё очень плохо, план на 1942 год составлял 1500 танков - 600 радийных и 900 линейных. Правда, если посмотреть на объемы заказов Т-60, цифра в 1500 танков выглядит слегка забавно. Кстати, в сентябре 1941 года заказ был еще больше - 5000 танков.</w:t>
      </w:r>
    </w:p>
    <w:p w14:paraId="5389E804" w14:textId="77777777" w:rsidR="000D37D8" w:rsidRPr="001E2C69" w:rsidRDefault="000D37D8" w:rsidP="00722885">
      <w:pPr>
        <w:pStyle w:val="article-renderblock"/>
        <w:shd w:val="clear" w:color="auto" w:fill="FFFFFF"/>
        <w:spacing w:before="0" w:beforeAutospacing="0" w:after="0" w:afterAutospacing="0"/>
        <w:jc w:val="both"/>
        <w:rPr>
          <w:color w:val="000000" w:themeColor="text1"/>
          <w:sz w:val="16"/>
          <w:szCs w:val="16"/>
        </w:rPr>
      </w:pPr>
      <w:r w:rsidRPr="001E2C69">
        <w:rPr>
          <w:color w:val="000000" w:themeColor="text1"/>
          <w:sz w:val="16"/>
          <w:szCs w:val="16"/>
        </w:rPr>
        <w:t xml:space="preserve">Организовывать производство Т-50, помимо завода №174 в Чкалове (это была уже вторая площадка завода - сначала его увезли в Челябинск) , предполагалось в Барнауле и Кургане. Также в Барнауле предполагалось строить завод по выпуску дизельных моторов В-4. Наконец, в Омске организовали завод №173, подчинявшийся заводу №174. В общем-то, размах выпуска танка впечатляет. Также организовывалось и корпусное производство, включая завод №180 в Саратове. Шли работы по упрощению танка, а также модернизации его конструкции. В частности, выпущенные в Чкалове танки получали усиленные опорные катки. Существовал проект башни танка без командирской башенки. Самое же главное, что со скрипом, но выпуск танков в Чкалове начался. По состоянию на 23 декабря 1941 года военпредовский пробег прошло 9 танков, словно сдали 6 машин. Но уже тогда ощущался кризис о ряду узлов и агрегатов. Естественно, главной проблемой был мотор, но не хватало коробок передач. А еще был один момент, который, в истории Т-50, многие не учитывают. Главным смежником завода №174 на тот момент являлся ЧКЗ, которому и так хватало забот с КВ-1. В сложившейся ситуации надо было уже выбирать между КВ-1 и танком, который имел весьма туманные перспективы. Кроме того, уже имелся Т-60, а на производственных мощностях завода №173 было возможно выпускать что-то более существенное. Поэтому неудивительно, что 6 </w:t>
      </w:r>
      <w:r w:rsidRPr="001E2C69">
        <w:rPr>
          <w:color w:val="000000" w:themeColor="text1"/>
          <w:sz w:val="16"/>
          <w:szCs w:val="16"/>
        </w:rPr>
        <w:lastRenderedPageBreak/>
        <w:t>января 1942 года Сталин подписал постановление ГКО №1114сс "О прекращении производства танков Т-50 в связи с организацией производства танков Т-60 и о подготовке Омского паровозоремонтного завода к организации производства танков Т-34".</w:t>
      </w:r>
    </w:p>
    <w:p w14:paraId="6C96B1D9" w14:textId="77777777" w:rsidR="000D37D8" w:rsidRPr="001E2C69" w:rsidRDefault="000D37D8" w:rsidP="00722885">
      <w:pPr>
        <w:pStyle w:val="article-renderblock"/>
        <w:shd w:val="clear" w:color="auto" w:fill="FFFFFF"/>
        <w:spacing w:before="0" w:beforeAutospacing="0" w:after="0" w:afterAutospacing="0"/>
        <w:jc w:val="both"/>
        <w:rPr>
          <w:color w:val="000000" w:themeColor="text1"/>
          <w:sz w:val="16"/>
          <w:szCs w:val="16"/>
        </w:rPr>
      </w:pPr>
      <w:r w:rsidRPr="001E2C69">
        <w:rPr>
          <w:color w:val="000000" w:themeColor="text1"/>
          <w:sz w:val="16"/>
          <w:szCs w:val="16"/>
        </w:rPr>
        <w:t>Формально Т-50 заменялся Т-60 с усиленной броней, по этому поводу Гинзбург разразился целым ворохом писем. Но они были уже бесполезными. Каких-то объективных причин оставлять Т-50 на производстве попросту не осталось. Завод №174 сдал 10 танков в декабре 1941 года, 8 в январе 1942 года, еще 5 в феврале и 2 в марте. Корпуса Т-50 позже завод №180 использовал для бронесаней. Что же касается чкаловских Т-50, а также трех ремонтных машин, то они попали в состав 488-го ОТБ. Батальон воевал на Северном Кавказе с октября 1942 года (21068).</w:t>
      </w:r>
    </w:p>
    <w:p w14:paraId="6C31CE36" w14:textId="77777777" w:rsidR="000D37D8" w:rsidRPr="001E2C69" w:rsidRDefault="000D37D8" w:rsidP="00722885">
      <w:pPr>
        <w:pStyle w:val="article-renderblock"/>
        <w:shd w:val="clear" w:color="auto" w:fill="FFFFFF"/>
        <w:spacing w:before="0" w:beforeAutospacing="0" w:after="0" w:afterAutospacing="0"/>
        <w:jc w:val="both"/>
        <w:rPr>
          <w:color w:val="000000" w:themeColor="text1"/>
          <w:sz w:val="16"/>
          <w:szCs w:val="16"/>
        </w:rPr>
      </w:pPr>
    </w:p>
    <w:p w14:paraId="4DC0DB89" w14:textId="0FF873FC" w:rsidR="000D37D8" w:rsidRPr="001E2C69" w:rsidRDefault="000D37D8" w:rsidP="00722885">
      <w:pPr>
        <w:pStyle w:val="af"/>
        <w:shd w:val="clear" w:color="auto" w:fill="FFFFFF"/>
        <w:spacing w:before="0" w:after="0"/>
        <w:jc w:val="both"/>
        <w:textAlignment w:val="baseline"/>
        <w:rPr>
          <w:color w:val="000000" w:themeColor="text1"/>
          <w:sz w:val="16"/>
          <w:szCs w:val="16"/>
        </w:rPr>
      </w:pPr>
      <w:r w:rsidRPr="001E2C69">
        <w:rPr>
          <w:color w:val="000000" w:themeColor="text1"/>
          <w:sz w:val="16"/>
          <w:szCs w:val="16"/>
        </w:rPr>
        <w:t>В августе и октябре 1942 года на Чебаркульском полигоне стрелкового вооружения РККА были проведены испытания с опытным образцом танка КВ-1К РО М-13 с различной длиной направляющих (2000, 1200, 1250 и 2400 мм). Испытания показали удовлетворительные результаты. Было установлено, что</w:t>
      </w:r>
      <w:r w:rsidR="001E2C69">
        <w:rPr>
          <w:color w:val="000000" w:themeColor="text1"/>
          <w:sz w:val="16"/>
          <w:szCs w:val="16"/>
        </w:rPr>
        <w:t xml:space="preserve">   </w:t>
      </w:r>
      <w:r w:rsidRPr="001E2C69">
        <w:rPr>
          <w:color w:val="000000" w:themeColor="text1"/>
          <w:sz w:val="16"/>
          <w:szCs w:val="16"/>
          <w:bdr w:val="none" w:sz="0" w:space="0" w:color="auto" w:frame="1"/>
        </w:rPr>
        <w:t>«полученные данные по кучности и дальности почти не отличаются от табличных данных»</w:t>
      </w:r>
      <w:r w:rsidR="001E2C69">
        <w:rPr>
          <w:color w:val="000000" w:themeColor="text1"/>
          <w:sz w:val="16"/>
          <w:szCs w:val="16"/>
        </w:rPr>
        <w:t xml:space="preserve">   </w:t>
      </w:r>
      <w:r w:rsidRPr="001E2C69">
        <w:rPr>
          <w:color w:val="000000" w:themeColor="text1"/>
          <w:sz w:val="16"/>
          <w:szCs w:val="16"/>
        </w:rPr>
        <w:t>для направляющих длиной 5000 мм. КАРС-1 (Короткая артиллерийская ракетная системы №1) была одобрена Главным управлением вооружения Гвардейских миномётных частей (ГУВ ГМЧ) РККА, которое рекомендовало принять её на вооружения танков КВ, но в связи с прекращением их производства установка не нашла применения (19941).</w:t>
      </w:r>
    </w:p>
    <w:p w14:paraId="7AB30297" w14:textId="77777777" w:rsidR="000D37D8" w:rsidRPr="001E2C69" w:rsidRDefault="000D37D8" w:rsidP="00722885">
      <w:pPr>
        <w:pStyle w:val="af"/>
        <w:shd w:val="clear" w:color="auto" w:fill="FFFFFF"/>
        <w:spacing w:before="0" w:after="0"/>
        <w:jc w:val="both"/>
        <w:textAlignment w:val="baseline"/>
        <w:rPr>
          <w:color w:val="000000" w:themeColor="text1"/>
          <w:sz w:val="16"/>
          <w:szCs w:val="16"/>
        </w:rPr>
      </w:pPr>
    </w:p>
    <w:p w14:paraId="48352B6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 и в октябре 1940 г. дизели В-2К для тяжелых танков были испытаны на установочной партии танков КВ. В результате увеличения частоты вращения от 1800 до 2000 об/мин и среднего эффективного давления от 6,5 до 7,0 кгс/см2 была достигнута мощность 600 л.с. (9023).</w:t>
      </w:r>
    </w:p>
    <w:p w14:paraId="3ACF08A0" w14:textId="77777777" w:rsidR="00AE7191" w:rsidRPr="001E2C69" w:rsidRDefault="00AE7191" w:rsidP="00722885">
      <w:pPr>
        <w:pStyle w:val="Iauiue"/>
        <w:jc w:val="both"/>
        <w:rPr>
          <w:color w:val="000000" w:themeColor="text1"/>
          <w:sz w:val="16"/>
          <w:szCs w:val="16"/>
        </w:rPr>
      </w:pPr>
    </w:p>
    <w:p w14:paraId="338AC5C8"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C августа по декабрь 1942 ЧКЗ (директор -И. М. Зальцман, главный конструктор - Ж. Я. Котин) дали 1055 машин Т-34. (3862).</w:t>
      </w:r>
    </w:p>
    <w:p w14:paraId="6DD25375" w14:textId="77777777" w:rsidR="00AE7191" w:rsidRPr="001E2C69" w:rsidRDefault="00AE7191" w:rsidP="00722885">
      <w:pPr>
        <w:pStyle w:val="Iauiue"/>
        <w:jc w:val="both"/>
        <w:rPr>
          <w:color w:val="000000" w:themeColor="text1"/>
          <w:sz w:val="16"/>
          <w:szCs w:val="16"/>
        </w:rPr>
      </w:pPr>
    </w:p>
    <w:p w14:paraId="38D8AC7C" w14:textId="3E67F974" w:rsidR="00240B8C" w:rsidRPr="001E2C69" w:rsidRDefault="00240B8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 сентябре 1942 года конструкторы танковой группы конструкторского сектора отдела 300 завода № 38 под руководством инженера А. Чиркова разработали проекты двух мотоброневагонов МК-1 и МК-2 (МК - мотоброневагон Коломенский), направленные на рассмотрение управления бронепоездов ГБТУ Красной Армии в ноябре. В пояснительной записке конструкторы писали:</w:t>
      </w:r>
      <w:r w:rsidR="001E2C69">
        <w:rPr>
          <w:rFonts w:ascii="Times New Roman" w:hAnsi="Times New Roman"/>
          <w:color w:val="000000" w:themeColor="text1"/>
          <w:sz w:val="16"/>
          <w:szCs w:val="16"/>
        </w:rPr>
        <w:t xml:space="preserve">   </w:t>
      </w:r>
    </w:p>
    <w:p w14:paraId="6B5DE9FC" w14:textId="7D55C89C" w:rsidR="00240B8C" w:rsidRPr="001E2C69" w:rsidRDefault="00240B8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«Применение бронепоездов с паровой тягой, как показал опыт текущих боевых операций, вполне себя оправдывает. Однако наряду с этим, все же, бронепоезда, снабженные паровозами, имеют некоторые недостатки, устранение которых является желательным. Эти недостатки заключаются в следующем:</w:t>
      </w:r>
      <w:r w:rsidR="001E2C69">
        <w:rPr>
          <w:rFonts w:ascii="Times New Roman" w:hAnsi="Times New Roman"/>
          <w:color w:val="000000" w:themeColor="text1"/>
          <w:sz w:val="16"/>
          <w:szCs w:val="16"/>
        </w:rPr>
        <w:t xml:space="preserve">   </w:t>
      </w:r>
    </w:p>
    <w:p w14:paraId="0CE659B1" w14:textId="4FD8AB74" w:rsidR="00240B8C" w:rsidRPr="001E2C69" w:rsidRDefault="00240B8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1. Единственными (современными) массовыми паровозами для бронепоездов могут служить паровозы серии О (с различными индексами).</w:t>
      </w:r>
      <w:r w:rsidR="001E2C69">
        <w:rPr>
          <w:rFonts w:ascii="Times New Roman" w:hAnsi="Times New Roman"/>
          <w:color w:val="000000" w:themeColor="text1"/>
          <w:sz w:val="16"/>
          <w:szCs w:val="16"/>
        </w:rPr>
        <w:t xml:space="preserve">   </w:t>
      </w:r>
    </w:p>
    <w:p w14:paraId="7C0B9990" w14:textId="2E727F2D" w:rsidR="00240B8C" w:rsidRPr="001E2C69" w:rsidRDefault="00240B8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Эти паровозы приходится применять ввиду малых нагрузок на оси и возможности догрузки их весом бронировки. Кроме того, габариты этих паровозов сравнительно невелики. Все остальные распространенные паровозы нашей жд. сети мало подходят для бронепоездов, так как догрузка их весом бронировки сильно утяжеляет их, что вызывает ряд нежелательных последствий - трение осей, перенапряжение ряда ответственных деталей и т.п. Кроме того, габариты этих паровозов несколько велики, и это увеличивает их уязвимость для орудийного и ружейно-пулеметного огня.</w:t>
      </w:r>
      <w:r w:rsidR="001E2C69">
        <w:rPr>
          <w:rFonts w:ascii="Times New Roman" w:hAnsi="Times New Roman"/>
          <w:color w:val="000000" w:themeColor="text1"/>
          <w:sz w:val="16"/>
          <w:szCs w:val="16"/>
        </w:rPr>
        <w:t xml:space="preserve">   </w:t>
      </w:r>
    </w:p>
    <w:p w14:paraId="640F2757" w14:textId="18122D24" w:rsidR="00240B8C" w:rsidRPr="001E2C69" w:rsidRDefault="00240B8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3. Для использования мощности паровоза О целесообразно придавать ему несколько боевых бронированных платформ, снабженных орудиями и пулеметами. Общий вес бронепоезда с паровозом серии О составляет около 500 тонн, поэтому при выходе из строя паровоза (а он наиболее уязвим, как было сказано выше, ввиду слабости бронировки), неизбежно следует выход из строя всего бронепоезда.</w:t>
      </w:r>
      <w:r w:rsidR="001E2C69">
        <w:rPr>
          <w:rFonts w:ascii="Times New Roman" w:hAnsi="Times New Roman"/>
          <w:color w:val="000000" w:themeColor="text1"/>
          <w:sz w:val="16"/>
          <w:szCs w:val="16"/>
        </w:rPr>
        <w:t xml:space="preserve">   </w:t>
      </w:r>
    </w:p>
    <w:p w14:paraId="34652287" w14:textId="074CC909" w:rsidR="00240B8C" w:rsidRPr="001E2C69" w:rsidRDefault="00240B8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4. Ввиду большого числа отдельных единиц, составляющих бронепоезд (4-7 единицы), строительная стоимость его высока и промышленный выпуск бронепоездов этим существенно ограничен.</w:t>
      </w:r>
      <w:r w:rsidR="001E2C69">
        <w:rPr>
          <w:rFonts w:ascii="Times New Roman" w:hAnsi="Times New Roman"/>
          <w:color w:val="000000" w:themeColor="text1"/>
          <w:sz w:val="16"/>
          <w:szCs w:val="16"/>
        </w:rPr>
        <w:t xml:space="preserve">   </w:t>
      </w:r>
    </w:p>
    <w:p w14:paraId="26EA5A6E" w14:textId="66113132" w:rsidR="00240B8C" w:rsidRPr="001E2C69" w:rsidRDefault="00240B8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5. Низкая теплотехническая экономичность паровоза О не позволяет иметь достаточно большого безостановочного маршрута (по расходам воды и топлива). Особенно это ограничивает радиус действия бронепоездов при разрушении водоснабжения.</w:t>
      </w:r>
      <w:r w:rsidR="001E2C69">
        <w:rPr>
          <w:rFonts w:ascii="Times New Roman" w:hAnsi="Times New Roman"/>
          <w:color w:val="000000" w:themeColor="text1"/>
          <w:sz w:val="16"/>
          <w:szCs w:val="16"/>
        </w:rPr>
        <w:t xml:space="preserve">   </w:t>
      </w:r>
    </w:p>
    <w:p w14:paraId="079BE915" w14:textId="5F466E52" w:rsidR="00240B8C" w:rsidRPr="001E2C69" w:rsidRDefault="00240B8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6. Необходимые периодические промывки котлов от накипи существенно снижает степень использования бронепоездов.</w:t>
      </w:r>
      <w:r w:rsidR="001E2C69">
        <w:rPr>
          <w:rFonts w:ascii="Times New Roman" w:hAnsi="Times New Roman"/>
          <w:color w:val="000000" w:themeColor="text1"/>
          <w:sz w:val="16"/>
          <w:szCs w:val="16"/>
        </w:rPr>
        <w:t xml:space="preserve">   </w:t>
      </w:r>
    </w:p>
    <w:p w14:paraId="03498A2C" w14:textId="0F3CF8AE" w:rsidR="00240B8C" w:rsidRPr="001E2C69" w:rsidRDefault="00240B8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7. Подготовка паровоза О к работе (из холодного состояния в горячее) требует нескольких часов.</w:t>
      </w:r>
      <w:r w:rsidR="001E2C69">
        <w:rPr>
          <w:rFonts w:ascii="Times New Roman" w:hAnsi="Times New Roman"/>
          <w:color w:val="000000" w:themeColor="text1"/>
          <w:sz w:val="16"/>
          <w:szCs w:val="16"/>
        </w:rPr>
        <w:t xml:space="preserve">   </w:t>
      </w:r>
    </w:p>
    <w:p w14:paraId="37466EA9" w14:textId="3B589A75" w:rsidR="00240B8C" w:rsidRPr="001E2C69" w:rsidRDefault="00240B8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Все сказанное приводит к заключению, что более эффективными боевыми единицами на железнодорожном транспорте могли бы явиться самодвижущиеся повозки, снабженные самостоятельными силовыми установками небольшой мощности и, одновременно с этим, достаточными огневыми средствами».</w:t>
      </w:r>
      <w:r w:rsidR="001E2C69">
        <w:rPr>
          <w:rFonts w:ascii="Times New Roman" w:hAnsi="Times New Roman"/>
          <w:color w:val="000000" w:themeColor="text1"/>
          <w:sz w:val="16"/>
          <w:szCs w:val="16"/>
        </w:rPr>
        <w:t xml:space="preserve">   </w:t>
      </w:r>
    </w:p>
    <w:p w14:paraId="24101779" w14:textId="5C383093" w:rsidR="00240B8C" w:rsidRPr="001E2C69" w:rsidRDefault="00240B8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МК-1 представлял собой 50-тонную железнодорожную четырехосную платформу с корпусом из 45 и 60 мм (возле двигателя) брони. Вооружение состояло из двух 45-мм пушек спаренных с пулеметами ДТ в литых башнях танка Т-70, зенитной спаренной установки 20-мм пушки ТНШ и пулемета ДТ, двух бортовых ДТ и реактивной установки М-8-24 («Катюша»).</w:t>
      </w:r>
      <w:r w:rsidR="001E2C69">
        <w:rPr>
          <w:rFonts w:ascii="Times New Roman" w:hAnsi="Times New Roman"/>
          <w:color w:val="000000" w:themeColor="text1"/>
          <w:sz w:val="16"/>
          <w:szCs w:val="16"/>
        </w:rPr>
        <w:t xml:space="preserve">   </w:t>
      </w:r>
    </w:p>
    <w:p w14:paraId="186151C7" w14:textId="77777777" w:rsidR="00240B8C" w:rsidRPr="001E2C69" w:rsidRDefault="00240B8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качестве силовой установки использовался двигатель ГАЗ-203 с танка Т-70 мощностью 140 л.с. и трансмиссия с этой же боевой машины. Изменение состояло только в установке реверса на коробку перемены передач. Проведенные расчеты показывали, что максимальная скорость МК-1 с экипажем из 11 человек будет 85 км/ч, а с контрольными платформами - 70 км/ч. Запас горючего планировался в 900 л, что обеспечивало запас хода в 700 км.</w:t>
      </w:r>
    </w:p>
    <w:p w14:paraId="688B0A72" w14:textId="5B759E00" w:rsidR="00240B8C" w:rsidRPr="001E2C69" w:rsidRDefault="00240B8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Среди недостатков МК-1 конструкторы отмечали большой объем, занимаемый моторным агрегатом, воздуховодами и бензобаками: «Наличие бензина рядом с большими запасами снарядов и патронов создает несколько большую пожарную опасность.</w:t>
      </w:r>
      <w:r w:rsidR="001E2C69">
        <w:rPr>
          <w:rFonts w:ascii="Times New Roman" w:hAnsi="Times New Roman"/>
          <w:color w:val="000000" w:themeColor="text1"/>
          <w:sz w:val="16"/>
          <w:szCs w:val="16"/>
        </w:rPr>
        <w:t xml:space="preserve">   </w:t>
      </w:r>
    </w:p>
    <w:p w14:paraId="391C985F" w14:textId="5EADE589" w:rsidR="00240B8C" w:rsidRPr="001E2C69" w:rsidRDefault="00240B8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Представляется возможным это устранить путем выноса моторной группы и запасов горючего в отдельный также бронированный самодвижущийся вагон, играющий роль локомотива для одной прицепной бронепло-щадки. В этом случае такой самоходный бро-невагон может, в зависимости от боевой обстановки прицеплять к себе бронеплощадку от любого бронепоезда».</w:t>
      </w:r>
      <w:r w:rsidR="001E2C69">
        <w:rPr>
          <w:rFonts w:ascii="Times New Roman" w:hAnsi="Times New Roman"/>
          <w:color w:val="000000" w:themeColor="text1"/>
          <w:sz w:val="16"/>
          <w:szCs w:val="16"/>
        </w:rPr>
        <w:t xml:space="preserve">   </w:t>
      </w:r>
    </w:p>
    <w:p w14:paraId="190E5000" w14:textId="7E1BFE27" w:rsidR="00240B8C" w:rsidRPr="001E2C69" w:rsidRDefault="00240B8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Для устранения этого недостатка был разработан второй вариант мотоброневагона, получивший обозначение МК-2. Он состоял из двухосного моторного вагона специальной постройки массой 20-25 т и несамоходной бронированной платформы МК-2. Мотовагон защищался 45-35 мм броней, имел двигатель и трансмиссию от танка Т-70. Его вооружение состояло из 45-мм пушки и пулемета ДТ в башне от Т-70. К моторному вагону прицеплялась бронеплатформа, МК-2 имевшая такую же броню и вооружение, что и МК-1, но при этом зенитная установка переносилась в середину платформы, а на ее месте монтировалась башня танка Т-70.</w:t>
      </w:r>
      <w:r w:rsidR="001E2C69">
        <w:rPr>
          <w:rFonts w:ascii="Times New Roman" w:hAnsi="Times New Roman"/>
          <w:color w:val="000000" w:themeColor="text1"/>
          <w:sz w:val="16"/>
          <w:szCs w:val="16"/>
        </w:rPr>
        <w:t xml:space="preserve">   </w:t>
      </w:r>
    </w:p>
    <w:p w14:paraId="551FE185" w14:textId="77777777" w:rsidR="00240B8C" w:rsidRPr="001E2C69" w:rsidRDefault="00240B8C"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Расчетная скорость самоходного мотобро-невагона МК-2 с бронеплощадкой МК-2 составляла 75 км/ч (с контрольными платформами 60 км/ч), запас горючего планировался в 900 л, что обеспечивало запас хода в 700 км (18626).</w:t>
      </w:r>
    </w:p>
    <w:p w14:paraId="431B9D22" w14:textId="77777777" w:rsidR="00240B8C" w:rsidRPr="001E2C69" w:rsidRDefault="00240B8C" w:rsidP="00722885">
      <w:pPr>
        <w:spacing w:after="0" w:line="240" w:lineRule="auto"/>
        <w:jc w:val="both"/>
        <w:rPr>
          <w:rFonts w:ascii="Times New Roman" w:hAnsi="Times New Roman"/>
          <w:color w:val="000000" w:themeColor="text1"/>
          <w:sz w:val="16"/>
          <w:szCs w:val="16"/>
        </w:rPr>
      </w:pPr>
    </w:p>
    <w:p w14:paraId="1567F7D2"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 ноябре 1942 испытания бронекорпусов танков Т-60, «Валентайн» и Т-34 показали, что бро</w:t>
      </w:r>
      <w:r w:rsidRPr="001E2C69">
        <w:rPr>
          <w:rFonts w:ascii="Times New Roman" w:hAnsi="Times New Roman"/>
          <w:color w:val="000000" w:themeColor="text1"/>
          <w:sz w:val="16"/>
          <w:szCs w:val="16"/>
        </w:rPr>
        <w:softHyphen/>
        <w:t>невая защита танка Т-60 недостаточна для применения указанного танка в бою против противника, вооруженного противотанковой артиллерией любого типа; броневая за</w:t>
      </w:r>
      <w:r w:rsidRPr="001E2C69">
        <w:rPr>
          <w:rFonts w:ascii="Times New Roman" w:hAnsi="Times New Roman"/>
          <w:color w:val="000000" w:themeColor="text1"/>
          <w:sz w:val="16"/>
          <w:szCs w:val="16"/>
        </w:rPr>
        <w:softHyphen/>
        <w:t>щита танка «валентайн» эффективна против бронебойного и подкалиберного 37-мм снаряда, а также бронебойного снаряда 50-мм противотанковой пушки РаК 38... Броневая же защита танка Т-34 от огня 37-мм и 50-мм немецких бро</w:t>
      </w:r>
      <w:r w:rsidRPr="001E2C69">
        <w:rPr>
          <w:rFonts w:ascii="Times New Roman" w:hAnsi="Times New Roman"/>
          <w:color w:val="000000" w:themeColor="text1"/>
          <w:sz w:val="16"/>
          <w:szCs w:val="16"/>
        </w:rPr>
        <w:softHyphen/>
        <w:t>небойных снарядов на дистанции свыше 300 м удовлетворительна. 50-мм подкалиберный же снаряд остается очень эффективным против брони Т-34 на всех дистанциях. «Не</w:t>
      </w:r>
      <w:r w:rsidRPr="001E2C69">
        <w:rPr>
          <w:rFonts w:ascii="Times New Roman" w:hAnsi="Times New Roman"/>
          <w:color w:val="000000" w:themeColor="text1"/>
          <w:sz w:val="16"/>
          <w:szCs w:val="16"/>
        </w:rPr>
        <w:softHyphen/>
        <w:t>обходимо срочно, не откладывая, разработать комплекс мер по усилению бронирования танка Т-34 против бронебойных подкалиберных катушечных боеприпасов» - звучало практи</w:t>
      </w:r>
      <w:r w:rsidRPr="001E2C69">
        <w:rPr>
          <w:rFonts w:ascii="Times New Roman" w:hAnsi="Times New Roman"/>
          <w:color w:val="000000" w:themeColor="text1"/>
          <w:sz w:val="16"/>
          <w:szCs w:val="16"/>
        </w:rPr>
        <w:softHyphen/>
        <w:t>чески во всех отчетах и рекомендациях того времени (11135).</w:t>
      </w:r>
    </w:p>
    <w:p w14:paraId="509AFE4B"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651A5644"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 — сентябре 1942 г. для Т-70 были выра</w:t>
      </w:r>
      <w:r w:rsidRPr="001E2C69">
        <w:rPr>
          <w:rFonts w:ascii="Times New Roman" w:hAnsi="Times New Roman"/>
          <w:color w:val="000000" w:themeColor="text1"/>
          <w:sz w:val="16"/>
          <w:szCs w:val="16"/>
        </w:rPr>
        <w:softHyphen/>
        <w:t>ботаны новые ТТТ, призванные для дальнейшего улучше</w:t>
      </w:r>
      <w:r w:rsidRPr="001E2C69">
        <w:rPr>
          <w:rFonts w:ascii="Times New Roman" w:hAnsi="Times New Roman"/>
          <w:color w:val="000000" w:themeColor="text1"/>
          <w:sz w:val="16"/>
          <w:szCs w:val="16"/>
        </w:rPr>
        <w:softHyphen/>
        <w:t>ния его характеристик. И в частности, угол возвышения башенного оружия теперь должен был составлять не менее 65°, а также вы</w:t>
      </w:r>
      <w:r w:rsidRPr="001E2C69">
        <w:rPr>
          <w:rFonts w:ascii="Times New Roman" w:hAnsi="Times New Roman"/>
          <w:color w:val="000000" w:themeColor="text1"/>
          <w:sz w:val="16"/>
          <w:szCs w:val="16"/>
        </w:rPr>
        <w:softHyphen/>
        <w:t>двигалось требование на 20—30% увеличить мощность танкового орудия, улучшить защищенность башни... Все работы по совершенствованию Т-70 велись теперь под за</w:t>
      </w:r>
      <w:r w:rsidRPr="001E2C69">
        <w:rPr>
          <w:rFonts w:ascii="Times New Roman" w:hAnsi="Times New Roman"/>
          <w:color w:val="000000" w:themeColor="text1"/>
          <w:sz w:val="16"/>
          <w:szCs w:val="16"/>
        </w:rPr>
        <w:softHyphen/>
        <w:t>водским индексом «080». Главное внимание в работах конца 1942 г. уделялось созданию новой башни. Для обеспечения требуемых углов возвышения оружия она была приподнята на кольцевом «барбете», изготовленном из брони толщиной 40—45 мм. Чтобы установить новую башню на корпусе, два листа крыши корпуса были объединены таким образом, что де</w:t>
      </w:r>
      <w:r w:rsidRPr="001E2C69">
        <w:rPr>
          <w:rFonts w:ascii="Times New Roman" w:hAnsi="Times New Roman"/>
          <w:color w:val="000000" w:themeColor="text1"/>
          <w:sz w:val="16"/>
          <w:szCs w:val="16"/>
        </w:rPr>
        <w:softHyphen/>
        <w:t>монтаж двигательного агрегата теперь стал возможен только после снятия башни. Это ухудшало ремонтопри</w:t>
      </w:r>
      <w:r w:rsidRPr="001E2C69">
        <w:rPr>
          <w:rFonts w:ascii="Times New Roman" w:hAnsi="Times New Roman"/>
          <w:color w:val="000000" w:themeColor="text1"/>
          <w:sz w:val="16"/>
          <w:szCs w:val="16"/>
        </w:rPr>
        <w:softHyphen/>
        <w:t>годность танка, но иного выхода не было.</w:t>
      </w:r>
    </w:p>
    <w:p w14:paraId="3E6C526F"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Танк получил новую силовую установку ГАЗ-203Ф с двумя форсированными двигателями суммарной мощ</w:t>
      </w:r>
      <w:r w:rsidRPr="001E2C69">
        <w:rPr>
          <w:rFonts w:ascii="Times New Roman" w:hAnsi="Times New Roman"/>
          <w:color w:val="000000" w:themeColor="text1"/>
          <w:sz w:val="16"/>
          <w:szCs w:val="16"/>
        </w:rPr>
        <w:softHyphen/>
        <w:t>ностью 165-170 л.с. при частоте вращения 3600 об./мин. Емкость топливных баков танка «080» была доведена до 1440 л, при этом запас хода по шоссе достиг 300-320 км.</w:t>
      </w:r>
    </w:p>
    <w:p w14:paraId="5CA33D18"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Поскольку силовая установка была взаимозаменяе</w:t>
      </w:r>
      <w:r w:rsidRPr="001E2C69">
        <w:rPr>
          <w:rFonts w:ascii="Times New Roman" w:hAnsi="Times New Roman"/>
          <w:color w:val="000000" w:themeColor="text1"/>
          <w:sz w:val="16"/>
          <w:szCs w:val="16"/>
        </w:rPr>
        <w:softHyphen/>
        <w:t>мой с силовой установкой танка Т-70М, то выдвигалось предположение, что первое время в серии будут строиться танки Т-80 с двигателем от Т-70М. Но в ходе испытаний двух первых опытных образцов танка «080», масса кото</w:t>
      </w:r>
      <w:r w:rsidRPr="001E2C69">
        <w:rPr>
          <w:rFonts w:ascii="Times New Roman" w:hAnsi="Times New Roman"/>
          <w:color w:val="000000" w:themeColor="text1"/>
          <w:sz w:val="16"/>
          <w:szCs w:val="16"/>
        </w:rPr>
        <w:softHyphen/>
        <w:t>рых выросла до 11,5 т, укомплектованных двигателями ГАЗ-203 и ГАЗ-203Ф, стало ясно, что подвижность танка с двигателем ГАЗ-203 на пересеченной местности стала плохой. Со старым двигателем и КПП танк «080» проиг</w:t>
      </w:r>
      <w:r w:rsidRPr="001E2C69">
        <w:rPr>
          <w:rFonts w:ascii="Times New Roman" w:hAnsi="Times New Roman"/>
          <w:color w:val="000000" w:themeColor="text1"/>
          <w:sz w:val="16"/>
          <w:szCs w:val="16"/>
        </w:rPr>
        <w:softHyphen/>
        <w:t>рал состязание не только Т-70 и Т-70М, но даже среднему Т-34. Двигатель ГАЗ-203 глох при попытке преодолеть крутые подъемы схода. Это было сочтено неприемлемым и потому от данной «панацеи» вскоре отказались (11!35).</w:t>
      </w:r>
    </w:p>
    <w:p w14:paraId="7D6BBA93" w14:textId="77777777" w:rsidR="00AE7191" w:rsidRPr="001E2C69" w:rsidRDefault="00AE7191" w:rsidP="00722885">
      <w:pPr>
        <w:shd w:val="clear" w:color="auto" w:fill="FFFFFF"/>
        <w:spacing w:after="0" w:line="240" w:lineRule="auto"/>
        <w:jc w:val="both"/>
        <w:rPr>
          <w:rFonts w:ascii="Times New Roman" w:hAnsi="Times New Roman"/>
          <w:color w:val="000000" w:themeColor="text1"/>
          <w:sz w:val="16"/>
          <w:szCs w:val="16"/>
        </w:rPr>
      </w:pPr>
    </w:p>
    <w:p w14:paraId="28E19915" w14:textId="77777777" w:rsidR="00FC56D8" w:rsidRPr="001E2C69" w:rsidRDefault="00FC56D8"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августе-сентябре 1942 года СКБ НКСП пополнилось работниками других приборостроительных заводов Москвы, а также демобилизованными из армии после ранения специалистами, в том числе прикомандированными к войскам ПВО М.Я. Шутовым, А.И. Васильевым, А.В. Куренковым (15736).</w:t>
      </w:r>
    </w:p>
    <w:p w14:paraId="71BA81E2" w14:textId="77777777" w:rsidR="00FC56D8" w:rsidRPr="001E2C69" w:rsidRDefault="00FC56D8" w:rsidP="00722885">
      <w:pPr>
        <w:spacing w:after="0" w:line="240" w:lineRule="auto"/>
        <w:jc w:val="both"/>
        <w:rPr>
          <w:rFonts w:ascii="Times New Roman" w:hAnsi="Times New Roman"/>
          <w:color w:val="000000" w:themeColor="text1"/>
          <w:sz w:val="16"/>
          <w:szCs w:val="16"/>
        </w:rPr>
      </w:pPr>
    </w:p>
    <w:p w14:paraId="1B15B15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августа 1942 по октябрь 1945 г. Военно-восстановительные отряды Нар</w:t>
      </w:r>
      <w:r w:rsidRPr="001E2C69">
        <w:rPr>
          <w:color w:val="000000" w:themeColor="text1"/>
          <w:sz w:val="16"/>
          <w:szCs w:val="16"/>
        </w:rPr>
        <w:softHyphen/>
        <w:t>комата речного флота подняли со дна рек 432 самоходных и 699 несамоходных судов. К концу войны на предприятиях речного флота бьшо введено в эксплуатацию 484 самоходных судна мощностью 36 тыс. л. с. и 602 несамоходных грузоподъемностью 106 тыс. т, а также 126 судов вспомогательного и технического флота и 18 земснарядов (3898).</w:t>
      </w:r>
    </w:p>
    <w:p w14:paraId="2A41225C" w14:textId="77777777" w:rsidR="00AE7191" w:rsidRPr="001E2C69" w:rsidRDefault="00AE7191" w:rsidP="00722885">
      <w:pPr>
        <w:pStyle w:val="Iauiue"/>
        <w:jc w:val="both"/>
        <w:rPr>
          <w:color w:val="000000" w:themeColor="text1"/>
          <w:sz w:val="16"/>
          <w:szCs w:val="16"/>
        </w:rPr>
      </w:pPr>
    </w:p>
    <w:p w14:paraId="1FCFEF67"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lastRenderedPageBreak/>
        <w:t>Армия:</w:t>
      </w:r>
    </w:p>
    <w:p w14:paraId="071FFCF1" w14:textId="77777777" w:rsidR="00AE7191" w:rsidRPr="001E2C69" w:rsidRDefault="00AE7191" w:rsidP="00722885">
      <w:pPr>
        <w:pStyle w:val="Iauiue"/>
        <w:jc w:val="both"/>
        <w:rPr>
          <w:iCs/>
          <w:color w:val="000000" w:themeColor="text1"/>
          <w:sz w:val="16"/>
          <w:szCs w:val="16"/>
        </w:rPr>
      </w:pPr>
    </w:p>
    <w:p w14:paraId="713757B4"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августе-сентябре 1942 г. командование ВВС КА организова</w:t>
      </w:r>
      <w:r w:rsidRPr="001E2C69">
        <w:rPr>
          <w:color w:val="000000" w:themeColor="text1"/>
          <w:sz w:val="16"/>
          <w:szCs w:val="16"/>
        </w:rPr>
        <w:softHyphen/>
        <w:t>ло несколько учебно-показательных воз</w:t>
      </w:r>
      <w:r w:rsidRPr="001E2C69">
        <w:rPr>
          <w:color w:val="000000" w:themeColor="text1"/>
          <w:sz w:val="16"/>
          <w:szCs w:val="16"/>
        </w:rPr>
        <w:softHyphen/>
        <w:t>душных боев Ил-2 с истребителями различных конструкций (как советских -Як-76 и Як-1, так и немецких - Bf 109F), в которых было доказано, что истреби</w:t>
      </w:r>
      <w:r w:rsidRPr="001E2C69">
        <w:rPr>
          <w:color w:val="000000" w:themeColor="text1"/>
          <w:sz w:val="16"/>
          <w:szCs w:val="16"/>
        </w:rPr>
        <w:softHyphen/>
        <w:t>тель на вираже вообще не может атако</w:t>
      </w:r>
      <w:r w:rsidRPr="001E2C69">
        <w:rPr>
          <w:color w:val="000000" w:themeColor="text1"/>
          <w:sz w:val="16"/>
          <w:szCs w:val="16"/>
        </w:rPr>
        <w:softHyphen/>
        <w:t>вать "Ил", так как радиус виража у него примерно в 2 раза больше радиуса ви</w:t>
      </w:r>
      <w:r w:rsidRPr="001E2C69">
        <w:rPr>
          <w:color w:val="000000" w:themeColor="text1"/>
          <w:sz w:val="16"/>
          <w:szCs w:val="16"/>
        </w:rPr>
        <w:softHyphen/>
        <w:t>ража "ильюшина", а время полного ви</w:t>
      </w:r>
      <w:r w:rsidRPr="001E2C69">
        <w:rPr>
          <w:color w:val="000000" w:themeColor="text1"/>
          <w:sz w:val="16"/>
          <w:szCs w:val="16"/>
        </w:rPr>
        <w:softHyphen/>
        <w:t>ража меньше, чем у штурмовика, почти в 1,5 раза. Резкий сброс "Илом" скорос</w:t>
      </w:r>
      <w:r w:rsidRPr="001E2C69">
        <w:rPr>
          <w:color w:val="000000" w:themeColor="text1"/>
          <w:sz w:val="16"/>
          <w:szCs w:val="16"/>
        </w:rPr>
        <w:softHyphen/>
        <w:t>ти приводил к обязательному проскакиванию "мессершмитта" вперед штурмо</w:t>
      </w:r>
      <w:r w:rsidRPr="001E2C69">
        <w:rPr>
          <w:color w:val="000000" w:themeColor="text1"/>
          <w:sz w:val="16"/>
          <w:szCs w:val="16"/>
        </w:rPr>
        <w:softHyphen/>
        <w:t>вика при атаке последнего сзади. Как следствие, Bf 109 расстреливался пулеметно-пушечным огнем "ильюшина".</w:t>
      </w:r>
    </w:p>
    <w:p w14:paraId="732C906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 этому времени наиболее решительные и передовые летчики-штурмовики в поисках путей снижения потерь "ильюшиных" от истре</w:t>
      </w:r>
      <w:r w:rsidRPr="001E2C69">
        <w:rPr>
          <w:color w:val="000000" w:themeColor="text1"/>
          <w:sz w:val="16"/>
          <w:szCs w:val="16"/>
        </w:rPr>
        <w:softHyphen/>
        <w:t>бителей Люфтваффе пришли к един</w:t>
      </w:r>
      <w:r w:rsidRPr="001E2C69">
        <w:rPr>
          <w:color w:val="000000" w:themeColor="text1"/>
          <w:sz w:val="16"/>
          <w:szCs w:val="16"/>
        </w:rPr>
        <w:softHyphen/>
        <w:t>ственно правильному выводу: Ил-2 мо</w:t>
      </w:r>
      <w:r w:rsidRPr="001E2C69">
        <w:rPr>
          <w:color w:val="000000" w:themeColor="text1"/>
          <w:sz w:val="16"/>
          <w:szCs w:val="16"/>
        </w:rPr>
        <w:softHyphen/>
        <w:t>жет и должен вести активный (индиви</w:t>
      </w:r>
      <w:r w:rsidRPr="001E2C69">
        <w:rPr>
          <w:color w:val="000000" w:themeColor="text1"/>
          <w:sz w:val="16"/>
          <w:szCs w:val="16"/>
        </w:rPr>
        <w:softHyphen/>
        <w:t>дуальный или групповой) воздушный бой с истребителями противника. Од</w:t>
      </w:r>
      <w:r w:rsidRPr="001E2C69">
        <w:rPr>
          <w:color w:val="000000" w:themeColor="text1"/>
          <w:sz w:val="16"/>
          <w:szCs w:val="16"/>
        </w:rPr>
        <w:softHyphen/>
        <w:t>нако "общественность" в это не верила -нужны были убедительные доказательства (6467).</w:t>
      </w:r>
    </w:p>
    <w:p w14:paraId="0FAC643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Оптимальным боевым приемом борь</w:t>
      </w:r>
      <w:r w:rsidRPr="001E2C69">
        <w:rPr>
          <w:color w:val="000000" w:themeColor="text1"/>
          <w:sz w:val="16"/>
          <w:szCs w:val="16"/>
        </w:rPr>
        <w:softHyphen/>
        <w:t>бы группы Ил-2 с истребителями Люфтваффе, как показали учебные бои, были "ножницы". Уходить из-под атаки Bf 109-го сзади летчикам "Илов" было целесо</w:t>
      </w:r>
      <w:r w:rsidRPr="001E2C69">
        <w:rPr>
          <w:color w:val="000000" w:themeColor="text1"/>
          <w:sz w:val="16"/>
          <w:szCs w:val="16"/>
        </w:rPr>
        <w:softHyphen/>
        <w:t>образно скольжением с креном 20</w:t>
      </w:r>
      <w:r w:rsidRPr="001E2C69">
        <w:rPr>
          <w:color w:val="000000" w:themeColor="text1"/>
          <w:sz w:val="16"/>
          <w:szCs w:val="16"/>
          <w:vertAlign w:val="superscript"/>
        </w:rPr>
        <w:t>е</w:t>
      </w:r>
      <w:r w:rsidRPr="001E2C69">
        <w:rPr>
          <w:color w:val="000000" w:themeColor="text1"/>
          <w:sz w:val="16"/>
          <w:szCs w:val="16"/>
        </w:rPr>
        <w:t>. В этом случае "мессер" лишался возмож</w:t>
      </w:r>
      <w:r w:rsidRPr="001E2C69">
        <w:rPr>
          <w:color w:val="000000" w:themeColor="text1"/>
          <w:sz w:val="16"/>
          <w:szCs w:val="16"/>
        </w:rPr>
        <w:softHyphen/>
        <w:t>ности вести по штурмовику прицельный огонь.</w:t>
      </w:r>
    </w:p>
    <w:p w14:paraId="638D264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качестве наилучшего боевого по</w:t>
      </w:r>
      <w:r w:rsidRPr="001E2C69">
        <w:rPr>
          <w:color w:val="000000" w:themeColor="text1"/>
          <w:sz w:val="16"/>
          <w:szCs w:val="16"/>
        </w:rPr>
        <w:softHyphen/>
        <w:t>рядка для группы из 6-8 Ил-2 предла</w:t>
      </w:r>
      <w:r w:rsidRPr="001E2C69">
        <w:rPr>
          <w:color w:val="000000" w:themeColor="text1"/>
          <w:sz w:val="16"/>
          <w:szCs w:val="16"/>
        </w:rPr>
        <w:softHyphen/>
        <w:t>гался "клин", близкий к "фронту", с ин</w:t>
      </w:r>
      <w:r w:rsidRPr="001E2C69">
        <w:rPr>
          <w:color w:val="000000" w:themeColor="text1"/>
          <w:sz w:val="16"/>
          <w:szCs w:val="16"/>
        </w:rPr>
        <w:softHyphen/>
        <w:t>тервалами между самолетами в паре 100-150 м, с дистанциями в парах в об</w:t>
      </w:r>
      <w:r w:rsidRPr="001E2C69">
        <w:rPr>
          <w:color w:val="000000" w:themeColor="text1"/>
          <w:sz w:val="16"/>
          <w:szCs w:val="16"/>
        </w:rPr>
        <w:softHyphen/>
        <w:t>щей группе не более 100 м и с интерва</w:t>
      </w:r>
      <w:r w:rsidRPr="001E2C69">
        <w:rPr>
          <w:color w:val="000000" w:themeColor="text1"/>
          <w:sz w:val="16"/>
          <w:szCs w:val="16"/>
        </w:rPr>
        <w:softHyphen/>
        <w:t>лами между парами - 150-200 м.</w:t>
      </w:r>
    </w:p>
    <w:p w14:paraId="3902A0F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Такой боевой порядок вполне обес</w:t>
      </w:r>
      <w:r w:rsidRPr="001E2C69">
        <w:rPr>
          <w:color w:val="000000" w:themeColor="text1"/>
          <w:sz w:val="16"/>
          <w:szCs w:val="16"/>
        </w:rPr>
        <w:softHyphen/>
        <w:t>печивал ведущему группы хорошее на</w:t>
      </w:r>
      <w:r w:rsidRPr="001E2C69">
        <w:rPr>
          <w:color w:val="000000" w:themeColor="text1"/>
          <w:sz w:val="16"/>
          <w:szCs w:val="16"/>
        </w:rPr>
        <w:softHyphen/>
        <w:t>блюдение за группой, облегчал действия сопровождающих группу истребителей, а также маневр и взаимную огневую поддержку штурмовиков в группе в слу</w:t>
      </w:r>
      <w:r w:rsidRPr="001E2C69">
        <w:rPr>
          <w:color w:val="000000" w:themeColor="text1"/>
          <w:sz w:val="16"/>
          <w:szCs w:val="16"/>
        </w:rPr>
        <w:softHyphen/>
        <w:t>чае отражения атак истребителей про</w:t>
      </w:r>
      <w:r w:rsidRPr="001E2C69">
        <w:rPr>
          <w:color w:val="000000" w:themeColor="text1"/>
          <w:sz w:val="16"/>
          <w:szCs w:val="16"/>
        </w:rPr>
        <w:softHyphen/>
        <w:t>тивника.</w:t>
      </w:r>
    </w:p>
    <w:p w14:paraId="34E66439"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Отражение атак противника при по</w:t>
      </w:r>
      <w:r w:rsidRPr="001E2C69">
        <w:rPr>
          <w:color w:val="000000" w:themeColor="text1"/>
          <w:sz w:val="16"/>
          <w:szCs w:val="16"/>
        </w:rPr>
        <w:softHyphen/>
        <w:t>лете над территорией противника ре</w:t>
      </w:r>
      <w:r w:rsidRPr="001E2C69">
        <w:rPr>
          <w:color w:val="000000" w:themeColor="text1"/>
          <w:sz w:val="16"/>
          <w:szCs w:val="16"/>
        </w:rPr>
        <w:softHyphen/>
        <w:t>комендовалось производить путем соче</w:t>
      </w:r>
      <w:r w:rsidRPr="001E2C69">
        <w:rPr>
          <w:color w:val="000000" w:themeColor="text1"/>
          <w:sz w:val="16"/>
          <w:szCs w:val="16"/>
        </w:rPr>
        <w:softHyphen/>
        <w:t>тания лобовых атак с маневрировани</w:t>
      </w:r>
      <w:r w:rsidRPr="001E2C69">
        <w:rPr>
          <w:color w:val="000000" w:themeColor="text1"/>
          <w:sz w:val="16"/>
          <w:szCs w:val="16"/>
        </w:rPr>
        <w:softHyphen/>
        <w:t>ем по горизонту, сохраняя общий строй и курс.</w:t>
      </w:r>
    </w:p>
    <w:p w14:paraId="059FAA8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При атаке истребителей противника над своей территорией группе штурмо</w:t>
      </w:r>
      <w:r w:rsidRPr="001E2C69">
        <w:rPr>
          <w:color w:val="000000" w:themeColor="text1"/>
          <w:sz w:val="16"/>
          <w:szCs w:val="16"/>
        </w:rPr>
        <w:softHyphen/>
        <w:t>виков рекомендовалось встать в оборо</w:t>
      </w:r>
      <w:r w:rsidRPr="001E2C69">
        <w:rPr>
          <w:color w:val="000000" w:themeColor="text1"/>
          <w:sz w:val="16"/>
          <w:szCs w:val="16"/>
        </w:rPr>
        <w:softHyphen/>
        <w:t>нительный "круг". С этой целью веду</w:t>
      </w:r>
      <w:r w:rsidRPr="001E2C69">
        <w:rPr>
          <w:color w:val="000000" w:themeColor="text1"/>
          <w:sz w:val="16"/>
          <w:szCs w:val="16"/>
        </w:rPr>
        <w:softHyphen/>
        <w:t>щий должен был подать по радио ко</w:t>
      </w:r>
      <w:r w:rsidRPr="001E2C69">
        <w:rPr>
          <w:color w:val="000000" w:themeColor="text1"/>
          <w:sz w:val="16"/>
          <w:szCs w:val="16"/>
        </w:rPr>
        <w:softHyphen/>
        <w:t>манду "Вираж влево" или "Вираж впра</w:t>
      </w:r>
      <w:r w:rsidRPr="001E2C69">
        <w:rPr>
          <w:color w:val="000000" w:themeColor="text1"/>
          <w:sz w:val="16"/>
          <w:szCs w:val="16"/>
        </w:rPr>
        <w:softHyphen/>
        <w:t>во". Разворот всегда производился в сторону противника. При этом внутрен</w:t>
      </w:r>
      <w:r w:rsidRPr="001E2C69">
        <w:rPr>
          <w:color w:val="000000" w:themeColor="text1"/>
          <w:sz w:val="16"/>
          <w:szCs w:val="16"/>
        </w:rPr>
        <w:softHyphen/>
        <w:t>ние пары делали разворот, становясь в хвост друг другу, а внешняя пара (ведо</w:t>
      </w:r>
      <w:r w:rsidRPr="001E2C69">
        <w:rPr>
          <w:color w:val="000000" w:themeColor="text1"/>
          <w:sz w:val="16"/>
          <w:szCs w:val="16"/>
        </w:rPr>
        <w:softHyphen/>
        <w:t>мая) делала разворот и шла в паре, пока не замкнется общий круг. Для построе</w:t>
      </w:r>
      <w:r w:rsidRPr="001E2C69">
        <w:rPr>
          <w:color w:val="000000" w:themeColor="text1"/>
          <w:sz w:val="16"/>
          <w:szCs w:val="16"/>
        </w:rPr>
        <w:softHyphen/>
        <w:t>ния эффективного "круга" число само</w:t>
      </w:r>
      <w:r w:rsidRPr="001E2C69">
        <w:rPr>
          <w:color w:val="000000" w:themeColor="text1"/>
          <w:sz w:val="16"/>
          <w:szCs w:val="16"/>
        </w:rPr>
        <w:softHyphen/>
        <w:t>летов Ил-2 в группе, как показал боевой опыт, должно было быть не менее 6. Дистанция между самолетами в круге -150-200 м, высота полета - не ниже 300 м, крены при развороте - от 15° до 40°.</w:t>
      </w:r>
    </w:p>
    <w:p w14:paraId="595E1CB7"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Каждый из экипажей, находясь в "кру</w:t>
      </w:r>
      <w:r w:rsidRPr="001E2C69">
        <w:rPr>
          <w:color w:val="000000" w:themeColor="text1"/>
          <w:sz w:val="16"/>
          <w:szCs w:val="16"/>
        </w:rPr>
        <w:softHyphen/>
        <w:t>гу", нес полную ответственность за за</w:t>
      </w:r>
      <w:r w:rsidRPr="001E2C69">
        <w:rPr>
          <w:color w:val="000000" w:themeColor="text1"/>
          <w:sz w:val="16"/>
          <w:szCs w:val="16"/>
        </w:rPr>
        <w:softHyphen/>
        <w:t>щиту впередиидущего самолета и не имел права оставлять своего места. Эки</w:t>
      </w:r>
      <w:r w:rsidRPr="001E2C69">
        <w:rPr>
          <w:color w:val="000000" w:themeColor="text1"/>
          <w:sz w:val="16"/>
          <w:szCs w:val="16"/>
        </w:rPr>
        <w:softHyphen/>
        <w:t>пажи имели право и были обязаны в целях отражения атак истребителей ма</w:t>
      </w:r>
      <w:r w:rsidRPr="001E2C69">
        <w:rPr>
          <w:color w:val="000000" w:themeColor="text1"/>
          <w:sz w:val="16"/>
          <w:szCs w:val="16"/>
        </w:rPr>
        <w:softHyphen/>
        <w:t>неврировать по горизонту разворотами влево и вправо до 45°, а по вертикали кабрированием и планированием под углом до 30°.</w:t>
      </w:r>
    </w:p>
    <w:p w14:paraId="0A80753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тех случаях, когда штурмовики при</w:t>
      </w:r>
      <w:r w:rsidRPr="001E2C69">
        <w:rPr>
          <w:color w:val="000000" w:themeColor="text1"/>
          <w:sz w:val="16"/>
          <w:szCs w:val="16"/>
        </w:rPr>
        <w:softHyphen/>
        <w:t>крывались своими истребителями, обо</w:t>
      </w:r>
      <w:r w:rsidRPr="001E2C69">
        <w:rPr>
          <w:color w:val="000000" w:themeColor="text1"/>
          <w:sz w:val="16"/>
          <w:szCs w:val="16"/>
        </w:rPr>
        <w:softHyphen/>
        <w:t>ронительный "круг" строился ниже ис</w:t>
      </w:r>
      <w:r w:rsidRPr="001E2C69">
        <w:rPr>
          <w:color w:val="000000" w:themeColor="text1"/>
          <w:sz w:val="16"/>
          <w:szCs w:val="16"/>
        </w:rPr>
        <w:softHyphen/>
        <w:t>требителей на 400-500 м, образуя ниж</w:t>
      </w:r>
      <w:r w:rsidRPr="001E2C69">
        <w:rPr>
          <w:color w:val="000000" w:themeColor="text1"/>
          <w:sz w:val="16"/>
          <w:szCs w:val="16"/>
        </w:rPr>
        <w:softHyphen/>
        <w:t>ний ярус, что создавало условия для хо</w:t>
      </w:r>
      <w:r w:rsidRPr="001E2C69">
        <w:rPr>
          <w:color w:val="000000" w:themeColor="text1"/>
          <w:sz w:val="16"/>
          <w:szCs w:val="16"/>
        </w:rPr>
        <w:softHyphen/>
        <w:t>рошего взаимодействия между истре</w:t>
      </w:r>
      <w:r w:rsidRPr="001E2C69">
        <w:rPr>
          <w:color w:val="000000" w:themeColor="text1"/>
          <w:sz w:val="16"/>
          <w:szCs w:val="16"/>
        </w:rPr>
        <w:softHyphen/>
        <w:t>бителями прикрытия и штурмовиками.</w:t>
      </w:r>
    </w:p>
    <w:p w14:paraId="7D1EA06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Для лучшего ведения воздушного боя, а также для успешного взаимодействия с истребителями прикрытия в каждом полете от командиров полков и групп требовалась организация надежной двухсторонней радиосвязи между штур</w:t>
      </w:r>
      <w:r w:rsidRPr="001E2C69">
        <w:rPr>
          <w:color w:val="000000" w:themeColor="text1"/>
          <w:sz w:val="16"/>
          <w:szCs w:val="16"/>
        </w:rPr>
        <w:softHyphen/>
        <w:t>мовиками и истребителями прикрытия.</w:t>
      </w:r>
    </w:p>
    <w:p w14:paraId="1AFCFAFF"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Показательные воздушные бои, раз</w:t>
      </w:r>
      <w:r w:rsidRPr="001E2C69">
        <w:rPr>
          <w:color w:val="000000" w:themeColor="text1"/>
          <w:sz w:val="16"/>
          <w:szCs w:val="16"/>
        </w:rPr>
        <w:softHyphen/>
        <w:t>работка рекомендаций по ведению воз</w:t>
      </w:r>
      <w:r w:rsidRPr="001E2C69">
        <w:rPr>
          <w:color w:val="000000" w:themeColor="text1"/>
          <w:sz w:val="16"/>
          <w:szCs w:val="16"/>
        </w:rPr>
        <w:softHyphen/>
        <w:t>душного боя на самолете Ил-2 с истре</w:t>
      </w:r>
      <w:r w:rsidRPr="001E2C69">
        <w:rPr>
          <w:color w:val="000000" w:themeColor="text1"/>
          <w:sz w:val="16"/>
          <w:szCs w:val="16"/>
        </w:rPr>
        <w:softHyphen/>
        <w:t>бителями Люфтваффе и, самое главное, усилия комсостава ВВС КА по внедре</w:t>
      </w:r>
      <w:r w:rsidRPr="001E2C69">
        <w:rPr>
          <w:color w:val="000000" w:themeColor="text1"/>
          <w:sz w:val="16"/>
          <w:szCs w:val="16"/>
        </w:rPr>
        <w:softHyphen/>
        <w:t>нию в сознание летного состава штур</w:t>
      </w:r>
      <w:r w:rsidRPr="001E2C69">
        <w:rPr>
          <w:color w:val="000000" w:themeColor="text1"/>
          <w:sz w:val="16"/>
          <w:szCs w:val="16"/>
        </w:rPr>
        <w:softHyphen/>
        <w:t>мовых авиачастей веры в боевые воз</w:t>
      </w:r>
      <w:r w:rsidRPr="001E2C69">
        <w:rPr>
          <w:color w:val="000000" w:themeColor="text1"/>
          <w:sz w:val="16"/>
          <w:szCs w:val="16"/>
        </w:rPr>
        <w:softHyphen/>
        <w:t>можности Ил-2 и уверенности в своих силах вскоре сделали свое дело, и в анналах истории войны можно найти множество поучительных примеров ус</w:t>
      </w:r>
      <w:r w:rsidRPr="001E2C69">
        <w:rPr>
          <w:color w:val="000000" w:themeColor="text1"/>
          <w:sz w:val="16"/>
          <w:szCs w:val="16"/>
        </w:rPr>
        <w:softHyphen/>
        <w:t>пешного проведения воздушных боев штурмовиками Ил-2 с истребителями Люфтваффе (6467).</w:t>
      </w:r>
    </w:p>
    <w:p w14:paraId="7635BF1B" w14:textId="77777777" w:rsidR="00AE7191" w:rsidRPr="001E2C69" w:rsidRDefault="00AE7191" w:rsidP="00722885">
      <w:pPr>
        <w:pStyle w:val="Iauiue"/>
        <w:jc w:val="both"/>
        <w:rPr>
          <w:color w:val="000000" w:themeColor="text1"/>
          <w:sz w:val="16"/>
          <w:szCs w:val="16"/>
        </w:rPr>
      </w:pPr>
    </w:p>
    <w:p w14:paraId="06F1710A"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августе-сентябре 1942 г. наблюдалось наиболее интенсивное использование УТ-1б 46 ап. Когда немцы пытались прорваться на Кавказ через перевалы у станции Тоннельная, легкие штурмовики за половину ночи выполнили 44 вылета против немецких танков. За половину - потому что немцы вышли к аэродрому Гайдук, откуда лета</w:t>
      </w:r>
      <w:r w:rsidRPr="001E2C69">
        <w:rPr>
          <w:color w:val="000000" w:themeColor="text1"/>
          <w:sz w:val="16"/>
          <w:szCs w:val="16"/>
        </w:rPr>
        <w:softHyphen/>
        <w:t>ли УТ-16. Отстрелявшись последний раз, самолеты улетели в Геленджик (3955).</w:t>
      </w:r>
    </w:p>
    <w:p w14:paraId="778A346B" w14:textId="77777777" w:rsidR="00AE7191" w:rsidRPr="001E2C69" w:rsidRDefault="00AE7191" w:rsidP="00722885">
      <w:pPr>
        <w:pStyle w:val="Iauiue"/>
        <w:jc w:val="both"/>
        <w:rPr>
          <w:color w:val="000000" w:themeColor="text1"/>
          <w:sz w:val="16"/>
          <w:szCs w:val="16"/>
        </w:rPr>
      </w:pPr>
    </w:p>
    <w:p w14:paraId="0C09D806"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В августе-октябре 1942 г. по разработанному Военным советом ЧФ спецзаданию, Артремзавод создал образец, получивший обозначение РПУ-б (ракетная пусковая установка на шесть снарядов калибром 82 мм) для Г-5. Система обладала следующими преимуществами: более длинными направляющими, фиксаторами снарядов в походном положении, возможностью кругового вращения установки с дистанционным управлением из рубки. Пуск PC осуществлялся посредством специального приспособления, предусматривавшего, при установке ручек машинного телеграфа в положение “Малый ход”, нажатии кнопки “Пуск”, замыкание цепи стрельбы специальным ртутным замыкателем, срабатывавшим при нулевом крене и дифференте катера. Электроконтакты и пиропатроны запалов снарядов защищались от морской воды герметическим замком. РПУ-б полностью устроила моряков: все шесть установили на катерах 1-й БТКА в декабре 1942 г. (6002).</w:t>
      </w:r>
    </w:p>
    <w:p w14:paraId="70B10810" w14:textId="77777777" w:rsidR="00AE7191" w:rsidRPr="001E2C69" w:rsidRDefault="00AE7191" w:rsidP="00722885">
      <w:pPr>
        <w:pStyle w:val="Iauiue"/>
        <w:jc w:val="both"/>
        <w:rPr>
          <w:color w:val="000000" w:themeColor="text1"/>
          <w:sz w:val="16"/>
          <w:szCs w:val="16"/>
        </w:rPr>
      </w:pPr>
    </w:p>
    <w:p w14:paraId="6A30BA90"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8127F8">
        <w:rPr>
          <w:rFonts w:ascii="Times New Roman" w:hAnsi="Times New Roman"/>
          <w:i/>
          <w:iCs/>
          <w:color w:val="000000" w:themeColor="text1"/>
          <w:sz w:val="16"/>
          <w:szCs w:val="16"/>
        </w:rPr>
        <w:t>Авиапромышленность:</w:t>
      </w:r>
    </w:p>
    <w:p w14:paraId="6A722756"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C379AC" w14:textId="77777777" w:rsidR="005B4051" w:rsidRPr="001E2C69" w:rsidRDefault="005B405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конце лета 1942 г. на заводе № 21 освоили производство нового лавочкинского истребителя с мотором М-82, который первое время назывался ЛаГГ-5, а с 8 сентября получил официальное обозначение Ла-5. Из дневника С.А. Лавочкина, фрагментарно опубликованного в работе П.Т. Асташенкова «Дерзкие старты», следует, что первоначально в состав вооружения этого самолета планировалось включить четыре пушки, но затем обстоятельства заставили от этого отказаться: «Мотор зажат капотом, необходимого обдува головок цилиндров нет… Снять две пушки, на оставшиеся две перевести весь боекомплект…» На ряде опытных машин ради снижения массы и улучшения высотно-скоростных характеристик вооружение Ла-5 сделали как у предшественника ЛаГГ-3: одна пушка ШВАК (на этот раз синхронная, а не моторная) и один пулемет БС. Однако подавляющее большинство серийных машин, в том числе с форсированным мотором (Ла-5Ф) и системой непосредственного впрыска топлива (Ла-5ФН) впоследствии выпускалось с двумя синхронными пушками ШВАК (другое название СП-20) и боекомплектом по 220 патронов на ствол. По сравнению с четырьмя пушками и двумя пулеметами немецкого истребителя FW 190A вооружение Ла-5 выглядело слабовато, поэтому периодически предпринимались попытки установки других орудий и увеличения числа стволов (18999).</w:t>
      </w:r>
    </w:p>
    <w:p w14:paraId="341F7568" w14:textId="77777777" w:rsidR="005B4051" w:rsidRPr="001E2C69" w:rsidRDefault="005B4051" w:rsidP="00722885">
      <w:pPr>
        <w:spacing w:after="0" w:line="240" w:lineRule="auto"/>
        <w:jc w:val="both"/>
        <w:rPr>
          <w:rFonts w:ascii="Times New Roman" w:hAnsi="Times New Roman"/>
          <w:color w:val="000000" w:themeColor="text1"/>
          <w:sz w:val="16"/>
          <w:szCs w:val="16"/>
        </w:rPr>
      </w:pPr>
    </w:p>
    <w:p w14:paraId="35E7D9EB"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конце лета 1942 г. провели пробные посадки планера А-7 на лес и воду. Пилотировал А-7 капитан Л. Ляпин. Первый раз он сел на деревья на малой скорости. Прибыв</w:t>
      </w:r>
      <w:r w:rsidRPr="001E2C69">
        <w:rPr>
          <w:rFonts w:ascii="Times New Roman" w:hAnsi="Times New Roman"/>
          <w:color w:val="000000" w:themeColor="text1"/>
          <w:sz w:val="16"/>
          <w:szCs w:val="16"/>
        </w:rPr>
        <w:softHyphen/>
        <w:t>шие на место члены комиссии обнару</w:t>
      </w:r>
      <w:r w:rsidRPr="001E2C69">
        <w:rPr>
          <w:rFonts w:ascii="Times New Roman" w:hAnsi="Times New Roman"/>
          <w:color w:val="000000" w:themeColor="text1"/>
          <w:sz w:val="16"/>
          <w:szCs w:val="16"/>
        </w:rPr>
        <w:softHyphen/>
        <w:t>жили планёр висящим на верхушках сосен, а пониже на толстой ветке сидел и покуривал капитан. Попытку признали неудачной - снять груз с такой высоты, тем более быстро, оказалось непрос</w:t>
      </w:r>
      <w:r w:rsidRPr="001E2C69">
        <w:rPr>
          <w:rFonts w:ascii="Times New Roman" w:hAnsi="Times New Roman"/>
          <w:color w:val="000000" w:themeColor="text1"/>
          <w:sz w:val="16"/>
          <w:szCs w:val="16"/>
        </w:rPr>
        <w:softHyphen/>
        <w:t>то. Через два часа Ляпин вылетел на другом планёре. Отцепившись от бук</w:t>
      </w:r>
      <w:r w:rsidRPr="001E2C69">
        <w:rPr>
          <w:rFonts w:ascii="Times New Roman" w:hAnsi="Times New Roman"/>
          <w:color w:val="000000" w:themeColor="text1"/>
          <w:sz w:val="16"/>
          <w:szCs w:val="16"/>
        </w:rPr>
        <w:softHyphen/>
        <w:t>сировщика, он разогнался в пологом пикировании и на большой скорости начал сбивать верхушки деревьев.</w:t>
      </w:r>
    </w:p>
    <w:p w14:paraId="1A9FDC9F"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Перед посадкой на воду Ляпина (он выполнял её в тот же самый день) пе</w:t>
      </w:r>
      <w:r w:rsidRPr="001E2C69">
        <w:rPr>
          <w:rFonts w:ascii="Times New Roman" w:hAnsi="Times New Roman"/>
          <w:color w:val="000000" w:themeColor="text1"/>
          <w:sz w:val="16"/>
          <w:szCs w:val="16"/>
        </w:rPr>
        <w:softHyphen/>
        <w:t>реодели в лёгкий комбинезон на голое тело, в кабине пилот находился без шлема и не застёгивал пристяжные ремни. А-7 садился на озеро возле аэродрома. Пробег по воде оказался меньше, чем по траве - всего 10-15 м. Лётчика ударило лицом о лобовое стек</w:t>
      </w:r>
      <w:r w:rsidRPr="001E2C69">
        <w:rPr>
          <w:rFonts w:ascii="Times New Roman" w:hAnsi="Times New Roman"/>
          <w:color w:val="000000" w:themeColor="text1"/>
          <w:sz w:val="16"/>
          <w:szCs w:val="16"/>
        </w:rPr>
        <w:softHyphen/>
        <w:t>ло. После приводнения планёр начал медленно тонуть, пока не лёг крыльями на воду. Тогда Ляпин вылез из кабины и стал на крыле ожидать катер.</w:t>
      </w:r>
    </w:p>
    <w:p w14:paraId="01DF87D9"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ходе эксплуатации выявили ещё один недостаток А-7 - случались про</w:t>
      </w:r>
      <w:r w:rsidRPr="001E2C69">
        <w:rPr>
          <w:rFonts w:ascii="Times New Roman" w:hAnsi="Times New Roman"/>
          <w:color w:val="000000" w:themeColor="text1"/>
          <w:sz w:val="16"/>
          <w:szCs w:val="16"/>
        </w:rPr>
        <w:softHyphen/>
        <w:t>скальзывания храпового механизма, из-за чего резиновые амортизаторы резко захлопывали щитки. При этом планёр резко терял высоту. Поскольку щитками пользовались на посадке, то это было довольно опасно (12266).</w:t>
      </w:r>
    </w:p>
    <w:p w14:paraId="776B3944"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6780D0B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конце лета 1942 г. на одном из аэ</w:t>
      </w:r>
      <w:r w:rsidRPr="001E2C69">
        <w:rPr>
          <w:rFonts w:ascii="Times New Roman" w:hAnsi="Times New Roman"/>
          <w:color w:val="000000" w:themeColor="text1"/>
          <w:sz w:val="16"/>
          <w:szCs w:val="16"/>
        </w:rPr>
        <w:softHyphen/>
        <w:t>родромов Московского военного округа состоялся смотр десантной техники. Приехало высокое начальство. Для него организовали показ головокружи</w:t>
      </w:r>
      <w:r w:rsidRPr="001E2C69">
        <w:rPr>
          <w:rFonts w:ascii="Times New Roman" w:hAnsi="Times New Roman"/>
          <w:color w:val="000000" w:themeColor="text1"/>
          <w:sz w:val="16"/>
          <w:szCs w:val="16"/>
        </w:rPr>
        <w:softHyphen/>
        <w:t>тельного номера: посадочный десант в составе 20 планёров А-7 и Г-11 на маленькую площадку. Планёры при</w:t>
      </w:r>
      <w:r w:rsidRPr="001E2C69">
        <w:rPr>
          <w:rFonts w:ascii="Times New Roman" w:hAnsi="Times New Roman"/>
          <w:color w:val="000000" w:themeColor="text1"/>
          <w:sz w:val="16"/>
          <w:szCs w:val="16"/>
        </w:rPr>
        <w:softHyphen/>
        <w:t>землялись не только на полосу, а по всей площадке. После высадки солда</w:t>
      </w:r>
      <w:r w:rsidRPr="001E2C69">
        <w:rPr>
          <w:rFonts w:ascii="Times New Roman" w:hAnsi="Times New Roman"/>
          <w:color w:val="000000" w:themeColor="text1"/>
          <w:sz w:val="16"/>
          <w:szCs w:val="16"/>
        </w:rPr>
        <w:softHyphen/>
        <w:t>ты с криками «ура!» побежали к месту расположения гостей. Эффект был ог</w:t>
      </w:r>
      <w:r w:rsidRPr="001E2C69">
        <w:rPr>
          <w:rFonts w:ascii="Times New Roman" w:hAnsi="Times New Roman"/>
          <w:color w:val="000000" w:themeColor="text1"/>
          <w:sz w:val="16"/>
          <w:szCs w:val="16"/>
        </w:rPr>
        <w:softHyphen/>
        <w:t>ромный. И это - без единой тренировки в групповом полёте! То, что обошлись без травм - просто чудо...(12266).</w:t>
      </w:r>
    </w:p>
    <w:p w14:paraId="53D362A1"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7BDD8451"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лета 1942-го Томашевич подготовил и направили для рассмотрения в наркомат авиапромышленности эскизный проект будущего Пегаса - специалльного бронированного самолета массовой постройке для воздушной противотанковой армии.</w:t>
      </w:r>
    </w:p>
    <w:p w14:paraId="7C2A203E"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Предваряло эскизный проект общее описание этой небывалой идеи: "В существующих условиях нужно и можно создать самолет, предназначенный для решения только одной задачи - уничтожения танков и мобильных войск, имеющий настолько простую конструкцию, что проектирование и постройка опытных машин займет не более трех месяцев. К 1 августа 1943-го можно будет построить 15000 таких самолетов, без ощутимого напряжения промышленности и почти без загрузки смежников.</w:t>
      </w:r>
    </w:p>
    <w:p w14:paraId="7723DE6F"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Основная идея, лежащая в основе предполагаемого самолета, состоит в том, чтобы исключить из конструкции все, что предназначено для решения других задач, оставить только минимум, который необходим для уничтожения танков.</w:t>
      </w:r>
    </w:p>
    <w:p w14:paraId="36194887"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Такой специально противотанковый самолет не требует большинства характеристик и оборудования, входящих в понятие современного военного самолета, чрезвычайно усложняющих конструкцию и организацию производства. Например, для противотанкового самолета не требуется больших горизонтальных скоростей и большого диапазона их, не требуется большой высотности. Вследствие этот самолет может быть построен из недефицитных, низкосортных и даже не авиационных материалов.</w:t>
      </w:r>
    </w:p>
    <w:p w14:paraId="030034CB"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lastRenderedPageBreak/>
        <w:t>Чтобы обеспечить внезапность применения нового противотанкового самолета, нужно бросить его на фронт сразу большими массами. Для вступления всей массы самолетов в строй к августу 1943-го необходимо (...):</w:t>
      </w:r>
    </w:p>
    <w:p w14:paraId="39F609BE"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 немедленно приступить к постройке первых пяти штук на заводе №288, с выпуском их к 1 ноября 1942-го.</w:t>
      </w:r>
    </w:p>
    <w:p w14:paraId="2EE08822"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б) одновременно с началом проектирования выделить два крупных завода, один - типа завода сельскохозяйственных машин для постройки самолета, другой -типа завода №29 для изготовления авиамоторов и немедленно начать проектирование серийной технологии и оснастки.</w:t>
      </w:r>
    </w:p>
    <w:p w14:paraId="76D33D1E"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после готовности первых пяти самолетов, кроме обычных летных испытаний, отработать тактику боя с танками. Для этой цели необходимо выделить танковую часть и оборудовать недалеко от Омска специальный полигон.</w:t>
      </w:r>
    </w:p>
    <w:p w14:paraId="20DC8DA7"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г) приступить к серийному производству на выделенных двух заводах немедленно после готовности серийной технологии и оснастки, сводя постепенно на нет существующее на них производство. Серийный выпуск необходимо осуществить независимо от готовности опытных самолетов и окончания их испытаний.</w:t>
      </w:r>
    </w:p>
    <w:p w14:paraId="48330CEB"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д) подобное немедленное развертывание производства содержит в себе некоторый риск, но ввиду простой конструкции можно гарантировать, что самолет в реальном полете будет иметь расчетные летные данные. Даже если тактические испытания выявят неудовлетворительный результат, что маловероятно, материальный ущерб будет сравнительно незначителен (...) приблизительно 10 млн. рублей.</w:t>
      </w:r>
    </w:p>
    <w:p w14:paraId="6983779F"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случае удовлетворительных тактических свойств самолета страна получит в 1943 г. средство, которое решит исход кампании на нашем театре военных действий и, следовательно,исход всей войны.</w:t>
      </w:r>
    </w:p>
    <w:p w14:paraId="7391104F"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свете такой перспективы упомянутый выше риск совершенно ничтожен, и работы должны быть немедленно развернуты во всю ширину." (9653).</w:t>
      </w:r>
    </w:p>
    <w:p w14:paraId="1F2BA914"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Предполагалось, в частности, использовать поделочную сосну, строительную фанеру, сталь марки С-20, кровельное железо и низкосортные алюминиевые сплавы в минимальном количестве.</w:t>
      </w:r>
    </w:p>
    <w:p w14:paraId="690219D6"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Из дерева предполагалось строить не только сам самолет но и, что было уж совсем необычно, колеса шасси. В качестве силовой установки выбрали двигатели М-11(подва на каждый самолет из условий грузоподъемности, компоновки вооружения и обеспечения хорошего обзора летчику), надежные, недорогие и неприхотливые, хорошо освоенные авиапромышленностью и широко распространенные в советской авиации.</w:t>
      </w:r>
    </w:p>
    <w:p w14:paraId="10A62214"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М-11, кроме прочего, не требовали сложного оборудования при эксплуатации и ремонте, легко запускались в зимнее время и потребляли любой авиабензин. По подсчетам, для боевого вылета пяти противотанковых самолетов Тома-шевича топлива расходовалось столько же, сколько требовалось для обеспечения боевого вылета одного Ил-2.</w:t>
      </w:r>
    </w:p>
    <w:p w14:paraId="50760BFE"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Кроме того, что самолет предполагался дешевым и простым в производстве, на нем осуществлялись мероприятия, которые позволяли доверить его летчикам с невысокой квалификацией. Шасси не убирались, не было гидравлики и воздушной системы, электропроводка ставилась самая простейшая. Крыло, набиравшееся из высоконесу-щих профилей NACA 4415 - 4409, имело щели. выполнявшие роль фиксированных предкрылков, обеспечивало высокие взлетно-посадочные характеристики.</w:t>
      </w:r>
    </w:p>
    <w:p w14:paraId="5BB6E7FD"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Внутри КБ проектируемый сасмолет обозначался, как ЛШБД - легкий штурмовик-бомбардировщик, деревянный. Однако вскоре ко всем необычностям проекта добавилось обозначение "Пегас", которое за ним и закрепилось.</w:t>
      </w:r>
    </w:p>
    <w:p w14:paraId="12EEB126"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Уже в ходе разработки эскизного проекта был предложен бипланный вариант "Пегаса". Основная цель - уменьшить длину разбега и посадочную скорость для возможного использования в качестве ночного бомбардировщика. При этом верхнее крыло предполагалось съемным, "Пегас" становился универсальным, но до реализации этого предложения дело не дошло (9653).</w:t>
      </w:r>
    </w:p>
    <w:p w14:paraId="6A0EC948"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4CBE20"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В конце лета 1942 года, серийное производство Ла-5, начавшееся на заводе №21, плавно, но быстро, вытеснило с заводского конвейера истребитель ЛаГГ-3. Если в сентябре завод предъявил 183 готовых к бою Ла-5 и 120 ЛаГГ-3, то в декабре, соответственно, 308 и 14. При таком процессе вполне естественно, что окраска первых серий нового самолета практически ничем не отличалось от своего предшественника. В основном эти изменения касались формы камуфляжных пятен на капоте нового мотора. Кроме того, часто металлические ленты, стягивающие капот, не окрашивались и оставались блестящими.</w:t>
      </w:r>
    </w:p>
    <w:p w14:paraId="1F26ABD7"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Окраска ЛаГГ-3 была в значительной мере стандартизирована и мало чем отличалась от окраски других советских истребителей. Однако широкое применение в его конструкции дельта-древе- сины и смоляного клея ВИАМ Б-3 обусловило некоторые особенности окраски. Дело в том, что на местах, где этот клей выступал, нитрошпатлевка и нитрокраска держались плохо.</w:t>
      </w:r>
    </w:p>
    <w:p w14:paraId="299B2542"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Руководящим документом для промышленности был приказ НКАП от 20 июня 1941 г. Переход на двухцветный камуфляж предполагался с 1 июля. Основным колером сверху был зеленый. Цвет аэролака АМТ-4 соответствовал эталону 4БО, определенному в рамках испытаний 1940 г. Для него более подходит название "защитный" или "зеленый с желтоватым оттенком". Покрытие, только что нанесенное этим лаком, несмотря на его название "матовый", было всего лишь полуматовым, что характерно и для всех аэролаков АМТ.</w:t>
      </w:r>
    </w:p>
    <w:p w14:paraId="3FF119C3"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Цвет АМТ-7, которым красили нижние поверхности, точнее можно охарактеризовать как серо-голубой. Впрочем, при хранении допускалось "незначительное изменение расцветки".</w:t>
      </w:r>
    </w:p>
    <w:p w14:paraId="1F761DF1"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Аэролаки АМТ выпускались в двух вариантах, отличающихся вязкостью: для окраски кистью - с индексом "к", пульверизатором - "п". Номера аэролаков АМТ шли с пропусками, недостающие принадлежали краскам, не нашедшим вто время применения, возможно, они использовались для упоминавшегося выше многоцветного камуфляжа.</w:t>
      </w:r>
    </w:p>
    <w:p w14:paraId="116760B3"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Зимой верхние и боковые поверхности самолетов окрашивали белой смываемой краской МК-7. Эту краску, неотличимую по цвету от снега как в видимой, так и в ультрафиолетовой области спектра, разработали на основе мела и казеинового клея. Она состояла из пасты (мел, разбавленный водой со спиртом и добавкой 0,1-0,2 процента ультрамарина для уничтожения желтоватости мела) и закрепителя (казеиновый клей, перемешанный с водой).</w:t>
      </w:r>
    </w:p>
    <w:p w14:paraId="45F564B4"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Наносилась краска в два слоя пульверизатором или в один-два слоя кистью прямо на летний камуфляж верхних и боковых поверхностей. Слои должны были быть ровными, без шероховатостей, через них должно было "слегка просвечиваться основное лакокрасочное покрытие". Самолеты, отправлявшиеся с заводов зимой, окрашивались белой смываемой краской поверх летнего камуфляжа.</w:t>
      </w:r>
    </w:p>
    <w:p w14:paraId="722537A3"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r w:rsidRPr="008127F8">
        <w:rPr>
          <w:rFonts w:ascii="Times New Roman" w:hAnsi="Times New Roman"/>
          <w:color w:val="000000" w:themeColor="text1"/>
          <w:sz w:val="16"/>
          <w:szCs w:val="16"/>
        </w:rPr>
        <w:t>Покрытие краской МК-7 было довольно непрочным и, при невыполнении требований инструкции об обновлении, постепенно стиралось, обнажая летнюю окраску. К концу зимы на самолетах сам собой появлялся так называемый "весенний" камуфляж. Впрочем в действующих частях белой краской часто окрашивали не весь истребитель, придавая машинам зачастую весьма причудливый вид (12032).</w:t>
      </w:r>
    </w:p>
    <w:p w14:paraId="18D457C9" w14:textId="77777777" w:rsidR="001A431B" w:rsidRPr="008127F8" w:rsidRDefault="001A431B" w:rsidP="001A431B">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7BA123" w14:textId="77777777" w:rsidR="00AE7191" w:rsidRPr="001E2C69" w:rsidRDefault="00267F26" w:rsidP="00722885">
      <w:pPr>
        <w:pStyle w:val="Iauiue"/>
        <w:jc w:val="both"/>
        <w:rPr>
          <w:iCs/>
          <w:color w:val="000000" w:themeColor="text1"/>
          <w:sz w:val="16"/>
          <w:szCs w:val="16"/>
        </w:rPr>
      </w:pPr>
      <w:r w:rsidRPr="001E2C69">
        <w:rPr>
          <w:i/>
          <w:iCs/>
          <w:color w:val="000000" w:themeColor="text1"/>
          <w:sz w:val="16"/>
          <w:szCs w:val="16"/>
        </w:rPr>
        <w:t>Другие оборонные отрасли:</w:t>
      </w:r>
    </w:p>
    <w:p w14:paraId="74E1B612" w14:textId="77777777" w:rsidR="00AE7191" w:rsidRPr="001E2C69" w:rsidRDefault="00AE7191" w:rsidP="00722885">
      <w:pPr>
        <w:pStyle w:val="Iauiue"/>
        <w:jc w:val="both"/>
        <w:rPr>
          <w:iCs/>
          <w:color w:val="000000" w:themeColor="text1"/>
          <w:sz w:val="16"/>
          <w:szCs w:val="16"/>
        </w:rPr>
      </w:pPr>
    </w:p>
    <w:p w14:paraId="1212C235" w14:textId="77777777" w:rsidR="00AE7191" w:rsidRPr="001E2C69" w:rsidRDefault="00AE7191" w:rsidP="00722885">
      <w:pPr>
        <w:pStyle w:val="Iauiue"/>
        <w:jc w:val="both"/>
        <w:rPr>
          <w:color w:val="000000" w:themeColor="text1"/>
          <w:sz w:val="16"/>
          <w:szCs w:val="16"/>
        </w:rPr>
      </w:pPr>
      <w:r w:rsidRPr="001E2C69">
        <w:rPr>
          <w:color w:val="000000" w:themeColor="text1"/>
          <w:sz w:val="16"/>
          <w:szCs w:val="16"/>
        </w:rPr>
        <w:t>С конца лета 1942 года Т-34 получили новую башню, так называемой "улучшенной" формы (впрочем, не менее тесную, чем предыдущая) с двумя круглыми посадочными люками в крыше, пятискоростную коробку передач, воздухоочистители типа "Циклон", увеличенный боекомплект, башенный вентилятор, десантные поручни, наружные топливные баки цилиндрической формы и много других более мелких новинок (3862).</w:t>
      </w:r>
    </w:p>
    <w:p w14:paraId="74B133DB" w14:textId="77777777" w:rsidR="00AE7191" w:rsidRPr="001E2C69" w:rsidRDefault="00AE7191" w:rsidP="00722885">
      <w:pPr>
        <w:pStyle w:val="Iauiue"/>
        <w:jc w:val="both"/>
        <w:rPr>
          <w:color w:val="000000" w:themeColor="text1"/>
          <w:sz w:val="16"/>
          <w:szCs w:val="16"/>
        </w:rPr>
      </w:pPr>
    </w:p>
    <w:p w14:paraId="4D1F5923" w14:textId="77777777" w:rsidR="00AE7191" w:rsidRPr="001E2C69" w:rsidRDefault="00AE7191" w:rsidP="00722885">
      <w:pPr>
        <w:spacing w:after="0" w:line="240" w:lineRule="auto"/>
        <w:jc w:val="both"/>
        <w:rPr>
          <w:rFonts w:ascii="Times New Roman" w:hAnsi="Times New Roman"/>
          <w:color w:val="000000" w:themeColor="text1"/>
          <w:sz w:val="16"/>
          <w:szCs w:val="16"/>
        </w:rPr>
      </w:pPr>
      <w:r w:rsidRPr="001E2C69">
        <w:rPr>
          <w:rFonts w:ascii="Times New Roman" w:hAnsi="Times New Roman"/>
          <w:color w:val="000000" w:themeColor="text1"/>
          <w:sz w:val="16"/>
          <w:szCs w:val="16"/>
        </w:rPr>
        <w:t>В конце лета 1942 года предприятие СТЗ перестал существовать - фронт проходил по его цехам. Завод как солдат выполнил свой долг до конца, отдав все силы на защиту родного города. Кстати, СТЗ был единственным заводом СССР, который в годы Великой Отечественной войны полностью прекратил танковое производство и не эвакуировался (12217).</w:t>
      </w:r>
    </w:p>
    <w:p w14:paraId="46AB61DD" w14:textId="77777777" w:rsidR="00AE7191" w:rsidRPr="001E2C69" w:rsidRDefault="00AE7191" w:rsidP="00722885">
      <w:pPr>
        <w:spacing w:after="0" w:line="240" w:lineRule="auto"/>
        <w:jc w:val="both"/>
        <w:rPr>
          <w:rFonts w:ascii="Times New Roman" w:hAnsi="Times New Roman"/>
          <w:color w:val="000000" w:themeColor="text1"/>
          <w:sz w:val="16"/>
          <w:szCs w:val="16"/>
        </w:rPr>
      </w:pPr>
    </w:p>
    <w:p w14:paraId="37D6466F" w14:textId="77777777" w:rsidR="00F97688" w:rsidRPr="001E2C69" w:rsidRDefault="00F97688" w:rsidP="00722885">
      <w:pPr>
        <w:spacing w:after="0" w:line="240" w:lineRule="auto"/>
        <w:jc w:val="both"/>
        <w:rPr>
          <w:rFonts w:ascii="Times New Roman" w:eastAsia="Times New Roman" w:hAnsi="Times New Roman"/>
          <w:color w:val="000000" w:themeColor="text1"/>
          <w:sz w:val="16"/>
          <w:szCs w:val="16"/>
          <w:lang w:eastAsia="ru-RU"/>
        </w:rPr>
      </w:pPr>
      <w:r w:rsidRPr="001E2C69">
        <w:rPr>
          <w:rFonts w:ascii="Times New Roman" w:eastAsia="Times New Roman" w:hAnsi="Times New Roman"/>
          <w:color w:val="000000" w:themeColor="text1"/>
          <w:sz w:val="16"/>
          <w:szCs w:val="16"/>
          <w:lang w:eastAsia="ru-RU"/>
        </w:rPr>
        <w:t xml:space="preserve">В самом конце лета 1942 годак теме экранировки Т-34 пришлось вернуться. Немцы всё чаще стали использовать новые типы боеприпасов, прежде всего, кумулятивные, или, как их ещё называли, термитные снаряды. Впервые их применение против танков былоотмечено в конце 1941 года, хотя по-настоящему массово немцы стали их использовать с начала 1942 года. Это существенно повысило боевую эффективность короткоствольных орудий, которыми вооружались </w:t>
      </w:r>
      <w:hyperlink r:id="rId228" w:history="1">
        <w:r w:rsidRPr="001E2C69">
          <w:rPr>
            <w:rFonts w:ascii="Times New Roman" w:eastAsia="Times New Roman" w:hAnsi="Times New Roman"/>
            <w:color w:val="000000" w:themeColor="text1"/>
            <w:sz w:val="16"/>
            <w:szCs w:val="16"/>
            <w:lang w:eastAsia="ru-RU"/>
          </w:rPr>
          <w:t>Pz.Kpfw.IV</w:t>
        </w:r>
      </w:hyperlink>
      <w:r w:rsidRPr="001E2C69">
        <w:rPr>
          <w:rFonts w:ascii="Times New Roman" w:eastAsia="Times New Roman" w:hAnsi="Times New Roman"/>
          <w:color w:val="000000" w:themeColor="text1"/>
          <w:sz w:val="16"/>
          <w:szCs w:val="16"/>
          <w:lang w:eastAsia="ru-RU"/>
        </w:rPr>
        <w:t xml:space="preserve"> и </w:t>
      </w:r>
      <w:hyperlink r:id="rId229" w:history="1">
        <w:r w:rsidRPr="001E2C69">
          <w:rPr>
            <w:rFonts w:ascii="Times New Roman" w:eastAsia="Times New Roman" w:hAnsi="Times New Roman"/>
            <w:color w:val="000000" w:themeColor="text1"/>
            <w:sz w:val="16"/>
            <w:szCs w:val="16"/>
            <w:lang w:eastAsia="ru-RU"/>
          </w:rPr>
          <w:t>StuG III</w:t>
        </w:r>
      </w:hyperlink>
      <w:r w:rsidRPr="001E2C69">
        <w:rPr>
          <w:rFonts w:ascii="Times New Roman" w:eastAsia="Times New Roman" w:hAnsi="Times New Roman"/>
          <w:color w:val="000000" w:themeColor="text1"/>
          <w:sz w:val="16"/>
          <w:szCs w:val="16"/>
          <w:lang w:eastAsia="ru-RU"/>
        </w:rPr>
        <w:t>. По советским данным, броню толщиной 45 мм кумулятивный снаряд легко пробивал на дистанции 1000 метров. Также отмечалось использование подкалиберных снарядов (18883).</w:t>
      </w:r>
    </w:p>
    <w:p w14:paraId="3258E06C" w14:textId="77777777" w:rsidR="00F97688" w:rsidRPr="001E2C69" w:rsidRDefault="00F97688" w:rsidP="00722885">
      <w:pPr>
        <w:spacing w:after="0" w:line="240" w:lineRule="auto"/>
        <w:jc w:val="both"/>
        <w:rPr>
          <w:rFonts w:ascii="Times New Roman" w:eastAsia="Times New Roman" w:hAnsi="Times New Roman"/>
          <w:color w:val="000000" w:themeColor="text1"/>
          <w:sz w:val="16"/>
          <w:szCs w:val="16"/>
          <w:lang w:eastAsia="ru-RU"/>
        </w:rPr>
      </w:pPr>
    </w:p>
    <w:sectPr w:rsidR="00F97688" w:rsidRPr="001E2C69" w:rsidSect="000A01ED">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Gungsuh">
    <w:charset w:val="81"/>
    <w:family w:val="roman"/>
    <w:pitch w:val="variable"/>
    <w:sig w:usb0="B00002AF" w:usb1="69D77CFB" w:usb2="00000030" w:usb3="00000000" w:csb0="0008009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Franklin Gothic Heavy">
    <w:panose1 w:val="020B0903020102020204"/>
    <w:charset w:val="CC"/>
    <w:family w:val="swiss"/>
    <w:pitch w:val="variable"/>
    <w:sig w:usb0="00000287" w:usb1="00000000" w:usb2="00000000" w:usb3="00000000" w:csb0="0000009F" w:csb1="00000000"/>
  </w:font>
  <w:font w:name="David">
    <w:charset w:val="B1"/>
    <w:family w:val="swiss"/>
    <w:pitch w:val="variable"/>
    <w:sig w:usb0="00000803" w:usb1="00000000" w:usb2="00000000" w:usb3="00000000" w:csb0="00000021" w:csb1="00000000"/>
  </w:font>
  <w:font w:name="Arial Black">
    <w:panose1 w:val="020B0A04020102020204"/>
    <w:charset w:val="CC"/>
    <w:family w:val="swiss"/>
    <w:pitch w:val="variable"/>
    <w:sig w:usb0="A00002AF" w:usb1="400078FB"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onstantia">
    <w:panose1 w:val="02030602050306030303"/>
    <w:charset w:val="CC"/>
    <w:family w:val="roman"/>
    <w:pitch w:val="variable"/>
    <w:sig w:usb0="A00002EF" w:usb1="4000204B" w:usb2="00000000" w:usb3="00000000" w:csb0="0000019F" w:csb1="00000000"/>
  </w:font>
  <w:font w:name="Impact">
    <w:panose1 w:val="020B080603090205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PT Sans">
    <w:charset w:val="CC"/>
    <w:family w:val="swiss"/>
    <w:pitch w:val="variable"/>
    <w:sig w:usb0="A00002EF" w:usb1="5000204B" w:usb2="00000000" w:usb3="00000000" w:csb0="00000097" w:csb1="00000000"/>
  </w:font>
  <w:font w:name="Verdana">
    <w:panose1 w:val="020B0604030504040204"/>
    <w:charset w:val="CC"/>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116497AA"/>
    <w:lvl w:ilvl="0">
      <w:start w:val="1"/>
      <w:numFmt w:val="bullet"/>
      <w:pStyle w:val="a"/>
      <w:lvlText w:val=""/>
      <w:lvlJc w:val="left"/>
      <w:pPr>
        <w:tabs>
          <w:tab w:val="num" w:pos="3762"/>
        </w:tabs>
        <w:ind w:left="3762" w:hanging="360"/>
      </w:pPr>
      <w:rPr>
        <w:rFonts w:ascii="Symbol" w:hAnsi="Symbol" w:hint="default"/>
      </w:rPr>
    </w:lvl>
  </w:abstractNum>
  <w:abstractNum w:abstractNumId="1" w15:restartNumberingAfterBreak="0">
    <w:nsid w:val="FFFFFFFE"/>
    <w:multiLevelType w:val="singleLevel"/>
    <w:tmpl w:val="A886D1FA"/>
    <w:lvl w:ilvl="0">
      <w:numFmt w:val="bullet"/>
      <w:lvlText w:val="*"/>
      <w:lvlJc w:val="left"/>
    </w:lvl>
  </w:abstractNum>
  <w:abstractNum w:abstractNumId="2" w15:restartNumberingAfterBreak="0">
    <w:nsid w:val="0000000F"/>
    <w:multiLevelType w:val="multilevel"/>
    <w:tmpl w:val="0000000E"/>
    <w:lvl w:ilvl="0">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1">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2">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3">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4">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5">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6">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7">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8">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abstractNum>
  <w:abstractNum w:abstractNumId="3" w15:restartNumberingAfterBreak="0">
    <w:nsid w:val="00000013"/>
    <w:multiLevelType w:val="multilevel"/>
    <w:tmpl w:val="00000012"/>
    <w:lvl w:ilvl="0">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1">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2">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3">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4">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5">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6">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7">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8">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abstractNum>
  <w:abstractNum w:abstractNumId="4" w15:restartNumberingAfterBreak="0">
    <w:nsid w:val="06063681"/>
    <w:multiLevelType w:val="singleLevel"/>
    <w:tmpl w:val="01D8008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 w15:restartNumberingAfterBreak="0">
    <w:nsid w:val="1A586096"/>
    <w:multiLevelType w:val="singleLevel"/>
    <w:tmpl w:val="2950257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 w15:restartNumberingAfterBreak="0">
    <w:nsid w:val="1D69083D"/>
    <w:multiLevelType w:val="multilevel"/>
    <w:tmpl w:val="828CC234"/>
    <w:lvl w:ilvl="0">
      <w:start w:val="1"/>
      <w:numFmt w:val="bullet"/>
      <w:lvlText w:val="-"/>
      <w:lvlJc w:val="left"/>
      <w:rPr>
        <w:rFonts w:ascii="Gungsuh" w:eastAsia="Gungsuh" w:hAnsi="Gungsuh" w:cs="Gungsuh"/>
        <w:b w:val="0"/>
        <w:bCs w:val="0"/>
        <w:i w:val="0"/>
        <w:iCs w:val="0"/>
        <w:smallCaps w:val="0"/>
        <w:strike w:val="0"/>
        <w:color w:val="000000"/>
        <w:spacing w:val="0"/>
        <w:w w:val="100"/>
        <w:position w:val="0"/>
        <w:sz w:val="16"/>
        <w:szCs w:val="16"/>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20ED4A34"/>
    <w:multiLevelType w:val="singleLevel"/>
    <w:tmpl w:val="373EB6AE"/>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8" w15:restartNumberingAfterBreak="0">
    <w:nsid w:val="285911B7"/>
    <w:multiLevelType w:val="singleLevel"/>
    <w:tmpl w:val="E4B44E5C"/>
    <w:lvl w:ilvl="0">
      <w:start w:val="3"/>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9" w15:restartNumberingAfterBreak="0">
    <w:nsid w:val="298476CA"/>
    <w:multiLevelType w:val="singleLevel"/>
    <w:tmpl w:val="2950257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 w15:restartNumberingAfterBreak="0">
    <w:nsid w:val="35816726"/>
    <w:multiLevelType w:val="singleLevel"/>
    <w:tmpl w:val="373EB6AE"/>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1" w15:restartNumberingAfterBreak="0">
    <w:nsid w:val="35BE0202"/>
    <w:multiLevelType w:val="singleLevel"/>
    <w:tmpl w:val="31109526"/>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2" w15:restartNumberingAfterBreak="0">
    <w:nsid w:val="394972B5"/>
    <w:multiLevelType w:val="singleLevel"/>
    <w:tmpl w:val="5CACB8F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3" w15:restartNumberingAfterBreak="0">
    <w:nsid w:val="3FCF2EDF"/>
    <w:multiLevelType w:val="singleLevel"/>
    <w:tmpl w:val="636ED536"/>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4" w15:restartNumberingAfterBreak="0">
    <w:nsid w:val="45BF731C"/>
    <w:multiLevelType w:val="singleLevel"/>
    <w:tmpl w:val="373EB6AE"/>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5" w15:restartNumberingAfterBreak="0">
    <w:nsid w:val="495F7A6C"/>
    <w:multiLevelType w:val="singleLevel"/>
    <w:tmpl w:val="636ED536"/>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6" w15:restartNumberingAfterBreak="0">
    <w:nsid w:val="4B0E0FB2"/>
    <w:multiLevelType w:val="singleLevel"/>
    <w:tmpl w:val="5CACB8F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7" w15:restartNumberingAfterBreak="0">
    <w:nsid w:val="4C260211"/>
    <w:multiLevelType w:val="singleLevel"/>
    <w:tmpl w:val="373EB6AE"/>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8" w15:restartNumberingAfterBreak="0">
    <w:nsid w:val="4E0D7FEC"/>
    <w:multiLevelType w:val="singleLevel"/>
    <w:tmpl w:val="373EB6AE"/>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9" w15:restartNumberingAfterBreak="0">
    <w:nsid w:val="4FC03E95"/>
    <w:multiLevelType w:val="singleLevel"/>
    <w:tmpl w:val="2950257C"/>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20" w15:restartNumberingAfterBreak="0">
    <w:nsid w:val="61141443"/>
    <w:multiLevelType w:val="singleLevel"/>
    <w:tmpl w:val="F9446E6E"/>
    <w:lvl w:ilvl="0">
      <w:start w:val="5"/>
      <w:numFmt w:val="decimal"/>
      <w:lvlText w:val="%1. "/>
      <w:legacy w:legacy="1" w:legacySpace="0" w:legacyIndent="283"/>
      <w:lvlJc w:val="left"/>
      <w:pPr>
        <w:ind w:left="283" w:hanging="283"/>
      </w:pPr>
      <w:rPr>
        <w:rFonts w:ascii="Arial" w:hAnsi="Arial" w:cs="Arial" w:hint="default"/>
        <w:b w:val="0"/>
        <w:i w:val="0"/>
        <w:color w:val="000000"/>
        <w:sz w:val="19"/>
      </w:rPr>
    </w:lvl>
  </w:abstractNum>
  <w:abstractNum w:abstractNumId="21" w15:restartNumberingAfterBreak="0">
    <w:nsid w:val="617E57E7"/>
    <w:multiLevelType w:val="hybridMultilevel"/>
    <w:tmpl w:val="F334B98E"/>
    <w:lvl w:ilvl="0" w:tplc="2D009D1E">
      <w:start w:val="670"/>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6BAC74DD"/>
    <w:multiLevelType w:val="singleLevel"/>
    <w:tmpl w:val="01D8008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3" w15:restartNumberingAfterBreak="0">
    <w:nsid w:val="75702722"/>
    <w:multiLevelType w:val="multilevel"/>
    <w:tmpl w:val="1FF0A17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7AAE3E22"/>
    <w:multiLevelType w:val="singleLevel"/>
    <w:tmpl w:val="373EB6AE"/>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25" w15:restartNumberingAfterBreak="0">
    <w:nsid w:val="7FBD3D85"/>
    <w:multiLevelType w:val="singleLevel"/>
    <w:tmpl w:val="2950257C"/>
    <w:lvl w:ilvl="0">
      <w:start w:val="1"/>
      <w:numFmt w:val="decimal"/>
      <w:lvlText w:val="%1."/>
      <w:legacy w:legacy="1" w:legacySpace="0" w:legacyIndent="360"/>
      <w:lvlJc w:val="left"/>
      <w:pPr>
        <w:ind w:left="360" w:hanging="360"/>
      </w:pPr>
      <w:rPr>
        <w:rFonts w:ascii="Times New Roman" w:hAnsi="Times New Roman" w:cs="Times New Roman" w:hint="default"/>
      </w:rPr>
    </w:lvl>
  </w:abstractNum>
  <w:num w:numId="1" w16cid:durableId="1172791844">
    <w:abstractNumId w:val="16"/>
  </w:num>
  <w:num w:numId="2" w16cid:durableId="434910530">
    <w:abstractNumId w:val="16"/>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3" w16cid:durableId="1471241297">
    <w:abstractNumId w:val="11"/>
  </w:num>
  <w:num w:numId="4" w16cid:durableId="222185048">
    <w:abstractNumId w:val="12"/>
  </w:num>
  <w:num w:numId="5" w16cid:durableId="1947927282">
    <w:abstractNumId w:val="12"/>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6" w16cid:durableId="375013008">
    <w:abstractNumId w:val="1"/>
    <w:lvlOverride w:ilvl="0">
      <w:lvl w:ilvl="0">
        <w:numFmt w:val="bullet"/>
        <w:lvlText w:val=""/>
        <w:legacy w:legacy="1" w:legacySpace="0" w:legacyIndent="360"/>
        <w:lvlJc w:val="left"/>
        <w:pPr>
          <w:ind w:left="360" w:hanging="360"/>
        </w:pPr>
        <w:rPr>
          <w:rFonts w:ascii="Symbol" w:hAnsi="Symbol" w:hint="default"/>
        </w:rPr>
      </w:lvl>
    </w:lvlOverride>
  </w:num>
  <w:num w:numId="7" w16cid:durableId="656804145">
    <w:abstractNumId w:val="8"/>
  </w:num>
  <w:num w:numId="8" w16cid:durableId="765421740">
    <w:abstractNumId w:val="17"/>
  </w:num>
  <w:num w:numId="9" w16cid:durableId="1714115050">
    <w:abstractNumId w:val="10"/>
  </w:num>
  <w:num w:numId="10" w16cid:durableId="1558391042">
    <w:abstractNumId w:val="14"/>
  </w:num>
  <w:num w:numId="11" w16cid:durableId="943541407">
    <w:abstractNumId w:val="7"/>
  </w:num>
  <w:num w:numId="12" w16cid:durableId="670036">
    <w:abstractNumId w:val="18"/>
  </w:num>
  <w:num w:numId="13" w16cid:durableId="397017899">
    <w:abstractNumId w:val="24"/>
  </w:num>
  <w:num w:numId="14" w16cid:durableId="94836327">
    <w:abstractNumId w:val="22"/>
  </w:num>
  <w:num w:numId="15" w16cid:durableId="2042243443">
    <w:abstractNumId w:val="4"/>
  </w:num>
  <w:num w:numId="16" w16cid:durableId="2058511055">
    <w:abstractNumId w:val="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7" w16cid:durableId="1138106234">
    <w:abstractNumId w:val="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8" w16cid:durableId="1056320009">
    <w:abstractNumId w:val="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9" w16cid:durableId="2123307642">
    <w:abstractNumId w:val="15"/>
  </w:num>
  <w:num w:numId="20" w16cid:durableId="156504615">
    <w:abstractNumId w:val="13"/>
  </w:num>
  <w:num w:numId="21" w16cid:durableId="402265929">
    <w:abstractNumId w:val="20"/>
  </w:num>
  <w:num w:numId="22" w16cid:durableId="563688379">
    <w:abstractNumId w:val="5"/>
  </w:num>
  <w:num w:numId="23" w16cid:durableId="243540670">
    <w:abstractNumId w:val="19"/>
  </w:num>
  <w:num w:numId="24" w16cid:durableId="1105927969">
    <w:abstractNumId w:val="1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5" w16cid:durableId="2087459063">
    <w:abstractNumId w:val="19"/>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6" w16cid:durableId="1067798498">
    <w:abstractNumId w:val="19"/>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27" w16cid:durableId="682126634">
    <w:abstractNumId w:val="9"/>
  </w:num>
  <w:num w:numId="28" w16cid:durableId="1831942406">
    <w:abstractNumId w:val="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9" w16cid:durableId="1722556421">
    <w:abstractNumId w:val="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0" w16cid:durableId="595133889">
    <w:abstractNumId w:val="9"/>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1" w16cid:durableId="1205293803">
    <w:abstractNumId w:val="25"/>
  </w:num>
  <w:num w:numId="32" w16cid:durableId="1263491560">
    <w:abstractNumId w:val="2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3" w16cid:durableId="786043228">
    <w:abstractNumId w:val="2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4" w16cid:durableId="971640601">
    <w:abstractNumId w:val="25"/>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5" w16cid:durableId="385687619">
    <w:abstractNumId w:val="23"/>
  </w:num>
  <w:num w:numId="36" w16cid:durableId="739716904">
    <w:abstractNumId w:val="3"/>
  </w:num>
  <w:num w:numId="37" w16cid:durableId="1250384128">
    <w:abstractNumId w:val="2"/>
  </w:num>
  <w:num w:numId="38" w16cid:durableId="1177426731">
    <w:abstractNumId w:val="21"/>
  </w:num>
  <w:num w:numId="39" w16cid:durableId="507715112">
    <w:abstractNumId w:val="6"/>
  </w:num>
  <w:num w:numId="40" w16cid:durableId="7127706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2260"/>
    <w:rsid w:val="0000080E"/>
    <w:rsid w:val="00001919"/>
    <w:rsid w:val="00002908"/>
    <w:rsid w:val="00004B26"/>
    <w:rsid w:val="00013C97"/>
    <w:rsid w:val="00014545"/>
    <w:rsid w:val="00015340"/>
    <w:rsid w:val="0002436F"/>
    <w:rsid w:val="00026A64"/>
    <w:rsid w:val="00030668"/>
    <w:rsid w:val="00031901"/>
    <w:rsid w:val="00032351"/>
    <w:rsid w:val="000339AC"/>
    <w:rsid w:val="00034095"/>
    <w:rsid w:val="00044450"/>
    <w:rsid w:val="0005446B"/>
    <w:rsid w:val="00055325"/>
    <w:rsid w:val="00055F9B"/>
    <w:rsid w:val="00056917"/>
    <w:rsid w:val="00057421"/>
    <w:rsid w:val="00057FDC"/>
    <w:rsid w:val="00063056"/>
    <w:rsid w:val="00063B12"/>
    <w:rsid w:val="00072048"/>
    <w:rsid w:val="0007364D"/>
    <w:rsid w:val="00082292"/>
    <w:rsid w:val="0008486A"/>
    <w:rsid w:val="00085211"/>
    <w:rsid w:val="00086AD6"/>
    <w:rsid w:val="00087420"/>
    <w:rsid w:val="00087597"/>
    <w:rsid w:val="00087D2F"/>
    <w:rsid w:val="00090C9B"/>
    <w:rsid w:val="00093471"/>
    <w:rsid w:val="0009674D"/>
    <w:rsid w:val="000A01ED"/>
    <w:rsid w:val="000A2335"/>
    <w:rsid w:val="000A4BC2"/>
    <w:rsid w:val="000A604E"/>
    <w:rsid w:val="000B4AED"/>
    <w:rsid w:val="000C0F1B"/>
    <w:rsid w:val="000C324B"/>
    <w:rsid w:val="000C3A55"/>
    <w:rsid w:val="000D1F16"/>
    <w:rsid w:val="000D20D9"/>
    <w:rsid w:val="000D37D8"/>
    <w:rsid w:val="000D3B9B"/>
    <w:rsid w:val="000D4AE1"/>
    <w:rsid w:val="000D6127"/>
    <w:rsid w:val="000D6DF3"/>
    <w:rsid w:val="000E1CF9"/>
    <w:rsid w:val="000E5750"/>
    <w:rsid w:val="000F18D5"/>
    <w:rsid w:val="000F1FA6"/>
    <w:rsid w:val="000F6124"/>
    <w:rsid w:val="00101088"/>
    <w:rsid w:val="00103465"/>
    <w:rsid w:val="001067FA"/>
    <w:rsid w:val="001071C7"/>
    <w:rsid w:val="0011363C"/>
    <w:rsid w:val="001166A2"/>
    <w:rsid w:val="00121172"/>
    <w:rsid w:val="00121990"/>
    <w:rsid w:val="00122E0B"/>
    <w:rsid w:val="0013300C"/>
    <w:rsid w:val="00140708"/>
    <w:rsid w:val="00143BEF"/>
    <w:rsid w:val="0014509B"/>
    <w:rsid w:val="00151541"/>
    <w:rsid w:val="001525AB"/>
    <w:rsid w:val="00152C26"/>
    <w:rsid w:val="00153B27"/>
    <w:rsid w:val="0016028C"/>
    <w:rsid w:val="001625F4"/>
    <w:rsid w:val="00164795"/>
    <w:rsid w:val="0016638B"/>
    <w:rsid w:val="001722AC"/>
    <w:rsid w:val="00182A0D"/>
    <w:rsid w:val="00184FC4"/>
    <w:rsid w:val="00186195"/>
    <w:rsid w:val="00191802"/>
    <w:rsid w:val="00197386"/>
    <w:rsid w:val="001A29E6"/>
    <w:rsid w:val="001A35BE"/>
    <w:rsid w:val="001A431B"/>
    <w:rsid w:val="001B2C96"/>
    <w:rsid w:val="001B34B4"/>
    <w:rsid w:val="001C090F"/>
    <w:rsid w:val="001C1956"/>
    <w:rsid w:val="001C5108"/>
    <w:rsid w:val="001C5C3A"/>
    <w:rsid w:val="001D50A3"/>
    <w:rsid w:val="001D606C"/>
    <w:rsid w:val="001D66FE"/>
    <w:rsid w:val="001E0E61"/>
    <w:rsid w:val="001E1BC5"/>
    <w:rsid w:val="001E2C69"/>
    <w:rsid w:val="001E4A88"/>
    <w:rsid w:val="001E4C3E"/>
    <w:rsid w:val="001E6380"/>
    <w:rsid w:val="001E756A"/>
    <w:rsid w:val="001F2AD8"/>
    <w:rsid w:val="001F6A06"/>
    <w:rsid w:val="00200A42"/>
    <w:rsid w:val="002025FE"/>
    <w:rsid w:val="00203577"/>
    <w:rsid w:val="00205266"/>
    <w:rsid w:val="00205FD3"/>
    <w:rsid w:val="00211B56"/>
    <w:rsid w:val="00227D12"/>
    <w:rsid w:val="00227E16"/>
    <w:rsid w:val="002312A9"/>
    <w:rsid w:val="00232EB4"/>
    <w:rsid w:val="00240B8C"/>
    <w:rsid w:val="00245166"/>
    <w:rsid w:val="00252C35"/>
    <w:rsid w:val="00256175"/>
    <w:rsid w:val="0025624C"/>
    <w:rsid w:val="0026218A"/>
    <w:rsid w:val="002630D2"/>
    <w:rsid w:val="00263CCD"/>
    <w:rsid w:val="00265C05"/>
    <w:rsid w:val="00265C4C"/>
    <w:rsid w:val="00267F26"/>
    <w:rsid w:val="00271CE9"/>
    <w:rsid w:val="00276293"/>
    <w:rsid w:val="00283838"/>
    <w:rsid w:val="00285238"/>
    <w:rsid w:val="002878ED"/>
    <w:rsid w:val="00291E17"/>
    <w:rsid w:val="00297596"/>
    <w:rsid w:val="002A6CE5"/>
    <w:rsid w:val="002B0AA5"/>
    <w:rsid w:val="002B41CE"/>
    <w:rsid w:val="002C0D97"/>
    <w:rsid w:val="002C2260"/>
    <w:rsid w:val="002C7978"/>
    <w:rsid w:val="002E06F9"/>
    <w:rsid w:val="002E1D0F"/>
    <w:rsid w:val="002E3F5E"/>
    <w:rsid w:val="002E4AAB"/>
    <w:rsid w:val="002F21A3"/>
    <w:rsid w:val="002F3BDA"/>
    <w:rsid w:val="002F5A59"/>
    <w:rsid w:val="0030448A"/>
    <w:rsid w:val="00317346"/>
    <w:rsid w:val="003267BB"/>
    <w:rsid w:val="00326FD0"/>
    <w:rsid w:val="003315C9"/>
    <w:rsid w:val="00336229"/>
    <w:rsid w:val="00337233"/>
    <w:rsid w:val="00340643"/>
    <w:rsid w:val="00344FD4"/>
    <w:rsid w:val="00357581"/>
    <w:rsid w:val="003610D8"/>
    <w:rsid w:val="0036552A"/>
    <w:rsid w:val="00371351"/>
    <w:rsid w:val="00371732"/>
    <w:rsid w:val="00374BE3"/>
    <w:rsid w:val="00375EC3"/>
    <w:rsid w:val="00380836"/>
    <w:rsid w:val="0038235D"/>
    <w:rsid w:val="00387D3B"/>
    <w:rsid w:val="00391FC0"/>
    <w:rsid w:val="00394159"/>
    <w:rsid w:val="003A1E79"/>
    <w:rsid w:val="003A2E79"/>
    <w:rsid w:val="003A6E72"/>
    <w:rsid w:val="003B3C69"/>
    <w:rsid w:val="003B4C25"/>
    <w:rsid w:val="003B6800"/>
    <w:rsid w:val="003B6A42"/>
    <w:rsid w:val="003C3FCB"/>
    <w:rsid w:val="003C527E"/>
    <w:rsid w:val="003D3F1B"/>
    <w:rsid w:val="003D573C"/>
    <w:rsid w:val="003E1727"/>
    <w:rsid w:val="003E47A4"/>
    <w:rsid w:val="003E519A"/>
    <w:rsid w:val="003E7C14"/>
    <w:rsid w:val="003F0D95"/>
    <w:rsid w:val="003F114E"/>
    <w:rsid w:val="003F1491"/>
    <w:rsid w:val="003F3A01"/>
    <w:rsid w:val="004009F4"/>
    <w:rsid w:val="00404762"/>
    <w:rsid w:val="0041155C"/>
    <w:rsid w:val="004119B8"/>
    <w:rsid w:val="004135CC"/>
    <w:rsid w:val="00416517"/>
    <w:rsid w:val="00416559"/>
    <w:rsid w:val="00421B0C"/>
    <w:rsid w:val="00422805"/>
    <w:rsid w:val="00426705"/>
    <w:rsid w:val="00426AB5"/>
    <w:rsid w:val="004318C9"/>
    <w:rsid w:val="0043377D"/>
    <w:rsid w:val="0043379B"/>
    <w:rsid w:val="004371F8"/>
    <w:rsid w:val="00437338"/>
    <w:rsid w:val="00440371"/>
    <w:rsid w:val="00441F3A"/>
    <w:rsid w:val="00442DB8"/>
    <w:rsid w:val="00445F8C"/>
    <w:rsid w:val="0044627C"/>
    <w:rsid w:val="0044676C"/>
    <w:rsid w:val="004532E0"/>
    <w:rsid w:val="00460619"/>
    <w:rsid w:val="00463275"/>
    <w:rsid w:val="0047039E"/>
    <w:rsid w:val="00473FE7"/>
    <w:rsid w:val="00475D5C"/>
    <w:rsid w:val="004815BC"/>
    <w:rsid w:val="0048419B"/>
    <w:rsid w:val="004843AC"/>
    <w:rsid w:val="0049444D"/>
    <w:rsid w:val="00495961"/>
    <w:rsid w:val="00497DD7"/>
    <w:rsid w:val="004A0609"/>
    <w:rsid w:val="004A08DC"/>
    <w:rsid w:val="004A33F1"/>
    <w:rsid w:val="004A3FBB"/>
    <w:rsid w:val="004B1D99"/>
    <w:rsid w:val="004B4E79"/>
    <w:rsid w:val="004C1168"/>
    <w:rsid w:val="004C228B"/>
    <w:rsid w:val="004C2407"/>
    <w:rsid w:val="004C32AA"/>
    <w:rsid w:val="004C3EBE"/>
    <w:rsid w:val="004C71FA"/>
    <w:rsid w:val="004D6E34"/>
    <w:rsid w:val="004E2E7F"/>
    <w:rsid w:val="004F02C4"/>
    <w:rsid w:val="004F113F"/>
    <w:rsid w:val="004F1B3C"/>
    <w:rsid w:val="004F59B2"/>
    <w:rsid w:val="004F7EA1"/>
    <w:rsid w:val="00500FF3"/>
    <w:rsid w:val="00504B90"/>
    <w:rsid w:val="005052B4"/>
    <w:rsid w:val="0051074C"/>
    <w:rsid w:val="00511E5F"/>
    <w:rsid w:val="00517A3A"/>
    <w:rsid w:val="00526171"/>
    <w:rsid w:val="00546E6F"/>
    <w:rsid w:val="00552B25"/>
    <w:rsid w:val="00552B5F"/>
    <w:rsid w:val="005538C6"/>
    <w:rsid w:val="0055756B"/>
    <w:rsid w:val="00565332"/>
    <w:rsid w:val="00565971"/>
    <w:rsid w:val="005662AE"/>
    <w:rsid w:val="0057042A"/>
    <w:rsid w:val="00573D52"/>
    <w:rsid w:val="00575617"/>
    <w:rsid w:val="005763FC"/>
    <w:rsid w:val="005802CB"/>
    <w:rsid w:val="00581485"/>
    <w:rsid w:val="00587E7C"/>
    <w:rsid w:val="0059006B"/>
    <w:rsid w:val="00591495"/>
    <w:rsid w:val="00594131"/>
    <w:rsid w:val="00594136"/>
    <w:rsid w:val="00596F73"/>
    <w:rsid w:val="005A31AF"/>
    <w:rsid w:val="005B0AA4"/>
    <w:rsid w:val="005B1690"/>
    <w:rsid w:val="005B4051"/>
    <w:rsid w:val="005B5EE0"/>
    <w:rsid w:val="005C1F18"/>
    <w:rsid w:val="005C48DA"/>
    <w:rsid w:val="005D0E4F"/>
    <w:rsid w:val="005D11FF"/>
    <w:rsid w:val="005D20BF"/>
    <w:rsid w:val="005D2990"/>
    <w:rsid w:val="005E1E31"/>
    <w:rsid w:val="005E42EC"/>
    <w:rsid w:val="005E5BF5"/>
    <w:rsid w:val="005F19C5"/>
    <w:rsid w:val="00613CE1"/>
    <w:rsid w:val="006149AB"/>
    <w:rsid w:val="00615582"/>
    <w:rsid w:val="00627011"/>
    <w:rsid w:val="00627BE2"/>
    <w:rsid w:val="006300F4"/>
    <w:rsid w:val="006327A0"/>
    <w:rsid w:val="006328CA"/>
    <w:rsid w:val="006340FE"/>
    <w:rsid w:val="0063640A"/>
    <w:rsid w:val="006375A9"/>
    <w:rsid w:val="00650296"/>
    <w:rsid w:val="00651661"/>
    <w:rsid w:val="00655F62"/>
    <w:rsid w:val="006649D4"/>
    <w:rsid w:val="00673919"/>
    <w:rsid w:val="00675751"/>
    <w:rsid w:val="00682C24"/>
    <w:rsid w:val="006913BD"/>
    <w:rsid w:val="00694BE6"/>
    <w:rsid w:val="00695EC5"/>
    <w:rsid w:val="00696E07"/>
    <w:rsid w:val="006A0985"/>
    <w:rsid w:val="006A436D"/>
    <w:rsid w:val="006A4BEE"/>
    <w:rsid w:val="006B57B8"/>
    <w:rsid w:val="006B5C1C"/>
    <w:rsid w:val="006C3821"/>
    <w:rsid w:val="006D074D"/>
    <w:rsid w:val="006D2579"/>
    <w:rsid w:val="006D74F7"/>
    <w:rsid w:val="006E2EE2"/>
    <w:rsid w:val="006E7EFE"/>
    <w:rsid w:val="006F3649"/>
    <w:rsid w:val="006F4217"/>
    <w:rsid w:val="006F77C0"/>
    <w:rsid w:val="00706739"/>
    <w:rsid w:val="007116CB"/>
    <w:rsid w:val="00712B02"/>
    <w:rsid w:val="00712ECF"/>
    <w:rsid w:val="00714063"/>
    <w:rsid w:val="00715152"/>
    <w:rsid w:val="00716A6B"/>
    <w:rsid w:val="00721A7E"/>
    <w:rsid w:val="007221B5"/>
    <w:rsid w:val="00722885"/>
    <w:rsid w:val="00723A28"/>
    <w:rsid w:val="00723C2A"/>
    <w:rsid w:val="007240D5"/>
    <w:rsid w:val="00725DED"/>
    <w:rsid w:val="00734E2B"/>
    <w:rsid w:val="00735955"/>
    <w:rsid w:val="00752DA1"/>
    <w:rsid w:val="0075625C"/>
    <w:rsid w:val="007610D8"/>
    <w:rsid w:val="00770D72"/>
    <w:rsid w:val="00776B5F"/>
    <w:rsid w:val="00781C6B"/>
    <w:rsid w:val="00783826"/>
    <w:rsid w:val="007877EB"/>
    <w:rsid w:val="00796D25"/>
    <w:rsid w:val="00797B7A"/>
    <w:rsid w:val="007A2877"/>
    <w:rsid w:val="007A43FF"/>
    <w:rsid w:val="007A5C8F"/>
    <w:rsid w:val="007B06F9"/>
    <w:rsid w:val="007B173B"/>
    <w:rsid w:val="007B212D"/>
    <w:rsid w:val="007B3B59"/>
    <w:rsid w:val="007B5608"/>
    <w:rsid w:val="007B5FE2"/>
    <w:rsid w:val="007B627D"/>
    <w:rsid w:val="007C48E4"/>
    <w:rsid w:val="007C4DB4"/>
    <w:rsid w:val="007C5583"/>
    <w:rsid w:val="007C6E94"/>
    <w:rsid w:val="007C763C"/>
    <w:rsid w:val="007D206F"/>
    <w:rsid w:val="007D207F"/>
    <w:rsid w:val="007D604F"/>
    <w:rsid w:val="007D7196"/>
    <w:rsid w:val="007E06D7"/>
    <w:rsid w:val="007E12D7"/>
    <w:rsid w:val="007E1EF8"/>
    <w:rsid w:val="007E5095"/>
    <w:rsid w:val="007F0FC1"/>
    <w:rsid w:val="007F2741"/>
    <w:rsid w:val="007F3738"/>
    <w:rsid w:val="007F4BD1"/>
    <w:rsid w:val="008018C8"/>
    <w:rsid w:val="008032F3"/>
    <w:rsid w:val="008043BB"/>
    <w:rsid w:val="00804B2E"/>
    <w:rsid w:val="00812207"/>
    <w:rsid w:val="0081456C"/>
    <w:rsid w:val="00815843"/>
    <w:rsid w:val="00815A2D"/>
    <w:rsid w:val="0082225C"/>
    <w:rsid w:val="00825940"/>
    <w:rsid w:val="008272E4"/>
    <w:rsid w:val="008319D5"/>
    <w:rsid w:val="00844375"/>
    <w:rsid w:val="00845E49"/>
    <w:rsid w:val="008537C0"/>
    <w:rsid w:val="00873549"/>
    <w:rsid w:val="00873F04"/>
    <w:rsid w:val="0087566C"/>
    <w:rsid w:val="00875B7D"/>
    <w:rsid w:val="008775ED"/>
    <w:rsid w:val="008843B8"/>
    <w:rsid w:val="00885B41"/>
    <w:rsid w:val="00891CFA"/>
    <w:rsid w:val="00894309"/>
    <w:rsid w:val="00894836"/>
    <w:rsid w:val="008972A4"/>
    <w:rsid w:val="008A062B"/>
    <w:rsid w:val="008A0AD5"/>
    <w:rsid w:val="008A175E"/>
    <w:rsid w:val="008A2C6D"/>
    <w:rsid w:val="008A386F"/>
    <w:rsid w:val="008A74A4"/>
    <w:rsid w:val="008B38FB"/>
    <w:rsid w:val="008B6729"/>
    <w:rsid w:val="008B6F1B"/>
    <w:rsid w:val="008C0385"/>
    <w:rsid w:val="008C1CA6"/>
    <w:rsid w:val="008C5A3D"/>
    <w:rsid w:val="008D2293"/>
    <w:rsid w:val="008D2BB9"/>
    <w:rsid w:val="008E0C53"/>
    <w:rsid w:val="008E32DC"/>
    <w:rsid w:val="008E3741"/>
    <w:rsid w:val="008E3E76"/>
    <w:rsid w:val="008E63F2"/>
    <w:rsid w:val="008F0233"/>
    <w:rsid w:val="008F048F"/>
    <w:rsid w:val="008F2AD6"/>
    <w:rsid w:val="00900959"/>
    <w:rsid w:val="00907F56"/>
    <w:rsid w:val="0091110F"/>
    <w:rsid w:val="009161BF"/>
    <w:rsid w:val="00922D34"/>
    <w:rsid w:val="009234E5"/>
    <w:rsid w:val="00926DA4"/>
    <w:rsid w:val="009332A8"/>
    <w:rsid w:val="00934079"/>
    <w:rsid w:val="009479E0"/>
    <w:rsid w:val="009523D8"/>
    <w:rsid w:val="00956200"/>
    <w:rsid w:val="0096186D"/>
    <w:rsid w:val="00964D78"/>
    <w:rsid w:val="00970655"/>
    <w:rsid w:val="009718EF"/>
    <w:rsid w:val="0097543E"/>
    <w:rsid w:val="00995B1F"/>
    <w:rsid w:val="00996CD7"/>
    <w:rsid w:val="00997BE7"/>
    <w:rsid w:val="009A014D"/>
    <w:rsid w:val="009A1081"/>
    <w:rsid w:val="009A46FB"/>
    <w:rsid w:val="009B2175"/>
    <w:rsid w:val="009B487A"/>
    <w:rsid w:val="009C054D"/>
    <w:rsid w:val="009C17EE"/>
    <w:rsid w:val="009C7A79"/>
    <w:rsid w:val="009C7E3C"/>
    <w:rsid w:val="009D1910"/>
    <w:rsid w:val="009D1933"/>
    <w:rsid w:val="009D3895"/>
    <w:rsid w:val="009D5533"/>
    <w:rsid w:val="009D738B"/>
    <w:rsid w:val="009E183A"/>
    <w:rsid w:val="009F003B"/>
    <w:rsid w:val="009F0796"/>
    <w:rsid w:val="009F1019"/>
    <w:rsid w:val="009F1857"/>
    <w:rsid w:val="009F7EBD"/>
    <w:rsid w:val="00A00AAE"/>
    <w:rsid w:val="00A01B2C"/>
    <w:rsid w:val="00A0281A"/>
    <w:rsid w:val="00A032BF"/>
    <w:rsid w:val="00A054E3"/>
    <w:rsid w:val="00A11FB3"/>
    <w:rsid w:val="00A1659D"/>
    <w:rsid w:val="00A23944"/>
    <w:rsid w:val="00A27720"/>
    <w:rsid w:val="00A321D8"/>
    <w:rsid w:val="00A3483C"/>
    <w:rsid w:val="00A40B67"/>
    <w:rsid w:val="00A438D1"/>
    <w:rsid w:val="00A45B7F"/>
    <w:rsid w:val="00A47188"/>
    <w:rsid w:val="00A50962"/>
    <w:rsid w:val="00A52711"/>
    <w:rsid w:val="00A57CE2"/>
    <w:rsid w:val="00A609B0"/>
    <w:rsid w:val="00A65CDA"/>
    <w:rsid w:val="00A802F8"/>
    <w:rsid w:val="00A806CB"/>
    <w:rsid w:val="00A8719E"/>
    <w:rsid w:val="00A92845"/>
    <w:rsid w:val="00A92D60"/>
    <w:rsid w:val="00A92E04"/>
    <w:rsid w:val="00A95820"/>
    <w:rsid w:val="00AA36A2"/>
    <w:rsid w:val="00AB33D6"/>
    <w:rsid w:val="00AB5DE8"/>
    <w:rsid w:val="00AB6B38"/>
    <w:rsid w:val="00AC4332"/>
    <w:rsid w:val="00AD4360"/>
    <w:rsid w:val="00AD5651"/>
    <w:rsid w:val="00AD63AE"/>
    <w:rsid w:val="00AD734D"/>
    <w:rsid w:val="00AD7EFE"/>
    <w:rsid w:val="00AE3C43"/>
    <w:rsid w:val="00AE4890"/>
    <w:rsid w:val="00AE5727"/>
    <w:rsid w:val="00AE6980"/>
    <w:rsid w:val="00AE7191"/>
    <w:rsid w:val="00AF0F44"/>
    <w:rsid w:val="00AF6A30"/>
    <w:rsid w:val="00B01B21"/>
    <w:rsid w:val="00B04F22"/>
    <w:rsid w:val="00B11EF6"/>
    <w:rsid w:val="00B1242C"/>
    <w:rsid w:val="00B21796"/>
    <w:rsid w:val="00B33D31"/>
    <w:rsid w:val="00B35197"/>
    <w:rsid w:val="00B37FE8"/>
    <w:rsid w:val="00B40455"/>
    <w:rsid w:val="00B4264E"/>
    <w:rsid w:val="00B44038"/>
    <w:rsid w:val="00B52727"/>
    <w:rsid w:val="00B528D1"/>
    <w:rsid w:val="00B5375C"/>
    <w:rsid w:val="00B64EA8"/>
    <w:rsid w:val="00B65961"/>
    <w:rsid w:val="00B67A0E"/>
    <w:rsid w:val="00B7071E"/>
    <w:rsid w:val="00B779AB"/>
    <w:rsid w:val="00B82F32"/>
    <w:rsid w:val="00B83888"/>
    <w:rsid w:val="00B867F7"/>
    <w:rsid w:val="00B87728"/>
    <w:rsid w:val="00BB2084"/>
    <w:rsid w:val="00BB3B9D"/>
    <w:rsid w:val="00BB6316"/>
    <w:rsid w:val="00BB79F3"/>
    <w:rsid w:val="00BD4370"/>
    <w:rsid w:val="00BD5EB5"/>
    <w:rsid w:val="00BE0154"/>
    <w:rsid w:val="00BE1824"/>
    <w:rsid w:val="00BE410C"/>
    <w:rsid w:val="00BE6E22"/>
    <w:rsid w:val="00BF7700"/>
    <w:rsid w:val="00C01762"/>
    <w:rsid w:val="00C02F5C"/>
    <w:rsid w:val="00C114EC"/>
    <w:rsid w:val="00C15BF8"/>
    <w:rsid w:val="00C22DAE"/>
    <w:rsid w:val="00C24FB3"/>
    <w:rsid w:val="00C26A2B"/>
    <w:rsid w:val="00C306A4"/>
    <w:rsid w:val="00C335C2"/>
    <w:rsid w:val="00C35FD7"/>
    <w:rsid w:val="00C36A90"/>
    <w:rsid w:val="00C40D73"/>
    <w:rsid w:val="00C41C32"/>
    <w:rsid w:val="00C45454"/>
    <w:rsid w:val="00C46ECB"/>
    <w:rsid w:val="00C4748B"/>
    <w:rsid w:val="00C5464C"/>
    <w:rsid w:val="00C56FE3"/>
    <w:rsid w:val="00C63247"/>
    <w:rsid w:val="00C64375"/>
    <w:rsid w:val="00C66249"/>
    <w:rsid w:val="00C66516"/>
    <w:rsid w:val="00C7043C"/>
    <w:rsid w:val="00C72084"/>
    <w:rsid w:val="00C7427F"/>
    <w:rsid w:val="00C7637D"/>
    <w:rsid w:val="00C77C92"/>
    <w:rsid w:val="00C84F76"/>
    <w:rsid w:val="00C85277"/>
    <w:rsid w:val="00C86874"/>
    <w:rsid w:val="00C8778C"/>
    <w:rsid w:val="00C912A8"/>
    <w:rsid w:val="00C92AEA"/>
    <w:rsid w:val="00C9620F"/>
    <w:rsid w:val="00CA398D"/>
    <w:rsid w:val="00CB395E"/>
    <w:rsid w:val="00CB4201"/>
    <w:rsid w:val="00CB6678"/>
    <w:rsid w:val="00CC1852"/>
    <w:rsid w:val="00CC5360"/>
    <w:rsid w:val="00CC65A3"/>
    <w:rsid w:val="00CC72C0"/>
    <w:rsid w:val="00CD0974"/>
    <w:rsid w:val="00CD5398"/>
    <w:rsid w:val="00CE32F4"/>
    <w:rsid w:val="00CE4D22"/>
    <w:rsid w:val="00CF04C3"/>
    <w:rsid w:val="00CF13D3"/>
    <w:rsid w:val="00CF4E58"/>
    <w:rsid w:val="00CF69B5"/>
    <w:rsid w:val="00CF7535"/>
    <w:rsid w:val="00D050CD"/>
    <w:rsid w:val="00D06519"/>
    <w:rsid w:val="00D07242"/>
    <w:rsid w:val="00D113EC"/>
    <w:rsid w:val="00D11CF9"/>
    <w:rsid w:val="00D11F22"/>
    <w:rsid w:val="00D175FC"/>
    <w:rsid w:val="00D26432"/>
    <w:rsid w:val="00D3420D"/>
    <w:rsid w:val="00D414AA"/>
    <w:rsid w:val="00D453C8"/>
    <w:rsid w:val="00D76574"/>
    <w:rsid w:val="00D80B8A"/>
    <w:rsid w:val="00D80E25"/>
    <w:rsid w:val="00D829DE"/>
    <w:rsid w:val="00D9194F"/>
    <w:rsid w:val="00DA508E"/>
    <w:rsid w:val="00DA5455"/>
    <w:rsid w:val="00DB4B0C"/>
    <w:rsid w:val="00DB6F67"/>
    <w:rsid w:val="00DC353C"/>
    <w:rsid w:val="00DC6410"/>
    <w:rsid w:val="00DC64AA"/>
    <w:rsid w:val="00DD0C17"/>
    <w:rsid w:val="00DD1576"/>
    <w:rsid w:val="00DD2C3A"/>
    <w:rsid w:val="00DD43AE"/>
    <w:rsid w:val="00DE07AA"/>
    <w:rsid w:val="00DE102D"/>
    <w:rsid w:val="00DE48C2"/>
    <w:rsid w:val="00DE664A"/>
    <w:rsid w:val="00DE66A6"/>
    <w:rsid w:val="00DF0DDA"/>
    <w:rsid w:val="00DF6309"/>
    <w:rsid w:val="00E034F3"/>
    <w:rsid w:val="00E07874"/>
    <w:rsid w:val="00E13488"/>
    <w:rsid w:val="00E13733"/>
    <w:rsid w:val="00E139B9"/>
    <w:rsid w:val="00E3119F"/>
    <w:rsid w:val="00E343CD"/>
    <w:rsid w:val="00E43066"/>
    <w:rsid w:val="00E44765"/>
    <w:rsid w:val="00E4578F"/>
    <w:rsid w:val="00E55FE3"/>
    <w:rsid w:val="00E6093D"/>
    <w:rsid w:val="00E63CBF"/>
    <w:rsid w:val="00E6736D"/>
    <w:rsid w:val="00E7026B"/>
    <w:rsid w:val="00E74794"/>
    <w:rsid w:val="00E7500A"/>
    <w:rsid w:val="00E91403"/>
    <w:rsid w:val="00E93E03"/>
    <w:rsid w:val="00E94A4B"/>
    <w:rsid w:val="00EA108A"/>
    <w:rsid w:val="00EA3361"/>
    <w:rsid w:val="00EA5E28"/>
    <w:rsid w:val="00EA70F7"/>
    <w:rsid w:val="00EB3D31"/>
    <w:rsid w:val="00EB4546"/>
    <w:rsid w:val="00EB7062"/>
    <w:rsid w:val="00EC7BF5"/>
    <w:rsid w:val="00ED1980"/>
    <w:rsid w:val="00ED4C82"/>
    <w:rsid w:val="00ED7AC4"/>
    <w:rsid w:val="00EE27EF"/>
    <w:rsid w:val="00EF02AD"/>
    <w:rsid w:val="00EF490F"/>
    <w:rsid w:val="00F05BFB"/>
    <w:rsid w:val="00F071F1"/>
    <w:rsid w:val="00F10FB4"/>
    <w:rsid w:val="00F1597F"/>
    <w:rsid w:val="00F1598A"/>
    <w:rsid w:val="00F16C61"/>
    <w:rsid w:val="00F1788C"/>
    <w:rsid w:val="00F2442C"/>
    <w:rsid w:val="00F35B4C"/>
    <w:rsid w:val="00F35F0F"/>
    <w:rsid w:val="00F47790"/>
    <w:rsid w:val="00F5059E"/>
    <w:rsid w:val="00F51760"/>
    <w:rsid w:val="00F52A21"/>
    <w:rsid w:val="00F56E2F"/>
    <w:rsid w:val="00F62933"/>
    <w:rsid w:val="00F71359"/>
    <w:rsid w:val="00F74E14"/>
    <w:rsid w:val="00F75815"/>
    <w:rsid w:val="00F855A8"/>
    <w:rsid w:val="00F94D1F"/>
    <w:rsid w:val="00F957E4"/>
    <w:rsid w:val="00F97688"/>
    <w:rsid w:val="00FA00A4"/>
    <w:rsid w:val="00FA097A"/>
    <w:rsid w:val="00FA1617"/>
    <w:rsid w:val="00FA33B8"/>
    <w:rsid w:val="00FA4DEF"/>
    <w:rsid w:val="00FA5FDE"/>
    <w:rsid w:val="00FA7E38"/>
    <w:rsid w:val="00FB28B1"/>
    <w:rsid w:val="00FB3F8B"/>
    <w:rsid w:val="00FC52A4"/>
    <w:rsid w:val="00FC56D8"/>
    <w:rsid w:val="00FC6A26"/>
    <w:rsid w:val="00FE1193"/>
    <w:rsid w:val="00FE59A3"/>
    <w:rsid w:val="00FF43E2"/>
    <w:rsid w:val="00FF6A8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E402A22"/>
  <w15:docId w15:val="{81152E77-9371-43C8-A406-F34E2C138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0F6124"/>
    <w:pPr>
      <w:spacing w:after="160" w:line="259" w:lineRule="auto"/>
    </w:pPr>
    <w:rPr>
      <w:sz w:val="22"/>
      <w:szCs w:val="22"/>
      <w:lang w:eastAsia="en-US"/>
    </w:rPr>
  </w:style>
  <w:style w:type="paragraph" w:styleId="1">
    <w:name w:val="heading 1"/>
    <w:basedOn w:val="a0"/>
    <w:next w:val="a0"/>
    <w:link w:val="10"/>
    <w:uiPriority w:val="9"/>
    <w:qFormat/>
    <w:rsid w:val="00BB6316"/>
    <w:pPr>
      <w:keepNext/>
      <w:autoSpaceDE w:val="0"/>
      <w:autoSpaceDN w:val="0"/>
      <w:adjustRightInd w:val="0"/>
      <w:spacing w:after="0" w:line="240" w:lineRule="auto"/>
      <w:outlineLvl w:val="0"/>
    </w:pPr>
    <w:rPr>
      <w:rFonts w:ascii="Times New Roman" w:hAnsi="Times New Roman"/>
      <w:b/>
      <w:bCs/>
      <w:sz w:val="24"/>
      <w:szCs w:val="24"/>
    </w:rPr>
  </w:style>
  <w:style w:type="paragraph" w:styleId="2">
    <w:name w:val="heading 2"/>
    <w:basedOn w:val="a0"/>
    <w:next w:val="a0"/>
    <w:link w:val="20"/>
    <w:uiPriority w:val="9"/>
    <w:unhideWhenUsed/>
    <w:qFormat/>
    <w:rsid w:val="00BB6316"/>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0"/>
    <w:next w:val="a0"/>
    <w:link w:val="30"/>
    <w:uiPriority w:val="9"/>
    <w:qFormat/>
    <w:rsid w:val="00BB6316"/>
    <w:pPr>
      <w:keepNext/>
      <w:autoSpaceDE w:val="0"/>
      <w:autoSpaceDN w:val="0"/>
      <w:adjustRightInd w:val="0"/>
      <w:spacing w:after="0" w:line="240" w:lineRule="auto"/>
      <w:jc w:val="center"/>
      <w:outlineLvl w:val="2"/>
    </w:pPr>
    <w:rPr>
      <w:rFonts w:ascii="Times New Roman" w:hAnsi="Times New Roman"/>
      <w:b/>
      <w:bCs/>
      <w:sz w:val="28"/>
      <w:szCs w:val="28"/>
    </w:rPr>
  </w:style>
  <w:style w:type="paragraph" w:styleId="4">
    <w:name w:val="heading 4"/>
    <w:basedOn w:val="a0"/>
    <w:next w:val="a0"/>
    <w:link w:val="40"/>
    <w:uiPriority w:val="9"/>
    <w:unhideWhenUsed/>
    <w:qFormat/>
    <w:rsid w:val="00BB6316"/>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paragraph" w:styleId="5">
    <w:name w:val="heading 5"/>
    <w:basedOn w:val="a0"/>
    <w:next w:val="a0"/>
    <w:link w:val="50"/>
    <w:uiPriority w:val="9"/>
    <w:unhideWhenUsed/>
    <w:qFormat/>
    <w:rsid w:val="007C5583"/>
    <w:pPr>
      <w:keepNext/>
      <w:keepLines/>
      <w:overflowPunct w:val="0"/>
      <w:autoSpaceDE w:val="0"/>
      <w:autoSpaceDN w:val="0"/>
      <w:adjustRightInd w:val="0"/>
      <w:spacing w:before="40" w:after="0" w:line="240" w:lineRule="auto"/>
      <w:textAlignment w:val="baseline"/>
      <w:outlineLvl w:val="4"/>
    </w:pPr>
    <w:rPr>
      <w:rFonts w:ascii="Calibri Light" w:eastAsia="Times New Roman" w:hAnsi="Calibri Light"/>
      <w:color w:val="2E74B5"/>
      <w:sz w:val="20"/>
      <w:szCs w:val="20"/>
      <w:lang w:eastAsia="ru-RU"/>
    </w:rPr>
  </w:style>
  <w:style w:type="paragraph" w:styleId="7">
    <w:name w:val="heading 7"/>
    <w:basedOn w:val="a0"/>
    <w:next w:val="a0"/>
    <w:link w:val="70"/>
    <w:uiPriority w:val="99"/>
    <w:qFormat/>
    <w:rsid w:val="00BB6316"/>
    <w:pPr>
      <w:keepNext/>
      <w:autoSpaceDE w:val="0"/>
      <w:autoSpaceDN w:val="0"/>
      <w:adjustRightInd w:val="0"/>
      <w:spacing w:after="0" w:line="240" w:lineRule="auto"/>
      <w:jc w:val="both"/>
      <w:outlineLvl w:val="6"/>
    </w:pPr>
    <w:rPr>
      <w:rFonts w:ascii="Times New Roman" w:hAnsi="Times New Roman"/>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rsid w:val="00BB6316"/>
    <w:rPr>
      <w:rFonts w:ascii="Times New Roman" w:hAnsi="Times New Roman"/>
      <w:b/>
      <w:bCs/>
      <w:sz w:val="24"/>
      <w:szCs w:val="24"/>
      <w:lang w:eastAsia="en-US"/>
    </w:rPr>
  </w:style>
  <w:style w:type="character" w:customStyle="1" w:styleId="20">
    <w:name w:val="Заголовок 2 Знак"/>
    <w:link w:val="2"/>
    <w:uiPriority w:val="9"/>
    <w:rsid w:val="00BB6316"/>
    <w:rPr>
      <w:rFonts w:ascii="Cambria" w:eastAsia="Times New Roman" w:hAnsi="Cambria"/>
      <w:color w:val="365F91"/>
      <w:sz w:val="26"/>
      <w:szCs w:val="26"/>
    </w:rPr>
  </w:style>
  <w:style w:type="character" w:customStyle="1" w:styleId="30">
    <w:name w:val="Заголовок 3 Знак"/>
    <w:link w:val="3"/>
    <w:uiPriority w:val="9"/>
    <w:rsid w:val="00BB6316"/>
    <w:rPr>
      <w:rFonts w:ascii="Times New Roman" w:hAnsi="Times New Roman"/>
      <w:b/>
      <w:bCs/>
      <w:sz w:val="28"/>
      <w:szCs w:val="28"/>
      <w:lang w:eastAsia="en-US"/>
    </w:rPr>
  </w:style>
  <w:style w:type="character" w:customStyle="1" w:styleId="40">
    <w:name w:val="Заголовок 4 Знак"/>
    <w:link w:val="4"/>
    <w:uiPriority w:val="9"/>
    <w:rsid w:val="00BB6316"/>
    <w:rPr>
      <w:rFonts w:ascii="Cambria" w:eastAsia="Times New Roman" w:hAnsi="Cambria"/>
      <w:i/>
      <w:iCs/>
      <w:color w:val="365F91"/>
    </w:rPr>
  </w:style>
  <w:style w:type="character" w:customStyle="1" w:styleId="70">
    <w:name w:val="Заголовок 7 Знак"/>
    <w:link w:val="7"/>
    <w:uiPriority w:val="99"/>
    <w:rsid w:val="00BB6316"/>
    <w:rPr>
      <w:rFonts w:ascii="Times New Roman" w:hAnsi="Times New Roman"/>
      <w:sz w:val="28"/>
      <w:szCs w:val="28"/>
      <w:lang w:eastAsia="en-US"/>
    </w:rPr>
  </w:style>
  <w:style w:type="paragraph" w:customStyle="1" w:styleId="11">
    <w:name w:val="заголовок 1"/>
    <w:basedOn w:val="a0"/>
    <w:next w:val="a0"/>
    <w:uiPriority w:val="99"/>
    <w:rsid w:val="00BB6316"/>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0"/>
    <w:uiPriority w:val="99"/>
    <w:rsid w:val="00BB6316"/>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0"/>
    <w:next w:val="a0"/>
    <w:uiPriority w:val="99"/>
    <w:rsid w:val="00BB6316"/>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4">
    <w:name w:val="Body Text"/>
    <w:basedOn w:val="a0"/>
    <w:link w:val="a5"/>
    <w:uiPriority w:val="99"/>
    <w:rsid w:val="00BB6316"/>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5">
    <w:name w:val="Основной текст Знак"/>
    <w:link w:val="a4"/>
    <w:uiPriority w:val="99"/>
    <w:rsid w:val="00BB6316"/>
    <w:rPr>
      <w:rFonts w:ascii="Times New Roman" w:hAnsi="Times New Roman"/>
      <w:color w:val="0000FF"/>
      <w:sz w:val="16"/>
      <w:szCs w:val="16"/>
      <w:lang w:val="en-US" w:eastAsia="en-US"/>
    </w:rPr>
  </w:style>
  <w:style w:type="paragraph" w:styleId="22">
    <w:name w:val="Body Text Indent 2"/>
    <w:basedOn w:val="a0"/>
    <w:link w:val="23"/>
    <w:uiPriority w:val="99"/>
    <w:rsid w:val="00BB6316"/>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BB6316"/>
    <w:rPr>
      <w:rFonts w:ascii="Times New Roman" w:hAnsi="Times New Roman"/>
      <w:color w:val="0000FF"/>
      <w:sz w:val="16"/>
      <w:szCs w:val="16"/>
      <w:lang w:val="en-US" w:eastAsia="en-US"/>
    </w:rPr>
  </w:style>
  <w:style w:type="paragraph" w:styleId="24">
    <w:name w:val="Body Text 2"/>
    <w:basedOn w:val="a0"/>
    <w:link w:val="25"/>
    <w:uiPriority w:val="99"/>
    <w:rsid w:val="00BB6316"/>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BB6316"/>
    <w:rPr>
      <w:rFonts w:ascii="Times New Roman" w:hAnsi="Times New Roman"/>
      <w:color w:val="0000FF"/>
      <w:sz w:val="16"/>
      <w:szCs w:val="16"/>
      <w:lang w:eastAsia="en-US"/>
    </w:rPr>
  </w:style>
  <w:style w:type="character" w:styleId="a6">
    <w:name w:val="Hyperlink"/>
    <w:uiPriority w:val="99"/>
    <w:rsid w:val="00BB6316"/>
    <w:rPr>
      <w:color w:val="0000FF"/>
      <w:sz w:val="20"/>
      <w:szCs w:val="20"/>
      <w:u w:val="single"/>
    </w:rPr>
  </w:style>
  <w:style w:type="paragraph" w:styleId="31">
    <w:name w:val="Body Text 3"/>
    <w:basedOn w:val="a0"/>
    <w:link w:val="32"/>
    <w:uiPriority w:val="99"/>
    <w:rsid w:val="00BB6316"/>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BB6316"/>
    <w:rPr>
      <w:rFonts w:ascii="Times New Roman" w:hAnsi="Times New Roman"/>
      <w:color w:val="0000FF"/>
      <w:sz w:val="16"/>
      <w:szCs w:val="16"/>
      <w:lang w:eastAsia="en-US"/>
    </w:rPr>
  </w:style>
  <w:style w:type="character" w:customStyle="1" w:styleId="12">
    <w:name w:val="С1"/>
    <w:uiPriority w:val="99"/>
    <w:rsid w:val="00BB6316"/>
    <w:rPr>
      <w:b/>
      <w:bCs/>
    </w:rPr>
  </w:style>
  <w:style w:type="paragraph" w:customStyle="1" w:styleId="a7">
    <w:name w:val="Ц"/>
    <w:basedOn w:val="a0"/>
    <w:uiPriority w:val="99"/>
    <w:rsid w:val="00BB6316"/>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BB6316"/>
    <w:pPr>
      <w:widowControl w:val="0"/>
      <w:autoSpaceDE w:val="0"/>
      <w:autoSpaceDN w:val="0"/>
      <w:adjustRightInd w:val="0"/>
      <w:ind w:firstLine="220"/>
      <w:jc w:val="both"/>
    </w:pPr>
    <w:rPr>
      <w:rFonts w:ascii="Arial" w:hAnsi="Arial" w:cs="Arial"/>
      <w:i/>
      <w:iCs/>
      <w:sz w:val="16"/>
      <w:szCs w:val="16"/>
      <w:lang w:eastAsia="en-US"/>
    </w:rPr>
  </w:style>
  <w:style w:type="character" w:styleId="a8">
    <w:name w:val="Strong"/>
    <w:uiPriority w:val="22"/>
    <w:qFormat/>
    <w:rsid w:val="00BB6316"/>
    <w:rPr>
      <w:b/>
      <w:bCs/>
      <w:sz w:val="20"/>
      <w:szCs w:val="20"/>
    </w:rPr>
  </w:style>
  <w:style w:type="paragraph" w:customStyle="1" w:styleId="Blockquote">
    <w:name w:val="Blockquote"/>
    <w:basedOn w:val="a0"/>
    <w:rsid w:val="00BB6316"/>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0"/>
    <w:next w:val="a0"/>
    <w:uiPriority w:val="99"/>
    <w:rsid w:val="00BB6316"/>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0"/>
    <w:next w:val="a0"/>
    <w:rsid w:val="00BB6316"/>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BB6316"/>
    <w:pPr>
      <w:widowControl w:val="0"/>
      <w:autoSpaceDE w:val="0"/>
      <w:autoSpaceDN w:val="0"/>
      <w:adjustRightInd w:val="0"/>
      <w:ind w:firstLine="140"/>
      <w:jc w:val="both"/>
    </w:pPr>
    <w:rPr>
      <w:rFonts w:ascii="Arial" w:hAnsi="Arial" w:cs="Arial"/>
      <w:i/>
      <w:iCs/>
      <w:sz w:val="12"/>
      <w:szCs w:val="12"/>
      <w:lang w:eastAsia="en-US"/>
    </w:rPr>
  </w:style>
  <w:style w:type="paragraph" w:styleId="a9">
    <w:name w:val="Plain Text"/>
    <w:basedOn w:val="a0"/>
    <w:link w:val="aa"/>
    <w:uiPriority w:val="99"/>
    <w:rsid w:val="00BB6316"/>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a">
    <w:name w:val="Текст Знак"/>
    <w:link w:val="a9"/>
    <w:uiPriority w:val="99"/>
    <w:rsid w:val="00BB6316"/>
    <w:rPr>
      <w:rFonts w:ascii="Courier New" w:hAnsi="Courier New" w:cs="Courier New"/>
      <w:color w:val="0000FF"/>
      <w:sz w:val="16"/>
      <w:szCs w:val="16"/>
      <w:lang w:eastAsia="en-US"/>
    </w:rPr>
  </w:style>
  <w:style w:type="paragraph" w:customStyle="1" w:styleId="Text">
    <w:name w:val="Text"/>
    <w:basedOn w:val="a0"/>
    <w:uiPriority w:val="99"/>
    <w:rsid w:val="00BB6316"/>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b">
    <w:name w:val="У"/>
    <w:uiPriority w:val="99"/>
    <w:rsid w:val="00BB6316"/>
    <w:rPr>
      <w:i/>
      <w:iCs/>
    </w:rPr>
  </w:style>
  <w:style w:type="paragraph" w:customStyle="1" w:styleId="H5">
    <w:name w:val="H5"/>
    <w:basedOn w:val="a0"/>
    <w:next w:val="a0"/>
    <w:uiPriority w:val="99"/>
    <w:rsid w:val="00BB6316"/>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0"/>
    <w:rsid w:val="00BB6316"/>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0"/>
    <w:next w:val="a0"/>
    <w:uiPriority w:val="99"/>
    <w:rsid w:val="00BB6316"/>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c">
    <w:name w:val="Г"/>
    <w:uiPriority w:val="99"/>
    <w:rsid w:val="00BB6316"/>
    <w:rPr>
      <w:color w:val="0000FF"/>
      <w:u w:val="single"/>
    </w:rPr>
  </w:style>
  <w:style w:type="character" w:customStyle="1" w:styleId="ad">
    <w:name w:val="В"/>
    <w:rsid w:val="00BB6316"/>
    <w:rPr>
      <w:i/>
      <w:iCs/>
    </w:rPr>
  </w:style>
  <w:style w:type="paragraph" w:customStyle="1" w:styleId="H1">
    <w:name w:val="H1"/>
    <w:basedOn w:val="a0"/>
    <w:next w:val="a0"/>
    <w:uiPriority w:val="99"/>
    <w:rsid w:val="00BB6316"/>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e">
    <w:name w:val="С"/>
    <w:basedOn w:val="a0"/>
    <w:next w:val="a0"/>
    <w:uiPriority w:val="99"/>
    <w:rsid w:val="00BB6316"/>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rsid w:val="00BB6316"/>
    <w:pPr>
      <w:widowControl w:val="0"/>
      <w:autoSpaceDE w:val="0"/>
      <w:autoSpaceDN w:val="0"/>
      <w:adjustRightInd w:val="0"/>
    </w:pPr>
    <w:rPr>
      <w:rFonts w:ascii="Times New Roman" w:hAnsi="Times New Roman"/>
      <w:lang w:eastAsia="en-US"/>
    </w:rPr>
  </w:style>
  <w:style w:type="paragraph" w:styleId="af">
    <w:name w:val="Normal (Web)"/>
    <w:basedOn w:val="a0"/>
    <w:uiPriority w:val="99"/>
    <w:rsid w:val="00BB6316"/>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BB6316"/>
    <w:rPr>
      <w:sz w:val="20"/>
      <w:szCs w:val="20"/>
    </w:rPr>
  </w:style>
  <w:style w:type="paragraph" w:customStyle="1" w:styleId="Iniiaiieoaeno">
    <w:name w:val="Iniiaiie oaeno"/>
    <w:basedOn w:val="Iauiue"/>
    <w:uiPriority w:val="99"/>
    <w:rsid w:val="00BB6316"/>
    <w:pPr>
      <w:jc w:val="both"/>
    </w:pPr>
    <w:rPr>
      <w:sz w:val="16"/>
      <w:szCs w:val="16"/>
    </w:rPr>
  </w:style>
  <w:style w:type="paragraph" w:customStyle="1" w:styleId="z-TopofForm">
    <w:name w:val="z-Top of Form"/>
    <w:next w:val="Iauiue"/>
    <w:uiPriority w:val="99"/>
    <w:rsid w:val="00BB6316"/>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BB6316"/>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0">
    <w:name w:val="A"/>
    <w:basedOn w:val="Iauiue"/>
    <w:next w:val="Iauiue"/>
    <w:uiPriority w:val="99"/>
    <w:rsid w:val="00BB6316"/>
    <w:rPr>
      <w:i/>
      <w:iCs/>
      <w:sz w:val="24"/>
      <w:szCs w:val="24"/>
    </w:rPr>
  </w:style>
  <w:style w:type="character" w:customStyle="1" w:styleId="A20">
    <w:name w:val="A2"/>
    <w:uiPriority w:val="99"/>
    <w:rsid w:val="00BB6316"/>
    <w:rPr>
      <w:color w:val="0000FF"/>
      <w:sz w:val="20"/>
      <w:szCs w:val="20"/>
      <w:u w:val="single"/>
    </w:rPr>
  </w:style>
  <w:style w:type="paragraph" w:customStyle="1" w:styleId="O">
    <w:name w:val="O"/>
    <w:basedOn w:val="Iauiue"/>
    <w:uiPriority w:val="99"/>
    <w:rsid w:val="00BB6316"/>
    <w:pPr>
      <w:spacing w:before="100" w:after="100"/>
      <w:ind w:left="360" w:right="360"/>
    </w:pPr>
    <w:rPr>
      <w:sz w:val="24"/>
      <w:szCs w:val="24"/>
    </w:rPr>
  </w:style>
  <w:style w:type="character" w:customStyle="1" w:styleId="A10">
    <w:name w:val="A1"/>
    <w:uiPriority w:val="99"/>
    <w:rsid w:val="00BB6316"/>
    <w:rPr>
      <w:i/>
      <w:iCs/>
      <w:sz w:val="20"/>
      <w:szCs w:val="20"/>
    </w:rPr>
  </w:style>
  <w:style w:type="paragraph" w:customStyle="1" w:styleId="Noaiaaieoiaioa">
    <w:name w:val="Noaia aieoiaioa"/>
    <w:basedOn w:val="Iauiue"/>
    <w:uiPriority w:val="99"/>
    <w:rsid w:val="00BB6316"/>
    <w:pPr>
      <w:shd w:val="clear" w:color="auto" w:fill="000080"/>
    </w:pPr>
    <w:rPr>
      <w:rFonts w:ascii="Tahoma" w:hAnsi="Tahoma" w:cs="Tahoma"/>
    </w:rPr>
  </w:style>
  <w:style w:type="paragraph" w:customStyle="1" w:styleId="DefinitionTerm">
    <w:name w:val="Definition Term"/>
    <w:basedOn w:val="a0"/>
    <w:next w:val="DefinitionList"/>
    <w:rsid w:val="00BB6316"/>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0"/>
    <w:next w:val="DefinitionTerm"/>
    <w:uiPriority w:val="99"/>
    <w:rsid w:val="00BB6316"/>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BB6316"/>
    <w:rPr>
      <w:i/>
      <w:iCs/>
    </w:rPr>
  </w:style>
  <w:style w:type="paragraph" w:customStyle="1" w:styleId="H2">
    <w:name w:val="H2"/>
    <w:basedOn w:val="a0"/>
    <w:next w:val="a0"/>
    <w:uiPriority w:val="99"/>
    <w:rsid w:val="00BB6316"/>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0"/>
    <w:next w:val="a0"/>
    <w:uiPriority w:val="99"/>
    <w:rsid w:val="00BB6316"/>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0"/>
    <w:next w:val="a0"/>
    <w:uiPriority w:val="99"/>
    <w:rsid w:val="00BB6316"/>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BB6316"/>
    <w:rPr>
      <w:i/>
      <w:iCs/>
    </w:rPr>
  </w:style>
  <w:style w:type="character" w:customStyle="1" w:styleId="CODE">
    <w:name w:val="CODE"/>
    <w:uiPriority w:val="99"/>
    <w:rsid w:val="00BB6316"/>
    <w:rPr>
      <w:rFonts w:ascii="Courier New" w:hAnsi="Courier New" w:cs="Courier New"/>
      <w:sz w:val="20"/>
      <w:szCs w:val="20"/>
    </w:rPr>
  </w:style>
  <w:style w:type="character" w:styleId="af1">
    <w:name w:val="Emphasis"/>
    <w:uiPriority w:val="20"/>
    <w:qFormat/>
    <w:rsid w:val="00BB6316"/>
    <w:rPr>
      <w:i/>
      <w:iCs/>
    </w:rPr>
  </w:style>
  <w:style w:type="character" w:styleId="af2">
    <w:name w:val="FollowedHyperlink"/>
    <w:uiPriority w:val="99"/>
    <w:rsid w:val="00BB6316"/>
    <w:rPr>
      <w:color w:val="800080"/>
      <w:u w:val="single"/>
    </w:rPr>
  </w:style>
  <w:style w:type="character" w:customStyle="1" w:styleId="Keyboard">
    <w:name w:val="Keyboard"/>
    <w:uiPriority w:val="99"/>
    <w:rsid w:val="00BB6316"/>
    <w:rPr>
      <w:rFonts w:ascii="Courier New" w:hAnsi="Courier New" w:cs="Courier New"/>
      <w:b/>
      <w:bCs/>
      <w:sz w:val="20"/>
      <w:szCs w:val="20"/>
    </w:rPr>
  </w:style>
  <w:style w:type="character" w:customStyle="1" w:styleId="Sample">
    <w:name w:val="Sample"/>
    <w:uiPriority w:val="99"/>
    <w:rsid w:val="00BB6316"/>
    <w:rPr>
      <w:rFonts w:ascii="Courier New" w:hAnsi="Courier New" w:cs="Courier New"/>
    </w:rPr>
  </w:style>
  <w:style w:type="character" w:customStyle="1" w:styleId="Typewriter">
    <w:name w:val="Typewriter"/>
    <w:uiPriority w:val="99"/>
    <w:rsid w:val="00BB6316"/>
    <w:rPr>
      <w:rFonts w:ascii="Courier New" w:hAnsi="Courier New" w:cs="Courier New"/>
      <w:sz w:val="20"/>
      <w:szCs w:val="20"/>
    </w:rPr>
  </w:style>
  <w:style w:type="character" w:customStyle="1" w:styleId="Variable">
    <w:name w:val="Variable"/>
    <w:uiPriority w:val="99"/>
    <w:rsid w:val="00BB6316"/>
    <w:rPr>
      <w:i/>
      <w:iCs/>
    </w:rPr>
  </w:style>
  <w:style w:type="character" w:customStyle="1" w:styleId="HTMLMarkup">
    <w:name w:val="HTML Markup"/>
    <w:uiPriority w:val="99"/>
    <w:rsid w:val="00BB6316"/>
    <w:rPr>
      <w:vanish/>
      <w:color w:val="FF0000"/>
    </w:rPr>
  </w:style>
  <w:style w:type="character" w:customStyle="1" w:styleId="Comment">
    <w:name w:val="Comment"/>
    <w:uiPriority w:val="99"/>
    <w:rsid w:val="00BB6316"/>
    <w:rPr>
      <w:vanish/>
    </w:rPr>
  </w:style>
  <w:style w:type="paragraph" w:customStyle="1" w:styleId="af3">
    <w:name w:val="п"/>
    <w:uiPriority w:val="99"/>
    <w:rsid w:val="00BB6316"/>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4">
    <w:name w:val="Title"/>
    <w:basedOn w:val="a0"/>
    <w:link w:val="af5"/>
    <w:uiPriority w:val="10"/>
    <w:qFormat/>
    <w:rsid w:val="00BB6316"/>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6">
    <w:name w:val="Сноски"/>
    <w:basedOn w:val="a0"/>
    <w:uiPriority w:val="99"/>
    <w:rsid w:val="00BB6316"/>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7">
    <w:name w:val="Рубрика"/>
    <w:basedOn w:val="a0"/>
    <w:uiPriority w:val="99"/>
    <w:rsid w:val="00BB6316"/>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8">
    <w:name w:val="endnote reference"/>
    <w:uiPriority w:val="99"/>
    <w:rsid w:val="00BB6316"/>
    <w:rPr>
      <w:sz w:val="20"/>
      <w:szCs w:val="20"/>
      <w:vertAlign w:val="superscript"/>
    </w:rPr>
  </w:style>
  <w:style w:type="character" w:customStyle="1" w:styleId="af9">
    <w:name w:val="К"/>
    <w:uiPriority w:val="99"/>
    <w:rsid w:val="00BB6316"/>
    <w:rPr>
      <w:rFonts w:ascii="Courier New" w:hAnsi="Courier New" w:cs="Courier New"/>
      <w:sz w:val="20"/>
      <w:szCs w:val="20"/>
    </w:rPr>
  </w:style>
  <w:style w:type="paragraph" w:customStyle="1" w:styleId="afa">
    <w:name w:val="Ф"/>
    <w:basedOn w:val="afb"/>
    <w:uiPriority w:val="99"/>
    <w:rsid w:val="00BB6316"/>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b">
    <w:name w:val="О"/>
    <w:rsid w:val="00BB6316"/>
    <w:pPr>
      <w:autoSpaceDE w:val="0"/>
      <w:autoSpaceDN w:val="0"/>
      <w:adjustRightInd w:val="0"/>
      <w:spacing w:before="100" w:after="100"/>
    </w:pPr>
    <w:rPr>
      <w:rFonts w:ascii="Times New Roman" w:hAnsi="Times New Roman"/>
      <w:sz w:val="24"/>
      <w:szCs w:val="24"/>
      <w:lang w:eastAsia="en-US"/>
    </w:rPr>
  </w:style>
  <w:style w:type="character" w:customStyle="1" w:styleId="afc">
    <w:name w:val="Р"/>
    <w:uiPriority w:val="99"/>
    <w:rsid w:val="00BB6316"/>
    <w:rPr>
      <w:vanish/>
      <w:color w:val="FF0000"/>
    </w:rPr>
  </w:style>
  <w:style w:type="paragraph" w:customStyle="1" w:styleId="Z-1">
    <w:name w:val="Z-1"/>
    <w:next w:val="afb"/>
    <w:uiPriority w:val="99"/>
    <w:rsid w:val="00BB6316"/>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b"/>
    <w:uiPriority w:val="99"/>
    <w:rsid w:val="00BB6316"/>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d">
    <w:name w:val="Т"/>
    <w:basedOn w:val="afb"/>
    <w:next w:val="ae"/>
    <w:uiPriority w:val="99"/>
    <w:rsid w:val="00BB6316"/>
    <w:pPr>
      <w:spacing w:before="0" w:after="0"/>
    </w:pPr>
  </w:style>
  <w:style w:type="paragraph" w:customStyle="1" w:styleId="afe">
    <w:name w:val="А"/>
    <w:basedOn w:val="a0"/>
    <w:next w:val="a0"/>
    <w:uiPriority w:val="99"/>
    <w:rsid w:val="00BB6316"/>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BB6316"/>
    <w:pPr>
      <w:widowControl/>
      <w:ind w:left="360"/>
    </w:pPr>
    <w:rPr>
      <w:sz w:val="24"/>
      <w:szCs w:val="24"/>
    </w:rPr>
  </w:style>
  <w:style w:type="paragraph" w:customStyle="1" w:styleId="aff">
    <w:name w:val="......."/>
    <w:basedOn w:val="a0"/>
    <w:next w:val="a0"/>
    <w:uiPriority w:val="99"/>
    <w:rsid w:val="00BB6316"/>
    <w:pPr>
      <w:autoSpaceDE w:val="0"/>
      <w:autoSpaceDN w:val="0"/>
      <w:adjustRightInd w:val="0"/>
      <w:spacing w:after="0" w:line="240" w:lineRule="auto"/>
    </w:pPr>
    <w:rPr>
      <w:rFonts w:ascii="Arial" w:hAnsi="Arial" w:cs="Arial"/>
      <w:color w:val="0000FF"/>
      <w:sz w:val="24"/>
      <w:szCs w:val="24"/>
    </w:rPr>
  </w:style>
  <w:style w:type="character" w:customStyle="1" w:styleId="aff0">
    <w:name w:val="и"/>
    <w:uiPriority w:val="99"/>
    <w:rsid w:val="00BB6316"/>
    <w:rPr>
      <w:color w:val="0000FF"/>
      <w:u w:val="single"/>
    </w:rPr>
  </w:style>
  <w:style w:type="character" w:customStyle="1" w:styleId="13">
    <w:name w:val="О1"/>
    <w:uiPriority w:val="99"/>
    <w:rsid w:val="00BB6316"/>
    <w:rPr>
      <w:i/>
      <w:iCs/>
    </w:rPr>
  </w:style>
  <w:style w:type="character" w:customStyle="1" w:styleId="aff1">
    <w:name w:val="П"/>
    <w:uiPriority w:val="99"/>
    <w:rsid w:val="00BB6316"/>
    <w:rPr>
      <w:color w:val="800080"/>
      <w:u w:val="single"/>
    </w:rPr>
  </w:style>
  <w:style w:type="character" w:customStyle="1" w:styleId="14">
    <w:name w:val="К1"/>
    <w:uiPriority w:val="99"/>
    <w:rsid w:val="00BB6316"/>
    <w:rPr>
      <w:rFonts w:ascii="Courier New" w:hAnsi="Courier New" w:cs="Courier New"/>
      <w:b/>
      <w:bCs/>
      <w:sz w:val="20"/>
      <w:szCs w:val="20"/>
    </w:rPr>
  </w:style>
  <w:style w:type="character" w:customStyle="1" w:styleId="41">
    <w:name w:val="П4"/>
    <w:uiPriority w:val="99"/>
    <w:rsid w:val="00BB6316"/>
    <w:rPr>
      <w:rFonts w:ascii="Courier New" w:hAnsi="Courier New" w:cs="Courier New"/>
    </w:rPr>
  </w:style>
  <w:style w:type="character" w:customStyle="1" w:styleId="33">
    <w:name w:val="П3"/>
    <w:uiPriority w:val="99"/>
    <w:rsid w:val="00BB6316"/>
    <w:rPr>
      <w:rFonts w:ascii="Courier New" w:hAnsi="Courier New" w:cs="Courier New"/>
      <w:sz w:val="20"/>
      <w:szCs w:val="20"/>
    </w:rPr>
  </w:style>
  <w:style w:type="character" w:customStyle="1" w:styleId="26">
    <w:name w:val="П2"/>
    <w:uiPriority w:val="99"/>
    <w:rsid w:val="00BB6316"/>
    <w:rPr>
      <w:i/>
      <w:iCs/>
    </w:rPr>
  </w:style>
  <w:style w:type="character" w:customStyle="1" w:styleId="15">
    <w:name w:val="П1"/>
    <w:uiPriority w:val="99"/>
    <w:rsid w:val="00BB6316"/>
    <w:rPr>
      <w:vanish/>
    </w:rPr>
  </w:style>
  <w:style w:type="paragraph" w:customStyle="1" w:styleId="Iniiaiieoaeno2">
    <w:name w:val="Iniiaiie oaeno 2"/>
    <w:basedOn w:val="Iauiue"/>
    <w:uiPriority w:val="99"/>
    <w:rsid w:val="00BB6316"/>
    <w:pPr>
      <w:jc w:val="both"/>
    </w:pPr>
    <w:rPr>
      <w:sz w:val="16"/>
      <w:szCs w:val="16"/>
    </w:rPr>
  </w:style>
  <w:style w:type="character" w:customStyle="1" w:styleId="Aeiannueea">
    <w:name w:val="Aeia?nnueea"/>
    <w:uiPriority w:val="99"/>
    <w:rsid w:val="00BB6316"/>
    <w:rPr>
      <w:color w:val="0000FF"/>
      <w:sz w:val="20"/>
      <w:szCs w:val="20"/>
      <w:u w:val="single"/>
    </w:rPr>
  </w:style>
  <w:style w:type="character" w:customStyle="1" w:styleId="N1">
    <w:name w:val="N1"/>
    <w:uiPriority w:val="99"/>
    <w:rsid w:val="00BB6316"/>
    <w:rPr>
      <w:b/>
      <w:bCs/>
    </w:rPr>
  </w:style>
  <w:style w:type="paragraph" w:customStyle="1" w:styleId="Iaeeiaaiiuenienie">
    <w:name w:val="Ia?ee?iaaiiue nienie"/>
    <w:basedOn w:val="Iauiue"/>
    <w:uiPriority w:val="99"/>
    <w:rsid w:val="00BB6316"/>
    <w:pPr>
      <w:widowControl/>
      <w:ind w:left="283" w:hanging="283"/>
    </w:pPr>
  </w:style>
  <w:style w:type="paragraph" w:customStyle="1" w:styleId="Oaeno">
    <w:name w:val="Oaeno"/>
    <w:basedOn w:val="Iauiue"/>
    <w:uiPriority w:val="99"/>
    <w:rsid w:val="00BB6316"/>
    <w:rPr>
      <w:rFonts w:ascii="Courier New" w:hAnsi="Courier New" w:cs="Courier New"/>
    </w:rPr>
  </w:style>
  <w:style w:type="paragraph" w:customStyle="1" w:styleId="Iniiaiieoaeno3">
    <w:name w:val="Iniiaiie oaeno 3"/>
    <w:basedOn w:val="Iauiue"/>
    <w:uiPriority w:val="99"/>
    <w:rsid w:val="00BB6316"/>
    <w:pPr>
      <w:jc w:val="center"/>
    </w:pPr>
    <w:rPr>
      <w:sz w:val="16"/>
      <w:szCs w:val="16"/>
    </w:rPr>
  </w:style>
  <w:style w:type="paragraph" w:customStyle="1" w:styleId="Aaoieeeieiioeooe">
    <w:name w:val="Aa?oiee eieiioeooe"/>
    <w:basedOn w:val="Iauiue"/>
    <w:uiPriority w:val="99"/>
    <w:rsid w:val="00BB6316"/>
    <w:pPr>
      <w:widowControl/>
      <w:tabs>
        <w:tab w:val="center" w:pos="4153"/>
        <w:tab w:val="right" w:pos="8306"/>
      </w:tabs>
    </w:pPr>
  </w:style>
  <w:style w:type="paragraph" w:customStyle="1" w:styleId="Ieieeeieiioeooe">
    <w:name w:val="Ie?iee eieiioeooe"/>
    <w:basedOn w:val="Iauiue"/>
    <w:uiPriority w:val="99"/>
    <w:rsid w:val="00BB6316"/>
    <w:pPr>
      <w:widowControl/>
      <w:tabs>
        <w:tab w:val="center" w:pos="4153"/>
        <w:tab w:val="right" w:pos="8306"/>
      </w:tabs>
    </w:pPr>
  </w:style>
  <w:style w:type="paragraph" w:customStyle="1" w:styleId="Default">
    <w:name w:val="Default"/>
    <w:rsid w:val="00BB6316"/>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BB6316"/>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BB6316"/>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BB6316"/>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BB6316"/>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BB6316"/>
    <w:rPr>
      <w:rFonts w:ascii="Microsoft Sans Serif" w:hAnsi="Microsoft Sans Serif" w:cs="Microsoft Sans Serif"/>
      <w:b/>
      <w:bCs/>
      <w:i/>
      <w:iCs/>
      <w:spacing w:val="0"/>
      <w:sz w:val="17"/>
      <w:szCs w:val="17"/>
    </w:rPr>
  </w:style>
  <w:style w:type="character" w:customStyle="1" w:styleId="39">
    <w:name w:val="Основной текст (3)9"/>
    <w:uiPriority w:val="99"/>
    <w:rsid w:val="00BB6316"/>
    <w:rPr>
      <w:b/>
      <w:bCs/>
      <w:i/>
      <w:iCs/>
      <w:sz w:val="17"/>
      <w:szCs w:val="17"/>
    </w:rPr>
  </w:style>
  <w:style w:type="paragraph" w:customStyle="1" w:styleId="310">
    <w:name w:val="Основной текст (3)1"/>
    <w:basedOn w:val="a0"/>
    <w:rsid w:val="00BB6316"/>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BB6316"/>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BB6316"/>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BB6316"/>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BB6316"/>
    <w:rPr>
      <w:rFonts w:ascii="Microsoft Sans Serif" w:hAnsi="Microsoft Sans Serif" w:cs="Microsoft Sans Serif"/>
      <w:i/>
      <w:iCs/>
      <w:spacing w:val="0"/>
      <w:sz w:val="16"/>
      <w:szCs w:val="16"/>
    </w:rPr>
  </w:style>
  <w:style w:type="character" w:customStyle="1" w:styleId="579">
    <w:name w:val="Основной текст (5)79"/>
    <w:uiPriority w:val="99"/>
    <w:rsid w:val="00BB6316"/>
    <w:rPr>
      <w:i/>
      <w:iCs/>
      <w:spacing w:val="0"/>
      <w:sz w:val="16"/>
      <w:szCs w:val="16"/>
    </w:rPr>
  </w:style>
  <w:style w:type="character" w:customStyle="1" w:styleId="578">
    <w:name w:val="Основной текст (5)78"/>
    <w:uiPriority w:val="99"/>
    <w:rsid w:val="00BB6316"/>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BB6316"/>
    <w:rPr>
      <w:b/>
      <w:bCs/>
      <w:i/>
      <w:iCs/>
      <w:spacing w:val="0"/>
      <w:sz w:val="14"/>
      <w:szCs w:val="14"/>
    </w:rPr>
  </w:style>
  <w:style w:type="character" w:customStyle="1" w:styleId="57pt124">
    <w:name w:val="Основной текст (5) + 7 pt1.Полужирный24"/>
    <w:uiPriority w:val="99"/>
    <w:rsid w:val="00BB6316"/>
    <w:rPr>
      <w:b/>
      <w:bCs/>
      <w:i/>
      <w:iCs/>
      <w:spacing w:val="0"/>
      <w:sz w:val="14"/>
      <w:szCs w:val="14"/>
    </w:rPr>
  </w:style>
  <w:style w:type="character" w:customStyle="1" w:styleId="8pt25340pt104">
    <w:name w:val="Основной текст + 8 pt25.Курсив34.Интервал 0 pt104"/>
    <w:uiPriority w:val="99"/>
    <w:rsid w:val="00BB6316"/>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BB6316"/>
    <w:rPr>
      <w:rFonts w:ascii="Arial Unicode MS" w:eastAsia="Arial Unicode MS" w:cs="Arial Unicode MS"/>
      <w:i/>
      <w:iCs/>
      <w:noProof/>
      <w:spacing w:val="0"/>
      <w:sz w:val="16"/>
      <w:szCs w:val="16"/>
    </w:rPr>
  </w:style>
  <w:style w:type="character" w:customStyle="1" w:styleId="577">
    <w:name w:val="Основной текст (5)77"/>
    <w:uiPriority w:val="99"/>
    <w:rsid w:val="00BB6316"/>
    <w:rPr>
      <w:i/>
      <w:iCs/>
      <w:spacing w:val="0"/>
      <w:sz w:val="16"/>
      <w:szCs w:val="16"/>
    </w:rPr>
  </w:style>
  <w:style w:type="character" w:customStyle="1" w:styleId="576">
    <w:name w:val="Основной текст (5)76"/>
    <w:uiPriority w:val="99"/>
    <w:rsid w:val="00BB6316"/>
    <w:rPr>
      <w:rFonts w:ascii="Arial Unicode MS" w:eastAsia="Arial Unicode MS" w:cs="Arial Unicode MS"/>
      <w:i/>
      <w:iCs/>
      <w:noProof/>
      <w:spacing w:val="0"/>
      <w:sz w:val="16"/>
      <w:szCs w:val="16"/>
    </w:rPr>
  </w:style>
  <w:style w:type="paragraph" w:customStyle="1" w:styleId="61">
    <w:name w:val="Заголовок №61"/>
    <w:basedOn w:val="a0"/>
    <w:uiPriority w:val="99"/>
    <w:rsid w:val="00BB6316"/>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BB6316"/>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BB6316"/>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BB6316"/>
    <w:rPr>
      <w:rFonts w:ascii="Arial Unicode MS" w:eastAsia="Arial Unicode MS" w:cs="Arial Unicode MS"/>
      <w:i/>
      <w:iCs/>
      <w:noProof/>
      <w:spacing w:val="0"/>
      <w:sz w:val="16"/>
      <w:szCs w:val="16"/>
    </w:rPr>
  </w:style>
  <w:style w:type="paragraph" w:customStyle="1" w:styleId="201">
    <w:name w:val="Основной текст (20)1"/>
    <w:basedOn w:val="a0"/>
    <w:uiPriority w:val="99"/>
    <w:rsid w:val="00BB6316"/>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BB6316"/>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BB6316"/>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BB6316"/>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BB6316"/>
    <w:rPr>
      <w:rFonts w:ascii="Lucida Sans Unicode" w:hAnsi="Lucida Sans Unicode" w:cs="Lucida Sans Unicode"/>
      <w:i/>
      <w:iCs/>
      <w:spacing w:val="0"/>
      <w:sz w:val="16"/>
      <w:szCs w:val="16"/>
    </w:rPr>
  </w:style>
  <w:style w:type="character" w:customStyle="1" w:styleId="29">
    <w:name w:val="Основной текст (29)_"/>
    <w:rsid w:val="00BB6316"/>
    <w:rPr>
      <w:rFonts w:ascii="Arial Narrow" w:hAnsi="Arial Narrow" w:cs="Arial Narrow"/>
      <w:i/>
      <w:iCs/>
      <w:sz w:val="15"/>
      <w:szCs w:val="15"/>
    </w:rPr>
  </w:style>
  <w:style w:type="paragraph" w:customStyle="1" w:styleId="100">
    <w:name w:val="Заголовок №10"/>
    <w:basedOn w:val="a0"/>
    <w:link w:val="101"/>
    <w:rsid w:val="00BB6316"/>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0"/>
    <w:uiPriority w:val="99"/>
    <w:rsid w:val="00BB6316"/>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BB6316"/>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BB6316"/>
    <w:rPr>
      <w:rFonts w:ascii="Lucida Sans Unicode" w:hAnsi="Lucida Sans Unicode" w:cs="Lucida Sans Unicode"/>
      <w:i/>
      <w:iCs/>
      <w:spacing w:val="0"/>
      <w:sz w:val="16"/>
      <w:szCs w:val="16"/>
    </w:rPr>
  </w:style>
  <w:style w:type="character" w:customStyle="1" w:styleId="aff2">
    <w:name w:val="Основной текст_"/>
    <w:link w:val="6"/>
    <w:rsid w:val="00BB6316"/>
    <w:rPr>
      <w:rFonts w:ascii="Microsoft Sans Serif" w:hAnsi="Microsoft Sans Serif" w:cs="Microsoft Sans Serif"/>
      <w:spacing w:val="-10"/>
      <w:sz w:val="29"/>
      <w:szCs w:val="29"/>
    </w:rPr>
  </w:style>
  <w:style w:type="paragraph" w:customStyle="1" w:styleId="141">
    <w:name w:val="Основной текст (14)1"/>
    <w:basedOn w:val="a0"/>
    <w:uiPriority w:val="99"/>
    <w:rsid w:val="00BB6316"/>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3">
    <w:name w:val="Подпись к таблице"/>
    <w:basedOn w:val="a0"/>
    <w:link w:val="aff4"/>
    <w:rsid w:val="00BB6316"/>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BB6316"/>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BB6316"/>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BB6316"/>
    <w:rPr>
      <w:rFonts w:ascii="Lucida Sans Unicode" w:hAnsi="Lucida Sans Unicode" w:cs="Lucida Sans Unicode"/>
      <w:i/>
      <w:iCs/>
      <w:spacing w:val="0"/>
      <w:sz w:val="16"/>
      <w:szCs w:val="16"/>
    </w:rPr>
  </w:style>
  <w:style w:type="character" w:customStyle="1" w:styleId="200">
    <w:name w:val="Основной текст (20)_"/>
    <w:link w:val="202"/>
    <w:rsid w:val="00BB6316"/>
    <w:rPr>
      <w:b/>
      <w:bCs/>
      <w:i/>
      <w:iCs/>
      <w:sz w:val="15"/>
      <w:szCs w:val="15"/>
    </w:rPr>
  </w:style>
  <w:style w:type="character" w:customStyle="1" w:styleId="2050pt30">
    <w:name w:val="Основной текст (20) + Не курсив5.Интервал 0 pt30"/>
    <w:uiPriority w:val="99"/>
    <w:rsid w:val="00BB6316"/>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BB6316"/>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BB6316"/>
    <w:rPr>
      <w:rFonts w:ascii="Lucida Sans Unicode" w:hAnsi="Lucida Sans Unicode" w:cs="Lucida Sans Unicode"/>
      <w:i/>
      <w:iCs/>
      <w:spacing w:val="0"/>
      <w:sz w:val="16"/>
      <w:szCs w:val="16"/>
    </w:rPr>
  </w:style>
  <w:style w:type="paragraph" w:customStyle="1" w:styleId="311">
    <w:name w:val="Подпись к картинке (3)1"/>
    <w:basedOn w:val="a0"/>
    <w:uiPriority w:val="99"/>
    <w:rsid w:val="00BB6316"/>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0"/>
    <w:uiPriority w:val="99"/>
    <w:rsid w:val="00BB6316"/>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0"/>
    <w:uiPriority w:val="99"/>
    <w:rsid w:val="00BB6316"/>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0"/>
    <w:link w:val="430"/>
    <w:rsid w:val="00BB6316"/>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0"/>
    <w:uiPriority w:val="99"/>
    <w:rsid w:val="00BB6316"/>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5">
    <w:name w:val="Сноска"/>
    <w:basedOn w:val="a0"/>
    <w:link w:val="aff6"/>
    <w:rsid w:val="00BB6316"/>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2">
    <w:name w:val="Основной текст + Курсив10"/>
    <w:uiPriority w:val="99"/>
    <w:rsid w:val="00BB6316"/>
    <w:rPr>
      <w:rFonts w:ascii="Arial" w:hAnsi="Arial" w:cs="Arial"/>
      <w:i/>
      <w:iCs/>
      <w:spacing w:val="-10"/>
      <w:sz w:val="17"/>
      <w:szCs w:val="17"/>
    </w:rPr>
  </w:style>
  <w:style w:type="paragraph" w:customStyle="1" w:styleId="250">
    <w:name w:val="Основной текст25"/>
    <w:basedOn w:val="a0"/>
    <w:uiPriority w:val="99"/>
    <w:rsid w:val="00BB6316"/>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0"/>
    <w:link w:val="121"/>
    <w:uiPriority w:val="99"/>
    <w:rsid w:val="00BB6316"/>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7">
    <w:name w:val="Оглавление"/>
    <w:uiPriority w:val="99"/>
    <w:rsid w:val="00BB6316"/>
    <w:rPr>
      <w:rFonts w:ascii="Times New Roman" w:hAnsi="Times New Roman" w:cs="Times New Roman"/>
      <w:spacing w:val="0"/>
      <w:sz w:val="21"/>
      <w:szCs w:val="21"/>
      <w:u w:val="single"/>
    </w:rPr>
  </w:style>
  <w:style w:type="paragraph" w:customStyle="1" w:styleId="140">
    <w:name w:val="Заголовок №14"/>
    <w:basedOn w:val="a0"/>
    <w:link w:val="142"/>
    <w:rsid w:val="00BB6316"/>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BB6316"/>
    <w:rPr>
      <w:spacing w:val="40"/>
      <w:sz w:val="25"/>
      <w:szCs w:val="25"/>
    </w:rPr>
  </w:style>
  <w:style w:type="paragraph" w:customStyle="1" w:styleId="72">
    <w:name w:val="Основной текст (7)"/>
    <w:basedOn w:val="a0"/>
    <w:link w:val="73"/>
    <w:rsid w:val="00BB6316"/>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BB6316"/>
    <w:rPr>
      <w:spacing w:val="10"/>
      <w:sz w:val="26"/>
      <w:szCs w:val="26"/>
    </w:rPr>
  </w:style>
  <w:style w:type="character" w:customStyle="1" w:styleId="240">
    <w:name w:val="Основной текст24"/>
    <w:uiPriority w:val="99"/>
    <w:rsid w:val="00BB6316"/>
    <w:rPr>
      <w:sz w:val="25"/>
      <w:szCs w:val="25"/>
    </w:rPr>
  </w:style>
  <w:style w:type="paragraph" w:customStyle="1" w:styleId="60">
    <w:name w:val="Заголовок №6"/>
    <w:basedOn w:val="a0"/>
    <w:uiPriority w:val="99"/>
    <w:rsid w:val="00BB6316"/>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uiPriority w:val="99"/>
    <w:rsid w:val="00BB6316"/>
    <w:rPr>
      <w:rFonts w:ascii="Lucida Sans Unicode" w:hAnsi="Lucida Sans Unicode" w:cs="Lucida Sans Unicode"/>
      <w:i/>
      <w:iCs/>
      <w:sz w:val="16"/>
      <w:szCs w:val="16"/>
    </w:rPr>
  </w:style>
  <w:style w:type="character" w:customStyle="1" w:styleId="aff8">
    <w:name w:val="Основной текст + Курсив"/>
    <w:aliases w:val="Интервал 0 pt59"/>
    <w:uiPriority w:val="99"/>
    <w:rsid w:val="00BB6316"/>
    <w:rPr>
      <w:rFonts w:ascii="Lucida Sans Unicode" w:hAnsi="Lucida Sans Unicode" w:cs="Lucida Sans Unicode"/>
      <w:i/>
      <w:iCs/>
      <w:sz w:val="16"/>
      <w:szCs w:val="16"/>
    </w:rPr>
  </w:style>
  <w:style w:type="paragraph" w:customStyle="1" w:styleId="80">
    <w:name w:val="Основной текст (8)"/>
    <w:basedOn w:val="a0"/>
    <w:rsid w:val="00BB6316"/>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rsid w:val="00BB6316"/>
    <w:rPr>
      <w:rFonts w:ascii="Lucida Sans Unicode" w:hAnsi="Lucida Sans Unicode" w:cs="Lucida Sans Unicode"/>
      <w:sz w:val="16"/>
      <w:szCs w:val="16"/>
    </w:rPr>
  </w:style>
  <w:style w:type="character" w:customStyle="1" w:styleId="4pt">
    <w:name w:val="Основной текст + Интервал 4 pt"/>
    <w:uiPriority w:val="99"/>
    <w:rsid w:val="00BB6316"/>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BB6316"/>
    <w:rPr>
      <w:rFonts w:ascii="Segoe UI" w:hAnsi="Segoe UI" w:cs="Segoe UI"/>
      <w:b/>
      <w:bCs/>
      <w:i/>
      <w:iCs/>
      <w:spacing w:val="0"/>
      <w:sz w:val="16"/>
      <w:szCs w:val="16"/>
    </w:rPr>
  </w:style>
  <w:style w:type="character" w:customStyle="1" w:styleId="SegoeUI1">
    <w:name w:val="Основной текст + Segoe UI1"/>
    <w:uiPriority w:val="99"/>
    <w:rsid w:val="00BB6316"/>
    <w:rPr>
      <w:rFonts w:ascii="Segoe UI" w:hAnsi="Segoe UI" w:cs="Segoe UI"/>
      <w:i/>
      <w:iCs/>
      <w:spacing w:val="0"/>
      <w:sz w:val="13"/>
      <w:szCs w:val="13"/>
    </w:rPr>
  </w:style>
  <w:style w:type="character" w:customStyle="1" w:styleId="16">
    <w:name w:val="Основной текст1"/>
    <w:rsid w:val="00BB6316"/>
    <w:rPr>
      <w:rFonts w:ascii="Gungsuh" w:eastAsia="Gungsuh" w:cs="Gungsuh"/>
      <w:spacing w:val="-10"/>
      <w:sz w:val="16"/>
      <w:szCs w:val="16"/>
      <w:u w:val="single"/>
    </w:rPr>
  </w:style>
  <w:style w:type="paragraph" w:customStyle="1" w:styleId="34">
    <w:name w:val="Основной текст (3)"/>
    <w:basedOn w:val="a0"/>
    <w:link w:val="35"/>
    <w:rsid w:val="00BB6316"/>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0"/>
    <w:rsid w:val="00BB6316"/>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0"/>
    <w:link w:val="46"/>
    <w:rsid w:val="00BB6316"/>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0"/>
    <w:link w:val="2a"/>
    <w:rsid w:val="00BB6316"/>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0"/>
    <w:link w:val="18"/>
    <w:uiPriority w:val="99"/>
    <w:rsid w:val="00BB6316"/>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4">
    <w:name w:val="Основной текст + 7"/>
    <w:rsid w:val="00BB6316"/>
    <w:rPr>
      <w:rFonts w:ascii="Gungsuh" w:eastAsia="Gungsuh" w:cs="Gungsuh"/>
      <w:spacing w:val="0"/>
      <w:sz w:val="15"/>
      <w:szCs w:val="15"/>
    </w:rPr>
  </w:style>
  <w:style w:type="character" w:customStyle="1" w:styleId="TrebuchetMS">
    <w:name w:val="Основной текст + Trebuchet MS"/>
    <w:uiPriority w:val="99"/>
    <w:rsid w:val="00BB6316"/>
    <w:rPr>
      <w:rFonts w:ascii="Trebuchet MS" w:hAnsi="Trebuchet MS" w:cs="Trebuchet MS"/>
      <w:b/>
      <w:bCs/>
      <w:spacing w:val="0"/>
      <w:sz w:val="20"/>
      <w:szCs w:val="20"/>
    </w:rPr>
  </w:style>
  <w:style w:type="character" w:customStyle="1" w:styleId="103">
    <w:name w:val="Основной текст + 10"/>
    <w:uiPriority w:val="99"/>
    <w:rsid w:val="00BB6316"/>
    <w:rPr>
      <w:rFonts w:ascii="Gungsuh" w:eastAsia="Gungsuh" w:cs="Gungsuh"/>
      <w:spacing w:val="-20"/>
      <w:sz w:val="21"/>
      <w:szCs w:val="21"/>
    </w:rPr>
  </w:style>
  <w:style w:type="character" w:customStyle="1" w:styleId="9">
    <w:name w:val="Основной текст + 9"/>
    <w:uiPriority w:val="99"/>
    <w:rsid w:val="00BB6316"/>
    <w:rPr>
      <w:rFonts w:ascii="Gungsuh" w:eastAsia="Gungsuh" w:cs="Gungsuh"/>
      <w:smallCaps/>
      <w:spacing w:val="-10"/>
      <w:sz w:val="19"/>
      <w:szCs w:val="19"/>
    </w:rPr>
  </w:style>
  <w:style w:type="character" w:customStyle="1" w:styleId="Candara">
    <w:name w:val="Основной текст + Candara"/>
    <w:uiPriority w:val="99"/>
    <w:rsid w:val="00BB6316"/>
    <w:rPr>
      <w:rFonts w:ascii="Candara" w:hAnsi="Candara" w:cs="Candara"/>
      <w:b/>
      <w:bCs/>
      <w:spacing w:val="0"/>
      <w:sz w:val="22"/>
      <w:szCs w:val="22"/>
    </w:rPr>
  </w:style>
  <w:style w:type="character" w:customStyle="1" w:styleId="0pt">
    <w:name w:val="Основной текст + Интервал 0 pt"/>
    <w:rsid w:val="00BB6316"/>
    <w:rPr>
      <w:rFonts w:ascii="Gungsuh" w:eastAsia="Gungsuh" w:cs="Gungsuh"/>
      <w:spacing w:val="10"/>
      <w:sz w:val="18"/>
      <w:szCs w:val="18"/>
    </w:rPr>
  </w:style>
  <w:style w:type="character" w:customStyle="1" w:styleId="8pt">
    <w:name w:val="Основной текст + 8 pt"/>
    <w:rsid w:val="00BB6316"/>
    <w:rPr>
      <w:rFonts w:ascii="Gungsuh" w:eastAsia="Gungsuh" w:cs="Gungsuh"/>
      <w:spacing w:val="-10"/>
      <w:sz w:val="16"/>
      <w:szCs w:val="16"/>
    </w:rPr>
  </w:style>
  <w:style w:type="character" w:customStyle="1" w:styleId="Consolas">
    <w:name w:val="Основной текст + Consolas"/>
    <w:uiPriority w:val="99"/>
    <w:rsid w:val="00BB6316"/>
    <w:rPr>
      <w:rFonts w:ascii="Consolas" w:hAnsi="Consolas" w:cs="Consolas"/>
      <w:b/>
      <w:bCs/>
      <w:spacing w:val="0"/>
      <w:sz w:val="19"/>
      <w:szCs w:val="19"/>
    </w:rPr>
  </w:style>
  <w:style w:type="character" w:customStyle="1" w:styleId="82">
    <w:name w:val="Основной текст + 8"/>
    <w:uiPriority w:val="99"/>
    <w:rsid w:val="00BB6316"/>
    <w:rPr>
      <w:rFonts w:ascii="Arial Narrow" w:hAnsi="Arial Narrow" w:cs="Arial Narrow"/>
      <w:i/>
      <w:iCs/>
      <w:smallCaps/>
      <w:sz w:val="17"/>
      <w:szCs w:val="17"/>
    </w:rPr>
  </w:style>
  <w:style w:type="character" w:customStyle="1" w:styleId="280">
    <w:name w:val="Основной текст (2) + 8"/>
    <w:uiPriority w:val="99"/>
    <w:rsid w:val="00BB6316"/>
    <w:rPr>
      <w:rFonts w:ascii="Arial Narrow" w:hAnsi="Arial Narrow" w:cs="Arial Narrow"/>
      <w:i/>
      <w:iCs/>
      <w:smallCaps/>
      <w:spacing w:val="0"/>
      <w:sz w:val="17"/>
      <w:szCs w:val="17"/>
    </w:rPr>
  </w:style>
  <w:style w:type="character" w:customStyle="1" w:styleId="7pt">
    <w:name w:val="Основной текст + 7 pt"/>
    <w:uiPriority w:val="99"/>
    <w:rsid w:val="00BB6316"/>
    <w:rPr>
      <w:rFonts w:ascii="Gungsuh" w:eastAsia="Gungsuh" w:cs="Gungsuh"/>
      <w:spacing w:val="0"/>
      <w:sz w:val="14"/>
      <w:szCs w:val="14"/>
    </w:rPr>
  </w:style>
  <w:style w:type="character" w:customStyle="1" w:styleId="9pt">
    <w:name w:val="Основной текст + 9 pt"/>
    <w:aliases w:val="Подпись к картинке (28) + Sylfaen,61,5 pt7,Полужирный10,Основной текст + 84,Малые прописные4,Основной текст (2) + Microsoft Sans Serif,Колонтитул + Century Gothic1,Основной текст (25) + 9,Колонтитул + 92"/>
    <w:rsid w:val="00BB6316"/>
    <w:rPr>
      <w:rFonts w:ascii="Gungsuh" w:eastAsia="Gungsuh" w:cs="Gungsuh"/>
      <w:b/>
      <w:bCs/>
      <w:i/>
      <w:iCs/>
      <w:spacing w:val="0"/>
      <w:sz w:val="18"/>
      <w:szCs w:val="18"/>
    </w:rPr>
  </w:style>
  <w:style w:type="character" w:customStyle="1" w:styleId="9pt1">
    <w:name w:val="Основной текст + 9 pt1"/>
    <w:uiPriority w:val="99"/>
    <w:rsid w:val="00BB6316"/>
    <w:rPr>
      <w:rFonts w:ascii="Gungsuh" w:eastAsia="Gungsuh" w:cs="Gungsuh"/>
      <w:smallCaps/>
      <w:spacing w:val="0"/>
      <w:sz w:val="18"/>
      <w:szCs w:val="18"/>
    </w:rPr>
  </w:style>
  <w:style w:type="character" w:customStyle="1" w:styleId="1pt">
    <w:name w:val="Основной текст + Интервал 1 pt"/>
    <w:rsid w:val="00BB6316"/>
    <w:rPr>
      <w:rFonts w:ascii="Gungsuh" w:eastAsia="Gungsuh" w:cs="Gungsuh"/>
      <w:spacing w:val="30"/>
      <w:sz w:val="17"/>
      <w:szCs w:val="17"/>
    </w:rPr>
  </w:style>
  <w:style w:type="character" w:customStyle="1" w:styleId="Garamond">
    <w:name w:val="Колонтитул + Garamond"/>
    <w:uiPriority w:val="99"/>
    <w:rsid w:val="00BB6316"/>
    <w:rPr>
      <w:rFonts w:ascii="Garamond" w:hAnsi="Garamond" w:cs="Garamond"/>
      <w:sz w:val="18"/>
      <w:szCs w:val="18"/>
    </w:rPr>
  </w:style>
  <w:style w:type="character" w:customStyle="1" w:styleId="3pt">
    <w:name w:val="Основной текст + Интервал 3 pt"/>
    <w:uiPriority w:val="99"/>
    <w:rsid w:val="00BB6316"/>
    <w:rPr>
      <w:rFonts w:ascii="Gungsuh" w:eastAsia="Gungsuh" w:cs="Gungsuh"/>
      <w:spacing w:val="60"/>
      <w:sz w:val="17"/>
      <w:szCs w:val="17"/>
    </w:rPr>
  </w:style>
  <w:style w:type="paragraph" w:customStyle="1" w:styleId="aff9">
    <w:name w:val="Колонтитул"/>
    <w:basedOn w:val="a0"/>
    <w:link w:val="affa"/>
    <w:rsid w:val="00BB6316"/>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BB6316"/>
    <w:rPr>
      <w:rFonts w:ascii="Arial" w:hAnsi="Arial" w:cs="Arial"/>
      <w:sz w:val="21"/>
      <w:szCs w:val="21"/>
    </w:rPr>
  </w:style>
  <w:style w:type="paragraph" w:customStyle="1" w:styleId="2b">
    <w:name w:val="Заголовок №2"/>
    <w:basedOn w:val="a0"/>
    <w:uiPriority w:val="99"/>
    <w:rsid w:val="00BB6316"/>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BB6316"/>
    <w:rPr>
      <w:rFonts w:ascii="Gulim" w:eastAsia="Gulim" w:cs="Gulim"/>
      <w:i/>
      <w:iCs/>
      <w:spacing w:val="-20"/>
      <w:sz w:val="19"/>
      <w:szCs w:val="19"/>
    </w:rPr>
  </w:style>
  <w:style w:type="character" w:customStyle="1" w:styleId="FranklinGothicMedium">
    <w:name w:val="Основной текст + Franklin Gothic Medium"/>
    <w:uiPriority w:val="99"/>
    <w:rsid w:val="00BB6316"/>
    <w:rPr>
      <w:rFonts w:ascii="Franklin Gothic Medium" w:hAnsi="Franklin Gothic Medium" w:cs="Franklin Gothic Medium"/>
      <w:spacing w:val="0"/>
      <w:sz w:val="18"/>
      <w:szCs w:val="18"/>
    </w:rPr>
  </w:style>
  <w:style w:type="paragraph" w:customStyle="1" w:styleId="36">
    <w:name w:val="Основной текст3"/>
    <w:basedOn w:val="a0"/>
    <w:uiPriority w:val="99"/>
    <w:rsid w:val="00BB6316"/>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rsid w:val="00BB6316"/>
    <w:rPr>
      <w:rFonts w:ascii="Century Schoolbook" w:hAnsi="Century Schoolbook" w:cs="Century Schoolbook"/>
      <w:spacing w:val="-20"/>
      <w:sz w:val="18"/>
      <w:szCs w:val="18"/>
    </w:rPr>
  </w:style>
  <w:style w:type="character" w:customStyle="1" w:styleId="Batang">
    <w:name w:val="Основной текст + Batang"/>
    <w:uiPriority w:val="99"/>
    <w:rsid w:val="00BB6316"/>
    <w:rPr>
      <w:rFonts w:ascii="Batang" w:eastAsia="Batang" w:cs="Batang"/>
      <w:b/>
      <w:bCs/>
      <w:smallCaps/>
      <w:spacing w:val="0"/>
      <w:sz w:val="19"/>
      <w:szCs w:val="19"/>
    </w:rPr>
  </w:style>
  <w:style w:type="character" w:customStyle="1" w:styleId="FrankRuehl">
    <w:name w:val="Основной текст + FrankRuehl"/>
    <w:uiPriority w:val="99"/>
    <w:rsid w:val="00BB6316"/>
    <w:rPr>
      <w:rFonts w:ascii="FrankRuehl" w:cs="FrankRuehl"/>
      <w:sz w:val="30"/>
      <w:szCs w:val="30"/>
      <w:lang w:bidi="he-IL"/>
    </w:rPr>
  </w:style>
  <w:style w:type="character" w:customStyle="1" w:styleId="FrankRuehl2">
    <w:name w:val="Основной текст + FrankRuehl2"/>
    <w:uiPriority w:val="99"/>
    <w:rsid w:val="00BB6316"/>
    <w:rPr>
      <w:rFonts w:ascii="FrankRuehl" w:cs="FrankRuehl"/>
      <w:sz w:val="29"/>
      <w:szCs w:val="29"/>
      <w:lang w:bidi="he-IL"/>
    </w:rPr>
  </w:style>
  <w:style w:type="character" w:customStyle="1" w:styleId="FrankRuehl1">
    <w:name w:val="Основной текст + FrankRuehl1"/>
    <w:uiPriority w:val="99"/>
    <w:rsid w:val="00BB6316"/>
    <w:rPr>
      <w:rFonts w:ascii="FrankRuehl" w:cs="FrankRuehl"/>
      <w:i/>
      <w:iCs/>
      <w:sz w:val="16"/>
      <w:szCs w:val="16"/>
      <w:lang w:bidi="he-IL"/>
    </w:rPr>
  </w:style>
  <w:style w:type="character" w:customStyle="1" w:styleId="112">
    <w:name w:val="Основной текст + 11"/>
    <w:uiPriority w:val="99"/>
    <w:rsid w:val="00BB6316"/>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BB6316"/>
    <w:rPr>
      <w:rFonts w:ascii="FrankRuehl" w:cs="FrankRuehl"/>
      <w:b/>
      <w:bCs/>
      <w:i/>
      <w:iCs/>
      <w:spacing w:val="0"/>
      <w:sz w:val="9"/>
      <w:szCs w:val="9"/>
      <w:lang w:bidi="he-IL"/>
    </w:rPr>
  </w:style>
  <w:style w:type="paragraph" w:customStyle="1" w:styleId="47">
    <w:name w:val="Основной текст4"/>
    <w:basedOn w:val="a0"/>
    <w:rsid w:val="00BB6316"/>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BB6316"/>
    <w:rPr>
      <w:rFonts w:ascii="Gungsuh" w:eastAsia="Gungsuh" w:cs="Gungsuh"/>
      <w:sz w:val="33"/>
      <w:szCs w:val="33"/>
    </w:rPr>
  </w:style>
  <w:style w:type="character" w:customStyle="1" w:styleId="10pt">
    <w:name w:val="Основной текст + 10 pt"/>
    <w:aliases w:val="Интервал 0 pt26"/>
    <w:uiPriority w:val="99"/>
    <w:rsid w:val="00BB6316"/>
    <w:rPr>
      <w:rFonts w:ascii="Gungsuh" w:eastAsia="Gungsuh" w:cs="Gungsuh"/>
      <w:spacing w:val="-20"/>
      <w:sz w:val="20"/>
      <w:szCs w:val="20"/>
    </w:rPr>
  </w:style>
  <w:style w:type="character" w:customStyle="1" w:styleId="affb">
    <w:name w:val="Основной текст + Полужирный"/>
    <w:aliases w:val="Интервал 0 pt9"/>
    <w:uiPriority w:val="99"/>
    <w:rsid w:val="00BB6316"/>
    <w:rPr>
      <w:rFonts w:ascii="Gungsuh" w:eastAsia="Gungsuh" w:cs="Gungsuh"/>
      <w:b/>
      <w:bCs/>
      <w:smallCaps/>
      <w:spacing w:val="-10"/>
      <w:sz w:val="17"/>
      <w:szCs w:val="17"/>
    </w:rPr>
  </w:style>
  <w:style w:type="character" w:customStyle="1" w:styleId="2TimesNewRoman">
    <w:name w:val="Основной текст (2) + Times New Roman"/>
    <w:uiPriority w:val="99"/>
    <w:rsid w:val="00BB6316"/>
    <w:rPr>
      <w:rFonts w:ascii="Times New Roman" w:hAnsi="Times New Roman" w:cs="Times New Roman"/>
      <w:b/>
      <w:bCs/>
      <w:sz w:val="21"/>
      <w:szCs w:val="21"/>
    </w:rPr>
  </w:style>
  <w:style w:type="character" w:customStyle="1" w:styleId="-1pt0">
    <w:name w:val="Оглавление + Интервал -1 pt"/>
    <w:uiPriority w:val="99"/>
    <w:rsid w:val="00BB6316"/>
    <w:rPr>
      <w:rFonts w:ascii="Times New Roman" w:hAnsi="Times New Roman" w:cs="Times New Roman"/>
      <w:spacing w:val="-20"/>
      <w:sz w:val="21"/>
      <w:szCs w:val="21"/>
    </w:rPr>
  </w:style>
  <w:style w:type="character" w:customStyle="1" w:styleId="300">
    <w:name w:val="Основной текст + 30"/>
    <w:uiPriority w:val="99"/>
    <w:rsid w:val="00BB6316"/>
    <w:rPr>
      <w:rFonts w:ascii="MingLiU" w:eastAsia="MingLiU" w:cs="MingLiU"/>
      <w:i/>
      <w:iCs/>
      <w:spacing w:val="-60"/>
      <w:sz w:val="61"/>
      <w:szCs w:val="61"/>
    </w:rPr>
  </w:style>
  <w:style w:type="character" w:customStyle="1" w:styleId="449pt">
    <w:name w:val="Основной текст (44) + 9 pt.Не полужирный"/>
    <w:uiPriority w:val="99"/>
    <w:rsid w:val="00BB6316"/>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BB6316"/>
    <w:rPr>
      <w:rFonts w:ascii="Bookman Old Style" w:hAnsi="Bookman Old Style" w:cs="Bookman Old Style"/>
      <w:spacing w:val="-20"/>
      <w:sz w:val="16"/>
      <w:szCs w:val="16"/>
    </w:rPr>
  </w:style>
  <w:style w:type="character" w:customStyle="1" w:styleId="203">
    <w:name w:val="Подпись к картинке (20)"/>
    <w:rsid w:val="00BB6316"/>
    <w:rPr>
      <w:rFonts w:ascii="Arial Narrow" w:hAnsi="Arial Narrow" w:cs="Arial Narrow"/>
      <w:i/>
      <w:iCs/>
      <w:spacing w:val="0"/>
      <w:sz w:val="16"/>
      <w:szCs w:val="16"/>
      <w:u w:val="single"/>
    </w:rPr>
  </w:style>
  <w:style w:type="character" w:customStyle="1" w:styleId="211">
    <w:name w:val="Подпись к картинке (21)"/>
    <w:rsid w:val="00BB6316"/>
    <w:rPr>
      <w:rFonts w:ascii="Arial Narrow" w:hAnsi="Arial Narrow" w:cs="Arial Narrow"/>
      <w:strike/>
      <w:spacing w:val="0"/>
      <w:sz w:val="22"/>
      <w:szCs w:val="22"/>
    </w:rPr>
  </w:style>
  <w:style w:type="character" w:customStyle="1" w:styleId="51">
    <w:name w:val="Подпись к картинке (5)"/>
    <w:rsid w:val="00BB6316"/>
    <w:rPr>
      <w:rFonts w:ascii="Arial Narrow" w:hAnsi="Arial Narrow" w:cs="Arial Narrow"/>
      <w:spacing w:val="0"/>
      <w:sz w:val="17"/>
      <w:szCs w:val="17"/>
      <w:u w:val="single"/>
    </w:rPr>
  </w:style>
  <w:style w:type="character" w:customStyle="1" w:styleId="58">
    <w:name w:val="Основной текст (58) + Полужирный"/>
    <w:uiPriority w:val="99"/>
    <w:rsid w:val="00BB6316"/>
    <w:rPr>
      <w:rFonts w:ascii="MS Reference Sans Serif" w:hAnsi="MS Reference Sans Serif" w:cs="MS Reference Sans Serif"/>
      <w:b/>
      <w:bCs/>
      <w:i/>
      <w:iCs/>
      <w:spacing w:val="0"/>
      <w:sz w:val="20"/>
      <w:szCs w:val="20"/>
    </w:rPr>
  </w:style>
  <w:style w:type="paragraph" w:customStyle="1" w:styleId="212">
    <w:name w:val="Основной текст (2)1"/>
    <w:basedOn w:val="a0"/>
    <w:uiPriority w:val="99"/>
    <w:rsid w:val="00BB6316"/>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0"/>
    <w:uiPriority w:val="99"/>
    <w:rsid w:val="00BB6316"/>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c">
    <w:name w:val="Подпись к картинке"/>
    <w:basedOn w:val="a0"/>
    <w:link w:val="affd"/>
    <w:rsid w:val="00BB6316"/>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2">
    <w:name w:val="Основной текст (12)"/>
    <w:basedOn w:val="a0"/>
    <w:link w:val="123"/>
    <w:rsid w:val="00BB6316"/>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0"/>
    <w:link w:val="38"/>
    <w:rsid w:val="00BB6316"/>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0"/>
    <w:link w:val="341"/>
    <w:rsid w:val="00BB6316"/>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0">
    <w:name w:val="Подпись к картинке (5)1"/>
    <w:basedOn w:val="a0"/>
    <w:uiPriority w:val="99"/>
    <w:rsid w:val="00BB6316"/>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0"/>
    <w:link w:val="53"/>
    <w:rsid w:val="00BB6316"/>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0">
    <w:name w:val="Основной текст (53)"/>
    <w:basedOn w:val="a0"/>
    <w:uiPriority w:val="99"/>
    <w:rsid w:val="00BB6316"/>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0"/>
    <w:uiPriority w:val="99"/>
    <w:rsid w:val="00BB6316"/>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0"/>
    <w:uiPriority w:val="99"/>
    <w:rsid w:val="00BB6316"/>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0"/>
    <w:uiPriority w:val="99"/>
    <w:rsid w:val="00BB6316"/>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0"/>
    <w:link w:val="221"/>
    <w:rsid w:val="00BB6316"/>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0"/>
    <w:link w:val="550"/>
    <w:rsid w:val="00BB6316"/>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0"/>
    <w:link w:val="540"/>
    <w:rsid w:val="00BB6316"/>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0"/>
    <w:link w:val="560"/>
    <w:rsid w:val="00BB6316"/>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0"/>
    <w:link w:val="570"/>
    <w:rsid w:val="00BB6316"/>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0"/>
    <w:link w:val="581"/>
    <w:rsid w:val="00BB6316"/>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BB6316"/>
    <w:rPr>
      <w:rFonts w:ascii="Arial Narrow" w:hAnsi="Arial Narrow" w:cs="Arial Narrow"/>
      <w:b/>
      <w:bCs/>
      <w:i/>
      <w:iCs/>
      <w:smallCaps/>
      <w:spacing w:val="0"/>
      <w:sz w:val="15"/>
      <w:szCs w:val="15"/>
    </w:rPr>
  </w:style>
  <w:style w:type="character" w:customStyle="1" w:styleId="1a">
    <w:name w:val="Основной текст + Курсив1"/>
    <w:uiPriority w:val="99"/>
    <w:rsid w:val="00BB6316"/>
    <w:rPr>
      <w:rFonts w:ascii="Arial Narrow" w:hAnsi="Arial Narrow" w:cs="Arial Narrow"/>
      <w:i/>
      <w:iCs/>
      <w:spacing w:val="0"/>
      <w:sz w:val="17"/>
      <w:szCs w:val="17"/>
    </w:rPr>
  </w:style>
  <w:style w:type="character" w:customStyle="1" w:styleId="785pt">
    <w:name w:val="Подпись к картинке (7) + 8.5 pt.Не курсив"/>
    <w:uiPriority w:val="99"/>
    <w:rsid w:val="00BB6316"/>
    <w:rPr>
      <w:rFonts w:ascii="Arial Narrow" w:hAnsi="Arial Narrow" w:cs="Arial Narrow"/>
      <w:spacing w:val="0"/>
      <w:sz w:val="17"/>
      <w:szCs w:val="17"/>
    </w:rPr>
  </w:style>
  <w:style w:type="paragraph" w:customStyle="1" w:styleId="113">
    <w:name w:val="Основной текст (11)"/>
    <w:basedOn w:val="a0"/>
    <w:rsid w:val="00BB6316"/>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0"/>
    <w:rsid w:val="00BB6316"/>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0"/>
    <w:link w:val="2d"/>
    <w:rsid w:val="00BB6316"/>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0"/>
    <w:link w:val="49"/>
    <w:rsid w:val="00BB6316"/>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0"/>
    <w:uiPriority w:val="99"/>
    <w:rsid w:val="00BB6316"/>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0"/>
    <w:link w:val="512"/>
    <w:rsid w:val="00BB6316"/>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0"/>
    <w:link w:val="151"/>
    <w:rsid w:val="00BB6316"/>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0"/>
    <w:uiPriority w:val="99"/>
    <w:rsid w:val="00BB6316"/>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0"/>
    <w:link w:val="171"/>
    <w:rsid w:val="00BB6316"/>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0"/>
    <w:uiPriority w:val="99"/>
    <w:rsid w:val="00BB6316"/>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0"/>
    <w:uiPriority w:val="99"/>
    <w:rsid w:val="00BB6316"/>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0"/>
    <w:link w:val="521"/>
    <w:rsid w:val="00BB6316"/>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BB6316"/>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BB6316"/>
    <w:rPr>
      <w:rFonts w:ascii="Arial Narrow" w:hAnsi="Arial Narrow" w:cs="Arial Narrow"/>
      <w:i/>
      <w:iCs/>
      <w:spacing w:val="0"/>
      <w:sz w:val="14"/>
      <w:szCs w:val="14"/>
    </w:rPr>
  </w:style>
  <w:style w:type="character" w:customStyle="1" w:styleId="3a">
    <w:name w:val="Основной текст + Курсив3"/>
    <w:uiPriority w:val="99"/>
    <w:rsid w:val="00BB6316"/>
    <w:rPr>
      <w:rFonts w:ascii="Arial Narrow" w:hAnsi="Arial Narrow" w:cs="Arial Narrow"/>
      <w:i/>
      <w:iCs/>
      <w:spacing w:val="0"/>
      <w:sz w:val="17"/>
      <w:szCs w:val="17"/>
    </w:rPr>
  </w:style>
  <w:style w:type="character" w:customStyle="1" w:styleId="70pt">
    <w:name w:val="Подпись к картинке (7) + Интервал 0 pt"/>
    <w:rsid w:val="00BB6316"/>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BB6316"/>
    <w:rPr>
      <w:rFonts w:ascii="MS Reference Sans Serif" w:hAnsi="MS Reference Sans Serif" w:cs="MS Reference Sans Serif"/>
      <w:smallCaps/>
      <w:spacing w:val="-10"/>
      <w:sz w:val="14"/>
      <w:szCs w:val="14"/>
    </w:rPr>
  </w:style>
  <w:style w:type="character" w:customStyle="1" w:styleId="2e">
    <w:name w:val="Основной текст + Курсив2"/>
    <w:uiPriority w:val="99"/>
    <w:rsid w:val="00BB6316"/>
    <w:rPr>
      <w:rFonts w:ascii="Arial Narrow" w:hAnsi="Arial Narrow" w:cs="Arial Narrow"/>
      <w:i/>
      <w:iCs/>
      <w:spacing w:val="0"/>
      <w:sz w:val="17"/>
      <w:szCs w:val="17"/>
    </w:rPr>
  </w:style>
  <w:style w:type="paragraph" w:customStyle="1" w:styleId="271">
    <w:name w:val="Основной текст (27)1"/>
    <w:basedOn w:val="a0"/>
    <w:uiPriority w:val="99"/>
    <w:rsid w:val="00BB6316"/>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0"/>
    <w:uiPriority w:val="99"/>
    <w:rsid w:val="00BB6316"/>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2">
    <w:name w:val="Подпись к картинке (6)"/>
    <w:basedOn w:val="a0"/>
    <w:link w:val="64"/>
    <w:rsid w:val="00BB6316"/>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0">
    <w:name w:val="Заголовок №6 (2)"/>
    <w:basedOn w:val="a0"/>
    <w:uiPriority w:val="99"/>
    <w:rsid w:val="00BB6316"/>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5">
    <w:name w:val="Подпись к картинке (7)"/>
    <w:basedOn w:val="a0"/>
    <w:link w:val="76"/>
    <w:rsid w:val="00BB6316"/>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BB6316"/>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BB6316"/>
    <w:rPr>
      <w:rFonts w:ascii="Consolas" w:hAnsi="Consolas" w:cs="Consolas"/>
      <w:b/>
      <w:bCs/>
      <w:i/>
      <w:iCs/>
      <w:spacing w:val="-10"/>
      <w:sz w:val="18"/>
      <w:szCs w:val="18"/>
    </w:rPr>
  </w:style>
  <w:style w:type="character" w:customStyle="1" w:styleId="27Gulim65pt">
    <w:name w:val="Основной текст (27) + Gulim.6.5 pt"/>
    <w:uiPriority w:val="99"/>
    <w:rsid w:val="00BB6316"/>
    <w:rPr>
      <w:rFonts w:ascii="Gulim" w:eastAsia="Gulim" w:cs="Gulim"/>
      <w:i/>
      <w:iCs/>
      <w:spacing w:val="0"/>
      <w:sz w:val="13"/>
      <w:szCs w:val="13"/>
    </w:rPr>
  </w:style>
  <w:style w:type="character" w:customStyle="1" w:styleId="77">
    <w:name w:val="Основной текст + Курсив7"/>
    <w:uiPriority w:val="99"/>
    <w:rsid w:val="00BB6316"/>
    <w:rPr>
      <w:rFonts w:ascii="Arial Narrow" w:hAnsi="Arial Narrow" w:cs="Arial Narrow"/>
      <w:i/>
      <w:iCs/>
      <w:spacing w:val="0"/>
      <w:sz w:val="17"/>
      <w:szCs w:val="17"/>
    </w:rPr>
  </w:style>
  <w:style w:type="character" w:customStyle="1" w:styleId="276">
    <w:name w:val="Основной текст (27) + Не курсив6"/>
    <w:uiPriority w:val="99"/>
    <w:rsid w:val="00BB6316"/>
    <w:rPr>
      <w:rFonts w:ascii="Arial Narrow" w:hAnsi="Arial Narrow" w:cs="Arial Narrow"/>
      <w:spacing w:val="0"/>
      <w:sz w:val="17"/>
      <w:szCs w:val="17"/>
    </w:rPr>
  </w:style>
  <w:style w:type="character" w:customStyle="1" w:styleId="275">
    <w:name w:val="Основной текст (27) + Не курсив5"/>
    <w:uiPriority w:val="99"/>
    <w:rsid w:val="00BB6316"/>
    <w:rPr>
      <w:rFonts w:ascii="Arial Narrow" w:hAnsi="Arial Narrow" w:cs="Arial Narrow"/>
      <w:spacing w:val="0"/>
      <w:sz w:val="17"/>
      <w:szCs w:val="17"/>
    </w:rPr>
  </w:style>
  <w:style w:type="character" w:customStyle="1" w:styleId="65">
    <w:name w:val="Основной текст + Курсив6"/>
    <w:uiPriority w:val="99"/>
    <w:rsid w:val="00BB6316"/>
    <w:rPr>
      <w:rFonts w:ascii="Arial Narrow" w:hAnsi="Arial Narrow" w:cs="Arial Narrow"/>
      <w:i/>
      <w:iCs/>
      <w:spacing w:val="0"/>
      <w:sz w:val="17"/>
      <w:szCs w:val="17"/>
    </w:rPr>
  </w:style>
  <w:style w:type="character" w:customStyle="1" w:styleId="270">
    <w:name w:val="Основной текст (27)"/>
    <w:uiPriority w:val="99"/>
    <w:rsid w:val="00BB6316"/>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BB6316"/>
    <w:rPr>
      <w:rFonts w:ascii="Arial Narrow" w:hAnsi="Arial Narrow" w:cs="Arial Narrow"/>
      <w:spacing w:val="0"/>
      <w:sz w:val="17"/>
      <w:szCs w:val="17"/>
    </w:rPr>
  </w:style>
  <w:style w:type="character" w:customStyle="1" w:styleId="58pt">
    <w:name w:val="Основной текст (5) + 8 pt.Не курсив"/>
    <w:uiPriority w:val="99"/>
    <w:rsid w:val="00BB6316"/>
    <w:rPr>
      <w:rFonts w:ascii="Arial Narrow" w:hAnsi="Arial Narrow" w:cs="Arial Narrow"/>
      <w:spacing w:val="0"/>
      <w:sz w:val="16"/>
      <w:szCs w:val="16"/>
    </w:rPr>
  </w:style>
  <w:style w:type="paragraph" w:customStyle="1" w:styleId="513">
    <w:name w:val="Основной текст (5)1"/>
    <w:basedOn w:val="a0"/>
    <w:uiPriority w:val="99"/>
    <w:rsid w:val="00BB6316"/>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0"/>
    <w:uiPriority w:val="99"/>
    <w:rsid w:val="00BB6316"/>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0"/>
    <w:link w:val="331"/>
    <w:rsid w:val="00BB6316"/>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0"/>
    <w:link w:val="351"/>
    <w:rsid w:val="00BB6316"/>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0"/>
    <w:uiPriority w:val="99"/>
    <w:rsid w:val="00BB6316"/>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0"/>
    <w:uiPriority w:val="99"/>
    <w:rsid w:val="00BB6316"/>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0"/>
    <w:uiPriority w:val="99"/>
    <w:rsid w:val="00BB6316"/>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0"/>
    <w:link w:val="282"/>
    <w:rsid w:val="00BB6316"/>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b">
    <w:name w:val="Заголовок №3"/>
    <w:basedOn w:val="a0"/>
    <w:link w:val="3c"/>
    <w:rsid w:val="00BB6316"/>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0"/>
    <w:link w:val="183"/>
    <w:rsid w:val="00BB6316"/>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BB6316"/>
    <w:rPr>
      <w:rFonts w:ascii="Arial" w:hAnsi="Arial" w:cs="Arial"/>
      <w:b/>
      <w:bCs/>
      <w:spacing w:val="0"/>
      <w:sz w:val="23"/>
      <w:szCs w:val="23"/>
    </w:rPr>
  </w:style>
  <w:style w:type="character" w:customStyle="1" w:styleId="14pt">
    <w:name w:val="Основной текст + 14 pt"/>
    <w:uiPriority w:val="99"/>
    <w:rsid w:val="00BB6316"/>
    <w:rPr>
      <w:rFonts w:ascii="Lucida Sans Unicode" w:hAnsi="Lucida Sans Unicode" w:cs="Lucida Sans Unicode"/>
      <w:sz w:val="28"/>
      <w:szCs w:val="28"/>
    </w:rPr>
  </w:style>
  <w:style w:type="paragraph" w:customStyle="1" w:styleId="2f">
    <w:name w:val="Подпись к таблице (2)"/>
    <w:basedOn w:val="a0"/>
    <w:uiPriority w:val="99"/>
    <w:rsid w:val="00BB6316"/>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1b">
    <w:name w:val="Верхний колонтитул1"/>
    <w:basedOn w:val="a0"/>
    <w:uiPriority w:val="99"/>
    <w:rsid w:val="00BB6316"/>
    <w:pPr>
      <w:widowControl w:val="0"/>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paragraph" w:customStyle="1" w:styleId="1c">
    <w:name w:val="Нижний колонтитул1"/>
    <w:basedOn w:val="a0"/>
    <w:uiPriority w:val="99"/>
    <w:rsid w:val="00BB6316"/>
    <w:pPr>
      <w:widowControl w:val="0"/>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paragraph" w:styleId="affe">
    <w:name w:val="header"/>
    <w:basedOn w:val="a0"/>
    <w:link w:val="afff"/>
    <w:uiPriority w:val="99"/>
    <w:rsid w:val="00BB6316"/>
    <w:pPr>
      <w:widowControl w:val="0"/>
      <w:tabs>
        <w:tab w:val="center" w:pos="4153"/>
        <w:tab w:val="right" w:pos="8306"/>
      </w:tabs>
      <w:autoSpaceDE w:val="0"/>
      <w:autoSpaceDN w:val="0"/>
      <w:adjustRightInd w:val="0"/>
      <w:spacing w:after="0" w:line="240" w:lineRule="auto"/>
    </w:pPr>
    <w:rPr>
      <w:rFonts w:ascii="Times New Roman" w:hAnsi="Times New Roman"/>
      <w:sz w:val="20"/>
      <w:szCs w:val="20"/>
    </w:rPr>
  </w:style>
  <w:style w:type="character" w:customStyle="1" w:styleId="afff">
    <w:name w:val="Верхний колонтитул Знак"/>
    <w:link w:val="affe"/>
    <w:uiPriority w:val="99"/>
    <w:rsid w:val="00BB6316"/>
    <w:rPr>
      <w:rFonts w:ascii="Times New Roman" w:hAnsi="Times New Roman"/>
      <w:lang w:eastAsia="en-US"/>
    </w:rPr>
  </w:style>
  <w:style w:type="paragraph" w:styleId="afff0">
    <w:name w:val="footer"/>
    <w:basedOn w:val="a0"/>
    <w:link w:val="afff1"/>
    <w:uiPriority w:val="99"/>
    <w:rsid w:val="00BB6316"/>
    <w:pPr>
      <w:widowControl w:val="0"/>
      <w:tabs>
        <w:tab w:val="center" w:pos="4153"/>
        <w:tab w:val="right" w:pos="8306"/>
      </w:tabs>
      <w:autoSpaceDE w:val="0"/>
      <w:autoSpaceDN w:val="0"/>
      <w:adjustRightInd w:val="0"/>
      <w:spacing w:after="0" w:line="240" w:lineRule="auto"/>
    </w:pPr>
    <w:rPr>
      <w:rFonts w:ascii="Times New Roman" w:hAnsi="Times New Roman"/>
      <w:sz w:val="20"/>
      <w:szCs w:val="20"/>
    </w:rPr>
  </w:style>
  <w:style w:type="character" w:customStyle="1" w:styleId="afff1">
    <w:name w:val="Нижний колонтитул Знак"/>
    <w:link w:val="afff0"/>
    <w:uiPriority w:val="99"/>
    <w:rsid w:val="00BB6316"/>
    <w:rPr>
      <w:rFonts w:ascii="Times New Roman" w:hAnsi="Times New Roman"/>
      <w:lang w:eastAsia="en-US"/>
    </w:rPr>
  </w:style>
  <w:style w:type="paragraph" w:customStyle="1" w:styleId="1d">
    <w:name w:val="çàãîëîâîê 1"/>
    <w:basedOn w:val="Iauiue"/>
    <w:next w:val="Iauiue"/>
    <w:uiPriority w:val="99"/>
    <w:rsid w:val="00BB6316"/>
    <w:pPr>
      <w:keepNext/>
      <w:jc w:val="both"/>
    </w:pPr>
    <w:rPr>
      <w:i/>
      <w:iCs/>
      <w:sz w:val="16"/>
      <w:szCs w:val="16"/>
      <w:lang w:val="en-US"/>
    </w:rPr>
  </w:style>
  <w:style w:type="character" w:customStyle="1" w:styleId="afff2">
    <w:name w:val="Ã"/>
    <w:uiPriority w:val="99"/>
    <w:rsid w:val="00BB6316"/>
    <w:rPr>
      <w:color w:val="0000FF"/>
      <w:u w:val="single"/>
    </w:rPr>
  </w:style>
  <w:style w:type="paragraph" w:styleId="afff3">
    <w:name w:val="footnote text"/>
    <w:basedOn w:val="a0"/>
    <w:link w:val="afff4"/>
    <w:uiPriority w:val="99"/>
    <w:rsid w:val="00BB6316"/>
    <w:pPr>
      <w:autoSpaceDE w:val="0"/>
      <w:autoSpaceDN w:val="0"/>
      <w:adjustRightInd w:val="0"/>
      <w:spacing w:after="0" w:line="240" w:lineRule="auto"/>
    </w:pPr>
    <w:rPr>
      <w:rFonts w:ascii="Times New Roman" w:hAnsi="Times New Roman"/>
      <w:sz w:val="20"/>
      <w:szCs w:val="20"/>
    </w:rPr>
  </w:style>
  <w:style w:type="character" w:customStyle="1" w:styleId="afff4">
    <w:name w:val="Текст сноски Знак"/>
    <w:link w:val="afff3"/>
    <w:uiPriority w:val="99"/>
    <w:rsid w:val="00BB6316"/>
    <w:rPr>
      <w:rFonts w:ascii="Times New Roman" w:hAnsi="Times New Roman"/>
      <w:lang w:eastAsia="en-US"/>
    </w:rPr>
  </w:style>
  <w:style w:type="paragraph" w:customStyle="1" w:styleId="afff5">
    <w:name w:val="ï"/>
    <w:uiPriority w:val="99"/>
    <w:rsid w:val="00BB6316"/>
    <w:pPr>
      <w:autoSpaceDE w:val="0"/>
      <w:autoSpaceDN w:val="0"/>
      <w:adjustRightInd w:val="0"/>
    </w:pPr>
    <w:rPr>
      <w:rFonts w:ascii="Times New Roman" w:hAnsi="Times New Roman"/>
      <w:i/>
      <w:iCs/>
      <w:spacing w:val="-1"/>
      <w:kern w:val="65535"/>
      <w:position w:val="-1"/>
      <w:sz w:val="24"/>
      <w:szCs w:val="24"/>
      <w:lang w:eastAsia="en-US"/>
    </w:rPr>
  </w:style>
  <w:style w:type="paragraph" w:customStyle="1" w:styleId="afff6">
    <w:name w:val="Çàãîëîâîê"/>
    <w:basedOn w:val="a0"/>
    <w:uiPriority w:val="99"/>
    <w:rsid w:val="00BB6316"/>
    <w:pPr>
      <w:widowControl w:val="0"/>
      <w:autoSpaceDE w:val="0"/>
      <w:autoSpaceDN w:val="0"/>
      <w:adjustRightInd w:val="0"/>
      <w:spacing w:after="0" w:line="360" w:lineRule="auto"/>
      <w:ind w:firstLine="709"/>
      <w:jc w:val="center"/>
    </w:pPr>
    <w:rPr>
      <w:rFonts w:ascii="Arial" w:hAnsi="Arial" w:cs="Arial"/>
      <w:b/>
      <w:bCs/>
      <w:caps/>
      <w:sz w:val="26"/>
      <w:szCs w:val="26"/>
    </w:rPr>
  </w:style>
  <w:style w:type="paragraph" w:customStyle="1" w:styleId="afff7">
    <w:name w:val="Ñíîñêè"/>
    <w:basedOn w:val="a0"/>
    <w:uiPriority w:val="99"/>
    <w:rsid w:val="00BB6316"/>
    <w:pPr>
      <w:widowControl w:val="0"/>
      <w:autoSpaceDE w:val="0"/>
      <w:autoSpaceDN w:val="0"/>
      <w:adjustRightInd w:val="0"/>
      <w:spacing w:after="0" w:line="360" w:lineRule="auto"/>
      <w:ind w:firstLine="709"/>
      <w:jc w:val="both"/>
    </w:pPr>
    <w:rPr>
      <w:rFonts w:ascii="Arial" w:hAnsi="Arial" w:cs="Arial"/>
      <w:sz w:val="26"/>
      <w:szCs w:val="26"/>
    </w:rPr>
  </w:style>
  <w:style w:type="paragraph" w:customStyle="1" w:styleId="afff8">
    <w:name w:val="Ðóáðèêà"/>
    <w:basedOn w:val="a0"/>
    <w:uiPriority w:val="99"/>
    <w:rsid w:val="00BB6316"/>
    <w:pPr>
      <w:widowControl w:val="0"/>
      <w:autoSpaceDE w:val="0"/>
      <w:autoSpaceDN w:val="0"/>
      <w:adjustRightInd w:val="0"/>
      <w:spacing w:after="0" w:line="360" w:lineRule="auto"/>
      <w:ind w:firstLine="709"/>
      <w:jc w:val="right"/>
    </w:pPr>
    <w:rPr>
      <w:rFonts w:ascii="Arial" w:hAnsi="Arial" w:cs="Arial"/>
      <w:caps/>
      <w:sz w:val="26"/>
      <w:szCs w:val="26"/>
    </w:rPr>
  </w:style>
  <w:style w:type="character" w:customStyle="1" w:styleId="afff9">
    <w:name w:val="Çíàê êîíöåâîé ñíîñêè"/>
    <w:uiPriority w:val="99"/>
    <w:rsid w:val="00BB6316"/>
    <w:rPr>
      <w:sz w:val="20"/>
      <w:szCs w:val="20"/>
      <w:vertAlign w:val="superscript"/>
    </w:rPr>
  </w:style>
  <w:style w:type="paragraph" w:customStyle="1" w:styleId="afffa">
    <w:name w:val="Ñ"/>
    <w:basedOn w:val="a0"/>
    <w:next w:val="a0"/>
    <w:uiPriority w:val="99"/>
    <w:rsid w:val="00BB6316"/>
    <w:pPr>
      <w:autoSpaceDE w:val="0"/>
      <w:autoSpaceDN w:val="0"/>
      <w:adjustRightInd w:val="0"/>
      <w:spacing w:after="0" w:line="240" w:lineRule="auto"/>
      <w:ind w:left="360"/>
    </w:pPr>
    <w:rPr>
      <w:rFonts w:ascii="Times New Roman" w:hAnsi="Times New Roman"/>
      <w:sz w:val="24"/>
      <w:szCs w:val="24"/>
    </w:rPr>
  </w:style>
  <w:style w:type="character" w:customStyle="1" w:styleId="1e">
    <w:name w:val="Ñ1"/>
    <w:uiPriority w:val="99"/>
    <w:rsid w:val="00BB6316"/>
    <w:rPr>
      <w:b/>
      <w:bCs/>
    </w:rPr>
  </w:style>
  <w:style w:type="character" w:customStyle="1" w:styleId="afffb">
    <w:name w:val="Ê"/>
    <w:uiPriority w:val="99"/>
    <w:rsid w:val="00BB6316"/>
    <w:rPr>
      <w:rFonts w:ascii="Courier New" w:hAnsi="Courier New" w:cs="Courier New"/>
      <w:sz w:val="20"/>
      <w:szCs w:val="20"/>
    </w:rPr>
  </w:style>
  <w:style w:type="paragraph" w:customStyle="1" w:styleId="afffc">
    <w:name w:val="Ô"/>
    <w:basedOn w:val="afffd"/>
    <w:uiPriority w:val="99"/>
    <w:rsid w:val="00BB6316"/>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ffd">
    <w:name w:val="Î"/>
    <w:uiPriority w:val="99"/>
    <w:rsid w:val="00BB6316"/>
    <w:pPr>
      <w:autoSpaceDE w:val="0"/>
      <w:autoSpaceDN w:val="0"/>
      <w:adjustRightInd w:val="0"/>
      <w:spacing w:before="100" w:after="100"/>
    </w:pPr>
    <w:rPr>
      <w:rFonts w:ascii="Times New Roman" w:hAnsi="Times New Roman"/>
      <w:sz w:val="24"/>
      <w:szCs w:val="24"/>
      <w:lang w:eastAsia="en-US"/>
    </w:rPr>
  </w:style>
  <w:style w:type="character" w:customStyle="1" w:styleId="afffe">
    <w:name w:val="Ð"/>
    <w:uiPriority w:val="99"/>
    <w:rsid w:val="00BB6316"/>
    <w:rPr>
      <w:vanish/>
      <w:color w:val="FF0000"/>
    </w:rPr>
  </w:style>
  <w:style w:type="paragraph" w:customStyle="1" w:styleId="affff">
    <w:name w:val="Ö"/>
    <w:basedOn w:val="a0"/>
    <w:uiPriority w:val="99"/>
    <w:rsid w:val="00BB6316"/>
    <w:pPr>
      <w:autoSpaceDE w:val="0"/>
      <w:autoSpaceDN w:val="0"/>
      <w:adjustRightInd w:val="0"/>
      <w:spacing w:before="100" w:after="100" w:line="240" w:lineRule="auto"/>
      <w:ind w:left="360" w:right="360"/>
    </w:pPr>
    <w:rPr>
      <w:rFonts w:ascii="Times New Roman" w:hAnsi="Times New Roman"/>
      <w:sz w:val="24"/>
      <w:szCs w:val="24"/>
    </w:rPr>
  </w:style>
  <w:style w:type="paragraph" w:customStyle="1" w:styleId="2f0">
    <w:name w:val="Îñíîâíîé òåêñò 2"/>
    <w:basedOn w:val="a0"/>
    <w:uiPriority w:val="99"/>
    <w:rsid w:val="00BB6316"/>
    <w:pPr>
      <w:widowControl w:val="0"/>
      <w:autoSpaceDE w:val="0"/>
      <w:autoSpaceDN w:val="0"/>
      <w:adjustRightInd w:val="0"/>
      <w:spacing w:after="0" w:line="240" w:lineRule="auto"/>
      <w:jc w:val="both"/>
    </w:pPr>
    <w:rPr>
      <w:rFonts w:ascii="Times New Roman" w:hAnsi="Times New Roman"/>
      <w:sz w:val="16"/>
      <w:szCs w:val="16"/>
    </w:rPr>
  </w:style>
  <w:style w:type="paragraph" w:customStyle="1" w:styleId="affff0">
    <w:name w:val="Òåêñò"/>
    <w:basedOn w:val="a0"/>
    <w:uiPriority w:val="99"/>
    <w:rsid w:val="00BB6316"/>
    <w:pPr>
      <w:widowControl w:val="0"/>
      <w:autoSpaceDE w:val="0"/>
      <w:autoSpaceDN w:val="0"/>
      <w:adjustRightInd w:val="0"/>
      <w:spacing w:after="0" w:line="240" w:lineRule="auto"/>
    </w:pPr>
    <w:rPr>
      <w:rFonts w:ascii="Courier New" w:hAnsi="Courier New" w:cs="Courier New"/>
      <w:sz w:val="20"/>
      <w:szCs w:val="20"/>
    </w:rPr>
  </w:style>
  <w:style w:type="paragraph" w:customStyle="1" w:styleId="3d">
    <w:name w:val="Îñíîâíîé òåêñò 3"/>
    <w:basedOn w:val="a0"/>
    <w:uiPriority w:val="99"/>
    <w:rsid w:val="00BB6316"/>
    <w:pPr>
      <w:widowControl w:val="0"/>
      <w:autoSpaceDE w:val="0"/>
      <w:autoSpaceDN w:val="0"/>
      <w:adjustRightInd w:val="0"/>
      <w:spacing w:after="0" w:line="240" w:lineRule="auto"/>
      <w:jc w:val="center"/>
    </w:pPr>
    <w:rPr>
      <w:rFonts w:ascii="Times New Roman" w:hAnsi="Times New Roman"/>
      <w:sz w:val="16"/>
      <w:szCs w:val="16"/>
    </w:rPr>
  </w:style>
  <w:style w:type="paragraph" w:customStyle="1" w:styleId="affff1">
    <w:name w:val="À"/>
    <w:basedOn w:val="a0"/>
    <w:next w:val="a0"/>
    <w:uiPriority w:val="99"/>
    <w:rsid w:val="00BB6316"/>
    <w:pPr>
      <w:autoSpaceDE w:val="0"/>
      <w:autoSpaceDN w:val="0"/>
      <w:adjustRightInd w:val="0"/>
      <w:spacing w:after="0" w:line="240" w:lineRule="auto"/>
    </w:pPr>
    <w:rPr>
      <w:rFonts w:ascii="Times New Roman" w:hAnsi="Times New Roman"/>
      <w:i/>
      <w:iCs/>
      <w:sz w:val="24"/>
      <w:szCs w:val="24"/>
    </w:rPr>
  </w:style>
  <w:style w:type="character" w:customStyle="1" w:styleId="affff2">
    <w:name w:val="Â"/>
    <w:uiPriority w:val="99"/>
    <w:rsid w:val="00BB6316"/>
    <w:rPr>
      <w:i/>
      <w:iCs/>
    </w:rPr>
  </w:style>
  <w:style w:type="paragraph" w:customStyle="1" w:styleId="affff3">
    <w:name w:val="Ò"/>
    <w:basedOn w:val="afffd"/>
    <w:next w:val="afffa"/>
    <w:uiPriority w:val="99"/>
    <w:rsid w:val="00BB6316"/>
    <w:pPr>
      <w:spacing w:before="0" w:after="0"/>
    </w:pPr>
  </w:style>
  <w:style w:type="character" w:customStyle="1" w:styleId="1f">
    <w:name w:val="Î1"/>
    <w:uiPriority w:val="99"/>
    <w:rsid w:val="00BB6316"/>
    <w:rPr>
      <w:i/>
      <w:iCs/>
    </w:rPr>
  </w:style>
  <w:style w:type="character" w:customStyle="1" w:styleId="affff4">
    <w:name w:val="Ó"/>
    <w:uiPriority w:val="99"/>
    <w:rsid w:val="00BB6316"/>
    <w:rPr>
      <w:i/>
      <w:iCs/>
    </w:rPr>
  </w:style>
  <w:style w:type="character" w:customStyle="1" w:styleId="affff5">
    <w:name w:val="Ï"/>
    <w:uiPriority w:val="99"/>
    <w:rsid w:val="00BB6316"/>
    <w:rPr>
      <w:color w:val="800080"/>
      <w:u w:val="single"/>
    </w:rPr>
  </w:style>
  <w:style w:type="character" w:customStyle="1" w:styleId="1f0">
    <w:name w:val="Ê1"/>
    <w:uiPriority w:val="99"/>
    <w:rsid w:val="00BB6316"/>
    <w:rPr>
      <w:rFonts w:ascii="Courier New" w:hAnsi="Courier New" w:cs="Courier New"/>
      <w:b/>
      <w:bCs/>
      <w:sz w:val="20"/>
      <w:szCs w:val="20"/>
    </w:rPr>
  </w:style>
  <w:style w:type="character" w:customStyle="1" w:styleId="4a">
    <w:name w:val="Ï4"/>
    <w:uiPriority w:val="99"/>
    <w:rsid w:val="00BB6316"/>
    <w:rPr>
      <w:rFonts w:ascii="Courier New" w:hAnsi="Courier New" w:cs="Courier New"/>
    </w:rPr>
  </w:style>
  <w:style w:type="character" w:customStyle="1" w:styleId="3e">
    <w:name w:val="Ï3"/>
    <w:uiPriority w:val="99"/>
    <w:rsid w:val="00BB6316"/>
    <w:rPr>
      <w:rFonts w:ascii="Courier New" w:hAnsi="Courier New" w:cs="Courier New"/>
      <w:sz w:val="20"/>
      <w:szCs w:val="20"/>
    </w:rPr>
  </w:style>
  <w:style w:type="character" w:customStyle="1" w:styleId="2f1">
    <w:name w:val="Ï2"/>
    <w:uiPriority w:val="99"/>
    <w:rsid w:val="00BB6316"/>
    <w:rPr>
      <w:i/>
      <w:iCs/>
    </w:rPr>
  </w:style>
  <w:style w:type="character" w:customStyle="1" w:styleId="1f1">
    <w:name w:val="Ï1"/>
    <w:uiPriority w:val="99"/>
    <w:rsid w:val="00BB6316"/>
    <w:rPr>
      <w:vanish/>
    </w:rPr>
  </w:style>
  <w:style w:type="character" w:customStyle="1" w:styleId="affff6">
    <w:name w:val="Îñíîâíîé øðèôò àáçàöà"/>
    <w:uiPriority w:val="99"/>
    <w:rsid w:val="00BB6316"/>
    <w:rPr>
      <w:rFonts w:ascii="Times New Roman" w:hAnsi="Times New Roman" w:cs="Times New Roman"/>
      <w:sz w:val="20"/>
      <w:szCs w:val="20"/>
    </w:rPr>
  </w:style>
  <w:style w:type="paragraph" w:styleId="3f">
    <w:name w:val="Body Text Indent 3"/>
    <w:basedOn w:val="a0"/>
    <w:link w:val="3f0"/>
    <w:uiPriority w:val="99"/>
    <w:rsid w:val="00BB6316"/>
    <w:pPr>
      <w:autoSpaceDE w:val="0"/>
      <w:autoSpaceDN w:val="0"/>
      <w:adjustRightInd w:val="0"/>
      <w:spacing w:after="0" w:line="240" w:lineRule="auto"/>
      <w:ind w:firstLine="709"/>
      <w:jc w:val="center"/>
    </w:pPr>
    <w:rPr>
      <w:rFonts w:ascii="Times New Roman" w:hAnsi="Times New Roman"/>
      <w:sz w:val="24"/>
      <w:szCs w:val="24"/>
    </w:rPr>
  </w:style>
  <w:style w:type="character" w:customStyle="1" w:styleId="3f0">
    <w:name w:val="Основной текст с отступом 3 Знак"/>
    <w:link w:val="3f"/>
    <w:uiPriority w:val="99"/>
    <w:rsid w:val="00BB6316"/>
    <w:rPr>
      <w:rFonts w:ascii="Times New Roman" w:hAnsi="Times New Roman"/>
      <w:sz w:val="24"/>
      <w:szCs w:val="24"/>
      <w:lang w:eastAsia="en-US"/>
    </w:rPr>
  </w:style>
  <w:style w:type="paragraph" w:styleId="affff7">
    <w:name w:val="Body Text Indent"/>
    <w:basedOn w:val="a0"/>
    <w:link w:val="affff8"/>
    <w:uiPriority w:val="99"/>
    <w:rsid w:val="00BB6316"/>
    <w:pPr>
      <w:autoSpaceDE w:val="0"/>
      <w:autoSpaceDN w:val="0"/>
      <w:adjustRightInd w:val="0"/>
      <w:spacing w:after="0" w:line="240" w:lineRule="auto"/>
      <w:ind w:firstLine="720"/>
      <w:jc w:val="both"/>
    </w:pPr>
    <w:rPr>
      <w:rFonts w:ascii="Times New Roman" w:hAnsi="Times New Roman"/>
      <w:sz w:val="24"/>
      <w:szCs w:val="24"/>
    </w:rPr>
  </w:style>
  <w:style w:type="character" w:customStyle="1" w:styleId="affff8">
    <w:name w:val="Основной текст с отступом Знак"/>
    <w:link w:val="affff7"/>
    <w:uiPriority w:val="99"/>
    <w:rsid w:val="00BB6316"/>
    <w:rPr>
      <w:rFonts w:ascii="Times New Roman" w:hAnsi="Times New Roman"/>
      <w:sz w:val="24"/>
      <w:szCs w:val="24"/>
      <w:lang w:eastAsia="en-US"/>
    </w:rPr>
  </w:style>
  <w:style w:type="paragraph" w:customStyle="1" w:styleId="affff9">
    <w:name w:val="Ñîäåðæèìîå òàáëèöû"/>
    <w:basedOn w:val="a0"/>
    <w:uiPriority w:val="99"/>
    <w:rsid w:val="00BB6316"/>
    <w:pPr>
      <w:widowControl w:val="0"/>
      <w:suppressLineNumbers/>
      <w:suppressAutoHyphens/>
      <w:autoSpaceDE w:val="0"/>
      <w:autoSpaceDN w:val="0"/>
      <w:adjustRightInd w:val="0"/>
      <w:spacing w:after="0" w:line="240" w:lineRule="auto"/>
    </w:pPr>
    <w:rPr>
      <w:rFonts w:ascii="Arial" w:hAnsi="Arial" w:cs="Arial"/>
      <w:kern w:val="2"/>
      <w:sz w:val="20"/>
      <w:szCs w:val="20"/>
    </w:rPr>
  </w:style>
  <w:style w:type="character" w:styleId="affffa">
    <w:name w:val="footnote reference"/>
    <w:uiPriority w:val="99"/>
    <w:rsid w:val="00BB6316"/>
    <w:rPr>
      <w:vertAlign w:val="superscript"/>
    </w:rPr>
  </w:style>
  <w:style w:type="character" w:customStyle="1" w:styleId="A40">
    <w:name w:val="A4"/>
    <w:uiPriority w:val="99"/>
    <w:rsid w:val="00BB6316"/>
    <w:rPr>
      <w:color w:val="000000"/>
      <w:sz w:val="22"/>
      <w:szCs w:val="22"/>
    </w:rPr>
  </w:style>
  <w:style w:type="paragraph" w:customStyle="1" w:styleId="Pa6">
    <w:name w:val="Pa6"/>
    <w:basedOn w:val="Default"/>
    <w:next w:val="Default"/>
    <w:uiPriority w:val="99"/>
    <w:rsid w:val="00BB6316"/>
    <w:pPr>
      <w:spacing w:line="241" w:lineRule="atLeast"/>
    </w:pPr>
    <w:rPr>
      <w:color w:val="auto"/>
    </w:rPr>
  </w:style>
  <w:style w:type="paragraph" w:customStyle="1" w:styleId="260">
    <w:name w:val="Îñíîâíîé òåêñò (26)"/>
    <w:basedOn w:val="a0"/>
    <w:uiPriority w:val="99"/>
    <w:rsid w:val="00BB6316"/>
    <w:pPr>
      <w:shd w:val="clear" w:color="auto" w:fill="FFFFFF"/>
      <w:autoSpaceDE w:val="0"/>
      <w:autoSpaceDN w:val="0"/>
      <w:adjustRightInd w:val="0"/>
      <w:spacing w:after="0" w:line="240" w:lineRule="atLeast"/>
    </w:pPr>
    <w:rPr>
      <w:rFonts w:ascii="Microsoft Sans Serif" w:hAnsi="Microsoft Sans Serif" w:cs="Microsoft Sans Serif"/>
      <w:b/>
      <w:bCs/>
      <w:noProof/>
      <w:sz w:val="26"/>
      <w:szCs w:val="26"/>
      <w:lang w:val="en-US"/>
    </w:rPr>
  </w:style>
  <w:style w:type="paragraph" w:customStyle="1" w:styleId="affffb">
    <w:name w:val="Îãëàâëåíèå"/>
    <w:basedOn w:val="a0"/>
    <w:uiPriority w:val="99"/>
    <w:rsid w:val="00BB6316"/>
    <w:pPr>
      <w:shd w:val="clear" w:color="auto" w:fill="FFFFFF"/>
      <w:autoSpaceDE w:val="0"/>
      <w:autoSpaceDN w:val="0"/>
      <w:adjustRightInd w:val="0"/>
      <w:spacing w:after="0" w:line="353" w:lineRule="exact"/>
      <w:jc w:val="both"/>
    </w:pPr>
    <w:rPr>
      <w:rFonts w:ascii="Microsoft Sans Serif" w:hAnsi="Microsoft Sans Serif" w:cs="Microsoft Sans Serif"/>
      <w:noProof/>
      <w:spacing w:val="-10"/>
      <w:sz w:val="24"/>
      <w:szCs w:val="24"/>
      <w:lang w:val="en-US"/>
    </w:rPr>
  </w:style>
  <w:style w:type="paragraph" w:customStyle="1" w:styleId="1f2">
    <w:name w:val="Ïîäïèñü ê òàáëèöå1"/>
    <w:basedOn w:val="a0"/>
    <w:uiPriority w:val="99"/>
    <w:rsid w:val="00BB6316"/>
    <w:pPr>
      <w:shd w:val="clear" w:color="auto" w:fill="FFFFFF"/>
      <w:autoSpaceDE w:val="0"/>
      <w:autoSpaceDN w:val="0"/>
      <w:adjustRightInd w:val="0"/>
      <w:spacing w:after="0" w:line="240" w:lineRule="atLeast"/>
    </w:pPr>
    <w:rPr>
      <w:rFonts w:ascii="Arial" w:hAnsi="Arial" w:cs="Arial"/>
      <w:i/>
      <w:iCs/>
      <w:spacing w:val="-10"/>
      <w:sz w:val="17"/>
      <w:szCs w:val="17"/>
    </w:rPr>
  </w:style>
  <w:style w:type="paragraph" w:customStyle="1" w:styleId="312">
    <w:name w:val="Îñíîâíîé òåêñò (3)1"/>
    <w:basedOn w:val="a0"/>
    <w:uiPriority w:val="99"/>
    <w:rsid w:val="00BB6316"/>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paragraph" w:customStyle="1" w:styleId="420">
    <w:name w:val="Îñíîâíîé òåêñò (42)"/>
    <w:basedOn w:val="a0"/>
    <w:uiPriority w:val="99"/>
    <w:rsid w:val="00BB6316"/>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character" w:customStyle="1" w:styleId="222">
    <w:name w:val="Ïîäïèñü ê òàáëèöå (2)2"/>
    <w:uiPriority w:val="99"/>
    <w:rsid w:val="00BB6316"/>
    <w:rPr>
      <w:rFonts w:ascii="Franklin Gothic Book" w:hAnsi="Franklin Gothic Book" w:cs="Franklin Gothic Book"/>
      <w:b/>
      <w:bCs/>
      <w:color w:val="FFFFFF"/>
      <w:sz w:val="15"/>
      <w:szCs w:val="15"/>
    </w:rPr>
  </w:style>
  <w:style w:type="paragraph" w:customStyle="1" w:styleId="1710">
    <w:name w:val="Îñíîâíîé òåêñò (17)1"/>
    <w:basedOn w:val="a0"/>
    <w:uiPriority w:val="99"/>
    <w:rsid w:val="00BB6316"/>
    <w:pPr>
      <w:shd w:val="clear" w:color="auto" w:fill="FFFFFF"/>
      <w:autoSpaceDE w:val="0"/>
      <w:autoSpaceDN w:val="0"/>
      <w:adjustRightInd w:val="0"/>
      <w:spacing w:after="0" w:line="202" w:lineRule="exact"/>
      <w:jc w:val="center"/>
    </w:pPr>
    <w:rPr>
      <w:rFonts w:ascii="Franklin Gothic Book" w:hAnsi="Franklin Gothic Book" w:cs="Franklin Gothic Book"/>
      <w:b/>
      <w:bCs/>
      <w:noProof/>
      <w:sz w:val="15"/>
      <w:szCs w:val="15"/>
      <w:lang w:val="en-US"/>
    </w:rPr>
  </w:style>
  <w:style w:type="paragraph" w:customStyle="1" w:styleId="114">
    <w:name w:val="çàãîëîâîê 11"/>
    <w:basedOn w:val="a0"/>
    <w:next w:val="a0"/>
    <w:uiPriority w:val="99"/>
    <w:rsid w:val="00BB6316"/>
    <w:pPr>
      <w:keepNext/>
      <w:autoSpaceDE w:val="0"/>
      <w:autoSpaceDN w:val="0"/>
      <w:adjustRightInd w:val="0"/>
      <w:spacing w:after="0" w:line="240" w:lineRule="auto"/>
      <w:jc w:val="both"/>
    </w:pPr>
    <w:rPr>
      <w:rFonts w:ascii="Times New Roman" w:hAnsi="Times New Roman"/>
      <w:b/>
      <w:bCs/>
      <w:color w:val="0000FF"/>
      <w:sz w:val="16"/>
      <w:szCs w:val="16"/>
    </w:rPr>
  </w:style>
  <w:style w:type="character" w:customStyle="1" w:styleId="affffc">
    <w:name w:val="Îñíîâíîé òåêñò_"/>
    <w:uiPriority w:val="99"/>
    <w:rsid w:val="00BB6316"/>
    <w:rPr>
      <w:rFonts w:ascii="Microsoft Sans Serif" w:hAnsi="Microsoft Sans Serif" w:cs="Microsoft Sans Serif"/>
      <w:spacing w:val="-10"/>
      <w:sz w:val="29"/>
      <w:szCs w:val="29"/>
    </w:rPr>
  </w:style>
  <w:style w:type="character" w:customStyle="1" w:styleId="320">
    <w:name w:val="Îñíîâíîé òåêñò (32)_"/>
    <w:uiPriority w:val="99"/>
    <w:rsid w:val="00BB6316"/>
    <w:rPr>
      <w:rFonts w:ascii="Arial Narrow" w:hAnsi="Arial Narrow" w:cs="Arial Narrow"/>
      <w:b/>
      <w:bCs/>
      <w:spacing w:val="-20"/>
      <w:sz w:val="67"/>
      <w:szCs w:val="67"/>
    </w:rPr>
  </w:style>
  <w:style w:type="character" w:customStyle="1" w:styleId="291">
    <w:name w:val="Îñíîâíîé òåêñò (29)_"/>
    <w:uiPriority w:val="99"/>
    <w:rsid w:val="00BB6316"/>
    <w:rPr>
      <w:rFonts w:ascii="Arial Narrow" w:hAnsi="Arial Narrow" w:cs="Arial Narrow"/>
      <w:i/>
      <w:iCs/>
      <w:sz w:val="15"/>
      <w:szCs w:val="15"/>
    </w:rPr>
  </w:style>
  <w:style w:type="character" w:customStyle="1" w:styleId="313">
    <w:name w:val="Îñíîâíîé òåêñò (31)_"/>
    <w:uiPriority w:val="99"/>
    <w:rsid w:val="00BB6316"/>
    <w:rPr>
      <w:rFonts w:ascii="Microsoft Sans Serif" w:hAnsi="Microsoft Sans Serif" w:cs="Microsoft Sans Serif"/>
      <w:i/>
      <w:iCs/>
      <w:spacing w:val="10"/>
      <w:sz w:val="35"/>
      <w:szCs w:val="35"/>
    </w:rPr>
  </w:style>
  <w:style w:type="character" w:customStyle="1" w:styleId="301">
    <w:name w:val="Îñíîâíîé òåêñò (30)_"/>
    <w:uiPriority w:val="99"/>
    <w:rsid w:val="00BB6316"/>
    <w:rPr>
      <w:rFonts w:ascii="Arial" w:hAnsi="Arial" w:cs="Arial"/>
      <w:i/>
      <w:iCs/>
      <w:sz w:val="11"/>
      <w:szCs w:val="11"/>
    </w:rPr>
  </w:style>
  <w:style w:type="paragraph" w:customStyle="1" w:styleId="314">
    <w:name w:val="Îñíîâíîé òåêñò (31)"/>
    <w:basedOn w:val="a0"/>
    <w:uiPriority w:val="99"/>
    <w:rsid w:val="00BB6316"/>
    <w:pPr>
      <w:shd w:val="clear" w:color="auto" w:fill="FFFFFF"/>
      <w:autoSpaceDE w:val="0"/>
      <w:autoSpaceDN w:val="0"/>
      <w:adjustRightInd w:val="0"/>
      <w:spacing w:after="0" w:line="518" w:lineRule="exact"/>
      <w:jc w:val="both"/>
    </w:pPr>
    <w:rPr>
      <w:rFonts w:ascii="Microsoft Sans Serif" w:hAnsi="Microsoft Sans Serif" w:cs="Microsoft Sans Serif"/>
      <w:i/>
      <w:iCs/>
      <w:noProof/>
      <w:spacing w:val="10"/>
      <w:sz w:val="35"/>
      <w:szCs w:val="35"/>
      <w:lang w:val="en-US"/>
    </w:rPr>
  </w:style>
  <w:style w:type="paragraph" w:customStyle="1" w:styleId="321">
    <w:name w:val="Îñíîâíîé òåêñò (32)"/>
    <w:basedOn w:val="a0"/>
    <w:uiPriority w:val="99"/>
    <w:rsid w:val="00BB6316"/>
    <w:pPr>
      <w:shd w:val="clear" w:color="auto" w:fill="FFFFFF"/>
      <w:autoSpaceDE w:val="0"/>
      <w:autoSpaceDN w:val="0"/>
      <w:adjustRightInd w:val="0"/>
      <w:spacing w:after="240" w:line="240" w:lineRule="atLeast"/>
    </w:pPr>
    <w:rPr>
      <w:rFonts w:ascii="Arial Narrow" w:hAnsi="Arial Narrow" w:cs="Arial Narrow"/>
      <w:b/>
      <w:bCs/>
      <w:noProof/>
      <w:spacing w:val="-20"/>
      <w:sz w:val="67"/>
      <w:szCs w:val="67"/>
      <w:lang w:val="en-US"/>
    </w:rPr>
  </w:style>
  <w:style w:type="paragraph" w:customStyle="1" w:styleId="292">
    <w:name w:val="Îñíîâíîé òåêñò (29)"/>
    <w:basedOn w:val="a0"/>
    <w:uiPriority w:val="99"/>
    <w:rsid w:val="00BB6316"/>
    <w:pPr>
      <w:shd w:val="clear" w:color="auto" w:fill="FFFFFF"/>
      <w:autoSpaceDE w:val="0"/>
      <w:autoSpaceDN w:val="0"/>
      <w:adjustRightInd w:val="0"/>
      <w:spacing w:after="0" w:line="240" w:lineRule="atLeast"/>
      <w:jc w:val="both"/>
    </w:pPr>
    <w:rPr>
      <w:rFonts w:ascii="Arial Narrow" w:hAnsi="Arial Narrow" w:cs="Arial Narrow"/>
      <w:i/>
      <w:iCs/>
      <w:noProof/>
      <w:sz w:val="15"/>
      <w:szCs w:val="15"/>
      <w:lang w:val="en-US"/>
    </w:rPr>
  </w:style>
  <w:style w:type="paragraph" w:customStyle="1" w:styleId="302">
    <w:name w:val="Îñíîâíîé òåêñò (30)"/>
    <w:basedOn w:val="a0"/>
    <w:uiPriority w:val="99"/>
    <w:rsid w:val="00BB6316"/>
    <w:pPr>
      <w:shd w:val="clear" w:color="auto" w:fill="FFFFFF"/>
      <w:autoSpaceDE w:val="0"/>
      <w:autoSpaceDN w:val="0"/>
      <w:adjustRightInd w:val="0"/>
      <w:spacing w:after="0" w:line="240" w:lineRule="atLeast"/>
      <w:jc w:val="both"/>
    </w:pPr>
    <w:rPr>
      <w:rFonts w:ascii="Arial" w:hAnsi="Arial" w:cs="Arial"/>
      <w:i/>
      <w:iCs/>
      <w:noProof/>
      <w:sz w:val="11"/>
      <w:szCs w:val="11"/>
      <w:lang w:val="en-US"/>
    </w:rPr>
  </w:style>
  <w:style w:type="character" w:customStyle="1" w:styleId="115">
    <w:name w:val="Îñíîâíîé òåêñò (11)"/>
    <w:uiPriority w:val="99"/>
    <w:rsid w:val="00BB6316"/>
    <w:rPr>
      <w:rFonts w:ascii="Microsoft Sans Serif" w:hAnsi="Microsoft Sans Serif" w:cs="Microsoft Sans Serif"/>
      <w:i/>
      <w:iCs/>
      <w:sz w:val="28"/>
      <w:szCs w:val="28"/>
      <w:u w:val="single"/>
    </w:rPr>
  </w:style>
  <w:style w:type="character" w:customStyle="1" w:styleId="116">
    <w:name w:val="Îñíîâíîé òåêñò (11)_"/>
    <w:uiPriority w:val="99"/>
    <w:rsid w:val="00BB6316"/>
    <w:rPr>
      <w:rFonts w:ascii="Microsoft Sans Serif" w:hAnsi="Microsoft Sans Serif" w:cs="Microsoft Sans Serif"/>
      <w:i/>
      <w:iCs/>
      <w:sz w:val="28"/>
      <w:szCs w:val="28"/>
    </w:rPr>
  </w:style>
  <w:style w:type="character" w:customStyle="1" w:styleId="111475pt42210pt56">
    <w:name w:val="Îñíîâíîé òåêñò (11) + 147.5 pt42.Íå êóðñèâ21.Èíòåðâàë 0 pt56"/>
    <w:uiPriority w:val="99"/>
    <w:rsid w:val="00BB6316"/>
    <w:rPr>
      <w:rFonts w:ascii="Microsoft Sans Serif" w:hAnsi="Microsoft Sans Serif" w:cs="Microsoft Sans Serif"/>
      <w:i/>
      <w:iCs/>
      <w:spacing w:val="-10"/>
      <w:sz w:val="29"/>
      <w:szCs w:val="29"/>
    </w:rPr>
  </w:style>
  <w:style w:type="character" w:customStyle="1" w:styleId="14pt11260pt55">
    <w:name w:val="Îñíîâíîé òåêñò + 14 pt11.Êóðñèâ26.Èíòåðâàë 0 pt55"/>
    <w:uiPriority w:val="99"/>
    <w:rsid w:val="00BB6316"/>
    <w:rPr>
      <w:rFonts w:ascii="Microsoft Sans Serif" w:hAnsi="Microsoft Sans Serif" w:cs="Microsoft Sans Serif"/>
      <w:i/>
      <w:iCs/>
      <w:spacing w:val="0"/>
      <w:sz w:val="28"/>
      <w:szCs w:val="28"/>
    </w:rPr>
  </w:style>
  <w:style w:type="character" w:customStyle="1" w:styleId="111465pt41200pt54">
    <w:name w:val="Îñíîâíîé òåêñò (11) + 146.5 pt41.Íå êóðñèâ20.Èíòåðâàë 0 pt54"/>
    <w:uiPriority w:val="99"/>
    <w:rsid w:val="00BB6316"/>
    <w:rPr>
      <w:rFonts w:ascii="Microsoft Sans Serif" w:hAnsi="Microsoft Sans Serif" w:cs="Microsoft Sans Serif"/>
      <w:i/>
      <w:iCs/>
      <w:spacing w:val="-10"/>
      <w:sz w:val="29"/>
      <w:szCs w:val="29"/>
    </w:rPr>
  </w:style>
  <w:style w:type="character" w:customStyle="1" w:styleId="111455pt40190pt53">
    <w:name w:val="Îñíîâíîé òåêñò (11) + 145.5 pt40.Íå êóðñèâ19.Èíòåðâàë 0 pt53"/>
    <w:uiPriority w:val="99"/>
    <w:rsid w:val="00BB6316"/>
    <w:rPr>
      <w:rFonts w:ascii="Microsoft Sans Serif" w:hAnsi="Microsoft Sans Serif" w:cs="Microsoft Sans Serif"/>
      <w:i/>
      <w:iCs/>
      <w:spacing w:val="-10"/>
      <w:sz w:val="29"/>
      <w:szCs w:val="29"/>
    </w:rPr>
  </w:style>
  <w:style w:type="character" w:customStyle="1" w:styleId="1111">
    <w:name w:val="Îñíîâíîé òåêñò (11)11"/>
    <w:uiPriority w:val="99"/>
    <w:rsid w:val="00BB6316"/>
    <w:rPr>
      <w:rFonts w:ascii="Microsoft Sans Serif" w:hAnsi="Microsoft Sans Serif" w:cs="Microsoft Sans Serif"/>
      <w:i/>
      <w:iCs/>
      <w:sz w:val="28"/>
      <w:szCs w:val="28"/>
      <w:u w:val="single"/>
    </w:rPr>
  </w:style>
  <w:style w:type="character" w:customStyle="1" w:styleId="11SimHei1465pt39180pt52">
    <w:name w:val="Îñíîâíîé òåêñò (11) + SimHei.146.5 pt39.Íå êóðñèâ18.Èíòåðâàë 0 pt52"/>
    <w:uiPriority w:val="99"/>
    <w:rsid w:val="00BB6316"/>
    <w:rPr>
      <w:rFonts w:ascii="SimHei" w:eastAsia="SimHei" w:hAnsi="Microsoft Sans Serif" w:cs="SimHei"/>
      <w:i/>
      <w:iCs/>
      <w:spacing w:val="-10"/>
      <w:sz w:val="29"/>
      <w:szCs w:val="29"/>
    </w:rPr>
  </w:style>
  <w:style w:type="character" w:customStyle="1" w:styleId="111435pt36120pt48">
    <w:name w:val="Îñíîâíîé òåêñò (11) + 143.5 pt36.Íå êóðñèâ12.Èíòåðâàë 0 pt48"/>
    <w:uiPriority w:val="99"/>
    <w:rsid w:val="00BB6316"/>
    <w:rPr>
      <w:rFonts w:ascii="Microsoft Sans Serif" w:hAnsi="Microsoft Sans Serif" w:cs="Microsoft Sans Serif"/>
      <w:i/>
      <w:iCs/>
      <w:spacing w:val="-10"/>
      <w:sz w:val="29"/>
      <w:szCs w:val="29"/>
    </w:rPr>
  </w:style>
  <w:style w:type="character" w:customStyle="1" w:styleId="11SimHei21455pt35110pt47">
    <w:name w:val="Îñíîâíîé òåêñò (11) + SimHei2.145.5 pt35.Íå êóðñèâ11.Èíòåðâàë 0 pt47"/>
    <w:uiPriority w:val="99"/>
    <w:rsid w:val="00BB6316"/>
    <w:rPr>
      <w:rFonts w:ascii="SimHei" w:eastAsia="SimHei" w:hAnsi="Microsoft Sans Serif" w:cs="SimHei"/>
      <w:i/>
      <w:iCs/>
      <w:spacing w:val="-10"/>
      <w:sz w:val="29"/>
      <w:szCs w:val="29"/>
    </w:rPr>
  </w:style>
  <w:style w:type="character" w:customStyle="1" w:styleId="14pt10240pt46">
    <w:name w:val="Îñíîâíîé òåêñò + 14 pt10.Êóðñèâ24.Èíòåðâàë 0 pt46"/>
    <w:uiPriority w:val="99"/>
    <w:rsid w:val="00BB6316"/>
    <w:rPr>
      <w:rFonts w:ascii="Microsoft Sans Serif" w:hAnsi="Microsoft Sans Serif" w:cs="Microsoft Sans Serif"/>
      <w:i/>
      <w:iCs/>
      <w:spacing w:val="0"/>
      <w:sz w:val="28"/>
      <w:szCs w:val="28"/>
    </w:rPr>
  </w:style>
  <w:style w:type="character" w:customStyle="1" w:styleId="111425pt34100pt45">
    <w:name w:val="Îñíîâíîé òåêñò (11) + 142.5 pt34.Íå êóðñèâ10.Èíòåðâàë 0 pt45"/>
    <w:uiPriority w:val="99"/>
    <w:rsid w:val="00BB6316"/>
    <w:rPr>
      <w:rFonts w:ascii="Microsoft Sans Serif" w:hAnsi="Microsoft Sans Serif" w:cs="Microsoft Sans Serif"/>
      <w:i/>
      <w:iCs/>
      <w:spacing w:val="-10"/>
      <w:sz w:val="29"/>
      <w:szCs w:val="29"/>
    </w:rPr>
  </w:style>
  <w:style w:type="character" w:customStyle="1" w:styleId="114pt4">
    <w:name w:val="Îñíîâíîé òåêñò (11) + Èíòåðâàë 4 pt4"/>
    <w:uiPriority w:val="99"/>
    <w:rsid w:val="00BB6316"/>
    <w:rPr>
      <w:rFonts w:ascii="Microsoft Sans Serif" w:hAnsi="Microsoft Sans Serif" w:cs="Microsoft Sans Serif"/>
      <w:i/>
      <w:iCs/>
      <w:spacing w:val="80"/>
      <w:sz w:val="28"/>
      <w:szCs w:val="28"/>
    </w:rPr>
  </w:style>
  <w:style w:type="character" w:customStyle="1" w:styleId="118">
    <w:name w:val="Îñíîâíîé òåêñò (11)8"/>
    <w:uiPriority w:val="99"/>
    <w:rsid w:val="00BB6316"/>
    <w:rPr>
      <w:rFonts w:ascii="Microsoft Sans Serif" w:hAnsi="Microsoft Sans Serif" w:cs="Microsoft Sans Serif"/>
      <w:i/>
      <w:iCs/>
      <w:sz w:val="28"/>
      <w:szCs w:val="28"/>
    </w:rPr>
  </w:style>
  <w:style w:type="character" w:customStyle="1" w:styleId="114pt3">
    <w:name w:val="Îñíîâíîé òåêñò (11) + Èíòåðâàë 4 pt3"/>
    <w:uiPriority w:val="99"/>
    <w:rsid w:val="00BB6316"/>
    <w:rPr>
      <w:rFonts w:ascii="Microsoft Sans Serif" w:hAnsi="Microsoft Sans Serif" w:cs="Microsoft Sans Serif"/>
      <w:i/>
      <w:iCs/>
      <w:spacing w:val="80"/>
      <w:sz w:val="28"/>
      <w:szCs w:val="28"/>
    </w:rPr>
  </w:style>
  <w:style w:type="character" w:customStyle="1" w:styleId="117">
    <w:name w:val="Îñíîâíîé òåêñò (11)7"/>
    <w:uiPriority w:val="99"/>
    <w:rsid w:val="00BB6316"/>
    <w:rPr>
      <w:rFonts w:ascii="Microsoft Sans Serif" w:hAnsi="Microsoft Sans Serif" w:cs="Microsoft Sans Serif"/>
      <w:i/>
      <w:iCs/>
      <w:sz w:val="28"/>
      <w:szCs w:val="28"/>
      <w:u w:val="single"/>
    </w:rPr>
  </w:style>
  <w:style w:type="character" w:customStyle="1" w:styleId="111pt7">
    <w:name w:val="Îñíîâíîé òåêñò (11) + Èíòåðâàë 1 pt7"/>
    <w:uiPriority w:val="99"/>
    <w:rsid w:val="00BB6316"/>
    <w:rPr>
      <w:rFonts w:ascii="Microsoft Sans Serif" w:hAnsi="Microsoft Sans Serif" w:cs="Microsoft Sans Serif"/>
      <w:i/>
      <w:iCs/>
      <w:spacing w:val="30"/>
      <w:sz w:val="28"/>
      <w:szCs w:val="28"/>
    </w:rPr>
  </w:style>
  <w:style w:type="character" w:customStyle="1" w:styleId="1160">
    <w:name w:val="Îñíîâíîé òåêñò (11)6"/>
    <w:uiPriority w:val="99"/>
    <w:rsid w:val="00BB6316"/>
    <w:rPr>
      <w:rFonts w:ascii="Microsoft Sans Serif" w:hAnsi="Microsoft Sans Serif" w:cs="Microsoft Sans Serif"/>
      <w:i/>
      <w:iCs/>
      <w:sz w:val="28"/>
      <w:szCs w:val="28"/>
      <w:u w:val="single"/>
    </w:rPr>
  </w:style>
  <w:style w:type="character" w:customStyle="1" w:styleId="1150">
    <w:name w:val="Îñíîâíîé òåêñò (11)5"/>
    <w:uiPriority w:val="99"/>
    <w:rsid w:val="00BB6316"/>
    <w:rPr>
      <w:rFonts w:ascii="Microsoft Sans Serif" w:hAnsi="Microsoft Sans Serif" w:cs="Microsoft Sans Serif"/>
      <w:i/>
      <w:iCs/>
      <w:sz w:val="28"/>
      <w:szCs w:val="28"/>
    </w:rPr>
  </w:style>
  <w:style w:type="character" w:customStyle="1" w:styleId="114pt2">
    <w:name w:val="Îñíîâíîé òåêñò (11) + Èíòåðâàë 4 pt2"/>
    <w:uiPriority w:val="99"/>
    <w:rsid w:val="00BB6316"/>
    <w:rPr>
      <w:rFonts w:ascii="Microsoft Sans Serif" w:hAnsi="Microsoft Sans Serif" w:cs="Microsoft Sans Serif"/>
      <w:i/>
      <w:iCs/>
      <w:spacing w:val="80"/>
      <w:sz w:val="28"/>
      <w:szCs w:val="28"/>
    </w:rPr>
  </w:style>
  <w:style w:type="character" w:customStyle="1" w:styleId="111pt6">
    <w:name w:val="Îñíîâíîé òåêñò (11) + Èíòåðâàë 1 pt6"/>
    <w:uiPriority w:val="99"/>
    <w:rsid w:val="00BB6316"/>
    <w:rPr>
      <w:rFonts w:ascii="Microsoft Sans Serif" w:hAnsi="Microsoft Sans Serif" w:cs="Microsoft Sans Serif"/>
      <w:i/>
      <w:iCs/>
      <w:spacing w:val="30"/>
      <w:sz w:val="28"/>
      <w:szCs w:val="28"/>
    </w:rPr>
  </w:style>
  <w:style w:type="character" w:customStyle="1" w:styleId="111pt5">
    <w:name w:val="Îñíîâíîé òåêñò (11) + Èíòåðâàë 1 pt5"/>
    <w:uiPriority w:val="99"/>
    <w:rsid w:val="00BB6316"/>
    <w:rPr>
      <w:rFonts w:ascii="Microsoft Sans Serif" w:hAnsi="Microsoft Sans Serif" w:cs="Microsoft Sans Serif"/>
      <w:i/>
      <w:iCs/>
      <w:spacing w:val="30"/>
      <w:sz w:val="28"/>
      <w:szCs w:val="28"/>
    </w:rPr>
  </w:style>
  <w:style w:type="character" w:customStyle="1" w:styleId="14pt9230pt44">
    <w:name w:val="Îñíîâíîé òåêñò + 14 pt9.Êóðñèâ23.Èíòåðâàë 0 pt44"/>
    <w:uiPriority w:val="99"/>
    <w:rsid w:val="00BB6316"/>
    <w:rPr>
      <w:rFonts w:ascii="Microsoft Sans Serif" w:hAnsi="Microsoft Sans Serif" w:cs="Microsoft Sans Serif"/>
      <w:i/>
      <w:iCs/>
      <w:spacing w:val="0"/>
      <w:sz w:val="28"/>
      <w:szCs w:val="28"/>
    </w:rPr>
  </w:style>
  <w:style w:type="character" w:customStyle="1" w:styleId="114pt1">
    <w:name w:val="Îñíîâíîé òåêñò (11) + Èíòåðâàë 4 pt1"/>
    <w:uiPriority w:val="99"/>
    <w:rsid w:val="00BB6316"/>
    <w:rPr>
      <w:rFonts w:ascii="Microsoft Sans Serif" w:hAnsi="Microsoft Sans Serif" w:cs="Microsoft Sans Serif"/>
      <w:i/>
      <w:iCs/>
      <w:spacing w:val="80"/>
      <w:sz w:val="28"/>
      <w:szCs w:val="28"/>
    </w:rPr>
  </w:style>
  <w:style w:type="character" w:customStyle="1" w:styleId="111pt4">
    <w:name w:val="Îñíîâíîé òåêñò (11) + Èíòåðâàë 1 pt4"/>
    <w:uiPriority w:val="99"/>
    <w:rsid w:val="00BB6316"/>
    <w:rPr>
      <w:rFonts w:ascii="Microsoft Sans Serif" w:hAnsi="Microsoft Sans Serif" w:cs="Microsoft Sans Serif"/>
      <w:i/>
      <w:iCs/>
      <w:spacing w:val="30"/>
      <w:sz w:val="28"/>
      <w:szCs w:val="28"/>
    </w:rPr>
  </w:style>
  <w:style w:type="character" w:customStyle="1" w:styleId="1140">
    <w:name w:val="Îñíîâíîé òåêñò (11)4"/>
    <w:uiPriority w:val="99"/>
    <w:rsid w:val="00BB6316"/>
    <w:rPr>
      <w:rFonts w:ascii="Microsoft Sans Serif" w:hAnsi="Microsoft Sans Serif" w:cs="Microsoft Sans Serif"/>
      <w:i/>
      <w:iCs/>
      <w:sz w:val="28"/>
      <w:szCs w:val="28"/>
    </w:rPr>
  </w:style>
  <w:style w:type="character" w:customStyle="1" w:styleId="111pt3">
    <w:name w:val="Îñíîâíîé òåêñò (11) + Èíòåðâàë 1 pt3"/>
    <w:uiPriority w:val="99"/>
    <w:rsid w:val="00BB6316"/>
    <w:rPr>
      <w:rFonts w:ascii="Microsoft Sans Serif" w:hAnsi="Microsoft Sans Serif" w:cs="Microsoft Sans Serif"/>
      <w:i/>
      <w:iCs/>
      <w:spacing w:val="30"/>
      <w:sz w:val="28"/>
      <w:szCs w:val="28"/>
    </w:rPr>
  </w:style>
  <w:style w:type="character" w:customStyle="1" w:styleId="11SimHei1175pt339-2pt">
    <w:name w:val="Îñíîâíîé òåêñò (11) + SimHei1.17.5 pt33.Íå êóðñèâ9.Èíòåðâàë -2 pt"/>
    <w:uiPriority w:val="99"/>
    <w:rsid w:val="00BB6316"/>
    <w:rPr>
      <w:rFonts w:ascii="SimHei" w:eastAsia="SimHei" w:hAnsi="Microsoft Sans Serif" w:cs="SimHei"/>
      <w:i/>
      <w:iCs/>
      <w:spacing w:val="-40"/>
      <w:sz w:val="35"/>
      <w:szCs w:val="35"/>
    </w:rPr>
  </w:style>
  <w:style w:type="character" w:customStyle="1" w:styleId="111415pt3180pt43">
    <w:name w:val="Îñíîâíîé òåêñò (11) + 141.5 pt31.Íå êóðñèâ8.Èíòåðâàë 0 pt43"/>
    <w:uiPriority w:val="99"/>
    <w:rsid w:val="00BB6316"/>
    <w:rPr>
      <w:rFonts w:ascii="Microsoft Sans Serif" w:hAnsi="Microsoft Sans Serif" w:cs="Microsoft Sans Serif"/>
      <w:i/>
      <w:iCs/>
      <w:spacing w:val="-10"/>
      <w:sz w:val="29"/>
      <w:szCs w:val="29"/>
    </w:rPr>
  </w:style>
  <w:style w:type="character" w:customStyle="1" w:styleId="1130">
    <w:name w:val="Îñíîâíîé òåêñò (11)3"/>
    <w:uiPriority w:val="99"/>
    <w:rsid w:val="00BB6316"/>
    <w:rPr>
      <w:rFonts w:ascii="Microsoft Sans Serif" w:hAnsi="Microsoft Sans Serif" w:cs="Microsoft Sans Serif"/>
      <w:i/>
      <w:iCs/>
      <w:sz w:val="28"/>
      <w:szCs w:val="28"/>
    </w:rPr>
  </w:style>
  <w:style w:type="character" w:customStyle="1" w:styleId="320pt">
    <w:name w:val="Îñíîâíîé òåêñò (32) + Èíòåðâàë 0 pt"/>
    <w:uiPriority w:val="99"/>
    <w:rsid w:val="00BB6316"/>
    <w:rPr>
      <w:rFonts w:ascii="Arial Narrow" w:hAnsi="Arial Narrow" w:cs="Arial Narrow"/>
      <w:b/>
      <w:bCs/>
      <w:spacing w:val="0"/>
      <w:sz w:val="67"/>
      <w:szCs w:val="67"/>
    </w:rPr>
  </w:style>
  <w:style w:type="character" w:customStyle="1" w:styleId="1425pt220pt33">
    <w:name w:val="Çàãîëîâîê ¹1 + 42.5 pt22.Èíòåðâàë 0 pt33"/>
    <w:uiPriority w:val="99"/>
    <w:rsid w:val="00BB6316"/>
    <w:rPr>
      <w:rFonts w:ascii="Arial Narrow" w:hAnsi="Arial Narrow" w:cs="Arial Narrow"/>
      <w:b/>
      <w:bCs/>
      <w:spacing w:val="0"/>
      <w:sz w:val="85"/>
      <w:szCs w:val="85"/>
    </w:rPr>
  </w:style>
  <w:style w:type="character" w:customStyle="1" w:styleId="1f3">
    <w:name w:val="Çàãîëîâîê ¹1_"/>
    <w:uiPriority w:val="99"/>
    <w:rsid w:val="00BB6316"/>
    <w:rPr>
      <w:rFonts w:ascii="Arial Narrow" w:hAnsi="Arial Narrow" w:cs="Arial Narrow"/>
      <w:b/>
      <w:bCs/>
      <w:spacing w:val="-10"/>
      <w:sz w:val="104"/>
      <w:szCs w:val="104"/>
    </w:rPr>
  </w:style>
  <w:style w:type="character" w:customStyle="1" w:styleId="14pt7110pt32">
    <w:name w:val="Îñíîâíîé òåêñò + 14 pt7.Êóðñèâ11.Èíòåðâàë 0 pt32"/>
    <w:uiPriority w:val="99"/>
    <w:rsid w:val="00BB6316"/>
    <w:rPr>
      <w:rFonts w:ascii="Microsoft Sans Serif" w:hAnsi="Microsoft Sans Serif" w:cs="Microsoft Sans Serif"/>
      <w:i/>
      <w:iCs/>
      <w:spacing w:val="0"/>
      <w:sz w:val="28"/>
      <w:szCs w:val="28"/>
    </w:rPr>
  </w:style>
  <w:style w:type="character" w:customStyle="1" w:styleId="14pt6101pt4">
    <w:name w:val="Îñíîâíîé òåêñò + 14 pt6.Êóðñèâ10.Èíòåðâàë 1 pt4"/>
    <w:uiPriority w:val="99"/>
    <w:rsid w:val="00BB6316"/>
    <w:rPr>
      <w:rFonts w:ascii="Microsoft Sans Serif" w:hAnsi="Microsoft Sans Serif" w:cs="Microsoft Sans Serif"/>
      <w:i/>
      <w:iCs/>
      <w:spacing w:val="30"/>
      <w:sz w:val="28"/>
      <w:szCs w:val="28"/>
    </w:rPr>
  </w:style>
  <w:style w:type="character" w:customStyle="1" w:styleId="16pt-1pt4">
    <w:name w:val="Îñíîâíîé òåêñò + 16 pt.Èíòåðâàë -1 pt4"/>
    <w:uiPriority w:val="99"/>
    <w:rsid w:val="00BB6316"/>
    <w:rPr>
      <w:rFonts w:ascii="Microsoft Sans Serif" w:hAnsi="Microsoft Sans Serif" w:cs="Microsoft Sans Serif"/>
      <w:spacing w:val="-20"/>
      <w:sz w:val="32"/>
      <w:szCs w:val="32"/>
    </w:rPr>
  </w:style>
  <w:style w:type="character" w:customStyle="1" w:styleId="14pt590pt31">
    <w:name w:val="Îñíîâíîé òåêñò + 14 pt5.Êóðñèâ9.Èíòåðâàë 0 pt31"/>
    <w:uiPriority w:val="99"/>
    <w:rsid w:val="00BB6316"/>
    <w:rPr>
      <w:rFonts w:ascii="Microsoft Sans Serif" w:hAnsi="Microsoft Sans Serif" w:cs="Microsoft Sans Serif"/>
      <w:i/>
      <w:iCs/>
      <w:spacing w:val="0"/>
      <w:sz w:val="28"/>
      <w:szCs w:val="28"/>
    </w:rPr>
  </w:style>
  <w:style w:type="character" w:customStyle="1" w:styleId="143">
    <w:name w:val="Îñíîâíîé òåêñò (14)_"/>
    <w:uiPriority w:val="99"/>
    <w:rsid w:val="00BB6316"/>
    <w:rPr>
      <w:rFonts w:ascii="Franklin Gothic Demi" w:hAnsi="Franklin Gothic Demi" w:cs="Franklin Gothic Demi"/>
      <w:sz w:val="26"/>
      <w:szCs w:val="26"/>
    </w:rPr>
  </w:style>
  <w:style w:type="character" w:customStyle="1" w:styleId="111pt2">
    <w:name w:val="Îñíîâíîé òåêñò (11) + Èíòåðâàë 1 pt2"/>
    <w:uiPriority w:val="99"/>
    <w:rsid w:val="00BB6316"/>
    <w:rPr>
      <w:rFonts w:ascii="Microsoft Sans Serif" w:hAnsi="Microsoft Sans Serif" w:cs="Microsoft Sans Serif"/>
      <w:i/>
      <w:iCs/>
      <w:spacing w:val="30"/>
      <w:sz w:val="28"/>
      <w:szCs w:val="28"/>
    </w:rPr>
  </w:style>
  <w:style w:type="character" w:customStyle="1" w:styleId="1120">
    <w:name w:val="Îñíîâíîé òåêñò (11)2"/>
    <w:uiPriority w:val="99"/>
    <w:rsid w:val="00BB6316"/>
    <w:rPr>
      <w:rFonts w:ascii="Microsoft Sans Serif" w:hAnsi="Microsoft Sans Serif" w:cs="Microsoft Sans Serif"/>
      <w:i/>
      <w:iCs/>
      <w:spacing w:val="0"/>
      <w:sz w:val="28"/>
      <w:szCs w:val="28"/>
    </w:rPr>
  </w:style>
  <w:style w:type="character" w:customStyle="1" w:styleId="15pt880pt30">
    <w:name w:val="Îñíîâíîé òåêñò + 15 pt.Ïîëóæèðíûé8.Êóðñèâ8.Èíòåðâàë 0 pt30"/>
    <w:uiPriority w:val="99"/>
    <w:rsid w:val="00BB6316"/>
    <w:rPr>
      <w:rFonts w:ascii="Microsoft Sans Serif" w:hAnsi="Microsoft Sans Serif" w:cs="Microsoft Sans Serif"/>
      <w:b/>
      <w:bCs/>
      <w:i/>
      <w:iCs/>
      <w:spacing w:val="10"/>
      <w:sz w:val="30"/>
      <w:szCs w:val="30"/>
    </w:rPr>
  </w:style>
  <w:style w:type="character" w:customStyle="1" w:styleId="15pt2771pt3">
    <w:name w:val="Îñíîâíîé òåêñò + 15 pt2.Ïîëóæèðíûé7.Êóðñèâ7.Èíòåðâàë 1 pt3"/>
    <w:uiPriority w:val="99"/>
    <w:rsid w:val="00BB6316"/>
    <w:rPr>
      <w:rFonts w:ascii="Microsoft Sans Serif" w:hAnsi="Microsoft Sans Serif" w:cs="Microsoft Sans Serif"/>
      <w:b/>
      <w:bCs/>
      <w:i/>
      <w:iCs/>
      <w:spacing w:val="30"/>
      <w:sz w:val="30"/>
      <w:szCs w:val="30"/>
    </w:rPr>
  </w:style>
  <w:style w:type="character" w:customStyle="1" w:styleId="14pt460pt29">
    <w:name w:val="Îñíîâíîé òåêñò + 14 pt4.Êóðñèâ6.Èíòåðâàë 0 pt29"/>
    <w:uiPriority w:val="99"/>
    <w:rsid w:val="00BB6316"/>
    <w:rPr>
      <w:rFonts w:ascii="Microsoft Sans Serif" w:hAnsi="Microsoft Sans Serif" w:cs="Microsoft Sans Serif"/>
      <w:i/>
      <w:iCs/>
      <w:spacing w:val="0"/>
      <w:sz w:val="28"/>
      <w:szCs w:val="28"/>
    </w:rPr>
  </w:style>
  <w:style w:type="character" w:customStyle="1" w:styleId="0pt18">
    <w:name w:val="Îñíîâíîé òåêñò + Êóðñèâ.Èíòåðâàë 0 pt18"/>
    <w:uiPriority w:val="99"/>
    <w:rsid w:val="00BB6316"/>
    <w:rPr>
      <w:rFonts w:ascii="Arial" w:hAnsi="Arial" w:cs="Arial"/>
      <w:i/>
      <w:iCs/>
      <w:spacing w:val="-10"/>
      <w:sz w:val="16"/>
      <w:szCs w:val="16"/>
    </w:rPr>
  </w:style>
  <w:style w:type="character" w:customStyle="1" w:styleId="2f2">
    <w:name w:val="Ïîäïèñü ê òàáëèöå (2)"/>
    <w:uiPriority w:val="99"/>
    <w:rsid w:val="00BB6316"/>
    <w:rPr>
      <w:rFonts w:ascii="Arial" w:hAnsi="Arial" w:cs="Arial"/>
      <w:sz w:val="14"/>
      <w:szCs w:val="14"/>
      <w:u w:val="single"/>
    </w:rPr>
  </w:style>
  <w:style w:type="character" w:customStyle="1" w:styleId="2f3">
    <w:name w:val="Ïîäïèñü ê òàáëèöå (2)_"/>
    <w:uiPriority w:val="99"/>
    <w:rsid w:val="00BB6316"/>
    <w:rPr>
      <w:rFonts w:ascii="Arial" w:hAnsi="Arial" w:cs="Arial"/>
      <w:sz w:val="14"/>
      <w:szCs w:val="14"/>
    </w:rPr>
  </w:style>
  <w:style w:type="character" w:customStyle="1" w:styleId="710">
    <w:name w:val="Îñíîâíîé òåêñò (7)10"/>
    <w:uiPriority w:val="99"/>
    <w:rsid w:val="00BB6316"/>
    <w:rPr>
      <w:rFonts w:ascii="Arial" w:hAnsi="Arial" w:cs="Arial"/>
      <w:i/>
      <w:iCs/>
      <w:spacing w:val="-10"/>
      <w:sz w:val="16"/>
      <w:szCs w:val="16"/>
      <w:u w:val="single"/>
    </w:rPr>
  </w:style>
  <w:style w:type="character" w:customStyle="1" w:styleId="78">
    <w:name w:val="Îñíîâíîé òåêñò (7)_"/>
    <w:uiPriority w:val="99"/>
    <w:rsid w:val="00BB6316"/>
    <w:rPr>
      <w:rFonts w:ascii="Arial" w:hAnsi="Arial" w:cs="Arial"/>
      <w:i/>
      <w:iCs/>
      <w:spacing w:val="-10"/>
      <w:sz w:val="16"/>
      <w:szCs w:val="16"/>
    </w:rPr>
  </w:style>
  <w:style w:type="character" w:customStyle="1" w:styleId="15ArialNarrow18">
    <w:name w:val="Îñíîâíîé òåêñò (15) + Arial Narrow.Êóðñèâ18"/>
    <w:uiPriority w:val="99"/>
    <w:rsid w:val="00BB6316"/>
    <w:rPr>
      <w:rFonts w:ascii="Arial Narrow" w:hAnsi="Arial Narrow" w:cs="Arial Narrow"/>
      <w:i/>
      <w:iCs/>
      <w:spacing w:val="0"/>
      <w:sz w:val="15"/>
      <w:szCs w:val="15"/>
    </w:rPr>
  </w:style>
  <w:style w:type="character" w:customStyle="1" w:styleId="152">
    <w:name w:val="Îñíîâíîé òåêñò (15)_"/>
    <w:uiPriority w:val="99"/>
    <w:rsid w:val="00BB6316"/>
    <w:rPr>
      <w:rFonts w:ascii="Garamond" w:hAnsi="Garamond" w:cs="Garamond"/>
      <w:sz w:val="13"/>
      <w:szCs w:val="13"/>
    </w:rPr>
  </w:style>
  <w:style w:type="character" w:customStyle="1" w:styleId="29Arial">
    <w:name w:val="Îñíîâíîé òåêñò (29) + Arial.Íå êóðñèâ"/>
    <w:uiPriority w:val="99"/>
    <w:rsid w:val="00BB6316"/>
    <w:rPr>
      <w:rFonts w:ascii="Arial" w:hAnsi="Arial" w:cs="Arial"/>
      <w:i/>
      <w:iCs/>
      <w:sz w:val="15"/>
      <w:szCs w:val="15"/>
    </w:rPr>
  </w:style>
  <w:style w:type="character" w:customStyle="1" w:styleId="3f1">
    <w:name w:val="Ïîäïèñü ê òàáëèöå (3)"/>
    <w:uiPriority w:val="99"/>
    <w:rsid w:val="00BB6316"/>
    <w:rPr>
      <w:rFonts w:ascii="Arial" w:hAnsi="Arial" w:cs="Arial"/>
      <w:i/>
      <w:iCs/>
      <w:spacing w:val="-10"/>
      <w:sz w:val="16"/>
      <w:szCs w:val="16"/>
      <w:u w:val="single"/>
    </w:rPr>
  </w:style>
  <w:style w:type="character" w:customStyle="1" w:styleId="3f2">
    <w:name w:val="Ïîäïèñü ê òàáëèöå (3)_"/>
    <w:uiPriority w:val="99"/>
    <w:rsid w:val="00BB6316"/>
    <w:rPr>
      <w:rFonts w:ascii="Arial" w:hAnsi="Arial" w:cs="Arial"/>
      <w:i/>
      <w:iCs/>
      <w:spacing w:val="-10"/>
      <w:sz w:val="16"/>
      <w:szCs w:val="16"/>
    </w:rPr>
  </w:style>
  <w:style w:type="character" w:customStyle="1" w:styleId="79">
    <w:name w:val="Îñíîâíîé òåêñò (7)9"/>
    <w:uiPriority w:val="99"/>
    <w:rsid w:val="00BB6316"/>
    <w:rPr>
      <w:rFonts w:ascii="Arial" w:hAnsi="Arial" w:cs="Arial"/>
      <w:i/>
      <w:iCs/>
      <w:spacing w:val="-10"/>
      <w:sz w:val="16"/>
      <w:szCs w:val="16"/>
      <w:u w:val="single"/>
    </w:rPr>
  </w:style>
  <w:style w:type="character" w:customStyle="1" w:styleId="111425pt34100pt4529Arial37pt3">
    <w:name w:val="Îñíîâíîé òåêñò (11) + 142.5 pt34.Íå êóðñèâ10.Èíòåðâàë 0 pt45.Îñíîâíîé òåêñò (29) + Arial3.7 pt3"/>
    <w:uiPriority w:val="99"/>
    <w:rsid w:val="00BB6316"/>
    <w:rPr>
      <w:rFonts w:ascii="Microsoft Sans Serif" w:hAnsi="Microsoft Sans Serif" w:cs="Microsoft Sans Serif"/>
      <w:i/>
      <w:iCs/>
      <w:spacing w:val="-10"/>
      <w:sz w:val="29"/>
      <w:szCs w:val="29"/>
    </w:rPr>
  </w:style>
  <w:style w:type="character" w:customStyle="1" w:styleId="28ArialNarrow75pt2617">
    <w:name w:val="Îñíîâíîé òåêñò (28) + Arial Narrow.7.5 pt26.Êóðñèâ17"/>
    <w:uiPriority w:val="99"/>
    <w:rsid w:val="00BB6316"/>
    <w:rPr>
      <w:rFonts w:ascii="Arial Narrow" w:hAnsi="Arial Narrow" w:cs="Arial Narrow"/>
      <w:i/>
      <w:iCs/>
      <w:sz w:val="15"/>
      <w:szCs w:val="15"/>
    </w:rPr>
  </w:style>
  <w:style w:type="character" w:customStyle="1" w:styleId="283">
    <w:name w:val="Îñíîâíîé òåêñò (28)_"/>
    <w:uiPriority w:val="99"/>
    <w:rsid w:val="00BB6316"/>
    <w:rPr>
      <w:rFonts w:ascii="Arial" w:hAnsi="Arial" w:cs="Arial"/>
      <w:sz w:val="14"/>
      <w:szCs w:val="14"/>
    </w:rPr>
  </w:style>
  <w:style w:type="character" w:customStyle="1" w:styleId="11SimHei1175pt339-2pt785pt250pt17">
    <w:name w:val="Îñíîâíîé òåêñò (11) + SimHei1.17.5 pt33.Íå êóðñèâ9.Èíòåðâàë -2 pt.Îñíîâíîé òåêñò (7) + 8.5 pt25.Èíòåðâàë 0 pt17"/>
    <w:uiPriority w:val="99"/>
    <w:rsid w:val="00BB6316"/>
    <w:rPr>
      <w:rFonts w:ascii="SimHei" w:eastAsia="SimHei" w:cs="SimHei"/>
      <w:i/>
      <w:iCs/>
      <w:spacing w:val="-40"/>
      <w:sz w:val="35"/>
      <w:szCs w:val="35"/>
    </w:rPr>
  </w:style>
  <w:style w:type="character" w:customStyle="1" w:styleId="780">
    <w:name w:val="Îñíîâíîé òåêñò (7)8"/>
    <w:uiPriority w:val="99"/>
    <w:rsid w:val="00BB6316"/>
    <w:rPr>
      <w:rFonts w:ascii="Arial" w:hAnsi="Arial" w:cs="Arial"/>
      <w:i/>
      <w:iCs/>
      <w:spacing w:val="-10"/>
      <w:sz w:val="16"/>
      <w:szCs w:val="16"/>
      <w:u w:val="single"/>
    </w:rPr>
  </w:style>
  <w:style w:type="character" w:customStyle="1" w:styleId="315">
    <w:name w:val="Îñíîâíîé òåêñò (31) + Êóðñèâ"/>
    <w:uiPriority w:val="99"/>
    <w:rsid w:val="00BB6316"/>
    <w:rPr>
      <w:rFonts w:ascii="Arial" w:hAnsi="Arial" w:cs="Arial"/>
      <w:i/>
      <w:iCs/>
      <w:spacing w:val="0"/>
      <w:sz w:val="11"/>
      <w:szCs w:val="11"/>
    </w:rPr>
  </w:style>
  <w:style w:type="character" w:customStyle="1" w:styleId="303">
    <w:name w:val="Îñíîâíîé òåêñò (30) + Íå êóðñèâ"/>
    <w:uiPriority w:val="99"/>
    <w:rsid w:val="00BB6316"/>
    <w:rPr>
      <w:rFonts w:ascii="Arial" w:hAnsi="Arial" w:cs="Arial"/>
      <w:i/>
      <w:iCs/>
      <w:sz w:val="11"/>
      <w:szCs w:val="11"/>
    </w:rPr>
  </w:style>
  <w:style w:type="character" w:customStyle="1" w:styleId="85pt2415">
    <w:name w:val="Îñíîâíîé òåêñò + 8.5 pt24.Ïîëóæèðíûé15"/>
    <w:uiPriority w:val="99"/>
    <w:rsid w:val="00BB6316"/>
    <w:rPr>
      <w:rFonts w:ascii="Arial" w:hAnsi="Arial" w:cs="Arial"/>
      <w:b/>
      <w:bCs/>
      <w:spacing w:val="0"/>
      <w:sz w:val="17"/>
      <w:szCs w:val="17"/>
    </w:rPr>
  </w:style>
  <w:style w:type="character" w:customStyle="1" w:styleId="20pt15">
    <w:name w:val="Îñíîâíîé òåêñò + Êóðñèâ2.Èíòåðâàë 0 pt15"/>
    <w:uiPriority w:val="99"/>
    <w:rsid w:val="00BB6316"/>
    <w:rPr>
      <w:rFonts w:ascii="Arial" w:hAnsi="Arial" w:cs="Arial"/>
      <w:i/>
      <w:iCs/>
      <w:spacing w:val="-10"/>
      <w:sz w:val="16"/>
      <w:szCs w:val="16"/>
    </w:rPr>
  </w:style>
  <w:style w:type="character" w:customStyle="1" w:styleId="3010">
    <w:name w:val="Îñíîâíîé òåêñò (30) + Íå êóðñèâ1"/>
    <w:uiPriority w:val="99"/>
    <w:rsid w:val="00BB6316"/>
    <w:rPr>
      <w:rFonts w:ascii="Arial" w:hAnsi="Arial" w:cs="Arial"/>
      <w:i/>
      <w:iCs/>
      <w:sz w:val="11"/>
      <w:szCs w:val="11"/>
    </w:rPr>
  </w:style>
  <w:style w:type="character" w:customStyle="1" w:styleId="3110">
    <w:name w:val="Îñíîâíîé òåêñò (31) + Êóðñèâ1"/>
    <w:uiPriority w:val="99"/>
    <w:rsid w:val="00BB6316"/>
    <w:rPr>
      <w:rFonts w:ascii="Arial" w:hAnsi="Arial" w:cs="Arial"/>
      <w:i/>
      <w:iCs/>
      <w:spacing w:val="0"/>
      <w:sz w:val="11"/>
      <w:szCs w:val="11"/>
    </w:rPr>
  </w:style>
  <w:style w:type="character" w:customStyle="1" w:styleId="295pt232-1pt67TimesNewRoman910pt14">
    <w:name w:val="Îñíîâíîé òåêñò (2) + 9.5 pt23.Íå êóðñèâ2.Èíòåðâàë -1 pt6.Îñíîâíîé òåêñò (7) + Times New Roman.91.Èíòåðâàë 0 pt14"/>
    <w:uiPriority w:val="99"/>
    <w:rsid w:val="00BB6316"/>
    <w:rPr>
      <w:rFonts w:ascii="Microsoft Sans Serif" w:hAnsi="Microsoft Sans Serif" w:cs="Microsoft Sans Serif"/>
      <w:i/>
      <w:iCs/>
      <w:spacing w:val="-20"/>
      <w:sz w:val="19"/>
      <w:szCs w:val="19"/>
    </w:rPr>
  </w:style>
  <w:style w:type="character" w:customStyle="1" w:styleId="70pt13">
    <w:name w:val="Îñíîâíîé òåêñò (7) + Íå êóðñèâ.Èíòåðâàë 0 pt13"/>
    <w:uiPriority w:val="99"/>
    <w:rsid w:val="00BB6316"/>
    <w:rPr>
      <w:rFonts w:ascii="Arial" w:hAnsi="Arial" w:cs="Arial"/>
      <w:i/>
      <w:iCs/>
      <w:spacing w:val="0"/>
      <w:sz w:val="16"/>
      <w:szCs w:val="16"/>
    </w:rPr>
  </w:style>
  <w:style w:type="character" w:customStyle="1" w:styleId="770">
    <w:name w:val="Îñíîâíîé òåêñò (7)7"/>
    <w:uiPriority w:val="99"/>
    <w:rsid w:val="00BB6316"/>
    <w:rPr>
      <w:rFonts w:ascii="Arial" w:hAnsi="Arial" w:cs="Arial"/>
      <w:i/>
      <w:iCs/>
      <w:spacing w:val="-10"/>
      <w:sz w:val="16"/>
      <w:szCs w:val="16"/>
      <w:u w:val="single"/>
    </w:rPr>
  </w:style>
  <w:style w:type="character" w:customStyle="1" w:styleId="1425pt220pt337SimHei7100pt12">
    <w:name w:val="Çàãîëîâîê ¹1 + 42.5 pt22.Èíòåðâàë 0 pt33.Îñíîâíîé òåêñò (7) + SimHei.710.Èíòåðâàë 0 pt12"/>
    <w:uiPriority w:val="99"/>
    <w:rsid w:val="00BB6316"/>
    <w:rPr>
      <w:rFonts w:ascii="Arial Narrow" w:hAnsi="Arial Narrow" w:cs="Arial Narrow"/>
      <w:b/>
      <w:bCs/>
      <w:spacing w:val="0"/>
      <w:sz w:val="85"/>
      <w:szCs w:val="85"/>
    </w:rPr>
  </w:style>
  <w:style w:type="character" w:customStyle="1" w:styleId="760">
    <w:name w:val="Îñíîâíîé òåêñò (7)6"/>
    <w:uiPriority w:val="99"/>
    <w:rsid w:val="00BB6316"/>
    <w:rPr>
      <w:rFonts w:ascii="Arial" w:hAnsi="Arial" w:cs="Arial"/>
      <w:i/>
      <w:iCs/>
      <w:spacing w:val="-10"/>
      <w:sz w:val="16"/>
      <w:szCs w:val="16"/>
      <w:u w:val="single"/>
    </w:rPr>
  </w:style>
  <w:style w:type="character" w:customStyle="1" w:styleId="720pt11">
    <w:name w:val="Îñíîâíîé òåêñò (7) + Íå êóðñèâ2.Èíòåðâàë 0 pt11"/>
    <w:uiPriority w:val="99"/>
    <w:rsid w:val="00BB6316"/>
    <w:rPr>
      <w:rFonts w:ascii="Arial" w:hAnsi="Arial" w:cs="Arial"/>
      <w:i/>
      <w:iCs/>
      <w:spacing w:val="0"/>
      <w:sz w:val="16"/>
      <w:szCs w:val="16"/>
    </w:rPr>
  </w:style>
  <w:style w:type="character" w:customStyle="1" w:styleId="750">
    <w:name w:val="Îñíîâíîé òåêñò (7)5"/>
    <w:uiPriority w:val="99"/>
    <w:rsid w:val="00BB6316"/>
    <w:rPr>
      <w:rFonts w:ascii="Arial" w:hAnsi="Arial" w:cs="Arial"/>
      <w:i/>
      <w:iCs/>
      <w:spacing w:val="-10"/>
      <w:sz w:val="16"/>
      <w:szCs w:val="16"/>
      <w:u w:val="single"/>
    </w:rPr>
  </w:style>
  <w:style w:type="character" w:customStyle="1" w:styleId="740">
    <w:name w:val="Îñíîâíîé òåêñò (7)4"/>
    <w:uiPriority w:val="99"/>
    <w:rsid w:val="00BB6316"/>
    <w:rPr>
      <w:rFonts w:ascii="Arial" w:hAnsi="Arial" w:cs="Arial"/>
      <w:i/>
      <w:iCs/>
      <w:spacing w:val="-10"/>
      <w:sz w:val="16"/>
      <w:szCs w:val="16"/>
      <w:u w:val="single"/>
    </w:rPr>
  </w:style>
  <w:style w:type="character" w:customStyle="1" w:styleId="730">
    <w:name w:val="Îñíîâíîé òåêñò (7)3"/>
    <w:uiPriority w:val="99"/>
    <w:rsid w:val="00BB6316"/>
    <w:rPr>
      <w:rFonts w:ascii="Arial" w:hAnsi="Arial" w:cs="Arial"/>
      <w:i/>
      <w:iCs/>
      <w:spacing w:val="-10"/>
      <w:sz w:val="16"/>
      <w:szCs w:val="16"/>
      <w:u w:val="single"/>
    </w:rPr>
  </w:style>
  <w:style w:type="character" w:customStyle="1" w:styleId="720">
    <w:name w:val="Îñíîâíîé òåêñò (7)2"/>
    <w:uiPriority w:val="99"/>
    <w:rsid w:val="00BB6316"/>
    <w:rPr>
      <w:rFonts w:ascii="Arial" w:hAnsi="Arial" w:cs="Arial"/>
      <w:i/>
      <w:iCs/>
      <w:spacing w:val="-10"/>
      <w:sz w:val="16"/>
      <w:szCs w:val="16"/>
      <w:u w:val="single"/>
    </w:rPr>
  </w:style>
  <w:style w:type="character" w:customStyle="1" w:styleId="2FranklinGothicDemi113pt760pt417SimHei17pt20pt10">
    <w:name w:val="Îñíîâíîé òåêñò (2) + Franklin Gothic Demi1.13 pt7.Íå êóðñèâ6.Èíòåðâàë 0 pt41.Îñíîâíîé òåêñò (7) + SimHei1.7 pt2.Èíòåðâàë 0 pt10"/>
    <w:uiPriority w:val="99"/>
    <w:rsid w:val="00BB6316"/>
    <w:rPr>
      <w:rFonts w:ascii="Franklin Gothic Demi" w:hAnsi="Franklin Gothic Demi" w:cs="Franklin Gothic Demi"/>
      <w:i/>
      <w:iCs/>
      <w:spacing w:val="0"/>
      <w:sz w:val="26"/>
      <w:szCs w:val="26"/>
    </w:rPr>
  </w:style>
  <w:style w:type="character" w:customStyle="1" w:styleId="223">
    <w:name w:val="Îñíîâíîé òåêñò (22)"/>
    <w:uiPriority w:val="99"/>
    <w:rsid w:val="00BB6316"/>
    <w:rPr>
      <w:rFonts w:ascii="Arial" w:hAnsi="Arial" w:cs="Arial"/>
      <w:i/>
      <w:iCs/>
      <w:spacing w:val="-10"/>
      <w:sz w:val="17"/>
      <w:szCs w:val="17"/>
      <w:u w:val="single"/>
    </w:rPr>
  </w:style>
  <w:style w:type="character" w:customStyle="1" w:styleId="224">
    <w:name w:val="Îñíîâíîé òåêñò (22)_"/>
    <w:uiPriority w:val="99"/>
    <w:rsid w:val="00BB6316"/>
    <w:rPr>
      <w:rFonts w:ascii="Arial" w:hAnsi="Arial" w:cs="Arial"/>
      <w:i/>
      <w:iCs/>
      <w:spacing w:val="-10"/>
      <w:sz w:val="17"/>
      <w:szCs w:val="17"/>
    </w:rPr>
  </w:style>
  <w:style w:type="character" w:customStyle="1" w:styleId="2260pt23">
    <w:name w:val="Îñíîâíîé òåêñò (22) + Íå êóðñèâ6.Èíòåðâàë 0 pt23"/>
    <w:uiPriority w:val="99"/>
    <w:rsid w:val="00BB6316"/>
    <w:rPr>
      <w:rFonts w:ascii="Arial" w:hAnsi="Arial" w:cs="Arial"/>
      <w:i/>
      <w:iCs/>
      <w:spacing w:val="0"/>
      <w:sz w:val="17"/>
      <w:szCs w:val="17"/>
    </w:rPr>
  </w:style>
  <w:style w:type="character" w:customStyle="1" w:styleId="225">
    <w:name w:val="Îñíîâíîé òåêñò (22)5"/>
    <w:uiPriority w:val="99"/>
    <w:rsid w:val="00BB6316"/>
    <w:rPr>
      <w:rFonts w:ascii="Arial" w:hAnsi="Arial" w:cs="Arial"/>
      <w:i/>
      <w:iCs/>
      <w:spacing w:val="-10"/>
      <w:sz w:val="17"/>
      <w:szCs w:val="17"/>
      <w:u w:val="single"/>
    </w:rPr>
  </w:style>
  <w:style w:type="character" w:customStyle="1" w:styleId="111415pt3180pt43294pt">
    <w:name w:val="Îñíîâíîé òåêñò (11) + 141.5 pt31.Íå êóðñèâ8.Èíòåðâàë 0 pt43.Îñíîâíîé òåêñò (29) + 4 pt"/>
    <w:uiPriority w:val="99"/>
    <w:rsid w:val="00BB6316"/>
    <w:rPr>
      <w:rFonts w:ascii="Microsoft Sans Serif" w:hAnsi="Microsoft Sans Serif" w:cs="Microsoft Sans Serif"/>
      <w:i/>
      <w:iCs/>
      <w:spacing w:val="-10"/>
      <w:sz w:val="29"/>
      <w:szCs w:val="29"/>
    </w:rPr>
  </w:style>
  <w:style w:type="character" w:customStyle="1" w:styleId="80pt22">
    <w:name w:val="Îñíîâíîé òåêñò + Êóðñèâ8.Èíòåðâàë 0 pt22"/>
    <w:uiPriority w:val="99"/>
    <w:rsid w:val="00BB6316"/>
    <w:rPr>
      <w:rFonts w:ascii="Arial" w:hAnsi="Arial" w:cs="Arial"/>
      <w:i/>
      <w:iCs/>
      <w:spacing w:val="-10"/>
      <w:sz w:val="17"/>
      <w:szCs w:val="17"/>
    </w:rPr>
  </w:style>
  <w:style w:type="character" w:customStyle="1" w:styleId="2250pt21">
    <w:name w:val="Îñíîâíîé òåêñò (22) + Íå êóðñèâ5.Èíòåðâàë 0 pt21"/>
    <w:uiPriority w:val="99"/>
    <w:rsid w:val="00BB6316"/>
    <w:rPr>
      <w:rFonts w:ascii="Arial" w:hAnsi="Arial" w:cs="Arial"/>
      <w:i/>
      <w:iCs/>
      <w:spacing w:val="0"/>
      <w:sz w:val="17"/>
      <w:szCs w:val="17"/>
    </w:rPr>
  </w:style>
  <w:style w:type="character" w:customStyle="1" w:styleId="2240">
    <w:name w:val="Îñíîâíîé òåêñò (22)4"/>
    <w:uiPriority w:val="99"/>
    <w:rsid w:val="00BB6316"/>
    <w:rPr>
      <w:rFonts w:ascii="Arial" w:hAnsi="Arial" w:cs="Arial"/>
      <w:i/>
      <w:iCs/>
      <w:spacing w:val="-10"/>
      <w:sz w:val="17"/>
      <w:szCs w:val="17"/>
      <w:u w:val="single"/>
    </w:rPr>
  </w:style>
  <w:style w:type="character" w:customStyle="1" w:styleId="7Tahoma925pt20">
    <w:name w:val="Çàãîëîâîê ¹7 + Tahoma.92.5 pt20"/>
    <w:uiPriority w:val="99"/>
    <w:rsid w:val="00BB6316"/>
    <w:rPr>
      <w:rFonts w:ascii="Tahoma" w:hAnsi="Tahoma" w:cs="Tahoma"/>
      <w:sz w:val="19"/>
      <w:szCs w:val="19"/>
    </w:rPr>
  </w:style>
  <w:style w:type="character" w:customStyle="1" w:styleId="7a">
    <w:name w:val="Çàãîëîâîê ¹7_"/>
    <w:uiPriority w:val="99"/>
    <w:rsid w:val="00BB6316"/>
    <w:rPr>
      <w:rFonts w:ascii="Arial" w:hAnsi="Arial" w:cs="Arial"/>
      <w:sz w:val="16"/>
      <w:szCs w:val="16"/>
    </w:rPr>
  </w:style>
  <w:style w:type="character" w:customStyle="1" w:styleId="2230">
    <w:name w:val="Îñíîâíîé òåêñò (22)3"/>
    <w:uiPriority w:val="99"/>
    <w:rsid w:val="00BB6316"/>
    <w:rPr>
      <w:rFonts w:ascii="Arial" w:hAnsi="Arial" w:cs="Arial"/>
      <w:i/>
      <w:iCs/>
      <w:spacing w:val="-10"/>
      <w:sz w:val="17"/>
      <w:szCs w:val="17"/>
      <w:u w:val="single"/>
    </w:rPr>
  </w:style>
  <w:style w:type="character" w:customStyle="1" w:styleId="70pt20">
    <w:name w:val="Îñíîâíîé òåêñò + Êóðñèâ7.Èíòåðâàë 0 pt20"/>
    <w:uiPriority w:val="99"/>
    <w:rsid w:val="00BB6316"/>
    <w:rPr>
      <w:rFonts w:ascii="Arial" w:hAnsi="Arial" w:cs="Arial"/>
      <w:i/>
      <w:iCs/>
      <w:spacing w:val="-10"/>
      <w:sz w:val="17"/>
      <w:szCs w:val="17"/>
    </w:rPr>
  </w:style>
  <w:style w:type="character" w:customStyle="1" w:styleId="2240pt19">
    <w:name w:val="Îñíîâíîé òåêñò (22) + Íå êóðñèâ4.Èíòåðâàë 0 pt19"/>
    <w:uiPriority w:val="99"/>
    <w:rsid w:val="00BB6316"/>
    <w:rPr>
      <w:rFonts w:ascii="Arial" w:hAnsi="Arial" w:cs="Arial"/>
      <w:i/>
      <w:iCs/>
      <w:spacing w:val="0"/>
      <w:sz w:val="17"/>
      <w:szCs w:val="17"/>
    </w:rPr>
  </w:style>
  <w:style w:type="character" w:customStyle="1" w:styleId="0pt186">
    <w:name w:val="Îñíîâíîé òåêñò + Êóðñèâ.Èíòåðâàë 0 pt18.Îñíîâíîé òåêñò + Êóðñèâ6"/>
    <w:uiPriority w:val="99"/>
    <w:rsid w:val="00BB6316"/>
    <w:rPr>
      <w:rFonts w:ascii="Arial" w:hAnsi="Arial" w:cs="Arial"/>
      <w:i/>
      <w:iCs/>
      <w:spacing w:val="-10"/>
      <w:sz w:val="16"/>
      <w:szCs w:val="16"/>
    </w:rPr>
  </w:style>
  <w:style w:type="character" w:customStyle="1" w:styleId="SimHei735pt19">
    <w:name w:val="Îñíîâíîé òåêñò + SimHei.73.5 pt19"/>
    <w:uiPriority w:val="99"/>
    <w:rsid w:val="00BB6316"/>
    <w:rPr>
      <w:rFonts w:ascii="SimHei" w:eastAsia="SimHei" w:hAnsi="Microsoft Sans Serif" w:cs="SimHei"/>
      <w:spacing w:val="0"/>
      <w:sz w:val="15"/>
      <w:szCs w:val="15"/>
    </w:rPr>
  </w:style>
  <w:style w:type="character" w:customStyle="1" w:styleId="2220">
    <w:name w:val="Îñíîâíîé òåêñò (22)2"/>
    <w:uiPriority w:val="99"/>
    <w:rsid w:val="00BB6316"/>
    <w:rPr>
      <w:rFonts w:ascii="Arial" w:hAnsi="Arial" w:cs="Arial"/>
      <w:i/>
      <w:iCs/>
      <w:spacing w:val="-10"/>
      <w:sz w:val="17"/>
      <w:szCs w:val="17"/>
      <w:u w:val="single"/>
    </w:rPr>
  </w:style>
  <w:style w:type="character" w:customStyle="1" w:styleId="295pt232-1pt67TimesNewRoman910pt1422322SimHei725pt13">
    <w:name w:val="Îñíîâíîé òåêñò (2) + 9.5 pt23.Íå êóðñèâ2.Èíòåðâàë -1 pt6.Îñíîâíîé òåêñò (7) + Times New Roman.91.Èíòåðâàë 0 pt14.Îñíîâíîé òåêñò (22) + Íå êóðñèâ3.Îñíîâíîé òåêñò (22) + SimHei.72.5 pt13"/>
    <w:uiPriority w:val="99"/>
    <w:rsid w:val="00BB6316"/>
    <w:rPr>
      <w:rFonts w:ascii="Microsoft Sans Serif" w:hAnsi="Microsoft Sans Serif" w:cs="Microsoft Sans Serif"/>
      <w:i/>
      <w:iCs/>
      <w:spacing w:val="-20"/>
      <w:sz w:val="19"/>
      <w:szCs w:val="19"/>
    </w:rPr>
  </w:style>
  <w:style w:type="character" w:customStyle="1" w:styleId="70pt13222">
    <w:name w:val="Îñíîâíîé òåêñò (7) + Íå êóðñèâ.Èíòåðâàë 0 pt13.Îñíîâíîé òåêñò (22) + Íå êóðñèâ2"/>
    <w:uiPriority w:val="99"/>
    <w:rsid w:val="00BB6316"/>
    <w:rPr>
      <w:rFonts w:ascii="Arial" w:hAnsi="Arial" w:cs="Arial"/>
      <w:i/>
      <w:iCs/>
      <w:spacing w:val="0"/>
      <w:sz w:val="16"/>
      <w:szCs w:val="16"/>
    </w:rPr>
  </w:style>
  <w:style w:type="paragraph" w:customStyle="1" w:styleId="3f3">
    <w:name w:val="Çàãîëîâîê ¹3"/>
    <w:basedOn w:val="a0"/>
    <w:uiPriority w:val="99"/>
    <w:rsid w:val="00BB6316"/>
    <w:pPr>
      <w:shd w:val="clear" w:color="auto" w:fill="FFFFFF"/>
      <w:autoSpaceDE w:val="0"/>
      <w:autoSpaceDN w:val="0"/>
      <w:adjustRightInd w:val="0"/>
      <w:spacing w:before="5460" w:after="0" w:line="240" w:lineRule="atLeast"/>
    </w:pPr>
    <w:rPr>
      <w:rFonts w:ascii="Arial Narrow" w:hAnsi="Arial Narrow" w:cs="Arial Narrow"/>
      <w:b/>
      <w:bCs/>
      <w:noProof/>
      <w:spacing w:val="-10"/>
      <w:sz w:val="104"/>
      <w:szCs w:val="104"/>
      <w:lang w:val="en-US"/>
    </w:rPr>
  </w:style>
  <w:style w:type="paragraph" w:customStyle="1" w:styleId="1110">
    <w:name w:val="Îñíîâíîé òåêñò (11)1"/>
    <w:basedOn w:val="a0"/>
    <w:uiPriority w:val="99"/>
    <w:rsid w:val="00BB6316"/>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paragraph" w:customStyle="1" w:styleId="1410">
    <w:name w:val="Îñíîâíîé òåêñò (14)1"/>
    <w:basedOn w:val="a0"/>
    <w:uiPriority w:val="99"/>
    <w:rsid w:val="00BB6316"/>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161">
    <w:name w:val="Îñíîâíîé òåêñò (16)"/>
    <w:basedOn w:val="a0"/>
    <w:uiPriority w:val="99"/>
    <w:rsid w:val="00BB6316"/>
    <w:pPr>
      <w:shd w:val="clear" w:color="auto" w:fill="FFFFFF"/>
      <w:autoSpaceDE w:val="0"/>
      <w:autoSpaceDN w:val="0"/>
      <w:adjustRightInd w:val="0"/>
      <w:spacing w:after="0" w:line="240" w:lineRule="atLeast"/>
      <w:ind w:hanging="280"/>
    </w:pPr>
    <w:rPr>
      <w:rFonts w:ascii="Microsoft Sans Serif" w:hAnsi="Microsoft Sans Serif" w:cs="Microsoft Sans Serif"/>
      <w:noProof/>
      <w:sz w:val="19"/>
      <w:szCs w:val="19"/>
      <w:lang w:val="en-US"/>
    </w:rPr>
  </w:style>
  <w:style w:type="paragraph" w:customStyle="1" w:styleId="affffd">
    <w:name w:val="Ïîäïèñü ê òàáëèöå"/>
    <w:basedOn w:val="a0"/>
    <w:uiPriority w:val="99"/>
    <w:rsid w:val="00BB6316"/>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paragraph" w:customStyle="1" w:styleId="190">
    <w:name w:val="Îñíîâíîé òåêñò (19)"/>
    <w:basedOn w:val="a0"/>
    <w:uiPriority w:val="99"/>
    <w:rsid w:val="00BB6316"/>
    <w:pPr>
      <w:shd w:val="clear" w:color="auto" w:fill="FFFFFF"/>
      <w:autoSpaceDE w:val="0"/>
      <w:autoSpaceDN w:val="0"/>
      <w:adjustRightInd w:val="0"/>
      <w:spacing w:after="120" w:line="240" w:lineRule="atLeast"/>
    </w:pPr>
    <w:rPr>
      <w:rFonts w:ascii="Microsoft Sans Serif" w:hAnsi="Microsoft Sans Serif" w:cs="Microsoft Sans Serif"/>
      <w:i/>
      <w:iCs/>
      <w:noProof/>
      <w:sz w:val="24"/>
      <w:szCs w:val="24"/>
      <w:lang w:val="en-US"/>
    </w:rPr>
  </w:style>
  <w:style w:type="paragraph" w:customStyle="1" w:styleId="213">
    <w:name w:val="Îñíîâíîé òåêñò (2)1"/>
    <w:basedOn w:val="a0"/>
    <w:uiPriority w:val="99"/>
    <w:rsid w:val="00BB6316"/>
    <w:pPr>
      <w:shd w:val="clear" w:color="auto" w:fill="FFFFFF"/>
      <w:autoSpaceDE w:val="0"/>
      <w:autoSpaceDN w:val="0"/>
      <w:adjustRightInd w:val="0"/>
      <w:spacing w:after="0" w:line="240" w:lineRule="atLeast"/>
    </w:pPr>
    <w:rPr>
      <w:rFonts w:ascii="Microsoft Sans Serif" w:hAnsi="Microsoft Sans Serif" w:cs="Microsoft Sans Serif"/>
      <w:i/>
      <w:iCs/>
      <w:noProof/>
      <w:spacing w:val="20"/>
      <w:sz w:val="23"/>
      <w:szCs w:val="23"/>
      <w:lang w:val="en-US"/>
    </w:rPr>
  </w:style>
  <w:style w:type="paragraph" w:customStyle="1" w:styleId="1f4">
    <w:name w:val="Çàãîëîâîê ¹1"/>
    <w:basedOn w:val="a0"/>
    <w:uiPriority w:val="99"/>
    <w:rsid w:val="00BB6316"/>
    <w:pPr>
      <w:shd w:val="clear" w:color="auto" w:fill="FFFFFF"/>
      <w:autoSpaceDE w:val="0"/>
      <w:autoSpaceDN w:val="0"/>
      <w:adjustRightInd w:val="0"/>
      <w:spacing w:after="720" w:line="240" w:lineRule="atLeast"/>
      <w:ind w:firstLine="540"/>
      <w:jc w:val="both"/>
    </w:pPr>
    <w:rPr>
      <w:rFonts w:ascii="Arial Narrow" w:hAnsi="Arial Narrow" w:cs="Arial Narrow"/>
      <w:b/>
      <w:bCs/>
      <w:noProof/>
      <w:spacing w:val="-10"/>
      <w:sz w:val="104"/>
      <w:szCs w:val="104"/>
      <w:lang w:val="en-US"/>
    </w:rPr>
  </w:style>
  <w:style w:type="paragraph" w:customStyle="1" w:styleId="153">
    <w:name w:val="Çàãîëîâîê ¹15"/>
    <w:basedOn w:val="a0"/>
    <w:uiPriority w:val="99"/>
    <w:rsid w:val="00BB6316"/>
    <w:pPr>
      <w:shd w:val="clear" w:color="auto" w:fill="FFFFFF"/>
      <w:autoSpaceDE w:val="0"/>
      <w:autoSpaceDN w:val="0"/>
      <w:adjustRightInd w:val="0"/>
      <w:spacing w:before="360" w:after="120" w:line="240" w:lineRule="atLeast"/>
    </w:pPr>
    <w:rPr>
      <w:rFonts w:ascii="Microsoft Sans Serif" w:hAnsi="Microsoft Sans Serif" w:cs="Microsoft Sans Serif"/>
      <w:b/>
      <w:bCs/>
      <w:noProof/>
      <w:sz w:val="32"/>
      <w:szCs w:val="32"/>
      <w:lang w:val="en-US"/>
    </w:rPr>
  </w:style>
  <w:style w:type="paragraph" w:customStyle="1" w:styleId="1f5">
    <w:name w:val="Ïîäïèñü ê êàðòèíêå1"/>
    <w:basedOn w:val="a0"/>
    <w:uiPriority w:val="99"/>
    <w:rsid w:val="00BB6316"/>
    <w:pPr>
      <w:shd w:val="clear" w:color="auto" w:fill="FFFFFF"/>
      <w:autoSpaceDE w:val="0"/>
      <w:autoSpaceDN w:val="0"/>
      <w:adjustRightInd w:val="0"/>
      <w:spacing w:after="0" w:line="240" w:lineRule="atLeast"/>
    </w:pPr>
    <w:rPr>
      <w:rFonts w:ascii="Franklin Gothic Demi" w:hAnsi="Franklin Gothic Demi" w:cs="Franklin Gothic Demi"/>
      <w:noProof/>
      <w:sz w:val="26"/>
      <w:szCs w:val="26"/>
      <w:lang w:val="en-US"/>
    </w:rPr>
  </w:style>
  <w:style w:type="paragraph" w:customStyle="1" w:styleId="124">
    <w:name w:val="Ïîäïèñü ê êàðòèíêå (12)"/>
    <w:basedOn w:val="a0"/>
    <w:uiPriority w:val="99"/>
    <w:rsid w:val="00BB6316"/>
    <w:pPr>
      <w:shd w:val="clear" w:color="auto" w:fill="FFFFFF"/>
      <w:autoSpaceDE w:val="0"/>
      <w:autoSpaceDN w:val="0"/>
      <w:adjustRightInd w:val="0"/>
      <w:spacing w:after="0" w:line="330" w:lineRule="exact"/>
    </w:pPr>
    <w:rPr>
      <w:rFonts w:ascii="Microsoft Sans Serif" w:hAnsi="Microsoft Sans Serif" w:cs="Microsoft Sans Serif"/>
      <w:i/>
      <w:iCs/>
      <w:noProof/>
      <w:sz w:val="26"/>
      <w:szCs w:val="26"/>
      <w:lang w:val="en-US"/>
    </w:rPr>
  </w:style>
  <w:style w:type="paragraph" w:customStyle="1" w:styleId="7b">
    <w:name w:val="Ïîäïèñü ê êàðòèíêå (7)"/>
    <w:basedOn w:val="a0"/>
    <w:uiPriority w:val="99"/>
    <w:rsid w:val="00BB6316"/>
    <w:pPr>
      <w:shd w:val="clear" w:color="auto" w:fill="FFFFFF"/>
      <w:autoSpaceDE w:val="0"/>
      <w:autoSpaceDN w:val="0"/>
      <w:adjustRightInd w:val="0"/>
      <w:spacing w:after="0" w:line="330" w:lineRule="exact"/>
      <w:jc w:val="both"/>
    </w:pPr>
    <w:rPr>
      <w:rFonts w:ascii="Arial Narrow" w:hAnsi="Arial Narrow" w:cs="Arial Narrow"/>
      <w:i/>
      <w:iCs/>
      <w:noProof/>
      <w:spacing w:val="-10"/>
      <w:sz w:val="28"/>
      <w:szCs w:val="28"/>
      <w:lang w:val="en-US"/>
    </w:rPr>
  </w:style>
  <w:style w:type="paragraph" w:customStyle="1" w:styleId="811">
    <w:name w:val="Îñíîâíîé òåêñò (8)1"/>
    <w:basedOn w:val="a0"/>
    <w:uiPriority w:val="99"/>
    <w:rsid w:val="00BB6316"/>
    <w:pPr>
      <w:shd w:val="clear" w:color="auto" w:fill="FFFFFF"/>
      <w:autoSpaceDE w:val="0"/>
      <w:autoSpaceDN w:val="0"/>
      <w:adjustRightInd w:val="0"/>
      <w:spacing w:before="60" w:after="0" w:line="293" w:lineRule="exact"/>
      <w:jc w:val="both"/>
    </w:pPr>
    <w:rPr>
      <w:rFonts w:ascii="Arial Narrow" w:hAnsi="Arial Narrow" w:cs="Arial Narrow"/>
      <w:i/>
      <w:iCs/>
      <w:noProof/>
      <w:spacing w:val="-10"/>
      <w:sz w:val="28"/>
      <w:szCs w:val="28"/>
      <w:lang w:val="en-US"/>
    </w:rPr>
  </w:style>
  <w:style w:type="paragraph" w:customStyle="1" w:styleId="2f4">
    <w:name w:val="Çàãîëîâîê ¹2"/>
    <w:basedOn w:val="a0"/>
    <w:uiPriority w:val="99"/>
    <w:rsid w:val="00BB6316"/>
    <w:pPr>
      <w:shd w:val="clear" w:color="auto" w:fill="FFFFFF"/>
      <w:autoSpaceDE w:val="0"/>
      <w:autoSpaceDN w:val="0"/>
      <w:adjustRightInd w:val="0"/>
      <w:spacing w:before="120" w:after="0" w:line="240" w:lineRule="atLeast"/>
    </w:pPr>
    <w:rPr>
      <w:rFonts w:ascii="Arial Narrow" w:hAnsi="Arial Narrow" w:cs="Arial Narrow"/>
      <w:b/>
      <w:bCs/>
      <w:noProof/>
      <w:sz w:val="56"/>
      <w:szCs w:val="56"/>
      <w:lang w:val="en-US"/>
    </w:rPr>
  </w:style>
  <w:style w:type="paragraph" w:customStyle="1" w:styleId="214">
    <w:name w:val="Ïîäïèñü ê òàáëèöå (2)1"/>
    <w:basedOn w:val="a0"/>
    <w:uiPriority w:val="99"/>
    <w:rsid w:val="00BB6316"/>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284">
    <w:name w:val="Îñíîâíîé òåêñò (28)"/>
    <w:basedOn w:val="a0"/>
    <w:uiPriority w:val="99"/>
    <w:rsid w:val="00BB6316"/>
    <w:pPr>
      <w:shd w:val="clear" w:color="auto" w:fill="FFFFFF"/>
      <w:autoSpaceDE w:val="0"/>
      <w:autoSpaceDN w:val="0"/>
      <w:adjustRightInd w:val="0"/>
      <w:spacing w:after="0" w:line="182" w:lineRule="exact"/>
    </w:pPr>
    <w:rPr>
      <w:rFonts w:ascii="Arial" w:hAnsi="Arial" w:cs="Arial"/>
      <w:noProof/>
      <w:sz w:val="14"/>
      <w:szCs w:val="14"/>
      <w:lang w:val="en-US"/>
    </w:rPr>
  </w:style>
  <w:style w:type="paragraph" w:customStyle="1" w:styleId="711">
    <w:name w:val="Îñíîâíîé òåêñò (7)1"/>
    <w:basedOn w:val="a0"/>
    <w:uiPriority w:val="99"/>
    <w:rsid w:val="00BB6316"/>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paragraph" w:customStyle="1" w:styleId="1510">
    <w:name w:val="Îñíîâíîé òåêñò (15)1"/>
    <w:basedOn w:val="a0"/>
    <w:uiPriority w:val="99"/>
    <w:rsid w:val="00BB6316"/>
    <w:pPr>
      <w:shd w:val="clear" w:color="auto" w:fill="FFFFFF"/>
      <w:autoSpaceDE w:val="0"/>
      <w:autoSpaceDN w:val="0"/>
      <w:adjustRightInd w:val="0"/>
      <w:spacing w:after="480" w:line="240" w:lineRule="atLeast"/>
    </w:pPr>
    <w:rPr>
      <w:rFonts w:ascii="Garamond" w:hAnsi="Garamond" w:cs="Garamond"/>
      <w:noProof/>
      <w:sz w:val="13"/>
      <w:szCs w:val="13"/>
      <w:lang w:val="en-US"/>
    </w:rPr>
  </w:style>
  <w:style w:type="paragraph" w:customStyle="1" w:styleId="316">
    <w:name w:val="Ïîäïèñü ê òàáëèöå (3)1"/>
    <w:basedOn w:val="a0"/>
    <w:uiPriority w:val="99"/>
    <w:rsid w:val="00BB6316"/>
    <w:pPr>
      <w:shd w:val="clear" w:color="auto" w:fill="FFFFFF"/>
      <w:autoSpaceDE w:val="0"/>
      <w:autoSpaceDN w:val="0"/>
      <w:adjustRightInd w:val="0"/>
      <w:spacing w:after="0" w:line="240" w:lineRule="atLeast"/>
    </w:pPr>
    <w:rPr>
      <w:rFonts w:ascii="Arial" w:hAnsi="Arial" w:cs="Arial"/>
      <w:i/>
      <w:iCs/>
      <w:noProof/>
      <w:spacing w:val="-10"/>
      <w:sz w:val="16"/>
      <w:szCs w:val="16"/>
      <w:lang w:val="en-US"/>
    </w:rPr>
  </w:style>
  <w:style w:type="paragraph" w:customStyle="1" w:styleId="411">
    <w:name w:val="Îñíîâíîé òåêñò (4)1"/>
    <w:basedOn w:val="a0"/>
    <w:uiPriority w:val="99"/>
    <w:rsid w:val="00BB6316"/>
    <w:pPr>
      <w:shd w:val="clear" w:color="auto" w:fill="FFFFFF"/>
      <w:autoSpaceDE w:val="0"/>
      <w:autoSpaceDN w:val="0"/>
      <w:adjustRightInd w:val="0"/>
      <w:spacing w:after="0" w:line="149" w:lineRule="exact"/>
      <w:ind w:hanging="480"/>
    </w:pPr>
    <w:rPr>
      <w:rFonts w:ascii="Arial" w:hAnsi="Arial" w:cs="Arial"/>
      <w:b/>
      <w:bCs/>
      <w:noProof/>
      <w:sz w:val="13"/>
      <w:szCs w:val="13"/>
      <w:lang w:val="en-US"/>
    </w:rPr>
  </w:style>
  <w:style w:type="paragraph" w:customStyle="1" w:styleId="4b">
    <w:name w:val="Çàãîëîâîê ¹4"/>
    <w:basedOn w:val="a0"/>
    <w:uiPriority w:val="99"/>
    <w:rsid w:val="00BB6316"/>
    <w:pPr>
      <w:shd w:val="clear" w:color="auto" w:fill="FFFFFF"/>
      <w:autoSpaceDE w:val="0"/>
      <w:autoSpaceDN w:val="0"/>
      <w:adjustRightInd w:val="0"/>
      <w:spacing w:before="300" w:after="300" w:line="240" w:lineRule="atLeast"/>
      <w:jc w:val="right"/>
    </w:pPr>
    <w:rPr>
      <w:rFonts w:ascii="Tahoma" w:hAnsi="Tahoma" w:cs="Tahoma"/>
      <w:noProof/>
      <w:sz w:val="50"/>
      <w:szCs w:val="50"/>
      <w:lang w:val="en-US"/>
    </w:rPr>
  </w:style>
  <w:style w:type="paragraph" w:customStyle="1" w:styleId="2210">
    <w:name w:val="Îñíîâíîé òåêñò (22)1"/>
    <w:basedOn w:val="a0"/>
    <w:uiPriority w:val="99"/>
    <w:rsid w:val="00BB6316"/>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paragraph" w:customStyle="1" w:styleId="7c">
    <w:name w:val="Çàãîëîâîê ¹7"/>
    <w:basedOn w:val="a0"/>
    <w:uiPriority w:val="99"/>
    <w:rsid w:val="00BB6316"/>
    <w:pPr>
      <w:shd w:val="clear" w:color="auto" w:fill="FFFFFF"/>
      <w:autoSpaceDE w:val="0"/>
      <w:autoSpaceDN w:val="0"/>
      <w:adjustRightInd w:val="0"/>
      <w:spacing w:after="120" w:line="240" w:lineRule="atLeast"/>
    </w:pPr>
    <w:rPr>
      <w:rFonts w:ascii="Arial" w:hAnsi="Arial" w:cs="Arial"/>
      <w:noProof/>
      <w:sz w:val="16"/>
      <w:szCs w:val="16"/>
      <w:lang w:val="en-US"/>
    </w:rPr>
  </w:style>
  <w:style w:type="paragraph" w:customStyle="1" w:styleId="332">
    <w:name w:val="Îñíîâíîé òåêñò (33)"/>
    <w:basedOn w:val="a0"/>
    <w:uiPriority w:val="99"/>
    <w:rsid w:val="00BB6316"/>
    <w:pPr>
      <w:shd w:val="clear" w:color="auto" w:fill="FFFFFF"/>
      <w:autoSpaceDE w:val="0"/>
      <w:autoSpaceDN w:val="0"/>
      <w:adjustRightInd w:val="0"/>
      <w:spacing w:before="240" w:after="0" w:line="240" w:lineRule="atLeast"/>
    </w:pPr>
    <w:rPr>
      <w:rFonts w:ascii="Arial Narrow" w:hAnsi="Arial Narrow" w:cs="Arial Narrow"/>
      <w:b/>
      <w:bCs/>
      <w:noProof/>
      <w:sz w:val="57"/>
      <w:szCs w:val="57"/>
      <w:lang w:val="en-US"/>
    </w:rPr>
  </w:style>
  <w:style w:type="paragraph" w:customStyle="1" w:styleId="342">
    <w:name w:val="Îñíîâíîé òåêñò (34)"/>
    <w:basedOn w:val="a0"/>
    <w:uiPriority w:val="99"/>
    <w:rsid w:val="00BB6316"/>
    <w:pPr>
      <w:shd w:val="clear" w:color="auto" w:fill="FFFFFF"/>
      <w:autoSpaceDE w:val="0"/>
      <w:autoSpaceDN w:val="0"/>
      <w:adjustRightInd w:val="0"/>
      <w:spacing w:after="0" w:line="240" w:lineRule="atLeast"/>
    </w:pPr>
    <w:rPr>
      <w:rFonts w:ascii="Arial" w:hAnsi="Arial" w:cs="Arial"/>
      <w:i/>
      <w:iCs/>
      <w:noProof/>
      <w:sz w:val="8"/>
      <w:szCs w:val="8"/>
      <w:lang w:val="en-US"/>
    </w:rPr>
  </w:style>
  <w:style w:type="paragraph" w:customStyle="1" w:styleId="352">
    <w:name w:val="Îñíîâíîé òåêñò (35)"/>
    <w:basedOn w:val="a0"/>
    <w:uiPriority w:val="99"/>
    <w:rsid w:val="00BB6316"/>
    <w:pPr>
      <w:shd w:val="clear" w:color="auto" w:fill="FFFFFF"/>
      <w:autoSpaceDE w:val="0"/>
      <w:autoSpaceDN w:val="0"/>
      <w:adjustRightInd w:val="0"/>
      <w:spacing w:after="0" w:line="240" w:lineRule="atLeast"/>
    </w:pPr>
    <w:rPr>
      <w:rFonts w:ascii="Arial" w:hAnsi="Arial" w:cs="Arial"/>
      <w:noProof/>
      <w:sz w:val="8"/>
      <w:szCs w:val="8"/>
      <w:lang w:val="en-US"/>
    </w:rPr>
  </w:style>
  <w:style w:type="paragraph" w:customStyle="1" w:styleId="251">
    <w:name w:val="Îñíîâíîé òåêñò (25)1"/>
    <w:basedOn w:val="a0"/>
    <w:uiPriority w:val="99"/>
    <w:rsid w:val="00BB6316"/>
    <w:pPr>
      <w:shd w:val="clear" w:color="auto" w:fill="FFFFFF"/>
      <w:autoSpaceDE w:val="0"/>
      <w:autoSpaceDN w:val="0"/>
      <w:adjustRightInd w:val="0"/>
      <w:spacing w:after="0" w:line="101" w:lineRule="exact"/>
      <w:jc w:val="both"/>
    </w:pPr>
    <w:rPr>
      <w:rFonts w:ascii="Arial" w:hAnsi="Arial" w:cs="Arial"/>
      <w:i/>
      <w:iCs/>
      <w:noProof/>
      <w:sz w:val="13"/>
      <w:szCs w:val="13"/>
      <w:lang w:val="en-US"/>
    </w:rPr>
  </w:style>
  <w:style w:type="paragraph" w:customStyle="1" w:styleId="91">
    <w:name w:val="Çàãîëîâîê ¹9"/>
    <w:basedOn w:val="a0"/>
    <w:uiPriority w:val="99"/>
    <w:rsid w:val="00BB6316"/>
    <w:pPr>
      <w:shd w:val="clear" w:color="auto" w:fill="FFFFFF"/>
      <w:autoSpaceDE w:val="0"/>
      <w:autoSpaceDN w:val="0"/>
      <w:adjustRightInd w:val="0"/>
      <w:spacing w:before="180" w:after="0" w:line="216" w:lineRule="exact"/>
      <w:ind w:firstLine="280"/>
      <w:jc w:val="both"/>
    </w:pPr>
    <w:rPr>
      <w:rFonts w:ascii="Tahoma" w:hAnsi="Tahoma" w:cs="Tahoma"/>
      <w:b/>
      <w:bCs/>
      <w:i/>
      <w:iCs/>
      <w:noProof/>
      <w:sz w:val="15"/>
      <w:szCs w:val="15"/>
      <w:lang w:val="en-US"/>
    </w:rPr>
  </w:style>
  <w:style w:type="character" w:customStyle="1" w:styleId="2f5">
    <w:name w:val="Îñíîâíîé òåêñò (2)_"/>
    <w:uiPriority w:val="99"/>
    <w:rsid w:val="00BB6316"/>
    <w:rPr>
      <w:rFonts w:ascii="Arial" w:hAnsi="Arial" w:cs="Arial"/>
      <w:i/>
      <w:iCs/>
      <w:spacing w:val="-10"/>
      <w:sz w:val="16"/>
      <w:szCs w:val="16"/>
    </w:rPr>
  </w:style>
  <w:style w:type="character" w:customStyle="1" w:styleId="20pt29">
    <w:name w:val="Îñíîâíîé òåêñò (2) + Íå êóðñèâ.Èíòåðâàë 0 pt29"/>
    <w:uiPriority w:val="99"/>
    <w:rsid w:val="00BB6316"/>
    <w:rPr>
      <w:rFonts w:ascii="Arial" w:hAnsi="Arial" w:cs="Arial"/>
      <w:i/>
      <w:iCs/>
      <w:spacing w:val="0"/>
      <w:sz w:val="16"/>
      <w:szCs w:val="16"/>
    </w:rPr>
  </w:style>
  <w:style w:type="character" w:customStyle="1" w:styleId="285">
    <w:name w:val="Îñíîâíîé òåêñò (2)8"/>
    <w:uiPriority w:val="99"/>
    <w:rsid w:val="00BB6316"/>
    <w:rPr>
      <w:rFonts w:ascii="Arial" w:hAnsi="Arial" w:cs="Arial"/>
      <w:i/>
      <w:iCs/>
      <w:spacing w:val="-10"/>
      <w:sz w:val="16"/>
      <w:szCs w:val="16"/>
      <w:u w:val="single"/>
    </w:rPr>
  </w:style>
  <w:style w:type="character" w:customStyle="1" w:styleId="2SimHei75pt790pt28">
    <w:name w:val="Îñíîâíîé òåêñò (2) + SimHei.7.5 pt7.Íå êóðñèâ9.Èíòåðâàë 0 pt28"/>
    <w:uiPriority w:val="99"/>
    <w:rsid w:val="00BB6316"/>
    <w:rPr>
      <w:rFonts w:ascii="SimHei" w:eastAsia="SimHei" w:hAnsi="Arial" w:cs="SimHei"/>
      <w:i/>
      <w:iCs/>
      <w:spacing w:val="0"/>
      <w:sz w:val="15"/>
      <w:szCs w:val="15"/>
    </w:rPr>
  </w:style>
  <w:style w:type="character" w:customStyle="1" w:styleId="272">
    <w:name w:val="Îñíîâíîé òåêñò (2)7"/>
    <w:uiPriority w:val="99"/>
    <w:rsid w:val="00BB6316"/>
    <w:rPr>
      <w:rFonts w:ascii="Arial" w:hAnsi="Arial" w:cs="Arial"/>
      <w:i/>
      <w:iCs/>
      <w:spacing w:val="-10"/>
      <w:sz w:val="16"/>
      <w:szCs w:val="16"/>
      <w:u w:val="single"/>
    </w:rPr>
  </w:style>
  <w:style w:type="character" w:customStyle="1" w:styleId="261">
    <w:name w:val="Îñíîâíîé òåêñò (2)6"/>
    <w:uiPriority w:val="99"/>
    <w:rsid w:val="00BB6316"/>
    <w:rPr>
      <w:rFonts w:ascii="Arial" w:hAnsi="Arial" w:cs="Arial"/>
      <w:i/>
      <w:iCs/>
      <w:spacing w:val="-10"/>
      <w:sz w:val="16"/>
      <w:szCs w:val="16"/>
      <w:u w:val="single"/>
    </w:rPr>
  </w:style>
  <w:style w:type="character" w:customStyle="1" w:styleId="110pt26">
    <w:name w:val="Îñíîâíîé òåêñò + Êóðñèâ11.Èíòåðâàë 0 pt26"/>
    <w:uiPriority w:val="99"/>
    <w:rsid w:val="00BB6316"/>
    <w:rPr>
      <w:rFonts w:ascii="Arial" w:hAnsi="Arial" w:cs="Arial"/>
      <w:i/>
      <w:iCs/>
      <w:spacing w:val="-10"/>
      <w:sz w:val="16"/>
      <w:szCs w:val="16"/>
      <w:u w:val="single"/>
    </w:rPr>
  </w:style>
  <w:style w:type="character" w:customStyle="1" w:styleId="2BookmanOldStyle825pt680pt25">
    <w:name w:val="Îñíîâíîé òåêñò (2) + Bookman Old Style.82.5 pt6.Íå êóðñèâ8.Èíòåðâàë 0 pt25"/>
    <w:uiPriority w:val="99"/>
    <w:rsid w:val="00BB6316"/>
    <w:rPr>
      <w:rFonts w:ascii="Bookman Old Style" w:hAnsi="Bookman Old Style" w:cs="Bookman Old Style"/>
      <w:i/>
      <w:iCs/>
      <w:spacing w:val="0"/>
      <w:sz w:val="17"/>
      <w:szCs w:val="17"/>
    </w:rPr>
  </w:style>
  <w:style w:type="character" w:customStyle="1" w:styleId="3f4">
    <w:name w:val="Çàãîëîâîê ¹3_"/>
    <w:uiPriority w:val="99"/>
    <w:rsid w:val="00BB6316"/>
    <w:rPr>
      <w:rFonts w:ascii="Arial Narrow" w:hAnsi="Arial Narrow" w:cs="Arial Narrow"/>
      <w:b/>
      <w:bCs/>
      <w:i/>
      <w:iCs/>
      <w:spacing w:val="-50"/>
      <w:sz w:val="51"/>
      <w:szCs w:val="51"/>
    </w:rPr>
  </w:style>
  <w:style w:type="character" w:customStyle="1" w:styleId="3-1pt">
    <w:name w:val="Çàãîëîâîê ¹3 + Èíòåðâàë -1 pt"/>
    <w:uiPriority w:val="99"/>
    <w:rsid w:val="00BB6316"/>
    <w:rPr>
      <w:rFonts w:ascii="Arial Narrow" w:hAnsi="Arial Narrow" w:cs="Arial Narrow"/>
      <w:b/>
      <w:bCs/>
      <w:i/>
      <w:iCs/>
      <w:spacing w:val="-30"/>
      <w:sz w:val="51"/>
      <w:szCs w:val="51"/>
    </w:rPr>
  </w:style>
  <w:style w:type="character" w:customStyle="1" w:styleId="66">
    <w:name w:val="Çàãîëîâîê ¹6_"/>
    <w:uiPriority w:val="99"/>
    <w:rsid w:val="00BB6316"/>
    <w:rPr>
      <w:rFonts w:ascii="Tahoma" w:hAnsi="Tahoma" w:cs="Tahoma"/>
      <w:sz w:val="31"/>
      <w:szCs w:val="31"/>
    </w:rPr>
  </w:style>
  <w:style w:type="paragraph" w:customStyle="1" w:styleId="67">
    <w:name w:val="Çàãîëîâîê ¹6"/>
    <w:basedOn w:val="a0"/>
    <w:uiPriority w:val="99"/>
    <w:rsid w:val="00BB6316"/>
    <w:pPr>
      <w:shd w:val="clear" w:color="auto" w:fill="FFFFFF"/>
      <w:autoSpaceDE w:val="0"/>
      <w:autoSpaceDN w:val="0"/>
      <w:adjustRightInd w:val="0"/>
      <w:spacing w:after="60" w:line="302" w:lineRule="exact"/>
      <w:jc w:val="center"/>
    </w:pPr>
    <w:rPr>
      <w:rFonts w:ascii="Tahoma" w:hAnsi="Tahoma" w:cs="Tahoma"/>
      <w:noProof/>
      <w:sz w:val="31"/>
      <w:szCs w:val="31"/>
      <w:lang w:val="en-US"/>
    </w:rPr>
  </w:style>
  <w:style w:type="character" w:customStyle="1" w:styleId="262">
    <w:name w:val="Îñíîâíîé òåêñò (26)_"/>
    <w:uiPriority w:val="99"/>
    <w:rsid w:val="00BB6316"/>
    <w:rPr>
      <w:rFonts w:ascii="Bookman Old Style" w:hAnsi="Bookman Old Style" w:cs="Bookman Old Style"/>
      <w:sz w:val="9"/>
      <w:szCs w:val="9"/>
    </w:rPr>
  </w:style>
  <w:style w:type="character" w:customStyle="1" w:styleId="280pt24">
    <w:name w:val="Îñíîâíîé òåêñò (2) + Íå êóðñèâ8.Èíòåðâàë 0 pt24"/>
    <w:uiPriority w:val="99"/>
    <w:rsid w:val="00BB6316"/>
    <w:rPr>
      <w:rFonts w:ascii="Arial" w:hAnsi="Arial" w:cs="Arial"/>
      <w:i/>
      <w:iCs/>
      <w:spacing w:val="0"/>
      <w:sz w:val="16"/>
      <w:szCs w:val="16"/>
    </w:rPr>
  </w:style>
  <w:style w:type="character" w:customStyle="1" w:styleId="2SimHei2715pt350pt23">
    <w:name w:val="Îñíîâíîé òåêñò (2) + SimHei2.71.5 pt3.Íå êóðñèâ5.Èíòåðâàë 0 pt23"/>
    <w:uiPriority w:val="99"/>
    <w:rsid w:val="00BB6316"/>
    <w:rPr>
      <w:rFonts w:ascii="SimHei" w:eastAsia="SimHei" w:hAnsi="Arial" w:cs="SimHei"/>
      <w:i/>
      <w:iCs/>
      <w:spacing w:val="0"/>
      <w:sz w:val="15"/>
      <w:szCs w:val="15"/>
    </w:rPr>
  </w:style>
  <w:style w:type="character" w:customStyle="1" w:styleId="252">
    <w:name w:val="Îñíîâíîé òåêñò (2)5"/>
    <w:uiPriority w:val="99"/>
    <w:rsid w:val="00BB6316"/>
    <w:rPr>
      <w:rFonts w:ascii="Arial" w:hAnsi="Arial" w:cs="Arial"/>
      <w:i/>
      <w:iCs/>
      <w:spacing w:val="-10"/>
      <w:sz w:val="16"/>
      <w:szCs w:val="16"/>
      <w:u w:val="single"/>
    </w:rPr>
  </w:style>
  <w:style w:type="character" w:customStyle="1" w:styleId="270pt22">
    <w:name w:val="Îñíîâíîé òåêñò (2) + Íå êóðñèâ7.Èíòåðâàë 0 pt22"/>
    <w:uiPriority w:val="99"/>
    <w:rsid w:val="00BB6316"/>
    <w:rPr>
      <w:rFonts w:ascii="Arial" w:hAnsi="Arial" w:cs="Arial"/>
      <w:i/>
      <w:iCs/>
      <w:spacing w:val="0"/>
      <w:sz w:val="16"/>
      <w:szCs w:val="16"/>
    </w:rPr>
  </w:style>
  <w:style w:type="character" w:customStyle="1" w:styleId="2SimHei17pt40pt21">
    <w:name w:val="Îñíîâíîé òåêñò (2) + SimHei1.7 pt.Íå êóðñèâ4.Èíòåðâàë 0 pt21"/>
    <w:uiPriority w:val="99"/>
    <w:rsid w:val="00BB6316"/>
    <w:rPr>
      <w:rFonts w:ascii="SimHei" w:eastAsia="SimHei" w:hAnsi="Arial" w:cs="SimHei"/>
      <w:i/>
      <w:iCs/>
      <w:spacing w:val="0"/>
      <w:sz w:val="14"/>
      <w:szCs w:val="14"/>
    </w:rPr>
  </w:style>
  <w:style w:type="character" w:customStyle="1" w:styleId="241">
    <w:name w:val="Îñíîâíîé òåêñò (2)4"/>
    <w:uiPriority w:val="99"/>
    <w:rsid w:val="00BB6316"/>
    <w:rPr>
      <w:rFonts w:ascii="Arial" w:hAnsi="Arial" w:cs="Arial"/>
      <w:i/>
      <w:iCs/>
      <w:spacing w:val="-10"/>
      <w:sz w:val="16"/>
      <w:szCs w:val="16"/>
      <w:u w:val="single"/>
    </w:rPr>
  </w:style>
  <w:style w:type="character" w:customStyle="1" w:styleId="230">
    <w:name w:val="Îñíîâíîé òåêñò (2)3"/>
    <w:uiPriority w:val="99"/>
    <w:rsid w:val="00BB6316"/>
    <w:rPr>
      <w:rFonts w:ascii="Arial" w:hAnsi="Arial" w:cs="Arial"/>
      <w:i/>
      <w:iCs/>
      <w:spacing w:val="-10"/>
      <w:sz w:val="16"/>
      <w:szCs w:val="16"/>
      <w:u w:val="single"/>
    </w:rPr>
  </w:style>
  <w:style w:type="character" w:customStyle="1" w:styleId="260pt20">
    <w:name w:val="Îñíîâíîé òåêñò (2) + Íå êóðñèâ6.Èíòåðâàë 0 pt20"/>
    <w:uiPriority w:val="99"/>
    <w:rsid w:val="00BB6316"/>
    <w:rPr>
      <w:rFonts w:ascii="Arial" w:hAnsi="Arial" w:cs="Arial"/>
      <w:i/>
      <w:iCs/>
      <w:spacing w:val="0"/>
      <w:sz w:val="16"/>
      <w:szCs w:val="16"/>
    </w:rPr>
  </w:style>
  <w:style w:type="character" w:customStyle="1" w:styleId="226">
    <w:name w:val="Îñíîâíîé òåêñò (2)2"/>
    <w:uiPriority w:val="99"/>
    <w:rsid w:val="00BB6316"/>
    <w:rPr>
      <w:rFonts w:ascii="Arial" w:hAnsi="Arial" w:cs="Arial"/>
      <w:i/>
      <w:iCs/>
      <w:spacing w:val="-10"/>
      <w:sz w:val="16"/>
      <w:szCs w:val="16"/>
      <w:u w:val="single"/>
    </w:rPr>
  </w:style>
  <w:style w:type="character" w:customStyle="1" w:styleId="92">
    <w:name w:val="Îñíîâíîé òåêñò (9)_"/>
    <w:uiPriority w:val="99"/>
    <w:rsid w:val="00BB6316"/>
    <w:rPr>
      <w:rFonts w:ascii="Arial" w:hAnsi="Arial" w:cs="Arial"/>
      <w:i/>
      <w:iCs/>
      <w:sz w:val="14"/>
      <w:szCs w:val="14"/>
    </w:rPr>
  </w:style>
  <w:style w:type="paragraph" w:customStyle="1" w:styleId="910">
    <w:name w:val="Îñíîâíîé òåêñò (9)1"/>
    <w:basedOn w:val="a0"/>
    <w:uiPriority w:val="99"/>
    <w:rsid w:val="00BB6316"/>
    <w:pPr>
      <w:shd w:val="clear" w:color="auto" w:fill="FFFFFF"/>
      <w:autoSpaceDE w:val="0"/>
      <w:autoSpaceDN w:val="0"/>
      <w:adjustRightInd w:val="0"/>
      <w:spacing w:after="0" w:line="148" w:lineRule="exact"/>
      <w:ind w:hanging="2020"/>
    </w:pPr>
    <w:rPr>
      <w:rFonts w:ascii="Arial" w:hAnsi="Arial" w:cs="Arial"/>
      <w:i/>
      <w:iCs/>
      <w:noProof/>
      <w:sz w:val="14"/>
      <w:szCs w:val="14"/>
      <w:lang w:val="en-US"/>
    </w:rPr>
  </w:style>
  <w:style w:type="character" w:customStyle="1" w:styleId="59">
    <w:name w:val="Çàãîëîâîê ¹5_"/>
    <w:uiPriority w:val="99"/>
    <w:rsid w:val="00BB6316"/>
    <w:rPr>
      <w:rFonts w:ascii="Tahoma" w:hAnsi="Tahoma" w:cs="Tahoma"/>
      <w:sz w:val="31"/>
      <w:szCs w:val="31"/>
    </w:rPr>
  </w:style>
  <w:style w:type="character" w:customStyle="1" w:styleId="100pt19">
    <w:name w:val="Îñíîâíîé òåêñò + Êóðñèâ10.Èíòåðâàë 0 pt19"/>
    <w:uiPriority w:val="99"/>
    <w:rsid w:val="00BB6316"/>
    <w:rPr>
      <w:rFonts w:ascii="Arial" w:hAnsi="Arial" w:cs="Arial"/>
      <w:i/>
      <w:iCs/>
      <w:spacing w:val="-10"/>
      <w:sz w:val="16"/>
      <w:szCs w:val="16"/>
    </w:rPr>
  </w:style>
  <w:style w:type="paragraph" w:customStyle="1" w:styleId="5a">
    <w:name w:val="Çàãîëîâîê ¹5"/>
    <w:basedOn w:val="a0"/>
    <w:uiPriority w:val="99"/>
    <w:rsid w:val="00BB6316"/>
    <w:pPr>
      <w:shd w:val="clear" w:color="auto" w:fill="FFFFFF"/>
      <w:autoSpaceDE w:val="0"/>
      <w:autoSpaceDN w:val="0"/>
      <w:adjustRightInd w:val="0"/>
      <w:spacing w:after="60" w:line="240" w:lineRule="atLeast"/>
    </w:pPr>
    <w:rPr>
      <w:rFonts w:ascii="Tahoma" w:hAnsi="Tahoma" w:cs="Tahoma"/>
      <w:noProof/>
      <w:sz w:val="31"/>
      <w:szCs w:val="31"/>
      <w:lang w:val="en-US"/>
    </w:rPr>
  </w:style>
  <w:style w:type="character" w:customStyle="1" w:styleId="5b">
    <w:name w:val="Îñíîâíîé òåêñò (5)_"/>
    <w:uiPriority w:val="99"/>
    <w:rsid w:val="00BB6316"/>
    <w:rPr>
      <w:i/>
      <w:iCs/>
      <w:sz w:val="16"/>
      <w:szCs w:val="16"/>
    </w:rPr>
  </w:style>
  <w:style w:type="character" w:customStyle="1" w:styleId="5136">
    <w:name w:val="Îñíîâíîé òåêñò (5)136"/>
    <w:uiPriority w:val="99"/>
    <w:rsid w:val="00BB6316"/>
    <w:rPr>
      <w:i/>
      <w:iCs/>
      <w:sz w:val="16"/>
      <w:szCs w:val="16"/>
    </w:rPr>
  </w:style>
  <w:style w:type="character" w:customStyle="1" w:styleId="58545pt75630pt128">
    <w:name w:val="Îñíîâíîé òåêñò (5) + 854.5 pt75.Íå êóðñèâ63.Èíòåðâàë 0 pt128"/>
    <w:uiPriority w:val="99"/>
    <w:rsid w:val="00BB6316"/>
    <w:rPr>
      <w:i/>
      <w:iCs/>
      <w:spacing w:val="-10"/>
      <w:sz w:val="17"/>
      <w:szCs w:val="17"/>
    </w:rPr>
  </w:style>
  <w:style w:type="character" w:customStyle="1" w:styleId="5133">
    <w:name w:val="Îñíîâíîé òåêñò (5)133"/>
    <w:uiPriority w:val="99"/>
    <w:rsid w:val="00BB6316"/>
    <w:rPr>
      <w:rFonts w:ascii="Arial Unicode MS" w:eastAsia="Arial Unicode MS" w:cs="Arial Unicode MS"/>
      <w:i/>
      <w:iCs/>
      <w:noProof/>
      <w:sz w:val="16"/>
      <w:szCs w:val="16"/>
    </w:rPr>
  </w:style>
  <w:style w:type="character" w:customStyle="1" w:styleId="5132">
    <w:name w:val="Îñíîâíîé òåêñò (5)132"/>
    <w:uiPriority w:val="99"/>
    <w:rsid w:val="00BB6316"/>
    <w:rPr>
      <w:rFonts w:ascii="Arial Unicode MS" w:eastAsia="Arial Unicode MS" w:cs="Arial Unicode MS"/>
      <w:i/>
      <w:iCs/>
      <w:noProof/>
      <w:sz w:val="16"/>
      <w:szCs w:val="16"/>
    </w:rPr>
  </w:style>
  <w:style w:type="character" w:customStyle="1" w:styleId="5131">
    <w:name w:val="Îñíîâíîé òåêñò (5)131"/>
    <w:uiPriority w:val="99"/>
    <w:rsid w:val="00BB6316"/>
    <w:rPr>
      <w:i/>
      <w:iCs/>
      <w:sz w:val="16"/>
      <w:szCs w:val="16"/>
    </w:rPr>
  </w:style>
  <w:style w:type="character" w:customStyle="1" w:styleId="5130">
    <w:name w:val="Îñíîâíîé òåêñò (5)130"/>
    <w:uiPriority w:val="99"/>
    <w:rsid w:val="00BB6316"/>
    <w:rPr>
      <w:rFonts w:ascii="Arial Unicode MS" w:eastAsia="Arial Unicode MS" w:cs="Arial Unicode MS"/>
      <w:i/>
      <w:iCs/>
      <w:noProof/>
      <w:sz w:val="16"/>
      <w:szCs w:val="16"/>
    </w:rPr>
  </w:style>
  <w:style w:type="paragraph" w:customStyle="1" w:styleId="514">
    <w:name w:val="Îñíîâíîé òåêñò (5)1"/>
    <w:basedOn w:val="a0"/>
    <w:uiPriority w:val="99"/>
    <w:rsid w:val="00BB6316"/>
    <w:pPr>
      <w:shd w:val="clear" w:color="auto" w:fill="FFFFFF"/>
      <w:autoSpaceDE w:val="0"/>
      <w:autoSpaceDN w:val="0"/>
      <w:adjustRightInd w:val="0"/>
      <w:spacing w:after="0" w:line="186" w:lineRule="exact"/>
      <w:ind w:hanging="500"/>
    </w:pPr>
    <w:rPr>
      <w:rFonts w:ascii="Times New Roman" w:hAnsi="Times New Roman"/>
      <w:i/>
      <w:iCs/>
      <w:noProof/>
      <w:sz w:val="16"/>
      <w:szCs w:val="16"/>
      <w:lang w:val="en-US"/>
    </w:rPr>
  </w:style>
  <w:style w:type="character" w:customStyle="1" w:styleId="5117">
    <w:name w:val="Îñíîâíîé òåêñò (5)117"/>
    <w:uiPriority w:val="99"/>
    <w:rsid w:val="00BB6316"/>
    <w:rPr>
      <w:i/>
      <w:iCs/>
      <w:spacing w:val="0"/>
      <w:sz w:val="16"/>
      <w:szCs w:val="16"/>
    </w:rPr>
  </w:style>
  <w:style w:type="character" w:customStyle="1" w:styleId="5116">
    <w:name w:val="Îñíîâíîé òåêñò (5)116"/>
    <w:uiPriority w:val="99"/>
    <w:rsid w:val="00BB6316"/>
    <w:rPr>
      <w:i/>
      <w:iCs/>
      <w:spacing w:val="0"/>
      <w:sz w:val="16"/>
      <w:szCs w:val="16"/>
    </w:rPr>
  </w:style>
  <w:style w:type="character" w:customStyle="1" w:styleId="5113">
    <w:name w:val="Îñíîâíîé òåêñò (5)113"/>
    <w:uiPriority w:val="99"/>
    <w:rsid w:val="00BB6316"/>
    <w:rPr>
      <w:i/>
      <w:iCs/>
      <w:spacing w:val="0"/>
      <w:sz w:val="16"/>
      <w:szCs w:val="16"/>
      <w:u w:val="single"/>
    </w:rPr>
  </w:style>
  <w:style w:type="character" w:customStyle="1" w:styleId="5106">
    <w:name w:val="Îñíîâíîé òåêñò (5)106"/>
    <w:uiPriority w:val="99"/>
    <w:rsid w:val="00BB6316"/>
    <w:rPr>
      <w:i/>
      <w:iCs/>
      <w:spacing w:val="0"/>
      <w:sz w:val="16"/>
      <w:szCs w:val="16"/>
    </w:rPr>
  </w:style>
  <w:style w:type="character" w:customStyle="1" w:styleId="5105">
    <w:name w:val="Îñíîâíîé òåêñò (5)105"/>
    <w:uiPriority w:val="99"/>
    <w:rsid w:val="00BB6316"/>
    <w:rPr>
      <w:rFonts w:ascii="Arial Unicode MS" w:eastAsia="Arial Unicode MS" w:cs="Arial Unicode MS"/>
      <w:i/>
      <w:iCs/>
      <w:noProof/>
      <w:spacing w:val="0"/>
      <w:sz w:val="16"/>
      <w:szCs w:val="16"/>
    </w:rPr>
  </w:style>
  <w:style w:type="character" w:customStyle="1" w:styleId="5104">
    <w:name w:val="Îñíîâíîé òåêñò (5)104"/>
    <w:uiPriority w:val="99"/>
    <w:rsid w:val="00BB6316"/>
    <w:rPr>
      <w:i/>
      <w:iCs/>
      <w:spacing w:val="0"/>
      <w:sz w:val="16"/>
      <w:szCs w:val="16"/>
      <w:u w:val="single"/>
    </w:rPr>
  </w:style>
  <w:style w:type="character" w:customStyle="1" w:styleId="5103">
    <w:name w:val="Îñíîâíîé òåêñò (5)103"/>
    <w:uiPriority w:val="99"/>
    <w:rsid w:val="00BB6316"/>
    <w:rPr>
      <w:rFonts w:ascii="Arial Unicode MS" w:eastAsia="Arial Unicode MS" w:cs="Arial Unicode MS"/>
      <w:i/>
      <w:iCs/>
      <w:noProof/>
      <w:spacing w:val="0"/>
      <w:sz w:val="16"/>
      <w:szCs w:val="16"/>
    </w:rPr>
  </w:style>
  <w:style w:type="character" w:customStyle="1" w:styleId="5102">
    <w:name w:val="Îñíîâíîé òåêñò (5)102"/>
    <w:uiPriority w:val="99"/>
    <w:rsid w:val="00BB6316"/>
    <w:rPr>
      <w:rFonts w:ascii="Arial Unicode MS" w:eastAsia="Arial Unicode MS" w:cs="Arial Unicode MS"/>
      <w:i/>
      <w:iCs/>
      <w:noProof/>
      <w:spacing w:val="0"/>
      <w:sz w:val="16"/>
      <w:szCs w:val="16"/>
    </w:rPr>
  </w:style>
  <w:style w:type="character" w:customStyle="1" w:styleId="531">
    <w:name w:val="Çàãîëîâîê ¹53"/>
    <w:uiPriority w:val="99"/>
    <w:rsid w:val="00BB6316"/>
    <w:rPr>
      <w:rFonts w:ascii="Arial Unicode MS" w:eastAsia="Arial Unicode MS" w:hAnsi="Tahoma" w:cs="Arial Unicode MS"/>
      <w:i/>
      <w:iCs/>
      <w:noProof/>
      <w:sz w:val="16"/>
      <w:szCs w:val="16"/>
    </w:rPr>
  </w:style>
  <w:style w:type="character" w:customStyle="1" w:styleId="58485pt69580pt120">
    <w:name w:val="Îñíîâíîé òåêñò (5) + 848.5 pt69.Íå êóðñèâ58.Èíòåðâàë 0 pt120"/>
    <w:uiPriority w:val="99"/>
    <w:rsid w:val="00BB6316"/>
    <w:rPr>
      <w:i/>
      <w:iCs/>
      <w:spacing w:val="-10"/>
      <w:sz w:val="17"/>
      <w:szCs w:val="17"/>
    </w:rPr>
  </w:style>
  <w:style w:type="character" w:customStyle="1" w:styleId="522">
    <w:name w:val="Çàãîëîâîê ¹52"/>
    <w:uiPriority w:val="99"/>
    <w:rsid w:val="00BB6316"/>
    <w:rPr>
      <w:rFonts w:ascii="Tahoma" w:hAnsi="Tahoma" w:cs="Tahoma"/>
      <w:i/>
      <w:iCs/>
      <w:sz w:val="16"/>
      <w:szCs w:val="16"/>
      <w:u w:val="single"/>
    </w:rPr>
  </w:style>
  <w:style w:type="paragraph" w:customStyle="1" w:styleId="515">
    <w:name w:val="Çàãîëîâîê ¹51"/>
    <w:basedOn w:val="a0"/>
    <w:uiPriority w:val="99"/>
    <w:rsid w:val="00BB6316"/>
    <w:pPr>
      <w:shd w:val="clear" w:color="auto" w:fill="FFFFFF"/>
      <w:autoSpaceDE w:val="0"/>
      <w:autoSpaceDN w:val="0"/>
      <w:adjustRightInd w:val="0"/>
      <w:spacing w:after="0" w:line="211" w:lineRule="exact"/>
      <w:jc w:val="both"/>
    </w:pPr>
    <w:rPr>
      <w:rFonts w:ascii="Times New Roman" w:hAnsi="Times New Roman"/>
      <w:i/>
      <w:iCs/>
      <w:noProof/>
      <w:sz w:val="16"/>
      <w:szCs w:val="16"/>
      <w:lang w:val="en-US"/>
    </w:rPr>
  </w:style>
  <w:style w:type="character" w:customStyle="1" w:styleId="5101">
    <w:name w:val="Îñíîâíîé òåêñò (5)101"/>
    <w:uiPriority w:val="99"/>
    <w:rsid w:val="00BB6316"/>
    <w:rPr>
      <w:i/>
      <w:iCs/>
      <w:spacing w:val="0"/>
      <w:sz w:val="16"/>
      <w:szCs w:val="16"/>
    </w:rPr>
  </w:style>
  <w:style w:type="character" w:customStyle="1" w:styleId="5100">
    <w:name w:val="Îñíîâíîé òåêñò (5)100"/>
    <w:uiPriority w:val="99"/>
    <w:rsid w:val="00BB6316"/>
    <w:rPr>
      <w:rFonts w:ascii="Arial Unicode MS" w:eastAsia="Arial Unicode MS" w:cs="Arial Unicode MS"/>
      <w:i/>
      <w:iCs/>
      <w:noProof/>
      <w:spacing w:val="0"/>
      <w:sz w:val="16"/>
      <w:szCs w:val="16"/>
    </w:rPr>
  </w:style>
  <w:style w:type="character" w:customStyle="1" w:styleId="599">
    <w:name w:val="Îñíîâíîé òåêñò (5)99"/>
    <w:uiPriority w:val="99"/>
    <w:rsid w:val="00BB6316"/>
    <w:rPr>
      <w:rFonts w:ascii="Arial Unicode MS" w:eastAsia="Arial Unicode MS" w:cs="Arial Unicode MS"/>
      <w:i/>
      <w:iCs/>
      <w:noProof/>
      <w:spacing w:val="0"/>
      <w:sz w:val="16"/>
      <w:szCs w:val="16"/>
    </w:rPr>
  </w:style>
  <w:style w:type="character" w:customStyle="1" w:styleId="58475pt68570pt119">
    <w:name w:val="Îñíîâíîé òåêñò (5) + 847.5 pt68.Íå êóðñèâ57.Èíòåðâàë 0 pt119"/>
    <w:uiPriority w:val="99"/>
    <w:rsid w:val="00BB6316"/>
    <w:rPr>
      <w:i/>
      <w:iCs/>
      <w:spacing w:val="-10"/>
      <w:sz w:val="17"/>
      <w:szCs w:val="17"/>
    </w:rPr>
  </w:style>
  <w:style w:type="character" w:customStyle="1" w:styleId="598">
    <w:name w:val="Îñíîâíîé òåêñò (5)98"/>
    <w:uiPriority w:val="99"/>
    <w:rsid w:val="00BB6316"/>
    <w:rPr>
      <w:i/>
      <w:iCs/>
      <w:spacing w:val="0"/>
      <w:sz w:val="16"/>
      <w:szCs w:val="16"/>
      <w:u w:val="single"/>
    </w:rPr>
  </w:style>
  <w:style w:type="character" w:customStyle="1" w:styleId="597">
    <w:name w:val="Îñíîâíîé òåêñò (5)97"/>
    <w:uiPriority w:val="99"/>
    <w:rsid w:val="00BB6316"/>
    <w:rPr>
      <w:rFonts w:ascii="Arial Unicode MS" w:eastAsia="Arial Unicode MS" w:cs="Arial Unicode MS"/>
      <w:i/>
      <w:iCs/>
      <w:noProof/>
      <w:spacing w:val="0"/>
      <w:sz w:val="16"/>
      <w:szCs w:val="16"/>
      <w:u w:val="single"/>
    </w:rPr>
  </w:style>
  <w:style w:type="character" w:customStyle="1" w:styleId="191">
    <w:name w:val="Îñíîâíîé òåêñò (19)_"/>
    <w:uiPriority w:val="99"/>
    <w:rsid w:val="00BB6316"/>
    <w:rPr>
      <w:rFonts w:ascii="Arial Narrow" w:hAnsi="Arial Narrow" w:cs="Arial Narrow"/>
      <w:b/>
      <w:bCs/>
      <w:sz w:val="47"/>
      <w:szCs w:val="47"/>
    </w:rPr>
  </w:style>
  <w:style w:type="character" w:customStyle="1" w:styleId="4c">
    <w:name w:val="Ïîäïèñü ê êàðòèíêå (4)_"/>
    <w:uiPriority w:val="99"/>
    <w:rsid w:val="00BB6316"/>
    <w:rPr>
      <w:b/>
      <w:bCs/>
      <w:i/>
      <w:iCs/>
      <w:sz w:val="17"/>
      <w:szCs w:val="17"/>
    </w:rPr>
  </w:style>
  <w:style w:type="character" w:customStyle="1" w:styleId="4d">
    <w:name w:val="Ïîäïèñü ê êàðòèíêå (4)"/>
    <w:uiPriority w:val="99"/>
    <w:rsid w:val="00BB6316"/>
    <w:rPr>
      <w:b/>
      <w:bCs/>
      <w:i/>
      <w:iCs/>
      <w:sz w:val="17"/>
      <w:szCs w:val="17"/>
    </w:rPr>
  </w:style>
  <w:style w:type="character" w:customStyle="1" w:styleId="8pt35450pt1150">
    <w:name w:val="Îñíîâíîé òåêñò + 8 pt35.Êóðñèâ45.Èíòåðâàë 0 pt115"/>
    <w:uiPriority w:val="99"/>
    <w:rsid w:val="00BB6316"/>
    <w:rPr>
      <w:rFonts w:ascii="Microsoft Sans Serif" w:hAnsi="Microsoft Sans Serif" w:cs="Microsoft Sans Serif"/>
      <w:i/>
      <w:iCs/>
      <w:spacing w:val="0"/>
      <w:sz w:val="16"/>
      <w:szCs w:val="16"/>
    </w:rPr>
  </w:style>
  <w:style w:type="paragraph" w:customStyle="1" w:styleId="412">
    <w:name w:val="Ïîäïèñü ê êàðòèíêå (4)1"/>
    <w:basedOn w:val="a0"/>
    <w:uiPriority w:val="99"/>
    <w:rsid w:val="00BB6316"/>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3430pt1130">
    <w:name w:val="Îñíîâíîé òåêñò + 8 pt33.Êóðñèâ43.Èíòåðâàë 0 pt113"/>
    <w:uiPriority w:val="99"/>
    <w:rsid w:val="00BB6316"/>
    <w:rPr>
      <w:rFonts w:ascii="Microsoft Sans Serif" w:hAnsi="Microsoft Sans Serif" w:cs="Microsoft Sans Serif"/>
      <w:i/>
      <w:iCs/>
      <w:spacing w:val="0"/>
      <w:sz w:val="16"/>
      <w:szCs w:val="16"/>
    </w:rPr>
  </w:style>
  <w:style w:type="character" w:customStyle="1" w:styleId="8pt32420pt1120">
    <w:name w:val="Îñíîâíîé òåêñò + 8 pt32.Êóðñèâ42.Èíòåðâàë 0 pt112"/>
    <w:uiPriority w:val="99"/>
    <w:rsid w:val="00BB6316"/>
    <w:rPr>
      <w:rFonts w:ascii="Arial Unicode MS" w:eastAsia="Arial Unicode MS" w:hAnsi="Microsoft Sans Serif" w:cs="Arial Unicode MS"/>
      <w:i/>
      <w:iCs/>
      <w:noProof/>
      <w:spacing w:val="0"/>
      <w:sz w:val="16"/>
      <w:szCs w:val="16"/>
    </w:rPr>
  </w:style>
  <w:style w:type="character" w:customStyle="1" w:styleId="8pt31410pt1110">
    <w:name w:val="Îñíîâíîé òåêñò + 8 pt31.Êóðñèâ41.Èíòåðâàë 0 pt111"/>
    <w:uiPriority w:val="99"/>
    <w:rsid w:val="00BB6316"/>
    <w:rPr>
      <w:rFonts w:ascii="Arial Unicode MS" w:eastAsia="Arial Unicode MS" w:hAnsi="Microsoft Sans Serif" w:cs="Arial Unicode MS"/>
      <w:i/>
      <w:iCs/>
      <w:noProof/>
      <w:spacing w:val="0"/>
      <w:sz w:val="16"/>
      <w:szCs w:val="16"/>
    </w:rPr>
  </w:style>
  <w:style w:type="character" w:customStyle="1" w:styleId="400pt1100">
    <w:name w:val="Îñíîâíîé òåêñò + Ïîëóæèðíûé.Êóðñèâ40.Èíòåðâàë 0 pt110"/>
    <w:uiPriority w:val="99"/>
    <w:rsid w:val="00BB6316"/>
    <w:rPr>
      <w:rFonts w:ascii="Microsoft Sans Serif" w:hAnsi="Microsoft Sans Serif" w:cs="Microsoft Sans Serif"/>
      <w:b/>
      <w:bCs/>
      <w:i/>
      <w:iCs/>
      <w:spacing w:val="0"/>
      <w:sz w:val="17"/>
      <w:szCs w:val="17"/>
    </w:rPr>
  </w:style>
  <w:style w:type="character" w:customStyle="1" w:styleId="3f5">
    <w:name w:val="Îñíîâíîé òåêñò (3)_"/>
    <w:uiPriority w:val="99"/>
    <w:rsid w:val="00BB6316"/>
    <w:rPr>
      <w:b/>
      <w:bCs/>
      <w:i/>
      <w:iCs/>
      <w:sz w:val="17"/>
      <w:szCs w:val="17"/>
    </w:rPr>
  </w:style>
  <w:style w:type="character" w:customStyle="1" w:styleId="391">
    <w:name w:val="Îñíîâíîé òåêñò (3)9"/>
    <w:uiPriority w:val="99"/>
    <w:rsid w:val="00BB6316"/>
    <w:rPr>
      <w:b/>
      <w:bCs/>
      <w:i/>
      <w:iCs/>
      <w:sz w:val="17"/>
      <w:szCs w:val="17"/>
    </w:rPr>
  </w:style>
  <w:style w:type="character" w:customStyle="1" w:styleId="8pt30390pt1090">
    <w:name w:val="Îñíîâíîé òåêñò + 8 pt30.Êóðñèâ39.Èíòåðâàë 0 pt109"/>
    <w:uiPriority w:val="99"/>
    <w:rsid w:val="00BB6316"/>
    <w:rPr>
      <w:rFonts w:ascii="Microsoft Sans Serif" w:hAnsi="Microsoft Sans Serif" w:cs="Microsoft Sans Serif"/>
      <w:i/>
      <w:iCs/>
      <w:spacing w:val="0"/>
      <w:sz w:val="16"/>
      <w:szCs w:val="16"/>
    </w:rPr>
  </w:style>
  <w:style w:type="character" w:customStyle="1" w:styleId="8pt29380pt1080">
    <w:name w:val="Îñíîâíîé òåêñò + 8 pt29.Êóðñèâ38.Èíòåðâàë 0 pt108"/>
    <w:uiPriority w:val="99"/>
    <w:rsid w:val="00BB6316"/>
    <w:rPr>
      <w:rFonts w:ascii="Arial Unicode MS" w:eastAsia="Arial Unicode MS" w:hAnsi="Microsoft Sans Serif" w:cs="Arial Unicode MS"/>
      <w:i/>
      <w:iCs/>
      <w:noProof/>
      <w:spacing w:val="0"/>
      <w:sz w:val="16"/>
      <w:szCs w:val="16"/>
    </w:rPr>
  </w:style>
  <w:style w:type="character" w:customStyle="1" w:styleId="8pt28370pt1070">
    <w:name w:val="Îñíîâíîé òåêñò + 8 pt28.Êóðñèâ37.Èíòåðâàë 0 pt107"/>
    <w:uiPriority w:val="99"/>
    <w:rsid w:val="00BB6316"/>
    <w:rPr>
      <w:rFonts w:ascii="Arial Unicode MS" w:eastAsia="Arial Unicode MS" w:hAnsi="Microsoft Sans Serif" w:cs="Arial Unicode MS"/>
      <w:i/>
      <w:iCs/>
      <w:noProof/>
      <w:spacing w:val="0"/>
      <w:sz w:val="16"/>
      <w:szCs w:val="16"/>
    </w:rPr>
  </w:style>
  <w:style w:type="character" w:customStyle="1" w:styleId="8pt27360pt1060">
    <w:name w:val="Îñíîâíîé òåêñò + 8 pt27.Êóðñèâ36.Èíòåðâàë 0 pt106"/>
    <w:uiPriority w:val="99"/>
    <w:rsid w:val="00BB6316"/>
    <w:rPr>
      <w:rFonts w:ascii="Microsoft Sans Serif" w:hAnsi="Microsoft Sans Serif" w:cs="Microsoft Sans Serif"/>
      <w:i/>
      <w:iCs/>
      <w:spacing w:val="0"/>
      <w:sz w:val="16"/>
      <w:szCs w:val="16"/>
    </w:rPr>
  </w:style>
  <w:style w:type="character" w:customStyle="1" w:styleId="5790">
    <w:name w:val="Îñíîâíîé òåêñò (5)79"/>
    <w:uiPriority w:val="99"/>
    <w:rsid w:val="00BB6316"/>
    <w:rPr>
      <w:i/>
      <w:iCs/>
      <w:spacing w:val="0"/>
      <w:sz w:val="16"/>
      <w:szCs w:val="16"/>
    </w:rPr>
  </w:style>
  <w:style w:type="character" w:customStyle="1" w:styleId="5780">
    <w:name w:val="Îñíîâíîé òåêñò (5)78"/>
    <w:uiPriority w:val="99"/>
    <w:rsid w:val="00BB6316"/>
    <w:rPr>
      <w:rFonts w:ascii="Arial Unicode MS" w:eastAsia="Arial Unicode MS" w:cs="Arial Unicode MS"/>
      <w:i/>
      <w:iCs/>
      <w:noProof/>
      <w:spacing w:val="0"/>
      <w:sz w:val="16"/>
      <w:szCs w:val="16"/>
    </w:rPr>
  </w:style>
  <w:style w:type="character" w:customStyle="1" w:styleId="57pt250">
    <w:name w:val="Îñíîâíîé òåêñò (5) + 7 pt.Ïîëóæèðíûé25"/>
    <w:uiPriority w:val="99"/>
    <w:rsid w:val="00BB6316"/>
    <w:rPr>
      <w:b/>
      <w:bCs/>
      <w:i/>
      <w:iCs/>
      <w:spacing w:val="0"/>
      <w:sz w:val="14"/>
      <w:szCs w:val="14"/>
    </w:rPr>
  </w:style>
  <w:style w:type="character" w:customStyle="1" w:styleId="57pt1240">
    <w:name w:val="Îñíîâíîé òåêñò (5) + 7 pt1.Ïîëóæèðíûé24"/>
    <w:uiPriority w:val="99"/>
    <w:rsid w:val="00BB6316"/>
    <w:rPr>
      <w:b/>
      <w:bCs/>
      <w:i/>
      <w:iCs/>
      <w:spacing w:val="0"/>
      <w:sz w:val="14"/>
      <w:szCs w:val="14"/>
    </w:rPr>
  </w:style>
  <w:style w:type="character" w:customStyle="1" w:styleId="affffe">
    <w:name w:val="Ñíîñêà_"/>
    <w:uiPriority w:val="99"/>
    <w:rsid w:val="00BB6316"/>
    <w:rPr>
      <w:i/>
      <w:iCs/>
      <w:sz w:val="13"/>
      <w:szCs w:val="13"/>
    </w:rPr>
  </w:style>
  <w:style w:type="character" w:customStyle="1" w:styleId="130">
    <w:name w:val="Ñíîñêà13"/>
    <w:uiPriority w:val="99"/>
    <w:rsid w:val="00BB6316"/>
    <w:rPr>
      <w:i/>
      <w:iCs/>
      <w:sz w:val="13"/>
      <w:szCs w:val="13"/>
    </w:rPr>
  </w:style>
  <w:style w:type="character" w:customStyle="1" w:styleId="8pt25340pt1040">
    <w:name w:val="Îñíîâíîé òåêñò + 8 pt25.Êóðñèâ34.Èíòåðâàë 0 pt104"/>
    <w:uiPriority w:val="99"/>
    <w:rsid w:val="00BB6316"/>
    <w:rPr>
      <w:rFonts w:ascii="Microsoft Sans Serif" w:hAnsi="Microsoft Sans Serif" w:cs="Microsoft Sans Serif"/>
      <w:i/>
      <w:iCs/>
      <w:spacing w:val="0"/>
      <w:sz w:val="16"/>
      <w:szCs w:val="16"/>
    </w:rPr>
  </w:style>
  <w:style w:type="character" w:customStyle="1" w:styleId="8pt22310pt1010">
    <w:name w:val="Îñíîâíîé òåêñò + 8 pt22.Êóðñèâ31.Èíòåðâàë 0 pt101"/>
    <w:uiPriority w:val="99"/>
    <w:rsid w:val="00BB6316"/>
    <w:rPr>
      <w:rFonts w:ascii="Arial Unicode MS" w:eastAsia="Arial Unicode MS" w:hAnsi="Microsoft Sans Serif" w:cs="Arial Unicode MS"/>
      <w:i/>
      <w:iCs/>
      <w:noProof/>
      <w:spacing w:val="0"/>
      <w:sz w:val="16"/>
      <w:szCs w:val="16"/>
    </w:rPr>
  </w:style>
  <w:style w:type="character" w:customStyle="1" w:styleId="5770">
    <w:name w:val="Îñíîâíîé òåêñò (5)77"/>
    <w:uiPriority w:val="99"/>
    <w:rsid w:val="00BB6316"/>
    <w:rPr>
      <w:i/>
      <w:iCs/>
      <w:spacing w:val="0"/>
      <w:sz w:val="16"/>
      <w:szCs w:val="16"/>
    </w:rPr>
  </w:style>
  <w:style w:type="character" w:customStyle="1" w:styleId="5760">
    <w:name w:val="Îñíîâíîé òåêñò (5)76"/>
    <w:uiPriority w:val="99"/>
    <w:rsid w:val="00BB6316"/>
    <w:rPr>
      <w:rFonts w:ascii="Arial Unicode MS" w:eastAsia="Arial Unicode MS" w:cs="Arial Unicode MS"/>
      <w:i/>
      <w:iCs/>
      <w:noProof/>
      <w:spacing w:val="0"/>
      <w:sz w:val="16"/>
      <w:szCs w:val="16"/>
    </w:rPr>
  </w:style>
  <w:style w:type="paragraph" w:customStyle="1" w:styleId="1f6">
    <w:name w:val="Ñíîñêà1"/>
    <w:basedOn w:val="a0"/>
    <w:uiPriority w:val="99"/>
    <w:rsid w:val="00BB6316"/>
    <w:pPr>
      <w:shd w:val="clear" w:color="auto" w:fill="FFFFFF"/>
      <w:autoSpaceDE w:val="0"/>
      <w:autoSpaceDN w:val="0"/>
      <w:adjustRightInd w:val="0"/>
      <w:spacing w:after="0" w:line="168" w:lineRule="exact"/>
      <w:jc w:val="both"/>
    </w:pPr>
    <w:rPr>
      <w:rFonts w:ascii="Times New Roman" w:hAnsi="Times New Roman"/>
      <w:i/>
      <w:iCs/>
      <w:noProof/>
      <w:sz w:val="13"/>
      <w:szCs w:val="13"/>
      <w:lang w:val="en-US"/>
    </w:rPr>
  </w:style>
  <w:style w:type="paragraph" w:customStyle="1" w:styleId="610">
    <w:name w:val="Çàãîëîâîê ¹61"/>
    <w:basedOn w:val="a0"/>
    <w:uiPriority w:val="99"/>
    <w:rsid w:val="00BB6316"/>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0">
    <w:name w:val="Îñíîâíîé òåêñò + 8 pt21.Êóðñèâ30.Èíòåðâàë 0 pt98"/>
    <w:uiPriority w:val="99"/>
    <w:rsid w:val="00BB6316"/>
    <w:rPr>
      <w:rFonts w:ascii="Microsoft Sans Serif" w:hAnsi="Microsoft Sans Serif" w:cs="Microsoft Sans Serif"/>
      <w:i/>
      <w:iCs/>
      <w:spacing w:val="0"/>
      <w:sz w:val="16"/>
      <w:szCs w:val="16"/>
    </w:rPr>
  </w:style>
  <w:style w:type="character" w:customStyle="1" w:styleId="8pt20290pt970">
    <w:name w:val="Îñíîâíîé òåêñò + 8 pt20.Êóðñèâ29.Èíòåðâàë 0 pt97"/>
    <w:uiPriority w:val="99"/>
    <w:rsid w:val="00BB6316"/>
    <w:rPr>
      <w:rFonts w:ascii="Microsoft Sans Serif" w:hAnsi="Microsoft Sans Serif" w:cs="Microsoft Sans Serif"/>
      <w:i/>
      <w:iCs/>
      <w:spacing w:val="0"/>
      <w:sz w:val="16"/>
      <w:szCs w:val="16"/>
    </w:rPr>
  </w:style>
  <w:style w:type="character" w:customStyle="1" w:styleId="8pt19280pt96">
    <w:name w:val="Îñíîâíîé òåêñò + 8 pt19.Êóðñèâ28.Èíòåðâàë 0 pt96"/>
    <w:uiPriority w:val="99"/>
    <w:rsid w:val="00BB6316"/>
    <w:rPr>
      <w:rFonts w:ascii="Arial Unicode MS" w:eastAsia="Arial Unicode MS" w:hAnsi="Microsoft Sans Serif" w:cs="Arial Unicode MS"/>
      <w:i/>
      <w:iCs/>
      <w:noProof/>
      <w:spacing w:val="0"/>
      <w:sz w:val="16"/>
      <w:szCs w:val="16"/>
    </w:rPr>
  </w:style>
  <w:style w:type="character" w:customStyle="1" w:styleId="8pt18270pt950">
    <w:name w:val="Îñíîâíîé òåêñò + 8 pt18.Êóðñèâ27.Èíòåðâàë 0 pt95"/>
    <w:uiPriority w:val="99"/>
    <w:rsid w:val="00BB6316"/>
    <w:rPr>
      <w:rFonts w:ascii="Arial Unicode MS" w:eastAsia="Arial Unicode MS" w:hAnsi="Microsoft Sans Serif" w:cs="Arial Unicode MS"/>
      <w:i/>
      <w:iCs/>
      <w:noProof/>
      <w:spacing w:val="0"/>
      <w:sz w:val="16"/>
      <w:szCs w:val="16"/>
    </w:rPr>
  </w:style>
  <w:style w:type="character" w:customStyle="1" w:styleId="8pt17260pt94">
    <w:name w:val="Îñíîâíîé òåêñò + 8 pt17.Êóðñèâ26.Èíòåðâàë 0 pt94"/>
    <w:uiPriority w:val="99"/>
    <w:rsid w:val="00BB6316"/>
    <w:rPr>
      <w:rFonts w:ascii="Microsoft Sans Serif" w:hAnsi="Microsoft Sans Serif" w:cs="Microsoft Sans Serif"/>
      <w:i/>
      <w:iCs/>
      <w:spacing w:val="0"/>
      <w:sz w:val="16"/>
      <w:szCs w:val="16"/>
    </w:rPr>
  </w:style>
  <w:style w:type="character" w:customStyle="1" w:styleId="8pt16250pt93">
    <w:name w:val="Îñíîâíîé òåêñò + 8 pt16.Êóðñèâ25.Èíòåðâàë 0 pt93"/>
    <w:uiPriority w:val="99"/>
    <w:rsid w:val="00BB6316"/>
    <w:rPr>
      <w:rFonts w:ascii="Arial Unicode MS" w:eastAsia="Arial Unicode MS" w:hAnsi="Microsoft Sans Serif" w:cs="Arial Unicode MS"/>
      <w:i/>
      <w:iCs/>
      <w:noProof/>
      <w:spacing w:val="0"/>
      <w:sz w:val="16"/>
      <w:szCs w:val="16"/>
    </w:rPr>
  </w:style>
  <w:style w:type="character" w:customStyle="1" w:styleId="7pt230pt92">
    <w:name w:val="Îñíîâíîé òåêñò + 7 pt.Ïîëóæèðíûé23.Èíòåðâàë 0 pt92"/>
    <w:uiPriority w:val="99"/>
    <w:rsid w:val="00BB6316"/>
    <w:rPr>
      <w:rFonts w:ascii="Arial Unicode MS" w:eastAsia="Arial Unicode MS" w:hAnsi="Microsoft Sans Serif" w:cs="Arial Unicode MS"/>
      <w:b/>
      <w:bCs/>
      <w:spacing w:val="0"/>
      <w:sz w:val="14"/>
      <w:szCs w:val="14"/>
      <w:lang w:val="en-US"/>
    </w:rPr>
  </w:style>
  <w:style w:type="character" w:customStyle="1" w:styleId="131">
    <w:name w:val="Îñíîâíîé òåêñò (13)_"/>
    <w:uiPriority w:val="99"/>
    <w:rsid w:val="00BB6316"/>
    <w:rPr>
      <w:b/>
      <w:bCs/>
      <w:sz w:val="13"/>
      <w:szCs w:val="13"/>
    </w:rPr>
  </w:style>
  <w:style w:type="character" w:customStyle="1" w:styleId="1322">
    <w:name w:val="Îñíîâíîé òåêñò (13)22"/>
    <w:uiPriority w:val="99"/>
    <w:rsid w:val="00BB6316"/>
    <w:rPr>
      <w:b/>
      <w:bCs/>
      <w:sz w:val="13"/>
      <w:szCs w:val="13"/>
    </w:rPr>
  </w:style>
  <w:style w:type="character" w:customStyle="1" w:styleId="575">
    <w:name w:val="Îñíîâíîé òåêñò (5)75"/>
    <w:uiPriority w:val="99"/>
    <w:rsid w:val="00BB6316"/>
    <w:rPr>
      <w:i/>
      <w:iCs/>
      <w:spacing w:val="0"/>
      <w:sz w:val="16"/>
      <w:szCs w:val="16"/>
    </w:rPr>
  </w:style>
  <w:style w:type="character" w:customStyle="1" w:styleId="574">
    <w:name w:val="Îñíîâíîé òåêñò (5)74"/>
    <w:uiPriority w:val="99"/>
    <w:rsid w:val="00BB6316"/>
    <w:rPr>
      <w:rFonts w:ascii="Arial Unicode MS" w:eastAsia="Arial Unicode MS" w:cs="Arial Unicode MS"/>
      <w:i/>
      <w:iCs/>
      <w:noProof/>
      <w:spacing w:val="0"/>
      <w:sz w:val="16"/>
      <w:szCs w:val="16"/>
    </w:rPr>
  </w:style>
  <w:style w:type="character" w:customStyle="1" w:styleId="58455pt61520pt91">
    <w:name w:val="Îñíîâíîé òåêñò (5) + 845.5 pt61.Íå êóðñèâ52.Èíòåðâàë 0 pt91"/>
    <w:uiPriority w:val="99"/>
    <w:rsid w:val="00BB6316"/>
    <w:rPr>
      <w:i/>
      <w:iCs/>
      <w:spacing w:val="-10"/>
      <w:sz w:val="17"/>
      <w:szCs w:val="17"/>
    </w:rPr>
  </w:style>
  <w:style w:type="character" w:customStyle="1" w:styleId="58445pt60510pt90">
    <w:name w:val="Îñíîâíîé òåêñò (5) + 844.5 pt60.Íå êóðñèâ51.Èíòåðâàë 0 pt90"/>
    <w:uiPriority w:val="99"/>
    <w:rsid w:val="00BB6316"/>
    <w:rPr>
      <w:rFonts w:ascii="Arial Unicode MS" w:eastAsia="Arial Unicode MS" w:cs="Arial Unicode MS"/>
      <w:i/>
      <w:iCs/>
      <w:noProof/>
      <w:spacing w:val="-10"/>
      <w:sz w:val="17"/>
      <w:szCs w:val="17"/>
    </w:rPr>
  </w:style>
  <w:style w:type="paragraph" w:customStyle="1" w:styleId="1310">
    <w:name w:val="Îñíîâíîé òåêñò (13)1"/>
    <w:basedOn w:val="a0"/>
    <w:uiPriority w:val="99"/>
    <w:rsid w:val="00BB6316"/>
    <w:pPr>
      <w:shd w:val="clear" w:color="auto" w:fill="FFFFFF"/>
      <w:autoSpaceDE w:val="0"/>
      <w:autoSpaceDN w:val="0"/>
      <w:adjustRightInd w:val="0"/>
      <w:spacing w:before="120" w:after="0" w:line="168" w:lineRule="exact"/>
    </w:pPr>
    <w:rPr>
      <w:rFonts w:ascii="Times New Roman" w:hAnsi="Times New Roman"/>
      <w:b/>
      <w:bCs/>
      <w:noProof/>
      <w:sz w:val="13"/>
      <w:szCs w:val="13"/>
      <w:lang w:val="en-US"/>
    </w:rPr>
  </w:style>
  <w:style w:type="character" w:customStyle="1" w:styleId="58435pt59500pt89">
    <w:name w:val="Îñíîâíîé òåêñò (5) + 843.5 pt59.Íå êóðñèâ50.Èíòåðâàë 0 pt89"/>
    <w:uiPriority w:val="99"/>
    <w:rsid w:val="00BB6316"/>
    <w:rPr>
      <w:i/>
      <w:iCs/>
      <w:spacing w:val="-10"/>
      <w:sz w:val="17"/>
      <w:szCs w:val="17"/>
    </w:rPr>
  </w:style>
  <w:style w:type="character" w:customStyle="1" w:styleId="573">
    <w:name w:val="Îñíîâíîé òåêñò (5)73"/>
    <w:uiPriority w:val="99"/>
    <w:rsid w:val="00BB6316"/>
    <w:rPr>
      <w:i/>
      <w:iCs/>
      <w:spacing w:val="0"/>
      <w:sz w:val="16"/>
      <w:szCs w:val="16"/>
    </w:rPr>
  </w:style>
  <w:style w:type="character" w:customStyle="1" w:styleId="572">
    <w:name w:val="Îñíîâíîé òåêñò (5)72"/>
    <w:uiPriority w:val="99"/>
    <w:rsid w:val="00BB6316"/>
    <w:rPr>
      <w:rFonts w:ascii="Arial Unicode MS" w:eastAsia="Arial Unicode MS" w:cs="Arial Unicode MS"/>
      <w:i/>
      <w:iCs/>
      <w:noProof/>
      <w:spacing w:val="0"/>
      <w:sz w:val="16"/>
      <w:szCs w:val="16"/>
    </w:rPr>
  </w:style>
  <w:style w:type="character" w:customStyle="1" w:styleId="58425pt58490pt88">
    <w:name w:val="Îñíîâíîé òåêñò (5) + 842.5 pt58.Íå êóðñèâ49.Èíòåðâàë 0 pt88"/>
    <w:uiPriority w:val="99"/>
    <w:rsid w:val="00BB6316"/>
    <w:rPr>
      <w:rFonts w:ascii="Arial Unicode MS" w:eastAsia="Arial Unicode MS" w:cs="Arial Unicode MS"/>
      <w:i/>
      <w:iCs/>
      <w:noProof/>
      <w:spacing w:val="-10"/>
      <w:sz w:val="17"/>
      <w:szCs w:val="17"/>
    </w:rPr>
  </w:style>
  <w:style w:type="character" w:customStyle="1" w:styleId="571">
    <w:name w:val="Îñíîâíîé òåêñò (5)71"/>
    <w:uiPriority w:val="99"/>
    <w:rsid w:val="00BB6316"/>
    <w:rPr>
      <w:i/>
      <w:iCs/>
      <w:spacing w:val="0"/>
      <w:sz w:val="16"/>
      <w:szCs w:val="16"/>
    </w:rPr>
  </w:style>
  <w:style w:type="character" w:customStyle="1" w:styleId="5700">
    <w:name w:val="Îñíîâíîé òåêñò (5)70"/>
    <w:uiPriority w:val="99"/>
    <w:rsid w:val="00BB6316"/>
    <w:rPr>
      <w:rFonts w:ascii="Arial Unicode MS" w:eastAsia="Arial Unicode MS" w:cs="Arial Unicode MS"/>
      <w:i/>
      <w:iCs/>
      <w:noProof/>
      <w:spacing w:val="0"/>
      <w:sz w:val="16"/>
      <w:szCs w:val="16"/>
    </w:rPr>
  </w:style>
  <w:style w:type="character" w:customStyle="1" w:styleId="58415pt5722">
    <w:name w:val="Îñíîâíîé òåêñò (5) + 841.5 pt57.Ïîëóæèðíûé22"/>
    <w:uiPriority w:val="99"/>
    <w:rsid w:val="00BB6316"/>
    <w:rPr>
      <w:b/>
      <w:bCs/>
      <w:i/>
      <w:iCs/>
      <w:spacing w:val="0"/>
      <w:sz w:val="17"/>
      <w:szCs w:val="17"/>
    </w:rPr>
  </w:style>
  <w:style w:type="character" w:customStyle="1" w:styleId="204">
    <w:name w:val="Îñíîâíîé òåêñò (20)_"/>
    <w:uiPriority w:val="99"/>
    <w:rsid w:val="00BB6316"/>
    <w:rPr>
      <w:b/>
      <w:bCs/>
      <w:i/>
      <w:iCs/>
      <w:sz w:val="15"/>
      <w:szCs w:val="15"/>
    </w:rPr>
  </w:style>
  <w:style w:type="character" w:customStyle="1" w:styleId="205">
    <w:name w:val="Îñíîâíîé òåêñò (20)"/>
    <w:uiPriority w:val="99"/>
    <w:rsid w:val="00BB6316"/>
    <w:rPr>
      <w:b/>
      <w:bCs/>
      <w:i/>
      <w:iCs/>
      <w:sz w:val="15"/>
      <w:szCs w:val="15"/>
    </w:rPr>
  </w:style>
  <w:style w:type="character" w:customStyle="1" w:styleId="2030">
    <w:name w:val="Îñíîâíîé òåêñò (20)3"/>
    <w:uiPriority w:val="99"/>
    <w:rsid w:val="00BB6316"/>
    <w:rPr>
      <w:rFonts w:ascii="Arial Unicode MS" w:eastAsia="Arial Unicode MS" w:cs="Arial Unicode MS"/>
      <w:b/>
      <w:bCs/>
      <w:i/>
      <w:iCs/>
      <w:noProof/>
      <w:sz w:val="15"/>
      <w:szCs w:val="15"/>
    </w:rPr>
  </w:style>
  <w:style w:type="character" w:customStyle="1" w:styleId="208pt4">
    <w:name w:val="Îñíîâíîé òåêñò (20) + 8 pt.Íå ïîëóæèðíûé4"/>
    <w:uiPriority w:val="99"/>
    <w:rsid w:val="00BB6316"/>
    <w:rPr>
      <w:rFonts w:ascii="Arial Unicode MS" w:eastAsia="Arial Unicode MS" w:cs="Arial Unicode MS"/>
      <w:b/>
      <w:bCs/>
      <w:i/>
      <w:iCs/>
      <w:noProof/>
      <w:sz w:val="16"/>
      <w:szCs w:val="16"/>
    </w:rPr>
  </w:style>
  <w:style w:type="character" w:customStyle="1" w:styleId="2020">
    <w:name w:val="Îñíîâíîé òåêñò (20)2"/>
    <w:uiPriority w:val="99"/>
    <w:rsid w:val="00BB6316"/>
    <w:rPr>
      <w:b/>
      <w:bCs/>
      <w:i/>
      <w:iCs/>
      <w:sz w:val="15"/>
      <w:szCs w:val="15"/>
    </w:rPr>
  </w:style>
  <w:style w:type="character" w:customStyle="1" w:styleId="2040">
    <w:name w:val="Îñíîâíîé òåêñò (20) + Íå ïîëóæèðíûé.Ìàëûå ïðîïèñíûå4"/>
    <w:uiPriority w:val="99"/>
    <w:rsid w:val="00BB6316"/>
    <w:rPr>
      <w:b/>
      <w:bCs/>
      <w:i/>
      <w:iCs/>
      <w:smallCaps/>
      <w:sz w:val="15"/>
      <w:szCs w:val="15"/>
    </w:rPr>
  </w:style>
  <w:style w:type="paragraph" w:customStyle="1" w:styleId="2011">
    <w:name w:val="Îñíîâíîé òåêñò (20)1"/>
    <w:basedOn w:val="a0"/>
    <w:uiPriority w:val="99"/>
    <w:rsid w:val="00BB6316"/>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431">
    <w:name w:val="Îñíîâíîé òåêñò (4) + Íå êóðñèâ3"/>
    <w:uiPriority w:val="99"/>
    <w:rsid w:val="00BB6316"/>
    <w:rPr>
      <w:rFonts w:ascii="Microsoft Sans Serif" w:hAnsi="Microsoft Sans Serif" w:cs="Microsoft Sans Serif"/>
      <w:i/>
      <w:iCs/>
      <w:sz w:val="15"/>
      <w:szCs w:val="15"/>
    </w:rPr>
  </w:style>
  <w:style w:type="character" w:customStyle="1" w:styleId="490">
    <w:name w:val="Îñíîâíîé òåêñò (4)9"/>
    <w:uiPriority w:val="99"/>
    <w:rsid w:val="00BB6316"/>
    <w:rPr>
      <w:rFonts w:ascii="Microsoft Sans Serif" w:hAnsi="Microsoft Sans Serif" w:cs="Microsoft Sans Serif"/>
      <w:i/>
      <w:iCs/>
      <w:sz w:val="15"/>
      <w:szCs w:val="15"/>
      <w:u w:val="single"/>
    </w:rPr>
  </w:style>
  <w:style w:type="character" w:customStyle="1" w:styleId="480">
    <w:name w:val="Îñíîâíîé òåêñò (4)8"/>
    <w:uiPriority w:val="99"/>
    <w:rsid w:val="00BB6316"/>
    <w:rPr>
      <w:rFonts w:ascii="Microsoft Sans Serif" w:hAnsi="Microsoft Sans Serif" w:cs="Microsoft Sans Serif"/>
      <w:i/>
      <w:iCs/>
      <w:sz w:val="15"/>
      <w:szCs w:val="15"/>
      <w:u w:val="single"/>
    </w:rPr>
  </w:style>
  <w:style w:type="character" w:customStyle="1" w:styleId="440">
    <w:name w:val="Îñíîâíîé òåêñò (4) + Íå êóðñèâ4"/>
    <w:uiPriority w:val="99"/>
    <w:rsid w:val="00BB6316"/>
    <w:rPr>
      <w:rFonts w:ascii="Microsoft Sans Serif" w:hAnsi="Microsoft Sans Serif" w:cs="Microsoft Sans Serif"/>
      <w:i/>
      <w:iCs/>
      <w:sz w:val="15"/>
      <w:szCs w:val="15"/>
    </w:rPr>
  </w:style>
  <w:style w:type="character" w:customStyle="1" w:styleId="470">
    <w:name w:val="Îñíîâíîé òåêñò (4)7"/>
    <w:uiPriority w:val="99"/>
    <w:rsid w:val="00BB6316"/>
    <w:rPr>
      <w:rFonts w:ascii="Microsoft Sans Serif" w:hAnsi="Microsoft Sans Serif" w:cs="Microsoft Sans Serif"/>
      <w:i/>
      <w:iCs/>
      <w:sz w:val="15"/>
      <w:szCs w:val="15"/>
      <w:u w:val="single"/>
    </w:rPr>
  </w:style>
  <w:style w:type="character" w:customStyle="1" w:styleId="460">
    <w:name w:val="Îñíîâíîé òåêñò (4)6"/>
    <w:uiPriority w:val="99"/>
    <w:rsid w:val="00BB6316"/>
    <w:rPr>
      <w:rFonts w:ascii="Microsoft Sans Serif" w:hAnsi="Microsoft Sans Serif" w:cs="Microsoft Sans Serif"/>
      <w:i/>
      <w:iCs/>
      <w:sz w:val="15"/>
      <w:szCs w:val="15"/>
      <w:u w:val="single"/>
    </w:rPr>
  </w:style>
  <w:style w:type="character" w:customStyle="1" w:styleId="421">
    <w:name w:val="Îñíîâíîé òåêñò (4) + Íå êóðñèâ2"/>
    <w:uiPriority w:val="99"/>
    <w:rsid w:val="00BB6316"/>
    <w:rPr>
      <w:rFonts w:ascii="Microsoft Sans Serif" w:hAnsi="Microsoft Sans Serif" w:cs="Microsoft Sans Serif"/>
      <w:i/>
      <w:iCs/>
      <w:sz w:val="15"/>
      <w:szCs w:val="15"/>
    </w:rPr>
  </w:style>
  <w:style w:type="character" w:customStyle="1" w:styleId="450">
    <w:name w:val="Îñíîâíîé òåêñò (4)5"/>
    <w:uiPriority w:val="99"/>
    <w:rsid w:val="00BB6316"/>
    <w:rPr>
      <w:rFonts w:ascii="Microsoft Sans Serif" w:hAnsi="Microsoft Sans Serif" w:cs="Microsoft Sans Serif"/>
      <w:i/>
      <w:iCs/>
      <w:sz w:val="15"/>
      <w:szCs w:val="15"/>
      <w:u w:val="single"/>
    </w:rPr>
  </w:style>
  <w:style w:type="character" w:customStyle="1" w:styleId="465pt15122">
    <w:name w:val="Îñíîâíîé òåêñò (4) + 6.5 pt15.Ïîëóæèðíûé12.Íå êóðñèâ2"/>
    <w:uiPriority w:val="99"/>
    <w:rsid w:val="00BB6316"/>
    <w:rPr>
      <w:rFonts w:ascii="Microsoft Sans Serif" w:hAnsi="Microsoft Sans Serif" w:cs="Microsoft Sans Serif"/>
      <w:b/>
      <w:bCs/>
      <w:i/>
      <w:iCs/>
      <w:sz w:val="13"/>
      <w:szCs w:val="13"/>
    </w:rPr>
  </w:style>
  <w:style w:type="character" w:customStyle="1" w:styleId="441">
    <w:name w:val="Îñíîâíîé òåêñò (4)4"/>
    <w:uiPriority w:val="99"/>
    <w:rsid w:val="00BB6316"/>
    <w:rPr>
      <w:rFonts w:ascii="Microsoft Sans Serif" w:hAnsi="Microsoft Sans Serif" w:cs="Microsoft Sans Serif"/>
      <w:i/>
      <w:iCs/>
      <w:sz w:val="15"/>
      <w:szCs w:val="15"/>
      <w:u w:val="single"/>
    </w:rPr>
  </w:style>
  <w:style w:type="character" w:customStyle="1" w:styleId="432">
    <w:name w:val="Îñíîâíîé òåêñò (4)3"/>
    <w:uiPriority w:val="99"/>
    <w:rsid w:val="00BB6316"/>
    <w:rPr>
      <w:rFonts w:ascii="Microsoft Sans Serif" w:hAnsi="Microsoft Sans Serif" w:cs="Microsoft Sans Serif"/>
      <w:i/>
      <w:iCs/>
      <w:sz w:val="15"/>
      <w:szCs w:val="15"/>
      <w:u w:val="single"/>
    </w:rPr>
  </w:style>
  <w:style w:type="character" w:customStyle="1" w:styleId="413">
    <w:name w:val="Îñíîâíîé òåêñò (4) + Íå êóðñèâ1"/>
    <w:uiPriority w:val="99"/>
    <w:rsid w:val="00BB6316"/>
    <w:rPr>
      <w:rFonts w:ascii="Microsoft Sans Serif" w:hAnsi="Microsoft Sans Serif" w:cs="Microsoft Sans Serif"/>
      <w:i/>
      <w:iCs/>
      <w:sz w:val="15"/>
      <w:szCs w:val="15"/>
    </w:rPr>
  </w:style>
  <w:style w:type="character" w:customStyle="1" w:styleId="4-1pt">
    <w:name w:val="Îñíîâíîé òåêñò (4) + Èíòåðâàë -1 pt"/>
    <w:uiPriority w:val="99"/>
    <w:rsid w:val="00BB6316"/>
    <w:rPr>
      <w:rFonts w:ascii="Microsoft Sans Serif" w:hAnsi="Microsoft Sans Serif" w:cs="Microsoft Sans Serif"/>
      <w:i/>
      <w:iCs/>
      <w:spacing w:val="-20"/>
      <w:sz w:val="15"/>
      <w:szCs w:val="15"/>
    </w:rPr>
  </w:style>
  <w:style w:type="character" w:customStyle="1" w:styleId="3f6">
    <w:name w:val="Îñíîâíîé òåêñò + Êóðñèâ3"/>
    <w:uiPriority w:val="99"/>
    <w:rsid w:val="00BB6316"/>
    <w:rPr>
      <w:rFonts w:ascii="Microsoft Sans Serif" w:hAnsi="Microsoft Sans Serif" w:cs="Microsoft Sans Serif"/>
      <w:i/>
      <w:iCs/>
      <w:sz w:val="15"/>
      <w:szCs w:val="15"/>
    </w:rPr>
  </w:style>
  <w:style w:type="character" w:customStyle="1" w:styleId="2f6">
    <w:name w:val="Îñíîâíîé òåêñò + Êóðñèâ2"/>
    <w:uiPriority w:val="99"/>
    <w:rsid w:val="00BB6316"/>
    <w:rPr>
      <w:rFonts w:ascii="Microsoft Sans Serif" w:hAnsi="Microsoft Sans Serif" w:cs="Microsoft Sans Serif"/>
      <w:i/>
      <w:iCs/>
      <w:sz w:val="15"/>
      <w:szCs w:val="15"/>
    </w:rPr>
  </w:style>
  <w:style w:type="paragraph" w:customStyle="1" w:styleId="83">
    <w:name w:val="Çàãîëîâîê ¹8"/>
    <w:basedOn w:val="a0"/>
    <w:uiPriority w:val="99"/>
    <w:rsid w:val="00BB6316"/>
    <w:pPr>
      <w:shd w:val="clear" w:color="auto" w:fill="FFFFFF"/>
      <w:autoSpaceDE w:val="0"/>
      <w:autoSpaceDN w:val="0"/>
      <w:adjustRightInd w:val="0"/>
      <w:spacing w:before="180" w:after="0" w:line="211" w:lineRule="exact"/>
    </w:pPr>
    <w:rPr>
      <w:rFonts w:ascii="Microsoft Sans Serif" w:hAnsi="Microsoft Sans Serif" w:cs="Microsoft Sans Serif"/>
      <w:b/>
      <w:bCs/>
      <w:noProof/>
      <w:sz w:val="17"/>
      <w:szCs w:val="17"/>
      <w:lang w:val="en-US"/>
    </w:rPr>
  </w:style>
  <w:style w:type="paragraph" w:customStyle="1" w:styleId="215">
    <w:name w:val="Îñíîâíîé òåêñò (21)"/>
    <w:basedOn w:val="a0"/>
    <w:uiPriority w:val="99"/>
    <w:rsid w:val="00BB6316"/>
    <w:pPr>
      <w:shd w:val="clear" w:color="auto" w:fill="FFFFFF"/>
      <w:autoSpaceDE w:val="0"/>
      <w:autoSpaceDN w:val="0"/>
      <w:adjustRightInd w:val="0"/>
      <w:spacing w:after="120" w:line="211" w:lineRule="exact"/>
      <w:ind w:firstLine="280"/>
      <w:jc w:val="both"/>
    </w:pPr>
    <w:rPr>
      <w:rFonts w:ascii="Microsoft Sans Serif" w:hAnsi="Microsoft Sans Serif" w:cs="Microsoft Sans Serif"/>
      <w:b/>
      <w:bCs/>
      <w:i/>
      <w:iCs/>
      <w:noProof/>
      <w:sz w:val="16"/>
      <w:szCs w:val="16"/>
      <w:lang w:val="en-US"/>
    </w:rPr>
  </w:style>
  <w:style w:type="paragraph" w:customStyle="1" w:styleId="1210">
    <w:name w:val="Îñíîâíîé òåêñò (12)1"/>
    <w:basedOn w:val="a0"/>
    <w:uiPriority w:val="99"/>
    <w:rsid w:val="00BB6316"/>
    <w:pPr>
      <w:shd w:val="clear" w:color="auto" w:fill="FFFFFF"/>
      <w:autoSpaceDE w:val="0"/>
      <w:autoSpaceDN w:val="0"/>
      <w:adjustRightInd w:val="0"/>
      <w:spacing w:before="420" w:after="0" w:line="206" w:lineRule="exact"/>
      <w:jc w:val="both"/>
    </w:pPr>
    <w:rPr>
      <w:rFonts w:ascii="Microsoft Sans Serif" w:hAnsi="Microsoft Sans Serif" w:cs="Microsoft Sans Serif"/>
      <w:i/>
      <w:iCs/>
      <w:noProof/>
      <w:sz w:val="16"/>
      <w:szCs w:val="16"/>
      <w:lang w:val="en-US"/>
    </w:rPr>
  </w:style>
  <w:style w:type="character" w:customStyle="1" w:styleId="200pt65">
    <w:name w:val="Îñíîâíîé òåêñò (20) + Íå êóðñèâ.Èíòåðâàë 0 pt65"/>
    <w:uiPriority w:val="99"/>
    <w:rsid w:val="00BB6316"/>
    <w:rPr>
      <w:rFonts w:ascii="Lucida Sans Unicode" w:hAnsi="Lucida Sans Unicode" w:cs="Lucida Sans Unicode"/>
      <w:i/>
      <w:iCs/>
      <w:spacing w:val="-10"/>
      <w:sz w:val="16"/>
      <w:szCs w:val="16"/>
    </w:rPr>
  </w:style>
  <w:style w:type="character" w:customStyle="1" w:styleId="160pt64">
    <w:name w:val="Îñíîâíîé òåêñò + Êóðñèâ16.Èíòåðâàë 0 pt64"/>
    <w:uiPriority w:val="99"/>
    <w:rsid w:val="00BB6316"/>
    <w:rPr>
      <w:rFonts w:ascii="Lucida Sans Unicode" w:hAnsi="Lucida Sans Unicode" w:cs="Lucida Sans Unicode"/>
      <w:i/>
      <w:iCs/>
      <w:spacing w:val="0"/>
      <w:sz w:val="16"/>
      <w:szCs w:val="16"/>
    </w:rPr>
  </w:style>
  <w:style w:type="character" w:customStyle="1" w:styleId="20160pt63">
    <w:name w:val="Îñíîâíîé òåêñò (20) + Íå êóðñèâ16.Èíòåðâàë 0 pt63"/>
    <w:uiPriority w:val="99"/>
    <w:rsid w:val="00BB6316"/>
    <w:rPr>
      <w:rFonts w:ascii="Lucida Sans Unicode" w:hAnsi="Lucida Sans Unicode" w:cs="Lucida Sans Unicode"/>
      <w:i/>
      <w:iCs/>
      <w:spacing w:val="-10"/>
      <w:sz w:val="16"/>
      <w:szCs w:val="16"/>
    </w:rPr>
  </w:style>
  <w:style w:type="character" w:customStyle="1" w:styleId="206">
    <w:name w:val="Îñíîâíîé òåêñò (20)6"/>
    <w:uiPriority w:val="99"/>
    <w:rsid w:val="00BB6316"/>
    <w:rPr>
      <w:rFonts w:ascii="Lucida Sans Unicode" w:hAnsi="Lucida Sans Unicode" w:cs="Lucida Sans Unicode"/>
      <w:b/>
      <w:bCs/>
      <w:i/>
      <w:iCs/>
      <w:sz w:val="16"/>
      <w:szCs w:val="16"/>
      <w:u w:val="single"/>
    </w:rPr>
  </w:style>
  <w:style w:type="character" w:customStyle="1" w:styleId="20140pt59">
    <w:name w:val="Îñíîâíîé òåêñò (20) + Íå êóðñèâ14.Èíòåðâàë 0 pt59"/>
    <w:uiPriority w:val="99"/>
    <w:rsid w:val="00BB6316"/>
    <w:rPr>
      <w:rFonts w:ascii="Lucida Sans Unicode" w:hAnsi="Lucida Sans Unicode" w:cs="Lucida Sans Unicode"/>
      <w:b/>
      <w:bCs/>
      <w:i/>
      <w:iCs/>
      <w:spacing w:val="-10"/>
      <w:sz w:val="16"/>
      <w:szCs w:val="16"/>
    </w:rPr>
  </w:style>
  <w:style w:type="character" w:customStyle="1" w:styleId="140pt58">
    <w:name w:val="Îñíîâíîé òåêñò + Êóðñèâ14.Èíòåðâàë 0 pt58"/>
    <w:uiPriority w:val="99"/>
    <w:rsid w:val="00BB6316"/>
    <w:rPr>
      <w:rFonts w:ascii="Lucida Sans Unicode" w:hAnsi="Lucida Sans Unicode" w:cs="Lucida Sans Unicode"/>
      <w:i/>
      <w:iCs/>
      <w:spacing w:val="0"/>
      <w:sz w:val="16"/>
      <w:szCs w:val="16"/>
    </w:rPr>
  </w:style>
  <w:style w:type="character" w:customStyle="1" w:styleId="MSMincho">
    <w:name w:val="Îñíîâíîé òåêñò + MS Mincho"/>
    <w:uiPriority w:val="99"/>
    <w:rsid w:val="00BB6316"/>
    <w:rPr>
      <w:rFonts w:ascii="MS Mincho" w:eastAsia="MS Mincho" w:hAnsi="Microsoft Sans Serif" w:cs="MS Mincho"/>
      <w:spacing w:val="-10"/>
      <w:sz w:val="16"/>
      <w:szCs w:val="16"/>
    </w:rPr>
  </w:style>
  <w:style w:type="character" w:customStyle="1" w:styleId="20130pt57">
    <w:name w:val="Îñíîâíîé òåêñò (20) + Íå êóðñèâ13.Èíòåðâàë 0 pt57"/>
    <w:uiPriority w:val="99"/>
    <w:rsid w:val="00BB6316"/>
    <w:rPr>
      <w:rFonts w:ascii="Lucida Sans Unicode" w:hAnsi="Lucida Sans Unicode" w:cs="Lucida Sans Unicode"/>
      <w:b/>
      <w:bCs/>
      <w:i/>
      <w:iCs/>
      <w:spacing w:val="-10"/>
      <w:sz w:val="16"/>
      <w:szCs w:val="16"/>
    </w:rPr>
  </w:style>
  <w:style w:type="character" w:customStyle="1" w:styleId="2050">
    <w:name w:val="Îñíîâíîé òåêñò (20)5"/>
    <w:uiPriority w:val="99"/>
    <w:rsid w:val="00BB6316"/>
    <w:rPr>
      <w:rFonts w:ascii="Lucida Sans Unicode" w:hAnsi="Lucida Sans Unicode" w:cs="Lucida Sans Unicode"/>
      <w:b/>
      <w:bCs/>
      <w:i/>
      <w:iCs/>
      <w:sz w:val="16"/>
      <w:szCs w:val="16"/>
      <w:u w:val="single"/>
    </w:rPr>
  </w:style>
  <w:style w:type="character" w:customStyle="1" w:styleId="2041">
    <w:name w:val="Îñíîâíîé òåêñò (20)4"/>
    <w:uiPriority w:val="99"/>
    <w:rsid w:val="00BB6316"/>
    <w:rPr>
      <w:rFonts w:ascii="Lucida Sans Unicode" w:hAnsi="Lucida Sans Unicode" w:cs="Lucida Sans Unicode"/>
      <w:b/>
      <w:bCs/>
      <w:i/>
      <w:iCs/>
      <w:sz w:val="16"/>
      <w:szCs w:val="16"/>
      <w:u w:val="single"/>
    </w:rPr>
  </w:style>
  <w:style w:type="character" w:customStyle="1" w:styleId="20120pt56">
    <w:name w:val="Îñíîâíîé òåêñò (20) + Íå êóðñèâ12.Èíòåðâàë 0 pt56"/>
    <w:uiPriority w:val="99"/>
    <w:rsid w:val="00BB6316"/>
    <w:rPr>
      <w:rFonts w:ascii="Lucida Sans Unicode" w:hAnsi="Lucida Sans Unicode" w:cs="Lucida Sans Unicode"/>
      <w:b/>
      <w:bCs/>
      <w:i/>
      <w:iCs/>
      <w:spacing w:val="-10"/>
      <w:sz w:val="16"/>
      <w:szCs w:val="16"/>
    </w:rPr>
  </w:style>
  <w:style w:type="character" w:customStyle="1" w:styleId="20MSMincho30pt55">
    <w:name w:val="Îñíîâíîé òåêñò (20) + MS Mincho.Íå êóðñèâ3.Èíòåðâàë 0 pt55"/>
    <w:uiPriority w:val="99"/>
    <w:rsid w:val="00BB6316"/>
    <w:rPr>
      <w:rFonts w:ascii="MS Mincho" w:eastAsia="MS Mincho" w:cs="MS Mincho"/>
      <w:b/>
      <w:bCs/>
      <w:i/>
      <w:iCs/>
      <w:spacing w:val="-10"/>
      <w:sz w:val="16"/>
      <w:szCs w:val="16"/>
    </w:rPr>
  </w:style>
  <w:style w:type="character" w:customStyle="1" w:styleId="1420">
    <w:name w:val="Îñíîâíîé òåêñò (14)2"/>
    <w:uiPriority w:val="99"/>
    <w:rsid w:val="00BB6316"/>
    <w:rPr>
      <w:rFonts w:ascii="Lucida Sans Unicode" w:hAnsi="Lucida Sans Unicode" w:cs="Lucida Sans Unicode"/>
      <w:spacing w:val="-10"/>
      <w:sz w:val="13"/>
      <w:szCs w:val="13"/>
      <w:u w:val="single"/>
    </w:rPr>
  </w:style>
  <w:style w:type="character" w:customStyle="1" w:styleId="20110pt54">
    <w:name w:val="Îñíîâíîé òåêñò (20) + Íå êóðñèâ11.Èíòåðâàë 0 pt54"/>
    <w:uiPriority w:val="99"/>
    <w:rsid w:val="00BB6316"/>
    <w:rPr>
      <w:rFonts w:ascii="Lucida Sans Unicode" w:hAnsi="Lucida Sans Unicode" w:cs="Lucida Sans Unicode"/>
      <w:b/>
      <w:bCs/>
      <w:i/>
      <w:iCs/>
      <w:spacing w:val="-10"/>
      <w:sz w:val="16"/>
      <w:szCs w:val="16"/>
    </w:rPr>
  </w:style>
  <w:style w:type="character" w:customStyle="1" w:styleId="720pt41">
    <w:name w:val="Îñíîâíîé òåêñò (7) + Íå êóðñèâ2.Èíòåðâàë 0 pt41"/>
    <w:uiPriority w:val="99"/>
    <w:rsid w:val="00BB6316"/>
    <w:rPr>
      <w:rFonts w:ascii="Lucida Sans Unicode" w:hAnsi="Lucida Sans Unicode" w:cs="Lucida Sans Unicode"/>
      <w:i/>
      <w:iCs/>
      <w:spacing w:val="-10"/>
      <w:sz w:val="13"/>
      <w:szCs w:val="13"/>
    </w:rPr>
  </w:style>
  <w:style w:type="character" w:customStyle="1" w:styleId="2090pt380">
    <w:name w:val="Îñíîâíîé òåêñò (20) + Íå êóðñèâ9.Èíòåðâàë 0 pt38"/>
    <w:uiPriority w:val="99"/>
    <w:rsid w:val="00BB6316"/>
    <w:rPr>
      <w:rFonts w:ascii="Lucida Sans Unicode" w:hAnsi="Lucida Sans Unicode" w:cs="Lucida Sans Unicode"/>
      <w:b/>
      <w:bCs/>
      <w:i/>
      <w:iCs/>
      <w:spacing w:val="-10"/>
      <w:sz w:val="16"/>
      <w:szCs w:val="16"/>
    </w:rPr>
  </w:style>
  <w:style w:type="character" w:customStyle="1" w:styleId="6pt20">
    <w:name w:val="Îñíîâíîé òåêñò + 6 pt2"/>
    <w:uiPriority w:val="99"/>
    <w:rsid w:val="00BB6316"/>
    <w:rPr>
      <w:rFonts w:ascii="Lucida Sans Unicode" w:hAnsi="Lucida Sans Unicode" w:cs="Lucida Sans Unicode"/>
      <w:spacing w:val="-10"/>
      <w:sz w:val="12"/>
      <w:szCs w:val="12"/>
    </w:rPr>
  </w:style>
  <w:style w:type="character" w:customStyle="1" w:styleId="70pt370">
    <w:name w:val="Îñíîâíîé òåêñò + Êóðñèâ7.Èíòåðâàë 0 pt37"/>
    <w:uiPriority w:val="99"/>
    <w:rsid w:val="00BB6316"/>
    <w:rPr>
      <w:rFonts w:ascii="Lucida Sans Unicode" w:hAnsi="Lucida Sans Unicode" w:cs="Lucida Sans Unicode"/>
      <w:i/>
      <w:iCs/>
      <w:spacing w:val="0"/>
      <w:sz w:val="16"/>
      <w:szCs w:val="16"/>
    </w:rPr>
  </w:style>
  <w:style w:type="character" w:customStyle="1" w:styleId="60pt360">
    <w:name w:val="Îñíîâíîé òåêñò + Êóðñèâ6.Èíòåðâàë 0 pt36"/>
    <w:uiPriority w:val="99"/>
    <w:rsid w:val="00BB6316"/>
    <w:rPr>
      <w:rFonts w:ascii="Lucida Sans Unicode" w:hAnsi="Lucida Sans Unicode" w:cs="Lucida Sans Unicode"/>
      <w:i/>
      <w:iCs/>
      <w:spacing w:val="0"/>
      <w:sz w:val="16"/>
      <w:szCs w:val="16"/>
    </w:rPr>
  </w:style>
  <w:style w:type="character" w:customStyle="1" w:styleId="2080pt350">
    <w:name w:val="Îñíîâíîé òåêñò (20) + Íå êóðñèâ8.Èíòåðâàë 0 pt35"/>
    <w:uiPriority w:val="99"/>
    <w:rsid w:val="00BB6316"/>
    <w:rPr>
      <w:rFonts w:ascii="Lucida Sans Unicode" w:hAnsi="Lucida Sans Unicode" w:cs="Lucida Sans Unicode"/>
      <w:b/>
      <w:bCs/>
      <w:i/>
      <w:iCs/>
      <w:spacing w:val="-10"/>
      <w:sz w:val="16"/>
      <w:szCs w:val="16"/>
    </w:rPr>
  </w:style>
  <w:style w:type="character" w:customStyle="1" w:styleId="50pt340">
    <w:name w:val="Îñíîâíîé òåêñò + Êóðñèâ5.Èíòåðâàë 0 pt34"/>
    <w:uiPriority w:val="99"/>
    <w:rsid w:val="00BB6316"/>
    <w:rPr>
      <w:rFonts w:ascii="Lucida Sans Unicode" w:hAnsi="Lucida Sans Unicode" w:cs="Lucida Sans Unicode"/>
      <w:i/>
      <w:iCs/>
      <w:spacing w:val="0"/>
      <w:sz w:val="16"/>
      <w:szCs w:val="16"/>
    </w:rPr>
  </w:style>
  <w:style w:type="character" w:customStyle="1" w:styleId="14ArialNarrow10pt390">
    <w:name w:val="Îñíîâíîé òåêñò (14) + Arial Narrow1.Ìàëûå ïðîïèñíûå.Èíòåðâàë 0 pt39"/>
    <w:uiPriority w:val="99"/>
    <w:rsid w:val="00BB6316"/>
    <w:rPr>
      <w:rFonts w:ascii="Arial Narrow" w:hAnsi="Arial Narrow" w:cs="Arial Narrow"/>
      <w:smallCaps/>
      <w:spacing w:val="0"/>
      <w:sz w:val="13"/>
      <w:szCs w:val="13"/>
    </w:rPr>
  </w:style>
  <w:style w:type="character" w:customStyle="1" w:styleId="2070pt330">
    <w:name w:val="Îñíîâíîé òåêñò (20) + Íå êóðñèâ7.Èíòåðâàë 0 pt33"/>
    <w:uiPriority w:val="99"/>
    <w:rsid w:val="00BB6316"/>
    <w:rPr>
      <w:rFonts w:ascii="Lucida Sans Unicode" w:hAnsi="Lucida Sans Unicode" w:cs="Lucida Sans Unicode"/>
      <w:b/>
      <w:bCs/>
      <w:i/>
      <w:iCs/>
      <w:spacing w:val="-10"/>
      <w:sz w:val="16"/>
      <w:szCs w:val="16"/>
    </w:rPr>
  </w:style>
  <w:style w:type="character" w:customStyle="1" w:styleId="40pt320">
    <w:name w:val="Îñíîâíîé òåêñò + Êóðñèâ4.Èíòåðâàë 0 pt32"/>
    <w:uiPriority w:val="99"/>
    <w:rsid w:val="00BB6316"/>
    <w:rPr>
      <w:rFonts w:ascii="Lucida Sans Unicode" w:hAnsi="Lucida Sans Unicode" w:cs="Lucida Sans Unicode"/>
      <w:i/>
      <w:iCs/>
      <w:spacing w:val="0"/>
      <w:sz w:val="16"/>
      <w:szCs w:val="16"/>
    </w:rPr>
  </w:style>
  <w:style w:type="character" w:customStyle="1" w:styleId="2060pt31">
    <w:name w:val="Îñíîâíîé òåêñò (20) + Íå êóðñèâ6.Èíòåðâàë 0 pt31"/>
    <w:uiPriority w:val="99"/>
    <w:rsid w:val="00BB6316"/>
    <w:rPr>
      <w:rFonts w:ascii="Lucida Sans Unicode" w:hAnsi="Lucida Sans Unicode" w:cs="Lucida Sans Unicode"/>
      <w:b/>
      <w:bCs/>
      <w:i/>
      <w:iCs/>
      <w:spacing w:val="-10"/>
      <w:sz w:val="16"/>
      <w:szCs w:val="16"/>
    </w:rPr>
  </w:style>
  <w:style w:type="character" w:customStyle="1" w:styleId="2050pt300">
    <w:name w:val="Îñíîâíîé òåêñò (20) + Íå êóðñèâ5.Èíòåðâàë 0 pt30"/>
    <w:uiPriority w:val="99"/>
    <w:rsid w:val="00BB6316"/>
    <w:rPr>
      <w:rFonts w:ascii="Lucida Sans Unicode" w:hAnsi="Lucida Sans Unicode" w:cs="Lucida Sans Unicode"/>
      <w:b/>
      <w:bCs/>
      <w:i/>
      <w:iCs/>
      <w:spacing w:val="-10"/>
      <w:sz w:val="16"/>
      <w:szCs w:val="16"/>
    </w:rPr>
  </w:style>
  <w:style w:type="character" w:customStyle="1" w:styleId="30pt290">
    <w:name w:val="Îñíîâíîé òåêñò + Êóðñèâ3.Èíòåðâàë 0 pt29"/>
    <w:uiPriority w:val="99"/>
    <w:rsid w:val="00BB6316"/>
    <w:rPr>
      <w:rFonts w:ascii="Lucida Sans Unicode" w:hAnsi="Lucida Sans Unicode" w:cs="Lucida Sans Unicode"/>
      <w:i/>
      <w:iCs/>
      <w:spacing w:val="0"/>
      <w:sz w:val="16"/>
      <w:szCs w:val="16"/>
    </w:rPr>
  </w:style>
  <w:style w:type="character" w:customStyle="1" w:styleId="20pt280">
    <w:name w:val="Îñíîâíîé òåêñò + Êóðñèâ2.Èíòåðâàë 0 pt28"/>
    <w:uiPriority w:val="99"/>
    <w:rsid w:val="00BB6316"/>
    <w:rPr>
      <w:rFonts w:ascii="Lucida Sans Unicode" w:hAnsi="Lucida Sans Unicode" w:cs="Lucida Sans Unicode"/>
      <w:i/>
      <w:iCs/>
      <w:spacing w:val="0"/>
      <w:sz w:val="16"/>
      <w:szCs w:val="16"/>
    </w:rPr>
  </w:style>
  <w:style w:type="character" w:customStyle="1" w:styleId="8ArialNarrow211pt215">
    <w:name w:val="Çàãîëîâîê ¹8 + Arial Narrow2.11 pt2.Ïîëóæèðíûé15"/>
    <w:uiPriority w:val="99"/>
    <w:rsid w:val="00BB6316"/>
    <w:rPr>
      <w:rFonts w:ascii="Arial Narrow" w:hAnsi="Arial Narrow" w:cs="Arial Narrow"/>
      <w:b/>
      <w:bCs/>
      <w:sz w:val="22"/>
      <w:szCs w:val="22"/>
    </w:rPr>
  </w:style>
  <w:style w:type="character" w:customStyle="1" w:styleId="8ArialNarrow19pt">
    <w:name w:val="Çàãîëîâîê ¹8 + Arial Narrow1.9 pt"/>
    <w:uiPriority w:val="99"/>
    <w:rsid w:val="00BB6316"/>
    <w:rPr>
      <w:rFonts w:ascii="Arial Narrow" w:hAnsi="Arial Narrow" w:cs="Arial Narrow"/>
      <w:sz w:val="18"/>
      <w:szCs w:val="18"/>
    </w:rPr>
  </w:style>
  <w:style w:type="paragraph" w:customStyle="1" w:styleId="231">
    <w:name w:val="Îñíîâíîé òåêñò (23)"/>
    <w:basedOn w:val="a0"/>
    <w:uiPriority w:val="99"/>
    <w:rsid w:val="00BB6316"/>
    <w:pPr>
      <w:shd w:val="clear" w:color="auto" w:fill="FFFFFF"/>
      <w:autoSpaceDE w:val="0"/>
      <w:autoSpaceDN w:val="0"/>
      <w:adjustRightInd w:val="0"/>
      <w:spacing w:after="0" w:line="240" w:lineRule="atLeast"/>
    </w:pPr>
    <w:rPr>
      <w:rFonts w:ascii="Bookman Old Style" w:hAnsi="Bookman Old Style" w:cs="Bookman Old Style"/>
      <w:noProof/>
      <w:sz w:val="8"/>
      <w:szCs w:val="8"/>
      <w:lang w:val="en-US"/>
    </w:rPr>
  </w:style>
  <w:style w:type="paragraph" w:customStyle="1" w:styleId="273">
    <w:name w:val="Îñíîâíîé òåêñò (27)"/>
    <w:basedOn w:val="a0"/>
    <w:uiPriority w:val="99"/>
    <w:rsid w:val="00BB6316"/>
    <w:pPr>
      <w:shd w:val="clear" w:color="auto" w:fill="FFFFFF"/>
      <w:autoSpaceDE w:val="0"/>
      <w:autoSpaceDN w:val="0"/>
      <w:adjustRightInd w:val="0"/>
      <w:spacing w:before="300" w:after="0" w:line="168" w:lineRule="exact"/>
    </w:pPr>
    <w:rPr>
      <w:rFonts w:ascii="Lucida Sans Unicode" w:hAnsi="Lucida Sans Unicode" w:cs="Lucida Sans Unicode"/>
      <w:i/>
      <w:iCs/>
      <w:noProof/>
      <w:sz w:val="13"/>
      <w:szCs w:val="13"/>
      <w:lang w:val="en-US"/>
    </w:rPr>
  </w:style>
  <w:style w:type="paragraph" w:customStyle="1" w:styleId="414">
    <w:name w:val="Îñíîâíîé òåêñò (41)"/>
    <w:basedOn w:val="a0"/>
    <w:uiPriority w:val="99"/>
    <w:rsid w:val="00BB6316"/>
    <w:pPr>
      <w:shd w:val="clear" w:color="auto" w:fill="FFFFFF"/>
      <w:autoSpaceDE w:val="0"/>
      <w:autoSpaceDN w:val="0"/>
      <w:adjustRightInd w:val="0"/>
      <w:spacing w:after="60" w:line="240" w:lineRule="atLeast"/>
    </w:pPr>
    <w:rPr>
      <w:rFonts w:ascii="Arial Narrow" w:hAnsi="Arial Narrow" w:cs="Arial Narrow"/>
      <w:b/>
      <w:bCs/>
      <w:noProof/>
      <w:sz w:val="34"/>
      <w:szCs w:val="34"/>
      <w:lang w:val="en-US"/>
    </w:rPr>
  </w:style>
  <w:style w:type="paragraph" w:customStyle="1" w:styleId="1020">
    <w:name w:val="Çàãîëîâîê ¹10 (2)"/>
    <w:basedOn w:val="a0"/>
    <w:uiPriority w:val="99"/>
    <w:rsid w:val="00BB6316"/>
    <w:pPr>
      <w:shd w:val="clear" w:color="auto" w:fill="FFFFFF"/>
      <w:autoSpaceDE w:val="0"/>
      <w:autoSpaceDN w:val="0"/>
      <w:adjustRightInd w:val="0"/>
      <w:spacing w:before="180" w:after="0" w:line="216" w:lineRule="exact"/>
      <w:jc w:val="center"/>
    </w:pPr>
    <w:rPr>
      <w:rFonts w:ascii="Lucida Sans Unicode" w:hAnsi="Lucida Sans Unicode" w:cs="Lucida Sans Unicode"/>
      <w:b/>
      <w:bCs/>
      <w:noProof/>
      <w:spacing w:val="-10"/>
      <w:sz w:val="17"/>
      <w:szCs w:val="17"/>
      <w:lang w:val="en-US"/>
    </w:rPr>
  </w:style>
  <w:style w:type="paragraph" w:customStyle="1" w:styleId="104">
    <w:name w:val="Çàãîëîâîê ¹10"/>
    <w:basedOn w:val="a0"/>
    <w:uiPriority w:val="99"/>
    <w:rsid w:val="00BB6316"/>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1030">
    <w:name w:val="Çàãîëîâîê ¹10 (3)"/>
    <w:basedOn w:val="a0"/>
    <w:uiPriority w:val="99"/>
    <w:rsid w:val="00BB6316"/>
    <w:pPr>
      <w:shd w:val="clear" w:color="auto" w:fill="FFFFFF"/>
      <w:autoSpaceDE w:val="0"/>
      <w:autoSpaceDN w:val="0"/>
      <w:adjustRightInd w:val="0"/>
      <w:spacing w:before="180" w:after="0" w:line="216" w:lineRule="exact"/>
      <w:ind w:firstLine="280"/>
      <w:jc w:val="both"/>
    </w:pPr>
    <w:rPr>
      <w:rFonts w:ascii="Tahoma" w:hAnsi="Tahoma" w:cs="Tahoma"/>
      <w:b/>
      <w:bCs/>
      <w:noProof/>
      <w:sz w:val="17"/>
      <w:szCs w:val="17"/>
      <w:lang w:val="en-US"/>
    </w:rPr>
  </w:style>
  <w:style w:type="paragraph" w:customStyle="1" w:styleId="317">
    <w:name w:val="Ïîäïèñü ê êàðòèíêå (3)1"/>
    <w:basedOn w:val="a0"/>
    <w:uiPriority w:val="99"/>
    <w:rsid w:val="00BB6316"/>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433">
    <w:name w:val="Îñíîâíîé òåêñò (43)"/>
    <w:basedOn w:val="a0"/>
    <w:uiPriority w:val="99"/>
    <w:rsid w:val="00BB6316"/>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2">
    <w:name w:val="Îñíîâíîé òåêñò (44)"/>
    <w:basedOn w:val="a0"/>
    <w:uiPriority w:val="99"/>
    <w:rsid w:val="00BB6316"/>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fff">
    <w:name w:val="Ñíîñêà"/>
    <w:basedOn w:val="a0"/>
    <w:uiPriority w:val="99"/>
    <w:rsid w:val="00BB6316"/>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paragraph" w:customStyle="1" w:styleId="afffff0">
    <w:name w:val="Ïîäïèñü ê êàðòèíêå"/>
    <w:basedOn w:val="a0"/>
    <w:uiPriority w:val="99"/>
    <w:rsid w:val="00BB6316"/>
    <w:pPr>
      <w:shd w:val="clear" w:color="auto" w:fill="FFFFFF"/>
      <w:autoSpaceDE w:val="0"/>
      <w:autoSpaceDN w:val="0"/>
      <w:adjustRightInd w:val="0"/>
      <w:spacing w:after="0" w:line="240" w:lineRule="atLeast"/>
      <w:ind w:hanging="820"/>
    </w:pPr>
    <w:rPr>
      <w:rFonts w:ascii="Arial" w:hAnsi="Arial" w:cs="Arial"/>
      <w:b/>
      <w:bCs/>
      <w:noProof/>
      <w:sz w:val="13"/>
      <w:szCs w:val="13"/>
      <w:lang w:val="en-US"/>
    </w:rPr>
  </w:style>
  <w:style w:type="character" w:customStyle="1" w:styleId="14-1pt">
    <w:name w:val="Îñíîâíîé òåêñò (14) + Èíòåðâàë -1 pt"/>
    <w:uiPriority w:val="99"/>
    <w:rsid w:val="00BB6316"/>
    <w:rPr>
      <w:rFonts w:ascii="Microsoft Sans Serif" w:hAnsi="Microsoft Sans Serif" w:cs="Microsoft Sans Serif"/>
      <w:spacing w:val="-20"/>
      <w:sz w:val="17"/>
      <w:szCs w:val="17"/>
      <w:u w:val="single"/>
    </w:rPr>
  </w:style>
  <w:style w:type="character" w:customStyle="1" w:styleId="7-1pt5">
    <w:name w:val="Îñíîâíîé òåêñò (7) + Èíòåðâàë -1 pt5"/>
    <w:uiPriority w:val="99"/>
    <w:rsid w:val="00BB6316"/>
    <w:rPr>
      <w:rFonts w:ascii="Century Gothic" w:hAnsi="Century Gothic" w:cs="Century Gothic"/>
      <w:b/>
      <w:bCs/>
      <w:i/>
      <w:iCs/>
      <w:spacing w:val="-20"/>
      <w:sz w:val="17"/>
      <w:szCs w:val="17"/>
      <w:u w:val="single"/>
    </w:rPr>
  </w:style>
  <w:style w:type="character" w:customStyle="1" w:styleId="7pt1214">
    <w:name w:val="Îñíîâíîé òåêñò + 7 pt.Ïîëóæèðíûé12.Êóðñèâ14"/>
    <w:uiPriority w:val="99"/>
    <w:rsid w:val="00BB6316"/>
    <w:rPr>
      <w:rFonts w:ascii="Century Gothic" w:hAnsi="Century Gothic" w:cs="Century Gothic"/>
      <w:b/>
      <w:bCs/>
      <w:i/>
      <w:iCs/>
      <w:spacing w:val="-10"/>
      <w:sz w:val="14"/>
      <w:szCs w:val="14"/>
    </w:rPr>
  </w:style>
  <w:style w:type="character" w:customStyle="1" w:styleId="afffff1">
    <w:name w:val="Îñíîâíîé òåêñò + Êóðñèâ"/>
    <w:uiPriority w:val="99"/>
    <w:rsid w:val="00BB6316"/>
    <w:rPr>
      <w:rFonts w:ascii="Century Gothic" w:hAnsi="Century Gothic" w:cs="Century Gothic"/>
      <w:i/>
      <w:iCs/>
      <w:spacing w:val="-10"/>
      <w:sz w:val="17"/>
      <w:szCs w:val="17"/>
    </w:rPr>
  </w:style>
  <w:style w:type="character" w:customStyle="1" w:styleId="68">
    <w:name w:val="Îñíîâíîé òåêñò (6) + Íå êóðñèâ"/>
    <w:uiPriority w:val="99"/>
    <w:rsid w:val="00BB6316"/>
    <w:rPr>
      <w:rFonts w:ascii="Century Gothic" w:hAnsi="Century Gothic" w:cs="Century Gothic"/>
      <w:i/>
      <w:iCs/>
      <w:sz w:val="17"/>
      <w:szCs w:val="17"/>
    </w:rPr>
  </w:style>
  <w:style w:type="character" w:customStyle="1" w:styleId="621">
    <w:name w:val="Îñíîâíîé òåêñò (6) + Íå êóðñèâ2"/>
    <w:uiPriority w:val="99"/>
    <w:rsid w:val="00BB6316"/>
    <w:rPr>
      <w:rFonts w:ascii="Century Gothic" w:hAnsi="Century Gothic" w:cs="Century Gothic"/>
      <w:i/>
      <w:iCs/>
      <w:sz w:val="17"/>
      <w:szCs w:val="17"/>
    </w:rPr>
  </w:style>
  <w:style w:type="character" w:customStyle="1" w:styleId="5c">
    <w:name w:val="Îñíîâíîé òåêñò + Êóðñèâ5"/>
    <w:uiPriority w:val="99"/>
    <w:rsid w:val="00BB6316"/>
    <w:rPr>
      <w:rFonts w:ascii="Century Gothic" w:hAnsi="Century Gothic" w:cs="Century Gothic"/>
      <w:i/>
      <w:iCs/>
      <w:spacing w:val="-10"/>
      <w:sz w:val="17"/>
      <w:szCs w:val="17"/>
    </w:rPr>
  </w:style>
  <w:style w:type="character" w:customStyle="1" w:styleId="4e">
    <w:name w:val="Îñíîâíîé òåêñò + Êóðñèâ4"/>
    <w:uiPriority w:val="99"/>
    <w:rsid w:val="00BB6316"/>
    <w:rPr>
      <w:rFonts w:ascii="Century Gothic" w:hAnsi="Century Gothic" w:cs="Century Gothic"/>
      <w:i/>
      <w:iCs/>
      <w:spacing w:val="-10"/>
      <w:sz w:val="17"/>
      <w:szCs w:val="17"/>
    </w:rPr>
  </w:style>
  <w:style w:type="paragraph" w:customStyle="1" w:styleId="69">
    <w:name w:val="Îñíîâíîé òåêñò (6)"/>
    <w:basedOn w:val="a0"/>
    <w:uiPriority w:val="99"/>
    <w:rsid w:val="00BB6316"/>
    <w:pPr>
      <w:shd w:val="clear" w:color="auto" w:fill="FFFFFF"/>
      <w:autoSpaceDE w:val="0"/>
      <w:autoSpaceDN w:val="0"/>
      <w:adjustRightInd w:val="0"/>
      <w:spacing w:after="0" w:line="178" w:lineRule="exact"/>
    </w:pPr>
    <w:rPr>
      <w:rFonts w:ascii="Century Gothic" w:hAnsi="Century Gothic" w:cs="Century Gothic"/>
      <w:i/>
      <w:iCs/>
      <w:noProof/>
      <w:sz w:val="17"/>
      <w:szCs w:val="17"/>
      <w:lang w:val="en-US"/>
    </w:rPr>
  </w:style>
  <w:style w:type="paragraph" w:customStyle="1" w:styleId="132">
    <w:name w:val="Îñíîâíîé òåêñò (13)"/>
    <w:basedOn w:val="a0"/>
    <w:uiPriority w:val="99"/>
    <w:rsid w:val="00BB6316"/>
    <w:pPr>
      <w:shd w:val="clear" w:color="auto" w:fill="FFFFFF"/>
      <w:autoSpaceDE w:val="0"/>
      <w:autoSpaceDN w:val="0"/>
      <w:adjustRightInd w:val="0"/>
      <w:spacing w:after="0" w:line="240" w:lineRule="atLeast"/>
    </w:pPr>
    <w:rPr>
      <w:rFonts w:ascii="Segoe UI" w:hAnsi="Segoe UI" w:cs="Segoe UI"/>
      <w:b/>
      <w:bCs/>
      <w:noProof/>
      <w:sz w:val="24"/>
      <w:szCs w:val="24"/>
      <w:lang w:val="en-US"/>
    </w:rPr>
  </w:style>
  <w:style w:type="paragraph" w:customStyle="1" w:styleId="144">
    <w:name w:val="Îñíîâíîé òåêñò (14)"/>
    <w:basedOn w:val="a0"/>
    <w:uiPriority w:val="99"/>
    <w:rsid w:val="00BB6316"/>
    <w:pPr>
      <w:shd w:val="clear" w:color="auto" w:fill="FFFFFF"/>
      <w:autoSpaceDE w:val="0"/>
      <w:autoSpaceDN w:val="0"/>
      <w:adjustRightInd w:val="0"/>
      <w:spacing w:after="0" w:line="240" w:lineRule="atLeast"/>
    </w:pPr>
    <w:rPr>
      <w:rFonts w:ascii="Microsoft Sans Serif" w:hAnsi="Microsoft Sans Serif" w:cs="Microsoft Sans Serif"/>
      <w:noProof/>
      <w:sz w:val="17"/>
      <w:szCs w:val="17"/>
      <w:lang w:val="en-US"/>
    </w:rPr>
  </w:style>
  <w:style w:type="character" w:customStyle="1" w:styleId="650">
    <w:name w:val="Îñíîâíîé òåêñò (6)5"/>
    <w:uiPriority w:val="99"/>
    <w:rsid w:val="00BB6316"/>
    <w:rPr>
      <w:rFonts w:ascii="Microsoft Sans Serif" w:hAnsi="Microsoft Sans Serif" w:cs="Microsoft Sans Serif"/>
      <w:i/>
      <w:iCs/>
      <w:sz w:val="23"/>
      <w:szCs w:val="23"/>
    </w:rPr>
  </w:style>
  <w:style w:type="character" w:customStyle="1" w:styleId="640">
    <w:name w:val="Îñíîâíîé òåêñò (6)4"/>
    <w:uiPriority w:val="99"/>
    <w:rsid w:val="00BB6316"/>
    <w:rPr>
      <w:rFonts w:ascii="Microsoft Sans Serif" w:hAnsi="Microsoft Sans Serif" w:cs="Microsoft Sans Serif"/>
      <w:i/>
      <w:iCs/>
      <w:sz w:val="23"/>
      <w:szCs w:val="23"/>
      <w:lang w:val="en-US"/>
    </w:rPr>
  </w:style>
  <w:style w:type="character" w:customStyle="1" w:styleId="630">
    <w:name w:val="Îñíîâíîé òåêñò (6)3"/>
    <w:uiPriority w:val="99"/>
    <w:rsid w:val="00BB6316"/>
    <w:rPr>
      <w:rFonts w:ascii="Microsoft Sans Serif" w:hAnsi="Microsoft Sans Serif" w:cs="Microsoft Sans Serif"/>
      <w:i/>
      <w:iCs/>
      <w:sz w:val="23"/>
      <w:szCs w:val="23"/>
      <w:u w:val="single"/>
    </w:rPr>
  </w:style>
  <w:style w:type="character" w:customStyle="1" w:styleId="50pt11">
    <w:name w:val="Îñíîâíîé òåêñò + Êóðñèâ5.Èíòåðâàë 0 pt11"/>
    <w:uiPriority w:val="99"/>
    <w:rsid w:val="00BB6316"/>
    <w:rPr>
      <w:rFonts w:ascii="Microsoft Sans Serif" w:hAnsi="Microsoft Sans Serif" w:cs="Microsoft Sans Serif"/>
      <w:i/>
      <w:iCs/>
      <w:spacing w:val="10"/>
      <w:sz w:val="16"/>
      <w:szCs w:val="16"/>
    </w:rPr>
  </w:style>
  <w:style w:type="character" w:customStyle="1" w:styleId="830pt10">
    <w:name w:val="Îñíîâíîé òåêñò (8) + Íå êóðñèâ3.Èíòåðâàë 0 pt10"/>
    <w:uiPriority w:val="99"/>
    <w:rsid w:val="00BB6316"/>
    <w:rPr>
      <w:i/>
      <w:iCs/>
      <w:spacing w:val="0"/>
      <w:sz w:val="16"/>
      <w:szCs w:val="16"/>
    </w:rPr>
  </w:style>
  <w:style w:type="character" w:customStyle="1" w:styleId="40pt9">
    <w:name w:val="Îñíîâíîé òåêñò + Êóðñèâ4.Èíòåðâàë 0 pt9"/>
    <w:uiPriority w:val="99"/>
    <w:rsid w:val="00BB6316"/>
    <w:rPr>
      <w:rFonts w:ascii="Microsoft Sans Serif" w:hAnsi="Microsoft Sans Serif" w:cs="Microsoft Sans Serif"/>
      <w:i/>
      <w:iCs/>
      <w:spacing w:val="10"/>
      <w:sz w:val="16"/>
      <w:szCs w:val="16"/>
    </w:rPr>
  </w:style>
  <w:style w:type="character" w:customStyle="1" w:styleId="8BookmanOldStyle310pt330pt8">
    <w:name w:val="Îñíîâíîé òåêñò (8) + Bookman Old Style3.10 pt3.Íå êóðñèâ3.Èíòåðâàë 0 pt8"/>
    <w:uiPriority w:val="99"/>
    <w:rsid w:val="00BB6316"/>
    <w:rPr>
      <w:rFonts w:ascii="Bookman Old Style" w:hAnsi="Bookman Old Style" w:cs="Bookman Old Style"/>
      <w:i/>
      <w:iCs/>
      <w:noProof/>
      <w:spacing w:val="0"/>
      <w:sz w:val="20"/>
      <w:szCs w:val="20"/>
    </w:rPr>
  </w:style>
  <w:style w:type="character" w:customStyle="1" w:styleId="84">
    <w:name w:val="Îñíîâíîé òåêñò (8)4"/>
    <w:uiPriority w:val="99"/>
    <w:rsid w:val="00BB6316"/>
    <w:rPr>
      <w:rFonts w:ascii="Arial Unicode MS" w:eastAsia="Arial Unicode MS" w:cs="Arial Unicode MS"/>
      <w:i/>
      <w:iCs/>
      <w:spacing w:val="10"/>
      <w:sz w:val="16"/>
      <w:szCs w:val="16"/>
      <w:u w:val="single"/>
      <w:lang w:val="en-US"/>
    </w:rPr>
  </w:style>
  <w:style w:type="character" w:customStyle="1" w:styleId="30pt7">
    <w:name w:val="Îñíîâíîé òåêñò + Êóðñèâ3.Èíòåðâàë 0 pt7"/>
    <w:uiPriority w:val="99"/>
    <w:rsid w:val="00BB6316"/>
    <w:rPr>
      <w:rFonts w:ascii="Microsoft Sans Serif" w:hAnsi="Microsoft Sans Serif" w:cs="Microsoft Sans Serif"/>
      <w:i/>
      <w:iCs/>
      <w:spacing w:val="10"/>
      <w:sz w:val="16"/>
      <w:szCs w:val="16"/>
    </w:rPr>
  </w:style>
  <w:style w:type="character" w:customStyle="1" w:styleId="820pt6">
    <w:name w:val="Îñíîâíîé òåêñò (8) + Íå êóðñèâ2.Èíòåðâàë 0 pt6"/>
    <w:uiPriority w:val="99"/>
    <w:rsid w:val="00BB6316"/>
    <w:rPr>
      <w:i/>
      <w:iCs/>
      <w:spacing w:val="0"/>
      <w:sz w:val="16"/>
      <w:szCs w:val="16"/>
    </w:rPr>
  </w:style>
  <w:style w:type="character" w:customStyle="1" w:styleId="810pt5">
    <w:name w:val="Îñíîâíîé òåêñò (8) + Íå êóðñèâ1.Èíòåðâàë 0 pt5"/>
    <w:uiPriority w:val="99"/>
    <w:rsid w:val="00BB6316"/>
    <w:rPr>
      <w:i/>
      <w:iCs/>
      <w:spacing w:val="0"/>
      <w:sz w:val="16"/>
      <w:szCs w:val="16"/>
    </w:rPr>
  </w:style>
  <w:style w:type="character" w:customStyle="1" w:styleId="20pt4">
    <w:name w:val="Îñíîâíîé òåêñò + Êóðñèâ2.Èíòåðâàë 0 pt4"/>
    <w:uiPriority w:val="99"/>
    <w:rsid w:val="00BB6316"/>
    <w:rPr>
      <w:rFonts w:ascii="Microsoft Sans Serif" w:hAnsi="Microsoft Sans Serif" w:cs="Microsoft Sans Serif"/>
      <w:i/>
      <w:iCs/>
      <w:spacing w:val="10"/>
      <w:sz w:val="16"/>
      <w:szCs w:val="16"/>
    </w:rPr>
  </w:style>
  <w:style w:type="paragraph" w:customStyle="1" w:styleId="611">
    <w:name w:val="Îñíîâíîé òåêñò (6)1"/>
    <w:basedOn w:val="a0"/>
    <w:uiPriority w:val="99"/>
    <w:rsid w:val="00BB6316"/>
    <w:pPr>
      <w:shd w:val="clear" w:color="auto" w:fill="FFFFFF"/>
      <w:autoSpaceDE w:val="0"/>
      <w:autoSpaceDN w:val="0"/>
      <w:adjustRightInd w:val="0"/>
      <w:spacing w:after="0" w:line="202" w:lineRule="exact"/>
    </w:pPr>
    <w:rPr>
      <w:rFonts w:ascii="Microsoft Sans Serif" w:hAnsi="Microsoft Sans Serif" w:cs="Microsoft Sans Serif"/>
      <w:i/>
      <w:iCs/>
      <w:noProof/>
      <w:sz w:val="23"/>
      <w:szCs w:val="23"/>
      <w:lang w:val="en-US"/>
    </w:rPr>
  </w:style>
  <w:style w:type="paragraph" w:customStyle="1" w:styleId="93">
    <w:name w:val="Îñíîâíîé òåêñò (9)"/>
    <w:basedOn w:val="a0"/>
    <w:uiPriority w:val="99"/>
    <w:rsid w:val="00BB6316"/>
    <w:pPr>
      <w:shd w:val="clear" w:color="auto" w:fill="FFFFFF"/>
      <w:autoSpaceDE w:val="0"/>
      <w:autoSpaceDN w:val="0"/>
      <w:adjustRightInd w:val="0"/>
      <w:spacing w:after="0" w:line="173" w:lineRule="exact"/>
      <w:ind w:hanging="200"/>
      <w:jc w:val="right"/>
    </w:pPr>
    <w:rPr>
      <w:rFonts w:ascii="Times New Roman" w:hAnsi="Times New Roman"/>
      <w:i/>
      <w:iCs/>
      <w:noProof/>
      <w:sz w:val="13"/>
      <w:szCs w:val="13"/>
      <w:lang w:val="en-US"/>
    </w:rPr>
  </w:style>
  <w:style w:type="character" w:customStyle="1" w:styleId="11110">
    <w:name w:val="Îñíîâíîé òåêñò (11) + Íå êóðñèâ11"/>
    <w:uiPriority w:val="99"/>
    <w:rsid w:val="00BB6316"/>
    <w:rPr>
      <w:rFonts w:ascii="Arial" w:hAnsi="Arial" w:cs="Arial"/>
      <w:i/>
      <w:iCs/>
      <w:spacing w:val="-10"/>
      <w:sz w:val="17"/>
      <w:szCs w:val="17"/>
    </w:rPr>
  </w:style>
  <w:style w:type="character" w:customStyle="1" w:styleId="11100">
    <w:name w:val="Îñíîâíîé òåêñò (11) + Íå êóðñèâ10"/>
    <w:uiPriority w:val="99"/>
    <w:rsid w:val="00BB6316"/>
    <w:rPr>
      <w:rFonts w:ascii="Arial" w:hAnsi="Arial" w:cs="Arial"/>
      <w:i/>
      <w:iCs/>
      <w:spacing w:val="-10"/>
      <w:sz w:val="17"/>
      <w:szCs w:val="17"/>
    </w:rPr>
  </w:style>
  <w:style w:type="character" w:customStyle="1" w:styleId="119">
    <w:name w:val="Îñíîâíîé òåêñò + Êóðñèâ11"/>
    <w:uiPriority w:val="99"/>
    <w:rsid w:val="00BB6316"/>
    <w:rPr>
      <w:rFonts w:ascii="Arial" w:hAnsi="Arial" w:cs="Arial"/>
      <w:i/>
      <w:iCs/>
      <w:spacing w:val="-10"/>
      <w:sz w:val="17"/>
      <w:szCs w:val="17"/>
    </w:rPr>
  </w:style>
  <w:style w:type="character" w:customStyle="1" w:styleId="4835pt2911">
    <w:name w:val="Îñíîâíîé òåêñò (4) + 83.5 pt29.Íå ïîëóæèðíûé11"/>
    <w:uiPriority w:val="99"/>
    <w:rsid w:val="00BB6316"/>
    <w:rPr>
      <w:rFonts w:ascii="Arial" w:hAnsi="Arial" w:cs="Arial"/>
      <w:b/>
      <w:bCs/>
      <w:i/>
      <w:iCs/>
      <w:spacing w:val="-10"/>
      <w:sz w:val="17"/>
      <w:szCs w:val="17"/>
    </w:rPr>
  </w:style>
  <w:style w:type="character" w:customStyle="1" w:styleId="105">
    <w:name w:val="Îñíîâíîé òåêñò + Êóðñèâ10"/>
    <w:uiPriority w:val="99"/>
    <w:rsid w:val="00BB6316"/>
    <w:rPr>
      <w:rFonts w:ascii="Arial" w:hAnsi="Arial" w:cs="Arial"/>
      <w:i/>
      <w:iCs/>
      <w:spacing w:val="-10"/>
      <w:sz w:val="17"/>
      <w:szCs w:val="17"/>
    </w:rPr>
  </w:style>
  <w:style w:type="character" w:customStyle="1" w:styleId="78pt7">
    <w:name w:val="Îñíîâíîé òåêñò (7) + 8 pt.Íå êóðñèâ7"/>
    <w:uiPriority w:val="99"/>
    <w:rsid w:val="00BB6316"/>
    <w:rPr>
      <w:rFonts w:ascii="Arial" w:hAnsi="Arial" w:cs="Arial"/>
      <w:i/>
      <w:iCs/>
      <w:spacing w:val="-10"/>
      <w:sz w:val="16"/>
      <w:szCs w:val="16"/>
    </w:rPr>
  </w:style>
  <w:style w:type="character" w:customStyle="1" w:styleId="94">
    <w:name w:val="Îñíîâíîé òåêñò + Êóðñèâ9"/>
    <w:uiPriority w:val="99"/>
    <w:rsid w:val="00BB6316"/>
    <w:rPr>
      <w:rFonts w:ascii="Arial" w:hAnsi="Arial" w:cs="Arial"/>
      <w:i/>
      <w:iCs/>
      <w:spacing w:val="-10"/>
      <w:sz w:val="17"/>
      <w:szCs w:val="17"/>
    </w:rPr>
  </w:style>
  <w:style w:type="character" w:customStyle="1" w:styleId="1161">
    <w:name w:val="Îñíîâíîé òåêñò (11) + Íå êóðñèâ6"/>
    <w:uiPriority w:val="99"/>
    <w:rsid w:val="00BB6316"/>
    <w:rPr>
      <w:rFonts w:ascii="Arial" w:hAnsi="Arial" w:cs="Arial"/>
      <w:i/>
      <w:iCs/>
      <w:spacing w:val="-10"/>
      <w:sz w:val="17"/>
      <w:szCs w:val="17"/>
    </w:rPr>
  </w:style>
  <w:style w:type="character" w:customStyle="1" w:styleId="85">
    <w:name w:val="Îñíîâíîé òåêñò + Êóðñèâ8"/>
    <w:uiPriority w:val="99"/>
    <w:rsid w:val="00BB6316"/>
    <w:rPr>
      <w:rFonts w:ascii="Arial" w:hAnsi="Arial" w:cs="Arial"/>
      <w:i/>
      <w:iCs/>
      <w:spacing w:val="-10"/>
      <w:sz w:val="17"/>
      <w:szCs w:val="17"/>
    </w:rPr>
  </w:style>
  <w:style w:type="character" w:customStyle="1" w:styleId="7d">
    <w:name w:val="Îñíîâíîé òåêñò + Êóðñèâ7"/>
    <w:uiPriority w:val="99"/>
    <w:rsid w:val="00BB6316"/>
    <w:rPr>
      <w:rFonts w:ascii="Arial" w:hAnsi="Arial" w:cs="Arial"/>
      <w:i/>
      <w:iCs/>
      <w:spacing w:val="-10"/>
      <w:sz w:val="17"/>
      <w:szCs w:val="17"/>
    </w:rPr>
  </w:style>
  <w:style w:type="paragraph" w:customStyle="1" w:styleId="5d">
    <w:name w:val="Ïîäïèñü ê êàðòèíêå (5)"/>
    <w:basedOn w:val="a0"/>
    <w:uiPriority w:val="99"/>
    <w:rsid w:val="00BB6316"/>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paragraph" w:customStyle="1" w:styleId="2610">
    <w:name w:val="Îñíîâíîé òåêñò (26)1"/>
    <w:basedOn w:val="a0"/>
    <w:uiPriority w:val="99"/>
    <w:rsid w:val="00BB6316"/>
    <w:pPr>
      <w:shd w:val="clear" w:color="auto" w:fill="FFFFFF"/>
      <w:autoSpaceDE w:val="0"/>
      <w:autoSpaceDN w:val="0"/>
      <w:adjustRightInd w:val="0"/>
      <w:spacing w:after="120" w:line="240" w:lineRule="atLeast"/>
    </w:pPr>
    <w:rPr>
      <w:rFonts w:ascii="Gulim" w:eastAsia="Gulim" w:hAnsi="Times New Roman" w:cs="Gulim"/>
      <w:noProof/>
      <w:spacing w:val="-10"/>
      <w:sz w:val="20"/>
      <w:szCs w:val="20"/>
      <w:lang w:val="en-US"/>
    </w:rPr>
  </w:style>
  <w:style w:type="paragraph" w:customStyle="1" w:styleId="3f7">
    <w:name w:val="Ïîäïèñü ê êàðòèíêå (3)"/>
    <w:basedOn w:val="a0"/>
    <w:uiPriority w:val="99"/>
    <w:rsid w:val="00BB6316"/>
    <w:pPr>
      <w:shd w:val="clear" w:color="auto" w:fill="FFFFFF"/>
      <w:autoSpaceDE w:val="0"/>
      <w:autoSpaceDN w:val="0"/>
      <w:adjustRightInd w:val="0"/>
      <w:spacing w:after="0" w:line="168" w:lineRule="exact"/>
      <w:jc w:val="both"/>
    </w:pPr>
    <w:rPr>
      <w:rFonts w:ascii="Arial" w:hAnsi="Arial" w:cs="Arial"/>
      <w:b/>
      <w:bCs/>
      <w:i/>
      <w:iCs/>
      <w:noProof/>
      <w:spacing w:val="-10"/>
      <w:sz w:val="13"/>
      <w:szCs w:val="13"/>
      <w:lang w:val="en-US"/>
    </w:rPr>
  </w:style>
  <w:style w:type="character" w:customStyle="1" w:styleId="100pt30">
    <w:name w:val="Îñíîâíîé òåêñò + Êóðñèâ10.Èíòåðâàë 0 pt30"/>
    <w:uiPriority w:val="99"/>
    <w:rsid w:val="00BB6316"/>
    <w:rPr>
      <w:rFonts w:ascii="Microsoft Sans Serif" w:hAnsi="Microsoft Sans Serif" w:cs="Microsoft Sans Serif"/>
      <w:i/>
      <w:iCs/>
      <w:spacing w:val="0"/>
      <w:sz w:val="16"/>
      <w:szCs w:val="16"/>
    </w:rPr>
  </w:style>
  <w:style w:type="character" w:customStyle="1" w:styleId="120pt29">
    <w:name w:val="Îñíîâíîé òåêñò (12) + Íå êóðñèâ.Èíòåðâàë 0 pt29"/>
    <w:uiPriority w:val="99"/>
    <w:rsid w:val="00BB6316"/>
    <w:rPr>
      <w:rFonts w:ascii="Microsoft Sans Serif" w:hAnsi="Microsoft Sans Serif" w:cs="Microsoft Sans Serif"/>
      <w:i/>
      <w:iCs/>
      <w:spacing w:val="-10"/>
      <w:sz w:val="16"/>
      <w:szCs w:val="16"/>
    </w:rPr>
  </w:style>
  <w:style w:type="character" w:customStyle="1" w:styleId="125">
    <w:name w:val="Îñíîâíîé òåêñò (12)_"/>
    <w:uiPriority w:val="99"/>
    <w:rsid w:val="00BB6316"/>
    <w:rPr>
      <w:rFonts w:ascii="Microsoft Sans Serif" w:hAnsi="Microsoft Sans Serif" w:cs="Microsoft Sans Serif"/>
      <w:i/>
      <w:iCs/>
      <w:sz w:val="16"/>
      <w:szCs w:val="16"/>
    </w:rPr>
  </w:style>
  <w:style w:type="character" w:customStyle="1" w:styleId="1260pt28">
    <w:name w:val="Îñíîâíîé òåêñò (12) + Íå êóðñèâ6.Èíòåðâàë 0 pt28"/>
    <w:uiPriority w:val="99"/>
    <w:rsid w:val="00BB6316"/>
    <w:rPr>
      <w:rFonts w:ascii="Microsoft Sans Serif" w:hAnsi="Microsoft Sans Serif" w:cs="Microsoft Sans Serif"/>
      <w:i/>
      <w:iCs/>
      <w:spacing w:val="-10"/>
      <w:sz w:val="16"/>
      <w:szCs w:val="16"/>
    </w:rPr>
  </w:style>
  <w:style w:type="character" w:customStyle="1" w:styleId="90pt27">
    <w:name w:val="Îñíîâíîé òåêñò + Êóðñèâ9.Èíòåðâàë 0 pt27"/>
    <w:uiPriority w:val="99"/>
    <w:rsid w:val="00BB6316"/>
    <w:rPr>
      <w:rFonts w:ascii="Microsoft Sans Serif" w:hAnsi="Microsoft Sans Serif" w:cs="Microsoft Sans Serif"/>
      <w:i/>
      <w:iCs/>
      <w:spacing w:val="0"/>
      <w:sz w:val="16"/>
      <w:szCs w:val="16"/>
    </w:rPr>
  </w:style>
  <w:style w:type="character" w:customStyle="1" w:styleId="126">
    <w:name w:val="Îñíîâíîé òåêñò (12)6"/>
    <w:uiPriority w:val="99"/>
    <w:rsid w:val="00BB6316"/>
    <w:rPr>
      <w:rFonts w:ascii="Microsoft Sans Serif" w:hAnsi="Microsoft Sans Serif" w:cs="Microsoft Sans Serif"/>
      <w:i/>
      <w:iCs/>
      <w:spacing w:val="0"/>
      <w:sz w:val="16"/>
      <w:szCs w:val="16"/>
      <w:u w:val="single"/>
    </w:rPr>
  </w:style>
  <w:style w:type="character" w:customStyle="1" w:styleId="80pt26">
    <w:name w:val="Îñíîâíîé òåêñò + Êóðñèâ8.Èíòåðâàë 0 pt26"/>
    <w:uiPriority w:val="99"/>
    <w:rsid w:val="00BB6316"/>
    <w:rPr>
      <w:rFonts w:ascii="Microsoft Sans Serif" w:hAnsi="Microsoft Sans Serif" w:cs="Microsoft Sans Serif"/>
      <w:i/>
      <w:iCs/>
      <w:spacing w:val="0"/>
      <w:sz w:val="16"/>
      <w:szCs w:val="16"/>
    </w:rPr>
  </w:style>
  <w:style w:type="character" w:customStyle="1" w:styleId="1250pt25">
    <w:name w:val="Îñíîâíîé òåêñò (12) + Íå êóðñèâ5.Èíòåðâàë 0 pt25"/>
    <w:uiPriority w:val="99"/>
    <w:rsid w:val="00BB6316"/>
    <w:rPr>
      <w:rFonts w:ascii="Microsoft Sans Serif" w:hAnsi="Microsoft Sans Serif" w:cs="Microsoft Sans Serif"/>
      <w:i/>
      <w:iCs/>
      <w:spacing w:val="-10"/>
      <w:sz w:val="16"/>
      <w:szCs w:val="16"/>
    </w:rPr>
  </w:style>
  <w:style w:type="character" w:customStyle="1" w:styleId="20BookmanOldStyle875pt19">
    <w:name w:val="Îñíîâíîé òåêñò (20) + Bookman Old Style.87.5 pt19"/>
    <w:uiPriority w:val="99"/>
    <w:rsid w:val="00BB6316"/>
    <w:rPr>
      <w:rFonts w:ascii="Bookman Old Style" w:hAnsi="Bookman Old Style" w:cs="Bookman Old Style"/>
      <w:b/>
      <w:bCs/>
      <w:i/>
      <w:iCs/>
      <w:sz w:val="17"/>
      <w:szCs w:val="17"/>
    </w:rPr>
  </w:style>
  <w:style w:type="character" w:customStyle="1" w:styleId="1250">
    <w:name w:val="Îñíîâíîé òåêñò (12)5"/>
    <w:uiPriority w:val="99"/>
    <w:rsid w:val="00BB6316"/>
    <w:rPr>
      <w:rFonts w:ascii="Microsoft Sans Serif" w:hAnsi="Microsoft Sans Serif" w:cs="Microsoft Sans Serif"/>
      <w:i/>
      <w:iCs/>
      <w:spacing w:val="0"/>
      <w:sz w:val="16"/>
      <w:szCs w:val="16"/>
      <w:u w:val="single"/>
    </w:rPr>
  </w:style>
  <w:style w:type="character" w:customStyle="1" w:styleId="1240">
    <w:name w:val="Îñíîâíîé òåêñò (12)4"/>
    <w:uiPriority w:val="99"/>
    <w:rsid w:val="00BB6316"/>
    <w:rPr>
      <w:rFonts w:ascii="Microsoft Sans Serif" w:hAnsi="Microsoft Sans Serif" w:cs="Microsoft Sans Serif"/>
      <w:i/>
      <w:iCs/>
      <w:spacing w:val="0"/>
      <w:sz w:val="16"/>
      <w:szCs w:val="16"/>
      <w:u w:val="single"/>
    </w:rPr>
  </w:style>
  <w:style w:type="character" w:customStyle="1" w:styleId="12SimHei7pt12">
    <w:name w:val="Îñíîâíîé òåêñò (12) + SimHei.7 pt.Íå êóðñèâ12"/>
    <w:uiPriority w:val="99"/>
    <w:rsid w:val="00BB6316"/>
    <w:rPr>
      <w:rFonts w:ascii="SimHei" w:eastAsia="SimHei" w:hAnsi="Microsoft Sans Serif" w:cs="SimHei"/>
      <w:i/>
      <w:iCs/>
      <w:spacing w:val="0"/>
      <w:sz w:val="14"/>
      <w:szCs w:val="14"/>
    </w:rPr>
  </w:style>
  <w:style w:type="character" w:customStyle="1" w:styleId="1240pt24">
    <w:name w:val="Îñíîâíîé òåêñò (12) + Íå êóðñèâ4.Èíòåðâàë 0 pt24"/>
    <w:uiPriority w:val="99"/>
    <w:rsid w:val="00BB6316"/>
    <w:rPr>
      <w:rFonts w:ascii="Microsoft Sans Serif" w:hAnsi="Microsoft Sans Serif" w:cs="Microsoft Sans Serif"/>
      <w:i/>
      <w:iCs/>
      <w:spacing w:val="-10"/>
      <w:sz w:val="16"/>
      <w:szCs w:val="16"/>
    </w:rPr>
  </w:style>
  <w:style w:type="character" w:customStyle="1" w:styleId="70pt23">
    <w:name w:val="Îñíîâíîé òåêñò + Êóðñèâ7.Èíòåðâàë 0 pt23"/>
    <w:uiPriority w:val="99"/>
    <w:rsid w:val="00BB6316"/>
    <w:rPr>
      <w:rFonts w:ascii="Microsoft Sans Serif" w:hAnsi="Microsoft Sans Serif" w:cs="Microsoft Sans Serif"/>
      <w:i/>
      <w:iCs/>
      <w:spacing w:val="0"/>
      <w:sz w:val="16"/>
      <w:szCs w:val="16"/>
    </w:rPr>
  </w:style>
  <w:style w:type="character" w:customStyle="1" w:styleId="12BookmanOldStyle6865pt1710">
    <w:name w:val="Îñíîâíîé òåêñò (12) + Bookman Old Style6.86.5 pt17.Íå êóðñèâ10"/>
    <w:uiPriority w:val="99"/>
    <w:rsid w:val="00BB6316"/>
    <w:rPr>
      <w:rFonts w:ascii="Bookman Old Style" w:hAnsi="Bookman Old Style" w:cs="Bookman Old Style"/>
      <w:i/>
      <w:iCs/>
      <w:spacing w:val="0"/>
      <w:sz w:val="17"/>
      <w:szCs w:val="17"/>
    </w:rPr>
  </w:style>
  <w:style w:type="character" w:customStyle="1" w:styleId="60pt22">
    <w:name w:val="Îñíîâíîé òåêñò + Êóðñèâ6.Èíòåðâàë 0 pt22"/>
    <w:uiPriority w:val="99"/>
    <w:rsid w:val="00BB6316"/>
    <w:rPr>
      <w:rFonts w:ascii="Microsoft Sans Serif" w:hAnsi="Microsoft Sans Serif" w:cs="Microsoft Sans Serif"/>
      <w:i/>
      <w:iCs/>
      <w:spacing w:val="0"/>
      <w:sz w:val="16"/>
      <w:szCs w:val="16"/>
    </w:rPr>
  </w:style>
  <w:style w:type="character" w:customStyle="1" w:styleId="1230">
    <w:name w:val="Îñíîâíîé òåêñò (12)3"/>
    <w:uiPriority w:val="99"/>
    <w:rsid w:val="00BB6316"/>
    <w:rPr>
      <w:rFonts w:ascii="Microsoft Sans Serif" w:hAnsi="Microsoft Sans Serif" w:cs="Microsoft Sans Serif"/>
      <w:i/>
      <w:iCs/>
      <w:spacing w:val="0"/>
      <w:sz w:val="16"/>
      <w:szCs w:val="16"/>
      <w:u w:val="single"/>
    </w:rPr>
  </w:style>
  <w:style w:type="character" w:customStyle="1" w:styleId="1230pt21">
    <w:name w:val="Îñíîâíîé òåêñò (12) + Íå êóðñèâ3.Èíòåðâàë 0 pt21"/>
    <w:uiPriority w:val="99"/>
    <w:rsid w:val="00BB6316"/>
    <w:rPr>
      <w:rFonts w:ascii="Microsoft Sans Serif" w:hAnsi="Microsoft Sans Serif" w:cs="Microsoft Sans Serif"/>
      <w:i/>
      <w:iCs/>
      <w:spacing w:val="-10"/>
      <w:sz w:val="16"/>
      <w:szCs w:val="16"/>
    </w:rPr>
  </w:style>
  <w:style w:type="character" w:customStyle="1" w:styleId="0pt20">
    <w:name w:val="Îñíîâíîé òåêñò + Ìàëûå ïðîïèñíûå.Èíòåðâàë 0 pt20"/>
    <w:uiPriority w:val="99"/>
    <w:rsid w:val="00BB6316"/>
    <w:rPr>
      <w:rFonts w:ascii="Microsoft Sans Serif" w:hAnsi="Microsoft Sans Serif" w:cs="Microsoft Sans Serif"/>
      <w:smallCaps/>
      <w:spacing w:val="0"/>
      <w:sz w:val="16"/>
      <w:szCs w:val="16"/>
    </w:rPr>
  </w:style>
  <w:style w:type="character" w:customStyle="1" w:styleId="1265pt160pt19">
    <w:name w:val="Îñíîâíîé òåêñò (12) + 6.5 pt16.Ìàëûå ïðîïèñíûå.Èíòåðâàë 0 pt19"/>
    <w:uiPriority w:val="99"/>
    <w:rsid w:val="00BB6316"/>
    <w:rPr>
      <w:rFonts w:ascii="Microsoft Sans Serif" w:hAnsi="Microsoft Sans Serif" w:cs="Microsoft Sans Serif"/>
      <w:i/>
      <w:iCs/>
      <w:smallCaps/>
      <w:spacing w:val="10"/>
      <w:sz w:val="13"/>
      <w:szCs w:val="13"/>
      <w:lang w:val="en-US"/>
    </w:rPr>
  </w:style>
  <w:style w:type="character" w:customStyle="1" w:styleId="1220pt18">
    <w:name w:val="Îñíîâíîé òåêñò (12) + Íå êóðñèâ2.Èíòåðâàë 0 pt18"/>
    <w:uiPriority w:val="99"/>
    <w:rsid w:val="00BB6316"/>
    <w:rPr>
      <w:rFonts w:ascii="Microsoft Sans Serif" w:hAnsi="Microsoft Sans Serif" w:cs="Microsoft Sans Serif"/>
      <w:i/>
      <w:iCs/>
      <w:spacing w:val="-10"/>
      <w:sz w:val="16"/>
      <w:szCs w:val="16"/>
    </w:rPr>
  </w:style>
  <w:style w:type="character" w:customStyle="1" w:styleId="50pt17">
    <w:name w:val="Îñíîâíîé òåêñò + Êóðñèâ5.Èíòåðâàë 0 pt17"/>
    <w:uiPriority w:val="99"/>
    <w:rsid w:val="00BB6316"/>
    <w:rPr>
      <w:rFonts w:ascii="Microsoft Sans Serif" w:hAnsi="Microsoft Sans Serif" w:cs="Microsoft Sans Serif"/>
      <w:i/>
      <w:iCs/>
      <w:spacing w:val="0"/>
      <w:sz w:val="16"/>
      <w:szCs w:val="16"/>
    </w:rPr>
  </w:style>
  <w:style w:type="character" w:customStyle="1" w:styleId="150pt62">
    <w:name w:val="Îñíîâíîé òåêñò + Êóðñèâ15.Èíòåðâàë 0 pt62"/>
    <w:uiPriority w:val="99"/>
    <w:rsid w:val="00BB6316"/>
    <w:rPr>
      <w:rFonts w:ascii="Lucida Sans Unicode" w:hAnsi="Lucida Sans Unicode" w:cs="Lucida Sans Unicode"/>
      <w:i/>
      <w:iCs/>
      <w:spacing w:val="0"/>
      <w:sz w:val="16"/>
      <w:szCs w:val="16"/>
    </w:rPr>
  </w:style>
  <w:style w:type="character" w:customStyle="1" w:styleId="20150pt61">
    <w:name w:val="Îñíîâíîé òåêñò (20) + Íå êóðñèâ15.Èíòåðâàë 0 pt61"/>
    <w:uiPriority w:val="99"/>
    <w:rsid w:val="00BB6316"/>
    <w:rPr>
      <w:rFonts w:ascii="Lucida Sans Unicode" w:hAnsi="Lucida Sans Unicode" w:cs="Lucida Sans Unicode"/>
      <w:b/>
      <w:bCs/>
      <w:i/>
      <w:iCs/>
      <w:spacing w:val="-10"/>
      <w:sz w:val="16"/>
      <w:szCs w:val="16"/>
    </w:rPr>
  </w:style>
  <w:style w:type="character" w:customStyle="1" w:styleId="154">
    <w:name w:val="Îñíîâíîé òåêñò + Êóðñèâ15"/>
    <w:uiPriority w:val="99"/>
    <w:rsid w:val="00BB6316"/>
    <w:rPr>
      <w:rFonts w:ascii="Arial" w:hAnsi="Arial" w:cs="Arial"/>
      <w:i/>
      <w:iCs/>
      <w:spacing w:val="-10"/>
      <w:sz w:val="17"/>
      <w:szCs w:val="17"/>
      <w:u w:val="single"/>
    </w:rPr>
  </w:style>
  <w:style w:type="character" w:customStyle="1" w:styleId="1190">
    <w:name w:val="Îñíîâíîé òåêñò (11) + Íå êóðñèâ9"/>
    <w:uiPriority w:val="99"/>
    <w:rsid w:val="00BB6316"/>
    <w:rPr>
      <w:rFonts w:ascii="Arial" w:hAnsi="Arial" w:cs="Arial"/>
      <w:i/>
      <w:iCs/>
      <w:spacing w:val="-10"/>
      <w:sz w:val="17"/>
      <w:szCs w:val="17"/>
    </w:rPr>
  </w:style>
  <w:style w:type="character" w:customStyle="1" w:styleId="145">
    <w:name w:val="Îñíîâíîé òåêñò + Êóðñèâ14"/>
    <w:uiPriority w:val="99"/>
    <w:rsid w:val="00BB6316"/>
    <w:rPr>
      <w:rFonts w:ascii="Arial" w:hAnsi="Arial" w:cs="Arial"/>
      <w:i/>
      <w:iCs/>
      <w:spacing w:val="-10"/>
      <w:sz w:val="17"/>
      <w:szCs w:val="17"/>
    </w:rPr>
  </w:style>
  <w:style w:type="character" w:customStyle="1" w:styleId="1180">
    <w:name w:val="Îñíîâíîé òåêñò (11) + Íå êóðñèâ8"/>
    <w:uiPriority w:val="99"/>
    <w:rsid w:val="00BB6316"/>
    <w:rPr>
      <w:rFonts w:ascii="Arial" w:hAnsi="Arial" w:cs="Arial"/>
      <w:i/>
      <w:iCs/>
      <w:spacing w:val="-10"/>
      <w:sz w:val="17"/>
      <w:szCs w:val="17"/>
    </w:rPr>
  </w:style>
  <w:style w:type="character" w:customStyle="1" w:styleId="133">
    <w:name w:val="Îñíîâíîé òåêñò + Êóðñèâ13"/>
    <w:uiPriority w:val="99"/>
    <w:rsid w:val="00BB6316"/>
    <w:rPr>
      <w:rFonts w:ascii="Arial" w:hAnsi="Arial" w:cs="Arial"/>
      <w:i/>
      <w:iCs/>
      <w:spacing w:val="-10"/>
      <w:sz w:val="17"/>
      <w:szCs w:val="17"/>
      <w:lang w:val="en-US"/>
    </w:rPr>
  </w:style>
  <w:style w:type="character" w:customStyle="1" w:styleId="8pt3100pt23">
    <w:name w:val="Îñíîâíîé òåêñò + 8 pt3.Êóðñèâ10.Ìàëûå ïðîïèñíûå.Èíòåðâàë 0 pt23"/>
    <w:uiPriority w:val="99"/>
    <w:rsid w:val="00BB6316"/>
    <w:rPr>
      <w:rFonts w:ascii="Arial" w:hAnsi="Arial" w:cs="Arial"/>
      <w:i/>
      <w:iCs/>
      <w:smallCaps/>
      <w:spacing w:val="0"/>
      <w:sz w:val="16"/>
      <w:szCs w:val="16"/>
      <w:lang w:val="en-US"/>
    </w:rPr>
  </w:style>
  <w:style w:type="character" w:customStyle="1" w:styleId="11SimHei75pt3080pt22">
    <w:name w:val="Îñíîâíîé òåêñò (11) + SimHei.7.5 pt30.Íå êóðñèâ8.Èíòåðâàë 0 pt22"/>
    <w:uiPriority w:val="99"/>
    <w:rsid w:val="00BB6316"/>
    <w:rPr>
      <w:rFonts w:ascii="SimHei" w:eastAsia="SimHei" w:hAnsi="Microsoft Sans Serif" w:cs="SimHei"/>
      <w:i/>
      <w:iCs/>
      <w:spacing w:val="0"/>
      <w:sz w:val="15"/>
      <w:szCs w:val="15"/>
    </w:rPr>
  </w:style>
  <w:style w:type="character" w:customStyle="1" w:styleId="127">
    <w:name w:val="Îñíîâíîé òåêñò + Êóðñèâ12"/>
    <w:uiPriority w:val="99"/>
    <w:rsid w:val="00BB6316"/>
    <w:rPr>
      <w:rFonts w:ascii="Arial" w:hAnsi="Arial" w:cs="Arial"/>
      <w:i/>
      <w:iCs/>
      <w:spacing w:val="-10"/>
      <w:sz w:val="17"/>
      <w:szCs w:val="17"/>
    </w:rPr>
  </w:style>
  <w:style w:type="character" w:customStyle="1" w:styleId="1170">
    <w:name w:val="Îñíîâíîé òåêñò (11) + Íå êóðñèâ7"/>
    <w:uiPriority w:val="99"/>
    <w:rsid w:val="00BB6316"/>
    <w:rPr>
      <w:rFonts w:ascii="Arial" w:hAnsi="Arial" w:cs="Arial"/>
      <w:i/>
      <w:iCs/>
      <w:spacing w:val="-10"/>
      <w:sz w:val="17"/>
      <w:szCs w:val="17"/>
    </w:rPr>
  </w:style>
  <w:style w:type="paragraph" w:customStyle="1" w:styleId="11a">
    <w:name w:val="Çàãîëîâîê ¹11"/>
    <w:basedOn w:val="a0"/>
    <w:uiPriority w:val="99"/>
    <w:rsid w:val="00BB6316"/>
    <w:pPr>
      <w:shd w:val="clear" w:color="auto" w:fill="FFFFFF"/>
      <w:autoSpaceDE w:val="0"/>
      <w:autoSpaceDN w:val="0"/>
      <w:adjustRightInd w:val="0"/>
      <w:spacing w:after="180" w:line="240" w:lineRule="atLeast"/>
    </w:pPr>
    <w:rPr>
      <w:rFonts w:ascii="Arial" w:hAnsi="Arial" w:cs="Arial"/>
      <w:b/>
      <w:bCs/>
      <w:noProof/>
      <w:sz w:val="17"/>
      <w:szCs w:val="17"/>
      <w:lang w:val="en-US"/>
    </w:rPr>
  </w:style>
  <w:style w:type="character" w:customStyle="1" w:styleId="635pt54">
    <w:name w:val="Îñíîâíîé òåêñò + 63.5 pt5.Ïîëóæèðíûé4"/>
    <w:uiPriority w:val="99"/>
    <w:rsid w:val="00BB6316"/>
    <w:rPr>
      <w:rFonts w:ascii="Arial" w:hAnsi="Arial" w:cs="Arial"/>
      <w:b/>
      <w:bCs/>
      <w:sz w:val="13"/>
      <w:szCs w:val="13"/>
    </w:rPr>
  </w:style>
  <w:style w:type="character" w:customStyle="1" w:styleId="1010">
    <w:name w:val="Îñíîâíîé òåêñò (10) + Íå êóðñèâ1"/>
    <w:uiPriority w:val="99"/>
    <w:rsid w:val="00BB6316"/>
    <w:rPr>
      <w:rFonts w:ascii="Arial" w:hAnsi="Arial" w:cs="Arial"/>
      <w:i/>
      <w:iCs/>
      <w:sz w:val="15"/>
      <w:szCs w:val="15"/>
    </w:rPr>
  </w:style>
  <w:style w:type="paragraph" w:customStyle="1" w:styleId="106">
    <w:name w:val="Îñíîâíîé òåêñò (10)"/>
    <w:basedOn w:val="a0"/>
    <w:uiPriority w:val="99"/>
    <w:rsid w:val="00BB6316"/>
    <w:pPr>
      <w:shd w:val="clear" w:color="auto" w:fill="FFFFFF"/>
      <w:autoSpaceDE w:val="0"/>
      <w:autoSpaceDN w:val="0"/>
      <w:adjustRightInd w:val="0"/>
      <w:spacing w:before="120" w:after="120" w:line="174" w:lineRule="exact"/>
      <w:jc w:val="both"/>
    </w:pPr>
    <w:rPr>
      <w:rFonts w:ascii="Arial" w:hAnsi="Arial" w:cs="Arial"/>
      <w:i/>
      <w:iCs/>
      <w:noProof/>
      <w:sz w:val="15"/>
      <w:szCs w:val="15"/>
      <w:lang w:val="en-US"/>
    </w:rPr>
  </w:style>
  <w:style w:type="character" w:customStyle="1" w:styleId="3f8">
    <w:name w:val="Îñíîâíîé òåêñò + Ïîëóæèðíûé3"/>
    <w:uiPriority w:val="99"/>
    <w:rsid w:val="00BB6316"/>
    <w:rPr>
      <w:rFonts w:ascii="Arial" w:hAnsi="Arial" w:cs="Arial"/>
      <w:b/>
      <w:bCs/>
      <w:sz w:val="16"/>
      <w:szCs w:val="16"/>
    </w:rPr>
  </w:style>
  <w:style w:type="character" w:customStyle="1" w:styleId="2f7">
    <w:name w:val="Îñíîâíîé òåêñò + Ïîëóæèðíûé2"/>
    <w:uiPriority w:val="99"/>
    <w:rsid w:val="00BB6316"/>
    <w:rPr>
      <w:rFonts w:ascii="Arial" w:hAnsi="Arial" w:cs="Arial"/>
      <w:b/>
      <w:bCs/>
      <w:sz w:val="16"/>
      <w:szCs w:val="16"/>
    </w:rPr>
  </w:style>
  <w:style w:type="character" w:customStyle="1" w:styleId="481">
    <w:name w:val="Îñíîâíîé òåêñò (4) + Íå êóðñèâ8"/>
    <w:uiPriority w:val="99"/>
    <w:rsid w:val="00BB6316"/>
    <w:rPr>
      <w:rFonts w:ascii="Arial" w:hAnsi="Arial" w:cs="Arial"/>
      <w:i/>
      <w:iCs/>
      <w:sz w:val="16"/>
      <w:szCs w:val="16"/>
    </w:rPr>
  </w:style>
  <w:style w:type="character" w:customStyle="1" w:styleId="6a">
    <w:name w:val="Îñíîâíîé òåêñò + Êóðñèâ6"/>
    <w:uiPriority w:val="99"/>
    <w:rsid w:val="00BB6316"/>
    <w:rPr>
      <w:rFonts w:ascii="Arial" w:hAnsi="Arial" w:cs="Arial"/>
      <w:i/>
      <w:iCs/>
      <w:spacing w:val="-10"/>
      <w:sz w:val="16"/>
      <w:szCs w:val="16"/>
    </w:rPr>
  </w:style>
  <w:style w:type="character" w:customStyle="1" w:styleId="471">
    <w:name w:val="Îñíîâíîé òåêñò (4) + Íå êóðñèâ7"/>
    <w:uiPriority w:val="99"/>
    <w:rsid w:val="00BB6316"/>
    <w:rPr>
      <w:rFonts w:ascii="Arial" w:hAnsi="Arial" w:cs="Arial"/>
      <w:i/>
      <w:iCs/>
      <w:sz w:val="16"/>
      <w:szCs w:val="16"/>
    </w:rPr>
  </w:style>
  <w:style w:type="character" w:customStyle="1" w:styleId="465pt7">
    <w:name w:val="Îñíîâíîé òåêñò (4) + 6.5 pt7"/>
    <w:uiPriority w:val="99"/>
    <w:rsid w:val="00BB6316"/>
    <w:rPr>
      <w:rFonts w:ascii="Arial" w:hAnsi="Arial" w:cs="Arial"/>
      <w:i/>
      <w:iCs/>
      <w:noProof/>
      <w:sz w:val="13"/>
      <w:szCs w:val="13"/>
    </w:rPr>
  </w:style>
  <w:style w:type="character" w:customStyle="1" w:styleId="27Arial8pt12">
    <w:name w:val="Îñíîâíîé òåêñò (27) + Arial.8 pt1.Íå êóðñèâ2"/>
    <w:uiPriority w:val="99"/>
    <w:rsid w:val="00BB6316"/>
    <w:rPr>
      <w:rFonts w:ascii="Arial" w:hAnsi="Arial" w:cs="Arial"/>
      <w:i/>
      <w:iCs/>
      <w:sz w:val="16"/>
      <w:szCs w:val="16"/>
    </w:rPr>
  </w:style>
  <w:style w:type="character" w:customStyle="1" w:styleId="277">
    <w:name w:val="Îñíîâíîé òåêñò (27) + Ïîëóæèðíûé"/>
    <w:uiPriority w:val="99"/>
    <w:rsid w:val="00BB6316"/>
    <w:rPr>
      <w:rFonts w:ascii="Bookman Old Style" w:hAnsi="Bookman Old Style" w:cs="Bookman Old Style"/>
      <w:b/>
      <w:bCs/>
      <w:i/>
      <w:iCs/>
      <w:sz w:val="17"/>
      <w:szCs w:val="17"/>
    </w:rPr>
  </w:style>
  <w:style w:type="paragraph" w:customStyle="1" w:styleId="4f">
    <w:name w:val="Îñíîâíîé òåêñò (4)"/>
    <w:basedOn w:val="a0"/>
    <w:uiPriority w:val="99"/>
    <w:rsid w:val="00BB6316"/>
    <w:pPr>
      <w:shd w:val="clear" w:color="auto" w:fill="FFFFFF"/>
      <w:autoSpaceDE w:val="0"/>
      <w:autoSpaceDN w:val="0"/>
      <w:adjustRightInd w:val="0"/>
      <w:spacing w:after="120" w:line="191" w:lineRule="exact"/>
      <w:jc w:val="both"/>
    </w:pPr>
    <w:rPr>
      <w:rFonts w:ascii="Arial" w:hAnsi="Arial" w:cs="Arial"/>
      <w:i/>
      <w:iCs/>
      <w:noProof/>
      <w:sz w:val="16"/>
      <w:szCs w:val="16"/>
      <w:lang w:val="en-US"/>
    </w:rPr>
  </w:style>
  <w:style w:type="character" w:customStyle="1" w:styleId="TimesNewRoman440pt44">
    <w:name w:val="Îñíîâíîé òåêñò + Times New Roman4.40 pt4.Ïîëóæèðíûé4"/>
    <w:uiPriority w:val="99"/>
    <w:rsid w:val="00BB6316"/>
    <w:rPr>
      <w:rFonts w:ascii="Times New Roman" w:hAnsi="Times New Roman" w:cs="Times New Roman"/>
      <w:b/>
      <w:bCs/>
      <w:noProof/>
      <w:sz w:val="80"/>
      <w:szCs w:val="80"/>
    </w:rPr>
  </w:style>
  <w:style w:type="character" w:customStyle="1" w:styleId="322">
    <w:name w:val="Çàãîëîâîê ¹32"/>
    <w:uiPriority w:val="99"/>
    <w:rsid w:val="00BB6316"/>
    <w:rPr>
      <w:b/>
      <w:bCs/>
      <w:sz w:val="36"/>
      <w:szCs w:val="36"/>
    </w:rPr>
  </w:style>
  <w:style w:type="character" w:customStyle="1" w:styleId="TimesNewRoman140pt11">
    <w:name w:val="Îñíîâíîé òåêñò + Times New Roman1.40 pt1.Ïîëóæèðíûé1"/>
    <w:uiPriority w:val="99"/>
    <w:rsid w:val="00BB6316"/>
    <w:rPr>
      <w:rFonts w:ascii="Times New Roman" w:hAnsi="Times New Roman" w:cs="Times New Roman"/>
      <w:b/>
      <w:bCs/>
      <w:noProof/>
      <w:sz w:val="80"/>
      <w:szCs w:val="80"/>
    </w:rPr>
  </w:style>
  <w:style w:type="character" w:customStyle="1" w:styleId="422">
    <w:name w:val="Çàãîëîâîê ¹42"/>
    <w:uiPriority w:val="99"/>
    <w:rsid w:val="00BB6316"/>
    <w:rPr>
      <w:b/>
      <w:bCs/>
      <w:sz w:val="22"/>
      <w:szCs w:val="22"/>
      <w:u w:val="single"/>
    </w:rPr>
  </w:style>
  <w:style w:type="paragraph" w:customStyle="1" w:styleId="318">
    <w:name w:val="Çàãîëîâîê ¹31"/>
    <w:basedOn w:val="a0"/>
    <w:uiPriority w:val="99"/>
    <w:rsid w:val="00BB6316"/>
    <w:pPr>
      <w:shd w:val="clear" w:color="auto" w:fill="FFFFFF"/>
      <w:autoSpaceDE w:val="0"/>
      <w:autoSpaceDN w:val="0"/>
      <w:adjustRightInd w:val="0"/>
      <w:spacing w:after="0" w:line="240" w:lineRule="atLeast"/>
    </w:pPr>
    <w:rPr>
      <w:rFonts w:ascii="Times New Roman" w:hAnsi="Times New Roman"/>
      <w:b/>
      <w:bCs/>
      <w:noProof/>
      <w:sz w:val="36"/>
      <w:szCs w:val="36"/>
      <w:lang w:val="en-US"/>
    </w:rPr>
  </w:style>
  <w:style w:type="paragraph" w:customStyle="1" w:styleId="415">
    <w:name w:val="Çàãîëîâîê ¹41"/>
    <w:basedOn w:val="a0"/>
    <w:uiPriority w:val="99"/>
    <w:rsid w:val="00BB6316"/>
    <w:pPr>
      <w:shd w:val="clear" w:color="auto" w:fill="FFFFFF"/>
      <w:autoSpaceDE w:val="0"/>
      <w:autoSpaceDN w:val="0"/>
      <w:adjustRightInd w:val="0"/>
      <w:spacing w:before="180" w:after="180" w:line="240" w:lineRule="atLeast"/>
    </w:pPr>
    <w:rPr>
      <w:rFonts w:ascii="Times New Roman" w:hAnsi="Times New Roman"/>
      <w:b/>
      <w:bCs/>
      <w:noProof/>
      <w:lang w:val="en-US"/>
    </w:rPr>
  </w:style>
  <w:style w:type="paragraph" w:customStyle="1" w:styleId="afffff2">
    <w:name w:val="Êîëîíòèòóë"/>
    <w:basedOn w:val="a0"/>
    <w:uiPriority w:val="99"/>
    <w:rsid w:val="00BB6316"/>
    <w:pPr>
      <w:shd w:val="clear" w:color="auto" w:fill="FFFFFF"/>
      <w:autoSpaceDE w:val="0"/>
      <w:autoSpaceDN w:val="0"/>
      <w:adjustRightInd w:val="0"/>
      <w:spacing w:after="0" w:line="240" w:lineRule="auto"/>
    </w:pPr>
    <w:rPr>
      <w:rFonts w:ascii="Times New Roman" w:hAnsi="Times New Roman"/>
      <w:noProof/>
      <w:sz w:val="20"/>
      <w:szCs w:val="20"/>
      <w:lang w:val="en-US"/>
    </w:rPr>
  </w:style>
  <w:style w:type="character" w:customStyle="1" w:styleId="ArialNarrow115pt16">
    <w:name w:val="Êîëîíòèòóë + Arial Narrow.11.5 pt16.Ïîëóæèðíûé"/>
    <w:uiPriority w:val="99"/>
    <w:rsid w:val="00BB6316"/>
    <w:rPr>
      <w:rFonts w:ascii="Arial Narrow" w:hAnsi="Arial Narrow" w:cs="Arial Narrow"/>
      <w:b/>
      <w:bCs/>
      <w:color w:val="FFFFFF"/>
      <w:spacing w:val="0"/>
      <w:sz w:val="23"/>
      <w:szCs w:val="23"/>
    </w:rPr>
  </w:style>
  <w:style w:type="character" w:customStyle="1" w:styleId="MicrosoftSansSerif1515pt13">
    <w:name w:val="Êîëîíòèòóë + Microsoft Sans Serif1.51.5 pt13"/>
    <w:uiPriority w:val="99"/>
    <w:rsid w:val="00BB6316"/>
    <w:rPr>
      <w:rFonts w:ascii="Microsoft Sans Serif" w:hAnsi="Microsoft Sans Serif" w:cs="Microsoft Sans Serif"/>
      <w:spacing w:val="0"/>
      <w:sz w:val="11"/>
      <w:szCs w:val="11"/>
    </w:rPr>
  </w:style>
  <w:style w:type="character" w:customStyle="1" w:styleId="TimesNewRoman138pt4">
    <w:name w:val="Îñíîâíîé òåêñò + Times New Roman1.38 pt.Ïîëóæèðíûé4"/>
    <w:uiPriority w:val="99"/>
    <w:rsid w:val="00BB6316"/>
    <w:rPr>
      <w:rFonts w:ascii="Times New Roman" w:hAnsi="Times New Roman" w:cs="Times New Roman"/>
      <w:b/>
      <w:bCs/>
      <w:noProof/>
      <w:sz w:val="76"/>
      <w:szCs w:val="76"/>
    </w:rPr>
  </w:style>
  <w:style w:type="character" w:customStyle="1" w:styleId="2120">
    <w:name w:val="Îñíîâíîé òåêñò (21)2"/>
    <w:uiPriority w:val="99"/>
    <w:rsid w:val="00BB6316"/>
    <w:rPr>
      <w:rFonts w:ascii="MS Reference Sans Serif" w:hAnsi="MS Reference Sans Serif" w:cs="MS Reference Sans Serif"/>
      <w:color w:val="FFFFFF"/>
      <w:sz w:val="16"/>
      <w:szCs w:val="16"/>
    </w:rPr>
  </w:style>
  <w:style w:type="character" w:customStyle="1" w:styleId="MSReferenceSansSerif2">
    <w:name w:val="Îñíîâíîé òåêñò + MS Reference Sans Serif2"/>
    <w:uiPriority w:val="99"/>
    <w:rsid w:val="00BB6316"/>
    <w:rPr>
      <w:rFonts w:ascii="MS Reference Sans Serif" w:hAnsi="MS Reference Sans Serif" w:cs="MS Reference Sans Serif"/>
      <w:sz w:val="13"/>
      <w:szCs w:val="13"/>
    </w:rPr>
  </w:style>
  <w:style w:type="character" w:customStyle="1" w:styleId="1113">
    <w:name w:val="Îñíîâíîé òåêñò (11)13"/>
    <w:uiPriority w:val="99"/>
    <w:rsid w:val="00BB6316"/>
    <w:rPr>
      <w:rFonts w:ascii="Arial" w:hAnsi="Arial" w:cs="Arial"/>
      <w:sz w:val="12"/>
      <w:szCs w:val="12"/>
    </w:rPr>
  </w:style>
  <w:style w:type="character" w:customStyle="1" w:styleId="1112">
    <w:name w:val="Îñíîâíîé òåêñò (11)12"/>
    <w:uiPriority w:val="99"/>
    <w:rsid w:val="00BB6316"/>
    <w:rPr>
      <w:rFonts w:ascii="Arial" w:hAnsi="Arial" w:cs="Arial"/>
      <w:sz w:val="12"/>
      <w:szCs w:val="12"/>
    </w:rPr>
  </w:style>
  <w:style w:type="character" w:customStyle="1" w:styleId="MSReferenceSansSerif135pt13">
    <w:name w:val="Îñíîâíîé òåêñò + MS Reference Sans Serif1.35 pt1.Ïîëóæèðíûé3"/>
    <w:uiPriority w:val="99"/>
    <w:rsid w:val="00BB6316"/>
    <w:rPr>
      <w:rFonts w:ascii="MS Reference Sans Serif" w:hAnsi="MS Reference Sans Serif" w:cs="MS Reference Sans Serif"/>
      <w:b/>
      <w:bCs/>
      <w:noProof/>
      <w:sz w:val="70"/>
      <w:szCs w:val="70"/>
    </w:rPr>
  </w:style>
  <w:style w:type="paragraph" w:customStyle="1" w:styleId="155">
    <w:name w:val="Îñíîâíîé òåêñò (15)"/>
    <w:basedOn w:val="a0"/>
    <w:uiPriority w:val="99"/>
    <w:rsid w:val="00BB6316"/>
    <w:pPr>
      <w:shd w:val="clear" w:color="auto" w:fill="FFFFFF"/>
      <w:autoSpaceDE w:val="0"/>
      <w:autoSpaceDN w:val="0"/>
      <w:adjustRightInd w:val="0"/>
      <w:spacing w:after="240" w:line="240" w:lineRule="atLeast"/>
      <w:jc w:val="both"/>
    </w:pPr>
    <w:rPr>
      <w:rFonts w:cs="Calibri"/>
      <w:i/>
      <w:iCs/>
      <w:noProof/>
      <w:sz w:val="16"/>
      <w:szCs w:val="16"/>
      <w:lang w:val="en-US"/>
    </w:rPr>
  </w:style>
  <w:style w:type="paragraph" w:customStyle="1" w:styleId="2111">
    <w:name w:val="Îñíîâíîé òåêñò (21)1"/>
    <w:basedOn w:val="a0"/>
    <w:uiPriority w:val="99"/>
    <w:rsid w:val="00BB6316"/>
    <w:pPr>
      <w:shd w:val="clear" w:color="auto" w:fill="FFFFFF"/>
      <w:autoSpaceDE w:val="0"/>
      <w:autoSpaceDN w:val="0"/>
      <w:adjustRightInd w:val="0"/>
      <w:spacing w:after="0" w:line="240" w:lineRule="atLeast"/>
    </w:pPr>
    <w:rPr>
      <w:rFonts w:ascii="MS Reference Sans Serif" w:hAnsi="MS Reference Sans Serif" w:cs="MS Reference Sans Serif"/>
      <w:noProof/>
      <w:sz w:val="16"/>
      <w:szCs w:val="16"/>
      <w:lang w:val="en-US"/>
    </w:rPr>
  </w:style>
  <w:style w:type="paragraph" w:customStyle="1" w:styleId="3111">
    <w:name w:val="Îñíîâíîé òåêñò (31)1"/>
    <w:basedOn w:val="a0"/>
    <w:uiPriority w:val="99"/>
    <w:rsid w:val="00BB6316"/>
    <w:pPr>
      <w:shd w:val="clear" w:color="auto" w:fill="FFFFFF"/>
      <w:autoSpaceDE w:val="0"/>
      <w:autoSpaceDN w:val="0"/>
      <w:adjustRightInd w:val="0"/>
      <w:spacing w:after="0" w:line="240" w:lineRule="atLeast"/>
    </w:pPr>
    <w:rPr>
      <w:rFonts w:ascii="Times New Roman" w:hAnsi="Times New Roman"/>
      <w:b/>
      <w:bCs/>
      <w:noProof/>
      <w:sz w:val="88"/>
      <w:szCs w:val="88"/>
      <w:lang w:val="en-US"/>
    </w:rPr>
  </w:style>
  <w:style w:type="character" w:customStyle="1" w:styleId="A50">
    <w:name w:val="A5"/>
    <w:uiPriority w:val="99"/>
    <w:rsid w:val="00BB6316"/>
    <w:rPr>
      <w:color w:val="000000"/>
      <w:sz w:val="12"/>
      <w:szCs w:val="12"/>
    </w:rPr>
  </w:style>
  <w:style w:type="paragraph" w:customStyle="1" w:styleId="Pa2">
    <w:name w:val="Pa2"/>
    <w:basedOn w:val="Default"/>
    <w:next w:val="Default"/>
    <w:uiPriority w:val="99"/>
    <w:rsid w:val="00BB6316"/>
    <w:pPr>
      <w:spacing w:line="241" w:lineRule="atLeast"/>
    </w:pPr>
    <w:rPr>
      <w:color w:val="auto"/>
    </w:rPr>
  </w:style>
  <w:style w:type="paragraph" w:customStyle="1" w:styleId="Pa8">
    <w:name w:val="Pa8"/>
    <w:basedOn w:val="Default"/>
    <w:next w:val="Default"/>
    <w:uiPriority w:val="99"/>
    <w:rsid w:val="00BB6316"/>
    <w:pPr>
      <w:spacing w:line="201" w:lineRule="atLeast"/>
    </w:pPr>
    <w:rPr>
      <w:color w:val="auto"/>
    </w:rPr>
  </w:style>
  <w:style w:type="character" w:customStyle="1" w:styleId="2f8">
    <w:name w:val="Îñíîâíîé òåêñò (2)"/>
    <w:uiPriority w:val="99"/>
    <w:rsid w:val="00BB6316"/>
    <w:rPr>
      <w:rFonts w:ascii="MS Reference Sans Serif" w:hAnsi="MS Reference Sans Serif" w:cs="MS Reference Sans Serif"/>
      <w:i/>
      <w:iCs/>
      <w:spacing w:val="-10"/>
      <w:sz w:val="22"/>
      <w:szCs w:val="22"/>
    </w:rPr>
  </w:style>
  <w:style w:type="character" w:customStyle="1" w:styleId="2f9">
    <w:name w:val="Îñíîâíîé òåêñò (2) + Êóðñèâ"/>
    <w:uiPriority w:val="99"/>
    <w:rsid w:val="00BB6316"/>
    <w:rPr>
      <w:rFonts w:ascii="MS Reference Sans Serif" w:hAnsi="MS Reference Sans Serif" w:cs="MS Reference Sans Serif"/>
      <w:i/>
      <w:iCs/>
      <w:spacing w:val="-10"/>
      <w:sz w:val="22"/>
      <w:szCs w:val="22"/>
    </w:rPr>
  </w:style>
  <w:style w:type="paragraph" w:customStyle="1" w:styleId="2fa">
    <w:name w:val="Ïîäïèñü ê êàðòèíêå (2)"/>
    <w:basedOn w:val="a0"/>
    <w:uiPriority w:val="99"/>
    <w:rsid w:val="00BB6316"/>
    <w:pPr>
      <w:shd w:val="clear" w:color="auto" w:fill="FFFFFF"/>
      <w:autoSpaceDE w:val="0"/>
      <w:autoSpaceDN w:val="0"/>
      <w:adjustRightInd w:val="0"/>
      <w:spacing w:after="0" w:line="240" w:lineRule="atLeast"/>
    </w:pPr>
    <w:rPr>
      <w:rFonts w:ascii="MS Reference Sans Serif" w:hAnsi="MS Reference Sans Serif" w:cs="MS Reference Sans Serif"/>
      <w:noProof/>
      <w:spacing w:val="-10"/>
      <w:lang w:val="en-US"/>
    </w:rPr>
  </w:style>
  <w:style w:type="paragraph" w:customStyle="1" w:styleId="5e">
    <w:name w:val="Îñíîâíîé òåêñò (5)"/>
    <w:basedOn w:val="a0"/>
    <w:uiPriority w:val="99"/>
    <w:rsid w:val="00BB6316"/>
    <w:pPr>
      <w:shd w:val="clear" w:color="auto" w:fill="FFFFFF"/>
      <w:autoSpaceDE w:val="0"/>
      <w:autoSpaceDN w:val="0"/>
      <w:adjustRightInd w:val="0"/>
      <w:spacing w:after="0" w:line="240" w:lineRule="atLeast"/>
    </w:pPr>
    <w:rPr>
      <w:rFonts w:ascii="Trebuchet MS" w:hAnsi="Trebuchet MS" w:cs="Trebuchet MS"/>
      <w:noProof/>
      <w:sz w:val="11"/>
      <w:szCs w:val="11"/>
      <w:lang w:val="en-US"/>
    </w:rPr>
  </w:style>
  <w:style w:type="character" w:customStyle="1" w:styleId="105pt0pt">
    <w:name w:val="Îñíîâíîé òåêñò + 10.5 pt.Êóðñèâ.Èíòåðâàë 0 pt"/>
    <w:uiPriority w:val="99"/>
    <w:rsid w:val="00BB6316"/>
    <w:rPr>
      <w:rFonts w:ascii="Microsoft Sans Serif" w:hAnsi="Microsoft Sans Serif" w:cs="Microsoft Sans Serif"/>
      <w:i/>
      <w:iCs/>
      <w:spacing w:val="0"/>
      <w:sz w:val="21"/>
      <w:szCs w:val="21"/>
    </w:rPr>
  </w:style>
  <w:style w:type="character" w:customStyle="1" w:styleId="115pt29115pt8109112SimHei2Arial12pt11ptMSMincho12pt">
    <w:name w:val="Îñíîâíîé òåêñò + 11.5 pt2.Íå êóðñèâ.Îñíîâíîé òåêñò (9) + 11.5 pt8.Îñíîâíîé òåêñò (10) + 91.Íå ìàëûå ïðîïèñíûå1.Îñíîâíîé òåêñò (2) + SimHei.Îñíîâíîé òåêñò (2) + Arial.12 pt.11 pt.Îñíîâíîé òåêñò + MS Mincho.Îñíîâíîé òåêñò + 12 pt"/>
    <w:uiPriority w:val="99"/>
    <w:rsid w:val="00BB6316"/>
    <w:rPr>
      <w:rFonts w:ascii="MS Reference Sans Serif" w:hAnsi="MS Reference Sans Serif" w:cs="MS Reference Sans Serif"/>
      <w:spacing w:val="-10"/>
      <w:sz w:val="23"/>
      <w:szCs w:val="23"/>
    </w:rPr>
  </w:style>
  <w:style w:type="paragraph" w:customStyle="1" w:styleId="3f9">
    <w:name w:val="Îñíîâíîé òåêñò (3)"/>
    <w:basedOn w:val="a0"/>
    <w:uiPriority w:val="99"/>
    <w:rsid w:val="00BB6316"/>
    <w:pPr>
      <w:shd w:val="clear" w:color="auto" w:fill="FFFFFF"/>
      <w:autoSpaceDE w:val="0"/>
      <w:autoSpaceDN w:val="0"/>
      <w:adjustRightInd w:val="0"/>
      <w:spacing w:after="0" w:line="310" w:lineRule="exact"/>
      <w:jc w:val="both"/>
    </w:pPr>
    <w:rPr>
      <w:rFonts w:ascii="Times New Roman" w:hAnsi="Times New Roman"/>
      <w:noProof/>
      <w:spacing w:val="-10"/>
      <w:sz w:val="24"/>
      <w:szCs w:val="24"/>
      <w:lang w:val="en-US"/>
    </w:rPr>
  </w:style>
  <w:style w:type="character" w:customStyle="1" w:styleId="1-1pt">
    <w:name w:val="Çàãîëîâîê ¹1 + Èíòåðâàë -1 pt"/>
    <w:uiPriority w:val="99"/>
    <w:rsid w:val="00BB6316"/>
    <w:rPr>
      <w:rFonts w:ascii="Arial Narrow" w:hAnsi="Arial Narrow" w:cs="Arial Narrow"/>
      <w:b/>
      <w:bCs/>
      <w:spacing w:val="-20"/>
      <w:sz w:val="27"/>
      <w:szCs w:val="27"/>
    </w:rPr>
  </w:style>
  <w:style w:type="character" w:customStyle="1" w:styleId="0pt0">
    <w:name w:val="Îñíîâíîé òåêñò + Èíòåðâàë 0 pt"/>
    <w:uiPriority w:val="99"/>
    <w:rsid w:val="00BB6316"/>
    <w:rPr>
      <w:rFonts w:ascii="MS Reference Sans Serif" w:hAnsi="MS Reference Sans Serif" w:cs="MS Reference Sans Serif"/>
      <w:i/>
      <w:iCs/>
      <w:spacing w:val="10"/>
      <w:sz w:val="22"/>
      <w:szCs w:val="22"/>
    </w:rPr>
  </w:style>
  <w:style w:type="character" w:customStyle="1" w:styleId="21pt">
    <w:name w:val="Îñíîâíîé òåêñò (2) + Èíòåðâàë 1 pt"/>
    <w:uiPriority w:val="99"/>
    <w:rsid w:val="00BB6316"/>
    <w:rPr>
      <w:rFonts w:ascii="Tahoma" w:hAnsi="Tahoma" w:cs="Tahoma"/>
      <w:i/>
      <w:iCs/>
      <w:noProof/>
      <w:spacing w:val="30"/>
      <w:sz w:val="24"/>
      <w:szCs w:val="24"/>
    </w:rPr>
  </w:style>
  <w:style w:type="character" w:customStyle="1" w:styleId="2pt">
    <w:name w:val="Îñíîâíîé òåêñò + Èíòåðâàë 2 pt"/>
    <w:uiPriority w:val="99"/>
    <w:rsid w:val="00BB6316"/>
    <w:rPr>
      <w:rFonts w:ascii="Tahoma" w:hAnsi="Tahoma" w:cs="Tahoma"/>
      <w:i/>
      <w:iCs/>
      <w:spacing w:val="40"/>
      <w:sz w:val="21"/>
      <w:szCs w:val="21"/>
    </w:rPr>
  </w:style>
  <w:style w:type="character" w:customStyle="1" w:styleId="2pt1">
    <w:name w:val="Îñíîâíîé òåêñò + Èíòåðâàë 2 pt1"/>
    <w:uiPriority w:val="99"/>
    <w:rsid w:val="00BB6316"/>
    <w:rPr>
      <w:rFonts w:ascii="Tahoma" w:hAnsi="Tahoma" w:cs="Tahoma"/>
      <w:i/>
      <w:iCs/>
      <w:spacing w:val="40"/>
      <w:sz w:val="21"/>
      <w:szCs w:val="21"/>
    </w:rPr>
  </w:style>
  <w:style w:type="character" w:customStyle="1" w:styleId="211pt">
    <w:name w:val="Îñíîâíîé òåêñò (2) + 11 pt.Êóðñèâ"/>
    <w:uiPriority w:val="99"/>
    <w:rsid w:val="00BB6316"/>
    <w:rPr>
      <w:rFonts w:ascii="MS Reference Sans Serif" w:hAnsi="MS Reference Sans Serif" w:cs="MS Reference Sans Serif"/>
      <w:i/>
      <w:iCs/>
      <w:noProof/>
      <w:spacing w:val="-10"/>
      <w:sz w:val="22"/>
      <w:szCs w:val="22"/>
    </w:rPr>
  </w:style>
  <w:style w:type="character" w:customStyle="1" w:styleId="Batang16pt-1ptGulim125pt1111101Tahoma10pt">
    <w:name w:val="Êîëîíòèòóë + Batang.16 pt.Èíòåðâàë -1 pt.Îñíîâíîé òåêñò + Gulim.12.5 pt1.Íå êóðñèâ1.Îñíîâíîé òåêñò (11) + 10.Ìàëûå ïðîïèñíûå1.Îñíîâíîé òåêñò + Tahoma.10 pt"/>
    <w:uiPriority w:val="99"/>
    <w:rsid w:val="00BB6316"/>
    <w:rPr>
      <w:rFonts w:ascii="Batang" w:eastAsia="Batang" w:cs="Batang"/>
      <w:noProof/>
      <w:spacing w:val="-30"/>
      <w:sz w:val="32"/>
      <w:szCs w:val="32"/>
    </w:rPr>
  </w:style>
  <w:style w:type="character" w:customStyle="1" w:styleId="afffff3">
    <w:name w:val="Êîëîíòèòóë_"/>
    <w:uiPriority w:val="99"/>
    <w:rsid w:val="00BB6316"/>
    <w:rPr>
      <w:noProof/>
    </w:rPr>
  </w:style>
  <w:style w:type="character" w:customStyle="1" w:styleId="1095pt4">
    <w:name w:val="Îñíîâíîé òåêñò (10) + 9.5 pt4.Íå ìàëûå ïðîïèñíûå"/>
    <w:uiPriority w:val="99"/>
    <w:rsid w:val="00BB6316"/>
    <w:rPr>
      <w:rFonts w:ascii="Microsoft Sans Serif" w:hAnsi="Microsoft Sans Serif" w:cs="Microsoft Sans Serif"/>
      <w:smallCaps/>
      <w:noProof/>
      <w:spacing w:val="0"/>
      <w:sz w:val="19"/>
      <w:szCs w:val="19"/>
    </w:rPr>
  </w:style>
  <w:style w:type="character" w:customStyle="1" w:styleId="107">
    <w:name w:val="Îñíîâíîé òåêñò (10)_"/>
    <w:uiPriority w:val="99"/>
    <w:rsid w:val="00BB6316"/>
    <w:rPr>
      <w:rFonts w:ascii="Microsoft Sans Serif" w:hAnsi="Microsoft Sans Serif" w:cs="Microsoft Sans Serif"/>
      <w:smallCaps/>
      <w:sz w:val="17"/>
      <w:szCs w:val="17"/>
    </w:rPr>
  </w:style>
  <w:style w:type="character" w:customStyle="1" w:styleId="1185pt32">
    <w:name w:val="Îñíîâíîé òåêñò (11) + 8.5 pt3.Ìàëûå ïðîïèñíûå2"/>
    <w:uiPriority w:val="99"/>
    <w:rsid w:val="00BB6316"/>
    <w:rPr>
      <w:rFonts w:ascii="Microsoft Sans Serif" w:hAnsi="Microsoft Sans Serif" w:cs="Microsoft Sans Serif"/>
      <w:i/>
      <w:iCs/>
      <w:smallCaps/>
      <w:sz w:val="17"/>
      <w:szCs w:val="17"/>
    </w:rPr>
  </w:style>
  <w:style w:type="character" w:customStyle="1" w:styleId="21pt1">
    <w:name w:val="Îñíîâíîé òåêñò (2) + Èíòåðâàë 1 pt1"/>
    <w:uiPriority w:val="99"/>
    <w:rsid w:val="00BB6316"/>
    <w:rPr>
      <w:rFonts w:ascii="Microsoft Sans Serif" w:hAnsi="Microsoft Sans Serif" w:cs="Microsoft Sans Serif"/>
      <w:i/>
      <w:iCs/>
      <w:noProof/>
      <w:spacing w:val="30"/>
      <w:sz w:val="21"/>
      <w:szCs w:val="21"/>
    </w:rPr>
  </w:style>
  <w:style w:type="character" w:customStyle="1" w:styleId="2-1pt">
    <w:name w:val="Îñíîâíîé òåêñò (2) + Èíòåðâàë -1 pt"/>
    <w:uiPriority w:val="99"/>
    <w:rsid w:val="00BB6316"/>
    <w:rPr>
      <w:rFonts w:ascii="Microsoft Sans Serif" w:hAnsi="Microsoft Sans Serif" w:cs="Microsoft Sans Serif"/>
      <w:i/>
      <w:iCs/>
      <w:noProof/>
      <w:spacing w:val="-20"/>
      <w:sz w:val="21"/>
      <w:szCs w:val="21"/>
    </w:rPr>
  </w:style>
  <w:style w:type="character" w:customStyle="1" w:styleId="TrebuchetMS155ptArialNarrow17Tahoma0pt1211">
    <w:name w:val="Êîëîíòèòóë + Trebuchet MS.15.5 pt.Êîëîíòèòóë + Arial Narrow.17.Êîëîíòèòóë + Tahoma.Èíòåðâàë 0 pt1.Îñíîâíîé òåêñò (2) + 11"/>
    <w:uiPriority w:val="99"/>
    <w:rsid w:val="00BB6316"/>
    <w:rPr>
      <w:rFonts w:ascii="Trebuchet MS" w:hAnsi="Trebuchet MS" w:cs="Trebuchet MS"/>
      <w:noProof/>
      <w:sz w:val="31"/>
      <w:szCs w:val="31"/>
    </w:rPr>
  </w:style>
  <w:style w:type="character" w:customStyle="1" w:styleId="22pt">
    <w:name w:val="Îñíîâíîé òåêñò (2) + Èíòåðâàë 2 pt"/>
    <w:uiPriority w:val="99"/>
    <w:rsid w:val="00BB6316"/>
    <w:rPr>
      <w:rFonts w:ascii="Tahoma" w:hAnsi="Tahoma" w:cs="Tahoma"/>
      <w:i/>
      <w:iCs/>
      <w:noProof/>
      <w:spacing w:val="40"/>
      <w:sz w:val="21"/>
      <w:szCs w:val="21"/>
    </w:rPr>
  </w:style>
  <w:style w:type="character" w:customStyle="1" w:styleId="1pt0">
    <w:name w:val="Îñíîâíîé òåêñò + Èíòåðâàë 1 pt"/>
    <w:uiPriority w:val="99"/>
    <w:rsid w:val="00BB6316"/>
    <w:rPr>
      <w:rFonts w:ascii="Microsoft Sans Serif" w:hAnsi="Microsoft Sans Serif" w:cs="Microsoft Sans Serif"/>
      <w:i/>
      <w:iCs/>
      <w:spacing w:val="30"/>
      <w:sz w:val="21"/>
      <w:szCs w:val="21"/>
    </w:rPr>
  </w:style>
  <w:style w:type="character" w:customStyle="1" w:styleId="31pt">
    <w:name w:val="Îñíîâíîé òåêñò (3) + Èíòåðâàë 1 pt"/>
    <w:uiPriority w:val="99"/>
    <w:rsid w:val="00BB6316"/>
    <w:rPr>
      <w:rFonts w:ascii="MS Reference Sans Serif" w:hAnsi="MS Reference Sans Serif" w:cs="MS Reference Sans Serif"/>
      <w:b/>
      <w:bCs/>
      <w:i/>
      <w:iCs/>
      <w:spacing w:val="20"/>
      <w:sz w:val="22"/>
      <w:szCs w:val="22"/>
    </w:rPr>
  </w:style>
  <w:style w:type="character" w:customStyle="1" w:styleId="3pt0">
    <w:name w:val="Îñíîâíîé òåêñò + Èíòåðâàë 3 pt"/>
    <w:uiPriority w:val="99"/>
    <w:rsid w:val="00BB6316"/>
    <w:rPr>
      <w:rFonts w:ascii="Microsoft Sans Serif" w:hAnsi="Microsoft Sans Serif" w:cs="Microsoft Sans Serif"/>
      <w:i/>
      <w:iCs/>
      <w:spacing w:val="60"/>
      <w:sz w:val="21"/>
      <w:szCs w:val="21"/>
    </w:rPr>
  </w:style>
  <w:style w:type="character" w:customStyle="1" w:styleId="42pt">
    <w:name w:val="Îñíîâíîé òåêñò (4) + Èíòåðâàë 2 pt"/>
    <w:uiPriority w:val="99"/>
    <w:rsid w:val="00BB6316"/>
    <w:rPr>
      <w:rFonts w:ascii="Tahoma" w:hAnsi="Tahoma" w:cs="Tahoma"/>
      <w:i/>
      <w:iCs/>
      <w:spacing w:val="50"/>
      <w:sz w:val="21"/>
      <w:szCs w:val="21"/>
    </w:rPr>
  </w:style>
  <w:style w:type="character" w:customStyle="1" w:styleId="4f0">
    <w:name w:val="Îñíîâíîé òåêñò (4)_"/>
    <w:uiPriority w:val="99"/>
    <w:rsid w:val="00BB6316"/>
    <w:rPr>
      <w:rFonts w:ascii="Microsoft Sans Serif" w:hAnsi="Microsoft Sans Serif" w:cs="Microsoft Sans Serif"/>
      <w:i/>
      <w:iCs/>
      <w:sz w:val="21"/>
      <w:szCs w:val="21"/>
    </w:rPr>
  </w:style>
  <w:style w:type="character" w:customStyle="1" w:styleId="FranklinGothicHeavy">
    <w:name w:val="Îñíîâíîé òåêñò + Franklin Gothic Heavy"/>
    <w:uiPriority w:val="99"/>
    <w:rsid w:val="00BB6316"/>
    <w:rPr>
      <w:rFonts w:ascii="Franklin Gothic Heavy" w:hAnsi="Franklin Gothic Heavy" w:cs="Franklin Gothic Heavy"/>
      <w:spacing w:val="-10"/>
      <w:sz w:val="12"/>
      <w:szCs w:val="12"/>
    </w:rPr>
  </w:style>
  <w:style w:type="character" w:customStyle="1" w:styleId="Tahoma">
    <w:name w:val="Îñíîâíîé òåêñò + Tahoma.Ïîëóæèðíûé.Êóðñèâ"/>
    <w:uiPriority w:val="99"/>
    <w:rsid w:val="00BB6316"/>
    <w:rPr>
      <w:rFonts w:ascii="Tahoma" w:hAnsi="Tahoma" w:cs="Tahoma"/>
      <w:b/>
      <w:bCs/>
      <w:i/>
      <w:iCs/>
      <w:spacing w:val="-10"/>
      <w:sz w:val="12"/>
      <w:szCs w:val="12"/>
      <w:lang w:val="en-US"/>
    </w:rPr>
  </w:style>
  <w:style w:type="character" w:customStyle="1" w:styleId="afffff4">
    <w:name w:val="Îñíîâíîé òåêñò + Ïîëóæèðíûé"/>
    <w:uiPriority w:val="99"/>
    <w:rsid w:val="00BB6316"/>
    <w:rPr>
      <w:rFonts w:ascii="Trebuchet MS" w:hAnsi="Trebuchet MS" w:cs="Trebuchet MS"/>
      <w:b/>
      <w:bCs/>
      <w:spacing w:val="-10"/>
      <w:sz w:val="12"/>
      <w:szCs w:val="12"/>
    </w:rPr>
  </w:style>
  <w:style w:type="character" w:customStyle="1" w:styleId="CourierNew445pt">
    <w:name w:val="Îñíîâíîé òåêñò + Courier New.44.5 pt.Ïîëóæèðíûé"/>
    <w:uiPriority w:val="99"/>
    <w:rsid w:val="00BB6316"/>
    <w:rPr>
      <w:rFonts w:ascii="Courier New" w:hAnsi="Courier New" w:cs="Courier New"/>
      <w:b/>
      <w:bCs/>
      <w:noProof/>
      <w:spacing w:val="-10"/>
      <w:sz w:val="89"/>
      <w:szCs w:val="89"/>
    </w:rPr>
  </w:style>
  <w:style w:type="character" w:customStyle="1" w:styleId="55pt21">
    <w:name w:val="Îñíîâíîé òåêñò + 5.5 pt2.Ïîëóæèðíûé1"/>
    <w:uiPriority w:val="99"/>
    <w:rsid w:val="00BB6316"/>
    <w:rPr>
      <w:rFonts w:ascii="Tahoma" w:hAnsi="Tahoma" w:cs="Tahoma"/>
      <w:b/>
      <w:bCs/>
      <w:spacing w:val="-10"/>
      <w:sz w:val="11"/>
      <w:szCs w:val="11"/>
    </w:rPr>
  </w:style>
  <w:style w:type="character" w:customStyle="1" w:styleId="1f7">
    <w:name w:val="Îñíîâíîé òåêñò + Êóðñèâ1"/>
    <w:uiPriority w:val="99"/>
    <w:rsid w:val="00BB6316"/>
    <w:rPr>
      <w:rFonts w:ascii="Arial" w:hAnsi="Arial" w:cs="Arial"/>
      <w:i/>
      <w:iCs/>
      <w:spacing w:val="-10"/>
      <w:sz w:val="17"/>
      <w:szCs w:val="17"/>
    </w:rPr>
  </w:style>
  <w:style w:type="character" w:customStyle="1" w:styleId="625pt720pt7">
    <w:name w:val="Îñíîâíîé òåêñò + 62.5 pt7.Ïîëóæèðíûé2.Èíòåðâàë 0 pt7"/>
    <w:uiPriority w:val="99"/>
    <w:rsid w:val="00BB6316"/>
    <w:rPr>
      <w:rFonts w:ascii="Arial" w:hAnsi="Arial" w:cs="Arial"/>
      <w:b/>
      <w:bCs/>
      <w:spacing w:val="0"/>
      <w:sz w:val="13"/>
      <w:szCs w:val="13"/>
    </w:rPr>
  </w:style>
  <w:style w:type="character" w:customStyle="1" w:styleId="725pt6">
    <w:name w:val="Îñíîâíîé òåêñò + 72.5 pt6"/>
    <w:uiPriority w:val="99"/>
    <w:rsid w:val="00BB6316"/>
    <w:rPr>
      <w:rFonts w:ascii="Arial" w:hAnsi="Arial" w:cs="Arial"/>
      <w:spacing w:val="-10"/>
      <w:sz w:val="15"/>
      <w:szCs w:val="15"/>
    </w:rPr>
  </w:style>
  <w:style w:type="character" w:customStyle="1" w:styleId="6pt0pt6">
    <w:name w:val="Îñíîâíîé òåêñò + 6 pt.Èíòåðâàë 0 pt6"/>
    <w:uiPriority w:val="99"/>
    <w:rsid w:val="00BB6316"/>
    <w:rPr>
      <w:rFonts w:ascii="Arial" w:hAnsi="Arial" w:cs="Arial"/>
      <w:spacing w:val="0"/>
      <w:sz w:val="12"/>
      <w:szCs w:val="12"/>
    </w:rPr>
  </w:style>
  <w:style w:type="paragraph" w:customStyle="1" w:styleId="216">
    <w:name w:val="Ïîäïèñü ê êàðòèíêå (2)1"/>
    <w:basedOn w:val="a0"/>
    <w:uiPriority w:val="99"/>
    <w:rsid w:val="00BB6316"/>
    <w:pPr>
      <w:shd w:val="clear" w:color="auto" w:fill="FFFFFF"/>
      <w:autoSpaceDE w:val="0"/>
      <w:autoSpaceDN w:val="0"/>
      <w:adjustRightInd w:val="0"/>
      <w:spacing w:after="0" w:line="202" w:lineRule="exact"/>
    </w:pPr>
    <w:rPr>
      <w:rFonts w:ascii="Arial" w:hAnsi="Arial" w:cs="Arial"/>
      <w:i/>
      <w:iCs/>
      <w:noProof/>
      <w:spacing w:val="-10"/>
      <w:sz w:val="17"/>
      <w:szCs w:val="17"/>
      <w:lang w:val="en-US"/>
    </w:rPr>
  </w:style>
  <w:style w:type="character" w:customStyle="1" w:styleId="1f8">
    <w:name w:val="Îñíîâíîé òåêñò + Ìàëûå ïðîïèñíûå1"/>
    <w:uiPriority w:val="99"/>
    <w:rsid w:val="00BB6316"/>
    <w:rPr>
      <w:rFonts w:ascii="Microsoft Sans Serif" w:hAnsi="Microsoft Sans Serif" w:cs="Microsoft Sans Serif"/>
      <w:smallCaps/>
      <w:spacing w:val="-10"/>
      <w:sz w:val="28"/>
      <w:szCs w:val="28"/>
    </w:rPr>
  </w:style>
  <w:style w:type="character" w:customStyle="1" w:styleId="FranklinGothicBook111pt11">
    <w:name w:val="Îñíîâíîé òåêñò + Franklin Gothic Book1.11 pt1.Ìàëûå ïðîïèñíûå1"/>
    <w:uiPriority w:val="99"/>
    <w:rsid w:val="00BB6316"/>
    <w:rPr>
      <w:rFonts w:ascii="Franklin Gothic Book" w:hAnsi="Franklin Gothic Book" w:cs="Franklin Gothic Book"/>
      <w:smallCaps/>
      <w:spacing w:val="-10"/>
      <w:sz w:val="22"/>
      <w:szCs w:val="22"/>
    </w:rPr>
  </w:style>
  <w:style w:type="paragraph" w:customStyle="1" w:styleId="128">
    <w:name w:val="Çàãîëîâîê ¹12"/>
    <w:basedOn w:val="a0"/>
    <w:uiPriority w:val="99"/>
    <w:rsid w:val="00BB6316"/>
    <w:pPr>
      <w:shd w:val="clear" w:color="auto" w:fill="FFFFFF"/>
      <w:autoSpaceDE w:val="0"/>
      <w:autoSpaceDN w:val="0"/>
      <w:adjustRightInd w:val="0"/>
      <w:spacing w:after="0" w:line="240" w:lineRule="atLeast"/>
    </w:pPr>
    <w:rPr>
      <w:rFonts w:ascii="Microsoft Sans Serif" w:hAnsi="Microsoft Sans Serif" w:cs="Microsoft Sans Serif"/>
      <w:noProof/>
      <w:sz w:val="36"/>
      <w:szCs w:val="36"/>
      <w:lang w:val="en-US"/>
    </w:rPr>
  </w:style>
  <w:style w:type="character" w:customStyle="1" w:styleId="368">
    <w:name w:val="Îñíîâíîé òåêñò (36) + Íå êóðñèâ8"/>
    <w:uiPriority w:val="99"/>
    <w:rsid w:val="00BB6316"/>
    <w:rPr>
      <w:rFonts w:ascii="Arial" w:hAnsi="Arial" w:cs="Arial"/>
      <w:spacing w:val="0"/>
      <w:sz w:val="8"/>
      <w:szCs w:val="8"/>
    </w:rPr>
  </w:style>
  <w:style w:type="paragraph" w:customStyle="1" w:styleId="361">
    <w:name w:val="Îñíîâíîé òåêñò (36)"/>
    <w:basedOn w:val="a0"/>
    <w:uiPriority w:val="99"/>
    <w:rsid w:val="00BB6316"/>
    <w:pPr>
      <w:shd w:val="clear" w:color="auto" w:fill="FFFFFF"/>
      <w:autoSpaceDE w:val="0"/>
      <w:autoSpaceDN w:val="0"/>
      <w:adjustRightInd w:val="0"/>
      <w:spacing w:after="0" w:line="106" w:lineRule="exact"/>
      <w:jc w:val="both"/>
    </w:pPr>
    <w:rPr>
      <w:rFonts w:ascii="Arial" w:hAnsi="Arial" w:cs="Arial"/>
      <w:i/>
      <w:iCs/>
      <w:sz w:val="8"/>
      <w:szCs w:val="8"/>
    </w:rPr>
  </w:style>
  <w:style w:type="paragraph" w:customStyle="1" w:styleId="129">
    <w:name w:val="Îñíîâíîé òåêñò (12)"/>
    <w:basedOn w:val="a0"/>
    <w:uiPriority w:val="99"/>
    <w:rsid w:val="00BB6316"/>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1f9">
    <w:name w:val="Обычный (веб)1"/>
    <w:basedOn w:val="a0"/>
    <w:rsid w:val="00BB6316"/>
    <w:pPr>
      <w:overflowPunct w:val="0"/>
      <w:autoSpaceDE w:val="0"/>
      <w:autoSpaceDN w:val="0"/>
      <w:adjustRightInd w:val="0"/>
      <w:spacing w:before="100" w:after="100" w:line="240" w:lineRule="auto"/>
      <w:textAlignment w:val="baseline"/>
    </w:pPr>
    <w:rPr>
      <w:rFonts w:ascii="Times New Roman" w:eastAsia="Times New Roman" w:hAnsi="Times New Roman"/>
      <w:sz w:val="24"/>
      <w:szCs w:val="20"/>
      <w:lang w:eastAsia="ru-RU"/>
    </w:rPr>
  </w:style>
  <w:style w:type="paragraph" w:customStyle="1" w:styleId="95">
    <w:name w:val="Основной текст9"/>
    <w:basedOn w:val="a0"/>
    <w:rsid w:val="00BB6316"/>
    <w:pPr>
      <w:shd w:val="clear" w:color="auto" w:fill="FFFFFF"/>
      <w:overflowPunct w:val="0"/>
      <w:autoSpaceDE w:val="0"/>
      <w:autoSpaceDN w:val="0"/>
      <w:adjustRightInd w:val="0"/>
      <w:spacing w:after="1080" w:line="410" w:lineRule="exact"/>
      <w:ind w:hanging="2000"/>
      <w:jc w:val="center"/>
      <w:textAlignment w:val="baseline"/>
    </w:pPr>
    <w:rPr>
      <w:rFonts w:ascii="Times New Roman" w:eastAsia="Times New Roman" w:hAnsi="Times New Roman"/>
      <w:color w:val="000000"/>
      <w:sz w:val="18"/>
      <w:szCs w:val="20"/>
      <w:lang w:eastAsia="ru-RU"/>
    </w:rPr>
  </w:style>
  <w:style w:type="character" w:customStyle="1" w:styleId="1fa">
    <w:name w:val="Слабое выделение1"/>
    <w:rsid w:val="00BB6316"/>
    <w:rPr>
      <w:i/>
      <w:color w:val="808080"/>
    </w:rPr>
  </w:style>
  <w:style w:type="table" w:styleId="afffff5">
    <w:name w:val="Table Grid"/>
    <w:basedOn w:val="a2"/>
    <w:uiPriority w:val="59"/>
    <w:rsid w:val="00BB6316"/>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ucidaSansUnicode">
    <w:name w:val="Основной текст + Lucida Sans Unicode"/>
    <w:rsid w:val="00BB6316"/>
    <w:rPr>
      <w:rFonts w:ascii="Lucida Sans Unicode" w:hAnsi="Lucida Sans Unicode"/>
      <w:smallCaps/>
      <w:spacing w:val="-20"/>
      <w:sz w:val="17"/>
    </w:rPr>
  </w:style>
  <w:style w:type="character" w:customStyle="1" w:styleId="183">
    <w:name w:val="Основной текст (18)_"/>
    <w:link w:val="182"/>
    <w:rsid w:val="00BB6316"/>
    <w:rPr>
      <w:rFonts w:ascii="Arial" w:hAnsi="Arial" w:cs="Arial"/>
      <w:sz w:val="24"/>
      <w:szCs w:val="24"/>
      <w:shd w:val="clear" w:color="auto" w:fill="FFFFFF"/>
      <w:lang w:eastAsia="en-US"/>
    </w:rPr>
  </w:style>
  <w:style w:type="character" w:customStyle="1" w:styleId="aff6">
    <w:name w:val="Сноска_"/>
    <w:link w:val="aff5"/>
    <w:rsid w:val="00BB6316"/>
    <w:rPr>
      <w:rFonts w:ascii="Lucida Sans Unicode" w:hAnsi="Lucida Sans Unicode" w:cs="Lucida Sans Unicode"/>
      <w:i/>
      <w:iCs/>
      <w:noProof/>
      <w:sz w:val="13"/>
      <w:szCs w:val="13"/>
      <w:shd w:val="clear" w:color="auto" w:fill="FFFFFF"/>
      <w:lang w:val="en-US" w:eastAsia="en-US"/>
    </w:rPr>
  </w:style>
  <w:style w:type="character" w:customStyle="1" w:styleId="198">
    <w:name w:val="Основной текст (19) + 8"/>
    <w:rsid w:val="00BB6316"/>
    <w:rPr>
      <w:rFonts w:ascii="Times New Roman" w:hAnsi="Times New Roman"/>
      <w:sz w:val="17"/>
    </w:rPr>
  </w:style>
  <w:style w:type="character" w:styleId="afffff6">
    <w:name w:val="annotation reference"/>
    <w:uiPriority w:val="99"/>
    <w:semiHidden/>
    <w:unhideWhenUsed/>
    <w:rsid w:val="00BB6316"/>
    <w:rPr>
      <w:sz w:val="16"/>
      <w:szCs w:val="16"/>
    </w:rPr>
  </w:style>
  <w:style w:type="paragraph" w:styleId="afffff7">
    <w:name w:val="annotation text"/>
    <w:basedOn w:val="a0"/>
    <w:link w:val="afffff8"/>
    <w:uiPriority w:val="99"/>
    <w:semiHidden/>
    <w:unhideWhenUsed/>
    <w:rsid w:val="00BB6316"/>
    <w:pPr>
      <w:spacing w:after="200" w:line="240" w:lineRule="auto"/>
    </w:pPr>
    <w:rPr>
      <w:sz w:val="20"/>
      <w:szCs w:val="20"/>
    </w:rPr>
  </w:style>
  <w:style w:type="character" w:customStyle="1" w:styleId="afffff8">
    <w:name w:val="Текст примечания Знак"/>
    <w:link w:val="afffff7"/>
    <w:uiPriority w:val="99"/>
    <w:semiHidden/>
    <w:rsid w:val="00BB6316"/>
    <w:rPr>
      <w:lang w:eastAsia="en-US"/>
    </w:rPr>
  </w:style>
  <w:style w:type="paragraph" w:styleId="afffff9">
    <w:name w:val="annotation subject"/>
    <w:basedOn w:val="afffff7"/>
    <w:next w:val="afffff7"/>
    <w:link w:val="afffffa"/>
    <w:uiPriority w:val="99"/>
    <w:semiHidden/>
    <w:unhideWhenUsed/>
    <w:rsid w:val="00BB6316"/>
    <w:rPr>
      <w:b/>
      <w:bCs/>
    </w:rPr>
  </w:style>
  <w:style w:type="character" w:customStyle="1" w:styleId="afffffa">
    <w:name w:val="Тема примечания Знак"/>
    <w:link w:val="afffff9"/>
    <w:uiPriority w:val="99"/>
    <w:semiHidden/>
    <w:rsid w:val="00BB6316"/>
    <w:rPr>
      <w:b/>
      <w:bCs/>
      <w:lang w:eastAsia="en-US"/>
    </w:rPr>
  </w:style>
  <w:style w:type="paragraph" w:styleId="afffffb">
    <w:name w:val="Balloon Text"/>
    <w:basedOn w:val="a0"/>
    <w:link w:val="afffffc"/>
    <w:uiPriority w:val="99"/>
    <w:semiHidden/>
    <w:unhideWhenUsed/>
    <w:rsid w:val="00BB6316"/>
    <w:pPr>
      <w:spacing w:after="0" w:line="240" w:lineRule="auto"/>
    </w:pPr>
    <w:rPr>
      <w:rFonts w:ascii="Segoe UI" w:hAnsi="Segoe UI" w:cs="Segoe UI"/>
      <w:sz w:val="18"/>
      <w:szCs w:val="18"/>
    </w:rPr>
  </w:style>
  <w:style w:type="character" w:customStyle="1" w:styleId="afffffc">
    <w:name w:val="Текст выноски Знак"/>
    <w:link w:val="afffffb"/>
    <w:uiPriority w:val="99"/>
    <w:semiHidden/>
    <w:rsid w:val="00BB6316"/>
    <w:rPr>
      <w:rFonts w:ascii="Segoe UI" w:hAnsi="Segoe UI" w:cs="Segoe UI"/>
      <w:sz w:val="18"/>
      <w:szCs w:val="18"/>
      <w:lang w:eastAsia="en-US"/>
    </w:rPr>
  </w:style>
  <w:style w:type="character" w:customStyle="1" w:styleId="mfont1">
    <w:name w:val="mfont1"/>
    <w:rsid w:val="00BB6316"/>
  </w:style>
  <w:style w:type="table" w:customStyle="1" w:styleId="1fb">
    <w:name w:val="Сетка таблицы светлая1"/>
    <w:basedOn w:val="a2"/>
    <w:uiPriority w:val="40"/>
    <w:rsid w:val="00BB6316"/>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73">
    <w:name w:val="Основной текст (7)_"/>
    <w:link w:val="72"/>
    <w:rsid w:val="00BB6316"/>
    <w:rPr>
      <w:rFonts w:ascii="Arial Unicode MS" w:eastAsia="Arial Unicode MS" w:hAnsi="Times New Roman" w:cs="Arial Unicode MS"/>
      <w:spacing w:val="20"/>
      <w:sz w:val="25"/>
      <w:szCs w:val="25"/>
      <w:shd w:val="clear" w:color="auto" w:fill="FFFFFF"/>
      <w:lang w:eastAsia="en-US"/>
    </w:rPr>
  </w:style>
  <w:style w:type="character" w:customStyle="1" w:styleId="ArialNarrow85pt">
    <w:name w:val="Основной текст + Arial Narrow;8;5 pt;Курсив"/>
    <w:rsid w:val="00BB6316"/>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35">
    <w:name w:val="Основной текст (3)_"/>
    <w:link w:val="34"/>
    <w:rsid w:val="00BB6316"/>
    <w:rPr>
      <w:rFonts w:ascii="Gungsuh" w:eastAsia="Gungsuh" w:hAnsi="Times New Roman" w:cs="Gungsuh"/>
      <w:spacing w:val="20"/>
      <w:sz w:val="35"/>
      <w:szCs w:val="35"/>
      <w:shd w:val="clear" w:color="auto" w:fill="FFFFFF"/>
      <w:lang w:eastAsia="en-US"/>
    </w:rPr>
  </w:style>
  <w:style w:type="character" w:customStyle="1" w:styleId="3Tahoma8pt">
    <w:name w:val="Основной текст (3) + Tahoma;8 pt;Не курсив"/>
    <w:rsid w:val="00BB6316"/>
    <w:rPr>
      <w:rFonts w:ascii="Tahoma" w:eastAsia="Tahoma" w:hAnsi="Tahoma" w:cs="Tahoma"/>
      <w:i/>
      <w:iCs/>
      <w:spacing w:val="20"/>
      <w:sz w:val="35"/>
      <w:szCs w:val="35"/>
      <w:shd w:val="clear" w:color="auto" w:fill="FFFFFF"/>
    </w:rPr>
  </w:style>
  <w:style w:type="paragraph" w:customStyle="1" w:styleId="6b">
    <w:name w:val="Основной текст (6)"/>
    <w:basedOn w:val="a0"/>
    <w:link w:val="6c"/>
    <w:uiPriority w:val="99"/>
    <w:rsid w:val="00BB6316"/>
    <w:pPr>
      <w:shd w:val="clear" w:color="auto" w:fill="FFFFFF"/>
      <w:overflowPunct w:val="0"/>
      <w:autoSpaceDE w:val="0"/>
      <w:autoSpaceDN w:val="0"/>
      <w:adjustRightInd w:val="0"/>
      <w:spacing w:before="4980" w:after="0" w:line="252" w:lineRule="exact"/>
      <w:jc w:val="both"/>
      <w:textAlignment w:val="baseline"/>
    </w:pPr>
    <w:rPr>
      <w:rFonts w:eastAsia="Times New Roman"/>
      <w:sz w:val="24"/>
      <w:szCs w:val="20"/>
      <w:lang w:eastAsia="ru-RU"/>
    </w:rPr>
  </w:style>
  <w:style w:type="character" w:customStyle="1" w:styleId="6c">
    <w:name w:val="Основной текст (6)_"/>
    <w:link w:val="6b"/>
    <w:uiPriority w:val="99"/>
    <w:rsid w:val="00BB6316"/>
    <w:rPr>
      <w:rFonts w:eastAsia="Times New Roman"/>
      <w:sz w:val="24"/>
      <w:shd w:val="clear" w:color="auto" w:fill="FFFFFF"/>
    </w:rPr>
  </w:style>
  <w:style w:type="character" w:customStyle="1" w:styleId="612">
    <w:name w:val="Основной текст (6) + Не курсив1"/>
    <w:uiPriority w:val="99"/>
    <w:rsid w:val="00BB6316"/>
    <w:rPr>
      <w:rFonts w:ascii="Arial Narrow" w:eastAsia="Microsoft Sans Serif" w:hAnsi="Arial Narrow" w:cs="Arial Narrow"/>
      <w:i/>
      <w:iCs/>
      <w:spacing w:val="0"/>
      <w:sz w:val="17"/>
      <w:szCs w:val="17"/>
      <w:shd w:val="clear" w:color="auto" w:fill="FFFFFF"/>
      <w:lang w:eastAsia="ru-RU"/>
    </w:rPr>
  </w:style>
  <w:style w:type="character" w:customStyle="1" w:styleId="622">
    <w:name w:val="Основной текст (6) + Не курсив2"/>
    <w:uiPriority w:val="99"/>
    <w:rsid w:val="00BB6316"/>
    <w:rPr>
      <w:rFonts w:ascii="Arial Narrow" w:eastAsia="Microsoft Sans Serif" w:hAnsi="Arial Narrow" w:cs="Arial Narrow"/>
      <w:i/>
      <w:iCs/>
      <w:spacing w:val="0"/>
      <w:sz w:val="17"/>
      <w:szCs w:val="17"/>
      <w:shd w:val="clear" w:color="auto" w:fill="FFFFFF"/>
      <w:lang w:eastAsia="ru-RU"/>
    </w:rPr>
  </w:style>
  <w:style w:type="paragraph" w:customStyle="1" w:styleId="323">
    <w:name w:val="Основной текст (32)"/>
    <w:basedOn w:val="a0"/>
    <w:link w:val="324"/>
    <w:rsid w:val="00BB6316"/>
    <w:pPr>
      <w:shd w:val="clear" w:color="auto" w:fill="FFFFFF"/>
      <w:overflowPunct w:val="0"/>
      <w:autoSpaceDE w:val="0"/>
      <w:autoSpaceDN w:val="0"/>
      <w:adjustRightInd w:val="0"/>
      <w:spacing w:after="0" w:line="240" w:lineRule="atLeast"/>
      <w:textAlignment w:val="baseline"/>
    </w:pPr>
    <w:rPr>
      <w:rFonts w:ascii="Arial" w:eastAsia="Times New Roman" w:hAnsi="Arial"/>
      <w:sz w:val="27"/>
      <w:szCs w:val="20"/>
      <w:lang w:eastAsia="ru-RU"/>
    </w:rPr>
  </w:style>
  <w:style w:type="character" w:customStyle="1" w:styleId="324">
    <w:name w:val="Основной текст (32)_"/>
    <w:link w:val="323"/>
    <w:rsid w:val="00BB6316"/>
    <w:rPr>
      <w:rFonts w:ascii="Arial" w:eastAsia="Times New Roman" w:hAnsi="Arial"/>
      <w:sz w:val="27"/>
      <w:shd w:val="clear" w:color="auto" w:fill="FFFFFF"/>
    </w:rPr>
  </w:style>
  <w:style w:type="character" w:customStyle="1" w:styleId="119pt">
    <w:name w:val="Основной текст (11) + 9 pt;Полужирный"/>
    <w:rsid w:val="00BB6316"/>
    <w:rPr>
      <w:rFonts w:ascii="Times New Roman" w:eastAsia="Times New Roman" w:hAnsi="Times New Roman" w:cs="Times New Roman"/>
      <w:b/>
      <w:bCs/>
      <w:i w:val="0"/>
      <w:iCs w:val="0"/>
      <w:smallCaps w:val="0"/>
      <w:strike w:val="0"/>
      <w:spacing w:val="0"/>
      <w:sz w:val="18"/>
      <w:szCs w:val="18"/>
    </w:rPr>
  </w:style>
  <w:style w:type="character" w:customStyle="1" w:styleId="ArialNarrow-1pt">
    <w:name w:val="Основной текст + Arial Narrow;Полужирный;Интервал -1 pt"/>
    <w:rsid w:val="00BB6316"/>
    <w:rPr>
      <w:rFonts w:ascii="Arial Narrow" w:eastAsia="Arial Narrow" w:hAnsi="Arial Narrow" w:cs="Arial Narrow"/>
      <w:b/>
      <w:bCs/>
      <w:i w:val="0"/>
      <w:iCs w:val="0"/>
      <w:smallCaps w:val="0"/>
      <w:strike w:val="0"/>
      <w:spacing w:val="-20"/>
      <w:sz w:val="17"/>
      <w:szCs w:val="17"/>
      <w:shd w:val="clear" w:color="auto" w:fill="FFFFFF"/>
    </w:rPr>
  </w:style>
  <w:style w:type="character" w:customStyle="1" w:styleId="631">
    <w:name w:val="Основной текст (6) + Не курсив3"/>
    <w:uiPriority w:val="99"/>
    <w:rsid w:val="00BB6316"/>
    <w:rPr>
      <w:rFonts w:ascii="Arial Narrow" w:eastAsia="Microsoft Sans Serif" w:hAnsi="Arial Narrow" w:cs="Arial Narrow"/>
      <w:i/>
      <w:iCs/>
      <w:spacing w:val="0"/>
      <w:sz w:val="17"/>
      <w:szCs w:val="17"/>
      <w:shd w:val="clear" w:color="auto" w:fill="FFFFFF"/>
      <w:lang w:eastAsia="ru-RU"/>
    </w:rPr>
  </w:style>
  <w:style w:type="paragraph" w:customStyle="1" w:styleId="book">
    <w:name w:val="book"/>
    <w:basedOn w:val="a0"/>
    <w:rsid w:val="00715152"/>
    <w:pPr>
      <w:spacing w:after="0" w:line="240" w:lineRule="auto"/>
      <w:ind w:firstLine="300"/>
    </w:pPr>
    <w:rPr>
      <w:rFonts w:ascii="Times New Roman" w:eastAsia="Times New Roman" w:hAnsi="Times New Roman"/>
      <w:sz w:val="24"/>
      <w:szCs w:val="24"/>
      <w:lang w:eastAsia="ru-RU"/>
    </w:rPr>
  </w:style>
  <w:style w:type="character" w:customStyle="1" w:styleId="46">
    <w:name w:val="Основной текст (4)_"/>
    <w:link w:val="45"/>
    <w:rsid w:val="00C4748B"/>
    <w:rPr>
      <w:rFonts w:ascii="Gungsuh" w:eastAsia="Gungsuh" w:hAnsi="Times New Roman" w:cs="Gungsuh"/>
      <w:sz w:val="13"/>
      <w:szCs w:val="13"/>
      <w:shd w:val="clear" w:color="auto" w:fill="FFFFFF"/>
      <w:lang w:eastAsia="en-US"/>
    </w:rPr>
  </w:style>
  <w:style w:type="character" w:customStyle="1" w:styleId="4f1">
    <w:name w:val="Основной текст (4) + Не курсив"/>
    <w:rsid w:val="00C4748B"/>
    <w:rPr>
      <w:rFonts w:ascii="Arial Narrow" w:eastAsia="Arial Narrow" w:hAnsi="Arial Narrow" w:cs="Arial Narrow"/>
      <w:i/>
      <w:iCs/>
      <w:sz w:val="18"/>
      <w:szCs w:val="18"/>
      <w:shd w:val="clear" w:color="auto" w:fill="FFFFFF"/>
    </w:rPr>
  </w:style>
  <w:style w:type="character" w:customStyle="1" w:styleId="2a">
    <w:name w:val="Основной текст (2)_"/>
    <w:link w:val="28"/>
    <w:rsid w:val="00DD0C17"/>
    <w:rPr>
      <w:rFonts w:ascii="Segoe UI" w:hAnsi="Segoe UI" w:cs="Segoe UI"/>
      <w:sz w:val="13"/>
      <w:szCs w:val="13"/>
      <w:shd w:val="clear" w:color="auto" w:fill="FFFFFF"/>
      <w:lang w:eastAsia="en-US"/>
    </w:rPr>
  </w:style>
  <w:style w:type="character" w:customStyle="1" w:styleId="aff4">
    <w:name w:val="Подпись к таблице_"/>
    <w:link w:val="aff3"/>
    <w:rsid w:val="00DD0C17"/>
    <w:rPr>
      <w:rFonts w:ascii="Arial Narrow" w:hAnsi="Arial Narrow" w:cs="Arial Narrow"/>
      <w:i/>
      <w:iCs/>
      <w:noProof/>
      <w:shd w:val="clear" w:color="auto" w:fill="FFFFFF"/>
      <w:lang w:val="en-US" w:eastAsia="en-US"/>
    </w:rPr>
  </w:style>
  <w:style w:type="character" w:customStyle="1" w:styleId="affd">
    <w:name w:val="Подпись к картинке_"/>
    <w:link w:val="affc"/>
    <w:rsid w:val="00DD0C17"/>
    <w:rPr>
      <w:rFonts w:ascii="MS Reference Sans Serif" w:hAnsi="MS Reference Sans Serif" w:cs="MS Reference Sans Serif"/>
      <w:b/>
      <w:bCs/>
      <w:sz w:val="13"/>
      <w:szCs w:val="13"/>
      <w:shd w:val="clear" w:color="auto" w:fill="FFFFFF"/>
      <w:lang w:eastAsia="en-US"/>
    </w:rPr>
  </w:style>
  <w:style w:type="character" w:customStyle="1" w:styleId="123">
    <w:name w:val="Основной текст (12)_"/>
    <w:link w:val="122"/>
    <w:rsid w:val="00DD0C17"/>
    <w:rPr>
      <w:rFonts w:ascii="MS Reference Sans Serif" w:hAnsi="MS Reference Sans Serif" w:cs="MS Reference Sans Serif"/>
      <w:b/>
      <w:bCs/>
      <w:sz w:val="13"/>
      <w:szCs w:val="13"/>
      <w:shd w:val="clear" w:color="auto" w:fill="FFFFFF"/>
      <w:lang w:eastAsia="en-US"/>
    </w:rPr>
  </w:style>
  <w:style w:type="character" w:customStyle="1" w:styleId="341">
    <w:name w:val="Основной текст (34)_"/>
    <w:link w:val="340"/>
    <w:rsid w:val="00DD0C17"/>
    <w:rPr>
      <w:rFonts w:ascii="Arial Narrow" w:hAnsi="Arial Narrow" w:cs="Arial Narrow"/>
      <w:b/>
      <w:bCs/>
      <w:sz w:val="17"/>
      <w:szCs w:val="17"/>
      <w:shd w:val="clear" w:color="auto" w:fill="FFFFFF"/>
      <w:lang w:eastAsia="en-US"/>
    </w:rPr>
  </w:style>
  <w:style w:type="character" w:customStyle="1" w:styleId="500">
    <w:name w:val="Основной текст (50)_"/>
    <w:link w:val="501"/>
    <w:rsid w:val="00DD0C17"/>
    <w:rPr>
      <w:rFonts w:ascii="Arial" w:hAnsi="Arial" w:cs="Arial"/>
      <w:sz w:val="11"/>
      <w:szCs w:val="11"/>
      <w:shd w:val="clear" w:color="auto" w:fill="FFFFFF"/>
    </w:rPr>
  </w:style>
  <w:style w:type="character" w:customStyle="1" w:styleId="512">
    <w:name w:val="Основной текст (51)_"/>
    <w:link w:val="511"/>
    <w:rsid w:val="00DD0C17"/>
    <w:rPr>
      <w:rFonts w:ascii="Bookman Old Style" w:hAnsi="Bookman Old Style" w:cs="Bookman Old Style"/>
      <w:i/>
      <w:iCs/>
      <w:shd w:val="clear" w:color="auto" w:fill="FFFFFF"/>
      <w:lang w:eastAsia="en-US"/>
    </w:rPr>
  </w:style>
  <w:style w:type="character" w:customStyle="1" w:styleId="521">
    <w:name w:val="Основной текст (52)_"/>
    <w:link w:val="520"/>
    <w:rsid w:val="00DD0C17"/>
    <w:rPr>
      <w:rFonts w:ascii="MS Reference Sans Serif" w:hAnsi="MS Reference Sans Serif" w:cs="MS Reference Sans Serif"/>
      <w:sz w:val="13"/>
      <w:szCs w:val="13"/>
      <w:shd w:val="clear" w:color="auto" w:fill="FFFFFF"/>
      <w:lang w:eastAsia="en-US"/>
    </w:rPr>
  </w:style>
  <w:style w:type="character" w:customStyle="1" w:styleId="550">
    <w:name w:val="Основной текст (55)_"/>
    <w:link w:val="55"/>
    <w:rsid w:val="00DD0C17"/>
    <w:rPr>
      <w:rFonts w:ascii="MS Reference Sans Serif" w:hAnsi="MS Reference Sans Serif" w:cs="MS Reference Sans Serif"/>
      <w:noProof/>
      <w:sz w:val="8"/>
      <w:szCs w:val="8"/>
      <w:shd w:val="clear" w:color="auto" w:fill="FFFFFF"/>
      <w:lang w:val="en-US" w:eastAsia="en-US"/>
    </w:rPr>
  </w:style>
  <w:style w:type="character" w:customStyle="1" w:styleId="570">
    <w:name w:val="Основной текст (57)_"/>
    <w:link w:val="57"/>
    <w:rsid w:val="00DD0C17"/>
    <w:rPr>
      <w:rFonts w:ascii="Sylfaen" w:hAnsi="Sylfaen" w:cs="Sylfaen"/>
      <w:noProof/>
      <w:sz w:val="8"/>
      <w:szCs w:val="8"/>
      <w:shd w:val="clear" w:color="auto" w:fill="FFFFFF"/>
      <w:lang w:val="en-US" w:eastAsia="en-US"/>
    </w:rPr>
  </w:style>
  <w:style w:type="character" w:customStyle="1" w:styleId="581">
    <w:name w:val="Основной текст (58)_"/>
    <w:link w:val="580"/>
    <w:rsid w:val="00DD0C17"/>
    <w:rPr>
      <w:rFonts w:ascii="MS Reference Sans Serif" w:hAnsi="MS Reference Sans Serif" w:cs="MS Reference Sans Serif"/>
      <w:i/>
      <w:iCs/>
      <w:shd w:val="clear" w:color="auto" w:fill="FFFFFF"/>
      <w:lang w:eastAsia="en-US"/>
    </w:rPr>
  </w:style>
  <w:style w:type="character" w:customStyle="1" w:styleId="590">
    <w:name w:val="Основной текст (59)_"/>
    <w:link w:val="591"/>
    <w:rsid w:val="00DD0C17"/>
    <w:rPr>
      <w:rFonts w:ascii="Arial" w:hAnsi="Arial" w:cs="Arial"/>
      <w:spacing w:val="-10"/>
      <w:sz w:val="15"/>
      <w:szCs w:val="15"/>
      <w:shd w:val="clear" w:color="auto" w:fill="FFFFFF"/>
    </w:rPr>
  </w:style>
  <w:style w:type="character" w:customStyle="1" w:styleId="600">
    <w:name w:val="Основной текст (60)_"/>
    <w:link w:val="601"/>
    <w:rsid w:val="00DD0C17"/>
    <w:rPr>
      <w:rFonts w:ascii="Franklin Gothic Book" w:hAnsi="Franklin Gothic Book" w:cs="Franklin Gothic Book"/>
      <w:sz w:val="11"/>
      <w:szCs w:val="11"/>
      <w:shd w:val="clear" w:color="auto" w:fill="FFFFFF"/>
    </w:rPr>
  </w:style>
  <w:style w:type="character" w:customStyle="1" w:styleId="613">
    <w:name w:val="Основной текст (61)_"/>
    <w:link w:val="614"/>
    <w:rsid w:val="00DD0C17"/>
    <w:rPr>
      <w:rFonts w:ascii="MS Reference Sans Serif" w:hAnsi="MS Reference Sans Serif" w:cs="MS Reference Sans Serif"/>
      <w:spacing w:val="-10"/>
      <w:sz w:val="12"/>
      <w:szCs w:val="12"/>
      <w:shd w:val="clear" w:color="auto" w:fill="FFFFFF"/>
    </w:rPr>
  </w:style>
  <w:style w:type="character" w:customStyle="1" w:styleId="623">
    <w:name w:val="Основной текст (62)_"/>
    <w:link w:val="624"/>
    <w:rsid w:val="00DD0C17"/>
    <w:rPr>
      <w:rFonts w:ascii="David" w:hAnsi="David" w:cs="David"/>
      <w:sz w:val="16"/>
      <w:szCs w:val="16"/>
      <w:shd w:val="clear" w:color="auto" w:fill="FFFFFF"/>
    </w:rPr>
  </w:style>
  <w:style w:type="character" w:customStyle="1" w:styleId="560">
    <w:name w:val="Основной текст (56)_"/>
    <w:link w:val="56"/>
    <w:rsid w:val="00DD0C17"/>
    <w:rPr>
      <w:rFonts w:ascii="Sylfaen" w:hAnsi="Sylfaen" w:cs="Sylfaen"/>
      <w:noProof/>
      <w:sz w:val="8"/>
      <w:szCs w:val="8"/>
      <w:shd w:val="clear" w:color="auto" w:fill="FFFFFF"/>
      <w:lang w:val="en-US" w:eastAsia="en-US"/>
    </w:rPr>
  </w:style>
  <w:style w:type="character" w:customStyle="1" w:styleId="632">
    <w:name w:val="Основной текст (63)_"/>
    <w:link w:val="633"/>
    <w:rsid w:val="00DD0C17"/>
    <w:rPr>
      <w:rFonts w:ascii="Arial Narrow" w:hAnsi="Arial Narrow" w:cs="Arial Narrow"/>
      <w:sz w:val="10"/>
      <w:szCs w:val="10"/>
      <w:shd w:val="clear" w:color="auto" w:fill="FFFFFF"/>
    </w:rPr>
  </w:style>
  <w:style w:type="paragraph" w:customStyle="1" w:styleId="501">
    <w:name w:val="Основной текст (50)"/>
    <w:basedOn w:val="a0"/>
    <w:link w:val="500"/>
    <w:rsid w:val="00DD0C17"/>
    <w:pPr>
      <w:shd w:val="clear" w:color="auto" w:fill="FFFFFF"/>
      <w:spacing w:after="0" w:line="240" w:lineRule="atLeast"/>
    </w:pPr>
    <w:rPr>
      <w:rFonts w:ascii="Arial" w:hAnsi="Arial" w:cs="Arial"/>
      <w:sz w:val="11"/>
      <w:szCs w:val="11"/>
      <w:lang w:eastAsia="ru-RU"/>
    </w:rPr>
  </w:style>
  <w:style w:type="paragraph" w:customStyle="1" w:styleId="591">
    <w:name w:val="Основной текст (59)"/>
    <w:basedOn w:val="a0"/>
    <w:link w:val="590"/>
    <w:rsid w:val="00DD0C17"/>
    <w:pPr>
      <w:shd w:val="clear" w:color="auto" w:fill="FFFFFF"/>
      <w:spacing w:after="0" w:line="240" w:lineRule="atLeast"/>
    </w:pPr>
    <w:rPr>
      <w:rFonts w:ascii="Arial" w:hAnsi="Arial" w:cs="Arial"/>
      <w:spacing w:val="-10"/>
      <w:sz w:val="15"/>
      <w:szCs w:val="15"/>
      <w:lang w:eastAsia="ru-RU"/>
    </w:rPr>
  </w:style>
  <w:style w:type="paragraph" w:customStyle="1" w:styleId="601">
    <w:name w:val="Основной текст (60)"/>
    <w:basedOn w:val="a0"/>
    <w:link w:val="600"/>
    <w:rsid w:val="00DD0C17"/>
    <w:pPr>
      <w:shd w:val="clear" w:color="auto" w:fill="FFFFFF"/>
      <w:spacing w:after="360" w:line="240" w:lineRule="atLeast"/>
    </w:pPr>
    <w:rPr>
      <w:rFonts w:ascii="Franklin Gothic Book" w:hAnsi="Franklin Gothic Book" w:cs="Franklin Gothic Book"/>
      <w:sz w:val="11"/>
      <w:szCs w:val="11"/>
      <w:lang w:eastAsia="ru-RU"/>
    </w:rPr>
  </w:style>
  <w:style w:type="paragraph" w:customStyle="1" w:styleId="614">
    <w:name w:val="Основной текст (61)"/>
    <w:basedOn w:val="a0"/>
    <w:link w:val="613"/>
    <w:rsid w:val="00DD0C17"/>
    <w:pPr>
      <w:shd w:val="clear" w:color="auto" w:fill="FFFFFF"/>
      <w:spacing w:before="360" w:after="360" w:line="240" w:lineRule="atLeast"/>
    </w:pPr>
    <w:rPr>
      <w:rFonts w:ascii="MS Reference Sans Serif" w:hAnsi="MS Reference Sans Serif" w:cs="MS Reference Sans Serif"/>
      <w:spacing w:val="-10"/>
      <w:sz w:val="12"/>
      <w:szCs w:val="12"/>
      <w:lang w:eastAsia="ru-RU"/>
    </w:rPr>
  </w:style>
  <w:style w:type="paragraph" w:customStyle="1" w:styleId="624">
    <w:name w:val="Основной текст (62)"/>
    <w:basedOn w:val="a0"/>
    <w:link w:val="623"/>
    <w:rsid w:val="00DD0C17"/>
    <w:pPr>
      <w:shd w:val="clear" w:color="auto" w:fill="FFFFFF"/>
      <w:spacing w:before="360" w:after="0" w:line="240" w:lineRule="atLeast"/>
    </w:pPr>
    <w:rPr>
      <w:rFonts w:ascii="David" w:hAnsi="David" w:cs="David"/>
      <w:sz w:val="16"/>
      <w:szCs w:val="16"/>
      <w:lang w:eastAsia="ru-RU"/>
    </w:rPr>
  </w:style>
  <w:style w:type="paragraph" w:customStyle="1" w:styleId="633">
    <w:name w:val="Основной текст (63)"/>
    <w:basedOn w:val="a0"/>
    <w:link w:val="632"/>
    <w:rsid w:val="00DD0C17"/>
    <w:pPr>
      <w:shd w:val="clear" w:color="auto" w:fill="FFFFFF"/>
      <w:spacing w:after="0" w:line="240" w:lineRule="atLeast"/>
    </w:pPr>
    <w:rPr>
      <w:rFonts w:ascii="Arial Narrow" w:hAnsi="Arial Narrow" w:cs="Arial Narrow"/>
      <w:sz w:val="10"/>
      <w:szCs w:val="10"/>
      <w:lang w:eastAsia="ru-RU"/>
    </w:rPr>
  </w:style>
  <w:style w:type="character" w:customStyle="1" w:styleId="641">
    <w:name w:val="Основной текст (64)_"/>
    <w:link w:val="642"/>
    <w:rsid w:val="00DD0C17"/>
    <w:rPr>
      <w:rFonts w:ascii="Franklin Gothic Book" w:hAnsi="Franklin Gothic Book" w:cs="Franklin Gothic Book"/>
      <w:noProof/>
      <w:sz w:val="8"/>
      <w:szCs w:val="8"/>
      <w:shd w:val="clear" w:color="auto" w:fill="FFFFFF"/>
    </w:rPr>
  </w:style>
  <w:style w:type="character" w:customStyle="1" w:styleId="651">
    <w:name w:val="Основной текст (65)_"/>
    <w:link w:val="652"/>
    <w:rsid w:val="00DD0C17"/>
    <w:rPr>
      <w:rFonts w:ascii="Franklin Gothic Book" w:hAnsi="Franklin Gothic Book" w:cs="Franklin Gothic Book"/>
      <w:noProof/>
      <w:sz w:val="8"/>
      <w:szCs w:val="8"/>
      <w:shd w:val="clear" w:color="auto" w:fill="FFFFFF"/>
    </w:rPr>
  </w:style>
  <w:style w:type="character" w:customStyle="1" w:styleId="660">
    <w:name w:val="Основной текст (66)_"/>
    <w:link w:val="661"/>
    <w:rsid w:val="00DD0C17"/>
    <w:rPr>
      <w:rFonts w:ascii="Arial Narrow" w:hAnsi="Arial Narrow" w:cs="Arial Narrow"/>
      <w:sz w:val="9"/>
      <w:szCs w:val="9"/>
      <w:shd w:val="clear" w:color="auto" w:fill="FFFFFF"/>
    </w:rPr>
  </w:style>
  <w:style w:type="character" w:customStyle="1" w:styleId="680">
    <w:name w:val="Основной текст (68)_"/>
    <w:link w:val="681"/>
    <w:rsid w:val="00DD0C17"/>
    <w:rPr>
      <w:rFonts w:ascii="Courier New" w:hAnsi="Courier New" w:cs="Courier New"/>
      <w:noProof/>
      <w:sz w:val="11"/>
      <w:szCs w:val="11"/>
      <w:shd w:val="clear" w:color="auto" w:fill="FFFFFF"/>
    </w:rPr>
  </w:style>
  <w:style w:type="paragraph" w:customStyle="1" w:styleId="642">
    <w:name w:val="Основной текст (64)"/>
    <w:basedOn w:val="a0"/>
    <w:link w:val="641"/>
    <w:rsid w:val="00DD0C17"/>
    <w:pPr>
      <w:shd w:val="clear" w:color="auto" w:fill="FFFFFF"/>
      <w:spacing w:after="0" w:line="240" w:lineRule="atLeast"/>
    </w:pPr>
    <w:rPr>
      <w:rFonts w:ascii="Franklin Gothic Book" w:hAnsi="Franklin Gothic Book" w:cs="Franklin Gothic Book"/>
      <w:noProof/>
      <w:sz w:val="8"/>
      <w:szCs w:val="8"/>
      <w:lang w:eastAsia="ru-RU"/>
    </w:rPr>
  </w:style>
  <w:style w:type="paragraph" w:customStyle="1" w:styleId="652">
    <w:name w:val="Основной текст (65)"/>
    <w:basedOn w:val="a0"/>
    <w:link w:val="651"/>
    <w:rsid w:val="00DD0C17"/>
    <w:pPr>
      <w:shd w:val="clear" w:color="auto" w:fill="FFFFFF"/>
      <w:spacing w:after="0" w:line="240" w:lineRule="atLeast"/>
    </w:pPr>
    <w:rPr>
      <w:rFonts w:ascii="Franklin Gothic Book" w:hAnsi="Franklin Gothic Book" w:cs="Franklin Gothic Book"/>
      <w:noProof/>
      <w:sz w:val="8"/>
      <w:szCs w:val="8"/>
      <w:lang w:eastAsia="ru-RU"/>
    </w:rPr>
  </w:style>
  <w:style w:type="paragraph" w:customStyle="1" w:styleId="661">
    <w:name w:val="Основной текст (66)"/>
    <w:basedOn w:val="a0"/>
    <w:link w:val="660"/>
    <w:rsid w:val="00DD0C17"/>
    <w:pPr>
      <w:shd w:val="clear" w:color="auto" w:fill="FFFFFF"/>
      <w:spacing w:after="0" w:line="240" w:lineRule="atLeast"/>
    </w:pPr>
    <w:rPr>
      <w:rFonts w:ascii="Arial Narrow" w:hAnsi="Arial Narrow" w:cs="Arial Narrow"/>
      <w:sz w:val="9"/>
      <w:szCs w:val="9"/>
      <w:lang w:eastAsia="ru-RU"/>
    </w:rPr>
  </w:style>
  <w:style w:type="paragraph" w:customStyle="1" w:styleId="681">
    <w:name w:val="Основной текст (68)"/>
    <w:basedOn w:val="a0"/>
    <w:link w:val="680"/>
    <w:rsid w:val="00DD0C17"/>
    <w:pPr>
      <w:shd w:val="clear" w:color="auto" w:fill="FFFFFF"/>
      <w:spacing w:after="0" w:line="240" w:lineRule="atLeast"/>
    </w:pPr>
    <w:rPr>
      <w:rFonts w:ascii="Courier New" w:hAnsi="Courier New" w:cs="Courier New"/>
      <w:noProof/>
      <w:sz w:val="11"/>
      <w:szCs w:val="11"/>
      <w:lang w:eastAsia="ru-RU"/>
    </w:rPr>
  </w:style>
  <w:style w:type="character" w:customStyle="1" w:styleId="540">
    <w:name w:val="Основной текст (54)_"/>
    <w:link w:val="54"/>
    <w:rsid w:val="00DD0C17"/>
    <w:rPr>
      <w:rFonts w:ascii="Consolas" w:hAnsi="Consolas" w:cs="Consolas"/>
      <w:noProof/>
      <w:sz w:val="8"/>
      <w:szCs w:val="8"/>
      <w:shd w:val="clear" w:color="auto" w:fill="FFFFFF"/>
      <w:lang w:val="en-US" w:eastAsia="en-US"/>
    </w:rPr>
  </w:style>
  <w:style w:type="character" w:customStyle="1" w:styleId="12Tahoma45pt">
    <w:name w:val="Основной текст (12) + Tahoma;4;5 pt;Курсив"/>
    <w:rsid w:val="00DD0C17"/>
    <w:rPr>
      <w:rFonts w:ascii="Tahoma" w:eastAsia="Tahoma" w:hAnsi="Tahoma" w:cs="Tahoma"/>
      <w:b w:val="0"/>
      <w:bCs w:val="0"/>
      <w:i/>
      <w:iCs/>
      <w:smallCaps w:val="0"/>
      <w:strike w:val="0"/>
      <w:noProof/>
      <w:spacing w:val="0"/>
      <w:sz w:val="9"/>
      <w:szCs w:val="9"/>
      <w:shd w:val="clear" w:color="auto" w:fill="FFFFFF"/>
    </w:rPr>
  </w:style>
  <w:style w:type="character" w:customStyle="1" w:styleId="0pt1">
    <w:name w:val="Основной текст + Полужирный;Интервал 0 pt"/>
    <w:rsid w:val="00326FD0"/>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75pt">
    <w:name w:val="Основной текст + 7;5 pt"/>
    <w:rsid w:val="00326FD0"/>
    <w:rPr>
      <w:rFonts w:ascii="Arial" w:eastAsia="Arial" w:hAnsi="Arial" w:cs="Arial"/>
      <w:b w:val="0"/>
      <w:bCs w:val="0"/>
      <w:i w:val="0"/>
      <w:iCs w:val="0"/>
      <w:smallCaps w:val="0"/>
      <w:strike w:val="0"/>
      <w:spacing w:val="0"/>
      <w:sz w:val="15"/>
      <w:szCs w:val="15"/>
      <w:shd w:val="clear" w:color="auto" w:fill="FFFFFF"/>
    </w:rPr>
  </w:style>
  <w:style w:type="character" w:customStyle="1" w:styleId="885pt">
    <w:name w:val="Основной текст (8) + 8;5 pt"/>
    <w:rsid w:val="00326FD0"/>
    <w:rPr>
      <w:rFonts w:ascii="Arial" w:eastAsia="Arial" w:hAnsi="Arial" w:cs="Arial"/>
      <w:b w:val="0"/>
      <w:bCs w:val="0"/>
      <w:i w:val="0"/>
      <w:iCs w:val="0"/>
      <w:smallCaps w:val="0"/>
      <w:strike w:val="0"/>
      <w:spacing w:val="0"/>
      <w:sz w:val="17"/>
      <w:szCs w:val="17"/>
      <w:shd w:val="clear" w:color="auto" w:fill="FFFFFF"/>
    </w:rPr>
  </w:style>
  <w:style w:type="character" w:customStyle="1" w:styleId="49pt">
    <w:name w:val="Основной текст (4) + 9 pt;Не курсив"/>
    <w:rsid w:val="00326FD0"/>
    <w:rPr>
      <w:rFonts w:ascii="Arial" w:eastAsia="Arial" w:hAnsi="Arial" w:cs="Arial"/>
      <w:b w:val="0"/>
      <w:bCs w:val="0"/>
      <w:i/>
      <w:iCs/>
      <w:smallCaps w:val="0"/>
      <w:strike w:val="0"/>
      <w:spacing w:val="0"/>
      <w:sz w:val="18"/>
      <w:szCs w:val="18"/>
      <w:shd w:val="clear" w:color="auto" w:fill="FFFFFF"/>
      <w:lang w:eastAsia="en-US"/>
    </w:rPr>
  </w:style>
  <w:style w:type="character" w:customStyle="1" w:styleId="ucoz-forum-post">
    <w:name w:val="ucoz-forum-post"/>
    <w:rsid w:val="00885B41"/>
  </w:style>
  <w:style w:type="character" w:customStyle="1" w:styleId="227">
    <w:name w:val="Заголовок №2 (2)_"/>
    <w:link w:val="228"/>
    <w:locked/>
    <w:rsid w:val="00885B41"/>
    <w:rPr>
      <w:rFonts w:ascii="Times New Roman" w:hAnsi="Times New Roman"/>
      <w:sz w:val="21"/>
      <w:szCs w:val="21"/>
      <w:shd w:val="clear" w:color="auto" w:fill="FFFFFF"/>
    </w:rPr>
  </w:style>
  <w:style w:type="paragraph" w:customStyle="1" w:styleId="228">
    <w:name w:val="Заголовок №2 (2)"/>
    <w:basedOn w:val="a0"/>
    <w:link w:val="227"/>
    <w:rsid w:val="00885B41"/>
    <w:pPr>
      <w:shd w:val="clear" w:color="auto" w:fill="FFFFFF"/>
      <w:spacing w:before="540" w:after="0" w:line="240" w:lineRule="exact"/>
      <w:jc w:val="center"/>
      <w:outlineLvl w:val="1"/>
    </w:pPr>
    <w:rPr>
      <w:rFonts w:ascii="Times New Roman" w:hAnsi="Times New Roman"/>
      <w:sz w:val="21"/>
      <w:szCs w:val="21"/>
      <w:lang w:eastAsia="ru-RU"/>
    </w:rPr>
  </w:style>
  <w:style w:type="character" w:customStyle="1" w:styleId="3c">
    <w:name w:val="Заголовок №3_"/>
    <w:link w:val="3b"/>
    <w:locked/>
    <w:rsid w:val="00885B41"/>
    <w:rPr>
      <w:rFonts w:ascii="Times New Roman" w:hAnsi="Times New Roman"/>
      <w:spacing w:val="40"/>
      <w:sz w:val="52"/>
      <w:szCs w:val="52"/>
      <w:shd w:val="clear" w:color="auto" w:fill="FFFFFF"/>
      <w:lang w:eastAsia="en-US"/>
    </w:rPr>
  </w:style>
  <w:style w:type="paragraph" w:customStyle="1" w:styleId="rteindent11">
    <w:name w:val="rteindent11"/>
    <w:basedOn w:val="a0"/>
    <w:uiPriority w:val="99"/>
    <w:rsid w:val="005B1690"/>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0pt2">
    <w:name w:val="Основной текст + Курсив;Интервал 0 pt"/>
    <w:rsid w:val="007D7196"/>
    <w:rPr>
      <w:rFonts w:ascii="Arial Narrow" w:eastAsia="Arial Narrow" w:hAnsi="Arial Narrow" w:cs="Arial Narrow"/>
      <w:b w:val="0"/>
      <w:bCs w:val="0"/>
      <w:i/>
      <w:iCs/>
      <w:smallCaps w:val="0"/>
      <w:strike w:val="0"/>
      <w:spacing w:val="-10"/>
      <w:sz w:val="18"/>
      <w:szCs w:val="18"/>
      <w:shd w:val="clear" w:color="auto" w:fill="FFFFFF"/>
    </w:rPr>
  </w:style>
  <w:style w:type="character" w:customStyle="1" w:styleId="afffffd">
    <w:name w:val="Оглавление_"/>
    <w:rsid w:val="00511E5F"/>
    <w:rPr>
      <w:rFonts w:ascii="Arial Narrow" w:hAnsi="Arial Narrow" w:cs="Arial Narrow"/>
      <w:sz w:val="18"/>
      <w:szCs w:val="18"/>
      <w:shd w:val="clear" w:color="auto" w:fill="FFFFFF"/>
    </w:rPr>
  </w:style>
  <w:style w:type="character" w:customStyle="1" w:styleId="Tahoma95pt-1pt">
    <w:name w:val="Основной текст + Tahoma;9;5 pt;Полужирный;Интервал -1 pt"/>
    <w:rsid w:val="00AE6980"/>
    <w:rPr>
      <w:rFonts w:ascii="Tahoma" w:eastAsia="Tahoma" w:hAnsi="Tahoma" w:cs="Tahoma"/>
      <w:b/>
      <w:bCs/>
      <w:i w:val="0"/>
      <w:iCs w:val="0"/>
      <w:smallCaps w:val="0"/>
      <w:strike w:val="0"/>
      <w:spacing w:val="-20"/>
      <w:sz w:val="19"/>
      <w:szCs w:val="19"/>
      <w:shd w:val="clear" w:color="auto" w:fill="FFFFFF"/>
    </w:rPr>
  </w:style>
  <w:style w:type="character" w:customStyle="1" w:styleId="304">
    <w:name w:val="Основной текст + Курсив30"/>
    <w:aliases w:val="Интервал 0 pt56"/>
    <w:uiPriority w:val="99"/>
    <w:rsid w:val="00F957E4"/>
    <w:rPr>
      <w:rFonts w:ascii="Arial Narrow" w:hAnsi="Arial Narrow" w:cs="Arial Narrow"/>
      <w:i/>
      <w:iCs/>
      <w:spacing w:val="0"/>
      <w:sz w:val="18"/>
      <w:szCs w:val="18"/>
      <w:shd w:val="clear" w:color="auto" w:fill="FFFFFF"/>
    </w:rPr>
  </w:style>
  <w:style w:type="character" w:customStyle="1" w:styleId="7TimesNewRoman1">
    <w:name w:val="Основной текст (7) + Times New Roman1"/>
    <w:aliases w:val="8 pt1,Не полужирный4,Интервал -1 pt1,Заголовок №5 + Century Gothic,Основной текст + Полужирный2,Курсив3"/>
    <w:uiPriority w:val="99"/>
    <w:rsid w:val="00F957E4"/>
    <w:rPr>
      <w:rFonts w:ascii="Times New Roman" w:eastAsia="Times New Roman" w:hAnsi="Times New Roman" w:cs="Times New Roman"/>
      <w:b w:val="0"/>
      <w:bCs w:val="0"/>
      <w:i w:val="0"/>
      <w:iCs w:val="0"/>
      <w:smallCaps w:val="0"/>
      <w:strike/>
      <w:spacing w:val="-20"/>
      <w:sz w:val="16"/>
      <w:szCs w:val="16"/>
    </w:rPr>
  </w:style>
  <w:style w:type="character" w:customStyle="1" w:styleId="Bodytext2">
    <w:name w:val="Body text (2)"/>
    <w:rsid w:val="009F7EBD"/>
    <w:rPr>
      <w:rFonts w:ascii="Times New Roman" w:eastAsia="Times New Roman" w:hAnsi="Times New Roman" w:cs="Times New Roman"/>
      <w:b w:val="0"/>
      <w:bCs w:val="0"/>
      <w:i w:val="0"/>
      <w:iCs w:val="0"/>
      <w:smallCaps w:val="0"/>
      <w:strike w:val="0"/>
      <w:spacing w:val="0"/>
      <w:sz w:val="18"/>
      <w:szCs w:val="18"/>
    </w:rPr>
  </w:style>
  <w:style w:type="character" w:customStyle="1" w:styleId="Bodytext">
    <w:name w:val="Body text_"/>
    <w:link w:val="625"/>
    <w:uiPriority w:val="99"/>
    <w:rsid w:val="009F7EBD"/>
    <w:rPr>
      <w:rFonts w:ascii="Times New Roman" w:eastAsia="Times New Roman" w:hAnsi="Times New Roman"/>
      <w:shd w:val="clear" w:color="auto" w:fill="FFFFFF"/>
    </w:rPr>
  </w:style>
  <w:style w:type="paragraph" w:customStyle="1" w:styleId="625">
    <w:name w:val="Основной текст62"/>
    <w:basedOn w:val="a0"/>
    <w:link w:val="Bodytext"/>
    <w:rsid w:val="009F7EBD"/>
    <w:pPr>
      <w:shd w:val="clear" w:color="auto" w:fill="FFFFFF"/>
      <w:spacing w:before="420" w:after="0" w:line="216" w:lineRule="exact"/>
      <w:jc w:val="both"/>
    </w:pPr>
    <w:rPr>
      <w:rFonts w:ascii="Times New Roman" w:eastAsia="Times New Roman" w:hAnsi="Times New Roman"/>
      <w:sz w:val="20"/>
      <w:szCs w:val="20"/>
      <w:lang w:eastAsia="ru-RU"/>
    </w:rPr>
  </w:style>
  <w:style w:type="character" w:customStyle="1" w:styleId="Heading22">
    <w:name w:val="Heading #2 (2)"/>
    <w:rsid w:val="009F7EBD"/>
    <w:rPr>
      <w:rFonts w:ascii="Times New Roman" w:eastAsia="Times New Roman" w:hAnsi="Times New Roman" w:cs="Times New Roman"/>
      <w:b w:val="0"/>
      <w:bCs w:val="0"/>
      <w:i w:val="0"/>
      <w:iCs w:val="0"/>
      <w:smallCaps w:val="0"/>
      <w:strike w:val="0"/>
      <w:spacing w:val="0"/>
      <w:sz w:val="23"/>
      <w:szCs w:val="23"/>
    </w:rPr>
  </w:style>
  <w:style w:type="character" w:customStyle="1" w:styleId="700">
    <w:name w:val="Основной текст (70)_"/>
    <w:link w:val="701"/>
    <w:rsid w:val="004F59B2"/>
    <w:rPr>
      <w:rFonts w:ascii="Franklin Gothic Book" w:hAnsi="Franklin Gothic Book" w:cs="Franklin Gothic Book"/>
      <w:noProof/>
      <w:sz w:val="8"/>
      <w:szCs w:val="8"/>
      <w:shd w:val="clear" w:color="auto" w:fill="FFFFFF"/>
    </w:rPr>
  </w:style>
  <w:style w:type="paragraph" w:customStyle="1" w:styleId="701">
    <w:name w:val="Основной текст (70)"/>
    <w:basedOn w:val="a0"/>
    <w:link w:val="700"/>
    <w:rsid w:val="004F59B2"/>
    <w:pPr>
      <w:shd w:val="clear" w:color="auto" w:fill="FFFFFF"/>
      <w:spacing w:after="0" w:line="240" w:lineRule="atLeast"/>
      <w:jc w:val="center"/>
    </w:pPr>
    <w:rPr>
      <w:rFonts w:ascii="Franklin Gothic Book" w:hAnsi="Franklin Gothic Book" w:cs="Franklin Gothic Book"/>
      <w:noProof/>
      <w:sz w:val="8"/>
      <w:szCs w:val="8"/>
      <w:lang w:eastAsia="ru-RU"/>
    </w:rPr>
  </w:style>
  <w:style w:type="character" w:customStyle="1" w:styleId="afffffe">
    <w:name w:val="Основной текст + Полужирный;Курсив"/>
    <w:rsid w:val="004F59B2"/>
    <w:rPr>
      <w:rFonts w:ascii="Arial Narrow" w:eastAsia="Arial Narrow" w:hAnsi="Arial Narrow" w:cs="Arial Narrow"/>
      <w:b/>
      <w:bCs/>
      <w:i/>
      <w:iCs/>
      <w:smallCaps w:val="0"/>
      <w:strike w:val="0"/>
      <w:spacing w:val="0"/>
      <w:sz w:val="18"/>
      <w:szCs w:val="18"/>
      <w:shd w:val="clear" w:color="auto" w:fill="FFFFFF"/>
    </w:rPr>
  </w:style>
  <w:style w:type="character" w:customStyle="1" w:styleId="702">
    <w:name w:val="Основной текст (70) + Полужирный"/>
    <w:rsid w:val="004F59B2"/>
    <w:rPr>
      <w:rFonts w:ascii="Arial Narrow" w:eastAsia="Arial Narrow" w:hAnsi="Arial Narrow" w:cs="Arial Narrow"/>
      <w:b/>
      <w:bCs/>
      <w:i w:val="0"/>
      <w:iCs w:val="0"/>
      <w:smallCaps w:val="0"/>
      <w:strike w:val="0"/>
      <w:noProof/>
      <w:spacing w:val="0"/>
      <w:w w:val="100"/>
      <w:sz w:val="36"/>
      <w:szCs w:val="36"/>
      <w:shd w:val="clear" w:color="auto" w:fill="FFFFFF"/>
    </w:rPr>
  </w:style>
  <w:style w:type="character" w:customStyle="1" w:styleId="22SimHei8pt">
    <w:name w:val="Основной текст (22) + SimHei;8 pt"/>
    <w:rsid w:val="004F59B2"/>
    <w:rPr>
      <w:rFonts w:ascii="SimHei" w:eastAsia="SimHei" w:hAnsi="SimHei" w:cs="SimHei"/>
      <w:b w:val="0"/>
      <w:bCs w:val="0"/>
      <w:i w:val="0"/>
      <w:iCs w:val="0"/>
      <w:smallCaps w:val="0"/>
      <w:strike w:val="0"/>
      <w:spacing w:val="0"/>
      <w:sz w:val="16"/>
      <w:szCs w:val="16"/>
      <w:shd w:val="clear" w:color="auto" w:fill="FFFFFF"/>
    </w:rPr>
  </w:style>
  <w:style w:type="character" w:customStyle="1" w:styleId="217">
    <w:name w:val="Основной текст21"/>
    <w:rsid w:val="004F59B2"/>
    <w:rPr>
      <w:rFonts w:ascii="Arial" w:eastAsia="Arial" w:hAnsi="Arial" w:cs="Arial"/>
      <w:b w:val="0"/>
      <w:bCs w:val="0"/>
      <w:i w:val="0"/>
      <w:iCs w:val="0"/>
      <w:smallCaps w:val="0"/>
      <w:strike w:val="0"/>
      <w:spacing w:val="0"/>
      <w:sz w:val="19"/>
      <w:szCs w:val="19"/>
      <w:u w:val="single"/>
      <w:shd w:val="clear" w:color="auto" w:fill="FFFFFF"/>
    </w:rPr>
  </w:style>
  <w:style w:type="character" w:customStyle="1" w:styleId="MSReferenceSansSerif">
    <w:name w:val="Колонтитул + MS Reference Sans Serif"/>
    <w:aliases w:val="8 pt4,Полужирный18,Интервал 0 pt12,Подпись к картинке + Century Gothic1"/>
    <w:uiPriority w:val="99"/>
    <w:rsid w:val="00B528D1"/>
    <w:rPr>
      <w:rFonts w:ascii="MS Reference Sans Serif" w:eastAsia="Times New Roman" w:hAnsi="MS Reference Sans Serif" w:cs="MS Reference Sans Serif"/>
      <w:b/>
      <w:bCs/>
      <w:i w:val="0"/>
      <w:iCs w:val="0"/>
      <w:smallCaps w:val="0"/>
      <w:strike w:val="0"/>
      <w:spacing w:val="-10"/>
      <w:sz w:val="16"/>
      <w:szCs w:val="16"/>
    </w:rPr>
  </w:style>
  <w:style w:type="character" w:customStyle="1" w:styleId="305">
    <w:name w:val="Основной текст + Полужирный30"/>
    <w:uiPriority w:val="99"/>
    <w:rsid w:val="00A3483C"/>
    <w:rPr>
      <w:rFonts w:ascii="Arial Narrow" w:hAnsi="Arial Narrow" w:cs="Arial Narrow"/>
      <w:b/>
      <w:bCs/>
      <w:spacing w:val="0"/>
      <w:sz w:val="18"/>
      <w:szCs w:val="18"/>
      <w:shd w:val="clear" w:color="auto" w:fill="FFFFFF"/>
    </w:rPr>
  </w:style>
  <w:style w:type="character" w:customStyle="1" w:styleId="Arial5">
    <w:name w:val="Основной текст + Arial5"/>
    <w:aliases w:val="7 pt3,Полужирный38,Основной текст + SimHei1"/>
    <w:uiPriority w:val="99"/>
    <w:rsid w:val="00A3483C"/>
    <w:rPr>
      <w:rFonts w:ascii="Arial" w:hAnsi="Arial" w:cs="Arial"/>
      <w:b/>
      <w:bCs/>
      <w:spacing w:val="0"/>
      <w:sz w:val="14"/>
      <w:szCs w:val="14"/>
      <w:shd w:val="clear" w:color="auto" w:fill="FFFFFF"/>
    </w:rPr>
  </w:style>
  <w:style w:type="character" w:customStyle="1" w:styleId="3fa">
    <w:name w:val="Заголовок №3 + Не полужирный"/>
    <w:rsid w:val="005052B4"/>
    <w:rPr>
      <w:rFonts w:ascii="Times New Roman" w:hAnsi="Times New Roman" w:cs="Times New Roman"/>
      <w:b/>
      <w:bCs/>
      <w:spacing w:val="40"/>
      <w:sz w:val="20"/>
      <w:szCs w:val="20"/>
      <w:shd w:val="clear" w:color="auto" w:fill="FFFFFF"/>
      <w:lang w:eastAsia="en-US"/>
    </w:rPr>
  </w:style>
  <w:style w:type="character" w:customStyle="1" w:styleId="108">
    <w:name w:val="Основной текст (10)_"/>
    <w:link w:val="109"/>
    <w:rsid w:val="000C3A55"/>
    <w:rPr>
      <w:rFonts w:ascii="Times New Roman" w:eastAsia="Times New Roman" w:hAnsi="Times New Roman"/>
      <w:shd w:val="clear" w:color="auto" w:fill="FFFFFF"/>
    </w:rPr>
  </w:style>
  <w:style w:type="paragraph" w:customStyle="1" w:styleId="109">
    <w:name w:val="Основной текст (10)"/>
    <w:basedOn w:val="a0"/>
    <w:link w:val="108"/>
    <w:rsid w:val="000C3A55"/>
    <w:pPr>
      <w:shd w:val="clear" w:color="auto" w:fill="FFFFFF"/>
      <w:spacing w:after="0" w:line="0" w:lineRule="atLeast"/>
    </w:pPr>
    <w:rPr>
      <w:rFonts w:ascii="Times New Roman" w:eastAsia="Times New Roman" w:hAnsi="Times New Roman"/>
      <w:sz w:val="20"/>
      <w:szCs w:val="20"/>
      <w:lang w:eastAsia="ru-RU"/>
    </w:rPr>
  </w:style>
  <w:style w:type="character" w:customStyle="1" w:styleId="9pt0pt">
    <w:name w:val="Основной текст + 9 pt;Полужирный;Интервал 0 pt"/>
    <w:rsid w:val="000C3A55"/>
    <w:rPr>
      <w:rFonts w:ascii="Arial" w:eastAsia="Arial" w:hAnsi="Arial" w:cs="Arial"/>
      <w:b/>
      <w:bCs/>
      <w:i w:val="0"/>
      <w:iCs w:val="0"/>
      <w:smallCaps w:val="0"/>
      <w:strike w:val="0"/>
      <w:spacing w:val="-10"/>
      <w:sz w:val="18"/>
      <w:szCs w:val="18"/>
      <w:shd w:val="clear" w:color="auto" w:fill="FFFFFF"/>
    </w:rPr>
  </w:style>
  <w:style w:type="character" w:customStyle="1" w:styleId="86">
    <w:name w:val="Основной текст (8) + Полужирный"/>
    <w:rsid w:val="000C3A55"/>
    <w:rPr>
      <w:rFonts w:ascii="Arial" w:eastAsia="Arial" w:hAnsi="Arial" w:cs="Arial"/>
      <w:b/>
      <w:bCs/>
      <w:i w:val="0"/>
      <w:iCs w:val="0"/>
      <w:smallCaps w:val="0"/>
      <w:strike w:val="0"/>
      <w:spacing w:val="0"/>
      <w:sz w:val="18"/>
      <w:szCs w:val="18"/>
      <w:shd w:val="clear" w:color="auto" w:fill="FFFFFF"/>
    </w:rPr>
  </w:style>
  <w:style w:type="character" w:customStyle="1" w:styleId="1085pt">
    <w:name w:val="Основной текст (10) + 8;5 pt"/>
    <w:rsid w:val="000C3A55"/>
    <w:rPr>
      <w:rFonts w:ascii="Arial" w:eastAsia="Arial" w:hAnsi="Arial" w:cs="Arial"/>
      <w:spacing w:val="0"/>
      <w:sz w:val="17"/>
      <w:szCs w:val="17"/>
      <w:shd w:val="clear" w:color="auto" w:fill="FFFFFF"/>
    </w:rPr>
  </w:style>
  <w:style w:type="character" w:customStyle="1" w:styleId="812pt70">
    <w:name w:val="Основной текст (8) + 12 pt;Масштаб 70%"/>
    <w:rsid w:val="000C3A55"/>
    <w:rPr>
      <w:rFonts w:ascii="Arial" w:eastAsia="Arial" w:hAnsi="Arial" w:cs="Arial"/>
      <w:b w:val="0"/>
      <w:bCs w:val="0"/>
      <w:i w:val="0"/>
      <w:iCs w:val="0"/>
      <w:smallCaps w:val="0"/>
      <w:strike w:val="0"/>
      <w:spacing w:val="0"/>
      <w:w w:val="70"/>
      <w:sz w:val="24"/>
      <w:szCs w:val="24"/>
      <w:shd w:val="clear" w:color="auto" w:fill="FFFFFF"/>
    </w:rPr>
  </w:style>
  <w:style w:type="character" w:customStyle="1" w:styleId="ArialBlack11pt-1pt">
    <w:name w:val="Основной текст + Arial Black;11 pt;Интервал -1 pt"/>
    <w:rsid w:val="000C3A55"/>
    <w:rPr>
      <w:rFonts w:ascii="Arial Black" w:eastAsia="Arial Black" w:hAnsi="Arial Black" w:cs="Arial Black"/>
      <w:b w:val="0"/>
      <w:bCs w:val="0"/>
      <w:i w:val="0"/>
      <w:iCs w:val="0"/>
      <w:smallCaps w:val="0"/>
      <w:strike w:val="0"/>
      <w:spacing w:val="-20"/>
      <w:w w:val="100"/>
      <w:sz w:val="22"/>
      <w:szCs w:val="22"/>
      <w:shd w:val="clear" w:color="auto" w:fill="FFFFFF"/>
      <w:lang w:val="en-US"/>
    </w:rPr>
  </w:style>
  <w:style w:type="character" w:customStyle="1" w:styleId="87">
    <w:name w:val="Заголовок №8_"/>
    <w:link w:val="88"/>
    <w:rsid w:val="00E3119F"/>
    <w:rPr>
      <w:rFonts w:ascii="Arial Narrow" w:hAnsi="Arial Narrow" w:cs="Arial Narrow"/>
      <w:b/>
      <w:bCs/>
      <w:sz w:val="39"/>
      <w:szCs w:val="39"/>
      <w:shd w:val="clear" w:color="auto" w:fill="FFFFFF"/>
    </w:rPr>
  </w:style>
  <w:style w:type="paragraph" w:customStyle="1" w:styleId="88">
    <w:name w:val="Заголовок №8"/>
    <w:basedOn w:val="a0"/>
    <w:link w:val="87"/>
    <w:rsid w:val="00E3119F"/>
    <w:pPr>
      <w:shd w:val="clear" w:color="auto" w:fill="FFFFFF"/>
      <w:spacing w:before="120" w:after="0" w:line="240" w:lineRule="atLeast"/>
      <w:outlineLvl w:val="7"/>
    </w:pPr>
    <w:rPr>
      <w:rFonts w:ascii="Arial Narrow" w:hAnsi="Arial Narrow" w:cs="Arial Narrow"/>
      <w:b/>
      <w:bCs/>
      <w:sz w:val="39"/>
      <w:szCs w:val="39"/>
      <w:lang w:eastAsia="ru-RU"/>
    </w:rPr>
  </w:style>
  <w:style w:type="character" w:customStyle="1" w:styleId="263">
    <w:name w:val="Основной текст (26)_"/>
    <w:link w:val="264"/>
    <w:rsid w:val="00F10FB4"/>
    <w:rPr>
      <w:rFonts w:ascii="Arial Narrow" w:hAnsi="Arial Narrow" w:cs="Arial Narrow"/>
      <w:sz w:val="29"/>
      <w:szCs w:val="29"/>
      <w:shd w:val="clear" w:color="auto" w:fill="FFFFFF"/>
    </w:rPr>
  </w:style>
  <w:style w:type="paragraph" w:customStyle="1" w:styleId="264">
    <w:name w:val="Основной текст (26)"/>
    <w:basedOn w:val="a0"/>
    <w:link w:val="263"/>
    <w:rsid w:val="00F10FB4"/>
    <w:pPr>
      <w:shd w:val="clear" w:color="auto" w:fill="FFFFFF"/>
      <w:spacing w:after="0" w:line="240" w:lineRule="atLeast"/>
    </w:pPr>
    <w:rPr>
      <w:rFonts w:ascii="Arial Narrow" w:hAnsi="Arial Narrow" w:cs="Arial Narrow"/>
      <w:sz w:val="29"/>
      <w:szCs w:val="29"/>
      <w:lang w:eastAsia="ru-RU"/>
    </w:rPr>
  </w:style>
  <w:style w:type="paragraph" w:customStyle="1" w:styleId="162">
    <w:name w:val="Основной текст16"/>
    <w:basedOn w:val="a0"/>
    <w:rsid w:val="00C40D73"/>
    <w:pPr>
      <w:shd w:val="clear" w:color="auto" w:fill="FFFFFF"/>
      <w:spacing w:after="0" w:line="0" w:lineRule="atLeast"/>
    </w:pPr>
    <w:rPr>
      <w:rFonts w:ascii="Times New Roman" w:eastAsia="Times New Roman" w:hAnsi="Times New Roman"/>
      <w:sz w:val="21"/>
      <w:szCs w:val="21"/>
    </w:rPr>
  </w:style>
  <w:style w:type="character" w:customStyle="1" w:styleId="Bodytext20">
    <w:name w:val="Body text (2)_"/>
    <w:link w:val="Bodytext21"/>
    <w:uiPriority w:val="99"/>
    <w:rsid w:val="00C40D73"/>
    <w:rPr>
      <w:rFonts w:ascii="Times New Roman" w:eastAsia="Times New Roman" w:hAnsi="Times New Roman" w:cs="Times New Roman"/>
      <w:sz w:val="21"/>
      <w:szCs w:val="21"/>
      <w:shd w:val="clear" w:color="auto" w:fill="FFFFFF"/>
    </w:rPr>
  </w:style>
  <w:style w:type="character" w:customStyle="1" w:styleId="Bodytext2NotItalic">
    <w:name w:val="Body text (2) + Not Italic"/>
    <w:rsid w:val="000C324B"/>
    <w:rPr>
      <w:rFonts w:ascii="Times New Roman" w:eastAsia="Times New Roman" w:hAnsi="Times New Roman" w:cs="Times New Roman"/>
      <w:b w:val="0"/>
      <w:bCs w:val="0"/>
      <w:i/>
      <w:iCs/>
      <w:smallCaps w:val="0"/>
      <w:strike w:val="0"/>
      <w:spacing w:val="0"/>
      <w:sz w:val="21"/>
      <w:szCs w:val="21"/>
      <w:shd w:val="clear" w:color="auto" w:fill="FFFFFF"/>
    </w:rPr>
  </w:style>
  <w:style w:type="character" w:customStyle="1" w:styleId="Bodytext14">
    <w:name w:val="Body text (14)_"/>
    <w:link w:val="Bodytext141"/>
    <w:uiPriority w:val="99"/>
    <w:rsid w:val="000C324B"/>
    <w:rPr>
      <w:rFonts w:ascii="Times New Roman" w:hAnsi="Times New Roman"/>
      <w:i/>
      <w:iCs/>
      <w:sz w:val="21"/>
      <w:szCs w:val="21"/>
      <w:shd w:val="clear" w:color="auto" w:fill="FFFFFF"/>
    </w:rPr>
  </w:style>
  <w:style w:type="paragraph" w:customStyle="1" w:styleId="Bodytext141">
    <w:name w:val="Body text (14)1"/>
    <w:basedOn w:val="a0"/>
    <w:link w:val="Bodytext14"/>
    <w:uiPriority w:val="99"/>
    <w:rsid w:val="000C324B"/>
    <w:pPr>
      <w:shd w:val="clear" w:color="auto" w:fill="FFFFFF"/>
      <w:spacing w:after="0" w:line="240" w:lineRule="atLeast"/>
      <w:ind w:hanging="340"/>
    </w:pPr>
    <w:rPr>
      <w:rFonts w:ascii="Times New Roman" w:hAnsi="Times New Roman"/>
      <w:i/>
      <w:iCs/>
      <w:sz w:val="21"/>
      <w:szCs w:val="21"/>
      <w:lang w:eastAsia="ru-RU"/>
    </w:rPr>
  </w:style>
  <w:style w:type="character" w:customStyle="1" w:styleId="Bodytext145">
    <w:name w:val="Body text (14)5"/>
    <w:uiPriority w:val="99"/>
    <w:rsid w:val="000C324B"/>
  </w:style>
  <w:style w:type="character" w:customStyle="1" w:styleId="Bodytext14NotItalic9">
    <w:name w:val="Body text (14) + Not Italic9"/>
    <w:uiPriority w:val="99"/>
    <w:rsid w:val="000C324B"/>
    <w:rPr>
      <w:rFonts w:ascii="Times New Roman" w:hAnsi="Times New Roman" w:cs="Times New Roman"/>
      <w:i w:val="0"/>
      <w:iCs w:val="0"/>
      <w:spacing w:val="0"/>
      <w:sz w:val="21"/>
      <w:szCs w:val="21"/>
    </w:rPr>
  </w:style>
  <w:style w:type="character" w:customStyle="1" w:styleId="BodytextItalic">
    <w:name w:val="Body text + Italic"/>
    <w:uiPriority w:val="99"/>
    <w:rsid w:val="000C324B"/>
    <w:rPr>
      <w:rFonts w:ascii="Times New Roman" w:hAnsi="Times New Roman" w:cs="Times New Roman"/>
      <w:i/>
      <w:iCs/>
      <w:spacing w:val="0"/>
      <w:sz w:val="21"/>
      <w:szCs w:val="21"/>
    </w:rPr>
  </w:style>
  <w:style w:type="character" w:customStyle="1" w:styleId="Bodytext59">
    <w:name w:val="Body text (59)_"/>
    <w:link w:val="Bodytext590"/>
    <w:rsid w:val="000C324B"/>
    <w:rPr>
      <w:rFonts w:ascii="Arial Narrow" w:eastAsia="Arial Narrow" w:hAnsi="Arial Narrow" w:cs="Arial Narrow"/>
      <w:spacing w:val="10"/>
      <w:shd w:val="clear" w:color="auto" w:fill="FFFFFF"/>
    </w:rPr>
  </w:style>
  <w:style w:type="paragraph" w:customStyle="1" w:styleId="Bodytext590">
    <w:name w:val="Body text (59)"/>
    <w:basedOn w:val="a0"/>
    <w:link w:val="Bodytext59"/>
    <w:rsid w:val="000C324B"/>
    <w:pPr>
      <w:shd w:val="clear" w:color="auto" w:fill="FFFFFF"/>
      <w:spacing w:before="180" w:after="300" w:line="0" w:lineRule="atLeast"/>
      <w:ind w:firstLine="300"/>
      <w:jc w:val="both"/>
    </w:pPr>
    <w:rPr>
      <w:rFonts w:ascii="Arial Narrow" w:eastAsia="Arial Narrow" w:hAnsi="Arial Narrow" w:cs="Arial Narrow"/>
      <w:spacing w:val="10"/>
      <w:sz w:val="20"/>
      <w:szCs w:val="20"/>
      <w:lang w:eastAsia="ru-RU"/>
    </w:rPr>
  </w:style>
  <w:style w:type="character" w:customStyle="1" w:styleId="Bodytext27">
    <w:name w:val="Body text (27)_"/>
    <w:link w:val="Bodytext270"/>
    <w:uiPriority w:val="99"/>
    <w:rsid w:val="009D3895"/>
    <w:rPr>
      <w:rFonts w:ascii="Arial Narrow" w:hAnsi="Arial Narrow" w:cs="Arial Narrow"/>
      <w:i/>
      <w:iCs/>
      <w:sz w:val="21"/>
      <w:szCs w:val="21"/>
      <w:shd w:val="clear" w:color="auto" w:fill="FFFFFF"/>
    </w:rPr>
  </w:style>
  <w:style w:type="character" w:customStyle="1" w:styleId="Bodytext28">
    <w:name w:val="Body text (28)_"/>
    <w:link w:val="Bodytext280"/>
    <w:uiPriority w:val="99"/>
    <w:rsid w:val="009D3895"/>
    <w:rPr>
      <w:rFonts w:ascii="Arial Narrow" w:hAnsi="Arial Narrow" w:cs="Arial Narrow"/>
      <w:i/>
      <w:iCs/>
      <w:sz w:val="23"/>
      <w:szCs w:val="23"/>
      <w:shd w:val="clear" w:color="auto" w:fill="FFFFFF"/>
    </w:rPr>
  </w:style>
  <w:style w:type="paragraph" w:customStyle="1" w:styleId="Bodytext270">
    <w:name w:val="Body text (27)"/>
    <w:basedOn w:val="a0"/>
    <w:link w:val="Bodytext27"/>
    <w:uiPriority w:val="99"/>
    <w:rsid w:val="009D3895"/>
    <w:pPr>
      <w:shd w:val="clear" w:color="auto" w:fill="FFFFFF"/>
      <w:spacing w:after="60" w:line="240" w:lineRule="atLeast"/>
      <w:ind w:firstLine="300"/>
      <w:jc w:val="both"/>
    </w:pPr>
    <w:rPr>
      <w:rFonts w:ascii="Arial Narrow" w:hAnsi="Arial Narrow" w:cs="Arial Narrow"/>
      <w:i/>
      <w:iCs/>
      <w:sz w:val="21"/>
      <w:szCs w:val="21"/>
      <w:lang w:eastAsia="ru-RU"/>
    </w:rPr>
  </w:style>
  <w:style w:type="paragraph" w:customStyle="1" w:styleId="Bodytext280">
    <w:name w:val="Body text (28)"/>
    <w:basedOn w:val="a0"/>
    <w:link w:val="Bodytext28"/>
    <w:uiPriority w:val="99"/>
    <w:rsid w:val="009D3895"/>
    <w:pPr>
      <w:shd w:val="clear" w:color="auto" w:fill="FFFFFF"/>
      <w:spacing w:after="180" w:line="240" w:lineRule="atLeast"/>
      <w:ind w:firstLine="300"/>
      <w:jc w:val="both"/>
    </w:pPr>
    <w:rPr>
      <w:rFonts w:ascii="Arial Narrow" w:hAnsi="Arial Narrow" w:cs="Arial Narrow"/>
      <w:i/>
      <w:iCs/>
      <w:sz w:val="23"/>
      <w:szCs w:val="23"/>
      <w:lang w:eastAsia="ru-RU"/>
    </w:rPr>
  </w:style>
  <w:style w:type="character" w:customStyle="1" w:styleId="Bodytext29">
    <w:name w:val="Body text (29)_"/>
    <w:link w:val="Bodytext290"/>
    <w:uiPriority w:val="99"/>
    <w:rsid w:val="009D3895"/>
    <w:rPr>
      <w:rFonts w:ascii="Arial Narrow" w:hAnsi="Arial Narrow" w:cs="Arial Narrow"/>
      <w:i/>
      <w:iCs/>
      <w:shd w:val="clear" w:color="auto" w:fill="FFFFFF"/>
    </w:rPr>
  </w:style>
  <w:style w:type="paragraph" w:customStyle="1" w:styleId="Bodytext290">
    <w:name w:val="Body text (29)"/>
    <w:basedOn w:val="a0"/>
    <w:link w:val="Bodytext29"/>
    <w:uiPriority w:val="99"/>
    <w:rsid w:val="009D3895"/>
    <w:pPr>
      <w:shd w:val="clear" w:color="auto" w:fill="FFFFFF"/>
      <w:spacing w:before="120" w:after="120" w:line="240" w:lineRule="atLeast"/>
      <w:ind w:firstLine="300"/>
      <w:jc w:val="both"/>
    </w:pPr>
    <w:rPr>
      <w:rFonts w:ascii="Arial Narrow" w:hAnsi="Arial Narrow" w:cs="Arial Narrow"/>
      <w:i/>
      <w:iCs/>
      <w:sz w:val="20"/>
      <w:szCs w:val="20"/>
      <w:lang w:eastAsia="ru-RU"/>
    </w:rPr>
  </w:style>
  <w:style w:type="character" w:customStyle="1" w:styleId="7e">
    <w:name w:val="Основной текст (7) + Не курсив"/>
    <w:rsid w:val="009D3895"/>
    <w:rPr>
      <w:rFonts w:ascii="Arial Narrow" w:eastAsia="Arial Narrow" w:hAnsi="Arial Narrow" w:cs="Arial Narrow"/>
      <w:b w:val="0"/>
      <w:bCs w:val="0"/>
      <w:i/>
      <w:iCs/>
      <w:smallCaps w:val="0"/>
      <w:strike w:val="0"/>
      <w:spacing w:val="0"/>
      <w:sz w:val="19"/>
      <w:szCs w:val="19"/>
      <w:shd w:val="clear" w:color="auto" w:fill="FFFFFF"/>
      <w:lang w:eastAsia="en-US"/>
    </w:rPr>
  </w:style>
  <w:style w:type="character" w:customStyle="1" w:styleId="Bodytext3">
    <w:name w:val="Body text (3)"/>
    <w:rsid w:val="00A50962"/>
  </w:style>
  <w:style w:type="character" w:customStyle="1" w:styleId="Bodytext275ptNotItalic">
    <w:name w:val="Body text (2) + 7;5 pt;Not Italic"/>
    <w:rsid w:val="00A50962"/>
    <w:rPr>
      <w:rFonts w:ascii="Times New Roman" w:eastAsia="Times New Roman" w:hAnsi="Times New Roman" w:cs="Times New Roman"/>
      <w:b w:val="0"/>
      <w:bCs w:val="0"/>
      <w:i/>
      <w:iCs/>
      <w:smallCaps w:val="0"/>
      <w:strike w:val="0"/>
      <w:spacing w:val="0"/>
      <w:sz w:val="15"/>
      <w:szCs w:val="15"/>
      <w:shd w:val="clear" w:color="auto" w:fill="FFFFFF"/>
    </w:rPr>
  </w:style>
  <w:style w:type="character" w:customStyle="1" w:styleId="Bodytext14NotItalic7">
    <w:name w:val="Body text (14) + Not Italic7"/>
    <w:uiPriority w:val="99"/>
    <w:rsid w:val="00A50962"/>
    <w:rPr>
      <w:rFonts w:ascii="Times New Roman" w:hAnsi="Times New Roman" w:cs="Times New Roman"/>
      <w:i w:val="0"/>
      <w:iCs w:val="0"/>
      <w:spacing w:val="0"/>
      <w:sz w:val="21"/>
      <w:szCs w:val="21"/>
    </w:rPr>
  </w:style>
  <w:style w:type="character" w:customStyle="1" w:styleId="Bodytext14NotItalic13">
    <w:name w:val="Body text (14) + Not Italic13"/>
    <w:uiPriority w:val="99"/>
    <w:rsid w:val="00A50962"/>
    <w:rPr>
      <w:rFonts w:ascii="Times New Roman" w:hAnsi="Times New Roman" w:cs="Times New Roman"/>
      <w:i w:val="0"/>
      <w:iCs w:val="0"/>
      <w:noProof/>
      <w:spacing w:val="0"/>
      <w:sz w:val="21"/>
      <w:szCs w:val="21"/>
    </w:rPr>
  </w:style>
  <w:style w:type="character" w:customStyle="1" w:styleId="Bodytext14NotItalic1">
    <w:name w:val="Body text (14) + Not Italic1"/>
    <w:uiPriority w:val="99"/>
    <w:rsid w:val="00A50962"/>
    <w:rPr>
      <w:rFonts w:ascii="Times New Roman" w:hAnsi="Times New Roman" w:cs="Times New Roman"/>
      <w:i w:val="0"/>
      <w:iCs w:val="0"/>
      <w:spacing w:val="0"/>
      <w:sz w:val="21"/>
      <w:szCs w:val="21"/>
    </w:rPr>
  </w:style>
  <w:style w:type="paragraph" w:customStyle="1" w:styleId="5f">
    <w:name w:val="Основной текст (5)"/>
    <w:basedOn w:val="a0"/>
    <w:link w:val="5f0"/>
    <w:rsid w:val="00F1597F"/>
    <w:pPr>
      <w:shd w:val="clear" w:color="auto" w:fill="FFFFFF"/>
      <w:autoSpaceDE w:val="0"/>
      <w:autoSpaceDN w:val="0"/>
      <w:adjustRightInd w:val="0"/>
      <w:spacing w:after="0" w:line="240" w:lineRule="atLeast"/>
    </w:pPr>
    <w:rPr>
      <w:rFonts w:ascii="Trebuchet MS" w:hAnsi="Trebuchet MS" w:cs="Trebuchet MS"/>
      <w:noProof/>
      <w:sz w:val="11"/>
      <w:szCs w:val="11"/>
      <w:lang w:val="en-US"/>
    </w:rPr>
  </w:style>
  <w:style w:type="character" w:customStyle="1" w:styleId="5f1">
    <w:name w:val="Основной текст (5) + Не полужирный"/>
    <w:rsid w:val="00F1597F"/>
    <w:rPr>
      <w:rFonts w:ascii="Arial Narrow" w:eastAsia="Arial Narrow" w:hAnsi="Arial Narrow" w:cs="Arial Narrow"/>
      <w:b/>
      <w:bCs/>
      <w:i w:val="0"/>
      <w:iCs w:val="0"/>
      <w:smallCaps w:val="0"/>
      <w:strike w:val="0"/>
      <w:spacing w:val="0"/>
      <w:sz w:val="18"/>
      <w:szCs w:val="18"/>
    </w:rPr>
  </w:style>
  <w:style w:type="character" w:customStyle="1" w:styleId="50pt">
    <w:name w:val="Основной текст (5) + Интервал 0 pt"/>
    <w:rsid w:val="00F1597F"/>
    <w:rPr>
      <w:rFonts w:ascii="Arial Narrow" w:eastAsia="Arial Narrow" w:hAnsi="Arial Narrow" w:cs="Arial Narrow"/>
      <w:b w:val="0"/>
      <w:bCs w:val="0"/>
      <w:i w:val="0"/>
      <w:iCs w:val="0"/>
      <w:smallCaps w:val="0"/>
      <w:strike w:val="0"/>
      <w:spacing w:val="-10"/>
      <w:sz w:val="18"/>
      <w:szCs w:val="18"/>
    </w:rPr>
  </w:style>
  <w:style w:type="paragraph" w:customStyle="1" w:styleId="12a">
    <w:name w:val="Основной текст12"/>
    <w:basedOn w:val="a0"/>
    <w:rsid w:val="00B33D31"/>
    <w:pPr>
      <w:shd w:val="clear" w:color="auto" w:fill="FFFFFF"/>
      <w:spacing w:after="60" w:line="240" w:lineRule="exact"/>
      <w:jc w:val="center"/>
    </w:pPr>
    <w:rPr>
      <w:rFonts w:ascii="Times New Roman" w:eastAsia="Times New Roman" w:hAnsi="Times New Roman"/>
      <w:sz w:val="23"/>
      <w:szCs w:val="23"/>
    </w:rPr>
  </w:style>
  <w:style w:type="paragraph" w:customStyle="1" w:styleId="Bodytext1">
    <w:name w:val="Body text1"/>
    <w:basedOn w:val="a0"/>
    <w:uiPriority w:val="99"/>
    <w:rsid w:val="00B33D31"/>
    <w:pPr>
      <w:shd w:val="clear" w:color="auto" w:fill="FFFFFF"/>
      <w:spacing w:after="0" w:line="221" w:lineRule="exact"/>
      <w:ind w:hanging="120"/>
      <w:jc w:val="both"/>
    </w:pPr>
    <w:rPr>
      <w:rFonts w:ascii="Arial Narrow" w:eastAsiaTheme="minorHAnsi" w:hAnsi="Arial Narrow" w:cs="Arial Narrow"/>
      <w:sz w:val="18"/>
      <w:szCs w:val="18"/>
    </w:rPr>
  </w:style>
  <w:style w:type="character" w:customStyle="1" w:styleId="Bodytext3Italic">
    <w:name w:val="Body text (3) + Italic"/>
    <w:basedOn w:val="a1"/>
    <w:uiPriority w:val="99"/>
    <w:rsid w:val="007A5C8F"/>
    <w:rPr>
      <w:rFonts w:ascii="Arial Narrow" w:eastAsia="Times New Roman" w:hAnsi="Arial Narrow" w:cs="Arial Narrow"/>
      <w:b w:val="0"/>
      <w:bCs w:val="0"/>
      <w:i/>
      <w:iCs/>
      <w:smallCaps w:val="0"/>
      <w:strike w:val="0"/>
      <w:spacing w:val="0"/>
      <w:w w:val="100"/>
      <w:sz w:val="15"/>
      <w:szCs w:val="15"/>
      <w:shd w:val="clear" w:color="auto" w:fill="FFFFFF"/>
    </w:rPr>
  </w:style>
  <w:style w:type="character" w:customStyle="1" w:styleId="BodytextBold6">
    <w:name w:val="Body text + Bold6"/>
    <w:basedOn w:val="Bodytext"/>
    <w:uiPriority w:val="99"/>
    <w:rsid w:val="00002908"/>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BodytextItalic3">
    <w:name w:val="Body text + Italic3"/>
    <w:basedOn w:val="Bodytext"/>
    <w:uiPriority w:val="99"/>
    <w:rsid w:val="00002908"/>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BodytextBold1">
    <w:name w:val="Body text + Bold1"/>
    <w:basedOn w:val="Bodytext"/>
    <w:uiPriority w:val="99"/>
    <w:rsid w:val="00FA33B8"/>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Gungsuh75pt0pt">
    <w:name w:val="Основной текст + Gungsuh;7;5 pt;Интервал 0 pt"/>
    <w:basedOn w:val="aff2"/>
    <w:rsid w:val="00227D12"/>
    <w:rPr>
      <w:rFonts w:ascii="Gungsuh" w:eastAsia="Gungsuh" w:hAnsi="Gungsuh" w:cs="Gungsuh"/>
      <w:spacing w:val="0"/>
      <w:sz w:val="15"/>
      <w:szCs w:val="15"/>
      <w:shd w:val="clear" w:color="auto" w:fill="FFFFFF"/>
    </w:rPr>
  </w:style>
  <w:style w:type="character" w:customStyle="1" w:styleId="9pt1pt">
    <w:name w:val="Основной текст + 9 pt;Курсив;Интервал 1 pt"/>
    <w:basedOn w:val="aff2"/>
    <w:rsid w:val="00696E07"/>
    <w:rPr>
      <w:rFonts w:ascii="Consolas" w:eastAsia="Consolas" w:hAnsi="Consolas" w:cs="Consolas"/>
      <w:b w:val="0"/>
      <w:bCs w:val="0"/>
      <w:i/>
      <w:iCs/>
      <w:smallCaps w:val="0"/>
      <w:strike w:val="0"/>
      <w:spacing w:val="30"/>
      <w:w w:val="100"/>
      <w:sz w:val="18"/>
      <w:szCs w:val="18"/>
      <w:shd w:val="clear" w:color="auto" w:fill="FFFFFF"/>
      <w:lang w:val="en-US"/>
    </w:rPr>
  </w:style>
  <w:style w:type="character" w:customStyle="1" w:styleId="TimesNewRoman85pt">
    <w:name w:val="Основной текст + Times New Roman;8;5 pt"/>
    <w:basedOn w:val="aff2"/>
    <w:rsid w:val="00D113EC"/>
    <w:rPr>
      <w:rFonts w:ascii="Times New Roman" w:eastAsia="Times New Roman" w:hAnsi="Times New Roman" w:cs="Times New Roman"/>
      <w:b w:val="0"/>
      <w:bCs w:val="0"/>
      <w:i w:val="0"/>
      <w:iCs w:val="0"/>
      <w:smallCaps w:val="0"/>
      <w:strike w:val="0"/>
      <w:spacing w:val="0"/>
      <w:sz w:val="17"/>
      <w:szCs w:val="17"/>
    </w:rPr>
  </w:style>
  <w:style w:type="character" w:customStyle="1" w:styleId="CenturyGothic85pt0pt">
    <w:name w:val="Основной текст + Century Gothic;8;5 pt;Малые прописные;Интервал 0 pt"/>
    <w:basedOn w:val="aff2"/>
    <w:rsid w:val="0044627C"/>
    <w:rPr>
      <w:rFonts w:ascii="Century Gothic" w:eastAsia="Century Gothic" w:hAnsi="Century Gothic" w:cs="Century Gothic"/>
      <w:b w:val="0"/>
      <w:bCs w:val="0"/>
      <w:i w:val="0"/>
      <w:iCs w:val="0"/>
      <w:smallCaps/>
      <w:strike w:val="0"/>
      <w:spacing w:val="10"/>
      <w:sz w:val="17"/>
      <w:szCs w:val="17"/>
      <w:shd w:val="clear" w:color="auto" w:fill="FFFFFF"/>
      <w:lang w:val="en-US"/>
    </w:rPr>
  </w:style>
  <w:style w:type="character" w:customStyle="1" w:styleId="85pt">
    <w:name w:val="Основной текст + 8;5 pt"/>
    <w:basedOn w:val="aff2"/>
    <w:rsid w:val="0044627C"/>
    <w:rPr>
      <w:rFonts w:ascii="MingLiU" w:eastAsia="MingLiU" w:hAnsi="MingLiU" w:cs="MingLiU"/>
      <w:b w:val="0"/>
      <w:bCs w:val="0"/>
      <w:i w:val="0"/>
      <w:iCs w:val="0"/>
      <w:smallCaps w:val="0"/>
      <w:strike w:val="0"/>
      <w:spacing w:val="-20"/>
      <w:w w:val="100"/>
      <w:sz w:val="17"/>
      <w:szCs w:val="17"/>
      <w:shd w:val="clear" w:color="auto" w:fill="FFFFFF"/>
    </w:rPr>
  </w:style>
  <w:style w:type="character" w:customStyle="1" w:styleId="18">
    <w:name w:val="Заголовок №1_"/>
    <w:basedOn w:val="a1"/>
    <w:link w:val="17"/>
    <w:rsid w:val="0044627C"/>
    <w:rPr>
      <w:rFonts w:ascii="Segoe UI" w:hAnsi="Segoe UI" w:cs="Segoe UI"/>
      <w:shd w:val="clear" w:color="auto" w:fill="FFFFFF"/>
      <w:lang w:eastAsia="en-US"/>
    </w:rPr>
  </w:style>
  <w:style w:type="character" w:customStyle="1" w:styleId="0pt3">
    <w:name w:val="Подпись к картинке + Интервал 0 pt"/>
    <w:basedOn w:val="affd"/>
    <w:rsid w:val="003F1491"/>
    <w:rPr>
      <w:rFonts w:ascii="SimHei" w:eastAsia="SimHei" w:hAnsi="SimHei" w:cs="SimHei"/>
      <w:b w:val="0"/>
      <w:bCs w:val="0"/>
      <w:i w:val="0"/>
      <w:iCs w:val="0"/>
      <w:smallCaps w:val="0"/>
      <w:strike w:val="0"/>
      <w:spacing w:val="-10"/>
      <w:sz w:val="20"/>
      <w:szCs w:val="20"/>
      <w:shd w:val="clear" w:color="auto" w:fill="FFFFFF"/>
      <w:lang w:eastAsia="en-US"/>
    </w:rPr>
  </w:style>
  <w:style w:type="character" w:customStyle="1" w:styleId="TrebuchetMS0pt">
    <w:name w:val="Основной текст + Trebuchet MS;Курсив;Интервал 0 pt"/>
    <w:basedOn w:val="aff2"/>
    <w:rsid w:val="008B38FB"/>
    <w:rPr>
      <w:rFonts w:ascii="Trebuchet MS" w:eastAsia="Trebuchet MS" w:hAnsi="Trebuchet MS" w:cs="Trebuchet MS"/>
      <w:b w:val="0"/>
      <w:bCs w:val="0"/>
      <w:i/>
      <w:iCs/>
      <w:smallCaps w:val="0"/>
      <w:strike w:val="0"/>
      <w:spacing w:val="0"/>
      <w:sz w:val="20"/>
      <w:szCs w:val="20"/>
      <w:shd w:val="clear" w:color="auto" w:fill="FFFFFF"/>
    </w:rPr>
  </w:style>
  <w:style w:type="character" w:customStyle="1" w:styleId="0pt66">
    <w:name w:val="Основной текст + Полужирный;Интервал 0 pt;Масштаб 66%"/>
    <w:basedOn w:val="aff2"/>
    <w:rsid w:val="008B38FB"/>
    <w:rPr>
      <w:rFonts w:ascii="MS Mincho" w:eastAsia="MS Mincho" w:hAnsi="MS Mincho" w:cs="MS Mincho"/>
      <w:b/>
      <w:bCs/>
      <w:i w:val="0"/>
      <w:iCs w:val="0"/>
      <w:smallCaps w:val="0"/>
      <w:strike w:val="0"/>
      <w:spacing w:val="0"/>
      <w:w w:val="66"/>
      <w:sz w:val="20"/>
      <w:szCs w:val="20"/>
      <w:shd w:val="clear" w:color="auto" w:fill="FFFFFF"/>
    </w:rPr>
  </w:style>
  <w:style w:type="paragraph" w:customStyle="1" w:styleId="7f">
    <w:name w:val="Основной текст7"/>
    <w:basedOn w:val="a0"/>
    <w:rsid w:val="008B38FB"/>
    <w:pPr>
      <w:shd w:val="clear" w:color="auto" w:fill="FFFFFF"/>
      <w:spacing w:after="660" w:line="158" w:lineRule="exact"/>
      <w:jc w:val="both"/>
    </w:pPr>
    <w:rPr>
      <w:rFonts w:ascii="MS Mincho" w:eastAsia="MS Mincho" w:hAnsi="MS Mincho" w:cs="MS Mincho"/>
      <w:color w:val="000000"/>
      <w:spacing w:val="-20"/>
      <w:sz w:val="20"/>
      <w:szCs w:val="20"/>
      <w:lang w:eastAsia="ru-RU"/>
    </w:rPr>
  </w:style>
  <w:style w:type="character" w:customStyle="1" w:styleId="CenturyGothic0pt">
    <w:name w:val="Основной текст + Century Gothic;Курсив;Интервал 0 pt"/>
    <w:basedOn w:val="aff2"/>
    <w:rsid w:val="006F4217"/>
    <w:rPr>
      <w:rFonts w:ascii="Century Gothic" w:eastAsia="Century Gothic" w:hAnsi="Century Gothic" w:cs="Century Gothic"/>
      <w:i/>
      <w:iCs/>
      <w:spacing w:val="-10"/>
      <w:w w:val="100"/>
      <w:sz w:val="16"/>
      <w:szCs w:val="16"/>
      <w:shd w:val="clear" w:color="auto" w:fill="FFFFFF"/>
    </w:rPr>
  </w:style>
  <w:style w:type="paragraph" w:customStyle="1" w:styleId="6">
    <w:name w:val="Основной текст6"/>
    <w:basedOn w:val="a0"/>
    <w:link w:val="aff2"/>
    <w:rsid w:val="006F4217"/>
    <w:pPr>
      <w:shd w:val="clear" w:color="auto" w:fill="FFFFFF"/>
      <w:spacing w:after="0" w:line="173" w:lineRule="exact"/>
      <w:ind w:hanging="1660"/>
      <w:jc w:val="both"/>
    </w:pPr>
    <w:rPr>
      <w:rFonts w:ascii="Microsoft Sans Serif" w:hAnsi="Microsoft Sans Serif" w:cs="Microsoft Sans Serif"/>
      <w:spacing w:val="-10"/>
      <w:sz w:val="29"/>
      <w:szCs w:val="29"/>
      <w:lang w:eastAsia="ru-RU"/>
    </w:rPr>
  </w:style>
  <w:style w:type="character" w:customStyle="1" w:styleId="TrebuchetMS105pt">
    <w:name w:val="Основной текст + Trebuchet MS;10;5 pt;Курсив"/>
    <w:basedOn w:val="aff2"/>
    <w:rsid w:val="006F4217"/>
    <w:rPr>
      <w:rFonts w:ascii="Trebuchet MS" w:eastAsia="Trebuchet MS" w:hAnsi="Trebuchet MS" w:cs="Trebuchet MS"/>
      <w:b w:val="0"/>
      <w:bCs w:val="0"/>
      <w:i/>
      <w:iCs/>
      <w:smallCaps w:val="0"/>
      <w:strike w:val="0"/>
      <w:spacing w:val="0"/>
      <w:sz w:val="21"/>
      <w:szCs w:val="21"/>
      <w:shd w:val="clear" w:color="auto" w:fill="FFFFFF"/>
    </w:rPr>
  </w:style>
  <w:style w:type="character" w:customStyle="1" w:styleId="6pt">
    <w:name w:val="Основной текст + Интервал 6 pt"/>
    <w:basedOn w:val="aff2"/>
    <w:rsid w:val="002E3F5E"/>
    <w:rPr>
      <w:rFonts w:ascii="Batang" w:eastAsia="Batang" w:hAnsi="Batang" w:cs="Batang"/>
      <w:b w:val="0"/>
      <w:bCs w:val="0"/>
      <w:i w:val="0"/>
      <w:iCs w:val="0"/>
      <w:smallCaps w:val="0"/>
      <w:strike w:val="0"/>
      <w:spacing w:val="130"/>
      <w:sz w:val="18"/>
      <w:szCs w:val="18"/>
    </w:rPr>
  </w:style>
  <w:style w:type="paragraph" w:customStyle="1" w:styleId="5f2">
    <w:name w:val="Основной текст5"/>
    <w:basedOn w:val="a0"/>
    <w:rsid w:val="002E3F5E"/>
    <w:pPr>
      <w:shd w:val="clear" w:color="auto" w:fill="FFFFFF"/>
      <w:spacing w:before="120" w:after="600" w:line="143" w:lineRule="exact"/>
      <w:jc w:val="both"/>
    </w:pPr>
    <w:rPr>
      <w:rFonts w:ascii="Batang" w:eastAsia="Batang" w:hAnsi="Batang" w:cs="Batang"/>
      <w:color w:val="000000"/>
      <w:sz w:val="18"/>
      <w:szCs w:val="18"/>
      <w:lang w:eastAsia="ru-RU"/>
    </w:rPr>
  </w:style>
  <w:style w:type="character" w:customStyle="1" w:styleId="3-1pt0">
    <w:name w:val="Основной текст (3) + Интервал -1 pt"/>
    <w:basedOn w:val="35"/>
    <w:rsid w:val="00A11FB3"/>
    <w:rPr>
      <w:rFonts w:ascii="Batang" w:eastAsia="Batang" w:hAnsi="Batang" w:cs="Batang"/>
      <w:b w:val="0"/>
      <w:bCs w:val="0"/>
      <w:i w:val="0"/>
      <w:iCs w:val="0"/>
      <w:smallCaps w:val="0"/>
      <w:strike w:val="0"/>
      <w:spacing w:val="-20"/>
      <w:sz w:val="29"/>
      <w:szCs w:val="29"/>
      <w:shd w:val="clear" w:color="auto" w:fill="FFFFFF"/>
      <w:lang w:eastAsia="en-US"/>
    </w:rPr>
  </w:style>
  <w:style w:type="character" w:customStyle="1" w:styleId="30pt">
    <w:name w:val="Основной текст (3) + Интервал 0 pt"/>
    <w:basedOn w:val="35"/>
    <w:rsid w:val="0016028C"/>
    <w:rPr>
      <w:rFonts w:ascii="MingLiU" w:eastAsia="MingLiU" w:hAnsi="MingLiU" w:cs="MingLiU"/>
      <w:b w:val="0"/>
      <w:bCs w:val="0"/>
      <w:i w:val="0"/>
      <w:iCs w:val="0"/>
      <w:smallCaps w:val="0"/>
      <w:strike w:val="0"/>
      <w:spacing w:val="0"/>
      <w:sz w:val="19"/>
      <w:szCs w:val="19"/>
      <w:shd w:val="clear" w:color="auto" w:fill="FFFFFF"/>
      <w:lang w:val="en-US" w:eastAsia="en-US"/>
    </w:rPr>
  </w:style>
  <w:style w:type="character" w:customStyle="1" w:styleId="FranklinGothicBook105pt-1pt">
    <w:name w:val="Основной текст + Franklin Gothic Book;10;5 pt;Курсив;Интервал -1 pt"/>
    <w:basedOn w:val="aff2"/>
    <w:rsid w:val="00EA3361"/>
    <w:rPr>
      <w:rFonts w:ascii="Franklin Gothic Book" w:eastAsia="Franklin Gothic Book" w:hAnsi="Franklin Gothic Book" w:cs="Franklin Gothic Book"/>
      <w:b w:val="0"/>
      <w:bCs w:val="0"/>
      <w:i/>
      <w:iCs/>
      <w:smallCaps w:val="0"/>
      <w:strike w:val="0"/>
      <w:spacing w:val="-20"/>
      <w:sz w:val="21"/>
      <w:szCs w:val="21"/>
      <w:shd w:val="clear" w:color="auto" w:fill="FFFFFF"/>
    </w:rPr>
  </w:style>
  <w:style w:type="character" w:customStyle="1" w:styleId="385pt">
    <w:name w:val="Основной текст (3) + 8;5 pt"/>
    <w:basedOn w:val="35"/>
    <w:rsid w:val="00EA3361"/>
    <w:rPr>
      <w:rFonts w:ascii="Gungsuh" w:eastAsia="Gungsuh" w:hAnsi="Gungsuh" w:cs="Gungsuh"/>
      <w:b w:val="0"/>
      <w:bCs w:val="0"/>
      <w:i w:val="0"/>
      <w:iCs w:val="0"/>
      <w:smallCaps w:val="0"/>
      <w:strike w:val="0"/>
      <w:spacing w:val="0"/>
      <w:w w:val="100"/>
      <w:sz w:val="17"/>
      <w:szCs w:val="17"/>
      <w:shd w:val="clear" w:color="auto" w:fill="FFFFFF"/>
      <w:lang w:eastAsia="en-US"/>
    </w:rPr>
  </w:style>
  <w:style w:type="character" w:customStyle="1" w:styleId="95pt">
    <w:name w:val="Основной текст + 9;5 pt;Малые прописные"/>
    <w:basedOn w:val="aff2"/>
    <w:rsid w:val="00EA3361"/>
    <w:rPr>
      <w:rFonts w:ascii="Gungsuh" w:eastAsia="Gungsuh" w:hAnsi="Gungsuh" w:cs="Gungsuh"/>
      <w:b w:val="0"/>
      <w:bCs w:val="0"/>
      <w:i w:val="0"/>
      <w:iCs w:val="0"/>
      <w:smallCaps/>
      <w:strike w:val="0"/>
      <w:spacing w:val="0"/>
      <w:sz w:val="19"/>
      <w:szCs w:val="19"/>
      <w:shd w:val="clear" w:color="auto" w:fill="FFFFFF"/>
    </w:rPr>
  </w:style>
  <w:style w:type="character" w:customStyle="1" w:styleId="Candara12pt">
    <w:name w:val="Основной текст + Candara;12 pt"/>
    <w:basedOn w:val="aff2"/>
    <w:rsid w:val="00EA3361"/>
    <w:rPr>
      <w:rFonts w:ascii="Candara" w:eastAsia="Candara" w:hAnsi="Candara" w:cs="Candara"/>
      <w:b w:val="0"/>
      <w:bCs w:val="0"/>
      <w:i w:val="0"/>
      <w:iCs w:val="0"/>
      <w:smallCaps w:val="0"/>
      <w:strike w:val="0"/>
      <w:spacing w:val="0"/>
      <w:sz w:val="24"/>
      <w:szCs w:val="24"/>
      <w:shd w:val="clear" w:color="auto" w:fill="FFFFFF"/>
    </w:rPr>
  </w:style>
  <w:style w:type="character" w:customStyle="1" w:styleId="TimesNewRoman105pt">
    <w:name w:val="Основной текст + Times New Roman;10;5 pt;Курсив"/>
    <w:basedOn w:val="aff2"/>
    <w:rsid w:val="00EA3361"/>
    <w:rPr>
      <w:rFonts w:ascii="Times New Roman" w:eastAsia="Times New Roman" w:hAnsi="Times New Roman" w:cs="Times New Roman"/>
      <w:b w:val="0"/>
      <w:bCs w:val="0"/>
      <w:i/>
      <w:iCs/>
      <w:smallCaps w:val="0"/>
      <w:strike w:val="0"/>
      <w:spacing w:val="0"/>
      <w:sz w:val="21"/>
      <w:szCs w:val="21"/>
    </w:rPr>
  </w:style>
  <w:style w:type="character" w:customStyle="1" w:styleId="75pt0pt">
    <w:name w:val="Основной текст + 7;5 pt;Полужирный;Интервал 0 pt"/>
    <w:basedOn w:val="aff2"/>
    <w:rsid w:val="002B0AA5"/>
    <w:rPr>
      <w:rFonts w:ascii="Gungsuh" w:eastAsia="Gungsuh" w:hAnsi="Gungsuh" w:cs="Gungsuh"/>
      <w:b/>
      <w:bCs/>
      <w:i w:val="0"/>
      <w:iCs w:val="0"/>
      <w:smallCaps w:val="0"/>
      <w:strike w:val="0"/>
      <w:spacing w:val="10"/>
      <w:sz w:val="15"/>
      <w:szCs w:val="15"/>
    </w:rPr>
  </w:style>
  <w:style w:type="character" w:customStyle="1" w:styleId="2fb">
    <w:name w:val="Основной текст (2) + Не полужирный"/>
    <w:basedOn w:val="2a"/>
    <w:rsid w:val="003B6800"/>
    <w:rPr>
      <w:rFonts w:ascii="MS Mincho" w:eastAsia="MS Mincho" w:hAnsi="MS Mincho" w:cs="MS Mincho"/>
      <w:b/>
      <w:bCs/>
      <w:spacing w:val="-20"/>
      <w:sz w:val="19"/>
      <w:szCs w:val="19"/>
      <w:shd w:val="clear" w:color="auto" w:fill="FFFFFF"/>
      <w:lang w:eastAsia="en-US"/>
    </w:rPr>
  </w:style>
  <w:style w:type="character" w:customStyle="1" w:styleId="20pt">
    <w:name w:val="Основной текст (2) + Интервал 0 pt"/>
    <w:basedOn w:val="2a"/>
    <w:rsid w:val="003B6800"/>
    <w:rPr>
      <w:rFonts w:ascii="MS Mincho" w:eastAsia="MS Mincho" w:hAnsi="MS Mincho" w:cs="MS Mincho"/>
      <w:spacing w:val="0"/>
      <w:sz w:val="19"/>
      <w:szCs w:val="19"/>
      <w:shd w:val="clear" w:color="auto" w:fill="FFFFFF"/>
      <w:lang w:eastAsia="en-US"/>
    </w:rPr>
  </w:style>
  <w:style w:type="character" w:customStyle="1" w:styleId="CourierNew105pt0pt">
    <w:name w:val="Основной текст + Courier New;10;5 pt;Малые прописные;Интервал 0 pt"/>
    <w:basedOn w:val="aff2"/>
    <w:rsid w:val="003B6800"/>
    <w:rPr>
      <w:rFonts w:ascii="Courier New" w:eastAsia="Courier New" w:hAnsi="Courier New" w:cs="Courier New"/>
      <w:b w:val="0"/>
      <w:bCs w:val="0"/>
      <w:i w:val="0"/>
      <w:iCs w:val="0"/>
      <w:smallCaps/>
      <w:strike w:val="0"/>
      <w:spacing w:val="0"/>
      <w:sz w:val="21"/>
      <w:szCs w:val="21"/>
      <w:shd w:val="clear" w:color="auto" w:fill="FFFFFF"/>
    </w:rPr>
  </w:style>
  <w:style w:type="character" w:customStyle="1" w:styleId="10pt0">
    <w:name w:val="Заголовок №1 + Интервал 0 pt"/>
    <w:basedOn w:val="18"/>
    <w:rsid w:val="003B6800"/>
    <w:rPr>
      <w:rFonts w:ascii="SimHei" w:eastAsia="SimHei" w:hAnsi="SimHei" w:cs="SimHei"/>
      <w:spacing w:val="0"/>
      <w:sz w:val="20"/>
      <w:szCs w:val="20"/>
      <w:shd w:val="clear" w:color="auto" w:fill="FFFFFF"/>
      <w:lang w:eastAsia="en-US"/>
    </w:rPr>
  </w:style>
  <w:style w:type="character" w:customStyle="1" w:styleId="95pt0">
    <w:name w:val="Основной текст + 9;5 pt"/>
    <w:basedOn w:val="aff2"/>
    <w:rsid w:val="00B82F32"/>
    <w:rPr>
      <w:rFonts w:ascii="Consolas" w:eastAsia="Consolas" w:hAnsi="Consolas" w:cs="Consolas"/>
      <w:b w:val="0"/>
      <w:bCs w:val="0"/>
      <w:i w:val="0"/>
      <w:iCs w:val="0"/>
      <w:smallCaps w:val="0"/>
      <w:strike w:val="0"/>
      <w:spacing w:val="0"/>
      <w:w w:val="100"/>
      <w:sz w:val="19"/>
      <w:szCs w:val="19"/>
      <w:shd w:val="clear" w:color="auto" w:fill="FFFFFF"/>
    </w:rPr>
  </w:style>
  <w:style w:type="character" w:customStyle="1" w:styleId="Tahoma95pt">
    <w:name w:val="Основной текст + Tahoma;9;5 pt;Малые прописные"/>
    <w:basedOn w:val="aff2"/>
    <w:rsid w:val="00B82F32"/>
    <w:rPr>
      <w:rFonts w:ascii="Tahoma" w:eastAsia="Tahoma" w:hAnsi="Tahoma" w:cs="Tahoma"/>
      <w:b w:val="0"/>
      <w:bCs w:val="0"/>
      <w:i w:val="0"/>
      <w:iCs w:val="0"/>
      <w:smallCaps/>
      <w:strike w:val="0"/>
      <w:spacing w:val="0"/>
      <w:w w:val="100"/>
      <w:sz w:val="19"/>
      <w:szCs w:val="19"/>
      <w:shd w:val="clear" w:color="auto" w:fill="FFFFFF"/>
    </w:rPr>
  </w:style>
  <w:style w:type="character" w:customStyle="1" w:styleId="Tahoma8pt1pt">
    <w:name w:val="Основной текст + Tahoma;8 pt;Интервал 1 pt"/>
    <w:basedOn w:val="aff2"/>
    <w:rsid w:val="00B82F32"/>
    <w:rPr>
      <w:rFonts w:ascii="Tahoma" w:eastAsia="Tahoma" w:hAnsi="Tahoma" w:cs="Tahoma"/>
      <w:b w:val="0"/>
      <w:bCs w:val="0"/>
      <w:i w:val="0"/>
      <w:iCs w:val="0"/>
      <w:smallCaps w:val="0"/>
      <w:strike w:val="0"/>
      <w:spacing w:val="20"/>
      <w:w w:val="100"/>
      <w:sz w:val="16"/>
      <w:szCs w:val="16"/>
      <w:shd w:val="clear" w:color="auto" w:fill="FFFFFF"/>
    </w:rPr>
  </w:style>
  <w:style w:type="character" w:customStyle="1" w:styleId="Tahoma9pt0pt">
    <w:name w:val="Основной текст + Tahoma;9 pt;Малые прописные;Интервал 0 pt"/>
    <w:basedOn w:val="aff2"/>
    <w:rsid w:val="00B82F32"/>
    <w:rPr>
      <w:rFonts w:ascii="Tahoma" w:eastAsia="Tahoma" w:hAnsi="Tahoma" w:cs="Tahoma"/>
      <w:b w:val="0"/>
      <w:bCs w:val="0"/>
      <w:i w:val="0"/>
      <w:iCs w:val="0"/>
      <w:smallCaps/>
      <w:strike w:val="0"/>
      <w:spacing w:val="0"/>
      <w:sz w:val="18"/>
      <w:szCs w:val="18"/>
      <w:shd w:val="clear" w:color="auto" w:fill="FFFFFF"/>
    </w:rPr>
  </w:style>
  <w:style w:type="paragraph" w:customStyle="1" w:styleId="89">
    <w:name w:val="Основной текст8"/>
    <w:basedOn w:val="a0"/>
    <w:rsid w:val="00725DED"/>
    <w:pPr>
      <w:shd w:val="clear" w:color="auto" w:fill="FFFFFF"/>
      <w:spacing w:after="0" w:line="0" w:lineRule="atLeast"/>
    </w:pPr>
    <w:rPr>
      <w:rFonts w:ascii="Batang" w:eastAsia="Batang" w:hAnsi="Batang" w:cs="Batang"/>
      <w:color w:val="000000"/>
      <w:sz w:val="18"/>
      <w:szCs w:val="18"/>
      <w:lang w:eastAsia="ru-RU"/>
    </w:rPr>
  </w:style>
  <w:style w:type="character" w:customStyle="1" w:styleId="10pt1">
    <w:name w:val="Основной текст + 10 pt;Малые прописные"/>
    <w:basedOn w:val="aff2"/>
    <w:rsid w:val="00725DED"/>
    <w:rPr>
      <w:rFonts w:ascii="Gungsuh" w:eastAsia="Gungsuh" w:hAnsi="Gungsuh" w:cs="Gungsuh"/>
      <w:b w:val="0"/>
      <w:bCs w:val="0"/>
      <w:i w:val="0"/>
      <w:iCs w:val="0"/>
      <w:smallCaps/>
      <w:strike w:val="0"/>
      <w:spacing w:val="0"/>
      <w:sz w:val="20"/>
      <w:szCs w:val="20"/>
    </w:rPr>
  </w:style>
  <w:style w:type="paragraph" w:styleId="affffff">
    <w:name w:val="List Paragraph"/>
    <w:basedOn w:val="a0"/>
    <w:qFormat/>
    <w:rsid w:val="00725DED"/>
    <w:pPr>
      <w:spacing w:after="0" w:line="360" w:lineRule="auto"/>
      <w:ind w:left="720"/>
      <w:contextualSpacing/>
      <w:jc w:val="both"/>
    </w:pPr>
    <w:rPr>
      <w:rFonts w:asciiTheme="minorHAnsi" w:eastAsiaTheme="minorHAnsi" w:hAnsiTheme="minorHAnsi" w:cstheme="minorBidi"/>
    </w:rPr>
  </w:style>
  <w:style w:type="character" w:customStyle="1" w:styleId="10pt2">
    <w:name w:val="Основной текст + 10 pt;Курсив"/>
    <w:basedOn w:val="aff2"/>
    <w:rsid w:val="008537C0"/>
    <w:rPr>
      <w:rFonts w:ascii="Batang" w:eastAsia="Batang" w:hAnsi="Batang" w:cs="Batang"/>
      <w:b w:val="0"/>
      <w:bCs w:val="0"/>
      <w:i/>
      <w:iCs/>
      <w:smallCaps w:val="0"/>
      <w:strike w:val="0"/>
      <w:spacing w:val="0"/>
      <w:sz w:val="20"/>
      <w:szCs w:val="20"/>
      <w:shd w:val="clear" w:color="auto" w:fill="FFFFFF"/>
    </w:rPr>
  </w:style>
  <w:style w:type="paragraph" w:customStyle="1" w:styleId="rtejustify">
    <w:name w:val="rtejustify"/>
    <w:basedOn w:val="a0"/>
    <w:rsid w:val="001F6A0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fb">
    <w:name w:val="Основной текст (3) + Не курсив"/>
    <w:basedOn w:val="35"/>
    <w:rsid w:val="00344FD4"/>
    <w:rPr>
      <w:rFonts w:ascii="Arial" w:eastAsia="Arial" w:hAnsi="Arial" w:cs="Arial"/>
      <w:i/>
      <w:iCs/>
      <w:spacing w:val="20"/>
      <w:sz w:val="15"/>
      <w:szCs w:val="15"/>
      <w:shd w:val="clear" w:color="auto" w:fill="FFFFFF"/>
      <w:lang w:eastAsia="en-US"/>
    </w:rPr>
  </w:style>
  <w:style w:type="paragraph" w:customStyle="1" w:styleId="232">
    <w:name w:val="Основной текст23"/>
    <w:basedOn w:val="a0"/>
    <w:rsid w:val="00344FD4"/>
    <w:pPr>
      <w:shd w:val="clear" w:color="auto" w:fill="FFFFFF"/>
      <w:spacing w:before="480" w:after="180" w:line="0" w:lineRule="atLeast"/>
      <w:ind w:hanging="200"/>
    </w:pPr>
    <w:rPr>
      <w:rFonts w:ascii="Arial Narrow" w:eastAsia="Arial Narrow" w:hAnsi="Arial Narrow" w:cs="Arial Narrow"/>
      <w:color w:val="000000"/>
      <w:sz w:val="18"/>
      <w:szCs w:val="18"/>
      <w:lang w:eastAsia="ru-RU"/>
    </w:rPr>
  </w:style>
  <w:style w:type="paragraph" w:customStyle="1" w:styleId="172">
    <w:name w:val="Основной текст17"/>
    <w:basedOn w:val="a0"/>
    <w:rsid w:val="00EC7BF5"/>
    <w:pPr>
      <w:shd w:val="clear" w:color="auto" w:fill="FFFFFF"/>
      <w:spacing w:before="660" w:after="0" w:line="0" w:lineRule="atLeast"/>
      <w:ind w:hanging="280"/>
    </w:pPr>
    <w:rPr>
      <w:rFonts w:ascii="Arial Narrow" w:eastAsia="Arial Narrow" w:hAnsi="Arial Narrow" w:cs="Arial Narrow"/>
      <w:color w:val="000000"/>
      <w:sz w:val="19"/>
      <w:szCs w:val="19"/>
      <w:lang w:eastAsia="ru-RU"/>
    </w:rPr>
  </w:style>
  <w:style w:type="paragraph" w:customStyle="1" w:styleId="319">
    <w:name w:val="Основной текст31"/>
    <w:basedOn w:val="a0"/>
    <w:rsid w:val="00DE48C2"/>
    <w:pPr>
      <w:shd w:val="clear" w:color="auto" w:fill="FFFFFF"/>
      <w:spacing w:after="480" w:line="0" w:lineRule="atLeast"/>
    </w:pPr>
    <w:rPr>
      <w:rFonts w:ascii="Arial Narrow" w:eastAsia="Arial Narrow" w:hAnsi="Arial Narrow" w:cs="Arial Narrow"/>
      <w:color w:val="000000"/>
      <w:sz w:val="18"/>
      <w:szCs w:val="18"/>
      <w:lang w:eastAsia="ru-RU"/>
    </w:rPr>
  </w:style>
  <w:style w:type="paragraph" w:customStyle="1" w:styleId="rtecenter">
    <w:name w:val="rtecenter"/>
    <w:basedOn w:val="a0"/>
    <w:rsid w:val="00CE32F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0a">
    <w:name w:val="Основной текст (10) + Не курсив"/>
    <w:basedOn w:val="108"/>
    <w:rsid w:val="007F4BD1"/>
    <w:rPr>
      <w:rFonts w:ascii="Arial Narrow" w:eastAsia="Arial Narrow" w:hAnsi="Arial Narrow" w:cs="Arial Narrow"/>
      <w:b w:val="0"/>
      <w:bCs w:val="0"/>
      <w:i/>
      <w:iCs/>
      <w:smallCaps w:val="0"/>
      <w:strike w:val="0"/>
      <w:spacing w:val="0"/>
      <w:w w:val="100"/>
      <w:sz w:val="18"/>
      <w:szCs w:val="18"/>
      <w:shd w:val="clear" w:color="auto" w:fill="FFFFFF"/>
    </w:rPr>
  </w:style>
  <w:style w:type="paragraph" w:customStyle="1" w:styleId="4f2">
    <w:name w:val="4"/>
    <w:basedOn w:val="a0"/>
    <w:rsid w:val="00A95820"/>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920">
    <w:name w:val="Основной текст92"/>
    <w:basedOn w:val="aff2"/>
    <w:rsid w:val="00AD436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62">
    <w:name w:val="Основной текст116"/>
    <w:basedOn w:val="a0"/>
    <w:rsid w:val="00AD4360"/>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930">
    <w:name w:val="Основной текст93"/>
    <w:basedOn w:val="aff2"/>
    <w:rsid w:val="00AD436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article-renderblock">
    <w:name w:val="article-render__block"/>
    <w:basedOn w:val="a0"/>
    <w:rsid w:val="00C6437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pt1">
    <w:name w:val="Основной текст + Курсив;Интервал 1 pt"/>
    <w:basedOn w:val="aff2"/>
    <w:rsid w:val="008775ED"/>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character" w:customStyle="1" w:styleId="5f0">
    <w:name w:val="Основной текст (5)_"/>
    <w:basedOn w:val="a1"/>
    <w:link w:val="5f"/>
    <w:rsid w:val="00BE1824"/>
    <w:rPr>
      <w:rFonts w:ascii="Trebuchet MS" w:hAnsi="Trebuchet MS" w:cs="Trebuchet MS"/>
      <w:noProof/>
      <w:sz w:val="11"/>
      <w:szCs w:val="11"/>
      <w:shd w:val="clear" w:color="auto" w:fill="FFFFFF"/>
      <w:lang w:val="en-US" w:eastAsia="en-US"/>
    </w:rPr>
  </w:style>
  <w:style w:type="character" w:customStyle="1" w:styleId="375">
    <w:name w:val="Основной текст (3) + Не курсив;Масштаб 75%"/>
    <w:basedOn w:val="35"/>
    <w:rsid w:val="00BE1824"/>
    <w:rPr>
      <w:rFonts w:ascii="Franklin Gothic Book" w:eastAsia="Franklin Gothic Book" w:hAnsi="Franklin Gothic Book" w:cs="Franklin Gothic Book"/>
      <w:i/>
      <w:iCs/>
      <w:spacing w:val="0"/>
      <w:w w:val="75"/>
      <w:sz w:val="19"/>
      <w:szCs w:val="19"/>
      <w:shd w:val="clear" w:color="auto" w:fill="FFFFFF"/>
      <w:lang w:eastAsia="en-US"/>
    </w:rPr>
  </w:style>
  <w:style w:type="character" w:customStyle="1" w:styleId="5800">
    <w:name w:val="Основной текст (5) + Курсив;Масштаб 80%"/>
    <w:basedOn w:val="5f0"/>
    <w:rsid w:val="00BE1824"/>
    <w:rPr>
      <w:rFonts w:ascii="Franklin Gothic Book" w:eastAsia="Franklin Gothic Book" w:hAnsi="Franklin Gothic Book" w:cs="Franklin Gothic Book"/>
      <w:b w:val="0"/>
      <w:bCs w:val="0"/>
      <w:i/>
      <w:iCs/>
      <w:smallCaps w:val="0"/>
      <w:strike w:val="0"/>
      <w:noProof/>
      <w:spacing w:val="0"/>
      <w:w w:val="80"/>
      <w:sz w:val="19"/>
      <w:szCs w:val="19"/>
      <w:shd w:val="clear" w:color="auto" w:fill="FFFFFF"/>
      <w:lang w:val="en-US" w:eastAsia="en-US"/>
    </w:rPr>
  </w:style>
  <w:style w:type="character" w:customStyle="1" w:styleId="423">
    <w:name w:val="Основной текст42"/>
    <w:basedOn w:val="aff2"/>
    <w:rsid w:val="00C5464C"/>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34">
    <w:name w:val="Основной текст43"/>
    <w:basedOn w:val="aff2"/>
    <w:rsid w:val="00C5464C"/>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800">
    <w:name w:val="Основной текст + Курсив;Масштаб 80%"/>
    <w:basedOn w:val="aff2"/>
    <w:rsid w:val="00F51760"/>
    <w:rPr>
      <w:rFonts w:ascii="Segoe UI" w:eastAsia="Segoe UI" w:hAnsi="Segoe UI" w:cs="Segoe UI"/>
      <w:b w:val="0"/>
      <w:bCs w:val="0"/>
      <w:i/>
      <w:iCs/>
      <w:smallCaps w:val="0"/>
      <w:strike w:val="0"/>
      <w:spacing w:val="0"/>
      <w:w w:val="80"/>
      <w:sz w:val="18"/>
      <w:szCs w:val="18"/>
      <w:shd w:val="clear" w:color="auto" w:fill="FFFFFF"/>
    </w:rPr>
  </w:style>
  <w:style w:type="paragraph" w:customStyle="1" w:styleId="11b">
    <w:name w:val="Основной текст11"/>
    <w:basedOn w:val="a0"/>
    <w:rsid w:val="00F51760"/>
    <w:pPr>
      <w:shd w:val="clear" w:color="auto" w:fill="FFFFFF"/>
      <w:spacing w:before="120" w:after="0" w:line="219" w:lineRule="exact"/>
      <w:jc w:val="both"/>
    </w:pPr>
    <w:rPr>
      <w:rFonts w:ascii="Segoe UI" w:eastAsia="Segoe UI" w:hAnsi="Segoe UI" w:cs="Segoe UI"/>
      <w:color w:val="000000"/>
      <w:w w:val="75"/>
      <w:sz w:val="18"/>
      <w:szCs w:val="18"/>
      <w:lang w:val="ru" w:eastAsia="ru-RU"/>
    </w:rPr>
  </w:style>
  <w:style w:type="character" w:customStyle="1" w:styleId="443">
    <w:name w:val="Основной текст44"/>
    <w:basedOn w:val="aff2"/>
    <w:rsid w:val="00F51760"/>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51">
    <w:name w:val="Основной текст45"/>
    <w:basedOn w:val="aff2"/>
    <w:rsid w:val="00F51760"/>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82">
    <w:name w:val="Основной текст48"/>
    <w:basedOn w:val="aff2"/>
    <w:rsid w:val="00F51760"/>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91">
    <w:name w:val="Основной текст49"/>
    <w:basedOn w:val="aff2"/>
    <w:rsid w:val="00F51760"/>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750">
    <w:name w:val="Основной текст (2) + Не курсив;Масштаб 75%"/>
    <w:basedOn w:val="2a"/>
    <w:rsid w:val="00770D72"/>
    <w:rPr>
      <w:rFonts w:ascii="Segoe UI" w:eastAsia="Segoe UI" w:hAnsi="Segoe UI" w:cs="Segoe UI"/>
      <w:b w:val="0"/>
      <w:bCs w:val="0"/>
      <w:i/>
      <w:iCs/>
      <w:smallCaps w:val="0"/>
      <w:strike w:val="0"/>
      <w:spacing w:val="0"/>
      <w:w w:val="75"/>
      <w:sz w:val="18"/>
      <w:szCs w:val="18"/>
      <w:shd w:val="clear" w:color="auto" w:fill="FFFFFF"/>
      <w:lang w:eastAsia="en-US"/>
    </w:rPr>
  </w:style>
  <w:style w:type="character" w:customStyle="1" w:styleId="10b">
    <w:name w:val="Основной текст10"/>
    <w:basedOn w:val="aff2"/>
    <w:rsid w:val="000D4AE1"/>
    <w:rPr>
      <w:rFonts w:ascii="Segoe UI" w:eastAsia="Segoe UI" w:hAnsi="Segoe UI" w:cs="Segoe UI"/>
      <w:b w:val="0"/>
      <w:bCs w:val="0"/>
      <w:i w:val="0"/>
      <w:iCs w:val="0"/>
      <w:smallCaps w:val="0"/>
      <w:strike w:val="0"/>
      <w:spacing w:val="0"/>
      <w:w w:val="75"/>
      <w:sz w:val="18"/>
      <w:szCs w:val="18"/>
      <w:shd w:val="clear" w:color="auto" w:fill="FFFFFF"/>
    </w:rPr>
  </w:style>
  <w:style w:type="character" w:customStyle="1" w:styleId="9pt80">
    <w:name w:val="Основной текст + 9 pt;Курсив;Масштаб 80%"/>
    <w:basedOn w:val="aff2"/>
    <w:rsid w:val="00445F8C"/>
    <w:rPr>
      <w:rFonts w:ascii="Segoe UI" w:eastAsia="Segoe UI" w:hAnsi="Segoe UI" w:cs="Segoe UI"/>
      <w:b w:val="0"/>
      <w:bCs w:val="0"/>
      <w:i/>
      <w:iCs/>
      <w:smallCaps w:val="0"/>
      <w:strike w:val="0"/>
      <w:spacing w:val="0"/>
      <w:w w:val="80"/>
      <w:sz w:val="18"/>
      <w:szCs w:val="18"/>
      <w:shd w:val="clear" w:color="auto" w:fill="FFFFFF"/>
    </w:rPr>
  </w:style>
  <w:style w:type="character" w:customStyle="1" w:styleId="1021">
    <w:name w:val="Основной текст102"/>
    <w:basedOn w:val="aff2"/>
    <w:rsid w:val="00C36A9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31">
    <w:name w:val="Основной текст103"/>
    <w:basedOn w:val="aff2"/>
    <w:rsid w:val="00C36A9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40">
    <w:name w:val="Основной текст104"/>
    <w:basedOn w:val="aff2"/>
    <w:rsid w:val="00C36A9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50">
    <w:name w:val="Основной текст105"/>
    <w:basedOn w:val="aff2"/>
    <w:rsid w:val="00C36A9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60">
    <w:name w:val="Основной текст106"/>
    <w:basedOn w:val="aff2"/>
    <w:rsid w:val="00C36A9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70">
    <w:name w:val="Основной текст107"/>
    <w:basedOn w:val="aff2"/>
    <w:rsid w:val="00C36A9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511">
    <w:name w:val="Основной текст151"/>
    <w:basedOn w:val="a0"/>
    <w:rsid w:val="00C36A90"/>
    <w:pPr>
      <w:shd w:val="clear" w:color="auto" w:fill="FFFFFF"/>
      <w:spacing w:after="0" w:line="0" w:lineRule="atLeast"/>
    </w:pPr>
    <w:rPr>
      <w:rFonts w:ascii="Arial Unicode MS" w:eastAsia="Arial Unicode MS" w:hAnsi="Arial Unicode MS" w:cs="Arial Unicode MS"/>
      <w:color w:val="000000"/>
      <w:sz w:val="14"/>
      <w:szCs w:val="14"/>
      <w:lang w:val="ru" w:eastAsia="ru-RU"/>
    </w:rPr>
  </w:style>
  <w:style w:type="paragraph" w:styleId="HTML">
    <w:name w:val="HTML Preformatted"/>
    <w:basedOn w:val="a0"/>
    <w:link w:val="HTML0"/>
    <w:uiPriority w:val="99"/>
    <w:unhideWhenUsed/>
    <w:rsid w:val="00A45B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uiPriority w:val="99"/>
    <w:rsid w:val="00A45B7F"/>
    <w:rPr>
      <w:rFonts w:ascii="Courier New" w:eastAsia="Times New Roman" w:hAnsi="Courier New" w:cs="Courier New"/>
    </w:rPr>
  </w:style>
  <w:style w:type="character" w:customStyle="1" w:styleId="50">
    <w:name w:val="Заголовок 5 Знак"/>
    <w:basedOn w:val="a1"/>
    <w:link w:val="5"/>
    <w:uiPriority w:val="9"/>
    <w:rsid w:val="007C5583"/>
    <w:rPr>
      <w:rFonts w:ascii="Calibri Light" w:eastAsia="Times New Roman" w:hAnsi="Calibri Light"/>
      <w:color w:val="2E74B5"/>
    </w:rPr>
  </w:style>
  <w:style w:type="character" w:customStyle="1" w:styleId="highlight">
    <w:name w:val="highlight"/>
    <w:rsid w:val="007C5583"/>
  </w:style>
  <w:style w:type="character" w:customStyle="1" w:styleId="MSReferenceSansSerif0">
    <w:name w:val="Подпись к картинке + MS Reference Sans Serif"/>
    <w:aliases w:val="69,5 pt56,Не полужирный17,Основной текст + 828"/>
    <w:uiPriority w:val="99"/>
    <w:rsid w:val="007C5583"/>
    <w:rPr>
      <w:rFonts w:ascii="MS Reference Sans Serif" w:eastAsia="Times New Roman" w:hAnsi="MS Reference Sans Serif" w:cs="MS Reference Sans Serif"/>
      <w:b w:val="0"/>
      <w:bCs w:val="0"/>
      <w:i w:val="0"/>
      <w:iCs w:val="0"/>
      <w:smallCaps w:val="0"/>
      <w:strike w:val="0"/>
      <w:noProof/>
      <w:spacing w:val="0"/>
      <w:sz w:val="13"/>
      <w:szCs w:val="13"/>
      <w:shd w:val="clear" w:color="auto" w:fill="FFFFFF"/>
    </w:rPr>
  </w:style>
  <w:style w:type="character" w:customStyle="1" w:styleId="ArialUnicodeMS7pt0pt">
    <w:name w:val="Основной текст + Arial Unicode MS;7 pt;Полужирный;Курсив;Интервал 0 pt"/>
    <w:rsid w:val="007C5583"/>
    <w:rPr>
      <w:rFonts w:ascii="Arial Unicode MS" w:eastAsia="Arial Unicode MS" w:hAnsi="Arial Unicode MS" w:cs="Arial Unicode MS"/>
      <w:b/>
      <w:bCs/>
      <w:i/>
      <w:iCs/>
      <w:smallCaps w:val="0"/>
      <w:strike w:val="0"/>
      <w:spacing w:val="10"/>
      <w:sz w:val="14"/>
      <w:szCs w:val="14"/>
      <w:shd w:val="clear" w:color="auto" w:fill="FFFFFF"/>
    </w:rPr>
  </w:style>
  <w:style w:type="character" w:customStyle="1" w:styleId="BodytextBoldItalic">
    <w:name w:val="Body text + Bold;Italic"/>
    <w:rsid w:val="007C5583"/>
    <w:rPr>
      <w:rFonts w:ascii="Times New Roman" w:eastAsia="Times New Roman" w:hAnsi="Times New Roman" w:cs="Times New Roman"/>
      <w:b/>
      <w:bCs/>
      <w:i/>
      <w:iCs/>
      <w:smallCaps w:val="0"/>
      <w:strike w:val="0"/>
      <w:spacing w:val="0"/>
      <w:sz w:val="18"/>
      <w:szCs w:val="18"/>
    </w:rPr>
  </w:style>
  <w:style w:type="character" w:customStyle="1" w:styleId="Headerorfooter">
    <w:name w:val="Header or footer_"/>
    <w:link w:val="Headerorfooter0"/>
    <w:rsid w:val="007C5583"/>
    <w:rPr>
      <w:rFonts w:ascii="Times New Roman" w:eastAsia="Times New Roman" w:hAnsi="Times New Roman"/>
      <w:shd w:val="clear" w:color="auto" w:fill="FFFFFF"/>
    </w:rPr>
  </w:style>
  <w:style w:type="paragraph" w:customStyle="1" w:styleId="Headerorfooter0">
    <w:name w:val="Header or footer"/>
    <w:basedOn w:val="a0"/>
    <w:link w:val="Headerorfooter"/>
    <w:rsid w:val="007C5583"/>
    <w:pPr>
      <w:shd w:val="clear" w:color="auto" w:fill="FFFFFF"/>
      <w:spacing w:after="0" w:line="240" w:lineRule="auto"/>
    </w:pPr>
    <w:rPr>
      <w:rFonts w:ascii="Times New Roman" w:eastAsia="Times New Roman" w:hAnsi="Times New Roman"/>
      <w:sz w:val="20"/>
      <w:szCs w:val="20"/>
      <w:lang w:eastAsia="ru-RU"/>
    </w:rPr>
  </w:style>
  <w:style w:type="character" w:customStyle="1" w:styleId="HeaderorfooterArial13ptBold">
    <w:name w:val="Header or footer + Arial;13 pt;Bold"/>
    <w:rsid w:val="007C5583"/>
    <w:rPr>
      <w:rFonts w:ascii="Arial" w:eastAsia="Arial" w:hAnsi="Arial" w:cs="Arial"/>
      <w:b/>
      <w:bCs/>
      <w:spacing w:val="0"/>
      <w:sz w:val="26"/>
      <w:szCs w:val="26"/>
      <w:shd w:val="clear" w:color="auto" w:fill="FFFFFF"/>
    </w:rPr>
  </w:style>
  <w:style w:type="character" w:customStyle="1" w:styleId="Headerorfooter115ptBold">
    <w:name w:val="Header or footer + 11;5 pt;Bold"/>
    <w:rsid w:val="007C5583"/>
    <w:rPr>
      <w:rFonts w:ascii="Times New Roman" w:eastAsia="Times New Roman" w:hAnsi="Times New Roman" w:cs="Times New Roman"/>
      <w:b/>
      <w:bCs/>
      <w:spacing w:val="0"/>
      <w:sz w:val="23"/>
      <w:szCs w:val="23"/>
      <w:shd w:val="clear" w:color="auto" w:fill="FFFFFF"/>
    </w:rPr>
  </w:style>
  <w:style w:type="character" w:customStyle="1" w:styleId="Bodytext5">
    <w:name w:val="Body text (5)"/>
    <w:rsid w:val="007C5583"/>
    <w:rPr>
      <w:rFonts w:ascii="Times New Roman" w:eastAsia="Times New Roman" w:hAnsi="Times New Roman" w:cs="Times New Roman"/>
      <w:b w:val="0"/>
      <w:bCs w:val="0"/>
      <w:i w:val="0"/>
      <w:iCs w:val="0"/>
      <w:smallCaps w:val="0"/>
      <w:strike w:val="0"/>
      <w:spacing w:val="0"/>
      <w:sz w:val="23"/>
      <w:szCs w:val="23"/>
    </w:rPr>
  </w:style>
  <w:style w:type="character" w:customStyle="1" w:styleId="Bodytext6">
    <w:name w:val="Body text (6)"/>
    <w:rsid w:val="007C5583"/>
    <w:rPr>
      <w:rFonts w:ascii="Times New Roman" w:eastAsia="Times New Roman" w:hAnsi="Times New Roman" w:cs="Times New Roman"/>
      <w:b w:val="0"/>
      <w:bCs w:val="0"/>
      <w:i w:val="0"/>
      <w:iCs w:val="0"/>
      <w:smallCaps w:val="0"/>
      <w:strike w:val="0"/>
      <w:spacing w:val="0"/>
      <w:sz w:val="17"/>
      <w:szCs w:val="17"/>
    </w:rPr>
  </w:style>
  <w:style w:type="character" w:customStyle="1" w:styleId="Headerorfooter9pt">
    <w:name w:val="Header or footer + 9 pt"/>
    <w:rsid w:val="007C5583"/>
    <w:rPr>
      <w:rFonts w:ascii="Times New Roman" w:eastAsia="Times New Roman" w:hAnsi="Times New Roman" w:cs="Times New Roman"/>
      <w:spacing w:val="0"/>
      <w:sz w:val="18"/>
      <w:szCs w:val="18"/>
      <w:shd w:val="clear" w:color="auto" w:fill="FFFFFF"/>
    </w:rPr>
  </w:style>
  <w:style w:type="character" w:customStyle="1" w:styleId="Heading12">
    <w:name w:val="Heading #1 (2)"/>
    <w:rsid w:val="007C5583"/>
    <w:rPr>
      <w:rFonts w:ascii="Times New Roman" w:eastAsia="Times New Roman" w:hAnsi="Times New Roman" w:cs="Times New Roman"/>
      <w:b w:val="0"/>
      <w:bCs w:val="0"/>
      <w:i w:val="0"/>
      <w:iCs w:val="0"/>
      <w:smallCaps w:val="0"/>
      <w:strike w:val="0"/>
      <w:sz w:val="27"/>
      <w:szCs w:val="27"/>
    </w:rPr>
  </w:style>
  <w:style w:type="character" w:customStyle="1" w:styleId="1fc">
    <w:name w:val="Основной текст Знак1"/>
    <w:uiPriority w:val="99"/>
    <w:rsid w:val="007C5583"/>
    <w:rPr>
      <w:rFonts w:ascii="Arial Narrow" w:hAnsi="Arial Narrow" w:cs="Arial Narrow"/>
      <w:sz w:val="18"/>
      <w:szCs w:val="18"/>
      <w:shd w:val="clear" w:color="auto" w:fill="FFFFFF"/>
    </w:rPr>
  </w:style>
  <w:style w:type="character" w:customStyle="1" w:styleId="31a">
    <w:name w:val="Основной текст + Полужирный31"/>
    <w:uiPriority w:val="99"/>
    <w:rsid w:val="007C5583"/>
    <w:rPr>
      <w:rFonts w:ascii="Arial Narrow" w:hAnsi="Arial Narrow" w:cs="Arial Narrow"/>
      <w:b/>
      <w:bCs/>
      <w:spacing w:val="0"/>
      <w:sz w:val="18"/>
      <w:szCs w:val="18"/>
      <w:shd w:val="clear" w:color="auto" w:fill="FFFFFF"/>
    </w:rPr>
  </w:style>
  <w:style w:type="paragraph" w:customStyle="1" w:styleId="1fd">
    <w:name w:val="Подпись к картинке1"/>
    <w:basedOn w:val="a0"/>
    <w:uiPriority w:val="99"/>
    <w:rsid w:val="007C5583"/>
    <w:pPr>
      <w:shd w:val="clear" w:color="auto" w:fill="FFFFFF"/>
      <w:spacing w:after="0" w:line="240" w:lineRule="atLeast"/>
      <w:ind w:hanging="280"/>
    </w:pPr>
    <w:rPr>
      <w:rFonts w:ascii="Arial" w:eastAsia="Arial Unicode MS" w:hAnsi="Arial" w:cs="Arial"/>
      <w:b/>
      <w:bCs/>
      <w:sz w:val="14"/>
      <w:szCs w:val="14"/>
      <w:lang w:eastAsia="ru-RU"/>
    </w:rPr>
  </w:style>
  <w:style w:type="paragraph" w:customStyle="1" w:styleId="1011">
    <w:name w:val="Основной текст (10)1"/>
    <w:basedOn w:val="a0"/>
    <w:uiPriority w:val="99"/>
    <w:rsid w:val="007C5583"/>
    <w:pPr>
      <w:shd w:val="clear" w:color="auto" w:fill="FFFFFF"/>
      <w:spacing w:after="0" w:line="240" w:lineRule="atLeast"/>
      <w:ind w:hanging="260"/>
      <w:jc w:val="both"/>
    </w:pPr>
    <w:rPr>
      <w:rFonts w:ascii="Arial Narrow" w:eastAsia="Arial Unicode MS" w:hAnsi="Arial Narrow" w:cs="Arial Narrow"/>
      <w:i/>
      <w:iCs/>
      <w:sz w:val="18"/>
      <w:szCs w:val="18"/>
      <w:lang w:eastAsia="ru-RU"/>
    </w:rPr>
  </w:style>
  <w:style w:type="character" w:customStyle="1" w:styleId="1016">
    <w:name w:val="Основной текст (10) + Не курсив16"/>
    <w:uiPriority w:val="99"/>
    <w:rsid w:val="007C5583"/>
    <w:rPr>
      <w:rFonts w:ascii="Arial Narrow" w:eastAsia="Times New Roman" w:hAnsi="Arial Narrow" w:cs="Arial Narrow"/>
      <w:b w:val="0"/>
      <w:bCs w:val="0"/>
      <w:i w:val="0"/>
      <w:iCs w:val="0"/>
      <w:smallCaps w:val="0"/>
      <w:strike w:val="0"/>
      <w:spacing w:val="0"/>
      <w:sz w:val="18"/>
      <w:szCs w:val="18"/>
    </w:rPr>
  </w:style>
  <w:style w:type="character" w:customStyle="1" w:styleId="146">
    <w:name w:val="Основной текст (14)_"/>
    <w:link w:val="147"/>
    <w:rsid w:val="007C5583"/>
    <w:rPr>
      <w:rFonts w:ascii="Arial Narrow" w:hAnsi="Arial Narrow" w:cs="Arial Narrow"/>
      <w:b/>
      <w:bCs/>
      <w:sz w:val="16"/>
      <w:szCs w:val="16"/>
      <w:shd w:val="clear" w:color="auto" w:fill="FFFFFF"/>
    </w:rPr>
  </w:style>
  <w:style w:type="paragraph" w:customStyle="1" w:styleId="147">
    <w:name w:val="Основной текст (14)"/>
    <w:basedOn w:val="a0"/>
    <w:link w:val="146"/>
    <w:uiPriority w:val="99"/>
    <w:rsid w:val="007C5583"/>
    <w:pPr>
      <w:shd w:val="clear" w:color="auto" w:fill="FFFFFF"/>
      <w:spacing w:after="0" w:line="240" w:lineRule="atLeast"/>
    </w:pPr>
    <w:rPr>
      <w:rFonts w:ascii="Arial Narrow" w:hAnsi="Arial Narrow" w:cs="Arial Narrow"/>
      <w:b/>
      <w:bCs/>
      <w:sz w:val="16"/>
      <w:szCs w:val="16"/>
      <w:lang w:eastAsia="ru-RU"/>
    </w:rPr>
  </w:style>
  <w:style w:type="character" w:customStyle="1" w:styleId="4f3">
    <w:name w:val="Основной текст (4) + Полужирный;Не курсив"/>
    <w:rsid w:val="007C5583"/>
    <w:rPr>
      <w:rFonts w:ascii="Arial Narrow" w:eastAsia="Arial Narrow" w:hAnsi="Arial Narrow" w:cs="Arial Narrow"/>
      <w:b/>
      <w:bCs/>
      <w:i/>
      <w:iCs/>
      <w:sz w:val="18"/>
      <w:szCs w:val="18"/>
      <w:shd w:val="clear" w:color="auto" w:fill="FFFFFF"/>
      <w:lang w:eastAsia="en-US"/>
    </w:rPr>
  </w:style>
  <w:style w:type="character" w:customStyle="1" w:styleId="495pt-1pt">
    <w:name w:val="Основной текст (4) + 9;5 pt;Полужирный;Не курсив;Интервал -1 pt"/>
    <w:rsid w:val="007C5583"/>
    <w:rPr>
      <w:rFonts w:ascii="Arial Narrow" w:eastAsia="Arial Narrow" w:hAnsi="Arial Narrow" w:cs="Arial Narrow"/>
      <w:b/>
      <w:bCs/>
      <w:i/>
      <w:iCs/>
      <w:spacing w:val="-20"/>
      <w:sz w:val="19"/>
      <w:szCs w:val="19"/>
      <w:shd w:val="clear" w:color="auto" w:fill="FFFFFF"/>
      <w:lang w:eastAsia="en-US"/>
    </w:rPr>
  </w:style>
  <w:style w:type="character" w:customStyle="1" w:styleId="4f4">
    <w:name w:val="Основной текст (4) + Полужирный"/>
    <w:rsid w:val="007C5583"/>
    <w:rPr>
      <w:rFonts w:ascii="Arial Narrow" w:eastAsia="Arial Narrow" w:hAnsi="Arial Narrow" w:cs="Arial Narrow"/>
      <w:b/>
      <w:bCs/>
      <w:sz w:val="18"/>
      <w:szCs w:val="18"/>
      <w:shd w:val="clear" w:color="auto" w:fill="FFFFFF"/>
      <w:lang w:eastAsia="en-US"/>
    </w:rPr>
  </w:style>
  <w:style w:type="character" w:customStyle="1" w:styleId="920pt">
    <w:name w:val="Заголовок №9 (2) + Не полужирный;Интервал 0 pt"/>
    <w:rsid w:val="007C5583"/>
    <w:rPr>
      <w:rFonts w:ascii="Arial Narrow" w:eastAsia="Arial Narrow" w:hAnsi="Arial Narrow" w:cs="Arial Narrow"/>
      <w:b/>
      <w:bCs/>
      <w:spacing w:val="0"/>
      <w:sz w:val="18"/>
      <w:szCs w:val="18"/>
      <w:shd w:val="clear" w:color="auto" w:fill="FFFFFF"/>
    </w:rPr>
  </w:style>
  <w:style w:type="character" w:customStyle="1" w:styleId="930pt">
    <w:name w:val="Заголовок №9 (3) + Не полужирный;Интервал 0 pt"/>
    <w:rsid w:val="007C5583"/>
    <w:rPr>
      <w:rFonts w:ascii="Arial Narrow" w:eastAsia="Arial Narrow" w:hAnsi="Arial Narrow" w:cs="Arial Narrow"/>
      <w:b/>
      <w:bCs/>
      <w:spacing w:val="0"/>
      <w:sz w:val="18"/>
      <w:szCs w:val="18"/>
      <w:shd w:val="clear" w:color="auto" w:fill="FFFFFF"/>
    </w:rPr>
  </w:style>
  <w:style w:type="character" w:customStyle="1" w:styleId="930pt0">
    <w:name w:val="Заголовок №9 (3) + Интервал 0 pt"/>
    <w:rsid w:val="007C5583"/>
    <w:rPr>
      <w:rFonts w:ascii="Arial Narrow" w:eastAsia="Arial Narrow" w:hAnsi="Arial Narrow" w:cs="Arial Narrow"/>
      <w:spacing w:val="0"/>
      <w:sz w:val="18"/>
      <w:szCs w:val="18"/>
      <w:shd w:val="clear" w:color="auto" w:fill="FFFFFF"/>
    </w:rPr>
  </w:style>
  <w:style w:type="character" w:customStyle="1" w:styleId="40pt">
    <w:name w:val="Основной текст (4) + Полужирный;Не курсив;Интервал 0 pt"/>
    <w:rsid w:val="007C5583"/>
    <w:rPr>
      <w:rFonts w:ascii="Arial Narrow" w:eastAsia="Arial Narrow" w:hAnsi="Arial Narrow" w:cs="Arial Narrow"/>
      <w:b/>
      <w:bCs/>
      <w:i/>
      <w:iCs/>
      <w:smallCaps w:val="0"/>
      <w:strike w:val="0"/>
      <w:spacing w:val="-10"/>
      <w:sz w:val="18"/>
      <w:szCs w:val="18"/>
      <w:shd w:val="clear" w:color="auto" w:fill="FFFFFF"/>
      <w:lang w:eastAsia="en-US"/>
    </w:rPr>
  </w:style>
  <w:style w:type="character" w:customStyle="1" w:styleId="8a">
    <w:name w:val="Основной текст + Курсив8"/>
    <w:uiPriority w:val="99"/>
    <w:rsid w:val="007C5583"/>
    <w:rPr>
      <w:rFonts w:ascii="Arial Narrow" w:hAnsi="Arial Narrow" w:cs="Arial Narrow"/>
      <w:i/>
      <w:iCs/>
      <w:spacing w:val="0"/>
      <w:sz w:val="18"/>
      <w:szCs w:val="18"/>
      <w:shd w:val="clear" w:color="auto" w:fill="FFFFFF"/>
    </w:rPr>
  </w:style>
  <w:style w:type="character" w:customStyle="1" w:styleId="914">
    <w:name w:val="Основной текст + 914"/>
    <w:aliases w:val="5 pt61,Полужирный61,Интервал 0 pt43"/>
    <w:uiPriority w:val="99"/>
    <w:rsid w:val="007C5583"/>
    <w:rPr>
      <w:rFonts w:ascii="Arial Narrow" w:hAnsi="Arial Narrow" w:cs="Arial Narrow"/>
      <w:b/>
      <w:bCs/>
      <w:spacing w:val="-10"/>
      <w:sz w:val="19"/>
      <w:szCs w:val="19"/>
      <w:shd w:val="clear" w:color="auto" w:fill="FFFFFF"/>
    </w:rPr>
  </w:style>
  <w:style w:type="paragraph" w:customStyle="1" w:styleId="911">
    <w:name w:val="Основной текст (9)1"/>
    <w:basedOn w:val="a0"/>
    <w:uiPriority w:val="99"/>
    <w:rsid w:val="007C5583"/>
    <w:pPr>
      <w:shd w:val="clear" w:color="auto" w:fill="FFFFFF"/>
      <w:spacing w:after="60" w:line="240" w:lineRule="atLeast"/>
    </w:pPr>
    <w:rPr>
      <w:rFonts w:ascii="Arial" w:eastAsia="Arial Unicode MS" w:hAnsi="Arial" w:cs="Arial"/>
      <w:i/>
      <w:iCs/>
      <w:sz w:val="15"/>
      <w:szCs w:val="15"/>
      <w:lang w:eastAsia="ru-RU"/>
    </w:rPr>
  </w:style>
  <w:style w:type="character" w:customStyle="1" w:styleId="229">
    <w:name w:val="Основной текст22"/>
    <w:rsid w:val="007C5583"/>
    <w:rPr>
      <w:rFonts w:ascii="Arial" w:eastAsia="Arial" w:hAnsi="Arial" w:cs="Arial"/>
      <w:b w:val="0"/>
      <w:bCs w:val="0"/>
      <w:i w:val="0"/>
      <w:iCs w:val="0"/>
      <w:smallCaps w:val="0"/>
      <w:strike w:val="0"/>
      <w:spacing w:val="0"/>
      <w:sz w:val="19"/>
      <w:szCs w:val="19"/>
      <w:u w:val="single"/>
      <w:shd w:val="clear" w:color="auto" w:fill="FFFFFF"/>
    </w:rPr>
  </w:style>
  <w:style w:type="character" w:customStyle="1" w:styleId="40pt0">
    <w:name w:val="Основной текст (4) + Полужирный;Интервал 0 pt"/>
    <w:rsid w:val="007C5583"/>
    <w:rPr>
      <w:rFonts w:ascii="Arial Narrow" w:eastAsia="Arial Narrow" w:hAnsi="Arial Narrow" w:cs="Arial Narrow"/>
      <w:b/>
      <w:bCs/>
      <w:i w:val="0"/>
      <w:iCs w:val="0"/>
      <w:smallCaps w:val="0"/>
      <w:strike w:val="0"/>
      <w:spacing w:val="-10"/>
      <w:sz w:val="18"/>
      <w:szCs w:val="18"/>
      <w:shd w:val="clear" w:color="auto" w:fill="FFFFFF"/>
      <w:lang w:eastAsia="en-US"/>
    </w:rPr>
  </w:style>
  <w:style w:type="character" w:customStyle="1" w:styleId="47pt">
    <w:name w:val="Основной текст (4) + 7 pt;Полужирный;Не курсив"/>
    <w:rsid w:val="007C5583"/>
    <w:rPr>
      <w:rFonts w:ascii="Arial" w:eastAsia="Arial" w:hAnsi="Arial" w:cs="Arial"/>
      <w:b/>
      <w:bCs/>
      <w:i/>
      <w:iCs/>
      <w:smallCaps w:val="0"/>
      <w:strike w:val="0"/>
      <w:spacing w:val="0"/>
      <w:sz w:val="14"/>
      <w:szCs w:val="14"/>
      <w:shd w:val="clear" w:color="auto" w:fill="FFFFFF"/>
      <w:lang w:eastAsia="en-US"/>
    </w:rPr>
  </w:style>
  <w:style w:type="character" w:customStyle="1" w:styleId="9pt0">
    <w:name w:val="Основной текст + 9 pt;Полужирный"/>
    <w:rsid w:val="007C5583"/>
    <w:rPr>
      <w:rFonts w:ascii="Century Gothic" w:eastAsia="Century Gothic" w:hAnsi="Century Gothic" w:cs="Century Gothic"/>
      <w:b/>
      <w:bCs/>
      <w:i w:val="0"/>
      <w:iCs w:val="0"/>
      <w:smallCaps w:val="0"/>
      <w:strike w:val="0"/>
      <w:spacing w:val="0"/>
      <w:sz w:val="18"/>
      <w:szCs w:val="18"/>
      <w:shd w:val="clear" w:color="auto" w:fill="FFFFFF"/>
    </w:rPr>
  </w:style>
  <w:style w:type="character" w:customStyle="1" w:styleId="0pt4">
    <w:name w:val="Основной текст + Полужирный;Курсив;Интервал 0 pt"/>
    <w:rsid w:val="007C5583"/>
    <w:rPr>
      <w:rFonts w:ascii="Arial Narrow" w:eastAsia="Arial Narrow" w:hAnsi="Arial Narrow" w:cs="Arial Narrow"/>
      <w:b/>
      <w:bCs/>
      <w:i/>
      <w:iCs/>
      <w:smallCaps w:val="0"/>
      <w:strike w:val="0"/>
      <w:spacing w:val="-10"/>
      <w:sz w:val="18"/>
      <w:szCs w:val="18"/>
      <w:shd w:val="clear" w:color="auto" w:fill="FFFFFF"/>
    </w:rPr>
  </w:style>
  <w:style w:type="character" w:customStyle="1" w:styleId="PalatinoLinotype9pt">
    <w:name w:val="Основной текст + Palatino Linotype;9 pt;Полужирный"/>
    <w:rsid w:val="007C5583"/>
    <w:rPr>
      <w:rFonts w:ascii="Palatino Linotype" w:eastAsia="Palatino Linotype" w:hAnsi="Palatino Linotype" w:cs="Palatino Linotype"/>
      <w:b/>
      <w:bCs/>
      <w:i w:val="0"/>
      <w:iCs w:val="0"/>
      <w:smallCaps w:val="0"/>
      <w:strike w:val="0"/>
      <w:spacing w:val="0"/>
      <w:sz w:val="18"/>
      <w:szCs w:val="18"/>
      <w:shd w:val="clear" w:color="auto" w:fill="FFFFFF"/>
    </w:rPr>
  </w:style>
  <w:style w:type="character" w:customStyle="1" w:styleId="2400">
    <w:name w:val="Основной текст (2) + Не курсив40"/>
    <w:uiPriority w:val="99"/>
    <w:rsid w:val="007C5583"/>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31b">
    <w:name w:val="Основной текст + Курсив31"/>
    <w:uiPriority w:val="99"/>
    <w:rsid w:val="007C5583"/>
    <w:rPr>
      <w:rFonts w:ascii="Arial Narrow" w:hAnsi="Arial Narrow" w:cs="Arial Narrow"/>
      <w:i/>
      <w:iCs/>
      <w:spacing w:val="0"/>
      <w:sz w:val="18"/>
      <w:szCs w:val="18"/>
      <w:shd w:val="clear" w:color="auto" w:fill="FFFFFF"/>
    </w:rPr>
  </w:style>
  <w:style w:type="paragraph" w:customStyle="1" w:styleId="no-results">
    <w:name w:val="no-results"/>
    <w:basedOn w:val="a0"/>
    <w:rsid w:val="007C5583"/>
    <w:pPr>
      <w:pBdr>
        <w:bottom w:val="single" w:sz="6" w:space="20" w:color="DDDDDD"/>
      </w:pBdr>
      <w:spacing w:after="390" w:line="240" w:lineRule="auto"/>
    </w:pPr>
    <w:rPr>
      <w:rFonts w:ascii="Times New Roman" w:eastAsia="Times New Roman" w:hAnsi="Times New Roman"/>
      <w:sz w:val="24"/>
      <w:szCs w:val="24"/>
      <w:lang w:eastAsia="ru-RU"/>
    </w:rPr>
  </w:style>
  <w:style w:type="character" w:customStyle="1" w:styleId="Bodytext14NotItalic14">
    <w:name w:val="Body text (14) + Not Italic14"/>
    <w:uiPriority w:val="99"/>
    <w:rsid w:val="007C5583"/>
    <w:rPr>
      <w:rFonts w:ascii="Times New Roman" w:hAnsi="Times New Roman" w:cs="Times New Roman"/>
      <w:i w:val="0"/>
      <w:iCs w:val="0"/>
      <w:spacing w:val="0"/>
      <w:sz w:val="21"/>
      <w:szCs w:val="21"/>
      <w:shd w:val="clear" w:color="auto" w:fill="FFFFFF"/>
    </w:rPr>
  </w:style>
  <w:style w:type="character" w:customStyle="1" w:styleId="Bodytext17">
    <w:name w:val="Body text (17)"/>
    <w:rsid w:val="007C5583"/>
    <w:rPr>
      <w:rFonts w:ascii="Times New Roman" w:eastAsia="Times New Roman" w:hAnsi="Times New Roman" w:cs="Times New Roman"/>
      <w:b w:val="0"/>
      <w:bCs w:val="0"/>
      <w:i w:val="0"/>
      <w:iCs w:val="0"/>
      <w:smallCaps w:val="0"/>
      <w:strike w:val="0"/>
      <w:spacing w:val="0"/>
      <w:sz w:val="17"/>
      <w:szCs w:val="17"/>
    </w:rPr>
  </w:style>
  <w:style w:type="character" w:customStyle="1" w:styleId="Bodytext32">
    <w:name w:val="Body text (32)_"/>
    <w:link w:val="Bodytext320"/>
    <w:rsid w:val="007C5583"/>
    <w:rPr>
      <w:rFonts w:ascii="Times New Roman" w:hAnsi="Times New Roman"/>
      <w:noProof/>
      <w:sz w:val="8"/>
      <w:szCs w:val="8"/>
      <w:shd w:val="clear" w:color="auto" w:fill="FFFFFF"/>
    </w:rPr>
  </w:style>
  <w:style w:type="paragraph" w:customStyle="1" w:styleId="Bodytext320">
    <w:name w:val="Body text (32)"/>
    <w:basedOn w:val="a0"/>
    <w:link w:val="Bodytext32"/>
    <w:rsid w:val="007C5583"/>
    <w:pPr>
      <w:shd w:val="clear" w:color="auto" w:fill="FFFFFF"/>
      <w:spacing w:after="0" w:line="240" w:lineRule="atLeast"/>
    </w:pPr>
    <w:rPr>
      <w:rFonts w:ascii="Times New Roman" w:hAnsi="Times New Roman"/>
      <w:noProof/>
      <w:sz w:val="8"/>
      <w:szCs w:val="8"/>
      <w:lang w:eastAsia="ru-RU"/>
    </w:rPr>
  </w:style>
  <w:style w:type="character" w:customStyle="1" w:styleId="BodytextTahoma3">
    <w:name w:val="Body text + Tahoma3"/>
    <w:aliases w:val="8 pt10"/>
    <w:uiPriority w:val="99"/>
    <w:rsid w:val="007C5583"/>
    <w:rPr>
      <w:rFonts w:ascii="Tahoma" w:hAnsi="Tahoma" w:cs="Tahoma"/>
      <w:spacing w:val="0"/>
      <w:sz w:val="16"/>
      <w:szCs w:val="16"/>
    </w:rPr>
  </w:style>
  <w:style w:type="character" w:customStyle="1" w:styleId="Bodytext14NotItalic12">
    <w:name w:val="Body text (14) + Not Italic12"/>
    <w:uiPriority w:val="99"/>
    <w:rsid w:val="007C5583"/>
    <w:rPr>
      <w:rFonts w:ascii="Times New Roman" w:hAnsi="Times New Roman" w:cs="Times New Roman"/>
      <w:i w:val="0"/>
      <w:iCs w:val="0"/>
      <w:spacing w:val="0"/>
      <w:sz w:val="21"/>
      <w:szCs w:val="21"/>
    </w:rPr>
  </w:style>
  <w:style w:type="character" w:customStyle="1" w:styleId="Bodytext14NotItalic11">
    <w:name w:val="Body text (14) + Not Italic11"/>
    <w:uiPriority w:val="99"/>
    <w:rsid w:val="007C5583"/>
    <w:rPr>
      <w:rFonts w:ascii="Times New Roman" w:hAnsi="Times New Roman" w:cs="Times New Roman"/>
      <w:i w:val="0"/>
      <w:iCs w:val="0"/>
      <w:spacing w:val="0"/>
      <w:sz w:val="21"/>
      <w:szCs w:val="21"/>
    </w:rPr>
  </w:style>
  <w:style w:type="character" w:customStyle="1" w:styleId="Bodytext14NotItalic10">
    <w:name w:val="Body text (14) + Not Italic10"/>
    <w:uiPriority w:val="99"/>
    <w:rsid w:val="007C5583"/>
    <w:rPr>
      <w:rFonts w:ascii="Times New Roman" w:hAnsi="Times New Roman" w:cs="Times New Roman"/>
      <w:i w:val="0"/>
      <w:iCs w:val="0"/>
      <w:spacing w:val="0"/>
      <w:sz w:val="21"/>
      <w:szCs w:val="21"/>
    </w:rPr>
  </w:style>
  <w:style w:type="character" w:customStyle="1" w:styleId="Bodytext37">
    <w:name w:val="Body text (37)_"/>
    <w:link w:val="Bodytext370"/>
    <w:rsid w:val="007C5583"/>
    <w:rPr>
      <w:rFonts w:ascii="MS Gothic" w:eastAsia="MS Gothic" w:hAnsi="MS Gothic" w:cs="MS Gothic"/>
      <w:sz w:val="8"/>
      <w:szCs w:val="8"/>
      <w:shd w:val="clear" w:color="auto" w:fill="FFFFFF"/>
    </w:rPr>
  </w:style>
  <w:style w:type="character" w:customStyle="1" w:styleId="Tablecaption3">
    <w:name w:val="Table caption (3)"/>
    <w:rsid w:val="007C5583"/>
    <w:rPr>
      <w:rFonts w:ascii="Times New Roman" w:eastAsia="Times New Roman" w:hAnsi="Times New Roman" w:cs="Times New Roman"/>
      <w:b w:val="0"/>
      <w:bCs w:val="0"/>
      <w:i w:val="0"/>
      <w:iCs w:val="0"/>
      <w:smallCaps w:val="0"/>
      <w:strike w:val="0"/>
      <w:spacing w:val="0"/>
      <w:sz w:val="17"/>
      <w:szCs w:val="17"/>
    </w:rPr>
  </w:style>
  <w:style w:type="character" w:customStyle="1" w:styleId="Bodytext38">
    <w:name w:val="Body text (38)_"/>
    <w:link w:val="Bodytext380"/>
    <w:rsid w:val="007C5583"/>
    <w:rPr>
      <w:rFonts w:ascii="Arial Narrow" w:eastAsia="Arial Narrow" w:hAnsi="Arial Narrow" w:cs="Arial Narrow"/>
      <w:sz w:val="23"/>
      <w:szCs w:val="23"/>
      <w:shd w:val="clear" w:color="auto" w:fill="FFFFFF"/>
    </w:rPr>
  </w:style>
  <w:style w:type="paragraph" w:customStyle="1" w:styleId="Bodytext370">
    <w:name w:val="Body text (37)"/>
    <w:basedOn w:val="a0"/>
    <w:link w:val="Bodytext37"/>
    <w:rsid w:val="007C5583"/>
    <w:pPr>
      <w:shd w:val="clear" w:color="auto" w:fill="FFFFFF"/>
      <w:spacing w:after="0" w:line="0" w:lineRule="atLeast"/>
    </w:pPr>
    <w:rPr>
      <w:rFonts w:ascii="MS Gothic" w:eastAsia="MS Gothic" w:hAnsi="MS Gothic" w:cs="MS Gothic"/>
      <w:sz w:val="8"/>
      <w:szCs w:val="8"/>
      <w:lang w:eastAsia="ru-RU"/>
    </w:rPr>
  </w:style>
  <w:style w:type="paragraph" w:customStyle="1" w:styleId="Bodytext380">
    <w:name w:val="Body text (38)"/>
    <w:basedOn w:val="a0"/>
    <w:link w:val="Bodytext38"/>
    <w:rsid w:val="007C5583"/>
    <w:pPr>
      <w:shd w:val="clear" w:color="auto" w:fill="FFFFFF"/>
      <w:spacing w:before="300" w:after="0" w:line="254" w:lineRule="exact"/>
      <w:ind w:firstLine="300"/>
      <w:jc w:val="both"/>
    </w:pPr>
    <w:rPr>
      <w:rFonts w:ascii="Arial Narrow" w:eastAsia="Arial Narrow" w:hAnsi="Arial Narrow" w:cs="Arial Narrow"/>
      <w:sz w:val="23"/>
      <w:szCs w:val="23"/>
      <w:lang w:eastAsia="ru-RU"/>
    </w:rPr>
  </w:style>
  <w:style w:type="character" w:customStyle="1" w:styleId="Bodytext2ArialNarrowBold">
    <w:name w:val="Body text (2) + Arial Narrow;Bold"/>
    <w:rsid w:val="007C5583"/>
    <w:rPr>
      <w:rFonts w:ascii="Arial Narrow" w:eastAsia="Arial Narrow" w:hAnsi="Arial Narrow" w:cs="Arial Narrow"/>
      <w:b/>
      <w:bCs/>
      <w:i w:val="0"/>
      <w:iCs w:val="0"/>
      <w:smallCaps w:val="0"/>
      <w:strike w:val="0"/>
      <w:spacing w:val="0"/>
      <w:sz w:val="21"/>
      <w:szCs w:val="21"/>
      <w:shd w:val="clear" w:color="auto" w:fill="FFFFFF"/>
    </w:rPr>
  </w:style>
  <w:style w:type="character" w:customStyle="1" w:styleId="Tablecaption2">
    <w:name w:val="Table caption (2)"/>
    <w:rsid w:val="007C5583"/>
  </w:style>
  <w:style w:type="character" w:customStyle="1" w:styleId="BodytextTahoma8pt">
    <w:name w:val="Body text + Tahoma;8 pt"/>
    <w:rsid w:val="007C5583"/>
    <w:rPr>
      <w:rFonts w:ascii="Tahoma" w:eastAsia="Tahoma" w:hAnsi="Tahoma" w:cs="Tahoma"/>
      <w:b w:val="0"/>
      <w:bCs w:val="0"/>
      <w:i w:val="0"/>
      <w:iCs w:val="0"/>
      <w:smallCaps w:val="0"/>
      <w:strike w:val="0"/>
      <w:spacing w:val="0"/>
      <w:sz w:val="16"/>
      <w:szCs w:val="16"/>
      <w:shd w:val="clear" w:color="auto" w:fill="FFFFFF"/>
    </w:rPr>
  </w:style>
  <w:style w:type="character" w:customStyle="1" w:styleId="BodytextCandara">
    <w:name w:val="Body text + Candara"/>
    <w:aliases w:val="912,5 pt79,Small Caps30"/>
    <w:uiPriority w:val="99"/>
    <w:rsid w:val="007C5583"/>
    <w:rPr>
      <w:rFonts w:ascii="Candara" w:hAnsi="Candara" w:cs="Candara"/>
      <w:smallCaps/>
      <w:spacing w:val="0"/>
      <w:w w:val="100"/>
      <w:sz w:val="19"/>
      <w:szCs w:val="19"/>
    </w:rPr>
  </w:style>
  <w:style w:type="character" w:customStyle="1" w:styleId="Bodytext24">
    <w:name w:val="Body text (24)_"/>
    <w:link w:val="Bodytext240"/>
    <w:rsid w:val="007C5583"/>
    <w:rPr>
      <w:rFonts w:ascii="Arial Narrow" w:hAnsi="Arial Narrow" w:cs="Arial Narrow"/>
      <w:shd w:val="clear" w:color="auto" w:fill="FFFFFF"/>
    </w:rPr>
  </w:style>
  <w:style w:type="paragraph" w:customStyle="1" w:styleId="Bodytext240">
    <w:name w:val="Body text (24)"/>
    <w:basedOn w:val="a0"/>
    <w:link w:val="Bodytext24"/>
    <w:rsid w:val="007C5583"/>
    <w:pPr>
      <w:shd w:val="clear" w:color="auto" w:fill="FFFFFF"/>
      <w:spacing w:after="0" w:line="254" w:lineRule="exact"/>
      <w:ind w:firstLine="300"/>
      <w:jc w:val="both"/>
    </w:pPr>
    <w:rPr>
      <w:rFonts w:ascii="Arial Narrow" w:hAnsi="Arial Narrow" w:cs="Arial Narrow"/>
      <w:sz w:val="20"/>
      <w:szCs w:val="20"/>
      <w:lang w:eastAsia="ru-RU"/>
    </w:rPr>
  </w:style>
  <w:style w:type="character" w:customStyle="1" w:styleId="Tablecaption">
    <w:name w:val="Table caption"/>
    <w:uiPriority w:val="99"/>
    <w:rsid w:val="007C5583"/>
  </w:style>
  <w:style w:type="character" w:customStyle="1" w:styleId="BodytextBold30">
    <w:name w:val="Body text + Bold30"/>
    <w:basedOn w:val="Bodytext"/>
    <w:uiPriority w:val="99"/>
    <w:rsid w:val="007C5583"/>
    <w:rPr>
      <w:rFonts w:ascii="Arial Narrow" w:eastAsia="Times New Roman" w:hAnsi="Arial Narrow" w:cs="Arial Narrow"/>
      <w:b/>
      <w:bCs/>
      <w:i w:val="0"/>
      <w:iCs w:val="0"/>
      <w:smallCaps w:val="0"/>
      <w:strike w:val="0"/>
      <w:spacing w:val="0"/>
      <w:sz w:val="18"/>
      <w:szCs w:val="18"/>
      <w:shd w:val="clear" w:color="auto" w:fill="FFFFFF"/>
    </w:rPr>
  </w:style>
  <w:style w:type="paragraph" w:customStyle="1" w:styleId="Bodytext21">
    <w:name w:val="Body text (2)1"/>
    <w:basedOn w:val="a0"/>
    <w:link w:val="Bodytext20"/>
    <w:uiPriority w:val="99"/>
    <w:rsid w:val="007C5583"/>
    <w:pPr>
      <w:shd w:val="clear" w:color="auto" w:fill="FFFFFF"/>
      <w:spacing w:after="0" w:line="221" w:lineRule="exact"/>
      <w:ind w:hanging="1600"/>
      <w:jc w:val="both"/>
    </w:pPr>
    <w:rPr>
      <w:rFonts w:ascii="Times New Roman" w:eastAsia="Times New Roman" w:hAnsi="Times New Roman"/>
      <w:sz w:val="21"/>
      <w:szCs w:val="21"/>
      <w:lang w:eastAsia="ru-RU"/>
    </w:rPr>
  </w:style>
  <w:style w:type="character" w:customStyle="1" w:styleId="BodytextItalic8">
    <w:name w:val="Body text + Italic8"/>
    <w:basedOn w:val="Bodytext"/>
    <w:uiPriority w:val="99"/>
    <w:rsid w:val="007C5583"/>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325">
    <w:name w:val="Основной текст (3) + Не курсив2"/>
    <w:basedOn w:val="35"/>
    <w:uiPriority w:val="99"/>
    <w:rsid w:val="007C5583"/>
    <w:rPr>
      <w:rFonts w:ascii="Arial Narrow" w:eastAsia="Gungsuh" w:hAnsi="Arial Narrow" w:cs="Arial Narrow"/>
      <w:i/>
      <w:iCs/>
      <w:spacing w:val="20"/>
      <w:sz w:val="18"/>
      <w:szCs w:val="18"/>
      <w:shd w:val="clear" w:color="auto" w:fill="FFFFFF"/>
      <w:lang w:eastAsia="en-US"/>
    </w:rPr>
  </w:style>
  <w:style w:type="character" w:customStyle="1" w:styleId="921">
    <w:name w:val="Основной текст + 92"/>
    <w:aliases w:val="5 pt4,Полужирный4,Интервал 0 pt2,Основной текст + Arial Narrow2,93,Основной текст + 11 pt1,Header or footer + Arial Narrow2,5 pt25,Bold15,Picture caption (7) + 6,Spacing 0 pt3"/>
    <w:basedOn w:val="1fc"/>
    <w:uiPriority w:val="99"/>
    <w:rsid w:val="007C5583"/>
    <w:rPr>
      <w:rFonts w:ascii="Arial Narrow" w:hAnsi="Arial Narrow" w:cs="Arial Narrow"/>
      <w:b/>
      <w:bCs/>
      <w:spacing w:val="-10"/>
      <w:sz w:val="19"/>
      <w:szCs w:val="19"/>
      <w:shd w:val="clear" w:color="auto" w:fill="FFFFFF"/>
    </w:rPr>
  </w:style>
  <w:style w:type="character" w:customStyle="1" w:styleId="3fc">
    <w:name w:val="Основной текст + Полужирный3"/>
    <w:basedOn w:val="1fc"/>
    <w:uiPriority w:val="99"/>
    <w:rsid w:val="007C5583"/>
    <w:rPr>
      <w:rFonts w:ascii="Arial Narrow" w:hAnsi="Arial Narrow" w:cs="Arial Narrow"/>
      <w:b/>
      <w:bCs/>
      <w:sz w:val="18"/>
      <w:szCs w:val="18"/>
      <w:shd w:val="clear" w:color="auto" w:fill="FFFFFF"/>
    </w:rPr>
  </w:style>
  <w:style w:type="character" w:customStyle="1" w:styleId="Gungsuh8pt1pt">
    <w:name w:val="Основной текст + Gungsuh;8 pt;Полужирный;Интервал 1 pt"/>
    <w:basedOn w:val="aff2"/>
    <w:rsid w:val="007C5583"/>
    <w:rPr>
      <w:rFonts w:ascii="Gungsuh" w:eastAsia="Gungsuh" w:hAnsi="Gungsuh" w:cs="Gungsuh"/>
      <w:b/>
      <w:bCs/>
      <w:i w:val="0"/>
      <w:iCs w:val="0"/>
      <w:smallCaps w:val="0"/>
      <w:strike w:val="0"/>
      <w:spacing w:val="30"/>
      <w:sz w:val="16"/>
      <w:szCs w:val="16"/>
      <w:shd w:val="clear" w:color="auto" w:fill="FFFFFF"/>
    </w:rPr>
  </w:style>
  <w:style w:type="character" w:customStyle="1" w:styleId="Gungsuh8pt0pt">
    <w:name w:val="Основной текст + Gungsuh;8 pt;Полужирный;Интервал 0 pt"/>
    <w:basedOn w:val="aff2"/>
    <w:rsid w:val="007C5583"/>
    <w:rPr>
      <w:rFonts w:ascii="Gungsuh" w:eastAsia="Gungsuh" w:hAnsi="Gungsuh" w:cs="Gungsuh"/>
      <w:b/>
      <w:bCs/>
      <w:i w:val="0"/>
      <w:iCs w:val="0"/>
      <w:smallCaps w:val="0"/>
      <w:strike w:val="0"/>
      <w:spacing w:val="0"/>
      <w:sz w:val="16"/>
      <w:szCs w:val="16"/>
      <w:shd w:val="clear" w:color="auto" w:fill="FFFFFF"/>
    </w:rPr>
  </w:style>
  <w:style w:type="character" w:customStyle="1" w:styleId="2Batang85pt">
    <w:name w:val="Заголовок №2 + Batang;8;5 pt"/>
    <w:basedOn w:val="a1"/>
    <w:rsid w:val="007C5583"/>
    <w:rPr>
      <w:rFonts w:ascii="Batang" w:eastAsia="Batang" w:hAnsi="Batang" w:cs="Batang"/>
      <w:b w:val="0"/>
      <w:bCs w:val="0"/>
      <w:i w:val="0"/>
      <w:iCs w:val="0"/>
      <w:smallCaps w:val="0"/>
      <w:strike w:val="0"/>
      <w:spacing w:val="0"/>
      <w:sz w:val="17"/>
      <w:szCs w:val="17"/>
    </w:rPr>
  </w:style>
  <w:style w:type="character" w:customStyle="1" w:styleId="8pt0">
    <w:name w:val="Основной текст + Интервал 8 pt"/>
    <w:basedOn w:val="aff2"/>
    <w:rsid w:val="007C5583"/>
    <w:rPr>
      <w:rFonts w:ascii="SimSun" w:eastAsia="SimSun" w:hAnsi="SimSun" w:cs="SimSun"/>
      <w:b w:val="0"/>
      <w:bCs w:val="0"/>
      <w:i w:val="0"/>
      <w:iCs w:val="0"/>
      <w:smallCaps w:val="0"/>
      <w:strike w:val="0"/>
      <w:spacing w:val="170"/>
      <w:sz w:val="20"/>
      <w:szCs w:val="20"/>
    </w:rPr>
  </w:style>
  <w:style w:type="character" w:customStyle="1" w:styleId="Sylfaen9pt0pt">
    <w:name w:val="Основной текст + Sylfaen;9 pt;Интервал 0 pt"/>
    <w:basedOn w:val="aff2"/>
    <w:rsid w:val="007C5583"/>
    <w:rPr>
      <w:rFonts w:ascii="Sylfaen" w:eastAsia="Sylfaen" w:hAnsi="Sylfaen" w:cs="Sylfaen"/>
      <w:b w:val="0"/>
      <w:bCs w:val="0"/>
      <w:i w:val="0"/>
      <w:iCs w:val="0"/>
      <w:smallCaps w:val="0"/>
      <w:strike w:val="0"/>
      <w:spacing w:val="0"/>
      <w:sz w:val="18"/>
      <w:szCs w:val="18"/>
    </w:rPr>
  </w:style>
  <w:style w:type="character" w:customStyle="1" w:styleId="Batang8pt0pt">
    <w:name w:val="Основной текст + Batang;8 pt;Интервал 0 pt"/>
    <w:basedOn w:val="aff2"/>
    <w:rsid w:val="007C5583"/>
    <w:rPr>
      <w:rFonts w:ascii="Batang" w:eastAsia="Batang" w:hAnsi="Batang" w:cs="Batang"/>
      <w:spacing w:val="0"/>
      <w:sz w:val="16"/>
      <w:szCs w:val="16"/>
      <w:shd w:val="clear" w:color="auto" w:fill="FFFFFF"/>
    </w:rPr>
  </w:style>
  <w:style w:type="character" w:customStyle="1" w:styleId="0pt5">
    <w:name w:val="Оглавление + Интервал 0 pt"/>
    <w:basedOn w:val="afffffd"/>
    <w:rsid w:val="007C5583"/>
    <w:rPr>
      <w:rFonts w:ascii="SimSun" w:eastAsia="SimSun" w:hAnsi="SimSun" w:cs="SimSun"/>
      <w:b w:val="0"/>
      <w:bCs w:val="0"/>
      <w:i w:val="0"/>
      <w:iCs w:val="0"/>
      <w:smallCaps w:val="0"/>
      <w:strike w:val="0"/>
      <w:spacing w:val="0"/>
      <w:sz w:val="19"/>
      <w:szCs w:val="19"/>
      <w:shd w:val="clear" w:color="auto" w:fill="FFFFFF"/>
    </w:rPr>
  </w:style>
  <w:style w:type="character" w:customStyle="1" w:styleId="Batang8pt0pt0">
    <w:name w:val="Основной текст + Batang;8 pt;Малые прописные;Интервал 0 pt"/>
    <w:basedOn w:val="aff2"/>
    <w:rsid w:val="007C5583"/>
    <w:rPr>
      <w:rFonts w:ascii="Batang" w:eastAsia="Batang" w:hAnsi="Batang" w:cs="Batang"/>
      <w:b w:val="0"/>
      <w:bCs w:val="0"/>
      <w:i w:val="0"/>
      <w:iCs w:val="0"/>
      <w:smallCaps/>
      <w:strike w:val="0"/>
      <w:spacing w:val="10"/>
      <w:sz w:val="16"/>
      <w:szCs w:val="16"/>
      <w:shd w:val="clear" w:color="auto" w:fill="FFFFFF"/>
    </w:rPr>
  </w:style>
  <w:style w:type="character" w:customStyle="1" w:styleId="TrebuchetMS95pt0pt">
    <w:name w:val="Основной текст + Trebuchet MS;9;5 pt;Курсив;Интервал 0 pt"/>
    <w:basedOn w:val="aff2"/>
    <w:rsid w:val="007C5583"/>
    <w:rPr>
      <w:rFonts w:ascii="Trebuchet MS" w:eastAsia="Trebuchet MS" w:hAnsi="Trebuchet MS" w:cs="Trebuchet MS"/>
      <w:b w:val="0"/>
      <w:bCs w:val="0"/>
      <w:i/>
      <w:iCs/>
      <w:smallCaps w:val="0"/>
      <w:strike w:val="0"/>
      <w:spacing w:val="10"/>
      <w:w w:val="100"/>
      <w:sz w:val="19"/>
      <w:szCs w:val="19"/>
      <w:shd w:val="clear" w:color="auto" w:fill="FFFFFF"/>
    </w:rPr>
  </w:style>
  <w:style w:type="character" w:customStyle="1" w:styleId="Gungsuh0pt">
    <w:name w:val="Основной текст + Gungsuh;Малые прописные;Интервал 0 pt"/>
    <w:basedOn w:val="aff2"/>
    <w:rsid w:val="007C5583"/>
    <w:rPr>
      <w:rFonts w:ascii="Gungsuh" w:eastAsia="Gungsuh" w:hAnsi="Gungsuh" w:cs="Gungsuh"/>
      <w:b w:val="0"/>
      <w:bCs w:val="0"/>
      <w:i w:val="0"/>
      <w:iCs w:val="0"/>
      <w:smallCaps/>
      <w:strike w:val="0"/>
      <w:spacing w:val="-10"/>
      <w:w w:val="100"/>
      <w:sz w:val="20"/>
      <w:szCs w:val="20"/>
      <w:shd w:val="clear" w:color="auto" w:fill="FFFFFF"/>
    </w:rPr>
  </w:style>
  <w:style w:type="character" w:customStyle="1" w:styleId="CenturySchoolbook85pt0pt">
    <w:name w:val="Основной текст + Century Schoolbook;8;5 pt;Малые прописные;Интервал 0 pt"/>
    <w:basedOn w:val="aff2"/>
    <w:rsid w:val="007C5583"/>
    <w:rPr>
      <w:rFonts w:ascii="Century Schoolbook" w:eastAsia="Century Schoolbook" w:hAnsi="Century Schoolbook" w:cs="Century Schoolbook"/>
      <w:b w:val="0"/>
      <w:bCs w:val="0"/>
      <w:i w:val="0"/>
      <w:iCs w:val="0"/>
      <w:smallCaps/>
      <w:strike w:val="0"/>
      <w:spacing w:val="10"/>
      <w:w w:val="100"/>
      <w:sz w:val="17"/>
      <w:szCs w:val="17"/>
    </w:rPr>
  </w:style>
  <w:style w:type="character" w:customStyle="1" w:styleId="MSReferenceSansSerif9pt1pt">
    <w:name w:val="Основной текст + MS Reference Sans Serif;9 pt;Не полужирный;Интервал 1 pt"/>
    <w:basedOn w:val="aff2"/>
    <w:rsid w:val="007C5583"/>
    <w:rPr>
      <w:rFonts w:ascii="MS Reference Sans Serif" w:eastAsia="MS Reference Sans Serif" w:hAnsi="MS Reference Sans Serif" w:cs="MS Reference Sans Serif"/>
      <w:b/>
      <w:bCs/>
      <w:i w:val="0"/>
      <w:iCs w:val="0"/>
      <w:smallCaps w:val="0"/>
      <w:strike w:val="0"/>
      <w:spacing w:val="20"/>
      <w:sz w:val="18"/>
      <w:szCs w:val="18"/>
    </w:rPr>
  </w:style>
  <w:style w:type="character" w:customStyle="1" w:styleId="2pt0">
    <w:name w:val="Основной текст + Интервал 2 pt"/>
    <w:basedOn w:val="aff2"/>
    <w:uiPriority w:val="99"/>
    <w:rsid w:val="007C5583"/>
    <w:rPr>
      <w:rFonts w:ascii="Century Schoolbook" w:eastAsia="Century Schoolbook" w:hAnsi="Century Schoolbook" w:cs="Century Schoolbook"/>
      <w:b w:val="0"/>
      <w:bCs w:val="0"/>
      <w:i w:val="0"/>
      <w:iCs w:val="0"/>
      <w:smallCaps w:val="0"/>
      <w:strike w:val="0"/>
      <w:spacing w:val="40"/>
      <w:sz w:val="18"/>
      <w:szCs w:val="18"/>
      <w:shd w:val="clear" w:color="auto" w:fill="FFFFFF"/>
    </w:rPr>
  </w:style>
  <w:style w:type="character" w:customStyle="1" w:styleId="Garamond11pt0pt">
    <w:name w:val="Основной текст + Garamond;11 pt;Курсив;Интервал 0 pt"/>
    <w:basedOn w:val="aff2"/>
    <w:rsid w:val="007C5583"/>
    <w:rPr>
      <w:rFonts w:ascii="Garamond" w:eastAsia="Garamond" w:hAnsi="Garamond" w:cs="Garamond"/>
      <w:b w:val="0"/>
      <w:bCs w:val="0"/>
      <w:i/>
      <w:iCs/>
      <w:smallCaps w:val="0"/>
      <w:strike w:val="0"/>
      <w:spacing w:val="-10"/>
      <w:sz w:val="22"/>
      <w:szCs w:val="22"/>
      <w:shd w:val="clear" w:color="auto" w:fill="FFFFFF"/>
      <w:lang w:val="en-US"/>
    </w:rPr>
  </w:style>
  <w:style w:type="character" w:customStyle="1" w:styleId="4195pt0pt">
    <w:name w:val="Основной текст (4) + 19;5 pt;Малые прописные;Интервал 0 pt"/>
    <w:basedOn w:val="46"/>
    <w:rsid w:val="007C5583"/>
    <w:rPr>
      <w:rFonts w:ascii="Franklin Gothic Book" w:eastAsia="Franklin Gothic Book" w:hAnsi="Franklin Gothic Book" w:cs="Franklin Gothic Book"/>
      <w:smallCaps/>
      <w:spacing w:val="0"/>
      <w:sz w:val="39"/>
      <w:szCs w:val="39"/>
      <w:shd w:val="clear" w:color="auto" w:fill="FFFFFF"/>
      <w:lang w:eastAsia="en-US"/>
    </w:rPr>
  </w:style>
  <w:style w:type="character" w:customStyle="1" w:styleId="MicrosoftSansSerif8pt1pt60">
    <w:name w:val="Основной текст + Microsoft Sans Serif;8 pt;Курсив;Интервал 1 pt;Масштаб 60%"/>
    <w:basedOn w:val="aff2"/>
    <w:rsid w:val="007C5583"/>
    <w:rPr>
      <w:rFonts w:ascii="Microsoft Sans Serif" w:eastAsia="Microsoft Sans Serif" w:hAnsi="Microsoft Sans Serif" w:cs="Microsoft Sans Serif"/>
      <w:b w:val="0"/>
      <w:bCs w:val="0"/>
      <w:i/>
      <w:iCs/>
      <w:smallCaps w:val="0"/>
      <w:strike w:val="0"/>
      <w:spacing w:val="20"/>
      <w:w w:val="60"/>
      <w:sz w:val="16"/>
      <w:szCs w:val="16"/>
      <w:shd w:val="clear" w:color="auto" w:fill="FFFFFF"/>
    </w:rPr>
  </w:style>
  <w:style w:type="character" w:customStyle="1" w:styleId="0pt6">
    <w:name w:val="Основной текст + Не полужирный;Малые прописные;Интервал 0 pt"/>
    <w:basedOn w:val="aff2"/>
    <w:rsid w:val="007C5583"/>
    <w:rPr>
      <w:rFonts w:ascii="MS Mincho" w:eastAsia="MS Mincho" w:hAnsi="MS Mincho" w:cs="MS Mincho"/>
      <w:b/>
      <w:bCs/>
      <w:i w:val="0"/>
      <w:iCs w:val="0"/>
      <w:smallCaps/>
      <w:strike w:val="0"/>
      <w:spacing w:val="-10"/>
      <w:sz w:val="17"/>
      <w:szCs w:val="17"/>
      <w:shd w:val="clear" w:color="auto" w:fill="FFFFFF"/>
    </w:rPr>
  </w:style>
  <w:style w:type="character" w:customStyle="1" w:styleId="101pt">
    <w:name w:val="Основной текст (10) + Интервал 1 pt"/>
    <w:basedOn w:val="108"/>
    <w:rsid w:val="007C5583"/>
    <w:rPr>
      <w:rFonts w:ascii="Arial Narrow" w:eastAsia="Arial Narrow" w:hAnsi="Arial Narrow" w:cs="Arial Narrow"/>
      <w:b w:val="0"/>
      <w:bCs w:val="0"/>
      <w:i w:val="0"/>
      <w:iCs w:val="0"/>
      <w:smallCaps w:val="0"/>
      <w:strike w:val="0"/>
      <w:spacing w:val="30"/>
      <w:w w:val="100"/>
      <w:sz w:val="18"/>
      <w:szCs w:val="18"/>
      <w:shd w:val="clear" w:color="auto" w:fill="FFFFFF"/>
    </w:rPr>
  </w:style>
  <w:style w:type="character" w:customStyle="1" w:styleId="10105pt">
    <w:name w:val="Основной текст (10) + 10;5 pt;Не курсив"/>
    <w:basedOn w:val="108"/>
    <w:rsid w:val="007C5583"/>
    <w:rPr>
      <w:rFonts w:ascii="Arial Narrow" w:eastAsia="Arial Narrow" w:hAnsi="Arial Narrow" w:cs="Arial Narrow"/>
      <w:b w:val="0"/>
      <w:bCs w:val="0"/>
      <w:i/>
      <w:iCs/>
      <w:smallCaps w:val="0"/>
      <w:strike w:val="0"/>
      <w:spacing w:val="0"/>
      <w:w w:val="100"/>
      <w:sz w:val="21"/>
      <w:szCs w:val="21"/>
      <w:shd w:val="clear" w:color="auto" w:fill="FFFFFF"/>
    </w:rPr>
  </w:style>
  <w:style w:type="character" w:customStyle="1" w:styleId="885pt100">
    <w:name w:val="Основной текст (8) + 8;5 pt;Не курсив;Масштаб 100%"/>
    <w:basedOn w:val="81"/>
    <w:rsid w:val="007C5583"/>
    <w:rPr>
      <w:rFonts w:ascii="Segoe UI" w:eastAsia="Segoe UI" w:hAnsi="Segoe UI" w:cs="Segoe UI"/>
      <w:i/>
      <w:iCs/>
      <w:w w:val="100"/>
      <w:sz w:val="17"/>
      <w:szCs w:val="17"/>
      <w:shd w:val="clear" w:color="auto" w:fill="FFFFFF"/>
    </w:rPr>
  </w:style>
  <w:style w:type="paragraph" w:customStyle="1" w:styleId="p1">
    <w:name w:val="p1"/>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paragraph" w:styleId="affffff0">
    <w:name w:val="No Spacing"/>
    <w:basedOn w:val="a0"/>
    <w:uiPriority w:val="1"/>
    <w:qFormat/>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8pt100">
    <w:name w:val="Основной текст (2) + 8 pt;Не курсив;Масштаб 100%"/>
    <w:basedOn w:val="2a"/>
    <w:rsid w:val="007C5583"/>
    <w:rPr>
      <w:rFonts w:ascii="Trebuchet MS" w:eastAsia="Trebuchet MS" w:hAnsi="Trebuchet MS" w:cs="Trebuchet MS"/>
      <w:b w:val="0"/>
      <w:bCs w:val="0"/>
      <w:i/>
      <w:iCs/>
      <w:smallCaps w:val="0"/>
      <w:strike w:val="0"/>
      <w:spacing w:val="0"/>
      <w:w w:val="100"/>
      <w:sz w:val="16"/>
      <w:szCs w:val="16"/>
      <w:shd w:val="clear" w:color="auto" w:fill="FFFFFF"/>
      <w:lang w:eastAsia="en-US"/>
    </w:rPr>
  </w:style>
  <w:style w:type="character" w:customStyle="1" w:styleId="article-statdate">
    <w:name w:val="article-stat__date"/>
    <w:basedOn w:val="a1"/>
    <w:rsid w:val="007C5583"/>
  </w:style>
  <w:style w:type="character" w:customStyle="1" w:styleId="article-statcount">
    <w:name w:val="article-stat__count"/>
    <w:basedOn w:val="a1"/>
    <w:rsid w:val="007C5583"/>
  </w:style>
  <w:style w:type="character" w:customStyle="1" w:styleId="article-stat-tipvalue">
    <w:name w:val="article-stat-tip__value"/>
    <w:basedOn w:val="a1"/>
    <w:rsid w:val="007C5583"/>
  </w:style>
  <w:style w:type="character" w:customStyle="1" w:styleId="ljcut-brace">
    <w:name w:val="ljcut-brace"/>
    <w:basedOn w:val="a1"/>
    <w:rsid w:val="007C5583"/>
  </w:style>
  <w:style w:type="character" w:customStyle="1" w:styleId="ljcut-decor">
    <w:name w:val="ljcut-decor"/>
    <w:basedOn w:val="a1"/>
    <w:rsid w:val="007C5583"/>
  </w:style>
  <w:style w:type="character" w:customStyle="1" w:styleId="64">
    <w:name w:val="Подпись к картинке (6)_"/>
    <w:basedOn w:val="a1"/>
    <w:link w:val="62"/>
    <w:rsid w:val="007C5583"/>
    <w:rPr>
      <w:rFonts w:ascii="Bookman Old Style" w:hAnsi="Bookman Old Style" w:cs="Bookman Old Style"/>
      <w:i/>
      <w:iCs/>
      <w:sz w:val="9"/>
      <w:szCs w:val="9"/>
      <w:shd w:val="clear" w:color="auto" w:fill="FFFFFF"/>
      <w:lang w:eastAsia="en-US"/>
    </w:rPr>
  </w:style>
  <w:style w:type="character" w:customStyle="1" w:styleId="2-1pt0">
    <w:name w:val="Основной текст (2) + Интервал -1 pt"/>
    <w:basedOn w:val="2a"/>
    <w:rsid w:val="007C5583"/>
    <w:rPr>
      <w:rFonts w:ascii="Trebuchet MS" w:eastAsia="Trebuchet MS" w:hAnsi="Trebuchet MS" w:cs="Trebuchet MS"/>
      <w:spacing w:val="-20"/>
      <w:w w:val="80"/>
      <w:sz w:val="17"/>
      <w:szCs w:val="17"/>
      <w:shd w:val="clear" w:color="auto" w:fill="FFFFFF"/>
      <w:lang w:eastAsia="en-US"/>
    </w:rPr>
  </w:style>
  <w:style w:type="character" w:customStyle="1" w:styleId="192">
    <w:name w:val="Основной текст (19)_"/>
    <w:basedOn w:val="a1"/>
    <w:link w:val="193"/>
    <w:rsid w:val="007C5583"/>
    <w:rPr>
      <w:rFonts w:ascii="Trebuchet MS" w:eastAsia="Trebuchet MS" w:hAnsi="Trebuchet MS" w:cs="Trebuchet MS"/>
      <w:spacing w:val="-20"/>
      <w:sz w:val="21"/>
      <w:szCs w:val="21"/>
      <w:shd w:val="clear" w:color="auto" w:fill="FFFFFF"/>
    </w:rPr>
  </w:style>
  <w:style w:type="paragraph" w:customStyle="1" w:styleId="193">
    <w:name w:val="Основной текст (19)"/>
    <w:basedOn w:val="a0"/>
    <w:link w:val="192"/>
    <w:rsid w:val="007C5583"/>
    <w:pPr>
      <w:shd w:val="clear" w:color="auto" w:fill="FFFFFF"/>
      <w:spacing w:before="360" w:after="0" w:line="0" w:lineRule="atLeast"/>
    </w:pPr>
    <w:rPr>
      <w:rFonts w:ascii="Trebuchet MS" w:eastAsia="Trebuchet MS" w:hAnsi="Trebuchet MS" w:cs="Trebuchet MS"/>
      <w:spacing w:val="-20"/>
      <w:sz w:val="21"/>
      <w:szCs w:val="21"/>
      <w:lang w:eastAsia="ru-RU"/>
    </w:rPr>
  </w:style>
  <w:style w:type="character" w:customStyle="1" w:styleId="190pt">
    <w:name w:val="Основной текст (19) + Интервал 0 pt"/>
    <w:basedOn w:val="192"/>
    <w:rsid w:val="007C5583"/>
    <w:rPr>
      <w:rFonts w:ascii="Trebuchet MS" w:eastAsia="Trebuchet MS" w:hAnsi="Trebuchet MS" w:cs="Trebuchet MS"/>
      <w:spacing w:val="-10"/>
      <w:sz w:val="21"/>
      <w:szCs w:val="21"/>
      <w:shd w:val="clear" w:color="auto" w:fill="FFFFFF"/>
    </w:rPr>
  </w:style>
  <w:style w:type="character" w:customStyle="1" w:styleId="922">
    <w:name w:val="Заголовок №9 (2)"/>
    <w:basedOn w:val="a1"/>
    <w:rsid w:val="007C5583"/>
    <w:rPr>
      <w:rFonts w:ascii="Calibri" w:eastAsia="Calibri" w:hAnsi="Calibri" w:cs="Calibri"/>
      <w:b w:val="0"/>
      <w:bCs w:val="0"/>
      <w:i w:val="0"/>
      <w:iCs w:val="0"/>
      <w:smallCaps w:val="0"/>
      <w:strike w:val="0"/>
      <w:spacing w:val="0"/>
      <w:sz w:val="27"/>
      <w:szCs w:val="27"/>
    </w:rPr>
  </w:style>
  <w:style w:type="character" w:customStyle="1" w:styleId="173">
    <w:name w:val="Основной текст (17)_"/>
    <w:basedOn w:val="a1"/>
    <w:link w:val="174"/>
    <w:rsid w:val="007C5583"/>
    <w:rPr>
      <w:rFonts w:ascii="Arial Narrow" w:eastAsia="Arial Narrow" w:hAnsi="Arial Narrow" w:cs="Arial Narrow"/>
      <w:sz w:val="18"/>
      <w:szCs w:val="18"/>
      <w:shd w:val="clear" w:color="auto" w:fill="FFFFFF"/>
    </w:rPr>
  </w:style>
  <w:style w:type="paragraph" w:customStyle="1" w:styleId="174">
    <w:name w:val="Основной текст (17)"/>
    <w:basedOn w:val="a0"/>
    <w:link w:val="173"/>
    <w:rsid w:val="007C5583"/>
    <w:pPr>
      <w:shd w:val="clear" w:color="auto" w:fill="FFFFFF"/>
      <w:spacing w:after="0" w:line="216" w:lineRule="exact"/>
      <w:ind w:firstLine="280"/>
    </w:pPr>
    <w:rPr>
      <w:rFonts w:ascii="Arial Narrow" w:eastAsia="Arial Narrow" w:hAnsi="Arial Narrow" w:cs="Arial Narrow"/>
      <w:sz w:val="18"/>
      <w:szCs w:val="18"/>
      <w:lang w:eastAsia="ru-RU"/>
    </w:rPr>
  </w:style>
  <w:style w:type="character" w:customStyle="1" w:styleId="8pt1">
    <w:name w:val="Основной текст + 8 pt;Курсив"/>
    <w:basedOn w:val="aff2"/>
    <w:rsid w:val="007C5583"/>
    <w:rPr>
      <w:rFonts w:ascii="Arial Narrow" w:eastAsia="Arial Narrow" w:hAnsi="Arial Narrow" w:cs="Arial Narrow"/>
      <w:i/>
      <w:iCs/>
      <w:spacing w:val="-10"/>
      <w:sz w:val="16"/>
      <w:szCs w:val="16"/>
      <w:shd w:val="clear" w:color="auto" w:fill="FFFFFF"/>
    </w:rPr>
  </w:style>
  <w:style w:type="character" w:customStyle="1" w:styleId="326">
    <w:name w:val="Заголовок №3 (2)"/>
    <w:basedOn w:val="a1"/>
    <w:rsid w:val="007C5583"/>
    <w:rPr>
      <w:rFonts w:ascii="Calibri" w:eastAsia="Calibri" w:hAnsi="Calibri" w:cs="Calibri"/>
      <w:b w:val="0"/>
      <w:bCs w:val="0"/>
      <w:i w:val="0"/>
      <w:iCs w:val="0"/>
      <w:smallCaps w:val="0"/>
      <w:strike w:val="0"/>
      <w:spacing w:val="0"/>
      <w:sz w:val="22"/>
      <w:szCs w:val="22"/>
    </w:rPr>
  </w:style>
  <w:style w:type="character" w:customStyle="1" w:styleId="148">
    <w:name w:val="Основной текст (14) + Не курсив"/>
    <w:basedOn w:val="a1"/>
    <w:rsid w:val="007C5583"/>
    <w:rPr>
      <w:rFonts w:ascii="Arial Narrow" w:eastAsia="Arial Narrow" w:hAnsi="Arial Narrow" w:cs="Arial Narrow"/>
      <w:b w:val="0"/>
      <w:bCs w:val="0"/>
      <w:i/>
      <w:iCs/>
      <w:smallCaps w:val="0"/>
      <w:strike/>
      <w:spacing w:val="0"/>
      <w:w w:val="100"/>
      <w:sz w:val="17"/>
      <w:szCs w:val="17"/>
      <w:u w:val="single"/>
    </w:rPr>
  </w:style>
  <w:style w:type="character" w:customStyle="1" w:styleId="5Calibri8pt">
    <w:name w:val="Основной текст (5) + Calibri;8 pt;Курсив"/>
    <w:basedOn w:val="5f0"/>
    <w:rsid w:val="007C5583"/>
    <w:rPr>
      <w:rFonts w:ascii="Calibri" w:eastAsia="Calibri" w:hAnsi="Calibri" w:cs="Calibri"/>
      <w:i/>
      <w:iCs/>
      <w:noProof/>
      <w:sz w:val="16"/>
      <w:szCs w:val="16"/>
      <w:shd w:val="clear" w:color="auto" w:fill="FFFFFF"/>
      <w:lang w:val="en-US" w:eastAsia="en-US"/>
    </w:rPr>
  </w:style>
  <w:style w:type="character" w:customStyle="1" w:styleId="5MicrosoftSansSerif7pt">
    <w:name w:val="Основной текст (5) + Microsoft Sans Serif;7 pt;Курсив"/>
    <w:basedOn w:val="5f0"/>
    <w:rsid w:val="007C5583"/>
    <w:rPr>
      <w:rFonts w:ascii="Microsoft Sans Serif" w:eastAsia="Microsoft Sans Serif" w:hAnsi="Microsoft Sans Serif" w:cs="Microsoft Sans Serif"/>
      <w:i/>
      <w:iCs/>
      <w:noProof/>
      <w:sz w:val="14"/>
      <w:szCs w:val="14"/>
      <w:shd w:val="clear" w:color="auto" w:fill="FFFFFF"/>
      <w:lang w:val="en-US" w:eastAsia="en-US"/>
    </w:rPr>
  </w:style>
  <w:style w:type="character" w:customStyle="1" w:styleId="207">
    <w:name w:val="Основной текст20"/>
    <w:basedOn w:val="aff2"/>
    <w:rsid w:val="007C5583"/>
    <w:rPr>
      <w:rFonts w:ascii="Arial Narrow" w:eastAsia="Arial Narrow" w:hAnsi="Arial Narrow" w:cs="Arial Narrow"/>
      <w:b w:val="0"/>
      <w:bCs w:val="0"/>
      <w:i w:val="0"/>
      <w:iCs w:val="0"/>
      <w:smallCaps w:val="0"/>
      <w:strike w:val="0"/>
      <w:spacing w:val="0"/>
      <w:w w:val="100"/>
      <w:sz w:val="17"/>
      <w:szCs w:val="17"/>
      <w:shd w:val="clear" w:color="auto" w:fill="FFFFFF"/>
      <w:lang w:val="en-US"/>
    </w:rPr>
  </w:style>
  <w:style w:type="character" w:customStyle="1" w:styleId="319pt">
    <w:name w:val="Основной текст (3) + 19 pt;Полужирный;Не курсив"/>
    <w:basedOn w:val="a1"/>
    <w:rsid w:val="007C5583"/>
    <w:rPr>
      <w:rFonts w:ascii="Arial Narrow" w:eastAsia="Arial Narrow" w:hAnsi="Arial Narrow" w:cs="Arial Narrow"/>
      <w:b/>
      <w:bCs/>
      <w:i/>
      <w:iCs/>
      <w:smallCaps w:val="0"/>
      <w:strike w:val="0"/>
      <w:spacing w:val="0"/>
      <w:w w:val="100"/>
      <w:sz w:val="38"/>
      <w:szCs w:val="38"/>
      <w:lang w:val="en-US"/>
    </w:rPr>
  </w:style>
  <w:style w:type="character" w:customStyle="1" w:styleId="1-1pt0">
    <w:name w:val="Заголовок №1 + Интервал -1 pt"/>
    <w:basedOn w:val="18"/>
    <w:rsid w:val="007C5583"/>
    <w:rPr>
      <w:rFonts w:ascii="Segoe UI" w:eastAsia="Segoe UI" w:hAnsi="Segoe UI" w:cs="Segoe UI"/>
      <w:b w:val="0"/>
      <w:bCs w:val="0"/>
      <w:i w:val="0"/>
      <w:iCs w:val="0"/>
      <w:smallCaps w:val="0"/>
      <w:strike w:val="0"/>
      <w:spacing w:val="-30"/>
      <w:sz w:val="70"/>
      <w:szCs w:val="70"/>
      <w:shd w:val="clear" w:color="auto" w:fill="FFFFFF"/>
      <w:lang w:eastAsia="en-US"/>
    </w:rPr>
  </w:style>
  <w:style w:type="character" w:customStyle="1" w:styleId="242">
    <w:name w:val="Основной текст (24)_"/>
    <w:basedOn w:val="a1"/>
    <w:rsid w:val="007C5583"/>
    <w:rPr>
      <w:rFonts w:ascii="Segoe UI" w:eastAsia="Segoe UI" w:hAnsi="Segoe UI" w:cs="Segoe UI"/>
      <w:b w:val="0"/>
      <w:bCs w:val="0"/>
      <w:i w:val="0"/>
      <w:iCs w:val="0"/>
      <w:smallCaps w:val="0"/>
      <w:strike w:val="0"/>
      <w:spacing w:val="0"/>
      <w:sz w:val="36"/>
      <w:szCs w:val="36"/>
    </w:rPr>
  </w:style>
  <w:style w:type="character" w:customStyle="1" w:styleId="243">
    <w:name w:val="Основной текст (24)"/>
    <w:basedOn w:val="242"/>
    <w:rsid w:val="007C5583"/>
    <w:rPr>
      <w:rFonts w:ascii="Segoe UI" w:eastAsia="Segoe UI" w:hAnsi="Segoe UI" w:cs="Segoe UI"/>
      <w:b w:val="0"/>
      <w:bCs w:val="0"/>
      <w:i w:val="0"/>
      <w:iCs w:val="0"/>
      <w:smallCaps w:val="0"/>
      <w:strike w:val="0"/>
      <w:spacing w:val="0"/>
      <w:sz w:val="36"/>
      <w:szCs w:val="36"/>
    </w:rPr>
  </w:style>
  <w:style w:type="character" w:customStyle="1" w:styleId="2fc">
    <w:name w:val="Сноска (2)_"/>
    <w:basedOn w:val="a1"/>
    <w:link w:val="2fd"/>
    <w:rsid w:val="007C5583"/>
    <w:rPr>
      <w:rFonts w:ascii="Segoe UI" w:eastAsia="Segoe UI" w:hAnsi="Segoe UI" w:cs="Segoe UI"/>
      <w:sz w:val="13"/>
      <w:szCs w:val="13"/>
      <w:shd w:val="clear" w:color="auto" w:fill="FFFFFF"/>
    </w:rPr>
  </w:style>
  <w:style w:type="paragraph" w:customStyle="1" w:styleId="2fd">
    <w:name w:val="Сноска (2)"/>
    <w:basedOn w:val="a0"/>
    <w:link w:val="2fc"/>
    <w:rsid w:val="007C5583"/>
    <w:pPr>
      <w:shd w:val="clear" w:color="auto" w:fill="FFFFFF"/>
      <w:spacing w:after="0" w:line="173" w:lineRule="exact"/>
      <w:jc w:val="both"/>
    </w:pPr>
    <w:rPr>
      <w:rFonts w:ascii="Segoe UI" w:eastAsia="Segoe UI" w:hAnsi="Segoe UI" w:cs="Segoe UI"/>
      <w:sz w:val="13"/>
      <w:szCs w:val="13"/>
      <w:lang w:eastAsia="ru-RU"/>
    </w:rPr>
  </w:style>
  <w:style w:type="character" w:customStyle="1" w:styleId="4f5">
    <w:name w:val="Подпись к таблице (4)_"/>
    <w:basedOn w:val="a1"/>
    <w:rsid w:val="007C5583"/>
    <w:rPr>
      <w:rFonts w:ascii="Franklin Gothic Book" w:eastAsia="Franklin Gothic Book" w:hAnsi="Franklin Gothic Book" w:cs="Franklin Gothic Book"/>
      <w:b w:val="0"/>
      <w:bCs w:val="0"/>
      <w:i w:val="0"/>
      <w:iCs w:val="0"/>
      <w:smallCaps w:val="0"/>
      <w:strike w:val="0"/>
      <w:sz w:val="18"/>
      <w:szCs w:val="18"/>
    </w:rPr>
  </w:style>
  <w:style w:type="character" w:customStyle="1" w:styleId="4f6">
    <w:name w:val="Подпись к таблице (4)"/>
    <w:basedOn w:val="4f5"/>
    <w:rsid w:val="007C5583"/>
    <w:rPr>
      <w:rFonts w:ascii="Franklin Gothic Book" w:eastAsia="Franklin Gothic Book" w:hAnsi="Franklin Gothic Book" w:cs="Franklin Gothic Book"/>
      <w:b w:val="0"/>
      <w:bCs w:val="0"/>
      <w:i w:val="0"/>
      <w:iCs w:val="0"/>
      <w:smallCaps w:val="0"/>
      <w:strike w:val="0"/>
      <w:sz w:val="18"/>
      <w:szCs w:val="18"/>
    </w:rPr>
  </w:style>
  <w:style w:type="character" w:customStyle="1" w:styleId="282">
    <w:name w:val="Основной текст (28)_"/>
    <w:basedOn w:val="a1"/>
    <w:link w:val="281"/>
    <w:rsid w:val="007C5583"/>
    <w:rPr>
      <w:rFonts w:ascii="Lucida Sans Unicode" w:hAnsi="Lucida Sans Unicode" w:cs="Lucida Sans Unicode"/>
      <w:spacing w:val="10"/>
      <w:sz w:val="24"/>
      <w:szCs w:val="24"/>
      <w:shd w:val="clear" w:color="auto" w:fill="FFFFFF"/>
      <w:lang w:eastAsia="en-US"/>
    </w:rPr>
  </w:style>
  <w:style w:type="character" w:customStyle="1" w:styleId="278">
    <w:name w:val="Основной текст (27)_"/>
    <w:basedOn w:val="a1"/>
    <w:rsid w:val="007C5583"/>
    <w:rPr>
      <w:rFonts w:ascii="Arial Narrow" w:eastAsia="Arial Narrow" w:hAnsi="Arial Narrow" w:cs="Arial Narrow"/>
      <w:sz w:val="8"/>
      <w:szCs w:val="8"/>
      <w:shd w:val="clear" w:color="auto" w:fill="FFFFFF"/>
    </w:rPr>
  </w:style>
  <w:style w:type="character" w:customStyle="1" w:styleId="253">
    <w:name w:val="Основной текст (25)_"/>
    <w:basedOn w:val="a1"/>
    <w:link w:val="254"/>
    <w:rsid w:val="007C5583"/>
    <w:rPr>
      <w:rFonts w:ascii="Arial Narrow" w:eastAsia="Arial Narrow" w:hAnsi="Arial Narrow" w:cs="Arial Narrow"/>
      <w:sz w:val="12"/>
      <w:szCs w:val="12"/>
      <w:shd w:val="clear" w:color="auto" w:fill="FFFFFF"/>
    </w:rPr>
  </w:style>
  <w:style w:type="paragraph" w:customStyle="1" w:styleId="254">
    <w:name w:val="Основной текст (25)"/>
    <w:basedOn w:val="a0"/>
    <w:link w:val="253"/>
    <w:rsid w:val="007C5583"/>
    <w:pPr>
      <w:shd w:val="clear" w:color="auto" w:fill="FFFFFF"/>
      <w:spacing w:after="0" w:line="0" w:lineRule="atLeast"/>
    </w:pPr>
    <w:rPr>
      <w:rFonts w:ascii="Arial Narrow" w:eastAsia="Arial Narrow" w:hAnsi="Arial Narrow" w:cs="Arial Narrow"/>
      <w:sz w:val="12"/>
      <w:szCs w:val="12"/>
      <w:lang w:eastAsia="ru-RU"/>
    </w:rPr>
  </w:style>
  <w:style w:type="character" w:customStyle="1" w:styleId="134">
    <w:name w:val="Основной текст (13)_"/>
    <w:basedOn w:val="a1"/>
    <w:link w:val="135"/>
    <w:rsid w:val="007C5583"/>
    <w:rPr>
      <w:rFonts w:ascii="Segoe UI" w:eastAsia="Segoe UI" w:hAnsi="Segoe UI" w:cs="Segoe UI"/>
      <w:sz w:val="13"/>
      <w:szCs w:val="13"/>
      <w:shd w:val="clear" w:color="auto" w:fill="FFFFFF"/>
    </w:rPr>
  </w:style>
  <w:style w:type="paragraph" w:customStyle="1" w:styleId="135">
    <w:name w:val="Основной текст (13)"/>
    <w:basedOn w:val="a0"/>
    <w:link w:val="134"/>
    <w:rsid w:val="007C5583"/>
    <w:pPr>
      <w:shd w:val="clear" w:color="auto" w:fill="FFFFFF"/>
      <w:spacing w:before="60" w:after="0" w:line="154" w:lineRule="exact"/>
    </w:pPr>
    <w:rPr>
      <w:rFonts w:ascii="Segoe UI" w:eastAsia="Segoe UI" w:hAnsi="Segoe UI" w:cs="Segoe UI"/>
      <w:sz w:val="13"/>
      <w:szCs w:val="13"/>
      <w:lang w:eastAsia="ru-RU"/>
    </w:rPr>
  </w:style>
  <w:style w:type="character" w:customStyle="1" w:styleId="FranklinGothicBook9pt0pt">
    <w:name w:val="Основной текст + Franklin Gothic Book;9 pt;Интервал 0 pt"/>
    <w:basedOn w:val="aff2"/>
    <w:rsid w:val="007C5583"/>
    <w:rPr>
      <w:rFonts w:ascii="Franklin Gothic Book" w:eastAsia="Franklin Gothic Book" w:hAnsi="Franklin Gothic Book" w:cs="Franklin Gothic Book"/>
      <w:b w:val="0"/>
      <w:bCs w:val="0"/>
      <w:i w:val="0"/>
      <w:iCs w:val="0"/>
      <w:smallCaps w:val="0"/>
      <w:strike w:val="0"/>
      <w:spacing w:val="10"/>
      <w:w w:val="100"/>
      <w:sz w:val="18"/>
      <w:szCs w:val="18"/>
      <w:shd w:val="clear" w:color="auto" w:fill="FFFFFF"/>
      <w:lang w:val="en-US"/>
    </w:rPr>
  </w:style>
  <w:style w:type="character" w:customStyle="1" w:styleId="2d">
    <w:name w:val="Подпись к картинке (2)_"/>
    <w:basedOn w:val="a1"/>
    <w:link w:val="2c"/>
    <w:rsid w:val="007C5583"/>
    <w:rPr>
      <w:rFonts w:ascii="MS Reference Sans Serif" w:hAnsi="MS Reference Sans Serif" w:cs="MS Reference Sans Serif"/>
      <w:i/>
      <w:iCs/>
      <w:sz w:val="13"/>
      <w:szCs w:val="13"/>
      <w:shd w:val="clear" w:color="auto" w:fill="FFFFFF"/>
      <w:lang w:eastAsia="en-US"/>
    </w:rPr>
  </w:style>
  <w:style w:type="character" w:customStyle="1" w:styleId="12b">
    <w:name w:val="Подпись к картинке (12)_"/>
    <w:basedOn w:val="a1"/>
    <w:link w:val="12c"/>
    <w:rsid w:val="007C5583"/>
    <w:rPr>
      <w:rFonts w:ascii="Segoe UI" w:eastAsia="Segoe UI" w:hAnsi="Segoe UI" w:cs="Segoe UI"/>
      <w:sz w:val="11"/>
      <w:szCs w:val="11"/>
      <w:shd w:val="clear" w:color="auto" w:fill="FFFFFF"/>
    </w:rPr>
  </w:style>
  <w:style w:type="paragraph" w:customStyle="1" w:styleId="12c">
    <w:name w:val="Подпись к картинке (12)"/>
    <w:basedOn w:val="a0"/>
    <w:link w:val="12b"/>
    <w:rsid w:val="007C5583"/>
    <w:pPr>
      <w:shd w:val="clear" w:color="auto" w:fill="FFFFFF"/>
      <w:spacing w:after="0" w:line="0" w:lineRule="atLeast"/>
      <w:jc w:val="right"/>
    </w:pPr>
    <w:rPr>
      <w:rFonts w:ascii="Segoe UI" w:eastAsia="Segoe UI" w:hAnsi="Segoe UI" w:cs="Segoe UI"/>
      <w:sz w:val="11"/>
      <w:szCs w:val="11"/>
      <w:lang w:eastAsia="ru-RU"/>
    </w:rPr>
  </w:style>
  <w:style w:type="character" w:customStyle="1" w:styleId="136">
    <w:name w:val="Подпись к картинке (13)_"/>
    <w:basedOn w:val="a1"/>
    <w:link w:val="137"/>
    <w:rsid w:val="007C5583"/>
    <w:rPr>
      <w:rFonts w:ascii="Segoe UI" w:eastAsia="Segoe UI" w:hAnsi="Segoe UI" w:cs="Segoe UI"/>
      <w:sz w:val="17"/>
      <w:szCs w:val="17"/>
      <w:shd w:val="clear" w:color="auto" w:fill="FFFFFF"/>
    </w:rPr>
  </w:style>
  <w:style w:type="paragraph" w:customStyle="1" w:styleId="137">
    <w:name w:val="Подпись к картинке (13)"/>
    <w:basedOn w:val="a0"/>
    <w:link w:val="136"/>
    <w:rsid w:val="007C5583"/>
    <w:pPr>
      <w:shd w:val="clear" w:color="auto" w:fill="FFFFFF"/>
      <w:spacing w:after="0" w:line="0" w:lineRule="atLeast"/>
    </w:pPr>
    <w:rPr>
      <w:rFonts w:ascii="Segoe UI" w:eastAsia="Segoe UI" w:hAnsi="Segoe UI" w:cs="Segoe UI"/>
      <w:sz w:val="17"/>
      <w:szCs w:val="17"/>
      <w:lang w:eastAsia="ru-RU"/>
    </w:rPr>
  </w:style>
  <w:style w:type="character" w:customStyle="1" w:styleId="13FranklinGothicBook9pt0pt">
    <w:name w:val="Подпись к картинке (13) + Franklin Gothic Book;9 pt;Не полужирный;Интервал 0 pt"/>
    <w:basedOn w:val="136"/>
    <w:rsid w:val="007C5583"/>
    <w:rPr>
      <w:rFonts w:ascii="Franklin Gothic Book" w:eastAsia="Franklin Gothic Book" w:hAnsi="Franklin Gothic Book" w:cs="Franklin Gothic Book"/>
      <w:b/>
      <w:bCs/>
      <w:spacing w:val="-10"/>
      <w:w w:val="100"/>
      <w:sz w:val="18"/>
      <w:szCs w:val="18"/>
      <w:shd w:val="clear" w:color="auto" w:fill="FFFFFF"/>
    </w:rPr>
  </w:style>
  <w:style w:type="character" w:customStyle="1" w:styleId="362">
    <w:name w:val="Основной текст (36)_"/>
    <w:basedOn w:val="a1"/>
    <w:rsid w:val="007C5583"/>
    <w:rPr>
      <w:rFonts w:ascii="Segoe UI" w:eastAsia="Segoe UI" w:hAnsi="Segoe UI" w:cs="Segoe UI"/>
      <w:b w:val="0"/>
      <w:bCs w:val="0"/>
      <w:i w:val="0"/>
      <w:iCs w:val="0"/>
      <w:smallCaps w:val="0"/>
      <w:strike w:val="0"/>
      <w:spacing w:val="0"/>
      <w:sz w:val="21"/>
      <w:szCs w:val="21"/>
    </w:rPr>
  </w:style>
  <w:style w:type="character" w:customStyle="1" w:styleId="128pt100">
    <w:name w:val="Основной текст (12) + 8 pt;Не курсив;Масштаб 100%"/>
    <w:basedOn w:val="a1"/>
    <w:rsid w:val="007C5583"/>
    <w:rPr>
      <w:rFonts w:ascii="Segoe UI" w:eastAsia="Segoe UI" w:hAnsi="Segoe UI" w:cs="Segoe UI"/>
      <w:b w:val="0"/>
      <w:bCs w:val="0"/>
      <w:i/>
      <w:iCs/>
      <w:smallCaps w:val="0"/>
      <w:strike w:val="0"/>
      <w:spacing w:val="0"/>
      <w:w w:val="100"/>
      <w:sz w:val="16"/>
      <w:szCs w:val="16"/>
    </w:rPr>
  </w:style>
  <w:style w:type="character" w:customStyle="1" w:styleId="8b">
    <w:name w:val="Подпись к картинке (8)_"/>
    <w:basedOn w:val="a1"/>
    <w:link w:val="8c"/>
    <w:rsid w:val="007C5583"/>
    <w:rPr>
      <w:rFonts w:ascii="Segoe UI" w:eastAsia="Segoe UI" w:hAnsi="Segoe UI" w:cs="Segoe UI"/>
      <w:sz w:val="16"/>
      <w:szCs w:val="16"/>
      <w:shd w:val="clear" w:color="auto" w:fill="FFFFFF"/>
      <w:lang w:val="en-US"/>
    </w:rPr>
  </w:style>
  <w:style w:type="paragraph" w:customStyle="1" w:styleId="8c">
    <w:name w:val="Подпись к картинке (8)"/>
    <w:basedOn w:val="a0"/>
    <w:link w:val="8b"/>
    <w:rsid w:val="007C5583"/>
    <w:pPr>
      <w:shd w:val="clear" w:color="auto" w:fill="FFFFFF"/>
      <w:spacing w:after="0" w:line="0" w:lineRule="atLeast"/>
    </w:pPr>
    <w:rPr>
      <w:rFonts w:ascii="Segoe UI" w:eastAsia="Segoe UI" w:hAnsi="Segoe UI" w:cs="Segoe UI"/>
      <w:sz w:val="16"/>
      <w:szCs w:val="16"/>
      <w:lang w:val="en-US" w:eastAsia="ru-RU"/>
    </w:rPr>
  </w:style>
  <w:style w:type="character" w:customStyle="1" w:styleId="10c">
    <w:name w:val="Подпись к картинке (10)_"/>
    <w:basedOn w:val="a1"/>
    <w:link w:val="10d"/>
    <w:rsid w:val="007C5583"/>
    <w:rPr>
      <w:rFonts w:ascii="Segoe UI" w:eastAsia="Segoe UI" w:hAnsi="Segoe UI" w:cs="Segoe UI"/>
      <w:sz w:val="11"/>
      <w:szCs w:val="11"/>
      <w:shd w:val="clear" w:color="auto" w:fill="FFFFFF"/>
    </w:rPr>
  </w:style>
  <w:style w:type="paragraph" w:customStyle="1" w:styleId="10d">
    <w:name w:val="Подпись к картинке (10)"/>
    <w:basedOn w:val="a0"/>
    <w:link w:val="10c"/>
    <w:rsid w:val="007C5583"/>
    <w:pPr>
      <w:shd w:val="clear" w:color="auto" w:fill="FFFFFF"/>
      <w:spacing w:after="0" w:line="0" w:lineRule="atLeast"/>
    </w:pPr>
    <w:rPr>
      <w:rFonts w:ascii="Segoe UI" w:eastAsia="Segoe UI" w:hAnsi="Segoe UI" w:cs="Segoe UI"/>
      <w:sz w:val="11"/>
      <w:szCs w:val="11"/>
      <w:lang w:eastAsia="ru-RU"/>
    </w:rPr>
  </w:style>
  <w:style w:type="character" w:customStyle="1" w:styleId="149">
    <w:name w:val="Подпись к картинке (14)_"/>
    <w:basedOn w:val="a1"/>
    <w:link w:val="14a"/>
    <w:rsid w:val="007C5583"/>
    <w:rPr>
      <w:rFonts w:ascii="Segoe UI" w:eastAsia="Segoe UI" w:hAnsi="Segoe UI" w:cs="Segoe UI"/>
      <w:sz w:val="18"/>
      <w:szCs w:val="18"/>
      <w:shd w:val="clear" w:color="auto" w:fill="FFFFFF"/>
    </w:rPr>
  </w:style>
  <w:style w:type="paragraph" w:customStyle="1" w:styleId="14a">
    <w:name w:val="Подпись к картинке (14)"/>
    <w:basedOn w:val="a0"/>
    <w:link w:val="149"/>
    <w:rsid w:val="007C5583"/>
    <w:pPr>
      <w:shd w:val="clear" w:color="auto" w:fill="FFFFFF"/>
      <w:spacing w:after="0" w:line="0" w:lineRule="atLeast"/>
    </w:pPr>
    <w:rPr>
      <w:rFonts w:ascii="Segoe UI" w:eastAsia="Segoe UI" w:hAnsi="Segoe UI" w:cs="Segoe UI"/>
      <w:sz w:val="18"/>
      <w:szCs w:val="18"/>
      <w:lang w:eastAsia="ru-RU"/>
    </w:rPr>
  </w:style>
  <w:style w:type="character" w:customStyle="1" w:styleId="142pt">
    <w:name w:val="Подпись к картинке (14) + Интервал 2 pt"/>
    <w:basedOn w:val="149"/>
    <w:rsid w:val="007C5583"/>
    <w:rPr>
      <w:rFonts w:ascii="Segoe UI" w:eastAsia="Segoe UI" w:hAnsi="Segoe UI" w:cs="Segoe UI"/>
      <w:spacing w:val="40"/>
      <w:sz w:val="18"/>
      <w:szCs w:val="18"/>
      <w:shd w:val="clear" w:color="auto" w:fill="FFFFFF"/>
      <w:lang w:val="en-US"/>
    </w:rPr>
  </w:style>
  <w:style w:type="character" w:customStyle="1" w:styleId="89pt-1pt80">
    <w:name w:val="Подпись к картинке (8) + 9 pt;Курсив;Интервал -1 pt;Масштаб 80%"/>
    <w:basedOn w:val="8b"/>
    <w:rsid w:val="007C5583"/>
    <w:rPr>
      <w:rFonts w:ascii="Segoe UI" w:eastAsia="Segoe UI" w:hAnsi="Segoe UI" w:cs="Segoe UI"/>
      <w:i/>
      <w:iCs/>
      <w:spacing w:val="-20"/>
      <w:w w:val="80"/>
      <w:sz w:val="18"/>
      <w:szCs w:val="18"/>
      <w:shd w:val="clear" w:color="auto" w:fill="FFFFFF"/>
      <w:lang w:val="ru"/>
    </w:rPr>
  </w:style>
  <w:style w:type="character" w:customStyle="1" w:styleId="151">
    <w:name w:val="Подпись к картинке (15)_"/>
    <w:basedOn w:val="a1"/>
    <w:link w:val="150"/>
    <w:rsid w:val="007C5583"/>
    <w:rPr>
      <w:rFonts w:ascii="MS Reference Sans Serif" w:hAnsi="MS Reference Sans Serif" w:cs="MS Reference Sans Serif"/>
      <w:sz w:val="8"/>
      <w:szCs w:val="8"/>
      <w:shd w:val="clear" w:color="auto" w:fill="FFFFFF"/>
      <w:lang w:eastAsia="en-US"/>
    </w:rPr>
  </w:style>
  <w:style w:type="character" w:customStyle="1" w:styleId="15MSReferenceSansSerif16pt0pt">
    <w:name w:val="Подпись к картинке (15) + MS Reference Sans Serif;16 pt;Курсив;Интервал 0 pt"/>
    <w:basedOn w:val="151"/>
    <w:rsid w:val="007C5583"/>
    <w:rPr>
      <w:rFonts w:ascii="MS Reference Sans Serif" w:eastAsia="MS Reference Sans Serif" w:hAnsi="MS Reference Sans Serif" w:cs="MS Reference Sans Serif"/>
      <w:i/>
      <w:iCs/>
      <w:spacing w:val="10"/>
      <w:sz w:val="32"/>
      <w:szCs w:val="32"/>
      <w:shd w:val="clear" w:color="auto" w:fill="FFFFFF"/>
      <w:lang w:eastAsia="en-US"/>
    </w:rPr>
  </w:style>
  <w:style w:type="character" w:customStyle="1" w:styleId="49">
    <w:name w:val="Подпись к картинке (4)_"/>
    <w:basedOn w:val="a1"/>
    <w:link w:val="48"/>
    <w:rsid w:val="007C5583"/>
    <w:rPr>
      <w:rFonts w:ascii="Arial Narrow" w:hAnsi="Arial Narrow" w:cs="Arial Narrow"/>
      <w:i/>
      <w:iCs/>
      <w:sz w:val="17"/>
      <w:szCs w:val="17"/>
      <w:shd w:val="clear" w:color="auto" w:fill="FFFFFF"/>
      <w:lang w:eastAsia="en-US"/>
    </w:rPr>
  </w:style>
  <w:style w:type="character" w:customStyle="1" w:styleId="96">
    <w:name w:val="Подпись к картинке (9)_"/>
    <w:basedOn w:val="a1"/>
    <w:link w:val="97"/>
    <w:rsid w:val="007C5583"/>
    <w:rPr>
      <w:rFonts w:ascii="Segoe UI" w:eastAsia="Segoe UI" w:hAnsi="Segoe UI" w:cs="Segoe UI"/>
      <w:sz w:val="13"/>
      <w:szCs w:val="13"/>
      <w:shd w:val="clear" w:color="auto" w:fill="FFFFFF"/>
    </w:rPr>
  </w:style>
  <w:style w:type="paragraph" w:customStyle="1" w:styleId="97">
    <w:name w:val="Подпись к картинке (9)"/>
    <w:basedOn w:val="a0"/>
    <w:link w:val="96"/>
    <w:rsid w:val="007C5583"/>
    <w:pPr>
      <w:shd w:val="clear" w:color="auto" w:fill="FFFFFF"/>
      <w:spacing w:after="0" w:line="197" w:lineRule="exact"/>
      <w:jc w:val="center"/>
    </w:pPr>
    <w:rPr>
      <w:rFonts w:ascii="Segoe UI" w:eastAsia="Segoe UI" w:hAnsi="Segoe UI" w:cs="Segoe UI"/>
      <w:sz w:val="13"/>
      <w:szCs w:val="13"/>
      <w:lang w:eastAsia="ru-RU"/>
    </w:rPr>
  </w:style>
  <w:style w:type="character" w:customStyle="1" w:styleId="9Constantia4pt">
    <w:name w:val="Подпись к картинке (9) + Constantia;4 pt;Не курсив"/>
    <w:basedOn w:val="96"/>
    <w:rsid w:val="007C5583"/>
    <w:rPr>
      <w:rFonts w:ascii="Constantia" w:eastAsia="Constantia" w:hAnsi="Constantia" w:cs="Constantia"/>
      <w:i/>
      <w:iCs/>
      <w:sz w:val="8"/>
      <w:szCs w:val="8"/>
      <w:shd w:val="clear" w:color="auto" w:fill="FFFFFF"/>
    </w:rPr>
  </w:style>
  <w:style w:type="character" w:customStyle="1" w:styleId="163">
    <w:name w:val="Подпись к картинке (16)_"/>
    <w:basedOn w:val="a1"/>
    <w:rsid w:val="007C5583"/>
    <w:rPr>
      <w:rFonts w:ascii="Segoe UI" w:eastAsia="Segoe UI" w:hAnsi="Segoe UI" w:cs="Segoe UI"/>
      <w:b w:val="0"/>
      <w:bCs w:val="0"/>
      <w:i w:val="0"/>
      <w:iCs w:val="0"/>
      <w:smallCaps w:val="0"/>
      <w:strike w:val="0"/>
      <w:spacing w:val="-10"/>
      <w:sz w:val="10"/>
      <w:szCs w:val="10"/>
    </w:rPr>
  </w:style>
  <w:style w:type="character" w:customStyle="1" w:styleId="95pt0pt">
    <w:name w:val="Подпись к картинке (9) + 5 pt;Интервал 0 pt"/>
    <w:basedOn w:val="96"/>
    <w:rsid w:val="007C5583"/>
    <w:rPr>
      <w:rFonts w:ascii="Segoe UI" w:eastAsia="Segoe UI" w:hAnsi="Segoe UI" w:cs="Segoe UI"/>
      <w:spacing w:val="-10"/>
      <w:sz w:val="10"/>
      <w:szCs w:val="10"/>
      <w:shd w:val="clear" w:color="auto" w:fill="FFFFFF"/>
    </w:rPr>
  </w:style>
  <w:style w:type="character" w:customStyle="1" w:styleId="40pt1">
    <w:name w:val="Подпись к картинке (4) + Интервал 0 pt"/>
    <w:basedOn w:val="49"/>
    <w:rsid w:val="007C5583"/>
    <w:rPr>
      <w:rFonts w:ascii="Arial Narrow" w:hAnsi="Arial Narrow" w:cs="Arial Narrow"/>
      <w:i/>
      <w:iCs/>
      <w:spacing w:val="-10"/>
      <w:sz w:val="17"/>
      <w:szCs w:val="17"/>
      <w:u w:val="single"/>
      <w:shd w:val="clear" w:color="auto" w:fill="FFFFFF"/>
      <w:lang w:eastAsia="en-US"/>
    </w:rPr>
  </w:style>
  <w:style w:type="character" w:customStyle="1" w:styleId="13ArialNarrow10pt">
    <w:name w:val="Основной текст (13) + Arial Narrow;10 pt;Не курсив"/>
    <w:basedOn w:val="134"/>
    <w:rsid w:val="007C5583"/>
    <w:rPr>
      <w:rFonts w:ascii="Arial Narrow" w:eastAsia="Arial Narrow" w:hAnsi="Arial Narrow" w:cs="Arial Narrow"/>
      <w:b w:val="0"/>
      <w:bCs w:val="0"/>
      <w:i/>
      <w:iCs/>
      <w:smallCaps w:val="0"/>
      <w:strike w:val="0"/>
      <w:spacing w:val="0"/>
      <w:w w:val="100"/>
      <w:sz w:val="20"/>
      <w:szCs w:val="20"/>
      <w:shd w:val="clear" w:color="auto" w:fill="FFFFFF"/>
    </w:rPr>
  </w:style>
  <w:style w:type="character" w:customStyle="1" w:styleId="5f3">
    <w:name w:val="Подпись к таблице (5)"/>
    <w:basedOn w:val="a1"/>
    <w:rsid w:val="007C5583"/>
    <w:rPr>
      <w:rFonts w:ascii="Franklin Gothic Book" w:eastAsia="Franklin Gothic Book" w:hAnsi="Franklin Gothic Book" w:cs="Franklin Gothic Book"/>
      <w:b w:val="0"/>
      <w:bCs w:val="0"/>
      <w:i w:val="0"/>
      <w:iCs w:val="0"/>
      <w:smallCaps w:val="0"/>
      <w:strike w:val="0"/>
      <w:spacing w:val="0"/>
      <w:w w:val="100"/>
      <w:sz w:val="16"/>
      <w:szCs w:val="16"/>
    </w:rPr>
  </w:style>
  <w:style w:type="character" w:customStyle="1" w:styleId="38">
    <w:name w:val="Подпись к картинке (3)_"/>
    <w:basedOn w:val="a1"/>
    <w:link w:val="37"/>
    <w:rsid w:val="007C5583"/>
    <w:rPr>
      <w:rFonts w:ascii="Arial Narrow" w:hAnsi="Arial Narrow" w:cs="Arial Narrow"/>
      <w:sz w:val="16"/>
      <w:szCs w:val="16"/>
      <w:shd w:val="clear" w:color="auto" w:fill="FFFFFF"/>
      <w:lang w:eastAsia="en-US"/>
    </w:rPr>
  </w:style>
  <w:style w:type="character" w:customStyle="1" w:styleId="4f7">
    <w:name w:val="Оглавление 4 Знак"/>
    <w:basedOn w:val="a1"/>
    <w:link w:val="4f8"/>
    <w:rsid w:val="007C5583"/>
    <w:rPr>
      <w:rFonts w:ascii="Microsoft Sans Serif" w:eastAsia="Microsoft Sans Serif" w:hAnsi="Microsoft Sans Serif" w:cs="Microsoft Sans Serif"/>
      <w:sz w:val="15"/>
      <w:szCs w:val="15"/>
      <w:shd w:val="clear" w:color="auto" w:fill="FFFFFF"/>
    </w:rPr>
  </w:style>
  <w:style w:type="paragraph" w:styleId="4f8">
    <w:name w:val="toc 4"/>
    <w:basedOn w:val="a0"/>
    <w:link w:val="4f7"/>
    <w:autoRedefine/>
    <w:rsid w:val="007C5583"/>
    <w:pPr>
      <w:shd w:val="clear" w:color="auto" w:fill="FFFFFF"/>
      <w:spacing w:before="60" w:after="120" w:line="0" w:lineRule="atLeast"/>
    </w:pPr>
    <w:rPr>
      <w:rFonts w:ascii="Microsoft Sans Serif" w:eastAsia="Microsoft Sans Serif" w:hAnsi="Microsoft Sans Serif" w:cs="Microsoft Sans Serif"/>
      <w:sz w:val="15"/>
      <w:szCs w:val="15"/>
      <w:lang w:eastAsia="ru-RU"/>
    </w:rPr>
  </w:style>
  <w:style w:type="character" w:customStyle="1" w:styleId="101">
    <w:name w:val="Заголовок №10_"/>
    <w:basedOn w:val="a1"/>
    <w:link w:val="100"/>
    <w:rsid w:val="007C5583"/>
    <w:rPr>
      <w:rFonts w:ascii="Lucida Sans Unicode" w:hAnsi="Lucida Sans Unicode" w:cs="Lucida Sans Unicode"/>
      <w:b/>
      <w:bCs/>
      <w:i/>
      <w:iCs/>
      <w:noProof/>
      <w:sz w:val="16"/>
      <w:szCs w:val="16"/>
      <w:shd w:val="clear" w:color="auto" w:fill="FFFFFF"/>
      <w:lang w:val="en-US" w:eastAsia="en-US"/>
    </w:rPr>
  </w:style>
  <w:style w:type="character" w:customStyle="1" w:styleId="4f9">
    <w:name w:val="Подпись к картинке (4) + Не полужирный"/>
    <w:basedOn w:val="49"/>
    <w:rsid w:val="007C5583"/>
    <w:rPr>
      <w:rFonts w:ascii="Microsoft Sans Serif" w:eastAsia="Microsoft Sans Serif" w:hAnsi="Microsoft Sans Serif" w:cs="Microsoft Sans Serif"/>
      <w:b/>
      <w:bCs/>
      <w:i/>
      <w:iCs/>
      <w:smallCaps w:val="0"/>
      <w:strike w:val="0"/>
      <w:spacing w:val="0"/>
      <w:sz w:val="15"/>
      <w:szCs w:val="15"/>
      <w:shd w:val="clear" w:color="auto" w:fill="FFFFFF"/>
      <w:lang w:eastAsia="en-US"/>
    </w:rPr>
  </w:style>
  <w:style w:type="character" w:customStyle="1" w:styleId="120pt">
    <w:name w:val="Основной текст (12) + Не курсив;Интервал 0 pt"/>
    <w:basedOn w:val="123"/>
    <w:rsid w:val="007C5583"/>
    <w:rPr>
      <w:rFonts w:ascii="Microsoft Sans Serif" w:eastAsia="Microsoft Sans Serif" w:hAnsi="Microsoft Sans Serif" w:cs="Microsoft Sans Serif"/>
      <w:b w:val="0"/>
      <w:bCs w:val="0"/>
      <w:i/>
      <w:iCs/>
      <w:smallCaps w:val="0"/>
      <w:strike w:val="0"/>
      <w:spacing w:val="0"/>
      <w:w w:val="80"/>
      <w:sz w:val="15"/>
      <w:szCs w:val="15"/>
      <w:shd w:val="clear" w:color="auto" w:fill="FFFFFF"/>
      <w:lang w:eastAsia="en-US"/>
    </w:rPr>
  </w:style>
  <w:style w:type="character" w:customStyle="1" w:styleId="8pt2">
    <w:name w:val="Основной текст + 8 pt;Полужирный"/>
    <w:basedOn w:val="aff2"/>
    <w:rsid w:val="007C5583"/>
    <w:rPr>
      <w:rFonts w:ascii="Microsoft Sans Serif" w:eastAsia="Microsoft Sans Serif" w:hAnsi="Microsoft Sans Serif" w:cs="Microsoft Sans Serif"/>
      <w:b/>
      <w:bCs/>
      <w:spacing w:val="-10"/>
      <w:sz w:val="16"/>
      <w:szCs w:val="16"/>
      <w:shd w:val="clear" w:color="auto" w:fill="FFFFFF"/>
    </w:rPr>
  </w:style>
  <w:style w:type="character" w:customStyle="1" w:styleId="65pt0pt">
    <w:name w:val="Подпись к картинке + 6;5 pt;Не курсив;Интервал 0 pt"/>
    <w:basedOn w:val="affd"/>
    <w:rsid w:val="007C5583"/>
    <w:rPr>
      <w:rFonts w:ascii="Microsoft Sans Serif" w:eastAsia="Microsoft Sans Serif" w:hAnsi="Microsoft Sans Serif" w:cs="Microsoft Sans Serif"/>
      <w:b w:val="0"/>
      <w:bCs w:val="0"/>
      <w:i/>
      <w:iCs/>
      <w:smallCaps w:val="0"/>
      <w:strike w:val="0"/>
      <w:spacing w:val="0"/>
      <w:sz w:val="13"/>
      <w:szCs w:val="13"/>
      <w:shd w:val="clear" w:color="auto" w:fill="FFFFFF"/>
      <w:lang w:val="en-US" w:eastAsia="en-US"/>
    </w:rPr>
  </w:style>
  <w:style w:type="character" w:customStyle="1" w:styleId="1022">
    <w:name w:val="Заголовок №10 (2)_"/>
    <w:basedOn w:val="a1"/>
    <w:link w:val="1023"/>
    <w:rsid w:val="007C5583"/>
    <w:rPr>
      <w:rFonts w:ascii="Microsoft Sans Serif" w:eastAsia="Microsoft Sans Serif" w:hAnsi="Microsoft Sans Serif" w:cs="Microsoft Sans Serif"/>
      <w:sz w:val="15"/>
      <w:szCs w:val="15"/>
      <w:shd w:val="clear" w:color="auto" w:fill="FFFFFF"/>
    </w:rPr>
  </w:style>
  <w:style w:type="paragraph" w:customStyle="1" w:styleId="1023">
    <w:name w:val="Заголовок №10 (2)"/>
    <w:basedOn w:val="a0"/>
    <w:link w:val="1022"/>
    <w:rsid w:val="007C5583"/>
    <w:pPr>
      <w:shd w:val="clear" w:color="auto" w:fill="FFFFFF"/>
      <w:spacing w:before="180" w:after="180" w:line="0" w:lineRule="atLeast"/>
    </w:pPr>
    <w:rPr>
      <w:rFonts w:ascii="Microsoft Sans Serif" w:eastAsia="Microsoft Sans Serif" w:hAnsi="Microsoft Sans Serif" w:cs="Microsoft Sans Serif"/>
      <w:sz w:val="15"/>
      <w:szCs w:val="15"/>
      <w:lang w:eastAsia="ru-RU"/>
    </w:rPr>
  </w:style>
  <w:style w:type="character" w:customStyle="1" w:styleId="4fa">
    <w:name w:val="Подпись к картинке (4) + Не полужирный;Малые прописные"/>
    <w:basedOn w:val="49"/>
    <w:rsid w:val="007C5583"/>
    <w:rPr>
      <w:rFonts w:ascii="Microsoft Sans Serif" w:eastAsia="Microsoft Sans Serif" w:hAnsi="Microsoft Sans Serif" w:cs="Microsoft Sans Serif"/>
      <w:b/>
      <w:bCs/>
      <w:i/>
      <w:iCs/>
      <w:smallCaps/>
      <w:sz w:val="15"/>
      <w:szCs w:val="15"/>
      <w:shd w:val="clear" w:color="auto" w:fill="FFFFFF"/>
      <w:lang w:val="en-US" w:eastAsia="en-US"/>
    </w:rPr>
  </w:style>
  <w:style w:type="character" w:customStyle="1" w:styleId="66pt0pt">
    <w:name w:val="Подпись к картинке (6) + 6 pt;Курсив;Интервал 0 pt"/>
    <w:basedOn w:val="64"/>
    <w:rsid w:val="007C5583"/>
    <w:rPr>
      <w:rFonts w:ascii="Microsoft Sans Serif" w:eastAsia="Microsoft Sans Serif" w:hAnsi="Microsoft Sans Serif" w:cs="Microsoft Sans Serif"/>
      <w:b w:val="0"/>
      <w:bCs w:val="0"/>
      <w:i w:val="0"/>
      <w:iCs w:val="0"/>
      <w:smallCaps w:val="0"/>
      <w:strike/>
      <w:spacing w:val="10"/>
      <w:sz w:val="12"/>
      <w:szCs w:val="12"/>
      <w:shd w:val="clear" w:color="auto" w:fill="FFFFFF"/>
      <w:lang w:eastAsia="en-US"/>
    </w:rPr>
  </w:style>
  <w:style w:type="character" w:customStyle="1" w:styleId="218">
    <w:name w:val="Основной текст (21)_"/>
    <w:basedOn w:val="a1"/>
    <w:link w:val="219"/>
    <w:rsid w:val="007C5583"/>
    <w:rPr>
      <w:rFonts w:ascii="Microsoft Sans Serif" w:eastAsia="Microsoft Sans Serif" w:hAnsi="Microsoft Sans Serif" w:cs="Microsoft Sans Serif"/>
      <w:sz w:val="48"/>
      <w:szCs w:val="48"/>
      <w:shd w:val="clear" w:color="auto" w:fill="FFFFFF"/>
    </w:rPr>
  </w:style>
  <w:style w:type="paragraph" w:customStyle="1" w:styleId="219">
    <w:name w:val="Основной текст (21)"/>
    <w:basedOn w:val="a0"/>
    <w:link w:val="218"/>
    <w:rsid w:val="007C5583"/>
    <w:pPr>
      <w:shd w:val="clear" w:color="auto" w:fill="FFFFFF"/>
      <w:spacing w:after="0" w:line="600" w:lineRule="exact"/>
      <w:jc w:val="center"/>
    </w:pPr>
    <w:rPr>
      <w:rFonts w:ascii="Microsoft Sans Serif" w:eastAsia="Microsoft Sans Serif" w:hAnsi="Microsoft Sans Serif" w:cs="Microsoft Sans Serif"/>
      <w:sz w:val="48"/>
      <w:szCs w:val="48"/>
      <w:lang w:eastAsia="ru-RU"/>
    </w:rPr>
  </w:style>
  <w:style w:type="character" w:customStyle="1" w:styleId="FranklinGothicDemi85pt">
    <w:name w:val="Основной текст + Franklin Gothic Demi;8;5 pt"/>
    <w:basedOn w:val="aff2"/>
    <w:rsid w:val="007C5583"/>
    <w:rPr>
      <w:rFonts w:ascii="Franklin Gothic Demi" w:eastAsia="Franklin Gothic Demi" w:hAnsi="Franklin Gothic Demi" w:cs="Franklin Gothic Demi"/>
      <w:b w:val="0"/>
      <w:bCs w:val="0"/>
      <w:i w:val="0"/>
      <w:iCs w:val="0"/>
      <w:smallCaps w:val="0"/>
      <w:strike w:val="0"/>
      <w:spacing w:val="0"/>
      <w:sz w:val="17"/>
      <w:szCs w:val="17"/>
      <w:shd w:val="clear" w:color="auto" w:fill="FFFFFF"/>
    </w:rPr>
  </w:style>
  <w:style w:type="character" w:customStyle="1" w:styleId="76">
    <w:name w:val="Подпись к картинке (7)_"/>
    <w:basedOn w:val="a1"/>
    <w:link w:val="75"/>
    <w:rsid w:val="007C5583"/>
    <w:rPr>
      <w:rFonts w:ascii="Arial Narrow" w:hAnsi="Arial Narrow" w:cs="Arial Narrow"/>
      <w:i/>
      <w:iCs/>
      <w:sz w:val="14"/>
      <w:szCs w:val="14"/>
      <w:shd w:val="clear" w:color="auto" w:fill="FFFFFF"/>
      <w:lang w:eastAsia="en-US"/>
    </w:rPr>
  </w:style>
  <w:style w:type="character" w:customStyle="1" w:styleId="375pt1pt">
    <w:name w:val="Подпись к картинке (3) + 7;5 pt;Интервал 1 pt"/>
    <w:basedOn w:val="38"/>
    <w:rsid w:val="007C5583"/>
    <w:rPr>
      <w:rFonts w:ascii="Arial Narrow" w:hAnsi="Arial Narrow" w:cs="Arial Narrow"/>
      <w:b w:val="0"/>
      <w:bCs w:val="0"/>
      <w:i w:val="0"/>
      <w:iCs w:val="0"/>
      <w:smallCaps w:val="0"/>
      <w:strike w:val="0"/>
      <w:spacing w:val="20"/>
      <w:sz w:val="15"/>
      <w:szCs w:val="15"/>
      <w:shd w:val="clear" w:color="auto" w:fill="FFFFFF"/>
      <w:lang w:val="en-US" w:eastAsia="en-US"/>
    </w:rPr>
  </w:style>
  <w:style w:type="character" w:customStyle="1" w:styleId="22a">
    <w:name w:val="Основной текст (22)_"/>
    <w:basedOn w:val="a1"/>
    <w:link w:val="22b"/>
    <w:rsid w:val="007C5583"/>
    <w:rPr>
      <w:rFonts w:ascii="Franklin Gothic Demi" w:eastAsia="Franklin Gothic Demi" w:hAnsi="Franklin Gothic Demi" w:cs="Franklin Gothic Demi"/>
      <w:sz w:val="17"/>
      <w:szCs w:val="17"/>
      <w:shd w:val="clear" w:color="auto" w:fill="FFFFFF"/>
    </w:rPr>
  </w:style>
  <w:style w:type="paragraph" w:customStyle="1" w:styleId="22b">
    <w:name w:val="Основной текст (22)"/>
    <w:basedOn w:val="a0"/>
    <w:link w:val="22a"/>
    <w:rsid w:val="007C5583"/>
    <w:pPr>
      <w:shd w:val="clear" w:color="auto" w:fill="FFFFFF"/>
      <w:spacing w:after="0" w:line="0" w:lineRule="atLeast"/>
    </w:pPr>
    <w:rPr>
      <w:rFonts w:ascii="Franklin Gothic Demi" w:eastAsia="Franklin Gothic Demi" w:hAnsi="Franklin Gothic Demi" w:cs="Franklin Gothic Demi"/>
      <w:sz w:val="17"/>
      <w:szCs w:val="17"/>
      <w:lang w:eastAsia="ru-RU"/>
    </w:rPr>
  </w:style>
  <w:style w:type="character" w:customStyle="1" w:styleId="1121">
    <w:name w:val="Заголовок №11 (2)_"/>
    <w:basedOn w:val="a1"/>
    <w:link w:val="1122"/>
    <w:rsid w:val="007C5583"/>
    <w:rPr>
      <w:rFonts w:ascii="Franklin Gothic Demi" w:eastAsia="Franklin Gothic Demi" w:hAnsi="Franklin Gothic Demi" w:cs="Franklin Gothic Demi"/>
      <w:sz w:val="17"/>
      <w:szCs w:val="17"/>
      <w:shd w:val="clear" w:color="auto" w:fill="FFFFFF"/>
    </w:rPr>
  </w:style>
  <w:style w:type="paragraph" w:customStyle="1" w:styleId="1122">
    <w:name w:val="Заголовок №11 (2)"/>
    <w:basedOn w:val="a0"/>
    <w:link w:val="1121"/>
    <w:rsid w:val="007C5583"/>
    <w:pPr>
      <w:shd w:val="clear" w:color="auto" w:fill="FFFFFF"/>
      <w:spacing w:after="0" w:line="0" w:lineRule="atLeast"/>
    </w:pPr>
    <w:rPr>
      <w:rFonts w:ascii="Franklin Gothic Demi" w:eastAsia="Franklin Gothic Demi" w:hAnsi="Franklin Gothic Demi" w:cs="Franklin Gothic Demi"/>
      <w:sz w:val="17"/>
      <w:szCs w:val="17"/>
      <w:lang w:eastAsia="ru-RU"/>
    </w:rPr>
  </w:style>
  <w:style w:type="character" w:customStyle="1" w:styleId="375pt0pt">
    <w:name w:val="Подпись к картинке (3) + 7;5 pt;Не курсив;Интервал 0 pt"/>
    <w:basedOn w:val="38"/>
    <w:rsid w:val="007C5583"/>
    <w:rPr>
      <w:rFonts w:ascii="Arial Narrow" w:hAnsi="Arial Narrow" w:cs="Arial Narrow"/>
      <w:b w:val="0"/>
      <w:bCs w:val="0"/>
      <w:i/>
      <w:iCs/>
      <w:smallCaps w:val="0"/>
      <w:strike w:val="0"/>
      <w:spacing w:val="0"/>
      <w:sz w:val="15"/>
      <w:szCs w:val="15"/>
      <w:shd w:val="clear" w:color="auto" w:fill="FFFFFF"/>
      <w:lang w:val="en-US" w:eastAsia="en-US"/>
    </w:rPr>
  </w:style>
  <w:style w:type="character" w:customStyle="1" w:styleId="50pt0">
    <w:name w:val="Основной текст (5) + Не курсив;Интервал 0 pt"/>
    <w:basedOn w:val="5f0"/>
    <w:rsid w:val="007C5583"/>
    <w:rPr>
      <w:rFonts w:ascii="Microsoft Sans Serif" w:eastAsia="Microsoft Sans Serif" w:hAnsi="Microsoft Sans Serif" w:cs="Microsoft Sans Serif"/>
      <w:b w:val="0"/>
      <w:bCs w:val="0"/>
      <w:i/>
      <w:iCs/>
      <w:smallCaps w:val="0"/>
      <w:strike w:val="0"/>
      <w:noProof/>
      <w:spacing w:val="0"/>
      <w:sz w:val="15"/>
      <w:szCs w:val="15"/>
      <w:shd w:val="clear" w:color="auto" w:fill="FFFFFF"/>
      <w:lang w:val="en-US" w:eastAsia="en-US"/>
    </w:rPr>
  </w:style>
  <w:style w:type="paragraph" w:customStyle="1" w:styleId="194">
    <w:name w:val="Основной текст19"/>
    <w:basedOn w:val="a0"/>
    <w:rsid w:val="007C5583"/>
    <w:pPr>
      <w:shd w:val="clear" w:color="auto" w:fill="FFFFFF"/>
      <w:spacing w:before="120" w:after="1140" w:line="0" w:lineRule="atLeast"/>
    </w:pPr>
    <w:rPr>
      <w:rFonts w:ascii="Segoe UI" w:eastAsia="Segoe UI" w:hAnsi="Segoe UI" w:cs="Segoe UI"/>
      <w:color w:val="000000"/>
      <w:sz w:val="14"/>
      <w:szCs w:val="14"/>
      <w:lang w:val="ru" w:eastAsia="ru-RU"/>
    </w:rPr>
  </w:style>
  <w:style w:type="character" w:customStyle="1" w:styleId="424">
    <w:name w:val="Заголовок №4 (2)"/>
    <w:basedOn w:val="a1"/>
    <w:rsid w:val="007C5583"/>
    <w:rPr>
      <w:rFonts w:ascii="Arial Narrow" w:eastAsia="Arial Narrow" w:hAnsi="Arial Narrow" w:cs="Arial Narrow"/>
      <w:b w:val="0"/>
      <w:bCs w:val="0"/>
      <w:i w:val="0"/>
      <w:iCs w:val="0"/>
      <w:smallCaps w:val="0"/>
      <w:strike w:val="0"/>
      <w:spacing w:val="20"/>
      <w:sz w:val="89"/>
      <w:szCs w:val="89"/>
    </w:rPr>
  </w:style>
  <w:style w:type="character" w:customStyle="1" w:styleId="602">
    <w:name w:val="Основной текст (60) + Не курсив"/>
    <w:basedOn w:val="600"/>
    <w:rsid w:val="007C5583"/>
    <w:rPr>
      <w:rFonts w:ascii="Segoe UI" w:eastAsia="Segoe UI" w:hAnsi="Segoe UI" w:cs="Segoe UI"/>
      <w:b w:val="0"/>
      <w:bCs w:val="0"/>
      <w:i/>
      <w:iCs/>
      <w:smallCaps w:val="0"/>
      <w:strike w:val="0"/>
      <w:spacing w:val="0"/>
      <w:sz w:val="14"/>
      <w:szCs w:val="14"/>
      <w:shd w:val="clear" w:color="auto" w:fill="FFFFFF"/>
    </w:rPr>
  </w:style>
  <w:style w:type="character" w:customStyle="1" w:styleId="ArialUnicodeMS6pt">
    <w:name w:val="Подпись к картинке + Arial Unicode MS;6 pt;Не полужирный"/>
    <w:basedOn w:val="affd"/>
    <w:rsid w:val="007C5583"/>
    <w:rPr>
      <w:rFonts w:ascii="Arial Unicode MS" w:eastAsia="Arial Unicode MS" w:hAnsi="Arial Unicode MS" w:cs="Arial Unicode MS"/>
      <w:b/>
      <w:bCs/>
      <w:i w:val="0"/>
      <w:iCs w:val="0"/>
      <w:smallCaps w:val="0"/>
      <w:strike w:val="0"/>
      <w:spacing w:val="0"/>
      <w:sz w:val="12"/>
      <w:szCs w:val="12"/>
      <w:shd w:val="clear" w:color="auto" w:fill="FFFFFF"/>
      <w:lang w:eastAsia="en-US"/>
    </w:rPr>
  </w:style>
  <w:style w:type="character" w:customStyle="1" w:styleId="ArialUnicodeMS">
    <w:name w:val="Подпись к картинке + Arial Unicode MS;Не полужирный"/>
    <w:basedOn w:val="affd"/>
    <w:rsid w:val="007C5583"/>
    <w:rPr>
      <w:rFonts w:ascii="Arial Unicode MS" w:eastAsia="Arial Unicode MS" w:hAnsi="Arial Unicode MS" w:cs="Arial Unicode MS"/>
      <w:b/>
      <w:bCs/>
      <w:i w:val="0"/>
      <w:iCs w:val="0"/>
      <w:smallCaps w:val="0"/>
      <w:strike w:val="0"/>
      <w:spacing w:val="0"/>
      <w:sz w:val="13"/>
      <w:szCs w:val="13"/>
      <w:shd w:val="clear" w:color="auto" w:fill="FFFFFF"/>
      <w:lang w:eastAsia="en-US"/>
    </w:rPr>
  </w:style>
  <w:style w:type="character" w:customStyle="1" w:styleId="171">
    <w:name w:val="Подпись к картинке (17)_"/>
    <w:basedOn w:val="a1"/>
    <w:link w:val="170"/>
    <w:rsid w:val="007C5583"/>
    <w:rPr>
      <w:rFonts w:ascii="Franklin Gothic Book" w:hAnsi="Franklin Gothic Book" w:cs="Franklin Gothic Book"/>
      <w:sz w:val="13"/>
      <w:szCs w:val="13"/>
      <w:shd w:val="clear" w:color="auto" w:fill="FFFFFF"/>
      <w:lang w:eastAsia="en-US"/>
    </w:rPr>
  </w:style>
  <w:style w:type="character" w:customStyle="1" w:styleId="171pt">
    <w:name w:val="Подпись к картинке (17) + Интервал 1 pt"/>
    <w:basedOn w:val="171"/>
    <w:rsid w:val="007C5583"/>
    <w:rPr>
      <w:rFonts w:ascii="Franklin Gothic Book" w:hAnsi="Franklin Gothic Book" w:cs="Franklin Gothic Book"/>
      <w:spacing w:val="30"/>
      <w:sz w:val="13"/>
      <w:szCs w:val="13"/>
      <w:shd w:val="clear" w:color="auto" w:fill="FFFFFF"/>
      <w:lang w:eastAsia="en-US"/>
    </w:rPr>
  </w:style>
  <w:style w:type="character" w:customStyle="1" w:styleId="ArialNarrow345pt">
    <w:name w:val="Основной текст + Arial Narrow;34;5 pt;Полужирный"/>
    <w:basedOn w:val="aff2"/>
    <w:rsid w:val="007C5583"/>
    <w:rPr>
      <w:rFonts w:ascii="Arial Narrow" w:eastAsia="Arial Narrow" w:hAnsi="Arial Narrow" w:cs="Arial Narrow"/>
      <w:b/>
      <w:bCs/>
      <w:i w:val="0"/>
      <w:iCs w:val="0"/>
      <w:smallCaps w:val="0"/>
      <w:strike w:val="0"/>
      <w:spacing w:val="0"/>
      <w:w w:val="100"/>
      <w:sz w:val="69"/>
      <w:szCs w:val="69"/>
      <w:shd w:val="clear" w:color="auto" w:fill="FFFFFF"/>
    </w:rPr>
  </w:style>
  <w:style w:type="character" w:customStyle="1" w:styleId="19ArialUnicodeMS">
    <w:name w:val="Основной текст (19) + Arial Unicode MS;Не полужирный"/>
    <w:basedOn w:val="192"/>
    <w:rsid w:val="007C5583"/>
    <w:rPr>
      <w:rFonts w:ascii="Arial Unicode MS" w:eastAsia="Arial Unicode MS" w:hAnsi="Arial Unicode MS" w:cs="Arial Unicode MS"/>
      <w:b/>
      <w:bCs/>
      <w:i w:val="0"/>
      <w:iCs w:val="0"/>
      <w:smallCaps w:val="0"/>
      <w:strike w:val="0"/>
      <w:spacing w:val="0"/>
      <w:sz w:val="13"/>
      <w:szCs w:val="13"/>
      <w:shd w:val="clear" w:color="auto" w:fill="FFFFFF"/>
    </w:rPr>
  </w:style>
  <w:style w:type="character" w:customStyle="1" w:styleId="430">
    <w:name w:val="Основной текст (43)_"/>
    <w:basedOn w:val="a1"/>
    <w:link w:val="43"/>
    <w:rsid w:val="007C5583"/>
    <w:rPr>
      <w:rFonts w:ascii="Lucida Sans Unicode" w:hAnsi="Lucida Sans Unicode" w:cs="Lucida Sans Unicode"/>
      <w:noProof/>
      <w:sz w:val="8"/>
      <w:szCs w:val="8"/>
      <w:shd w:val="clear" w:color="auto" w:fill="FFFFFF"/>
      <w:lang w:val="en-US" w:eastAsia="en-US"/>
    </w:rPr>
  </w:style>
  <w:style w:type="character" w:customStyle="1" w:styleId="483">
    <w:name w:val="Основной текст (48)_"/>
    <w:basedOn w:val="a1"/>
    <w:rsid w:val="007C5583"/>
    <w:rPr>
      <w:rFonts w:ascii="Tahoma" w:eastAsia="Tahoma" w:hAnsi="Tahoma" w:cs="Tahoma"/>
      <w:b w:val="0"/>
      <w:bCs w:val="0"/>
      <w:i w:val="0"/>
      <w:iCs w:val="0"/>
      <w:smallCaps w:val="0"/>
      <w:strike w:val="0"/>
      <w:spacing w:val="10"/>
      <w:sz w:val="75"/>
      <w:szCs w:val="75"/>
    </w:rPr>
  </w:style>
  <w:style w:type="character" w:customStyle="1" w:styleId="4365pt">
    <w:name w:val="Основной текст (43) + 6;5 pt;Не полужирный"/>
    <w:basedOn w:val="430"/>
    <w:rsid w:val="007C5583"/>
    <w:rPr>
      <w:rFonts w:ascii="Lucida Sans Unicode" w:hAnsi="Lucida Sans Unicode" w:cs="Lucida Sans Unicode"/>
      <w:b/>
      <w:bCs/>
      <w:noProof/>
      <w:sz w:val="13"/>
      <w:szCs w:val="13"/>
      <w:shd w:val="clear" w:color="auto" w:fill="FFFFFF"/>
      <w:lang w:val="en-US" w:eastAsia="en-US"/>
    </w:rPr>
  </w:style>
  <w:style w:type="character" w:customStyle="1" w:styleId="484">
    <w:name w:val="Основной текст (48)"/>
    <w:basedOn w:val="483"/>
    <w:rsid w:val="007C5583"/>
    <w:rPr>
      <w:rFonts w:ascii="Tahoma" w:eastAsia="Tahoma" w:hAnsi="Tahoma" w:cs="Tahoma"/>
      <w:b w:val="0"/>
      <w:bCs w:val="0"/>
      <w:i w:val="0"/>
      <w:iCs w:val="0"/>
      <w:smallCaps w:val="0"/>
      <w:strike w:val="0"/>
      <w:spacing w:val="10"/>
      <w:sz w:val="75"/>
      <w:szCs w:val="75"/>
    </w:rPr>
  </w:style>
  <w:style w:type="character" w:customStyle="1" w:styleId="306">
    <w:name w:val="Основной текст (30)_"/>
    <w:basedOn w:val="a1"/>
    <w:link w:val="307"/>
    <w:rsid w:val="007C5583"/>
    <w:rPr>
      <w:rFonts w:ascii="Segoe UI" w:eastAsia="Segoe UI" w:hAnsi="Segoe UI" w:cs="Segoe UI"/>
      <w:sz w:val="14"/>
      <w:szCs w:val="14"/>
      <w:shd w:val="clear" w:color="auto" w:fill="FFFFFF"/>
    </w:rPr>
  </w:style>
  <w:style w:type="paragraph" w:customStyle="1" w:styleId="307">
    <w:name w:val="Основной текст (30)"/>
    <w:basedOn w:val="a0"/>
    <w:link w:val="306"/>
    <w:rsid w:val="007C5583"/>
    <w:pPr>
      <w:shd w:val="clear" w:color="auto" w:fill="FFFFFF"/>
      <w:spacing w:before="180" w:after="60" w:line="0" w:lineRule="atLeast"/>
    </w:pPr>
    <w:rPr>
      <w:rFonts w:ascii="Segoe UI" w:eastAsia="Segoe UI" w:hAnsi="Segoe UI" w:cs="Segoe UI"/>
      <w:sz w:val="14"/>
      <w:szCs w:val="14"/>
      <w:lang w:eastAsia="ru-RU"/>
    </w:rPr>
  </w:style>
  <w:style w:type="character" w:customStyle="1" w:styleId="351">
    <w:name w:val="Основной текст (35)_"/>
    <w:basedOn w:val="a1"/>
    <w:link w:val="350"/>
    <w:rsid w:val="007C5583"/>
    <w:rPr>
      <w:rFonts w:ascii="MS Reference Sans Serif" w:hAnsi="MS Reference Sans Serif" w:cs="MS Reference Sans Serif"/>
      <w:spacing w:val="-10"/>
      <w:sz w:val="14"/>
      <w:szCs w:val="14"/>
      <w:shd w:val="clear" w:color="auto" w:fill="FFFFFF"/>
      <w:lang w:eastAsia="en-US"/>
    </w:rPr>
  </w:style>
  <w:style w:type="character" w:customStyle="1" w:styleId="233">
    <w:name w:val="Подпись к картинке (23)_"/>
    <w:basedOn w:val="a1"/>
    <w:link w:val="234"/>
    <w:rsid w:val="007C5583"/>
    <w:rPr>
      <w:rFonts w:ascii="Impact" w:eastAsia="Impact" w:hAnsi="Impact" w:cs="Impact"/>
      <w:sz w:val="12"/>
      <w:szCs w:val="12"/>
      <w:shd w:val="clear" w:color="auto" w:fill="FFFFFF"/>
    </w:rPr>
  </w:style>
  <w:style w:type="paragraph" w:customStyle="1" w:styleId="234">
    <w:name w:val="Подпись к картинке (23)"/>
    <w:basedOn w:val="a0"/>
    <w:link w:val="233"/>
    <w:rsid w:val="007C5583"/>
    <w:pPr>
      <w:shd w:val="clear" w:color="auto" w:fill="FFFFFF"/>
      <w:spacing w:after="0" w:line="178" w:lineRule="exact"/>
    </w:pPr>
    <w:rPr>
      <w:rFonts w:ascii="Impact" w:eastAsia="Impact" w:hAnsi="Impact" w:cs="Impact"/>
      <w:sz w:val="12"/>
      <w:szCs w:val="12"/>
      <w:lang w:eastAsia="ru-RU"/>
    </w:rPr>
  </w:style>
  <w:style w:type="character" w:customStyle="1" w:styleId="65pt">
    <w:name w:val="Подпись к таблице + 6;5 pt;Не полужирный"/>
    <w:basedOn w:val="aff4"/>
    <w:rsid w:val="007C5583"/>
    <w:rPr>
      <w:rFonts w:ascii="Segoe UI" w:eastAsia="Segoe UI" w:hAnsi="Segoe UI" w:cs="Segoe UI"/>
      <w:b/>
      <w:bCs/>
      <w:i w:val="0"/>
      <w:iCs w:val="0"/>
      <w:smallCaps w:val="0"/>
      <w:strike w:val="0"/>
      <w:noProof/>
      <w:spacing w:val="0"/>
      <w:sz w:val="13"/>
      <w:szCs w:val="13"/>
      <w:shd w:val="clear" w:color="auto" w:fill="FFFFFF"/>
      <w:lang w:val="en-US" w:eastAsia="en-US"/>
    </w:rPr>
  </w:style>
  <w:style w:type="character" w:customStyle="1" w:styleId="14b">
    <w:name w:val="Основной текст14"/>
    <w:basedOn w:val="aff2"/>
    <w:rsid w:val="007C5583"/>
    <w:rPr>
      <w:rFonts w:ascii="Segoe UI" w:eastAsia="Segoe UI" w:hAnsi="Segoe UI" w:cs="Segoe UI"/>
      <w:b w:val="0"/>
      <w:bCs w:val="0"/>
      <w:i w:val="0"/>
      <w:iCs w:val="0"/>
      <w:smallCaps w:val="0"/>
      <w:strike w:val="0"/>
      <w:spacing w:val="0"/>
      <w:sz w:val="14"/>
      <w:szCs w:val="14"/>
      <w:shd w:val="clear" w:color="auto" w:fill="FFFFFF"/>
    </w:rPr>
  </w:style>
  <w:style w:type="paragraph" w:customStyle="1" w:styleId="184">
    <w:name w:val="Основной текст18"/>
    <w:basedOn w:val="a0"/>
    <w:rsid w:val="007C5583"/>
    <w:pPr>
      <w:shd w:val="clear" w:color="auto" w:fill="FFFFFF"/>
      <w:spacing w:after="0" w:line="0" w:lineRule="atLeast"/>
    </w:pPr>
    <w:rPr>
      <w:rFonts w:ascii="Segoe UI" w:eastAsia="Segoe UI" w:hAnsi="Segoe UI" w:cs="Segoe UI"/>
      <w:color w:val="000000"/>
      <w:sz w:val="14"/>
      <w:szCs w:val="14"/>
      <w:lang w:val="ru" w:eastAsia="ru-RU"/>
    </w:rPr>
  </w:style>
  <w:style w:type="character" w:customStyle="1" w:styleId="4fb">
    <w:name w:val="Заголовок №4"/>
    <w:basedOn w:val="a1"/>
    <w:rsid w:val="007C5583"/>
    <w:rPr>
      <w:rFonts w:ascii="Franklin Gothic Book" w:eastAsia="Franklin Gothic Book" w:hAnsi="Franklin Gothic Book" w:cs="Franklin Gothic Book"/>
      <w:b w:val="0"/>
      <w:bCs w:val="0"/>
      <w:i w:val="0"/>
      <w:iCs w:val="0"/>
      <w:smallCaps w:val="0"/>
      <w:strike w:val="0"/>
      <w:spacing w:val="0"/>
      <w:sz w:val="89"/>
      <w:szCs w:val="89"/>
    </w:rPr>
  </w:style>
  <w:style w:type="character" w:customStyle="1" w:styleId="FranklinGothicBook75pt">
    <w:name w:val="Основной текст + Franklin Gothic Book;7;5 pt;Курсив"/>
    <w:basedOn w:val="aff2"/>
    <w:rsid w:val="007C558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d">
    <w:name w:val="Заголовок №6_"/>
    <w:basedOn w:val="a1"/>
    <w:rsid w:val="007C5583"/>
    <w:rPr>
      <w:rFonts w:ascii="Franklin Gothic Book" w:eastAsia="Franklin Gothic Book" w:hAnsi="Franklin Gothic Book" w:cs="Franklin Gothic Book"/>
      <w:b w:val="0"/>
      <w:bCs w:val="0"/>
      <w:i w:val="0"/>
      <w:iCs w:val="0"/>
      <w:smallCaps w:val="0"/>
      <w:strike w:val="0"/>
      <w:spacing w:val="0"/>
      <w:sz w:val="72"/>
      <w:szCs w:val="72"/>
    </w:rPr>
  </w:style>
  <w:style w:type="character" w:customStyle="1" w:styleId="21a">
    <w:name w:val="Основной текст (21) + Не полужирный"/>
    <w:basedOn w:val="218"/>
    <w:rsid w:val="007C5583"/>
    <w:rPr>
      <w:rFonts w:ascii="Franklin Gothic Book" w:eastAsia="Franklin Gothic Book" w:hAnsi="Franklin Gothic Book" w:cs="Franklin Gothic Book"/>
      <w:b/>
      <w:bCs/>
      <w:i w:val="0"/>
      <w:iCs w:val="0"/>
      <w:smallCaps w:val="0"/>
      <w:strike w:val="0"/>
      <w:spacing w:val="0"/>
      <w:sz w:val="13"/>
      <w:szCs w:val="13"/>
      <w:shd w:val="clear" w:color="auto" w:fill="FFFFFF"/>
    </w:rPr>
  </w:style>
  <w:style w:type="character" w:customStyle="1" w:styleId="affffff1">
    <w:name w:val="Подпись к картинке + Не полужирный"/>
    <w:basedOn w:val="affd"/>
    <w:rsid w:val="007C5583"/>
    <w:rPr>
      <w:rFonts w:ascii="Franklin Gothic Book" w:eastAsia="Franklin Gothic Book" w:hAnsi="Franklin Gothic Book" w:cs="Franklin Gothic Book"/>
      <w:b/>
      <w:bCs/>
      <w:i w:val="0"/>
      <w:iCs w:val="0"/>
      <w:smallCaps w:val="0"/>
      <w:strike w:val="0"/>
      <w:spacing w:val="0"/>
      <w:sz w:val="13"/>
      <w:szCs w:val="13"/>
      <w:shd w:val="clear" w:color="auto" w:fill="FFFFFF"/>
      <w:lang w:eastAsia="en-US"/>
    </w:rPr>
  </w:style>
  <w:style w:type="character" w:customStyle="1" w:styleId="331">
    <w:name w:val="Основной текст (33)_"/>
    <w:basedOn w:val="a1"/>
    <w:link w:val="330"/>
    <w:rsid w:val="007C5583"/>
    <w:rPr>
      <w:rFonts w:ascii="MS Reference Sans Serif" w:hAnsi="MS Reference Sans Serif" w:cs="MS Reference Sans Serif"/>
      <w:i/>
      <w:iCs/>
      <w:spacing w:val="-20"/>
      <w:sz w:val="17"/>
      <w:szCs w:val="17"/>
      <w:shd w:val="clear" w:color="auto" w:fill="FFFFFF"/>
      <w:lang w:eastAsia="en-US"/>
    </w:rPr>
  </w:style>
  <w:style w:type="character" w:customStyle="1" w:styleId="10ArialUnicodeMS">
    <w:name w:val="Основной текст (10) + Arial Unicode MS;Не полужирный"/>
    <w:basedOn w:val="108"/>
    <w:rsid w:val="007C5583"/>
    <w:rPr>
      <w:rFonts w:ascii="Arial Unicode MS" w:eastAsia="Arial Unicode MS" w:hAnsi="Arial Unicode MS" w:cs="Arial Unicode MS"/>
      <w:b/>
      <w:bCs/>
      <w:sz w:val="12"/>
      <w:szCs w:val="12"/>
      <w:shd w:val="clear" w:color="auto" w:fill="FFFFFF"/>
    </w:rPr>
  </w:style>
  <w:style w:type="character" w:customStyle="1" w:styleId="626">
    <w:name w:val="Заголовок №6 (2)_"/>
    <w:basedOn w:val="a1"/>
    <w:rsid w:val="007C5583"/>
    <w:rPr>
      <w:rFonts w:ascii="Franklin Gothic Book" w:eastAsia="Franklin Gothic Book" w:hAnsi="Franklin Gothic Book" w:cs="Franklin Gothic Book"/>
      <w:b w:val="0"/>
      <w:bCs w:val="0"/>
      <w:i w:val="0"/>
      <w:iCs w:val="0"/>
      <w:smallCaps w:val="0"/>
      <w:strike w:val="0"/>
      <w:spacing w:val="0"/>
      <w:sz w:val="61"/>
      <w:szCs w:val="61"/>
    </w:rPr>
  </w:style>
  <w:style w:type="character" w:customStyle="1" w:styleId="156">
    <w:name w:val="Основной текст (15)_"/>
    <w:basedOn w:val="a1"/>
    <w:link w:val="157"/>
    <w:rsid w:val="007C5583"/>
    <w:rPr>
      <w:sz w:val="17"/>
      <w:szCs w:val="17"/>
      <w:shd w:val="clear" w:color="auto" w:fill="FFFFFF"/>
    </w:rPr>
  </w:style>
  <w:style w:type="paragraph" w:customStyle="1" w:styleId="157">
    <w:name w:val="Основной текст (15)"/>
    <w:basedOn w:val="a0"/>
    <w:link w:val="156"/>
    <w:rsid w:val="007C5583"/>
    <w:pPr>
      <w:shd w:val="clear" w:color="auto" w:fill="FFFFFF"/>
      <w:spacing w:after="0" w:line="241" w:lineRule="exact"/>
      <w:ind w:hanging="140"/>
    </w:pPr>
    <w:rPr>
      <w:sz w:val="17"/>
      <w:szCs w:val="17"/>
      <w:lang w:eastAsia="ru-RU"/>
    </w:rPr>
  </w:style>
  <w:style w:type="character" w:customStyle="1" w:styleId="14-1pt0">
    <w:name w:val="Подпись к картинке (14) + Интервал -1 pt"/>
    <w:basedOn w:val="149"/>
    <w:rsid w:val="007C5583"/>
    <w:rPr>
      <w:rFonts w:ascii="Segoe UI" w:eastAsia="Segoe UI" w:hAnsi="Segoe UI" w:cs="Segoe UI"/>
      <w:b w:val="0"/>
      <w:bCs w:val="0"/>
      <w:i w:val="0"/>
      <w:iCs w:val="0"/>
      <w:smallCaps w:val="0"/>
      <w:strike w:val="0"/>
      <w:spacing w:val="-20"/>
      <w:sz w:val="17"/>
      <w:szCs w:val="17"/>
      <w:shd w:val="clear" w:color="auto" w:fill="FFFFFF"/>
      <w:lang w:val="en-US"/>
    </w:rPr>
  </w:style>
  <w:style w:type="paragraph" w:customStyle="1" w:styleId="523">
    <w:name w:val="Основной текст52"/>
    <w:basedOn w:val="a0"/>
    <w:rsid w:val="007C5583"/>
    <w:pPr>
      <w:shd w:val="clear" w:color="auto" w:fill="FFFFFF"/>
      <w:spacing w:after="0" w:line="425" w:lineRule="exact"/>
      <w:jc w:val="both"/>
    </w:pPr>
    <w:rPr>
      <w:rFonts w:ascii="Segoe UI" w:eastAsia="Segoe UI" w:hAnsi="Segoe UI" w:cs="Segoe UI"/>
      <w:color w:val="000000"/>
      <w:sz w:val="15"/>
      <w:szCs w:val="15"/>
      <w:lang w:val="ru" w:eastAsia="ru-RU"/>
    </w:rPr>
  </w:style>
  <w:style w:type="character" w:customStyle="1" w:styleId="ArialUnicodeMS5pt0pt">
    <w:name w:val="Подпись к картинке + Arial Unicode MS;5 pt;Не полужирный;Интервал 0 pt"/>
    <w:basedOn w:val="affd"/>
    <w:rsid w:val="007C5583"/>
    <w:rPr>
      <w:rFonts w:ascii="Arial Unicode MS" w:eastAsia="Arial Unicode MS" w:hAnsi="Arial Unicode MS" w:cs="Arial Unicode MS"/>
      <w:b/>
      <w:bCs/>
      <w:i w:val="0"/>
      <w:iCs w:val="0"/>
      <w:smallCaps w:val="0"/>
      <w:strike w:val="0"/>
      <w:spacing w:val="10"/>
      <w:sz w:val="10"/>
      <w:szCs w:val="10"/>
      <w:shd w:val="clear" w:color="auto" w:fill="FFFFFF"/>
      <w:lang w:eastAsia="en-US"/>
    </w:rPr>
  </w:style>
  <w:style w:type="character" w:customStyle="1" w:styleId="221">
    <w:name w:val="Подпись к картинке (22)_"/>
    <w:basedOn w:val="a1"/>
    <w:link w:val="220"/>
    <w:rsid w:val="007C5583"/>
    <w:rPr>
      <w:rFonts w:ascii="MS Reference Sans Serif" w:hAnsi="MS Reference Sans Serif" w:cs="MS Reference Sans Serif"/>
      <w:sz w:val="13"/>
      <w:szCs w:val="13"/>
      <w:shd w:val="clear" w:color="auto" w:fill="FFFFFF"/>
      <w:lang w:eastAsia="en-US"/>
    </w:rPr>
  </w:style>
  <w:style w:type="character" w:customStyle="1" w:styleId="22SegoeUI75pt">
    <w:name w:val="Подпись к картинке (22) + Segoe UI;7;5 pt;Курсив"/>
    <w:basedOn w:val="221"/>
    <w:rsid w:val="007C5583"/>
    <w:rPr>
      <w:rFonts w:ascii="Segoe UI" w:eastAsia="Segoe UI" w:hAnsi="Segoe UI" w:cs="Segoe UI"/>
      <w:i/>
      <w:iCs/>
      <w:sz w:val="15"/>
      <w:szCs w:val="15"/>
      <w:shd w:val="clear" w:color="auto" w:fill="FFFFFF"/>
      <w:lang w:val="en-US" w:eastAsia="en-US"/>
    </w:rPr>
  </w:style>
  <w:style w:type="character" w:customStyle="1" w:styleId="293">
    <w:name w:val="Основной текст (29) + Не курсив"/>
    <w:basedOn w:val="a1"/>
    <w:rsid w:val="007C5583"/>
    <w:rPr>
      <w:rFonts w:ascii="Segoe UI" w:eastAsia="Segoe UI" w:hAnsi="Segoe UI" w:cs="Segoe UI"/>
      <w:b w:val="0"/>
      <w:bCs w:val="0"/>
      <w:i/>
      <w:iCs/>
      <w:smallCaps w:val="0"/>
      <w:strike w:val="0"/>
      <w:spacing w:val="0"/>
      <w:sz w:val="15"/>
      <w:szCs w:val="15"/>
    </w:rPr>
  </w:style>
  <w:style w:type="paragraph" w:styleId="3fd">
    <w:name w:val="toc 3"/>
    <w:basedOn w:val="a0"/>
    <w:next w:val="a0"/>
    <w:autoRedefine/>
    <w:uiPriority w:val="39"/>
    <w:unhideWhenUsed/>
    <w:rsid w:val="007C5583"/>
    <w:pPr>
      <w:spacing w:after="100" w:line="360" w:lineRule="auto"/>
      <w:ind w:left="440"/>
      <w:jc w:val="both"/>
    </w:pPr>
    <w:rPr>
      <w:rFonts w:asciiTheme="minorHAnsi" w:eastAsiaTheme="minorHAnsi" w:hAnsiTheme="minorHAnsi" w:cstheme="minorBidi"/>
    </w:rPr>
  </w:style>
  <w:style w:type="character" w:customStyle="1" w:styleId="2fe">
    <w:name w:val="Оглавление (2)"/>
    <w:basedOn w:val="a1"/>
    <w:rsid w:val="007C5583"/>
    <w:rPr>
      <w:rFonts w:ascii="Bookman Old Style" w:eastAsia="Bookman Old Style" w:hAnsi="Bookman Old Style" w:cs="Bookman Old Style"/>
      <w:b w:val="0"/>
      <w:bCs w:val="0"/>
      <w:i w:val="0"/>
      <w:iCs w:val="0"/>
      <w:smallCaps w:val="0"/>
      <w:strike w:val="0"/>
      <w:spacing w:val="0"/>
      <w:sz w:val="12"/>
      <w:szCs w:val="12"/>
    </w:rPr>
  </w:style>
  <w:style w:type="character" w:customStyle="1" w:styleId="affffff2">
    <w:name w:val="Подпись к картинке + Не полужирный;Курсив"/>
    <w:basedOn w:val="affd"/>
    <w:rsid w:val="007C5583"/>
    <w:rPr>
      <w:rFonts w:ascii="Franklin Gothic Book" w:eastAsia="Franklin Gothic Book" w:hAnsi="Franklin Gothic Book" w:cs="Franklin Gothic Book"/>
      <w:b/>
      <w:bCs/>
      <w:i/>
      <w:iCs/>
      <w:smallCaps w:val="0"/>
      <w:strike w:val="0"/>
      <w:spacing w:val="0"/>
      <w:sz w:val="13"/>
      <w:szCs w:val="13"/>
      <w:shd w:val="clear" w:color="auto" w:fill="FFFFFF"/>
      <w:lang w:eastAsia="en-US"/>
    </w:rPr>
  </w:style>
  <w:style w:type="character" w:customStyle="1" w:styleId="345pt">
    <w:name w:val="Основной текст + 34;5 pt;Полужирный"/>
    <w:basedOn w:val="aff2"/>
    <w:rsid w:val="007C5583"/>
    <w:rPr>
      <w:rFonts w:ascii="Franklin Gothic Book" w:eastAsia="Franklin Gothic Book" w:hAnsi="Franklin Gothic Book" w:cs="Franklin Gothic Book"/>
      <w:b/>
      <w:bCs/>
      <w:i w:val="0"/>
      <w:iCs w:val="0"/>
      <w:smallCaps w:val="0"/>
      <w:strike w:val="0"/>
      <w:spacing w:val="0"/>
      <w:sz w:val="69"/>
      <w:szCs w:val="69"/>
      <w:shd w:val="clear" w:color="auto" w:fill="FFFFFF"/>
    </w:rPr>
  </w:style>
  <w:style w:type="character" w:customStyle="1" w:styleId="670">
    <w:name w:val="Основной текст67"/>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82">
    <w:name w:val="Основной текст68"/>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850">
    <w:name w:val="Основной текст85"/>
    <w:basedOn w:val="a0"/>
    <w:rsid w:val="007C5583"/>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690">
    <w:name w:val="Основной текст69"/>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03">
    <w:name w:val="Основной текст70"/>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2">
    <w:name w:val="Основной текст71"/>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80">
    <w:name w:val="Основной текст (38)_"/>
    <w:basedOn w:val="a1"/>
    <w:rsid w:val="007C558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62">
    <w:name w:val="Основной текст66"/>
    <w:basedOn w:val="aff2"/>
    <w:rsid w:val="007C5583"/>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313pt0pt">
    <w:name w:val="Основной текст (3) + 13 pt;Полужирный;Не курсив;Интервал 0 pt"/>
    <w:basedOn w:val="35"/>
    <w:rsid w:val="007C5583"/>
    <w:rPr>
      <w:rFonts w:ascii="Franklin Gothic Book" w:eastAsia="Franklin Gothic Book" w:hAnsi="Franklin Gothic Book" w:cs="Franklin Gothic Book"/>
      <w:b/>
      <w:bCs/>
      <w:i/>
      <w:iCs/>
      <w:color w:val="FFFFFF"/>
      <w:spacing w:val="0"/>
      <w:sz w:val="26"/>
      <w:szCs w:val="26"/>
      <w:shd w:val="clear" w:color="auto" w:fill="FFFFFF"/>
      <w:lang w:eastAsia="en-US"/>
    </w:rPr>
  </w:style>
  <w:style w:type="character" w:customStyle="1" w:styleId="381">
    <w:name w:val="Основной текст (38) + Не полужирный"/>
    <w:basedOn w:val="380"/>
    <w:rsid w:val="007C5583"/>
    <w:rPr>
      <w:rFonts w:ascii="Franklin Gothic Book" w:eastAsia="Franklin Gothic Book" w:hAnsi="Franklin Gothic Book" w:cs="Franklin Gothic Book"/>
      <w:b/>
      <w:bCs/>
      <w:i w:val="0"/>
      <w:iCs w:val="0"/>
      <w:smallCaps w:val="0"/>
      <w:strike w:val="0"/>
      <w:spacing w:val="0"/>
      <w:sz w:val="13"/>
      <w:szCs w:val="13"/>
    </w:rPr>
  </w:style>
  <w:style w:type="character" w:customStyle="1" w:styleId="382">
    <w:name w:val="Основной текст (38)"/>
    <w:basedOn w:val="380"/>
    <w:rsid w:val="007C558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721">
    <w:name w:val="Основной текст72"/>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31">
    <w:name w:val="Основной текст73"/>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51">
    <w:name w:val="Основной текст75"/>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61">
    <w:name w:val="Основной текст76"/>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BookmanOldStyle65pt">
    <w:name w:val="Основной текст + Bookman Old Style;6;5 pt;Курсив"/>
    <w:basedOn w:val="aff2"/>
    <w:rsid w:val="007C5583"/>
    <w:rPr>
      <w:rFonts w:ascii="Bookman Old Style" w:eastAsia="Bookman Old Style" w:hAnsi="Bookman Old Style" w:cs="Bookman Old Style"/>
      <w:b w:val="0"/>
      <w:bCs w:val="0"/>
      <w:i/>
      <w:iCs/>
      <w:smallCaps w:val="0"/>
      <w:strike w:val="0"/>
      <w:color w:val="FFFFFF"/>
      <w:spacing w:val="0"/>
      <w:sz w:val="13"/>
      <w:szCs w:val="13"/>
      <w:shd w:val="clear" w:color="auto" w:fill="FFFFFF"/>
    </w:rPr>
  </w:style>
  <w:style w:type="character" w:customStyle="1" w:styleId="741">
    <w:name w:val="Основной текст74"/>
    <w:basedOn w:val="aff2"/>
    <w:rsid w:val="007C5583"/>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619pt-2pt">
    <w:name w:val="Основной текст (6) + 19 pt;Не полужирный;Курсив;Интервал -2 pt"/>
    <w:basedOn w:val="6c"/>
    <w:rsid w:val="007C5583"/>
    <w:rPr>
      <w:rFonts w:ascii="Franklin Gothic Book" w:eastAsia="Franklin Gothic Book" w:hAnsi="Franklin Gothic Book" w:cs="Franklin Gothic Book"/>
      <w:b/>
      <w:bCs/>
      <w:i/>
      <w:iCs/>
      <w:smallCaps w:val="0"/>
      <w:strike w:val="0"/>
      <w:color w:val="FFFFFF"/>
      <w:spacing w:val="-40"/>
      <w:sz w:val="38"/>
      <w:szCs w:val="38"/>
      <w:shd w:val="clear" w:color="auto" w:fill="FFFFFF"/>
      <w:lang w:val="en-US" w:eastAsia="ru-RU"/>
    </w:rPr>
  </w:style>
  <w:style w:type="character" w:customStyle="1" w:styleId="771">
    <w:name w:val="Основной текст77"/>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81">
    <w:name w:val="Основной текст78"/>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21pt">
    <w:name w:val="Заголовок №8 + 21 pt"/>
    <w:basedOn w:val="87"/>
    <w:rsid w:val="007C5583"/>
    <w:rPr>
      <w:rFonts w:ascii="Franklin Gothic Book" w:eastAsia="Franklin Gothic Book" w:hAnsi="Franklin Gothic Book" w:cs="Franklin Gothic Book"/>
      <w:b w:val="0"/>
      <w:bCs w:val="0"/>
      <w:i w:val="0"/>
      <w:iCs w:val="0"/>
      <w:smallCaps w:val="0"/>
      <w:strike w:val="0"/>
      <w:spacing w:val="0"/>
      <w:sz w:val="42"/>
      <w:szCs w:val="42"/>
      <w:shd w:val="clear" w:color="auto" w:fill="FFFFFF"/>
    </w:rPr>
  </w:style>
  <w:style w:type="character" w:customStyle="1" w:styleId="98">
    <w:name w:val="Основной текст (9)_"/>
    <w:basedOn w:val="a1"/>
    <w:rsid w:val="007C5583"/>
    <w:rPr>
      <w:rFonts w:ascii="Segoe UI" w:eastAsia="Segoe UI" w:hAnsi="Segoe UI" w:cs="Segoe UI"/>
      <w:b w:val="0"/>
      <w:bCs w:val="0"/>
      <w:i w:val="0"/>
      <w:iCs w:val="0"/>
      <w:smallCaps w:val="0"/>
      <w:strike w:val="0"/>
      <w:spacing w:val="0"/>
      <w:sz w:val="18"/>
      <w:szCs w:val="18"/>
    </w:rPr>
  </w:style>
  <w:style w:type="character" w:customStyle="1" w:styleId="517pt">
    <w:name w:val="Основной текст (51) + 7 pt;Не полужирный"/>
    <w:basedOn w:val="512"/>
    <w:rsid w:val="007C5583"/>
    <w:rPr>
      <w:rFonts w:ascii="Segoe UI" w:eastAsia="Segoe UI" w:hAnsi="Segoe UI" w:cs="Segoe UI"/>
      <w:b/>
      <w:bCs/>
      <w:i w:val="0"/>
      <w:iCs w:val="0"/>
      <w:smallCaps w:val="0"/>
      <w:strike w:val="0"/>
      <w:spacing w:val="0"/>
      <w:sz w:val="14"/>
      <w:szCs w:val="14"/>
      <w:shd w:val="clear" w:color="auto" w:fill="FFFFFF"/>
      <w:lang w:eastAsia="en-US"/>
    </w:rPr>
  </w:style>
  <w:style w:type="character" w:customStyle="1" w:styleId="790">
    <w:name w:val="Основной текст79"/>
    <w:basedOn w:val="aff2"/>
    <w:rsid w:val="007C558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01">
    <w:name w:val="Основной текст80"/>
    <w:basedOn w:val="aff2"/>
    <w:rsid w:val="007C558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12">
    <w:name w:val="Основной текст81"/>
    <w:basedOn w:val="aff2"/>
    <w:rsid w:val="007C5583"/>
    <w:rPr>
      <w:rFonts w:ascii="Segoe UI" w:eastAsia="Segoe UI" w:hAnsi="Segoe UI" w:cs="Segoe UI"/>
      <w:b w:val="0"/>
      <w:bCs w:val="0"/>
      <w:i w:val="0"/>
      <w:iCs w:val="0"/>
      <w:smallCaps w:val="0"/>
      <w:strike w:val="0"/>
      <w:spacing w:val="0"/>
      <w:sz w:val="14"/>
      <w:szCs w:val="14"/>
      <w:shd w:val="clear" w:color="auto" w:fill="FFFFFF"/>
    </w:rPr>
  </w:style>
  <w:style w:type="paragraph" w:customStyle="1" w:styleId="1080">
    <w:name w:val="Основной текст108"/>
    <w:basedOn w:val="a0"/>
    <w:rsid w:val="007C5583"/>
    <w:pPr>
      <w:shd w:val="clear" w:color="auto" w:fill="FFFFFF"/>
      <w:spacing w:after="300" w:line="0" w:lineRule="atLeast"/>
      <w:ind w:hanging="880"/>
    </w:pPr>
    <w:rPr>
      <w:rFonts w:ascii="Segoe UI" w:eastAsia="Segoe UI" w:hAnsi="Segoe UI" w:cs="Segoe UI"/>
      <w:color w:val="000000"/>
      <w:sz w:val="14"/>
      <w:szCs w:val="14"/>
      <w:lang w:val="ru" w:eastAsia="ru-RU"/>
    </w:rPr>
  </w:style>
  <w:style w:type="character" w:customStyle="1" w:styleId="444">
    <w:name w:val="Основной текст (44)_"/>
    <w:basedOn w:val="a1"/>
    <w:rsid w:val="007C5583"/>
    <w:rPr>
      <w:rFonts w:ascii="Segoe UI" w:eastAsia="Segoe UI" w:hAnsi="Segoe UI" w:cs="Segoe UI"/>
      <w:b w:val="0"/>
      <w:bCs w:val="0"/>
      <w:i w:val="0"/>
      <w:iCs w:val="0"/>
      <w:smallCaps w:val="0"/>
      <w:strike w:val="0"/>
      <w:spacing w:val="0"/>
      <w:sz w:val="14"/>
      <w:szCs w:val="14"/>
    </w:rPr>
  </w:style>
  <w:style w:type="character" w:customStyle="1" w:styleId="820">
    <w:name w:val="Основной текст82"/>
    <w:basedOn w:val="aff2"/>
    <w:rsid w:val="007C5583"/>
    <w:rPr>
      <w:rFonts w:ascii="Segoe UI" w:eastAsia="Segoe UI" w:hAnsi="Segoe UI" w:cs="Segoe UI"/>
      <w:b w:val="0"/>
      <w:bCs w:val="0"/>
      <w:i w:val="0"/>
      <w:iCs w:val="0"/>
      <w:smallCaps w:val="0"/>
      <w:strike w:val="0"/>
      <w:spacing w:val="0"/>
      <w:sz w:val="14"/>
      <w:szCs w:val="14"/>
      <w:shd w:val="clear" w:color="auto" w:fill="FFFFFF"/>
    </w:rPr>
  </w:style>
  <w:style w:type="character" w:customStyle="1" w:styleId="445">
    <w:name w:val="Основной текст (44) + Не курсив"/>
    <w:basedOn w:val="444"/>
    <w:rsid w:val="007C5583"/>
    <w:rPr>
      <w:rFonts w:ascii="Segoe UI" w:eastAsia="Segoe UI" w:hAnsi="Segoe UI" w:cs="Segoe UI"/>
      <w:b w:val="0"/>
      <w:bCs w:val="0"/>
      <w:i/>
      <w:iCs/>
      <w:smallCaps w:val="0"/>
      <w:strike w:val="0"/>
      <w:spacing w:val="0"/>
      <w:sz w:val="14"/>
      <w:szCs w:val="14"/>
    </w:rPr>
  </w:style>
  <w:style w:type="character" w:customStyle="1" w:styleId="TimesNewRoman">
    <w:name w:val="Основной текст + Times New Roman;Курсив"/>
    <w:basedOn w:val="aff2"/>
    <w:rsid w:val="007C5583"/>
    <w:rPr>
      <w:rFonts w:ascii="Times New Roman" w:eastAsia="Times New Roman" w:hAnsi="Times New Roman" w:cs="Times New Roman"/>
      <w:b w:val="0"/>
      <w:bCs w:val="0"/>
      <w:i/>
      <w:iCs/>
      <w:smallCaps w:val="0"/>
      <w:strike w:val="0"/>
      <w:spacing w:val="0"/>
      <w:sz w:val="14"/>
      <w:szCs w:val="14"/>
      <w:shd w:val="clear" w:color="auto" w:fill="FFFFFF"/>
    </w:rPr>
  </w:style>
  <w:style w:type="character" w:customStyle="1" w:styleId="830">
    <w:name w:val="Основной текст83"/>
    <w:basedOn w:val="aff2"/>
    <w:rsid w:val="007C558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40">
    <w:name w:val="Основной текст84"/>
    <w:basedOn w:val="aff2"/>
    <w:rsid w:val="007C5583"/>
    <w:rPr>
      <w:rFonts w:ascii="Segoe UI" w:eastAsia="Segoe UI" w:hAnsi="Segoe UI" w:cs="Segoe UI"/>
      <w:b w:val="0"/>
      <w:bCs w:val="0"/>
      <w:i w:val="0"/>
      <w:iCs w:val="0"/>
      <w:smallCaps w:val="0"/>
      <w:strike w:val="0"/>
      <w:spacing w:val="0"/>
      <w:sz w:val="14"/>
      <w:szCs w:val="14"/>
      <w:shd w:val="clear" w:color="auto" w:fill="FFFFFF"/>
    </w:rPr>
  </w:style>
  <w:style w:type="character" w:customStyle="1" w:styleId="4pt0">
    <w:name w:val="Основной текст + 4 pt"/>
    <w:basedOn w:val="aff2"/>
    <w:rsid w:val="007C5583"/>
    <w:rPr>
      <w:rFonts w:ascii="Segoe UI" w:eastAsia="Segoe UI" w:hAnsi="Segoe UI" w:cs="Segoe UI"/>
      <w:b w:val="0"/>
      <w:bCs w:val="0"/>
      <w:i w:val="0"/>
      <w:iCs w:val="0"/>
      <w:smallCaps w:val="0"/>
      <w:strike w:val="0"/>
      <w:spacing w:val="0"/>
      <w:sz w:val="8"/>
      <w:szCs w:val="8"/>
      <w:shd w:val="clear" w:color="auto" w:fill="FFFFFF"/>
    </w:rPr>
  </w:style>
  <w:style w:type="character" w:customStyle="1" w:styleId="14c">
    <w:name w:val="Подпись к картинке (14) + Полужирный;Не курсив"/>
    <w:basedOn w:val="149"/>
    <w:rsid w:val="007C5583"/>
    <w:rPr>
      <w:rFonts w:ascii="Segoe UI" w:eastAsia="Segoe UI" w:hAnsi="Segoe UI" w:cs="Segoe UI"/>
      <w:b/>
      <w:bCs/>
      <w:i/>
      <w:iCs/>
      <w:smallCaps w:val="0"/>
      <w:strike w:val="0"/>
      <w:spacing w:val="0"/>
      <w:sz w:val="12"/>
      <w:szCs w:val="12"/>
      <w:shd w:val="clear" w:color="auto" w:fill="FFFFFF"/>
    </w:rPr>
  </w:style>
  <w:style w:type="character" w:customStyle="1" w:styleId="860">
    <w:name w:val="Основной текст86"/>
    <w:basedOn w:val="aff2"/>
    <w:rsid w:val="007C558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70">
    <w:name w:val="Основной текст87"/>
    <w:basedOn w:val="aff2"/>
    <w:rsid w:val="007C558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80">
    <w:name w:val="Основной текст88"/>
    <w:basedOn w:val="aff2"/>
    <w:rsid w:val="007C5583"/>
    <w:rPr>
      <w:rFonts w:ascii="Segoe UI" w:eastAsia="Segoe UI" w:hAnsi="Segoe UI" w:cs="Segoe UI"/>
      <w:b w:val="0"/>
      <w:bCs w:val="0"/>
      <w:i w:val="0"/>
      <w:iCs w:val="0"/>
      <w:smallCaps w:val="0"/>
      <w:strike w:val="0"/>
      <w:spacing w:val="0"/>
      <w:sz w:val="14"/>
      <w:szCs w:val="14"/>
      <w:u w:val="single"/>
      <w:shd w:val="clear" w:color="auto" w:fill="FFFFFF"/>
    </w:rPr>
  </w:style>
  <w:style w:type="character" w:customStyle="1" w:styleId="6865pt">
    <w:name w:val="Основной текст (68) + 6;5 pt;Полужирный"/>
    <w:basedOn w:val="680"/>
    <w:rsid w:val="007C5583"/>
    <w:rPr>
      <w:rFonts w:ascii="Franklin Gothic Book" w:eastAsia="Franklin Gothic Book" w:hAnsi="Franklin Gothic Book" w:cs="Franklin Gothic Book"/>
      <w:b/>
      <w:bCs/>
      <w:i w:val="0"/>
      <w:iCs w:val="0"/>
      <w:smallCaps w:val="0"/>
      <w:strike w:val="0"/>
      <w:noProof/>
      <w:spacing w:val="0"/>
      <w:sz w:val="13"/>
      <w:szCs w:val="13"/>
      <w:shd w:val="clear" w:color="auto" w:fill="FFFFFF"/>
    </w:rPr>
  </w:style>
  <w:style w:type="character" w:customStyle="1" w:styleId="7f0">
    <w:name w:val="Заголовок №7_"/>
    <w:basedOn w:val="a1"/>
    <w:link w:val="7f1"/>
    <w:rsid w:val="007C5583"/>
    <w:rPr>
      <w:rFonts w:ascii="Franklin Gothic Book" w:eastAsia="Franklin Gothic Book" w:hAnsi="Franklin Gothic Book" w:cs="Franklin Gothic Book"/>
      <w:spacing w:val="-50"/>
      <w:sz w:val="78"/>
      <w:szCs w:val="78"/>
      <w:shd w:val="clear" w:color="auto" w:fill="FFFFFF"/>
    </w:rPr>
  </w:style>
  <w:style w:type="paragraph" w:customStyle="1" w:styleId="7f1">
    <w:name w:val="Заголовок №7"/>
    <w:basedOn w:val="a0"/>
    <w:link w:val="7f0"/>
    <w:rsid w:val="007C5583"/>
    <w:pPr>
      <w:shd w:val="clear" w:color="auto" w:fill="FFFFFF"/>
      <w:spacing w:before="240" w:after="240" w:line="0" w:lineRule="atLeast"/>
      <w:jc w:val="both"/>
      <w:outlineLvl w:val="6"/>
    </w:pPr>
    <w:rPr>
      <w:rFonts w:ascii="Franklin Gothic Book" w:eastAsia="Franklin Gothic Book" w:hAnsi="Franklin Gothic Book" w:cs="Franklin Gothic Book"/>
      <w:spacing w:val="-50"/>
      <w:sz w:val="78"/>
      <w:szCs w:val="78"/>
      <w:lang w:eastAsia="ru-RU"/>
    </w:rPr>
  </w:style>
  <w:style w:type="character" w:customStyle="1" w:styleId="70pt0">
    <w:name w:val="Заголовок №7 + Интервал 0 pt"/>
    <w:basedOn w:val="7f0"/>
    <w:rsid w:val="007C5583"/>
    <w:rPr>
      <w:rFonts w:ascii="Franklin Gothic Book" w:eastAsia="Franklin Gothic Book" w:hAnsi="Franklin Gothic Book" w:cs="Franklin Gothic Book"/>
      <w:spacing w:val="-10"/>
      <w:sz w:val="78"/>
      <w:szCs w:val="78"/>
      <w:shd w:val="clear" w:color="auto" w:fill="FFFFFF"/>
    </w:rPr>
  </w:style>
  <w:style w:type="character" w:customStyle="1" w:styleId="940">
    <w:name w:val="Основной текст94"/>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50">
    <w:name w:val="Основной текст95"/>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91">
    <w:name w:val="Основной текст (69)_"/>
    <w:basedOn w:val="a1"/>
    <w:rsid w:val="007C5583"/>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692">
    <w:name w:val="Основной текст (69)"/>
    <w:basedOn w:val="691"/>
    <w:rsid w:val="007C5583"/>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960">
    <w:name w:val="Основной текст96"/>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3">
    <w:name w:val="Основной текст (71)_"/>
    <w:basedOn w:val="a1"/>
    <w:rsid w:val="007C5583"/>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14">
    <w:name w:val="Основной текст (71)"/>
    <w:basedOn w:val="713"/>
    <w:rsid w:val="007C5583"/>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970">
    <w:name w:val="Основной текст97"/>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80">
    <w:name w:val="Основной текст98"/>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9">
    <w:name w:val="Основной текст99"/>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27pt">
    <w:name w:val="Основной текст (52) + 7 pt;Не полужирный"/>
    <w:basedOn w:val="521"/>
    <w:rsid w:val="007C5583"/>
    <w:rPr>
      <w:rFonts w:ascii="Franklin Gothic Book" w:eastAsia="Franklin Gothic Book" w:hAnsi="Franklin Gothic Book" w:cs="Franklin Gothic Book"/>
      <w:b/>
      <w:bCs/>
      <w:i w:val="0"/>
      <w:iCs w:val="0"/>
      <w:smallCaps w:val="0"/>
      <w:strike w:val="0"/>
      <w:spacing w:val="0"/>
      <w:sz w:val="14"/>
      <w:szCs w:val="14"/>
      <w:shd w:val="clear" w:color="auto" w:fill="FFFFFF"/>
      <w:lang w:eastAsia="en-US"/>
    </w:rPr>
  </w:style>
  <w:style w:type="character" w:customStyle="1" w:styleId="732">
    <w:name w:val="Основной текст (73)_"/>
    <w:basedOn w:val="a1"/>
    <w:rsid w:val="007C5583"/>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73-3pt">
    <w:name w:val="Основной текст (73) + Интервал -3 pt"/>
    <w:basedOn w:val="732"/>
    <w:rsid w:val="007C5583"/>
    <w:rPr>
      <w:rFonts w:ascii="Franklin Gothic Book" w:eastAsia="Franklin Gothic Book" w:hAnsi="Franklin Gothic Book" w:cs="Franklin Gothic Book"/>
      <w:b w:val="0"/>
      <w:bCs w:val="0"/>
      <w:i w:val="0"/>
      <w:iCs w:val="0"/>
      <w:smallCaps w:val="0"/>
      <w:strike w:val="0"/>
      <w:spacing w:val="-70"/>
      <w:sz w:val="95"/>
      <w:szCs w:val="95"/>
    </w:rPr>
  </w:style>
  <w:style w:type="character" w:customStyle="1" w:styleId="733">
    <w:name w:val="Основной текст (73)"/>
    <w:basedOn w:val="732"/>
    <w:rsid w:val="007C5583"/>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1000">
    <w:name w:val="Основной текст100"/>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12">
    <w:name w:val="Основной текст101"/>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85">
    <w:name w:val="Основной текст (48) + Не курсив"/>
    <w:basedOn w:val="483"/>
    <w:rsid w:val="007C5583"/>
    <w:rPr>
      <w:rFonts w:ascii="Franklin Gothic Book" w:eastAsia="Franklin Gothic Book" w:hAnsi="Franklin Gothic Book" w:cs="Franklin Gothic Book"/>
      <w:b w:val="0"/>
      <w:bCs w:val="0"/>
      <w:i/>
      <w:iCs/>
      <w:smallCaps w:val="0"/>
      <w:strike w:val="0"/>
      <w:spacing w:val="0"/>
      <w:sz w:val="15"/>
      <w:szCs w:val="15"/>
    </w:rPr>
  </w:style>
  <w:style w:type="character" w:customStyle="1" w:styleId="481pt">
    <w:name w:val="Основной текст (48) + Интервал 1 pt"/>
    <w:basedOn w:val="483"/>
    <w:rsid w:val="007C5583"/>
    <w:rPr>
      <w:rFonts w:ascii="Franklin Gothic Book" w:eastAsia="Franklin Gothic Book" w:hAnsi="Franklin Gothic Book" w:cs="Franklin Gothic Book"/>
      <w:b w:val="0"/>
      <w:bCs w:val="0"/>
      <w:i w:val="0"/>
      <w:iCs w:val="0"/>
      <w:smallCaps w:val="0"/>
      <w:strike w:val="0"/>
      <w:spacing w:val="30"/>
      <w:sz w:val="15"/>
      <w:szCs w:val="15"/>
    </w:rPr>
  </w:style>
  <w:style w:type="character" w:customStyle="1" w:styleId="1090">
    <w:name w:val="Основной текст109"/>
    <w:basedOn w:val="aff2"/>
    <w:rsid w:val="007C5583"/>
    <w:rPr>
      <w:rFonts w:ascii="Franklin Gothic Book" w:eastAsia="Franklin Gothic Book" w:hAnsi="Franklin Gothic Book" w:cs="Franklin Gothic Book"/>
      <w:b w:val="0"/>
      <w:bCs w:val="0"/>
      <w:i w:val="0"/>
      <w:iCs w:val="0"/>
      <w:smallCaps w:val="0"/>
      <w:strike w:val="0"/>
      <w:spacing w:val="0"/>
      <w:sz w:val="15"/>
      <w:szCs w:val="15"/>
      <w:u w:val="single"/>
      <w:shd w:val="clear" w:color="auto" w:fill="FFFFFF"/>
    </w:rPr>
  </w:style>
  <w:style w:type="character" w:customStyle="1" w:styleId="392">
    <w:name w:val="Основной текст (39)_"/>
    <w:basedOn w:val="a1"/>
    <w:rsid w:val="007C558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34">
    <w:name w:val="Основной текст63"/>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3">
    <w:name w:val="Основной текст64"/>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53">
    <w:name w:val="Основной текст65"/>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61">
    <w:name w:val="Основной текст (46)_"/>
    <w:basedOn w:val="a1"/>
    <w:rsid w:val="007C5583"/>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393">
    <w:name w:val="Основной текст (39) + Не полужирный"/>
    <w:basedOn w:val="392"/>
    <w:rsid w:val="007C5583"/>
    <w:rPr>
      <w:rFonts w:ascii="Franklin Gothic Book" w:eastAsia="Franklin Gothic Book" w:hAnsi="Franklin Gothic Book" w:cs="Franklin Gothic Book"/>
      <w:b/>
      <w:bCs/>
      <w:i w:val="0"/>
      <w:iCs w:val="0"/>
      <w:smallCaps w:val="0"/>
      <w:strike w:val="0"/>
      <w:spacing w:val="0"/>
      <w:sz w:val="13"/>
      <w:szCs w:val="13"/>
    </w:rPr>
  </w:style>
  <w:style w:type="character" w:customStyle="1" w:styleId="462">
    <w:name w:val="Основной текст (46)"/>
    <w:basedOn w:val="461"/>
    <w:rsid w:val="007C5583"/>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61ArialNarrow4pt">
    <w:name w:val="Основной текст (61) + Arial Narrow;4 pt"/>
    <w:basedOn w:val="613"/>
    <w:rsid w:val="007C5583"/>
    <w:rPr>
      <w:rFonts w:ascii="Arial Narrow" w:eastAsia="Arial Narrow" w:hAnsi="Arial Narrow" w:cs="Arial Narrow"/>
      <w:b w:val="0"/>
      <w:bCs w:val="0"/>
      <w:i w:val="0"/>
      <w:iCs w:val="0"/>
      <w:smallCaps w:val="0"/>
      <w:strike w:val="0"/>
      <w:spacing w:val="0"/>
      <w:w w:val="100"/>
      <w:sz w:val="8"/>
      <w:szCs w:val="8"/>
      <w:shd w:val="clear" w:color="auto" w:fill="FFFFFF"/>
    </w:rPr>
  </w:style>
  <w:style w:type="character" w:customStyle="1" w:styleId="61FranklinGothicBook9pt">
    <w:name w:val="Основной текст (61) + Franklin Gothic Book;9 pt;Полужирный;Не малые прописные"/>
    <w:basedOn w:val="613"/>
    <w:rsid w:val="007C5583"/>
    <w:rPr>
      <w:rFonts w:ascii="Franklin Gothic Book" w:eastAsia="Franklin Gothic Book" w:hAnsi="Franklin Gothic Book" w:cs="Franklin Gothic Book"/>
      <w:b/>
      <w:bCs/>
      <w:i w:val="0"/>
      <w:iCs w:val="0"/>
      <w:smallCaps/>
      <w:strike w:val="0"/>
      <w:spacing w:val="0"/>
      <w:w w:val="100"/>
      <w:sz w:val="18"/>
      <w:szCs w:val="18"/>
      <w:shd w:val="clear" w:color="auto" w:fill="FFFFFF"/>
    </w:rPr>
  </w:style>
  <w:style w:type="character" w:customStyle="1" w:styleId="58ArialNarrow55pt">
    <w:name w:val="Основной текст (58) + Arial Narrow;5;5 pt;Не полужирный;Малые прописные"/>
    <w:basedOn w:val="581"/>
    <w:rsid w:val="007C5583"/>
    <w:rPr>
      <w:rFonts w:ascii="Arial Narrow" w:eastAsia="Arial Narrow" w:hAnsi="Arial Narrow" w:cs="Arial Narrow"/>
      <w:b/>
      <w:bCs/>
      <w:i w:val="0"/>
      <w:iCs w:val="0"/>
      <w:smallCaps/>
      <w:strike w:val="0"/>
      <w:spacing w:val="0"/>
      <w:w w:val="100"/>
      <w:sz w:val="11"/>
      <w:szCs w:val="11"/>
      <w:shd w:val="clear" w:color="auto" w:fill="FFFFFF"/>
      <w:lang w:eastAsia="en-US"/>
    </w:rPr>
  </w:style>
  <w:style w:type="character" w:customStyle="1" w:styleId="58Impact5pt">
    <w:name w:val="Основной текст (58) + Impact;5 pt;Не полужирный;Малые прописные"/>
    <w:basedOn w:val="581"/>
    <w:rsid w:val="007C5583"/>
    <w:rPr>
      <w:rFonts w:ascii="Impact" w:eastAsia="Impact" w:hAnsi="Impact" w:cs="Impact"/>
      <w:b/>
      <w:bCs/>
      <w:i w:val="0"/>
      <w:iCs w:val="0"/>
      <w:smallCaps/>
      <w:strike w:val="0"/>
      <w:spacing w:val="0"/>
      <w:w w:val="100"/>
      <w:sz w:val="10"/>
      <w:szCs w:val="10"/>
      <w:shd w:val="clear" w:color="auto" w:fill="FFFFFF"/>
      <w:lang w:eastAsia="en-US"/>
    </w:rPr>
  </w:style>
  <w:style w:type="character" w:customStyle="1" w:styleId="2ff">
    <w:name w:val="Заголовок №2_"/>
    <w:basedOn w:val="a1"/>
    <w:rsid w:val="007C5583"/>
    <w:rPr>
      <w:rFonts w:ascii="Tahoma" w:eastAsia="Tahoma" w:hAnsi="Tahoma" w:cs="Tahoma"/>
      <w:b w:val="0"/>
      <w:bCs w:val="0"/>
      <w:i w:val="0"/>
      <w:iCs w:val="0"/>
      <w:smallCaps w:val="0"/>
      <w:strike w:val="0"/>
      <w:spacing w:val="0"/>
      <w:sz w:val="18"/>
      <w:szCs w:val="18"/>
    </w:rPr>
  </w:style>
  <w:style w:type="character" w:customStyle="1" w:styleId="FranklinGothicBook75pt100">
    <w:name w:val="Основной текст + Franklin Gothic Book;7;5 pt;Полужирный;Масштаб 100%"/>
    <w:basedOn w:val="aff2"/>
    <w:rsid w:val="007C5583"/>
    <w:rPr>
      <w:rFonts w:ascii="Franklin Gothic Book" w:eastAsia="Franklin Gothic Book" w:hAnsi="Franklin Gothic Book" w:cs="Franklin Gothic Book"/>
      <w:b/>
      <w:bCs/>
      <w:i w:val="0"/>
      <w:iCs w:val="0"/>
      <w:smallCaps w:val="0"/>
      <w:strike w:val="0"/>
      <w:spacing w:val="0"/>
      <w:w w:val="100"/>
      <w:sz w:val="15"/>
      <w:szCs w:val="15"/>
      <w:shd w:val="clear" w:color="auto" w:fill="FFFFFF"/>
    </w:rPr>
  </w:style>
  <w:style w:type="character" w:customStyle="1" w:styleId="3fe">
    <w:name w:val="Подпись к картинке (3) + Полужирный"/>
    <w:basedOn w:val="38"/>
    <w:rsid w:val="007C5583"/>
    <w:rPr>
      <w:rFonts w:ascii="Franklin Gothic Book" w:eastAsia="Franklin Gothic Book" w:hAnsi="Franklin Gothic Book" w:cs="Franklin Gothic Book"/>
      <w:b/>
      <w:bCs/>
      <w:i w:val="0"/>
      <w:iCs w:val="0"/>
      <w:smallCaps w:val="0"/>
      <w:strike w:val="0"/>
      <w:spacing w:val="0"/>
      <w:sz w:val="15"/>
      <w:szCs w:val="15"/>
      <w:shd w:val="clear" w:color="auto" w:fill="FFFFFF"/>
      <w:lang w:eastAsia="en-US"/>
    </w:rPr>
  </w:style>
  <w:style w:type="character" w:customStyle="1" w:styleId="3ff">
    <w:name w:val="Подпись к картинке (3) + Курсив"/>
    <w:basedOn w:val="38"/>
    <w:rsid w:val="007C5583"/>
    <w:rPr>
      <w:rFonts w:ascii="Franklin Gothic Book" w:eastAsia="Franklin Gothic Book" w:hAnsi="Franklin Gothic Book" w:cs="Franklin Gothic Book"/>
      <w:b w:val="0"/>
      <w:bCs w:val="0"/>
      <w:i/>
      <w:iCs/>
      <w:smallCaps w:val="0"/>
      <w:strike w:val="0"/>
      <w:spacing w:val="0"/>
      <w:sz w:val="15"/>
      <w:szCs w:val="15"/>
      <w:shd w:val="clear" w:color="auto" w:fill="FFFFFF"/>
      <w:lang w:eastAsia="en-US"/>
    </w:rPr>
  </w:style>
  <w:style w:type="character" w:customStyle="1" w:styleId="affa">
    <w:name w:val="Колонтитул_"/>
    <w:basedOn w:val="a1"/>
    <w:link w:val="aff9"/>
    <w:rsid w:val="007C5583"/>
    <w:rPr>
      <w:rFonts w:ascii="Times New Roman" w:hAnsi="Times New Roman"/>
      <w:shd w:val="clear" w:color="auto" w:fill="FFFFFF"/>
      <w:lang w:eastAsia="en-US"/>
    </w:rPr>
  </w:style>
  <w:style w:type="character" w:customStyle="1" w:styleId="SegoeUI7pt">
    <w:name w:val="Колонтитул + Segoe UI;7 pt"/>
    <w:basedOn w:val="affa"/>
    <w:rsid w:val="007C5583"/>
    <w:rPr>
      <w:rFonts w:ascii="Segoe UI" w:eastAsia="Segoe UI" w:hAnsi="Segoe UI" w:cs="Segoe UI"/>
      <w:spacing w:val="0"/>
      <w:sz w:val="14"/>
      <w:szCs w:val="14"/>
      <w:shd w:val="clear" w:color="auto" w:fill="FFFFFF"/>
      <w:lang w:eastAsia="en-US"/>
    </w:rPr>
  </w:style>
  <w:style w:type="character" w:customStyle="1" w:styleId="2BookAntiqua">
    <w:name w:val="Подпись к картинке (2) + Book Antiqua;Курсив"/>
    <w:basedOn w:val="2d"/>
    <w:rsid w:val="007C5583"/>
    <w:rPr>
      <w:rFonts w:ascii="Book Antiqua" w:eastAsia="Book Antiqua" w:hAnsi="Book Antiqua" w:cs="Book Antiqua"/>
      <w:b w:val="0"/>
      <w:bCs w:val="0"/>
      <w:i w:val="0"/>
      <w:iCs w:val="0"/>
      <w:smallCaps w:val="0"/>
      <w:strike w:val="0"/>
      <w:spacing w:val="0"/>
      <w:sz w:val="15"/>
      <w:szCs w:val="15"/>
      <w:shd w:val="clear" w:color="auto" w:fill="FFFFFF"/>
      <w:lang w:eastAsia="en-US"/>
    </w:rPr>
  </w:style>
  <w:style w:type="character" w:customStyle="1" w:styleId="603">
    <w:name w:val="Основной текст60"/>
    <w:basedOn w:val="aff2"/>
    <w:rsid w:val="007C5583"/>
    <w:rPr>
      <w:rFonts w:ascii="Arial" w:eastAsia="Arial" w:hAnsi="Arial" w:cs="Arial"/>
      <w:b w:val="0"/>
      <w:bCs w:val="0"/>
      <w:i w:val="0"/>
      <w:iCs w:val="0"/>
      <w:smallCaps w:val="0"/>
      <w:strike w:val="0"/>
      <w:spacing w:val="0"/>
      <w:sz w:val="14"/>
      <w:szCs w:val="14"/>
      <w:shd w:val="clear" w:color="auto" w:fill="FFFFFF"/>
    </w:rPr>
  </w:style>
  <w:style w:type="character" w:customStyle="1" w:styleId="615">
    <w:name w:val="Основной текст61"/>
    <w:basedOn w:val="aff2"/>
    <w:rsid w:val="007C5583"/>
    <w:rPr>
      <w:rFonts w:ascii="Arial" w:eastAsia="Arial" w:hAnsi="Arial" w:cs="Arial"/>
      <w:b w:val="0"/>
      <w:bCs w:val="0"/>
      <w:i w:val="0"/>
      <w:iCs w:val="0"/>
      <w:smallCaps w:val="0"/>
      <w:strike w:val="0"/>
      <w:spacing w:val="0"/>
      <w:sz w:val="14"/>
      <w:szCs w:val="14"/>
      <w:shd w:val="clear" w:color="auto" w:fill="FFFFFF"/>
    </w:rPr>
  </w:style>
  <w:style w:type="paragraph" w:customStyle="1" w:styleId="1131">
    <w:name w:val="Основной текст113"/>
    <w:basedOn w:val="a0"/>
    <w:rsid w:val="007C5583"/>
    <w:pPr>
      <w:shd w:val="clear" w:color="auto" w:fill="FFFFFF"/>
      <w:spacing w:after="0" w:line="198" w:lineRule="exact"/>
      <w:ind w:hanging="260"/>
      <w:jc w:val="both"/>
    </w:pPr>
    <w:rPr>
      <w:rFonts w:ascii="Arial" w:eastAsia="Arial" w:hAnsi="Arial" w:cs="Arial"/>
      <w:color w:val="000000"/>
      <w:sz w:val="14"/>
      <w:szCs w:val="14"/>
      <w:lang w:val="ru" w:eastAsia="ru-RU"/>
    </w:rPr>
  </w:style>
  <w:style w:type="character" w:customStyle="1" w:styleId="185">
    <w:name w:val="Основной текст (18) + Не курсив"/>
    <w:basedOn w:val="183"/>
    <w:rsid w:val="007C5583"/>
    <w:rPr>
      <w:rFonts w:ascii="Arial" w:eastAsia="Arial" w:hAnsi="Arial" w:cs="Arial"/>
      <w:b w:val="0"/>
      <w:bCs w:val="0"/>
      <w:i/>
      <w:iCs/>
      <w:smallCaps w:val="0"/>
      <w:strike w:val="0"/>
      <w:spacing w:val="0"/>
      <w:sz w:val="14"/>
      <w:szCs w:val="14"/>
      <w:shd w:val="clear" w:color="auto" w:fill="FFFFFF"/>
      <w:lang w:eastAsia="en-US"/>
    </w:rPr>
  </w:style>
  <w:style w:type="character" w:customStyle="1" w:styleId="A00">
    <w:name w:val="A0"/>
    <w:uiPriority w:val="99"/>
    <w:rsid w:val="007C5583"/>
    <w:rPr>
      <w:rFonts w:cs="PT Sans"/>
      <w:color w:val="000000"/>
      <w:sz w:val="20"/>
      <w:szCs w:val="20"/>
    </w:rPr>
  </w:style>
  <w:style w:type="character" w:customStyle="1" w:styleId="452">
    <w:name w:val="Основной текст (45)_"/>
    <w:basedOn w:val="a1"/>
    <w:rsid w:val="007C5583"/>
    <w:rPr>
      <w:rFonts w:ascii="Franklin Gothic Book" w:eastAsia="Franklin Gothic Book" w:hAnsi="Franklin Gothic Book" w:cs="Franklin Gothic Book"/>
      <w:b w:val="0"/>
      <w:bCs w:val="0"/>
      <w:i w:val="0"/>
      <w:iCs w:val="0"/>
      <w:smallCaps w:val="0"/>
      <w:strike w:val="0"/>
      <w:spacing w:val="-20"/>
      <w:sz w:val="106"/>
      <w:szCs w:val="106"/>
    </w:rPr>
  </w:style>
  <w:style w:type="character" w:customStyle="1" w:styleId="4465pt">
    <w:name w:val="Основной текст (44) + 6;5 pt;Не полужирный"/>
    <w:basedOn w:val="444"/>
    <w:rsid w:val="007C5583"/>
    <w:rPr>
      <w:rFonts w:ascii="Arial" w:eastAsia="Arial" w:hAnsi="Arial" w:cs="Arial"/>
      <w:b/>
      <w:bCs/>
      <w:i w:val="0"/>
      <w:iCs w:val="0"/>
      <w:smallCaps w:val="0"/>
      <w:strike w:val="0"/>
      <w:spacing w:val="0"/>
      <w:sz w:val="13"/>
      <w:szCs w:val="13"/>
    </w:rPr>
  </w:style>
  <w:style w:type="character" w:customStyle="1" w:styleId="450pt">
    <w:name w:val="Основной текст (45) + Интервал 0 pt"/>
    <w:basedOn w:val="452"/>
    <w:rsid w:val="007C5583"/>
    <w:rPr>
      <w:rFonts w:ascii="Franklin Gothic Book" w:eastAsia="Franklin Gothic Book" w:hAnsi="Franklin Gothic Book" w:cs="Franklin Gothic Book"/>
      <w:b w:val="0"/>
      <w:bCs w:val="0"/>
      <w:i w:val="0"/>
      <w:iCs w:val="0"/>
      <w:smallCaps w:val="0"/>
      <w:strike w:val="0"/>
      <w:spacing w:val="0"/>
      <w:sz w:val="106"/>
      <w:szCs w:val="106"/>
    </w:rPr>
  </w:style>
  <w:style w:type="character" w:customStyle="1" w:styleId="453">
    <w:name w:val="Основной текст (45)"/>
    <w:basedOn w:val="452"/>
    <w:rsid w:val="007C5583"/>
    <w:rPr>
      <w:rFonts w:ascii="Franklin Gothic Book" w:eastAsia="Franklin Gothic Book" w:hAnsi="Franklin Gothic Book" w:cs="Franklin Gothic Book"/>
      <w:b w:val="0"/>
      <w:bCs w:val="0"/>
      <w:i w:val="0"/>
      <w:iCs w:val="0"/>
      <w:smallCaps w:val="0"/>
      <w:strike w:val="0"/>
      <w:spacing w:val="-20"/>
      <w:sz w:val="106"/>
      <w:szCs w:val="106"/>
    </w:rPr>
  </w:style>
  <w:style w:type="paragraph" w:customStyle="1" w:styleId="202">
    <w:name w:val="Основной текст (20)"/>
    <w:basedOn w:val="a0"/>
    <w:link w:val="200"/>
    <w:rsid w:val="007C5583"/>
    <w:pPr>
      <w:shd w:val="clear" w:color="auto" w:fill="FFFFFF"/>
      <w:spacing w:after="240" w:line="224" w:lineRule="exact"/>
      <w:jc w:val="both"/>
    </w:pPr>
    <w:rPr>
      <w:b/>
      <w:bCs/>
      <w:i/>
      <w:iCs/>
      <w:sz w:val="15"/>
      <w:szCs w:val="15"/>
      <w:lang w:eastAsia="ru-RU"/>
    </w:rPr>
  </w:style>
  <w:style w:type="character" w:customStyle="1" w:styleId="425">
    <w:name w:val="Основной текст (42)_"/>
    <w:basedOn w:val="a1"/>
    <w:rsid w:val="007C5583"/>
    <w:rPr>
      <w:rFonts w:ascii="Trebuchet MS" w:eastAsia="Trebuchet MS" w:hAnsi="Trebuchet MS" w:cs="Trebuchet MS"/>
      <w:b w:val="0"/>
      <w:bCs w:val="0"/>
      <w:i w:val="0"/>
      <w:iCs w:val="0"/>
      <w:smallCaps w:val="0"/>
      <w:strike w:val="0"/>
      <w:spacing w:val="0"/>
      <w:sz w:val="17"/>
      <w:szCs w:val="17"/>
    </w:rPr>
  </w:style>
  <w:style w:type="character" w:customStyle="1" w:styleId="138">
    <w:name w:val="Заголовок №13_"/>
    <w:basedOn w:val="a1"/>
    <w:rsid w:val="007C5583"/>
    <w:rPr>
      <w:rFonts w:ascii="Trebuchet MS" w:eastAsia="Trebuchet MS" w:hAnsi="Trebuchet MS" w:cs="Trebuchet MS"/>
      <w:b w:val="0"/>
      <w:bCs w:val="0"/>
      <w:i w:val="0"/>
      <w:iCs w:val="0"/>
      <w:smallCaps w:val="0"/>
      <w:strike w:val="0"/>
      <w:spacing w:val="0"/>
      <w:sz w:val="44"/>
      <w:szCs w:val="44"/>
    </w:rPr>
  </w:style>
  <w:style w:type="character" w:customStyle="1" w:styleId="139">
    <w:name w:val="Заголовок №13"/>
    <w:basedOn w:val="138"/>
    <w:rsid w:val="007C5583"/>
    <w:rPr>
      <w:rFonts w:ascii="Trebuchet MS" w:eastAsia="Trebuchet MS" w:hAnsi="Trebuchet MS" w:cs="Trebuchet MS"/>
      <w:b w:val="0"/>
      <w:bCs w:val="0"/>
      <w:i w:val="0"/>
      <w:iCs w:val="0"/>
      <w:smallCaps w:val="0"/>
      <w:strike w:val="0"/>
      <w:spacing w:val="0"/>
      <w:sz w:val="44"/>
      <w:szCs w:val="44"/>
    </w:rPr>
  </w:style>
  <w:style w:type="paragraph" w:customStyle="1" w:styleId="rteindent1">
    <w:name w:val="rteindent1"/>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592">
    <w:name w:val="Основной текст59"/>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912">
    <w:name w:val="Основной текст91"/>
    <w:basedOn w:val="a0"/>
    <w:rsid w:val="007C5583"/>
    <w:pPr>
      <w:shd w:val="clear" w:color="auto" w:fill="FFFFFF"/>
      <w:spacing w:after="0" w:line="0" w:lineRule="atLeast"/>
      <w:ind w:hanging="600"/>
    </w:pPr>
    <w:rPr>
      <w:rFonts w:ascii="Franklin Gothic Book" w:eastAsia="Franklin Gothic Book" w:hAnsi="Franklin Gothic Book" w:cs="Franklin Gothic Book"/>
      <w:color w:val="000000"/>
      <w:sz w:val="15"/>
      <w:szCs w:val="15"/>
      <w:lang w:val="ru" w:eastAsia="ru-RU"/>
    </w:rPr>
  </w:style>
  <w:style w:type="character" w:customStyle="1" w:styleId="186">
    <w:name w:val="Подпись к картинке (18)_"/>
    <w:basedOn w:val="a1"/>
    <w:rsid w:val="007C5583"/>
    <w:rPr>
      <w:b w:val="0"/>
      <w:bCs w:val="0"/>
      <w:i w:val="0"/>
      <w:iCs w:val="0"/>
      <w:smallCaps w:val="0"/>
      <w:strike w:val="0"/>
      <w:spacing w:val="0"/>
      <w:sz w:val="12"/>
      <w:szCs w:val="12"/>
    </w:rPr>
  </w:style>
  <w:style w:type="character" w:customStyle="1" w:styleId="371">
    <w:name w:val="Основной текст (37)_"/>
    <w:basedOn w:val="a1"/>
    <w:rsid w:val="007C5583"/>
    <w:rPr>
      <w:rFonts w:ascii="Times New Roman" w:eastAsia="Times New Roman" w:hAnsi="Times New Roman" w:cs="Times New Roman"/>
      <w:b w:val="0"/>
      <w:bCs w:val="0"/>
      <w:i w:val="0"/>
      <w:iCs w:val="0"/>
      <w:smallCaps w:val="0"/>
      <w:strike w:val="0"/>
      <w:spacing w:val="-20"/>
      <w:sz w:val="21"/>
      <w:szCs w:val="21"/>
    </w:rPr>
  </w:style>
  <w:style w:type="character" w:customStyle="1" w:styleId="472">
    <w:name w:val="Основной текст (47)_"/>
    <w:basedOn w:val="a1"/>
    <w:rsid w:val="007C5583"/>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473">
    <w:name w:val="Основной текст (47)"/>
    <w:basedOn w:val="472"/>
    <w:rsid w:val="007C5583"/>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2042">
    <w:name w:val="Заголовок №20 (4)_"/>
    <w:basedOn w:val="a1"/>
    <w:rsid w:val="007C5583"/>
    <w:rPr>
      <w:rFonts w:ascii="Tahoma" w:eastAsia="Tahoma" w:hAnsi="Tahoma" w:cs="Tahoma"/>
      <w:b w:val="0"/>
      <w:bCs w:val="0"/>
      <w:i w:val="0"/>
      <w:iCs w:val="0"/>
      <w:smallCaps w:val="0"/>
      <w:strike w:val="0"/>
      <w:spacing w:val="0"/>
      <w:sz w:val="14"/>
      <w:szCs w:val="14"/>
    </w:rPr>
  </w:style>
  <w:style w:type="character" w:customStyle="1" w:styleId="2043">
    <w:name w:val="Заголовок №20 (4)"/>
    <w:basedOn w:val="2042"/>
    <w:rsid w:val="007C5583"/>
    <w:rPr>
      <w:rFonts w:ascii="Tahoma" w:eastAsia="Tahoma" w:hAnsi="Tahoma" w:cs="Tahoma"/>
      <w:b w:val="0"/>
      <w:bCs w:val="0"/>
      <w:i w:val="0"/>
      <w:iCs w:val="0"/>
      <w:smallCaps w:val="0"/>
      <w:strike w:val="0"/>
      <w:spacing w:val="0"/>
      <w:sz w:val="14"/>
      <w:szCs w:val="14"/>
    </w:rPr>
  </w:style>
  <w:style w:type="character" w:customStyle="1" w:styleId="3ff0">
    <w:name w:val="Оглавление (3)_"/>
    <w:basedOn w:val="a1"/>
    <w:rsid w:val="007C5583"/>
    <w:rPr>
      <w:rFonts w:ascii="Tahoma" w:eastAsia="Tahoma" w:hAnsi="Tahoma" w:cs="Tahoma"/>
      <w:b w:val="0"/>
      <w:bCs w:val="0"/>
      <w:i w:val="0"/>
      <w:iCs w:val="0"/>
      <w:smallCaps w:val="0"/>
      <w:strike w:val="0"/>
      <w:spacing w:val="0"/>
      <w:sz w:val="17"/>
      <w:szCs w:val="17"/>
    </w:rPr>
  </w:style>
  <w:style w:type="character" w:customStyle="1" w:styleId="3ff1">
    <w:name w:val="Оглавление (3)"/>
    <w:basedOn w:val="3ff0"/>
    <w:rsid w:val="007C5583"/>
    <w:rPr>
      <w:rFonts w:ascii="Tahoma" w:eastAsia="Tahoma" w:hAnsi="Tahoma" w:cs="Tahoma"/>
      <w:b w:val="0"/>
      <w:bCs w:val="0"/>
      <w:i w:val="0"/>
      <w:iCs w:val="0"/>
      <w:smallCaps w:val="0"/>
      <w:strike w:val="0"/>
      <w:spacing w:val="0"/>
      <w:sz w:val="17"/>
      <w:szCs w:val="17"/>
    </w:rPr>
  </w:style>
  <w:style w:type="character" w:customStyle="1" w:styleId="6pt0">
    <w:name w:val="Оглавление + 6 pt"/>
    <w:basedOn w:val="afffffd"/>
    <w:rsid w:val="007C5583"/>
    <w:rPr>
      <w:rFonts w:ascii="Times New Roman" w:eastAsia="Times New Roman" w:hAnsi="Times New Roman" w:cs="Times New Roman"/>
      <w:b w:val="0"/>
      <w:bCs w:val="0"/>
      <w:i w:val="0"/>
      <w:iCs w:val="0"/>
      <w:smallCaps w:val="0"/>
      <w:strike w:val="0"/>
      <w:spacing w:val="0"/>
      <w:sz w:val="12"/>
      <w:szCs w:val="12"/>
      <w:shd w:val="clear" w:color="auto" w:fill="FFFFFF"/>
    </w:rPr>
  </w:style>
  <w:style w:type="character" w:customStyle="1" w:styleId="11c">
    <w:name w:val="Основной текст (11)_"/>
    <w:basedOn w:val="a1"/>
    <w:rsid w:val="007C5583"/>
    <w:rPr>
      <w:rFonts w:ascii="Times New Roman" w:eastAsia="Times New Roman" w:hAnsi="Times New Roman" w:cs="Times New Roman"/>
      <w:b w:val="0"/>
      <w:bCs w:val="0"/>
      <w:i w:val="0"/>
      <w:iCs w:val="0"/>
      <w:smallCaps w:val="0"/>
      <w:strike w:val="0"/>
      <w:spacing w:val="0"/>
      <w:sz w:val="13"/>
      <w:szCs w:val="13"/>
    </w:rPr>
  </w:style>
  <w:style w:type="character" w:customStyle="1" w:styleId="6pt1">
    <w:name w:val="Подпись к картинке + 6 pt;Не полужирный"/>
    <w:basedOn w:val="affd"/>
    <w:rsid w:val="007C5583"/>
    <w:rPr>
      <w:rFonts w:ascii="Arial" w:eastAsia="Arial" w:hAnsi="Arial" w:cs="Arial"/>
      <w:b/>
      <w:bCs/>
      <w:i w:val="0"/>
      <w:iCs w:val="0"/>
      <w:smallCaps w:val="0"/>
      <w:strike w:val="0"/>
      <w:spacing w:val="0"/>
      <w:sz w:val="12"/>
      <w:szCs w:val="12"/>
      <w:shd w:val="clear" w:color="auto" w:fill="FFFFFF"/>
      <w:lang w:eastAsia="en-US"/>
    </w:rPr>
  </w:style>
  <w:style w:type="character" w:customStyle="1" w:styleId="9pt2">
    <w:name w:val="Колонтитул + 9 pt"/>
    <w:basedOn w:val="affa"/>
    <w:rsid w:val="007C5583"/>
    <w:rPr>
      <w:rFonts w:ascii="Times New Roman" w:hAnsi="Times New Roman"/>
      <w:b w:val="0"/>
      <w:bCs w:val="0"/>
      <w:i w:val="0"/>
      <w:iCs w:val="0"/>
      <w:smallCaps w:val="0"/>
      <w:strike w:val="0"/>
      <w:spacing w:val="0"/>
      <w:sz w:val="18"/>
      <w:szCs w:val="18"/>
      <w:shd w:val="clear" w:color="auto" w:fill="FFFFFF"/>
      <w:lang w:eastAsia="en-US"/>
    </w:rPr>
  </w:style>
  <w:style w:type="character" w:customStyle="1" w:styleId="TrebuchetMS4pt">
    <w:name w:val="Колонтитул + Trebuchet MS;4 pt"/>
    <w:basedOn w:val="affa"/>
    <w:rsid w:val="007C5583"/>
    <w:rPr>
      <w:rFonts w:ascii="Trebuchet MS" w:eastAsia="Trebuchet MS" w:hAnsi="Trebuchet MS" w:cs="Trebuchet MS"/>
      <w:b w:val="0"/>
      <w:bCs w:val="0"/>
      <w:i w:val="0"/>
      <w:iCs w:val="0"/>
      <w:smallCaps w:val="0"/>
      <w:strike w:val="0"/>
      <w:spacing w:val="0"/>
      <w:sz w:val="8"/>
      <w:szCs w:val="8"/>
      <w:shd w:val="clear" w:color="auto" w:fill="FFFFFF"/>
      <w:lang w:eastAsia="en-US"/>
    </w:rPr>
  </w:style>
  <w:style w:type="character" w:customStyle="1" w:styleId="Arial105pt">
    <w:name w:val="Колонтитул + Arial;10;5 pt"/>
    <w:basedOn w:val="affa"/>
    <w:rsid w:val="007C5583"/>
    <w:rPr>
      <w:rFonts w:ascii="Arial" w:eastAsia="Arial" w:hAnsi="Arial" w:cs="Arial"/>
      <w:b w:val="0"/>
      <w:bCs w:val="0"/>
      <w:i w:val="0"/>
      <w:iCs w:val="0"/>
      <w:smallCaps w:val="0"/>
      <w:strike w:val="0"/>
      <w:spacing w:val="0"/>
      <w:sz w:val="21"/>
      <w:szCs w:val="21"/>
      <w:shd w:val="clear" w:color="auto" w:fill="FFFFFF"/>
      <w:lang w:eastAsia="en-US"/>
    </w:rPr>
  </w:style>
  <w:style w:type="character" w:customStyle="1" w:styleId="286">
    <w:name w:val="Основной текст (28) + Не полужирный"/>
    <w:basedOn w:val="282"/>
    <w:rsid w:val="007C5583"/>
    <w:rPr>
      <w:rFonts w:ascii="Arial" w:eastAsia="Arial" w:hAnsi="Arial" w:cs="Arial"/>
      <w:b/>
      <w:bCs/>
      <w:i w:val="0"/>
      <w:iCs w:val="0"/>
      <w:smallCaps w:val="0"/>
      <w:strike w:val="0"/>
      <w:spacing w:val="0"/>
      <w:sz w:val="13"/>
      <w:szCs w:val="13"/>
      <w:shd w:val="clear" w:color="auto" w:fill="FFFFFF"/>
      <w:lang w:eastAsia="en-US"/>
    </w:rPr>
  </w:style>
  <w:style w:type="character" w:customStyle="1" w:styleId="890">
    <w:name w:val="Основной текст89"/>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900">
    <w:name w:val="Основной текст90"/>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64">
    <w:name w:val="Основной текст (16)_"/>
    <w:basedOn w:val="a1"/>
    <w:rsid w:val="007C5583"/>
    <w:rPr>
      <w:rFonts w:ascii="Times New Roman" w:eastAsia="Times New Roman" w:hAnsi="Times New Roman" w:cs="Times New Roman"/>
      <w:b w:val="0"/>
      <w:bCs w:val="0"/>
      <w:i w:val="0"/>
      <w:iCs w:val="0"/>
      <w:smallCaps w:val="0"/>
      <w:strike w:val="0"/>
      <w:spacing w:val="0"/>
      <w:sz w:val="14"/>
      <w:szCs w:val="14"/>
    </w:rPr>
  </w:style>
  <w:style w:type="character" w:customStyle="1" w:styleId="165">
    <w:name w:val="Основной текст (16)"/>
    <w:basedOn w:val="164"/>
    <w:rsid w:val="007C5583"/>
    <w:rPr>
      <w:rFonts w:ascii="Times New Roman" w:eastAsia="Times New Roman" w:hAnsi="Times New Roman" w:cs="Times New Roman"/>
      <w:b w:val="0"/>
      <w:bCs w:val="0"/>
      <w:i w:val="0"/>
      <w:iCs w:val="0"/>
      <w:smallCaps w:val="0"/>
      <w:strike w:val="0"/>
      <w:spacing w:val="0"/>
      <w:sz w:val="14"/>
      <w:szCs w:val="14"/>
    </w:rPr>
  </w:style>
  <w:style w:type="character" w:customStyle="1" w:styleId="34TrebuchetMS">
    <w:name w:val="Основной текст (34) + Trebuchet MS"/>
    <w:basedOn w:val="341"/>
    <w:rsid w:val="007C5583"/>
    <w:rPr>
      <w:rFonts w:ascii="Trebuchet MS" w:eastAsia="Trebuchet MS" w:hAnsi="Trebuchet MS" w:cs="Trebuchet MS"/>
      <w:b w:val="0"/>
      <w:bCs w:val="0"/>
      <w:i w:val="0"/>
      <w:iCs w:val="0"/>
      <w:smallCaps w:val="0"/>
      <w:strike w:val="0"/>
      <w:spacing w:val="0"/>
      <w:sz w:val="13"/>
      <w:szCs w:val="13"/>
      <w:shd w:val="clear" w:color="auto" w:fill="FFFFFF"/>
      <w:lang w:eastAsia="en-US"/>
    </w:rPr>
  </w:style>
  <w:style w:type="character" w:customStyle="1" w:styleId="1630">
    <w:name w:val="Заголовок №16 (3)_"/>
    <w:basedOn w:val="a1"/>
    <w:rsid w:val="007C5583"/>
    <w:rPr>
      <w:rFonts w:ascii="Trebuchet MS" w:eastAsia="Trebuchet MS" w:hAnsi="Trebuchet MS" w:cs="Trebuchet MS"/>
      <w:b w:val="0"/>
      <w:bCs w:val="0"/>
      <w:i w:val="0"/>
      <w:iCs w:val="0"/>
      <w:smallCaps w:val="0"/>
      <w:strike w:val="0"/>
      <w:spacing w:val="0"/>
      <w:sz w:val="13"/>
      <w:szCs w:val="13"/>
    </w:rPr>
  </w:style>
  <w:style w:type="character" w:customStyle="1" w:styleId="1631">
    <w:name w:val="Заголовок №16 (3)"/>
    <w:basedOn w:val="1630"/>
    <w:rsid w:val="007C5583"/>
    <w:rPr>
      <w:rFonts w:ascii="Trebuchet MS" w:eastAsia="Trebuchet MS" w:hAnsi="Trebuchet MS" w:cs="Trebuchet MS"/>
      <w:b w:val="0"/>
      <w:bCs w:val="0"/>
      <w:i w:val="0"/>
      <w:iCs w:val="0"/>
      <w:smallCaps w:val="0"/>
      <w:strike w:val="0"/>
      <w:spacing w:val="0"/>
      <w:sz w:val="13"/>
      <w:szCs w:val="13"/>
    </w:rPr>
  </w:style>
  <w:style w:type="paragraph" w:customStyle="1" w:styleId="1151">
    <w:name w:val="Основной текст115"/>
    <w:basedOn w:val="a0"/>
    <w:rsid w:val="007C5583"/>
    <w:pPr>
      <w:shd w:val="clear" w:color="auto" w:fill="FFFFFF"/>
      <w:spacing w:before="120" w:after="0" w:line="139" w:lineRule="exact"/>
      <w:jc w:val="both"/>
    </w:pPr>
    <w:rPr>
      <w:rFonts w:ascii="Trebuchet MS" w:eastAsia="Trebuchet MS" w:hAnsi="Trebuchet MS" w:cs="Trebuchet MS"/>
      <w:color w:val="000000"/>
      <w:sz w:val="13"/>
      <w:szCs w:val="13"/>
      <w:lang w:val="ru" w:eastAsia="ru-RU"/>
    </w:rPr>
  </w:style>
  <w:style w:type="character" w:customStyle="1" w:styleId="30pt0">
    <w:name w:val="Основной текст + 30 pt;Полужирный"/>
    <w:basedOn w:val="aff2"/>
    <w:rsid w:val="007C5583"/>
    <w:rPr>
      <w:rFonts w:ascii="Trebuchet MS" w:eastAsia="Trebuchet MS" w:hAnsi="Trebuchet MS" w:cs="Trebuchet MS"/>
      <w:b/>
      <w:bCs/>
      <w:i w:val="0"/>
      <w:iCs w:val="0"/>
      <w:smallCaps w:val="0"/>
      <w:strike w:val="0"/>
      <w:spacing w:val="0"/>
      <w:sz w:val="60"/>
      <w:szCs w:val="60"/>
      <w:shd w:val="clear" w:color="auto" w:fill="FFFFFF"/>
    </w:rPr>
  </w:style>
  <w:style w:type="character" w:customStyle="1" w:styleId="oi732d6d">
    <w:name w:val="oi732d6d"/>
    <w:basedOn w:val="a1"/>
    <w:rsid w:val="007C5583"/>
  </w:style>
  <w:style w:type="character" w:customStyle="1" w:styleId="gpro0wi8">
    <w:name w:val="gpro0wi8"/>
    <w:basedOn w:val="a1"/>
    <w:rsid w:val="007C5583"/>
  </w:style>
  <w:style w:type="character" w:customStyle="1" w:styleId="pcp91wgn">
    <w:name w:val="pcp91wgn"/>
    <w:basedOn w:val="a1"/>
    <w:rsid w:val="007C5583"/>
  </w:style>
  <w:style w:type="character" w:customStyle="1" w:styleId="a8c37x1j">
    <w:name w:val="a8c37x1j"/>
    <w:basedOn w:val="a1"/>
    <w:rsid w:val="007C5583"/>
  </w:style>
  <w:style w:type="paragraph" w:styleId="2ff0">
    <w:name w:val="toc 2"/>
    <w:basedOn w:val="a0"/>
    <w:next w:val="a0"/>
    <w:autoRedefine/>
    <w:uiPriority w:val="39"/>
    <w:semiHidden/>
    <w:unhideWhenUsed/>
    <w:rsid w:val="007C5583"/>
    <w:pPr>
      <w:spacing w:after="100" w:line="360" w:lineRule="auto"/>
      <w:ind w:left="220"/>
      <w:jc w:val="both"/>
    </w:pPr>
    <w:rPr>
      <w:rFonts w:asciiTheme="minorHAnsi" w:eastAsiaTheme="minorHAnsi" w:hAnsiTheme="minorHAnsi" w:cstheme="minorBidi"/>
    </w:rPr>
  </w:style>
  <w:style w:type="character" w:customStyle="1" w:styleId="265">
    <w:name w:val="Основной текст (26) + Не курсив"/>
    <w:basedOn w:val="263"/>
    <w:rsid w:val="007C5583"/>
    <w:rPr>
      <w:rFonts w:ascii="Arial" w:eastAsia="Arial" w:hAnsi="Arial" w:cs="Arial"/>
      <w:b w:val="0"/>
      <w:bCs w:val="0"/>
      <w:i/>
      <w:iCs/>
      <w:smallCaps w:val="0"/>
      <w:strike w:val="0"/>
      <w:spacing w:val="0"/>
      <w:sz w:val="13"/>
      <w:szCs w:val="13"/>
      <w:shd w:val="clear" w:color="auto" w:fill="FFFFFF"/>
    </w:rPr>
  </w:style>
  <w:style w:type="paragraph" w:styleId="1fe">
    <w:name w:val="toc 1"/>
    <w:basedOn w:val="a0"/>
    <w:next w:val="a0"/>
    <w:autoRedefine/>
    <w:uiPriority w:val="39"/>
    <w:semiHidden/>
    <w:unhideWhenUsed/>
    <w:rsid w:val="007C5583"/>
    <w:pPr>
      <w:spacing w:after="100" w:line="360" w:lineRule="auto"/>
      <w:jc w:val="both"/>
    </w:pPr>
    <w:rPr>
      <w:rFonts w:asciiTheme="minorHAnsi" w:eastAsiaTheme="minorHAnsi" w:hAnsiTheme="minorHAnsi" w:cstheme="minorBidi"/>
    </w:rPr>
  </w:style>
  <w:style w:type="character" w:customStyle="1" w:styleId="31c">
    <w:name w:val="Основной текст (31)_"/>
    <w:basedOn w:val="a1"/>
    <w:rsid w:val="007C5583"/>
    <w:rPr>
      <w:rFonts w:ascii="Times New Roman" w:eastAsia="Times New Roman" w:hAnsi="Times New Roman" w:cs="Times New Roman"/>
      <w:b w:val="0"/>
      <w:bCs w:val="0"/>
      <w:i w:val="0"/>
      <w:iCs w:val="0"/>
      <w:smallCaps w:val="0"/>
      <w:strike w:val="0"/>
      <w:spacing w:val="0"/>
      <w:sz w:val="13"/>
      <w:szCs w:val="13"/>
    </w:rPr>
  </w:style>
  <w:style w:type="character" w:customStyle="1" w:styleId="31d">
    <w:name w:val="Основной текст (31)"/>
    <w:basedOn w:val="31c"/>
    <w:rsid w:val="007C5583"/>
    <w:rPr>
      <w:rFonts w:ascii="Times New Roman" w:eastAsia="Times New Roman" w:hAnsi="Times New Roman" w:cs="Times New Roman"/>
      <w:b w:val="0"/>
      <w:bCs w:val="0"/>
      <w:i w:val="0"/>
      <w:iCs w:val="0"/>
      <w:smallCaps w:val="0"/>
      <w:strike w:val="0"/>
      <w:spacing w:val="0"/>
      <w:sz w:val="13"/>
      <w:szCs w:val="13"/>
    </w:rPr>
  </w:style>
  <w:style w:type="character" w:customStyle="1" w:styleId="1380">
    <w:name w:val="Основной текст138"/>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390">
    <w:name w:val="Основной текст139"/>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paragraph" w:customStyle="1" w:styleId="2540">
    <w:name w:val="Основной текст254"/>
    <w:basedOn w:val="a0"/>
    <w:rsid w:val="007C5583"/>
    <w:pPr>
      <w:shd w:val="clear" w:color="auto" w:fill="FFFFFF"/>
      <w:spacing w:after="0" w:line="0" w:lineRule="atLeast"/>
      <w:ind w:hanging="300"/>
    </w:pPr>
    <w:rPr>
      <w:rFonts w:ascii="Arial Unicode MS" w:eastAsia="Arial Unicode MS" w:hAnsi="Arial Unicode MS" w:cs="Arial Unicode MS"/>
      <w:color w:val="000000"/>
      <w:sz w:val="13"/>
      <w:szCs w:val="13"/>
      <w:lang w:val="ru" w:eastAsia="ru-RU"/>
    </w:rPr>
  </w:style>
  <w:style w:type="character" w:customStyle="1" w:styleId="1400">
    <w:name w:val="Основной текст140"/>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11">
    <w:name w:val="Основной текст141"/>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21">
    <w:name w:val="Основной текст142"/>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00">
    <w:name w:val="Основной текст170"/>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11">
    <w:name w:val="Основной текст171"/>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20">
    <w:name w:val="Основной текст172"/>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30">
    <w:name w:val="Основной текст173"/>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38ArialUnicodeMS65pt">
    <w:name w:val="Основной текст (38) + Arial Unicode MS;6;5 pt;Не курсив"/>
    <w:basedOn w:val="380"/>
    <w:rsid w:val="007C5583"/>
    <w:rPr>
      <w:rFonts w:ascii="Arial Unicode MS" w:eastAsia="Arial Unicode MS" w:hAnsi="Arial Unicode MS" w:cs="Arial Unicode MS"/>
      <w:b w:val="0"/>
      <w:bCs w:val="0"/>
      <w:i/>
      <w:iCs/>
      <w:smallCaps w:val="0"/>
      <w:strike w:val="0"/>
      <w:spacing w:val="0"/>
      <w:sz w:val="13"/>
      <w:szCs w:val="13"/>
    </w:rPr>
  </w:style>
  <w:style w:type="character" w:customStyle="1" w:styleId="SegoeUI7pt0">
    <w:name w:val="Основной текст + Segoe UI;7 pt;Курсив"/>
    <w:basedOn w:val="aff2"/>
    <w:rsid w:val="007C5583"/>
    <w:rPr>
      <w:rFonts w:ascii="Segoe UI" w:eastAsia="Segoe UI" w:hAnsi="Segoe UI" w:cs="Segoe UI"/>
      <w:b w:val="0"/>
      <w:bCs w:val="0"/>
      <w:i/>
      <w:iCs/>
      <w:smallCaps w:val="0"/>
      <w:strike w:val="0"/>
      <w:spacing w:val="0"/>
      <w:sz w:val="14"/>
      <w:szCs w:val="14"/>
      <w:shd w:val="clear" w:color="auto" w:fill="FFFFFF"/>
    </w:rPr>
  </w:style>
  <w:style w:type="character" w:customStyle="1" w:styleId="1740">
    <w:name w:val="Основной текст174"/>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5">
    <w:name w:val="Основной текст175"/>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6">
    <w:name w:val="Основной текст176"/>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7">
    <w:name w:val="Основной текст177"/>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8">
    <w:name w:val="Основной текст178"/>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9">
    <w:name w:val="Основной текст179"/>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SegoeUI7pt1">
    <w:name w:val="Основной текст + Segoe UI;7 pt;Полужирный;Курсив"/>
    <w:basedOn w:val="aff2"/>
    <w:rsid w:val="007C5583"/>
    <w:rPr>
      <w:rFonts w:ascii="Segoe UI" w:eastAsia="Segoe UI" w:hAnsi="Segoe UI" w:cs="Segoe UI"/>
      <w:b/>
      <w:bCs/>
      <w:i/>
      <w:iCs/>
      <w:smallCaps w:val="0"/>
      <w:strike w:val="0"/>
      <w:spacing w:val="0"/>
      <w:sz w:val="14"/>
      <w:szCs w:val="14"/>
      <w:shd w:val="clear" w:color="auto" w:fill="FFFFFF"/>
    </w:rPr>
  </w:style>
  <w:style w:type="character" w:customStyle="1" w:styleId="1800">
    <w:name w:val="Основной текст180"/>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10">
    <w:name w:val="Основной текст181"/>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20">
    <w:name w:val="Основной текст182"/>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30">
    <w:name w:val="Основной текст183"/>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FranklinGothicBook55pt">
    <w:name w:val="Подпись к картинке + Franklin Gothic Book;5;5 pt"/>
    <w:basedOn w:val="affd"/>
    <w:rsid w:val="007C5583"/>
    <w:rPr>
      <w:rFonts w:ascii="Franklin Gothic Book" w:eastAsia="Franklin Gothic Book" w:hAnsi="Franklin Gothic Book" w:cs="Franklin Gothic Book"/>
      <w:b w:val="0"/>
      <w:bCs w:val="0"/>
      <w:i w:val="0"/>
      <w:iCs w:val="0"/>
      <w:smallCaps w:val="0"/>
      <w:strike w:val="0"/>
      <w:spacing w:val="0"/>
      <w:sz w:val="11"/>
      <w:szCs w:val="11"/>
      <w:shd w:val="clear" w:color="auto" w:fill="FFFFFF"/>
      <w:lang w:eastAsia="en-US"/>
    </w:rPr>
  </w:style>
  <w:style w:type="character" w:customStyle="1" w:styleId="75pt80">
    <w:name w:val="Основной текст + 7;5 pt;Масштаб 80%"/>
    <w:basedOn w:val="aff2"/>
    <w:rsid w:val="007C5583"/>
    <w:rPr>
      <w:rFonts w:ascii="Franklin Gothic Book" w:eastAsia="Franklin Gothic Book" w:hAnsi="Franklin Gothic Book" w:cs="Franklin Gothic Book"/>
      <w:b w:val="0"/>
      <w:bCs w:val="0"/>
      <w:i w:val="0"/>
      <w:iCs w:val="0"/>
      <w:smallCaps w:val="0"/>
      <w:strike w:val="0"/>
      <w:spacing w:val="0"/>
      <w:w w:val="80"/>
      <w:sz w:val="15"/>
      <w:szCs w:val="15"/>
      <w:shd w:val="clear" w:color="auto" w:fill="FFFFFF"/>
    </w:rPr>
  </w:style>
  <w:style w:type="character" w:customStyle="1" w:styleId="235">
    <w:name w:val="Основной текст (23)_"/>
    <w:basedOn w:val="a1"/>
    <w:link w:val="236"/>
    <w:rsid w:val="007C5583"/>
    <w:rPr>
      <w:rFonts w:ascii="Franklin Gothic Book" w:eastAsia="Franklin Gothic Book" w:hAnsi="Franklin Gothic Book" w:cs="Franklin Gothic Book"/>
      <w:sz w:val="13"/>
      <w:szCs w:val="13"/>
      <w:shd w:val="clear" w:color="auto" w:fill="FFFFFF"/>
    </w:rPr>
  </w:style>
  <w:style w:type="paragraph" w:customStyle="1" w:styleId="236">
    <w:name w:val="Основной текст (23)"/>
    <w:basedOn w:val="a0"/>
    <w:link w:val="235"/>
    <w:rsid w:val="007C5583"/>
    <w:pPr>
      <w:shd w:val="clear" w:color="auto" w:fill="FFFFFF"/>
      <w:spacing w:after="1200" w:line="0" w:lineRule="atLeast"/>
    </w:pPr>
    <w:rPr>
      <w:rFonts w:ascii="Franklin Gothic Book" w:eastAsia="Franklin Gothic Book" w:hAnsi="Franklin Gothic Book" w:cs="Franklin Gothic Book"/>
      <w:sz w:val="13"/>
      <w:szCs w:val="13"/>
      <w:lang w:eastAsia="ru-RU"/>
    </w:rPr>
  </w:style>
  <w:style w:type="character" w:customStyle="1" w:styleId="Verdana">
    <w:name w:val="Подпись к картинке + Verdana;Курсив"/>
    <w:basedOn w:val="affd"/>
    <w:rsid w:val="007C5583"/>
    <w:rPr>
      <w:rFonts w:ascii="Verdana" w:eastAsia="Verdana" w:hAnsi="Verdana" w:cs="Verdana"/>
      <w:b w:val="0"/>
      <w:bCs w:val="0"/>
      <w:i/>
      <w:iCs/>
      <w:smallCaps w:val="0"/>
      <w:strike w:val="0"/>
      <w:spacing w:val="0"/>
      <w:sz w:val="10"/>
      <w:szCs w:val="10"/>
      <w:shd w:val="clear" w:color="auto" w:fill="FFFFFF"/>
      <w:lang w:eastAsia="en-US"/>
    </w:rPr>
  </w:style>
  <w:style w:type="character" w:customStyle="1" w:styleId="237">
    <w:name w:val="Основной текст (23) + Не курсив"/>
    <w:basedOn w:val="235"/>
    <w:rsid w:val="007C5583"/>
    <w:rPr>
      <w:rFonts w:ascii="Franklin Gothic Book" w:eastAsia="Franklin Gothic Book" w:hAnsi="Franklin Gothic Book" w:cs="Franklin Gothic Book"/>
      <w:i/>
      <w:iCs/>
      <w:sz w:val="13"/>
      <w:szCs w:val="13"/>
      <w:shd w:val="clear" w:color="auto" w:fill="FFFFFF"/>
    </w:rPr>
  </w:style>
  <w:style w:type="character" w:customStyle="1" w:styleId="FranklinGothicBook55pt0">
    <w:name w:val="Подпись к таблице + Franklin Gothic Book;5;5 pt"/>
    <w:basedOn w:val="aff4"/>
    <w:rsid w:val="007C5583"/>
    <w:rPr>
      <w:rFonts w:ascii="Franklin Gothic Book" w:eastAsia="Franklin Gothic Book" w:hAnsi="Franklin Gothic Book" w:cs="Franklin Gothic Book"/>
      <w:b w:val="0"/>
      <w:bCs w:val="0"/>
      <w:i w:val="0"/>
      <w:iCs w:val="0"/>
      <w:smallCaps w:val="0"/>
      <w:strike w:val="0"/>
      <w:noProof/>
      <w:spacing w:val="0"/>
      <w:sz w:val="11"/>
      <w:szCs w:val="11"/>
      <w:shd w:val="clear" w:color="auto" w:fill="FFFFFF"/>
      <w:lang w:val="en-US" w:eastAsia="en-US"/>
    </w:rPr>
  </w:style>
  <w:style w:type="paragraph" w:customStyle="1" w:styleId="266">
    <w:name w:val="Основной текст26"/>
    <w:basedOn w:val="a0"/>
    <w:rsid w:val="007C5583"/>
    <w:pPr>
      <w:shd w:val="clear" w:color="auto" w:fill="FFFFFF"/>
      <w:spacing w:before="120" w:after="240" w:line="340" w:lineRule="exact"/>
    </w:pPr>
    <w:rPr>
      <w:rFonts w:ascii="Franklin Gothic Book" w:eastAsia="Franklin Gothic Book" w:hAnsi="Franklin Gothic Book" w:cs="Franklin Gothic Book"/>
      <w:color w:val="000000"/>
      <w:spacing w:val="20"/>
      <w:sz w:val="34"/>
      <w:szCs w:val="34"/>
      <w:lang w:val="ru" w:eastAsia="ru-RU"/>
    </w:rPr>
  </w:style>
  <w:style w:type="character" w:customStyle="1" w:styleId="244">
    <w:name w:val="Подпись к картинке (24)_"/>
    <w:basedOn w:val="a1"/>
    <w:rsid w:val="007C5583"/>
    <w:rPr>
      <w:rFonts w:ascii="Arial Narrow" w:eastAsia="Arial Narrow" w:hAnsi="Arial Narrow" w:cs="Arial Narrow"/>
      <w:b w:val="0"/>
      <w:bCs w:val="0"/>
      <w:i w:val="0"/>
      <w:iCs w:val="0"/>
      <w:smallCaps w:val="0"/>
      <w:strike w:val="0"/>
      <w:spacing w:val="0"/>
      <w:sz w:val="21"/>
      <w:szCs w:val="21"/>
    </w:rPr>
  </w:style>
  <w:style w:type="character" w:customStyle="1" w:styleId="245">
    <w:name w:val="Подпись к картинке (24)"/>
    <w:basedOn w:val="244"/>
    <w:rsid w:val="007C5583"/>
    <w:rPr>
      <w:rFonts w:ascii="Arial Narrow" w:eastAsia="Arial Narrow" w:hAnsi="Arial Narrow" w:cs="Arial Narrow"/>
      <w:b w:val="0"/>
      <w:bCs w:val="0"/>
      <w:i w:val="0"/>
      <w:iCs w:val="0"/>
      <w:smallCaps w:val="0"/>
      <w:strike w:val="0"/>
      <w:spacing w:val="0"/>
      <w:sz w:val="21"/>
      <w:szCs w:val="21"/>
      <w:u w:val="single"/>
    </w:rPr>
  </w:style>
  <w:style w:type="character" w:customStyle="1" w:styleId="255">
    <w:name w:val="Подпись к картинке (25)_"/>
    <w:basedOn w:val="a1"/>
    <w:link w:val="256"/>
    <w:rsid w:val="007C5583"/>
    <w:rPr>
      <w:rFonts w:ascii="Arial" w:eastAsia="Arial" w:hAnsi="Arial" w:cs="Arial"/>
      <w:spacing w:val="-20"/>
      <w:sz w:val="76"/>
      <w:szCs w:val="76"/>
      <w:shd w:val="clear" w:color="auto" w:fill="FFFFFF"/>
    </w:rPr>
  </w:style>
  <w:style w:type="paragraph" w:customStyle="1" w:styleId="256">
    <w:name w:val="Подпись к картинке (25)"/>
    <w:basedOn w:val="a0"/>
    <w:link w:val="255"/>
    <w:rsid w:val="007C5583"/>
    <w:pPr>
      <w:shd w:val="clear" w:color="auto" w:fill="FFFFFF"/>
      <w:spacing w:after="0" w:line="0" w:lineRule="atLeast"/>
    </w:pPr>
    <w:rPr>
      <w:rFonts w:ascii="Arial" w:eastAsia="Arial" w:hAnsi="Arial" w:cs="Arial"/>
      <w:spacing w:val="-20"/>
      <w:sz w:val="76"/>
      <w:szCs w:val="76"/>
      <w:lang w:eastAsia="ru-RU"/>
    </w:rPr>
  </w:style>
  <w:style w:type="character" w:customStyle="1" w:styleId="25-3pt">
    <w:name w:val="Подпись к картинке (25) + Интервал -3 pt"/>
    <w:basedOn w:val="255"/>
    <w:rsid w:val="007C5583"/>
    <w:rPr>
      <w:rFonts w:ascii="Arial" w:eastAsia="Arial" w:hAnsi="Arial" w:cs="Arial"/>
      <w:spacing w:val="-70"/>
      <w:sz w:val="76"/>
      <w:szCs w:val="76"/>
      <w:shd w:val="clear" w:color="auto" w:fill="FFFFFF"/>
    </w:rPr>
  </w:style>
  <w:style w:type="character" w:customStyle="1" w:styleId="Tahoma16pt0pt">
    <w:name w:val="Основной текст + Tahoma;16 pt;Интервал 0 pt"/>
    <w:basedOn w:val="aff2"/>
    <w:rsid w:val="007C5583"/>
    <w:rPr>
      <w:rFonts w:ascii="Tahoma" w:eastAsia="Tahoma" w:hAnsi="Tahoma" w:cs="Tahoma"/>
      <w:b w:val="0"/>
      <w:bCs w:val="0"/>
      <w:i w:val="0"/>
      <w:iCs w:val="0"/>
      <w:smallCaps w:val="0"/>
      <w:strike w:val="0"/>
      <w:spacing w:val="0"/>
      <w:sz w:val="32"/>
      <w:szCs w:val="32"/>
      <w:shd w:val="clear" w:color="auto" w:fill="FFFFFF"/>
    </w:rPr>
  </w:style>
  <w:style w:type="character" w:customStyle="1" w:styleId="FranklinGothicBook">
    <w:name w:val="Подпись к картинке + Franklin Gothic Book;Не полужирный"/>
    <w:basedOn w:val="affd"/>
    <w:rsid w:val="007C5583"/>
    <w:rPr>
      <w:rFonts w:ascii="Franklin Gothic Book" w:eastAsia="Franklin Gothic Book" w:hAnsi="Franklin Gothic Book" w:cs="Franklin Gothic Book"/>
      <w:b/>
      <w:bCs/>
      <w:i w:val="0"/>
      <w:iCs w:val="0"/>
      <w:smallCaps w:val="0"/>
      <w:strike w:val="0"/>
      <w:spacing w:val="0"/>
      <w:sz w:val="29"/>
      <w:szCs w:val="29"/>
      <w:shd w:val="clear" w:color="auto" w:fill="FFFFFF"/>
      <w:lang w:eastAsia="en-US"/>
    </w:rPr>
  </w:style>
  <w:style w:type="character" w:customStyle="1" w:styleId="BookmanOldStyle115pt0pt">
    <w:name w:val="Основной текст + Bookman Old Style;11;5 pt;Интервал 0 pt"/>
    <w:basedOn w:val="aff2"/>
    <w:rsid w:val="007C5583"/>
    <w:rPr>
      <w:rFonts w:ascii="Bookman Old Style" w:eastAsia="Bookman Old Style" w:hAnsi="Bookman Old Style" w:cs="Bookman Old Style"/>
      <w:b w:val="0"/>
      <w:bCs w:val="0"/>
      <w:i w:val="0"/>
      <w:iCs w:val="0"/>
      <w:smallCaps w:val="0"/>
      <w:strike w:val="0"/>
      <w:spacing w:val="0"/>
      <w:sz w:val="23"/>
      <w:szCs w:val="23"/>
      <w:shd w:val="clear" w:color="auto" w:fill="FFFFFF"/>
    </w:rPr>
  </w:style>
  <w:style w:type="character" w:customStyle="1" w:styleId="187">
    <w:name w:val="Подпись к картинке (18) + Полужирный"/>
    <w:basedOn w:val="186"/>
    <w:rsid w:val="007C5583"/>
    <w:rPr>
      <w:b/>
      <w:bCs/>
      <w:i w:val="0"/>
      <w:iCs w:val="0"/>
      <w:smallCaps w:val="0"/>
      <w:strike w:val="0"/>
      <w:spacing w:val="0"/>
      <w:sz w:val="13"/>
      <w:szCs w:val="13"/>
    </w:rPr>
  </w:style>
  <w:style w:type="character" w:customStyle="1" w:styleId="551">
    <w:name w:val="Основной текст55"/>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Narrow">
    <w:name w:val="Основной текст + Arial Narrow;Курсив"/>
    <w:basedOn w:val="aff2"/>
    <w:rsid w:val="007C5583"/>
    <w:rPr>
      <w:rFonts w:ascii="Arial Narrow" w:eastAsia="Arial Narrow" w:hAnsi="Arial Narrow" w:cs="Arial Narrow"/>
      <w:b w:val="0"/>
      <w:bCs w:val="0"/>
      <w:i/>
      <w:iCs/>
      <w:smallCaps w:val="0"/>
      <w:strike w:val="0"/>
      <w:spacing w:val="0"/>
      <w:sz w:val="14"/>
      <w:szCs w:val="14"/>
      <w:shd w:val="clear" w:color="auto" w:fill="FFFFFF"/>
    </w:rPr>
  </w:style>
  <w:style w:type="character" w:customStyle="1" w:styleId="6pt0pt">
    <w:name w:val="Подпись к картинке + 6 pt;Не полужирный;Курсив;Интервал 0 pt"/>
    <w:basedOn w:val="affd"/>
    <w:rsid w:val="007C5583"/>
    <w:rPr>
      <w:rFonts w:ascii="Franklin Gothic Medium" w:eastAsia="Franklin Gothic Medium" w:hAnsi="Franklin Gothic Medium" w:cs="Franklin Gothic Medium"/>
      <w:b/>
      <w:bCs/>
      <w:i/>
      <w:iCs/>
      <w:smallCaps w:val="0"/>
      <w:strike w:val="0"/>
      <w:spacing w:val="10"/>
      <w:sz w:val="12"/>
      <w:szCs w:val="12"/>
      <w:shd w:val="clear" w:color="auto" w:fill="FFFFFF"/>
      <w:lang w:eastAsia="en-US"/>
    </w:rPr>
  </w:style>
  <w:style w:type="character" w:customStyle="1" w:styleId="561">
    <w:name w:val="Основной текст56"/>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7a">
    <w:name w:val="Основной текст57"/>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82">
    <w:name w:val="Основной текст58"/>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165pt0pt">
    <w:name w:val="Основной текст (51) + 6;5 pt;Полужирный;Не курсив;Интервал 0 pt"/>
    <w:basedOn w:val="512"/>
    <w:rsid w:val="007C5583"/>
    <w:rPr>
      <w:rFonts w:ascii="Franklin Gothic Book" w:eastAsia="Franklin Gothic Book" w:hAnsi="Franklin Gothic Book" w:cs="Franklin Gothic Book"/>
      <w:b/>
      <w:bCs/>
      <w:i/>
      <w:iCs/>
      <w:smallCaps w:val="0"/>
      <w:strike w:val="0"/>
      <w:spacing w:val="0"/>
      <w:sz w:val="13"/>
      <w:szCs w:val="13"/>
      <w:shd w:val="clear" w:color="auto" w:fill="FFFFFF"/>
      <w:lang w:eastAsia="en-US"/>
    </w:rPr>
  </w:style>
  <w:style w:type="character" w:customStyle="1" w:styleId="17a">
    <w:name w:val="Заголовок №17_"/>
    <w:basedOn w:val="a1"/>
    <w:rsid w:val="007C5583"/>
    <w:rPr>
      <w:rFonts w:ascii="Verdana" w:eastAsia="Verdana" w:hAnsi="Verdana" w:cs="Verdana"/>
      <w:b w:val="0"/>
      <w:bCs w:val="0"/>
      <w:i w:val="0"/>
      <w:iCs w:val="0"/>
      <w:smallCaps w:val="0"/>
      <w:strike w:val="0"/>
      <w:spacing w:val="0"/>
      <w:sz w:val="17"/>
      <w:szCs w:val="17"/>
    </w:rPr>
  </w:style>
  <w:style w:type="character" w:customStyle="1" w:styleId="17b">
    <w:name w:val="Заголовок №17"/>
    <w:basedOn w:val="17a"/>
    <w:rsid w:val="007C5583"/>
    <w:rPr>
      <w:rFonts w:ascii="Verdana" w:eastAsia="Verdana" w:hAnsi="Verdana" w:cs="Verdana"/>
      <w:b w:val="0"/>
      <w:bCs w:val="0"/>
      <w:i w:val="0"/>
      <w:iCs w:val="0"/>
      <w:smallCaps w:val="0"/>
      <w:strike w:val="0"/>
      <w:spacing w:val="0"/>
      <w:sz w:val="17"/>
      <w:szCs w:val="17"/>
    </w:rPr>
  </w:style>
  <w:style w:type="character" w:customStyle="1" w:styleId="12d">
    <w:name w:val="Основной текст (12) + Не курсив"/>
    <w:basedOn w:val="123"/>
    <w:rsid w:val="007C5583"/>
    <w:rPr>
      <w:rFonts w:ascii="Times New Roman" w:eastAsia="Times New Roman" w:hAnsi="Times New Roman" w:cs="Times New Roman"/>
      <w:b w:val="0"/>
      <w:bCs w:val="0"/>
      <w:i/>
      <w:iCs/>
      <w:smallCaps w:val="0"/>
      <w:strike w:val="0"/>
      <w:spacing w:val="0"/>
      <w:w w:val="80"/>
      <w:sz w:val="14"/>
      <w:szCs w:val="14"/>
      <w:shd w:val="clear" w:color="auto" w:fill="FFFFFF"/>
      <w:lang w:eastAsia="en-US"/>
    </w:rPr>
  </w:style>
  <w:style w:type="character" w:customStyle="1" w:styleId="ArialNarrow0">
    <w:name w:val="Основной текст + Arial Narrow;Полужирный;Курсив"/>
    <w:basedOn w:val="aff2"/>
    <w:rsid w:val="007C5583"/>
    <w:rPr>
      <w:rFonts w:ascii="Arial Narrow" w:eastAsia="Arial Narrow" w:hAnsi="Arial Narrow" w:cs="Arial Narrow"/>
      <w:b/>
      <w:bCs/>
      <w:i/>
      <w:iCs/>
      <w:smallCaps w:val="0"/>
      <w:strike w:val="0"/>
      <w:spacing w:val="0"/>
      <w:sz w:val="14"/>
      <w:szCs w:val="14"/>
      <w:shd w:val="clear" w:color="auto" w:fill="FFFFFF"/>
    </w:rPr>
  </w:style>
  <w:style w:type="character" w:customStyle="1" w:styleId="11d">
    <w:name w:val="Подпись к картинке (11)_"/>
    <w:basedOn w:val="a1"/>
    <w:rsid w:val="007C5583"/>
    <w:rPr>
      <w:b w:val="0"/>
      <w:bCs w:val="0"/>
      <w:i w:val="0"/>
      <w:iCs w:val="0"/>
      <w:smallCaps w:val="0"/>
      <w:strike w:val="0"/>
      <w:spacing w:val="0"/>
      <w:sz w:val="12"/>
      <w:szCs w:val="12"/>
    </w:rPr>
  </w:style>
  <w:style w:type="character" w:customStyle="1" w:styleId="11e">
    <w:name w:val="Подпись к картинке (11) + Полужирный"/>
    <w:basedOn w:val="11d"/>
    <w:rsid w:val="007C5583"/>
    <w:rPr>
      <w:b/>
      <w:bCs/>
      <w:i w:val="0"/>
      <w:iCs w:val="0"/>
      <w:smallCaps w:val="0"/>
      <w:strike w:val="0"/>
      <w:spacing w:val="0"/>
      <w:sz w:val="12"/>
      <w:szCs w:val="12"/>
    </w:rPr>
  </w:style>
  <w:style w:type="character" w:customStyle="1" w:styleId="11f">
    <w:name w:val="Подпись к картинке (11)"/>
    <w:basedOn w:val="11d"/>
    <w:rsid w:val="007C5583"/>
    <w:rPr>
      <w:b w:val="0"/>
      <w:bCs w:val="0"/>
      <w:i w:val="0"/>
      <w:iCs w:val="0"/>
      <w:smallCaps w:val="0"/>
      <w:strike w:val="0"/>
      <w:spacing w:val="0"/>
      <w:sz w:val="12"/>
      <w:szCs w:val="12"/>
    </w:rPr>
  </w:style>
  <w:style w:type="character" w:customStyle="1" w:styleId="20ArialUnicodeMS">
    <w:name w:val="Основной текст (20) + Arial Unicode MS;Не курсив"/>
    <w:basedOn w:val="200"/>
    <w:rsid w:val="007C5583"/>
    <w:rPr>
      <w:rFonts w:ascii="Arial Unicode MS" w:eastAsia="Arial Unicode MS" w:hAnsi="Arial Unicode MS" w:cs="Arial Unicode MS"/>
      <w:b w:val="0"/>
      <w:bCs w:val="0"/>
      <w:i/>
      <w:iCs/>
      <w:smallCaps w:val="0"/>
      <w:strike w:val="0"/>
      <w:spacing w:val="0"/>
      <w:sz w:val="14"/>
      <w:szCs w:val="14"/>
      <w:shd w:val="clear" w:color="auto" w:fill="FFFFFF"/>
    </w:rPr>
  </w:style>
  <w:style w:type="character" w:customStyle="1" w:styleId="1930">
    <w:name w:val="Заголовок №19 (3)_"/>
    <w:basedOn w:val="a1"/>
    <w:rsid w:val="007C5583"/>
    <w:rPr>
      <w:rFonts w:ascii="Times New Roman" w:eastAsia="Times New Roman" w:hAnsi="Times New Roman" w:cs="Times New Roman"/>
      <w:b w:val="0"/>
      <w:bCs w:val="0"/>
      <w:i w:val="0"/>
      <w:iCs w:val="0"/>
      <w:smallCaps w:val="0"/>
      <w:strike w:val="0"/>
      <w:spacing w:val="0"/>
      <w:sz w:val="20"/>
      <w:szCs w:val="20"/>
    </w:rPr>
  </w:style>
  <w:style w:type="character" w:customStyle="1" w:styleId="1931">
    <w:name w:val="Заголовок №19 (3)"/>
    <w:basedOn w:val="1930"/>
    <w:rsid w:val="007C5583"/>
    <w:rPr>
      <w:rFonts w:ascii="Times New Roman" w:eastAsia="Times New Roman" w:hAnsi="Times New Roman" w:cs="Times New Roman"/>
      <w:b w:val="0"/>
      <w:bCs w:val="0"/>
      <w:i w:val="0"/>
      <w:iCs w:val="0"/>
      <w:smallCaps w:val="0"/>
      <w:strike w:val="0"/>
      <w:spacing w:val="0"/>
      <w:sz w:val="20"/>
      <w:szCs w:val="20"/>
    </w:rPr>
  </w:style>
  <w:style w:type="character" w:customStyle="1" w:styleId="11f0">
    <w:name w:val="Основной текст (11) + Не полужирный"/>
    <w:basedOn w:val="11c"/>
    <w:rsid w:val="007C5583"/>
    <w:rPr>
      <w:rFonts w:ascii="Franklin Gothic Book" w:eastAsia="Franklin Gothic Book" w:hAnsi="Franklin Gothic Book" w:cs="Franklin Gothic Book"/>
      <w:b/>
      <w:bCs/>
      <w:i w:val="0"/>
      <w:iCs w:val="0"/>
      <w:smallCaps w:val="0"/>
      <w:strike w:val="0"/>
      <w:spacing w:val="0"/>
      <w:sz w:val="13"/>
      <w:szCs w:val="13"/>
    </w:rPr>
  </w:style>
  <w:style w:type="paragraph" w:customStyle="1" w:styleId="1620">
    <w:name w:val="Основной текст162"/>
    <w:basedOn w:val="a0"/>
    <w:rsid w:val="007C5583"/>
    <w:pPr>
      <w:shd w:val="clear" w:color="auto" w:fill="FFFFFF"/>
      <w:spacing w:before="120"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1100">
    <w:name w:val="Основной текст110"/>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14">
    <w:name w:val="Основной текст111"/>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23">
    <w:name w:val="Основной текст112"/>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5pt0">
    <w:name w:val="Основной текст + 34;5 pt"/>
    <w:basedOn w:val="aff2"/>
    <w:rsid w:val="007C5583"/>
    <w:rPr>
      <w:rFonts w:ascii="Franklin Gothic Book" w:eastAsia="Franklin Gothic Book" w:hAnsi="Franklin Gothic Book" w:cs="Franklin Gothic Book"/>
      <w:b w:val="0"/>
      <w:bCs w:val="0"/>
      <w:i w:val="0"/>
      <w:iCs w:val="0"/>
      <w:smallCaps w:val="0"/>
      <w:strike w:val="0"/>
      <w:spacing w:val="0"/>
      <w:w w:val="100"/>
      <w:sz w:val="69"/>
      <w:szCs w:val="69"/>
      <w:shd w:val="clear" w:color="auto" w:fill="FFFFFF"/>
    </w:rPr>
  </w:style>
  <w:style w:type="character" w:customStyle="1" w:styleId="1141">
    <w:name w:val="Основной текст114"/>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f4">
    <w:name w:val="Подпись к картинке (5)_"/>
    <w:basedOn w:val="a1"/>
    <w:rsid w:val="007C5583"/>
    <w:rPr>
      <w:rFonts w:ascii="Franklin Gothic Book" w:eastAsia="Franklin Gothic Book" w:hAnsi="Franklin Gothic Book" w:cs="Franklin Gothic Book"/>
      <w:b w:val="0"/>
      <w:bCs w:val="0"/>
      <w:i w:val="0"/>
      <w:iCs w:val="0"/>
      <w:smallCaps w:val="0"/>
      <w:strike w:val="0"/>
      <w:spacing w:val="0"/>
      <w:sz w:val="15"/>
      <w:szCs w:val="15"/>
      <w:lang w:val="en-US"/>
    </w:rPr>
  </w:style>
  <w:style w:type="character" w:customStyle="1" w:styleId="1171">
    <w:name w:val="Основной текст117"/>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81">
    <w:name w:val="Основной текст118"/>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91">
    <w:name w:val="Основной текст119"/>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00">
    <w:name w:val="Основной текст120"/>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11">
    <w:name w:val="Основной текст121"/>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pt2">
    <w:name w:val="Подпись к картинке + Интервал 1 pt"/>
    <w:basedOn w:val="affd"/>
    <w:rsid w:val="007C5583"/>
    <w:rPr>
      <w:rFonts w:ascii="Franklin Gothic Book" w:eastAsia="Franklin Gothic Book" w:hAnsi="Franklin Gothic Book" w:cs="Franklin Gothic Book"/>
      <w:b w:val="0"/>
      <w:bCs w:val="0"/>
      <w:i w:val="0"/>
      <w:iCs w:val="0"/>
      <w:smallCaps w:val="0"/>
      <w:strike w:val="0"/>
      <w:spacing w:val="30"/>
      <w:sz w:val="13"/>
      <w:szCs w:val="13"/>
      <w:shd w:val="clear" w:color="auto" w:fill="FFFFFF"/>
      <w:lang w:eastAsia="en-US"/>
    </w:rPr>
  </w:style>
  <w:style w:type="character" w:customStyle="1" w:styleId="1220">
    <w:name w:val="Основной текст122"/>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31">
    <w:name w:val="Основной текст123"/>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41">
    <w:name w:val="Основной текст124"/>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51">
    <w:name w:val="Основной текст125"/>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60">
    <w:name w:val="Основной текст126"/>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70">
    <w:name w:val="Основной текст127"/>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e">
    <w:name w:val="Основной текст (10) + Полужирный;Не курсив"/>
    <w:basedOn w:val="108"/>
    <w:rsid w:val="007C5583"/>
    <w:rPr>
      <w:rFonts w:ascii="Franklin Gothic Book" w:eastAsia="Franklin Gothic Book" w:hAnsi="Franklin Gothic Book" w:cs="Franklin Gothic Book"/>
      <w:b/>
      <w:bCs/>
      <w:i/>
      <w:iCs/>
      <w:smallCaps w:val="0"/>
      <w:strike w:val="0"/>
      <w:spacing w:val="0"/>
      <w:sz w:val="16"/>
      <w:szCs w:val="16"/>
      <w:shd w:val="clear" w:color="auto" w:fill="FFFFFF"/>
    </w:rPr>
  </w:style>
  <w:style w:type="character" w:customStyle="1" w:styleId="Verdana55pt0pt">
    <w:name w:val="Подпись к картинке + Verdana;5;5 pt;Не полужирный;Курсив;Интервал 0 pt"/>
    <w:basedOn w:val="affd"/>
    <w:rsid w:val="007C5583"/>
    <w:rPr>
      <w:rFonts w:ascii="Verdana" w:eastAsia="Verdana" w:hAnsi="Verdana" w:cs="Verdana"/>
      <w:b/>
      <w:bCs/>
      <w:i/>
      <w:iCs/>
      <w:smallCaps w:val="0"/>
      <w:strike w:val="0"/>
      <w:spacing w:val="10"/>
      <w:sz w:val="11"/>
      <w:szCs w:val="11"/>
      <w:shd w:val="clear" w:color="auto" w:fill="FFFFFF"/>
      <w:lang w:eastAsia="en-US"/>
    </w:rPr>
  </w:style>
  <w:style w:type="character" w:customStyle="1" w:styleId="294">
    <w:name w:val="Основной текст29"/>
    <w:basedOn w:val="aff2"/>
    <w:rsid w:val="007C5583"/>
    <w:rPr>
      <w:rFonts w:ascii="Franklin Gothic Book" w:eastAsia="Franklin Gothic Book" w:hAnsi="Franklin Gothic Book" w:cs="Franklin Gothic Book"/>
      <w:b w:val="0"/>
      <w:bCs w:val="0"/>
      <w:i w:val="0"/>
      <w:iCs w:val="0"/>
      <w:smallCaps w:val="0"/>
      <w:strike w:val="0"/>
      <w:spacing w:val="0"/>
      <w:sz w:val="16"/>
      <w:szCs w:val="16"/>
      <w:shd w:val="clear" w:color="auto" w:fill="FFFFFF"/>
    </w:rPr>
  </w:style>
  <w:style w:type="character" w:customStyle="1" w:styleId="327pt">
    <w:name w:val="Основной текст (32) + 7 pt;Не полужирный"/>
    <w:basedOn w:val="324"/>
    <w:rsid w:val="007C5583"/>
    <w:rPr>
      <w:rFonts w:ascii="Franklin Gothic Book" w:eastAsia="Franklin Gothic Book" w:hAnsi="Franklin Gothic Book" w:cs="Franklin Gothic Book"/>
      <w:b/>
      <w:bCs/>
      <w:i w:val="0"/>
      <w:iCs w:val="0"/>
      <w:smallCaps w:val="0"/>
      <w:strike w:val="0"/>
      <w:spacing w:val="0"/>
      <w:sz w:val="14"/>
      <w:szCs w:val="14"/>
      <w:shd w:val="clear" w:color="auto" w:fill="FFFFFF"/>
      <w:lang w:eastAsia="ru-RU"/>
    </w:rPr>
  </w:style>
  <w:style w:type="character" w:customStyle="1" w:styleId="35pt">
    <w:name w:val="Основной текст + 35 pt"/>
    <w:basedOn w:val="aff2"/>
    <w:rsid w:val="007C5583"/>
    <w:rPr>
      <w:rFonts w:ascii="Franklin Gothic Book" w:eastAsia="Franklin Gothic Book" w:hAnsi="Franklin Gothic Book" w:cs="Franklin Gothic Book"/>
      <w:b w:val="0"/>
      <w:bCs w:val="0"/>
      <w:i w:val="0"/>
      <w:iCs w:val="0"/>
      <w:smallCaps w:val="0"/>
      <w:strike w:val="0"/>
      <w:spacing w:val="0"/>
      <w:w w:val="100"/>
      <w:sz w:val="70"/>
      <w:szCs w:val="70"/>
      <w:shd w:val="clear" w:color="auto" w:fill="FFFFFF"/>
    </w:rPr>
  </w:style>
  <w:style w:type="character" w:customStyle="1" w:styleId="208">
    <w:name w:val="Подпись к картинке (20)_"/>
    <w:basedOn w:val="a1"/>
    <w:rsid w:val="007C558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209">
    <w:name w:val="Подпись к картинке (20) + Полужирный"/>
    <w:basedOn w:val="208"/>
    <w:rsid w:val="007C5583"/>
    <w:rPr>
      <w:rFonts w:ascii="Franklin Gothic Book" w:eastAsia="Franklin Gothic Book" w:hAnsi="Franklin Gothic Book" w:cs="Franklin Gothic Book"/>
      <w:b/>
      <w:bCs/>
      <w:i w:val="0"/>
      <w:iCs w:val="0"/>
      <w:smallCaps w:val="0"/>
      <w:strike w:val="0"/>
      <w:spacing w:val="0"/>
      <w:sz w:val="13"/>
      <w:szCs w:val="13"/>
    </w:rPr>
  </w:style>
  <w:style w:type="character" w:customStyle="1" w:styleId="21b">
    <w:name w:val="Подпись к картинке (21)_"/>
    <w:basedOn w:val="a1"/>
    <w:rsid w:val="007C5583"/>
    <w:rPr>
      <w:rFonts w:ascii="Times New Roman" w:eastAsia="Times New Roman" w:hAnsi="Times New Roman" w:cs="Times New Roman"/>
      <w:b w:val="0"/>
      <w:bCs w:val="0"/>
      <w:i w:val="0"/>
      <w:iCs w:val="0"/>
      <w:smallCaps w:val="0"/>
      <w:strike w:val="0"/>
      <w:spacing w:val="0"/>
      <w:sz w:val="18"/>
      <w:szCs w:val="18"/>
    </w:rPr>
  </w:style>
  <w:style w:type="character" w:customStyle="1" w:styleId="246">
    <w:name w:val="Основной текст (24) + Не курсив"/>
    <w:basedOn w:val="242"/>
    <w:rsid w:val="007C5583"/>
    <w:rPr>
      <w:rFonts w:ascii="Franklin Gothic Book" w:eastAsia="Franklin Gothic Book" w:hAnsi="Franklin Gothic Book" w:cs="Franklin Gothic Book"/>
      <w:b w:val="0"/>
      <w:bCs w:val="0"/>
      <w:i/>
      <w:iCs/>
      <w:smallCaps w:val="0"/>
      <w:strike w:val="0"/>
      <w:spacing w:val="0"/>
      <w:sz w:val="15"/>
      <w:szCs w:val="15"/>
    </w:rPr>
  </w:style>
  <w:style w:type="character" w:customStyle="1" w:styleId="238">
    <w:name w:val="Подпись к картинке (23) + Полужирный;Не курсив"/>
    <w:basedOn w:val="233"/>
    <w:rsid w:val="007C5583"/>
    <w:rPr>
      <w:rFonts w:ascii="Franklin Gothic Book" w:eastAsia="Franklin Gothic Book" w:hAnsi="Franklin Gothic Book" w:cs="Franklin Gothic Book"/>
      <w:b/>
      <w:bCs/>
      <w:i/>
      <w:iCs/>
      <w:smallCaps w:val="0"/>
      <w:strike w:val="0"/>
      <w:spacing w:val="0"/>
      <w:sz w:val="13"/>
      <w:szCs w:val="13"/>
      <w:shd w:val="clear" w:color="auto" w:fill="FFFFFF"/>
    </w:rPr>
  </w:style>
  <w:style w:type="character" w:customStyle="1" w:styleId="416">
    <w:name w:val="Основной текст (41)_"/>
    <w:basedOn w:val="a1"/>
    <w:rsid w:val="007C5583"/>
    <w:rPr>
      <w:rFonts w:ascii="Times New Roman" w:eastAsia="Times New Roman" w:hAnsi="Times New Roman" w:cs="Times New Roman"/>
      <w:b w:val="0"/>
      <w:bCs w:val="0"/>
      <w:i w:val="0"/>
      <w:iCs w:val="0"/>
      <w:smallCaps w:val="0"/>
      <w:strike w:val="0"/>
      <w:spacing w:val="0"/>
      <w:sz w:val="18"/>
      <w:szCs w:val="18"/>
    </w:rPr>
  </w:style>
  <w:style w:type="character" w:customStyle="1" w:styleId="3185pt0pt">
    <w:name w:val="Основной текст (3) + 18;5 pt;Полужирный;Не курсив;Интервал 0 pt"/>
    <w:basedOn w:val="35"/>
    <w:rsid w:val="007C5583"/>
    <w:rPr>
      <w:rFonts w:ascii="Franklin Gothic Book" w:eastAsia="Franklin Gothic Book" w:hAnsi="Franklin Gothic Book" w:cs="Franklin Gothic Book"/>
      <w:b/>
      <w:bCs/>
      <w:i/>
      <w:iCs/>
      <w:color w:val="FFFFFF"/>
      <w:spacing w:val="0"/>
      <w:sz w:val="37"/>
      <w:szCs w:val="37"/>
      <w:shd w:val="clear" w:color="auto" w:fill="FFFFFF"/>
      <w:lang w:eastAsia="en-US"/>
    </w:rPr>
  </w:style>
  <w:style w:type="character" w:customStyle="1" w:styleId="75pt0">
    <w:name w:val="Подпись к картинке + 7;5 pt;Не полужирный"/>
    <w:basedOn w:val="affd"/>
    <w:rsid w:val="007C5583"/>
    <w:rPr>
      <w:rFonts w:ascii="Franklin Gothic Book" w:eastAsia="Franklin Gothic Book" w:hAnsi="Franklin Gothic Book" w:cs="Franklin Gothic Book"/>
      <w:b/>
      <w:bCs/>
      <w:i w:val="0"/>
      <w:iCs w:val="0"/>
      <w:smallCaps w:val="0"/>
      <w:strike w:val="0"/>
      <w:spacing w:val="0"/>
      <w:sz w:val="15"/>
      <w:szCs w:val="15"/>
      <w:shd w:val="clear" w:color="auto" w:fill="FFFFFF"/>
      <w:lang w:eastAsia="en-US"/>
    </w:rPr>
  </w:style>
  <w:style w:type="character" w:customStyle="1" w:styleId="158">
    <w:name w:val="Основной текст (15) + Не курсив"/>
    <w:basedOn w:val="156"/>
    <w:rsid w:val="007C558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188">
    <w:name w:val="Заголовок №18"/>
    <w:basedOn w:val="a1"/>
    <w:rsid w:val="007C5583"/>
    <w:rPr>
      <w:rFonts w:ascii="Franklin Gothic Book" w:eastAsia="Franklin Gothic Book" w:hAnsi="Franklin Gothic Book" w:cs="Franklin Gothic Book"/>
      <w:b w:val="0"/>
      <w:bCs w:val="0"/>
      <w:i w:val="0"/>
      <w:iCs w:val="0"/>
      <w:smallCaps w:val="0"/>
      <w:strike w:val="0"/>
      <w:spacing w:val="0"/>
      <w:sz w:val="49"/>
      <w:szCs w:val="49"/>
    </w:rPr>
  </w:style>
  <w:style w:type="character" w:customStyle="1" w:styleId="17c">
    <w:name w:val="Подпись к картинке (17) + Полужирный;Не курсив"/>
    <w:basedOn w:val="171"/>
    <w:rsid w:val="007C5583"/>
    <w:rPr>
      <w:rFonts w:ascii="Franklin Gothic Book" w:eastAsia="Franklin Gothic Book" w:hAnsi="Franklin Gothic Book" w:cs="Franklin Gothic Book"/>
      <w:b/>
      <w:bCs/>
      <w:i/>
      <w:iCs/>
      <w:smallCaps w:val="0"/>
      <w:strike w:val="0"/>
      <w:spacing w:val="0"/>
      <w:sz w:val="13"/>
      <w:szCs w:val="13"/>
      <w:shd w:val="clear" w:color="auto" w:fill="FFFFFF"/>
      <w:lang w:eastAsia="en-US"/>
    </w:rPr>
  </w:style>
  <w:style w:type="character" w:customStyle="1" w:styleId="532">
    <w:name w:val="Основной текст (53)_"/>
    <w:basedOn w:val="a1"/>
    <w:rsid w:val="007C5583"/>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FranklinGothicBook65pt">
    <w:name w:val="Подпись к картинке + Franklin Gothic Book;6;5 pt"/>
    <w:basedOn w:val="affd"/>
    <w:rsid w:val="007C5583"/>
    <w:rPr>
      <w:rFonts w:ascii="Franklin Gothic Book" w:eastAsia="Franklin Gothic Book" w:hAnsi="Franklin Gothic Book" w:cs="Franklin Gothic Book"/>
      <w:b w:val="0"/>
      <w:bCs w:val="0"/>
      <w:i w:val="0"/>
      <w:iCs w:val="0"/>
      <w:smallCaps w:val="0"/>
      <w:strike w:val="0"/>
      <w:spacing w:val="0"/>
      <w:sz w:val="13"/>
      <w:szCs w:val="13"/>
      <w:shd w:val="clear" w:color="auto" w:fill="FFFFFF"/>
      <w:lang w:eastAsia="en-US"/>
    </w:rPr>
  </w:style>
  <w:style w:type="character" w:customStyle="1" w:styleId="1142">
    <w:name w:val="Заголовок №11 (4)_"/>
    <w:basedOn w:val="a1"/>
    <w:link w:val="1143"/>
    <w:rsid w:val="007C5583"/>
    <w:rPr>
      <w:rFonts w:ascii="Franklin Gothic Book" w:eastAsia="Franklin Gothic Book" w:hAnsi="Franklin Gothic Book" w:cs="Franklin Gothic Book"/>
      <w:sz w:val="15"/>
      <w:szCs w:val="15"/>
      <w:shd w:val="clear" w:color="auto" w:fill="FFFFFF"/>
    </w:rPr>
  </w:style>
  <w:style w:type="paragraph" w:customStyle="1" w:styleId="1143">
    <w:name w:val="Заголовок №11 (4)"/>
    <w:basedOn w:val="a0"/>
    <w:link w:val="1142"/>
    <w:rsid w:val="007C5583"/>
    <w:pPr>
      <w:shd w:val="clear" w:color="auto" w:fill="FFFFFF"/>
      <w:spacing w:after="0" w:line="197" w:lineRule="exact"/>
      <w:ind w:firstLine="220"/>
      <w:jc w:val="both"/>
    </w:pPr>
    <w:rPr>
      <w:rFonts w:ascii="Franklin Gothic Book" w:eastAsia="Franklin Gothic Book" w:hAnsi="Franklin Gothic Book" w:cs="Franklin Gothic Book"/>
      <w:sz w:val="15"/>
      <w:szCs w:val="15"/>
      <w:lang w:eastAsia="ru-RU"/>
    </w:rPr>
  </w:style>
  <w:style w:type="character" w:customStyle="1" w:styleId="39FranklinGothicBook65pt">
    <w:name w:val="Основной текст (39) + Franklin Gothic Book;6;5 pt"/>
    <w:basedOn w:val="392"/>
    <w:rsid w:val="007C558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353">
    <w:name w:val="Основной текст (35) + Не курсив"/>
    <w:basedOn w:val="351"/>
    <w:rsid w:val="007C5583"/>
    <w:rPr>
      <w:rFonts w:ascii="Franklin Gothic Book" w:eastAsia="Franklin Gothic Book" w:hAnsi="Franklin Gothic Book" w:cs="Franklin Gothic Book"/>
      <w:b w:val="0"/>
      <w:bCs w:val="0"/>
      <w:i/>
      <w:iCs/>
      <w:smallCaps w:val="0"/>
      <w:strike w:val="0"/>
      <w:spacing w:val="0"/>
      <w:sz w:val="15"/>
      <w:szCs w:val="15"/>
      <w:shd w:val="clear" w:color="auto" w:fill="FFFFFF"/>
      <w:lang w:eastAsia="en-US"/>
    </w:rPr>
  </w:style>
  <w:style w:type="character" w:customStyle="1" w:styleId="385pt80">
    <w:name w:val="Основной текст + 38;5 pt;Полужирный;Масштаб 80%"/>
    <w:basedOn w:val="aff2"/>
    <w:rsid w:val="007C5583"/>
    <w:rPr>
      <w:rFonts w:ascii="Franklin Gothic Book" w:eastAsia="Franklin Gothic Book" w:hAnsi="Franklin Gothic Book" w:cs="Franklin Gothic Book"/>
      <w:b/>
      <w:bCs/>
      <w:i w:val="0"/>
      <w:iCs w:val="0"/>
      <w:smallCaps w:val="0"/>
      <w:strike w:val="0"/>
      <w:spacing w:val="0"/>
      <w:w w:val="80"/>
      <w:sz w:val="77"/>
      <w:szCs w:val="77"/>
      <w:shd w:val="clear" w:color="auto" w:fill="FFFFFF"/>
    </w:rPr>
  </w:style>
  <w:style w:type="character" w:customStyle="1" w:styleId="affffff3">
    <w:name w:val="a"/>
    <w:basedOn w:val="a1"/>
    <w:rsid w:val="007C5583"/>
  </w:style>
  <w:style w:type="character" w:customStyle="1" w:styleId="p">
    <w:name w:val="p"/>
    <w:basedOn w:val="a1"/>
    <w:rsid w:val="007C5583"/>
  </w:style>
  <w:style w:type="character" w:customStyle="1" w:styleId="287">
    <w:name w:val="Подпись к картинке (28)_"/>
    <w:basedOn w:val="a1"/>
    <w:link w:val="288"/>
    <w:rsid w:val="007C5583"/>
    <w:rPr>
      <w:sz w:val="10"/>
      <w:szCs w:val="10"/>
      <w:shd w:val="clear" w:color="auto" w:fill="FFFFFF"/>
    </w:rPr>
  </w:style>
  <w:style w:type="paragraph" w:customStyle="1" w:styleId="288">
    <w:name w:val="Подпись к картинке (28)"/>
    <w:basedOn w:val="a0"/>
    <w:link w:val="287"/>
    <w:rsid w:val="007C5583"/>
    <w:pPr>
      <w:shd w:val="clear" w:color="auto" w:fill="FFFFFF"/>
      <w:spacing w:after="0" w:line="0" w:lineRule="atLeast"/>
    </w:pPr>
    <w:rPr>
      <w:sz w:val="10"/>
      <w:szCs w:val="10"/>
      <w:lang w:eastAsia="ru-RU"/>
    </w:rPr>
  </w:style>
  <w:style w:type="character" w:customStyle="1" w:styleId="28FranklinGothicBook75pt">
    <w:name w:val="Подпись к картинке (28) + Franklin Gothic Book;7;5 pt;Курсив"/>
    <w:basedOn w:val="287"/>
    <w:rsid w:val="007C5583"/>
    <w:rPr>
      <w:rFonts w:ascii="Franklin Gothic Book" w:eastAsia="Franklin Gothic Book" w:hAnsi="Franklin Gothic Book" w:cs="Franklin Gothic Book"/>
      <w:i/>
      <w:iCs/>
      <w:sz w:val="15"/>
      <w:szCs w:val="15"/>
      <w:shd w:val="clear" w:color="auto" w:fill="FFFFFF"/>
    </w:rPr>
  </w:style>
  <w:style w:type="character" w:customStyle="1" w:styleId="383">
    <w:name w:val="Основной текст (38) + Не курсив"/>
    <w:basedOn w:val="380"/>
    <w:rsid w:val="007C5583"/>
    <w:rPr>
      <w:rFonts w:ascii="Franklin Gothic Book" w:eastAsia="Franklin Gothic Book" w:hAnsi="Franklin Gothic Book" w:cs="Franklin Gothic Book"/>
      <w:b w:val="0"/>
      <w:bCs w:val="0"/>
      <w:i/>
      <w:iCs/>
      <w:smallCaps w:val="0"/>
      <w:strike w:val="0"/>
      <w:spacing w:val="0"/>
      <w:sz w:val="15"/>
      <w:szCs w:val="15"/>
    </w:rPr>
  </w:style>
  <w:style w:type="character" w:customStyle="1" w:styleId="295">
    <w:name w:val="Подпись к картинке (29)_"/>
    <w:basedOn w:val="a1"/>
    <w:link w:val="296"/>
    <w:rsid w:val="007C5583"/>
    <w:rPr>
      <w:rFonts w:ascii="Franklin Gothic Book" w:eastAsia="Franklin Gothic Book" w:hAnsi="Franklin Gothic Book" w:cs="Franklin Gothic Book"/>
      <w:sz w:val="14"/>
      <w:szCs w:val="14"/>
      <w:shd w:val="clear" w:color="auto" w:fill="FFFFFF"/>
    </w:rPr>
  </w:style>
  <w:style w:type="paragraph" w:customStyle="1" w:styleId="296">
    <w:name w:val="Подпись к картинке (29)"/>
    <w:basedOn w:val="a0"/>
    <w:link w:val="295"/>
    <w:rsid w:val="007C5583"/>
    <w:pPr>
      <w:shd w:val="clear" w:color="auto" w:fill="FFFFFF"/>
      <w:spacing w:before="60" w:after="180" w:line="197" w:lineRule="exact"/>
    </w:pPr>
    <w:rPr>
      <w:rFonts w:ascii="Franklin Gothic Book" w:eastAsia="Franklin Gothic Book" w:hAnsi="Franklin Gothic Book" w:cs="Franklin Gothic Book"/>
      <w:sz w:val="14"/>
      <w:szCs w:val="14"/>
      <w:lang w:eastAsia="ru-RU"/>
    </w:rPr>
  </w:style>
  <w:style w:type="character" w:customStyle="1" w:styleId="1831">
    <w:name w:val="Заголовок №18 (3)_"/>
    <w:basedOn w:val="a1"/>
    <w:link w:val="1832"/>
    <w:rsid w:val="007C5583"/>
    <w:rPr>
      <w:spacing w:val="-10"/>
      <w:sz w:val="21"/>
      <w:szCs w:val="21"/>
      <w:shd w:val="clear" w:color="auto" w:fill="FFFFFF"/>
    </w:rPr>
  </w:style>
  <w:style w:type="paragraph" w:customStyle="1" w:styleId="1832">
    <w:name w:val="Заголовок №18 (3)"/>
    <w:basedOn w:val="a0"/>
    <w:link w:val="1831"/>
    <w:rsid w:val="007C5583"/>
    <w:pPr>
      <w:shd w:val="clear" w:color="auto" w:fill="FFFFFF"/>
      <w:spacing w:before="300" w:after="0" w:line="0" w:lineRule="atLeast"/>
    </w:pPr>
    <w:rPr>
      <w:spacing w:val="-10"/>
      <w:sz w:val="21"/>
      <w:szCs w:val="21"/>
      <w:lang w:eastAsia="ru-RU"/>
    </w:rPr>
  </w:style>
  <w:style w:type="character" w:customStyle="1" w:styleId="1830pt">
    <w:name w:val="Заголовок №18 (3) + Интервал 0 pt"/>
    <w:basedOn w:val="1831"/>
    <w:rsid w:val="007C5583"/>
    <w:rPr>
      <w:spacing w:val="0"/>
      <w:sz w:val="21"/>
      <w:szCs w:val="21"/>
      <w:shd w:val="clear" w:color="auto" w:fill="FFFFFF"/>
    </w:rPr>
  </w:style>
  <w:style w:type="character" w:customStyle="1" w:styleId="7pt0">
    <w:name w:val="Подпись к картинке + 7 pt;Не полужирный"/>
    <w:basedOn w:val="affd"/>
    <w:rsid w:val="007C5583"/>
    <w:rPr>
      <w:rFonts w:ascii="Franklin Gothic Book" w:eastAsia="Franklin Gothic Book" w:hAnsi="Franklin Gothic Book" w:cs="Franklin Gothic Book"/>
      <w:b/>
      <w:bCs/>
      <w:i w:val="0"/>
      <w:iCs w:val="0"/>
      <w:smallCaps w:val="0"/>
      <w:strike w:val="0"/>
      <w:spacing w:val="0"/>
      <w:sz w:val="14"/>
      <w:szCs w:val="14"/>
      <w:shd w:val="clear" w:color="auto" w:fill="FFFFFF"/>
      <w:lang w:eastAsia="en-US"/>
    </w:rPr>
  </w:style>
  <w:style w:type="character" w:customStyle="1" w:styleId="4475pt0">
    <w:name w:val="Основной текст (44) + 7;5 pt;Не полужирный"/>
    <w:basedOn w:val="444"/>
    <w:rsid w:val="007C5583"/>
    <w:rPr>
      <w:rFonts w:ascii="Franklin Gothic Book" w:eastAsia="Franklin Gothic Book" w:hAnsi="Franklin Gothic Book" w:cs="Franklin Gothic Book"/>
      <w:b/>
      <w:bCs/>
      <w:i w:val="0"/>
      <w:iCs w:val="0"/>
      <w:smallCaps w:val="0"/>
      <w:strike w:val="0"/>
      <w:spacing w:val="0"/>
      <w:sz w:val="15"/>
      <w:szCs w:val="15"/>
    </w:rPr>
  </w:style>
  <w:style w:type="character" w:customStyle="1" w:styleId="492">
    <w:name w:val="Основной текст (49)_"/>
    <w:basedOn w:val="a1"/>
    <w:rsid w:val="007C5583"/>
    <w:rPr>
      <w:rFonts w:ascii="Arial Narrow" w:eastAsia="Arial Narrow" w:hAnsi="Arial Narrow" w:cs="Arial Narrow"/>
      <w:b w:val="0"/>
      <w:bCs w:val="0"/>
      <w:i w:val="0"/>
      <w:iCs w:val="0"/>
      <w:smallCaps w:val="0"/>
      <w:strike w:val="0"/>
      <w:spacing w:val="0"/>
      <w:sz w:val="14"/>
      <w:szCs w:val="14"/>
    </w:rPr>
  </w:style>
  <w:style w:type="character" w:customStyle="1" w:styleId="493">
    <w:name w:val="Основной текст (49)"/>
    <w:basedOn w:val="492"/>
    <w:rsid w:val="007C5583"/>
    <w:rPr>
      <w:rFonts w:ascii="Arial Narrow" w:eastAsia="Arial Narrow" w:hAnsi="Arial Narrow" w:cs="Arial Narrow"/>
      <w:b w:val="0"/>
      <w:bCs w:val="0"/>
      <w:i w:val="0"/>
      <w:iCs w:val="0"/>
      <w:smallCaps w:val="0"/>
      <w:strike w:val="0"/>
      <w:spacing w:val="0"/>
      <w:sz w:val="14"/>
      <w:szCs w:val="14"/>
    </w:rPr>
  </w:style>
  <w:style w:type="character" w:customStyle="1" w:styleId="38Arial">
    <w:name w:val="Основной текст (38) + Arial;Не полужирный"/>
    <w:basedOn w:val="380"/>
    <w:rsid w:val="007C5583"/>
    <w:rPr>
      <w:rFonts w:ascii="Arial" w:eastAsia="Arial" w:hAnsi="Arial" w:cs="Arial"/>
      <w:b/>
      <w:bCs/>
      <w:i w:val="0"/>
      <w:iCs w:val="0"/>
      <w:smallCaps w:val="0"/>
      <w:strike w:val="0"/>
      <w:spacing w:val="0"/>
      <w:sz w:val="12"/>
      <w:szCs w:val="12"/>
    </w:rPr>
  </w:style>
  <w:style w:type="character" w:customStyle="1" w:styleId="4fc">
    <w:name w:val="Заголовок №4_"/>
    <w:basedOn w:val="a1"/>
    <w:rsid w:val="007C5583"/>
    <w:rPr>
      <w:rFonts w:ascii="Trebuchet MS" w:eastAsia="Trebuchet MS" w:hAnsi="Trebuchet MS" w:cs="Trebuchet MS"/>
      <w:b w:val="0"/>
      <w:bCs w:val="0"/>
      <w:i w:val="0"/>
      <w:iCs w:val="0"/>
      <w:smallCaps w:val="0"/>
      <w:strike w:val="0"/>
      <w:spacing w:val="0"/>
      <w:sz w:val="78"/>
      <w:szCs w:val="78"/>
    </w:rPr>
  </w:style>
  <w:style w:type="character" w:customStyle="1" w:styleId="279">
    <w:name w:val="Подпись к картинке (27)_"/>
    <w:basedOn w:val="a1"/>
    <w:rsid w:val="007C5583"/>
    <w:rPr>
      <w:rFonts w:ascii="Arial" w:eastAsia="Arial" w:hAnsi="Arial" w:cs="Arial"/>
      <w:b w:val="0"/>
      <w:bCs w:val="0"/>
      <w:i w:val="0"/>
      <w:iCs w:val="0"/>
      <w:smallCaps w:val="0"/>
      <w:strike w:val="0"/>
      <w:spacing w:val="0"/>
      <w:sz w:val="16"/>
      <w:szCs w:val="16"/>
      <w:lang w:val="en-US"/>
    </w:rPr>
  </w:style>
  <w:style w:type="character" w:customStyle="1" w:styleId="27a">
    <w:name w:val="Подпись к картинке (27)"/>
    <w:basedOn w:val="279"/>
    <w:rsid w:val="007C5583"/>
    <w:rPr>
      <w:rFonts w:ascii="Arial" w:eastAsia="Arial" w:hAnsi="Arial" w:cs="Arial"/>
      <w:b w:val="0"/>
      <w:bCs w:val="0"/>
      <w:i w:val="0"/>
      <w:iCs w:val="0"/>
      <w:smallCaps w:val="0"/>
      <w:strike w:val="0"/>
      <w:spacing w:val="0"/>
      <w:sz w:val="16"/>
      <w:szCs w:val="16"/>
      <w:u w:val="single"/>
      <w:lang w:val="en-US"/>
    </w:rPr>
  </w:style>
  <w:style w:type="character" w:customStyle="1" w:styleId="27b">
    <w:name w:val="Основной текст27"/>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89">
    <w:name w:val="Основной текст28"/>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35pt">
    <w:name w:val="Подпись к картинке (13) + Интервал 5 pt"/>
    <w:basedOn w:val="136"/>
    <w:rsid w:val="007C5583"/>
    <w:rPr>
      <w:rFonts w:ascii="Arial" w:eastAsia="Arial" w:hAnsi="Arial" w:cs="Arial"/>
      <w:b w:val="0"/>
      <w:bCs w:val="0"/>
      <w:i w:val="0"/>
      <w:iCs w:val="0"/>
      <w:smallCaps w:val="0"/>
      <w:strike w:val="0"/>
      <w:spacing w:val="100"/>
      <w:sz w:val="17"/>
      <w:szCs w:val="17"/>
      <w:shd w:val="clear" w:color="auto" w:fill="FFFFFF"/>
    </w:rPr>
  </w:style>
  <w:style w:type="character" w:customStyle="1" w:styleId="13-1pt">
    <w:name w:val="Подпись к картинке (13) + Интервал -1 pt"/>
    <w:basedOn w:val="136"/>
    <w:rsid w:val="007C5583"/>
    <w:rPr>
      <w:rFonts w:ascii="Arial" w:eastAsia="Arial" w:hAnsi="Arial" w:cs="Arial"/>
      <w:b w:val="0"/>
      <w:bCs w:val="0"/>
      <w:i w:val="0"/>
      <w:iCs w:val="0"/>
      <w:smallCaps w:val="0"/>
      <w:strike w:val="0"/>
      <w:spacing w:val="-20"/>
      <w:sz w:val="17"/>
      <w:szCs w:val="17"/>
      <w:shd w:val="clear" w:color="auto" w:fill="FFFFFF"/>
    </w:rPr>
  </w:style>
  <w:style w:type="character" w:customStyle="1" w:styleId="308">
    <w:name w:val="Основной текст30"/>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27">
    <w:name w:val="Основной текст32"/>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33">
    <w:name w:val="Основной текст33"/>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09">
    <w:name w:val="Подпись к картинке (30)_"/>
    <w:basedOn w:val="a1"/>
    <w:link w:val="30a"/>
    <w:rsid w:val="007C5583"/>
    <w:rPr>
      <w:rFonts w:ascii="Arial" w:eastAsia="Arial" w:hAnsi="Arial" w:cs="Arial"/>
      <w:sz w:val="16"/>
      <w:szCs w:val="16"/>
      <w:shd w:val="clear" w:color="auto" w:fill="FFFFFF"/>
    </w:rPr>
  </w:style>
  <w:style w:type="paragraph" w:customStyle="1" w:styleId="30a">
    <w:name w:val="Подпись к картинке (30)"/>
    <w:basedOn w:val="a0"/>
    <w:link w:val="309"/>
    <w:rsid w:val="007C5583"/>
    <w:pPr>
      <w:shd w:val="clear" w:color="auto" w:fill="FFFFFF"/>
      <w:spacing w:after="0" w:line="0" w:lineRule="atLeast"/>
    </w:pPr>
    <w:rPr>
      <w:rFonts w:ascii="Arial" w:eastAsia="Arial" w:hAnsi="Arial" w:cs="Arial"/>
      <w:sz w:val="16"/>
      <w:szCs w:val="16"/>
      <w:lang w:eastAsia="ru-RU"/>
    </w:rPr>
  </w:style>
  <w:style w:type="character" w:customStyle="1" w:styleId="343">
    <w:name w:val="Основной текст34"/>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54">
    <w:name w:val="Основной текст35"/>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67">
    <w:name w:val="Подпись к картинке (26)_"/>
    <w:basedOn w:val="a1"/>
    <w:rsid w:val="007C5583"/>
    <w:rPr>
      <w:rFonts w:ascii="Times New Roman" w:eastAsia="Times New Roman" w:hAnsi="Times New Roman" w:cs="Times New Roman"/>
      <w:b w:val="0"/>
      <w:bCs w:val="0"/>
      <w:i w:val="0"/>
      <w:iCs w:val="0"/>
      <w:smallCaps w:val="0"/>
      <w:strike w:val="0"/>
      <w:spacing w:val="-20"/>
      <w:sz w:val="18"/>
      <w:szCs w:val="18"/>
      <w:lang w:val="en-US"/>
    </w:rPr>
  </w:style>
  <w:style w:type="character" w:customStyle="1" w:styleId="268">
    <w:name w:val="Подпись к картинке (26)"/>
    <w:basedOn w:val="267"/>
    <w:rsid w:val="007C5583"/>
    <w:rPr>
      <w:rFonts w:ascii="Times New Roman" w:eastAsia="Times New Roman" w:hAnsi="Times New Roman" w:cs="Times New Roman"/>
      <w:b w:val="0"/>
      <w:bCs w:val="0"/>
      <w:i w:val="0"/>
      <w:iCs w:val="0"/>
      <w:smallCaps w:val="0"/>
      <w:strike w:val="0"/>
      <w:color w:val="EBEBEB"/>
      <w:spacing w:val="-20"/>
      <w:sz w:val="18"/>
      <w:szCs w:val="18"/>
      <w:lang w:val="en-US"/>
    </w:rPr>
  </w:style>
  <w:style w:type="character" w:customStyle="1" w:styleId="4TrebuchetMS">
    <w:name w:val="Подпись к картинке (4) + Trebuchet MS;Курсив"/>
    <w:basedOn w:val="49"/>
    <w:rsid w:val="007C5583"/>
    <w:rPr>
      <w:rFonts w:ascii="Trebuchet MS" w:eastAsia="Trebuchet MS" w:hAnsi="Trebuchet MS" w:cs="Trebuchet MS"/>
      <w:b w:val="0"/>
      <w:bCs w:val="0"/>
      <w:i w:val="0"/>
      <w:iCs w:val="0"/>
      <w:smallCaps w:val="0"/>
      <w:strike w:val="0"/>
      <w:spacing w:val="0"/>
      <w:sz w:val="12"/>
      <w:szCs w:val="12"/>
      <w:shd w:val="clear" w:color="auto" w:fill="FFFFFF"/>
      <w:lang w:eastAsia="en-US"/>
    </w:rPr>
  </w:style>
  <w:style w:type="character" w:customStyle="1" w:styleId="363">
    <w:name w:val="Основной текст36"/>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72">
    <w:name w:val="Основной текст37"/>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4">
    <w:name w:val="Основной текст38"/>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Consolas375pt">
    <w:name w:val="Основной текст + Consolas;37;5 pt;Полужирный"/>
    <w:basedOn w:val="aff2"/>
    <w:rsid w:val="007C5583"/>
    <w:rPr>
      <w:rFonts w:ascii="Consolas" w:eastAsia="Consolas" w:hAnsi="Consolas" w:cs="Consolas"/>
      <w:b/>
      <w:bCs/>
      <w:i w:val="0"/>
      <w:iCs w:val="0"/>
      <w:smallCaps w:val="0"/>
      <w:strike w:val="0"/>
      <w:spacing w:val="0"/>
      <w:w w:val="100"/>
      <w:sz w:val="75"/>
      <w:szCs w:val="75"/>
      <w:shd w:val="clear" w:color="auto" w:fill="FFFFFF"/>
    </w:rPr>
  </w:style>
  <w:style w:type="character" w:customStyle="1" w:styleId="394">
    <w:name w:val="Основной текст39"/>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1">
    <w:name w:val="Подпись к картинке + Arial;Не полужирный"/>
    <w:basedOn w:val="affd"/>
    <w:rsid w:val="007C5583"/>
    <w:rPr>
      <w:rFonts w:ascii="Arial" w:eastAsia="Arial" w:hAnsi="Arial" w:cs="Arial"/>
      <w:b/>
      <w:bCs/>
      <w:i w:val="0"/>
      <w:iCs w:val="0"/>
      <w:smallCaps w:val="0"/>
      <w:strike w:val="0"/>
      <w:spacing w:val="0"/>
      <w:sz w:val="12"/>
      <w:szCs w:val="12"/>
      <w:shd w:val="clear" w:color="auto" w:fill="FFFFFF"/>
      <w:lang w:eastAsia="en-US"/>
    </w:rPr>
  </w:style>
  <w:style w:type="character" w:customStyle="1" w:styleId="36Arial8pt">
    <w:name w:val="Основной текст (36) + Arial;8 pt"/>
    <w:basedOn w:val="362"/>
    <w:rsid w:val="007C5583"/>
    <w:rPr>
      <w:rFonts w:ascii="Arial" w:eastAsia="Arial" w:hAnsi="Arial" w:cs="Arial"/>
      <w:b w:val="0"/>
      <w:bCs w:val="0"/>
      <w:i w:val="0"/>
      <w:iCs w:val="0"/>
      <w:smallCaps w:val="0"/>
      <w:strike w:val="0"/>
      <w:spacing w:val="0"/>
      <w:sz w:val="16"/>
      <w:szCs w:val="16"/>
    </w:rPr>
  </w:style>
  <w:style w:type="character" w:customStyle="1" w:styleId="328">
    <w:name w:val="Подпись к картинке (32)_"/>
    <w:basedOn w:val="a1"/>
    <w:link w:val="329"/>
    <w:rsid w:val="007C5583"/>
    <w:rPr>
      <w:rFonts w:ascii="Verdana" w:eastAsia="Verdana" w:hAnsi="Verdana" w:cs="Verdana"/>
      <w:sz w:val="8"/>
      <w:szCs w:val="8"/>
      <w:shd w:val="clear" w:color="auto" w:fill="FFFFFF"/>
      <w:lang w:val="en-US"/>
    </w:rPr>
  </w:style>
  <w:style w:type="paragraph" w:customStyle="1" w:styleId="329">
    <w:name w:val="Подпись к картинке (32)"/>
    <w:basedOn w:val="a0"/>
    <w:link w:val="328"/>
    <w:rsid w:val="007C5583"/>
    <w:pPr>
      <w:shd w:val="clear" w:color="auto" w:fill="FFFFFF"/>
      <w:spacing w:after="0" w:line="0" w:lineRule="atLeast"/>
    </w:pPr>
    <w:rPr>
      <w:rFonts w:ascii="Verdana" w:eastAsia="Verdana" w:hAnsi="Verdana" w:cs="Verdana"/>
      <w:sz w:val="8"/>
      <w:szCs w:val="8"/>
      <w:lang w:val="en-US" w:eastAsia="ru-RU"/>
    </w:rPr>
  </w:style>
  <w:style w:type="character" w:customStyle="1" w:styleId="325pt">
    <w:name w:val="Подпись к картинке (32) + 5 pt"/>
    <w:basedOn w:val="328"/>
    <w:rsid w:val="007C5583"/>
    <w:rPr>
      <w:rFonts w:ascii="Verdana" w:eastAsia="Verdana" w:hAnsi="Verdana" w:cs="Verdana"/>
      <w:spacing w:val="0"/>
      <w:sz w:val="10"/>
      <w:szCs w:val="10"/>
      <w:shd w:val="clear" w:color="auto" w:fill="FFFFFF"/>
      <w:lang w:val="en-US"/>
    </w:rPr>
  </w:style>
  <w:style w:type="character" w:customStyle="1" w:styleId="400">
    <w:name w:val="Основной текст40"/>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17">
    <w:name w:val="Основной текст41"/>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7pt">
    <w:name w:val="Основной текст (38) + 7 pt;Не полужирный"/>
    <w:basedOn w:val="380"/>
    <w:rsid w:val="007C5583"/>
    <w:rPr>
      <w:rFonts w:ascii="Franklin Gothic Book" w:eastAsia="Franklin Gothic Book" w:hAnsi="Franklin Gothic Book" w:cs="Franklin Gothic Book"/>
      <w:b/>
      <w:bCs/>
      <w:i w:val="0"/>
      <w:iCs w:val="0"/>
      <w:smallCaps w:val="0"/>
      <w:strike w:val="0"/>
      <w:spacing w:val="0"/>
      <w:sz w:val="14"/>
      <w:szCs w:val="14"/>
    </w:rPr>
  </w:style>
  <w:style w:type="character" w:customStyle="1" w:styleId="364">
    <w:name w:val="Основной текст (36) + Не курсив"/>
    <w:basedOn w:val="362"/>
    <w:rsid w:val="007C5583"/>
    <w:rPr>
      <w:rFonts w:ascii="Franklin Gothic Book" w:eastAsia="Franklin Gothic Book" w:hAnsi="Franklin Gothic Book" w:cs="Franklin Gothic Book"/>
      <w:b w:val="0"/>
      <w:bCs w:val="0"/>
      <w:i/>
      <w:iCs/>
      <w:smallCaps w:val="0"/>
      <w:strike w:val="0"/>
      <w:spacing w:val="0"/>
      <w:sz w:val="15"/>
      <w:szCs w:val="15"/>
    </w:rPr>
  </w:style>
  <w:style w:type="character" w:customStyle="1" w:styleId="38TimesNewRoman7pt">
    <w:name w:val="Основной текст (38) + Times New Roman;7 pt;Не полужирный"/>
    <w:basedOn w:val="380"/>
    <w:rsid w:val="007C5583"/>
    <w:rPr>
      <w:rFonts w:ascii="Times New Roman" w:eastAsia="Times New Roman" w:hAnsi="Times New Roman" w:cs="Times New Roman"/>
      <w:b/>
      <w:bCs/>
      <w:i w:val="0"/>
      <w:iCs w:val="0"/>
      <w:smallCaps w:val="0"/>
      <w:strike w:val="0"/>
      <w:spacing w:val="0"/>
      <w:sz w:val="14"/>
      <w:szCs w:val="14"/>
    </w:rPr>
  </w:style>
  <w:style w:type="character" w:customStyle="1" w:styleId="380pt">
    <w:name w:val="Основной текст (38) + Не полужирный;Интервал 0 pt"/>
    <w:basedOn w:val="380"/>
    <w:rsid w:val="007C5583"/>
    <w:rPr>
      <w:rFonts w:ascii="Franklin Gothic Book" w:eastAsia="Franklin Gothic Book" w:hAnsi="Franklin Gothic Book" w:cs="Franklin Gothic Book"/>
      <w:b/>
      <w:bCs/>
      <w:i w:val="0"/>
      <w:iCs w:val="0"/>
      <w:smallCaps w:val="0"/>
      <w:strike w:val="0"/>
      <w:spacing w:val="-10"/>
      <w:sz w:val="13"/>
      <w:szCs w:val="13"/>
    </w:rPr>
  </w:style>
  <w:style w:type="character" w:customStyle="1" w:styleId="38ArialUnicodeMS">
    <w:name w:val="Основной текст (38) + Arial Unicode MS;Не полужирный"/>
    <w:basedOn w:val="380"/>
    <w:rsid w:val="007C5583"/>
    <w:rPr>
      <w:rFonts w:ascii="Arial Unicode MS" w:eastAsia="Arial Unicode MS" w:hAnsi="Arial Unicode MS" w:cs="Arial Unicode MS"/>
      <w:b/>
      <w:bCs/>
      <w:i w:val="0"/>
      <w:iCs w:val="0"/>
      <w:smallCaps w:val="0"/>
      <w:strike w:val="0"/>
      <w:spacing w:val="0"/>
      <w:sz w:val="13"/>
      <w:szCs w:val="13"/>
    </w:rPr>
  </w:style>
  <w:style w:type="paragraph" w:customStyle="1" w:styleId="1290">
    <w:name w:val="Основной текст129"/>
    <w:basedOn w:val="a0"/>
    <w:rsid w:val="007C5583"/>
    <w:pPr>
      <w:shd w:val="clear" w:color="auto" w:fill="FFFFFF"/>
      <w:spacing w:after="120" w:line="202" w:lineRule="exact"/>
      <w:jc w:val="both"/>
    </w:pPr>
    <w:rPr>
      <w:rFonts w:ascii="Franklin Gothic Book" w:eastAsia="Franklin Gothic Book" w:hAnsi="Franklin Gothic Book" w:cs="Franklin Gothic Book"/>
      <w:color w:val="000000"/>
      <w:sz w:val="15"/>
      <w:szCs w:val="15"/>
      <w:lang w:val="ru" w:eastAsia="ru-RU"/>
    </w:rPr>
  </w:style>
  <w:style w:type="character" w:customStyle="1" w:styleId="654">
    <w:name w:val="Основной текст (65) + Не курсив"/>
    <w:basedOn w:val="651"/>
    <w:rsid w:val="007C5583"/>
    <w:rPr>
      <w:rFonts w:ascii="Franklin Gothic Book" w:eastAsia="Franklin Gothic Book" w:hAnsi="Franklin Gothic Book" w:cs="Franklin Gothic Book"/>
      <w:b w:val="0"/>
      <w:bCs w:val="0"/>
      <w:i/>
      <w:iCs/>
      <w:smallCaps w:val="0"/>
      <w:strike w:val="0"/>
      <w:noProof/>
      <w:spacing w:val="0"/>
      <w:sz w:val="15"/>
      <w:szCs w:val="15"/>
      <w:shd w:val="clear" w:color="auto" w:fill="FFFFFF"/>
    </w:rPr>
  </w:style>
  <w:style w:type="character" w:customStyle="1" w:styleId="62-2pt">
    <w:name w:val="Основной текст (62) + Интервал -2 pt"/>
    <w:basedOn w:val="623"/>
    <w:rsid w:val="007C5583"/>
    <w:rPr>
      <w:rFonts w:ascii="Segoe UI" w:eastAsia="Segoe UI" w:hAnsi="Segoe UI" w:cs="Segoe UI"/>
      <w:b w:val="0"/>
      <w:bCs w:val="0"/>
      <w:i w:val="0"/>
      <w:iCs w:val="0"/>
      <w:smallCaps w:val="0"/>
      <w:strike w:val="0"/>
      <w:color w:val="FFFFFF"/>
      <w:spacing w:val="-40"/>
      <w:sz w:val="35"/>
      <w:szCs w:val="35"/>
      <w:shd w:val="clear" w:color="auto" w:fill="FFFFFF"/>
    </w:rPr>
  </w:style>
  <w:style w:type="character" w:customStyle="1" w:styleId="ArialUnicodeMS6pt0pt">
    <w:name w:val="Подпись к картинке + Arial Unicode MS;6 pt;Не полужирный;Курсив;Интервал 0 pt"/>
    <w:basedOn w:val="affd"/>
    <w:rsid w:val="007C5583"/>
    <w:rPr>
      <w:rFonts w:ascii="Arial Unicode MS" w:eastAsia="Arial Unicode MS" w:hAnsi="Arial Unicode MS" w:cs="Arial Unicode MS"/>
      <w:b/>
      <w:bCs/>
      <w:i/>
      <w:iCs/>
      <w:smallCaps w:val="0"/>
      <w:strike w:val="0"/>
      <w:spacing w:val="10"/>
      <w:sz w:val="12"/>
      <w:szCs w:val="12"/>
      <w:shd w:val="clear" w:color="auto" w:fill="FFFFFF"/>
      <w:lang w:eastAsia="en-US"/>
    </w:rPr>
  </w:style>
  <w:style w:type="character" w:customStyle="1" w:styleId="SegoeUI75pt">
    <w:name w:val="Основной текст + Segoe UI;7;5 pt;Курсив"/>
    <w:basedOn w:val="aff2"/>
    <w:rsid w:val="007C5583"/>
    <w:rPr>
      <w:rFonts w:ascii="Segoe UI" w:eastAsia="Segoe UI" w:hAnsi="Segoe UI" w:cs="Segoe UI"/>
      <w:b w:val="0"/>
      <w:bCs w:val="0"/>
      <w:i/>
      <w:iCs/>
      <w:smallCaps w:val="0"/>
      <w:strike w:val="0"/>
      <w:spacing w:val="0"/>
      <w:sz w:val="15"/>
      <w:szCs w:val="15"/>
      <w:shd w:val="clear" w:color="auto" w:fill="FFFFFF"/>
    </w:rPr>
  </w:style>
  <w:style w:type="character" w:customStyle="1" w:styleId="42Tahoma65pt">
    <w:name w:val="Основной текст (42) + Tahoma;6;5 pt;Не курсив"/>
    <w:basedOn w:val="425"/>
    <w:rsid w:val="007C5583"/>
    <w:rPr>
      <w:rFonts w:ascii="Tahoma" w:eastAsia="Tahoma" w:hAnsi="Tahoma" w:cs="Tahoma"/>
      <w:b w:val="0"/>
      <w:bCs w:val="0"/>
      <w:i/>
      <w:iCs/>
      <w:smallCaps w:val="0"/>
      <w:strike w:val="0"/>
      <w:spacing w:val="0"/>
      <w:sz w:val="13"/>
      <w:szCs w:val="13"/>
    </w:rPr>
  </w:style>
  <w:style w:type="character" w:customStyle="1" w:styleId="2ff1">
    <w:name w:val="Основной текст (2) + Не курсив"/>
    <w:basedOn w:val="2a"/>
    <w:rsid w:val="007C5583"/>
    <w:rPr>
      <w:rFonts w:ascii="Arial" w:eastAsia="Arial" w:hAnsi="Arial" w:cs="Arial"/>
      <w:b w:val="0"/>
      <w:bCs w:val="0"/>
      <w:i/>
      <w:iCs/>
      <w:smallCaps w:val="0"/>
      <w:strike w:val="0"/>
      <w:spacing w:val="0"/>
      <w:w w:val="80"/>
      <w:sz w:val="15"/>
      <w:szCs w:val="15"/>
      <w:shd w:val="clear" w:color="auto" w:fill="FFFFFF"/>
      <w:lang w:eastAsia="en-US"/>
    </w:rPr>
  </w:style>
  <w:style w:type="character" w:customStyle="1" w:styleId="affffff4">
    <w:name w:val="Сноска + Не курсив"/>
    <w:basedOn w:val="aff6"/>
    <w:rsid w:val="007C5583"/>
    <w:rPr>
      <w:rFonts w:ascii="Arial" w:eastAsia="Arial" w:hAnsi="Arial" w:cs="Arial"/>
      <w:b w:val="0"/>
      <w:bCs w:val="0"/>
      <w:i/>
      <w:iCs/>
      <w:smallCaps w:val="0"/>
      <w:strike w:val="0"/>
      <w:noProof/>
      <w:spacing w:val="0"/>
      <w:sz w:val="13"/>
      <w:szCs w:val="13"/>
      <w:shd w:val="clear" w:color="auto" w:fill="FFFFFF"/>
      <w:lang w:val="en-US" w:eastAsia="en-US"/>
    </w:rPr>
  </w:style>
  <w:style w:type="character" w:customStyle="1" w:styleId="5pt">
    <w:name w:val="Сноска + 5 pt;Не курсив"/>
    <w:basedOn w:val="aff6"/>
    <w:rsid w:val="007C5583"/>
    <w:rPr>
      <w:rFonts w:ascii="Arial" w:eastAsia="Arial" w:hAnsi="Arial" w:cs="Arial"/>
      <w:b w:val="0"/>
      <w:bCs w:val="0"/>
      <w:i/>
      <w:iCs/>
      <w:smallCaps w:val="0"/>
      <w:strike w:val="0"/>
      <w:noProof/>
      <w:spacing w:val="0"/>
      <w:sz w:val="10"/>
      <w:szCs w:val="10"/>
      <w:shd w:val="clear" w:color="auto" w:fill="FFFFFF"/>
      <w:lang w:val="en-US" w:eastAsia="en-US"/>
    </w:rPr>
  </w:style>
  <w:style w:type="character" w:customStyle="1" w:styleId="Candara85pt">
    <w:name w:val="Основной текст + Candara;8;5 pt"/>
    <w:basedOn w:val="aff2"/>
    <w:rsid w:val="007C5583"/>
    <w:rPr>
      <w:rFonts w:ascii="Candara" w:eastAsia="Candara" w:hAnsi="Candara" w:cs="Candara"/>
      <w:b w:val="0"/>
      <w:bCs w:val="0"/>
      <w:i w:val="0"/>
      <w:iCs w:val="0"/>
      <w:smallCaps w:val="0"/>
      <w:strike w:val="0"/>
      <w:spacing w:val="0"/>
      <w:w w:val="100"/>
      <w:sz w:val="17"/>
      <w:szCs w:val="17"/>
      <w:shd w:val="clear" w:color="auto" w:fill="FFFFFF"/>
    </w:rPr>
  </w:style>
  <w:style w:type="character" w:customStyle="1" w:styleId="734">
    <w:name w:val="Заголовок №7 (3)_"/>
    <w:basedOn w:val="a1"/>
    <w:link w:val="735"/>
    <w:rsid w:val="007C5583"/>
    <w:rPr>
      <w:rFonts w:ascii="Arial" w:eastAsia="Arial" w:hAnsi="Arial" w:cs="Arial"/>
      <w:sz w:val="16"/>
      <w:szCs w:val="16"/>
      <w:shd w:val="clear" w:color="auto" w:fill="FFFFFF"/>
    </w:rPr>
  </w:style>
  <w:style w:type="paragraph" w:customStyle="1" w:styleId="735">
    <w:name w:val="Заголовок №7 (3)"/>
    <w:basedOn w:val="a0"/>
    <w:link w:val="734"/>
    <w:rsid w:val="007C5583"/>
    <w:pPr>
      <w:shd w:val="clear" w:color="auto" w:fill="FFFFFF"/>
      <w:spacing w:before="180" w:after="180" w:line="0" w:lineRule="atLeast"/>
      <w:outlineLvl w:val="6"/>
    </w:pPr>
    <w:rPr>
      <w:rFonts w:ascii="Arial" w:eastAsia="Arial" w:hAnsi="Arial" w:cs="Arial"/>
      <w:sz w:val="16"/>
      <w:szCs w:val="16"/>
      <w:lang w:eastAsia="ru-RU"/>
    </w:rPr>
  </w:style>
  <w:style w:type="character" w:customStyle="1" w:styleId="1ff">
    <w:name w:val="Неразрешенное упоминание1"/>
    <w:basedOn w:val="a1"/>
    <w:uiPriority w:val="99"/>
    <w:semiHidden/>
    <w:unhideWhenUsed/>
    <w:rsid w:val="007C5583"/>
    <w:rPr>
      <w:color w:val="605E5C"/>
      <w:shd w:val="clear" w:color="auto" w:fill="E1DFDD"/>
    </w:rPr>
  </w:style>
  <w:style w:type="paragraph" w:customStyle="1" w:styleId="ql-align-right">
    <w:name w:val="ql-align-right"/>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53">
    <w:name w:val="Заголовок №5_"/>
    <w:basedOn w:val="a1"/>
    <w:link w:val="52"/>
    <w:rsid w:val="007C5583"/>
    <w:rPr>
      <w:rFonts w:ascii="Arial Narrow" w:hAnsi="Arial Narrow" w:cs="Arial Narrow"/>
      <w:b/>
      <w:bCs/>
      <w:sz w:val="46"/>
      <w:szCs w:val="46"/>
      <w:shd w:val="clear" w:color="auto" w:fill="FFFFFF"/>
      <w:lang w:eastAsia="en-US"/>
    </w:rPr>
  </w:style>
  <w:style w:type="character" w:customStyle="1" w:styleId="6e">
    <w:name w:val="Основной текст (6) + Курсив"/>
    <w:basedOn w:val="6c"/>
    <w:rsid w:val="007C5583"/>
    <w:rPr>
      <w:rFonts w:ascii="Times New Roman" w:eastAsia="Times New Roman" w:hAnsi="Times New Roman" w:cs="Times New Roman"/>
      <w:b w:val="0"/>
      <w:bCs w:val="0"/>
      <w:i/>
      <w:iCs/>
      <w:smallCaps w:val="0"/>
      <w:strike w:val="0"/>
      <w:spacing w:val="0"/>
      <w:sz w:val="17"/>
      <w:szCs w:val="17"/>
      <w:shd w:val="clear" w:color="auto" w:fill="FFFFFF"/>
      <w:lang w:eastAsia="ru-RU"/>
    </w:rPr>
  </w:style>
  <w:style w:type="character" w:customStyle="1" w:styleId="affffff5">
    <w:name w:val="Подпись к картинке + Не курсив"/>
    <w:basedOn w:val="affd"/>
    <w:rsid w:val="007C5583"/>
    <w:rPr>
      <w:rFonts w:ascii="Times New Roman" w:eastAsia="Times New Roman" w:hAnsi="Times New Roman" w:cs="Times New Roman"/>
      <w:b w:val="0"/>
      <w:bCs w:val="0"/>
      <w:i/>
      <w:iCs/>
      <w:smallCaps w:val="0"/>
      <w:strike w:val="0"/>
      <w:spacing w:val="0"/>
      <w:sz w:val="17"/>
      <w:szCs w:val="17"/>
      <w:shd w:val="clear" w:color="auto" w:fill="FFFFFF"/>
      <w:lang w:eastAsia="en-US"/>
    </w:rPr>
  </w:style>
  <w:style w:type="character" w:customStyle="1" w:styleId="13pt0">
    <w:name w:val="Основной текст + 13 pt;Малые прописные"/>
    <w:basedOn w:val="aff2"/>
    <w:rsid w:val="007C5583"/>
    <w:rPr>
      <w:rFonts w:ascii="Times New Roman" w:eastAsia="Times New Roman" w:hAnsi="Times New Roman" w:cs="Times New Roman"/>
      <w:b w:val="0"/>
      <w:bCs w:val="0"/>
      <w:i w:val="0"/>
      <w:iCs w:val="0"/>
      <w:smallCaps/>
      <w:strike w:val="0"/>
      <w:spacing w:val="0"/>
      <w:sz w:val="26"/>
      <w:szCs w:val="26"/>
      <w:shd w:val="clear" w:color="auto" w:fill="FFFFFF"/>
    </w:rPr>
  </w:style>
  <w:style w:type="character" w:customStyle="1" w:styleId="45pt0pt">
    <w:name w:val="Основной текст + 4;5 pt;Интервал 0 pt"/>
    <w:basedOn w:val="aff2"/>
    <w:rsid w:val="007C5583"/>
    <w:rPr>
      <w:rFonts w:ascii="Times New Roman" w:eastAsia="Times New Roman" w:hAnsi="Times New Roman" w:cs="Times New Roman"/>
      <w:b w:val="0"/>
      <w:bCs w:val="0"/>
      <w:i w:val="0"/>
      <w:iCs w:val="0"/>
      <w:smallCaps w:val="0"/>
      <w:strike w:val="0"/>
      <w:spacing w:val="10"/>
      <w:sz w:val="9"/>
      <w:szCs w:val="9"/>
      <w:shd w:val="clear" w:color="auto" w:fill="FFFFFF"/>
    </w:rPr>
  </w:style>
  <w:style w:type="character" w:customStyle="1" w:styleId="MicrosoftSansSerif9pt">
    <w:name w:val="Основной текст + Microsoft Sans Serif;9 pt"/>
    <w:basedOn w:val="aff2"/>
    <w:rsid w:val="007C5583"/>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6-1pt">
    <w:name w:val="Основной текст (16) + Интервал -1 pt"/>
    <w:basedOn w:val="164"/>
    <w:rsid w:val="007C5583"/>
    <w:rPr>
      <w:rFonts w:ascii="Times New Roman" w:eastAsia="Times New Roman" w:hAnsi="Times New Roman" w:cs="Times New Roman"/>
      <w:b w:val="0"/>
      <w:bCs w:val="0"/>
      <w:i w:val="0"/>
      <w:iCs w:val="0"/>
      <w:smallCaps w:val="0"/>
      <w:strike w:val="0"/>
      <w:spacing w:val="-20"/>
      <w:w w:val="50"/>
      <w:sz w:val="68"/>
      <w:szCs w:val="68"/>
      <w:lang w:val="en-US"/>
    </w:rPr>
  </w:style>
  <w:style w:type="character" w:customStyle="1" w:styleId="110pt">
    <w:name w:val="Основной текст (11) + Интервал 0 pt"/>
    <w:basedOn w:val="11c"/>
    <w:rsid w:val="007C5583"/>
    <w:rPr>
      <w:rFonts w:ascii="Times New Roman" w:eastAsia="Times New Roman" w:hAnsi="Times New Roman" w:cs="Times New Roman"/>
      <w:b w:val="0"/>
      <w:bCs w:val="0"/>
      <w:i w:val="0"/>
      <w:iCs w:val="0"/>
      <w:smallCaps w:val="0"/>
      <w:strike w:val="0"/>
      <w:spacing w:val="0"/>
      <w:sz w:val="9"/>
      <w:szCs w:val="9"/>
    </w:rPr>
  </w:style>
  <w:style w:type="character" w:customStyle="1" w:styleId="Impact95pt1pt">
    <w:name w:val="Колонтитул + Impact;9;5 pt;Интервал 1 pt"/>
    <w:basedOn w:val="affa"/>
    <w:rsid w:val="007C5583"/>
    <w:rPr>
      <w:rFonts w:ascii="Impact" w:eastAsia="Impact" w:hAnsi="Impact" w:cs="Impact"/>
      <w:b w:val="0"/>
      <w:bCs w:val="0"/>
      <w:i w:val="0"/>
      <w:iCs w:val="0"/>
      <w:smallCaps w:val="0"/>
      <w:strike w:val="0"/>
      <w:spacing w:val="20"/>
      <w:w w:val="100"/>
      <w:sz w:val="19"/>
      <w:szCs w:val="19"/>
      <w:shd w:val="clear" w:color="auto" w:fill="FFFFFF"/>
      <w:lang w:eastAsia="en-US"/>
    </w:rPr>
  </w:style>
  <w:style w:type="character" w:customStyle="1" w:styleId="155pt50">
    <w:name w:val="Колонтитул + 15;5 pt;Масштаб 50%"/>
    <w:basedOn w:val="affa"/>
    <w:rsid w:val="007C5583"/>
    <w:rPr>
      <w:rFonts w:ascii="Times New Roman" w:hAnsi="Times New Roman"/>
      <w:b w:val="0"/>
      <w:bCs w:val="0"/>
      <w:i w:val="0"/>
      <w:iCs w:val="0"/>
      <w:smallCaps w:val="0"/>
      <w:strike w:val="0"/>
      <w:spacing w:val="0"/>
      <w:w w:val="50"/>
      <w:sz w:val="31"/>
      <w:szCs w:val="31"/>
      <w:shd w:val="clear" w:color="auto" w:fill="FFFFFF"/>
      <w:lang w:eastAsia="en-US"/>
    </w:rPr>
  </w:style>
  <w:style w:type="character" w:customStyle="1" w:styleId="524">
    <w:name w:val="Заголовок №5 (2)_"/>
    <w:basedOn w:val="a1"/>
    <w:rsid w:val="007C5583"/>
    <w:rPr>
      <w:rFonts w:ascii="Times New Roman" w:eastAsia="Times New Roman" w:hAnsi="Times New Roman" w:cs="Times New Roman"/>
      <w:b w:val="0"/>
      <w:bCs w:val="0"/>
      <w:i w:val="0"/>
      <w:iCs w:val="0"/>
      <w:smallCaps w:val="0"/>
      <w:strike w:val="0"/>
      <w:spacing w:val="0"/>
      <w:sz w:val="21"/>
      <w:szCs w:val="21"/>
    </w:rPr>
  </w:style>
  <w:style w:type="character" w:customStyle="1" w:styleId="245pt">
    <w:name w:val="Основной текст (24) + Интервал 5 pt"/>
    <w:basedOn w:val="242"/>
    <w:rsid w:val="007C5583"/>
    <w:rPr>
      <w:rFonts w:ascii="Microsoft Sans Serif" w:eastAsia="Microsoft Sans Serif" w:hAnsi="Microsoft Sans Serif" w:cs="Microsoft Sans Serif"/>
      <w:b w:val="0"/>
      <w:bCs w:val="0"/>
      <w:i w:val="0"/>
      <w:iCs w:val="0"/>
      <w:smallCaps w:val="0"/>
      <w:strike w:val="0"/>
      <w:spacing w:val="100"/>
      <w:sz w:val="152"/>
      <w:szCs w:val="152"/>
    </w:rPr>
  </w:style>
  <w:style w:type="character" w:customStyle="1" w:styleId="525">
    <w:name w:val="Заголовок №5 (2)"/>
    <w:basedOn w:val="524"/>
    <w:rsid w:val="007C5583"/>
    <w:rPr>
      <w:rFonts w:ascii="Times New Roman" w:eastAsia="Times New Roman" w:hAnsi="Times New Roman" w:cs="Times New Roman"/>
      <w:b w:val="0"/>
      <w:bCs w:val="0"/>
      <w:i w:val="0"/>
      <w:iCs w:val="0"/>
      <w:smallCaps w:val="0"/>
      <w:strike w:val="0"/>
      <w:spacing w:val="0"/>
      <w:sz w:val="21"/>
      <w:szCs w:val="21"/>
    </w:rPr>
  </w:style>
  <w:style w:type="character" w:customStyle="1" w:styleId="426">
    <w:name w:val="Заголовок №4 (2)_"/>
    <w:basedOn w:val="a1"/>
    <w:rsid w:val="007C5583"/>
    <w:rPr>
      <w:rFonts w:ascii="Microsoft Sans Serif" w:eastAsia="Microsoft Sans Serif" w:hAnsi="Microsoft Sans Serif" w:cs="Microsoft Sans Serif"/>
      <w:b w:val="0"/>
      <w:bCs w:val="0"/>
      <w:i w:val="0"/>
      <w:iCs w:val="0"/>
      <w:smallCaps w:val="0"/>
      <w:strike w:val="0"/>
      <w:spacing w:val="10"/>
      <w:sz w:val="18"/>
      <w:szCs w:val="18"/>
    </w:rPr>
  </w:style>
  <w:style w:type="character" w:customStyle="1" w:styleId="420pt">
    <w:name w:val="Заголовок №4 (2) + Интервал 0 pt"/>
    <w:basedOn w:val="426"/>
    <w:rsid w:val="007C5583"/>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250pt">
    <w:name w:val="Основной текст (25) + Интервал 0 pt"/>
    <w:basedOn w:val="253"/>
    <w:rsid w:val="007C5583"/>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3ff2">
    <w:name w:val="Подпись к таблице (3)_"/>
    <w:basedOn w:val="a1"/>
    <w:rsid w:val="007C5583"/>
    <w:rPr>
      <w:rFonts w:ascii="Times New Roman" w:eastAsia="Times New Roman" w:hAnsi="Times New Roman" w:cs="Times New Roman"/>
      <w:b w:val="0"/>
      <w:bCs w:val="0"/>
      <w:i w:val="0"/>
      <w:iCs w:val="0"/>
      <w:smallCaps w:val="0"/>
      <w:strike w:val="0"/>
      <w:spacing w:val="0"/>
      <w:sz w:val="17"/>
      <w:szCs w:val="17"/>
    </w:rPr>
  </w:style>
  <w:style w:type="character" w:customStyle="1" w:styleId="435">
    <w:name w:val="Заголовок №4 (3)_"/>
    <w:basedOn w:val="a1"/>
    <w:link w:val="436"/>
    <w:rsid w:val="007C5583"/>
    <w:rPr>
      <w:rFonts w:ascii="Microsoft Sans Serif" w:eastAsia="Microsoft Sans Serif" w:hAnsi="Microsoft Sans Serif" w:cs="Microsoft Sans Serif"/>
      <w:shd w:val="clear" w:color="auto" w:fill="FFFFFF"/>
    </w:rPr>
  </w:style>
  <w:style w:type="paragraph" w:customStyle="1" w:styleId="436">
    <w:name w:val="Заголовок №4 (3)"/>
    <w:basedOn w:val="a0"/>
    <w:link w:val="435"/>
    <w:rsid w:val="007C5583"/>
    <w:pPr>
      <w:shd w:val="clear" w:color="auto" w:fill="FFFFFF"/>
      <w:spacing w:after="240" w:line="216" w:lineRule="exact"/>
      <w:jc w:val="center"/>
      <w:outlineLvl w:val="3"/>
    </w:pPr>
    <w:rPr>
      <w:rFonts w:ascii="Microsoft Sans Serif" w:eastAsia="Microsoft Sans Serif" w:hAnsi="Microsoft Sans Serif" w:cs="Microsoft Sans Serif"/>
      <w:sz w:val="20"/>
      <w:szCs w:val="20"/>
      <w:lang w:eastAsia="ru-RU"/>
    </w:rPr>
  </w:style>
  <w:style w:type="character" w:customStyle="1" w:styleId="3ff3">
    <w:name w:val="Подпись к таблице (3)"/>
    <w:basedOn w:val="3ff2"/>
    <w:rsid w:val="007C5583"/>
    <w:rPr>
      <w:rFonts w:ascii="Times New Roman" w:eastAsia="Times New Roman" w:hAnsi="Times New Roman" w:cs="Times New Roman"/>
      <w:b w:val="0"/>
      <w:bCs w:val="0"/>
      <w:i w:val="0"/>
      <w:iCs w:val="0"/>
      <w:smallCaps w:val="0"/>
      <w:strike w:val="0"/>
      <w:spacing w:val="0"/>
      <w:sz w:val="17"/>
      <w:szCs w:val="17"/>
    </w:rPr>
  </w:style>
  <w:style w:type="character" w:customStyle="1" w:styleId="32a">
    <w:name w:val="Заголовок №3 (2)_"/>
    <w:basedOn w:val="a1"/>
    <w:rsid w:val="007C5583"/>
    <w:rPr>
      <w:rFonts w:ascii="Impact" w:eastAsia="Impact" w:hAnsi="Impact" w:cs="Impact"/>
      <w:b w:val="0"/>
      <w:bCs w:val="0"/>
      <w:i w:val="0"/>
      <w:iCs w:val="0"/>
      <w:smallCaps w:val="0"/>
      <w:strike w:val="0"/>
      <w:spacing w:val="0"/>
      <w:sz w:val="19"/>
      <w:szCs w:val="19"/>
    </w:rPr>
  </w:style>
  <w:style w:type="character" w:customStyle="1" w:styleId="263pt">
    <w:name w:val="Основной текст (26) + Интервал 3 pt"/>
    <w:basedOn w:val="263"/>
    <w:rsid w:val="007C5583"/>
    <w:rPr>
      <w:rFonts w:ascii="Times New Roman" w:eastAsia="Times New Roman" w:hAnsi="Times New Roman" w:cs="Times New Roman"/>
      <w:b w:val="0"/>
      <w:bCs w:val="0"/>
      <w:i w:val="0"/>
      <w:iCs w:val="0"/>
      <w:smallCaps w:val="0"/>
      <w:strike w:val="0"/>
      <w:spacing w:val="70"/>
      <w:w w:val="50"/>
      <w:sz w:val="45"/>
      <w:szCs w:val="45"/>
      <w:shd w:val="clear" w:color="auto" w:fill="FFFFFF"/>
      <w:lang w:val="en-US"/>
    </w:rPr>
  </w:style>
  <w:style w:type="character" w:customStyle="1" w:styleId="26MicrosoftSansSerif76pt5pt100">
    <w:name w:val="Основной текст (26) + Microsoft Sans Serif;76 pt;Курсив;Интервал 5 pt;Масштаб 100%"/>
    <w:basedOn w:val="263"/>
    <w:rsid w:val="007C5583"/>
    <w:rPr>
      <w:rFonts w:ascii="Microsoft Sans Serif" w:eastAsia="Microsoft Sans Serif" w:hAnsi="Microsoft Sans Serif" w:cs="Microsoft Sans Serif"/>
      <w:b w:val="0"/>
      <w:bCs w:val="0"/>
      <w:i/>
      <w:iCs/>
      <w:smallCaps w:val="0"/>
      <w:strike w:val="0"/>
      <w:spacing w:val="100"/>
      <w:w w:val="100"/>
      <w:sz w:val="152"/>
      <w:szCs w:val="152"/>
      <w:shd w:val="clear" w:color="auto" w:fill="FFFFFF"/>
    </w:rPr>
  </w:style>
  <w:style w:type="character" w:customStyle="1" w:styleId="26105pt100">
    <w:name w:val="Основной текст (26) + 10;5 pt;Курсив;Масштаб 100%"/>
    <w:basedOn w:val="263"/>
    <w:rsid w:val="007C5583"/>
    <w:rPr>
      <w:rFonts w:ascii="Times New Roman" w:eastAsia="Times New Roman" w:hAnsi="Times New Roman" w:cs="Times New Roman"/>
      <w:b w:val="0"/>
      <w:bCs w:val="0"/>
      <w:i/>
      <w:iCs/>
      <w:smallCaps w:val="0"/>
      <w:strike w:val="0"/>
      <w:spacing w:val="0"/>
      <w:w w:val="100"/>
      <w:sz w:val="21"/>
      <w:szCs w:val="21"/>
      <w:shd w:val="clear" w:color="auto" w:fill="FFFFFF"/>
    </w:rPr>
  </w:style>
  <w:style w:type="character" w:customStyle="1" w:styleId="85pt0">
    <w:name w:val="Основной текст + 8;5 pt;Курсив"/>
    <w:basedOn w:val="aff2"/>
    <w:rsid w:val="007C5583"/>
    <w:rPr>
      <w:rFonts w:ascii="Times New Roman" w:eastAsia="Times New Roman" w:hAnsi="Times New Roman" w:cs="Times New Roman"/>
      <w:b w:val="0"/>
      <w:bCs w:val="0"/>
      <w:i/>
      <w:iCs/>
      <w:smallCaps w:val="0"/>
      <w:strike w:val="0"/>
      <w:spacing w:val="0"/>
      <w:sz w:val="17"/>
      <w:szCs w:val="17"/>
      <w:shd w:val="clear" w:color="auto" w:fill="FFFFFF"/>
      <w:lang w:val="en-US"/>
    </w:rPr>
  </w:style>
  <w:style w:type="character" w:customStyle="1" w:styleId="Impact50">
    <w:name w:val="Колонтитул + Impact;Курсив;Масштаб 50%"/>
    <w:basedOn w:val="affa"/>
    <w:rsid w:val="007C5583"/>
    <w:rPr>
      <w:rFonts w:ascii="Impact" w:eastAsia="Impact" w:hAnsi="Impact" w:cs="Impact"/>
      <w:b w:val="0"/>
      <w:bCs w:val="0"/>
      <w:i/>
      <w:iCs/>
      <w:smallCaps w:val="0"/>
      <w:strike w:val="0"/>
      <w:w w:val="50"/>
      <w:shd w:val="clear" w:color="auto" w:fill="FFFFFF"/>
      <w:lang w:eastAsia="en-US"/>
    </w:rPr>
  </w:style>
  <w:style w:type="character" w:customStyle="1" w:styleId="334">
    <w:name w:val="Заголовок №3 (3)_"/>
    <w:basedOn w:val="a1"/>
    <w:rsid w:val="007C5583"/>
    <w:rPr>
      <w:rFonts w:ascii="Times New Roman" w:eastAsia="Times New Roman" w:hAnsi="Times New Roman" w:cs="Times New Roman"/>
      <w:b w:val="0"/>
      <w:bCs w:val="0"/>
      <w:i w:val="0"/>
      <w:iCs w:val="0"/>
      <w:smallCaps w:val="0"/>
      <w:strike w:val="0"/>
      <w:spacing w:val="0"/>
      <w:w w:val="50"/>
      <w:sz w:val="45"/>
      <w:szCs w:val="45"/>
    </w:rPr>
  </w:style>
  <w:style w:type="character" w:customStyle="1" w:styleId="335">
    <w:name w:val="Заголовок №3 (3)"/>
    <w:basedOn w:val="334"/>
    <w:rsid w:val="007C5583"/>
    <w:rPr>
      <w:rFonts w:ascii="Times New Roman" w:eastAsia="Times New Roman" w:hAnsi="Times New Roman" w:cs="Times New Roman"/>
      <w:b w:val="0"/>
      <w:bCs w:val="0"/>
      <w:i w:val="0"/>
      <w:iCs w:val="0"/>
      <w:smallCaps w:val="0"/>
      <w:strike w:val="0"/>
      <w:spacing w:val="0"/>
      <w:w w:val="50"/>
      <w:sz w:val="45"/>
      <w:szCs w:val="45"/>
    </w:rPr>
  </w:style>
  <w:style w:type="character" w:customStyle="1" w:styleId="533">
    <w:name w:val="Заголовок №5 (3)_"/>
    <w:basedOn w:val="a1"/>
    <w:link w:val="534"/>
    <w:rsid w:val="007C5583"/>
    <w:rPr>
      <w:rFonts w:ascii="Times New Roman" w:eastAsia="Times New Roman" w:hAnsi="Times New Roman"/>
      <w:sz w:val="23"/>
      <w:szCs w:val="23"/>
      <w:shd w:val="clear" w:color="auto" w:fill="FFFFFF"/>
    </w:rPr>
  </w:style>
  <w:style w:type="paragraph" w:customStyle="1" w:styleId="534">
    <w:name w:val="Заголовок №5 (3)"/>
    <w:basedOn w:val="a0"/>
    <w:link w:val="533"/>
    <w:rsid w:val="007C5583"/>
    <w:pPr>
      <w:shd w:val="clear" w:color="auto" w:fill="FFFFFF"/>
      <w:spacing w:before="600" w:after="60" w:line="0" w:lineRule="atLeast"/>
      <w:outlineLvl w:val="4"/>
    </w:pPr>
    <w:rPr>
      <w:rFonts w:ascii="Times New Roman" w:eastAsia="Times New Roman" w:hAnsi="Times New Roman"/>
      <w:sz w:val="23"/>
      <w:szCs w:val="23"/>
      <w:lang w:eastAsia="ru-RU"/>
    </w:rPr>
  </w:style>
  <w:style w:type="character" w:customStyle="1" w:styleId="4fd">
    <w:name w:val="Сноска (4)_"/>
    <w:basedOn w:val="a1"/>
    <w:rsid w:val="007C5583"/>
    <w:rPr>
      <w:rFonts w:ascii="Times New Roman" w:eastAsia="Times New Roman" w:hAnsi="Times New Roman" w:cs="Times New Roman"/>
      <w:b w:val="0"/>
      <w:bCs w:val="0"/>
      <w:i w:val="0"/>
      <w:iCs w:val="0"/>
      <w:smallCaps w:val="0"/>
      <w:strike w:val="0"/>
      <w:spacing w:val="0"/>
      <w:sz w:val="19"/>
      <w:szCs w:val="19"/>
    </w:rPr>
  </w:style>
  <w:style w:type="character" w:customStyle="1" w:styleId="4fe">
    <w:name w:val="Сноска (4)"/>
    <w:basedOn w:val="4fd"/>
    <w:rsid w:val="007C5583"/>
    <w:rPr>
      <w:rFonts w:ascii="Times New Roman" w:eastAsia="Times New Roman" w:hAnsi="Times New Roman" w:cs="Times New Roman"/>
      <w:b w:val="0"/>
      <w:bCs w:val="0"/>
      <w:i w:val="0"/>
      <w:iCs w:val="0"/>
      <w:smallCaps w:val="0"/>
      <w:strike w:val="0"/>
      <w:spacing w:val="0"/>
      <w:sz w:val="19"/>
      <w:szCs w:val="19"/>
    </w:rPr>
  </w:style>
  <w:style w:type="character" w:customStyle="1" w:styleId="4ff">
    <w:name w:val="Основной текст (4) + Курсив"/>
    <w:basedOn w:val="46"/>
    <w:rsid w:val="007C5583"/>
    <w:rPr>
      <w:rFonts w:ascii="Times New Roman" w:eastAsia="Times New Roman" w:hAnsi="Times New Roman" w:cs="Times New Roman"/>
      <w:b w:val="0"/>
      <w:bCs w:val="0"/>
      <w:i/>
      <w:iCs/>
      <w:smallCaps w:val="0"/>
      <w:strike w:val="0"/>
      <w:spacing w:val="0"/>
      <w:sz w:val="23"/>
      <w:szCs w:val="23"/>
      <w:shd w:val="clear" w:color="auto" w:fill="FFFFFF"/>
      <w:lang w:eastAsia="en-US"/>
    </w:rPr>
  </w:style>
  <w:style w:type="character" w:customStyle="1" w:styleId="idea">
    <w:name w:val="idea"/>
    <w:basedOn w:val="a1"/>
    <w:rsid w:val="007C5583"/>
  </w:style>
  <w:style w:type="character" w:customStyle="1" w:styleId="fieldset-legend">
    <w:name w:val="fieldset-legend"/>
    <w:basedOn w:val="a1"/>
    <w:rsid w:val="007C5583"/>
  </w:style>
  <w:style w:type="character" w:customStyle="1" w:styleId="fieldset-legend-prefix">
    <w:name w:val="fieldset-legend-prefix"/>
    <w:basedOn w:val="a1"/>
    <w:rsid w:val="007C5583"/>
  </w:style>
  <w:style w:type="paragraph" w:customStyle="1" w:styleId="rteright">
    <w:name w:val="rteright"/>
    <w:basedOn w:val="a0"/>
    <w:uiPriority w:val="99"/>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styleId="affffff6">
    <w:name w:val="Unresolved Mention"/>
    <w:basedOn w:val="a1"/>
    <w:uiPriority w:val="99"/>
    <w:semiHidden/>
    <w:unhideWhenUsed/>
    <w:rsid w:val="007C5583"/>
    <w:rPr>
      <w:color w:val="605E5C"/>
      <w:shd w:val="clear" w:color="auto" w:fill="E1DFDD"/>
    </w:rPr>
  </w:style>
  <w:style w:type="character" w:customStyle="1" w:styleId="cd-date">
    <w:name w:val="cd-date"/>
    <w:basedOn w:val="a1"/>
    <w:rsid w:val="007C5583"/>
  </w:style>
  <w:style w:type="paragraph" w:customStyle="1" w:styleId="article-stats">
    <w:name w:val="article-stats"/>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rticle-stats-date">
    <w:name w:val="article-stats-date"/>
    <w:basedOn w:val="a1"/>
    <w:rsid w:val="007C5583"/>
  </w:style>
  <w:style w:type="paragraph" w:styleId="z-0">
    <w:name w:val="HTML Top of Form"/>
    <w:basedOn w:val="a0"/>
    <w:next w:val="a0"/>
    <w:link w:val="z-2"/>
    <w:hidden/>
    <w:uiPriority w:val="99"/>
    <w:semiHidden/>
    <w:unhideWhenUsed/>
    <w:rsid w:val="007C5583"/>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Начало формы Знак"/>
    <w:basedOn w:val="a1"/>
    <w:link w:val="z-0"/>
    <w:uiPriority w:val="99"/>
    <w:semiHidden/>
    <w:rsid w:val="007C5583"/>
    <w:rPr>
      <w:rFonts w:ascii="Arial" w:eastAsia="Times New Roman" w:hAnsi="Arial" w:cs="Arial"/>
      <w:vanish/>
      <w:sz w:val="16"/>
      <w:szCs w:val="16"/>
    </w:rPr>
  </w:style>
  <w:style w:type="paragraph" w:styleId="z-3">
    <w:name w:val="HTML Bottom of Form"/>
    <w:basedOn w:val="a0"/>
    <w:next w:val="a0"/>
    <w:link w:val="z-4"/>
    <w:hidden/>
    <w:uiPriority w:val="99"/>
    <w:semiHidden/>
    <w:unhideWhenUsed/>
    <w:rsid w:val="007C5583"/>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4">
    <w:name w:val="z-Конец формы Знак"/>
    <w:basedOn w:val="a1"/>
    <w:link w:val="z-3"/>
    <w:uiPriority w:val="99"/>
    <w:semiHidden/>
    <w:rsid w:val="007C5583"/>
    <w:rPr>
      <w:rFonts w:ascii="Arial" w:eastAsia="Times New Roman" w:hAnsi="Arial" w:cs="Arial"/>
      <w:vanish/>
      <w:sz w:val="16"/>
      <w:szCs w:val="16"/>
    </w:rPr>
  </w:style>
  <w:style w:type="paragraph" w:customStyle="1" w:styleId="u-current-rating">
    <w:name w:val="u-current-rating"/>
    <w:basedOn w:val="a0"/>
    <w:rsid w:val="007C5583"/>
    <w:pPr>
      <w:spacing w:before="100" w:beforeAutospacing="1" w:after="100" w:afterAutospacing="1" w:line="240" w:lineRule="auto"/>
      <w:jc w:val="both"/>
    </w:pPr>
    <w:rPr>
      <w:rFonts w:ascii="Times New Roman" w:eastAsia="Times New Roman" w:hAnsi="Times New Roman"/>
      <w:sz w:val="24"/>
      <w:szCs w:val="24"/>
      <w:lang w:eastAsia="ru-RU"/>
    </w:rPr>
  </w:style>
  <w:style w:type="character" w:customStyle="1" w:styleId="uscl-each-counter">
    <w:name w:val="uscl-each-counter"/>
    <w:basedOn w:val="a1"/>
    <w:rsid w:val="007C5583"/>
  </w:style>
  <w:style w:type="character" w:customStyle="1" w:styleId="pbvybibe">
    <w:name w:val="pbvybibe"/>
    <w:basedOn w:val="a1"/>
    <w:rsid w:val="007C5583"/>
  </w:style>
  <w:style w:type="character" w:customStyle="1" w:styleId="bottom-info-block-content">
    <w:name w:val="bottom-info-block-content"/>
    <w:basedOn w:val="a1"/>
    <w:rsid w:val="007C5583"/>
  </w:style>
  <w:style w:type="paragraph" w:customStyle="1" w:styleId="style3">
    <w:name w:val="style3"/>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tyle31">
    <w:name w:val="style31"/>
    <w:basedOn w:val="a1"/>
    <w:rsid w:val="007C5583"/>
  </w:style>
  <w:style w:type="paragraph" w:customStyle="1" w:styleId="podprislevo1">
    <w:name w:val="podpris_levo1"/>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hl-obj">
    <w:name w:val="hl-obj"/>
    <w:basedOn w:val="a1"/>
    <w:rsid w:val="007C5583"/>
  </w:style>
  <w:style w:type="character" w:customStyle="1" w:styleId="style2">
    <w:name w:val="style2"/>
    <w:basedOn w:val="a1"/>
    <w:rsid w:val="007C5583"/>
  </w:style>
  <w:style w:type="character" w:customStyle="1" w:styleId="podprislevo">
    <w:name w:val="podpris_levo"/>
    <w:basedOn w:val="a1"/>
    <w:rsid w:val="007C5583"/>
  </w:style>
  <w:style w:type="paragraph" w:customStyle="1" w:styleId="10f">
    <w:name w:val="10"/>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85pt0pt">
    <w:name w:val="Основной текст + 8;5 pt;Полужирный;Интервал 0 pt"/>
    <w:basedOn w:val="aff2"/>
    <w:rsid w:val="007C5583"/>
    <w:rPr>
      <w:rFonts w:ascii="Arial" w:eastAsia="Arial" w:hAnsi="Arial" w:cs="Arial"/>
      <w:b/>
      <w:bCs/>
      <w:i w:val="0"/>
      <w:iCs w:val="0"/>
      <w:smallCaps w:val="0"/>
      <w:strike w:val="0"/>
      <w:spacing w:val="-10"/>
      <w:sz w:val="17"/>
      <w:szCs w:val="17"/>
      <w:shd w:val="clear" w:color="auto" w:fill="FFFFFF"/>
    </w:rPr>
  </w:style>
  <w:style w:type="paragraph" w:customStyle="1" w:styleId="msonormal0">
    <w:name w:val="msonormal"/>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ff0">
    <w:name w:val="Текст1"/>
    <w:basedOn w:val="a0"/>
    <w:rsid w:val="007C5583"/>
    <w:pPr>
      <w:widowControl w:val="0"/>
      <w:overflowPunct w:val="0"/>
      <w:autoSpaceDE w:val="0"/>
      <w:autoSpaceDN w:val="0"/>
      <w:adjustRightInd w:val="0"/>
      <w:spacing w:after="0" w:line="240" w:lineRule="auto"/>
    </w:pPr>
    <w:rPr>
      <w:rFonts w:ascii="Courier New" w:eastAsia="Times New Roman" w:hAnsi="Courier New"/>
      <w:sz w:val="20"/>
      <w:szCs w:val="20"/>
      <w:lang w:val="en-AU" w:eastAsia="ru-RU"/>
    </w:rPr>
  </w:style>
  <w:style w:type="character" w:customStyle="1" w:styleId="1ff1">
    <w:name w:val="Основной шрифт абзаца1"/>
    <w:rsid w:val="007C5583"/>
    <w:rPr>
      <w:sz w:val="20"/>
    </w:rPr>
  </w:style>
  <w:style w:type="character" w:customStyle="1" w:styleId="1ff2">
    <w:name w:val="Выделение1"/>
    <w:rsid w:val="007C5583"/>
    <w:rPr>
      <w:i/>
      <w:iCs w:val="0"/>
      <w:sz w:val="20"/>
    </w:rPr>
  </w:style>
  <w:style w:type="character" w:customStyle="1" w:styleId="1ff3">
    <w:name w:val="Строгий1"/>
    <w:rsid w:val="007C5583"/>
    <w:rPr>
      <w:b/>
      <w:bCs w:val="0"/>
      <w:sz w:val="20"/>
    </w:rPr>
  </w:style>
  <w:style w:type="character" w:customStyle="1" w:styleId="1ff4">
    <w:name w:val="Гиперссылка1"/>
    <w:rsid w:val="007C5583"/>
    <w:rPr>
      <w:color w:val="0000FF"/>
      <w:sz w:val="20"/>
      <w:u w:val="single"/>
    </w:rPr>
  </w:style>
  <w:style w:type="paragraph" w:customStyle="1" w:styleId="esnhdj">
    <w:name w:val="esnhdj"/>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xdhlk">
    <w:name w:val="cxdhlk"/>
    <w:basedOn w:val="a1"/>
    <w:rsid w:val="007C5583"/>
  </w:style>
  <w:style w:type="paragraph" w:customStyle="1" w:styleId="ftvvlh">
    <w:name w:val="ftvvlh"/>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xpkzn">
    <w:name w:val="cxpkzn"/>
    <w:basedOn w:val="a1"/>
    <w:rsid w:val="007C5583"/>
  </w:style>
  <w:style w:type="character" w:customStyle="1" w:styleId="apple-tab-span">
    <w:name w:val="apple-tab-span"/>
    <w:basedOn w:val="a1"/>
    <w:rsid w:val="007C5583"/>
  </w:style>
  <w:style w:type="paragraph" w:customStyle="1" w:styleId="jornal-9">
    <w:name w:val="jornal-9"/>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no-style-override-7">
    <w:name w:val="no-style-override-7"/>
    <w:basedOn w:val="a1"/>
    <w:rsid w:val="007C5583"/>
  </w:style>
  <w:style w:type="paragraph" w:customStyle="1" w:styleId="ya-share2item">
    <w:name w:val="ya-share2__item"/>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wp-caption-text">
    <w:name w:val="wp-caption-text"/>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ollapsible">
    <w:name w:val="collapsible"/>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tooltip">
    <w:name w:val="tooltip"/>
    <w:basedOn w:val="a1"/>
    <w:rsid w:val="007C5583"/>
  </w:style>
  <w:style w:type="character" w:styleId="HTML1">
    <w:name w:val="HTML Cite"/>
    <w:basedOn w:val="a1"/>
    <w:uiPriority w:val="99"/>
    <w:semiHidden/>
    <w:unhideWhenUsed/>
    <w:rsid w:val="007C5583"/>
    <w:rPr>
      <w:i/>
      <w:iCs/>
    </w:rPr>
  </w:style>
  <w:style w:type="character" w:customStyle="1" w:styleId="1221">
    <w:name w:val="122"/>
    <w:basedOn w:val="a1"/>
    <w:rsid w:val="007C5583"/>
  </w:style>
  <w:style w:type="character" w:customStyle="1" w:styleId="12900">
    <w:name w:val="1290"/>
    <w:basedOn w:val="a1"/>
    <w:rsid w:val="007C5583"/>
  </w:style>
  <w:style w:type="paragraph" w:customStyle="1" w:styleId="political">
    <w:name w:val="political"/>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0pt3">
    <w:name w:val="Основной текст + 10 pt;Полужирный"/>
    <w:basedOn w:val="aff2"/>
    <w:rsid w:val="007C5583"/>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4ff0">
    <w:name w:val="Подпись к картинке (4) + Полужирный"/>
    <w:basedOn w:val="a1"/>
    <w:rsid w:val="007C5583"/>
    <w:rPr>
      <w:rFonts w:ascii="Arial Narrow" w:eastAsia="Calibri" w:hAnsi="Arial Narrow" w:cs="Arial Narrow"/>
      <w:b/>
      <w:bCs/>
      <w:i/>
      <w:iCs/>
      <w:sz w:val="17"/>
      <w:szCs w:val="17"/>
      <w:shd w:val="clear" w:color="auto" w:fill="FFFFFF"/>
    </w:rPr>
  </w:style>
  <w:style w:type="character" w:customStyle="1" w:styleId="Bodytext4">
    <w:name w:val="Body text (4)_"/>
    <w:basedOn w:val="a1"/>
    <w:link w:val="Bodytext40"/>
    <w:rsid w:val="007C5583"/>
    <w:rPr>
      <w:rFonts w:ascii="Times New Roman" w:eastAsia="Times New Roman" w:hAnsi="Times New Roman"/>
      <w:sz w:val="8"/>
      <w:szCs w:val="8"/>
      <w:shd w:val="clear" w:color="auto" w:fill="FFFFFF"/>
    </w:rPr>
  </w:style>
  <w:style w:type="paragraph" w:customStyle="1" w:styleId="Bodytext40">
    <w:name w:val="Body text (4)"/>
    <w:basedOn w:val="a0"/>
    <w:link w:val="Bodytext4"/>
    <w:rsid w:val="007C5583"/>
    <w:pPr>
      <w:shd w:val="clear" w:color="auto" w:fill="FFFFFF"/>
      <w:spacing w:after="0" w:line="0" w:lineRule="atLeast"/>
      <w:jc w:val="both"/>
    </w:pPr>
    <w:rPr>
      <w:rFonts w:ascii="Times New Roman" w:eastAsia="Times New Roman" w:hAnsi="Times New Roman"/>
      <w:sz w:val="8"/>
      <w:szCs w:val="8"/>
      <w:lang w:eastAsia="ru-RU"/>
    </w:rPr>
  </w:style>
  <w:style w:type="character" w:customStyle="1" w:styleId="affffff7">
    <w:name w:val="Другое_"/>
    <w:basedOn w:val="a1"/>
    <w:link w:val="affffff8"/>
    <w:rsid w:val="007C5583"/>
    <w:rPr>
      <w:rFonts w:ascii="Arial" w:eastAsia="Arial" w:hAnsi="Arial" w:cs="Arial"/>
      <w:sz w:val="17"/>
      <w:szCs w:val="17"/>
    </w:rPr>
  </w:style>
  <w:style w:type="paragraph" w:customStyle="1" w:styleId="affffff8">
    <w:name w:val="Другое"/>
    <w:basedOn w:val="a0"/>
    <w:link w:val="affffff7"/>
    <w:rsid w:val="007C5583"/>
    <w:pPr>
      <w:widowControl w:val="0"/>
      <w:spacing w:after="0" w:line="240" w:lineRule="auto"/>
      <w:ind w:firstLine="180"/>
    </w:pPr>
    <w:rPr>
      <w:rFonts w:ascii="Arial" w:eastAsia="Arial" w:hAnsi="Arial" w:cs="Arial"/>
      <w:sz w:val="17"/>
      <w:szCs w:val="17"/>
      <w:lang w:eastAsia="ru-RU"/>
    </w:rPr>
  </w:style>
  <w:style w:type="paragraph" w:customStyle="1" w:styleId="b-articletext">
    <w:name w:val="b-article__text"/>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incutphotogallerypicsrc">
    <w:name w:val="b-incut__photogallery__pic_src"/>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quotedcommas">
    <w:name w:val="quoted__commas"/>
    <w:basedOn w:val="a1"/>
    <w:rsid w:val="007C5583"/>
  </w:style>
  <w:style w:type="character" w:customStyle="1" w:styleId="likes-count-minimalcount">
    <w:name w:val="likes-count-minimal__count"/>
    <w:basedOn w:val="a1"/>
    <w:rsid w:val="007C5583"/>
  </w:style>
  <w:style w:type="character" w:customStyle="1" w:styleId="ui-lib-buttoncontent-wrapper">
    <w:name w:val="ui-lib-button__content-wrapper"/>
    <w:basedOn w:val="a1"/>
    <w:rsid w:val="007C5583"/>
  </w:style>
  <w:style w:type="character" w:customStyle="1" w:styleId="d2edcug0">
    <w:name w:val="d2edcug0"/>
    <w:basedOn w:val="a1"/>
    <w:rsid w:val="007C5583"/>
  </w:style>
  <w:style w:type="character" w:customStyle="1" w:styleId="2ff2">
    <w:name w:val="Колонтитул (2)_"/>
    <w:basedOn w:val="a1"/>
    <w:link w:val="2ff3"/>
    <w:rsid w:val="007C5583"/>
    <w:rPr>
      <w:rFonts w:ascii="Times New Roman" w:eastAsia="Times New Roman" w:hAnsi="Times New Roman"/>
    </w:rPr>
  </w:style>
  <w:style w:type="paragraph" w:customStyle="1" w:styleId="2ff3">
    <w:name w:val="Колонтитул (2)"/>
    <w:basedOn w:val="a0"/>
    <w:link w:val="2ff2"/>
    <w:rsid w:val="007C5583"/>
    <w:pPr>
      <w:widowControl w:val="0"/>
      <w:spacing w:after="0" w:line="240" w:lineRule="auto"/>
    </w:pPr>
    <w:rPr>
      <w:rFonts w:ascii="Times New Roman" w:eastAsia="Times New Roman" w:hAnsi="Times New Roman"/>
      <w:sz w:val="20"/>
      <w:szCs w:val="20"/>
      <w:lang w:eastAsia="ru-RU"/>
    </w:rPr>
  </w:style>
  <w:style w:type="character" w:customStyle="1" w:styleId="symbol">
    <w:name w:val="symbol"/>
    <w:basedOn w:val="a1"/>
    <w:rsid w:val="007C5583"/>
  </w:style>
  <w:style w:type="character" w:customStyle="1" w:styleId="zen-tag-publisherstitle">
    <w:name w:val="zen-tag-publishers__title"/>
    <w:basedOn w:val="a1"/>
    <w:rsid w:val="007C5583"/>
  </w:style>
  <w:style w:type="character" w:customStyle="1" w:styleId="ui-lib-call-to-action-barcontainer">
    <w:name w:val="ui-lib-call-to-action-bar__container"/>
    <w:basedOn w:val="a1"/>
    <w:rsid w:val="007C5583"/>
  </w:style>
  <w:style w:type="character" w:customStyle="1" w:styleId="ui-lib-call-to-action-bartitle">
    <w:name w:val="ui-lib-call-to-action-bar__title"/>
    <w:basedOn w:val="a1"/>
    <w:rsid w:val="007C5583"/>
  </w:style>
  <w:style w:type="character" w:customStyle="1" w:styleId="ui-lib-call-to-action-barchannel-name">
    <w:name w:val="ui-lib-call-to-action-bar__channel-name"/>
    <w:basedOn w:val="a1"/>
    <w:rsid w:val="007C5583"/>
  </w:style>
  <w:style w:type="character" w:customStyle="1" w:styleId="bqstart">
    <w:name w:val="bqstart"/>
    <w:basedOn w:val="a1"/>
    <w:rsid w:val="007C5583"/>
  </w:style>
  <w:style w:type="character" w:customStyle="1" w:styleId="bqend">
    <w:name w:val="bqend"/>
    <w:basedOn w:val="a1"/>
    <w:rsid w:val="007C5583"/>
  </w:style>
  <w:style w:type="paragraph" w:customStyle="1" w:styleId="tar">
    <w:name w:val="tar"/>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rticle-stats-view-redesignstats-item-count">
    <w:name w:val="article-stats-view-redesign__stats-item-count"/>
    <w:basedOn w:val="a1"/>
    <w:rsid w:val="007C5583"/>
  </w:style>
  <w:style w:type="character" w:customStyle="1" w:styleId="ui-lib-likes-countcount">
    <w:name w:val="ui-lib-likes-count__count"/>
    <w:basedOn w:val="a1"/>
    <w:rsid w:val="007C5583"/>
  </w:style>
  <w:style w:type="character" w:customStyle="1" w:styleId="button-icon-texttext">
    <w:name w:val="button-icon-text__text"/>
    <w:basedOn w:val="a1"/>
    <w:rsid w:val="007C5583"/>
  </w:style>
  <w:style w:type="character" w:customStyle="1" w:styleId="z-10">
    <w:name w:val="z-Начало формы Знак1"/>
    <w:basedOn w:val="a1"/>
    <w:uiPriority w:val="99"/>
    <w:semiHidden/>
    <w:rsid w:val="007C5583"/>
    <w:rPr>
      <w:rFonts w:ascii="Arial" w:hAnsi="Arial" w:cs="Arial"/>
      <w:vanish/>
      <w:sz w:val="16"/>
      <w:szCs w:val="16"/>
    </w:rPr>
  </w:style>
  <w:style w:type="character" w:customStyle="1" w:styleId="z-11">
    <w:name w:val="z-Конец формы Знак1"/>
    <w:basedOn w:val="a1"/>
    <w:uiPriority w:val="99"/>
    <w:semiHidden/>
    <w:rsid w:val="007C5583"/>
    <w:rPr>
      <w:rFonts w:ascii="Arial" w:hAnsi="Arial" w:cs="Arial"/>
      <w:vanish/>
      <w:sz w:val="16"/>
      <w:szCs w:val="16"/>
    </w:rPr>
  </w:style>
  <w:style w:type="character" w:customStyle="1" w:styleId="1ff5">
    <w:name w:val="Текст выноски Знак1"/>
    <w:basedOn w:val="a1"/>
    <w:uiPriority w:val="99"/>
    <w:semiHidden/>
    <w:rsid w:val="007C5583"/>
    <w:rPr>
      <w:rFonts w:ascii="Segoe UI" w:hAnsi="Segoe UI" w:cs="Segoe UI"/>
      <w:sz w:val="18"/>
      <w:szCs w:val="18"/>
    </w:rPr>
  </w:style>
  <w:style w:type="character" w:customStyle="1" w:styleId="MicrosoftSansSerif">
    <w:name w:val="Основной текст + Microsoft Sans Serif"/>
    <w:rsid w:val="007C5583"/>
    <w:rPr>
      <w:rFonts w:ascii="Microsoft Sans Serif" w:hAnsi="Microsoft Sans Serif"/>
      <w:i/>
      <w:spacing w:val="10"/>
      <w:sz w:val="15"/>
    </w:rPr>
  </w:style>
  <w:style w:type="paragraph" w:customStyle="1" w:styleId="6f">
    <w:name w:val="Подпись к таблице (6)"/>
    <w:basedOn w:val="a0"/>
    <w:rsid w:val="007C5583"/>
    <w:pPr>
      <w:shd w:val="clear" w:color="auto" w:fill="FFFFFF"/>
      <w:overflowPunct w:val="0"/>
      <w:autoSpaceDE w:val="0"/>
      <w:autoSpaceDN w:val="0"/>
      <w:adjustRightInd w:val="0"/>
      <w:spacing w:after="0" w:line="240" w:lineRule="atLeast"/>
      <w:textAlignment w:val="baseline"/>
    </w:pPr>
    <w:rPr>
      <w:rFonts w:ascii="Microsoft Sans Serif" w:eastAsia="Times New Roman" w:hAnsi="Microsoft Sans Serif"/>
      <w:sz w:val="15"/>
      <w:szCs w:val="20"/>
      <w:lang w:eastAsia="ru-RU"/>
    </w:rPr>
  </w:style>
  <w:style w:type="paragraph" w:customStyle="1" w:styleId="txt1">
    <w:name w:val="txt1"/>
    <w:basedOn w:val="a0"/>
    <w:rsid w:val="007C5583"/>
    <w:pPr>
      <w:spacing w:before="100" w:beforeAutospacing="1" w:after="100" w:afterAutospacing="1" w:line="432" w:lineRule="auto"/>
      <w:ind w:firstLine="720"/>
      <w:jc w:val="both"/>
    </w:pPr>
    <w:rPr>
      <w:rFonts w:ascii="Times New Roman" w:eastAsia="Times New Roman" w:hAnsi="Times New Roman"/>
      <w:sz w:val="24"/>
      <w:szCs w:val="24"/>
      <w:lang w:eastAsia="ru-RU"/>
    </w:rPr>
  </w:style>
  <w:style w:type="paragraph" w:customStyle="1" w:styleId="1ff6">
    <w:name w:val="Заголовок1"/>
    <w:basedOn w:val="a0"/>
    <w:uiPriority w:val="99"/>
    <w:rsid w:val="007C5583"/>
    <w:pPr>
      <w:widowControl w:val="0"/>
      <w:autoSpaceDE w:val="0"/>
      <w:autoSpaceDN w:val="0"/>
      <w:adjustRightInd w:val="0"/>
      <w:spacing w:after="0" w:line="360" w:lineRule="auto"/>
      <w:ind w:firstLine="709"/>
      <w:jc w:val="center"/>
    </w:pPr>
    <w:rPr>
      <w:rFonts w:ascii="Arial" w:eastAsiaTheme="minorHAnsi" w:hAnsi="Arial" w:cs="Arial"/>
      <w:b/>
      <w:bCs/>
      <w:caps/>
      <w:color w:val="0000FF"/>
      <w:sz w:val="26"/>
      <w:szCs w:val="26"/>
    </w:rPr>
  </w:style>
  <w:style w:type="character" w:customStyle="1" w:styleId="selected1">
    <w:name w:val="selected1"/>
    <w:basedOn w:val="a1"/>
    <w:rsid w:val="007C5583"/>
    <w:rPr>
      <w:color w:val="05A505"/>
    </w:rPr>
  </w:style>
  <w:style w:type="character" w:customStyle="1" w:styleId="7pt1">
    <w:name w:val="Основной текст + 7 pt;Полужирный"/>
    <w:basedOn w:val="aff2"/>
    <w:rsid w:val="007C5583"/>
    <w:rPr>
      <w:rFonts w:ascii="Arial Narrow" w:eastAsia="Arial Narrow" w:hAnsi="Arial Narrow" w:cs="Arial Narrow"/>
      <w:b/>
      <w:bCs/>
      <w:i w:val="0"/>
      <w:iCs w:val="0"/>
      <w:smallCaps w:val="0"/>
      <w:strike w:val="0"/>
      <w:spacing w:val="0"/>
      <w:w w:val="100"/>
      <w:sz w:val="14"/>
      <w:szCs w:val="14"/>
      <w:shd w:val="clear" w:color="auto" w:fill="FFFFFF"/>
    </w:rPr>
  </w:style>
  <w:style w:type="character" w:customStyle="1" w:styleId="437">
    <w:name w:val="Основной текст + Полужирный43"/>
    <w:basedOn w:val="a1"/>
    <w:uiPriority w:val="99"/>
    <w:rsid w:val="007C5583"/>
    <w:rPr>
      <w:rFonts w:ascii="Arial Narrow" w:hAnsi="Arial Narrow" w:cs="Arial Narrow"/>
      <w:b/>
      <w:bCs/>
      <w:spacing w:val="0"/>
      <w:sz w:val="18"/>
      <w:szCs w:val="18"/>
      <w:shd w:val="clear" w:color="auto" w:fill="FFFFFF"/>
    </w:rPr>
  </w:style>
  <w:style w:type="character" w:customStyle="1" w:styleId="data1">
    <w:name w:val="data1"/>
    <w:basedOn w:val="a1"/>
    <w:rsid w:val="007C5583"/>
    <w:rPr>
      <w:i/>
      <w:iCs/>
      <w:vanish w:val="0"/>
      <w:webHidden w:val="0"/>
      <w:specVanish w:val="0"/>
    </w:rPr>
  </w:style>
  <w:style w:type="paragraph" w:customStyle="1" w:styleId="el-text">
    <w:name w:val="el-text"/>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73">
    <w:name w:val="Основной текст + Курсив37"/>
    <w:basedOn w:val="a1"/>
    <w:uiPriority w:val="99"/>
    <w:rsid w:val="007C5583"/>
    <w:rPr>
      <w:rFonts w:ascii="Arial Narrow" w:hAnsi="Arial Narrow" w:cs="Arial Narrow"/>
      <w:i/>
      <w:iCs/>
      <w:sz w:val="18"/>
      <w:szCs w:val="18"/>
      <w:shd w:val="clear" w:color="auto" w:fill="FFFFFF"/>
    </w:rPr>
  </w:style>
  <w:style w:type="character" w:customStyle="1" w:styleId="295pt0pt">
    <w:name w:val="Основной текст (2) + 9;5 pt;Полужирный;Не курсив;Интервал 0 pt"/>
    <w:basedOn w:val="2a"/>
    <w:rsid w:val="007C5583"/>
    <w:rPr>
      <w:rFonts w:ascii="Arial" w:eastAsia="Arial" w:hAnsi="Arial" w:cs="Arial"/>
      <w:b/>
      <w:bCs/>
      <w:i/>
      <w:iCs/>
      <w:smallCaps w:val="0"/>
      <w:strike w:val="0"/>
      <w:spacing w:val="-10"/>
      <w:w w:val="80"/>
      <w:sz w:val="19"/>
      <w:szCs w:val="19"/>
      <w:shd w:val="clear" w:color="auto" w:fill="FFFFFF"/>
      <w:lang w:eastAsia="en-US"/>
    </w:rPr>
  </w:style>
  <w:style w:type="character" w:customStyle="1" w:styleId="122pt">
    <w:name w:val="Основной текст (12) + Интервал 2 pt"/>
    <w:rsid w:val="007C5583"/>
    <w:rPr>
      <w:spacing w:val="50"/>
      <w:sz w:val="16"/>
    </w:rPr>
  </w:style>
  <w:style w:type="character" w:customStyle="1" w:styleId="5f5">
    <w:name w:val="Основной текст (5) + Не курсив"/>
    <w:rsid w:val="007C5583"/>
    <w:rPr>
      <w:rFonts w:ascii="Arial" w:hAnsi="Arial"/>
      <w:i/>
      <w:spacing w:val="0"/>
      <w:sz w:val="26"/>
    </w:rPr>
  </w:style>
  <w:style w:type="paragraph" w:customStyle="1" w:styleId="Pa3">
    <w:name w:val="Pa3"/>
    <w:basedOn w:val="Default"/>
    <w:next w:val="Default"/>
    <w:uiPriority w:val="99"/>
    <w:rsid w:val="007C5583"/>
    <w:pPr>
      <w:spacing w:line="181" w:lineRule="atLeast"/>
    </w:pPr>
    <w:rPr>
      <w:rFonts w:ascii="Palatino Linotype" w:eastAsiaTheme="minorHAnsi" w:hAnsi="Palatino Linotype" w:cstheme="minorBidi"/>
      <w:color w:val="auto"/>
    </w:rPr>
  </w:style>
  <w:style w:type="character" w:customStyle="1" w:styleId="A30">
    <w:name w:val="A3"/>
    <w:uiPriority w:val="99"/>
    <w:rsid w:val="007C5583"/>
    <w:rPr>
      <w:rFonts w:cs="Palatino Linotype"/>
      <w:i/>
      <w:iCs/>
      <w:color w:val="000000"/>
      <w:sz w:val="19"/>
      <w:szCs w:val="19"/>
    </w:rPr>
  </w:style>
  <w:style w:type="paragraph" w:customStyle="1" w:styleId="Pa1">
    <w:name w:val="Pa1"/>
    <w:basedOn w:val="Default"/>
    <w:next w:val="Default"/>
    <w:uiPriority w:val="99"/>
    <w:rsid w:val="007C5583"/>
    <w:pPr>
      <w:spacing w:line="181" w:lineRule="atLeast"/>
    </w:pPr>
    <w:rPr>
      <w:rFonts w:ascii="Palatino Linotype" w:eastAsiaTheme="minorHAnsi" w:hAnsi="Palatino Linotype" w:cstheme="minorBidi"/>
      <w:color w:val="auto"/>
    </w:rPr>
  </w:style>
  <w:style w:type="character" w:customStyle="1" w:styleId="10pt-1pt">
    <w:name w:val="Основной текст + 10 pt;Полужирный;Интервал -1 pt"/>
    <w:basedOn w:val="aff2"/>
    <w:rsid w:val="007C5583"/>
    <w:rPr>
      <w:rFonts w:ascii="Arial" w:eastAsia="Arial" w:hAnsi="Arial" w:cs="Arial"/>
      <w:b/>
      <w:bCs/>
      <w:i w:val="0"/>
      <w:iCs w:val="0"/>
      <w:smallCaps w:val="0"/>
      <w:strike w:val="0"/>
      <w:spacing w:val="-20"/>
      <w:sz w:val="20"/>
      <w:szCs w:val="20"/>
      <w:shd w:val="clear" w:color="auto" w:fill="FFFFFF"/>
    </w:rPr>
  </w:style>
  <w:style w:type="character" w:customStyle="1" w:styleId="6pt3">
    <w:name w:val="Основной текст + 6 pt"/>
    <w:basedOn w:val="aff2"/>
    <w:uiPriority w:val="99"/>
    <w:rsid w:val="007C5583"/>
    <w:rPr>
      <w:rFonts w:ascii="Century Gothic" w:eastAsia="Century Gothic" w:hAnsi="Century Gothic" w:cs="Century Gothic"/>
      <w:b w:val="0"/>
      <w:bCs w:val="0"/>
      <w:i w:val="0"/>
      <w:iCs w:val="0"/>
      <w:smallCaps w:val="0"/>
      <w:strike w:val="0"/>
      <w:spacing w:val="0"/>
      <w:sz w:val="12"/>
      <w:szCs w:val="12"/>
      <w:shd w:val="clear" w:color="auto" w:fill="FFFFFF"/>
    </w:rPr>
  </w:style>
  <w:style w:type="character" w:customStyle="1" w:styleId="w">
    <w:name w:val="w"/>
    <w:basedOn w:val="a1"/>
    <w:rsid w:val="007C5583"/>
  </w:style>
  <w:style w:type="paragraph" w:customStyle="1" w:styleId="uk-margin1">
    <w:name w:val="uk-margin1"/>
    <w:basedOn w:val="a0"/>
    <w:rsid w:val="007C5583"/>
    <w:pPr>
      <w:spacing w:before="100" w:beforeAutospacing="1" w:after="225" w:line="240" w:lineRule="auto"/>
      <w:jc w:val="both"/>
    </w:pPr>
    <w:rPr>
      <w:rFonts w:ascii="Times New Roman" w:eastAsia="Times New Roman" w:hAnsi="Times New Roman"/>
      <w:sz w:val="24"/>
      <w:szCs w:val="24"/>
      <w:lang w:eastAsia="ru-RU"/>
    </w:rPr>
  </w:style>
  <w:style w:type="character" w:customStyle="1" w:styleId="hcc">
    <w:name w:val="hcc"/>
    <w:basedOn w:val="a1"/>
    <w:rsid w:val="007C5583"/>
  </w:style>
  <w:style w:type="character" w:customStyle="1" w:styleId="5750">
    <w:name w:val="Основной текст (5)75"/>
    <w:basedOn w:val="a1"/>
    <w:uiPriority w:val="99"/>
    <w:rsid w:val="007C5583"/>
    <w:rPr>
      <w:i/>
      <w:iCs/>
      <w:spacing w:val="0"/>
      <w:sz w:val="16"/>
      <w:szCs w:val="16"/>
    </w:rPr>
  </w:style>
  <w:style w:type="character" w:customStyle="1" w:styleId="5740">
    <w:name w:val="Основной текст (5)74"/>
    <w:basedOn w:val="a1"/>
    <w:uiPriority w:val="99"/>
    <w:rsid w:val="007C5583"/>
    <w:rPr>
      <w:rFonts w:ascii="Arial Unicode MS" w:eastAsia="Arial Unicode MS" w:cs="Arial Unicode MS"/>
      <w:i/>
      <w:iCs/>
      <w:noProof/>
      <w:spacing w:val="0"/>
      <w:sz w:val="16"/>
      <w:szCs w:val="16"/>
    </w:rPr>
  </w:style>
  <w:style w:type="character" w:customStyle="1" w:styleId="58455pt61520pt910">
    <w:name w:val="Основной текст (5) + 845.5 pt61.Не курсив52.Интервал 0 pt91"/>
    <w:basedOn w:val="a1"/>
    <w:uiPriority w:val="99"/>
    <w:rsid w:val="007C5583"/>
    <w:rPr>
      <w:i/>
      <w:iCs/>
      <w:spacing w:val="-10"/>
      <w:sz w:val="17"/>
      <w:szCs w:val="17"/>
    </w:rPr>
  </w:style>
  <w:style w:type="character" w:customStyle="1" w:styleId="58445pt60510pt900">
    <w:name w:val="Основной текст (5) + 844.5 pt60.Не курсив51.Интервал 0 pt90"/>
    <w:basedOn w:val="a1"/>
    <w:uiPriority w:val="99"/>
    <w:rsid w:val="007C5583"/>
    <w:rPr>
      <w:rFonts w:ascii="Arial Unicode MS" w:eastAsia="Arial Unicode MS" w:cs="Arial Unicode MS"/>
      <w:i/>
      <w:iCs/>
      <w:noProof/>
      <w:spacing w:val="-10"/>
      <w:sz w:val="17"/>
      <w:szCs w:val="17"/>
    </w:rPr>
  </w:style>
  <w:style w:type="character" w:customStyle="1" w:styleId="58435pt59500pt890">
    <w:name w:val="Основной текст (5) + 843.5 pt59.Не курсив50.Интервал 0 pt89"/>
    <w:basedOn w:val="a1"/>
    <w:uiPriority w:val="99"/>
    <w:rsid w:val="007C5583"/>
    <w:rPr>
      <w:i/>
      <w:iCs/>
      <w:spacing w:val="-10"/>
      <w:sz w:val="17"/>
      <w:szCs w:val="17"/>
    </w:rPr>
  </w:style>
  <w:style w:type="character" w:customStyle="1" w:styleId="5730">
    <w:name w:val="Основной текст (5)73"/>
    <w:basedOn w:val="a1"/>
    <w:uiPriority w:val="99"/>
    <w:rsid w:val="007C5583"/>
    <w:rPr>
      <w:i/>
      <w:iCs/>
      <w:spacing w:val="0"/>
      <w:sz w:val="16"/>
      <w:szCs w:val="16"/>
    </w:rPr>
  </w:style>
  <w:style w:type="character" w:customStyle="1" w:styleId="5720">
    <w:name w:val="Основной текст (5)72"/>
    <w:basedOn w:val="a1"/>
    <w:uiPriority w:val="99"/>
    <w:rsid w:val="007C5583"/>
    <w:rPr>
      <w:rFonts w:ascii="Arial Unicode MS" w:eastAsia="Arial Unicode MS" w:cs="Arial Unicode MS"/>
      <w:i/>
      <w:iCs/>
      <w:noProof/>
      <w:spacing w:val="0"/>
      <w:sz w:val="16"/>
      <w:szCs w:val="16"/>
    </w:rPr>
  </w:style>
  <w:style w:type="character" w:customStyle="1" w:styleId="58425pt58490pt880">
    <w:name w:val="Основной текст (5) + 842.5 pt58.Не курсив49.Интервал 0 pt88"/>
    <w:basedOn w:val="a1"/>
    <w:uiPriority w:val="99"/>
    <w:rsid w:val="007C5583"/>
    <w:rPr>
      <w:rFonts w:ascii="Arial Unicode MS" w:eastAsia="Arial Unicode MS" w:cs="Arial Unicode MS"/>
      <w:i/>
      <w:iCs/>
      <w:noProof/>
      <w:spacing w:val="-10"/>
      <w:sz w:val="17"/>
      <w:szCs w:val="17"/>
    </w:rPr>
  </w:style>
  <w:style w:type="character" w:customStyle="1" w:styleId="58415pt57220">
    <w:name w:val="Основной текст (5) + 841.5 pt57.Полужирный22"/>
    <w:basedOn w:val="a1"/>
    <w:uiPriority w:val="99"/>
    <w:rsid w:val="007C5583"/>
    <w:rPr>
      <w:b/>
      <w:bCs/>
      <w:i/>
      <w:iCs/>
      <w:spacing w:val="0"/>
      <w:sz w:val="17"/>
      <w:szCs w:val="17"/>
    </w:rPr>
  </w:style>
  <w:style w:type="character" w:customStyle="1" w:styleId="5710">
    <w:name w:val="Основной текст (5)71"/>
    <w:basedOn w:val="a1"/>
    <w:uiPriority w:val="99"/>
    <w:rsid w:val="007C5583"/>
    <w:rPr>
      <w:i/>
      <w:iCs/>
      <w:spacing w:val="0"/>
      <w:sz w:val="16"/>
      <w:szCs w:val="16"/>
    </w:rPr>
  </w:style>
  <w:style w:type="character" w:customStyle="1" w:styleId="2031">
    <w:name w:val="Основной текст (20)3"/>
    <w:basedOn w:val="a1"/>
    <w:uiPriority w:val="99"/>
    <w:rsid w:val="007C5583"/>
    <w:rPr>
      <w:rFonts w:ascii="Arial Unicode MS" w:eastAsia="Arial Unicode MS" w:cs="Arial Unicode MS"/>
      <w:b/>
      <w:bCs/>
      <w:i/>
      <w:iCs/>
      <w:noProof/>
      <w:sz w:val="15"/>
      <w:szCs w:val="15"/>
    </w:rPr>
  </w:style>
  <w:style w:type="character" w:customStyle="1" w:styleId="208pt40">
    <w:name w:val="Основной текст (20) + 8 pt.Не полужирный4"/>
    <w:basedOn w:val="a1"/>
    <w:uiPriority w:val="99"/>
    <w:rsid w:val="007C5583"/>
    <w:rPr>
      <w:rFonts w:ascii="Arial Unicode MS" w:eastAsia="Arial Unicode MS" w:cs="Arial Unicode MS"/>
      <w:b/>
      <w:bCs/>
      <w:i/>
      <w:iCs/>
      <w:noProof/>
      <w:sz w:val="16"/>
      <w:szCs w:val="16"/>
    </w:rPr>
  </w:style>
  <w:style w:type="character" w:customStyle="1" w:styleId="2021">
    <w:name w:val="Основной текст (20)2"/>
    <w:basedOn w:val="a1"/>
    <w:uiPriority w:val="99"/>
    <w:rsid w:val="007C5583"/>
    <w:rPr>
      <w:b/>
      <w:bCs/>
      <w:i/>
      <w:iCs/>
      <w:sz w:val="15"/>
      <w:szCs w:val="15"/>
    </w:rPr>
  </w:style>
  <w:style w:type="character" w:customStyle="1" w:styleId="3630">
    <w:name w:val="Основной текст (36) + Не курсив3"/>
    <w:basedOn w:val="a1"/>
    <w:uiPriority w:val="99"/>
    <w:rsid w:val="007C5583"/>
    <w:rPr>
      <w:rFonts w:ascii="Arial" w:hAnsi="Arial" w:cs="Arial"/>
      <w:spacing w:val="0"/>
      <w:sz w:val="8"/>
      <w:szCs w:val="8"/>
    </w:rPr>
  </w:style>
  <w:style w:type="character" w:customStyle="1" w:styleId="4ff1">
    <w:name w:val="Основной текст + Курсив4"/>
    <w:basedOn w:val="aff2"/>
    <w:uiPriority w:val="99"/>
    <w:rsid w:val="007C5583"/>
    <w:rPr>
      <w:rFonts w:ascii="Century Gothic" w:eastAsia="Times New Roman" w:hAnsi="Century Gothic" w:cs="Century Gothic"/>
      <w:i/>
      <w:iCs/>
      <w:spacing w:val="-10"/>
      <w:sz w:val="17"/>
      <w:szCs w:val="17"/>
      <w:shd w:val="clear" w:color="auto" w:fill="FFFFFF"/>
    </w:rPr>
  </w:style>
  <w:style w:type="character" w:customStyle="1" w:styleId="3620">
    <w:name w:val="Основной текст (36) + Не курсив2"/>
    <w:basedOn w:val="a1"/>
    <w:uiPriority w:val="99"/>
    <w:rsid w:val="007C5583"/>
    <w:rPr>
      <w:rFonts w:ascii="Arial" w:hAnsi="Arial" w:cs="Arial"/>
      <w:spacing w:val="0"/>
      <w:sz w:val="8"/>
      <w:szCs w:val="8"/>
    </w:rPr>
  </w:style>
  <w:style w:type="character" w:customStyle="1" w:styleId="401">
    <w:name w:val="Основной текст (40) + Не курсив"/>
    <w:basedOn w:val="a1"/>
    <w:uiPriority w:val="99"/>
    <w:rsid w:val="007C5583"/>
    <w:rPr>
      <w:rFonts w:ascii="Arial" w:hAnsi="Arial" w:cs="Arial"/>
      <w:noProof/>
      <w:spacing w:val="0"/>
      <w:sz w:val="8"/>
      <w:szCs w:val="8"/>
    </w:rPr>
  </w:style>
  <w:style w:type="paragraph" w:customStyle="1" w:styleId="402">
    <w:name w:val="Основной текст (40)"/>
    <w:basedOn w:val="a0"/>
    <w:uiPriority w:val="99"/>
    <w:rsid w:val="007C5583"/>
    <w:pPr>
      <w:shd w:val="clear" w:color="auto" w:fill="FFFFFF"/>
      <w:autoSpaceDE w:val="0"/>
      <w:autoSpaceDN w:val="0"/>
      <w:adjustRightInd w:val="0"/>
      <w:spacing w:after="0" w:line="86" w:lineRule="exact"/>
      <w:jc w:val="both"/>
    </w:pPr>
    <w:rPr>
      <w:rFonts w:ascii="Arial" w:eastAsiaTheme="minorHAnsi" w:hAnsi="Arial" w:cs="Arial"/>
      <w:i/>
      <w:iCs/>
      <w:sz w:val="8"/>
      <w:szCs w:val="8"/>
    </w:rPr>
  </w:style>
  <w:style w:type="character" w:customStyle="1" w:styleId="2ff4">
    <w:name w:val="Оглавление (2)_"/>
    <w:basedOn w:val="a1"/>
    <w:rsid w:val="007C5583"/>
    <w:rPr>
      <w:rFonts w:ascii="Arial" w:eastAsia="Times New Roman" w:hAnsi="Arial" w:cs="Times New Roman"/>
      <w:spacing w:val="-10"/>
      <w:sz w:val="26"/>
      <w:szCs w:val="20"/>
      <w:shd w:val="clear" w:color="auto" w:fill="FFFFFF"/>
      <w:lang w:eastAsia="ru-RU"/>
    </w:rPr>
  </w:style>
  <w:style w:type="character" w:customStyle="1" w:styleId="50pt1">
    <w:name w:val="Подпись к таблице (5) + Интервал 0 pt"/>
    <w:rsid w:val="007C5583"/>
    <w:rPr>
      <w:rFonts w:ascii="Times New Roman" w:hAnsi="Times New Roman"/>
      <w:spacing w:val="10"/>
      <w:sz w:val="16"/>
    </w:rPr>
  </w:style>
  <w:style w:type="character" w:customStyle="1" w:styleId="13a">
    <w:name w:val="Оглавление + 13"/>
    <w:rsid w:val="007C5583"/>
    <w:rPr>
      <w:rFonts w:ascii="Arial" w:hAnsi="Arial"/>
      <w:sz w:val="27"/>
    </w:rPr>
  </w:style>
  <w:style w:type="character" w:customStyle="1" w:styleId="344">
    <w:name w:val="Заголовок №3 (4)_"/>
    <w:basedOn w:val="a1"/>
    <w:link w:val="345"/>
    <w:locked/>
    <w:rsid w:val="007C5583"/>
    <w:rPr>
      <w:rFonts w:ascii="Times New Roman" w:hAnsi="Times New Roman"/>
      <w:shd w:val="clear" w:color="auto" w:fill="FFFFFF"/>
    </w:rPr>
  </w:style>
  <w:style w:type="paragraph" w:customStyle="1" w:styleId="345">
    <w:name w:val="Заголовок №3 (4)"/>
    <w:basedOn w:val="a0"/>
    <w:link w:val="344"/>
    <w:rsid w:val="007C5583"/>
    <w:pPr>
      <w:shd w:val="clear" w:color="auto" w:fill="FFFFFF"/>
      <w:spacing w:after="0" w:line="235" w:lineRule="exact"/>
      <w:jc w:val="center"/>
      <w:outlineLvl w:val="2"/>
    </w:pPr>
    <w:rPr>
      <w:rFonts w:ascii="Times New Roman" w:hAnsi="Times New Roman"/>
      <w:sz w:val="20"/>
      <w:szCs w:val="20"/>
      <w:lang w:eastAsia="ru-RU"/>
    </w:rPr>
  </w:style>
  <w:style w:type="character" w:customStyle="1" w:styleId="341pt">
    <w:name w:val="Заголовок №3 (4) + Интервал 1 pt"/>
    <w:basedOn w:val="344"/>
    <w:rsid w:val="007C5583"/>
    <w:rPr>
      <w:rFonts w:ascii="Times New Roman" w:hAnsi="Times New Roman"/>
      <w:spacing w:val="30"/>
      <w:shd w:val="clear" w:color="auto" w:fill="FFFFFF"/>
    </w:rPr>
  </w:style>
  <w:style w:type="character" w:customStyle="1" w:styleId="textemphasis">
    <w:name w:val="text_emphasis"/>
    <w:basedOn w:val="a1"/>
    <w:rsid w:val="007C5583"/>
  </w:style>
  <w:style w:type="character" w:customStyle="1" w:styleId="mw-headline">
    <w:name w:val="mw-headline"/>
    <w:basedOn w:val="a1"/>
    <w:rsid w:val="007C5583"/>
  </w:style>
  <w:style w:type="character" w:customStyle="1" w:styleId="11SimSun">
    <w:name w:val="Основной текст (11) + SimSun"/>
    <w:rsid w:val="007C5583"/>
    <w:rPr>
      <w:rFonts w:ascii="SimSun" w:eastAsia="SimSun" w:hAnsi="Arial"/>
      <w:spacing w:val="-10"/>
      <w:sz w:val="16"/>
    </w:rPr>
  </w:style>
  <w:style w:type="character" w:customStyle="1" w:styleId="4ArialNarrow85pt">
    <w:name w:val="Основной текст (4) + Arial Narrow;8;5 pt;Курсив"/>
    <w:basedOn w:val="46"/>
    <w:rsid w:val="007C5583"/>
    <w:rPr>
      <w:rFonts w:ascii="Arial Narrow" w:eastAsia="Arial Narrow" w:hAnsi="Arial Narrow" w:cs="Arial Narrow"/>
      <w:b w:val="0"/>
      <w:bCs w:val="0"/>
      <w:i/>
      <w:iCs/>
      <w:smallCaps w:val="0"/>
      <w:strike w:val="0"/>
      <w:spacing w:val="0"/>
      <w:sz w:val="17"/>
      <w:szCs w:val="17"/>
      <w:shd w:val="clear" w:color="auto" w:fill="FFFFFF"/>
      <w:lang w:eastAsia="en-US"/>
    </w:rPr>
  </w:style>
  <w:style w:type="character" w:customStyle="1" w:styleId="478pt">
    <w:name w:val="Основной текст (47) + 8 pt"/>
    <w:rsid w:val="007C5583"/>
    <w:rPr>
      <w:rFonts w:ascii="Times New Roman" w:hAnsi="Times New Roman"/>
      <w:spacing w:val="0"/>
      <w:sz w:val="16"/>
    </w:rPr>
  </w:style>
  <w:style w:type="character" w:customStyle="1" w:styleId="47BookmanOldStyle">
    <w:name w:val="Основной текст (47) + Bookman Old Style"/>
    <w:rsid w:val="007C5583"/>
    <w:rPr>
      <w:rFonts w:ascii="Bookman Old Style" w:hAnsi="Bookman Old Style"/>
      <w:spacing w:val="0"/>
      <w:sz w:val="13"/>
    </w:rPr>
  </w:style>
  <w:style w:type="character" w:customStyle="1" w:styleId="311pt">
    <w:name w:val="Основной текст (31) + Интервал 1 pt"/>
    <w:rsid w:val="007C5583"/>
    <w:rPr>
      <w:rFonts w:ascii="Arial" w:hAnsi="Arial"/>
      <w:spacing w:val="30"/>
      <w:sz w:val="24"/>
    </w:rPr>
  </w:style>
  <w:style w:type="character" w:customStyle="1" w:styleId="41pt">
    <w:name w:val="Основной текст (4) + Курсив;Интервал 1 pt"/>
    <w:basedOn w:val="46"/>
    <w:rsid w:val="007C5583"/>
    <w:rPr>
      <w:rFonts w:ascii="Microsoft Sans Serif" w:eastAsia="Microsoft Sans Serif" w:hAnsi="Microsoft Sans Serif" w:cs="Microsoft Sans Serif"/>
      <w:b w:val="0"/>
      <w:bCs w:val="0"/>
      <w:i/>
      <w:iCs/>
      <w:smallCaps w:val="0"/>
      <w:strike w:val="0"/>
      <w:spacing w:val="20"/>
      <w:sz w:val="16"/>
      <w:szCs w:val="16"/>
      <w:shd w:val="clear" w:color="auto" w:fill="FFFFFF"/>
      <w:lang w:eastAsia="en-US"/>
    </w:rPr>
  </w:style>
  <w:style w:type="character" w:customStyle="1" w:styleId="297">
    <w:name w:val="Основной текст + Курсив29"/>
    <w:aliases w:val="Интервал 0 pt55"/>
    <w:basedOn w:val="a1"/>
    <w:uiPriority w:val="99"/>
    <w:rsid w:val="007C5583"/>
    <w:rPr>
      <w:rFonts w:ascii="Arial Narrow" w:hAnsi="Arial Narrow" w:cs="Arial Narrow"/>
      <w:i/>
      <w:iCs/>
      <w:spacing w:val="0"/>
      <w:sz w:val="18"/>
      <w:szCs w:val="18"/>
      <w:shd w:val="clear" w:color="auto" w:fill="FFFFFF"/>
    </w:rPr>
  </w:style>
  <w:style w:type="character" w:customStyle="1" w:styleId="28a">
    <w:name w:val="Основной текст + Курсив28"/>
    <w:aliases w:val="Интервал 0 pt54"/>
    <w:basedOn w:val="a1"/>
    <w:uiPriority w:val="99"/>
    <w:rsid w:val="007C5583"/>
    <w:rPr>
      <w:rFonts w:ascii="Arial Narrow" w:hAnsi="Arial Narrow" w:cs="Arial Narrow"/>
      <w:i/>
      <w:iCs/>
      <w:spacing w:val="0"/>
      <w:sz w:val="18"/>
      <w:szCs w:val="18"/>
      <w:shd w:val="clear" w:color="auto" w:fill="FFFFFF"/>
    </w:rPr>
  </w:style>
  <w:style w:type="character" w:customStyle="1" w:styleId="a11">
    <w:name w:val="a1"/>
    <w:basedOn w:val="a1"/>
    <w:rsid w:val="007C5583"/>
    <w:rPr>
      <w:rFonts w:ascii="Arial" w:hAnsi="Arial" w:cs="Arial" w:hint="default"/>
      <w:color w:val="990000"/>
      <w:sz w:val="16"/>
      <w:szCs w:val="16"/>
    </w:rPr>
  </w:style>
  <w:style w:type="paragraph" w:styleId="affffff9">
    <w:name w:val="endnote text"/>
    <w:basedOn w:val="a0"/>
    <w:link w:val="affffffa"/>
    <w:uiPriority w:val="99"/>
    <w:semiHidden/>
    <w:unhideWhenUsed/>
    <w:rsid w:val="007C5583"/>
    <w:pPr>
      <w:spacing w:after="0" w:line="240" w:lineRule="auto"/>
    </w:pPr>
    <w:rPr>
      <w:rFonts w:asciiTheme="minorHAnsi" w:eastAsiaTheme="minorHAnsi" w:hAnsiTheme="minorHAnsi" w:cstheme="minorBidi"/>
      <w:sz w:val="20"/>
      <w:szCs w:val="20"/>
    </w:rPr>
  </w:style>
  <w:style w:type="character" w:customStyle="1" w:styleId="affffffa">
    <w:name w:val="Текст концевой сноски Знак"/>
    <w:basedOn w:val="a1"/>
    <w:link w:val="affffff9"/>
    <w:uiPriority w:val="99"/>
    <w:semiHidden/>
    <w:rsid w:val="007C5583"/>
    <w:rPr>
      <w:rFonts w:asciiTheme="minorHAnsi" w:eastAsiaTheme="minorHAnsi" w:hAnsiTheme="minorHAnsi" w:cstheme="minorBidi"/>
      <w:lang w:eastAsia="en-US"/>
    </w:rPr>
  </w:style>
  <w:style w:type="character" w:customStyle="1" w:styleId="mw-editsection">
    <w:name w:val="mw-editsection"/>
    <w:basedOn w:val="a1"/>
    <w:rsid w:val="007C5583"/>
  </w:style>
  <w:style w:type="character" w:customStyle="1" w:styleId="mw-editsection-bracket">
    <w:name w:val="mw-editsection-bracket"/>
    <w:basedOn w:val="a1"/>
    <w:rsid w:val="007C5583"/>
  </w:style>
  <w:style w:type="character" w:customStyle="1" w:styleId="mw-editsection-divider">
    <w:name w:val="mw-editsection-divider"/>
    <w:basedOn w:val="a1"/>
    <w:rsid w:val="007C5583"/>
  </w:style>
  <w:style w:type="character" w:customStyle="1" w:styleId="valueoftype1">
    <w:name w:val="value_of_type_1"/>
    <w:basedOn w:val="a1"/>
    <w:rsid w:val="007C5583"/>
  </w:style>
  <w:style w:type="character" w:customStyle="1" w:styleId="textitalicbold">
    <w:name w:val="textitalicbold"/>
    <w:basedOn w:val="a1"/>
    <w:rsid w:val="007C5583"/>
  </w:style>
  <w:style w:type="paragraph" w:customStyle="1" w:styleId="blockquote0">
    <w:name w:val="blockquote"/>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linevert1">
    <w:name w:val="line_vert1"/>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apital">
    <w:name w:val="capital"/>
    <w:basedOn w:val="a1"/>
    <w:rsid w:val="007C5583"/>
  </w:style>
  <w:style w:type="paragraph" w:customStyle="1" w:styleId="txt10">
    <w:name w:val="txt10"/>
    <w:basedOn w:val="a0"/>
    <w:uiPriority w:val="99"/>
    <w:rsid w:val="007C558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shrink">
    <w:name w:val="shrink"/>
    <w:basedOn w:val="a0"/>
    <w:uiPriority w:val="99"/>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HTML2">
    <w:name w:val="Адрес HTML Знак"/>
    <w:basedOn w:val="a1"/>
    <w:link w:val="HTML3"/>
    <w:uiPriority w:val="99"/>
    <w:semiHidden/>
    <w:rsid w:val="007C5583"/>
    <w:rPr>
      <w:rFonts w:ascii="Times New Roman" w:eastAsia="Times New Roman" w:hAnsi="Times New Roman"/>
      <w:i/>
      <w:iCs/>
      <w:sz w:val="24"/>
      <w:szCs w:val="24"/>
    </w:rPr>
  </w:style>
  <w:style w:type="paragraph" w:styleId="HTML3">
    <w:name w:val="HTML Address"/>
    <w:basedOn w:val="a0"/>
    <w:link w:val="HTML2"/>
    <w:uiPriority w:val="99"/>
    <w:semiHidden/>
    <w:unhideWhenUsed/>
    <w:rsid w:val="007C5583"/>
    <w:pPr>
      <w:spacing w:after="0" w:line="240" w:lineRule="auto"/>
    </w:pPr>
    <w:rPr>
      <w:rFonts w:ascii="Times New Roman" w:eastAsia="Times New Roman" w:hAnsi="Times New Roman"/>
      <w:i/>
      <w:iCs/>
      <w:sz w:val="24"/>
      <w:szCs w:val="24"/>
      <w:lang w:eastAsia="ru-RU"/>
    </w:rPr>
  </w:style>
  <w:style w:type="character" w:customStyle="1" w:styleId="HTML10">
    <w:name w:val="Адрес HTML Знак1"/>
    <w:basedOn w:val="a1"/>
    <w:uiPriority w:val="99"/>
    <w:semiHidden/>
    <w:rsid w:val="007C5583"/>
    <w:rPr>
      <w:i/>
      <w:iCs/>
      <w:sz w:val="22"/>
      <w:szCs w:val="22"/>
      <w:lang w:eastAsia="en-US"/>
    </w:rPr>
  </w:style>
  <w:style w:type="paragraph" w:styleId="a">
    <w:name w:val="List"/>
    <w:basedOn w:val="a0"/>
    <w:uiPriority w:val="99"/>
    <w:semiHidden/>
    <w:unhideWhenUsed/>
    <w:rsid w:val="007C5583"/>
    <w:pPr>
      <w:numPr>
        <w:numId w:val="40"/>
      </w:numPr>
      <w:spacing w:after="0" w:line="360" w:lineRule="auto"/>
      <w:ind w:left="283" w:hanging="283"/>
      <w:contextualSpacing/>
      <w:jc w:val="both"/>
    </w:pPr>
    <w:rPr>
      <w:rFonts w:asciiTheme="minorHAnsi" w:eastAsiaTheme="minorHAnsi" w:hAnsiTheme="minorHAnsi" w:cstheme="minorBidi"/>
    </w:rPr>
  </w:style>
  <w:style w:type="character" w:customStyle="1" w:styleId="af5">
    <w:name w:val="Заголовок Знак"/>
    <w:basedOn w:val="a1"/>
    <w:link w:val="af4"/>
    <w:uiPriority w:val="10"/>
    <w:rsid w:val="007C5583"/>
    <w:rPr>
      <w:rFonts w:ascii="Arial" w:hAnsi="Arial" w:cs="Arial"/>
      <w:b/>
      <w:bCs/>
      <w:caps/>
      <w:color w:val="0000FF"/>
      <w:sz w:val="26"/>
      <w:szCs w:val="26"/>
      <w:lang w:eastAsia="en-US"/>
    </w:rPr>
  </w:style>
  <w:style w:type="character" w:customStyle="1" w:styleId="suggested-publications-headerheader-title">
    <w:name w:val="suggested-publications-header__header-title"/>
    <w:basedOn w:val="a1"/>
    <w:rsid w:val="007C5583"/>
  </w:style>
  <w:style w:type="character" w:customStyle="1" w:styleId="article-stats-viewstats-item-count">
    <w:name w:val="article-stats-view__stats-item-count"/>
    <w:basedOn w:val="a1"/>
    <w:rsid w:val="007C5583"/>
  </w:style>
  <w:style w:type="character" w:customStyle="1" w:styleId="article-imgdescription">
    <w:name w:val="article-img__description"/>
    <w:basedOn w:val="a1"/>
    <w:rsid w:val="007C5583"/>
  </w:style>
  <w:style w:type="character" w:customStyle="1" w:styleId="hash-starhash">
    <w:name w:val="hash-star__hash"/>
    <w:basedOn w:val="a1"/>
    <w:rsid w:val="007C5583"/>
  </w:style>
  <w:style w:type="character" w:customStyle="1" w:styleId="taglink">
    <w:name w:val="tag__link"/>
    <w:basedOn w:val="a1"/>
    <w:rsid w:val="007C5583"/>
  </w:style>
  <w:style w:type="character" w:customStyle="1" w:styleId="imgsign">
    <w:name w:val="imgsign"/>
    <w:basedOn w:val="a1"/>
    <w:rsid w:val="007C5583"/>
  </w:style>
  <w:style w:type="character" w:customStyle="1" w:styleId="photosignmoney">
    <w:name w:val="photosignmoney"/>
    <w:basedOn w:val="a1"/>
    <w:rsid w:val="007C5583"/>
  </w:style>
  <w:style w:type="character" w:customStyle="1" w:styleId="ya-unit-category">
    <w:name w:val="ya-unit-category"/>
    <w:basedOn w:val="a1"/>
    <w:rsid w:val="007C5583"/>
  </w:style>
  <w:style w:type="character" w:customStyle="1" w:styleId="ya-unit-domain">
    <w:name w:val="ya-unit-domain"/>
    <w:basedOn w:val="a1"/>
    <w:rsid w:val="007C5583"/>
  </w:style>
  <w:style w:type="character" w:customStyle="1" w:styleId="ya-adtune-feedbackcomplain-text">
    <w:name w:val="ya-adtune-feedback__complain-text"/>
    <w:basedOn w:val="a1"/>
    <w:rsid w:val="007C5583"/>
  </w:style>
  <w:style w:type="character" w:customStyle="1" w:styleId="article-imgsource">
    <w:name w:val="article-img__source"/>
    <w:basedOn w:val="a1"/>
    <w:rsid w:val="007C5583"/>
  </w:style>
  <w:style w:type="character" w:customStyle="1" w:styleId="121">
    <w:name w:val="Заголовок №12_"/>
    <w:basedOn w:val="a1"/>
    <w:link w:val="120"/>
    <w:uiPriority w:val="99"/>
    <w:rsid w:val="007C5583"/>
    <w:rPr>
      <w:rFonts w:ascii="Tahoma" w:hAnsi="Tahoma" w:cs="Tahoma"/>
      <w:sz w:val="30"/>
      <w:szCs w:val="30"/>
      <w:shd w:val="clear" w:color="auto" w:fill="FFFFFF"/>
      <w:lang w:eastAsia="en-US"/>
    </w:rPr>
  </w:style>
  <w:style w:type="character" w:customStyle="1" w:styleId="142">
    <w:name w:val="Заголовок №14_"/>
    <w:basedOn w:val="a1"/>
    <w:link w:val="140"/>
    <w:rsid w:val="007C5583"/>
    <w:rPr>
      <w:rFonts w:ascii="Tahoma" w:hAnsi="Tahoma" w:cs="Tahoma"/>
      <w:sz w:val="30"/>
      <w:szCs w:val="30"/>
      <w:shd w:val="clear" w:color="auto" w:fill="FFFFFF"/>
      <w:lang w:eastAsia="en-US"/>
    </w:rPr>
  </w:style>
  <w:style w:type="character" w:customStyle="1" w:styleId="189">
    <w:name w:val="Заголовок №18_"/>
    <w:basedOn w:val="a1"/>
    <w:rsid w:val="007C5583"/>
    <w:rPr>
      <w:rFonts w:ascii="Arial" w:eastAsia="Arial" w:hAnsi="Arial" w:cs="Arial"/>
      <w:b/>
      <w:bCs/>
      <w:i/>
      <w:iCs/>
      <w:smallCaps w:val="0"/>
      <w:strike w:val="0"/>
      <w:sz w:val="16"/>
      <w:szCs w:val="16"/>
      <w:u w:val="none"/>
    </w:rPr>
  </w:style>
  <w:style w:type="paragraph" w:customStyle="1" w:styleId="picture-center">
    <w:name w:val="picture-center"/>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icture-sign">
    <w:name w:val="picture-sign"/>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ff5">
    <w:name w:val="Выделение2"/>
    <w:basedOn w:val="a1"/>
    <w:rsid w:val="007C5583"/>
  </w:style>
  <w:style w:type="character" w:customStyle="1" w:styleId="2ff6">
    <w:name w:val="Строгий2"/>
    <w:basedOn w:val="a1"/>
    <w:rsid w:val="007C5583"/>
  </w:style>
  <w:style w:type="paragraph" w:customStyle="1" w:styleId="doctext">
    <w:name w:val="doc__text"/>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vh">
    <w:name w:val="vh"/>
    <w:basedOn w:val="a1"/>
    <w:rsid w:val="007C5583"/>
  </w:style>
  <w:style w:type="paragraph" w:customStyle="1" w:styleId="docmediatext">
    <w:name w:val="doc_media__text"/>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octhought">
    <w:name w:val="doc__thought"/>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751">
    <w:name w:val="Основной текст (27) + 5"/>
    <w:rsid w:val="007C5583"/>
    <w:rPr>
      <w:rFonts w:ascii="Bookman Old Style" w:hAnsi="Bookman Old Style"/>
      <w:sz w:val="11"/>
    </w:rPr>
  </w:style>
  <w:style w:type="character" w:customStyle="1" w:styleId="6BookmanOldStyle">
    <w:name w:val="Основной текст (6) + Bookman Old Style"/>
    <w:rsid w:val="007C5583"/>
    <w:rPr>
      <w:rFonts w:ascii="Bookman Old Style" w:hAnsi="Bookman Old Style"/>
      <w:sz w:val="11"/>
    </w:rPr>
  </w:style>
  <w:style w:type="character" w:customStyle="1" w:styleId="68pt">
    <w:name w:val="Основной текст (6) + 8 pt"/>
    <w:aliases w:val="Интервал 1 pt"/>
    <w:uiPriority w:val="99"/>
    <w:rsid w:val="007C5583"/>
    <w:rPr>
      <w:rFonts w:ascii="Times New Roman" w:hAnsi="Times New Roman"/>
      <w:sz w:val="16"/>
    </w:rPr>
  </w:style>
  <w:style w:type="character" w:customStyle="1" w:styleId="18TimesNewRoman">
    <w:name w:val="Основной текст (18) + Times New Roman"/>
    <w:rsid w:val="007C5583"/>
    <w:rPr>
      <w:rFonts w:ascii="Times New Roman" w:hAnsi="Times New Roman"/>
      <w:b/>
      <w:spacing w:val="0"/>
      <w:sz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813158">
      <w:bodyDiv w:val="1"/>
      <w:marLeft w:val="0"/>
      <w:marRight w:val="0"/>
      <w:marTop w:val="0"/>
      <w:marBottom w:val="0"/>
      <w:divBdr>
        <w:top w:val="none" w:sz="0" w:space="0" w:color="auto"/>
        <w:left w:val="none" w:sz="0" w:space="0" w:color="auto"/>
        <w:bottom w:val="none" w:sz="0" w:space="0" w:color="auto"/>
        <w:right w:val="none" w:sz="0" w:space="0" w:color="auto"/>
      </w:divBdr>
    </w:div>
    <w:div w:id="785001926">
      <w:bodyDiv w:val="1"/>
      <w:marLeft w:val="0"/>
      <w:marRight w:val="0"/>
      <w:marTop w:val="0"/>
      <w:marBottom w:val="0"/>
      <w:divBdr>
        <w:top w:val="none" w:sz="0" w:space="0" w:color="auto"/>
        <w:left w:val="none" w:sz="0" w:space="0" w:color="auto"/>
        <w:bottom w:val="none" w:sz="0" w:space="0" w:color="auto"/>
        <w:right w:val="none" w:sz="0" w:space="0" w:color="auto"/>
      </w:divBdr>
    </w:div>
    <w:div w:id="828063012">
      <w:bodyDiv w:val="1"/>
      <w:marLeft w:val="0"/>
      <w:marRight w:val="0"/>
      <w:marTop w:val="0"/>
      <w:marBottom w:val="0"/>
      <w:divBdr>
        <w:top w:val="none" w:sz="0" w:space="0" w:color="auto"/>
        <w:left w:val="none" w:sz="0" w:space="0" w:color="auto"/>
        <w:bottom w:val="none" w:sz="0" w:space="0" w:color="auto"/>
        <w:right w:val="none" w:sz="0" w:space="0" w:color="auto"/>
      </w:divBdr>
    </w:div>
    <w:div w:id="1020543786">
      <w:bodyDiv w:val="1"/>
      <w:marLeft w:val="0"/>
      <w:marRight w:val="0"/>
      <w:marTop w:val="0"/>
      <w:marBottom w:val="0"/>
      <w:divBdr>
        <w:top w:val="none" w:sz="0" w:space="0" w:color="auto"/>
        <w:left w:val="none" w:sz="0" w:space="0" w:color="auto"/>
        <w:bottom w:val="none" w:sz="0" w:space="0" w:color="auto"/>
        <w:right w:val="none" w:sz="0" w:space="0" w:color="auto"/>
      </w:divBdr>
      <w:divsChild>
        <w:div w:id="1025978353">
          <w:marLeft w:val="0"/>
          <w:marRight w:val="0"/>
          <w:marTop w:val="0"/>
          <w:marBottom w:val="0"/>
          <w:divBdr>
            <w:top w:val="none" w:sz="0" w:space="0" w:color="auto"/>
            <w:left w:val="none" w:sz="0" w:space="0" w:color="auto"/>
            <w:bottom w:val="none" w:sz="0" w:space="0" w:color="auto"/>
            <w:right w:val="none" w:sz="0" w:space="0" w:color="auto"/>
          </w:divBdr>
          <w:divsChild>
            <w:div w:id="1872379703">
              <w:marLeft w:val="0"/>
              <w:marRight w:val="0"/>
              <w:marTop w:val="0"/>
              <w:marBottom w:val="0"/>
              <w:divBdr>
                <w:top w:val="none" w:sz="0" w:space="0" w:color="auto"/>
                <w:left w:val="none" w:sz="0" w:space="0" w:color="auto"/>
                <w:bottom w:val="none" w:sz="0" w:space="0" w:color="auto"/>
                <w:right w:val="none" w:sz="0" w:space="0" w:color="auto"/>
              </w:divBdr>
              <w:divsChild>
                <w:div w:id="972298001">
                  <w:marLeft w:val="0"/>
                  <w:marRight w:val="0"/>
                  <w:marTop w:val="0"/>
                  <w:marBottom w:val="0"/>
                  <w:divBdr>
                    <w:top w:val="none" w:sz="0" w:space="0" w:color="auto"/>
                    <w:left w:val="none" w:sz="0" w:space="0" w:color="auto"/>
                    <w:bottom w:val="none" w:sz="0" w:space="0" w:color="auto"/>
                    <w:right w:val="none" w:sz="0" w:space="0" w:color="auto"/>
                  </w:divBdr>
                  <w:divsChild>
                    <w:div w:id="2110616846">
                      <w:marLeft w:val="0"/>
                      <w:marRight w:val="0"/>
                      <w:marTop w:val="0"/>
                      <w:marBottom w:val="0"/>
                      <w:divBdr>
                        <w:top w:val="none" w:sz="0" w:space="0" w:color="auto"/>
                        <w:left w:val="none" w:sz="0" w:space="0" w:color="auto"/>
                        <w:bottom w:val="none" w:sz="0" w:space="0" w:color="auto"/>
                        <w:right w:val="none" w:sz="0" w:space="0" w:color="auto"/>
                      </w:divBdr>
                      <w:divsChild>
                        <w:div w:id="1312563509">
                          <w:marLeft w:val="0"/>
                          <w:marRight w:val="0"/>
                          <w:marTop w:val="0"/>
                          <w:marBottom w:val="0"/>
                          <w:divBdr>
                            <w:top w:val="none" w:sz="0" w:space="0" w:color="auto"/>
                            <w:left w:val="none" w:sz="0" w:space="0" w:color="auto"/>
                            <w:bottom w:val="none" w:sz="0" w:space="0" w:color="auto"/>
                            <w:right w:val="none" w:sz="0" w:space="0" w:color="auto"/>
                          </w:divBdr>
                          <w:divsChild>
                            <w:div w:id="285475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rpg-club.com/x1000" TargetMode="External"/><Relationship Id="rId21" Type="http://schemas.openxmlformats.org/officeDocument/2006/relationships/hyperlink" Target="http://www.airwar.ru/enc/other2/mm2.html" TargetMode="External"/><Relationship Id="rId42" Type="http://schemas.openxmlformats.org/officeDocument/2006/relationships/hyperlink" Target="http://www.airwar.ru/enc/uh/r4.html" TargetMode="External"/><Relationship Id="rId63" Type="http://schemas.openxmlformats.org/officeDocument/2006/relationships/hyperlink" Target="http://www.airwar.ru/enc/fww2/dh98_fb.html" TargetMode="External"/><Relationship Id="rId84" Type="http://schemas.openxmlformats.org/officeDocument/2006/relationships/hyperlink" Target="https://ru.wikipedia.org/wiki/Fw_200" TargetMode="External"/><Relationship Id="rId138" Type="http://schemas.openxmlformats.org/officeDocument/2006/relationships/hyperlink" Target="http://crimso.msk.ru/Site/Crafts/Craft26358.htm" TargetMode="External"/><Relationship Id="rId159" Type="http://schemas.openxmlformats.org/officeDocument/2006/relationships/hyperlink" Target="http://www.rpg-club.com/x1000" TargetMode="External"/><Relationship Id="rId170" Type="http://schemas.openxmlformats.org/officeDocument/2006/relationships/hyperlink" Target="http://www.rpg-club.com/x1000" TargetMode="External"/><Relationship Id="rId191" Type="http://schemas.openxmlformats.org/officeDocument/2006/relationships/hyperlink" Target="http://www.airwar.ru/enc/fww2/p38.html" TargetMode="External"/><Relationship Id="rId205" Type="http://schemas.openxmlformats.org/officeDocument/2006/relationships/hyperlink" Target="http://www.rpg-club.com/x1000" TargetMode="External"/><Relationship Id="rId226" Type="http://schemas.openxmlformats.org/officeDocument/2006/relationships/hyperlink" Target="http://www.rpg-club.com/x1000" TargetMode="External"/><Relationship Id="rId107" Type="http://schemas.openxmlformats.org/officeDocument/2006/relationships/hyperlink" Target="http://www.rpg-club.com/x1000" TargetMode="External"/><Relationship Id="rId11" Type="http://schemas.openxmlformats.org/officeDocument/2006/relationships/hyperlink" Target="http://www.airwar.ru/weapon/at/45-36.html" TargetMode="External"/><Relationship Id="rId32" Type="http://schemas.openxmlformats.org/officeDocument/2006/relationships/hyperlink" Target="http://www.airwar.ru/history/aces/ace2ww/pilotg/reinert.html" TargetMode="External"/><Relationship Id="rId53" Type="http://schemas.openxmlformats.org/officeDocument/2006/relationships/hyperlink" Target="https://warspot.ru/9279-pervyy-kv-pod-neschastlivym-nomerom" TargetMode="External"/><Relationship Id="rId74" Type="http://schemas.openxmlformats.org/officeDocument/2006/relationships/hyperlink" Target="http://www.airwar.ru/enc/fww2/i185.html" TargetMode="External"/><Relationship Id="rId128" Type="http://schemas.openxmlformats.org/officeDocument/2006/relationships/hyperlink" Target="http://eng.ship.bsu.by/ship/102479" TargetMode="External"/><Relationship Id="rId149" Type="http://schemas.openxmlformats.org/officeDocument/2006/relationships/hyperlink" Target="http://www.testpilot.ru/russia/bisnovat/302/302.htm" TargetMode="External"/><Relationship Id="rId5" Type="http://schemas.openxmlformats.org/officeDocument/2006/relationships/hyperlink" Target="http://avia-museum.narod.ru/england/miles_m-35.html" TargetMode="External"/><Relationship Id="rId95" Type="http://schemas.openxmlformats.org/officeDocument/2006/relationships/hyperlink" Target="http://www.rpg-club.com/x1000" TargetMode="External"/><Relationship Id="rId160" Type="http://schemas.openxmlformats.org/officeDocument/2006/relationships/hyperlink" Target="http://www.rpg-club.com/x1000" TargetMode="External"/><Relationship Id="rId181" Type="http://schemas.openxmlformats.org/officeDocument/2006/relationships/hyperlink" Target="http://warspot.ru/9465-foto-dnya-kulminatsiya-velikoy-otechestvennoy" TargetMode="External"/><Relationship Id="rId216" Type="http://schemas.openxmlformats.org/officeDocument/2006/relationships/hyperlink" Target="http://www.rpg-club.com/x1000" TargetMode="External"/><Relationship Id="rId22" Type="http://schemas.openxmlformats.org/officeDocument/2006/relationships/hyperlink" Target="http://airspot.ru/catalogue/item/bereznyak-isaev-bi" TargetMode="External"/><Relationship Id="rId43" Type="http://schemas.openxmlformats.org/officeDocument/2006/relationships/hyperlink" Target="https://warspot.ru/16670-nash-otvet-pantsershreku" TargetMode="External"/><Relationship Id="rId64" Type="http://schemas.openxmlformats.org/officeDocument/2006/relationships/hyperlink" Target="http://wunderwaffe.narod.ru/Magazine/AirWar/66/06.htm" TargetMode="External"/><Relationship Id="rId118" Type="http://schemas.openxmlformats.org/officeDocument/2006/relationships/hyperlink" Target="http://www.rpg-club.com/x1000" TargetMode="External"/><Relationship Id="rId139" Type="http://schemas.openxmlformats.org/officeDocument/2006/relationships/hyperlink" Target="http://www.airwar.ru/enc/fww2/p55.html" TargetMode="External"/><Relationship Id="rId85" Type="http://schemas.openxmlformats.org/officeDocument/2006/relationships/hyperlink" Target="https://ru.wikipedia.org/wiki/%D0%A4%D0%B0%D1%83-1" TargetMode="External"/><Relationship Id="rId150" Type="http://schemas.openxmlformats.org/officeDocument/2006/relationships/hyperlink" Target="http://warspot.ru/5323-stalin-tanki-tri-stvola" TargetMode="External"/><Relationship Id="rId171" Type="http://schemas.openxmlformats.org/officeDocument/2006/relationships/hyperlink" Target="http://www.rpg-club.com/x1000" TargetMode="External"/><Relationship Id="rId192" Type="http://schemas.openxmlformats.org/officeDocument/2006/relationships/hyperlink" Target="http://www.rpg-club.com/x1000" TargetMode="External"/><Relationship Id="rId206" Type="http://schemas.openxmlformats.org/officeDocument/2006/relationships/hyperlink" Target="http://www.airwar.ru/enc/sww2/barrac.html" TargetMode="External"/><Relationship Id="rId227" Type="http://schemas.openxmlformats.org/officeDocument/2006/relationships/hyperlink" Target="https://warspot.ru/3201-neizvestnyy-stalingrad-samyy-dlinnyy-den" TargetMode="External"/><Relationship Id="rId12" Type="http://schemas.openxmlformats.org/officeDocument/2006/relationships/hyperlink" Target="http://www.airpages.ru/mt/mot46.shtml" TargetMode="External"/><Relationship Id="rId33" Type="http://schemas.openxmlformats.org/officeDocument/2006/relationships/hyperlink" Target="http://www.airwar.ru/enc/fww2/p61.html" TargetMode="External"/><Relationship Id="rId108" Type="http://schemas.openxmlformats.org/officeDocument/2006/relationships/hyperlink" Target="http://www.rpg-club.com/x1000" TargetMode="External"/><Relationship Id="rId129" Type="http://schemas.openxmlformats.org/officeDocument/2006/relationships/hyperlink" Target="http://www.airwar.ru/enc/cww2/z1015.html" TargetMode="External"/><Relationship Id="rId54" Type="http://schemas.openxmlformats.org/officeDocument/2006/relationships/hyperlink" Target="https://warspot.ru/10487-is-kotoryy-poluchilsya" TargetMode="External"/><Relationship Id="rId75" Type="http://schemas.openxmlformats.org/officeDocument/2006/relationships/hyperlink" Target="http://pro-samolet.ru/samolety-sssr-ww2/samolet...ka/217-tu-2-razvedka" TargetMode="External"/><Relationship Id="rId96" Type="http://schemas.openxmlformats.org/officeDocument/2006/relationships/hyperlink" Target="http://www.rpg-club.com/x1000" TargetMode="External"/><Relationship Id="rId140" Type="http://schemas.openxmlformats.org/officeDocument/2006/relationships/hyperlink" Target="http://www.airwar.ru/enc/bww2/b38.html" TargetMode="External"/><Relationship Id="rId161" Type="http://schemas.openxmlformats.org/officeDocument/2006/relationships/hyperlink" Target="http://www.rpg-club.com/x1000" TargetMode="External"/><Relationship Id="rId182" Type="http://schemas.openxmlformats.org/officeDocument/2006/relationships/hyperlink" Target="http://www.airwar.ru/enc/flyboat/do212.html" TargetMode="External"/><Relationship Id="rId217" Type="http://schemas.openxmlformats.org/officeDocument/2006/relationships/hyperlink" Target="http://www.rpg-club.com/x1000" TargetMode="External"/><Relationship Id="rId6" Type="http://schemas.openxmlformats.org/officeDocument/2006/relationships/hyperlink" Target="http://www.vostok-audio.ru/item/105" TargetMode="External"/><Relationship Id="rId23" Type="http://schemas.openxmlformats.org/officeDocument/2006/relationships/hyperlink" Target="http://www.airwar.ru/enc/bww2/m6a.html" TargetMode="External"/><Relationship Id="rId119" Type="http://schemas.openxmlformats.org/officeDocument/2006/relationships/hyperlink" Target="http://www.rpg-club.com/x1000" TargetMode="External"/><Relationship Id="rId44" Type="http://schemas.openxmlformats.org/officeDocument/2006/relationships/hyperlink" Target="http://warspot.ru/5911-bystrohodnyy-tank-po-nemetski" TargetMode="External"/><Relationship Id="rId65" Type="http://schemas.openxmlformats.org/officeDocument/2006/relationships/hyperlink" Target="http://www.airwar.ru/enc/fww2/yak7d.html" TargetMode="External"/><Relationship Id="rId86" Type="http://schemas.openxmlformats.org/officeDocument/2006/relationships/hyperlink" Target="http://www.airwar.ru/enc/bww2/dvb102.html" TargetMode="External"/><Relationship Id="rId130" Type="http://schemas.openxmlformats.org/officeDocument/2006/relationships/hyperlink" Target="http://www.airwar.ru/enc/sww2/jrm.html" TargetMode="External"/><Relationship Id="rId151" Type="http://schemas.openxmlformats.org/officeDocument/2006/relationships/hyperlink" Target="http://www.rpg-club.com/x1000" TargetMode="External"/><Relationship Id="rId172" Type="http://schemas.openxmlformats.org/officeDocument/2006/relationships/hyperlink" Target="http://www.rpg-club.com/x1000" TargetMode="External"/><Relationship Id="rId193" Type="http://schemas.openxmlformats.org/officeDocument/2006/relationships/hyperlink" Target="http://www.rpg-club.com/x1000" TargetMode="External"/><Relationship Id="rId207" Type="http://schemas.openxmlformats.org/officeDocument/2006/relationships/hyperlink" Target="http://www.airwar.ru/enc/cww2/yak6.html" TargetMode="External"/><Relationship Id="rId228" Type="http://schemas.openxmlformats.org/officeDocument/2006/relationships/hyperlink" Target="https://warspot.ru/6873-uzkospetsialnyy-tank-shirokogo-profilya" TargetMode="External"/><Relationship Id="rId13" Type="http://schemas.openxmlformats.org/officeDocument/2006/relationships/hyperlink" Target="http://airspot.ru/catalogue/item/polikarpov-i-185" TargetMode="External"/><Relationship Id="rId109" Type="http://schemas.openxmlformats.org/officeDocument/2006/relationships/hyperlink" Target="http://www.rpg-club.com/x1000" TargetMode="External"/><Relationship Id="rId34" Type="http://schemas.openxmlformats.org/officeDocument/2006/relationships/hyperlink" Target="http://airspot.ru/catalogue/item/yakovlev-yak-7-m-82" TargetMode="External"/><Relationship Id="rId55" Type="http://schemas.openxmlformats.org/officeDocument/2006/relationships/hyperlink" Target="http://warspot.ru/5638-armeyskie-zemnovodnye" TargetMode="External"/><Relationship Id="rId76" Type="http://schemas.openxmlformats.org/officeDocument/2006/relationships/hyperlink" Target="http://www.airwar.ru/enc/fww2/meteor.html" TargetMode="External"/><Relationship Id="rId97" Type="http://schemas.openxmlformats.org/officeDocument/2006/relationships/hyperlink" Target="http://www.rpg-club.com/x1000" TargetMode="External"/><Relationship Id="rId120" Type="http://schemas.openxmlformats.org/officeDocument/2006/relationships/hyperlink" Target="http://www.rpg-club.com/x1000" TargetMode="External"/><Relationship Id="rId141" Type="http://schemas.openxmlformats.org/officeDocument/2006/relationships/hyperlink" Target="http://www.airwar.ru/enc/aww2/a26b.html" TargetMode="External"/><Relationship Id="rId7" Type="http://schemas.openxmlformats.org/officeDocument/2006/relationships/hyperlink" Target="http://www.airwar.ru/enc/fww2/yak1bomb.html" TargetMode="External"/><Relationship Id="rId162" Type="http://schemas.openxmlformats.org/officeDocument/2006/relationships/hyperlink" Target="http://www.rpg-club.com/x1000" TargetMode="External"/><Relationship Id="rId183" Type="http://schemas.openxmlformats.org/officeDocument/2006/relationships/hyperlink" Target="http://www.airwar.ru/enc/xplane/la138.html" TargetMode="External"/><Relationship Id="rId218" Type="http://schemas.openxmlformats.org/officeDocument/2006/relationships/hyperlink" Target="http://www.rpg-club.com/x1000" TargetMode="External"/><Relationship Id="rId24" Type="http://schemas.openxmlformats.org/officeDocument/2006/relationships/hyperlink" Target="http://airspot.ru/catalogue/item/bell-p-77" TargetMode="External"/><Relationship Id="rId45" Type="http://schemas.openxmlformats.org/officeDocument/2006/relationships/hyperlink" Target="http://warspot.ru/5305-valentine-na-prokachke" TargetMode="External"/><Relationship Id="rId66" Type="http://schemas.openxmlformats.org/officeDocument/2006/relationships/hyperlink" Target="http://allaircraft.ru/100-lagg-5.html" TargetMode="External"/><Relationship Id="rId87" Type="http://schemas.openxmlformats.org/officeDocument/2006/relationships/hyperlink" Target="http://www.airwar.ru/enc/cww2/z1015.html" TargetMode="External"/><Relationship Id="rId110" Type="http://schemas.openxmlformats.org/officeDocument/2006/relationships/hyperlink" Target="http://www.rpg-club.com/x1000" TargetMode="External"/><Relationship Id="rId131" Type="http://schemas.openxmlformats.org/officeDocument/2006/relationships/hyperlink" Target="http://warspot.ru/9133-menshe-broni-bolshe-podvizhnosti" TargetMode="External"/><Relationship Id="rId152" Type="http://schemas.openxmlformats.org/officeDocument/2006/relationships/hyperlink" Target="http://www.rpg-club.com/x1000" TargetMode="External"/><Relationship Id="rId173" Type="http://schemas.openxmlformats.org/officeDocument/2006/relationships/hyperlink" Target="http://www.rpg-club.com/x1000" TargetMode="External"/><Relationship Id="rId194" Type="http://schemas.openxmlformats.org/officeDocument/2006/relationships/hyperlink" Target="http://www.rpg-club.com/x1000" TargetMode="External"/><Relationship Id="rId208" Type="http://schemas.openxmlformats.org/officeDocument/2006/relationships/hyperlink" Target="http://airspot.ru/catalogue/item/north-american-p-51a-mustang" TargetMode="External"/><Relationship Id="rId229" Type="http://schemas.openxmlformats.org/officeDocument/2006/relationships/hyperlink" Target="https://warspot.ru/5570-shturmovik-perednego-kraya" TargetMode="External"/><Relationship Id="rId14" Type="http://schemas.openxmlformats.org/officeDocument/2006/relationships/hyperlink" Target="http://crimso.msk.ru/Site/Crafts/Craft21033.htm" TargetMode="External"/><Relationship Id="rId35" Type="http://schemas.openxmlformats.org/officeDocument/2006/relationships/hyperlink" Target="http://www.airwar.ru/enc/fww2/p51.html" TargetMode="External"/><Relationship Id="rId56" Type="http://schemas.openxmlformats.org/officeDocument/2006/relationships/hyperlink" Target="http://warspot.ru/4819-u-20-sovetskie-istrebiteli-tankov-s-krugovym-obstrelom" TargetMode="External"/><Relationship Id="rId77" Type="http://schemas.openxmlformats.org/officeDocument/2006/relationships/hyperlink" Target="http://www.airwar.ru/enc/fww2/yak7d.html" TargetMode="External"/><Relationship Id="rId100" Type="http://schemas.openxmlformats.org/officeDocument/2006/relationships/hyperlink" Target="http://www.rpg-club.com/x1000" TargetMode="External"/><Relationship Id="rId8" Type="http://schemas.openxmlformats.org/officeDocument/2006/relationships/hyperlink" Target="http://warspot.ru/3889-rozhdyonnyy-voynoy-kak-sozdavalsya-narkomat-tankovoy-promyshlennosti" TargetMode="External"/><Relationship Id="rId98" Type="http://schemas.openxmlformats.org/officeDocument/2006/relationships/hyperlink" Target="http://www.rpg-club.com/x1000" TargetMode="External"/><Relationship Id="rId121" Type="http://schemas.openxmlformats.org/officeDocument/2006/relationships/hyperlink" Target="http://warspot.ru/6255-yanki-pri-dvore-gabtu-ka" TargetMode="External"/><Relationship Id="rId142" Type="http://schemas.openxmlformats.org/officeDocument/2006/relationships/hyperlink" Target="http://www.rpg-club.com/x1000" TargetMode="External"/><Relationship Id="rId163" Type="http://schemas.openxmlformats.org/officeDocument/2006/relationships/hyperlink" Target="http://www.airwar.ru/enc/fww2/p51d.html" TargetMode="External"/><Relationship Id="rId184" Type="http://schemas.openxmlformats.org/officeDocument/2006/relationships/hyperlink" Target="http://www.airwar.ru/enc/fww2/yak7di.html" TargetMode="External"/><Relationship Id="rId219" Type="http://schemas.openxmlformats.org/officeDocument/2006/relationships/hyperlink" Target="http://www.rpg-club.com/x1000" TargetMode="External"/><Relationship Id="rId230" Type="http://schemas.openxmlformats.org/officeDocument/2006/relationships/fontTable" Target="fontTable.xml"/><Relationship Id="rId25" Type="http://schemas.openxmlformats.org/officeDocument/2006/relationships/hyperlink" Target="http://www.suvorov.com/critics/009.htm" TargetMode="External"/><Relationship Id="rId46" Type="http://schemas.openxmlformats.org/officeDocument/2006/relationships/hyperlink" Target="http://warspot.ru/222-bystryy-tank-t-60" TargetMode="External"/><Relationship Id="rId67" Type="http://schemas.openxmlformats.org/officeDocument/2006/relationships/hyperlink" Target="http://www.airwar.ru/enc/fww2/yak1-105pf.html" TargetMode="External"/><Relationship Id="rId116" Type="http://schemas.openxmlformats.org/officeDocument/2006/relationships/hyperlink" Target="http://www.rpg-club.com/x1000" TargetMode="External"/><Relationship Id="rId137" Type="http://schemas.openxmlformats.org/officeDocument/2006/relationships/hyperlink" Target="http://www.airwar.ru/enc/sww2/bv222c.html" TargetMode="External"/><Relationship Id="rId158" Type="http://schemas.openxmlformats.org/officeDocument/2006/relationships/hyperlink" Target="http://www.rpg-club.com/x1000" TargetMode="External"/><Relationship Id="rId20" Type="http://schemas.openxmlformats.org/officeDocument/2006/relationships/hyperlink" Target="http://www.airwar.ru/enc/bww2/b24d.html" TargetMode="External"/><Relationship Id="rId41" Type="http://schemas.openxmlformats.org/officeDocument/2006/relationships/hyperlink" Target="http://www.airwar.ru/enc/bww2/b17f.html" TargetMode="External"/><Relationship Id="rId62" Type="http://schemas.openxmlformats.org/officeDocument/2006/relationships/hyperlink" Target="http://warspot.ru/4822-tank-kristi-na-britanskiy-maner" TargetMode="External"/><Relationship Id="rId83" Type="http://schemas.openxmlformats.org/officeDocument/2006/relationships/hyperlink" Target="https://ru.wikipedia.org/wiki/%D0%A1%D1%82%D0%B0%D0%B1%D0%B8%D0%BB%D0%B8%D0%B7%D0%B0%D1%82%D0%BE%D1%80_(%D0%B0%D0%B2%D0%B8%D0%B0%D1%86%D0%B8%D1%8F)" TargetMode="External"/><Relationship Id="rId88" Type="http://schemas.openxmlformats.org/officeDocument/2006/relationships/hyperlink" Target="http://wunderwaffe.narod.ru/WeaponBook/Avia/Yak1/04.htm" TargetMode="External"/><Relationship Id="rId111" Type="http://schemas.openxmlformats.org/officeDocument/2006/relationships/hyperlink" Target="http://www.rpg-club.com/x1000" TargetMode="External"/><Relationship Id="rId132" Type="http://schemas.openxmlformats.org/officeDocument/2006/relationships/hyperlink" Target="http://airspot.ru/catalogue/item/northrop-b-35-flying-wing" TargetMode="External"/><Relationship Id="rId153" Type="http://schemas.openxmlformats.org/officeDocument/2006/relationships/hyperlink" Target="http://www.rpg-club.com/x1000" TargetMode="External"/><Relationship Id="rId174" Type="http://schemas.openxmlformats.org/officeDocument/2006/relationships/hyperlink" Target="http://www.rpg-club.com/x1000" TargetMode="External"/><Relationship Id="rId179" Type="http://schemas.openxmlformats.org/officeDocument/2006/relationships/hyperlink" Target="http://www.plam.ru/hist/porjadok_v_tankovyh_voiskah_kuda_propali_tanki_stalina/p6.php" TargetMode="External"/><Relationship Id="rId195" Type="http://schemas.openxmlformats.org/officeDocument/2006/relationships/hyperlink" Target="http://www.rpg-club.com/x1000" TargetMode="External"/><Relationship Id="rId209" Type="http://schemas.openxmlformats.org/officeDocument/2006/relationships/hyperlink" Target="http://www.airpages.ru/lw/ju86p.shtml" TargetMode="External"/><Relationship Id="rId190" Type="http://schemas.openxmlformats.org/officeDocument/2006/relationships/hyperlink" Target="http://airspot.ru/catalogue/item/arado-ar-199" TargetMode="External"/><Relationship Id="rId204" Type="http://schemas.openxmlformats.org/officeDocument/2006/relationships/hyperlink" Target="http://www.rpg-club.com/x1000" TargetMode="External"/><Relationship Id="rId220" Type="http://schemas.openxmlformats.org/officeDocument/2006/relationships/hyperlink" Target="http://www.rpg-club.com/x1000" TargetMode="External"/><Relationship Id="rId225" Type="http://schemas.openxmlformats.org/officeDocument/2006/relationships/hyperlink" Target="http://www.rpg-club.com/x1000" TargetMode="External"/><Relationship Id="rId15" Type="http://schemas.openxmlformats.org/officeDocument/2006/relationships/hyperlink" Target="http://airspot.ru/catalogue/item/cant-z-1018-leone" TargetMode="External"/><Relationship Id="rId36" Type="http://schemas.openxmlformats.org/officeDocument/2006/relationships/hyperlink" Target="http://crimso.msk.ru/Site/Crafts/Craft21033.htm" TargetMode="External"/><Relationship Id="rId57" Type="http://schemas.openxmlformats.org/officeDocument/2006/relationships/hyperlink" Target="http://warspot.ru/5570-shturmovik-perednego-kraya" TargetMode="External"/><Relationship Id="rId106" Type="http://schemas.openxmlformats.org/officeDocument/2006/relationships/hyperlink" Target="http://www.rpg-club.com/x1000" TargetMode="External"/><Relationship Id="rId127" Type="http://schemas.openxmlformats.org/officeDocument/2006/relationships/hyperlink" Target="http://warspot.ru/5305-valentine-na-prokachke" TargetMode="External"/><Relationship Id="rId10" Type="http://schemas.openxmlformats.org/officeDocument/2006/relationships/hyperlink" Target="http://warspot.ru/7406-t-70-podrosshiy-malysh" TargetMode="External"/><Relationship Id="rId31" Type="http://schemas.openxmlformats.org/officeDocument/2006/relationships/hyperlink" Target="http://www.airwar.ru/history/aces/ace2ww/pilotg/ihlefeld.html" TargetMode="External"/><Relationship Id="rId52" Type="http://schemas.openxmlformats.org/officeDocument/2006/relationships/hyperlink" Target="http://warspot.ru/2204-samyy-massovyy-iz-legkih" TargetMode="External"/><Relationship Id="rId73" Type="http://schemas.openxmlformats.org/officeDocument/2006/relationships/hyperlink" Target="http://www.airwar.ru/enc/fww2/yak1b.html" TargetMode="External"/><Relationship Id="rId78" Type="http://schemas.openxmlformats.org/officeDocument/2006/relationships/hyperlink" Target="http://www.archive.gov.tatarstan.ru/res/FCKeditor/fckeditor.php?FieldName=data_html" TargetMode="External"/><Relationship Id="rId94" Type="http://schemas.openxmlformats.org/officeDocument/2006/relationships/hyperlink" Target="http://www.rpg-club.com/x1000" TargetMode="External"/><Relationship Id="rId99" Type="http://schemas.openxmlformats.org/officeDocument/2006/relationships/hyperlink" Target="http://www.rpg-club.com/x1000" TargetMode="External"/><Relationship Id="rId101" Type="http://schemas.openxmlformats.org/officeDocument/2006/relationships/hyperlink" Target="http://www.rpg-club.com/x1000" TargetMode="External"/><Relationship Id="rId122" Type="http://schemas.openxmlformats.org/officeDocument/2006/relationships/hyperlink" Target="https://warspot.ru/10088-kanadskiy-valentine" TargetMode="External"/><Relationship Id="rId143" Type="http://schemas.openxmlformats.org/officeDocument/2006/relationships/hyperlink" Target="http://warspot.ru/4029-udarnyy-instrument-tankovoy-gvardii" TargetMode="External"/><Relationship Id="rId148" Type="http://schemas.openxmlformats.org/officeDocument/2006/relationships/hyperlink" Target="http://www.airwar.ru/enc/fww2/yak7di.html" TargetMode="External"/><Relationship Id="rId164" Type="http://schemas.openxmlformats.org/officeDocument/2006/relationships/hyperlink" Target="http://www.airwar.ru/enc/aww2/sm89.html" TargetMode="External"/><Relationship Id="rId169" Type="http://schemas.openxmlformats.org/officeDocument/2006/relationships/hyperlink" Target="http://www.rpg-club.com/x1000" TargetMode="External"/><Relationship Id="rId185" Type="http://schemas.openxmlformats.org/officeDocument/2006/relationships/hyperlink" Target="http://www.airwar.ru/enc/glider/a40kt.html" TargetMode="External"/><Relationship Id="rId4" Type="http://schemas.openxmlformats.org/officeDocument/2006/relationships/webSettings" Target="webSettings.xml"/><Relationship Id="rId9" Type="http://schemas.openxmlformats.org/officeDocument/2006/relationships/hyperlink" Target="http://warspot.ru/6610-malyy-tank-bolshoy-voyny" TargetMode="External"/><Relationship Id="rId180" Type="http://schemas.openxmlformats.org/officeDocument/2006/relationships/hyperlink" Target="http://warspot.ru/9133-menshe-broni-bolshe-podvizhnosti" TargetMode="External"/><Relationship Id="rId210" Type="http://schemas.openxmlformats.org/officeDocument/2006/relationships/hyperlink" Target="http://eng.ship.bsu.by/ship/100923" TargetMode="External"/><Relationship Id="rId215" Type="http://schemas.openxmlformats.org/officeDocument/2006/relationships/hyperlink" Target="https://ru.wikipedia.org/wiki/%D0%A4%D0%B0%D1%83-1" TargetMode="External"/><Relationship Id="rId26" Type="http://schemas.openxmlformats.org/officeDocument/2006/relationships/hyperlink" Target="http://warspot.ru/3889-rozhdyonnyy-voynoy-kak-sozdavalsya-narkomat-tankovoy-promyshlennosti" TargetMode="External"/><Relationship Id="rId231" Type="http://schemas.openxmlformats.org/officeDocument/2006/relationships/theme" Target="theme/theme1.xml"/><Relationship Id="rId47" Type="http://schemas.openxmlformats.org/officeDocument/2006/relationships/hyperlink" Target="http://warspot.ru/2204-samyy-massovyy-iz-legkih" TargetMode="External"/><Relationship Id="rId68" Type="http://schemas.openxmlformats.org/officeDocument/2006/relationships/hyperlink" Target="http://www.airwar.ru/enc/fww2/mig5.html" TargetMode="External"/><Relationship Id="rId89" Type="http://schemas.openxmlformats.org/officeDocument/2006/relationships/hyperlink" Target="http://www.airwar.ru/enc/fww2/yak7di.html" TargetMode="External"/><Relationship Id="rId112" Type="http://schemas.openxmlformats.org/officeDocument/2006/relationships/hyperlink" Target="http://www.rpg-club.com/x1000" TargetMode="External"/><Relationship Id="rId133" Type="http://schemas.openxmlformats.org/officeDocument/2006/relationships/hyperlink" Target="http://crimso.msk.ru/Site/Crafts/Craft26336.htm" TargetMode="External"/><Relationship Id="rId154" Type="http://schemas.openxmlformats.org/officeDocument/2006/relationships/hyperlink" Target="http://www.rpg-club.com/x1000" TargetMode="External"/><Relationship Id="rId175" Type="http://schemas.openxmlformats.org/officeDocument/2006/relationships/hyperlink" Target="http://www.rpg-club.com/x1000" TargetMode="External"/><Relationship Id="rId196" Type="http://schemas.openxmlformats.org/officeDocument/2006/relationships/hyperlink" Target="http://www.rpg-club.com/x1000" TargetMode="External"/><Relationship Id="rId200" Type="http://schemas.openxmlformats.org/officeDocument/2006/relationships/hyperlink" Target="http://www.rpg-club.com/x1000" TargetMode="External"/><Relationship Id="rId16" Type="http://schemas.openxmlformats.org/officeDocument/2006/relationships/hyperlink" Target="http://www.airwar.ru/enc/fww2/yak7-37.html" TargetMode="External"/><Relationship Id="rId221" Type="http://schemas.openxmlformats.org/officeDocument/2006/relationships/hyperlink" Target="http://www.rpg-club.com/x1000" TargetMode="External"/><Relationship Id="rId37" Type="http://schemas.openxmlformats.org/officeDocument/2006/relationships/hyperlink" Target="http://rga-samara.ru/activity/publications/smi/articles/4410/" TargetMode="External"/><Relationship Id="rId58" Type="http://schemas.openxmlformats.org/officeDocument/2006/relationships/hyperlink" Target="http://warspot.ru/7265-shturmovoe-orudie-na-trofeynoy-baze" TargetMode="External"/><Relationship Id="rId79" Type="http://schemas.openxmlformats.org/officeDocument/2006/relationships/hyperlink" Target="http://www.airwar.ru/enc/bww2/saab18.html" TargetMode="External"/><Relationship Id="rId102" Type="http://schemas.openxmlformats.org/officeDocument/2006/relationships/hyperlink" Target="http://www.rpg-club.com/x1000" TargetMode="External"/><Relationship Id="rId123" Type="http://schemas.openxmlformats.org/officeDocument/2006/relationships/hyperlink" Target="https://warspot.ru/9438-pz-kpfw-38-t-po-etu-storonu-fronta" TargetMode="External"/><Relationship Id="rId144" Type="http://schemas.openxmlformats.org/officeDocument/2006/relationships/hyperlink" Target="http://www.airwar.ru/enc/glider/dha2.html" TargetMode="External"/><Relationship Id="rId90" Type="http://schemas.openxmlformats.org/officeDocument/2006/relationships/hyperlink" Target="http://www.airwar.ru/enc/fww2/yak7di.html" TargetMode="External"/><Relationship Id="rId165" Type="http://schemas.openxmlformats.org/officeDocument/2006/relationships/hyperlink" Target="http://www.airwar.ru/enc/fww2/hawk75.html" TargetMode="External"/><Relationship Id="rId186" Type="http://schemas.openxmlformats.org/officeDocument/2006/relationships/hyperlink" Target="http://all-crime.ru/polit-kriminal/polit-herou-our-time.htm" TargetMode="External"/><Relationship Id="rId211" Type="http://schemas.openxmlformats.org/officeDocument/2006/relationships/hyperlink" Target="http://eng.ship.bsu.by/ship/100874" TargetMode="External"/><Relationship Id="rId27" Type="http://schemas.openxmlformats.org/officeDocument/2006/relationships/hyperlink" Target="http://airspot.ru/catalogue/item/yakovlev-yak-7b" TargetMode="External"/><Relationship Id="rId48" Type="http://schemas.openxmlformats.org/officeDocument/2006/relationships/hyperlink" Target="http://warspot.ru/10554-mnogoyarusnyy-amerikanets" TargetMode="External"/><Relationship Id="rId69" Type="http://schemas.openxmlformats.org/officeDocument/2006/relationships/hyperlink" Target="https://warspot.ru/3849-kv-1-protiv-myortvoy-golovy-pervaya-vstrecha" TargetMode="External"/><Relationship Id="rId113" Type="http://schemas.openxmlformats.org/officeDocument/2006/relationships/hyperlink" Target="http://www.rpg-club.com/x1000" TargetMode="External"/><Relationship Id="rId134" Type="http://schemas.openxmlformats.org/officeDocument/2006/relationships/hyperlink" Target="http://www.aviarmor.net/aww2/aircraft_exp/usa/Boeing%20XPBB-1.htm" TargetMode="External"/><Relationship Id="rId80" Type="http://schemas.openxmlformats.org/officeDocument/2006/relationships/hyperlink" Target="https://ru.wikipedia.org/wiki/%D0%93%D0%B5%D0%BD%D0%B5%D1%80%D0%B0%D0%BB-%D1%84%D0%B5%D0%BB%D1%8C%D0%B4%D0%BC%D0%B0%D1%80%D1%88%D0%B0%D0%BB" TargetMode="External"/><Relationship Id="rId155" Type="http://schemas.openxmlformats.org/officeDocument/2006/relationships/hyperlink" Target="http://www.airwar.ru/enc/bww2/dh98.html" TargetMode="External"/><Relationship Id="rId176" Type="http://schemas.openxmlformats.org/officeDocument/2006/relationships/hyperlink" Target="http://www.rpg-club.com/x1000" TargetMode="External"/><Relationship Id="rId197" Type="http://schemas.openxmlformats.org/officeDocument/2006/relationships/hyperlink" Target="http://www.rpg-club.com/x1000" TargetMode="External"/><Relationship Id="rId201" Type="http://schemas.openxmlformats.org/officeDocument/2006/relationships/hyperlink" Target="http://www.rpg-club.com/x1000" TargetMode="External"/><Relationship Id="rId222" Type="http://schemas.openxmlformats.org/officeDocument/2006/relationships/hyperlink" Target="http://www.rpg-club.com/x1000" TargetMode="External"/><Relationship Id="rId17" Type="http://schemas.openxmlformats.org/officeDocument/2006/relationships/hyperlink" Target="http://www.airwar.ru/enc/fww2/re2005.html" TargetMode="External"/><Relationship Id="rId38" Type="http://schemas.openxmlformats.org/officeDocument/2006/relationships/hyperlink" Target="http://www.airwar.ru/enc/bww2/b17e.html" TargetMode="External"/><Relationship Id="rId59" Type="http://schemas.openxmlformats.org/officeDocument/2006/relationships/hyperlink" Target="http://warspot.ru/6610-malyy-tank-bolshoy-voyny" TargetMode="External"/><Relationship Id="rId103" Type="http://schemas.openxmlformats.org/officeDocument/2006/relationships/hyperlink" Target="http://www.rpg-club.com/x1000" TargetMode="External"/><Relationship Id="rId124" Type="http://schemas.openxmlformats.org/officeDocument/2006/relationships/hyperlink" Target="https://warspot.ru/6517-korzina-s-motorchikom" TargetMode="External"/><Relationship Id="rId70" Type="http://schemas.openxmlformats.org/officeDocument/2006/relationships/hyperlink" Target="http://www.airwar.ru/enc/fww2/yak7di.html" TargetMode="External"/><Relationship Id="rId91" Type="http://schemas.openxmlformats.org/officeDocument/2006/relationships/hyperlink" Target="http://www.airwar.ru/enc/fww2/f6f.html" TargetMode="External"/><Relationship Id="rId145" Type="http://schemas.openxmlformats.org/officeDocument/2006/relationships/hyperlink" Target="http://www.airwar.ru/enc/fww2/sfire.html" TargetMode="External"/><Relationship Id="rId166" Type="http://schemas.openxmlformats.org/officeDocument/2006/relationships/hyperlink" Target="http://www.airwar.ru/enc/fww2/f4u.html" TargetMode="External"/><Relationship Id="rId187" Type="http://schemas.openxmlformats.org/officeDocument/2006/relationships/hyperlink" Target="http://www.airwar.ru/enc/spyww2/il2kr.html" TargetMode="External"/><Relationship Id="rId1" Type="http://schemas.openxmlformats.org/officeDocument/2006/relationships/numbering" Target="numbering.xml"/><Relationship Id="rId212" Type="http://schemas.openxmlformats.org/officeDocument/2006/relationships/hyperlink" Target="http://www.opoccuu.com/lagg-3.htm" TargetMode="External"/><Relationship Id="rId28" Type="http://schemas.openxmlformats.org/officeDocument/2006/relationships/hyperlink" Target="http://aeroram.narod.ru/win/b/barkovsky_va.htm" TargetMode="External"/><Relationship Id="rId49" Type="http://schemas.openxmlformats.org/officeDocument/2006/relationships/hyperlink" Target="http://warspot.ru/5911-bystrohodnyy-tank-po-nemetski" TargetMode="External"/><Relationship Id="rId114" Type="http://schemas.openxmlformats.org/officeDocument/2006/relationships/hyperlink" Target="http://www.rpg-club.com/x1000" TargetMode="External"/><Relationship Id="rId60" Type="http://schemas.openxmlformats.org/officeDocument/2006/relationships/hyperlink" Target="https://warspot.ru/16316-teoriya-bronetankovyh-zabluzhdeniy-seredina-velikoy-otechestvennoy" TargetMode="External"/><Relationship Id="rId81" Type="http://schemas.openxmlformats.org/officeDocument/2006/relationships/hyperlink" Target="https://ru.wikipedia.org/wiki/%D0%AD%D1%80%D1%85%D0%B0%D1%80%D0%B4_%D0%9C%D0%B8%D0%BB%D1%8C%D1%85" TargetMode="External"/><Relationship Id="rId135" Type="http://schemas.openxmlformats.org/officeDocument/2006/relationships/hyperlink" Target="http://www.airwar.ru/enc/spyww2/c6n.html" TargetMode="External"/><Relationship Id="rId156" Type="http://schemas.openxmlformats.org/officeDocument/2006/relationships/hyperlink" Target="http://www.airwar.ru/enc/fww2/mustang3.html" TargetMode="External"/><Relationship Id="rId177" Type="http://schemas.openxmlformats.org/officeDocument/2006/relationships/hyperlink" Target="http://www.rpg-club.com/x1000" TargetMode="External"/><Relationship Id="rId198" Type="http://schemas.openxmlformats.org/officeDocument/2006/relationships/hyperlink" Target="http://www.rpg-club.com/x1000" TargetMode="External"/><Relationship Id="rId202" Type="http://schemas.openxmlformats.org/officeDocument/2006/relationships/hyperlink" Target="http://www.rpg-club.com/x1000" TargetMode="External"/><Relationship Id="rId223" Type="http://schemas.openxmlformats.org/officeDocument/2006/relationships/hyperlink" Target="http://www.rpg-club.com/x1000" TargetMode="External"/><Relationship Id="rId18" Type="http://schemas.openxmlformats.org/officeDocument/2006/relationships/hyperlink" Target="http://www.airwar.ru/enc/fww2/yak7m82.html" TargetMode="External"/><Relationship Id="rId39" Type="http://schemas.openxmlformats.org/officeDocument/2006/relationships/hyperlink" Target="http://www.aviajournal.com/arhiv/2003/07/06.html" TargetMode="External"/><Relationship Id="rId50" Type="http://schemas.openxmlformats.org/officeDocument/2006/relationships/hyperlink" Target="http://warspot.ru/5305-valentine-na-prokachke" TargetMode="External"/><Relationship Id="rId104" Type="http://schemas.openxmlformats.org/officeDocument/2006/relationships/hyperlink" Target="http://www.rpg-club.com/x1000" TargetMode="External"/><Relationship Id="rId125" Type="http://schemas.openxmlformats.org/officeDocument/2006/relationships/hyperlink" Target="https://warspot.ru/10554-mnogoyarusnyy-amerikanets" TargetMode="External"/><Relationship Id="rId146" Type="http://schemas.openxmlformats.org/officeDocument/2006/relationships/hyperlink" Target="http://www.airwar.ru/enc/fighter/fbrand.html" TargetMode="External"/><Relationship Id="rId167" Type="http://schemas.openxmlformats.org/officeDocument/2006/relationships/hyperlink" Target="http://www.airwar.ru/enc/fww2/do217.html" TargetMode="External"/><Relationship Id="rId188" Type="http://schemas.openxmlformats.org/officeDocument/2006/relationships/hyperlink" Target="http://eng.ship.bsu.by/text/6344" TargetMode="External"/><Relationship Id="rId71" Type="http://schemas.openxmlformats.org/officeDocument/2006/relationships/hyperlink" Target="http://warspot.ru/9133-menshe-broni-bolshe-podvizhnosti" TargetMode="External"/><Relationship Id="rId92" Type="http://schemas.openxmlformats.org/officeDocument/2006/relationships/hyperlink" Target="http://www.hobbyport.ru/avia/yak_6.htm" TargetMode="External"/><Relationship Id="rId213" Type="http://schemas.openxmlformats.org/officeDocument/2006/relationships/hyperlink" Target="http://www.airwar.ru/enc/spyww2/fw189.htmlhtm" TargetMode="External"/><Relationship Id="rId2" Type="http://schemas.openxmlformats.org/officeDocument/2006/relationships/styles" Target="styles.xml"/><Relationship Id="rId29" Type="http://schemas.openxmlformats.org/officeDocument/2006/relationships/hyperlink" Target="http://airspot.ru/catalogue/item/convair-c-99" TargetMode="External"/><Relationship Id="rId40" Type="http://schemas.openxmlformats.org/officeDocument/2006/relationships/hyperlink" Target="http://wunderwaffe.narod.ru/Magazine/AirWar/33/17.htm" TargetMode="External"/><Relationship Id="rId115" Type="http://schemas.openxmlformats.org/officeDocument/2006/relationships/hyperlink" Target="http://www.rpg-club.com/x1000" TargetMode="External"/><Relationship Id="rId136" Type="http://schemas.openxmlformats.org/officeDocument/2006/relationships/hyperlink" Target="http://crimso.msk.ru/Site/Crafts/Craft26201.htm" TargetMode="External"/><Relationship Id="rId157" Type="http://schemas.openxmlformats.org/officeDocument/2006/relationships/hyperlink" Target="http://www.rpg-club.com/x1000" TargetMode="External"/><Relationship Id="rId178" Type="http://schemas.openxmlformats.org/officeDocument/2006/relationships/hyperlink" Target="http://www.rpg-club.com/x1000" TargetMode="External"/><Relationship Id="rId61" Type="http://schemas.openxmlformats.org/officeDocument/2006/relationships/hyperlink" Target="http://warspot.ru/4001-krestonosets-tri-goda-voyny-v-peskah" TargetMode="External"/><Relationship Id="rId82" Type="http://schemas.openxmlformats.org/officeDocument/2006/relationships/hyperlink" Target="https://ru.wikipedia.org/wiki/%D0%93%D0%B8%D1%80%D0%BE%D1%81%D0%BA%D0%BE%D0%BF" TargetMode="External"/><Relationship Id="rId199" Type="http://schemas.openxmlformats.org/officeDocument/2006/relationships/hyperlink" Target="http://www.rpg-club.com/x1000" TargetMode="External"/><Relationship Id="rId203" Type="http://schemas.openxmlformats.org/officeDocument/2006/relationships/hyperlink" Target="http://www.rpg-club.com/x1000" TargetMode="External"/><Relationship Id="rId19" Type="http://schemas.openxmlformats.org/officeDocument/2006/relationships/hyperlink" Target="http://www.airwar.ru/enc/uh/r4.html" TargetMode="External"/><Relationship Id="rId224" Type="http://schemas.openxmlformats.org/officeDocument/2006/relationships/hyperlink" Target="http://www.rpg-club.com/x1000" TargetMode="External"/><Relationship Id="rId30" Type="http://schemas.openxmlformats.org/officeDocument/2006/relationships/hyperlink" Target="http://airspot.ru/catalogue/item/fiat-cr-32" TargetMode="External"/><Relationship Id="rId105" Type="http://schemas.openxmlformats.org/officeDocument/2006/relationships/hyperlink" Target="http://www.rpg-club.com/x1000" TargetMode="External"/><Relationship Id="rId126" Type="http://schemas.openxmlformats.org/officeDocument/2006/relationships/hyperlink" Target="http://warspot.ru/9438-pz-kpfw-38-t-po-etu-storonu-fronta" TargetMode="External"/><Relationship Id="rId147" Type="http://schemas.openxmlformats.org/officeDocument/2006/relationships/hyperlink" Target="http://www.airwar.ru/enc/fww2/yak7di.html" TargetMode="External"/><Relationship Id="rId168" Type="http://schemas.openxmlformats.org/officeDocument/2006/relationships/hyperlink" Target="http://www.rpg-club.com/x1000" TargetMode="External"/><Relationship Id="rId51" Type="http://schemas.openxmlformats.org/officeDocument/2006/relationships/hyperlink" Target="http://warspot.ru/222-bystryy-tank-t-60" TargetMode="External"/><Relationship Id="rId72" Type="http://schemas.openxmlformats.org/officeDocument/2006/relationships/hyperlink" Target="http://airspot.ru/catalogue/item/handley-page-halifax" TargetMode="External"/><Relationship Id="rId93" Type="http://schemas.openxmlformats.org/officeDocument/2006/relationships/hyperlink" Target="http://www.airwar.ru/enc/fww2/f4u.html" TargetMode="External"/><Relationship Id="rId189" Type="http://schemas.openxmlformats.org/officeDocument/2006/relationships/hyperlink" Target="http://eng.ship.bsu.by/ship/102505" TargetMode="External"/><Relationship Id="rId3" Type="http://schemas.openxmlformats.org/officeDocument/2006/relationships/settings" Target="settings.xml"/><Relationship Id="rId214" Type="http://schemas.openxmlformats.org/officeDocument/2006/relationships/hyperlink" Target="https://ru.wikipedia.org/wiki/Fw_20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1163</TotalTime>
  <Pages>828</Pages>
  <Words>1060046</Words>
  <Characters>6042263</Characters>
  <Application>Microsoft Office Word</Application>
  <DocSecurity>0</DocSecurity>
  <Lines>50352</Lines>
  <Paragraphs>14176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7088133</CharactersWithSpaces>
  <SharedDoc>false</SharedDoc>
  <HLinks>
    <vt:vector size="6" baseType="variant">
      <vt:variant>
        <vt:i4>7012449</vt:i4>
      </vt:variant>
      <vt:variant>
        <vt:i4>0</vt:i4>
      </vt:variant>
      <vt:variant>
        <vt:i4>0</vt:i4>
      </vt:variant>
      <vt:variant>
        <vt:i4>5</vt:i4>
      </vt:variant>
      <vt:variant>
        <vt:lpwstr>http://www.plam.ru/hist/porjadok_v_tankovyh_voiskah_kuda_propali_tanki_stalina/p6.php</vt:lpwstr>
      </vt:variant>
      <vt:variant>
        <vt:lpwstr>n_100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Иван Родионов</dc:creator>
  <cp:lastModifiedBy>Иван Родионов</cp:lastModifiedBy>
  <cp:revision>259</cp:revision>
  <dcterms:created xsi:type="dcterms:W3CDTF">2022-04-29T03:16:00Z</dcterms:created>
  <dcterms:modified xsi:type="dcterms:W3CDTF">2024-03-08T13:30:00Z</dcterms:modified>
</cp:coreProperties>
</file>